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0.xml" ContentType="application/vnd.openxmlformats-officedocument.wordprocessingml.footer+xml"/>
  <Override PartName="/word/footer11.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0.xml" ContentType="application/vnd.openxmlformats-officedocument.wordprocessingml.header+xml"/>
  <Override PartName="/word/header11.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0DB59" w14:textId="77777777" w:rsidR="00990B14" w:rsidRDefault="00990B14">
      <w:pPr>
        <w:pageBreakBefore/>
        <w:spacing w:line="5600" w:lineRule="exact"/>
      </w:pPr>
    </w:p>
    <w:p w14:paraId="4D9BDB92" w14:textId="77777777" w:rsidR="00990B14" w:rsidRDefault="00000000">
      <w:pPr>
        <w:keepNext/>
        <w:jc w:val="center"/>
      </w:pPr>
      <w:r>
        <w:rPr>
          <w:b/>
          <w:bCs/>
          <w:sz w:val="40"/>
          <w:szCs w:val="40"/>
        </w:rPr>
        <w:t>4.1 Fundamentos curriculares</w:t>
      </w:r>
    </w:p>
    <w:p w14:paraId="6F433BA4" w14:textId="77777777" w:rsidR="00633CBB" w:rsidRDefault="00000000">
      <w:pPr>
        <w:keepNext/>
        <w:pageBreakBefore/>
        <w:tabs>
          <w:tab w:val="left" w:pos="709"/>
        </w:tabs>
        <w:spacing w:before="160" w:after="200"/>
        <w:ind w:left="709" w:hanging="709"/>
        <w:outlineLvl w:val="0"/>
      </w:pPr>
      <w:bookmarkStart w:id="102" w:name="_Toc000000059"/>
      <w:r>
        <w:rPr>
          <w:b/>
          <w:sz w:val="24"/>
        </w:rPr>
        <w:lastRenderedPageBreak/>
        <w:t>4.</w:t>
      </w:r>
      <w:r>
        <w:rPr>
          <w:b/>
          <w:sz w:val="24"/>
        </w:rPr>
        <w:tab/>
        <w:t>Aspectos académicos</w:t>
      </w:r>
      <w:bookmarkEnd w:id="102"/>
    </w:p>
    <w:p w14:paraId="0153E6FC" w14:textId="77777777" w:rsidR="00633CBB" w:rsidRDefault="00000000">
      <w:pPr>
        <w:keepNext/>
        <w:tabs>
          <w:tab w:val="left" w:pos="709"/>
        </w:tabs>
        <w:spacing w:before="120" w:after="200"/>
        <w:ind w:left="709" w:hanging="709"/>
        <w:outlineLvl w:val="1"/>
      </w:pPr>
      <w:bookmarkStart w:id="103" w:name="_Toc000000060"/>
      <w:r>
        <w:rPr>
          <w:b/>
          <w:sz w:val="24"/>
        </w:rPr>
        <w:t>4.1</w:t>
      </w:r>
      <w:r>
        <w:rPr>
          <w:b/>
          <w:sz w:val="24"/>
        </w:rPr>
        <w:tab/>
        <w:t>Fundamentos curriculares</w:t>
      </w:r>
      <w:bookmarkEnd w:id="103"/>
    </w:p>
    <w:p w14:paraId="0AD11450" w14:textId="77777777" w:rsidR="00633CBB" w:rsidRDefault="00000000">
      <w:pPr>
        <w:spacing w:after="200"/>
        <w:jc w:val="both"/>
      </w:pPr>
      <w:r>
        <w:t xml:space="preserve">Los fundamentos curriculares del </w:t>
      </w:r>
      <w:r w:rsidR="00123620">
        <w:t>Rediseño Curricular</w:t>
      </w:r>
      <w:r>
        <w:t xml:space="preserve"> se formulan en concordancia con el Modelo Educativo de la UMSA, el Artículo 12 de la Resolución HCU N.º 032/2025, que exige identificar los fundamentos epistemológicos, sociológicos y antropológicos, psicológicos, educativos y axiológicos, y las Normas Internacionales de Educación de la IFAC. Estos fundamentos son vinculantes con la misión, el perfil profesional, las competencias y los contenidos del plan.</w:t>
      </w:r>
    </w:p>
    <w:p w14:paraId="1204EE79" w14:textId="77777777" w:rsidR="00990CBF" w:rsidRPr="00990CBF" w:rsidRDefault="00000000" w:rsidP="00990CBF">
      <w:pPr>
        <w:keepNext/>
        <w:tabs>
          <w:tab w:val="left" w:pos="709"/>
        </w:tabs>
        <w:spacing w:before="80" w:after="200"/>
        <w:ind w:left="709" w:hanging="709"/>
        <w:outlineLvl w:val="2"/>
        <w:rPr>
          <w:b/>
          <w:sz w:val="22"/>
        </w:rPr>
      </w:pPr>
      <w:bookmarkStart w:id="104" w:name="_Toc000000061"/>
      <w:r>
        <w:rPr>
          <w:b/>
          <w:sz w:val="22"/>
        </w:rPr>
        <w:t>4.1.1</w:t>
      </w:r>
      <w:r>
        <w:rPr>
          <w:b/>
          <w:sz w:val="22"/>
        </w:rPr>
        <w:tab/>
        <w:t>Fundamentos epistemológicos</w:t>
      </w:r>
      <w:bookmarkEnd w:id="104"/>
    </w:p>
    <w:p w14:paraId="623D59C8" w14:textId="77777777" w:rsidR="00990CBF" w:rsidRPr="00E428B8" w:rsidRDefault="00000000" w:rsidP="00990CBF">
      <w:pPr>
        <w:tabs>
          <w:tab w:val="left" w:pos="2140"/>
        </w:tabs>
        <w:jc w:val="both"/>
        <w:rPr>
          <w:rFonts w:cs="Arial"/>
          <w:szCs w:val="20"/>
        </w:rPr>
      </w:pPr>
      <w:r w:rsidRPr="00E428B8">
        <w:rPr>
          <w:rFonts w:cs="Arial"/>
          <w:szCs w:val="20"/>
        </w:rPr>
        <w:t xml:space="preserve">La Ciencia Contable en el </w:t>
      </w:r>
      <w:r w:rsidR="00E428B8">
        <w:rPr>
          <w:rFonts w:cs="Arial"/>
          <w:szCs w:val="20"/>
        </w:rPr>
        <w:t>Rediseño Curricular</w:t>
      </w:r>
      <w:r w:rsidRPr="00E428B8">
        <w:rPr>
          <w:rFonts w:cs="Arial"/>
          <w:szCs w:val="20"/>
        </w:rPr>
        <w:t xml:space="preserve"> de la Carrera de Contaduría Pública de la UMSA abandona los enfoques unidimensionales y se fundamenta en un </w:t>
      </w:r>
      <w:r w:rsidRPr="00E428B8">
        <w:rPr>
          <w:rFonts w:cs="Arial"/>
          <w:b/>
          <w:bCs/>
          <w:szCs w:val="20"/>
        </w:rPr>
        <w:t>pluralismo epistemológico integrador</w:t>
      </w:r>
      <w:r w:rsidRPr="00E428B8">
        <w:rPr>
          <w:rFonts w:cs="Arial"/>
          <w:szCs w:val="20"/>
        </w:rPr>
        <w:t xml:space="preserve"> que articula el rigor científico-analítico, la visión holística de la complejidad y la responsabilidad ética frente a la sociedad. Este marco se estandariza en tres paradigmas epistemológicos complementarios:</w:t>
      </w:r>
    </w:p>
    <w:p w14:paraId="66AA2A3A" w14:textId="77777777" w:rsidR="00990CBF" w:rsidRPr="00E428B8" w:rsidRDefault="00990CBF" w:rsidP="00990CBF">
      <w:pPr>
        <w:tabs>
          <w:tab w:val="left" w:pos="2140"/>
        </w:tabs>
        <w:jc w:val="both"/>
        <w:rPr>
          <w:rFonts w:cs="Arial"/>
          <w:szCs w:val="20"/>
        </w:rPr>
      </w:pPr>
    </w:p>
    <w:p w14:paraId="2922F00D" w14:textId="77777777" w:rsidR="00990CBF" w:rsidRPr="00E428B8" w:rsidRDefault="00000000" w:rsidP="00990CBF">
      <w:pPr>
        <w:tabs>
          <w:tab w:val="left" w:pos="2140"/>
        </w:tabs>
        <w:jc w:val="both"/>
        <w:rPr>
          <w:rFonts w:cs="Arial"/>
          <w:b/>
          <w:bCs/>
          <w:szCs w:val="20"/>
        </w:rPr>
      </w:pPr>
      <w:r w:rsidRPr="00E428B8">
        <w:rPr>
          <w:rFonts w:cs="Arial"/>
          <w:b/>
          <w:bCs/>
          <w:szCs w:val="20"/>
        </w:rPr>
        <w:t>El Neopositivismo (Empirismo Lógico, Rigor Cuantitativo y Verificación)</w:t>
      </w:r>
    </w:p>
    <w:p w14:paraId="3C5FFBAA" w14:textId="77777777" w:rsidR="00990CBF" w:rsidRPr="00E428B8" w:rsidRDefault="00990CBF" w:rsidP="00990CBF">
      <w:pPr>
        <w:tabs>
          <w:tab w:val="left" w:pos="2140"/>
        </w:tabs>
        <w:jc w:val="both"/>
        <w:rPr>
          <w:rFonts w:cs="Arial"/>
          <w:szCs w:val="20"/>
        </w:rPr>
      </w:pPr>
    </w:p>
    <w:p w14:paraId="49467389" w14:textId="77777777" w:rsidR="00990CBF" w:rsidRPr="00E428B8" w:rsidRDefault="00000000" w:rsidP="00990CBF">
      <w:pPr>
        <w:tabs>
          <w:tab w:val="left" w:pos="2140"/>
        </w:tabs>
        <w:jc w:val="both"/>
        <w:rPr>
          <w:rFonts w:cs="Arial"/>
          <w:szCs w:val="20"/>
        </w:rPr>
      </w:pPr>
      <w:r w:rsidRPr="00E428B8">
        <w:rPr>
          <w:rFonts w:cs="Arial"/>
          <w:szCs w:val="20"/>
        </w:rPr>
        <w:t xml:space="preserve">Sustenta la dimensión objetivo-analítica y formal de la profesión. La contabilidad y el aseguramiento, como disciplinas encargadas de dar confianza pública sobre la realidad económica, requieren </w:t>
      </w:r>
      <w:r w:rsidRPr="00E428B8">
        <w:rPr>
          <w:rFonts w:cs="Arial"/>
          <w:b/>
          <w:bCs/>
          <w:szCs w:val="20"/>
        </w:rPr>
        <w:t>evidencia empírica verificable, consistencia lógico-matemática y estandarización técnica</w:t>
      </w:r>
      <w:r w:rsidRPr="00E428B8">
        <w:rPr>
          <w:rFonts w:cs="Arial"/>
          <w:szCs w:val="20"/>
        </w:rPr>
        <w:t>:</w:t>
      </w:r>
    </w:p>
    <w:p w14:paraId="2ECB3340" w14:textId="77777777" w:rsidR="00990CBF" w:rsidRPr="00E428B8" w:rsidRDefault="00990CBF" w:rsidP="00990CBF">
      <w:pPr>
        <w:tabs>
          <w:tab w:val="left" w:pos="2140"/>
        </w:tabs>
        <w:jc w:val="both"/>
        <w:rPr>
          <w:rFonts w:cs="Arial"/>
          <w:szCs w:val="20"/>
        </w:rPr>
      </w:pPr>
    </w:p>
    <w:p w14:paraId="4479E7FB" w14:textId="77777777" w:rsidR="00990CBF" w:rsidRPr="00E428B8" w:rsidRDefault="00000000">
      <w:pPr>
        <w:numPr>
          <w:ilvl w:val="0"/>
          <w:numId w:val="18"/>
        </w:numPr>
        <w:ind w:left="360"/>
        <w:jc w:val="both"/>
        <w:rPr>
          <w:rFonts w:cs="Arial"/>
          <w:szCs w:val="20"/>
        </w:rPr>
      </w:pPr>
      <w:r w:rsidRPr="00E428B8">
        <w:rPr>
          <w:rFonts w:cs="Arial"/>
          <w:b/>
          <w:bCs/>
          <w:szCs w:val="20"/>
        </w:rPr>
        <w:t>Verificabilidad Empírica:</w:t>
      </w:r>
      <w:r w:rsidRPr="00E428B8">
        <w:rPr>
          <w:rFonts w:cs="Arial"/>
          <w:szCs w:val="20"/>
        </w:rPr>
        <w:t xml:space="preserve"> Exigencia de evidencia objetiva, competente y suficiente (papeles de trabajo digitales, contrastación documental y pruebas sustantivas) para respaldar la medición transaccional y la emisión de informes de auditoría.</w:t>
      </w:r>
    </w:p>
    <w:p w14:paraId="13C557D6" w14:textId="77777777" w:rsidR="00990CBF" w:rsidRPr="00E428B8" w:rsidRDefault="00990CBF" w:rsidP="00990CBF">
      <w:pPr>
        <w:jc w:val="both"/>
        <w:rPr>
          <w:rFonts w:cs="Arial"/>
          <w:szCs w:val="20"/>
        </w:rPr>
      </w:pPr>
    </w:p>
    <w:p w14:paraId="14C76371" w14:textId="77777777" w:rsidR="00990CBF" w:rsidRPr="00E428B8" w:rsidRDefault="00000000">
      <w:pPr>
        <w:numPr>
          <w:ilvl w:val="0"/>
          <w:numId w:val="18"/>
        </w:numPr>
        <w:ind w:left="360"/>
        <w:jc w:val="both"/>
        <w:rPr>
          <w:rFonts w:cs="Arial"/>
          <w:szCs w:val="20"/>
        </w:rPr>
      </w:pPr>
      <w:r w:rsidRPr="00E428B8">
        <w:rPr>
          <w:rFonts w:cs="Arial"/>
          <w:b/>
          <w:bCs/>
          <w:szCs w:val="20"/>
        </w:rPr>
        <w:t>Modelación Lógico-Matemática:</w:t>
      </w:r>
      <w:r w:rsidRPr="00E428B8">
        <w:rPr>
          <w:rFonts w:cs="Arial"/>
          <w:szCs w:val="20"/>
        </w:rPr>
        <w:t xml:space="preserve"> Formulación rigurosa de algoritmos de automatización (RPA), finanzas corporativas, cálculo actuarial, métodos cuantitativos y analítica predictiva de datos (Big Data Analytics).</w:t>
      </w:r>
    </w:p>
    <w:p w14:paraId="403EB074" w14:textId="77777777" w:rsidR="00990CBF" w:rsidRPr="00E428B8" w:rsidRDefault="00990CBF" w:rsidP="00990CBF">
      <w:pPr>
        <w:jc w:val="both"/>
        <w:rPr>
          <w:rFonts w:cs="Arial"/>
          <w:szCs w:val="20"/>
        </w:rPr>
      </w:pPr>
    </w:p>
    <w:p w14:paraId="40043A24" w14:textId="77777777" w:rsidR="00990CBF" w:rsidRPr="00E428B8" w:rsidRDefault="00000000">
      <w:pPr>
        <w:numPr>
          <w:ilvl w:val="0"/>
          <w:numId w:val="18"/>
        </w:numPr>
        <w:ind w:left="360"/>
        <w:jc w:val="both"/>
        <w:rPr>
          <w:rFonts w:cs="Arial"/>
          <w:szCs w:val="20"/>
        </w:rPr>
      </w:pPr>
      <w:r w:rsidRPr="00E428B8">
        <w:rPr>
          <w:rFonts w:cs="Arial"/>
          <w:b/>
          <w:bCs/>
          <w:szCs w:val="20"/>
        </w:rPr>
        <w:t>Normalización y Estandarización Global:</w:t>
      </w:r>
      <w:r w:rsidRPr="00E428B8">
        <w:rPr>
          <w:rFonts w:cs="Arial"/>
          <w:szCs w:val="20"/>
        </w:rPr>
        <w:t xml:space="preserve"> Aplicación sistemática de marcos normativos contables, de aseguramiento y fiscales (NCGA, Normas NIIF de Contabilidad, Sistema de Contabilidad Gubernamental Integrada, NICSP, NAGA, NIA, NIEA, NIAS y legislación tributaria boliviana), garantizando la comparabilidad e inteligibilidad de la información.</w:t>
      </w:r>
    </w:p>
    <w:p w14:paraId="7D375569" w14:textId="77777777" w:rsidR="00990CBF" w:rsidRPr="00E428B8" w:rsidRDefault="00990CBF" w:rsidP="00990CBF">
      <w:pPr>
        <w:tabs>
          <w:tab w:val="left" w:pos="2140"/>
        </w:tabs>
        <w:jc w:val="both"/>
        <w:rPr>
          <w:rFonts w:cs="Arial"/>
          <w:szCs w:val="20"/>
        </w:rPr>
      </w:pPr>
    </w:p>
    <w:p w14:paraId="4ED49148" w14:textId="77777777" w:rsidR="00990CBF" w:rsidRPr="00E428B8" w:rsidRDefault="00000000" w:rsidP="00990CBF">
      <w:pPr>
        <w:tabs>
          <w:tab w:val="left" w:pos="2140"/>
        </w:tabs>
        <w:jc w:val="both"/>
        <w:rPr>
          <w:rFonts w:cs="Arial"/>
          <w:b/>
          <w:bCs/>
          <w:szCs w:val="20"/>
        </w:rPr>
      </w:pPr>
      <w:r w:rsidRPr="00E428B8">
        <w:rPr>
          <w:rFonts w:cs="Arial"/>
          <w:b/>
          <w:bCs/>
          <w:szCs w:val="20"/>
        </w:rPr>
        <w:t>El Pensamiento Complejo (Holismo, Multidimensionalidad e Incertidumbre)</w:t>
      </w:r>
    </w:p>
    <w:p w14:paraId="4BD665FA" w14:textId="77777777" w:rsidR="00990CBF" w:rsidRPr="00E428B8" w:rsidRDefault="00990CBF" w:rsidP="00990CBF">
      <w:pPr>
        <w:tabs>
          <w:tab w:val="left" w:pos="2140"/>
        </w:tabs>
        <w:jc w:val="both"/>
        <w:rPr>
          <w:rFonts w:cs="Arial"/>
          <w:szCs w:val="20"/>
        </w:rPr>
      </w:pPr>
    </w:p>
    <w:p w14:paraId="7B12F418" w14:textId="77777777" w:rsidR="00990CBF" w:rsidRPr="00E428B8" w:rsidRDefault="00000000" w:rsidP="00990CBF">
      <w:pPr>
        <w:tabs>
          <w:tab w:val="left" w:pos="2140"/>
        </w:tabs>
        <w:jc w:val="both"/>
        <w:rPr>
          <w:rFonts w:cs="Arial"/>
          <w:szCs w:val="20"/>
        </w:rPr>
      </w:pPr>
      <w:r w:rsidRPr="00E428B8">
        <w:rPr>
          <w:rFonts w:cs="Arial"/>
          <w:szCs w:val="20"/>
        </w:rPr>
        <w:t>Para responder a un entorno organizacional dinámico e incierto dominado por la revolución digital (IA generativa, analítica predictiva, ciberseguridad) y la necesidad de reportes financieros de sostenibilidad (Normas NIIF de Sostenibilidad del ISSB), el Contador Público debe estar capacitado para interpretar problemas mediante el marco del pensamiento complejo (Edgar Morin).</w:t>
      </w:r>
    </w:p>
    <w:p w14:paraId="212B397A" w14:textId="77777777" w:rsidR="00990CBF" w:rsidRPr="00E428B8" w:rsidRDefault="00990CBF" w:rsidP="00990CBF">
      <w:pPr>
        <w:tabs>
          <w:tab w:val="left" w:pos="2140"/>
        </w:tabs>
        <w:jc w:val="both"/>
        <w:rPr>
          <w:rFonts w:cs="Arial"/>
          <w:szCs w:val="20"/>
        </w:rPr>
      </w:pPr>
    </w:p>
    <w:p w14:paraId="1248C16F" w14:textId="77777777" w:rsidR="00990CBF" w:rsidRPr="00E428B8" w:rsidRDefault="00000000" w:rsidP="00990CBF">
      <w:pPr>
        <w:tabs>
          <w:tab w:val="left" w:pos="2140"/>
        </w:tabs>
        <w:jc w:val="both"/>
        <w:rPr>
          <w:rFonts w:cs="Arial"/>
          <w:szCs w:val="20"/>
        </w:rPr>
      </w:pPr>
      <w:r w:rsidRPr="00E428B8">
        <w:rPr>
          <w:rFonts w:cs="Arial"/>
          <w:szCs w:val="20"/>
        </w:rPr>
        <w:t>Conforme a este enfoque epistemológico, el conocimiento contable moderno articula cuatro dimensiones interrelacionadas:</w:t>
      </w:r>
    </w:p>
    <w:p w14:paraId="0C317713" w14:textId="77777777" w:rsidR="00990CBF" w:rsidRPr="00E428B8" w:rsidRDefault="00990CBF" w:rsidP="00990CBF">
      <w:pPr>
        <w:tabs>
          <w:tab w:val="left" w:pos="2140"/>
        </w:tabs>
        <w:jc w:val="both"/>
        <w:rPr>
          <w:rFonts w:cs="Arial"/>
          <w:szCs w:val="20"/>
        </w:rPr>
      </w:pPr>
    </w:p>
    <w:p w14:paraId="60B1CCC5" w14:textId="77777777" w:rsidR="00990CBF" w:rsidRPr="00E428B8" w:rsidRDefault="00000000">
      <w:pPr>
        <w:numPr>
          <w:ilvl w:val="0"/>
          <w:numId w:val="18"/>
        </w:numPr>
        <w:ind w:left="360"/>
        <w:jc w:val="both"/>
        <w:rPr>
          <w:rFonts w:cs="Arial"/>
          <w:szCs w:val="20"/>
        </w:rPr>
      </w:pPr>
      <w:r w:rsidRPr="00E428B8">
        <w:rPr>
          <w:rFonts w:cs="Arial"/>
          <w:b/>
          <w:bCs/>
          <w:szCs w:val="20"/>
        </w:rPr>
        <w:lastRenderedPageBreak/>
        <w:t>El Contexto:</w:t>
      </w:r>
      <w:r w:rsidRPr="00E428B8">
        <w:rPr>
          <w:rFonts w:cs="Arial"/>
          <w:szCs w:val="20"/>
        </w:rPr>
        <w:t xml:space="preserve"> Los datos o la información económica y financiera aislada carece de significado real. Para guiar la toma de decisiones, la información debe ser ubicada e interpretada dentro de su contexto económico, normativo, social e institucional específico.</w:t>
      </w:r>
    </w:p>
    <w:p w14:paraId="20099C9A" w14:textId="77777777" w:rsidR="00990CBF" w:rsidRPr="00E428B8" w:rsidRDefault="00990CBF" w:rsidP="00990CBF">
      <w:pPr>
        <w:jc w:val="both"/>
        <w:rPr>
          <w:rFonts w:cs="Arial"/>
          <w:szCs w:val="20"/>
        </w:rPr>
      </w:pPr>
    </w:p>
    <w:p w14:paraId="2BC97D2A" w14:textId="77777777" w:rsidR="00990CBF" w:rsidRPr="00E428B8" w:rsidRDefault="00000000">
      <w:pPr>
        <w:numPr>
          <w:ilvl w:val="0"/>
          <w:numId w:val="18"/>
        </w:numPr>
        <w:ind w:left="360"/>
        <w:jc w:val="both"/>
        <w:rPr>
          <w:rFonts w:cs="Arial"/>
          <w:szCs w:val="20"/>
        </w:rPr>
      </w:pPr>
      <w:r w:rsidRPr="00E428B8">
        <w:rPr>
          <w:rFonts w:cs="Arial"/>
          <w:b/>
          <w:bCs/>
          <w:szCs w:val="20"/>
        </w:rPr>
        <w:t>Lo Global:</w:t>
      </w:r>
      <w:r w:rsidRPr="00E428B8">
        <w:rPr>
          <w:rFonts w:cs="Arial"/>
          <w:szCs w:val="20"/>
        </w:rPr>
        <w:t xml:space="preserve"> Lo global es el conjunto sistémico que contiene partes diversas ligadas de manera interactiva e inter-retroactiva. En la práctica contable, no es posible evaluar las áreas o transacciones individuales de una entidad sin comprender el todo organizacional, ni es posible comprender el todo sin analizar la interacción de sus componentes.</w:t>
      </w:r>
    </w:p>
    <w:p w14:paraId="6BD37717" w14:textId="77777777" w:rsidR="00990CBF" w:rsidRPr="00E428B8" w:rsidRDefault="00990CBF" w:rsidP="00990CBF">
      <w:pPr>
        <w:jc w:val="both"/>
        <w:rPr>
          <w:rFonts w:cs="Arial"/>
          <w:szCs w:val="20"/>
        </w:rPr>
      </w:pPr>
    </w:p>
    <w:p w14:paraId="2A8CAE75" w14:textId="77777777" w:rsidR="00990CBF" w:rsidRPr="00E428B8" w:rsidRDefault="00000000">
      <w:pPr>
        <w:numPr>
          <w:ilvl w:val="0"/>
          <w:numId w:val="18"/>
        </w:numPr>
        <w:ind w:left="360"/>
        <w:jc w:val="both"/>
        <w:rPr>
          <w:rFonts w:cs="Arial"/>
          <w:szCs w:val="20"/>
        </w:rPr>
      </w:pPr>
      <w:r w:rsidRPr="00E428B8">
        <w:rPr>
          <w:rFonts w:cs="Arial"/>
          <w:b/>
          <w:bCs/>
          <w:szCs w:val="20"/>
        </w:rPr>
        <w:t>Lo Multidimensional:</w:t>
      </w:r>
      <w:r w:rsidRPr="00E428B8">
        <w:rPr>
          <w:rFonts w:cs="Arial"/>
          <w:szCs w:val="20"/>
        </w:rPr>
        <w:t xml:space="preserve"> Las organizaciones y los seres humanos son unidades complejas multidimensionales. El Contador Público debe reconocer que la información contable no es únicamente cuantitativa-financiera, sino que integra dimensiones éticas, ambientales, tecnológicas, jurídicas y sociológicas.</w:t>
      </w:r>
    </w:p>
    <w:p w14:paraId="720D9724" w14:textId="77777777" w:rsidR="00990CBF" w:rsidRPr="00E428B8" w:rsidRDefault="00990CBF" w:rsidP="00990CBF">
      <w:pPr>
        <w:jc w:val="both"/>
        <w:rPr>
          <w:rFonts w:cs="Arial"/>
          <w:szCs w:val="20"/>
        </w:rPr>
      </w:pPr>
    </w:p>
    <w:p w14:paraId="0E6C3BB7" w14:textId="77777777" w:rsidR="00990CBF" w:rsidRPr="00E428B8" w:rsidRDefault="00000000">
      <w:pPr>
        <w:numPr>
          <w:ilvl w:val="0"/>
          <w:numId w:val="18"/>
        </w:numPr>
        <w:ind w:left="360"/>
        <w:jc w:val="both"/>
        <w:rPr>
          <w:rFonts w:cs="Arial"/>
          <w:szCs w:val="20"/>
        </w:rPr>
      </w:pPr>
      <w:r w:rsidRPr="00E428B8">
        <w:rPr>
          <w:rFonts w:cs="Arial"/>
          <w:b/>
          <w:bCs/>
          <w:szCs w:val="20"/>
        </w:rPr>
        <w:t>Lo Complejo:</w:t>
      </w:r>
      <w:r w:rsidRPr="00E428B8">
        <w:rPr>
          <w:rFonts w:cs="Arial"/>
          <w:szCs w:val="20"/>
        </w:rPr>
        <w:t xml:space="preserve"> Existe complejidad cuando los constituyentes de un todo son inseparables y existe un tejido interdependiente e inter-retroactivo entre el objeto de conocimiento y su entorno. Frente a la incertidumbre y constante evolución del mundo de los negocios, el Contador Público aplica su juicio crítico para unir la unidad con la multiplicidad en escenarios ambiguos y cambiantes.</w:t>
      </w:r>
    </w:p>
    <w:p w14:paraId="693B83DD" w14:textId="77777777" w:rsidR="00990CBF" w:rsidRPr="00E428B8" w:rsidRDefault="00990CBF" w:rsidP="00990CBF">
      <w:pPr>
        <w:tabs>
          <w:tab w:val="left" w:pos="2140"/>
        </w:tabs>
        <w:jc w:val="both"/>
        <w:rPr>
          <w:rFonts w:cs="Arial"/>
          <w:szCs w:val="20"/>
        </w:rPr>
      </w:pPr>
    </w:p>
    <w:p w14:paraId="2B3EB1D1" w14:textId="77777777" w:rsidR="00990CBF" w:rsidRPr="00E428B8" w:rsidRDefault="00000000" w:rsidP="00990CBF">
      <w:pPr>
        <w:tabs>
          <w:tab w:val="left" w:pos="2140"/>
        </w:tabs>
        <w:jc w:val="both"/>
        <w:rPr>
          <w:rFonts w:cs="Arial"/>
          <w:b/>
          <w:bCs/>
          <w:szCs w:val="20"/>
        </w:rPr>
      </w:pPr>
      <w:r w:rsidRPr="00E428B8">
        <w:rPr>
          <w:rFonts w:cs="Arial"/>
          <w:b/>
          <w:bCs/>
          <w:szCs w:val="20"/>
        </w:rPr>
        <w:t>El Enfoque Sociocrítico (Transparencia, Emancipación e Interés Público)</w:t>
      </w:r>
    </w:p>
    <w:p w14:paraId="1F38746C" w14:textId="77777777" w:rsidR="00990CBF" w:rsidRPr="00E428B8" w:rsidRDefault="00990CBF" w:rsidP="00990CBF">
      <w:pPr>
        <w:tabs>
          <w:tab w:val="left" w:pos="2140"/>
        </w:tabs>
        <w:jc w:val="both"/>
        <w:rPr>
          <w:rFonts w:cs="Arial"/>
          <w:szCs w:val="20"/>
        </w:rPr>
      </w:pPr>
    </w:p>
    <w:p w14:paraId="53D71060" w14:textId="77777777" w:rsidR="00990CBF" w:rsidRPr="00E428B8" w:rsidRDefault="00000000" w:rsidP="00990CBF">
      <w:pPr>
        <w:tabs>
          <w:tab w:val="left" w:pos="2140"/>
        </w:tabs>
        <w:jc w:val="both"/>
        <w:rPr>
          <w:rFonts w:cs="Arial"/>
          <w:szCs w:val="20"/>
        </w:rPr>
      </w:pPr>
      <w:r w:rsidRPr="00E428B8">
        <w:rPr>
          <w:rFonts w:cs="Arial"/>
          <w:szCs w:val="20"/>
        </w:rPr>
        <w:t>Conforma la dimensión ético-política del conocimiento contable. Concibe a la contabilidad no como un mero instrumento neutro de control corporativo, sino como un saber socialmente comprometido con la responsabilidad pública, la justicia distributiva y la lucha contra la opacidad (Habermas / Freire):</w:t>
      </w:r>
    </w:p>
    <w:p w14:paraId="7C9C151A" w14:textId="77777777" w:rsidR="00990CBF" w:rsidRPr="00E428B8" w:rsidRDefault="00990CBF" w:rsidP="00990CBF">
      <w:pPr>
        <w:tabs>
          <w:tab w:val="left" w:pos="2140"/>
        </w:tabs>
        <w:jc w:val="both"/>
        <w:rPr>
          <w:rFonts w:cs="Arial"/>
          <w:szCs w:val="20"/>
        </w:rPr>
      </w:pPr>
    </w:p>
    <w:p w14:paraId="0AE28BAC" w14:textId="77777777" w:rsidR="00990CBF" w:rsidRPr="00E428B8" w:rsidRDefault="00000000">
      <w:pPr>
        <w:numPr>
          <w:ilvl w:val="0"/>
          <w:numId w:val="18"/>
        </w:numPr>
        <w:ind w:left="360"/>
        <w:jc w:val="both"/>
        <w:rPr>
          <w:rFonts w:cs="Arial"/>
          <w:szCs w:val="20"/>
        </w:rPr>
      </w:pPr>
      <w:r w:rsidRPr="00E428B8">
        <w:rPr>
          <w:rFonts w:cs="Arial"/>
          <w:b/>
          <w:bCs/>
          <w:szCs w:val="20"/>
        </w:rPr>
        <w:t>Análisis Crítico de la Información:</w:t>
      </w:r>
      <w:r w:rsidRPr="00E428B8">
        <w:rPr>
          <w:rFonts w:cs="Arial"/>
          <w:szCs w:val="20"/>
        </w:rPr>
        <w:t xml:space="preserve"> Capacidad de develar sesgos, distorsiones del mercado o riesgos ocultos en los estados financieros, cuestionando las estructuras de poder económico que afecten el interés social.</w:t>
      </w:r>
    </w:p>
    <w:p w14:paraId="3014F776" w14:textId="77777777" w:rsidR="00990CBF" w:rsidRPr="00E428B8" w:rsidRDefault="00990CBF" w:rsidP="00990CBF">
      <w:pPr>
        <w:jc w:val="both"/>
        <w:rPr>
          <w:rFonts w:cs="Arial"/>
          <w:szCs w:val="20"/>
        </w:rPr>
      </w:pPr>
    </w:p>
    <w:p w14:paraId="2F6649A0" w14:textId="77777777" w:rsidR="00990CBF" w:rsidRPr="00E428B8" w:rsidRDefault="00000000">
      <w:pPr>
        <w:numPr>
          <w:ilvl w:val="0"/>
          <w:numId w:val="18"/>
        </w:numPr>
        <w:ind w:left="360"/>
        <w:jc w:val="both"/>
        <w:rPr>
          <w:rFonts w:cs="Arial"/>
          <w:szCs w:val="20"/>
        </w:rPr>
      </w:pPr>
      <w:r w:rsidRPr="00E428B8">
        <w:rPr>
          <w:rFonts w:cs="Arial"/>
          <w:b/>
          <w:bCs/>
          <w:szCs w:val="20"/>
        </w:rPr>
        <w:t>Lucha contra la Corrupción y el Fraude:</w:t>
      </w:r>
      <w:r w:rsidRPr="00E428B8">
        <w:rPr>
          <w:rFonts w:cs="Arial"/>
          <w:szCs w:val="20"/>
        </w:rPr>
        <w:t xml:space="preserve"> Orientación del peritaje forense, la auditoría gubernamental, el control interno y la gestión de riesgos hacia la prevención de la malversación de fondos, el lavado de activos y los delitos económicos.</w:t>
      </w:r>
    </w:p>
    <w:p w14:paraId="02235E37" w14:textId="77777777" w:rsidR="00990CBF" w:rsidRPr="00E428B8" w:rsidRDefault="00990CBF" w:rsidP="00990CBF">
      <w:pPr>
        <w:jc w:val="both"/>
        <w:rPr>
          <w:rFonts w:cs="Arial"/>
          <w:szCs w:val="20"/>
        </w:rPr>
      </w:pPr>
    </w:p>
    <w:p w14:paraId="21E2045A" w14:textId="77777777" w:rsidR="00990CBF" w:rsidRPr="00E428B8" w:rsidRDefault="00000000">
      <w:pPr>
        <w:numPr>
          <w:ilvl w:val="0"/>
          <w:numId w:val="18"/>
        </w:numPr>
        <w:ind w:left="360"/>
        <w:jc w:val="both"/>
        <w:rPr>
          <w:rFonts w:cs="Arial"/>
          <w:szCs w:val="20"/>
        </w:rPr>
      </w:pPr>
      <w:r w:rsidRPr="00E428B8">
        <w:rPr>
          <w:rFonts w:cs="Arial"/>
          <w:b/>
          <w:bCs/>
          <w:szCs w:val="20"/>
        </w:rPr>
        <w:t>Sostenibilidad y Responsabilidad Pública:</w:t>
      </w:r>
      <w:r w:rsidRPr="00E428B8">
        <w:rPr>
          <w:rFonts w:cs="Arial"/>
          <w:szCs w:val="20"/>
        </w:rPr>
        <w:t xml:space="preserve"> Evaluación del impacto socioambiental de las empresas mediante el aseguramiento no financiero (NIAS 5000 / NIEA 3000), velando por el bienestar colectivo y la transparencia institucional.</w:t>
      </w:r>
    </w:p>
    <w:p w14:paraId="76CDB627" w14:textId="77777777" w:rsidR="00990CBF" w:rsidRPr="008F1789" w:rsidRDefault="00990CBF" w:rsidP="00990CBF">
      <w:pPr>
        <w:tabs>
          <w:tab w:val="left" w:pos="2140"/>
        </w:tabs>
        <w:jc w:val="both"/>
        <w:rPr>
          <w:rFonts w:cs="Arial"/>
          <w:szCs w:val="20"/>
        </w:rPr>
      </w:pPr>
    </w:p>
    <w:p w14:paraId="4CD1F59F" w14:textId="77777777" w:rsidR="00633CBB" w:rsidRDefault="00000000">
      <w:pPr>
        <w:keepNext/>
        <w:tabs>
          <w:tab w:val="left" w:pos="709"/>
        </w:tabs>
        <w:spacing w:before="80" w:after="200"/>
        <w:ind w:left="709" w:hanging="709"/>
        <w:outlineLvl w:val="2"/>
      </w:pPr>
      <w:bookmarkStart w:id="105" w:name="_Toc000000062"/>
      <w:r>
        <w:rPr>
          <w:b/>
          <w:sz w:val="22"/>
        </w:rPr>
        <w:t>4.1.2</w:t>
      </w:r>
      <w:r>
        <w:rPr>
          <w:b/>
          <w:sz w:val="22"/>
        </w:rPr>
        <w:tab/>
        <w:t>Fundamentos sociológicos antropológicos</w:t>
      </w:r>
      <w:bookmarkEnd w:id="105"/>
    </w:p>
    <w:p w14:paraId="2DC8AD8E" w14:textId="77777777" w:rsidR="00633CBB" w:rsidRDefault="00000000">
      <w:pPr>
        <w:keepNext/>
        <w:spacing w:before="40" w:after="200"/>
      </w:pPr>
      <w:r>
        <w:rPr>
          <w:b/>
          <w:sz w:val="22"/>
        </w:rPr>
        <w:t>Pertinencia social y necesidades de formación</w:t>
      </w:r>
    </w:p>
    <w:p w14:paraId="06B6DD6E" w14:textId="77777777" w:rsidR="00633CBB" w:rsidRDefault="00000000">
      <w:pPr>
        <w:spacing w:after="200"/>
        <w:jc w:val="both"/>
      </w:pPr>
      <w:r>
        <w:t>La actualización de los contenidos teóricos, técnicos y actitudinales se sustenta en la identificación de las necesidades reales de formación, a partir de la filosofía institucional redefinida y de la evidencia recogida en los estudios de diagnóstico:</w:t>
      </w:r>
    </w:p>
    <w:p w14:paraId="30598B52" w14:textId="77777777" w:rsidR="001B28FB" w:rsidRPr="001B28FB" w:rsidRDefault="00000000">
      <w:pPr>
        <w:numPr>
          <w:ilvl w:val="0"/>
          <w:numId w:val="18"/>
        </w:numPr>
        <w:ind w:left="360"/>
        <w:jc w:val="both"/>
        <w:rPr>
          <w:b/>
          <w:bCs/>
        </w:rPr>
      </w:pPr>
      <w:r w:rsidRPr="001B28FB">
        <w:rPr>
          <w:b/>
          <w:bCs/>
        </w:rPr>
        <w:t>Educación pública y responsabilidad social</w:t>
      </w:r>
      <w:r>
        <w:rPr>
          <w:b/>
          <w:bCs/>
        </w:rPr>
        <w:t xml:space="preserve">. </w:t>
      </w:r>
      <w:r>
        <w:t>El Modelo Educativo del SUB vincula la universidad con la justicia, la equidad, la inclusión, la democracia y la responsabilidad social. También reconoce la realidad plurinacional, intercultural y plurilingüe del país (CEUB, 2023, pp. 50–53).</w:t>
      </w:r>
      <w:r>
        <w:rPr>
          <w:b/>
          <w:bCs/>
        </w:rPr>
        <w:t xml:space="preserve"> </w:t>
      </w:r>
      <w:r>
        <w:t xml:space="preserve">Para la Carrera Contaduría Pública, estos principios fundamentan la formación de profesionales que contribuyan al uso responsable de recursos, la comprensión </w:t>
      </w:r>
      <w:r>
        <w:lastRenderedPageBreak/>
        <w:t>de la información organizacional y la rendición de cuentas. El currículo debe examinar la relación entre prácticas profesionales y problemas sociales, incluyendo desigualdad, acceso a información y responsabilidad institucional.</w:t>
      </w:r>
    </w:p>
    <w:p w14:paraId="764291C4" w14:textId="77777777" w:rsidR="001B28FB" w:rsidRDefault="001B28FB" w:rsidP="001B28FB">
      <w:pPr>
        <w:jc w:val="both"/>
        <w:rPr>
          <w:b/>
          <w:bCs/>
        </w:rPr>
      </w:pPr>
    </w:p>
    <w:p w14:paraId="72DF0941" w14:textId="77777777" w:rsidR="00E45C0B" w:rsidRDefault="00000000">
      <w:pPr>
        <w:numPr>
          <w:ilvl w:val="0"/>
          <w:numId w:val="18"/>
        </w:numPr>
        <w:ind w:left="360"/>
        <w:jc w:val="both"/>
      </w:pPr>
      <w:r w:rsidRPr="00E45C0B">
        <w:rPr>
          <w:b/>
          <w:bCs/>
        </w:rPr>
        <w:t xml:space="preserve">Pertinencia nacional y regional. </w:t>
      </w:r>
      <w:r>
        <w:t>El estudio de contexto de la Carrera considera organizaciones públicas, privadas, cooperativas, comunitarias y sin fines de lucro, así como unidades económicas de distintas escalas, a nivel nacional.</w:t>
      </w:r>
    </w:p>
    <w:p w14:paraId="717308F5" w14:textId="77777777" w:rsidR="00E428B8" w:rsidRDefault="00E428B8" w:rsidP="00E428B8">
      <w:pPr>
        <w:jc w:val="both"/>
      </w:pPr>
    </w:p>
    <w:p w14:paraId="652B9311" w14:textId="77777777" w:rsidR="001B28FB" w:rsidRDefault="00000000">
      <w:pPr>
        <w:numPr>
          <w:ilvl w:val="0"/>
          <w:numId w:val="18"/>
        </w:numPr>
        <w:spacing w:after="200"/>
        <w:ind w:left="360"/>
        <w:jc w:val="both"/>
      </w:pPr>
      <w:r w:rsidRPr="00E45C0B">
        <w:rPr>
          <w:b/>
          <w:bCs/>
        </w:rPr>
        <w:t>Interculturalidad y diálogo con las organizaciones</w:t>
      </w:r>
      <w:r w:rsidR="00E45C0B" w:rsidRPr="00E45C0B">
        <w:rPr>
          <w:b/>
          <w:bCs/>
        </w:rPr>
        <w:t xml:space="preserve">. </w:t>
      </w:r>
      <w:r>
        <w:t xml:space="preserve">La pertinencia curricular exige comprender diferentes formas de organización, administración de recursos y rendición de cuentas. </w:t>
      </w:r>
      <w:r w:rsidR="00E45C0B">
        <w:t>Es necesario</w:t>
      </w:r>
      <w:r>
        <w:t xml:space="preserve"> desarrollar capacidades para escuchar a los actores, reconocer sus prácticas y comunicar información de manera comprensible.</w:t>
      </w:r>
      <w:r w:rsidR="00E45C0B">
        <w:t xml:space="preserve"> </w:t>
      </w:r>
      <w:r>
        <w:t xml:space="preserve">La interculturalidad </w:t>
      </w:r>
      <w:r w:rsidR="00E45C0B">
        <w:t>se expresa</w:t>
      </w:r>
      <w:r>
        <w:t xml:space="preserve"> en casos y proyectos que permitan analizar organizaciones diversas sin asumir que todas responden a una misma estructura empresarial. El diálogo con sus integrantes puede enriquecer la delimitación de problemas y la adecuación de las soluciones, conforme a la complementariedad de saberes planteada por el CEUB (2023, pp. 49–52).</w:t>
      </w:r>
    </w:p>
    <w:p w14:paraId="53B5DAF3" w14:textId="77777777" w:rsidR="001B28FB" w:rsidRPr="00E428B8" w:rsidRDefault="00000000">
      <w:pPr>
        <w:numPr>
          <w:ilvl w:val="0"/>
          <w:numId w:val="18"/>
        </w:numPr>
        <w:ind w:left="360"/>
        <w:jc w:val="both"/>
        <w:rPr>
          <w:b/>
          <w:bCs/>
        </w:rPr>
      </w:pPr>
      <w:r w:rsidRPr="00E45C0B">
        <w:rPr>
          <w:b/>
          <w:bCs/>
        </w:rPr>
        <w:t>Transformación tecnológica y sostenibilidad</w:t>
      </w:r>
      <w:r w:rsidR="00E45C0B">
        <w:rPr>
          <w:b/>
          <w:bCs/>
        </w:rPr>
        <w:t xml:space="preserve">. </w:t>
      </w:r>
      <w:r>
        <w:t xml:space="preserve">Se </w:t>
      </w:r>
      <w:r w:rsidR="00E45C0B">
        <w:t>incluyen</w:t>
      </w:r>
      <w:r>
        <w:t xml:space="preserve"> como ámbitos de actualización curricular los sistemas de información, la analítica de datos, la automatización, la seguridad de la información, la inteligencia artificial y el uso crítico de herramientas digitales. Su incorporación </w:t>
      </w:r>
      <w:r w:rsidR="00E45C0B">
        <w:t>responde</w:t>
      </w:r>
      <w:r>
        <w:t xml:space="preserve"> a necesidades profesionales verificadas y esta acompañada de capacidades para revisar resultados, identificar errores y proteger la información. </w:t>
      </w:r>
      <w:r w:rsidR="00E45C0B">
        <w:t>El estudio de Ipsos CIESMORI de 2025 registra una brecha de 43 puntos porcentuales entre la necesidad laboral y la aplicación en la formación de las habilidades tecnológicas básicas, y de 51 puntos en las emergentes. El Foro Económico Mundial ubica a la inteligencia artificial y al análisis de grandes volúmenes de datos como las competencias de mayor crecimiento.</w:t>
      </w:r>
    </w:p>
    <w:p w14:paraId="029D8C13" w14:textId="77777777" w:rsidR="00E428B8" w:rsidRPr="00E45C0B" w:rsidRDefault="00E428B8" w:rsidP="00E428B8">
      <w:pPr>
        <w:ind w:left="360"/>
        <w:jc w:val="both"/>
        <w:rPr>
          <w:b/>
          <w:bCs/>
        </w:rPr>
      </w:pPr>
    </w:p>
    <w:p w14:paraId="711368AD" w14:textId="77777777" w:rsidR="00633CBB" w:rsidRDefault="00000000">
      <w:pPr>
        <w:numPr>
          <w:ilvl w:val="0"/>
          <w:numId w:val="19"/>
        </w:numPr>
        <w:spacing w:after="160"/>
        <w:jc w:val="both"/>
      </w:pPr>
      <w:r>
        <w:rPr>
          <w:b/>
        </w:rPr>
        <w:t>Diversificación del mercado.</w:t>
      </w:r>
      <w:r>
        <w:t xml:space="preserve"> El 46% de los egresados percibe saturación en el perfil tradicional limitado a la auditoría financiera, mientras que las firmas líderes generan más del 80 % de sus ingresos en consultoría de gestión, gestión integral de riesgos, asesoría tributaria y aseguramiento.</w:t>
      </w:r>
    </w:p>
    <w:p w14:paraId="10A3A266" w14:textId="77777777" w:rsidR="00633CBB" w:rsidRDefault="00000000">
      <w:pPr>
        <w:numPr>
          <w:ilvl w:val="0"/>
          <w:numId w:val="19"/>
        </w:numPr>
        <w:spacing w:after="160"/>
        <w:jc w:val="both"/>
      </w:pPr>
      <w:r>
        <w:rPr>
          <w:b/>
        </w:rPr>
        <w:t>Cultura ética.</w:t>
      </w:r>
      <w:r>
        <w:t xml:space="preserve"> El diagnóstico FODA del Instituto de Investigaciones de 2025 revela que el 83 % de los estudiantes percibe un descuido en la vivencia de los valores éticos en la comunidad académica, y el 82 % considera prioritaria la enseñanza de la Ética Contable Aplicada.</w:t>
      </w:r>
    </w:p>
    <w:p w14:paraId="7099DCAC" w14:textId="77777777" w:rsidR="00633CBB" w:rsidRDefault="00000000">
      <w:pPr>
        <w:numPr>
          <w:ilvl w:val="0"/>
          <w:numId w:val="19"/>
        </w:numPr>
        <w:spacing w:after="200"/>
        <w:jc w:val="both"/>
      </w:pPr>
      <w:r>
        <w:rPr>
          <w:b/>
        </w:rPr>
        <w:t>Práctica aplicada e internacionalización.</w:t>
      </w:r>
      <w:r>
        <w:t xml:space="preserve"> La encuesta del BID de 2022 señala la falta de experiencia práctica como la segunda barrera de contratación, con el 25 %, y el 88 % de los estudiantes respalda las pasantías preprofesionales obligatorias; el 89 % identifica la demanda de idiomas y tecnología como una amenaza para su inserción laboral.</w:t>
      </w:r>
    </w:p>
    <w:p w14:paraId="59B3A679" w14:textId="77777777" w:rsidR="00633CBB" w:rsidRDefault="00000000">
      <w:pPr>
        <w:keepNext/>
        <w:tabs>
          <w:tab w:val="left" w:pos="709"/>
        </w:tabs>
        <w:spacing w:before="80" w:after="200"/>
        <w:ind w:left="709" w:hanging="709"/>
        <w:outlineLvl w:val="2"/>
        <w:rPr>
          <w:b/>
          <w:sz w:val="22"/>
        </w:rPr>
      </w:pPr>
      <w:bookmarkStart w:id="106" w:name="_Toc000000063"/>
      <w:r>
        <w:rPr>
          <w:b/>
          <w:sz w:val="22"/>
        </w:rPr>
        <w:t>4.1.3</w:t>
      </w:r>
      <w:r>
        <w:rPr>
          <w:b/>
          <w:sz w:val="22"/>
        </w:rPr>
        <w:tab/>
        <w:t>Fundamentos psicológicos</w:t>
      </w:r>
      <w:bookmarkEnd w:id="106"/>
    </w:p>
    <w:p w14:paraId="5C0650B0" w14:textId="77777777" w:rsidR="007C76C1" w:rsidRDefault="007C76C1" w:rsidP="007C76C1">
      <w:pPr>
        <w:tabs>
          <w:tab w:val="left" w:pos="2140"/>
        </w:tabs>
        <w:jc w:val="both"/>
        <w:rPr>
          <w:rFonts w:cs="Arial"/>
          <w:b/>
          <w:bCs/>
          <w:szCs w:val="20"/>
        </w:rPr>
      </w:pPr>
    </w:p>
    <w:p w14:paraId="79525CE1" w14:textId="77777777" w:rsidR="007C76C1" w:rsidRDefault="00000000" w:rsidP="007C76C1">
      <w:pPr>
        <w:spacing w:after="200"/>
        <w:jc w:val="both"/>
      </w:pPr>
      <w:r>
        <w:t>El plan se sustenta en el enfoque constructivista del aprendizaje, según el cual las personas construyen su conocimiento mediante la interacción con su entorno y la reflexión sobre sus experiencias. Desde la psicología educativa se ha cuestionado el modelo basado en la clase magistral, la memorización y la repetición; el mejor camino es la construcción activa del conocimiento por parte del estudiante, con el docente como mediador.</w:t>
      </w:r>
    </w:p>
    <w:p w14:paraId="67C227FC" w14:textId="77777777" w:rsidR="007C76C1" w:rsidRDefault="00000000" w:rsidP="007C76C1">
      <w:pPr>
        <w:spacing w:after="200"/>
        <w:jc w:val="both"/>
      </w:pPr>
      <w:r>
        <w:t xml:space="preserve">En un contexto en el que el acceso a la información es inmediato y la inteligencia artificial ofrece respuestas sintetizadas, el reto ya no es acceder al conocimiento, sino comprender la lógica de causas y efectos de lo que se aplica y desarrollar un pensamiento crítico propio. Por </w:t>
      </w:r>
      <w:r>
        <w:lastRenderedPageBreak/>
        <w:t>ello la Carrera adopta la pedagogía dialogante constructivista, cuyo propósito es ayudar a comprender los contenidos, la lógica de las aplicaciones tecnológicas y la adquisición de competencias para la vida profesional.</w:t>
      </w:r>
    </w:p>
    <w:p w14:paraId="1E84DF51" w14:textId="77777777" w:rsidR="007C76C1" w:rsidRDefault="00000000" w:rsidP="007C76C1">
      <w:pPr>
        <w:spacing w:after="200"/>
        <w:jc w:val="both"/>
      </w:pPr>
      <w:r>
        <w:t>Este fundamento se traduce en los siguientes rasgos del aprendizaje:</w:t>
      </w:r>
    </w:p>
    <w:p w14:paraId="6A77E810" w14:textId="77777777" w:rsidR="007C76C1" w:rsidRDefault="00000000">
      <w:pPr>
        <w:numPr>
          <w:ilvl w:val="0"/>
          <w:numId w:val="20"/>
        </w:numPr>
        <w:spacing w:after="160"/>
        <w:jc w:val="both"/>
      </w:pPr>
      <w:r>
        <w:rPr>
          <w:b/>
        </w:rPr>
        <w:t>Aprendizaje significativo y situado.</w:t>
      </w:r>
      <w:r>
        <w:t xml:space="preserve"> Los contenidos se relacionan con el entorno, la experiencia y los intereses del estudiante, a partir de casos y problemas reales de las organizaciones.</w:t>
      </w:r>
    </w:p>
    <w:p w14:paraId="150E8C26" w14:textId="77777777" w:rsidR="007C76C1" w:rsidRDefault="00000000">
      <w:pPr>
        <w:numPr>
          <w:ilvl w:val="0"/>
          <w:numId w:val="20"/>
        </w:numPr>
        <w:spacing w:after="160"/>
        <w:jc w:val="both"/>
      </w:pPr>
      <w:r>
        <w:rPr>
          <w:b/>
        </w:rPr>
        <w:t>Diálogo y construcción conjunta.</w:t>
      </w:r>
      <w:r>
        <w:t xml:space="preserve"> El docente plantea preguntas abiertas y casos para el análisis, y el estudiante construye su propio juicio profesional mediante la discusión, la resolución de problemas y la reflexión.</w:t>
      </w:r>
    </w:p>
    <w:p w14:paraId="6A235B94" w14:textId="77777777" w:rsidR="007C76C1" w:rsidRDefault="00000000">
      <w:pPr>
        <w:numPr>
          <w:ilvl w:val="0"/>
          <w:numId w:val="20"/>
        </w:numPr>
        <w:spacing w:after="160"/>
        <w:jc w:val="both"/>
      </w:pPr>
      <w:r>
        <w:rPr>
          <w:b/>
        </w:rPr>
        <w:t>Autonomía y autorregulación.</w:t>
      </w:r>
      <w:r>
        <w:t xml:space="preserve"> El estudiante aprende a plantear preguntas, investigar, planificar su estudio, buscar recursos y evaluar su propio avance, lo que fortalece la metacognición.</w:t>
      </w:r>
    </w:p>
    <w:p w14:paraId="697D2B6F" w14:textId="77777777" w:rsidR="007C76C1" w:rsidRDefault="00000000">
      <w:pPr>
        <w:numPr>
          <w:ilvl w:val="0"/>
          <w:numId w:val="20"/>
        </w:numPr>
        <w:spacing w:after="160"/>
        <w:jc w:val="both"/>
      </w:pPr>
      <w:r>
        <w:rPr>
          <w:b/>
        </w:rPr>
        <w:t>Aprendizaje cooperativo.</w:t>
      </w:r>
      <w:r>
        <w:t xml:space="preserve"> El trabajo en equipo desarrolla la comunicación, la toma de decisiones conjunta y las habilidades interpersonales que el mercado demanda.</w:t>
      </w:r>
    </w:p>
    <w:p w14:paraId="01F82608" w14:textId="77777777" w:rsidR="007C76C1" w:rsidRPr="007C76C1" w:rsidRDefault="00000000">
      <w:pPr>
        <w:numPr>
          <w:ilvl w:val="0"/>
          <w:numId w:val="20"/>
        </w:numPr>
        <w:spacing w:after="200"/>
        <w:jc w:val="both"/>
      </w:pPr>
      <w:r>
        <w:rPr>
          <w:b/>
        </w:rPr>
        <w:t>Atención a la diversidad.</w:t>
      </w:r>
      <w:r>
        <w:t xml:space="preserve"> Se reconocen los distintos estilos y ritmos de aprendizaje y la diversidad cultural y social de los estudiantes, incluida su condición de estudiantes trabajadores.</w:t>
      </w:r>
    </w:p>
    <w:p w14:paraId="27D7B92E" w14:textId="77777777" w:rsidR="007C76C1" w:rsidRPr="007C76C1" w:rsidRDefault="00000000" w:rsidP="007C76C1">
      <w:pPr>
        <w:tabs>
          <w:tab w:val="left" w:pos="2140"/>
        </w:tabs>
        <w:jc w:val="both"/>
        <w:rPr>
          <w:rFonts w:cs="Arial"/>
          <w:b/>
          <w:bCs/>
          <w:szCs w:val="20"/>
        </w:rPr>
      </w:pPr>
      <w:r w:rsidRPr="007C76C1">
        <w:rPr>
          <w:rFonts w:cs="Arial"/>
          <w:b/>
          <w:bCs/>
          <w:szCs w:val="20"/>
        </w:rPr>
        <w:t>Implicaciones para el Modelo Pedagógico / Roles Educativos Renovados:</w:t>
      </w:r>
    </w:p>
    <w:p w14:paraId="19E7DD00" w14:textId="77777777" w:rsidR="007C76C1" w:rsidRPr="002B719E" w:rsidRDefault="007C76C1" w:rsidP="007C76C1">
      <w:pPr>
        <w:tabs>
          <w:tab w:val="left" w:pos="2140"/>
        </w:tabs>
        <w:jc w:val="both"/>
        <w:rPr>
          <w:rFonts w:cs="Arial"/>
          <w:szCs w:val="20"/>
        </w:rPr>
      </w:pPr>
    </w:p>
    <w:p w14:paraId="6F1617D2" w14:textId="77777777" w:rsidR="007C76C1" w:rsidRPr="002B719E" w:rsidRDefault="00000000">
      <w:pPr>
        <w:numPr>
          <w:ilvl w:val="0"/>
          <w:numId w:val="18"/>
        </w:numPr>
        <w:ind w:left="360"/>
        <w:jc w:val="both"/>
        <w:rPr>
          <w:rFonts w:cs="Arial"/>
          <w:szCs w:val="20"/>
        </w:rPr>
      </w:pPr>
      <w:r w:rsidRPr="002B719E">
        <w:rPr>
          <w:rFonts w:cs="Arial"/>
          <w:b/>
          <w:bCs/>
          <w:szCs w:val="20"/>
        </w:rPr>
        <w:t>Rol del Estudiante:</w:t>
      </w:r>
      <w:r w:rsidRPr="002B719E">
        <w:rPr>
          <w:rFonts w:cs="Arial"/>
          <w:szCs w:val="20"/>
        </w:rPr>
        <w:t xml:space="preserve"> Asume un papel activo como constructor de su propio conocimiento, reflexivo, crítico, ético y comprometido con la resolución de problemas reales del sector productivo e institucional. Desarrolla autonomía, autorregulación, capacidad crítica y responsabilidad ética durante su permanencia universitaria.</w:t>
      </w:r>
    </w:p>
    <w:p w14:paraId="3D9CD6CA" w14:textId="77777777" w:rsidR="007C76C1" w:rsidRDefault="007C76C1" w:rsidP="007C76C1">
      <w:pPr>
        <w:jc w:val="both"/>
        <w:rPr>
          <w:rFonts w:cs="Arial"/>
          <w:szCs w:val="20"/>
        </w:rPr>
      </w:pPr>
    </w:p>
    <w:p w14:paraId="44E8D4D4" w14:textId="77777777" w:rsidR="007C76C1" w:rsidRDefault="00000000">
      <w:pPr>
        <w:numPr>
          <w:ilvl w:val="0"/>
          <w:numId w:val="18"/>
        </w:numPr>
        <w:ind w:left="360"/>
        <w:jc w:val="both"/>
        <w:rPr>
          <w:rFonts w:cs="Arial"/>
          <w:szCs w:val="20"/>
        </w:rPr>
      </w:pPr>
      <w:r w:rsidRPr="002B719E">
        <w:rPr>
          <w:rFonts w:cs="Arial"/>
          <w:b/>
          <w:bCs/>
          <w:szCs w:val="20"/>
        </w:rPr>
        <w:t>Rol del Docente:</w:t>
      </w:r>
      <w:r w:rsidRPr="002B719E">
        <w:rPr>
          <w:rFonts w:cs="Arial"/>
          <w:szCs w:val="20"/>
        </w:rPr>
        <w:t xml:space="preserve"> Se transforma de un expositor magistral tradicional a desempeñarse como un sujeto activo, investigador, orientador y diseñador/facilitador de procesos de aprendizaje situado y proyectos integradores reales</w:t>
      </w:r>
      <w:r>
        <w:rPr>
          <w:rFonts w:cs="Arial"/>
          <w:szCs w:val="20"/>
        </w:rPr>
        <w:t>.</w:t>
      </w:r>
    </w:p>
    <w:p w14:paraId="3339B3DD" w14:textId="77777777" w:rsidR="00633CBB" w:rsidRDefault="00000000">
      <w:pPr>
        <w:keepNext/>
        <w:tabs>
          <w:tab w:val="left" w:pos="709"/>
        </w:tabs>
        <w:spacing w:before="80" w:after="200"/>
        <w:ind w:left="709" w:hanging="709"/>
        <w:outlineLvl w:val="2"/>
      </w:pPr>
      <w:bookmarkStart w:id="107" w:name="_Toc000000064"/>
      <w:r>
        <w:rPr>
          <w:b/>
          <w:sz w:val="22"/>
        </w:rPr>
        <w:t>4.1.4</w:t>
      </w:r>
      <w:r>
        <w:rPr>
          <w:b/>
          <w:sz w:val="22"/>
        </w:rPr>
        <w:tab/>
        <w:t>Fundamentos educativos</w:t>
      </w:r>
      <w:bookmarkEnd w:id="107"/>
    </w:p>
    <w:p w14:paraId="47B5FFE0" w14:textId="77777777" w:rsidR="00990B14" w:rsidRDefault="00000000">
      <w:pPr>
        <w:spacing w:after="200"/>
        <w:jc w:val="both"/>
      </w:pPr>
      <w:r>
        <w:t>Los fundamentos educativos del Rediseño Curricular se formulan en concordancia con los Modelos Educativo, Académico, Pedagógico, Curricular y Didáctico de la UMSA, aprobados mediante la Resolución HCU N.º 057/2025, que orientan la formación por competencias en todas las carreras de la Universidad. En ese marco, la Carrera adopta:</w:t>
      </w:r>
    </w:p>
    <w:p w14:paraId="2C25FF01" w14:textId="77777777" w:rsidR="00990B14" w:rsidRDefault="00000000">
      <w:pPr>
        <w:numPr>
          <w:ilvl w:val="0"/>
          <w:numId w:val="137"/>
        </w:numPr>
        <w:spacing w:after="160"/>
        <w:jc w:val="both"/>
      </w:pPr>
      <w:r>
        <w:rPr>
          <w:b/>
        </w:rPr>
        <w:t>Modelo curricular:</w:t>
      </w:r>
      <w:r>
        <w:t xml:space="preserve"> por competencias, con enfoque socioformativo y de pensamiento complejo, organizado en unidades y elementos de competencia por asignatura, conforme al Artículo 12 de la Resolución HCU N.º 032/2025.</w:t>
      </w:r>
    </w:p>
    <w:p w14:paraId="48B49FE8" w14:textId="77777777" w:rsidR="00990B14" w:rsidRDefault="00000000">
      <w:pPr>
        <w:numPr>
          <w:ilvl w:val="0"/>
          <w:numId w:val="137"/>
        </w:numPr>
        <w:spacing w:after="160"/>
        <w:jc w:val="both"/>
      </w:pPr>
      <w:r>
        <w:rPr>
          <w:b/>
        </w:rPr>
        <w:t>Modelo pedagógico:</w:t>
      </w:r>
      <w:r>
        <w:t xml:space="preserve"> centrado en el estudiante como constructor activo de su aprendizaje y en el docente como mediador, con aprendizaje autónomo y colaborativo, y con la ética y el interés público como ejes transversales.</w:t>
      </w:r>
    </w:p>
    <w:p w14:paraId="54675940" w14:textId="77777777" w:rsidR="00990B14" w:rsidRDefault="00000000">
      <w:pPr>
        <w:numPr>
          <w:ilvl w:val="0"/>
          <w:numId w:val="137"/>
        </w:numPr>
        <w:spacing w:after="200"/>
        <w:jc w:val="both"/>
      </w:pPr>
      <w:r>
        <w:rPr>
          <w:b/>
        </w:rPr>
        <w:t>Modelo didáctico:</w:t>
      </w:r>
      <w:r>
        <w:t xml:space="preserve"> aprendizaje basado en problemas y en proyectos, estudio de casos reales del contexto boliviano, aula invertida, simulación de firmas de auditoría y consultoría en gabinetes y laboratorios, y prácticas preprofesionales, con evaluación por evidencias de desempeño, de producto y de conocimiento, descritas en los puntos 4.6 y 4.7.</w:t>
      </w:r>
    </w:p>
    <w:p w14:paraId="1BD7E184" w14:textId="77777777" w:rsidR="007C76C1" w:rsidRPr="002B719E" w:rsidRDefault="00000000" w:rsidP="007C76C1">
      <w:pPr>
        <w:tabs>
          <w:tab w:val="left" w:pos="2140"/>
        </w:tabs>
        <w:jc w:val="both"/>
        <w:rPr>
          <w:rFonts w:cs="Arial"/>
          <w:b/>
          <w:bCs/>
          <w:szCs w:val="20"/>
        </w:rPr>
      </w:pPr>
      <w:r w:rsidRPr="002B719E">
        <w:rPr>
          <w:rFonts w:cs="Arial"/>
          <w:b/>
          <w:bCs/>
          <w:szCs w:val="20"/>
        </w:rPr>
        <w:lastRenderedPageBreak/>
        <w:t>Modelo Educativo por Competencias y Alineación con las IES 1 a IES 8 de IFAC:</w:t>
      </w:r>
    </w:p>
    <w:p w14:paraId="43F342B2" w14:textId="77777777" w:rsidR="007C76C1" w:rsidRDefault="007C76C1" w:rsidP="007C76C1">
      <w:pPr>
        <w:tabs>
          <w:tab w:val="left" w:pos="2140"/>
        </w:tabs>
        <w:jc w:val="both"/>
        <w:rPr>
          <w:rFonts w:cs="Arial"/>
          <w:szCs w:val="20"/>
        </w:rPr>
      </w:pPr>
    </w:p>
    <w:p w14:paraId="665273EA" w14:textId="77777777" w:rsidR="007C76C1" w:rsidRDefault="00000000" w:rsidP="007C76C1">
      <w:pPr>
        <w:tabs>
          <w:tab w:val="left" w:pos="2140"/>
        </w:tabs>
        <w:jc w:val="both"/>
        <w:rPr>
          <w:rFonts w:cs="Arial"/>
          <w:szCs w:val="20"/>
        </w:rPr>
      </w:pPr>
      <w:r w:rsidRPr="002B719E">
        <w:rPr>
          <w:rFonts w:cs="Arial"/>
          <w:szCs w:val="20"/>
        </w:rPr>
        <w:t>En cumplimiento del Artículo 8 del Reglamento de Innovación Curricular de la UMSA (Resolución HCU N.º 032/2025) y las resoluciones de la III-XIII Reunión Sectorial de Carreras de Contaduría Pública del S</w:t>
      </w:r>
      <w:r>
        <w:rPr>
          <w:rFonts w:cs="Arial"/>
          <w:szCs w:val="20"/>
        </w:rPr>
        <w:t xml:space="preserve">istema </w:t>
      </w:r>
      <w:r w:rsidRPr="002B719E">
        <w:rPr>
          <w:rFonts w:cs="Arial"/>
          <w:szCs w:val="20"/>
        </w:rPr>
        <w:t>U</w:t>
      </w:r>
      <w:r>
        <w:rPr>
          <w:rFonts w:cs="Arial"/>
          <w:szCs w:val="20"/>
        </w:rPr>
        <w:t xml:space="preserve">niversitario </w:t>
      </w:r>
      <w:r w:rsidRPr="002B719E">
        <w:rPr>
          <w:rFonts w:cs="Arial"/>
          <w:szCs w:val="20"/>
        </w:rPr>
        <w:t>B</w:t>
      </w:r>
      <w:r>
        <w:rPr>
          <w:rFonts w:cs="Arial"/>
          <w:szCs w:val="20"/>
        </w:rPr>
        <w:t>oliviano</w:t>
      </w:r>
      <w:r w:rsidRPr="002B719E">
        <w:rPr>
          <w:rFonts w:cs="Arial"/>
          <w:szCs w:val="20"/>
        </w:rPr>
        <w:t xml:space="preserve"> (Resolución N.º 07/2024 de la VI Conferencia Nacional de Universidades), el Plan de Estudios adopta un modelo pedagógico centrado en competencias y aprendizaje situado.</w:t>
      </w:r>
    </w:p>
    <w:p w14:paraId="0435BC44" w14:textId="77777777" w:rsidR="007C76C1" w:rsidRDefault="007C76C1" w:rsidP="007C76C1">
      <w:pPr>
        <w:tabs>
          <w:tab w:val="left" w:pos="2140"/>
        </w:tabs>
        <w:jc w:val="both"/>
        <w:rPr>
          <w:rFonts w:cs="Arial"/>
          <w:szCs w:val="20"/>
        </w:rPr>
      </w:pPr>
    </w:p>
    <w:p w14:paraId="1C843188" w14:textId="77777777" w:rsidR="007C76C1" w:rsidRPr="002B719E" w:rsidRDefault="00000000" w:rsidP="007C76C1">
      <w:pPr>
        <w:tabs>
          <w:tab w:val="left" w:pos="2140"/>
        </w:tabs>
        <w:jc w:val="both"/>
        <w:rPr>
          <w:rFonts w:cs="Arial"/>
          <w:i/>
          <w:iCs/>
          <w:szCs w:val="20"/>
        </w:rPr>
      </w:pPr>
      <w:r w:rsidRPr="002B719E">
        <w:rPr>
          <w:rFonts w:cs="Arial"/>
          <w:i/>
          <w:iCs/>
          <w:szCs w:val="20"/>
        </w:rPr>
        <w:t>Adopción e Implementación de las Normas Internacionales de Educación Contable (IES) de la IFAC:</w:t>
      </w:r>
    </w:p>
    <w:p w14:paraId="166CE40F" w14:textId="77777777" w:rsidR="007C76C1" w:rsidRDefault="007C76C1" w:rsidP="007C76C1">
      <w:pPr>
        <w:tabs>
          <w:tab w:val="left" w:pos="2140"/>
        </w:tabs>
        <w:jc w:val="both"/>
        <w:rPr>
          <w:rFonts w:cs="Arial"/>
          <w:szCs w:val="20"/>
        </w:rPr>
      </w:pPr>
    </w:p>
    <w:p w14:paraId="6A75C905" w14:textId="77777777" w:rsidR="007C76C1" w:rsidRPr="003B65AE" w:rsidRDefault="00000000" w:rsidP="007C76C1">
      <w:pPr>
        <w:tabs>
          <w:tab w:val="left" w:pos="2140"/>
        </w:tabs>
        <w:jc w:val="both"/>
        <w:rPr>
          <w:rFonts w:cs="Arial"/>
          <w:szCs w:val="20"/>
        </w:rPr>
      </w:pPr>
      <w:r w:rsidRPr="003B65AE">
        <w:rPr>
          <w:rFonts w:cs="Arial"/>
          <w:szCs w:val="20"/>
        </w:rPr>
        <w:t xml:space="preserve">Para garantizar la comparabilidad internacional, el reconocimiento profesional global y la calidad académica, el </w:t>
      </w:r>
      <w:r w:rsidR="00E428B8">
        <w:rPr>
          <w:rFonts w:cs="Arial"/>
          <w:szCs w:val="20"/>
        </w:rPr>
        <w:t>Rediseño Curricular</w:t>
      </w:r>
      <w:r w:rsidRPr="003B65AE">
        <w:rPr>
          <w:rFonts w:cs="Arial"/>
          <w:szCs w:val="20"/>
        </w:rPr>
        <w:t xml:space="preserve"> adopta plenamente los estándares emitidos por el International Accounting Education Standards Board (IAESB) de la Federación Internacional de Contadores (IFAC):</w:t>
      </w:r>
    </w:p>
    <w:p w14:paraId="43ADC026" w14:textId="77777777" w:rsidR="007C76C1" w:rsidRPr="003B65AE" w:rsidRDefault="007C76C1" w:rsidP="007C76C1">
      <w:pPr>
        <w:tabs>
          <w:tab w:val="left" w:pos="2140"/>
        </w:tabs>
        <w:jc w:val="both"/>
        <w:rPr>
          <w:rFonts w:cs="Arial"/>
          <w:szCs w:val="20"/>
        </w:rPr>
      </w:pPr>
    </w:p>
    <w:p w14:paraId="7BB14AE4" w14:textId="77777777" w:rsidR="007C76C1" w:rsidRPr="003B65AE" w:rsidRDefault="00000000">
      <w:pPr>
        <w:numPr>
          <w:ilvl w:val="0"/>
          <w:numId w:val="18"/>
        </w:numPr>
        <w:ind w:left="360"/>
        <w:jc w:val="both"/>
        <w:rPr>
          <w:rFonts w:cs="Arial"/>
          <w:szCs w:val="20"/>
        </w:rPr>
      </w:pPr>
      <w:r w:rsidRPr="003B65AE">
        <w:rPr>
          <w:rFonts w:cs="Arial"/>
          <w:b/>
          <w:bCs/>
          <w:szCs w:val="20"/>
        </w:rPr>
        <w:t>IES 1 Requisitos de Ingreso al Programa:</w:t>
      </w:r>
      <w:r w:rsidRPr="003B65AE">
        <w:rPr>
          <w:rFonts w:cs="Arial"/>
          <w:szCs w:val="20"/>
        </w:rPr>
        <w:t xml:space="preserve"> Garantiza la equidad, transparencia y meritocracia en los procesos de selección mediante el Pre-Facultativo</w:t>
      </w:r>
      <w:r>
        <w:rPr>
          <w:rFonts w:cs="Arial"/>
          <w:szCs w:val="20"/>
        </w:rPr>
        <w:t>,</w:t>
      </w:r>
      <w:r w:rsidRPr="003B65AE">
        <w:rPr>
          <w:rFonts w:cs="Arial"/>
          <w:szCs w:val="20"/>
        </w:rPr>
        <w:t xml:space="preserve"> el Examen de Suficiencia Académica</w:t>
      </w:r>
      <w:r>
        <w:rPr>
          <w:rFonts w:cs="Arial"/>
          <w:szCs w:val="20"/>
        </w:rPr>
        <w:t xml:space="preserve"> y la Admisión Especial</w:t>
      </w:r>
      <w:r w:rsidRPr="003B65AE">
        <w:rPr>
          <w:rFonts w:cs="Arial"/>
          <w:szCs w:val="20"/>
        </w:rPr>
        <w:t>.</w:t>
      </w:r>
    </w:p>
    <w:p w14:paraId="5B930BE8" w14:textId="77777777" w:rsidR="007C76C1" w:rsidRPr="003B65AE" w:rsidRDefault="007C76C1" w:rsidP="007C76C1">
      <w:pPr>
        <w:jc w:val="both"/>
        <w:rPr>
          <w:rFonts w:cs="Arial"/>
          <w:szCs w:val="20"/>
        </w:rPr>
      </w:pPr>
    </w:p>
    <w:p w14:paraId="333C9F85" w14:textId="77777777" w:rsidR="007C76C1" w:rsidRPr="003B65AE" w:rsidRDefault="00000000">
      <w:pPr>
        <w:numPr>
          <w:ilvl w:val="0"/>
          <w:numId w:val="18"/>
        </w:numPr>
        <w:ind w:left="360"/>
        <w:jc w:val="both"/>
        <w:rPr>
          <w:rFonts w:cs="Arial"/>
          <w:szCs w:val="20"/>
        </w:rPr>
      </w:pPr>
      <w:r w:rsidRPr="003B65AE">
        <w:rPr>
          <w:rFonts w:cs="Arial"/>
          <w:b/>
          <w:bCs/>
          <w:szCs w:val="20"/>
        </w:rPr>
        <w:t>IES 2 Contenido de los Programas de Educación Profesional:</w:t>
      </w:r>
      <w:r w:rsidRPr="003B65AE">
        <w:rPr>
          <w:rFonts w:cs="Arial"/>
          <w:szCs w:val="20"/>
        </w:rPr>
        <w:t xml:space="preserve"> Estructura el plan en áreas de conocimiento técnico (Información financiera, información no financiera, Aseguramiento, Finanzas, Gobierno Corporativo, Tecnología de la información, Sostenibilidad y Matemáticas) y áreas organizacionales o de negocios (Economía, Administración, Derecho).</w:t>
      </w:r>
    </w:p>
    <w:p w14:paraId="37C07BCC" w14:textId="77777777" w:rsidR="007C76C1" w:rsidRPr="003B65AE" w:rsidRDefault="007C76C1" w:rsidP="007C76C1">
      <w:pPr>
        <w:jc w:val="both"/>
        <w:rPr>
          <w:rFonts w:cs="Arial"/>
          <w:szCs w:val="20"/>
        </w:rPr>
      </w:pPr>
    </w:p>
    <w:p w14:paraId="6E5A09B6" w14:textId="77777777" w:rsidR="007C76C1" w:rsidRPr="003B65AE" w:rsidRDefault="00000000">
      <w:pPr>
        <w:numPr>
          <w:ilvl w:val="0"/>
          <w:numId w:val="18"/>
        </w:numPr>
        <w:ind w:left="360"/>
        <w:jc w:val="both"/>
        <w:rPr>
          <w:rFonts w:cs="Arial"/>
          <w:szCs w:val="20"/>
        </w:rPr>
      </w:pPr>
      <w:r w:rsidRPr="003B65AE">
        <w:rPr>
          <w:rFonts w:cs="Arial"/>
          <w:b/>
          <w:bCs/>
          <w:szCs w:val="20"/>
        </w:rPr>
        <w:t>IES 3 Habilidades Profesionales:</w:t>
      </w:r>
      <w:r w:rsidRPr="003B65AE">
        <w:rPr>
          <w:rFonts w:cs="Arial"/>
          <w:szCs w:val="20"/>
        </w:rPr>
        <w:t xml:space="preserve"> Desarrolla competencias intelectuales (resolución de problemas, juicio crítico), técnicas (IA, analítica de datos), interpersonales (trabajo en equipo) y de comunicación (español e inglés técnico).</w:t>
      </w:r>
    </w:p>
    <w:p w14:paraId="0F338BB3" w14:textId="77777777" w:rsidR="007C76C1" w:rsidRPr="003B65AE" w:rsidRDefault="007C76C1" w:rsidP="007C76C1">
      <w:pPr>
        <w:jc w:val="both"/>
        <w:rPr>
          <w:rFonts w:cs="Arial"/>
          <w:szCs w:val="20"/>
        </w:rPr>
      </w:pPr>
    </w:p>
    <w:p w14:paraId="4782F9D0" w14:textId="77777777" w:rsidR="007C76C1" w:rsidRPr="003B65AE" w:rsidRDefault="00000000">
      <w:pPr>
        <w:numPr>
          <w:ilvl w:val="0"/>
          <w:numId w:val="18"/>
        </w:numPr>
        <w:ind w:left="360"/>
        <w:jc w:val="both"/>
        <w:rPr>
          <w:rFonts w:cs="Arial"/>
          <w:szCs w:val="20"/>
        </w:rPr>
      </w:pPr>
      <w:r w:rsidRPr="003B65AE">
        <w:rPr>
          <w:rFonts w:cs="Arial"/>
          <w:b/>
          <w:bCs/>
          <w:szCs w:val="20"/>
        </w:rPr>
        <w:t>IES 4 Valores, Ética y Actitudes Profesionales:</w:t>
      </w:r>
      <w:r w:rsidRPr="003B65AE">
        <w:rPr>
          <w:rFonts w:cs="Arial"/>
          <w:szCs w:val="20"/>
        </w:rPr>
        <w:t xml:space="preserve"> Internaliza los cinco principios fundamentales del Código Internacional de Ética del IESBA: Integridad, Objetividad, Competencia y Diligencia Profesional, Confidencialidad y Comportamiento Profesional.</w:t>
      </w:r>
    </w:p>
    <w:p w14:paraId="06B68BB7" w14:textId="77777777" w:rsidR="007C76C1" w:rsidRPr="003B65AE" w:rsidRDefault="007C76C1" w:rsidP="007C76C1">
      <w:pPr>
        <w:jc w:val="both"/>
        <w:rPr>
          <w:rFonts w:cs="Arial"/>
          <w:szCs w:val="20"/>
        </w:rPr>
      </w:pPr>
    </w:p>
    <w:p w14:paraId="241A9538" w14:textId="77777777" w:rsidR="007C76C1" w:rsidRPr="003B65AE" w:rsidRDefault="00000000">
      <w:pPr>
        <w:numPr>
          <w:ilvl w:val="0"/>
          <w:numId w:val="18"/>
        </w:numPr>
        <w:ind w:left="360"/>
        <w:jc w:val="both"/>
        <w:rPr>
          <w:rFonts w:cs="Arial"/>
          <w:szCs w:val="20"/>
        </w:rPr>
      </w:pPr>
      <w:r w:rsidRPr="003B65AE">
        <w:rPr>
          <w:rFonts w:cs="Arial"/>
          <w:b/>
          <w:bCs/>
          <w:szCs w:val="20"/>
        </w:rPr>
        <w:t>IES 5 Requisitos de Experiencia Práctica:</w:t>
      </w:r>
      <w:r w:rsidRPr="003B65AE">
        <w:rPr>
          <w:rFonts w:cs="Arial"/>
          <w:szCs w:val="20"/>
        </w:rPr>
        <w:t xml:space="preserve"> Integra el aprendizaje situado a través de pasantías curriculares, talleres de práctica profesional y resolución de casos reales del sector público y empresarial.</w:t>
      </w:r>
    </w:p>
    <w:p w14:paraId="2ADB3F7D" w14:textId="77777777" w:rsidR="007C76C1" w:rsidRPr="003B65AE" w:rsidRDefault="007C76C1" w:rsidP="007C76C1">
      <w:pPr>
        <w:jc w:val="both"/>
        <w:rPr>
          <w:rFonts w:cs="Arial"/>
          <w:szCs w:val="20"/>
        </w:rPr>
      </w:pPr>
    </w:p>
    <w:p w14:paraId="381F7674" w14:textId="77777777" w:rsidR="007C76C1" w:rsidRPr="003B65AE" w:rsidRDefault="00000000">
      <w:pPr>
        <w:numPr>
          <w:ilvl w:val="0"/>
          <w:numId w:val="18"/>
        </w:numPr>
        <w:ind w:left="360"/>
        <w:jc w:val="both"/>
        <w:rPr>
          <w:rFonts w:cs="Arial"/>
          <w:szCs w:val="20"/>
        </w:rPr>
      </w:pPr>
      <w:r w:rsidRPr="003B65AE">
        <w:rPr>
          <w:rFonts w:cs="Arial"/>
          <w:b/>
          <w:bCs/>
          <w:szCs w:val="20"/>
        </w:rPr>
        <w:t>IES 6 Evaluación de Capacidades y Competencias Profesionales:</w:t>
      </w:r>
      <w:r w:rsidRPr="003B65AE">
        <w:rPr>
          <w:rFonts w:cs="Arial"/>
          <w:szCs w:val="20"/>
        </w:rPr>
        <w:t xml:space="preserve"> Exige la demostración verificable del logro de los resultados de aprendizaje mediante instrumentos de evaluación auténtica </w:t>
      </w:r>
      <w:r w:rsidRPr="002B719E">
        <w:rPr>
          <w:rFonts w:cs="Arial"/>
          <w:szCs w:val="20"/>
        </w:rPr>
        <w:t>(portafolios, simuladores y rúbricas)</w:t>
      </w:r>
      <w:r w:rsidRPr="003B65AE">
        <w:rPr>
          <w:rFonts w:cs="Arial"/>
          <w:szCs w:val="20"/>
        </w:rPr>
        <w:t>.</w:t>
      </w:r>
    </w:p>
    <w:p w14:paraId="2A100407" w14:textId="77777777" w:rsidR="007C76C1" w:rsidRPr="003B65AE" w:rsidRDefault="007C76C1" w:rsidP="007C76C1">
      <w:pPr>
        <w:jc w:val="both"/>
        <w:rPr>
          <w:rFonts w:cs="Arial"/>
          <w:szCs w:val="20"/>
        </w:rPr>
      </w:pPr>
    </w:p>
    <w:p w14:paraId="437749BF" w14:textId="77777777" w:rsidR="007C76C1" w:rsidRPr="003B65AE" w:rsidRDefault="00000000">
      <w:pPr>
        <w:numPr>
          <w:ilvl w:val="0"/>
          <w:numId w:val="18"/>
        </w:numPr>
        <w:ind w:left="360"/>
        <w:jc w:val="both"/>
        <w:rPr>
          <w:rFonts w:cs="Arial"/>
          <w:szCs w:val="20"/>
        </w:rPr>
      </w:pPr>
      <w:r w:rsidRPr="003B65AE">
        <w:rPr>
          <w:rFonts w:cs="Arial"/>
          <w:b/>
          <w:bCs/>
          <w:szCs w:val="20"/>
        </w:rPr>
        <w:t>IES 7 Desarrollo Profesional Continuo:</w:t>
      </w:r>
      <w:r w:rsidRPr="003B65AE">
        <w:rPr>
          <w:rFonts w:cs="Arial"/>
          <w:szCs w:val="20"/>
        </w:rPr>
        <w:t xml:space="preserve"> Prepara al egresado para el autoaprendizaje y facilita el acceso articulado a programas de diplomado, maestría y certificaciones profesionales.</w:t>
      </w:r>
    </w:p>
    <w:p w14:paraId="52550FFC" w14:textId="77777777" w:rsidR="007C76C1" w:rsidRPr="003B65AE" w:rsidRDefault="007C76C1" w:rsidP="007C76C1">
      <w:pPr>
        <w:jc w:val="both"/>
        <w:rPr>
          <w:rFonts w:cs="Arial"/>
          <w:szCs w:val="20"/>
        </w:rPr>
      </w:pPr>
    </w:p>
    <w:p w14:paraId="24530A18" w14:textId="77777777" w:rsidR="007C76C1" w:rsidRDefault="00000000">
      <w:pPr>
        <w:numPr>
          <w:ilvl w:val="0"/>
          <w:numId w:val="18"/>
        </w:numPr>
        <w:ind w:left="360"/>
        <w:jc w:val="both"/>
        <w:rPr>
          <w:rFonts w:cs="Arial"/>
          <w:szCs w:val="20"/>
        </w:rPr>
      </w:pPr>
      <w:r w:rsidRPr="003B65AE">
        <w:rPr>
          <w:rFonts w:cs="Arial"/>
          <w:b/>
          <w:bCs/>
          <w:szCs w:val="20"/>
        </w:rPr>
        <w:t>IES 8 (Competencias de Auditores Profesionales):</w:t>
      </w:r>
      <w:r w:rsidRPr="003B65AE">
        <w:rPr>
          <w:rFonts w:cs="Arial"/>
          <w:szCs w:val="20"/>
        </w:rPr>
        <w:t xml:space="preserve"> Define el nivel avanzado requerido para la emisión de opiniones e informes de aseguramiento financiero, gubernamental, ambiental y de sistemas.</w:t>
      </w:r>
    </w:p>
    <w:p w14:paraId="20B70281" w14:textId="77777777" w:rsidR="00B16342" w:rsidRPr="00B16342" w:rsidRDefault="00B16342" w:rsidP="00B16342">
      <w:pPr>
        <w:jc w:val="both"/>
        <w:rPr>
          <w:rFonts w:cs="Arial"/>
          <w:szCs w:val="20"/>
        </w:rPr>
      </w:pPr>
    </w:p>
    <w:p w14:paraId="27E7C2CA" w14:textId="77777777" w:rsidR="00633CBB" w:rsidRDefault="00000000">
      <w:pPr>
        <w:keepNext/>
        <w:tabs>
          <w:tab w:val="left" w:pos="709"/>
        </w:tabs>
        <w:spacing w:before="80" w:after="200"/>
        <w:ind w:left="709" w:hanging="709"/>
        <w:outlineLvl w:val="2"/>
        <w:rPr>
          <w:b/>
          <w:sz w:val="22"/>
        </w:rPr>
      </w:pPr>
      <w:bookmarkStart w:id="108" w:name="_Toc000000065"/>
      <w:r>
        <w:rPr>
          <w:b/>
          <w:sz w:val="22"/>
        </w:rPr>
        <w:lastRenderedPageBreak/>
        <w:t>4.1.5</w:t>
      </w:r>
      <w:r>
        <w:rPr>
          <w:b/>
          <w:sz w:val="22"/>
        </w:rPr>
        <w:tab/>
        <w:t>Fundamentos axiológicos</w:t>
      </w:r>
      <w:bookmarkEnd w:id="108"/>
    </w:p>
    <w:p w14:paraId="01289481" w14:textId="77777777" w:rsidR="007C76C1" w:rsidRPr="002B719E" w:rsidRDefault="00000000" w:rsidP="007C76C1">
      <w:pPr>
        <w:tabs>
          <w:tab w:val="left" w:pos="2140"/>
        </w:tabs>
        <w:jc w:val="both"/>
        <w:rPr>
          <w:rFonts w:cs="Arial"/>
          <w:b/>
          <w:bCs/>
          <w:szCs w:val="20"/>
        </w:rPr>
      </w:pPr>
      <w:r w:rsidRPr="002B719E">
        <w:rPr>
          <w:rFonts w:cs="Arial"/>
          <w:b/>
          <w:bCs/>
          <w:szCs w:val="20"/>
        </w:rPr>
        <w:t>Valores Institucionales y Fundamentación Ético-Humanista:</w:t>
      </w:r>
    </w:p>
    <w:p w14:paraId="0CD5D988" w14:textId="77777777" w:rsidR="007C76C1" w:rsidRDefault="007C76C1" w:rsidP="007C76C1">
      <w:pPr>
        <w:tabs>
          <w:tab w:val="left" w:pos="2140"/>
        </w:tabs>
        <w:jc w:val="both"/>
        <w:rPr>
          <w:rFonts w:cs="Arial"/>
          <w:szCs w:val="20"/>
        </w:rPr>
      </w:pPr>
    </w:p>
    <w:p w14:paraId="0306E085" w14:textId="77777777" w:rsidR="00633CBB" w:rsidRDefault="00000000">
      <w:pPr>
        <w:spacing w:after="200"/>
        <w:jc w:val="both"/>
      </w:pPr>
      <w:r>
        <w:t>El plan se sustenta en los principios de autonomía universitaria y cogobierno paritario docente estudiantil, consagrados en el Estatuto Orgánico de la UMSA y en el Modelo Académico del Sistema de la Universidad Boliviana. Desde una perspectiva ético humanista, el ejercicio de la Contaduría Pública trasciende la ejecución mecánica de tareas técnicas: es una profesión de interés público, que otorga fe pública y exige compromiso con la responsabilidad social y la transparencia institucional.</w:t>
      </w:r>
    </w:p>
    <w:p w14:paraId="39E01071" w14:textId="77777777" w:rsidR="007C76C1" w:rsidRDefault="00000000" w:rsidP="007C76C1">
      <w:pPr>
        <w:tabs>
          <w:tab w:val="left" w:pos="2140"/>
        </w:tabs>
        <w:jc w:val="both"/>
        <w:rPr>
          <w:rFonts w:cs="Arial"/>
          <w:szCs w:val="20"/>
        </w:rPr>
      </w:pPr>
      <w:r w:rsidRPr="007C76C1">
        <w:rPr>
          <w:rFonts w:cs="Arial"/>
          <w:szCs w:val="20"/>
        </w:rPr>
        <w:t>Todos los actores involucrados en la gestión académica y administrativa de la Carrera practican los valores institucionales descritos en el punto 2.2.3: excelencia profesional, integridad, innovación, adaptabilidad, pensamiento crítico y responsabilidad social.</w:t>
      </w:r>
    </w:p>
    <w:p w14:paraId="63E39123" w14:textId="77777777" w:rsidR="00633CBB" w:rsidRDefault="00633CBB" w:rsidP="007C76C1">
      <w:pPr>
        <w:keepNext/>
        <w:spacing w:before="40" w:after="80"/>
        <w:jc w:val="center"/>
        <w:sectPr w:rsidR="00633CBB" w:rsidSect="00034616">
          <w:headerReference w:type="default" r:id="rId15"/>
          <w:footerReference w:type="default" r:id="rId16"/>
          <w:pgSz w:w="12240" w:h="15840"/>
          <w:pgMar w:top="1701" w:right="1134" w:bottom="1134" w:left="1701" w:header="567" w:footer="567" w:gutter="0"/>
          <w:cols w:space="720"/>
          <w:docGrid w:linePitch="360"/>
        </w:sectPr>
      </w:pPr>
    </w:p>
    <w:p w14:paraId="2C43C8DA" w14:textId="77777777" w:rsidR="00990B14" w:rsidRDefault="00990B14">
      <w:pPr>
        <w:spacing w:line="5600" w:lineRule="exact"/>
      </w:pPr>
    </w:p>
    <w:p w14:paraId="3F7D2491" w14:textId="77777777" w:rsidR="00990B14" w:rsidRDefault="00000000">
      <w:pPr>
        <w:keepNext/>
        <w:jc w:val="center"/>
      </w:pPr>
      <w:r>
        <w:rPr>
          <w:b/>
          <w:bCs/>
          <w:sz w:val="40"/>
          <w:szCs w:val="40"/>
        </w:rPr>
        <w:t>4.2 Referentes disciplinares</w:t>
      </w:r>
    </w:p>
    <w:p w14:paraId="3EF0B28E" w14:textId="77777777" w:rsidR="0075614C" w:rsidRDefault="00000000">
      <w:pPr>
        <w:pStyle w:val="GrupoCuadros"/>
        <w:keepNext/>
        <w:pageBreakBefore/>
        <w:tabs>
          <w:tab w:val="left" w:pos="709"/>
        </w:tabs>
        <w:spacing w:before="120" w:after="200"/>
        <w:ind w:left="709" w:hanging="709"/>
        <w:outlineLvl w:val="1"/>
      </w:pPr>
      <w:bookmarkStart w:id="109" w:name="_Toc000000066"/>
      <w:r>
        <w:rPr>
          <w:b/>
          <w:sz w:val="24"/>
        </w:rPr>
        <w:lastRenderedPageBreak/>
        <w:t>4.2</w:t>
      </w:r>
      <w:r>
        <w:rPr>
          <w:b/>
          <w:sz w:val="24"/>
        </w:rPr>
        <w:tab/>
        <w:t>Referentes disciplinares</w:t>
      </w:r>
      <w:bookmarkEnd w:id="109"/>
    </w:p>
    <w:p w14:paraId="32FED04C" w14:textId="77777777" w:rsidR="0075614C" w:rsidRDefault="00000000">
      <w:pPr>
        <w:spacing w:after="200"/>
        <w:jc w:val="both"/>
      </w:pPr>
      <w:r>
        <w:t>Los referentes disciplinares fundamentan académica, científica y profesionalmente el perfil del Contador Público</w:t>
      </w:r>
      <w:r w:rsidR="00DE1784">
        <w:t xml:space="preserve"> </w:t>
      </w:r>
      <w:r>
        <w:t>desde los problemas que aborda la profesión, su prospectiva, la caracterización de su práctica, su objeto, sus objetivos y sus competencias, conforme al Artículo 12 de la Resolución HCU N.º 032/2025, que exige establecer con claridad el objeto y el objetivo de la profesión, identificar sus funciones y tareas y responder en el perfil a las necesidades identificadas en la justificación.</w:t>
      </w:r>
    </w:p>
    <w:p w14:paraId="7489BDDC" w14:textId="77777777" w:rsidR="0075614C" w:rsidRDefault="00000000">
      <w:pPr>
        <w:keepNext/>
        <w:tabs>
          <w:tab w:val="left" w:pos="709"/>
        </w:tabs>
        <w:spacing w:before="80" w:after="200"/>
        <w:ind w:left="709" w:hanging="709"/>
        <w:outlineLvl w:val="2"/>
      </w:pPr>
      <w:bookmarkStart w:id="110" w:name="_Toc000000067"/>
      <w:r>
        <w:rPr>
          <w:b/>
          <w:sz w:val="22"/>
        </w:rPr>
        <w:t>4.2.1</w:t>
      </w:r>
      <w:r>
        <w:rPr>
          <w:b/>
          <w:sz w:val="22"/>
        </w:rPr>
        <w:tab/>
        <w:t>Problemas que serán abordados por el profesional</w:t>
      </w:r>
      <w:bookmarkEnd w:id="110"/>
    </w:p>
    <w:p w14:paraId="6345A159" w14:textId="77777777" w:rsidR="0075614C" w:rsidRDefault="00000000">
      <w:pPr>
        <w:spacing w:after="200"/>
        <w:jc w:val="both"/>
      </w:pPr>
      <w:r>
        <w:t>El Contador Público formado en la UMSA enfrentará las siguientes problemáticas organizacionales y sociales:</w:t>
      </w:r>
    </w:p>
    <w:p w14:paraId="014BBA10" w14:textId="77777777" w:rsidR="0075614C" w:rsidRDefault="00000000">
      <w:pPr>
        <w:numPr>
          <w:ilvl w:val="0"/>
          <w:numId w:val="21"/>
        </w:numPr>
        <w:spacing w:after="160"/>
        <w:jc w:val="both"/>
      </w:pPr>
      <w:r>
        <w:rPr>
          <w:b/>
        </w:rPr>
        <w:t>Transformación tecnológica y automatización.</w:t>
      </w:r>
      <w:r>
        <w:t xml:space="preserve"> Superación de la brecha tecnológica de los egresados, de 43 a 51 puntos porcentuales, mediante la transición del registro manual hacia la auditoría digital, la automatización robótica de procesos, los sistemas de gestión empresarial y el análisis predictivo de datos.</w:t>
      </w:r>
    </w:p>
    <w:p w14:paraId="512DAC69" w14:textId="77777777" w:rsidR="0075614C" w:rsidRDefault="00000000">
      <w:pPr>
        <w:numPr>
          <w:ilvl w:val="0"/>
          <w:numId w:val="21"/>
        </w:numPr>
        <w:spacing w:after="160"/>
        <w:jc w:val="both"/>
      </w:pPr>
      <w:r>
        <w:rPr>
          <w:b/>
        </w:rPr>
        <w:t>Demandas de sostenibilidad.</w:t>
      </w:r>
      <w:r>
        <w:t xml:space="preserve"> Preparación y aseguramiento independiente de informes de sostenibilidad bajo las Normas NIIF de Sostenibilidad del ISSB, exigibles en Bolivia desde 2027, y bajo la NIEA 3000 y la NIAS 5000 del IAASB.</w:t>
      </w:r>
    </w:p>
    <w:p w14:paraId="603C259D" w14:textId="77777777" w:rsidR="0075614C" w:rsidRDefault="00000000">
      <w:pPr>
        <w:numPr>
          <w:ilvl w:val="0"/>
          <w:numId w:val="21"/>
        </w:numPr>
        <w:spacing w:after="160"/>
        <w:jc w:val="both"/>
      </w:pPr>
      <w:r>
        <w:rPr>
          <w:b/>
        </w:rPr>
        <w:t>Opacidad y crisis de integridad.</w:t>
      </w:r>
      <w:r>
        <w:t xml:space="preserve"> Prevención y lucha contra la corrupción, el fraude financiero y la opacidad institucional mediante sistemas de control interno, gestión integral de riesgos, gobernanza de datos, auditorías forenses y peritajes contables.</w:t>
      </w:r>
    </w:p>
    <w:p w14:paraId="7E7BEBCC" w14:textId="77777777" w:rsidR="0075614C" w:rsidRDefault="00000000">
      <w:pPr>
        <w:numPr>
          <w:ilvl w:val="0"/>
          <w:numId w:val="21"/>
        </w:numPr>
        <w:spacing w:after="160"/>
        <w:jc w:val="both"/>
      </w:pPr>
      <w:r>
        <w:rPr>
          <w:b/>
        </w:rPr>
        <w:t>Complejidad tributaria y financiera.</w:t>
      </w:r>
      <w:r>
        <w:t xml:space="preserve"> Gestión de contingencias impositivas y aduaneras mediante planificación tributaria y estructuración de finanzas corporativas en un contexto de recesión, inflación y tipo de cambio flexible.</w:t>
      </w:r>
    </w:p>
    <w:p w14:paraId="7311E34C" w14:textId="77777777" w:rsidR="0075614C" w:rsidRDefault="00000000">
      <w:pPr>
        <w:numPr>
          <w:ilvl w:val="0"/>
          <w:numId w:val="21"/>
        </w:numPr>
        <w:spacing w:after="200"/>
        <w:jc w:val="both"/>
      </w:pPr>
      <w:r>
        <w:rPr>
          <w:b/>
        </w:rPr>
        <w:t>Saturación del mercado tradicional e informalidad.</w:t>
      </w:r>
      <w:r>
        <w:t xml:space="preserve"> Diversificación hacia la consultoría de gestión, la gestión de riesgos y el aseguramiento integral, y atención a la micro y pequeña empresa en una economía con 84,2 % de informalidad laboral.</w:t>
      </w:r>
    </w:p>
    <w:p w14:paraId="1049D3EC" w14:textId="77777777" w:rsidR="0075614C" w:rsidRDefault="00000000">
      <w:pPr>
        <w:keepNext/>
        <w:tabs>
          <w:tab w:val="left" w:pos="709"/>
        </w:tabs>
        <w:spacing w:before="80" w:after="200"/>
        <w:ind w:left="709" w:hanging="709"/>
        <w:outlineLvl w:val="2"/>
      </w:pPr>
      <w:bookmarkStart w:id="111" w:name="_Toc000000068"/>
      <w:r>
        <w:rPr>
          <w:b/>
          <w:sz w:val="22"/>
        </w:rPr>
        <w:t>4.2.2</w:t>
      </w:r>
      <w:r>
        <w:rPr>
          <w:b/>
          <w:sz w:val="22"/>
        </w:rPr>
        <w:tab/>
        <w:t>Prospectiva de la profesión</w:t>
      </w:r>
      <w:bookmarkEnd w:id="111"/>
    </w:p>
    <w:p w14:paraId="7B53BB34" w14:textId="77777777" w:rsidR="0075614C" w:rsidRDefault="00000000">
      <w:pPr>
        <w:keepNext/>
        <w:spacing w:before="40" w:after="200"/>
      </w:pPr>
      <w:r>
        <w:rPr>
          <w:b/>
          <w:sz w:val="22"/>
        </w:rPr>
        <w:t>Naturaleza, evolución y vocación transformadora</w:t>
      </w:r>
    </w:p>
    <w:p w14:paraId="5641BC1D" w14:textId="77777777" w:rsidR="0075614C" w:rsidRDefault="00000000">
      <w:pPr>
        <w:spacing w:after="200"/>
        <w:jc w:val="both"/>
      </w:pPr>
      <w:r>
        <w:t>La profesión del Contador Público</w:t>
      </w:r>
      <w:r w:rsidR="00A06342">
        <w:t xml:space="preserve"> </w:t>
      </w:r>
      <w:r>
        <w:t>trasciende la ejecución rutinaria de tareas técnicas o contables; constituye una vocación de desarrollo y transformación social e institucional. Cuando está adecuadamente orientada, la Contaduría Pública es una herramienta estratégica de alto impacto para las empresas, el Estado y la sociedad.</w:t>
      </w:r>
    </w:p>
    <w:p w14:paraId="32DA990D" w14:textId="77777777" w:rsidR="0075614C" w:rsidRDefault="00000000">
      <w:pPr>
        <w:spacing w:after="200"/>
        <w:jc w:val="both"/>
      </w:pPr>
      <w:r>
        <w:t>En los últimos años la profesión ha experimentado una transformación acelerada impulsada por las tecnologías emergentes, la globalización de los mercados y las nuevas exigencias de transparencia. El ejercicio profesional ha migrado del registro transaccional hacia un catálogo ampliado de servicios de aseguramiento de información financiera y no financiera, consultoría de gestión, evaluación de riesgos y tributación. El Foro Económico Mundial proyecta que el 39 % de las competencias nucleares cambiará hacia 2030 y ubica los puestos de contabilidad, teneduría y nómina entre los de mayor declive, mientras crecen el juicio profesional, el análisis y la asesoría.</w:t>
      </w:r>
    </w:p>
    <w:p w14:paraId="072E4C83" w14:textId="77777777" w:rsidR="0075614C" w:rsidRDefault="00000000">
      <w:pPr>
        <w:spacing w:after="200"/>
        <w:jc w:val="both"/>
      </w:pPr>
      <w:r>
        <w:lastRenderedPageBreak/>
        <w:t>En este marco, el rediseño adopta el modelo del Contador Público aprobado en la III-XIII Reunión Sectorial de las Carreras de Contaduría Pública del Sistema de la Universidad Boliviana, ratificado por la Resolución N.º 07/2024 de la VI Conferencia Nacional Ordinaria de Universidades, y alineado con las Normas Internacionales de Educación, IES 1 a IES 8, de la IFAC.</w:t>
      </w:r>
    </w:p>
    <w:p w14:paraId="1639E754" w14:textId="77777777" w:rsidR="0075614C" w:rsidRDefault="00000000">
      <w:pPr>
        <w:keepNext/>
        <w:spacing w:before="40" w:after="200"/>
      </w:pPr>
      <w:r>
        <w:rPr>
          <w:b/>
          <w:sz w:val="22"/>
        </w:rPr>
        <w:t>El imperativo ético y la responsabilidad pública</w:t>
      </w:r>
    </w:p>
    <w:p w14:paraId="466C3BA9" w14:textId="77777777" w:rsidR="0075614C" w:rsidRDefault="00000000">
      <w:pPr>
        <w:spacing w:after="200"/>
        <w:jc w:val="both"/>
      </w:pPr>
      <w:r>
        <w:t>El ejercicio de la Contaduría Pública se fundamenta en la responsabilidad ante el interés público. Por ello, parte inherente de la formación es forjar una postura ética e independiente alineada con el Código Internacional de Ética del IESBA</w:t>
      </w:r>
      <w:r w:rsidR="00A06342">
        <w:t xml:space="preserve"> y el Código de Ética del Auditor Gubernamental</w:t>
      </w:r>
      <w:r>
        <w:t>, cuyos principios son la integridad, la objetividad, la competencia y diligencia profesionales, la confidencialidad y el comportamiento profesional. El modelo educativo busca que el futuro profesional ejerza un juicio crítico ante su entorno y sea no solo técnicamente idóneo, sino un ser humano integral, con sensibilidad social, conciencia ecológica y compromiso con la transparencia y el desarrollo sostenible.</w:t>
      </w:r>
    </w:p>
    <w:p w14:paraId="41399A6F" w14:textId="77777777" w:rsidR="0075614C" w:rsidRDefault="00000000">
      <w:pPr>
        <w:keepNext/>
        <w:tabs>
          <w:tab w:val="left" w:pos="709"/>
        </w:tabs>
        <w:spacing w:before="80" w:after="200"/>
        <w:ind w:left="709" w:hanging="709"/>
        <w:outlineLvl w:val="2"/>
      </w:pPr>
      <w:bookmarkStart w:id="112" w:name="_Toc000000069"/>
      <w:r>
        <w:rPr>
          <w:b/>
          <w:sz w:val="22"/>
        </w:rPr>
        <w:t>4.2.3</w:t>
      </w:r>
      <w:r>
        <w:rPr>
          <w:b/>
          <w:sz w:val="22"/>
        </w:rPr>
        <w:tab/>
        <w:t>Caracterización de la práctica de la profesión (áreas de acción y funciones)</w:t>
      </w:r>
      <w:bookmarkEnd w:id="112"/>
    </w:p>
    <w:p w14:paraId="59E67E92" w14:textId="77777777" w:rsidR="0075614C" w:rsidRDefault="00000000">
      <w:pPr>
        <w:keepNext/>
        <w:spacing w:before="40" w:after="200"/>
      </w:pPr>
      <w:r>
        <w:rPr>
          <w:b/>
          <w:sz w:val="22"/>
        </w:rPr>
        <w:t>Entorno de la profesión</w:t>
      </w:r>
    </w:p>
    <w:p w14:paraId="7A92969B" w14:textId="77777777" w:rsidR="0075614C" w:rsidRDefault="00000000">
      <w:pPr>
        <w:spacing w:after="200"/>
        <w:jc w:val="both"/>
      </w:pPr>
      <w:r>
        <w:t>El entorno de la profesión es el medio socioeconómico, institucional, regulatorio y tecnológico en el que el Contador Público ejerce: el sector público, el sector privado, las entidades mixtas, las organizaciones sin fines de lucro y las instituciones multilaterales. Se analiza desde tres roles: el profesional, que corresponde a su responsabilidad ante la sociedad; el organizacional, que corresponde a su desempeño dentro de las entidades; y el individual, que corresponde al ejercicio libre, la consultoría y la docencia.</w:t>
      </w:r>
    </w:p>
    <w:p w14:paraId="64A8A3E7" w14:textId="77777777" w:rsidR="0075614C" w:rsidRDefault="00000000">
      <w:pPr>
        <w:spacing w:after="200"/>
        <w:jc w:val="both"/>
      </w:pPr>
      <w:r>
        <w:rPr>
          <w:b/>
        </w:rPr>
        <w:t>Rol profesional.</w:t>
      </w:r>
      <w:r>
        <w:t xml:space="preserve"> Es el compromiso ético y la responsabilidad pública que el Contador Público asume ante la sociedad. Exige independencia de criterio, objetividad, confidencialidad y alta calidad técnica, y se desagrega en tres campos de actuación normados</w:t>
      </w:r>
      <w:r w:rsidR="00B91FBA">
        <w:t xml:space="preserve"> y aplicados en el sector público y privado</w:t>
      </w:r>
      <w:r>
        <w:t>:</w:t>
      </w:r>
    </w:p>
    <w:p w14:paraId="34A4CED4" w14:textId="77777777" w:rsidR="0075614C" w:rsidRDefault="00000000">
      <w:pPr>
        <w:numPr>
          <w:ilvl w:val="0"/>
          <w:numId w:val="22"/>
        </w:numPr>
        <w:spacing w:after="160"/>
        <w:jc w:val="both"/>
      </w:pPr>
      <w:r>
        <w:rPr>
          <w:b/>
        </w:rPr>
        <w:t>Preparación y presentación de información financiera y de sostenibilidad.</w:t>
      </w:r>
      <w:r>
        <w:t xml:space="preserve"> Preparar, presentar y revelar información financiera estructurada de acuerdo con las normas de información financiera y las disposiciones legales y regulatorias vigentes, y reportes no financieros alineados a los estándares de sostenibilidad</w:t>
      </w:r>
      <w:r w:rsidR="00B91FBA">
        <w:t>.</w:t>
      </w:r>
    </w:p>
    <w:p w14:paraId="319F62CC" w14:textId="77777777" w:rsidR="0075614C" w:rsidRDefault="00000000">
      <w:pPr>
        <w:numPr>
          <w:ilvl w:val="0"/>
          <w:numId w:val="22"/>
        </w:numPr>
        <w:spacing w:after="160"/>
        <w:jc w:val="both"/>
      </w:pPr>
      <w:r>
        <w:rPr>
          <w:b/>
        </w:rPr>
        <w:t>Servicios de aseguramiento.</w:t>
      </w:r>
      <w:r>
        <w:t xml:space="preserve"> Expresar una opinión o conclusión profesional e independiente que incremente el grado de confianza de los usuarios sobre la materia examinada, conforme a las normas de auditoría, de revisión, de aseguramiento y de servicios relacionados aplicables</w:t>
      </w:r>
      <w:r w:rsidR="00B91FBA">
        <w:t>.</w:t>
      </w:r>
    </w:p>
    <w:p w14:paraId="4A9E0666" w14:textId="77777777" w:rsidR="0075614C" w:rsidRDefault="00000000">
      <w:pPr>
        <w:numPr>
          <w:ilvl w:val="0"/>
          <w:numId w:val="22"/>
        </w:numPr>
        <w:spacing w:after="200"/>
        <w:jc w:val="both"/>
      </w:pPr>
      <w:r>
        <w:rPr>
          <w:b/>
        </w:rPr>
        <w:t>Servicios distintos del aseguramiento.</w:t>
      </w:r>
      <w:r>
        <w:t xml:space="preserve"> Encargos especializados que no tienen el propósito de incrementar la confianza y no requieren la emisión de una opinión, pero que aportan valor en consultoría, planificación fiscal, finanzas corporativas, control interno, gestión de riesgos, procedimientos acordados y compilación de información</w:t>
      </w:r>
      <w:r w:rsidR="00A06342">
        <w:t>.</w:t>
      </w:r>
    </w:p>
    <w:p w14:paraId="2B684C2D" w14:textId="77777777" w:rsidR="0075614C" w:rsidRDefault="00000000">
      <w:pPr>
        <w:spacing w:after="200"/>
        <w:jc w:val="both"/>
      </w:pPr>
      <w:r>
        <w:rPr>
          <w:b/>
        </w:rPr>
        <w:t>Rol organizacional.</w:t>
      </w:r>
      <w:r>
        <w:t xml:space="preserve"> Es el compromiso con el desarrollo, la eficiencia y la gobernanza de las organizaciones donde presta sus servicios. El estudio de mercado laboral muestra que el 52 % de los egresados trabaja en relación de dependencia, pero el 77 % de ellos se ubica en niveles técnico operativos y el 23 % en mandos medios, sin presencia en cargos gerenciales. Por ello el nuevo perfil fortalece las competencias directivas para que el profesional se desempeñe como socio estratégico del negocio y como controller. Sus funciones son:</w:t>
      </w:r>
    </w:p>
    <w:p w14:paraId="5B3F1B02" w14:textId="77777777" w:rsidR="0075614C" w:rsidRDefault="00000000">
      <w:pPr>
        <w:numPr>
          <w:ilvl w:val="0"/>
          <w:numId w:val="23"/>
        </w:numPr>
        <w:spacing w:after="160"/>
        <w:jc w:val="both"/>
      </w:pPr>
      <w:r>
        <w:lastRenderedPageBreak/>
        <w:t>Diseñar, implementar, operar y monitorear sistemas integrados de información financiera, de gestión y de sostenibilidad adaptados a la naturaleza, el tamaño y la tecnología de cada entidad.</w:t>
      </w:r>
    </w:p>
    <w:p w14:paraId="1EFC1291" w14:textId="77777777" w:rsidR="0075614C" w:rsidRDefault="00000000">
      <w:pPr>
        <w:numPr>
          <w:ilvl w:val="0"/>
          <w:numId w:val="23"/>
        </w:numPr>
        <w:spacing w:after="160"/>
        <w:jc w:val="both"/>
      </w:pPr>
      <w:r>
        <w:t>Formular estados financieros, presupuestos y cuadros de mando, con análisis prospectivo de flujos y proyecciones financieras para respaldar las decisiones ejecutivas.</w:t>
      </w:r>
    </w:p>
    <w:p w14:paraId="4760FB4C" w14:textId="77777777" w:rsidR="0075614C" w:rsidRDefault="00000000">
      <w:pPr>
        <w:numPr>
          <w:ilvl w:val="0"/>
          <w:numId w:val="23"/>
        </w:numPr>
        <w:spacing w:after="160"/>
        <w:jc w:val="both"/>
      </w:pPr>
      <w:r>
        <w:t>Organizar, dirigir y controlar la auditoría interna, evaluando la eficacia del control interno bajo el modelo COSO y la gestión integral de riesgos. La auditoría interna es el principal campo de inserción de los egresados, con el 35 %.</w:t>
      </w:r>
    </w:p>
    <w:p w14:paraId="6E957C68" w14:textId="77777777" w:rsidR="0075614C" w:rsidRDefault="00000000">
      <w:pPr>
        <w:numPr>
          <w:ilvl w:val="0"/>
          <w:numId w:val="23"/>
        </w:numPr>
        <w:spacing w:after="160"/>
        <w:jc w:val="both"/>
      </w:pPr>
      <w:r>
        <w:t>Asesorar y supervisar el cumplimiento de las obligaciones fiscales, laborales, regulatorias y societarias, previniendo contingencias y optimizando la carga tributaria en el marco de la ley.</w:t>
      </w:r>
    </w:p>
    <w:p w14:paraId="77D28DE6" w14:textId="77777777" w:rsidR="0075614C" w:rsidRDefault="00000000">
      <w:pPr>
        <w:numPr>
          <w:ilvl w:val="0"/>
          <w:numId w:val="23"/>
        </w:numPr>
        <w:spacing w:after="200"/>
        <w:jc w:val="both"/>
      </w:pPr>
      <w:r>
        <w:t>Velar por el interés público, la transparencia en el uso de los recursos y los programas de cumplimiento y prevención de la corrupción.</w:t>
      </w:r>
    </w:p>
    <w:p w14:paraId="639AB4F3" w14:textId="77777777" w:rsidR="0075614C" w:rsidRDefault="00000000">
      <w:pPr>
        <w:spacing w:after="200"/>
        <w:jc w:val="both"/>
      </w:pPr>
      <w:r>
        <w:rPr>
          <w:b/>
        </w:rPr>
        <w:t>Rol individual.</w:t>
      </w:r>
      <w:r>
        <w:t xml:space="preserve"> Corresponde al ejercicio libre de la profesión como profesional independiente, consultor o emprendedor, y a la investigación y la docencia universitaria. El 31 % de los egresados ejerce por cuenta propia o como consultor independiente. En este rol el profesional:</w:t>
      </w:r>
    </w:p>
    <w:p w14:paraId="411CCCFB" w14:textId="77777777" w:rsidR="0075614C" w:rsidRDefault="00000000">
      <w:pPr>
        <w:numPr>
          <w:ilvl w:val="0"/>
          <w:numId w:val="24"/>
        </w:numPr>
        <w:spacing w:after="160"/>
        <w:jc w:val="both"/>
      </w:pPr>
      <w:r>
        <w:t>Presta servicios independientes de consultoría y auditoría en finanzas, impuestos, control interno, gestión de riesgos, peritaje judicial y forense y sistemas contables automatizados.</w:t>
      </w:r>
    </w:p>
    <w:p w14:paraId="08F098F2" w14:textId="77777777" w:rsidR="0075614C" w:rsidRDefault="00000000">
      <w:pPr>
        <w:numPr>
          <w:ilvl w:val="0"/>
          <w:numId w:val="24"/>
        </w:numPr>
        <w:spacing w:after="160"/>
        <w:jc w:val="both"/>
      </w:pPr>
      <w:r>
        <w:t>Emite informes como auditor externo independiente sobre estados financieros, proyectos de inversión e informes de sostenibilidad para terceros interesados, como bancos, inversionistas y la administración tributaria.</w:t>
      </w:r>
    </w:p>
    <w:p w14:paraId="112834A3" w14:textId="77777777" w:rsidR="0075614C" w:rsidRDefault="00000000">
      <w:pPr>
        <w:numPr>
          <w:ilvl w:val="0"/>
          <w:numId w:val="24"/>
        </w:numPr>
        <w:spacing w:after="200"/>
        <w:jc w:val="both"/>
      </w:pPr>
      <w:r>
        <w:t>Desarrolla investigación aplicada en ciencias contables, aporta a la solución de la problemática económica nacional e imparte docencia de grado y postgrado.</w:t>
      </w:r>
    </w:p>
    <w:p w14:paraId="4E7817F2" w14:textId="77777777" w:rsidR="0075614C" w:rsidRDefault="00000000">
      <w:pPr>
        <w:keepNext/>
        <w:spacing w:before="40" w:after="200"/>
      </w:pPr>
      <w:r>
        <w:rPr>
          <w:b/>
          <w:sz w:val="22"/>
        </w:rPr>
        <w:t>Áreas de desempeño profesional</w:t>
      </w:r>
    </w:p>
    <w:p w14:paraId="703B8ABC" w14:textId="77777777" w:rsidR="0075614C" w:rsidRDefault="00000000">
      <w:pPr>
        <w:pStyle w:val="TituloCuadro"/>
        <w:keepNext/>
        <w:spacing w:before="40" w:after="80"/>
        <w:jc w:val="center"/>
      </w:pPr>
      <w:bookmarkStart w:id="113" w:name="_Toc000000321"/>
      <w:r>
        <w:rPr>
          <w:b/>
        </w:rPr>
        <w:t>Cuadro 1. Áreas de desempeño profesional del Contador Público</w:t>
      </w:r>
      <w:bookmarkEnd w:id="113"/>
    </w:p>
    <w:tbl>
      <w:tblPr>
        <w:tblW w:w="9405" w:type="dxa"/>
        <w:jc w:val="center"/>
        <w:tblLayout w:type="fixed"/>
        <w:tblLook w:val="04A0" w:firstRow="1" w:lastRow="0" w:firstColumn="1" w:lastColumn="0" w:noHBand="0" w:noVBand="1"/>
      </w:tblPr>
      <w:tblGrid>
        <w:gridCol w:w="2645"/>
        <w:gridCol w:w="6760"/>
      </w:tblGrid>
      <w:tr w:rsidR="00395D6D" w14:paraId="28514FC7" w14:textId="77777777">
        <w:trPr>
          <w:tblHeader/>
          <w:jc w:val="center"/>
        </w:trPr>
        <w:tc>
          <w:tcPr>
            <w:tcW w:w="264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74636BF" w14:textId="77777777" w:rsidR="0075614C" w:rsidRDefault="00000000">
            <w:pPr>
              <w:jc w:val="center"/>
            </w:pPr>
            <w:r>
              <w:rPr>
                <w:b/>
                <w:color w:val="FFFFFF"/>
              </w:rPr>
              <w:t>Área</w:t>
            </w:r>
          </w:p>
        </w:tc>
        <w:tc>
          <w:tcPr>
            <w:tcW w:w="676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BAF1F52" w14:textId="77777777" w:rsidR="0075614C" w:rsidRDefault="00000000">
            <w:pPr>
              <w:jc w:val="center"/>
            </w:pPr>
            <w:r>
              <w:rPr>
                <w:b/>
                <w:color w:val="FFFFFF"/>
              </w:rPr>
              <w:t>Funciones principales</w:t>
            </w:r>
          </w:p>
        </w:tc>
      </w:tr>
      <w:tr w:rsidR="00395D6D" w14:paraId="6CB976E6" w14:textId="77777777">
        <w:trPr>
          <w:jc w:val="center"/>
        </w:trPr>
        <w:tc>
          <w:tcPr>
            <w:tcW w:w="2645" w:type="dxa"/>
            <w:tcBorders>
              <w:top w:val="single" w:sz="4" w:space="0" w:color="8EAADB"/>
              <w:left w:val="single" w:sz="4" w:space="0" w:color="8EAADB"/>
              <w:bottom w:val="single" w:sz="4" w:space="0" w:color="8EAADB"/>
              <w:right w:val="single" w:sz="4" w:space="0" w:color="8EAADB"/>
            </w:tcBorders>
            <w:shd w:val="clear" w:color="auto" w:fill="D9E2F3"/>
          </w:tcPr>
          <w:p w14:paraId="526E479B" w14:textId="77777777" w:rsidR="0075614C" w:rsidRDefault="00000000">
            <w:pPr>
              <w:jc w:val="both"/>
            </w:pPr>
            <w:r>
              <w:t>Contabilidad externa e información integral</w:t>
            </w:r>
          </w:p>
        </w:tc>
        <w:tc>
          <w:tcPr>
            <w:tcW w:w="6760" w:type="dxa"/>
            <w:tcBorders>
              <w:top w:val="single" w:sz="4" w:space="0" w:color="8EAADB"/>
              <w:left w:val="single" w:sz="4" w:space="0" w:color="8EAADB"/>
              <w:bottom w:val="single" w:sz="4" w:space="0" w:color="8EAADB"/>
              <w:right w:val="single" w:sz="4" w:space="0" w:color="8EAADB"/>
            </w:tcBorders>
            <w:shd w:val="clear" w:color="auto" w:fill="D9E2F3"/>
          </w:tcPr>
          <w:p w14:paraId="6BBDD5A1" w14:textId="77777777" w:rsidR="0075614C" w:rsidRDefault="00000000">
            <w:pPr>
              <w:jc w:val="both"/>
            </w:pPr>
            <w:r>
              <w:t>Preparación, consolidación y emisión de estados financieros de propósito general y específico bajo las Normas de Contabilidad Generalmente Aceptadas en Bolivia, las Normas NIIF de Contabilidad, la NIIF para las PYMES, las Normas Básicas del Sistema de Contabilidad Gubernamental Integrado y las NICSP</w:t>
            </w:r>
          </w:p>
        </w:tc>
      </w:tr>
      <w:tr w:rsidR="00395D6D" w14:paraId="275E389F" w14:textId="77777777">
        <w:trPr>
          <w:jc w:val="center"/>
        </w:trPr>
        <w:tc>
          <w:tcPr>
            <w:tcW w:w="2645" w:type="dxa"/>
            <w:tcBorders>
              <w:top w:val="single" w:sz="4" w:space="0" w:color="8EAADB"/>
              <w:left w:val="single" w:sz="4" w:space="0" w:color="8EAADB"/>
              <w:bottom w:val="single" w:sz="4" w:space="0" w:color="8EAADB"/>
              <w:right w:val="single" w:sz="4" w:space="0" w:color="8EAADB"/>
            </w:tcBorders>
            <w:shd w:val="clear" w:color="auto" w:fill="D9E2F3"/>
          </w:tcPr>
          <w:p w14:paraId="221347AC" w14:textId="77777777" w:rsidR="0075614C" w:rsidRDefault="00000000">
            <w:pPr>
              <w:jc w:val="both"/>
            </w:pPr>
            <w:r>
              <w:t>Contabilidad interna y de gestión</w:t>
            </w:r>
          </w:p>
        </w:tc>
        <w:tc>
          <w:tcPr>
            <w:tcW w:w="6760" w:type="dxa"/>
            <w:tcBorders>
              <w:top w:val="single" w:sz="4" w:space="0" w:color="8EAADB"/>
              <w:left w:val="single" w:sz="4" w:space="0" w:color="8EAADB"/>
              <w:bottom w:val="single" w:sz="4" w:space="0" w:color="8EAADB"/>
              <w:right w:val="single" w:sz="4" w:space="0" w:color="8EAADB"/>
            </w:tcBorders>
            <w:shd w:val="clear" w:color="auto" w:fill="D9E2F3"/>
          </w:tcPr>
          <w:p w14:paraId="58B15D89" w14:textId="77777777" w:rsidR="0075614C" w:rsidRDefault="00000000">
            <w:pPr>
              <w:jc w:val="both"/>
            </w:pPr>
            <w:r>
              <w:t>Sistemas de costos, presupuestos, indicadores de gestión, cuadros de mando integral e información prospectiva para decisiones estratégicas</w:t>
            </w:r>
          </w:p>
        </w:tc>
      </w:tr>
      <w:tr w:rsidR="00395D6D" w14:paraId="03A08691" w14:textId="77777777">
        <w:trPr>
          <w:jc w:val="center"/>
        </w:trPr>
        <w:tc>
          <w:tcPr>
            <w:tcW w:w="2645" w:type="dxa"/>
            <w:tcBorders>
              <w:top w:val="single" w:sz="4" w:space="0" w:color="8EAADB"/>
              <w:left w:val="single" w:sz="4" w:space="0" w:color="8EAADB"/>
              <w:bottom w:val="single" w:sz="4" w:space="0" w:color="8EAADB"/>
              <w:right w:val="single" w:sz="4" w:space="0" w:color="8EAADB"/>
            </w:tcBorders>
            <w:shd w:val="clear" w:color="auto" w:fill="D9E2F3"/>
          </w:tcPr>
          <w:p w14:paraId="64AEFC28" w14:textId="77777777" w:rsidR="0075614C" w:rsidRDefault="00000000">
            <w:pPr>
              <w:jc w:val="both"/>
            </w:pPr>
            <w:r>
              <w:t>Servicios de aseguramiento</w:t>
            </w:r>
          </w:p>
        </w:tc>
        <w:tc>
          <w:tcPr>
            <w:tcW w:w="6760" w:type="dxa"/>
            <w:tcBorders>
              <w:top w:val="single" w:sz="4" w:space="0" w:color="8EAADB"/>
              <w:left w:val="single" w:sz="4" w:space="0" w:color="8EAADB"/>
              <w:bottom w:val="single" w:sz="4" w:space="0" w:color="8EAADB"/>
              <w:right w:val="single" w:sz="4" w:space="0" w:color="8EAADB"/>
            </w:tcBorders>
            <w:shd w:val="clear" w:color="auto" w:fill="D9E2F3"/>
          </w:tcPr>
          <w:p w14:paraId="280C86EA" w14:textId="77777777" w:rsidR="0075614C" w:rsidRDefault="00000000">
            <w:pPr>
              <w:jc w:val="both"/>
            </w:pPr>
            <w:r>
              <w:t>Encargos de seguridad razonable, como auditoría financiera, gubernamental, operativa, de sistemas, de sostenibilidad, ambiental, forense y de proyectos, y encargos de seguridad limitada, como la revisión de información financiera, bajo las NAGA, las NIA, las Normas de Auditoría Gubernamental, las NIEA, la NIAS 5000 y las NIER</w:t>
            </w:r>
          </w:p>
        </w:tc>
      </w:tr>
      <w:tr w:rsidR="00395D6D" w14:paraId="61D84E5D" w14:textId="77777777">
        <w:trPr>
          <w:jc w:val="center"/>
        </w:trPr>
        <w:tc>
          <w:tcPr>
            <w:tcW w:w="2645" w:type="dxa"/>
            <w:tcBorders>
              <w:top w:val="single" w:sz="4" w:space="0" w:color="8EAADB"/>
              <w:left w:val="single" w:sz="4" w:space="0" w:color="8EAADB"/>
              <w:bottom w:val="single" w:sz="4" w:space="0" w:color="8EAADB"/>
              <w:right w:val="single" w:sz="4" w:space="0" w:color="8EAADB"/>
            </w:tcBorders>
            <w:shd w:val="clear" w:color="auto" w:fill="D9E2F3"/>
          </w:tcPr>
          <w:p w14:paraId="40572E0F" w14:textId="77777777" w:rsidR="0075614C" w:rsidRDefault="00000000">
            <w:pPr>
              <w:jc w:val="both"/>
            </w:pPr>
            <w:r>
              <w:t>Servicios distintos del aseguramiento</w:t>
            </w:r>
          </w:p>
        </w:tc>
        <w:tc>
          <w:tcPr>
            <w:tcW w:w="6760" w:type="dxa"/>
            <w:tcBorders>
              <w:top w:val="single" w:sz="4" w:space="0" w:color="8EAADB"/>
              <w:left w:val="single" w:sz="4" w:space="0" w:color="8EAADB"/>
              <w:bottom w:val="single" w:sz="4" w:space="0" w:color="8EAADB"/>
              <w:right w:val="single" w:sz="4" w:space="0" w:color="8EAADB"/>
            </w:tcBorders>
            <w:shd w:val="clear" w:color="auto" w:fill="D9E2F3"/>
          </w:tcPr>
          <w:p w14:paraId="6B8ED6EE" w14:textId="77777777" w:rsidR="0075614C" w:rsidRDefault="00000000">
            <w:pPr>
              <w:jc w:val="both"/>
            </w:pPr>
            <w:r>
              <w:t>Procedimientos acordados conforme a la NISR 4400, compilación de información financiera conforme a la NISR 4410, peritajes judiciales y consultoría de organización y métodos</w:t>
            </w:r>
          </w:p>
        </w:tc>
      </w:tr>
      <w:tr w:rsidR="00395D6D" w14:paraId="07A81FC1" w14:textId="77777777">
        <w:trPr>
          <w:jc w:val="center"/>
        </w:trPr>
        <w:tc>
          <w:tcPr>
            <w:tcW w:w="2645" w:type="dxa"/>
            <w:tcBorders>
              <w:top w:val="single" w:sz="4" w:space="0" w:color="8EAADB"/>
              <w:left w:val="single" w:sz="4" w:space="0" w:color="8EAADB"/>
              <w:bottom w:val="single" w:sz="4" w:space="0" w:color="8EAADB"/>
              <w:right w:val="single" w:sz="4" w:space="0" w:color="8EAADB"/>
            </w:tcBorders>
            <w:shd w:val="clear" w:color="auto" w:fill="D9E2F3"/>
          </w:tcPr>
          <w:p w14:paraId="424320D3" w14:textId="77777777" w:rsidR="0075614C" w:rsidRDefault="00000000">
            <w:pPr>
              <w:jc w:val="both"/>
            </w:pPr>
            <w:r>
              <w:t>Tributación</w:t>
            </w:r>
          </w:p>
        </w:tc>
        <w:tc>
          <w:tcPr>
            <w:tcW w:w="6760" w:type="dxa"/>
            <w:tcBorders>
              <w:top w:val="single" w:sz="4" w:space="0" w:color="8EAADB"/>
              <w:left w:val="single" w:sz="4" w:space="0" w:color="8EAADB"/>
              <w:bottom w:val="single" w:sz="4" w:space="0" w:color="8EAADB"/>
              <w:right w:val="single" w:sz="4" w:space="0" w:color="8EAADB"/>
            </w:tcBorders>
            <w:shd w:val="clear" w:color="auto" w:fill="D9E2F3"/>
          </w:tcPr>
          <w:p w14:paraId="244F0CBB" w14:textId="77777777" w:rsidR="0075614C" w:rsidRDefault="00000000">
            <w:pPr>
              <w:jc w:val="both"/>
            </w:pPr>
            <w:r>
              <w:t xml:space="preserve">Planificación, determinación, liquidación y auditoría de </w:t>
            </w:r>
            <w:r>
              <w:lastRenderedPageBreak/>
              <w:t>obligaciones tributarias nacionales, departamentales y municipales, en el marco del Código Tributario y la legislación aduanera</w:t>
            </w:r>
          </w:p>
        </w:tc>
      </w:tr>
      <w:tr w:rsidR="00395D6D" w14:paraId="25DDEAA2" w14:textId="77777777">
        <w:trPr>
          <w:jc w:val="center"/>
        </w:trPr>
        <w:tc>
          <w:tcPr>
            <w:tcW w:w="2645" w:type="dxa"/>
            <w:tcBorders>
              <w:top w:val="single" w:sz="4" w:space="0" w:color="8EAADB"/>
              <w:left w:val="single" w:sz="4" w:space="0" w:color="8EAADB"/>
              <w:bottom w:val="single" w:sz="4" w:space="0" w:color="8EAADB"/>
              <w:right w:val="single" w:sz="4" w:space="0" w:color="8EAADB"/>
            </w:tcBorders>
            <w:shd w:val="clear" w:color="auto" w:fill="D9E2F3"/>
          </w:tcPr>
          <w:p w14:paraId="57D6DCF8" w14:textId="77777777" w:rsidR="0075614C" w:rsidRDefault="00000000">
            <w:pPr>
              <w:jc w:val="both"/>
            </w:pPr>
            <w:r>
              <w:lastRenderedPageBreak/>
              <w:t>Finanzas corporativas</w:t>
            </w:r>
          </w:p>
        </w:tc>
        <w:tc>
          <w:tcPr>
            <w:tcW w:w="6760" w:type="dxa"/>
            <w:tcBorders>
              <w:top w:val="single" w:sz="4" w:space="0" w:color="8EAADB"/>
              <w:left w:val="single" w:sz="4" w:space="0" w:color="8EAADB"/>
              <w:bottom w:val="single" w:sz="4" w:space="0" w:color="8EAADB"/>
              <w:right w:val="single" w:sz="4" w:space="0" w:color="8EAADB"/>
            </w:tcBorders>
            <w:shd w:val="clear" w:color="auto" w:fill="D9E2F3"/>
          </w:tcPr>
          <w:p w14:paraId="68E7F639" w14:textId="77777777" w:rsidR="0075614C" w:rsidRDefault="00000000">
            <w:pPr>
              <w:jc w:val="both"/>
            </w:pPr>
            <w:r>
              <w:t>Dirección financiera, presupuestación de capital, gestión en mercados de valores, evaluación de proyectos de inversión y políticas de estructuración de capital</w:t>
            </w:r>
          </w:p>
        </w:tc>
      </w:tr>
      <w:tr w:rsidR="00395D6D" w14:paraId="215F04D1" w14:textId="77777777">
        <w:trPr>
          <w:jc w:val="center"/>
        </w:trPr>
        <w:tc>
          <w:tcPr>
            <w:tcW w:w="2645" w:type="dxa"/>
            <w:tcBorders>
              <w:top w:val="single" w:sz="4" w:space="0" w:color="8EAADB"/>
              <w:left w:val="single" w:sz="4" w:space="0" w:color="8EAADB"/>
              <w:bottom w:val="single" w:sz="4" w:space="0" w:color="8EAADB"/>
              <w:right w:val="single" w:sz="4" w:space="0" w:color="8EAADB"/>
            </w:tcBorders>
            <w:shd w:val="clear" w:color="auto" w:fill="D9E2F3"/>
          </w:tcPr>
          <w:p w14:paraId="4D7F2157" w14:textId="77777777" w:rsidR="0075614C" w:rsidRDefault="00000000">
            <w:pPr>
              <w:jc w:val="both"/>
            </w:pPr>
            <w:r>
              <w:t>Gobernanza, control interno y riesgos</w:t>
            </w:r>
          </w:p>
        </w:tc>
        <w:tc>
          <w:tcPr>
            <w:tcW w:w="6760" w:type="dxa"/>
            <w:tcBorders>
              <w:top w:val="single" w:sz="4" w:space="0" w:color="8EAADB"/>
              <w:left w:val="single" w:sz="4" w:space="0" w:color="8EAADB"/>
              <w:bottom w:val="single" w:sz="4" w:space="0" w:color="8EAADB"/>
              <w:right w:val="single" w:sz="4" w:space="0" w:color="8EAADB"/>
            </w:tcBorders>
            <w:shd w:val="clear" w:color="auto" w:fill="D9E2F3"/>
          </w:tcPr>
          <w:p w14:paraId="212EF44D" w14:textId="77777777" w:rsidR="0075614C" w:rsidRDefault="00000000">
            <w:pPr>
              <w:jc w:val="both"/>
            </w:pPr>
            <w:r>
              <w:t>Evaluación y diseño de estructuras de control interno, gestión de riesgos empresariales y gobernanza digital</w:t>
            </w:r>
          </w:p>
        </w:tc>
      </w:tr>
    </w:tbl>
    <w:p w14:paraId="55488D68" w14:textId="77777777" w:rsidR="0075614C" w:rsidRDefault="0075614C">
      <w:pPr>
        <w:spacing w:after="120"/>
      </w:pPr>
    </w:p>
    <w:p w14:paraId="5B65B38F" w14:textId="77777777" w:rsidR="0075614C" w:rsidRDefault="00000000">
      <w:pPr>
        <w:keepNext/>
        <w:spacing w:before="40" w:after="200"/>
      </w:pPr>
      <w:r>
        <w:rPr>
          <w:b/>
          <w:sz w:val="22"/>
        </w:rPr>
        <w:t>Sistema de acciones y herramientas</w:t>
      </w:r>
    </w:p>
    <w:p w14:paraId="67A65A8D" w14:textId="77777777" w:rsidR="0075614C" w:rsidRDefault="00000000">
      <w:pPr>
        <w:spacing w:after="200"/>
        <w:jc w:val="both"/>
      </w:pPr>
      <w:r>
        <w:t>El sistema de acciones comprende las operaciones, procedimientos, metodologías, instrumentos tecnológicos y lenguajes mediante los cuales el profesional resuelve problemas concretos. Se distinguen actividades invariantes, que forman el núcleo permanente de la profesión, y actividades variantes, que corresponden a los campos emergentes.</w:t>
      </w:r>
    </w:p>
    <w:p w14:paraId="73ECB8BF" w14:textId="77777777" w:rsidR="0075614C" w:rsidRDefault="00000000">
      <w:pPr>
        <w:spacing w:after="200"/>
        <w:jc w:val="both"/>
      </w:pPr>
      <w:r>
        <w:rPr>
          <w:b/>
        </w:rPr>
        <w:t>Actividades invariantes.</w:t>
      </w:r>
      <w:r>
        <w:t xml:space="preserve"> Son las actuaciones indispensables del Contador Público, independientemente del sector o de la organización:</w:t>
      </w:r>
    </w:p>
    <w:p w14:paraId="5B787C4F" w14:textId="77777777" w:rsidR="0075614C" w:rsidRDefault="00000000">
      <w:pPr>
        <w:numPr>
          <w:ilvl w:val="0"/>
          <w:numId w:val="25"/>
        </w:numPr>
        <w:spacing w:after="160"/>
        <w:jc w:val="both"/>
      </w:pPr>
      <w:r>
        <w:rPr>
          <w:b/>
        </w:rPr>
        <w:t>Diseño, operación y supervisión de sistemas de información financiera y de sostenibilidad:</w:t>
      </w:r>
      <w:r>
        <w:t xml:space="preserve"> estructurar el plan de cuentas, las políticas contables y los flujos de información bajo las normas de información financiera nacionales e internacionales y del sector público, y elaborar, consolidar y presentar el juego completo de estados financieros e informes de sostenibilidad con sus notas.</w:t>
      </w:r>
    </w:p>
    <w:p w14:paraId="3845C588" w14:textId="77777777" w:rsidR="0075614C" w:rsidRDefault="00000000">
      <w:pPr>
        <w:numPr>
          <w:ilvl w:val="0"/>
          <w:numId w:val="25"/>
        </w:numPr>
        <w:spacing w:after="160"/>
        <w:jc w:val="both"/>
      </w:pPr>
      <w:r>
        <w:rPr>
          <w:b/>
        </w:rPr>
        <w:t>Ejecución de servicios de aseguramiento y auditoría:</w:t>
      </w:r>
      <w:r>
        <w:t xml:space="preserve"> planificar, ejecutar y </w:t>
      </w:r>
      <w:r w:rsidR="00B91FBA">
        <w:t>emitir una opinión en</w:t>
      </w:r>
      <w:r>
        <w:t xml:space="preserve"> auditorías de estados financieros bajo las NAGA o las NIA; realizar auditorías gubernamentales y de control posterior conforme a las Normas de Auditoría Gubernamental y la Ley N.º 1178; evaluar la eficacia del control interno con el marco COSO; y realizar auditorías operativas, de sistemas y ambientales, entre otras.</w:t>
      </w:r>
    </w:p>
    <w:p w14:paraId="67B7BC49" w14:textId="77777777" w:rsidR="0075614C" w:rsidRDefault="00000000">
      <w:pPr>
        <w:numPr>
          <w:ilvl w:val="0"/>
          <w:numId w:val="25"/>
        </w:numPr>
        <w:spacing w:after="200"/>
        <w:jc w:val="both"/>
      </w:pPr>
      <w:r>
        <w:rPr>
          <w:b/>
        </w:rPr>
        <w:t>Gestión y cumplimiento tributario, fiscal y laboral:</w:t>
      </w:r>
      <w:r>
        <w:t xml:space="preserve"> determinar, liquidar y revisar las obligaciones impositivas nacionales, departamentales y municipales, y verificar el cumplimiento de los aportes a la seguridad social y de la normativa laboral.</w:t>
      </w:r>
    </w:p>
    <w:p w14:paraId="0EBF1A1C" w14:textId="77777777" w:rsidR="0075614C" w:rsidRDefault="00000000">
      <w:pPr>
        <w:spacing w:after="200"/>
        <w:jc w:val="both"/>
      </w:pPr>
      <w:r>
        <w:rPr>
          <w:b/>
        </w:rPr>
        <w:t>Actividades variantes.</w:t>
      </w:r>
      <w:r>
        <w:t xml:space="preserve"> Son las acciones que responden a la transformación tecnológica, la complejidad de los negocios y l</w:t>
      </w:r>
      <w:r w:rsidR="0072640D">
        <w:t xml:space="preserve">as nuevas necesidades </w:t>
      </w:r>
      <w:r>
        <w:t>de</w:t>
      </w:r>
      <w:r w:rsidR="0072640D">
        <w:t>l</w:t>
      </w:r>
      <w:r>
        <w:t xml:space="preserve"> mercado</w:t>
      </w:r>
      <w:r w:rsidR="0072640D">
        <w:t xml:space="preserve"> profesional, mismos que se presentan a continuación de manera descriptiva y no excluyente:</w:t>
      </w:r>
    </w:p>
    <w:p w14:paraId="545952A0" w14:textId="77777777" w:rsidR="0075614C" w:rsidRDefault="00000000">
      <w:pPr>
        <w:numPr>
          <w:ilvl w:val="0"/>
          <w:numId w:val="26"/>
        </w:numPr>
        <w:spacing w:after="160"/>
        <w:jc w:val="both"/>
      </w:pPr>
      <w:r>
        <w:rPr>
          <w:b/>
        </w:rPr>
        <w:t>Gobernanza digital, auditoría de tecnologías de la información e inteligencia artificial:</w:t>
      </w:r>
      <w:r>
        <w:t xml:space="preserve"> auditar la seguridad, la ciberseguridad y la confiabilidad de los algoritmos usados en procesos financieros automatizados, y validar la automatización robótica de procesos y los sistemas en la nube.</w:t>
      </w:r>
    </w:p>
    <w:p w14:paraId="01C3B5A5" w14:textId="77777777" w:rsidR="0075614C" w:rsidRDefault="00000000">
      <w:pPr>
        <w:numPr>
          <w:ilvl w:val="0"/>
          <w:numId w:val="26"/>
        </w:numPr>
        <w:spacing w:after="160"/>
        <w:jc w:val="both"/>
      </w:pPr>
      <w:r>
        <w:rPr>
          <w:b/>
        </w:rPr>
        <w:t>Auditoría forense, peritaje y prevención de delitos económicos:</w:t>
      </w:r>
      <w:r>
        <w:t xml:space="preserve"> evaluar fraudes financieros, malversación de activos, delitos tributarios y legitimación de ganancias ilícitas, y elaborar informes periciales con valor probatorio.</w:t>
      </w:r>
    </w:p>
    <w:p w14:paraId="4C1C3589" w14:textId="77777777" w:rsidR="0075614C" w:rsidRDefault="00000000">
      <w:pPr>
        <w:numPr>
          <w:ilvl w:val="0"/>
          <w:numId w:val="26"/>
        </w:numPr>
        <w:spacing w:after="160"/>
        <w:jc w:val="both"/>
      </w:pPr>
      <w:r>
        <w:rPr>
          <w:b/>
        </w:rPr>
        <w:t>Aseguramiento de informes de sostenibilidad:</w:t>
      </w:r>
      <w:r>
        <w:t xml:space="preserve"> revisar con seguridad razonable o limitada, bajo la NIAS 5000, los indicadores de impacto ambiental, social y de gobernanza de las empresas.</w:t>
      </w:r>
    </w:p>
    <w:p w14:paraId="713EA442" w14:textId="77777777" w:rsidR="0075614C" w:rsidRDefault="00000000">
      <w:pPr>
        <w:numPr>
          <w:ilvl w:val="0"/>
          <w:numId w:val="26"/>
        </w:numPr>
        <w:spacing w:after="160"/>
        <w:jc w:val="both"/>
      </w:pPr>
      <w:r>
        <w:rPr>
          <w:b/>
        </w:rPr>
        <w:lastRenderedPageBreak/>
        <w:t>Consultoría en gestión integral de riesgos y finanzas corporativas:</w:t>
      </w:r>
      <w:r>
        <w:t xml:space="preserve"> diseñar tableros de control, modelos de valoración de empresas, reestructuraciones financieras y análisis de precios de transferencia.</w:t>
      </w:r>
    </w:p>
    <w:p w14:paraId="0B306081" w14:textId="77777777" w:rsidR="0075614C" w:rsidRDefault="00000000">
      <w:pPr>
        <w:numPr>
          <w:ilvl w:val="0"/>
          <w:numId w:val="26"/>
        </w:numPr>
        <w:spacing w:after="200"/>
        <w:jc w:val="both"/>
      </w:pPr>
      <w:r>
        <w:rPr>
          <w:b/>
        </w:rPr>
        <w:t>Investigación, innovación y docencia universitaria:</w:t>
      </w:r>
      <w:r>
        <w:t xml:space="preserve"> desarrollar investigación contable aplicada, generar conocimiento disciplinar y promover metodologías de enseñanza situadas.</w:t>
      </w:r>
    </w:p>
    <w:p w14:paraId="59F2F753" w14:textId="77777777" w:rsidR="0075614C" w:rsidRDefault="00000000">
      <w:pPr>
        <w:spacing w:after="200"/>
        <w:jc w:val="both"/>
      </w:pPr>
      <w:r>
        <w:rPr>
          <w:b/>
        </w:rPr>
        <w:t>Herramientas tecnológicas, analíticas y metodológicas.</w:t>
      </w:r>
      <w:r>
        <w:t xml:space="preserve"> El profesional utiliza sistemas de planificación de recursos empresariales, como SAP, Oracle u Odoo, y sistemas contables y tributarios de uso extendido; herramientas de inteligencia de negocios y analítica de datos, como Power BI, Tableau, Python o R aplicados a finanzas; inteligencia artificial generativa para la clasificación de transacciones, la redacción asistida de notas y la automatización de flujos de trabajo; y matrices de riesgo y control, programas de auditoría en software especializado y reporte estructurado en XBRL.</w:t>
      </w:r>
    </w:p>
    <w:p w14:paraId="59070969" w14:textId="77777777" w:rsidR="0075614C" w:rsidRDefault="00000000">
      <w:pPr>
        <w:spacing w:after="200"/>
        <w:jc w:val="both"/>
      </w:pPr>
      <w:r>
        <w:rPr>
          <w:b/>
        </w:rPr>
        <w:t>Lenguaje técnico e internacionalización.</w:t>
      </w:r>
      <w:r>
        <w:t xml:space="preserve"> El ejercicio profesional exige el dominio de la terminología normalizada por la IFAC, el IAASB, el IASB, el ISSB y el IESBA</w:t>
      </w:r>
      <w:r w:rsidR="0072640D">
        <w:t>, Normativa del Sector Gubernamental</w:t>
      </w:r>
      <w:r>
        <w:t>, y el uso progresivo del inglés técnico contable para la lectura de estándares no traducidos, la operación de software especializado y la comunicación con firmas globales, demanda que el 89 % de los estudiantes identifica en el diagnóstico.</w:t>
      </w:r>
    </w:p>
    <w:p w14:paraId="7E00EE50" w14:textId="77777777" w:rsidR="0075614C" w:rsidRDefault="00000000">
      <w:pPr>
        <w:keepNext/>
        <w:tabs>
          <w:tab w:val="left" w:pos="709"/>
        </w:tabs>
        <w:spacing w:before="80" w:after="200"/>
        <w:ind w:left="709" w:hanging="709"/>
        <w:outlineLvl w:val="2"/>
      </w:pPr>
      <w:bookmarkStart w:id="114" w:name="_Toc000000070"/>
      <w:r>
        <w:rPr>
          <w:b/>
          <w:sz w:val="22"/>
        </w:rPr>
        <w:t>4.2.4</w:t>
      </w:r>
      <w:r>
        <w:rPr>
          <w:b/>
          <w:sz w:val="22"/>
        </w:rPr>
        <w:tab/>
        <w:t>Objeto de la profesión</w:t>
      </w:r>
      <w:bookmarkEnd w:id="114"/>
    </w:p>
    <w:p w14:paraId="04C365DB" w14:textId="77777777" w:rsidR="0075614C" w:rsidRDefault="00000000">
      <w:pPr>
        <w:spacing w:after="200"/>
        <w:jc w:val="both"/>
      </w:pPr>
      <w:r>
        <w:t>El objeto de estudio y de desempeño de la Contaduría Pública abarca la medición, el análisis, el control, el procesamiento, el aseguramiento y la comunicación de la información económica, financiera y no financiera, esta última operativa, social, ambiental y de gestión, correspondiente a los hechos y eventos que ocurren en las organizaciones del sector público, privado y mixto.</w:t>
      </w:r>
    </w:p>
    <w:p w14:paraId="57274086" w14:textId="77777777" w:rsidR="0075614C" w:rsidRDefault="00000000">
      <w:pPr>
        <w:spacing w:after="200"/>
        <w:jc w:val="both"/>
      </w:pPr>
      <w:r>
        <w:t>En la economía global y digital, el objeto evoluciona desde la teneduría de libros y el registro tradicional hacia la gestión integral del sistema de información organizacional, con indicadores de sostenibilidad, analítica de datos e inteligencia artificial, para generar confianza y facilitar la toma de decisiones de los usuarios. La contabilidad se entiende así como un sistema de información integrado que opera en cinco fases:</w:t>
      </w:r>
    </w:p>
    <w:p w14:paraId="17E336D7" w14:textId="77777777" w:rsidR="0075614C" w:rsidRDefault="00000000">
      <w:pPr>
        <w:pStyle w:val="TituloCuadro"/>
        <w:keepNext/>
        <w:spacing w:before="40" w:after="80"/>
        <w:jc w:val="center"/>
      </w:pPr>
      <w:bookmarkStart w:id="115" w:name="_Toc000000322"/>
      <w:r>
        <w:rPr>
          <w:b/>
        </w:rPr>
        <w:t>Cuadro 2. La contabilidad como sistema de información organizacional</w:t>
      </w:r>
      <w:bookmarkEnd w:id="115"/>
    </w:p>
    <w:tbl>
      <w:tblPr>
        <w:tblW w:w="9405" w:type="dxa"/>
        <w:jc w:val="center"/>
        <w:tblLayout w:type="fixed"/>
        <w:tblLook w:val="04A0" w:firstRow="1" w:lastRow="0" w:firstColumn="1" w:lastColumn="0" w:noHBand="0" w:noVBand="1"/>
      </w:tblPr>
      <w:tblGrid>
        <w:gridCol w:w="2178"/>
        <w:gridCol w:w="3582"/>
        <w:gridCol w:w="3645"/>
      </w:tblGrid>
      <w:tr w:rsidR="00395D6D" w14:paraId="7362453D" w14:textId="77777777" w:rsidTr="008F7367">
        <w:trPr>
          <w:tblHeader/>
          <w:jc w:val="center"/>
        </w:trPr>
        <w:tc>
          <w:tcPr>
            <w:tcW w:w="217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2BB87A3" w14:textId="77777777" w:rsidR="0075614C" w:rsidRDefault="00000000">
            <w:pPr>
              <w:jc w:val="center"/>
            </w:pPr>
            <w:r>
              <w:rPr>
                <w:b/>
                <w:color w:val="FFFFFF"/>
              </w:rPr>
              <w:t>Fase</w:t>
            </w:r>
          </w:p>
        </w:tc>
        <w:tc>
          <w:tcPr>
            <w:tcW w:w="358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F4F2E29" w14:textId="77777777" w:rsidR="0075614C" w:rsidRDefault="00000000">
            <w:pPr>
              <w:jc w:val="center"/>
            </w:pPr>
            <w:r>
              <w:rPr>
                <w:b/>
                <w:color w:val="FFFFFF"/>
              </w:rPr>
              <w:t>Acción</w:t>
            </w:r>
          </w:p>
        </w:tc>
        <w:tc>
          <w:tcPr>
            <w:tcW w:w="364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BAAD2B5" w14:textId="77777777" w:rsidR="0075614C" w:rsidRDefault="00000000">
            <w:pPr>
              <w:jc w:val="center"/>
            </w:pPr>
            <w:r>
              <w:rPr>
                <w:b/>
                <w:color w:val="FFFFFF"/>
              </w:rPr>
              <w:t>Enfoque actualizado</w:t>
            </w:r>
          </w:p>
        </w:tc>
      </w:tr>
      <w:tr w:rsidR="00395D6D" w14:paraId="6D9227E8" w14:textId="77777777" w:rsidTr="008F7367">
        <w:trPr>
          <w:jc w:val="center"/>
        </w:trPr>
        <w:tc>
          <w:tcPr>
            <w:tcW w:w="2178" w:type="dxa"/>
            <w:tcBorders>
              <w:top w:val="single" w:sz="4" w:space="0" w:color="8EAADB"/>
              <w:left w:val="single" w:sz="4" w:space="0" w:color="8EAADB"/>
              <w:bottom w:val="single" w:sz="4" w:space="0" w:color="8EAADB"/>
              <w:right w:val="single" w:sz="4" w:space="0" w:color="8EAADB"/>
            </w:tcBorders>
            <w:shd w:val="clear" w:color="auto" w:fill="D9E2F3"/>
          </w:tcPr>
          <w:p w14:paraId="1C072D0C" w14:textId="77777777" w:rsidR="0075614C" w:rsidRDefault="00000000" w:rsidP="008F7367">
            <w:pPr>
              <w:jc w:val="both"/>
            </w:pPr>
            <w:r>
              <w:t>Alimentación o insumo</w:t>
            </w:r>
          </w:p>
        </w:tc>
        <w:tc>
          <w:tcPr>
            <w:tcW w:w="3582" w:type="dxa"/>
            <w:tcBorders>
              <w:top w:val="single" w:sz="4" w:space="0" w:color="8EAADB"/>
              <w:left w:val="single" w:sz="4" w:space="0" w:color="8EAADB"/>
              <w:bottom w:val="single" w:sz="4" w:space="0" w:color="8EAADB"/>
              <w:right w:val="single" w:sz="4" w:space="0" w:color="8EAADB"/>
            </w:tcBorders>
            <w:shd w:val="clear" w:color="auto" w:fill="D9E2F3"/>
          </w:tcPr>
          <w:p w14:paraId="5A57F0D0" w14:textId="77777777" w:rsidR="0075614C" w:rsidRDefault="00000000" w:rsidP="008F7367">
            <w:pPr>
              <w:jc w:val="both"/>
            </w:pPr>
            <w:r>
              <w:t>Captura los datos de las transacciones y eventos económicos, jurídicos, administrativos, sociales y ambientales, debidamente respaldados</w:t>
            </w:r>
          </w:p>
        </w:tc>
        <w:tc>
          <w:tcPr>
            <w:tcW w:w="3645" w:type="dxa"/>
            <w:tcBorders>
              <w:top w:val="single" w:sz="4" w:space="0" w:color="8EAADB"/>
              <w:left w:val="single" w:sz="4" w:space="0" w:color="8EAADB"/>
              <w:bottom w:val="single" w:sz="4" w:space="0" w:color="8EAADB"/>
              <w:right w:val="single" w:sz="4" w:space="0" w:color="8EAADB"/>
            </w:tcBorders>
            <w:shd w:val="clear" w:color="auto" w:fill="D9E2F3"/>
          </w:tcPr>
          <w:p w14:paraId="7ABE3207" w14:textId="77777777" w:rsidR="0075614C" w:rsidRDefault="00000000" w:rsidP="008F7367">
            <w:pPr>
              <w:jc w:val="both"/>
            </w:pPr>
            <w:r>
              <w:t>Captura automatizada mediante sistemas de gestión empresarial, comprobantes electrónicos y flujos de información operativa y de sostenibilidad</w:t>
            </w:r>
          </w:p>
        </w:tc>
      </w:tr>
      <w:tr w:rsidR="00395D6D" w14:paraId="594600AA" w14:textId="77777777" w:rsidTr="008F7367">
        <w:trPr>
          <w:jc w:val="center"/>
        </w:trPr>
        <w:tc>
          <w:tcPr>
            <w:tcW w:w="2178" w:type="dxa"/>
            <w:tcBorders>
              <w:top w:val="single" w:sz="4" w:space="0" w:color="8EAADB"/>
              <w:left w:val="single" w:sz="4" w:space="0" w:color="8EAADB"/>
              <w:bottom w:val="single" w:sz="4" w:space="0" w:color="8EAADB"/>
              <w:right w:val="single" w:sz="4" w:space="0" w:color="8EAADB"/>
            </w:tcBorders>
            <w:shd w:val="clear" w:color="auto" w:fill="D9E2F3"/>
          </w:tcPr>
          <w:p w14:paraId="1B11E8BE" w14:textId="77777777" w:rsidR="0075614C" w:rsidRDefault="00000000" w:rsidP="008F7367">
            <w:pPr>
              <w:jc w:val="both"/>
            </w:pPr>
            <w:r>
              <w:t>Procesamiento</w:t>
            </w:r>
          </w:p>
        </w:tc>
        <w:tc>
          <w:tcPr>
            <w:tcW w:w="3582" w:type="dxa"/>
            <w:tcBorders>
              <w:top w:val="single" w:sz="4" w:space="0" w:color="8EAADB"/>
              <w:left w:val="single" w:sz="4" w:space="0" w:color="8EAADB"/>
              <w:bottom w:val="single" w:sz="4" w:space="0" w:color="8EAADB"/>
              <w:right w:val="single" w:sz="4" w:space="0" w:color="8EAADB"/>
            </w:tcBorders>
            <w:shd w:val="clear" w:color="auto" w:fill="D9E2F3"/>
          </w:tcPr>
          <w:p w14:paraId="191A8570" w14:textId="77777777" w:rsidR="0075614C" w:rsidRDefault="00000000" w:rsidP="008F7367">
            <w:pPr>
              <w:jc w:val="both"/>
            </w:pPr>
            <w:r>
              <w:t>Analiza, clasifica, mide y registra conforme a las normas de información financiera nacionales e internacionales, del sector público, tributarias y legales vigentes</w:t>
            </w:r>
          </w:p>
        </w:tc>
        <w:tc>
          <w:tcPr>
            <w:tcW w:w="3645" w:type="dxa"/>
            <w:tcBorders>
              <w:top w:val="single" w:sz="4" w:space="0" w:color="8EAADB"/>
              <w:left w:val="single" w:sz="4" w:space="0" w:color="8EAADB"/>
              <w:bottom w:val="single" w:sz="4" w:space="0" w:color="8EAADB"/>
              <w:right w:val="single" w:sz="4" w:space="0" w:color="8EAADB"/>
            </w:tcBorders>
            <w:shd w:val="clear" w:color="auto" w:fill="D9E2F3"/>
          </w:tcPr>
          <w:p w14:paraId="297DC6F2" w14:textId="77777777" w:rsidR="0075614C" w:rsidRDefault="00000000" w:rsidP="008F7367">
            <w:pPr>
              <w:jc w:val="both"/>
            </w:pPr>
            <w:r>
              <w:t>Analítica de datos, automatización robótica de procesos y modelos de validación de la consistencia de los datos</w:t>
            </w:r>
          </w:p>
        </w:tc>
      </w:tr>
      <w:tr w:rsidR="00395D6D" w14:paraId="4CE4EB99" w14:textId="77777777" w:rsidTr="008F7367">
        <w:trPr>
          <w:jc w:val="center"/>
        </w:trPr>
        <w:tc>
          <w:tcPr>
            <w:tcW w:w="2178" w:type="dxa"/>
            <w:tcBorders>
              <w:top w:val="single" w:sz="4" w:space="0" w:color="8EAADB"/>
              <w:left w:val="single" w:sz="4" w:space="0" w:color="8EAADB"/>
              <w:bottom w:val="single" w:sz="4" w:space="0" w:color="8EAADB"/>
              <w:right w:val="single" w:sz="4" w:space="0" w:color="8EAADB"/>
            </w:tcBorders>
            <w:shd w:val="clear" w:color="auto" w:fill="D9E2F3"/>
          </w:tcPr>
          <w:p w14:paraId="6D944FEC" w14:textId="77777777" w:rsidR="0075614C" w:rsidRDefault="00000000" w:rsidP="008F7367">
            <w:pPr>
              <w:jc w:val="both"/>
            </w:pPr>
            <w:r>
              <w:t xml:space="preserve">Almacenamiento y gobernanza de </w:t>
            </w:r>
            <w:r>
              <w:lastRenderedPageBreak/>
              <w:t>datos</w:t>
            </w:r>
          </w:p>
        </w:tc>
        <w:tc>
          <w:tcPr>
            <w:tcW w:w="3582" w:type="dxa"/>
            <w:tcBorders>
              <w:top w:val="single" w:sz="4" w:space="0" w:color="8EAADB"/>
              <w:left w:val="single" w:sz="4" w:space="0" w:color="8EAADB"/>
              <w:bottom w:val="single" w:sz="4" w:space="0" w:color="8EAADB"/>
              <w:right w:val="single" w:sz="4" w:space="0" w:color="8EAADB"/>
            </w:tcBorders>
            <w:shd w:val="clear" w:color="auto" w:fill="D9E2F3"/>
          </w:tcPr>
          <w:p w14:paraId="6DCB0C97" w14:textId="77777777" w:rsidR="0075614C" w:rsidRDefault="00000000" w:rsidP="008F7367">
            <w:pPr>
              <w:jc w:val="both"/>
            </w:pPr>
            <w:r>
              <w:lastRenderedPageBreak/>
              <w:t xml:space="preserve">Preserva la información con herramientas que garantizan su </w:t>
            </w:r>
            <w:r>
              <w:lastRenderedPageBreak/>
              <w:t>integridad, confidencialidad y disponibilidad</w:t>
            </w:r>
          </w:p>
        </w:tc>
        <w:tc>
          <w:tcPr>
            <w:tcW w:w="3645" w:type="dxa"/>
            <w:tcBorders>
              <w:top w:val="single" w:sz="4" w:space="0" w:color="8EAADB"/>
              <w:left w:val="single" w:sz="4" w:space="0" w:color="8EAADB"/>
              <w:bottom w:val="single" w:sz="4" w:space="0" w:color="8EAADB"/>
              <w:right w:val="single" w:sz="4" w:space="0" w:color="8EAADB"/>
            </w:tcBorders>
            <w:shd w:val="clear" w:color="auto" w:fill="D9E2F3"/>
          </w:tcPr>
          <w:p w14:paraId="21AEE070" w14:textId="77777777" w:rsidR="0075614C" w:rsidRDefault="00000000" w:rsidP="008F7367">
            <w:pPr>
              <w:jc w:val="both"/>
            </w:pPr>
            <w:r>
              <w:lastRenderedPageBreak/>
              <w:t xml:space="preserve">Protocolos de gobernanza digital, custodia en la nube y trazabilidad </w:t>
            </w:r>
            <w:r>
              <w:lastRenderedPageBreak/>
              <w:t>bajo estándares de ciberseguridad y control interno</w:t>
            </w:r>
          </w:p>
        </w:tc>
      </w:tr>
      <w:tr w:rsidR="00395D6D" w14:paraId="5B6E4126" w14:textId="77777777" w:rsidTr="008F7367">
        <w:trPr>
          <w:jc w:val="center"/>
        </w:trPr>
        <w:tc>
          <w:tcPr>
            <w:tcW w:w="2178" w:type="dxa"/>
            <w:tcBorders>
              <w:top w:val="single" w:sz="4" w:space="0" w:color="8EAADB"/>
              <w:left w:val="single" w:sz="4" w:space="0" w:color="8EAADB"/>
              <w:bottom w:val="single" w:sz="4" w:space="0" w:color="8EAADB"/>
              <w:right w:val="single" w:sz="4" w:space="0" w:color="8EAADB"/>
            </w:tcBorders>
            <w:shd w:val="clear" w:color="auto" w:fill="D9E2F3"/>
          </w:tcPr>
          <w:p w14:paraId="052F2E4B" w14:textId="77777777" w:rsidR="0075614C" w:rsidRDefault="00000000" w:rsidP="008F7367">
            <w:pPr>
              <w:jc w:val="both"/>
            </w:pPr>
            <w:r>
              <w:lastRenderedPageBreak/>
              <w:t>Producto o salida</w:t>
            </w:r>
          </w:p>
        </w:tc>
        <w:tc>
          <w:tcPr>
            <w:tcW w:w="3582" w:type="dxa"/>
            <w:tcBorders>
              <w:top w:val="single" w:sz="4" w:space="0" w:color="8EAADB"/>
              <w:left w:val="single" w:sz="4" w:space="0" w:color="8EAADB"/>
              <w:bottom w:val="single" w:sz="4" w:space="0" w:color="8EAADB"/>
              <w:right w:val="single" w:sz="4" w:space="0" w:color="8EAADB"/>
            </w:tcBorders>
            <w:shd w:val="clear" w:color="auto" w:fill="D9E2F3"/>
          </w:tcPr>
          <w:p w14:paraId="7E0FA153" w14:textId="77777777" w:rsidR="0075614C" w:rsidRDefault="00000000" w:rsidP="008F7367">
            <w:pPr>
              <w:jc w:val="both"/>
            </w:pPr>
            <w:r>
              <w:t>Comunica la información a los usuarios mediante estados financieros, reportes de sostenibilidad, informes de gestión, declaraciones tributarias y cuadros de mando</w:t>
            </w:r>
          </w:p>
        </w:tc>
        <w:tc>
          <w:tcPr>
            <w:tcW w:w="3645" w:type="dxa"/>
            <w:tcBorders>
              <w:top w:val="single" w:sz="4" w:space="0" w:color="8EAADB"/>
              <w:left w:val="single" w:sz="4" w:space="0" w:color="8EAADB"/>
              <w:bottom w:val="single" w:sz="4" w:space="0" w:color="8EAADB"/>
              <w:right w:val="single" w:sz="4" w:space="0" w:color="8EAADB"/>
            </w:tcBorders>
            <w:shd w:val="clear" w:color="auto" w:fill="D9E2F3"/>
          </w:tcPr>
          <w:p w14:paraId="38ACE231" w14:textId="77777777" w:rsidR="0075614C" w:rsidRDefault="00000000" w:rsidP="008F7367">
            <w:pPr>
              <w:jc w:val="both"/>
            </w:pPr>
            <w:r>
              <w:t>Informes de aseguramiento bajo las NIA, las Normas de Auditoría Gubernamental, las NIER, las NIEA y la NIAS 5000</w:t>
            </w:r>
          </w:p>
        </w:tc>
      </w:tr>
      <w:tr w:rsidR="00395D6D" w14:paraId="2C5943EE" w14:textId="77777777" w:rsidTr="008F7367">
        <w:trPr>
          <w:jc w:val="center"/>
        </w:trPr>
        <w:tc>
          <w:tcPr>
            <w:tcW w:w="2178" w:type="dxa"/>
            <w:tcBorders>
              <w:top w:val="single" w:sz="4" w:space="0" w:color="8EAADB"/>
              <w:left w:val="single" w:sz="4" w:space="0" w:color="8EAADB"/>
              <w:bottom w:val="single" w:sz="4" w:space="0" w:color="8EAADB"/>
              <w:right w:val="single" w:sz="4" w:space="0" w:color="8EAADB"/>
            </w:tcBorders>
            <w:shd w:val="clear" w:color="auto" w:fill="D9E2F3"/>
          </w:tcPr>
          <w:p w14:paraId="2FC6365B" w14:textId="77777777" w:rsidR="0075614C" w:rsidRDefault="00000000" w:rsidP="008F7367">
            <w:pPr>
              <w:jc w:val="both"/>
            </w:pPr>
            <w:r>
              <w:t>Retroalimentación</w:t>
            </w:r>
          </w:p>
        </w:tc>
        <w:tc>
          <w:tcPr>
            <w:tcW w:w="3582" w:type="dxa"/>
            <w:tcBorders>
              <w:top w:val="single" w:sz="4" w:space="0" w:color="8EAADB"/>
              <w:left w:val="single" w:sz="4" w:space="0" w:color="8EAADB"/>
              <w:bottom w:val="single" w:sz="4" w:space="0" w:color="8EAADB"/>
              <w:right w:val="single" w:sz="4" w:space="0" w:color="8EAADB"/>
            </w:tcBorders>
            <w:shd w:val="clear" w:color="auto" w:fill="D9E2F3"/>
          </w:tcPr>
          <w:p w14:paraId="62201BF2" w14:textId="77777777" w:rsidR="0075614C" w:rsidRDefault="00000000" w:rsidP="008F7367">
            <w:pPr>
              <w:jc w:val="both"/>
            </w:pPr>
            <w:r>
              <w:t>Devuelve la información a la dirección y a los órganos de gobierno para evaluar desviaciones y corregir estrategias</w:t>
            </w:r>
          </w:p>
        </w:tc>
        <w:tc>
          <w:tcPr>
            <w:tcW w:w="3645" w:type="dxa"/>
            <w:tcBorders>
              <w:top w:val="single" w:sz="4" w:space="0" w:color="8EAADB"/>
              <w:left w:val="single" w:sz="4" w:space="0" w:color="8EAADB"/>
              <w:bottom w:val="single" w:sz="4" w:space="0" w:color="8EAADB"/>
              <w:right w:val="single" w:sz="4" w:space="0" w:color="8EAADB"/>
            </w:tcBorders>
            <w:shd w:val="clear" w:color="auto" w:fill="D9E2F3"/>
          </w:tcPr>
          <w:p w14:paraId="04DCF96B" w14:textId="77777777" w:rsidR="0075614C" w:rsidRDefault="00000000" w:rsidP="008F7367">
            <w:pPr>
              <w:jc w:val="both"/>
            </w:pPr>
            <w:r>
              <w:t>Gestión integral de riesgos, auditoría interna y sistemas de alerta temprana</w:t>
            </w:r>
          </w:p>
        </w:tc>
      </w:tr>
    </w:tbl>
    <w:p w14:paraId="778FD4EE" w14:textId="77777777" w:rsidR="0075614C" w:rsidRDefault="0075614C">
      <w:pPr>
        <w:spacing w:after="120"/>
      </w:pPr>
    </w:p>
    <w:p w14:paraId="63E895A3" w14:textId="77777777" w:rsidR="0075614C" w:rsidRPr="008F7367" w:rsidRDefault="00000000">
      <w:pPr>
        <w:spacing w:after="200"/>
        <w:jc w:val="both"/>
      </w:pPr>
      <w:r w:rsidRPr="008F7367">
        <w:t>Así, el objeto de la profesión del Contador Público</w:t>
      </w:r>
      <w:r w:rsidR="008F7367">
        <w:t xml:space="preserve"> </w:t>
      </w:r>
      <w:r w:rsidRPr="008F7367">
        <w:t>es la información financiera, operativa, de gestión y de sostenibilidad generada a partir de los hechos y eventos cuantitativos y cualitativos de las organizaciones públicas y privadas, cuya fiabilidad, transparencia, veracidad y alineación ética garantiza para el desarrollo socioeconómico del país.</w:t>
      </w:r>
    </w:p>
    <w:p w14:paraId="6CC16CB2" w14:textId="77777777" w:rsidR="0075614C" w:rsidRDefault="00000000">
      <w:pPr>
        <w:keepNext/>
        <w:tabs>
          <w:tab w:val="left" w:pos="709"/>
        </w:tabs>
        <w:spacing w:before="80" w:after="200"/>
        <w:ind w:left="709" w:hanging="709"/>
        <w:outlineLvl w:val="2"/>
      </w:pPr>
      <w:bookmarkStart w:id="116" w:name="_Toc000000071"/>
      <w:r>
        <w:rPr>
          <w:b/>
          <w:sz w:val="22"/>
        </w:rPr>
        <w:t>4.2.5</w:t>
      </w:r>
      <w:r>
        <w:rPr>
          <w:b/>
          <w:sz w:val="22"/>
        </w:rPr>
        <w:tab/>
        <w:t>Objetivo de la profesión</w:t>
      </w:r>
      <w:bookmarkEnd w:id="116"/>
    </w:p>
    <w:p w14:paraId="5373EABD" w14:textId="77777777" w:rsidR="0075614C" w:rsidRDefault="00000000">
      <w:pPr>
        <w:spacing w:after="200"/>
        <w:jc w:val="both"/>
      </w:pPr>
      <w:r>
        <w:t>La profesión tiene como propósito central la generación, evaluación y comunicación de información confiable, oportuna y transparente para respaldar las decisiones, el control de gestión y la rendición de cuentas ante la sociedad. Para ello aplica, en la fase de preparación, las Normas de Contabilidad Generalmente Aceptadas en Bolivia, las Normas NIIF de Contabilidad, las Normas Básicas del Sistema de Contabilidad Gubernamental Integrado, las NICSP y las NIIF de Sostenibilidad; y, en la fase de aseguramiento, las Normas de Auditoría Gubernamental de la Contraloría General del Estado, las Normas de Auditoría Generalmente Aceptadas en Bolivia y los pronunciamientos internacionales del IAASB, es decir, las NIA, NIER, NIEA y NIAS.</w:t>
      </w:r>
    </w:p>
    <w:p w14:paraId="21013B17" w14:textId="77777777" w:rsidR="0075614C" w:rsidRDefault="00000000">
      <w:pPr>
        <w:keepNext/>
        <w:spacing w:before="40" w:after="200"/>
      </w:pPr>
      <w:r>
        <w:rPr>
          <w:b/>
          <w:sz w:val="22"/>
        </w:rPr>
        <w:t>Objetivo general</w:t>
      </w:r>
    </w:p>
    <w:tbl>
      <w:tblPr>
        <w:tblW w:w="9405" w:type="dxa"/>
        <w:jc w:val="center"/>
        <w:tblLook w:val="04A0" w:firstRow="1" w:lastRow="0" w:firstColumn="1" w:lastColumn="0" w:noHBand="0" w:noVBand="1"/>
      </w:tblPr>
      <w:tblGrid>
        <w:gridCol w:w="9405"/>
      </w:tblGrid>
      <w:tr w:rsidR="00395D6D" w14:paraId="2ECC0D02" w14:textId="77777777">
        <w:trPr>
          <w:jc w:val="center"/>
        </w:trPr>
        <w:tc>
          <w:tcPr>
            <w:tcW w:w="9405" w:type="dxa"/>
            <w:tcBorders>
              <w:top w:val="single" w:sz="6" w:space="0" w:color="404040"/>
              <w:left w:val="single" w:sz="6" w:space="0" w:color="404040"/>
              <w:bottom w:val="single" w:sz="6" w:space="0" w:color="404040"/>
              <w:right w:val="single" w:sz="6" w:space="0" w:color="404040"/>
            </w:tcBorders>
            <w:tcMar>
              <w:top w:w="140" w:type="dxa"/>
              <w:left w:w="140" w:type="dxa"/>
              <w:bottom w:w="140" w:type="dxa"/>
              <w:right w:w="140" w:type="dxa"/>
            </w:tcMar>
          </w:tcPr>
          <w:p w14:paraId="4744A072" w14:textId="77777777" w:rsidR="0075614C" w:rsidRDefault="00000000">
            <w:pPr>
              <w:spacing w:before="60" w:after="60"/>
              <w:jc w:val="center"/>
            </w:pPr>
            <w:r>
              <w:t>Proporcionar información económica, financiera, operativa y de sostenibilidad oportuna, útil, confiable, comparable y sistémica a los usuarios internos y externos de organizaciones públicas, privadas y mixtas, garantizando el interés público, el cumplimiento ético y normativo y el control integral de gestión, para fundamentar la toma de decisiones y contribuir al desarrollo socioeconómico sostenible.</w:t>
            </w:r>
          </w:p>
        </w:tc>
      </w:tr>
    </w:tbl>
    <w:p w14:paraId="651BC62A" w14:textId="77777777" w:rsidR="0075614C" w:rsidRDefault="0075614C">
      <w:pPr>
        <w:spacing w:after="120"/>
      </w:pPr>
    </w:p>
    <w:p w14:paraId="758E1B30" w14:textId="77777777" w:rsidR="0075614C" w:rsidRDefault="00000000">
      <w:pPr>
        <w:keepNext/>
        <w:spacing w:before="40" w:after="200"/>
      </w:pPr>
      <w:r>
        <w:rPr>
          <w:b/>
          <w:sz w:val="22"/>
        </w:rPr>
        <w:t>Objetivos específicos</w:t>
      </w:r>
    </w:p>
    <w:p w14:paraId="67B5E9C9" w14:textId="77777777" w:rsidR="0075614C" w:rsidRDefault="00000000">
      <w:pPr>
        <w:spacing w:after="200"/>
        <w:jc w:val="both"/>
      </w:pPr>
      <w:r>
        <w:t>Para concretar el objetivo general, la profesión despliega su actuación en tres pilares:</w:t>
      </w:r>
    </w:p>
    <w:p w14:paraId="48D6ACD8" w14:textId="77777777" w:rsidR="0075614C" w:rsidRDefault="00000000">
      <w:pPr>
        <w:numPr>
          <w:ilvl w:val="0"/>
          <w:numId w:val="27"/>
        </w:numPr>
        <w:spacing w:after="160"/>
        <w:jc w:val="both"/>
      </w:pPr>
      <w:r>
        <w:rPr>
          <w:b/>
        </w:rPr>
        <w:t>Preparación y presentación de reportes financieros y de sostenibilidad.</w:t>
      </w:r>
    </w:p>
    <w:p w14:paraId="6EB1B8BA" w14:textId="77777777" w:rsidR="0075614C" w:rsidRDefault="00000000">
      <w:pPr>
        <w:numPr>
          <w:ilvl w:val="1"/>
          <w:numId w:val="27"/>
        </w:numPr>
        <w:spacing w:after="60"/>
        <w:jc w:val="both"/>
      </w:pPr>
      <w:r>
        <w:t>Diseñar, operar y supervisar sistemas contables que generen el juego completo de estados financieros conforme a los marcos de referencia aplicables, en entidades públicas y privadas.</w:t>
      </w:r>
    </w:p>
    <w:p w14:paraId="3308A4BE" w14:textId="77777777" w:rsidR="0075614C" w:rsidRDefault="00000000">
      <w:pPr>
        <w:numPr>
          <w:ilvl w:val="1"/>
          <w:numId w:val="27"/>
        </w:numPr>
        <w:spacing w:after="60"/>
        <w:jc w:val="both"/>
      </w:pPr>
      <w:r>
        <w:t>Elaborar informes de sostenibilidad con indicadores ambientales, sociales y de gobernanza alineados con las Normas NIIF de Sostenibilidad del ISSB.</w:t>
      </w:r>
    </w:p>
    <w:p w14:paraId="6DA4D986" w14:textId="77777777" w:rsidR="0075614C" w:rsidRDefault="00000000">
      <w:pPr>
        <w:numPr>
          <w:ilvl w:val="1"/>
          <w:numId w:val="27"/>
        </w:numPr>
        <w:spacing w:after="60"/>
        <w:jc w:val="both"/>
      </w:pPr>
      <w:r>
        <w:lastRenderedPageBreak/>
        <w:t>Aplicar sistemas de gestión empresarial y soluciones de inteligencia artificial para asegurar la integridad, la trazabilidad y la oportunidad de la información.</w:t>
      </w:r>
    </w:p>
    <w:p w14:paraId="6839D4FA" w14:textId="77777777" w:rsidR="0075614C" w:rsidRDefault="00000000">
      <w:pPr>
        <w:numPr>
          <w:ilvl w:val="0"/>
          <w:numId w:val="27"/>
        </w:numPr>
        <w:spacing w:after="160"/>
        <w:jc w:val="both"/>
      </w:pPr>
      <w:r>
        <w:rPr>
          <w:b/>
        </w:rPr>
        <w:t>Prestación de encargos de aseguramiento y auditoría.</w:t>
      </w:r>
    </w:p>
    <w:p w14:paraId="0DAC58DC" w14:textId="77777777" w:rsidR="0075614C" w:rsidRDefault="00000000">
      <w:pPr>
        <w:numPr>
          <w:ilvl w:val="1"/>
          <w:numId w:val="27"/>
        </w:numPr>
        <w:spacing w:after="60"/>
        <w:jc w:val="both"/>
      </w:pPr>
      <w:r>
        <w:t>Planificar y ejecutar auditorías de estados financieros bajo las NAGA y las NIA, para emitir una opinión independiente sobre su razonabilidad.</w:t>
      </w:r>
    </w:p>
    <w:p w14:paraId="27D9A1D3" w14:textId="77777777" w:rsidR="0075614C" w:rsidRDefault="00000000">
      <w:pPr>
        <w:numPr>
          <w:ilvl w:val="1"/>
          <w:numId w:val="27"/>
        </w:numPr>
        <w:spacing w:after="60"/>
        <w:jc w:val="both"/>
      </w:pPr>
      <w:r>
        <w:t>Efectuar revisiones de información financiera bajo la NIER 2400, con un nivel de seguridad limitada.</w:t>
      </w:r>
    </w:p>
    <w:p w14:paraId="6321F471" w14:textId="77777777" w:rsidR="0075614C" w:rsidRDefault="00000000">
      <w:pPr>
        <w:numPr>
          <w:ilvl w:val="1"/>
          <w:numId w:val="27"/>
        </w:numPr>
        <w:spacing w:after="60"/>
        <w:jc w:val="both"/>
      </w:pPr>
      <w:r>
        <w:t>Desarrollar auditorías operativas, evaluaciones de desempeño y encargos de aseguramiento de información de sostenibilidad bajo la NIEA 3000 y la NIAS 5000.</w:t>
      </w:r>
    </w:p>
    <w:p w14:paraId="28AB7642" w14:textId="77777777" w:rsidR="0075614C" w:rsidRDefault="00000000">
      <w:pPr>
        <w:numPr>
          <w:ilvl w:val="1"/>
          <w:numId w:val="27"/>
        </w:numPr>
        <w:spacing w:after="60"/>
        <w:jc w:val="both"/>
      </w:pPr>
      <w:r>
        <w:t>Ejecutar el control posterior externo en entidades del Estado bajo las normas de la Contraloría General del Estado y las ISSAI, velando por la eficacia, la economía, la transparencia y la legalidad en el uso de los recursos públicos.</w:t>
      </w:r>
    </w:p>
    <w:p w14:paraId="54E48855" w14:textId="77777777" w:rsidR="0075614C" w:rsidRDefault="00000000">
      <w:pPr>
        <w:numPr>
          <w:ilvl w:val="1"/>
          <w:numId w:val="27"/>
        </w:numPr>
        <w:spacing w:after="60"/>
        <w:jc w:val="both"/>
      </w:pPr>
      <w:r>
        <w:t>Evaluar la seguridad, la confiabilidad, la gobernanza digital y la ciberseguridad de las tecnologías que sustentan los sistemas financieros.</w:t>
      </w:r>
    </w:p>
    <w:p w14:paraId="5E4F1439" w14:textId="77777777" w:rsidR="0075614C" w:rsidRDefault="00000000">
      <w:pPr>
        <w:numPr>
          <w:ilvl w:val="1"/>
          <w:numId w:val="27"/>
        </w:numPr>
        <w:spacing w:after="60"/>
        <w:jc w:val="both"/>
      </w:pPr>
      <w:r>
        <w:t>Investigar fraudes, malversaciones, legitimación de ganancias ilícitas y distorsiones financieras, para proveer evidencia pericial.</w:t>
      </w:r>
    </w:p>
    <w:p w14:paraId="1AC7A567" w14:textId="77777777" w:rsidR="0075614C" w:rsidRDefault="00000000">
      <w:pPr>
        <w:numPr>
          <w:ilvl w:val="1"/>
          <w:numId w:val="27"/>
        </w:numPr>
        <w:spacing w:after="60"/>
        <w:jc w:val="both"/>
      </w:pPr>
      <w:r>
        <w:t>Examinar la determinación, liquidación y pago de obligaciones impositivas y laborales conforme a la legislación vigente.</w:t>
      </w:r>
    </w:p>
    <w:p w14:paraId="782119F6" w14:textId="77777777" w:rsidR="0075614C" w:rsidRDefault="00000000">
      <w:pPr>
        <w:numPr>
          <w:ilvl w:val="0"/>
          <w:numId w:val="27"/>
        </w:numPr>
        <w:spacing w:after="160"/>
        <w:jc w:val="both"/>
      </w:pPr>
      <w:r>
        <w:rPr>
          <w:b/>
        </w:rPr>
        <w:t>Servicios distintos del aseguramiento y consultoría.</w:t>
      </w:r>
    </w:p>
    <w:p w14:paraId="28EDDF64" w14:textId="77777777" w:rsidR="0075614C" w:rsidRDefault="00000000">
      <w:pPr>
        <w:numPr>
          <w:ilvl w:val="1"/>
          <w:numId w:val="27"/>
        </w:numPr>
        <w:spacing w:after="60"/>
        <w:jc w:val="both"/>
      </w:pPr>
      <w:r>
        <w:t>Realizar procedimientos acordados sobre materias financieras o de control y compilar estados financieros sin emitir conclusiones de aseguramiento.</w:t>
      </w:r>
    </w:p>
    <w:p w14:paraId="489FBDE5" w14:textId="77777777" w:rsidR="0075614C" w:rsidRDefault="00000000">
      <w:pPr>
        <w:numPr>
          <w:ilvl w:val="1"/>
          <w:numId w:val="27"/>
        </w:numPr>
        <w:spacing w:after="60"/>
        <w:jc w:val="both"/>
      </w:pPr>
      <w:r>
        <w:t>Brindar asesoría en gestión fiscal, cumplimiento tributario y precios de transferencia, previniendo contingencias legales.</w:t>
      </w:r>
    </w:p>
    <w:p w14:paraId="3344C75E" w14:textId="77777777" w:rsidR="0075614C" w:rsidRDefault="00000000">
      <w:pPr>
        <w:numPr>
          <w:ilvl w:val="1"/>
          <w:numId w:val="27"/>
        </w:numPr>
        <w:spacing w:after="60"/>
        <w:jc w:val="both"/>
      </w:pPr>
      <w:r>
        <w:t>Diseñar e implementar marcos de gestión de riesgos empresariales y modelos de control interno.</w:t>
      </w:r>
    </w:p>
    <w:p w14:paraId="70A13E6E" w14:textId="77777777" w:rsidR="0075614C" w:rsidRDefault="00000000">
      <w:pPr>
        <w:numPr>
          <w:ilvl w:val="1"/>
          <w:numId w:val="27"/>
        </w:numPr>
        <w:spacing w:after="200"/>
        <w:jc w:val="both"/>
      </w:pPr>
      <w:r>
        <w:t>Asesorar en finanzas corporativas, proyectos de inversión, valoración de empresas, reestructuraciones y gestión del capital de trabajo.</w:t>
      </w:r>
    </w:p>
    <w:p w14:paraId="74E507A1" w14:textId="77777777" w:rsidR="008F7367" w:rsidRDefault="00000000">
      <w:pPr>
        <w:numPr>
          <w:ilvl w:val="1"/>
          <w:numId w:val="27"/>
        </w:numPr>
        <w:spacing w:after="200"/>
        <w:jc w:val="both"/>
      </w:pPr>
      <w:r>
        <w:t>Desarrollar actividades de consultoría en línea y por producto en las entidades del sector público.</w:t>
      </w:r>
    </w:p>
    <w:p w14:paraId="1162AD7E" w14:textId="77777777" w:rsidR="0075614C" w:rsidRDefault="00000000">
      <w:pPr>
        <w:keepNext/>
        <w:tabs>
          <w:tab w:val="left" w:pos="709"/>
        </w:tabs>
        <w:spacing w:before="80" w:after="200"/>
        <w:ind w:left="709" w:hanging="709"/>
        <w:outlineLvl w:val="2"/>
      </w:pPr>
      <w:bookmarkStart w:id="117" w:name="_Toc000000072"/>
      <w:r>
        <w:rPr>
          <w:b/>
          <w:sz w:val="22"/>
        </w:rPr>
        <w:t>4.2.6</w:t>
      </w:r>
      <w:r>
        <w:rPr>
          <w:b/>
          <w:sz w:val="22"/>
        </w:rPr>
        <w:tab/>
        <w:t>Competencias específicas de la profesión</w:t>
      </w:r>
      <w:bookmarkEnd w:id="117"/>
    </w:p>
    <w:p w14:paraId="11A673F2" w14:textId="77777777" w:rsidR="0075614C" w:rsidRDefault="00000000">
      <w:pPr>
        <w:spacing w:after="200"/>
        <w:jc w:val="both"/>
      </w:pPr>
      <w:r>
        <w:t>Las competencias de la profesión son el conjunto articulado de conocimientos, habilidades, actitudes</w:t>
      </w:r>
      <w:r w:rsidR="00D6570A">
        <w:t>,</w:t>
      </w:r>
      <w:r>
        <w:t xml:space="preserve"> valores éticos</w:t>
      </w:r>
      <w:r w:rsidR="00D6570A">
        <w:t xml:space="preserve"> fundamentales para la gestión financiera y el cumplimiento normativo</w:t>
      </w:r>
      <w:r>
        <w:t>. Conforme a la Resolución HCU N.º 032/2025 y a la III-XIII Reunión Sectorial, se organizan en las tres dimensiones de la formación integral. Esta estructura atiende las prioridades del Future of Jobs Report 2025 del Foro Económico Mundial y las brechas identificadas por Ipsos CIESMORI, de 43 a 51 puntos porcentuales en habilidades tecnológicas, y la demanda del 88 % de los estudiantes por proyectos reales y pasantías.</w:t>
      </w:r>
    </w:p>
    <w:p w14:paraId="39BAD518" w14:textId="77777777" w:rsidR="0075614C" w:rsidRDefault="00000000">
      <w:pPr>
        <w:keepNext/>
        <w:spacing w:before="40" w:after="200"/>
      </w:pPr>
      <w:r>
        <w:rPr>
          <w:b/>
          <w:sz w:val="22"/>
        </w:rPr>
        <w:t>Saber conocer: competencias cognitivas y disciplinares</w:t>
      </w:r>
    </w:p>
    <w:p w14:paraId="4F8DCCD0" w14:textId="77777777" w:rsidR="0075614C" w:rsidRDefault="00000000">
      <w:pPr>
        <w:numPr>
          <w:ilvl w:val="0"/>
          <w:numId w:val="28"/>
        </w:numPr>
        <w:spacing w:after="160"/>
        <w:jc w:val="both"/>
      </w:pPr>
      <w:r>
        <w:rPr>
          <w:b/>
        </w:rPr>
        <w:t>Marco contable y financiero nacional e internacional:</w:t>
      </w:r>
      <w:r>
        <w:t xml:space="preserve"> comprende y domina la fundamentación de las Normas de Contabilidad Generalmente Aceptadas en Bolivia, las Normas NIIF de Contabilidad, la NIIF para las PYMES, las Normas Básicas del Sistema de Contabilidad Gubernamental Integrado y las NICSP para preparar estados financieros e informes de gestión.</w:t>
      </w:r>
    </w:p>
    <w:p w14:paraId="0DF73244" w14:textId="77777777" w:rsidR="0075614C" w:rsidRDefault="00000000">
      <w:pPr>
        <w:numPr>
          <w:ilvl w:val="0"/>
          <w:numId w:val="28"/>
        </w:numPr>
        <w:spacing w:after="160"/>
        <w:jc w:val="both"/>
      </w:pPr>
      <w:r>
        <w:rPr>
          <w:b/>
        </w:rPr>
        <w:lastRenderedPageBreak/>
        <w:t>Marcos de aseguramiento y auditoría:</w:t>
      </w:r>
      <w:r>
        <w:t xml:space="preserve"> domina las Normas de Auditoría Generalmente Aceptadas en Bolivia, las NIA, las NIEA, la NIAS 5000, las Normas de Auditoría Gubernamental y las ISSAI para planificar, ejecutar y evaluar auditorías financieras, gubernamentales, operativas, de control interno, de sistemas, ambientales y forenses.</w:t>
      </w:r>
    </w:p>
    <w:p w14:paraId="5F5000FD" w14:textId="77777777" w:rsidR="0075614C" w:rsidRDefault="00000000">
      <w:pPr>
        <w:numPr>
          <w:ilvl w:val="0"/>
          <w:numId w:val="28"/>
        </w:numPr>
        <w:spacing w:after="160"/>
        <w:jc w:val="both"/>
      </w:pPr>
      <w:r>
        <w:rPr>
          <w:b/>
        </w:rPr>
        <w:t>Sostenibilidad:</w:t>
      </w:r>
      <w:r>
        <w:t xml:space="preserve"> comprende los conceptos y directrices de las Normas NIIF de Sostenibilidad para la medición, revelación y aseguramiento de la información ambiental, social y de gobernanza.</w:t>
      </w:r>
    </w:p>
    <w:p w14:paraId="1B42E326" w14:textId="77777777" w:rsidR="0075614C" w:rsidRDefault="00000000">
      <w:pPr>
        <w:numPr>
          <w:ilvl w:val="0"/>
          <w:numId w:val="28"/>
        </w:numPr>
        <w:spacing w:after="160"/>
        <w:jc w:val="both"/>
      </w:pPr>
      <w:r>
        <w:rPr>
          <w:b/>
        </w:rPr>
        <w:t>Gobernanza digital, ciberseguridad y tecnologías emergentes:</w:t>
      </w:r>
      <w:r>
        <w:t xml:space="preserve"> comprende la teoría de sistemas de información, la gobernanza de datos, el control interno en entornos informatizados y los fundamentos de la inteligencia artificial y la analítica de datos aplicadas a las finanzas.</w:t>
      </w:r>
    </w:p>
    <w:p w14:paraId="7010D83B" w14:textId="77777777" w:rsidR="0075614C" w:rsidRDefault="00000000">
      <w:pPr>
        <w:numPr>
          <w:ilvl w:val="0"/>
          <w:numId w:val="28"/>
        </w:numPr>
        <w:spacing w:after="160"/>
        <w:jc w:val="both"/>
      </w:pPr>
      <w:r>
        <w:rPr>
          <w:b/>
        </w:rPr>
        <w:t>Marco legal:</w:t>
      </w:r>
      <w:r>
        <w:t xml:space="preserve"> domina la legislación tributaria, laboral, comercial, regulatoria y administrativa boliviana para prevenir contingencias jurídicas y tributarias.</w:t>
      </w:r>
    </w:p>
    <w:p w14:paraId="51444ED0" w14:textId="77777777" w:rsidR="0075614C" w:rsidRDefault="00000000">
      <w:pPr>
        <w:numPr>
          <w:ilvl w:val="0"/>
          <w:numId w:val="28"/>
        </w:numPr>
        <w:spacing w:after="200"/>
        <w:jc w:val="both"/>
      </w:pPr>
      <w:r>
        <w:rPr>
          <w:b/>
        </w:rPr>
        <w:t>Finanzas y gestión integral de riesgos:</w:t>
      </w:r>
      <w:r>
        <w:t xml:space="preserve"> conoce la valoración de empresas, los mercados de capitales, las matemáticas financieras y actuariales, los presupuestos y los modelos de gestión de riesgos empresariales.</w:t>
      </w:r>
    </w:p>
    <w:p w14:paraId="4490534F" w14:textId="77777777" w:rsidR="0075614C" w:rsidRDefault="00000000">
      <w:pPr>
        <w:keepNext/>
        <w:spacing w:before="40" w:after="200"/>
      </w:pPr>
      <w:r>
        <w:rPr>
          <w:b/>
          <w:sz w:val="22"/>
        </w:rPr>
        <w:t>Saber hacer: competencias procedimentales y técnicas</w:t>
      </w:r>
    </w:p>
    <w:p w14:paraId="6FD8DE0E" w14:textId="77777777" w:rsidR="0075614C" w:rsidRDefault="00000000">
      <w:pPr>
        <w:numPr>
          <w:ilvl w:val="0"/>
          <w:numId w:val="29"/>
        </w:numPr>
        <w:spacing w:after="160"/>
        <w:jc w:val="both"/>
      </w:pPr>
      <w:r>
        <w:rPr>
          <w:b/>
        </w:rPr>
        <w:t>Operación de sistemas contables, de gestión empresarial y plataformas tributarias:</w:t>
      </w:r>
      <w:r>
        <w:t xml:space="preserve"> aplica software especializado, plataformas del Servicio de Impuestos Nacionales y sistemas de gestión pública, competencia que el 75 % de los egresados considera necesaria.</w:t>
      </w:r>
    </w:p>
    <w:p w14:paraId="6DCBAF8D" w14:textId="77777777" w:rsidR="0075614C" w:rsidRDefault="00000000">
      <w:pPr>
        <w:numPr>
          <w:ilvl w:val="0"/>
          <w:numId w:val="29"/>
        </w:numPr>
        <w:spacing w:after="160"/>
        <w:jc w:val="both"/>
      </w:pPr>
      <w:r>
        <w:rPr>
          <w:b/>
        </w:rPr>
        <w:t>Analítica de datos e inteligencia artificial aplicada:</w:t>
      </w:r>
      <w:r>
        <w:t xml:space="preserve"> utiliza herramientas de inteligencia de negocios, lenguajes de análisis cuantitativo e inteligencia artificial generativa para analizar datos financieros, detectar patrones atípicos y elaborar modelos predictivos.</w:t>
      </w:r>
    </w:p>
    <w:p w14:paraId="3A1AA6CA" w14:textId="77777777" w:rsidR="0075614C" w:rsidRDefault="00000000">
      <w:pPr>
        <w:numPr>
          <w:ilvl w:val="0"/>
          <w:numId w:val="29"/>
        </w:numPr>
        <w:spacing w:after="160"/>
        <w:jc w:val="both"/>
      </w:pPr>
      <w:r>
        <w:rPr>
          <w:b/>
        </w:rPr>
        <w:t>Auditoría con enfoque de riesgo:</w:t>
      </w:r>
      <w:r>
        <w:t xml:space="preserve"> elabora programas de auditoría, papeles de trabajo digitales y muestreos estadísticos, y emite informes sustentados en evidencia suficiente y adecuada.</w:t>
      </w:r>
    </w:p>
    <w:p w14:paraId="2B7D62E2" w14:textId="77777777" w:rsidR="0075614C" w:rsidRDefault="00000000">
      <w:pPr>
        <w:numPr>
          <w:ilvl w:val="0"/>
          <w:numId w:val="29"/>
        </w:numPr>
        <w:spacing w:after="160"/>
        <w:jc w:val="both"/>
      </w:pPr>
      <w:r>
        <w:rPr>
          <w:b/>
        </w:rPr>
        <w:t>Reportes y aseguramiento de sostenibilidad:</w:t>
      </w:r>
      <w:r>
        <w:t xml:space="preserve"> construye indicadores de sostenibilidad y aplica procedimientos de seguridad limitada y razonable sobre informes de impacto social y ambiental.</w:t>
      </w:r>
    </w:p>
    <w:p w14:paraId="0447473B" w14:textId="77777777" w:rsidR="0075614C" w:rsidRDefault="00000000">
      <w:pPr>
        <w:numPr>
          <w:ilvl w:val="0"/>
          <w:numId w:val="29"/>
        </w:numPr>
        <w:spacing w:after="160"/>
        <w:jc w:val="both"/>
      </w:pPr>
      <w:r>
        <w:rPr>
          <w:b/>
        </w:rPr>
        <w:t>Práctica tributaria y cierre de estados financieros:</w:t>
      </w:r>
      <w:r>
        <w:t xml:space="preserve"> efectúa conciliaciones, liquidaciones de tributos, declaraciones juradas y cierres contables con apego a la norma vigente.</w:t>
      </w:r>
    </w:p>
    <w:p w14:paraId="3D844EB7" w14:textId="77777777" w:rsidR="0075614C" w:rsidRDefault="00000000">
      <w:pPr>
        <w:numPr>
          <w:ilvl w:val="0"/>
          <w:numId w:val="29"/>
        </w:numPr>
        <w:spacing w:after="200"/>
        <w:jc w:val="both"/>
      </w:pPr>
      <w:r>
        <w:rPr>
          <w:b/>
        </w:rPr>
        <w:t>Análisis forense y peritaje contable:</w:t>
      </w:r>
      <w:r>
        <w:t xml:space="preserve"> diseña procedimientos de investigación ante sospechas de fraude, malversación o legitimación de ganancias ilícitas y elabora informes periciales.</w:t>
      </w:r>
    </w:p>
    <w:p w14:paraId="17CCA9BC" w14:textId="77777777" w:rsidR="0075614C" w:rsidRDefault="00000000">
      <w:pPr>
        <w:keepNext/>
        <w:spacing w:before="40" w:after="200"/>
      </w:pPr>
      <w:r>
        <w:rPr>
          <w:b/>
          <w:sz w:val="22"/>
        </w:rPr>
        <w:t>Saber ser y convivir: competencias actitudinales, éticas y socioemocionales</w:t>
      </w:r>
    </w:p>
    <w:p w14:paraId="21985050" w14:textId="77777777" w:rsidR="0075614C" w:rsidRDefault="00000000">
      <w:pPr>
        <w:numPr>
          <w:ilvl w:val="0"/>
          <w:numId w:val="30"/>
        </w:numPr>
        <w:spacing w:after="160"/>
        <w:jc w:val="both"/>
      </w:pPr>
      <w:r>
        <w:rPr>
          <w:b/>
        </w:rPr>
        <w:t>Integridad, independencia y ética profesional:</w:t>
      </w:r>
      <w:r>
        <w:t xml:space="preserve"> aplica los principios del Código de Ética del IESBA ante presiones o conflictos de interés. El 82 % de los estudiantes considera prioritaria la ética aplicada.</w:t>
      </w:r>
    </w:p>
    <w:p w14:paraId="6B4DDDAF" w14:textId="77777777" w:rsidR="0075614C" w:rsidRDefault="00000000">
      <w:pPr>
        <w:numPr>
          <w:ilvl w:val="0"/>
          <w:numId w:val="30"/>
        </w:numPr>
        <w:spacing w:after="160"/>
        <w:jc w:val="both"/>
      </w:pPr>
      <w:r>
        <w:rPr>
          <w:b/>
        </w:rPr>
        <w:t>Adaptabilidad y aprendizaje a lo largo de la vida:</w:t>
      </w:r>
      <w:r>
        <w:t xml:space="preserve"> se adapta con rapidez a las reformas normativas, tecnológicas y económicas; el 70 % de los egresados señala que esta actitud se enseñó con baja frecuencia.</w:t>
      </w:r>
    </w:p>
    <w:p w14:paraId="253E6D80" w14:textId="77777777" w:rsidR="0075614C" w:rsidRDefault="00000000">
      <w:pPr>
        <w:numPr>
          <w:ilvl w:val="0"/>
          <w:numId w:val="30"/>
        </w:numPr>
        <w:spacing w:after="160"/>
        <w:jc w:val="both"/>
      </w:pPr>
      <w:r>
        <w:rPr>
          <w:b/>
        </w:rPr>
        <w:lastRenderedPageBreak/>
        <w:t>Pensamiento crítico y juicio profesional:</w:t>
      </w:r>
      <w:r>
        <w:t xml:space="preserve"> analiza la evidencia de manera imparcial, cuestiona supuestos e identifica riesgos no explícitos, para cerrar la brecha de 25 puntos porcentuales entre la necesidad y la formación en esta competencia.</w:t>
      </w:r>
    </w:p>
    <w:p w14:paraId="66FB82C4" w14:textId="77777777" w:rsidR="0075614C" w:rsidRDefault="00000000">
      <w:pPr>
        <w:numPr>
          <w:ilvl w:val="0"/>
          <w:numId w:val="30"/>
        </w:numPr>
        <w:spacing w:after="160"/>
        <w:jc w:val="both"/>
      </w:pPr>
      <w:r>
        <w:rPr>
          <w:b/>
        </w:rPr>
        <w:t>Trabajo colaborativo y comunicación efectiva:</w:t>
      </w:r>
      <w:r>
        <w:t xml:space="preserve"> se desenvuelve con liderazgo en equipos multidisciplinarios y se comunica con claridad, de forma oral y escrita, en español e inglés técnico contable.</w:t>
      </w:r>
    </w:p>
    <w:p w14:paraId="59D48D0A" w14:textId="77777777" w:rsidR="0075614C" w:rsidRDefault="00000000">
      <w:pPr>
        <w:numPr>
          <w:ilvl w:val="0"/>
          <w:numId w:val="30"/>
        </w:numPr>
        <w:spacing w:after="200"/>
        <w:jc w:val="both"/>
      </w:pPr>
      <w:r>
        <w:rPr>
          <w:b/>
        </w:rPr>
        <w:t>Responsabilidad social y conciencia ambiental:</w:t>
      </w:r>
      <w:r>
        <w:t xml:space="preserve"> orienta su ejercicio hacia la transparencia pública, la lucha contra la corrupción y la sostenibilidad.</w:t>
      </w:r>
    </w:p>
    <w:p w14:paraId="4A33B1CB" w14:textId="77777777" w:rsidR="004C73DB" w:rsidRDefault="00000000">
      <w:pPr>
        <w:numPr>
          <w:ilvl w:val="0"/>
          <w:numId w:val="30"/>
        </w:numPr>
        <w:spacing w:after="160"/>
        <w:jc w:val="both"/>
      </w:pPr>
      <w:r>
        <w:rPr>
          <w:b/>
        </w:rPr>
        <w:t>Innovación.</w:t>
      </w:r>
      <w:r>
        <w:t xml:space="preserve"> Impulsa la transformación digital y la creatividad, integrando tecnologías emergentes como la inteligencia artificial, Big Data y la automatización, y nuevas metodologías para resolver problemas financieros y organizacionales complejos.</w:t>
      </w:r>
    </w:p>
    <w:p w14:paraId="3C388792" w14:textId="77777777" w:rsidR="0075614C" w:rsidRDefault="00000000">
      <w:pPr>
        <w:pStyle w:val="TituloCuadro"/>
        <w:keepNext/>
        <w:spacing w:before="40" w:after="80"/>
        <w:jc w:val="center"/>
      </w:pPr>
      <w:bookmarkStart w:id="118" w:name="_Toc000000323"/>
      <w:r>
        <w:rPr>
          <w:b/>
        </w:rPr>
        <w:t>Cuadro 3. Matriz resumen de las competencias del Contador Público</w:t>
      </w:r>
      <w:bookmarkEnd w:id="118"/>
    </w:p>
    <w:tbl>
      <w:tblPr>
        <w:tblW w:w="9405" w:type="dxa"/>
        <w:jc w:val="center"/>
        <w:tblLayout w:type="fixed"/>
        <w:tblLook w:val="04A0" w:firstRow="1" w:lastRow="0" w:firstColumn="1" w:lastColumn="0" w:noHBand="0" w:noVBand="1"/>
      </w:tblPr>
      <w:tblGrid>
        <w:gridCol w:w="1764"/>
        <w:gridCol w:w="4409"/>
        <w:gridCol w:w="3232"/>
      </w:tblGrid>
      <w:tr w:rsidR="00395D6D" w14:paraId="6CE2A9EA" w14:textId="77777777">
        <w:trPr>
          <w:tblHeader/>
          <w:jc w:val="center"/>
        </w:trPr>
        <w:tc>
          <w:tcPr>
            <w:tcW w:w="176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FB5C92C" w14:textId="77777777" w:rsidR="0075614C" w:rsidRDefault="00000000">
            <w:pPr>
              <w:jc w:val="center"/>
            </w:pPr>
            <w:r>
              <w:rPr>
                <w:b/>
                <w:color w:val="FFFFFF"/>
              </w:rPr>
              <w:t>Dimensión</w:t>
            </w:r>
          </w:p>
        </w:tc>
        <w:tc>
          <w:tcPr>
            <w:tcW w:w="440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BF394B8" w14:textId="77777777" w:rsidR="0075614C" w:rsidRDefault="00000000">
            <w:pPr>
              <w:jc w:val="center"/>
            </w:pPr>
            <w:r>
              <w:rPr>
                <w:b/>
                <w:color w:val="FFFFFF"/>
              </w:rPr>
              <w:t>Componentes principales de formación</w:t>
            </w:r>
          </w:p>
        </w:tc>
        <w:tc>
          <w:tcPr>
            <w:tcW w:w="323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A9D3ABA" w14:textId="77777777" w:rsidR="0075614C" w:rsidRDefault="00000000">
            <w:pPr>
              <w:jc w:val="center"/>
            </w:pPr>
            <w:r>
              <w:rPr>
                <w:b/>
                <w:color w:val="FFFFFF"/>
              </w:rPr>
              <w:t>Sustento</w:t>
            </w:r>
          </w:p>
        </w:tc>
      </w:tr>
      <w:tr w:rsidR="00395D6D" w14:paraId="1035E29B" w14:textId="77777777">
        <w:trPr>
          <w:jc w:val="center"/>
        </w:trPr>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4E9D66A0" w14:textId="77777777" w:rsidR="0075614C" w:rsidRDefault="00000000">
            <w:pPr>
              <w:jc w:val="center"/>
            </w:pPr>
            <w:r>
              <w:rPr>
                <w:b/>
              </w:rPr>
              <w:t>Saber conocer</w:t>
            </w:r>
          </w:p>
        </w:tc>
        <w:tc>
          <w:tcPr>
            <w:tcW w:w="4409" w:type="dxa"/>
            <w:tcBorders>
              <w:top w:val="single" w:sz="4" w:space="0" w:color="8EAADB"/>
              <w:left w:val="single" w:sz="4" w:space="0" w:color="8EAADB"/>
              <w:bottom w:val="single" w:sz="4" w:space="0" w:color="8EAADB"/>
              <w:right w:val="single" w:sz="4" w:space="0" w:color="8EAADB"/>
            </w:tcBorders>
            <w:shd w:val="clear" w:color="auto" w:fill="D9E2F3"/>
          </w:tcPr>
          <w:p w14:paraId="0776E244" w14:textId="77777777" w:rsidR="0075614C" w:rsidRDefault="00000000">
            <w:pPr>
              <w:tabs>
                <w:tab w:val="left" w:pos="255"/>
              </w:tabs>
              <w:ind w:left="255" w:hanging="255"/>
              <w:jc w:val="both"/>
            </w:pPr>
            <w:r>
              <w:t>▪</w:t>
            </w:r>
            <w:r>
              <w:tab/>
              <w:t>Normas contables nacionales, NIIF, NIIF para las PYMES, normas del sector público y NICSP</w:t>
            </w:r>
          </w:p>
          <w:p w14:paraId="76D311E2" w14:textId="77777777" w:rsidR="0075614C" w:rsidRDefault="00000000">
            <w:pPr>
              <w:tabs>
                <w:tab w:val="left" w:pos="255"/>
              </w:tabs>
              <w:ind w:left="255" w:hanging="255"/>
              <w:jc w:val="both"/>
            </w:pPr>
            <w:r>
              <w:t>▪</w:t>
            </w:r>
            <w:r>
              <w:tab/>
              <w:t>NIA, NIEA, NIAS, Normas de Auditoría Gubernamental, ISSAI y Ley N.º 1178</w:t>
            </w:r>
          </w:p>
          <w:p w14:paraId="1A61FA5F" w14:textId="77777777" w:rsidR="0075614C" w:rsidRDefault="00000000">
            <w:pPr>
              <w:tabs>
                <w:tab w:val="left" w:pos="255"/>
              </w:tabs>
              <w:ind w:left="255" w:hanging="255"/>
              <w:jc w:val="both"/>
            </w:pPr>
            <w:r>
              <w:t>▪</w:t>
            </w:r>
            <w:r>
              <w:tab/>
              <w:t>Normas NIIF de Sostenibilidad</w:t>
            </w:r>
          </w:p>
          <w:p w14:paraId="3BCEDE50" w14:textId="77777777" w:rsidR="0075614C" w:rsidRDefault="00000000">
            <w:pPr>
              <w:tabs>
                <w:tab w:val="left" w:pos="255"/>
              </w:tabs>
              <w:ind w:left="255" w:hanging="255"/>
              <w:jc w:val="both"/>
            </w:pPr>
            <w:r>
              <w:t>▪</w:t>
            </w:r>
            <w:r>
              <w:tab/>
              <w:t>Legislación tributaria, laboral y comercial</w:t>
            </w:r>
          </w:p>
          <w:p w14:paraId="0A3367B3" w14:textId="77777777" w:rsidR="0075614C" w:rsidRDefault="00000000">
            <w:pPr>
              <w:tabs>
                <w:tab w:val="left" w:pos="255"/>
              </w:tabs>
              <w:ind w:left="255" w:hanging="255"/>
              <w:jc w:val="both"/>
            </w:pPr>
            <w:r>
              <w:t>▪</w:t>
            </w:r>
            <w:r>
              <w:tab/>
              <w:t>Gobernanza de datos, ciberseguridad, control interno y gestión de riesgos</w:t>
            </w:r>
          </w:p>
        </w:tc>
        <w:tc>
          <w:tcPr>
            <w:tcW w:w="3232" w:type="dxa"/>
            <w:tcBorders>
              <w:top w:val="single" w:sz="4" w:space="0" w:color="8EAADB"/>
              <w:left w:val="single" w:sz="4" w:space="0" w:color="8EAADB"/>
              <w:bottom w:val="single" w:sz="4" w:space="0" w:color="8EAADB"/>
              <w:right w:val="single" w:sz="4" w:space="0" w:color="8EAADB"/>
            </w:tcBorders>
            <w:shd w:val="clear" w:color="auto" w:fill="D9E2F3"/>
          </w:tcPr>
          <w:p w14:paraId="711E0030" w14:textId="77777777" w:rsidR="0075614C" w:rsidRDefault="00000000">
            <w:pPr>
              <w:tabs>
                <w:tab w:val="left" w:pos="255"/>
              </w:tabs>
              <w:ind w:left="255" w:hanging="255"/>
              <w:jc w:val="both"/>
            </w:pPr>
            <w:r>
              <w:t>▪</w:t>
            </w:r>
            <w:r>
              <w:tab/>
              <w:t>III-XIII Reunión Sectorial, 2024</w:t>
            </w:r>
          </w:p>
          <w:p w14:paraId="26FA1A30" w14:textId="77777777" w:rsidR="0075614C" w:rsidRDefault="00000000">
            <w:pPr>
              <w:tabs>
                <w:tab w:val="left" w:pos="255"/>
              </w:tabs>
              <w:ind w:left="255" w:hanging="255"/>
              <w:jc w:val="both"/>
            </w:pPr>
            <w:r>
              <w:t>▪</w:t>
            </w:r>
            <w:r>
              <w:tab/>
              <w:t>IES 1 a IES 8 de la IFAC</w:t>
            </w:r>
          </w:p>
          <w:p w14:paraId="63CB7AE1" w14:textId="77777777" w:rsidR="0075614C" w:rsidRDefault="00000000">
            <w:pPr>
              <w:tabs>
                <w:tab w:val="left" w:pos="255"/>
              </w:tabs>
              <w:ind w:left="255" w:hanging="255"/>
              <w:jc w:val="both"/>
            </w:pPr>
            <w:r>
              <w:t>▪</w:t>
            </w:r>
            <w:r>
              <w:tab/>
              <w:t>Artículo 12 de la Resolución HCU N.º 032/2025</w:t>
            </w:r>
          </w:p>
        </w:tc>
      </w:tr>
      <w:tr w:rsidR="00395D6D" w14:paraId="43616BB3" w14:textId="77777777">
        <w:trPr>
          <w:jc w:val="center"/>
        </w:trPr>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7E43181D" w14:textId="77777777" w:rsidR="0075614C" w:rsidRDefault="00000000">
            <w:pPr>
              <w:jc w:val="center"/>
            </w:pPr>
            <w:r>
              <w:rPr>
                <w:b/>
              </w:rPr>
              <w:t>Saber hacer</w:t>
            </w:r>
          </w:p>
        </w:tc>
        <w:tc>
          <w:tcPr>
            <w:tcW w:w="4409" w:type="dxa"/>
            <w:tcBorders>
              <w:top w:val="single" w:sz="4" w:space="0" w:color="8EAADB"/>
              <w:left w:val="single" w:sz="4" w:space="0" w:color="8EAADB"/>
              <w:bottom w:val="single" w:sz="4" w:space="0" w:color="8EAADB"/>
              <w:right w:val="single" w:sz="4" w:space="0" w:color="8EAADB"/>
            </w:tcBorders>
            <w:shd w:val="clear" w:color="auto" w:fill="D9E2F3"/>
          </w:tcPr>
          <w:p w14:paraId="6F011F7F" w14:textId="77777777" w:rsidR="0075614C" w:rsidRDefault="00000000">
            <w:pPr>
              <w:tabs>
                <w:tab w:val="left" w:pos="255"/>
              </w:tabs>
              <w:ind w:left="255" w:hanging="255"/>
              <w:jc w:val="both"/>
            </w:pPr>
            <w:r>
              <w:t>▪</w:t>
            </w:r>
            <w:r>
              <w:tab/>
              <w:t>Sistemas de gestión empresarial, software contable y plataformas del SIN</w:t>
            </w:r>
          </w:p>
          <w:p w14:paraId="19223ADC" w14:textId="77777777" w:rsidR="0075614C" w:rsidRDefault="00000000">
            <w:pPr>
              <w:tabs>
                <w:tab w:val="left" w:pos="255"/>
              </w:tabs>
              <w:ind w:left="255" w:hanging="255"/>
              <w:jc w:val="both"/>
            </w:pPr>
            <w:r>
              <w:t>▪</w:t>
            </w:r>
            <w:r>
              <w:tab/>
              <w:t>Analítica de datos e inteligencia de negocios</w:t>
            </w:r>
          </w:p>
          <w:p w14:paraId="5138B6CE" w14:textId="77777777" w:rsidR="0075614C" w:rsidRDefault="00000000">
            <w:pPr>
              <w:tabs>
                <w:tab w:val="left" w:pos="255"/>
              </w:tabs>
              <w:ind w:left="255" w:hanging="255"/>
              <w:jc w:val="both"/>
            </w:pPr>
            <w:r>
              <w:t>▪</w:t>
            </w:r>
            <w:r>
              <w:tab/>
              <w:t>Aseguramiento de información financiera y no financiera</w:t>
            </w:r>
          </w:p>
          <w:p w14:paraId="07C9CF1C" w14:textId="77777777" w:rsidR="0075614C" w:rsidRDefault="00000000">
            <w:pPr>
              <w:tabs>
                <w:tab w:val="left" w:pos="255"/>
              </w:tabs>
              <w:ind w:left="255" w:hanging="255"/>
              <w:jc w:val="both"/>
            </w:pPr>
            <w:r>
              <w:t>▪</w:t>
            </w:r>
            <w:r>
              <w:tab/>
              <w:t>Papeles de trabajo digitales y auditoría basada en riesgos</w:t>
            </w:r>
          </w:p>
          <w:p w14:paraId="641B2994" w14:textId="77777777" w:rsidR="0075614C" w:rsidRDefault="00000000">
            <w:pPr>
              <w:tabs>
                <w:tab w:val="left" w:pos="255"/>
              </w:tabs>
              <w:ind w:left="255" w:hanging="255"/>
              <w:jc w:val="both"/>
            </w:pPr>
            <w:r>
              <w:t>▪</w:t>
            </w:r>
            <w:r>
              <w:tab/>
              <w:t>Auditoría forense e informes periciales</w:t>
            </w:r>
          </w:p>
          <w:p w14:paraId="01170CC1" w14:textId="77777777" w:rsidR="004C73DB" w:rsidRDefault="004C73DB">
            <w:pPr>
              <w:tabs>
                <w:tab w:val="left" w:pos="255"/>
              </w:tabs>
              <w:ind w:left="255" w:hanging="255"/>
              <w:jc w:val="both"/>
            </w:pPr>
          </w:p>
        </w:tc>
        <w:tc>
          <w:tcPr>
            <w:tcW w:w="3232" w:type="dxa"/>
            <w:tcBorders>
              <w:top w:val="single" w:sz="4" w:space="0" w:color="8EAADB"/>
              <w:left w:val="single" w:sz="4" w:space="0" w:color="8EAADB"/>
              <w:bottom w:val="single" w:sz="4" w:space="0" w:color="8EAADB"/>
              <w:right w:val="single" w:sz="4" w:space="0" w:color="8EAADB"/>
            </w:tcBorders>
            <w:shd w:val="clear" w:color="auto" w:fill="D9E2F3"/>
          </w:tcPr>
          <w:p w14:paraId="6C50F07F" w14:textId="77777777" w:rsidR="0075614C" w:rsidRDefault="00000000">
            <w:pPr>
              <w:tabs>
                <w:tab w:val="left" w:pos="255"/>
              </w:tabs>
              <w:ind w:left="255" w:hanging="255"/>
              <w:jc w:val="both"/>
            </w:pPr>
            <w:r>
              <w:t>▪</w:t>
            </w:r>
            <w:r>
              <w:tab/>
              <w:t>Brecha tecnológica de 43 a 51 puntos, Ipsos CIESMORI 2025</w:t>
            </w:r>
          </w:p>
          <w:p w14:paraId="782734AA" w14:textId="77777777" w:rsidR="0075614C" w:rsidRDefault="00000000">
            <w:pPr>
              <w:tabs>
                <w:tab w:val="left" w:pos="255"/>
              </w:tabs>
              <w:ind w:left="255" w:hanging="255"/>
              <w:jc w:val="both"/>
            </w:pPr>
            <w:r>
              <w:t>▪</w:t>
            </w:r>
            <w:r>
              <w:tab/>
              <w:t>88 % demanda prácticas y proyectos reales</w:t>
            </w:r>
          </w:p>
          <w:p w14:paraId="131C6528" w14:textId="77777777" w:rsidR="0075614C" w:rsidRDefault="00000000">
            <w:pPr>
              <w:tabs>
                <w:tab w:val="left" w:pos="255"/>
              </w:tabs>
              <w:ind w:left="255" w:hanging="255"/>
              <w:jc w:val="both"/>
            </w:pPr>
            <w:r>
              <w:t>▪</w:t>
            </w:r>
            <w:r>
              <w:tab/>
              <w:t>Foro Económico Mundial 2025</w:t>
            </w:r>
          </w:p>
        </w:tc>
      </w:tr>
      <w:tr w:rsidR="00395D6D" w14:paraId="1395C19A" w14:textId="77777777">
        <w:trPr>
          <w:jc w:val="center"/>
        </w:trPr>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0B6D8666" w14:textId="77777777" w:rsidR="0075614C" w:rsidRDefault="00000000">
            <w:pPr>
              <w:jc w:val="center"/>
            </w:pPr>
            <w:r>
              <w:rPr>
                <w:b/>
              </w:rPr>
              <w:t>Saber ser y convivir</w:t>
            </w:r>
          </w:p>
        </w:tc>
        <w:tc>
          <w:tcPr>
            <w:tcW w:w="4409" w:type="dxa"/>
            <w:tcBorders>
              <w:top w:val="single" w:sz="4" w:space="0" w:color="8EAADB"/>
              <w:left w:val="single" w:sz="4" w:space="0" w:color="8EAADB"/>
              <w:bottom w:val="single" w:sz="4" w:space="0" w:color="8EAADB"/>
              <w:right w:val="single" w:sz="4" w:space="0" w:color="8EAADB"/>
            </w:tcBorders>
            <w:shd w:val="clear" w:color="auto" w:fill="D9E2F3"/>
          </w:tcPr>
          <w:p w14:paraId="03C9BEC4" w14:textId="77777777" w:rsidR="0075614C" w:rsidRDefault="00000000">
            <w:pPr>
              <w:tabs>
                <w:tab w:val="left" w:pos="255"/>
              </w:tabs>
              <w:ind w:left="255" w:hanging="255"/>
              <w:jc w:val="both"/>
            </w:pPr>
            <w:r>
              <w:t>▪</w:t>
            </w:r>
            <w:r>
              <w:tab/>
            </w:r>
            <w:r w:rsidR="004C73DB" w:rsidRPr="004C73DB">
              <w:t>Integridad, independencia y ética profesional</w:t>
            </w:r>
          </w:p>
          <w:p w14:paraId="6DA81228" w14:textId="77777777" w:rsidR="0075614C" w:rsidRDefault="00000000">
            <w:pPr>
              <w:tabs>
                <w:tab w:val="left" w:pos="255"/>
              </w:tabs>
              <w:ind w:left="255" w:hanging="255"/>
              <w:jc w:val="both"/>
            </w:pPr>
            <w:r>
              <w:t>▪</w:t>
            </w:r>
            <w:r>
              <w:tab/>
            </w:r>
            <w:r w:rsidR="004C73DB" w:rsidRPr="004C73DB">
              <w:t>Adaptabilidad y aprendizaje a lo largo de la vida</w:t>
            </w:r>
          </w:p>
          <w:p w14:paraId="63CD8822" w14:textId="77777777" w:rsidR="0075614C" w:rsidRDefault="00000000">
            <w:pPr>
              <w:tabs>
                <w:tab w:val="left" w:pos="255"/>
              </w:tabs>
              <w:ind w:left="255" w:hanging="255"/>
              <w:jc w:val="both"/>
            </w:pPr>
            <w:r>
              <w:t>▪</w:t>
            </w:r>
            <w:r>
              <w:tab/>
            </w:r>
            <w:r w:rsidR="004C73DB" w:rsidRPr="004C73DB">
              <w:t>Pensamiento crítico y juicio profesional</w:t>
            </w:r>
          </w:p>
          <w:p w14:paraId="5EEC6714" w14:textId="77777777" w:rsidR="0075614C" w:rsidRDefault="00000000">
            <w:pPr>
              <w:tabs>
                <w:tab w:val="left" w:pos="255"/>
              </w:tabs>
              <w:ind w:left="255" w:hanging="255"/>
              <w:jc w:val="both"/>
            </w:pPr>
            <w:r>
              <w:t>▪</w:t>
            </w:r>
            <w:r>
              <w:tab/>
            </w:r>
            <w:r w:rsidR="004C73DB" w:rsidRPr="004C73DB">
              <w:t>Trabajo colaborativo y comunicación efectiva</w:t>
            </w:r>
          </w:p>
          <w:p w14:paraId="2E3B453B" w14:textId="77777777" w:rsidR="004C73DB" w:rsidRDefault="00000000" w:rsidP="004C73DB">
            <w:pPr>
              <w:tabs>
                <w:tab w:val="left" w:pos="255"/>
              </w:tabs>
              <w:ind w:left="255" w:hanging="255"/>
              <w:jc w:val="both"/>
            </w:pPr>
            <w:r>
              <w:t>▪</w:t>
            </w:r>
            <w:r>
              <w:tab/>
            </w:r>
            <w:r w:rsidRPr="004C73DB">
              <w:t>Responsabilidad social y conciencia ambiental</w:t>
            </w:r>
          </w:p>
          <w:p w14:paraId="32DBAF8B" w14:textId="77777777" w:rsidR="004C73DB" w:rsidRDefault="00000000" w:rsidP="004C73DB">
            <w:pPr>
              <w:tabs>
                <w:tab w:val="left" w:pos="255"/>
              </w:tabs>
              <w:ind w:left="255" w:hanging="255"/>
              <w:jc w:val="both"/>
            </w:pPr>
            <w:r>
              <w:t>▪</w:t>
            </w:r>
            <w:r>
              <w:tab/>
              <w:t>Innovación</w:t>
            </w:r>
          </w:p>
        </w:tc>
        <w:tc>
          <w:tcPr>
            <w:tcW w:w="3232" w:type="dxa"/>
            <w:tcBorders>
              <w:top w:val="single" w:sz="4" w:space="0" w:color="8EAADB"/>
              <w:left w:val="single" w:sz="4" w:space="0" w:color="8EAADB"/>
              <w:bottom w:val="single" w:sz="4" w:space="0" w:color="8EAADB"/>
              <w:right w:val="single" w:sz="4" w:space="0" w:color="8EAADB"/>
            </w:tcBorders>
            <w:shd w:val="clear" w:color="auto" w:fill="D9E2F3"/>
          </w:tcPr>
          <w:p w14:paraId="30EA296F" w14:textId="77777777" w:rsidR="0075614C" w:rsidRDefault="00000000">
            <w:pPr>
              <w:tabs>
                <w:tab w:val="left" w:pos="255"/>
              </w:tabs>
              <w:ind w:left="255" w:hanging="255"/>
              <w:jc w:val="both"/>
            </w:pPr>
            <w:r>
              <w:t>▪</w:t>
            </w:r>
            <w:r>
              <w:tab/>
              <w:t>82 % demanda ética aplicada</w:t>
            </w:r>
          </w:p>
          <w:p w14:paraId="22445B2C" w14:textId="77777777" w:rsidR="0075614C" w:rsidRDefault="00000000">
            <w:pPr>
              <w:tabs>
                <w:tab w:val="left" w:pos="255"/>
              </w:tabs>
              <w:ind w:left="255" w:hanging="255"/>
              <w:jc w:val="both"/>
            </w:pPr>
            <w:r>
              <w:t>▪</w:t>
            </w:r>
            <w:r>
              <w:tab/>
              <w:t>IES 4 de la IFAC</w:t>
            </w:r>
          </w:p>
          <w:p w14:paraId="336A6447" w14:textId="77777777" w:rsidR="0075614C" w:rsidRDefault="00000000">
            <w:pPr>
              <w:tabs>
                <w:tab w:val="left" w:pos="255"/>
              </w:tabs>
              <w:ind w:left="255" w:hanging="255"/>
              <w:jc w:val="both"/>
            </w:pPr>
            <w:r>
              <w:t>▪</w:t>
            </w:r>
            <w:r>
              <w:tab/>
              <w:t>Brechas de 25 a 40 puntos en competencias actitudinales</w:t>
            </w:r>
          </w:p>
        </w:tc>
      </w:tr>
    </w:tbl>
    <w:p w14:paraId="7330E132" w14:textId="77777777" w:rsidR="0075614C" w:rsidRDefault="0075614C">
      <w:pPr>
        <w:spacing w:after="120"/>
      </w:pPr>
    </w:p>
    <w:p w14:paraId="353C3A78" w14:textId="77777777" w:rsidR="0075614C" w:rsidRDefault="00000000">
      <w:pPr>
        <w:spacing w:after="200"/>
        <w:jc w:val="both"/>
      </w:pPr>
      <w:r>
        <w:t>El logro de estas competencias se verifica mediante evaluación auténtica del desempeño, como se establece en el punto 4.7.</w:t>
      </w:r>
    </w:p>
    <w:p w14:paraId="629BD872" w14:textId="77777777" w:rsidR="0075614C" w:rsidRDefault="00000000">
      <w:pPr>
        <w:keepNext/>
        <w:tabs>
          <w:tab w:val="left" w:pos="709"/>
        </w:tabs>
        <w:spacing w:before="80" w:after="200"/>
        <w:ind w:left="709" w:hanging="709"/>
        <w:outlineLvl w:val="2"/>
      </w:pPr>
      <w:bookmarkStart w:id="119" w:name="_Toc000000073"/>
      <w:r>
        <w:rPr>
          <w:b/>
          <w:sz w:val="22"/>
        </w:rPr>
        <w:lastRenderedPageBreak/>
        <w:t>4.2.7</w:t>
      </w:r>
      <w:r>
        <w:rPr>
          <w:b/>
          <w:sz w:val="22"/>
        </w:rPr>
        <w:tab/>
        <w:t>Perfil profesional</w:t>
      </w:r>
      <w:bookmarkEnd w:id="119"/>
    </w:p>
    <w:p w14:paraId="0FCB78DD" w14:textId="77777777" w:rsidR="0075614C" w:rsidRDefault="00000000">
      <w:pPr>
        <w:spacing w:after="200"/>
        <w:jc w:val="both"/>
      </w:pPr>
      <w:r>
        <w:t>El perfil del Contador Público</w:t>
      </w:r>
      <w:r w:rsidR="004C73DB">
        <w:t xml:space="preserve"> </w:t>
      </w:r>
      <w:r>
        <w:t>es la descripción integrada del profesional que la UMSA entregará a la sociedad. Traduce el análisis de los subpuntos anteriores en la declaración oficial del perfil, en cumplimiento de la Resolución HCU N.º 032/2025 y en concordancia con el perfil aprobado para el Sistema de la Universidad Boliviana por la Resolución N.º 07/2024. Para cumplir con este perfil, el profesional formado en la Carrera reúne cuatro requisitos:</w:t>
      </w:r>
    </w:p>
    <w:p w14:paraId="0BE87BE6" w14:textId="77777777" w:rsidR="0075614C" w:rsidRDefault="00000000">
      <w:pPr>
        <w:numPr>
          <w:ilvl w:val="0"/>
          <w:numId w:val="31"/>
        </w:numPr>
        <w:spacing w:after="160"/>
        <w:jc w:val="both"/>
      </w:pPr>
      <w:r>
        <w:rPr>
          <w:b/>
        </w:rPr>
        <w:t>Sólida base teórica y práctica especializada:</w:t>
      </w:r>
      <w:r>
        <w:t xml:space="preserve"> conocimientos científicos, técnicos y tecnológicos que le permiten analizar, decidir y resolver problemas organizacionales complejos.</w:t>
      </w:r>
    </w:p>
    <w:p w14:paraId="70E5D036" w14:textId="77777777" w:rsidR="0075614C" w:rsidRDefault="00000000">
      <w:pPr>
        <w:numPr>
          <w:ilvl w:val="0"/>
          <w:numId w:val="31"/>
        </w:numPr>
        <w:spacing w:after="160"/>
        <w:jc w:val="both"/>
      </w:pPr>
      <w:r>
        <w:rPr>
          <w:b/>
        </w:rPr>
        <w:t>Capacidad analítica, crítica y propositiva:</w:t>
      </w:r>
      <w:r>
        <w:t xml:space="preserve"> postura intelectual reflexiva, objetiva e innovadora, abierta a alternativas diversas.</w:t>
      </w:r>
    </w:p>
    <w:p w14:paraId="3B71A785" w14:textId="77777777" w:rsidR="0075614C" w:rsidRDefault="00000000">
      <w:pPr>
        <w:numPr>
          <w:ilvl w:val="0"/>
          <w:numId w:val="31"/>
        </w:numPr>
        <w:spacing w:after="160"/>
        <w:jc w:val="both"/>
      </w:pPr>
      <w:r>
        <w:rPr>
          <w:b/>
        </w:rPr>
        <w:t>Vocación de servicio e impacto socioeconómico:</w:t>
      </w:r>
      <w:r>
        <w:t xml:space="preserve"> orienta su ejercicio al servicio de la comunidad, la transparencia pública, la seguridad jurídica y el desarrollo sostenible del país.</w:t>
      </w:r>
    </w:p>
    <w:p w14:paraId="1234758E" w14:textId="77777777" w:rsidR="0075614C" w:rsidRDefault="00000000">
      <w:pPr>
        <w:numPr>
          <w:ilvl w:val="0"/>
          <w:numId w:val="31"/>
        </w:numPr>
        <w:spacing w:after="200"/>
        <w:jc w:val="both"/>
      </w:pPr>
      <w:r>
        <w:rPr>
          <w:b/>
        </w:rPr>
        <w:t>Rigor ético y responsabilidad pública:</w:t>
      </w:r>
      <w:r>
        <w:t xml:space="preserve"> actúa con responsabilidad social y moral, consciente del impacto de sus opiniones, informes y decisiones sobre las organizaciones y el interés público.</w:t>
      </w:r>
    </w:p>
    <w:p w14:paraId="018E9312" w14:textId="77777777" w:rsidR="0075614C" w:rsidRDefault="00000000">
      <w:pPr>
        <w:keepNext/>
        <w:spacing w:before="40" w:after="200"/>
      </w:pPr>
      <w:r>
        <w:rPr>
          <w:b/>
          <w:sz w:val="22"/>
        </w:rPr>
        <w:t>Declaración del perfil profesional</w:t>
      </w:r>
    </w:p>
    <w:tbl>
      <w:tblPr>
        <w:tblW w:w="9405" w:type="dxa"/>
        <w:jc w:val="center"/>
        <w:tblLook w:val="04A0" w:firstRow="1" w:lastRow="0" w:firstColumn="1" w:lastColumn="0" w:noHBand="0" w:noVBand="1"/>
      </w:tblPr>
      <w:tblGrid>
        <w:gridCol w:w="9405"/>
      </w:tblGrid>
      <w:tr w:rsidR="00395D6D" w14:paraId="0EF8155F" w14:textId="77777777">
        <w:trPr>
          <w:jc w:val="center"/>
        </w:trPr>
        <w:tc>
          <w:tcPr>
            <w:tcW w:w="9405" w:type="dxa"/>
            <w:tcBorders>
              <w:top w:val="single" w:sz="6" w:space="0" w:color="404040"/>
              <w:left w:val="single" w:sz="6" w:space="0" w:color="404040"/>
              <w:bottom w:val="single" w:sz="6" w:space="0" w:color="404040"/>
              <w:right w:val="single" w:sz="6" w:space="0" w:color="404040"/>
            </w:tcBorders>
            <w:tcMar>
              <w:top w:w="140" w:type="dxa"/>
              <w:left w:w="140" w:type="dxa"/>
              <w:bottom w:w="140" w:type="dxa"/>
              <w:right w:w="140" w:type="dxa"/>
            </w:tcMar>
          </w:tcPr>
          <w:p w14:paraId="55ACBBC8" w14:textId="77777777" w:rsidR="0075614C" w:rsidRDefault="00000000">
            <w:pPr>
              <w:spacing w:before="60" w:after="60"/>
              <w:jc w:val="center"/>
            </w:pPr>
            <w:r>
              <w:rPr>
                <w:b/>
              </w:rPr>
              <w:t>Perfil del Contador Público de la UMSA</w:t>
            </w:r>
          </w:p>
          <w:p w14:paraId="5EACC1DF" w14:textId="77777777" w:rsidR="0075614C" w:rsidRDefault="00000000">
            <w:pPr>
              <w:spacing w:before="60" w:after="60"/>
              <w:jc w:val="center"/>
            </w:pPr>
            <w:r>
              <w:rPr>
                <w:i/>
              </w:rPr>
              <w:t>El Contador Público de la Universidad Mayor de San Andrés es un profesional integral y estratégico con sólida formación científica, técnica y humanística en las áreas de Contabilidad, Auditoría, Aseguramiento y Finanzas. Su perfil se complementa con un dominio multidisciplinario en administración, economía, derecho corporativo y tributario, control interno, gestión de riesgos, gobernanza digital e inteligencia de negocios.</w:t>
            </w:r>
          </w:p>
          <w:p w14:paraId="249661A1" w14:textId="77777777" w:rsidR="0075614C" w:rsidRDefault="00000000">
            <w:pPr>
              <w:spacing w:before="60" w:after="60"/>
              <w:jc w:val="center"/>
            </w:pPr>
            <w:r>
              <w:rPr>
                <w:i/>
              </w:rPr>
              <w:t>Está calificado para diseñar, operar, evaluar y auditar sistemas integrados de información económica, financiera y no financiera, incorporando estándares nacionales e internacionales y herramientas de tecnologías emergentes, como la inteligencia artificial, la analítica de datos y la automatización de procesos, para respaldar la toma de decisiones en entornos inciertos y complejos.</w:t>
            </w:r>
          </w:p>
          <w:p w14:paraId="382C1A42" w14:textId="77777777" w:rsidR="0075614C" w:rsidRDefault="00000000">
            <w:pPr>
              <w:spacing w:before="60" w:after="60"/>
              <w:jc w:val="center"/>
            </w:pPr>
            <w:r>
              <w:rPr>
                <w:i/>
              </w:rPr>
              <w:t xml:space="preserve">Aporta valor a través de servicios de aseguramiento </w:t>
            </w:r>
            <w:r w:rsidR="00935F77">
              <w:rPr>
                <w:i/>
              </w:rPr>
              <w:t xml:space="preserve">y no aseguramiento </w:t>
            </w:r>
            <w:r>
              <w:rPr>
                <w:i/>
              </w:rPr>
              <w:t xml:space="preserve">de la información, en auditoría financiera, gubernamental, operativa, de sistemas, ambiental y forense, la evaluación del control interno y la consultoría en sostenibilidad y cumplimiento normativo. Su desempeño se sustenta en una conciencia crítica e investigativa, capacidad analítica, liderazgo, adaptabilidad, </w:t>
            </w:r>
            <w:r w:rsidR="00935F77">
              <w:rPr>
                <w:i/>
              </w:rPr>
              <w:t xml:space="preserve">conocimiento </w:t>
            </w:r>
            <w:r>
              <w:rPr>
                <w:i/>
              </w:rPr>
              <w:t>del inglés técnico contable y una rigurosa ética profesional alineada al Código Internacional de Ética del IESBA</w:t>
            </w:r>
            <w:r w:rsidR="00935F77">
              <w:rPr>
                <w:i/>
              </w:rPr>
              <w:t xml:space="preserve"> y el Código de Ética del Auditor Gubernamental</w:t>
            </w:r>
            <w:r>
              <w:rPr>
                <w:i/>
              </w:rPr>
              <w:t>, garantizando el interés público y la transparencia ante la sociedad y el Estado.</w:t>
            </w:r>
          </w:p>
        </w:tc>
      </w:tr>
    </w:tbl>
    <w:p w14:paraId="5E588440" w14:textId="77777777" w:rsidR="0075614C" w:rsidRDefault="0075614C">
      <w:pPr>
        <w:spacing w:after="120"/>
      </w:pPr>
    </w:p>
    <w:p w14:paraId="04D66192" w14:textId="77777777" w:rsidR="0075614C" w:rsidRDefault="00000000">
      <w:pPr>
        <w:keepNext/>
        <w:spacing w:before="40" w:after="200"/>
      </w:pPr>
      <w:r>
        <w:rPr>
          <w:b/>
          <w:sz w:val="22"/>
        </w:rPr>
        <w:t>Atributos del egresado</w:t>
      </w:r>
    </w:p>
    <w:p w14:paraId="2F69DB1B" w14:textId="77777777" w:rsidR="0075614C" w:rsidRDefault="00000000">
      <w:pPr>
        <w:spacing w:after="200"/>
        <w:jc w:val="both"/>
      </w:pPr>
      <w:r>
        <w:t>Para facilitar la evaluación ex ante del plan y la construcción del mapa de competencias, el perfil se expresa en tres grupos de atributos:</w:t>
      </w:r>
    </w:p>
    <w:p w14:paraId="0B077613" w14:textId="77777777" w:rsidR="0075614C" w:rsidRDefault="00000000">
      <w:pPr>
        <w:spacing w:after="200"/>
        <w:jc w:val="both"/>
      </w:pPr>
      <w:r>
        <w:rPr>
          <w:b/>
        </w:rPr>
        <w:t>Atributos académicos y disciplinares, saber conocer:</w:t>
      </w:r>
    </w:p>
    <w:p w14:paraId="38497385" w14:textId="77777777" w:rsidR="0075614C" w:rsidRDefault="00000000">
      <w:pPr>
        <w:numPr>
          <w:ilvl w:val="0"/>
          <w:numId w:val="32"/>
        </w:numPr>
        <w:spacing w:after="160"/>
        <w:jc w:val="both"/>
      </w:pPr>
      <w:r>
        <w:lastRenderedPageBreak/>
        <w:t>Dominio de los marcos de información financiera nacionales e internacionales para preparar estados financieros e informes de gestión en los sectores público, privado y mixto.</w:t>
      </w:r>
    </w:p>
    <w:p w14:paraId="74E18D21" w14:textId="77777777" w:rsidR="0075614C" w:rsidRDefault="00000000">
      <w:pPr>
        <w:numPr>
          <w:ilvl w:val="0"/>
          <w:numId w:val="32"/>
        </w:numPr>
        <w:spacing w:after="160"/>
        <w:jc w:val="both"/>
      </w:pPr>
      <w:r>
        <w:t>Solvencia en normas de auditoría y aseguramiento para auditar la razonabilidad de la información financiera y ejecutar otros encargos de aseguramiento en entidades públicas y privadas.</w:t>
      </w:r>
    </w:p>
    <w:p w14:paraId="0BF026B3" w14:textId="77777777" w:rsidR="0075614C" w:rsidRDefault="00000000">
      <w:pPr>
        <w:numPr>
          <w:ilvl w:val="0"/>
          <w:numId w:val="32"/>
        </w:numPr>
        <w:spacing w:after="160"/>
        <w:jc w:val="both"/>
      </w:pPr>
      <w:r>
        <w:t>Conocimiento especializado en legislación fiscal, tributación, precios de transferencia y legislación comercial y laboral boliviana.</w:t>
      </w:r>
    </w:p>
    <w:p w14:paraId="1709504F" w14:textId="77777777" w:rsidR="0075614C" w:rsidRDefault="00000000">
      <w:pPr>
        <w:numPr>
          <w:ilvl w:val="0"/>
          <w:numId w:val="32"/>
        </w:numPr>
        <w:spacing w:after="200"/>
        <w:jc w:val="both"/>
      </w:pPr>
      <w:r>
        <w:t>Comprensión de las finanzas corporativas, la valoración de proyectos, el control interno y la gestión integral de riesgos empresariales.</w:t>
      </w:r>
    </w:p>
    <w:p w14:paraId="5B5AB1C7" w14:textId="77777777" w:rsidR="0075614C" w:rsidRDefault="00000000">
      <w:pPr>
        <w:spacing w:after="200"/>
        <w:jc w:val="both"/>
      </w:pPr>
      <w:r>
        <w:rPr>
          <w:b/>
        </w:rPr>
        <w:t>Atributos técnicos, digitales y de innovación, saber hacer:</w:t>
      </w:r>
    </w:p>
    <w:p w14:paraId="4162F948" w14:textId="77777777" w:rsidR="0075614C" w:rsidRDefault="00000000">
      <w:pPr>
        <w:numPr>
          <w:ilvl w:val="0"/>
          <w:numId w:val="33"/>
        </w:numPr>
        <w:spacing w:after="160"/>
        <w:jc w:val="both"/>
      </w:pPr>
      <w:r>
        <w:t>Habilidad en sistemas de planificación de recursos empresariales, software contable y plataformas tributarias oficiales.</w:t>
      </w:r>
    </w:p>
    <w:p w14:paraId="0D021EC5" w14:textId="77777777" w:rsidR="0075614C" w:rsidRDefault="00000000">
      <w:pPr>
        <w:numPr>
          <w:ilvl w:val="0"/>
          <w:numId w:val="33"/>
        </w:numPr>
        <w:spacing w:after="160"/>
        <w:jc w:val="both"/>
      </w:pPr>
      <w:r>
        <w:t>Destreza en inteligencia de negocios, analítica cuantitativa e inteligencia artificial para el análisis prospectivo de datos financieros y la detección de irregularidades.</w:t>
      </w:r>
    </w:p>
    <w:p w14:paraId="2563165A" w14:textId="77777777" w:rsidR="0075614C" w:rsidRDefault="00000000">
      <w:pPr>
        <w:numPr>
          <w:ilvl w:val="0"/>
          <w:numId w:val="33"/>
        </w:numPr>
        <w:spacing w:after="160"/>
        <w:jc w:val="both"/>
      </w:pPr>
      <w:r>
        <w:t>Capacidad para diseñar y ejecutar auditorías forenses, peritajes y auditorías de ciberseguridad y sistemas.</w:t>
      </w:r>
    </w:p>
    <w:p w14:paraId="655D49AB" w14:textId="77777777" w:rsidR="0075614C" w:rsidRDefault="00000000">
      <w:pPr>
        <w:numPr>
          <w:ilvl w:val="0"/>
          <w:numId w:val="33"/>
        </w:numPr>
        <w:spacing w:after="160"/>
        <w:jc w:val="both"/>
      </w:pPr>
      <w:r>
        <w:t>Competencia para elaborar y auditar informes de sostenibilidad.</w:t>
      </w:r>
    </w:p>
    <w:p w14:paraId="46E01032" w14:textId="77777777" w:rsidR="0075614C" w:rsidRDefault="00000000">
      <w:pPr>
        <w:numPr>
          <w:ilvl w:val="0"/>
          <w:numId w:val="33"/>
        </w:numPr>
        <w:spacing w:after="200"/>
        <w:jc w:val="both"/>
      </w:pPr>
      <w:r>
        <w:t>Posibilidad de obtener los grados intermedios durante el pregrado y de articularse con los programas de postgrado de la Facultad.</w:t>
      </w:r>
    </w:p>
    <w:p w14:paraId="1CDA174C" w14:textId="77777777" w:rsidR="0075614C" w:rsidRDefault="00000000">
      <w:pPr>
        <w:spacing w:after="200"/>
        <w:jc w:val="both"/>
      </w:pPr>
      <w:r>
        <w:rPr>
          <w:b/>
        </w:rPr>
        <w:t>Atributos éticos, socioemocionales y de responsabilidad pública, saber ser y convivir:</w:t>
      </w:r>
    </w:p>
    <w:p w14:paraId="75BC7CDF" w14:textId="77777777" w:rsidR="0075614C" w:rsidRDefault="00000000">
      <w:pPr>
        <w:numPr>
          <w:ilvl w:val="0"/>
          <w:numId w:val="34"/>
        </w:numPr>
        <w:spacing w:after="160"/>
        <w:jc w:val="both"/>
      </w:pPr>
      <w:r>
        <w:t>Compromiso con la integridad, la independencia de criterio, la objetividad y la confidencialidad conforme al Código de Ética del IESBA.</w:t>
      </w:r>
    </w:p>
    <w:p w14:paraId="5B0F750A" w14:textId="77777777" w:rsidR="0075614C" w:rsidRDefault="00000000">
      <w:pPr>
        <w:numPr>
          <w:ilvl w:val="0"/>
          <w:numId w:val="34"/>
        </w:numPr>
        <w:spacing w:after="160"/>
        <w:jc w:val="both"/>
      </w:pPr>
      <w:r>
        <w:t>Juicio profesional fundado en el pensamiento crítico, la investigación aplicada y la comprensión del entorno desde el pensamiento complejo.</w:t>
      </w:r>
    </w:p>
    <w:p w14:paraId="7B09EE8D" w14:textId="77777777" w:rsidR="0075614C" w:rsidRDefault="00000000">
      <w:pPr>
        <w:numPr>
          <w:ilvl w:val="0"/>
          <w:numId w:val="34"/>
        </w:numPr>
        <w:spacing w:after="160"/>
        <w:jc w:val="both"/>
      </w:pPr>
      <w:r>
        <w:t>Adaptabilidad frente a los cambios normativos y tecnológicos.</w:t>
      </w:r>
    </w:p>
    <w:p w14:paraId="471182F8" w14:textId="77777777" w:rsidR="0075614C" w:rsidRDefault="00000000">
      <w:pPr>
        <w:numPr>
          <w:ilvl w:val="0"/>
          <w:numId w:val="34"/>
        </w:numPr>
        <w:spacing w:after="200"/>
        <w:jc w:val="both"/>
      </w:pPr>
      <w:r>
        <w:t>Liderazgo, trabajo colaborativo en equipos multidisciplinarios y comunicación asertiva en español y en inglés técnico contable.</w:t>
      </w:r>
    </w:p>
    <w:p w14:paraId="05DA45BB" w14:textId="77777777" w:rsidR="00990B14" w:rsidRDefault="00000000">
      <w:pPr>
        <w:spacing w:after="200"/>
        <w:jc w:val="both"/>
      </w:pPr>
      <w:r>
        <w:t>El perfil profesional es pertinente con la misión de la UMSA porque cada atributo del egresado responde a uno de sus compromisos institucionales y se desarrolla en asignaturas o actividades concretas del plan:</w:t>
      </w:r>
    </w:p>
    <w:p w14:paraId="21B1BE0C" w14:textId="77777777" w:rsidR="00990B14" w:rsidRDefault="00000000">
      <w:pPr>
        <w:pStyle w:val="TituloCuadro"/>
        <w:keepNext/>
        <w:spacing w:before="40" w:after="80"/>
        <w:jc w:val="center"/>
      </w:pPr>
      <w:bookmarkStart w:id="120" w:name="_Toc000000324"/>
      <w:r>
        <w:rPr>
          <w:b/>
        </w:rPr>
        <w:t>Cuadro 4. Correspondencia del perfil profesional con la misión de la UMSA</w:t>
      </w:r>
      <w:bookmarkEnd w:id="120"/>
    </w:p>
    <w:tbl>
      <w:tblPr>
        <w:tblW w:w="9405" w:type="dxa"/>
        <w:jc w:val="center"/>
        <w:tblLayout w:type="fixed"/>
        <w:tblLook w:val="04A0" w:firstRow="1" w:lastRow="0" w:firstColumn="1" w:lastColumn="0" w:noHBand="0" w:noVBand="1"/>
      </w:tblPr>
      <w:tblGrid>
        <w:gridCol w:w="2645"/>
        <w:gridCol w:w="3527"/>
        <w:gridCol w:w="3233"/>
      </w:tblGrid>
      <w:tr w:rsidR="00990B14" w14:paraId="3EDFFD89" w14:textId="77777777">
        <w:trPr>
          <w:tblHeader/>
          <w:jc w:val="center"/>
        </w:trPr>
        <w:tc>
          <w:tcPr>
            <w:tcW w:w="264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AD4A528" w14:textId="77777777" w:rsidR="00990B14" w:rsidRDefault="00000000">
            <w:pPr>
              <w:jc w:val="center"/>
            </w:pPr>
            <w:r>
              <w:rPr>
                <w:b/>
                <w:color w:val="FFFFFF"/>
                <w:sz w:val="18"/>
              </w:rPr>
              <w:t>Compromiso de la UMSA</w:t>
            </w:r>
          </w:p>
        </w:tc>
        <w:tc>
          <w:tcPr>
            <w:tcW w:w="352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AD0BE5C" w14:textId="77777777" w:rsidR="00990B14" w:rsidRDefault="00000000">
            <w:pPr>
              <w:jc w:val="center"/>
            </w:pPr>
            <w:r>
              <w:rPr>
                <w:b/>
                <w:color w:val="FFFFFF"/>
                <w:sz w:val="18"/>
              </w:rPr>
              <w:t>Atributo del perfil</w:t>
            </w:r>
          </w:p>
        </w:tc>
        <w:tc>
          <w:tcPr>
            <w:tcW w:w="323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5238633" w14:textId="77777777" w:rsidR="00990B14" w:rsidRDefault="00000000">
            <w:pPr>
              <w:jc w:val="center"/>
            </w:pPr>
            <w:r>
              <w:rPr>
                <w:b/>
                <w:color w:val="FFFFFF"/>
                <w:sz w:val="18"/>
              </w:rPr>
              <w:t>Dónde se desarrolla</w:t>
            </w:r>
          </w:p>
        </w:tc>
      </w:tr>
      <w:tr w:rsidR="00990B14" w14:paraId="03448BE6" w14:textId="77777777">
        <w:trPr>
          <w:jc w:val="center"/>
        </w:trPr>
        <w:tc>
          <w:tcPr>
            <w:tcW w:w="2645" w:type="dxa"/>
            <w:tcBorders>
              <w:top w:val="single" w:sz="4" w:space="0" w:color="8EAADB"/>
              <w:left w:val="single" w:sz="4" w:space="0" w:color="8EAADB"/>
              <w:bottom w:val="single" w:sz="4" w:space="0" w:color="8EAADB"/>
              <w:right w:val="single" w:sz="4" w:space="0" w:color="8EAADB"/>
            </w:tcBorders>
            <w:shd w:val="clear" w:color="auto" w:fill="D9E2F3"/>
          </w:tcPr>
          <w:p w14:paraId="320E54A6" w14:textId="77777777" w:rsidR="00990B14" w:rsidRDefault="00000000">
            <w:pPr>
              <w:jc w:val="both"/>
            </w:pPr>
            <w:r>
              <w:rPr>
                <w:sz w:val="18"/>
              </w:rPr>
              <w:t>Excelencia académica y formación científica</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6AD24303" w14:textId="77777777" w:rsidR="00990B14" w:rsidRDefault="00000000">
            <w:pPr>
              <w:jc w:val="both"/>
            </w:pPr>
            <w:r>
              <w:rPr>
                <w:sz w:val="18"/>
              </w:rPr>
              <w:t>Dominio de los marcos de información financiera y de las normas de auditoría y aseguramiento</w:t>
            </w:r>
          </w:p>
        </w:tc>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1F61BAB6" w14:textId="77777777" w:rsidR="00990B14" w:rsidRDefault="00000000">
            <w:pPr>
              <w:jc w:val="both"/>
            </w:pPr>
            <w:r>
              <w:rPr>
                <w:sz w:val="18"/>
              </w:rPr>
              <w:t>Área de Información Financiera y área de Servicios de Aseguramiento</w:t>
            </w:r>
          </w:p>
        </w:tc>
      </w:tr>
      <w:tr w:rsidR="00990B14" w14:paraId="7C6A4390" w14:textId="77777777">
        <w:trPr>
          <w:jc w:val="center"/>
        </w:trPr>
        <w:tc>
          <w:tcPr>
            <w:tcW w:w="2645" w:type="dxa"/>
            <w:tcBorders>
              <w:top w:val="single" w:sz="4" w:space="0" w:color="8EAADB"/>
              <w:left w:val="single" w:sz="4" w:space="0" w:color="8EAADB"/>
              <w:bottom w:val="single" w:sz="4" w:space="0" w:color="8EAADB"/>
              <w:right w:val="single" w:sz="4" w:space="0" w:color="8EAADB"/>
            </w:tcBorders>
            <w:shd w:val="clear" w:color="auto" w:fill="D9E2F3"/>
          </w:tcPr>
          <w:p w14:paraId="77B7975F" w14:textId="77777777" w:rsidR="00990B14" w:rsidRDefault="00000000">
            <w:pPr>
              <w:jc w:val="both"/>
            </w:pPr>
            <w:r>
              <w:rPr>
                <w:sz w:val="18"/>
              </w:rPr>
              <w:t>Investigación e innovación</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593706C8" w14:textId="77777777" w:rsidR="00990B14" w:rsidRDefault="00000000">
            <w:pPr>
              <w:jc w:val="both"/>
            </w:pPr>
            <w:r>
              <w:rPr>
                <w:sz w:val="18"/>
              </w:rPr>
              <w:t>Juicio profesional fundado en el pensamiento crítico y la investigación aplicada; destreza en analítica e inteligencia artificial</w:t>
            </w:r>
          </w:p>
        </w:tc>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2F0C0D62" w14:textId="77777777" w:rsidR="00990B14" w:rsidRDefault="00000000">
            <w:pPr>
              <w:jc w:val="both"/>
            </w:pPr>
            <w:r>
              <w:rPr>
                <w:sz w:val="18"/>
              </w:rPr>
              <w:t>CPA-204, CPA-510, CPA-305, CPA-505 y horas de investigación y práctica del punto 8.4</w:t>
            </w:r>
          </w:p>
        </w:tc>
      </w:tr>
      <w:tr w:rsidR="00990B14" w14:paraId="64230C60" w14:textId="77777777">
        <w:trPr>
          <w:jc w:val="center"/>
        </w:trPr>
        <w:tc>
          <w:tcPr>
            <w:tcW w:w="2645" w:type="dxa"/>
            <w:tcBorders>
              <w:top w:val="single" w:sz="4" w:space="0" w:color="8EAADB"/>
              <w:left w:val="single" w:sz="4" w:space="0" w:color="8EAADB"/>
              <w:bottom w:val="single" w:sz="4" w:space="0" w:color="8EAADB"/>
              <w:right w:val="single" w:sz="4" w:space="0" w:color="8EAADB"/>
            </w:tcBorders>
            <w:shd w:val="clear" w:color="auto" w:fill="D9E2F3"/>
          </w:tcPr>
          <w:p w14:paraId="13AED8C9" w14:textId="77777777" w:rsidR="00990B14" w:rsidRDefault="00000000">
            <w:pPr>
              <w:jc w:val="both"/>
            </w:pPr>
            <w:r>
              <w:rPr>
                <w:sz w:val="18"/>
              </w:rPr>
              <w:t>Responsabilidad social e interés público</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35BF5908" w14:textId="77777777" w:rsidR="00990B14" w:rsidRDefault="00000000">
            <w:pPr>
              <w:jc w:val="both"/>
            </w:pPr>
            <w:r>
              <w:rPr>
                <w:sz w:val="18"/>
              </w:rPr>
              <w:t xml:space="preserve">Compromiso con la integridad, la objetividad y la confidencialidad </w:t>
            </w:r>
            <w:r>
              <w:rPr>
                <w:sz w:val="18"/>
              </w:rPr>
              <w:lastRenderedPageBreak/>
              <w:t>conforme al Código del IESBA</w:t>
            </w:r>
          </w:p>
        </w:tc>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08C762B9" w14:textId="77777777" w:rsidR="00990B14" w:rsidRDefault="00000000">
            <w:pPr>
              <w:jc w:val="both"/>
            </w:pPr>
            <w:r>
              <w:rPr>
                <w:sz w:val="18"/>
              </w:rPr>
              <w:lastRenderedPageBreak/>
              <w:t>CPA-406 y eje transversal de ética</w:t>
            </w:r>
          </w:p>
        </w:tc>
      </w:tr>
      <w:tr w:rsidR="00990B14" w14:paraId="05BD1C9E" w14:textId="77777777">
        <w:trPr>
          <w:jc w:val="center"/>
        </w:trPr>
        <w:tc>
          <w:tcPr>
            <w:tcW w:w="2645" w:type="dxa"/>
            <w:tcBorders>
              <w:top w:val="single" w:sz="4" w:space="0" w:color="8EAADB"/>
              <w:left w:val="single" w:sz="4" w:space="0" w:color="8EAADB"/>
              <w:bottom w:val="single" w:sz="4" w:space="0" w:color="8EAADB"/>
              <w:right w:val="single" w:sz="4" w:space="0" w:color="8EAADB"/>
            </w:tcBorders>
            <w:shd w:val="clear" w:color="auto" w:fill="D9E2F3"/>
          </w:tcPr>
          <w:p w14:paraId="2F9EAF6B" w14:textId="77777777" w:rsidR="00990B14" w:rsidRDefault="00000000">
            <w:pPr>
              <w:jc w:val="both"/>
            </w:pPr>
            <w:r>
              <w:rPr>
                <w:sz w:val="18"/>
              </w:rPr>
              <w:t>Sociedad justa e inclusiva y desarrollo sostenible</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75BC6EF7" w14:textId="77777777" w:rsidR="00990B14" w:rsidRDefault="00000000">
            <w:pPr>
              <w:jc w:val="both"/>
            </w:pPr>
            <w:r>
              <w:rPr>
                <w:sz w:val="18"/>
              </w:rPr>
              <w:t>Competencia para elaborar y auditar informes de sostenibilidad; vocación de servicio</w:t>
            </w:r>
          </w:p>
        </w:tc>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58F9E46D" w14:textId="77777777" w:rsidR="00990B14" w:rsidRDefault="00000000">
            <w:pPr>
              <w:jc w:val="both"/>
            </w:pPr>
            <w:r>
              <w:rPr>
                <w:sz w:val="18"/>
              </w:rPr>
              <w:t>CPA-506, CPA-504 y consultoría social contable del punto 7</w:t>
            </w:r>
          </w:p>
        </w:tc>
      </w:tr>
      <w:tr w:rsidR="00990B14" w14:paraId="3520D91E" w14:textId="77777777">
        <w:trPr>
          <w:jc w:val="center"/>
        </w:trPr>
        <w:tc>
          <w:tcPr>
            <w:tcW w:w="2645" w:type="dxa"/>
            <w:tcBorders>
              <w:top w:val="single" w:sz="4" w:space="0" w:color="8EAADB"/>
              <w:left w:val="single" w:sz="4" w:space="0" w:color="8EAADB"/>
              <w:bottom w:val="single" w:sz="4" w:space="0" w:color="8EAADB"/>
              <w:right w:val="single" w:sz="4" w:space="0" w:color="8EAADB"/>
            </w:tcBorders>
            <w:shd w:val="clear" w:color="auto" w:fill="D9E2F3"/>
          </w:tcPr>
          <w:p w14:paraId="42FF85E8" w14:textId="77777777" w:rsidR="00990B14" w:rsidRDefault="00000000">
            <w:pPr>
              <w:jc w:val="both"/>
            </w:pPr>
            <w:r>
              <w:rPr>
                <w:sz w:val="18"/>
              </w:rPr>
              <w:t>Emprendimiento y vínculo con el medio</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5FC0EB13" w14:textId="77777777" w:rsidR="00990B14" w:rsidRDefault="00000000">
            <w:pPr>
              <w:jc w:val="both"/>
            </w:pPr>
            <w:r>
              <w:rPr>
                <w:sz w:val="18"/>
              </w:rPr>
              <w:t>Finanzas corporativas, valoración de proyectos y asesoría</w:t>
            </w:r>
          </w:p>
        </w:tc>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070710EC" w14:textId="77777777" w:rsidR="00990B14" w:rsidRDefault="00000000">
            <w:pPr>
              <w:jc w:val="both"/>
            </w:pPr>
            <w:r>
              <w:rPr>
                <w:sz w:val="18"/>
              </w:rPr>
              <w:t>CPA-405, ECO-301 y prácticas preprofesionales del punto 4.8</w:t>
            </w:r>
          </w:p>
        </w:tc>
      </w:tr>
      <w:tr w:rsidR="00990B14" w14:paraId="40AE09EF" w14:textId="77777777">
        <w:trPr>
          <w:jc w:val="center"/>
        </w:trPr>
        <w:tc>
          <w:tcPr>
            <w:tcW w:w="2645" w:type="dxa"/>
            <w:tcBorders>
              <w:top w:val="single" w:sz="4" w:space="0" w:color="8EAADB"/>
              <w:left w:val="single" w:sz="4" w:space="0" w:color="8EAADB"/>
              <w:bottom w:val="single" w:sz="4" w:space="0" w:color="8EAADB"/>
              <w:right w:val="single" w:sz="4" w:space="0" w:color="8EAADB"/>
            </w:tcBorders>
            <w:shd w:val="clear" w:color="auto" w:fill="D9E2F3"/>
          </w:tcPr>
          <w:p w14:paraId="48363442" w14:textId="77777777" w:rsidR="00990B14" w:rsidRDefault="00000000">
            <w:pPr>
              <w:jc w:val="both"/>
            </w:pPr>
            <w:r>
              <w:rPr>
                <w:sz w:val="18"/>
              </w:rPr>
              <w:t>Internacionalización</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627F9214" w14:textId="77777777" w:rsidR="00990B14" w:rsidRDefault="00000000">
            <w:pPr>
              <w:jc w:val="both"/>
            </w:pPr>
            <w:r>
              <w:rPr>
                <w:sz w:val="18"/>
              </w:rPr>
              <w:t>Comunicación en español y en inglés técnico contable</w:t>
            </w:r>
          </w:p>
        </w:tc>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5313FBC1" w14:textId="77777777" w:rsidR="00990B14" w:rsidRDefault="00000000">
            <w:pPr>
              <w:jc w:val="both"/>
            </w:pPr>
            <w:r>
              <w:rPr>
                <w:sz w:val="18"/>
              </w:rPr>
              <w:t>Requisito de egreso de idioma inglés, nivel B2, del punto 4.4.1, y bibliografía en inglés en los planes de asignatura</w:t>
            </w:r>
          </w:p>
        </w:tc>
      </w:tr>
    </w:tbl>
    <w:p w14:paraId="6FBFE219" w14:textId="77777777" w:rsidR="00990B14" w:rsidRDefault="00000000">
      <w:pPr>
        <w:spacing w:before="40" w:after="200"/>
      </w:pPr>
      <w:r>
        <w:rPr>
          <w:sz w:val="16"/>
        </w:rPr>
        <w:t>Fuente: puntos 2.2, 4.2.7 y 4.4.</w:t>
      </w:r>
    </w:p>
    <w:p w14:paraId="2F51D5D7" w14:textId="77777777" w:rsidR="00395D6D" w:rsidRDefault="00395D6D">
      <w:pPr>
        <w:rPr>
          <w:sz w:val="0"/>
          <w:szCs w:val="0"/>
        </w:rPr>
        <w:sectPr w:rsidR="00395D6D" w:rsidSect="00034616">
          <w:headerReference w:type="default" r:id="rId17"/>
          <w:footerReference w:type="default" r:id="rId18"/>
          <w:pgSz w:w="12240" w:h="15840"/>
          <w:pgMar w:top="1701" w:right="1134" w:bottom="1134" w:left="1701" w:header="567" w:footer="567" w:gutter="0"/>
          <w:cols w:space="720"/>
          <w:docGrid w:linePitch="360"/>
        </w:sectPr>
      </w:pPr>
    </w:p>
    <w:p w14:paraId="71855D36" w14:textId="77777777" w:rsidR="00990B14" w:rsidRDefault="00990B14">
      <w:pPr>
        <w:spacing w:line="5600" w:lineRule="exact"/>
      </w:pPr>
    </w:p>
    <w:p w14:paraId="2455E518" w14:textId="77777777" w:rsidR="00990B14" w:rsidRDefault="00000000">
      <w:pPr>
        <w:keepNext/>
        <w:jc w:val="center"/>
      </w:pPr>
      <w:r>
        <w:rPr>
          <w:b/>
          <w:bCs/>
          <w:sz w:val="40"/>
          <w:szCs w:val="40"/>
        </w:rPr>
        <w:t>4.3 Plan de estudios propuesto</w:t>
      </w:r>
    </w:p>
    <w:p w14:paraId="0E428298" w14:textId="77777777" w:rsidR="007306F3" w:rsidRDefault="00000000">
      <w:pPr>
        <w:pStyle w:val="GrupoCuadros"/>
        <w:keepNext/>
        <w:pageBreakBefore/>
        <w:tabs>
          <w:tab w:val="left" w:pos="709"/>
        </w:tabs>
        <w:spacing w:before="120" w:after="200"/>
        <w:ind w:left="709" w:hanging="709"/>
        <w:outlineLvl w:val="1"/>
      </w:pPr>
      <w:bookmarkStart w:id="121" w:name="_Toc000000074"/>
      <w:r>
        <w:rPr>
          <w:b/>
          <w:sz w:val="24"/>
        </w:rPr>
        <w:lastRenderedPageBreak/>
        <w:t>4.3</w:t>
      </w:r>
      <w:r>
        <w:rPr>
          <w:b/>
          <w:sz w:val="24"/>
        </w:rPr>
        <w:tab/>
        <w:t>Plan de estudios propuesto</w:t>
      </w:r>
      <w:bookmarkEnd w:id="121"/>
    </w:p>
    <w:p w14:paraId="2898AF87" w14:textId="77777777" w:rsidR="007306F3" w:rsidRDefault="00000000">
      <w:pPr>
        <w:keepNext/>
        <w:tabs>
          <w:tab w:val="left" w:pos="709"/>
        </w:tabs>
        <w:spacing w:before="80" w:after="200"/>
        <w:ind w:left="709" w:hanging="709"/>
        <w:outlineLvl w:val="2"/>
      </w:pPr>
      <w:bookmarkStart w:id="122" w:name="_Toc000000075"/>
      <w:r>
        <w:rPr>
          <w:b/>
          <w:sz w:val="22"/>
        </w:rPr>
        <w:t>4.3.1</w:t>
      </w:r>
      <w:r>
        <w:rPr>
          <w:b/>
          <w:sz w:val="22"/>
        </w:rPr>
        <w:tab/>
        <w:t>Modelo curricular</w:t>
      </w:r>
      <w:bookmarkEnd w:id="122"/>
    </w:p>
    <w:p w14:paraId="04928B43" w14:textId="77777777" w:rsidR="007306F3" w:rsidRDefault="00000000">
      <w:pPr>
        <w:spacing w:after="200"/>
        <w:jc w:val="both"/>
      </w:pPr>
      <w:r w:rsidRPr="00D244B1">
        <w:t>El Rediseño Curricular adopta un modelo curricular por competencias, con enfoque socioformativo y de pensamiento complejo, en el que la formación se organiza en torno a desempeños profesionales observables y no a la acumulación de contenidos. El pensamiento complejo de Edgar Morin se articula con el neopositivismo, que aporta la verificabilidad empírica, la modelación lógico-matemática y la normalización técnica, y con el enfoque sociocrítico, que aporta la transparencia, la responsabilidad pública y la lucha contra la corrupción y el fraude. Desde este pluralismo epistemológico, el estudiante desarrolla su desempeño interpretando la información contable en su contexto, como parte de un todo organizacional y en sus dimensiones éticas, ambientales, tecnológicas, jurídicas y sociales, con juicio crítico frente a la incertidumbre. Así cumple el criterio del Artículo 12 de la Resolución HCU N.º 032/2025, según el cual el plan de estudios propuesto «debe sustentarse en un modelo curricular coherente con el modelo educativo de la UMSA».</w:t>
      </w:r>
    </w:p>
    <w:p w14:paraId="04F54C2E" w14:textId="77777777" w:rsidR="007306F3" w:rsidRDefault="00000000">
      <w:pPr>
        <w:keepNext/>
        <w:spacing w:before="40" w:after="200"/>
      </w:pPr>
      <w:r>
        <w:rPr>
          <w:b/>
          <w:sz w:val="22"/>
        </w:rPr>
        <w:t>Fundamento normativo</w:t>
      </w:r>
    </w:p>
    <w:p w14:paraId="51783516" w14:textId="77777777" w:rsidR="007306F3" w:rsidRDefault="00000000">
      <w:pPr>
        <w:numPr>
          <w:ilvl w:val="0"/>
          <w:numId w:val="35"/>
        </w:numPr>
        <w:spacing w:after="160"/>
        <w:jc w:val="both"/>
      </w:pPr>
      <w:r>
        <w:t>El Reglamento de Innovación Curricular de la UMSA, Resolución HCU N.º 032/2025, que define el rediseño como la reformulación del perfil de egreso a partir del análisis del contexto y del mercado laboral, en su Artículo 5, y fija los criterios de calidad para la evaluación ex ante, en sus Artículos 11 y 12.</w:t>
      </w:r>
    </w:p>
    <w:p w14:paraId="0B996590" w14:textId="77777777" w:rsidR="007306F3" w:rsidRDefault="00000000">
      <w:pPr>
        <w:numPr>
          <w:ilvl w:val="0"/>
          <w:numId w:val="35"/>
        </w:numPr>
        <w:spacing w:after="160"/>
        <w:jc w:val="both"/>
      </w:pPr>
      <w:r>
        <w:t>Los lineamientos del Sistema de la Universidad Boliviana, que establecen que el currículo debe expresarse por competencias, y las conclusiones de la III-XIII Reunión Sectorial de Carreras de Contaduría Pública, realizada en Trinidad en mayo de 2024 y ratificada por la Resolución N.º 07/2024 de la VI Conferencia Nacional Ordinaria de Universidades, que aprueban el perfil del Contador Público</w:t>
      </w:r>
      <w:r w:rsidR="00D244B1">
        <w:t xml:space="preserve"> </w:t>
      </w:r>
      <w:r>
        <w:t>y el enfoque por competencias para todas las Carreras del Sistema.</w:t>
      </w:r>
    </w:p>
    <w:p w14:paraId="16D9ED41" w14:textId="77777777" w:rsidR="007306F3" w:rsidRDefault="00000000">
      <w:pPr>
        <w:numPr>
          <w:ilvl w:val="0"/>
          <w:numId w:val="35"/>
        </w:numPr>
        <w:spacing w:after="160"/>
        <w:jc w:val="both"/>
      </w:pPr>
      <w:r>
        <w:t>Las Normas Internacionales de Educación de la IFAC, que definen la competencia profesional como la integración de la competencia técnica, IES 2, las habilidades profesionales, IES 3, y los valores, la ética y las actitudes profesionales, IES 4.</w:t>
      </w:r>
    </w:p>
    <w:p w14:paraId="416F82F9" w14:textId="77777777" w:rsidR="007306F3" w:rsidRDefault="00000000">
      <w:pPr>
        <w:numPr>
          <w:ilvl w:val="0"/>
          <w:numId w:val="35"/>
        </w:numPr>
        <w:spacing w:after="200"/>
        <w:jc w:val="both"/>
      </w:pPr>
      <w:r>
        <w:t>La Resolución HCF N.º 1057/2026, que aprueba la Declaratoria de Necesidad de Rediseño Curricular, y la Resolución HCF N.º 1126/2026, de 10 de septiembre de 2026, que aprueba la conformación de la Comisión Académica para el rediseño.</w:t>
      </w:r>
    </w:p>
    <w:p w14:paraId="6E005250" w14:textId="77777777" w:rsidR="007306F3" w:rsidRDefault="00000000">
      <w:pPr>
        <w:keepNext/>
        <w:spacing w:before="40" w:after="200"/>
      </w:pPr>
      <w:r>
        <w:rPr>
          <w:b/>
          <w:sz w:val="22"/>
        </w:rPr>
        <w:t>Concepto de competencia</w:t>
      </w:r>
    </w:p>
    <w:p w14:paraId="1D62A852" w14:textId="77777777" w:rsidR="007306F3" w:rsidRDefault="00000000">
      <w:pPr>
        <w:spacing w:after="200"/>
        <w:jc w:val="both"/>
      </w:pPr>
      <w:r>
        <w:t>Se asume la definición adoptada por el Sistema de la Universidad Boliviana en la I-XII Reunión Académica Nacional, realizada en Pando en 2014: la competencia es «un proceso complejo de desempeño con idoneidad y responsabilidad social, que moviliza, combina y transfiere con efectividad un conjunto integrado de recursos internos (conocimientos, habilidades, actitudes) y externos (información, recursos tecnológicos y otros) para resolver problemas en la vida cotidiana, laboral-profesional en un contexto intercultural y pluralismo epistémico, aportando a la construcción y transformación de la realidad». Esta definición es coherente con la de la IFAC, para la cual la competencia profesional es la capacidad de desempeñar un rol conforme a un estándar definido.</w:t>
      </w:r>
    </w:p>
    <w:p w14:paraId="6CE022EF" w14:textId="77777777" w:rsidR="007306F3" w:rsidRDefault="00000000">
      <w:pPr>
        <w:keepNext/>
        <w:spacing w:before="40" w:after="200"/>
      </w:pPr>
      <w:r>
        <w:rPr>
          <w:b/>
          <w:sz w:val="22"/>
        </w:rPr>
        <w:lastRenderedPageBreak/>
        <w:t>Tipos de competencias</w:t>
      </w:r>
    </w:p>
    <w:p w14:paraId="6DA92029" w14:textId="77777777" w:rsidR="007306F3" w:rsidRDefault="00000000">
      <w:pPr>
        <w:numPr>
          <w:ilvl w:val="0"/>
          <w:numId w:val="36"/>
        </w:numPr>
        <w:spacing w:after="160"/>
        <w:jc w:val="both"/>
      </w:pPr>
      <w:r>
        <w:rPr>
          <w:b/>
        </w:rPr>
        <w:t>Competencias específicas:</w:t>
      </w:r>
      <w:r>
        <w:t xml:space="preserve"> propias del ejercicio de la Contaduría Pública: preparación y presentación de información financiera y de sostenibilidad, servicios de aseguramiento y servicios distintos del aseguramiento, en los sectores público y privado.</w:t>
      </w:r>
    </w:p>
    <w:p w14:paraId="0C43B01F" w14:textId="77777777" w:rsidR="007306F3" w:rsidRDefault="00000000">
      <w:pPr>
        <w:numPr>
          <w:ilvl w:val="0"/>
          <w:numId w:val="36"/>
        </w:numPr>
        <w:spacing w:after="160"/>
        <w:jc w:val="both"/>
      </w:pPr>
      <w:r>
        <w:rPr>
          <w:b/>
        </w:rPr>
        <w:t>Competencias genéricas o transversales:</w:t>
      </w:r>
      <w:r>
        <w:t xml:space="preserve"> comunes a toda formación universitaria: pensamiento crítico, comunicación oral y escrita, trabajo en equipo, investigación, uso de tecnologías y aprendizaje autónomo, según el Proyecto Tuning América Latina.</w:t>
      </w:r>
    </w:p>
    <w:p w14:paraId="1BC8460B" w14:textId="77777777" w:rsidR="007306F3" w:rsidRDefault="00000000">
      <w:pPr>
        <w:numPr>
          <w:ilvl w:val="0"/>
          <w:numId w:val="36"/>
        </w:numPr>
        <w:spacing w:after="200"/>
        <w:jc w:val="both"/>
      </w:pPr>
      <w:r>
        <w:rPr>
          <w:b/>
        </w:rPr>
        <w:t>Competencias básicas:</w:t>
      </w:r>
      <w:r>
        <w:t xml:space="preserve"> brindan los fundamentos matemáticos, económicos, jurídicos y administrativos sobre los que se construye la formación profesional.</w:t>
      </w:r>
    </w:p>
    <w:p w14:paraId="6D33D0FC" w14:textId="77777777" w:rsidR="007306F3" w:rsidRDefault="00000000">
      <w:pPr>
        <w:spacing w:after="200"/>
        <w:jc w:val="both"/>
      </w:pPr>
      <w:r>
        <w:t>Cada competencia articula el saber conocer, el saber hacer y el saber ser y convivir. A estas tres dimensiones se suma, de forma explícita en cada plan de asignatura, el manejo de tecnología e inteligencia artificial, para cerrar la brecha tecnológica de 43 a 51 puntos porcentuales identificada por Ipsos CIESMORI en 2025.</w:t>
      </w:r>
    </w:p>
    <w:p w14:paraId="77E54E34" w14:textId="77777777" w:rsidR="007306F3" w:rsidRDefault="00000000">
      <w:pPr>
        <w:keepNext/>
        <w:spacing w:before="40" w:after="200"/>
      </w:pPr>
      <w:r>
        <w:rPr>
          <w:b/>
          <w:sz w:val="22"/>
        </w:rPr>
        <w:t>Estructura de desagregación</w:t>
      </w:r>
    </w:p>
    <w:p w14:paraId="32F60811" w14:textId="77777777" w:rsidR="007306F3" w:rsidRDefault="00000000">
      <w:pPr>
        <w:spacing w:after="200"/>
        <w:jc w:val="both"/>
      </w:pPr>
      <w:r>
        <w:t>El modelo se concreta de lo general a lo particular en cinco niveles:</w:t>
      </w:r>
    </w:p>
    <w:p w14:paraId="23A052AA" w14:textId="77777777" w:rsidR="007306F3" w:rsidRDefault="00000000">
      <w:pPr>
        <w:numPr>
          <w:ilvl w:val="0"/>
          <w:numId w:val="37"/>
        </w:numPr>
        <w:spacing w:after="160"/>
        <w:jc w:val="both"/>
      </w:pPr>
      <w:r>
        <w:rPr>
          <w:b/>
        </w:rPr>
        <w:t>Perfil profesional del Contador Público</w:t>
      </w:r>
      <w:r w:rsidR="00D244B1">
        <w:rPr>
          <w:b/>
        </w:rPr>
        <w:t xml:space="preserve">, </w:t>
      </w:r>
      <w:r>
        <w:t>que expresa el desempeño integral esperado del graduado.</w:t>
      </w:r>
    </w:p>
    <w:p w14:paraId="588FF91B" w14:textId="77777777" w:rsidR="007306F3" w:rsidRDefault="00000000">
      <w:pPr>
        <w:numPr>
          <w:ilvl w:val="0"/>
          <w:numId w:val="37"/>
        </w:numPr>
        <w:spacing w:after="160"/>
        <w:jc w:val="both"/>
      </w:pPr>
      <w:r>
        <w:rPr>
          <w:b/>
        </w:rPr>
        <w:t>Competencias de la Carrera</w:t>
      </w:r>
      <w:r>
        <w:t>, agrupadas por áreas de formación.</w:t>
      </w:r>
    </w:p>
    <w:p w14:paraId="2654673D" w14:textId="77777777" w:rsidR="007306F3" w:rsidRDefault="00000000">
      <w:pPr>
        <w:numPr>
          <w:ilvl w:val="0"/>
          <w:numId w:val="37"/>
        </w:numPr>
        <w:spacing w:after="160"/>
        <w:jc w:val="both"/>
      </w:pPr>
      <w:r>
        <w:rPr>
          <w:b/>
        </w:rPr>
        <w:t>Unidad de competencia</w:t>
      </w:r>
      <w:r>
        <w:t xml:space="preserve"> de cada asignatura, que sintetiza el desempeño que el estudiante logra al concluirla.</w:t>
      </w:r>
    </w:p>
    <w:p w14:paraId="0F094E41" w14:textId="77777777" w:rsidR="007306F3" w:rsidRDefault="00000000">
      <w:pPr>
        <w:numPr>
          <w:ilvl w:val="0"/>
          <w:numId w:val="37"/>
        </w:numPr>
        <w:spacing w:after="160"/>
        <w:jc w:val="both"/>
      </w:pPr>
      <w:r>
        <w:rPr>
          <w:b/>
        </w:rPr>
        <w:t>Elementos de competencia</w:t>
      </w:r>
      <w:r>
        <w:t>, que desagregan la unidad en desempeños evaluables.</w:t>
      </w:r>
    </w:p>
    <w:p w14:paraId="730BC4D7" w14:textId="77777777" w:rsidR="007306F3" w:rsidRDefault="00000000">
      <w:pPr>
        <w:numPr>
          <w:ilvl w:val="0"/>
          <w:numId w:val="37"/>
        </w:numPr>
        <w:spacing w:after="200"/>
        <w:jc w:val="both"/>
      </w:pPr>
      <w:r>
        <w:rPr>
          <w:b/>
        </w:rPr>
        <w:t>Itinerario formativo</w:t>
      </w:r>
      <w:r>
        <w:t>, que para cada elemento fija los criterios de desempeño, las evidencias de desempeño, de producto y de conocimiento, las actividades, las estrategias de aprendizaje y de enseñanza y las estrategias de evaluación, conforme al Artículo 9 de la Resolución HCU N.º 032/2025.</w:t>
      </w:r>
    </w:p>
    <w:p w14:paraId="258B52E9" w14:textId="77777777" w:rsidR="007306F3" w:rsidRDefault="00000000">
      <w:pPr>
        <w:keepNext/>
        <w:spacing w:before="40" w:after="200"/>
      </w:pPr>
      <w:r>
        <w:rPr>
          <w:b/>
          <w:sz w:val="22"/>
        </w:rPr>
        <w:t>Áreas de formación y ejes transversales</w:t>
      </w:r>
    </w:p>
    <w:p w14:paraId="6CF87036" w14:textId="77777777" w:rsidR="007306F3" w:rsidRDefault="00000000">
      <w:pPr>
        <w:spacing w:after="200"/>
        <w:jc w:val="both"/>
      </w:pPr>
      <w:r>
        <w:t>Las asignaturas se organizan en las áreas de conocimiento descritas en el punto 4.4.1, que corresponden a los campos de actuación del perfil y a las áreas de competencia técnica de la IES 2. Cinco ejes atraviesan todas las áreas y años de estudio: la ética profesional y el interés público, conforme al Código del IESBA; la transformación digital, la analítica de datos y la inteligencia artificial; la sostenibilidad y los criterios ambientales, sociales y de gobernanza; el inglés técnico; y la investigación formativa y la interacción social.</w:t>
      </w:r>
    </w:p>
    <w:p w14:paraId="11F5B0F8" w14:textId="77777777" w:rsidR="007306F3" w:rsidRDefault="00000000">
      <w:pPr>
        <w:keepNext/>
        <w:spacing w:before="40" w:after="200"/>
      </w:pPr>
      <w:r>
        <w:rPr>
          <w:b/>
          <w:sz w:val="22"/>
        </w:rPr>
        <w:t>Modelo pedagógico y de evaluación</w:t>
      </w:r>
    </w:p>
    <w:p w14:paraId="1992DC8F" w14:textId="77777777" w:rsidR="007306F3" w:rsidRDefault="00000000">
      <w:pPr>
        <w:spacing w:after="200"/>
        <w:jc w:val="both"/>
      </w:pPr>
      <w:r>
        <w:t>El docente actúa como orientador y facilitador del aprendizaje situado, y el estudiante como constructor activo de su conocimiento. Se privilegian el aprendizaje basado en proyectos y en problemas, el estudio de casos reales, la simulación de firmas de auditoría y consultoría, y los laboratorios con software contable, de gestión empresarial y de auditoría. La evaluación es auténtica y formativa: verifica el logro de cada elemento de competencia mediante evidencias de desempeño, de producto y de conocimiento, con rúbricas, portafolios y sustentación de casos. Las estrategias se desarrollan en los puntos 4.6 y 4.7.</w:t>
      </w:r>
    </w:p>
    <w:p w14:paraId="322411D9" w14:textId="77777777" w:rsidR="007306F3" w:rsidRDefault="00000000">
      <w:pPr>
        <w:keepNext/>
        <w:spacing w:before="40" w:after="200"/>
      </w:pPr>
      <w:r>
        <w:rPr>
          <w:b/>
          <w:sz w:val="22"/>
        </w:rPr>
        <w:lastRenderedPageBreak/>
        <w:t>Vinculación con el medio</w:t>
      </w:r>
    </w:p>
    <w:p w14:paraId="2CCD78A4" w14:textId="77777777" w:rsidR="007306F3" w:rsidRDefault="00000000">
      <w:pPr>
        <w:spacing w:after="200"/>
        <w:jc w:val="both"/>
      </w:pPr>
      <w:r>
        <w:t>El modelo incorpora prácticas preprofesionales supervisadas y proyectos de interacción social, en respuesta a la demanda del 88 % de los estudiantes de prácticas obligatorias desde el tercer año, según el FODA estudiantil del Instituto de Investigaciones de 2025. Las prácticas se regulan en el punto 4.8.</w:t>
      </w:r>
    </w:p>
    <w:p w14:paraId="6199F801" w14:textId="77777777" w:rsidR="00990B14" w:rsidRDefault="00000000">
      <w:pPr>
        <w:spacing w:after="200"/>
        <w:jc w:val="both"/>
      </w:pPr>
      <w:r>
        <w:t>El modelo curricular del Rediseño Curricular es coherente con los Modelos Educativo, Académico, Pedagógico, Curricular y Didáctico de la UMSA, aprobados mediante la Resolución HCU N.º 057/2025: forma por competencias, organiza el plan en unidades y elementos de competencia, distingue las horas presenciales y no presenciales con su conversión a créditos y monitorea la implementación de manera continua, conforme al punto 12.</w:t>
      </w:r>
    </w:p>
    <w:p w14:paraId="6ACC22B1" w14:textId="77777777" w:rsidR="007306F3" w:rsidRDefault="00000000">
      <w:pPr>
        <w:keepNext/>
        <w:tabs>
          <w:tab w:val="left" w:pos="709"/>
        </w:tabs>
        <w:spacing w:before="80" w:after="200"/>
        <w:ind w:left="709" w:hanging="709"/>
        <w:outlineLvl w:val="2"/>
      </w:pPr>
      <w:bookmarkStart w:id="123" w:name="_Toc000000076"/>
      <w:r>
        <w:rPr>
          <w:b/>
          <w:sz w:val="22"/>
        </w:rPr>
        <w:t>4.3.2</w:t>
      </w:r>
      <w:r>
        <w:rPr>
          <w:b/>
          <w:sz w:val="22"/>
        </w:rPr>
        <w:tab/>
        <w:t>Principios del modelo</w:t>
      </w:r>
      <w:bookmarkEnd w:id="123"/>
    </w:p>
    <w:p w14:paraId="345BC275" w14:textId="77777777" w:rsidR="007306F3" w:rsidRDefault="00000000">
      <w:pPr>
        <w:spacing w:after="200"/>
        <w:jc w:val="both"/>
      </w:pPr>
      <w:r>
        <w:t>El modelo se rige por los cuatro principios que el Artículo 12 de la Resolución HCU N.º 032/2025 exige explicitar: pertinencia, flexibilidad, integralidad e interdisciplinariedad. A ellos se suman dos principios transversales propios de la profesión contable: ética e interés público, y mejora continua.</w:t>
      </w:r>
    </w:p>
    <w:p w14:paraId="3F3FDA8C" w14:textId="77777777" w:rsidR="007306F3" w:rsidRDefault="00000000">
      <w:pPr>
        <w:spacing w:after="200"/>
        <w:jc w:val="both"/>
      </w:pPr>
      <w:r>
        <w:rPr>
          <w:b/>
        </w:rPr>
        <w:t>a. Pertinencia.</w:t>
      </w:r>
      <w:r>
        <w:t xml:space="preserve"> El reglamento la entiende como el desafío de formar integralmente a los profesionales sobre una fundamentación teórica sólida y un análisis claro de las condiciones políticas, económicas, sociales y culturales, en contacto con sujetos, instituciones, comunidades, organizaciones y empresas, para recontextualizar el currículo de manera dinámica. En la Carrera se concreta en:</w:t>
      </w:r>
    </w:p>
    <w:p w14:paraId="0FAFF0BF" w14:textId="77777777" w:rsidR="007306F3" w:rsidRDefault="00000000">
      <w:pPr>
        <w:numPr>
          <w:ilvl w:val="0"/>
          <w:numId w:val="38"/>
        </w:numPr>
        <w:spacing w:after="160"/>
        <w:jc w:val="both"/>
      </w:pPr>
      <w:r>
        <w:t>un perfil de egreso orientado al Contador Público, que amplía la formación más allá de la auditoría financiera hacia el aseguramiento de información no financiera, la gestión de riesgos, la consultoría y la asesoría tributaria;</w:t>
      </w:r>
    </w:p>
    <w:p w14:paraId="6BB39897" w14:textId="77777777" w:rsidR="007306F3" w:rsidRDefault="00000000">
      <w:pPr>
        <w:numPr>
          <w:ilvl w:val="0"/>
          <w:numId w:val="38"/>
        </w:numPr>
        <w:spacing w:after="160"/>
        <w:jc w:val="both"/>
      </w:pPr>
      <w:r>
        <w:t>contenidos actualizados a las normas vigentes: NIIF y NIIF para las PYMES, NIIF de Sostenibilidad, NIA, NIEA, NIAS, ISSAI, Normas de Auditoría Gubernamental y legislación tributaria boliviana;</w:t>
      </w:r>
    </w:p>
    <w:p w14:paraId="63F1C473" w14:textId="77777777" w:rsidR="007306F3" w:rsidRDefault="00000000">
      <w:pPr>
        <w:numPr>
          <w:ilvl w:val="0"/>
          <w:numId w:val="38"/>
        </w:numPr>
        <w:spacing w:after="160"/>
        <w:jc w:val="both"/>
      </w:pPr>
      <w:r>
        <w:t>respuesta a los campos reales de inserción de los egresados: auditoría interna, 35 %; contabilidad, 26 %; auditoría externa, 18 %; e impuestos, 11 %, según Ipsos CIESMORI;</w:t>
      </w:r>
    </w:p>
    <w:p w14:paraId="4D0A69AF" w14:textId="77777777" w:rsidR="007306F3" w:rsidRDefault="00000000">
      <w:pPr>
        <w:numPr>
          <w:ilvl w:val="0"/>
          <w:numId w:val="38"/>
        </w:numPr>
        <w:spacing w:after="200"/>
        <w:jc w:val="both"/>
      </w:pPr>
      <w:r>
        <w:t>prácticas preprofesionales y proyectos con entidades públicas, empresas y organizaciones sociales.</w:t>
      </w:r>
    </w:p>
    <w:p w14:paraId="23854CB9" w14:textId="77777777" w:rsidR="007306F3" w:rsidRDefault="00000000">
      <w:pPr>
        <w:spacing w:after="200"/>
        <w:jc w:val="both"/>
      </w:pPr>
      <w:r>
        <w:rPr>
          <w:b/>
        </w:rPr>
        <w:t>b. Flexibilidad.</w:t>
      </w:r>
      <w:r>
        <w:t xml:space="preserve"> El reglamento la relaciona con la capacidad del plan para incorporar oportunamente conocimientos y técnicas modernas, ofrecer distintas alternativas de entrada y salida y rutas acordes con las posibilidades, intereses y necesidades de los estudiantes. En la Carrera se concreta en:</w:t>
      </w:r>
    </w:p>
    <w:p w14:paraId="4BDD0922" w14:textId="77777777" w:rsidR="007306F3" w:rsidRDefault="00000000">
      <w:pPr>
        <w:numPr>
          <w:ilvl w:val="0"/>
          <w:numId w:val="39"/>
        </w:numPr>
        <w:spacing w:after="160"/>
        <w:jc w:val="both"/>
      </w:pPr>
      <w:r>
        <w:t>la actualización anual de los planes de asignatura mediante la complementación curricular prevista en el Artículo 7 de la Resolución HCU N.º 032/2025, sin esperar un nuevo rediseño para incorporar cambios normativos o tecnológicos;</w:t>
      </w:r>
    </w:p>
    <w:p w14:paraId="79B43278" w14:textId="77777777" w:rsidR="007306F3" w:rsidRDefault="00000000">
      <w:pPr>
        <w:numPr>
          <w:ilvl w:val="0"/>
          <w:numId w:val="39"/>
        </w:numPr>
        <w:spacing w:after="160"/>
        <w:jc w:val="both"/>
      </w:pPr>
      <w:r>
        <w:t>la oferta en turno diurno y nocturno y el uso de entornos virtuales de apoyo, en atención al 48,9 % de estudiantes que trabaja;</w:t>
      </w:r>
    </w:p>
    <w:p w14:paraId="11010CA0" w14:textId="77777777" w:rsidR="007306F3" w:rsidRDefault="00000000">
      <w:pPr>
        <w:numPr>
          <w:ilvl w:val="0"/>
          <w:numId w:val="39"/>
        </w:numPr>
        <w:spacing w:after="160"/>
        <w:jc w:val="both"/>
      </w:pPr>
      <w:r>
        <w:t>los grados intermedios de Técnico Universitario Medio y Técnico Universitario Superior, y la articulación de la graduación con diplomados de postgrado;</w:t>
      </w:r>
    </w:p>
    <w:p w14:paraId="704E004F" w14:textId="77777777" w:rsidR="007306F3" w:rsidRDefault="00000000">
      <w:pPr>
        <w:numPr>
          <w:ilvl w:val="0"/>
          <w:numId w:val="39"/>
        </w:numPr>
        <w:spacing w:after="200"/>
        <w:jc w:val="both"/>
      </w:pPr>
      <w:r>
        <w:lastRenderedPageBreak/>
        <w:t>las modalidades de graduación diversificadas descritas en el punto 5.4.</w:t>
      </w:r>
    </w:p>
    <w:p w14:paraId="7B6EBAA6" w14:textId="77777777" w:rsidR="007306F3" w:rsidRDefault="00000000">
      <w:pPr>
        <w:spacing w:after="200"/>
        <w:jc w:val="both"/>
      </w:pPr>
      <w:r>
        <w:rPr>
          <w:b/>
        </w:rPr>
        <w:t>c. Integralidad.</w:t>
      </w:r>
      <w:r>
        <w:t xml:space="preserve"> El reglamento la vincula con una formación en valores, conocimientos y prácticas propias de la profesión, complementada con campos teóricos que permiten una visión plural del mundo. En la Carrera, cada asignatura desarrolla de forma articulada el saber conocer, el saber hacer, el saber ser y convivir y el manejo de tecnología. Se incluyen explícitamente las habilidades blandas y de comunicación, porque son la principal barrera de contratación reportada por los empleadores bolivianos, con el 26 %, según el BID.</w:t>
      </w:r>
    </w:p>
    <w:p w14:paraId="61FB7E7E" w14:textId="77777777" w:rsidR="007306F3" w:rsidRDefault="00000000">
      <w:pPr>
        <w:spacing w:after="200"/>
        <w:jc w:val="both"/>
      </w:pPr>
      <w:r>
        <w:rPr>
          <w:b/>
        </w:rPr>
        <w:t>d. Interdisciplinariedad.</w:t>
      </w:r>
      <w:r>
        <w:t xml:space="preserve"> El reglamento la define como el entendimiento colaborativo de saberes de disciplinas diferentes para problematizar la formación profesional y buscar soluciones a problemas de formación, investigación e interacción. La Contaduría Pública es interdisciplinaria por naturaleza: integra contabilidad, derecho, economía, administración, finanzas, estadística y tecnologías de la información. El plan lo concreta en gabinetes y talleres integradores, como el Gabinete de Auditoría Financiera, donde un mismo caso exige aplicar normas contables, tributarias, laborales y de auditoría con herramientas de análisis de datos.</w:t>
      </w:r>
    </w:p>
    <w:p w14:paraId="0830A249" w14:textId="77777777" w:rsidR="007306F3" w:rsidRDefault="00000000">
      <w:pPr>
        <w:spacing w:after="200"/>
        <w:jc w:val="both"/>
      </w:pPr>
      <w:r>
        <w:rPr>
          <w:b/>
        </w:rPr>
        <w:t>e. Ética e interés público.</w:t>
      </w:r>
      <w:r>
        <w:t xml:space="preserve"> El contador público ejerce una profesión de interés público y otorga fe pública. Por ello, los principios del Código Internacional de Ética del IESBA y el escepticismo y el juicio profesional que exige la IES 4 se evalúan en todas las asignaturas, no solo en Ética e Independencia Profesional. Este principio responde al 83% de estudiantes que percibe un descuido de los valores éticos en la comunidad académica.</w:t>
      </w:r>
    </w:p>
    <w:p w14:paraId="4CCE7D52" w14:textId="77777777" w:rsidR="007306F3" w:rsidRDefault="00000000">
      <w:pPr>
        <w:spacing w:after="200"/>
        <w:jc w:val="both"/>
      </w:pPr>
      <w:r>
        <w:rPr>
          <w:b/>
        </w:rPr>
        <w:t>f. Mejora continua.</w:t>
      </w:r>
      <w:r>
        <w:t xml:space="preserve"> El currículo se concibe como un proceso permanente de construcción a partir de la autoevaluación, la investigación de los retos del contexto y el seguimiento a graduados, según Tobón (2013). Se concreta en los niveles de ajuste, cada dos años, y de complementación, cada año, que prevé el reglamento, y en la evaluación curricular del punto 12.</w:t>
      </w:r>
    </w:p>
    <w:p w14:paraId="28AA9279" w14:textId="77777777" w:rsidR="007306F3" w:rsidRDefault="00000000">
      <w:pPr>
        <w:keepNext/>
        <w:tabs>
          <w:tab w:val="left" w:pos="709"/>
        </w:tabs>
        <w:spacing w:before="80" w:after="200"/>
        <w:ind w:left="709" w:hanging="709"/>
        <w:outlineLvl w:val="2"/>
      </w:pPr>
      <w:bookmarkStart w:id="124" w:name="_Toc000000077"/>
      <w:r>
        <w:rPr>
          <w:b/>
          <w:sz w:val="22"/>
        </w:rPr>
        <w:t>4.3.3</w:t>
      </w:r>
      <w:r>
        <w:rPr>
          <w:b/>
          <w:sz w:val="22"/>
        </w:rPr>
        <w:tab/>
        <w:t>Objetivo general del diseño, rediseño o ajuste</w:t>
      </w:r>
      <w:bookmarkEnd w:id="124"/>
    </w:p>
    <w:tbl>
      <w:tblPr>
        <w:tblW w:w="9405" w:type="dxa"/>
        <w:jc w:val="center"/>
        <w:tblLook w:val="04A0" w:firstRow="1" w:lastRow="0" w:firstColumn="1" w:lastColumn="0" w:noHBand="0" w:noVBand="1"/>
      </w:tblPr>
      <w:tblGrid>
        <w:gridCol w:w="9405"/>
      </w:tblGrid>
      <w:tr w:rsidR="00395D6D" w14:paraId="582317C1" w14:textId="77777777">
        <w:trPr>
          <w:jc w:val="center"/>
        </w:trPr>
        <w:tc>
          <w:tcPr>
            <w:tcW w:w="9405" w:type="dxa"/>
            <w:tcBorders>
              <w:top w:val="single" w:sz="6" w:space="0" w:color="404040"/>
              <w:left w:val="single" w:sz="6" w:space="0" w:color="404040"/>
              <w:bottom w:val="single" w:sz="6" w:space="0" w:color="404040"/>
              <w:right w:val="single" w:sz="6" w:space="0" w:color="404040"/>
            </w:tcBorders>
            <w:tcMar>
              <w:top w:w="140" w:type="dxa"/>
              <w:left w:w="140" w:type="dxa"/>
              <w:bottom w:w="140" w:type="dxa"/>
              <w:right w:w="140" w:type="dxa"/>
            </w:tcMar>
          </w:tcPr>
          <w:p w14:paraId="32C20413" w14:textId="77777777" w:rsidR="007306F3" w:rsidRDefault="00000000">
            <w:pPr>
              <w:spacing w:before="60" w:after="60"/>
              <w:jc w:val="center"/>
            </w:pPr>
            <w:r>
              <w:t>Rediseñar el Plan de Estudios 2013 de la Licenciatura en Contaduría Pública de la Universidad Mayor de San Andrés bajo un modelo curricular por competencias, en conformidad con el Reglamento de Innovación Curricular, Resolución HCU N.º 032/2025, los lineamientos del Sistema de la Universidad Boliviana y las Normas Internacionales de Educación de la IFAC, para formar Contadores Públicos competentes en la preparación, el aseguramiento y el análisis estratégico de información financiera y no financiera, con dominio de tecnologías emergentes y compromiso ético con el interés público, que respondan a las necesidades del Estado, la sociedad y el mercado laboral nacional e internacional.</w:t>
            </w:r>
          </w:p>
        </w:tc>
      </w:tr>
    </w:tbl>
    <w:p w14:paraId="5553328F" w14:textId="77777777" w:rsidR="007306F3" w:rsidRDefault="007306F3">
      <w:pPr>
        <w:spacing w:after="120"/>
      </w:pPr>
    </w:p>
    <w:p w14:paraId="73C783EB" w14:textId="77777777" w:rsidR="007306F3" w:rsidRDefault="00000000">
      <w:pPr>
        <w:keepNext/>
        <w:spacing w:before="40" w:after="200"/>
      </w:pPr>
      <w:r>
        <w:rPr>
          <w:b/>
          <w:sz w:val="22"/>
        </w:rPr>
        <w:t>Alcance de la propuesta</w:t>
      </w:r>
    </w:p>
    <w:p w14:paraId="481CC4C2" w14:textId="77777777" w:rsidR="007306F3" w:rsidRDefault="00000000">
      <w:pPr>
        <w:spacing w:after="200"/>
        <w:jc w:val="both"/>
      </w:pPr>
      <w:r>
        <w:t>La propuesta concreta el cambio de paradigma profesional de la Carrera, desde un perfil enfocado en el registro contable y la auditoría financiera clásica hacia el modelo del Contador Público. Este paradigma mantiene la auditoría financiera como competencia central, pero amplía el ejercicio profesional a cinco campos:</w:t>
      </w:r>
    </w:p>
    <w:p w14:paraId="12B52005" w14:textId="77777777" w:rsidR="007306F3" w:rsidRDefault="00000000">
      <w:pPr>
        <w:numPr>
          <w:ilvl w:val="0"/>
          <w:numId w:val="40"/>
        </w:numPr>
        <w:spacing w:after="160"/>
        <w:jc w:val="both"/>
      </w:pPr>
      <w:r>
        <w:rPr>
          <w:b/>
        </w:rPr>
        <w:t>Aseguramiento integral de información:</w:t>
      </w:r>
      <w:r>
        <w:t xml:space="preserve"> informes sobre información financiera y no financiera bajo las NIA, las NIER, las Normas de Auditoría Gubernamental de la Contraloría General del Estado, la NIEA 3000 y la NIAS 5000.</w:t>
      </w:r>
    </w:p>
    <w:p w14:paraId="499A159D" w14:textId="77777777" w:rsidR="007306F3" w:rsidRDefault="00000000">
      <w:pPr>
        <w:numPr>
          <w:ilvl w:val="0"/>
          <w:numId w:val="40"/>
        </w:numPr>
        <w:spacing w:after="160"/>
        <w:jc w:val="both"/>
      </w:pPr>
      <w:r>
        <w:rPr>
          <w:b/>
        </w:rPr>
        <w:lastRenderedPageBreak/>
        <w:t>Transformación digital e inteligencia de negocios:</w:t>
      </w:r>
      <w:r>
        <w:t xml:space="preserve"> inteligencia artificial aplicada a la contabilidad y la auditoría, análisis de datos, automatización robótica de procesos, sistemas de gestión empresarial y ciberseguridad.</w:t>
      </w:r>
    </w:p>
    <w:p w14:paraId="373C11E9" w14:textId="77777777" w:rsidR="007306F3" w:rsidRDefault="00000000">
      <w:pPr>
        <w:numPr>
          <w:ilvl w:val="0"/>
          <w:numId w:val="40"/>
        </w:numPr>
        <w:spacing w:after="160"/>
        <w:jc w:val="both"/>
      </w:pPr>
      <w:r>
        <w:rPr>
          <w:b/>
        </w:rPr>
        <w:t>Gestión integral de riesgos y gobernanza:</w:t>
      </w:r>
      <w:r>
        <w:t xml:space="preserve"> evaluación y diseño de estructuras de control interno bajo el marco COSO y gestión de riesgos en organizaciones públicas, privadas y mixtas.</w:t>
      </w:r>
    </w:p>
    <w:p w14:paraId="1687E460" w14:textId="77777777" w:rsidR="007306F3" w:rsidRDefault="00000000">
      <w:pPr>
        <w:numPr>
          <w:ilvl w:val="0"/>
          <w:numId w:val="40"/>
        </w:numPr>
        <w:spacing w:after="160"/>
        <w:jc w:val="both"/>
      </w:pPr>
      <w:r>
        <w:rPr>
          <w:b/>
        </w:rPr>
        <w:t>Sostenibilidad:</w:t>
      </w:r>
      <w:r>
        <w:t xml:space="preserve"> preparación y aseguramiento de reportes de sostenibilidad bajo las NIIF S1 y S2 del ISSB.</w:t>
      </w:r>
    </w:p>
    <w:p w14:paraId="7650EA59" w14:textId="77777777" w:rsidR="007306F3" w:rsidRDefault="00000000">
      <w:pPr>
        <w:numPr>
          <w:ilvl w:val="0"/>
          <w:numId w:val="40"/>
        </w:numPr>
        <w:spacing w:after="200"/>
        <w:jc w:val="both"/>
      </w:pPr>
      <w:r>
        <w:rPr>
          <w:b/>
        </w:rPr>
        <w:t>Ética y responsabilidad pública:</w:t>
      </w:r>
      <w:r>
        <w:t xml:space="preserve"> adopción del Código Internacional de Ética del IESBA</w:t>
      </w:r>
      <w:r w:rsidR="00F54E4F">
        <w:t xml:space="preserve"> y el Código de Ética del Auditor Gubernamental</w:t>
      </w:r>
      <w:r>
        <w:t>, que garantiza la independencia de criterio y la protección del interés público.</w:t>
      </w:r>
    </w:p>
    <w:p w14:paraId="193B505F" w14:textId="77777777" w:rsidR="007306F3" w:rsidRDefault="00000000">
      <w:pPr>
        <w:spacing w:after="200"/>
        <w:jc w:val="both"/>
      </w:pPr>
      <w:r>
        <w:t>El alcance comprende la reestructuración de la formación de grado conducente al grado académico de Licenciatura en Contaduría Pública y al título en provisión nacional de Contador Público Autorizado, en modalidad presencial y régimen anual, con una duración de cinco años y 6.000 horas académicas distribuidas en 43 asignaturas</w:t>
      </w:r>
      <w:r w:rsidR="007432A2">
        <w:t xml:space="preserve"> que conforman la malla curricular</w:t>
      </w:r>
      <w:r>
        <w:t>, en compatibilidad con la estructura aprobada por la Reunión Sectorial del Sistema.</w:t>
      </w:r>
    </w:p>
    <w:p w14:paraId="1386FFB1" w14:textId="77777777" w:rsidR="007306F3" w:rsidRDefault="00000000">
      <w:pPr>
        <w:keepNext/>
        <w:tabs>
          <w:tab w:val="left" w:pos="709"/>
        </w:tabs>
        <w:spacing w:before="80" w:after="200"/>
        <w:ind w:left="709" w:hanging="709"/>
        <w:outlineLvl w:val="2"/>
      </w:pPr>
      <w:bookmarkStart w:id="125" w:name="_Toc000000078"/>
      <w:r>
        <w:rPr>
          <w:b/>
          <w:sz w:val="22"/>
        </w:rPr>
        <w:t>4.3.4</w:t>
      </w:r>
      <w:r>
        <w:rPr>
          <w:b/>
          <w:sz w:val="22"/>
        </w:rPr>
        <w:tab/>
        <w:t>Objetivos específicos del diseño, rediseño o ajuste</w:t>
      </w:r>
      <w:bookmarkEnd w:id="125"/>
    </w:p>
    <w:p w14:paraId="3D0BDF1A" w14:textId="77777777" w:rsidR="007306F3" w:rsidRDefault="00000000">
      <w:pPr>
        <w:spacing w:after="200"/>
        <w:jc w:val="both"/>
      </w:pPr>
      <w:r>
        <w:t>Cada objetivo responde a una brecha identificada en el Diagnóstico del Plan de Estudios 2013 y en la justificación del punto 3:</w:t>
      </w:r>
    </w:p>
    <w:p w14:paraId="0B7AABF6" w14:textId="77777777" w:rsidR="007306F3" w:rsidRDefault="00000000">
      <w:pPr>
        <w:pStyle w:val="TituloCuadro"/>
        <w:keepNext/>
        <w:spacing w:before="40" w:after="80"/>
        <w:jc w:val="center"/>
      </w:pPr>
      <w:bookmarkStart w:id="126" w:name="_Toc000000326"/>
      <w:r>
        <w:rPr>
          <w:b/>
        </w:rPr>
        <w:t>Cuadro 1. Objetivos específicos del rediseño y brechas que atienden</w:t>
      </w:r>
      <w:bookmarkEnd w:id="126"/>
    </w:p>
    <w:tbl>
      <w:tblPr>
        <w:tblW w:w="9405" w:type="dxa"/>
        <w:jc w:val="center"/>
        <w:tblLayout w:type="fixed"/>
        <w:tblLook w:val="04A0" w:firstRow="1" w:lastRow="0" w:firstColumn="1" w:lastColumn="0" w:noHBand="0" w:noVBand="1"/>
      </w:tblPr>
      <w:tblGrid>
        <w:gridCol w:w="588"/>
        <w:gridCol w:w="5290"/>
        <w:gridCol w:w="3527"/>
      </w:tblGrid>
      <w:tr w:rsidR="00395D6D" w14:paraId="72207747" w14:textId="77777777">
        <w:trPr>
          <w:tblHeader/>
          <w:jc w:val="center"/>
        </w:trPr>
        <w:tc>
          <w:tcPr>
            <w:tcW w:w="58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C23A2BA" w14:textId="77777777" w:rsidR="007306F3" w:rsidRDefault="00000000">
            <w:pPr>
              <w:jc w:val="center"/>
            </w:pPr>
            <w:r>
              <w:rPr>
                <w:b/>
                <w:color w:val="FFFFFF"/>
              </w:rPr>
              <w:t>N.º</w:t>
            </w:r>
          </w:p>
        </w:tc>
        <w:tc>
          <w:tcPr>
            <w:tcW w:w="529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E26B9C5" w14:textId="77777777" w:rsidR="007306F3" w:rsidRDefault="00000000">
            <w:pPr>
              <w:jc w:val="center"/>
            </w:pPr>
            <w:r>
              <w:rPr>
                <w:b/>
                <w:color w:val="FFFFFF"/>
              </w:rPr>
              <w:t>Objetivo específico</w:t>
            </w:r>
          </w:p>
        </w:tc>
        <w:tc>
          <w:tcPr>
            <w:tcW w:w="352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EB1B2AE" w14:textId="77777777" w:rsidR="007306F3" w:rsidRDefault="00000000">
            <w:pPr>
              <w:jc w:val="center"/>
            </w:pPr>
            <w:r>
              <w:rPr>
                <w:b/>
                <w:color w:val="FFFFFF"/>
              </w:rPr>
              <w:t>Responde a</w:t>
            </w:r>
          </w:p>
        </w:tc>
      </w:tr>
      <w:tr w:rsidR="00395D6D" w14:paraId="6BFDFAA3" w14:textId="77777777">
        <w:trPr>
          <w:jc w:val="center"/>
        </w:trPr>
        <w:tc>
          <w:tcPr>
            <w:tcW w:w="588" w:type="dxa"/>
            <w:tcBorders>
              <w:top w:val="single" w:sz="4" w:space="0" w:color="8EAADB"/>
              <w:left w:val="single" w:sz="4" w:space="0" w:color="8EAADB"/>
              <w:bottom w:val="single" w:sz="4" w:space="0" w:color="8EAADB"/>
              <w:right w:val="single" w:sz="4" w:space="0" w:color="8EAADB"/>
            </w:tcBorders>
            <w:shd w:val="clear" w:color="auto" w:fill="D9E2F3"/>
          </w:tcPr>
          <w:p w14:paraId="628CD63A" w14:textId="77777777" w:rsidR="007306F3" w:rsidRDefault="00000000">
            <w:pPr>
              <w:jc w:val="center"/>
            </w:pPr>
            <w:r>
              <w:t>1</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50035D97" w14:textId="77777777" w:rsidR="007306F3" w:rsidRDefault="00000000" w:rsidP="00E55794">
            <w:pPr>
              <w:jc w:val="both"/>
            </w:pPr>
            <w:r>
              <w:t>Reformular el perfil de egreso hacia el modelo del Contador Público aprobado por la III-XIII Reunión Sectorial, ampliando la formación en auditoría financiera a los servicios de aseguramiento y distintos del aseguramiento</w:t>
            </w:r>
            <w:r w:rsidR="007432A2">
              <w:t>, en el sector público y privado.</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2C2A40A0" w14:textId="77777777" w:rsidR="007306F3" w:rsidRDefault="00000000" w:rsidP="00E55794">
            <w:pPr>
              <w:jc w:val="both"/>
            </w:pPr>
            <w:r>
              <w:t>El 46 % de los egresados percibe saturado el mercado para el perfil tradicional.</w:t>
            </w:r>
          </w:p>
        </w:tc>
      </w:tr>
      <w:tr w:rsidR="00395D6D" w14:paraId="66CEA1A1" w14:textId="77777777">
        <w:trPr>
          <w:jc w:val="center"/>
        </w:trPr>
        <w:tc>
          <w:tcPr>
            <w:tcW w:w="588" w:type="dxa"/>
            <w:tcBorders>
              <w:top w:val="single" w:sz="4" w:space="0" w:color="8EAADB"/>
              <w:left w:val="single" w:sz="4" w:space="0" w:color="8EAADB"/>
              <w:bottom w:val="single" w:sz="4" w:space="0" w:color="8EAADB"/>
              <w:right w:val="single" w:sz="4" w:space="0" w:color="8EAADB"/>
            </w:tcBorders>
            <w:shd w:val="clear" w:color="auto" w:fill="D9E2F3"/>
          </w:tcPr>
          <w:p w14:paraId="0985281E" w14:textId="77777777" w:rsidR="007306F3" w:rsidRDefault="00000000">
            <w:pPr>
              <w:jc w:val="center"/>
            </w:pPr>
            <w:r>
              <w:t>2</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5460C5C3" w14:textId="77777777" w:rsidR="007306F3" w:rsidRDefault="00000000" w:rsidP="00E55794">
            <w:pPr>
              <w:jc w:val="both"/>
            </w:pPr>
            <w:r>
              <w:t>Alinear las competencias del plan con las IES 2, 3 y 4 de la IFAC y actualizar la terminología y los contenidos a los pronunciamientos vigentes del IASB, el ISSB, el IAASB y el IESBA, para favorecer la transferibilidad y la acreditación internacional.</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1F8FB2E4" w14:textId="77777777" w:rsidR="007306F3" w:rsidRDefault="00000000" w:rsidP="00E55794">
            <w:pPr>
              <w:jc w:val="both"/>
            </w:pPr>
            <w:r>
              <w:t>El criterio de transferibilidad, valorado como bajo en el diagnóstico.</w:t>
            </w:r>
          </w:p>
        </w:tc>
      </w:tr>
      <w:tr w:rsidR="00395D6D" w14:paraId="68E55319" w14:textId="77777777">
        <w:trPr>
          <w:jc w:val="center"/>
        </w:trPr>
        <w:tc>
          <w:tcPr>
            <w:tcW w:w="588" w:type="dxa"/>
            <w:tcBorders>
              <w:top w:val="single" w:sz="4" w:space="0" w:color="8EAADB"/>
              <w:left w:val="single" w:sz="4" w:space="0" w:color="8EAADB"/>
              <w:bottom w:val="single" w:sz="4" w:space="0" w:color="8EAADB"/>
              <w:right w:val="single" w:sz="4" w:space="0" w:color="8EAADB"/>
            </w:tcBorders>
            <w:shd w:val="clear" w:color="auto" w:fill="D9E2F3"/>
          </w:tcPr>
          <w:p w14:paraId="201B7E4C" w14:textId="77777777" w:rsidR="007306F3" w:rsidRDefault="00000000">
            <w:pPr>
              <w:jc w:val="center"/>
            </w:pPr>
            <w:r>
              <w:t>3</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59C8F729" w14:textId="77777777" w:rsidR="007306F3" w:rsidRDefault="00000000" w:rsidP="00E55794">
            <w:pPr>
              <w:jc w:val="both"/>
            </w:pPr>
            <w:r>
              <w:t>Integrar la transformación digital como eje transversal, con analítica de datos, inteligencia artificial aplicada, sistemas de gestión empresarial, auditoría asistida por tecnología y ciberseguridad.</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0DBEB9A9" w14:textId="77777777" w:rsidR="007306F3" w:rsidRDefault="00000000" w:rsidP="00E55794">
            <w:pPr>
              <w:jc w:val="both"/>
            </w:pPr>
            <w:r>
              <w:t>La brecha tecnológica de 43 a 51 puntos porcentuales y el 43 % de egresados que considera actualizada la tecnología enseñada.</w:t>
            </w:r>
          </w:p>
        </w:tc>
      </w:tr>
      <w:tr w:rsidR="00395D6D" w14:paraId="58B5B54B" w14:textId="77777777">
        <w:trPr>
          <w:jc w:val="center"/>
        </w:trPr>
        <w:tc>
          <w:tcPr>
            <w:tcW w:w="588" w:type="dxa"/>
            <w:tcBorders>
              <w:top w:val="single" w:sz="4" w:space="0" w:color="8EAADB"/>
              <w:left w:val="single" w:sz="4" w:space="0" w:color="8EAADB"/>
              <w:bottom w:val="single" w:sz="4" w:space="0" w:color="8EAADB"/>
              <w:right w:val="single" w:sz="4" w:space="0" w:color="8EAADB"/>
            </w:tcBorders>
            <w:shd w:val="clear" w:color="auto" w:fill="D9E2F3"/>
          </w:tcPr>
          <w:p w14:paraId="40B1C398" w14:textId="77777777" w:rsidR="007306F3" w:rsidRDefault="00000000">
            <w:pPr>
              <w:jc w:val="center"/>
            </w:pPr>
            <w:r>
              <w:t>4</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7EA96C11" w14:textId="77777777" w:rsidR="007306F3" w:rsidRDefault="00000000" w:rsidP="00E55794">
            <w:pPr>
              <w:jc w:val="both"/>
            </w:pPr>
            <w:r>
              <w:t xml:space="preserve">Incorporar los contenidos emergentes de mayor demanda: </w:t>
            </w:r>
            <w:r w:rsidR="00DE64E2">
              <w:t xml:space="preserve">Normas del Sector Público, </w:t>
            </w:r>
            <w:r>
              <w:t>NIIF y NIIF de Sostenibilidad, aseguramiento de información no financiera bajo la NIEA 3000 y la NIAS 5000, gestión integral de riesgos y tributación digital.</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44A3BDD0" w14:textId="77777777" w:rsidR="007306F3" w:rsidRDefault="00000000" w:rsidP="00E55794">
            <w:pPr>
              <w:jc w:val="both"/>
            </w:pPr>
            <w:r>
              <w:t>La cobertura insuficiente de la consultoría, la sostenibilidad y la inteligencia artificial en la matriz de alineación del diagnóstico.</w:t>
            </w:r>
          </w:p>
        </w:tc>
      </w:tr>
      <w:tr w:rsidR="00395D6D" w14:paraId="300087BD" w14:textId="77777777">
        <w:trPr>
          <w:jc w:val="center"/>
        </w:trPr>
        <w:tc>
          <w:tcPr>
            <w:tcW w:w="588" w:type="dxa"/>
            <w:tcBorders>
              <w:top w:val="single" w:sz="4" w:space="0" w:color="8EAADB"/>
              <w:left w:val="single" w:sz="4" w:space="0" w:color="8EAADB"/>
              <w:bottom w:val="single" w:sz="4" w:space="0" w:color="8EAADB"/>
              <w:right w:val="single" w:sz="4" w:space="0" w:color="8EAADB"/>
            </w:tcBorders>
            <w:shd w:val="clear" w:color="auto" w:fill="D9E2F3"/>
          </w:tcPr>
          <w:p w14:paraId="4DF8EB31" w14:textId="77777777" w:rsidR="007306F3" w:rsidRDefault="00000000">
            <w:pPr>
              <w:jc w:val="center"/>
            </w:pPr>
            <w:r>
              <w:t>5</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616394AF" w14:textId="77777777" w:rsidR="007306F3" w:rsidRDefault="00000000" w:rsidP="00E55794">
            <w:pPr>
              <w:jc w:val="both"/>
            </w:pPr>
            <w:r>
              <w:t>Fortalecer la formación ética y las habilidades profesionales, como pensamiento crítico, comunicación, trabajo en equipo, gestión del tiempo</w:t>
            </w:r>
            <w:r w:rsidR="00E55794">
              <w:t xml:space="preserve">, conocimiento del </w:t>
            </w:r>
            <w:r>
              <w:t>inglés técnico,</w:t>
            </w:r>
            <w:r w:rsidR="00E55794">
              <w:t xml:space="preserve"> el uso de </w:t>
            </w:r>
            <w:r w:rsidR="00E55794">
              <w:lastRenderedPageBreak/>
              <w:t>la Inteligencia Artificial,</w:t>
            </w:r>
            <w:r>
              <w:t xml:space="preserve"> de forma explícita en todas las asignaturas.</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444BEE44" w14:textId="77777777" w:rsidR="007306F3" w:rsidRDefault="00000000" w:rsidP="00E55794">
            <w:pPr>
              <w:jc w:val="both"/>
            </w:pPr>
            <w:r>
              <w:lastRenderedPageBreak/>
              <w:t xml:space="preserve">Las brechas de 35 puntos en gestión del tiempo y de 25 en pensamiento crítico, y las habilidades blandas como </w:t>
            </w:r>
            <w:r>
              <w:lastRenderedPageBreak/>
              <w:t>primera barrera de contratación.</w:t>
            </w:r>
          </w:p>
        </w:tc>
      </w:tr>
      <w:tr w:rsidR="00395D6D" w14:paraId="5FA5F09A" w14:textId="77777777">
        <w:trPr>
          <w:jc w:val="center"/>
        </w:trPr>
        <w:tc>
          <w:tcPr>
            <w:tcW w:w="588" w:type="dxa"/>
            <w:tcBorders>
              <w:top w:val="single" w:sz="4" w:space="0" w:color="8EAADB"/>
              <w:left w:val="single" w:sz="4" w:space="0" w:color="8EAADB"/>
              <w:bottom w:val="single" w:sz="4" w:space="0" w:color="8EAADB"/>
              <w:right w:val="single" w:sz="4" w:space="0" w:color="8EAADB"/>
            </w:tcBorders>
            <w:shd w:val="clear" w:color="auto" w:fill="D9E2F3"/>
          </w:tcPr>
          <w:p w14:paraId="1F6419C1" w14:textId="77777777" w:rsidR="007306F3" w:rsidRDefault="00000000">
            <w:pPr>
              <w:jc w:val="center"/>
            </w:pPr>
            <w:r>
              <w:lastRenderedPageBreak/>
              <w:t>6</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5E3CCE83" w14:textId="77777777" w:rsidR="007306F3" w:rsidRDefault="00000000" w:rsidP="00E55794">
            <w:pPr>
              <w:jc w:val="both"/>
            </w:pPr>
            <w:r>
              <w:t>Implementar estrategias de aprendizaje activo y evaluación auténtica basadas en proyectos, casos reales y simulación, con evidencias de desempeño, de producto y de conocimiento.</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5DCB69C7" w14:textId="77777777" w:rsidR="007306F3" w:rsidRDefault="00000000" w:rsidP="00E55794">
            <w:pPr>
              <w:jc w:val="both"/>
            </w:pPr>
            <w:r>
              <w:t>El 88 % de estudiantes que demanda aprendizaje basado en proyectos reales.</w:t>
            </w:r>
          </w:p>
        </w:tc>
      </w:tr>
      <w:tr w:rsidR="00395D6D" w14:paraId="32FCF061" w14:textId="77777777">
        <w:trPr>
          <w:jc w:val="center"/>
        </w:trPr>
        <w:tc>
          <w:tcPr>
            <w:tcW w:w="588" w:type="dxa"/>
            <w:tcBorders>
              <w:top w:val="single" w:sz="4" w:space="0" w:color="8EAADB"/>
              <w:left w:val="single" w:sz="4" w:space="0" w:color="8EAADB"/>
              <w:bottom w:val="single" w:sz="4" w:space="0" w:color="8EAADB"/>
              <w:right w:val="single" w:sz="4" w:space="0" w:color="8EAADB"/>
            </w:tcBorders>
            <w:shd w:val="clear" w:color="auto" w:fill="D9E2F3"/>
          </w:tcPr>
          <w:p w14:paraId="7C0C20B4" w14:textId="77777777" w:rsidR="007306F3" w:rsidRDefault="00000000">
            <w:pPr>
              <w:jc w:val="center"/>
            </w:pPr>
            <w:r>
              <w:t>7</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784F94A5" w14:textId="77777777" w:rsidR="007306F3" w:rsidRDefault="00000000" w:rsidP="00E55794">
            <w:pPr>
              <w:jc w:val="both"/>
            </w:pPr>
            <w:r>
              <w:t>Institucionalizar las prácticas preprofesionales y la interacción social mediante convenios con entidades públicas, firmas de auditoría y empresas.</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20067681" w14:textId="77777777" w:rsidR="007306F3" w:rsidRDefault="00000000" w:rsidP="00E55794">
            <w:pPr>
              <w:jc w:val="both"/>
            </w:pPr>
            <w:r>
              <w:t>La falta de experiencia práctica como segunda barrera de contratación, con el 25 %.</w:t>
            </w:r>
          </w:p>
        </w:tc>
      </w:tr>
      <w:tr w:rsidR="00395D6D" w14:paraId="180A182C" w14:textId="77777777">
        <w:trPr>
          <w:jc w:val="center"/>
        </w:trPr>
        <w:tc>
          <w:tcPr>
            <w:tcW w:w="588" w:type="dxa"/>
            <w:tcBorders>
              <w:top w:val="single" w:sz="4" w:space="0" w:color="8EAADB"/>
              <w:left w:val="single" w:sz="4" w:space="0" w:color="8EAADB"/>
              <w:bottom w:val="single" w:sz="4" w:space="0" w:color="8EAADB"/>
              <w:right w:val="single" w:sz="4" w:space="0" w:color="8EAADB"/>
            </w:tcBorders>
            <w:shd w:val="clear" w:color="auto" w:fill="D9E2F3"/>
          </w:tcPr>
          <w:p w14:paraId="2C9E97F3" w14:textId="77777777" w:rsidR="007306F3" w:rsidRDefault="00000000">
            <w:pPr>
              <w:jc w:val="center"/>
            </w:pPr>
            <w:r>
              <w:t>8</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5B380F88" w14:textId="77777777" w:rsidR="007306F3" w:rsidRDefault="00000000" w:rsidP="00E55794">
            <w:pPr>
              <w:jc w:val="both"/>
            </w:pPr>
            <w:r>
              <w:t xml:space="preserve">Mejorar la eficiencia terminal </w:t>
            </w:r>
            <w:r w:rsidR="00E55794">
              <w:t>a través de</w:t>
            </w:r>
            <w:r>
              <w:t xml:space="preserve"> </w:t>
            </w:r>
            <w:r w:rsidR="00E55794">
              <w:t xml:space="preserve">la </w:t>
            </w:r>
            <w:r>
              <w:t xml:space="preserve">organización de la carga horaria </w:t>
            </w:r>
            <w:r w:rsidR="00E55794">
              <w:t xml:space="preserve">asignada y </w:t>
            </w:r>
            <w:r>
              <w:t>compatible con el estudiante que trabaja.</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10B8AE79" w14:textId="77777777" w:rsidR="007306F3" w:rsidRDefault="00000000" w:rsidP="00E55794">
            <w:pPr>
              <w:jc w:val="both"/>
            </w:pPr>
            <w:r>
              <w:t>Los 396 estudiantes con siete a nueve años de permanencia y el 69,73 % de titulados por examen de grado.</w:t>
            </w:r>
          </w:p>
        </w:tc>
      </w:tr>
      <w:tr w:rsidR="00395D6D" w14:paraId="3F50520C" w14:textId="77777777">
        <w:trPr>
          <w:jc w:val="center"/>
        </w:trPr>
        <w:tc>
          <w:tcPr>
            <w:tcW w:w="588" w:type="dxa"/>
            <w:tcBorders>
              <w:top w:val="single" w:sz="4" w:space="0" w:color="8EAADB"/>
              <w:left w:val="single" w:sz="4" w:space="0" w:color="8EAADB"/>
              <w:bottom w:val="single" w:sz="4" w:space="0" w:color="8EAADB"/>
              <w:right w:val="single" w:sz="4" w:space="0" w:color="8EAADB"/>
            </w:tcBorders>
            <w:shd w:val="clear" w:color="auto" w:fill="D9E2F3"/>
          </w:tcPr>
          <w:p w14:paraId="564E1D02" w14:textId="77777777" w:rsidR="007306F3" w:rsidRDefault="00000000">
            <w:pPr>
              <w:jc w:val="center"/>
            </w:pPr>
            <w:r>
              <w:t>9</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0DBBCB71" w14:textId="77777777" w:rsidR="007306F3" w:rsidRDefault="00000000" w:rsidP="00E55794">
            <w:pPr>
              <w:jc w:val="both"/>
            </w:pPr>
            <w:r>
              <w:t>Articular el grado con el postgrado y la investigación, definiendo competencias de grado que sirvan de base para diplomados y maestrías, y vinculando las modalidades de graduación con las líneas del Instituto de Investigaciones.</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78786F3C" w14:textId="77777777" w:rsidR="007306F3" w:rsidRDefault="00000000" w:rsidP="00E55794">
            <w:pPr>
              <w:jc w:val="both"/>
            </w:pPr>
            <w:r>
              <w:t>El criterio de articulación, valorado como parcial en el diagnóstico, y el 0,16 % de titulados por tesis.</w:t>
            </w:r>
          </w:p>
        </w:tc>
      </w:tr>
    </w:tbl>
    <w:p w14:paraId="07687CF1" w14:textId="77777777" w:rsidR="007306F3" w:rsidRDefault="007306F3">
      <w:pPr>
        <w:spacing w:after="120"/>
      </w:pPr>
    </w:p>
    <w:p w14:paraId="4E8DD037" w14:textId="77777777" w:rsidR="007306F3" w:rsidRDefault="00000000">
      <w:pPr>
        <w:spacing w:after="200"/>
        <w:jc w:val="both"/>
      </w:pPr>
      <w:r>
        <w:t>Estos objetivos se complementan con cuatro propósitos formativos: brindar una formación académica integral para entender y resolver problemas financieros y no financieros de entidades públicas y privadas con visión holística; desarrollar capacidades operativas y analíticas en información financiera, aseguramiento, control interno, gestión de riesgos, auditoría forense, tributación y consultoría; desarrollar un juicio crítico y reflexivo que integre saberes multidisciplinarios; y formar una vocación de servicio orientada al interés público y al desarrollo sostenible.</w:t>
      </w:r>
    </w:p>
    <w:p w14:paraId="31799D55" w14:textId="77777777" w:rsidR="007306F3" w:rsidRDefault="00000000">
      <w:pPr>
        <w:keepNext/>
        <w:tabs>
          <w:tab w:val="left" w:pos="709"/>
        </w:tabs>
        <w:spacing w:before="80" w:after="200"/>
        <w:ind w:left="709" w:hanging="709"/>
        <w:outlineLvl w:val="2"/>
      </w:pPr>
      <w:bookmarkStart w:id="127" w:name="_Toc000000079"/>
      <w:r>
        <w:rPr>
          <w:b/>
          <w:sz w:val="22"/>
        </w:rPr>
        <w:t>4.3.5</w:t>
      </w:r>
      <w:r>
        <w:rPr>
          <w:b/>
          <w:sz w:val="22"/>
        </w:rPr>
        <w:tab/>
        <w:t>Duración de la carrera en años o semestres</w:t>
      </w:r>
      <w:bookmarkEnd w:id="127"/>
    </w:p>
    <w:p w14:paraId="21958712" w14:textId="77777777" w:rsidR="007306F3" w:rsidRDefault="00000000">
      <w:pPr>
        <w:spacing w:after="200"/>
        <w:jc w:val="both"/>
      </w:pPr>
      <w:r>
        <w:t xml:space="preserve">La Licenciatura en Contaduría Pública tiene una duración de </w:t>
      </w:r>
      <w:r w:rsidRPr="009A64AD">
        <w:rPr>
          <w:bCs/>
        </w:rPr>
        <w:t>cinco años académicos, en régimen anual de 40 semanas lectivas por gestión y modalidad presencial con</w:t>
      </w:r>
      <w:r>
        <w:t xml:space="preserve"> apoyo de entornos virtuales, en turnos diurno y nocturno. </w:t>
      </w:r>
    </w:p>
    <w:p w14:paraId="006B7211" w14:textId="77777777" w:rsidR="00990B14" w:rsidRDefault="00000000">
      <w:pPr>
        <w:keepNext/>
        <w:spacing w:before="40" w:after="200"/>
      </w:pPr>
      <w:r>
        <w:rPr>
          <w:b/>
          <w:sz w:val="22"/>
        </w:rPr>
        <w:t>Justificación técnico-académica y normativa de la adopción del régimen anualizado</w:t>
      </w:r>
    </w:p>
    <w:p w14:paraId="3503B651" w14:textId="77777777" w:rsidR="00990B14" w:rsidRDefault="00000000">
      <w:pPr>
        <w:keepNext/>
        <w:spacing w:after="120"/>
      </w:pPr>
      <w:r>
        <w:rPr>
          <w:b/>
        </w:rPr>
        <w:t>Marco de referencia y sustento normativo superior</w:t>
      </w:r>
    </w:p>
    <w:p w14:paraId="6A76077C" w14:textId="77777777" w:rsidR="00990B14" w:rsidRDefault="00000000">
      <w:pPr>
        <w:spacing w:after="200"/>
        <w:jc w:val="both"/>
      </w:pPr>
      <w:r>
        <w:t>La administración del Plan de Estudios en una modalidad presencial de régimen anualizado compuesto por cinco (5) gestiones académicas (40 semanas lectivas por gestión) se fundamenta en el Estatuto Orgánico de la Universidad Mayor de San Andrés (UMSA), el Reglamento del Régimen Académico Estudiantil del Sistema de la Universidad Boliviana (SUB) y las decisiones de la III-XIII Reunión Sectorial de Carreras de Contaduría Pública del SUB (ratificadas por la Resolución N.º 07/2024 de la VI Conferencia Nacional Ordinaria de Universidades).</w:t>
      </w:r>
    </w:p>
    <w:p w14:paraId="4D09FF05" w14:textId="77777777" w:rsidR="00990B14" w:rsidRDefault="00000000">
      <w:pPr>
        <w:spacing w:after="200"/>
        <w:jc w:val="both"/>
      </w:pPr>
      <w:r>
        <w:t>Este régimen responde a la necesidad institucional de garantizar el logro integral del Perfil Profesional del Contador Público bajo los estándares internacionales de las Normas Internacionales de Educación Contable (IES 1 a IES 8 de la IFAC), preservando la profundidad técnica necesaria para abordar 6.000 horas académicas distribuidas en 43 asignaturas.</w:t>
      </w:r>
    </w:p>
    <w:p w14:paraId="1389323E" w14:textId="77777777" w:rsidR="00990B14" w:rsidRDefault="00000000">
      <w:pPr>
        <w:keepNext/>
        <w:spacing w:after="120"/>
      </w:pPr>
      <w:r>
        <w:rPr>
          <w:b/>
        </w:rPr>
        <w:lastRenderedPageBreak/>
        <w:t>Argumentos clave de sustentación</w:t>
      </w:r>
    </w:p>
    <w:p w14:paraId="11593CAF" w14:textId="77777777" w:rsidR="00990B14" w:rsidRDefault="00000000">
      <w:pPr>
        <w:numPr>
          <w:ilvl w:val="0"/>
          <w:numId w:val="138"/>
        </w:numPr>
        <w:spacing w:after="160"/>
        <w:jc w:val="both"/>
      </w:pPr>
      <w:r>
        <w:rPr>
          <w:b/>
        </w:rPr>
        <w:t>Cumplimiento del Máximo Límite Normativo del SUB (6.000 Horas / 43 Asignaturas):</w:t>
      </w:r>
      <w:r>
        <w:t xml:space="preserve"> En la III-XIII Reunión Sectorial del Sistema de la Universidad Boliviana (SUB), ratificada por la Resolución N.º 07/2024 de la VI Conferencia Nacional Ordinaria de Universidades, se aprobó un rango nacional de 4.500 a 6.000 horas académicas para la titulación de Licenciatura. La UMSA hace uso del tope superior del rango, lo cual exige periodos lectivos extensos de 40 semanas anuales para evitar sobrecargas horarias insostenibles en la jornada diaria estudiantil.</w:t>
      </w:r>
    </w:p>
    <w:p w14:paraId="2779B5FB" w14:textId="77777777" w:rsidR="00990B14" w:rsidRDefault="00000000">
      <w:pPr>
        <w:numPr>
          <w:ilvl w:val="0"/>
          <w:numId w:val="138"/>
        </w:numPr>
        <w:spacing w:after="160"/>
        <w:jc w:val="both"/>
      </w:pPr>
      <w:r>
        <w:rPr>
          <w:b/>
        </w:rPr>
        <w:t>Consolidación del Aprendizaje por Competencias y Evaluación Auténtica:</w:t>
      </w:r>
      <w:r>
        <w:t xml:space="preserve"> En concordancia con el Artículo 8 del Reglamento de Innovación Curricular de la UMSA (Resolución HCU N.º 032/2025), el plan migra del modelo memorístico hacia la resolución de problemas reales y el Aprendizaje Basado en Proyectos (ABP). Las asignaturas de las áreas de información financiera, aseguramiento y otras, requieren ciclos anuales continuos porque integran procesos complejos para la simulación operativa, el ciclo contable, la preparación de estados financieros, la ejecución de un encargo de auditoría y el manejo de papeles de trabajo en laboratorios.</w:t>
      </w:r>
    </w:p>
    <w:p w14:paraId="03471EB3" w14:textId="77777777" w:rsidR="00990B14" w:rsidRDefault="00000000">
      <w:pPr>
        <w:numPr>
          <w:ilvl w:val="0"/>
          <w:numId w:val="138"/>
        </w:numPr>
        <w:spacing w:after="160"/>
        <w:jc w:val="both"/>
      </w:pPr>
      <w:r>
        <w:rPr>
          <w:b/>
        </w:rPr>
        <w:t>Secuencialidad Técnica y Estabilidad de Prerrequisitos:</w:t>
      </w:r>
      <w:r>
        <w:t xml:space="preserve"> La formación del Contador Público demanda una estricta progresión lineal. El régimen anualizado estabiliza la matriculación en bloques coherentes de 8 a 10 asignaturas por año, impidiendo la fragmentación prematura de la trayectoria y los cruces de horario.</w:t>
      </w:r>
    </w:p>
    <w:p w14:paraId="5A717B90" w14:textId="77777777" w:rsidR="00990B14" w:rsidRDefault="00000000">
      <w:pPr>
        <w:numPr>
          <w:ilvl w:val="0"/>
          <w:numId w:val="138"/>
        </w:numPr>
        <w:spacing w:after="160"/>
        <w:jc w:val="both"/>
      </w:pPr>
      <w:r>
        <w:rPr>
          <w:b/>
        </w:rPr>
        <w:t>Atención a la Población Estudiantil Trabajadora:</w:t>
      </w:r>
      <w:r>
        <w:t xml:space="preserve"> Los datos del diagnóstico institucional (DSIE-UMSA) registran que el 24,8 % de la matrícula realiza actividad laboral remunerada (1.101 estudiantes) y 1.183 cursan en el turno tarde/noche. El régimen anual otorga previsibilidad horaria y regularidad de planificación durante todo el año lectivo, reduciendo el desgaste administrativo de las reinscripciones.</w:t>
      </w:r>
    </w:p>
    <w:p w14:paraId="4E9E288B" w14:textId="77777777" w:rsidR="00990B14" w:rsidRDefault="00000000">
      <w:pPr>
        <w:numPr>
          <w:ilvl w:val="0"/>
          <w:numId w:val="138"/>
        </w:numPr>
        <w:spacing w:after="200"/>
        <w:jc w:val="both"/>
      </w:pPr>
      <w:r>
        <w:rPr>
          <w:b/>
        </w:rPr>
        <w:t>Alineación Limpia con Titulaciones Intermedias Graduales:</w:t>
      </w:r>
      <w:r>
        <w:t xml:space="preserve"> El régimen por gestiones completas permite estructurar adecuadamente las salidas técnicas intermedias de la UMSA y del SUB: Técnico Universitario Medio en Contabilidad (Auxiliar Contable): otorgación directa al aprobar las 16 asignaturas de 1.º y 2.º año en dos años continuos (Resolución HCU N.º 426/2024). Técnico Universitario Superior en Contabilidad General (Contador General): otorgación al concluir las 24 asignaturas de 1.º a 3.er año y aprobar el Examen de Grado Técnico Universitario Superior.</w:t>
      </w:r>
    </w:p>
    <w:tbl>
      <w:tblPr>
        <w:tblW w:w="9405" w:type="dxa"/>
        <w:jc w:val="center"/>
        <w:tblLook w:val="04A0" w:firstRow="1" w:lastRow="0" w:firstColumn="1" w:lastColumn="0" w:noHBand="0" w:noVBand="1"/>
      </w:tblPr>
      <w:tblGrid>
        <w:gridCol w:w="9405"/>
      </w:tblGrid>
      <w:tr w:rsidR="00990B14" w14:paraId="4BD9932C" w14:textId="77777777">
        <w:trPr>
          <w:jc w:val="center"/>
        </w:trPr>
        <w:tc>
          <w:tcPr>
            <w:tcW w:w="9405" w:type="dxa"/>
            <w:tcBorders>
              <w:top w:val="single" w:sz="6" w:space="0" w:color="404040"/>
              <w:left w:val="single" w:sz="6" w:space="0" w:color="404040"/>
              <w:bottom w:val="single" w:sz="6" w:space="0" w:color="404040"/>
              <w:right w:val="single" w:sz="6" w:space="0" w:color="404040"/>
            </w:tcBorders>
            <w:tcMar>
              <w:top w:w="140" w:type="dxa"/>
              <w:left w:w="140" w:type="dxa"/>
              <w:bottom w:w="140" w:type="dxa"/>
              <w:right w:w="140" w:type="dxa"/>
            </w:tcMar>
          </w:tcPr>
          <w:p w14:paraId="24863630" w14:textId="77777777" w:rsidR="00990B14" w:rsidRDefault="00000000">
            <w:pPr>
              <w:spacing w:before="60" w:after="60"/>
              <w:jc w:val="center"/>
            </w:pPr>
            <w:r>
              <w:t>El régimen anualizado de 5 años es el único formato académico que permite desplegar la totalidad de las 6.000 horas académicas exigidas por el modelo de formación del Contador Público de la UMSA, garantizando la maduración de las competencias técnicas en información financiera, aseguramiento, tributación y tecnologías emergentes, protegiendo la estabilidad del estudiante-trabajador y manteniendo la coherencia con el Cuadro General de Grados del Sistema Universitario Boliviano.</w:t>
            </w:r>
          </w:p>
        </w:tc>
      </w:tr>
    </w:tbl>
    <w:p w14:paraId="74EFE09D" w14:textId="77777777" w:rsidR="00990B14" w:rsidRDefault="00990B14">
      <w:pPr>
        <w:spacing w:after="120"/>
      </w:pPr>
    </w:p>
    <w:p w14:paraId="3188DAE0" w14:textId="77777777" w:rsidR="007306F3" w:rsidRDefault="00000000">
      <w:pPr>
        <w:spacing w:after="200"/>
        <w:jc w:val="both"/>
      </w:pPr>
      <w:r>
        <w:t>Los cinco años se organizan en tres ciclos de formación progresiva:</w:t>
      </w:r>
    </w:p>
    <w:p w14:paraId="6A419652" w14:textId="77777777" w:rsidR="007306F3" w:rsidRDefault="00000000">
      <w:pPr>
        <w:pStyle w:val="TituloCuadro"/>
        <w:keepNext/>
        <w:spacing w:before="40" w:after="80"/>
        <w:jc w:val="center"/>
      </w:pPr>
      <w:bookmarkStart w:id="128" w:name="_Toc000000327"/>
      <w:r>
        <w:rPr>
          <w:b/>
        </w:rPr>
        <w:t>Cuadro 2. Ciclos de formación</w:t>
      </w:r>
      <w:bookmarkEnd w:id="128"/>
    </w:p>
    <w:tbl>
      <w:tblPr>
        <w:tblW w:w="9405" w:type="dxa"/>
        <w:jc w:val="center"/>
        <w:tblLayout w:type="fixed"/>
        <w:tblLook w:val="04A0" w:firstRow="1" w:lastRow="0" w:firstColumn="1" w:lastColumn="0" w:noHBand="0" w:noVBand="1"/>
      </w:tblPr>
      <w:tblGrid>
        <w:gridCol w:w="1764"/>
        <w:gridCol w:w="1058"/>
        <w:gridCol w:w="3292"/>
        <w:gridCol w:w="3291"/>
      </w:tblGrid>
      <w:tr w:rsidR="00395D6D" w14:paraId="277A234B" w14:textId="77777777">
        <w:trPr>
          <w:tblHeader/>
          <w:jc w:val="center"/>
        </w:trPr>
        <w:tc>
          <w:tcPr>
            <w:tcW w:w="176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130A48C" w14:textId="77777777" w:rsidR="007306F3" w:rsidRDefault="00000000">
            <w:pPr>
              <w:jc w:val="center"/>
            </w:pPr>
            <w:r>
              <w:rPr>
                <w:b/>
                <w:color w:val="FFFFFF"/>
              </w:rPr>
              <w:t>Ciclo</w:t>
            </w:r>
          </w:p>
        </w:tc>
        <w:tc>
          <w:tcPr>
            <w:tcW w:w="105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2258A1D" w14:textId="77777777" w:rsidR="007306F3" w:rsidRDefault="00000000">
            <w:pPr>
              <w:jc w:val="center"/>
            </w:pPr>
            <w:r>
              <w:rPr>
                <w:b/>
                <w:color w:val="FFFFFF"/>
              </w:rPr>
              <w:t>Años</w:t>
            </w:r>
          </w:p>
        </w:tc>
        <w:tc>
          <w:tcPr>
            <w:tcW w:w="329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5307319" w14:textId="77777777" w:rsidR="007306F3" w:rsidRDefault="00000000">
            <w:pPr>
              <w:jc w:val="center"/>
            </w:pPr>
            <w:r>
              <w:rPr>
                <w:b/>
                <w:color w:val="FFFFFF"/>
              </w:rPr>
              <w:t>Énfasis formativo</w:t>
            </w:r>
          </w:p>
        </w:tc>
        <w:tc>
          <w:tcPr>
            <w:tcW w:w="329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EBC4399" w14:textId="77777777" w:rsidR="007306F3" w:rsidRDefault="00000000">
            <w:pPr>
              <w:jc w:val="center"/>
            </w:pPr>
            <w:r>
              <w:rPr>
                <w:b/>
                <w:color w:val="FFFFFF"/>
              </w:rPr>
              <w:t>Asignaturas representativas</w:t>
            </w:r>
          </w:p>
        </w:tc>
      </w:tr>
      <w:tr w:rsidR="00395D6D" w14:paraId="13206BE9" w14:textId="77777777">
        <w:trPr>
          <w:jc w:val="center"/>
        </w:trPr>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13A8BE81" w14:textId="77777777" w:rsidR="007306F3" w:rsidRDefault="00000000">
            <w:pPr>
              <w:jc w:val="both"/>
            </w:pPr>
            <w:r>
              <w:t>Básico</w:t>
            </w:r>
          </w:p>
        </w:tc>
        <w:tc>
          <w:tcPr>
            <w:tcW w:w="1058" w:type="dxa"/>
            <w:tcBorders>
              <w:top w:val="single" w:sz="4" w:space="0" w:color="8EAADB"/>
              <w:left w:val="single" w:sz="4" w:space="0" w:color="8EAADB"/>
              <w:bottom w:val="single" w:sz="4" w:space="0" w:color="8EAADB"/>
              <w:right w:val="single" w:sz="4" w:space="0" w:color="8EAADB"/>
            </w:tcBorders>
            <w:shd w:val="clear" w:color="auto" w:fill="D9E2F3"/>
          </w:tcPr>
          <w:p w14:paraId="4BA10E90" w14:textId="77777777" w:rsidR="007306F3" w:rsidRDefault="00000000">
            <w:pPr>
              <w:jc w:val="both"/>
            </w:pPr>
            <w:r>
              <w:t>1.º y 2.º</w:t>
            </w:r>
          </w:p>
        </w:tc>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7CB890E3" w14:textId="77777777" w:rsidR="007306F3" w:rsidRDefault="00000000">
            <w:pPr>
              <w:jc w:val="both"/>
            </w:pPr>
            <w:r>
              <w:t xml:space="preserve">Fundamentos contables, matemáticos, económicos, jurídicos, administrativos y </w:t>
            </w:r>
            <w:r>
              <w:lastRenderedPageBreak/>
              <w:t>tecnológicos</w:t>
            </w:r>
          </w:p>
        </w:tc>
        <w:tc>
          <w:tcPr>
            <w:tcW w:w="3291" w:type="dxa"/>
            <w:tcBorders>
              <w:top w:val="single" w:sz="4" w:space="0" w:color="8EAADB"/>
              <w:left w:val="single" w:sz="4" w:space="0" w:color="8EAADB"/>
              <w:bottom w:val="single" w:sz="4" w:space="0" w:color="8EAADB"/>
              <w:right w:val="single" w:sz="4" w:space="0" w:color="8EAADB"/>
            </w:tcBorders>
            <w:shd w:val="clear" w:color="auto" w:fill="D9E2F3"/>
          </w:tcPr>
          <w:p w14:paraId="4F9B47DB" w14:textId="77777777" w:rsidR="007306F3" w:rsidRDefault="00000000">
            <w:pPr>
              <w:jc w:val="both"/>
            </w:pPr>
            <w:r>
              <w:lastRenderedPageBreak/>
              <w:t xml:space="preserve">Contabilidad Básica e Intermedia, Tecnologías de Información y Herramientas </w:t>
            </w:r>
            <w:r>
              <w:lastRenderedPageBreak/>
              <w:t>Digitales, Matemáticas, Economía y Derecho</w:t>
            </w:r>
          </w:p>
        </w:tc>
      </w:tr>
      <w:tr w:rsidR="00395D6D" w14:paraId="30C3E289" w14:textId="77777777">
        <w:trPr>
          <w:jc w:val="center"/>
        </w:trPr>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5DD88AD5" w14:textId="77777777" w:rsidR="007306F3" w:rsidRDefault="00000000">
            <w:pPr>
              <w:jc w:val="both"/>
            </w:pPr>
            <w:r>
              <w:lastRenderedPageBreak/>
              <w:t>Profesional</w:t>
            </w:r>
          </w:p>
        </w:tc>
        <w:tc>
          <w:tcPr>
            <w:tcW w:w="1058" w:type="dxa"/>
            <w:tcBorders>
              <w:top w:val="single" w:sz="4" w:space="0" w:color="8EAADB"/>
              <w:left w:val="single" w:sz="4" w:space="0" w:color="8EAADB"/>
              <w:bottom w:val="single" w:sz="4" w:space="0" w:color="8EAADB"/>
              <w:right w:val="single" w:sz="4" w:space="0" w:color="8EAADB"/>
            </w:tcBorders>
            <w:shd w:val="clear" w:color="auto" w:fill="D9E2F3"/>
          </w:tcPr>
          <w:p w14:paraId="5752E844" w14:textId="77777777" w:rsidR="007306F3" w:rsidRDefault="00000000">
            <w:pPr>
              <w:jc w:val="both"/>
            </w:pPr>
            <w:r>
              <w:t>3.º y 4.º</w:t>
            </w:r>
          </w:p>
        </w:tc>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22A55F35" w14:textId="77777777" w:rsidR="007306F3" w:rsidRDefault="00000000">
            <w:pPr>
              <w:jc w:val="both"/>
            </w:pPr>
            <w:r>
              <w:t>Información financiera especializada, costos, tributos, sistemas, ética, auditoría financiera y control interno</w:t>
            </w:r>
          </w:p>
        </w:tc>
        <w:tc>
          <w:tcPr>
            <w:tcW w:w="3291" w:type="dxa"/>
            <w:tcBorders>
              <w:top w:val="single" w:sz="4" w:space="0" w:color="8EAADB"/>
              <w:left w:val="single" w:sz="4" w:space="0" w:color="8EAADB"/>
              <w:bottom w:val="single" w:sz="4" w:space="0" w:color="8EAADB"/>
              <w:right w:val="single" w:sz="4" w:space="0" w:color="8EAADB"/>
            </w:tcBorders>
            <w:shd w:val="clear" w:color="auto" w:fill="D9E2F3"/>
          </w:tcPr>
          <w:p w14:paraId="3D423A50" w14:textId="77777777" w:rsidR="007306F3" w:rsidRDefault="00000000">
            <w:pPr>
              <w:jc w:val="both"/>
            </w:pPr>
            <w:r>
              <w:t>CPA-302 Contabilidad de Costos y Gestión, CPA-305 Sistemas Contables ERP y Análisis de Datos, CPA-406 Ética e Independencia Profesional, CPA-407 Auditoría Financiera y CPA-408 Auditoría Interna, Control Interno, Gestión de Riesgos y Gobierno Corporativo</w:t>
            </w:r>
          </w:p>
        </w:tc>
      </w:tr>
      <w:tr w:rsidR="00395D6D" w14:paraId="4BD4DFAF" w14:textId="77777777">
        <w:trPr>
          <w:jc w:val="center"/>
        </w:trPr>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65D66295" w14:textId="77777777" w:rsidR="007306F3" w:rsidRDefault="00000000">
            <w:pPr>
              <w:jc w:val="both"/>
            </w:pPr>
            <w:r>
              <w:t>De integración y profundización</w:t>
            </w:r>
          </w:p>
        </w:tc>
        <w:tc>
          <w:tcPr>
            <w:tcW w:w="1058" w:type="dxa"/>
            <w:tcBorders>
              <w:top w:val="single" w:sz="4" w:space="0" w:color="8EAADB"/>
              <w:left w:val="single" w:sz="4" w:space="0" w:color="8EAADB"/>
              <w:bottom w:val="single" w:sz="4" w:space="0" w:color="8EAADB"/>
              <w:right w:val="single" w:sz="4" w:space="0" w:color="8EAADB"/>
            </w:tcBorders>
            <w:shd w:val="clear" w:color="auto" w:fill="D9E2F3"/>
          </w:tcPr>
          <w:p w14:paraId="6C90CC89" w14:textId="77777777" w:rsidR="007306F3" w:rsidRDefault="00000000">
            <w:pPr>
              <w:jc w:val="both"/>
            </w:pPr>
            <w:r>
              <w:t>5.º</w:t>
            </w:r>
          </w:p>
        </w:tc>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0A039EE1" w14:textId="77777777" w:rsidR="007306F3" w:rsidRDefault="00000000">
            <w:pPr>
              <w:jc w:val="both"/>
            </w:pPr>
            <w:r>
              <w:t>Servicios de aseguramiento especializados, gabinetes integradores, práctica preprofesional y graduación</w:t>
            </w:r>
          </w:p>
        </w:tc>
        <w:tc>
          <w:tcPr>
            <w:tcW w:w="3291" w:type="dxa"/>
            <w:tcBorders>
              <w:top w:val="single" w:sz="4" w:space="0" w:color="8EAADB"/>
              <w:left w:val="single" w:sz="4" w:space="0" w:color="8EAADB"/>
              <w:bottom w:val="single" w:sz="4" w:space="0" w:color="8EAADB"/>
              <w:right w:val="single" w:sz="4" w:space="0" w:color="8EAADB"/>
            </w:tcBorders>
            <w:shd w:val="clear" w:color="auto" w:fill="D9E2F3"/>
          </w:tcPr>
          <w:p w14:paraId="47F2E1FF" w14:textId="77777777" w:rsidR="007306F3" w:rsidRDefault="00000000">
            <w:pPr>
              <w:jc w:val="both"/>
            </w:pPr>
            <w:r>
              <w:t>CPA-501 Auditoría Operativa, CPA-502 Gabinete de Auditoría Financiera, CPA-504 Auditoría Gubernamental, CPA-508 Auditoría Forense y Prevención de Delitos Económicos y CPA-510 Taller de Grado</w:t>
            </w:r>
          </w:p>
        </w:tc>
      </w:tr>
    </w:tbl>
    <w:p w14:paraId="40961391" w14:textId="77777777" w:rsidR="007306F3" w:rsidRDefault="007306F3">
      <w:pPr>
        <w:spacing w:after="120"/>
        <w:sectPr w:rsidR="007306F3" w:rsidSect="00034616">
          <w:headerReference w:type="default" r:id="rId19"/>
          <w:footerReference w:type="default" r:id="rId20"/>
          <w:pgSz w:w="12240" w:h="15840"/>
          <w:pgMar w:top="1701" w:right="1134" w:bottom="1134" w:left="1701" w:header="567" w:footer="567" w:gutter="0"/>
          <w:cols w:space="720"/>
          <w:docGrid w:linePitch="360"/>
        </w:sectPr>
      </w:pPr>
    </w:p>
    <w:p w14:paraId="58797718" w14:textId="77777777" w:rsidR="00990B14" w:rsidRDefault="00990B14">
      <w:pPr>
        <w:spacing w:line="5600" w:lineRule="exact"/>
      </w:pPr>
    </w:p>
    <w:p w14:paraId="46DAB041" w14:textId="77777777" w:rsidR="00990B14" w:rsidRDefault="00000000">
      <w:pPr>
        <w:keepNext/>
        <w:jc w:val="center"/>
      </w:pPr>
      <w:r>
        <w:rPr>
          <w:b/>
          <w:bCs/>
          <w:sz w:val="40"/>
          <w:szCs w:val="40"/>
        </w:rPr>
        <w:t>4.4 Estructura curricular</w:t>
      </w:r>
    </w:p>
    <w:p w14:paraId="4EA893F7" w14:textId="77777777" w:rsidR="0082643C" w:rsidRDefault="00000000">
      <w:pPr>
        <w:pStyle w:val="GrupoCuadros"/>
        <w:keepNext/>
        <w:pageBreakBefore/>
        <w:tabs>
          <w:tab w:val="left" w:pos="709"/>
        </w:tabs>
        <w:spacing w:before="120" w:after="200"/>
        <w:ind w:left="709" w:hanging="709"/>
        <w:outlineLvl w:val="1"/>
      </w:pPr>
      <w:bookmarkStart w:id="129" w:name="_Toc000000080"/>
      <w:r>
        <w:rPr>
          <w:b/>
          <w:sz w:val="24"/>
        </w:rPr>
        <w:lastRenderedPageBreak/>
        <w:t>4.4</w:t>
      </w:r>
      <w:r>
        <w:rPr>
          <w:b/>
          <w:sz w:val="24"/>
        </w:rPr>
        <w:tab/>
        <w:t>Estructura curricular</w:t>
      </w:r>
      <w:bookmarkEnd w:id="129"/>
    </w:p>
    <w:p w14:paraId="34414937" w14:textId="77777777" w:rsidR="0082643C" w:rsidRDefault="00000000">
      <w:pPr>
        <w:keepNext/>
        <w:tabs>
          <w:tab w:val="left" w:pos="709"/>
        </w:tabs>
        <w:spacing w:before="80" w:after="200"/>
        <w:ind w:left="709" w:hanging="709"/>
        <w:outlineLvl w:val="2"/>
      </w:pPr>
      <w:bookmarkStart w:id="130" w:name="_Toc000000081"/>
      <w:r>
        <w:rPr>
          <w:b/>
          <w:sz w:val="22"/>
        </w:rPr>
        <w:t>4.4.1</w:t>
      </w:r>
      <w:r>
        <w:rPr>
          <w:b/>
          <w:sz w:val="22"/>
        </w:rPr>
        <w:tab/>
        <w:t>Descripción de la organización curricular (organización de la asignatura por áreas o ejes de conocimiento)</w:t>
      </w:r>
      <w:bookmarkEnd w:id="130"/>
    </w:p>
    <w:p w14:paraId="47A29EB1" w14:textId="77777777" w:rsidR="0082643C" w:rsidRDefault="00000000">
      <w:pPr>
        <w:spacing w:after="200"/>
        <w:jc w:val="both"/>
      </w:pPr>
      <w:r>
        <w:t xml:space="preserve">De acuerdo con el modelo curricular por competencias del Sistema de la Universidad Boliviana y con la IES 2 de la IFAC, el </w:t>
      </w:r>
      <w:r w:rsidR="00BE6153">
        <w:t>Rediseño Curricular</w:t>
      </w:r>
      <w:r>
        <w:t xml:space="preserve"> organiza sus 43 asignaturas en seis áreas de conocimiento agrupadas en dos bloques: </w:t>
      </w:r>
      <w:r w:rsidR="00850BB6">
        <w:t>el área contable y de auditoría</w:t>
      </w:r>
      <w:r>
        <w:t>, que forman el núcleo de la profesión, y el Área Contextual, que aporta el sustento multidisciplinario.</w:t>
      </w:r>
    </w:p>
    <w:p w14:paraId="44AED2BA" w14:textId="77777777" w:rsidR="0082643C" w:rsidRDefault="00000000">
      <w:pPr>
        <w:pStyle w:val="TituloCuadro"/>
        <w:keepNext/>
        <w:spacing w:before="40" w:after="80"/>
        <w:jc w:val="center"/>
      </w:pPr>
      <w:bookmarkStart w:id="131" w:name="_Toc000000329"/>
      <w:r>
        <w:rPr>
          <w:b/>
        </w:rPr>
        <w:t>Cuadro 1. Asignaturas y carga horaria por área de conocimiento</w:t>
      </w:r>
      <w:bookmarkEnd w:id="131"/>
    </w:p>
    <w:tbl>
      <w:tblPr>
        <w:tblW w:w="9405" w:type="dxa"/>
        <w:jc w:val="center"/>
        <w:tblLayout w:type="fixed"/>
        <w:tblLook w:val="04A0" w:firstRow="1" w:lastRow="0" w:firstColumn="1" w:lastColumn="0" w:noHBand="0" w:noVBand="1"/>
      </w:tblPr>
      <w:tblGrid>
        <w:gridCol w:w="4702"/>
        <w:gridCol w:w="1528"/>
        <w:gridCol w:w="1764"/>
        <w:gridCol w:w="1411"/>
      </w:tblGrid>
      <w:tr w:rsidR="00395D6D" w14:paraId="23B234EA" w14:textId="77777777">
        <w:trPr>
          <w:tblHeader/>
          <w:jc w:val="center"/>
        </w:trPr>
        <w:tc>
          <w:tcPr>
            <w:tcW w:w="470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1D70F07" w14:textId="77777777" w:rsidR="0082643C" w:rsidRDefault="00000000">
            <w:pPr>
              <w:jc w:val="center"/>
            </w:pPr>
            <w:r>
              <w:rPr>
                <w:b/>
                <w:color w:val="FFFFFF"/>
              </w:rPr>
              <w:t>Área</w:t>
            </w:r>
          </w:p>
        </w:tc>
        <w:tc>
          <w:tcPr>
            <w:tcW w:w="152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26830C6" w14:textId="77777777" w:rsidR="0082643C" w:rsidRDefault="00000000">
            <w:pPr>
              <w:jc w:val="center"/>
            </w:pPr>
            <w:r>
              <w:rPr>
                <w:b/>
                <w:color w:val="FFFFFF"/>
              </w:rPr>
              <w:t>Asignaturas</w:t>
            </w:r>
          </w:p>
        </w:tc>
        <w:tc>
          <w:tcPr>
            <w:tcW w:w="176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223DC5E" w14:textId="77777777" w:rsidR="0082643C" w:rsidRDefault="00000000">
            <w:pPr>
              <w:jc w:val="center"/>
            </w:pPr>
            <w:r>
              <w:rPr>
                <w:b/>
                <w:color w:val="FFFFFF"/>
              </w:rPr>
              <w:t>Horas académicas</w:t>
            </w:r>
          </w:p>
        </w:tc>
        <w:tc>
          <w:tcPr>
            <w:tcW w:w="141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4C9FB16" w14:textId="77777777" w:rsidR="0082643C" w:rsidRDefault="00000000">
            <w:pPr>
              <w:jc w:val="center"/>
            </w:pPr>
            <w:r>
              <w:rPr>
                <w:b/>
                <w:color w:val="FFFFFF"/>
              </w:rPr>
              <w:t>%</w:t>
            </w:r>
          </w:p>
        </w:tc>
      </w:tr>
      <w:tr w:rsidR="00395D6D" w14:paraId="236153CC" w14:textId="77777777">
        <w:trPr>
          <w:jc w:val="center"/>
        </w:trPr>
        <w:tc>
          <w:tcPr>
            <w:tcW w:w="4702" w:type="dxa"/>
            <w:tcBorders>
              <w:top w:val="single" w:sz="4" w:space="0" w:color="8EAADB"/>
              <w:left w:val="single" w:sz="4" w:space="0" w:color="8EAADB"/>
              <w:bottom w:val="single" w:sz="4" w:space="0" w:color="8EAADB"/>
              <w:right w:val="single" w:sz="4" w:space="0" w:color="8EAADB"/>
            </w:tcBorders>
            <w:shd w:val="clear" w:color="auto" w:fill="D9E2F3"/>
          </w:tcPr>
          <w:p w14:paraId="06A4B826" w14:textId="77777777" w:rsidR="0082643C" w:rsidRDefault="00000000">
            <w:pPr>
              <w:jc w:val="center"/>
            </w:pPr>
            <w:r>
              <w:rPr>
                <w:b/>
              </w:rPr>
              <w:t>Área</w:t>
            </w:r>
            <w:r w:rsidR="00BE6153">
              <w:rPr>
                <w:b/>
              </w:rPr>
              <w:t xml:space="preserve"> Contable y de Auditoría</w:t>
            </w:r>
          </w:p>
        </w:tc>
        <w:tc>
          <w:tcPr>
            <w:tcW w:w="1528" w:type="dxa"/>
            <w:tcBorders>
              <w:top w:val="single" w:sz="4" w:space="0" w:color="8EAADB"/>
              <w:left w:val="single" w:sz="4" w:space="0" w:color="8EAADB"/>
              <w:bottom w:val="single" w:sz="4" w:space="0" w:color="8EAADB"/>
              <w:right w:val="single" w:sz="4" w:space="0" w:color="8EAADB"/>
            </w:tcBorders>
            <w:shd w:val="clear" w:color="auto" w:fill="D9E2F3"/>
          </w:tcPr>
          <w:p w14:paraId="783933B0" w14:textId="77777777" w:rsidR="0082643C" w:rsidRDefault="00000000">
            <w:pPr>
              <w:jc w:val="center"/>
            </w:pPr>
            <w:r>
              <w:rPr>
                <w:b/>
              </w:rPr>
              <w:t>29</w:t>
            </w:r>
          </w:p>
        </w:tc>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4580D562" w14:textId="77777777" w:rsidR="0082643C" w:rsidRDefault="00000000">
            <w:pPr>
              <w:jc w:val="center"/>
            </w:pPr>
            <w:r>
              <w:rPr>
                <w:b/>
              </w:rPr>
              <w:t>4.000</w:t>
            </w:r>
          </w:p>
        </w:tc>
        <w:tc>
          <w:tcPr>
            <w:tcW w:w="1411" w:type="dxa"/>
            <w:tcBorders>
              <w:top w:val="single" w:sz="4" w:space="0" w:color="8EAADB"/>
              <w:left w:val="single" w:sz="4" w:space="0" w:color="8EAADB"/>
              <w:bottom w:val="single" w:sz="4" w:space="0" w:color="8EAADB"/>
              <w:right w:val="single" w:sz="4" w:space="0" w:color="8EAADB"/>
            </w:tcBorders>
            <w:shd w:val="clear" w:color="auto" w:fill="D9E2F3"/>
          </w:tcPr>
          <w:p w14:paraId="7A86E08C" w14:textId="77777777" w:rsidR="0082643C" w:rsidRDefault="00000000">
            <w:pPr>
              <w:jc w:val="center"/>
            </w:pPr>
            <w:r>
              <w:rPr>
                <w:b/>
              </w:rPr>
              <w:t>66,67</w:t>
            </w:r>
          </w:p>
        </w:tc>
      </w:tr>
      <w:tr w:rsidR="00395D6D" w14:paraId="30C23781" w14:textId="77777777">
        <w:trPr>
          <w:jc w:val="center"/>
        </w:trPr>
        <w:tc>
          <w:tcPr>
            <w:tcW w:w="4702" w:type="dxa"/>
            <w:tcBorders>
              <w:top w:val="single" w:sz="4" w:space="0" w:color="8EAADB"/>
              <w:left w:val="single" w:sz="4" w:space="0" w:color="8EAADB"/>
              <w:bottom w:val="single" w:sz="4" w:space="0" w:color="8EAADB"/>
              <w:right w:val="single" w:sz="4" w:space="0" w:color="8EAADB"/>
            </w:tcBorders>
            <w:shd w:val="clear" w:color="auto" w:fill="D9E2F3"/>
          </w:tcPr>
          <w:p w14:paraId="67D8732D" w14:textId="77777777" w:rsidR="0082643C" w:rsidRDefault="00000000">
            <w:pPr>
              <w:jc w:val="both"/>
            </w:pPr>
            <w:r>
              <w:t>Información Financiera</w:t>
            </w:r>
          </w:p>
        </w:tc>
        <w:tc>
          <w:tcPr>
            <w:tcW w:w="1528" w:type="dxa"/>
            <w:tcBorders>
              <w:top w:val="single" w:sz="4" w:space="0" w:color="8EAADB"/>
              <w:left w:val="single" w:sz="4" w:space="0" w:color="8EAADB"/>
              <w:bottom w:val="single" w:sz="4" w:space="0" w:color="8EAADB"/>
              <w:right w:val="single" w:sz="4" w:space="0" w:color="8EAADB"/>
            </w:tcBorders>
            <w:shd w:val="clear" w:color="auto" w:fill="D9E2F3"/>
          </w:tcPr>
          <w:p w14:paraId="75C77CC8" w14:textId="77777777" w:rsidR="0082643C" w:rsidRDefault="00000000">
            <w:pPr>
              <w:jc w:val="center"/>
            </w:pPr>
            <w:r>
              <w:t>16</w:t>
            </w:r>
          </w:p>
        </w:tc>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010AF308" w14:textId="77777777" w:rsidR="0082643C" w:rsidRDefault="00000000">
            <w:pPr>
              <w:jc w:val="center"/>
            </w:pPr>
            <w:r>
              <w:t>2.400</w:t>
            </w:r>
          </w:p>
        </w:tc>
        <w:tc>
          <w:tcPr>
            <w:tcW w:w="1411" w:type="dxa"/>
            <w:tcBorders>
              <w:top w:val="single" w:sz="4" w:space="0" w:color="8EAADB"/>
              <w:left w:val="single" w:sz="4" w:space="0" w:color="8EAADB"/>
              <w:bottom w:val="single" w:sz="4" w:space="0" w:color="8EAADB"/>
              <w:right w:val="single" w:sz="4" w:space="0" w:color="8EAADB"/>
            </w:tcBorders>
            <w:shd w:val="clear" w:color="auto" w:fill="D9E2F3"/>
          </w:tcPr>
          <w:p w14:paraId="1C1A1C73" w14:textId="77777777" w:rsidR="0082643C" w:rsidRDefault="00000000">
            <w:pPr>
              <w:jc w:val="center"/>
            </w:pPr>
            <w:r>
              <w:t>40,00</w:t>
            </w:r>
          </w:p>
        </w:tc>
      </w:tr>
      <w:tr w:rsidR="00395D6D" w14:paraId="2C4EE6EF" w14:textId="77777777">
        <w:trPr>
          <w:jc w:val="center"/>
        </w:trPr>
        <w:tc>
          <w:tcPr>
            <w:tcW w:w="4702" w:type="dxa"/>
            <w:tcBorders>
              <w:top w:val="single" w:sz="4" w:space="0" w:color="8EAADB"/>
              <w:left w:val="single" w:sz="4" w:space="0" w:color="8EAADB"/>
              <w:bottom w:val="single" w:sz="4" w:space="0" w:color="8EAADB"/>
              <w:right w:val="single" w:sz="4" w:space="0" w:color="8EAADB"/>
            </w:tcBorders>
            <w:shd w:val="clear" w:color="auto" w:fill="D9E2F3"/>
          </w:tcPr>
          <w:p w14:paraId="25D81908" w14:textId="77777777" w:rsidR="0082643C" w:rsidRDefault="00000000">
            <w:pPr>
              <w:jc w:val="both"/>
            </w:pPr>
            <w:r>
              <w:t>Servicios de Aseguramiento</w:t>
            </w:r>
          </w:p>
        </w:tc>
        <w:tc>
          <w:tcPr>
            <w:tcW w:w="1528" w:type="dxa"/>
            <w:tcBorders>
              <w:top w:val="single" w:sz="4" w:space="0" w:color="8EAADB"/>
              <w:left w:val="single" w:sz="4" w:space="0" w:color="8EAADB"/>
              <w:bottom w:val="single" w:sz="4" w:space="0" w:color="8EAADB"/>
              <w:right w:val="single" w:sz="4" w:space="0" w:color="8EAADB"/>
            </w:tcBorders>
            <w:shd w:val="clear" w:color="auto" w:fill="D9E2F3"/>
          </w:tcPr>
          <w:p w14:paraId="6E451CD6" w14:textId="77777777" w:rsidR="0082643C" w:rsidRDefault="00000000">
            <w:pPr>
              <w:jc w:val="center"/>
            </w:pPr>
            <w:r>
              <w:t>13</w:t>
            </w:r>
          </w:p>
        </w:tc>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6C702687" w14:textId="77777777" w:rsidR="0082643C" w:rsidRDefault="00000000">
            <w:pPr>
              <w:jc w:val="center"/>
            </w:pPr>
            <w:r>
              <w:t>1.600</w:t>
            </w:r>
          </w:p>
        </w:tc>
        <w:tc>
          <w:tcPr>
            <w:tcW w:w="1411" w:type="dxa"/>
            <w:tcBorders>
              <w:top w:val="single" w:sz="4" w:space="0" w:color="8EAADB"/>
              <w:left w:val="single" w:sz="4" w:space="0" w:color="8EAADB"/>
              <w:bottom w:val="single" w:sz="4" w:space="0" w:color="8EAADB"/>
              <w:right w:val="single" w:sz="4" w:space="0" w:color="8EAADB"/>
            </w:tcBorders>
            <w:shd w:val="clear" w:color="auto" w:fill="D9E2F3"/>
          </w:tcPr>
          <w:p w14:paraId="2582F71D" w14:textId="77777777" w:rsidR="0082643C" w:rsidRDefault="00000000">
            <w:pPr>
              <w:jc w:val="center"/>
            </w:pPr>
            <w:r>
              <w:t>26,67</w:t>
            </w:r>
          </w:p>
        </w:tc>
      </w:tr>
      <w:tr w:rsidR="00395D6D" w14:paraId="3DA5BCED" w14:textId="77777777">
        <w:trPr>
          <w:jc w:val="center"/>
        </w:trPr>
        <w:tc>
          <w:tcPr>
            <w:tcW w:w="4702" w:type="dxa"/>
            <w:tcBorders>
              <w:top w:val="single" w:sz="4" w:space="0" w:color="8EAADB"/>
              <w:left w:val="single" w:sz="4" w:space="0" w:color="8EAADB"/>
              <w:bottom w:val="single" w:sz="4" w:space="0" w:color="8EAADB"/>
              <w:right w:val="single" w:sz="4" w:space="0" w:color="8EAADB"/>
            </w:tcBorders>
            <w:shd w:val="clear" w:color="auto" w:fill="D9E2F3"/>
          </w:tcPr>
          <w:p w14:paraId="69FE18AB" w14:textId="77777777" w:rsidR="0082643C" w:rsidRDefault="00000000">
            <w:pPr>
              <w:jc w:val="center"/>
            </w:pPr>
            <w:r>
              <w:rPr>
                <w:b/>
              </w:rPr>
              <w:t xml:space="preserve">Área </w:t>
            </w:r>
            <w:r w:rsidR="00BE6153">
              <w:rPr>
                <w:b/>
              </w:rPr>
              <w:t>C</w:t>
            </w:r>
            <w:r>
              <w:rPr>
                <w:b/>
              </w:rPr>
              <w:t>ontextual</w:t>
            </w:r>
          </w:p>
        </w:tc>
        <w:tc>
          <w:tcPr>
            <w:tcW w:w="1528" w:type="dxa"/>
            <w:tcBorders>
              <w:top w:val="single" w:sz="4" w:space="0" w:color="8EAADB"/>
              <w:left w:val="single" w:sz="4" w:space="0" w:color="8EAADB"/>
              <w:bottom w:val="single" w:sz="4" w:space="0" w:color="8EAADB"/>
              <w:right w:val="single" w:sz="4" w:space="0" w:color="8EAADB"/>
            </w:tcBorders>
            <w:shd w:val="clear" w:color="auto" w:fill="D9E2F3"/>
          </w:tcPr>
          <w:p w14:paraId="54053AA7" w14:textId="77777777" w:rsidR="0082643C" w:rsidRDefault="00000000">
            <w:pPr>
              <w:jc w:val="center"/>
            </w:pPr>
            <w:r>
              <w:rPr>
                <w:b/>
              </w:rPr>
              <w:t>14</w:t>
            </w:r>
          </w:p>
        </w:tc>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67A7ED09" w14:textId="77777777" w:rsidR="0082643C" w:rsidRDefault="00000000">
            <w:pPr>
              <w:jc w:val="center"/>
            </w:pPr>
            <w:r>
              <w:rPr>
                <w:b/>
              </w:rPr>
              <w:t>2.000</w:t>
            </w:r>
          </w:p>
        </w:tc>
        <w:tc>
          <w:tcPr>
            <w:tcW w:w="1411" w:type="dxa"/>
            <w:tcBorders>
              <w:top w:val="single" w:sz="4" w:space="0" w:color="8EAADB"/>
              <w:left w:val="single" w:sz="4" w:space="0" w:color="8EAADB"/>
              <w:bottom w:val="single" w:sz="4" w:space="0" w:color="8EAADB"/>
              <w:right w:val="single" w:sz="4" w:space="0" w:color="8EAADB"/>
            </w:tcBorders>
            <w:shd w:val="clear" w:color="auto" w:fill="D9E2F3"/>
          </w:tcPr>
          <w:p w14:paraId="303D6057" w14:textId="77777777" w:rsidR="0082643C" w:rsidRDefault="00000000">
            <w:pPr>
              <w:jc w:val="center"/>
            </w:pPr>
            <w:r>
              <w:rPr>
                <w:b/>
              </w:rPr>
              <w:t>33,33</w:t>
            </w:r>
          </w:p>
        </w:tc>
      </w:tr>
      <w:tr w:rsidR="00395D6D" w14:paraId="5A14E0AF" w14:textId="77777777">
        <w:trPr>
          <w:jc w:val="center"/>
        </w:trPr>
        <w:tc>
          <w:tcPr>
            <w:tcW w:w="4702" w:type="dxa"/>
            <w:tcBorders>
              <w:top w:val="single" w:sz="4" w:space="0" w:color="8EAADB"/>
              <w:left w:val="single" w:sz="4" w:space="0" w:color="8EAADB"/>
              <w:bottom w:val="single" w:sz="4" w:space="0" w:color="8EAADB"/>
              <w:right w:val="single" w:sz="4" w:space="0" w:color="8EAADB"/>
            </w:tcBorders>
            <w:shd w:val="clear" w:color="auto" w:fill="D9E2F3"/>
          </w:tcPr>
          <w:p w14:paraId="1A4DA957" w14:textId="77777777" w:rsidR="0082643C" w:rsidRDefault="00000000">
            <w:pPr>
              <w:jc w:val="both"/>
            </w:pPr>
            <w:r>
              <w:t>Administración</w:t>
            </w:r>
          </w:p>
        </w:tc>
        <w:tc>
          <w:tcPr>
            <w:tcW w:w="1528" w:type="dxa"/>
            <w:tcBorders>
              <w:top w:val="single" w:sz="4" w:space="0" w:color="8EAADB"/>
              <w:left w:val="single" w:sz="4" w:space="0" w:color="8EAADB"/>
              <w:bottom w:val="single" w:sz="4" w:space="0" w:color="8EAADB"/>
              <w:right w:val="single" w:sz="4" w:space="0" w:color="8EAADB"/>
            </w:tcBorders>
            <w:shd w:val="clear" w:color="auto" w:fill="D9E2F3"/>
          </w:tcPr>
          <w:p w14:paraId="30662EE5" w14:textId="77777777" w:rsidR="0082643C" w:rsidRDefault="00000000">
            <w:pPr>
              <w:jc w:val="center"/>
            </w:pPr>
            <w:r>
              <w:t>3</w:t>
            </w:r>
          </w:p>
        </w:tc>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5B21DB2F" w14:textId="77777777" w:rsidR="0082643C" w:rsidRDefault="00000000">
            <w:pPr>
              <w:jc w:val="center"/>
            </w:pPr>
            <w:r>
              <w:t>480</w:t>
            </w:r>
          </w:p>
        </w:tc>
        <w:tc>
          <w:tcPr>
            <w:tcW w:w="1411" w:type="dxa"/>
            <w:tcBorders>
              <w:top w:val="single" w:sz="4" w:space="0" w:color="8EAADB"/>
              <w:left w:val="single" w:sz="4" w:space="0" w:color="8EAADB"/>
              <w:bottom w:val="single" w:sz="4" w:space="0" w:color="8EAADB"/>
              <w:right w:val="single" w:sz="4" w:space="0" w:color="8EAADB"/>
            </w:tcBorders>
            <w:shd w:val="clear" w:color="auto" w:fill="D9E2F3"/>
          </w:tcPr>
          <w:p w14:paraId="3CE28BAB" w14:textId="77777777" w:rsidR="0082643C" w:rsidRDefault="00000000">
            <w:pPr>
              <w:jc w:val="center"/>
            </w:pPr>
            <w:r>
              <w:t>8,00</w:t>
            </w:r>
          </w:p>
        </w:tc>
      </w:tr>
      <w:tr w:rsidR="00395D6D" w14:paraId="23A8D4F4" w14:textId="77777777">
        <w:trPr>
          <w:jc w:val="center"/>
        </w:trPr>
        <w:tc>
          <w:tcPr>
            <w:tcW w:w="4702" w:type="dxa"/>
            <w:tcBorders>
              <w:top w:val="single" w:sz="4" w:space="0" w:color="8EAADB"/>
              <w:left w:val="single" w:sz="4" w:space="0" w:color="8EAADB"/>
              <w:bottom w:val="single" w:sz="4" w:space="0" w:color="8EAADB"/>
              <w:right w:val="single" w:sz="4" w:space="0" w:color="8EAADB"/>
            </w:tcBorders>
            <w:shd w:val="clear" w:color="auto" w:fill="D9E2F3"/>
          </w:tcPr>
          <w:p w14:paraId="6DFC70F0" w14:textId="77777777" w:rsidR="0082643C" w:rsidRDefault="00000000">
            <w:pPr>
              <w:jc w:val="both"/>
            </w:pPr>
            <w:r>
              <w:t>Derecho</w:t>
            </w:r>
          </w:p>
        </w:tc>
        <w:tc>
          <w:tcPr>
            <w:tcW w:w="1528" w:type="dxa"/>
            <w:tcBorders>
              <w:top w:val="single" w:sz="4" w:space="0" w:color="8EAADB"/>
              <w:left w:val="single" w:sz="4" w:space="0" w:color="8EAADB"/>
              <w:bottom w:val="single" w:sz="4" w:space="0" w:color="8EAADB"/>
              <w:right w:val="single" w:sz="4" w:space="0" w:color="8EAADB"/>
            </w:tcBorders>
            <w:shd w:val="clear" w:color="auto" w:fill="D9E2F3"/>
          </w:tcPr>
          <w:p w14:paraId="08859F73" w14:textId="77777777" w:rsidR="0082643C" w:rsidRDefault="00000000">
            <w:pPr>
              <w:jc w:val="center"/>
            </w:pPr>
            <w:r>
              <w:t>3</w:t>
            </w:r>
          </w:p>
        </w:tc>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0942C6C9" w14:textId="77777777" w:rsidR="0082643C" w:rsidRDefault="00000000">
            <w:pPr>
              <w:jc w:val="center"/>
            </w:pPr>
            <w:r>
              <w:t>320</w:t>
            </w:r>
          </w:p>
        </w:tc>
        <w:tc>
          <w:tcPr>
            <w:tcW w:w="1411" w:type="dxa"/>
            <w:tcBorders>
              <w:top w:val="single" w:sz="4" w:space="0" w:color="8EAADB"/>
              <w:left w:val="single" w:sz="4" w:space="0" w:color="8EAADB"/>
              <w:bottom w:val="single" w:sz="4" w:space="0" w:color="8EAADB"/>
              <w:right w:val="single" w:sz="4" w:space="0" w:color="8EAADB"/>
            </w:tcBorders>
            <w:shd w:val="clear" w:color="auto" w:fill="D9E2F3"/>
          </w:tcPr>
          <w:p w14:paraId="61D0D5D9" w14:textId="77777777" w:rsidR="0082643C" w:rsidRDefault="00000000">
            <w:pPr>
              <w:jc w:val="center"/>
            </w:pPr>
            <w:r>
              <w:t>5,33</w:t>
            </w:r>
          </w:p>
        </w:tc>
      </w:tr>
      <w:tr w:rsidR="00395D6D" w14:paraId="11B1F0AC" w14:textId="77777777">
        <w:trPr>
          <w:jc w:val="center"/>
        </w:trPr>
        <w:tc>
          <w:tcPr>
            <w:tcW w:w="4702" w:type="dxa"/>
            <w:tcBorders>
              <w:top w:val="single" w:sz="4" w:space="0" w:color="8EAADB"/>
              <w:left w:val="single" w:sz="4" w:space="0" w:color="8EAADB"/>
              <w:bottom w:val="single" w:sz="4" w:space="0" w:color="8EAADB"/>
              <w:right w:val="single" w:sz="4" w:space="0" w:color="8EAADB"/>
            </w:tcBorders>
            <w:shd w:val="clear" w:color="auto" w:fill="D9E2F3"/>
          </w:tcPr>
          <w:p w14:paraId="1EFE566E" w14:textId="77777777" w:rsidR="0082643C" w:rsidRDefault="00000000">
            <w:pPr>
              <w:jc w:val="both"/>
            </w:pPr>
            <w:r>
              <w:t>Economía</w:t>
            </w:r>
          </w:p>
        </w:tc>
        <w:tc>
          <w:tcPr>
            <w:tcW w:w="1528" w:type="dxa"/>
            <w:tcBorders>
              <w:top w:val="single" w:sz="4" w:space="0" w:color="8EAADB"/>
              <w:left w:val="single" w:sz="4" w:space="0" w:color="8EAADB"/>
              <w:bottom w:val="single" w:sz="4" w:space="0" w:color="8EAADB"/>
              <w:right w:val="single" w:sz="4" w:space="0" w:color="8EAADB"/>
            </w:tcBorders>
            <w:shd w:val="clear" w:color="auto" w:fill="D9E2F3"/>
          </w:tcPr>
          <w:p w14:paraId="1E467FDF" w14:textId="77777777" w:rsidR="0082643C" w:rsidRDefault="00000000">
            <w:pPr>
              <w:jc w:val="center"/>
            </w:pPr>
            <w:r>
              <w:t>3</w:t>
            </w:r>
          </w:p>
        </w:tc>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11A4538C" w14:textId="77777777" w:rsidR="0082643C" w:rsidRDefault="00000000">
            <w:pPr>
              <w:jc w:val="center"/>
            </w:pPr>
            <w:r>
              <w:t>480</w:t>
            </w:r>
          </w:p>
        </w:tc>
        <w:tc>
          <w:tcPr>
            <w:tcW w:w="1411" w:type="dxa"/>
            <w:tcBorders>
              <w:top w:val="single" w:sz="4" w:space="0" w:color="8EAADB"/>
              <w:left w:val="single" w:sz="4" w:space="0" w:color="8EAADB"/>
              <w:bottom w:val="single" w:sz="4" w:space="0" w:color="8EAADB"/>
              <w:right w:val="single" w:sz="4" w:space="0" w:color="8EAADB"/>
            </w:tcBorders>
            <w:shd w:val="clear" w:color="auto" w:fill="D9E2F3"/>
          </w:tcPr>
          <w:p w14:paraId="6825EAEA" w14:textId="77777777" w:rsidR="0082643C" w:rsidRDefault="00000000">
            <w:pPr>
              <w:jc w:val="center"/>
            </w:pPr>
            <w:r>
              <w:t>8,00</w:t>
            </w:r>
          </w:p>
        </w:tc>
      </w:tr>
      <w:tr w:rsidR="00395D6D" w14:paraId="69E0F597" w14:textId="77777777">
        <w:trPr>
          <w:jc w:val="center"/>
        </w:trPr>
        <w:tc>
          <w:tcPr>
            <w:tcW w:w="4702" w:type="dxa"/>
            <w:tcBorders>
              <w:top w:val="single" w:sz="4" w:space="0" w:color="8EAADB"/>
              <w:left w:val="single" w:sz="4" w:space="0" w:color="8EAADB"/>
              <w:bottom w:val="single" w:sz="4" w:space="0" w:color="8EAADB"/>
              <w:right w:val="single" w:sz="4" w:space="0" w:color="8EAADB"/>
            </w:tcBorders>
            <w:shd w:val="clear" w:color="auto" w:fill="D9E2F3"/>
          </w:tcPr>
          <w:p w14:paraId="726AABE8" w14:textId="77777777" w:rsidR="0082643C" w:rsidRDefault="00000000">
            <w:pPr>
              <w:jc w:val="both"/>
            </w:pPr>
            <w:r>
              <w:t>Matemáticas</w:t>
            </w:r>
          </w:p>
        </w:tc>
        <w:tc>
          <w:tcPr>
            <w:tcW w:w="1528" w:type="dxa"/>
            <w:tcBorders>
              <w:top w:val="single" w:sz="4" w:space="0" w:color="8EAADB"/>
              <w:left w:val="single" w:sz="4" w:space="0" w:color="8EAADB"/>
              <w:bottom w:val="single" w:sz="4" w:space="0" w:color="8EAADB"/>
              <w:right w:val="single" w:sz="4" w:space="0" w:color="8EAADB"/>
            </w:tcBorders>
            <w:shd w:val="clear" w:color="auto" w:fill="D9E2F3"/>
          </w:tcPr>
          <w:p w14:paraId="0151D0AE" w14:textId="77777777" w:rsidR="0082643C" w:rsidRDefault="00000000">
            <w:pPr>
              <w:jc w:val="center"/>
            </w:pPr>
            <w:r>
              <w:t>5</w:t>
            </w:r>
          </w:p>
        </w:tc>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3ABF5E2E" w14:textId="77777777" w:rsidR="0082643C" w:rsidRDefault="00000000">
            <w:pPr>
              <w:jc w:val="center"/>
            </w:pPr>
            <w:r>
              <w:t>720</w:t>
            </w:r>
          </w:p>
        </w:tc>
        <w:tc>
          <w:tcPr>
            <w:tcW w:w="1411" w:type="dxa"/>
            <w:tcBorders>
              <w:top w:val="single" w:sz="4" w:space="0" w:color="8EAADB"/>
              <w:left w:val="single" w:sz="4" w:space="0" w:color="8EAADB"/>
              <w:bottom w:val="single" w:sz="4" w:space="0" w:color="8EAADB"/>
              <w:right w:val="single" w:sz="4" w:space="0" w:color="8EAADB"/>
            </w:tcBorders>
            <w:shd w:val="clear" w:color="auto" w:fill="D9E2F3"/>
          </w:tcPr>
          <w:p w14:paraId="5A8CE2AD" w14:textId="77777777" w:rsidR="0082643C" w:rsidRDefault="00000000">
            <w:pPr>
              <w:jc w:val="center"/>
            </w:pPr>
            <w:r>
              <w:t>12,00</w:t>
            </w:r>
          </w:p>
        </w:tc>
      </w:tr>
      <w:tr w:rsidR="00395D6D" w14:paraId="56A022D7" w14:textId="77777777">
        <w:trPr>
          <w:jc w:val="center"/>
        </w:trPr>
        <w:tc>
          <w:tcPr>
            <w:tcW w:w="4702" w:type="dxa"/>
            <w:tcBorders>
              <w:top w:val="single" w:sz="4" w:space="0" w:color="8EAADB"/>
              <w:left w:val="single" w:sz="4" w:space="0" w:color="8EAADB"/>
              <w:bottom w:val="single" w:sz="4" w:space="0" w:color="8EAADB"/>
              <w:right w:val="single" w:sz="4" w:space="0" w:color="8EAADB"/>
            </w:tcBorders>
            <w:shd w:val="clear" w:color="auto" w:fill="D9E2F3"/>
          </w:tcPr>
          <w:p w14:paraId="763A8D86" w14:textId="77777777" w:rsidR="0082643C" w:rsidRDefault="00000000">
            <w:pPr>
              <w:jc w:val="center"/>
            </w:pPr>
            <w:r>
              <w:rPr>
                <w:b/>
              </w:rPr>
              <w:t>Total</w:t>
            </w:r>
          </w:p>
        </w:tc>
        <w:tc>
          <w:tcPr>
            <w:tcW w:w="1528" w:type="dxa"/>
            <w:tcBorders>
              <w:top w:val="single" w:sz="4" w:space="0" w:color="8EAADB"/>
              <w:left w:val="single" w:sz="4" w:space="0" w:color="8EAADB"/>
              <w:bottom w:val="single" w:sz="4" w:space="0" w:color="8EAADB"/>
              <w:right w:val="single" w:sz="4" w:space="0" w:color="8EAADB"/>
            </w:tcBorders>
            <w:shd w:val="clear" w:color="auto" w:fill="D9E2F3"/>
          </w:tcPr>
          <w:p w14:paraId="3F544E8F" w14:textId="77777777" w:rsidR="0082643C" w:rsidRDefault="00000000">
            <w:pPr>
              <w:jc w:val="center"/>
            </w:pPr>
            <w:r>
              <w:rPr>
                <w:b/>
              </w:rPr>
              <w:t>43</w:t>
            </w:r>
          </w:p>
        </w:tc>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2056879D" w14:textId="77777777" w:rsidR="0082643C" w:rsidRDefault="00000000">
            <w:pPr>
              <w:jc w:val="center"/>
            </w:pPr>
            <w:r>
              <w:rPr>
                <w:b/>
              </w:rPr>
              <w:t>6.000</w:t>
            </w:r>
          </w:p>
        </w:tc>
        <w:tc>
          <w:tcPr>
            <w:tcW w:w="1411" w:type="dxa"/>
            <w:tcBorders>
              <w:top w:val="single" w:sz="4" w:space="0" w:color="8EAADB"/>
              <w:left w:val="single" w:sz="4" w:space="0" w:color="8EAADB"/>
              <w:bottom w:val="single" w:sz="4" w:space="0" w:color="8EAADB"/>
              <w:right w:val="single" w:sz="4" w:space="0" w:color="8EAADB"/>
            </w:tcBorders>
            <w:shd w:val="clear" w:color="auto" w:fill="D9E2F3"/>
          </w:tcPr>
          <w:p w14:paraId="329D4656" w14:textId="77777777" w:rsidR="0082643C" w:rsidRDefault="00000000">
            <w:pPr>
              <w:jc w:val="center"/>
            </w:pPr>
            <w:r>
              <w:rPr>
                <w:b/>
              </w:rPr>
              <w:t>100,00</w:t>
            </w:r>
          </w:p>
        </w:tc>
      </w:tr>
    </w:tbl>
    <w:p w14:paraId="58656487" w14:textId="77777777" w:rsidR="0082643C" w:rsidRDefault="0082643C">
      <w:pPr>
        <w:spacing w:after="120"/>
      </w:pPr>
    </w:p>
    <w:p w14:paraId="44CE6164" w14:textId="77777777" w:rsidR="0082643C" w:rsidRDefault="00000000">
      <w:pPr>
        <w:spacing w:after="200"/>
        <w:jc w:val="both"/>
      </w:pPr>
      <w:r>
        <w:rPr>
          <w:b/>
        </w:rPr>
        <w:t>Área Contable y de Auditoría</w:t>
      </w:r>
    </w:p>
    <w:p w14:paraId="3C7B04B5" w14:textId="77777777" w:rsidR="0082643C" w:rsidRDefault="00000000">
      <w:pPr>
        <w:numPr>
          <w:ilvl w:val="0"/>
          <w:numId w:val="41"/>
        </w:numPr>
        <w:spacing w:after="160"/>
        <w:jc w:val="both"/>
      </w:pPr>
      <w:r>
        <w:rPr>
          <w:b/>
        </w:rPr>
        <w:t>Información Financiera:</w:t>
      </w:r>
      <w:r>
        <w:t xml:space="preserve"> desarrolla las competencias para diseñar, operar y evaluar sistemas contables orientados a la preparación de estados financieros e informes de gestión en los sectores comercial, industrial, extractivo, agropecuario, financiero, de seguros y gubernamental. Incluye los sistemas de gestión empresarial, el análisis de datos contables, las finanzas corporativas y la investigación formativa.</w:t>
      </w:r>
    </w:p>
    <w:p w14:paraId="56706340" w14:textId="77777777" w:rsidR="0082643C" w:rsidRDefault="00000000">
      <w:pPr>
        <w:numPr>
          <w:ilvl w:val="0"/>
          <w:numId w:val="41"/>
        </w:numPr>
        <w:spacing w:after="200"/>
        <w:jc w:val="both"/>
      </w:pPr>
      <w:r>
        <w:rPr>
          <w:b/>
        </w:rPr>
        <w:t>Servicios de Aseguramiento:</w:t>
      </w:r>
      <w:r>
        <w:t xml:space="preserve"> proporciona la formación en teoría del aseguramiento, control interno y auditoría financiera, gubernamental, operativa, tributaria, digital, ambiental y de sostenibilidad, forense, de proyectos y de entidades financieras, complementada con la ética e independencia profesional y el taller de grado.</w:t>
      </w:r>
    </w:p>
    <w:p w14:paraId="309C83BD" w14:textId="77777777" w:rsidR="0082643C" w:rsidRDefault="00000000">
      <w:pPr>
        <w:spacing w:after="200"/>
        <w:jc w:val="both"/>
      </w:pPr>
      <w:r>
        <w:rPr>
          <w:b/>
        </w:rPr>
        <w:t>Área Contextual:</w:t>
      </w:r>
    </w:p>
    <w:p w14:paraId="7F76BC4D" w14:textId="77777777" w:rsidR="0082643C" w:rsidRDefault="00000000">
      <w:pPr>
        <w:numPr>
          <w:ilvl w:val="0"/>
          <w:numId w:val="42"/>
        </w:numPr>
        <w:spacing w:after="160"/>
        <w:jc w:val="both"/>
      </w:pPr>
      <w:r>
        <w:rPr>
          <w:b/>
        </w:rPr>
        <w:t>Administración:</w:t>
      </w:r>
      <w:r>
        <w:t xml:space="preserve"> aporta la comprensión del comportamiento organizacional, la teoría administrativa, los sistemas gerenciales y la toma de decisiones.</w:t>
      </w:r>
    </w:p>
    <w:p w14:paraId="0922E397" w14:textId="77777777" w:rsidR="0082643C" w:rsidRDefault="00000000">
      <w:pPr>
        <w:numPr>
          <w:ilvl w:val="0"/>
          <w:numId w:val="42"/>
        </w:numPr>
        <w:spacing w:after="160"/>
        <w:jc w:val="both"/>
      </w:pPr>
      <w:r>
        <w:rPr>
          <w:b/>
        </w:rPr>
        <w:t>Derecho:</w:t>
      </w:r>
      <w:r>
        <w:t xml:space="preserve"> brinda el sustento jurídico en derecho comercial, corporativo, laboral, de seguridad social, tributario y aduanero.</w:t>
      </w:r>
    </w:p>
    <w:p w14:paraId="1A81D706" w14:textId="77777777" w:rsidR="0082643C" w:rsidRDefault="00000000">
      <w:pPr>
        <w:numPr>
          <w:ilvl w:val="0"/>
          <w:numId w:val="42"/>
        </w:numPr>
        <w:spacing w:after="160"/>
        <w:jc w:val="both"/>
      </w:pPr>
      <w:r>
        <w:rPr>
          <w:b/>
        </w:rPr>
        <w:t>Economía:</w:t>
      </w:r>
      <w:r>
        <w:t xml:space="preserve"> proporciona el análisis microeconómico y macroeconómico y la formulación y evaluación de proyectos de inversión.</w:t>
      </w:r>
    </w:p>
    <w:p w14:paraId="0222B961" w14:textId="77777777" w:rsidR="0082643C" w:rsidRDefault="00000000">
      <w:pPr>
        <w:numPr>
          <w:ilvl w:val="0"/>
          <w:numId w:val="42"/>
        </w:numPr>
        <w:spacing w:after="200"/>
        <w:jc w:val="both"/>
      </w:pPr>
      <w:r>
        <w:rPr>
          <w:b/>
        </w:rPr>
        <w:t>Matemáticas:</w:t>
      </w:r>
      <w:r>
        <w:t xml:space="preserve"> desarrolla el razonamiento lógico deductivo mediante el cálculo, el álgebra lineal, la programación operativa, las matemáticas financieras, la estadística y la matemática actuarial.</w:t>
      </w:r>
    </w:p>
    <w:p w14:paraId="092E7A8F" w14:textId="77777777" w:rsidR="0082643C" w:rsidRDefault="00000000">
      <w:pPr>
        <w:keepNext/>
        <w:spacing w:before="40" w:after="200"/>
      </w:pPr>
      <w:r>
        <w:rPr>
          <w:b/>
          <w:sz w:val="22"/>
        </w:rPr>
        <w:lastRenderedPageBreak/>
        <w:t>Ejes transversales</w:t>
      </w:r>
    </w:p>
    <w:p w14:paraId="57207BE5" w14:textId="77777777" w:rsidR="0082643C" w:rsidRDefault="00000000">
      <w:pPr>
        <w:spacing w:after="200"/>
        <w:jc w:val="both"/>
      </w:pPr>
      <w:r>
        <w:t>La malla articula ejes transversales que recorren los cinco años de formación y que se concretan en asignaturas específicas:</w:t>
      </w:r>
    </w:p>
    <w:p w14:paraId="143DD6A7" w14:textId="77777777" w:rsidR="0082643C" w:rsidRDefault="00000000">
      <w:pPr>
        <w:pStyle w:val="TituloCuadro"/>
        <w:keepNext/>
        <w:spacing w:before="40" w:after="80"/>
        <w:jc w:val="center"/>
      </w:pPr>
      <w:bookmarkStart w:id="132" w:name="_Toc000000330"/>
      <w:r>
        <w:rPr>
          <w:b/>
        </w:rPr>
        <w:t xml:space="preserve">Cuadro 2. Ejes transversales del </w:t>
      </w:r>
      <w:r w:rsidR="00BE6153">
        <w:rPr>
          <w:b/>
        </w:rPr>
        <w:t>Rediseño Curricular</w:t>
      </w:r>
      <w:bookmarkEnd w:id="132"/>
    </w:p>
    <w:tbl>
      <w:tblPr>
        <w:tblW w:w="9405" w:type="dxa"/>
        <w:jc w:val="center"/>
        <w:tblLayout w:type="fixed"/>
        <w:tblLook w:val="04A0" w:firstRow="1" w:lastRow="0" w:firstColumn="1" w:lastColumn="0" w:noHBand="0" w:noVBand="1"/>
      </w:tblPr>
      <w:tblGrid>
        <w:gridCol w:w="3233"/>
        <w:gridCol w:w="6172"/>
      </w:tblGrid>
      <w:tr w:rsidR="00395D6D" w14:paraId="1422B2E7" w14:textId="77777777">
        <w:trPr>
          <w:tblHeader/>
          <w:jc w:val="center"/>
        </w:trPr>
        <w:tc>
          <w:tcPr>
            <w:tcW w:w="323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3608063" w14:textId="77777777" w:rsidR="0082643C" w:rsidRDefault="00000000">
            <w:pPr>
              <w:jc w:val="center"/>
            </w:pPr>
            <w:r>
              <w:rPr>
                <w:b/>
                <w:color w:val="FFFFFF"/>
              </w:rPr>
              <w:t>Eje</w:t>
            </w:r>
          </w:p>
        </w:tc>
        <w:tc>
          <w:tcPr>
            <w:tcW w:w="617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82A26E3" w14:textId="77777777" w:rsidR="0082643C" w:rsidRDefault="00000000">
            <w:pPr>
              <w:jc w:val="center"/>
            </w:pPr>
            <w:r>
              <w:rPr>
                <w:b/>
                <w:color w:val="FFFFFF"/>
              </w:rPr>
              <w:t>Aplicación</w:t>
            </w:r>
          </w:p>
        </w:tc>
      </w:tr>
      <w:tr w:rsidR="00395D6D" w14:paraId="1FFD1AF8" w14:textId="77777777">
        <w:trPr>
          <w:jc w:val="center"/>
        </w:trPr>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1235F2A1" w14:textId="77777777" w:rsidR="0082643C" w:rsidRDefault="00000000">
            <w:pPr>
              <w:jc w:val="both"/>
            </w:pPr>
            <w:r>
              <w:t>Ética profesional e interés público</w:t>
            </w:r>
          </w:p>
        </w:tc>
        <w:tc>
          <w:tcPr>
            <w:tcW w:w="6172" w:type="dxa"/>
            <w:tcBorders>
              <w:top w:val="single" w:sz="4" w:space="0" w:color="8EAADB"/>
              <w:left w:val="single" w:sz="4" w:space="0" w:color="8EAADB"/>
              <w:bottom w:val="single" w:sz="4" w:space="0" w:color="8EAADB"/>
              <w:right w:val="single" w:sz="4" w:space="0" w:color="8EAADB"/>
            </w:tcBorders>
            <w:shd w:val="clear" w:color="auto" w:fill="D9E2F3"/>
          </w:tcPr>
          <w:p w14:paraId="3AA9D27F" w14:textId="77777777" w:rsidR="0082643C" w:rsidRDefault="00000000">
            <w:pPr>
              <w:jc w:val="both"/>
            </w:pPr>
            <w:r>
              <w:t>CPA-406 Ética e Independencia Profesional, con evaluación de los principios del Código del IESBA en todas las asignaturas</w:t>
            </w:r>
          </w:p>
        </w:tc>
      </w:tr>
      <w:tr w:rsidR="00395D6D" w14:paraId="4ADD4974" w14:textId="77777777">
        <w:trPr>
          <w:jc w:val="center"/>
        </w:trPr>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4C0064D9" w14:textId="77777777" w:rsidR="0082643C" w:rsidRDefault="00000000">
            <w:pPr>
              <w:jc w:val="both"/>
            </w:pPr>
            <w:r>
              <w:t>Transformación digital, analítica de datos e inteligencia artificial</w:t>
            </w:r>
          </w:p>
        </w:tc>
        <w:tc>
          <w:tcPr>
            <w:tcW w:w="6172" w:type="dxa"/>
            <w:tcBorders>
              <w:top w:val="single" w:sz="4" w:space="0" w:color="8EAADB"/>
              <w:left w:val="single" w:sz="4" w:space="0" w:color="8EAADB"/>
              <w:bottom w:val="single" w:sz="4" w:space="0" w:color="8EAADB"/>
              <w:right w:val="single" w:sz="4" w:space="0" w:color="8EAADB"/>
            </w:tcBorders>
            <w:shd w:val="clear" w:color="auto" w:fill="D9E2F3"/>
          </w:tcPr>
          <w:p w14:paraId="4629C0FB" w14:textId="77777777" w:rsidR="0082643C" w:rsidRDefault="00000000">
            <w:pPr>
              <w:jc w:val="both"/>
            </w:pPr>
            <w:r>
              <w:t>CPA-102 Tecnologías de Información y Herramientas Digitales, CPA-305 Sistemas Contables ERP y Análisis de Datos, CPA-404 Diseño e Implantación de Sistemas de Contabilidad y CPA-505 Auditoría Digital, Ciberseguridad y Tecnologías Emergentes</w:t>
            </w:r>
          </w:p>
        </w:tc>
      </w:tr>
      <w:tr w:rsidR="00395D6D" w14:paraId="6CC31098" w14:textId="77777777">
        <w:trPr>
          <w:jc w:val="center"/>
        </w:trPr>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2657D30A" w14:textId="77777777" w:rsidR="0082643C" w:rsidRDefault="00000000">
            <w:pPr>
              <w:jc w:val="both"/>
            </w:pPr>
            <w:r>
              <w:t>Sostenibilidad</w:t>
            </w:r>
          </w:p>
        </w:tc>
        <w:tc>
          <w:tcPr>
            <w:tcW w:w="6172" w:type="dxa"/>
            <w:tcBorders>
              <w:top w:val="single" w:sz="4" w:space="0" w:color="8EAADB"/>
              <w:left w:val="single" w:sz="4" w:space="0" w:color="8EAADB"/>
              <w:bottom w:val="single" w:sz="4" w:space="0" w:color="8EAADB"/>
              <w:right w:val="single" w:sz="4" w:space="0" w:color="8EAADB"/>
            </w:tcBorders>
            <w:shd w:val="clear" w:color="auto" w:fill="D9E2F3"/>
          </w:tcPr>
          <w:p w14:paraId="1247EFB1" w14:textId="77777777" w:rsidR="0082643C" w:rsidRDefault="00000000">
            <w:pPr>
              <w:jc w:val="both"/>
            </w:pPr>
            <w:r>
              <w:t>CPA-506 Reportes y Aseguramiento de Sostenibilidad y Auditoría Ambiental, y contenidos de contabilidad de gestión</w:t>
            </w:r>
          </w:p>
        </w:tc>
      </w:tr>
      <w:tr w:rsidR="00395D6D" w14:paraId="5C33CDB2" w14:textId="77777777">
        <w:trPr>
          <w:jc w:val="center"/>
        </w:trPr>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1260995F" w14:textId="77777777" w:rsidR="00BE6153" w:rsidRDefault="00000000" w:rsidP="00BE6153">
            <w:pPr>
              <w:jc w:val="both"/>
            </w:pPr>
            <w:r>
              <w:t>Investigación formativa e interacción social</w:t>
            </w:r>
          </w:p>
        </w:tc>
        <w:tc>
          <w:tcPr>
            <w:tcW w:w="6172" w:type="dxa"/>
            <w:tcBorders>
              <w:top w:val="single" w:sz="4" w:space="0" w:color="8EAADB"/>
              <w:left w:val="single" w:sz="4" w:space="0" w:color="8EAADB"/>
              <w:bottom w:val="single" w:sz="4" w:space="0" w:color="8EAADB"/>
              <w:right w:val="single" w:sz="4" w:space="0" w:color="8EAADB"/>
            </w:tcBorders>
            <w:shd w:val="clear" w:color="auto" w:fill="D9E2F3"/>
          </w:tcPr>
          <w:p w14:paraId="1EE8989F" w14:textId="77777777" w:rsidR="00BE6153" w:rsidRDefault="00000000" w:rsidP="00BE6153">
            <w:pPr>
              <w:jc w:val="both"/>
            </w:pPr>
            <w:r>
              <w:t>CPA-204 Métodos y Técnicas de Investigación y CPA-510 Taller de Grado, con proyectos de interacción social y prácticas preprofesionales</w:t>
            </w:r>
          </w:p>
        </w:tc>
      </w:tr>
      <w:tr w:rsidR="00395D6D" w14:paraId="086716EE" w14:textId="77777777">
        <w:trPr>
          <w:jc w:val="center"/>
        </w:trPr>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4A671FDF" w14:textId="77777777" w:rsidR="00BE6153" w:rsidRDefault="00000000" w:rsidP="00BE6153">
            <w:pPr>
              <w:jc w:val="both"/>
            </w:pPr>
            <w:r>
              <w:t>Idioma Inglés (*)</w:t>
            </w:r>
          </w:p>
        </w:tc>
        <w:tc>
          <w:tcPr>
            <w:tcW w:w="6172" w:type="dxa"/>
            <w:tcBorders>
              <w:top w:val="single" w:sz="4" w:space="0" w:color="8EAADB"/>
              <w:left w:val="single" w:sz="4" w:space="0" w:color="8EAADB"/>
              <w:bottom w:val="single" w:sz="4" w:space="0" w:color="8EAADB"/>
              <w:right w:val="single" w:sz="4" w:space="0" w:color="8EAADB"/>
            </w:tcBorders>
            <w:shd w:val="clear" w:color="auto" w:fill="D9E2F3"/>
          </w:tcPr>
          <w:p w14:paraId="713E91AA" w14:textId="77777777" w:rsidR="00BE6153" w:rsidRDefault="00000000" w:rsidP="00BE6153">
            <w:pPr>
              <w:jc w:val="both"/>
            </w:pPr>
            <w:r>
              <w:t>Requisito de egreso de idioma inglés acreditado nivel B2 mediante certificación del Instituto de Idiomas de la UMSA o de una institución reconocida por convenio con la Carrera, o examen de suficiencia.</w:t>
            </w:r>
          </w:p>
        </w:tc>
      </w:tr>
    </w:tbl>
    <w:p w14:paraId="75E758C9" w14:textId="77777777" w:rsidR="0082643C" w:rsidRDefault="00000000">
      <w:pPr>
        <w:spacing w:after="120"/>
      </w:pPr>
      <w:r>
        <w:t>(*) El idioma inglés no es parte de las 6.000 horas académicas del plan, que son el máximo del Artículo 28 del Reglamento General de Títulos y Grados. Se acredita como requisito de egreso antes de la emisión del certificado de conclusión de estudios.</w:t>
      </w:r>
    </w:p>
    <w:p w14:paraId="47461D4A" w14:textId="77777777" w:rsidR="0082643C" w:rsidRDefault="00000000">
      <w:pPr>
        <w:keepNext/>
        <w:tabs>
          <w:tab w:val="left" w:pos="709"/>
        </w:tabs>
        <w:spacing w:before="80" w:after="200"/>
        <w:ind w:left="709" w:hanging="709"/>
        <w:outlineLvl w:val="2"/>
      </w:pPr>
      <w:bookmarkStart w:id="133" w:name="_Toc000000082"/>
      <w:r>
        <w:rPr>
          <w:b/>
          <w:sz w:val="22"/>
        </w:rPr>
        <w:t>4.4.2</w:t>
      </w:r>
      <w:r>
        <w:rPr>
          <w:b/>
          <w:sz w:val="22"/>
        </w:rPr>
        <w:tab/>
        <w:t>Mapa de competencia (competencia y unidades de competencia)</w:t>
      </w:r>
      <w:bookmarkEnd w:id="133"/>
    </w:p>
    <w:p w14:paraId="67DE8CE7" w14:textId="77777777" w:rsidR="0082643C" w:rsidRDefault="00000000">
      <w:pPr>
        <w:spacing w:after="200"/>
        <w:jc w:val="both"/>
      </w:pPr>
      <w:r>
        <w:t>El mapa de competencias parte de la competencia global de la Carrera, expresada en el perfil profesional del punto 4.2.7, y la desagrega en competencias por área de conocimiento, desarrolladas por las asignaturas de cada área. La unidad de competencia y los elementos de competencia de cada asignatura se establecen en los planes de asignatura del punto 4.5, conforme al Artículo 9 de la Resolución HCU N.º 032/2025.</w:t>
      </w:r>
    </w:p>
    <w:tbl>
      <w:tblPr>
        <w:tblW w:w="9405" w:type="dxa"/>
        <w:jc w:val="center"/>
        <w:tblLook w:val="04A0" w:firstRow="1" w:lastRow="0" w:firstColumn="1" w:lastColumn="0" w:noHBand="0" w:noVBand="1"/>
      </w:tblPr>
      <w:tblGrid>
        <w:gridCol w:w="9405"/>
      </w:tblGrid>
      <w:tr w:rsidR="00395D6D" w14:paraId="7869581E" w14:textId="77777777">
        <w:trPr>
          <w:jc w:val="center"/>
        </w:trPr>
        <w:tc>
          <w:tcPr>
            <w:tcW w:w="9405" w:type="dxa"/>
            <w:tcBorders>
              <w:top w:val="single" w:sz="6" w:space="0" w:color="404040"/>
              <w:left w:val="single" w:sz="6" w:space="0" w:color="404040"/>
              <w:bottom w:val="single" w:sz="6" w:space="0" w:color="404040"/>
              <w:right w:val="single" w:sz="6" w:space="0" w:color="404040"/>
            </w:tcBorders>
            <w:tcMar>
              <w:top w:w="140" w:type="dxa"/>
              <w:left w:w="140" w:type="dxa"/>
              <w:bottom w:w="140" w:type="dxa"/>
              <w:right w:w="140" w:type="dxa"/>
            </w:tcMar>
          </w:tcPr>
          <w:p w14:paraId="5FD05EC5" w14:textId="77777777" w:rsidR="0082643C" w:rsidRDefault="00000000">
            <w:pPr>
              <w:spacing w:before="60" w:after="60"/>
              <w:jc w:val="center"/>
            </w:pPr>
            <w:r>
              <w:rPr>
                <w:b/>
              </w:rPr>
              <w:t>Competencia global de la Carrera</w:t>
            </w:r>
          </w:p>
          <w:p w14:paraId="57D09823" w14:textId="77777777" w:rsidR="0082643C" w:rsidRDefault="00000000">
            <w:pPr>
              <w:spacing w:before="60" w:after="60"/>
              <w:jc w:val="center"/>
            </w:pPr>
            <w:r>
              <w:t xml:space="preserve">Diseña, opera, evalúa y audita sistemas integrados de información económica, financiera y no financiera de organizaciones públicas, privadas y mixtas, aplicando estándares nacionales e internacionales y tecnologías emergentes, para preparar, asegurar y analizar información confiable que respalde la toma de decisiones, con juicio crítico, ética profesional conforme al Código del IESBA </w:t>
            </w:r>
            <w:r w:rsidR="00BE6153">
              <w:t xml:space="preserve">y el Código de Ética del Auditor Gubernamental </w:t>
            </w:r>
            <w:r>
              <w:t>y compromiso con el interés público.</w:t>
            </w:r>
          </w:p>
        </w:tc>
      </w:tr>
    </w:tbl>
    <w:p w14:paraId="7C667C31" w14:textId="77777777" w:rsidR="0082643C" w:rsidRDefault="0082643C">
      <w:pPr>
        <w:spacing w:after="120"/>
      </w:pPr>
    </w:p>
    <w:p w14:paraId="02B76967" w14:textId="77777777" w:rsidR="0082643C" w:rsidRDefault="00000000">
      <w:pPr>
        <w:pStyle w:val="TituloCuadro"/>
        <w:keepNext/>
        <w:spacing w:before="40" w:after="80"/>
        <w:jc w:val="center"/>
      </w:pPr>
      <w:bookmarkStart w:id="134" w:name="_Toc000000331"/>
      <w:r>
        <w:rPr>
          <w:b/>
        </w:rPr>
        <w:t>Cuadro 3. Competencias por área de conocimiento</w:t>
      </w:r>
      <w:bookmarkEnd w:id="134"/>
    </w:p>
    <w:tbl>
      <w:tblPr>
        <w:tblW w:w="9405" w:type="dxa"/>
        <w:jc w:val="center"/>
        <w:tblLayout w:type="fixed"/>
        <w:tblLook w:val="04A0" w:firstRow="1" w:lastRow="0" w:firstColumn="1" w:lastColumn="0" w:noHBand="0" w:noVBand="1"/>
      </w:tblPr>
      <w:tblGrid>
        <w:gridCol w:w="1763"/>
        <w:gridCol w:w="4115"/>
        <w:gridCol w:w="3527"/>
      </w:tblGrid>
      <w:tr w:rsidR="00395D6D" w14:paraId="1DE4B596" w14:textId="77777777">
        <w:trPr>
          <w:tblHeader/>
          <w:jc w:val="center"/>
        </w:trPr>
        <w:tc>
          <w:tcPr>
            <w:tcW w:w="176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15342CC" w14:textId="77777777" w:rsidR="0082643C" w:rsidRDefault="00000000">
            <w:pPr>
              <w:jc w:val="center"/>
            </w:pPr>
            <w:r>
              <w:rPr>
                <w:b/>
                <w:color w:val="FFFFFF"/>
                <w:sz w:val="18"/>
              </w:rPr>
              <w:t>Área</w:t>
            </w:r>
          </w:p>
        </w:tc>
        <w:tc>
          <w:tcPr>
            <w:tcW w:w="411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23676AA" w14:textId="77777777" w:rsidR="0082643C" w:rsidRDefault="00000000">
            <w:pPr>
              <w:jc w:val="center"/>
            </w:pPr>
            <w:r>
              <w:rPr>
                <w:b/>
                <w:color w:val="FFFFFF"/>
                <w:sz w:val="18"/>
              </w:rPr>
              <w:t>Competencia del área</w:t>
            </w:r>
          </w:p>
        </w:tc>
        <w:tc>
          <w:tcPr>
            <w:tcW w:w="352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E73071C" w14:textId="77777777" w:rsidR="0082643C" w:rsidRDefault="00000000">
            <w:pPr>
              <w:jc w:val="center"/>
            </w:pPr>
            <w:r>
              <w:rPr>
                <w:b/>
                <w:color w:val="FFFFFF"/>
                <w:sz w:val="18"/>
              </w:rPr>
              <w:t>Asignaturas que la desarrollan</w:t>
            </w:r>
          </w:p>
        </w:tc>
      </w:tr>
      <w:tr w:rsidR="00395D6D" w14:paraId="2F7139F3" w14:textId="77777777">
        <w:trPr>
          <w:jc w:val="center"/>
        </w:trPr>
        <w:tc>
          <w:tcPr>
            <w:tcW w:w="1763" w:type="dxa"/>
            <w:tcBorders>
              <w:top w:val="single" w:sz="4" w:space="0" w:color="8EAADB"/>
              <w:left w:val="single" w:sz="4" w:space="0" w:color="8EAADB"/>
              <w:bottom w:val="single" w:sz="4" w:space="0" w:color="8EAADB"/>
              <w:right w:val="single" w:sz="4" w:space="0" w:color="8EAADB"/>
            </w:tcBorders>
            <w:shd w:val="clear" w:color="auto" w:fill="D9E2F3"/>
          </w:tcPr>
          <w:p w14:paraId="6A1701FF" w14:textId="77777777" w:rsidR="0082643C" w:rsidRDefault="00000000">
            <w:pPr>
              <w:jc w:val="both"/>
            </w:pPr>
            <w:r>
              <w:rPr>
                <w:sz w:val="18"/>
              </w:rPr>
              <w:t>Información Financiera</w:t>
            </w:r>
          </w:p>
        </w:tc>
        <w:tc>
          <w:tcPr>
            <w:tcW w:w="4115" w:type="dxa"/>
            <w:tcBorders>
              <w:top w:val="single" w:sz="4" w:space="0" w:color="8EAADB"/>
              <w:left w:val="single" w:sz="4" w:space="0" w:color="8EAADB"/>
              <w:bottom w:val="single" w:sz="4" w:space="0" w:color="8EAADB"/>
              <w:right w:val="single" w:sz="4" w:space="0" w:color="8EAADB"/>
            </w:tcBorders>
            <w:shd w:val="clear" w:color="auto" w:fill="D9E2F3"/>
          </w:tcPr>
          <w:p w14:paraId="0FB490EC" w14:textId="77777777" w:rsidR="0082643C" w:rsidRDefault="00000000">
            <w:pPr>
              <w:jc w:val="both"/>
            </w:pPr>
            <w:r>
              <w:rPr>
                <w:sz w:val="18"/>
              </w:rPr>
              <w:t xml:space="preserve">Prepara, presenta y analiza estados financieros, informes de gestión y de </w:t>
            </w:r>
            <w:r>
              <w:rPr>
                <w:sz w:val="18"/>
              </w:rPr>
              <w:lastRenderedPageBreak/>
              <w:t>sostenibilidad de entidades públicas y privadas, aplicando los marcos de información financiera nacionales e internacionales y sistemas de gestión empresarial.</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1D2855D3" w14:textId="77777777" w:rsidR="0082643C" w:rsidRDefault="00000000">
            <w:pPr>
              <w:jc w:val="both"/>
            </w:pPr>
            <w:r>
              <w:rPr>
                <w:sz w:val="18"/>
              </w:rPr>
              <w:lastRenderedPageBreak/>
              <w:t xml:space="preserve">CPA-101, CPA-102, CPA-201 a CPA-204, CPA-301 a CPA-305 y CPA-401 a </w:t>
            </w:r>
            <w:r>
              <w:rPr>
                <w:sz w:val="18"/>
              </w:rPr>
              <w:lastRenderedPageBreak/>
              <w:t>CPA-405</w:t>
            </w:r>
          </w:p>
        </w:tc>
      </w:tr>
      <w:tr w:rsidR="00395D6D" w14:paraId="4F1DE238" w14:textId="77777777">
        <w:trPr>
          <w:jc w:val="center"/>
        </w:trPr>
        <w:tc>
          <w:tcPr>
            <w:tcW w:w="1763" w:type="dxa"/>
            <w:tcBorders>
              <w:top w:val="single" w:sz="4" w:space="0" w:color="8EAADB"/>
              <w:left w:val="single" w:sz="4" w:space="0" w:color="8EAADB"/>
              <w:bottom w:val="single" w:sz="4" w:space="0" w:color="8EAADB"/>
              <w:right w:val="single" w:sz="4" w:space="0" w:color="8EAADB"/>
            </w:tcBorders>
            <w:shd w:val="clear" w:color="auto" w:fill="D9E2F3"/>
          </w:tcPr>
          <w:p w14:paraId="25C8DEE5" w14:textId="77777777" w:rsidR="0082643C" w:rsidRDefault="00000000">
            <w:pPr>
              <w:jc w:val="both"/>
            </w:pPr>
            <w:r>
              <w:rPr>
                <w:sz w:val="18"/>
              </w:rPr>
              <w:lastRenderedPageBreak/>
              <w:t>Servicios de Aseguramiento</w:t>
            </w:r>
          </w:p>
        </w:tc>
        <w:tc>
          <w:tcPr>
            <w:tcW w:w="4115" w:type="dxa"/>
            <w:tcBorders>
              <w:top w:val="single" w:sz="4" w:space="0" w:color="8EAADB"/>
              <w:left w:val="single" w:sz="4" w:space="0" w:color="8EAADB"/>
              <w:bottom w:val="single" w:sz="4" w:space="0" w:color="8EAADB"/>
              <w:right w:val="single" w:sz="4" w:space="0" w:color="8EAADB"/>
            </w:tcBorders>
            <w:shd w:val="clear" w:color="auto" w:fill="D9E2F3"/>
          </w:tcPr>
          <w:p w14:paraId="261BB2D6" w14:textId="77777777" w:rsidR="0082643C" w:rsidRDefault="00000000">
            <w:pPr>
              <w:jc w:val="both"/>
            </w:pPr>
            <w:r>
              <w:rPr>
                <w:sz w:val="18"/>
              </w:rPr>
              <w:t>Planifica, ejecuta e informa encargos de auditoría, revisión, aseguramiento y servicios relacionados sobre información financiera y no financiera, con escepticismo profesional e independencia.</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0FA885B3" w14:textId="77777777" w:rsidR="0082643C" w:rsidRDefault="00000000">
            <w:pPr>
              <w:jc w:val="both"/>
            </w:pPr>
            <w:r>
              <w:rPr>
                <w:sz w:val="18"/>
              </w:rPr>
              <w:t>CPA-406 a CPA-408 y CPA-501 a CPA-510</w:t>
            </w:r>
          </w:p>
        </w:tc>
      </w:tr>
      <w:tr w:rsidR="00395D6D" w14:paraId="35DE73C8" w14:textId="77777777">
        <w:trPr>
          <w:jc w:val="center"/>
        </w:trPr>
        <w:tc>
          <w:tcPr>
            <w:tcW w:w="1763" w:type="dxa"/>
            <w:tcBorders>
              <w:top w:val="single" w:sz="4" w:space="0" w:color="8EAADB"/>
              <w:left w:val="single" w:sz="4" w:space="0" w:color="8EAADB"/>
              <w:bottom w:val="single" w:sz="4" w:space="0" w:color="8EAADB"/>
              <w:right w:val="single" w:sz="4" w:space="0" w:color="8EAADB"/>
            </w:tcBorders>
            <w:shd w:val="clear" w:color="auto" w:fill="D9E2F3"/>
          </w:tcPr>
          <w:p w14:paraId="487C4F0B" w14:textId="77777777" w:rsidR="0082643C" w:rsidRDefault="00000000">
            <w:pPr>
              <w:jc w:val="both"/>
            </w:pPr>
            <w:r>
              <w:rPr>
                <w:sz w:val="18"/>
              </w:rPr>
              <w:t>Administración</w:t>
            </w:r>
          </w:p>
        </w:tc>
        <w:tc>
          <w:tcPr>
            <w:tcW w:w="4115" w:type="dxa"/>
            <w:tcBorders>
              <w:top w:val="single" w:sz="4" w:space="0" w:color="8EAADB"/>
              <w:left w:val="single" w:sz="4" w:space="0" w:color="8EAADB"/>
              <w:bottom w:val="single" w:sz="4" w:space="0" w:color="8EAADB"/>
              <w:right w:val="single" w:sz="4" w:space="0" w:color="8EAADB"/>
            </w:tcBorders>
            <w:shd w:val="clear" w:color="auto" w:fill="D9E2F3"/>
          </w:tcPr>
          <w:p w14:paraId="63F12486" w14:textId="77777777" w:rsidR="0082643C" w:rsidRDefault="00000000">
            <w:pPr>
              <w:jc w:val="both"/>
            </w:pPr>
            <w:r>
              <w:rPr>
                <w:sz w:val="18"/>
              </w:rPr>
              <w:t>Analiza la estructura, el comportamiento y los sistemas de gestión de las organizaciones para apoyar la toma de decisiones.</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3513061E" w14:textId="77777777" w:rsidR="0082643C" w:rsidRDefault="00000000">
            <w:pPr>
              <w:jc w:val="both"/>
            </w:pPr>
            <w:r>
              <w:rPr>
                <w:sz w:val="18"/>
              </w:rPr>
              <w:t>ADM-101, ADM-201 y ADM-301</w:t>
            </w:r>
          </w:p>
        </w:tc>
      </w:tr>
      <w:tr w:rsidR="00395D6D" w14:paraId="046181A6" w14:textId="77777777">
        <w:trPr>
          <w:jc w:val="center"/>
        </w:trPr>
        <w:tc>
          <w:tcPr>
            <w:tcW w:w="1763" w:type="dxa"/>
            <w:tcBorders>
              <w:top w:val="single" w:sz="4" w:space="0" w:color="8EAADB"/>
              <w:left w:val="single" w:sz="4" w:space="0" w:color="8EAADB"/>
              <w:bottom w:val="single" w:sz="4" w:space="0" w:color="8EAADB"/>
              <w:right w:val="single" w:sz="4" w:space="0" w:color="8EAADB"/>
            </w:tcBorders>
            <w:shd w:val="clear" w:color="auto" w:fill="D9E2F3"/>
          </w:tcPr>
          <w:p w14:paraId="320C930D" w14:textId="77777777" w:rsidR="0082643C" w:rsidRDefault="00000000">
            <w:pPr>
              <w:jc w:val="both"/>
            </w:pPr>
            <w:r>
              <w:rPr>
                <w:sz w:val="18"/>
              </w:rPr>
              <w:t>Derecho</w:t>
            </w:r>
          </w:p>
        </w:tc>
        <w:tc>
          <w:tcPr>
            <w:tcW w:w="4115" w:type="dxa"/>
            <w:tcBorders>
              <w:top w:val="single" w:sz="4" w:space="0" w:color="8EAADB"/>
              <w:left w:val="single" w:sz="4" w:space="0" w:color="8EAADB"/>
              <w:bottom w:val="single" w:sz="4" w:space="0" w:color="8EAADB"/>
              <w:right w:val="single" w:sz="4" w:space="0" w:color="8EAADB"/>
            </w:tcBorders>
            <w:shd w:val="clear" w:color="auto" w:fill="D9E2F3"/>
          </w:tcPr>
          <w:p w14:paraId="277239EF" w14:textId="77777777" w:rsidR="0082643C" w:rsidRDefault="00000000">
            <w:pPr>
              <w:jc w:val="both"/>
            </w:pPr>
            <w:r>
              <w:rPr>
                <w:sz w:val="18"/>
              </w:rPr>
              <w:t>Aplica la legislación comercial, societaria, laboral, de seguridad social, tributaria y aduanera en la gestión y el control de las organizaciones.</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642541FD" w14:textId="77777777" w:rsidR="0082643C" w:rsidRDefault="00000000">
            <w:pPr>
              <w:jc w:val="both"/>
            </w:pPr>
            <w:r>
              <w:rPr>
                <w:sz w:val="18"/>
              </w:rPr>
              <w:t>DER-101, DER-102 y DER-201</w:t>
            </w:r>
          </w:p>
        </w:tc>
      </w:tr>
      <w:tr w:rsidR="00395D6D" w14:paraId="3792DE70" w14:textId="77777777">
        <w:trPr>
          <w:jc w:val="center"/>
        </w:trPr>
        <w:tc>
          <w:tcPr>
            <w:tcW w:w="1763" w:type="dxa"/>
            <w:tcBorders>
              <w:top w:val="single" w:sz="4" w:space="0" w:color="8EAADB"/>
              <w:left w:val="single" w:sz="4" w:space="0" w:color="8EAADB"/>
              <w:bottom w:val="single" w:sz="4" w:space="0" w:color="8EAADB"/>
              <w:right w:val="single" w:sz="4" w:space="0" w:color="8EAADB"/>
            </w:tcBorders>
            <w:shd w:val="clear" w:color="auto" w:fill="D9E2F3"/>
          </w:tcPr>
          <w:p w14:paraId="2BB75EA6" w14:textId="77777777" w:rsidR="0082643C" w:rsidRDefault="00000000">
            <w:pPr>
              <w:jc w:val="both"/>
            </w:pPr>
            <w:r>
              <w:rPr>
                <w:sz w:val="18"/>
              </w:rPr>
              <w:t>Economía</w:t>
            </w:r>
          </w:p>
        </w:tc>
        <w:tc>
          <w:tcPr>
            <w:tcW w:w="4115" w:type="dxa"/>
            <w:tcBorders>
              <w:top w:val="single" w:sz="4" w:space="0" w:color="8EAADB"/>
              <w:left w:val="single" w:sz="4" w:space="0" w:color="8EAADB"/>
              <w:bottom w:val="single" w:sz="4" w:space="0" w:color="8EAADB"/>
              <w:right w:val="single" w:sz="4" w:space="0" w:color="8EAADB"/>
            </w:tcBorders>
            <w:shd w:val="clear" w:color="auto" w:fill="D9E2F3"/>
          </w:tcPr>
          <w:p w14:paraId="34B6D9A0" w14:textId="77777777" w:rsidR="0082643C" w:rsidRDefault="00000000">
            <w:pPr>
              <w:jc w:val="both"/>
            </w:pPr>
            <w:r>
              <w:rPr>
                <w:sz w:val="18"/>
              </w:rPr>
              <w:t>Interpreta el entorno microeconómico y macroeconómico y evalúa proyectos de inversión.</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65C7A85D" w14:textId="77777777" w:rsidR="0082643C" w:rsidRDefault="00000000">
            <w:pPr>
              <w:jc w:val="both"/>
            </w:pPr>
            <w:r>
              <w:rPr>
                <w:sz w:val="18"/>
              </w:rPr>
              <w:t>ECO-101, ECO-201 y ECO-301</w:t>
            </w:r>
          </w:p>
        </w:tc>
      </w:tr>
      <w:tr w:rsidR="00395D6D" w:rsidRPr="002F7F2E" w14:paraId="02F8AE6D" w14:textId="77777777">
        <w:trPr>
          <w:jc w:val="center"/>
        </w:trPr>
        <w:tc>
          <w:tcPr>
            <w:tcW w:w="1763" w:type="dxa"/>
            <w:tcBorders>
              <w:top w:val="single" w:sz="4" w:space="0" w:color="8EAADB"/>
              <w:left w:val="single" w:sz="4" w:space="0" w:color="8EAADB"/>
              <w:bottom w:val="single" w:sz="4" w:space="0" w:color="8EAADB"/>
              <w:right w:val="single" w:sz="4" w:space="0" w:color="8EAADB"/>
            </w:tcBorders>
            <w:shd w:val="clear" w:color="auto" w:fill="D9E2F3"/>
          </w:tcPr>
          <w:p w14:paraId="186C42AF" w14:textId="77777777" w:rsidR="0082643C" w:rsidRDefault="00000000">
            <w:pPr>
              <w:jc w:val="both"/>
            </w:pPr>
            <w:r>
              <w:rPr>
                <w:sz w:val="18"/>
              </w:rPr>
              <w:t>Matemáticas</w:t>
            </w:r>
          </w:p>
        </w:tc>
        <w:tc>
          <w:tcPr>
            <w:tcW w:w="4115" w:type="dxa"/>
            <w:tcBorders>
              <w:top w:val="single" w:sz="4" w:space="0" w:color="8EAADB"/>
              <w:left w:val="single" w:sz="4" w:space="0" w:color="8EAADB"/>
              <w:bottom w:val="single" w:sz="4" w:space="0" w:color="8EAADB"/>
              <w:right w:val="single" w:sz="4" w:space="0" w:color="8EAADB"/>
            </w:tcBorders>
            <w:shd w:val="clear" w:color="auto" w:fill="D9E2F3"/>
          </w:tcPr>
          <w:p w14:paraId="0C46FECE" w14:textId="77777777" w:rsidR="0082643C" w:rsidRDefault="00000000">
            <w:pPr>
              <w:jc w:val="both"/>
            </w:pPr>
            <w:r>
              <w:rPr>
                <w:sz w:val="18"/>
              </w:rPr>
              <w:t>Aplica modelos matemáticos, financieros, estadísticos y actuariales al análisis de la información y a la evidencia de auditoría.</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1AA9E667" w14:textId="77777777" w:rsidR="0082643C" w:rsidRPr="00BE6153" w:rsidRDefault="00000000">
            <w:pPr>
              <w:jc w:val="both"/>
              <w:rPr>
                <w:lang w:val="en-US"/>
              </w:rPr>
            </w:pPr>
            <w:r w:rsidRPr="00BE6153">
              <w:rPr>
                <w:sz w:val="18"/>
                <w:lang w:val="en-US"/>
              </w:rPr>
              <w:t>MAT-101, MAT-102, MAT-201, MAT-301 y MAT-401</w:t>
            </w:r>
          </w:p>
        </w:tc>
      </w:tr>
    </w:tbl>
    <w:p w14:paraId="19483722" w14:textId="77777777" w:rsidR="0082643C" w:rsidRPr="00BE6153" w:rsidRDefault="0082643C">
      <w:pPr>
        <w:spacing w:after="120"/>
        <w:rPr>
          <w:lang w:val="en-US"/>
        </w:rPr>
      </w:pPr>
    </w:p>
    <w:p w14:paraId="0277DB4A" w14:textId="77777777" w:rsidR="0082643C" w:rsidRDefault="00000000">
      <w:pPr>
        <w:spacing w:after="200"/>
        <w:jc w:val="both"/>
      </w:pPr>
      <w:r>
        <w:t>Las competencias de cada área se expresan en los atributos del egresado que se detallan en el punto 4.2.7: atributos académicos y disciplinares, que corresponden al saber conocer; atributos técnicos, digitales y de innovación, que corresponden al saber hacer; y atributos éticos, socioemocionales y de responsabilidad pública, que corresponden al saber ser y convivir.</w:t>
      </w:r>
    </w:p>
    <w:p w14:paraId="4B245862" w14:textId="77777777" w:rsidR="00990B14" w:rsidRDefault="00000000">
      <w:pPr>
        <w:spacing w:after="200"/>
        <w:jc w:val="both"/>
      </w:pPr>
      <w:r>
        <w:t>La competencia global del perfil se despliega en las competencias de cada área y estas, a su vez, en la unidad de competencia de cada asignatura. Los elementos de competencia, con sus criterios y evidencias de desempeño, se detallan en los planes de asignatura del punto 4.5.</w:t>
      </w:r>
    </w:p>
    <w:p w14:paraId="4C5F91C7" w14:textId="77777777" w:rsidR="00990B14" w:rsidRDefault="00000000">
      <w:pPr>
        <w:pStyle w:val="TituloCuadro"/>
        <w:keepNext/>
        <w:spacing w:before="40" w:after="80"/>
        <w:jc w:val="center"/>
      </w:pPr>
      <w:bookmarkStart w:id="135" w:name="_Toc000000332"/>
      <w:r>
        <w:rPr>
          <w:b/>
        </w:rPr>
        <w:t>Cuadro 4. Unidades de competencia por asignatura</w:t>
      </w:r>
      <w:bookmarkEnd w:id="135"/>
    </w:p>
    <w:tbl>
      <w:tblPr>
        <w:tblW w:w="9405" w:type="dxa"/>
        <w:jc w:val="center"/>
        <w:tblLayout w:type="fixed"/>
        <w:tblLook w:val="04A0" w:firstRow="1" w:lastRow="0" w:firstColumn="1" w:lastColumn="0" w:noHBand="0" w:noVBand="1"/>
      </w:tblPr>
      <w:tblGrid>
        <w:gridCol w:w="705"/>
        <w:gridCol w:w="1058"/>
        <w:gridCol w:w="2352"/>
        <w:gridCol w:w="5290"/>
      </w:tblGrid>
      <w:tr w:rsidR="00990B14" w14:paraId="7A9B1D94" w14:textId="77777777">
        <w:trPr>
          <w:tblHeader/>
          <w:jc w:val="center"/>
        </w:trPr>
        <w:tc>
          <w:tcPr>
            <w:tcW w:w="70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9685889" w14:textId="77777777" w:rsidR="00990B14" w:rsidRDefault="00000000">
            <w:pPr>
              <w:jc w:val="center"/>
            </w:pPr>
            <w:r>
              <w:rPr>
                <w:b/>
                <w:color w:val="FFFFFF"/>
                <w:sz w:val="16"/>
              </w:rPr>
              <w:t>Año</w:t>
            </w:r>
          </w:p>
        </w:tc>
        <w:tc>
          <w:tcPr>
            <w:tcW w:w="105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3194010" w14:textId="77777777" w:rsidR="00990B14" w:rsidRDefault="00000000">
            <w:pPr>
              <w:jc w:val="center"/>
            </w:pPr>
            <w:r>
              <w:rPr>
                <w:b/>
                <w:color w:val="FFFFFF"/>
                <w:sz w:val="16"/>
              </w:rPr>
              <w:t>Sigla</w:t>
            </w:r>
          </w:p>
        </w:tc>
        <w:tc>
          <w:tcPr>
            <w:tcW w:w="235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ABB5371" w14:textId="77777777" w:rsidR="00990B14" w:rsidRDefault="00000000">
            <w:pPr>
              <w:jc w:val="center"/>
            </w:pPr>
            <w:r>
              <w:rPr>
                <w:b/>
                <w:color w:val="FFFFFF"/>
                <w:sz w:val="16"/>
              </w:rPr>
              <w:t>Asignatura</w:t>
            </w:r>
          </w:p>
        </w:tc>
        <w:tc>
          <w:tcPr>
            <w:tcW w:w="529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F7D07A4" w14:textId="77777777" w:rsidR="00990B14" w:rsidRDefault="00000000">
            <w:pPr>
              <w:jc w:val="center"/>
            </w:pPr>
            <w:r>
              <w:rPr>
                <w:b/>
                <w:color w:val="FFFFFF"/>
                <w:sz w:val="16"/>
              </w:rPr>
              <w:t>Unidad de competencia</w:t>
            </w:r>
          </w:p>
        </w:tc>
      </w:tr>
      <w:tr w:rsidR="00990B14" w14:paraId="010B4D3C" w14:textId="77777777">
        <w:trPr>
          <w:jc w:val="center"/>
        </w:trPr>
        <w:tc>
          <w:tcPr>
            <w:tcW w:w="705" w:type="dxa"/>
            <w:tcBorders>
              <w:top w:val="single" w:sz="4" w:space="0" w:color="8EAADB"/>
              <w:left w:val="single" w:sz="4" w:space="0" w:color="8EAADB"/>
              <w:bottom w:val="single" w:sz="4" w:space="0" w:color="8EAADB"/>
              <w:right w:val="single" w:sz="4" w:space="0" w:color="8EAADB"/>
            </w:tcBorders>
            <w:shd w:val="clear" w:color="auto" w:fill="D9E2F3"/>
          </w:tcPr>
          <w:p w14:paraId="2BCAB279" w14:textId="77777777" w:rsidR="00990B14" w:rsidRDefault="00000000">
            <w:pPr>
              <w:jc w:val="center"/>
            </w:pPr>
            <w:r>
              <w:rPr>
                <w:sz w:val="16"/>
              </w:rPr>
              <w:t>1.º</w:t>
            </w:r>
          </w:p>
        </w:tc>
        <w:tc>
          <w:tcPr>
            <w:tcW w:w="1058" w:type="dxa"/>
            <w:tcBorders>
              <w:top w:val="single" w:sz="4" w:space="0" w:color="8EAADB"/>
              <w:left w:val="single" w:sz="4" w:space="0" w:color="8EAADB"/>
              <w:bottom w:val="single" w:sz="4" w:space="0" w:color="8EAADB"/>
              <w:right w:val="single" w:sz="4" w:space="0" w:color="8EAADB"/>
            </w:tcBorders>
            <w:shd w:val="clear" w:color="auto" w:fill="D9E2F3"/>
          </w:tcPr>
          <w:p w14:paraId="1A2DA19A" w14:textId="77777777" w:rsidR="00990B14" w:rsidRDefault="00000000">
            <w:pPr>
              <w:jc w:val="center"/>
            </w:pPr>
            <w:r>
              <w:rPr>
                <w:sz w:val="16"/>
              </w:rPr>
              <w:t>CPA-101</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639D5C06" w14:textId="77777777" w:rsidR="00990B14" w:rsidRDefault="00000000">
            <w:pPr>
              <w:jc w:val="both"/>
            </w:pPr>
            <w:r>
              <w:rPr>
                <w:sz w:val="16"/>
              </w:rPr>
              <w:t>Contabilidad Básica</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26E02C2C" w14:textId="77777777" w:rsidR="00990B14" w:rsidRDefault="00000000">
            <w:pPr>
              <w:jc w:val="both"/>
            </w:pPr>
            <w:r>
              <w:rPr>
                <w:sz w:val="16"/>
              </w:rPr>
              <w:t>Aplica la teoría contable en el registro de transacciones y hechos económicos en el sistema de contabilidad de un ente en Bolivia, operando con herramientas digitales, generando los estados financieros y reportes contables con apego a las normas de contabilidad y disposiciones legales vigentes, proporcionando información razonable, oportuna, íntegra, confiable y útil para la toma de decisiones y el control gerencial.</w:t>
            </w:r>
          </w:p>
        </w:tc>
      </w:tr>
      <w:tr w:rsidR="00990B14" w14:paraId="0B77D333" w14:textId="77777777">
        <w:trPr>
          <w:jc w:val="center"/>
        </w:trPr>
        <w:tc>
          <w:tcPr>
            <w:tcW w:w="705" w:type="dxa"/>
            <w:tcBorders>
              <w:top w:val="single" w:sz="4" w:space="0" w:color="8EAADB"/>
              <w:left w:val="single" w:sz="4" w:space="0" w:color="8EAADB"/>
              <w:bottom w:val="single" w:sz="4" w:space="0" w:color="8EAADB"/>
              <w:right w:val="single" w:sz="4" w:space="0" w:color="8EAADB"/>
            </w:tcBorders>
            <w:shd w:val="clear" w:color="auto" w:fill="D9E2F3"/>
          </w:tcPr>
          <w:p w14:paraId="299EA195" w14:textId="77777777" w:rsidR="00990B14" w:rsidRDefault="00000000">
            <w:pPr>
              <w:jc w:val="center"/>
            </w:pPr>
            <w:r>
              <w:rPr>
                <w:sz w:val="16"/>
              </w:rPr>
              <w:t>1.º</w:t>
            </w:r>
          </w:p>
        </w:tc>
        <w:tc>
          <w:tcPr>
            <w:tcW w:w="1058" w:type="dxa"/>
            <w:tcBorders>
              <w:top w:val="single" w:sz="4" w:space="0" w:color="8EAADB"/>
              <w:left w:val="single" w:sz="4" w:space="0" w:color="8EAADB"/>
              <w:bottom w:val="single" w:sz="4" w:space="0" w:color="8EAADB"/>
              <w:right w:val="single" w:sz="4" w:space="0" w:color="8EAADB"/>
            </w:tcBorders>
            <w:shd w:val="clear" w:color="auto" w:fill="D9E2F3"/>
          </w:tcPr>
          <w:p w14:paraId="45A9A01B" w14:textId="77777777" w:rsidR="00990B14" w:rsidRDefault="00000000">
            <w:pPr>
              <w:jc w:val="center"/>
            </w:pPr>
            <w:r>
              <w:rPr>
                <w:sz w:val="16"/>
              </w:rPr>
              <w:t>CPA-102</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176FFC06" w14:textId="77777777" w:rsidR="00990B14" w:rsidRDefault="00000000">
            <w:pPr>
              <w:jc w:val="both"/>
            </w:pPr>
            <w:r>
              <w:rPr>
                <w:sz w:val="16"/>
              </w:rPr>
              <w:t>Tecnologías de Información y Herramientas Digitales</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3E2423A2" w14:textId="77777777" w:rsidR="00990B14" w:rsidRDefault="00000000">
            <w:pPr>
              <w:jc w:val="both"/>
            </w:pPr>
            <w:r>
              <w:rPr>
                <w:sz w:val="16"/>
              </w:rPr>
              <w:t>Elabora información útil y oportuna de una entidad, basada en algoritmos con estructuras de control en la solución de problemas, con orden, precisión, confidencialidad y actitud investigativa, utilizando herramientas digitales y colaborativas, hojas de cálculo contable-financieras, tecnologías de la información y la inteligencia artificial generativa, automatizando procesos contables.</w:t>
            </w:r>
          </w:p>
        </w:tc>
      </w:tr>
      <w:tr w:rsidR="00990B14" w14:paraId="110AF18F" w14:textId="77777777">
        <w:trPr>
          <w:jc w:val="center"/>
        </w:trPr>
        <w:tc>
          <w:tcPr>
            <w:tcW w:w="705" w:type="dxa"/>
            <w:tcBorders>
              <w:top w:val="single" w:sz="4" w:space="0" w:color="8EAADB"/>
              <w:left w:val="single" w:sz="4" w:space="0" w:color="8EAADB"/>
              <w:bottom w:val="single" w:sz="4" w:space="0" w:color="8EAADB"/>
              <w:right w:val="single" w:sz="4" w:space="0" w:color="8EAADB"/>
            </w:tcBorders>
            <w:shd w:val="clear" w:color="auto" w:fill="D9E2F3"/>
          </w:tcPr>
          <w:p w14:paraId="0EEDFABC" w14:textId="77777777" w:rsidR="00990B14" w:rsidRDefault="00000000">
            <w:pPr>
              <w:jc w:val="center"/>
            </w:pPr>
            <w:r>
              <w:rPr>
                <w:sz w:val="16"/>
              </w:rPr>
              <w:t>1.º</w:t>
            </w:r>
          </w:p>
        </w:tc>
        <w:tc>
          <w:tcPr>
            <w:tcW w:w="1058" w:type="dxa"/>
            <w:tcBorders>
              <w:top w:val="single" w:sz="4" w:space="0" w:color="8EAADB"/>
              <w:left w:val="single" w:sz="4" w:space="0" w:color="8EAADB"/>
              <w:bottom w:val="single" w:sz="4" w:space="0" w:color="8EAADB"/>
              <w:right w:val="single" w:sz="4" w:space="0" w:color="8EAADB"/>
            </w:tcBorders>
            <w:shd w:val="clear" w:color="auto" w:fill="D9E2F3"/>
          </w:tcPr>
          <w:p w14:paraId="5AB8C268" w14:textId="77777777" w:rsidR="00990B14" w:rsidRDefault="00000000">
            <w:pPr>
              <w:jc w:val="center"/>
            </w:pPr>
            <w:r>
              <w:rPr>
                <w:sz w:val="16"/>
              </w:rPr>
              <w:t>ADM-101</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7D06EDE3" w14:textId="77777777" w:rsidR="00990B14" w:rsidRDefault="00000000">
            <w:pPr>
              <w:jc w:val="both"/>
            </w:pPr>
            <w:r>
              <w:rPr>
                <w:sz w:val="16"/>
              </w:rPr>
              <w:t>Administración General</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0DE12311" w14:textId="77777777" w:rsidR="00990B14" w:rsidRDefault="00000000">
            <w:pPr>
              <w:jc w:val="both"/>
            </w:pPr>
            <w:r>
              <w:rPr>
                <w:sz w:val="16"/>
              </w:rPr>
              <w:t>Diseña el proceso administrativo de una organización, planificando su estrategia con responsabilidad social, estructurando su organización, dirigiendo su ejecución, controlando sus resultados con gestión de riesgos y analizando los enfoques teóricos y la perspectiva global de la administración, con ética profesional e integridad.</w:t>
            </w:r>
          </w:p>
        </w:tc>
      </w:tr>
      <w:tr w:rsidR="00990B14" w14:paraId="714395DC" w14:textId="77777777">
        <w:trPr>
          <w:jc w:val="center"/>
        </w:trPr>
        <w:tc>
          <w:tcPr>
            <w:tcW w:w="705" w:type="dxa"/>
            <w:tcBorders>
              <w:top w:val="single" w:sz="4" w:space="0" w:color="8EAADB"/>
              <w:left w:val="single" w:sz="4" w:space="0" w:color="8EAADB"/>
              <w:bottom w:val="single" w:sz="4" w:space="0" w:color="8EAADB"/>
              <w:right w:val="single" w:sz="4" w:space="0" w:color="8EAADB"/>
            </w:tcBorders>
            <w:shd w:val="clear" w:color="auto" w:fill="D9E2F3"/>
          </w:tcPr>
          <w:p w14:paraId="6BE1BF22" w14:textId="77777777" w:rsidR="00990B14" w:rsidRDefault="00000000">
            <w:pPr>
              <w:jc w:val="center"/>
            </w:pPr>
            <w:r>
              <w:rPr>
                <w:sz w:val="16"/>
              </w:rPr>
              <w:lastRenderedPageBreak/>
              <w:t>1.º</w:t>
            </w:r>
          </w:p>
        </w:tc>
        <w:tc>
          <w:tcPr>
            <w:tcW w:w="1058" w:type="dxa"/>
            <w:tcBorders>
              <w:top w:val="single" w:sz="4" w:space="0" w:color="8EAADB"/>
              <w:left w:val="single" w:sz="4" w:space="0" w:color="8EAADB"/>
              <w:bottom w:val="single" w:sz="4" w:space="0" w:color="8EAADB"/>
              <w:right w:val="single" w:sz="4" w:space="0" w:color="8EAADB"/>
            </w:tcBorders>
            <w:shd w:val="clear" w:color="auto" w:fill="D9E2F3"/>
          </w:tcPr>
          <w:p w14:paraId="4E6E606E" w14:textId="77777777" w:rsidR="00990B14" w:rsidRDefault="00000000">
            <w:pPr>
              <w:jc w:val="center"/>
            </w:pPr>
            <w:r>
              <w:rPr>
                <w:sz w:val="16"/>
              </w:rPr>
              <w:t>DER-101</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7B763725" w14:textId="77777777" w:rsidR="00990B14" w:rsidRDefault="00000000">
            <w:pPr>
              <w:jc w:val="both"/>
            </w:pPr>
            <w:r>
              <w:rPr>
                <w:sz w:val="16"/>
              </w:rPr>
              <w:t>Derecho Comercial y Corporativo</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012E88D2" w14:textId="77777777" w:rsidR="00990B14" w:rsidRDefault="00000000">
            <w:pPr>
              <w:jc w:val="both"/>
            </w:pPr>
            <w:r>
              <w:rPr>
                <w:sz w:val="16"/>
              </w:rPr>
              <w:t>Aplica el ordenamiento jurídico comercial que regula los actos de comercio, los sujetos de derecho y las sociedades comerciales, mediante el análisis del Código de Comercio y la legislación regulatoria vigente, la caracterización de los documentos constitutivos societarios, títulos valores y mercado de valores, y el seguimiento de los procedimientos de constitución, reorganización y disolución de sociedades comerciales, para garantizar la validez legal de las operaciones comerciales, la gobernanza corporativa y la protección del patrimonio organizacional, con ética profesional, responsabilidad, confidencialidad y estricto cumplimiento normativo.</w:t>
            </w:r>
          </w:p>
        </w:tc>
      </w:tr>
      <w:tr w:rsidR="00990B14" w14:paraId="73BF4210" w14:textId="77777777">
        <w:trPr>
          <w:jc w:val="center"/>
        </w:trPr>
        <w:tc>
          <w:tcPr>
            <w:tcW w:w="705" w:type="dxa"/>
            <w:tcBorders>
              <w:top w:val="single" w:sz="4" w:space="0" w:color="8EAADB"/>
              <w:left w:val="single" w:sz="4" w:space="0" w:color="8EAADB"/>
              <w:bottom w:val="single" w:sz="4" w:space="0" w:color="8EAADB"/>
              <w:right w:val="single" w:sz="4" w:space="0" w:color="8EAADB"/>
            </w:tcBorders>
            <w:shd w:val="clear" w:color="auto" w:fill="D9E2F3"/>
          </w:tcPr>
          <w:p w14:paraId="48D91441" w14:textId="77777777" w:rsidR="00990B14" w:rsidRDefault="00000000">
            <w:pPr>
              <w:jc w:val="center"/>
            </w:pPr>
            <w:r>
              <w:rPr>
                <w:sz w:val="16"/>
              </w:rPr>
              <w:t>1.º</w:t>
            </w:r>
          </w:p>
        </w:tc>
        <w:tc>
          <w:tcPr>
            <w:tcW w:w="1058" w:type="dxa"/>
            <w:tcBorders>
              <w:top w:val="single" w:sz="4" w:space="0" w:color="8EAADB"/>
              <w:left w:val="single" w:sz="4" w:space="0" w:color="8EAADB"/>
              <w:bottom w:val="single" w:sz="4" w:space="0" w:color="8EAADB"/>
              <w:right w:val="single" w:sz="4" w:space="0" w:color="8EAADB"/>
            </w:tcBorders>
            <w:shd w:val="clear" w:color="auto" w:fill="D9E2F3"/>
          </w:tcPr>
          <w:p w14:paraId="4AEAE63E" w14:textId="77777777" w:rsidR="00990B14" w:rsidRDefault="00000000">
            <w:pPr>
              <w:jc w:val="center"/>
            </w:pPr>
            <w:r>
              <w:rPr>
                <w:sz w:val="16"/>
              </w:rPr>
              <w:t>DER-102</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308FB031" w14:textId="77777777" w:rsidR="00990B14" w:rsidRDefault="00000000">
            <w:pPr>
              <w:jc w:val="both"/>
            </w:pPr>
            <w:r>
              <w:rPr>
                <w:sz w:val="16"/>
              </w:rPr>
              <w:t>Derecho Laboral y Seguridad Social</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13670F36" w14:textId="77777777" w:rsidR="00990B14" w:rsidRDefault="00000000">
            <w:pPr>
              <w:jc w:val="both"/>
            </w:pPr>
            <w:r>
              <w:rPr>
                <w:sz w:val="16"/>
              </w:rPr>
              <w:t>Aplica la normativa laboral y de la seguridad social de corto y largo plazo en la gestión de las relaciones jurídicas laborales, mediante la interpretación de los derechos y obligaciones de los sujetos del derecho, la estructuración de algoritmos de cálculo sociolaboral y la determinación de componentes económicos de la nómina y aportes previsionales, para garantizar el cumplimiento legal, la certidumbre jurídica y la prevención de contingencias en la organización, con ética profesional, confidencialidad y estricto apego a las disposiciones legales vigentes.</w:t>
            </w:r>
          </w:p>
        </w:tc>
      </w:tr>
      <w:tr w:rsidR="00990B14" w14:paraId="43CA3B8B" w14:textId="77777777">
        <w:trPr>
          <w:jc w:val="center"/>
        </w:trPr>
        <w:tc>
          <w:tcPr>
            <w:tcW w:w="705" w:type="dxa"/>
            <w:tcBorders>
              <w:top w:val="single" w:sz="4" w:space="0" w:color="8EAADB"/>
              <w:left w:val="single" w:sz="4" w:space="0" w:color="8EAADB"/>
              <w:bottom w:val="single" w:sz="4" w:space="0" w:color="8EAADB"/>
              <w:right w:val="single" w:sz="4" w:space="0" w:color="8EAADB"/>
            </w:tcBorders>
            <w:shd w:val="clear" w:color="auto" w:fill="D9E2F3"/>
          </w:tcPr>
          <w:p w14:paraId="0B56498A" w14:textId="77777777" w:rsidR="00990B14" w:rsidRDefault="00000000">
            <w:pPr>
              <w:jc w:val="center"/>
            </w:pPr>
            <w:r>
              <w:rPr>
                <w:sz w:val="16"/>
              </w:rPr>
              <w:t>1.º</w:t>
            </w:r>
          </w:p>
        </w:tc>
        <w:tc>
          <w:tcPr>
            <w:tcW w:w="1058" w:type="dxa"/>
            <w:tcBorders>
              <w:top w:val="single" w:sz="4" w:space="0" w:color="8EAADB"/>
              <w:left w:val="single" w:sz="4" w:space="0" w:color="8EAADB"/>
              <w:bottom w:val="single" w:sz="4" w:space="0" w:color="8EAADB"/>
              <w:right w:val="single" w:sz="4" w:space="0" w:color="8EAADB"/>
            </w:tcBorders>
            <w:shd w:val="clear" w:color="auto" w:fill="D9E2F3"/>
          </w:tcPr>
          <w:p w14:paraId="084FF200" w14:textId="77777777" w:rsidR="00990B14" w:rsidRDefault="00000000">
            <w:pPr>
              <w:jc w:val="center"/>
            </w:pPr>
            <w:r>
              <w:rPr>
                <w:sz w:val="16"/>
              </w:rPr>
              <w:t>ECO-101</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7E03ACAF" w14:textId="77777777" w:rsidR="00990B14" w:rsidRDefault="00000000">
            <w:pPr>
              <w:jc w:val="both"/>
            </w:pPr>
            <w:r>
              <w:rPr>
                <w:sz w:val="16"/>
              </w:rPr>
              <w:t>Microeconomía</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6E04A8BD" w14:textId="77777777" w:rsidR="00990B14" w:rsidRDefault="00000000">
            <w:pPr>
              <w:jc w:val="both"/>
            </w:pPr>
            <w:r>
              <w:rPr>
                <w:sz w:val="16"/>
              </w:rPr>
              <w:t>Evalúa el proceso de toma de decisiones de los agentes económicos (consumidores, empresas y gobierno) y el funcionamiento de los mercados de bienes y de factores, así como el equilibrio general, los problemas de información y la interdependencia estratégica, con rigor analítico, pensamiento crítico y ética profesional.</w:t>
            </w:r>
          </w:p>
        </w:tc>
      </w:tr>
      <w:tr w:rsidR="00990B14" w14:paraId="694A0F12" w14:textId="77777777">
        <w:trPr>
          <w:jc w:val="center"/>
        </w:trPr>
        <w:tc>
          <w:tcPr>
            <w:tcW w:w="705" w:type="dxa"/>
            <w:tcBorders>
              <w:top w:val="single" w:sz="4" w:space="0" w:color="8EAADB"/>
              <w:left w:val="single" w:sz="4" w:space="0" w:color="8EAADB"/>
              <w:bottom w:val="single" w:sz="4" w:space="0" w:color="8EAADB"/>
              <w:right w:val="single" w:sz="4" w:space="0" w:color="8EAADB"/>
            </w:tcBorders>
            <w:shd w:val="clear" w:color="auto" w:fill="D9E2F3"/>
          </w:tcPr>
          <w:p w14:paraId="405B1817" w14:textId="77777777" w:rsidR="00990B14" w:rsidRDefault="00000000">
            <w:pPr>
              <w:jc w:val="center"/>
            </w:pPr>
            <w:r>
              <w:rPr>
                <w:sz w:val="16"/>
              </w:rPr>
              <w:t>1.º</w:t>
            </w:r>
          </w:p>
        </w:tc>
        <w:tc>
          <w:tcPr>
            <w:tcW w:w="1058" w:type="dxa"/>
            <w:tcBorders>
              <w:top w:val="single" w:sz="4" w:space="0" w:color="8EAADB"/>
              <w:left w:val="single" w:sz="4" w:space="0" w:color="8EAADB"/>
              <w:bottom w:val="single" w:sz="4" w:space="0" w:color="8EAADB"/>
              <w:right w:val="single" w:sz="4" w:space="0" w:color="8EAADB"/>
            </w:tcBorders>
            <w:shd w:val="clear" w:color="auto" w:fill="D9E2F3"/>
          </w:tcPr>
          <w:p w14:paraId="01B806F9" w14:textId="77777777" w:rsidR="00990B14" w:rsidRDefault="00000000">
            <w:pPr>
              <w:jc w:val="center"/>
            </w:pPr>
            <w:r>
              <w:rPr>
                <w:sz w:val="16"/>
              </w:rPr>
              <w:t>MAT-101</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0BF01F0E" w14:textId="77777777" w:rsidR="00990B14" w:rsidRDefault="00000000">
            <w:pPr>
              <w:jc w:val="both"/>
            </w:pPr>
            <w:r>
              <w:rPr>
                <w:sz w:val="16"/>
              </w:rPr>
              <w:t>Cálculo</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15E41017" w14:textId="77777777" w:rsidR="00990B14" w:rsidRDefault="00000000">
            <w:pPr>
              <w:jc w:val="both"/>
            </w:pPr>
            <w:r>
              <w:rPr>
                <w:sz w:val="16"/>
              </w:rPr>
              <w:t>Optimiza las funciones económicas, financieras y contables de una entidad con herramientas digitales, analizando las funciones, los límites, las derivadas y la sensibilidad de sus resultados, calculando integrales y derivadas parciales, y resolviendo ecuaciones y sistemas de ecuaciones, con rigor lógico, integridad e iniciativa propia.</w:t>
            </w:r>
          </w:p>
        </w:tc>
      </w:tr>
      <w:tr w:rsidR="00990B14" w14:paraId="17E23520" w14:textId="77777777">
        <w:trPr>
          <w:jc w:val="center"/>
        </w:trPr>
        <w:tc>
          <w:tcPr>
            <w:tcW w:w="705" w:type="dxa"/>
            <w:tcBorders>
              <w:top w:val="single" w:sz="4" w:space="0" w:color="8EAADB"/>
              <w:left w:val="single" w:sz="4" w:space="0" w:color="8EAADB"/>
              <w:bottom w:val="single" w:sz="4" w:space="0" w:color="8EAADB"/>
              <w:right w:val="single" w:sz="4" w:space="0" w:color="8EAADB"/>
            </w:tcBorders>
            <w:shd w:val="clear" w:color="auto" w:fill="D9E2F3"/>
          </w:tcPr>
          <w:p w14:paraId="5931167E" w14:textId="77777777" w:rsidR="00990B14" w:rsidRDefault="00000000">
            <w:pPr>
              <w:jc w:val="center"/>
            </w:pPr>
            <w:r>
              <w:rPr>
                <w:sz w:val="16"/>
              </w:rPr>
              <w:t>1.º</w:t>
            </w:r>
          </w:p>
        </w:tc>
        <w:tc>
          <w:tcPr>
            <w:tcW w:w="1058" w:type="dxa"/>
            <w:tcBorders>
              <w:top w:val="single" w:sz="4" w:space="0" w:color="8EAADB"/>
              <w:left w:val="single" w:sz="4" w:space="0" w:color="8EAADB"/>
              <w:bottom w:val="single" w:sz="4" w:space="0" w:color="8EAADB"/>
              <w:right w:val="single" w:sz="4" w:space="0" w:color="8EAADB"/>
            </w:tcBorders>
            <w:shd w:val="clear" w:color="auto" w:fill="D9E2F3"/>
          </w:tcPr>
          <w:p w14:paraId="4B38C5FA" w14:textId="77777777" w:rsidR="00990B14" w:rsidRDefault="00000000">
            <w:pPr>
              <w:jc w:val="center"/>
            </w:pPr>
            <w:r>
              <w:rPr>
                <w:sz w:val="16"/>
              </w:rPr>
              <w:t>MAT-102</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5C0FD85E" w14:textId="77777777" w:rsidR="00990B14" w:rsidRDefault="00000000">
            <w:pPr>
              <w:jc w:val="both"/>
            </w:pPr>
            <w:r>
              <w:rPr>
                <w:sz w:val="16"/>
              </w:rPr>
              <w:t>Matemáticas Financieras</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66EC721A" w14:textId="77777777" w:rsidR="00990B14" w:rsidRDefault="00000000">
            <w:pPr>
              <w:jc w:val="both"/>
            </w:pPr>
            <w:r>
              <w:rPr>
                <w:sz w:val="16"/>
              </w:rPr>
              <w:t>Evalúa operaciones de financiamiento e inversión del sistema financiero boliviano, aplicando los modelos del valor del dinero en el tiempo, calculando tasas, rentas, amortizaciones y valores de instrumentos financieros en hoja de cálculo e interpretando sus resultados y sus riesgos en la toma de decisiones, con rigor técnico, pensamiento crítico, ética profesional y apego a la normativa de la ASFI y del Banco Central de Bolivia.</w:t>
            </w:r>
          </w:p>
        </w:tc>
      </w:tr>
      <w:tr w:rsidR="00990B14" w14:paraId="57C914E1" w14:textId="77777777">
        <w:trPr>
          <w:jc w:val="center"/>
        </w:trPr>
        <w:tc>
          <w:tcPr>
            <w:tcW w:w="705" w:type="dxa"/>
            <w:tcBorders>
              <w:top w:val="single" w:sz="4" w:space="0" w:color="8EAADB"/>
              <w:left w:val="single" w:sz="4" w:space="0" w:color="8EAADB"/>
              <w:bottom w:val="single" w:sz="4" w:space="0" w:color="8EAADB"/>
              <w:right w:val="single" w:sz="4" w:space="0" w:color="8EAADB"/>
            </w:tcBorders>
            <w:shd w:val="clear" w:color="auto" w:fill="D9E2F3"/>
          </w:tcPr>
          <w:p w14:paraId="5C1CD2C2" w14:textId="77777777" w:rsidR="00990B14" w:rsidRDefault="00000000">
            <w:pPr>
              <w:jc w:val="center"/>
            </w:pPr>
            <w:r>
              <w:rPr>
                <w:sz w:val="16"/>
              </w:rPr>
              <w:t>2.º</w:t>
            </w:r>
          </w:p>
        </w:tc>
        <w:tc>
          <w:tcPr>
            <w:tcW w:w="1058" w:type="dxa"/>
            <w:tcBorders>
              <w:top w:val="single" w:sz="4" w:space="0" w:color="8EAADB"/>
              <w:left w:val="single" w:sz="4" w:space="0" w:color="8EAADB"/>
              <w:bottom w:val="single" w:sz="4" w:space="0" w:color="8EAADB"/>
              <w:right w:val="single" w:sz="4" w:space="0" w:color="8EAADB"/>
            </w:tcBorders>
            <w:shd w:val="clear" w:color="auto" w:fill="D9E2F3"/>
          </w:tcPr>
          <w:p w14:paraId="58CE36EA" w14:textId="77777777" w:rsidR="00990B14" w:rsidRDefault="00000000">
            <w:pPr>
              <w:jc w:val="center"/>
            </w:pPr>
            <w:r>
              <w:rPr>
                <w:sz w:val="16"/>
              </w:rPr>
              <w:t>CPA-201</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7A1D920F" w14:textId="77777777" w:rsidR="00990B14" w:rsidRDefault="00000000">
            <w:pPr>
              <w:jc w:val="both"/>
            </w:pPr>
            <w:r>
              <w:rPr>
                <w:sz w:val="16"/>
              </w:rPr>
              <w:t>Contabilidad Intermedia</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5B794E98" w14:textId="77777777" w:rsidR="00990B14" w:rsidRDefault="00000000">
            <w:pPr>
              <w:jc w:val="both"/>
            </w:pPr>
            <w:r>
              <w:rPr>
                <w:sz w:val="16"/>
              </w:rPr>
              <w:t>Estructura el marco de teoría contable para la situación financiera, el desempeño financiero y los flujos de efectivo de una entidad boliviana, conforme a las normas de contabilidad y disposiciones legales vigentes en Bolivia, a través de un sistema de contabilidad acorde a las actividades de una entidad boliviana, en función a un sistema de control interno, aplicando criterios de valuación y reconocimiento (apropiación) para partidas de balance y resultado, operando herramientas digitales y las plataformas del Servicio de Impuestos Nacionales, para generar información razonable, oportuna, íntegra, confiable y útil para la toma y control de decisiones.</w:t>
            </w:r>
          </w:p>
        </w:tc>
      </w:tr>
      <w:tr w:rsidR="00990B14" w14:paraId="0205B6A9" w14:textId="77777777">
        <w:trPr>
          <w:jc w:val="center"/>
        </w:trPr>
        <w:tc>
          <w:tcPr>
            <w:tcW w:w="705" w:type="dxa"/>
            <w:tcBorders>
              <w:top w:val="single" w:sz="4" w:space="0" w:color="8EAADB"/>
              <w:left w:val="single" w:sz="4" w:space="0" w:color="8EAADB"/>
              <w:bottom w:val="single" w:sz="4" w:space="0" w:color="8EAADB"/>
              <w:right w:val="single" w:sz="4" w:space="0" w:color="8EAADB"/>
            </w:tcBorders>
            <w:shd w:val="clear" w:color="auto" w:fill="D9E2F3"/>
          </w:tcPr>
          <w:p w14:paraId="5832D8A6" w14:textId="77777777" w:rsidR="00990B14" w:rsidRDefault="00000000">
            <w:pPr>
              <w:jc w:val="center"/>
            </w:pPr>
            <w:r>
              <w:rPr>
                <w:sz w:val="16"/>
              </w:rPr>
              <w:t>2.º</w:t>
            </w:r>
          </w:p>
        </w:tc>
        <w:tc>
          <w:tcPr>
            <w:tcW w:w="1058" w:type="dxa"/>
            <w:tcBorders>
              <w:top w:val="single" w:sz="4" w:space="0" w:color="8EAADB"/>
              <w:left w:val="single" w:sz="4" w:space="0" w:color="8EAADB"/>
              <w:bottom w:val="single" w:sz="4" w:space="0" w:color="8EAADB"/>
              <w:right w:val="single" w:sz="4" w:space="0" w:color="8EAADB"/>
            </w:tcBorders>
            <w:shd w:val="clear" w:color="auto" w:fill="D9E2F3"/>
          </w:tcPr>
          <w:p w14:paraId="31AE3B23" w14:textId="77777777" w:rsidR="00990B14" w:rsidRDefault="00000000">
            <w:pPr>
              <w:jc w:val="center"/>
            </w:pPr>
            <w:r>
              <w:rPr>
                <w:sz w:val="16"/>
              </w:rPr>
              <w:t>CPA-202</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041F7799" w14:textId="77777777" w:rsidR="00990B14" w:rsidRDefault="00000000">
            <w:pPr>
              <w:jc w:val="both"/>
            </w:pPr>
            <w:r>
              <w:rPr>
                <w:sz w:val="16"/>
              </w:rPr>
              <w:t>Contabilidad de Sociedades</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463BDFCE" w14:textId="77777777" w:rsidR="00990B14" w:rsidRDefault="00000000">
            <w:pPr>
              <w:jc w:val="both"/>
            </w:pPr>
            <w:r>
              <w:rPr>
                <w:sz w:val="16"/>
              </w:rPr>
              <w:t>Interpreta, analiza y orienta sobre la aplicación de la legislación comercial para la constitución, desarrollo y modificaciones de capital en las entidades constituidas como sociedades comerciales, procesando la transformación, fusión, liquidación y consolidación con sucursales y casa central, estructurando el tratamiento contable del patrimonio para los diferentes tipos de sociedades comerciales en Bolivia y asesorando a organizaciones sin fines de lucro, con precisión, ética profesional y apego a las disposiciones legales vigentes.</w:t>
            </w:r>
          </w:p>
        </w:tc>
      </w:tr>
      <w:tr w:rsidR="00990B14" w14:paraId="3AC139DE" w14:textId="77777777">
        <w:trPr>
          <w:jc w:val="center"/>
        </w:trPr>
        <w:tc>
          <w:tcPr>
            <w:tcW w:w="705" w:type="dxa"/>
            <w:tcBorders>
              <w:top w:val="single" w:sz="4" w:space="0" w:color="8EAADB"/>
              <w:left w:val="single" w:sz="4" w:space="0" w:color="8EAADB"/>
              <w:bottom w:val="single" w:sz="4" w:space="0" w:color="8EAADB"/>
              <w:right w:val="single" w:sz="4" w:space="0" w:color="8EAADB"/>
            </w:tcBorders>
            <w:shd w:val="clear" w:color="auto" w:fill="D9E2F3"/>
          </w:tcPr>
          <w:p w14:paraId="303D1630" w14:textId="77777777" w:rsidR="00990B14" w:rsidRDefault="00000000">
            <w:pPr>
              <w:jc w:val="center"/>
            </w:pPr>
            <w:r>
              <w:rPr>
                <w:sz w:val="16"/>
              </w:rPr>
              <w:t>2.º</w:t>
            </w:r>
          </w:p>
        </w:tc>
        <w:tc>
          <w:tcPr>
            <w:tcW w:w="1058" w:type="dxa"/>
            <w:tcBorders>
              <w:top w:val="single" w:sz="4" w:space="0" w:color="8EAADB"/>
              <w:left w:val="single" w:sz="4" w:space="0" w:color="8EAADB"/>
              <w:bottom w:val="single" w:sz="4" w:space="0" w:color="8EAADB"/>
              <w:right w:val="single" w:sz="4" w:space="0" w:color="8EAADB"/>
            </w:tcBorders>
            <w:shd w:val="clear" w:color="auto" w:fill="D9E2F3"/>
          </w:tcPr>
          <w:p w14:paraId="3288EA09" w14:textId="77777777" w:rsidR="00990B14" w:rsidRDefault="00000000">
            <w:pPr>
              <w:jc w:val="center"/>
            </w:pPr>
            <w:r>
              <w:rPr>
                <w:sz w:val="16"/>
              </w:rPr>
              <w:t>CPA-203</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49872765" w14:textId="77777777" w:rsidR="00990B14" w:rsidRDefault="00000000">
            <w:pPr>
              <w:jc w:val="both"/>
            </w:pPr>
            <w:r>
              <w:rPr>
                <w:sz w:val="16"/>
              </w:rPr>
              <w:t>Contabilidad de Tributos</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60FF3C82" w14:textId="77777777" w:rsidR="00990B14" w:rsidRDefault="00000000">
            <w:pPr>
              <w:jc w:val="both"/>
            </w:pPr>
            <w:r>
              <w:rPr>
                <w:sz w:val="16"/>
              </w:rPr>
              <w:t xml:space="preserve">Interpreta y aplica el Código Tributario Boliviano (Ley N.º 2492), Sistema Tributario Boliviano (Ley N.º 843) y demás disposiciones </w:t>
            </w:r>
            <w:r>
              <w:rPr>
                <w:sz w:val="16"/>
              </w:rPr>
              <w:lastRenderedPageBreak/>
              <w:t>vigentes; liquida los tributos de dominio nacional, departamental y municipal; determina y concilia el resultado contable con el resultado fiscal; utiliza las plataformas virtuales de la Administración Tributaria; y controla el cumplimiento de las obligaciones tributarias, con rigor técnico, ética profesional y apego a las disposiciones legales.</w:t>
            </w:r>
          </w:p>
        </w:tc>
      </w:tr>
      <w:tr w:rsidR="00990B14" w14:paraId="7D368FC5" w14:textId="77777777">
        <w:trPr>
          <w:jc w:val="center"/>
        </w:trPr>
        <w:tc>
          <w:tcPr>
            <w:tcW w:w="705" w:type="dxa"/>
            <w:tcBorders>
              <w:top w:val="single" w:sz="4" w:space="0" w:color="8EAADB"/>
              <w:left w:val="single" w:sz="4" w:space="0" w:color="8EAADB"/>
              <w:bottom w:val="single" w:sz="4" w:space="0" w:color="8EAADB"/>
              <w:right w:val="single" w:sz="4" w:space="0" w:color="8EAADB"/>
            </w:tcBorders>
            <w:shd w:val="clear" w:color="auto" w:fill="D9E2F3"/>
          </w:tcPr>
          <w:p w14:paraId="21D5D00B" w14:textId="77777777" w:rsidR="00990B14" w:rsidRDefault="00000000">
            <w:pPr>
              <w:jc w:val="center"/>
            </w:pPr>
            <w:r>
              <w:rPr>
                <w:sz w:val="16"/>
              </w:rPr>
              <w:lastRenderedPageBreak/>
              <w:t>2.º</w:t>
            </w:r>
          </w:p>
        </w:tc>
        <w:tc>
          <w:tcPr>
            <w:tcW w:w="1058" w:type="dxa"/>
            <w:tcBorders>
              <w:top w:val="single" w:sz="4" w:space="0" w:color="8EAADB"/>
              <w:left w:val="single" w:sz="4" w:space="0" w:color="8EAADB"/>
              <w:bottom w:val="single" w:sz="4" w:space="0" w:color="8EAADB"/>
              <w:right w:val="single" w:sz="4" w:space="0" w:color="8EAADB"/>
            </w:tcBorders>
            <w:shd w:val="clear" w:color="auto" w:fill="D9E2F3"/>
          </w:tcPr>
          <w:p w14:paraId="229AFA08" w14:textId="77777777" w:rsidR="00990B14" w:rsidRDefault="00000000">
            <w:pPr>
              <w:jc w:val="center"/>
            </w:pPr>
            <w:r>
              <w:rPr>
                <w:sz w:val="16"/>
              </w:rPr>
              <w:t>CPA-204</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2E76DC0D" w14:textId="77777777" w:rsidR="00990B14" w:rsidRDefault="00000000">
            <w:pPr>
              <w:jc w:val="both"/>
            </w:pPr>
            <w:r>
              <w:rPr>
                <w:sz w:val="16"/>
              </w:rPr>
              <w:t>Métodos y Técnicas de Investigación</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20E49BB7" w14:textId="77777777" w:rsidR="00990B14" w:rsidRDefault="00000000">
            <w:pPr>
              <w:jc w:val="both"/>
            </w:pPr>
            <w:r>
              <w:rPr>
                <w:sz w:val="16"/>
              </w:rPr>
              <w:t>Diseña un proyecto de investigación en el campo de las ciencias económicas y financieras, explicando los fundamentos del método científico, planteando el problema y los objetivos, formulando el marco teórico y la hipótesis, aplicando herramientas digitales en la búsqueda bibliográfica, y en el análisis estadístico de la información a recolectar y los resultados a presentar, con pensamiento crítico, rigor metodológico, ética en la investigación y uso responsable de la inteligencia artificial.</w:t>
            </w:r>
          </w:p>
        </w:tc>
      </w:tr>
      <w:tr w:rsidR="00990B14" w14:paraId="40B912D8" w14:textId="77777777">
        <w:trPr>
          <w:jc w:val="center"/>
        </w:trPr>
        <w:tc>
          <w:tcPr>
            <w:tcW w:w="705" w:type="dxa"/>
            <w:tcBorders>
              <w:top w:val="single" w:sz="4" w:space="0" w:color="8EAADB"/>
              <w:left w:val="single" w:sz="4" w:space="0" w:color="8EAADB"/>
              <w:bottom w:val="single" w:sz="4" w:space="0" w:color="8EAADB"/>
              <w:right w:val="single" w:sz="4" w:space="0" w:color="8EAADB"/>
            </w:tcBorders>
            <w:shd w:val="clear" w:color="auto" w:fill="D9E2F3"/>
          </w:tcPr>
          <w:p w14:paraId="31368608" w14:textId="77777777" w:rsidR="00990B14" w:rsidRDefault="00000000">
            <w:pPr>
              <w:jc w:val="center"/>
            </w:pPr>
            <w:r>
              <w:rPr>
                <w:sz w:val="16"/>
              </w:rPr>
              <w:t>2.º</w:t>
            </w:r>
          </w:p>
        </w:tc>
        <w:tc>
          <w:tcPr>
            <w:tcW w:w="1058" w:type="dxa"/>
            <w:tcBorders>
              <w:top w:val="single" w:sz="4" w:space="0" w:color="8EAADB"/>
              <w:left w:val="single" w:sz="4" w:space="0" w:color="8EAADB"/>
              <w:bottom w:val="single" w:sz="4" w:space="0" w:color="8EAADB"/>
              <w:right w:val="single" w:sz="4" w:space="0" w:color="8EAADB"/>
            </w:tcBorders>
            <w:shd w:val="clear" w:color="auto" w:fill="D9E2F3"/>
          </w:tcPr>
          <w:p w14:paraId="13C0B85A" w14:textId="77777777" w:rsidR="00990B14" w:rsidRDefault="00000000">
            <w:pPr>
              <w:jc w:val="center"/>
            </w:pPr>
            <w:r>
              <w:rPr>
                <w:sz w:val="16"/>
              </w:rPr>
              <w:t>ADM-201</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636D0732" w14:textId="77777777" w:rsidR="00990B14" w:rsidRDefault="00000000">
            <w:pPr>
              <w:jc w:val="both"/>
            </w:pPr>
            <w:r>
              <w:rPr>
                <w:sz w:val="16"/>
              </w:rPr>
              <w:t>Administración de Sistemas Gerenciales</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68B9F356" w14:textId="77777777" w:rsidR="00990B14" w:rsidRDefault="00000000">
            <w:pPr>
              <w:jc w:val="both"/>
            </w:pPr>
            <w:r>
              <w:rPr>
                <w:sz w:val="16"/>
              </w:rPr>
              <w:t>Comprende las organizaciones públicas y privadas bajo el enfoque sistémico de la administración, analizando el sistema de toma de decisiones y el sistema de información, aplicando los sistemas de planificación, de organización, de integración de recursos, de dirección y de control, evaluando los riesgos y el control interno de cada sistema, utilizando herramientas digitales en la gestión de la información y adaptando los modelos gerenciales a la gestión de las organizaciones, con liderazgo, pensamiento crítico, ética y eficiencia en el uso de los recursos.</w:t>
            </w:r>
          </w:p>
        </w:tc>
      </w:tr>
      <w:tr w:rsidR="00990B14" w14:paraId="799BA503" w14:textId="77777777">
        <w:trPr>
          <w:jc w:val="center"/>
        </w:trPr>
        <w:tc>
          <w:tcPr>
            <w:tcW w:w="705" w:type="dxa"/>
            <w:tcBorders>
              <w:top w:val="single" w:sz="4" w:space="0" w:color="8EAADB"/>
              <w:left w:val="single" w:sz="4" w:space="0" w:color="8EAADB"/>
              <w:bottom w:val="single" w:sz="4" w:space="0" w:color="8EAADB"/>
              <w:right w:val="single" w:sz="4" w:space="0" w:color="8EAADB"/>
            </w:tcBorders>
            <w:shd w:val="clear" w:color="auto" w:fill="D9E2F3"/>
          </w:tcPr>
          <w:p w14:paraId="1714B1D4" w14:textId="77777777" w:rsidR="00990B14" w:rsidRDefault="00000000">
            <w:pPr>
              <w:jc w:val="center"/>
            </w:pPr>
            <w:r>
              <w:rPr>
                <w:sz w:val="16"/>
              </w:rPr>
              <w:t>2.º</w:t>
            </w:r>
          </w:p>
        </w:tc>
        <w:tc>
          <w:tcPr>
            <w:tcW w:w="1058" w:type="dxa"/>
            <w:tcBorders>
              <w:top w:val="single" w:sz="4" w:space="0" w:color="8EAADB"/>
              <w:left w:val="single" w:sz="4" w:space="0" w:color="8EAADB"/>
              <w:bottom w:val="single" w:sz="4" w:space="0" w:color="8EAADB"/>
              <w:right w:val="single" w:sz="4" w:space="0" w:color="8EAADB"/>
            </w:tcBorders>
            <w:shd w:val="clear" w:color="auto" w:fill="D9E2F3"/>
          </w:tcPr>
          <w:p w14:paraId="0FF6BED3" w14:textId="77777777" w:rsidR="00990B14" w:rsidRDefault="00000000">
            <w:pPr>
              <w:jc w:val="center"/>
            </w:pPr>
            <w:r>
              <w:rPr>
                <w:sz w:val="16"/>
              </w:rPr>
              <w:t>DER-201</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08036FF6" w14:textId="77777777" w:rsidR="00990B14" w:rsidRDefault="00000000">
            <w:pPr>
              <w:jc w:val="both"/>
            </w:pPr>
            <w:r>
              <w:rPr>
                <w:sz w:val="16"/>
              </w:rPr>
              <w:t>Derecho Tributario y Legislación Aduanera</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06EAD28A" w14:textId="77777777" w:rsidR="00990B14" w:rsidRDefault="00000000">
            <w:pPr>
              <w:jc w:val="both"/>
            </w:pPr>
            <w:r>
              <w:rPr>
                <w:sz w:val="16"/>
              </w:rPr>
              <w:t>Aplica el ordenamiento jurídico tributario y aduanero que rige las relaciones entre el Estado y el contribuyente, mediante la fundamentación de los principios constitucionales, la determinación de la obligación tributaria, la aplicación de procedimientos determinativos, regímenes sancionatorios e impugnaciones, y el análisis de la doble imposición internacional con apoyo en herramientas digitales y fuentes oficiales, para garantizar el correcto cumplimiento fiscal, la certidumbre jurídica y la gestión de riesgos en la organización, con pensamiento crítico, ética profesional y estricto apego a las disposiciones legales vigentes.</w:t>
            </w:r>
          </w:p>
        </w:tc>
      </w:tr>
      <w:tr w:rsidR="00990B14" w14:paraId="27FFC4E2" w14:textId="77777777">
        <w:trPr>
          <w:jc w:val="center"/>
        </w:trPr>
        <w:tc>
          <w:tcPr>
            <w:tcW w:w="705" w:type="dxa"/>
            <w:tcBorders>
              <w:top w:val="single" w:sz="4" w:space="0" w:color="8EAADB"/>
              <w:left w:val="single" w:sz="4" w:space="0" w:color="8EAADB"/>
              <w:bottom w:val="single" w:sz="4" w:space="0" w:color="8EAADB"/>
              <w:right w:val="single" w:sz="4" w:space="0" w:color="8EAADB"/>
            </w:tcBorders>
            <w:shd w:val="clear" w:color="auto" w:fill="D9E2F3"/>
          </w:tcPr>
          <w:p w14:paraId="63165CB9" w14:textId="77777777" w:rsidR="00990B14" w:rsidRDefault="00000000">
            <w:pPr>
              <w:jc w:val="center"/>
            </w:pPr>
            <w:r>
              <w:rPr>
                <w:sz w:val="16"/>
              </w:rPr>
              <w:t>2.º</w:t>
            </w:r>
          </w:p>
        </w:tc>
        <w:tc>
          <w:tcPr>
            <w:tcW w:w="1058" w:type="dxa"/>
            <w:tcBorders>
              <w:top w:val="single" w:sz="4" w:space="0" w:color="8EAADB"/>
              <w:left w:val="single" w:sz="4" w:space="0" w:color="8EAADB"/>
              <w:bottom w:val="single" w:sz="4" w:space="0" w:color="8EAADB"/>
              <w:right w:val="single" w:sz="4" w:space="0" w:color="8EAADB"/>
            </w:tcBorders>
            <w:shd w:val="clear" w:color="auto" w:fill="D9E2F3"/>
          </w:tcPr>
          <w:p w14:paraId="6BF01021" w14:textId="77777777" w:rsidR="00990B14" w:rsidRDefault="00000000">
            <w:pPr>
              <w:jc w:val="center"/>
            </w:pPr>
            <w:r>
              <w:rPr>
                <w:sz w:val="16"/>
              </w:rPr>
              <w:t>ECO-201</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73A7A38B" w14:textId="77777777" w:rsidR="00990B14" w:rsidRDefault="00000000">
            <w:pPr>
              <w:jc w:val="both"/>
            </w:pPr>
            <w:r>
              <w:rPr>
                <w:sz w:val="16"/>
              </w:rPr>
              <w:t>Macroeconomía</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0139F885" w14:textId="77777777" w:rsidR="00990B14" w:rsidRDefault="00000000">
            <w:pPr>
              <w:jc w:val="both"/>
            </w:pPr>
            <w:r>
              <w:rPr>
                <w:sz w:val="16"/>
              </w:rPr>
              <w:t>Analiza el comportamiento de la economía boliviana en base a agregados macroeconómicos, del sector real, monetario y externo a través del modelo de equilibrio general, IS-LM y Mundell-Fleming, evaluando los efectos de la política fiscal, monetaria y externa con uso de estadísticas oficiales y hojas de cálculo, rigor cuantitativo, sentido crítico y ética en el manejo de la información.</w:t>
            </w:r>
          </w:p>
        </w:tc>
      </w:tr>
      <w:tr w:rsidR="00990B14" w14:paraId="19E55F49" w14:textId="77777777">
        <w:trPr>
          <w:jc w:val="center"/>
        </w:trPr>
        <w:tc>
          <w:tcPr>
            <w:tcW w:w="705" w:type="dxa"/>
            <w:tcBorders>
              <w:top w:val="single" w:sz="4" w:space="0" w:color="8EAADB"/>
              <w:left w:val="single" w:sz="4" w:space="0" w:color="8EAADB"/>
              <w:bottom w:val="single" w:sz="4" w:space="0" w:color="8EAADB"/>
              <w:right w:val="single" w:sz="4" w:space="0" w:color="8EAADB"/>
            </w:tcBorders>
            <w:shd w:val="clear" w:color="auto" w:fill="D9E2F3"/>
          </w:tcPr>
          <w:p w14:paraId="1A30DF48" w14:textId="77777777" w:rsidR="00990B14" w:rsidRDefault="00000000">
            <w:pPr>
              <w:jc w:val="center"/>
            </w:pPr>
            <w:r>
              <w:rPr>
                <w:sz w:val="16"/>
              </w:rPr>
              <w:t>2.º</w:t>
            </w:r>
          </w:p>
        </w:tc>
        <w:tc>
          <w:tcPr>
            <w:tcW w:w="1058" w:type="dxa"/>
            <w:tcBorders>
              <w:top w:val="single" w:sz="4" w:space="0" w:color="8EAADB"/>
              <w:left w:val="single" w:sz="4" w:space="0" w:color="8EAADB"/>
              <w:bottom w:val="single" w:sz="4" w:space="0" w:color="8EAADB"/>
              <w:right w:val="single" w:sz="4" w:space="0" w:color="8EAADB"/>
            </w:tcBorders>
            <w:shd w:val="clear" w:color="auto" w:fill="D9E2F3"/>
          </w:tcPr>
          <w:p w14:paraId="5FF28F94" w14:textId="77777777" w:rsidR="00990B14" w:rsidRDefault="00000000">
            <w:pPr>
              <w:jc w:val="center"/>
            </w:pPr>
            <w:r>
              <w:rPr>
                <w:sz w:val="16"/>
              </w:rPr>
              <w:t>MAT-201</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777B0EB8" w14:textId="77777777" w:rsidR="00990B14" w:rsidRDefault="00000000">
            <w:pPr>
              <w:jc w:val="both"/>
            </w:pPr>
            <w:r>
              <w:rPr>
                <w:sz w:val="16"/>
              </w:rPr>
              <w:t>Álgebra Lineal y Modelación para Negocios</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46F0AB38" w14:textId="77777777" w:rsidR="00990B14" w:rsidRDefault="00000000">
            <w:pPr>
              <w:jc w:val="both"/>
            </w:pPr>
            <w:r>
              <w:rPr>
                <w:sz w:val="16"/>
              </w:rPr>
              <w:t>Resuelve problemas de aplicación económica y financiera de una entidad boliviana, planteando sistemas de ecuaciones lineales con matrices y determinantes, aplicando modelos de programación lineal con el método simplex y modelos de transporte, asignación y redes en la optimización de recursos escasos, la minimización de costos operacionales y la maximización de utilidades, aplicando modelos de investigación de operaciones al análisis de decisiones con árboles de decisión, programando las operaciones con la secuenciación de tareas y la regla de Johnson, calculando variaciones, permutaciones y combinaciones, y operando con conjuntos, sumatorias y productorias, con uso de hojas de cálculo, pensamiento crítico en la interpretación de los resultados, iniciativa y creatividad.</w:t>
            </w:r>
          </w:p>
        </w:tc>
      </w:tr>
      <w:tr w:rsidR="00990B14" w14:paraId="77431A5C" w14:textId="77777777">
        <w:trPr>
          <w:jc w:val="center"/>
        </w:trPr>
        <w:tc>
          <w:tcPr>
            <w:tcW w:w="705" w:type="dxa"/>
            <w:tcBorders>
              <w:top w:val="single" w:sz="4" w:space="0" w:color="8EAADB"/>
              <w:left w:val="single" w:sz="4" w:space="0" w:color="8EAADB"/>
              <w:bottom w:val="single" w:sz="4" w:space="0" w:color="8EAADB"/>
              <w:right w:val="single" w:sz="4" w:space="0" w:color="8EAADB"/>
            </w:tcBorders>
            <w:shd w:val="clear" w:color="auto" w:fill="D9E2F3"/>
          </w:tcPr>
          <w:p w14:paraId="0F852221" w14:textId="77777777" w:rsidR="00990B14" w:rsidRDefault="00000000">
            <w:pPr>
              <w:jc w:val="center"/>
            </w:pPr>
            <w:r>
              <w:rPr>
                <w:sz w:val="16"/>
              </w:rPr>
              <w:t>3.º</w:t>
            </w:r>
          </w:p>
        </w:tc>
        <w:tc>
          <w:tcPr>
            <w:tcW w:w="1058" w:type="dxa"/>
            <w:tcBorders>
              <w:top w:val="single" w:sz="4" w:space="0" w:color="8EAADB"/>
              <w:left w:val="single" w:sz="4" w:space="0" w:color="8EAADB"/>
              <w:bottom w:val="single" w:sz="4" w:space="0" w:color="8EAADB"/>
              <w:right w:val="single" w:sz="4" w:space="0" w:color="8EAADB"/>
            </w:tcBorders>
            <w:shd w:val="clear" w:color="auto" w:fill="D9E2F3"/>
          </w:tcPr>
          <w:p w14:paraId="017AFEB8" w14:textId="77777777" w:rsidR="00990B14" w:rsidRDefault="00000000">
            <w:pPr>
              <w:jc w:val="center"/>
            </w:pPr>
            <w:r>
              <w:rPr>
                <w:sz w:val="16"/>
              </w:rPr>
              <w:t>CPA-301</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668A8B32" w14:textId="77777777" w:rsidR="00990B14" w:rsidRDefault="00000000">
            <w:pPr>
              <w:jc w:val="both"/>
            </w:pPr>
            <w:r>
              <w:rPr>
                <w:sz w:val="16"/>
              </w:rPr>
              <w:t>Contabilidad Internacional</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6C0AD966" w14:textId="77777777" w:rsidR="00990B14" w:rsidRDefault="00000000">
            <w:pPr>
              <w:jc w:val="both"/>
            </w:pPr>
            <w:r>
              <w:rPr>
                <w:sz w:val="16"/>
              </w:rPr>
              <w:t xml:space="preserve">Prepara estados financieros de propósito general de entidades en Bolivia, de acuerdo con los Estándares Internacionales de Información Financiera (Normas NIIF de Contabilidad y la NIIF para las PYMES) y las Normas de Contabilidad Generalmente Aceptadas en Bolivia, evaluando los criterios de reconocimiento, medición, presentación y revelación de los hechos económicos en organizaciones privadas, bajo criterios de alta comparabilidad y transparencia, para fundamentar la toma de decisiones estratégicas, el cumplimiento normativo y el </w:t>
            </w:r>
            <w:r>
              <w:rPr>
                <w:sz w:val="16"/>
              </w:rPr>
              <w:lastRenderedPageBreak/>
              <w:t>resguardo del interés público; integrando herramientas digitales (hojas de cálculo), terminología de inglés técnico contable y un riguroso juicio profesional ético y objetivo.</w:t>
            </w:r>
          </w:p>
        </w:tc>
      </w:tr>
      <w:tr w:rsidR="00990B14" w14:paraId="38C0C049" w14:textId="77777777">
        <w:trPr>
          <w:jc w:val="center"/>
        </w:trPr>
        <w:tc>
          <w:tcPr>
            <w:tcW w:w="705" w:type="dxa"/>
            <w:tcBorders>
              <w:top w:val="single" w:sz="4" w:space="0" w:color="8EAADB"/>
              <w:left w:val="single" w:sz="4" w:space="0" w:color="8EAADB"/>
              <w:bottom w:val="single" w:sz="4" w:space="0" w:color="8EAADB"/>
              <w:right w:val="single" w:sz="4" w:space="0" w:color="8EAADB"/>
            </w:tcBorders>
            <w:shd w:val="clear" w:color="auto" w:fill="D9E2F3"/>
          </w:tcPr>
          <w:p w14:paraId="64572272" w14:textId="77777777" w:rsidR="00990B14" w:rsidRDefault="00000000">
            <w:pPr>
              <w:jc w:val="center"/>
            </w:pPr>
            <w:r>
              <w:rPr>
                <w:sz w:val="16"/>
              </w:rPr>
              <w:lastRenderedPageBreak/>
              <w:t>3.º</w:t>
            </w:r>
          </w:p>
        </w:tc>
        <w:tc>
          <w:tcPr>
            <w:tcW w:w="1058" w:type="dxa"/>
            <w:tcBorders>
              <w:top w:val="single" w:sz="4" w:space="0" w:color="8EAADB"/>
              <w:left w:val="single" w:sz="4" w:space="0" w:color="8EAADB"/>
              <w:bottom w:val="single" w:sz="4" w:space="0" w:color="8EAADB"/>
              <w:right w:val="single" w:sz="4" w:space="0" w:color="8EAADB"/>
            </w:tcBorders>
            <w:shd w:val="clear" w:color="auto" w:fill="D9E2F3"/>
          </w:tcPr>
          <w:p w14:paraId="7DD16652" w14:textId="77777777" w:rsidR="00990B14" w:rsidRDefault="00000000">
            <w:pPr>
              <w:jc w:val="center"/>
            </w:pPr>
            <w:r>
              <w:rPr>
                <w:sz w:val="16"/>
              </w:rPr>
              <w:t>CPA-302</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654F621B" w14:textId="77777777" w:rsidR="00990B14" w:rsidRDefault="00000000">
            <w:pPr>
              <w:jc w:val="both"/>
            </w:pPr>
            <w:r>
              <w:rPr>
                <w:sz w:val="16"/>
              </w:rPr>
              <w:t>Contabilidad de Costos y Gestión</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31738BA3" w14:textId="77777777" w:rsidR="00990B14" w:rsidRDefault="00000000">
            <w:pPr>
              <w:jc w:val="both"/>
            </w:pPr>
            <w:r>
              <w:rPr>
                <w:sz w:val="16"/>
              </w:rPr>
              <w:t>"Diseña e implementa el sistema integral de costos y el presupuesto maestro en entidades productivas, mediante el control de los elementos del costo (materiales, mano de obra y CIF), la aplicación de sistemas de acumulación (por órdenes, procesos), costeo directo o variable y costos conjuntos y la evaluación de modelos de gestión (costeo estándar y Costeo Basado en Actividades) y la aplicación del costo volumen utilidad, integrando herramientas tecnológicas avanzadas, criterios de sostenibilidad ambiental y economía circular, con rigor técnico, integridad profesional y estricto apego a la norma técnico legal vigente."</w:t>
            </w:r>
          </w:p>
        </w:tc>
      </w:tr>
      <w:tr w:rsidR="00990B14" w14:paraId="5E077851" w14:textId="77777777">
        <w:trPr>
          <w:jc w:val="center"/>
        </w:trPr>
        <w:tc>
          <w:tcPr>
            <w:tcW w:w="705" w:type="dxa"/>
            <w:tcBorders>
              <w:top w:val="single" w:sz="4" w:space="0" w:color="8EAADB"/>
              <w:left w:val="single" w:sz="4" w:space="0" w:color="8EAADB"/>
              <w:bottom w:val="single" w:sz="4" w:space="0" w:color="8EAADB"/>
              <w:right w:val="single" w:sz="4" w:space="0" w:color="8EAADB"/>
            </w:tcBorders>
            <w:shd w:val="clear" w:color="auto" w:fill="D9E2F3"/>
          </w:tcPr>
          <w:p w14:paraId="559D82B7" w14:textId="77777777" w:rsidR="00990B14" w:rsidRDefault="00000000">
            <w:pPr>
              <w:jc w:val="center"/>
            </w:pPr>
            <w:r>
              <w:rPr>
                <w:sz w:val="16"/>
              </w:rPr>
              <w:t>3.º</w:t>
            </w:r>
          </w:p>
        </w:tc>
        <w:tc>
          <w:tcPr>
            <w:tcW w:w="1058" w:type="dxa"/>
            <w:tcBorders>
              <w:top w:val="single" w:sz="4" w:space="0" w:color="8EAADB"/>
              <w:left w:val="single" w:sz="4" w:space="0" w:color="8EAADB"/>
              <w:bottom w:val="single" w:sz="4" w:space="0" w:color="8EAADB"/>
              <w:right w:val="single" w:sz="4" w:space="0" w:color="8EAADB"/>
            </w:tcBorders>
            <w:shd w:val="clear" w:color="auto" w:fill="D9E2F3"/>
          </w:tcPr>
          <w:p w14:paraId="16AC8A4A" w14:textId="77777777" w:rsidR="00990B14" w:rsidRDefault="00000000">
            <w:pPr>
              <w:jc w:val="center"/>
            </w:pPr>
            <w:r>
              <w:rPr>
                <w:sz w:val="16"/>
              </w:rPr>
              <w:t>CPA-303</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7441EA42" w14:textId="77777777" w:rsidR="00990B14" w:rsidRDefault="00000000">
            <w:pPr>
              <w:jc w:val="both"/>
            </w:pPr>
            <w:r>
              <w:rPr>
                <w:sz w:val="16"/>
              </w:rPr>
              <w:t>Contabilidad de Bancos y Entidades Financieras</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1FC4DAB8" w14:textId="77777777" w:rsidR="00990B14" w:rsidRDefault="00000000">
            <w:pPr>
              <w:jc w:val="both"/>
            </w:pPr>
            <w:r>
              <w:rPr>
                <w:sz w:val="16"/>
              </w:rPr>
              <w:t>Registra las transacciones contables de los bancos y las entidades financieras del Sistema Financiero Nacional para la elaboración de estados financieros conforme al Manual de Cuentas de la Autoridad de Supervisión del Sistema Financiero y a las Normas de Contabilidad Generalmente Aceptadas en Bolivia, de las operaciones activas, pasivas, de servicio y financieras que realiza un banco.Describe la estructura del sistema financiero y la banca digital con transparencia, rigor técnico, prevención de la legitimación de ganancias ilícitas y apego a la normativa regulatoria y legal vigente en el país.</w:t>
            </w:r>
          </w:p>
        </w:tc>
      </w:tr>
      <w:tr w:rsidR="00990B14" w14:paraId="005E90EC" w14:textId="77777777">
        <w:trPr>
          <w:jc w:val="center"/>
        </w:trPr>
        <w:tc>
          <w:tcPr>
            <w:tcW w:w="705" w:type="dxa"/>
            <w:tcBorders>
              <w:top w:val="single" w:sz="4" w:space="0" w:color="8EAADB"/>
              <w:left w:val="single" w:sz="4" w:space="0" w:color="8EAADB"/>
              <w:bottom w:val="single" w:sz="4" w:space="0" w:color="8EAADB"/>
              <w:right w:val="single" w:sz="4" w:space="0" w:color="8EAADB"/>
            </w:tcBorders>
            <w:shd w:val="clear" w:color="auto" w:fill="D9E2F3"/>
          </w:tcPr>
          <w:p w14:paraId="5F9FB376" w14:textId="77777777" w:rsidR="00990B14" w:rsidRDefault="00000000">
            <w:pPr>
              <w:jc w:val="center"/>
            </w:pPr>
            <w:r>
              <w:rPr>
                <w:sz w:val="16"/>
              </w:rPr>
              <w:t>3.º</w:t>
            </w:r>
          </w:p>
        </w:tc>
        <w:tc>
          <w:tcPr>
            <w:tcW w:w="1058" w:type="dxa"/>
            <w:tcBorders>
              <w:top w:val="single" w:sz="4" w:space="0" w:color="8EAADB"/>
              <w:left w:val="single" w:sz="4" w:space="0" w:color="8EAADB"/>
              <w:bottom w:val="single" w:sz="4" w:space="0" w:color="8EAADB"/>
              <w:right w:val="single" w:sz="4" w:space="0" w:color="8EAADB"/>
            </w:tcBorders>
            <w:shd w:val="clear" w:color="auto" w:fill="D9E2F3"/>
          </w:tcPr>
          <w:p w14:paraId="0CB48F43" w14:textId="77777777" w:rsidR="00990B14" w:rsidRDefault="00000000">
            <w:pPr>
              <w:jc w:val="center"/>
            </w:pPr>
            <w:r>
              <w:rPr>
                <w:sz w:val="16"/>
              </w:rPr>
              <w:t>CPA-304</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05E8A535" w14:textId="77777777" w:rsidR="00990B14" w:rsidRDefault="00000000">
            <w:pPr>
              <w:jc w:val="both"/>
            </w:pPr>
            <w:r>
              <w:rPr>
                <w:sz w:val="16"/>
              </w:rPr>
              <w:t>Presupuesto y Contabilidad Gubernamental</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491687A5" w14:textId="77777777" w:rsidR="00990B14" w:rsidRDefault="00000000">
            <w:pPr>
              <w:jc w:val="both"/>
            </w:pPr>
            <w:r>
              <w:rPr>
                <w:sz w:val="16"/>
              </w:rPr>
              <w:t>Formula el presupuesto de recursos y gastos y elabora los estados financieros de una entidad pública boliviana, analizando la estructura del Estado y la planificación integral, explicando los sistemas de administración y control gubernamental y el régimen de responsabilidad por la función pública, registrando los hechos presupuestarios, económicos y financieros en los momentos presupuestarios, contables y de tesorería del Sistema de Contabilidad Integrada y aplicando las Normas de Contabilidad Integrada y Normas Internacionales del Sector Público, con precisión técnica, ética profesional, transparencia y apego a las políticas y normas vigentes del Órgano Rector.</w:t>
            </w:r>
          </w:p>
        </w:tc>
      </w:tr>
      <w:tr w:rsidR="00990B14" w14:paraId="4868E57A" w14:textId="77777777">
        <w:trPr>
          <w:jc w:val="center"/>
        </w:trPr>
        <w:tc>
          <w:tcPr>
            <w:tcW w:w="705" w:type="dxa"/>
            <w:tcBorders>
              <w:top w:val="single" w:sz="4" w:space="0" w:color="8EAADB"/>
              <w:left w:val="single" w:sz="4" w:space="0" w:color="8EAADB"/>
              <w:bottom w:val="single" w:sz="4" w:space="0" w:color="8EAADB"/>
              <w:right w:val="single" w:sz="4" w:space="0" w:color="8EAADB"/>
            </w:tcBorders>
            <w:shd w:val="clear" w:color="auto" w:fill="D9E2F3"/>
          </w:tcPr>
          <w:p w14:paraId="46EA6841" w14:textId="77777777" w:rsidR="00990B14" w:rsidRDefault="00000000">
            <w:pPr>
              <w:jc w:val="center"/>
            </w:pPr>
            <w:r>
              <w:rPr>
                <w:sz w:val="16"/>
              </w:rPr>
              <w:t>3.º</w:t>
            </w:r>
          </w:p>
        </w:tc>
        <w:tc>
          <w:tcPr>
            <w:tcW w:w="1058" w:type="dxa"/>
            <w:tcBorders>
              <w:top w:val="single" w:sz="4" w:space="0" w:color="8EAADB"/>
              <w:left w:val="single" w:sz="4" w:space="0" w:color="8EAADB"/>
              <w:bottom w:val="single" w:sz="4" w:space="0" w:color="8EAADB"/>
              <w:right w:val="single" w:sz="4" w:space="0" w:color="8EAADB"/>
            </w:tcBorders>
            <w:shd w:val="clear" w:color="auto" w:fill="D9E2F3"/>
          </w:tcPr>
          <w:p w14:paraId="29AE5A23" w14:textId="77777777" w:rsidR="00990B14" w:rsidRDefault="00000000">
            <w:pPr>
              <w:jc w:val="center"/>
            </w:pPr>
            <w:r>
              <w:rPr>
                <w:sz w:val="16"/>
              </w:rPr>
              <w:t>CPA-305</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20C4AE62" w14:textId="77777777" w:rsidR="00990B14" w:rsidRDefault="00000000">
            <w:pPr>
              <w:jc w:val="both"/>
            </w:pPr>
            <w:r>
              <w:rPr>
                <w:sz w:val="16"/>
              </w:rPr>
              <w:t>Sistemas Contables ERP y Análisis de Datos</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3462ABE3" w14:textId="77777777" w:rsidR="00990B14" w:rsidRDefault="00000000">
            <w:pPr>
              <w:jc w:val="both"/>
            </w:pPr>
            <w:r>
              <w:rPr>
                <w:sz w:val="16"/>
              </w:rPr>
              <w:t>Gestiona la información financiera y operativa de entidades económicas mediante la implementación y operación de sistemas contables de escritorio y en la nube, ERP y herramientas de análisis de datos, asegurando el cumplimiento de la normativa contable, tributaria y laboral boliviana, para la toma de decisiones gerenciales, aplicando principios de ética y seguridad de la información</w:t>
            </w:r>
          </w:p>
        </w:tc>
      </w:tr>
      <w:tr w:rsidR="00990B14" w14:paraId="78D70BDB" w14:textId="77777777">
        <w:trPr>
          <w:jc w:val="center"/>
        </w:trPr>
        <w:tc>
          <w:tcPr>
            <w:tcW w:w="705" w:type="dxa"/>
            <w:tcBorders>
              <w:top w:val="single" w:sz="4" w:space="0" w:color="8EAADB"/>
              <w:left w:val="single" w:sz="4" w:space="0" w:color="8EAADB"/>
              <w:bottom w:val="single" w:sz="4" w:space="0" w:color="8EAADB"/>
              <w:right w:val="single" w:sz="4" w:space="0" w:color="8EAADB"/>
            </w:tcBorders>
            <w:shd w:val="clear" w:color="auto" w:fill="D9E2F3"/>
          </w:tcPr>
          <w:p w14:paraId="7B385421" w14:textId="77777777" w:rsidR="00990B14" w:rsidRDefault="00000000">
            <w:pPr>
              <w:jc w:val="center"/>
            </w:pPr>
            <w:r>
              <w:rPr>
                <w:sz w:val="16"/>
              </w:rPr>
              <w:t>3.º</w:t>
            </w:r>
          </w:p>
        </w:tc>
        <w:tc>
          <w:tcPr>
            <w:tcW w:w="1058" w:type="dxa"/>
            <w:tcBorders>
              <w:top w:val="single" w:sz="4" w:space="0" w:color="8EAADB"/>
              <w:left w:val="single" w:sz="4" w:space="0" w:color="8EAADB"/>
              <w:bottom w:val="single" w:sz="4" w:space="0" w:color="8EAADB"/>
              <w:right w:val="single" w:sz="4" w:space="0" w:color="8EAADB"/>
            </w:tcBorders>
            <w:shd w:val="clear" w:color="auto" w:fill="D9E2F3"/>
          </w:tcPr>
          <w:p w14:paraId="3B007BE3" w14:textId="77777777" w:rsidR="00990B14" w:rsidRDefault="00000000">
            <w:pPr>
              <w:jc w:val="center"/>
            </w:pPr>
            <w:r>
              <w:rPr>
                <w:sz w:val="16"/>
              </w:rPr>
              <w:t>ADM-301</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1C9D7DB9" w14:textId="77777777" w:rsidR="00990B14" w:rsidRDefault="00000000">
            <w:pPr>
              <w:jc w:val="both"/>
            </w:pPr>
            <w:r>
              <w:rPr>
                <w:sz w:val="16"/>
              </w:rPr>
              <w:t>Desarrollo Organizacional y Comportamiento Organizacional</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60ECD5E8" w14:textId="77777777" w:rsidR="00990B14" w:rsidRDefault="00000000">
            <w:pPr>
              <w:jc w:val="both"/>
            </w:pPr>
            <w:r>
              <w:rPr>
                <w:sz w:val="16"/>
              </w:rPr>
              <w:t>Conduce el desarrollo organizacional de entidades públicas y privadas bolivianas, fortaleciendo su cultura, aprendizaje e innovación, implementando el cambio, fundamentando las decisiones gerenciales con modelos de decisión e información de gestión, y formulando modelos y planes de negocio con apoyo del marketing, la transformación digital y la inteligencia artificial, con liderazgo ético, pensamiento crítico, trabajo en equipo, respeto a la diversidad y responsabilidad social.</w:t>
            </w:r>
          </w:p>
        </w:tc>
      </w:tr>
      <w:tr w:rsidR="00990B14" w14:paraId="6801C0B0" w14:textId="77777777">
        <w:trPr>
          <w:jc w:val="center"/>
        </w:trPr>
        <w:tc>
          <w:tcPr>
            <w:tcW w:w="705" w:type="dxa"/>
            <w:tcBorders>
              <w:top w:val="single" w:sz="4" w:space="0" w:color="8EAADB"/>
              <w:left w:val="single" w:sz="4" w:space="0" w:color="8EAADB"/>
              <w:bottom w:val="single" w:sz="4" w:space="0" w:color="8EAADB"/>
              <w:right w:val="single" w:sz="4" w:space="0" w:color="8EAADB"/>
            </w:tcBorders>
            <w:shd w:val="clear" w:color="auto" w:fill="D9E2F3"/>
          </w:tcPr>
          <w:p w14:paraId="6CEEC3F2" w14:textId="77777777" w:rsidR="00990B14" w:rsidRDefault="00000000">
            <w:pPr>
              <w:jc w:val="center"/>
            </w:pPr>
            <w:r>
              <w:rPr>
                <w:sz w:val="16"/>
              </w:rPr>
              <w:t>3.º</w:t>
            </w:r>
          </w:p>
        </w:tc>
        <w:tc>
          <w:tcPr>
            <w:tcW w:w="1058" w:type="dxa"/>
            <w:tcBorders>
              <w:top w:val="single" w:sz="4" w:space="0" w:color="8EAADB"/>
              <w:left w:val="single" w:sz="4" w:space="0" w:color="8EAADB"/>
              <w:bottom w:val="single" w:sz="4" w:space="0" w:color="8EAADB"/>
              <w:right w:val="single" w:sz="4" w:space="0" w:color="8EAADB"/>
            </w:tcBorders>
            <w:shd w:val="clear" w:color="auto" w:fill="D9E2F3"/>
          </w:tcPr>
          <w:p w14:paraId="1EE010A1" w14:textId="77777777" w:rsidR="00990B14" w:rsidRDefault="00000000">
            <w:pPr>
              <w:jc w:val="center"/>
            </w:pPr>
            <w:r>
              <w:rPr>
                <w:sz w:val="16"/>
              </w:rPr>
              <w:t>ECO-301</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14EAB1C1" w14:textId="77777777" w:rsidR="00990B14" w:rsidRDefault="00000000">
            <w:pPr>
              <w:jc w:val="both"/>
            </w:pPr>
            <w:r>
              <w:rPr>
                <w:sz w:val="16"/>
              </w:rPr>
              <w:t>Preparación y Evaluación de Proyectos</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0AB1F49C" w14:textId="77777777" w:rsidR="00990B14" w:rsidRDefault="00000000">
            <w:pPr>
              <w:jc w:val="both"/>
            </w:pPr>
            <w:r>
              <w:rPr>
                <w:sz w:val="16"/>
              </w:rPr>
              <w:t>Elabora un proyecto de inversión privado o público, analizando el mercado y la demanda potencial de un producto o servicio, diseñando el tamaño, la localización y la organización del proyecto, verificando su viabilidad legal y ambiental, calculando los costos y la inversión requerida y midiendo el efecto del riesgo con el análisis de sensibilidad, y elaborando flujos de caja para la evaluación financiera y socioeconómica a nivel privado y público en base a la normativa vigente de inversión pública, con uso de hojas de cálculo, objetividad, rigor técnico, sentido crítico y atención al aporte del proyecto al desarrollo del país.</w:t>
            </w:r>
          </w:p>
        </w:tc>
      </w:tr>
      <w:tr w:rsidR="00990B14" w14:paraId="778D3A85" w14:textId="77777777">
        <w:trPr>
          <w:jc w:val="center"/>
        </w:trPr>
        <w:tc>
          <w:tcPr>
            <w:tcW w:w="705" w:type="dxa"/>
            <w:tcBorders>
              <w:top w:val="single" w:sz="4" w:space="0" w:color="8EAADB"/>
              <w:left w:val="single" w:sz="4" w:space="0" w:color="8EAADB"/>
              <w:bottom w:val="single" w:sz="4" w:space="0" w:color="8EAADB"/>
              <w:right w:val="single" w:sz="4" w:space="0" w:color="8EAADB"/>
            </w:tcBorders>
            <w:shd w:val="clear" w:color="auto" w:fill="D9E2F3"/>
          </w:tcPr>
          <w:p w14:paraId="264A0CBC" w14:textId="77777777" w:rsidR="00990B14" w:rsidRDefault="00000000">
            <w:pPr>
              <w:jc w:val="center"/>
            </w:pPr>
            <w:r>
              <w:rPr>
                <w:sz w:val="16"/>
              </w:rPr>
              <w:t>3.º</w:t>
            </w:r>
          </w:p>
        </w:tc>
        <w:tc>
          <w:tcPr>
            <w:tcW w:w="1058" w:type="dxa"/>
            <w:tcBorders>
              <w:top w:val="single" w:sz="4" w:space="0" w:color="8EAADB"/>
              <w:left w:val="single" w:sz="4" w:space="0" w:color="8EAADB"/>
              <w:bottom w:val="single" w:sz="4" w:space="0" w:color="8EAADB"/>
              <w:right w:val="single" w:sz="4" w:space="0" w:color="8EAADB"/>
            </w:tcBorders>
            <w:shd w:val="clear" w:color="auto" w:fill="D9E2F3"/>
          </w:tcPr>
          <w:p w14:paraId="01D75840" w14:textId="77777777" w:rsidR="00990B14" w:rsidRDefault="00000000">
            <w:pPr>
              <w:jc w:val="center"/>
            </w:pPr>
            <w:r>
              <w:rPr>
                <w:sz w:val="16"/>
              </w:rPr>
              <w:t>MAT-301</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3D613B75" w14:textId="77777777" w:rsidR="00990B14" w:rsidRDefault="00000000">
            <w:pPr>
              <w:jc w:val="both"/>
            </w:pPr>
            <w:r>
              <w:rPr>
                <w:sz w:val="16"/>
              </w:rPr>
              <w:t>Estadística</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5632D7CA" w14:textId="77777777" w:rsidR="00990B14" w:rsidRDefault="00000000">
            <w:pPr>
              <w:jc w:val="both"/>
            </w:pPr>
            <w:r>
              <w:rPr>
                <w:sz w:val="16"/>
              </w:rPr>
              <w:t xml:space="preserve">Aplica el muestreo estadístico en el análisis de datos aplicado a </w:t>
            </w:r>
            <w:r>
              <w:rPr>
                <w:sz w:val="16"/>
              </w:rPr>
              <w:lastRenderedPageBreak/>
              <w:t>los negocios. Calcula e interpreta medidas de tendencia central, de posición, de dispersión y de forma de un conjunto de datos, analizando la correlación y la regresión entre dos o más variables con atención a sus supuestos y límites, aplicando las probabilidades y los modelos probabilísticos a variables aleatorias, construyendo intervalos de confianza para estimar los parámetros poblacionales. Aplica la docimasia de hipótesis estadísticas, utilizando muestras insesgadas, consistentes, eficientes y de máxima verosimilitud sobre medias o proporciones poblacionales, con el manejo de herramientas estadísticas computacionales como Excel, R, Python, SPSS y STATA, todo ello con rigor técnico, sentido crítico en la interpretación de los resultados estadísticos y ética en el manejo de los datos para una posterior toma de decisiones.</w:t>
            </w:r>
          </w:p>
        </w:tc>
      </w:tr>
      <w:tr w:rsidR="00990B14" w14:paraId="77D78C44" w14:textId="77777777">
        <w:trPr>
          <w:jc w:val="center"/>
        </w:trPr>
        <w:tc>
          <w:tcPr>
            <w:tcW w:w="705" w:type="dxa"/>
            <w:tcBorders>
              <w:top w:val="single" w:sz="4" w:space="0" w:color="8EAADB"/>
              <w:left w:val="single" w:sz="4" w:space="0" w:color="8EAADB"/>
              <w:bottom w:val="single" w:sz="4" w:space="0" w:color="8EAADB"/>
              <w:right w:val="single" w:sz="4" w:space="0" w:color="8EAADB"/>
            </w:tcBorders>
            <w:shd w:val="clear" w:color="auto" w:fill="D9E2F3"/>
          </w:tcPr>
          <w:p w14:paraId="000AEDDE" w14:textId="77777777" w:rsidR="00990B14" w:rsidRDefault="00000000">
            <w:pPr>
              <w:jc w:val="center"/>
            </w:pPr>
            <w:r>
              <w:rPr>
                <w:sz w:val="16"/>
              </w:rPr>
              <w:lastRenderedPageBreak/>
              <w:t>4.º</w:t>
            </w:r>
          </w:p>
        </w:tc>
        <w:tc>
          <w:tcPr>
            <w:tcW w:w="1058" w:type="dxa"/>
            <w:tcBorders>
              <w:top w:val="single" w:sz="4" w:space="0" w:color="8EAADB"/>
              <w:left w:val="single" w:sz="4" w:space="0" w:color="8EAADB"/>
              <w:bottom w:val="single" w:sz="4" w:space="0" w:color="8EAADB"/>
              <w:right w:val="single" w:sz="4" w:space="0" w:color="8EAADB"/>
            </w:tcBorders>
            <w:shd w:val="clear" w:color="auto" w:fill="D9E2F3"/>
          </w:tcPr>
          <w:p w14:paraId="3E540057" w14:textId="77777777" w:rsidR="00990B14" w:rsidRDefault="00000000">
            <w:pPr>
              <w:jc w:val="center"/>
            </w:pPr>
            <w:r>
              <w:rPr>
                <w:sz w:val="16"/>
              </w:rPr>
              <w:t>CPA-401</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379DE745" w14:textId="77777777" w:rsidR="00990B14" w:rsidRDefault="00000000">
            <w:pPr>
              <w:jc w:val="both"/>
            </w:pPr>
            <w:r>
              <w:rPr>
                <w:sz w:val="16"/>
              </w:rPr>
              <w:t>Contabilidad Minera y Petrolera</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3FBE0521" w14:textId="77777777" w:rsidR="00990B14" w:rsidRDefault="00000000">
            <w:pPr>
              <w:jc w:val="both"/>
            </w:pPr>
            <w:r>
              <w:rPr>
                <w:sz w:val="16"/>
              </w:rPr>
              <w:t>Elabora los estados financieros de las empresas mineras y petroleras conforme a las normas de contabilidad y las disposiciones legales vigentes en Bolivia, aplicando los fundamentos contables de ambas industrias, registrando cada una de las operaciones que intervienen en las mismas, determinando de manera eficiente los costos mineros y petroleros para una toma de decisiones oportuna, sistemática, con sentido crítico, objetivo y atención al desempeño ambiental y social de las industrias extractivas.</w:t>
            </w:r>
          </w:p>
        </w:tc>
      </w:tr>
      <w:tr w:rsidR="00990B14" w14:paraId="1640633A" w14:textId="77777777">
        <w:trPr>
          <w:jc w:val="center"/>
        </w:trPr>
        <w:tc>
          <w:tcPr>
            <w:tcW w:w="705" w:type="dxa"/>
            <w:tcBorders>
              <w:top w:val="single" w:sz="4" w:space="0" w:color="8EAADB"/>
              <w:left w:val="single" w:sz="4" w:space="0" w:color="8EAADB"/>
              <w:bottom w:val="single" w:sz="4" w:space="0" w:color="8EAADB"/>
              <w:right w:val="single" w:sz="4" w:space="0" w:color="8EAADB"/>
            </w:tcBorders>
            <w:shd w:val="clear" w:color="auto" w:fill="D9E2F3"/>
          </w:tcPr>
          <w:p w14:paraId="232CFF45" w14:textId="77777777" w:rsidR="00990B14" w:rsidRDefault="00000000">
            <w:pPr>
              <w:jc w:val="center"/>
            </w:pPr>
            <w:r>
              <w:rPr>
                <w:sz w:val="16"/>
              </w:rPr>
              <w:t>4.º</w:t>
            </w:r>
          </w:p>
        </w:tc>
        <w:tc>
          <w:tcPr>
            <w:tcW w:w="1058" w:type="dxa"/>
            <w:tcBorders>
              <w:top w:val="single" w:sz="4" w:space="0" w:color="8EAADB"/>
              <w:left w:val="single" w:sz="4" w:space="0" w:color="8EAADB"/>
              <w:bottom w:val="single" w:sz="4" w:space="0" w:color="8EAADB"/>
              <w:right w:val="single" w:sz="4" w:space="0" w:color="8EAADB"/>
            </w:tcBorders>
            <w:shd w:val="clear" w:color="auto" w:fill="D9E2F3"/>
          </w:tcPr>
          <w:p w14:paraId="1049C992" w14:textId="77777777" w:rsidR="00990B14" w:rsidRDefault="00000000">
            <w:pPr>
              <w:jc w:val="center"/>
            </w:pPr>
            <w:r>
              <w:rPr>
                <w:sz w:val="16"/>
              </w:rPr>
              <w:t>CPA-402</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79C68ECC" w14:textId="77777777" w:rsidR="00990B14" w:rsidRDefault="00000000">
            <w:pPr>
              <w:jc w:val="both"/>
            </w:pPr>
            <w:r>
              <w:rPr>
                <w:sz w:val="16"/>
              </w:rPr>
              <w:t>Contabilidad Agrícola y Ganadera</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5161211E" w14:textId="77777777" w:rsidR="00990B14" w:rsidRDefault="00000000">
            <w:pPr>
              <w:jc w:val="both"/>
            </w:pPr>
            <w:r>
              <w:rPr>
                <w:sz w:val="16"/>
              </w:rPr>
              <w:t>Elabora los estados financieros de las empresas agrícolas y ganaderas conforme a las normas de contabilidad y las disposiciones legales vigentes en Bolivia, explicando los fundamentos y la administración de la empresa agropecuaria, determinando las obligaciones del régimen impositivo agropecuario, describiendo los procesos de producción agrícola y ganadera, registrando las operaciones contables de ambas actividades, determinando los costos de producción con hojas de costos en hoja de cálculo y aplicando NC y NIIF y herramientas tecnológicas, con sentido crítico ante el riesgo climático y de mercado, ética profesional y atención al desempeño ambiental y social del sector.</w:t>
            </w:r>
          </w:p>
        </w:tc>
      </w:tr>
      <w:tr w:rsidR="00990B14" w14:paraId="613F3A85" w14:textId="77777777">
        <w:trPr>
          <w:jc w:val="center"/>
        </w:trPr>
        <w:tc>
          <w:tcPr>
            <w:tcW w:w="705" w:type="dxa"/>
            <w:tcBorders>
              <w:top w:val="single" w:sz="4" w:space="0" w:color="8EAADB"/>
              <w:left w:val="single" w:sz="4" w:space="0" w:color="8EAADB"/>
              <w:bottom w:val="single" w:sz="4" w:space="0" w:color="8EAADB"/>
              <w:right w:val="single" w:sz="4" w:space="0" w:color="8EAADB"/>
            </w:tcBorders>
            <w:shd w:val="clear" w:color="auto" w:fill="D9E2F3"/>
          </w:tcPr>
          <w:p w14:paraId="3F2B6E0E" w14:textId="77777777" w:rsidR="00990B14" w:rsidRDefault="00000000">
            <w:pPr>
              <w:jc w:val="center"/>
            </w:pPr>
            <w:r>
              <w:rPr>
                <w:sz w:val="16"/>
              </w:rPr>
              <w:t>4.º</w:t>
            </w:r>
          </w:p>
        </w:tc>
        <w:tc>
          <w:tcPr>
            <w:tcW w:w="1058" w:type="dxa"/>
            <w:tcBorders>
              <w:top w:val="single" w:sz="4" w:space="0" w:color="8EAADB"/>
              <w:left w:val="single" w:sz="4" w:space="0" w:color="8EAADB"/>
              <w:bottom w:val="single" w:sz="4" w:space="0" w:color="8EAADB"/>
              <w:right w:val="single" w:sz="4" w:space="0" w:color="8EAADB"/>
            </w:tcBorders>
            <w:shd w:val="clear" w:color="auto" w:fill="D9E2F3"/>
          </w:tcPr>
          <w:p w14:paraId="0029DB98" w14:textId="77777777" w:rsidR="00990B14" w:rsidRDefault="00000000">
            <w:pPr>
              <w:jc w:val="center"/>
            </w:pPr>
            <w:r>
              <w:rPr>
                <w:sz w:val="16"/>
              </w:rPr>
              <w:t>CPA-403</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60D9F4CA" w14:textId="77777777" w:rsidR="00990B14" w:rsidRDefault="00000000">
            <w:pPr>
              <w:jc w:val="both"/>
            </w:pPr>
            <w:r>
              <w:rPr>
                <w:sz w:val="16"/>
              </w:rPr>
              <w:t>Contabilidad de Seguros: Privado y Público</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2490C76C" w14:textId="77777777" w:rsidR="00990B14" w:rsidRDefault="00000000">
            <w:pPr>
              <w:jc w:val="both"/>
            </w:pPr>
            <w:r>
              <w:rPr>
                <w:sz w:val="16"/>
              </w:rPr>
              <w:t>Desarrolla los fundamentos del seguro privado y Seguro Publico, aspectos legales, técnicos, reglamentarios teóricos, y prácticos del área de la actividad especializada considerando su función social y las formas específicas de la contabilidad, para la elaboración de Estados Financieros de las entidades de seguro privado y seguro público, en consideración a los aspectos técnicos para su contabilización y análisis e interpretación de los estados financieros del Sistema que abarca al mercado de seguros con principios, valores y ética profesional.</w:t>
            </w:r>
          </w:p>
        </w:tc>
      </w:tr>
      <w:tr w:rsidR="00990B14" w14:paraId="6E6D9F7F" w14:textId="77777777">
        <w:trPr>
          <w:jc w:val="center"/>
        </w:trPr>
        <w:tc>
          <w:tcPr>
            <w:tcW w:w="705" w:type="dxa"/>
            <w:tcBorders>
              <w:top w:val="single" w:sz="4" w:space="0" w:color="8EAADB"/>
              <w:left w:val="single" w:sz="4" w:space="0" w:color="8EAADB"/>
              <w:bottom w:val="single" w:sz="4" w:space="0" w:color="8EAADB"/>
              <w:right w:val="single" w:sz="4" w:space="0" w:color="8EAADB"/>
            </w:tcBorders>
            <w:shd w:val="clear" w:color="auto" w:fill="D9E2F3"/>
          </w:tcPr>
          <w:p w14:paraId="51B4FAAC" w14:textId="77777777" w:rsidR="00990B14" w:rsidRDefault="00000000">
            <w:pPr>
              <w:jc w:val="center"/>
            </w:pPr>
            <w:r>
              <w:rPr>
                <w:sz w:val="16"/>
              </w:rPr>
              <w:t>4.º</w:t>
            </w:r>
          </w:p>
        </w:tc>
        <w:tc>
          <w:tcPr>
            <w:tcW w:w="1058" w:type="dxa"/>
            <w:tcBorders>
              <w:top w:val="single" w:sz="4" w:space="0" w:color="8EAADB"/>
              <w:left w:val="single" w:sz="4" w:space="0" w:color="8EAADB"/>
              <w:bottom w:val="single" w:sz="4" w:space="0" w:color="8EAADB"/>
              <w:right w:val="single" w:sz="4" w:space="0" w:color="8EAADB"/>
            </w:tcBorders>
            <w:shd w:val="clear" w:color="auto" w:fill="D9E2F3"/>
          </w:tcPr>
          <w:p w14:paraId="27018A14" w14:textId="77777777" w:rsidR="00990B14" w:rsidRDefault="00000000">
            <w:pPr>
              <w:jc w:val="center"/>
            </w:pPr>
            <w:r>
              <w:rPr>
                <w:sz w:val="16"/>
              </w:rPr>
              <w:t>CPA-404</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011AE2D5" w14:textId="77777777" w:rsidR="00990B14" w:rsidRDefault="00000000">
            <w:pPr>
              <w:jc w:val="both"/>
            </w:pPr>
            <w:r>
              <w:rPr>
                <w:sz w:val="16"/>
              </w:rPr>
              <w:t>Diseño e Implantación de Sistemas de Contabilidad</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7F7CB661" w14:textId="77777777" w:rsidR="00990B14" w:rsidRDefault="00000000">
            <w:pPr>
              <w:jc w:val="both"/>
            </w:pPr>
            <w:r>
              <w:rPr>
                <w:sz w:val="16"/>
              </w:rPr>
              <w:t>Diseña el sistema contable integrado de una organización conforme a las normas de contabilidad y las disposiciones legales vigentes en Bolivia, explicando los fundamentos del diseño de sistemas y el modelo de negocios de la empresa, analizando y diagnosticando sus sistemas empresariales, estructurando el plan de cuentas y los componentes del sistema de información contable, evaluando el sistema de control interno de sus ciclos transaccionales con los marcos COSO y los controles generales de tecnología de la información, elaborando la documentación interna del sistema y relacionando el Sistema de Contabilidad Integrada con la gestión financiera pública, con rigor técnico, sentido crítico, resguardo de la información y ética profesional.</w:t>
            </w:r>
          </w:p>
        </w:tc>
      </w:tr>
      <w:tr w:rsidR="00990B14" w14:paraId="1A4540B2" w14:textId="77777777">
        <w:trPr>
          <w:jc w:val="center"/>
        </w:trPr>
        <w:tc>
          <w:tcPr>
            <w:tcW w:w="705" w:type="dxa"/>
            <w:tcBorders>
              <w:top w:val="single" w:sz="4" w:space="0" w:color="8EAADB"/>
              <w:left w:val="single" w:sz="4" w:space="0" w:color="8EAADB"/>
              <w:bottom w:val="single" w:sz="4" w:space="0" w:color="8EAADB"/>
              <w:right w:val="single" w:sz="4" w:space="0" w:color="8EAADB"/>
            </w:tcBorders>
            <w:shd w:val="clear" w:color="auto" w:fill="D9E2F3"/>
          </w:tcPr>
          <w:p w14:paraId="7E8CC50B" w14:textId="77777777" w:rsidR="00990B14" w:rsidRDefault="00000000">
            <w:pPr>
              <w:jc w:val="center"/>
            </w:pPr>
            <w:r>
              <w:rPr>
                <w:sz w:val="16"/>
              </w:rPr>
              <w:t>4.º</w:t>
            </w:r>
          </w:p>
        </w:tc>
        <w:tc>
          <w:tcPr>
            <w:tcW w:w="1058" w:type="dxa"/>
            <w:tcBorders>
              <w:top w:val="single" w:sz="4" w:space="0" w:color="8EAADB"/>
              <w:left w:val="single" w:sz="4" w:space="0" w:color="8EAADB"/>
              <w:bottom w:val="single" w:sz="4" w:space="0" w:color="8EAADB"/>
              <w:right w:val="single" w:sz="4" w:space="0" w:color="8EAADB"/>
            </w:tcBorders>
            <w:shd w:val="clear" w:color="auto" w:fill="D9E2F3"/>
          </w:tcPr>
          <w:p w14:paraId="79702536" w14:textId="77777777" w:rsidR="00990B14" w:rsidRDefault="00000000">
            <w:pPr>
              <w:jc w:val="center"/>
            </w:pPr>
            <w:r>
              <w:rPr>
                <w:sz w:val="16"/>
              </w:rPr>
              <w:t>CPA-405</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5E509050" w14:textId="77777777" w:rsidR="00990B14" w:rsidRDefault="00000000">
            <w:pPr>
              <w:jc w:val="both"/>
            </w:pPr>
            <w:r>
              <w:rPr>
                <w:sz w:val="16"/>
              </w:rPr>
              <w:t>Finanzas Corporativas</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53BD251A" w14:textId="77777777" w:rsidR="00990B14" w:rsidRDefault="00000000">
            <w:pPr>
              <w:jc w:val="both"/>
            </w:pPr>
            <w:r>
              <w:rPr>
                <w:sz w:val="16"/>
              </w:rPr>
              <w:t xml:space="preserve">Gestiona los recursos financieros de una organización conforme a los principios de las finanzas corporativas y las disposiciones vigentes, explicando la función y los objetivos de la administración financiera, analizando e interpretando sus estados financieros, planificando su presupuesto financiero, administrando su capital de trabajo, valuando el dinero en el </w:t>
            </w:r>
            <w:r>
              <w:rPr>
                <w:sz w:val="16"/>
              </w:rPr>
              <w:lastRenderedPageBreak/>
              <w:t>tiempo, sus obligaciones y sus acciones, midiendo el riesgo de su cartera y cubriéndolo con las alternativas disponibles en el mercado, evaluando proyectos de inversión a largo plazo y valorando empresas, determinando su apalancamiento, su estructura de capital y su política de dividendos, y aplicando la inteligencia de negocios y las finanzas internacionales, con hojas de cálculo, sentido crítico ante el riesgo cambiario e inflacionario, ética profesional y visión estratégica.</w:t>
            </w:r>
          </w:p>
        </w:tc>
      </w:tr>
      <w:tr w:rsidR="00990B14" w14:paraId="48F8813F" w14:textId="77777777">
        <w:trPr>
          <w:jc w:val="center"/>
        </w:trPr>
        <w:tc>
          <w:tcPr>
            <w:tcW w:w="705" w:type="dxa"/>
            <w:tcBorders>
              <w:top w:val="single" w:sz="4" w:space="0" w:color="8EAADB"/>
              <w:left w:val="single" w:sz="4" w:space="0" w:color="8EAADB"/>
              <w:bottom w:val="single" w:sz="4" w:space="0" w:color="8EAADB"/>
              <w:right w:val="single" w:sz="4" w:space="0" w:color="8EAADB"/>
            </w:tcBorders>
            <w:shd w:val="clear" w:color="auto" w:fill="D9E2F3"/>
          </w:tcPr>
          <w:p w14:paraId="6DCFB5DE" w14:textId="77777777" w:rsidR="00990B14" w:rsidRDefault="00000000">
            <w:pPr>
              <w:jc w:val="center"/>
            </w:pPr>
            <w:r>
              <w:rPr>
                <w:sz w:val="16"/>
              </w:rPr>
              <w:lastRenderedPageBreak/>
              <w:t>4.º</w:t>
            </w:r>
          </w:p>
        </w:tc>
        <w:tc>
          <w:tcPr>
            <w:tcW w:w="1058" w:type="dxa"/>
            <w:tcBorders>
              <w:top w:val="single" w:sz="4" w:space="0" w:color="8EAADB"/>
              <w:left w:val="single" w:sz="4" w:space="0" w:color="8EAADB"/>
              <w:bottom w:val="single" w:sz="4" w:space="0" w:color="8EAADB"/>
              <w:right w:val="single" w:sz="4" w:space="0" w:color="8EAADB"/>
            </w:tcBorders>
            <w:shd w:val="clear" w:color="auto" w:fill="D9E2F3"/>
          </w:tcPr>
          <w:p w14:paraId="5480F13F" w14:textId="77777777" w:rsidR="00990B14" w:rsidRDefault="00000000">
            <w:pPr>
              <w:jc w:val="center"/>
            </w:pPr>
            <w:r>
              <w:rPr>
                <w:sz w:val="16"/>
              </w:rPr>
              <w:t>CPA-406</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71B3D16E" w14:textId="77777777" w:rsidR="00990B14" w:rsidRDefault="00000000">
            <w:pPr>
              <w:jc w:val="both"/>
            </w:pPr>
            <w:r>
              <w:rPr>
                <w:sz w:val="16"/>
              </w:rPr>
              <w:t>Ética e Independencia Profesional</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1A76571C" w14:textId="77777777" w:rsidR="00990B14" w:rsidRDefault="00000000">
            <w:pPr>
              <w:jc w:val="both"/>
            </w:pPr>
            <w:r>
              <w:rPr>
                <w:sz w:val="16"/>
              </w:rPr>
              <w:t>Resuelve dilemas éticos y evalúa la independencia en los encargos de auditoría, de revisión y de aseguramiento, aplicando los principios éticos y los valores morales del ejercicio profesional de la Contaduría Pública, así como los principios fundamentales y el marco conceptual del Código Internacional de Ética para Profesionales de la Contabilidad en su edición vigente, incluidas las disposiciones sobre planificación fiscal, tecnología e información de sostenibilidad, diferenciando la ética personal de la ética profesional y empresarial e identificando las amenazas frente al fraude y la corrupción, con uso responsable de herramientas tecnológicas, juicio profesional, escepticismo, integridad y apego a las disposiciones vigentes en Bolivia.</w:t>
            </w:r>
          </w:p>
        </w:tc>
      </w:tr>
      <w:tr w:rsidR="00990B14" w14:paraId="45A2DA26" w14:textId="77777777">
        <w:trPr>
          <w:jc w:val="center"/>
        </w:trPr>
        <w:tc>
          <w:tcPr>
            <w:tcW w:w="705" w:type="dxa"/>
            <w:tcBorders>
              <w:top w:val="single" w:sz="4" w:space="0" w:color="8EAADB"/>
              <w:left w:val="single" w:sz="4" w:space="0" w:color="8EAADB"/>
              <w:bottom w:val="single" w:sz="4" w:space="0" w:color="8EAADB"/>
              <w:right w:val="single" w:sz="4" w:space="0" w:color="8EAADB"/>
            </w:tcBorders>
            <w:shd w:val="clear" w:color="auto" w:fill="D9E2F3"/>
          </w:tcPr>
          <w:p w14:paraId="008330F2" w14:textId="77777777" w:rsidR="00990B14" w:rsidRDefault="00000000">
            <w:pPr>
              <w:jc w:val="center"/>
            </w:pPr>
            <w:r>
              <w:rPr>
                <w:sz w:val="16"/>
              </w:rPr>
              <w:t>4.º</w:t>
            </w:r>
          </w:p>
        </w:tc>
        <w:tc>
          <w:tcPr>
            <w:tcW w:w="1058" w:type="dxa"/>
            <w:tcBorders>
              <w:top w:val="single" w:sz="4" w:space="0" w:color="8EAADB"/>
              <w:left w:val="single" w:sz="4" w:space="0" w:color="8EAADB"/>
              <w:bottom w:val="single" w:sz="4" w:space="0" w:color="8EAADB"/>
              <w:right w:val="single" w:sz="4" w:space="0" w:color="8EAADB"/>
            </w:tcBorders>
            <w:shd w:val="clear" w:color="auto" w:fill="D9E2F3"/>
          </w:tcPr>
          <w:p w14:paraId="43F96C56" w14:textId="77777777" w:rsidR="00990B14" w:rsidRDefault="00000000">
            <w:pPr>
              <w:jc w:val="center"/>
            </w:pPr>
            <w:r>
              <w:rPr>
                <w:sz w:val="16"/>
              </w:rPr>
              <w:t>CPA-407</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52BDF077" w14:textId="77777777" w:rsidR="00990B14" w:rsidRDefault="00000000">
            <w:pPr>
              <w:jc w:val="both"/>
            </w:pPr>
            <w:r>
              <w:rPr>
                <w:sz w:val="16"/>
              </w:rPr>
              <w:t>Auditoría Financiera</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5BBEE6A3" w14:textId="77777777" w:rsidR="00990B14" w:rsidRDefault="00000000">
            <w:pPr>
              <w:jc w:val="both"/>
            </w:pPr>
            <w:r>
              <w:rPr>
                <w:sz w:val="16"/>
              </w:rPr>
              <w:t>Planifica, ejecuta y concluye auditorías de estados financieros de propósito general conforme a las Normas de Auditoría Generalmente Aceptadas en Bolivia (NCGA) y las Normas Internacionales de Auditoría (NIA del IAASB), evaluando los riesgos de incorrección material y diseñando respuestas a dichos riesgos para obtener evidencia suficiente y adecuada, documentar el encargo, emitir el informe del auditor independiente y la carta de recomendaciones, actuando con escepticismo profesional, independencia e integridad.</w:t>
            </w:r>
          </w:p>
        </w:tc>
      </w:tr>
      <w:tr w:rsidR="00990B14" w14:paraId="023F409C" w14:textId="77777777">
        <w:trPr>
          <w:jc w:val="center"/>
        </w:trPr>
        <w:tc>
          <w:tcPr>
            <w:tcW w:w="705" w:type="dxa"/>
            <w:tcBorders>
              <w:top w:val="single" w:sz="4" w:space="0" w:color="8EAADB"/>
              <w:left w:val="single" w:sz="4" w:space="0" w:color="8EAADB"/>
              <w:bottom w:val="single" w:sz="4" w:space="0" w:color="8EAADB"/>
              <w:right w:val="single" w:sz="4" w:space="0" w:color="8EAADB"/>
            </w:tcBorders>
            <w:shd w:val="clear" w:color="auto" w:fill="D9E2F3"/>
          </w:tcPr>
          <w:p w14:paraId="1397C2F7" w14:textId="77777777" w:rsidR="00990B14" w:rsidRDefault="00000000">
            <w:pPr>
              <w:jc w:val="center"/>
            </w:pPr>
            <w:r>
              <w:rPr>
                <w:sz w:val="16"/>
              </w:rPr>
              <w:t>4.º</w:t>
            </w:r>
          </w:p>
        </w:tc>
        <w:tc>
          <w:tcPr>
            <w:tcW w:w="1058" w:type="dxa"/>
            <w:tcBorders>
              <w:top w:val="single" w:sz="4" w:space="0" w:color="8EAADB"/>
              <w:left w:val="single" w:sz="4" w:space="0" w:color="8EAADB"/>
              <w:bottom w:val="single" w:sz="4" w:space="0" w:color="8EAADB"/>
              <w:right w:val="single" w:sz="4" w:space="0" w:color="8EAADB"/>
            </w:tcBorders>
            <w:shd w:val="clear" w:color="auto" w:fill="D9E2F3"/>
          </w:tcPr>
          <w:p w14:paraId="401F4B6E" w14:textId="77777777" w:rsidR="00990B14" w:rsidRDefault="00000000">
            <w:pPr>
              <w:jc w:val="center"/>
            </w:pPr>
            <w:r>
              <w:rPr>
                <w:sz w:val="16"/>
              </w:rPr>
              <w:t>CPA-408</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0B9DA2AA" w14:textId="77777777" w:rsidR="00990B14" w:rsidRDefault="00000000">
            <w:pPr>
              <w:jc w:val="both"/>
            </w:pPr>
            <w:r>
              <w:rPr>
                <w:sz w:val="16"/>
              </w:rPr>
              <w:t>Auditoría Interna, Control Interno, Gestión de Riesgos y Gobierno Corporativo</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39761638" w14:textId="77777777" w:rsidR="00990B14" w:rsidRDefault="00000000">
            <w:pPr>
              <w:jc w:val="both"/>
            </w:pPr>
            <w:r>
              <w:rPr>
                <w:sz w:val="16"/>
              </w:rPr>
              <w:t>Analiza y evalúa la naturaleza, estructura, funcionamiento y modelos de gestión de las organizaciones públicas, privadas y sin fines de lucro, considerando los principios de Gobierno Corporativo, los sistemas de Control Interno y la Gestión Integral de Riesgos, incluyendo las estrategias de tratamiento y monitoreo de riesgos y la aplicación de tecnologías emergentes, mediante la aplicación de marcos conceptuales, técnicos y normativos nacionales e internacionales; explica la organización, funciones y responsabilidades de las Unidades de Auditoría Interna, así como los fundamentos de su planificación estratégica y operativa, y comprende la naturaleza, características y etapas del proceso de auditoría, desde el relevamiento y la planificación hasta la ejecución, comunicación de resultados y seguimiento de recomendaciones, para contribuir al fortalecimiento de la gestión organizacional, el cumplimiento de los objetivos institucionales, la generación de valor y la rendición de cuentas, con integridad, objetividad, independencia y responsabilidad profesional.</w:t>
            </w:r>
          </w:p>
        </w:tc>
      </w:tr>
      <w:tr w:rsidR="00990B14" w14:paraId="270D986F" w14:textId="77777777">
        <w:trPr>
          <w:jc w:val="center"/>
        </w:trPr>
        <w:tc>
          <w:tcPr>
            <w:tcW w:w="705" w:type="dxa"/>
            <w:tcBorders>
              <w:top w:val="single" w:sz="4" w:space="0" w:color="8EAADB"/>
              <w:left w:val="single" w:sz="4" w:space="0" w:color="8EAADB"/>
              <w:bottom w:val="single" w:sz="4" w:space="0" w:color="8EAADB"/>
              <w:right w:val="single" w:sz="4" w:space="0" w:color="8EAADB"/>
            </w:tcBorders>
            <w:shd w:val="clear" w:color="auto" w:fill="D9E2F3"/>
          </w:tcPr>
          <w:p w14:paraId="4F9E411D" w14:textId="77777777" w:rsidR="00990B14" w:rsidRDefault="00000000">
            <w:pPr>
              <w:jc w:val="center"/>
            </w:pPr>
            <w:r>
              <w:rPr>
                <w:sz w:val="16"/>
              </w:rPr>
              <w:t>4.º</w:t>
            </w:r>
          </w:p>
        </w:tc>
        <w:tc>
          <w:tcPr>
            <w:tcW w:w="1058" w:type="dxa"/>
            <w:tcBorders>
              <w:top w:val="single" w:sz="4" w:space="0" w:color="8EAADB"/>
              <w:left w:val="single" w:sz="4" w:space="0" w:color="8EAADB"/>
              <w:bottom w:val="single" w:sz="4" w:space="0" w:color="8EAADB"/>
              <w:right w:val="single" w:sz="4" w:space="0" w:color="8EAADB"/>
            </w:tcBorders>
            <w:shd w:val="clear" w:color="auto" w:fill="D9E2F3"/>
          </w:tcPr>
          <w:p w14:paraId="0534E855" w14:textId="77777777" w:rsidR="00990B14" w:rsidRDefault="00000000">
            <w:pPr>
              <w:jc w:val="center"/>
            </w:pPr>
            <w:r>
              <w:rPr>
                <w:sz w:val="16"/>
              </w:rPr>
              <w:t>MAT-401</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59C1B37C" w14:textId="77777777" w:rsidR="00990B14" w:rsidRDefault="00000000">
            <w:pPr>
              <w:jc w:val="both"/>
            </w:pPr>
            <w:r>
              <w:rPr>
                <w:sz w:val="16"/>
              </w:rPr>
              <w:t>Matemáticas Actuariales y Técnicas Financieras</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770F7522" w14:textId="77777777" w:rsidR="00990B14" w:rsidRDefault="00000000">
            <w:pPr>
              <w:jc w:val="both"/>
            </w:pPr>
            <w:r>
              <w:rPr>
                <w:sz w:val="16"/>
              </w:rPr>
              <w:t>Resuelve problemas actuariales y financieros aplicados a la gestión del riesgo en entidades bolivianas, calculando funciones biométricas, rentas contingentes y primas de seguros de vida, analizando el sistema de pensiones y aplicando criterios de sostenibilidad y equidad, con rigor cuantitativo, pensamiento crítico y uso ético de los datos.</w:t>
            </w:r>
          </w:p>
        </w:tc>
      </w:tr>
      <w:tr w:rsidR="00990B14" w14:paraId="303D79DF" w14:textId="77777777">
        <w:trPr>
          <w:jc w:val="center"/>
        </w:trPr>
        <w:tc>
          <w:tcPr>
            <w:tcW w:w="705" w:type="dxa"/>
            <w:tcBorders>
              <w:top w:val="single" w:sz="4" w:space="0" w:color="8EAADB"/>
              <w:left w:val="single" w:sz="4" w:space="0" w:color="8EAADB"/>
              <w:bottom w:val="single" w:sz="4" w:space="0" w:color="8EAADB"/>
              <w:right w:val="single" w:sz="4" w:space="0" w:color="8EAADB"/>
            </w:tcBorders>
            <w:shd w:val="clear" w:color="auto" w:fill="D9E2F3"/>
          </w:tcPr>
          <w:p w14:paraId="4F9D9032" w14:textId="77777777" w:rsidR="00990B14" w:rsidRDefault="00000000">
            <w:pPr>
              <w:jc w:val="center"/>
            </w:pPr>
            <w:r>
              <w:rPr>
                <w:sz w:val="16"/>
              </w:rPr>
              <w:t>5.º</w:t>
            </w:r>
          </w:p>
        </w:tc>
        <w:tc>
          <w:tcPr>
            <w:tcW w:w="1058" w:type="dxa"/>
            <w:tcBorders>
              <w:top w:val="single" w:sz="4" w:space="0" w:color="8EAADB"/>
              <w:left w:val="single" w:sz="4" w:space="0" w:color="8EAADB"/>
              <w:bottom w:val="single" w:sz="4" w:space="0" w:color="8EAADB"/>
              <w:right w:val="single" w:sz="4" w:space="0" w:color="8EAADB"/>
            </w:tcBorders>
            <w:shd w:val="clear" w:color="auto" w:fill="D9E2F3"/>
          </w:tcPr>
          <w:p w14:paraId="6AB1BF01" w14:textId="77777777" w:rsidR="00990B14" w:rsidRDefault="00000000">
            <w:pPr>
              <w:jc w:val="center"/>
            </w:pPr>
            <w:r>
              <w:rPr>
                <w:sz w:val="16"/>
              </w:rPr>
              <w:t>CPA-501</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3FF97855" w14:textId="77777777" w:rsidR="00990B14" w:rsidRDefault="00000000">
            <w:pPr>
              <w:jc w:val="both"/>
            </w:pPr>
            <w:r>
              <w:rPr>
                <w:sz w:val="16"/>
              </w:rPr>
              <w:t>Auditoría Operativa</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608A2F17" w14:textId="77777777" w:rsidR="00990B14" w:rsidRDefault="00000000">
            <w:pPr>
              <w:jc w:val="both"/>
            </w:pPr>
            <w:r>
              <w:rPr>
                <w:sz w:val="16"/>
              </w:rPr>
              <w:t xml:space="preserve">Planifica, ejecuta y concluye auditorías operativas de sistemas, procesos y operaciones en entidades públicas o privadas de acuerdo con la Norma Internacional de Encargos de Aseguramiento 3000 y a las Normas de Auditoría Operativa Gubernamental de la CGE, evaluando los niveles de eficacia, eficiencia, economía y efectividad de los sistemas y procesos institucionales utilizando herramientas de análisis de datos para estructurar hallazgos, emitir el informe de auditoría y formular </w:t>
            </w:r>
            <w:r>
              <w:rPr>
                <w:sz w:val="16"/>
              </w:rPr>
              <w:lastRenderedPageBreak/>
              <w:t>recomendaciones que impulsen la mejora continua, la gobernanza y el valor agregado, bajo principios de ética e independencia profesional.</w:t>
            </w:r>
          </w:p>
        </w:tc>
      </w:tr>
      <w:tr w:rsidR="00990B14" w14:paraId="2C46D8FD" w14:textId="77777777">
        <w:trPr>
          <w:jc w:val="center"/>
        </w:trPr>
        <w:tc>
          <w:tcPr>
            <w:tcW w:w="705" w:type="dxa"/>
            <w:tcBorders>
              <w:top w:val="single" w:sz="4" w:space="0" w:color="8EAADB"/>
              <w:left w:val="single" w:sz="4" w:space="0" w:color="8EAADB"/>
              <w:bottom w:val="single" w:sz="4" w:space="0" w:color="8EAADB"/>
              <w:right w:val="single" w:sz="4" w:space="0" w:color="8EAADB"/>
            </w:tcBorders>
            <w:shd w:val="clear" w:color="auto" w:fill="D9E2F3"/>
          </w:tcPr>
          <w:p w14:paraId="417924CC" w14:textId="77777777" w:rsidR="00990B14" w:rsidRDefault="00000000">
            <w:pPr>
              <w:jc w:val="center"/>
            </w:pPr>
            <w:r>
              <w:rPr>
                <w:sz w:val="16"/>
              </w:rPr>
              <w:lastRenderedPageBreak/>
              <w:t>5.º</w:t>
            </w:r>
          </w:p>
        </w:tc>
        <w:tc>
          <w:tcPr>
            <w:tcW w:w="1058" w:type="dxa"/>
            <w:tcBorders>
              <w:top w:val="single" w:sz="4" w:space="0" w:color="8EAADB"/>
              <w:left w:val="single" w:sz="4" w:space="0" w:color="8EAADB"/>
              <w:bottom w:val="single" w:sz="4" w:space="0" w:color="8EAADB"/>
              <w:right w:val="single" w:sz="4" w:space="0" w:color="8EAADB"/>
            </w:tcBorders>
            <w:shd w:val="clear" w:color="auto" w:fill="D9E2F3"/>
          </w:tcPr>
          <w:p w14:paraId="5F857635" w14:textId="77777777" w:rsidR="00990B14" w:rsidRDefault="00000000">
            <w:pPr>
              <w:jc w:val="center"/>
            </w:pPr>
            <w:r>
              <w:rPr>
                <w:sz w:val="16"/>
              </w:rPr>
              <w:t>CPA-502</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1E14AFC4" w14:textId="77777777" w:rsidR="00990B14" w:rsidRDefault="00000000">
            <w:pPr>
              <w:jc w:val="both"/>
            </w:pPr>
            <w:r>
              <w:rPr>
                <w:sz w:val="16"/>
              </w:rPr>
              <w:t>Gabinete de Auditoría Financiera</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1AA7A3E2" w14:textId="77777777" w:rsidR="00990B14" w:rsidRDefault="00000000">
            <w:pPr>
              <w:jc w:val="both"/>
            </w:pPr>
            <w:r>
              <w:rPr>
                <w:sz w:val="16"/>
              </w:rPr>
              <w:t>Elabora los papeles de trabajo manuales y habilitados con tecnología, el informe del auditor independiente y la carta de recomendaciones de la auditoría de estados financieros de propósito general de una entidad privada, aplicando el Código de Ética para Profesionales de la Contabilidad, con sus disposiciones de independencia, las Normas de Auditoría Generalmente Aceptadas en Bolivia y las Normas de Gestión de la Calidad, evaluando los riesgos de incorrección material y el control interno de la entidad, ejecutando los procedimientos de auditoría en respuesta a los riesgos valorados en cada ciclo de transacciones con herramientas tecnológicas, y simulando la adaptación del trabajo a entidades menos complejas, con escepticismo profesional, independencia, integridad, ética y juicio crítico.</w:t>
            </w:r>
          </w:p>
        </w:tc>
      </w:tr>
      <w:tr w:rsidR="00990B14" w14:paraId="2E439288" w14:textId="77777777">
        <w:trPr>
          <w:jc w:val="center"/>
        </w:trPr>
        <w:tc>
          <w:tcPr>
            <w:tcW w:w="705" w:type="dxa"/>
            <w:tcBorders>
              <w:top w:val="single" w:sz="4" w:space="0" w:color="8EAADB"/>
              <w:left w:val="single" w:sz="4" w:space="0" w:color="8EAADB"/>
              <w:bottom w:val="single" w:sz="4" w:space="0" w:color="8EAADB"/>
              <w:right w:val="single" w:sz="4" w:space="0" w:color="8EAADB"/>
            </w:tcBorders>
            <w:shd w:val="clear" w:color="auto" w:fill="D9E2F3"/>
          </w:tcPr>
          <w:p w14:paraId="34FF2B1E" w14:textId="77777777" w:rsidR="00990B14" w:rsidRDefault="00000000">
            <w:pPr>
              <w:jc w:val="center"/>
            </w:pPr>
            <w:r>
              <w:rPr>
                <w:sz w:val="16"/>
              </w:rPr>
              <w:t>5.º</w:t>
            </w:r>
          </w:p>
        </w:tc>
        <w:tc>
          <w:tcPr>
            <w:tcW w:w="1058" w:type="dxa"/>
            <w:tcBorders>
              <w:top w:val="single" w:sz="4" w:space="0" w:color="8EAADB"/>
              <w:left w:val="single" w:sz="4" w:space="0" w:color="8EAADB"/>
              <w:bottom w:val="single" w:sz="4" w:space="0" w:color="8EAADB"/>
              <w:right w:val="single" w:sz="4" w:space="0" w:color="8EAADB"/>
            </w:tcBorders>
            <w:shd w:val="clear" w:color="auto" w:fill="D9E2F3"/>
          </w:tcPr>
          <w:p w14:paraId="3C25E322" w14:textId="77777777" w:rsidR="00990B14" w:rsidRDefault="00000000">
            <w:pPr>
              <w:jc w:val="center"/>
            </w:pPr>
            <w:r>
              <w:rPr>
                <w:sz w:val="16"/>
              </w:rPr>
              <w:t>CPA-503</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148762E6" w14:textId="77777777" w:rsidR="00990B14" w:rsidRDefault="00000000">
            <w:pPr>
              <w:jc w:val="both"/>
            </w:pPr>
            <w:r>
              <w:rPr>
                <w:sz w:val="16"/>
              </w:rPr>
              <w:t>Auditoría Tributaria</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28E9D956" w14:textId="77777777" w:rsidR="00990B14" w:rsidRDefault="00000000">
            <w:pPr>
              <w:jc w:val="both"/>
            </w:pPr>
            <w:r>
              <w:rPr>
                <w:sz w:val="16"/>
              </w:rPr>
              <w:t>Elabora la Vista de Cargo y el Dictamen Tributario sobre la Información Tributaria Complementaria, aplicando técnicas y procedimientos de auditoría y fiscalización tributaria, determinando de manera objetiva, fundamentada y en cumplimiento de las obligaciones impositivas del cliente o contribuyente conforme a la normativa vigente.</w:t>
            </w:r>
          </w:p>
        </w:tc>
      </w:tr>
      <w:tr w:rsidR="00990B14" w14:paraId="112399EE" w14:textId="77777777">
        <w:trPr>
          <w:jc w:val="center"/>
        </w:trPr>
        <w:tc>
          <w:tcPr>
            <w:tcW w:w="705" w:type="dxa"/>
            <w:tcBorders>
              <w:top w:val="single" w:sz="4" w:space="0" w:color="8EAADB"/>
              <w:left w:val="single" w:sz="4" w:space="0" w:color="8EAADB"/>
              <w:bottom w:val="single" w:sz="4" w:space="0" w:color="8EAADB"/>
              <w:right w:val="single" w:sz="4" w:space="0" w:color="8EAADB"/>
            </w:tcBorders>
            <w:shd w:val="clear" w:color="auto" w:fill="D9E2F3"/>
          </w:tcPr>
          <w:p w14:paraId="71594086" w14:textId="77777777" w:rsidR="00990B14" w:rsidRDefault="00000000">
            <w:pPr>
              <w:jc w:val="center"/>
            </w:pPr>
            <w:r>
              <w:rPr>
                <w:sz w:val="16"/>
              </w:rPr>
              <w:t>5.º</w:t>
            </w:r>
          </w:p>
        </w:tc>
        <w:tc>
          <w:tcPr>
            <w:tcW w:w="1058" w:type="dxa"/>
            <w:tcBorders>
              <w:top w:val="single" w:sz="4" w:space="0" w:color="8EAADB"/>
              <w:left w:val="single" w:sz="4" w:space="0" w:color="8EAADB"/>
              <w:bottom w:val="single" w:sz="4" w:space="0" w:color="8EAADB"/>
              <w:right w:val="single" w:sz="4" w:space="0" w:color="8EAADB"/>
            </w:tcBorders>
            <w:shd w:val="clear" w:color="auto" w:fill="D9E2F3"/>
          </w:tcPr>
          <w:p w14:paraId="080D3BB6" w14:textId="77777777" w:rsidR="00990B14" w:rsidRDefault="00000000">
            <w:pPr>
              <w:jc w:val="center"/>
            </w:pPr>
            <w:r>
              <w:rPr>
                <w:sz w:val="16"/>
              </w:rPr>
              <w:t>CPA-504</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7EB85F4C" w14:textId="77777777" w:rsidR="00990B14" w:rsidRDefault="00000000">
            <w:pPr>
              <w:jc w:val="both"/>
            </w:pPr>
            <w:r>
              <w:rPr>
                <w:sz w:val="16"/>
              </w:rPr>
              <w:t>Auditoría Gubernamental</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022CF0EE" w14:textId="77777777" w:rsidR="00990B14" w:rsidRDefault="00000000">
            <w:pPr>
              <w:jc w:val="both"/>
            </w:pPr>
            <w:r>
              <w:rPr>
                <w:sz w:val="16"/>
              </w:rPr>
              <w:t>Analiza el Modelo de Gestión Pública, el Sistema de Control Gubernamental y el Régimen de Responsabilidad por la Función Pública; evalúa el sistema de control interno y planifica, ejecuta y comunica los resultados de las auditorías financiera, de cumplimiento y operacional en entidades del sector público boliviano, aplicando el marco jurídico y técnico, las Normas de Auditoría Gubernamental y las guías de la Contraloría General del Estado, mediante el relevamiento de información, la evaluación de riesgos, la planificación de auditoría, la ejecución de programas de trabajo, la obtención de evidencia suficiente, competente y lícita y la formulación de hallazgos, conclusiones y recomendaciones, para emitir opiniones e informes de auditoría, identificar indicios de responsabilidad por la función pública, cuando corresponda, y contribuir al fortalecimiento del control interno, la gestión institucional y la rendición de cuentas, con independencia, objetividad, integridad y ética profesional.</w:t>
            </w:r>
          </w:p>
        </w:tc>
      </w:tr>
      <w:tr w:rsidR="00990B14" w14:paraId="75109B78" w14:textId="77777777">
        <w:trPr>
          <w:jc w:val="center"/>
        </w:trPr>
        <w:tc>
          <w:tcPr>
            <w:tcW w:w="705" w:type="dxa"/>
            <w:tcBorders>
              <w:top w:val="single" w:sz="4" w:space="0" w:color="8EAADB"/>
              <w:left w:val="single" w:sz="4" w:space="0" w:color="8EAADB"/>
              <w:bottom w:val="single" w:sz="4" w:space="0" w:color="8EAADB"/>
              <w:right w:val="single" w:sz="4" w:space="0" w:color="8EAADB"/>
            </w:tcBorders>
            <w:shd w:val="clear" w:color="auto" w:fill="D9E2F3"/>
          </w:tcPr>
          <w:p w14:paraId="1DD4ED2C" w14:textId="77777777" w:rsidR="00990B14" w:rsidRDefault="00000000">
            <w:pPr>
              <w:jc w:val="center"/>
            </w:pPr>
            <w:r>
              <w:rPr>
                <w:sz w:val="16"/>
              </w:rPr>
              <w:t>5.º</w:t>
            </w:r>
          </w:p>
        </w:tc>
        <w:tc>
          <w:tcPr>
            <w:tcW w:w="1058" w:type="dxa"/>
            <w:tcBorders>
              <w:top w:val="single" w:sz="4" w:space="0" w:color="8EAADB"/>
              <w:left w:val="single" w:sz="4" w:space="0" w:color="8EAADB"/>
              <w:bottom w:val="single" w:sz="4" w:space="0" w:color="8EAADB"/>
              <w:right w:val="single" w:sz="4" w:space="0" w:color="8EAADB"/>
            </w:tcBorders>
            <w:shd w:val="clear" w:color="auto" w:fill="D9E2F3"/>
          </w:tcPr>
          <w:p w14:paraId="0C9B73D3" w14:textId="77777777" w:rsidR="00990B14" w:rsidRDefault="00000000">
            <w:pPr>
              <w:jc w:val="center"/>
            </w:pPr>
            <w:r>
              <w:rPr>
                <w:sz w:val="16"/>
              </w:rPr>
              <w:t>CPA-505</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42B71A07" w14:textId="77777777" w:rsidR="00990B14" w:rsidRDefault="00000000">
            <w:pPr>
              <w:jc w:val="both"/>
            </w:pPr>
            <w:r>
              <w:rPr>
                <w:sz w:val="16"/>
              </w:rPr>
              <w:t>Auditoría Digital, Ciberseguridad y Tecnologías Emergentes</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056E571D" w14:textId="77777777" w:rsidR="00990B14" w:rsidRDefault="00000000">
            <w:pPr>
              <w:jc w:val="both"/>
            </w:pPr>
            <w:r>
              <w:rPr>
                <w:sz w:val="16"/>
              </w:rPr>
              <w:t>Elabora el informe de evaluación de los sistemas y tecnologías de información de entidades bolivianas, conforme a las normas de auditoría y aseguramiento y a los estándares de buenas prácticas vigentes, analizando los sistemas de información y las bases de datos que soportan los procesos contables. Aplica frameworks de negocio como COSO, COBIT y las normas ISO de seguridad y gestión de riesgos; evalúa el control interno del entorno tecnológico, ejecuta técnicas de auditoría asistidas por computador y análisis de datos, y valora la ciberseguridad, la auditoría continua y la confiabilidad de las tecnologías emergentes y de la inteligencia artificial, con objetividad, rigor técnico, juicio crítico y ética profesional.</w:t>
            </w:r>
          </w:p>
        </w:tc>
      </w:tr>
      <w:tr w:rsidR="00990B14" w14:paraId="31F28744" w14:textId="77777777">
        <w:trPr>
          <w:jc w:val="center"/>
        </w:trPr>
        <w:tc>
          <w:tcPr>
            <w:tcW w:w="705" w:type="dxa"/>
            <w:tcBorders>
              <w:top w:val="single" w:sz="4" w:space="0" w:color="8EAADB"/>
              <w:left w:val="single" w:sz="4" w:space="0" w:color="8EAADB"/>
              <w:bottom w:val="single" w:sz="4" w:space="0" w:color="8EAADB"/>
              <w:right w:val="single" w:sz="4" w:space="0" w:color="8EAADB"/>
            </w:tcBorders>
            <w:shd w:val="clear" w:color="auto" w:fill="D9E2F3"/>
          </w:tcPr>
          <w:p w14:paraId="192943AE" w14:textId="77777777" w:rsidR="00990B14" w:rsidRDefault="00000000">
            <w:pPr>
              <w:jc w:val="center"/>
            </w:pPr>
            <w:r>
              <w:rPr>
                <w:sz w:val="16"/>
              </w:rPr>
              <w:t>5.º</w:t>
            </w:r>
          </w:p>
        </w:tc>
        <w:tc>
          <w:tcPr>
            <w:tcW w:w="1058" w:type="dxa"/>
            <w:tcBorders>
              <w:top w:val="single" w:sz="4" w:space="0" w:color="8EAADB"/>
              <w:left w:val="single" w:sz="4" w:space="0" w:color="8EAADB"/>
              <w:bottom w:val="single" w:sz="4" w:space="0" w:color="8EAADB"/>
              <w:right w:val="single" w:sz="4" w:space="0" w:color="8EAADB"/>
            </w:tcBorders>
            <w:shd w:val="clear" w:color="auto" w:fill="D9E2F3"/>
          </w:tcPr>
          <w:p w14:paraId="5F163211" w14:textId="77777777" w:rsidR="00990B14" w:rsidRDefault="00000000">
            <w:pPr>
              <w:jc w:val="center"/>
            </w:pPr>
            <w:r>
              <w:rPr>
                <w:sz w:val="16"/>
              </w:rPr>
              <w:t>CPA-506</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718B976E" w14:textId="77777777" w:rsidR="00990B14" w:rsidRDefault="00000000">
            <w:pPr>
              <w:jc w:val="both"/>
            </w:pPr>
            <w:r>
              <w:rPr>
                <w:sz w:val="16"/>
              </w:rPr>
              <w:t>Reportes y Aseguramiento de Sostenibilidad y Auditoría Ambiental</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133D4E53" w14:textId="77777777" w:rsidR="00990B14" w:rsidRDefault="00000000">
            <w:pPr>
              <w:jc w:val="both"/>
            </w:pPr>
            <w:r>
              <w:rPr>
                <w:sz w:val="16"/>
              </w:rPr>
              <w:t xml:space="preserve">Elabora el reporte de sostenibilidad conforme a las NIIF de Sostenibilidad, el informe de aseguramiento de la sostenibilidad y de auditoría ambiental de entidades públicas y privadas bolivianas conforme a los pronunciamientos profesionales locales e internacionales vigentes, analizando la información financiera de sostenibilidad y el marco normativo ambiental del Estado boliviano, ejecutando las etapas de la auditoría ambiental gubernamental conforme a normas emitidas por el sector gubernamental y contraloría en temas ambientales, normas de las Entidades Fiscalizadoras Superiores y valorando los riesgos y oportunidades relacionados con el medio ambiente, social, gobernanza; con independencia, objetividad, juicio </w:t>
            </w:r>
            <w:r>
              <w:rPr>
                <w:sz w:val="16"/>
              </w:rPr>
              <w:lastRenderedPageBreak/>
              <w:t>crítico y compromiso con el desarrollo sostenible.</w:t>
            </w:r>
          </w:p>
        </w:tc>
      </w:tr>
      <w:tr w:rsidR="00990B14" w14:paraId="314A5C07" w14:textId="77777777">
        <w:trPr>
          <w:jc w:val="center"/>
        </w:trPr>
        <w:tc>
          <w:tcPr>
            <w:tcW w:w="705" w:type="dxa"/>
            <w:tcBorders>
              <w:top w:val="single" w:sz="4" w:space="0" w:color="8EAADB"/>
              <w:left w:val="single" w:sz="4" w:space="0" w:color="8EAADB"/>
              <w:bottom w:val="single" w:sz="4" w:space="0" w:color="8EAADB"/>
              <w:right w:val="single" w:sz="4" w:space="0" w:color="8EAADB"/>
            </w:tcBorders>
            <w:shd w:val="clear" w:color="auto" w:fill="D9E2F3"/>
          </w:tcPr>
          <w:p w14:paraId="403C0FA0" w14:textId="77777777" w:rsidR="00990B14" w:rsidRDefault="00000000">
            <w:pPr>
              <w:jc w:val="center"/>
            </w:pPr>
            <w:r>
              <w:rPr>
                <w:sz w:val="16"/>
              </w:rPr>
              <w:lastRenderedPageBreak/>
              <w:t>5.º</w:t>
            </w:r>
          </w:p>
        </w:tc>
        <w:tc>
          <w:tcPr>
            <w:tcW w:w="1058" w:type="dxa"/>
            <w:tcBorders>
              <w:top w:val="single" w:sz="4" w:space="0" w:color="8EAADB"/>
              <w:left w:val="single" w:sz="4" w:space="0" w:color="8EAADB"/>
              <w:bottom w:val="single" w:sz="4" w:space="0" w:color="8EAADB"/>
              <w:right w:val="single" w:sz="4" w:space="0" w:color="8EAADB"/>
            </w:tcBorders>
            <w:shd w:val="clear" w:color="auto" w:fill="D9E2F3"/>
          </w:tcPr>
          <w:p w14:paraId="5B303162" w14:textId="77777777" w:rsidR="00990B14" w:rsidRDefault="00000000">
            <w:pPr>
              <w:jc w:val="center"/>
            </w:pPr>
            <w:r>
              <w:rPr>
                <w:sz w:val="16"/>
              </w:rPr>
              <w:t>CPA-507</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62E368A5" w14:textId="77777777" w:rsidR="00990B14" w:rsidRDefault="00000000">
            <w:pPr>
              <w:jc w:val="both"/>
            </w:pPr>
            <w:r>
              <w:rPr>
                <w:sz w:val="16"/>
              </w:rPr>
              <w:t>Auditoría de Entidades Sin Fines de Lucro – Proyectos Privados y Públicos</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49327F4C" w14:textId="77777777" w:rsidR="00990B14" w:rsidRDefault="00000000">
            <w:pPr>
              <w:jc w:val="both"/>
            </w:pPr>
            <w:r>
              <w:rPr>
                <w:sz w:val="16"/>
              </w:rPr>
              <w:t>Realiza los encargos de auditoría, de revisión, de procedimientos acordados y de cumplimiento sobre los estados financieros de propósito general y de propósito específico de las Entidades Sin Fines de Lucro y de los proyectos privados y públicos que administran y ejecutan con recursos nacionales e internacionales, mediante el proceso de planificación (valoración del riesgo), ejecución (respuesta al riesgo) e informe, conforme a las normas nacionales e internacionales, los marcos de referencia de información financiera, la normativa tributaria y los requerimientos de los financiadores, con apoyo de las tecnologías emergentes, juicio profesional, independencia, objetividad, escepticismo profesional y ética conforme al código de ética profesional vigente.</w:t>
            </w:r>
          </w:p>
        </w:tc>
      </w:tr>
      <w:tr w:rsidR="00990B14" w14:paraId="2FA447FE" w14:textId="77777777">
        <w:trPr>
          <w:jc w:val="center"/>
        </w:trPr>
        <w:tc>
          <w:tcPr>
            <w:tcW w:w="705" w:type="dxa"/>
            <w:tcBorders>
              <w:top w:val="single" w:sz="4" w:space="0" w:color="8EAADB"/>
              <w:left w:val="single" w:sz="4" w:space="0" w:color="8EAADB"/>
              <w:bottom w:val="single" w:sz="4" w:space="0" w:color="8EAADB"/>
              <w:right w:val="single" w:sz="4" w:space="0" w:color="8EAADB"/>
            </w:tcBorders>
            <w:shd w:val="clear" w:color="auto" w:fill="D9E2F3"/>
          </w:tcPr>
          <w:p w14:paraId="0CB95515" w14:textId="77777777" w:rsidR="00990B14" w:rsidRDefault="00000000">
            <w:pPr>
              <w:jc w:val="center"/>
            </w:pPr>
            <w:r>
              <w:rPr>
                <w:sz w:val="16"/>
              </w:rPr>
              <w:t>5.º</w:t>
            </w:r>
          </w:p>
        </w:tc>
        <w:tc>
          <w:tcPr>
            <w:tcW w:w="1058" w:type="dxa"/>
            <w:tcBorders>
              <w:top w:val="single" w:sz="4" w:space="0" w:color="8EAADB"/>
              <w:left w:val="single" w:sz="4" w:space="0" w:color="8EAADB"/>
              <w:bottom w:val="single" w:sz="4" w:space="0" w:color="8EAADB"/>
              <w:right w:val="single" w:sz="4" w:space="0" w:color="8EAADB"/>
            </w:tcBorders>
            <w:shd w:val="clear" w:color="auto" w:fill="D9E2F3"/>
          </w:tcPr>
          <w:p w14:paraId="3D01C69E" w14:textId="77777777" w:rsidR="00990B14" w:rsidRDefault="00000000">
            <w:pPr>
              <w:jc w:val="center"/>
            </w:pPr>
            <w:r>
              <w:rPr>
                <w:sz w:val="16"/>
              </w:rPr>
              <w:t>CPA-508</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082D79E3" w14:textId="77777777" w:rsidR="00990B14" w:rsidRDefault="00000000">
            <w:pPr>
              <w:jc w:val="both"/>
            </w:pPr>
            <w:r>
              <w:rPr>
                <w:sz w:val="16"/>
              </w:rPr>
              <w:t>Auditoría Forense y Prevención de Delitos Económicos</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53A9AED0" w14:textId="77777777" w:rsidR="00990B14" w:rsidRDefault="00000000">
            <w:pPr>
              <w:jc w:val="both"/>
            </w:pPr>
            <w:r>
              <w:rPr>
                <w:sz w:val="16"/>
              </w:rPr>
              <w:t>Diseña, ejecuta y evalúa estrategias integrales de auditoría forense y compliance penal bajo la NIA 3000 (ISAE 3000), ISO 37001 y las Normas de Auditoría de Cumplimiento de la Contraloría General del Estado de Bolivia, integrando la legislación penal, civil, comercial y financiera boliviana (Leyes 004, 1390, 1178, 393, UIF/ASFI) y técnicas de investigación financiera y analítica transaccional, para prevenir, detectar, mitigar y sustentar evidencias de fraude, corrupción y lavado de activos, garantizando la cadena de custodia probatoria, la admisibilidad judicial y el blindaje institucional.</w:t>
            </w:r>
          </w:p>
        </w:tc>
      </w:tr>
      <w:tr w:rsidR="00990B14" w14:paraId="1E247FA5" w14:textId="77777777">
        <w:trPr>
          <w:jc w:val="center"/>
        </w:trPr>
        <w:tc>
          <w:tcPr>
            <w:tcW w:w="705" w:type="dxa"/>
            <w:tcBorders>
              <w:top w:val="single" w:sz="4" w:space="0" w:color="8EAADB"/>
              <w:left w:val="single" w:sz="4" w:space="0" w:color="8EAADB"/>
              <w:bottom w:val="single" w:sz="4" w:space="0" w:color="8EAADB"/>
              <w:right w:val="single" w:sz="4" w:space="0" w:color="8EAADB"/>
            </w:tcBorders>
            <w:shd w:val="clear" w:color="auto" w:fill="D9E2F3"/>
          </w:tcPr>
          <w:p w14:paraId="4C6A9A5D" w14:textId="77777777" w:rsidR="00990B14" w:rsidRDefault="00000000">
            <w:pPr>
              <w:jc w:val="center"/>
            </w:pPr>
            <w:r>
              <w:rPr>
                <w:sz w:val="16"/>
              </w:rPr>
              <w:t>5.º</w:t>
            </w:r>
          </w:p>
        </w:tc>
        <w:tc>
          <w:tcPr>
            <w:tcW w:w="1058" w:type="dxa"/>
            <w:tcBorders>
              <w:top w:val="single" w:sz="4" w:space="0" w:color="8EAADB"/>
              <w:left w:val="single" w:sz="4" w:space="0" w:color="8EAADB"/>
              <w:bottom w:val="single" w:sz="4" w:space="0" w:color="8EAADB"/>
              <w:right w:val="single" w:sz="4" w:space="0" w:color="8EAADB"/>
            </w:tcBorders>
            <w:shd w:val="clear" w:color="auto" w:fill="D9E2F3"/>
          </w:tcPr>
          <w:p w14:paraId="30B0B961" w14:textId="77777777" w:rsidR="00990B14" w:rsidRDefault="00000000">
            <w:pPr>
              <w:jc w:val="center"/>
            </w:pPr>
            <w:r>
              <w:rPr>
                <w:sz w:val="16"/>
              </w:rPr>
              <w:t>CPA-509</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06C47EAE" w14:textId="77777777" w:rsidR="00990B14" w:rsidRDefault="00000000">
            <w:pPr>
              <w:jc w:val="both"/>
            </w:pPr>
            <w:r>
              <w:rPr>
                <w:sz w:val="16"/>
              </w:rPr>
              <w:t>Auditoría de Entidades Financieras y Servicios Relacionados</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3B3C94C8" w14:textId="77777777" w:rsidR="00990B14" w:rsidRDefault="00000000">
            <w:pPr>
              <w:jc w:val="both"/>
            </w:pPr>
            <w:r>
              <w:rPr>
                <w:sz w:val="16"/>
              </w:rPr>
              <w:t>Elabora el informe de auditoría de los estados financieros de una entidad financiera, los informes de los servicios relacionados y complementarios y los informes reglamentarios requeridos por la Autoridad de Supervisión del Sistema Financiero conforme a las Normas de Auditoría Generalmente Aceptadas en Bolivia, analizando las características y los servicios autorizados del sistema de intermediación financiera, aplicando el Manual de Cuentas para Entidades Financieras y las normas regulatorias de preparación de estados financieros, planificando el encargo con base en los riesgos específicos del sector y ejecutando las pruebas de controles y sustantivas con apoyo de herramientas de análisis de datos y evaluando el entorno de tecnología de información y sus controles, con independencia, escepticismo profesional, juicio crítico y ética.</w:t>
            </w:r>
          </w:p>
        </w:tc>
      </w:tr>
      <w:tr w:rsidR="00990B14" w14:paraId="6B3CD61D" w14:textId="77777777">
        <w:trPr>
          <w:jc w:val="center"/>
        </w:trPr>
        <w:tc>
          <w:tcPr>
            <w:tcW w:w="705" w:type="dxa"/>
            <w:tcBorders>
              <w:top w:val="single" w:sz="4" w:space="0" w:color="8EAADB"/>
              <w:left w:val="single" w:sz="4" w:space="0" w:color="8EAADB"/>
              <w:bottom w:val="single" w:sz="4" w:space="0" w:color="8EAADB"/>
              <w:right w:val="single" w:sz="4" w:space="0" w:color="8EAADB"/>
            </w:tcBorders>
            <w:shd w:val="clear" w:color="auto" w:fill="D9E2F3"/>
          </w:tcPr>
          <w:p w14:paraId="79419F40" w14:textId="77777777" w:rsidR="00990B14" w:rsidRDefault="00000000">
            <w:pPr>
              <w:jc w:val="center"/>
            </w:pPr>
            <w:r>
              <w:rPr>
                <w:sz w:val="16"/>
              </w:rPr>
              <w:t>5.º</w:t>
            </w:r>
          </w:p>
        </w:tc>
        <w:tc>
          <w:tcPr>
            <w:tcW w:w="1058" w:type="dxa"/>
            <w:tcBorders>
              <w:top w:val="single" w:sz="4" w:space="0" w:color="8EAADB"/>
              <w:left w:val="single" w:sz="4" w:space="0" w:color="8EAADB"/>
              <w:bottom w:val="single" w:sz="4" w:space="0" w:color="8EAADB"/>
              <w:right w:val="single" w:sz="4" w:space="0" w:color="8EAADB"/>
            </w:tcBorders>
            <w:shd w:val="clear" w:color="auto" w:fill="D9E2F3"/>
          </w:tcPr>
          <w:p w14:paraId="658750EF" w14:textId="77777777" w:rsidR="00990B14" w:rsidRDefault="00000000">
            <w:pPr>
              <w:jc w:val="center"/>
            </w:pPr>
            <w:r>
              <w:rPr>
                <w:sz w:val="16"/>
              </w:rPr>
              <w:t>CPA-510</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1338D63D" w14:textId="77777777" w:rsidR="00990B14" w:rsidRDefault="00000000">
            <w:pPr>
              <w:jc w:val="both"/>
            </w:pPr>
            <w:r>
              <w:rPr>
                <w:sz w:val="16"/>
              </w:rPr>
              <w:t>Taller de Grado</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067FADD7" w14:textId="77777777" w:rsidR="00990B14" w:rsidRDefault="00000000">
            <w:pPr>
              <w:jc w:val="both"/>
            </w:pPr>
            <w:r>
              <w:rPr>
                <w:sz w:val="16"/>
              </w:rPr>
              <w:t>Formula un Perfil de Tesis de Grado o un Perfil de Proyecto de Grado en el ámbito de la Contaduría Pública, a partir de la identificación de una problemática relevante y pertinente, enmarcada en las líneas de investigación de la Carrera, articulando fundamentos teóricos, metodológicos y profesionales, con criterios de coherencia, rigor académico, factibilidad, ética y cumplimiento de la normativa institucional.</w:t>
            </w:r>
          </w:p>
        </w:tc>
      </w:tr>
    </w:tbl>
    <w:p w14:paraId="17EEFB8B" w14:textId="77777777" w:rsidR="00990B14" w:rsidRDefault="00000000">
      <w:pPr>
        <w:spacing w:before="40" w:after="200"/>
      </w:pPr>
      <w:r>
        <w:rPr>
          <w:sz w:val="16"/>
        </w:rPr>
        <w:t>Fuente: planes de asignatura del punto 4.5.</w:t>
      </w:r>
    </w:p>
    <w:p w14:paraId="4634B147" w14:textId="77777777" w:rsidR="0082643C" w:rsidRDefault="00000000">
      <w:pPr>
        <w:keepNext/>
        <w:tabs>
          <w:tab w:val="left" w:pos="709"/>
        </w:tabs>
        <w:spacing w:before="80" w:after="200"/>
        <w:ind w:left="709" w:hanging="709"/>
        <w:outlineLvl w:val="2"/>
      </w:pPr>
      <w:bookmarkStart w:id="136" w:name="_Toc000000083"/>
      <w:r>
        <w:rPr>
          <w:b/>
          <w:sz w:val="22"/>
        </w:rPr>
        <w:t>4.4.3</w:t>
      </w:r>
      <w:r>
        <w:rPr>
          <w:b/>
          <w:sz w:val="22"/>
        </w:rPr>
        <w:tab/>
        <w:t>Malla curricular (siglas, nombres de la asignatura, carga horaria, créditos, prerrequisitos) por ciclos y semestres/año</w:t>
      </w:r>
      <w:bookmarkEnd w:id="136"/>
    </w:p>
    <w:p w14:paraId="6E81C9F5" w14:textId="77777777" w:rsidR="0082643C" w:rsidRDefault="00000000">
      <w:pPr>
        <w:spacing w:after="200"/>
        <w:jc w:val="both"/>
      </w:pPr>
      <w:r>
        <w:t>La malla del rediseño comprende 43 asignaturas anuales distribuidas en cinco años. Las horas anuales resultan de la carga semanal multiplicada por las 40 semanas de la gestión académica anual. Los créditos se asignan conforme a la Resolución HCU N.º 351/2021: 60 créditos por año académico y un crédito equivalente a 30 horas de trabajo, presenciales y no presenciales.</w:t>
      </w:r>
    </w:p>
    <w:p w14:paraId="042D9BB1" w14:textId="77777777" w:rsidR="0082643C" w:rsidRDefault="00000000">
      <w:pPr>
        <w:pStyle w:val="TituloCuadro"/>
        <w:keepNext/>
        <w:spacing w:before="40" w:after="80"/>
        <w:jc w:val="center"/>
      </w:pPr>
      <w:bookmarkStart w:id="137" w:name="_Toc000000333"/>
      <w:r>
        <w:rPr>
          <w:b/>
        </w:rPr>
        <w:t>Cuadro 5. Malla curricular, primer año</w:t>
      </w:r>
      <w:bookmarkEnd w:id="137"/>
    </w:p>
    <w:tbl>
      <w:tblPr>
        <w:tblW w:w="9405" w:type="dxa"/>
        <w:jc w:val="center"/>
        <w:tblLayout w:type="fixed"/>
        <w:tblLook w:val="04A0" w:firstRow="1" w:lastRow="0" w:firstColumn="1" w:lastColumn="0" w:noHBand="0" w:noVBand="1"/>
      </w:tblPr>
      <w:tblGrid>
        <w:gridCol w:w="1206"/>
        <w:gridCol w:w="3015"/>
        <w:gridCol w:w="1688"/>
        <w:gridCol w:w="784"/>
        <w:gridCol w:w="844"/>
        <w:gridCol w:w="784"/>
        <w:gridCol w:w="1084"/>
      </w:tblGrid>
      <w:tr w:rsidR="00395D6D" w14:paraId="7C99F26B" w14:textId="77777777">
        <w:trPr>
          <w:tblHeader/>
          <w:jc w:val="center"/>
        </w:trPr>
        <w:tc>
          <w:tcPr>
            <w:tcW w:w="120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4BA8720" w14:textId="77777777" w:rsidR="0082643C" w:rsidRDefault="00000000">
            <w:pPr>
              <w:jc w:val="center"/>
            </w:pPr>
            <w:r>
              <w:rPr>
                <w:b/>
                <w:color w:val="FFFFFF"/>
                <w:sz w:val="18"/>
              </w:rPr>
              <w:t>Sigla</w:t>
            </w:r>
          </w:p>
        </w:tc>
        <w:tc>
          <w:tcPr>
            <w:tcW w:w="301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2DECECF" w14:textId="77777777" w:rsidR="0082643C" w:rsidRDefault="00000000">
            <w:pPr>
              <w:jc w:val="center"/>
            </w:pPr>
            <w:r>
              <w:rPr>
                <w:b/>
                <w:color w:val="FFFFFF"/>
                <w:sz w:val="18"/>
              </w:rPr>
              <w:t>Asignatura</w:t>
            </w:r>
          </w:p>
        </w:tc>
        <w:tc>
          <w:tcPr>
            <w:tcW w:w="168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8B0C287" w14:textId="77777777" w:rsidR="0082643C" w:rsidRDefault="00000000">
            <w:pPr>
              <w:jc w:val="center"/>
            </w:pPr>
            <w:r>
              <w:rPr>
                <w:b/>
                <w:color w:val="FFFFFF"/>
                <w:sz w:val="18"/>
              </w:rPr>
              <w:t>Prerrequisito</w:t>
            </w:r>
          </w:p>
        </w:tc>
        <w:tc>
          <w:tcPr>
            <w:tcW w:w="78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0237B06" w14:textId="77777777" w:rsidR="0082643C" w:rsidRDefault="00000000">
            <w:pPr>
              <w:jc w:val="center"/>
            </w:pPr>
            <w:r>
              <w:rPr>
                <w:b/>
                <w:color w:val="FFFFFF"/>
                <w:sz w:val="18"/>
              </w:rPr>
              <w:t>Hrs. sem.</w:t>
            </w:r>
          </w:p>
        </w:tc>
        <w:tc>
          <w:tcPr>
            <w:tcW w:w="84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C33880B" w14:textId="77777777" w:rsidR="0082643C" w:rsidRDefault="00000000">
            <w:pPr>
              <w:jc w:val="center"/>
            </w:pPr>
            <w:r>
              <w:rPr>
                <w:b/>
                <w:color w:val="FFFFFF"/>
                <w:sz w:val="18"/>
              </w:rPr>
              <w:t>Hrs. año</w:t>
            </w:r>
          </w:p>
        </w:tc>
        <w:tc>
          <w:tcPr>
            <w:tcW w:w="78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FF6F94B" w14:textId="77777777" w:rsidR="0082643C" w:rsidRDefault="00000000">
            <w:pPr>
              <w:jc w:val="center"/>
            </w:pPr>
            <w:r>
              <w:rPr>
                <w:b/>
                <w:color w:val="FFFFFF"/>
                <w:sz w:val="18"/>
              </w:rPr>
              <w:t>Créd.</w:t>
            </w:r>
          </w:p>
        </w:tc>
        <w:tc>
          <w:tcPr>
            <w:tcW w:w="108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0C69049" w14:textId="77777777" w:rsidR="0082643C" w:rsidRDefault="00000000">
            <w:pPr>
              <w:jc w:val="center"/>
            </w:pPr>
            <w:r>
              <w:rPr>
                <w:b/>
                <w:color w:val="FFFFFF"/>
                <w:sz w:val="18"/>
              </w:rPr>
              <w:t>Hrs. trabajo</w:t>
            </w:r>
          </w:p>
        </w:tc>
      </w:tr>
      <w:tr w:rsidR="00395D6D" w14:paraId="60DC2610" w14:textId="77777777">
        <w:trPr>
          <w:jc w:val="center"/>
        </w:trPr>
        <w:tc>
          <w:tcPr>
            <w:tcW w:w="1206" w:type="dxa"/>
            <w:tcBorders>
              <w:top w:val="single" w:sz="4" w:space="0" w:color="8EAADB"/>
              <w:left w:val="single" w:sz="4" w:space="0" w:color="8EAADB"/>
              <w:bottom w:val="single" w:sz="4" w:space="0" w:color="8EAADB"/>
              <w:right w:val="single" w:sz="4" w:space="0" w:color="8EAADB"/>
            </w:tcBorders>
            <w:shd w:val="clear" w:color="auto" w:fill="D9E2F3"/>
          </w:tcPr>
          <w:p w14:paraId="38F5F206" w14:textId="77777777" w:rsidR="0082643C" w:rsidRDefault="00000000">
            <w:pPr>
              <w:jc w:val="center"/>
            </w:pPr>
            <w:r>
              <w:rPr>
                <w:sz w:val="18"/>
              </w:rPr>
              <w:t>CPA-101</w:t>
            </w:r>
          </w:p>
        </w:tc>
        <w:tc>
          <w:tcPr>
            <w:tcW w:w="3015" w:type="dxa"/>
            <w:tcBorders>
              <w:top w:val="single" w:sz="4" w:space="0" w:color="8EAADB"/>
              <w:left w:val="single" w:sz="4" w:space="0" w:color="8EAADB"/>
              <w:bottom w:val="single" w:sz="4" w:space="0" w:color="8EAADB"/>
              <w:right w:val="single" w:sz="4" w:space="0" w:color="8EAADB"/>
            </w:tcBorders>
            <w:shd w:val="clear" w:color="auto" w:fill="D9E2F3"/>
          </w:tcPr>
          <w:p w14:paraId="4E52B376" w14:textId="77777777" w:rsidR="0082643C" w:rsidRDefault="00000000">
            <w:pPr>
              <w:jc w:val="both"/>
            </w:pPr>
            <w:r>
              <w:rPr>
                <w:sz w:val="18"/>
              </w:rPr>
              <w:t>Contabilidad Básica</w:t>
            </w:r>
          </w:p>
        </w:tc>
        <w:tc>
          <w:tcPr>
            <w:tcW w:w="1688" w:type="dxa"/>
            <w:tcBorders>
              <w:top w:val="single" w:sz="4" w:space="0" w:color="8EAADB"/>
              <w:left w:val="single" w:sz="4" w:space="0" w:color="8EAADB"/>
              <w:bottom w:val="single" w:sz="4" w:space="0" w:color="8EAADB"/>
              <w:right w:val="single" w:sz="4" w:space="0" w:color="8EAADB"/>
            </w:tcBorders>
            <w:shd w:val="clear" w:color="auto" w:fill="D9E2F3"/>
          </w:tcPr>
          <w:p w14:paraId="55BB8331" w14:textId="77777777" w:rsidR="0082643C" w:rsidRDefault="00000000">
            <w:pPr>
              <w:jc w:val="both"/>
            </w:pPr>
            <w:r>
              <w:rPr>
                <w:sz w:val="18"/>
              </w:rPr>
              <w:t>AE, CPF o PSA</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15A4DA07" w14:textId="77777777" w:rsidR="0082643C" w:rsidRDefault="00000000" w:rsidP="00BE6153">
            <w:pPr>
              <w:jc w:val="center"/>
            </w:pPr>
            <w:r>
              <w:rPr>
                <w:sz w:val="18"/>
              </w:rPr>
              <w:t>4</w:t>
            </w:r>
          </w:p>
        </w:tc>
        <w:tc>
          <w:tcPr>
            <w:tcW w:w="844" w:type="dxa"/>
            <w:tcBorders>
              <w:top w:val="single" w:sz="4" w:space="0" w:color="8EAADB"/>
              <w:left w:val="single" w:sz="4" w:space="0" w:color="8EAADB"/>
              <w:bottom w:val="single" w:sz="4" w:space="0" w:color="8EAADB"/>
              <w:right w:val="single" w:sz="4" w:space="0" w:color="8EAADB"/>
            </w:tcBorders>
            <w:shd w:val="clear" w:color="auto" w:fill="D9E2F3"/>
          </w:tcPr>
          <w:p w14:paraId="704CEF3E" w14:textId="77777777" w:rsidR="0082643C" w:rsidRDefault="00000000" w:rsidP="00BE6153">
            <w:pPr>
              <w:jc w:val="center"/>
            </w:pPr>
            <w:r>
              <w:rPr>
                <w:sz w:val="18"/>
              </w:rPr>
              <w:t>160</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52832046" w14:textId="77777777" w:rsidR="0082643C" w:rsidRDefault="00000000" w:rsidP="00BE6153">
            <w:pPr>
              <w:jc w:val="center"/>
            </w:pPr>
            <w:r>
              <w:rPr>
                <w:sz w:val="18"/>
              </w:rPr>
              <w:t>9</w:t>
            </w:r>
          </w:p>
        </w:tc>
        <w:tc>
          <w:tcPr>
            <w:tcW w:w="1084" w:type="dxa"/>
            <w:tcBorders>
              <w:top w:val="single" w:sz="4" w:space="0" w:color="8EAADB"/>
              <w:left w:val="single" w:sz="4" w:space="0" w:color="8EAADB"/>
              <w:bottom w:val="single" w:sz="4" w:space="0" w:color="8EAADB"/>
              <w:right w:val="single" w:sz="4" w:space="0" w:color="8EAADB"/>
            </w:tcBorders>
            <w:shd w:val="clear" w:color="auto" w:fill="D9E2F3"/>
          </w:tcPr>
          <w:p w14:paraId="0B79F5EC" w14:textId="77777777" w:rsidR="0082643C" w:rsidRDefault="00000000" w:rsidP="00BE6153">
            <w:pPr>
              <w:jc w:val="center"/>
            </w:pPr>
            <w:r>
              <w:rPr>
                <w:sz w:val="18"/>
              </w:rPr>
              <w:t>270</w:t>
            </w:r>
          </w:p>
        </w:tc>
      </w:tr>
      <w:tr w:rsidR="00395D6D" w14:paraId="2F8C2EA0" w14:textId="77777777">
        <w:trPr>
          <w:jc w:val="center"/>
        </w:trPr>
        <w:tc>
          <w:tcPr>
            <w:tcW w:w="1206" w:type="dxa"/>
            <w:tcBorders>
              <w:top w:val="single" w:sz="4" w:space="0" w:color="8EAADB"/>
              <w:left w:val="single" w:sz="4" w:space="0" w:color="8EAADB"/>
              <w:bottom w:val="single" w:sz="4" w:space="0" w:color="8EAADB"/>
              <w:right w:val="single" w:sz="4" w:space="0" w:color="8EAADB"/>
            </w:tcBorders>
            <w:shd w:val="clear" w:color="auto" w:fill="D9E2F3"/>
          </w:tcPr>
          <w:p w14:paraId="78AD3104" w14:textId="77777777" w:rsidR="0082643C" w:rsidRDefault="00000000">
            <w:pPr>
              <w:jc w:val="center"/>
            </w:pPr>
            <w:r>
              <w:rPr>
                <w:sz w:val="18"/>
              </w:rPr>
              <w:t>CPA-102</w:t>
            </w:r>
          </w:p>
        </w:tc>
        <w:tc>
          <w:tcPr>
            <w:tcW w:w="3015" w:type="dxa"/>
            <w:tcBorders>
              <w:top w:val="single" w:sz="4" w:space="0" w:color="8EAADB"/>
              <w:left w:val="single" w:sz="4" w:space="0" w:color="8EAADB"/>
              <w:bottom w:val="single" w:sz="4" w:space="0" w:color="8EAADB"/>
              <w:right w:val="single" w:sz="4" w:space="0" w:color="8EAADB"/>
            </w:tcBorders>
            <w:shd w:val="clear" w:color="auto" w:fill="D9E2F3"/>
          </w:tcPr>
          <w:p w14:paraId="273E544D" w14:textId="77777777" w:rsidR="0082643C" w:rsidRDefault="00000000">
            <w:pPr>
              <w:jc w:val="both"/>
            </w:pPr>
            <w:r>
              <w:rPr>
                <w:sz w:val="18"/>
              </w:rPr>
              <w:t xml:space="preserve">Tecnologías de Información y </w:t>
            </w:r>
            <w:r>
              <w:rPr>
                <w:sz w:val="18"/>
              </w:rPr>
              <w:lastRenderedPageBreak/>
              <w:t>Herramientas Digitales</w:t>
            </w:r>
          </w:p>
        </w:tc>
        <w:tc>
          <w:tcPr>
            <w:tcW w:w="1688" w:type="dxa"/>
            <w:tcBorders>
              <w:top w:val="single" w:sz="4" w:space="0" w:color="8EAADB"/>
              <w:left w:val="single" w:sz="4" w:space="0" w:color="8EAADB"/>
              <w:bottom w:val="single" w:sz="4" w:space="0" w:color="8EAADB"/>
              <w:right w:val="single" w:sz="4" w:space="0" w:color="8EAADB"/>
            </w:tcBorders>
            <w:shd w:val="clear" w:color="auto" w:fill="D9E2F3"/>
          </w:tcPr>
          <w:p w14:paraId="1D34CC8A" w14:textId="77777777" w:rsidR="0082643C" w:rsidRDefault="00000000">
            <w:pPr>
              <w:jc w:val="both"/>
            </w:pPr>
            <w:r>
              <w:rPr>
                <w:sz w:val="18"/>
              </w:rPr>
              <w:lastRenderedPageBreak/>
              <w:t>AE, CPF o PSA</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0D979750" w14:textId="77777777" w:rsidR="0082643C" w:rsidRDefault="00000000" w:rsidP="00BE6153">
            <w:pPr>
              <w:jc w:val="center"/>
            </w:pPr>
            <w:r>
              <w:rPr>
                <w:sz w:val="18"/>
              </w:rPr>
              <w:t>2</w:t>
            </w:r>
          </w:p>
        </w:tc>
        <w:tc>
          <w:tcPr>
            <w:tcW w:w="844" w:type="dxa"/>
            <w:tcBorders>
              <w:top w:val="single" w:sz="4" w:space="0" w:color="8EAADB"/>
              <w:left w:val="single" w:sz="4" w:space="0" w:color="8EAADB"/>
              <w:bottom w:val="single" w:sz="4" w:space="0" w:color="8EAADB"/>
              <w:right w:val="single" w:sz="4" w:space="0" w:color="8EAADB"/>
            </w:tcBorders>
            <w:shd w:val="clear" w:color="auto" w:fill="D9E2F3"/>
          </w:tcPr>
          <w:p w14:paraId="0B948EFD" w14:textId="77777777" w:rsidR="0082643C" w:rsidRDefault="00000000" w:rsidP="00BE6153">
            <w:pPr>
              <w:jc w:val="center"/>
            </w:pPr>
            <w:r>
              <w:rPr>
                <w:sz w:val="18"/>
              </w:rPr>
              <w:t>80</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5D3E38DB" w14:textId="77777777" w:rsidR="0082643C" w:rsidRDefault="00000000" w:rsidP="00BE6153">
            <w:pPr>
              <w:jc w:val="center"/>
            </w:pPr>
            <w:r>
              <w:rPr>
                <w:sz w:val="18"/>
              </w:rPr>
              <w:t>5</w:t>
            </w:r>
          </w:p>
        </w:tc>
        <w:tc>
          <w:tcPr>
            <w:tcW w:w="1084" w:type="dxa"/>
            <w:tcBorders>
              <w:top w:val="single" w:sz="4" w:space="0" w:color="8EAADB"/>
              <w:left w:val="single" w:sz="4" w:space="0" w:color="8EAADB"/>
              <w:bottom w:val="single" w:sz="4" w:space="0" w:color="8EAADB"/>
              <w:right w:val="single" w:sz="4" w:space="0" w:color="8EAADB"/>
            </w:tcBorders>
            <w:shd w:val="clear" w:color="auto" w:fill="D9E2F3"/>
          </w:tcPr>
          <w:p w14:paraId="37180532" w14:textId="77777777" w:rsidR="0082643C" w:rsidRDefault="00000000" w:rsidP="00BE6153">
            <w:pPr>
              <w:jc w:val="center"/>
            </w:pPr>
            <w:r>
              <w:rPr>
                <w:sz w:val="18"/>
              </w:rPr>
              <w:t>150</w:t>
            </w:r>
          </w:p>
        </w:tc>
      </w:tr>
      <w:tr w:rsidR="00395D6D" w14:paraId="1D6AA119" w14:textId="77777777">
        <w:trPr>
          <w:jc w:val="center"/>
        </w:trPr>
        <w:tc>
          <w:tcPr>
            <w:tcW w:w="1206" w:type="dxa"/>
            <w:tcBorders>
              <w:top w:val="single" w:sz="4" w:space="0" w:color="8EAADB"/>
              <w:left w:val="single" w:sz="4" w:space="0" w:color="8EAADB"/>
              <w:bottom w:val="single" w:sz="4" w:space="0" w:color="8EAADB"/>
              <w:right w:val="single" w:sz="4" w:space="0" w:color="8EAADB"/>
            </w:tcBorders>
            <w:shd w:val="clear" w:color="auto" w:fill="D9E2F3"/>
          </w:tcPr>
          <w:p w14:paraId="2FE57356" w14:textId="77777777" w:rsidR="0082643C" w:rsidRDefault="00000000">
            <w:pPr>
              <w:jc w:val="center"/>
            </w:pPr>
            <w:r>
              <w:rPr>
                <w:sz w:val="18"/>
              </w:rPr>
              <w:t>ADM-101</w:t>
            </w:r>
          </w:p>
        </w:tc>
        <w:tc>
          <w:tcPr>
            <w:tcW w:w="3015" w:type="dxa"/>
            <w:tcBorders>
              <w:top w:val="single" w:sz="4" w:space="0" w:color="8EAADB"/>
              <w:left w:val="single" w:sz="4" w:space="0" w:color="8EAADB"/>
              <w:bottom w:val="single" w:sz="4" w:space="0" w:color="8EAADB"/>
              <w:right w:val="single" w:sz="4" w:space="0" w:color="8EAADB"/>
            </w:tcBorders>
            <w:shd w:val="clear" w:color="auto" w:fill="D9E2F3"/>
          </w:tcPr>
          <w:p w14:paraId="10868176" w14:textId="77777777" w:rsidR="0082643C" w:rsidRDefault="00000000">
            <w:pPr>
              <w:jc w:val="both"/>
            </w:pPr>
            <w:r>
              <w:rPr>
                <w:sz w:val="18"/>
              </w:rPr>
              <w:t>Administración General</w:t>
            </w:r>
          </w:p>
        </w:tc>
        <w:tc>
          <w:tcPr>
            <w:tcW w:w="1688" w:type="dxa"/>
            <w:tcBorders>
              <w:top w:val="single" w:sz="4" w:space="0" w:color="8EAADB"/>
              <w:left w:val="single" w:sz="4" w:space="0" w:color="8EAADB"/>
              <w:bottom w:val="single" w:sz="4" w:space="0" w:color="8EAADB"/>
              <w:right w:val="single" w:sz="4" w:space="0" w:color="8EAADB"/>
            </w:tcBorders>
            <w:shd w:val="clear" w:color="auto" w:fill="D9E2F3"/>
          </w:tcPr>
          <w:p w14:paraId="13214FD5" w14:textId="77777777" w:rsidR="0082643C" w:rsidRDefault="00000000">
            <w:pPr>
              <w:jc w:val="both"/>
            </w:pPr>
            <w:r>
              <w:rPr>
                <w:sz w:val="18"/>
              </w:rPr>
              <w:t>AE, CPF o PSA</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00004831" w14:textId="77777777" w:rsidR="0082643C" w:rsidRDefault="00000000" w:rsidP="00BE6153">
            <w:pPr>
              <w:jc w:val="center"/>
            </w:pPr>
            <w:r>
              <w:rPr>
                <w:sz w:val="18"/>
              </w:rPr>
              <w:t>4</w:t>
            </w:r>
          </w:p>
        </w:tc>
        <w:tc>
          <w:tcPr>
            <w:tcW w:w="844" w:type="dxa"/>
            <w:tcBorders>
              <w:top w:val="single" w:sz="4" w:space="0" w:color="8EAADB"/>
              <w:left w:val="single" w:sz="4" w:space="0" w:color="8EAADB"/>
              <w:bottom w:val="single" w:sz="4" w:space="0" w:color="8EAADB"/>
              <w:right w:val="single" w:sz="4" w:space="0" w:color="8EAADB"/>
            </w:tcBorders>
            <w:shd w:val="clear" w:color="auto" w:fill="D9E2F3"/>
          </w:tcPr>
          <w:p w14:paraId="25DE40EA" w14:textId="77777777" w:rsidR="0082643C" w:rsidRDefault="00000000" w:rsidP="00BE6153">
            <w:pPr>
              <w:jc w:val="center"/>
            </w:pPr>
            <w:r>
              <w:rPr>
                <w:sz w:val="18"/>
              </w:rPr>
              <w:t>160</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5A6D24ED" w14:textId="77777777" w:rsidR="0082643C" w:rsidRDefault="00000000" w:rsidP="00BE6153">
            <w:pPr>
              <w:jc w:val="center"/>
            </w:pPr>
            <w:r>
              <w:rPr>
                <w:sz w:val="18"/>
              </w:rPr>
              <w:t>9</w:t>
            </w:r>
          </w:p>
        </w:tc>
        <w:tc>
          <w:tcPr>
            <w:tcW w:w="1084" w:type="dxa"/>
            <w:tcBorders>
              <w:top w:val="single" w:sz="4" w:space="0" w:color="8EAADB"/>
              <w:left w:val="single" w:sz="4" w:space="0" w:color="8EAADB"/>
              <w:bottom w:val="single" w:sz="4" w:space="0" w:color="8EAADB"/>
              <w:right w:val="single" w:sz="4" w:space="0" w:color="8EAADB"/>
            </w:tcBorders>
            <w:shd w:val="clear" w:color="auto" w:fill="D9E2F3"/>
          </w:tcPr>
          <w:p w14:paraId="282E9082" w14:textId="77777777" w:rsidR="0082643C" w:rsidRDefault="00000000" w:rsidP="00BE6153">
            <w:pPr>
              <w:jc w:val="center"/>
            </w:pPr>
            <w:r>
              <w:rPr>
                <w:sz w:val="18"/>
              </w:rPr>
              <w:t>270</w:t>
            </w:r>
          </w:p>
        </w:tc>
      </w:tr>
      <w:tr w:rsidR="00395D6D" w14:paraId="3E59A298" w14:textId="77777777">
        <w:trPr>
          <w:jc w:val="center"/>
        </w:trPr>
        <w:tc>
          <w:tcPr>
            <w:tcW w:w="1206" w:type="dxa"/>
            <w:tcBorders>
              <w:top w:val="single" w:sz="4" w:space="0" w:color="8EAADB"/>
              <w:left w:val="single" w:sz="4" w:space="0" w:color="8EAADB"/>
              <w:bottom w:val="single" w:sz="4" w:space="0" w:color="8EAADB"/>
              <w:right w:val="single" w:sz="4" w:space="0" w:color="8EAADB"/>
            </w:tcBorders>
            <w:shd w:val="clear" w:color="auto" w:fill="D9E2F3"/>
          </w:tcPr>
          <w:p w14:paraId="1EB2F5B4" w14:textId="77777777" w:rsidR="0082643C" w:rsidRDefault="00000000">
            <w:pPr>
              <w:jc w:val="center"/>
            </w:pPr>
            <w:r>
              <w:rPr>
                <w:sz w:val="18"/>
              </w:rPr>
              <w:t>DER-101</w:t>
            </w:r>
          </w:p>
        </w:tc>
        <w:tc>
          <w:tcPr>
            <w:tcW w:w="3015" w:type="dxa"/>
            <w:tcBorders>
              <w:top w:val="single" w:sz="4" w:space="0" w:color="8EAADB"/>
              <w:left w:val="single" w:sz="4" w:space="0" w:color="8EAADB"/>
              <w:bottom w:val="single" w:sz="4" w:space="0" w:color="8EAADB"/>
              <w:right w:val="single" w:sz="4" w:space="0" w:color="8EAADB"/>
            </w:tcBorders>
            <w:shd w:val="clear" w:color="auto" w:fill="D9E2F3"/>
          </w:tcPr>
          <w:p w14:paraId="5288C804" w14:textId="77777777" w:rsidR="0082643C" w:rsidRDefault="00000000">
            <w:pPr>
              <w:jc w:val="both"/>
            </w:pPr>
            <w:r>
              <w:rPr>
                <w:sz w:val="18"/>
              </w:rPr>
              <w:t>Derecho Comercial y Corporativo</w:t>
            </w:r>
          </w:p>
        </w:tc>
        <w:tc>
          <w:tcPr>
            <w:tcW w:w="1688" w:type="dxa"/>
            <w:tcBorders>
              <w:top w:val="single" w:sz="4" w:space="0" w:color="8EAADB"/>
              <w:left w:val="single" w:sz="4" w:space="0" w:color="8EAADB"/>
              <w:bottom w:val="single" w:sz="4" w:space="0" w:color="8EAADB"/>
              <w:right w:val="single" w:sz="4" w:space="0" w:color="8EAADB"/>
            </w:tcBorders>
            <w:shd w:val="clear" w:color="auto" w:fill="D9E2F3"/>
          </w:tcPr>
          <w:p w14:paraId="646E222F" w14:textId="77777777" w:rsidR="0082643C" w:rsidRDefault="00000000">
            <w:pPr>
              <w:jc w:val="both"/>
            </w:pPr>
            <w:r>
              <w:rPr>
                <w:sz w:val="18"/>
              </w:rPr>
              <w:t>AE, CPF o PSA</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70225204" w14:textId="77777777" w:rsidR="0082643C" w:rsidRDefault="00000000" w:rsidP="00BE6153">
            <w:pPr>
              <w:jc w:val="center"/>
            </w:pPr>
            <w:r>
              <w:rPr>
                <w:sz w:val="18"/>
              </w:rPr>
              <w:t>2</w:t>
            </w:r>
          </w:p>
        </w:tc>
        <w:tc>
          <w:tcPr>
            <w:tcW w:w="844" w:type="dxa"/>
            <w:tcBorders>
              <w:top w:val="single" w:sz="4" w:space="0" w:color="8EAADB"/>
              <w:left w:val="single" w:sz="4" w:space="0" w:color="8EAADB"/>
              <w:bottom w:val="single" w:sz="4" w:space="0" w:color="8EAADB"/>
              <w:right w:val="single" w:sz="4" w:space="0" w:color="8EAADB"/>
            </w:tcBorders>
            <w:shd w:val="clear" w:color="auto" w:fill="D9E2F3"/>
          </w:tcPr>
          <w:p w14:paraId="6FB167B3" w14:textId="77777777" w:rsidR="0082643C" w:rsidRDefault="00000000" w:rsidP="00BE6153">
            <w:pPr>
              <w:jc w:val="center"/>
            </w:pPr>
            <w:r>
              <w:rPr>
                <w:sz w:val="18"/>
              </w:rPr>
              <w:t>80</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03E42ECC" w14:textId="77777777" w:rsidR="0082643C" w:rsidRDefault="00000000" w:rsidP="00BE6153">
            <w:pPr>
              <w:jc w:val="center"/>
            </w:pPr>
            <w:r>
              <w:rPr>
                <w:sz w:val="18"/>
              </w:rPr>
              <w:t>5</w:t>
            </w:r>
          </w:p>
        </w:tc>
        <w:tc>
          <w:tcPr>
            <w:tcW w:w="1084" w:type="dxa"/>
            <w:tcBorders>
              <w:top w:val="single" w:sz="4" w:space="0" w:color="8EAADB"/>
              <w:left w:val="single" w:sz="4" w:space="0" w:color="8EAADB"/>
              <w:bottom w:val="single" w:sz="4" w:space="0" w:color="8EAADB"/>
              <w:right w:val="single" w:sz="4" w:space="0" w:color="8EAADB"/>
            </w:tcBorders>
            <w:shd w:val="clear" w:color="auto" w:fill="D9E2F3"/>
          </w:tcPr>
          <w:p w14:paraId="63E409D2" w14:textId="77777777" w:rsidR="0082643C" w:rsidRDefault="00000000" w:rsidP="00BE6153">
            <w:pPr>
              <w:jc w:val="center"/>
            </w:pPr>
            <w:r>
              <w:rPr>
                <w:sz w:val="18"/>
              </w:rPr>
              <w:t>150</w:t>
            </w:r>
          </w:p>
        </w:tc>
      </w:tr>
      <w:tr w:rsidR="00395D6D" w14:paraId="54E4FF52" w14:textId="77777777">
        <w:trPr>
          <w:jc w:val="center"/>
        </w:trPr>
        <w:tc>
          <w:tcPr>
            <w:tcW w:w="1206" w:type="dxa"/>
            <w:tcBorders>
              <w:top w:val="single" w:sz="4" w:space="0" w:color="8EAADB"/>
              <w:left w:val="single" w:sz="4" w:space="0" w:color="8EAADB"/>
              <w:bottom w:val="single" w:sz="4" w:space="0" w:color="8EAADB"/>
              <w:right w:val="single" w:sz="4" w:space="0" w:color="8EAADB"/>
            </w:tcBorders>
            <w:shd w:val="clear" w:color="auto" w:fill="D9E2F3"/>
          </w:tcPr>
          <w:p w14:paraId="0FBF6AE0" w14:textId="77777777" w:rsidR="0082643C" w:rsidRDefault="00000000">
            <w:pPr>
              <w:jc w:val="center"/>
            </w:pPr>
            <w:r>
              <w:rPr>
                <w:sz w:val="18"/>
              </w:rPr>
              <w:t>DER-102</w:t>
            </w:r>
          </w:p>
        </w:tc>
        <w:tc>
          <w:tcPr>
            <w:tcW w:w="3015" w:type="dxa"/>
            <w:tcBorders>
              <w:top w:val="single" w:sz="4" w:space="0" w:color="8EAADB"/>
              <w:left w:val="single" w:sz="4" w:space="0" w:color="8EAADB"/>
              <w:bottom w:val="single" w:sz="4" w:space="0" w:color="8EAADB"/>
              <w:right w:val="single" w:sz="4" w:space="0" w:color="8EAADB"/>
            </w:tcBorders>
            <w:shd w:val="clear" w:color="auto" w:fill="D9E2F3"/>
          </w:tcPr>
          <w:p w14:paraId="3D73DC0E" w14:textId="77777777" w:rsidR="0082643C" w:rsidRDefault="00000000">
            <w:pPr>
              <w:jc w:val="both"/>
            </w:pPr>
            <w:r>
              <w:rPr>
                <w:sz w:val="18"/>
              </w:rPr>
              <w:t>Derecho Laboral y Seguridad Social</w:t>
            </w:r>
          </w:p>
        </w:tc>
        <w:tc>
          <w:tcPr>
            <w:tcW w:w="1688" w:type="dxa"/>
            <w:tcBorders>
              <w:top w:val="single" w:sz="4" w:space="0" w:color="8EAADB"/>
              <w:left w:val="single" w:sz="4" w:space="0" w:color="8EAADB"/>
              <w:bottom w:val="single" w:sz="4" w:space="0" w:color="8EAADB"/>
              <w:right w:val="single" w:sz="4" w:space="0" w:color="8EAADB"/>
            </w:tcBorders>
            <w:shd w:val="clear" w:color="auto" w:fill="D9E2F3"/>
          </w:tcPr>
          <w:p w14:paraId="20CDE645" w14:textId="77777777" w:rsidR="0082643C" w:rsidRDefault="00000000">
            <w:pPr>
              <w:jc w:val="both"/>
            </w:pPr>
            <w:r>
              <w:rPr>
                <w:sz w:val="18"/>
              </w:rPr>
              <w:t>AE, CPF o PSA</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1607AF19" w14:textId="77777777" w:rsidR="0082643C" w:rsidRDefault="00000000" w:rsidP="00BE6153">
            <w:pPr>
              <w:jc w:val="center"/>
            </w:pPr>
            <w:r>
              <w:rPr>
                <w:sz w:val="18"/>
              </w:rPr>
              <w:t>2</w:t>
            </w:r>
          </w:p>
        </w:tc>
        <w:tc>
          <w:tcPr>
            <w:tcW w:w="844" w:type="dxa"/>
            <w:tcBorders>
              <w:top w:val="single" w:sz="4" w:space="0" w:color="8EAADB"/>
              <w:left w:val="single" w:sz="4" w:space="0" w:color="8EAADB"/>
              <w:bottom w:val="single" w:sz="4" w:space="0" w:color="8EAADB"/>
              <w:right w:val="single" w:sz="4" w:space="0" w:color="8EAADB"/>
            </w:tcBorders>
            <w:shd w:val="clear" w:color="auto" w:fill="D9E2F3"/>
          </w:tcPr>
          <w:p w14:paraId="3FD5173E" w14:textId="77777777" w:rsidR="0082643C" w:rsidRDefault="00000000" w:rsidP="00BE6153">
            <w:pPr>
              <w:jc w:val="center"/>
            </w:pPr>
            <w:r>
              <w:rPr>
                <w:sz w:val="18"/>
              </w:rPr>
              <w:t>80</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6CE97219" w14:textId="77777777" w:rsidR="0082643C" w:rsidRDefault="00000000" w:rsidP="00BE6153">
            <w:pPr>
              <w:jc w:val="center"/>
            </w:pPr>
            <w:r>
              <w:rPr>
                <w:sz w:val="18"/>
              </w:rPr>
              <w:t>5</w:t>
            </w:r>
          </w:p>
        </w:tc>
        <w:tc>
          <w:tcPr>
            <w:tcW w:w="1084" w:type="dxa"/>
            <w:tcBorders>
              <w:top w:val="single" w:sz="4" w:space="0" w:color="8EAADB"/>
              <w:left w:val="single" w:sz="4" w:space="0" w:color="8EAADB"/>
              <w:bottom w:val="single" w:sz="4" w:space="0" w:color="8EAADB"/>
              <w:right w:val="single" w:sz="4" w:space="0" w:color="8EAADB"/>
            </w:tcBorders>
            <w:shd w:val="clear" w:color="auto" w:fill="D9E2F3"/>
          </w:tcPr>
          <w:p w14:paraId="52CB1B59" w14:textId="77777777" w:rsidR="0082643C" w:rsidRDefault="00000000" w:rsidP="00BE6153">
            <w:pPr>
              <w:jc w:val="center"/>
            </w:pPr>
            <w:r>
              <w:rPr>
                <w:sz w:val="18"/>
              </w:rPr>
              <w:t>150</w:t>
            </w:r>
          </w:p>
        </w:tc>
      </w:tr>
      <w:tr w:rsidR="00395D6D" w14:paraId="0CC86D9A" w14:textId="77777777">
        <w:trPr>
          <w:jc w:val="center"/>
        </w:trPr>
        <w:tc>
          <w:tcPr>
            <w:tcW w:w="1206" w:type="dxa"/>
            <w:tcBorders>
              <w:top w:val="single" w:sz="4" w:space="0" w:color="8EAADB"/>
              <w:left w:val="single" w:sz="4" w:space="0" w:color="8EAADB"/>
              <w:bottom w:val="single" w:sz="4" w:space="0" w:color="8EAADB"/>
              <w:right w:val="single" w:sz="4" w:space="0" w:color="8EAADB"/>
            </w:tcBorders>
            <w:shd w:val="clear" w:color="auto" w:fill="D9E2F3"/>
          </w:tcPr>
          <w:p w14:paraId="7023CC65" w14:textId="77777777" w:rsidR="0082643C" w:rsidRDefault="00000000">
            <w:pPr>
              <w:jc w:val="center"/>
            </w:pPr>
            <w:r>
              <w:rPr>
                <w:sz w:val="18"/>
              </w:rPr>
              <w:t>ECO-101</w:t>
            </w:r>
          </w:p>
        </w:tc>
        <w:tc>
          <w:tcPr>
            <w:tcW w:w="3015" w:type="dxa"/>
            <w:tcBorders>
              <w:top w:val="single" w:sz="4" w:space="0" w:color="8EAADB"/>
              <w:left w:val="single" w:sz="4" w:space="0" w:color="8EAADB"/>
              <w:bottom w:val="single" w:sz="4" w:space="0" w:color="8EAADB"/>
              <w:right w:val="single" w:sz="4" w:space="0" w:color="8EAADB"/>
            </w:tcBorders>
            <w:shd w:val="clear" w:color="auto" w:fill="D9E2F3"/>
          </w:tcPr>
          <w:p w14:paraId="28653634" w14:textId="77777777" w:rsidR="0082643C" w:rsidRDefault="00000000">
            <w:pPr>
              <w:jc w:val="both"/>
            </w:pPr>
            <w:r>
              <w:rPr>
                <w:sz w:val="18"/>
              </w:rPr>
              <w:t>Microeconomía</w:t>
            </w:r>
          </w:p>
        </w:tc>
        <w:tc>
          <w:tcPr>
            <w:tcW w:w="1688" w:type="dxa"/>
            <w:tcBorders>
              <w:top w:val="single" w:sz="4" w:space="0" w:color="8EAADB"/>
              <w:left w:val="single" w:sz="4" w:space="0" w:color="8EAADB"/>
              <w:bottom w:val="single" w:sz="4" w:space="0" w:color="8EAADB"/>
              <w:right w:val="single" w:sz="4" w:space="0" w:color="8EAADB"/>
            </w:tcBorders>
            <w:shd w:val="clear" w:color="auto" w:fill="D9E2F3"/>
          </w:tcPr>
          <w:p w14:paraId="4DDD37F1" w14:textId="77777777" w:rsidR="0082643C" w:rsidRDefault="00000000">
            <w:pPr>
              <w:jc w:val="both"/>
            </w:pPr>
            <w:r>
              <w:rPr>
                <w:sz w:val="18"/>
              </w:rPr>
              <w:t>AE, CPF o PSA</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3AB7E43B" w14:textId="77777777" w:rsidR="0082643C" w:rsidRDefault="00000000" w:rsidP="00BE6153">
            <w:pPr>
              <w:jc w:val="center"/>
            </w:pPr>
            <w:r>
              <w:rPr>
                <w:sz w:val="18"/>
              </w:rPr>
              <w:t>4</w:t>
            </w:r>
          </w:p>
        </w:tc>
        <w:tc>
          <w:tcPr>
            <w:tcW w:w="844" w:type="dxa"/>
            <w:tcBorders>
              <w:top w:val="single" w:sz="4" w:space="0" w:color="8EAADB"/>
              <w:left w:val="single" w:sz="4" w:space="0" w:color="8EAADB"/>
              <w:bottom w:val="single" w:sz="4" w:space="0" w:color="8EAADB"/>
              <w:right w:val="single" w:sz="4" w:space="0" w:color="8EAADB"/>
            </w:tcBorders>
            <w:shd w:val="clear" w:color="auto" w:fill="D9E2F3"/>
          </w:tcPr>
          <w:p w14:paraId="3BBB7071" w14:textId="77777777" w:rsidR="0082643C" w:rsidRDefault="00000000" w:rsidP="00BE6153">
            <w:pPr>
              <w:jc w:val="center"/>
            </w:pPr>
            <w:r>
              <w:rPr>
                <w:sz w:val="18"/>
              </w:rPr>
              <w:t>160</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20D5840E" w14:textId="77777777" w:rsidR="0082643C" w:rsidRDefault="00000000" w:rsidP="00BE6153">
            <w:pPr>
              <w:jc w:val="center"/>
            </w:pPr>
            <w:r>
              <w:rPr>
                <w:sz w:val="18"/>
              </w:rPr>
              <w:t>9</w:t>
            </w:r>
          </w:p>
        </w:tc>
        <w:tc>
          <w:tcPr>
            <w:tcW w:w="1084" w:type="dxa"/>
            <w:tcBorders>
              <w:top w:val="single" w:sz="4" w:space="0" w:color="8EAADB"/>
              <w:left w:val="single" w:sz="4" w:space="0" w:color="8EAADB"/>
              <w:bottom w:val="single" w:sz="4" w:space="0" w:color="8EAADB"/>
              <w:right w:val="single" w:sz="4" w:space="0" w:color="8EAADB"/>
            </w:tcBorders>
            <w:shd w:val="clear" w:color="auto" w:fill="D9E2F3"/>
          </w:tcPr>
          <w:p w14:paraId="3A37E13B" w14:textId="77777777" w:rsidR="0082643C" w:rsidRDefault="00000000" w:rsidP="00BE6153">
            <w:pPr>
              <w:jc w:val="center"/>
            </w:pPr>
            <w:r>
              <w:rPr>
                <w:sz w:val="18"/>
              </w:rPr>
              <w:t>270</w:t>
            </w:r>
          </w:p>
        </w:tc>
      </w:tr>
      <w:tr w:rsidR="00395D6D" w14:paraId="711D0B01" w14:textId="77777777">
        <w:trPr>
          <w:jc w:val="center"/>
        </w:trPr>
        <w:tc>
          <w:tcPr>
            <w:tcW w:w="1206" w:type="dxa"/>
            <w:tcBorders>
              <w:top w:val="single" w:sz="4" w:space="0" w:color="8EAADB"/>
              <w:left w:val="single" w:sz="4" w:space="0" w:color="8EAADB"/>
              <w:bottom w:val="single" w:sz="4" w:space="0" w:color="8EAADB"/>
              <w:right w:val="single" w:sz="4" w:space="0" w:color="8EAADB"/>
            </w:tcBorders>
            <w:shd w:val="clear" w:color="auto" w:fill="D9E2F3"/>
          </w:tcPr>
          <w:p w14:paraId="00216645" w14:textId="77777777" w:rsidR="0082643C" w:rsidRDefault="00000000">
            <w:pPr>
              <w:jc w:val="center"/>
            </w:pPr>
            <w:r>
              <w:rPr>
                <w:sz w:val="18"/>
              </w:rPr>
              <w:t>MAT-101</w:t>
            </w:r>
          </w:p>
        </w:tc>
        <w:tc>
          <w:tcPr>
            <w:tcW w:w="3015" w:type="dxa"/>
            <w:tcBorders>
              <w:top w:val="single" w:sz="4" w:space="0" w:color="8EAADB"/>
              <w:left w:val="single" w:sz="4" w:space="0" w:color="8EAADB"/>
              <w:bottom w:val="single" w:sz="4" w:space="0" w:color="8EAADB"/>
              <w:right w:val="single" w:sz="4" w:space="0" w:color="8EAADB"/>
            </w:tcBorders>
            <w:shd w:val="clear" w:color="auto" w:fill="D9E2F3"/>
          </w:tcPr>
          <w:p w14:paraId="1C5D16D2" w14:textId="77777777" w:rsidR="0082643C" w:rsidRDefault="00000000">
            <w:pPr>
              <w:jc w:val="both"/>
            </w:pPr>
            <w:r>
              <w:rPr>
                <w:sz w:val="18"/>
              </w:rPr>
              <w:t>Cálculo</w:t>
            </w:r>
          </w:p>
        </w:tc>
        <w:tc>
          <w:tcPr>
            <w:tcW w:w="1688" w:type="dxa"/>
            <w:tcBorders>
              <w:top w:val="single" w:sz="4" w:space="0" w:color="8EAADB"/>
              <w:left w:val="single" w:sz="4" w:space="0" w:color="8EAADB"/>
              <w:bottom w:val="single" w:sz="4" w:space="0" w:color="8EAADB"/>
              <w:right w:val="single" w:sz="4" w:space="0" w:color="8EAADB"/>
            </w:tcBorders>
            <w:shd w:val="clear" w:color="auto" w:fill="D9E2F3"/>
          </w:tcPr>
          <w:p w14:paraId="3A414125" w14:textId="77777777" w:rsidR="0082643C" w:rsidRDefault="00000000">
            <w:pPr>
              <w:jc w:val="both"/>
            </w:pPr>
            <w:r>
              <w:rPr>
                <w:sz w:val="18"/>
              </w:rPr>
              <w:t>AE, CPF o PSA</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746CFBE9" w14:textId="77777777" w:rsidR="0082643C" w:rsidRDefault="00000000" w:rsidP="00BE6153">
            <w:pPr>
              <w:jc w:val="center"/>
            </w:pPr>
            <w:r>
              <w:rPr>
                <w:sz w:val="18"/>
              </w:rPr>
              <w:t>4</w:t>
            </w:r>
          </w:p>
        </w:tc>
        <w:tc>
          <w:tcPr>
            <w:tcW w:w="844" w:type="dxa"/>
            <w:tcBorders>
              <w:top w:val="single" w:sz="4" w:space="0" w:color="8EAADB"/>
              <w:left w:val="single" w:sz="4" w:space="0" w:color="8EAADB"/>
              <w:bottom w:val="single" w:sz="4" w:space="0" w:color="8EAADB"/>
              <w:right w:val="single" w:sz="4" w:space="0" w:color="8EAADB"/>
            </w:tcBorders>
            <w:shd w:val="clear" w:color="auto" w:fill="D9E2F3"/>
          </w:tcPr>
          <w:p w14:paraId="140900D3" w14:textId="77777777" w:rsidR="0082643C" w:rsidRDefault="00000000" w:rsidP="00BE6153">
            <w:pPr>
              <w:jc w:val="center"/>
            </w:pPr>
            <w:r>
              <w:rPr>
                <w:sz w:val="18"/>
              </w:rPr>
              <w:t>160</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387156C6" w14:textId="77777777" w:rsidR="0082643C" w:rsidRDefault="00000000" w:rsidP="00BE6153">
            <w:pPr>
              <w:jc w:val="center"/>
            </w:pPr>
            <w:r>
              <w:rPr>
                <w:sz w:val="18"/>
              </w:rPr>
              <w:t>9</w:t>
            </w:r>
          </w:p>
        </w:tc>
        <w:tc>
          <w:tcPr>
            <w:tcW w:w="1084" w:type="dxa"/>
            <w:tcBorders>
              <w:top w:val="single" w:sz="4" w:space="0" w:color="8EAADB"/>
              <w:left w:val="single" w:sz="4" w:space="0" w:color="8EAADB"/>
              <w:bottom w:val="single" w:sz="4" w:space="0" w:color="8EAADB"/>
              <w:right w:val="single" w:sz="4" w:space="0" w:color="8EAADB"/>
            </w:tcBorders>
            <w:shd w:val="clear" w:color="auto" w:fill="D9E2F3"/>
          </w:tcPr>
          <w:p w14:paraId="6F1AC5A4" w14:textId="77777777" w:rsidR="0082643C" w:rsidRDefault="00000000" w:rsidP="00BE6153">
            <w:pPr>
              <w:jc w:val="center"/>
            </w:pPr>
            <w:r>
              <w:rPr>
                <w:sz w:val="18"/>
              </w:rPr>
              <w:t>270</w:t>
            </w:r>
          </w:p>
        </w:tc>
      </w:tr>
      <w:tr w:rsidR="00395D6D" w14:paraId="6AC3AC2A" w14:textId="77777777">
        <w:trPr>
          <w:jc w:val="center"/>
        </w:trPr>
        <w:tc>
          <w:tcPr>
            <w:tcW w:w="1206" w:type="dxa"/>
            <w:tcBorders>
              <w:top w:val="single" w:sz="4" w:space="0" w:color="8EAADB"/>
              <w:left w:val="single" w:sz="4" w:space="0" w:color="8EAADB"/>
              <w:bottom w:val="single" w:sz="4" w:space="0" w:color="8EAADB"/>
              <w:right w:val="single" w:sz="4" w:space="0" w:color="8EAADB"/>
            </w:tcBorders>
            <w:shd w:val="clear" w:color="auto" w:fill="D9E2F3"/>
          </w:tcPr>
          <w:p w14:paraId="023C0AE5" w14:textId="77777777" w:rsidR="0082643C" w:rsidRDefault="00000000">
            <w:pPr>
              <w:jc w:val="center"/>
            </w:pPr>
            <w:r>
              <w:rPr>
                <w:sz w:val="18"/>
              </w:rPr>
              <w:t>MAT-102</w:t>
            </w:r>
          </w:p>
        </w:tc>
        <w:tc>
          <w:tcPr>
            <w:tcW w:w="3015" w:type="dxa"/>
            <w:tcBorders>
              <w:top w:val="single" w:sz="4" w:space="0" w:color="8EAADB"/>
              <w:left w:val="single" w:sz="4" w:space="0" w:color="8EAADB"/>
              <w:bottom w:val="single" w:sz="4" w:space="0" w:color="8EAADB"/>
              <w:right w:val="single" w:sz="4" w:space="0" w:color="8EAADB"/>
            </w:tcBorders>
            <w:shd w:val="clear" w:color="auto" w:fill="D9E2F3"/>
          </w:tcPr>
          <w:p w14:paraId="547AAB76" w14:textId="77777777" w:rsidR="0082643C" w:rsidRDefault="00000000">
            <w:pPr>
              <w:jc w:val="both"/>
            </w:pPr>
            <w:r>
              <w:rPr>
                <w:sz w:val="18"/>
              </w:rPr>
              <w:t>Matemáticas Financieras</w:t>
            </w:r>
          </w:p>
        </w:tc>
        <w:tc>
          <w:tcPr>
            <w:tcW w:w="1688" w:type="dxa"/>
            <w:tcBorders>
              <w:top w:val="single" w:sz="4" w:space="0" w:color="8EAADB"/>
              <w:left w:val="single" w:sz="4" w:space="0" w:color="8EAADB"/>
              <w:bottom w:val="single" w:sz="4" w:space="0" w:color="8EAADB"/>
              <w:right w:val="single" w:sz="4" w:space="0" w:color="8EAADB"/>
            </w:tcBorders>
            <w:shd w:val="clear" w:color="auto" w:fill="D9E2F3"/>
          </w:tcPr>
          <w:p w14:paraId="0110B786" w14:textId="77777777" w:rsidR="0082643C" w:rsidRDefault="00000000">
            <w:pPr>
              <w:jc w:val="both"/>
            </w:pPr>
            <w:r>
              <w:rPr>
                <w:sz w:val="18"/>
              </w:rPr>
              <w:t>AE, CPF o PSA</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795D3823" w14:textId="77777777" w:rsidR="0082643C" w:rsidRDefault="00000000" w:rsidP="00BE6153">
            <w:pPr>
              <w:jc w:val="center"/>
            </w:pPr>
            <w:r>
              <w:rPr>
                <w:sz w:val="18"/>
              </w:rPr>
              <w:t>4</w:t>
            </w:r>
          </w:p>
        </w:tc>
        <w:tc>
          <w:tcPr>
            <w:tcW w:w="844" w:type="dxa"/>
            <w:tcBorders>
              <w:top w:val="single" w:sz="4" w:space="0" w:color="8EAADB"/>
              <w:left w:val="single" w:sz="4" w:space="0" w:color="8EAADB"/>
              <w:bottom w:val="single" w:sz="4" w:space="0" w:color="8EAADB"/>
              <w:right w:val="single" w:sz="4" w:space="0" w:color="8EAADB"/>
            </w:tcBorders>
            <w:shd w:val="clear" w:color="auto" w:fill="D9E2F3"/>
          </w:tcPr>
          <w:p w14:paraId="083F9A38" w14:textId="77777777" w:rsidR="0082643C" w:rsidRDefault="00000000" w:rsidP="00BE6153">
            <w:pPr>
              <w:jc w:val="center"/>
            </w:pPr>
            <w:r>
              <w:rPr>
                <w:sz w:val="18"/>
              </w:rPr>
              <w:t>160</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0B0C0CF8" w14:textId="77777777" w:rsidR="0082643C" w:rsidRDefault="00000000" w:rsidP="00BE6153">
            <w:pPr>
              <w:jc w:val="center"/>
            </w:pPr>
            <w:r>
              <w:rPr>
                <w:sz w:val="18"/>
              </w:rPr>
              <w:t>9</w:t>
            </w:r>
          </w:p>
        </w:tc>
        <w:tc>
          <w:tcPr>
            <w:tcW w:w="1084" w:type="dxa"/>
            <w:tcBorders>
              <w:top w:val="single" w:sz="4" w:space="0" w:color="8EAADB"/>
              <w:left w:val="single" w:sz="4" w:space="0" w:color="8EAADB"/>
              <w:bottom w:val="single" w:sz="4" w:space="0" w:color="8EAADB"/>
              <w:right w:val="single" w:sz="4" w:space="0" w:color="8EAADB"/>
            </w:tcBorders>
            <w:shd w:val="clear" w:color="auto" w:fill="D9E2F3"/>
          </w:tcPr>
          <w:p w14:paraId="685A4987" w14:textId="77777777" w:rsidR="0082643C" w:rsidRDefault="00000000" w:rsidP="00BE6153">
            <w:pPr>
              <w:jc w:val="center"/>
            </w:pPr>
            <w:r>
              <w:rPr>
                <w:sz w:val="18"/>
              </w:rPr>
              <w:t>270</w:t>
            </w:r>
          </w:p>
        </w:tc>
      </w:tr>
      <w:tr w:rsidR="00395D6D" w14:paraId="7B688521" w14:textId="77777777">
        <w:trPr>
          <w:jc w:val="center"/>
        </w:trPr>
        <w:tc>
          <w:tcPr>
            <w:tcW w:w="1206" w:type="dxa"/>
            <w:tcBorders>
              <w:top w:val="single" w:sz="4" w:space="0" w:color="8EAADB"/>
              <w:left w:val="single" w:sz="4" w:space="0" w:color="8EAADB"/>
              <w:bottom w:val="single" w:sz="4" w:space="0" w:color="8EAADB"/>
              <w:right w:val="single" w:sz="4" w:space="0" w:color="8EAADB"/>
            </w:tcBorders>
            <w:shd w:val="clear" w:color="auto" w:fill="D9E2F3"/>
          </w:tcPr>
          <w:p w14:paraId="6FB0A537" w14:textId="77777777" w:rsidR="0082643C" w:rsidRDefault="0082643C"/>
        </w:tc>
        <w:tc>
          <w:tcPr>
            <w:tcW w:w="3015" w:type="dxa"/>
            <w:tcBorders>
              <w:top w:val="single" w:sz="4" w:space="0" w:color="8EAADB"/>
              <w:left w:val="single" w:sz="4" w:space="0" w:color="8EAADB"/>
              <w:bottom w:val="single" w:sz="4" w:space="0" w:color="8EAADB"/>
              <w:right w:val="single" w:sz="4" w:space="0" w:color="8EAADB"/>
            </w:tcBorders>
            <w:shd w:val="clear" w:color="auto" w:fill="D9E2F3"/>
          </w:tcPr>
          <w:p w14:paraId="66BF26A4" w14:textId="77777777" w:rsidR="0082643C" w:rsidRDefault="00000000">
            <w:pPr>
              <w:jc w:val="center"/>
            </w:pPr>
            <w:r>
              <w:rPr>
                <w:b/>
                <w:sz w:val="18"/>
              </w:rPr>
              <w:t>Total primer año</w:t>
            </w:r>
          </w:p>
        </w:tc>
        <w:tc>
          <w:tcPr>
            <w:tcW w:w="1688" w:type="dxa"/>
            <w:tcBorders>
              <w:top w:val="single" w:sz="4" w:space="0" w:color="8EAADB"/>
              <w:left w:val="single" w:sz="4" w:space="0" w:color="8EAADB"/>
              <w:bottom w:val="single" w:sz="4" w:space="0" w:color="8EAADB"/>
              <w:right w:val="single" w:sz="4" w:space="0" w:color="8EAADB"/>
            </w:tcBorders>
            <w:shd w:val="clear" w:color="auto" w:fill="D9E2F3"/>
          </w:tcPr>
          <w:p w14:paraId="4E3A3E90" w14:textId="77777777" w:rsidR="0082643C" w:rsidRDefault="0082643C"/>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2B7F041D" w14:textId="77777777" w:rsidR="0082643C" w:rsidRDefault="00000000">
            <w:pPr>
              <w:jc w:val="center"/>
            </w:pPr>
            <w:r>
              <w:rPr>
                <w:b/>
                <w:sz w:val="18"/>
              </w:rPr>
              <w:t>26</w:t>
            </w:r>
          </w:p>
        </w:tc>
        <w:tc>
          <w:tcPr>
            <w:tcW w:w="844" w:type="dxa"/>
            <w:tcBorders>
              <w:top w:val="single" w:sz="4" w:space="0" w:color="8EAADB"/>
              <w:left w:val="single" w:sz="4" w:space="0" w:color="8EAADB"/>
              <w:bottom w:val="single" w:sz="4" w:space="0" w:color="8EAADB"/>
              <w:right w:val="single" w:sz="4" w:space="0" w:color="8EAADB"/>
            </w:tcBorders>
            <w:shd w:val="clear" w:color="auto" w:fill="D9E2F3"/>
          </w:tcPr>
          <w:p w14:paraId="42CD924B" w14:textId="77777777" w:rsidR="0082643C" w:rsidRDefault="00000000">
            <w:pPr>
              <w:jc w:val="center"/>
            </w:pPr>
            <w:r>
              <w:rPr>
                <w:b/>
                <w:sz w:val="18"/>
              </w:rPr>
              <w:t>1.040</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63722534" w14:textId="77777777" w:rsidR="0082643C" w:rsidRDefault="00000000">
            <w:pPr>
              <w:jc w:val="center"/>
            </w:pPr>
            <w:r>
              <w:rPr>
                <w:b/>
                <w:sz w:val="18"/>
              </w:rPr>
              <w:t>60</w:t>
            </w:r>
          </w:p>
        </w:tc>
        <w:tc>
          <w:tcPr>
            <w:tcW w:w="1084" w:type="dxa"/>
            <w:tcBorders>
              <w:top w:val="single" w:sz="4" w:space="0" w:color="8EAADB"/>
              <w:left w:val="single" w:sz="4" w:space="0" w:color="8EAADB"/>
              <w:bottom w:val="single" w:sz="4" w:space="0" w:color="8EAADB"/>
              <w:right w:val="single" w:sz="4" w:space="0" w:color="8EAADB"/>
            </w:tcBorders>
            <w:shd w:val="clear" w:color="auto" w:fill="D9E2F3"/>
          </w:tcPr>
          <w:p w14:paraId="2D0A338D" w14:textId="77777777" w:rsidR="0082643C" w:rsidRDefault="00000000">
            <w:pPr>
              <w:jc w:val="center"/>
            </w:pPr>
            <w:r>
              <w:rPr>
                <w:b/>
                <w:sz w:val="18"/>
              </w:rPr>
              <w:t>1.800</w:t>
            </w:r>
          </w:p>
        </w:tc>
      </w:tr>
    </w:tbl>
    <w:p w14:paraId="73C84C2E" w14:textId="77777777" w:rsidR="0082643C" w:rsidRDefault="0082643C">
      <w:pPr>
        <w:spacing w:after="120"/>
      </w:pPr>
    </w:p>
    <w:p w14:paraId="661F7107" w14:textId="77777777" w:rsidR="0082643C" w:rsidRDefault="00000000">
      <w:pPr>
        <w:pStyle w:val="TituloCuadro"/>
        <w:keepNext/>
        <w:spacing w:before="40" w:after="80"/>
        <w:jc w:val="center"/>
      </w:pPr>
      <w:bookmarkStart w:id="138" w:name="_Toc000000334"/>
      <w:r>
        <w:rPr>
          <w:b/>
        </w:rPr>
        <w:t>Cuadro 6. Malla curricular, segundo año</w:t>
      </w:r>
      <w:bookmarkEnd w:id="138"/>
    </w:p>
    <w:tbl>
      <w:tblPr>
        <w:tblW w:w="9405" w:type="dxa"/>
        <w:jc w:val="center"/>
        <w:tblLayout w:type="fixed"/>
        <w:tblLook w:val="04A0" w:firstRow="1" w:lastRow="0" w:firstColumn="1" w:lastColumn="0" w:noHBand="0" w:noVBand="1"/>
      </w:tblPr>
      <w:tblGrid>
        <w:gridCol w:w="1206"/>
        <w:gridCol w:w="3015"/>
        <w:gridCol w:w="1688"/>
        <w:gridCol w:w="784"/>
        <w:gridCol w:w="844"/>
        <w:gridCol w:w="784"/>
        <w:gridCol w:w="1084"/>
      </w:tblGrid>
      <w:tr w:rsidR="00395D6D" w14:paraId="021BA760" w14:textId="77777777">
        <w:trPr>
          <w:tblHeader/>
          <w:jc w:val="center"/>
        </w:trPr>
        <w:tc>
          <w:tcPr>
            <w:tcW w:w="120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F3FFE2C" w14:textId="77777777" w:rsidR="0082643C" w:rsidRDefault="00000000">
            <w:pPr>
              <w:jc w:val="center"/>
            </w:pPr>
            <w:r>
              <w:rPr>
                <w:b/>
                <w:color w:val="FFFFFF"/>
                <w:sz w:val="18"/>
              </w:rPr>
              <w:t>Sigla</w:t>
            </w:r>
          </w:p>
        </w:tc>
        <w:tc>
          <w:tcPr>
            <w:tcW w:w="301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506B5A7" w14:textId="77777777" w:rsidR="0082643C" w:rsidRDefault="00000000">
            <w:pPr>
              <w:jc w:val="center"/>
            </w:pPr>
            <w:r>
              <w:rPr>
                <w:b/>
                <w:color w:val="FFFFFF"/>
                <w:sz w:val="18"/>
              </w:rPr>
              <w:t>Asignatura</w:t>
            </w:r>
          </w:p>
        </w:tc>
        <w:tc>
          <w:tcPr>
            <w:tcW w:w="168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D738F13" w14:textId="77777777" w:rsidR="0082643C" w:rsidRDefault="00000000">
            <w:pPr>
              <w:jc w:val="center"/>
            </w:pPr>
            <w:r>
              <w:rPr>
                <w:b/>
                <w:color w:val="FFFFFF"/>
                <w:sz w:val="18"/>
              </w:rPr>
              <w:t>Prerrequisito</w:t>
            </w:r>
          </w:p>
        </w:tc>
        <w:tc>
          <w:tcPr>
            <w:tcW w:w="78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544A9B7" w14:textId="77777777" w:rsidR="0082643C" w:rsidRDefault="00000000">
            <w:pPr>
              <w:jc w:val="center"/>
            </w:pPr>
            <w:r>
              <w:rPr>
                <w:b/>
                <w:color w:val="FFFFFF"/>
                <w:sz w:val="18"/>
              </w:rPr>
              <w:t>Hrs. sem.</w:t>
            </w:r>
          </w:p>
        </w:tc>
        <w:tc>
          <w:tcPr>
            <w:tcW w:w="84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62F94D8" w14:textId="77777777" w:rsidR="0082643C" w:rsidRDefault="00000000">
            <w:pPr>
              <w:jc w:val="center"/>
            </w:pPr>
            <w:r>
              <w:rPr>
                <w:b/>
                <w:color w:val="FFFFFF"/>
                <w:sz w:val="18"/>
              </w:rPr>
              <w:t>Hrs. año</w:t>
            </w:r>
          </w:p>
        </w:tc>
        <w:tc>
          <w:tcPr>
            <w:tcW w:w="78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A6DE143" w14:textId="77777777" w:rsidR="0082643C" w:rsidRDefault="00000000">
            <w:pPr>
              <w:jc w:val="center"/>
            </w:pPr>
            <w:r>
              <w:rPr>
                <w:b/>
                <w:color w:val="FFFFFF"/>
                <w:sz w:val="18"/>
              </w:rPr>
              <w:t>Créd.</w:t>
            </w:r>
          </w:p>
        </w:tc>
        <w:tc>
          <w:tcPr>
            <w:tcW w:w="108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467830F" w14:textId="77777777" w:rsidR="0082643C" w:rsidRDefault="00000000">
            <w:pPr>
              <w:jc w:val="center"/>
            </w:pPr>
            <w:r>
              <w:rPr>
                <w:b/>
                <w:color w:val="FFFFFF"/>
                <w:sz w:val="18"/>
              </w:rPr>
              <w:t>Hrs. trabajo</w:t>
            </w:r>
          </w:p>
        </w:tc>
      </w:tr>
      <w:tr w:rsidR="00395D6D" w14:paraId="25C6C035" w14:textId="77777777">
        <w:trPr>
          <w:jc w:val="center"/>
        </w:trPr>
        <w:tc>
          <w:tcPr>
            <w:tcW w:w="1206" w:type="dxa"/>
            <w:tcBorders>
              <w:top w:val="single" w:sz="4" w:space="0" w:color="8EAADB"/>
              <w:left w:val="single" w:sz="4" w:space="0" w:color="8EAADB"/>
              <w:bottom w:val="single" w:sz="4" w:space="0" w:color="8EAADB"/>
              <w:right w:val="single" w:sz="4" w:space="0" w:color="8EAADB"/>
            </w:tcBorders>
            <w:shd w:val="clear" w:color="auto" w:fill="D9E2F3"/>
          </w:tcPr>
          <w:p w14:paraId="79F0C7F1" w14:textId="77777777" w:rsidR="0082643C" w:rsidRDefault="00000000">
            <w:pPr>
              <w:jc w:val="center"/>
            </w:pPr>
            <w:r>
              <w:rPr>
                <w:sz w:val="18"/>
              </w:rPr>
              <w:t>CPA-201</w:t>
            </w:r>
          </w:p>
        </w:tc>
        <w:tc>
          <w:tcPr>
            <w:tcW w:w="3015" w:type="dxa"/>
            <w:tcBorders>
              <w:top w:val="single" w:sz="4" w:space="0" w:color="8EAADB"/>
              <w:left w:val="single" w:sz="4" w:space="0" w:color="8EAADB"/>
              <w:bottom w:val="single" w:sz="4" w:space="0" w:color="8EAADB"/>
              <w:right w:val="single" w:sz="4" w:space="0" w:color="8EAADB"/>
            </w:tcBorders>
            <w:shd w:val="clear" w:color="auto" w:fill="D9E2F3"/>
          </w:tcPr>
          <w:p w14:paraId="25335FFE" w14:textId="77777777" w:rsidR="0082643C" w:rsidRDefault="00000000">
            <w:pPr>
              <w:jc w:val="both"/>
            </w:pPr>
            <w:r>
              <w:rPr>
                <w:sz w:val="18"/>
              </w:rPr>
              <w:t>Contabilidad Intermedia</w:t>
            </w:r>
          </w:p>
        </w:tc>
        <w:tc>
          <w:tcPr>
            <w:tcW w:w="1688" w:type="dxa"/>
            <w:tcBorders>
              <w:top w:val="single" w:sz="4" w:space="0" w:color="8EAADB"/>
              <w:left w:val="single" w:sz="4" w:space="0" w:color="8EAADB"/>
              <w:bottom w:val="single" w:sz="4" w:space="0" w:color="8EAADB"/>
              <w:right w:val="single" w:sz="4" w:space="0" w:color="8EAADB"/>
            </w:tcBorders>
            <w:shd w:val="clear" w:color="auto" w:fill="D9E2F3"/>
          </w:tcPr>
          <w:p w14:paraId="3EF64BFF" w14:textId="77777777" w:rsidR="0082643C" w:rsidRDefault="00000000">
            <w:pPr>
              <w:jc w:val="center"/>
            </w:pPr>
            <w:r>
              <w:rPr>
                <w:sz w:val="18"/>
              </w:rPr>
              <w:t>CPA-101</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09CE3C5F" w14:textId="77777777" w:rsidR="0082643C" w:rsidRDefault="00000000" w:rsidP="00BE6153">
            <w:pPr>
              <w:jc w:val="center"/>
            </w:pPr>
            <w:r>
              <w:rPr>
                <w:sz w:val="18"/>
              </w:rPr>
              <w:t>4</w:t>
            </w:r>
          </w:p>
        </w:tc>
        <w:tc>
          <w:tcPr>
            <w:tcW w:w="844" w:type="dxa"/>
            <w:tcBorders>
              <w:top w:val="single" w:sz="4" w:space="0" w:color="8EAADB"/>
              <w:left w:val="single" w:sz="4" w:space="0" w:color="8EAADB"/>
              <w:bottom w:val="single" w:sz="4" w:space="0" w:color="8EAADB"/>
              <w:right w:val="single" w:sz="4" w:space="0" w:color="8EAADB"/>
            </w:tcBorders>
            <w:shd w:val="clear" w:color="auto" w:fill="D9E2F3"/>
          </w:tcPr>
          <w:p w14:paraId="47EECDF8" w14:textId="77777777" w:rsidR="0082643C" w:rsidRDefault="00000000" w:rsidP="00BE6153">
            <w:pPr>
              <w:jc w:val="center"/>
            </w:pPr>
            <w:r>
              <w:rPr>
                <w:sz w:val="18"/>
              </w:rPr>
              <w:t>160</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2F608B8C" w14:textId="77777777" w:rsidR="0082643C" w:rsidRDefault="00000000" w:rsidP="00BE6153">
            <w:pPr>
              <w:jc w:val="center"/>
            </w:pPr>
            <w:r>
              <w:rPr>
                <w:sz w:val="18"/>
              </w:rPr>
              <w:t>8</w:t>
            </w:r>
          </w:p>
        </w:tc>
        <w:tc>
          <w:tcPr>
            <w:tcW w:w="1084" w:type="dxa"/>
            <w:tcBorders>
              <w:top w:val="single" w:sz="4" w:space="0" w:color="8EAADB"/>
              <w:left w:val="single" w:sz="4" w:space="0" w:color="8EAADB"/>
              <w:bottom w:val="single" w:sz="4" w:space="0" w:color="8EAADB"/>
              <w:right w:val="single" w:sz="4" w:space="0" w:color="8EAADB"/>
            </w:tcBorders>
            <w:shd w:val="clear" w:color="auto" w:fill="D9E2F3"/>
          </w:tcPr>
          <w:p w14:paraId="25D63548" w14:textId="77777777" w:rsidR="0082643C" w:rsidRDefault="00000000" w:rsidP="00BE6153">
            <w:pPr>
              <w:jc w:val="center"/>
            </w:pPr>
            <w:r>
              <w:rPr>
                <w:sz w:val="18"/>
              </w:rPr>
              <w:t>240</w:t>
            </w:r>
          </w:p>
        </w:tc>
      </w:tr>
      <w:tr w:rsidR="00395D6D" w14:paraId="44D7F1CE" w14:textId="77777777">
        <w:trPr>
          <w:jc w:val="center"/>
        </w:trPr>
        <w:tc>
          <w:tcPr>
            <w:tcW w:w="1206" w:type="dxa"/>
            <w:tcBorders>
              <w:top w:val="single" w:sz="4" w:space="0" w:color="8EAADB"/>
              <w:left w:val="single" w:sz="4" w:space="0" w:color="8EAADB"/>
              <w:bottom w:val="single" w:sz="4" w:space="0" w:color="8EAADB"/>
              <w:right w:val="single" w:sz="4" w:space="0" w:color="8EAADB"/>
            </w:tcBorders>
            <w:shd w:val="clear" w:color="auto" w:fill="D9E2F3"/>
          </w:tcPr>
          <w:p w14:paraId="54C87BCE" w14:textId="77777777" w:rsidR="0082643C" w:rsidRDefault="00000000">
            <w:pPr>
              <w:jc w:val="center"/>
            </w:pPr>
            <w:r>
              <w:rPr>
                <w:sz w:val="18"/>
              </w:rPr>
              <w:t>CPA-202</w:t>
            </w:r>
          </w:p>
        </w:tc>
        <w:tc>
          <w:tcPr>
            <w:tcW w:w="3015" w:type="dxa"/>
            <w:tcBorders>
              <w:top w:val="single" w:sz="4" w:space="0" w:color="8EAADB"/>
              <w:left w:val="single" w:sz="4" w:space="0" w:color="8EAADB"/>
              <w:bottom w:val="single" w:sz="4" w:space="0" w:color="8EAADB"/>
              <w:right w:val="single" w:sz="4" w:space="0" w:color="8EAADB"/>
            </w:tcBorders>
            <w:shd w:val="clear" w:color="auto" w:fill="D9E2F3"/>
          </w:tcPr>
          <w:p w14:paraId="2A4283C6" w14:textId="77777777" w:rsidR="0082643C" w:rsidRDefault="00000000">
            <w:pPr>
              <w:jc w:val="both"/>
            </w:pPr>
            <w:r>
              <w:rPr>
                <w:sz w:val="18"/>
              </w:rPr>
              <w:t>Contabilidad de Sociedades</w:t>
            </w:r>
          </w:p>
        </w:tc>
        <w:tc>
          <w:tcPr>
            <w:tcW w:w="1688" w:type="dxa"/>
            <w:tcBorders>
              <w:top w:val="single" w:sz="4" w:space="0" w:color="8EAADB"/>
              <w:left w:val="single" w:sz="4" w:space="0" w:color="8EAADB"/>
              <w:bottom w:val="single" w:sz="4" w:space="0" w:color="8EAADB"/>
              <w:right w:val="single" w:sz="4" w:space="0" w:color="8EAADB"/>
            </w:tcBorders>
            <w:shd w:val="clear" w:color="auto" w:fill="D9E2F3"/>
          </w:tcPr>
          <w:p w14:paraId="54C61905" w14:textId="77777777" w:rsidR="0082643C" w:rsidRDefault="00000000">
            <w:pPr>
              <w:jc w:val="center"/>
            </w:pPr>
            <w:r>
              <w:rPr>
                <w:sz w:val="18"/>
              </w:rPr>
              <w:t>CPA-101</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4EBAC9B4" w14:textId="77777777" w:rsidR="0082643C" w:rsidRDefault="00000000" w:rsidP="00BE6153">
            <w:pPr>
              <w:jc w:val="center"/>
            </w:pPr>
            <w:r>
              <w:rPr>
                <w:sz w:val="18"/>
              </w:rPr>
              <w:t>4</w:t>
            </w:r>
          </w:p>
        </w:tc>
        <w:tc>
          <w:tcPr>
            <w:tcW w:w="844" w:type="dxa"/>
            <w:tcBorders>
              <w:top w:val="single" w:sz="4" w:space="0" w:color="8EAADB"/>
              <w:left w:val="single" w:sz="4" w:space="0" w:color="8EAADB"/>
              <w:bottom w:val="single" w:sz="4" w:space="0" w:color="8EAADB"/>
              <w:right w:val="single" w:sz="4" w:space="0" w:color="8EAADB"/>
            </w:tcBorders>
            <w:shd w:val="clear" w:color="auto" w:fill="D9E2F3"/>
          </w:tcPr>
          <w:p w14:paraId="6ED8E604" w14:textId="77777777" w:rsidR="0082643C" w:rsidRDefault="00000000" w:rsidP="00BE6153">
            <w:pPr>
              <w:jc w:val="center"/>
            </w:pPr>
            <w:r>
              <w:rPr>
                <w:sz w:val="18"/>
              </w:rPr>
              <w:t>160</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11FD0950" w14:textId="77777777" w:rsidR="0082643C" w:rsidRDefault="00000000" w:rsidP="00BE6153">
            <w:pPr>
              <w:jc w:val="center"/>
            </w:pPr>
            <w:r>
              <w:rPr>
                <w:sz w:val="18"/>
              </w:rPr>
              <w:t>8</w:t>
            </w:r>
          </w:p>
        </w:tc>
        <w:tc>
          <w:tcPr>
            <w:tcW w:w="1084" w:type="dxa"/>
            <w:tcBorders>
              <w:top w:val="single" w:sz="4" w:space="0" w:color="8EAADB"/>
              <w:left w:val="single" w:sz="4" w:space="0" w:color="8EAADB"/>
              <w:bottom w:val="single" w:sz="4" w:space="0" w:color="8EAADB"/>
              <w:right w:val="single" w:sz="4" w:space="0" w:color="8EAADB"/>
            </w:tcBorders>
            <w:shd w:val="clear" w:color="auto" w:fill="D9E2F3"/>
          </w:tcPr>
          <w:p w14:paraId="335AFE3B" w14:textId="77777777" w:rsidR="0082643C" w:rsidRDefault="00000000" w:rsidP="00BE6153">
            <w:pPr>
              <w:jc w:val="center"/>
            </w:pPr>
            <w:r>
              <w:rPr>
                <w:sz w:val="18"/>
              </w:rPr>
              <w:t>240</w:t>
            </w:r>
          </w:p>
        </w:tc>
      </w:tr>
      <w:tr w:rsidR="00395D6D" w14:paraId="5F9F3A18" w14:textId="77777777">
        <w:trPr>
          <w:jc w:val="center"/>
        </w:trPr>
        <w:tc>
          <w:tcPr>
            <w:tcW w:w="1206" w:type="dxa"/>
            <w:tcBorders>
              <w:top w:val="single" w:sz="4" w:space="0" w:color="8EAADB"/>
              <w:left w:val="single" w:sz="4" w:space="0" w:color="8EAADB"/>
              <w:bottom w:val="single" w:sz="4" w:space="0" w:color="8EAADB"/>
              <w:right w:val="single" w:sz="4" w:space="0" w:color="8EAADB"/>
            </w:tcBorders>
            <w:shd w:val="clear" w:color="auto" w:fill="D9E2F3"/>
          </w:tcPr>
          <w:p w14:paraId="2B64338B" w14:textId="77777777" w:rsidR="0082643C" w:rsidRDefault="00000000">
            <w:pPr>
              <w:jc w:val="center"/>
            </w:pPr>
            <w:r>
              <w:rPr>
                <w:sz w:val="18"/>
              </w:rPr>
              <w:t>CPA-203</w:t>
            </w:r>
          </w:p>
        </w:tc>
        <w:tc>
          <w:tcPr>
            <w:tcW w:w="3015" w:type="dxa"/>
            <w:tcBorders>
              <w:top w:val="single" w:sz="4" w:space="0" w:color="8EAADB"/>
              <w:left w:val="single" w:sz="4" w:space="0" w:color="8EAADB"/>
              <w:bottom w:val="single" w:sz="4" w:space="0" w:color="8EAADB"/>
              <w:right w:val="single" w:sz="4" w:space="0" w:color="8EAADB"/>
            </w:tcBorders>
            <w:shd w:val="clear" w:color="auto" w:fill="D9E2F3"/>
          </w:tcPr>
          <w:p w14:paraId="3E1A2ED1" w14:textId="77777777" w:rsidR="0082643C" w:rsidRDefault="00000000">
            <w:pPr>
              <w:jc w:val="both"/>
            </w:pPr>
            <w:r>
              <w:rPr>
                <w:sz w:val="18"/>
              </w:rPr>
              <w:t>Contabilidad de Tributos</w:t>
            </w:r>
          </w:p>
        </w:tc>
        <w:tc>
          <w:tcPr>
            <w:tcW w:w="1688" w:type="dxa"/>
            <w:tcBorders>
              <w:top w:val="single" w:sz="4" w:space="0" w:color="8EAADB"/>
              <w:left w:val="single" w:sz="4" w:space="0" w:color="8EAADB"/>
              <w:bottom w:val="single" w:sz="4" w:space="0" w:color="8EAADB"/>
              <w:right w:val="single" w:sz="4" w:space="0" w:color="8EAADB"/>
            </w:tcBorders>
            <w:shd w:val="clear" w:color="auto" w:fill="D9E2F3"/>
          </w:tcPr>
          <w:p w14:paraId="0D82E12B" w14:textId="77777777" w:rsidR="0082643C" w:rsidRDefault="00000000">
            <w:pPr>
              <w:jc w:val="center"/>
            </w:pPr>
            <w:r>
              <w:rPr>
                <w:sz w:val="18"/>
              </w:rPr>
              <w:t>CPA-101</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7104EEE8" w14:textId="77777777" w:rsidR="0082643C" w:rsidRDefault="00000000" w:rsidP="00BE6153">
            <w:pPr>
              <w:jc w:val="center"/>
            </w:pPr>
            <w:r>
              <w:rPr>
                <w:sz w:val="18"/>
              </w:rPr>
              <w:t>4</w:t>
            </w:r>
          </w:p>
        </w:tc>
        <w:tc>
          <w:tcPr>
            <w:tcW w:w="844" w:type="dxa"/>
            <w:tcBorders>
              <w:top w:val="single" w:sz="4" w:space="0" w:color="8EAADB"/>
              <w:left w:val="single" w:sz="4" w:space="0" w:color="8EAADB"/>
              <w:bottom w:val="single" w:sz="4" w:space="0" w:color="8EAADB"/>
              <w:right w:val="single" w:sz="4" w:space="0" w:color="8EAADB"/>
            </w:tcBorders>
            <w:shd w:val="clear" w:color="auto" w:fill="D9E2F3"/>
          </w:tcPr>
          <w:p w14:paraId="654E34A3" w14:textId="77777777" w:rsidR="0082643C" w:rsidRDefault="00000000" w:rsidP="00BE6153">
            <w:pPr>
              <w:jc w:val="center"/>
            </w:pPr>
            <w:r>
              <w:rPr>
                <w:sz w:val="18"/>
              </w:rPr>
              <w:t>160</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044642E3" w14:textId="77777777" w:rsidR="0082643C" w:rsidRDefault="00000000" w:rsidP="00BE6153">
            <w:pPr>
              <w:jc w:val="center"/>
            </w:pPr>
            <w:r>
              <w:rPr>
                <w:sz w:val="18"/>
              </w:rPr>
              <w:t>8</w:t>
            </w:r>
          </w:p>
        </w:tc>
        <w:tc>
          <w:tcPr>
            <w:tcW w:w="1084" w:type="dxa"/>
            <w:tcBorders>
              <w:top w:val="single" w:sz="4" w:space="0" w:color="8EAADB"/>
              <w:left w:val="single" w:sz="4" w:space="0" w:color="8EAADB"/>
              <w:bottom w:val="single" w:sz="4" w:space="0" w:color="8EAADB"/>
              <w:right w:val="single" w:sz="4" w:space="0" w:color="8EAADB"/>
            </w:tcBorders>
            <w:shd w:val="clear" w:color="auto" w:fill="D9E2F3"/>
          </w:tcPr>
          <w:p w14:paraId="1680A0A3" w14:textId="77777777" w:rsidR="0082643C" w:rsidRDefault="00000000" w:rsidP="00BE6153">
            <w:pPr>
              <w:jc w:val="center"/>
            </w:pPr>
            <w:r>
              <w:rPr>
                <w:sz w:val="18"/>
              </w:rPr>
              <w:t>240</w:t>
            </w:r>
          </w:p>
        </w:tc>
      </w:tr>
      <w:tr w:rsidR="00395D6D" w14:paraId="44C81070" w14:textId="77777777">
        <w:trPr>
          <w:jc w:val="center"/>
        </w:trPr>
        <w:tc>
          <w:tcPr>
            <w:tcW w:w="1206" w:type="dxa"/>
            <w:tcBorders>
              <w:top w:val="single" w:sz="4" w:space="0" w:color="8EAADB"/>
              <w:left w:val="single" w:sz="4" w:space="0" w:color="8EAADB"/>
              <w:bottom w:val="single" w:sz="4" w:space="0" w:color="8EAADB"/>
              <w:right w:val="single" w:sz="4" w:space="0" w:color="8EAADB"/>
            </w:tcBorders>
            <w:shd w:val="clear" w:color="auto" w:fill="D9E2F3"/>
          </w:tcPr>
          <w:p w14:paraId="7A84A35A" w14:textId="77777777" w:rsidR="0082643C" w:rsidRDefault="00000000">
            <w:pPr>
              <w:jc w:val="center"/>
            </w:pPr>
            <w:r>
              <w:rPr>
                <w:sz w:val="18"/>
              </w:rPr>
              <w:t>CPA-204</w:t>
            </w:r>
          </w:p>
        </w:tc>
        <w:tc>
          <w:tcPr>
            <w:tcW w:w="3015" w:type="dxa"/>
            <w:tcBorders>
              <w:top w:val="single" w:sz="4" w:space="0" w:color="8EAADB"/>
              <w:left w:val="single" w:sz="4" w:space="0" w:color="8EAADB"/>
              <w:bottom w:val="single" w:sz="4" w:space="0" w:color="8EAADB"/>
              <w:right w:val="single" w:sz="4" w:space="0" w:color="8EAADB"/>
            </w:tcBorders>
            <w:shd w:val="clear" w:color="auto" w:fill="D9E2F3"/>
          </w:tcPr>
          <w:p w14:paraId="4D7B9E78" w14:textId="77777777" w:rsidR="0082643C" w:rsidRDefault="00000000">
            <w:pPr>
              <w:jc w:val="both"/>
            </w:pPr>
            <w:r>
              <w:rPr>
                <w:sz w:val="18"/>
              </w:rPr>
              <w:t>Métodos y Técnicas de Investigación</w:t>
            </w:r>
          </w:p>
        </w:tc>
        <w:tc>
          <w:tcPr>
            <w:tcW w:w="1688" w:type="dxa"/>
            <w:tcBorders>
              <w:top w:val="single" w:sz="4" w:space="0" w:color="8EAADB"/>
              <w:left w:val="single" w:sz="4" w:space="0" w:color="8EAADB"/>
              <w:bottom w:val="single" w:sz="4" w:space="0" w:color="8EAADB"/>
              <w:right w:val="single" w:sz="4" w:space="0" w:color="8EAADB"/>
            </w:tcBorders>
            <w:shd w:val="clear" w:color="auto" w:fill="D9E2F3"/>
          </w:tcPr>
          <w:p w14:paraId="1A7B354B" w14:textId="77777777" w:rsidR="0082643C" w:rsidRDefault="00000000">
            <w:pPr>
              <w:jc w:val="center"/>
            </w:pPr>
            <w:r>
              <w:rPr>
                <w:sz w:val="18"/>
              </w:rPr>
              <w:t>CPA-101</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03B82D9B" w14:textId="77777777" w:rsidR="0082643C" w:rsidRDefault="00000000" w:rsidP="00BE6153">
            <w:pPr>
              <w:jc w:val="center"/>
            </w:pPr>
            <w:r>
              <w:rPr>
                <w:sz w:val="18"/>
              </w:rPr>
              <w:t>2</w:t>
            </w:r>
          </w:p>
        </w:tc>
        <w:tc>
          <w:tcPr>
            <w:tcW w:w="844" w:type="dxa"/>
            <w:tcBorders>
              <w:top w:val="single" w:sz="4" w:space="0" w:color="8EAADB"/>
              <w:left w:val="single" w:sz="4" w:space="0" w:color="8EAADB"/>
              <w:bottom w:val="single" w:sz="4" w:space="0" w:color="8EAADB"/>
              <w:right w:val="single" w:sz="4" w:space="0" w:color="8EAADB"/>
            </w:tcBorders>
            <w:shd w:val="clear" w:color="auto" w:fill="D9E2F3"/>
          </w:tcPr>
          <w:p w14:paraId="4BBA3EFE" w14:textId="77777777" w:rsidR="0082643C" w:rsidRDefault="00000000" w:rsidP="00BE6153">
            <w:pPr>
              <w:jc w:val="center"/>
            </w:pPr>
            <w:r>
              <w:rPr>
                <w:sz w:val="18"/>
              </w:rPr>
              <w:t>80</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430F6C24" w14:textId="77777777" w:rsidR="0082643C" w:rsidRDefault="00000000" w:rsidP="00BE6153">
            <w:pPr>
              <w:jc w:val="center"/>
            </w:pPr>
            <w:r>
              <w:rPr>
                <w:sz w:val="18"/>
              </w:rPr>
              <w:t>4</w:t>
            </w:r>
          </w:p>
        </w:tc>
        <w:tc>
          <w:tcPr>
            <w:tcW w:w="1084" w:type="dxa"/>
            <w:tcBorders>
              <w:top w:val="single" w:sz="4" w:space="0" w:color="8EAADB"/>
              <w:left w:val="single" w:sz="4" w:space="0" w:color="8EAADB"/>
              <w:bottom w:val="single" w:sz="4" w:space="0" w:color="8EAADB"/>
              <w:right w:val="single" w:sz="4" w:space="0" w:color="8EAADB"/>
            </w:tcBorders>
            <w:shd w:val="clear" w:color="auto" w:fill="D9E2F3"/>
          </w:tcPr>
          <w:p w14:paraId="41B48110" w14:textId="77777777" w:rsidR="0082643C" w:rsidRDefault="00000000" w:rsidP="00BE6153">
            <w:pPr>
              <w:jc w:val="center"/>
            </w:pPr>
            <w:r>
              <w:rPr>
                <w:sz w:val="18"/>
              </w:rPr>
              <w:t>120</w:t>
            </w:r>
          </w:p>
        </w:tc>
      </w:tr>
      <w:tr w:rsidR="00395D6D" w14:paraId="2C964F6E" w14:textId="77777777">
        <w:trPr>
          <w:jc w:val="center"/>
        </w:trPr>
        <w:tc>
          <w:tcPr>
            <w:tcW w:w="1206" w:type="dxa"/>
            <w:tcBorders>
              <w:top w:val="single" w:sz="4" w:space="0" w:color="8EAADB"/>
              <w:left w:val="single" w:sz="4" w:space="0" w:color="8EAADB"/>
              <w:bottom w:val="single" w:sz="4" w:space="0" w:color="8EAADB"/>
              <w:right w:val="single" w:sz="4" w:space="0" w:color="8EAADB"/>
            </w:tcBorders>
            <w:shd w:val="clear" w:color="auto" w:fill="D9E2F3"/>
          </w:tcPr>
          <w:p w14:paraId="4A2B796B" w14:textId="77777777" w:rsidR="0082643C" w:rsidRDefault="00000000">
            <w:pPr>
              <w:jc w:val="center"/>
            </w:pPr>
            <w:r>
              <w:rPr>
                <w:sz w:val="18"/>
              </w:rPr>
              <w:t>ADM-201</w:t>
            </w:r>
          </w:p>
        </w:tc>
        <w:tc>
          <w:tcPr>
            <w:tcW w:w="3015" w:type="dxa"/>
            <w:tcBorders>
              <w:top w:val="single" w:sz="4" w:space="0" w:color="8EAADB"/>
              <w:left w:val="single" w:sz="4" w:space="0" w:color="8EAADB"/>
              <w:bottom w:val="single" w:sz="4" w:space="0" w:color="8EAADB"/>
              <w:right w:val="single" w:sz="4" w:space="0" w:color="8EAADB"/>
            </w:tcBorders>
            <w:shd w:val="clear" w:color="auto" w:fill="D9E2F3"/>
          </w:tcPr>
          <w:p w14:paraId="00DDEAD2" w14:textId="77777777" w:rsidR="0082643C" w:rsidRDefault="00000000">
            <w:pPr>
              <w:jc w:val="both"/>
            </w:pPr>
            <w:r>
              <w:rPr>
                <w:sz w:val="18"/>
              </w:rPr>
              <w:t>Administración de Sistemas Gerenciales</w:t>
            </w:r>
          </w:p>
        </w:tc>
        <w:tc>
          <w:tcPr>
            <w:tcW w:w="1688" w:type="dxa"/>
            <w:tcBorders>
              <w:top w:val="single" w:sz="4" w:space="0" w:color="8EAADB"/>
              <w:left w:val="single" w:sz="4" w:space="0" w:color="8EAADB"/>
              <w:bottom w:val="single" w:sz="4" w:space="0" w:color="8EAADB"/>
              <w:right w:val="single" w:sz="4" w:space="0" w:color="8EAADB"/>
            </w:tcBorders>
            <w:shd w:val="clear" w:color="auto" w:fill="D9E2F3"/>
          </w:tcPr>
          <w:p w14:paraId="5C8631CF" w14:textId="77777777" w:rsidR="0082643C" w:rsidRDefault="00000000">
            <w:pPr>
              <w:jc w:val="center"/>
            </w:pPr>
            <w:r>
              <w:rPr>
                <w:sz w:val="18"/>
              </w:rPr>
              <w:t>ADM-101</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2331C2E5" w14:textId="77777777" w:rsidR="0082643C" w:rsidRDefault="00000000" w:rsidP="00BE6153">
            <w:pPr>
              <w:jc w:val="center"/>
            </w:pPr>
            <w:r>
              <w:rPr>
                <w:sz w:val="18"/>
              </w:rPr>
              <w:t>4</w:t>
            </w:r>
          </w:p>
        </w:tc>
        <w:tc>
          <w:tcPr>
            <w:tcW w:w="844" w:type="dxa"/>
            <w:tcBorders>
              <w:top w:val="single" w:sz="4" w:space="0" w:color="8EAADB"/>
              <w:left w:val="single" w:sz="4" w:space="0" w:color="8EAADB"/>
              <w:bottom w:val="single" w:sz="4" w:space="0" w:color="8EAADB"/>
              <w:right w:val="single" w:sz="4" w:space="0" w:color="8EAADB"/>
            </w:tcBorders>
            <w:shd w:val="clear" w:color="auto" w:fill="D9E2F3"/>
          </w:tcPr>
          <w:p w14:paraId="470E9153" w14:textId="77777777" w:rsidR="0082643C" w:rsidRDefault="00000000" w:rsidP="00BE6153">
            <w:pPr>
              <w:jc w:val="center"/>
            </w:pPr>
            <w:r>
              <w:rPr>
                <w:sz w:val="18"/>
              </w:rPr>
              <w:t>160</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14E9F798" w14:textId="77777777" w:rsidR="0082643C" w:rsidRDefault="00000000" w:rsidP="00BE6153">
            <w:pPr>
              <w:jc w:val="center"/>
            </w:pPr>
            <w:r>
              <w:rPr>
                <w:sz w:val="18"/>
              </w:rPr>
              <w:t>8</w:t>
            </w:r>
          </w:p>
        </w:tc>
        <w:tc>
          <w:tcPr>
            <w:tcW w:w="1084" w:type="dxa"/>
            <w:tcBorders>
              <w:top w:val="single" w:sz="4" w:space="0" w:color="8EAADB"/>
              <w:left w:val="single" w:sz="4" w:space="0" w:color="8EAADB"/>
              <w:bottom w:val="single" w:sz="4" w:space="0" w:color="8EAADB"/>
              <w:right w:val="single" w:sz="4" w:space="0" w:color="8EAADB"/>
            </w:tcBorders>
            <w:shd w:val="clear" w:color="auto" w:fill="D9E2F3"/>
          </w:tcPr>
          <w:p w14:paraId="6ECC3EE8" w14:textId="77777777" w:rsidR="0082643C" w:rsidRDefault="00000000" w:rsidP="00BE6153">
            <w:pPr>
              <w:jc w:val="center"/>
            </w:pPr>
            <w:r>
              <w:rPr>
                <w:sz w:val="18"/>
              </w:rPr>
              <w:t>240</w:t>
            </w:r>
          </w:p>
        </w:tc>
      </w:tr>
      <w:tr w:rsidR="00395D6D" w14:paraId="438727FD" w14:textId="77777777">
        <w:trPr>
          <w:jc w:val="center"/>
        </w:trPr>
        <w:tc>
          <w:tcPr>
            <w:tcW w:w="1206" w:type="dxa"/>
            <w:tcBorders>
              <w:top w:val="single" w:sz="4" w:space="0" w:color="8EAADB"/>
              <w:left w:val="single" w:sz="4" w:space="0" w:color="8EAADB"/>
              <w:bottom w:val="single" w:sz="4" w:space="0" w:color="8EAADB"/>
              <w:right w:val="single" w:sz="4" w:space="0" w:color="8EAADB"/>
            </w:tcBorders>
            <w:shd w:val="clear" w:color="auto" w:fill="D9E2F3"/>
          </w:tcPr>
          <w:p w14:paraId="1D720043" w14:textId="77777777" w:rsidR="0082643C" w:rsidRDefault="00000000">
            <w:pPr>
              <w:jc w:val="center"/>
            </w:pPr>
            <w:r>
              <w:rPr>
                <w:sz w:val="18"/>
              </w:rPr>
              <w:t>DER-201</w:t>
            </w:r>
          </w:p>
        </w:tc>
        <w:tc>
          <w:tcPr>
            <w:tcW w:w="3015" w:type="dxa"/>
            <w:tcBorders>
              <w:top w:val="single" w:sz="4" w:space="0" w:color="8EAADB"/>
              <w:left w:val="single" w:sz="4" w:space="0" w:color="8EAADB"/>
              <w:bottom w:val="single" w:sz="4" w:space="0" w:color="8EAADB"/>
              <w:right w:val="single" w:sz="4" w:space="0" w:color="8EAADB"/>
            </w:tcBorders>
            <w:shd w:val="clear" w:color="auto" w:fill="D9E2F3"/>
          </w:tcPr>
          <w:p w14:paraId="3980C0E3" w14:textId="77777777" w:rsidR="0082643C" w:rsidRDefault="00000000">
            <w:pPr>
              <w:jc w:val="both"/>
            </w:pPr>
            <w:r>
              <w:rPr>
                <w:sz w:val="18"/>
              </w:rPr>
              <w:t>Derecho Tributario y Legislación Aduanera</w:t>
            </w:r>
          </w:p>
        </w:tc>
        <w:tc>
          <w:tcPr>
            <w:tcW w:w="1688" w:type="dxa"/>
            <w:tcBorders>
              <w:top w:val="single" w:sz="4" w:space="0" w:color="8EAADB"/>
              <w:left w:val="single" w:sz="4" w:space="0" w:color="8EAADB"/>
              <w:bottom w:val="single" w:sz="4" w:space="0" w:color="8EAADB"/>
              <w:right w:val="single" w:sz="4" w:space="0" w:color="8EAADB"/>
            </w:tcBorders>
            <w:shd w:val="clear" w:color="auto" w:fill="D9E2F3"/>
          </w:tcPr>
          <w:p w14:paraId="1B74A74C" w14:textId="77777777" w:rsidR="0082643C" w:rsidRDefault="00000000">
            <w:pPr>
              <w:jc w:val="center"/>
            </w:pPr>
            <w:r>
              <w:rPr>
                <w:sz w:val="18"/>
              </w:rPr>
              <w:t>DER-101, DER-102</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6542D87D" w14:textId="77777777" w:rsidR="0082643C" w:rsidRDefault="00000000" w:rsidP="00BE6153">
            <w:pPr>
              <w:jc w:val="center"/>
            </w:pPr>
            <w:r>
              <w:rPr>
                <w:sz w:val="18"/>
              </w:rPr>
              <w:t>4</w:t>
            </w:r>
          </w:p>
        </w:tc>
        <w:tc>
          <w:tcPr>
            <w:tcW w:w="844" w:type="dxa"/>
            <w:tcBorders>
              <w:top w:val="single" w:sz="4" w:space="0" w:color="8EAADB"/>
              <w:left w:val="single" w:sz="4" w:space="0" w:color="8EAADB"/>
              <w:bottom w:val="single" w:sz="4" w:space="0" w:color="8EAADB"/>
              <w:right w:val="single" w:sz="4" w:space="0" w:color="8EAADB"/>
            </w:tcBorders>
            <w:shd w:val="clear" w:color="auto" w:fill="D9E2F3"/>
          </w:tcPr>
          <w:p w14:paraId="507810FF" w14:textId="77777777" w:rsidR="0082643C" w:rsidRDefault="00000000" w:rsidP="00BE6153">
            <w:pPr>
              <w:jc w:val="center"/>
            </w:pPr>
            <w:r>
              <w:rPr>
                <w:sz w:val="18"/>
              </w:rPr>
              <w:t>160</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2930DB75" w14:textId="77777777" w:rsidR="0082643C" w:rsidRDefault="00000000" w:rsidP="00BE6153">
            <w:pPr>
              <w:jc w:val="center"/>
            </w:pPr>
            <w:r>
              <w:rPr>
                <w:sz w:val="18"/>
              </w:rPr>
              <w:t>8</w:t>
            </w:r>
          </w:p>
        </w:tc>
        <w:tc>
          <w:tcPr>
            <w:tcW w:w="1084" w:type="dxa"/>
            <w:tcBorders>
              <w:top w:val="single" w:sz="4" w:space="0" w:color="8EAADB"/>
              <w:left w:val="single" w:sz="4" w:space="0" w:color="8EAADB"/>
              <w:bottom w:val="single" w:sz="4" w:space="0" w:color="8EAADB"/>
              <w:right w:val="single" w:sz="4" w:space="0" w:color="8EAADB"/>
            </w:tcBorders>
            <w:shd w:val="clear" w:color="auto" w:fill="D9E2F3"/>
          </w:tcPr>
          <w:p w14:paraId="525FE2A8" w14:textId="77777777" w:rsidR="0082643C" w:rsidRDefault="00000000" w:rsidP="00BE6153">
            <w:pPr>
              <w:jc w:val="center"/>
            </w:pPr>
            <w:r>
              <w:rPr>
                <w:sz w:val="18"/>
              </w:rPr>
              <w:t>240</w:t>
            </w:r>
          </w:p>
        </w:tc>
      </w:tr>
      <w:tr w:rsidR="00395D6D" w14:paraId="6CB5C6DA" w14:textId="77777777">
        <w:trPr>
          <w:jc w:val="center"/>
        </w:trPr>
        <w:tc>
          <w:tcPr>
            <w:tcW w:w="1206" w:type="dxa"/>
            <w:tcBorders>
              <w:top w:val="single" w:sz="4" w:space="0" w:color="8EAADB"/>
              <w:left w:val="single" w:sz="4" w:space="0" w:color="8EAADB"/>
              <w:bottom w:val="single" w:sz="4" w:space="0" w:color="8EAADB"/>
              <w:right w:val="single" w:sz="4" w:space="0" w:color="8EAADB"/>
            </w:tcBorders>
            <w:shd w:val="clear" w:color="auto" w:fill="D9E2F3"/>
          </w:tcPr>
          <w:p w14:paraId="3315F066" w14:textId="77777777" w:rsidR="0082643C" w:rsidRDefault="00000000">
            <w:pPr>
              <w:jc w:val="center"/>
            </w:pPr>
            <w:r>
              <w:rPr>
                <w:sz w:val="18"/>
              </w:rPr>
              <w:t>ECO-201</w:t>
            </w:r>
          </w:p>
        </w:tc>
        <w:tc>
          <w:tcPr>
            <w:tcW w:w="3015" w:type="dxa"/>
            <w:tcBorders>
              <w:top w:val="single" w:sz="4" w:space="0" w:color="8EAADB"/>
              <w:left w:val="single" w:sz="4" w:space="0" w:color="8EAADB"/>
              <w:bottom w:val="single" w:sz="4" w:space="0" w:color="8EAADB"/>
              <w:right w:val="single" w:sz="4" w:space="0" w:color="8EAADB"/>
            </w:tcBorders>
            <w:shd w:val="clear" w:color="auto" w:fill="D9E2F3"/>
          </w:tcPr>
          <w:p w14:paraId="6BB44A93" w14:textId="77777777" w:rsidR="0082643C" w:rsidRDefault="00000000">
            <w:pPr>
              <w:jc w:val="both"/>
            </w:pPr>
            <w:r>
              <w:rPr>
                <w:sz w:val="18"/>
              </w:rPr>
              <w:t>Macroeconomía</w:t>
            </w:r>
          </w:p>
        </w:tc>
        <w:tc>
          <w:tcPr>
            <w:tcW w:w="1688" w:type="dxa"/>
            <w:tcBorders>
              <w:top w:val="single" w:sz="4" w:space="0" w:color="8EAADB"/>
              <w:left w:val="single" w:sz="4" w:space="0" w:color="8EAADB"/>
              <w:bottom w:val="single" w:sz="4" w:space="0" w:color="8EAADB"/>
              <w:right w:val="single" w:sz="4" w:space="0" w:color="8EAADB"/>
            </w:tcBorders>
            <w:shd w:val="clear" w:color="auto" w:fill="D9E2F3"/>
          </w:tcPr>
          <w:p w14:paraId="7E9DDB37" w14:textId="77777777" w:rsidR="0082643C" w:rsidRDefault="00000000">
            <w:pPr>
              <w:jc w:val="center"/>
            </w:pPr>
            <w:r>
              <w:rPr>
                <w:sz w:val="18"/>
              </w:rPr>
              <w:t>ECO-101</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08EFC9E4" w14:textId="77777777" w:rsidR="0082643C" w:rsidRDefault="00000000" w:rsidP="00BE6153">
            <w:pPr>
              <w:jc w:val="center"/>
            </w:pPr>
            <w:r>
              <w:rPr>
                <w:sz w:val="18"/>
              </w:rPr>
              <w:t>4</w:t>
            </w:r>
          </w:p>
        </w:tc>
        <w:tc>
          <w:tcPr>
            <w:tcW w:w="844" w:type="dxa"/>
            <w:tcBorders>
              <w:top w:val="single" w:sz="4" w:space="0" w:color="8EAADB"/>
              <w:left w:val="single" w:sz="4" w:space="0" w:color="8EAADB"/>
              <w:bottom w:val="single" w:sz="4" w:space="0" w:color="8EAADB"/>
              <w:right w:val="single" w:sz="4" w:space="0" w:color="8EAADB"/>
            </w:tcBorders>
            <w:shd w:val="clear" w:color="auto" w:fill="D9E2F3"/>
          </w:tcPr>
          <w:p w14:paraId="7220DB82" w14:textId="77777777" w:rsidR="0082643C" w:rsidRDefault="00000000" w:rsidP="00BE6153">
            <w:pPr>
              <w:jc w:val="center"/>
            </w:pPr>
            <w:r>
              <w:rPr>
                <w:sz w:val="18"/>
              </w:rPr>
              <w:t>160</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71920674" w14:textId="77777777" w:rsidR="0082643C" w:rsidRDefault="00000000" w:rsidP="00BE6153">
            <w:pPr>
              <w:jc w:val="center"/>
            </w:pPr>
            <w:r>
              <w:rPr>
                <w:sz w:val="18"/>
              </w:rPr>
              <w:t>8</w:t>
            </w:r>
          </w:p>
        </w:tc>
        <w:tc>
          <w:tcPr>
            <w:tcW w:w="1084" w:type="dxa"/>
            <w:tcBorders>
              <w:top w:val="single" w:sz="4" w:space="0" w:color="8EAADB"/>
              <w:left w:val="single" w:sz="4" w:space="0" w:color="8EAADB"/>
              <w:bottom w:val="single" w:sz="4" w:space="0" w:color="8EAADB"/>
              <w:right w:val="single" w:sz="4" w:space="0" w:color="8EAADB"/>
            </w:tcBorders>
            <w:shd w:val="clear" w:color="auto" w:fill="D9E2F3"/>
          </w:tcPr>
          <w:p w14:paraId="0A0E96A4" w14:textId="77777777" w:rsidR="0082643C" w:rsidRDefault="00000000" w:rsidP="00BE6153">
            <w:pPr>
              <w:jc w:val="center"/>
            </w:pPr>
            <w:r>
              <w:rPr>
                <w:sz w:val="18"/>
              </w:rPr>
              <w:t>240</w:t>
            </w:r>
          </w:p>
        </w:tc>
      </w:tr>
      <w:tr w:rsidR="00395D6D" w14:paraId="1D5C8DB0" w14:textId="77777777">
        <w:trPr>
          <w:jc w:val="center"/>
        </w:trPr>
        <w:tc>
          <w:tcPr>
            <w:tcW w:w="1206" w:type="dxa"/>
            <w:tcBorders>
              <w:top w:val="single" w:sz="4" w:space="0" w:color="8EAADB"/>
              <w:left w:val="single" w:sz="4" w:space="0" w:color="8EAADB"/>
              <w:bottom w:val="single" w:sz="4" w:space="0" w:color="8EAADB"/>
              <w:right w:val="single" w:sz="4" w:space="0" w:color="8EAADB"/>
            </w:tcBorders>
            <w:shd w:val="clear" w:color="auto" w:fill="D9E2F3"/>
          </w:tcPr>
          <w:p w14:paraId="149A78A8" w14:textId="77777777" w:rsidR="0082643C" w:rsidRDefault="00000000">
            <w:pPr>
              <w:jc w:val="center"/>
            </w:pPr>
            <w:r>
              <w:rPr>
                <w:sz w:val="18"/>
              </w:rPr>
              <w:t>MAT-201</w:t>
            </w:r>
          </w:p>
        </w:tc>
        <w:tc>
          <w:tcPr>
            <w:tcW w:w="3015" w:type="dxa"/>
            <w:tcBorders>
              <w:top w:val="single" w:sz="4" w:space="0" w:color="8EAADB"/>
              <w:left w:val="single" w:sz="4" w:space="0" w:color="8EAADB"/>
              <w:bottom w:val="single" w:sz="4" w:space="0" w:color="8EAADB"/>
              <w:right w:val="single" w:sz="4" w:space="0" w:color="8EAADB"/>
            </w:tcBorders>
            <w:shd w:val="clear" w:color="auto" w:fill="D9E2F3"/>
          </w:tcPr>
          <w:p w14:paraId="05138865" w14:textId="77777777" w:rsidR="0082643C" w:rsidRDefault="00000000">
            <w:pPr>
              <w:jc w:val="both"/>
            </w:pPr>
            <w:r>
              <w:rPr>
                <w:sz w:val="18"/>
              </w:rPr>
              <w:t>Álgebra Lineal y Modelación para Negocios</w:t>
            </w:r>
          </w:p>
        </w:tc>
        <w:tc>
          <w:tcPr>
            <w:tcW w:w="1688" w:type="dxa"/>
            <w:tcBorders>
              <w:top w:val="single" w:sz="4" w:space="0" w:color="8EAADB"/>
              <w:left w:val="single" w:sz="4" w:space="0" w:color="8EAADB"/>
              <w:bottom w:val="single" w:sz="4" w:space="0" w:color="8EAADB"/>
              <w:right w:val="single" w:sz="4" w:space="0" w:color="8EAADB"/>
            </w:tcBorders>
            <w:shd w:val="clear" w:color="auto" w:fill="D9E2F3"/>
          </w:tcPr>
          <w:p w14:paraId="5964497B" w14:textId="77777777" w:rsidR="0082643C" w:rsidRDefault="00000000">
            <w:pPr>
              <w:jc w:val="center"/>
            </w:pPr>
            <w:r>
              <w:rPr>
                <w:sz w:val="18"/>
              </w:rPr>
              <w:t>MAT-101</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7763D5C3" w14:textId="77777777" w:rsidR="0082643C" w:rsidRDefault="00000000" w:rsidP="00BE6153">
            <w:pPr>
              <w:jc w:val="center"/>
            </w:pPr>
            <w:r>
              <w:rPr>
                <w:sz w:val="18"/>
              </w:rPr>
              <w:t>4</w:t>
            </w:r>
          </w:p>
        </w:tc>
        <w:tc>
          <w:tcPr>
            <w:tcW w:w="844" w:type="dxa"/>
            <w:tcBorders>
              <w:top w:val="single" w:sz="4" w:space="0" w:color="8EAADB"/>
              <w:left w:val="single" w:sz="4" w:space="0" w:color="8EAADB"/>
              <w:bottom w:val="single" w:sz="4" w:space="0" w:color="8EAADB"/>
              <w:right w:val="single" w:sz="4" w:space="0" w:color="8EAADB"/>
            </w:tcBorders>
            <w:shd w:val="clear" w:color="auto" w:fill="D9E2F3"/>
          </w:tcPr>
          <w:p w14:paraId="4C0C9120" w14:textId="77777777" w:rsidR="0082643C" w:rsidRDefault="00000000" w:rsidP="00BE6153">
            <w:pPr>
              <w:jc w:val="center"/>
            </w:pPr>
            <w:r>
              <w:rPr>
                <w:sz w:val="18"/>
              </w:rPr>
              <w:t>160</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1928590F" w14:textId="77777777" w:rsidR="0082643C" w:rsidRDefault="00000000" w:rsidP="00BE6153">
            <w:pPr>
              <w:jc w:val="center"/>
            </w:pPr>
            <w:r>
              <w:rPr>
                <w:sz w:val="18"/>
              </w:rPr>
              <w:t>8</w:t>
            </w:r>
          </w:p>
        </w:tc>
        <w:tc>
          <w:tcPr>
            <w:tcW w:w="1084" w:type="dxa"/>
            <w:tcBorders>
              <w:top w:val="single" w:sz="4" w:space="0" w:color="8EAADB"/>
              <w:left w:val="single" w:sz="4" w:space="0" w:color="8EAADB"/>
              <w:bottom w:val="single" w:sz="4" w:space="0" w:color="8EAADB"/>
              <w:right w:val="single" w:sz="4" w:space="0" w:color="8EAADB"/>
            </w:tcBorders>
            <w:shd w:val="clear" w:color="auto" w:fill="D9E2F3"/>
          </w:tcPr>
          <w:p w14:paraId="3BED6586" w14:textId="77777777" w:rsidR="0082643C" w:rsidRDefault="00000000" w:rsidP="00BE6153">
            <w:pPr>
              <w:jc w:val="center"/>
            </w:pPr>
            <w:r>
              <w:rPr>
                <w:sz w:val="18"/>
              </w:rPr>
              <w:t>240</w:t>
            </w:r>
          </w:p>
        </w:tc>
      </w:tr>
      <w:tr w:rsidR="00395D6D" w14:paraId="68AAB148" w14:textId="77777777">
        <w:trPr>
          <w:jc w:val="center"/>
        </w:trPr>
        <w:tc>
          <w:tcPr>
            <w:tcW w:w="1206" w:type="dxa"/>
            <w:tcBorders>
              <w:top w:val="single" w:sz="4" w:space="0" w:color="8EAADB"/>
              <w:left w:val="single" w:sz="4" w:space="0" w:color="8EAADB"/>
              <w:bottom w:val="single" w:sz="4" w:space="0" w:color="8EAADB"/>
              <w:right w:val="single" w:sz="4" w:space="0" w:color="8EAADB"/>
            </w:tcBorders>
            <w:shd w:val="clear" w:color="auto" w:fill="D9E2F3"/>
          </w:tcPr>
          <w:p w14:paraId="02B461C6" w14:textId="77777777" w:rsidR="0082643C" w:rsidRDefault="0082643C"/>
        </w:tc>
        <w:tc>
          <w:tcPr>
            <w:tcW w:w="3015" w:type="dxa"/>
            <w:tcBorders>
              <w:top w:val="single" w:sz="4" w:space="0" w:color="8EAADB"/>
              <w:left w:val="single" w:sz="4" w:space="0" w:color="8EAADB"/>
              <w:bottom w:val="single" w:sz="4" w:space="0" w:color="8EAADB"/>
              <w:right w:val="single" w:sz="4" w:space="0" w:color="8EAADB"/>
            </w:tcBorders>
            <w:shd w:val="clear" w:color="auto" w:fill="D9E2F3"/>
          </w:tcPr>
          <w:p w14:paraId="5D178B52" w14:textId="77777777" w:rsidR="0082643C" w:rsidRDefault="00000000">
            <w:pPr>
              <w:jc w:val="center"/>
            </w:pPr>
            <w:r>
              <w:rPr>
                <w:b/>
                <w:sz w:val="18"/>
              </w:rPr>
              <w:t>Total segundo año</w:t>
            </w:r>
          </w:p>
        </w:tc>
        <w:tc>
          <w:tcPr>
            <w:tcW w:w="1688" w:type="dxa"/>
            <w:tcBorders>
              <w:top w:val="single" w:sz="4" w:space="0" w:color="8EAADB"/>
              <w:left w:val="single" w:sz="4" w:space="0" w:color="8EAADB"/>
              <w:bottom w:val="single" w:sz="4" w:space="0" w:color="8EAADB"/>
              <w:right w:val="single" w:sz="4" w:space="0" w:color="8EAADB"/>
            </w:tcBorders>
            <w:shd w:val="clear" w:color="auto" w:fill="D9E2F3"/>
          </w:tcPr>
          <w:p w14:paraId="6B48B0F0" w14:textId="77777777" w:rsidR="0082643C" w:rsidRDefault="0082643C"/>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5EB8EA76" w14:textId="77777777" w:rsidR="0082643C" w:rsidRDefault="00000000" w:rsidP="00BE6153">
            <w:pPr>
              <w:jc w:val="center"/>
            </w:pPr>
            <w:r>
              <w:rPr>
                <w:b/>
                <w:sz w:val="18"/>
              </w:rPr>
              <w:t>30</w:t>
            </w:r>
          </w:p>
        </w:tc>
        <w:tc>
          <w:tcPr>
            <w:tcW w:w="844" w:type="dxa"/>
            <w:tcBorders>
              <w:top w:val="single" w:sz="4" w:space="0" w:color="8EAADB"/>
              <w:left w:val="single" w:sz="4" w:space="0" w:color="8EAADB"/>
              <w:bottom w:val="single" w:sz="4" w:space="0" w:color="8EAADB"/>
              <w:right w:val="single" w:sz="4" w:space="0" w:color="8EAADB"/>
            </w:tcBorders>
            <w:shd w:val="clear" w:color="auto" w:fill="D9E2F3"/>
          </w:tcPr>
          <w:p w14:paraId="770793B2" w14:textId="77777777" w:rsidR="0082643C" w:rsidRDefault="00000000" w:rsidP="00BE6153">
            <w:pPr>
              <w:jc w:val="center"/>
            </w:pPr>
            <w:r>
              <w:rPr>
                <w:b/>
                <w:sz w:val="18"/>
              </w:rPr>
              <w:t>1.200</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78BA03E7" w14:textId="77777777" w:rsidR="0082643C" w:rsidRDefault="00000000" w:rsidP="00BE6153">
            <w:pPr>
              <w:jc w:val="center"/>
            </w:pPr>
            <w:r>
              <w:rPr>
                <w:b/>
                <w:sz w:val="18"/>
              </w:rPr>
              <w:t>60</w:t>
            </w:r>
          </w:p>
        </w:tc>
        <w:tc>
          <w:tcPr>
            <w:tcW w:w="1084" w:type="dxa"/>
            <w:tcBorders>
              <w:top w:val="single" w:sz="4" w:space="0" w:color="8EAADB"/>
              <w:left w:val="single" w:sz="4" w:space="0" w:color="8EAADB"/>
              <w:bottom w:val="single" w:sz="4" w:space="0" w:color="8EAADB"/>
              <w:right w:val="single" w:sz="4" w:space="0" w:color="8EAADB"/>
            </w:tcBorders>
            <w:shd w:val="clear" w:color="auto" w:fill="D9E2F3"/>
          </w:tcPr>
          <w:p w14:paraId="1334B905" w14:textId="77777777" w:rsidR="0082643C" w:rsidRDefault="00000000" w:rsidP="00BE6153">
            <w:pPr>
              <w:jc w:val="center"/>
            </w:pPr>
            <w:r>
              <w:rPr>
                <w:b/>
                <w:sz w:val="18"/>
              </w:rPr>
              <w:t>1.800</w:t>
            </w:r>
          </w:p>
        </w:tc>
      </w:tr>
    </w:tbl>
    <w:p w14:paraId="77600765" w14:textId="77777777" w:rsidR="0082643C" w:rsidRDefault="0082643C">
      <w:pPr>
        <w:spacing w:after="120"/>
      </w:pPr>
    </w:p>
    <w:p w14:paraId="3A08B1A4" w14:textId="77777777" w:rsidR="0082643C" w:rsidRDefault="00000000">
      <w:pPr>
        <w:pStyle w:val="TituloCuadro"/>
        <w:keepNext/>
        <w:spacing w:before="40" w:after="80"/>
        <w:jc w:val="center"/>
      </w:pPr>
      <w:bookmarkStart w:id="139" w:name="_Toc000000335"/>
      <w:r>
        <w:rPr>
          <w:b/>
        </w:rPr>
        <w:t>Cuadro 7. Malla curricular, tercer año</w:t>
      </w:r>
      <w:bookmarkEnd w:id="139"/>
    </w:p>
    <w:tbl>
      <w:tblPr>
        <w:tblW w:w="9405" w:type="dxa"/>
        <w:jc w:val="center"/>
        <w:tblLayout w:type="fixed"/>
        <w:tblLook w:val="04A0" w:firstRow="1" w:lastRow="0" w:firstColumn="1" w:lastColumn="0" w:noHBand="0" w:noVBand="1"/>
      </w:tblPr>
      <w:tblGrid>
        <w:gridCol w:w="1206"/>
        <w:gridCol w:w="3015"/>
        <w:gridCol w:w="1688"/>
        <w:gridCol w:w="784"/>
        <w:gridCol w:w="844"/>
        <w:gridCol w:w="784"/>
        <w:gridCol w:w="1084"/>
      </w:tblGrid>
      <w:tr w:rsidR="00395D6D" w14:paraId="6B543204" w14:textId="77777777">
        <w:trPr>
          <w:tblHeader/>
          <w:jc w:val="center"/>
        </w:trPr>
        <w:tc>
          <w:tcPr>
            <w:tcW w:w="120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A93B578" w14:textId="77777777" w:rsidR="0082643C" w:rsidRDefault="00000000">
            <w:pPr>
              <w:jc w:val="center"/>
            </w:pPr>
            <w:r>
              <w:rPr>
                <w:b/>
                <w:color w:val="FFFFFF"/>
                <w:sz w:val="18"/>
              </w:rPr>
              <w:t>Sigla</w:t>
            </w:r>
          </w:p>
        </w:tc>
        <w:tc>
          <w:tcPr>
            <w:tcW w:w="301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FA5B515" w14:textId="77777777" w:rsidR="0082643C" w:rsidRDefault="00000000">
            <w:pPr>
              <w:jc w:val="center"/>
            </w:pPr>
            <w:r>
              <w:rPr>
                <w:b/>
                <w:color w:val="FFFFFF"/>
                <w:sz w:val="18"/>
              </w:rPr>
              <w:t>Asignatura</w:t>
            </w:r>
          </w:p>
        </w:tc>
        <w:tc>
          <w:tcPr>
            <w:tcW w:w="168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3209D1A" w14:textId="77777777" w:rsidR="0082643C" w:rsidRDefault="00000000">
            <w:pPr>
              <w:jc w:val="center"/>
            </w:pPr>
            <w:r>
              <w:rPr>
                <w:b/>
                <w:color w:val="FFFFFF"/>
                <w:sz w:val="18"/>
              </w:rPr>
              <w:t>Prerrequisito</w:t>
            </w:r>
          </w:p>
        </w:tc>
        <w:tc>
          <w:tcPr>
            <w:tcW w:w="78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537CA4E" w14:textId="77777777" w:rsidR="0082643C" w:rsidRDefault="00000000">
            <w:pPr>
              <w:jc w:val="center"/>
            </w:pPr>
            <w:r>
              <w:rPr>
                <w:b/>
                <w:color w:val="FFFFFF"/>
                <w:sz w:val="18"/>
              </w:rPr>
              <w:t>Hrs. sem.</w:t>
            </w:r>
          </w:p>
        </w:tc>
        <w:tc>
          <w:tcPr>
            <w:tcW w:w="84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85906B2" w14:textId="77777777" w:rsidR="0082643C" w:rsidRDefault="00000000">
            <w:pPr>
              <w:jc w:val="center"/>
            </w:pPr>
            <w:r>
              <w:rPr>
                <w:b/>
                <w:color w:val="FFFFFF"/>
                <w:sz w:val="18"/>
              </w:rPr>
              <w:t>Hrs. año</w:t>
            </w:r>
          </w:p>
        </w:tc>
        <w:tc>
          <w:tcPr>
            <w:tcW w:w="78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A62DE51" w14:textId="77777777" w:rsidR="0082643C" w:rsidRDefault="00000000">
            <w:pPr>
              <w:jc w:val="center"/>
            </w:pPr>
            <w:r>
              <w:rPr>
                <w:b/>
                <w:color w:val="FFFFFF"/>
                <w:sz w:val="18"/>
              </w:rPr>
              <w:t>Créd.</w:t>
            </w:r>
          </w:p>
        </w:tc>
        <w:tc>
          <w:tcPr>
            <w:tcW w:w="108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DF78273" w14:textId="77777777" w:rsidR="0082643C" w:rsidRDefault="00000000">
            <w:pPr>
              <w:jc w:val="center"/>
            </w:pPr>
            <w:r>
              <w:rPr>
                <w:b/>
                <w:color w:val="FFFFFF"/>
                <w:sz w:val="18"/>
              </w:rPr>
              <w:t>Hrs. trabajo</w:t>
            </w:r>
          </w:p>
        </w:tc>
      </w:tr>
      <w:tr w:rsidR="00395D6D" w14:paraId="44EA54CE" w14:textId="77777777">
        <w:trPr>
          <w:jc w:val="center"/>
        </w:trPr>
        <w:tc>
          <w:tcPr>
            <w:tcW w:w="1206" w:type="dxa"/>
            <w:tcBorders>
              <w:top w:val="single" w:sz="4" w:space="0" w:color="8EAADB"/>
              <w:left w:val="single" w:sz="4" w:space="0" w:color="8EAADB"/>
              <w:bottom w:val="single" w:sz="4" w:space="0" w:color="8EAADB"/>
              <w:right w:val="single" w:sz="4" w:space="0" w:color="8EAADB"/>
            </w:tcBorders>
            <w:shd w:val="clear" w:color="auto" w:fill="D9E2F3"/>
          </w:tcPr>
          <w:p w14:paraId="180FC528" w14:textId="77777777" w:rsidR="0082643C" w:rsidRDefault="00000000">
            <w:pPr>
              <w:jc w:val="center"/>
            </w:pPr>
            <w:r>
              <w:rPr>
                <w:sz w:val="18"/>
              </w:rPr>
              <w:t>CPA-301</w:t>
            </w:r>
          </w:p>
        </w:tc>
        <w:tc>
          <w:tcPr>
            <w:tcW w:w="3015" w:type="dxa"/>
            <w:tcBorders>
              <w:top w:val="single" w:sz="4" w:space="0" w:color="8EAADB"/>
              <w:left w:val="single" w:sz="4" w:space="0" w:color="8EAADB"/>
              <w:bottom w:val="single" w:sz="4" w:space="0" w:color="8EAADB"/>
              <w:right w:val="single" w:sz="4" w:space="0" w:color="8EAADB"/>
            </w:tcBorders>
            <w:shd w:val="clear" w:color="auto" w:fill="D9E2F3"/>
          </w:tcPr>
          <w:p w14:paraId="300B5331" w14:textId="77777777" w:rsidR="0082643C" w:rsidRDefault="00000000">
            <w:pPr>
              <w:jc w:val="both"/>
            </w:pPr>
            <w:r>
              <w:rPr>
                <w:sz w:val="18"/>
              </w:rPr>
              <w:t>Contabilidad Internacional</w:t>
            </w:r>
          </w:p>
        </w:tc>
        <w:tc>
          <w:tcPr>
            <w:tcW w:w="1688" w:type="dxa"/>
            <w:tcBorders>
              <w:top w:val="single" w:sz="4" w:space="0" w:color="8EAADB"/>
              <w:left w:val="single" w:sz="4" w:space="0" w:color="8EAADB"/>
              <w:bottom w:val="single" w:sz="4" w:space="0" w:color="8EAADB"/>
              <w:right w:val="single" w:sz="4" w:space="0" w:color="8EAADB"/>
            </w:tcBorders>
            <w:shd w:val="clear" w:color="auto" w:fill="D9E2F3"/>
          </w:tcPr>
          <w:p w14:paraId="3D835977" w14:textId="77777777" w:rsidR="0082643C" w:rsidRDefault="00000000">
            <w:pPr>
              <w:jc w:val="center"/>
            </w:pPr>
            <w:r>
              <w:rPr>
                <w:sz w:val="18"/>
              </w:rPr>
              <w:t>CPA-201, CPA-202, CPA-203</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730BFBD3" w14:textId="77777777" w:rsidR="0082643C" w:rsidRDefault="00000000" w:rsidP="00BE6153">
            <w:pPr>
              <w:jc w:val="center"/>
            </w:pPr>
            <w:r>
              <w:rPr>
                <w:sz w:val="18"/>
              </w:rPr>
              <w:t>4</w:t>
            </w:r>
          </w:p>
        </w:tc>
        <w:tc>
          <w:tcPr>
            <w:tcW w:w="844" w:type="dxa"/>
            <w:tcBorders>
              <w:top w:val="single" w:sz="4" w:space="0" w:color="8EAADB"/>
              <w:left w:val="single" w:sz="4" w:space="0" w:color="8EAADB"/>
              <w:bottom w:val="single" w:sz="4" w:space="0" w:color="8EAADB"/>
              <w:right w:val="single" w:sz="4" w:space="0" w:color="8EAADB"/>
            </w:tcBorders>
            <w:shd w:val="clear" w:color="auto" w:fill="D9E2F3"/>
          </w:tcPr>
          <w:p w14:paraId="2DC8C670" w14:textId="77777777" w:rsidR="0082643C" w:rsidRDefault="00000000" w:rsidP="00BE6153">
            <w:pPr>
              <w:jc w:val="center"/>
            </w:pPr>
            <w:r>
              <w:rPr>
                <w:sz w:val="18"/>
              </w:rPr>
              <w:t>160</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0A71890A" w14:textId="77777777" w:rsidR="0082643C" w:rsidRDefault="00000000" w:rsidP="00BE6153">
            <w:pPr>
              <w:jc w:val="center"/>
            </w:pPr>
            <w:r>
              <w:rPr>
                <w:sz w:val="18"/>
              </w:rPr>
              <w:t>8</w:t>
            </w:r>
          </w:p>
        </w:tc>
        <w:tc>
          <w:tcPr>
            <w:tcW w:w="1084" w:type="dxa"/>
            <w:tcBorders>
              <w:top w:val="single" w:sz="4" w:space="0" w:color="8EAADB"/>
              <w:left w:val="single" w:sz="4" w:space="0" w:color="8EAADB"/>
              <w:bottom w:val="single" w:sz="4" w:space="0" w:color="8EAADB"/>
              <w:right w:val="single" w:sz="4" w:space="0" w:color="8EAADB"/>
            </w:tcBorders>
            <w:shd w:val="clear" w:color="auto" w:fill="D9E2F3"/>
          </w:tcPr>
          <w:p w14:paraId="40A2E9A6" w14:textId="77777777" w:rsidR="0082643C" w:rsidRDefault="00000000" w:rsidP="00BE6153">
            <w:pPr>
              <w:jc w:val="center"/>
            </w:pPr>
            <w:r>
              <w:rPr>
                <w:sz w:val="18"/>
              </w:rPr>
              <w:t>240</w:t>
            </w:r>
          </w:p>
        </w:tc>
      </w:tr>
      <w:tr w:rsidR="00395D6D" w14:paraId="3AE73580" w14:textId="77777777">
        <w:trPr>
          <w:jc w:val="center"/>
        </w:trPr>
        <w:tc>
          <w:tcPr>
            <w:tcW w:w="1206" w:type="dxa"/>
            <w:tcBorders>
              <w:top w:val="single" w:sz="4" w:space="0" w:color="8EAADB"/>
              <w:left w:val="single" w:sz="4" w:space="0" w:color="8EAADB"/>
              <w:bottom w:val="single" w:sz="4" w:space="0" w:color="8EAADB"/>
              <w:right w:val="single" w:sz="4" w:space="0" w:color="8EAADB"/>
            </w:tcBorders>
            <w:shd w:val="clear" w:color="auto" w:fill="D9E2F3"/>
          </w:tcPr>
          <w:p w14:paraId="6CC431F5" w14:textId="77777777" w:rsidR="0082643C" w:rsidRDefault="00000000">
            <w:pPr>
              <w:jc w:val="center"/>
            </w:pPr>
            <w:r>
              <w:rPr>
                <w:sz w:val="18"/>
              </w:rPr>
              <w:t>CPA-302</w:t>
            </w:r>
          </w:p>
        </w:tc>
        <w:tc>
          <w:tcPr>
            <w:tcW w:w="3015" w:type="dxa"/>
            <w:tcBorders>
              <w:top w:val="single" w:sz="4" w:space="0" w:color="8EAADB"/>
              <w:left w:val="single" w:sz="4" w:space="0" w:color="8EAADB"/>
              <w:bottom w:val="single" w:sz="4" w:space="0" w:color="8EAADB"/>
              <w:right w:val="single" w:sz="4" w:space="0" w:color="8EAADB"/>
            </w:tcBorders>
            <w:shd w:val="clear" w:color="auto" w:fill="D9E2F3"/>
          </w:tcPr>
          <w:p w14:paraId="3DBD7D03" w14:textId="77777777" w:rsidR="0082643C" w:rsidRDefault="00000000">
            <w:pPr>
              <w:jc w:val="both"/>
            </w:pPr>
            <w:r>
              <w:rPr>
                <w:sz w:val="18"/>
              </w:rPr>
              <w:t>Contabilidad de Costos y Gestión</w:t>
            </w:r>
          </w:p>
        </w:tc>
        <w:tc>
          <w:tcPr>
            <w:tcW w:w="1688" w:type="dxa"/>
            <w:tcBorders>
              <w:top w:val="single" w:sz="4" w:space="0" w:color="8EAADB"/>
              <w:left w:val="single" w:sz="4" w:space="0" w:color="8EAADB"/>
              <w:bottom w:val="single" w:sz="4" w:space="0" w:color="8EAADB"/>
              <w:right w:val="single" w:sz="4" w:space="0" w:color="8EAADB"/>
            </w:tcBorders>
            <w:shd w:val="clear" w:color="auto" w:fill="D9E2F3"/>
          </w:tcPr>
          <w:p w14:paraId="2971C36B" w14:textId="77777777" w:rsidR="0082643C" w:rsidRDefault="00000000">
            <w:pPr>
              <w:jc w:val="center"/>
            </w:pPr>
            <w:r>
              <w:rPr>
                <w:sz w:val="18"/>
              </w:rPr>
              <w:t>CPA-201, CPA-202, CPA-203</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0C62A5DC" w14:textId="77777777" w:rsidR="0082643C" w:rsidRDefault="00000000" w:rsidP="00BE6153">
            <w:pPr>
              <w:jc w:val="center"/>
            </w:pPr>
            <w:r>
              <w:rPr>
                <w:sz w:val="18"/>
              </w:rPr>
              <w:t>4</w:t>
            </w:r>
          </w:p>
        </w:tc>
        <w:tc>
          <w:tcPr>
            <w:tcW w:w="844" w:type="dxa"/>
            <w:tcBorders>
              <w:top w:val="single" w:sz="4" w:space="0" w:color="8EAADB"/>
              <w:left w:val="single" w:sz="4" w:space="0" w:color="8EAADB"/>
              <w:bottom w:val="single" w:sz="4" w:space="0" w:color="8EAADB"/>
              <w:right w:val="single" w:sz="4" w:space="0" w:color="8EAADB"/>
            </w:tcBorders>
            <w:shd w:val="clear" w:color="auto" w:fill="D9E2F3"/>
          </w:tcPr>
          <w:p w14:paraId="3F818F10" w14:textId="77777777" w:rsidR="0082643C" w:rsidRDefault="00000000" w:rsidP="00BE6153">
            <w:pPr>
              <w:jc w:val="center"/>
            </w:pPr>
            <w:r>
              <w:rPr>
                <w:sz w:val="18"/>
              </w:rPr>
              <w:t>160</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685A1DBF" w14:textId="77777777" w:rsidR="0082643C" w:rsidRDefault="00000000" w:rsidP="00BE6153">
            <w:pPr>
              <w:jc w:val="center"/>
            </w:pPr>
            <w:r>
              <w:rPr>
                <w:sz w:val="18"/>
              </w:rPr>
              <w:t>8</w:t>
            </w:r>
          </w:p>
        </w:tc>
        <w:tc>
          <w:tcPr>
            <w:tcW w:w="1084" w:type="dxa"/>
            <w:tcBorders>
              <w:top w:val="single" w:sz="4" w:space="0" w:color="8EAADB"/>
              <w:left w:val="single" w:sz="4" w:space="0" w:color="8EAADB"/>
              <w:bottom w:val="single" w:sz="4" w:space="0" w:color="8EAADB"/>
              <w:right w:val="single" w:sz="4" w:space="0" w:color="8EAADB"/>
            </w:tcBorders>
            <w:shd w:val="clear" w:color="auto" w:fill="D9E2F3"/>
          </w:tcPr>
          <w:p w14:paraId="6434066B" w14:textId="77777777" w:rsidR="0082643C" w:rsidRDefault="00000000" w:rsidP="00BE6153">
            <w:pPr>
              <w:jc w:val="center"/>
            </w:pPr>
            <w:r>
              <w:rPr>
                <w:sz w:val="18"/>
              </w:rPr>
              <w:t>240</w:t>
            </w:r>
          </w:p>
        </w:tc>
      </w:tr>
      <w:tr w:rsidR="00395D6D" w14:paraId="02E895B3" w14:textId="77777777">
        <w:trPr>
          <w:jc w:val="center"/>
        </w:trPr>
        <w:tc>
          <w:tcPr>
            <w:tcW w:w="1206" w:type="dxa"/>
            <w:tcBorders>
              <w:top w:val="single" w:sz="4" w:space="0" w:color="8EAADB"/>
              <w:left w:val="single" w:sz="4" w:space="0" w:color="8EAADB"/>
              <w:bottom w:val="single" w:sz="4" w:space="0" w:color="8EAADB"/>
              <w:right w:val="single" w:sz="4" w:space="0" w:color="8EAADB"/>
            </w:tcBorders>
            <w:shd w:val="clear" w:color="auto" w:fill="D9E2F3"/>
          </w:tcPr>
          <w:p w14:paraId="52FC484A" w14:textId="77777777" w:rsidR="0082643C" w:rsidRDefault="00000000">
            <w:pPr>
              <w:jc w:val="center"/>
            </w:pPr>
            <w:r>
              <w:rPr>
                <w:sz w:val="18"/>
              </w:rPr>
              <w:t>CPA-303</w:t>
            </w:r>
          </w:p>
        </w:tc>
        <w:tc>
          <w:tcPr>
            <w:tcW w:w="3015" w:type="dxa"/>
            <w:tcBorders>
              <w:top w:val="single" w:sz="4" w:space="0" w:color="8EAADB"/>
              <w:left w:val="single" w:sz="4" w:space="0" w:color="8EAADB"/>
              <w:bottom w:val="single" w:sz="4" w:space="0" w:color="8EAADB"/>
              <w:right w:val="single" w:sz="4" w:space="0" w:color="8EAADB"/>
            </w:tcBorders>
            <w:shd w:val="clear" w:color="auto" w:fill="D9E2F3"/>
          </w:tcPr>
          <w:p w14:paraId="336E2217" w14:textId="77777777" w:rsidR="0082643C" w:rsidRDefault="00000000">
            <w:pPr>
              <w:jc w:val="both"/>
            </w:pPr>
            <w:r>
              <w:rPr>
                <w:sz w:val="18"/>
              </w:rPr>
              <w:t>Contabilidad de Bancos y Entidades Financieras</w:t>
            </w:r>
          </w:p>
        </w:tc>
        <w:tc>
          <w:tcPr>
            <w:tcW w:w="1688" w:type="dxa"/>
            <w:tcBorders>
              <w:top w:val="single" w:sz="4" w:space="0" w:color="8EAADB"/>
              <w:left w:val="single" w:sz="4" w:space="0" w:color="8EAADB"/>
              <w:bottom w:val="single" w:sz="4" w:space="0" w:color="8EAADB"/>
              <w:right w:val="single" w:sz="4" w:space="0" w:color="8EAADB"/>
            </w:tcBorders>
            <w:shd w:val="clear" w:color="auto" w:fill="D9E2F3"/>
          </w:tcPr>
          <w:p w14:paraId="231E92B7" w14:textId="77777777" w:rsidR="0082643C" w:rsidRDefault="00000000">
            <w:pPr>
              <w:jc w:val="center"/>
            </w:pPr>
            <w:r>
              <w:rPr>
                <w:sz w:val="18"/>
              </w:rPr>
              <w:t>CPA-201, CPA-202, CPA-203</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66EF3F75" w14:textId="77777777" w:rsidR="0082643C" w:rsidRDefault="00000000" w:rsidP="00BE6153">
            <w:pPr>
              <w:jc w:val="center"/>
            </w:pPr>
            <w:r>
              <w:rPr>
                <w:sz w:val="18"/>
              </w:rPr>
              <w:t>4</w:t>
            </w:r>
          </w:p>
        </w:tc>
        <w:tc>
          <w:tcPr>
            <w:tcW w:w="844" w:type="dxa"/>
            <w:tcBorders>
              <w:top w:val="single" w:sz="4" w:space="0" w:color="8EAADB"/>
              <w:left w:val="single" w:sz="4" w:space="0" w:color="8EAADB"/>
              <w:bottom w:val="single" w:sz="4" w:space="0" w:color="8EAADB"/>
              <w:right w:val="single" w:sz="4" w:space="0" w:color="8EAADB"/>
            </w:tcBorders>
            <w:shd w:val="clear" w:color="auto" w:fill="D9E2F3"/>
          </w:tcPr>
          <w:p w14:paraId="03626890" w14:textId="77777777" w:rsidR="0082643C" w:rsidRDefault="00000000" w:rsidP="00BE6153">
            <w:pPr>
              <w:jc w:val="center"/>
            </w:pPr>
            <w:r>
              <w:rPr>
                <w:sz w:val="18"/>
              </w:rPr>
              <w:t>160</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715215DB" w14:textId="77777777" w:rsidR="0082643C" w:rsidRDefault="00000000" w:rsidP="00BE6153">
            <w:pPr>
              <w:jc w:val="center"/>
            </w:pPr>
            <w:r>
              <w:rPr>
                <w:sz w:val="18"/>
              </w:rPr>
              <w:t>8</w:t>
            </w:r>
          </w:p>
        </w:tc>
        <w:tc>
          <w:tcPr>
            <w:tcW w:w="1084" w:type="dxa"/>
            <w:tcBorders>
              <w:top w:val="single" w:sz="4" w:space="0" w:color="8EAADB"/>
              <w:left w:val="single" w:sz="4" w:space="0" w:color="8EAADB"/>
              <w:bottom w:val="single" w:sz="4" w:space="0" w:color="8EAADB"/>
              <w:right w:val="single" w:sz="4" w:space="0" w:color="8EAADB"/>
            </w:tcBorders>
            <w:shd w:val="clear" w:color="auto" w:fill="D9E2F3"/>
          </w:tcPr>
          <w:p w14:paraId="751D5F94" w14:textId="77777777" w:rsidR="0082643C" w:rsidRDefault="00000000" w:rsidP="00BE6153">
            <w:pPr>
              <w:jc w:val="center"/>
            </w:pPr>
            <w:r>
              <w:rPr>
                <w:sz w:val="18"/>
              </w:rPr>
              <w:t>240</w:t>
            </w:r>
          </w:p>
        </w:tc>
      </w:tr>
      <w:tr w:rsidR="00395D6D" w14:paraId="1F867B30" w14:textId="77777777">
        <w:trPr>
          <w:jc w:val="center"/>
        </w:trPr>
        <w:tc>
          <w:tcPr>
            <w:tcW w:w="1206" w:type="dxa"/>
            <w:tcBorders>
              <w:top w:val="single" w:sz="4" w:space="0" w:color="8EAADB"/>
              <w:left w:val="single" w:sz="4" w:space="0" w:color="8EAADB"/>
              <w:bottom w:val="single" w:sz="4" w:space="0" w:color="8EAADB"/>
              <w:right w:val="single" w:sz="4" w:space="0" w:color="8EAADB"/>
            </w:tcBorders>
            <w:shd w:val="clear" w:color="auto" w:fill="D9E2F3"/>
          </w:tcPr>
          <w:p w14:paraId="2FC39AEB" w14:textId="77777777" w:rsidR="0082643C" w:rsidRDefault="00000000">
            <w:pPr>
              <w:jc w:val="center"/>
            </w:pPr>
            <w:r>
              <w:rPr>
                <w:sz w:val="18"/>
              </w:rPr>
              <w:t>CPA-304</w:t>
            </w:r>
          </w:p>
        </w:tc>
        <w:tc>
          <w:tcPr>
            <w:tcW w:w="3015" w:type="dxa"/>
            <w:tcBorders>
              <w:top w:val="single" w:sz="4" w:space="0" w:color="8EAADB"/>
              <w:left w:val="single" w:sz="4" w:space="0" w:color="8EAADB"/>
              <w:bottom w:val="single" w:sz="4" w:space="0" w:color="8EAADB"/>
              <w:right w:val="single" w:sz="4" w:space="0" w:color="8EAADB"/>
            </w:tcBorders>
            <w:shd w:val="clear" w:color="auto" w:fill="D9E2F3"/>
          </w:tcPr>
          <w:p w14:paraId="7E1AE743" w14:textId="77777777" w:rsidR="0082643C" w:rsidRDefault="00000000">
            <w:pPr>
              <w:jc w:val="both"/>
            </w:pPr>
            <w:r>
              <w:rPr>
                <w:sz w:val="18"/>
              </w:rPr>
              <w:t>Presupuesto y Contabilidad Gubernamental</w:t>
            </w:r>
          </w:p>
        </w:tc>
        <w:tc>
          <w:tcPr>
            <w:tcW w:w="1688" w:type="dxa"/>
            <w:tcBorders>
              <w:top w:val="single" w:sz="4" w:space="0" w:color="8EAADB"/>
              <w:left w:val="single" w:sz="4" w:space="0" w:color="8EAADB"/>
              <w:bottom w:val="single" w:sz="4" w:space="0" w:color="8EAADB"/>
              <w:right w:val="single" w:sz="4" w:space="0" w:color="8EAADB"/>
            </w:tcBorders>
            <w:shd w:val="clear" w:color="auto" w:fill="D9E2F3"/>
          </w:tcPr>
          <w:p w14:paraId="6926E787" w14:textId="77777777" w:rsidR="0082643C" w:rsidRDefault="00000000">
            <w:pPr>
              <w:jc w:val="center"/>
            </w:pPr>
            <w:r>
              <w:rPr>
                <w:sz w:val="18"/>
              </w:rPr>
              <w:t>CPA-201, CPA-202, CPA-203</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148D1F5B" w14:textId="77777777" w:rsidR="0082643C" w:rsidRDefault="00000000" w:rsidP="00BE6153">
            <w:pPr>
              <w:jc w:val="center"/>
            </w:pPr>
            <w:r>
              <w:rPr>
                <w:sz w:val="18"/>
              </w:rPr>
              <w:t>4</w:t>
            </w:r>
          </w:p>
        </w:tc>
        <w:tc>
          <w:tcPr>
            <w:tcW w:w="844" w:type="dxa"/>
            <w:tcBorders>
              <w:top w:val="single" w:sz="4" w:space="0" w:color="8EAADB"/>
              <w:left w:val="single" w:sz="4" w:space="0" w:color="8EAADB"/>
              <w:bottom w:val="single" w:sz="4" w:space="0" w:color="8EAADB"/>
              <w:right w:val="single" w:sz="4" w:space="0" w:color="8EAADB"/>
            </w:tcBorders>
            <w:shd w:val="clear" w:color="auto" w:fill="D9E2F3"/>
          </w:tcPr>
          <w:p w14:paraId="04F89C76" w14:textId="77777777" w:rsidR="0082643C" w:rsidRDefault="00000000" w:rsidP="00BE6153">
            <w:pPr>
              <w:jc w:val="center"/>
            </w:pPr>
            <w:r>
              <w:rPr>
                <w:sz w:val="18"/>
              </w:rPr>
              <w:t>160</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50970966" w14:textId="77777777" w:rsidR="0082643C" w:rsidRDefault="00000000" w:rsidP="00BE6153">
            <w:pPr>
              <w:jc w:val="center"/>
            </w:pPr>
            <w:r>
              <w:rPr>
                <w:sz w:val="18"/>
              </w:rPr>
              <w:t>8</w:t>
            </w:r>
          </w:p>
        </w:tc>
        <w:tc>
          <w:tcPr>
            <w:tcW w:w="1084" w:type="dxa"/>
            <w:tcBorders>
              <w:top w:val="single" w:sz="4" w:space="0" w:color="8EAADB"/>
              <w:left w:val="single" w:sz="4" w:space="0" w:color="8EAADB"/>
              <w:bottom w:val="single" w:sz="4" w:space="0" w:color="8EAADB"/>
              <w:right w:val="single" w:sz="4" w:space="0" w:color="8EAADB"/>
            </w:tcBorders>
            <w:shd w:val="clear" w:color="auto" w:fill="D9E2F3"/>
          </w:tcPr>
          <w:p w14:paraId="4D50602D" w14:textId="77777777" w:rsidR="0082643C" w:rsidRDefault="00000000" w:rsidP="00BE6153">
            <w:pPr>
              <w:jc w:val="center"/>
            </w:pPr>
            <w:r>
              <w:rPr>
                <w:sz w:val="18"/>
              </w:rPr>
              <w:t>240</w:t>
            </w:r>
          </w:p>
        </w:tc>
      </w:tr>
      <w:tr w:rsidR="00395D6D" w14:paraId="1E3BA279" w14:textId="77777777">
        <w:trPr>
          <w:jc w:val="center"/>
        </w:trPr>
        <w:tc>
          <w:tcPr>
            <w:tcW w:w="1206" w:type="dxa"/>
            <w:tcBorders>
              <w:top w:val="single" w:sz="4" w:space="0" w:color="8EAADB"/>
              <w:left w:val="single" w:sz="4" w:space="0" w:color="8EAADB"/>
              <w:bottom w:val="single" w:sz="4" w:space="0" w:color="8EAADB"/>
              <w:right w:val="single" w:sz="4" w:space="0" w:color="8EAADB"/>
            </w:tcBorders>
            <w:shd w:val="clear" w:color="auto" w:fill="D9E2F3"/>
          </w:tcPr>
          <w:p w14:paraId="053095F1" w14:textId="77777777" w:rsidR="0082643C" w:rsidRDefault="00000000">
            <w:pPr>
              <w:jc w:val="center"/>
            </w:pPr>
            <w:r>
              <w:rPr>
                <w:sz w:val="18"/>
              </w:rPr>
              <w:t>CPA-305</w:t>
            </w:r>
          </w:p>
        </w:tc>
        <w:tc>
          <w:tcPr>
            <w:tcW w:w="3015" w:type="dxa"/>
            <w:tcBorders>
              <w:top w:val="single" w:sz="4" w:space="0" w:color="8EAADB"/>
              <w:left w:val="single" w:sz="4" w:space="0" w:color="8EAADB"/>
              <w:bottom w:val="single" w:sz="4" w:space="0" w:color="8EAADB"/>
              <w:right w:val="single" w:sz="4" w:space="0" w:color="8EAADB"/>
            </w:tcBorders>
            <w:shd w:val="clear" w:color="auto" w:fill="D9E2F3"/>
          </w:tcPr>
          <w:p w14:paraId="33F4E630" w14:textId="77777777" w:rsidR="0082643C" w:rsidRDefault="00000000">
            <w:pPr>
              <w:jc w:val="both"/>
            </w:pPr>
            <w:r>
              <w:rPr>
                <w:sz w:val="18"/>
              </w:rPr>
              <w:t>Sistemas Contables ERP y Análisis de Datos</w:t>
            </w:r>
          </w:p>
        </w:tc>
        <w:tc>
          <w:tcPr>
            <w:tcW w:w="1688" w:type="dxa"/>
            <w:tcBorders>
              <w:top w:val="single" w:sz="4" w:space="0" w:color="8EAADB"/>
              <w:left w:val="single" w:sz="4" w:space="0" w:color="8EAADB"/>
              <w:bottom w:val="single" w:sz="4" w:space="0" w:color="8EAADB"/>
              <w:right w:val="single" w:sz="4" w:space="0" w:color="8EAADB"/>
            </w:tcBorders>
            <w:shd w:val="clear" w:color="auto" w:fill="D9E2F3"/>
          </w:tcPr>
          <w:p w14:paraId="552F9CA6" w14:textId="77777777" w:rsidR="0082643C" w:rsidRDefault="00000000">
            <w:pPr>
              <w:jc w:val="center"/>
            </w:pPr>
            <w:r>
              <w:rPr>
                <w:sz w:val="18"/>
              </w:rPr>
              <w:t>CPA-102, CPA-201, CPA-202, CPA-203</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1E9964A6" w14:textId="77777777" w:rsidR="0082643C" w:rsidRDefault="00000000" w:rsidP="00BE6153">
            <w:pPr>
              <w:jc w:val="center"/>
            </w:pPr>
            <w:r>
              <w:rPr>
                <w:sz w:val="18"/>
              </w:rPr>
              <w:t>4</w:t>
            </w:r>
          </w:p>
        </w:tc>
        <w:tc>
          <w:tcPr>
            <w:tcW w:w="844" w:type="dxa"/>
            <w:tcBorders>
              <w:top w:val="single" w:sz="4" w:space="0" w:color="8EAADB"/>
              <w:left w:val="single" w:sz="4" w:space="0" w:color="8EAADB"/>
              <w:bottom w:val="single" w:sz="4" w:space="0" w:color="8EAADB"/>
              <w:right w:val="single" w:sz="4" w:space="0" w:color="8EAADB"/>
            </w:tcBorders>
            <w:shd w:val="clear" w:color="auto" w:fill="D9E2F3"/>
          </w:tcPr>
          <w:p w14:paraId="7DB6EDB2" w14:textId="77777777" w:rsidR="0082643C" w:rsidRDefault="00000000" w:rsidP="00BE6153">
            <w:pPr>
              <w:jc w:val="center"/>
            </w:pPr>
            <w:r>
              <w:rPr>
                <w:sz w:val="18"/>
              </w:rPr>
              <w:t>160</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6DC9CB1C" w14:textId="77777777" w:rsidR="0082643C" w:rsidRDefault="00000000" w:rsidP="00BE6153">
            <w:pPr>
              <w:jc w:val="center"/>
            </w:pPr>
            <w:r>
              <w:rPr>
                <w:sz w:val="18"/>
              </w:rPr>
              <w:t>7</w:t>
            </w:r>
          </w:p>
        </w:tc>
        <w:tc>
          <w:tcPr>
            <w:tcW w:w="1084" w:type="dxa"/>
            <w:tcBorders>
              <w:top w:val="single" w:sz="4" w:space="0" w:color="8EAADB"/>
              <w:left w:val="single" w:sz="4" w:space="0" w:color="8EAADB"/>
              <w:bottom w:val="single" w:sz="4" w:space="0" w:color="8EAADB"/>
              <w:right w:val="single" w:sz="4" w:space="0" w:color="8EAADB"/>
            </w:tcBorders>
            <w:shd w:val="clear" w:color="auto" w:fill="D9E2F3"/>
          </w:tcPr>
          <w:p w14:paraId="7181DE57" w14:textId="77777777" w:rsidR="0082643C" w:rsidRDefault="00000000" w:rsidP="00BE6153">
            <w:pPr>
              <w:jc w:val="center"/>
            </w:pPr>
            <w:r>
              <w:rPr>
                <w:sz w:val="18"/>
              </w:rPr>
              <w:t>210</w:t>
            </w:r>
          </w:p>
        </w:tc>
      </w:tr>
      <w:tr w:rsidR="00395D6D" w14:paraId="5859E284" w14:textId="77777777">
        <w:trPr>
          <w:jc w:val="center"/>
        </w:trPr>
        <w:tc>
          <w:tcPr>
            <w:tcW w:w="1206" w:type="dxa"/>
            <w:tcBorders>
              <w:top w:val="single" w:sz="4" w:space="0" w:color="8EAADB"/>
              <w:left w:val="single" w:sz="4" w:space="0" w:color="8EAADB"/>
              <w:bottom w:val="single" w:sz="4" w:space="0" w:color="8EAADB"/>
              <w:right w:val="single" w:sz="4" w:space="0" w:color="8EAADB"/>
            </w:tcBorders>
            <w:shd w:val="clear" w:color="auto" w:fill="D9E2F3"/>
          </w:tcPr>
          <w:p w14:paraId="70D4C0F7" w14:textId="77777777" w:rsidR="0082643C" w:rsidRDefault="00000000">
            <w:pPr>
              <w:jc w:val="center"/>
            </w:pPr>
            <w:r>
              <w:rPr>
                <w:sz w:val="18"/>
              </w:rPr>
              <w:t>ADM-301</w:t>
            </w:r>
          </w:p>
        </w:tc>
        <w:tc>
          <w:tcPr>
            <w:tcW w:w="3015" w:type="dxa"/>
            <w:tcBorders>
              <w:top w:val="single" w:sz="4" w:space="0" w:color="8EAADB"/>
              <w:left w:val="single" w:sz="4" w:space="0" w:color="8EAADB"/>
              <w:bottom w:val="single" w:sz="4" w:space="0" w:color="8EAADB"/>
              <w:right w:val="single" w:sz="4" w:space="0" w:color="8EAADB"/>
            </w:tcBorders>
            <w:shd w:val="clear" w:color="auto" w:fill="D9E2F3"/>
          </w:tcPr>
          <w:p w14:paraId="2CFBA8BC" w14:textId="77777777" w:rsidR="0082643C" w:rsidRDefault="00000000">
            <w:pPr>
              <w:jc w:val="both"/>
            </w:pPr>
            <w:r>
              <w:rPr>
                <w:sz w:val="18"/>
              </w:rPr>
              <w:t>Desarrollo Organizacional y Comportamiento Organizacional</w:t>
            </w:r>
          </w:p>
        </w:tc>
        <w:tc>
          <w:tcPr>
            <w:tcW w:w="1688" w:type="dxa"/>
            <w:tcBorders>
              <w:top w:val="single" w:sz="4" w:space="0" w:color="8EAADB"/>
              <w:left w:val="single" w:sz="4" w:space="0" w:color="8EAADB"/>
              <w:bottom w:val="single" w:sz="4" w:space="0" w:color="8EAADB"/>
              <w:right w:val="single" w:sz="4" w:space="0" w:color="8EAADB"/>
            </w:tcBorders>
            <w:shd w:val="clear" w:color="auto" w:fill="D9E2F3"/>
          </w:tcPr>
          <w:p w14:paraId="4D850871" w14:textId="77777777" w:rsidR="0082643C" w:rsidRDefault="00000000">
            <w:pPr>
              <w:jc w:val="center"/>
            </w:pPr>
            <w:r>
              <w:rPr>
                <w:sz w:val="18"/>
              </w:rPr>
              <w:t>ADM-201</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03A1B038" w14:textId="77777777" w:rsidR="0082643C" w:rsidRDefault="00000000" w:rsidP="00BE6153">
            <w:pPr>
              <w:jc w:val="center"/>
            </w:pPr>
            <w:r>
              <w:rPr>
                <w:sz w:val="18"/>
              </w:rPr>
              <w:t>4</w:t>
            </w:r>
          </w:p>
        </w:tc>
        <w:tc>
          <w:tcPr>
            <w:tcW w:w="844" w:type="dxa"/>
            <w:tcBorders>
              <w:top w:val="single" w:sz="4" w:space="0" w:color="8EAADB"/>
              <w:left w:val="single" w:sz="4" w:space="0" w:color="8EAADB"/>
              <w:bottom w:val="single" w:sz="4" w:space="0" w:color="8EAADB"/>
              <w:right w:val="single" w:sz="4" w:space="0" w:color="8EAADB"/>
            </w:tcBorders>
            <w:shd w:val="clear" w:color="auto" w:fill="D9E2F3"/>
          </w:tcPr>
          <w:p w14:paraId="6CF20DA9" w14:textId="77777777" w:rsidR="0082643C" w:rsidRDefault="00000000" w:rsidP="00BE6153">
            <w:pPr>
              <w:jc w:val="center"/>
            </w:pPr>
            <w:r>
              <w:rPr>
                <w:sz w:val="18"/>
              </w:rPr>
              <w:t>160</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1D030AE0" w14:textId="77777777" w:rsidR="0082643C" w:rsidRDefault="00000000" w:rsidP="00BE6153">
            <w:pPr>
              <w:jc w:val="center"/>
            </w:pPr>
            <w:r>
              <w:rPr>
                <w:sz w:val="18"/>
              </w:rPr>
              <w:t>7</w:t>
            </w:r>
          </w:p>
        </w:tc>
        <w:tc>
          <w:tcPr>
            <w:tcW w:w="1084" w:type="dxa"/>
            <w:tcBorders>
              <w:top w:val="single" w:sz="4" w:space="0" w:color="8EAADB"/>
              <w:left w:val="single" w:sz="4" w:space="0" w:color="8EAADB"/>
              <w:bottom w:val="single" w:sz="4" w:space="0" w:color="8EAADB"/>
              <w:right w:val="single" w:sz="4" w:space="0" w:color="8EAADB"/>
            </w:tcBorders>
            <w:shd w:val="clear" w:color="auto" w:fill="D9E2F3"/>
          </w:tcPr>
          <w:p w14:paraId="18C4FE3B" w14:textId="77777777" w:rsidR="0082643C" w:rsidRDefault="00000000" w:rsidP="00BE6153">
            <w:pPr>
              <w:jc w:val="center"/>
            </w:pPr>
            <w:r>
              <w:rPr>
                <w:sz w:val="18"/>
              </w:rPr>
              <w:t>210</w:t>
            </w:r>
          </w:p>
        </w:tc>
      </w:tr>
      <w:tr w:rsidR="00395D6D" w14:paraId="7C13B185" w14:textId="77777777">
        <w:trPr>
          <w:jc w:val="center"/>
        </w:trPr>
        <w:tc>
          <w:tcPr>
            <w:tcW w:w="1206" w:type="dxa"/>
            <w:tcBorders>
              <w:top w:val="single" w:sz="4" w:space="0" w:color="8EAADB"/>
              <w:left w:val="single" w:sz="4" w:space="0" w:color="8EAADB"/>
              <w:bottom w:val="single" w:sz="4" w:space="0" w:color="8EAADB"/>
              <w:right w:val="single" w:sz="4" w:space="0" w:color="8EAADB"/>
            </w:tcBorders>
            <w:shd w:val="clear" w:color="auto" w:fill="D9E2F3"/>
          </w:tcPr>
          <w:p w14:paraId="0B53CDEE" w14:textId="77777777" w:rsidR="0082643C" w:rsidRDefault="00000000">
            <w:pPr>
              <w:jc w:val="center"/>
            </w:pPr>
            <w:r>
              <w:rPr>
                <w:sz w:val="18"/>
              </w:rPr>
              <w:t>ECO-301</w:t>
            </w:r>
          </w:p>
        </w:tc>
        <w:tc>
          <w:tcPr>
            <w:tcW w:w="3015" w:type="dxa"/>
            <w:tcBorders>
              <w:top w:val="single" w:sz="4" w:space="0" w:color="8EAADB"/>
              <w:left w:val="single" w:sz="4" w:space="0" w:color="8EAADB"/>
              <w:bottom w:val="single" w:sz="4" w:space="0" w:color="8EAADB"/>
              <w:right w:val="single" w:sz="4" w:space="0" w:color="8EAADB"/>
            </w:tcBorders>
            <w:shd w:val="clear" w:color="auto" w:fill="D9E2F3"/>
          </w:tcPr>
          <w:p w14:paraId="290FCD1F" w14:textId="77777777" w:rsidR="0082643C" w:rsidRDefault="00000000">
            <w:pPr>
              <w:jc w:val="both"/>
            </w:pPr>
            <w:r>
              <w:rPr>
                <w:sz w:val="18"/>
              </w:rPr>
              <w:t>Preparación y Evaluación de Proyectos</w:t>
            </w:r>
          </w:p>
        </w:tc>
        <w:tc>
          <w:tcPr>
            <w:tcW w:w="1688" w:type="dxa"/>
            <w:tcBorders>
              <w:top w:val="single" w:sz="4" w:space="0" w:color="8EAADB"/>
              <w:left w:val="single" w:sz="4" w:space="0" w:color="8EAADB"/>
              <w:bottom w:val="single" w:sz="4" w:space="0" w:color="8EAADB"/>
              <w:right w:val="single" w:sz="4" w:space="0" w:color="8EAADB"/>
            </w:tcBorders>
            <w:shd w:val="clear" w:color="auto" w:fill="D9E2F3"/>
          </w:tcPr>
          <w:p w14:paraId="5E3CF7CD" w14:textId="77777777" w:rsidR="0082643C" w:rsidRDefault="00000000">
            <w:pPr>
              <w:jc w:val="center"/>
            </w:pPr>
            <w:r>
              <w:rPr>
                <w:sz w:val="18"/>
              </w:rPr>
              <w:t>ECO-201</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63FB4FA2" w14:textId="77777777" w:rsidR="0082643C" w:rsidRDefault="00000000" w:rsidP="00BE6153">
            <w:pPr>
              <w:jc w:val="center"/>
            </w:pPr>
            <w:r>
              <w:rPr>
                <w:sz w:val="18"/>
              </w:rPr>
              <w:t>4</w:t>
            </w:r>
          </w:p>
        </w:tc>
        <w:tc>
          <w:tcPr>
            <w:tcW w:w="844" w:type="dxa"/>
            <w:tcBorders>
              <w:top w:val="single" w:sz="4" w:space="0" w:color="8EAADB"/>
              <w:left w:val="single" w:sz="4" w:space="0" w:color="8EAADB"/>
              <w:bottom w:val="single" w:sz="4" w:space="0" w:color="8EAADB"/>
              <w:right w:val="single" w:sz="4" w:space="0" w:color="8EAADB"/>
            </w:tcBorders>
            <w:shd w:val="clear" w:color="auto" w:fill="D9E2F3"/>
          </w:tcPr>
          <w:p w14:paraId="3B2AE3BA" w14:textId="77777777" w:rsidR="0082643C" w:rsidRDefault="00000000" w:rsidP="00BE6153">
            <w:pPr>
              <w:jc w:val="center"/>
            </w:pPr>
            <w:r>
              <w:rPr>
                <w:sz w:val="18"/>
              </w:rPr>
              <w:t>160</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776F234B" w14:textId="77777777" w:rsidR="0082643C" w:rsidRDefault="00000000" w:rsidP="00BE6153">
            <w:pPr>
              <w:jc w:val="center"/>
            </w:pPr>
            <w:r>
              <w:rPr>
                <w:sz w:val="18"/>
              </w:rPr>
              <w:t>7</w:t>
            </w:r>
          </w:p>
        </w:tc>
        <w:tc>
          <w:tcPr>
            <w:tcW w:w="1084" w:type="dxa"/>
            <w:tcBorders>
              <w:top w:val="single" w:sz="4" w:space="0" w:color="8EAADB"/>
              <w:left w:val="single" w:sz="4" w:space="0" w:color="8EAADB"/>
              <w:bottom w:val="single" w:sz="4" w:space="0" w:color="8EAADB"/>
              <w:right w:val="single" w:sz="4" w:space="0" w:color="8EAADB"/>
            </w:tcBorders>
            <w:shd w:val="clear" w:color="auto" w:fill="D9E2F3"/>
          </w:tcPr>
          <w:p w14:paraId="7DA9F472" w14:textId="77777777" w:rsidR="0082643C" w:rsidRDefault="00000000" w:rsidP="00BE6153">
            <w:pPr>
              <w:jc w:val="center"/>
            </w:pPr>
            <w:r>
              <w:rPr>
                <w:sz w:val="18"/>
              </w:rPr>
              <w:t>210</w:t>
            </w:r>
          </w:p>
        </w:tc>
      </w:tr>
      <w:tr w:rsidR="00395D6D" w14:paraId="43F42B93" w14:textId="77777777">
        <w:trPr>
          <w:jc w:val="center"/>
        </w:trPr>
        <w:tc>
          <w:tcPr>
            <w:tcW w:w="1206" w:type="dxa"/>
            <w:tcBorders>
              <w:top w:val="single" w:sz="4" w:space="0" w:color="8EAADB"/>
              <w:left w:val="single" w:sz="4" w:space="0" w:color="8EAADB"/>
              <w:bottom w:val="single" w:sz="4" w:space="0" w:color="8EAADB"/>
              <w:right w:val="single" w:sz="4" w:space="0" w:color="8EAADB"/>
            </w:tcBorders>
            <w:shd w:val="clear" w:color="auto" w:fill="D9E2F3"/>
          </w:tcPr>
          <w:p w14:paraId="1A8E421D" w14:textId="77777777" w:rsidR="0082643C" w:rsidRDefault="00000000">
            <w:pPr>
              <w:jc w:val="center"/>
            </w:pPr>
            <w:r>
              <w:rPr>
                <w:sz w:val="18"/>
              </w:rPr>
              <w:t>MAT-301</w:t>
            </w:r>
          </w:p>
        </w:tc>
        <w:tc>
          <w:tcPr>
            <w:tcW w:w="3015" w:type="dxa"/>
            <w:tcBorders>
              <w:top w:val="single" w:sz="4" w:space="0" w:color="8EAADB"/>
              <w:left w:val="single" w:sz="4" w:space="0" w:color="8EAADB"/>
              <w:bottom w:val="single" w:sz="4" w:space="0" w:color="8EAADB"/>
              <w:right w:val="single" w:sz="4" w:space="0" w:color="8EAADB"/>
            </w:tcBorders>
            <w:shd w:val="clear" w:color="auto" w:fill="D9E2F3"/>
          </w:tcPr>
          <w:p w14:paraId="5E8B23AE" w14:textId="77777777" w:rsidR="0082643C" w:rsidRDefault="00000000">
            <w:pPr>
              <w:jc w:val="both"/>
            </w:pPr>
            <w:r>
              <w:rPr>
                <w:sz w:val="18"/>
              </w:rPr>
              <w:t>Estadística</w:t>
            </w:r>
          </w:p>
        </w:tc>
        <w:tc>
          <w:tcPr>
            <w:tcW w:w="1688" w:type="dxa"/>
            <w:tcBorders>
              <w:top w:val="single" w:sz="4" w:space="0" w:color="8EAADB"/>
              <w:left w:val="single" w:sz="4" w:space="0" w:color="8EAADB"/>
              <w:bottom w:val="single" w:sz="4" w:space="0" w:color="8EAADB"/>
              <w:right w:val="single" w:sz="4" w:space="0" w:color="8EAADB"/>
            </w:tcBorders>
            <w:shd w:val="clear" w:color="auto" w:fill="D9E2F3"/>
          </w:tcPr>
          <w:p w14:paraId="1AE4BF8D" w14:textId="77777777" w:rsidR="0082643C" w:rsidRDefault="00000000">
            <w:pPr>
              <w:jc w:val="center"/>
            </w:pPr>
            <w:r>
              <w:rPr>
                <w:sz w:val="18"/>
              </w:rPr>
              <w:t>MAT-201</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549548EE" w14:textId="77777777" w:rsidR="0082643C" w:rsidRDefault="00000000" w:rsidP="00BE6153">
            <w:pPr>
              <w:jc w:val="center"/>
            </w:pPr>
            <w:r>
              <w:rPr>
                <w:sz w:val="18"/>
              </w:rPr>
              <w:t>4</w:t>
            </w:r>
          </w:p>
        </w:tc>
        <w:tc>
          <w:tcPr>
            <w:tcW w:w="844" w:type="dxa"/>
            <w:tcBorders>
              <w:top w:val="single" w:sz="4" w:space="0" w:color="8EAADB"/>
              <w:left w:val="single" w:sz="4" w:space="0" w:color="8EAADB"/>
              <w:bottom w:val="single" w:sz="4" w:space="0" w:color="8EAADB"/>
              <w:right w:val="single" w:sz="4" w:space="0" w:color="8EAADB"/>
            </w:tcBorders>
            <w:shd w:val="clear" w:color="auto" w:fill="D9E2F3"/>
          </w:tcPr>
          <w:p w14:paraId="7E1BC1F3" w14:textId="77777777" w:rsidR="0082643C" w:rsidRDefault="00000000" w:rsidP="00BE6153">
            <w:pPr>
              <w:jc w:val="center"/>
            </w:pPr>
            <w:r>
              <w:rPr>
                <w:sz w:val="18"/>
              </w:rPr>
              <w:t>160</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09EC9246" w14:textId="77777777" w:rsidR="0082643C" w:rsidRDefault="00000000" w:rsidP="00BE6153">
            <w:pPr>
              <w:jc w:val="center"/>
            </w:pPr>
            <w:r>
              <w:rPr>
                <w:sz w:val="18"/>
              </w:rPr>
              <w:t>7</w:t>
            </w:r>
          </w:p>
        </w:tc>
        <w:tc>
          <w:tcPr>
            <w:tcW w:w="1084" w:type="dxa"/>
            <w:tcBorders>
              <w:top w:val="single" w:sz="4" w:space="0" w:color="8EAADB"/>
              <w:left w:val="single" w:sz="4" w:space="0" w:color="8EAADB"/>
              <w:bottom w:val="single" w:sz="4" w:space="0" w:color="8EAADB"/>
              <w:right w:val="single" w:sz="4" w:space="0" w:color="8EAADB"/>
            </w:tcBorders>
            <w:shd w:val="clear" w:color="auto" w:fill="D9E2F3"/>
          </w:tcPr>
          <w:p w14:paraId="53B438CE" w14:textId="77777777" w:rsidR="0082643C" w:rsidRDefault="00000000" w:rsidP="00BE6153">
            <w:pPr>
              <w:jc w:val="center"/>
            </w:pPr>
            <w:r>
              <w:rPr>
                <w:sz w:val="18"/>
              </w:rPr>
              <w:t>210</w:t>
            </w:r>
          </w:p>
        </w:tc>
      </w:tr>
      <w:tr w:rsidR="00395D6D" w14:paraId="02067AA6" w14:textId="77777777">
        <w:trPr>
          <w:jc w:val="center"/>
        </w:trPr>
        <w:tc>
          <w:tcPr>
            <w:tcW w:w="1206" w:type="dxa"/>
            <w:tcBorders>
              <w:top w:val="single" w:sz="4" w:space="0" w:color="8EAADB"/>
              <w:left w:val="single" w:sz="4" w:space="0" w:color="8EAADB"/>
              <w:bottom w:val="single" w:sz="4" w:space="0" w:color="8EAADB"/>
              <w:right w:val="single" w:sz="4" w:space="0" w:color="8EAADB"/>
            </w:tcBorders>
            <w:shd w:val="clear" w:color="auto" w:fill="D9E2F3"/>
          </w:tcPr>
          <w:p w14:paraId="09388018" w14:textId="77777777" w:rsidR="0082643C" w:rsidRDefault="0082643C"/>
        </w:tc>
        <w:tc>
          <w:tcPr>
            <w:tcW w:w="3015" w:type="dxa"/>
            <w:tcBorders>
              <w:top w:val="single" w:sz="4" w:space="0" w:color="8EAADB"/>
              <w:left w:val="single" w:sz="4" w:space="0" w:color="8EAADB"/>
              <w:bottom w:val="single" w:sz="4" w:space="0" w:color="8EAADB"/>
              <w:right w:val="single" w:sz="4" w:space="0" w:color="8EAADB"/>
            </w:tcBorders>
            <w:shd w:val="clear" w:color="auto" w:fill="D9E2F3"/>
          </w:tcPr>
          <w:p w14:paraId="5796DC74" w14:textId="77777777" w:rsidR="0082643C" w:rsidRDefault="00000000">
            <w:pPr>
              <w:jc w:val="center"/>
            </w:pPr>
            <w:r>
              <w:rPr>
                <w:b/>
                <w:sz w:val="18"/>
              </w:rPr>
              <w:t>Total tercer año</w:t>
            </w:r>
          </w:p>
        </w:tc>
        <w:tc>
          <w:tcPr>
            <w:tcW w:w="1688" w:type="dxa"/>
            <w:tcBorders>
              <w:top w:val="single" w:sz="4" w:space="0" w:color="8EAADB"/>
              <w:left w:val="single" w:sz="4" w:space="0" w:color="8EAADB"/>
              <w:bottom w:val="single" w:sz="4" w:space="0" w:color="8EAADB"/>
              <w:right w:val="single" w:sz="4" w:space="0" w:color="8EAADB"/>
            </w:tcBorders>
            <w:shd w:val="clear" w:color="auto" w:fill="D9E2F3"/>
          </w:tcPr>
          <w:p w14:paraId="51942FC5" w14:textId="77777777" w:rsidR="0082643C" w:rsidRDefault="0082643C"/>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3CF98C68" w14:textId="77777777" w:rsidR="0082643C" w:rsidRDefault="00000000" w:rsidP="00BE6153">
            <w:pPr>
              <w:jc w:val="center"/>
            </w:pPr>
            <w:r>
              <w:rPr>
                <w:b/>
                <w:sz w:val="18"/>
              </w:rPr>
              <w:t>32</w:t>
            </w:r>
          </w:p>
        </w:tc>
        <w:tc>
          <w:tcPr>
            <w:tcW w:w="844" w:type="dxa"/>
            <w:tcBorders>
              <w:top w:val="single" w:sz="4" w:space="0" w:color="8EAADB"/>
              <w:left w:val="single" w:sz="4" w:space="0" w:color="8EAADB"/>
              <w:bottom w:val="single" w:sz="4" w:space="0" w:color="8EAADB"/>
              <w:right w:val="single" w:sz="4" w:space="0" w:color="8EAADB"/>
            </w:tcBorders>
            <w:shd w:val="clear" w:color="auto" w:fill="D9E2F3"/>
          </w:tcPr>
          <w:p w14:paraId="4C8C4494" w14:textId="77777777" w:rsidR="0082643C" w:rsidRDefault="00000000" w:rsidP="00BE6153">
            <w:pPr>
              <w:jc w:val="center"/>
            </w:pPr>
            <w:r>
              <w:rPr>
                <w:b/>
                <w:sz w:val="18"/>
              </w:rPr>
              <w:t>1.280</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3C2FB097" w14:textId="77777777" w:rsidR="0082643C" w:rsidRDefault="00000000" w:rsidP="00BE6153">
            <w:pPr>
              <w:jc w:val="center"/>
            </w:pPr>
            <w:r>
              <w:rPr>
                <w:b/>
                <w:sz w:val="18"/>
              </w:rPr>
              <w:t>60</w:t>
            </w:r>
          </w:p>
        </w:tc>
        <w:tc>
          <w:tcPr>
            <w:tcW w:w="1084" w:type="dxa"/>
            <w:tcBorders>
              <w:top w:val="single" w:sz="4" w:space="0" w:color="8EAADB"/>
              <w:left w:val="single" w:sz="4" w:space="0" w:color="8EAADB"/>
              <w:bottom w:val="single" w:sz="4" w:space="0" w:color="8EAADB"/>
              <w:right w:val="single" w:sz="4" w:space="0" w:color="8EAADB"/>
            </w:tcBorders>
            <w:shd w:val="clear" w:color="auto" w:fill="D9E2F3"/>
          </w:tcPr>
          <w:p w14:paraId="0C966DFF" w14:textId="77777777" w:rsidR="0082643C" w:rsidRDefault="00000000" w:rsidP="00BE6153">
            <w:pPr>
              <w:jc w:val="center"/>
            </w:pPr>
            <w:r>
              <w:rPr>
                <w:b/>
                <w:sz w:val="18"/>
              </w:rPr>
              <w:t>1.800</w:t>
            </w:r>
          </w:p>
        </w:tc>
      </w:tr>
    </w:tbl>
    <w:p w14:paraId="4D9BEFD2" w14:textId="77777777" w:rsidR="0082643C" w:rsidRDefault="0082643C">
      <w:pPr>
        <w:spacing w:after="120"/>
      </w:pPr>
    </w:p>
    <w:p w14:paraId="724C29FF" w14:textId="77777777" w:rsidR="0082643C" w:rsidRDefault="00000000">
      <w:pPr>
        <w:pStyle w:val="TituloCuadro"/>
        <w:keepNext/>
        <w:spacing w:before="40" w:after="80"/>
        <w:jc w:val="center"/>
      </w:pPr>
      <w:bookmarkStart w:id="140" w:name="_Toc000000336"/>
      <w:r>
        <w:rPr>
          <w:b/>
        </w:rPr>
        <w:lastRenderedPageBreak/>
        <w:t>Cuadro 8. Malla curricular, cuarto año</w:t>
      </w:r>
      <w:bookmarkEnd w:id="140"/>
    </w:p>
    <w:tbl>
      <w:tblPr>
        <w:tblW w:w="9405" w:type="dxa"/>
        <w:jc w:val="center"/>
        <w:tblLayout w:type="fixed"/>
        <w:tblLook w:val="04A0" w:firstRow="1" w:lastRow="0" w:firstColumn="1" w:lastColumn="0" w:noHBand="0" w:noVBand="1"/>
      </w:tblPr>
      <w:tblGrid>
        <w:gridCol w:w="1206"/>
        <w:gridCol w:w="3015"/>
        <w:gridCol w:w="1688"/>
        <w:gridCol w:w="784"/>
        <w:gridCol w:w="844"/>
        <w:gridCol w:w="784"/>
        <w:gridCol w:w="1084"/>
      </w:tblGrid>
      <w:tr w:rsidR="00395D6D" w14:paraId="68AD801B" w14:textId="77777777">
        <w:trPr>
          <w:tblHeader/>
          <w:jc w:val="center"/>
        </w:trPr>
        <w:tc>
          <w:tcPr>
            <w:tcW w:w="120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EF42341" w14:textId="77777777" w:rsidR="0082643C" w:rsidRDefault="00000000">
            <w:pPr>
              <w:jc w:val="center"/>
            </w:pPr>
            <w:r>
              <w:rPr>
                <w:b/>
                <w:color w:val="FFFFFF"/>
                <w:sz w:val="18"/>
              </w:rPr>
              <w:t>Sigla</w:t>
            </w:r>
          </w:p>
        </w:tc>
        <w:tc>
          <w:tcPr>
            <w:tcW w:w="301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6F96C20" w14:textId="77777777" w:rsidR="0082643C" w:rsidRDefault="00000000">
            <w:pPr>
              <w:jc w:val="center"/>
            </w:pPr>
            <w:r>
              <w:rPr>
                <w:b/>
                <w:color w:val="FFFFFF"/>
                <w:sz w:val="18"/>
              </w:rPr>
              <w:t>Asignatura</w:t>
            </w:r>
          </w:p>
        </w:tc>
        <w:tc>
          <w:tcPr>
            <w:tcW w:w="168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9B5D6AD" w14:textId="77777777" w:rsidR="0082643C" w:rsidRDefault="00000000">
            <w:pPr>
              <w:jc w:val="center"/>
            </w:pPr>
            <w:r>
              <w:rPr>
                <w:b/>
                <w:color w:val="FFFFFF"/>
                <w:sz w:val="18"/>
              </w:rPr>
              <w:t>Prerrequisito</w:t>
            </w:r>
          </w:p>
        </w:tc>
        <w:tc>
          <w:tcPr>
            <w:tcW w:w="78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FF97686" w14:textId="77777777" w:rsidR="0082643C" w:rsidRDefault="00000000">
            <w:pPr>
              <w:jc w:val="center"/>
            </w:pPr>
            <w:r>
              <w:rPr>
                <w:b/>
                <w:color w:val="FFFFFF"/>
                <w:sz w:val="18"/>
              </w:rPr>
              <w:t>Hrs. sem.</w:t>
            </w:r>
          </w:p>
        </w:tc>
        <w:tc>
          <w:tcPr>
            <w:tcW w:w="84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044DE0E" w14:textId="77777777" w:rsidR="0082643C" w:rsidRDefault="00000000">
            <w:pPr>
              <w:jc w:val="center"/>
            </w:pPr>
            <w:r>
              <w:rPr>
                <w:b/>
                <w:color w:val="FFFFFF"/>
                <w:sz w:val="18"/>
              </w:rPr>
              <w:t>Hrs. año</w:t>
            </w:r>
          </w:p>
        </w:tc>
        <w:tc>
          <w:tcPr>
            <w:tcW w:w="78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D077DB9" w14:textId="77777777" w:rsidR="0082643C" w:rsidRDefault="00000000">
            <w:pPr>
              <w:jc w:val="center"/>
            </w:pPr>
            <w:r>
              <w:rPr>
                <w:b/>
                <w:color w:val="FFFFFF"/>
                <w:sz w:val="18"/>
              </w:rPr>
              <w:t>Créd.</w:t>
            </w:r>
          </w:p>
        </w:tc>
        <w:tc>
          <w:tcPr>
            <w:tcW w:w="108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36F1CB7" w14:textId="77777777" w:rsidR="0082643C" w:rsidRDefault="00000000">
            <w:pPr>
              <w:jc w:val="center"/>
            </w:pPr>
            <w:r>
              <w:rPr>
                <w:b/>
                <w:color w:val="FFFFFF"/>
                <w:sz w:val="18"/>
              </w:rPr>
              <w:t>Hrs. trabajo</w:t>
            </w:r>
          </w:p>
        </w:tc>
      </w:tr>
      <w:tr w:rsidR="00395D6D" w14:paraId="4ADC04CB" w14:textId="77777777">
        <w:trPr>
          <w:jc w:val="center"/>
        </w:trPr>
        <w:tc>
          <w:tcPr>
            <w:tcW w:w="1206" w:type="dxa"/>
            <w:tcBorders>
              <w:top w:val="single" w:sz="4" w:space="0" w:color="8EAADB"/>
              <w:left w:val="single" w:sz="4" w:space="0" w:color="8EAADB"/>
              <w:bottom w:val="single" w:sz="4" w:space="0" w:color="8EAADB"/>
              <w:right w:val="single" w:sz="4" w:space="0" w:color="8EAADB"/>
            </w:tcBorders>
            <w:shd w:val="clear" w:color="auto" w:fill="D9E2F3"/>
          </w:tcPr>
          <w:p w14:paraId="63186DAA" w14:textId="77777777" w:rsidR="0082643C" w:rsidRDefault="00000000">
            <w:pPr>
              <w:jc w:val="center"/>
            </w:pPr>
            <w:r>
              <w:rPr>
                <w:sz w:val="18"/>
              </w:rPr>
              <w:t>CPA-401</w:t>
            </w:r>
          </w:p>
        </w:tc>
        <w:tc>
          <w:tcPr>
            <w:tcW w:w="3015" w:type="dxa"/>
            <w:tcBorders>
              <w:top w:val="single" w:sz="4" w:space="0" w:color="8EAADB"/>
              <w:left w:val="single" w:sz="4" w:space="0" w:color="8EAADB"/>
              <w:bottom w:val="single" w:sz="4" w:space="0" w:color="8EAADB"/>
              <w:right w:val="single" w:sz="4" w:space="0" w:color="8EAADB"/>
            </w:tcBorders>
            <w:shd w:val="clear" w:color="auto" w:fill="D9E2F3"/>
          </w:tcPr>
          <w:p w14:paraId="3B33F524" w14:textId="77777777" w:rsidR="0082643C" w:rsidRDefault="00000000">
            <w:pPr>
              <w:jc w:val="both"/>
            </w:pPr>
            <w:r>
              <w:rPr>
                <w:sz w:val="18"/>
              </w:rPr>
              <w:t>Contabilidad Minera y Petrolera</w:t>
            </w:r>
          </w:p>
        </w:tc>
        <w:tc>
          <w:tcPr>
            <w:tcW w:w="1688" w:type="dxa"/>
            <w:tcBorders>
              <w:top w:val="single" w:sz="4" w:space="0" w:color="8EAADB"/>
              <w:left w:val="single" w:sz="4" w:space="0" w:color="8EAADB"/>
              <w:bottom w:val="single" w:sz="4" w:space="0" w:color="8EAADB"/>
              <w:right w:val="single" w:sz="4" w:space="0" w:color="8EAADB"/>
            </w:tcBorders>
            <w:shd w:val="clear" w:color="auto" w:fill="D9E2F3"/>
          </w:tcPr>
          <w:p w14:paraId="53502C83" w14:textId="77777777" w:rsidR="0082643C" w:rsidRDefault="00000000">
            <w:pPr>
              <w:jc w:val="both"/>
            </w:pPr>
            <w:r>
              <w:rPr>
                <w:sz w:val="18"/>
              </w:rPr>
              <w:t>CPA-301, CPA-302</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45C86D8A" w14:textId="77777777" w:rsidR="0082643C" w:rsidRDefault="00000000" w:rsidP="00BE6153">
            <w:pPr>
              <w:jc w:val="center"/>
            </w:pPr>
            <w:r>
              <w:rPr>
                <w:sz w:val="18"/>
              </w:rPr>
              <w:t>4</w:t>
            </w:r>
          </w:p>
        </w:tc>
        <w:tc>
          <w:tcPr>
            <w:tcW w:w="844" w:type="dxa"/>
            <w:tcBorders>
              <w:top w:val="single" w:sz="4" w:space="0" w:color="8EAADB"/>
              <w:left w:val="single" w:sz="4" w:space="0" w:color="8EAADB"/>
              <w:bottom w:val="single" w:sz="4" w:space="0" w:color="8EAADB"/>
              <w:right w:val="single" w:sz="4" w:space="0" w:color="8EAADB"/>
            </w:tcBorders>
            <w:shd w:val="clear" w:color="auto" w:fill="D9E2F3"/>
          </w:tcPr>
          <w:p w14:paraId="351F19B4" w14:textId="77777777" w:rsidR="0082643C" w:rsidRDefault="00000000" w:rsidP="00BE6153">
            <w:pPr>
              <w:jc w:val="center"/>
            </w:pPr>
            <w:r>
              <w:rPr>
                <w:sz w:val="18"/>
              </w:rPr>
              <w:t>160</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0529EEAD" w14:textId="77777777" w:rsidR="0082643C" w:rsidRDefault="00000000" w:rsidP="00BE6153">
            <w:pPr>
              <w:jc w:val="center"/>
            </w:pPr>
            <w:r>
              <w:rPr>
                <w:sz w:val="18"/>
              </w:rPr>
              <w:t>7</w:t>
            </w:r>
          </w:p>
        </w:tc>
        <w:tc>
          <w:tcPr>
            <w:tcW w:w="1084" w:type="dxa"/>
            <w:tcBorders>
              <w:top w:val="single" w:sz="4" w:space="0" w:color="8EAADB"/>
              <w:left w:val="single" w:sz="4" w:space="0" w:color="8EAADB"/>
              <w:bottom w:val="single" w:sz="4" w:space="0" w:color="8EAADB"/>
              <w:right w:val="single" w:sz="4" w:space="0" w:color="8EAADB"/>
            </w:tcBorders>
            <w:shd w:val="clear" w:color="auto" w:fill="D9E2F3"/>
          </w:tcPr>
          <w:p w14:paraId="34B625FC" w14:textId="77777777" w:rsidR="0082643C" w:rsidRDefault="00000000" w:rsidP="00BE6153">
            <w:pPr>
              <w:jc w:val="center"/>
            </w:pPr>
            <w:r>
              <w:rPr>
                <w:sz w:val="18"/>
              </w:rPr>
              <w:t>210</w:t>
            </w:r>
          </w:p>
        </w:tc>
      </w:tr>
      <w:tr w:rsidR="00395D6D" w14:paraId="45F77536" w14:textId="77777777">
        <w:trPr>
          <w:jc w:val="center"/>
        </w:trPr>
        <w:tc>
          <w:tcPr>
            <w:tcW w:w="1206" w:type="dxa"/>
            <w:tcBorders>
              <w:top w:val="single" w:sz="4" w:space="0" w:color="8EAADB"/>
              <w:left w:val="single" w:sz="4" w:space="0" w:color="8EAADB"/>
              <w:bottom w:val="single" w:sz="4" w:space="0" w:color="8EAADB"/>
              <w:right w:val="single" w:sz="4" w:space="0" w:color="8EAADB"/>
            </w:tcBorders>
            <w:shd w:val="clear" w:color="auto" w:fill="D9E2F3"/>
          </w:tcPr>
          <w:p w14:paraId="75B0CE30" w14:textId="77777777" w:rsidR="0082643C" w:rsidRDefault="00000000">
            <w:pPr>
              <w:jc w:val="center"/>
            </w:pPr>
            <w:r>
              <w:rPr>
                <w:sz w:val="18"/>
              </w:rPr>
              <w:t>CPA-402</w:t>
            </w:r>
          </w:p>
        </w:tc>
        <w:tc>
          <w:tcPr>
            <w:tcW w:w="3015" w:type="dxa"/>
            <w:tcBorders>
              <w:top w:val="single" w:sz="4" w:space="0" w:color="8EAADB"/>
              <w:left w:val="single" w:sz="4" w:space="0" w:color="8EAADB"/>
              <w:bottom w:val="single" w:sz="4" w:space="0" w:color="8EAADB"/>
              <w:right w:val="single" w:sz="4" w:space="0" w:color="8EAADB"/>
            </w:tcBorders>
            <w:shd w:val="clear" w:color="auto" w:fill="D9E2F3"/>
          </w:tcPr>
          <w:p w14:paraId="1AE2FD9A" w14:textId="77777777" w:rsidR="0082643C" w:rsidRDefault="00000000">
            <w:pPr>
              <w:jc w:val="both"/>
            </w:pPr>
            <w:r>
              <w:rPr>
                <w:sz w:val="18"/>
              </w:rPr>
              <w:t>Contabilidad Agrícola y Ganadera</w:t>
            </w:r>
          </w:p>
        </w:tc>
        <w:tc>
          <w:tcPr>
            <w:tcW w:w="1688" w:type="dxa"/>
            <w:tcBorders>
              <w:top w:val="single" w:sz="4" w:space="0" w:color="8EAADB"/>
              <w:left w:val="single" w:sz="4" w:space="0" w:color="8EAADB"/>
              <w:bottom w:val="single" w:sz="4" w:space="0" w:color="8EAADB"/>
              <w:right w:val="single" w:sz="4" w:space="0" w:color="8EAADB"/>
            </w:tcBorders>
            <w:shd w:val="clear" w:color="auto" w:fill="D9E2F3"/>
          </w:tcPr>
          <w:p w14:paraId="1127C1A8" w14:textId="77777777" w:rsidR="0082643C" w:rsidRDefault="00000000">
            <w:pPr>
              <w:jc w:val="both"/>
            </w:pPr>
            <w:r>
              <w:rPr>
                <w:sz w:val="18"/>
              </w:rPr>
              <w:t>CPA-301, CPA-302</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3D3D1329" w14:textId="77777777" w:rsidR="0082643C" w:rsidRDefault="00000000" w:rsidP="00BE6153">
            <w:pPr>
              <w:jc w:val="center"/>
            </w:pPr>
            <w:r>
              <w:rPr>
                <w:sz w:val="18"/>
              </w:rPr>
              <w:t>4</w:t>
            </w:r>
          </w:p>
        </w:tc>
        <w:tc>
          <w:tcPr>
            <w:tcW w:w="844" w:type="dxa"/>
            <w:tcBorders>
              <w:top w:val="single" w:sz="4" w:space="0" w:color="8EAADB"/>
              <w:left w:val="single" w:sz="4" w:space="0" w:color="8EAADB"/>
              <w:bottom w:val="single" w:sz="4" w:space="0" w:color="8EAADB"/>
              <w:right w:val="single" w:sz="4" w:space="0" w:color="8EAADB"/>
            </w:tcBorders>
            <w:shd w:val="clear" w:color="auto" w:fill="D9E2F3"/>
          </w:tcPr>
          <w:p w14:paraId="6B14F085" w14:textId="77777777" w:rsidR="0082643C" w:rsidRDefault="00000000" w:rsidP="00BE6153">
            <w:pPr>
              <w:jc w:val="center"/>
            </w:pPr>
            <w:r>
              <w:rPr>
                <w:sz w:val="18"/>
              </w:rPr>
              <w:t>160</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1D5C1C59" w14:textId="77777777" w:rsidR="0082643C" w:rsidRDefault="00000000" w:rsidP="00BE6153">
            <w:pPr>
              <w:jc w:val="center"/>
            </w:pPr>
            <w:r>
              <w:rPr>
                <w:sz w:val="18"/>
              </w:rPr>
              <w:t>7</w:t>
            </w:r>
          </w:p>
        </w:tc>
        <w:tc>
          <w:tcPr>
            <w:tcW w:w="1084" w:type="dxa"/>
            <w:tcBorders>
              <w:top w:val="single" w:sz="4" w:space="0" w:color="8EAADB"/>
              <w:left w:val="single" w:sz="4" w:space="0" w:color="8EAADB"/>
              <w:bottom w:val="single" w:sz="4" w:space="0" w:color="8EAADB"/>
              <w:right w:val="single" w:sz="4" w:space="0" w:color="8EAADB"/>
            </w:tcBorders>
            <w:shd w:val="clear" w:color="auto" w:fill="D9E2F3"/>
          </w:tcPr>
          <w:p w14:paraId="71B849E3" w14:textId="77777777" w:rsidR="0082643C" w:rsidRDefault="00000000" w:rsidP="00BE6153">
            <w:pPr>
              <w:jc w:val="center"/>
            </w:pPr>
            <w:r>
              <w:rPr>
                <w:sz w:val="18"/>
              </w:rPr>
              <w:t>210</w:t>
            </w:r>
          </w:p>
        </w:tc>
      </w:tr>
      <w:tr w:rsidR="00395D6D" w14:paraId="014F1395" w14:textId="77777777">
        <w:trPr>
          <w:jc w:val="center"/>
        </w:trPr>
        <w:tc>
          <w:tcPr>
            <w:tcW w:w="1206" w:type="dxa"/>
            <w:tcBorders>
              <w:top w:val="single" w:sz="4" w:space="0" w:color="8EAADB"/>
              <w:left w:val="single" w:sz="4" w:space="0" w:color="8EAADB"/>
              <w:bottom w:val="single" w:sz="4" w:space="0" w:color="8EAADB"/>
              <w:right w:val="single" w:sz="4" w:space="0" w:color="8EAADB"/>
            </w:tcBorders>
            <w:shd w:val="clear" w:color="auto" w:fill="D9E2F3"/>
          </w:tcPr>
          <w:p w14:paraId="41587A40" w14:textId="77777777" w:rsidR="0082643C" w:rsidRDefault="00000000">
            <w:pPr>
              <w:jc w:val="center"/>
            </w:pPr>
            <w:r>
              <w:rPr>
                <w:sz w:val="18"/>
              </w:rPr>
              <w:t>CPA-403</w:t>
            </w:r>
          </w:p>
        </w:tc>
        <w:tc>
          <w:tcPr>
            <w:tcW w:w="3015" w:type="dxa"/>
            <w:tcBorders>
              <w:top w:val="single" w:sz="4" w:space="0" w:color="8EAADB"/>
              <w:left w:val="single" w:sz="4" w:space="0" w:color="8EAADB"/>
              <w:bottom w:val="single" w:sz="4" w:space="0" w:color="8EAADB"/>
              <w:right w:val="single" w:sz="4" w:space="0" w:color="8EAADB"/>
            </w:tcBorders>
            <w:shd w:val="clear" w:color="auto" w:fill="D9E2F3"/>
          </w:tcPr>
          <w:p w14:paraId="7A56B6B9" w14:textId="77777777" w:rsidR="0082643C" w:rsidRDefault="00000000">
            <w:pPr>
              <w:jc w:val="both"/>
            </w:pPr>
            <w:r>
              <w:rPr>
                <w:sz w:val="18"/>
              </w:rPr>
              <w:t>Contabilidad de Seguros: Privado y Público</w:t>
            </w:r>
          </w:p>
        </w:tc>
        <w:tc>
          <w:tcPr>
            <w:tcW w:w="1688" w:type="dxa"/>
            <w:tcBorders>
              <w:top w:val="single" w:sz="4" w:space="0" w:color="8EAADB"/>
              <w:left w:val="single" w:sz="4" w:space="0" w:color="8EAADB"/>
              <w:bottom w:val="single" w:sz="4" w:space="0" w:color="8EAADB"/>
              <w:right w:val="single" w:sz="4" w:space="0" w:color="8EAADB"/>
            </w:tcBorders>
            <w:shd w:val="clear" w:color="auto" w:fill="D9E2F3"/>
          </w:tcPr>
          <w:p w14:paraId="6BACD05D" w14:textId="77777777" w:rsidR="0082643C" w:rsidRDefault="00000000">
            <w:pPr>
              <w:jc w:val="both"/>
            </w:pPr>
            <w:r>
              <w:rPr>
                <w:sz w:val="18"/>
              </w:rPr>
              <w:t>CPA-301, CPA-302</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5FC2750C" w14:textId="77777777" w:rsidR="0082643C" w:rsidRDefault="00000000" w:rsidP="00BE6153">
            <w:pPr>
              <w:jc w:val="center"/>
            </w:pPr>
            <w:r>
              <w:rPr>
                <w:sz w:val="18"/>
              </w:rPr>
              <w:t>4</w:t>
            </w:r>
          </w:p>
        </w:tc>
        <w:tc>
          <w:tcPr>
            <w:tcW w:w="844" w:type="dxa"/>
            <w:tcBorders>
              <w:top w:val="single" w:sz="4" w:space="0" w:color="8EAADB"/>
              <w:left w:val="single" w:sz="4" w:space="0" w:color="8EAADB"/>
              <w:bottom w:val="single" w:sz="4" w:space="0" w:color="8EAADB"/>
              <w:right w:val="single" w:sz="4" w:space="0" w:color="8EAADB"/>
            </w:tcBorders>
            <w:shd w:val="clear" w:color="auto" w:fill="D9E2F3"/>
          </w:tcPr>
          <w:p w14:paraId="4211318A" w14:textId="77777777" w:rsidR="0082643C" w:rsidRDefault="00000000" w:rsidP="00BE6153">
            <w:pPr>
              <w:jc w:val="center"/>
            </w:pPr>
            <w:r>
              <w:rPr>
                <w:sz w:val="18"/>
              </w:rPr>
              <w:t>160</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28A64F5B" w14:textId="77777777" w:rsidR="0082643C" w:rsidRDefault="00000000" w:rsidP="00BE6153">
            <w:pPr>
              <w:jc w:val="center"/>
            </w:pPr>
            <w:r>
              <w:rPr>
                <w:sz w:val="18"/>
              </w:rPr>
              <w:t>7</w:t>
            </w:r>
          </w:p>
        </w:tc>
        <w:tc>
          <w:tcPr>
            <w:tcW w:w="1084" w:type="dxa"/>
            <w:tcBorders>
              <w:top w:val="single" w:sz="4" w:space="0" w:color="8EAADB"/>
              <w:left w:val="single" w:sz="4" w:space="0" w:color="8EAADB"/>
              <w:bottom w:val="single" w:sz="4" w:space="0" w:color="8EAADB"/>
              <w:right w:val="single" w:sz="4" w:space="0" w:color="8EAADB"/>
            </w:tcBorders>
            <w:shd w:val="clear" w:color="auto" w:fill="D9E2F3"/>
          </w:tcPr>
          <w:p w14:paraId="0F3F0FD5" w14:textId="77777777" w:rsidR="0082643C" w:rsidRDefault="00000000" w:rsidP="00BE6153">
            <w:pPr>
              <w:jc w:val="center"/>
            </w:pPr>
            <w:r>
              <w:rPr>
                <w:sz w:val="18"/>
              </w:rPr>
              <w:t>210</w:t>
            </w:r>
          </w:p>
        </w:tc>
      </w:tr>
      <w:tr w:rsidR="00395D6D" w14:paraId="276F6931" w14:textId="77777777">
        <w:trPr>
          <w:jc w:val="center"/>
        </w:trPr>
        <w:tc>
          <w:tcPr>
            <w:tcW w:w="1206" w:type="dxa"/>
            <w:tcBorders>
              <w:top w:val="single" w:sz="4" w:space="0" w:color="8EAADB"/>
              <w:left w:val="single" w:sz="4" w:space="0" w:color="8EAADB"/>
              <w:bottom w:val="single" w:sz="4" w:space="0" w:color="8EAADB"/>
              <w:right w:val="single" w:sz="4" w:space="0" w:color="8EAADB"/>
            </w:tcBorders>
            <w:shd w:val="clear" w:color="auto" w:fill="D9E2F3"/>
          </w:tcPr>
          <w:p w14:paraId="51AEED41" w14:textId="77777777" w:rsidR="0082643C" w:rsidRDefault="00000000">
            <w:pPr>
              <w:jc w:val="center"/>
            </w:pPr>
            <w:r>
              <w:rPr>
                <w:sz w:val="18"/>
              </w:rPr>
              <w:t>CPA-404</w:t>
            </w:r>
          </w:p>
        </w:tc>
        <w:tc>
          <w:tcPr>
            <w:tcW w:w="3015" w:type="dxa"/>
            <w:tcBorders>
              <w:top w:val="single" w:sz="4" w:space="0" w:color="8EAADB"/>
              <w:left w:val="single" w:sz="4" w:space="0" w:color="8EAADB"/>
              <w:bottom w:val="single" w:sz="4" w:space="0" w:color="8EAADB"/>
              <w:right w:val="single" w:sz="4" w:space="0" w:color="8EAADB"/>
            </w:tcBorders>
            <w:shd w:val="clear" w:color="auto" w:fill="D9E2F3"/>
          </w:tcPr>
          <w:p w14:paraId="3ED0C44F" w14:textId="77777777" w:rsidR="0082643C" w:rsidRDefault="00000000">
            <w:pPr>
              <w:jc w:val="both"/>
            </w:pPr>
            <w:r>
              <w:rPr>
                <w:sz w:val="18"/>
              </w:rPr>
              <w:t>Diseño e Implantación de Sistemas de Contabilidad</w:t>
            </w:r>
          </w:p>
        </w:tc>
        <w:tc>
          <w:tcPr>
            <w:tcW w:w="1688" w:type="dxa"/>
            <w:tcBorders>
              <w:top w:val="single" w:sz="4" w:space="0" w:color="8EAADB"/>
              <w:left w:val="single" w:sz="4" w:space="0" w:color="8EAADB"/>
              <w:bottom w:val="single" w:sz="4" w:space="0" w:color="8EAADB"/>
              <w:right w:val="single" w:sz="4" w:space="0" w:color="8EAADB"/>
            </w:tcBorders>
            <w:shd w:val="clear" w:color="auto" w:fill="D9E2F3"/>
          </w:tcPr>
          <w:p w14:paraId="6A07ED01" w14:textId="77777777" w:rsidR="0082643C" w:rsidRDefault="00000000">
            <w:pPr>
              <w:jc w:val="both"/>
            </w:pPr>
            <w:r>
              <w:rPr>
                <w:sz w:val="18"/>
              </w:rPr>
              <w:t>CPA-301 a CPA-305</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4D1C2531" w14:textId="77777777" w:rsidR="0082643C" w:rsidRDefault="00000000" w:rsidP="00BE6153">
            <w:pPr>
              <w:jc w:val="center"/>
            </w:pPr>
            <w:r>
              <w:rPr>
                <w:sz w:val="18"/>
              </w:rPr>
              <w:t>4</w:t>
            </w:r>
          </w:p>
        </w:tc>
        <w:tc>
          <w:tcPr>
            <w:tcW w:w="844" w:type="dxa"/>
            <w:tcBorders>
              <w:top w:val="single" w:sz="4" w:space="0" w:color="8EAADB"/>
              <w:left w:val="single" w:sz="4" w:space="0" w:color="8EAADB"/>
              <w:bottom w:val="single" w:sz="4" w:space="0" w:color="8EAADB"/>
              <w:right w:val="single" w:sz="4" w:space="0" w:color="8EAADB"/>
            </w:tcBorders>
            <w:shd w:val="clear" w:color="auto" w:fill="D9E2F3"/>
          </w:tcPr>
          <w:p w14:paraId="4BCB9CDF" w14:textId="77777777" w:rsidR="0082643C" w:rsidRDefault="00000000" w:rsidP="00BE6153">
            <w:pPr>
              <w:jc w:val="center"/>
            </w:pPr>
            <w:r>
              <w:rPr>
                <w:sz w:val="18"/>
              </w:rPr>
              <w:t>160</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5D4DE935" w14:textId="77777777" w:rsidR="0082643C" w:rsidRDefault="00000000" w:rsidP="00BE6153">
            <w:pPr>
              <w:jc w:val="center"/>
            </w:pPr>
            <w:r>
              <w:rPr>
                <w:sz w:val="18"/>
              </w:rPr>
              <w:t>7</w:t>
            </w:r>
          </w:p>
        </w:tc>
        <w:tc>
          <w:tcPr>
            <w:tcW w:w="1084" w:type="dxa"/>
            <w:tcBorders>
              <w:top w:val="single" w:sz="4" w:space="0" w:color="8EAADB"/>
              <w:left w:val="single" w:sz="4" w:space="0" w:color="8EAADB"/>
              <w:bottom w:val="single" w:sz="4" w:space="0" w:color="8EAADB"/>
              <w:right w:val="single" w:sz="4" w:space="0" w:color="8EAADB"/>
            </w:tcBorders>
            <w:shd w:val="clear" w:color="auto" w:fill="D9E2F3"/>
          </w:tcPr>
          <w:p w14:paraId="10F87A10" w14:textId="77777777" w:rsidR="0082643C" w:rsidRDefault="00000000" w:rsidP="00BE6153">
            <w:pPr>
              <w:jc w:val="center"/>
            </w:pPr>
            <w:r>
              <w:rPr>
                <w:sz w:val="18"/>
              </w:rPr>
              <w:t>210</w:t>
            </w:r>
          </w:p>
        </w:tc>
      </w:tr>
      <w:tr w:rsidR="00395D6D" w14:paraId="253E85C6" w14:textId="77777777">
        <w:trPr>
          <w:jc w:val="center"/>
        </w:trPr>
        <w:tc>
          <w:tcPr>
            <w:tcW w:w="1206" w:type="dxa"/>
            <w:tcBorders>
              <w:top w:val="single" w:sz="4" w:space="0" w:color="8EAADB"/>
              <w:left w:val="single" w:sz="4" w:space="0" w:color="8EAADB"/>
              <w:bottom w:val="single" w:sz="4" w:space="0" w:color="8EAADB"/>
              <w:right w:val="single" w:sz="4" w:space="0" w:color="8EAADB"/>
            </w:tcBorders>
            <w:shd w:val="clear" w:color="auto" w:fill="D9E2F3"/>
          </w:tcPr>
          <w:p w14:paraId="78234B2C" w14:textId="77777777" w:rsidR="0082643C" w:rsidRDefault="00000000">
            <w:pPr>
              <w:jc w:val="center"/>
            </w:pPr>
            <w:r>
              <w:rPr>
                <w:sz w:val="18"/>
              </w:rPr>
              <w:t>CPA-405</w:t>
            </w:r>
          </w:p>
        </w:tc>
        <w:tc>
          <w:tcPr>
            <w:tcW w:w="3015" w:type="dxa"/>
            <w:tcBorders>
              <w:top w:val="single" w:sz="4" w:space="0" w:color="8EAADB"/>
              <w:left w:val="single" w:sz="4" w:space="0" w:color="8EAADB"/>
              <w:bottom w:val="single" w:sz="4" w:space="0" w:color="8EAADB"/>
              <w:right w:val="single" w:sz="4" w:space="0" w:color="8EAADB"/>
            </w:tcBorders>
            <w:shd w:val="clear" w:color="auto" w:fill="D9E2F3"/>
          </w:tcPr>
          <w:p w14:paraId="7D07D709" w14:textId="77777777" w:rsidR="0082643C" w:rsidRDefault="00000000">
            <w:pPr>
              <w:jc w:val="both"/>
            </w:pPr>
            <w:r>
              <w:rPr>
                <w:sz w:val="18"/>
              </w:rPr>
              <w:t>Finanzas Corporativas</w:t>
            </w:r>
          </w:p>
        </w:tc>
        <w:tc>
          <w:tcPr>
            <w:tcW w:w="1688" w:type="dxa"/>
            <w:tcBorders>
              <w:top w:val="single" w:sz="4" w:space="0" w:color="8EAADB"/>
              <w:left w:val="single" w:sz="4" w:space="0" w:color="8EAADB"/>
              <w:bottom w:val="single" w:sz="4" w:space="0" w:color="8EAADB"/>
              <w:right w:val="single" w:sz="4" w:space="0" w:color="8EAADB"/>
            </w:tcBorders>
            <w:shd w:val="clear" w:color="auto" w:fill="D9E2F3"/>
          </w:tcPr>
          <w:p w14:paraId="30D15E72" w14:textId="77777777" w:rsidR="0082643C" w:rsidRDefault="00000000">
            <w:pPr>
              <w:jc w:val="both"/>
            </w:pPr>
            <w:r>
              <w:rPr>
                <w:sz w:val="18"/>
              </w:rPr>
              <w:t>CPA-301 a CPA-304</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6B20FDB9" w14:textId="77777777" w:rsidR="0082643C" w:rsidRDefault="00000000" w:rsidP="00BE6153">
            <w:pPr>
              <w:jc w:val="center"/>
            </w:pPr>
            <w:r>
              <w:rPr>
                <w:sz w:val="18"/>
              </w:rPr>
              <w:t>4</w:t>
            </w:r>
          </w:p>
        </w:tc>
        <w:tc>
          <w:tcPr>
            <w:tcW w:w="844" w:type="dxa"/>
            <w:tcBorders>
              <w:top w:val="single" w:sz="4" w:space="0" w:color="8EAADB"/>
              <w:left w:val="single" w:sz="4" w:space="0" w:color="8EAADB"/>
              <w:bottom w:val="single" w:sz="4" w:space="0" w:color="8EAADB"/>
              <w:right w:val="single" w:sz="4" w:space="0" w:color="8EAADB"/>
            </w:tcBorders>
            <w:shd w:val="clear" w:color="auto" w:fill="D9E2F3"/>
          </w:tcPr>
          <w:p w14:paraId="6BB298E4" w14:textId="77777777" w:rsidR="0082643C" w:rsidRDefault="00000000" w:rsidP="00BE6153">
            <w:pPr>
              <w:jc w:val="center"/>
            </w:pPr>
            <w:r>
              <w:rPr>
                <w:sz w:val="18"/>
              </w:rPr>
              <w:t>160</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3DA0583E" w14:textId="77777777" w:rsidR="0082643C" w:rsidRDefault="00000000" w:rsidP="00BE6153">
            <w:pPr>
              <w:jc w:val="center"/>
            </w:pPr>
            <w:r>
              <w:rPr>
                <w:sz w:val="18"/>
              </w:rPr>
              <w:t>7</w:t>
            </w:r>
          </w:p>
        </w:tc>
        <w:tc>
          <w:tcPr>
            <w:tcW w:w="1084" w:type="dxa"/>
            <w:tcBorders>
              <w:top w:val="single" w:sz="4" w:space="0" w:color="8EAADB"/>
              <w:left w:val="single" w:sz="4" w:space="0" w:color="8EAADB"/>
              <w:bottom w:val="single" w:sz="4" w:space="0" w:color="8EAADB"/>
              <w:right w:val="single" w:sz="4" w:space="0" w:color="8EAADB"/>
            </w:tcBorders>
            <w:shd w:val="clear" w:color="auto" w:fill="D9E2F3"/>
          </w:tcPr>
          <w:p w14:paraId="4B660E47" w14:textId="77777777" w:rsidR="0082643C" w:rsidRDefault="00000000" w:rsidP="00BE6153">
            <w:pPr>
              <w:jc w:val="center"/>
            </w:pPr>
            <w:r>
              <w:rPr>
                <w:sz w:val="18"/>
              </w:rPr>
              <w:t>210</w:t>
            </w:r>
          </w:p>
        </w:tc>
      </w:tr>
      <w:tr w:rsidR="00395D6D" w14:paraId="7D263CB5" w14:textId="77777777">
        <w:trPr>
          <w:jc w:val="center"/>
        </w:trPr>
        <w:tc>
          <w:tcPr>
            <w:tcW w:w="1206" w:type="dxa"/>
            <w:tcBorders>
              <w:top w:val="single" w:sz="4" w:space="0" w:color="8EAADB"/>
              <w:left w:val="single" w:sz="4" w:space="0" w:color="8EAADB"/>
              <w:bottom w:val="single" w:sz="4" w:space="0" w:color="8EAADB"/>
              <w:right w:val="single" w:sz="4" w:space="0" w:color="8EAADB"/>
            </w:tcBorders>
            <w:shd w:val="clear" w:color="auto" w:fill="D9E2F3"/>
          </w:tcPr>
          <w:p w14:paraId="6A9EB772" w14:textId="77777777" w:rsidR="0082643C" w:rsidRDefault="00000000">
            <w:pPr>
              <w:jc w:val="center"/>
            </w:pPr>
            <w:r>
              <w:rPr>
                <w:sz w:val="18"/>
              </w:rPr>
              <w:t>CPA-406</w:t>
            </w:r>
          </w:p>
        </w:tc>
        <w:tc>
          <w:tcPr>
            <w:tcW w:w="3015" w:type="dxa"/>
            <w:tcBorders>
              <w:top w:val="single" w:sz="4" w:space="0" w:color="8EAADB"/>
              <w:left w:val="single" w:sz="4" w:space="0" w:color="8EAADB"/>
              <w:bottom w:val="single" w:sz="4" w:space="0" w:color="8EAADB"/>
              <w:right w:val="single" w:sz="4" w:space="0" w:color="8EAADB"/>
            </w:tcBorders>
            <w:shd w:val="clear" w:color="auto" w:fill="D9E2F3"/>
          </w:tcPr>
          <w:p w14:paraId="65F08B4B" w14:textId="77777777" w:rsidR="0082643C" w:rsidRDefault="00000000">
            <w:pPr>
              <w:jc w:val="both"/>
            </w:pPr>
            <w:r>
              <w:rPr>
                <w:sz w:val="18"/>
              </w:rPr>
              <w:t>Ética e Independencia Profesional</w:t>
            </w:r>
          </w:p>
        </w:tc>
        <w:tc>
          <w:tcPr>
            <w:tcW w:w="1688" w:type="dxa"/>
            <w:tcBorders>
              <w:top w:val="single" w:sz="4" w:space="0" w:color="8EAADB"/>
              <w:left w:val="single" w:sz="4" w:space="0" w:color="8EAADB"/>
              <w:bottom w:val="single" w:sz="4" w:space="0" w:color="8EAADB"/>
              <w:right w:val="single" w:sz="4" w:space="0" w:color="8EAADB"/>
            </w:tcBorders>
            <w:shd w:val="clear" w:color="auto" w:fill="D9E2F3"/>
          </w:tcPr>
          <w:p w14:paraId="581CB840" w14:textId="77777777" w:rsidR="0082643C" w:rsidRDefault="00000000">
            <w:pPr>
              <w:jc w:val="both"/>
            </w:pPr>
            <w:r>
              <w:rPr>
                <w:sz w:val="18"/>
              </w:rPr>
              <w:t>CPA-301 a CPA-304</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60D560B1" w14:textId="77777777" w:rsidR="0082643C" w:rsidRDefault="00000000" w:rsidP="00BE6153">
            <w:pPr>
              <w:jc w:val="center"/>
            </w:pPr>
            <w:r>
              <w:rPr>
                <w:sz w:val="18"/>
              </w:rPr>
              <w:t>2</w:t>
            </w:r>
          </w:p>
        </w:tc>
        <w:tc>
          <w:tcPr>
            <w:tcW w:w="844" w:type="dxa"/>
            <w:tcBorders>
              <w:top w:val="single" w:sz="4" w:space="0" w:color="8EAADB"/>
              <w:left w:val="single" w:sz="4" w:space="0" w:color="8EAADB"/>
              <w:bottom w:val="single" w:sz="4" w:space="0" w:color="8EAADB"/>
              <w:right w:val="single" w:sz="4" w:space="0" w:color="8EAADB"/>
            </w:tcBorders>
            <w:shd w:val="clear" w:color="auto" w:fill="D9E2F3"/>
          </w:tcPr>
          <w:p w14:paraId="74EB4049" w14:textId="77777777" w:rsidR="0082643C" w:rsidRDefault="00000000" w:rsidP="00BE6153">
            <w:pPr>
              <w:jc w:val="center"/>
            </w:pPr>
            <w:r>
              <w:rPr>
                <w:sz w:val="18"/>
              </w:rPr>
              <w:t>80</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000E367F" w14:textId="77777777" w:rsidR="0082643C" w:rsidRDefault="00000000" w:rsidP="00BE6153">
            <w:pPr>
              <w:jc w:val="center"/>
            </w:pPr>
            <w:r>
              <w:rPr>
                <w:sz w:val="18"/>
              </w:rPr>
              <w:t>5</w:t>
            </w:r>
          </w:p>
        </w:tc>
        <w:tc>
          <w:tcPr>
            <w:tcW w:w="1084" w:type="dxa"/>
            <w:tcBorders>
              <w:top w:val="single" w:sz="4" w:space="0" w:color="8EAADB"/>
              <w:left w:val="single" w:sz="4" w:space="0" w:color="8EAADB"/>
              <w:bottom w:val="single" w:sz="4" w:space="0" w:color="8EAADB"/>
              <w:right w:val="single" w:sz="4" w:space="0" w:color="8EAADB"/>
            </w:tcBorders>
            <w:shd w:val="clear" w:color="auto" w:fill="D9E2F3"/>
          </w:tcPr>
          <w:p w14:paraId="3C4D50EC" w14:textId="77777777" w:rsidR="0082643C" w:rsidRDefault="00000000" w:rsidP="00BE6153">
            <w:pPr>
              <w:jc w:val="center"/>
            </w:pPr>
            <w:r>
              <w:rPr>
                <w:sz w:val="18"/>
              </w:rPr>
              <w:t>150</w:t>
            </w:r>
          </w:p>
        </w:tc>
      </w:tr>
      <w:tr w:rsidR="00395D6D" w14:paraId="2A385759" w14:textId="77777777">
        <w:trPr>
          <w:jc w:val="center"/>
        </w:trPr>
        <w:tc>
          <w:tcPr>
            <w:tcW w:w="1206" w:type="dxa"/>
            <w:tcBorders>
              <w:top w:val="single" w:sz="4" w:space="0" w:color="8EAADB"/>
              <w:left w:val="single" w:sz="4" w:space="0" w:color="8EAADB"/>
              <w:bottom w:val="single" w:sz="4" w:space="0" w:color="8EAADB"/>
              <w:right w:val="single" w:sz="4" w:space="0" w:color="8EAADB"/>
            </w:tcBorders>
            <w:shd w:val="clear" w:color="auto" w:fill="D9E2F3"/>
          </w:tcPr>
          <w:p w14:paraId="3EF3E477" w14:textId="77777777" w:rsidR="0082643C" w:rsidRDefault="00000000">
            <w:pPr>
              <w:jc w:val="center"/>
            </w:pPr>
            <w:r>
              <w:rPr>
                <w:sz w:val="18"/>
              </w:rPr>
              <w:t>CPA-407</w:t>
            </w:r>
          </w:p>
        </w:tc>
        <w:tc>
          <w:tcPr>
            <w:tcW w:w="3015" w:type="dxa"/>
            <w:tcBorders>
              <w:top w:val="single" w:sz="4" w:space="0" w:color="8EAADB"/>
              <w:left w:val="single" w:sz="4" w:space="0" w:color="8EAADB"/>
              <w:bottom w:val="single" w:sz="4" w:space="0" w:color="8EAADB"/>
              <w:right w:val="single" w:sz="4" w:space="0" w:color="8EAADB"/>
            </w:tcBorders>
            <w:shd w:val="clear" w:color="auto" w:fill="D9E2F3"/>
          </w:tcPr>
          <w:p w14:paraId="2D9074AF" w14:textId="77777777" w:rsidR="0082643C" w:rsidRDefault="00000000">
            <w:pPr>
              <w:jc w:val="both"/>
            </w:pPr>
            <w:r>
              <w:rPr>
                <w:sz w:val="18"/>
              </w:rPr>
              <w:t>Auditoría Financiera</w:t>
            </w:r>
          </w:p>
        </w:tc>
        <w:tc>
          <w:tcPr>
            <w:tcW w:w="1688" w:type="dxa"/>
            <w:tcBorders>
              <w:top w:val="single" w:sz="4" w:space="0" w:color="8EAADB"/>
              <w:left w:val="single" w:sz="4" w:space="0" w:color="8EAADB"/>
              <w:bottom w:val="single" w:sz="4" w:space="0" w:color="8EAADB"/>
              <w:right w:val="single" w:sz="4" w:space="0" w:color="8EAADB"/>
            </w:tcBorders>
            <w:shd w:val="clear" w:color="auto" w:fill="D9E2F3"/>
          </w:tcPr>
          <w:p w14:paraId="19D9340B" w14:textId="77777777" w:rsidR="0082643C" w:rsidRDefault="00000000">
            <w:pPr>
              <w:jc w:val="both"/>
            </w:pPr>
            <w:r>
              <w:rPr>
                <w:sz w:val="18"/>
              </w:rPr>
              <w:t>CPA-301 a CPA-304</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3CAE5500" w14:textId="77777777" w:rsidR="0082643C" w:rsidRDefault="00000000" w:rsidP="00BE6153">
            <w:pPr>
              <w:jc w:val="center"/>
            </w:pPr>
            <w:r>
              <w:rPr>
                <w:sz w:val="18"/>
              </w:rPr>
              <w:t>4</w:t>
            </w:r>
          </w:p>
        </w:tc>
        <w:tc>
          <w:tcPr>
            <w:tcW w:w="844" w:type="dxa"/>
            <w:tcBorders>
              <w:top w:val="single" w:sz="4" w:space="0" w:color="8EAADB"/>
              <w:left w:val="single" w:sz="4" w:space="0" w:color="8EAADB"/>
              <w:bottom w:val="single" w:sz="4" w:space="0" w:color="8EAADB"/>
              <w:right w:val="single" w:sz="4" w:space="0" w:color="8EAADB"/>
            </w:tcBorders>
            <w:shd w:val="clear" w:color="auto" w:fill="D9E2F3"/>
          </w:tcPr>
          <w:p w14:paraId="06FFB406" w14:textId="77777777" w:rsidR="0082643C" w:rsidRDefault="00000000" w:rsidP="00BE6153">
            <w:pPr>
              <w:jc w:val="center"/>
            </w:pPr>
            <w:r>
              <w:rPr>
                <w:sz w:val="18"/>
              </w:rPr>
              <w:t>160</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1AAA078C" w14:textId="77777777" w:rsidR="0082643C" w:rsidRDefault="00000000" w:rsidP="00BE6153">
            <w:pPr>
              <w:jc w:val="center"/>
            </w:pPr>
            <w:r>
              <w:rPr>
                <w:sz w:val="18"/>
              </w:rPr>
              <w:t>8</w:t>
            </w:r>
          </w:p>
        </w:tc>
        <w:tc>
          <w:tcPr>
            <w:tcW w:w="1084" w:type="dxa"/>
            <w:tcBorders>
              <w:top w:val="single" w:sz="4" w:space="0" w:color="8EAADB"/>
              <w:left w:val="single" w:sz="4" w:space="0" w:color="8EAADB"/>
              <w:bottom w:val="single" w:sz="4" w:space="0" w:color="8EAADB"/>
              <w:right w:val="single" w:sz="4" w:space="0" w:color="8EAADB"/>
            </w:tcBorders>
            <w:shd w:val="clear" w:color="auto" w:fill="D9E2F3"/>
          </w:tcPr>
          <w:p w14:paraId="07F056A3" w14:textId="77777777" w:rsidR="0082643C" w:rsidRDefault="00000000" w:rsidP="00BE6153">
            <w:pPr>
              <w:jc w:val="center"/>
            </w:pPr>
            <w:r>
              <w:rPr>
                <w:sz w:val="18"/>
              </w:rPr>
              <w:t>240</w:t>
            </w:r>
          </w:p>
        </w:tc>
      </w:tr>
      <w:tr w:rsidR="00395D6D" w14:paraId="1FA1402A" w14:textId="77777777">
        <w:trPr>
          <w:jc w:val="center"/>
        </w:trPr>
        <w:tc>
          <w:tcPr>
            <w:tcW w:w="1206" w:type="dxa"/>
            <w:tcBorders>
              <w:top w:val="single" w:sz="4" w:space="0" w:color="8EAADB"/>
              <w:left w:val="single" w:sz="4" w:space="0" w:color="8EAADB"/>
              <w:bottom w:val="single" w:sz="4" w:space="0" w:color="8EAADB"/>
              <w:right w:val="single" w:sz="4" w:space="0" w:color="8EAADB"/>
            </w:tcBorders>
            <w:shd w:val="clear" w:color="auto" w:fill="D9E2F3"/>
          </w:tcPr>
          <w:p w14:paraId="4E7BCAA5" w14:textId="77777777" w:rsidR="0082643C" w:rsidRDefault="00000000">
            <w:pPr>
              <w:jc w:val="center"/>
            </w:pPr>
            <w:r>
              <w:rPr>
                <w:sz w:val="18"/>
              </w:rPr>
              <w:t>CPA-408</w:t>
            </w:r>
          </w:p>
        </w:tc>
        <w:tc>
          <w:tcPr>
            <w:tcW w:w="3015" w:type="dxa"/>
            <w:tcBorders>
              <w:top w:val="single" w:sz="4" w:space="0" w:color="8EAADB"/>
              <w:left w:val="single" w:sz="4" w:space="0" w:color="8EAADB"/>
              <w:bottom w:val="single" w:sz="4" w:space="0" w:color="8EAADB"/>
              <w:right w:val="single" w:sz="4" w:space="0" w:color="8EAADB"/>
            </w:tcBorders>
            <w:shd w:val="clear" w:color="auto" w:fill="D9E2F3"/>
          </w:tcPr>
          <w:p w14:paraId="7E1A098F" w14:textId="77777777" w:rsidR="0082643C" w:rsidRDefault="00000000">
            <w:pPr>
              <w:jc w:val="both"/>
            </w:pPr>
            <w:r>
              <w:rPr>
                <w:sz w:val="18"/>
              </w:rPr>
              <w:t>Auditoría Interna, Control Interno, Gestión de Riesgos y Gobierno Corporativo</w:t>
            </w:r>
          </w:p>
        </w:tc>
        <w:tc>
          <w:tcPr>
            <w:tcW w:w="1688" w:type="dxa"/>
            <w:tcBorders>
              <w:top w:val="single" w:sz="4" w:space="0" w:color="8EAADB"/>
              <w:left w:val="single" w:sz="4" w:space="0" w:color="8EAADB"/>
              <w:bottom w:val="single" w:sz="4" w:space="0" w:color="8EAADB"/>
              <w:right w:val="single" w:sz="4" w:space="0" w:color="8EAADB"/>
            </w:tcBorders>
            <w:shd w:val="clear" w:color="auto" w:fill="D9E2F3"/>
          </w:tcPr>
          <w:p w14:paraId="47EDA930" w14:textId="77777777" w:rsidR="0082643C" w:rsidRDefault="00000000">
            <w:pPr>
              <w:jc w:val="both"/>
            </w:pPr>
            <w:r>
              <w:rPr>
                <w:sz w:val="18"/>
              </w:rPr>
              <w:t>CPA-301 a CPA-304</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03806232" w14:textId="77777777" w:rsidR="0082643C" w:rsidRDefault="00000000" w:rsidP="00BE6153">
            <w:pPr>
              <w:jc w:val="center"/>
            </w:pPr>
            <w:r>
              <w:rPr>
                <w:sz w:val="18"/>
              </w:rPr>
              <w:t>4</w:t>
            </w:r>
          </w:p>
        </w:tc>
        <w:tc>
          <w:tcPr>
            <w:tcW w:w="844" w:type="dxa"/>
            <w:tcBorders>
              <w:top w:val="single" w:sz="4" w:space="0" w:color="8EAADB"/>
              <w:left w:val="single" w:sz="4" w:space="0" w:color="8EAADB"/>
              <w:bottom w:val="single" w:sz="4" w:space="0" w:color="8EAADB"/>
              <w:right w:val="single" w:sz="4" w:space="0" w:color="8EAADB"/>
            </w:tcBorders>
            <w:shd w:val="clear" w:color="auto" w:fill="D9E2F3"/>
          </w:tcPr>
          <w:p w14:paraId="6F43BDC7" w14:textId="77777777" w:rsidR="0082643C" w:rsidRDefault="00000000" w:rsidP="00BE6153">
            <w:pPr>
              <w:jc w:val="center"/>
            </w:pPr>
            <w:r>
              <w:rPr>
                <w:sz w:val="18"/>
              </w:rPr>
              <w:t>160</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14D45C2E" w14:textId="77777777" w:rsidR="0082643C" w:rsidRDefault="00000000" w:rsidP="00BE6153">
            <w:pPr>
              <w:jc w:val="center"/>
            </w:pPr>
            <w:r>
              <w:rPr>
                <w:sz w:val="18"/>
              </w:rPr>
              <w:t>8</w:t>
            </w:r>
          </w:p>
        </w:tc>
        <w:tc>
          <w:tcPr>
            <w:tcW w:w="1084" w:type="dxa"/>
            <w:tcBorders>
              <w:top w:val="single" w:sz="4" w:space="0" w:color="8EAADB"/>
              <w:left w:val="single" w:sz="4" w:space="0" w:color="8EAADB"/>
              <w:bottom w:val="single" w:sz="4" w:space="0" w:color="8EAADB"/>
              <w:right w:val="single" w:sz="4" w:space="0" w:color="8EAADB"/>
            </w:tcBorders>
            <w:shd w:val="clear" w:color="auto" w:fill="D9E2F3"/>
          </w:tcPr>
          <w:p w14:paraId="31E0FEF1" w14:textId="77777777" w:rsidR="0082643C" w:rsidRDefault="00000000" w:rsidP="00BE6153">
            <w:pPr>
              <w:jc w:val="center"/>
            </w:pPr>
            <w:r>
              <w:rPr>
                <w:sz w:val="18"/>
              </w:rPr>
              <w:t>240</w:t>
            </w:r>
          </w:p>
        </w:tc>
      </w:tr>
      <w:tr w:rsidR="00395D6D" w14:paraId="576FF6D5" w14:textId="77777777">
        <w:trPr>
          <w:jc w:val="center"/>
        </w:trPr>
        <w:tc>
          <w:tcPr>
            <w:tcW w:w="1206" w:type="dxa"/>
            <w:tcBorders>
              <w:top w:val="single" w:sz="4" w:space="0" w:color="8EAADB"/>
              <w:left w:val="single" w:sz="4" w:space="0" w:color="8EAADB"/>
              <w:bottom w:val="single" w:sz="4" w:space="0" w:color="8EAADB"/>
              <w:right w:val="single" w:sz="4" w:space="0" w:color="8EAADB"/>
            </w:tcBorders>
            <w:shd w:val="clear" w:color="auto" w:fill="D9E2F3"/>
          </w:tcPr>
          <w:p w14:paraId="08275238" w14:textId="77777777" w:rsidR="0082643C" w:rsidRDefault="00000000">
            <w:pPr>
              <w:jc w:val="center"/>
            </w:pPr>
            <w:r>
              <w:rPr>
                <w:sz w:val="18"/>
              </w:rPr>
              <w:t>MAT-401</w:t>
            </w:r>
          </w:p>
        </w:tc>
        <w:tc>
          <w:tcPr>
            <w:tcW w:w="3015" w:type="dxa"/>
            <w:tcBorders>
              <w:top w:val="single" w:sz="4" w:space="0" w:color="8EAADB"/>
              <w:left w:val="single" w:sz="4" w:space="0" w:color="8EAADB"/>
              <w:bottom w:val="single" w:sz="4" w:space="0" w:color="8EAADB"/>
              <w:right w:val="single" w:sz="4" w:space="0" w:color="8EAADB"/>
            </w:tcBorders>
            <w:shd w:val="clear" w:color="auto" w:fill="D9E2F3"/>
          </w:tcPr>
          <w:p w14:paraId="6789E258" w14:textId="77777777" w:rsidR="0082643C" w:rsidRDefault="00000000">
            <w:pPr>
              <w:jc w:val="both"/>
            </w:pPr>
            <w:r>
              <w:rPr>
                <w:sz w:val="18"/>
              </w:rPr>
              <w:t>Matemáticas Actuariales y Técnicas Financieras</w:t>
            </w:r>
          </w:p>
        </w:tc>
        <w:tc>
          <w:tcPr>
            <w:tcW w:w="1688" w:type="dxa"/>
            <w:tcBorders>
              <w:top w:val="single" w:sz="4" w:space="0" w:color="8EAADB"/>
              <w:left w:val="single" w:sz="4" w:space="0" w:color="8EAADB"/>
              <w:bottom w:val="single" w:sz="4" w:space="0" w:color="8EAADB"/>
              <w:right w:val="single" w:sz="4" w:space="0" w:color="8EAADB"/>
            </w:tcBorders>
            <w:shd w:val="clear" w:color="auto" w:fill="D9E2F3"/>
          </w:tcPr>
          <w:p w14:paraId="2FBD260F" w14:textId="77777777" w:rsidR="0082643C" w:rsidRDefault="00000000">
            <w:pPr>
              <w:jc w:val="both"/>
            </w:pPr>
            <w:r>
              <w:rPr>
                <w:sz w:val="18"/>
              </w:rPr>
              <w:t>MAT-102, MAT-301</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0669C9FF" w14:textId="77777777" w:rsidR="0082643C" w:rsidRDefault="00000000" w:rsidP="00BE6153">
            <w:pPr>
              <w:jc w:val="center"/>
            </w:pPr>
            <w:r>
              <w:rPr>
                <w:sz w:val="18"/>
              </w:rPr>
              <w:t>2</w:t>
            </w:r>
          </w:p>
        </w:tc>
        <w:tc>
          <w:tcPr>
            <w:tcW w:w="844" w:type="dxa"/>
            <w:tcBorders>
              <w:top w:val="single" w:sz="4" w:space="0" w:color="8EAADB"/>
              <w:left w:val="single" w:sz="4" w:space="0" w:color="8EAADB"/>
              <w:bottom w:val="single" w:sz="4" w:space="0" w:color="8EAADB"/>
              <w:right w:val="single" w:sz="4" w:space="0" w:color="8EAADB"/>
            </w:tcBorders>
            <w:shd w:val="clear" w:color="auto" w:fill="D9E2F3"/>
          </w:tcPr>
          <w:p w14:paraId="2376E620" w14:textId="77777777" w:rsidR="0082643C" w:rsidRDefault="00000000" w:rsidP="00BE6153">
            <w:pPr>
              <w:jc w:val="center"/>
            </w:pPr>
            <w:r>
              <w:rPr>
                <w:sz w:val="18"/>
              </w:rPr>
              <w:t>80</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23670CBA" w14:textId="77777777" w:rsidR="0082643C" w:rsidRDefault="00000000" w:rsidP="00BE6153">
            <w:pPr>
              <w:jc w:val="center"/>
            </w:pPr>
            <w:r>
              <w:rPr>
                <w:sz w:val="18"/>
              </w:rPr>
              <w:t>4</w:t>
            </w:r>
          </w:p>
        </w:tc>
        <w:tc>
          <w:tcPr>
            <w:tcW w:w="1084" w:type="dxa"/>
            <w:tcBorders>
              <w:top w:val="single" w:sz="4" w:space="0" w:color="8EAADB"/>
              <w:left w:val="single" w:sz="4" w:space="0" w:color="8EAADB"/>
              <w:bottom w:val="single" w:sz="4" w:space="0" w:color="8EAADB"/>
              <w:right w:val="single" w:sz="4" w:space="0" w:color="8EAADB"/>
            </w:tcBorders>
            <w:shd w:val="clear" w:color="auto" w:fill="D9E2F3"/>
          </w:tcPr>
          <w:p w14:paraId="436010C4" w14:textId="77777777" w:rsidR="0082643C" w:rsidRDefault="00000000" w:rsidP="00BE6153">
            <w:pPr>
              <w:jc w:val="center"/>
            </w:pPr>
            <w:r>
              <w:rPr>
                <w:sz w:val="18"/>
              </w:rPr>
              <w:t>120</w:t>
            </w:r>
          </w:p>
        </w:tc>
      </w:tr>
      <w:tr w:rsidR="00395D6D" w14:paraId="40C0CC6F" w14:textId="77777777">
        <w:trPr>
          <w:jc w:val="center"/>
        </w:trPr>
        <w:tc>
          <w:tcPr>
            <w:tcW w:w="1206" w:type="dxa"/>
            <w:tcBorders>
              <w:top w:val="single" w:sz="4" w:space="0" w:color="8EAADB"/>
              <w:left w:val="single" w:sz="4" w:space="0" w:color="8EAADB"/>
              <w:bottom w:val="single" w:sz="4" w:space="0" w:color="8EAADB"/>
              <w:right w:val="single" w:sz="4" w:space="0" w:color="8EAADB"/>
            </w:tcBorders>
            <w:shd w:val="clear" w:color="auto" w:fill="D9E2F3"/>
          </w:tcPr>
          <w:p w14:paraId="7D5D3C17" w14:textId="77777777" w:rsidR="0082643C" w:rsidRDefault="0082643C"/>
        </w:tc>
        <w:tc>
          <w:tcPr>
            <w:tcW w:w="3015" w:type="dxa"/>
            <w:tcBorders>
              <w:top w:val="single" w:sz="4" w:space="0" w:color="8EAADB"/>
              <w:left w:val="single" w:sz="4" w:space="0" w:color="8EAADB"/>
              <w:bottom w:val="single" w:sz="4" w:space="0" w:color="8EAADB"/>
              <w:right w:val="single" w:sz="4" w:space="0" w:color="8EAADB"/>
            </w:tcBorders>
            <w:shd w:val="clear" w:color="auto" w:fill="D9E2F3"/>
          </w:tcPr>
          <w:p w14:paraId="7CD74213" w14:textId="77777777" w:rsidR="0082643C" w:rsidRDefault="00000000">
            <w:pPr>
              <w:jc w:val="center"/>
            </w:pPr>
            <w:r>
              <w:rPr>
                <w:b/>
                <w:sz w:val="18"/>
              </w:rPr>
              <w:t>Total cuarto año</w:t>
            </w:r>
          </w:p>
        </w:tc>
        <w:tc>
          <w:tcPr>
            <w:tcW w:w="1688" w:type="dxa"/>
            <w:tcBorders>
              <w:top w:val="single" w:sz="4" w:space="0" w:color="8EAADB"/>
              <w:left w:val="single" w:sz="4" w:space="0" w:color="8EAADB"/>
              <w:bottom w:val="single" w:sz="4" w:space="0" w:color="8EAADB"/>
              <w:right w:val="single" w:sz="4" w:space="0" w:color="8EAADB"/>
            </w:tcBorders>
            <w:shd w:val="clear" w:color="auto" w:fill="D9E2F3"/>
          </w:tcPr>
          <w:p w14:paraId="690EDFB1" w14:textId="77777777" w:rsidR="0082643C" w:rsidRDefault="0082643C"/>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7AA86ED3" w14:textId="77777777" w:rsidR="0082643C" w:rsidRDefault="00000000" w:rsidP="00BE6153">
            <w:pPr>
              <w:jc w:val="center"/>
            </w:pPr>
            <w:r>
              <w:rPr>
                <w:b/>
                <w:sz w:val="18"/>
              </w:rPr>
              <w:t>32</w:t>
            </w:r>
          </w:p>
        </w:tc>
        <w:tc>
          <w:tcPr>
            <w:tcW w:w="844" w:type="dxa"/>
            <w:tcBorders>
              <w:top w:val="single" w:sz="4" w:space="0" w:color="8EAADB"/>
              <w:left w:val="single" w:sz="4" w:space="0" w:color="8EAADB"/>
              <w:bottom w:val="single" w:sz="4" w:space="0" w:color="8EAADB"/>
              <w:right w:val="single" w:sz="4" w:space="0" w:color="8EAADB"/>
            </w:tcBorders>
            <w:shd w:val="clear" w:color="auto" w:fill="D9E2F3"/>
          </w:tcPr>
          <w:p w14:paraId="2AB09994" w14:textId="77777777" w:rsidR="0082643C" w:rsidRDefault="00000000" w:rsidP="00BE6153">
            <w:pPr>
              <w:jc w:val="center"/>
            </w:pPr>
            <w:r>
              <w:rPr>
                <w:b/>
                <w:sz w:val="18"/>
              </w:rPr>
              <w:t>1.280</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54007F3B" w14:textId="77777777" w:rsidR="0082643C" w:rsidRDefault="00000000" w:rsidP="00BE6153">
            <w:pPr>
              <w:jc w:val="center"/>
            </w:pPr>
            <w:r>
              <w:rPr>
                <w:b/>
                <w:sz w:val="18"/>
              </w:rPr>
              <w:t>60</w:t>
            </w:r>
          </w:p>
        </w:tc>
        <w:tc>
          <w:tcPr>
            <w:tcW w:w="1084" w:type="dxa"/>
            <w:tcBorders>
              <w:top w:val="single" w:sz="4" w:space="0" w:color="8EAADB"/>
              <w:left w:val="single" w:sz="4" w:space="0" w:color="8EAADB"/>
              <w:bottom w:val="single" w:sz="4" w:space="0" w:color="8EAADB"/>
              <w:right w:val="single" w:sz="4" w:space="0" w:color="8EAADB"/>
            </w:tcBorders>
            <w:shd w:val="clear" w:color="auto" w:fill="D9E2F3"/>
          </w:tcPr>
          <w:p w14:paraId="321DEAAD" w14:textId="77777777" w:rsidR="0082643C" w:rsidRDefault="00000000" w:rsidP="00BE6153">
            <w:pPr>
              <w:jc w:val="center"/>
            </w:pPr>
            <w:r>
              <w:rPr>
                <w:b/>
                <w:sz w:val="18"/>
              </w:rPr>
              <w:t>1.800</w:t>
            </w:r>
          </w:p>
        </w:tc>
      </w:tr>
    </w:tbl>
    <w:p w14:paraId="3F6F9325" w14:textId="77777777" w:rsidR="0082643C" w:rsidRDefault="0082643C">
      <w:pPr>
        <w:spacing w:after="120"/>
      </w:pPr>
    </w:p>
    <w:p w14:paraId="366CBD98" w14:textId="77777777" w:rsidR="0082643C" w:rsidRDefault="00000000">
      <w:pPr>
        <w:pStyle w:val="TituloCuadro"/>
        <w:keepNext/>
        <w:spacing w:before="40" w:after="80"/>
        <w:jc w:val="center"/>
      </w:pPr>
      <w:bookmarkStart w:id="141" w:name="_Toc000000337"/>
      <w:r>
        <w:rPr>
          <w:b/>
        </w:rPr>
        <w:t>Cuadro 9. Malla curricular, quinto año</w:t>
      </w:r>
      <w:bookmarkEnd w:id="141"/>
    </w:p>
    <w:tbl>
      <w:tblPr>
        <w:tblW w:w="9405" w:type="dxa"/>
        <w:jc w:val="center"/>
        <w:tblLayout w:type="fixed"/>
        <w:tblLook w:val="04A0" w:firstRow="1" w:lastRow="0" w:firstColumn="1" w:lastColumn="0" w:noHBand="0" w:noVBand="1"/>
      </w:tblPr>
      <w:tblGrid>
        <w:gridCol w:w="1206"/>
        <w:gridCol w:w="3015"/>
        <w:gridCol w:w="1688"/>
        <w:gridCol w:w="784"/>
        <w:gridCol w:w="844"/>
        <w:gridCol w:w="784"/>
        <w:gridCol w:w="1084"/>
      </w:tblGrid>
      <w:tr w:rsidR="00395D6D" w14:paraId="0ABC0D56" w14:textId="77777777">
        <w:trPr>
          <w:tblHeader/>
          <w:jc w:val="center"/>
        </w:trPr>
        <w:tc>
          <w:tcPr>
            <w:tcW w:w="120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4B2512E" w14:textId="77777777" w:rsidR="0082643C" w:rsidRDefault="00000000">
            <w:pPr>
              <w:jc w:val="center"/>
            </w:pPr>
            <w:r>
              <w:rPr>
                <w:b/>
                <w:color w:val="FFFFFF"/>
                <w:sz w:val="18"/>
              </w:rPr>
              <w:t>Sigla</w:t>
            </w:r>
          </w:p>
        </w:tc>
        <w:tc>
          <w:tcPr>
            <w:tcW w:w="301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7E106D6" w14:textId="77777777" w:rsidR="0082643C" w:rsidRDefault="00000000">
            <w:pPr>
              <w:jc w:val="center"/>
            </w:pPr>
            <w:r>
              <w:rPr>
                <w:b/>
                <w:color w:val="FFFFFF"/>
                <w:sz w:val="18"/>
              </w:rPr>
              <w:t>Asignatura</w:t>
            </w:r>
          </w:p>
        </w:tc>
        <w:tc>
          <w:tcPr>
            <w:tcW w:w="168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ED01144" w14:textId="77777777" w:rsidR="0082643C" w:rsidRDefault="00000000">
            <w:pPr>
              <w:jc w:val="center"/>
            </w:pPr>
            <w:r>
              <w:rPr>
                <w:b/>
                <w:color w:val="FFFFFF"/>
                <w:sz w:val="18"/>
              </w:rPr>
              <w:t>Prerrequisito</w:t>
            </w:r>
          </w:p>
        </w:tc>
        <w:tc>
          <w:tcPr>
            <w:tcW w:w="78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F332928" w14:textId="77777777" w:rsidR="0082643C" w:rsidRDefault="00000000">
            <w:pPr>
              <w:jc w:val="center"/>
            </w:pPr>
            <w:r>
              <w:rPr>
                <w:b/>
                <w:color w:val="FFFFFF"/>
                <w:sz w:val="18"/>
              </w:rPr>
              <w:t>Hrs. sem.</w:t>
            </w:r>
          </w:p>
        </w:tc>
        <w:tc>
          <w:tcPr>
            <w:tcW w:w="84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8BEB9FF" w14:textId="77777777" w:rsidR="0082643C" w:rsidRDefault="00000000">
            <w:pPr>
              <w:jc w:val="center"/>
            </w:pPr>
            <w:r>
              <w:rPr>
                <w:b/>
                <w:color w:val="FFFFFF"/>
                <w:sz w:val="18"/>
              </w:rPr>
              <w:t>Hrs. año</w:t>
            </w:r>
          </w:p>
        </w:tc>
        <w:tc>
          <w:tcPr>
            <w:tcW w:w="78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7F25D01" w14:textId="77777777" w:rsidR="0082643C" w:rsidRDefault="00000000">
            <w:pPr>
              <w:jc w:val="center"/>
            </w:pPr>
            <w:r>
              <w:rPr>
                <w:b/>
                <w:color w:val="FFFFFF"/>
                <w:sz w:val="18"/>
              </w:rPr>
              <w:t>Créd.</w:t>
            </w:r>
          </w:p>
        </w:tc>
        <w:tc>
          <w:tcPr>
            <w:tcW w:w="108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7E6C263" w14:textId="77777777" w:rsidR="0082643C" w:rsidRDefault="00000000">
            <w:pPr>
              <w:jc w:val="center"/>
            </w:pPr>
            <w:r>
              <w:rPr>
                <w:b/>
                <w:color w:val="FFFFFF"/>
                <w:sz w:val="18"/>
              </w:rPr>
              <w:t>Hrs. trabajo</w:t>
            </w:r>
          </w:p>
        </w:tc>
      </w:tr>
      <w:tr w:rsidR="00395D6D" w14:paraId="0AC606B7" w14:textId="77777777">
        <w:trPr>
          <w:jc w:val="center"/>
        </w:trPr>
        <w:tc>
          <w:tcPr>
            <w:tcW w:w="1206" w:type="dxa"/>
            <w:tcBorders>
              <w:top w:val="single" w:sz="4" w:space="0" w:color="8EAADB"/>
              <w:left w:val="single" w:sz="4" w:space="0" w:color="8EAADB"/>
              <w:bottom w:val="single" w:sz="4" w:space="0" w:color="8EAADB"/>
              <w:right w:val="single" w:sz="4" w:space="0" w:color="8EAADB"/>
            </w:tcBorders>
            <w:shd w:val="clear" w:color="auto" w:fill="D9E2F3"/>
          </w:tcPr>
          <w:p w14:paraId="6B5846A6" w14:textId="77777777" w:rsidR="0082643C" w:rsidRDefault="00000000">
            <w:pPr>
              <w:jc w:val="center"/>
            </w:pPr>
            <w:r>
              <w:rPr>
                <w:sz w:val="18"/>
              </w:rPr>
              <w:t>CPA-501</w:t>
            </w:r>
          </w:p>
        </w:tc>
        <w:tc>
          <w:tcPr>
            <w:tcW w:w="3015" w:type="dxa"/>
            <w:tcBorders>
              <w:top w:val="single" w:sz="4" w:space="0" w:color="8EAADB"/>
              <w:left w:val="single" w:sz="4" w:space="0" w:color="8EAADB"/>
              <w:bottom w:val="single" w:sz="4" w:space="0" w:color="8EAADB"/>
              <w:right w:val="single" w:sz="4" w:space="0" w:color="8EAADB"/>
            </w:tcBorders>
            <w:shd w:val="clear" w:color="auto" w:fill="D9E2F3"/>
          </w:tcPr>
          <w:p w14:paraId="349B472A" w14:textId="77777777" w:rsidR="0082643C" w:rsidRDefault="00000000">
            <w:pPr>
              <w:jc w:val="both"/>
            </w:pPr>
            <w:r>
              <w:rPr>
                <w:sz w:val="18"/>
              </w:rPr>
              <w:t>Auditoría Operativa</w:t>
            </w:r>
          </w:p>
        </w:tc>
        <w:tc>
          <w:tcPr>
            <w:tcW w:w="1688" w:type="dxa"/>
            <w:tcBorders>
              <w:top w:val="single" w:sz="4" w:space="0" w:color="8EAADB"/>
              <w:left w:val="single" w:sz="4" w:space="0" w:color="8EAADB"/>
              <w:bottom w:val="single" w:sz="4" w:space="0" w:color="8EAADB"/>
              <w:right w:val="single" w:sz="4" w:space="0" w:color="8EAADB"/>
            </w:tcBorders>
            <w:shd w:val="clear" w:color="auto" w:fill="D9E2F3"/>
          </w:tcPr>
          <w:p w14:paraId="4405EFA6" w14:textId="77777777" w:rsidR="0082643C" w:rsidRDefault="00000000">
            <w:pPr>
              <w:jc w:val="both"/>
            </w:pPr>
            <w:r>
              <w:rPr>
                <w:sz w:val="18"/>
              </w:rPr>
              <w:t>CPA-401 a CPA-408</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32C78188" w14:textId="77777777" w:rsidR="0082643C" w:rsidRDefault="00000000" w:rsidP="00BE6153">
            <w:pPr>
              <w:jc w:val="center"/>
            </w:pPr>
            <w:r>
              <w:rPr>
                <w:sz w:val="18"/>
              </w:rPr>
              <w:t>4</w:t>
            </w:r>
          </w:p>
        </w:tc>
        <w:tc>
          <w:tcPr>
            <w:tcW w:w="844" w:type="dxa"/>
            <w:tcBorders>
              <w:top w:val="single" w:sz="4" w:space="0" w:color="8EAADB"/>
              <w:left w:val="single" w:sz="4" w:space="0" w:color="8EAADB"/>
              <w:bottom w:val="single" w:sz="4" w:space="0" w:color="8EAADB"/>
              <w:right w:val="single" w:sz="4" w:space="0" w:color="8EAADB"/>
            </w:tcBorders>
            <w:shd w:val="clear" w:color="auto" w:fill="D9E2F3"/>
          </w:tcPr>
          <w:p w14:paraId="2AC10A29" w14:textId="77777777" w:rsidR="0082643C" w:rsidRDefault="00000000" w:rsidP="00BE6153">
            <w:pPr>
              <w:jc w:val="center"/>
            </w:pPr>
            <w:r>
              <w:rPr>
                <w:sz w:val="18"/>
              </w:rPr>
              <w:t>160</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4AAF92DF" w14:textId="77777777" w:rsidR="0082643C" w:rsidRDefault="00000000" w:rsidP="00BE6153">
            <w:pPr>
              <w:jc w:val="center"/>
            </w:pPr>
            <w:r>
              <w:rPr>
                <w:sz w:val="18"/>
              </w:rPr>
              <w:t>8</w:t>
            </w:r>
          </w:p>
        </w:tc>
        <w:tc>
          <w:tcPr>
            <w:tcW w:w="1084" w:type="dxa"/>
            <w:tcBorders>
              <w:top w:val="single" w:sz="4" w:space="0" w:color="8EAADB"/>
              <w:left w:val="single" w:sz="4" w:space="0" w:color="8EAADB"/>
              <w:bottom w:val="single" w:sz="4" w:space="0" w:color="8EAADB"/>
              <w:right w:val="single" w:sz="4" w:space="0" w:color="8EAADB"/>
            </w:tcBorders>
            <w:shd w:val="clear" w:color="auto" w:fill="D9E2F3"/>
          </w:tcPr>
          <w:p w14:paraId="4CA255E5" w14:textId="77777777" w:rsidR="0082643C" w:rsidRDefault="00000000" w:rsidP="00BE6153">
            <w:pPr>
              <w:jc w:val="center"/>
            </w:pPr>
            <w:r>
              <w:rPr>
                <w:sz w:val="18"/>
              </w:rPr>
              <w:t>240</w:t>
            </w:r>
          </w:p>
        </w:tc>
      </w:tr>
      <w:tr w:rsidR="00395D6D" w14:paraId="33C359D0" w14:textId="77777777">
        <w:trPr>
          <w:jc w:val="center"/>
        </w:trPr>
        <w:tc>
          <w:tcPr>
            <w:tcW w:w="1206" w:type="dxa"/>
            <w:tcBorders>
              <w:top w:val="single" w:sz="4" w:space="0" w:color="8EAADB"/>
              <w:left w:val="single" w:sz="4" w:space="0" w:color="8EAADB"/>
              <w:bottom w:val="single" w:sz="4" w:space="0" w:color="8EAADB"/>
              <w:right w:val="single" w:sz="4" w:space="0" w:color="8EAADB"/>
            </w:tcBorders>
            <w:shd w:val="clear" w:color="auto" w:fill="D9E2F3"/>
          </w:tcPr>
          <w:p w14:paraId="69FC49C2" w14:textId="77777777" w:rsidR="0082643C" w:rsidRDefault="00000000">
            <w:pPr>
              <w:jc w:val="center"/>
            </w:pPr>
            <w:r>
              <w:rPr>
                <w:sz w:val="18"/>
              </w:rPr>
              <w:t>CPA-502</w:t>
            </w:r>
          </w:p>
        </w:tc>
        <w:tc>
          <w:tcPr>
            <w:tcW w:w="3015" w:type="dxa"/>
            <w:tcBorders>
              <w:top w:val="single" w:sz="4" w:space="0" w:color="8EAADB"/>
              <w:left w:val="single" w:sz="4" w:space="0" w:color="8EAADB"/>
              <w:bottom w:val="single" w:sz="4" w:space="0" w:color="8EAADB"/>
              <w:right w:val="single" w:sz="4" w:space="0" w:color="8EAADB"/>
            </w:tcBorders>
            <w:shd w:val="clear" w:color="auto" w:fill="D9E2F3"/>
          </w:tcPr>
          <w:p w14:paraId="0EA688EC" w14:textId="77777777" w:rsidR="0082643C" w:rsidRDefault="00000000">
            <w:pPr>
              <w:jc w:val="both"/>
            </w:pPr>
            <w:r>
              <w:rPr>
                <w:sz w:val="18"/>
              </w:rPr>
              <w:t>Gabinete de Auditoría Financiera</w:t>
            </w:r>
          </w:p>
        </w:tc>
        <w:tc>
          <w:tcPr>
            <w:tcW w:w="1688" w:type="dxa"/>
            <w:tcBorders>
              <w:top w:val="single" w:sz="4" w:space="0" w:color="8EAADB"/>
              <w:left w:val="single" w:sz="4" w:space="0" w:color="8EAADB"/>
              <w:bottom w:val="single" w:sz="4" w:space="0" w:color="8EAADB"/>
              <w:right w:val="single" w:sz="4" w:space="0" w:color="8EAADB"/>
            </w:tcBorders>
            <w:shd w:val="clear" w:color="auto" w:fill="D9E2F3"/>
          </w:tcPr>
          <w:p w14:paraId="25DF795D" w14:textId="77777777" w:rsidR="0082643C" w:rsidRDefault="00000000">
            <w:pPr>
              <w:jc w:val="both"/>
            </w:pPr>
            <w:r>
              <w:rPr>
                <w:sz w:val="18"/>
              </w:rPr>
              <w:t>CPA-401 a CPA-408</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093F9E09" w14:textId="77777777" w:rsidR="0082643C" w:rsidRDefault="00000000" w:rsidP="00BE6153">
            <w:pPr>
              <w:jc w:val="center"/>
            </w:pPr>
            <w:r>
              <w:rPr>
                <w:sz w:val="18"/>
              </w:rPr>
              <w:t>4</w:t>
            </w:r>
          </w:p>
        </w:tc>
        <w:tc>
          <w:tcPr>
            <w:tcW w:w="844" w:type="dxa"/>
            <w:tcBorders>
              <w:top w:val="single" w:sz="4" w:space="0" w:color="8EAADB"/>
              <w:left w:val="single" w:sz="4" w:space="0" w:color="8EAADB"/>
              <w:bottom w:val="single" w:sz="4" w:space="0" w:color="8EAADB"/>
              <w:right w:val="single" w:sz="4" w:space="0" w:color="8EAADB"/>
            </w:tcBorders>
            <w:shd w:val="clear" w:color="auto" w:fill="D9E2F3"/>
          </w:tcPr>
          <w:p w14:paraId="689E6A0D" w14:textId="77777777" w:rsidR="0082643C" w:rsidRDefault="00000000" w:rsidP="00BE6153">
            <w:pPr>
              <w:jc w:val="center"/>
            </w:pPr>
            <w:r>
              <w:rPr>
                <w:sz w:val="18"/>
              </w:rPr>
              <w:t>160</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20576A10" w14:textId="77777777" w:rsidR="0082643C" w:rsidRDefault="00000000" w:rsidP="00BE6153">
            <w:pPr>
              <w:jc w:val="center"/>
            </w:pPr>
            <w:r>
              <w:rPr>
                <w:sz w:val="18"/>
              </w:rPr>
              <w:t>8</w:t>
            </w:r>
          </w:p>
        </w:tc>
        <w:tc>
          <w:tcPr>
            <w:tcW w:w="1084" w:type="dxa"/>
            <w:tcBorders>
              <w:top w:val="single" w:sz="4" w:space="0" w:color="8EAADB"/>
              <w:left w:val="single" w:sz="4" w:space="0" w:color="8EAADB"/>
              <w:bottom w:val="single" w:sz="4" w:space="0" w:color="8EAADB"/>
              <w:right w:val="single" w:sz="4" w:space="0" w:color="8EAADB"/>
            </w:tcBorders>
            <w:shd w:val="clear" w:color="auto" w:fill="D9E2F3"/>
          </w:tcPr>
          <w:p w14:paraId="548CAC85" w14:textId="77777777" w:rsidR="0082643C" w:rsidRDefault="00000000" w:rsidP="00BE6153">
            <w:pPr>
              <w:jc w:val="center"/>
            </w:pPr>
            <w:r>
              <w:rPr>
                <w:sz w:val="18"/>
              </w:rPr>
              <w:t>240</w:t>
            </w:r>
          </w:p>
        </w:tc>
      </w:tr>
      <w:tr w:rsidR="00395D6D" w14:paraId="4821CD27" w14:textId="77777777">
        <w:trPr>
          <w:jc w:val="center"/>
        </w:trPr>
        <w:tc>
          <w:tcPr>
            <w:tcW w:w="1206" w:type="dxa"/>
            <w:tcBorders>
              <w:top w:val="single" w:sz="4" w:space="0" w:color="8EAADB"/>
              <w:left w:val="single" w:sz="4" w:space="0" w:color="8EAADB"/>
              <w:bottom w:val="single" w:sz="4" w:space="0" w:color="8EAADB"/>
              <w:right w:val="single" w:sz="4" w:space="0" w:color="8EAADB"/>
            </w:tcBorders>
            <w:shd w:val="clear" w:color="auto" w:fill="D9E2F3"/>
          </w:tcPr>
          <w:p w14:paraId="68593ED3" w14:textId="77777777" w:rsidR="0082643C" w:rsidRDefault="00000000">
            <w:pPr>
              <w:jc w:val="center"/>
            </w:pPr>
            <w:r>
              <w:rPr>
                <w:sz w:val="18"/>
              </w:rPr>
              <w:t>CPA-503</w:t>
            </w:r>
          </w:p>
        </w:tc>
        <w:tc>
          <w:tcPr>
            <w:tcW w:w="3015" w:type="dxa"/>
            <w:tcBorders>
              <w:top w:val="single" w:sz="4" w:space="0" w:color="8EAADB"/>
              <w:left w:val="single" w:sz="4" w:space="0" w:color="8EAADB"/>
              <w:bottom w:val="single" w:sz="4" w:space="0" w:color="8EAADB"/>
              <w:right w:val="single" w:sz="4" w:space="0" w:color="8EAADB"/>
            </w:tcBorders>
            <w:shd w:val="clear" w:color="auto" w:fill="D9E2F3"/>
          </w:tcPr>
          <w:p w14:paraId="42CC22AF" w14:textId="77777777" w:rsidR="0082643C" w:rsidRDefault="00000000">
            <w:pPr>
              <w:jc w:val="both"/>
            </w:pPr>
            <w:r>
              <w:rPr>
                <w:sz w:val="18"/>
              </w:rPr>
              <w:t>Auditoría Tributaria</w:t>
            </w:r>
          </w:p>
        </w:tc>
        <w:tc>
          <w:tcPr>
            <w:tcW w:w="1688" w:type="dxa"/>
            <w:tcBorders>
              <w:top w:val="single" w:sz="4" w:space="0" w:color="8EAADB"/>
              <w:left w:val="single" w:sz="4" w:space="0" w:color="8EAADB"/>
              <w:bottom w:val="single" w:sz="4" w:space="0" w:color="8EAADB"/>
              <w:right w:val="single" w:sz="4" w:space="0" w:color="8EAADB"/>
            </w:tcBorders>
            <w:shd w:val="clear" w:color="auto" w:fill="D9E2F3"/>
          </w:tcPr>
          <w:p w14:paraId="2C5B5AFB" w14:textId="77777777" w:rsidR="0082643C" w:rsidRDefault="00000000">
            <w:pPr>
              <w:jc w:val="both"/>
            </w:pPr>
            <w:r>
              <w:rPr>
                <w:sz w:val="18"/>
              </w:rPr>
              <w:t>CPA-401 a CPA-408</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47BE2CFE" w14:textId="77777777" w:rsidR="0082643C" w:rsidRDefault="00000000" w:rsidP="00BE6153">
            <w:pPr>
              <w:jc w:val="center"/>
            </w:pPr>
            <w:r>
              <w:rPr>
                <w:sz w:val="18"/>
              </w:rPr>
              <w:t>4</w:t>
            </w:r>
          </w:p>
        </w:tc>
        <w:tc>
          <w:tcPr>
            <w:tcW w:w="844" w:type="dxa"/>
            <w:tcBorders>
              <w:top w:val="single" w:sz="4" w:space="0" w:color="8EAADB"/>
              <w:left w:val="single" w:sz="4" w:space="0" w:color="8EAADB"/>
              <w:bottom w:val="single" w:sz="4" w:space="0" w:color="8EAADB"/>
              <w:right w:val="single" w:sz="4" w:space="0" w:color="8EAADB"/>
            </w:tcBorders>
            <w:shd w:val="clear" w:color="auto" w:fill="D9E2F3"/>
          </w:tcPr>
          <w:p w14:paraId="65D0F5FF" w14:textId="77777777" w:rsidR="0082643C" w:rsidRDefault="00000000" w:rsidP="00BE6153">
            <w:pPr>
              <w:jc w:val="center"/>
            </w:pPr>
            <w:r>
              <w:rPr>
                <w:sz w:val="18"/>
              </w:rPr>
              <w:t>160</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1C7A1CCB" w14:textId="77777777" w:rsidR="0082643C" w:rsidRDefault="00000000" w:rsidP="00BE6153">
            <w:pPr>
              <w:jc w:val="center"/>
            </w:pPr>
            <w:r>
              <w:rPr>
                <w:sz w:val="18"/>
              </w:rPr>
              <w:t>8</w:t>
            </w:r>
          </w:p>
        </w:tc>
        <w:tc>
          <w:tcPr>
            <w:tcW w:w="1084" w:type="dxa"/>
            <w:tcBorders>
              <w:top w:val="single" w:sz="4" w:space="0" w:color="8EAADB"/>
              <w:left w:val="single" w:sz="4" w:space="0" w:color="8EAADB"/>
              <w:bottom w:val="single" w:sz="4" w:space="0" w:color="8EAADB"/>
              <w:right w:val="single" w:sz="4" w:space="0" w:color="8EAADB"/>
            </w:tcBorders>
            <w:shd w:val="clear" w:color="auto" w:fill="D9E2F3"/>
          </w:tcPr>
          <w:p w14:paraId="13AF5378" w14:textId="77777777" w:rsidR="0082643C" w:rsidRDefault="00000000" w:rsidP="00BE6153">
            <w:pPr>
              <w:jc w:val="center"/>
            </w:pPr>
            <w:r>
              <w:rPr>
                <w:sz w:val="18"/>
              </w:rPr>
              <w:t>240</w:t>
            </w:r>
          </w:p>
        </w:tc>
      </w:tr>
      <w:tr w:rsidR="00395D6D" w14:paraId="1F04C3CE" w14:textId="77777777">
        <w:trPr>
          <w:jc w:val="center"/>
        </w:trPr>
        <w:tc>
          <w:tcPr>
            <w:tcW w:w="1206" w:type="dxa"/>
            <w:tcBorders>
              <w:top w:val="single" w:sz="4" w:space="0" w:color="8EAADB"/>
              <w:left w:val="single" w:sz="4" w:space="0" w:color="8EAADB"/>
              <w:bottom w:val="single" w:sz="4" w:space="0" w:color="8EAADB"/>
              <w:right w:val="single" w:sz="4" w:space="0" w:color="8EAADB"/>
            </w:tcBorders>
            <w:shd w:val="clear" w:color="auto" w:fill="D9E2F3"/>
          </w:tcPr>
          <w:p w14:paraId="53C8319A" w14:textId="77777777" w:rsidR="0082643C" w:rsidRDefault="00000000">
            <w:pPr>
              <w:jc w:val="center"/>
            </w:pPr>
            <w:r>
              <w:rPr>
                <w:sz w:val="18"/>
              </w:rPr>
              <w:t>CPA-504</w:t>
            </w:r>
          </w:p>
        </w:tc>
        <w:tc>
          <w:tcPr>
            <w:tcW w:w="3015" w:type="dxa"/>
            <w:tcBorders>
              <w:top w:val="single" w:sz="4" w:space="0" w:color="8EAADB"/>
              <w:left w:val="single" w:sz="4" w:space="0" w:color="8EAADB"/>
              <w:bottom w:val="single" w:sz="4" w:space="0" w:color="8EAADB"/>
              <w:right w:val="single" w:sz="4" w:space="0" w:color="8EAADB"/>
            </w:tcBorders>
            <w:shd w:val="clear" w:color="auto" w:fill="D9E2F3"/>
          </w:tcPr>
          <w:p w14:paraId="4223B205" w14:textId="77777777" w:rsidR="0082643C" w:rsidRDefault="00000000">
            <w:pPr>
              <w:jc w:val="both"/>
            </w:pPr>
            <w:r>
              <w:rPr>
                <w:sz w:val="18"/>
              </w:rPr>
              <w:t>Auditoría Gubernamental</w:t>
            </w:r>
          </w:p>
        </w:tc>
        <w:tc>
          <w:tcPr>
            <w:tcW w:w="1688" w:type="dxa"/>
            <w:tcBorders>
              <w:top w:val="single" w:sz="4" w:space="0" w:color="8EAADB"/>
              <w:left w:val="single" w:sz="4" w:space="0" w:color="8EAADB"/>
              <w:bottom w:val="single" w:sz="4" w:space="0" w:color="8EAADB"/>
              <w:right w:val="single" w:sz="4" w:space="0" w:color="8EAADB"/>
            </w:tcBorders>
            <w:shd w:val="clear" w:color="auto" w:fill="D9E2F3"/>
          </w:tcPr>
          <w:p w14:paraId="6E7131D2" w14:textId="77777777" w:rsidR="0082643C" w:rsidRDefault="00000000">
            <w:pPr>
              <w:jc w:val="both"/>
            </w:pPr>
            <w:r>
              <w:rPr>
                <w:sz w:val="18"/>
              </w:rPr>
              <w:t>CPA-401 a CPA-408</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0791347D" w14:textId="77777777" w:rsidR="0082643C" w:rsidRDefault="00000000" w:rsidP="00BE6153">
            <w:pPr>
              <w:jc w:val="center"/>
            </w:pPr>
            <w:r>
              <w:rPr>
                <w:sz w:val="18"/>
              </w:rPr>
              <w:t>4</w:t>
            </w:r>
          </w:p>
        </w:tc>
        <w:tc>
          <w:tcPr>
            <w:tcW w:w="844" w:type="dxa"/>
            <w:tcBorders>
              <w:top w:val="single" w:sz="4" w:space="0" w:color="8EAADB"/>
              <w:left w:val="single" w:sz="4" w:space="0" w:color="8EAADB"/>
              <w:bottom w:val="single" w:sz="4" w:space="0" w:color="8EAADB"/>
              <w:right w:val="single" w:sz="4" w:space="0" w:color="8EAADB"/>
            </w:tcBorders>
            <w:shd w:val="clear" w:color="auto" w:fill="D9E2F3"/>
          </w:tcPr>
          <w:p w14:paraId="689741CD" w14:textId="77777777" w:rsidR="0082643C" w:rsidRDefault="00000000" w:rsidP="00BE6153">
            <w:pPr>
              <w:jc w:val="center"/>
            </w:pPr>
            <w:r>
              <w:rPr>
                <w:sz w:val="18"/>
              </w:rPr>
              <w:t>160</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0DC43DA0" w14:textId="77777777" w:rsidR="0082643C" w:rsidRDefault="00000000" w:rsidP="00BE6153">
            <w:pPr>
              <w:jc w:val="center"/>
            </w:pPr>
            <w:r>
              <w:rPr>
                <w:sz w:val="18"/>
              </w:rPr>
              <w:t>8</w:t>
            </w:r>
          </w:p>
        </w:tc>
        <w:tc>
          <w:tcPr>
            <w:tcW w:w="1084" w:type="dxa"/>
            <w:tcBorders>
              <w:top w:val="single" w:sz="4" w:space="0" w:color="8EAADB"/>
              <w:left w:val="single" w:sz="4" w:space="0" w:color="8EAADB"/>
              <w:bottom w:val="single" w:sz="4" w:space="0" w:color="8EAADB"/>
              <w:right w:val="single" w:sz="4" w:space="0" w:color="8EAADB"/>
            </w:tcBorders>
            <w:shd w:val="clear" w:color="auto" w:fill="D9E2F3"/>
          </w:tcPr>
          <w:p w14:paraId="3C7CE909" w14:textId="77777777" w:rsidR="0082643C" w:rsidRDefault="00000000" w:rsidP="00BE6153">
            <w:pPr>
              <w:jc w:val="center"/>
            </w:pPr>
            <w:r>
              <w:rPr>
                <w:sz w:val="18"/>
              </w:rPr>
              <w:t>240</w:t>
            </w:r>
          </w:p>
        </w:tc>
      </w:tr>
      <w:tr w:rsidR="00395D6D" w14:paraId="41D8CAA3" w14:textId="77777777">
        <w:trPr>
          <w:jc w:val="center"/>
        </w:trPr>
        <w:tc>
          <w:tcPr>
            <w:tcW w:w="1206" w:type="dxa"/>
            <w:tcBorders>
              <w:top w:val="single" w:sz="4" w:space="0" w:color="8EAADB"/>
              <w:left w:val="single" w:sz="4" w:space="0" w:color="8EAADB"/>
              <w:bottom w:val="single" w:sz="4" w:space="0" w:color="8EAADB"/>
              <w:right w:val="single" w:sz="4" w:space="0" w:color="8EAADB"/>
            </w:tcBorders>
            <w:shd w:val="clear" w:color="auto" w:fill="D9E2F3"/>
          </w:tcPr>
          <w:p w14:paraId="14D87EE5" w14:textId="77777777" w:rsidR="0082643C" w:rsidRDefault="00000000">
            <w:pPr>
              <w:jc w:val="center"/>
            </w:pPr>
            <w:r>
              <w:rPr>
                <w:sz w:val="18"/>
              </w:rPr>
              <w:t>CPA-505</w:t>
            </w:r>
          </w:p>
        </w:tc>
        <w:tc>
          <w:tcPr>
            <w:tcW w:w="3015" w:type="dxa"/>
            <w:tcBorders>
              <w:top w:val="single" w:sz="4" w:space="0" w:color="8EAADB"/>
              <w:left w:val="single" w:sz="4" w:space="0" w:color="8EAADB"/>
              <w:bottom w:val="single" w:sz="4" w:space="0" w:color="8EAADB"/>
              <w:right w:val="single" w:sz="4" w:space="0" w:color="8EAADB"/>
            </w:tcBorders>
            <w:shd w:val="clear" w:color="auto" w:fill="D9E2F3"/>
          </w:tcPr>
          <w:p w14:paraId="5088CE7D" w14:textId="77777777" w:rsidR="0082643C" w:rsidRDefault="00000000">
            <w:pPr>
              <w:jc w:val="both"/>
            </w:pPr>
            <w:r>
              <w:rPr>
                <w:sz w:val="18"/>
              </w:rPr>
              <w:t>Auditoría Digital, Ciberseguridad y Tecnologías Emergentes</w:t>
            </w:r>
          </w:p>
        </w:tc>
        <w:tc>
          <w:tcPr>
            <w:tcW w:w="1688" w:type="dxa"/>
            <w:tcBorders>
              <w:top w:val="single" w:sz="4" w:space="0" w:color="8EAADB"/>
              <w:left w:val="single" w:sz="4" w:space="0" w:color="8EAADB"/>
              <w:bottom w:val="single" w:sz="4" w:space="0" w:color="8EAADB"/>
              <w:right w:val="single" w:sz="4" w:space="0" w:color="8EAADB"/>
            </w:tcBorders>
            <w:shd w:val="clear" w:color="auto" w:fill="D9E2F3"/>
          </w:tcPr>
          <w:p w14:paraId="2B666D33" w14:textId="77777777" w:rsidR="0082643C" w:rsidRDefault="00000000">
            <w:pPr>
              <w:jc w:val="both"/>
            </w:pPr>
            <w:r>
              <w:rPr>
                <w:sz w:val="18"/>
              </w:rPr>
              <w:t>CPA-401 a CPA-408</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13780490" w14:textId="77777777" w:rsidR="0082643C" w:rsidRDefault="00000000" w:rsidP="00BE6153">
            <w:pPr>
              <w:jc w:val="center"/>
            </w:pPr>
            <w:r>
              <w:rPr>
                <w:sz w:val="18"/>
              </w:rPr>
              <w:t>4</w:t>
            </w:r>
          </w:p>
        </w:tc>
        <w:tc>
          <w:tcPr>
            <w:tcW w:w="844" w:type="dxa"/>
            <w:tcBorders>
              <w:top w:val="single" w:sz="4" w:space="0" w:color="8EAADB"/>
              <w:left w:val="single" w:sz="4" w:space="0" w:color="8EAADB"/>
              <w:bottom w:val="single" w:sz="4" w:space="0" w:color="8EAADB"/>
              <w:right w:val="single" w:sz="4" w:space="0" w:color="8EAADB"/>
            </w:tcBorders>
            <w:shd w:val="clear" w:color="auto" w:fill="D9E2F3"/>
          </w:tcPr>
          <w:p w14:paraId="7E53C347" w14:textId="77777777" w:rsidR="0082643C" w:rsidRDefault="00000000" w:rsidP="00BE6153">
            <w:pPr>
              <w:jc w:val="center"/>
            </w:pPr>
            <w:r>
              <w:rPr>
                <w:sz w:val="18"/>
              </w:rPr>
              <w:t>160</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6E77791F" w14:textId="77777777" w:rsidR="0082643C" w:rsidRDefault="00000000" w:rsidP="00BE6153">
            <w:pPr>
              <w:jc w:val="center"/>
            </w:pPr>
            <w:r>
              <w:rPr>
                <w:sz w:val="18"/>
              </w:rPr>
              <w:t>8</w:t>
            </w:r>
          </w:p>
        </w:tc>
        <w:tc>
          <w:tcPr>
            <w:tcW w:w="1084" w:type="dxa"/>
            <w:tcBorders>
              <w:top w:val="single" w:sz="4" w:space="0" w:color="8EAADB"/>
              <w:left w:val="single" w:sz="4" w:space="0" w:color="8EAADB"/>
              <w:bottom w:val="single" w:sz="4" w:space="0" w:color="8EAADB"/>
              <w:right w:val="single" w:sz="4" w:space="0" w:color="8EAADB"/>
            </w:tcBorders>
            <w:shd w:val="clear" w:color="auto" w:fill="D9E2F3"/>
          </w:tcPr>
          <w:p w14:paraId="786E7DB0" w14:textId="77777777" w:rsidR="0082643C" w:rsidRDefault="00000000" w:rsidP="00BE6153">
            <w:pPr>
              <w:jc w:val="center"/>
            </w:pPr>
            <w:r>
              <w:rPr>
                <w:sz w:val="18"/>
              </w:rPr>
              <w:t>240</w:t>
            </w:r>
          </w:p>
        </w:tc>
      </w:tr>
      <w:tr w:rsidR="00395D6D" w14:paraId="438E1C50" w14:textId="77777777">
        <w:trPr>
          <w:jc w:val="center"/>
        </w:trPr>
        <w:tc>
          <w:tcPr>
            <w:tcW w:w="1206" w:type="dxa"/>
            <w:tcBorders>
              <w:top w:val="single" w:sz="4" w:space="0" w:color="8EAADB"/>
              <w:left w:val="single" w:sz="4" w:space="0" w:color="8EAADB"/>
              <w:bottom w:val="single" w:sz="4" w:space="0" w:color="8EAADB"/>
              <w:right w:val="single" w:sz="4" w:space="0" w:color="8EAADB"/>
            </w:tcBorders>
            <w:shd w:val="clear" w:color="auto" w:fill="D9E2F3"/>
          </w:tcPr>
          <w:p w14:paraId="34E2B93D" w14:textId="77777777" w:rsidR="0082643C" w:rsidRDefault="00000000">
            <w:pPr>
              <w:jc w:val="center"/>
            </w:pPr>
            <w:r>
              <w:rPr>
                <w:sz w:val="18"/>
              </w:rPr>
              <w:t>CPA-506</w:t>
            </w:r>
          </w:p>
        </w:tc>
        <w:tc>
          <w:tcPr>
            <w:tcW w:w="3015" w:type="dxa"/>
            <w:tcBorders>
              <w:top w:val="single" w:sz="4" w:space="0" w:color="8EAADB"/>
              <w:left w:val="single" w:sz="4" w:space="0" w:color="8EAADB"/>
              <w:bottom w:val="single" w:sz="4" w:space="0" w:color="8EAADB"/>
              <w:right w:val="single" w:sz="4" w:space="0" w:color="8EAADB"/>
            </w:tcBorders>
            <w:shd w:val="clear" w:color="auto" w:fill="D9E2F3"/>
          </w:tcPr>
          <w:p w14:paraId="78E933D2" w14:textId="77777777" w:rsidR="0082643C" w:rsidRDefault="00000000">
            <w:pPr>
              <w:jc w:val="both"/>
            </w:pPr>
            <w:r>
              <w:rPr>
                <w:sz w:val="18"/>
              </w:rPr>
              <w:t>Reportes y Aseguramiento de Sostenibilidad y Auditoría Ambiental</w:t>
            </w:r>
          </w:p>
        </w:tc>
        <w:tc>
          <w:tcPr>
            <w:tcW w:w="1688" w:type="dxa"/>
            <w:tcBorders>
              <w:top w:val="single" w:sz="4" w:space="0" w:color="8EAADB"/>
              <w:left w:val="single" w:sz="4" w:space="0" w:color="8EAADB"/>
              <w:bottom w:val="single" w:sz="4" w:space="0" w:color="8EAADB"/>
              <w:right w:val="single" w:sz="4" w:space="0" w:color="8EAADB"/>
            </w:tcBorders>
            <w:shd w:val="clear" w:color="auto" w:fill="D9E2F3"/>
          </w:tcPr>
          <w:p w14:paraId="2575F740" w14:textId="77777777" w:rsidR="0082643C" w:rsidRDefault="00000000">
            <w:pPr>
              <w:jc w:val="both"/>
            </w:pPr>
            <w:r>
              <w:rPr>
                <w:sz w:val="18"/>
              </w:rPr>
              <w:t>CPA-401 a CPA-408</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399B24BF" w14:textId="77777777" w:rsidR="0082643C" w:rsidRDefault="00000000" w:rsidP="00BE6153">
            <w:pPr>
              <w:jc w:val="center"/>
            </w:pPr>
            <w:r>
              <w:rPr>
                <w:sz w:val="18"/>
              </w:rPr>
              <w:t>2</w:t>
            </w:r>
          </w:p>
        </w:tc>
        <w:tc>
          <w:tcPr>
            <w:tcW w:w="844" w:type="dxa"/>
            <w:tcBorders>
              <w:top w:val="single" w:sz="4" w:space="0" w:color="8EAADB"/>
              <w:left w:val="single" w:sz="4" w:space="0" w:color="8EAADB"/>
              <w:bottom w:val="single" w:sz="4" w:space="0" w:color="8EAADB"/>
              <w:right w:val="single" w:sz="4" w:space="0" w:color="8EAADB"/>
            </w:tcBorders>
            <w:shd w:val="clear" w:color="auto" w:fill="D9E2F3"/>
          </w:tcPr>
          <w:p w14:paraId="0FDD8CB4" w14:textId="77777777" w:rsidR="0082643C" w:rsidRDefault="00000000" w:rsidP="00BE6153">
            <w:pPr>
              <w:jc w:val="center"/>
            </w:pPr>
            <w:r>
              <w:rPr>
                <w:sz w:val="18"/>
              </w:rPr>
              <w:t>80</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416B9CA6" w14:textId="77777777" w:rsidR="0082643C" w:rsidRDefault="00000000" w:rsidP="00BE6153">
            <w:pPr>
              <w:jc w:val="center"/>
            </w:pPr>
            <w:r>
              <w:rPr>
                <w:sz w:val="18"/>
              </w:rPr>
              <w:t>4</w:t>
            </w:r>
          </w:p>
        </w:tc>
        <w:tc>
          <w:tcPr>
            <w:tcW w:w="1084" w:type="dxa"/>
            <w:tcBorders>
              <w:top w:val="single" w:sz="4" w:space="0" w:color="8EAADB"/>
              <w:left w:val="single" w:sz="4" w:space="0" w:color="8EAADB"/>
              <w:bottom w:val="single" w:sz="4" w:space="0" w:color="8EAADB"/>
              <w:right w:val="single" w:sz="4" w:space="0" w:color="8EAADB"/>
            </w:tcBorders>
            <w:shd w:val="clear" w:color="auto" w:fill="D9E2F3"/>
          </w:tcPr>
          <w:p w14:paraId="58655C2D" w14:textId="77777777" w:rsidR="0082643C" w:rsidRDefault="00000000" w:rsidP="00BE6153">
            <w:pPr>
              <w:jc w:val="center"/>
            </w:pPr>
            <w:r>
              <w:rPr>
                <w:sz w:val="18"/>
              </w:rPr>
              <w:t>120</w:t>
            </w:r>
          </w:p>
        </w:tc>
      </w:tr>
      <w:tr w:rsidR="00395D6D" w14:paraId="37FAF074" w14:textId="77777777">
        <w:trPr>
          <w:jc w:val="center"/>
        </w:trPr>
        <w:tc>
          <w:tcPr>
            <w:tcW w:w="1206" w:type="dxa"/>
            <w:tcBorders>
              <w:top w:val="single" w:sz="4" w:space="0" w:color="8EAADB"/>
              <w:left w:val="single" w:sz="4" w:space="0" w:color="8EAADB"/>
              <w:bottom w:val="single" w:sz="4" w:space="0" w:color="8EAADB"/>
              <w:right w:val="single" w:sz="4" w:space="0" w:color="8EAADB"/>
            </w:tcBorders>
            <w:shd w:val="clear" w:color="auto" w:fill="D9E2F3"/>
          </w:tcPr>
          <w:p w14:paraId="3DE10D78" w14:textId="77777777" w:rsidR="0082643C" w:rsidRDefault="00000000">
            <w:pPr>
              <w:jc w:val="center"/>
            </w:pPr>
            <w:r>
              <w:rPr>
                <w:sz w:val="18"/>
              </w:rPr>
              <w:t>CPA-507</w:t>
            </w:r>
          </w:p>
        </w:tc>
        <w:tc>
          <w:tcPr>
            <w:tcW w:w="3015" w:type="dxa"/>
            <w:tcBorders>
              <w:top w:val="single" w:sz="4" w:space="0" w:color="8EAADB"/>
              <w:left w:val="single" w:sz="4" w:space="0" w:color="8EAADB"/>
              <w:bottom w:val="single" w:sz="4" w:space="0" w:color="8EAADB"/>
              <w:right w:val="single" w:sz="4" w:space="0" w:color="8EAADB"/>
            </w:tcBorders>
            <w:shd w:val="clear" w:color="auto" w:fill="D9E2F3"/>
          </w:tcPr>
          <w:p w14:paraId="7DCE775A" w14:textId="77777777" w:rsidR="0082643C" w:rsidRDefault="00000000">
            <w:pPr>
              <w:jc w:val="both"/>
            </w:pPr>
            <w:r>
              <w:rPr>
                <w:sz w:val="18"/>
              </w:rPr>
              <w:t>Auditoría de Entidades Sin Fines de Lucro – Proyectos Privados y Públicos</w:t>
            </w:r>
          </w:p>
        </w:tc>
        <w:tc>
          <w:tcPr>
            <w:tcW w:w="1688" w:type="dxa"/>
            <w:tcBorders>
              <w:top w:val="single" w:sz="4" w:space="0" w:color="8EAADB"/>
              <w:left w:val="single" w:sz="4" w:space="0" w:color="8EAADB"/>
              <w:bottom w:val="single" w:sz="4" w:space="0" w:color="8EAADB"/>
              <w:right w:val="single" w:sz="4" w:space="0" w:color="8EAADB"/>
            </w:tcBorders>
            <w:shd w:val="clear" w:color="auto" w:fill="D9E2F3"/>
          </w:tcPr>
          <w:p w14:paraId="74C5B1D3" w14:textId="77777777" w:rsidR="0082643C" w:rsidRDefault="00000000">
            <w:pPr>
              <w:jc w:val="both"/>
            </w:pPr>
            <w:r>
              <w:rPr>
                <w:sz w:val="18"/>
              </w:rPr>
              <w:t>CPA-401 a CPA-408</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5F43EEDA" w14:textId="77777777" w:rsidR="0082643C" w:rsidRDefault="00000000" w:rsidP="00BE6153">
            <w:pPr>
              <w:jc w:val="center"/>
            </w:pPr>
            <w:r>
              <w:rPr>
                <w:sz w:val="18"/>
              </w:rPr>
              <w:t>2</w:t>
            </w:r>
          </w:p>
        </w:tc>
        <w:tc>
          <w:tcPr>
            <w:tcW w:w="844" w:type="dxa"/>
            <w:tcBorders>
              <w:top w:val="single" w:sz="4" w:space="0" w:color="8EAADB"/>
              <w:left w:val="single" w:sz="4" w:space="0" w:color="8EAADB"/>
              <w:bottom w:val="single" w:sz="4" w:space="0" w:color="8EAADB"/>
              <w:right w:val="single" w:sz="4" w:space="0" w:color="8EAADB"/>
            </w:tcBorders>
            <w:shd w:val="clear" w:color="auto" w:fill="D9E2F3"/>
          </w:tcPr>
          <w:p w14:paraId="4C2EFD22" w14:textId="77777777" w:rsidR="0082643C" w:rsidRDefault="00000000" w:rsidP="00BE6153">
            <w:pPr>
              <w:jc w:val="center"/>
            </w:pPr>
            <w:r>
              <w:rPr>
                <w:sz w:val="18"/>
              </w:rPr>
              <w:t>80</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41B1D652" w14:textId="77777777" w:rsidR="0082643C" w:rsidRDefault="00000000" w:rsidP="00BE6153">
            <w:pPr>
              <w:jc w:val="center"/>
            </w:pPr>
            <w:r>
              <w:rPr>
                <w:sz w:val="18"/>
              </w:rPr>
              <w:t>4</w:t>
            </w:r>
          </w:p>
        </w:tc>
        <w:tc>
          <w:tcPr>
            <w:tcW w:w="1084" w:type="dxa"/>
            <w:tcBorders>
              <w:top w:val="single" w:sz="4" w:space="0" w:color="8EAADB"/>
              <w:left w:val="single" w:sz="4" w:space="0" w:color="8EAADB"/>
              <w:bottom w:val="single" w:sz="4" w:space="0" w:color="8EAADB"/>
              <w:right w:val="single" w:sz="4" w:space="0" w:color="8EAADB"/>
            </w:tcBorders>
            <w:shd w:val="clear" w:color="auto" w:fill="D9E2F3"/>
          </w:tcPr>
          <w:p w14:paraId="5E77E0E1" w14:textId="77777777" w:rsidR="0082643C" w:rsidRDefault="00000000" w:rsidP="00BE6153">
            <w:pPr>
              <w:jc w:val="center"/>
            </w:pPr>
            <w:r>
              <w:rPr>
                <w:sz w:val="18"/>
              </w:rPr>
              <w:t>120</w:t>
            </w:r>
          </w:p>
        </w:tc>
      </w:tr>
      <w:tr w:rsidR="00395D6D" w14:paraId="59B43289" w14:textId="77777777">
        <w:trPr>
          <w:jc w:val="center"/>
        </w:trPr>
        <w:tc>
          <w:tcPr>
            <w:tcW w:w="1206" w:type="dxa"/>
            <w:tcBorders>
              <w:top w:val="single" w:sz="4" w:space="0" w:color="8EAADB"/>
              <w:left w:val="single" w:sz="4" w:space="0" w:color="8EAADB"/>
              <w:bottom w:val="single" w:sz="4" w:space="0" w:color="8EAADB"/>
              <w:right w:val="single" w:sz="4" w:space="0" w:color="8EAADB"/>
            </w:tcBorders>
            <w:shd w:val="clear" w:color="auto" w:fill="D9E2F3"/>
          </w:tcPr>
          <w:p w14:paraId="30E76E61" w14:textId="77777777" w:rsidR="0082643C" w:rsidRDefault="00000000">
            <w:pPr>
              <w:jc w:val="center"/>
            </w:pPr>
            <w:r>
              <w:rPr>
                <w:sz w:val="18"/>
              </w:rPr>
              <w:t>CPA-508</w:t>
            </w:r>
          </w:p>
        </w:tc>
        <w:tc>
          <w:tcPr>
            <w:tcW w:w="3015" w:type="dxa"/>
            <w:tcBorders>
              <w:top w:val="single" w:sz="4" w:space="0" w:color="8EAADB"/>
              <w:left w:val="single" w:sz="4" w:space="0" w:color="8EAADB"/>
              <w:bottom w:val="single" w:sz="4" w:space="0" w:color="8EAADB"/>
              <w:right w:val="single" w:sz="4" w:space="0" w:color="8EAADB"/>
            </w:tcBorders>
            <w:shd w:val="clear" w:color="auto" w:fill="D9E2F3"/>
          </w:tcPr>
          <w:p w14:paraId="398249B8" w14:textId="77777777" w:rsidR="0082643C" w:rsidRDefault="00000000">
            <w:pPr>
              <w:jc w:val="both"/>
            </w:pPr>
            <w:r>
              <w:rPr>
                <w:sz w:val="18"/>
              </w:rPr>
              <w:t>Auditoría Forense y Prevención de Delitos Económicos</w:t>
            </w:r>
          </w:p>
        </w:tc>
        <w:tc>
          <w:tcPr>
            <w:tcW w:w="1688" w:type="dxa"/>
            <w:tcBorders>
              <w:top w:val="single" w:sz="4" w:space="0" w:color="8EAADB"/>
              <w:left w:val="single" w:sz="4" w:space="0" w:color="8EAADB"/>
              <w:bottom w:val="single" w:sz="4" w:space="0" w:color="8EAADB"/>
              <w:right w:val="single" w:sz="4" w:space="0" w:color="8EAADB"/>
            </w:tcBorders>
            <w:shd w:val="clear" w:color="auto" w:fill="D9E2F3"/>
          </w:tcPr>
          <w:p w14:paraId="5652E073" w14:textId="77777777" w:rsidR="0082643C" w:rsidRDefault="00000000">
            <w:pPr>
              <w:jc w:val="both"/>
            </w:pPr>
            <w:r>
              <w:rPr>
                <w:sz w:val="18"/>
              </w:rPr>
              <w:t>CPA-401 a CPA-408</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447975FE" w14:textId="77777777" w:rsidR="0082643C" w:rsidRDefault="00000000" w:rsidP="00BE6153">
            <w:pPr>
              <w:jc w:val="center"/>
            </w:pPr>
            <w:r>
              <w:rPr>
                <w:sz w:val="18"/>
              </w:rPr>
              <w:t>2</w:t>
            </w:r>
          </w:p>
        </w:tc>
        <w:tc>
          <w:tcPr>
            <w:tcW w:w="844" w:type="dxa"/>
            <w:tcBorders>
              <w:top w:val="single" w:sz="4" w:space="0" w:color="8EAADB"/>
              <w:left w:val="single" w:sz="4" w:space="0" w:color="8EAADB"/>
              <w:bottom w:val="single" w:sz="4" w:space="0" w:color="8EAADB"/>
              <w:right w:val="single" w:sz="4" w:space="0" w:color="8EAADB"/>
            </w:tcBorders>
            <w:shd w:val="clear" w:color="auto" w:fill="D9E2F3"/>
          </w:tcPr>
          <w:p w14:paraId="02B05F6D" w14:textId="77777777" w:rsidR="0082643C" w:rsidRDefault="00000000" w:rsidP="00BE6153">
            <w:pPr>
              <w:jc w:val="center"/>
            </w:pPr>
            <w:r>
              <w:rPr>
                <w:sz w:val="18"/>
              </w:rPr>
              <w:t>80</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43499D62" w14:textId="77777777" w:rsidR="0082643C" w:rsidRDefault="00000000" w:rsidP="00BE6153">
            <w:pPr>
              <w:jc w:val="center"/>
            </w:pPr>
            <w:r>
              <w:rPr>
                <w:sz w:val="18"/>
              </w:rPr>
              <w:t>4</w:t>
            </w:r>
          </w:p>
        </w:tc>
        <w:tc>
          <w:tcPr>
            <w:tcW w:w="1084" w:type="dxa"/>
            <w:tcBorders>
              <w:top w:val="single" w:sz="4" w:space="0" w:color="8EAADB"/>
              <w:left w:val="single" w:sz="4" w:space="0" w:color="8EAADB"/>
              <w:bottom w:val="single" w:sz="4" w:space="0" w:color="8EAADB"/>
              <w:right w:val="single" w:sz="4" w:space="0" w:color="8EAADB"/>
            </w:tcBorders>
            <w:shd w:val="clear" w:color="auto" w:fill="D9E2F3"/>
          </w:tcPr>
          <w:p w14:paraId="7A2788B3" w14:textId="77777777" w:rsidR="0082643C" w:rsidRDefault="00000000" w:rsidP="00BE6153">
            <w:pPr>
              <w:jc w:val="center"/>
            </w:pPr>
            <w:r>
              <w:rPr>
                <w:sz w:val="18"/>
              </w:rPr>
              <w:t>120</w:t>
            </w:r>
          </w:p>
        </w:tc>
      </w:tr>
      <w:tr w:rsidR="00395D6D" w14:paraId="66EB489B" w14:textId="77777777">
        <w:trPr>
          <w:jc w:val="center"/>
        </w:trPr>
        <w:tc>
          <w:tcPr>
            <w:tcW w:w="1206" w:type="dxa"/>
            <w:tcBorders>
              <w:top w:val="single" w:sz="4" w:space="0" w:color="8EAADB"/>
              <w:left w:val="single" w:sz="4" w:space="0" w:color="8EAADB"/>
              <w:bottom w:val="single" w:sz="4" w:space="0" w:color="8EAADB"/>
              <w:right w:val="single" w:sz="4" w:space="0" w:color="8EAADB"/>
            </w:tcBorders>
            <w:shd w:val="clear" w:color="auto" w:fill="D9E2F3"/>
          </w:tcPr>
          <w:p w14:paraId="7103A72E" w14:textId="77777777" w:rsidR="0082643C" w:rsidRDefault="00000000">
            <w:pPr>
              <w:jc w:val="center"/>
            </w:pPr>
            <w:r>
              <w:rPr>
                <w:sz w:val="18"/>
              </w:rPr>
              <w:t>CPA-509</w:t>
            </w:r>
          </w:p>
        </w:tc>
        <w:tc>
          <w:tcPr>
            <w:tcW w:w="3015" w:type="dxa"/>
            <w:tcBorders>
              <w:top w:val="single" w:sz="4" w:space="0" w:color="8EAADB"/>
              <w:left w:val="single" w:sz="4" w:space="0" w:color="8EAADB"/>
              <w:bottom w:val="single" w:sz="4" w:space="0" w:color="8EAADB"/>
              <w:right w:val="single" w:sz="4" w:space="0" w:color="8EAADB"/>
            </w:tcBorders>
            <w:shd w:val="clear" w:color="auto" w:fill="D9E2F3"/>
          </w:tcPr>
          <w:p w14:paraId="343181C1" w14:textId="77777777" w:rsidR="0082643C" w:rsidRDefault="00000000">
            <w:pPr>
              <w:jc w:val="both"/>
            </w:pPr>
            <w:r>
              <w:rPr>
                <w:sz w:val="18"/>
              </w:rPr>
              <w:t>Auditoría de Entidades Financieras y Servicios Relacionados</w:t>
            </w:r>
          </w:p>
        </w:tc>
        <w:tc>
          <w:tcPr>
            <w:tcW w:w="1688" w:type="dxa"/>
            <w:tcBorders>
              <w:top w:val="single" w:sz="4" w:space="0" w:color="8EAADB"/>
              <w:left w:val="single" w:sz="4" w:space="0" w:color="8EAADB"/>
              <w:bottom w:val="single" w:sz="4" w:space="0" w:color="8EAADB"/>
              <w:right w:val="single" w:sz="4" w:space="0" w:color="8EAADB"/>
            </w:tcBorders>
            <w:shd w:val="clear" w:color="auto" w:fill="D9E2F3"/>
          </w:tcPr>
          <w:p w14:paraId="6A4B8E45" w14:textId="77777777" w:rsidR="0082643C" w:rsidRDefault="00000000">
            <w:pPr>
              <w:jc w:val="both"/>
            </w:pPr>
            <w:r>
              <w:rPr>
                <w:sz w:val="18"/>
              </w:rPr>
              <w:t>CPA-401 a CPA-408</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6F9DE001" w14:textId="77777777" w:rsidR="0082643C" w:rsidRDefault="00000000" w:rsidP="00BE6153">
            <w:pPr>
              <w:jc w:val="center"/>
            </w:pPr>
            <w:r>
              <w:rPr>
                <w:sz w:val="18"/>
              </w:rPr>
              <w:t>2</w:t>
            </w:r>
          </w:p>
        </w:tc>
        <w:tc>
          <w:tcPr>
            <w:tcW w:w="844" w:type="dxa"/>
            <w:tcBorders>
              <w:top w:val="single" w:sz="4" w:space="0" w:color="8EAADB"/>
              <w:left w:val="single" w:sz="4" w:space="0" w:color="8EAADB"/>
              <w:bottom w:val="single" w:sz="4" w:space="0" w:color="8EAADB"/>
              <w:right w:val="single" w:sz="4" w:space="0" w:color="8EAADB"/>
            </w:tcBorders>
            <w:shd w:val="clear" w:color="auto" w:fill="D9E2F3"/>
          </w:tcPr>
          <w:p w14:paraId="16A778A2" w14:textId="77777777" w:rsidR="0082643C" w:rsidRDefault="00000000" w:rsidP="00BE6153">
            <w:pPr>
              <w:jc w:val="center"/>
            </w:pPr>
            <w:r>
              <w:rPr>
                <w:sz w:val="18"/>
              </w:rPr>
              <w:t>80</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31CB927A" w14:textId="77777777" w:rsidR="0082643C" w:rsidRDefault="00000000" w:rsidP="00BE6153">
            <w:pPr>
              <w:jc w:val="center"/>
            </w:pPr>
            <w:r>
              <w:rPr>
                <w:sz w:val="18"/>
              </w:rPr>
              <w:t>4</w:t>
            </w:r>
          </w:p>
        </w:tc>
        <w:tc>
          <w:tcPr>
            <w:tcW w:w="1084" w:type="dxa"/>
            <w:tcBorders>
              <w:top w:val="single" w:sz="4" w:space="0" w:color="8EAADB"/>
              <w:left w:val="single" w:sz="4" w:space="0" w:color="8EAADB"/>
              <w:bottom w:val="single" w:sz="4" w:space="0" w:color="8EAADB"/>
              <w:right w:val="single" w:sz="4" w:space="0" w:color="8EAADB"/>
            </w:tcBorders>
            <w:shd w:val="clear" w:color="auto" w:fill="D9E2F3"/>
          </w:tcPr>
          <w:p w14:paraId="69BF31ED" w14:textId="77777777" w:rsidR="0082643C" w:rsidRDefault="00000000" w:rsidP="00BE6153">
            <w:pPr>
              <w:jc w:val="center"/>
            </w:pPr>
            <w:r>
              <w:rPr>
                <w:sz w:val="18"/>
              </w:rPr>
              <w:t>120</w:t>
            </w:r>
          </w:p>
        </w:tc>
      </w:tr>
      <w:tr w:rsidR="00395D6D" w14:paraId="09B50036" w14:textId="77777777">
        <w:trPr>
          <w:jc w:val="center"/>
        </w:trPr>
        <w:tc>
          <w:tcPr>
            <w:tcW w:w="1206" w:type="dxa"/>
            <w:tcBorders>
              <w:top w:val="single" w:sz="4" w:space="0" w:color="8EAADB"/>
              <w:left w:val="single" w:sz="4" w:space="0" w:color="8EAADB"/>
              <w:bottom w:val="single" w:sz="4" w:space="0" w:color="8EAADB"/>
              <w:right w:val="single" w:sz="4" w:space="0" w:color="8EAADB"/>
            </w:tcBorders>
            <w:shd w:val="clear" w:color="auto" w:fill="D9E2F3"/>
          </w:tcPr>
          <w:p w14:paraId="6B4D57A5" w14:textId="77777777" w:rsidR="0082643C" w:rsidRDefault="00000000">
            <w:pPr>
              <w:jc w:val="center"/>
            </w:pPr>
            <w:r>
              <w:rPr>
                <w:sz w:val="18"/>
              </w:rPr>
              <w:t>CPA-510</w:t>
            </w:r>
          </w:p>
        </w:tc>
        <w:tc>
          <w:tcPr>
            <w:tcW w:w="3015" w:type="dxa"/>
            <w:tcBorders>
              <w:top w:val="single" w:sz="4" w:space="0" w:color="8EAADB"/>
              <w:left w:val="single" w:sz="4" w:space="0" w:color="8EAADB"/>
              <w:bottom w:val="single" w:sz="4" w:space="0" w:color="8EAADB"/>
              <w:right w:val="single" w:sz="4" w:space="0" w:color="8EAADB"/>
            </w:tcBorders>
            <w:shd w:val="clear" w:color="auto" w:fill="D9E2F3"/>
          </w:tcPr>
          <w:p w14:paraId="11284004" w14:textId="77777777" w:rsidR="0082643C" w:rsidRDefault="00000000">
            <w:pPr>
              <w:jc w:val="both"/>
            </w:pPr>
            <w:r>
              <w:rPr>
                <w:sz w:val="18"/>
              </w:rPr>
              <w:t>Taller de Grado</w:t>
            </w:r>
          </w:p>
        </w:tc>
        <w:tc>
          <w:tcPr>
            <w:tcW w:w="1688" w:type="dxa"/>
            <w:tcBorders>
              <w:top w:val="single" w:sz="4" w:space="0" w:color="8EAADB"/>
              <w:left w:val="single" w:sz="4" w:space="0" w:color="8EAADB"/>
              <w:bottom w:val="single" w:sz="4" w:space="0" w:color="8EAADB"/>
              <w:right w:val="single" w:sz="4" w:space="0" w:color="8EAADB"/>
            </w:tcBorders>
            <w:shd w:val="clear" w:color="auto" w:fill="D9E2F3"/>
          </w:tcPr>
          <w:p w14:paraId="502CA2A8" w14:textId="77777777" w:rsidR="0082643C" w:rsidRDefault="00000000">
            <w:pPr>
              <w:jc w:val="both"/>
            </w:pPr>
            <w:r>
              <w:rPr>
                <w:sz w:val="18"/>
              </w:rPr>
              <w:t>CPA-401 a CPA-408</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5B68F2A0" w14:textId="77777777" w:rsidR="0082643C" w:rsidRDefault="00000000" w:rsidP="00BE6153">
            <w:pPr>
              <w:jc w:val="center"/>
            </w:pPr>
            <w:r>
              <w:rPr>
                <w:sz w:val="18"/>
              </w:rPr>
              <w:t>2</w:t>
            </w:r>
          </w:p>
        </w:tc>
        <w:tc>
          <w:tcPr>
            <w:tcW w:w="844" w:type="dxa"/>
            <w:tcBorders>
              <w:top w:val="single" w:sz="4" w:space="0" w:color="8EAADB"/>
              <w:left w:val="single" w:sz="4" w:space="0" w:color="8EAADB"/>
              <w:bottom w:val="single" w:sz="4" w:space="0" w:color="8EAADB"/>
              <w:right w:val="single" w:sz="4" w:space="0" w:color="8EAADB"/>
            </w:tcBorders>
            <w:shd w:val="clear" w:color="auto" w:fill="D9E2F3"/>
          </w:tcPr>
          <w:p w14:paraId="6430DE08" w14:textId="77777777" w:rsidR="0082643C" w:rsidRDefault="00000000" w:rsidP="00BE6153">
            <w:pPr>
              <w:jc w:val="center"/>
            </w:pPr>
            <w:r>
              <w:rPr>
                <w:sz w:val="18"/>
              </w:rPr>
              <w:t>80</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41C2C70D" w14:textId="77777777" w:rsidR="0082643C" w:rsidRDefault="00000000" w:rsidP="00BE6153">
            <w:pPr>
              <w:jc w:val="center"/>
            </w:pPr>
            <w:r>
              <w:rPr>
                <w:sz w:val="18"/>
              </w:rPr>
              <w:t>4</w:t>
            </w:r>
          </w:p>
        </w:tc>
        <w:tc>
          <w:tcPr>
            <w:tcW w:w="1084" w:type="dxa"/>
            <w:tcBorders>
              <w:top w:val="single" w:sz="4" w:space="0" w:color="8EAADB"/>
              <w:left w:val="single" w:sz="4" w:space="0" w:color="8EAADB"/>
              <w:bottom w:val="single" w:sz="4" w:space="0" w:color="8EAADB"/>
              <w:right w:val="single" w:sz="4" w:space="0" w:color="8EAADB"/>
            </w:tcBorders>
            <w:shd w:val="clear" w:color="auto" w:fill="D9E2F3"/>
          </w:tcPr>
          <w:p w14:paraId="685B1802" w14:textId="77777777" w:rsidR="0082643C" w:rsidRDefault="00000000" w:rsidP="00BE6153">
            <w:pPr>
              <w:jc w:val="center"/>
            </w:pPr>
            <w:r>
              <w:rPr>
                <w:sz w:val="18"/>
              </w:rPr>
              <w:t>120</w:t>
            </w:r>
          </w:p>
        </w:tc>
      </w:tr>
      <w:tr w:rsidR="00395D6D" w14:paraId="5FB9A6A7" w14:textId="77777777">
        <w:trPr>
          <w:jc w:val="center"/>
        </w:trPr>
        <w:tc>
          <w:tcPr>
            <w:tcW w:w="1206" w:type="dxa"/>
            <w:tcBorders>
              <w:top w:val="single" w:sz="4" w:space="0" w:color="8EAADB"/>
              <w:left w:val="single" w:sz="4" w:space="0" w:color="8EAADB"/>
              <w:bottom w:val="single" w:sz="4" w:space="0" w:color="8EAADB"/>
              <w:right w:val="single" w:sz="4" w:space="0" w:color="8EAADB"/>
            </w:tcBorders>
            <w:shd w:val="clear" w:color="auto" w:fill="D9E2F3"/>
          </w:tcPr>
          <w:p w14:paraId="7FD5D847" w14:textId="77777777" w:rsidR="0082643C" w:rsidRDefault="0082643C"/>
        </w:tc>
        <w:tc>
          <w:tcPr>
            <w:tcW w:w="3015" w:type="dxa"/>
            <w:tcBorders>
              <w:top w:val="single" w:sz="4" w:space="0" w:color="8EAADB"/>
              <w:left w:val="single" w:sz="4" w:space="0" w:color="8EAADB"/>
              <w:bottom w:val="single" w:sz="4" w:space="0" w:color="8EAADB"/>
              <w:right w:val="single" w:sz="4" w:space="0" w:color="8EAADB"/>
            </w:tcBorders>
            <w:shd w:val="clear" w:color="auto" w:fill="D9E2F3"/>
          </w:tcPr>
          <w:p w14:paraId="49D712A1" w14:textId="77777777" w:rsidR="0082643C" w:rsidRDefault="00000000">
            <w:pPr>
              <w:jc w:val="center"/>
            </w:pPr>
            <w:r>
              <w:rPr>
                <w:b/>
                <w:sz w:val="18"/>
              </w:rPr>
              <w:t>Total quinto año</w:t>
            </w:r>
          </w:p>
        </w:tc>
        <w:tc>
          <w:tcPr>
            <w:tcW w:w="1688" w:type="dxa"/>
            <w:tcBorders>
              <w:top w:val="single" w:sz="4" w:space="0" w:color="8EAADB"/>
              <w:left w:val="single" w:sz="4" w:space="0" w:color="8EAADB"/>
              <w:bottom w:val="single" w:sz="4" w:space="0" w:color="8EAADB"/>
              <w:right w:val="single" w:sz="4" w:space="0" w:color="8EAADB"/>
            </w:tcBorders>
            <w:shd w:val="clear" w:color="auto" w:fill="D9E2F3"/>
          </w:tcPr>
          <w:p w14:paraId="5AF2879F" w14:textId="77777777" w:rsidR="0082643C" w:rsidRDefault="0082643C"/>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2549D680" w14:textId="77777777" w:rsidR="0082643C" w:rsidRDefault="00000000" w:rsidP="00BE6153">
            <w:pPr>
              <w:jc w:val="center"/>
            </w:pPr>
            <w:r>
              <w:rPr>
                <w:b/>
                <w:sz w:val="18"/>
              </w:rPr>
              <w:t>30</w:t>
            </w:r>
          </w:p>
        </w:tc>
        <w:tc>
          <w:tcPr>
            <w:tcW w:w="844" w:type="dxa"/>
            <w:tcBorders>
              <w:top w:val="single" w:sz="4" w:space="0" w:color="8EAADB"/>
              <w:left w:val="single" w:sz="4" w:space="0" w:color="8EAADB"/>
              <w:bottom w:val="single" w:sz="4" w:space="0" w:color="8EAADB"/>
              <w:right w:val="single" w:sz="4" w:space="0" w:color="8EAADB"/>
            </w:tcBorders>
            <w:shd w:val="clear" w:color="auto" w:fill="D9E2F3"/>
          </w:tcPr>
          <w:p w14:paraId="1CB6AA05" w14:textId="77777777" w:rsidR="0082643C" w:rsidRDefault="00000000" w:rsidP="00BE6153">
            <w:pPr>
              <w:jc w:val="center"/>
            </w:pPr>
            <w:r>
              <w:rPr>
                <w:b/>
                <w:sz w:val="18"/>
              </w:rPr>
              <w:t>1.200</w:t>
            </w:r>
          </w:p>
        </w:tc>
        <w:tc>
          <w:tcPr>
            <w:tcW w:w="784" w:type="dxa"/>
            <w:tcBorders>
              <w:top w:val="single" w:sz="4" w:space="0" w:color="8EAADB"/>
              <w:left w:val="single" w:sz="4" w:space="0" w:color="8EAADB"/>
              <w:bottom w:val="single" w:sz="4" w:space="0" w:color="8EAADB"/>
              <w:right w:val="single" w:sz="4" w:space="0" w:color="8EAADB"/>
            </w:tcBorders>
            <w:shd w:val="clear" w:color="auto" w:fill="D9E2F3"/>
          </w:tcPr>
          <w:p w14:paraId="26A53A2A" w14:textId="77777777" w:rsidR="0082643C" w:rsidRDefault="00000000" w:rsidP="00BE6153">
            <w:pPr>
              <w:jc w:val="center"/>
            </w:pPr>
            <w:r>
              <w:rPr>
                <w:b/>
                <w:sz w:val="18"/>
              </w:rPr>
              <w:t>60</w:t>
            </w:r>
          </w:p>
        </w:tc>
        <w:tc>
          <w:tcPr>
            <w:tcW w:w="1084" w:type="dxa"/>
            <w:tcBorders>
              <w:top w:val="single" w:sz="4" w:space="0" w:color="8EAADB"/>
              <w:left w:val="single" w:sz="4" w:space="0" w:color="8EAADB"/>
              <w:bottom w:val="single" w:sz="4" w:space="0" w:color="8EAADB"/>
              <w:right w:val="single" w:sz="4" w:space="0" w:color="8EAADB"/>
            </w:tcBorders>
            <w:shd w:val="clear" w:color="auto" w:fill="D9E2F3"/>
          </w:tcPr>
          <w:p w14:paraId="2BB52783" w14:textId="77777777" w:rsidR="0082643C" w:rsidRDefault="00000000" w:rsidP="00BE6153">
            <w:pPr>
              <w:jc w:val="center"/>
            </w:pPr>
            <w:r>
              <w:rPr>
                <w:b/>
                <w:sz w:val="18"/>
              </w:rPr>
              <w:t>1.800</w:t>
            </w:r>
          </w:p>
        </w:tc>
      </w:tr>
    </w:tbl>
    <w:p w14:paraId="703B3B3E" w14:textId="77777777" w:rsidR="0082643C" w:rsidRDefault="0082643C">
      <w:pPr>
        <w:spacing w:after="120"/>
      </w:pPr>
    </w:p>
    <w:p w14:paraId="2B5CACEA" w14:textId="77777777" w:rsidR="0082643C" w:rsidRDefault="00000000">
      <w:pPr>
        <w:spacing w:after="200"/>
        <w:jc w:val="both"/>
      </w:pPr>
      <w:r>
        <w:rPr>
          <w:sz w:val="18"/>
        </w:rPr>
        <w:lastRenderedPageBreak/>
        <w:t>Hrs. sem.: horas por semana. Hrs. año: horas académicas por año. Créd.: créditos. Hrs. trabajo: horas de trabajo del estudiante, presenciales y no presenciales. AE: Admisión Especial. CPF: Curso Preuniversitario o Prefacultativo. PSA: Prueba de Suficiencia Académica. Ciclo básico: primer y segundo año; ciclo profesional: tercer y cuarto año; ciclo de integración y profundización: quinto año.</w:t>
      </w:r>
    </w:p>
    <w:p w14:paraId="1D625C5C" w14:textId="77777777" w:rsidR="0082643C" w:rsidRDefault="00000000">
      <w:pPr>
        <w:keepNext/>
        <w:tabs>
          <w:tab w:val="left" w:pos="709"/>
        </w:tabs>
        <w:spacing w:before="80" w:after="200"/>
        <w:ind w:left="709" w:hanging="709"/>
        <w:outlineLvl w:val="2"/>
      </w:pPr>
      <w:bookmarkStart w:id="142" w:name="_Toc000000084"/>
      <w:r>
        <w:rPr>
          <w:b/>
          <w:sz w:val="22"/>
        </w:rPr>
        <w:t>4.4.4</w:t>
      </w:r>
      <w:r>
        <w:rPr>
          <w:b/>
          <w:sz w:val="22"/>
        </w:rPr>
        <w:tab/>
        <w:t>Cuadro de asignación de cargas horarias presenciales, no presenciales (según formato)</w:t>
      </w:r>
      <w:bookmarkEnd w:id="142"/>
    </w:p>
    <w:p w14:paraId="617DF69C" w14:textId="77777777" w:rsidR="0082643C" w:rsidRDefault="00000000">
      <w:pPr>
        <w:spacing w:after="200"/>
        <w:jc w:val="both"/>
      </w:pPr>
      <w:r>
        <w:t>El plan se desarrolla en modalidad presencial y régimen anual durante cinco años. La carga horaria por año, distinguiendo horas presenciales y no presenciales, es la siguiente:</w:t>
      </w:r>
    </w:p>
    <w:p w14:paraId="386A9990" w14:textId="77777777" w:rsidR="0082643C" w:rsidRDefault="00000000">
      <w:pPr>
        <w:pStyle w:val="TituloCuadro"/>
        <w:keepNext/>
        <w:spacing w:before="40" w:after="80"/>
        <w:jc w:val="center"/>
      </w:pPr>
      <w:bookmarkStart w:id="143" w:name="_Toc000000338"/>
      <w:r>
        <w:rPr>
          <w:b/>
        </w:rPr>
        <w:t>Cuadro 10. Asignación de cargas horarias por año</w:t>
      </w:r>
      <w:bookmarkEnd w:id="143"/>
    </w:p>
    <w:tbl>
      <w:tblPr>
        <w:tblW w:w="9405" w:type="dxa"/>
        <w:jc w:val="center"/>
        <w:tblLayout w:type="fixed"/>
        <w:tblLook w:val="04A0" w:firstRow="1" w:lastRow="0" w:firstColumn="1" w:lastColumn="0" w:noHBand="0" w:noVBand="1"/>
      </w:tblPr>
      <w:tblGrid>
        <w:gridCol w:w="1176"/>
        <w:gridCol w:w="1176"/>
        <w:gridCol w:w="1176"/>
        <w:gridCol w:w="1176"/>
        <w:gridCol w:w="1176"/>
        <w:gridCol w:w="1176"/>
        <w:gridCol w:w="1176"/>
        <w:gridCol w:w="1173"/>
      </w:tblGrid>
      <w:tr w:rsidR="00395D6D" w14:paraId="10B38374" w14:textId="77777777">
        <w:trPr>
          <w:tblHeader/>
          <w:jc w:val="center"/>
        </w:trPr>
        <w:tc>
          <w:tcPr>
            <w:tcW w:w="117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C91E973" w14:textId="77777777" w:rsidR="0082643C" w:rsidRDefault="00000000">
            <w:pPr>
              <w:jc w:val="center"/>
            </w:pPr>
            <w:r>
              <w:rPr>
                <w:b/>
                <w:color w:val="FFFFFF"/>
              </w:rPr>
              <w:t>Año</w:t>
            </w:r>
          </w:p>
        </w:tc>
        <w:tc>
          <w:tcPr>
            <w:tcW w:w="117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4B5CD33" w14:textId="77777777" w:rsidR="0082643C" w:rsidRDefault="00000000">
            <w:pPr>
              <w:jc w:val="center"/>
            </w:pPr>
            <w:r>
              <w:rPr>
                <w:b/>
                <w:color w:val="FFFFFF"/>
              </w:rPr>
              <w:t>Asig.</w:t>
            </w:r>
          </w:p>
        </w:tc>
        <w:tc>
          <w:tcPr>
            <w:tcW w:w="117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D8DF113" w14:textId="77777777" w:rsidR="0082643C" w:rsidRDefault="00000000">
            <w:pPr>
              <w:jc w:val="center"/>
            </w:pPr>
            <w:r>
              <w:rPr>
                <w:b/>
                <w:color w:val="FFFFFF"/>
              </w:rPr>
              <w:t>Hrs. sem.</w:t>
            </w:r>
          </w:p>
        </w:tc>
        <w:tc>
          <w:tcPr>
            <w:tcW w:w="117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9662DB0" w14:textId="77777777" w:rsidR="0082643C" w:rsidRDefault="00000000">
            <w:pPr>
              <w:jc w:val="center"/>
            </w:pPr>
            <w:r>
              <w:rPr>
                <w:b/>
                <w:color w:val="FFFFFF"/>
              </w:rPr>
              <w:t>Hrs. pres. año</w:t>
            </w:r>
          </w:p>
        </w:tc>
        <w:tc>
          <w:tcPr>
            <w:tcW w:w="117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FF36CDD" w14:textId="77777777" w:rsidR="0082643C" w:rsidRDefault="00000000">
            <w:pPr>
              <w:jc w:val="center"/>
            </w:pPr>
            <w:r>
              <w:rPr>
                <w:b/>
                <w:color w:val="FFFFFF"/>
              </w:rPr>
              <w:t>Hrs. no pres.</w:t>
            </w:r>
          </w:p>
        </w:tc>
        <w:tc>
          <w:tcPr>
            <w:tcW w:w="117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8A42F68" w14:textId="77777777" w:rsidR="0082643C" w:rsidRDefault="00000000">
            <w:pPr>
              <w:jc w:val="center"/>
            </w:pPr>
            <w:r>
              <w:rPr>
                <w:b/>
                <w:color w:val="FFFFFF"/>
              </w:rPr>
              <w:t>Hrs. trabajo</w:t>
            </w:r>
          </w:p>
        </w:tc>
        <w:tc>
          <w:tcPr>
            <w:tcW w:w="117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DBB6972" w14:textId="77777777" w:rsidR="0082643C" w:rsidRDefault="00000000">
            <w:pPr>
              <w:jc w:val="center"/>
            </w:pPr>
            <w:r>
              <w:rPr>
                <w:b/>
                <w:color w:val="FFFFFF"/>
              </w:rPr>
              <w:t>Créd.</w:t>
            </w:r>
          </w:p>
        </w:tc>
        <w:tc>
          <w:tcPr>
            <w:tcW w:w="117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9C90AE3" w14:textId="77777777" w:rsidR="0082643C" w:rsidRDefault="00000000">
            <w:pPr>
              <w:jc w:val="center"/>
            </w:pPr>
            <w:r>
              <w:rPr>
                <w:b/>
                <w:color w:val="FFFFFF"/>
              </w:rPr>
              <w:t>% hrs. pres.</w:t>
            </w:r>
          </w:p>
        </w:tc>
      </w:tr>
      <w:tr w:rsidR="00395D6D" w14:paraId="67DBD6BA" w14:textId="77777777">
        <w:trPr>
          <w:jc w:val="center"/>
        </w:trPr>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51C6BC93" w14:textId="77777777" w:rsidR="0082643C" w:rsidRDefault="00000000">
            <w:pPr>
              <w:jc w:val="both"/>
            </w:pPr>
            <w:r>
              <w:t>Primer año</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503D3F86" w14:textId="77777777" w:rsidR="0082643C" w:rsidRDefault="00000000" w:rsidP="00850BB6">
            <w:pPr>
              <w:jc w:val="center"/>
            </w:pPr>
            <w:r>
              <w:t>8</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58BAD5A3" w14:textId="77777777" w:rsidR="0082643C" w:rsidRDefault="00000000" w:rsidP="00850BB6">
            <w:pPr>
              <w:jc w:val="center"/>
            </w:pPr>
            <w:r>
              <w:t>26</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12A2C5E1" w14:textId="77777777" w:rsidR="0082643C" w:rsidRDefault="00000000" w:rsidP="00850BB6">
            <w:pPr>
              <w:jc w:val="center"/>
            </w:pPr>
            <w:r>
              <w:t>1.040</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098DFF4A" w14:textId="77777777" w:rsidR="0082643C" w:rsidRDefault="00000000" w:rsidP="00850BB6">
            <w:pPr>
              <w:jc w:val="center"/>
            </w:pPr>
            <w:r>
              <w:t>760</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2787765A" w14:textId="77777777" w:rsidR="0082643C" w:rsidRDefault="00000000" w:rsidP="00850BB6">
            <w:pPr>
              <w:jc w:val="center"/>
            </w:pPr>
            <w:r>
              <w:t>1.800</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12D42494" w14:textId="77777777" w:rsidR="0082643C" w:rsidRDefault="00000000" w:rsidP="00850BB6">
            <w:pPr>
              <w:jc w:val="center"/>
            </w:pPr>
            <w:r>
              <w:t>60</w:t>
            </w:r>
          </w:p>
        </w:tc>
        <w:tc>
          <w:tcPr>
            <w:tcW w:w="1173" w:type="dxa"/>
            <w:tcBorders>
              <w:top w:val="single" w:sz="4" w:space="0" w:color="8EAADB"/>
              <w:left w:val="single" w:sz="4" w:space="0" w:color="8EAADB"/>
              <w:bottom w:val="single" w:sz="4" w:space="0" w:color="8EAADB"/>
              <w:right w:val="single" w:sz="4" w:space="0" w:color="8EAADB"/>
            </w:tcBorders>
            <w:shd w:val="clear" w:color="auto" w:fill="D9E2F3"/>
          </w:tcPr>
          <w:p w14:paraId="6F8BF8FC" w14:textId="77777777" w:rsidR="0082643C" w:rsidRDefault="00000000" w:rsidP="00850BB6">
            <w:pPr>
              <w:jc w:val="center"/>
            </w:pPr>
            <w:r>
              <w:t>17,33</w:t>
            </w:r>
          </w:p>
        </w:tc>
      </w:tr>
      <w:tr w:rsidR="00395D6D" w14:paraId="756B37D8" w14:textId="77777777">
        <w:trPr>
          <w:jc w:val="center"/>
        </w:trPr>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77C98F15" w14:textId="77777777" w:rsidR="0082643C" w:rsidRDefault="00000000">
            <w:pPr>
              <w:jc w:val="both"/>
            </w:pPr>
            <w:r>
              <w:t>Segundo año</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0A831FF4" w14:textId="77777777" w:rsidR="0082643C" w:rsidRDefault="00000000" w:rsidP="00850BB6">
            <w:pPr>
              <w:jc w:val="center"/>
            </w:pPr>
            <w:r>
              <w:t>8</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636D88EA" w14:textId="77777777" w:rsidR="0082643C" w:rsidRDefault="00000000" w:rsidP="00850BB6">
            <w:pPr>
              <w:jc w:val="center"/>
            </w:pPr>
            <w:r>
              <w:t>30</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7C2A5877" w14:textId="77777777" w:rsidR="0082643C" w:rsidRDefault="00000000" w:rsidP="00850BB6">
            <w:pPr>
              <w:jc w:val="center"/>
            </w:pPr>
            <w:r>
              <w:t>1.200</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7F90B6CD" w14:textId="77777777" w:rsidR="0082643C" w:rsidRDefault="00000000" w:rsidP="00850BB6">
            <w:pPr>
              <w:jc w:val="center"/>
            </w:pPr>
            <w:r>
              <w:t>600</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6DC1D420" w14:textId="77777777" w:rsidR="0082643C" w:rsidRDefault="00000000" w:rsidP="00850BB6">
            <w:pPr>
              <w:jc w:val="center"/>
            </w:pPr>
            <w:r>
              <w:t>1.800</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3FF3C0FE" w14:textId="77777777" w:rsidR="0082643C" w:rsidRDefault="00000000" w:rsidP="00850BB6">
            <w:pPr>
              <w:jc w:val="center"/>
            </w:pPr>
            <w:r>
              <w:t>60</w:t>
            </w:r>
          </w:p>
        </w:tc>
        <w:tc>
          <w:tcPr>
            <w:tcW w:w="1173" w:type="dxa"/>
            <w:tcBorders>
              <w:top w:val="single" w:sz="4" w:space="0" w:color="8EAADB"/>
              <w:left w:val="single" w:sz="4" w:space="0" w:color="8EAADB"/>
              <w:bottom w:val="single" w:sz="4" w:space="0" w:color="8EAADB"/>
              <w:right w:val="single" w:sz="4" w:space="0" w:color="8EAADB"/>
            </w:tcBorders>
            <w:shd w:val="clear" w:color="auto" w:fill="D9E2F3"/>
          </w:tcPr>
          <w:p w14:paraId="053FA35F" w14:textId="77777777" w:rsidR="0082643C" w:rsidRDefault="00000000" w:rsidP="00850BB6">
            <w:pPr>
              <w:jc w:val="center"/>
            </w:pPr>
            <w:r>
              <w:t>20,00</w:t>
            </w:r>
          </w:p>
        </w:tc>
      </w:tr>
      <w:tr w:rsidR="00395D6D" w14:paraId="3173FA1A" w14:textId="77777777">
        <w:trPr>
          <w:jc w:val="center"/>
        </w:trPr>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2D4A4C7C" w14:textId="77777777" w:rsidR="0082643C" w:rsidRDefault="00000000">
            <w:pPr>
              <w:jc w:val="both"/>
            </w:pPr>
            <w:r>
              <w:t>Tercer año</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166503FF" w14:textId="77777777" w:rsidR="0082643C" w:rsidRDefault="00000000" w:rsidP="00850BB6">
            <w:pPr>
              <w:jc w:val="center"/>
            </w:pPr>
            <w:r>
              <w:t>8</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3C570409" w14:textId="77777777" w:rsidR="0082643C" w:rsidRDefault="00000000" w:rsidP="00850BB6">
            <w:pPr>
              <w:jc w:val="center"/>
            </w:pPr>
            <w:r>
              <w:t>32</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7142A229" w14:textId="77777777" w:rsidR="0082643C" w:rsidRDefault="00000000" w:rsidP="00850BB6">
            <w:pPr>
              <w:jc w:val="center"/>
            </w:pPr>
            <w:r>
              <w:t>1.280</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2453F762" w14:textId="77777777" w:rsidR="0082643C" w:rsidRDefault="00000000" w:rsidP="00850BB6">
            <w:pPr>
              <w:jc w:val="center"/>
            </w:pPr>
            <w:r>
              <w:t>520</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44462113" w14:textId="77777777" w:rsidR="0082643C" w:rsidRDefault="00000000" w:rsidP="00850BB6">
            <w:pPr>
              <w:jc w:val="center"/>
            </w:pPr>
            <w:r>
              <w:t>1.800</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516FB1C4" w14:textId="77777777" w:rsidR="0082643C" w:rsidRDefault="00000000" w:rsidP="00850BB6">
            <w:pPr>
              <w:jc w:val="center"/>
            </w:pPr>
            <w:r>
              <w:t>60</w:t>
            </w:r>
          </w:p>
        </w:tc>
        <w:tc>
          <w:tcPr>
            <w:tcW w:w="1173" w:type="dxa"/>
            <w:tcBorders>
              <w:top w:val="single" w:sz="4" w:space="0" w:color="8EAADB"/>
              <w:left w:val="single" w:sz="4" w:space="0" w:color="8EAADB"/>
              <w:bottom w:val="single" w:sz="4" w:space="0" w:color="8EAADB"/>
              <w:right w:val="single" w:sz="4" w:space="0" w:color="8EAADB"/>
            </w:tcBorders>
            <w:shd w:val="clear" w:color="auto" w:fill="D9E2F3"/>
          </w:tcPr>
          <w:p w14:paraId="45037A34" w14:textId="77777777" w:rsidR="0082643C" w:rsidRDefault="00000000" w:rsidP="00850BB6">
            <w:pPr>
              <w:jc w:val="center"/>
            </w:pPr>
            <w:r>
              <w:t>21,33</w:t>
            </w:r>
          </w:p>
        </w:tc>
      </w:tr>
      <w:tr w:rsidR="00395D6D" w14:paraId="4528C761" w14:textId="77777777">
        <w:trPr>
          <w:jc w:val="center"/>
        </w:trPr>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494E8FC9" w14:textId="77777777" w:rsidR="0082643C" w:rsidRDefault="00000000">
            <w:pPr>
              <w:jc w:val="both"/>
            </w:pPr>
            <w:r>
              <w:t>Cuarto año</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65EEF1C7" w14:textId="77777777" w:rsidR="0082643C" w:rsidRDefault="00000000" w:rsidP="00850BB6">
            <w:pPr>
              <w:jc w:val="center"/>
            </w:pPr>
            <w:r>
              <w:t>9</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1ABE3E61" w14:textId="77777777" w:rsidR="0082643C" w:rsidRDefault="00000000" w:rsidP="00850BB6">
            <w:pPr>
              <w:jc w:val="center"/>
            </w:pPr>
            <w:r>
              <w:t>32</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0F6BD5F9" w14:textId="77777777" w:rsidR="0082643C" w:rsidRDefault="00000000" w:rsidP="00850BB6">
            <w:pPr>
              <w:jc w:val="center"/>
            </w:pPr>
            <w:r>
              <w:t>1.280</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36FC76EB" w14:textId="77777777" w:rsidR="0082643C" w:rsidRDefault="00000000" w:rsidP="00850BB6">
            <w:pPr>
              <w:jc w:val="center"/>
            </w:pPr>
            <w:r>
              <w:t>520</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0E6AD776" w14:textId="77777777" w:rsidR="0082643C" w:rsidRDefault="00000000" w:rsidP="00850BB6">
            <w:pPr>
              <w:jc w:val="center"/>
            </w:pPr>
            <w:r>
              <w:t>1.800</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33D88549" w14:textId="77777777" w:rsidR="0082643C" w:rsidRDefault="00000000" w:rsidP="00850BB6">
            <w:pPr>
              <w:jc w:val="center"/>
            </w:pPr>
            <w:r>
              <w:t>60</w:t>
            </w:r>
          </w:p>
        </w:tc>
        <w:tc>
          <w:tcPr>
            <w:tcW w:w="1173" w:type="dxa"/>
            <w:tcBorders>
              <w:top w:val="single" w:sz="4" w:space="0" w:color="8EAADB"/>
              <w:left w:val="single" w:sz="4" w:space="0" w:color="8EAADB"/>
              <w:bottom w:val="single" w:sz="4" w:space="0" w:color="8EAADB"/>
              <w:right w:val="single" w:sz="4" w:space="0" w:color="8EAADB"/>
            </w:tcBorders>
            <w:shd w:val="clear" w:color="auto" w:fill="D9E2F3"/>
          </w:tcPr>
          <w:p w14:paraId="147E1CEF" w14:textId="77777777" w:rsidR="0082643C" w:rsidRDefault="00000000" w:rsidP="00850BB6">
            <w:pPr>
              <w:jc w:val="center"/>
            </w:pPr>
            <w:r>
              <w:t>21,33</w:t>
            </w:r>
          </w:p>
        </w:tc>
      </w:tr>
      <w:tr w:rsidR="00395D6D" w14:paraId="322B24B3" w14:textId="77777777">
        <w:trPr>
          <w:jc w:val="center"/>
        </w:trPr>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4875A3D0" w14:textId="77777777" w:rsidR="0082643C" w:rsidRDefault="00000000">
            <w:pPr>
              <w:jc w:val="both"/>
            </w:pPr>
            <w:r>
              <w:t>Quinto año</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641A38A7" w14:textId="77777777" w:rsidR="0082643C" w:rsidRDefault="00000000" w:rsidP="00850BB6">
            <w:pPr>
              <w:jc w:val="center"/>
            </w:pPr>
            <w:r>
              <w:t>10</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5CFC538E" w14:textId="77777777" w:rsidR="0082643C" w:rsidRDefault="00000000" w:rsidP="00850BB6">
            <w:pPr>
              <w:jc w:val="center"/>
            </w:pPr>
            <w:r>
              <w:t>30</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571E5636" w14:textId="77777777" w:rsidR="0082643C" w:rsidRDefault="00000000" w:rsidP="00850BB6">
            <w:pPr>
              <w:jc w:val="center"/>
            </w:pPr>
            <w:r>
              <w:t>1.200</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41DE3779" w14:textId="77777777" w:rsidR="0082643C" w:rsidRDefault="00000000" w:rsidP="00850BB6">
            <w:pPr>
              <w:jc w:val="center"/>
            </w:pPr>
            <w:r>
              <w:t>600</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0502FF58" w14:textId="77777777" w:rsidR="0082643C" w:rsidRDefault="00000000" w:rsidP="00850BB6">
            <w:pPr>
              <w:jc w:val="center"/>
            </w:pPr>
            <w:r>
              <w:t>1.800</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5F0A7309" w14:textId="77777777" w:rsidR="0082643C" w:rsidRDefault="00000000" w:rsidP="00850BB6">
            <w:pPr>
              <w:jc w:val="center"/>
            </w:pPr>
            <w:r>
              <w:t>60</w:t>
            </w:r>
          </w:p>
        </w:tc>
        <w:tc>
          <w:tcPr>
            <w:tcW w:w="1173" w:type="dxa"/>
            <w:tcBorders>
              <w:top w:val="single" w:sz="4" w:space="0" w:color="8EAADB"/>
              <w:left w:val="single" w:sz="4" w:space="0" w:color="8EAADB"/>
              <w:bottom w:val="single" w:sz="4" w:space="0" w:color="8EAADB"/>
              <w:right w:val="single" w:sz="4" w:space="0" w:color="8EAADB"/>
            </w:tcBorders>
            <w:shd w:val="clear" w:color="auto" w:fill="D9E2F3"/>
          </w:tcPr>
          <w:p w14:paraId="2EEC1695" w14:textId="77777777" w:rsidR="0082643C" w:rsidRDefault="00000000" w:rsidP="00850BB6">
            <w:pPr>
              <w:jc w:val="center"/>
            </w:pPr>
            <w:r>
              <w:t>20,00</w:t>
            </w:r>
          </w:p>
        </w:tc>
      </w:tr>
      <w:tr w:rsidR="00395D6D" w14:paraId="055A3F75" w14:textId="77777777">
        <w:trPr>
          <w:jc w:val="center"/>
        </w:trPr>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3C2BC750" w14:textId="77777777" w:rsidR="0082643C" w:rsidRDefault="00000000">
            <w:pPr>
              <w:jc w:val="center"/>
            </w:pPr>
            <w:r>
              <w:rPr>
                <w:b/>
              </w:rPr>
              <w:t>Total</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768A0B32" w14:textId="77777777" w:rsidR="0082643C" w:rsidRDefault="00000000" w:rsidP="00850BB6">
            <w:pPr>
              <w:jc w:val="center"/>
            </w:pPr>
            <w:r>
              <w:rPr>
                <w:b/>
              </w:rPr>
              <w:t>43</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28DC73C7" w14:textId="77777777" w:rsidR="0082643C" w:rsidRDefault="00000000" w:rsidP="00850BB6">
            <w:pPr>
              <w:jc w:val="center"/>
            </w:pPr>
            <w:r>
              <w:rPr>
                <w:b/>
              </w:rPr>
              <w:t>150</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2C526173" w14:textId="77777777" w:rsidR="0082643C" w:rsidRDefault="00000000" w:rsidP="00850BB6">
            <w:pPr>
              <w:jc w:val="center"/>
            </w:pPr>
            <w:r>
              <w:rPr>
                <w:b/>
              </w:rPr>
              <w:t>6.000</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6F714F8B" w14:textId="77777777" w:rsidR="0082643C" w:rsidRDefault="00000000" w:rsidP="00850BB6">
            <w:pPr>
              <w:jc w:val="center"/>
            </w:pPr>
            <w:r>
              <w:rPr>
                <w:b/>
              </w:rPr>
              <w:t>3.000</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69056E5F" w14:textId="77777777" w:rsidR="0082643C" w:rsidRDefault="00000000" w:rsidP="00850BB6">
            <w:pPr>
              <w:jc w:val="center"/>
            </w:pPr>
            <w:r>
              <w:rPr>
                <w:b/>
              </w:rPr>
              <w:t>9.000</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10681B7D" w14:textId="77777777" w:rsidR="0082643C" w:rsidRDefault="00000000" w:rsidP="00850BB6">
            <w:pPr>
              <w:jc w:val="center"/>
            </w:pPr>
            <w:r>
              <w:rPr>
                <w:b/>
              </w:rPr>
              <w:t>300</w:t>
            </w:r>
          </w:p>
        </w:tc>
        <w:tc>
          <w:tcPr>
            <w:tcW w:w="1173" w:type="dxa"/>
            <w:tcBorders>
              <w:top w:val="single" w:sz="4" w:space="0" w:color="8EAADB"/>
              <w:left w:val="single" w:sz="4" w:space="0" w:color="8EAADB"/>
              <w:bottom w:val="single" w:sz="4" w:space="0" w:color="8EAADB"/>
              <w:right w:val="single" w:sz="4" w:space="0" w:color="8EAADB"/>
            </w:tcBorders>
            <w:shd w:val="clear" w:color="auto" w:fill="D9E2F3"/>
          </w:tcPr>
          <w:p w14:paraId="04F3503F" w14:textId="77777777" w:rsidR="0082643C" w:rsidRDefault="00000000" w:rsidP="00850BB6">
            <w:pPr>
              <w:jc w:val="center"/>
            </w:pPr>
            <w:r>
              <w:rPr>
                <w:b/>
              </w:rPr>
              <w:t>100,00</w:t>
            </w:r>
          </w:p>
        </w:tc>
      </w:tr>
    </w:tbl>
    <w:p w14:paraId="72411250" w14:textId="77777777" w:rsidR="0082643C" w:rsidRDefault="00000000">
      <w:pPr>
        <w:spacing w:before="40" w:after="200"/>
      </w:pPr>
      <w:r>
        <w:rPr>
          <w:sz w:val="16"/>
        </w:rPr>
        <w:t>Asig.: asignaturas. Hrs. sem.: horas por semana. Hrs. pres. año: horas académicas presenciales por año. Hrs. no pres.: horas no presenciales. Créd.: créditos. Fuente: elaboración con base en la Malla Curricular 2026 de la Carrera de Contaduría Pública y la Resolución HCU N.º 351/2021.</w:t>
      </w:r>
    </w:p>
    <w:p w14:paraId="45688AB6" w14:textId="77777777" w:rsidR="0082643C" w:rsidRDefault="00000000">
      <w:pPr>
        <w:spacing w:after="200"/>
        <w:jc w:val="both"/>
      </w:pPr>
      <w:r>
        <w:t>Cada año académico suma 60 créditos y 1.800 horas de trabajo, de modo que el plan totaliza 300 créditos y 9.000 horas de trabajo: 6.000 horas académicas presenciales y 3.000 horas no presenciales. Los créditos de cada asignatura no son proporcionales a sus horas presenciales, porque incorporan el trabajo no presencial que exige cada una. Por ejemplo, CPA-101 Contabilidad Básica tiene 160 horas presenciales y 9 créditos, que equivalen a 270 horas de trabajo, mientras que CPA-305 Sistemas Contables ERP y Análisis de Datos tiene las mismas 160 horas presenciales y 7 créditos, que equivalen a 210 horas de trabajo. La distinción de horas teóricas, prácticas y de laboratorio se consigna en cada plan de asignatura, según el formato de cálculo de horas de la Universidad.</w:t>
      </w:r>
    </w:p>
    <w:p w14:paraId="569E4780" w14:textId="77777777" w:rsidR="00395D6D" w:rsidRDefault="00395D6D">
      <w:pPr>
        <w:rPr>
          <w:sz w:val="0"/>
          <w:szCs w:val="0"/>
        </w:rPr>
        <w:sectPr w:rsidR="00395D6D" w:rsidSect="00034616">
          <w:headerReference w:type="default" r:id="rId21"/>
          <w:footerReference w:type="default" r:id="rId22"/>
          <w:pgSz w:w="12240" w:h="15840"/>
          <w:pgMar w:top="1701" w:right="1134" w:bottom="1134" w:left="1701" w:header="567" w:footer="567" w:gutter="0"/>
          <w:cols w:space="720"/>
          <w:docGrid w:linePitch="360"/>
        </w:sectPr>
      </w:pPr>
    </w:p>
    <w:p w14:paraId="1129DC1C" w14:textId="77777777" w:rsidR="00990B14" w:rsidRDefault="00990B14">
      <w:pPr>
        <w:spacing w:line="5600" w:lineRule="exact"/>
      </w:pPr>
    </w:p>
    <w:p w14:paraId="0DEDD326" w14:textId="77777777" w:rsidR="00990B14" w:rsidRDefault="00000000">
      <w:pPr>
        <w:keepNext/>
        <w:jc w:val="center"/>
      </w:pPr>
      <w:r>
        <w:rPr>
          <w:b/>
          <w:bCs/>
          <w:sz w:val="40"/>
          <w:szCs w:val="40"/>
        </w:rPr>
        <w:t>4.5 Planes de asignatura (descripción de la asignatura)</w:t>
      </w:r>
    </w:p>
    <w:p w14:paraId="77CA1C63" w14:textId="77777777" w:rsidR="006253E1" w:rsidRDefault="00000000">
      <w:pPr>
        <w:keepNext/>
        <w:pageBreakBefore/>
        <w:tabs>
          <w:tab w:val="left" w:pos="709"/>
        </w:tabs>
        <w:spacing w:before="120" w:after="200"/>
        <w:ind w:left="709" w:hanging="709"/>
        <w:outlineLvl w:val="1"/>
      </w:pPr>
      <w:bookmarkStart w:id="144" w:name="_Toc000000085"/>
      <w:r>
        <w:rPr>
          <w:b/>
          <w:sz w:val="24"/>
        </w:rPr>
        <w:lastRenderedPageBreak/>
        <w:t>4.5</w:t>
      </w:r>
      <w:r>
        <w:rPr>
          <w:b/>
          <w:sz w:val="24"/>
        </w:rPr>
        <w:tab/>
        <w:t>Planes de asignatura (descripción de la asignatura)</w:t>
      </w:r>
      <w:bookmarkEnd w:id="144"/>
    </w:p>
    <w:p w14:paraId="1FAFFC06" w14:textId="77777777" w:rsidR="006253E1" w:rsidRDefault="00000000">
      <w:pPr>
        <w:spacing w:after="200"/>
        <w:jc w:val="both"/>
      </w:pPr>
      <w:r>
        <w:t>Los planes de asignatura de las 43 asignaturas se presentan por año de formación. Cada plan contiene la identificación de la asignatura, su carga horaria y créditos, la unidad de competencia, los elementos de competencia con sus criterios de desempeño y evidencias de desempeño, de producto y de conocimiento, las actividades, las estrategias de aprendizaje y enseñanza, los recursos, la evaluación y la bibliografía, conforme al Artículo 12 de la Resolución HCU N.º 032/2025.</w:t>
      </w:r>
    </w:p>
    <w:p w14:paraId="3D6447F9" w14:textId="77777777" w:rsidR="00990B14" w:rsidRDefault="00000000">
      <w:pPr>
        <w:pStyle w:val="TituloPlanAnio"/>
        <w:pageBreakBefore/>
        <w:spacing w:before="4800"/>
        <w:jc w:val="center"/>
        <w:outlineLvl w:val="2"/>
      </w:pPr>
      <w:bookmarkStart w:id="145" w:name="_Toc000000086"/>
      <w:r>
        <w:rPr>
          <w:b/>
          <w:bCs/>
          <w:sz w:val="40"/>
          <w:szCs w:val="40"/>
        </w:rPr>
        <w:lastRenderedPageBreak/>
        <w:t>Primer Año</w:t>
      </w:r>
      <w:bookmarkEnd w:id="145"/>
    </w:p>
    <w:p w14:paraId="4B29F479" w14:textId="77777777" w:rsidR="00990B14" w:rsidRDefault="00000000">
      <w:pPr>
        <w:pStyle w:val="TituloPlanAsignatura"/>
        <w:keepNext/>
        <w:pageBreakBefore/>
        <w:spacing w:after="120"/>
        <w:jc w:val="center"/>
        <w:outlineLvl w:val="2"/>
      </w:pPr>
      <w:bookmarkStart w:id="146" w:name="_Toc000000087"/>
      <w:r>
        <w:rPr>
          <w:b/>
          <w:bCs/>
          <w:sz w:val="24"/>
          <w:szCs w:val="24"/>
        </w:rPr>
        <w:lastRenderedPageBreak/>
        <w:t>CPA-101 Contabilidad Básica</w:t>
      </w:r>
      <w:bookmarkEnd w:id="146"/>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249"/>
        <w:gridCol w:w="1100"/>
        <w:gridCol w:w="149"/>
        <w:gridCol w:w="635"/>
        <w:gridCol w:w="615"/>
        <w:gridCol w:w="952"/>
        <w:gridCol w:w="298"/>
        <w:gridCol w:w="1250"/>
        <w:gridCol w:w="20"/>
        <w:gridCol w:w="385"/>
        <w:gridCol w:w="398"/>
        <w:gridCol w:w="447"/>
        <w:gridCol w:w="1907"/>
      </w:tblGrid>
      <w:tr w:rsidR="00990B14" w14:paraId="2C9AFC65" w14:textId="77777777">
        <w:trPr>
          <w:cantSplit/>
          <w:jc w:val="center"/>
        </w:trPr>
        <w:tc>
          <w:tcPr>
            <w:tcW w:w="2349" w:type="dxa"/>
            <w:gridSpan w:val="2"/>
            <w:shd w:val="clear" w:color="auto" w:fill="4472C4"/>
            <w:vAlign w:val="center"/>
          </w:tcPr>
          <w:p w14:paraId="239497B5" w14:textId="77777777" w:rsidR="00990B14" w:rsidRDefault="00000000">
            <w:pPr>
              <w:keepNext/>
              <w:spacing w:before="20" w:after="20"/>
              <w:jc w:val="center"/>
            </w:pPr>
            <w:r>
              <w:rPr>
                <w:b/>
                <w:bCs/>
                <w:i/>
                <w:iCs/>
                <w:color w:val="FFFFFF"/>
                <w:sz w:val="18"/>
                <w:szCs w:val="18"/>
              </w:rPr>
              <w:t>Asignatura</w:t>
            </w:r>
          </w:p>
        </w:tc>
        <w:tc>
          <w:tcPr>
            <w:tcW w:w="2351" w:type="dxa"/>
            <w:gridSpan w:val="4"/>
            <w:shd w:val="clear" w:color="auto" w:fill="4472C4"/>
            <w:vAlign w:val="center"/>
          </w:tcPr>
          <w:p w14:paraId="168CB4C0" w14:textId="77777777" w:rsidR="00990B14" w:rsidRDefault="00000000">
            <w:pPr>
              <w:keepNext/>
              <w:spacing w:before="20" w:after="20"/>
              <w:jc w:val="center"/>
            </w:pPr>
            <w:r>
              <w:rPr>
                <w:b/>
                <w:bCs/>
                <w:i/>
                <w:iCs/>
                <w:color w:val="FFFFFF"/>
                <w:sz w:val="18"/>
                <w:szCs w:val="18"/>
              </w:rPr>
              <w:t>Sigla</w:t>
            </w:r>
          </w:p>
        </w:tc>
        <w:tc>
          <w:tcPr>
            <w:tcW w:w="2351" w:type="dxa"/>
            <w:gridSpan w:val="5"/>
            <w:shd w:val="clear" w:color="auto" w:fill="4472C4"/>
            <w:vAlign w:val="center"/>
          </w:tcPr>
          <w:p w14:paraId="2EFEF3DB" w14:textId="77777777" w:rsidR="00990B14" w:rsidRDefault="00000000">
            <w:pPr>
              <w:keepNext/>
              <w:spacing w:before="20" w:after="20"/>
              <w:jc w:val="center"/>
            </w:pPr>
            <w:r>
              <w:rPr>
                <w:b/>
                <w:bCs/>
                <w:i/>
                <w:iCs/>
                <w:color w:val="FFFFFF"/>
                <w:sz w:val="18"/>
                <w:szCs w:val="18"/>
              </w:rPr>
              <w:t>Nivel/Área</w:t>
            </w:r>
          </w:p>
        </w:tc>
        <w:tc>
          <w:tcPr>
            <w:tcW w:w="2354" w:type="dxa"/>
            <w:gridSpan w:val="2"/>
            <w:shd w:val="clear" w:color="auto" w:fill="4472C4"/>
            <w:vAlign w:val="center"/>
          </w:tcPr>
          <w:p w14:paraId="05DDE4B1" w14:textId="77777777" w:rsidR="00990B14" w:rsidRDefault="00000000">
            <w:pPr>
              <w:keepNext/>
              <w:spacing w:before="20" w:after="20"/>
              <w:jc w:val="center"/>
            </w:pPr>
            <w:r>
              <w:rPr>
                <w:b/>
                <w:bCs/>
                <w:i/>
                <w:iCs/>
                <w:color w:val="FFFFFF"/>
                <w:sz w:val="18"/>
                <w:szCs w:val="18"/>
              </w:rPr>
              <w:t>Prerrequisito</w:t>
            </w:r>
          </w:p>
        </w:tc>
      </w:tr>
      <w:tr w:rsidR="00990B14" w14:paraId="4E9B37F1" w14:textId="77777777">
        <w:trPr>
          <w:cantSplit/>
          <w:jc w:val="center"/>
        </w:trPr>
        <w:tc>
          <w:tcPr>
            <w:tcW w:w="2349" w:type="dxa"/>
            <w:gridSpan w:val="2"/>
            <w:shd w:val="clear" w:color="auto" w:fill="D9E2F3"/>
            <w:vAlign w:val="center"/>
          </w:tcPr>
          <w:p w14:paraId="50D17AF8" w14:textId="77777777" w:rsidR="00990B14" w:rsidRDefault="00000000">
            <w:pPr>
              <w:spacing w:before="20" w:after="20"/>
              <w:jc w:val="center"/>
            </w:pPr>
            <w:r>
              <w:rPr>
                <w:b/>
                <w:bCs/>
                <w:i/>
                <w:iCs/>
                <w:sz w:val="18"/>
                <w:szCs w:val="18"/>
              </w:rPr>
              <w:t>Contabilidad Básica</w:t>
            </w:r>
          </w:p>
        </w:tc>
        <w:tc>
          <w:tcPr>
            <w:tcW w:w="2351" w:type="dxa"/>
            <w:gridSpan w:val="4"/>
            <w:shd w:val="clear" w:color="auto" w:fill="D9E2F3"/>
            <w:vAlign w:val="center"/>
          </w:tcPr>
          <w:p w14:paraId="0F67527D" w14:textId="77777777" w:rsidR="00990B14" w:rsidRDefault="00000000">
            <w:pPr>
              <w:spacing w:before="20" w:after="20"/>
              <w:jc w:val="center"/>
            </w:pPr>
            <w:r>
              <w:rPr>
                <w:b/>
                <w:bCs/>
                <w:i/>
                <w:iCs/>
                <w:sz w:val="18"/>
                <w:szCs w:val="18"/>
              </w:rPr>
              <w:t>CPA-101</w:t>
            </w:r>
          </w:p>
        </w:tc>
        <w:tc>
          <w:tcPr>
            <w:tcW w:w="2351" w:type="dxa"/>
            <w:gridSpan w:val="5"/>
            <w:shd w:val="clear" w:color="auto" w:fill="D9E2F3"/>
            <w:vAlign w:val="center"/>
          </w:tcPr>
          <w:p w14:paraId="09D44973" w14:textId="77777777" w:rsidR="00990B14" w:rsidRDefault="00000000">
            <w:pPr>
              <w:spacing w:before="20" w:after="20"/>
              <w:jc w:val="center"/>
            </w:pPr>
            <w:r>
              <w:rPr>
                <w:b/>
                <w:bCs/>
                <w:i/>
                <w:iCs/>
                <w:sz w:val="18"/>
                <w:szCs w:val="18"/>
              </w:rPr>
              <w:t>Información Financiera</w:t>
            </w:r>
          </w:p>
        </w:tc>
        <w:tc>
          <w:tcPr>
            <w:tcW w:w="2354" w:type="dxa"/>
            <w:gridSpan w:val="2"/>
            <w:shd w:val="clear" w:color="auto" w:fill="D9E2F3"/>
            <w:vAlign w:val="center"/>
          </w:tcPr>
          <w:p w14:paraId="3012718F" w14:textId="77777777" w:rsidR="00990B14" w:rsidRDefault="00000000">
            <w:pPr>
              <w:spacing w:before="20" w:after="20"/>
              <w:jc w:val="center"/>
            </w:pPr>
            <w:r>
              <w:rPr>
                <w:b/>
                <w:bCs/>
                <w:i/>
                <w:iCs/>
                <w:sz w:val="18"/>
                <w:szCs w:val="18"/>
              </w:rPr>
              <w:t>AE, CPF o PSA</w:t>
            </w:r>
          </w:p>
        </w:tc>
      </w:tr>
      <w:tr w:rsidR="00990B14" w14:paraId="1E2D157C" w14:textId="77777777">
        <w:trPr>
          <w:cantSplit/>
          <w:jc w:val="center"/>
        </w:trPr>
        <w:tc>
          <w:tcPr>
            <w:tcW w:w="7498" w:type="dxa"/>
            <w:gridSpan w:val="12"/>
            <w:shd w:val="clear" w:color="auto" w:fill="4472C4"/>
            <w:vAlign w:val="center"/>
          </w:tcPr>
          <w:p w14:paraId="33BDECD9" w14:textId="77777777" w:rsidR="00990B14" w:rsidRDefault="00000000">
            <w:pPr>
              <w:keepNext/>
              <w:spacing w:before="20" w:after="20"/>
              <w:jc w:val="center"/>
            </w:pPr>
            <w:r>
              <w:rPr>
                <w:b/>
                <w:bCs/>
                <w:i/>
                <w:iCs/>
                <w:color w:val="FFFFFF"/>
                <w:sz w:val="18"/>
                <w:szCs w:val="18"/>
              </w:rPr>
              <w:t>Carga Horaria</w:t>
            </w:r>
          </w:p>
        </w:tc>
        <w:tc>
          <w:tcPr>
            <w:tcW w:w="1907" w:type="dxa"/>
            <w:shd w:val="clear" w:color="auto" w:fill="4472C4"/>
            <w:vAlign w:val="center"/>
          </w:tcPr>
          <w:p w14:paraId="18340193" w14:textId="77777777" w:rsidR="00990B14" w:rsidRDefault="00000000">
            <w:pPr>
              <w:keepNext/>
              <w:spacing w:before="20" w:after="20"/>
              <w:jc w:val="center"/>
            </w:pPr>
            <w:r>
              <w:rPr>
                <w:b/>
                <w:bCs/>
                <w:i/>
                <w:iCs/>
                <w:color w:val="FFFFFF"/>
                <w:sz w:val="18"/>
                <w:szCs w:val="18"/>
              </w:rPr>
              <w:t>Créditos</w:t>
            </w:r>
          </w:p>
        </w:tc>
      </w:tr>
      <w:tr w:rsidR="00990B14" w14:paraId="78753799" w14:textId="77777777">
        <w:trPr>
          <w:cantSplit/>
          <w:jc w:val="center"/>
        </w:trPr>
        <w:tc>
          <w:tcPr>
            <w:tcW w:w="1249" w:type="dxa"/>
            <w:shd w:val="clear" w:color="auto" w:fill="4472C4"/>
            <w:vAlign w:val="center"/>
          </w:tcPr>
          <w:p w14:paraId="429DE88C" w14:textId="77777777" w:rsidR="00990B14" w:rsidRDefault="00000000">
            <w:pPr>
              <w:keepNext/>
              <w:spacing w:before="20" w:after="20"/>
              <w:jc w:val="center"/>
            </w:pPr>
            <w:r>
              <w:rPr>
                <w:b/>
                <w:bCs/>
                <w:i/>
                <w:iCs/>
                <w:color w:val="FFFFFF"/>
                <w:sz w:val="18"/>
                <w:szCs w:val="18"/>
              </w:rPr>
              <w:t>HP</w:t>
            </w:r>
          </w:p>
        </w:tc>
        <w:tc>
          <w:tcPr>
            <w:tcW w:w="1249" w:type="dxa"/>
            <w:gridSpan w:val="2"/>
            <w:shd w:val="clear" w:color="auto" w:fill="4472C4"/>
            <w:vAlign w:val="center"/>
          </w:tcPr>
          <w:p w14:paraId="3EEF2D08" w14:textId="77777777" w:rsidR="00990B14" w:rsidRDefault="00000000">
            <w:pPr>
              <w:keepNext/>
              <w:spacing w:before="20" w:after="20"/>
              <w:jc w:val="center"/>
            </w:pPr>
            <w:r>
              <w:rPr>
                <w:b/>
                <w:bCs/>
                <w:i/>
                <w:iCs/>
                <w:color w:val="FFFFFF"/>
                <w:sz w:val="18"/>
                <w:szCs w:val="18"/>
              </w:rPr>
              <w:t>HAA</w:t>
            </w:r>
          </w:p>
        </w:tc>
        <w:tc>
          <w:tcPr>
            <w:tcW w:w="1250" w:type="dxa"/>
            <w:gridSpan w:val="2"/>
            <w:shd w:val="clear" w:color="auto" w:fill="4472C4"/>
            <w:vAlign w:val="center"/>
          </w:tcPr>
          <w:p w14:paraId="789F7481" w14:textId="77777777" w:rsidR="00990B14" w:rsidRDefault="00000000">
            <w:pPr>
              <w:keepNext/>
              <w:spacing w:before="20" w:after="20"/>
              <w:jc w:val="center"/>
            </w:pPr>
            <w:r>
              <w:rPr>
                <w:b/>
                <w:bCs/>
                <w:i/>
                <w:iCs/>
                <w:color w:val="FFFFFF"/>
                <w:sz w:val="18"/>
                <w:szCs w:val="18"/>
              </w:rPr>
              <w:t>HTG</w:t>
            </w:r>
          </w:p>
        </w:tc>
        <w:tc>
          <w:tcPr>
            <w:tcW w:w="1250" w:type="dxa"/>
            <w:gridSpan w:val="2"/>
            <w:shd w:val="clear" w:color="auto" w:fill="4472C4"/>
            <w:vAlign w:val="center"/>
          </w:tcPr>
          <w:p w14:paraId="18456896" w14:textId="77777777" w:rsidR="00990B14" w:rsidRDefault="00000000">
            <w:pPr>
              <w:keepNext/>
              <w:spacing w:before="20" w:after="20"/>
              <w:jc w:val="center"/>
            </w:pPr>
            <w:r>
              <w:rPr>
                <w:b/>
                <w:bCs/>
                <w:i/>
                <w:iCs/>
                <w:color w:val="FFFFFF"/>
                <w:sz w:val="18"/>
                <w:szCs w:val="18"/>
              </w:rPr>
              <w:t>HIP</w:t>
            </w:r>
          </w:p>
        </w:tc>
        <w:tc>
          <w:tcPr>
            <w:tcW w:w="1250" w:type="dxa"/>
            <w:shd w:val="clear" w:color="auto" w:fill="4472C4"/>
            <w:vAlign w:val="center"/>
          </w:tcPr>
          <w:p w14:paraId="39C9EF60" w14:textId="77777777" w:rsidR="00990B14" w:rsidRDefault="00000000">
            <w:pPr>
              <w:keepNext/>
              <w:spacing w:before="20" w:after="20"/>
              <w:jc w:val="center"/>
            </w:pPr>
            <w:r>
              <w:rPr>
                <w:b/>
                <w:bCs/>
                <w:i/>
                <w:iCs/>
                <w:color w:val="FFFFFF"/>
                <w:sz w:val="18"/>
                <w:szCs w:val="18"/>
              </w:rPr>
              <w:t>HE</w:t>
            </w:r>
          </w:p>
        </w:tc>
        <w:tc>
          <w:tcPr>
            <w:tcW w:w="1250" w:type="dxa"/>
            <w:gridSpan w:val="4"/>
            <w:shd w:val="clear" w:color="auto" w:fill="4472C4"/>
            <w:vAlign w:val="center"/>
          </w:tcPr>
          <w:p w14:paraId="12F10826" w14:textId="77777777" w:rsidR="00990B14" w:rsidRDefault="00000000">
            <w:pPr>
              <w:keepNext/>
              <w:spacing w:before="20" w:after="20"/>
              <w:jc w:val="center"/>
            </w:pPr>
            <w:r>
              <w:rPr>
                <w:b/>
                <w:bCs/>
                <w:i/>
                <w:iCs/>
                <w:color w:val="FFFFFF"/>
                <w:sz w:val="18"/>
                <w:szCs w:val="18"/>
              </w:rPr>
              <w:t>TOTAL</w:t>
            </w:r>
          </w:p>
        </w:tc>
        <w:tc>
          <w:tcPr>
            <w:tcW w:w="1907" w:type="dxa"/>
            <w:vMerge w:val="restart"/>
            <w:shd w:val="clear" w:color="auto" w:fill="D9E2F3"/>
            <w:vAlign w:val="center"/>
          </w:tcPr>
          <w:p w14:paraId="43D25E37" w14:textId="77777777" w:rsidR="00990B14" w:rsidRDefault="00000000">
            <w:pPr>
              <w:spacing w:before="20" w:after="20"/>
              <w:jc w:val="center"/>
            </w:pPr>
            <w:r>
              <w:rPr>
                <w:sz w:val="18"/>
                <w:szCs w:val="18"/>
              </w:rPr>
              <w:t>9</w:t>
            </w:r>
          </w:p>
        </w:tc>
      </w:tr>
      <w:tr w:rsidR="00990B14" w14:paraId="689ABF99" w14:textId="77777777">
        <w:trPr>
          <w:cantSplit/>
          <w:jc w:val="center"/>
        </w:trPr>
        <w:tc>
          <w:tcPr>
            <w:tcW w:w="1249" w:type="dxa"/>
            <w:shd w:val="clear" w:color="auto" w:fill="D9E2F3"/>
            <w:vAlign w:val="center"/>
          </w:tcPr>
          <w:p w14:paraId="43E2DDB2" w14:textId="77777777" w:rsidR="00990B14" w:rsidRDefault="00000000">
            <w:pPr>
              <w:spacing w:before="20" w:after="20"/>
              <w:jc w:val="center"/>
            </w:pPr>
            <w:r>
              <w:rPr>
                <w:sz w:val="18"/>
                <w:szCs w:val="18"/>
              </w:rPr>
              <w:t>160</w:t>
            </w:r>
          </w:p>
        </w:tc>
        <w:tc>
          <w:tcPr>
            <w:tcW w:w="1249" w:type="dxa"/>
            <w:gridSpan w:val="2"/>
            <w:shd w:val="clear" w:color="auto" w:fill="D9E2F3"/>
            <w:vAlign w:val="center"/>
          </w:tcPr>
          <w:p w14:paraId="715FCBE7" w14:textId="77777777" w:rsidR="00990B14" w:rsidRDefault="00000000">
            <w:pPr>
              <w:spacing w:before="20" w:after="20"/>
              <w:jc w:val="center"/>
            </w:pPr>
            <w:r>
              <w:rPr>
                <w:sz w:val="18"/>
                <w:szCs w:val="18"/>
              </w:rPr>
              <w:t>65</w:t>
            </w:r>
          </w:p>
        </w:tc>
        <w:tc>
          <w:tcPr>
            <w:tcW w:w="1250" w:type="dxa"/>
            <w:gridSpan w:val="2"/>
            <w:shd w:val="clear" w:color="auto" w:fill="D9E2F3"/>
            <w:vAlign w:val="center"/>
          </w:tcPr>
          <w:p w14:paraId="031E5FBF" w14:textId="77777777" w:rsidR="00990B14" w:rsidRDefault="00000000">
            <w:pPr>
              <w:spacing w:before="20" w:after="20"/>
              <w:jc w:val="center"/>
            </w:pPr>
            <w:r>
              <w:rPr>
                <w:sz w:val="18"/>
                <w:szCs w:val="18"/>
              </w:rPr>
              <w:t>22</w:t>
            </w:r>
          </w:p>
        </w:tc>
        <w:tc>
          <w:tcPr>
            <w:tcW w:w="1250" w:type="dxa"/>
            <w:gridSpan w:val="2"/>
            <w:shd w:val="clear" w:color="auto" w:fill="D9E2F3"/>
            <w:vAlign w:val="center"/>
          </w:tcPr>
          <w:p w14:paraId="3F4BDB8F" w14:textId="77777777" w:rsidR="00990B14" w:rsidRDefault="00000000">
            <w:pPr>
              <w:spacing w:before="20" w:after="20"/>
              <w:jc w:val="center"/>
            </w:pPr>
            <w:r>
              <w:rPr>
                <w:sz w:val="18"/>
                <w:szCs w:val="18"/>
              </w:rPr>
              <w:t>21</w:t>
            </w:r>
          </w:p>
        </w:tc>
        <w:tc>
          <w:tcPr>
            <w:tcW w:w="1250" w:type="dxa"/>
            <w:shd w:val="clear" w:color="auto" w:fill="D9E2F3"/>
            <w:vAlign w:val="center"/>
          </w:tcPr>
          <w:p w14:paraId="5C32C721" w14:textId="77777777" w:rsidR="00990B14" w:rsidRDefault="00000000">
            <w:pPr>
              <w:spacing w:before="20" w:after="20"/>
              <w:jc w:val="center"/>
            </w:pPr>
            <w:r>
              <w:rPr>
                <w:sz w:val="18"/>
                <w:szCs w:val="18"/>
              </w:rPr>
              <w:t>2</w:t>
            </w:r>
          </w:p>
        </w:tc>
        <w:tc>
          <w:tcPr>
            <w:tcW w:w="1250" w:type="dxa"/>
            <w:gridSpan w:val="4"/>
            <w:shd w:val="clear" w:color="auto" w:fill="D9E2F3"/>
            <w:vAlign w:val="center"/>
          </w:tcPr>
          <w:p w14:paraId="230E2717" w14:textId="77777777" w:rsidR="00990B14" w:rsidRDefault="00000000">
            <w:pPr>
              <w:spacing w:before="20" w:after="20"/>
              <w:jc w:val="center"/>
            </w:pPr>
            <w:r>
              <w:rPr>
                <w:sz w:val="18"/>
                <w:szCs w:val="18"/>
              </w:rPr>
              <w:t>270</w:t>
            </w:r>
          </w:p>
        </w:tc>
        <w:tc>
          <w:tcPr>
            <w:tcW w:w="1907" w:type="dxa"/>
            <w:vMerge/>
            <w:shd w:val="clear" w:color="auto" w:fill="D9E2F3"/>
            <w:vAlign w:val="center"/>
          </w:tcPr>
          <w:p w14:paraId="70FE589F" w14:textId="77777777" w:rsidR="00990B14" w:rsidRDefault="00990B14">
            <w:pPr>
              <w:spacing w:before="20" w:after="20"/>
            </w:pPr>
          </w:p>
        </w:tc>
      </w:tr>
      <w:tr w:rsidR="00990B14" w14:paraId="2CE08C97" w14:textId="77777777">
        <w:trPr>
          <w:cantSplit/>
          <w:jc w:val="center"/>
        </w:trPr>
        <w:tc>
          <w:tcPr>
            <w:tcW w:w="9405" w:type="dxa"/>
            <w:gridSpan w:val="13"/>
            <w:shd w:val="clear" w:color="auto" w:fill="4472C4"/>
            <w:vAlign w:val="center"/>
          </w:tcPr>
          <w:p w14:paraId="13B549E5" w14:textId="77777777" w:rsidR="00990B14" w:rsidRDefault="00000000">
            <w:pPr>
              <w:keepNext/>
              <w:spacing w:before="20" w:after="20"/>
              <w:jc w:val="center"/>
            </w:pPr>
            <w:r>
              <w:rPr>
                <w:b/>
                <w:bCs/>
                <w:i/>
                <w:iCs/>
                <w:color w:val="FFFFFF"/>
                <w:sz w:val="18"/>
                <w:szCs w:val="18"/>
              </w:rPr>
              <w:t>Unidad de Competencia</w:t>
            </w:r>
          </w:p>
        </w:tc>
      </w:tr>
      <w:tr w:rsidR="00990B14" w14:paraId="321304DF" w14:textId="77777777">
        <w:trPr>
          <w:cantSplit/>
          <w:jc w:val="center"/>
        </w:trPr>
        <w:tc>
          <w:tcPr>
            <w:tcW w:w="9405" w:type="dxa"/>
            <w:gridSpan w:val="13"/>
            <w:shd w:val="clear" w:color="auto" w:fill="D9E2F3"/>
            <w:vAlign w:val="center"/>
          </w:tcPr>
          <w:p w14:paraId="3D7E51C0" w14:textId="77777777" w:rsidR="00990B14" w:rsidRDefault="00000000">
            <w:pPr>
              <w:spacing w:before="20" w:after="20"/>
              <w:jc w:val="both"/>
            </w:pPr>
            <w:r>
              <w:rPr>
                <w:sz w:val="18"/>
                <w:szCs w:val="18"/>
              </w:rPr>
              <w:t>Aplica la teoría contable en el registro de transacciones y hechos económicos en el sistema de contabilidad de un ente en Bolivia, operando con herramientas digitales, generando los estados financieros y reportes contables con apego a las normas de contabilidad y disposiciones legales vigentes, proporcionando información razonable, oportuna, íntegra, confiable y útil para la toma de decisiones y el control gerencial.</w:t>
            </w:r>
          </w:p>
        </w:tc>
      </w:tr>
      <w:tr w:rsidR="00990B14" w14:paraId="30694FB2" w14:textId="77777777">
        <w:trPr>
          <w:cantSplit/>
          <w:jc w:val="center"/>
        </w:trPr>
        <w:tc>
          <w:tcPr>
            <w:tcW w:w="9405" w:type="dxa"/>
            <w:gridSpan w:val="13"/>
            <w:shd w:val="clear" w:color="auto" w:fill="D9E2F3"/>
            <w:vAlign w:val="center"/>
          </w:tcPr>
          <w:p w14:paraId="1EAEBBDA" w14:textId="77777777" w:rsidR="00990B14" w:rsidRDefault="00000000">
            <w:pPr>
              <w:spacing w:before="20" w:after="20"/>
              <w:jc w:val="both"/>
            </w:pPr>
            <w:r>
              <w:rPr>
                <w:b/>
                <w:bCs/>
                <w:i/>
                <w:iCs/>
                <w:sz w:val="18"/>
                <w:szCs w:val="18"/>
              </w:rPr>
              <w:t xml:space="preserve">Elemento de competencia 1: </w:t>
            </w:r>
            <w:r>
              <w:rPr>
                <w:sz w:val="18"/>
                <w:szCs w:val="18"/>
              </w:rPr>
              <w:t>Analiza los fundamentos de la contabilidad, su marco normativo y las ecuaciones contables, relacionando la teoría contable con las transacciones de las empresas en Bolivia.</w:t>
            </w:r>
          </w:p>
        </w:tc>
      </w:tr>
      <w:tr w:rsidR="00990B14" w14:paraId="6303A315" w14:textId="77777777">
        <w:trPr>
          <w:cantSplit/>
          <w:jc w:val="center"/>
        </w:trPr>
        <w:tc>
          <w:tcPr>
            <w:tcW w:w="3133" w:type="dxa"/>
            <w:gridSpan w:val="4"/>
            <w:shd w:val="clear" w:color="auto" w:fill="4472C4"/>
            <w:vAlign w:val="center"/>
          </w:tcPr>
          <w:p w14:paraId="53232DAA"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079BAFF9"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7ABA956E" w14:textId="77777777" w:rsidR="00990B14" w:rsidRDefault="00000000">
            <w:pPr>
              <w:keepNext/>
              <w:spacing w:before="20" w:after="20"/>
              <w:jc w:val="center"/>
            </w:pPr>
            <w:r>
              <w:rPr>
                <w:b/>
                <w:bCs/>
                <w:i/>
                <w:iCs/>
                <w:color w:val="FFFFFF"/>
                <w:sz w:val="18"/>
                <w:szCs w:val="18"/>
              </w:rPr>
              <w:t>Evidencias de producto</w:t>
            </w:r>
          </w:p>
        </w:tc>
      </w:tr>
      <w:tr w:rsidR="00990B14" w14:paraId="26FE9A8C" w14:textId="77777777">
        <w:trPr>
          <w:cantSplit/>
          <w:jc w:val="center"/>
        </w:trPr>
        <w:tc>
          <w:tcPr>
            <w:tcW w:w="3133" w:type="dxa"/>
            <w:gridSpan w:val="4"/>
            <w:vMerge w:val="restart"/>
            <w:shd w:val="clear" w:color="auto" w:fill="D9E2F3"/>
            <w:vAlign w:val="center"/>
          </w:tcPr>
          <w:p w14:paraId="1D943BDD" w14:textId="77777777" w:rsidR="00990B14" w:rsidRDefault="00000000">
            <w:pPr>
              <w:spacing w:before="20" w:after="20"/>
              <w:jc w:val="both"/>
            </w:pPr>
            <w:r>
              <w:rPr>
                <w:sz w:val="18"/>
                <w:szCs w:val="18"/>
              </w:rPr>
              <w:t>1. Explica los fundamentos de la contabilidad y su marco normativo, diferenciando la contabilidad financiera de la administrativa e identificando los organismos emisores de normas.</w:t>
            </w:r>
          </w:p>
        </w:tc>
        <w:tc>
          <w:tcPr>
            <w:tcW w:w="3135" w:type="dxa"/>
            <w:gridSpan w:val="5"/>
            <w:shd w:val="clear" w:color="auto" w:fill="D9E2F3"/>
            <w:vAlign w:val="center"/>
          </w:tcPr>
          <w:p w14:paraId="5AC961F4" w14:textId="77777777" w:rsidR="00990B14" w:rsidRDefault="00000000">
            <w:pPr>
              <w:spacing w:before="20" w:after="20"/>
              <w:jc w:val="both"/>
            </w:pPr>
            <w:r>
              <w:rPr>
                <w:sz w:val="18"/>
                <w:szCs w:val="18"/>
              </w:rPr>
              <w:t>1.1 Expone en equipo la estructura de la normativa contable vigente en Bolivia y el rol del Colegio de Auditores o Contadores Públicos de Bolivia.</w:t>
            </w:r>
          </w:p>
        </w:tc>
        <w:tc>
          <w:tcPr>
            <w:tcW w:w="3137" w:type="dxa"/>
            <w:gridSpan w:val="4"/>
            <w:shd w:val="clear" w:color="auto" w:fill="D9E2F3"/>
            <w:vAlign w:val="center"/>
          </w:tcPr>
          <w:p w14:paraId="7ABFB138" w14:textId="77777777" w:rsidR="00990B14" w:rsidRDefault="00000000">
            <w:pPr>
              <w:spacing w:before="20" w:after="20"/>
              <w:jc w:val="both"/>
            </w:pPr>
            <w:r>
              <w:rPr>
                <w:b/>
                <w:bCs/>
                <w:sz w:val="18"/>
                <w:szCs w:val="18"/>
              </w:rPr>
              <w:t xml:space="preserve">Producto 1: </w:t>
            </w:r>
            <w:r>
              <w:rPr>
                <w:sz w:val="18"/>
                <w:szCs w:val="18"/>
              </w:rPr>
              <w:t>Esquema de la normativa contable nacional e internacional vigente con sus organismos emisores.</w:t>
            </w:r>
          </w:p>
        </w:tc>
      </w:tr>
      <w:tr w:rsidR="00990B14" w14:paraId="14504FCA" w14:textId="77777777">
        <w:trPr>
          <w:cantSplit/>
          <w:jc w:val="center"/>
        </w:trPr>
        <w:tc>
          <w:tcPr>
            <w:tcW w:w="3133" w:type="dxa"/>
            <w:gridSpan w:val="4"/>
            <w:vMerge/>
            <w:shd w:val="clear" w:color="auto" w:fill="D9E2F3"/>
            <w:vAlign w:val="center"/>
          </w:tcPr>
          <w:p w14:paraId="107BA13D" w14:textId="77777777" w:rsidR="00990B14" w:rsidRDefault="00990B14">
            <w:pPr>
              <w:spacing w:before="20" w:after="20"/>
            </w:pPr>
          </w:p>
        </w:tc>
        <w:tc>
          <w:tcPr>
            <w:tcW w:w="3135" w:type="dxa"/>
            <w:gridSpan w:val="5"/>
            <w:shd w:val="clear" w:color="auto" w:fill="D9E2F3"/>
            <w:vAlign w:val="center"/>
          </w:tcPr>
          <w:p w14:paraId="71E5535C" w14:textId="77777777" w:rsidR="00990B14" w:rsidRDefault="00000000">
            <w:pPr>
              <w:spacing w:before="20" w:after="20"/>
              <w:jc w:val="both"/>
            </w:pPr>
            <w:r>
              <w:rPr>
                <w:sz w:val="18"/>
                <w:szCs w:val="18"/>
              </w:rPr>
              <w:t>1.2 Compara en aula la contabilidad financiera y la contabilidad administrativa según sus usuarios, su frecuencia de reporte y sus atributos de la información.</w:t>
            </w:r>
          </w:p>
        </w:tc>
        <w:tc>
          <w:tcPr>
            <w:tcW w:w="3137" w:type="dxa"/>
            <w:gridSpan w:val="4"/>
            <w:shd w:val="clear" w:color="auto" w:fill="D9E2F3"/>
            <w:vAlign w:val="center"/>
          </w:tcPr>
          <w:p w14:paraId="05BBE517" w14:textId="77777777" w:rsidR="00990B14" w:rsidRDefault="00000000">
            <w:pPr>
              <w:spacing w:before="20" w:after="20"/>
              <w:jc w:val="both"/>
            </w:pPr>
            <w:r>
              <w:rPr>
                <w:b/>
                <w:bCs/>
                <w:sz w:val="18"/>
                <w:szCs w:val="18"/>
              </w:rPr>
              <w:t xml:space="preserve">Producto 2: </w:t>
            </w:r>
            <w:r>
              <w:rPr>
                <w:sz w:val="18"/>
                <w:szCs w:val="18"/>
              </w:rPr>
              <w:t>Cuadro comparativo de la contabilidad financiera y la contabilidad administrativa.</w:t>
            </w:r>
          </w:p>
        </w:tc>
      </w:tr>
      <w:tr w:rsidR="00990B14" w14:paraId="56EBD0E8" w14:textId="77777777">
        <w:trPr>
          <w:cantSplit/>
          <w:jc w:val="center"/>
        </w:trPr>
        <w:tc>
          <w:tcPr>
            <w:tcW w:w="3133" w:type="dxa"/>
            <w:gridSpan w:val="4"/>
            <w:vMerge w:val="restart"/>
            <w:shd w:val="clear" w:color="auto" w:fill="D9E2F3"/>
            <w:vAlign w:val="center"/>
          </w:tcPr>
          <w:p w14:paraId="6811C735" w14:textId="77777777" w:rsidR="00990B14" w:rsidRDefault="00000000">
            <w:pPr>
              <w:spacing w:before="20" w:after="20"/>
              <w:jc w:val="both"/>
            </w:pPr>
            <w:r>
              <w:rPr>
                <w:sz w:val="18"/>
                <w:szCs w:val="18"/>
              </w:rPr>
              <w:t>2. Aplica las ecuaciones contables al análisis de las transacciones de una empresa, clasificadas en transacciones permutativas, modificativas y mixtas.</w:t>
            </w:r>
          </w:p>
        </w:tc>
        <w:tc>
          <w:tcPr>
            <w:tcW w:w="3135" w:type="dxa"/>
            <w:gridSpan w:val="5"/>
            <w:shd w:val="clear" w:color="auto" w:fill="D9E2F3"/>
            <w:vAlign w:val="center"/>
          </w:tcPr>
          <w:p w14:paraId="0D141965" w14:textId="77777777" w:rsidR="00990B14" w:rsidRDefault="00000000">
            <w:pPr>
              <w:spacing w:before="20" w:after="20"/>
              <w:jc w:val="both"/>
            </w:pPr>
            <w:r>
              <w:rPr>
                <w:sz w:val="18"/>
                <w:szCs w:val="18"/>
              </w:rPr>
              <w:t>2.1 Resuelve en aula ejercicios de ecuaciones contables con transacciones de una empresa comercial.</w:t>
            </w:r>
          </w:p>
        </w:tc>
        <w:tc>
          <w:tcPr>
            <w:tcW w:w="3137" w:type="dxa"/>
            <w:gridSpan w:val="4"/>
            <w:shd w:val="clear" w:color="auto" w:fill="D9E2F3"/>
            <w:vAlign w:val="center"/>
          </w:tcPr>
          <w:p w14:paraId="571EE2B3" w14:textId="77777777" w:rsidR="00990B14" w:rsidRDefault="00000000">
            <w:pPr>
              <w:spacing w:before="20" w:after="20"/>
              <w:jc w:val="both"/>
            </w:pPr>
            <w:r>
              <w:rPr>
                <w:b/>
                <w:bCs/>
                <w:sz w:val="18"/>
                <w:szCs w:val="18"/>
              </w:rPr>
              <w:t xml:space="preserve">Producto 3: </w:t>
            </w:r>
            <w:r>
              <w:rPr>
                <w:sz w:val="18"/>
                <w:szCs w:val="18"/>
              </w:rPr>
              <w:t>Matriz de ecuaciones contables de una empresa comercial</w:t>
            </w:r>
          </w:p>
        </w:tc>
      </w:tr>
      <w:tr w:rsidR="00990B14" w14:paraId="06C5B764" w14:textId="77777777">
        <w:trPr>
          <w:cantSplit/>
          <w:jc w:val="center"/>
        </w:trPr>
        <w:tc>
          <w:tcPr>
            <w:tcW w:w="3133" w:type="dxa"/>
            <w:gridSpan w:val="4"/>
            <w:vMerge/>
            <w:shd w:val="clear" w:color="auto" w:fill="D9E2F3"/>
            <w:vAlign w:val="center"/>
          </w:tcPr>
          <w:p w14:paraId="2FBA32FE" w14:textId="77777777" w:rsidR="00990B14" w:rsidRDefault="00990B14">
            <w:pPr>
              <w:spacing w:before="20" w:after="20"/>
            </w:pPr>
          </w:p>
        </w:tc>
        <w:tc>
          <w:tcPr>
            <w:tcW w:w="3135" w:type="dxa"/>
            <w:gridSpan w:val="5"/>
            <w:shd w:val="clear" w:color="auto" w:fill="D9E2F3"/>
            <w:vAlign w:val="center"/>
          </w:tcPr>
          <w:p w14:paraId="15430488" w14:textId="77777777" w:rsidR="00990B14" w:rsidRDefault="00000000">
            <w:pPr>
              <w:spacing w:before="20" w:after="20"/>
              <w:jc w:val="both"/>
            </w:pPr>
            <w:r>
              <w:rPr>
                <w:sz w:val="18"/>
                <w:szCs w:val="18"/>
              </w:rPr>
              <w:t>2.2 Clasifica en equipo empresas bolivianas según su constitución, el origen del capital, la actividad, la dimensión y el ámbito geográfico.</w:t>
            </w:r>
          </w:p>
        </w:tc>
        <w:tc>
          <w:tcPr>
            <w:tcW w:w="3137" w:type="dxa"/>
            <w:gridSpan w:val="4"/>
            <w:shd w:val="clear" w:color="auto" w:fill="D9E2F3"/>
            <w:vAlign w:val="center"/>
          </w:tcPr>
          <w:p w14:paraId="4711891B" w14:textId="77777777" w:rsidR="00990B14" w:rsidRDefault="00000000">
            <w:pPr>
              <w:spacing w:before="20" w:after="20"/>
              <w:jc w:val="both"/>
            </w:pPr>
            <w:r>
              <w:rPr>
                <w:b/>
                <w:bCs/>
                <w:sz w:val="18"/>
                <w:szCs w:val="18"/>
              </w:rPr>
              <w:t xml:space="preserve">Producto 4: </w:t>
            </w:r>
            <w:r>
              <w:rPr>
                <w:sz w:val="18"/>
                <w:szCs w:val="18"/>
              </w:rPr>
              <w:t>Esquema de clasificación de empresas bolivianas.</w:t>
            </w:r>
          </w:p>
        </w:tc>
      </w:tr>
      <w:tr w:rsidR="00990B14" w14:paraId="60A0689F" w14:textId="77777777">
        <w:trPr>
          <w:cantSplit/>
          <w:jc w:val="center"/>
        </w:trPr>
        <w:tc>
          <w:tcPr>
            <w:tcW w:w="9405" w:type="dxa"/>
            <w:gridSpan w:val="13"/>
            <w:shd w:val="clear" w:color="auto" w:fill="4472C4"/>
            <w:vAlign w:val="center"/>
          </w:tcPr>
          <w:p w14:paraId="6A191DFD" w14:textId="77777777" w:rsidR="00990B14" w:rsidRDefault="00000000">
            <w:pPr>
              <w:keepNext/>
              <w:spacing w:before="20" w:after="20"/>
              <w:jc w:val="center"/>
            </w:pPr>
            <w:r>
              <w:rPr>
                <w:b/>
                <w:bCs/>
                <w:i/>
                <w:iCs/>
                <w:color w:val="FFFFFF"/>
                <w:sz w:val="18"/>
                <w:szCs w:val="18"/>
              </w:rPr>
              <w:t>Evidencias de conocimiento</w:t>
            </w:r>
          </w:p>
        </w:tc>
      </w:tr>
      <w:tr w:rsidR="00990B14" w14:paraId="29393BF4" w14:textId="77777777">
        <w:trPr>
          <w:cantSplit/>
          <w:jc w:val="center"/>
        </w:trPr>
        <w:tc>
          <w:tcPr>
            <w:tcW w:w="2349" w:type="dxa"/>
            <w:gridSpan w:val="2"/>
            <w:shd w:val="clear" w:color="auto" w:fill="4472C4"/>
            <w:vAlign w:val="center"/>
          </w:tcPr>
          <w:p w14:paraId="04DA8351"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4DEC6EF3" w14:textId="77777777" w:rsidR="00990B14" w:rsidRDefault="00000000">
            <w:pPr>
              <w:keepNext/>
              <w:spacing w:before="20" w:after="20"/>
              <w:jc w:val="both"/>
            </w:pPr>
            <w:r>
              <w:rPr>
                <w:b/>
                <w:bCs/>
                <w:i/>
                <w:iCs/>
                <w:color w:val="FFFFFF"/>
                <w:sz w:val="18"/>
                <w:szCs w:val="18"/>
              </w:rPr>
              <w:t>Contenidos</w:t>
            </w:r>
          </w:p>
          <w:p w14:paraId="026946C9"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1BCD2CB7" w14:textId="77777777" w:rsidR="00990B14" w:rsidRDefault="00000000">
            <w:pPr>
              <w:keepNext/>
              <w:spacing w:before="20" w:after="20"/>
              <w:jc w:val="center"/>
            </w:pPr>
            <w:r>
              <w:rPr>
                <w:b/>
                <w:bCs/>
                <w:i/>
                <w:iCs/>
                <w:color w:val="FFFFFF"/>
                <w:sz w:val="18"/>
                <w:szCs w:val="18"/>
              </w:rPr>
              <w:t>Conocimientos circunstanciales</w:t>
            </w:r>
          </w:p>
        </w:tc>
      </w:tr>
      <w:tr w:rsidR="00990B14" w14:paraId="75CD21D5" w14:textId="77777777">
        <w:trPr>
          <w:jc w:val="center"/>
        </w:trPr>
        <w:tc>
          <w:tcPr>
            <w:tcW w:w="2349" w:type="dxa"/>
            <w:gridSpan w:val="2"/>
            <w:shd w:val="clear" w:color="auto" w:fill="D9E2F3"/>
          </w:tcPr>
          <w:p w14:paraId="13BDD776" w14:textId="77777777" w:rsidR="00990B14" w:rsidRDefault="00000000">
            <w:pPr>
              <w:spacing w:before="20" w:after="40"/>
              <w:jc w:val="both"/>
            </w:pPr>
            <w:r>
              <w:rPr>
                <w:sz w:val="18"/>
                <w:szCs w:val="18"/>
              </w:rPr>
              <w:t>Tema 1: Introducción a la contabilidad</w:t>
            </w:r>
          </w:p>
          <w:p w14:paraId="74FF78D8" w14:textId="77777777" w:rsidR="00990B14" w:rsidRDefault="00000000">
            <w:pPr>
              <w:spacing w:before="20" w:after="40"/>
              <w:jc w:val="both"/>
            </w:pPr>
            <w:r>
              <w:rPr>
                <w:sz w:val="18"/>
                <w:szCs w:val="18"/>
              </w:rPr>
              <w:t>Tema 2: Normas de contabilidad</w:t>
            </w:r>
          </w:p>
          <w:p w14:paraId="07CBF267" w14:textId="77777777" w:rsidR="00990B14" w:rsidRDefault="00000000">
            <w:pPr>
              <w:spacing w:before="20" w:after="40"/>
              <w:jc w:val="both"/>
            </w:pPr>
            <w:r>
              <w:rPr>
                <w:sz w:val="18"/>
                <w:szCs w:val="18"/>
              </w:rPr>
              <w:t>Tema 3: Ecuaciones contables</w:t>
            </w:r>
          </w:p>
        </w:tc>
        <w:tc>
          <w:tcPr>
            <w:tcW w:w="4304" w:type="dxa"/>
            <w:gridSpan w:val="8"/>
            <w:shd w:val="clear" w:color="auto" w:fill="D9E2F3"/>
          </w:tcPr>
          <w:p w14:paraId="361F1DAE" w14:textId="77777777" w:rsidR="00990B14" w:rsidRDefault="00000000">
            <w:pPr>
              <w:spacing w:after="40"/>
              <w:jc w:val="both"/>
            </w:pPr>
            <w:r>
              <w:rPr>
                <w:sz w:val="18"/>
                <w:szCs w:val="18"/>
              </w:rPr>
              <w:t>Introducción a la contabilidad y reseña histórica: edad antigua, edad media y edad moderna. (C)</w:t>
            </w:r>
          </w:p>
          <w:p w14:paraId="62C261E4" w14:textId="77777777" w:rsidR="00990B14" w:rsidRDefault="00000000">
            <w:pPr>
              <w:spacing w:after="40"/>
              <w:jc w:val="both"/>
            </w:pPr>
            <w:r>
              <w:rPr>
                <w:sz w:val="18"/>
                <w:szCs w:val="18"/>
              </w:rPr>
              <w:t>Sistema empresarial, sistemas de información, sistemas de procesamiento de operaciones y fases de un sistema de información. (C)</w:t>
            </w:r>
          </w:p>
          <w:p w14:paraId="5632652F" w14:textId="77777777" w:rsidR="00990B14" w:rsidRDefault="00000000">
            <w:pPr>
              <w:spacing w:after="40"/>
              <w:jc w:val="both"/>
            </w:pPr>
            <w:r>
              <w:rPr>
                <w:sz w:val="18"/>
                <w:szCs w:val="18"/>
              </w:rPr>
              <w:t xml:space="preserve">Contabilidad financiera: concepto, etimología, narrar, computar, objetivo, campo </w:t>
            </w:r>
            <w:r>
              <w:rPr>
                <w:sz w:val="18"/>
                <w:szCs w:val="18"/>
              </w:rPr>
              <w:lastRenderedPageBreak/>
              <w:t>de acción y división. (C)</w:t>
            </w:r>
          </w:p>
          <w:p w14:paraId="6660917E" w14:textId="77777777" w:rsidR="00990B14" w:rsidRDefault="00000000">
            <w:pPr>
              <w:spacing w:after="40"/>
              <w:jc w:val="both"/>
            </w:pPr>
            <w:r>
              <w:rPr>
                <w:sz w:val="18"/>
                <w:szCs w:val="18"/>
              </w:rPr>
              <w:t>Sistema de registro contable, teoría contable, diseño de sistemas contables y de costos, formulación de presupuestos y auditoría financiera, operativa y social. (C, P, T)</w:t>
            </w:r>
          </w:p>
          <w:p w14:paraId="21BA6B50" w14:textId="77777777" w:rsidR="00990B14" w:rsidRDefault="00000000">
            <w:pPr>
              <w:spacing w:after="40"/>
              <w:jc w:val="both"/>
            </w:pPr>
            <w:r>
              <w:rPr>
                <w:sz w:val="18"/>
                <w:szCs w:val="18"/>
              </w:rPr>
              <w:t>Clasificación de la contabilidad: comercial, de costos, de servicios, de entidades financieras y gubernamental; relación con otras ciencias: la administración, la economía, el derecho, las matemáticas y la informática. (C, T)</w:t>
            </w:r>
          </w:p>
          <w:p w14:paraId="07B39C0E" w14:textId="77777777" w:rsidR="00990B14" w:rsidRDefault="00000000">
            <w:pPr>
              <w:spacing w:after="40"/>
              <w:jc w:val="both"/>
            </w:pPr>
            <w:r>
              <w:rPr>
                <w:sz w:val="18"/>
                <w:szCs w:val="18"/>
              </w:rPr>
              <w:t>Contabilidad administrativa: objetivo, características y requisitos de la información: oportuna, estratégica, anticipada, comparativa, causal, analítica, selectiva, continua y adaptativa. (C)</w:t>
            </w:r>
          </w:p>
          <w:p w14:paraId="10767D36" w14:textId="77777777" w:rsidR="00990B14" w:rsidRDefault="00000000">
            <w:pPr>
              <w:spacing w:after="40"/>
              <w:jc w:val="both"/>
            </w:pPr>
            <w:r>
              <w:rPr>
                <w:sz w:val="18"/>
                <w:szCs w:val="18"/>
              </w:rPr>
              <w:t>Diferencias entre la contabilidad financiera y la contabilidad administrativa: criterios, clase de información, usuarios de la información, frecuencia de la información, periodos de información, seguridad, atributos de la información y requisitos rígidos. (C)</w:t>
            </w:r>
          </w:p>
          <w:p w14:paraId="2CAE35F8" w14:textId="77777777" w:rsidR="00990B14" w:rsidRDefault="00000000">
            <w:pPr>
              <w:spacing w:after="40"/>
              <w:jc w:val="both"/>
            </w:pPr>
            <w:r>
              <w:rPr>
                <w:sz w:val="18"/>
                <w:szCs w:val="18"/>
              </w:rPr>
              <w:t>Normas de contabilidad: concepto, organismos colegiados y Consejo Técnico Nacional de Auditoría y Contabilidad. (C)</w:t>
            </w:r>
          </w:p>
          <w:p w14:paraId="32592B29" w14:textId="77777777" w:rsidR="00990B14" w:rsidRDefault="00000000">
            <w:pPr>
              <w:spacing w:after="40"/>
              <w:jc w:val="both"/>
            </w:pPr>
            <w:r>
              <w:rPr>
                <w:sz w:val="18"/>
                <w:szCs w:val="18"/>
              </w:rPr>
              <w:t>Clasificación de las normas para el sector privado con y sin fines de lucro y para el sector público. (C)</w:t>
            </w:r>
          </w:p>
          <w:p w14:paraId="21D982FC" w14:textId="77777777" w:rsidR="00990B14" w:rsidRDefault="00000000">
            <w:pPr>
              <w:spacing w:after="40"/>
              <w:jc w:val="both"/>
            </w:pPr>
            <w:r>
              <w:rPr>
                <w:sz w:val="18"/>
                <w:szCs w:val="18"/>
              </w:rPr>
              <w:t>Normas nacionales de contabilidad generalmente aceptadas en Bolivia y Normas Básicas del Sistema de Contabilidad Gubernamental Integrada, Normas Internacionales de Contabilidad, Normas Internacionales de Información Financiera o Normas NIIF de Contabilidad y NIIF para las PYMES y Normas Internacionales de Contabilidad del Sector Público vigentes. (C)</w:t>
            </w:r>
          </w:p>
          <w:p w14:paraId="3082D524" w14:textId="77777777" w:rsidR="00990B14" w:rsidRDefault="00000000">
            <w:pPr>
              <w:spacing w:after="40"/>
              <w:jc w:val="both"/>
            </w:pPr>
            <w:r>
              <w:rPr>
                <w:sz w:val="18"/>
                <w:szCs w:val="18"/>
              </w:rPr>
              <w:t>Disposiciones legales en el Estado Plurinacional de Bolivia y organismos de fiscalización. (C)</w:t>
            </w:r>
          </w:p>
          <w:p w14:paraId="26378685" w14:textId="77777777" w:rsidR="00990B14" w:rsidRDefault="00000000">
            <w:pPr>
              <w:spacing w:after="40"/>
              <w:jc w:val="both"/>
            </w:pPr>
            <w:r>
              <w:rPr>
                <w:sz w:val="18"/>
                <w:szCs w:val="18"/>
              </w:rPr>
              <w:t>Introducción a las ecuaciones contables. Empresa: características, recursos, transacciones que realiza, proceso administrativo y clasificación según su constitución, origen del capital, actividad, dimensión y ámbito geográfico. (C)</w:t>
            </w:r>
          </w:p>
          <w:p w14:paraId="3B3057E3" w14:textId="77777777" w:rsidR="00990B14" w:rsidRDefault="00000000">
            <w:pPr>
              <w:spacing w:after="40"/>
              <w:jc w:val="both"/>
            </w:pPr>
            <w:r>
              <w:rPr>
                <w:sz w:val="18"/>
                <w:szCs w:val="18"/>
              </w:rPr>
              <w:t>Ecuaciones contables y su clasificación; ecuaciones estáticas: ecuación de balance, con su formulación y demostración, activo, origen de los recursos de financiamiento interno y externo, pasivo y patrimonio; ecuaciones derivadas del pasivo y del patrimonio. (C)</w:t>
            </w:r>
          </w:p>
          <w:p w14:paraId="48A86273" w14:textId="77777777" w:rsidR="00990B14" w:rsidRDefault="00000000">
            <w:pPr>
              <w:spacing w:after="40"/>
              <w:jc w:val="both"/>
            </w:pPr>
            <w:r>
              <w:rPr>
                <w:sz w:val="18"/>
                <w:szCs w:val="18"/>
              </w:rPr>
              <w:t>Ecuación de resultados: formulación y demostración, utilidad, pérdida, ingresos y gastos. (C)</w:t>
            </w:r>
          </w:p>
          <w:p w14:paraId="7ED5BE73" w14:textId="77777777" w:rsidR="00990B14" w:rsidRDefault="00000000">
            <w:pPr>
              <w:spacing w:after="40"/>
              <w:jc w:val="both"/>
            </w:pPr>
            <w:r>
              <w:rPr>
                <w:sz w:val="18"/>
                <w:szCs w:val="18"/>
              </w:rPr>
              <w:lastRenderedPageBreak/>
              <w:t>Fundamentos de la partida doble y transacciones contables: permutativas, con sus clases positivas y negativas; modificativas, con las desfavorables; y mixtas, favorables y desfavorables. (C)</w:t>
            </w:r>
          </w:p>
        </w:tc>
        <w:tc>
          <w:tcPr>
            <w:tcW w:w="2752" w:type="dxa"/>
            <w:gridSpan w:val="3"/>
            <w:shd w:val="clear" w:color="auto" w:fill="D9E2F3"/>
          </w:tcPr>
          <w:p w14:paraId="68F83876" w14:textId="77777777" w:rsidR="00990B14" w:rsidRDefault="00000000">
            <w:pPr>
              <w:numPr>
                <w:ilvl w:val="0"/>
                <w:numId w:val="139"/>
              </w:numPr>
              <w:spacing w:before="10" w:after="10"/>
              <w:jc w:val="both"/>
            </w:pPr>
            <w:r>
              <w:rPr>
                <w:sz w:val="18"/>
                <w:szCs w:val="18"/>
              </w:rPr>
              <w:lastRenderedPageBreak/>
              <w:t xml:space="preserve">Nociones sobre las formas de organización económica (estatal, privada, social cooperativa y comunitaria) y los sectores productivos (extractivo, industrial, </w:t>
            </w:r>
            <w:r>
              <w:rPr>
                <w:sz w:val="18"/>
                <w:szCs w:val="18"/>
              </w:rPr>
              <w:lastRenderedPageBreak/>
              <w:t>comercial y de servicios), requeridas exclusivamente para la clasificación legal, funcional y operacional de las empresas en el país.</w:t>
            </w:r>
          </w:p>
          <w:p w14:paraId="159AFC48" w14:textId="77777777" w:rsidR="00990B14" w:rsidRDefault="00000000">
            <w:pPr>
              <w:numPr>
                <w:ilvl w:val="0"/>
                <w:numId w:val="139"/>
              </w:numPr>
              <w:spacing w:before="10" w:after="10"/>
              <w:jc w:val="both"/>
            </w:pPr>
            <w:r>
              <w:rPr>
                <w:sz w:val="18"/>
                <w:szCs w:val="18"/>
              </w:rPr>
              <w:t>Vocabulario contable básico y su equivalencia en inglés.</w:t>
            </w:r>
          </w:p>
        </w:tc>
      </w:tr>
      <w:tr w:rsidR="00990B14" w14:paraId="30A351D4" w14:textId="77777777">
        <w:trPr>
          <w:cantSplit/>
          <w:jc w:val="center"/>
        </w:trPr>
        <w:tc>
          <w:tcPr>
            <w:tcW w:w="9405" w:type="dxa"/>
            <w:gridSpan w:val="13"/>
            <w:shd w:val="clear" w:color="auto" w:fill="D9E2F3"/>
            <w:vAlign w:val="center"/>
          </w:tcPr>
          <w:p w14:paraId="5997D3C0" w14:textId="77777777" w:rsidR="00990B14" w:rsidRDefault="00000000">
            <w:pPr>
              <w:spacing w:before="20" w:after="20"/>
              <w:jc w:val="both"/>
            </w:pPr>
            <w:r>
              <w:rPr>
                <w:b/>
                <w:bCs/>
                <w:i/>
                <w:iCs/>
                <w:sz w:val="18"/>
                <w:szCs w:val="18"/>
              </w:rPr>
              <w:lastRenderedPageBreak/>
              <w:t xml:space="preserve">Elemento de competencia 2: </w:t>
            </w:r>
            <w:r>
              <w:rPr>
                <w:sz w:val="18"/>
                <w:szCs w:val="18"/>
              </w:rPr>
              <w:t>Aplica la teoría de las cuentas y los manuales en función de la naturaleza de las partidas en una entidad.</w:t>
            </w:r>
          </w:p>
        </w:tc>
      </w:tr>
      <w:tr w:rsidR="00990B14" w14:paraId="2FA5E253" w14:textId="77777777">
        <w:trPr>
          <w:cantSplit/>
          <w:jc w:val="center"/>
        </w:trPr>
        <w:tc>
          <w:tcPr>
            <w:tcW w:w="3133" w:type="dxa"/>
            <w:gridSpan w:val="4"/>
            <w:shd w:val="clear" w:color="auto" w:fill="4472C4"/>
            <w:vAlign w:val="center"/>
          </w:tcPr>
          <w:p w14:paraId="04870D22"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4C0F8008"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09AF92F8" w14:textId="77777777" w:rsidR="00990B14" w:rsidRDefault="00000000">
            <w:pPr>
              <w:keepNext/>
              <w:spacing w:before="20" w:after="20"/>
              <w:jc w:val="center"/>
            </w:pPr>
            <w:r>
              <w:rPr>
                <w:b/>
                <w:bCs/>
                <w:i/>
                <w:iCs/>
                <w:color w:val="FFFFFF"/>
                <w:sz w:val="18"/>
                <w:szCs w:val="18"/>
              </w:rPr>
              <w:t>Evidencias de producto</w:t>
            </w:r>
          </w:p>
        </w:tc>
      </w:tr>
      <w:tr w:rsidR="00990B14" w14:paraId="62373710" w14:textId="77777777">
        <w:trPr>
          <w:cantSplit/>
          <w:jc w:val="center"/>
        </w:trPr>
        <w:tc>
          <w:tcPr>
            <w:tcW w:w="3133" w:type="dxa"/>
            <w:gridSpan w:val="4"/>
            <w:vMerge w:val="restart"/>
            <w:shd w:val="clear" w:color="auto" w:fill="D9E2F3"/>
            <w:vAlign w:val="center"/>
          </w:tcPr>
          <w:p w14:paraId="09E866C4" w14:textId="77777777" w:rsidR="00990B14" w:rsidRDefault="00000000">
            <w:pPr>
              <w:spacing w:before="20" w:after="20"/>
              <w:jc w:val="both"/>
            </w:pPr>
            <w:r>
              <w:rPr>
                <w:sz w:val="18"/>
                <w:szCs w:val="18"/>
              </w:rPr>
              <w:t>1. Determina la naturaleza de las cuentas, aplicando las reglas del cargo y del abono clasificando las partidas del balance, de resultados y de orden.</w:t>
            </w:r>
          </w:p>
        </w:tc>
        <w:tc>
          <w:tcPr>
            <w:tcW w:w="3135" w:type="dxa"/>
            <w:gridSpan w:val="5"/>
            <w:shd w:val="clear" w:color="auto" w:fill="D9E2F3"/>
            <w:vAlign w:val="center"/>
          </w:tcPr>
          <w:p w14:paraId="33BB3429" w14:textId="77777777" w:rsidR="00990B14" w:rsidRDefault="00000000">
            <w:pPr>
              <w:spacing w:before="20" w:after="20"/>
              <w:jc w:val="both"/>
            </w:pPr>
            <w:r>
              <w:rPr>
                <w:sz w:val="18"/>
                <w:szCs w:val="18"/>
              </w:rPr>
              <w:t>1.1 Analiza en aula las transacciones suscitadas en una empresa comercial</w:t>
            </w:r>
          </w:p>
        </w:tc>
        <w:tc>
          <w:tcPr>
            <w:tcW w:w="3137" w:type="dxa"/>
            <w:gridSpan w:val="4"/>
            <w:shd w:val="clear" w:color="auto" w:fill="D9E2F3"/>
            <w:vAlign w:val="center"/>
          </w:tcPr>
          <w:p w14:paraId="2FCCE342" w14:textId="77777777" w:rsidR="00990B14" w:rsidRDefault="00000000">
            <w:pPr>
              <w:spacing w:before="20" w:after="20"/>
              <w:jc w:val="both"/>
            </w:pPr>
            <w:r>
              <w:rPr>
                <w:b/>
                <w:bCs/>
                <w:sz w:val="18"/>
                <w:szCs w:val="18"/>
              </w:rPr>
              <w:t xml:space="preserve">Producto 5: </w:t>
            </w:r>
            <w:r>
              <w:rPr>
                <w:sz w:val="18"/>
                <w:szCs w:val="18"/>
              </w:rPr>
              <w:t>Tabla de análisis de transacciones con cargos y abonos de las cuentas contables.</w:t>
            </w:r>
          </w:p>
        </w:tc>
      </w:tr>
      <w:tr w:rsidR="00990B14" w14:paraId="6722A144" w14:textId="77777777">
        <w:trPr>
          <w:cantSplit/>
          <w:jc w:val="center"/>
        </w:trPr>
        <w:tc>
          <w:tcPr>
            <w:tcW w:w="3133" w:type="dxa"/>
            <w:gridSpan w:val="4"/>
            <w:vMerge/>
            <w:shd w:val="clear" w:color="auto" w:fill="D9E2F3"/>
            <w:vAlign w:val="center"/>
          </w:tcPr>
          <w:p w14:paraId="7B4843B7" w14:textId="77777777" w:rsidR="00990B14" w:rsidRDefault="00990B14">
            <w:pPr>
              <w:spacing w:before="20" w:after="20"/>
            </w:pPr>
          </w:p>
        </w:tc>
        <w:tc>
          <w:tcPr>
            <w:tcW w:w="3135" w:type="dxa"/>
            <w:gridSpan w:val="5"/>
            <w:shd w:val="clear" w:color="auto" w:fill="D9E2F3"/>
            <w:vAlign w:val="center"/>
          </w:tcPr>
          <w:p w14:paraId="1E5ABAB2" w14:textId="77777777" w:rsidR="00990B14" w:rsidRDefault="00000000">
            <w:pPr>
              <w:spacing w:before="20" w:after="20"/>
              <w:jc w:val="both"/>
            </w:pPr>
            <w:r>
              <w:rPr>
                <w:sz w:val="18"/>
                <w:szCs w:val="18"/>
              </w:rPr>
              <w:t>1.2 Esquematiza en equipo cuentas en T determinando su saldo deudor o acreedor.</w:t>
            </w:r>
          </w:p>
        </w:tc>
        <w:tc>
          <w:tcPr>
            <w:tcW w:w="3137" w:type="dxa"/>
            <w:gridSpan w:val="4"/>
            <w:shd w:val="clear" w:color="auto" w:fill="D9E2F3"/>
            <w:vAlign w:val="center"/>
          </w:tcPr>
          <w:p w14:paraId="19B8F1D8" w14:textId="77777777" w:rsidR="00990B14" w:rsidRDefault="00000000">
            <w:pPr>
              <w:spacing w:before="20" w:after="20"/>
              <w:jc w:val="both"/>
            </w:pPr>
            <w:r>
              <w:rPr>
                <w:b/>
                <w:bCs/>
                <w:sz w:val="18"/>
                <w:szCs w:val="18"/>
              </w:rPr>
              <w:t xml:space="preserve">Producto 6: </w:t>
            </w:r>
            <w:r>
              <w:rPr>
                <w:sz w:val="18"/>
                <w:szCs w:val="18"/>
              </w:rPr>
              <w:t>Cuadro de clasificación de cuentas por su naturaleza y su saldo.</w:t>
            </w:r>
          </w:p>
        </w:tc>
      </w:tr>
      <w:tr w:rsidR="00990B14" w14:paraId="164584B6" w14:textId="77777777">
        <w:trPr>
          <w:cantSplit/>
          <w:jc w:val="center"/>
        </w:trPr>
        <w:tc>
          <w:tcPr>
            <w:tcW w:w="3133" w:type="dxa"/>
            <w:gridSpan w:val="4"/>
            <w:vMerge w:val="restart"/>
            <w:shd w:val="clear" w:color="auto" w:fill="D9E2F3"/>
            <w:vAlign w:val="center"/>
          </w:tcPr>
          <w:p w14:paraId="36919794" w14:textId="77777777" w:rsidR="00990B14" w:rsidRDefault="00000000">
            <w:pPr>
              <w:spacing w:before="20" w:after="20"/>
              <w:jc w:val="both"/>
            </w:pPr>
            <w:r>
              <w:rPr>
                <w:sz w:val="18"/>
                <w:szCs w:val="18"/>
              </w:rPr>
              <w:t>2. Elabora el manual de cuentas de una entidad, codificando las cuentas conforme a los requisitos de un plan de cuentas.</w:t>
            </w:r>
          </w:p>
        </w:tc>
        <w:tc>
          <w:tcPr>
            <w:tcW w:w="3135" w:type="dxa"/>
            <w:gridSpan w:val="5"/>
            <w:shd w:val="clear" w:color="auto" w:fill="D9E2F3"/>
            <w:vAlign w:val="center"/>
          </w:tcPr>
          <w:p w14:paraId="0A70D57F" w14:textId="77777777" w:rsidR="00990B14" w:rsidRDefault="00000000">
            <w:pPr>
              <w:spacing w:before="20" w:after="20"/>
              <w:jc w:val="both"/>
            </w:pPr>
            <w:r>
              <w:rPr>
                <w:sz w:val="18"/>
                <w:szCs w:val="18"/>
              </w:rPr>
              <w:t>2.1 Redacta en equipo el manual de cuentas de una empresa comercial.</w:t>
            </w:r>
          </w:p>
        </w:tc>
        <w:tc>
          <w:tcPr>
            <w:tcW w:w="3137" w:type="dxa"/>
            <w:gridSpan w:val="4"/>
            <w:shd w:val="clear" w:color="auto" w:fill="D9E2F3"/>
            <w:vAlign w:val="center"/>
          </w:tcPr>
          <w:p w14:paraId="25BB1C9D" w14:textId="77777777" w:rsidR="00990B14" w:rsidRDefault="00000000">
            <w:pPr>
              <w:spacing w:before="20" w:after="20"/>
              <w:jc w:val="both"/>
            </w:pPr>
            <w:r>
              <w:rPr>
                <w:b/>
                <w:bCs/>
                <w:sz w:val="18"/>
                <w:szCs w:val="18"/>
              </w:rPr>
              <w:t xml:space="preserve">Producto 7: </w:t>
            </w:r>
            <w:r>
              <w:rPr>
                <w:sz w:val="18"/>
                <w:szCs w:val="18"/>
              </w:rPr>
              <w:t>Manual de cuentas de una empresa comercial que describa: código, título, concepto, movimiento, saldo y exposición.</w:t>
            </w:r>
          </w:p>
        </w:tc>
      </w:tr>
      <w:tr w:rsidR="00990B14" w14:paraId="044EBE5B" w14:textId="77777777">
        <w:trPr>
          <w:cantSplit/>
          <w:jc w:val="center"/>
        </w:trPr>
        <w:tc>
          <w:tcPr>
            <w:tcW w:w="3133" w:type="dxa"/>
            <w:gridSpan w:val="4"/>
            <w:vMerge/>
            <w:shd w:val="clear" w:color="auto" w:fill="D9E2F3"/>
            <w:vAlign w:val="center"/>
          </w:tcPr>
          <w:p w14:paraId="0400ED26" w14:textId="77777777" w:rsidR="00990B14" w:rsidRDefault="00990B14">
            <w:pPr>
              <w:spacing w:before="20" w:after="20"/>
            </w:pPr>
          </w:p>
        </w:tc>
        <w:tc>
          <w:tcPr>
            <w:tcW w:w="3135" w:type="dxa"/>
            <w:gridSpan w:val="5"/>
            <w:shd w:val="clear" w:color="auto" w:fill="D9E2F3"/>
            <w:vAlign w:val="center"/>
          </w:tcPr>
          <w:p w14:paraId="329672AB" w14:textId="77777777" w:rsidR="00990B14" w:rsidRDefault="00000000">
            <w:pPr>
              <w:spacing w:before="20" w:after="20"/>
              <w:jc w:val="both"/>
            </w:pPr>
            <w:r>
              <w:rPr>
                <w:sz w:val="18"/>
                <w:szCs w:val="18"/>
              </w:rPr>
              <w:t>2.2 Codifica en aula las cuentas de un caso según los requisitos de codificación.</w:t>
            </w:r>
          </w:p>
        </w:tc>
        <w:tc>
          <w:tcPr>
            <w:tcW w:w="3137" w:type="dxa"/>
            <w:gridSpan w:val="4"/>
            <w:shd w:val="clear" w:color="auto" w:fill="D9E2F3"/>
            <w:vAlign w:val="center"/>
          </w:tcPr>
          <w:p w14:paraId="50B9D5DF" w14:textId="77777777" w:rsidR="00990B14" w:rsidRDefault="00000000">
            <w:pPr>
              <w:spacing w:before="20" w:after="20"/>
              <w:jc w:val="both"/>
            </w:pPr>
            <w:r>
              <w:rPr>
                <w:b/>
                <w:bCs/>
                <w:sz w:val="18"/>
                <w:szCs w:val="18"/>
              </w:rPr>
              <w:t xml:space="preserve">Producto 8: </w:t>
            </w:r>
            <w:r>
              <w:rPr>
                <w:sz w:val="18"/>
                <w:szCs w:val="18"/>
              </w:rPr>
              <w:t>Plan codificado de las cuentas de un caso práctico.</w:t>
            </w:r>
          </w:p>
        </w:tc>
      </w:tr>
      <w:tr w:rsidR="00990B14" w14:paraId="239DF949" w14:textId="77777777">
        <w:trPr>
          <w:cantSplit/>
          <w:jc w:val="center"/>
        </w:trPr>
        <w:tc>
          <w:tcPr>
            <w:tcW w:w="9405" w:type="dxa"/>
            <w:gridSpan w:val="13"/>
            <w:shd w:val="clear" w:color="auto" w:fill="4472C4"/>
            <w:vAlign w:val="center"/>
          </w:tcPr>
          <w:p w14:paraId="5BE96394" w14:textId="77777777" w:rsidR="00990B14" w:rsidRDefault="00000000">
            <w:pPr>
              <w:keepNext/>
              <w:spacing w:before="20" w:after="20"/>
              <w:jc w:val="center"/>
            </w:pPr>
            <w:r>
              <w:rPr>
                <w:b/>
                <w:bCs/>
                <w:i/>
                <w:iCs/>
                <w:color w:val="FFFFFF"/>
                <w:sz w:val="18"/>
                <w:szCs w:val="18"/>
              </w:rPr>
              <w:t>Evidencias de conocimiento</w:t>
            </w:r>
          </w:p>
        </w:tc>
      </w:tr>
      <w:tr w:rsidR="00990B14" w14:paraId="0E24C3EE" w14:textId="77777777">
        <w:trPr>
          <w:cantSplit/>
          <w:jc w:val="center"/>
        </w:trPr>
        <w:tc>
          <w:tcPr>
            <w:tcW w:w="2349" w:type="dxa"/>
            <w:gridSpan w:val="2"/>
            <w:shd w:val="clear" w:color="auto" w:fill="4472C4"/>
            <w:vAlign w:val="center"/>
          </w:tcPr>
          <w:p w14:paraId="7E713B29"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58F78556" w14:textId="77777777" w:rsidR="00990B14" w:rsidRDefault="00000000">
            <w:pPr>
              <w:keepNext/>
              <w:spacing w:before="20" w:after="20"/>
              <w:jc w:val="both"/>
            </w:pPr>
            <w:r>
              <w:rPr>
                <w:b/>
                <w:bCs/>
                <w:i/>
                <w:iCs/>
                <w:color w:val="FFFFFF"/>
                <w:sz w:val="18"/>
                <w:szCs w:val="18"/>
              </w:rPr>
              <w:t>Contenidos</w:t>
            </w:r>
          </w:p>
          <w:p w14:paraId="2AC30E62"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180B8CC9" w14:textId="77777777" w:rsidR="00990B14" w:rsidRDefault="00000000">
            <w:pPr>
              <w:keepNext/>
              <w:spacing w:before="20" w:after="20"/>
              <w:jc w:val="center"/>
            </w:pPr>
            <w:r>
              <w:rPr>
                <w:b/>
                <w:bCs/>
                <w:i/>
                <w:iCs/>
                <w:color w:val="FFFFFF"/>
                <w:sz w:val="18"/>
                <w:szCs w:val="18"/>
              </w:rPr>
              <w:t>Conocimientos circunstanciales</w:t>
            </w:r>
          </w:p>
        </w:tc>
      </w:tr>
      <w:tr w:rsidR="00990B14" w14:paraId="575F75EB" w14:textId="77777777">
        <w:trPr>
          <w:jc w:val="center"/>
        </w:trPr>
        <w:tc>
          <w:tcPr>
            <w:tcW w:w="2349" w:type="dxa"/>
            <w:gridSpan w:val="2"/>
            <w:shd w:val="clear" w:color="auto" w:fill="D9E2F3"/>
          </w:tcPr>
          <w:p w14:paraId="337D2AD3" w14:textId="77777777" w:rsidR="00990B14" w:rsidRDefault="00000000">
            <w:pPr>
              <w:spacing w:before="20" w:after="40"/>
              <w:jc w:val="both"/>
            </w:pPr>
            <w:r>
              <w:rPr>
                <w:sz w:val="18"/>
                <w:szCs w:val="18"/>
              </w:rPr>
              <w:t>Tema 4: Teoría de las cuentas</w:t>
            </w:r>
          </w:p>
          <w:p w14:paraId="63E09E51" w14:textId="77777777" w:rsidR="00990B14" w:rsidRDefault="00000000">
            <w:pPr>
              <w:spacing w:before="20" w:after="40"/>
              <w:jc w:val="both"/>
            </w:pPr>
            <w:r>
              <w:rPr>
                <w:sz w:val="18"/>
                <w:szCs w:val="18"/>
              </w:rPr>
              <w:t>Tema 5: Manuales de contabilidad</w:t>
            </w:r>
          </w:p>
        </w:tc>
        <w:tc>
          <w:tcPr>
            <w:tcW w:w="4304" w:type="dxa"/>
            <w:gridSpan w:val="8"/>
            <w:shd w:val="clear" w:color="auto" w:fill="D9E2F3"/>
          </w:tcPr>
          <w:p w14:paraId="3B267613" w14:textId="77777777" w:rsidR="00990B14" w:rsidRDefault="00000000">
            <w:pPr>
              <w:spacing w:after="40"/>
              <w:jc w:val="both"/>
            </w:pPr>
            <w:r>
              <w:rPr>
                <w:sz w:val="18"/>
                <w:szCs w:val="18"/>
              </w:rPr>
              <w:t>Teoría de las cuentas: concepto de cuenta; debe y haber; esquematización de una cuenta. (C)</w:t>
            </w:r>
          </w:p>
          <w:p w14:paraId="4D8C78EA" w14:textId="77777777" w:rsidR="00990B14" w:rsidRDefault="00000000">
            <w:pPr>
              <w:spacing w:after="40"/>
              <w:jc w:val="both"/>
            </w:pPr>
            <w:r>
              <w:rPr>
                <w:sz w:val="18"/>
                <w:szCs w:val="18"/>
              </w:rPr>
              <w:t>Saldo deudor y saldo acreedor, con su demostración; regla del cargo o débito y regla del abono o crédito. (C, P)</w:t>
            </w:r>
          </w:p>
          <w:p w14:paraId="210783D3" w14:textId="77777777" w:rsidR="00990B14" w:rsidRDefault="00000000">
            <w:pPr>
              <w:spacing w:after="40"/>
              <w:jc w:val="both"/>
            </w:pPr>
            <w:r>
              <w:rPr>
                <w:sz w:val="18"/>
                <w:szCs w:val="18"/>
              </w:rPr>
              <w:t>Clasificación de cuentas. Cuentas de balance: características, cuentas de activo, de pasivo, de patrimonio y reguladoras. (C)</w:t>
            </w:r>
          </w:p>
          <w:p w14:paraId="3858EED3" w14:textId="77777777" w:rsidR="00990B14" w:rsidRDefault="00000000">
            <w:pPr>
              <w:spacing w:after="40"/>
              <w:jc w:val="both"/>
            </w:pPr>
            <w:r>
              <w:rPr>
                <w:sz w:val="18"/>
                <w:szCs w:val="18"/>
              </w:rPr>
              <w:t>Cuentas de resultados: características y cuentas de costo, de gasto y de ingreso. (C)</w:t>
            </w:r>
          </w:p>
          <w:p w14:paraId="46CEDED5" w14:textId="77777777" w:rsidR="00990B14" w:rsidRDefault="00000000">
            <w:pPr>
              <w:spacing w:after="40"/>
              <w:jc w:val="both"/>
            </w:pPr>
            <w:r>
              <w:rPr>
                <w:sz w:val="18"/>
                <w:szCs w:val="18"/>
              </w:rPr>
              <w:t>Cuentas de orden: características, deudoras y acreedoras. (C)</w:t>
            </w:r>
          </w:p>
          <w:p w14:paraId="0947647A" w14:textId="77777777" w:rsidR="00990B14" w:rsidRDefault="00000000">
            <w:pPr>
              <w:spacing w:after="40"/>
              <w:jc w:val="both"/>
            </w:pPr>
            <w:r>
              <w:rPr>
                <w:sz w:val="18"/>
                <w:szCs w:val="18"/>
              </w:rPr>
              <w:t>Regla para la presentación de saldos y ley de movimiento de cuentas, con sus enunciados. (C, P)</w:t>
            </w:r>
          </w:p>
          <w:p w14:paraId="12E660A8" w14:textId="77777777" w:rsidR="00990B14" w:rsidRDefault="00000000">
            <w:pPr>
              <w:spacing w:after="40"/>
              <w:jc w:val="both"/>
            </w:pPr>
            <w:r>
              <w:rPr>
                <w:sz w:val="18"/>
                <w:szCs w:val="18"/>
              </w:rPr>
              <w:t>Manuales de contabilidad: concepto y clasificación en manual de políticas contables, manual de procedimientos contables y manual de cuentas, con su objetivo y características. (C, P)</w:t>
            </w:r>
          </w:p>
          <w:p w14:paraId="2B16D9AF" w14:textId="77777777" w:rsidR="00990B14" w:rsidRDefault="00000000">
            <w:pPr>
              <w:spacing w:after="40"/>
              <w:jc w:val="both"/>
            </w:pPr>
            <w:r>
              <w:rPr>
                <w:sz w:val="18"/>
                <w:szCs w:val="18"/>
              </w:rPr>
              <w:t xml:space="preserve">Naturaleza de las cuentas: código, requisitos para codificar, título, concepto, movimiento, </w:t>
            </w:r>
            <w:r>
              <w:rPr>
                <w:sz w:val="18"/>
                <w:szCs w:val="18"/>
              </w:rPr>
              <w:lastRenderedPageBreak/>
              <w:t>saldo, exposición y ejemplo. (C, P, A)</w:t>
            </w:r>
          </w:p>
          <w:p w14:paraId="26A9E172" w14:textId="77777777" w:rsidR="00990B14" w:rsidRDefault="00000000">
            <w:pPr>
              <w:spacing w:after="40"/>
              <w:jc w:val="both"/>
            </w:pPr>
            <w:r>
              <w:rPr>
                <w:sz w:val="18"/>
                <w:szCs w:val="18"/>
              </w:rPr>
              <w:t>Plan de cuentas, modelo de contabilidad y sistema de contabilidad; relación con la clasificación de cuentas en balance, resultados y orden, con un ejemplo de plan de cuentas. (C, P)</w:t>
            </w:r>
          </w:p>
          <w:p w14:paraId="5E3AA835" w14:textId="77777777" w:rsidR="00990B14" w:rsidRDefault="00000000">
            <w:pPr>
              <w:spacing w:after="40"/>
              <w:jc w:val="both"/>
            </w:pPr>
            <w:r>
              <w:rPr>
                <w:sz w:val="18"/>
                <w:szCs w:val="18"/>
              </w:rPr>
              <w:t>Análisis de transacciones y su demostración. (P)</w:t>
            </w:r>
          </w:p>
        </w:tc>
        <w:tc>
          <w:tcPr>
            <w:tcW w:w="2752" w:type="dxa"/>
            <w:gridSpan w:val="3"/>
            <w:shd w:val="clear" w:color="auto" w:fill="D9E2F3"/>
          </w:tcPr>
          <w:p w14:paraId="0B53D246" w14:textId="77777777" w:rsidR="00990B14" w:rsidRDefault="00000000">
            <w:pPr>
              <w:numPr>
                <w:ilvl w:val="0"/>
                <w:numId w:val="139"/>
              </w:numPr>
              <w:spacing w:before="10" w:after="10"/>
              <w:jc w:val="both"/>
            </w:pPr>
            <w:r>
              <w:rPr>
                <w:sz w:val="18"/>
                <w:szCs w:val="18"/>
              </w:rPr>
              <w:lastRenderedPageBreak/>
              <w:t>Nociones sobre la jerarquización de niveles de codificación por grupo, subgrupo, cuenta y subcuenta, requeridas exclusivamente para la parametrización estructurada de planes de cuentas en sistemas informáticos.</w:t>
            </w:r>
          </w:p>
          <w:p w14:paraId="29B672D1" w14:textId="77777777" w:rsidR="00990B14" w:rsidRDefault="00000000">
            <w:pPr>
              <w:numPr>
                <w:ilvl w:val="0"/>
                <w:numId w:val="139"/>
              </w:numPr>
              <w:spacing w:before="10" w:after="10"/>
              <w:jc w:val="both"/>
            </w:pPr>
            <w:r>
              <w:rPr>
                <w:sz w:val="18"/>
                <w:szCs w:val="18"/>
              </w:rPr>
              <w:t>Nociones sobre manual y nomenclaturas estandarizadas de cuentas exigidas por entes de fiscalización y tributarios en Bolivia para la transmisión digital de estados financieros.</w:t>
            </w:r>
          </w:p>
        </w:tc>
      </w:tr>
      <w:tr w:rsidR="00990B14" w14:paraId="7FC90C3B" w14:textId="77777777">
        <w:trPr>
          <w:cantSplit/>
          <w:jc w:val="center"/>
        </w:trPr>
        <w:tc>
          <w:tcPr>
            <w:tcW w:w="9405" w:type="dxa"/>
            <w:gridSpan w:val="13"/>
            <w:shd w:val="clear" w:color="auto" w:fill="D9E2F3"/>
            <w:vAlign w:val="center"/>
          </w:tcPr>
          <w:p w14:paraId="043BA8D8" w14:textId="77777777" w:rsidR="00990B14" w:rsidRDefault="00000000">
            <w:pPr>
              <w:spacing w:before="20" w:after="20"/>
              <w:jc w:val="both"/>
            </w:pPr>
            <w:r>
              <w:rPr>
                <w:b/>
                <w:bCs/>
                <w:i/>
                <w:iCs/>
                <w:sz w:val="18"/>
                <w:szCs w:val="18"/>
              </w:rPr>
              <w:t xml:space="preserve">Elemento de competencia 3: </w:t>
            </w:r>
            <w:r>
              <w:rPr>
                <w:sz w:val="18"/>
                <w:szCs w:val="18"/>
              </w:rPr>
              <w:t>Registra las transacciones de una entidad en los libros de diario y mayor, cumpliendo las formalidades legales y corrigiendo los errores de registro.</w:t>
            </w:r>
          </w:p>
        </w:tc>
      </w:tr>
      <w:tr w:rsidR="00990B14" w14:paraId="757F50A1" w14:textId="77777777">
        <w:trPr>
          <w:cantSplit/>
          <w:jc w:val="center"/>
        </w:trPr>
        <w:tc>
          <w:tcPr>
            <w:tcW w:w="3133" w:type="dxa"/>
            <w:gridSpan w:val="4"/>
            <w:shd w:val="clear" w:color="auto" w:fill="4472C4"/>
            <w:vAlign w:val="center"/>
          </w:tcPr>
          <w:p w14:paraId="5EE72240"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6419E3F7"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504B5817" w14:textId="77777777" w:rsidR="00990B14" w:rsidRDefault="00000000">
            <w:pPr>
              <w:keepNext/>
              <w:spacing w:before="20" w:after="20"/>
              <w:jc w:val="center"/>
            </w:pPr>
            <w:r>
              <w:rPr>
                <w:b/>
                <w:bCs/>
                <w:i/>
                <w:iCs/>
                <w:color w:val="FFFFFF"/>
                <w:sz w:val="18"/>
                <w:szCs w:val="18"/>
              </w:rPr>
              <w:t>Evidencias de producto</w:t>
            </w:r>
          </w:p>
        </w:tc>
      </w:tr>
      <w:tr w:rsidR="00990B14" w14:paraId="5D36C0C5" w14:textId="77777777">
        <w:trPr>
          <w:cantSplit/>
          <w:jc w:val="center"/>
        </w:trPr>
        <w:tc>
          <w:tcPr>
            <w:tcW w:w="3133" w:type="dxa"/>
            <w:gridSpan w:val="4"/>
            <w:vMerge w:val="restart"/>
            <w:shd w:val="clear" w:color="auto" w:fill="D9E2F3"/>
            <w:vAlign w:val="center"/>
          </w:tcPr>
          <w:p w14:paraId="30452E5E" w14:textId="77777777" w:rsidR="00990B14" w:rsidRDefault="00000000">
            <w:pPr>
              <w:spacing w:before="20" w:after="20"/>
              <w:jc w:val="both"/>
            </w:pPr>
            <w:r>
              <w:rPr>
                <w:sz w:val="18"/>
                <w:szCs w:val="18"/>
              </w:rPr>
              <w:t>1. Registra las transacciones de una entidad en comprobantes de diario y pases a mayores.</w:t>
            </w:r>
          </w:p>
        </w:tc>
        <w:tc>
          <w:tcPr>
            <w:tcW w:w="3135" w:type="dxa"/>
            <w:gridSpan w:val="5"/>
            <w:shd w:val="clear" w:color="auto" w:fill="D9E2F3"/>
            <w:vAlign w:val="center"/>
          </w:tcPr>
          <w:p w14:paraId="6910ABFB" w14:textId="77777777" w:rsidR="00990B14" w:rsidRDefault="00000000">
            <w:pPr>
              <w:spacing w:before="20" w:after="20"/>
              <w:jc w:val="both"/>
            </w:pPr>
            <w:r>
              <w:rPr>
                <w:sz w:val="18"/>
                <w:szCs w:val="18"/>
              </w:rPr>
              <w:t>1.1 Diariza las transacciones de una empresa comercial en comprobantes de diario: ingreso, egreso y traspaso.</w:t>
            </w:r>
          </w:p>
        </w:tc>
        <w:tc>
          <w:tcPr>
            <w:tcW w:w="3137" w:type="dxa"/>
            <w:gridSpan w:val="4"/>
            <w:shd w:val="clear" w:color="auto" w:fill="D9E2F3"/>
            <w:vAlign w:val="center"/>
          </w:tcPr>
          <w:p w14:paraId="3FA2A23C" w14:textId="77777777" w:rsidR="00990B14" w:rsidRDefault="00000000">
            <w:pPr>
              <w:spacing w:before="20" w:after="20"/>
              <w:jc w:val="both"/>
            </w:pPr>
            <w:r>
              <w:rPr>
                <w:b/>
                <w:bCs/>
                <w:sz w:val="18"/>
                <w:szCs w:val="18"/>
              </w:rPr>
              <w:t xml:space="preserve">Producto 9: </w:t>
            </w:r>
            <w:r>
              <w:rPr>
                <w:sz w:val="18"/>
                <w:szCs w:val="18"/>
              </w:rPr>
              <w:t>Registros en comprobantes de diario de las transacciones realizadas cada día.</w:t>
            </w:r>
          </w:p>
        </w:tc>
      </w:tr>
      <w:tr w:rsidR="00990B14" w14:paraId="443DDA4F" w14:textId="77777777">
        <w:trPr>
          <w:cantSplit/>
          <w:jc w:val="center"/>
        </w:trPr>
        <w:tc>
          <w:tcPr>
            <w:tcW w:w="3133" w:type="dxa"/>
            <w:gridSpan w:val="4"/>
            <w:vMerge/>
            <w:shd w:val="clear" w:color="auto" w:fill="D9E2F3"/>
            <w:vAlign w:val="center"/>
          </w:tcPr>
          <w:p w14:paraId="188E31C4" w14:textId="77777777" w:rsidR="00990B14" w:rsidRDefault="00990B14">
            <w:pPr>
              <w:spacing w:before="20" w:after="20"/>
            </w:pPr>
          </w:p>
        </w:tc>
        <w:tc>
          <w:tcPr>
            <w:tcW w:w="3135" w:type="dxa"/>
            <w:gridSpan w:val="5"/>
            <w:shd w:val="clear" w:color="auto" w:fill="D9E2F3"/>
            <w:vAlign w:val="center"/>
          </w:tcPr>
          <w:p w14:paraId="2217EAC5" w14:textId="77777777" w:rsidR="00990B14" w:rsidRDefault="00000000">
            <w:pPr>
              <w:spacing w:before="20" w:after="20"/>
              <w:jc w:val="both"/>
            </w:pPr>
            <w:r>
              <w:rPr>
                <w:sz w:val="18"/>
                <w:szCs w:val="18"/>
              </w:rPr>
              <w:t>1.2 Mayoriza en equipo los asientos del caso práctico en mayores analíticos y en T.</w:t>
            </w:r>
          </w:p>
        </w:tc>
        <w:tc>
          <w:tcPr>
            <w:tcW w:w="3137" w:type="dxa"/>
            <w:gridSpan w:val="4"/>
            <w:shd w:val="clear" w:color="auto" w:fill="D9E2F3"/>
            <w:vAlign w:val="center"/>
          </w:tcPr>
          <w:p w14:paraId="0A9654BF" w14:textId="77777777" w:rsidR="00990B14" w:rsidRDefault="00000000">
            <w:pPr>
              <w:spacing w:before="20" w:after="20"/>
              <w:jc w:val="both"/>
            </w:pPr>
            <w:r>
              <w:rPr>
                <w:b/>
                <w:bCs/>
                <w:sz w:val="18"/>
                <w:szCs w:val="18"/>
              </w:rPr>
              <w:t xml:space="preserve">Producto 10: </w:t>
            </w:r>
            <w:r>
              <w:rPr>
                <w:sz w:val="18"/>
                <w:szCs w:val="18"/>
              </w:rPr>
              <w:t>Registros de mayor de las cuentas del caso práctico.</w:t>
            </w:r>
          </w:p>
        </w:tc>
      </w:tr>
      <w:tr w:rsidR="00990B14" w14:paraId="6B4A5719" w14:textId="77777777">
        <w:trPr>
          <w:cantSplit/>
          <w:jc w:val="center"/>
        </w:trPr>
        <w:tc>
          <w:tcPr>
            <w:tcW w:w="3133" w:type="dxa"/>
            <w:gridSpan w:val="4"/>
            <w:vMerge w:val="restart"/>
            <w:shd w:val="clear" w:color="auto" w:fill="D9E2F3"/>
            <w:vAlign w:val="center"/>
          </w:tcPr>
          <w:p w14:paraId="13ECE803" w14:textId="77777777" w:rsidR="00990B14" w:rsidRDefault="00000000">
            <w:pPr>
              <w:spacing w:before="20" w:after="20"/>
              <w:jc w:val="both"/>
            </w:pPr>
            <w:r>
              <w:rPr>
                <w:sz w:val="18"/>
                <w:szCs w:val="18"/>
              </w:rPr>
              <w:t>2. Corrige errores en registros de diario y mayor, en función a cada caso.</w:t>
            </w:r>
          </w:p>
        </w:tc>
        <w:tc>
          <w:tcPr>
            <w:tcW w:w="3135" w:type="dxa"/>
            <w:gridSpan w:val="5"/>
            <w:shd w:val="clear" w:color="auto" w:fill="D9E2F3"/>
            <w:vAlign w:val="center"/>
          </w:tcPr>
          <w:p w14:paraId="028D705E" w14:textId="77777777" w:rsidR="00990B14" w:rsidRDefault="00000000">
            <w:pPr>
              <w:spacing w:before="20" w:after="20"/>
              <w:jc w:val="both"/>
            </w:pPr>
            <w:r>
              <w:rPr>
                <w:sz w:val="18"/>
                <w:szCs w:val="18"/>
              </w:rPr>
              <w:t>2.1 Detecta en equipo errores de registro en un caso práctico y propone su corrección.</w:t>
            </w:r>
          </w:p>
        </w:tc>
        <w:tc>
          <w:tcPr>
            <w:tcW w:w="3137" w:type="dxa"/>
            <w:gridSpan w:val="4"/>
            <w:shd w:val="clear" w:color="auto" w:fill="D9E2F3"/>
            <w:vAlign w:val="center"/>
          </w:tcPr>
          <w:p w14:paraId="071C7F3F" w14:textId="77777777" w:rsidR="00990B14" w:rsidRDefault="00000000">
            <w:pPr>
              <w:spacing w:before="20" w:after="20"/>
              <w:jc w:val="both"/>
            </w:pPr>
            <w:r>
              <w:rPr>
                <w:b/>
                <w:bCs/>
                <w:sz w:val="18"/>
                <w:szCs w:val="18"/>
              </w:rPr>
              <w:t xml:space="preserve">Producto 11: </w:t>
            </w:r>
            <w:r>
              <w:rPr>
                <w:sz w:val="18"/>
                <w:szCs w:val="18"/>
              </w:rPr>
              <w:t>Informe de detección y corrección de errores de registro.</w:t>
            </w:r>
          </w:p>
        </w:tc>
      </w:tr>
      <w:tr w:rsidR="00990B14" w14:paraId="45C64EAB" w14:textId="77777777">
        <w:trPr>
          <w:cantSplit/>
          <w:jc w:val="center"/>
        </w:trPr>
        <w:tc>
          <w:tcPr>
            <w:tcW w:w="3133" w:type="dxa"/>
            <w:gridSpan w:val="4"/>
            <w:vMerge/>
            <w:shd w:val="clear" w:color="auto" w:fill="D9E2F3"/>
            <w:vAlign w:val="center"/>
          </w:tcPr>
          <w:p w14:paraId="1DFC484B" w14:textId="77777777" w:rsidR="00990B14" w:rsidRDefault="00990B14">
            <w:pPr>
              <w:spacing w:before="20" w:after="20"/>
            </w:pPr>
          </w:p>
        </w:tc>
        <w:tc>
          <w:tcPr>
            <w:tcW w:w="3135" w:type="dxa"/>
            <w:gridSpan w:val="5"/>
            <w:shd w:val="clear" w:color="auto" w:fill="D9E2F3"/>
            <w:vAlign w:val="center"/>
          </w:tcPr>
          <w:p w14:paraId="726E374A" w14:textId="77777777" w:rsidR="00990B14" w:rsidRDefault="00000000">
            <w:pPr>
              <w:spacing w:before="20" w:after="20"/>
              <w:jc w:val="both"/>
            </w:pPr>
            <w:r>
              <w:rPr>
                <w:sz w:val="18"/>
                <w:szCs w:val="18"/>
              </w:rPr>
              <w:t>2.2 Argumenta ante el curso la conducta ética frente a un error voluntario en los registros.</w:t>
            </w:r>
          </w:p>
        </w:tc>
        <w:tc>
          <w:tcPr>
            <w:tcW w:w="3137" w:type="dxa"/>
            <w:gridSpan w:val="4"/>
            <w:shd w:val="clear" w:color="auto" w:fill="D9E2F3"/>
            <w:vAlign w:val="center"/>
          </w:tcPr>
          <w:p w14:paraId="094C0E1E" w14:textId="77777777" w:rsidR="00990B14" w:rsidRDefault="00000000">
            <w:pPr>
              <w:spacing w:before="20" w:after="20"/>
              <w:jc w:val="both"/>
            </w:pPr>
            <w:r>
              <w:rPr>
                <w:b/>
                <w:bCs/>
                <w:sz w:val="18"/>
                <w:szCs w:val="18"/>
              </w:rPr>
              <w:t xml:space="preserve">Producto 12: </w:t>
            </w:r>
            <w:r>
              <w:rPr>
                <w:sz w:val="18"/>
                <w:szCs w:val="18"/>
              </w:rPr>
              <w:t>Ficha de análisis de un caso de conducta ética en el registro contable.</w:t>
            </w:r>
          </w:p>
        </w:tc>
      </w:tr>
      <w:tr w:rsidR="00990B14" w14:paraId="10ACFF11" w14:textId="77777777">
        <w:trPr>
          <w:cantSplit/>
          <w:jc w:val="center"/>
        </w:trPr>
        <w:tc>
          <w:tcPr>
            <w:tcW w:w="9405" w:type="dxa"/>
            <w:gridSpan w:val="13"/>
            <w:shd w:val="clear" w:color="auto" w:fill="4472C4"/>
            <w:vAlign w:val="center"/>
          </w:tcPr>
          <w:p w14:paraId="63C4D1AE" w14:textId="77777777" w:rsidR="00990B14" w:rsidRDefault="00000000">
            <w:pPr>
              <w:keepNext/>
              <w:spacing w:before="20" w:after="20"/>
              <w:jc w:val="center"/>
            </w:pPr>
            <w:r>
              <w:rPr>
                <w:b/>
                <w:bCs/>
                <w:i/>
                <w:iCs/>
                <w:color w:val="FFFFFF"/>
                <w:sz w:val="18"/>
                <w:szCs w:val="18"/>
              </w:rPr>
              <w:t>Evidencias de conocimiento</w:t>
            </w:r>
          </w:p>
        </w:tc>
      </w:tr>
      <w:tr w:rsidR="00990B14" w14:paraId="74AE7AD2" w14:textId="77777777">
        <w:trPr>
          <w:cantSplit/>
          <w:jc w:val="center"/>
        </w:trPr>
        <w:tc>
          <w:tcPr>
            <w:tcW w:w="2349" w:type="dxa"/>
            <w:gridSpan w:val="2"/>
            <w:shd w:val="clear" w:color="auto" w:fill="4472C4"/>
            <w:vAlign w:val="center"/>
          </w:tcPr>
          <w:p w14:paraId="57C1F682"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471AB011" w14:textId="77777777" w:rsidR="00990B14" w:rsidRDefault="00000000">
            <w:pPr>
              <w:keepNext/>
              <w:spacing w:before="20" w:after="20"/>
              <w:jc w:val="both"/>
            </w:pPr>
            <w:r>
              <w:rPr>
                <w:b/>
                <w:bCs/>
                <w:i/>
                <w:iCs/>
                <w:color w:val="FFFFFF"/>
                <w:sz w:val="18"/>
                <w:szCs w:val="18"/>
              </w:rPr>
              <w:t>Contenidos</w:t>
            </w:r>
          </w:p>
          <w:p w14:paraId="65E16A05"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13AD2699" w14:textId="77777777" w:rsidR="00990B14" w:rsidRDefault="00000000">
            <w:pPr>
              <w:keepNext/>
              <w:spacing w:before="20" w:after="20"/>
              <w:jc w:val="center"/>
            </w:pPr>
            <w:r>
              <w:rPr>
                <w:b/>
                <w:bCs/>
                <w:i/>
                <w:iCs/>
                <w:color w:val="FFFFFF"/>
                <w:sz w:val="18"/>
                <w:szCs w:val="18"/>
              </w:rPr>
              <w:t>Conocimientos circunstanciales</w:t>
            </w:r>
          </w:p>
        </w:tc>
      </w:tr>
      <w:tr w:rsidR="00990B14" w14:paraId="510EEE84" w14:textId="77777777">
        <w:trPr>
          <w:jc w:val="center"/>
        </w:trPr>
        <w:tc>
          <w:tcPr>
            <w:tcW w:w="2349" w:type="dxa"/>
            <w:gridSpan w:val="2"/>
            <w:shd w:val="clear" w:color="auto" w:fill="D9E2F3"/>
          </w:tcPr>
          <w:p w14:paraId="64AAAFD1" w14:textId="77777777" w:rsidR="00990B14" w:rsidRDefault="00000000">
            <w:pPr>
              <w:spacing w:before="20" w:after="40"/>
              <w:jc w:val="both"/>
            </w:pPr>
            <w:r>
              <w:rPr>
                <w:sz w:val="18"/>
                <w:szCs w:val="18"/>
              </w:rPr>
              <w:t>Tema 6: Registros de diario</w:t>
            </w:r>
          </w:p>
          <w:p w14:paraId="0327C390" w14:textId="77777777" w:rsidR="00990B14" w:rsidRDefault="00000000">
            <w:pPr>
              <w:spacing w:before="20" w:after="40"/>
              <w:jc w:val="both"/>
            </w:pPr>
            <w:r>
              <w:rPr>
                <w:sz w:val="18"/>
                <w:szCs w:val="18"/>
              </w:rPr>
              <w:t>Tema 7: Registros de mayor</w:t>
            </w:r>
          </w:p>
          <w:p w14:paraId="27862E9A" w14:textId="77777777" w:rsidR="00990B14" w:rsidRDefault="00000000">
            <w:pPr>
              <w:spacing w:before="20" w:after="40"/>
              <w:jc w:val="both"/>
            </w:pPr>
            <w:r>
              <w:rPr>
                <w:sz w:val="18"/>
                <w:szCs w:val="18"/>
              </w:rPr>
              <w:t>Tema 8: Errores en registros</w:t>
            </w:r>
          </w:p>
        </w:tc>
        <w:tc>
          <w:tcPr>
            <w:tcW w:w="4304" w:type="dxa"/>
            <w:gridSpan w:val="8"/>
            <w:shd w:val="clear" w:color="auto" w:fill="D9E2F3"/>
          </w:tcPr>
          <w:p w14:paraId="61B681C4" w14:textId="77777777" w:rsidR="00990B14" w:rsidRDefault="00000000">
            <w:pPr>
              <w:spacing w:after="40"/>
              <w:jc w:val="both"/>
            </w:pPr>
            <w:r>
              <w:rPr>
                <w:sz w:val="18"/>
                <w:szCs w:val="18"/>
              </w:rPr>
              <w:t>Sistema de contabilidad manual y automatizado; sistema de registro. (P, T)</w:t>
            </w:r>
          </w:p>
          <w:p w14:paraId="319D3969" w14:textId="77777777" w:rsidR="00990B14" w:rsidRDefault="00000000">
            <w:pPr>
              <w:spacing w:after="40"/>
              <w:jc w:val="both"/>
            </w:pPr>
            <w:r>
              <w:rPr>
                <w:sz w:val="18"/>
                <w:szCs w:val="18"/>
              </w:rPr>
              <w:t>Libros de contabilidad: condiciones, requisitos, libros obligatorios o principales y libros voluntarios o auxiliares. (C)</w:t>
            </w:r>
          </w:p>
          <w:p w14:paraId="77B038A0" w14:textId="77777777" w:rsidR="00990B14" w:rsidRDefault="00000000">
            <w:pPr>
              <w:spacing w:after="40"/>
              <w:jc w:val="both"/>
            </w:pPr>
            <w:r>
              <w:rPr>
                <w:sz w:val="18"/>
                <w:szCs w:val="18"/>
              </w:rPr>
              <w:t>Registros de diario: objetivo y bases de registro efectivo, devengado y mixta. (C, P)</w:t>
            </w:r>
          </w:p>
          <w:p w14:paraId="3E7936E7" w14:textId="77777777" w:rsidR="00990B14" w:rsidRDefault="00000000">
            <w:pPr>
              <w:spacing w:after="40"/>
              <w:jc w:val="both"/>
            </w:pPr>
            <w:r>
              <w:rPr>
                <w:sz w:val="18"/>
                <w:szCs w:val="18"/>
              </w:rPr>
              <w:t>Comprobantes de diario de traspaso, ingreso y egreso: características, formalidades, diseño, conformación, numeración y copias. (C, P)</w:t>
            </w:r>
          </w:p>
          <w:p w14:paraId="4B3C2198" w14:textId="77777777" w:rsidR="00990B14" w:rsidRDefault="00000000">
            <w:pPr>
              <w:spacing w:after="40"/>
              <w:jc w:val="both"/>
            </w:pPr>
            <w:r>
              <w:rPr>
                <w:sz w:val="18"/>
                <w:szCs w:val="18"/>
              </w:rPr>
              <w:t>Asiento: conformación; asientos por su fondo: apertura, ejercicio, ajuste, cierre y reapertura; asientos por su forma: simples o sencillos y compuestos o dobles. (C)</w:t>
            </w:r>
          </w:p>
          <w:p w14:paraId="5CE1B0B7" w14:textId="77777777" w:rsidR="00990B14" w:rsidRDefault="00000000">
            <w:pPr>
              <w:spacing w:after="40"/>
              <w:jc w:val="both"/>
            </w:pPr>
            <w:r>
              <w:rPr>
                <w:sz w:val="18"/>
                <w:szCs w:val="18"/>
              </w:rPr>
              <w:t>Procedimiento para diarizar; caso práctico. (P)</w:t>
            </w:r>
          </w:p>
          <w:p w14:paraId="594536EB" w14:textId="77777777" w:rsidR="00990B14" w:rsidRDefault="00000000">
            <w:pPr>
              <w:spacing w:after="40"/>
              <w:jc w:val="both"/>
            </w:pPr>
            <w:r>
              <w:rPr>
                <w:sz w:val="18"/>
                <w:szCs w:val="18"/>
              </w:rPr>
              <w:t>Registros de mayor: concepto, objetivo, características, condiciones, requisitos y clases de mayores. (C, P)</w:t>
            </w:r>
          </w:p>
          <w:p w14:paraId="4F58B86D" w14:textId="77777777" w:rsidR="00990B14" w:rsidRDefault="00000000">
            <w:pPr>
              <w:spacing w:after="40"/>
              <w:jc w:val="both"/>
            </w:pPr>
            <w:r>
              <w:rPr>
                <w:sz w:val="18"/>
                <w:szCs w:val="18"/>
              </w:rPr>
              <w:t>Registro de mayor analítico: diseño, conformación y otras clases de mayores analíticos, de 8 y de 10 columnas; registro de mayor en "T": diseño y conformación. (P)</w:t>
            </w:r>
          </w:p>
          <w:p w14:paraId="19A80C62" w14:textId="77777777" w:rsidR="00990B14" w:rsidRDefault="00000000">
            <w:pPr>
              <w:spacing w:after="40"/>
              <w:jc w:val="both"/>
            </w:pPr>
            <w:r>
              <w:rPr>
                <w:sz w:val="18"/>
                <w:szCs w:val="18"/>
              </w:rPr>
              <w:lastRenderedPageBreak/>
              <w:t>Pases a mayor: procedimiento; caso práctico. (P)</w:t>
            </w:r>
          </w:p>
          <w:p w14:paraId="5EEFDCD3" w14:textId="77777777" w:rsidR="00990B14" w:rsidRDefault="00000000">
            <w:pPr>
              <w:spacing w:after="40"/>
              <w:jc w:val="both"/>
            </w:pPr>
            <w:r>
              <w:rPr>
                <w:sz w:val="18"/>
                <w:szCs w:val="18"/>
              </w:rPr>
              <w:t>Errores involuntarios y voluntarios; clasificación. (C)</w:t>
            </w:r>
          </w:p>
          <w:p w14:paraId="32F76099" w14:textId="77777777" w:rsidR="00990B14" w:rsidRDefault="00000000">
            <w:pPr>
              <w:spacing w:after="40"/>
              <w:jc w:val="both"/>
            </w:pPr>
            <w:r>
              <w:rPr>
                <w:sz w:val="18"/>
                <w:szCs w:val="18"/>
              </w:rPr>
              <w:t>Errores en registros de diario: duplicidad de asientos, mala apropiación de una o más cuentas, errores por defecto y por exceso, asientos que no cumplen con la partida doble y omisión de asientos. (C, P)</w:t>
            </w:r>
          </w:p>
          <w:p w14:paraId="57418E2B" w14:textId="77777777" w:rsidR="00990B14" w:rsidRDefault="00000000">
            <w:pPr>
              <w:spacing w:after="40"/>
              <w:jc w:val="both"/>
            </w:pPr>
            <w:r>
              <w:rPr>
                <w:sz w:val="18"/>
                <w:szCs w:val="18"/>
              </w:rPr>
              <w:t>Errores en registros de mayor: mala apropiación de cuentas, error en el registro de cifras y error de cargo por abono o viceversa; formas de corrección. (C, P)</w:t>
            </w:r>
          </w:p>
          <w:p w14:paraId="08F7F77E" w14:textId="77777777" w:rsidR="00990B14" w:rsidRDefault="00000000">
            <w:pPr>
              <w:spacing w:after="40"/>
              <w:jc w:val="both"/>
            </w:pPr>
            <w:r>
              <w:rPr>
                <w:sz w:val="18"/>
                <w:szCs w:val="18"/>
              </w:rPr>
              <w:t>13. Código de Ética del IESBA: Principios fundamentales de integridad, objetividad, competencia y diligencia profesional, confidencialidad y conducta profesional, demostrando una actuación ética e independiente ante dilemas o presiones para alterar el registro contable. (C, P, A)</w:t>
            </w:r>
          </w:p>
        </w:tc>
        <w:tc>
          <w:tcPr>
            <w:tcW w:w="2752" w:type="dxa"/>
            <w:gridSpan w:val="3"/>
            <w:shd w:val="clear" w:color="auto" w:fill="D9E2F3"/>
          </w:tcPr>
          <w:p w14:paraId="2BDE5785" w14:textId="77777777" w:rsidR="00990B14" w:rsidRDefault="00000000">
            <w:pPr>
              <w:numPr>
                <w:ilvl w:val="0"/>
                <w:numId w:val="139"/>
              </w:numPr>
              <w:spacing w:before="10" w:after="10"/>
              <w:jc w:val="both"/>
            </w:pPr>
            <w:r>
              <w:rPr>
                <w:sz w:val="18"/>
                <w:szCs w:val="18"/>
              </w:rPr>
              <w:lastRenderedPageBreak/>
              <w:t>Deberes formales del Código de Comercio (Art. 52) y del SIN para la conservación (plazo de 5 años), empastado, foliatura y custodia de libros de contabilidad y comprobantes de respaldo (CDT, CDI, CDE).</w:t>
            </w:r>
          </w:p>
          <w:p w14:paraId="0BD04C61" w14:textId="77777777" w:rsidR="00990B14" w:rsidRDefault="00000000">
            <w:pPr>
              <w:numPr>
                <w:ilvl w:val="0"/>
                <w:numId w:val="139"/>
              </w:numPr>
              <w:spacing w:before="10" w:after="10"/>
              <w:jc w:val="both"/>
            </w:pPr>
            <w:r>
              <w:rPr>
                <w:sz w:val="18"/>
                <w:szCs w:val="18"/>
              </w:rPr>
              <w:t>Reglas de legibilidad, inalterabilidad y prohibición de raspaduras o alteraciones (Código de Comercio, Art. 44) requeridas para la validez legal de los libros contables.</w:t>
            </w:r>
          </w:p>
        </w:tc>
      </w:tr>
      <w:tr w:rsidR="00990B14" w14:paraId="0E0F2DBE" w14:textId="77777777">
        <w:trPr>
          <w:cantSplit/>
          <w:jc w:val="center"/>
        </w:trPr>
        <w:tc>
          <w:tcPr>
            <w:tcW w:w="9405" w:type="dxa"/>
            <w:gridSpan w:val="13"/>
            <w:shd w:val="clear" w:color="auto" w:fill="D9E2F3"/>
            <w:vAlign w:val="center"/>
          </w:tcPr>
          <w:p w14:paraId="44E13085" w14:textId="77777777" w:rsidR="00990B14" w:rsidRDefault="00000000">
            <w:pPr>
              <w:spacing w:before="20" w:after="20"/>
              <w:jc w:val="both"/>
            </w:pPr>
            <w:r>
              <w:rPr>
                <w:b/>
                <w:bCs/>
                <w:i/>
                <w:iCs/>
                <w:sz w:val="18"/>
                <w:szCs w:val="18"/>
              </w:rPr>
              <w:t xml:space="preserve">Elemento de competencia 4: </w:t>
            </w:r>
            <w:r>
              <w:rPr>
                <w:sz w:val="18"/>
                <w:szCs w:val="18"/>
              </w:rPr>
              <w:t>Prepara los estados financieros auxiliares, verificando la integridad de los saldos y la apropiación de partidas contables regularizadas conforme a las normas de contabilidad vigentes.</w:t>
            </w:r>
          </w:p>
        </w:tc>
      </w:tr>
      <w:tr w:rsidR="00990B14" w14:paraId="7A0A0ECD" w14:textId="77777777">
        <w:trPr>
          <w:cantSplit/>
          <w:jc w:val="center"/>
        </w:trPr>
        <w:tc>
          <w:tcPr>
            <w:tcW w:w="3133" w:type="dxa"/>
            <w:gridSpan w:val="4"/>
            <w:shd w:val="clear" w:color="auto" w:fill="4472C4"/>
            <w:vAlign w:val="center"/>
          </w:tcPr>
          <w:p w14:paraId="775A9A2D"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69D9AD7A"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5EE10858" w14:textId="77777777" w:rsidR="00990B14" w:rsidRDefault="00000000">
            <w:pPr>
              <w:keepNext/>
              <w:spacing w:before="20" w:after="20"/>
              <w:jc w:val="center"/>
            </w:pPr>
            <w:r>
              <w:rPr>
                <w:b/>
                <w:bCs/>
                <w:i/>
                <w:iCs/>
                <w:color w:val="FFFFFF"/>
                <w:sz w:val="18"/>
                <w:szCs w:val="18"/>
              </w:rPr>
              <w:t>Evidencias de producto</w:t>
            </w:r>
          </w:p>
        </w:tc>
      </w:tr>
      <w:tr w:rsidR="00990B14" w14:paraId="3F8BDF42" w14:textId="77777777">
        <w:trPr>
          <w:cantSplit/>
          <w:jc w:val="center"/>
        </w:trPr>
        <w:tc>
          <w:tcPr>
            <w:tcW w:w="3133" w:type="dxa"/>
            <w:gridSpan w:val="4"/>
            <w:vMerge w:val="restart"/>
            <w:shd w:val="clear" w:color="auto" w:fill="D9E2F3"/>
            <w:vAlign w:val="center"/>
          </w:tcPr>
          <w:p w14:paraId="6EE6D1D2" w14:textId="77777777" w:rsidR="00990B14" w:rsidRDefault="00000000">
            <w:pPr>
              <w:spacing w:before="20" w:after="20"/>
              <w:jc w:val="both"/>
            </w:pPr>
            <w:r>
              <w:rPr>
                <w:sz w:val="18"/>
                <w:szCs w:val="18"/>
              </w:rPr>
              <w:t>1. Prepara balance de comprobación y verificación de saldos.</w:t>
            </w:r>
          </w:p>
        </w:tc>
        <w:tc>
          <w:tcPr>
            <w:tcW w:w="3135" w:type="dxa"/>
            <w:gridSpan w:val="5"/>
            <w:shd w:val="clear" w:color="auto" w:fill="D9E2F3"/>
            <w:vAlign w:val="center"/>
          </w:tcPr>
          <w:p w14:paraId="280C4F2A" w14:textId="77777777" w:rsidR="00990B14" w:rsidRDefault="00000000">
            <w:pPr>
              <w:spacing w:before="20" w:after="20"/>
              <w:jc w:val="both"/>
            </w:pPr>
            <w:r>
              <w:rPr>
                <w:sz w:val="18"/>
                <w:szCs w:val="18"/>
              </w:rPr>
              <w:t>1.1 Prepara en aula balance de comprobación de un caso práctico.</w:t>
            </w:r>
          </w:p>
        </w:tc>
        <w:tc>
          <w:tcPr>
            <w:tcW w:w="3137" w:type="dxa"/>
            <w:gridSpan w:val="4"/>
            <w:shd w:val="clear" w:color="auto" w:fill="D9E2F3"/>
            <w:vAlign w:val="center"/>
          </w:tcPr>
          <w:p w14:paraId="7B45CB0E" w14:textId="77777777" w:rsidR="00990B14" w:rsidRDefault="00000000">
            <w:pPr>
              <w:spacing w:before="20" w:after="20"/>
              <w:jc w:val="both"/>
            </w:pPr>
            <w:r>
              <w:rPr>
                <w:b/>
                <w:bCs/>
                <w:sz w:val="18"/>
                <w:szCs w:val="18"/>
              </w:rPr>
              <w:t xml:space="preserve">Producto 13: </w:t>
            </w:r>
            <w:r>
              <w:rPr>
                <w:sz w:val="18"/>
                <w:szCs w:val="18"/>
              </w:rPr>
              <w:t>Balance de comprobación.</w:t>
            </w:r>
          </w:p>
        </w:tc>
      </w:tr>
      <w:tr w:rsidR="00990B14" w14:paraId="4C39A62B" w14:textId="77777777">
        <w:trPr>
          <w:cantSplit/>
          <w:jc w:val="center"/>
        </w:trPr>
        <w:tc>
          <w:tcPr>
            <w:tcW w:w="3133" w:type="dxa"/>
            <w:gridSpan w:val="4"/>
            <w:vMerge/>
            <w:shd w:val="clear" w:color="auto" w:fill="D9E2F3"/>
            <w:vAlign w:val="center"/>
          </w:tcPr>
          <w:p w14:paraId="7400B486" w14:textId="77777777" w:rsidR="00990B14" w:rsidRDefault="00990B14">
            <w:pPr>
              <w:spacing w:before="20" w:after="20"/>
            </w:pPr>
          </w:p>
        </w:tc>
        <w:tc>
          <w:tcPr>
            <w:tcW w:w="3135" w:type="dxa"/>
            <w:gridSpan w:val="5"/>
            <w:shd w:val="clear" w:color="auto" w:fill="D9E2F3"/>
            <w:vAlign w:val="center"/>
          </w:tcPr>
          <w:p w14:paraId="5A1A78CE" w14:textId="77777777" w:rsidR="00990B14" w:rsidRDefault="00000000">
            <w:pPr>
              <w:spacing w:before="20" w:after="20"/>
              <w:jc w:val="both"/>
            </w:pPr>
            <w:r>
              <w:rPr>
                <w:sz w:val="18"/>
                <w:szCs w:val="18"/>
              </w:rPr>
              <w:t>1.2 Verifica en equipo la comprobación y verificación de saldos.</w:t>
            </w:r>
          </w:p>
        </w:tc>
        <w:tc>
          <w:tcPr>
            <w:tcW w:w="3137" w:type="dxa"/>
            <w:gridSpan w:val="4"/>
            <w:shd w:val="clear" w:color="auto" w:fill="D9E2F3"/>
            <w:vAlign w:val="center"/>
          </w:tcPr>
          <w:p w14:paraId="4499680D" w14:textId="77777777" w:rsidR="00990B14" w:rsidRDefault="00000000">
            <w:pPr>
              <w:spacing w:before="20" w:after="20"/>
              <w:jc w:val="both"/>
            </w:pPr>
            <w:r>
              <w:rPr>
                <w:b/>
                <w:bCs/>
                <w:sz w:val="18"/>
                <w:szCs w:val="18"/>
              </w:rPr>
              <w:t xml:space="preserve">Producto 14: </w:t>
            </w:r>
            <w:r>
              <w:rPr>
                <w:sz w:val="18"/>
                <w:szCs w:val="18"/>
              </w:rPr>
              <w:t>Papel de trabajo de comprobación y verificación de saldos de diario y mayor.</w:t>
            </w:r>
          </w:p>
        </w:tc>
      </w:tr>
      <w:tr w:rsidR="00990B14" w14:paraId="75C23BF9" w14:textId="77777777">
        <w:trPr>
          <w:cantSplit/>
          <w:jc w:val="center"/>
        </w:trPr>
        <w:tc>
          <w:tcPr>
            <w:tcW w:w="3133" w:type="dxa"/>
            <w:gridSpan w:val="4"/>
            <w:vMerge w:val="restart"/>
            <w:shd w:val="clear" w:color="auto" w:fill="D9E2F3"/>
            <w:vAlign w:val="center"/>
          </w:tcPr>
          <w:p w14:paraId="5AA8AB97" w14:textId="77777777" w:rsidR="00990B14" w:rsidRDefault="00000000">
            <w:pPr>
              <w:spacing w:before="20" w:after="20"/>
              <w:jc w:val="both"/>
            </w:pPr>
            <w:r>
              <w:rPr>
                <w:sz w:val="18"/>
                <w:szCs w:val="18"/>
              </w:rPr>
              <w:t>2. Registra asientos de ajuste conforme a normas de contabilidad vigentes.</w:t>
            </w:r>
          </w:p>
        </w:tc>
        <w:tc>
          <w:tcPr>
            <w:tcW w:w="3135" w:type="dxa"/>
            <w:gridSpan w:val="5"/>
            <w:shd w:val="clear" w:color="auto" w:fill="D9E2F3"/>
            <w:vAlign w:val="center"/>
          </w:tcPr>
          <w:p w14:paraId="13CBB63F" w14:textId="77777777" w:rsidR="00990B14" w:rsidRDefault="00000000">
            <w:pPr>
              <w:spacing w:before="20" w:after="20"/>
              <w:jc w:val="both"/>
            </w:pPr>
            <w:r>
              <w:rPr>
                <w:sz w:val="18"/>
                <w:szCs w:val="18"/>
              </w:rPr>
              <w:t>2.1 Sustenta en equipo el tratamiento contable de los ajustes del caso.</w:t>
            </w:r>
          </w:p>
        </w:tc>
        <w:tc>
          <w:tcPr>
            <w:tcW w:w="3137" w:type="dxa"/>
            <w:gridSpan w:val="4"/>
            <w:shd w:val="clear" w:color="auto" w:fill="D9E2F3"/>
            <w:vAlign w:val="center"/>
          </w:tcPr>
          <w:p w14:paraId="091B4211" w14:textId="77777777" w:rsidR="00990B14" w:rsidRDefault="00000000">
            <w:pPr>
              <w:spacing w:before="20" w:after="20"/>
              <w:jc w:val="both"/>
            </w:pPr>
            <w:r>
              <w:rPr>
                <w:b/>
                <w:bCs/>
                <w:sz w:val="18"/>
                <w:szCs w:val="18"/>
              </w:rPr>
              <w:t xml:space="preserve">Producto 15: </w:t>
            </w:r>
            <w:r>
              <w:rPr>
                <w:sz w:val="18"/>
                <w:szCs w:val="18"/>
              </w:rPr>
              <w:t>Asientos de ajuste en comprobantes de diario traspaso.</w:t>
            </w:r>
          </w:p>
        </w:tc>
      </w:tr>
      <w:tr w:rsidR="00990B14" w14:paraId="55380F5E" w14:textId="77777777">
        <w:trPr>
          <w:cantSplit/>
          <w:jc w:val="center"/>
        </w:trPr>
        <w:tc>
          <w:tcPr>
            <w:tcW w:w="3133" w:type="dxa"/>
            <w:gridSpan w:val="4"/>
            <w:vMerge/>
            <w:shd w:val="clear" w:color="auto" w:fill="D9E2F3"/>
            <w:vAlign w:val="center"/>
          </w:tcPr>
          <w:p w14:paraId="3783A955" w14:textId="77777777" w:rsidR="00990B14" w:rsidRDefault="00990B14">
            <w:pPr>
              <w:spacing w:before="20" w:after="20"/>
            </w:pPr>
          </w:p>
        </w:tc>
        <w:tc>
          <w:tcPr>
            <w:tcW w:w="3135" w:type="dxa"/>
            <w:gridSpan w:val="5"/>
            <w:shd w:val="clear" w:color="auto" w:fill="D9E2F3"/>
            <w:vAlign w:val="center"/>
          </w:tcPr>
          <w:p w14:paraId="5103EEAE" w14:textId="77777777" w:rsidR="00990B14" w:rsidRDefault="00000000">
            <w:pPr>
              <w:spacing w:before="20" w:after="20"/>
              <w:jc w:val="both"/>
            </w:pPr>
            <w:r>
              <w:rPr>
                <w:sz w:val="18"/>
                <w:szCs w:val="18"/>
              </w:rPr>
              <w:t>2.2 Desarrolla una hoja de trabajo en aula.</w:t>
            </w:r>
          </w:p>
        </w:tc>
        <w:tc>
          <w:tcPr>
            <w:tcW w:w="3137" w:type="dxa"/>
            <w:gridSpan w:val="4"/>
            <w:shd w:val="clear" w:color="auto" w:fill="D9E2F3"/>
            <w:vAlign w:val="center"/>
          </w:tcPr>
          <w:p w14:paraId="1EE86A05" w14:textId="77777777" w:rsidR="00990B14" w:rsidRDefault="00000000">
            <w:pPr>
              <w:spacing w:before="20" w:after="20"/>
              <w:jc w:val="both"/>
            </w:pPr>
            <w:r>
              <w:rPr>
                <w:b/>
                <w:bCs/>
                <w:sz w:val="18"/>
                <w:szCs w:val="18"/>
              </w:rPr>
              <w:t xml:space="preserve">Producto 16: </w:t>
            </w:r>
            <w:r>
              <w:rPr>
                <w:sz w:val="18"/>
                <w:szCs w:val="18"/>
              </w:rPr>
              <w:t>Hoja de trabajo del caso práctico.</w:t>
            </w:r>
          </w:p>
        </w:tc>
      </w:tr>
      <w:tr w:rsidR="00990B14" w14:paraId="708975B5" w14:textId="77777777">
        <w:trPr>
          <w:cantSplit/>
          <w:jc w:val="center"/>
        </w:trPr>
        <w:tc>
          <w:tcPr>
            <w:tcW w:w="9405" w:type="dxa"/>
            <w:gridSpan w:val="13"/>
            <w:shd w:val="clear" w:color="auto" w:fill="4472C4"/>
            <w:vAlign w:val="center"/>
          </w:tcPr>
          <w:p w14:paraId="62B262E9" w14:textId="77777777" w:rsidR="00990B14" w:rsidRDefault="00000000">
            <w:pPr>
              <w:keepNext/>
              <w:spacing w:before="20" w:after="20"/>
              <w:jc w:val="center"/>
            </w:pPr>
            <w:r>
              <w:rPr>
                <w:b/>
                <w:bCs/>
                <w:i/>
                <w:iCs/>
                <w:color w:val="FFFFFF"/>
                <w:sz w:val="18"/>
                <w:szCs w:val="18"/>
              </w:rPr>
              <w:t>Evidencias de conocimiento</w:t>
            </w:r>
          </w:p>
        </w:tc>
      </w:tr>
      <w:tr w:rsidR="00990B14" w14:paraId="4E0882CC" w14:textId="77777777">
        <w:trPr>
          <w:cantSplit/>
          <w:jc w:val="center"/>
        </w:trPr>
        <w:tc>
          <w:tcPr>
            <w:tcW w:w="2349" w:type="dxa"/>
            <w:gridSpan w:val="2"/>
            <w:shd w:val="clear" w:color="auto" w:fill="4472C4"/>
            <w:vAlign w:val="center"/>
          </w:tcPr>
          <w:p w14:paraId="6475A4A0"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10398258" w14:textId="77777777" w:rsidR="00990B14" w:rsidRDefault="00000000">
            <w:pPr>
              <w:keepNext/>
              <w:spacing w:before="20" w:after="20"/>
              <w:jc w:val="both"/>
            </w:pPr>
            <w:r>
              <w:rPr>
                <w:b/>
                <w:bCs/>
                <w:i/>
                <w:iCs/>
                <w:color w:val="FFFFFF"/>
                <w:sz w:val="18"/>
                <w:szCs w:val="18"/>
              </w:rPr>
              <w:t>Contenidos</w:t>
            </w:r>
          </w:p>
          <w:p w14:paraId="094A12E2"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79C32251" w14:textId="77777777" w:rsidR="00990B14" w:rsidRDefault="00000000">
            <w:pPr>
              <w:keepNext/>
              <w:spacing w:before="20" w:after="20"/>
              <w:jc w:val="center"/>
            </w:pPr>
            <w:r>
              <w:rPr>
                <w:b/>
                <w:bCs/>
                <w:i/>
                <w:iCs/>
                <w:color w:val="FFFFFF"/>
                <w:sz w:val="18"/>
                <w:szCs w:val="18"/>
              </w:rPr>
              <w:t>Conocimientos circunstanciales</w:t>
            </w:r>
          </w:p>
        </w:tc>
      </w:tr>
      <w:tr w:rsidR="00990B14" w14:paraId="51B101E6" w14:textId="77777777">
        <w:trPr>
          <w:jc w:val="center"/>
        </w:trPr>
        <w:tc>
          <w:tcPr>
            <w:tcW w:w="2349" w:type="dxa"/>
            <w:gridSpan w:val="2"/>
            <w:shd w:val="clear" w:color="auto" w:fill="D9E2F3"/>
          </w:tcPr>
          <w:p w14:paraId="378EB23D" w14:textId="77777777" w:rsidR="00990B14" w:rsidRDefault="00000000">
            <w:pPr>
              <w:spacing w:before="20" w:after="40"/>
              <w:jc w:val="both"/>
            </w:pPr>
            <w:r>
              <w:rPr>
                <w:sz w:val="18"/>
                <w:szCs w:val="18"/>
              </w:rPr>
              <w:t>Tema 9: Balance de comprobación</w:t>
            </w:r>
          </w:p>
          <w:p w14:paraId="785897BD" w14:textId="77777777" w:rsidR="00990B14" w:rsidRDefault="00000000">
            <w:pPr>
              <w:spacing w:before="20" w:after="40"/>
              <w:jc w:val="both"/>
            </w:pPr>
            <w:r>
              <w:rPr>
                <w:sz w:val="18"/>
                <w:szCs w:val="18"/>
              </w:rPr>
              <w:t>Tema 10: Asientos de ajuste</w:t>
            </w:r>
          </w:p>
          <w:p w14:paraId="79C215BB" w14:textId="77777777" w:rsidR="00990B14" w:rsidRDefault="00000000">
            <w:pPr>
              <w:spacing w:before="20" w:after="40"/>
              <w:jc w:val="both"/>
            </w:pPr>
            <w:r>
              <w:rPr>
                <w:sz w:val="18"/>
                <w:szCs w:val="18"/>
              </w:rPr>
              <w:t>Tema 11: Hoja de trabajo</w:t>
            </w:r>
          </w:p>
        </w:tc>
        <w:tc>
          <w:tcPr>
            <w:tcW w:w="4304" w:type="dxa"/>
            <w:gridSpan w:val="8"/>
            <w:shd w:val="clear" w:color="auto" w:fill="D9E2F3"/>
          </w:tcPr>
          <w:p w14:paraId="25C8B2AD" w14:textId="77777777" w:rsidR="00990B14" w:rsidRDefault="00000000">
            <w:pPr>
              <w:spacing w:after="40"/>
              <w:jc w:val="both"/>
            </w:pPr>
            <w:r>
              <w:rPr>
                <w:sz w:val="18"/>
                <w:szCs w:val="18"/>
              </w:rPr>
              <w:t>Balance de comprobación: concepto, objetivo, características y aspectos posibles a comprobar. (C)</w:t>
            </w:r>
          </w:p>
          <w:p w14:paraId="1F7B678C" w14:textId="77777777" w:rsidR="00990B14" w:rsidRDefault="00000000">
            <w:pPr>
              <w:spacing w:after="40"/>
              <w:jc w:val="both"/>
            </w:pPr>
            <w:r>
              <w:rPr>
                <w:sz w:val="18"/>
                <w:szCs w:val="18"/>
              </w:rPr>
              <w:t>Deficiencias en registros de diario y de mayor. (C, P)</w:t>
            </w:r>
          </w:p>
          <w:p w14:paraId="5C403163" w14:textId="77777777" w:rsidR="00990B14" w:rsidRDefault="00000000">
            <w:pPr>
              <w:spacing w:after="40"/>
              <w:jc w:val="both"/>
            </w:pPr>
            <w:r>
              <w:rPr>
                <w:sz w:val="18"/>
                <w:szCs w:val="18"/>
              </w:rPr>
              <w:t>Balance de comprobación de sumas y de saldos: diseño, conformación y metodología de preparación; caso práctico. (P)</w:t>
            </w:r>
          </w:p>
          <w:p w14:paraId="25B38067" w14:textId="77777777" w:rsidR="00990B14" w:rsidRDefault="00000000">
            <w:pPr>
              <w:spacing w:after="40"/>
              <w:jc w:val="both"/>
            </w:pPr>
            <w:r>
              <w:rPr>
                <w:sz w:val="18"/>
                <w:szCs w:val="18"/>
              </w:rPr>
              <w:t>Asientos de ajuste: concepto, objetivo, características, normas de contabilidad, procedimiento y clasificación. (C, P)</w:t>
            </w:r>
          </w:p>
          <w:p w14:paraId="7251B64C" w14:textId="77777777" w:rsidR="00990B14" w:rsidRDefault="00000000">
            <w:pPr>
              <w:spacing w:after="40"/>
              <w:jc w:val="both"/>
            </w:pPr>
            <w:r>
              <w:rPr>
                <w:sz w:val="18"/>
                <w:szCs w:val="18"/>
              </w:rPr>
              <w:lastRenderedPageBreak/>
              <w:t>Depreciación de bienes de uso y previsión para cuentas incobrables: método, tratamiento contable y conclusiones. (C, P)</w:t>
            </w:r>
          </w:p>
          <w:p w14:paraId="43CB7B5E" w14:textId="77777777" w:rsidR="00990B14" w:rsidRDefault="00000000">
            <w:pPr>
              <w:spacing w:after="40"/>
              <w:jc w:val="both"/>
            </w:pPr>
            <w:r>
              <w:rPr>
                <w:sz w:val="18"/>
                <w:szCs w:val="18"/>
              </w:rPr>
              <w:t>Gastos por pagar, gastos pagados por adelantado y amortización de otros activos: método, tratamiento contable y conclusiones. (C, P)</w:t>
            </w:r>
          </w:p>
          <w:p w14:paraId="7048A56E" w14:textId="77777777" w:rsidR="00990B14" w:rsidRDefault="00000000">
            <w:pPr>
              <w:spacing w:after="40"/>
              <w:jc w:val="both"/>
            </w:pPr>
            <w:r>
              <w:rPr>
                <w:sz w:val="18"/>
                <w:szCs w:val="18"/>
              </w:rPr>
              <w:t>Ingresos por cobrar e ingresos percibidos por adelantado: tratamiento contable y conclusiones. (C, P)</w:t>
            </w:r>
          </w:p>
          <w:p w14:paraId="2DFF5676" w14:textId="77777777" w:rsidR="00990B14" w:rsidRDefault="00000000">
            <w:pPr>
              <w:spacing w:after="40"/>
              <w:jc w:val="both"/>
            </w:pPr>
            <w:r>
              <w:rPr>
                <w:sz w:val="18"/>
                <w:szCs w:val="18"/>
              </w:rPr>
              <w:t>Inventario final de mercaderías: sistema de inventario perpetuo y periódico, tratamiento contable y conclusiones. (P)</w:t>
            </w:r>
          </w:p>
          <w:p w14:paraId="37A4BD1E" w14:textId="77777777" w:rsidR="00990B14" w:rsidRDefault="00000000">
            <w:pPr>
              <w:spacing w:after="40"/>
              <w:jc w:val="both"/>
            </w:pPr>
            <w:r>
              <w:rPr>
                <w:sz w:val="18"/>
                <w:szCs w:val="18"/>
              </w:rPr>
              <w:t>Actualización de patrimonio, de costos y gastos y de ingresos: tratamiento contable y conclusiones; caso práctico. (C, P)</w:t>
            </w:r>
          </w:p>
          <w:p w14:paraId="45F7EFFB" w14:textId="77777777" w:rsidR="00990B14" w:rsidRDefault="00000000">
            <w:pPr>
              <w:spacing w:after="40"/>
              <w:jc w:val="both"/>
            </w:pPr>
            <w:r>
              <w:rPr>
                <w:sz w:val="18"/>
                <w:szCs w:val="18"/>
              </w:rPr>
              <w:t>Hoja de trabajo: concepto, objetivo, características y clases. (C)</w:t>
            </w:r>
          </w:p>
          <w:p w14:paraId="53BE3FFB" w14:textId="77777777" w:rsidR="00990B14" w:rsidRDefault="00000000">
            <w:pPr>
              <w:spacing w:after="40"/>
              <w:jc w:val="both"/>
            </w:pPr>
            <w:r>
              <w:rPr>
                <w:sz w:val="18"/>
                <w:szCs w:val="18"/>
              </w:rPr>
              <w:t>Hojas de trabajo de 16, 14, 12 y 10 columnas: diseño, conformación y metodología de preparación. (P)</w:t>
            </w:r>
          </w:p>
          <w:p w14:paraId="44A96B2E" w14:textId="77777777" w:rsidR="00990B14" w:rsidRDefault="00000000">
            <w:pPr>
              <w:spacing w:after="40"/>
              <w:jc w:val="both"/>
            </w:pPr>
            <w:r>
              <w:rPr>
                <w:sz w:val="18"/>
                <w:szCs w:val="18"/>
              </w:rPr>
              <w:t>Cierre de la hoja de trabajo con utilidad o pérdida del año y resultados de años anteriores; otros casos; caso práctico. (P)</w:t>
            </w:r>
          </w:p>
          <w:p w14:paraId="3281AC3D" w14:textId="77777777" w:rsidR="00990B14" w:rsidRDefault="00000000">
            <w:pPr>
              <w:spacing w:after="40"/>
              <w:jc w:val="both"/>
            </w:pPr>
            <w:r>
              <w:rPr>
                <w:sz w:val="18"/>
                <w:szCs w:val="18"/>
              </w:rPr>
              <w:t>Hoja de cálculo aplicada al balance de comprobación y a la hoja de trabajo: parametrización de fórmulas de suma, saldo, ajustes y validación de la igualdad de columnas. (P, T)</w:t>
            </w:r>
          </w:p>
        </w:tc>
        <w:tc>
          <w:tcPr>
            <w:tcW w:w="2752" w:type="dxa"/>
            <w:gridSpan w:val="3"/>
            <w:shd w:val="clear" w:color="auto" w:fill="D9E2F3"/>
          </w:tcPr>
          <w:p w14:paraId="33B9628C" w14:textId="77777777" w:rsidR="00990B14" w:rsidRDefault="00000000">
            <w:pPr>
              <w:numPr>
                <w:ilvl w:val="0"/>
                <w:numId w:val="139"/>
              </w:numPr>
              <w:spacing w:before="10" w:after="10"/>
              <w:jc w:val="both"/>
            </w:pPr>
            <w:r>
              <w:rPr>
                <w:sz w:val="18"/>
                <w:szCs w:val="18"/>
              </w:rPr>
              <w:lastRenderedPageBreak/>
              <w:t>Nociones de desgaste físico y obsolescencia de los bienes de uso.</w:t>
            </w:r>
          </w:p>
          <w:p w14:paraId="6A066C26" w14:textId="77777777" w:rsidR="00990B14" w:rsidRDefault="00000000">
            <w:pPr>
              <w:numPr>
                <w:ilvl w:val="0"/>
                <w:numId w:val="139"/>
              </w:numPr>
              <w:spacing w:before="10" w:after="10"/>
              <w:jc w:val="both"/>
            </w:pPr>
            <w:r>
              <w:rPr>
                <w:sz w:val="18"/>
                <w:szCs w:val="18"/>
              </w:rPr>
              <w:t>Nociones de redondeo y de exactitud en los cálculos contables</w:t>
            </w:r>
          </w:p>
          <w:p w14:paraId="136FDF19" w14:textId="77777777" w:rsidR="00990B14" w:rsidRDefault="00000000">
            <w:pPr>
              <w:numPr>
                <w:ilvl w:val="0"/>
                <w:numId w:val="139"/>
              </w:numPr>
              <w:spacing w:before="10" w:after="10"/>
              <w:jc w:val="both"/>
            </w:pPr>
            <w:r>
              <w:rPr>
                <w:sz w:val="18"/>
                <w:szCs w:val="18"/>
              </w:rPr>
              <w:t>Nociones de uso y desgaste de activos a largo plazo.</w:t>
            </w:r>
          </w:p>
          <w:p w14:paraId="45CE8E22" w14:textId="77777777" w:rsidR="00990B14" w:rsidRDefault="00000000">
            <w:pPr>
              <w:numPr>
                <w:ilvl w:val="0"/>
                <w:numId w:val="139"/>
              </w:numPr>
              <w:spacing w:before="10" w:after="10"/>
              <w:jc w:val="both"/>
            </w:pPr>
            <w:r>
              <w:rPr>
                <w:sz w:val="18"/>
                <w:szCs w:val="18"/>
              </w:rPr>
              <w:t>Estimaciones y provisiones por incertidumbre comercial</w:t>
            </w:r>
          </w:p>
          <w:p w14:paraId="202F9634" w14:textId="77777777" w:rsidR="00990B14" w:rsidRDefault="00000000">
            <w:pPr>
              <w:numPr>
                <w:ilvl w:val="0"/>
                <w:numId w:val="139"/>
              </w:numPr>
              <w:spacing w:before="10" w:after="10"/>
              <w:jc w:val="both"/>
            </w:pPr>
            <w:r>
              <w:rPr>
                <w:sz w:val="18"/>
                <w:szCs w:val="18"/>
              </w:rPr>
              <w:lastRenderedPageBreak/>
              <w:t>Devengamiento del tiempo en contratos</w:t>
            </w:r>
          </w:p>
          <w:p w14:paraId="5CA2194A" w14:textId="77777777" w:rsidR="00990B14" w:rsidRDefault="00000000">
            <w:pPr>
              <w:numPr>
                <w:ilvl w:val="0"/>
                <w:numId w:val="139"/>
              </w:numPr>
              <w:spacing w:before="10" w:after="10"/>
              <w:jc w:val="both"/>
            </w:pPr>
            <w:r>
              <w:rPr>
                <w:sz w:val="18"/>
                <w:szCs w:val="18"/>
              </w:rPr>
              <w:t>Hechos acumulados no facturados</w:t>
            </w:r>
          </w:p>
        </w:tc>
      </w:tr>
      <w:tr w:rsidR="00990B14" w14:paraId="150B87B5" w14:textId="77777777">
        <w:trPr>
          <w:cantSplit/>
          <w:jc w:val="center"/>
        </w:trPr>
        <w:tc>
          <w:tcPr>
            <w:tcW w:w="9405" w:type="dxa"/>
            <w:gridSpan w:val="13"/>
            <w:shd w:val="clear" w:color="auto" w:fill="D9E2F3"/>
            <w:vAlign w:val="center"/>
          </w:tcPr>
          <w:p w14:paraId="0EA2C27A" w14:textId="77777777" w:rsidR="00990B14" w:rsidRDefault="00000000">
            <w:pPr>
              <w:spacing w:before="20" w:after="20"/>
              <w:jc w:val="both"/>
            </w:pPr>
            <w:r>
              <w:rPr>
                <w:b/>
                <w:bCs/>
                <w:i/>
                <w:iCs/>
                <w:sz w:val="18"/>
                <w:szCs w:val="18"/>
              </w:rPr>
              <w:lastRenderedPageBreak/>
              <w:t xml:space="preserve">Elemento de competencia 5: </w:t>
            </w:r>
            <w:r>
              <w:rPr>
                <w:sz w:val="18"/>
                <w:szCs w:val="18"/>
              </w:rPr>
              <w:t>Prepara estados financieros y sus notas, exponiendo la situación financiera, el desempeño financiero y los flujos de efectivo de una entidad conforme a normas de contabilidad vigentes.</w:t>
            </w:r>
          </w:p>
        </w:tc>
      </w:tr>
      <w:tr w:rsidR="00990B14" w14:paraId="5ABD9F6F" w14:textId="77777777">
        <w:trPr>
          <w:cantSplit/>
          <w:jc w:val="center"/>
        </w:trPr>
        <w:tc>
          <w:tcPr>
            <w:tcW w:w="3133" w:type="dxa"/>
            <w:gridSpan w:val="4"/>
            <w:shd w:val="clear" w:color="auto" w:fill="4472C4"/>
            <w:vAlign w:val="center"/>
          </w:tcPr>
          <w:p w14:paraId="7661E5DF"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24BC81EB"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6ED0C90B" w14:textId="77777777" w:rsidR="00990B14" w:rsidRDefault="00000000">
            <w:pPr>
              <w:keepNext/>
              <w:spacing w:before="20" w:after="20"/>
              <w:jc w:val="center"/>
            </w:pPr>
            <w:r>
              <w:rPr>
                <w:b/>
                <w:bCs/>
                <w:i/>
                <w:iCs/>
                <w:color w:val="FFFFFF"/>
                <w:sz w:val="18"/>
                <w:szCs w:val="18"/>
              </w:rPr>
              <w:t>Evidencias de producto</w:t>
            </w:r>
          </w:p>
        </w:tc>
      </w:tr>
      <w:tr w:rsidR="00990B14" w14:paraId="42E323CF" w14:textId="77777777">
        <w:trPr>
          <w:cantSplit/>
          <w:jc w:val="center"/>
        </w:trPr>
        <w:tc>
          <w:tcPr>
            <w:tcW w:w="3133" w:type="dxa"/>
            <w:gridSpan w:val="4"/>
            <w:vMerge w:val="restart"/>
            <w:shd w:val="clear" w:color="auto" w:fill="D9E2F3"/>
            <w:vAlign w:val="center"/>
          </w:tcPr>
          <w:p w14:paraId="379A49A7" w14:textId="77777777" w:rsidR="00990B14" w:rsidRDefault="00000000">
            <w:pPr>
              <w:spacing w:before="20" w:after="20"/>
              <w:jc w:val="both"/>
            </w:pPr>
            <w:r>
              <w:rPr>
                <w:sz w:val="18"/>
                <w:szCs w:val="18"/>
              </w:rPr>
              <w:t>1. Prepara Balance General, Estado de Resultados, Estado de Evolución del Patrimonio y Notas a los Estados Financieros, conforme a normas de contabilidad en vigencia.</w:t>
            </w:r>
          </w:p>
        </w:tc>
        <w:tc>
          <w:tcPr>
            <w:tcW w:w="3135" w:type="dxa"/>
            <w:gridSpan w:val="5"/>
            <w:shd w:val="clear" w:color="auto" w:fill="D9E2F3"/>
            <w:vAlign w:val="center"/>
          </w:tcPr>
          <w:p w14:paraId="35086DD3" w14:textId="77777777" w:rsidR="00990B14" w:rsidRDefault="00000000">
            <w:pPr>
              <w:spacing w:before="20" w:after="20"/>
              <w:jc w:val="both"/>
            </w:pPr>
            <w:r>
              <w:rPr>
                <w:sz w:val="18"/>
                <w:szCs w:val="18"/>
              </w:rPr>
              <w:t>1.1 Prepara en aula Balance General en forma de cuenta y de informe tanto por la naturaleza de las cuentas como por el tiempo de realización y Estado de Resultados por función de gastos de un caso práctico.</w:t>
            </w:r>
          </w:p>
        </w:tc>
        <w:tc>
          <w:tcPr>
            <w:tcW w:w="3137" w:type="dxa"/>
            <w:gridSpan w:val="4"/>
            <w:shd w:val="clear" w:color="auto" w:fill="D9E2F3"/>
            <w:vAlign w:val="center"/>
          </w:tcPr>
          <w:p w14:paraId="1F6A0F8C" w14:textId="77777777" w:rsidR="00990B14" w:rsidRDefault="00000000">
            <w:pPr>
              <w:spacing w:before="20" w:after="20"/>
              <w:jc w:val="both"/>
            </w:pPr>
            <w:r>
              <w:rPr>
                <w:b/>
                <w:bCs/>
                <w:sz w:val="18"/>
                <w:szCs w:val="18"/>
              </w:rPr>
              <w:t xml:space="preserve">Producto 17: </w:t>
            </w:r>
            <w:r>
              <w:rPr>
                <w:sz w:val="18"/>
                <w:szCs w:val="18"/>
              </w:rPr>
              <w:t>Balance General y Estado de Resultados de un caso práctico.</w:t>
            </w:r>
          </w:p>
        </w:tc>
      </w:tr>
      <w:tr w:rsidR="00990B14" w14:paraId="5EA7E316" w14:textId="77777777">
        <w:trPr>
          <w:cantSplit/>
          <w:jc w:val="center"/>
        </w:trPr>
        <w:tc>
          <w:tcPr>
            <w:tcW w:w="3133" w:type="dxa"/>
            <w:gridSpan w:val="4"/>
            <w:vMerge/>
            <w:shd w:val="clear" w:color="auto" w:fill="D9E2F3"/>
            <w:vAlign w:val="center"/>
          </w:tcPr>
          <w:p w14:paraId="1EE18DA6" w14:textId="77777777" w:rsidR="00990B14" w:rsidRDefault="00990B14">
            <w:pPr>
              <w:spacing w:before="20" w:after="20"/>
            </w:pPr>
          </w:p>
        </w:tc>
        <w:tc>
          <w:tcPr>
            <w:tcW w:w="3135" w:type="dxa"/>
            <w:gridSpan w:val="5"/>
            <w:shd w:val="clear" w:color="auto" w:fill="D9E2F3"/>
            <w:vAlign w:val="center"/>
          </w:tcPr>
          <w:p w14:paraId="4E03DDCA" w14:textId="77777777" w:rsidR="00990B14" w:rsidRDefault="00000000">
            <w:pPr>
              <w:spacing w:before="20" w:after="20"/>
              <w:jc w:val="both"/>
            </w:pPr>
            <w:r>
              <w:rPr>
                <w:sz w:val="18"/>
                <w:szCs w:val="18"/>
              </w:rPr>
              <w:t>1.2 Prepara en aula Estado de Evolución del Patrimonio y Notas a los Estados Financieros, de un caso práctico.</w:t>
            </w:r>
          </w:p>
        </w:tc>
        <w:tc>
          <w:tcPr>
            <w:tcW w:w="3137" w:type="dxa"/>
            <w:gridSpan w:val="4"/>
            <w:shd w:val="clear" w:color="auto" w:fill="D9E2F3"/>
            <w:vAlign w:val="center"/>
          </w:tcPr>
          <w:p w14:paraId="056068FA" w14:textId="77777777" w:rsidR="00990B14" w:rsidRDefault="00000000">
            <w:pPr>
              <w:spacing w:before="20" w:after="20"/>
              <w:jc w:val="both"/>
            </w:pPr>
            <w:r>
              <w:rPr>
                <w:b/>
                <w:bCs/>
                <w:sz w:val="18"/>
                <w:szCs w:val="18"/>
              </w:rPr>
              <w:t xml:space="preserve">Producto 18: </w:t>
            </w:r>
            <w:r>
              <w:rPr>
                <w:sz w:val="18"/>
                <w:szCs w:val="18"/>
              </w:rPr>
              <w:t>Estado de Evolución del Patrimonio y Notas a los Estados Financieros</w:t>
            </w:r>
          </w:p>
        </w:tc>
      </w:tr>
      <w:tr w:rsidR="00990B14" w14:paraId="47E2EAEA" w14:textId="77777777">
        <w:trPr>
          <w:cantSplit/>
          <w:jc w:val="center"/>
        </w:trPr>
        <w:tc>
          <w:tcPr>
            <w:tcW w:w="3133" w:type="dxa"/>
            <w:gridSpan w:val="4"/>
            <w:vMerge w:val="restart"/>
            <w:shd w:val="clear" w:color="auto" w:fill="D9E2F3"/>
            <w:vAlign w:val="center"/>
          </w:tcPr>
          <w:p w14:paraId="69BF9988" w14:textId="77777777" w:rsidR="00990B14" w:rsidRDefault="00000000">
            <w:pPr>
              <w:spacing w:before="20" w:after="20"/>
              <w:jc w:val="both"/>
            </w:pPr>
            <w:r>
              <w:rPr>
                <w:sz w:val="18"/>
                <w:szCs w:val="18"/>
              </w:rPr>
              <w:t>2. Prepara Estado de Flujos de Efectivo y su hoja de trabajo, analizando las variaciones de las actividades de operación, inversión y financiamiento.</w:t>
            </w:r>
          </w:p>
        </w:tc>
        <w:tc>
          <w:tcPr>
            <w:tcW w:w="3135" w:type="dxa"/>
            <w:gridSpan w:val="5"/>
            <w:shd w:val="clear" w:color="auto" w:fill="D9E2F3"/>
            <w:vAlign w:val="center"/>
          </w:tcPr>
          <w:p w14:paraId="7671EEBD" w14:textId="77777777" w:rsidR="00990B14" w:rsidRDefault="00000000">
            <w:pPr>
              <w:spacing w:before="20" w:after="20"/>
              <w:jc w:val="both"/>
            </w:pPr>
            <w:r>
              <w:rPr>
                <w:sz w:val="18"/>
                <w:szCs w:val="18"/>
              </w:rPr>
              <w:t>2.1 Contrasta en aula los métodos directo e indirecto del estado de flujos de efectivo.</w:t>
            </w:r>
          </w:p>
        </w:tc>
        <w:tc>
          <w:tcPr>
            <w:tcW w:w="3137" w:type="dxa"/>
            <w:gridSpan w:val="4"/>
            <w:shd w:val="clear" w:color="auto" w:fill="D9E2F3"/>
            <w:vAlign w:val="center"/>
          </w:tcPr>
          <w:p w14:paraId="0BE0BDED" w14:textId="77777777" w:rsidR="00990B14" w:rsidRDefault="00000000">
            <w:pPr>
              <w:spacing w:before="20" w:after="20"/>
              <w:jc w:val="both"/>
            </w:pPr>
            <w:r>
              <w:rPr>
                <w:b/>
                <w:bCs/>
                <w:sz w:val="18"/>
                <w:szCs w:val="18"/>
              </w:rPr>
              <w:t xml:space="preserve">Producto 19: </w:t>
            </w:r>
            <w:r>
              <w:rPr>
                <w:sz w:val="18"/>
                <w:szCs w:val="18"/>
              </w:rPr>
              <w:t>Estado de Flujos de efectivo por los métodos directo e indirecto.</w:t>
            </w:r>
          </w:p>
        </w:tc>
      </w:tr>
      <w:tr w:rsidR="00990B14" w14:paraId="4F7CE4A1" w14:textId="77777777">
        <w:trPr>
          <w:cantSplit/>
          <w:jc w:val="center"/>
        </w:trPr>
        <w:tc>
          <w:tcPr>
            <w:tcW w:w="3133" w:type="dxa"/>
            <w:gridSpan w:val="4"/>
            <w:vMerge/>
            <w:shd w:val="clear" w:color="auto" w:fill="D9E2F3"/>
            <w:vAlign w:val="center"/>
          </w:tcPr>
          <w:p w14:paraId="675AE73A" w14:textId="77777777" w:rsidR="00990B14" w:rsidRDefault="00990B14">
            <w:pPr>
              <w:spacing w:before="20" w:after="20"/>
            </w:pPr>
          </w:p>
        </w:tc>
        <w:tc>
          <w:tcPr>
            <w:tcW w:w="3135" w:type="dxa"/>
            <w:gridSpan w:val="5"/>
            <w:shd w:val="clear" w:color="auto" w:fill="D9E2F3"/>
            <w:vAlign w:val="center"/>
          </w:tcPr>
          <w:p w14:paraId="25657C35" w14:textId="77777777" w:rsidR="00990B14" w:rsidRDefault="00000000">
            <w:pPr>
              <w:spacing w:before="20" w:after="20"/>
              <w:jc w:val="both"/>
            </w:pPr>
            <w:r>
              <w:rPr>
                <w:sz w:val="18"/>
                <w:szCs w:val="18"/>
              </w:rPr>
              <w:t>2.2 Analiza en aula las transacciones base efectivo en la hoja de trabajo del flujo.</w:t>
            </w:r>
          </w:p>
        </w:tc>
        <w:tc>
          <w:tcPr>
            <w:tcW w:w="3137" w:type="dxa"/>
            <w:gridSpan w:val="4"/>
            <w:shd w:val="clear" w:color="auto" w:fill="D9E2F3"/>
            <w:vAlign w:val="center"/>
          </w:tcPr>
          <w:p w14:paraId="415AB274" w14:textId="77777777" w:rsidR="00990B14" w:rsidRDefault="00000000">
            <w:pPr>
              <w:spacing w:before="20" w:after="20"/>
              <w:jc w:val="both"/>
            </w:pPr>
            <w:r>
              <w:rPr>
                <w:b/>
                <w:bCs/>
                <w:sz w:val="18"/>
                <w:szCs w:val="18"/>
              </w:rPr>
              <w:t xml:space="preserve">Producto 20: </w:t>
            </w:r>
            <w:r>
              <w:rPr>
                <w:sz w:val="18"/>
                <w:szCs w:val="18"/>
              </w:rPr>
              <w:t>Hoja de trabajo del estado de flujos de efectivo con el análisis de transacciones base efectivo.</w:t>
            </w:r>
          </w:p>
        </w:tc>
      </w:tr>
      <w:tr w:rsidR="00990B14" w14:paraId="3100FBEB" w14:textId="77777777">
        <w:trPr>
          <w:cantSplit/>
          <w:jc w:val="center"/>
        </w:trPr>
        <w:tc>
          <w:tcPr>
            <w:tcW w:w="9405" w:type="dxa"/>
            <w:gridSpan w:val="13"/>
            <w:shd w:val="clear" w:color="auto" w:fill="4472C4"/>
            <w:vAlign w:val="center"/>
          </w:tcPr>
          <w:p w14:paraId="055BE230" w14:textId="77777777" w:rsidR="00990B14" w:rsidRDefault="00000000">
            <w:pPr>
              <w:keepNext/>
              <w:spacing w:before="20" w:after="20"/>
              <w:jc w:val="center"/>
            </w:pPr>
            <w:r>
              <w:rPr>
                <w:b/>
                <w:bCs/>
                <w:i/>
                <w:iCs/>
                <w:color w:val="FFFFFF"/>
                <w:sz w:val="18"/>
                <w:szCs w:val="18"/>
              </w:rPr>
              <w:lastRenderedPageBreak/>
              <w:t>Evidencias de conocimiento</w:t>
            </w:r>
          </w:p>
        </w:tc>
      </w:tr>
      <w:tr w:rsidR="00990B14" w14:paraId="538D5761" w14:textId="77777777">
        <w:trPr>
          <w:cantSplit/>
          <w:jc w:val="center"/>
        </w:trPr>
        <w:tc>
          <w:tcPr>
            <w:tcW w:w="2349" w:type="dxa"/>
            <w:gridSpan w:val="2"/>
            <w:shd w:val="clear" w:color="auto" w:fill="4472C4"/>
            <w:vAlign w:val="center"/>
          </w:tcPr>
          <w:p w14:paraId="0DCD2DDB"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1364E8FA" w14:textId="77777777" w:rsidR="00990B14" w:rsidRDefault="00000000">
            <w:pPr>
              <w:keepNext/>
              <w:spacing w:before="20" w:after="20"/>
              <w:jc w:val="both"/>
            </w:pPr>
            <w:r>
              <w:rPr>
                <w:b/>
                <w:bCs/>
                <w:i/>
                <w:iCs/>
                <w:color w:val="FFFFFF"/>
                <w:sz w:val="18"/>
                <w:szCs w:val="18"/>
              </w:rPr>
              <w:t>Contenidos</w:t>
            </w:r>
          </w:p>
          <w:p w14:paraId="214A7E10"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41D2EAFA" w14:textId="77777777" w:rsidR="00990B14" w:rsidRDefault="00000000">
            <w:pPr>
              <w:keepNext/>
              <w:spacing w:before="20" w:after="20"/>
              <w:jc w:val="center"/>
            </w:pPr>
            <w:r>
              <w:rPr>
                <w:b/>
                <w:bCs/>
                <w:i/>
                <w:iCs/>
                <w:color w:val="FFFFFF"/>
                <w:sz w:val="18"/>
                <w:szCs w:val="18"/>
              </w:rPr>
              <w:t>Conocimientos circunstanciales</w:t>
            </w:r>
          </w:p>
        </w:tc>
      </w:tr>
      <w:tr w:rsidR="00990B14" w14:paraId="2F9F5C98" w14:textId="77777777">
        <w:trPr>
          <w:jc w:val="center"/>
        </w:trPr>
        <w:tc>
          <w:tcPr>
            <w:tcW w:w="2349" w:type="dxa"/>
            <w:gridSpan w:val="2"/>
            <w:shd w:val="clear" w:color="auto" w:fill="D9E2F3"/>
          </w:tcPr>
          <w:p w14:paraId="705E06EB" w14:textId="77777777" w:rsidR="00990B14" w:rsidRDefault="00000000">
            <w:pPr>
              <w:spacing w:before="20" w:after="40"/>
              <w:jc w:val="both"/>
            </w:pPr>
            <w:r>
              <w:rPr>
                <w:sz w:val="18"/>
                <w:szCs w:val="18"/>
              </w:rPr>
              <w:t>Tema 12: Estados financieros</w:t>
            </w:r>
          </w:p>
          <w:p w14:paraId="623C47AD" w14:textId="77777777" w:rsidR="00990B14" w:rsidRDefault="00000000">
            <w:pPr>
              <w:spacing w:before="20" w:after="40"/>
              <w:jc w:val="both"/>
            </w:pPr>
            <w:r>
              <w:rPr>
                <w:sz w:val="18"/>
                <w:szCs w:val="18"/>
              </w:rPr>
              <w:t>Tema 13: Balance general</w:t>
            </w:r>
          </w:p>
          <w:p w14:paraId="3D969DAD" w14:textId="77777777" w:rsidR="00990B14" w:rsidRDefault="00000000">
            <w:pPr>
              <w:spacing w:before="20" w:after="40"/>
              <w:jc w:val="both"/>
            </w:pPr>
            <w:r>
              <w:rPr>
                <w:sz w:val="18"/>
                <w:szCs w:val="18"/>
              </w:rPr>
              <w:t>Tema 14: Estado de resultados</w:t>
            </w:r>
          </w:p>
          <w:p w14:paraId="562BC9EB" w14:textId="77777777" w:rsidR="00990B14" w:rsidRDefault="00000000">
            <w:pPr>
              <w:spacing w:before="20" w:after="40"/>
              <w:jc w:val="both"/>
            </w:pPr>
            <w:r>
              <w:rPr>
                <w:sz w:val="18"/>
                <w:szCs w:val="18"/>
              </w:rPr>
              <w:t>Tema 15: Estado de evolución del patrimonio</w:t>
            </w:r>
          </w:p>
          <w:p w14:paraId="68EE0E91" w14:textId="77777777" w:rsidR="00990B14" w:rsidRDefault="00000000">
            <w:pPr>
              <w:spacing w:before="20" w:after="40"/>
              <w:jc w:val="both"/>
            </w:pPr>
            <w:r>
              <w:rPr>
                <w:sz w:val="18"/>
                <w:szCs w:val="18"/>
              </w:rPr>
              <w:t>Tema 16: Estado de flujos de efectivo</w:t>
            </w:r>
          </w:p>
          <w:p w14:paraId="0FB1B47C" w14:textId="77777777" w:rsidR="00990B14" w:rsidRDefault="00000000">
            <w:pPr>
              <w:spacing w:before="20" w:after="40"/>
              <w:jc w:val="both"/>
            </w:pPr>
            <w:r>
              <w:rPr>
                <w:sz w:val="18"/>
                <w:szCs w:val="18"/>
              </w:rPr>
              <w:t>Tema 17: Notas a los estados financieros</w:t>
            </w:r>
          </w:p>
        </w:tc>
        <w:tc>
          <w:tcPr>
            <w:tcW w:w="4304" w:type="dxa"/>
            <w:gridSpan w:val="8"/>
            <w:shd w:val="clear" w:color="auto" w:fill="D9E2F3"/>
          </w:tcPr>
          <w:p w14:paraId="2F65AA6D" w14:textId="77777777" w:rsidR="00990B14" w:rsidRDefault="00000000">
            <w:pPr>
              <w:spacing w:after="40"/>
              <w:jc w:val="both"/>
            </w:pPr>
            <w:r>
              <w:rPr>
                <w:sz w:val="18"/>
                <w:szCs w:val="18"/>
              </w:rPr>
              <w:t>Estados financieros: concepto, objetivo, características, normas de contabilidad e hipótesis fundamentales. (C)</w:t>
            </w:r>
          </w:p>
          <w:p w14:paraId="6A47E5F8" w14:textId="77777777" w:rsidR="00990B14" w:rsidRDefault="00000000">
            <w:pPr>
              <w:spacing w:after="40"/>
              <w:jc w:val="both"/>
            </w:pPr>
            <w:r>
              <w:rPr>
                <w:sz w:val="18"/>
                <w:szCs w:val="18"/>
              </w:rPr>
              <w:t>Cualidades: oportunidad, comprensibilidad, relevancia, importancia relativa, fiabilidad, representación fiel, neutralidad, prudencia, integridad, compensación, comparabilidad y uniformidad. (C, A)</w:t>
            </w:r>
          </w:p>
          <w:p w14:paraId="634E5B25" w14:textId="77777777" w:rsidR="00990B14" w:rsidRDefault="00000000">
            <w:pPr>
              <w:spacing w:after="40"/>
              <w:jc w:val="both"/>
            </w:pPr>
            <w:r>
              <w:rPr>
                <w:sz w:val="18"/>
                <w:szCs w:val="18"/>
              </w:rPr>
              <w:t>Apropiación de cuentas: beneficios económicos futuros y fiabilidad de la valuación; valuación de cuentas; usuarios y sus necesidades de información; periodicidad, periodo contable e identificación de los estados financieros. (C)</w:t>
            </w:r>
          </w:p>
          <w:p w14:paraId="500B848A" w14:textId="77777777" w:rsidR="00990B14" w:rsidRDefault="00000000">
            <w:pPr>
              <w:spacing w:after="40"/>
              <w:jc w:val="both"/>
            </w:pPr>
            <w:r>
              <w:rPr>
                <w:sz w:val="18"/>
                <w:szCs w:val="18"/>
              </w:rPr>
              <w:t>Estados financieros básicos del sector privado y del sector público. (C)</w:t>
            </w:r>
          </w:p>
          <w:p w14:paraId="64E883C3" w14:textId="77777777" w:rsidR="00990B14" w:rsidRDefault="00000000">
            <w:pPr>
              <w:spacing w:after="40"/>
              <w:jc w:val="both"/>
            </w:pPr>
            <w:r>
              <w:rPr>
                <w:sz w:val="18"/>
                <w:szCs w:val="18"/>
              </w:rPr>
              <w:t>Balance general: apropiación de activos y pasivos; exposición en forma de cuenta y de informe. (C)</w:t>
            </w:r>
          </w:p>
          <w:p w14:paraId="4713C3AE" w14:textId="77777777" w:rsidR="00990B14" w:rsidRDefault="00000000">
            <w:pPr>
              <w:spacing w:after="40"/>
              <w:jc w:val="both"/>
            </w:pPr>
            <w:r>
              <w:rPr>
                <w:sz w:val="18"/>
                <w:szCs w:val="18"/>
              </w:rPr>
              <w:t>Naturaleza de las cuentas del activo: disponibilidades, cuentas por cobrar, inventarios, pagos anticipados, inversiones, bienes de uso, cargos diferidos, intangible y otros activos. (C)</w:t>
            </w:r>
          </w:p>
          <w:p w14:paraId="5C46BD01" w14:textId="77777777" w:rsidR="00990B14" w:rsidRDefault="00000000">
            <w:pPr>
              <w:spacing w:after="40"/>
              <w:jc w:val="both"/>
            </w:pPr>
            <w:r>
              <w:rPr>
                <w:sz w:val="18"/>
                <w:szCs w:val="18"/>
              </w:rPr>
              <w:t>Naturaleza de las cuentas del pasivo: obligaciones tributarias, laborales y comerciales, otras obligaciones, ingresos anticipados, obligaciones a largo plazo y créditos diferidos; del patrimonio: capital, reservas, resultados acumulados y otras cuentas de patrimonio; cuentas reguladoras deudoras de pasivo y de patrimonio y acreedoras de activo; y cuentas de orden deudoras y acreedoras. (C)</w:t>
            </w:r>
          </w:p>
          <w:p w14:paraId="20CDC48E" w14:textId="77777777" w:rsidR="00990B14" w:rsidRDefault="00000000">
            <w:pPr>
              <w:spacing w:after="40"/>
              <w:jc w:val="both"/>
            </w:pPr>
            <w:r>
              <w:rPr>
                <w:sz w:val="18"/>
                <w:szCs w:val="18"/>
              </w:rPr>
              <w:t>Tiempo de realización de las cuentas: características y clasificación en activo y pasivo corriente y no corriente; metodología de preparación; caso práctico. (C, P)</w:t>
            </w:r>
          </w:p>
          <w:p w14:paraId="10FA325D" w14:textId="77777777" w:rsidR="00990B14" w:rsidRDefault="00000000">
            <w:pPr>
              <w:spacing w:after="40"/>
              <w:jc w:val="both"/>
            </w:pPr>
            <w:r>
              <w:rPr>
                <w:sz w:val="18"/>
                <w:szCs w:val="18"/>
              </w:rPr>
              <w:t>Estado de resultados: apropiación de gastos e ingresos; exposición en cascada y por diferencia. (C)</w:t>
            </w:r>
          </w:p>
          <w:p w14:paraId="696AC4CB" w14:textId="77777777" w:rsidR="00990B14" w:rsidRDefault="00000000">
            <w:pPr>
              <w:spacing w:after="40"/>
              <w:jc w:val="both"/>
            </w:pPr>
            <w:r>
              <w:rPr>
                <w:sz w:val="18"/>
                <w:szCs w:val="18"/>
              </w:rPr>
              <w:t>Clasificación por función de gastos: ingresos operativos y no operativos, costo de mercadería vendida, costo de ventas, gastos de operación, de administración y de venta, gastos financieros, otras cuentas de resultados y resultado del ejercicio; clasificación por naturaleza de gastos; caso práctico. (C, P)</w:t>
            </w:r>
          </w:p>
          <w:p w14:paraId="400C83A0" w14:textId="77777777" w:rsidR="00990B14" w:rsidRDefault="00000000">
            <w:pPr>
              <w:spacing w:after="40"/>
              <w:jc w:val="both"/>
            </w:pPr>
            <w:r>
              <w:rPr>
                <w:sz w:val="18"/>
                <w:szCs w:val="18"/>
              </w:rPr>
              <w:t xml:space="preserve">Estado de evolución del patrimonio: capital, reservas, resultados acumulados, otras cuentas </w:t>
            </w:r>
            <w:r>
              <w:rPr>
                <w:sz w:val="18"/>
                <w:szCs w:val="18"/>
              </w:rPr>
              <w:lastRenderedPageBreak/>
              <w:t>de patrimonio y cuentas reguladoras; caso práctico. (C, P)</w:t>
            </w:r>
          </w:p>
          <w:p w14:paraId="3B226FD6" w14:textId="77777777" w:rsidR="00990B14" w:rsidRDefault="00000000">
            <w:pPr>
              <w:spacing w:after="40"/>
              <w:jc w:val="both"/>
            </w:pPr>
            <w:r>
              <w:rPr>
                <w:sz w:val="18"/>
                <w:szCs w:val="18"/>
              </w:rPr>
              <w:t>Estado de flujos de efectivo: actividades de operación, de inversión y de financiación; movimiento del efectivo y equivalentes. (C)</w:t>
            </w:r>
          </w:p>
          <w:p w14:paraId="33292EFF" w14:textId="77777777" w:rsidR="00990B14" w:rsidRDefault="00000000">
            <w:pPr>
              <w:spacing w:after="40"/>
              <w:jc w:val="both"/>
            </w:pPr>
            <w:r>
              <w:rPr>
                <w:sz w:val="18"/>
                <w:szCs w:val="18"/>
              </w:rPr>
              <w:t>Método directo y método indirecto: metodología de preparación, diferencias, similitudes e información a revelar. (C, P)</w:t>
            </w:r>
          </w:p>
          <w:p w14:paraId="4DFCC6B3" w14:textId="77777777" w:rsidR="00990B14" w:rsidRDefault="00000000">
            <w:pPr>
              <w:spacing w:after="40"/>
              <w:jc w:val="both"/>
            </w:pPr>
            <w:r>
              <w:rPr>
                <w:sz w:val="18"/>
                <w:szCs w:val="18"/>
              </w:rPr>
              <w:t>Procedimiento de análisis de transacciones base efectivo: composición y variaciones del efectivo y equivalentes; ventas, cobros a clientes y anticipos de clientes; compras, pagos a proveedores y anticipos a proveedores; ingresos, gastos, activo, pasivo y patrimonio; compensación del Impuesto al Valor Agregado; hoja de trabajo; caso práctico. (C, P)</w:t>
            </w:r>
          </w:p>
          <w:p w14:paraId="755FA79A" w14:textId="77777777" w:rsidR="00990B14" w:rsidRDefault="00000000">
            <w:pPr>
              <w:spacing w:after="40"/>
              <w:jc w:val="both"/>
            </w:pPr>
            <w:r>
              <w:rPr>
                <w:sz w:val="18"/>
                <w:szCs w:val="18"/>
              </w:rPr>
              <w:t>Notas a los estados financieros: notas institucionales, técnico-contables y de composición de saldos; referenciación y estructura de presentación; caso práctico. (C, P)</w:t>
            </w:r>
          </w:p>
        </w:tc>
        <w:tc>
          <w:tcPr>
            <w:tcW w:w="2752" w:type="dxa"/>
            <w:gridSpan w:val="3"/>
            <w:shd w:val="clear" w:color="auto" w:fill="D9E2F3"/>
          </w:tcPr>
          <w:p w14:paraId="71ADB255" w14:textId="77777777" w:rsidR="00990B14" w:rsidRDefault="00000000">
            <w:pPr>
              <w:numPr>
                <w:ilvl w:val="0"/>
                <w:numId w:val="139"/>
              </w:numPr>
              <w:spacing w:before="10" w:after="10"/>
              <w:jc w:val="both"/>
            </w:pPr>
            <w:r>
              <w:rPr>
                <w:sz w:val="18"/>
                <w:szCs w:val="18"/>
              </w:rPr>
              <w:lastRenderedPageBreak/>
              <w:t>Formatos de presentación impresa y digital de los estados financieros: formalidades de firma, estructuración de legajos y archivos en PDF/hoja de cálculo.</w:t>
            </w:r>
          </w:p>
        </w:tc>
      </w:tr>
      <w:tr w:rsidR="00990B14" w14:paraId="6C42F48A" w14:textId="77777777">
        <w:trPr>
          <w:cantSplit/>
          <w:jc w:val="center"/>
        </w:trPr>
        <w:tc>
          <w:tcPr>
            <w:tcW w:w="9405" w:type="dxa"/>
            <w:gridSpan w:val="13"/>
            <w:shd w:val="clear" w:color="auto" w:fill="D9E2F3"/>
            <w:vAlign w:val="center"/>
          </w:tcPr>
          <w:p w14:paraId="0FAFF47C" w14:textId="77777777" w:rsidR="00990B14" w:rsidRDefault="00000000">
            <w:pPr>
              <w:spacing w:before="20" w:after="20"/>
              <w:jc w:val="both"/>
            </w:pPr>
            <w:r>
              <w:rPr>
                <w:b/>
                <w:bCs/>
                <w:i/>
                <w:iCs/>
                <w:sz w:val="18"/>
                <w:szCs w:val="18"/>
              </w:rPr>
              <w:t xml:space="preserve">Elemento de competencia 6: </w:t>
            </w:r>
            <w:r>
              <w:rPr>
                <w:sz w:val="18"/>
                <w:szCs w:val="18"/>
              </w:rPr>
              <w:t>Ejecuta el cierre y la reapertura de los registros contables, completando el ciclo contable y estructurando el plan de cuentas de una entidad conforme a las normas de contabilidad y disposiciones legales vigentes.</w:t>
            </w:r>
          </w:p>
        </w:tc>
      </w:tr>
      <w:tr w:rsidR="00990B14" w14:paraId="0761C079" w14:textId="77777777">
        <w:trPr>
          <w:cantSplit/>
          <w:jc w:val="center"/>
        </w:trPr>
        <w:tc>
          <w:tcPr>
            <w:tcW w:w="3133" w:type="dxa"/>
            <w:gridSpan w:val="4"/>
            <w:shd w:val="clear" w:color="auto" w:fill="4472C4"/>
            <w:vAlign w:val="center"/>
          </w:tcPr>
          <w:p w14:paraId="5FAC3483"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6C677275"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579EEFC8" w14:textId="77777777" w:rsidR="00990B14" w:rsidRDefault="00000000">
            <w:pPr>
              <w:keepNext/>
              <w:spacing w:before="20" w:after="20"/>
              <w:jc w:val="center"/>
            </w:pPr>
            <w:r>
              <w:rPr>
                <w:b/>
                <w:bCs/>
                <w:i/>
                <w:iCs/>
                <w:color w:val="FFFFFF"/>
                <w:sz w:val="18"/>
                <w:szCs w:val="18"/>
              </w:rPr>
              <w:t>Evidencias de producto</w:t>
            </w:r>
          </w:p>
        </w:tc>
      </w:tr>
      <w:tr w:rsidR="00990B14" w14:paraId="1A316139" w14:textId="77777777">
        <w:trPr>
          <w:cantSplit/>
          <w:jc w:val="center"/>
        </w:trPr>
        <w:tc>
          <w:tcPr>
            <w:tcW w:w="3133" w:type="dxa"/>
            <w:gridSpan w:val="4"/>
            <w:vMerge w:val="restart"/>
            <w:shd w:val="clear" w:color="auto" w:fill="D9E2F3"/>
            <w:vAlign w:val="center"/>
          </w:tcPr>
          <w:p w14:paraId="4C219C40" w14:textId="77777777" w:rsidR="00990B14" w:rsidRDefault="00000000">
            <w:pPr>
              <w:spacing w:before="20" w:after="20"/>
              <w:jc w:val="both"/>
            </w:pPr>
            <w:r>
              <w:rPr>
                <w:sz w:val="18"/>
                <w:szCs w:val="18"/>
              </w:rPr>
              <w:t>1. Ejecuta el cierre del sistema de contabilidad para completar el ciclo contable de una empresa comercial y efectúa la reapertura del sistema contable correspondiente al siguiente año.</w:t>
            </w:r>
          </w:p>
        </w:tc>
        <w:tc>
          <w:tcPr>
            <w:tcW w:w="3135" w:type="dxa"/>
            <w:gridSpan w:val="5"/>
            <w:shd w:val="clear" w:color="auto" w:fill="D9E2F3"/>
            <w:vAlign w:val="center"/>
          </w:tcPr>
          <w:p w14:paraId="4074293A" w14:textId="77777777" w:rsidR="00990B14" w:rsidRDefault="00000000">
            <w:pPr>
              <w:spacing w:before="20" w:after="20"/>
              <w:jc w:val="both"/>
            </w:pPr>
            <w:r>
              <w:rPr>
                <w:sz w:val="18"/>
                <w:szCs w:val="18"/>
              </w:rPr>
              <w:t>1.1 Registra en aula los asientos de cierre de las cuentas de resultados, de balance y de orden y los de reapertura.</w:t>
            </w:r>
          </w:p>
        </w:tc>
        <w:tc>
          <w:tcPr>
            <w:tcW w:w="3137" w:type="dxa"/>
            <w:gridSpan w:val="4"/>
            <w:shd w:val="clear" w:color="auto" w:fill="D9E2F3"/>
            <w:vAlign w:val="center"/>
          </w:tcPr>
          <w:p w14:paraId="435E7814" w14:textId="77777777" w:rsidR="00990B14" w:rsidRDefault="00000000">
            <w:pPr>
              <w:spacing w:before="20" w:after="20"/>
              <w:jc w:val="both"/>
            </w:pPr>
            <w:r>
              <w:rPr>
                <w:b/>
                <w:bCs/>
                <w:sz w:val="18"/>
                <w:szCs w:val="18"/>
              </w:rPr>
              <w:t xml:space="preserve">Producto 21: </w:t>
            </w:r>
            <w:r>
              <w:rPr>
                <w:sz w:val="18"/>
                <w:szCs w:val="18"/>
              </w:rPr>
              <w:t>Asientos de cierre y asientos de reapertura del caso práctico.</w:t>
            </w:r>
          </w:p>
        </w:tc>
      </w:tr>
      <w:tr w:rsidR="00990B14" w14:paraId="22E40876" w14:textId="77777777">
        <w:trPr>
          <w:cantSplit/>
          <w:jc w:val="center"/>
        </w:trPr>
        <w:tc>
          <w:tcPr>
            <w:tcW w:w="3133" w:type="dxa"/>
            <w:gridSpan w:val="4"/>
            <w:vMerge/>
            <w:shd w:val="clear" w:color="auto" w:fill="D9E2F3"/>
            <w:vAlign w:val="center"/>
          </w:tcPr>
          <w:p w14:paraId="736B85E5" w14:textId="77777777" w:rsidR="00990B14" w:rsidRDefault="00990B14">
            <w:pPr>
              <w:spacing w:before="20" w:after="20"/>
            </w:pPr>
          </w:p>
        </w:tc>
        <w:tc>
          <w:tcPr>
            <w:tcW w:w="3135" w:type="dxa"/>
            <w:gridSpan w:val="5"/>
            <w:shd w:val="clear" w:color="auto" w:fill="D9E2F3"/>
            <w:vAlign w:val="center"/>
          </w:tcPr>
          <w:p w14:paraId="7EFC9940" w14:textId="77777777" w:rsidR="00990B14" w:rsidRDefault="00000000">
            <w:pPr>
              <w:spacing w:before="20" w:after="20"/>
              <w:jc w:val="both"/>
            </w:pPr>
            <w:r>
              <w:rPr>
                <w:sz w:val="18"/>
                <w:szCs w:val="18"/>
              </w:rPr>
              <w:t>1.2 Desarrolla en aula el ciclo contable de un caso práctico de una empresa comercial.</w:t>
            </w:r>
          </w:p>
        </w:tc>
        <w:tc>
          <w:tcPr>
            <w:tcW w:w="3137" w:type="dxa"/>
            <w:gridSpan w:val="4"/>
            <w:shd w:val="clear" w:color="auto" w:fill="D9E2F3"/>
            <w:vAlign w:val="center"/>
          </w:tcPr>
          <w:p w14:paraId="3B901E37" w14:textId="77777777" w:rsidR="00990B14" w:rsidRDefault="00000000">
            <w:pPr>
              <w:spacing w:before="20" w:after="20"/>
              <w:jc w:val="both"/>
            </w:pPr>
            <w:r>
              <w:rPr>
                <w:b/>
                <w:bCs/>
                <w:sz w:val="18"/>
                <w:szCs w:val="18"/>
              </w:rPr>
              <w:t xml:space="preserve">Producto 22: </w:t>
            </w:r>
            <w:r>
              <w:rPr>
                <w:sz w:val="18"/>
                <w:szCs w:val="18"/>
              </w:rPr>
              <w:t>Carpeta de evidencias del ciclo contable completo.</w:t>
            </w:r>
          </w:p>
        </w:tc>
      </w:tr>
      <w:tr w:rsidR="00990B14" w14:paraId="580D7B8A" w14:textId="77777777">
        <w:trPr>
          <w:cantSplit/>
          <w:jc w:val="center"/>
        </w:trPr>
        <w:tc>
          <w:tcPr>
            <w:tcW w:w="3133" w:type="dxa"/>
            <w:gridSpan w:val="4"/>
            <w:vMerge w:val="restart"/>
            <w:shd w:val="clear" w:color="auto" w:fill="D9E2F3"/>
            <w:vAlign w:val="center"/>
          </w:tcPr>
          <w:p w14:paraId="21256099" w14:textId="77777777" w:rsidR="00990B14" w:rsidRDefault="00000000">
            <w:pPr>
              <w:spacing w:before="20" w:after="20"/>
              <w:jc w:val="both"/>
            </w:pPr>
            <w:r>
              <w:rPr>
                <w:sz w:val="18"/>
                <w:szCs w:val="18"/>
              </w:rPr>
              <w:t>2. Estructura el plan de cuentas de una entidad, configurándolo en un sistema contable de uso académico.</w:t>
            </w:r>
          </w:p>
        </w:tc>
        <w:tc>
          <w:tcPr>
            <w:tcW w:w="3135" w:type="dxa"/>
            <w:gridSpan w:val="5"/>
            <w:shd w:val="clear" w:color="auto" w:fill="D9E2F3"/>
            <w:vAlign w:val="center"/>
          </w:tcPr>
          <w:p w14:paraId="31F79D3B" w14:textId="77777777" w:rsidR="00990B14" w:rsidRDefault="00000000">
            <w:pPr>
              <w:spacing w:before="20" w:after="20"/>
              <w:jc w:val="both"/>
            </w:pPr>
            <w:r>
              <w:rPr>
                <w:sz w:val="18"/>
                <w:szCs w:val="18"/>
              </w:rPr>
              <w:t>2.1 Defiende ante el curso el plan de cuentas propuesto por su equipo.</w:t>
            </w:r>
          </w:p>
        </w:tc>
        <w:tc>
          <w:tcPr>
            <w:tcW w:w="3137" w:type="dxa"/>
            <w:gridSpan w:val="4"/>
            <w:shd w:val="clear" w:color="auto" w:fill="D9E2F3"/>
            <w:vAlign w:val="center"/>
          </w:tcPr>
          <w:p w14:paraId="0357BD80" w14:textId="77777777" w:rsidR="00990B14" w:rsidRDefault="00000000">
            <w:pPr>
              <w:spacing w:before="20" w:after="20"/>
              <w:jc w:val="both"/>
            </w:pPr>
            <w:r>
              <w:rPr>
                <w:b/>
                <w:bCs/>
                <w:sz w:val="18"/>
                <w:szCs w:val="18"/>
              </w:rPr>
              <w:t xml:space="preserve">Producto 23: </w:t>
            </w:r>
            <w:r>
              <w:rPr>
                <w:sz w:val="18"/>
                <w:szCs w:val="18"/>
              </w:rPr>
              <w:t>Plan de cuentas de una empresa comercial.</w:t>
            </w:r>
          </w:p>
        </w:tc>
      </w:tr>
      <w:tr w:rsidR="00990B14" w14:paraId="6D200CC9" w14:textId="77777777">
        <w:trPr>
          <w:cantSplit/>
          <w:jc w:val="center"/>
        </w:trPr>
        <w:tc>
          <w:tcPr>
            <w:tcW w:w="3133" w:type="dxa"/>
            <w:gridSpan w:val="4"/>
            <w:vMerge/>
            <w:shd w:val="clear" w:color="auto" w:fill="D9E2F3"/>
            <w:vAlign w:val="center"/>
          </w:tcPr>
          <w:p w14:paraId="18494523" w14:textId="77777777" w:rsidR="00990B14" w:rsidRDefault="00990B14">
            <w:pPr>
              <w:spacing w:before="20" w:after="20"/>
            </w:pPr>
          </w:p>
        </w:tc>
        <w:tc>
          <w:tcPr>
            <w:tcW w:w="3135" w:type="dxa"/>
            <w:gridSpan w:val="5"/>
            <w:shd w:val="clear" w:color="auto" w:fill="D9E2F3"/>
            <w:vAlign w:val="center"/>
          </w:tcPr>
          <w:p w14:paraId="4DEE07B0" w14:textId="77777777" w:rsidR="00990B14" w:rsidRDefault="00000000">
            <w:pPr>
              <w:spacing w:before="20" w:after="20"/>
              <w:jc w:val="both"/>
            </w:pPr>
            <w:r>
              <w:rPr>
                <w:sz w:val="18"/>
                <w:szCs w:val="18"/>
              </w:rPr>
              <w:t>2.2 Configura en el laboratorio de cómputo el plan de cuentas en un sistema contable de uso académico.</w:t>
            </w:r>
          </w:p>
        </w:tc>
        <w:tc>
          <w:tcPr>
            <w:tcW w:w="3137" w:type="dxa"/>
            <w:gridSpan w:val="4"/>
            <w:shd w:val="clear" w:color="auto" w:fill="D9E2F3"/>
            <w:vAlign w:val="center"/>
          </w:tcPr>
          <w:p w14:paraId="3FA9B8B7" w14:textId="77777777" w:rsidR="00990B14" w:rsidRDefault="00000000">
            <w:pPr>
              <w:spacing w:before="20" w:after="20"/>
              <w:jc w:val="both"/>
            </w:pPr>
            <w:r>
              <w:rPr>
                <w:b/>
                <w:bCs/>
                <w:sz w:val="18"/>
                <w:szCs w:val="18"/>
              </w:rPr>
              <w:t xml:space="preserve">Producto 24: </w:t>
            </w:r>
            <w:r>
              <w:rPr>
                <w:sz w:val="18"/>
                <w:szCs w:val="18"/>
              </w:rPr>
              <w:t>Reporte del plan de cuentas configurado en el sistema contable.</w:t>
            </w:r>
          </w:p>
        </w:tc>
      </w:tr>
      <w:tr w:rsidR="00990B14" w14:paraId="27401AD8" w14:textId="77777777">
        <w:trPr>
          <w:cantSplit/>
          <w:jc w:val="center"/>
        </w:trPr>
        <w:tc>
          <w:tcPr>
            <w:tcW w:w="9405" w:type="dxa"/>
            <w:gridSpan w:val="13"/>
            <w:shd w:val="clear" w:color="auto" w:fill="4472C4"/>
            <w:vAlign w:val="center"/>
          </w:tcPr>
          <w:p w14:paraId="01975FBA" w14:textId="77777777" w:rsidR="00990B14" w:rsidRDefault="00000000">
            <w:pPr>
              <w:keepNext/>
              <w:spacing w:before="20" w:after="20"/>
              <w:jc w:val="center"/>
            </w:pPr>
            <w:r>
              <w:rPr>
                <w:b/>
                <w:bCs/>
                <w:i/>
                <w:iCs/>
                <w:color w:val="FFFFFF"/>
                <w:sz w:val="18"/>
                <w:szCs w:val="18"/>
              </w:rPr>
              <w:t>Evidencias de conocimiento</w:t>
            </w:r>
          </w:p>
        </w:tc>
      </w:tr>
      <w:tr w:rsidR="00990B14" w14:paraId="56FF3432" w14:textId="77777777">
        <w:trPr>
          <w:cantSplit/>
          <w:jc w:val="center"/>
        </w:trPr>
        <w:tc>
          <w:tcPr>
            <w:tcW w:w="2349" w:type="dxa"/>
            <w:gridSpan w:val="2"/>
            <w:shd w:val="clear" w:color="auto" w:fill="4472C4"/>
            <w:vAlign w:val="center"/>
          </w:tcPr>
          <w:p w14:paraId="615293C1"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37FB3CCD" w14:textId="77777777" w:rsidR="00990B14" w:rsidRDefault="00000000">
            <w:pPr>
              <w:keepNext/>
              <w:spacing w:before="20" w:after="20"/>
              <w:jc w:val="both"/>
            </w:pPr>
            <w:r>
              <w:rPr>
                <w:b/>
                <w:bCs/>
                <w:i/>
                <w:iCs/>
                <w:color w:val="FFFFFF"/>
                <w:sz w:val="18"/>
                <w:szCs w:val="18"/>
              </w:rPr>
              <w:t>Contenidos</w:t>
            </w:r>
          </w:p>
          <w:p w14:paraId="3C585300"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2374E844" w14:textId="77777777" w:rsidR="00990B14" w:rsidRDefault="00000000">
            <w:pPr>
              <w:keepNext/>
              <w:spacing w:before="20" w:after="20"/>
              <w:jc w:val="center"/>
            </w:pPr>
            <w:r>
              <w:rPr>
                <w:b/>
                <w:bCs/>
                <w:i/>
                <w:iCs/>
                <w:color w:val="FFFFFF"/>
                <w:sz w:val="18"/>
                <w:szCs w:val="18"/>
              </w:rPr>
              <w:t>Conocimientos circunstanciales</w:t>
            </w:r>
          </w:p>
        </w:tc>
      </w:tr>
      <w:tr w:rsidR="00990B14" w14:paraId="0E8C7587" w14:textId="77777777">
        <w:trPr>
          <w:jc w:val="center"/>
        </w:trPr>
        <w:tc>
          <w:tcPr>
            <w:tcW w:w="2349" w:type="dxa"/>
            <w:gridSpan w:val="2"/>
            <w:shd w:val="clear" w:color="auto" w:fill="D9E2F3"/>
          </w:tcPr>
          <w:p w14:paraId="1782448C" w14:textId="77777777" w:rsidR="00990B14" w:rsidRDefault="00000000">
            <w:pPr>
              <w:spacing w:before="20" w:after="40"/>
              <w:jc w:val="both"/>
            </w:pPr>
            <w:r>
              <w:rPr>
                <w:sz w:val="18"/>
                <w:szCs w:val="18"/>
              </w:rPr>
              <w:t>Tema 18: Cierre y reapertura de registros</w:t>
            </w:r>
          </w:p>
          <w:p w14:paraId="7B8C754A" w14:textId="77777777" w:rsidR="00990B14" w:rsidRDefault="00000000">
            <w:pPr>
              <w:spacing w:before="20" w:after="40"/>
              <w:jc w:val="both"/>
            </w:pPr>
            <w:r>
              <w:rPr>
                <w:sz w:val="18"/>
                <w:szCs w:val="18"/>
              </w:rPr>
              <w:t>Tema 19: Plan de cuentas</w:t>
            </w:r>
          </w:p>
        </w:tc>
        <w:tc>
          <w:tcPr>
            <w:tcW w:w="4304" w:type="dxa"/>
            <w:gridSpan w:val="8"/>
            <w:shd w:val="clear" w:color="auto" w:fill="D9E2F3"/>
          </w:tcPr>
          <w:p w14:paraId="567C8E32" w14:textId="77777777" w:rsidR="00990B14" w:rsidRDefault="00000000">
            <w:pPr>
              <w:spacing w:after="40"/>
              <w:jc w:val="both"/>
            </w:pPr>
            <w:r>
              <w:rPr>
                <w:sz w:val="18"/>
                <w:szCs w:val="18"/>
              </w:rPr>
              <w:t>Cierre de registros: objetivo, características y responsabilidad ética y fiscal en la clausura del ejercicio contable. (C, A)</w:t>
            </w:r>
          </w:p>
          <w:p w14:paraId="0367E6D0" w14:textId="77777777" w:rsidR="00990B14" w:rsidRDefault="00000000">
            <w:pPr>
              <w:spacing w:after="40"/>
              <w:jc w:val="both"/>
            </w:pPr>
            <w:r>
              <w:rPr>
                <w:sz w:val="18"/>
                <w:szCs w:val="18"/>
              </w:rPr>
              <w:t xml:space="preserve">Asientos clásicos de cierre: de cuentas de costo, gasto e ingreso, de incorporación del resultado final, de cuentas de balance y de </w:t>
            </w:r>
            <w:r>
              <w:rPr>
                <w:sz w:val="18"/>
                <w:szCs w:val="18"/>
              </w:rPr>
              <w:lastRenderedPageBreak/>
              <w:t>cuentas de orden. (C, P)</w:t>
            </w:r>
          </w:p>
          <w:p w14:paraId="440E7A73" w14:textId="77777777" w:rsidR="00990B14" w:rsidRDefault="00000000">
            <w:pPr>
              <w:spacing w:after="40"/>
              <w:jc w:val="both"/>
            </w:pPr>
            <w:r>
              <w:rPr>
                <w:sz w:val="18"/>
                <w:szCs w:val="18"/>
              </w:rPr>
              <w:t>Reapertura de registros: objetivo, características y asientos clásicos de cuentas de balance y de orden. (C, P)</w:t>
            </w:r>
          </w:p>
          <w:p w14:paraId="7A7C7327" w14:textId="77777777" w:rsidR="00990B14" w:rsidRDefault="00000000">
            <w:pPr>
              <w:spacing w:after="40"/>
              <w:jc w:val="both"/>
            </w:pPr>
            <w:r>
              <w:rPr>
                <w:sz w:val="18"/>
                <w:szCs w:val="18"/>
              </w:rPr>
              <w:t>Ciclo contable; caso práctico. (C, P)</w:t>
            </w:r>
          </w:p>
          <w:p w14:paraId="135A9628" w14:textId="77777777" w:rsidR="00990B14" w:rsidRDefault="00000000">
            <w:pPr>
              <w:spacing w:after="40"/>
              <w:jc w:val="both"/>
            </w:pPr>
            <w:r>
              <w:rPr>
                <w:sz w:val="18"/>
                <w:szCs w:val="18"/>
              </w:rPr>
              <w:t>Plan de cuentas: concepto, objetivo, características y estructura. (C)</w:t>
            </w:r>
          </w:p>
          <w:p w14:paraId="153F4118" w14:textId="77777777" w:rsidR="00990B14" w:rsidRDefault="00000000">
            <w:pPr>
              <w:spacing w:after="40"/>
              <w:jc w:val="both"/>
            </w:pPr>
            <w:r>
              <w:rPr>
                <w:sz w:val="18"/>
                <w:szCs w:val="18"/>
              </w:rPr>
              <w:t>Cuentas de balance: activo, pasivo, patrimonio y cuentas reguladoras de activo, pasivo y patrimonio. (C)</w:t>
            </w:r>
          </w:p>
          <w:p w14:paraId="36B0F0EA" w14:textId="77777777" w:rsidR="00990B14" w:rsidRDefault="00000000">
            <w:pPr>
              <w:spacing w:after="40"/>
              <w:jc w:val="both"/>
            </w:pPr>
            <w:r>
              <w:rPr>
                <w:sz w:val="18"/>
                <w:szCs w:val="18"/>
              </w:rPr>
              <w:t>Cuentas de orden deudoras y acreedoras. (C)</w:t>
            </w:r>
          </w:p>
          <w:p w14:paraId="3D170784" w14:textId="77777777" w:rsidR="00990B14" w:rsidRDefault="00000000">
            <w:pPr>
              <w:spacing w:after="40"/>
              <w:jc w:val="both"/>
            </w:pPr>
            <w:r>
              <w:rPr>
                <w:sz w:val="18"/>
                <w:szCs w:val="18"/>
              </w:rPr>
              <w:t>Cuentas de resultados: costo, gasto, ingreso y otras cuentas de resultados. (C)</w:t>
            </w:r>
          </w:p>
          <w:p w14:paraId="378829DF" w14:textId="77777777" w:rsidR="00990B14" w:rsidRDefault="00000000">
            <w:pPr>
              <w:spacing w:after="40"/>
              <w:jc w:val="both"/>
            </w:pPr>
            <w:r>
              <w:rPr>
                <w:sz w:val="18"/>
                <w:szCs w:val="18"/>
              </w:rPr>
              <w:t>Configuración del plan de cuentas en un sistema contable de uso académico. (P, T)</w:t>
            </w:r>
          </w:p>
        </w:tc>
        <w:tc>
          <w:tcPr>
            <w:tcW w:w="2752" w:type="dxa"/>
            <w:gridSpan w:val="3"/>
            <w:shd w:val="clear" w:color="auto" w:fill="D9E2F3"/>
          </w:tcPr>
          <w:p w14:paraId="7DBB1E75" w14:textId="77777777" w:rsidR="00990B14" w:rsidRDefault="00000000">
            <w:pPr>
              <w:numPr>
                <w:ilvl w:val="0"/>
                <w:numId w:val="139"/>
              </w:numPr>
              <w:spacing w:before="10" w:after="10"/>
              <w:jc w:val="both"/>
            </w:pPr>
            <w:r>
              <w:rPr>
                <w:sz w:val="18"/>
                <w:szCs w:val="18"/>
              </w:rPr>
              <w:lastRenderedPageBreak/>
              <w:t>Nociones de respaldo y conservación de la información contable al cierre de la gestión.</w:t>
            </w:r>
          </w:p>
        </w:tc>
      </w:tr>
    </w:tbl>
    <w:p w14:paraId="3D857BCF"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716"/>
        <w:gridCol w:w="1656"/>
        <w:gridCol w:w="1837"/>
        <w:gridCol w:w="1656"/>
        <w:gridCol w:w="2540"/>
      </w:tblGrid>
      <w:tr w:rsidR="00990B14" w14:paraId="1945235F" w14:textId="77777777">
        <w:trPr>
          <w:cantSplit/>
          <w:jc w:val="center"/>
        </w:trPr>
        <w:tc>
          <w:tcPr>
            <w:tcW w:w="9405" w:type="dxa"/>
            <w:gridSpan w:val="5"/>
            <w:shd w:val="clear" w:color="auto" w:fill="4472C4"/>
            <w:vAlign w:val="center"/>
          </w:tcPr>
          <w:p w14:paraId="44EB7DC7" w14:textId="77777777" w:rsidR="00990B14" w:rsidRDefault="00000000">
            <w:pPr>
              <w:keepNext/>
              <w:spacing w:before="20" w:after="20"/>
              <w:jc w:val="center"/>
            </w:pPr>
            <w:r>
              <w:rPr>
                <w:b/>
                <w:bCs/>
                <w:i/>
                <w:iCs/>
                <w:color w:val="FFFFFF"/>
                <w:sz w:val="18"/>
                <w:szCs w:val="18"/>
              </w:rPr>
              <w:t>Actividades</w:t>
            </w:r>
          </w:p>
        </w:tc>
      </w:tr>
      <w:tr w:rsidR="00990B14" w14:paraId="0D5B29B3" w14:textId="77777777">
        <w:trPr>
          <w:cantSplit/>
          <w:jc w:val="center"/>
        </w:trPr>
        <w:tc>
          <w:tcPr>
            <w:tcW w:w="1716" w:type="dxa"/>
            <w:shd w:val="clear" w:color="auto" w:fill="4472C4"/>
            <w:vAlign w:val="center"/>
          </w:tcPr>
          <w:p w14:paraId="0C6AB274" w14:textId="77777777" w:rsidR="00990B14" w:rsidRDefault="00000000">
            <w:pPr>
              <w:keepNext/>
              <w:spacing w:before="20" w:after="20"/>
              <w:jc w:val="center"/>
            </w:pPr>
            <w:r>
              <w:rPr>
                <w:b/>
                <w:bCs/>
                <w:i/>
                <w:iCs/>
                <w:color w:val="FFFFFF"/>
                <w:sz w:val="18"/>
                <w:szCs w:val="18"/>
              </w:rPr>
              <w:t>En clase</w:t>
            </w:r>
          </w:p>
        </w:tc>
        <w:tc>
          <w:tcPr>
            <w:tcW w:w="1656" w:type="dxa"/>
            <w:shd w:val="clear" w:color="auto" w:fill="4472C4"/>
            <w:vAlign w:val="center"/>
          </w:tcPr>
          <w:p w14:paraId="744CD5CB" w14:textId="77777777" w:rsidR="00990B14" w:rsidRDefault="00000000">
            <w:pPr>
              <w:keepNext/>
              <w:spacing w:before="20" w:after="20"/>
              <w:jc w:val="center"/>
            </w:pPr>
            <w:r>
              <w:rPr>
                <w:b/>
                <w:bCs/>
                <w:i/>
                <w:iCs/>
                <w:color w:val="FFFFFF"/>
                <w:sz w:val="18"/>
                <w:szCs w:val="18"/>
              </w:rPr>
              <w:t>Autónomas</w:t>
            </w:r>
          </w:p>
        </w:tc>
        <w:tc>
          <w:tcPr>
            <w:tcW w:w="1837" w:type="dxa"/>
            <w:shd w:val="clear" w:color="auto" w:fill="4472C4"/>
            <w:vAlign w:val="center"/>
          </w:tcPr>
          <w:p w14:paraId="42B2BBCA" w14:textId="77777777" w:rsidR="00990B14" w:rsidRDefault="00000000">
            <w:pPr>
              <w:keepNext/>
              <w:spacing w:before="20" w:after="20"/>
              <w:jc w:val="center"/>
            </w:pPr>
            <w:r>
              <w:rPr>
                <w:b/>
                <w:bCs/>
                <w:i/>
                <w:iCs/>
                <w:color w:val="FFFFFF"/>
                <w:sz w:val="18"/>
                <w:szCs w:val="18"/>
              </w:rPr>
              <w:t>B-Learning</w:t>
            </w:r>
          </w:p>
        </w:tc>
        <w:tc>
          <w:tcPr>
            <w:tcW w:w="1656" w:type="dxa"/>
            <w:shd w:val="clear" w:color="auto" w:fill="4472C4"/>
            <w:vAlign w:val="center"/>
          </w:tcPr>
          <w:p w14:paraId="5DDB15B7" w14:textId="77777777" w:rsidR="00990B14" w:rsidRDefault="00000000">
            <w:pPr>
              <w:keepNext/>
              <w:spacing w:before="20" w:after="20"/>
              <w:jc w:val="center"/>
            </w:pPr>
            <w:r>
              <w:rPr>
                <w:b/>
                <w:bCs/>
                <w:i/>
                <w:iCs/>
                <w:color w:val="FFFFFF"/>
                <w:sz w:val="18"/>
                <w:szCs w:val="18"/>
              </w:rPr>
              <w:t>Taller</w:t>
            </w:r>
          </w:p>
        </w:tc>
        <w:tc>
          <w:tcPr>
            <w:tcW w:w="2540" w:type="dxa"/>
            <w:shd w:val="clear" w:color="auto" w:fill="4472C4"/>
            <w:vAlign w:val="center"/>
          </w:tcPr>
          <w:p w14:paraId="38DCE572" w14:textId="77777777" w:rsidR="00990B14" w:rsidRDefault="00000000">
            <w:pPr>
              <w:keepNext/>
              <w:spacing w:before="20" w:after="20"/>
              <w:jc w:val="center"/>
            </w:pPr>
            <w:r>
              <w:rPr>
                <w:b/>
                <w:bCs/>
                <w:i/>
                <w:iCs/>
                <w:color w:val="FFFFFF"/>
                <w:sz w:val="18"/>
                <w:szCs w:val="18"/>
              </w:rPr>
              <w:t>Investigación/Práctica</w:t>
            </w:r>
          </w:p>
        </w:tc>
      </w:tr>
      <w:tr w:rsidR="00990B14" w14:paraId="216A4D68" w14:textId="77777777">
        <w:trPr>
          <w:jc w:val="center"/>
        </w:trPr>
        <w:tc>
          <w:tcPr>
            <w:tcW w:w="1716" w:type="dxa"/>
            <w:shd w:val="clear" w:color="auto" w:fill="D9E2F3"/>
          </w:tcPr>
          <w:p w14:paraId="7D5B5EFD" w14:textId="77777777" w:rsidR="00990B14" w:rsidRDefault="00000000">
            <w:pPr>
              <w:numPr>
                <w:ilvl w:val="0"/>
                <w:numId w:val="139"/>
              </w:numPr>
              <w:spacing w:before="10" w:after="10"/>
              <w:jc w:val="both"/>
            </w:pPr>
            <w:r>
              <w:rPr>
                <w:sz w:val="18"/>
                <w:szCs w:val="18"/>
              </w:rPr>
              <w:t>Exposición dialogada de la teoría de las cuentas y de las normas de contabilidad.</w:t>
            </w:r>
          </w:p>
          <w:p w14:paraId="3557FB22" w14:textId="77777777" w:rsidR="00990B14" w:rsidRDefault="00000000">
            <w:pPr>
              <w:numPr>
                <w:ilvl w:val="0"/>
                <w:numId w:val="139"/>
              </w:numPr>
              <w:spacing w:before="10" w:after="10"/>
              <w:jc w:val="both"/>
            </w:pPr>
            <w:r>
              <w:rPr>
                <w:sz w:val="18"/>
                <w:szCs w:val="18"/>
              </w:rPr>
              <w:t>Resolución guiada de asientos de diario, pases a mayor y asientos de ajuste.</w:t>
            </w:r>
          </w:p>
          <w:p w14:paraId="0B4A1E7F" w14:textId="77777777" w:rsidR="00990B14" w:rsidRDefault="00000000">
            <w:pPr>
              <w:numPr>
                <w:ilvl w:val="0"/>
                <w:numId w:val="139"/>
              </w:numPr>
              <w:spacing w:before="10" w:after="10"/>
              <w:jc w:val="both"/>
            </w:pPr>
            <w:r>
              <w:rPr>
                <w:sz w:val="18"/>
                <w:szCs w:val="18"/>
              </w:rPr>
              <w:t>Demostración en hoja de cálculo del balance de comprobación y de la hoja de trabajo.</w:t>
            </w:r>
          </w:p>
          <w:p w14:paraId="3580AB21" w14:textId="77777777" w:rsidR="00990B14" w:rsidRDefault="00000000">
            <w:pPr>
              <w:numPr>
                <w:ilvl w:val="0"/>
                <w:numId w:val="139"/>
              </w:numPr>
              <w:spacing w:before="10" w:after="10"/>
              <w:jc w:val="both"/>
            </w:pPr>
            <w:r>
              <w:rPr>
                <w:sz w:val="18"/>
                <w:szCs w:val="18"/>
              </w:rPr>
              <w:t>Análisis de casos de errores de registro y de su corrección.</w:t>
            </w:r>
          </w:p>
          <w:p w14:paraId="2431E549" w14:textId="77777777" w:rsidR="00990B14" w:rsidRDefault="00000000">
            <w:pPr>
              <w:numPr>
                <w:ilvl w:val="0"/>
                <w:numId w:val="139"/>
              </w:numPr>
              <w:spacing w:before="10" w:after="10"/>
              <w:jc w:val="both"/>
            </w:pPr>
            <w:r>
              <w:rPr>
                <w:sz w:val="18"/>
                <w:szCs w:val="18"/>
              </w:rPr>
              <w:t>Preguntas de comprensión sobre la estructura de los estados financieros básicos.</w:t>
            </w:r>
          </w:p>
        </w:tc>
        <w:tc>
          <w:tcPr>
            <w:tcW w:w="1656" w:type="dxa"/>
            <w:shd w:val="clear" w:color="auto" w:fill="D9E2F3"/>
          </w:tcPr>
          <w:p w14:paraId="2935E242" w14:textId="77777777" w:rsidR="00990B14" w:rsidRDefault="00000000">
            <w:pPr>
              <w:numPr>
                <w:ilvl w:val="0"/>
                <w:numId w:val="139"/>
              </w:numPr>
              <w:spacing w:before="10" w:after="10"/>
              <w:jc w:val="both"/>
            </w:pPr>
            <w:r>
              <w:rPr>
                <w:sz w:val="18"/>
                <w:szCs w:val="18"/>
              </w:rPr>
              <w:t>Resolución de ejercicios de registro al cierre de cada tema.</w:t>
            </w:r>
          </w:p>
          <w:p w14:paraId="1335D56C" w14:textId="77777777" w:rsidR="00990B14" w:rsidRDefault="00000000">
            <w:pPr>
              <w:numPr>
                <w:ilvl w:val="0"/>
                <w:numId w:val="139"/>
              </w:numPr>
              <w:spacing w:before="10" w:after="10"/>
              <w:jc w:val="both"/>
            </w:pPr>
            <w:r>
              <w:rPr>
                <w:sz w:val="18"/>
                <w:szCs w:val="18"/>
              </w:rPr>
              <w:t>Lectura de las normas de contabilidad emitidas por el CTNAC y del Código de Ética del IESBA.</w:t>
            </w:r>
          </w:p>
          <w:p w14:paraId="134942BD" w14:textId="77777777" w:rsidR="00990B14" w:rsidRDefault="00000000">
            <w:pPr>
              <w:numPr>
                <w:ilvl w:val="0"/>
                <w:numId w:val="139"/>
              </w:numPr>
              <w:spacing w:before="10" w:after="10"/>
              <w:jc w:val="both"/>
            </w:pPr>
            <w:r>
              <w:rPr>
                <w:sz w:val="18"/>
                <w:szCs w:val="18"/>
              </w:rPr>
              <w:t>Desarrollo progresivo del caso práctico integral del ciclo contable.</w:t>
            </w:r>
          </w:p>
        </w:tc>
        <w:tc>
          <w:tcPr>
            <w:tcW w:w="1837" w:type="dxa"/>
            <w:shd w:val="clear" w:color="auto" w:fill="D9E2F3"/>
          </w:tcPr>
          <w:p w14:paraId="7C921078" w14:textId="77777777" w:rsidR="00990B14" w:rsidRDefault="00000000">
            <w:pPr>
              <w:numPr>
                <w:ilvl w:val="0"/>
                <w:numId w:val="139"/>
              </w:numPr>
              <w:spacing w:before="10" w:after="10"/>
              <w:jc w:val="both"/>
            </w:pPr>
            <w:r>
              <w:rPr>
                <w:sz w:val="18"/>
                <w:szCs w:val="18"/>
              </w:rPr>
              <w:t>Cuestionarios de comprensión en la plataforma Moodle UMSA.</w:t>
            </w:r>
          </w:p>
          <w:p w14:paraId="0A8EB432" w14:textId="77777777" w:rsidR="00990B14" w:rsidRDefault="00000000">
            <w:pPr>
              <w:numPr>
                <w:ilvl w:val="0"/>
                <w:numId w:val="139"/>
              </w:numPr>
              <w:spacing w:before="10" w:after="10"/>
              <w:jc w:val="both"/>
            </w:pPr>
            <w:r>
              <w:rPr>
                <w:sz w:val="18"/>
                <w:szCs w:val="18"/>
              </w:rPr>
              <w:t>Foros de consulta sobre casos prácticos.</w:t>
            </w:r>
          </w:p>
          <w:p w14:paraId="1FA3AB85" w14:textId="77777777" w:rsidR="00990B14" w:rsidRDefault="00000000">
            <w:pPr>
              <w:numPr>
                <w:ilvl w:val="0"/>
                <w:numId w:val="139"/>
              </w:numPr>
              <w:spacing w:before="10" w:after="10"/>
              <w:jc w:val="both"/>
            </w:pPr>
            <w:r>
              <w:rPr>
                <w:sz w:val="18"/>
                <w:szCs w:val="18"/>
              </w:rPr>
              <w:t>Videotutoriales de registro en sistemas contables.</w:t>
            </w:r>
          </w:p>
        </w:tc>
        <w:tc>
          <w:tcPr>
            <w:tcW w:w="1656" w:type="dxa"/>
            <w:shd w:val="clear" w:color="auto" w:fill="D9E2F3"/>
          </w:tcPr>
          <w:p w14:paraId="64F7E07C" w14:textId="77777777" w:rsidR="00990B14" w:rsidRDefault="00000000">
            <w:pPr>
              <w:numPr>
                <w:ilvl w:val="0"/>
                <w:numId w:val="139"/>
              </w:numPr>
              <w:spacing w:before="10" w:after="10"/>
              <w:jc w:val="both"/>
            </w:pPr>
            <w:r>
              <w:rPr>
                <w:sz w:val="18"/>
                <w:szCs w:val="18"/>
              </w:rPr>
              <w:t>Resolución colaborativa de casos de registro y ajuste, incluido un caso de conducta ética.</w:t>
            </w:r>
          </w:p>
          <w:p w14:paraId="146BE6B7" w14:textId="77777777" w:rsidR="00990B14" w:rsidRDefault="00000000">
            <w:pPr>
              <w:numPr>
                <w:ilvl w:val="0"/>
                <w:numId w:val="139"/>
              </w:numPr>
              <w:spacing w:before="10" w:after="10"/>
              <w:jc w:val="both"/>
            </w:pPr>
            <w:r>
              <w:rPr>
                <w:sz w:val="18"/>
                <w:szCs w:val="18"/>
              </w:rPr>
              <w:t>Elaboración guiada de la hoja de trabajo en hoja de cálculo.</w:t>
            </w:r>
          </w:p>
          <w:p w14:paraId="0A7EC304" w14:textId="77777777" w:rsidR="00990B14" w:rsidRDefault="00000000">
            <w:pPr>
              <w:numPr>
                <w:ilvl w:val="0"/>
                <w:numId w:val="139"/>
              </w:numPr>
              <w:spacing w:before="10" w:after="10"/>
              <w:jc w:val="both"/>
            </w:pPr>
            <w:r>
              <w:rPr>
                <w:sz w:val="18"/>
                <w:szCs w:val="18"/>
              </w:rPr>
              <w:t>Revisión cruzada de estados financieros entre equipos.</w:t>
            </w:r>
          </w:p>
        </w:tc>
        <w:tc>
          <w:tcPr>
            <w:tcW w:w="2540" w:type="dxa"/>
            <w:shd w:val="clear" w:color="auto" w:fill="D9E2F3"/>
          </w:tcPr>
          <w:p w14:paraId="3C0C1D56" w14:textId="77777777" w:rsidR="00990B14" w:rsidRDefault="00000000">
            <w:pPr>
              <w:numPr>
                <w:ilvl w:val="0"/>
                <w:numId w:val="139"/>
              </w:numPr>
              <w:spacing w:before="10" w:after="10"/>
              <w:jc w:val="both"/>
            </w:pPr>
            <w:r>
              <w:rPr>
                <w:sz w:val="18"/>
                <w:szCs w:val="18"/>
              </w:rPr>
              <w:t>Análisis de estados financieros publicados por empresas bolivianas.</w:t>
            </w:r>
          </w:p>
          <w:p w14:paraId="37CE3E84" w14:textId="77777777" w:rsidR="00990B14" w:rsidRDefault="00000000">
            <w:pPr>
              <w:numPr>
                <w:ilvl w:val="0"/>
                <w:numId w:val="139"/>
              </w:numPr>
              <w:spacing w:before="10" w:after="10"/>
              <w:jc w:val="both"/>
            </w:pPr>
            <w:r>
              <w:rPr>
                <w:sz w:val="18"/>
                <w:szCs w:val="18"/>
              </w:rPr>
              <w:t>Revisión de registros contables de una entidad.</w:t>
            </w:r>
          </w:p>
          <w:p w14:paraId="7E41125C" w14:textId="77777777" w:rsidR="00990B14" w:rsidRDefault="00000000">
            <w:pPr>
              <w:numPr>
                <w:ilvl w:val="0"/>
                <w:numId w:val="139"/>
              </w:numPr>
              <w:spacing w:before="10" w:after="10"/>
              <w:jc w:val="both"/>
            </w:pPr>
            <w:r>
              <w:rPr>
                <w:sz w:val="18"/>
                <w:szCs w:val="18"/>
              </w:rPr>
              <w:t>Comparación de planes de cuentas de distintos sectores.</w:t>
            </w:r>
          </w:p>
        </w:tc>
      </w:tr>
    </w:tbl>
    <w:p w14:paraId="06285D89"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885"/>
        <w:gridCol w:w="1870"/>
        <w:gridCol w:w="1866"/>
        <w:gridCol w:w="1910"/>
        <w:gridCol w:w="1874"/>
      </w:tblGrid>
      <w:tr w:rsidR="00990B14" w14:paraId="704CDE57" w14:textId="77777777">
        <w:trPr>
          <w:jc w:val="center"/>
        </w:trPr>
        <w:tc>
          <w:tcPr>
            <w:tcW w:w="1885" w:type="dxa"/>
            <w:shd w:val="clear" w:color="auto" w:fill="4472C4"/>
            <w:vAlign w:val="center"/>
          </w:tcPr>
          <w:p w14:paraId="55990093" w14:textId="77777777" w:rsidR="00990B14" w:rsidRDefault="00000000">
            <w:pPr>
              <w:spacing w:before="20" w:after="20"/>
              <w:jc w:val="center"/>
            </w:pPr>
            <w:r>
              <w:rPr>
                <w:b/>
                <w:bCs/>
                <w:i/>
                <w:iCs/>
                <w:color w:val="FFFFFF"/>
                <w:sz w:val="18"/>
                <w:szCs w:val="18"/>
              </w:rPr>
              <w:t xml:space="preserve">Estrategias de </w:t>
            </w:r>
            <w:r>
              <w:rPr>
                <w:b/>
                <w:bCs/>
                <w:i/>
                <w:iCs/>
                <w:color w:val="FFFFFF"/>
                <w:sz w:val="18"/>
                <w:szCs w:val="18"/>
              </w:rPr>
              <w:lastRenderedPageBreak/>
              <w:t>aprendizaje y enseñanza</w:t>
            </w:r>
          </w:p>
        </w:tc>
        <w:tc>
          <w:tcPr>
            <w:tcW w:w="7520" w:type="dxa"/>
            <w:gridSpan w:val="4"/>
            <w:shd w:val="clear" w:color="auto" w:fill="D9E2F3"/>
            <w:vAlign w:val="center"/>
          </w:tcPr>
          <w:p w14:paraId="69B7DCE5" w14:textId="77777777" w:rsidR="00990B14" w:rsidRDefault="00000000">
            <w:pPr>
              <w:numPr>
                <w:ilvl w:val="0"/>
                <w:numId w:val="140"/>
              </w:numPr>
              <w:spacing w:before="10" w:after="10"/>
              <w:jc w:val="both"/>
            </w:pPr>
            <w:r>
              <w:rPr>
                <w:sz w:val="18"/>
                <w:szCs w:val="18"/>
              </w:rPr>
              <w:lastRenderedPageBreak/>
              <w:t xml:space="preserve">Aprendizaje basado en problemas con transacciones de empresas </w:t>
            </w:r>
            <w:r>
              <w:rPr>
                <w:sz w:val="18"/>
                <w:szCs w:val="18"/>
              </w:rPr>
              <w:lastRenderedPageBreak/>
              <w:t>bolivianas.</w:t>
            </w:r>
          </w:p>
          <w:p w14:paraId="4DA220B2" w14:textId="77777777" w:rsidR="00990B14" w:rsidRDefault="00000000">
            <w:pPr>
              <w:numPr>
                <w:ilvl w:val="0"/>
                <w:numId w:val="140"/>
              </w:numPr>
              <w:spacing w:before="10" w:after="10"/>
              <w:jc w:val="both"/>
            </w:pPr>
            <w:r>
              <w:rPr>
                <w:sz w:val="18"/>
                <w:szCs w:val="18"/>
              </w:rPr>
              <w:t>Resolución guiada de ejercicios en orden de dificultad creciente.</w:t>
            </w:r>
          </w:p>
          <w:p w14:paraId="5FCD2EE5" w14:textId="77777777" w:rsidR="00990B14" w:rsidRDefault="00000000">
            <w:pPr>
              <w:numPr>
                <w:ilvl w:val="0"/>
                <w:numId w:val="140"/>
              </w:numPr>
              <w:spacing w:before="10" w:after="10"/>
              <w:jc w:val="both"/>
            </w:pPr>
            <w:r>
              <w:rPr>
                <w:sz w:val="18"/>
                <w:szCs w:val="18"/>
              </w:rPr>
              <w:t>Caso práctico integral que recorre todo el ciclo contable.</w:t>
            </w:r>
          </w:p>
          <w:p w14:paraId="5D8CE60D" w14:textId="77777777" w:rsidR="00990B14" w:rsidRDefault="00000000">
            <w:pPr>
              <w:numPr>
                <w:ilvl w:val="0"/>
                <w:numId w:val="140"/>
              </w:numPr>
              <w:spacing w:before="10" w:after="10"/>
              <w:jc w:val="both"/>
            </w:pPr>
            <w:r>
              <w:rPr>
                <w:sz w:val="18"/>
                <w:szCs w:val="18"/>
              </w:rPr>
              <w:t>Estudio de casos de estados financieros reales.</w:t>
            </w:r>
          </w:p>
          <w:p w14:paraId="016258EB" w14:textId="77777777" w:rsidR="00990B14" w:rsidRDefault="00000000">
            <w:pPr>
              <w:numPr>
                <w:ilvl w:val="0"/>
                <w:numId w:val="140"/>
              </w:numPr>
              <w:spacing w:before="10" w:after="10"/>
              <w:jc w:val="both"/>
            </w:pPr>
            <w:r>
              <w:rPr>
                <w:sz w:val="18"/>
                <w:szCs w:val="18"/>
              </w:rPr>
              <w:t>Trabajo colaborativo en equipos de registro y revisión.</w:t>
            </w:r>
          </w:p>
          <w:p w14:paraId="34F9DAD5" w14:textId="77777777" w:rsidR="00990B14" w:rsidRDefault="00000000">
            <w:pPr>
              <w:numPr>
                <w:ilvl w:val="0"/>
                <w:numId w:val="140"/>
              </w:numPr>
              <w:spacing w:before="10" w:after="10"/>
              <w:jc w:val="both"/>
            </w:pPr>
            <w:r>
              <w:rPr>
                <w:sz w:val="18"/>
                <w:szCs w:val="18"/>
              </w:rPr>
              <w:t>Clase invertida para los contenidos normativos.</w:t>
            </w:r>
          </w:p>
        </w:tc>
      </w:tr>
      <w:tr w:rsidR="00990B14" w14:paraId="7D5AD3C3" w14:textId="77777777">
        <w:trPr>
          <w:jc w:val="center"/>
        </w:trPr>
        <w:tc>
          <w:tcPr>
            <w:tcW w:w="1885" w:type="dxa"/>
            <w:shd w:val="clear" w:color="auto" w:fill="4472C4"/>
            <w:vAlign w:val="center"/>
          </w:tcPr>
          <w:p w14:paraId="4FFAA774" w14:textId="77777777" w:rsidR="00990B14" w:rsidRDefault="00000000">
            <w:pPr>
              <w:spacing w:before="20" w:after="20"/>
              <w:jc w:val="center"/>
            </w:pPr>
            <w:r>
              <w:rPr>
                <w:b/>
                <w:bCs/>
                <w:i/>
                <w:iCs/>
                <w:color w:val="FFFFFF"/>
                <w:sz w:val="18"/>
                <w:szCs w:val="18"/>
              </w:rPr>
              <w:lastRenderedPageBreak/>
              <w:t>Recursos para el aprendizaje</w:t>
            </w:r>
          </w:p>
        </w:tc>
        <w:tc>
          <w:tcPr>
            <w:tcW w:w="7520" w:type="dxa"/>
            <w:gridSpan w:val="4"/>
            <w:shd w:val="clear" w:color="auto" w:fill="D9E2F3"/>
            <w:vAlign w:val="center"/>
          </w:tcPr>
          <w:p w14:paraId="5DF6E854" w14:textId="77777777" w:rsidR="00990B14" w:rsidRDefault="00000000">
            <w:pPr>
              <w:numPr>
                <w:ilvl w:val="0"/>
                <w:numId w:val="140"/>
              </w:numPr>
              <w:spacing w:before="10" w:after="10"/>
              <w:jc w:val="both"/>
            </w:pPr>
            <w:r>
              <w:rPr>
                <w:sz w:val="18"/>
                <w:szCs w:val="18"/>
              </w:rPr>
              <w:t>Plataforma Moodle UMSA.</w:t>
            </w:r>
          </w:p>
          <w:p w14:paraId="643BBA87" w14:textId="77777777" w:rsidR="00990B14" w:rsidRDefault="00000000">
            <w:pPr>
              <w:numPr>
                <w:ilvl w:val="0"/>
                <w:numId w:val="140"/>
              </w:numPr>
              <w:spacing w:before="10" w:after="10"/>
              <w:jc w:val="both"/>
            </w:pPr>
            <w:r>
              <w:rPr>
                <w:sz w:val="18"/>
                <w:szCs w:val="18"/>
              </w:rPr>
              <w:t>Hoja de cálculo y sistemas contables de uso académico.</w:t>
            </w:r>
          </w:p>
          <w:p w14:paraId="626FA8FA" w14:textId="77777777" w:rsidR="00990B14" w:rsidRDefault="00000000">
            <w:pPr>
              <w:numPr>
                <w:ilvl w:val="0"/>
                <w:numId w:val="140"/>
              </w:numPr>
              <w:spacing w:before="10" w:after="10"/>
              <w:jc w:val="both"/>
            </w:pPr>
            <w:r>
              <w:rPr>
                <w:sz w:val="18"/>
                <w:szCs w:val="18"/>
              </w:rPr>
              <w:t>Formularios de registros de diario y mayor y hojas de trabajo.</w:t>
            </w:r>
          </w:p>
          <w:p w14:paraId="70B27A26" w14:textId="77777777" w:rsidR="00990B14" w:rsidRDefault="00000000">
            <w:pPr>
              <w:numPr>
                <w:ilvl w:val="0"/>
                <w:numId w:val="140"/>
              </w:numPr>
              <w:spacing w:before="10" w:after="10"/>
              <w:jc w:val="both"/>
            </w:pPr>
            <w:r>
              <w:rPr>
                <w:sz w:val="18"/>
                <w:szCs w:val="18"/>
              </w:rPr>
              <w:t>Compendio de Normas de Contabilidad y Auditoría del CAUB, Normas NIIF de Contabilidad, NIIF para las PYMES y Manual del Código Internacional de Ética para Contadores Profesionales.</w:t>
            </w:r>
          </w:p>
          <w:p w14:paraId="0A050343" w14:textId="77777777" w:rsidR="00990B14" w:rsidRDefault="00000000">
            <w:pPr>
              <w:numPr>
                <w:ilvl w:val="0"/>
                <w:numId w:val="140"/>
              </w:numPr>
              <w:spacing w:before="10" w:after="10"/>
              <w:jc w:val="both"/>
            </w:pPr>
            <w:r>
              <w:rPr>
                <w:sz w:val="18"/>
                <w:szCs w:val="18"/>
              </w:rPr>
              <w:t>Guías de ejercicios y casos elaborados por la cátedra.</w:t>
            </w:r>
          </w:p>
        </w:tc>
      </w:tr>
      <w:tr w:rsidR="00990B14" w14:paraId="6032CDCD" w14:textId="77777777">
        <w:trPr>
          <w:jc w:val="center"/>
        </w:trPr>
        <w:tc>
          <w:tcPr>
            <w:tcW w:w="1885" w:type="dxa"/>
            <w:shd w:val="clear" w:color="auto" w:fill="4472C4"/>
            <w:vAlign w:val="center"/>
          </w:tcPr>
          <w:p w14:paraId="207AE969" w14:textId="77777777" w:rsidR="00990B14" w:rsidRDefault="00000000">
            <w:pPr>
              <w:spacing w:before="20" w:after="20"/>
              <w:jc w:val="center"/>
            </w:pPr>
            <w:r>
              <w:rPr>
                <w:b/>
                <w:bCs/>
                <w:i/>
                <w:iCs/>
                <w:color w:val="FFFFFF"/>
                <w:sz w:val="18"/>
                <w:szCs w:val="18"/>
              </w:rPr>
              <w:t>Estrategias de evaluación</w:t>
            </w:r>
          </w:p>
        </w:tc>
        <w:tc>
          <w:tcPr>
            <w:tcW w:w="7520" w:type="dxa"/>
            <w:gridSpan w:val="4"/>
            <w:shd w:val="clear" w:color="auto" w:fill="D9E2F3"/>
            <w:vAlign w:val="center"/>
          </w:tcPr>
          <w:p w14:paraId="26592781" w14:textId="77777777" w:rsidR="00990B14" w:rsidRDefault="00000000">
            <w:pPr>
              <w:numPr>
                <w:ilvl w:val="0"/>
                <w:numId w:val="140"/>
              </w:numPr>
              <w:spacing w:before="10" w:after="10"/>
              <w:jc w:val="both"/>
            </w:pPr>
            <w:r>
              <w:rPr>
                <w:sz w:val="18"/>
                <w:szCs w:val="18"/>
              </w:rPr>
              <w:t>Evaluación diagnóstica: prueba inicial sobre nociones de empresa, comercio y operaciones aritméticas.</w:t>
            </w:r>
          </w:p>
          <w:p w14:paraId="454D48D8" w14:textId="77777777" w:rsidR="00990B14" w:rsidRDefault="00000000">
            <w:pPr>
              <w:numPr>
                <w:ilvl w:val="0"/>
                <w:numId w:val="140"/>
              </w:numPr>
              <w:spacing w:before="10" w:after="10"/>
              <w:jc w:val="both"/>
            </w:pPr>
            <w:r>
              <w:rPr>
                <w:sz w:val="18"/>
                <w:szCs w:val="18"/>
              </w:rPr>
              <w:t>Evaluación formativa: preguntas de comprensión y desarrollo de ejercicios prácticos en aula, con retroalimentación continua, autoevaluación y coevaluación.</w:t>
            </w:r>
          </w:p>
          <w:p w14:paraId="40F05D29" w14:textId="77777777" w:rsidR="00990B14" w:rsidRDefault="00000000">
            <w:pPr>
              <w:numPr>
                <w:ilvl w:val="0"/>
                <w:numId w:val="140"/>
              </w:numPr>
              <w:spacing w:before="10" w:after="10"/>
              <w:jc w:val="both"/>
            </w:pPr>
            <w:r>
              <w:rPr>
                <w:sz w:val="18"/>
                <w:szCs w:val="18"/>
              </w:rPr>
              <w:t>Evaluación sumativa: controles de lectura y asistencia, evaluación de casos prácticos, trabajos de investigación y desarrollo, exámenes parciales, portafolio de evidencias y examen final.</w:t>
            </w:r>
          </w:p>
        </w:tc>
      </w:tr>
      <w:tr w:rsidR="00990B14" w14:paraId="47948002" w14:textId="77777777">
        <w:trPr>
          <w:jc w:val="center"/>
        </w:trPr>
        <w:tc>
          <w:tcPr>
            <w:tcW w:w="1885" w:type="dxa"/>
            <w:shd w:val="clear" w:color="auto" w:fill="4472C4"/>
            <w:vAlign w:val="center"/>
          </w:tcPr>
          <w:p w14:paraId="180E1E7F" w14:textId="77777777" w:rsidR="00990B14" w:rsidRDefault="00000000">
            <w:pPr>
              <w:spacing w:before="20" w:after="20"/>
              <w:jc w:val="center"/>
            </w:pPr>
            <w:r>
              <w:rPr>
                <w:b/>
                <w:bCs/>
                <w:i/>
                <w:iCs/>
                <w:color w:val="FFFFFF"/>
                <w:sz w:val="18"/>
                <w:szCs w:val="18"/>
              </w:rPr>
              <w:t>Criterios de calificación</w:t>
            </w:r>
          </w:p>
        </w:tc>
        <w:tc>
          <w:tcPr>
            <w:tcW w:w="7520" w:type="dxa"/>
            <w:gridSpan w:val="4"/>
            <w:shd w:val="clear" w:color="auto" w:fill="D9E2F3"/>
            <w:vAlign w:val="center"/>
          </w:tcPr>
          <w:p w14:paraId="70B4ACA0" w14:textId="77777777" w:rsidR="00990B14" w:rsidRDefault="00000000">
            <w:pPr>
              <w:numPr>
                <w:ilvl w:val="0"/>
                <w:numId w:val="140"/>
              </w:numPr>
              <w:spacing w:before="10" w:after="10"/>
              <w:jc w:val="both"/>
            </w:pPr>
            <w:r>
              <w:rPr>
                <w:sz w:val="18"/>
                <w:szCs w:val="18"/>
              </w:rPr>
              <w:t>Nota mínima de aprobación: 51/100.</w:t>
            </w:r>
          </w:p>
          <w:p w14:paraId="5E4F62B2" w14:textId="77777777" w:rsidR="00990B14" w:rsidRDefault="00000000">
            <w:pPr>
              <w:numPr>
                <w:ilvl w:val="0"/>
                <w:numId w:val="140"/>
              </w:numPr>
              <w:spacing w:before="10" w:after="10"/>
              <w:jc w:val="both"/>
            </w:pPr>
            <w:r>
              <w:rPr>
                <w:sz w:val="18"/>
                <w:szCs w:val="18"/>
              </w:rPr>
              <w:t>Evaluación periódica al finalizar cada tema, basada en evidencias de conocimiento, desempeño y producto.</w:t>
            </w:r>
          </w:p>
          <w:p w14:paraId="268A2826" w14:textId="77777777" w:rsidR="00990B14" w:rsidRDefault="00000000">
            <w:pPr>
              <w:numPr>
                <w:ilvl w:val="0"/>
                <w:numId w:val="140"/>
              </w:numPr>
              <w:spacing w:before="10" w:after="10"/>
              <w:jc w:val="both"/>
            </w:pPr>
            <w:r>
              <w:rPr>
                <w:sz w:val="18"/>
                <w:szCs w:val="18"/>
              </w:rPr>
              <w:t>Cada evidencia de producto se evalúa con su propia rúbrica de tres niveles: Insuficiente, Suficiente y Destacado.</w:t>
            </w:r>
          </w:p>
          <w:p w14:paraId="1D32F959" w14:textId="77777777" w:rsidR="00990B14" w:rsidRDefault="00000000">
            <w:pPr>
              <w:numPr>
                <w:ilvl w:val="0"/>
                <w:numId w:val="140"/>
              </w:numPr>
              <w:spacing w:before="10" w:after="10"/>
              <w:jc w:val="both"/>
            </w:pPr>
            <w:r>
              <w:rPr>
                <w:sz w:val="18"/>
                <w:szCs w:val="18"/>
              </w:rPr>
              <w:t>La calificación de cada elemento de competencia suma las calificaciones de sus evidencias de producto.</w:t>
            </w:r>
          </w:p>
        </w:tc>
      </w:tr>
      <w:tr w:rsidR="00990B14" w14:paraId="63029499" w14:textId="77777777">
        <w:trPr>
          <w:cantSplit/>
          <w:jc w:val="center"/>
        </w:trPr>
        <w:tc>
          <w:tcPr>
            <w:tcW w:w="1885" w:type="dxa"/>
            <w:vMerge w:val="restart"/>
            <w:shd w:val="clear" w:color="auto" w:fill="4472C4"/>
            <w:vAlign w:val="center"/>
          </w:tcPr>
          <w:p w14:paraId="26FF9ACE" w14:textId="77777777" w:rsidR="00990B14" w:rsidRDefault="00000000">
            <w:pPr>
              <w:spacing w:before="20" w:after="20"/>
              <w:jc w:val="center"/>
            </w:pPr>
            <w:r>
              <w:rPr>
                <w:b/>
                <w:bCs/>
                <w:i/>
                <w:iCs/>
                <w:color w:val="FFFFFF"/>
                <w:sz w:val="18"/>
                <w:szCs w:val="18"/>
              </w:rPr>
              <w:t>Niveles de logro y distribución de la calificación</w:t>
            </w:r>
          </w:p>
        </w:tc>
        <w:tc>
          <w:tcPr>
            <w:tcW w:w="5646" w:type="dxa"/>
            <w:gridSpan w:val="3"/>
            <w:shd w:val="clear" w:color="auto" w:fill="D9E2F3"/>
            <w:vAlign w:val="center"/>
          </w:tcPr>
          <w:p w14:paraId="36E28EA7" w14:textId="77777777" w:rsidR="00990B14" w:rsidRDefault="00000000">
            <w:pPr>
              <w:keepNext/>
              <w:spacing w:before="20" w:after="20"/>
              <w:jc w:val="both"/>
            </w:pPr>
            <w:r>
              <w:rPr>
                <w:b/>
                <w:bCs/>
                <w:i/>
                <w:iCs/>
                <w:sz w:val="18"/>
                <w:szCs w:val="18"/>
              </w:rPr>
              <w:t xml:space="preserve">Producto 1: </w:t>
            </w:r>
            <w:r>
              <w:rPr>
                <w:sz w:val="18"/>
                <w:szCs w:val="18"/>
              </w:rPr>
              <w:t>Esquema de la normativa contable</w:t>
            </w:r>
          </w:p>
        </w:tc>
        <w:tc>
          <w:tcPr>
            <w:tcW w:w="1874" w:type="dxa"/>
            <w:shd w:val="clear" w:color="auto" w:fill="D9E2F3"/>
            <w:vAlign w:val="center"/>
          </w:tcPr>
          <w:p w14:paraId="2C8770E4" w14:textId="77777777" w:rsidR="00990B14" w:rsidRDefault="00000000">
            <w:pPr>
              <w:spacing w:before="20" w:after="20"/>
              <w:jc w:val="center"/>
            </w:pPr>
            <w:r>
              <w:rPr>
                <w:b/>
                <w:bCs/>
                <w:sz w:val="18"/>
                <w:szCs w:val="18"/>
              </w:rPr>
              <w:t>3%</w:t>
            </w:r>
          </w:p>
        </w:tc>
      </w:tr>
      <w:tr w:rsidR="00990B14" w14:paraId="6753AB0A" w14:textId="77777777">
        <w:trPr>
          <w:cantSplit/>
          <w:jc w:val="center"/>
        </w:trPr>
        <w:tc>
          <w:tcPr>
            <w:tcW w:w="1885" w:type="dxa"/>
            <w:vMerge/>
            <w:shd w:val="clear" w:color="auto" w:fill="4472C4"/>
            <w:vAlign w:val="center"/>
          </w:tcPr>
          <w:p w14:paraId="750B8D24" w14:textId="77777777" w:rsidR="00990B14" w:rsidRDefault="00990B14">
            <w:pPr>
              <w:spacing w:before="20" w:after="20"/>
            </w:pPr>
          </w:p>
        </w:tc>
        <w:tc>
          <w:tcPr>
            <w:tcW w:w="1870" w:type="dxa"/>
            <w:shd w:val="clear" w:color="auto" w:fill="4472C4"/>
            <w:vAlign w:val="center"/>
          </w:tcPr>
          <w:p w14:paraId="57329CEE" w14:textId="77777777" w:rsidR="00990B14" w:rsidRDefault="00000000">
            <w:pPr>
              <w:keepNext/>
              <w:spacing w:before="20" w:after="20"/>
              <w:jc w:val="center"/>
            </w:pPr>
            <w:r>
              <w:rPr>
                <w:b/>
                <w:bCs/>
                <w:i/>
                <w:iCs/>
                <w:color w:val="FFFFFF"/>
                <w:sz w:val="18"/>
                <w:szCs w:val="18"/>
              </w:rPr>
              <w:t>Criterio</w:t>
            </w:r>
          </w:p>
        </w:tc>
        <w:tc>
          <w:tcPr>
            <w:tcW w:w="1866" w:type="dxa"/>
            <w:shd w:val="clear" w:color="auto" w:fill="4472C4"/>
            <w:vAlign w:val="center"/>
          </w:tcPr>
          <w:p w14:paraId="4BBB443B"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6A35693E" w14:textId="77777777" w:rsidR="00990B14" w:rsidRDefault="00000000">
            <w:pPr>
              <w:keepNext/>
              <w:spacing w:before="20" w:after="20"/>
              <w:jc w:val="center"/>
            </w:pPr>
            <w:r>
              <w:rPr>
                <w:b/>
                <w:bCs/>
                <w:i/>
                <w:iCs/>
                <w:color w:val="FFFFFF"/>
                <w:sz w:val="18"/>
                <w:szCs w:val="18"/>
              </w:rPr>
              <w:t>Suficiente (51–80)</w:t>
            </w:r>
          </w:p>
        </w:tc>
        <w:tc>
          <w:tcPr>
            <w:tcW w:w="1874" w:type="dxa"/>
            <w:shd w:val="clear" w:color="auto" w:fill="4472C4"/>
            <w:vAlign w:val="center"/>
          </w:tcPr>
          <w:p w14:paraId="1E135940" w14:textId="77777777" w:rsidR="00990B14" w:rsidRDefault="00000000">
            <w:pPr>
              <w:keepNext/>
              <w:spacing w:before="20" w:after="20"/>
              <w:jc w:val="center"/>
            </w:pPr>
            <w:r>
              <w:rPr>
                <w:b/>
                <w:bCs/>
                <w:i/>
                <w:iCs/>
                <w:color w:val="FFFFFF"/>
                <w:sz w:val="18"/>
                <w:szCs w:val="18"/>
              </w:rPr>
              <w:t>Destacado (81–100)</w:t>
            </w:r>
          </w:p>
        </w:tc>
      </w:tr>
      <w:tr w:rsidR="00990B14" w14:paraId="01A9D87A" w14:textId="77777777">
        <w:trPr>
          <w:cantSplit/>
          <w:jc w:val="center"/>
        </w:trPr>
        <w:tc>
          <w:tcPr>
            <w:tcW w:w="1885" w:type="dxa"/>
            <w:vMerge/>
            <w:shd w:val="clear" w:color="auto" w:fill="4472C4"/>
            <w:vAlign w:val="center"/>
          </w:tcPr>
          <w:p w14:paraId="0FD580B8" w14:textId="77777777" w:rsidR="00990B14" w:rsidRDefault="00990B14">
            <w:pPr>
              <w:spacing w:before="20" w:after="20"/>
            </w:pPr>
          </w:p>
        </w:tc>
        <w:tc>
          <w:tcPr>
            <w:tcW w:w="1870" w:type="dxa"/>
            <w:shd w:val="clear" w:color="auto" w:fill="D9E2F3"/>
            <w:vAlign w:val="center"/>
          </w:tcPr>
          <w:p w14:paraId="0CB7BD68" w14:textId="77777777" w:rsidR="00990B14" w:rsidRDefault="00000000">
            <w:pPr>
              <w:spacing w:before="20" w:after="20"/>
              <w:jc w:val="both"/>
            </w:pPr>
            <w:r>
              <w:rPr>
                <w:sz w:val="18"/>
                <w:szCs w:val="18"/>
              </w:rPr>
              <w:t>Normas del sector privado</w:t>
            </w:r>
          </w:p>
        </w:tc>
        <w:tc>
          <w:tcPr>
            <w:tcW w:w="1866" w:type="dxa"/>
            <w:shd w:val="clear" w:color="auto" w:fill="D9E2F3"/>
            <w:vAlign w:val="center"/>
          </w:tcPr>
          <w:p w14:paraId="7FE9F8D9" w14:textId="77777777" w:rsidR="00990B14" w:rsidRDefault="00000000">
            <w:pPr>
              <w:spacing w:before="20" w:after="20"/>
              <w:jc w:val="both"/>
            </w:pPr>
            <w:r>
              <w:rPr>
                <w:sz w:val="18"/>
                <w:szCs w:val="18"/>
              </w:rPr>
              <w:t>Omite normas o las confunde.</w:t>
            </w:r>
          </w:p>
        </w:tc>
        <w:tc>
          <w:tcPr>
            <w:tcW w:w="1910" w:type="dxa"/>
            <w:shd w:val="clear" w:color="auto" w:fill="D9E2F3"/>
            <w:vAlign w:val="center"/>
          </w:tcPr>
          <w:p w14:paraId="4DFC9444" w14:textId="77777777" w:rsidR="00990B14" w:rsidRDefault="00000000">
            <w:pPr>
              <w:spacing w:before="20" w:after="20"/>
              <w:jc w:val="both"/>
            </w:pPr>
            <w:r>
              <w:rPr>
                <w:sz w:val="18"/>
                <w:szCs w:val="18"/>
              </w:rPr>
              <w:t>Identifica las normas nacionales, las Normas NIIF y la NIIF para las PYMES.</w:t>
            </w:r>
          </w:p>
        </w:tc>
        <w:tc>
          <w:tcPr>
            <w:tcW w:w="1874" w:type="dxa"/>
            <w:shd w:val="clear" w:color="auto" w:fill="D9E2F3"/>
            <w:vAlign w:val="center"/>
          </w:tcPr>
          <w:p w14:paraId="6DD0E338" w14:textId="77777777" w:rsidR="00990B14" w:rsidRDefault="00000000">
            <w:pPr>
              <w:spacing w:before="20" w:after="20"/>
              <w:jc w:val="both"/>
            </w:pPr>
            <w:r>
              <w:rPr>
                <w:sz w:val="18"/>
                <w:szCs w:val="18"/>
              </w:rPr>
              <w:t>Explica su aplicación supletoria en Bolivia.</w:t>
            </w:r>
          </w:p>
        </w:tc>
      </w:tr>
      <w:tr w:rsidR="00990B14" w14:paraId="3C328163" w14:textId="77777777">
        <w:trPr>
          <w:cantSplit/>
          <w:jc w:val="center"/>
        </w:trPr>
        <w:tc>
          <w:tcPr>
            <w:tcW w:w="1885" w:type="dxa"/>
            <w:vMerge/>
            <w:shd w:val="clear" w:color="auto" w:fill="4472C4"/>
            <w:vAlign w:val="center"/>
          </w:tcPr>
          <w:p w14:paraId="6BE280FB" w14:textId="77777777" w:rsidR="00990B14" w:rsidRDefault="00990B14">
            <w:pPr>
              <w:spacing w:before="20" w:after="20"/>
            </w:pPr>
          </w:p>
        </w:tc>
        <w:tc>
          <w:tcPr>
            <w:tcW w:w="1870" w:type="dxa"/>
            <w:shd w:val="clear" w:color="auto" w:fill="D9E2F3"/>
            <w:vAlign w:val="center"/>
          </w:tcPr>
          <w:p w14:paraId="6B7B1405" w14:textId="77777777" w:rsidR="00990B14" w:rsidRDefault="00000000">
            <w:pPr>
              <w:spacing w:before="20" w:after="20"/>
              <w:jc w:val="both"/>
            </w:pPr>
            <w:r>
              <w:rPr>
                <w:sz w:val="18"/>
                <w:szCs w:val="18"/>
              </w:rPr>
              <w:t>Normas del sector público</w:t>
            </w:r>
          </w:p>
        </w:tc>
        <w:tc>
          <w:tcPr>
            <w:tcW w:w="1866" w:type="dxa"/>
            <w:shd w:val="clear" w:color="auto" w:fill="D9E2F3"/>
            <w:vAlign w:val="center"/>
          </w:tcPr>
          <w:p w14:paraId="6BBBEC57" w14:textId="77777777" w:rsidR="00990B14" w:rsidRDefault="00000000">
            <w:pPr>
              <w:spacing w:before="20" w:after="20"/>
              <w:jc w:val="both"/>
            </w:pPr>
            <w:r>
              <w:rPr>
                <w:sz w:val="18"/>
                <w:szCs w:val="18"/>
              </w:rPr>
              <w:t>Omite las normas del sector público.</w:t>
            </w:r>
          </w:p>
        </w:tc>
        <w:tc>
          <w:tcPr>
            <w:tcW w:w="1910" w:type="dxa"/>
            <w:shd w:val="clear" w:color="auto" w:fill="D9E2F3"/>
            <w:vAlign w:val="center"/>
          </w:tcPr>
          <w:p w14:paraId="2366AE6F" w14:textId="77777777" w:rsidR="00990B14" w:rsidRDefault="00000000">
            <w:pPr>
              <w:spacing w:before="20" w:after="20"/>
              <w:jc w:val="both"/>
            </w:pPr>
            <w:r>
              <w:rPr>
                <w:sz w:val="18"/>
                <w:szCs w:val="18"/>
              </w:rPr>
              <w:t>Identifica las normas básicas de contabilidad gubernamental y las normas internacionales del sector público.</w:t>
            </w:r>
          </w:p>
        </w:tc>
        <w:tc>
          <w:tcPr>
            <w:tcW w:w="1874" w:type="dxa"/>
            <w:shd w:val="clear" w:color="auto" w:fill="D9E2F3"/>
            <w:vAlign w:val="center"/>
          </w:tcPr>
          <w:p w14:paraId="353E904C" w14:textId="77777777" w:rsidR="00990B14" w:rsidRDefault="00000000">
            <w:pPr>
              <w:spacing w:before="20" w:after="20"/>
              <w:jc w:val="both"/>
            </w:pPr>
            <w:r>
              <w:rPr>
                <w:sz w:val="18"/>
                <w:szCs w:val="18"/>
              </w:rPr>
              <w:t>Distingue su ámbito de aplicación.</w:t>
            </w:r>
          </w:p>
        </w:tc>
      </w:tr>
      <w:tr w:rsidR="00990B14" w14:paraId="58626F9B" w14:textId="77777777">
        <w:trPr>
          <w:cantSplit/>
          <w:jc w:val="center"/>
        </w:trPr>
        <w:tc>
          <w:tcPr>
            <w:tcW w:w="1885" w:type="dxa"/>
            <w:vMerge/>
            <w:shd w:val="clear" w:color="auto" w:fill="4472C4"/>
            <w:vAlign w:val="center"/>
          </w:tcPr>
          <w:p w14:paraId="789A7B44" w14:textId="77777777" w:rsidR="00990B14" w:rsidRDefault="00990B14">
            <w:pPr>
              <w:spacing w:before="20" w:after="20"/>
            </w:pPr>
          </w:p>
        </w:tc>
        <w:tc>
          <w:tcPr>
            <w:tcW w:w="1870" w:type="dxa"/>
            <w:shd w:val="clear" w:color="auto" w:fill="D9E2F3"/>
            <w:vAlign w:val="center"/>
          </w:tcPr>
          <w:p w14:paraId="5977EAC5" w14:textId="77777777" w:rsidR="00990B14" w:rsidRDefault="00000000">
            <w:pPr>
              <w:spacing w:before="20" w:after="20"/>
              <w:jc w:val="both"/>
            </w:pPr>
            <w:r>
              <w:rPr>
                <w:sz w:val="18"/>
                <w:szCs w:val="18"/>
              </w:rPr>
              <w:t>Organismos emisores</w:t>
            </w:r>
          </w:p>
        </w:tc>
        <w:tc>
          <w:tcPr>
            <w:tcW w:w="1866" w:type="dxa"/>
            <w:shd w:val="clear" w:color="auto" w:fill="D9E2F3"/>
            <w:vAlign w:val="center"/>
          </w:tcPr>
          <w:p w14:paraId="68766633" w14:textId="77777777" w:rsidR="00990B14" w:rsidRDefault="00000000">
            <w:pPr>
              <w:spacing w:before="20" w:after="20"/>
              <w:jc w:val="both"/>
            </w:pPr>
            <w:r>
              <w:rPr>
                <w:sz w:val="18"/>
                <w:szCs w:val="18"/>
              </w:rPr>
              <w:t>No relaciona normas con organismos.</w:t>
            </w:r>
          </w:p>
        </w:tc>
        <w:tc>
          <w:tcPr>
            <w:tcW w:w="1910" w:type="dxa"/>
            <w:shd w:val="clear" w:color="auto" w:fill="D9E2F3"/>
            <w:vAlign w:val="center"/>
          </w:tcPr>
          <w:p w14:paraId="213B9C2E" w14:textId="77777777" w:rsidR="00990B14" w:rsidRDefault="00000000">
            <w:pPr>
              <w:spacing w:before="20" w:after="20"/>
              <w:jc w:val="both"/>
            </w:pPr>
            <w:r>
              <w:rPr>
                <w:sz w:val="18"/>
                <w:szCs w:val="18"/>
              </w:rPr>
              <w:t>Asocia cada norma con su organismo emisor.</w:t>
            </w:r>
          </w:p>
        </w:tc>
        <w:tc>
          <w:tcPr>
            <w:tcW w:w="1874" w:type="dxa"/>
            <w:shd w:val="clear" w:color="auto" w:fill="D9E2F3"/>
            <w:vAlign w:val="center"/>
          </w:tcPr>
          <w:p w14:paraId="06E34889" w14:textId="77777777" w:rsidR="00990B14" w:rsidRDefault="00000000">
            <w:pPr>
              <w:spacing w:before="20" w:after="20"/>
              <w:jc w:val="both"/>
            </w:pPr>
            <w:r>
              <w:rPr>
                <w:sz w:val="18"/>
                <w:szCs w:val="18"/>
              </w:rPr>
              <w:t>Describe el papel del Consejo Técnico Nacional de Auditoría y Contabilidad.</w:t>
            </w:r>
          </w:p>
        </w:tc>
      </w:tr>
      <w:tr w:rsidR="00990B14" w14:paraId="13A07E05" w14:textId="77777777">
        <w:trPr>
          <w:cantSplit/>
          <w:jc w:val="center"/>
        </w:trPr>
        <w:tc>
          <w:tcPr>
            <w:tcW w:w="1885" w:type="dxa"/>
            <w:vMerge/>
            <w:shd w:val="clear" w:color="auto" w:fill="4472C4"/>
            <w:vAlign w:val="center"/>
          </w:tcPr>
          <w:p w14:paraId="53608438" w14:textId="77777777" w:rsidR="00990B14" w:rsidRDefault="00990B14">
            <w:pPr>
              <w:spacing w:before="20" w:after="20"/>
            </w:pPr>
          </w:p>
        </w:tc>
        <w:tc>
          <w:tcPr>
            <w:tcW w:w="5646" w:type="dxa"/>
            <w:gridSpan w:val="3"/>
            <w:shd w:val="clear" w:color="auto" w:fill="D9E2F3"/>
            <w:vAlign w:val="center"/>
          </w:tcPr>
          <w:p w14:paraId="38BD3C4D" w14:textId="77777777" w:rsidR="00990B14" w:rsidRDefault="00000000">
            <w:pPr>
              <w:keepNext/>
              <w:spacing w:before="20" w:after="20"/>
              <w:jc w:val="both"/>
            </w:pPr>
            <w:r>
              <w:rPr>
                <w:b/>
                <w:bCs/>
                <w:i/>
                <w:iCs/>
                <w:sz w:val="18"/>
                <w:szCs w:val="18"/>
              </w:rPr>
              <w:t xml:space="preserve">Producto 2: </w:t>
            </w:r>
            <w:r>
              <w:rPr>
                <w:sz w:val="18"/>
                <w:szCs w:val="18"/>
              </w:rPr>
              <w:t>Cuadro comparativo de contabilidad financiera y administrativa</w:t>
            </w:r>
          </w:p>
        </w:tc>
        <w:tc>
          <w:tcPr>
            <w:tcW w:w="1874" w:type="dxa"/>
            <w:shd w:val="clear" w:color="auto" w:fill="D9E2F3"/>
            <w:vAlign w:val="center"/>
          </w:tcPr>
          <w:p w14:paraId="4EBF1549" w14:textId="77777777" w:rsidR="00990B14" w:rsidRDefault="00000000">
            <w:pPr>
              <w:spacing w:before="20" w:after="20"/>
              <w:jc w:val="center"/>
            </w:pPr>
            <w:r>
              <w:rPr>
                <w:b/>
                <w:bCs/>
                <w:sz w:val="18"/>
                <w:szCs w:val="18"/>
              </w:rPr>
              <w:t>3%</w:t>
            </w:r>
          </w:p>
        </w:tc>
      </w:tr>
      <w:tr w:rsidR="00990B14" w14:paraId="3BB32AB1" w14:textId="77777777">
        <w:trPr>
          <w:cantSplit/>
          <w:jc w:val="center"/>
        </w:trPr>
        <w:tc>
          <w:tcPr>
            <w:tcW w:w="1885" w:type="dxa"/>
            <w:vMerge/>
            <w:shd w:val="clear" w:color="auto" w:fill="4472C4"/>
            <w:vAlign w:val="center"/>
          </w:tcPr>
          <w:p w14:paraId="0F0F39E5" w14:textId="77777777" w:rsidR="00990B14" w:rsidRDefault="00990B14">
            <w:pPr>
              <w:spacing w:before="20" w:after="20"/>
            </w:pPr>
          </w:p>
        </w:tc>
        <w:tc>
          <w:tcPr>
            <w:tcW w:w="1870" w:type="dxa"/>
            <w:shd w:val="clear" w:color="auto" w:fill="4472C4"/>
            <w:vAlign w:val="center"/>
          </w:tcPr>
          <w:p w14:paraId="562CC2E2" w14:textId="77777777" w:rsidR="00990B14" w:rsidRDefault="00000000">
            <w:pPr>
              <w:keepNext/>
              <w:spacing w:before="20" w:after="20"/>
              <w:jc w:val="center"/>
            </w:pPr>
            <w:r>
              <w:rPr>
                <w:b/>
                <w:bCs/>
                <w:i/>
                <w:iCs/>
                <w:color w:val="FFFFFF"/>
                <w:sz w:val="18"/>
                <w:szCs w:val="18"/>
              </w:rPr>
              <w:t>Criterio</w:t>
            </w:r>
          </w:p>
        </w:tc>
        <w:tc>
          <w:tcPr>
            <w:tcW w:w="1866" w:type="dxa"/>
            <w:shd w:val="clear" w:color="auto" w:fill="4472C4"/>
            <w:vAlign w:val="center"/>
          </w:tcPr>
          <w:p w14:paraId="0E3D36E4"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5D6F73B0" w14:textId="77777777" w:rsidR="00990B14" w:rsidRDefault="00000000">
            <w:pPr>
              <w:keepNext/>
              <w:spacing w:before="20" w:after="20"/>
              <w:jc w:val="center"/>
            </w:pPr>
            <w:r>
              <w:rPr>
                <w:b/>
                <w:bCs/>
                <w:i/>
                <w:iCs/>
                <w:color w:val="FFFFFF"/>
                <w:sz w:val="18"/>
                <w:szCs w:val="18"/>
              </w:rPr>
              <w:t>Suficiente (51–80)</w:t>
            </w:r>
          </w:p>
        </w:tc>
        <w:tc>
          <w:tcPr>
            <w:tcW w:w="1874" w:type="dxa"/>
            <w:shd w:val="clear" w:color="auto" w:fill="4472C4"/>
            <w:vAlign w:val="center"/>
          </w:tcPr>
          <w:p w14:paraId="17B5FCE2" w14:textId="77777777" w:rsidR="00990B14" w:rsidRDefault="00000000">
            <w:pPr>
              <w:keepNext/>
              <w:spacing w:before="20" w:after="20"/>
              <w:jc w:val="center"/>
            </w:pPr>
            <w:r>
              <w:rPr>
                <w:b/>
                <w:bCs/>
                <w:i/>
                <w:iCs/>
                <w:color w:val="FFFFFF"/>
                <w:sz w:val="18"/>
                <w:szCs w:val="18"/>
              </w:rPr>
              <w:t>Destacado (81–100)</w:t>
            </w:r>
          </w:p>
        </w:tc>
      </w:tr>
      <w:tr w:rsidR="00990B14" w14:paraId="796C9DBA" w14:textId="77777777">
        <w:trPr>
          <w:cantSplit/>
          <w:jc w:val="center"/>
        </w:trPr>
        <w:tc>
          <w:tcPr>
            <w:tcW w:w="1885" w:type="dxa"/>
            <w:vMerge/>
            <w:shd w:val="clear" w:color="auto" w:fill="4472C4"/>
            <w:vAlign w:val="center"/>
          </w:tcPr>
          <w:p w14:paraId="637991CE" w14:textId="77777777" w:rsidR="00990B14" w:rsidRDefault="00990B14">
            <w:pPr>
              <w:spacing w:before="20" w:after="20"/>
            </w:pPr>
          </w:p>
        </w:tc>
        <w:tc>
          <w:tcPr>
            <w:tcW w:w="1870" w:type="dxa"/>
            <w:shd w:val="clear" w:color="auto" w:fill="D9E2F3"/>
            <w:vAlign w:val="center"/>
          </w:tcPr>
          <w:p w14:paraId="49DB6CF1" w14:textId="77777777" w:rsidR="00990B14" w:rsidRDefault="00000000">
            <w:pPr>
              <w:spacing w:before="20" w:after="20"/>
              <w:jc w:val="both"/>
            </w:pPr>
            <w:r>
              <w:rPr>
                <w:sz w:val="18"/>
                <w:szCs w:val="18"/>
              </w:rPr>
              <w:t>Criterios de comparación</w:t>
            </w:r>
          </w:p>
        </w:tc>
        <w:tc>
          <w:tcPr>
            <w:tcW w:w="1866" w:type="dxa"/>
            <w:shd w:val="clear" w:color="auto" w:fill="D9E2F3"/>
            <w:vAlign w:val="center"/>
          </w:tcPr>
          <w:p w14:paraId="01EF42FB" w14:textId="77777777" w:rsidR="00990B14" w:rsidRDefault="00000000">
            <w:pPr>
              <w:spacing w:before="20" w:after="20"/>
              <w:jc w:val="both"/>
            </w:pPr>
            <w:r>
              <w:rPr>
                <w:sz w:val="18"/>
                <w:szCs w:val="18"/>
              </w:rPr>
              <w:t>Compara sin criterios definidos.</w:t>
            </w:r>
          </w:p>
        </w:tc>
        <w:tc>
          <w:tcPr>
            <w:tcW w:w="1910" w:type="dxa"/>
            <w:shd w:val="clear" w:color="auto" w:fill="D9E2F3"/>
            <w:vAlign w:val="center"/>
          </w:tcPr>
          <w:p w14:paraId="52E93A19" w14:textId="77777777" w:rsidR="00990B14" w:rsidRDefault="00000000">
            <w:pPr>
              <w:spacing w:before="20" w:after="20"/>
              <w:jc w:val="both"/>
            </w:pPr>
            <w:r>
              <w:rPr>
                <w:sz w:val="18"/>
                <w:szCs w:val="18"/>
              </w:rPr>
              <w:t>Compara usuarios, frecuencia, periodos y atributos de la información.</w:t>
            </w:r>
          </w:p>
        </w:tc>
        <w:tc>
          <w:tcPr>
            <w:tcW w:w="1874" w:type="dxa"/>
            <w:shd w:val="clear" w:color="auto" w:fill="D9E2F3"/>
            <w:vAlign w:val="center"/>
          </w:tcPr>
          <w:p w14:paraId="5866C3A6" w14:textId="77777777" w:rsidR="00990B14" w:rsidRDefault="00000000">
            <w:pPr>
              <w:spacing w:before="20" w:after="20"/>
              <w:jc w:val="both"/>
            </w:pPr>
            <w:r>
              <w:rPr>
                <w:sz w:val="18"/>
                <w:szCs w:val="18"/>
              </w:rPr>
              <w:t>Ilustra cada diferencia con un ejemplo.</w:t>
            </w:r>
          </w:p>
        </w:tc>
      </w:tr>
      <w:tr w:rsidR="00990B14" w14:paraId="74740D8B" w14:textId="77777777">
        <w:trPr>
          <w:cantSplit/>
          <w:jc w:val="center"/>
        </w:trPr>
        <w:tc>
          <w:tcPr>
            <w:tcW w:w="1885" w:type="dxa"/>
            <w:vMerge/>
            <w:shd w:val="clear" w:color="auto" w:fill="4472C4"/>
            <w:vAlign w:val="center"/>
          </w:tcPr>
          <w:p w14:paraId="56EBF463" w14:textId="77777777" w:rsidR="00990B14" w:rsidRDefault="00990B14">
            <w:pPr>
              <w:spacing w:before="20" w:after="20"/>
            </w:pPr>
          </w:p>
        </w:tc>
        <w:tc>
          <w:tcPr>
            <w:tcW w:w="1870" w:type="dxa"/>
            <w:shd w:val="clear" w:color="auto" w:fill="D9E2F3"/>
            <w:vAlign w:val="center"/>
          </w:tcPr>
          <w:p w14:paraId="350B51B5" w14:textId="77777777" w:rsidR="00990B14" w:rsidRDefault="00000000">
            <w:pPr>
              <w:spacing w:before="20" w:after="20"/>
              <w:jc w:val="both"/>
            </w:pPr>
            <w:r>
              <w:rPr>
                <w:sz w:val="18"/>
                <w:szCs w:val="18"/>
              </w:rPr>
              <w:t>Requisitos de la información</w:t>
            </w:r>
          </w:p>
        </w:tc>
        <w:tc>
          <w:tcPr>
            <w:tcW w:w="1866" w:type="dxa"/>
            <w:shd w:val="clear" w:color="auto" w:fill="D9E2F3"/>
            <w:vAlign w:val="center"/>
          </w:tcPr>
          <w:p w14:paraId="0E4A5B22" w14:textId="77777777" w:rsidR="00990B14" w:rsidRDefault="00000000">
            <w:pPr>
              <w:spacing w:before="20" w:after="20"/>
              <w:jc w:val="both"/>
            </w:pPr>
            <w:r>
              <w:rPr>
                <w:sz w:val="18"/>
                <w:szCs w:val="18"/>
              </w:rPr>
              <w:t>Omite requisitos.</w:t>
            </w:r>
          </w:p>
        </w:tc>
        <w:tc>
          <w:tcPr>
            <w:tcW w:w="1910" w:type="dxa"/>
            <w:shd w:val="clear" w:color="auto" w:fill="D9E2F3"/>
            <w:vAlign w:val="center"/>
          </w:tcPr>
          <w:p w14:paraId="5596DAAD" w14:textId="77777777" w:rsidR="00990B14" w:rsidRDefault="00000000">
            <w:pPr>
              <w:spacing w:before="20" w:after="20"/>
              <w:jc w:val="both"/>
            </w:pPr>
            <w:r>
              <w:rPr>
                <w:sz w:val="18"/>
                <w:szCs w:val="18"/>
              </w:rPr>
              <w:t>Describe los requisitos de la información administrativa.</w:t>
            </w:r>
          </w:p>
        </w:tc>
        <w:tc>
          <w:tcPr>
            <w:tcW w:w="1874" w:type="dxa"/>
            <w:shd w:val="clear" w:color="auto" w:fill="D9E2F3"/>
            <w:vAlign w:val="center"/>
          </w:tcPr>
          <w:p w14:paraId="175008F3" w14:textId="77777777" w:rsidR="00990B14" w:rsidRDefault="00000000">
            <w:pPr>
              <w:spacing w:before="20" w:after="20"/>
              <w:jc w:val="both"/>
            </w:pPr>
            <w:r>
              <w:rPr>
                <w:sz w:val="18"/>
                <w:szCs w:val="18"/>
              </w:rPr>
              <w:t>Relaciona los requisitos con las decisiones.</w:t>
            </w:r>
          </w:p>
        </w:tc>
      </w:tr>
      <w:tr w:rsidR="00990B14" w14:paraId="26C926E6" w14:textId="77777777">
        <w:trPr>
          <w:cantSplit/>
          <w:jc w:val="center"/>
        </w:trPr>
        <w:tc>
          <w:tcPr>
            <w:tcW w:w="1885" w:type="dxa"/>
            <w:vMerge/>
            <w:shd w:val="clear" w:color="auto" w:fill="4472C4"/>
            <w:vAlign w:val="center"/>
          </w:tcPr>
          <w:p w14:paraId="23388156" w14:textId="77777777" w:rsidR="00990B14" w:rsidRDefault="00990B14">
            <w:pPr>
              <w:spacing w:before="20" w:after="20"/>
            </w:pPr>
          </w:p>
        </w:tc>
        <w:tc>
          <w:tcPr>
            <w:tcW w:w="1870" w:type="dxa"/>
            <w:shd w:val="clear" w:color="auto" w:fill="D9E2F3"/>
            <w:vAlign w:val="center"/>
          </w:tcPr>
          <w:p w14:paraId="49C69330" w14:textId="77777777" w:rsidR="00990B14" w:rsidRDefault="00000000">
            <w:pPr>
              <w:spacing w:before="20" w:after="20"/>
              <w:jc w:val="both"/>
            </w:pPr>
            <w:r>
              <w:rPr>
                <w:sz w:val="18"/>
                <w:szCs w:val="18"/>
              </w:rPr>
              <w:t>Presentación</w:t>
            </w:r>
          </w:p>
        </w:tc>
        <w:tc>
          <w:tcPr>
            <w:tcW w:w="1866" w:type="dxa"/>
            <w:shd w:val="clear" w:color="auto" w:fill="D9E2F3"/>
            <w:vAlign w:val="center"/>
          </w:tcPr>
          <w:p w14:paraId="62097532" w14:textId="77777777" w:rsidR="00990B14" w:rsidRDefault="00000000">
            <w:pPr>
              <w:spacing w:before="20" w:after="20"/>
              <w:jc w:val="both"/>
            </w:pPr>
            <w:r>
              <w:rPr>
                <w:sz w:val="18"/>
                <w:szCs w:val="18"/>
              </w:rPr>
              <w:t>El cuadro es desordenado.</w:t>
            </w:r>
          </w:p>
        </w:tc>
        <w:tc>
          <w:tcPr>
            <w:tcW w:w="1910" w:type="dxa"/>
            <w:shd w:val="clear" w:color="auto" w:fill="D9E2F3"/>
            <w:vAlign w:val="center"/>
          </w:tcPr>
          <w:p w14:paraId="1FE1FA6C" w14:textId="77777777" w:rsidR="00990B14" w:rsidRDefault="00000000">
            <w:pPr>
              <w:spacing w:before="20" w:after="20"/>
              <w:jc w:val="both"/>
            </w:pPr>
            <w:r>
              <w:rPr>
                <w:sz w:val="18"/>
                <w:szCs w:val="18"/>
              </w:rPr>
              <w:t>El cuadro es claro y completo.</w:t>
            </w:r>
          </w:p>
        </w:tc>
        <w:tc>
          <w:tcPr>
            <w:tcW w:w="1874" w:type="dxa"/>
            <w:shd w:val="clear" w:color="auto" w:fill="D9E2F3"/>
            <w:vAlign w:val="center"/>
          </w:tcPr>
          <w:p w14:paraId="3B50D35B" w14:textId="77777777" w:rsidR="00990B14" w:rsidRDefault="00000000">
            <w:pPr>
              <w:spacing w:before="20" w:after="20"/>
              <w:jc w:val="both"/>
            </w:pPr>
            <w:r>
              <w:rPr>
                <w:sz w:val="18"/>
                <w:szCs w:val="18"/>
              </w:rPr>
              <w:t>El cuadro es útil como material de estudio.</w:t>
            </w:r>
          </w:p>
        </w:tc>
      </w:tr>
      <w:tr w:rsidR="00990B14" w14:paraId="40DDCE3B" w14:textId="77777777">
        <w:trPr>
          <w:cantSplit/>
          <w:jc w:val="center"/>
        </w:trPr>
        <w:tc>
          <w:tcPr>
            <w:tcW w:w="1885" w:type="dxa"/>
            <w:vMerge/>
            <w:shd w:val="clear" w:color="auto" w:fill="4472C4"/>
            <w:vAlign w:val="center"/>
          </w:tcPr>
          <w:p w14:paraId="0DE5FB0F" w14:textId="77777777" w:rsidR="00990B14" w:rsidRDefault="00990B14">
            <w:pPr>
              <w:spacing w:before="20" w:after="20"/>
            </w:pPr>
          </w:p>
        </w:tc>
        <w:tc>
          <w:tcPr>
            <w:tcW w:w="5646" w:type="dxa"/>
            <w:gridSpan w:val="3"/>
            <w:shd w:val="clear" w:color="auto" w:fill="D9E2F3"/>
            <w:vAlign w:val="center"/>
          </w:tcPr>
          <w:p w14:paraId="4ADD1616" w14:textId="77777777" w:rsidR="00990B14" w:rsidRDefault="00000000">
            <w:pPr>
              <w:keepNext/>
              <w:spacing w:before="20" w:after="20"/>
              <w:jc w:val="both"/>
            </w:pPr>
            <w:r>
              <w:rPr>
                <w:b/>
                <w:bCs/>
                <w:i/>
                <w:iCs/>
                <w:sz w:val="18"/>
                <w:szCs w:val="18"/>
              </w:rPr>
              <w:t xml:space="preserve">Producto 3: </w:t>
            </w:r>
            <w:r>
              <w:rPr>
                <w:sz w:val="18"/>
                <w:szCs w:val="18"/>
              </w:rPr>
              <w:t>Matriz de ecuaciones contables</w:t>
            </w:r>
          </w:p>
        </w:tc>
        <w:tc>
          <w:tcPr>
            <w:tcW w:w="1874" w:type="dxa"/>
            <w:shd w:val="clear" w:color="auto" w:fill="D9E2F3"/>
            <w:vAlign w:val="center"/>
          </w:tcPr>
          <w:p w14:paraId="1EA52735" w14:textId="77777777" w:rsidR="00990B14" w:rsidRDefault="00000000">
            <w:pPr>
              <w:spacing w:before="20" w:after="20"/>
              <w:jc w:val="center"/>
            </w:pPr>
            <w:r>
              <w:rPr>
                <w:b/>
                <w:bCs/>
                <w:sz w:val="18"/>
                <w:szCs w:val="18"/>
              </w:rPr>
              <w:t>2%</w:t>
            </w:r>
          </w:p>
        </w:tc>
      </w:tr>
      <w:tr w:rsidR="00990B14" w14:paraId="0CCC3E6C" w14:textId="77777777">
        <w:trPr>
          <w:cantSplit/>
          <w:jc w:val="center"/>
        </w:trPr>
        <w:tc>
          <w:tcPr>
            <w:tcW w:w="1885" w:type="dxa"/>
            <w:vMerge/>
            <w:shd w:val="clear" w:color="auto" w:fill="4472C4"/>
            <w:vAlign w:val="center"/>
          </w:tcPr>
          <w:p w14:paraId="183D8D32" w14:textId="77777777" w:rsidR="00990B14" w:rsidRDefault="00990B14">
            <w:pPr>
              <w:spacing w:before="20" w:after="20"/>
            </w:pPr>
          </w:p>
        </w:tc>
        <w:tc>
          <w:tcPr>
            <w:tcW w:w="1870" w:type="dxa"/>
            <w:shd w:val="clear" w:color="auto" w:fill="4472C4"/>
            <w:vAlign w:val="center"/>
          </w:tcPr>
          <w:p w14:paraId="0C5E6FE3" w14:textId="77777777" w:rsidR="00990B14" w:rsidRDefault="00000000">
            <w:pPr>
              <w:keepNext/>
              <w:spacing w:before="20" w:after="20"/>
              <w:jc w:val="center"/>
            </w:pPr>
            <w:r>
              <w:rPr>
                <w:b/>
                <w:bCs/>
                <w:i/>
                <w:iCs/>
                <w:color w:val="FFFFFF"/>
                <w:sz w:val="18"/>
                <w:szCs w:val="18"/>
              </w:rPr>
              <w:t>Criterio</w:t>
            </w:r>
          </w:p>
        </w:tc>
        <w:tc>
          <w:tcPr>
            <w:tcW w:w="1866" w:type="dxa"/>
            <w:shd w:val="clear" w:color="auto" w:fill="4472C4"/>
            <w:vAlign w:val="center"/>
          </w:tcPr>
          <w:p w14:paraId="1DF71E33"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2C4E4FFD" w14:textId="77777777" w:rsidR="00990B14" w:rsidRDefault="00000000">
            <w:pPr>
              <w:keepNext/>
              <w:spacing w:before="20" w:after="20"/>
              <w:jc w:val="center"/>
            </w:pPr>
            <w:r>
              <w:rPr>
                <w:b/>
                <w:bCs/>
                <w:i/>
                <w:iCs/>
                <w:color w:val="FFFFFF"/>
                <w:sz w:val="18"/>
                <w:szCs w:val="18"/>
              </w:rPr>
              <w:t>Suficiente (51–80)</w:t>
            </w:r>
          </w:p>
        </w:tc>
        <w:tc>
          <w:tcPr>
            <w:tcW w:w="1874" w:type="dxa"/>
            <w:shd w:val="clear" w:color="auto" w:fill="4472C4"/>
            <w:vAlign w:val="center"/>
          </w:tcPr>
          <w:p w14:paraId="535F5EFF" w14:textId="77777777" w:rsidR="00990B14" w:rsidRDefault="00000000">
            <w:pPr>
              <w:keepNext/>
              <w:spacing w:before="20" w:after="20"/>
              <w:jc w:val="center"/>
            </w:pPr>
            <w:r>
              <w:rPr>
                <w:b/>
                <w:bCs/>
                <w:i/>
                <w:iCs/>
                <w:color w:val="FFFFFF"/>
                <w:sz w:val="18"/>
                <w:szCs w:val="18"/>
              </w:rPr>
              <w:t>Destacado (81–100)</w:t>
            </w:r>
          </w:p>
        </w:tc>
      </w:tr>
      <w:tr w:rsidR="00990B14" w14:paraId="54010A88" w14:textId="77777777">
        <w:trPr>
          <w:cantSplit/>
          <w:jc w:val="center"/>
        </w:trPr>
        <w:tc>
          <w:tcPr>
            <w:tcW w:w="1885" w:type="dxa"/>
            <w:vMerge/>
            <w:shd w:val="clear" w:color="auto" w:fill="4472C4"/>
            <w:vAlign w:val="center"/>
          </w:tcPr>
          <w:p w14:paraId="12836A49" w14:textId="77777777" w:rsidR="00990B14" w:rsidRDefault="00990B14">
            <w:pPr>
              <w:spacing w:before="20" w:after="20"/>
            </w:pPr>
          </w:p>
        </w:tc>
        <w:tc>
          <w:tcPr>
            <w:tcW w:w="1870" w:type="dxa"/>
            <w:shd w:val="clear" w:color="auto" w:fill="D9E2F3"/>
            <w:vAlign w:val="center"/>
          </w:tcPr>
          <w:p w14:paraId="56913D12" w14:textId="77777777" w:rsidR="00990B14" w:rsidRDefault="00000000">
            <w:pPr>
              <w:spacing w:before="20" w:after="20"/>
              <w:jc w:val="both"/>
            </w:pPr>
            <w:r>
              <w:rPr>
                <w:sz w:val="18"/>
                <w:szCs w:val="18"/>
              </w:rPr>
              <w:t>Ecuación de balance</w:t>
            </w:r>
          </w:p>
        </w:tc>
        <w:tc>
          <w:tcPr>
            <w:tcW w:w="1866" w:type="dxa"/>
            <w:shd w:val="clear" w:color="auto" w:fill="D9E2F3"/>
            <w:vAlign w:val="center"/>
          </w:tcPr>
          <w:p w14:paraId="1CE0D17B" w14:textId="77777777" w:rsidR="00990B14" w:rsidRDefault="00000000">
            <w:pPr>
              <w:spacing w:before="20" w:after="20"/>
              <w:jc w:val="both"/>
            </w:pPr>
            <w:r>
              <w:rPr>
                <w:sz w:val="18"/>
                <w:szCs w:val="18"/>
              </w:rPr>
              <w:t>La ecuación no cuadra.</w:t>
            </w:r>
          </w:p>
        </w:tc>
        <w:tc>
          <w:tcPr>
            <w:tcW w:w="1910" w:type="dxa"/>
            <w:shd w:val="clear" w:color="auto" w:fill="D9E2F3"/>
            <w:vAlign w:val="center"/>
          </w:tcPr>
          <w:p w14:paraId="77D10B69" w14:textId="77777777" w:rsidR="00990B14" w:rsidRDefault="00000000">
            <w:pPr>
              <w:spacing w:before="20" w:after="20"/>
              <w:jc w:val="both"/>
            </w:pPr>
            <w:r>
              <w:rPr>
                <w:sz w:val="18"/>
                <w:szCs w:val="18"/>
              </w:rPr>
              <w:t>Mantiene el equilibrio de la ecuación de balance tras cada transacción.</w:t>
            </w:r>
          </w:p>
        </w:tc>
        <w:tc>
          <w:tcPr>
            <w:tcW w:w="1874" w:type="dxa"/>
            <w:shd w:val="clear" w:color="auto" w:fill="D9E2F3"/>
            <w:vAlign w:val="center"/>
          </w:tcPr>
          <w:p w14:paraId="29AFB009" w14:textId="77777777" w:rsidR="00990B14" w:rsidRDefault="00000000">
            <w:pPr>
              <w:spacing w:before="20" w:after="20"/>
              <w:jc w:val="both"/>
            </w:pPr>
            <w:r>
              <w:rPr>
                <w:sz w:val="18"/>
                <w:szCs w:val="18"/>
              </w:rPr>
              <w:t>Demuestra las ecuaciones derivadas del pasivo y del patrimonio.</w:t>
            </w:r>
          </w:p>
        </w:tc>
      </w:tr>
      <w:tr w:rsidR="00990B14" w14:paraId="276C0352" w14:textId="77777777">
        <w:trPr>
          <w:cantSplit/>
          <w:jc w:val="center"/>
        </w:trPr>
        <w:tc>
          <w:tcPr>
            <w:tcW w:w="1885" w:type="dxa"/>
            <w:vMerge/>
            <w:shd w:val="clear" w:color="auto" w:fill="4472C4"/>
            <w:vAlign w:val="center"/>
          </w:tcPr>
          <w:p w14:paraId="46FDE543" w14:textId="77777777" w:rsidR="00990B14" w:rsidRDefault="00990B14">
            <w:pPr>
              <w:spacing w:before="20" w:after="20"/>
            </w:pPr>
          </w:p>
        </w:tc>
        <w:tc>
          <w:tcPr>
            <w:tcW w:w="1870" w:type="dxa"/>
            <w:shd w:val="clear" w:color="auto" w:fill="D9E2F3"/>
            <w:vAlign w:val="center"/>
          </w:tcPr>
          <w:p w14:paraId="15511DB9" w14:textId="77777777" w:rsidR="00990B14" w:rsidRDefault="00000000">
            <w:pPr>
              <w:spacing w:before="20" w:after="20"/>
              <w:jc w:val="both"/>
            </w:pPr>
            <w:r>
              <w:rPr>
                <w:sz w:val="18"/>
                <w:szCs w:val="18"/>
              </w:rPr>
              <w:t>Ecuación de resultados</w:t>
            </w:r>
          </w:p>
        </w:tc>
        <w:tc>
          <w:tcPr>
            <w:tcW w:w="1866" w:type="dxa"/>
            <w:shd w:val="clear" w:color="auto" w:fill="D9E2F3"/>
            <w:vAlign w:val="center"/>
          </w:tcPr>
          <w:p w14:paraId="63EE08A3" w14:textId="77777777" w:rsidR="00990B14" w:rsidRDefault="00000000">
            <w:pPr>
              <w:spacing w:before="20" w:after="20"/>
              <w:jc w:val="both"/>
            </w:pPr>
            <w:r>
              <w:rPr>
                <w:sz w:val="18"/>
                <w:szCs w:val="18"/>
              </w:rPr>
              <w:t>Confunde ingresos con aportes.</w:t>
            </w:r>
          </w:p>
        </w:tc>
        <w:tc>
          <w:tcPr>
            <w:tcW w:w="1910" w:type="dxa"/>
            <w:shd w:val="clear" w:color="auto" w:fill="D9E2F3"/>
            <w:vAlign w:val="center"/>
          </w:tcPr>
          <w:p w14:paraId="3DCE4B87" w14:textId="77777777" w:rsidR="00990B14" w:rsidRDefault="00000000">
            <w:pPr>
              <w:spacing w:before="20" w:after="20"/>
              <w:jc w:val="both"/>
            </w:pPr>
            <w:r>
              <w:rPr>
                <w:sz w:val="18"/>
                <w:szCs w:val="18"/>
              </w:rPr>
              <w:t>Determina la utilidad o la pérdida con la ecuación de resultados.</w:t>
            </w:r>
          </w:p>
        </w:tc>
        <w:tc>
          <w:tcPr>
            <w:tcW w:w="1874" w:type="dxa"/>
            <w:shd w:val="clear" w:color="auto" w:fill="D9E2F3"/>
            <w:vAlign w:val="center"/>
          </w:tcPr>
          <w:p w14:paraId="2E344C9E" w14:textId="77777777" w:rsidR="00990B14" w:rsidRDefault="00000000">
            <w:pPr>
              <w:spacing w:before="20" w:after="20"/>
              <w:jc w:val="both"/>
            </w:pPr>
            <w:r>
              <w:rPr>
                <w:sz w:val="18"/>
                <w:szCs w:val="18"/>
              </w:rPr>
              <w:t>Explica el efecto del resultado en el patrimonio.</w:t>
            </w:r>
          </w:p>
        </w:tc>
      </w:tr>
      <w:tr w:rsidR="00990B14" w14:paraId="7F79A31B" w14:textId="77777777">
        <w:trPr>
          <w:cantSplit/>
          <w:jc w:val="center"/>
        </w:trPr>
        <w:tc>
          <w:tcPr>
            <w:tcW w:w="1885" w:type="dxa"/>
            <w:vMerge/>
            <w:shd w:val="clear" w:color="auto" w:fill="4472C4"/>
            <w:vAlign w:val="center"/>
          </w:tcPr>
          <w:p w14:paraId="75C823EC" w14:textId="77777777" w:rsidR="00990B14" w:rsidRDefault="00990B14">
            <w:pPr>
              <w:spacing w:before="20" w:after="20"/>
            </w:pPr>
          </w:p>
        </w:tc>
        <w:tc>
          <w:tcPr>
            <w:tcW w:w="1870" w:type="dxa"/>
            <w:shd w:val="clear" w:color="auto" w:fill="D9E2F3"/>
            <w:vAlign w:val="center"/>
          </w:tcPr>
          <w:p w14:paraId="1A170B59" w14:textId="77777777" w:rsidR="00990B14" w:rsidRDefault="00000000">
            <w:pPr>
              <w:spacing w:before="20" w:after="20"/>
              <w:jc w:val="both"/>
            </w:pPr>
            <w:r>
              <w:rPr>
                <w:sz w:val="18"/>
                <w:szCs w:val="18"/>
              </w:rPr>
              <w:t>Clasificación de transacciones</w:t>
            </w:r>
          </w:p>
        </w:tc>
        <w:tc>
          <w:tcPr>
            <w:tcW w:w="1866" w:type="dxa"/>
            <w:shd w:val="clear" w:color="auto" w:fill="D9E2F3"/>
            <w:vAlign w:val="center"/>
          </w:tcPr>
          <w:p w14:paraId="011B1D7E" w14:textId="77777777" w:rsidR="00990B14" w:rsidRDefault="00000000">
            <w:pPr>
              <w:spacing w:before="20" w:after="20"/>
              <w:jc w:val="both"/>
            </w:pPr>
            <w:r>
              <w:rPr>
                <w:sz w:val="18"/>
                <w:szCs w:val="18"/>
              </w:rPr>
              <w:t>Clasifica con errores.</w:t>
            </w:r>
          </w:p>
        </w:tc>
        <w:tc>
          <w:tcPr>
            <w:tcW w:w="1910" w:type="dxa"/>
            <w:shd w:val="clear" w:color="auto" w:fill="D9E2F3"/>
            <w:vAlign w:val="center"/>
          </w:tcPr>
          <w:p w14:paraId="08471B2E" w14:textId="77777777" w:rsidR="00990B14" w:rsidRDefault="00000000">
            <w:pPr>
              <w:spacing w:before="20" w:after="20"/>
              <w:jc w:val="both"/>
            </w:pPr>
            <w:r>
              <w:rPr>
                <w:sz w:val="18"/>
                <w:szCs w:val="18"/>
              </w:rPr>
              <w:t>Clasifica las transacciones en permutativas, modificativas y mixtas.</w:t>
            </w:r>
          </w:p>
        </w:tc>
        <w:tc>
          <w:tcPr>
            <w:tcW w:w="1874" w:type="dxa"/>
            <w:shd w:val="clear" w:color="auto" w:fill="D9E2F3"/>
            <w:vAlign w:val="center"/>
          </w:tcPr>
          <w:p w14:paraId="2AEA743A" w14:textId="77777777" w:rsidR="00990B14" w:rsidRDefault="00000000">
            <w:pPr>
              <w:spacing w:before="20" w:after="20"/>
              <w:jc w:val="both"/>
            </w:pPr>
            <w:r>
              <w:rPr>
                <w:sz w:val="18"/>
                <w:szCs w:val="18"/>
              </w:rPr>
              <w:t>Distingue sus clases favorables y desfavorables.</w:t>
            </w:r>
          </w:p>
        </w:tc>
      </w:tr>
      <w:tr w:rsidR="00990B14" w14:paraId="6323D815" w14:textId="77777777">
        <w:trPr>
          <w:cantSplit/>
          <w:jc w:val="center"/>
        </w:trPr>
        <w:tc>
          <w:tcPr>
            <w:tcW w:w="1885" w:type="dxa"/>
            <w:vMerge/>
            <w:shd w:val="clear" w:color="auto" w:fill="4472C4"/>
            <w:vAlign w:val="center"/>
          </w:tcPr>
          <w:p w14:paraId="787336AF" w14:textId="77777777" w:rsidR="00990B14" w:rsidRDefault="00990B14">
            <w:pPr>
              <w:spacing w:before="20" w:after="20"/>
            </w:pPr>
          </w:p>
        </w:tc>
        <w:tc>
          <w:tcPr>
            <w:tcW w:w="5646" w:type="dxa"/>
            <w:gridSpan w:val="3"/>
            <w:shd w:val="clear" w:color="auto" w:fill="D9E2F3"/>
            <w:vAlign w:val="center"/>
          </w:tcPr>
          <w:p w14:paraId="7705C125" w14:textId="77777777" w:rsidR="00990B14" w:rsidRDefault="00000000">
            <w:pPr>
              <w:keepNext/>
              <w:spacing w:before="20" w:after="20"/>
              <w:jc w:val="both"/>
            </w:pPr>
            <w:r>
              <w:rPr>
                <w:b/>
                <w:bCs/>
                <w:i/>
                <w:iCs/>
                <w:sz w:val="18"/>
                <w:szCs w:val="18"/>
              </w:rPr>
              <w:t xml:space="preserve">Producto 4: </w:t>
            </w:r>
            <w:r>
              <w:rPr>
                <w:sz w:val="18"/>
                <w:szCs w:val="18"/>
              </w:rPr>
              <w:t>Esquema de clasificación de empresas</w:t>
            </w:r>
          </w:p>
        </w:tc>
        <w:tc>
          <w:tcPr>
            <w:tcW w:w="1874" w:type="dxa"/>
            <w:shd w:val="clear" w:color="auto" w:fill="D9E2F3"/>
            <w:vAlign w:val="center"/>
          </w:tcPr>
          <w:p w14:paraId="32CFA619" w14:textId="77777777" w:rsidR="00990B14" w:rsidRDefault="00000000">
            <w:pPr>
              <w:spacing w:before="20" w:after="20"/>
              <w:jc w:val="center"/>
            </w:pPr>
            <w:r>
              <w:rPr>
                <w:b/>
                <w:bCs/>
                <w:sz w:val="18"/>
                <w:szCs w:val="18"/>
              </w:rPr>
              <w:t>2%</w:t>
            </w:r>
          </w:p>
        </w:tc>
      </w:tr>
      <w:tr w:rsidR="00990B14" w14:paraId="5FD006E9" w14:textId="77777777">
        <w:trPr>
          <w:cantSplit/>
          <w:jc w:val="center"/>
        </w:trPr>
        <w:tc>
          <w:tcPr>
            <w:tcW w:w="1885" w:type="dxa"/>
            <w:vMerge/>
            <w:shd w:val="clear" w:color="auto" w:fill="4472C4"/>
            <w:vAlign w:val="center"/>
          </w:tcPr>
          <w:p w14:paraId="71259703" w14:textId="77777777" w:rsidR="00990B14" w:rsidRDefault="00990B14">
            <w:pPr>
              <w:spacing w:before="20" w:after="20"/>
            </w:pPr>
          </w:p>
        </w:tc>
        <w:tc>
          <w:tcPr>
            <w:tcW w:w="1870" w:type="dxa"/>
            <w:shd w:val="clear" w:color="auto" w:fill="4472C4"/>
            <w:vAlign w:val="center"/>
          </w:tcPr>
          <w:p w14:paraId="4A1F31D2" w14:textId="77777777" w:rsidR="00990B14" w:rsidRDefault="00000000">
            <w:pPr>
              <w:keepNext/>
              <w:spacing w:before="20" w:after="20"/>
              <w:jc w:val="center"/>
            </w:pPr>
            <w:r>
              <w:rPr>
                <w:b/>
                <w:bCs/>
                <w:i/>
                <w:iCs/>
                <w:color w:val="FFFFFF"/>
                <w:sz w:val="18"/>
                <w:szCs w:val="18"/>
              </w:rPr>
              <w:t>Criterio</w:t>
            </w:r>
          </w:p>
        </w:tc>
        <w:tc>
          <w:tcPr>
            <w:tcW w:w="1866" w:type="dxa"/>
            <w:shd w:val="clear" w:color="auto" w:fill="4472C4"/>
            <w:vAlign w:val="center"/>
          </w:tcPr>
          <w:p w14:paraId="29C71623"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55A9162E" w14:textId="77777777" w:rsidR="00990B14" w:rsidRDefault="00000000">
            <w:pPr>
              <w:keepNext/>
              <w:spacing w:before="20" w:after="20"/>
              <w:jc w:val="center"/>
            </w:pPr>
            <w:r>
              <w:rPr>
                <w:b/>
                <w:bCs/>
                <w:i/>
                <w:iCs/>
                <w:color w:val="FFFFFF"/>
                <w:sz w:val="18"/>
                <w:szCs w:val="18"/>
              </w:rPr>
              <w:t>Suficiente (51–80)</w:t>
            </w:r>
          </w:p>
        </w:tc>
        <w:tc>
          <w:tcPr>
            <w:tcW w:w="1874" w:type="dxa"/>
            <w:shd w:val="clear" w:color="auto" w:fill="4472C4"/>
            <w:vAlign w:val="center"/>
          </w:tcPr>
          <w:p w14:paraId="52C4B7E7" w14:textId="77777777" w:rsidR="00990B14" w:rsidRDefault="00000000">
            <w:pPr>
              <w:keepNext/>
              <w:spacing w:before="20" w:after="20"/>
              <w:jc w:val="center"/>
            </w:pPr>
            <w:r>
              <w:rPr>
                <w:b/>
                <w:bCs/>
                <w:i/>
                <w:iCs/>
                <w:color w:val="FFFFFF"/>
                <w:sz w:val="18"/>
                <w:szCs w:val="18"/>
              </w:rPr>
              <w:t>Destacado (81–100)</w:t>
            </w:r>
          </w:p>
        </w:tc>
      </w:tr>
      <w:tr w:rsidR="00990B14" w14:paraId="07F746BE" w14:textId="77777777">
        <w:trPr>
          <w:cantSplit/>
          <w:jc w:val="center"/>
        </w:trPr>
        <w:tc>
          <w:tcPr>
            <w:tcW w:w="1885" w:type="dxa"/>
            <w:vMerge/>
            <w:shd w:val="clear" w:color="auto" w:fill="4472C4"/>
            <w:vAlign w:val="center"/>
          </w:tcPr>
          <w:p w14:paraId="4AA60B5C" w14:textId="77777777" w:rsidR="00990B14" w:rsidRDefault="00990B14">
            <w:pPr>
              <w:spacing w:before="20" w:after="20"/>
            </w:pPr>
          </w:p>
        </w:tc>
        <w:tc>
          <w:tcPr>
            <w:tcW w:w="1870" w:type="dxa"/>
            <w:shd w:val="clear" w:color="auto" w:fill="D9E2F3"/>
            <w:vAlign w:val="center"/>
          </w:tcPr>
          <w:p w14:paraId="5F0EA5C8" w14:textId="77777777" w:rsidR="00990B14" w:rsidRDefault="00000000">
            <w:pPr>
              <w:spacing w:before="20" w:after="20"/>
              <w:jc w:val="both"/>
            </w:pPr>
            <w:r>
              <w:rPr>
                <w:sz w:val="18"/>
                <w:szCs w:val="18"/>
              </w:rPr>
              <w:t>Criterios aplicados</w:t>
            </w:r>
          </w:p>
        </w:tc>
        <w:tc>
          <w:tcPr>
            <w:tcW w:w="1866" w:type="dxa"/>
            <w:shd w:val="clear" w:color="auto" w:fill="D9E2F3"/>
            <w:vAlign w:val="center"/>
          </w:tcPr>
          <w:p w14:paraId="4FFACFEF" w14:textId="77777777" w:rsidR="00990B14" w:rsidRDefault="00000000">
            <w:pPr>
              <w:spacing w:before="20" w:after="20"/>
              <w:jc w:val="both"/>
            </w:pPr>
            <w:r>
              <w:rPr>
                <w:sz w:val="18"/>
                <w:szCs w:val="18"/>
              </w:rPr>
              <w:t>Aplica un solo criterio.</w:t>
            </w:r>
          </w:p>
        </w:tc>
        <w:tc>
          <w:tcPr>
            <w:tcW w:w="1910" w:type="dxa"/>
            <w:shd w:val="clear" w:color="auto" w:fill="D9E2F3"/>
            <w:vAlign w:val="center"/>
          </w:tcPr>
          <w:p w14:paraId="6407DB57" w14:textId="77777777" w:rsidR="00990B14" w:rsidRDefault="00000000">
            <w:pPr>
              <w:spacing w:before="20" w:after="20"/>
              <w:jc w:val="both"/>
            </w:pPr>
            <w:r>
              <w:rPr>
                <w:sz w:val="18"/>
                <w:szCs w:val="18"/>
              </w:rPr>
              <w:t>Aplica todos los criterios de clasificación.</w:t>
            </w:r>
          </w:p>
        </w:tc>
        <w:tc>
          <w:tcPr>
            <w:tcW w:w="1874" w:type="dxa"/>
            <w:shd w:val="clear" w:color="auto" w:fill="D9E2F3"/>
            <w:vAlign w:val="center"/>
          </w:tcPr>
          <w:p w14:paraId="1C767871" w14:textId="77777777" w:rsidR="00990B14" w:rsidRDefault="00000000">
            <w:pPr>
              <w:spacing w:before="20" w:after="20"/>
              <w:jc w:val="both"/>
            </w:pPr>
            <w:r>
              <w:rPr>
                <w:sz w:val="18"/>
                <w:szCs w:val="18"/>
              </w:rPr>
              <w:t>Explica cómo la clasificación afecta el registro contable.</w:t>
            </w:r>
          </w:p>
        </w:tc>
      </w:tr>
      <w:tr w:rsidR="00990B14" w14:paraId="2CDEC89B" w14:textId="77777777">
        <w:trPr>
          <w:cantSplit/>
          <w:jc w:val="center"/>
        </w:trPr>
        <w:tc>
          <w:tcPr>
            <w:tcW w:w="1885" w:type="dxa"/>
            <w:vMerge/>
            <w:shd w:val="clear" w:color="auto" w:fill="4472C4"/>
            <w:vAlign w:val="center"/>
          </w:tcPr>
          <w:p w14:paraId="3461A9A3" w14:textId="77777777" w:rsidR="00990B14" w:rsidRDefault="00990B14">
            <w:pPr>
              <w:spacing w:before="20" w:after="20"/>
            </w:pPr>
          </w:p>
        </w:tc>
        <w:tc>
          <w:tcPr>
            <w:tcW w:w="1870" w:type="dxa"/>
            <w:shd w:val="clear" w:color="auto" w:fill="D9E2F3"/>
            <w:vAlign w:val="center"/>
          </w:tcPr>
          <w:p w14:paraId="21B5980D" w14:textId="77777777" w:rsidR="00990B14" w:rsidRDefault="00000000">
            <w:pPr>
              <w:spacing w:before="20" w:after="20"/>
              <w:jc w:val="both"/>
            </w:pPr>
            <w:r>
              <w:rPr>
                <w:sz w:val="18"/>
                <w:szCs w:val="18"/>
              </w:rPr>
              <w:t>Ejemplos</w:t>
            </w:r>
          </w:p>
        </w:tc>
        <w:tc>
          <w:tcPr>
            <w:tcW w:w="1866" w:type="dxa"/>
            <w:shd w:val="clear" w:color="auto" w:fill="D9E2F3"/>
            <w:vAlign w:val="center"/>
          </w:tcPr>
          <w:p w14:paraId="4E96E94A" w14:textId="77777777" w:rsidR="00990B14" w:rsidRDefault="00000000">
            <w:pPr>
              <w:spacing w:before="20" w:after="20"/>
              <w:jc w:val="both"/>
            </w:pPr>
            <w:r>
              <w:rPr>
                <w:sz w:val="18"/>
                <w:szCs w:val="18"/>
              </w:rPr>
              <w:t>Los ejemplos no son pertinentes.</w:t>
            </w:r>
          </w:p>
        </w:tc>
        <w:tc>
          <w:tcPr>
            <w:tcW w:w="1910" w:type="dxa"/>
            <w:shd w:val="clear" w:color="auto" w:fill="D9E2F3"/>
            <w:vAlign w:val="center"/>
          </w:tcPr>
          <w:p w14:paraId="0E808910" w14:textId="77777777" w:rsidR="00990B14" w:rsidRDefault="00000000">
            <w:pPr>
              <w:spacing w:before="20" w:after="20"/>
              <w:jc w:val="both"/>
            </w:pPr>
            <w:r>
              <w:rPr>
                <w:sz w:val="18"/>
                <w:szCs w:val="18"/>
              </w:rPr>
              <w:t>Presenta empresas bolivianas reales.</w:t>
            </w:r>
          </w:p>
        </w:tc>
        <w:tc>
          <w:tcPr>
            <w:tcW w:w="1874" w:type="dxa"/>
            <w:shd w:val="clear" w:color="auto" w:fill="D9E2F3"/>
            <w:vAlign w:val="center"/>
          </w:tcPr>
          <w:p w14:paraId="7416E1BB" w14:textId="77777777" w:rsidR="00990B14" w:rsidRDefault="00000000">
            <w:pPr>
              <w:spacing w:before="20" w:after="20"/>
              <w:jc w:val="both"/>
            </w:pPr>
            <w:r>
              <w:rPr>
                <w:sz w:val="18"/>
                <w:szCs w:val="18"/>
              </w:rPr>
              <w:t>Respalda la clasificación con información verificable.</w:t>
            </w:r>
          </w:p>
        </w:tc>
      </w:tr>
      <w:tr w:rsidR="00990B14" w14:paraId="70D2F257" w14:textId="77777777">
        <w:trPr>
          <w:cantSplit/>
          <w:jc w:val="center"/>
        </w:trPr>
        <w:tc>
          <w:tcPr>
            <w:tcW w:w="1885" w:type="dxa"/>
            <w:vMerge/>
            <w:shd w:val="clear" w:color="auto" w:fill="4472C4"/>
            <w:vAlign w:val="center"/>
          </w:tcPr>
          <w:p w14:paraId="79C2BDF1" w14:textId="77777777" w:rsidR="00990B14" w:rsidRDefault="00990B14">
            <w:pPr>
              <w:spacing w:before="20" w:after="20"/>
            </w:pPr>
          </w:p>
        </w:tc>
        <w:tc>
          <w:tcPr>
            <w:tcW w:w="1870" w:type="dxa"/>
            <w:shd w:val="clear" w:color="auto" w:fill="D9E2F3"/>
            <w:vAlign w:val="center"/>
          </w:tcPr>
          <w:p w14:paraId="3EFDCC60" w14:textId="77777777" w:rsidR="00990B14" w:rsidRDefault="00000000">
            <w:pPr>
              <w:spacing w:before="20" w:after="20"/>
              <w:jc w:val="both"/>
            </w:pPr>
            <w:r>
              <w:rPr>
                <w:sz w:val="18"/>
                <w:szCs w:val="18"/>
              </w:rPr>
              <w:t>Trabajo en equipo</w:t>
            </w:r>
          </w:p>
        </w:tc>
        <w:tc>
          <w:tcPr>
            <w:tcW w:w="1866" w:type="dxa"/>
            <w:shd w:val="clear" w:color="auto" w:fill="D9E2F3"/>
            <w:vAlign w:val="center"/>
          </w:tcPr>
          <w:p w14:paraId="2996423D" w14:textId="77777777" w:rsidR="00990B14" w:rsidRDefault="00000000">
            <w:pPr>
              <w:spacing w:before="20" w:after="20"/>
              <w:jc w:val="both"/>
            </w:pPr>
            <w:r>
              <w:rPr>
                <w:sz w:val="18"/>
                <w:szCs w:val="18"/>
              </w:rPr>
              <w:t>La participación es desigual.</w:t>
            </w:r>
          </w:p>
        </w:tc>
        <w:tc>
          <w:tcPr>
            <w:tcW w:w="1910" w:type="dxa"/>
            <w:shd w:val="clear" w:color="auto" w:fill="D9E2F3"/>
            <w:vAlign w:val="center"/>
          </w:tcPr>
          <w:p w14:paraId="0477DCF4" w14:textId="77777777" w:rsidR="00990B14" w:rsidRDefault="00000000">
            <w:pPr>
              <w:spacing w:before="20" w:after="20"/>
              <w:jc w:val="both"/>
            </w:pPr>
            <w:r>
              <w:rPr>
                <w:sz w:val="18"/>
                <w:szCs w:val="18"/>
              </w:rPr>
              <w:t>Todos los integrantes aportan.</w:t>
            </w:r>
          </w:p>
        </w:tc>
        <w:tc>
          <w:tcPr>
            <w:tcW w:w="1874" w:type="dxa"/>
            <w:shd w:val="clear" w:color="auto" w:fill="D9E2F3"/>
            <w:vAlign w:val="center"/>
          </w:tcPr>
          <w:p w14:paraId="0564385D" w14:textId="77777777" w:rsidR="00990B14" w:rsidRDefault="00000000">
            <w:pPr>
              <w:spacing w:before="20" w:after="20"/>
              <w:jc w:val="both"/>
            </w:pPr>
            <w:r>
              <w:rPr>
                <w:sz w:val="18"/>
                <w:szCs w:val="18"/>
              </w:rPr>
              <w:t>El equipo integra los aportes con coherencia.</w:t>
            </w:r>
          </w:p>
        </w:tc>
      </w:tr>
      <w:tr w:rsidR="00990B14" w14:paraId="4B0DB260" w14:textId="77777777">
        <w:trPr>
          <w:cantSplit/>
          <w:jc w:val="center"/>
        </w:trPr>
        <w:tc>
          <w:tcPr>
            <w:tcW w:w="1885" w:type="dxa"/>
            <w:vMerge/>
            <w:shd w:val="clear" w:color="auto" w:fill="4472C4"/>
            <w:vAlign w:val="center"/>
          </w:tcPr>
          <w:p w14:paraId="67A7FA66" w14:textId="77777777" w:rsidR="00990B14" w:rsidRDefault="00990B14">
            <w:pPr>
              <w:spacing w:before="20" w:after="20"/>
            </w:pPr>
          </w:p>
        </w:tc>
        <w:tc>
          <w:tcPr>
            <w:tcW w:w="5646" w:type="dxa"/>
            <w:gridSpan w:val="3"/>
            <w:shd w:val="clear" w:color="auto" w:fill="D9E2F3"/>
            <w:vAlign w:val="center"/>
          </w:tcPr>
          <w:p w14:paraId="323E1291" w14:textId="77777777" w:rsidR="00990B14" w:rsidRDefault="00000000">
            <w:pPr>
              <w:keepNext/>
              <w:spacing w:before="20" w:after="20"/>
              <w:jc w:val="both"/>
            </w:pPr>
            <w:r>
              <w:rPr>
                <w:b/>
                <w:bCs/>
                <w:i/>
                <w:iCs/>
                <w:sz w:val="18"/>
                <w:szCs w:val="18"/>
              </w:rPr>
              <w:t xml:space="preserve">Producto 5: </w:t>
            </w:r>
            <w:r>
              <w:rPr>
                <w:sz w:val="18"/>
                <w:szCs w:val="18"/>
              </w:rPr>
              <w:t>Tabla de análisis de transacciones</w:t>
            </w:r>
          </w:p>
        </w:tc>
        <w:tc>
          <w:tcPr>
            <w:tcW w:w="1874" w:type="dxa"/>
            <w:shd w:val="clear" w:color="auto" w:fill="D9E2F3"/>
            <w:vAlign w:val="center"/>
          </w:tcPr>
          <w:p w14:paraId="125B13A7" w14:textId="77777777" w:rsidR="00990B14" w:rsidRDefault="00000000">
            <w:pPr>
              <w:spacing w:before="20" w:after="20"/>
              <w:jc w:val="center"/>
            </w:pPr>
            <w:r>
              <w:rPr>
                <w:b/>
                <w:bCs/>
                <w:sz w:val="18"/>
                <w:szCs w:val="18"/>
              </w:rPr>
              <w:t>4%</w:t>
            </w:r>
          </w:p>
        </w:tc>
      </w:tr>
      <w:tr w:rsidR="00990B14" w14:paraId="5BF65841" w14:textId="77777777">
        <w:trPr>
          <w:cantSplit/>
          <w:jc w:val="center"/>
        </w:trPr>
        <w:tc>
          <w:tcPr>
            <w:tcW w:w="1885" w:type="dxa"/>
            <w:vMerge/>
            <w:shd w:val="clear" w:color="auto" w:fill="4472C4"/>
            <w:vAlign w:val="center"/>
          </w:tcPr>
          <w:p w14:paraId="6780FC5E" w14:textId="77777777" w:rsidR="00990B14" w:rsidRDefault="00990B14">
            <w:pPr>
              <w:spacing w:before="20" w:after="20"/>
            </w:pPr>
          </w:p>
        </w:tc>
        <w:tc>
          <w:tcPr>
            <w:tcW w:w="1870" w:type="dxa"/>
            <w:shd w:val="clear" w:color="auto" w:fill="4472C4"/>
            <w:vAlign w:val="center"/>
          </w:tcPr>
          <w:p w14:paraId="5A5E86C7" w14:textId="77777777" w:rsidR="00990B14" w:rsidRDefault="00000000">
            <w:pPr>
              <w:keepNext/>
              <w:spacing w:before="20" w:after="20"/>
              <w:jc w:val="center"/>
            </w:pPr>
            <w:r>
              <w:rPr>
                <w:b/>
                <w:bCs/>
                <w:i/>
                <w:iCs/>
                <w:color w:val="FFFFFF"/>
                <w:sz w:val="18"/>
                <w:szCs w:val="18"/>
              </w:rPr>
              <w:t>Criterio</w:t>
            </w:r>
          </w:p>
        </w:tc>
        <w:tc>
          <w:tcPr>
            <w:tcW w:w="1866" w:type="dxa"/>
            <w:shd w:val="clear" w:color="auto" w:fill="4472C4"/>
            <w:vAlign w:val="center"/>
          </w:tcPr>
          <w:p w14:paraId="776557F5"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05EC3FC7" w14:textId="77777777" w:rsidR="00990B14" w:rsidRDefault="00000000">
            <w:pPr>
              <w:keepNext/>
              <w:spacing w:before="20" w:after="20"/>
              <w:jc w:val="center"/>
            </w:pPr>
            <w:r>
              <w:rPr>
                <w:b/>
                <w:bCs/>
                <w:i/>
                <w:iCs/>
                <w:color w:val="FFFFFF"/>
                <w:sz w:val="18"/>
                <w:szCs w:val="18"/>
              </w:rPr>
              <w:t>Suficiente (51–80)</w:t>
            </w:r>
          </w:p>
        </w:tc>
        <w:tc>
          <w:tcPr>
            <w:tcW w:w="1874" w:type="dxa"/>
            <w:shd w:val="clear" w:color="auto" w:fill="4472C4"/>
            <w:vAlign w:val="center"/>
          </w:tcPr>
          <w:p w14:paraId="53576CD0" w14:textId="77777777" w:rsidR="00990B14" w:rsidRDefault="00000000">
            <w:pPr>
              <w:keepNext/>
              <w:spacing w:before="20" w:after="20"/>
              <w:jc w:val="center"/>
            </w:pPr>
            <w:r>
              <w:rPr>
                <w:b/>
                <w:bCs/>
                <w:i/>
                <w:iCs/>
                <w:color w:val="FFFFFF"/>
                <w:sz w:val="18"/>
                <w:szCs w:val="18"/>
              </w:rPr>
              <w:t>Destacado (81–100)</w:t>
            </w:r>
          </w:p>
        </w:tc>
      </w:tr>
      <w:tr w:rsidR="00990B14" w14:paraId="6E3F0A69" w14:textId="77777777">
        <w:trPr>
          <w:cantSplit/>
          <w:jc w:val="center"/>
        </w:trPr>
        <w:tc>
          <w:tcPr>
            <w:tcW w:w="1885" w:type="dxa"/>
            <w:vMerge/>
            <w:shd w:val="clear" w:color="auto" w:fill="4472C4"/>
            <w:vAlign w:val="center"/>
          </w:tcPr>
          <w:p w14:paraId="14A496A6" w14:textId="77777777" w:rsidR="00990B14" w:rsidRDefault="00990B14">
            <w:pPr>
              <w:spacing w:before="20" w:after="20"/>
            </w:pPr>
          </w:p>
        </w:tc>
        <w:tc>
          <w:tcPr>
            <w:tcW w:w="1870" w:type="dxa"/>
            <w:shd w:val="clear" w:color="auto" w:fill="D9E2F3"/>
            <w:vAlign w:val="center"/>
          </w:tcPr>
          <w:p w14:paraId="09341A67" w14:textId="77777777" w:rsidR="00990B14" w:rsidRDefault="00000000">
            <w:pPr>
              <w:spacing w:before="20" w:after="20"/>
              <w:jc w:val="both"/>
            </w:pPr>
            <w:r>
              <w:rPr>
                <w:sz w:val="18"/>
                <w:szCs w:val="18"/>
              </w:rPr>
              <w:t>Identificación de cuentas</w:t>
            </w:r>
          </w:p>
        </w:tc>
        <w:tc>
          <w:tcPr>
            <w:tcW w:w="1866" w:type="dxa"/>
            <w:shd w:val="clear" w:color="auto" w:fill="D9E2F3"/>
            <w:vAlign w:val="center"/>
          </w:tcPr>
          <w:p w14:paraId="2EE58875" w14:textId="77777777" w:rsidR="00990B14" w:rsidRDefault="00000000">
            <w:pPr>
              <w:spacing w:before="20" w:after="20"/>
              <w:jc w:val="both"/>
            </w:pPr>
            <w:r>
              <w:rPr>
                <w:sz w:val="18"/>
                <w:szCs w:val="18"/>
              </w:rPr>
              <w:t>Usa cuentas que no corresponden.</w:t>
            </w:r>
          </w:p>
        </w:tc>
        <w:tc>
          <w:tcPr>
            <w:tcW w:w="1910" w:type="dxa"/>
            <w:shd w:val="clear" w:color="auto" w:fill="D9E2F3"/>
            <w:vAlign w:val="center"/>
          </w:tcPr>
          <w:p w14:paraId="36B0BC55" w14:textId="77777777" w:rsidR="00990B14" w:rsidRDefault="00000000">
            <w:pPr>
              <w:spacing w:before="20" w:after="20"/>
              <w:jc w:val="both"/>
            </w:pPr>
            <w:r>
              <w:rPr>
                <w:sz w:val="18"/>
                <w:szCs w:val="18"/>
              </w:rPr>
              <w:t>Identifica las cuentas que intervienen en cada transacción.</w:t>
            </w:r>
          </w:p>
        </w:tc>
        <w:tc>
          <w:tcPr>
            <w:tcW w:w="1874" w:type="dxa"/>
            <w:shd w:val="clear" w:color="auto" w:fill="D9E2F3"/>
            <w:vAlign w:val="center"/>
          </w:tcPr>
          <w:p w14:paraId="3535DBD3" w14:textId="77777777" w:rsidR="00990B14" w:rsidRDefault="00000000">
            <w:pPr>
              <w:spacing w:before="20" w:after="20"/>
              <w:jc w:val="both"/>
            </w:pPr>
            <w:r>
              <w:rPr>
                <w:sz w:val="18"/>
                <w:szCs w:val="18"/>
              </w:rPr>
              <w:t>Justifica la elección de cada cuenta.</w:t>
            </w:r>
          </w:p>
        </w:tc>
      </w:tr>
      <w:tr w:rsidR="00990B14" w14:paraId="39514118" w14:textId="77777777">
        <w:trPr>
          <w:cantSplit/>
          <w:jc w:val="center"/>
        </w:trPr>
        <w:tc>
          <w:tcPr>
            <w:tcW w:w="1885" w:type="dxa"/>
            <w:vMerge/>
            <w:shd w:val="clear" w:color="auto" w:fill="4472C4"/>
            <w:vAlign w:val="center"/>
          </w:tcPr>
          <w:p w14:paraId="037F5968" w14:textId="77777777" w:rsidR="00990B14" w:rsidRDefault="00990B14">
            <w:pPr>
              <w:spacing w:before="20" w:after="20"/>
            </w:pPr>
          </w:p>
        </w:tc>
        <w:tc>
          <w:tcPr>
            <w:tcW w:w="1870" w:type="dxa"/>
            <w:shd w:val="clear" w:color="auto" w:fill="D9E2F3"/>
            <w:vAlign w:val="center"/>
          </w:tcPr>
          <w:p w14:paraId="4795969D" w14:textId="77777777" w:rsidR="00990B14" w:rsidRDefault="00000000">
            <w:pPr>
              <w:spacing w:before="20" w:after="20"/>
              <w:jc w:val="both"/>
            </w:pPr>
            <w:r>
              <w:rPr>
                <w:sz w:val="18"/>
                <w:szCs w:val="18"/>
              </w:rPr>
              <w:t>Reglas del cargo y del abono</w:t>
            </w:r>
          </w:p>
        </w:tc>
        <w:tc>
          <w:tcPr>
            <w:tcW w:w="1866" w:type="dxa"/>
            <w:shd w:val="clear" w:color="auto" w:fill="D9E2F3"/>
            <w:vAlign w:val="center"/>
          </w:tcPr>
          <w:p w14:paraId="50BFE8D7" w14:textId="77777777" w:rsidR="00990B14" w:rsidRDefault="00000000">
            <w:pPr>
              <w:spacing w:before="20" w:after="20"/>
              <w:jc w:val="both"/>
            </w:pPr>
            <w:r>
              <w:rPr>
                <w:sz w:val="18"/>
                <w:szCs w:val="18"/>
              </w:rPr>
              <w:t>Invierte cargos y abonos.</w:t>
            </w:r>
          </w:p>
        </w:tc>
        <w:tc>
          <w:tcPr>
            <w:tcW w:w="1910" w:type="dxa"/>
            <w:shd w:val="clear" w:color="auto" w:fill="D9E2F3"/>
            <w:vAlign w:val="center"/>
          </w:tcPr>
          <w:p w14:paraId="6D5457D8" w14:textId="77777777" w:rsidR="00990B14" w:rsidRDefault="00000000">
            <w:pPr>
              <w:spacing w:before="20" w:after="20"/>
              <w:jc w:val="both"/>
            </w:pPr>
            <w:r>
              <w:rPr>
                <w:sz w:val="18"/>
                <w:szCs w:val="18"/>
              </w:rPr>
              <w:t>Aplica correctamente las reglas del cargo y del abono.</w:t>
            </w:r>
          </w:p>
        </w:tc>
        <w:tc>
          <w:tcPr>
            <w:tcW w:w="1874" w:type="dxa"/>
            <w:shd w:val="clear" w:color="auto" w:fill="D9E2F3"/>
            <w:vAlign w:val="center"/>
          </w:tcPr>
          <w:p w14:paraId="57BAEE35" w14:textId="77777777" w:rsidR="00990B14" w:rsidRDefault="00000000">
            <w:pPr>
              <w:spacing w:before="20" w:after="20"/>
              <w:jc w:val="both"/>
            </w:pPr>
            <w:r>
              <w:rPr>
                <w:sz w:val="18"/>
                <w:szCs w:val="18"/>
              </w:rPr>
              <w:t>Demuestra la partida doble en cada transacción.</w:t>
            </w:r>
          </w:p>
        </w:tc>
      </w:tr>
      <w:tr w:rsidR="00990B14" w14:paraId="3E6A33CB" w14:textId="77777777">
        <w:trPr>
          <w:cantSplit/>
          <w:jc w:val="center"/>
        </w:trPr>
        <w:tc>
          <w:tcPr>
            <w:tcW w:w="1885" w:type="dxa"/>
            <w:vMerge/>
            <w:shd w:val="clear" w:color="auto" w:fill="4472C4"/>
            <w:vAlign w:val="center"/>
          </w:tcPr>
          <w:p w14:paraId="7D3B0763" w14:textId="77777777" w:rsidR="00990B14" w:rsidRDefault="00990B14">
            <w:pPr>
              <w:spacing w:before="20" w:after="20"/>
            </w:pPr>
          </w:p>
        </w:tc>
        <w:tc>
          <w:tcPr>
            <w:tcW w:w="1870" w:type="dxa"/>
            <w:shd w:val="clear" w:color="auto" w:fill="D9E2F3"/>
            <w:vAlign w:val="center"/>
          </w:tcPr>
          <w:p w14:paraId="5C9760B7" w14:textId="77777777" w:rsidR="00990B14" w:rsidRDefault="00000000">
            <w:pPr>
              <w:spacing w:before="20" w:after="20"/>
              <w:jc w:val="both"/>
            </w:pPr>
            <w:r>
              <w:rPr>
                <w:sz w:val="18"/>
                <w:szCs w:val="18"/>
              </w:rPr>
              <w:t>Exactitud</w:t>
            </w:r>
          </w:p>
        </w:tc>
        <w:tc>
          <w:tcPr>
            <w:tcW w:w="1866" w:type="dxa"/>
            <w:shd w:val="clear" w:color="auto" w:fill="D9E2F3"/>
            <w:vAlign w:val="center"/>
          </w:tcPr>
          <w:p w14:paraId="36664125" w14:textId="77777777" w:rsidR="00990B14" w:rsidRDefault="00000000">
            <w:pPr>
              <w:spacing w:before="20" w:after="20"/>
              <w:jc w:val="both"/>
            </w:pPr>
            <w:r>
              <w:rPr>
                <w:sz w:val="18"/>
                <w:szCs w:val="18"/>
              </w:rPr>
              <w:t>Presenta errores de cálculo.</w:t>
            </w:r>
          </w:p>
        </w:tc>
        <w:tc>
          <w:tcPr>
            <w:tcW w:w="1910" w:type="dxa"/>
            <w:shd w:val="clear" w:color="auto" w:fill="D9E2F3"/>
            <w:vAlign w:val="center"/>
          </w:tcPr>
          <w:p w14:paraId="0BDDFB2A" w14:textId="77777777" w:rsidR="00990B14" w:rsidRDefault="00000000">
            <w:pPr>
              <w:spacing w:before="20" w:after="20"/>
              <w:jc w:val="both"/>
            </w:pPr>
            <w:r>
              <w:rPr>
                <w:sz w:val="18"/>
                <w:szCs w:val="18"/>
              </w:rPr>
              <w:t>Los importes son correctos.</w:t>
            </w:r>
          </w:p>
        </w:tc>
        <w:tc>
          <w:tcPr>
            <w:tcW w:w="1874" w:type="dxa"/>
            <w:shd w:val="clear" w:color="auto" w:fill="D9E2F3"/>
            <w:vAlign w:val="center"/>
          </w:tcPr>
          <w:p w14:paraId="5DF9421D" w14:textId="77777777" w:rsidR="00990B14" w:rsidRDefault="00000000">
            <w:pPr>
              <w:spacing w:before="20" w:after="20"/>
              <w:jc w:val="both"/>
            </w:pPr>
            <w:r>
              <w:rPr>
                <w:sz w:val="18"/>
                <w:szCs w:val="18"/>
              </w:rPr>
              <w:t>Verifica la igualdad de cargos y abonos.</w:t>
            </w:r>
          </w:p>
        </w:tc>
      </w:tr>
      <w:tr w:rsidR="00990B14" w14:paraId="1910729B" w14:textId="77777777">
        <w:trPr>
          <w:cantSplit/>
          <w:jc w:val="center"/>
        </w:trPr>
        <w:tc>
          <w:tcPr>
            <w:tcW w:w="1885" w:type="dxa"/>
            <w:vMerge/>
            <w:shd w:val="clear" w:color="auto" w:fill="4472C4"/>
            <w:vAlign w:val="center"/>
          </w:tcPr>
          <w:p w14:paraId="0B51C3BF" w14:textId="77777777" w:rsidR="00990B14" w:rsidRDefault="00990B14">
            <w:pPr>
              <w:spacing w:before="20" w:after="20"/>
            </w:pPr>
          </w:p>
        </w:tc>
        <w:tc>
          <w:tcPr>
            <w:tcW w:w="5646" w:type="dxa"/>
            <w:gridSpan w:val="3"/>
            <w:shd w:val="clear" w:color="auto" w:fill="D9E2F3"/>
            <w:vAlign w:val="center"/>
          </w:tcPr>
          <w:p w14:paraId="5ACF376C" w14:textId="77777777" w:rsidR="00990B14" w:rsidRDefault="00000000">
            <w:pPr>
              <w:keepNext/>
              <w:spacing w:before="20" w:after="20"/>
              <w:jc w:val="both"/>
            </w:pPr>
            <w:r>
              <w:rPr>
                <w:b/>
                <w:bCs/>
                <w:i/>
                <w:iCs/>
                <w:sz w:val="18"/>
                <w:szCs w:val="18"/>
              </w:rPr>
              <w:t xml:space="preserve">Producto 6: </w:t>
            </w:r>
            <w:r>
              <w:rPr>
                <w:sz w:val="18"/>
                <w:szCs w:val="18"/>
              </w:rPr>
              <w:t>Cuadro de clasificación de cuentas</w:t>
            </w:r>
          </w:p>
        </w:tc>
        <w:tc>
          <w:tcPr>
            <w:tcW w:w="1874" w:type="dxa"/>
            <w:shd w:val="clear" w:color="auto" w:fill="D9E2F3"/>
            <w:vAlign w:val="center"/>
          </w:tcPr>
          <w:p w14:paraId="5A8E1D8C" w14:textId="77777777" w:rsidR="00990B14" w:rsidRDefault="00000000">
            <w:pPr>
              <w:spacing w:before="20" w:after="20"/>
              <w:jc w:val="center"/>
            </w:pPr>
            <w:r>
              <w:rPr>
                <w:b/>
                <w:bCs/>
                <w:sz w:val="18"/>
                <w:szCs w:val="18"/>
              </w:rPr>
              <w:t>4%</w:t>
            </w:r>
          </w:p>
        </w:tc>
      </w:tr>
      <w:tr w:rsidR="00990B14" w14:paraId="602A09D1" w14:textId="77777777">
        <w:trPr>
          <w:cantSplit/>
          <w:jc w:val="center"/>
        </w:trPr>
        <w:tc>
          <w:tcPr>
            <w:tcW w:w="1885" w:type="dxa"/>
            <w:vMerge/>
            <w:shd w:val="clear" w:color="auto" w:fill="4472C4"/>
            <w:vAlign w:val="center"/>
          </w:tcPr>
          <w:p w14:paraId="2709699E" w14:textId="77777777" w:rsidR="00990B14" w:rsidRDefault="00990B14">
            <w:pPr>
              <w:spacing w:before="20" w:after="20"/>
            </w:pPr>
          </w:p>
        </w:tc>
        <w:tc>
          <w:tcPr>
            <w:tcW w:w="1870" w:type="dxa"/>
            <w:shd w:val="clear" w:color="auto" w:fill="4472C4"/>
            <w:vAlign w:val="center"/>
          </w:tcPr>
          <w:p w14:paraId="2F25ACEA" w14:textId="77777777" w:rsidR="00990B14" w:rsidRDefault="00000000">
            <w:pPr>
              <w:keepNext/>
              <w:spacing w:before="20" w:after="20"/>
              <w:jc w:val="center"/>
            </w:pPr>
            <w:r>
              <w:rPr>
                <w:b/>
                <w:bCs/>
                <w:i/>
                <w:iCs/>
                <w:color w:val="FFFFFF"/>
                <w:sz w:val="18"/>
                <w:szCs w:val="18"/>
              </w:rPr>
              <w:t>Criterio</w:t>
            </w:r>
          </w:p>
        </w:tc>
        <w:tc>
          <w:tcPr>
            <w:tcW w:w="1866" w:type="dxa"/>
            <w:shd w:val="clear" w:color="auto" w:fill="4472C4"/>
            <w:vAlign w:val="center"/>
          </w:tcPr>
          <w:p w14:paraId="536750AB"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3D8E8AC9" w14:textId="77777777" w:rsidR="00990B14" w:rsidRDefault="00000000">
            <w:pPr>
              <w:keepNext/>
              <w:spacing w:before="20" w:after="20"/>
              <w:jc w:val="center"/>
            </w:pPr>
            <w:r>
              <w:rPr>
                <w:b/>
                <w:bCs/>
                <w:i/>
                <w:iCs/>
                <w:color w:val="FFFFFF"/>
                <w:sz w:val="18"/>
                <w:szCs w:val="18"/>
              </w:rPr>
              <w:t>Suficiente (51–80)</w:t>
            </w:r>
          </w:p>
        </w:tc>
        <w:tc>
          <w:tcPr>
            <w:tcW w:w="1874" w:type="dxa"/>
            <w:shd w:val="clear" w:color="auto" w:fill="4472C4"/>
            <w:vAlign w:val="center"/>
          </w:tcPr>
          <w:p w14:paraId="206F129E" w14:textId="77777777" w:rsidR="00990B14" w:rsidRDefault="00000000">
            <w:pPr>
              <w:keepNext/>
              <w:spacing w:before="20" w:after="20"/>
              <w:jc w:val="center"/>
            </w:pPr>
            <w:r>
              <w:rPr>
                <w:b/>
                <w:bCs/>
                <w:i/>
                <w:iCs/>
                <w:color w:val="FFFFFF"/>
                <w:sz w:val="18"/>
                <w:szCs w:val="18"/>
              </w:rPr>
              <w:t>Destacado (81–100)</w:t>
            </w:r>
          </w:p>
        </w:tc>
      </w:tr>
      <w:tr w:rsidR="00990B14" w14:paraId="359AF7FD" w14:textId="77777777">
        <w:trPr>
          <w:cantSplit/>
          <w:jc w:val="center"/>
        </w:trPr>
        <w:tc>
          <w:tcPr>
            <w:tcW w:w="1885" w:type="dxa"/>
            <w:vMerge/>
            <w:shd w:val="clear" w:color="auto" w:fill="4472C4"/>
            <w:vAlign w:val="center"/>
          </w:tcPr>
          <w:p w14:paraId="47C78FA3" w14:textId="77777777" w:rsidR="00990B14" w:rsidRDefault="00990B14">
            <w:pPr>
              <w:spacing w:before="20" w:after="20"/>
            </w:pPr>
          </w:p>
        </w:tc>
        <w:tc>
          <w:tcPr>
            <w:tcW w:w="1870" w:type="dxa"/>
            <w:shd w:val="clear" w:color="auto" w:fill="D9E2F3"/>
            <w:vAlign w:val="center"/>
          </w:tcPr>
          <w:p w14:paraId="4DDE2B98" w14:textId="77777777" w:rsidR="00990B14" w:rsidRDefault="00000000">
            <w:pPr>
              <w:spacing w:before="20" w:after="20"/>
              <w:jc w:val="both"/>
            </w:pPr>
            <w:r>
              <w:rPr>
                <w:sz w:val="18"/>
                <w:szCs w:val="18"/>
              </w:rPr>
              <w:t>Clasificación</w:t>
            </w:r>
          </w:p>
        </w:tc>
        <w:tc>
          <w:tcPr>
            <w:tcW w:w="1866" w:type="dxa"/>
            <w:shd w:val="clear" w:color="auto" w:fill="D9E2F3"/>
            <w:vAlign w:val="center"/>
          </w:tcPr>
          <w:p w14:paraId="5F3B35B7" w14:textId="77777777" w:rsidR="00990B14" w:rsidRDefault="00000000">
            <w:pPr>
              <w:spacing w:before="20" w:after="20"/>
              <w:jc w:val="both"/>
            </w:pPr>
            <w:r>
              <w:rPr>
                <w:sz w:val="18"/>
                <w:szCs w:val="18"/>
              </w:rPr>
              <w:t>Confunde cuentas de balance y de resultados.</w:t>
            </w:r>
          </w:p>
        </w:tc>
        <w:tc>
          <w:tcPr>
            <w:tcW w:w="1910" w:type="dxa"/>
            <w:shd w:val="clear" w:color="auto" w:fill="D9E2F3"/>
            <w:vAlign w:val="center"/>
          </w:tcPr>
          <w:p w14:paraId="7D88A2F7" w14:textId="77777777" w:rsidR="00990B14" w:rsidRDefault="00000000">
            <w:pPr>
              <w:spacing w:before="20" w:after="20"/>
              <w:jc w:val="both"/>
            </w:pPr>
            <w:r>
              <w:rPr>
                <w:sz w:val="18"/>
                <w:szCs w:val="18"/>
              </w:rPr>
              <w:t>Clasifica las cuentas en balance, resultados y orden.</w:t>
            </w:r>
          </w:p>
        </w:tc>
        <w:tc>
          <w:tcPr>
            <w:tcW w:w="1874" w:type="dxa"/>
            <w:shd w:val="clear" w:color="auto" w:fill="D9E2F3"/>
            <w:vAlign w:val="center"/>
          </w:tcPr>
          <w:p w14:paraId="7DE0D6BC" w14:textId="77777777" w:rsidR="00990B14" w:rsidRDefault="00000000">
            <w:pPr>
              <w:spacing w:before="20" w:after="20"/>
              <w:jc w:val="both"/>
            </w:pPr>
            <w:r>
              <w:rPr>
                <w:sz w:val="18"/>
                <w:szCs w:val="18"/>
              </w:rPr>
              <w:t>Identifica las cuentas reguladoras.</w:t>
            </w:r>
          </w:p>
        </w:tc>
      </w:tr>
      <w:tr w:rsidR="00990B14" w14:paraId="6DF94D87" w14:textId="77777777">
        <w:trPr>
          <w:cantSplit/>
          <w:jc w:val="center"/>
        </w:trPr>
        <w:tc>
          <w:tcPr>
            <w:tcW w:w="1885" w:type="dxa"/>
            <w:vMerge/>
            <w:shd w:val="clear" w:color="auto" w:fill="4472C4"/>
            <w:vAlign w:val="center"/>
          </w:tcPr>
          <w:p w14:paraId="15286AF9" w14:textId="77777777" w:rsidR="00990B14" w:rsidRDefault="00990B14">
            <w:pPr>
              <w:spacing w:before="20" w:after="20"/>
            </w:pPr>
          </w:p>
        </w:tc>
        <w:tc>
          <w:tcPr>
            <w:tcW w:w="1870" w:type="dxa"/>
            <w:shd w:val="clear" w:color="auto" w:fill="D9E2F3"/>
            <w:vAlign w:val="center"/>
          </w:tcPr>
          <w:p w14:paraId="4A9C7F90" w14:textId="77777777" w:rsidR="00990B14" w:rsidRDefault="00000000">
            <w:pPr>
              <w:spacing w:before="20" w:after="20"/>
              <w:jc w:val="both"/>
            </w:pPr>
            <w:r>
              <w:rPr>
                <w:sz w:val="18"/>
                <w:szCs w:val="18"/>
              </w:rPr>
              <w:t>Saldo</w:t>
            </w:r>
          </w:p>
        </w:tc>
        <w:tc>
          <w:tcPr>
            <w:tcW w:w="1866" w:type="dxa"/>
            <w:shd w:val="clear" w:color="auto" w:fill="D9E2F3"/>
            <w:vAlign w:val="center"/>
          </w:tcPr>
          <w:p w14:paraId="70D69E7C" w14:textId="77777777" w:rsidR="00990B14" w:rsidRDefault="00000000">
            <w:pPr>
              <w:spacing w:before="20" w:after="20"/>
              <w:jc w:val="both"/>
            </w:pPr>
            <w:r>
              <w:rPr>
                <w:sz w:val="18"/>
                <w:szCs w:val="18"/>
              </w:rPr>
              <w:t>Determina saldos erróneos.</w:t>
            </w:r>
          </w:p>
        </w:tc>
        <w:tc>
          <w:tcPr>
            <w:tcW w:w="1910" w:type="dxa"/>
            <w:shd w:val="clear" w:color="auto" w:fill="D9E2F3"/>
            <w:vAlign w:val="center"/>
          </w:tcPr>
          <w:p w14:paraId="748AFFD1" w14:textId="77777777" w:rsidR="00990B14" w:rsidRDefault="00000000">
            <w:pPr>
              <w:spacing w:before="20" w:after="20"/>
              <w:jc w:val="both"/>
            </w:pPr>
            <w:r>
              <w:rPr>
                <w:sz w:val="18"/>
                <w:szCs w:val="18"/>
              </w:rPr>
              <w:t>Determina el saldo deudor o acreedor de cada cuenta.</w:t>
            </w:r>
          </w:p>
        </w:tc>
        <w:tc>
          <w:tcPr>
            <w:tcW w:w="1874" w:type="dxa"/>
            <w:shd w:val="clear" w:color="auto" w:fill="D9E2F3"/>
            <w:vAlign w:val="center"/>
          </w:tcPr>
          <w:p w14:paraId="1384F009" w14:textId="77777777" w:rsidR="00990B14" w:rsidRDefault="00000000">
            <w:pPr>
              <w:spacing w:before="20" w:after="20"/>
              <w:jc w:val="both"/>
            </w:pPr>
            <w:r>
              <w:rPr>
                <w:sz w:val="18"/>
                <w:szCs w:val="18"/>
              </w:rPr>
              <w:t>Explica la ley de movimiento de cada cuenta.</w:t>
            </w:r>
          </w:p>
        </w:tc>
      </w:tr>
      <w:tr w:rsidR="00990B14" w14:paraId="6D29F83B" w14:textId="77777777">
        <w:trPr>
          <w:cantSplit/>
          <w:jc w:val="center"/>
        </w:trPr>
        <w:tc>
          <w:tcPr>
            <w:tcW w:w="1885" w:type="dxa"/>
            <w:vMerge/>
            <w:shd w:val="clear" w:color="auto" w:fill="4472C4"/>
            <w:vAlign w:val="center"/>
          </w:tcPr>
          <w:p w14:paraId="10202018" w14:textId="77777777" w:rsidR="00990B14" w:rsidRDefault="00990B14">
            <w:pPr>
              <w:spacing w:before="20" w:after="20"/>
            </w:pPr>
          </w:p>
        </w:tc>
        <w:tc>
          <w:tcPr>
            <w:tcW w:w="1870" w:type="dxa"/>
            <w:shd w:val="clear" w:color="auto" w:fill="D9E2F3"/>
            <w:vAlign w:val="center"/>
          </w:tcPr>
          <w:p w14:paraId="3B7BE97F" w14:textId="77777777" w:rsidR="00990B14" w:rsidRDefault="00000000">
            <w:pPr>
              <w:spacing w:before="20" w:after="20"/>
              <w:jc w:val="both"/>
            </w:pPr>
            <w:r>
              <w:rPr>
                <w:sz w:val="18"/>
                <w:szCs w:val="18"/>
              </w:rPr>
              <w:t>Presentación</w:t>
            </w:r>
          </w:p>
        </w:tc>
        <w:tc>
          <w:tcPr>
            <w:tcW w:w="1866" w:type="dxa"/>
            <w:shd w:val="clear" w:color="auto" w:fill="D9E2F3"/>
            <w:vAlign w:val="center"/>
          </w:tcPr>
          <w:p w14:paraId="1BB9907F" w14:textId="77777777" w:rsidR="00990B14" w:rsidRDefault="00000000">
            <w:pPr>
              <w:spacing w:before="20" w:after="20"/>
              <w:jc w:val="both"/>
            </w:pPr>
            <w:r>
              <w:rPr>
                <w:sz w:val="18"/>
                <w:szCs w:val="18"/>
              </w:rPr>
              <w:t>El cuadro es incompleto.</w:t>
            </w:r>
          </w:p>
        </w:tc>
        <w:tc>
          <w:tcPr>
            <w:tcW w:w="1910" w:type="dxa"/>
            <w:shd w:val="clear" w:color="auto" w:fill="D9E2F3"/>
            <w:vAlign w:val="center"/>
          </w:tcPr>
          <w:p w14:paraId="38E90612" w14:textId="77777777" w:rsidR="00990B14" w:rsidRDefault="00000000">
            <w:pPr>
              <w:spacing w:before="20" w:after="20"/>
              <w:jc w:val="both"/>
            </w:pPr>
            <w:r>
              <w:rPr>
                <w:sz w:val="18"/>
                <w:szCs w:val="18"/>
              </w:rPr>
              <w:t>El cuadro es ordenado.</w:t>
            </w:r>
          </w:p>
        </w:tc>
        <w:tc>
          <w:tcPr>
            <w:tcW w:w="1874" w:type="dxa"/>
            <w:shd w:val="clear" w:color="auto" w:fill="D9E2F3"/>
            <w:vAlign w:val="center"/>
          </w:tcPr>
          <w:p w14:paraId="5E9AA147" w14:textId="77777777" w:rsidR="00990B14" w:rsidRDefault="00000000">
            <w:pPr>
              <w:spacing w:before="20" w:after="20"/>
              <w:jc w:val="both"/>
            </w:pPr>
            <w:r>
              <w:rPr>
                <w:sz w:val="18"/>
                <w:szCs w:val="18"/>
              </w:rPr>
              <w:t>El cuadro incluye la exposición de cada cuenta.</w:t>
            </w:r>
          </w:p>
        </w:tc>
      </w:tr>
      <w:tr w:rsidR="00990B14" w14:paraId="0125E2CE" w14:textId="77777777">
        <w:trPr>
          <w:cantSplit/>
          <w:jc w:val="center"/>
        </w:trPr>
        <w:tc>
          <w:tcPr>
            <w:tcW w:w="1885" w:type="dxa"/>
            <w:vMerge/>
            <w:shd w:val="clear" w:color="auto" w:fill="4472C4"/>
            <w:vAlign w:val="center"/>
          </w:tcPr>
          <w:p w14:paraId="7E24EEA9" w14:textId="77777777" w:rsidR="00990B14" w:rsidRDefault="00990B14">
            <w:pPr>
              <w:spacing w:before="20" w:after="20"/>
            </w:pPr>
          </w:p>
        </w:tc>
        <w:tc>
          <w:tcPr>
            <w:tcW w:w="5646" w:type="dxa"/>
            <w:gridSpan w:val="3"/>
            <w:shd w:val="clear" w:color="auto" w:fill="D9E2F3"/>
            <w:vAlign w:val="center"/>
          </w:tcPr>
          <w:p w14:paraId="69E4B3B7" w14:textId="77777777" w:rsidR="00990B14" w:rsidRDefault="00000000">
            <w:pPr>
              <w:keepNext/>
              <w:spacing w:before="20" w:after="20"/>
              <w:jc w:val="both"/>
            </w:pPr>
            <w:r>
              <w:rPr>
                <w:b/>
                <w:bCs/>
                <w:i/>
                <w:iCs/>
                <w:sz w:val="18"/>
                <w:szCs w:val="18"/>
              </w:rPr>
              <w:t xml:space="preserve">Producto 7: </w:t>
            </w:r>
            <w:r>
              <w:rPr>
                <w:sz w:val="18"/>
                <w:szCs w:val="18"/>
              </w:rPr>
              <w:t>Manual de cuentas</w:t>
            </w:r>
          </w:p>
        </w:tc>
        <w:tc>
          <w:tcPr>
            <w:tcW w:w="1874" w:type="dxa"/>
            <w:shd w:val="clear" w:color="auto" w:fill="D9E2F3"/>
            <w:vAlign w:val="center"/>
          </w:tcPr>
          <w:p w14:paraId="05CF6A19" w14:textId="77777777" w:rsidR="00990B14" w:rsidRDefault="00000000">
            <w:pPr>
              <w:spacing w:before="20" w:after="20"/>
              <w:jc w:val="center"/>
            </w:pPr>
            <w:r>
              <w:rPr>
                <w:b/>
                <w:bCs/>
                <w:sz w:val="18"/>
                <w:szCs w:val="18"/>
              </w:rPr>
              <w:t>4%</w:t>
            </w:r>
          </w:p>
        </w:tc>
      </w:tr>
      <w:tr w:rsidR="00990B14" w14:paraId="0EFCEBB8" w14:textId="77777777">
        <w:trPr>
          <w:cantSplit/>
          <w:jc w:val="center"/>
        </w:trPr>
        <w:tc>
          <w:tcPr>
            <w:tcW w:w="1885" w:type="dxa"/>
            <w:vMerge/>
            <w:shd w:val="clear" w:color="auto" w:fill="4472C4"/>
            <w:vAlign w:val="center"/>
          </w:tcPr>
          <w:p w14:paraId="257AA246" w14:textId="77777777" w:rsidR="00990B14" w:rsidRDefault="00990B14">
            <w:pPr>
              <w:spacing w:before="20" w:after="20"/>
            </w:pPr>
          </w:p>
        </w:tc>
        <w:tc>
          <w:tcPr>
            <w:tcW w:w="1870" w:type="dxa"/>
            <w:shd w:val="clear" w:color="auto" w:fill="4472C4"/>
            <w:vAlign w:val="center"/>
          </w:tcPr>
          <w:p w14:paraId="6CB01C10" w14:textId="77777777" w:rsidR="00990B14" w:rsidRDefault="00000000">
            <w:pPr>
              <w:keepNext/>
              <w:spacing w:before="20" w:after="20"/>
              <w:jc w:val="center"/>
            </w:pPr>
            <w:r>
              <w:rPr>
                <w:b/>
                <w:bCs/>
                <w:i/>
                <w:iCs/>
                <w:color w:val="FFFFFF"/>
                <w:sz w:val="18"/>
                <w:szCs w:val="18"/>
              </w:rPr>
              <w:t>Criterio</w:t>
            </w:r>
          </w:p>
        </w:tc>
        <w:tc>
          <w:tcPr>
            <w:tcW w:w="1866" w:type="dxa"/>
            <w:shd w:val="clear" w:color="auto" w:fill="4472C4"/>
            <w:vAlign w:val="center"/>
          </w:tcPr>
          <w:p w14:paraId="3B3185D7"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75E85A40" w14:textId="77777777" w:rsidR="00990B14" w:rsidRDefault="00000000">
            <w:pPr>
              <w:keepNext/>
              <w:spacing w:before="20" w:after="20"/>
              <w:jc w:val="center"/>
            </w:pPr>
            <w:r>
              <w:rPr>
                <w:b/>
                <w:bCs/>
                <w:i/>
                <w:iCs/>
                <w:color w:val="FFFFFF"/>
                <w:sz w:val="18"/>
                <w:szCs w:val="18"/>
              </w:rPr>
              <w:t>Suficiente (51–80)</w:t>
            </w:r>
          </w:p>
        </w:tc>
        <w:tc>
          <w:tcPr>
            <w:tcW w:w="1874" w:type="dxa"/>
            <w:shd w:val="clear" w:color="auto" w:fill="4472C4"/>
            <w:vAlign w:val="center"/>
          </w:tcPr>
          <w:p w14:paraId="6DDB3E96" w14:textId="77777777" w:rsidR="00990B14" w:rsidRDefault="00000000">
            <w:pPr>
              <w:keepNext/>
              <w:spacing w:before="20" w:after="20"/>
              <w:jc w:val="center"/>
            </w:pPr>
            <w:r>
              <w:rPr>
                <w:b/>
                <w:bCs/>
                <w:i/>
                <w:iCs/>
                <w:color w:val="FFFFFF"/>
                <w:sz w:val="18"/>
                <w:szCs w:val="18"/>
              </w:rPr>
              <w:t>Destacado (81–100)</w:t>
            </w:r>
          </w:p>
        </w:tc>
      </w:tr>
      <w:tr w:rsidR="00990B14" w14:paraId="1146D14A" w14:textId="77777777">
        <w:trPr>
          <w:cantSplit/>
          <w:jc w:val="center"/>
        </w:trPr>
        <w:tc>
          <w:tcPr>
            <w:tcW w:w="1885" w:type="dxa"/>
            <w:vMerge/>
            <w:shd w:val="clear" w:color="auto" w:fill="4472C4"/>
            <w:vAlign w:val="center"/>
          </w:tcPr>
          <w:p w14:paraId="17EBA2A0" w14:textId="77777777" w:rsidR="00990B14" w:rsidRDefault="00990B14">
            <w:pPr>
              <w:spacing w:before="20" w:after="20"/>
            </w:pPr>
          </w:p>
        </w:tc>
        <w:tc>
          <w:tcPr>
            <w:tcW w:w="1870" w:type="dxa"/>
            <w:shd w:val="clear" w:color="auto" w:fill="D9E2F3"/>
            <w:vAlign w:val="center"/>
          </w:tcPr>
          <w:p w14:paraId="45CA911E" w14:textId="77777777" w:rsidR="00990B14" w:rsidRDefault="00000000">
            <w:pPr>
              <w:spacing w:before="20" w:after="20"/>
              <w:jc w:val="both"/>
            </w:pPr>
            <w:r>
              <w:rPr>
                <w:sz w:val="18"/>
                <w:szCs w:val="18"/>
              </w:rPr>
              <w:t>Estructura del manual</w:t>
            </w:r>
          </w:p>
        </w:tc>
        <w:tc>
          <w:tcPr>
            <w:tcW w:w="1866" w:type="dxa"/>
            <w:shd w:val="clear" w:color="auto" w:fill="D9E2F3"/>
            <w:vAlign w:val="center"/>
          </w:tcPr>
          <w:p w14:paraId="072E0032" w14:textId="77777777" w:rsidR="00990B14" w:rsidRDefault="00000000">
            <w:pPr>
              <w:spacing w:before="20" w:after="20"/>
              <w:jc w:val="both"/>
            </w:pPr>
            <w:r>
              <w:rPr>
                <w:sz w:val="18"/>
                <w:szCs w:val="18"/>
              </w:rPr>
              <w:t>Omite elementos de la cuenta.</w:t>
            </w:r>
          </w:p>
        </w:tc>
        <w:tc>
          <w:tcPr>
            <w:tcW w:w="1910" w:type="dxa"/>
            <w:shd w:val="clear" w:color="auto" w:fill="D9E2F3"/>
            <w:vAlign w:val="center"/>
          </w:tcPr>
          <w:p w14:paraId="0ACA3EE8" w14:textId="77777777" w:rsidR="00990B14" w:rsidRDefault="00000000">
            <w:pPr>
              <w:spacing w:before="20" w:after="20"/>
              <w:jc w:val="both"/>
            </w:pPr>
            <w:r>
              <w:rPr>
                <w:sz w:val="18"/>
                <w:szCs w:val="18"/>
              </w:rPr>
              <w:t>Incluye código, título, concepto, movimiento, saldo y exposición.</w:t>
            </w:r>
          </w:p>
        </w:tc>
        <w:tc>
          <w:tcPr>
            <w:tcW w:w="1874" w:type="dxa"/>
            <w:shd w:val="clear" w:color="auto" w:fill="D9E2F3"/>
            <w:vAlign w:val="center"/>
          </w:tcPr>
          <w:p w14:paraId="0BDBFB5D" w14:textId="77777777" w:rsidR="00990B14" w:rsidRDefault="00000000">
            <w:pPr>
              <w:spacing w:before="20" w:after="20"/>
              <w:jc w:val="both"/>
            </w:pPr>
            <w:r>
              <w:rPr>
                <w:sz w:val="18"/>
                <w:szCs w:val="18"/>
              </w:rPr>
              <w:t>Añade ejemplos de registro por cuenta.</w:t>
            </w:r>
          </w:p>
        </w:tc>
      </w:tr>
      <w:tr w:rsidR="00990B14" w14:paraId="47553EC8" w14:textId="77777777">
        <w:trPr>
          <w:cantSplit/>
          <w:jc w:val="center"/>
        </w:trPr>
        <w:tc>
          <w:tcPr>
            <w:tcW w:w="1885" w:type="dxa"/>
            <w:vMerge/>
            <w:shd w:val="clear" w:color="auto" w:fill="4472C4"/>
            <w:vAlign w:val="center"/>
          </w:tcPr>
          <w:p w14:paraId="64D7C7B1" w14:textId="77777777" w:rsidR="00990B14" w:rsidRDefault="00990B14">
            <w:pPr>
              <w:spacing w:before="20" w:after="20"/>
            </w:pPr>
          </w:p>
        </w:tc>
        <w:tc>
          <w:tcPr>
            <w:tcW w:w="1870" w:type="dxa"/>
            <w:shd w:val="clear" w:color="auto" w:fill="D9E2F3"/>
            <w:vAlign w:val="center"/>
          </w:tcPr>
          <w:p w14:paraId="4514B9E7" w14:textId="77777777" w:rsidR="00990B14" w:rsidRDefault="00000000">
            <w:pPr>
              <w:spacing w:before="20" w:after="20"/>
              <w:jc w:val="both"/>
            </w:pPr>
            <w:r>
              <w:rPr>
                <w:sz w:val="18"/>
                <w:szCs w:val="18"/>
              </w:rPr>
              <w:t>Coherencia</w:t>
            </w:r>
          </w:p>
        </w:tc>
        <w:tc>
          <w:tcPr>
            <w:tcW w:w="1866" w:type="dxa"/>
            <w:shd w:val="clear" w:color="auto" w:fill="D9E2F3"/>
            <w:vAlign w:val="center"/>
          </w:tcPr>
          <w:p w14:paraId="472C9C46" w14:textId="77777777" w:rsidR="00990B14" w:rsidRDefault="00000000">
            <w:pPr>
              <w:spacing w:before="20" w:after="20"/>
              <w:jc w:val="both"/>
            </w:pPr>
            <w:r>
              <w:rPr>
                <w:sz w:val="18"/>
                <w:szCs w:val="18"/>
              </w:rPr>
              <w:t>Las descripciones se contradicen.</w:t>
            </w:r>
          </w:p>
        </w:tc>
        <w:tc>
          <w:tcPr>
            <w:tcW w:w="1910" w:type="dxa"/>
            <w:shd w:val="clear" w:color="auto" w:fill="D9E2F3"/>
            <w:vAlign w:val="center"/>
          </w:tcPr>
          <w:p w14:paraId="1573FC9A" w14:textId="77777777" w:rsidR="00990B14" w:rsidRDefault="00000000">
            <w:pPr>
              <w:spacing w:before="20" w:after="20"/>
              <w:jc w:val="both"/>
            </w:pPr>
            <w:r>
              <w:rPr>
                <w:sz w:val="18"/>
                <w:szCs w:val="18"/>
              </w:rPr>
              <w:t>Las descripciones son coherentes con la teoría de las cuentas.</w:t>
            </w:r>
          </w:p>
        </w:tc>
        <w:tc>
          <w:tcPr>
            <w:tcW w:w="1874" w:type="dxa"/>
            <w:shd w:val="clear" w:color="auto" w:fill="D9E2F3"/>
            <w:vAlign w:val="center"/>
          </w:tcPr>
          <w:p w14:paraId="1DAE6B40" w14:textId="77777777" w:rsidR="00990B14" w:rsidRDefault="00000000">
            <w:pPr>
              <w:spacing w:before="20" w:after="20"/>
              <w:jc w:val="both"/>
            </w:pPr>
            <w:r>
              <w:rPr>
                <w:sz w:val="18"/>
                <w:szCs w:val="18"/>
              </w:rPr>
              <w:t>Relaciona el manual con las políticas contables.</w:t>
            </w:r>
          </w:p>
        </w:tc>
      </w:tr>
      <w:tr w:rsidR="00990B14" w14:paraId="547426E3" w14:textId="77777777">
        <w:trPr>
          <w:cantSplit/>
          <w:jc w:val="center"/>
        </w:trPr>
        <w:tc>
          <w:tcPr>
            <w:tcW w:w="1885" w:type="dxa"/>
            <w:vMerge/>
            <w:shd w:val="clear" w:color="auto" w:fill="4472C4"/>
            <w:vAlign w:val="center"/>
          </w:tcPr>
          <w:p w14:paraId="2C5651E7" w14:textId="77777777" w:rsidR="00990B14" w:rsidRDefault="00990B14">
            <w:pPr>
              <w:spacing w:before="20" w:after="20"/>
            </w:pPr>
          </w:p>
        </w:tc>
        <w:tc>
          <w:tcPr>
            <w:tcW w:w="1870" w:type="dxa"/>
            <w:shd w:val="clear" w:color="auto" w:fill="D9E2F3"/>
            <w:vAlign w:val="center"/>
          </w:tcPr>
          <w:p w14:paraId="0690DD31" w14:textId="77777777" w:rsidR="00990B14" w:rsidRDefault="00000000">
            <w:pPr>
              <w:spacing w:before="20" w:after="20"/>
              <w:jc w:val="both"/>
            </w:pPr>
            <w:r>
              <w:rPr>
                <w:sz w:val="18"/>
                <w:szCs w:val="18"/>
              </w:rPr>
              <w:t>Redacción</w:t>
            </w:r>
          </w:p>
        </w:tc>
        <w:tc>
          <w:tcPr>
            <w:tcW w:w="1866" w:type="dxa"/>
            <w:shd w:val="clear" w:color="auto" w:fill="D9E2F3"/>
            <w:vAlign w:val="center"/>
          </w:tcPr>
          <w:p w14:paraId="7E826535" w14:textId="77777777" w:rsidR="00990B14" w:rsidRDefault="00000000">
            <w:pPr>
              <w:spacing w:before="20" w:after="20"/>
              <w:jc w:val="both"/>
            </w:pPr>
            <w:r>
              <w:rPr>
                <w:sz w:val="18"/>
                <w:szCs w:val="18"/>
              </w:rPr>
              <w:t>La redacción es confusa.</w:t>
            </w:r>
          </w:p>
        </w:tc>
        <w:tc>
          <w:tcPr>
            <w:tcW w:w="1910" w:type="dxa"/>
            <w:shd w:val="clear" w:color="auto" w:fill="D9E2F3"/>
            <w:vAlign w:val="center"/>
          </w:tcPr>
          <w:p w14:paraId="6B719C3C" w14:textId="77777777" w:rsidR="00990B14" w:rsidRDefault="00000000">
            <w:pPr>
              <w:spacing w:before="20" w:after="20"/>
              <w:jc w:val="both"/>
            </w:pPr>
            <w:r>
              <w:rPr>
                <w:sz w:val="18"/>
                <w:szCs w:val="18"/>
              </w:rPr>
              <w:t>La redacción es clara y técnica.</w:t>
            </w:r>
          </w:p>
        </w:tc>
        <w:tc>
          <w:tcPr>
            <w:tcW w:w="1874" w:type="dxa"/>
            <w:shd w:val="clear" w:color="auto" w:fill="D9E2F3"/>
            <w:vAlign w:val="center"/>
          </w:tcPr>
          <w:p w14:paraId="00839EEA" w14:textId="77777777" w:rsidR="00990B14" w:rsidRDefault="00000000">
            <w:pPr>
              <w:spacing w:before="20" w:after="20"/>
              <w:jc w:val="both"/>
            </w:pPr>
            <w:r>
              <w:rPr>
                <w:sz w:val="18"/>
                <w:szCs w:val="18"/>
              </w:rPr>
              <w:t>El manual es aplicable por un tercero.</w:t>
            </w:r>
          </w:p>
        </w:tc>
      </w:tr>
      <w:tr w:rsidR="00990B14" w14:paraId="27AFC97E" w14:textId="77777777">
        <w:trPr>
          <w:cantSplit/>
          <w:jc w:val="center"/>
        </w:trPr>
        <w:tc>
          <w:tcPr>
            <w:tcW w:w="1885" w:type="dxa"/>
            <w:vMerge/>
            <w:shd w:val="clear" w:color="auto" w:fill="4472C4"/>
            <w:vAlign w:val="center"/>
          </w:tcPr>
          <w:p w14:paraId="0704AEEE" w14:textId="77777777" w:rsidR="00990B14" w:rsidRDefault="00990B14">
            <w:pPr>
              <w:spacing w:before="20" w:after="20"/>
            </w:pPr>
          </w:p>
        </w:tc>
        <w:tc>
          <w:tcPr>
            <w:tcW w:w="5646" w:type="dxa"/>
            <w:gridSpan w:val="3"/>
            <w:shd w:val="clear" w:color="auto" w:fill="D9E2F3"/>
            <w:vAlign w:val="center"/>
          </w:tcPr>
          <w:p w14:paraId="59B7A4F2" w14:textId="77777777" w:rsidR="00990B14" w:rsidRDefault="00000000">
            <w:pPr>
              <w:keepNext/>
              <w:spacing w:before="20" w:after="20"/>
              <w:jc w:val="both"/>
            </w:pPr>
            <w:r>
              <w:rPr>
                <w:b/>
                <w:bCs/>
                <w:i/>
                <w:iCs/>
                <w:sz w:val="18"/>
                <w:szCs w:val="18"/>
              </w:rPr>
              <w:t xml:space="preserve">Producto 8: </w:t>
            </w:r>
            <w:r>
              <w:rPr>
                <w:sz w:val="18"/>
                <w:szCs w:val="18"/>
              </w:rPr>
              <w:t>Catálogo codificado de cuentas</w:t>
            </w:r>
          </w:p>
        </w:tc>
        <w:tc>
          <w:tcPr>
            <w:tcW w:w="1874" w:type="dxa"/>
            <w:shd w:val="clear" w:color="auto" w:fill="D9E2F3"/>
            <w:vAlign w:val="center"/>
          </w:tcPr>
          <w:p w14:paraId="753FB280" w14:textId="77777777" w:rsidR="00990B14" w:rsidRDefault="00000000">
            <w:pPr>
              <w:spacing w:before="20" w:after="20"/>
              <w:jc w:val="center"/>
            </w:pPr>
            <w:r>
              <w:rPr>
                <w:b/>
                <w:bCs/>
                <w:sz w:val="18"/>
                <w:szCs w:val="18"/>
              </w:rPr>
              <w:t>3%</w:t>
            </w:r>
          </w:p>
        </w:tc>
      </w:tr>
      <w:tr w:rsidR="00990B14" w14:paraId="58211278" w14:textId="77777777">
        <w:trPr>
          <w:cantSplit/>
          <w:jc w:val="center"/>
        </w:trPr>
        <w:tc>
          <w:tcPr>
            <w:tcW w:w="1885" w:type="dxa"/>
            <w:vMerge/>
            <w:shd w:val="clear" w:color="auto" w:fill="4472C4"/>
            <w:vAlign w:val="center"/>
          </w:tcPr>
          <w:p w14:paraId="1DD1BD51" w14:textId="77777777" w:rsidR="00990B14" w:rsidRDefault="00990B14">
            <w:pPr>
              <w:spacing w:before="20" w:after="20"/>
            </w:pPr>
          </w:p>
        </w:tc>
        <w:tc>
          <w:tcPr>
            <w:tcW w:w="1870" w:type="dxa"/>
            <w:shd w:val="clear" w:color="auto" w:fill="4472C4"/>
            <w:vAlign w:val="center"/>
          </w:tcPr>
          <w:p w14:paraId="12589E67" w14:textId="77777777" w:rsidR="00990B14" w:rsidRDefault="00000000">
            <w:pPr>
              <w:keepNext/>
              <w:spacing w:before="20" w:after="20"/>
              <w:jc w:val="center"/>
            </w:pPr>
            <w:r>
              <w:rPr>
                <w:b/>
                <w:bCs/>
                <w:i/>
                <w:iCs/>
                <w:color w:val="FFFFFF"/>
                <w:sz w:val="18"/>
                <w:szCs w:val="18"/>
              </w:rPr>
              <w:t>Criterio</w:t>
            </w:r>
          </w:p>
        </w:tc>
        <w:tc>
          <w:tcPr>
            <w:tcW w:w="1866" w:type="dxa"/>
            <w:shd w:val="clear" w:color="auto" w:fill="4472C4"/>
            <w:vAlign w:val="center"/>
          </w:tcPr>
          <w:p w14:paraId="6CC17DF4"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5609DDBE" w14:textId="77777777" w:rsidR="00990B14" w:rsidRDefault="00000000">
            <w:pPr>
              <w:keepNext/>
              <w:spacing w:before="20" w:after="20"/>
              <w:jc w:val="center"/>
            </w:pPr>
            <w:r>
              <w:rPr>
                <w:b/>
                <w:bCs/>
                <w:i/>
                <w:iCs/>
                <w:color w:val="FFFFFF"/>
                <w:sz w:val="18"/>
                <w:szCs w:val="18"/>
              </w:rPr>
              <w:t>Suficiente (51–80)</w:t>
            </w:r>
          </w:p>
        </w:tc>
        <w:tc>
          <w:tcPr>
            <w:tcW w:w="1874" w:type="dxa"/>
            <w:shd w:val="clear" w:color="auto" w:fill="4472C4"/>
            <w:vAlign w:val="center"/>
          </w:tcPr>
          <w:p w14:paraId="538CB5A3" w14:textId="77777777" w:rsidR="00990B14" w:rsidRDefault="00000000">
            <w:pPr>
              <w:keepNext/>
              <w:spacing w:before="20" w:after="20"/>
              <w:jc w:val="center"/>
            </w:pPr>
            <w:r>
              <w:rPr>
                <w:b/>
                <w:bCs/>
                <w:i/>
                <w:iCs/>
                <w:color w:val="FFFFFF"/>
                <w:sz w:val="18"/>
                <w:szCs w:val="18"/>
              </w:rPr>
              <w:t>Destacado (81–100)</w:t>
            </w:r>
          </w:p>
        </w:tc>
      </w:tr>
      <w:tr w:rsidR="00990B14" w14:paraId="492846D3" w14:textId="77777777">
        <w:trPr>
          <w:cantSplit/>
          <w:jc w:val="center"/>
        </w:trPr>
        <w:tc>
          <w:tcPr>
            <w:tcW w:w="1885" w:type="dxa"/>
            <w:vMerge/>
            <w:shd w:val="clear" w:color="auto" w:fill="4472C4"/>
            <w:vAlign w:val="center"/>
          </w:tcPr>
          <w:p w14:paraId="07CE60C9" w14:textId="77777777" w:rsidR="00990B14" w:rsidRDefault="00990B14">
            <w:pPr>
              <w:spacing w:before="20" w:after="20"/>
            </w:pPr>
          </w:p>
        </w:tc>
        <w:tc>
          <w:tcPr>
            <w:tcW w:w="1870" w:type="dxa"/>
            <w:shd w:val="clear" w:color="auto" w:fill="D9E2F3"/>
            <w:vAlign w:val="center"/>
          </w:tcPr>
          <w:p w14:paraId="1363B4AC" w14:textId="77777777" w:rsidR="00990B14" w:rsidRDefault="00000000">
            <w:pPr>
              <w:spacing w:before="20" w:after="20"/>
              <w:jc w:val="both"/>
            </w:pPr>
            <w:r>
              <w:rPr>
                <w:sz w:val="18"/>
                <w:szCs w:val="18"/>
              </w:rPr>
              <w:t>Requisitos de codificación</w:t>
            </w:r>
          </w:p>
        </w:tc>
        <w:tc>
          <w:tcPr>
            <w:tcW w:w="1866" w:type="dxa"/>
            <w:shd w:val="clear" w:color="auto" w:fill="D9E2F3"/>
            <w:vAlign w:val="center"/>
          </w:tcPr>
          <w:p w14:paraId="7316E00E" w14:textId="77777777" w:rsidR="00990B14" w:rsidRDefault="00000000">
            <w:pPr>
              <w:spacing w:before="20" w:after="20"/>
              <w:jc w:val="both"/>
            </w:pPr>
            <w:r>
              <w:rPr>
                <w:sz w:val="18"/>
                <w:szCs w:val="18"/>
              </w:rPr>
              <w:t>El código no es jerárquico.</w:t>
            </w:r>
          </w:p>
        </w:tc>
        <w:tc>
          <w:tcPr>
            <w:tcW w:w="1910" w:type="dxa"/>
            <w:shd w:val="clear" w:color="auto" w:fill="D9E2F3"/>
            <w:vAlign w:val="center"/>
          </w:tcPr>
          <w:p w14:paraId="4F9E746B" w14:textId="77777777" w:rsidR="00990B14" w:rsidRDefault="00000000">
            <w:pPr>
              <w:spacing w:before="20" w:after="20"/>
              <w:jc w:val="both"/>
            </w:pPr>
            <w:r>
              <w:rPr>
                <w:sz w:val="18"/>
                <w:szCs w:val="18"/>
              </w:rPr>
              <w:t>Aplica un código jerárquico y flexible.</w:t>
            </w:r>
          </w:p>
        </w:tc>
        <w:tc>
          <w:tcPr>
            <w:tcW w:w="1874" w:type="dxa"/>
            <w:shd w:val="clear" w:color="auto" w:fill="D9E2F3"/>
            <w:vAlign w:val="center"/>
          </w:tcPr>
          <w:p w14:paraId="0CE5061D" w14:textId="77777777" w:rsidR="00990B14" w:rsidRDefault="00000000">
            <w:pPr>
              <w:spacing w:before="20" w:after="20"/>
              <w:jc w:val="both"/>
            </w:pPr>
            <w:r>
              <w:rPr>
                <w:sz w:val="18"/>
                <w:szCs w:val="18"/>
              </w:rPr>
              <w:t>Prevé la incorporación de nuevas cuentas.</w:t>
            </w:r>
          </w:p>
        </w:tc>
      </w:tr>
      <w:tr w:rsidR="00990B14" w14:paraId="2C94E6D8" w14:textId="77777777">
        <w:trPr>
          <w:cantSplit/>
          <w:jc w:val="center"/>
        </w:trPr>
        <w:tc>
          <w:tcPr>
            <w:tcW w:w="1885" w:type="dxa"/>
            <w:vMerge/>
            <w:shd w:val="clear" w:color="auto" w:fill="4472C4"/>
            <w:vAlign w:val="center"/>
          </w:tcPr>
          <w:p w14:paraId="2931E0A6" w14:textId="77777777" w:rsidR="00990B14" w:rsidRDefault="00990B14">
            <w:pPr>
              <w:spacing w:before="20" w:after="20"/>
            </w:pPr>
          </w:p>
        </w:tc>
        <w:tc>
          <w:tcPr>
            <w:tcW w:w="1870" w:type="dxa"/>
            <w:shd w:val="clear" w:color="auto" w:fill="D9E2F3"/>
            <w:vAlign w:val="center"/>
          </w:tcPr>
          <w:p w14:paraId="79840B88" w14:textId="77777777" w:rsidR="00990B14" w:rsidRDefault="00000000">
            <w:pPr>
              <w:spacing w:before="20" w:after="20"/>
              <w:jc w:val="both"/>
            </w:pPr>
            <w:r>
              <w:rPr>
                <w:sz w:val="18"/>
                <w:szCs w:val="18"/>
              </w:rPr>
              <w:t>Agrupación</w:t>
            </w:r>
          </w:p>
        </w:tc>
        <w:tc>
          <w:tcPr>
            <w:tcW w:w="1866" w:type="dxa"/>
            <w:shd w:val="clear" w:color="auto" w:fill="D9E2F3"/>
            <w:vAlign w:val="center"/>
          </w:tcPr>
          <w:p w14:paraId="59BB4855" w14:textId="77777777" w:rsidR="00990B14" w:rsidRDefault="00000000">
            <w:pPr>
              <w:spacing w:before="20" w:after="20"/>
              <w:jc w:val="both"/>
            </w:pPr>
            <w:r>
              <w:rPr>
                <w:sz w:val="18"/>
                <w:szCs w:val="18"/>
              </w:rPr>
              <w:t>Agrupa mal las cuentas.</w:t>
            </w:r>
          </w:p>
        </w:tc>
        <w:tc>
          <w:tcPr>
            <w:tcW w:w="1910" w:type="dxa"/>
            <w:shd w:val="clear" w:color="auto" w:fill="D9E2F3"/>
            <w:vAlign w:val="center"/>
          </w:tcPr>
          <w:p w14:paraId="00D2BC53" w14:textId="77777777" w:rsidR="00990B14" w:rsidRDefault="00000000">
            <w:pPr>
              <w:spacing w:before="20" w:after="20"/>
              <w:jc w:val="both"/>
            </w:pPr>
            <w:r>
              <w:rPr>
                <w:sz w:val="18"/>
                <w:szCs w:val="18"/>
              </w:rPr>
              <w:t>Agrupa las cuentas por rubro y subrubro.</w:t>
            </w:r>
          </w:p>
        </w:tc>
        <w:tc>
          <w:tcPr>
            <w:tcW w:w="1874" w:type="dxa"/>
            <w:shd w:val="clear" w:color="auto" w:fill="D9E2F3"/>
            <w:vAlign w:val="center"/>
          </w:tcPr>
          <w:p w14:paraId="2F8F6EA8" w14:textId="77777777" w:rsidR="00990B14" w:rsidRDefault="00000000">
            <w:pPr>
              <w:spacing w:before="20" w:after="20"/>
              <w:jc w:val="both"/>
            </w:pPr>
            <w:r>
              <w:rPr>
                <w:sz w:val="18"/>
                <w:szCs w:val="18"/>
              </w:rPr>
              <w:t>Justifica la agrupación adoptada.</w:t>
            </w:r>
          </w:p>
        </w:tc>
      </w:tr>
      <w:tr w:rsidR="00990B14" w14:paraId="78D282D9" w14:textId="77777777">
        <w:trPr>
          <w:cantSplit/>
          <w:jc w:val="center"/>
        </w:trPr>
        <w:tc>
          <w:tcPr>
            <w:tcW w:w="1885" w:type="dxa"/>
            <w:vMerge/>
            <w:shd w:val="clear" w:color="auto" w:fill="4472C4"/>
            <w:vAlign w:val="center"/>
          </w:tcPr>
          <w:p w14:paraId="6768BA34" w14:textId="77777777" w:rsidR="00990B14" w:rsidRDefault="00990B14">
            <w:pPr>
              <w:spacing w:before="20" w:after="20"/>
            </w:pPr>
          </w:p>
        </w:tc>
        <w:tc>
          <w:tcPr>
            <w:tcW w:w="1870" w:type="dxa"/>
            <w:shd w:val="clear" w:color="auto" w:fill="D9E2F3"/>
            <w:vAlign w:val="center"/>
          </w:tcPr>
          <w:p w14:paraId="37BC5B42" w14:textId="77777777" w:rsidR="00990B14" w:rsidRDefault="00000000">
            <w:pPr>
              <w:spacing w:before="20" w:after="20"/>
              <w:jc w:val="both"/>
            </w:pPr>
            <w:r>
              <w:rPr>
                <w:sz w:val="18"/>
                <w:szCs w:val="18"/>
              </w:rPr>
              <w:t>Exactitud</w:t>
            </w:r>
          </w:p>
        </w:tc>
        <w:tc>
          <w:tcPr>
            <w:tcW w:w="1866" w:type="dxa"/>
            <w:shd w:val="clear" w:color="auto" w:fill="D9E2F3"/>
            <w:vAlign w:val="center"/>
          </w:tcPr>
          <w:p w14:paraId="5005C699" w14:textId="77777777" w:rsidR="00990B14" w:rsidRDefault="00000000">
            <w:pPr>
              <w:spacing w:before="20" w:after="20"/>
              <w:jc w:val="both"/>
            </w:pPr>
            <w:r>
              <w:rPr>
                <w:sz w:val="18"/>
                <w:szCs w:val="18"/>
              </w:rPr>
              <w:t>El catálogo tiene errores.</w:t>
            </w:r>
          </w:p>
        </w:tc>
        <w:tc>
          <w:tcPr>
            <w:tcW w:w="1910" w:type="dxa"/>
            <w:shd w:val="clear" w:color="auto" w:fill="D9E2F3"/>
            <w:vAlign w:val="center"/>
          </w:tcPr>
          <w:p w14:paraId="08A0AA56" w14:textId="77777777" w:rsidR="00990B14" w:rsidRDefault="00000000">
            <w:pPr>
              <w:spacing w:before="20" w:after="20"/>
              <w:jc w:val="both"/>
            </w:pPr>
            <w:r>
              <w:rPr>
                <w:sz w:val="18"/>
                <w:szCs w:val="18"/>
              </w:rPr>
              <w:t>El catálogo es completo y correcto.</w:t>
            </w:r>
          </w:p>
        </w:tc>
        <w:tc>
          <w:tcPr>
            <w:tcW w:w="1874" w:type="dxa"/>
            <w:shd w:val="clear" w:color="auto" w:fill="D9E2F3"/>
            <w:vAlign w:val="center"/>
          </w:tcPr>
          <w:p w14:paraId="16B3550D" w14:textId="77777777" w:rsidR="00990B14" w:rsidRDefault="00000000">
            <w:pPr>
              <w:spacing w:before="20" w:after="20"/>
              <w:jc w:val="both"/>
            </w:pPr>
            <w:r>
              <w:rPr>
                <w:sz w:val="18"/>
                <w:szCs w:val="18"/>
              </w:rPr>
              <w:t>El catálogo es consistente con el manual.</w:t>
            </w:r>
          </w:p>
        </w:tc>
      </w:tr>
      <w:tr w:rsidR="00990B14" w14:paraId="400968EF" w14:textId="77777777">
        <w:trPr>
          <w:cantSplit/>
          <w:jc w:val="center"/>
        </w:trPr>
        <w:tc>
          <w:tcPr>
            <w:tcW w:w="1885" w:type="dxa"/>
            <w:vMerge/>
            <w:shd w:val="clear" w:color="auto" w:fill="4472C4"/>
            <w:vAlign w:val="center"/>
          </w:tcPr>
          <w:p w14:paraId="3EF2C8B3" w14:textId="77777777" w:rsidR="00990B14" w:rsidRDefault="00990B14">
            <w:pPr>
              <w:spacing w:before="20" w:after="20"/>
            </w:pPr>
          </w:p>
        </w:tc>
        <w:tc>
          <w:tcPr>
            <w:tcW w:w="5646" w:type="dxa"/>
            <w:gridSpan w:val="3"/>
            <w:shd w:val="clear" w:color="auto" w:fill="D9E2F3"/>
            <w:vAlign w:val="center"/>
          </w:tcPr>
          <w:p w14:paraId="030A5D43" w14:textId="77777777" w:rsidR="00990B14" w:rsidRDefault="00000000">
            <w:pPr>
              <w:keepNext/>
              <w:spacing w:before="20" w:after="20"/>
              <w:jc w:val="both"/>
            </w:pPr>
            <w:r>
              <w:rPr>
                <w:b/>
                <w:bCs/>
                <w:i/>
                <w:iCs/>
                <w:sz w:val="18"/>
                <w:szCs w:val="18"/>
              </w:rPr>
              <w:t xml:space="preserve">Producto 9: </w:t>
            </w:r>
            <w:r>
              <w:rPr>
                <w:sz w:val="18"/>
                <w:szCs w:val="18"/>
              </w:rPr>
              <w:t>Registros de diario</w:t>
            </w:r>
          </w:p>
        </w:tc>
        <w:tc>
          <w:tcPr>
            <w:tcW w:w="1874" w:type="dxa"/>
            <w:shd w:val="clear" w:color="auto" w:fill="D9E2F3"/>
            <w:vAlign w:val="center"/>
          </w:tcPr>
          <w:p w14:paraId="3FA88BD6" w14:textId="77777777" w:rsidR="00990B14" w:rsidRDefault="00000000">
            <w:pPr>
              <w:spacing w:before="20" w:after="20"/>
              <w:jc w:val="center"/>
            </w:pPr>
            <w:r>
              <w:rPr>
                <w:b/>
                <w:bCs/>
                <w:sz w:val="18"/>
                <w:szCs w:val="18"/>
              </w:rPr>
              <w:t>5%</w:t>
            </w:r>
          </w:p>
        </w:tc>
      </w:tr>
      <w:tr w:rsidR="00990B14" w14:paraId="6D9A39AC" w14:textId="77777777">
        <w:trPr>
          <w:cantSplit/>
          <w:jc w:val="center"/>
        </w:trPr>
        <w:tc>
          <w:tcPr>
            <w:tcW w:w="1885" w:type="dxa"/>
            <w:vMerge/>
            <w:shd w:val="clear" w:color="auto" w:fill="4472C4"/>
            <w:vAlign w:val="center"/>
          </w:tcPr>
          <w:p w14:paraId="440B81A6" w14:textId="77777777" w:rsidR="00990B14" w:rsidRDefault="00990B14">
            <w:pPr>
              <w:spacing w:before="20" w:after="20"/>
            </w:pPr>
          </w:p>
        </w:tc>
        <w:tc>
          <w:tcPr>
            <w:tcW w:w="1870" w:type="dxa"/>
            <w:shd w:val="clear" w:color="auto" w:fill="4472C4"/>
            <w:vAlign w:val="center"/>
          </w:tcPr>
          <w:p w14:paraId="08799B91" w14:textId="77777777" w:rsidR="00990B14" w:rsidRDefault="00000000">
            <w:pPr>
              <w:keepNext/>
              <w:spacing w:before="20" w:after="20"/>
              <w:jc w:val="center"/>
            </w:pPr>
            <w:r>
              <w:rPr>
                <w:b/>
                <w:bCs/>
                <w:i/>
                <w:iCs/>
                <w:color w:val="FFFFFF"/>
                <w:sz w:val="18"/>
                <w:szCs w:val="18"/>
              </w:rPr>
              <w:t>Criterio</w:t>
            </w:r>
          </w:p>
        </w:tc>
        <w:tc>
          <w:tcPr>
            <w:tcW w:w="1866" w:type="dxa"/>
            <w:shd w:val="clear" w:color="auto" w:fill="4472C4"/>
            <w:vAlign w:val="center"/>
          </w:tcPr>
          <w:p w14:paraId="3C51D07C"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29B7F17A" w14:textId="77777777" w:rsidR="00990B14" w:rsidRDefault="00000000">
            <w:pPr>
              <w:keepNext/>
              <w:spacing w:before="20" w:after="20"/>
              <w:jc w:val="center"/>
            </w:pPr>
            <w:r>
              <w:rPr>
                <w:b/>
                <w:bCs/>
                <w:i/>
                <w:iCs/>
                <w:color w:val="FFFFFF"/>
                <w:sz w:val="18"/>
                <w:szCs w:val="18"/>
              </w:rPr>
              <w:t>Suficiente (51–80)</w:t>
            </w:r>
          </w:p>
        </w:tc>
        <w:tc>
          <w:tcPr>
            <w:tcW w:w="1874" w:type="dxa"/>
            <w:shd w:val="clear" w:color="auto" w:fill="4472C4"/>
            <w:vAlign w:val="center"/>
          </w:tcPr>
          <w:p w14:paraId="10B7934A" w14:textId="77777777" w:rsidR="00990B14" w:rsidRDefault="00000000">
            <w:pPr>
              <w:keepNext/>
              <w:spacing w:before="20" w:after="20"/>
              <w:jc w:val="center"/>
            </w:pPr>
            <w:r>
              <w:rPr>
                <w:b/>
                <w:bCs/>
                <w:i/>
                <w:iCs/>
                <w:color w:val="FFFFFF"/>
                <w:sz w:val="18"/>
                <w:szCs w:val="18"/>
              </w:rPr>
              <w:t>Destacado (81–100)</w:t>
            </w:r>
          </w:p>
        </w:tc>
      </w:tr>
      <w:tr w:rsidR="00990B14" w14:paraId="0168C2E6" w14:textId="77777777">
        <w:trPr>
          <w:cantSplit/>
          <w:jc w:val="center"/>
        </w:trPr>
        <w:tc>
          <w:tcPr>
            <w:tcW w:w="1885" w:type="dxa"/>
            <w:vMerge/>
            <w:shd w:val="clear" w:color="auto" w:fill="4472C4"/>
            <w:vAlign w:val="center"/>
          </w:tcPr>
          <w:p w14:paraId="50A379BD" w14:textId="77777777" w:rsidR="00990B14" w:rsidRDefault="00990B14">
            <w:pPr>
              <w:spacing w:before="20" w:after="20"/>
            </w:pPr>
          </w:p>
        </w:tc>
        <w:tc>
          <w:tcPr>
            <w:tcW w:w="1870" w:type="dxa"/>
            <w:shd w:val="clear" w:color="auto" w:fill="D9E2F3"/>
            <w:vAlign w:val="center"/>
          </w:tcPr>
          <w:p w14:paraId="2A82240C" w14:textId="77777777" w:rsidR="00990B14" w:rsidRDefault="00000000">
            <w:pPr>
              <w:spacing w:before="20" w:after="20"/>
              <w:jc w:val="both"/>
            </w:pPr>
            <w:r>
              <w:rPr>
                <w:sz w:val="18"/>
                <w:szCs w:val="18"/>
              </w:rPr>
              <w:t>Comprobantes</w:t>
            </w:r>
          </w:p>
        </w:tc>
        <w:tc>
          <w:tcPr>
            <w:tcW w:w="1866" w:type="dxa"/>
            <w:shd w:val="clear" w:color="auto" w:fill="D9E2F3"/>
            <w:vAlign w:val="center"/>
          </w:tcPr>
          <w:p w14:paraId="5DADB8C6" w14:textId="77777777" w:rsidR="00990B14" w:rsidRDefault="00000000">
            <w:pPr>
              <w:spacing w:before="20" w:after="20"/>
              <w:jc w:val="both"/>
            </w:pPr>
            <w:r>
              <w:rPr>
                <w:sz w:val="18"/>
                <w:szCs w:val="18"/>
              </w:rPr>
              <w:t>Los comprobantes carecen de formalidades.</w:t>
            </w:r>
          </w:p>
        </w:tc>
        <w:tc>
          <w:tcPr>
            <w:tcW w:w="1910" w:type="dxa"/>
            <w:shd w:val="clear" w:color="auto" w:fill="D9E2F3"/>
            <w:vAlign w:val="center"/>
          </w:tcPr>
          <w:p w14:paraId="6C966AA7" w14:textId="77777777" w:rsidR="00990B14" w:rsidRDefault="00000000">
            <w:pPr>
              <w:spacing w:before="20" w:after="20"/>
              <w:jc w:val="both"/>
            </w:pPr>
            <w:r>
              <w:rPr>
                <w:sz w:val="18"/>
                <w:szCs w:val="18"/>
              </w:rPr>
              <w:t>Elabora comprobantes con numeración, glosa y firmas.</w:t>
            </w:r>
          </w:p>
        </w:tc>
        <w:tc>
          <w:tcPr>
            <w:tcW w:w="1874" w:type="dxa"/>
            <w:shd w:val="clear" w:color="auto" w:fill="D9E2F3"/>
            <w:vAlign w:val="center"/>
          </w:tcPr>
          <w:p w14:paraId="618689FE" w14:textId="77777777" w:rsidR="00990B14" w:rsidRDefault="00000000">
            <w:pPr>
              <w:spacing w:before="20" w:after="20"/>
              <w:jc w:val="both"/>
            </w:pPr>
            <w:r>
              <w:rPr>
                <w:sz w:val="18"/>
                <w:szCs w:val="18"/>
              </w:rPr>
              <w:t>Vincula cada comprobante con su documento de respaldo.</w:t>
            </w:r>
          </w:p>
        </w:tc>
      </w:tr>
      <w:tr w:rsidR="00990B14" w14:paraId="1B0E61EB" w14:textId="77777777">
        <w:trPr>
          <w:cantSplit/>
          <w:jc w:val="center"/>
        </w:trPr>
        <w:tc>
          <w:tcPr>
            <w:tcW w:w="1885" w:type="dxa"/>
            <w:vMerge/>
            <w:shd w:val="clear" w:color="auto" w:fill="4472C4"/>
            <w:vAlign w:val="center"/>
          </w:tcPr>
          <w:p w14:paraId="2B099B11" w14:textId="77777777" w:rsidR="00990B14" w:rsidRDefault="00990B14">
            <w:pPr>
              <w:spacing w:before="20" w:after="20"/>
            </w:pPr>
          </w:p>
        </w:tc>
        <w:tc>
          <w:tcPr>
            <w:tcW w:w="1870" w:type="dxa"/>
            <w:shd w:val="clear" w:color="auto" w:fill="D9E2F3"/>
            <w:vAlign w:val="center"/>
          </w:tcPr>
          <w:p w14:paraId="2A8EA6C8" w14:textId="77777777" w:rsidR="00990B14" w:rsidRDefault="00000000">
            <w:pPr>
              <w:spacing w:before="20" w:after="20"/>
              <w:jc w:val="both"/>
            </w:pPr>
            <w:r>
              <w:rPr>
                <w:sz w:val="18"/>
                <w:szCs w:val="18"/>
              </w:rPr>
              <w:t>Asientos</w:t>
            </w:r>
          </w:p>
        </w:tc>
        <w:tc>
          <w:tcPr>
            <w:tcW w:w="1866" w:type="dxa"/>
            <w:shd w:val="clear" w:color="auto" w:fill="D9E2F3"/>
            <w:vAlign w:val="center"/>
          </w:tcPr>
          <w:p w14:paraId="3DA11033" w14:textId="77777777" w:rsidR="00990B14" w:rsidRDefault="00000000">
            <w:pPr>
              <w:spacing w:before="20" w:after="20"/>
              <w:jc w:val="both"/>
            </w:pPr>
            <w:r>
              <w:rPr>
                <w:sz w:val="18"/>
                <w:szCs w:val="18"/>
              </w:rPr>
              <w:t>Registra asientos que no cumplen la partida doble.</w:t>
            </w:r>
          </w:p>
        </w:tc>
        <w:tc>
          <w:tcPr>
            <w:tcW w:w="1910" w:type="dxa"/>
            <w:shd w:val="clear" w:color="auto" w:fill="D9E2F3"/>
            <w:vAlign w:val="center"/>
          </w:tcPr>
          <w:p w14:paraId="66F745EF" w14:textId="77777777" w:rsidR="00990B14" w:rsidRDefault="00000000">
            <w:pPr>
              <w:spacing w:before="20" w:after="20"/>
              <w:jc w:val="both"/>
            </w:pPr>
            <w:r>
              <w:rPr>
                <w:sz w:val="18"/>
                <w:szCs w:val="18"/>
              </w:rPr>
              <w:t>Registra asientos de apertura y de ejercicio correctos.</w:t>
            </w:r>
          </w:p>
        </w:tc>
        <w:tc>
          <w:tcPr>
            <w:tcW w:w="1874" w:type="dxa"/>
            <w:shd w:val="clear" w:color="auto" w:fill="D9E2F3"/>
            <w:vAlign w:val="center"/>
          </w:tcPr>
          <w:p w14:paraId="3742DC68" w14:textId="77777777" w:rsidR="00990B14" w:rsidRDefault="00000000">
            <w:pPr>
              <w:spacing w:before="20" w:after="20"/>
              <w:jc w:val="both"/>
            </w:pPr>
            <w:r>
              <w:rPr>
                <w:sz w:val="18"/>
                <w:szCs w:val="18"/>
              </w:rPr>
              <w:t>Usa asientos compuestos cuando corresponde.</w:t>
            </w:r>
          </w:p>
        </w:tc>
      </w:tr>
      <w:tr w:rsidR="00990B14" w14:paraId="2B1537C0" w14:textId="77777777">
        <w:trPr>
          <w:cantSplit/>
          <w:jc w:val="center"/>
        </w:trPr>
        <w:tc>
          <w:tcPr>
            <w:tcW w:w="1885" w:type="dxa"/>
            <w:vMerge/>
            <w:shd w:val="clear" w:color="auto" w:fill="4472C4"/>
            <w:vAlign w:val="center"/>
          </w:tcPr>
          <w:p w14:paraId="11CF2993" w14:textId="77777777" w:rsidR="00990B14" w:rsidRDefault="00990B14">
            <w:pPr>
              <w:spacing w:before="20" w:after="20"/>
            </w:pPr>
          </w:p>
        </w:tc>
        <w:tc>
          <w:tcPr>
            <w:tcW w:w="1870" w:type="dxa"/>
            <w:shd w:val="clear" w:color="auto" w:fill="D9E2F3"/>
            <w:vAlign w:val="center"/>
          </w:tcPr>
          <w:p w14:paraId="537A9E87" w14:textId="77777777" w:rsidR="00990B14" w:rsidRDefault="00000000">
            <w:pPr>
              <w:spacing w:before="20" w:after="20"/>
              <w:jc w:val="both"/>
            </w:pPr>
            <w:r>
              <w:rPr>
                <w:sz w:val="18"/>
                <w:szCs w:val="18"/>
              </w:rPr>
              <w:t>Orden cronológico</w:t>
            </w:r>
          </w:p>
        </w:tc>
        <w:tc>
          <w:tcPr>
            <w:tcW w:w="1866" w:type="dxa"/>
            <w:shd w:val="clear" w:color="auto" w:fill="D9E2F3"/>
            <w:vAlign w:val="center"/>
          </w:tcPr>
          <w:p w14:paraId="22208EBD" w14:textId="77777777" w:rsidR="00990B14" w:rsidRDefault="00000000">
            <w:pPr>
              <w:spacing w:before="20" w:after="20"/>
              <w:jc w:val="both"/>
            </w:pPr>
            <w:r>
              <w:rPr>
                <w:sz w:val="18"/>
                <w:szCs w:val="18"/>
              </w:rPr>
              <w:t>Altera el orden de las operaciones.</w:t>
            </w:r>
          </w:p>
        </w:tc>
        <w:tc>
          <w:tcPr>
            <w:tcW w:w="1910" w:type="dxa"/>
            <w:shd w:val="clear" w:color="auto" w:fill="D9E2F3"/>
            <w:vAlign w:val="center"/>
          </w:tcPr>
          <w:p w14:paraId="5610BF80" w14:textId="77777777" w:rsidR="00990B14" w:rsidRDefault="00000000">
            <w:pPr>
              <w:spacing w:before="20" w:after="20"/>
              <w:jc w:val="both"/>
            </w:pPr>
            <w:r>
              <w:rPr>
                <w:sz w:val="18"/>
                <w:szCs w:val="18"/>
              </w:rPr>
              <w:t>Respeta el orden cronológico.</w:t>
            </w:r>
          </w:p>
        </w:tc>
        <w:tc>
          <w:tcPr>
            <w:tcW w:w="1874" w:type="dxa"/>
            <w:shd w:val="clear" w:color="auto" w:fill="D9E2F3"/>
            <w:vAlign w:val="center"/>
          </w:tcPr>
          <w:p w14:paraId="5B8F7F58" w14:textId="77777777" w:rsidR="00990B14" w:rsidRDefault="00000000">
            <w:pPr>
              <w:spacing w:before="20" w:after="20"/>
              <w:jc w:val="both"/>
            </w:pPr>
            <w:r>
              <w:rPr>
                <w:sz w:val="18"/>
                <w:szCs w:val="18"/>
              </w:rPr>
              <w:t>Mantiene totales de control por página.</w:t>
            </w:r>
          </w:p>
        </w:tc>
      </w:tr>
      <w:tr w:rsidR="00990B14" w14:paraId="02C00092" w14:textId="77777777">
        <w:trPr>
          <w:cantSplit/>
          <w:jc w:val="center"/>
        </w:trPr>
        <w:tc>
          <w:tcPr>
            <w:tcW w:w="1885" w:type="dxa"/>
            <w:vMerge/>
            <w:shd w:val="clear" w:color="auto" w:fill="4472C4"/>
            <w:vAlign w:val="center"/>
          </w:tcPr>
          <w:p w14:paraId="68087FFD" w14:textId="77777777" w:rsidR="00990B14" w:rsidRDefault="00990B14">
            <w:pPr>
              <w:spacing w:before="20" w:after="20"/>
            </w:pPr>
          </w:p>
        </w:tc>
        <w:tc>
          <w:tcPr>
            <w:tcW w:w="5646" w:type="dxa"/>
            <w:gridSpan w:val="3"/>
            <w:shd w:val="clear" w:color="auto" w:fill="D9E2F3"/>
            <w:vAlign w:val="center"/>
          </w:tcPr>
          <w:p w14:paraId="2922F271" w14:textId="77777777" w:rsidR="00990B14" w:rsidRDefault="00000000">
            <w:pPr>
              <w:keepNext/>
              <w:spacing w:before="20" w:after="20"/>
              <w:jc w:val="both"/>
            </w:pPr>
            <w:r>
              <w:rPr>
                <w:b/>
                <w:bCs/>
                <w:i/>
                <w:iCs/>
                <w:sz w:val="18"/>
                <w:szCs w:val="18"/>
              </w:rPr>
              <w:t xml:space="preserve">Producto 10: </w:t>
            </w:r>
            <w:r>
              <w:rPr>
                <w:sz w:val="18"/>
                <w:szCs w:val="18"/>
              </w:rPr>
              <w:t>Registros de mayor</w:t>
            </w:r>
          </w:p>
        </w:tc>
        <w:tc>
          <w:tcPr>
            <w:tcW w:w="1874" w:type="dxa"/>
            <w:shd w:val="clear" w:color="auto" w:fill="D9E2F3"/>
            <w:vAlign w:val="center"/>
          </w:tcPr>
          <w:p w14:paraId="3CBB913F" w14:textId="77777777" w:rsidR="00990B14" w:rsidRDefault="00000000">
            <w:pPr>
              <w:spacing w:before="20" w:after="20"/>
              <w:jc w:val="center"/>
            </w:pPr>
            <w:r>
              <w:rPr>
                <w:b/>
                <w:bCs/>
                <w:sz w:val="18"/>
                <w:szCs w:val="18"/>
              </w:rPr>
              <w:t>5%</w:t>
            </w:r>
          </w:p>
        </w:tc>
      </w:tr>
      <w:tr w:rsidR="00990B14" w14:paraId="09029256" w14:textId="77777777">
        <w:trPr>
          <w:cantSplit/>
          <w:jc w:val="center"/>
        </w:trPr>
        <w:tc>
          <w:tcPr>
            <w:tcW w:w="1885" w:type="dxa"/>
            <w:vMerge/>
            <w:shd w:val="clear" w:color="auto" w:fill="4472C4"/>
            <w:vAlign w:val="center"/>
          </w:tcPr>
          <w:p w14:paraId="1AE29CFC" w14:textId="77777777" w:rsidR="00990B14" w:rsidRDefault="00990B14">
            <w:pPr>
              <w:spacing w:before="20" w:after="20"/>
            </w:pPr>
          </w:p>
        </w:tc>
        <w:tc>
          <w:tcPr>
            <w:tcW w:w="1870" w:type="dxa"/>
            <w:shd w:val="clear" w:color="auto" w:fill="4472C4"/>
            <w:vAlign w:val="center"/>
          </w:tcPr>
          <w:p w14:paraId="02AD2F04" w14:textId="77777777" w:rsidR="00990B14" w:rsidRDefault="00000000">
            <w:pPr>
              <w:keepNext/>
              <w:spacing w:before="20" w:after="20"/>
              <w:jc w:val="center"/>
            </w:pPr>
            <w:r>
              <w:rPr>
                <w:b/>
                <w:bCs/>
                <w:i/>
                <w:iCs/>
                <w:color w:val="FFFFFF"/>
                <w:sz w:val="18"/>
                <w:szCs w:val="18"/>
              </w:rPr>
              <w:t>Criterio</w:t>
            </w:r>
          </w:p>
        </w:tc>
        <w:tc>
          <w:tcPr>
            <w:tcW w:w="1866" w:type="dxa"/>
            <w:shd w:val="clear" w:color="auto" w:fill="4472C4"/>
            <w:vAlign w:val="center"/>
          </w:tcPr>
          <w:p w14:paraId="48F1712A"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718F2163" w14:textId="77777777" w:rsidR="00990B14" w:rsidRDefault="00000000">
            <w:pPr>
              <w:keepNext/>
              <w:spacing w:before="20" w:after="20"/>
              <w:jc w:val="center"/>
            </w:pPr>
            <w:r>
              <w:rPr>
                <w:b/>
                <w:bCs/>
                <w:i/>
                <w:iCs/>
                <w:color w:val="FFFFFF"/>
                <w:sz w:val="18"/>
                <w:szCs w:val="18"/>
              </w:rPr>
              <w:t>Suficiente (51–80)</w:t>
            </w:r>
          </w:p>
        </w:tc>
        <w:tc>
          <w:tcPr>
            <w:tcW w:w="1874" w:type="dxa"/>
            <w:shd w:val="clear" w:color="auto" w:fill="4472C4"/>
            <w:vAlign w:val="center"/>
          </w:tcPr>
          <w:p w14:paraId="1B00CE99" w14:textId="77777777" w:rsidR="00990B14" w:rsidRDefault="00000000">
            <w:pPr>
              <w:keepNext/>
              <w:spacing w:before="20" w:after="20"/>
              <w:jc w:val="center"/>
            </w:pPr>
            <w:r>
              <w:rPr>
                <w:b/>
                <w:bCs/>
                <w:i/>
                <w:iCs/>
                <w:color w:val="FFFFFF"/>
                <w:sz w:val="18"/>
                <w:szCs w:val="18"/>
              </w:rPr>
              <w:t>Destacado (81–100)</w:t>
            </w:r>
          </w:p>
        </w:tc>
      </w:tr>
      <w:tr w:rsidR="00990B14" w14:paraId="5E1BF0CD" w14:textId="77777777">
        <w:trPr>
          <w:cantSplit/>
          <w:jc w:val="center"/>
        </w:trPr>
        <w:tc>
          <w:tcPr>
            <w:tcW w:w="1885" w:type="dxa"/>
            <w:vMerge/>
            <w:shd w:val="clear" w:color="auto" w:fill="4472C4"/>
            <w:vAlign w:val="center"/>
          </w:tcPr>
          <w:p w14:paraId="42B49D0C" w14:textId="77777777" w:rsidR="00990B14" w:rsidRDefault="00990B14">
            <w:pPr>
              <w:spacing w:before="20" w:after="20"/>
            </w:pPr>
          </w:p>
        </w:tc>
        <w:tc>
          <w:tcPr>
            <w:tcW w:w="1870" w:type="dxa"/>
            <w:shd w:val="clear" w:color="auto" w:fill="D9E2F3"/>
            <w:vAlign w:val="center"/>
          </w:tcPr>
          <w:p w14:paraId="25F9AADB" w14:textId="77777777" w:rsidR="00990B14" w:rsidRDefault="00000000">
            <w:pPr>
              <w:spacing w:before="20" w:after="20"/>
              <w:jc w:val="both"/>
            </w:pPr>
            <w:r>
              <w:rPr>
                <w:sz w:val="18"/>
                <w:szCs w:val="18"/>
              </w:rPr>
              <w:t>Pases a mayor</w:t>
            </w:r>
          </w:p>
        </w:tc>
        <w:tc>
          <w:tcPr>
            <w:tcW w:w="1866" w:type="dxa"/>
            <w:shd w:val="clear" w:color="auto" w:fill="D9E2F3"/>
            <w:vAlign w:val="center"/>
          </w:tcPr>
          <w:p w14:paraId="761C50B2" w14:textId="77777777" w:rsidR="00990B14" w:rsidRDefault="00000000">
            <w:pPr>
              <w:spacing w:before="20" w:after="20"/>
              <w:jc w:val="both"/>
            </w:pPr>
            <w:r>
              <w:rPr>
                <w:sz w:val="18"/>
                <w:szCs w:val="18"/>
              </w:rPr>
              <w:t>Omite pases.</w:t>
            </w:r>
          </w:p>
        </w:tc>
        <w:tc>
          <w:tcPr>
            <w:tcW w:w="1910" w:type="dxa"/>
            <w:shd w:val="clear" w:color="auto" w:fill="D9E2F3"/>
            <w:vAlign w:val="center"/>
          </w:tcPr>
          <w:p w14:paraId="3750C542" w14:textId="77777777" w:rsidR="00990B14" w:rsidRDefault="00000000">
            <w:pPr>
              <w:spacing w:before="20" w:after="20"/>
              <w:jc w:val="both"/>
            </w:pPr>
            <w:r>
              <w:rPr>
                <w:sz w:val="18"/>
                <w:szCs w:val="18"/>
              </w:rPr>
              <w:t>Traslada todos los asientos al mayor.</w:t>
            </w:r>
          </w:p>
        </w:tc>
        <w:tc>
          <w:tcPr>
            <w:tcW w:w="1874" w:type="dxa"/>
            <w:shd w:val="clear" w:color="auto" w:fill="D9E2F3"/>
            <w:vAlign w:val="center"/>
          </w:tcPr>
          <w:p w14:paraId="30AC53E9" w14:textId="77777777" w:rsidR="00990B14" w:rsidRDefault="00000000">
            <w:pPr>
              <w:spacing w:before="20" w:after="20"/>
              <w:jc w:val="both"/>
            </w:pPr>
            <w:r>
              <w:rPr>
                <w:sz w:val="18"/>
                <w:szCs w:val="18"/>
              </w:rPr>
              <w:t>Referencia cada pase con su asiento.</w:t>
            </w:r>
          </w:p>
        </w:tc>
      </w:tr>
      <w:tr w:rsidR="00990B14" w14:paraId="560F1252" w14:textId="77777777">
        <w:trPr>
          <w:cantSplit/>
          <w:jc w:val="center"/>
        </w:trPr>
        <w:tc>
          <w:tcPr>
            <w:tcW w:w="1885" w:type="dxa"/>
            <w:vMerge/>
            <w:shd w:val="clear" w:color="auto" w:fill="4472C4"/>
            <w:vAlign w:val="center"/>
          </w:tcPr>
          <w:p w14:paraId="70F1DC89" w14:textId="77777777" w:rsidR="00990B14" w:rsidRDefault="00990B14">
            <w:pPr>
              <w:spacing w:before="20" w:after="20"/>
            </w:pPr>
          </w:p>
        </w:tc>
        <w:tc>
          <w:tcPr>
            <w:tcW w:w="1870" w:type="dxa"/>
            <w:shd w:val="clear" w:color="auto" w:fill="D9E2F3"/>
            <w:vAlign w:val="center"/>
          </w:tcPr>
          <w:p w14:paraId="09A65B79" w14:textId="77777777" w:rsidR="00990B14" w:rsidRDefault="00000000">
            <w:pPr>
              <w:spacing w:before="20" w:after="20"/>
              <w:jc w:val="both"/>
            </w:pPr>
            <w:r>
              <w:rPr>
                <w:sz w:val="18"/>
                <w:szCs w:val="18"/>
              </w:rPr>
              <w:t>Saldos</w:t>
            </w:r>
          </w:p>
        </w:tc>
        <w:tc>
          <w:tcPr>
            <w:tcW w:w="1866" w:type="dxa"/>
            <w:shd w:val="clear" w:color="auto" w:fill="D9E2F3"/>
            <w:vAlign w:val="center"/>
          </w:tcPr>
          <w:p w14:paraId="4E0FF36B" w14:textId="77777777" w:rsidR="00990B14" w:rsidRDefault="00000000">
            <w:pPr>
              <w:spacing w:before="20" w:after="20"/>
              <w:jc w:val="both"/>
            </w:pPr>
            <w:r>
              <w:rPr>
                <w:sz w:val="18"/>
                <w:szCs w:val="18"/>
              </w:rPr>
              <w:t>Calcula saldos erróneos.</w:t>
            </w:r>
          </w:p>
        </w:tc>
        <w:tc>
          <w:tcPr>
            <w:tcW w:w="1910" w:type="dxa"/>
            <w:shd w:val="clear" w:color="auto" w:fill="D9E2F3"/>
            <w:vAlign w:val="center"/>
          </w:tcPr>
          <w:p w14:paraId="54FA2E21" w14:textId="77777777" w:rsidR="00990B14" w:rsidRDefault="00000000">
            <w:pPr>
              <w:spacing w:before="20" w:after="20"/>
              <w:jc w:val="both"/>
            </w:pPr>
            <w:r>
              <w:rPr>
                <w:sz w:val="18"/>
                <w:szCs w:val="18"/>
              </w:rPr>
              <w:t>Determina los saldos de cada cuenta.</w:t>
            </w:r>
          </w:p>
        </w:tc>
        <w:tc>
          <w:tcPr>
            <w:tcW w:w="1874" w:type="dxa"/>
            <w:shd w:val="clear" w:color="auto" w:fill="D9E2F3"/>
            <w:vAlign w:val="center"/>
          </w:tcPr>
          <w:p w14:paraId="1CC89529" w14:textId="77777777" w:rsidR="00990B14" w:rsidRDefault="00000000">
            <w:pPr>
              <w:spacing w:before="20" w:after="20"/>
              <w:jc w:val="both"/>
            </w:pPr>
            <w:r>
              <w:rPr>
                <w:sz w:val="18"/>
                <w:szCs w:val="18"/>
              </w:rPr>
              <w:t>Concilia los saldos con el diario.</w:t>
            </w:r>
          </w:p>
        </w:tc>
      </w:tr>
      <w:tr w:rsidR="00990B14" w14:paraId="1A3F85F6" w14:textId="77777777">
        <w:trPr>
          <w:cantSplit/>
          <w:jc w:val="center"/>
        </w:trPr>
        <w:tc>
          <w:tcPr>
            <w:tcW w:w="1885" w:type="dxa"/>
            <w:vMerge/>
            <w:shd w:val="clear" w:color="auto" w:fill="4472C4"/>
            <w:vAlign w:val="center"/>
          </w:tcPr>
          <w:p w14:paraId="1B3EB81F" w14:textId="77777777" w:rsidR="00990B14" w:rsidRDefault="00990B14">
            <w:pPr>
              <w:spacing w:before="20" w:after="20"/>
            </w:pPr>
          </w:p>
        </w:tc>
        <w:tc>
          <w:tcPr>
            <w:tcW w:w="1870" w:type="dxa"/>
            <w:shd w:val="clear" w:color="auto" w:fill="D9E2F3"/>
            <w:vAlign w:val="center"/>
          </w:tcPr>
          <w:p w14:paraId="502A390E" w14:textId="77777777" w:rsidR="00990B14" w:rsidRDefault="00000000">
            <w:pPr>
              <w:spacing w:before="20" w:after="20"/>
              <w:jc w:val="both"/>
            </w:pPr>
            <w:r>
              <w:rPr>
                <w:sz w:val="18"/>
                <w:szCs w:val="18"/>
              </w:rPr>
              <w:t>Trabajo en equipo</w:t>
            </w:r>
          </w:p>
        </w:tc>
        <w:tc>
          <w:tcPr>
            <w:tcW w:w="1866" w:type="dxa"/>
            <w:shd w:val="clear" w:color="auto" w:fill="D9E2F3"/>
            <w:vAlign w:val="center"/>
          </w:tcPr>
          <w:p w14:paraId="7EDBA5F9" w14:textId="77777777" w:rsidR="00990B14" w:rsidRDefault="00000000">
            <w:pPr>
              <w:spacing w:before="20" w:after="20"/>
              <w:jc w:val="both"/>
            </w:pPr>
            <w:r>
              <w:rPr>
                <w:sz w:val="18"/>
                <w:szCs w:val="18"/>
              </w:rPr>
              <w:t>La participación es desigual.</w:t>
            </w:r>
          </w:p>
        </w:tc>
        <w:tc>
          <w:tcPr>
            <w:tcW w:w="1910" w:type="dxa"/>
            <w:shd w:val="clear" w:color="auto" w:fill="D9E2F3"/>
            <w:vAlign w:val="center"/>
          </w:tcPr>
          <w:p w14:paraId="4B7B4422" w14:textId="77777777" w:rsidR="00990B14" w:rsidRDefault="00000000">
            <w:pPr>
              <w:spacing w:before="20" w:after="20"/>
              <w:jc w:val="both"/>
            </w:pPr>
            <w:r>
              <w:rPr>
                <w:sz w:val="18"/>
                <w:szCs w:val="18"/>
              </w:rPr>
              <w:t>Todos los integrantes participan.</w:t>
            </w:r>
          </w:p>
        </w:tc>
        <w:tc>
          <w:tcPr>
            <w:tcW w:w="1874" w:type="dxa"/>
            <w:shd w:val="clear" w:color="auto" w:fill="D9E2F3"/>
            <w:vAlign w:val="center"/>
          </w:tcPr>
          <w:p w14:paraId="52F19DCC" w14:textId="77777777" w:rsidR="00990B14" w:rsidRDefault="00000000">
            <w:pPr>
              <w:spacing w:before="20" w:after="20"/>
              <w:jc w:val="both"/>
            </w:pPr>
            <w:r>
              <w:rPr>
                <w:sz w:val="18"/>
                <w:szCs w:val="18"/>
              </w:rPr>
              <w:t>El equipo revisa de forma cruzada sus mayores.</w:t>
            </w:r>
          </w:p>
        </w:tc>
      </w:tr>
      <w:tr w:rsidR="00990B14" w14:paraId="56AF86D8" w14:textId="77777777">
        <w:trPr>
          <w:cantSplit/>
          <w:jc w:val="center"/>
        </w:trPr>
        <w:tc>
          <w:tcPr>
            <w:tcW w:w="1885" w:type="dxa"/>
            <w:vMerge/>
            <w:shd w:val="clear" w:color="auto" w:fill="4472C4"/>
            <w:vAlign w:val="center"/>
          </w:tcPr>
          <w:p w14:paraId="1202E298" w14:textId="77777777" w:rsidR="00990B14" w:rsidRDefault="00990B14">
            <w:pPr>
              <w:spacing w:before="20" w:after="20"/>
            </w:pPr>
          </w:p>
        </w:tc>
        <w:tc>
          <w:tcPr>
            <w:tcW w:w="5646" w:type="dxa"/>
            <w:gridSpan w:val="3"/>
            <w:shd w:val="clear" w:color="auto" w:fill="D9E2F3"/>
            <w:vAlign w:val="center"/>
          </w:tcPr>
          <w:p w14:paraId="13BBABDA" w14:textId="77777777" w:rsidR="00990B14" w:rsidRDefault="00000000">
            <w:pPr>
              <w:keepNext/>
              <w:spacing w:before="20" w:after="20"/>
              <w:jc w:val="both"/>
            </w:pPr>
            <w:r>
              <w:rPr>
                <w:b/>
                <w:bCs/>
                <w:i/>
                <w:iCs/>
                <w:sz w:val="18"/>
                <w:szCs w:val="18"/>
              </w:rPr>
              <w:t xml:space="preserve">Producto 11: </w:t>
            </w:r>
            <w:r>
              <w:rPr>
                <w:sz w:val="18"/>
                <w:szCs w:val="18"/>
              </w:rPr>
              <w:t>Informe de corrección de errores</w:t>
            </w:r>
          </w:p>
        </w:tc>
        <w:tc>
          <w:tcPr>
            <w:tcW w:w="1874" w:type="dxa"/>
            <w:shd w:val="clear" w:color="auto" w:fill="D9E2F3"/>
            <w:vAlign w:val="center"/>
          </w:tcPr>
          <w:p w14:paraId="21BC7A60" w14:textId="77777777" w:rsidR="00990B14" w:rsidRDefault="00000000">
            <w:pPr>
              <w:spacing w:before="20" w:after="20"/>
              <w:jc w:val="center"/>
            </w:pPr>
            <w:r>
              <w:rPr>
                <w:b/>
                <w:bCs/>
                <w:sz w:val="18"/>
                <w:szCs w:val="18"/>
              </w:rPr>
              <w:t>5%</w:t>
            </w:r>
          </w:p>
        </w:tc>
      </w:tr>
      <w:tr w:rsidR="00990B14" w14:paraId="447CD7E6" w14:textId="77777777">
        <w:trPr>
          <w:cantSplit/>
          <w:jc w:val="center"/>
        </w:trPr>
        <w:tc>
          <w:tcPr>
            <w:tcW w:w="1885" w:type="dxa"/>
            <w:vMerge/>
            <w:shd w:val="clear" w:color="auto" w:fill="4472C4"/>
            <w:vAlign w:val="center"/>
          </w:tcPr>
          <w:p w14:paraId="26D501BC" w14:textId="77777777" w:rsidR="00990B14" w:rsidRDefault="00990B14">
            <w:pPr>
              <w:spacing w:before="20" w:after="20"/>
            </w:pPr>
          </w:p>
        </w:tc>
        <w:tc>
          <w:tcPr>
            <w:tcW w:w="1870" w:type="dxa"/>
            <w:shd w:val="clear" w:color="auto" w:fill="4472C4"/>
            <w:vAlign w:val="center"/>
          </w:tcPr>
          <w:p w14:paraId="54B04709" w14:textId="77777777" w:rsidR="00990B14" w:rsidRDefault="00000000">
            <w:pPr>
              <w:keepNext/>
              <w:spacing w:before="20" w:after="20"/>
              <w:jc w:val="center"/>
            </w:pPr>
            <w:r>
              <w:rPr>
                <w:b/>
                <w:bCs/>
                <w:i/>
                <w:iCs/>
                <w:color w:val="FFFFFF"/>
                <w:sz w:val="18"/>
                <w:szCs w:val="18"/>
              </w:rPr>
              <w:t>Criterio</w:t>
            </w:r>
          </w:p>
        </w:tc>
        <w:tc>
          <w:tcPr>
            <w:tcW w:w="1866" w:type="dxa"/>
            <w:shd w:val="clear" w:color="auto" w:fill="4472C4"/>
            <w:vAlign w:val="center"/>
          </w:tcPr>
          <w:p w14:paraId="09A217E3"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2A7B1D5B" w14:textId="77777777" w:rsidR="00990B14" w:rsidRDefault="00000000">
            <w:pPr>
              <w:keepNext/>
              <w:spacing w:before="20" w:after="20"/>
              <w:jc w:val="center"/>
            </w:pPr>
            <w:r>
              <w:rPr>
                <w:b/>
                <w:bCs/>
                <w:i/>
                <w:iCs/>
                <w:color w:val="FFFFFF"/>
                <w:sz w:val="18"/>
                <w:szCs w:val="18"/>
              </w:rPr>
              <w:t>Suficiente (51–80)</w:t>
            </w:r>
          </w:p>
        </w:tc>
        <w:tc>
          <w:tcPr>
            <w:tcW w:w="1874" w:type="dxa"/>
            <w:shd w:val="clear" w:color="auto" w:fill="4472C4"/>
            <w:vAlign w:val="center"/>
          </w:tcPr>
          <w:p w14:paraId="5022073F" w14:textId="77777777" w:rsidR="00990B14" w:rsidRDefault="00000000">
            <w:pPr>
              <w:keepNext/>
              <w:spacing w:before="20" w:after="20"/>
              <w:jc w:val="center"/>
            </w:pPr>
            <w:r>
              <w:rPr>
                <w:b/>
                <w:bCs/>
                <w:i/>
                <w:iCs/>
                <w:color w:val="FFFFFF"/>
                <w:sz w:val="18"/>
                <w:szCs w:val="18"/>
              </w:rPr>
              <w:t>Destacado (81–100)</w:t>
            </w:r>
          </w:p>
        </w:tc>
      </w:tr>
      <w:tr w:rsidR="00990B14" w14:paraId="7CA6CBE3" w14:textId="77777777">
        <w:trPr>
          <w:cantSplit/>
          <w:jc w:val="center"/>
        </w:trPr>
        <w:tc>
          <w:tcPr>
            <w:tcW w:w="1885" w:type="dxa"/>
            <w:vMerge/>
            <w:shd w:val="clear" w:color="auto" w:fill="4472C4"/>
            <w:vAlign w:val="center"/>
          </w:tcPr>
          <w:p w14:paraId="04736E7F" w14:textId="77777777" w:rsidR="00990B14" w:rsidRDefault="00990B14">
            <w:pPr>
              <w:spacing w:before="20" w:after="20"/>
            </w:pPr>
          </w:p>
        </w:tc>
        <w:tc>
          <w:tcPr>
            <w:tcW w:w="1870" w:type="dxa"/>
            <w:shd w:val="clear" w:color="auto" w:fill="D9E2F3"/>
            <w:vAlign w:val="center"/>
          </w:tcPr>
          <w:p w14:paraId="5B62ACBE" w14:textId="77777777" w:rsidR="00990B14" w:rsidRDefault="00000000">
            <w:pPr>
              <w:spacing w:before="20" w:after="20"/>
              <w:jc w:val="both"/>
            </w:pPr>
            <w:r>
              <w:rPr>
                <w:sz w:val="18"/>
                <w:szCs w:val="18"/>
              </w:rPr>
              <w:t>Detección</w:t>
            </w:r>
          </w:p>
        </w:tc>
        <w:tc>
          <w:tcPr>
            <w:tcW w:w="1866" w:type="dxa"/>
            <w:shd w:val="clear" w:color="auto" w:fill="D9E2F3"/>
            <w:vAlign w:val="center"/>
          </w:tcPr>
          <w:p w14:paraId="7389CE1C" w14:textId="77777777" w:rsidR="00990B14" w:rsidRDefault="00000000">
            <w:pPr>
              <w:spacing w:before="20" w:after="20"/>
              <w:jc w:val="both"/>
            </w:pPr>
            <w:r>
              <w:rPr>
                <w:sz w:val="18"/>
                <w:szCs w:val="18"/>
              </w:rPr>
              <w:t>No detecta los errores.</w:t>
            </w:r>
          </w:p>
        </w:tc>
        <w:tc>
          <w:tcPr>
            <w:tcW w:w="1910" w:type="dxa"/>
            <w:shd w:val="clear" w:color="auto" w:fill="D9E2F3"/>
            <w:vAlign w:val="center"/>
          </w:tcPr>
          <w:p w14:paraId="08B50741" w14:textId="77777777" w:rsidR="00990B14" w:rsidRDefault="00000000">
            <w:pPr>
              <w:spacing w:before="20" w:after="20"/>
              <w:jc w:val="both"/>
            </w:pPr>
            <w:r>
              <w:rPr>
                <w:sz w:val="18"/>
                <w:szCs w:val="18"/>
              </w:rPr>
              <w:t>Detecta los errores de diario y de mayor.</w:t>
            </w:r>
          </w:p>
        </w:tc>
        <w:tc>
          <w:tcPr>
            <w:tcW w:w="1874" w:type="dxa"/>
            <w:shd w:val="clear" w:color="auto" w:fill="D9E2F3"/>
            <w:vAlign w:val="center"/>
          </w:tcPr>
          <w:p w14:paraId="23E3FE7D" w14:textId="77777777" w:rsidR="00990B14" w:rsidRDefault="00000000">
            <w:pPr>
              <w:spacing w:before="20" w:after="20"/>
              <w:jc w:val="both"/>
            </w:pPr>
            <w:r>
              <w:rPr>
                <w:sz w:val="18"/>
                <w:szCs w:val="18"/>
              </w:rPr>
              <w:t>Clasifica los errores en voluntarios e involuntarios.</w:t>
            </w:r>
          </w:p>
        </w:tc>
      </w:tr>
      <w:tr w:rsidR="00990B14" w14:paraId="49856933" w14:textId="77777777">
        <w:trPr>
          <w:cantSplit/>
          <w:jc w:val="center"/>
        </w:trPr>
        <w:tc>
          <w:tcPr>
            <w:tcW w:w="1885" w:type="dxa"/>
            <w:vMerge/>
            <w:shd w:val="clear" w:color="auto" w:fill="4472C4"/>
            <w:vAlign w:val="center"/>
          </w:tcPr>
          <w:p w14:paraId="25E8B270" w14:textId="77777777" w:rsidR="00990B14" w:rsidRDefault="00990B14">
            <w:pPr>
              <w:spacing w:before="20" w:after="20"/>
            </w:pPr>
          </w:p>
        </w:tc>
        <w:tc>
          <w:tcPr>
            <w:tcW w:w="1870" w:type="dxa"/>
            <w:shd w:val="clear" w:color="auto" w:fill="D9E2F3"/>
            <w:vAlign w:val="center"/>
          </w:tcPr>
          <w:p w14:paraId="6B12269C" w14:textId="77777777" w:rsidR="00990B14" w:rsidRDefault="00000000">
            <w:pPr>
              <w:spacing w:before="20" w:after="20"/>
              <w:jc w:val="both"/>
            </w:pPr>
            <w:r>
              <w:rPr>
                <w:sz w:val="18"/>
                <w:szCs w:val="18"/>
              </w:rPr>
              <w:t>Corrección</w:t>
            </w:r>
          </w:p>
        </w:tc>
        <w:tc>
          <w:tcPr>
            <w:tcW w:w="1866" w:type="dxa"/>
            <w:shd w:val="clear" w:color="auto" w:fill="D9E2F3"/>
            <w:vAlign w:val="center"/>
          </w:tcPr>
          <w:p w14:paraId="32602A28" w14:textId="77777777" w:rsidR="00990B14" w:rsidRDefault="00000000">
            <w:pPr>
              <w:spacing w:before="20" w:after="20"/>
              <w:jc w:val="both"/>
            </w:pPr>
            <w:r>
              <w:rPr>
                <w:sz w:val="18"/>
                <w:szCs w:val="18"/>
              </w:rPr>
              <w:t>La corrección es incorrecta.</w:t>
            </w:r>
          </w:p>
        </w:tc>
        <w:tc>
          <w:tcPr>
            <w:tcW w:w="1910" w:type="dxa"/>
            <w:shd w:val="clear" w:color="auto" w:fill="D9E2F3"/>
            <w:vAlign w:val="center"/>
          </w:tcPr>
          <w:p w14:paraId="2E3E0132" w14:textId="77777777" w:rsidR="00990B14" w:rsidRDefault="00000000">
            <w:pPr>
              <w:spacing w:before="20" w:after="20"/>
              <w:jc w:val="both"/>
            </w:pPr>
            <w:r>
              <w:rPr>
                <w:sz w:val="18"/>
                <w:szCs w:val="18"/>
              </w:rPr>
              <w:t>Aplica la forma de corrección adecuada a cada error.</w:t>
            </w:r>
          </w:p>
        </w:tc>
        <w:tc>
          <w:tcPr>
            <w:tcW w:w="1874" w:type="dxa"/>
            <w:shd w:val="clear" w:color="auto" w:fill="D9E2F3"/>
            <w:vAlign w:val="center"/>
          </w:tcPr>
          <w:p w14:paraId="1BC0ABA4" w14:textId="77777777" w:rsidR="00990B14" w:rsidRDefault="00000000">
            <w:pPr>
              <w:spacing w:before="20" w:after="20"/>
              <w:jc w:val="both"/>
            </w:pPr>
            <w:r>
              <w:rPr>
                <w:sz w:val="18"/>
                <w:szCs w:val="18"/>
              </w:rPr>
              <w:t>Explica el efecto del error en los saldos.</w:t>
            </w:r>
          </w:p>
        </w:tc>
      </w:tr>
      <w:tr w:rsidR="00990B14" w14:paraId="1B72E61B" w14:textId="77777777">
        <w:trPr>
          <w:cantSplit/>
          <w:jc w:val="center"/>
        </w:trPr>
        <w:tc>
          <w:tcPr>
            <w:tcW w:w="1885" w:type="dxa"/>
            <w:vMerge/>
            <w:shd w:val="clear" w:color="auto" w:fill="4472C4"/>
            <w:vAlign w:val="center"/>
          </w:tcPr>
          <w:p w14:paraId="1E21B354" w14:textId="77777777" w:rsidR="00990B14" w:rsidRDefault="00990B14">
            <w:pPr>
              <w:spacing w:before="20" w:after="20"/>
            </w:pPr>
          </w:p>
        </w:tc>
        <w:tc>
          <w:tcPr>
            <w:tcW w:w="1870" w:type="dxa"/>
            <w:shd w:val="clear" w:color="auto" w:fill="D9E2F3"/>
            <w:vAlign w:val="center"/>
          </w:tcPr>
          <w:p w14:paraId="0DE96347" w14:textId="77777777" w:rsidR="00990B14" w:rsidRDefault="00000000">
            <w:pPr>
              <w:spacing w:before="20" w:after="20"/>
              <w:jc w:val="both"/>
            </w:pPr>
            <w:r>
              <w:rPr>
                <w:sz w:val="18"/>
                <w:szCs w:val="18"/>
              </w:rPr>
              <w:t>Redacción</w:t>
            </w:r>
          </w:p>
        </w:tc>
        <w:tc>
          <w:tcPr>
            <w:tcW w:w="1866" w:type="dxa"/>
            <w:shd w:val="clear" w:color="auto" w:fill="D9E2F3"/>
            <w:vAlign w:val="center"/>
          </w:tcPr>
          <w:p w14:paraId="4D925264" w14:textId="77777777" w:rsidR="00990B14" w:rsidRDefault="00000000">
            <w:pPr>
              <w:spacing w:before="20" w:after="20"/>
              <w:jc w:val="both"/>
            </w:pPr>
            <w:r>
              <w:rPr>
                <w:sz w:val="18"/>
                <w:szCs w:val="18"/>
              </w:rPr>
              <w:t>El informe es confuso.</w:t>
            </w:r>
          </w:p>
        </w:tc>
        <w:tc>
          <w:tcPr>
            <w:tcW w:w="1910" w:type="dxa"/>
            <w:shd w:val="clear" w:color="auto" w:fill="D9E2F3"/>
            <w:vAlign w:val="center"/>
          </w:tcPr>
          <w:p w14:paraId="016F97A1" w14:textId="77777777" w:rsidR="00990B14" w:rsidRDefault="00000000">
            <w:pPr>
              <w:spacing w:before="20" w:after="20"/>
              <w:jc w:val="both"/>
            </w:pPr>
            <w:r>
              <w:rPr>
                <w:sz w:val="18"/>
                <w:szCs w:val="18"/>
              </w:rPr>
              <w:t>El informe es claro.</w:t>
            </w:r>
          </w:p>
        </w:tc>
        <w:tc>
          <w:tcPr>
            <w:tcW w:w="1874" w:type="dxa"/>
            <w:shd w:val="clear" w:color="auto" w:fill="D9E2F3"/>
            <w:vAlign w:val="center"/>
          </w:tcPr>
          <w:p w14:paraId="3118B20A" w14:textId="77777777" w:rsidR="00990B14" w:rsidRDefault="00000000">
            <w:pPr>
              <w:spacing w:before="20" w:after="20"/>
              <w:jc w:val="both"/>
            </w:pPr>
            <w:r>
              <w:rPr>
                <w:sz w:val="18"/>
                <w:szCs w:val="18"/>
              </w:rPr>
              <w:t>El informe propone controles que eviten los errores.</w:t>
            </w:r>
          </w:p>
        </w:tc>
      </w:tr>
      <w:tr w:rsidR="00990B14" w14:paraId="673821EC" w14:textId="77777777">
        <w:trPr>
          <w:cantSplit/>
          <w:jc w:val="center"/>
        </w:trPr>
        <w:tc>
          <w:tcPr>
            <w:tcW w:w="1885" w:type="dxa"/>
            <w:vMerge/>
            <w:shd w:val="clear" w:color="auto" w:fill="4472C4"/>
            <w:vAlign w:val="center"/>
          </w:tcPr>
          <w:p w14:paraId="21F248D4" w14:textId="77777777" w:rsidR="00990B14" w:rsidRDefault="00990B14">
            <w:pPr>
              <w:spacing w:before="20" w:after="20"/>
            </w:pPr>
          </w:p>
        </w:tc>
        <w:tc>
          <w:tcPr>
            <w:tcW w:w="5646" w:type="dxa"/>
            <w:gridSpan w:val="3"/>
            <w:shd w:val="clear" w:color="auto" w:fill="D9E2F3"/>
            <w:vAlign w:val="center"/>
          </w:tcPr>
          <w:p w14:paraId="66E0B2E2" w14:textId="77777777" w:rsidR="00990B14" w:rsidRDefault="00000000">
            <w:pPr>
              <w:keepNext/>
              <w:spacing w:before="20" w:after="20"/>
              <w:jc w:val="both"/>
            </w:pPr>
            <w:r>
              <w:rPr>
                <w:b/>
                <w:bCs/>
                <w:i/>
                <w:iCs/>
                <w:sz w:val="18"/>
                <w:szCs w:val="18"/>
              </w:rPr>
              <w:t xml:space="preserve">Producto 12: </w:t>
            </w:r>
            <w:r>
              <w:rPr>
                <w:sz w:val="18"/>
                <w:szCs w:val="18"/>
              </w:rPr>
              <w:t>Ficha de análisis ético</w:t>
            </w:r>
          </w:p>
        </w:tc>
        <w:tc>
          <w:tcPr>
            <w:tcW w:w="1874" w:type="dxa"/>
            <w:shd w:val="clear" w:color="auto" w:fill="D9E2F3"/>
            <w:vAlign w:val="center"/>
          </w:tcPr>
          <w:p w14:paraId="553B83B2" w14:textId="77777777" w:rsidR="00990B14" w:rsidRDefault="00000000">
            <w:pPr>
              <w:spacing w:before="20" w:after="20"/>
              <w:jc w:val="center"/>
            </w:pPr>
            <w:r>
              <w:rPr>
                <w:b/>
                <w:bCs/>
                <w:sz w:val="18"/>
                <w:szCs w:val="18"/>
              </w:rPr>
              <w:t>5%</w:t>
            </w:r>
          </w:p>
        </w:tc>
      </w:tr>
      <w:tr w:rsidR="00990B14" w14:paraId="561402F5" w14:textId="77777777">
        <w:trPr>
          <w:cantSplit/>
          <w:jc w:val="center"/>
        </w:trPr>
        <w:tc>
          <w:tcPr>
            <w:tcW w:w="1885" w:type="dxa"/>
            <w:vMerge/>
            <w:shd w:val="clear" w:color="auto" w:fill="4472C4"/>
            <w:vAlign w:val="center"/>
          </w:tcPr>
          <w:p w14:paraId="6F7A47E7" w14:textId="77777777" w:rsidR="00990B14" w:rsidRDefault="00990B14">
            <w:pPr>
              <w:spacing w:before="20" w:after="20"/>
            </w:pPr>
          </w:p>
        </w:tc>
        <w:tc>
          <w:tcPr>
            <w:tcW w:w="1870" w:type="dxa"/>
            <w:shd w:val="clear" w:color="auto" w:fill="4472C4"/>
            <w:vAlign w:val="center"/>
          </w:tcPr>
          <w:p w14:paraId="41255BB5" w14:textId="77777777" w:rsidR="00990B14" w:rsidRDefault="00000000">
            <w:pPr>
              <w:keepNext/>
              <w:spacing w:before="20" w:after="20"/>
              <w:jc w:val="center"/>
            </w:pPr>
            <w:r>
              <w:rPr>
                <w:b/>
                <w:bCs/>
                <w:i/>
                <w:iCs/>
                <w:color w:val="FFFFFF"/>
                <w:sz w:val="18"/>
                <w:szCs w:val="18"/>
              </w:rPr>
              <w:t>Criterio</w:t>
            </w:r>
          </w:p>
        </w:tc>
        <w:tc>
          <w:tcPr>
            <w:tcW w:w="1866" w:type="dxa"/>
            <w:shd w:val="clear" w:color="auto" w:fill="4472C4"/>
            <w:vAlign w:val="center"/>
          </w:tcPr>
          <w:p w14:paraId="513C1315"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08B4EECA" w14:textId="77777777" w:rsidR="00990B14" w:rsidRDefault="00000000">
            <w:pPr>
              <w:keepNext/>
              <w:spacing w:before="20" w:after="20"/>
              <w:jc w:val="center"/>
            </w:pPr>
            <w:r>
              <w:rPr>
                <w:b/>
                <w:bCs/>
                <w:i/>
                <w:iCs/>
                <w:color w:val="FFFFFF"/>
                <w:sz w:val="18"/>
                <w:szCs w:val="18"/>
              </w:rPr>
              <w:t>Suficiente (51–80)</w:t>
            </w:r>
          </w:p>
        </w:tc>
        <w:tc>
          <w:tcPr>
            <w:tcW w:w="1874" w:type="dxa"/>
            <w:shd w:val="clear" w:color="auto" w:fill="4472C4"/>
            <w:vAlign w:val="center"/>
          </w:tcPr>
          <w:p w14:paraId="20396CEA" w14:textId="77777777" w:rsidR="00990B14" w:rsidRDefault="00000000">
            <w:pPr>
              <w:keepNext/>
              <w:spacing w:before="20" w:after="20"/>
              <w:jc w:val="center"/>
            </w:pPr>
            <w:r>
              <w:rPr>
                <w:b/>
                <w:bCs/>
                <w:i/>
                <w:iCs/>
                <w:color w:val="FFFFFF"/>
                <w:sz w:val="18"/>
                <w:szCs w:val="18"/>
              </w:rPr>
              <w:t>Destacado (81–100)</w:t>
            </w:r>
          </w:p>
        </w:tc>
      </w:tr>
      <w:tr w:rsidR="00990B14" w14:paraId="42449974" w14:textId="77777777">
        <w:trPr>
          <w:cantSplit/>
          <w:jc w:val="center"/>
        </w:trPr>
        <w:tc>
          <w:tcPr>
            <w:tcW w:w="1885" w:type="dxa"/>
            <w:vMerge/>
            <w:shd w:val="clear" w:color="auto" w:fill="4472C4"/>
            <w:vAlign w:val="center"/>
          </w:tcPr>
          <w:p w14:paraId="58C24273" w14:textId="77777777" w:rsidR="00990B14" w:rsidRDefault="00990B14">
            <w:pPr>
              <w:spacing w:before="20" w:after="20"/>
            </w:pPr>
          </w:p>
        </w:tc>
        <w:tc>
          <w:tcPr>
            <w:tcW w:w="1870" w:type="dxa"/>
            <w:shd w:val="clear" w:color="auto" w:fill="D9E2F3"/>
            <w:vAlign w:val="center"/>
          </w:tcPr>
          <w:p w14:paraId="2F7C20A0" w14:textId="77777777" w:rsidR="00990B14" w:rsidRDefault="00000000">
            <w:pPr>
              <w:spacing w:before="20" w:after="20"/>
              <w:jc w:val="both"/>
            </w:pPr>
            <w:r>
              <w:rPr>
                <w:sz w:val="18"/>
                <w:szCs w:val="18"/>
              </w:rPr>
              <w:t>Principios aplicables</w:t>
            </w:r>
          </w:p>
        </w:tc>
        <w:tc>
          <w:tcPr>
            <w:tcW w:w="1866" w:type="dxa"/>
            <w:shd w:val="clear" w:color="auto" w:fill="D9E2F3"/>
            <w:vAlign w:val="center"/>
          </w:tcPr>
          <w:p w14:paraId="47FC74B7" w14:textId="77777777" w:rsidR="00990B14" w:rsidRDefault="00000000">
            <w:pPr>
              <w:spacing w:before="20" w:after="20"/>
              <w:jc w:val="both"/>
            </w:pPr>
            <w:r>
              <w:rPr>
                <w:sz w:val="18"/>
                <w:szCs w:val="18"/>
              </w:rPr>
              <w:t>No identifica principios.</w:t>
            </w:r>
          </w:p>
        </w:tc>
        <w:tc>
          <w:tcPr>
            <w:tcW w:w="1910" w:type="dxa"/>
            <w:shd w:val="clear" w:color="auto" w:fill="D9E2F3"/>
            <w:vAlign w:val="center"/>
          </w:tcPr>
          <w:p w14:paraId="3B165B1C" w14:textId="77777777" w:rsidR="00990B14" w:rsidRDefault="00000000">
            <w:pPr>
              <w:spacing w:before="20" w:after="20"/>
              <w:jc w:val="both"/>
            </w:pPr>
            <w:r>
              <w:rPr>
                <w:sz w:val="18"/>
                <w:szCs w:val="18"/>
              </w:rPr>
              <w:t>Identifica los principios fundamentales afectados.</w:t>
            </w:r>
          </w:p>
        </w:tc>
        <w:tc>
          <w:tcPr>
            <w:tcW w:w="1874" w:type="dxa"/>
            <w:shd w:val="clear" w:color="auto" w:fill="D9E2F3"/>
            <w:vAlign w:val="center"/>
          </w:tcPr>
          <w:p w14:paraId="63B217B6" w14:textId="77777777" w:rsidR="00990B14" w:rsidRDefault="00000000">
            <w:pPr>
              <w:spacing w:before="20" w:after="20"/>
              <w:jc w:val="both"/>
            </w:pPr>
            <w:r>
              <w:rPr>
                <w:sz w:val="18"/>
                <w:szCs w:val="18"/>
              </w:rPr>
              <w:t>Explica la amenaza a cada principio.</w:t>
            </w:r>
          </w:p>
        </w:tc>
      </w:tr>
      <w:tr w:rsidR="00990B14" w14:paraId="13B0990A" w14:textId="77777777">
        <w:trPr>
          <w:cantSplit/>
          <w:jc w:val="center"/>
        </w:trPr>
        <w:tc>
          <w:tcPr>
            <w:tcW w:w="1885" w:type="dxa"/>
            <w:vMerge/>
            <w:shd w:val="clear" w:color="auto" w:fill="4472C4"/>
            <w:vAlign w:val="center"/>
          </w:tcPr>
          <w:p w14:paraId="5CBFC60A" w14:textId="77777777" w:rsidR="00990B14" w:rsidRDefault="00990B14">
            <w:pPr>
              <w:spacing w:before="20" w:after="20"/>
            </w:pPr>
          </w:p>
        </w:tc>
        <w:tc>
          <w:tcPr>
            <w:tcW w:w="1870" w:type="dxa"/>
            <w:shd w:val="clear" w:color="auto" w:fill="D9E2F3"/>
            <w:vAlign w:val="center"/>
          </w:tcPr>
          <w:p w14:paraId="441D51BD" w14:textId="77777777" w:rsidR="00990B14" w:rsidRDefault="00000000">
            <w:pPr>
              <w:spacing w:before="20" w:after="20"/>
              <w:jc w:val="both"/>
            </w:pPr>
            <w:r>
              <w:rPr>
                <w:sz w:val="18"/>
                <w:szCs w:val="18"/>
              </w:rPr>
              <w:t>Conducta propuesta</w:t>
            </w:r>
          </w:p>
        </w:tc>
        <w:tc>
          <w:tcPr>
            <w:tcW w:w="1866" w:type="dxa"/>
            <w:shd w:val="clear" w:color="auto" w:fill="D9E2F3"/>
            <w:vAlign w:val="center"/>
          </w:tcPr>
          <w:p w14:paraId="33D58CEA" w14:textId="77777777" w:rsidR="00990B14" w:rsidRDefault="00000000">
            <w:pPr>
              <w:spacing w:before="20" w:after="20"/>
              <w:jc w:val="both"/>
            </w:pPr>
            <w:r>
              <w:rPr>
                <w:sz w:val="18"/>
                <w:szCs w:val="18"/>
              </w:rPr>
              <w:t>Propone una conducta contraria a la ética.</w:t>
            </w:r>
          </w:p>
        </w:tc>
        <w:tc>
          <w:tcPr>
            <w:tcW w:w="1910" w:type="dxa"/>
            <w:shd w:val="clear" w:color="auto" w:fill="D9E2F3"/>
            <w:vAlign w:val="center"/>
          </w:tcPr>
          <w:p w14:paraId="228BAAE7" w14:textId="77777777" w:rsidR="00990B14" w:rsidRDefault="00000000">
            <w:pPr>
              <w:spacing w:before="20" w:after="20"/>
              <w:jc w:val="both"/>
            </w:pPr>
            <w:r>
              <w:rPr>
                <w:sz w:val="18"/>
                <w:szCs w:val="18"/>
              </w:rPr>
              <w:t>Propone una conducta íntegra y objetiva.</w:t>
            </w:r>
          </w:p>
        </w:tc>
        <w:tc>
          <w:tcPr>
            <w:tcW w:w="1874" w:type="dxa"/>
            <w:shd w:val="clear" w:color="auto" w:fill="D9E2F3"/>
            <w:vAlign w:val="center"/>
          </w:tcPr>
          <w:p w14:paraId="632814BE" w14:textId="77777777" w:rsidR="00990B14" w:rsidRDefault="00000000">
            <w:pPr>
              <w:spacing w:before="20" w:after="20"/>
              <w:jc w:val="both"/>
            </w:pPr>
            <w:r>
              <w:rPr>
                <w:sz w:val="18"/>
                <w:szCs w:val="18"/>
              </w:rPr>
              <w:t>Sustenta la conducta en el Código de Ética del IESBA.</w:t>
            </w:r>
          </w:p>
        </w:tc>
      </w:tr>
      <w:tr w:rsidR="00990B14" w14:paraId="0768B8B8" w14:textId="77777777">
        <w:trPr>
          <w:cantSplit/>
          <w:jc w:val="center"/>
        </w:trPr>
        <w:tc>
          <w:tcPr>
            <w:tcW w:w="1885" w:type="dxa"/>
            <w:vMerge/>
            <w:shd w:val="clear" w:color="auto" w:fill="4472C4"/>
            <w:vAlign w:val="center"/>
          </w:tcPr>
          <w:p w14:paraId="78EBCA34" w14:textId="77777777" w:rsidR="00990B14" w:rsidRDefault="00990B14">
            <w:pPr>
              <w:spacing w:before="20" w:after="20"/>
            </w:pPr>
          </w:p>
        </w:tc>
        <w:tc>
          <w:tcPr>
            <w:tcW w:w="1870" w:type="dxa"/>
            <w:shd w:val="clear" w:color="auto" w:fill="D9E2F3"/>
            <w:vAlign w:val="center"/>
          </w:tcPr>
          <w:p w14:paraId="08B9283A" w14:textId="77777777" w:rsidR="00990B14" w:rsidRDefault="00000000">
            <w:pPr>
              <w:spacing w:before="20" w:after="20"/>
              <w:jc w:val="both"/>
            </w:pPr>
            <w:r>
              <w:rPr>
                <w:sz w:val="18"/>
                <w:szCs w:val="18"/>
              </w:rPr>
              <w:t>Sustentación</w:t>
            </w:r>
          </w:p>
        </w:tc>
        <w:tc>
          <w:tcPr>
            <w:tcW w:w="1866" w:type="dxa"/>
            <w:shd w:val="clear" w:color="auto" w:fill="D9E2F3"/>
            <w:vAlign w:val="center"/>
          </w:tcPr>
          <w:p w14:paraId="4248EBF2" w14:textId="77777777" w:rsidR="00990B14" w:rsidRDefault="00000000">
            <w:pPr>
              <w:spacing w:before="20" w:after="20"/>
              <w:jc w:val="both"/>
            </w:pPr>
            <w:r>
              <w:rPr>
                <w:sz w:val="18"/>
                <w:szCs w:val="18"/>
              </w:rPr>
              <w:t>La sustentación es confusa.</w:t>
            </w:r>
          </w:p>
        </w:tc>
        <w:tc>
          <w:tcPr>
            <w:tcW w:w="1910" w:type="dxa"/>
            <w:shd w:val="clear" w:color="auto" w:fill="D9E2F3"/>
            <w:vAlign w:val="center"/>
          </w:tcPr>
          <w:p w14:paraId="02908992" w14:textId="77777777" w:rsidR="00990B14" w:rsidRDefault="00000000">
            <w:pPr>
              <w:spacing w:before="20" w:after="20"/>
              <w:jc w:val="both"/>
            </w:pPr>
            <w:r>
              <w:rPr>
                <w:sz w:val="18"/>
                <w:szCs w:val="18"/>
              </w:rPr>
              <w:t>Sustenta con claridad.</w:t>
            </w:r>
          </w:p>
        </w:tc>
        <w:tc>
          <w:tcPr>
            <w:tcW w:w="1874" w:type="dxa"/>
            <w:shd w:val="clear" w:color="auto" w:fill="D9E2F3"/>
            <w:vAlign w:val="center"/>
          </w:tcPr>
          <w:p w14:paraId="7DFA53AB" w14:textId="77777777" w:rsidR="00990B14" w:rsidRDefault="00000000">
            <w:pPr>
              <w:spacing w:before="20" w:after="20"/>
              <w:jc w:val="both"/>
            </w:pPr>
            <w:r>
              <w:rPr>
                <w:sz w:val="18"/>
                <w:szCs w:val="18"/>
              </w:rPr>
              <w:t>Responde objeciones del curso con argumentos.</w:t>
            </w:r>
          </w:p>
        </w:tc>
      </w:tr>
      <w:tr w:rsidR="00990B14" w14:paraId="1C3DDFF6" w14:textId="77777777">
        <w:trPr>
          <w:cantSplit/>
          <w:jc w:val="center"/>
        </w:trPr>
        <w:tc>
          <w:tcPr>
            <w:tcW w:w="1885" w:type="dxa"/>
            <w:vMerge/>
            <w:shd w:val="clear" w:color="auto" w:fill="4472C4"/>
            <w:vAlign w:val="center"/>
          </w:tcPr>
          <w:p w14:paraId="57831D1F" w14:textId="77777777" w:rsidR="00990B14" w:rsidRDefault="00990B14">
            <w:pPr>
              <w:spacing w:before="20" w:after="20"/>
            </w:pPr>
          </w:p>
        </w:tc>
        <w:tc>
          <w:tcPr>
            <w:tcW w:w="5646" w:type="dxa"/>
            <w:gridSpan w:val="3"/>
            <w:shd w:val="clear" w:color="auto" w:fill="D9E2F3"/>
            <w:vAlign w:val="center"/>
          </w:tcPr>
          <w:p w14:paraId="5C010387" w14:textId="77777777" w:rsidR="00990B14" w:rsidRDefault="00000000">
            <w:pPr>
              <w:keepNext/>
              <w:spacing w:before="20" w:after="20"/>
              <w:jc w:val="both"/>
            </w:pPr>
            <w:r>
              <w:rPr>
                <w:b/>
                <w:bCs/>
                <w:i/>
                <w:iCs/>
                <w:sz w:val="18"/>
                <w:szCs w:val="18"/>
              </w:rPr>
              <w:t xml:space="preserve">Producto 13: </w:t>
            </w:r>
            <w:r>
              <w:rPr>
                <w:sz w:val="18"/>
                <w:szCs w:val="18"/>
              </w:rPr>
              <w:t>Balance de comprobación</w:t>
            </w:r>
          </w:p>
        </w:tc>
        <w:tc>
          <w:tcPr>
            <w:tcW w:w="1874" w:type="dxa"/>
            <w:shd w:val="clear" w:color="auto" w:fill="D9E2F3"/>
            <w:vAlign w:val="center"/>
          </w:tcPr>
          <w:p w14:paraId="2DF14702" w14:textId="77777777" w:rsidR="00990B14" w:rsidRDefault="00000000">
            <w:pPr>
              <w:spacing w:before="20" w:after="20"/>
              <w:jc w:val="center"/>
            </w:pPr>
            <w:r>
              <w:rPr>
                <w:b/>
                <w:bCs/>
                <w:sz w:val="18"/>
                <w:szCs w:val="18"/>
              </w:rPr>
              <w:t>5%</w:t>
            </w:r>
          </w:p>
        </w:tc>
      </w:tr>
      <w:tr w:rsidR="00990B14" w14:paraId="526E0B1C" w14:textId="77777777">
        <w:trPr>
          <w:cantSplit/>
          <w:jc w:val="center"/>
        </w:trPr>
        <w:tc>
          <w:tcPr>
            <w:tcW w:w="1885" w:type="dxa"/>
            <w:vMerge/>
            <w:shd w:val="clear" w:color="auto" w:fill="4472C4"/>
            <w:vAlign w:val="center"/>
          </w:tcPr>
          <w:p w14:paraId="0CC597BE" w14:textId="77777777" w:rsidR="00990B14" w:rsidRDefault="00990B14">
            <w:pPr>
              <w:spacing w:before="20" w:after="20"/>
            </w:pPr>
          </w:p>
        </w:tc>
        <w:tc>
          <w:tcPr>
            <w:tcW w:w="1870" w:type="dxa"/>
            <w:shd w:val="clear" w:color="auto" w:fill="4472C4"/>
            <w:vAlign w:val="center"/>
          </w:tcPr>
          <w:p w14:paraId="135B106B" w14:textId="77777777" w:rsidR="00990B14" w:rsidRDefault="00000000">
            <w:pPr>
              <w:keepNext/>
              <w:spacing w:before="20" w:after="20"/>
              <w:jc w:val="center"/>
            </w:pPr>
            <w:r>
              <w:rPr>
                <w:b/>
                <w:bCs/>
                <w:i/>
                <w:iCs/>
                <w:color w:val="FFFFFF"/>
                <w:sz w:val="18"/>
                <w:szCs w:val="18"/>
              </w:rPr>
              <w:t>Criterio</w:t>
            </w:r>
          </w:p>
        </w:tc>
        <w:tc>
          <w:tcPr>
            <w:tcW w:w="1866" w:type="dxa"/>
            <w:shd w:val="clear" w:color="auto" w:fill="4472C4"/>
            <w:vAlign w:val="center"/>
          </w:tcPr>
          <w:p w14:paraId="27919BC9"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1812295E" w14:textId="77777777" w:rsidR="00990B14" w:rsidRDefault="00000000">
            <w:pPr>
              <w:keepNext/>
              <w:spacing w:before="20" w:after="20"/>
              <w:jc w:val="center"/>
            </w:pPr>
            <w:r>
              <w:rPr>
                <w:b/>
                <w:bCs/>
                <w:i/>
                <w:iCs/>
                <w:color w:val="FFFFFF"/>
                <w:sz w:val="18"/>
                <w:szCs w:val="18"/>
              </w:rPr>
              <w:t>Suficiente (51–80)</w:t>
            </w:r>
          </w:p>
        </w:tc>
        <w:tc>
          <w:tcPr>
            <w:tcW w:w="1874" w:type="dxa"/>
            <w:shd w:val="clear" w:color="auto" w:fill="4472C4"/>
            <w:vAlign w:val="center"/>
          </w:tcPr>
          <w:p w14:paraId="0BC9A93C" w14:textId="77777777" w:rsidR="00990B14" w:rsidRDefault="00000000">
            <w:pPr>
              <w:keepNext/>
              <w:spacing w:before="20" w:after="20"/>
              <w:jc w:val="center"/>
            </w:pPr>
            <w:r>
              <w:rPr>
                <w:b/>
                <w:bCs/>
                <w:i/>
                <w:iCs/>
                <w:color w:val="FFFFFF"/>
                <w:sz w:val="18"/>
                <w:szCs w:val="18"/>
              </w:rPr>
              <w:t>Destacado (81–100)</w:t>
            </w:r>
          </w:p>
        </w:tc>
      </w:tr>
      <w:tr w:rsidR="00990B14" w14:paraId="61F63E11" w14:textId="77777777">
        <w:trPr>
          <w:cantSplit/>
          <w:jc w:val="center"/>
        </w:trPr>
        <w:tc>
          <w:tcPr>
            <w:tcW w:w="1885" w:type="dxa"/>
            <w:vMerge/>
            <w:shd w:val="clear" w:color="auto" w:fill="4472C4"/>
            <w:vAlign w:val="center"/>
          </w:tcPr>
          <w:p w14:paraId="62AD005F" w14:textId="77777777" w:rsidR="00990B14" w:rsidRDefault="00990B14">
            <w:pPr>
              <w:spacing w:before="20" w:after="20"/>
            </w:pPr>
          </w:p>
        </w:tc>
        <w:tc>
          <w:tcPr>
            <w:tcW w:w="1870" w:type="dxa"/>
            <w:shd w:val="clear" w:color="auto" w:fill="D9E2F3"/>
            <w:vAlign w:val="center"/>
          </w:tcPr>
          <w:p w14:paraId="21F41621" w14:textId="77777777" w:rsidR="00990B14" w:rsidRDefault="00000000">
            <w:pPr>
              <w:spacing w:before="20" w:after="20"/>
              <w:jc w:val="both"/>
            </w:pPr>
            <w:r>
              <w:rPr>
                <w:sz w:val="18"/>
                <w:szCs w:val="18"/>
              </w:rPr>
              <w:t>Sumas</w:t>
            </w:r>
          </w:p>
        </w:tc>
        <w:tc>
          <w:tcPr>
            <w:tcW w:w="1866" w:type="dxa"/>
            <w:shd w:val="clear" w:color="auto" w:fill="D9E2F3"/>
            <w:vAlign w:val="center"/>
          </w:tcPr>
          <w:p w14:paraId="2C01ACC2" w14:textId="77777777" w:rsidR="00990B14" w:rsidRDefault="00000000">
            <w:pPr>
              <w:spacing w:before="20" w:after="20"/>
              <w:jc w:val="both"/>
            </w:pPr>
            <w:r>
              <w:rPr>
                <w:sz w:val="18"/>
                <w:szCs w:val="18"/>
              </w:rPr>
              <w:t>Las sumas no coinciden.</w:t>
            </w:r>
          </w:p>
        </w:tc>
        <w:tc>
          <w:tcPr>
            <w:tcW w:w="1910" w:type="dxa"/>
            <w:shd w:val="clear" w:color="auto" w:fill="D9E2F3"/>
            <w:vAlign w:val="center"/>
          </w:tcPr>
          <w:p w14:paraId="574D4DDD" w14:textId="77777777" w:rsidR="00990B14" w:rsidRDefault="00000000">
            <w:pPr>
              <w:spacing w:before="20" w:after="20"/>
              <w:jc w:val="both"/>
            </w:pPr>
            <w:r>
              <w:rPr>
                <w:sz w:val="18"/>
                <w:szCs w:val="18"/>
              </w:rPr>
              <w:t>Las sumas del debe y del haber coinciden.</w:t>
            </w:r>
          </w:p>
        </w:tc>
        <w:tc>
          <w:tcPr>
            <w:tcW w:w="1874" w:type="dxa"/>
            <w:shd w:val="clear" w:color="auto" w:fill="D9E2F3"/>
            <w:vAlign w:val="center"/>
          </w:tcPr>
          <w:p w14:paraId="4BB10AC0" w14:textId="77777777" w:rsidR="00990B14" w:rsidRDefault="00000000">
            <w:pPr>
              <w:spacing w:before="20" w:after="20"/>
              <w:jc w:val="both"/>
            </w:pPr>
            <w:r>
              <w:rPr>
                <w:sz w:val="18"/>
                <w:szCs w:val="18"/>
              </w:rPr>
              <w:t>Concilia las sumas con el diario.</w:t>
            </w:r>
          </w:p>
        </w:tc>
      </w:tr>
      <w:tr w:rsidR="00990B14" w14:paraId="20CDD8BC" w14:textId="77777777">
        <w:trPr>
          <w:cantSplit/>
          <w:jc w:val="center"/>
        </w:trPr>
        <w:tc>
          <w:tcPr>
            <w:tcW w:w="1885" w:type="dxa"/>
            <w:vMerge/>
            <w:shd w:val="clear" w:color="auto" w:fill="4472C4"/>
            <w:vAlign w:val="center"/>
          </w:tcPr>
          <w:p w14:paraId="3EB7F59B" w14:textId="77777777" w:rsidR="00990B14" w:rsidRDefault="00990B14">
            <w:pPr>
              <w:spacing w:before="20" w:after="20"/>
            </w:pPr>
          </w:p>
        </w:tc>
        <w:tc>
          <w:tcPr>
            <w:tcW w:w="1870" w:type="dxa"/>
            <w:shd w:val="clear" w:color="auto" w:fill="D9E2F3"/>
            <w:vAlign w:val="center"/>
          </w:tcPr>
          <w:p w14:paraId="32561693" w14:textId="77777777" w:rsidR="00990B14" w:rsidRDefault="00000000">
            <w:pPr>
              <w:spacing w:before="20" w:after="20"/>
              <w:jc w:val="both"/>
            </w:pPr>
            <w:r>
              <w:rPr>
                <w:sz w:val="18"/>
                <w:szCs w:val="18"/>
              </w:rPr>
              <w:t>Saldos</w:t>
            </w:r>
          </w:p>
        </w:tc>
        <w:tc>
          <w:tcPr>
            <w:tcW w:w="1866" w:type="dxa"/>
            <w:shd w:val="clear" w:color="auto" w:fill="D9E2F3"/>
            <w:vAlign w:val="center"/>
          </w:tcPr>
          <w:p w14:paraId="2BACC205" w14:textId="77777777" w:rsidR="00990B14" w:rsidRDefault="00000000">
            <w:pPr>
              <w:spacing w:before="20" w:after="20"/>
              <w:jc w:val="both"/>
            </w:pPr>
            <w:r>
              <w:rPr>
                <w:sz w:val="18"/>
                <w:szCs w:val="18"/>
              </w:rPr>
              <w:t>Los saldos no cuadran.</w:t>
            </w:r>
          </w:p>
        </w:tc>
        <w:tc>
          <w:tcPr>
            <w:tcW w:w="1910" w:type="dxa"/>
            <w:shd w:val="clear" w:color="auto" w:fill="D9E2F3"/>
            <w:vAlign w:val="center"/>
          </w:tcPr>
          <w:p w14:paraId="1D9C11A3" w14:textId="77777777" w:rsidR="00990B14" w:rsidRDefault="00000000">
            <w:pPr>
              <w:spacing w:before="20" w:after="20"/>
              <w:jc w:val="both"/>
            </w:pPr>
            <w:r>
              <w:rPr>
                <w:sz w:val="18"/>
                <w:szCs w:val="18"/>
              </w:rPr>
              <w:t>Los saldos deudores y acreedores cuadran.</w:t>
            </w:r>
          </w:p>
        </w:tc>
        <w:tc>
          <w:tcPr>
            <w:tcW w:w="1874" w:type="dxa"/>
            <w:shd w:val="clear" w:color="auto" w:fill="D9E2F3"/>
            <w:vAlign w:val="center"/>
          </w:tcPr>
          <w:p w14:paraId="075D4933" w14:textId="77777777" w:rsidR="00990B14" w:rsidRDefault="00000000">
            <w:pPr>
              <w:spacing w:before="20" w:after="20"/>
              <w:jc w:val="both"/>
            </w:pPr>
            <w:r>
              <w:rPr>
                <w:sz w:val="18"/>
                <w:szCs w:val="18"/>
              </w:rPr>
              <w:t>Verifica la naturaleza de cada saldo.</w:t>
            </w:r>
          </w:p>
        </w:tc>
      </w:tr>
      <w:tr w:rsidR="00990B14" w14:paraId="47AB0E94" w14:textId="77777777">
        <w:trPr>
          <w:cantSplit/>
          <w:jc w:val="center"/>
        </w:trPr>
        <w:tc>
          <w:tcPr>
            <w:tcW w:w="1885" w:type="dxa"/>
            <w:vMerge/>
            <w:shd w:val="clear" w:color="auto" w:fill="4472C4"/>
            <w:vAlign w:val="center"/>
          </w:tcPr>
          <w:p w14:paraId="14006869" w14:textId="77777777" w:rsidR="00990B14" w:rsidRDefault="00990B14">
            <w:pPr>
              <w:spacing w:before="20" w:after="20"/>
            </w:pPr>
          </w:p>
        </w:tc>
        <w:tc>
          <w:tcPr>
            <w:tcW w:w="1870" w:type="dxa"/>
            <w:shd w:val="clear" w:color="auto" w:fill="D9E2F3"/>
            <w:vAlign w:val="center"/>
          </w:tcPr>
          <w:p w14:paraId="6EB23BE3" w14:textId="77777777" w:rsidR="00990B14" w:rsidRDefault="00000000">
            <w:pPr>
              <w:spacing w:before="20" w:after="20"/>
              <w:jc w:val="both"/>
            </w:pPr>
            <w:r>
              <w:rPr>
                <w:sz w:val="18"/>
                <w:szCs w:val="18"/>
              </w:rPr>
              <w:t>Formato</w:t>
            </w:r>
          </w:p>
        </w:tc>
        <w:tc>
          <w:tcPr>
            <w:tcW w:w="1866" w:type="dxa"/>
            <w:shd w:val="clear" w:color="auto" w:fill="D9E2F3"/>
            <w:vAlign w:val="center"/>
          </w:tcPr>
          <w:p w14:paraId="46B07910" w14:textId="77777777" w:rsidR="00990B14" w:rsidRDefault="00000000">
            <w:pPr>
              <w:spacing w:before="20" w:after="20"/>
              <w:jc w:val="both"/>
            </w:pPr>
            <w:r>
              <w:rPr>
                <w:sz w:val="18"/>
                <w:szCs w:val="18"/>
              </w:rPr>
              <w:t>El formato es incompleto.</w:t>
            </w:r>
          </w:p>
        </w:tc>
        <w:tc>
          <w:tcPr>
            <w:tcW w:w="1910" w:type="dxa"/>
            <w:shd w:val="clear" w:color="auto" w:fill="D9E2F3"/>
            <w:vAlign w:val="center"/>
          </w:tcPr>
          <w:p w14:paraId="7B212F8E" w14:textId="77777777" w:rsidR="00990B14" w:rsidRDefault="00000000">
            <w:pPr>
              <w:spacing w:before="20" w:after="20"/>
              <w:jc w:val="both"/>
            </w:pPr>
            <w:r>
              <w:rPr>
                <w:sz w:val="18"/>
                <w:szCs w:val="18"/>
              </w:rPr>
              <w:t>El formato cumple el diseño establecido.</w:t>
            </w:r>
          </w:p>
        </w:tc>
        <w:tc>
          <w:tcPr>
            <w:tcW w:w="1874" w:type="dxa"/>
            <w:shd w:val="clear" w:color="auto" w:fill="D9E2F3"/>
            <w:vAlign w:val="center"/>
          </w:tcPr>
          <w:p w14:paraId="432A4522" w14:textId="77777777" w:rsidR="00990B14" w:rsidRDefault="00000000">
            <w:pPr>
              <w:spacing w:before="20" w:after="20"/>
              <w:jc w:val="both"/>
            </w:pPr>
            <w:r>
              <w:rPr>
                <w:sz w:val="18"/>
                <w:szCs w:val="18"/>
              </w:rPr>
              <w:t>Incluye referencias al mayor.</w:t>
            </w:r>
          </w:p>
        </w:tc>
      </w:tr>
      <w:tr w:rsidR="00990B14" w14:paraId="775A80C9" w14:textId="77777777">
        <w:trPr>
          <w:cantSplit/>
          <w:jc w:val="center"/>
        </w:trPr>
        <w:tc>
          <w:tcPr>
            <w:tcW w:w="1885" w:type="dxa"/>
            <w:vMerge/>
            <w:shd w:val="clear" w:color="auto" w:fill="4472C4"/>
            <w:vAlign w:val="center"/>
          </w:tcPr>
          <w:p w14:paraId="085B2CD2" w14:textId="77777777" w:rsidR="00990B14" w:rsidRDefault="00990B14">
            <w:pPr>
              <w:spacing w:before="20" w:after="20"/>
            </w:pPr>
          </w:p>
        </w:tc>
        <w:tc>
          <w:tcPr>
            <w:tcW w:w="5646" w:type="dxa"/>
            <w:gridSpan w:val="3"/>
            <w:shd w:val="clear" w:color="auto" w:fill="D9E2F3"/>
            <w:vAlign w:val="center"/>
          </w:tcPr>
          <w:p w14:paraId="2CD31ABB" w14:textId="77777777" w:rsidR="00990B14" w:rsidRDefault="00000000">
            <w:pPr>
              <w:keepNext/>
              <w:spacing w:before="20" w:after="20"/>
              <w:jc w:val="both"/>
            </w:pPr>
            <w:r>
              <w:rPr>
                <w:b/>
                <w:bCs/>
                <w:i/>
                <w:iCs/>
                <w:sz w:val="18"/>
                <w:szCs w:val="18"/>
              </w:rPr>
              <w:t xml:space="preserve">Producto 14: </w:t>
            </w:r>
            <w:r>
              <w:rPr>
                <w:sz w:val="18"/>
                <w:szCs w:val="18"/>
              </w:rPr>
              <w:t>Cédula de deficiencias</w:t>
            </w:r>
          </w:p>
        </w:tc>
        <w:tc>
          <w:tcPr>
            <w:tcW w:w="1874" w:type="dxa"/>
            <w:shd w:val="clear" w:color="auto" w:fill="D9E2F3"/>
            <w:vAlign w:val="center"/>
          </w:tcPr>
          <w:p w14:paraId="39B53261" w14:textId="77777777" w:rsidR="00990B14" w:rsidRDefault="00000000">
            <w:pPr>
              <w:spacing w:before="20" w:after="20"/>
              <w:jc w:val="center"/>
            </w:pPr>
            <w:r>
              <w:rPr>
                <w:b/>
                <w:bCs/>
                <w:sz w:val="18"/>
                <w:szCs w:val="18"/>
              </w:rPr>
              <w:t>5%</w:t>
            </w:r>
          </w:p>
        </w:tc>
      </w:tr>
      <w:tr w:rsidR="00990B14" w14:paraId="55A5A49B" w14:textId="77777777">
        <w:trPr>
          <w:cantSplit/>
          <w:jc w:val="center"/>
        </w:trPr>
        <w:tc>
          <w:tcPr>
            <w:tcW w:w="1885" w:type="dxa"/>
            <w:vMerge/>
            <w:shd w:val="clear" w:color="auto" w:fill="4472C4"/>
            <w:vAlign w:val="center"/>
          </w:tcPr>
          <w:p w14:paraId="660B9F25" w14:textId="77777777" w:rsidR="00990B14" w:rsidRDefault="00990B14">
            <w:pPr>
              <w:spacing w:before="20" w:after="20"/>
            </w:pPr>
          </w:p>
        </w:tc>
        <w:tc>
          <w:tcPr>
            <w:tcW w:w="1870" w:type="dxa"/>
            <w:shd w:val="clear" w:color="auto" w:fill="4472C4"/>
            <w:vAlign w:val="center"/>
          </w:tcPr>
          <w:p w14:paraId="66E53FA8" w14:textId="77777777" w:rsidR="00990B14" w:rsidRDefault="00000000">
            <w:pPr>
              <w:keepNext/>
              <w:spacing w:before="20" w:after="20"/>
              <w:jc w:val="center"/>
            </w:pPr>
            <w:r>
              <w:rPr>
                <w:b/>
                <w:bCs/>
                <w:i/>
                <w:iCs/>
                <w:color w:val="FFFFFF"/>
                <w:sz w:val="18"/>
                <w:szCs w:val="18"/>
              </w:rPr>
              <w:t>Criterio</w:t>
            </w:r>
          </w:p>
        </w:tc>
        <w:tc>
          <w:tcPr>
            <w:tcW w:w="1866" w:type="dxa"/>
            <w:shd w:val="clear" w:color="auto" w:fill="4472C4"/>
            <w:vAlign w:val="center"/>
          </w:tcPr>
          <w:p w14:paraId="03C7FB7B"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2A07634B" w14:textId="77777777" w:rsidR="00990B14" w:rsidRDefault="00000000">
            <w:pPr>
              <w:keepNext/>
              <w:spacing w:before="20" w:after="20"/>
              <w:jc w:val="center"/>
            </w:pPr>
            <w:r>
              <w:rPr>
                <w:b/>
                <w:bCs/>
                <w:i/>
                <w:iCs/>
                <w:color w:val="FFFFFF"/>
                <w:sz w:val="18"/>
                <w:szCs w:val="18"/>
              </w:rPr>
              <w:t>Suficiente (51–80)</w:t>
            </w:r>
          </w:p>
        </w:tc>
        <w:tc>
          <w:tcPr>
            <w:tcW w:w="1874" w:type="dxa"/>
            <w:shd w:val="clear" w:color="auto" w:fill="4472C4"/>
            <w:vAlign w:val="center"/>
          </w:tcPr>
          <w:p w14:paraId="78790444" w14:textId="77777777" w:rsidR="00990B14" w:rsidRDefault="00000000">
            <w:pPr>
              <w:keepNext/>
              <w:spacing w:before="20" w:after="20"/>
              <w:jc w:val="center"/>
            </w:pPr>
            <w:r>
              <w:rPr>
                <w:b/>
                <w:bCs/>
                <w:i/>
                <w:iCs/>
                <w:color w:val="FFFFFF"/>
                <w:sz w:val="18"/>
                <w:szCs w:val="18"/>
              </w:rPr>
              <w:t>Destacado (81–100)</w:t>
            </w:r>
          </w:p>
        </w:tc>
      </w:tr>
      <w:tr w:rsidR="00990B14" w14:paraId="0797E545" w14:textId="77777777">
        <w:trPr>
          <w:cantSplit/>
          <w:jc w:val="center"/>
        </w:trPr>
        <w:tc>
          <w:tcPr>
            <w:tcW w:w="1885" w:type="dxa"/>
            <w:vMerge/>
            <w:shd w:val="clear" w:color="auto" w:fill="4472C4"/>
            <w:vAlign w:val="center"/>
          </w:tcPr>
          <w:p w14:paraId="4EA8AA8B" w14:textId="77777777" w:rsidR="00990B14" w:rsidRDefault="00990B14">
            <w:pPr>
              <w:spacing w:before="20" w:after="20"/>
            </w:pPr>
          </w:p>
        </w:tc>
        <w:tc>
          <w:tcPr>
            <w:tcW w:w="1870" w:type="dxa"/>
            <w:shd w:val="clear" w:color="auto" w:fill="D9E2F3"/>
            <w:vAlign w:val="center"/>
          </w:tcPr>
          <w:p w14:paraId="37A38757" w14:textId="77777777" w:rsidR="00990B14" w:rsidRDefault="00000000">
            <w:pPr>
              <w:spacing w:before="20" w:after="20"/>
              <w:jc w:val="both"/>
            </w:pPr>
            <w:r>
              <w:rPr>
                <w:sz w:val="18"/>
                <w:szCs w:val="18"/>
              </w:rPr>
              <w:t>Deficiencias</w:t>
            </w:r>
          </w:p>
        </w:tc>
        <w:tc>
          <w:tcPr>
            <w:tcW w:w="1866" w:type="dxa"/>
            <w:shd w:val="clear" w:color="auto" w:fill="D9E2F3"/>
            <w:vAlign w:val="center"/>
          </w:tcPr>
          <w:p w14:paraId="178BDD37" w14:textId="77777777" w:rsidR="00990B14" w:rsidRDefault="00000000">
            <w:pPr>
              <w:spacing w:before="20" w:after="20"/>
              <w:jc w:val="both"/>
            </w:pPr>
            <w:r>
              <w:rPr>
                <w:sz w:val="18"/>
                <w:szCs w:val="18"/>
              </w:rPr>
              <w:t>No detecta deficiencias.</w:t>
            </w:r>
          </w:p>
        </w:tc>
        <w:tc>
          <w:tcPr>
            <w:tcW w:w="1910" w:type="dxa"/>
            <w:shd w:val="clear" w:color="auto" w:fill="D9E2F3"/>
            <w:vAlign w:val="center"/>
          </w:tcPr>
          <w:p w14:paraId="6BB23AD4" w14:textId="77777777" w:rsidR="00990B14" w:rsidRDefault="00000000">
            <w:pPr>
              <w:spacing w:before="20" w:after="20"/>
              <w:jc w:val="both"/>
            </w:pPr>
            <w:r>
              <w:rPr>
                <w:sz w:val="18"/>
                <w:szCs w:val="18"/>
              </w:rPr>
              <w:t>Detecta las deficiencias de diario y de mayor.</w:t>
            </w:r>
          </w:p>
        </w:tc>
        <w:tc>
          <w:tcPr>
            <w:tcW w:w="1874" w:type="dxa"/>
            <w:shd w:val="clear" w:color="auto" w:fill="D9E2F3"/>
            <w:vAlign w:val="center"/>
          </w:tcPr>
          <w:p w14:paraId="2F87CB88" w14:textId="77777777" w:rsidR="00990B14" w:rsidRDefault="00000000">
            <w:pPr>
              <w:spacing w:before="20" w:after="20"/>
              <w:jc w:val="both"/>
            </w:pPr>
            <w:r>
              <w:rPr>
                <w:sz w:val="18"/>
                <w:szCs w:val="18"/>
              </w:rPr>
              <w:t>Explica por qué algunas no se revelan en el balance.</w:t>
            </w:r>
          </w:p>
        </w:tc>
      </w:tr>
      <w:tr w:rsidR="00990B14" w14:paraId="7D067D26" w14:textId="77777777">
        <w:trPr>
          <w:cantSplit/>
          <w:jc w:val="center"/>
        </w:trPr>
        <w:tc>
          <w:tcPr>
            <w:tcW w:w="1885" w:type="dxa"/>
            <w:vMerge/>
            <w:shd w:val="clear" w:color="auto" w:fill="4472C4"/>
            <w:vAlign w:val="center"/>
          </w:tcPr>
          <w:p w14:paraId="694338C5" w14:textId="77777777" w:rsidR="00990B14" w:rsidRDefault="00990B14">
            <w:pPr>
              <w:spacing w:before="20" w:after="20"/>
            </w:pPr>
          </w:p>
        </w:tc>
        <w:tc>
          <w:tcPr>
            <w:tcW w:w="1870" w:type="dxa"/>
            <w:shd w:val="clear" w:color="auto" w:fill="D9E2F3"/>
            <w:vAlign w:val="center"/>
          </w:tcPr>
          <w:p w14:paraId="52E5B9F4" w14:textId="77777777" w:rsidR="00990B14" w:rsidRDefault="00000000">
            <w:pPr>
              <w:spacing w:before="20" w:after="20"/>
              <w:jc w:val="both"/>
            </w:pPr>
            <w:r>
              <w:rPr>
                <w:sz w:val="18"/>
                <w:szCs w:val="18"/>
              </w:rPr>
              <w:t>Ajustes propuestos</w:t>
            </w:r>
          </w:p>
        </w:tc>
        <w:tc>
          <w:tcPr>
            <w:tcW w:w="1866" w:type="dxa"/>
            <w:shd w:val="clear" w:color="auto" w:fill="D9E2F3"/>
            <w:vAlign w:val="center"/>
          </w:tcPr>
          <w:p w14:paraId="521B9E0E" w14:textId="77777777" w:rsidR="00990B14" w:rsidRDefault="00000000">
            <w:pPr>
              <w:spacing w:before="20" w:after="20"/>
              <w:jc w:val="both"/>
            </w:pPr>
            <w:r>
              <w:rPr>
                <w:sz w:val="18"/>
                <w:szCs w:val="18"/>
              </w:rPr>
              <w:t>No propone ajustes.</w:t>
            </w:r>
          </w:p>
        </w:tc>
        <w:tc>
          <w:tcPr>
            <w:tcW w:w="1910" w:type="dxa"/>
            <w:shd w:val="clear" w:color="auto" w:fill="D9E2F3"/>
            <w:vAlign w:val="center"/>
          </w:tcPr>
          <w:p w14:paraId="088B65D1" w14:textId="77777777" w:rsidR="00990B14" w:rsidRDefault="00000000">
            <w:pPr>
              <w:spacing w:before="20" w:after="20"/>
              <w:jc w:val="both"/>
            </w:pPr>
            <w:r>
              <w:rPr>
                <w:sz w:val="18"/>
                <w:szCs w:val="18"/>
              </w:rPr>
              <w:t>Propone el asiento de corrección de cada deficiencia.</w:t>
            </w:r>
          </w:p>
        </w:tc>
        <w:tc>
          <w:tcPr>
            <w:tcW w:w="1874" w:type="dxa"/>
            <w:shd w:val="clear" w:color="auto" w:fill="D9E2F3"/>
            <w:vAlign w:val="center"/>
          </w:tcPr>
          <w:p w14:paraId="66CDB786" w14:textId="77777777" w:rsidR="00990B14" w:rsidRDefault="00000000">
            <w:pPr>
              <w:spacing w:before="20" w:after="20"/>
              <w:jc w:val="both"/>
            </w:pPr>
            <w:r>
              <w:rPr>
                <w:sz w:val="18"/>
                <w:szCs w:val="18"/>
              </w:rPr>
              <w:t>Cuantifica el efecto en los saldos.</w:t>
            </w:r>
          </w:p>
        </w:tc>
      </w:tr>
      <w:tr w:rsidR="00990B14" w14:paraId="4E17C8F2" w14:textId="77777777">
        <w:trPr>
          <w:cantSplit/>
          <w:jc w:val="center"/>
        </w:trPr>
        <w:tc>
          <w:tcPr>
            <w:tcW w:w="1885" w:type="dxa"/>
            <w:vMerge/>
            <w:shd w:val="clear" w:color="auto" w:fill="4472C4"/>
            <w:vAlign w:val="center"/>
          </w:tcPr>
          <w:p w14:paraId="7CFC031A" w14:textId="77777777" w:rsidR="00990B14" w:rsidRDefault="00990B14">
            <w:pPr>
              <w:spacing w:before="20" w:after="20"/>
            </w:pPr>
          </w:p>
        </w:tc>
        <w:tc>
          <w:tcPr>
            <w:tcW w:w="1870" w:type="dxa"/>
            <w:shd w:val="clear" w:color="auto" w:fill="D9E2F3"/>
            <w:vAlign w:val="center"/>
          </w:tcPr>
          <w:p w14:paraId="6B0FF6A7" w14:textId="77777777" w:rsidR="00990B14" w:rsidRDefault="00000000">
            <w:pPr>
              <w:spacing w:before="20" w:after="20"/>
              <w:jc w:val="both"/>
            </w:pPr>
            <w:r>
              <w:rPr>
                <w:sz w:val="18"/>
                <w:szCs w:val="18"/>
              </w:rPr>
              <w:t>Trabajo en equipo</w:t>
            </w:r>
          </w:p>
        </w:tc>
        <w:tc>
          <w:tcPr>
            <w:tcW w:w="1866" w:type="dxa"/>
            <w:shd w:val="clear" w:color="auto" w:fill="D9E2F3"/>
            <w:vAlign w:val="center"/>
          </w:tcPr>
          <w:p w14:paraId="5E764865" w14:textId="77777777" w:rsidR="00990B14" w:rsidRDefault="00000000">
            <w:pPr>
              <w:spacing w:before="20" w:after="20"/>
              <w:jc w:val="both"/>
            </w:pPr>
            <w:r>
              <w:rPr>
                <w:sz w:val="18"/>
                <w:szCs w:val="18"/>
              </w:rPr>
              <w:t>La participación es desigual.</w:t>
            </w:r>
          </w:p>
        </w:tc>
        <w:tc>
          <w:tcPr>
            <w:tcW w:w="1910" w:type="dxa"/>
            <w:shd w:val="clear" w:color="auto" w:fill="D9E2F3"/>
            <w:vAlign w:val="center"/>
          </w:tcPr>
          <w:p w14:paraId="7AC441E6" w14:textId="77777777" w:rsidR="00990B14" w:rsidRDefault="00000000">
            <w:pPr>
              <w:spacing w:before="20" w:after="20"/>
              <w:jc w:val="both"/>
            </w:pPr>
            <w:r>
              <w:rPr>
                <w:sz w:val="18"/>
                <w:szCs w:val="18"/>
              </w:rPr>
              <w:t>Todos los integrantes participan.</w:t>
            </w:r>
          </w:p>
        </w:tc>
        <w:tc>
          <w:tcPr>
            <w:tcW w:w="1874" w:type="dxa"/>
            <w:shd w:val="clear" w:color="auto" w:fill="D9E2F3"/>
            <w:vAlign w:val="center"/>
          </w:tcPr>
          <w:p w14:paraId="56211462" w14:textId="77777777" w:rsidR="00990B14" w:rsidRDefault="00000000">
            <w:pPr>
              <w:spacing w:before="20" w:after="20"/>
              <w:jc w:val="both"/>
            </w:pPr>
            <w:r>
              <w:rPr>
                <w:sz w:val="18"/>
                <w:szCs w:val="18"/>
              </w:rPr>
              <w:t>El equipo sustenta sus hallazgos.</w:t>
            </w:r>
          </w:p>
        </w:tc>
      </w:tr>
      <w:tr w:rsidR="00990B14" w14:paraId="66591046" w14:textId="77777777">
        <w:trPr>
          <w:cantSplit/>
          <w:jc w:val="center"/>
        </w:trPr>
        <w:tc>
          <w:tcPr>
            <w:tcW w:w="1885" w:type="dxa"/>
            <w:vMerge/>
            <w:shd w:val="clear" w:color="auto" w:fill="4472C4"/>
            <w:vAlign w:val="center"/>
          </w:tcPr>
          <w:p w14:paraId="0184C17C" w14:textId="77777777" w:rsidR="00990B14" w:rsidRDefault="00990B14">
            <w:pPr>
              <w:spacing w:before="20" w:after="20"/>
            </w:pPr>
          </w:p>
        </w:tc>
        <w:tc>
          <w:tcPr>
            <w:tcW w:w="5646" w:type="dxa"/>
            <w:gridSpan w:val="3"/>
            <w:shd w:val="clear" w:color="auto" w:fill="D9E2F3"/>
            <w:vAlign w:val="center"/>
          </w:tcPr>
          <w:p w14:paraId="5CFF7628" w14:textId="77777777" w:rsidR="00990B14" w:rsidRDefault="00000000">
            <w:pPr>
              <w:keepNext/>
              <w:spacing w:before="20" w:after="20"/>
              <w:jc w:val="both"/>
            </w:pPr>
            <w:r>
              <w:rPr>
                <w:b/>
                <w:bCs/>
                <w:i/>
                <w:iCs/>
                <w:sz w:val="18"/>
                <w:szCs w:val="18"/>
              </w:rPr>
              <w:t xml:space="preserve">Producto 15: </w:t>
            </w:r>
            <w:r>
              <w:rPr>
                <w:sz w:val="18"/>
                <w:szCs w:val="18"/>
              </w:rPr>
              <w:t>Asientos de ajuste</w:t>
            </w:r>
          </w:p>
        </w:tc>
        <w:tc>
          <w:tcPr>
            <w:tcW w:w="1874" w:type="dxa"/>
            <w:shd w:val="clear" w:color="auto" w:fill="D9E2F3"/>
            <w:vAlign w:val="center"/>
          </w:tcPr>
          <w:p w14:paraId="4F64BAA4" w14:textId="77777777" w:rsidR="00990B14" w:rsidRDefault="00000000">
            <w:pPr>
              <w:spacing w:before="20" w:after="20"/>
              <w:jc w:val="center"/>
            </w:pPr>
            <w:r>
              <w:rPr>
                <w:b/>
                <w:bCs/>
                <w:sz w:val="18"/>
                <w:szCs w:val="18"/>
              </w:rPr>
              <w:t>5%</w:t>
            </w:r>
          </w:p>
        </w:tc>
      </w:tr>
      <w:tr w:rsidR="00990B14" w14:paraId="5C4FC908" w14:textId="77777777">
        <w:trPr>
          <w:cantSplit/>
          <w:jc w:val="center"/>
        </w:trPr>
        <w:tc>
          <w:tcPr>
            <w:tcW w:w="1885" w:type="dxa"/>
            <w:vMerge/>
            <w:shd w:val="clear" w:color="auto" w:fill="4472C4"/>
            <w:vAlign w:val="center"/>
          </w:tcPr>
          <w:p w14:paraId="01D24073" w14:textId="77777777" w:rsidR="00990B14" w:rsidRDefault="00990B14">
            <w:pPr>
              <w:spacing w:before="20" w:after="20"/>
            </w:pPr>
          </w:p>
        </w:tc>
        <w:tc>
          <w:tcPr>
            <w:tcW w:w="1870" w:type="dxa"/>
            <w:shd w:val="clear" w:color="auto" w:fill="4472C4"/>
            <w:vAlign w:val="center"/>
          </w:tcPr>
          <w:p w14:paraId="79FF2848" w14:textId="77777777" w:rsidR="00990B14" w:rsidRDefault="00000000">
            <w:pPr>
              <w:keepNext/>
              <w:spacing w:before="20" w:after="20"/>
              <w:jc w:val="center"/>
            </w:pPr>
            <w:r>
              <w:rPr>
                <w:b/>
                <w:bCs/>
                <w:i/>
                <w:iCs/>
                <w:color w:val="FFFFFF"/>
                <w:sz w:val="18"/>
                <w:szCs w:val="18"/>
              </w:rPr>
              <w:t>Criterio</w:t>
            </w:r>
          </w:p>
        </w:tc>
        <w:tc>
          <w:tcPr>
            <w:tcW w:w="1866" w:type="dxa"/>
            <w:shd w:val="clear" w:color="auto" w:fill="4472C4"/>
            <w:vAlign w:val="center"/>
          </w:tcPr>
          <w:p w14:paraId="4CB94E50"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7BFE4314" w14:textId="77777777" w:rsidR="00990B14" w:rsidRDefault="00000000">
            <w:pPr>
              <w:keepNext/>
              <w:spacing w:before="20" w:after="20"/>
              <w:jc w:val="center"/>
            </w:pPr>
            <w:r>
              <w:rPr>
                <w:b/>
                <w:bCs/>
                <w:i/>
                <w:iCs/>
                <w:color w:val="FFFFFF"/>
                <w:sz w:val="18"/>
                <w:szCs w:val="18"/>
              </w:rPr>
              <w:t>Suficiente (51–80)</w:t>
            </w:r>
          </w:p>
        </w:tc>
        <w:tc>
          <w:tcPr>
            <w:tcW w:w="1874" w:type="dxa"/>
            <w:shd w:val="clear" w:color="auto" w:fill="4472C4"/>
            <w:vAlign w:val="center"/>
          </w:tcPr>
          <w:p w14:paraId="6460454F" w14:textId="77777777" w:rsidR="00990B14" w:rsidRDefault="00000000">
            <w:pPr>
              <w:keepNext/>
              <w:spacing w:before="20" w:after="20"/>
              <w:jc w:val="center"/>
            </w:pPr>
            <w:r>
              <w:rPr>
                <w:b/>
                <w:bCs/>
                <w:i/>
                <w:iCs/>
                <w:color w:val="FFFFFF"/>
                <w:sz w:val="18"/>
                <w:szCs w:val="18"/>
              </w:rPr>
              <w:t>Destacado (81–100)</w:t>
            </w:r>
          </w:p>
        </w:tc>
      </w:tr>
      <w:tr w:rsidR="00990B14" w14:paraId="18F66E60" w14:textId="77777777">
        <w:trPr>
          <w:cantSplit/>
          <w:jc w:val="center"/>
        </w:trPr>
        <w:tc>
          <w:tcPr>
            <w:tcW w:w="1885" w:type="dxa"/>
            <w:vMerge/>
            <w:shd w:val="clear" w:color="auto" w:fill="4472C4"/>
            <w:vAlign w:val="center"/>
          </w:tcPr>
          <w:p w14:paraId="7BE00FDE" w14:textId="77777777" w:rsidR="00990B14" w:rsidRDefault="00990B14">
            <w:pPr>
              <w:spacing w:before="20" w:after="20"/>
            </w:pPr>
          </w:p>
        </w:tc>
        <w:tc>
          <w:tcPr>
            <w:tcW w:w="1870" w:type="dxa"/>
            <w:shd w:val="clear" w:color="auto" w:fill="D9E2F3"/>
            <w:vAlign w:val="center"/>
          </w:tcPr>
          <w:p w14:paraId="5DCDC14A" w14:textId="77777777" w:rsidR="00990B14" w:rsidRDefault="00000000">
            <w:pPr>
              <w:spacing w:before="20" w:after="20"/>
              <w:jc w:val="both"/>
            </w:pPr>
            <w:r>
              <w:rPr>
                <w:sz w:val="18"/>
                <w:szCs w:val="18"/>
              </w:rPr>
              <w:t>Identificación de ajustes</w:t>
            </w:r>
          </w:p>
        </w:tc>
        <w:tc>
          <w:tcPr>
            <w:tcW w:w="1866" w:type="dxa"/>
            <w:shd w:val="clear" w:color="auto" w:fill="D9E2F3"/>
            <w:vAlign w:val="center"/>
          </w:tcPr>
          <w:p w14:paraId="397D27A6" w14:textId="77777777" w:rsidR="00990B14" w:rsidRDefault="00000000">
            <w:pPr>
              <w:spacing w:before="20" w:after="20"/>
              <w:jc w:val="both"/>
            </w:pPr>
            <w:r>
              <w:rPr>
                <w:sz w:val="18"/>
                <w:szCs w:val="18"/>
              </w:rPr>
              <w:t>Omite ajustes.</w:t>
            </w:r>
          </w:p>
        </w:tc>
        <w:tc>
          <w:tcPr>
            <w:tcW w:w="1910" w:type="dxa"/>
            <w:shd w:val="clear" w:color="auto" w:fill="D9E2F3"/>
            <w:vAlign w:val="center"/>
          </w:tcPr>
          <w:p w14:paraId="1166D723" w14:textId="77777777" w:rsidR="00990B14" w:rsidRDefault="00000000">
            <w:pPr>
              <w:spacing w:before="20" w:after="20"/>
              <w:jc w:val="both"/>
            </w:pPr>
            <w:r>
              <w:rPr>
                <w:sz w:val="18"/>
                <w:szCs w:val="18"/>
              </w:rPr>
              <w:t>Identifica depreciaciones, previsiones, devengamientos e inventario final.</w:t>
            </w:r>
          </w:p>
        </w:tc>
        <w:tc>
          <w:tcPr>
            <w:tcW w:w="1874" w:type="dxa"/>
            <w:shd w:val="clear" w:color="auto" w:fill="D9E2F3"/>
            <w:vAlign w:val="center"/>
          </w:tcPr>
          <w:p w14:paraId="3158064C" w14:textId="77777777" w:rsidR="00990B14" w:rsidRDefault="00000000">
            <w:pPr>
              <w:spacing w:before="20" w:after="20"/>
              <w:jc w:val="both"/>
            </w:pPr>
            <w:r>
              <w:rPr>
                <w:sz w:val="18"/>
                <w:szCs w:val="18"/>
              </w:rPr>
              <w:t>Incluye la actualización de rubros no monetarios.</w:t>
            </w:r>
          </w:p>
        </w:tc>
      </w:tr>
      <w:tr w:rsidR="00990B14" w14:paraId="0A193C81" w14:textId="77777777">
        <w:trPr>
          <w:cantSplit/>
          <w:jc w:val="center"/>
        </w:trPr>
        <w:tc>
          <w:tcPr>
            <w:tcW w:w="1885" w:type="dxa"/>
            <w:vMerge/>
            <w:shd w:val="clear" w:color="auto" w:fill="4472C4"/>
            <w:vAlign w:val="center"/>
          </w:tcPr>
          <w:p w14:paraId="40F50768" w14:textId="77777777" w:rsidR="00990B14" w:rsidRDefault="00990B14">
            <w:pPr>
              <w:spacing w:before="20" w:after="20"/>
            </w:pPr>
          </w:p>
        </w:tc>
        <w:tc>
          <w:tcPr>
            <w:tcW w:w="1870" w:type="dxa"/>
            <w:shd w:val="clear" w:color="auto" w:fill="D9E2F3"/>
            <w:vAlign w:val="center"/>
          </w:tcPr>
          <w:p w14:paraId="1329F2E8" w14:textId="77777777" w:rsidR="00990B14" w:rsidRDefault="00000000">
            <w:pPr>
              <w:spacing w:before="20" w:after="20"/>
              <w:jc w:val="both"/>
            </w:pPr>
            <w:r>
              <w:rPr>
                <w:sz w:val="18"/>
                <w:szCs w:val="18"/>
              </w:rPr>
              <w:t>Cálculo</w:t>
            </w:r>
          </w:p>
        </w:tc>
        <w:tc>
          <w:tcPr>
            <w:tcW w:w="1866" w:type="dxa"/>
            <w:shd w:val="clear" w:color="auto" w:fill="D9E2F3"/>
            <w:vAlign w:val="center"/>
          </w:tcPr>
          <w:p w14:paraId="4B5864C1" w14:textId="77777777" w:rsidR="00990B14" w:rsidRDefault="00000000">
            <w:pPr>
              <w:spacing w:before="20" w:after="20"/>
              <w:jc w:val="both"/>
            </w:pPr>
            <w:r>
              <w:rPr>
                <w:sz w:val="18"/>
                <w:szCs w:val="18"/>
              </w:rPr>
              <w:t>Calcula con errores.</w:t>
            </w:r>
          </w:p>
        </w:tc>
        <w:tc>
          <w:tcPr>
            <w:tcW w:w="1910" w:type="dxa"/>
            <w:shd w:val="clear" w:color="auto" w:fill="D9E2F3"/>
            <w:vAlign w:val="center"/>
          </w:tcPr>
          <w:p w14:paraId="191E1BFA" w14:textId="77777777" w:rsidR="00990B14" w:rsidRDefault="00000000">
            <w:pPr>
              <w:spacing w:before="20" w:after="20"/>
              <w:jc w:val="both"/>
            </w:pPr>
            <w:r>
              <w:rPr>
                <w:sz w:val="18"/>
                <w:szCs w:val="18"/>
              </w:rPr>
              <w:t>Calcula correctamente cada ajuste.</w:t>
            </w:r>
          </w:p>
        </w:tc>
        <w:tc>
          <w:tcPr>
            <w:tcW w:w="1874" w:type="dxa"/>
            <w:shd w:val="clear" w:color="auto" w:fill="D9E2F3"/>
            <w:vAlign w:val="center"/>
          </w:tcPr>
          <w:p w14:paraId="332413D2" w14:textId="77777777" w:rsidR="00990B14" w:rsidRDefault="00000000">
            <w:pPr>
              <w:spacing w:before="20" w:after="20"/>
              <w:jc w:val="both"/>
            </w:pPr>
            <w:r>
              <w:rPr>
                <w:sz w:val="18"/>
                <w:szCs w:val="18"/>
              </w:rPr>
              <w:t>Muestra el procedimiento de cálculo.</w:t>
            </w:r>
          </w:p>
        </w:tc>
      </w:tr>
      <w:tr w:rsidR="00990B14" w14:paraId="437F337E" w14:textId="77777777">
        <w:trPr>
          <w:cantSplit/>
          <w:jc w:val="center"/>
        </w:trPr>
        <w:tc>
          <w:tcPr>
            <w:tcW w:w="1885" w:type="dxa"/>
            <w:vMerge/>
            <w:shd w:val="clear" w:color="auto" w:fill="4472C4"/>
            <w:vAlign w:val="center"/>
          </w:tcPr>
          <w:p w14:paraId="0532D2D8" w14:textId="77777777" w:rsidR="00990B14" w:rsidRDefault="00990B14">
            <w:pPr>
              <w:spacing w:before="20" w:after="20"/>
            </w:pPr>
          </w:p>
        </w:tc>
        <w:tc>
          <w:tcPr>
            <w:tcW w:w="1870" w:type="dxa"/>
            <w:shd w:val="clear" w:color="auto" w:fill="D9E2F3"/>
            <w:vAlign w:val="center"/>
          </w:tcPr>
          <w:p w14:paraId="09CF61DE" w14:textId="77777777" w:rsidR="00990B14" w:rsidRDefault="00000000">
            <w:pPr>
              <w:spacing w:before="20" w:after="20"/>
              <w:jc w:val="both"/>
            </w:pPr>
            <w:r>
              <w:rPr>
                <w:sz w:val="18"/>
                <w:szCs w:val="18"/>
              </w:rPr>
              <w:t>Norma aplicada</w:t>
            </w:r>
          </w:p>
        </w:tc>
        <w:tc>
          <w:tcPr>
            <w:tcW w:w="1866" w:type="dxa"/>
            <w:shd w:val="clear" w:color="auto" w:fill="D9E2F3"/>
            <w:vAlign w:val="center"/>
          </w:tcPr>
          <w:p w14:paraId="73EA3A5E" w14:textId="77777777" w:rsidR="00990B14" w:rsidRDefault="00000000">
            <w:pPr>
              <w:spacing w:before="20" w:after="20"/>
              <w:jc w:val="both"/>
            </w:pPr>
            <w:r>
              <w:rPr>
                <w:sz w:val="18"/>
                <w:szCs w:val="18"/>
              </w:rPr>
              <w:t>No cita la norma.</w:t>
            </w:r>
          </w:p>
        </w:tc>
        <w:tc>
          <w:tcPr>
            <w:tcW w:w="1910" w:type="dxa"/>
            <w:shd w:val="clear" w:color="auto" w:fill="D9E2F3"/>
            <w:vAlign w:val="center"/>
          </w:tcPr>
          <w:p w14:paraId="7BCE153E" w14:textId="77777777" w:rsidR="00990B14" w:rsidRDefault="00000000">
            <w:pPr>
              <w:spacing w:before="20" w:after="20"/>
              <w:jc w:val="both"/>
            </w:pPr>
            <w:r>
              <w:rPr>
                <w:sz w:val="18"/>
                <w:szCs w:val="18"/>
              </w:rPr>
              <w:t>Fundamenta el ajuste en la norma de contabilidad.</w:t>
            </w:r>
          </w:p>
        </w:tc>
        <w:tc>
          <w:tcPr>
            <w:tcW w:w="1874" w:type="dxa"/>
            <w:shd w:val="clear" w:color="auto" w:fill="D9E2F3"/>
            <w:vAlign w:val="center"/>
          </w:tcPr>
          <w:p w14:paraId="2C11D759" w14:textId="77777777" w:rsidR="00990B14" w:rsidRDefault="00000000">
            <w:pPr>
              <w:spacing w:before="20" w:after="20"/>
              <w:jc w:val="both"/>
            </w:pPr>
            <w:r>
              <w:rPr>
                <w:sz w:val="18"/>
                <w:szCs w:val="18"/>
              </w:rPr>
              <w:t>Explica el efecto del ajuste en los estados financieros.</w:t>
            </w:r>
          </w:p>
        </w:tc>
      </w:tr>
      <w:tr w:rsidR="00990B14" w14:paraId="5F75A005" w14:textId="77777777">
        <w:trPr>
          <w:cantSplit/>
          <w:jc w:val="center"/>
        </w:trPr>
        <w:tc>
          <w:tcPr>
            <w:tcW w:w="1885" w:type="dxa"/>
            <w:vMerge/>
            <w:shd w:val="clear" w:color="auto" w:fill="4472C4"/>
            <w:vAlign w:val="center"/>
          </w:tcPr>
          <w:p w14:paraId="01E75187" w14:textId="77777777" w:rsidR="00990B14" w:rsidRDefault="00990B14">
            <w:pPr>
              <w:spacing w:before="20" w:after="20"/>
            </w:pPr>
          </w:p>
        </w:tc>
        <w:tc>
          <w:tcPr>
            <w:tcW w:w="5646" w:type="dxa"/>
            <w:gridSpan w:val="3"/>
            <w:shd w:val="clear" w:color="auto" w:fill="D9E2F3"/>
            <w:vAlign w:val="center"/>
          </w:tcPr>
          <w:p w14:paraId="222F58F9" w14:textId="77777777" w:rsidR="00990B14" w:rsidRDefault="00000000">
            <w:pPr>
              <w:keepNext/>
              <w:spacing w:before="20" w:after="20"/>
              <w:jc w:val="both"/>
            </w:pPr>
            <w:r>
              <w:rPr>
                <w:b/>
                <w:bCs/>
                <w:i/>
                <w:iCs/>
                <w:sz w:val="18"/>
                <w:szCs w:val="18"/>
              </w:rPr>
              <w:t xml:space="preserve">Producto 16: </w:t>
            </w:r>
            <w:r>
              <w:rPr>
                <w:sz w:val="18"/>
                <w:szCs w:val="18"/>
              </w:rPr>
              <w:t>Hoja de trabajo en hoja de cálculo</w:t>
            </w:r>
          </w:p>
        </w:tc>
        <w:tc>
          <w:tcPr>
            <w:tcW w:w="1874" w:type="dxa"/>
            <w:shd w:val="clear" w:color="auto" w:fill="D9E2F3"/>
            <w:vAlign w:val="center"/>
          </w:tcPr>
          <w:p w14:paraId="0D751364" w14:textId="77777777" w:rsidR="00990B14" w:rsidRDefault="00000000">
            <w:pPr>
              <w:spacing w:before="20" w:after="20"/>
              <w:jc w:val="center"/>
            </w:pPr>
            <w:r>
              <w:rPr>
                <w:b/>
                <w:bCs/>
                <w:sz w:val="18"/>
                <w:szCs w:val="18"/>
              </w:rPr>
              <w:t>5%</w:t>
            </w:r>
          </w:p>
        </w:tc>
      </w:tr>
      <w:tr w:rsidR="00990B14" w14:paraId="2CD4755D" w14:textId="77777777">
        <w:trPr>
          <w:cantSplit/>
          <w:jc w:val="center"/>
        </w:trPr>
        <w:tc>
          <w:tcPr>
            <w:tcW w:w="1885" w:type="dxa"/>
            <w:vMerge/>
            <w:shd w:val="clear" w:color="auto" w:fill="4472C4"/>
            <w:vAlign w:val="center"/>
          </w:tcPr>
          <w:p w14:paraId="3E88BE9A" w14:textId="77777777" w:rsidR="00990B14" w:rsidRDefault="00990B14">
            <w:pPr>
              <w:spacing w:before="20" w:after="20"/>
            </w:pPr>
          </w:p>
        </w:tc>
        <w:tc>
          <w:tcPr>
            <w:tcW w:w="1870" w:type="dxa"/>
            <w:shd w:val="clear" w:color="auto" w:fill="4472C4"/>
            <w:vAlign w:val="center"/>
          </w:tcPr>
          <w:p w14:paraId="1F04EB2B" w14:textId="77777777" w:rsidR="00990B14" w:rsidRDefault="00000000">
            <w:pPr>
              <w:keepNext/>
              <w:spacing w:before="20" w:after="20"/>
              <w:jc w:val="center"/>
            </w:pPr>
            <w:r>
              <w:rPr>
                <w:b/>
                <w:bCs/>
                <w:i/>
                <w:iCs/>
                <w:color w:val="FFFFFF"/>
                <w:sz w:val="18"/>
                <w:szCs w:val="18"/>
              </w:rPr>
              <w:t>Criterio</w:t>
            </w:r>
          </w:p>
        </w:tc>
        <w:tc>
          <w:tcPr>
            <w:tcW w:w="1866" w:type="dxa"/>
            <w:shd w:val="clear" w:color="auto" w:fill="4472C4"/>
            <w:vAlign w:val="center"/>
          </w:tcPr>
          <w:p w14:paraId="1ABEA691"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1F08C944" w14:textId="77777777" w:rsidR="00990B14" w:rsidRDefault="00000000">
            <w:pPr>
              <w:keepNext/>
              <w:spacing w:before="20" w:after="20"/>
              <w:jc w:val="center"/>
            </w:pPr>
            <w:r>
              <w:rPr>
                <w:b/>
                <w:bCs/>
                <w:i/>
                <w:iCs/>
                <w:color w:val="FFFFFF"/>
                <w:sz w:val="18"/>
                <w:szCs w:val="18"/>
              </w:rPr>
              <w:t>Suficiente (51–80)</w:t>
            </w:r>
          </w:p>
        </w:tc>
        <w:tc>
          <w:tcPr>
            <w:tcW w:w="1874" w:type="dxa"/>
            <w:shd w:val="clear" w:color="auto" w:fill="4472C4"/>
            <w:vAlign w:val="center"/>
          </w:tcPr>
          <w:p w14:paraId="2F1DFF36" w14:textId="77777777" w:rsidR="00990B14" w:rsidRDefault="00000000">
            <w:pPr>
              <w:keepNext/>
              <w:spacing w:before="20" w:after="20"/>
              <w:jc w:val="center"/>
            </w:pPr>
            <w:r>
              <w:rPr>
                <w:b/>
                <w:bCs/>
                <w:i/>
                <w:iCs/>
                <w:color w:val="FFFFFF"/>
                <w:sz w:val="18"/>
                <w:szCs w:val="18"/>
              </w:rPr>
              <w:t>Destacado (81–100)</w:t>
            </w:r>
          </w:p>
        </w:tc>
      </w:tr>
      <w:tr w:rsidR="00990B14" w14:paraId="21F2B7FB" w14:textId="77777777">
        <w:trPr>
          <w:cantSplit/>
          <w:jc w:val="center"/>
        </w:trPr>
        <w:tc>
          <w:tcPr>
            <w:tcW w:w="1885" w:type="dxa"/>
            <w:vMerge/>
            <w:shd w:val="clear" w:color="auto" w:fill="4472C4"/>
            <w:vAlign w:val="center"/>
          </w:tcPr>
          <w:p w14:paraId="6DA733D8" w14:textId="77777777" w:rsidR="00990B14" w:rsidRDefault="00990B14">
            <w:pPr>
              <w:spacing w:before="20" w:after="20"/>
            </w:pPr>
          </w:p>
        </w:tc>
        <w:tc>
          <w:tcPr>
            <w:tcW w:w="1870" w:type="dxa"/>
            <w:shd w:val="clear" w:color="auto" w:fill="D9E2F3"/>
            <w:vAlign w:val="center"/>
          </w:tcPr>
          <w:p w14:paraId="427CD51D" w14:textId="77777777" w:rsidR="00990B14" w:rsidRDefault="00000000">
            <w:pPr>
              <w:spacing w:before="20" w:after="20"/>
              <w:jc w:val="both"/>
            </w:pPr>
            <w:r>
              <w:rPr>
                <w:sz w:val="18"/>
                <w:szCs w:val="18"/>
              </w:rPr>
              <w:t>Estructura</w:t>
            </w:r>
          </w:p>
        </w:tc>
        <w:tc>
          <w:tcPr>
            <w:tcW w:w="1866" w:type="dxa"/>
            <w:shd w:val="clear" w:color="auto" w:fill="D9E2F3"/>
            <w:vAlign w:val="center"/>
          </w:tcPr>
          <w:p w14:paraId="4A0885E3" w14:textId="77777777" w:rsidR="00990B14" w:rsidRDefault="00000000">
            <w:pPr>
              <w:spacing w:before="20" w:after="20"/>
              <w:jc w:val="both"/>
            </w:pPr>
            <w:r>
              <w:rPr>
                <w:sz w:val="18"/>
                <w:szCs w:val="18"/>
              </w:rPr>
              <w:t>Omite columnas.</w:t>
            </w:r>
          </w:p>
        </w:tc>
        <w:tc>
          <w:tcPr>
            <w:tcW w:w="1910" w:type="dxa"/>
            <w:shd w:val="clear" w:color="auto" w:fill="D9E2F3"/>
            <w:vAlign w:val="center"/>
          </w:tcPr>
          <w:p w14:paraId="440532D3" w14:textId="77777777" w:rsidR="00990B14" w:rsidRDefault="00000000">
            <w:pPr>
              <w:spacing w:before="20" w:after="20"/>
              <w:jc w:val="both"/>
            </w:pPr>
            <w:r>
              <w:rPr>
                <w:sz w:val="18"/>
                <w:szCs w:val="18"/>
              </w:rPr>
              <w:t>Arma la hoja de trabajo con todas sus columnas.</w:t>
            </w:r>
          </w:p>
        </w:tc>
        <w:tc>
          <w:tcPr>
            <w:tcW w:w="1874" w:type="dxa"/>
            <w:shd w:val="clear" w:color="auto" w:fill="D9E2F3"/>
            <w:vAlign w:val="center"/>
          </w:tcPr>
          <w:p w14:paraId="167BAEEF" w14:textId="77777777" w:rsidR="00990B14" w:rsidRDefault="00000000">
            <w:pPr>
              <w:spacing w:before="20" w:after="20"/>
              <w:jc w:val="both"/>
            </w:pPr>
            <w:r>
              <w:rPr>
                <w:sz w:val="18"/>
                <w:szCs w:val="18"/>
              </w:rPr>
              <w:t>Elige el formato de columnas acorde al caso.</w:t>
            </w:r>
          </w:p>
        </w:tc>
      </w:tr>
      <w:tr w:rsidR="00990B14" w14:paraId="78FC2561" w14:textId="77777777">
        <w:trPr>
          <w:cantSplit/>
          <w:jc w:val="center"/>
        </w:trPr>
        <w:tc>
          <w:tcPr>
            <w:tcW w:w="1885" w:type="dxa"/>
            <w:vMerge/>
            <w:shd w:val="clear" w:color="auto" w:fill="4472C4"/>
            <w:vAlign w:val="center"/>
          </w:tcPr>
          <w:p w14:paraId="7788D1A7" w14:textId="77777777" w:rsidR="00990B14" w:rsidRDefault="00990B14">
            <w:pPr>
              <w:spacing w:before="20" w:after="20"/>
            </w:pPr>
          </w:p>
        </w:tc>
        <w:tc>
          <w:tcPr>
            <w:tcW w:w="1870" w:type="dxa"/>
            <w:shd w:val="clear" w:color="auto" w:fill="D9E2F3"/>
            <w:vAlign w:val="center"/>
          </w:tcPr>
          <w:p w14:paraId="56DFD9B8" w14:textId="77777777" w:rsidR="00990B14" w:rsidRDefault="00000000">
            <w:pPr>
              <w:spacing w:before="20" w:after="20"/>
              <w:jc w:val="both"/>
            </w:pPr>
            <w:r>
              <w:rPr>
                <w:sz w:val="18"/>
                <w:szCs w:val="18"/>
              </w:rPr>
              <w:t>Fórmulas</w:t>
            </w:r>
          </w:p>
        </w:tc>
        <w:tc>
          <w:tcPr>
            <w:tcW w:w="1866" w:type="dxa"/>
            <w:shd w:val="clear" w:color="auto" w:fill="D9E2F3"/>
            <w:vAlign w:val="center"/>
          </w:tcPr>
          <w:p w14:paraId="64B050F7" w14:textId="77777777" w:rsidR="00990B14" w:rsidRDefault="00000000">
            <w:pPr>
              <w:spacing w:before="20" w:after="20"/>
              <w:jc w:val="both"/>
            </w:pPr>
            <w:r>
              <w:rPr>
                <w:sz w:val="18"/>
                <w:szCs w:val="18"/>
              </w:rPr>
              <w:t>Ingresa valores fijos.</w:t>
            </w:r>
          </w:p>
        </w:tc>
        <w:tc>
          <w:tcPr>
            <w:tcW w:w="1910" w:type="dxa"/>
            <w:shd w:val="clear" w:color="auto" w:fill="D9E2F3"/>
            <w:vAlign w:val="center"/>
          </w:tcPr>
          <w:p w14:paraId="5B1F0DDD" w14:textId="77777777" w:rsidR="00990B14" w:rsidRDefault="00000000">
            <w:pPr>
              <w:spacing w:before="20" w:after="20"/>
              <w:jc w:val="both"/>
            </w:pPr>
            <w:r>
              <w:rPr>
                <w:sz w:val="18"/>
                <w:szCs w:val="18"/>
              </w:rPr>
              <w:t>Usa fórmulas de suma, saldo y ajuste.</w:t>
            </w:r>
          </w:p>
        </w:tc>
        <w:tc>
          <w:tcPr>
            <w:tcW w:w="1874" w:type="dxa"/>
            <w:shd w:val="clear" w:color="auto" w:fill="D9E2F3"/>
            <w:vAlign w:val="center"/>
          </w:tcPr>
          <w:p w14:paraId="5163B3F9" w14:textId="77777777" w:rsidR="00990B14" w:rsidRDefault="00000000">
            <w:pPr>
              <w:spacing w:before="20" w:after="20"/>
              <w:jc w:val="both"/>
            </w:pPr>
            <w:r>
              <w:rPr>
                <w:sz w:val="18"/>
                <w:szCs w:val="18"/>
              </w:rPr>
              <w:t>Valida la igualdad de las columnas con fórmulas.</w:t>
            </w:r>
          </w:p>
        </w:tc>
      </w:tr>
      <w:tr w:rsidR="00990B14" w14:paraId="290767AF" w14:textId="77777777">
        <w:trPr>
          <w:cantSplit/>
          <w:jc w:val="center"/>
        </w:trPr>
        <w:tc>
          <w:tcPr>
            <w:tcW w:w="1885" w:type="dxa"/>
            <w:vMerge/>
            <w:shd w:val="clear" w:color="auto" w:fill="4472C4"/>
            <w:vAlign w:val="center"/>
          </w:tcPr>
          <w:p w14:paraId="7C32F6D7" w14:textId="77777777" w:rsidR="00990B14" w:rsidRDefault="00990B14">
            <w:pPr>
              <w:spacing w:before="20" w:after="20"/>
            </w:pPr>
          </w:p>
        </w:tc>
        <w:tc>
          <w:tcPr>
            <w:tcW w:w="1870" w:type="dxa"/>
            <w:shd w:val="clear" w:color="auto" w:fill="D9E2F3"/>
            <w:vAlign w:val="center"/>
          </w:tcPr>
          <w:p w14:paraId="4A349901" w14:textId="77777777" w:rsidR="00990B14" w:rsidRDefault="00000000">
            <w:pPr>
              <w:spacing w:before="20" w:after="20"/>
              <w:jc w:val="both"/>
            </w:pPr>
            <w:r>
              <w:rPr>
                <w:sz w:val="18"/>
                <w:szCs w:val="18"/>
              </w:rPr>
              <w:t>Cierre</w:t>
            </w:r>
          </w:p>
        </w:tc>
        <w:tc>
          <w:tcPr>
            <w:tcW w:w="1866" w:type="dxa"/>
            <w:shd w:val="clear" w:color="auto" w:fill="D9E2F3"/>
            <w:vAlign w:val="center"/>
          </w:tcPr>
          <w:p w14:paraId="5EDEA1CA" w14:textId="77777777" w:rsidR="00990B14" w:rsidRDefault="00000000">
            <w:pPr>
              <w:spacing w:before="20" w:after="20"/>
              <w:jc w:val="both"/>
            </w:pPr>
            <w:r>
              <w:rPr>
                <w:sz w:val="18"/>
                <w:szCs w:val="18"/>
              </w:rPr>
              <w:t>El cierre no cuadra.</w:t>
            </w:r>
          </w:p>
        </w:tc>
        <w:tc>
          <w:tcPr>
            <w:tcW w:w="1910" w:type="dxa"/>
            <w:shd w:val="clear" w:color="auto" w:fill="D9E2F3"/>
            <w:vAlign w:val="center"/>
          </w:tcPr>
          <w:p w14:paraId="1DF1A7D7" w14:textId="77777777" w:rsidR="00990B14" w:rsidRDefault="00000000">
            <w:pPr>
              <w:spacing w:before="20" w:after="20"/>
              <w:jc w:val="both"/>
            </w:pPr>
            <w:r>
              <w:rPr>
                <w:sz w:val="18"/>
                <w:szCs w:val="18"/>
              </w:rPr>
              <w:t>Determina la utilidad o la pérdida del año.</w:t>
            </w:r>
          </w:p>
        </w:tc>
        <w:tc>
          <w:tcPr>
            <w:tcW w:w="1874" w:type="dxa"/>
            <w:shd w:val="clear" w:color="auto" w:fill="D9E2F3"/>
            <w:vAlign w:val="center"/>
          </w:tcPr>
          <w:p w14:paraId="5AC09455" w14:textId="77777777" w:rsidR="00990B14" w:rsidRDefault="00000000">
            <w:pPr>
              <w:spacing w:before="20" w:after="20"/>
              <w:jc w:val="both"/>
            </w:pPr>
            <w:r>
              <w:rPr>
                <w:sz w:val="18"/>
                <w:szCs w:val="18"/>
              </w:rPr>
              <w:t>Integra los resultados de años anteriores.</w:t>
            </w:r>
          </w:p>
        </w:tc>
      </w:tr>
      <w:tr w:rsidR="00990B14" w14:paraId="0286F1C2" w14:textId="77777777">
        <w:trPr>
          <w:cantSplit/>
          <w:jc w:val="center"/>
        </w:trPr>
        <w:tc>
          <w:tcPr>
            <w:tcW w:w="1885" w:type="dxa"/>
            <w:vMerge/>
            <w:shd w:val="clear" w:color="auto" w:fill="4472C4"/>
            <w:vAlign w:val="center"/>
          </w:tcPr>
          <w:p w14:paraId="1C216025" w14:textId="77777777" w:rsidR="00990B14" w:rsidRDefault="00990B14">
            <w:pPr>
              <w:spacing w:before="20" w:after="20"/>
            </w:pPr>
          </w:p>
        </w:tc>
        <w:tc>
          <w:tcPr>
            <w:tcW w:w="5646" w:type="dxa"/>
            <w:gridSpan w:val="3"/>
            <w:shd w:val="clear" w:color="auto" w:fill="D9E2F3"/>
            <w:vAlign w:val="center"/>
          </w:tcPr>
          <w:p w14:paraId="47722E6D" w14:textId="77777777" w:rsidR="00990B14" w:rsidRDefault="00000000">
            <w:pPr>
              <w:keepNext/>
              <w:spacing w:before="20" w:after="20"/>
              <w:jc w:val="both"/>
            </w:pPr>
            <w:r>
              <w:rPr>
                <w:b/>
                <w:bCs/>
                <w:i/>
                <w:iCs/>
                <w:sz w:val="18"/>
                <w:szCs w:val="18"/>
              </w:rPr>
              <w:t xml:space="preserve">Producto 17: </w:t>
            </w:r>
            <w:r>
              <w:rPr>
                <w:sz w:val="18"/>
                <w:szCs w:val="18"/>
              </w:rPr>
              <w:t>Balance general y estado de resultados</w:t>
            </w:r>
          </w:p>
        </w:tc>
        <w:tc>
          <w:tcPr>
            <w:tcW w:w="1874" w:type="dxa"/>
            <w:shd w:val="clear" w:color="auto" w:fill="D9E2F3"/>
            <w:vAlign w:val="center"/>
          </w:tcPr>
          <w:p w14:paraId="026BF447" w14:textId="77777777" w:rsidR="00990B14" w:rsidRDefault="00000000">
            <w:pPr>
              <w:spacing w:before="20" w:after="20"/>
              <w:jc w:val="center"/>
            </w:pPr>
            <w:r>
              <w:rPr>
                <w:b/>
                <w:bCs/>
                <w:sz w:val="18"/>
                <w:szCs w:val="18"/>
              </w:rPr>
              <w:t>7%</w:t>
            </w:r>
          </w:p>
        </w:tc>
      </w:tr>
      <w:tr w:rsidR="00990B14" w14:paraId="39644C42" w14:textId="77777777">
        <w:trPr>
          <w:cantSplit/>
          <w:jc w:val="center"/>
        </w:trPr>
        <w:tc>
          <w:tcPr>
            <w:tcW w:w="1885" w:type="dxa"/>
            <w:vMerge/>
            <w:shd w:val="clear" w:color="auto" w:fill="4472C4"/>
            <w:vAlign w:val="center"/>
          </w:tcPr>
          <w:p w14:paraId="0DF5482B" w14:textId="77777777" w:rsidR="00990B14" w:rsidRDefault="00990B14">
            <w:pPr>
              <w:spacing w:before="20" w:after="20"/>
            </w:pPr>
          </w:p>
        </w:tc>
        <w:tc>
          <w:tcPr>
            <w:tcW w:w="1870" w:type="dxa"/>
            <w:shd w:val="clear" w:color="auto" w:fill="4472C4"/>
            <w:vAlign w:val="center"/>
          </w:tcPr>
          <w:p w14:paraId="15DE55F0" w14:textId="77777777" w:rsidR="00990B14" w:rsidRDefault="00000000">
            <w:pPr>
              <w:keepNext/>
              <w:spacing w:before="20" w:after="20"/>
              <w:jc w:val="center"/>
            </w:pPr>
            <w:r>
              <w:rPr>
                <w:b/>
                <w:bCs/>
                <w:i/>
                <w:iCs/>
                <w:color w:val="FFFFFF"/>
                <w:sz w:val="18"/>
                <w:szCs w:val="18"/>
              </w:rPr>
              <w:t>Criterio</w:t>
            </w:r>
          </w:p>
        </w:tc>
        <w:tc>
          <w:tcPr>
            <w:tcW w:w="1866" w:type="dxa"/>
            <w:shd w:val="clear" w:color="auto" w:fill="4472C4"/>
            <w:vAlign w:val="center"/>
          </w:tcPr>
          <w:p w14:paraId="0D938C82"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708220F9" w14:textId="77777777" w:rsidR="00990B14" w:rsidRDefault="00000000">
            <w:pPr>
              <w:keepNext/>
              <w:spacing w:before="20" w:after="20"/>
              <w:jc w:val="center"/>
            </w:pPr>
            <w:r>
              <w:rPr>
                <w:b/>
                <w:bCs/>
                <w:i/>
                <w:iCs/>
                <w:color w:val="FFFFFF"/>
                <w:sz w:val="18"/>
                <w:szCs w:val="18"/>
              </w:rPr>
              <w:t>Suficiente (51–80)</w:t>
            </w:r>
          </w:p>
        </w:tc>
        <w:tc>
          <w:tcPr>
            <w:tcW w:w="1874" w:type="dxa"/>
            <w:shd w:val="clear" w:color="auto" w:fill="4472C4"/>
            <w:vAlign w:val="center"/>
          </w:tcPr>
          <w:p w14:paraId="4B37DE9F" w14:textId="77777777" w:rsidR="00990B14" w:rsidRDefault="00000000">
            <w:pPr>
              <w:keepNext/>
              <w:spacing w:before="20" w:after="20"/>
              <w:jc w:val="center"/>
            </w:pPr>
            <w:r>
              <w:rPr>
                <w:b/>
                <w:bCs/>
                <w:i/>
                <w:iCs/>
                <w:color w:val="FFFFFF"/>
                <w:sz w:val="18"/>
                <w:szCs w:val="18"/>
              </w:rPr>
              <w:t>Destacado (81–100)</w:t>
            </w:r>
          </w:p>
        </w:tc>
      </w:tr>
      <w:tr w:rsidR="00990B14" w14:paraId="539CC326" w14:textId="77777777">
        <w:trPr>
          <w:cantSplit/>
          <w:jc w:val="center"/>
        </w:trPr>
        <w:tc>
          <w:tcPr>
            <w:tcW w:w="1885" w:type="dxa"/>
            <w:vMerge/>
            <w:shd w:val="clear" w:color="auto" w:fill="4472C4"/>
            <w:vAlign w:val="center"/>
          </w:tcPr>
          <w:p w14:paraId="57CE594A" w14:textId="77777777" w:rsidR="00990B14" w:rsidRDefault="00990B14">
            <w:pPr>
              <w:spacing w:before="20" w:after="20"/>
            </w:pPr>
          </w:p>
        </w:tc>
        <w:tc>
          <w:tcPr>
            <w:tcW w:w="1870" w:type="dxa"/>
            <w:shd w:val="clear" w:color="auto" w:fill="D9E2F3"/>
            <w:vAlign w:val="center"/>
          </w:tcPr>
          <w:p w14:paraId="22445981" w14:textId="77777777" w:rsidR="00990B14" w:rsidRDefault="00000000">
            <w:pPr>
              <w:spacing w:before="20" w:after="20"/>
              <w:jc w:val="both"/>
            </w:pPr>
            <w:r>
              <w:rPr>
                <w:sz w:val="18"/>
                <w:szCs w:val="18"/>
              </w:rPr>
              <w:t>Apropiación de cuentas</w:t>
            </w:r>
          </w:p>
        </w:tc>
        <w:tc>
          <w:tcPr>
            <w:tcW w:w="1866" w:type="dxa"/>
            <w:shd w:val="clear" w:color="auto" w:fill="D9E2F3"/>
            <w:vAlign w:val="center"/>
          </w:tcPr>
          <w:p w14:paraId="332A79BD" w14:textId="77777777" w:rsidR="00990B14" w:rsidRDefault="00000000">
            <w:pPr>
              <w:spacing w:before="20" w:after="20"/>
              <w:jc w:val="both"/>
            </w:pPr>
            <w:r>
              <w:rPr>
                <w:sz w:val="18"/>
                <w:szCs w:val="18"/>
              </w:rPr>
              <w:t>Ubica cuentas en rubros equivocados.</w:t>
            </w:r>
          </w:p>
        </w:tc>
        <w:tc>
          <w:tcPr>
            <w:tcW w:w="1910" w:type="dxa"/>
            <w:shd w:val="clear" w:color="auto" w:fill="D9E2F3"/>
            <w:vAlign w:val="center"/>
          </w:tcPr>
          <w:p w14:paraId="7F8D1342" w14:textId="77777777" w:rsidR="00990B14" w:rsidRDefault="00000000">
            <w:pPr>
              <w:spacing w:before="20" w:after="20"/>
              <w:jc w:val="both"/>
            </w:pPr>
            <w:r>
              <w:rPr>
                <w:sz w:val="18"/>
                <w:szCs w:val="18"/>
              </w:rPr>
              <w:t>Apropia las cuentas en su rubro correcto.</w:t>
            </w:r>
          </w:p>
        </w:tc>
        <w:tc>
          <w:tcPr>
            <w:tcW w:w="1874" w:type="dxa"/>
            <w:shd w:val="clear" w:color="auto" w:fill="D9E2F3"/>
            <w:vAlign w:val="center"/>
          </w:tcPr>
          <w:p w14:paraId="6228D5BE" w14:textId="77777777" w:rsidR="00990B14" w:rsidRDefault="00000000">
            <w:pPr>
              <w:spacing w:before="20" w:after="20"/>
              <w:jc w:val="both"/>
            </w:pPr>
            <w:r>
              <w:rPr>
                <w:sz w:val="18"/>
                <w:szCs w:val="18"/>
              </w:rPr>
              <w:t>Distingue lo corriente de lo no corriente.</w:t>
            </w:r>
          </w:p>
        </w:tc>
      </w:tr>
      <w:tr w:rsidR="00990B14" w14:paraId="4A9E4856" w14:textId="77777777">
        <w:trPr>
          <w:cantSplit/>
          <w:jc w:val="center"/>
        </w:trPr>
        <w:tc>
          <w:tcPr>
            <w:tcW w:w="1885" w:type="dxa"/>
            <w:vMerge/>
            <w:shd w:val="clear" w:color="auto" w:fill="4472C4"/>
            <w:vAlign w:val="center"/>
          </w:tcPr>
          <w:p w14:paraId="3FF75C93" w14:textId="77777777" w:rsidR="00990B14" w:rsidRDefault="00990B14">
            <w:pPr>
              <w:spacing w:before="20" w:after="20"/>
            </w:pPr>
          </w:p>
        </w:tc>
        <w:tc>
          <w:tcPr>
            <w:tcW w:w="1870" w:type="dxa"/>
            <w:shd w:val="clear" w:color="auto" w:fill="D9E2F3"/>
            <w:vAlign w:val="center"/>
          </w:tcPr>
          <w:p w14:paraId="0FA75018" w14:textId="77777777" w:rsidR="00990B14" w:rsidRDefault="00000000">
            <w:pPr>
              <w:spacing w:before="20" w:after="20"/>
              <w:jc w:val="both"/>
            </w:pPr>
            <w:r>
              <w:rPr>
                <w:sz w:val="18"/>
                <w:szCs w:val="18"/>
              </w:rPr>
              <w:t>Exposición</w:t>
            </w:r>
          </w:p>
        </w:tc>
        <w:tc>
          <w:tcPr>
            <w:tcW w:w="1866" w:type="dxa"/>
            <w:shd w:val="clear" w:color="auto" w:fill="D9E2F3"/>
            <w:vAlign w:val="center"/>
          </w:tcPr>
          <w:p w14:paraId="20B85048" w14:textId="77777777" w:rsidR="00990B14" w:rsidRDefault="00000000">
            <w:pPr>
              <w:spacing w:before="20" w:after="20"/>
              <w:jc w:val="both"/>
            </w:pPr>
            <w:r>
              <w:rPr>
                <w:sz w:val="18"/>
                <w:szCs w:val="18"/>
              </w:rPr>
              <w:t>El formato es incorrecto.</w:t>
            </w:r>
          </w:p>
        </w:tc>
        <w:tc>
          <w:tcPr>
            <w:tcW w:w="1910" w:type="dxa"/>
            <w:shd w:val="clear" w:color="auto" w:fill="D9E2F3"/>
            <w:vAlign w:val="center"/>
          </w:tcPr>
          <w:p w14:paraId="59ECB066" w14:textId="77777777" w:rsidR="00990B14" w:rsidRDefault="00000000">
            <w:pPr>
              <w:spacing w:before="20" w:after="20"/>
              <w:jc w:val="both"/>
            </w:pPr>
            <w:r>
              <w:rPr>
                <w:sz w:val="18"/>
                <w:szCs w:val="18"/>
              </w:rPr>
              <w:t>Expone en las formas establecidas.</w:t>
            </w:r>
          </w:p>
        </w:tc>
        <w:tc>
          <w:tcPr>
            <w:tcW w:w="1874" w:type="dxa"/>
            <w:shd w:val="clear" w:color="auto" w:fill="D9E2F3"/>
            <w:vAlign w:val="center"/>
          </w:tcPr>
          <w:p w14:paraId="68381584" w14:textId="77777777" w:rsidR="00990B14" w:rsidRDefault="00000000">
            <w:pPr>
              <w:spacing w:before="20" w:after="20"/>
              <w:jc w:val="both"/>
            </w:pPr>
            <w:r>
              <w:rPr>
                <w:sz w:val="18"/>
                <w:szCs w:val="18"/>
              </w:rPr>
              <w:t>Clasifica los gastos por función y por naturaleza.</w:t>
            </w:r>
          </w:p>
        </w:tc>
      </w:tr>
      <w:tr w:rsidR="00990B14" w14:paraId="7392BD26" w14:textId="77777777">
        <w:trPr>
          <w:cantSplit/>
          <w:jc w:val="center"/>
        </w:trPr>
        <w:tc>
          <w:tcPr>
            <w:tcW w:w="1885" w:type="dxa"/>
            <w:vMerge/>
            <w:shd w:val="clear" w:color="auto" w:fill="4472C4"/>
            <w:vAlign w:val="center"/>
          </w:tcPr>
          <w:p w14:paraId="3549EDD9" w14:textId="77777777" w:rsidR="00990B14" w:rsidRDefault="00990B14">
            <w:pPr>
              <w:spacing w:before="20" w:after="20"/>
            </w:pPr>
          </w:p>
        </w:tc>
        <w:tc>
          <w:tcPr>
            <w:tcW w:w="1870" w:type="dxa"/>
            <w:shd w:val="clear" w:color="auto" w:fill="D9E2F3"/>
            <w:vAlign w:val="center"/>
          </w:tcPr>
          <w:p w14:paraId="7036792B" w14:textId="77777777" w:rsidR="00990B14" w:rsidRDefault="00000000">
            <w:pPr>
              <w:spacing w:before="20" w:after="20"/>
              <w:jc w:val="both"/>
            </w:pPr>
            <w:r>
              <w:rPr>
                <w:sz w:val="18"/>
                <w:szCs w:val="18"/>
              </w:rPr>
              <w:t>Exactitud</w:t>
            </w:r>
          </w:p>
        </w:tc>
        <w:tc>
          <w:tcPr>
            <w:tcW w:w="1866" w:type="dxa"/>
            <w:shd w:val="clear" w:color="auto" w:fill="D9E2F3"/>
            <w:vAlign w:val="center"/>
          </w:tcPr>
          <w:p w14:paraId="74D35091" w14:textId="77777777" w:rsidR="00990B14" w:rsidRDefault="00000000">
            <w:pPr>
              <w:spacing w:before="20" w:after="20"/>
              <w:jc w:val="both"/>
            </w:pPr>
            <w:r>
              <w:rPr>
                <w:sz w:val="18"/>
                <w:szCs w:val="18"/>
              </w:rPr>
              <w:t>Las cifras no cuadran.</w:t>
            </w:r>
          </w:p>
        </w:tc>
        <w:tc>
          <w:tcPr>
            <w:tcW w:w="1910" w:type="dxa"/>
            <w:shd w:val="clear" w:color="auto" w:fill="D9E2F3"/>
            <w:vAlign w:val="center"/>
          </w:tcPr>
          <w:p w14:paraId="69C6C4E2" w14:textId="77777777" w:rsidR="00990B14" w:rsidRDefault="00000000">
            <w:pPr>
              <w:spacing w:before="20" w:after="20"/>
              <w:jc w:val="both"/>
            </w:pPr>
            <w:r>
              <w:rPr>
                <w:sz w:val="18"/>
                <w:szCs w:val="18"/>
              </w:rPr>
              <w:t>Las cifras cuadran con la hoja de trabajo.</w:t>
            </w:r>
          </w:p>
        </w:tc>
        <w:tc>
          <w:tcPr>
            <w:tcW w:w="1874" w:type="dxa"/>
            <w:shd w:val="clear" w:color="auto" w:fill="D9E2F3"/>
            <w:vAlign w:val="center"/>
          </w:tcPr>
          <w:p w14:paraId="097BF5D6" w14:textId="77777777" w:rsidR="00990B14" w:rsidRDefault="00000000">
            <w:pPr>
              <w:spacing w:before="20" w:after="20"/>
              <w:jc w:val="both"/>
            </w:pPr>
            <w:r>
              <w:rPr>
                <w:sz w:val="18"/>
                <w:szCs w:val="18"/>
              </w:rPr>
              <w:t>Concilia el resultado entre ambos estados.</w:t>
            </w:r>
          </w:p>
        </w:tc>
      </w:tr>
      <w:tr w:rsidR="00990B14" w14:paraId="782948A8" w14:textId="77777777">
        <w:trPr>
          <w:cantSplit/>
          <w:jc w:val="center"/>
        </w:trPr>
        <w:tc>
          <w:tcPr>
            <w:tcW w:w="1885" w:type="dxa"/>
            <w:vMerge/>
            <w:shd w:val="clear" w:color="auto" w:fill="4472C4"/>
            <w:vAlign w:val="center"/>
          </w:tcPr>
          <w:p w14:paraId="5F6F53AA" w14:textId="77777777" w:rsidR="00990B14" w:rsidRDefault="00990B14">
            <w:pPr>
              <w:spacing w:before="20" w:after="20"/>
            </w:pPr>
          </w:p>
        </w:tc>
        <w:tc>
          <w:tcPr>
            <w:tcW w:w="5646" w:type="dxa"/>
            <w:gridSpan w:val="3"/>
            <w:shd w:val="clear" w:color="auto" w:fill="D9E2F3"/>
            <w:vAlign w:val="center"/>
          </w:tcPr>
          <w:p w14:paraId="4CE97A26" w14:textId="77777777" w:rsidR="00990B14" w:rsidRDefault="00000000">
            <w:pPr>
              <w:keepNext/>
              <w:spacing w:before="20" w:after="20"/>
              <w:jc w:val="both"/>
            </w:pPr>
            <w:r>
              <w:rPr>
                <w:b/>
                <w:bCs/>
                <w:i/>
                <w:iCs/>
                <w:sz w:val="18"/>
                <w:szCs w:val="18"/>
              </w:rPr>
              <w:t xml:space="preserve">Producto 18: </w:t>
            </w:r>
            <w:r>
              <w:rPr>
                <w:sz w:val="18"/>
                <w:szCs w:val="18"/>
              </w:rPr>
              <w:t>Estado de evolución del patrimonio y notas</w:t>
            </w:r>
          </w:p>
        </w:tc>
        <w:tc>
          <w:tcPr>
            <w:tcW w:w="1874" w:type="dxa"/>
            <w:shd w:val="clear" w:color="auto" w:fill="D9E2F3"/>
            <w:vAlign w:val="center"/>
          </w:tcPr>
          <w:p w14:paraId="33FFD208" w14:textId="77777777" w:rsidR="00990B14" w:rsidRDefault="00000000">
            <w:pPr>
              <w:spacing w:before="20" w:after="20"/>
              <w:jc w:val="center"/>
            </w:pPr>
            <w:r>
              <w:rPr>
                <w:b/>
                <w:bCs/>
                <w:sz w:val="18"/>
                <w:szCs w:val="18"/>
              </w:rPr>
              <w:t>6%</w:t>
            </w:r>
          </w:p>
        </w:tc>
      </w:tr>
      <w:tr w:rsidR="00990B14" w14:paraId="6D9759AC" w14:textId="77777777">
        <w:trPr>
          <w:cantSplit/>
          <w:jc w:val="center"/>
        </w:trPr>
        <w:tc>
          <w:tcPr>
            <w:tcW w:w="1885" w:type="dxa"/>
            <w:vMerge/>
            <w:shd w:val="clear" w:color="auto" w:fill="4472C4"/>
            <w:vAlign w:val="center"/>
          </w:tcPr>
          <w:p w14:paraId="62D5475F" w14:textId="77777777" w:rsidR="00990B14" w:rsidRDefault="00990B14">
            <w:pPr>
              <w:spacing w:before="20" w:after="20"/>
            </w:pPr>
          </w:p>
        </w:tc>
        <w:tc>
          <w:tcPr>
            <w:tcW w:w="1870" w:type="dxa"/>
            <w:shd w:val="clear" w:color="auto" w:fill="4472C4"/>
            <w:vAlign w:val="center"/>
          </w:tcPr>
          <w:p w14:paraId="2B1FE88C" w14:textId="77777777" w:rsidR="00990B14" w:rsidRDefault="00000000">
            <w:pPr>
              <w:keepNext/>
              <w:spacing w:before="20" w:after="20"/>
              <w:jc w:val="center"/>
            </w:pPr>
            <w:r>
              <w:rPr>
                <w:b/>
                <w:bCs/>
                <w:i/>
                <w:iCs/>
                <w:color w:val="FFFFFF"/>
                <w:sz w:val="18"/>
                <w:szCs w:val="18"/>
              </w:rPr>
              <w:t>Criterio</w:t>
            </w:r>
          </w:p>
        </w:tc>
        <w:tc>
          <w:tcPr>
            <w:tcW w:w="1866" w:type="dxa"/>
            <w:shd w:val="clear" w:color="auto" w:fill="4472C4"/>
            <w:vAlign w:val="center"/>
          </w:tcPr>
          <w:p w14:paraId="0228FEF5"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79C9A40A" w14:textId="77777777" w:rsidR="00990B14" w:rsidRDefault="00000000">
            <w:pPr>
              <w:keepNext/>
              <w:spacing w:before="20" w:after="20"/>
              <w:jc w:val="center"/>
            </w:pPr>
            <w:r>
              <w:rPr>
                <w:b/>
                <w:bCs/>
                <w:i/>
                <w:iCs/>
                <w:color w:val="FFFFFF"/>
                <w:sz w:val="18"/>
                <w:szCs w:val="18"/>
              </w:rPr>
              <w:t>Suficiente (51–80)</w:t>
            </w:r>
          </w:p>
        </w:tc>
        <w:tc>
          <w:tcPr>
            <w:tcW w:w="1874" w:type="dxa"/>
            <w:shd w:val="clear" w:color="auto" w:fill="4472C4"/>
            <w:vAlign w:val="center"/>
          </w:tcPr>
          <w:p w14:paraId="47A705D3" w14:textId="77777777" w:rsidR="00990B14" w:rsidRDefault="00000000">
            <w:pPr>
              <w:keepNext/>
              <w:spacing w:before="20" w:after="20"/>
              <w:jc w:val="center"/>
            </w:pPr>
            <w:r>
              <w:rPr>
                <w:b/>
                <w:bCs/>
                <w:i/>
                <w:iCs/>
                <w:color w:val="FFFFFF"/>
                <w:sz w:val="18"/>
                <w:szCs w:val="18"/>
              </w:rPr>
              <w:t>Destacado (81–100)</w:t>
            </w:r>
          </w:p>
        </w:tc>
      </w:tr>
      <w:tr w:rsidR="00990B14" w14:paraId="488C4585" w14:textId="77777777">
        <w:trPr>
          <w:cantSplit/>
          <w:jc w:val="center"/>
        </w:trPr>
        <w:tc>
          <w:tcPr>
            <w:tcW w:w="1885" w:type="dxa"/>
            <w:vMerge/>
            <w:shd w:val="clear" w:color="auto" w:fill="4472C4"/>
            <w:vAlign w:val="center"/>
          </w:tcPr>
          <w:p w14:paraId="62581C82" w14:textId="77777777" w:rsidR="00990B14" w:rsidRDefault="00990B14">
            <w:pPr>
              <w:spacing w:before="20" w:after="20"/>
            </w:pPr>
          </w:p>
        </w:tc>
        <w:tc>
          <w:tcPr>
            <w:tcW w:w="1870" w:type="dxa"/>
            <w:shd w:val="clear" w:color="auto" w:fill="D9E2F3"/>
            <w:vAlign w:val="center"/>
          </w:tcPr>
          <w:p w14:paraId="694A9F56" w14:textId="77777777" w:rsidR="00990B14" w:rsidRDefault="00000000">
            <w:pPr>
              <w:spacing w:before="20" w:after="20"/>
              <w:jc w:val="both"/>
            </w:pPr>
            <w:r>
              <w:rPr>
                <w:sz w:val="18"/>
                <w:szCs w:val="18"/>
              </w:rPr>
              <w:t>Movimientos del patrimonio</w:t>
            </w:r>
          </w:p>
        </w:tc>
        <w:tc>
          <w:tcPr>
            <w:tcW w:w="1866" w:type="dxa"/>
            <w:shd w:val="clear" w:color="auto" w:fill="D9E2F3"/>
            <w:vAlign w:val="center"/>
          </w:tcPr>
          <w:p w14:paraId="6ECF8699" w14:textId="77777777" w:rsidR="00990B14" w:rsidRDefault="00000000">
            <w:pPr>
              <w:spacing w:before="20" w:after="20"/>
              <w:jc w:val="both"/>
            </w:pPr>
            <w:r>
              <w:rPr>
                <w:sz w:val="18"/>
                <w:szCs w:val="18"/>
              </w:rPr>
              <w:t>Omite movimientos.</w:t>
            </w:r>
          </w:p>
        </w:tc>
        <w:tc>
          <w:tcPr>
            <w:tcW w:w="1910" w:type="dxa"/>
            <w:shd w:val="clear" w:color="auto" w:fill="D9E2F3"/>
            <w:vAlign w:val="center"/>
          </w:tcPr>
          <w:p w14:paraId="2A6B8C0D" w14:textId="77777777" w:rsidR="00990B14" w:rsidRDefault="00000000">
            <w:pPr>
              <w:spacing w:before="20" w:after="20"/>
              <w:jc w:val="both"/>
            </w:pPr>
            <w:r>
              <w:rPr>
                <w:sz w:val="18"/>
                <w:szCs w:val="18"/>
              </w:rPr>
              <w:t>Expone los movimientos de capital, reservas y resultados.</w:t>
            </w:r>
          </w:p>
        </w:tc>
        <w:tc>
          <w:tcPr>
            <w:tcW w:w="1874" w:type="dxa"/>
            <w:shd w:val="clear" w:color="auto" w:fill="D9E2F3"/>
            <w:vAlign w:val="center"/>
          </w:tcPr>
          <w:p w14:paraId="7AE89AEC" w14:textId="77777777" w:rsidR="00990B14" w:rsidRDefault="00000000">
            <w:pPr>
              <w:spacing w:before="20" w:after="20"/>
              <w:jc w:val="both"/>
            </w:pPr>
            <w:r>
              <w:rPr>
                <w:sz w:val="18"/>
                <w:szCs w:val="18"/>
              </w:rPr>
              <w:t>Concilia los saldos con el balance general.</w:t>
            </w:r>
          </w:p>
        </w:tc>
      </w:tr>
      <w:tr w:rsidR="00990B14" w14:paraId="35E58137" w14:textId="77777777">
        <w:trPr>
          <w:cantSplit/>
          <w:jc w:val="center"/>
        </w:trPr>
        <w:tc>
          <w:tcPr>
            <w:tcW w:w="1885" w:type="dxa"/>
            <w:vMerge/>
            <w:shd w:val="clear" w:color="auto" w:fill="4472C4"/>
            <w:vAlign w:val="center"/>
          </w:tcPr>
          <w:p w14:paraId="4853EDD6" w14:textId="77777777" w:rsidR="00990B14" w:rsidRDefault="00990B14">
            <w:pPr>
              <w:spacing w:before="20" w:after="20"/>
            </w:pPr>
          </w:p>
        </w:tc>
        <w:tc>
          <w:tcPr>
            <w:tcW w:w="1870" w:type="dxa"/>
            <w:shd w:val="clear" w:color="auto" w:fill="D9E2F3"/>
            <w:vAlign w:val="center"/>
          </w:tcPr>
          <w:p w14:paraId="56D80182" w14:textId="77777777" w:rsidR="00990B14" w:rsidRDefault="00000000">
            <w:pPr>
              <w:spacing w:before="20" w:after="20"/>
              <w:jc w:val="both"/>
            </w:pPr>
            <w:r>
              <w:rPr>
                <w:sz w:val="18"/>
                <w:szCs w:val="18"/>
              </w:rPr>
              <w:t>Notas</w:t>
            </w:r>
          </w:p>
        </w:tc>
        <w:tc>
          <w:tcPr>
            <w:tcW w:w="1866" w:type="dxa"/>
            <w:shd w:val="clear" w:color="auto" w:fill="D9E2F3"/>
            <w:vAlign w:val="center"/>
          </w:tcPr>
          <w:p w14:paraId="37BEBF1B" w14:textId="77777777" w:rsidR="00990B14" w:rsidRDefault="00000000">
            <w:pPr>
              <w:spacing w:before="20" w:after="20"/>
              <w:jc w:val="both"/>
            </w:pPr>
            <w:r>
              <w:rPr>
                <w:sz w:val="18"/>
                <w:szCs w:val="18"/>
              </w:rPr>
              <w:t>Las notas son incompletas.</w:t>
            </w:r>
          </w:p>
        </w:tc>
        <w:tc>
          <w:tcPr>
            <w:tcW w:w="1910" w:type="dxa"/>
            <w:shd w:val="clear" w:color="auto" w:fill="D9E2F3"/>
            <w:vAlign w:val="center"/>
          </w:tcPr>
          <w:p w14:paraId="2BB63159" w14:textId="77777777" w:rsidR="00990B14" w:rsidRDefault="00000000">
            <w:pPr>
              <w:spacing w:before="20" w:after="20"/>
              <w:jc w:val="both"/>
            </w:pPr>
            <w:r>
              <w:rPr>
                <w:sz w:val="18"/>
                <w:szCs w:val="18"/>
              </w:rPr>
              <w:t>Redacta notas institucionales, técnicas y de composición de saldos.</w:t>
            </w:r>
          </w:p>
        </w:tc>
        <w:tc>
          <w:tcPr>
            <w:tcW w:w="1874" w:type="dxa"/>
            <w:shd w:val="clear" w:color="auto" w:fill="D9E2F3"/>
            <w:vAlign w:val="center"/>
          </w:tcPr>
          <w:p w14:paraId="078FE233" w14:textId="77777777" w:rsidR="00990B14" w:rsidRDefault="00000000">
            <w:pPr>
              <w:spacing w:before="20" w:after="20"/>
              <w:jc w:val="both"/>
            </w:pPr>
            <w:r>
              <w:rPr>
                <w:sz w:val="18"/>
                <w:szCs w:val="18"/>
              </w:rPr>
              <w:t>Referencia cada nota con el rubro respectivo.</w:t>
            </w:r>
          </w:p>
        </w:tc>
      </w:tr>
      <w:tr w:rsidR="00990B14" w14:paraId="7BD559B2" w14:textId="77777777">
        <w:trPr>
          <w:cantSplit/>
          <w:jc w:val="center"/>
        </w:trPr>
        <w:tc>
          <w:tcPr>
            <w:tcW w:w="1885" w:type="dxa"/>
            <w:vMerge/>
            <w:shd w:val="clear" w:color="auto" w:fill="4472C4"/>
            <w:vAlign w:val="center"/>
          </w:tcPr>
          <w:p w14:paraId="409AE7C8" w14:textId="77777777" w:rsidR="00990B14" w:rsidRDefault="00990B14">
            <w:pPr>
              <w:spacing w:before="20" w:after="20"/>
            </w:pPr>
          </w:p>
        </w:tc>
        <w:tc>
          <w:tcPr>
            <w:tcW w:w="1870" w:type="dxa"/>
            <w:shd w:val="clear" w:color="auto" w:fill="D9E2F3"/>
            <w:vAlign w:val="center"/>
          </w:tcPr>
          <w:p w14:paraId="11BAC477" w14:textId="77777777" w:rsidR="00990B14" w:rsidRDefault="00000000">
            <w:pPr>
              <w:spacing w:before="20" w:after="20"/>
              <w:jc w:val="both"/>
            </w:pPr>
            <w:r>
              <w:rPr>
                <w:sz w:val="18"/>
                <w:szCs w:val="18"/>
              </w:rPr>
              <w:t>Presentación oral</w:t>
            </w:r>
          </w:p>
        </w:tc>
        <w:tc>
          <w:tcPr>
            <w:tcW w:w="1866" w:type="dxa"/>
            <w:shd w:val="clear" w:color="auto" w:fill="D9E2F3"/>
            <w:vAlign w:val="center"/>
          </w:tcPr>
          <w:p w14:paraId="450FD6C8" w14:textId="77777777" w:rsidR="00990B14" w:rsidRDefault="00000000">
            <w:pPr>
              <w:spacing w:before="20" w:after="20"/>
              <w:jc w:val="both"/>
            </w:pPr>
            <w:r>
              <w:rPr>
                <w:sz w:val="18"/>
                <w:szCs w:val="18"/>
              </w:rPr>
              <w:t>La explicación es confusa.</w:t>
            </w:r>
          </w:p>
        </w:tc>
        <w:tc>
          <w:tcPr>
            <w:tcW w:w="1910" w:type="dxa"/>
            <w:shd w:val="clear" w:color="auto" w:fill="D9E2F3"/>
            <w:vAlign w:val="center"/>
          </w:tcPr>
          <w:p w14:paraId="0BAF906D" w14:textId="77777777" w:rsidR="00990B14" w:rsidRDefault="00000000">
            <w:pPr>
              <w:spacing w:before="20" w:after="20"/>
              <w:jc w:val="both"/>
            </w:pPr>
            <w:r>
              <w:rPr>
                <w:sz w:val="18"/>
                <w:szCs w:val="18"/>
              </w:rPr>
              <w:t>Explica con claridad los estados.</w:t>
            </w:r>
          </w:p>
        </w:tc>
        <w:tc>
          <w:tcPr>
            <w:tcW w:w="1874" w:type="dxa"/>
            <w:shd w:val="clear" w:color="auto" w:fill="D9E2F3"/>
            <w:vAlign w:val="center"/>
          </w:tcPr>
          <w:p w14:paraId="694449F0" w14:textId="77777777" w:rsidR="00990B14" w:rsidRDefault="00000000">
            <w:pPr>
              <w:spacing w:before="20" w:after="20"/>
              <w:jc w:val="both"/>
            </w:pPr>
            <w:r>
              <w:rPr>
                <w:sz w:val="18"/>
                <w:szCs w:val="18"/>
              </w:rPr>
              <w:t>Responde con precisión las preguntas del curso.</w:t>
            </w:r>
          </w:p>
        </w:tc>
      </w:tr>
      <w:tr w:rsidR="00990B14" w14:paraId="2E8BFE89" w14:textId="77777777">
        <w:trPr>
          <w:cantSplit/>
          <w:jc w:val="center"/>
        </w:trPr>
        <w:tc>
          <w:tcPr>
            <w:tcW w:w="1885" w:type="dxa"/>
            <w:vMerge/>
            <w:shd w:val="clear" w:color="auto" w:fill="4472C4"/>
            <w:vAlign w:val="center"/>
          </w:tcPr>
          <w:p w14:paraId="42DEF5E1" w14:textId="77777777" w:rsidR="00990B14" w:rsidRDefault="00990B14">
            <w:pPr>
              <w:spacing w:before="20" w:after="20"/>
            </w:pPr>
          </w:p>
        </w:tc>
        <w:tc>
          <w:tcPr>
            <w:tcW w:w="5646" w:type="dxa"/>
            <w:gridSpan w:val="3"/>
            <w:shd w:val="clear" w:color="auto" w:fill="D9E2F3"/>
            <w:vAlign w:val="center"/>
          </w:tcPr>
          <w:p w14:paraId="7E8B8815" w14:textId="77777777" w:rsidR="00990B14" w:rsidRDefault="00000000">
            <w:pPr>
              <w:keepNext/>
              <w:spacing w:before="20" w:after="20"/>
              <w:jc w:val="both"/>
            </w:pPr>
            <w:r>
              <w:rPr>
                <w:b/>
                <w:bCs/>
                <w:i/>
                <w:iCs/>
                <w:sz w:val="18"/>
                <w:szCs w:val="18"/>
              </w:rPr>
              <w:t xml:space="preserve">Producto 19: </w:t>
            </w:r>
            <w:r>
              <w:rPr>
                <w:sz w:val="18"/>
                <w:szCs w:val="18"/>
              </w:rPr>
              <w:t>Estado de flujos de efectivo</w:t>
            </w:r>
          </w:p>
        </w:tc>
        <w:tc>
          <w:tcPr>
            <w:tcW w:w="1874" w:type="dxa"/>
            <w:shd w:val="clear" w:color="auto" w:fill="D9E2F3"/>
            <w:vAlign w:val="center"/>
          </w:tcPr>
          <w:p w14:paraId="49F09B8B" w14:textId="77777777" w:rsidR="00990B14" w:rsidRDefault="00000000">
            <w:pPr>
              <w:spacing w:before="20" w:after="20"/>
              <w:jc w:val="center"/>
            </w:pPr>
            <w:r>
              <w:rPr>
                <w:b/>
                <w:bCs/>
                <w:sz w:val="18"/>
                <w:szCs w:val="18"/>
              </w:rPr>
              <w:t>6%</w:t>
            </w:r>
          </w:p>
        </w:tc>
      </w:tr>
      <w:tr w:rsidR="00990B14" w14:paraId="4C4EA81D" w14:textId="77777777">
        <w:trPr>
          <w:cantSplit/>
          <w:jc w:val="center"/>
        </w:trPr>
        <w:tc>
          <w:tcPr>
            <w:tcW w:w="1885" w:type="dxa"/>
            <w:vMerge/>
            <w:shd w:val="clear" w:color="auto" w:fill="4472C4"/>
            <w:vAlign w:val="center"/>
          </w:tcPr>
          <w:p w14:paraId="4BB09BD8" w14:textId="77777777" w:rsidR="00990B14" w:rsidRDefault="00990B14">
            <w:pPr>
              <w:spacing w:before="20" w:after="20"/>
            </w:pPr>
          </w:p>
        </w:tc>
        <w:tc>
          <w:tcPr>
            <w:tcW w:w="1870" w:type="dxa"/>
            <w:shd w:val="clear" w:color="auto" w:fill="4472C4"/>
            <w:vAlign w:val="center"/>
          </w:tcPr>
          <w:p w14:paraId="515791A6" w14:textId="77777777" w:rsidR="00990B14" w:rsidRDefault="00000000">
            <w:pPr>
              <w:keepNext/>
              <w:spacing w:before="20" w:after="20"/>
              <w:jc w:val="center"/>
            </w:pPr>
            <w:r>
              <w:rPr>
                <w:b/>
                <w:bCs/>
                <w:i/>
                <w:iCs/>
                <w:color w:val="FFFFFF"/>
                <w:sz w:val="18"/>
                <w:szCs w:val="18"/>
              </w:rPr>
              <w:t>Criterio</w:t>
            </w:r>
          </w:p>
        </w:tc>
        <w:tc>
          <w:tcPr>
            <w:tcW w:w="1866" w:type="dxa"/>
            <w:shd w:val="clear" w:color="auto" w:fill="4472C4"/>
            <w:vAlign w:val="center"/>
          </w:tcPr>
          <w:p w14:paraId="277B6187"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435931D0" w14:textId="77777777" w:rsidR="00990B14" w:rsidRDefault="00000000">
            <w:pPr>
              <w:keepNext/>
              <w:spacing w:before="20" w:after="20"/>
              <w:jc w:val="center"/>
            </w:pPr>
            <w:r>
              <w:rPr>
                <w:b/>
                <w:bCs/>
                <w:i/>
                <w:iCs/>
                <w:color w:val="FFFFFF"/>
                <w:sz w:val="18"/>
                <w:szCs w:val="18"/>
              </w:rPr>
              <w:t>Suficiente (51–80)</w:t>
            </w:r>
          </w:p>
        </w:tc>
        <w:tc>
          <w:tcPr>
            <w:tcW w:w="1874" w:type="dxa"/>
            <w:shd w:val="clear" w:color="auto" w:fill="4472C4"/>
            <w:vAlign w:val="center"/>
          </w:tcPr>
          <w:p w14:paraId="4FD8D420" w14:textId="77777777" w:rsidR="00990B14" w:rsidRDefault="00000000">
            <w:pPr>
              <w:keepNext/>
              <w:spacing w:before="20" w:after="20"/>
              <w:jc w:val="center"/>
            </w:pPr>
            <w:r>
              <w:rPr>
                <w:b/>
                <w:bCs/>
                <w:i/>
                <w:iCs/>
                <w:color w:val="FFFFFF"/>
                <w:sz w:val="18"/>
                <w:szCs w:val="18"/>
              </w:rPr>
              <w:t>Destacado (81–100)</w:t>
            </w:r>
          </w:p>
        </w:tc>
      </w:tr>
      <w:tr w:rsidR="00990B14" w14:paraId="28A50B5C" w14:textId="77777777">
        <w:trPr>
          <w:cantSplit/>
          <w:jc w:val="center"/>
        </w:trPr>
        <w:tc>
          <w:tcPr>
            <w:tcW w:w="1885" w:type="dxa"/>
            <w:vMerge/>
            <w:shd w:val="clear" w:color="auto" w:fill="4472C4"/>
            <w:vAlign w:val="center"/>
          </w:tcPr>
          <w:p w14:paraId="00944E3C" w14:textId="77777777" w:rsidR="00990B14" w:rsidRDefault="00990B14">
            <w:pPr>
              <w:spacing w:before="20" w:after="20"/>
            </w:pPr>
          </w:p>
        </w:tc>
        <w:tc>
          <w:tcPr>
            <w:tcW w:w="1870" w:type="dxa"/>
            <w:shd w:val="clear" w:color="auto" w:fill="D9E2F3"/>
            <w:vAlign w:val="center"/>
          </w:tcPr>
          <w:p w14:paraId="548A0446" w14:textId="77777777" w:rsidR="00990B14" w:rsidRDefault="00000000">
            <w:pPr>
              <w:spacing w:before="20" w:after="20"/>
              <w:jc w:val="both"/>
            </w:pPr>
            <w:r>
              <w:rPr>
                <w:sz w:val="18"/>
                <w:szCs w:val="18"/>
              </w:rPr>
              <w:t>Actividades</w:t>
            </w:r>
          </w:p>
        </w:tc>
        <w:tc>
          <w:tcPr>
            <w:tcW w:w="1866" w:type="dxa"/>
            <w:shd w:val="clear" w:color="auto" w:fill="D9E2F3"/>
            <w:vAlign w:val="center"/>
          </w:tcPr>
          <w:p w14:paraId="4DD2DF46" w14:textId="77777777" w:rsidR="00990B14" w:rsidRDefault="00000000">
            <w:pPr>
              <w:spacing w:before="20" w:after="20"/>
              <w:jc w:val="both"/>
            </w:pPr>
            <w:r>
              <w:rPr>
                <w:sz w:val="18"/>
                <w:szCs w:val="18"/>
              </w:rPr>
              <w:t>Clasifica mal los flujos.</w:t>
            </w:r>
          </w:p>
        </w:tc>
        <w:tc>
          <w:tcPr>
            <w:tcW w:w="1910" w:type="dxa"/>
            <w:shd w:val="clear" w:color="auto" w:fill="D9E2F3"/>
            <w:vAlign w:val="center"/>
          </w:tcPr>
          <w:p w14:paraId="2DCC70AC" w14:textId="77777777" w:rsidR="00990B14" w:rsidRDefault="00000000">
            <w:pPr>
              <w:spacing w:before="20" w:after="20"/>
              <w:jc w:val="both"/>
            </w:pPr>
            <w:r>
              <w:rPr>
                <w:sz w:val="18"/>
                <w:szCs w:val="18"/>
              </w:rPr>
              <w:t>Clasifica los flujos en operación, inversión y financiación.</w:t>
            </w:r>
          </w:p>
        </w:tc>
        <w:tc>
          <w:tcPr>
            <w:tcW w:w="1874" w:type="dxa"/>
            <w:shd w:val="clear" w:color="auto" w:fill="D9E2F3"/>
            <w:vAlign w:val="center"/>
          </w:tcPr>
          <w:p w14:paraId="170B5413" w14:textId="77777777" w:rsidR="00990B14" w:rsidRDefault="00000000">
            <w:pPr>
              <w:spacing w:before="20" w:after="20"/>
              <w:jc w:val="both"/>
            </w:pPr>
            <w:r>
              <w:rPr>
                <w:sz w:val="18"/>
                <w:szCs w:val="18"/>
              </w:rPr>
              <w:t>Justifica las clasificaciones dudosas.</w:t>
            </w:r>
          </w:p>
        </w:tc>
      </w:tr>
      <w:tr w:rsidR="00990B14" w14:paraId="5937275E" w14:textId="77777777">
        <w:trPr>
          <w:cantSplit/>
          <w:jc w:val="center"/>
        </w:trPr>
        <w:tc>
          <w:tcPr>
            <w:tcW w:w="1885" w:type="dxa"/>
            <w:vMerge/>
            <w:shd w:val="clear" w:color="auto" w:fill="4472C4"/>
            <w:vAlign w:val="center"/>
          </w:tcPr>
          <w:p w14:paraId="5EB19393" w14:textId="77777777" w:rsidR="00990B14" w:rsidRDefault="00990B14">
            <w:pPr>
              <w:spacing w:before="20" w:after="20"/>
            </w:pPr>
          </w:p>
        </w:tc>
        <w:tc>
          <w:tcPr>
            <w:tcW w:w="1870" w:type="dxa"/>
            <w:shd w:val="clear" w:color="auto" w:fill="D9E2F3"/>
            <w:vAlign w:val="center"/>
          </w:tcPr>
          <w:p w14:paraId="5D774F5C" w14:textId="77777777" w:rsidR="00990B14" w:rsidRDefault="00000000">
            <w:pPr>
              <w:spacing w:before="20" w:after="20"/>
              <w:jc w:val="both"/>
            </w:pPr>
            <w:r>
              <w:rPr>
                <w:sz w:val="18"/>
                <w:szCs w:val="18"/>
              </w:rPr>
              <w:t>Métodos</w:t>
            </w:r>
          </w:p>
        </w:tc>
        <w:tc>
          <w:tcPr>
            <w:tcW w:w="1866" w:type="dxa"/>
            <w:shd w:val="clear" w:color="auto" w:fill="D9E2F3"/>
            <w:vAlign w:val="center"/>
          </w:tcPr>
          <w:p w14:paraId="452C57E9" w14:textId="77777777" w:rsidR="00990B14" w:rsidRDefault="00000000">
            <w:pPr>
              <w:spacing w:before="20" w:after="20"/>
              <w:jc w:val="both"/>
            </w:pPr>
            <w:r>
              <w:rPr>
                <w:sz w:val="18"/>
                <w:szCs w:val="18"/>
              </w:rPr>
              <w:t>Aplica un solo método.</w:t>
            </w:r>
          </w:p>
        </w:tc>
        <w:tc>
          <w:tcPr>
            <w:tcW w:w="1910" w:type="dxa"/>
            <w:shd w:val="clear" w:color="auto" w:fill="D9E2F3"/>
            <w:vAlign w:val="center"/>
          </w:tcPr>
          <w:p w14:paraId="5135572A" w14:textId="77777777" w:rsidR="00990B14" w:rsidRDefault="00000000">
            <w:pPr>
              <w:spacing w:before="20" w:after="20"/>
              <w:jc w:val="both"/>
            </w:pPr>
            <w:r>
              <w:rPr>
                <w:sz w:val="18"/>
                <w:szCs w:val="18"/>
              </w:rPr>
              <w:t>Aplica ambos métodos con el mismo resultado.</w:t>
            </w:r>
          </w:p>
        </w:tc>
        <w:tc>
          <w:tcPr>
            <w:tcW w:w="1874" w:type="dxa"/>
            <w:shd w:val="clear" w:color="auto" w:fill="D9E2F3"/>
            <w:vAlign w:val="center"/>
          </w:tcPr>
          <w:p w14:paraId="065DD814" w14:textId="77777777" w:rsidR="00990B14" w:rsidRDefault="00000000">
            <w:pPr>
              <w:spacing w:before="20" w:after="20"/>
              <w:jc w:val="both"/>
            </w:pPr>
            <w:r>
              <w:rPr>
                <w:sz w:val="18"/>
                <w:szCs w:val="18"/>
              </w:rPr>
              <w:t>Explica las diferencias y similitudes de los métodos.</w:t>
            </w:r>
          </w:p>
        </w:tc>
      </w:tr>
      <w:tr w:rsidR="00990B14" w14:paraId="2F00CDDA" w14:textId="77777777">
        <w:trPr>
          <w:cantSplit/>
          <w:jc w:val="center"/>
        </w:trPr>
        <w:tc>
          <w:tcPr>
            <w:tcW w:w="1885" w:type="dxa"/>
            <w:vMerge/>
            <w:shd w:val="clear" w:color="auto" w:fill="4472C4"/>
            <w:vAlign w:val="center"/>
          </w:tcPr>
          <w:p w14:paraId="33EE3284" w14:textId="77777777" w:rsidR="00990B14" w:rsidRDefault="00990B14">
            <w:pPr>
              <w:spacing w:before="20" w:after="20"/>
            </w:pPr>
          </w:p>
        </w:tc>
        <w:tc>
          <w:tcPr>
            <w:tcW w:w="1870" w:type="dxa"/>
            <w:shd w:val="clear" w:color="auto" w:fill="D9E2F3"/>
            <w:vAlign w:val="center"/>
          </w:tcPr>
          <w:p w14:paraId="5414C4F9" w14:textId="77777777" w:rsidR="00990B14" w:rsidRDefault="00000000">
            <w:pPr>
              <w:spacing w:before="20" w:after="20"/>
              <w:jc w:val="both"/>
            </w:pPr>
            <w:r>
              <w:rPr>
                <w:sz w:val="18"/>
                <w:szCs w:val="18"/>
              </w:rPr>
              <w:t>Conciliación</w:t>
            </w:r>
          </w:p>
        </w:tc>
        <w:tc>
          <w:tcPr>
            <w:tcW w:w="1866" w:type="dxa"/>
            <w:shd w:val="clear" w:color="auto" w:fill="D9E2F3"/>
            <w:vAlign w:val="center"/>
          </w:tcPr>
          <w:p w14:paraId="3BD56830" w14:textId="77777777" w:rsidR="00990B14" w:rsidRDefault="00000000">
            <w:pPr>
              <w:spacing w:before="20" w:after="20"/>
              <w:jc w:val="both"/>
            </w:pPr>
            <w:r>
              <w:rPr>
                <w:sz w:val="18"/>
                <w:szCs w:val="18"/>
              </w:rPr>
              <w:t>No concilia el efectivo.</w:t>
            </w:r>
          </w:p>
        </w:tc>
        <w:tc>
          <w:tcPr>
            <w:tcW w:w="1910" w:type="dxa"/>
            <w:shd w:val="clear" w:color="auto" w:fill="D9E2F3"/>
            <w:vAlign w:val="center"/>
          </w:tcPr>
          <w:p w14:paraId="050ACA37" w14:textId="77777777" w:rsidR="00990B14" w:rsidRDefault="00000000">
            <w:pPr>
              <w:spacing w:before="20" w:after="20"/>
              <w:jc w:val="both"/>
            </w:pPr>
            <w:r>
              <w:rPr>
                <w:sz w:val="18"/>
                <w:szCs w:val="18"/>
              </w:rPr>
              <w:t>Concilia la variación del efectivo y equivalentes.</w:t>
            </w:r>
          </w:p>
        </w:tc>
        <w:tc>
          <w:tcPr>
            <w:tcW w:w="1874" w:type="dxa"/>
            <w:shd w:val="clear" w:color="auto" w:fill="D9E2F3"/>
            <w:vAlign w:val="center"/>
          </w:tcPr>
          <w:p w14:paraId="09FC4C1E" w14:textId="77777777" w:rsidR="00990B14" w:rsidRDefault="00000000">
            <w:pPr>
              <w:spacing w:before="20" w:after="20"/>
              <w:jc w:val="both"/>
            </w:pPr>
            <w:r>
              <w:rPr>
                <w:sz w:val="18"/>
                <w:szCs w:val="18"/>
              </w:rPr>
              <w:t>Revela la información requerida.</w:t>
            </w:r>
          </w:p>
        </w:tc>
      </w:tr>
      <w:tr w:rsidR="00990B14" w14:paraId="209F877E" w14:textId="77777777">
        <w:trPr>
          <w:cantSplit/>
          <w:jc w:val="center"/>
        </w:trPr>
        <w:tc>
          <w:tcPr>
            <w:tcW w:w="1885" w:type="dxa"/>
            <w:vMerge/>
            <w:shd w:val="clear" w:color="auto" w:fill="4472C4"/>
            <w:vAlign w:val="center"/>
          </w:tcPr>
          <w:p w14:paraId="4CE5EB74" w14:textId="77777777" w:rsidR="00990B14" w:rsidRDefault="00990B14">
            <w:pPr>
              <w:spacing w:before="20" w:after="20"/>
            </w:pPr>
          </w:p>
        </w:tc>
        <w:tc>
          <w:tcPr>
            <w:tcW w:w="5646" w:type="dxa"/>
            <w:gridSpan w:val="3"/>
            <w:shd w:val="clear" w:color="auto" w:fill="D9E2F3"/>
            <w:vAlign w:val="center"/>
          </w:tcPr>
          <w:p w14:paraId="2B869104" w14:textId="77777777" w:rsidR="00990B14" w:rsidRDefault="00000000">
            <w:pPr>
              <w:keepNext/>
              <w:spacing w:before="20" w:after="20"/>
              <w:jc w:val="both"/>
            </w:pPr>
            <w:r>
              <w:rPr>
                <w:b/>
                <w:bCs/>
                <w:i/>
                <w:iCs/>
                <w:sz w:val="18"/>
                <w:szCs w:val="18"/>
              </w:rPr>
              <w:t xml:space="preserve">Producto 20: </w:t>
            </w:r>
            <w:r>
              <w:rPr>
                <w:sz w:val="18"/>
                <w:szCs w:val="18"/>
              </w:rPr>
              <w:t>Hoja de trabajo del flujo de efectivo</w:t>
            </w:r>
          </w:p>
        </w:tc>
        <w:tc>
          <w:tcPr>
            <w:tcW w:w="1874" w:type="dxa"/>
            <w:shd w:val="clear" w:color="auto" w:fill="D9E2F3"/>
            <w:vAlign w:val="center"/>
          </w:tcPr>
          <w:p w14:paraId="6476120E" w14:textId="77777777" w:rsidR="00990B14" w:rsidRDefault="00000000">
            <w:pPr>
              <w:spacing w:before="20" w:after="20"/>
              <w:jc w:val="center"/>
            </w:pPr>
            <w:r>
              <w:rPr>
                <w:b/>
                <w:bCs/>
                <w:sz w:val="18"/>
                <w:szCs w:val="18"/>
              </w:rPr>
              <w:t>6%</w:t>
            </w:r>
          </w:p>
        </w:tc>
      </w:tr>
      <w:tr w:rsidR="00990B14" w14:paraId="7E75A12A" w14:textId="77777777">
        <w:trPr>
          <w:cantSplit/>
          <w:jc w:val="center"/>
        </w:trPr>
        <w:tc>
          <w:tcPr>
            <w:tcW w:w="1885" w:type="dxa"/>
            <w:vMerge/>
            <w:shd w:val="clear" w:color="auto" w:fill="4472C4"/>
            <w:vAlign w:val="center"/>
          </w:tcPr>
          <w:p w14:paraId="231DAF89" w14:textId="77777777" w:rsidR="00990B14" w:rsidRDefault="00990B14">
            <w:pPr>
              <w:spacing w:before="20" w:after="20"/>
            </w:pPr>
          </w:p>
        </w:tc>
        <w:tc>
          <w:tcPr>
            <w:tcW w:w="1870" w:type="dxa"/>
            <w:shd w:val="clear" w:color="auto" w:fill="4472C4"/>
            <w:vAlign w:val="center"/>
          </w:tcPr>
          <w:p w14:paraId="44E3EE8A" w14:textId="77777777" w:rsidR="00990B14" w:rsidRDefault="00000000">
            <w:pPr>
              <w:keepNext/>
              <w:spacing w:before="20" w:after="20"/>
              <w:jc w:val="center"/>
            </w:pPr>
            <w:r>
              <w:rPr>
                <w:b/>
                <w:bCs/>
                <w:i/>
                <w:iCs/>
                <w:color w:val="FFFFFF"/>
                <w:sz w:val="18"/>
                <w:szCs w:val="18"/>
              </w:rPr>
              <w:t>Criterio</w:t>
            </w:r>
          </w:p>
        </w:tc>
        <w:tc>
          <w:tcPr>
            <w:tcW w:w="1866" w:type="dxa"/>
            <w:shd w:val="clear" w:color="auto" w:fill="4472C4"/>
            <w:vAlign w:val="center"/>
          </w:tcPr>
          <w:p w14:paraId="774300D1"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60834636" w14:textId="77777777" w:rsidR="00990B14" w:rsidRDefault="00000000">
            <w:pPr>
              <w:keepNext/>
              <w:spacing w:before="20" w:after="20"/>
              <w:jc w:val="center"/>
            </w:pPr>
            <w:r>
              <w:rPr>
                <w:b/>
                <w:bCs/>
                <w:i/>
                <w:iCs/>
                <w:color w:val="FFFFFF"/>
                <w:sz w:val="18"/>
                <w:szCs w:val="18"/>
              </w:rPr>
              <w:t>Suficiente (51–80)</w:t>
            </w:r>
          </w:p>
        </w:tc>
        <w:tc>
          <w:tcPr>
            <w:tcW w:w="1874" w:type="dxa"/>
            <w:shd w:val="clear" w:color="auto" w:fill="4472C4"/>
            <w:vAlign w:val="center"/>
          </w:tcPr>
          <w:p w14:paraId="2729823A" w14:textId="77777777" w:rsidR="00990B14" w:rsidRDefault="00000000">
            <w:pPr>
              <w:keepNext/>
              <w:spacing w:before="20" w:after="20"/>
              <w:jc w:val="center"/>
            </w:pPr>
            <w:r>
              <w:rPr>
                <w:b/>
                <w:bCs/>
                <w:i/>
                <w:iCs/>
                <w:color w:val="FFFFFF"/>
                <w:sz w:val="18"/>
                <w:szCs w:val="18"/>
              </w:rPr>
              <w:t>Destacado (81–100)</w:t>
            </w:r>
          </w:p>
        </w:tc>
      </w:tr>
      <w:tr w:rsidR="00990B14" w14:paraId="1DC55D21" w14:textId="77777777">
        <w:trPr>
          <w:cantSplit/>
          <w:jc w:val="center"/>
        </w:trPr>
        <w:tc>
          <w:tcPr>
            <w:tcW w:w="1885" w:type="dxa"/>
            <w:vMerge/>
            <w:shd w:val="clear" w:color="auto" w:fill="4472C4"/>
            <w:vAlign w:val="center"/>
          </w:tcPr>
          <w:p w14:paraId="01B4CE02" w14:textId="77777777" w:rsidR="00990B14" w:rsidRDefault="00990B14">
            <w:pPr>
              <w:spacing w:before="20" w:after="20"/>
            </w:pPr>
          </w:p>
        </w:tc>
        <w:tc>
          <w:tcPr>
            <w:tcW w:w="1870" w:type="dxa"/>
            <w:shd w:val="clear" w:color="auto" w:fill="D9E2F3"/>
            <w:vAlign w:val="center"/>
          </w:tcPr>
          <w:p w14:paraId="104FDF0C" w14:textId="77777777" w:rsidR="00990B14" w:rsidRDefault="00000000">
            <w:pPr>
              <w:spacing w:before="20" w:after="20"/>
              <w:jc w:val="both"/>
            </w:pPr>
            <w:r>
              <w:rPr>
                <w:sz w:val="18"/>
                <w:szCs w:val="18"/>
              </w:rPr>
              <w:t>Cobros y pagos</w:t>
            </w:r>
          </w:p>
        </w:tc>
        <w:tc>
          <w:tcPr>
            <w:tcW w:w="1866" w:type="dxa"/>
            <w:shd w:val="clear" w:color="auto" w:fill="D9E2F3"/>
            <w:vAlign w:val="center"/>
          </w:tcPr>
          <w:p w14:paraId="632C8B4D" w14:textId="77777777" w:rsidR="00990B14" w:rsidRDefault="00000000">
            <w:pPr>
              <w:spacing w:before="20" w:after="20"/>
              <w:jc w:val="both"/>
            </w:pPr>
            <w:r>
              <w:rPr>
                <w:sz w:val="18"/>
                <w:szCs w:val="18"/>
              </w:rPr>
              <w:t>Calcula mal cobros y pagos.</w:t>
            </w:r>
          </w:p>
        </w:tc>
        <w:tc>
          <w:tcPr>
            <w:tcW w:w="1910" w:type="dxa"/>
            <w:shd w:val="clear" w:color="auto" w:fill="D9E2F3"/>
            <w:vAlign w:val="center"/>
          </w:tcPr>
          <w:p w14:paraId="3EE905CE" w14:textId="77777777" w:rsidR="00990B14" w:rsidRDefault="00000000">
            <w:pPr>
              <w:spacing w:before="20" w:after="20"/>
              <w:jc w:val="both"/>
            </w:pPr>
            <w:r>
              <w:rPr>
                <w:sz w:val="18"/>
                <w:szCs w:val="18"/>
              </w:rPr>
              <w:t>Determina cobros a clientes y pagos a proveedores.</w:t>
            </w:r>
          </w:p>
        </w:tc>
        <w:tc>
          <w:tcPr>
            <w:tcW w:w="1874" w:type="dxa"/>
            <w:shd w:val="clear" w:color="auto" w:fill="D9E2F3"/>
            <w:vAlign w:val="center"/>
          </w:tcPr>
          <w:p w14:paraId="0C907AD8" w14:textId="77777777" w:rsidR="00990B14" w:rsidRDefault="00000000">
            <w:pPr>
              <w:spacing w:before="20" w:after="20"/>
              <w:jc w:val="both"/>
            </w:pPr>
            <w:r>
              <w:rPr>
                <w:sz w:val="18"/>
                <w:szCs w:val="18"/>
              </w:rPr>
              <w:t>Considera los anticipos y la compensación del IVA.</w:t>
            </w:r>
          </w:p>
        </w:tc>
      </w:tr>
      <w:tr w:rsidR="00990B14" w14:paraId="79A81CD2" w14:textId="77777777">
        <w:trPr>
          <w:cantSplit/>
          <w:jc w:val="center"/>
        </w:trPr>
        <w:tc>
          <w:tcPr>
            <w:tcW w:w="1885" w:type="dxa"/>
            <w:vMerge/>
            <w:shd w:val="clear" w:color="auto" w:fill="4472C4"/>
            <w:vAlign w:val="center"/>
          </w:tcPr>
          <w:p w14:paraId="3792785B" w14:textId="77777777" w:rsidR="00990B14" w:rsidRDefault="00990B14">
            <w:pPr>
              <w:spacing w:before="20" w:after="20"/>
            </w:pPr>
          </w:p>
        </w:tc>
        <w:tc>
          <w:tcPr>
            <w:tcW w:w="1870" w:type="dxa"/>
            <w:shd w:val="clear" w:color="auto" w:fill="D9E2F3"/>
            <w:vAlign w:val="center"/>
          </w:tcPr>
          <w:p w14:paraId="09200BD6" w14:textId="77777777" w:rsidR="00990B14" w:rsidRDefault="00000000">
            <w:pPr>
              <w:spacing w:before="20" w:after="20"/>
              <w:jc w:val="both"/>
            </w:pPr>
            <w:r>
              <w:rPr>
                <w:sz w:val="18"/>
                <w:szCs w:val="18"/>
              </w:rPr>
              <w:t>Variaciones</w:t>
            </w:r>
          </w:p>
        </w:tc>
        <w:tc>
          <w:tcPr>
            <w:tcW w:w="1866" w:type="dxa"/>
            <w:shd w:val="clear" w:color="auto" w:fill="D9E2F3"/>
            <w:vAlign w:val="center"/>
          </w:tcPr>
          <w:p w14:paraId="2D72BCE0" w14:textId="77777777" w:rsidR="00990B14" w:rsidRDefault="00000000">
            <w:pPr>
              <w:spacing w:before="20" w:after="20"/>
              <w:jc w:val="both"/>
            </w:pPr>
            <w:r>
              <w:rPr>
                <w:sz w:val="18"/>
                <w:szCs w:val="18"/>
              </w:rPr>
              <w:t>Omite variaciones.</w:t>
            </w:r>
          </w:p>
        </w:tc>
        <w:tc>
          <w:tcPr>
            <w:tcW w:w="1910" w:type="dxa"/>
            <w:shd w:val="clear" w:color="auto" w:fill="D9E2F3"/>
            <w:vAlign w:val="center"/>
          </w:tcPr>
          <w:p w14:paraId="25C4B6B1" w14:textId="77777777" w:rsidR="00990B14" w:rsidRDefault="00000000">
            <w:pPr>
              <w:spacing w:before="20" w:after="20"/>
              <w:jc w:val="both"/>
            </w:pPr>
            <w:r>
              <w:rPr>
                <w:sz w:val="18"/>
                <w:szCs w:val="18"/>
              </w:rPr>
              <w:t>Analiza las variaciones de activo, pasivo y patrimonio.</w:t>
            </w:r>
          </w:p>
        </w:tc>
        <w:tc>
          <w:tcPr>
            <w:tcW w:w="1874" w:type="dxa"/>
            <w:shd w:val="clear" w:color="auto" w:fill="D9E2F3"/>
            <w:vAlign w:val="center"/>
          </w:tcPr>
          <w:p w14:paraId="06A16B90" w14:textId="77777777" w:rsidR="00990B14" w:rsidRDefault="00000000">
            <w:pPr>
              <w:spacing w:before="20" w:after="20"/>
              <w:jc w:val="both"/>
            </w:pPr>
            <w:r>
              <w:rPr>
                <w:sz w:val="18"/>
                <w:szCs w:val="18"/>
              </w:rPr>
              <w:t>Explica las partidas que no generan efectivo.</w:t>
            </w:r>
          </w:p>
        </w:tc>
      </w:tr>
      <w:tr w:rsidR="00990B14" w14:paraId="608DF4CC" w14:textId="77777777">
        <w:trPr>
          <w:cantSplit/>
          <w:jc w:val="center"/>
        </w:trPr>
        <w:tc>
          <w:tcPr>
            <w:tcW w:w="1885" w:type="dxa"/>
            <w:vMerge/>
            <w:shd w:val="clear" w:color="auto" w:fill="4472C4"/>
            <w:vAlign w:val="center"/>
          </w:tcPr>
          <w:p w14:paraId="41669641" w14:textId="77777777" w:rsidR="00990B14" w:rsidRDefault="00990B14">
            <w:pPr>
              <w:spacing w:before="20" w:after="20"/>
            </w:pPr>
          </w:p>
        </w:tc>
        <w:tc>
          <w:tcPr>
            <w:tcW w:w="1870" w:type="dxa"/>
            <w:shd w:val="clear" w:color="auto" w:fill="D9E2F3"/>
            <w:vAlign w:val="center"/>
          </w:tcPr>
          <w:p w14:paraId="179F2018" w14:textId="77777777" w:rsidR="00990B14" w:rsidRDefault="00000000">
            <w:pPr>
              <w:spacing w:before="20" w:after="20"/>
              <w:jc w:val="both"/>
            </w:pPr>
            <w:r>
              <w:rPr>
                <w:sz w:val="18"/>
                <w:szCs w:val="18"/>
              </w:rPr>
              <w:t>Exactitud</w:t>
            </w:r>
          </w:p>
        </w:tc>
        <w:tc>
          <w:tcPr>
            <w:tcW w:w="1866" w:type="dxa"/>
            <w:shd w:val="clear" w:color="auto" w:fill="D9E2F3"/>
            <w:vAlign w:val="center"/>
          </w:tcPr>
          <w:p w14:paraId="4E9F0273" w14:textId="77777777" w:rsidR="00990B14" w:rsidRDefault="00000000">
            <w:pPr>
              <w:spacing w:before="20" w:after="20"/>
              <w:jc w:val="both"/>
            </w:pPr>
            <w:r>
              <w:rPr>
                <w:sz w:val="18"/>
                <w:szCs w:val="18"/>
              </w:rPr>
              <w:t>La hoja no cuadra.</w:t>
            </w:r>
          </w:p>
        </w:tc>
        <w:tc>
          <w:tcPr>
            <w:tcW w:w="1910" w:type="dxa"/>
            <w:shd w:val="clear" w:color="auto" w:fill="D9E2F3"/>
            <w:vAlign w:val="center"/>
          </w:tcPr>
          <w:p w14:paraId="452DC56D" w14:textId="77777777" w:rsidR="00990B14" w:rsidRDefault="00000000">
            <w:pPr>
              <w:spacing w:before="20" w:after="20"/>
              <w:jc w:val="both"/>
            </w:pPr>
            <w:r>
              <w:rPr>
                <w:sz w:val="18"/>
                <w:szCs w:val="18"/>
              </w:rPr>
              <w:t>La hoja cuadra con los estados.</w:t>
            </w:r>
          </w:p>
        </w:tc>
        <w:tc>
          <w:tcPr>
            <w:tcW w:w="1874" w:type="dxa"/>
            <w:shd w:val="clear" w:color="auto" w:fill="D9E2F3"/>
            <w:vAlign w:val="center"/>
          </w:tcPr>
          <w:p w14:paraId="07FBC3AA" w14:textId="77777777" w:rsidR="00990B14" w:rsidRDefault="00000000">
            <w:pPr>
              <w:spacing w:before="20" w:after="20"/>
              <w:jc w:val="both"/>
            </w:pPr>
            <w:r>
              <w:rPr>
                <w:sz w:val="18"/>
                <w:szCs w:val="18"/>
              </w:rPr>
              <w:t>Verifica los totales con el balance.</w:t>
            </w:r>
          </w:p>
        </w:tc>
      </w:tr>
      <w:tr w:rsidR="00990B14" w14:paraId="080C99AC" w14:textId="77777777">
        <w:trPr>
          <w:cantSplit/>
          <w:jc w:val="center"/>
        </w:trPr>
        <w:tc>
          <w:tcPr>
            <w:tcW w:w="1885" w:type="dxa"/>
            <w:vMerge/>
            <w:shd w:val="clear" w:color="auto" w:fill="4472C4"/>
            <w:vAlign w:val="center"/>
          </w:tcPr>
          <w:p w14:paraId="40F51E1C" w14:textId="77777777" w:rsidR="00990B14" w:rsidRDefault="00990B14">
            <w:pPr>
              <w:spacing w:before="20" w:after="20"/>
            </w:pPr>
          </w:p>
        </w:tc>
        <w:tc>
          <w:tcPr>
            <w:tcW w:w="5646" w:type="dxa"/>
            <w:gridSpan w:val="3"/>
            <w:shd w:val="clear" w:color="auto" w:fill="D9E2F3"/>
            <w:vAlign w:val="center"/>
          </w:tcPr>
          <w:p w14:paraId="1690F682" w14:textId="77777777" w:rsidR="00990B14" w:rsidRDefault="00000000">
            <w:pPr>
              <w:keepNext/>
              <w:spacing w:before="20" w:after="20"/>
              <w:jc w:val="both"/>
            </w:pPr>
            <w:r>
              <w:rPr>
                <w:b/>
                <w:bCs/>
                <w:i/>
                <w:iCs/>
                <w:sz w:val="18"/>
                <w:szCs w:val="18"/>
              </w:rPr>
              <w:t xml:space="preserve">Producto 21: </w:t>
            </w:r>
            <w:r>
              <w:rPr>
                <w:sz w:val="18"/>
                <w:szCs w:val="18"/>
              </w:rPr>
              <w:t>Asientos de cierre y reapertura</w:t>
            </w:r>
          </w:p>
        </w:tc>
        <w:tc>
          <w:tcPr>
            <w:tcW w:w="1874" w:type="dxa"/>
            <w:shd w:val="clear" w:color="auto" w:fill="D9E2F3"/>
            <w:vAlign w:val="center"/>
          </w:tcPr>
          <w:p w14:paraId="524DA700" w14:textId="77777777" w:rsidR="00990B14" w:rsidRDefault="00000000">
            <w:pPr>
              <w:spacing w:before="20" w:after="20"/>
              <w:jc w:val="center"/>
            </w:pPr>
            <w:r>
              <w:rPr>
                <w:b/>
                <w:bCs/>
                <w:sz w:val="18"/>
                <w:szCs w:val="18"/>
              </w:rPr>
              <w:t>3%</w:t>
            </w:r>
          </w:p>
        </w:tc>
      </w:tr>
      <w:tr w:rsidR="00990B14" w14:paraId="7DC60FD4" w14:textId="77777777">
        <w:trPr>
          <w:cantSplit/>
          <w:jc w:val="center"/>
        </w:trPr>
        <w:tc>
          <w:tcPr>
            <w:tcW w:w="1885" w:type="dxa"/>
            <w:vMerge/>
            <w:shd w:val="clear" w:color="auto" w:fill="4472C4"/>
            <w:vAlign w:val="center"/>
          </w:tcPr>
          <w:p w14:paraId="667019D3" w14:textId="77777777" w:rsidR="00990B14" w:rsidRDefault="00990B14">
            <w:pPr>
              <w:spacing w:before="20" w:after="20"/>
            </w:pPr>
          </w:p>
        </w:tc>
        <w:tc>
          <w:tcPr>
            <w:tcW w:w="1870" w:type="dxa"/>
            <w:shd w:val="clear" w:color="auto" w:fill="4472C4"/>
            <w:vAlign w:val="center"/>
          </w:tcPr>
          <w:p w14:paraId="759B9249" w14:textId="77777777" w:rsidR="00990B14" w:rsidRDefault="00000000">
            <w:pPr>
              <w:keepNext/>
              <w:spacing w:before="20" w:after="20"/>
              <w:jc w:val="center"/>
            </w:pPr>
            <w:r>
              <w:rPr>
                <w:b/>
                <w:bCs/>
                <w:i/>
                <w:iCs/>
                <w:color w:val="FFFFFF"/>
                <w:sz w:val="18"/>
                <w:szCs w:val="18"/>
              </w:rPr>
              <w:t>Criterio</w:t>
            </w:r>
          </w:p>
        </w:tc>
        <w:tc>
          <w:tcPr>
            <w:tcW w:w="1866" w:type="dxa"/>
            <w:shd w:val="clear" w:color="auto" w:fill="4472C4"/>
            <w:vAlign w:val="center"/>
          </w:tcPr>
          <w:p w14:paraId="6C47E42B"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1D0923F5" w14:textId="77777777" w:rsidR="00990B14" w:rsidRDefault="00000000">
            <w:pPr>
              <w:keepNext/>
              <w:spacing w:before="20" w:after="20"/>
              <w:jc w:val="center"/>
            </w:pPr>
            <w:r>
              <w:rPr>
                <w:b/>
                <w:bCs/>
                <w:i/>
                <w:iCs/>
                <w:color w:val="FFFFFF"/>
                <w:sz w:val="18"/>
                <w:szCs w:val="18"/>
              </w:rPr>
              <w:t>Suficiente (51–80)</w:t>
            </w:r>
          </w:p>
        </w:tc>
        <w:tc>
          <w:tcPr>
            <w:tcW w:w="1874" w:type="dxa"/>
            <w:shd w:val="clear" w:color="auto" w:fill="4472C4"/>
            <w:vAlign w:val="center"/>
          </w:tcPr>
          <w:p w14:paraId="02B53BDC" w14:textId="77777777" w:rsidR="00990B14" w:rsidRDefault="00000000">
            <w:pPr>
              <w:keepNext/>
              <w:spacing w:before="20" w:after="20"/>
              <w:jc w:val="center"/>
            </w:pPr>
            <w:r>
              <w:rPr>
                <w:b/>
                <w:bCs/>
                <w:i/>
                <w:iCs/>
                <w:color w:val="FFFFFF"/>
                <w:sz w:val="18"/>
                <w:szCs w:val="18"/>
              </w:rPr>
              <w:t>Destacado (81–100)</w:t>
            </w:r>
          </w:p>
        </w:tc>
      </w:tr>
      <w:tr w:rsidR="00990B14" w14:paraId="1110ECB7" w14:textId="77777777">
        <w:trPr>
          <w:cantSplit/>
          <w:jc w:val="center"/>
        </w:trPr>
        <w:tc>
          <w:tcPr>
            <w:tcW w:w="1885" w:type="dxa"/>
            <w:vMerge/>
            <w:shd w:val="clear" w:color="auto" w:fill="4472C4"/>
            <w:vAlign w:val="center"/>
          </w:tcPr>
          <w:p w14:paraId="325A3EF7" w14:textId="77777777" w:rsidR="00990B14" w:rsidRDefault="00990B14">
            <w:pPr>
              <w:spacing w:before="20" w:after="20"/>
            </w:pPr>
          </w:p>
        </w:tc>
        <w:tc>
          <w:tcPr>
            <w:tcW w:w="1870" w:type="dxa"/>
            <w:shd w:val="clear" w:color="auto" w:fill="D9E2F3"/>
            <w:vAlign w:val="center"/>
          </w:tcPr>
          <w:p w14:paraId="4B2E5961" w14:textId="77777777" w:rsidR="00990B14" w:rsidRDefault="00000000">
            <w:pPr>
              <w:spacing w:before="20" w:after="20"/>
              <w:jc w:val="both"/>
            </w:pPr>
            <w:r>
              <w:rPr>
                <w:sz w:val="18"/>
                <w:szCs w:val="18"/>
              </w:rPr>
              <w:t>Cierre de resultados</w:t>
            </w:r>
          </w:p>
        </w:tc>
        <w:tc>
          <w:tcPr>
            <w:tcW w:w="1866" w:type="dxa"/>
            <w:shd w:val="clear" w:color="auto" w:fill="D9E2F3"/>
            <w:vAlign w:val="center"/>
          </w:tcPr>
          <w:p w14:paraId="4C27BB4C" w14:textId="77777777" w:rsidR="00990B14" w:rsidRDefault="00000000">
            <w:pPr>
              <w:spacing w:before="20" w:after="20"/>
              <w:jc w:val="both"/>
            </w:pPr>
            <w:r>
              <w:rPr>
                <w:sz w:val="18"/>
                <w:szCs w:val="18"/>
              </w:rPr>
              <w:t>Omite cuentas de resultados.</w:t>
            </w:r>
          </w:p>
        </w:tc>
        <w:tc>
          <w:tcPr>
            <w:tcW w:w="1910" w:type="dxa"/>
            <w:shd w:val="clear" w:color="auto" w:fill="D9E2F3"/>
            <w:vAlign w:val="center"/>
          </w:tcPr>
          <w:p w14:paraId="2B494361" w14:textId="77777777" w:rsidR="00990B14" w:rsidRDefault="00000000">
            <w:pPr>
              <w:spacing w:before="20" w:after="20"/>
              <w:jc w:val="both"/>
            </w:pPr>
            <w:r>
              <w:rPr>
                <w:sz w:val="18"/>
                <w:szCs w:val="18"/>
              </w:rPr>
              <w:t>Cierra costos, gastos e ingresos e incorpora el resultado.</w:t>
            </w:r>
          </w:p>
        </w:tc>
        <w:tc>
          <w:tcPr>
            <w:tcW w:w="1874" w:type="dxa"/>
            <w:shd w:val="clear" w:color="auto" w:fill="D9E2F3"/>
            <w:vAlign w:val="center"/>
          </w:tcPr>
          <w:p w14:paraId="34AAA1E0" w14:textId="77777777" w:rsidR="00990B14" w:rsidRDefault="00000000">
            <w:pPr>
              <w:spacing w:before="20" w:after="20"/>
              <w:jc w:val="both"/>
            </w:pPr>
            <w:r>
              <w:rPr>
                <w:sz w:val="18"/>
                <w:szCs w:val="18"/>
              </w:rPr>
              <w:t>Explica el destino del resultado.</w:t>
            </w:r>
          </w:p>
        </w:tc>
      </w:tr>
      <w:tr w:rsidR="00990B14" w14:paraId="64966EE2" w14:textId="77777777">
        <w:trPr>
          <w:cantSplit/>
          <w:jc w:val="center"/>
        </w:trPr>
        <w:tc>
          <w:tcPr>
            <w:tcW w:w="1885" w:type="dxa"/>
            <w:vMerge/>
            <w:shd w:val="clear" w:color="auto" w:fill="4472C4"/>
            <w:vAlign w:val="center"/>
          </w:tcPr>
          <w:p w14:paraId="5155CFE4" w14:textId="77777777" w:rsidR="00990B14" w:rsidRDefault="00990B14">
            <w:pPr>
              <w:spacing w:before="20" w:after="20"/>
            </w:pPr>
          </w:p>
        </w:tc>
        <w:tc>
          <w:tcPr>
            <w:tcW w:w="1870" w:type="dxa"/>
            <w:shd w:val="clear" w:color="auto" w:fill="D9E2F3"/>
            <w:vAlign w:val="center"/>
          </w:tcPr>
          <w:p w14:paraId="64154C7F" w14:textId="77777777" w:rsidR="00990B14" w:rsidRDefault="00000000">
            <w:pPr>
              <w:spacing w:before="20" w:after="20"/>
              <w:jc w:val="both"/>
            </w:pPr>
            <w:r>
              <w:rPr>
                <w:sz w:val="18"/>
                <w:szCs w:val="18"/>
              </w:rPr>
              <w:t>Cierre de balance y orden</w:t>
            </w:r>
          </w:p>
        </w:tc>
        <w:tc>
          <w:tcPr>
            <w:tcW w:w="1866" w:type="dxa"/>
            <w:shd w:val="clear" w:color="auto" w:fill="D9E2F3"/>
            <w:vAlign w:val="center"/>
          </w:tcPr>
          <w:p w14:paraId="202488D8" w14:textId="77777777" w:rsidR="00990B14" w:rsidRDefault="00000000">
            <w:pPr>
              <w:spacing w:before="20" w:after="20"/>
              <w:jc w:val="both"/>
            </w:pPr>
            <w:r>
              <w:rPr>
                <w:sz w:val="18"/>
                <w:szCs w:val="18"/>
              </w:rPr>
              <w:t>Omite cuentas.</w:t>
            </w:r>
          </w:p>
        </w:tc>
        <w:tc>
          <w:tcPr>
            <w:tcW w:w="1910" w:type="dxa"/>
            <w:shd w:val="clear" w:color="auto" w:fill="D9E2F3"/>
            <w:vAlign w:val="center"/>
          </w:tcPr>
          <w:p w14:paraId="34A27EBE" w14:textId="77777777" w:rsidR="00990B14" w:rsidRDefault="00000000">
            <w:pPr>
              <w:spacing w:before="20" w:after="20"/>
              <w:jc w:val="both"/>
            </w:pPr>
            <w:r>
              <w:rPr>
                <w:sz w:val="18"/>
                <w:szCs w:val="18"/>
              </w:rPr>
              <w:t>Cierra las cuentas de balance y de orden.</w:t>
            </w:r>
          </w:p>
        </w:tc>
        <w:tc>
          <w:tcPr>
            <w:tcW w:w="1874" w:type="dxa"/>
            <w:shd w:val="clear" w:color="auto" w:fill="D9E2F3"/>
            <w:vAlign w:val="center"/>
          </w:tcPr>
          <w:p w14:paraId="58E5024F" w14:textId="77777777" w:rsidR="00990B14" w:rsidRDefault="00000000">
            <w:pPr>
              <w:spacing w:before="20" w:after="20"/>
              <w:jc w:val="both"/>
            </w:pPr>
            <w:r>
              <w:rPr>
                <w:sz w:val="18"/>
                <w:szCs w:val="18"/>
              </w:rPr>
              <w:t>Verifica que todas las cuentas queden saldadas.</w:t>
            </w:r>
          </w:p>
        </w:tc>
      </w:tr>
      <w:tr w:rsidR="00990B14" w14:paraId="6CC568E2" w14:textId="77777777">
        <w:trPr>
          <w:cantSplit/>
          <w:jc w:val="center"/>
        </w:trPr>
        <w:tc>
          <w:tcPr>
            <w:tcW w:w="1885" w:type="dxa"/>
            <w:vMerge/>
            <w:shd w:val="clear" w:color="auto" w:fill="4472C4"/>
            <w:vAlign w:val="center"/>
          </w:tcPr>
          <w:p w14:paraId="7A28BA4D" w14:textId="77777777" w:rsidR="00990B14" w:rsidRDefault="00990B14">
            <w:pPr>
              <w:spacing w:before="20" w:after="20"/>
            </w:pPr>
          </w:p>
        </w:tc>
        <w:tc>
          <w:tcPr>
            <w:tcW w:w="1870" w:type="dxa"/>
            <w:shd w:val="clear" w:color="auto" w:fill="D9E2F3"/>
            <w:vAlign w:val="center"/>
          </w:tcPr>
          <w:p w14:paraId="078012E3" w14:textId="77777777" w:rsidR="00990B14" w:rsidRDefault="00000000">
            <w:pPr>
              <w:spacing w:before="20" w:after="20"/>
              <w:jc w:val="both"/>
            </w:pPr>
            <w:r>
              <w:rPr>
                <w:sz w:val="18"/>
                <w:szCs w:val="18"/>
              </w:rPr>
              <w:t>Reapertura</w:t>
            </w:r>
          </w:p>
        </w:tc>
        <w:tc>
          <w:tcPr>
            <w:tcW w:w="1866" w:type="dxa"/>
            <w:shd w:val="clear" w:color="auto" w:fill="D9E2F3"/>
            <w:vAlign w:val="center"/>
          </w:tcPr>
          <w:p w14:paraId="57614C21" w14:textId="77777777" w:rsidR="00990B14" w:rsidRDefault="00000000">
            <w:pPr>
              <w:spacing w:before="20" w:after="20"/>
              <w:jc w:val="both"/>
            </w:pPr>
            <w:r>
              <w:rPr>
                <w:sz w:val="18"/>
                <w:szCs w:val="18"/>
              </w:rPr>
              <w:t>La reapertura no coincide con el cierre.</w:t>
            </w:r>
          </w:p>
        </w:tc>
        <w:tc>
          <w:tcPr>
            <w:tcW w:w="1910" w:type="dxa"/>
            <w:shd w:val="clear" w:color="auto" w:fill="D9E2F3"/>
            <w:vAlign w:val="center"/>
          </w:tcPr>
          <w:p w14:paraId="4AB27AA2" w14:textId="77777777" w:rsidR="00990B14" w:rsidRDefault="00000000">
            <w:pPr>
              <w:spacing w:before="20" w:after="20"/>
              <w:jc w:val="both"/>
            </w:pPr>
            <w:r>
              <w:rPr>
                <w:sz w:val="18"/>
                <w:szCs w:val="18"/>
              </w:rPr>
              <w:t>Reabre las cuentas de balance y de orden.</w:t>
            </w:r>
          </w:p>
        </w:tc>
        <w:tc>
          <w:tcPr>
            <w:tcW w:w="1874" w:type="dxa"/>
            <w:shd w:val="clear" w:color="auto" w:fill="D9E2F3"/>
            <w:vAlign w:val="center"/>
          </w:tcPr>
          <w:p w14:paraId="3C17813A" w14:textId="77777777" w:rsidR="00990B14" w:rsidRDefault="00000000">
            <w:pPr>
              <w:spacing w:before="20" w:after="20"/>
              <w:jc w:val="both"/>
            </w:pPr>
            <w:r>
              <w:rPr>
                <w:sz w:val="18"/>
                <w:szCs w:val="18"/>
              </w:rPr>
              <w:t>Concilia la reapertura con el balance general.</w:t>
            </w:r>
          </w:p>
        </w:tc>
      </w:tr>
      <w:tr w:rsidR="00990B14" w14:paraId="68611C7A" w14:textId="77777777">
        <w:trPr>
          <w:cantSplit/>
          <w:jc w:val="center"/>
        </w:trPr>
        <w:tc>
          <w:tcPr>
            <w:tcW w:w="1885" w:type="dxa"/>
            <w:vMerge/>
            <w:shd w:val="clear" w:color="auto" w:fill="4472C4"/>
            <w:vAlign w:val="center"/>
          </w:tcPr>
          <w:p w14:paraId="6C5585A2" w14:textId="77777777" w:rsidR="00990B14" w:rsidRDefault="00990B14">
            <w:pPr>
              <w:spacing w:before="20" w:after="20"/>
            </w:pPr>
          </w:p>
        </w:tc>
        <w:tc>
          <w:tcPr>
            <w:tcW w:w="5646" w:type="dxa"/>
            <w:gridSpan w:val="3"/>
            <w:shd w:val="clear" w:color="auto" w:fill="D9E2F3"/>
            <w:vAlign w:val="center"/>
          </w:tcPr>
          <w:p w14:paraId="27F48878" w14:textId="77777777" w:rsidR="00990B14" w:rsidRDefault="00000000">
            <w:pPr>
              <w:keepNext/>
              <w:spacing w:before="20" w:after="20"/>
              <w:jc w:val="both"/>
            </w:pPr>
            <w:r>
              <w:rPr>
                <w:b/>
                <w:bCs/>
                <w:i/>
                <w:iCs/>
                <w:sz w:val="18"/>
                <w:szCs w:val="18"/>
              </w:rPr>
              <w:t xml:space="preserve">Producto 22: </w:t>
            </w:r>
            <w:r>
              <w:rPr>
                <w:sz w:val="18"/>
                <w:szCs w:val="18"/>
              </w:rPr>
              <w:t>Portafolio del ciclo contable</w:t>
            </w:r>
          </w:p>
        </w:tc>
        <w:tc>
          <w:tcPr>
            <w:tcW w:w="1874" w:type="dxa"/>
            <w:shd w:val="clear" w:color="auto" w:fill="D9E2F3"/>
            <w:vAlign w:val="center"/>
          </w:tcPr>
          <w:p w14:paraId="6B243DBB" w14:textId="77777777" w:rsidR="00990B14" w:rsidRDefault="00000000">
            <w:pPr>
              <w:spacing w:before="20" w:after="20"/>
              <w:jc w:val="center"/>
            </w:pPr>
            <w:r>
              <w:rPr>
                <w:b/>
                <w:bCs/>
                <w:sz w:val="18"/>
                <w:szCs w:val="18"/>
              </w:rPr>
              <w:t>3%</w:t>
            </w:r>
          </w:p>
        </w:tc>
      </w:tr>
      <w:tr w:rsidR="00990B14" w14:paraId="1508122B" w14:textId="77777777">
        <w:trPr>
          <w:cantSplit/>
          <w:jc w:val="center"/>
        </w:trPr>
        <w:tc>
          <w:tcPr>
            <w:tcW w:w="1885" w:type="dxa"/>
            <w:vMerge/>
            <w:shd w:val="clear" w:color="auto" w:fill="4472C4"/>
            <w:vAlign w:val="center"/>
          </w:tcPr>
          <w:p w14:paraId="708E63BC" w14:textId="77777777" w:rsidR="00990B14" w:rsidRDefault="00990B14">
            <w:pPr>
              <w:spacing w:before="20" w:after="20"/>
            </w:pPr>
          </w:p>
        </w:tc>
        <w:tc>
          <w:tcPr>
            <w:tcW w:w="1870" w:type="dxa"/>
            <w:shd w:val="clear" w:color="auto" w:fill="4472C4"/>
            <w:vAlign w:val="center"/>
          </w:tcPr>
          <w:p w14:paraId="21952753" w14:textId="77777777" w:rsidR="00990B14" w:rsidRDefault="00000000">
            <w:pPr>
              <w:keepNext/>
              <w:spacing w:before="20" w:after="20"/>
              <w:jc w:val="center"/>
            </w:pPr>
            <w:r>
              <w:rPr>
                <w:b/>
                <w:bCs/>
                <w:i/>
                <w:iCs/>
                <w:color w:val="FFFFFF"/>
                <w:sz w:val="18"/>
                <w:szCs w:val="18"/>
              </w:rPr>
              <w:t>Criterio</w:t>
            </w:r>
          </w:p>
        </w:tc>
        <w:tc>
          <w:tcPr>
            <w:tcW w:w="1866" w:type="dxa"/>
            <w:shd w:val="clear" w:color="auto" w:fill="4472C4"/>
            <w:vAlign w:val="center"/>
          </w:tcPr>
          <w:p w14:paraId="721250B9"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43AFC48A" w14:textId="77777777" w:rsidR="00990B14" w:rsidRDefault="00000000">
            <w:pPr>
              <w:keepNext/>
              <w:spacing w:before="20" w:after="20"/>
              <w:jc w:val="center"/>
            </w:pPr>
            <w:r>
              <w:rPr>
                <w:b/>
                <w:bCs/>
                <w:i/>
                <w:iCs/>
                <w:color w:val="FFFFFF"/>
                <w:sz w:val="18"/>
                <w:szCs w:val="18"/>
              </w:rPr>
              <w:t>Suficiente (51–80)</w:t>
            </w:r>
          </w:p>
        </w:tc>
        <w:tc>
          <w:tcPr>
            <w:tcW w:w="1874" w:type="dxa"/>
            <w:shd w:val="clear" w:color="auto" w:fill="4472C4"/>
            <w:vAlign w:val="center"/>
          </w:tcPr>
          <w:p w14:paraId="4913BB5F" w14:textId="77777777" w:rsidR="00990B14" w:rsidRDefault="00000000">
            <w:pPr>
              <w:keepNext/>
              <w:spacing w:before="20" w:after="20"/>
              <w:jc w:val="center"/>
            </w:pPr>
            <w:r>
              <w:rPr>
                <w:b/>
                <w:bCs/>
                <w:i/>
                <w:iCs/>
                <w:color w:val="FFFFFF"/>
                <w:sz w:val="18"/>
                <w:szCs w:val="18"/>
              </w:rPr>
              <w:t>Destacado (81–100)</w:t>
            </w:r>
          </w:p>
        </w:tc>
      </w:tr>
      <w:tr w:rsidR="00990B14" w14:paraId="74930872" w14:textId="77777777">
        <w:trPr>
          <w:cantSplit/>
          <w:jc w:val="center"/>
        </w:trPr>
        <w:tc>
          <w:tcPr>
            <w:tcW w:w="1885" w:type="dxa"/>
            <w:vMerge/>
            <w:shd w:val="clear" w:color="auto" w:fill="4472C4"/>
            <w:vAlign w:val="center"/>
          </w:tcPr>
          <w:p w14:paraId="71ADA940" w14:textId="77777777" w:rsidR="00990B14" w:rsidRDefault="00990B14">
            <w:pPr>
              <w:spacing w:before="20" w:after="20"/>
            </w:pPr>
          </w:p>
        </w:tc>
        <w:tc>
          <w:tcPr>
            <w:tcW w:w="1870" w:type="dxa"/>
            <w:shd w:val="clear" w:color="auto" w:fill="D9E2F3"/>
            <w:vAlign w:val="center"/>
          </w:tcPr>
          <w:p w14:paraId="2E42EDD8" w14:textId="77777777" w:rsidR="00990B14" w:rsidRDefault="00000000">
            <w:pPr>
              <w:spacing w:before="20" w:after="20"/>
              <w:jc w:val="both"/>
            </w:pPr>
            <w:r>
              <w:rPr>
                <w:sz w:val="18"/>
                <w:szCs w:val="18"/>
              </w:rPr>
              <w:t>Etapas del ciclo</w:t>
            </w:r>
          </w:p>
        </w:tc>
        <w:tc>
          <w:tcPr>
            <w:tcW w:w="1866" w:type="dxa"/>
            <w:shd w:val="clear" w:color="auto" w:fill="D9E2F3"/>
            <w:vAlign w:val="center"/>
          </w:tcPr>
          <w:p w14:paraId="58AB3908" w14:textId="77777777" w:rsidR="00990B14" w:rsidRDefault="00000000">
            <w:pPr>
              <w:spacing w:before="20" w:after="20"/>
              <w:jc w:val="both"/>
            </w:pPr>
            <w:r>
              <w:rPr>
                <w:sz w:val="18"/>
                <w:szCs w:val="18"/>
              </w:rPr>
              <w:t>Omite etapas.</w:t>
            </w:r>
          </w:p>
        </w:tc>
        <w:tc>
          <w:tcPr>
            <w:tcW w:w="1910" w:type="dxa"/>
            <w:shd w:val="clear" w:color="auto" w:fill="D9E2F3"/>
            <w:vAlign w:val="center"/>
          </w:tcPr>
          <w:p w14:paraId="3BB7BF46" w14:textId="77777777" w:rsidR="00990B14" w:rsidRDefault="00000000">
            <w:pPr>
              <w:spacing w:before="20" w:after="20"/>
              <w:jc w:val="both"/>
            </w:pPr>
            <w:r>
              <w:rPr>
                <w:sz w:val="18"/>
                <w:szCs w:val="18"/>
              </w:rPr>
              <w:t>Completa todas las etapas del ciclo contable.</w:t>
            </w:r>
          </w:p>
        </w:tc>
        <w:tc>
          <w:tcPr>
            <w:tcW w:w="1874" w:type="dxa"/>
            <w:shd w:val="clear" w:color="auto" w:fill="D9E2F3"/>
            <w:vAlign w:val="center"/>
          </w:tcPr>
          <w:p w14:paraId="1331B254" w14:textId="77777777" w:rsidR="00990B14" w:rsidRDefault="00000000">
            <w:pPr>
              <w:spacing w:before="20" w:after="20"/>
              <w:jc w:val="both"/>
            </w:pPr>
            <w:r>
              <w:rPr>
                <w:sz w:val="18"/>
                <w:szCs w:val="18"/>
              </w:rPr>
              <w:t>Explica la secuencia de las etapas.</w:t>
            </w:r>
          </w:p>
        </w:tc>
      </w:tr>
      <w:tr w:rsidR="00990B14" w14:paraId="43B2B13D" w14:textId="77777777">
        <w:trPr>
          <w:cantSplit/>
          <w:jc w:val="center"/>
        </w:trPr>
        <w:tc>
          <w:tcPr>
            <w:tcW w:w="1885" w:type="dxa"/>
            <w:vMerge/>
            <w:shd w:val="clear" w:color="auto" w:fill="4472C4"/>
            <w:vAlign w:val="center"/>
          </w:tcPr>
          <w:p w14:paraId="47B7E5A4" w14:textId="77777777" w:rsidR="00990B14" w:rsidRDefault="00990B14">
            <w:pPr>
              <w:spacing w:before="20" w:after="20"/>
            </w:pPr>
          </w:p>
        </w:tc>
        <w:tc>
          <w:tcPr>
            <w:tcW w:w="1870" w:type="dxa"/>
            <w:shd w:val="clear" w:color="auto" w:fill="D9E2F3"/>
            <w:vAlign w:val="center"/>
          </w:tcPr>
          <w:p w14:paraId="74F19187" w14:textId="77777777" w:rsidR="00990B14" w:rsidRDefault="00000000">
            <w:pPr>
              <w:spacing w:before="20" w:after="20"/>
              <w:jc w:val="both"/>
            </w:pPr>
            <w:r>
              <w:rPr>
                <w:sz w:val="18"/>
                <w:szCs w:val="18"/>
              </w:rPr>
              <w:t>Uso del sistema</w:t>
            </w:r>
          </w:p>
        </w:tc>
        <w:tc>
          <w:tcPr>
            <w:tcW w:w="1866" w:type="dxa"/>
            <w:shd w:val="clear" w:color="auto" w:fill="D9E2F3"/>
            <w:vAlign w:val="center"/>
          </w:tcPr>
          <w:p w14:paraId="7268D6C9" w14:textId="77777777" w:rsidR="00990B14" w:rsidRDefault="00000000">
            <w:pPr>
              <w:spacing w:before="20" w:after="20"/>
              <w:jc w:val="both"/>
            </w:pPr>
            <w:r>
              <w:rPr>
                <w:sz w:val="18"/>
                <w:szCs w:val="18"/>
              </w:rPr>
              <w:t>Registra con errores en el sistema.</w:t>
            </w:r>
          </w:p>
        </w:tc>
        <w:tc>
          <w:tcPr>
            <w:tcW w:w="1910" w:type="dxa"/>
            <w:shd w:val="clear" w:color="auto" w:fill="D9E2F3"/>
            <w:vAlign w:val="center"/>
          </w:tcPr>
          <w:p w14:paraId="3B04C8D8" w14:textId="77777777" w:rsidR="00990B14" w:rsidRDefault="00000000">
            <w:pPr>
              <w:spacing w:before="20" w:after="20"/>
              <w:jc w:val="both"/>
            </w:pPr>
            <w:r>
              <w:rPr>
                <w:sz w:val="18"/>
                <w:szCs w:val="18"/>
              </w:rPr>
              <w:t>Registra correctamente en el sistema contable.</w:t>
            </w:r>
          </w:p>
        </w:tc>
        <w:tc>
          <w:tcPr>
            <w:tcW w:w="1874" w:type="dxa"/>
            <w:shd w:val="clear" w:color="auto" w:fill="D9E2F3"/>
            <w:vAlign w:val="center"/>
          </w:tcPr>
          <w:p w14:paraId="4199C8A1" w14:textId="77777777" w:rsidR="00990B14" w:rsidRDefault="00000000">
            <w:pPr>
              <w:spacing w:before="20" w:after="20"/>
              <w:jc w:val="both"/>
            </w:pPr>
            <w:r>
              <w:rPr>
                <w:sz w:val="18"/>
                <w:szCs w:val="18"/>
              </w:rPr>
              <w:t>Compara el registro manual con el automatizado.</w:t>
            </w:r>
          </w:p>
        </w:tc>
      </w:tr>
      <w:tr w:rsidR="00990B14" w14:paraId="5EEE9830" w14:textId="77777777">
        <w:trPr>
          <w:cantSplit/>
          <w:jc w:val="center"/>
        </w:trPr>
        <w:tc>
          <w:tcPr>
            <w:tcW w:w="1885" w:type="dxa"/>
            <w:vMerge/>
            <w:shd w:val="clear" w:color="auto" w:fill="4472C4"/>
            <w:vAlign w:val="center"/>
          </w:tcPr>
          <w:p w14:paraId="39464874" w14:textId="77777777" w:rsidR="00990B14" w:rsidRDefault="00990B14">
            <w:pPr>
              <w:spacing w:before="20" w:after="20"/>
            </w:pPr>
          </w:p>
        </w:tc>
        <w:tc>
          <w:tcPr>
            <w:tcW w:w="1870" w:type="dxa"/>
            <w:shd w:val="clear" w:color="auto" w:fill="D9E2F3"/>
            <w:vAlign w:val="center"/>
          </w:tcPr>
          <w:p w14:paraId="58565511" w14:textId="77777777" w:rsidR="00990B14" w:rsidRDefault="00000000">
            <w:pPr>
              <w:spacing w:before="20" w:after="20"/>
              <w:jc w:val="both"/>
            </w:pPr>
            <w:r>
              <w:rPr>
                <w:sz w:val="18"/>
                <w:szCs w:val="18"/>
              </w:rPr>
              <w:t>Organización</w:t>
            </w:r>
          </w:p>
        </w:tc>
        <w:tc>
          <w:tcPr>
            <w:tcW w:w="1866" w:type="dxa"/>
            <w:shd w:val="clear" w:color="auto" w:fill="D9E2F3"/>
            <w:vAlign w:val="center"/>
          </w:tcPr>
          <w:p w14:paraId="030A5F98" w14:textId="77777777" w:rsidR="00990B14" w:rsidRDefault="00000000">
            <w:pPr>
              <w:spacing w:before="20" w:after="20"/>
              <w:jc w:val="both"/>
            </w:pPr>
            <w:r>
              <w:rPr>
                <w:sz w:val="18"/>
                <w:szCs w:val="18"/>
              </w:rPr>
              <w:t>El portafolio es desordenado.</w:t>
            </w:r>
          </w:p>
        </w:tc>
        <w:tc>
          <w:tcPr>
            <w:tcW w:w="1910" w:type="dxa"/>
            <w:shd w:val="clear" w:color="auto" w:fill="D9E2F3"/>
            <w:vAlign w:val="center"/>
          </w:tcPr>
          <w:p w14:paraId="40020BB5" w14:textId="77777777" w:rsidR="00990B14" w:rsidRDefault="00000000">
            <w:pPr>
              <w:spacing w:before="20" w:after="20"/>
              <w:jc w:val="both"/>
            </w:pPr>
            <w:r>
              <w:rPr>
                <w:sz w:val="18"/>
                <w:szCs w:val="18"/>
              </w:rPr>
              <w:t>El portafolio está ordenado y completo.</w:t>
            </w:r>
          </w:p>
        </w:tc>
        <w:tc>
          <w:tcPr>
            <w:tcW w:w="1874" w:type="dxa"/>
            <w:shd w:val="clear" w:color="auto" w:fill="D9E2F3"/>
            <w:vAlign w:val="center"/>
          </w:tcPr>
          <w:p w14:paraId="2987EF28" w14:textId="77777777" w:rsidR="00990B14" w:rsidRDefault="00000000">
            <w:pPr>
              <w:spacing w:before="20" w:after="20"/>
              <w:jc w:val="both"/>
            </w:pPr>
            <w:r>
              <w:rPr>
                <w:sz w:val="18"/>
                <w:szCs w:val="18"/>
              </w:rPr>
              <w:t>El portafolio incluye una reflexión sobre lo aprendido.</w:t>
            </w:r>
          </w:p>
        </w:tc>
      </w:tr>
      <w:tr w:rsidR="00990B14" w14:paraId="0AAA28CA" w14:textId="77777777">
        <w:trPr>
          <w:cantSplit/>
          <w:jc w:val="center"/>
        </w:trPr>
        <w:tc>
          <w:tcPr>
            <w:tcW w:w="1885" w:type="dxa"/>
            <w:vMerge/>
            <w:shd w:val="clear" w:color="auto" w:fill="4472C4"/>
            <w:vAlign w:val="center"/>
          </w:tcPr>
          <w:p w14:paraId="02514E4C" w14:textId="77777777" w:rsidR="00990B14" w:rsidRDefault="00990B14">
            <w:pPr>
              <w:spacing w:before="20" w:after="20"/>
            </w:pPr>
          </w:p>
        </w:tc>
        <w:tc>
          <w:tcPr>
            <w:tcW w:w="5646" w:type="dxa"/>
            <w:gridSpan w:val="3"/>
            <w:shd w:val="clear" w:color="auto" w:fill="D9E2F3"/>
            <w:vAlign w:val="center"/>
          </w:tcPr>
          <w:p w14:paraId="04355975" w14:textId="77777777" w:rsidR="00990B14" w:rsidRDefault="00000000">
            <w:pPr>
              <w:keepNext/>
              <w:spacing w:before="20" w:after="20"/>
              <w:jc w:val="both"/>
            </w:pPr>
            <w:r>
              <w:rPr>
                <w:b/>
                <w:bCs/>
                <w:i/>
                <w:iCs/>
                <w:sz w:val="18"/>
                <w:szCs w:val="18"/>
              </w:rPr>
              <w:t xml:space="preserve">Producto 23: </w:t>
            </w:r>
            <w:r>
              <w:rPr>
                <w:sz w:val="18"/>
                <w:szCs w:val="18"/>
              </w:rPr>
              <w:t>Plan de cuentas</w:t>
            </w:r>
          </w:p>
        </w:tc>
        <w:tc>
          <w:tcPr>
            <w:tcW w:w="1874" w:type="dxa"/>
            <w:shd w:val="clear" w:color="auto" w:fill="D9E2F3"/>
            <w:vAlign w:val="center"/>
          </w:tcPr>
          <w:p w14:paraId="0DB5988E" w14:textId="77777777" w:rsidR="00990B14" w:rsidRDefault="00000000">
            <w:pPr>
              <w:spacing w:before="20" w:after="20"/>
              <w:jc w:val="center"/>
            </w:pPr>
            <w:r>
              <w:rPr>
                <w:b/>
                <w:bCs/>
                <w:sz w:val="18"/>
                <w:szCs w:val="18"/>
              </w:rPr>
              <w:t>2%</w:t>
            </w:r>
          </w:p>
        </w:tc>
      </w:tr>
      <w:tr w:rsidR="00990B14" w14:paraId="04748819" w14:textId="77777777">
        <w:trPr>
          <w:cantSplit/>
          <w:jc w:val="center"/>
        </w:trPr>
        <w:tc>
          <w:tcPr>
            <w:tcW w:w="1885" w:type="dxa"/>
            <w:vMerge/>
            <w:shd w:val="clear" w:color="auto" w:fill="4472C4"/>
            <w:vAlign w:val="center"/>
          </w:tcPr>
          <w:p w14:paraId="3CEB943A" w14:textId="77777777" w:rsidR="00990B14" w:rsidRDefault="00990B14">
            <w:pPr>
              <w:spacing w:before="20" w:after="20"/>
            </w:pPr>
          </w:p>
        </w:tc>
        <w:tc>
          <w:tcPr>
            <w:tcW w:w="1870" w:type="dxa"/>
            <w:shd w:val="clear" w:color="auto" w:fill="4472C4"/>
            <w:vAlign w:val="center"/>
          </w:tcPr>
          <w:p w14:paraId="34A2582A" w14:textId="77777777" w:rsidR="00990B14" w:rsidRDefault="00000000">
            <w:pPr>
              <w:keepNext/>
              <w:spacing w:before="20" w:after="20"/>
              <w:jc w:val="center"/>
            </w:pPr>
            <w:r>
              <w:rPr>
                <w:b/>
                <w:bCs/>
                <w:i/>
                <w:iCs/>
                <w:color w:val="FFFFFF"/>
                <w:sz w:val="18"/>
                <w:szCs w:val="18"/>
              </w:rPr>
              <w:t>Criterio</w:t>
            </w:r>
          </w:p>
        </w:tc>
        <w:tc>
          <w:tcPr>
            <w:tcW w:w="1866" w:type="dxa"/>
            <w:shd w:val="clear" w:color="auto" w:fill="4472C4"/>
            <w:vAlign w:val="center"/>
          </w:tcPr>
          <w:p w14:paraId="531D1262"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1D570C40" w14:textId="77777777" w:rsidR="00990B14" w:rsidRDefault="00000000">
            <w:pPr>
              <w:keepNext/>
              <w:spacing w:before="20" w:after="20"/>
              <w:jc w:val="center"/>
            </w:pPr>
            <w:r>
              <w:rPr>
                <w:b/>
                <w:bCs/>
                <w:i/>
                <w:iCs/>
                <w:color w:val="FFFFFF"/>
                <w:sz w:val="18"/>
                <w:szCs w:val="18"/>
              </w:rPr>
              <w:t>Suficiente (51–80)</w:t>
            </w:r>
          </w:p>
        </w:tc>
        <w:tc>
          <w:tcPr>
            <w:tcW w:w="1874" w:type="dxa"/>
            <w:shd w:val="clear" w:color="auto" w:fill="4472C4"/>
            <w:vAlign w:val="center"/>
          </w:tcPr>
          <w:p w14:paraId="2F7DB424" w14:textId="77777777" w:rsidR="00990B14" w:rsidRDefault="00000000">
            <w:pPr>
              <w:keepNext/>
              <w:spacing w:before="20" w:after="20"/>
              <w:jc w:val="center"/>
            </w:pPr>
            <w:r>
              <w:rPr>
                <w:b/>
                <w:bCs/>
                <w:i/>
                <w:iCs/>
                <w:color w:val="FFFFFF"/>
                <w:sz w:val="18"/>
                <w:szCs w:val="18"/>
              </w:rPr>
              <w:t>Destacado (81–100)</w:t>
            </w:r>
          </w:p>
        </w:tc>
      </w:tr>
      <w:tr w:rsidR="00990B14" w14:paraId="28A829E7" w14:textId="77777777">
        <w:trPr>
          <w:cantSplit/>
          <w:jc w:val="center"/>
        </w:trPr>
        <w:tc>
          <w:tcPr>
            <w:tcW w:w="1885" w:type="dxa"/>
            <w:vMerge/>
            <w:shd w:val="clear" w:color="auto" w:fill="4472C4"/>
            <w:vAlign w:val="center"/>
          </w:tcPr>
          <w:p w14:paraId="0595D158" w14:textId="77777777" w:rsidR="00990B14" w:rsidRDefault="00990B14">
            <w:pPr>
              <w:spacing w:before="20" w:after="20"/>
            </w:pPr>
          </w:p>
        </w:tc>
        <w:tc>
          <w:tcPr>
            <w:tcW w:w="1870" w:type="dxa"/>
            <w:shd w:val="clear" w:color="auto" w:fill="D9E2F3"/>
            <w:vAlign w:val="center"/>
          </w:tcPr>
          <w:p w14:paraId="5F8CE187" w14:textId="77777777" w:rsidR="00990B14" w:rsidRDefault="00000000">
            <w:pPr>
              <w:spacing w:before="20" w:after="20"/>
              <w:jc w:val="both"/>
            </w:pPr>
            <w:r>
              <w:rPr>
                <w:sz w:val="18"/>
                <w:szCs w:val="18"/>
              </w:rPr>
              <w:t>Estructura</w:t>
            </w:r>
          </w:p>
        </w:tc>
        <w:tc>
          <w:tcPr>
            <w:tcW w:w="1866" w:type="dxa"/>
            <w:shd w:val="clear" w:color="auto" w:fill="D9E2F3"/>
            <w:vAlign w:val="center"/>
          </w:tcPr>
          <w:p w14:paraId="3AB4D99A" w14:textId="77777777" w:rsidR="00990B14" w:rsidRDefault="00000000">
            <w:pPr>
              <w:spacing w:before="20" w:after="20"/>
              <w:jc w:val="both"/>
            </w:pPr>
            <w:r>
              <w:rPr>
                <w:sz w:val="18"/>
                <w:szCs w:val="18"/>
              </w:rPr>
              <w:t>Omite grupos de cuentas.</w:t>
            </w:r>
          </w:p>
        </w:tc>
        <w:tc>
          <w:tcPr>
            <w:tcW w:w="1910" w:type="dxa"/>
            <w:shd w:val="clear" w:color="auto" w:fill="D9E2F3"/>
            <w:vAlign w:val="center"/>
          </w:tcPr>
          <w:p w14:paraId="470CAF74" w14:textId="77777777" w:rsidR="00990B14" w:rsidRDefault="00000000">
            <w:pPr>
              <w:spacing w:before="20" w:after="20"/>
              <w:jc w:val="both"/>
            </w:pPr>
            <w:r>
              <w:rPr>
                <w:sz w:val="18"/>
                <w:szCs w:val="18"/>
              </w:rPr>
              <w:t>Incluye cuentas de balance, de resultados y de orden.</w:t>
            </w:r>
          </w:p>
        </w:tc>
        <w:tc>
          <w:tcPr>
            <w:tcW w:w="1874" w:type="dxa"/>
            <w:shd w:val="clear" w:color="auto" w:fill="D9E2F3"/>
            <w:vAlign w:val="center"/>
          </w:tcPr>
          <w:p w14:paraId="4CB3CC0F" w14:textId="77777777" w:rsidR="00990B14" w:rsidRDefault="00000000">
            <w:pPr>
              <w:spacing w:before="20" w:after="20"/>
              <w:jc w:val="both"/>
            </w:pPr>
            <w:r>
              <w:rPr>
                <w:sz w:val="18"/>
                <w:szCs w:val="18"/>
              </w:rPr>
              <w:t>Incluye cuentas reguladoras pertinentes.</w:t>
            </w:r>
          </w:p>
        </w:tc>
      </w:tr>
      <w:tr w:rsidR="00990B14" w14:paraId="62AF24DD" w14:textId="77777777">
        <w:trPr>
          <w:cantSplit/>
          <w:jc w:val="center"/>
        </w:trPr>
        <w:tc>
          <w:tcPr>
            <w:tcW w:w="1885" w:type="dxa"/>
            <w:vMerge/>
            <w:shd w:val="clear" w:color="auto" w:fill="4472C4"/>
            <w:vAlign w:val="center"/>
          </w:tcPr>
          <w:p w14:paraId="565C3D36" w14:textId="77777777" w:rsidR="00990B14" w:rsidRDefault="00990B14">
            <w:pPr>
              <w:spacing w:before="20" w:after="20"/>
            </w:pPr>
          </w:p>
        </w:tc>
        <w:tc>
          <w:tcPr>
            <w:tcW w:w="1870" w:type="dxa"/>
            <w:shd w:val="clear" w:color="auto" w:fill="D9E2F3"/>
            <w:vAlign w:val="center"/>
          </w:tcPr>
          <w:p w14:paraId="2BA52699" w14:textId="77777777" w:rsidR="00990B14" w:rsidRDefault="00000000">
            <w:pPr>
              <w:spacing w:before="20" w:after="20"/>
              <w:jc w:val="both"/>
            </w:pPr>
            <w:r>
              <w:rPr>
                <w:sz w:val="18"/>
                <w:szCs w:val="18"/>
              </w:rPr>
              <w:t>Pertinencia</w:t>
            </w:r>
          </w:p>
        </w:tc>
        <w:tc>
          <w:tcPr>
            <w:tcW w:w="1866" w:type="dxa"/>
            <w:shd w:val="clear" w:color="auto" w:fill="D9E2F3"/>
            <w:vAlign w:val="center"/>
          </w:tcPr>
          <w:p w14:paraId="79C67739" w14:textId="77777777" w:rsidR="00990B14" w:rsidRDefault="00000000">
            <w:pPr>
              <w:spacing w:before="20" w:after="20"/>
              <w:jc w:val="both"/>
            </w:pPr>
            <w:r>
              <w:rPr>
                <w:sz w:val="18"/>
                <w:szCs w:val="18"/>
              </w:rPr>
              <w:t>Incluye cuentas ajenas a la actividad.</w:t>
            </w:r>
          </w:p>
        </w:tc>
        <w:tc>
          <w:tcPr>
            <w:tcW w:w="1910" w:type="dxa"/>
            <w:shd w:val="clear" w:color="auto" w:fill="D9E2F3"/>
            <w:vAlign w:val="center"/>
          </w:tcPr>
          <w:p w14:paraId="4DD8B606" w14:textId="77777777" w:rsidR="00990B14" w:rsidRDefault="00000000">
            <w:pPr>
              <w:spacing w:before="20" w:after="20"/>
              <w:jc w:val="both"/>
            </w:pPr>
            <w:r>
              <w:rPr>
                <w:sz w:val="18"/>
                <w:szCs w:val="18"/>
              </w:rPr>
              <w:t>Las cuentas responden a la actividad de la empresa.</w:t>
            </w:r>
          </w:p>
        </w:tc>
        <w:tc>
          <w:tcPr>
            <w:tcW w:w="1874" w:type="dxa"/>
            <w:shd w:val="clear" w:color="auto" w:fill="D9E2F3"/>
            <w:vAlign w:val="center"/>
          </w:tcPr>
          <w:p w14:paraId="0DCBE8D0" w14:textId="77777777" w:rsidR="00990B14" w:rsidRDefault="00000000">
            <w:pPr>
              <w:spacing w:before="20" w:after="20"/>
              <w:jc w:val="both"/>
            </w:pPr>
            <w:r>
              <w:rPr>
                <w:sz w:val="18"/>
                <w:szCs w:val="18"/>
              </w:rPr>
              <w:t>Prevé el crecimiento de la empresa.</w:t>
            </w:r>
          </w:p>
        </w:tc>
      </w:tr>
      <w:tr w:rsidR="00990B14" w14:paraId="5BC49DA2" w14:textId="77777777">
        <w:trPr>
          <w:cantSplit/>
          <w:jc w:val="center"/>
        </w:trPr>
        <w:tc>
          <w:tcPr>
            <w:tcW w:w="1885" w:type="dxa"/>
            <w:vMerge/>
            <w:shd w:val="clear" w:color="auto" w:fill="4472C4"/>
            <w:vAlign w:val="center"/>
          </w:tcPr>
          <w:p w14:paraId="7426200D" w14:textId="77777777" w:rsidR="00990B14" w:rsidRDefault="00990B14">
            <w:pPr>
              <w:spacing w:before="20" w:after="20"/>
            </w:pPr>
          </w:p>
        </w:tc>
        <w:tc>
          <w:tcPr>
            <w:tcW w:w="1870" w:type="dxa"/>
            <w:shd w:val="clear" w:color="auto" w:fill="D9E2F3"/>
            <w:vAlign w:val="center"/>
          </w:tcPr>
          <w:p w14:paraId="75A896E5" w14:textId="77777777" w:rsidR="00990B14" w:rsidRDefault="00000000">
            <w:pPr>
              <w:spacing w:before="20" w:after="20"/>
              <w:jc w:val="both"/>
            </w:pPr>
            <w:r>
              <w:rPr>
                <w:sz w:val="18"/>
                <w:szCs w:val="18"/>
              </w:rPr>
              <w:t>Defensa</w:t>
            </w:r>
          </w:p>
        </w:tc>
        <w:tc>
          <w:tcPr>
            <w:tcW w:w="1866" w:type="dxa"/>
            <w:shd w:val="clear" w:color="auto" w:fill="D9E2F3"/>
            <w:vAlign w:val="center"/>
          </w:tcPr>
          <w:p w14:paraId="5FB1B8EA" w14:textId="77777777" w:rsidR="00990B14" w:rsidRDefault="00000000">
            <w:pPr>
              <w:spacing w:before="20" w:after="20"/>
              <w:jc w:val="both"/>
            </w:pPr>
            <w:r>
              <w:rPr>
                <w:sz w:val="18"/>
                <w:szCs w:val="18"/>
              </w:rPr>
              <w:t>La defensa es débil.</w:t>
            </w:r>
          </w:p>
        </w:tc>
        <w:tc>
          <w:tcPr>
            <w:tcW w:w="1910" w:type="dxa"/>
            <w:shd w:val="clear" w:color="auto" w:fill="D9E2F3"/>
            <w:vAlign w:val="center"/>
          </w:tcPr>
          <w:p w14:paraId="400FCE3C" w14:textId="77777777" w:rsidR="00990B14" w:rsidRDefault="00000000">
            <w:pPr>
              <w:spacing w:before="20" w:after="20"/>
              <w:jc w:val="both"/>
            </w:pPr>
            <w:r>
              <w:rPr>
                <w:sz w:val="18"/>
                <w:szCs w:val="18"/>
              </w:rPr>
              <w:t>Defiende el plan con argumentos.</w:t>
            </w:r>
          </w:p>
        </w:tc>
        <w:tc>
          <w:tcPr>
            <w:tcW w:w="1874" w:type="dxa"/>
            <w:shd w:val="clear" w:color="auto" w:fill="D9E2F3"/>
            <w:vAlign w:val="center"/>
          </w:tcPr>
          <w:p w14:paraId="3967BCD9" w14:textId="77777777" w:rsidR="00990B14" w:rsidRDefault="00000000">
            <w:pPr>
              <w:spacing w:before="20" w:after="20"/>
              <w:jc w:val="both"/>
            </w:pPr>
            <w:r>
              <w:rPr>
                <w:sz w:val="18"/>
                <w:szCs w:val="18"/>
              </w:rPr>
              <w:t>Responde objeciones con solvencia.</w:t>
            </w:r>
          </w:p>
        </w:tc>
      </w:tr>
      <w:tr w:rsidR="00990B14" w14:paraId="76BC76E9" w14:textId="77777777">
        <w:trPr>
          <w:cantSplit/>
          <w:jc w:val="center"/>
        </w:trPr>
        <w:tc>
          <w:tcPr>
            <w:tcW w:w="1885" w:type="dxa"/>
            <w:vMerge/>
            <w:shd w:val="clear" w:color="auto" w:fill="4472C4"/>
            <w:vAlign w:val="center"/>
          </w:tcPr>
          <w:p w14:paraId="20E030A9" w14:textId="77777777" w:rsidR="00990B14" w:rsidRDefault="00990B14">
            <w:pPr>
              <w:spacing w:before="20" w:after="20"/>
            </w:pPr>
          </w:p>
        </w:tc>
        <w:tc>
          <w:tcPr>
            <w:tcW w:w="5646" w:type="dxa"/>
            <w:gridSpan w:val="3"/>
            <w:shd w:val="clear" w:color="auto" w:fill="D9E2F3"/>
            <w:vAlign w:val="center"/>
          </w:tcPr>
          <w:p w14:paraId="53B790F2" w14:textId="77777777" w:rsidR="00990B14" w:rsidRDefault="00000000">
            <w:pPr>
              <w:keepNext/>
              <w:spacing w:before="20" w:after="20"/>
              <w:jc w:val="both"/>
            </w:pPr>
            <w:r>
              <w:rPr>
                <w:b/>
                <w:bCs/>
                <w:i/>
                <w:iCs/>
                <w:sz w:val="18"/>
                <w:szCs w:val="18"/>
              </w:rPr>
              <w:t xml:space="preserve">Producto 24: </w:t>
            </w:r>
            <w:r>
              <w:rPr>
                <w:sz w:val="18"/>
                <w:szCs w:val="18"/>
              </w:rPr>
              <w:t>Reporte del plan de cuentas configurado</w:t>
            </w:r>
          </w:p>
        </w:tc>
        <w:tc>
          <w:tcPr>
            <w:tcW w:w="1874" w:type="dxa"/>
            <w:shd w:val="clear" w:color="auto" w:fill="D9E2F3"/>
            <w:vAlign w:val="center"/>
          </w:tcPr>
          <w:p w14:paraId="44406DAE" w14:textId="77777777" w:rsidR="00990B14" w:rsidRDefault="00000000">
            <w:pPr>
              <w:spacing w:before="20" w:after="20"/>
              <w:jc w:val="center"/>
            </w:pPr>
            <w:r>
              <w:rPr>
                <w:b/>
                <w:bCs/>
                <w:sz w:val="18"/>
                <w:szCs w:val="18"/>
              </w:rPr>
              <w:t>2%</w:t>
            </w:r>
          </w:p>
        </w:tc>
      </w:tr>
      <w:tr w:rsidR="00990B14" w14:paraId="3017C3F8" w14:textId="77777777">
        <w:trPr>
          <w:cantSplit/>
          <w:jc w:val="center"/>
        </w:trPr>
        <w:tc>
          <w:tcPr>
            <w:tcW w:w="1885" w:type="dxa"/>
            <w:vMerge/>
            <w:shd w:val="clear" w:color="auto" w:fill="4472C4"/>
            <w:vAlign w:val="center"/>
          </w:tcPr>
          <w:p w14:paraId="372ACC85" w14:textId="77777777" w:rsidR="00990B14" w:rsidRDefault="00990B14">
            <w:pPr>
              <w:spacing w:before="20" w:after="20"/>
            </w:pPr>
          </w:p>
        </w:tc>
        <w:tc>
          <w:tcPr>
            <w:tcW w:w="1870" w:type="dxa"/>
            <w:shd w:val="clear" w:color="auto" w:fill="4472C4"/>
            <w:vAlign w:val="center"/>
          </w:tcPr>
          <w:p w14:paraId="7FF4D82A" w14:textId="77777777" w:rsidR="00990B14" w:rsidRDefault="00000000">
            <w:pPr>
              <w:keepNext/>
              <w:spacing w:before="20" w:after="20"/>
              <w:jc w:val="center"/>
            </w:pPr>
            <w:r>
              <w:rPr>
                <w:b/>
                <w:bCs/>
                <w:i/>
                <w:iCs/>
                <w:color w:val="FFFFFF"/>
                <w:sz w:val="18"/>
                <w:szCs w:val="18"/>
              </w:rPr>
              <w:t>Criterio</w:t>
            </w:r>
          </w:p>
        </w:tc>
        <w:tc>
          <w:tcPr>
            <w:tcW w:w="1866" w:type="dxa"/>
            <w:shd w:val="clear" w:color="auto" w:fill="4472C4"/>
            <w:vAlign w:val="center"/>
          </w:tcPr>
          <w:p w14:paraId="6F15B8E5"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2F6309ED" w14:textId="77777777" w:rsidR="00990B14" w:rsidRDefault="00000000">
            <w:pPr>
              <w:keepNext/>
              <w:spacing w:before="20" w:after="20"/>
              <w:jc w:val="center"/>
            </w:pPr>
            <w:r>
              <w:rPr>
                <w:b/>
                <w:bCs/>
                <w:i/>
                <w:iCs/>
                <w:color w:val="FFFFFF"/>
                <w:sz w:val="18"/>
                <w:szCs w:val="18"/>
              </w:rPr>
              <w:t>Suficiente (51–80)</w:t>
            </w:r>
          </w:p>
        </w:tc>
        <w:tc>
          <w:tcPr>
            <w:tcW w:w="1874" w:type="dxa"/>
            <w:shd w:val="clear" w:color="auto" w:fill="4472C4"/>
            <w:vAlign w:val="center"/>
          </w:tcPr>
          <w:p w14:paraId="05808FC2" w14:textId="77777777" w:rsidR="00990B14" w:rsidRDefault="00000000">
            <w:pPr>
              <w:keepNext/>
              <w:spacing w:before="20" w:after="20"/>
              <w:jc w:val="center"/>
            </w:pPr>
            <w:r>
              <w:rPr>
                <w:b/>
                <w:bCs/>
                <w:i/>
                <w:iCs/>
                <w:color w:val="FFFFFF"/>
                <w:sz w:val="18"/>
                <w:szCs w:val="18"/>
              </w:rPr>
              <w:t>Destacado (81–100)</w:t>
            </w:r>
          </w:p>
        </w:tc>
      </w:tr>
      <w:tr w:rsidR="00990B14" w14:paraId="5818AEC7" w14:textId="77777777">
        <w:trPr>
          <w:cantSplit/>
          <w:jc w:val="center"/>
        </w:trPr>
        <w:tc>
          <w:tcPr>
            <w:tcW w:w="1885" w:type="dxa"/>
            <w:vMerge/>
            <w:shd w:val="clear" w:color="auto" w:fill="4472C4"/>
            <w:vAlign w:val="center"/>
          </w:tcPr>
          <w:p w14:paraId="1AC5C74E" w14:textId="77777777" w:rsidR="00990B14" w:rsidRDefault="00990B14">
            <w:pPr>
              <w:spacing w:before="20" w:after="20"/>
            </w:pPr>
          </w:p>
        </w:tc>
        <w:tc>
          <w:tcPr>
            <w:tcW w:w="1870" w:type="dxa"/>
            <w:shd w:val="clear" w:color="auto" w:fill="D9E2F3"/>
            <w:vAlign w:val="center"/>
          </w:tcPr>
          <w:p w14:paraId="307BB661" w14:textId="77777777" w:rsidR="00990B14" w:rsidRDefault="00000000">
            <w:pPr>
              <w:spacing w:before="20" w:after="20"/>
              <w:jc w:val="both"/>
            </w:pPr>
            <w:r>
              <w:rPr>
                <w:sz w:val="18"/>
                <w:szCs w:val="18"/>
              </w:rPr>
              <w:t>Configuración</w:t>
            </w:r>
          </w:p>
        </w:tc>
        <w:tc>
          <w:tcPr>
            <w:tcW w:w="1866" w:type="dxa"/>
            <w:shd w:val="clear" w:color="auto" w:fill="D9E2F3"/>
            <w:vAlign w:val="center"/>
          </w:tcPr>
          <w:p w14:paraId="1510862D" w14:textId="77777777" w:rsidR="00990B14" w:rsidRDefault="00000000">
            <w:pPr>
              <w:spacing w:before="20" w:after="20"/>
              <w:jc w:val="both"/>
            </w:pPr>
            <w:r>
              <w:rPr>
                <w:sz w:val="18"/>
                <w:szCs w:val="18"/>
              </w:rPr>
              <w:t>La configuración tiene errores.</w:t>
            </w:r>
          </w:p>
        </w:tc>
        <w:tc>
          <w:tcPr>
            <w:tcW w:w="1910" w:type="dxa"/>
            <w:shd w:val="clear" w:color="auto" w:fill="D9E2F3"/>
            <w:vAlign w:val="center"/>
          </w:tcPr>
          <w:p w14:paraId="35F82525" w14:textId="77777777" w:rsidR="00990B14" w:rsidRDefault="00000000">
            <w:pPr>
              <w:spacing w:before="20" w:after="20"/>
              <w:jc w:val="both"/>
            </w:pPr>
            <w:r>
              <w:rPr>
                <w:sz w:val="18"/>
                <w:szCs w:val="18"/>
              </w:rPr>
              <w:t>Configura cuentas, niveles y naturaleza correctamente.</w:t>
            </w:r>
          </w:p>
        </w:tc>
        <w:tc>
          <w:tcPr>
            <w:tcW w:w="1874" w:type="dxa"/>
            <w:shd w:val="clear" w:color="auto" w:fill="D9E2F3"/>
            <w:vAlign w:val="center"/>
          </w:tcPr>
          <w:p w14:paraId="0BB5CA25" w14:textId="77777777" w:rsidR="00990B14" w:rsidRDefault="00000000">
            <w:pPr>
              <w:spacing w:before="20" w:after="20"/>
              <w:jc w:val="both"/>
            </w:pPr>
            <w:r>
              <w:rPr>
                <w:sz w:val="18"/>
                <w:szCs w:val="18"/>
              </w:rPr>
              <w:t>Configura cuentas de orden y reguladoras.</w:t>
            </w:r>
          </w:p>
        </w:tc>
      </w:tr>
      <w:tr w:rsidR="00990B14" w14:paraId="190F8BC6" w14:textId="77777777">
        <w:trPr>
          <w:cantSplit/>
          <w:jc w:val="center"/>
        </w:trPr>
        <w:tc>
          <w:tcPr>
            <w:tcW w:w="1885" w:type="dxa"/>
            <w:vMerge/>
            <w:shd w:val="clear" w:color="auto" w:fill="4472C4"/>
            <w:vAlign w:val="center"/>
          </w:tcPr>
          <w:p w14:paraId="45F5F11E" w14:textId="77777777" w:rsidR="00990B14" w:rsidRDefault="00990B14">
            <w:pPr>
              <w:spacing w:before="20" w:after="20"/>
            </w:pPr>
          </w:p>
        </w:tc>
        <w:tc>
          <w:tcPr>
            <w:tcW w:w="1870" w:type="dxa"/>
            <w:shd w:val="clear" w:color="auto" w:fill="D9E2F3"/>
            <w:vAlign w:val="center"/>
          </w:tcPr>
          <w:p w14:paraId="072FEA29" w14:textId="77777777" w:rsidR="00990B14" w:rsidRDefault="00000000">
            <w:pPr>
              <w:spacing w:before="20" w:after="20"/>
              <w:jc w:val="both"/>
            </w:pPr>
            <w:r>
              <w:rPr>
                <w:sz w:val="18"/>
                <w:szCs w:val="18"/>
              </w:rPr>
              <w:t>Consistencia</w:t>
            </w:r>
          </w:p>
        </w:tc>
        <w:tc>
          <w:tcPr>
            <w:tcW w:w="1866" w:type="dxa"/>
            <w:shd w:val="clear" w:color="auto" w:fill="D9E2F3"/>
            <w:vAlign w:val="center"/>
          </w:tcPr>
          <w:p w14:paraId="5436EDB3" w14:textId="77777777" w:rsidR="00990B14" w:rsidRDefault="00000000">
            <w:pPr>
              <w:spacing w:before="20" w:after="20"/>
              <w:jc w:val="both"/>
            </w:pPr>
            <w:r>
              <w:rPr>
                <w:sz w:val="18"/>
                <w:szCs w:val="18"/>
              </w:rPr>
              <w:t>No coincide con el plan propuesto.</w:t>
            </w:r>
          </w:p>
        </w:tc>
        <w:tc>
          <w:tcPr>
            <w:tcW w:w="1910" w:type="dxa"/>
            <w:shd w:val="clear" w:color="auto" w:fill="D9E2F3"/>
            <w:vAlign w:val="center"/>
          </w:tcPr>
          <w:p w14:paraId="5A49DED1" w14:textId="77777777" w:rsidR="00990B14" w:rsidRDefault="00000000">
            <w:pPr>
              <w:spacing w:before="20" w:after="20"/>
              <w:jc w:val="both"/>
            </w:pPr>
            <w:r>
              <w:rPr>
                <w:sz w:val="18"/>
                <w:szCs w:val="18"/>
              </w:rPr>
              <w:t>Coincide con el plan propuesto.</w:t>
            </w:r>
          </w:p>
        </w:tc>
        <w:tc>
          <w:tcPr>
            <w:tcW w:w="1874" w:type="dxa"/>
            <w:shd w:val="clear" w:color="auto" w:fill="D9E2F3"/>
            <w:vAlign w:val="center"/>
          </w:tcPr>
          <w:p w14:paraId="5EF5DC41" w14:textId="77777777" w:rsidR="00990B14" w:rsidRDefault="00000000">
            <w:pPr>
              <w:spacing w:before="20" w:after="20"/>
              <w:jc w:val="both"/>
            </w:pPr>
            <w:r>
              <w:rPr>
                <w:sz w:val="18"/>
                <w:szCs w:val="18"/>
              </w:rPr>
              <w:t>Verifica la configuración con un asiento de prueba.</w:t>
            </w:r>
          </w:p>
        </w:tc>
      </w:tr>
      <w:tr w:rsidR="00990B14" w14:paraId="52686FB8" w14:textId="77777777">
        <w:trPr>
          <w:cantSplit/>
          <w:jc w:val="center"/>
        </w:trPr>
        <w:tc>
          <w:tcPr>
            <w:tcW w:w="1885" w:type="dxa"/>
            <w:vMerge/>
            <w:shd w:val="clear" w:color="auto" w:fill="4472C4"/>
            <w:vAlign w:val="center"/>
          </w:tcPr>
          <w:p w14:paraId="0471DC76" w14:textId="77777777" w:rsidR="00990B14" w:rsidRDefault="00990B14">
            <w:pPr>
              <w:spacing w:before="20" w:after="20"/>
            </w:pPr>
          </w:p>
        </w:tc>
        <w:tc>
          <w:tcPr>
            <w:tcW w:w="1870" w:type="dxa"/>
            <w:shd w:val="clear" w:color="auto" w:fill="D9E2F3"/>
            <w:vAlign w:val="center"/>
          </w:tcPr>
          <w:p w14:paraId="1F2350D1" w14:textId="77777777" w:rsidR="00990B14" w:rsidRDefault="00000000">
            <w:pPr>
              <w:spacing w:before="20" w:after="20"/>
              <w:jc w:val="both"/>
            </w:pPr>
            <w:r>
              <w:rPr>
                <w:sz w:val="18"/>
                <w:szCs w:val="18"/>
              </w:rPr>
              <w:t>Reporte</w:t>
            </w:r>
          </w:p>
        </w:tc>
        <w:tc>
          <w:tcPr>
            <w:tcW w:w="1866" w:type="dxa"/>
            <w:shd w:val="clear" w:color="auto" w:fill="D9E2F3"/>
            <w:vAlign w:val="center"/>
          </w:tcPr>
          <w:p w14:paraId="28E03360" w14:textId="77777777" w:rsidR="00990B14" w:rsidRDefault="00000000">
            <w:pPr>
              <w:spacing w:before="20" w:after="20"/>
              <w:jc w:val="both"/>
            </w:pPr>
            <w:r>
              <w:rPr>
                <w:sz w:val="18"/>
                <w:szCs w:val="18"/>
              </w:rPr>
              <w:t>El reporte es incompleto.</w:t>
            </w:r>
          </w:p>
        </w:tc>
        <w:tc>
          <w:tcPr>
            <w:tcW w:w="1910" w:type="dxa"/>
            <w:shd w:val="clear" w:color="auto" w:fill="D9E2F3"/>
            <w:vAlign w:val="center"/>
          </w:tcPr>
          <w:p w14:paraId="3C1FAE5C" w14:textId="77777777" w:rsidR="00990B14" w:rsidRDefault="00000000">
            <w:pPr>
              <w:spacing w:before="20" w:after="20"/>
              <w:jc w:val="both"/>
            </w:pPr>
            <w:r>
              <w:rPr>
                <w:sz w:val="18"/>
                <w:szCs w:val="18"/>
              </w:rPr>
              <w:t>El reporte es completo.</w:t>
            </w:r>
          </w:p>
        </w:tc>
        <w:tc>
          <w:tcPr>
            <w:tcW w:w="1874" w:type="dxa"/>
            <w:shd w:val="clear" w:color="auto" w:fill="D9E2F3"/>
            <w:vAlign w:val="center"/>
          </w:tcPr>
          <w:p w14:paraId="2670DA03" w14:textId="77777777" w:rsidR="00990B14" w:rsidRDefault="00000000">
            <w:pPr>
              <w:spacing w:before="20" w:after="20"/>
              <w:jc w:val="both"/>
            </w:pPr>
            <w:r>
              <w:rPr>
                <w:sz w:val="18"/>
                <w:szCs w:val="18"/>
              </w:rPr>
              <w:t>El reporte documenta los parámetros usados.</w:t>
            </w:r>
          </w:p>
        </w:tc>
      </w:tr>
      <w:tr w:rsidR="00990B14" w14:paraId="3E080D16" w14:textId="77777777">
        <w:trPr>
          <w:cantSplit/>
          <w:jc w:val="center"/>
        </w:trPr>
        <w:tc>
          <w:tcPr>
            <w:tcW w:w="7531" w:type="dxa"/>
            <w:gridSpan w:val="4"/>
            <w:shd w:val="clear" w:color="auto" w:fill="4472C4"/>
            <w:vAlign w:val="center"/>
          </w:tcPr>
          <w:p w14:paraId="0B92BC64" w14:textId="77777777" w:rsidR="00990B14" w:rsidRDefault="00000000">
            <w:pPr>
              <w:keepNext/>
              <w:spacing w:before="20" w:after="20"/>
              <w:jc w:val="center"/>
            </w:pPr>
            <w:r>
              <w:rPr>
                <w:b/>
                <w:bCs/>
                <w:i/>
                <w:iCs/>
                <w:color w:val="FFFFFF"/>
                <w:sz w:val="18"/>
                <w:szCs w:val="18"/>
              </w:rPr>
              <w:t>TOTAL</w:t>
            </w:r>
          </w:p>
        </w:tc>
        <w:tc>
          <w:tcPr>
            <w:tcW w:w="1874" w:type="dxa"/>
            <w:shd w:val="clear" w:color="auto" w:fill="4472C4"/>
            <w:vAlign w:val="center"/>
          </w:tcPr>
          <w:p w14:paraId="1751F3F0" w14:textId="77777777" w:rsidR="00990B14" w:rsidRDefault="00000000">
            <w:pPr>
              <w:keepNext/>
              <w:spacing w:before="20" w:after="20"/>
              <w:jc w:val="center"/>
            </w:pPr>
            <w:r>
              <w:rPr>
                <w:b/>
                <w:bCs/>
                <w:i/>
                <w:iCs/>
                <w:color w:val="FFFFFF"/>
                <w:sz w:val="18"/>
                <w:szCs w:val="18"/>
              </w:rPr>
              <w:t>100%</w:t>
            </w:r>
          </w:p>
        </w:tc>
      </w:tr>
    </w:tbl>
    <w:p w14:paraId="55EAE918"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9405"/>
      </w:tblGrid>
      <w:tr w:rsidR="00990B14" w14:paraId="79C5970C" w14:textId="77777777">
        <w:trPr>
          <w:jc w:val="center"/>
        </w:trPr>
        <w:tc>
          <w:tcPr>
            <w:tcW w:w="9405" w:type="dxa"/>
            <w:shd w:val="clear" w:color="auto" w:fill="D9E2F3"/>
          </w:tcPr>
          <w:p w14:paraId="2FFD3156" w14:textId="77777777" w:rsidR="00990B14" w:rsidRDefault="00000000">
            <w:pPr>
              <w:spacing w:before="40" w:after="40"/>
              <w:jc w:val="both"/>
            </w:pPr>
            <w:r>
              <w:rPr>
                <w:b/>
                <w:bCs/>
                <w:i/>
                <w:iCs/>
                <w:sz w:val="18"/>
                <w:szCs w:val="18"/>
              </w:rPr>
              <w:lastRenderedPageBreak/>
              <w:t>Bibliografía básica:</w:t>
            </w:r>
          </w:p>
          <w:p w14:paraId="1F5A6E23" w14:textId="77777777" w:rsidR="00990B14" w:rsidRDefault="00000000">
            <w:pPr>
              <w:numPr>
                <w:ilvl w:val="0"/>
                <w:numId w:val="140"/>
              </w:numPr>
              <w:spacing w:after="20"/>
              <w:jc w:val="both"/>
            </w:pPr>
            <w:r>
              <w:rPr>
                <w:sz w:val="18"/>
                <w:szCs w:val="18"/>
              </w:rPr>
              <w:t>Código de Comercio, Decreto Ley N.º 14379.</w:t>
            </w:r>
          </w:p>
          <w:p w14:paraId="6B3FE989" w14:textId="77777777" w:rsidR="00990B14" w:rsidRDefault="00000000">
            <w:pPr>
              <w:numPr>
                <w:ilvl w:val="0"/>
                <w:numId w:val="140"/>
              </w:numPr>
              <w:spacing w:after="20"/>
              <w:jc w:val="both"/>
            </w:pPr>
            <w:r>
              <w:rPr>
                <w:sz w:val="18"/>
                <w:szCs w:val="18"/>
              </w:rPr>
              <w:t>Código Tributario Boliviano, Ley N.º 2492.</w:t>
            </w:r>
          </w:p>
          <w:p w14:paraId="0DEF2F26" w14:textId="77777777" w:rsidR="00990B14" w:rsidRDefault="00000000">
            <w:pPr>
              <w:numPr>
                <w:ilvl w:val="0"/>
                <w:numId w:val="140"/>
              </w:numPr>
              <w:spacing w:after="20"/>
              <w:jc w:val="both"/>
            </w:pPr>
            <w:r>
              <w:rPr>
                <w:sz w:val="18"/>
                <w:szCs w:val="18"/>
              </w:rPr>
              <w:t xml:space="preserve">Colegio de Auditores o Contadores Públicos de Bolivia, CAUB – Consejo Técnico Nacional de Auditoría y Contabilidad, CTNAC (2023). </w:t>
            </w:r>
            <w:r>
              <w:rPr>
                <w:i/>
                <w:iCs/>
                <w:sz w:val="18"/>
                <w:szCs w:val="18"/>
              </w:rPr>
              <w:t>Compendio de Normas de Contabilidad y Auditoría</w:t>
            </w:r>
            <w:r>
              <w:rPr>
                <w:sz w:val="18"/>
                <w:szCs w:val="18"/>
              </w:rPr>
              <w:t>. Santa Cruz – Bolivia.</w:t>
            </w:r>
          </w:p>
          <w:p w14:paraId="2BF07A61" w14:textId="77777777" w:rsidR="00990B14" w:rsidRDefault="00000000">
            <w:pPr>
              <w:numPr>
                <w:ilvl w:val="0"/>
                <w:numId w:val="140"/>
              </w:numPr>
              <w:spacing w:after="20"/>
              <w:jc w:val="both"/>
            </w:pPr>
            <w:r>
              <w:rPr>
                <w:sz w:val="18"/>
                <w:szCs w:val="18"/>
              </w:rPr>
              <w:t xml:space="preserve">Consejo de Normas Internacionales de Ética para Contadores, IESBA (2023). </w:t>
            </w:r>
            <w:r>
              <w:rPr>
                <w:i/>
                <w:iCs/>
                <w:sz w:val="18"/>
                <w:szCs w:val="18"/>
              </w:rPr>
              <w:t>Manual del Código Internacional de Ética para Contadores Profesionales</w:t>
            </w:r>
            <w:r>
              <w:rPr>
                <w:sz w:val="18"/>
                <w:szCs w:val="18"/>
              </w:rPr>
              <w:t>. Nueva York: Federación Internacional de Contadores, IFAC.</w:t>
            </w:r>
          </w:p>
          <w:p w14:paraId="4393B035" w14:textId="77777777" w:rsidR="00990B14" w:rsidRDefault="00000000">
            <w:pPr>
              <w:numPr>
                <w:ilvl w:val="0"/>
                <w:numId w:val="140"/>
              </w:numPr>
              <w:spacing w:after="20"/>
              <w:jc w:val="both"/>
            </w:pPr>
            <w:r>
              <w:rPr>
                <w:sz w:val="18"/>
                <w:szCs w:val="18"/>
              </w:rPr>
              <w:t xml:space="preserve">Fundación IFRS – Consejo de Normas Internacionales de Contabilidad, IASB (2023). </w:t>
            </w:r>
            <w:r>
              <w:rPr>
                <w:i/>
                <w:iCs/>
                <w:sz w:val="18"/>
                <w:szCs w:val="18"/>
              </w:rPr>
              <w:t>Normas Internacionales de Información Financiera 2023</w:t>
            </w:r>
            <w:r>
              <w:rPr>
                <w:sz w:val="18"/>
                <w:szCs w:val="18"/>
              </w:rPr>
              <w:t>. Londres.</w:t>
            </w:r>
          </w:p>
          <w:p w14:paraId="13DBBA59" w14:textId="77777777" w:rsidR="00990B14" w:rsidRDefault="00000000">
            <w:pPr>
              <w:numPr>
                <w:ilvl w:val="0"/>
                <w:numId w:val="140"/>
              </w:numPr>
              <w:spacing w:after="20"/>
              <w:jc w:val="both"/>
            </w:pPr>
            <w:r>
              <w:rPr>
                <w:sz w:val="18"/>
                <w:szCs w:val="18"/>
              </w:rPr>
              <w:t xml:space="preserve">Fundación IFRS – Consejo de Normas Internacionales de Contabilidad, IASB (2025). </w:t>
            </w:r>
            <w:r>
              <w:rPr>
                <w:i/>
                <w:iCs/>
                <w:sz w:val="18"/>
                <w:szCs w:val="18"/>
              </w:rPr>
              <w:t>Norma NIIF para las PYMES, tercera edición</w:t>
            </w:r>
            <w:r>
              <w:rPr>
                <w:sz w:val="18"/>
                <w:szCs w:val="18"/>
              </w:rPr>
              <w:t>. Londres.</w:t>
            </w:r>
          </w:p>
          <w:p w14:paraId="6F889AAE" w14:textId="77777777" w:rsidR="00990B14" w:rsidRPr="007814A4" w:rsidRDefault="00000000">
            <w:pPr>
              <w:numPr>
                <w:ilvl w:val="0"/>
                <w:numId w:val="140"/>
              </w:numPr>
              <w:spacing w:after="20"/>
              <w:jc w:val="both"/>
            </w:pPr>
            <w:r>
              <w:rPr>
                <w:sz w:val="18"/>
                <w:szCs w:val="18"/>
              </w:rPr>
              <w:t>Ley N.º 1606.</w:t>
            </w:r>
          </w:p>
          <w:p w14:paraId="66A307CF" w14:textId="77777777" w:rsidR="007814A4" w:rsidRPr="007814A4" w:rsidRDefault="007814A4">
            <w:pPr>
              <w:numPr>
                <w:ilvl w:val="0"/>
                <w:numId w:val="140"/>
              </w:numPr>
              <w:spacing w:after="20"/>
              <w:jc w:val="both"/>
              <w:rPr>
                <w:sz w:val="18"/>
                <w:szCs w:val="18"/>
              </w:rPr>
            </w:pPr>
            <w:r>
              <w:rPr>
                <w:sz w:val="18"/>
                <w:szCs w:val="18"/>
              </w:rPr>
              <w:t xml:space="preserve">Mendoza, R. (2022). </w:t>
            </w:r>
            <w:r>
              <w:rPr>
                <w:i/>
                <w:iCs/>
                <w:sz w:val="18"/>
                <w:szCs w:val="18"/>
              </w:rPr>
              <w:t>Gabinete de contabilidad general: desarrollo integral del proceso contable</w:t>
            </w:r>
            <w:r>
              <w:rPr>
                <w:sz w:val="18"/>
                <w:szCs w:val="18"/>
              </w:rPr>
              <w:t>.</w:t>
            </w:r>
          </w:p>
          <w:p w14:paraId="176F811E" w14:textId="77777777" w:rsidR="00990B14" w:rsidRDefault="00000000">
            <w:pPr>
              <w:numPr>
                <w:ilvl w:val="0"/>
                <w:numId w:val="140"/>
              </w:numPr>
              <w:spacing w:after="20"/>
              <w:jc w:val="both"/>
            </w:pPr>
            <w:r>
              <w:rPr>
                <w:sz w:val="18"/>
                <w:szCs w:val="18"/>
              </w:rPr>
              <w:t xml:space="preserve">Terán Gandarillas, Gonzalo. (2022). </w:t>
            </w:r>
            <w:r>
              <w:rPr>
                <w:i/>
                <w:iCs/>
                <w:sz w:val="18"/>
                <w:szCs w:val="18"/>
              </w:rPr>
              <w:t>Temas de Contabilidad Básica</w:t>
            </w:r>
            <w:r>
              <w:rPr>
                <w:sz w:val="18"/>
                <w:szCs w:val="18"/>
              </w:rPr>
              <w:t>. Cochabamba – Bolivia: Ediciones Educación y Cultura.</w:t>
            </w:r>
          </w:p>
          <w:p w14:paraId="2BB92B79" w14:textId="77777777" w:rsidR="00990B14" w:rsidRDefault="00000000">
            <w:pPr>
              <w:numPr>
                <w:ilvl w:val="0"/>
                <w:numId w:val="140"/>
              </w:numPr>
              <w:spacing w:after="20"/>
              <w:jc w:val="both"/>
            </w:pPr>
            <w:r>
              <w:rPr>
                <w:sz w:val="18"/>
                <w:szCs w:val="18"/>
              </w:rPr>
              <w:t>Texto ordenado vigente de la Ley N.º 843 y sus Decretos Supremos reglamentarios.</w:t>
            </w:r>
          </w:p>
        </w:tc>
      </w:tr>
      <w:tr w:rsidR="00990B14" w14:paraId="2005B2CC" w14:textId="77777777">
        <w:trPr>
          <w:jc w:val="center"/>
        </w:trPr>
        <w:tc>
          <w:tcPr>
            <w:tcW w:w="9405" w:type="dxa"/>
            <w:shd w:val="clear" w:color="auto" w:fill="D9E2F3"/>
          </w:tcPr>
          <w:p w14:paraId="2C409C40" w14:textId="77777777" w:rsidR="00990B14" w:rsidRDefault="00000000">
            <w:pPr>
              <w:spacing w:before="40" w:after="40"/>
              <w:jc w:val="both"/>
            </w:pPr>
            <w:r>
              <w:rPr>
                <w:b/>
                <w:bCs/>
                <w:i/>
                <w:iCs/>
                <w:sz w:val="18"/>
                <w:szCs w:val="18"/>
              </w:rPr>
              <w:t>Bibliografía complementaria:</w:t>
            </w:r>
          </w:p>
          <w:p w14:paraId="45B70483" w14:textId="77777777" w:rsidR="00990B14" w:rsidRDefault="00000000">
            <w:pPr>
              <w:numPr>
                <w:ilvl w:val="0"/>
                <w:numId w:val="140"/>
              </w:numPr>
              <w:spacing w:after="20"/>
              <w:jc w:val="both"/>
            </w:pPr>
            <w:r>
              <w:rPr>
                <w:sz w:val="18"/>
                <w:szCs w:val="18"/>
              </w:rPr>
              <w:t xml:space="preserve">Horngren, C. (2012). </w:t>
            </w:r>
            <w:r>
              <w:rPr>
                <w:i/>
                <w:iCs/>
                <w:sz w:val="18"/>
                <w:szCs w:val="18"/>
              </w:rPr>
              <w:t>Contabilidad</w:t>
            </w:r>
            <w:r>
              <w:rPr>
                <w:sz w:val="18"/>
                <w:szCs w:val="18"/>
              </w:rPr>
              <w:t>. McGraw-Hill.</w:t>
            </w:r>
          </w:p>
          <w:p w14:paraId="1934F773" w14:textId="77777777" w:rsidR="00990B14" w:rsidRDefault="00000000">
            <w:pPr>
              <w:numPr>
                <w:ilvl w:val="0"/>
                <w:numId w:val="140"/>
              </w:numPr>
              <w:spacing w:after="20"/>
              <w:jc w:val="both"/>
            </w:pPr>
            <w:r>
              <w:rPr>
                <w:sz w:val="18"/>
                <w:szCs w:val="18"/>
              </w:rPr>
              <w:t xml:space="preserve">Warren, C., Reeve, J. y Duchac, J. (2016). </w:t>
            </w:r>
            <w:r>
              <w:rPr>
                <w:i/>
                <w:iCs/>
                <w:sz w:val="18"/>
                <w:szCs w:val="18"/>
              </w:rPr>
              <w:t>Contabilidad financiera</w:t>
            </w:r>
            <w:r>
              <w:rPr>
                <w:sz w:val="18"/>
                <w:szCs w:val="18"/>
              </w:rPr>
              <w:t>. Cengage Learning.</w:t>
            </w:r>
          </w:p>
        </w:tc>
      </w:tr>
    </w:tbl>
    <w:p w14:paraId="15A9028B" w14:textId="77777777" w:rsidR="00990B14" w:rsidRDefault="00000000">
      <w:pPr>
        <w:pStyle w:val="TituloPlanAsignatura"/>
        <w:keepNext/>
        <w:pageBreakBefore/>
        <w:spacing w:after="120"/>
        <w:jc w:val="center"/>
        <w:outlineLvl w:val="2"/>
      </w:pPr>
      <w:bookmarkStart w:id="147" w:name="_Toc000000088"/>
      <w:r>
        <w:rPr>
          <w:b/>
          <w:bCs/>
          <w:sz w:val="24"/>
          <w:szCs w:val="24"/>
        </w:rPr>
        <w:lastRenderedPageBreak/>
        <w:t>CPA-102 Tecnologías de Información y Herramientas Digitales</w:t>
      </w:r>
      <w:bookmarkEnd w:id="147"/>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249"/>
        <w:gridCol w:w="1100"/>
        <w:gridCol w:w="149"/>
        <w:gridCol w:w="635"/>
        <w:gridCol w:w="615"/>
        <w:gridCol w:w="952"/>
        <w:gridCol w:w="298"/>
        <w:gridCol w:w="1250"/>
        <w:gridCol w:w="20"/>
        <w:gridCol w:w="385"/>
        <w:gridCol w:w="398"/>
        <w:gridCol w:w="447"/>
        <w:gridCol w:w="1907"/>
      </w:tblGrid>
      <w:tr w:rsidR="00990B14" w14:paraId="75B80A33" w14:textId="77777777">
        <w:trPr>
          <w:cantSplit/>
          <w:jc w:val="center"/>
        </w:trPr>
        <w:tc>
          <w:tcPr>
            <w:tcW w:w="2349" w:type="dxa"/>
            <w:gridSpan w:val="2"/>
            <w:shd w:val="clear" w:color="auto" w:fill="4472C4"/>
            <w:vAlign w:val="center"/>
          </w:tcPr>
          <w:p w14:paraId="0FD35E73" w14:textId="77777777" w:rsidR="00990B14" w:rsidRDefault="00000000">
            <w:pPr>
              <w:keepNext/>
              <w:spacing w:before="20" w:after="20"/>
              <w:jc w:val="center"/>
            </w:pPr>
            <w:r>
              <w:rPr>
                <w:b/>
                <w:bCs/>
                <w:i/>
                <w:iCs/>
                <w:color w:val="FFFFFF"/>
                <w:sz w:val="18"/>
                <w:szCs w:val="18"/>
              </w:rPr>
              <w:t>Asignatura</w:t>
            </w:r>
          </w:p>
        </w:tc>
        <w:tc>
          <w:tcPr>
            <w:tcW w:w="2351" w:type="dxa"/>
            <w:gridSpan w:val="4"/>
            <w:shd w:val="clear" w:color="auto" w:fill="4472C4"/>
            <w:vAlign w:val="center"/>
          </w:tcPr>
          <w:p w14:paraId="3ADB0DFC" w14:textId="77777777" w:rsidR="00990B14" w:rsidRDefault="00000000">
            <w:pPr>
              <w:keepNext/>
              <w:spacing w:before="20" w:after="20"/>
              <w:jc w:val="center"/>
            </w:pPr>
            <w:r>
              <w:rPr>
                <w:b/>
                <w:bCs/>
                <w:i/>
                <w:iCs/>
                <w:color w:val="FFFFFF"/>
                <w:sz w:val="18"/>
                <w:szCs w:val="18"/>
              </w:rPr>
              <w:t>Sigla</w:t>
            </w:r>
          </w:p>
        </w:tc>
        <w:tc>
          <w:tcPr>
            <w:tcW w:w="2351" w:type="dxa"/>
            <w:gridSpan w:val="5"/>
            <w:shd w:val="clear" w:color="auto" w:fill="4472C4"/>
            <w:vAlign w:val="center"/>
          </w:tcPr>
          <w:p w14:paraId="00B45CD5" w14:textId="77777777" w:rsidR="00990B14" w:rsidRDefault="00000000">
            <w:pPr>
              <w:keepNext/>
              <w:spacing w:before="20" w:after="20"/>
              <w:jc w:val="center"/>
            </w:pPr>
            <w:r>
              <w:rPr>
                <w:b/>
                <w:bCs/>
                <w:i/>
                <w:iCs/>
                <w:color w:val="FFFFFF"/>
                <w:sz w:val="18"/>
                <w:szCs w:val="18"/>
              </w:rPr>
              <w:t>Nivel/Área</w:t>
            </w:r>
          </w:p>
        </w:tc>
        <w:tc>
          <w:tcPr>
            <w:tcW w:w="2354" w:type="dxa"/>
            <w:gridSpan w:val="2"/>
            <w:shd w:val="clear" w:color="auto" w:fill="4472C4"/>
            <w:vAlign w:val="center"/>
          </w:tcPr>
          <w:p w14:paraId="225A1A84" w14:textId="77777777" w:rsidR="00990B14" w:rsidRDefault="00000000">
            <w:pPr>
              <w:keepNext/>
              <w:spacing w:before="20" w:after="20"/>
              <w:jc w:val="center"/>
            </w:pPr>
            <w:r>
              <w:rPr>
                <w:b/>
                <w:bCs/>
                <w:i/>
                <w:iCs/>
                <w:color w:val="FFFFFF"/>
                <w:sz w:val="18"/>
                <w:szCs w:val="18"/>
              </w:rPr>
              <w:t>Prerrequisito</w:t>
            </w:r>
          </w:p>
        </w:tc>
      </w:tr>
      <w:tr w:rsidR="00990B14" w14:paraId="0E3F3329" w14:textId="77777777">
        <w:trPr>
          <w:cantSplit/>
          <w:jc w:val="center"/>
        </w:trPr>
        <w:tc>
          <w:tcPr>
            <w:tcW w:w="2349" w:type="dxa"/>
            <w:gridSpan w:val="2"/>
            <w:shd w:val="clear" w:color="auto" w:fill="D9E2F3"/>
            <w:vAlign w:val="center"/>
          </w:tcPr>
          <w:p w14:paraId="306C4079" w14:textId="77777777" w:rsidR="00990B14" w:rsidRDefault="00000000">
            <w:pPr>
              <w:spacing w:before="20" w:after="20"/>
              <w:jc w:val="center"/>
            </w:pPr>
            <w:r>
              <w:rPr>
                <w:b/>
                <w:bCs/>
                <w:i/>
                <w:iCs/>
                <w:sz w:val="18"/>
                <w:szCs w:val="18"/>
              </w:rPr>
              <w:t>Tecnologías de Información y Herramientas Digitales</w:t>
            </w:r>
          </w:p>
        </w:tc>
        <w:tc>
          <w:tcPr>
            <w:tcW w:w="2351" w:type="dxa"/>
            <w:gridSpan w:val="4"/>
            <w:shd w:val="clear" w:color="auto" w:fill="D9E2F3"/>
            <w:vAlign w:val="center"/>
          </w:tcPr>
          <w:p w14:paraId="43F24071" w14:textId="77777777" w:rsidR="00990B14" w:rsidRDefault="00000000">
            <w:pPr>
              <w:spacing w:before="20" w:after="20"/>
              <w:jc w:val="center"/>
            </w:pPr>
            <w:r>
              <w:rPr>
                <w:b/>
                <w:bCs/>
                <w:i/>
                <w:iCs/>
                <w:sz w:val="18"/>
                <w:szCs w:val="18"/>
              </w:rPr>
              <w:t>CPA-102</w:t>
            </w:r>
          </w:p>
        </w:tc>
        <w:tc>
          <w:tcPr>
            <w:tcW w:w="2351" w:type="dxa"/>
            <w:gridSpan w:val="5"/>
            <w:shd w:val="clear" w:color="auto" w:fill="D9E2F3"/>
            <w:vAlign w:val="center"/>
          </w:tcPr>
          <w:p w14:paraId="3F9F0AC3" w14:textId="77777777" w:rsidR="00990B14" w:rsidRDefault="00000000">
            <w:pPr>
              <w:spacing w:before="20" w:after="20"/>
              <w:jc w:val="center"/>
            </w:pPr>
            <w:r>
              <w:rPr>
                <w:b/>
                <w:bCs/>
                <w:i/>
                <w:iCs/>
                <w:sz w:val="18"/>
                <w:szCs w:val="18"/>
              </w:rPr>
              <w:t>Información Financiera</w:t>
            </w:r>
          </w:p>
        </w:tc>
        <w:tc>
          <w:tcPr>
            <w:tcW w:w="2354" w:type="dxa"/>
            <w:gridSpan w:val="2"/>
            <w:shd w:val="clear" w:color="auto" w:fill="D9E2F3"/>
            <w:vAlign w:val="center"/>
          </w:tcPr>
          <w:p w14:paraId="536CC144" w14:textId="77777777" w:rsidR="00990B14" w:rsidRDefault="00000000">
            <w:pPr>
              <w:spacing w:before="20" w:after="20"/>
              <w:jc w:val="center"/>
            </w:pPr>
            <w:r>
              <w:rPr>
                <w:b/>
                <w:bCs/>
                <w:i/>
                <w:iCs/>
                <w:sz w:val="18"/>
                <w:szCs w:val="18"/>
              </w:rPr>
              <w:t>AE, CPF o PSA</w:t>
            </w:r>
          </w:p>
        </w:tc>
      </w:tr>
      <w:tr w:rsidR="00990B14" w14:paraId="0F1328BF" w14:textId="77777777">
        <w:trPr>
          <w:cantSplit/>
          <w:jc w:val="center"/>
        </w:trPr>
        <w:tc>
          <w:tcPr>
            <w:tcW w:w="7498" w:type="dxa"/>
            <w:gridSpan w:val="12"/>
            <w:shd w:val="clear" w:color="auto" w:fill="4472C4"/>
            <w:vAlign w:val="center"/>
          </w:tcPr>
          <w:p w14:paraId="299A5D20" w14:textId="77777777" w:rsidR="00990B14" w:rsidRDefault="00000000">
            <w:pPr>
              <w:keepNext/>
              <w:spacing w:before="20" w:after="20"/>
              <w:jc w:val="center"/>
            </w:pPr>
            <w:r>
              <w:rPr>
                <w:b/>
                <w:bCs/>
                <w:i/>
                <w:iCs/>
                <w:color w:val="FFFFFF"/>
                <w:sz w:val="18"/>
                <w:szCs w:val="18"/>
              </w:rPr>
              <w:t>Carga Horaria</w:t>
            </w:r>
          </w:p>
        </w:tc>
        <w:tc>
          <w:tcPr>
            <w:tcW w:w="1907" w:type="dxa"/>
            <w:shd w:val="clear" w:color="auto" w:fill="4472C4"/>
            <w:vAlign w:val="center"/>
          </w:tcPr>
          <w:p w14:paraId="21F35511" w14:textId="77777777" w:rsidR="00990B14" w:rsidRDefault="00000000">
            <w:pPr>
              <w:keepNext/>
              <w:spacing w:before="20" w:after="20"/>
              <w:jc w:val="center"/>
            </w:pPr>
            <w:r>
              <w:rPr>
                <w:b/>
                <w:bCs/>
                <w:i/>
                <w:iCs/>
                <w:color w:val="FFFFFF"/>
                <w:sz w:val="18"/>
                <w:szCs w:val="18"/>
              </w:rPr>
              <w:t>Créditos</w:t>
            </w:r>
          </w:p>
        </w:tc>
      </w:tr>
      <w:tr w:rsidR="00990B14" w14:paraId="35E921C4" w14:textId="77777777">
        <w:trPr>
          <w:cantSplit/>
          <w:jc w:val="center"/>
        </w:trPr>
        <w:tc>
          <w:tcPr>
            <w:tcW w:w="1249" w:type="dxa"/>
            <w:shd w:val="clear" w:color="auto" w:fill="4472C4"/>
            <w:vAlign w:val="center"/>
          </w:tcPr>
          <w:p w14:paraId="6D0EEA5F" w14:textId="77777777" w:rsidR="00990B14" w:rsidRDefault="00000000">
            <w:pPr>
              <w:keepNext/>
              <w:spacing w:before="20" w:after="20"/>
              <w:jc w:val="center"/>
            </w:pPr>
            <w:r>
              <w:rPr>
                <w:b/>
                <w:bCs/>
                <w:i/>
                <w:iCs/>
                <w:color w:val="FFFFFF"/>
                <w:sz w:val="18"/>
                <w:szCs w:val="18"/>
              </w:rPr>
              <w:t>HP</w:t>
            </w:r>
          </w:p>
        </w:tc>
        <w:tc>
          <w:tcPr>
            <w:tcW w:w="1249" w:type="dxa"/>
            <w:gridSpan w:val="2"/>
            <w:shd w:val="clear" w:color="auto" w:fill="4472C4"/>
            <w:vAlign w:val="center"/>
          </w:tcPr>
          <w:p w14:paraId="7042272F" w14:textId="77777777" w:rsidR="00990B14" w:rsidRDefault="00000000">
            <w:pPr>
              <w:keepNext/>
              <w:spacing w:before="20" w:after="20"/>
              <w:jc w:val="center"/>
            </w:pPr>
            <w:r>
              <w:rPr>
                <w:b/>
                <w:bCs/>
                <w:i/>
                <w:iCs/>
                <w:color w:val="FFFFFF"/>
                <w:sz w:val="18"/>
                <w:szCs w:val="18"/>
              </w:rPr>
              <w:t>HAA</w:t>
            </w:r>
          </w:p>
        </w:tc>
        <w:tc>
          <w:tcPr>
            <w:tcW w:w="1250" w:type="dxa"/>
            <w:gridSpan w:val="2"/>
            <w:shd w:val="clear" w:color="auto" w:fill="4472C4"/>
            <w:vAlign w:val="center"/>
          </w:tcPr>
          <w:p w14:paraId="34E62CD6" w14:textId="77777777" w:rsidR="00990B14" w:rsidRDefault="00000000">
            <w:pPr>
              <w:keepNext/>
              <w:spacing w:before="20" w:after="20"/>
              <w:jc w:val="center"/>
            </w:pPr>
            <w:r>
              <w:rPr>
                <w:b/>
                <w:bCs/>
                <w:i/>
                <w:iCs/>
                <w:color w:val="FFFFFF"/>
                <w:sz w:val="18"/>
                <w:szCs w:val="18"/>
              </w:rPr>
              <w:t>HTG</w:t>
            </w:r>
          </w:p>
        </w:tc>
        <w:tc>
          <w:tcPr>
            <w:tcW w:w="1250" w:type="dxa"/>
            <w:gridSpan w:val="2"/>
            <w:shd w:val="clear" w:color="auto" w:fill="4472C4"/>
            <w:vAlign w:val="center"/>
          </w:tcPr>
          <w:p w14:paraId="7D52E3D5" w14:textId="77777777" w:rsidR="00990B14" w:rsidRDefault="00000000">
            <w:pPr>
              <w:keepNext/>
              <w:spacing w:before="20" w:after="20"/>
              <w:jc w:val="center"/>
            </w:pPr>
            <w:r>
              <w:rPr>
                <w:b/>
                <w:bCs/>
                <w:i/>
                <w:iCs/>
                <w:color w:val="FFFFFF"/>
                <w:sz w:val="18"/>
                <w:szCs w:val="18"/>
              </w:rPr>
              <w:t>HIP</w:t>
            </w:r>
          </w:p>
        </w:tc>
        <w:tc>
          <w:tcPr>
            <w:tcW w:w="1250" w:type="dxa"/>
            <w:shd w:val="clear" w:color="auto" w:fill="4472C4"/>
            <w:vAlign w:val="center"/>
          </w:tcPr>
          <w:p w14:paraId="6FFB5744" w14:textId="77777777" w:rsidR="00990B14" w:rsidRDefault="00000000">
            <w:pPr>
              <w:keepNext/>
              <w:spacing w:before="20" w:after="20"/>
              <w:jc w:val="center"/>
            </w:pPr>
            <w:r>
              <w:rPr>
                <w:b/>
                <w:bCs/>
                <w:i/>
                <w:iCs/>
                <w:color w:val="FFFFFF"/>
                <w:sz w:val="18"/>
                <w:szCs w:val="18"/>
              </w:rPr>
              <w:t>HE</w:t>
            </w:r>
          </w:p>
        </w:tc>
        <w:tc>
          <w:tcPr>
            <w:tcW w:w="1250" w:type="dxa"/>
            <w:gridSpan w:val="4"/>
            <w:shd w:val="clear" w:color="auto" w:fill="4472C4"/>
            <w:vAlign w:val="center"/>
          </w:tcPr>
          <w:p w14:paraId="184FB355" w14:textId="77777777" w:rsidR="00990B14" w:rsidRDefault="00000000">
            <w:pPr>
              <w:keepNext/>
              <w:spacing w:before="20" w:after="20"/>
              <w:jc w:val="center"/>
            </w:pPr>
            <w:r>
              <w:rPr>
                <w:b/>
                <w:bCs/>
                <w:i/>
                <w:iCs/>
                <w:color w:val="FFFFFF"/>
                <w:sz w:val="18"/>
                <w:szCs w:val="18"/>
              </w:rPr>
              <w:t>TOTAL</w:t>
            </w:r>
          </w:p>
        </w:tc>
        <w:tc>
          <w:tcPr>
            <w:tcW w:w="1907" w:type="dxa"/>
            <w:vMerge w:val="restart"/>
            <w:shd w:val="clear" w:color="auto" w:fill="D9E2F3"/>
            <w:vAlign w:val="center"/>
          </w:tcPr>
          <w:p w14:paraId="449F7F72" w14:textId="77777777" w:rsidR="00990B14" w:rsidRDefault="00000000">
            <w:pPr>
              <w:spacing w:before="20" w:after="20"/>
              <w:jc w:val="center"/>
            </w:pPr>
            <w:r>
              <w:rPr>
                <w:sz w:val="18"/>
                <w:szCs w:val="18"/>
              </w:rPr>
              <w:t>5</w:t>
            </w:r>
          </w:p>
        </w:tc>
      </w:tr>
      <w:tr w:rsidR="00990B14" w14:paraId="67BCE774" w14:textId="77777777">
        <w:trPr>
          <w:cantSplit/>
          <w:jc w:val="center"/>
        </w:trPr>
        <w:tc>
          <w:tcPr>
            <w:tcW w:w="1249" w:type="dxa"/>
            <w:shd w:val="clear" w:color="auto" w:fill="D9E2F3"/>
            <w:vAlign w:val="center"/>
          </w:tcPr>
          <w:p w14:paraId="4BC11E84" w14:textId="77777777" w:rsidR="00990B14" w:rsidRDefault="00000000">
            <w:pPr>
              <w:spacing w:before="20" w:after="20"/>
              <w:jc w:val="center"/>
            </w:pPr>
            <w:r>
              <w:rPr>
                <w:sz w:val="18"/>
                <w:szCs w:val="18"/>
              </w:rPr>
              <w:t>80</w:t>
            </w:r>
          </w:p>
        </w:tc>
        <w:tc>
          <w:tcPr>
            <w:tcW w:w="1249" w:type="dxa"/>
            <w:gridSpan w:val="2"/>
            <w:shd w:val="clear" w:color="auto" w:fill="D9E2F3"/>
            <w:vAlign w:val="center"/>
          </w:tcPr>
          <w:p w14:paraId="4ABC7E47" w14:textId="77777777" w:rsidR="00990B14" w:rsidRDefault="00000000">
            <w:pPr>
              <w:spacing w:before="20" w:after="20"/>
              <w:jc w:val="center"/>
            </w:pPr>
            <w:r>
              <w:rPr>
                <w:sz w:val="18"/>
                <w:szCs w:val="18"/>
              </w:rPr>
              <w:t>18</w:t>
            </w:r>
          </w:p>
        </w:tc>
        <w:tc>
          <w:tcPr>
            <w:tcW w:w="1250" w:type="dxa"/>
            <w:gridSpan w:val="2"/>
            <w:shd w:val="clear" w:color="auto" w:fill="D9E2F3"/>
            <w:vAlign w:val="center"/>
          </w:tcPr>
          <w:p w14:paraId="3C4538D8" w14:textId="77777777" w:rsidR="00990B14" w:rsidRDefault="00000000">
            <w:pPr>
              <w:spacing w:before="20" w:after="20"/>
              <w:jc w:val="center"/>
            </w:pPr>
            <w:r>
              <w:rPr>
                <w:sz w:val="18"/>
                <w:szCs w:val="18"/>
              </w:rPr>
              <w:t>18</w:t>
            </w:r>
          </w:p>
        </w:tc>
        <w:tc>
          <w:tcPr>
            <w:tcW w:w="1250" w:type="dxa"/>
            <w:gridSpan w:val="2"/>
            <w:shd w:val="clear" w:color="auto" w:fill="D9E2F3"/>
            <w:vAlign w:val="center"/>
          </w:tcPr>
          <w:p w14:paraId="46A28225" w14:textId="77777777" w:rsidR="00990B14" w:rsidRDefault="00000000">
            <w:pPr>
              <w:spacing w:before="20" w:after="20"/>
              <w:jc w:val="center"/>
            </w:pPr>
            <w:r>
              <w:rPr>
                <w:sz w:val="18"/>
                <w:szCs w:val="18"/>
              </w:rPr>
              <w:t>17</w:t>
            </w:r>
          </w:p>
        </w:tc>
        <w:tc>
          <w:tcPr>
            <w:tcW w:w="1250" w:type="dxa"/>
            <w:shd w:val="clear" w:color="auto" w:fill="D9E2F3"/>
            <w:vAlign w:val="center"/>
          </w:tcPr>
          <w:p w14:paraId="6367B0D0" w14:textId="77777777" w:rsidR="00990B14" w:rsidRDefault="00000000">
            <w:pPr>
              <w:spacing w:before="20" w:after="20"/>
              <w:jc w:val="center"/>
            </w:pPr>
            <w:r>
              <w:rPr>
                <w:sz w:val="18"/>
                <w:szCs w:val="18"/>
              </w:rPr>
              <w:t>17</w:t>
            </w:r>
          </w:p>
        </w:tc>
        <w:tc>
          <w:tcPr>
            <w:tcW w:w="1250" w:type="dxa"/>
            <w:gridSpan w:val="4"/>
            <w:shd w:val="clear" w:color="auto" w:fill="D9E2F3"/>
            <w:vAlign w:val="center"/>
          </w:tcPr>
          <w:p w14:paraId="1BF70092" w14:textId="77777777" w:rsidR="00990B14" w:rsidRDefault="00000000">
            <w:pPr>
              <w:spacing w:before="20" w:after="20"/>
              <w:jc w:val="center"/>
            </w:pPr>
            <w:r>
              <w:rPr>
                <w:sz w:val="18"/>
                <w:szCs w:val="18"/>
              </w:rPr>
              <w:t>150</w:t>
            </w:r>
          </w:p>
        </w:tc>
        <w:tc>
          <w:tcPr>
            <w:tcW w:w="1907" w:type="dxa"/>
            <w:vMerge/>
            <w:shd w:val="clear" w:color="auto" w:fill="D9E2F3"/>
            <w:vAlign w:val="center"/>
          </w:tcPr>
          <w:p w14:paraId="6DDD8ED1" w14:textId="77777777" w:rsidR="00990B14" w:rsidRDefault="00990B14">
            <w:pPr>
              <w:spacing w:before="20" w:after="20"/>
            </w:pPr>
          </w:p>
        </w:tc>
      </w:tr>
      <w:tr w:rsidR="00990B14" w14:paraId="35B23283" w14:textId="77777777">
        <w:trPr>
          <w:cantSplit/>
          <w:jc w:val="center"/>
        </w:trPr>
        <w:tc>
          <w:tcPr>
            <w:tcW w:w="9405" w:type="dxa"/>
            <w:gridSpan w:val="13"/>
            <w:shd w:val="clear" w:color="auto" w:fill="4472C4"/>
            <w:vAlign w:val="center"/>
          </w:tcPr>
          <w:p w14:paraId="55082CF9" w14:textId="77777777" w:rsidR="00990B14" w:rsidRDefault="00000000">
            <w:pPr>
              <w:keepNext/>
              <w:spacing w:before="20" w:after="20"/>
              <w:jc w:val="center"/>
            </w:pPr>
            <w:r>
              <w:rPr>
                <w:b/>
                <w:bCs/>
                <w:i/>
                <w:iCs/>
                <w:color w:val="FFFFFF"/>
                <w:sz w:val="18"/>
                <w:szCs w:val="18"/>
              </w:rPr>
              <w:t>Unidad de Competencia</w:t>
            </w:r>
          </w:p>
        </w:tc>
      </w:tr>
      <w:tr w:rsidR="00990B14" w14:paraId="4A8426B9" w14:textId="77777777">
        <w:trPr>
          <w:cantSplit/>
          <w:jc w:val="center"/>
        </w:trPr>
        <w:tc>
          <w:tcPr>
            <w:tcW w:w="9405" w:type="dxa"/>
            <w:gridSpan w:val="13"/>
            <w:shd w:val="clear" w:color="auto" w:fill="D9E2F3"/>
            <w:vAlign w:val="center"/>
          </w:tcPr>
          <w:p w14:paraId="10488E34" w14:textId="77777777" w:rsidR="00990B14" w:rsidRDefault="00000000">
            <w:pPr>
              <w:spacing w:before="20" w:after="20"/>
              <w:jc w:val="both"/>
            </w:pPr>
            <w:r>
              <w:rPr>
                <w:sz w:val="18"/>
                <w:szCs w:val="18"/>
              </w:rPr>
              <w:t>Elabora información útil y oportuna de una entidad, basada en algoritmos con estructuras de control en la solución de problemas, con orden, precisión, confidencialidad y actitud investigativa, utilizando herramientas digitales y colaborativas, hojas de cálculo contable-financieras, tecnologías de la información y la inteligencia artificial generativa, automatizando procesos contables.</w:t>
            </w:r>
          </w:p>
        </w:tc>
      </w:tr>
      <w:tr w:rsidR="00990B14" w14:paraId="6C1747E3" w14:textId="77777777">
        <w:trPr>
          <w:cantSplit/>
          <w:jc w:val="center"/>
        </w:trPr>
        <w:tc>
          <w:tcPr>
            <w:tcW w:w="9405" w:type="dxa"/>
            <w:gridSpan w:val="13"/>
            <w:shd w:val="clear" w:color="auto" w:fill="D9E2F3"/>
            <w:vAlign w:val="center"/>
          </w:tcPr>
          <w:p w14:paraId="4ACE6C23" w14:textId="77777777" w:rsidR="00990B14" w:rsidRDefault="00000000">
            <w:pPr>
              <w:spacing w:before="20" w:after="20"/>
              <w:jc w:val="both"/>
            </w:pPr>
            <w:r>
              <w:rPr>
                <w:b/>
                <w:bCs/>
                <w:i/>
                <w:iCs/>
                <w:sz w:val="18"/>
                <w:szCs w:val="18"/>
              </w:rPr>
              <w:t xml:space="preserve">Elemento de competencia 1: </w:t>
            </w:r>
            <w:r>
              <w:rPr>
                <w:sz w:val="18"/>
                <w:szCs w:val="18"/>
              </w:rPr>
              <w:t>Diseña algoritmos con estructuras de control, aplicando los conceptos fundamentales de la informática y relacionando los sistemas de información con la gestión contable.</w:t>
            </w:r>
          </w:p>
        </w:tc>
      </w:tr>
      <w:tr w:rsidR="00990B14" w14:paraId="793DB528" w14:textId="77777777">
        <w:trPr>
          <w:cantSplit/>
          <w:jc w:val="center"/>
        </w:trPr>
        <w:tc>
          <w:tcPr>
            <w:tcW w:w="3133" w:type="dxa"/>
            <w:gridSpan w:val="4"/>
            <w:shd w:val="clear" w:color="auto" w:fill="4472C4"/>
            <w:vAlign w:val="center"/>
          </w:tcPr>
          <w:p w14:paraId="542DD31D"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7D08DEEA"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585CBFFA" w14:textId="77777777" w:rsidR="00990B14" w:rsidRDefault="00000000">
            <w:pPr>
              <w:keepNext/>
              <w:spacing w:before="20" w:after="20"/>
              <w:jc w:val="center"/>
            </w:pPr>
            <w:r>
              <w:rPr>
                <w:b/>
                <w:bCs/>
                <w:i/>
                <w:iCs/>
                <w:color w:val="FFFFFF"/>
                <w:sz w:val="18"/>
                <w:szCs w:val="18"/>
              </w:rPr>
              <w:t>Evidencias de producto</w:t>
            </w:r>
          </w:p>
        </w:tc>
      </w:tr>
      <w:tr w:rsidR="00990B14" w14:paraId="71BAA1D4" w14:textId="77777777">
        <w:trPr>
          <w:cantSplit/>
          <w:jc w:val="center"/>
        </w:trPr>
        <w:tc>
          <w:tcPr>
            <w:tcW w:w="3133" w:type="dxa"/>
            <w:gridSpan w:val="4"/>
            <w:vMerge w:val="restart"/>
            <w:shd w:val="clear" w:color="auto" w:fill="D9E2F3"/>
            <w:vAlign w:val="center"/>
          </w:tcPr>
          <w:p w14:paraId="4F5BA97B" w14:textId="77777777" w:rsidR="00990B14" w:rsidRDefault="00000000">
            <w:pPr>
              <w:spacing w:before="20" w:after="20"/>
              <w:jc w:val="both"/>
            </w:pPr>
            <w:r>
              <w:rPr>
                <w:sz w:val="18"/>
                <w:szCs w:val="18"/>
              </w:rPr>
              <w:t>1. Explica los conceptos fundamentales de la informática y la arquitectura básica de insumo-proceso-producto.</w:t>
            </w:r>
          </w:p>
        </w:tc>
        <w:tc>
          <w:tcPr>
            <w:tcW w:w="3135" w:type="dxa"/>
            <w:gridSpan w:val="5"/>
            <w:shd w:val="clear" w:color="auto" w:fill="D9E2F3"/>
            <w:vAlign w:val="center"/>
          </w:tcPr>
          <w:p w14:paraId="0A81A788" w14:textId="77777777" w:rsidR="00990B14" w:rsidRDefault="00000000">
            <w:pPr>
              <w:spacing w:before="20" w:after="20"/>
              <w:jc w:val="both"/>
            </w:pPr>
            <w:r>
              <w:rPr>
                <w:sz w:val="18"/>
                <w:szCs w:val="18"/>
              </w:rPr>
              <w:t>1.1 Expone ante el curso la importancia de la gestión de datos, información y procesos de negocio.</w:t>
            </w:r>
          </w:p>
        </w:tc>
        <w:tc>
          <w:tcPr>
            <w:tcW w:w="3137" w:type="dxa"/>
            <w:gridSpan w:val="4"/>
            <w:shd w:val="clear" w:color="auto" w:fill="D9E2F3"/>
            <w:vAlign w:val="center"/>
          </w:tcPr>
          <w:p w14:paraId="2B04C9B3" w14:textId="77777777" w:rsidR="00990B14" w:rsidRDefault="00000000">
            <w:pPr>
              <w:spacing w:before="20" w:after="20"/>
              <w:jc w:val="both"/>
            </w:pPr>
            <w:r>
              <w:rPr>
                <w:b/>
                <w:bCs/>
                <w:sz w:val="18"/>
                <w:szCs w:val="18"/>
              </w:rPr>
              <w:t xml:space="preserve">Producto 1: </w:t>
            </w:r>
            <w:r>
              <w:rPr>
                <w:sz w:val="18"/>
                <w:szCs w:val="18"/>
              </w:rPr>
              <w:t>Glosario de conceptos fundamentales de informática y sistemas de información.</w:t>
            </w:r>
          </w:p>
        </w:tc>
      </w:tr>
      <w:tr w:rsidR="00990B14" w14:paraId="079BCDFB" w14:textId="77777777">
        <w:trPr>
          <w:cantSplit/>
          <w:jc w:val="center"/>
        </w:trPr>
        <w:tc>
          <w:tcPr>
            <w:tcW w:w="3133" w:type="dxa"/>
            <w:gridSpan w:val="4"/>
            <w:vMerge/>
            <w:shd w:val="clear" w:color="auto" w:fill="D9E2F3"/>
            <w:vAlign w:val="center"/>
          </w:tcPr>
          <w:p w14:paraId="1FDF3F00" w14:textId="77777777" w:rsidR="00990B14" w:rsidRDefault="00990B14">
            <w:pPr>
              <w:spacing w:before="20" w:after="20"/>
            </w:pPr>
          </w:p>
        </w:tc>
        <w:tc>
          <w:tcPr>
            <w:tcW w:w="3135" w:type="dxa"/>
            <w:gridSpan w:val="5"/>
            <w:shd w:val="clear" w:color="auto" w:fill="D9E2F3"/>
            <w:vAlign w:val="center"/>
          </w:tcPr>
          <w:p w14:paraId="52809593" w14:textId="77777777" w:rsidR="00990B14" w:rsidRDefault="00000000">
            <w:pPr>
              <w:spacing w:before="20" w:after="20"/>
              <w:jc w:val="both"/>
            </w:pPr>
            <w:r>
              <w:rPr>
                <w:sz w:val="18"/>
                <w:szCs w:val="18"/>
              </w:rPr>
              <w:t>1.2 Identifica en el laboratorio de computación los componentes de hardware y software de un equipo.</w:t>
            </w:r>
          </w:p>
        </w:tc>
        <w:tc>
          <w:tcPr>
            <w:tcW w:w="3137" w:type="dxa"/>
            <w:gridSpan w:val="4"/>
            <w:shd w:val="clear" w:color="auto" w:fill="D9E2F3"/>
            <w:vAlign w:val="center"/>
          </w:tcPr>
          <w:p w14:paraId="29F7198C" w14:textId="77777777" w:rsidR="00990B14" w:rsidRDefault="00000000">
            <w:pPr>
              <w:spacing w:before="20" w:after="20"/>
              <w:jc w:val="both"/>
            </w:pPr>
            <w:r>
              <w:rPr>
                <w:b/>
                <w:bCs/>
                <w:sz w:val="18"/>
                <w:szCs w:val="18"/>
              </w:rPr>
              <w:t xml:space="preserve">Producto 2: </w:t>
            </w:r>
            <w:r>
              <w:rPr>
                <w:sz w:val="18"/>
                <w:szCs w:val="18"/>
              </w:rPr>
              <w:t>Ficha técnica de un equipo de cómputo.</w:t>
            </w:r>
          </w:p>
        </w:tc>
      </w:tr>
      <w:tr w:rsidR="00990B14" w14:paraId="5510B82D" w14:textId="77777777">
        <w:trPr>
          <w:cantSplit/>
          <w:jc w:val="center"/>
        </w:trPr>
        <w:tc>
          <w:tcPr>
            <w:tcW w:w="3133" w:type="dxa"/>
            <w:gridSpan w:val="4"/>
            <w:vMerge w:val="restart"/>
            <w:shd w:val="clear" w:color="auto" w:fill="D9E2F3"/>
            <w:vAlign w:val="center"/>
          </w:tcPr>
          <w:p w14:paraId="7F39B98C" w14:textId="77777777" w:rsidR="00990B14" w:rsidRDefault="00000000">
            <w:pPr>
              <w:spacing w:before="20" w:after="20"/>
              <w:jc w:val="both"/>
            </w:pPr>
            <w:r>
              <w:rPr>
                <w:sz w:val="18"/>
                <w:szCs w:val="18"/>
              </w:rPr>
              <w:t>2. Diseña algoritmos con estructuras de control secuenciales, condicionales y repetitivas, clasificando sus datos, operadores, constantes y variables.</w:t>
            </w:r>
          </w:p>
        </w:tc>
        <w:tc>
          <w:tcPr>
            <w:tcW w:w="3135" w:type="dxa"/>
            <w:gridSpan w:val="5"/>
            <w:shd w:val="clear" w:color="auto" w:fill="D9E2F3"/>
            <w:vAlign w:val="center"/>
          </w:tcPr>
          <w:p w14:paraId="649025DF" w14:textId="77777777" w:rsidR="00990B14" w:rsidRDefault="00000000">
            <w:pPr>
              <w:spacing w:before="20" w:after="20"/>
              <w:jc w:val="both"/>
            </w:pPr>
            <w:r>
              <w:rPr>
                <w:sz w:val="18"/>
                <w:szCs w:val="18"/>
              </w:rPr>
              <w:t>2.1 Clasifica tipos de datos, operadores y variables de un problema</w:t>
            </w:r>
          </w:p>
        </w:tc>
        <w:tc>
          <w:tcPr>
            <w:tcW w:w="3137" w:type="dxa"/>
            <w:gridSpan w:val="4"/>
            <w:shd w:val="clear" w:color="auto" w:fill="D9E2F3"/>
            <w:vAlign w:val="center"/>
          </w:tcPr>
          <w:p w14:paraId="0909B927" w14:textId="77777777" w:rsidR="00990B14" w:rsidRDefault="00000000">
            <w:pPr>
              <w:spacing w:before="20" w:after="20"/>
              <w:jc w:val="both"/>
            </w:pPr>
            <w:r>
              <w:rPr>
                <w:b/>
                <w:bCs/>
                <w:sz w:val="18"/>
                <w:szCs w:val="18"/>
              </w:rPr>
              <w:t xml:space="preserve">Producto 3: </w:t>
            </w:r>
            <w:r>
              <w:rPr>
                <w:sz w:val="18"/>
                <w:szCs w:val="18"/>
              </w:rPr>
              <w:t>Diagramas de flujo, pseudocódigo aplicando estructuras de control.</w:t>
            </w:r>
          </w:p>
        </w:tc>
      </w:tr>
      <w:tr w:rsidR="00990B14" w14:paraId="42A4E7B5" w14:textId="77777777">
        <w:trPr>
          <w:cantSplit/>
          <w:jc w:val="center"/>
        </w:trPr>
        <w:tc>
          <w:tcPr>
            <w:tcW w:w="3133" w:type="dxa"/>
            <w:gridSpan w:val="4"/>
            <w:vMerge/>
            <w:shd w:val="clear" w:color="auto" w:fill="D9E2F3"/>
            <w:vAlign w:val="center"/>
          </w:tcPr>
          <w:p w14:paraId="7D767A39" w14:textId="77777777" w:rsidR="00990B14" w:rsidRDefault="00990B14">
            <w:pPr>
              <w:spacing w:before="20" w:after="20"/>
            </w:pPr>
          </w:p>
        </w:tc>
        <w:tc>
          <w:tcPr>
            <w:tcW w:w="3135" w:type="dxa"/>
            <w:gridSpan w:val="5"/>
            <w:shd w:val="clear" w:color="auto" w:fill="D9E2F3"/>
            <w:vAlign w:val="center"/>
          </w:tcPr>
          <w:p w14:paraId="453BE1C8" w14:textId="77777777" w:rsidR="00990B14" w:rsidRDefault="00000000">
            <w:pPr>
              <w:spacing w:before="20" w:after="20"/>
              <w:jc w:val="both"/>
            </w:pPr>
            <w:r>
              <w:rPr>
                <w:sz w:val="18"/>
                <w:szCs w:val="18"/>
              </w:rPr>
              <w:t>2.2 Resuelve en aula ejercicios de diseño de algoritmos con estructuras de control adecuadas.</w:t>
            </w:r>
          </w:p>
        </w:tc>
        <w:tc>
          <w:tcPr>
            <w:tcW w:w="3137" w:type="dxa"/>
            <w:gridSpan w:val="4"/>
            <w:shd w:val="clear" w:color="auto" w:fill="D9E2F3"/>
            <w:vAlign w:val="center"/>
          </w:tcPr>
          <w:p w14:paraId="25517FEA" w14:textId="77777777" w:rsidR="00990B14" w:rsidRDefault="00000000">
            <w:pPr>
              <w:spacing w:before="20" w:after="20"/>
              <w:jc w:val="both"/>
            </w:pPr>
            <w:r>
              <w:rPr>
                <w:b/>
                <w:bCs/>
                <w:sz w:val="18"/>
                <w:szCs w:val="18"/>
              </w:rPr>
              <w:t xml:space="preserve">Producto 4: </w:t>
            </w:r>
            <w:r>
              <w:rPr>
                <w:sz w:val="18"/>
                <w:szCs w:val="18"/>
              </w:rPr>
              <w:t>Uso de herramientas computacionales.</w:t>
            </w:r>
          </w:p>
        </w:tc>
      </w:tr>
      <w:tr w:rsidR="00990B14" w14:paraId="548C16E7" w14:textId="77777777">
        <w:trPr>
          <w:cantSplit/>
          <w:jc w:val="center"/>
        </w:trPr>
        <w:tc>
          <w:tcPr>
            <w:tcW w:w="9405" w:type="dxa"/>
            <w:gridSpan w:val="13"/>
            <w:shd w:val="clear" w:color="auto" w:fill="4472C4"/>
            <w:vAlign w:val="center"/>
          </w:tcPr>
          <w:p w14:paraId="4B59F155" w14:textId="77777777" w:rsidR="00990B14" w:rsidRDefault="00000000">
            <w:pPr>
              <w:keepNext/>
              <w:spacing w:before="20" w:after="20"/>
              <w:jc w:val="center"/>
            </w:pPr>
            <w:r>
              <w:rPr>
                <w:b/>
                <w:bCs/>
                <w:i/>
                <w:iCs/>
                <w:color w:val="FFFFFF"/>
                <w:sz w:val="18"/>
                <w:szCs w:val="18"/>
              </w:rPr>
              <w:t>Evidencias de conocimiento</w:t>
            </w:r>
          </w:p>
        </w:tc>
      </w:tr>
      <w:tr w:rsidR="00990B14" w14:paraId="30157559" w14:textId="77777777">
        <w:trPr>
          <w:cantSplit/>
          <w:jc w:val="center"/>
        </w:trPr>
        <w:tc>
          <w:tcPr>
            <w:tcW w:w="2349" w:type="dxa"/>
            <w:gridSpan w:val="2"/>
            <w:shd w:val="clear" w:color="auto" w:fill="4472C4"/>
            <w:vAlign w:val="center"/>
          </w:tcPr>
          <w:p w14:paraId="1D5791A2"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437AB50A" w14:textId="77777777" w:rsidR="00990B14" w:rsidRDefault="00000000">
            <w:pPr>
              <w:keepNext/>
              <w:spacing w:before="20" w:after="20"/>
              <w:jc w:val="both"/>
            </w:pPr>
            <w:r>
              <w:rPr>
                <w:b/>
                <w:bCs/>
                <w:i/>
                <w:iCs/>
                <w:color w:val="FFFFFF"/>
                <w:sz w:val="18"/>
                <w:szCs w:val="18"/>
              </w:rPr>
              <w:t>Contenidos</w:t>
            </w:r>
          </w:p>
          <w:p w14:paraId="55801B85"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2EACA3D2" w14:textId="77777777" w:rsidR="00990B14" w:rsidRDefault="00000000">
            <w:pPr>
              <w:keepNext/>
              <w:spacing w:before="20" w:after="20"/>
              <w:jc w:val="center"/>
            </w:pPr>
            <w:r>
              <w:rPr>
                <w:b/>
                <w:bCs/>
                <w:i/>
                <w:iCs/>
                <w:color w:val="FFFFFF"/>
                <w:sz w:val="18"/>
                <w:szCs w:val="18"/>
              </w:rPr>
              <w:t>Conocimientos circunstanciales</w:t>
            </w:r>
          </w:p>
        </w:tc>
      </w:tr>
      <w:tr w:rsidR="00990B14" w14:paraId="059F657D" w14:textId="77777777">
        <w:trPr>
          <w:jc w:val="center"/>
        </w:trPr>
        <w:tc>
          <w:tcPr>
            <w:tcW w:w="2349" w:type="dxa"/>
            <w:gridSpan w:val="2"/>
            <w:shd w:val="clear" w:color="auto" w:fill="D9E2F3"/>
          </w:tcPr>
          <w:p w14:paraId="4243AACD" w14:textId="77777777" w:rsidR="00990B14" w:rsidRDefault="00000000">
            <w:pPr>
              <w:spacing w:before="20" w:after="40"/>
              <w:jc w:val="both"/>
            </w:pPr>
            <w:r>
              <w:rPr>
                <w:sz w:val="18"/>
                <w:szCs w:val="18"/>
              </w:rPr>
              <w:t>Tema 1: Conceptos y consideraciones fundamentales</w:t>
            </w:r>
          </w:p>
          <w:p w14:paraId="38FC61A6" w14:textId="77777777" w:rsidR="00990B14" w:rsidRDefault="00000000">
            <w:pPr>
              <w:spacing w:before="20" w:after="40"/>
              <w:jc w:val="both"/>
            </w:pPr>
            <w:r>
              <w:rPr>
                <w:sz w:val="18"/>
                <w:szCs w:val="18"/>
              </w:rPr>
              <w:t>Tema 2: Introducción a la programación</w:t>
            </w:r>
          </w:p>
        </w:tc>
        <w:tc>
          <w:tcPr>
            <w:tcW w:w="4304" w:type="dxa"/>
            <w:gridSpan w:val="8"/>
            <w:shd w:val="clear" w:color="auto" w:fill="D9E2F3"/>
          </w:tcPr>
          <w:p w14:paraId="453AFBB7" w14:textId="77777777" w:rsidR="00990B14" w:rsidRDefault="00000000">
            <w:pPr>
              <w:spacing w:after="40"/>
              <w:jc w:val="both"/>
            </w:pPr>
            <w:r>
              <w:rPr>
                <w:sz w:val="18"/>
                <w:szCs w:val="18"/>
              </w:rPr>
              <w:t>Informática, sistemas informáticos y la computadora como herramientas de procesamiento de datos. (C)</w:t>
            </w:r>
          </w:p>
          <w:p w14:paraId="02D7703A" w14:textId="77777777" w:rsidR="00990B14" w:rsidRDefault="00000000">
            <w:pPr>
              <w:spacing w:after="40"/>
              <w:jc w:val="both"/>
            </w:pPr>
            <w:r>
              <w:rPr>
                <w:sz w:val="18"/>
                <w:szCs w:val="18"/>
              </w:rPr>
              <w:t>Hardware y software: concepto y clasificación. (C)</w:t>
            </w:r>
          </w:p>
          <w:p w14:paraId="1DF92542" w14:textId="77777777" w:rsidR="00990B14" w:rsidRDefault="00000000">
            <w:pPr>
              <w:spacing w:after="40"/>
              <w:jc w:val="both"/>
            </w:pPr>
            <w:r>
              <w:rPr>
                <w:sz w:val="18"/>
                <w:szCs w:val="18"/>
              </w:rPr>
              <w:t>Arquitectura de entrada, proceso y salida de un sistema informático. (C)</w:t>
            </w:r>
          </w:p>
          <w:p w14:paraId="7A1713B1" w14:textId="77777777" w:rsidR="00990B14" w:rsidRDefault="00000000">
            <w:pPr>
              <w:spacing w:after="40"/>
              <w:jc w:val="both"/>
            </w:pPr>
            <w:r>
              <w:rPr>
                <w:sz w:val="18"/>
                <w:szCs w:val="18"/>
              </w:rPr>
              <w:t>Datos, información y sistema de información: concepto y diferencias. (C)</w:t>
            </w:r>
          </w:p>
          <w:p w14:paraId="625B5F6A" w14:textId="77777777" w:rsidR="00990B14" w:rsidRDefault="00000000">
            <w:pPr>
              <w:spacing w:after="40"/>
              <w:jc w:val="both"/>
            </w:pPr>
            <w:r>
              <w:rPr>
                <w:sz w:val="18"/>
                <w:szCs w:val="18"/>
              </w:rPr>
              <w:t>Tecnologías de la información e importancia de la informática en la contabilidad. (C)</w:t>
            </w:r>
          </w:p>
          <w:p w14:paraId="666857EC" w14:textId="77777777" w:rsidR="00990B14" w:rsidRDefault="00000000">
            <w:pPr>
              <w:spacing w:after="40"/>
              <w:jc w:val="both"/>
            </w:pPr>
            <w:r>
              <w:rPr>
                <w:sz w:val="18"/>
                <w:szCs w:val="18"/>
              </w:rPr>
              <w:lastRenderedPageBreak/>
              <w:t>Importancia de la confidencialidad, integridad y disponibilidad de los datos. (C)</w:t>
            </w:r>
          </w:p>
          <w:p w14:paraId="4C01E096" w14:textId="77777777" w:rsidR="00990B14" w:rsidRDefault="00000000">
            <w:pPr>
              <w:spacing w:after="40"/>
              <w:jc w:val="both"/>
            </w:pPr>
            <w:r>
              <w:rPr>
                <w:sz w:val="18"/>
                <w:szCs w:val="18"/>
              </w:rPr>
              <w:t>Algoritmos: concepto, características y representación. (C, P)</w:t>
            </w:r>
          </w:p>
          <w:p w14:paraId="7F11AAE3" w14:textId="77777777" w:rsidR="00990B14" w:rsidRDefault="00000000">
            <w:pPr>
              <w:spacing w:after="40"/>
              <w:jc w:val="both"/>
            </w:pPr>
            <w:r>
              <w:rPr>
                <w:sz w:val="18"/>
                <w:szCs w:val="18"/>
              </w:rPr>
              <w:t>Tipos de datos, operadores, constantes y variables. (C, P)</w:t>
            </w:r>
          </w:p>
          <w:p w14:paraId="63D5C2D8" w14:textId="77777777" w:rsidR="00990B14" w:rsidRDefault="00000000">
            <w:pPr>
              <w:spacing w:after="40"/>
              <w:jc w:val="both"/>
            </w:pPr>
            <w:r>
              <w:rPr>
                <w:sz w:val="18"/>
                <w:szCs w:val="18"/>
              </w:rPr>
              <w:t>Estructuras de control secuenciales, condicionales y repetitivas para la programación de macros. (C, P)</w:t>
            </w:r>
          </w:p>
        </w:tc>
        <w:tc>
          <w:tcPr>
            <w:tcW w:w="2752" w:type="dxa"/>
            <w:gridSpan w:val="3"/>
            <w:shd w:val="clear" w:color="auto" w:fill="D9E2F3"/>
          </w:tcPr>
          <w:p w14:paraId="1AA0C664" w14:textId="77777777" w:rsidR="00990B14" w:rsidRDefault="00000000">
            <w:pPr>
              <w:numPr>
                <w:ilvl w:val="0"/>
                <w:numId w:val="139"/>
              </w:numPr>
              <w:spacing w:before="10" w:after="10"/>
              <w:jc w:val="both"/>
            </w:pPr>
            <w:r>
              <w:rPr>
                <w:sz w:val="18"/>
                <w:szCs w:val="18"/>
              </w:rPr>
              <w:lastRenderedPageBreak/>
              <w:t>Nociones de sistemas de numeración binario y hexadecimal.</w:t>
            </w:r>
          </w:p>
          <w:p w14:paraId="24E7AFB7" w14:textId="77777777" w:rsidR="00990B14" w:rsidRDefault="00000000">
            <w:pPr>
              <w:numPr>
                <w:ilvl w:val="0"/>
                <w:numId w:val="139"/>
              </w:numPr>
              <w:spacing w:before="10" w:after="10"/>
              <w:jc w:val="both"/>
            </w:pPr>
            <w:r>
              <w:rPr>
                <w:sz w:val="18"/>
                <w:szCs w:val="18"/>
              </w:rPr>
              <w:t>Nociones de lógica proposicional y de tablas de verdad.</w:t>
            </w:r>
          </w:p>
          <w:p w14:paraId="674CBA99" w14:textId="77777777" w:rsidR="00990B14" w:rsidRDefault="00000000">
            <w:pPr>
              <w:numPr>
                <w:ilvl w:val="0"/>
                <w:numId w:val="139"/>
              </w:numPr>
              <w:spacing w:before="10" w:after="10"/>
              <w:jc w:val="both"/>
            </w:pPr>
            <w:r>
              <w:rPr>
                <w:sz w:val="18"/>
                <w:szCs w:val="18"/>
              </w:rPr>
              <w:t>Nociones de sistemas operativos y de gestión de archivos.</w:t>
            </w:r>
          </w:p>
        </w:tc>
      </w:tr>
      <w:tr w:rsidR="00990B14" w14:paraId="12D31712" w14:textId="77777777">
        <w:trPr>
          <w:cantSplit/>
          <w:jc w:val="center"/>
        </w:trPr>
        <w:tc>
          <w:tcPr>
            <w:tcW w:w="9405" w:type="dxa"/>
            <w:gridSpan w:val="13"/>
            <w:shd w:val="clear" w:color="auto" w:fill="D9E2F3"/>
            <w:vAlign w:val="center"/>
          </w:tcPr>
          <w:p w14:paraId="4F052116" w14:textId="77777777" w:rsidR="00990B14" w:rsidRDefault="00000000">
            <w:pPr>
              <w:spacing w:before="20" w:after="20"/>
              <w:jc w:val="both"/>
            </w:pPr>
            <w:r>
              <w:rPr>
                <w:b/>
                <w:bCs/>
                <w:i/>
                <w:iCs/>
                <w:sz w:val="18"/>
                <w:szCs w:val="18"/>
              </w:rPr>
              <w:t xml:space="preserve">Elemento de competencia 2: </w:t>
            </w:r>
            <w:r>
              <w:rPr>
                <w:sz w:val="18"/>
                <w:szCs w:val="18"/>
              </w:rPr>
              <w:t>Genera documentos en hojas de cálculo y bases de datos con herramientas digitales y colaborativas, automatizando procesos contables con macros y estructurando bases de datos relacionales para la gestión de información de una entidad.</w:t>
            </w:r>
          </w:p>
        </w:tc>
      </w:tr>
      <w:tr w:rsidR="00990B14" w14:paraId="1E335CAA" w14:textId="77777777">
        <w:trPr>
          <w:cantSplit/>
          <w:jc w:val="center"/>
        </w:trPr>
        <w:tc>
          <w:tcPr>
            <w:tcW w:w="3133" w:type="dxa"/>
            <w:gridSpan w:val="4"/>
            <w:shd w:val="clear" w:color="auto" w:fill="4472C4"/>
            <w:vAlign w:val="center"/>
          </w:tcPr>
          <w:p w14:paraId="4728CB5B"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030E3648"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534521ED" w14:textId="77777777" w:rsidR="00990B14" w:rsidRDefault="00000000">
            <w:pPr>
              <w:keepNext/>
              <w:spacing w:before="20" w:after="20"/>
              <w:jc w:val="center"/>
            </w:pPr>
            <w:r>
              <w:rPr>
                <w:b/>
                <w:bCs/>
                <w:i/>
                <w:iCs/>
                <w:color w:val="FFFFFF"/>
                <w:sz w:val="18"/>
                <w:szCs w:val="18"/>
              </w:rPr>
              <w:t>Evidencias de producto</w:t>
            </w:r>
          </w:p>
        </w:tc>
      </w:tr>
      <w:tr w:rsidR="00990B14" w14:paraId="54CFA485" w14:textId="77777777">
        <w:trPr>
          <w:cantSplit/>
          <w:jc w:val="center"/>
        </w:trPr>
        <w:tc>
          <w:tcPr>
            <w:tcW w:w="3133" w:type="dxa"/>
            <w:gridSpan w:val="4"/>
            <w:vMerge w:val="restart"/>
            <w:shd w:val="clear" w:color="auto" w:fill="D9E2F3"/>
            <w:vAlign w:val="center"/>
          </w:tcPr>
          <w:p w14:paraId="3376AEE4" w14:textId="77777777" w:rsidR="00990B14" w:rsidRDefault="00000000">
            <w:pPr>
              <w:spacing w:before="20" w:after="20"/>
              <w:jc w:val="both"/>
            </w:pPr>
            <w:r>
              <w:rPr>
                <w:sz w:val="18"/>
                <w:szCs w:val="18"/>
              </w:rPr>
              <w:t>1. Automatiza procesos contables con fórmulas y tablas dinámicas</w:t>
            </w:r>
          </w:p>
        </w:tc>
        <w:tc>
          <w:tcPr>
            <w:tcW w:w="3135" w:type="dxa"/>
            <w:gridSpan w:val="5"/>
            <w:shd w:val="clear" w:color="auto" w:fill="D9E2F3"/>
            <w:vAlign w:val="center"/>
          </w:tcPr>
          <w:p w14:paraId="6B201F17" w14:textId="77777777" w:rsidR="00990B14" w:rsidRDefault="00000000">
            <w:pPr>
              <w:spacing w:before="20" w:after="20"/>
              <w:jc w:val="both"/>
            </w:pPr>
            <w:r>
              <w:rPr>
                <w:sz w:val="18"/>
                <w:szCs w:val="18"/>
              </w:rPr>
              <w:t>1.1 Automatiza en el laboratorio de cómputo una planilla contable con fórmulas.</w:t>
            </w:r>
          </w:p>
        </w:tc>
        <w:tc>
          <w:tcPr>
            <w:tcW w:w="3137" w:type="dxa"/>
            <w:gridSpan w:val="4"/>
            <w:shd w:val="clear" w:color="auto" w:fill="D9E2F3"/>
            <w:vAlign w:val="center"/>
          </w:tcPr>
          <w:p w14:paraId="4A55B362" w14:textId="77777777" w:rsidR="00990B14" w:rsidRDefault="00000000">
            <w:pPr>
              <w:spacing w:before="20" w:after="20"/>
              <w:jc w:val="both"/>
            </w:pPr>
            <w:r>
              <w:rPr>
                <w:b/>
                <w:bCs/>
                <w:sz w:val="18"/>
                <w:szCs w:val="18"/>
              </w:rPr>
              <w:t xml:space="preserve">Producto 5: </w:t>
            </w:r>
            <w:r>
              <w:rPr>
                <w:sz w:val="18"/>
                <w:szCs w:val="18"/>
              </w:rPr>
              <w:t>Cuadro de mando en Excel con fórmulas financieras</w:t>
            </w:r>
          </w:p>
        </w:tc>
      </w:tr>
      <w:tr w:rsidR="00990B14" w14:paraId="2FE828D8" w14:textId="77777777">
        <w:trPr>
          <w:cantSplit/>
          <w:jc w:val="center"/>
        </w:trPr>
        <w:tc>
          <w:tcPr>
            <w:tcW w:w="3133" w:type="dxa"/>
            <w:gridSpan w:val="4"/>
            <w:vMerge/>
            <w:shd w:val="clear" w:color="auto" w:fill="D9E2F3"/>
            <w:vAlign w:val="center"/>
          </w:tcPr>
          <w:p w14:paraId="3CE76E10" w14:textId="77777777" w:rsidR="00990B14" w:rsidRDefault="00990B14">
            <w:pPr>
              <w:spacing w:before="20" w:after="20"/>
            </w:pPr>
          </w:p>
        </w:tc>
        <w:tc>
          <w:tcPr>
            <w:tcW w:w="3135" w:type="dxa"/>
            <w:gridSpan w:val="5"/>
            <w:shd w:val="clear" w:color="auto" w:fill="D9E2F3"/>
            <w:vAlign w:val="center"/>
          </w:tcPr>
          <w:p w14:paraId="15763D4C" w14:textId="77777777" w:rsidR="00990B14" w:rsidRDefault="00000000">
            <w:pPr>
              <w:spacing w:before="20" w:after="20"/>
              <w:jc w:val="both"/>
            </w:pPr>
            <w:r>
              <w:rPr>
                <w:sz w:val="18"/>
                <w:szCs w:val="18"/>
              </w:rPr>
              <w:t>1.2 Automatiza en el laboratorio de cómputo una planilla contable con tablas dinámicas.</w:t>
            </w:r>
          </w:p>
        </w:tc>
        <w:tc>
          <w:tcPr>
            <w:tcW w:w="3137" w:type="dxa"/>
            <w:gridSpan w:val="4"/>
            <w:shd w:val="clear" w:color="auto" w:fill="D9E2F3"/>
            <w:vAlign w:val="center"/>
          </w:tcPr>
          <w:p w14:paraId="741A4C25" w14:textId="77777777" w:rsidR="00990B14" w:rsidRDefault="00000000">
            <w:pPr>
              <w:spacing w:before="20" w:after="20"/>
              <w:jc w:val="both"/>
            </w:pPr>
            <w:r>
              <w:rPr>
                <w:b/>
                <w:bCs/>
                <w:sz w:val="18"/>
                <w:szCs w:val="18"/>
              </w:rPr>
              <w:t xml:space="preserve">Producto 6: </w:t>
            </w:r>
            <w:r>
              <w:rPr>
                <w:sz w:val="18"/>
                <w:szCs w:val="18"/>
              </w:rPr>
              <w:t>Cuadro de mando en Excel con tablas dinámicas</w:t>
            </w:r>
          </w:p>
        </w:tc>
      </w:tr>
      <w:tr w:rsidR="00990B14" w14:paraId="514F9541" w14:textId="77777777">
        <w:trPr>
          <w:cantSplit/>
          <w:jc w:val="center"/>
        </w:trPr>
        <w:tc>
          <w:tcPr>
            <w:tcW w:w="3133" w:type="dxa"/>
            <w:gridSpan w:val="4"/>
            <w:vMerge w:val="restart"/>
            <w:shd w:val="clear" w:color="auto" w:fill="D9E2F3"/>
            <w:vAlign w:val="center"/>
          </w:tcPr>
          <w:p w14:paraId="7873B49E" w14:textId="77777777" w:rsidR="00990B14" w:rsidRDefault="00000000">
            <w:pPr>
              <w:spacing w:before="20" w:after="20"/>
              <w:jc w:val="both"/>
            </w:pPr>
            <w:r>
              <w:rPr>
                <w:sz w:val="18"/>
                <w:szCs w:val="18"/>
              </w:rPr>
              <w:t>2. Automatiza procesos contables con macros.</w:t>
            </w:r>
          </w:p>
        </w:tc>
        <w:tc>
          <w:tcPr>
            <w:tcW w:w="3135" w:type="dxa"/>
            <w:gridSpan w:val="5"/>
            <w:shd w:val="clear" w:color="auto" w:fill="D9E2F3"/>
            <w:vAlign w:val="center"/>
          </w:tcPr>
          <w:p w14:paraId="09E4FC8D" w14:textId="77777777" w:rsidR="00990B14" w:rsidRDefault="00000000">
            <w:pPr>
              <w:spacing w:before="20" w:after="20"/>
              <w:jc w:val="both"/>
            </w:pPr>
            <w:r>
              <w:rPr>
                <w:sz w:val="18"/>
                <w:szCs w:val="18"/>
              </w:rPr>
              <w:t>2.1 Automatiza procesos contables con macros.</w:t>
            </w:r>
          </w:p>
        </w:tc>
        <w:tc>
          <w:tcPr>
            <w:tcW w:w="3137" w:type="dxa"/>
            <w:gridSpan w:val="4"/>
            <w:shd w:val="clear" w:color="auto" w:fill="D9E2F3"/>
            <w:vAlign w:val="center"/>
          </w:tcPr>
          <w:p w14:paraId="30B9571C" w14:textId="77777777" w:rsidR="00990B14" w:rsidRDefault="00000000">
            <w:pPr>
              <w:spacing w:before="20" w:after="20"/>
              <w:jc w:val="both"/>
            </w:pPr>
            <w:r>
              <w:rPr>
                <w:b/>
                <w:bCs/>
                <w:sz w:val="18"/>
                <w:szCs w:val="18"/>
              </w:rPr>
              <w:t xml:space="preserve">Producto 7: </w:t>
            </w:r>
            <w:r>
              <w:rPr>
                <w:sz w:val="18"/>
                <w:szCs w:val="18"/>
              </w:rPr>
              <w:t>Cuadro de mando en Excel con macros.</w:t>
            </w:r>
          </w:p>
        </w:tc>
      </w:tr>
      <w:tr w:rsidR="00990B14" w14:paraId="15867AB3" w14:textId="77777777">
        <w:trPr>
          <w:cantSplit/>
          <w:jc w:val="center"/>
        </w:trPr>
        <w:tc>
          <w:tcPr>
            <w:tcW w:w="3133" w:type="dxa"/>
            <w:gridSpan w:val="4"/>
            <w:vMerge/>
            <w:shd w:val="clear" w:color="auto" w:fill="D9E2F3"/>
            <w:vAlign w:val="center"/>
          </w:tcPr>
          <w:p w14:paraId="751DAE69" w14:textId="77777777" w:rsidR="00990B14" w:rsidRDefault="00990B14">
            <w:pPr>
              <w:spacing w:before="20" w:after="20"/>
            </w:pPr>
          </w:p>
        </w:tc>
        <w:tc>
          <w:tcPr>
            <w:tcW w:w="3135" w:type="dxa"/>
            <w:gridSpan w:val="5"/>
            <w:shd w:val="clear" w:color="auto" w:fill="D9E2F3"/>
            <w:vAlign w:val="center"/>
          </w:tcPr>
          <w:p w14:paraId="0EB8DD25" w14:textId="77777777" w:rsidR="00990B14" w:rsidRDefault="00000000">
            <w:pPr>
              <w:spacing w:before="20" w:after="20"/>
              <w:jc w:val="both"/>
            </w:pPr>
            <w:r>
              <w:rPr>
                <w:sz w:val="18"/>
                <w:szCs w:val="18"/>
              </w:rPr>
              <w:t>2.2 Construye bases de datos</w:t>
            </w:r>
          </w:p>
        </w:tc>
        <w:tc>
          <w:tcPr>
            <w:tcW w:w="3137" w:type="dxa"/>
            <w:gridSpan w:val="4"/>
            <w:shd w:val="clear" w:color="auto" w:fill="D9E2F3"/>
            <w:vAlign w:val="center"/>
          </w:tcPr>
          <w:p w14:paraId="6508969A" w14:textId="77777777" w:rsidR="00990B14" w:rsidRDefault="00000000">
            <w:pPr>
              <w:spacing w:before="20" w:after="20"/>
              <w:jc w:val="both"/>
            </w:pPr>
            <w:r>
              <w:rPr>
                <w:b/>
                <w:bCs/>
                <w:sz w:val="18"/>
                <w:szCs w:val="18"/>
              </w:rPr>
              <w:t xml:space="preserve">Producto 8: </w:t>
            </w:r>
            <w:r>
              <w:rPr>
                <w:sz w:val="18"/>
                <w:szCs w:val="18"/>
              </w:rPr>
              <w:t>Cuadro de mando en Excel con bases de datos.</w:t>
            </w:r>
          </w:p>
        </w:tc>
      </w:tr>
      <w:tr w:rsidR="00990B14" w14:paraId="0AA5E2F0" w14:textId="77777777">
        <w:trPr>
          <w:cantSplit/>
          <w:jc w:val="center"/>
        </w:trPr>
        <w:tc>
          <w:tcPr>
            <w:tcW w:w="9405" w:type="dxa"/>
            <w:gridSpan w:val="13"/>
            <w:shd w:val="clear" w:color="auto" w:fill="4472C4"/>
            <w:vAlign w:val="center"/>
          </w:tcPr>
          <w:p w14:paraId="631DD5F4" w14:textId="77777777" w:rsidR="00990B14" w:rsidRDefault="00000000">
            <w:pPr>
              <w:keepNext/>
              <w:spacing w:before="20" w:after="20"/>
              <w:jc w:val="center"/>
            </w:pPr>
            <w:r>
              <w:rPr>
                <w:b/>
                <w:bCs/>
                <w:i/>
                <w:iCs/>
                <w:color w:val="FFFFFF"/>
                <w:sz w:val="18"/>
                <w:szCs w:val="18"/>
              </w:rPr>
              <w:t>Evidencias de conocimiento</w:t>
            </w:r>
          </w:p>
        </w:tc>
      </w:tr>
      <w:tr w:rsidR="00990B14" w14:paraId="07E97798" w14:textId="77777777">
        <w:trPr>
          <w:cantSplit/>
          <w:jc w:val="center"/>
        </w:trPr>
        <w:tc>
          <w:tcPr>
            <w:tcW w:w="2349" w:type="dxa"/>
            <w:gridSpan w:val="2"/>
            <w:shd w:val="clear" w:color="auto" w:fill="4472C4"/>
            <w:vAlign w:val="center"/>
          </w:tcPr>
          <w:p w14:paraId="18FFB6E1"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2517973A" w14:textId="77777777" w:rsidR="00990B14" w:rsidRDefault="00000000">
            <w:pPr>
              <w:keepNext/>
              <w:spacing w:before="20" w:after="20"/>
              <w:jc w:val="both"/>
            </w:pPr>
            <w:r>
              <w:rPr>
                <w:b/>
                <w:bCs/>
                <w:i/>
                <w:iCs/>
                <w:color w:val="FFFFFF"/>
                <w:sz w:val="18"/>
                <w:szCs w:val="18"/>
              </w:rPr>
              <w:t>Contenidos</w:t>
            </w:r>
          </w:p>
          <w:p w14:paraId="15115C79"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56153D9C" w14:textId="77777777" w:rsidR="00990B14" w:rsidRDefault="00000000">
            <w:pPr>
              <w:keepNext/>
              <w:spacing w:before="20" w:after="20"/>
              <w:jc w:val="center"/>
            </w:pPr>
            <w:r>
              <w:rPr>
                <w:b/>
                <w:bCs/>
                <w:i/>
                <w:iCs/>
                <w:color w:val="FFFFFF"/>
                <w:sz w:val="18"/>
                <w:szCs w:val="18"/>
              </w:rPr>
              <w:t>Conocimientos circunstanciales</w:t>
            </w:r>
          </w:p>
        </w:tc>
      </w:tr>
      <w:tr w:rsidR="00990B14" w14:paraId="125291B8" w14:textId="77777777">
        <w:trPr>
          <w:jc w:val="center"/>
        </w:trPr>
        <w:tc>
          <w:tcPr>
            <w:tcW w:w="2349" w:type="dxa"/>
            <w:gridSpan w:val="2"/>
            <w:shd w:val="clear" w:color="auto" w:fill="D9E2F3"/>
          </w:tcPr>
          <w:p w14:paraId="229DC79B" w14:textId="77777777" w:rsidR="00990B14" w:rsidRDefault="00000000">
            <w:pPr>
              <w:spacing w:before="20" w:after="40"/>
              <w:jc w:val="both"/>
            </w:pPr>
            <w:r>
              <w:rPr>
                <w:sz w:val="18"/>
                <w:szCs w:val="18"/>
              </w:rPr>
              <w:t>Tema 3: Microsoft Excel</w:t>
            </w:r>
          </w:p>
          <w:p w14:paraId="19FF406E" w14:textId="77777777" w:rsidR="00990B14" w:rsidRDefault="00000000">
            <w:pPr>
              <w:spacing w:before="20" w:after="40"/>
              <w:jc w:val="both"/>
            </w:pPr>
            <w:r>
              <w:rPr>
                <w:sz w:val="18"/>
                <w:szCs w:val="18"/>
              </w:rPr>
              <w:t>Tema 4: Gestor de bases de datos</w:t>
            </w:r>
          </w:p>
          <w:p w14:paraId="70577B7F" w14:textId="77777777" w:rsidR="00990B14" w:rsidRDefault="00000000">
            <w:pPr>
              <w:spacing w:before="20" w:after="40"/>
              <w:jc w:val="both"/>
            </w:pPr>
            <w:r>
              <w:rPr>
                <w:sz w:val="18"/>
                <w:szCs w:val="18"/>
              </w:rPr>
              <w:t>Tema 5: Fundamentos de modelos y herramientas de inteligencia artificial</w:t>
            </w:r>
          </w:p>
        </w:tc>
        <w:tc>
          <w:tcPr>
            <w:tcW w:w="4304" w:type="dxa"/>
            <w:gridSpan w:val="8"/>
            <w:shd w:val="clear" w:color="auto" w:fill="D9E2F3"/>
          </w:tcPr>
          <w:p w14:paraId="6729B889" w14:textId="77777777" w:rsidR="00990B14" w:rsidRDefault="00000000">
            <w:pPr>
              <w:spacing w:after="40"/>
              <w:jc w:val="both"/>
            </w:pPr>
            <w:r>
              <w:rPr>
                <w:sz w:val="18"/>
                <w:szCs w:val="18"/>
              </w:rPr>
              <w:t>Entorno de trabajo y operaciones básicas de Microsoft Excel. (P, T)</w:t>
            </w:r>
          </w:p>
          <w:p w14:paraId="46995448" w14:textId="77777777" w:rsidR="00990B14" w:rsidRDefault="00000000">
            <w:pPr>
              <w:spacing w:after="40"/>
              <w:jc w:val="both"/>
            </w:pPr>
            <w:r>
              <w:rPr>
                <w:sz w:val="18"/>
                <w:szCs w:val="18"/>
              </w:rPr>
              <w:t>Fórmulas, funciones básicas y funciones avanzadas: funciones condicionales y funciones de búsqueda y referencia. (P, T)</w:t>
            </w:r>
          </w:p>
          <w:p w14:paraId="0343394F" w14:textId="77777777" w:rsidR="00990B14" w:rsidRDefault="00000000">
            <w:pPr>
              <w:spacing w:after="40"/>
              <w:jc w:val="both"/>
            </w:pPr>
            <w:r>
              <w:rPr>
                <w:sz w:val="18"/>
                <w:szCs w:val="18"/>
              </w:rPr>
              <w:t>Auditoría de fórmulas y creación de nombres. (P, T)</w:t>
            </w:r>
          </w:p>
          <w:p w14:paraId="44FA356F" w14:textId="77777777" w:rsidR="00990B14" w:rsidRDefault="00000000">
            <w:pPr>
              <w:spacing w:after="40"/>
              <w:jc w:val="both"/>
            </w:pPr>
            <w:r>
              <w:rPr>
                <w:sz w:val="18"/>
                <w:szCs w:val="18"/>
              </w:rPr>
              <w:t>Tablas: ventajas, referencias, filtros, filtros con criterios y ordenación. (C, P, T)</w:t>
            </w:r>
          </w:p>
          <w:p w14:paraId="4DE0C3D5" w14:textId="77777777" w:rsidR="00990B14" w:rsidRDefault="00000000">
            <w:pPr>
              <w:spacing w:after="40"/>
              <w:jc w:val="both"/>
            </w:pPr>
            <w:r>
              <w:rPr>
                <w:sz w:val="18"/>
                <w:szCs w:val="18"/>
              </w:rPr>
              <w:t>Gráficos, tablas dinámicas y gráficos dinámicos. (P, T)</w:t>
            </w:r>
          </w:p>
          <w:p w14:paraId="42C5B16C" w14:textId="77777777" w:rsidR="00990B14" w:rsidRDefault="00000000">
            <w:pPr>
              <w:spacing w:after="40"/>
              <w:jc w:val="both"/>
            </w:pPr>
            <w:r>
              <w:rPr>
                <w:sz w:val="18"/>
                <w:szCs w:val="18"/>
              </w:rPr>
              <w:t>Filtros avanzados de datos en tablas, segmentación de datos, validaciones, cuadros de mando y formularios. (P, T)</w:t>
            </w:r>
          </w:p>
          <w:p w14:paraId="35345D6B" w14:textId="77777777" w:rsidR="00990B14" w:rsidRDefault="00000000">
            <w:pPr>
              <w:spacing w:after="40"/>
              <w:jc w:val="both"/>
            </w:pPr>
            <w:r>
              <w:rPr>
                <w:sz w:val="18"/>
                <w:szCs w:val="18"/>
              </w:rPr>
              <w:t>Base de datos: funciones de base de datos. (P, T)</w:t>
            </w:r>
          </w:p>
          <w:p w14:paraId="34F09BE7" w14:textId="77777777" w:rsidR="00990B14" w:rsidRDefault="00000000">
            <w:pPr>
              <w:spacing w:after="40"/>
              <w:jc w:val="both"/>
            </w:pPr>
            <w:r>
              <w:rPr>
                <w:sz w:val="18"/>
                <w:szCs w:val="18"/>
              </w:rPr>
              <w:t>Macros: introducción, creación, ficha programador-desarrollador, controles, objetos, automatización de macros y tablas dinámicas con macros. (C, P, T)</w:t>
            </w:r>
          </w:p>
          <w:p w14:paraId="0D99B215" w14:textId="77777777" w:rsidR="00990B14" w:rsidRDefault="00000000">
            <w:pPr>
              <w:spacing w:after="40"/>
              <w:jc w:val="both"/>
            </w:pPr>
            <w:r>
              <w:rPr>
                <w:sz w:val="18"/>
                <w:szCs w:val="18"/>
              </w:rPr>
              <w:t xml:space="preserve">Editor de Visual Basic para macros: variables, tipos de datos, constantes, objetos, </w:t>
            </w:r>
            <w:r>
              <w:rPr>
                <w:sz w:val="18"/>
                <w:szCs w:val="18"/>
              </w:rPr>
              <w:lastRenderedPageBreak/>
              <w:t>propiedades, funciones, funciones lógicas y gestión de procedimientos repetitivos. (C, P, T)</w:t>
            </w:r>
          </w:p>
          <w:p w14:paraId="5C5175D7" w14:textId="77777777" w:rsidR="00990B14" w:rsidRDefault="00000000">
            <w:pPr>
              <w:spacing w:after="40"/>
              <w:jc w:val="both"/>
            </w:pPr>
            <w:r>
              <w:rPr>
                <w:sz w:val="18"/>
                <w:szCs w:val="18"/>
              </w:rPr>
              <w:t>Hojas de cálculo financieras: funciones financieras, modelos de proyección y análisis de escenarios para la toma de decisiones. (P, T)</w:t>
            </w:r>
          </w:p>
          <w:p w14:paraId="3C22AB5F" w14:textId="77777777" w:rsidR="00990B14" w:rsidRDefault="00000000">
            <w:pPr>
              <w:spacing w:after="40"/>
              <w:jc w:val="both"/>
            </w:pPr>
            <w:r>
              <w:rPr>
                <w:sz w:val="18"/>
                <w:szCs w:val="18"/>
              </w:rPr>
              <w:t>Introducción al análisis de datos: Power Pivot y Power Query. (P, T)</w:t>
            </w:r>
          </w:p>
          <w:p w14:paraId="1915356E" w14:textId="77777777" w:rsidR="00990B14" w:rsidRDefault="00000000">
            <w:pPr>
              <w:spacing w:after="40"/>
              <w:jc w:val="both"/>
            </w:pPr>
            <w:r>
              <w:rPr>
                <w:sz w:val="18"/>
                <w:szCs w:val="18"/>
              </w:rPr>
              <w:t>Bases de datos: conceptos, tipos, modelo relacional, sistemas gestores de bases de datos e introducción al lenguaje SQL. (C, P, T)</w:t>
            </w:r>
          </w:p>
          <w:p w14:paraId="5DAF6F3D" w14:textId="77777777" w:rsidR="00990B14" w:rsidRDefault="00000000">
            <w:pPr>
              <w:spacing w:after="40"/>
              <w:jc w:val="both"/>
            </w:pPr>
            <w:r>
              <w:rPr>
                <w:sz w:val="18"/>
                <w:szCs w:val="18"/>
              </w:rPr>
              <w:t>Creación y diseño de tablas: tipo de dato, relación entre tablas, clave primaria, clave ajena e integridad referencial. (C, P, T)</w:t>
            </w:r>
          </w:p>
          <w:p w14:paraId="2E4B4C6E" w14:textId="77777777" w:rsidR="00990B14" w:rsidRDefault="00000000">
            <w:pPr>
              <w:spacing w:after="40"/>
              <w:jc w:val="both"/>
            </w:pPr>
            <w:r>
              <w:rPr>
                <w:sz w:val="18"/>
                <w:szCs w:val="18"/>
              </w:rPr>
              <w:t>Consultas: diseño y ejecución, comandos básicos de SQL. (P, T)</w:t>
            </w:r>
          </w:p>
          <w:p w14:paraId="19BFE690" w14:textId="77777777" w:rsidR="00990B14" w:rsidRDefault="00000000">
            <w:pPr>
              <w:spacing w:after="40"/>
              <w:jc w:val="both"/>
            </w:pPr>
            <w:r>
              <w:rPr>
                <w:sz w:val="18"/>
                <w:szCs w:val="18"/>
              </w:rPr>
              <w:t>Inteligencia artificial generativa aplicada a la contabilidad. (C)</w:t>
            </w:r>
          </w:p>
          <w:p w14:paraId="71FCEA8A" w14:textId="77777777" w:rsidR="00990B14" w:rsidRDefault="00000000">
            <w:pPr>
              <w:spacing w:after="40"/>
              <w:jc w:val="both"/>
            </w:pPr>
            <w:r>
              <w:rPr>
                <w:sz w:val="18"/>
                <w:szCs w:val="18"/>
              </w:rPr>
              <w:t>Uso y aplicación de herramientas de inteligencia artificial aplicadas a la contabilidad. (P, T)</w:t>
            </w:r>
          </w:p>
        </w:tc>
        <w:tc>
          <w:tcPr>
            <w:tcW w:w="2752" w:type="dxa"/>
            <w:gridSpan w:val="3"/>
            <w:shd w:val="clear" w:color="auto" w:fill="D9E2F3"/>
          </w:tcPr>
          <w:p w14:paraId="0EBEB43C" w14:textId="77777777" w:rsidR="00990B14" w:rsidRDefault="00000000">
            <w:pPr>
              <w:numPr>
                <w:ilvl w:val="0"/>
                <w:numId w:val="139"/>
              </w:numPr>
              <w:spacing w:before="10" w:after="10"/>
              <w:jc w:val="both"/>
            </w:pPr>
            <w:r>
              <w:rPr>
                <w:sz w:val="18"/>
                <w:szCs w:val="18"/>
              </w:rPr>
              <w:lastRenderedPageBreak/>
              <w:t>Nociones de diseño visual: tipografía, color y composición.</w:t>
            </w:r>
          </w:p>
          <w:p w14:paraId="45151E44" w14:textId="77777777" w:rsidR="00990B14" w:rsidRDefault="00000000">
            <w:pPr>
              <w:numPr>
                <w:ilvl w:val="0"/>
                <w:numId w:val="139"/>
              </w:numPr>
              <w:spacing w:before="10" w:after="10"/>
              <w:jc w:val="both"/>
            </w:pPr>
            <w:r>
              <w:rPr>
                <w:sz w:val="18"/>
                <w:szCs w:val="18"/>
              </w:rPr>
              <w:t>Técnicas de digitación y uso de atajos de teclado.</w:t>
            </w:r>
          </w:p>
          <w:p w14:paraId="5636E095" w14:textId="77777777" w:rsidR="00990B14" w:rsidRDefault="00000000">
            <w:pPr>
              <w:numPr>
                <w:ilvl w:val="0"/>
                <w:numId w:val="139"/>
              </w:numPr>
              <w:spacing w:before="10" w:after="10"/>
              <w:jc w:val="both"/>
            </w:pPr>
            <w:r>
              <w:rPr>
                <w:sz w:val="18"/>
                <w:szCs w:val="18"/>
              </w:rPr>
              <w:t>Nociones de software libre y de suites ofimáticas alternativas.</w:t>
            </w:r>
          </w:p>
        </w:tc>
      </w:tr>
    </w:tbl>
    <w:p w14:paraId="04ACEE4E"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633"/>
        <w:gridCol w:w="1700"/>
        <w:gridCol w:w="1833"/>
        <w:gridCol w:w="1700"/>
        <w:gridCol w:w="2539"/>
      </w:tblGrid>
      <w:tr w:rsidR="00990B14" w14:paraId="79036B94" w14:textId="77777777">
        <w:trPr>
          <w:cantSplit/>
          <w:jc w:val="center"/>
        </w:trPr>
        <w:tc>
          <w:tcPr>
            <w:tcW w:w="9405" w:type="dxa"/>
            <w:gridSpan w:val="5"/>
            <w:shd w:val="clear" w:color="auto" w:fill="4472C4"/>
            <w:vAlign w:val="center"/>
          </w:tcPr>
          <w:p w14:paraId="793ECB1F" w14:textId="77777777" w:rsidR="00990B14" w:rsidRDefault="00000000">
            <w:pPr>
              <w:keepNext/>
              <w:spacing w:before="20" w:after="20"/>
              <w:jc w:val="center"/>
            </w:pPr>
            <w:r>
              <w:rPr>
                <w:b/>
                <w:bCs/>
                <w:i/>
                <w:iCs/>
                <w:color w:val="FFFFFF"/>
                <w:sz w:val="18"/>
                <w:szCs w:val="18"/>
              </w:rPr>
              <w:t>Actividades</w:t>
            </w:r>
          </w:p>
        </w:tc>
      </w:tr>
      <w:tr w:rsidR="00990B14" w14:paraId="08BC33BA" w14:textId="77777777">
        <w:trPr>
          <w:cantSplit/>
          <w:jc w:val="center"/>
        </w:trPr>
        <w:tc>
          <w:tcPr>
            <w:tcW w:w="1633" w:type="dxa"/>
            <w:shd w:val="clear" w:color="auto" w:fill="4472C4"/>
            <w:vAlign w:val="center"/>
          </w:tcPr>
          <w:p w14:paraId="13430EC5" w14:textId="77777777" w:rsidR="00990B14" w:rsidRDefault="00000000">
            <w:pPr>
              <w:keepNext/>
              <w:spacing w:before="20" w:after="20"/>
              <w:jc w:val="center"/>
            </w:pPr>
            <w:r>
              <w:rPr>
                <w:b/>
                <w:bCs/>
                <w:i/>
                <w:iCs/>
                <w:color w:val="FFFFFF"/>
                <w:sz w:val="18"/>
                <w:szCs w:val="18"/>
              </w:rPr>
              <w:t>En clase</w:t>
            </w:r>
          </w:p>
        </w:tc>
        <w:tc>
          <w:tcPr>
            <w:tcW w:w="1700" w:type="dxa"/>
            <w:shd w:val="clear" w:color="auto" w:fill="4472C4"/>
            <w:vAlign w:val="center"/>
          </w:tcPr>
          <w:p w14:paraId="0E9A54BD" w14:textId="77777777" w:rsidR="00990B14" w:rsidRDefault="00000000">
            <w:pPr>
              <w:keepNext/>
              <w:spacing w:before="20" w:after="20"/>
              <w:jc w:val="center"/>
            </w:pPr>
            <w:r>
              <w:rPr>
                <w:b/>
                <w:bCs/>
                <w:i/>
                <w:iCs/>
                <w:color w:val="FFFFFF"/>
                <w:sz w:val="18"/>
                <w:szCs w:val="18"/>
              </w:rPr>
              <w:t>Autónomas</w:t>
            </w:r>
          </w:p>
        </w:tc>
        <w:tc>
          <w:tcPr>
            <w:tcW w:w="1833" w:type="dxa"/>
            <w:shd w:val="clear" w:color="auto" w:fill="4472C4"/>
            <w:vAlign w:val="center"/>
          </w:tcPr>
          <w:p w14:paraId="51B1A0D7" w14:textId="77777777" w:rsidR="00990B14" w:rsidRDefault="00000000">
            <w:pPr>
              <w:keepNext/>
              <w:spacing w:before="20" w:after="20"/>
              <w:jc w:val="center"/>
            </w:pPr>
            <w:r>
              <w:rPr>
                <w:b/>
                <w:bCs/>
                <w:i/>
                <w:iCs/>
                <w:color w:val="FFFFFF"/>
                <w:sz w:val="18"/>
                <w:szCs w:val="18"/>
              </w:rPr>
              <w:t>B-Learning</w:t>
            </w:r>
          </w:p>
        </w:tc>
        <w:tc>
          <w:tcPr>
            <w:tcW w:w="1700" w:type="dxa"/>
            <w:shd w:val="clear" w:color="auto" w:fill="4472C4"/>
            <w:vAlign w:val="center"/>
          </w:tcPr>
          <w:p w14:paraId="26742B34" w14:textId="77777777" w:rsidR="00990B14" w:rsidRDefault="00000000">
            <w:pPr>
              <w:keepNext/>
              <w:spacing w:before="20" w:after="20"/>
              <w:jc w:val="center"/>
            </w:pPr>
            <w:r>
              <w:rPr>
                <w:b/>
                <w:bCs/>
                <w:i/>
                <w:iCs/>
                <w:color w:val="FFFFFF"/>
                <w:sz w:val="18"/>
                <w:szCs w:val="18"/>
              </w:rPr>
              <w:t>Taller</w:t>
            </w:r>
          </w:p>
        </w:tc>
        <w:tc>
          <w:tcPr>
            <w:tcW w:w="2539" w:type="dxa"/>
            <w:shd w:val="clear" w:color="auto" w:fill="4472C4"/>
            <w:vAlign w:val="center"/>
          </w:tcPr>
          <w:p w14:paraId="51AA2E39" w14:textId="77777777" w:rsidR="00990B14" w:rsidRDefault="00000000">
            <w:pPr>
              <w:keepNext/>
              <w:spacing w:before="20" w:after="20"/>
              <w:jc w:val="center"/>
            </w:pPr>
            <w:r>
              <w:rPr>
                <w:b/>
                <w:bCs/>
                <w:i/>
                <w:iCs/>
                <w:color w:val="FFFFFF"/>
                <w:sz w:val="18"/>
                <w:szCs w:val="18"/>
              </w:rPr>
              <w:t>Investigación/Práctica</w:t>
            </w:r>
          </w:p>
        </w:tc>
      </w:tr>
      <w:tr w:rsidR="00990B14" w14:paraId="61FB040E" w14:textId="77777777">
        <w:trPr>
          <w:jc w:val="center"/>
        </w:trPr>
        <w:tc>
          <w:tcPr>
            <w:tcW w:w="1633" w:type="dxa"/>
            <w:shd w:val="clear" w:color="auto" w:fill="D9E2F3"/>
          </w:tcPr>
          <w:p w14:paraId="37191314" w14:textId="77777777" w:rsidR="00990B14" w:rsidRDefault="00000000">
            <w:pPr>
              <w:numPr>
                <w:ilvl w:val="0"/>
                <w:numId w:val="139"/>
              </w:numPr>
              <w:spacing w:before="10" w:after="10"/>
              <w:jc w:val="both"/>
            </w:pPr>
            <w:r>
              <w:rPr>
                <w:sz w:val="18"/>
                <w:szCs w:val="18"/>
              </w:rPr>
              <w:t>Resolución guiada de algoritmos y diagramas de flujo.</w:t>
            </w:r>
          </w:p>
          <w:p w14:paraId="57FDBC0F" w14:textId="77777777" w:rsidR="00990B14" w:rsidRDefault="00000000">
            <w:pPr>
              <w:numPr>
                <w:ilvl w:val="0"/>
                <w:numId w:val="139"/>
              </w:numPr>
              <w:spacing w:before="10" w:after="10"/>
              <w:jc w:val="both"/>
            </w:pPr>
            <w:r>
              <w:rPr>
                <w:sz w:val="18"/>
                <w:szCs w:val="18"/>
              </w:rPr>
              <w:t>Demostración en el laboratorio de cómputo de fórmulas, tablas dinámicas y macros.</w:t>
            </w:r>
          </w:p>
          <w:p w14:paraId="3C246477" w14:textId="77777777" w:rsidR="00990B14" w:rsidRDefault="00000000">
            <w:pPr>
              <w:numPr>
                <w:ilvl w:val="0"/>
                <w:numId w:val="139"/>
              </w:numPr>
              <w:spacing w:before="10" w:after="10"/>
              <w:jc w:val="both"/>
            </w:pPr>
            <w:r>
              <w:rPr>
                <w:sz w:val="18"/>
                <w:szCs w:val="18"/>
              </w:rPr>
              <w:t>Preguntas de comprensión sobre bases de datos relacionales y lenguaje SQL.</w:t>
            </w:r>
          </w:p>
          <w:p w14:paraId="5B2EFAFA" w14:textId="77777777" w:rsidR="00990B14" w:rsidRDefault="00000000">
            <w:pPr>
              <w:numPr>
                <w:ilvl w:val="0"/>
                <w:numId w:val="139"/>
              </w:numPr>
              <w:spacing w:before="10" w:after="10"/>
              <w:jc w:val="both"/>
            </w:pPr>
            <w:r>
              <w:rPr>
                <w:sz w:val="18"/>
                <w:szCs w:val="18"/>
              </w:rPr>
              <w:t>Análisis de casos de uso de la inteligencia artificial generativa en tareas contables.</w:t>
            </w:r>
          </w:p>
        </w:tc>
        <w:tc>
          <w:tcPr>
            <w:tcW w:w="1700" w:type="dxa"/>
            <w:shd w:val="clear" w:color="auto" w:fill="D9E2F3"/>
          </w:tcPr>
          <w:p w14:paraId="345F292E" w14:textId="77777777" w:rsidR="00990B14" w:rsidRDefault="00000000">
            <w:pPr>
              <w:numPr>
                <w:ilvl w:val="0"/>
                <w:numId w:val="139"/>
              </w:numPr>
              <w:spacing w:before="10" w:after="10"/>
              <w:jc w:val="both"/>
            </w:pPr>
            <w:r>
              <w:rPr>
                <w:sz w:val="18"/>
                <w:szCs w:val="18"/>
              </w:rPr>
              <w:t>Práctica individual de ejercicios de fórmulas y funciones de Excel al cierre de cada tema.</w:t>
            </w:r>
          </w:p>
          <w:p w14:paraId="41BB93D1" w14:textId="77777777" w:rsidR="00990B14" w:rsidRDefault="00000000">
            <w:pPr>
              <w:numPr>
                <w:ilvl w:val="0"/>
                <w:numId w:val="139"/>
              </w:numPr>
              <w:spacing w:before="10" w:after="10"/>
              <w:jc w:val="both"/>
            </w:pPr>
            <w:r>
              <w:rPr>
                <w:sz w:val="18"/>
                <w:szCs w:val="18"/>
              </w:rPr>
              <w:t>Lectura de manuales y documentación oficial de las herramientas ofimáticas.</w:t>
            </w:r>
          </w:p>
          <w:p w14:paraId="5422850D" w14:textId="77777777" w:rsidR="00990B14" w:rsidRDefault="00000000">
            <w:pPr>
              <w:numPr>
                <w:ilvl w:val="0"/>
                <w:numId w:val="139"/>
              </w:numPr>
              <w:spacing w:before="10" w:after="10"/>
              <w:jc w:val="both"/>
            </w:pPr>
            <w:r>
              <w:rPr>
                <w:sz w:val="18"/>
                <w:szCs w:val="18"/>
              </w:rPr>
              <w:t>Elaboración progresiva de un proyecto integrador con procesador de texto, presentador, hoja de cálculo y base de datos.</w:t>
            </w:r>
          </w:p>
        </w:tc>
        <w:tc>
          <w:tcPr>
            <w:tcW w:w="1833" w:type="dxa"/>
            <w:shd w:val="clear" w:color="auto" w:fill="D9E2F3"/>
          </w:tcPr>
          <w:p w14:paraId="4B57328B" w14:textId="77777777" w:rsidR="00990B14" w:rsidRDefault="00000000">
            <w:pPr>
              <w:numPr>
                <w:ilvl w:val="0"/>
                <w:numId w:val="139"/>
              </w:numPr>
              <w:spacing w:before="10" w:after="10"/>
              <w:jc w:val="both"/>
            </w:pPr>
            <w:r>
              <w:rPr>
                <w:sz w:val="18"/>
                <w:szCs w:val="18"/>
              </w:rPr>
              <w:t>Cuestionarios de comprensión sobre conceptos de informática y tecnologías emergentes en la plataforma Moodle UMSA.</w:t>
            </w:r>
          </w:p>
          <w:p w14:paraId="6B3ACAC5" w14:textId="77777777" w:rsidR="00990B14" w:rsidRDefault="00000000">
            <w:pPr>
              <w:numPr>
                <w:ilvl w:val="0"/>
                <w:numId w:val="139"/>
              </w:numPr>
              <w:spacing w:before="10" w:after="10"/>
              <w:jc w:val="both"/>
            </w:pPr>
            <w:r>
              <w:rPr>
                <w:sz w:val="18"/>
                <w:szCs w:val="18"/>
              </w:rPr>
              <w:t>Foros de consulta sobre el uso de macros y Visual Basic.</w:t>
            </w:r>
          </w:p>
          <w:p w14:paraId="4981E452" w14:textId="77777777" w:rsidR="00990B14" w:rsidRDefault="00000000">
            <w:pPr>
              <w:numPr>
                <w:ilvl w:val="0"/>
                <w:numId w:val="139"/>
              </w:numPr>
              <w:spacing w:before="10" w:after="10"/>
              <w:jc w:val="both"/>
            </w:pPr>
            <w:r>
              <w:rPr>
                <w:sz w:val="18"/>
                <w:szCs w:val="18"/>
              </w:rPr>
              <w:t>Videotutoriales de manejo de tablas dinámicas, bases de datos y Power BI.</w:t>
            </w:r>
          </w:p>
        </w:tc>
        <w:tc>
          <w:tcPr>
            <w:tcW w:w="1700" w:type="dxa"/>
            <w:shd w:val="clear" w:color="auto" w:fill="D9E2F3"/>
          </w:tcPr>
          <w:p w14:paraId="17210844" w14:textId="77777777" w:rsidR="00990B14" w:rsidRDefault="00000000">
            <w:pPr>
              <w:numPr>
                <w:ilvl w:val="0"/>
                <w:numId w:val="139"/>
              </w:numPr>
              <w:spacing w:before="10" w:after="10"/>
              <w:jc w:val="both"/>
            </w:pPr>
            <w:r>
              <w:rPr>
                <w:sz w:val="18"/>
                <w:szCs w:val="18"/>
              </w:rPr>
              <w:t>Resolución colaborativa de casos con fórmulas y tablas dinámicas y macros.</w:t>
            </w:r>
          </w:p>
          <w:p w14:paraId="6946D073" w14:textId="77777777" w:rsidR="00990B14" w:rsidRDefault="00000000">
            <w:pPr>
              <w:numPr>
                <w:ilvl w:val="0"/>
                <w:numId w:val="139"/>
              </w:numPr>
              <w:spacing w:before="10" w:after="10"/>
              <w:jc w:val="both"/>
            </w:pPr>
            <w:r>
              <w:rPr>
                <w:sz w:val="18"/>
                <w:szCs w:val="18"/>
              </w:rPr>
              <w:t>Elaboración guiada de una base de datos relacional en Access.</w:t>
            </w:r>
          </w:p>
          <w:p w14:paraId="5CB7AB03" w14:textId="77777777" w:rsidR="00990B14" w:rsidRDefault="00000000">
            <w:pPr>
              <w:numPr>
                <w:ilvl w:val="0"/>
                <w:numId w:val="139"/>
              </w:numPr>
              <w:spacing w:before="10" w:after="10"/>
              <w:jc w:val="both"/>
            </w:pPr>
            <w:r>
              <w:rPr>
                <w:sz w:val="18"/>
                <w:szCs w:val="18"/>
              </w:rPr>
              <w:t>Diseño en equipo de una presentación y un documento institucional con las herramientas ofimáticas.</w:t>
            </w:r>
          </w:p>
        </w:tc>
        <w:tc>
          <w:tcPr>
            <w:tcW w:w="2539" w:type="dxa"/>
            <w:shd w:val="clear" w:color="auto" w:fill="D9E2F3"/>
          </w:tcPr>
          <w:p w14:paraId="0D2866C3" w14:textId="77777777" w:rsidR="00990B14" w:rsidRDefault="00000000">
            <w:pPr>
              <w:numPr>
                <w:ilvl w:val="0"/>
                <w:numId w:val="139"/>
              </w:numPr>
              <w:spacing w:before="10" w:after="10"/>
              <w:jc w:val="both"/>
            </w:pPr>
            <w:r>
              <w:rPr>
                <w:sz w:val="18"/>
                <w:szCs w:val="18"/>
              </w:rPr>
              <w:t>Investigación sobre la aplicación de la inteligencia artificial y el Big Data en la contabilidad</w:t>
            </w:r>
          </w:p>
        </w:tc>
      </w:tr>
    </w:tbl>
    <w:p w14:paraId="75D77648"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850"/>
        <w:gridCol w:w="1855"/>
        <w:gridCol w:w="1842"/>
        <w:gridCol w:w="2015"/>
        <w:gridCol w:w="1843"/>
      </w:tblGrid>
      <w:tr w:rsidR="00990B14" w14:paraId="4E8A4A34" w14:textId="77777777">
        <w:trPr>
          <w:jc w:val="center"/>
        </w:trPr>
        <w:tc>
          <w:tcPr>
            <w:tcW w:w="1850" w:type="dxa"/>
            <w:shd w:val="clear" w:color="auto" w:fill="4472C4"/>
            <w:vAlign w:val="center"/>
          </w:tcPr>
          <w:p w14:paraId="65E1A941" w14:textId="77777777" w:rsidR="00990B14" w:rsidRDefault="00000000">
            <w:pPr>
              <w:spacing w:before="20" w:after="20"/>
              <w:jc w:val="center"/>
            </w:pPr>
            <w:r>
              <w:rPr>
                <w:b/>
                <w:bCs/>
                <w:i/>
                <w:iCs/>
                <w:color w:val="FFFFFF"/>
                <w:sz w:val="18"/>
                <w:szCs w:val="18"/>
              </w:rPr>
              <w:lastRenderedPageBreak/>
              <w:t>Estrategias de aprendizaje y enseñanza</w:t>
            </w:r>
          </w:p>
        </w:tc>
        <w:tc>
          <w:tcPr>
            <w:tcW w:w="7555" w:type="dxa"/>
            <w:gridSpan w:val="4"/>
            <w:shd w:val="clear" w:color="auto" w:fill="D9E2F3"/>
            <w:vAlign w:val="center"/>
          </w:tcPr>
          <w:p w14:paraId="1D27219F" w14:textId="77777777" w:rsidR="00990B14" w:rsidRDefault="00000000">
            <w:pPr>
              <w:numPr>
                <w:ilvl w:val="0"/>
                <w:numId w:val="140"/>
              </w:numPr>
              <w:spacing w:before="10" w:after="10"/>
              <w:jc w:val="both"/>
            </w:pPr>
            <w:r>
              <w:rPr>
                <w:sz w:val="18"/>
                <w:szCs w:val="18"/>
              </w:rPr>
              <w:t>Aprendizaje basado en problemas con casos contables resueltos con herramientas informáticas.</w:t>
            </w:r>
          </w:p>
          <w:p w14:paraId="01417FAC" w14:textId="77777777" w:rsidR="00990B14" w:rsidRDefault="00000000">
            <w:pPr>
              <w:numPr>
                <w:ilvl w:val="0"/>
                <w:numId w:val="140"/>
              </w:numPr>
              <w:spacing w:before="10" w:after="10"/>
              <w:jc w:val="both"/>
            </w:pPr>
            <w:r>
              <w:rPr>
                <w:sz w:val="18"/>
                <w:szCs w:val="18"/>
              </w:rPr>
              <w:t>Resolución guiada de ejercicios en orden de dificultad creciente, de las operaciones básicas a las macros.</w:t>
            </w:r>
          </w:p>
          <w:p w14:paraId="48CB91B8" w14:textId="77777777" w:rsidR="00990B14" w:rsidRDefault="00000000">
            <w:pPr>
              <w:numPr>
                <w:ilvl w:val="0"/>
                <w:numId w:val="140"/>
              </w:numPr>
              <w:spacing w:before="10" w:after="10"/>
              <w:jc w:val="both"/>
            </w:pPr>
            <w:r>
              <w:rPr>
                <w:sz w:val="18"/>
                <w:szCs w:val="18"/>
              </w:rPr>
              <w:t>Proyecto integrador que recorre la hoja de cálculo y la base de datos.</w:t>
            </w:r>
          </w:p>
          <w:p w14:paraId="44A22E70" w14:textId="77777777" w:rsidR="00990B14" w:rsidRDefault="00000000">
            <w:pPr>
              <w:numPr>
                <w:ilvl w:val="0"/>
                <w:numId w:val="140"/>
              </w:numPr>
              <w:spacing w:before="10" w:after="10"/>
              <w:jc w:val="both"/>
            </w:pPr>
            <w:r>
              <w:rPr>
                <w:sz w:val="18"/>
                <w:szCs w:val="18"/>
              </w:rPr>
              <w:t>Estudio de casos de aplicación de tecnologías emergentes en la contabilidad y las finanzas.</w:t>
            </w:r>
          </w:p>
          <w:p w14:paraId="1CDC67E4" w14:textId="77777777" w:rsidR="00990B14" w:rsidRDefault="00000000">
            <w:pPr>
              <w:numPr>
                <w:ilvl w:val="0"/>
                <w:numId w:val="140"/>
              </w:numPr>
              <w:spacing w:before="10" w:after="10"/>
              <w:jc w:val="both"/>
            </w:pPr>
            <w:r>
              <w:rPr>
                <w:sz w:val="18"/>
                <w:szCs w:val="18"/>
              </w:rPr>
              <w:t>Trabajo colaborativo en equipos para el diseño de bases de datos.</w:t>
            </w:r>
          </w:p>
        </w:tc>
      </w:tr>
      <w:tr w:rsidR="00990B14" w14:paraId="1355740E" w14:textId="77777777">
        <w:trPr>
          <w:jc w:val="center"/>
        </w:trPr>
        <w:tc>
          <w:tcPr>
            <w:tcW w:w="1850" w:type="dxa"/>
            <w:shd w:val="clear" w:color="auto" w:fill="4472C4"/>
            <w:vAlign w:val="center"/>
          </w:tcPr>
          <w:p w14:paraId="2A4D8575" w14:textId="77777777" w:rsidR="00990B14" w:rsidRDefault="00000000">
            <w:pPr>
              <w:spacing w:before="20" w:after="20"/>
              <w:jc w:val="center"/>
            </w:pPr>
            <w:r>
              <w:rPr>
                <w:b/>
                <w:bCs/>
                <w:i/>
                <w:iCs/>
                <w:color w:val="FFFFFF"/>
                <w:sz w:val="18"/>
                <w:szCs w:val="18"/>
              </w:rPr>
              <w:t>Recursos para el aprendizaje</w:t>
            </w:r>
          </w:p>
        </w:tc>
        <w:tc>
          <w:tcPr>
            <w:tcW w:w="7555" w:type="dxa"/>
            <w:gridSpan w:val="4"/>
            <w:shd w:val="clear" w:color="auto" w:fill="D9E2F3"/>
            <w:vAlign w:val="center"/>
          </w:tcPr>
          <w:p w14:paraId="7B05A7CD" w14:textId="77777777" w:rsidR="00990B14" w:rsidRDefault="00000000">
            <w:pPr>
              <w:numPr>
                <w:ilvl w:val="0"/>
                <w:numId w:val="140"/>
              </w:numPr>
              <w:spacing w:before="10" w:after="10"/>
              <w:jc w:val="both"/>
            </w:pPr>
            <w:r>
              <w:rPr>
                <w:sz w:val="18"/>
                <w:szCs w:val="18"/>
              </w:rPr>
              <w:t>Plataforma Moodle UMSA.</w:t>
            </w:r>
          </w:p>
          <w:p w14:paraId="23035C8F" w14:textId="77777777" w:rsidR="00990B14" w:rsidRDefault="00000000">
            <w:pPr>
              <w:numPr>
                <w:ilvl w:val="0"/>
                <w:numId w:val="140"/>
              </w:numPr>
              <w:spacing w:before="10" w:after="10"/>
              <w:jc w:val="both"/>
            </w:pPr>
            <w:r>
              <w:rPr>
                <w:sz w:val="18"/>
                <w:szCs w:val="18"/>
              </w:rPr>
              <w:t>Paquete de Microsoft Office y editor de Visual Basic.</w:t>
            </w:r>
          </w:p>
          <w:p w14:paraId="5302A1CE" w14:textId="77777777" w:rsidR="00990B14" w:rsidRDefault="00000000">
            <w:pPr>
              <w:numPr>
                <w:ilvl w:val="0"/>
                <w:numId w:val="140"/>
              </w:numPr>
              <w:spacing w:before="10" w:after="10"/>
              <w:jc w:val="both"/>
            </w:pPr>
            <w:r>
              <w:rPr>
                <w:sz w:val="18"/>
                <w:szCs w:val="18"/>
              </w:rPr>
              <w:t>Guías de ejercicios y casos elaborados por la cátedra.</w:t>
            </w:r>
          </w:p>
          <w:p w14:paraId="27063D18" w14:textId="77777777" w:rsidR="00990B14" w:rsidRDefault="00000000">
            <w:pPr>
              <w:numPr>
                <w:ilvl w:val="0"/>
                <w:numId w:val="140"/>
              </w:numPr>
              <w:spacing w:before="10" w:after="10"/>
              <w:jc w:val="both"/>
            </w:pPr>
            <w:r>
              <w:rPr>
                <w:sz w:val="18"/>
                <w:szCs w:val="18"/>
              </w:rPr>
              <w:t>Equipos de cómputo del laboratorio de la Carrera.</w:t>
            </w:r>
          </w:p>
          <w:p w14:paraId="356292B8" w14:textId="77777777" w:rsidR="00990B14" w:rsidRDefault="00000000">
            <w:pPr>
              <w:numPr>
                <w:ilvl w:val="0"/>
                <w:numId w:val="140"/>
              </w:numPr>
              <w:spacing w:before="10" w:after="10"/>
              <w:jc w:val="both"/>
            </w:pPr>
            <w:r>
              <w:rPr>
                <w:sz w:val="18"/>
                <w:szCs w:val="18"/>
              </w:rPr>
              <w:t>Manuales y sitios web especializados en informática y tecnologías de la información.</w:t>
            </w:r>
          </w:p>
          <w:p w14:paraId="21A35DE2" w14:textId="77777777" w:rsidR="00990B14" w:rsidRDefault="00000000">
            <w:pPr>
              <w:numPr>
                <w:ilvl w:val="0"/>
                <w:numId w:val="140"/>
              </w:numPr>
              <w:spacing w:before="10" w:after="10"/>
              <w:jc w:val="both"/>
            </w:pPr>
            <w:r>
              <w:rPr>
                <w:sz w:val="18"/>
                <w:szCs w:val="18"/>
              </w:rPr>
              <w:t>Uso de herramientas digitales colaborativas.</w:t>
            </w:r>
          </w:p>
        </w:tc>
      </w:tr>
      <w:tr w:rsidR="00990B14" w14:paraId="3E4E5C36" w14:textId="77777777">
        <w:trPr>
          <w:jc w:val="center"/>
        </w:trPr>
        <w:tc>
          <w:tcPr>
            <w:tcW w:w="1850" w:type="dxa"/>
            <w:shd w:val="clear" w:color="auto" w:fill="4472C4"/>
            <w:vAlign w:val="center"/>
          </w:tcPr>
          <w:p w14:paraId="50520577" w14:textId="77777777" w:rsidR="00990B14" w:rsidRDefault="00000000">
            <w:pPr>
              <w:spacing w:before="20" w:after="20"/>
              <w:jc w:val="center"/>
            </w:pPr>
            <w:r>
              <w:rPr>
                <w:b/>
                <w:bCs/>
                <w:i/>
                <w:iCs/>
                <w:color w:val="FFFFFF"/>
                <w:sz w:val="18"/>
                <w:szCs w:val="18"/>
              </w:rPr>
              <w:t>Estrategias de evaluación</w:t>
            </w:r>
          </w:p>
        </w:tc>
        <w:tc>
          <w:tcPr>
            <w:tcW w:w="7555" w:type="dxa"/>
            <w:gridSpan w:val="4"/>
            <w:shd w:val="clear" w:color="auto" w:fill="D9E2F3"/>
            <w:vAlign w:val="center"/>
          </w:tcPr>
          <w:p w14:paraId="75A891E6" w14:textId="77777777" w:rsidR="00990B14" w:rsidRDefault="00000000">
            <w:pPr>
              <w:numPr>
                <w:ilvl w:val="0"/>
                <w:numId w:val="140"/>
              </w:numPr>
              <w:spacing w:before="10" w:after="10"/>
              <w:jc w:val="both"/>
            </w:pPr>
            <w:r>
              <w:rPr>
                <w:sz w:val="18"/>
                <w:szCs w:val="18"/>
              </w:rPr>
              <w:t>Evaluación diagnóstica: identificación de los saberes previos de informática al inicio de la asignatura.</w:t>
            </w:r>
          </w:p>
          <w:p w14:paraId="5EF2256E" w14:textId="77777777" w:rsidR="00990B14" w:rsidRDefault="00000000">
            <w:pPr>
              <w:numPr>
                <w:ilvl w:val="0"/>
                <w:numId w:val="140"/>
              </w:numPr>
              <w:spacing w:before="10" w:after="10"/>
              <w:jc w:val="both"/>
            </w:pPr>
            <w:r>
              <w:rPr>
                <w:sz w:val="18"/>
                <w:szCs w:val="18"/>
              </w:rPr>
              <w:t>Evaluación formativa: preguntas de comprensión y desarrollo de ejercicios prácticos en laboratorio, con retroalimentación continua.</w:t>
            </w:r>
          </w:p>
          <w:p w14:paraId="0A92D6FD" w14:textId="77777777" w:rsidR="00990B14" w:rsidRDefault="00000000">
            <w:pPr>
              <w:numPr>
                <w:ilvl w:val="0"/>
                <w:numId w:val="140"/>
              </w:numPr>
              <w:spacing w:before="10" w:after="10"/>
              <w:jc w:val="both"/>
            </w:pPr>
            <w:r>
              <w:rPr>
                <w:sz w:val="18"/>
                <w:szCs w:val="18"/>
              </w:rPr>
              <w:t>Evaluación sumativa: controles de lectura, evaluación de casos prácticos, trabajos de investigación y desarrollo, exámenes parciales y examen final.</w:t>
            </w:r>
          </w:p>
        </w:tc>
      </w:tr>
      <w:tr w:rsidR="00990B14" w14:paraId="02541082" w14:textId="77777777">
        <w:trPr>
          <w:jc w:val="center"/>
        </w:trPr>
        <w:tc>
          <w:tcPr>
            <w:tcW w:w="1850" w:type="dxa"/>
            <w:shd w:val="clear" w:color="auto" w:fill="4472C4"/>
            <w:vAlign w:val="center"/>
          </w:tcPr>
          <w:p w14:paraId="5F345536" w14:textId="77777777" w:rsidR="00990B14" w:rsidRDefault="00000000">
            <w:pPr>
              <w:spacing w:before="20" w:after="20"/>
              <w:jc w:val="center"/>
            </w:pPr>
            <w:r>
              <w:rPr>
                <w:b/>
                <w:bCs/>
                <w:i/>
                <w:iCs/>
                <w:color w:val="FFFFFF"/>
                <w:sz w:val="18"/>
                <w:szCs w:val="18"/>
              </w:rPr>
              <w:t>Criterios de calificación</w:t>
            </w:r>
          </w:p>
        </w:tc>
        <w:tc>
          <w:tcPr>
            <w:tcW w:w="7555" w:type="dxa"/>
            <w:gridSpan w:val="4"/>
            <w:shd w:val="clear" w:color="auto" w:fill="D9E2F3"/>
            <w:vAlign w:val="center"/>
          </w:tcPr>
          <w:p w14:paraId="75B5F166" w14:textId="77777777" w:rsidR="00990B14" w:rsidRDefault="00000000">
            <w:pPr>
              <w:numPr>
                <w:ilvl w:val="0"/>
                <w:numId w:val="140"/>
              </w:numPr>
              <w:spacing w:before="10" w:after="10"/>
              <w:jc w:val="both"/>
            </w:pPr>
            <w:r>
              <w:rPr>
                <w:sz w:val="18"/>
                <w:szCs w:val="18"/>
              </w:rPr>
              <w:t>Nota mínima de aprobación: 51/100.</w:t>
            </w:r>
          </w:p>
          <w:p w14:paraId="5FFACEC3" w14:textId="77777777" w:rsidR="00990B14" w:rsidRDefault="00000000">
            <w:pPr>
              <w:numPr>
                <w:ilvl w:val="0"/>
                <w:numId w:val="140"/>
              </w:numPr>
              <w:spacing w:before="10" w:after="10"/>
              <w:jc w:val="both"/>
            </w:pPr>
            <w:r>
              <w:rPr>
                <w:sz w:val="18"/>
                <w:szCs w:val="18"/>
              </w:rPr>
              <w:t>Evaluación periódica al finalizar cada tema, basada en evidencias de conocimiento, desempeño y producto.</w:t>
            </w:r>
          </w:p>
          <w:p w14:paraId="33DB00A8" w14:textId="77777777" w:rsidR="00990B14" w:rsidRDefault="00000000">
            <w:pPr>
              <w:numPr>
                <w:ilvl w:val="0"/>
                <w:numId w:val="140"/>
              </w:numPr>
              <w:spacing w:before="10" w:after="10"/>
              <w:jc w:val="both"/>
            </w:pPr>
            <w:r>
              <w:rPr>
                <w:sz w:val="18"/>
                <w:szCs w:val="18"/>
              </w:rPr>
              <w:t>Cada evidencia de producto se evalúa con su propia rúbrica de tres niveles: Insuficiente, Suficiente y Destacado.</w:t>
            </w:r>
          </w:p>
          <w:p w14:paraId="73B5037F" w14:textId="77777777" w:rsidR="00990B14" w:rsidRDefault="00000000">
            <w:pPr>
              <w:numPr>
                <w:ilvl w:val="0"/>
                <w:numId w:val="140"/>
              </w:numPr>
              <w:spacing w:before="10" w:after="10"/>
              <w:jc w:val="both"/>
            </w:pPr>
            <w:r>
              <w:rPr>
                <w:sz w:val="18"/>
                <w:szCs w:val="18"/>
              </w:rPr>
              <w:t>La calificación de cada elemento de competencia suma las calificaciones de sus evidencias de producto.</w:t>
            </w:r>
          </w:p>
        </w:tc>
      </w:tr>
      <w:tr w:rsidR="00990B14" w14:paraId="0458FB0A" w14:textId="77777777">
        <w:trPr>
          <w:cantSplit/>
          <w:jc w:val="center"/>
        </w:trPr>
        <w:tc>
          <w:tcPr>
            <w:tcW w:w="1850" w:type="dxa"/>
            <w:vMerge w:val="restart"/>
            <w:shd w:val="clear" w:color="auto" w:fill="4472C4"/>
            <w:vAlign w:val="center"/>
          </w:tcPr>
          <w:p w14:paraId="6E09F7F5" w14:textId="77777777" w:rsidR="00990B14" w:rsidRDefault="00000000">
            <w:pPr>
              <w:spacing w:before="20" w:after="20"/>
              <w:jc w:val="center"/>
            </w:pPr>
            <w:r>
              <w:rPr>
                <w:b/>
                <w:bCs/>
                <w:i/>
                <w:iCs/>
                <w:color w:val="FFFFFF"/>
                <w:sz w:val="18"/>
                <w:szCs w:val="18"/>
              </w:rPr>
              <w:t>Niveles de logro y distribución de la calificación</w:t>
            </w:r>
          </w:p>
        </w:tc>
        <w:tc>
          <w:tcPr>
            <w:tcW w:w="5712" w:type="dxa"/>
            <w:gridSpan w:val="3"/>
            <w:shd w:val="clear" w:color="auto" w:fill="D9E2F3"/>
            <w:vAlign w:val="center"/>
          </w:tcPr>
          <w:p w14:paraId="0F7A5CB5" w14:textId="77777777" w:rsidR="00990B14" w:rsidRDefault="00000000">
            <w:pPr>
              <w:keepNext/>
              <w:spacing w:before="20" w:after="20"/>
              <w:jc w:val="both"/>
            </w:pPr>
            <w:r>
              <w:rPr>
                <w:b/>
                <w:bCs/>
                <w:i/>
                <w:iCs/>
                <w:sz w:val="18"/>
                <w:szCs w:val="18"/>
              </w:rPr>
              <w:t xml:space="preserve">Producto 1: </w:t>
            </w:r>
            <w:r>
              <w:rPr>
                <w:sz w:val="18"/>
                <w:szCs w:val="18"/>
              </w:rPr>
              <w:t>Glosario de conceptos de informática</w:t>
            </w:r>
          </w:p>
        </w:tc>
        <w:tc>
          <w:tcPr>
            <w:tcW w:w="1843" w:type="dxa"/>
            <w:shd w:val="clear" w:color="auto" w:fill="D9E2F3"/>
            <w:vAlign w:val="center"/>
          </w:tcPr>
          <w:p w14:paraId="6443491E" w14:textId="77777777" w:rsidR="00990B14" w:rsidRDefault="00000000">
            <w:pPr>
              <w:spacing w:before="20" w:after="20"/>
              <w:jc w:val="center"/>
            </w:pPr>
            <w:r>
              <w:rPr>
                <w:b/>
                <w:bCs/>
                <w:sz w:val="18"/>
                <w:szCs w:val="18"/>
              </w:rPr>
              <w:t>8%</w:t>
            </w:r>
          </w:p>
        </w:tc>
      </w:tr>
      <w:tr w:rsidR="00990B14" w14:paraId="188CC790" w14:textId="77777777">
        <w:trPr>
          <w:cantSplit/>
          <w:jc w:val="center"/>
        </w:trPr>
        <w:tc>
          <w:tcPr>
            <w:tcW w:w="1850" w:type="dxa"/>
            <w:vMerge/>
            <w:shd w:val="clear" w:color="auto" w:fill="4472C4"/>
            <w:vAlign w:val="center"/>
          </w:tcPr>
          <w:p w14:paraId="64A35AC3" w14:textId="77777777" w:rsidR="00990B14" w:rsidRDefault="00990B14">
            <w:pPr>
              <w:spacing w:before="20" w:after="20"/>
            </w:pPr>
          </w:p>
        </w:tc>
        <w:tc>
          <w:tcPr>
            <w:tcW w:w="1855" w:type="dxa"/>
            <w:shd w:val="clear" w:color="auto" w:fill="4472C4"/>
            <w:vAlign w:val="center"/>
          </w:tcPr>
          <w:p w14:paraId="69DDEA84" w14:textId="77777777" w:rsidR="00990B14" w:rsidRDefault="00000000">
            <w:pPr>
              <w:keepNext/>
              <w:spacing w:before="20" w:after="20"/>
              <w:jc w:val="center"/>
            </w:pPr>
            <w:r>
              <w:rPr>
                <w:b/>
                <w:bCs/>
                <w:i/>
                <w:iCs/>
                <w:color w:val="FFFFFF"/>
                <w:sz w:val="18"/>
                <w:szCs w:val="18"/>
              </w:rPr>
              <w:t>Criterio</w:t>
            </w:r>
          </w:p>
        </w:tc>
        <w:tc>
          <w:tcPr>
            <w:tcW w:w="1842" w:type="dxa"/>
            <w:shd w:val="clear" w:color="auto" w:fill="4472C4"/>
            <w:vAlign w:val="center"/>
          </w:tcPr>
          <w:p w14:paraId="017AB794"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5BE15246" w14:textId="77777777" w:rsidR="00990B14" w:rsidRDefault="00000000">
            <w:pPr>
              <w:keepNext/>
              <w:spacing w:before="20" w:after="20"/>
              <w:jc w:val="center"/>
            </w:pPr>
            <w:r>
              <w:rPr>
                <w:b/>
                <w:bCs/>
                <w:i/>
                <w:iCs/>
                <w:color w:val="FFFFFF"/>
                <w:sz w:val="18"/>
                <w:szCs w:val="18"/>
              </w:rPr>
              <w:t>Suficiente (51–80)</w:t>
            </w:r>
          </w:p>
        </w:tc>
        <w:tc>
          <w:tcPr>
            <w:tcW w:w="1843" w:type="dxa"/>
            <w:shd w:val="clear" w:color="auto" w:fill="4472C4"/>
            <w:vAlign w:val="center"/>
          </w:tcPr>
          <w:p w14:paraId="6E1E3965" w14:textId="77777777" w:rsidR="00990B14" w:rsidRDefault="00000000">
            <w:pPr>
              <w:keepNext/>
              <w:spacing w:before="20" w:after="20"/>
              <w:jc w:val="center"/>
            </w:pPr>
            <w:r>
              <w:rPr>
                <w:b/>
                <w:bCs/>
                <w:i/>
                <w:iCs/>
                <w:color w:val="FFFFFF"/>
                <w:sz w:val="18"/>
                <w:szCs w:val="18"/>
              </w:rPr>
              <w:t>Destacado (81–100)</w:t>
            </w:r>
          </w:p>
        </w:tc>
      </w:tr>
      <w:tr w:rsidR="00990B14" w14:paraId="1FB1CED9" w14:textId="77777777">
        <w:trPr>
          <w:cantSplit/>
          <w:jc w:val="center"/>
        </w:trPr>
        <w:tc>
          <w:tcPr>
            <w:tcW w:w="1850" w:type="dxa"/>
            <w:vMerge/>
            <w:shd w:val="clear" w:color="auto" w:fill="4472C4"/>
            <w:vAlign w:val="center"/>
          </w:tcPr>
          <w:p w14:paraId="6BD09A21" w14:textId="77777777" w:rsidR="00990B14" w:rsidRDefault="00990B14">
            <w:pPr>
              <w:spacing w:before="20" w:after="20"/>
            </w:pPr>
          </w:p>
        </w:tc>
        <w:tc>
          <w:tcPr>
            <w:tcW w:w="1855" w:type="dxa"/>
            <w:shd w:val="clear" w:color="auto" w:fill="D9E2F3"/>
            <w:vAlign w:val="center"/>
          </w:tcPr>
          <w:p w14:paraId="3CB5D462" w14:textId="77777777" w:rsidR="00990B14" w:rsidRDefault="00000000">
            <w:pPr>
              <w:spacing w:before="20" w:after="20"/>
              <w:jc w:val="both"/>
            </w:pPr>
            <w:r>
              <w:rPr>
                <w:sz w:val="18"/>
                <w:szCs w:val="18"/>
              </w:rPr>
              <w:t>Precisión conceptual</w:t>
            </w:r>
          </w:p>
        </w:tc>
        <w:tc>
          <w:tcPr>
            <w:tcW w:w="1842" w:type="dxa"/>
            <w:shd w:val="clear" w:color="auto" w:fill="D9E2F3"/>
            <w:vAlign w:val="center"/>
          </w:tcPr>
          <w:p w14:paraId="26A178C3" w14:textId="77777777" w:rsidR="00990B14" w:rsidRDefault="00000000">
            <w:pPr>
              <w:spacing w:before="20" w:after="20"/>
              <w:jc w:val="both"/>
            </w:pPr>
            <w:r>
              <w:rPr>
                <w:sz w:val="18"/>
                <w:szCs w:val="18"/>
              </w:rPr>
              <w:t>Las definiciones son erróneas.</w:t>
            </w:r>
          </w:p>
        </w:tc>
        <w:tc>
          <w:tcPr>
            <w:tcW w:w="2015" w:type="dxa"/>
            <w:shd w:val="clear" w:color="auto" w:fill="D9E2F3"/>
            <w:vAlign w:val="center"/>
          </w:tcPr>
          <w:p w14:paraId="1BA29D6B" w14:textId="77777777" w:rsidR="00990B14" w:rsidRDefault="00000000">
            <w:pPr>
              <w:spacing w:before="20" w:after="20"/>
              <w:jc w:val="both"/>
            </w:pPr>
            <w:r>
              <w:rPr>
                <w:sz w:val="18"/>
                <w:szCs w:val="18"/>
              </w:rPr>
              <w:t>Define correctamente cada concepto.</w:t>
            </w:r>
          </w:p>
        </w:tc>
        <w:tc>
          <w:tcPr>
            <w:tcW w:w="1843" w:type="dxa"/>
            <w:shd w:val="clear" w:color="auto" w:fill="D9E2F3"/>
            <w:vAlign w:val="center"/>
          </w:tcPr>
          <w:p w14:paraId="487DDDC6" w14:textId="77777777" w:rsidR="00990B14" w:rsidRDefault="00000000">
            <w:pPr>
              <w:spacing w:before="20" w:after="20"/>
              <w:jc w:val="both"/>
            </w:pPr>
            <w:r>
              <w:rPr>
                <w:sz w:val="18"/>
                <w:szCs w:val="18"/>
              </w:rPr>
              <w:t>Ilustra cada concepto con un ejemplo contable.</w:t>
            </w:r>
          </w:p>
        </w:tc>
      </w:tr>
      <w:tr w:rsidR="00990B14" w14:paraId="1F9E09A4" w14:textId="77777777">
        <w:trPr>
          <w:cantSplit/>
          <w:jc w:val="center"/>
        </w:trPr>
        <w:tc>
          <w:tcPr>
            <w:tcW w:w="1850" w:type="dxa"/>
            <w:vMerge/>
            <w:shd w:val="clear" w:color="auto" w:fill="4472C4"/>
            <w:vAlign w:val="center"/>
          </w:tcPr>
          <w:p w14:paraId="03590D1D" w14:textId="77777777" w:rsidR="00990B14" w:rsidRDefault="00990B14">
            <w:pPr>
              <w:spacing w:before="20" w:after="20"/>
            </w:pPr>
          </w:p>
        </w:tc>
        <w:tc>
          <w:tcPr>
            <w:tcW w:w="1855" w:type="dxa"/>
            <w:shd w:val="clear" w:color="auto" w:fill="D9E2F3"/>
            <w:vAlign w:val="center"/>
          </w:tcPr>
          <w:p w14:paraId="0A58C072" w14:textId="77777777" w:rsidR="00990B14" w:rsidRDefault="00000000">
            <w:pPr>
              <w:spacing w:before="20" w:after="20"/>
              <w:jc w:val="both"/>
            </w:pPr>
            <w:r>
              <w:rPr>
                <w:sz w:val="18"/>
                <w:szCs w:val="18"/>
              </w:rPr>
              <w:t>Cobertura</w:t>
            </w:r>
          </w:p>
        </w:tc>
        <w:tc>
          <w:tcPr>
            <w:tcW w:w="1842" w:type="dxa"/>
            <w:shd w:val="clear" w:color="auto" w:fill="D9E2F3"/>
            <w:vAlign w:val="center"/>
          </w:tcPr>
          <w:p w14:paraId="09DB7DA7" w14:textId="77777777" w:rsidR="00990B14" w:rsidRDefault="00000000">
            <w:pPr>
              <w:spacing w:before="20" w:after="20"/>
              <w:jc w:val="both"/>
            </w:pPr>
            <w:r>
              <w:rPr>
                <w:sz w:val="18"/>
                <w:szCs w:val="18"/>
              </w:rPr>
              <w:t>Omite conceptos clave.</w:t>
            </w:r>
          </w:p>
        </w:tc>
        <w:tc>
          <w:tcPr>
            <w:tcW w:w="2015" w:type="dxa"/>
            <w:shd w:val="clear" w:color="auto" w:fill="D9E2F3"/>
            <w:vAlign w:val="center"/>
          </w:tcPr>
          <w:p w14:paraId="447037E6" w14:textId="77777777" w:rsidR="00990B14" w:rsidRDefault="00000000">
            <w:pPr>
              <w:spacing w:before="20" w:after="20"/>
              <w:jc w:val="both"/>
            </w:pPr>
            <w:r>
              <w:rPr>
                <w:sz w:val="18"/>
                <w:szCs w:val="18"/>
              </w:rPr>
              <w:t>Incluye hardware, software, dato, información y sistema de información.</w:t>
            </w:r>
          </w:p>
        </w:tc>
        <w:tc>
          <w:tcPr>
            <w:tcW w:w="1843" w:type="dxa"/>
            <w:shd w:val="clear" w:color="auto" w:fill="D9E2F3"/>
            <w:vAlign w:val="center"/>
          </w:tcPr>
          <w:p w14:paraId="201D504B" w14:textId="77777777" w:rsidR="00990B14" w:rsidRDefault="00000000">
            <w:pPr>
              <w:spacing w:before="20" w:after="20"/>
              <w:jc w:val="both"/>
            </w:pPr>
            <w:r>
              <w:rPr>
                <w:sz w:val="18"/>
                <w:szCs w:val="18"/>
              </w:rPr>
              <w:t>Relaciona los conceptos entre sí.</w:t>
            </w:r>
          </w:p>
        </w:tc>
      </w:tr>
      <w:tr w:rsidR="00990B14" w14:paraId="2599BCB2" w14:textId="77777777">
        <w:trPr>
          <w:cantSplit/>
          <w:jc w:val="center"/>
        </w:trPr>
        <w:tc>
          <w:tcPr>
            <w:tcW w:w="1850" w:type="dxa"/>
            <w:vMerge/>
            <w:shd w:val="clear" w:color="auto" w:fill="4472C4"/>
            <w:vAlign w:val="center"/>
          </w:tcPr>
          <w:p w14:paraId="0CE49B7E" w14:textId="77777777" w:rsidR="00990B14" w:rsidRDefault="00990B14">
            <w:pPr>
              <w:spacing w:before="20" w:after="20"/>
            </w:pPr>
          </w:p>
        </w:tc>
        <w:tc>
          <w:tcPr>
            <w:tcW w:w="1855" w:type="dxa"/>
            <w:shd w:val="clear" w:color="auto" w:fill="D9E2F3"/>
            <w:vAlign w:val="center"/>
          </w:tcPr>
          <w:p w14:paraId="392DEC1E" w14:textId="77777777" w:rsidR="00990B14" w:rsidRDefault="00000000">
            <w:pPr>
              <w:spacing w:before="20" w:after="20"/>
              <w:jc w:val="both"/>
            </w:pPr>
            <w:r>
              <w:rPr>
                <w:sz w:val="18"/>
                <w:szCs w:val="18"/>
              </w:rPr>
              <w:t>Seguridad de los datos</w:t>
            </w:r>
          </w:p>
        </w:tc>
        <w:tc>
          <w:tcPr>
            <w:tcW w:w="1842" w:type="dxa"/>
            <w:shd w:val="clear" w:color="auto" w:fill="D9E2F3"/>
            <w:vAlign w:val="center"/>
          </w:tcPr>
          <w:p w14:paraId="31C80F58" w14:textId="77777777" w:rsidR="00990B14" w:rsidRDefault="00000000">
            <w:pPr>
              <w:spacing w:before="20" w:after="20"/>
              <w:jc w:val="both"/>
            </w:pPr>
            <w:r>
              <w:rPr>
                <w:sz w:val="18"/>
                <w:szCs w:val="18"/>
              </w:rPr>
              <w:t>No menciona la seguridad.</w:t>
            </w:r>
          </w:p>
        </w:tc>
        <w:tc>
          <w:tcPr>
            <w:tcW w:w="2015" w:type="dxa"/>
            <w:shd w:val="clear" w:color="auto" w:fill="D9E2F3"/>
            <w:vAlign w:val="center"/>
          </w:tcPr>
          <w:p w14:paraId="630171A4" w14:textId="77777777" w:rsidR="00990B14" w:rsidRDefault="00000000">
            <w:pPr>
              <w:spacing w:before="20" w:after="20"/>
              <w:jc w:val="both"/>
            </w:pPr>
            <w:r>
              <w:rPr>
                <w:sz w:val="18"/>
                <w:szCs w:val="18"/>
              </w:rPr>
              <w:t>Describe la confidencialidad, la integridad y la disponibilidad.</w:t>
            </w:r>
          </w:p>
        </w:tc>
        <w:tc>
          <w:tcPr>
            <w:tcW w:w="1843" w:type="dxa"/>
            <w:shd w:val="clear" w:color="auto" w:fill="D9E2F3"/>
            <w:vAlign w:val="center"/>
          </w:tcPr>
          <w:p w14:paraId="49719624" w14:textId="77777777" w:rsidR="00990B14" w:rsidRDefault="00000000">
            <w:pPr>
              <w:spacing w:before="20" w:after="20"/>
              <w:jc w:val="both"/>
            </w:pPr>
            <w:r>
              <w:rPr>
                <w:sz w:val="18"/>
                <w:szCs w:val="18"/>
              </w:rPr>
              <w:t>Propone medidas de seguridad para los datos contables.</w:t>
            </w:r>
          </w:p>
        </w:tc>
      </w:tr>
      <w:tr w:rsidR="00990B14" w14:paraId="34D79173" w14:textId="77777777">
        <w:trPr>
          <w:cantSplit/>
          <w:jc w:val="center"/>
        </w:trPr>
        <w:tc>
          <w:tcPr>
            <w:tcW w:w="1850" w:type="dxa"/>
            <w:vMerge/>
            <w:shd w:val="clear" w:color="auto" w:fill="4472C4"/>
            <w:vAlign w:val="center"/>
          </w:tcPr>
          <w:p w14:paraId="15E8B56F" w14:textId="77777777" w:rsidR="00990B14" w:rsidRDefault="00990B14">
            <w:pPr>
              <w:spacing w:before="20" w:after="20"/>
            </w:pPr>
          </w:p>
        </w:tc>
        <w:tc>
          <w:tcPr>
            <w:tcW w:w="5712" w:type="dxa"/>
            <w:gridSpan w:val="3"/>
            <w:shd w:val="clear" w:color="auto" w:fill="D9E2F3"/>
            <w:vAlign w:val="center"/>
          </w:tcPr>
          <w:p w14:paraId="1B8522B7" w14:textId="77777777" w:rsidR="00990B14" w:rsidRDefault="00000000">
            <w:pPr>
              <w:keepNext/>
              <w:spacing w:before="20" w:after="20"/>
              <w:jc w:val="both"/>
            </w:pPr>
            <w:r>
              <w:rPr>
                <w:b/>
                <w:bCs/>
                <w:i/>
                <w:iCs/>
                <w:sz w:val="18"/>
                <w:szCs w:val="18"/>
              </w:rPr>
              <w:t xml:space="preserve">Producto 2: </w:t>
            </w:r>
            <w:r>
              <w:rPr>
                <w:sz w:val="18"/>
                <w:szCs w:val="18"/>
              </w:rPr>
              <w:t>Ficha técnica de un equipo de cómputo</w:t>
            </w:r>
          </w:p>
        </w:tc>
        <w:tc>
          <w:tcPr>
            <w:tcW w:w="1843" w:type="dxa"/>
            <w:shd w:val="clear" w:color="auto" w:fill="D9E2F3"/>
            <w:vAlign w:val="center"/>
          </w:tcPr>
          <w:p w14:paraId="5D919395" w14:textId="77777777" w:rsidR="00990B14" w:rsidRDefault="00000000">
            <w:pPr>
              <w:spacing w:before="20" w:after="20"/>
              <w:jc w:val="center"/>
            </w:pPr>
            <w:r>
              <w:rPr>
                <w:b/>
                <w:bCs/>
                <w:sz w:val="18"/>
                <w:szCs w:val="18"/>
              </w:rPr>
              <w:t>8%</w:t>
            </w:r>
          </w:p>
        </w:tc>
      </w:tr>
      <w:tr w:rsidR="00990B14" w14:paraId="69F2CD34" w14:textId="77777777">
        <w:trPr>
          <w:cantSplit/>
          <w:jc w:val="center"/>
        </w:trPr>
        <w:tc>
          <w:tcPr>
            <w:tcW w:w="1850" w:type="dxa"/>
            <w:vMerge/>
            <w:shd w:val="clear" w:color="auto" w:fill="4472C4"/>
            <w:vAlign w:val="center"/>
          </w:tcPr>
          <w:p w14:paraId="4CF3A5D8" w14:textId="77777777" w:rsidR="00990B14" w:rsidRDefault="00990B14">
            <w:pPr>
              <w:spacing w:before="20" w:after="20"/>
            </w:pPr>
          </w:p>
        </w:tc>
        <w:tc>
          <w:tcPr>
            <w:tcW w:w="1855" w:type="dxa"/>
            <w:shd w:val="clear" w:color="auto" w:fill="4472C4"/>
            <w:vAlign w:val="center"/>
          </w:tcPr>
          <w:p w14:paraId="3A2E2ABB" w14:textId="77777777" w:rsidR="00990B14" w:rsidRDefault="00000000">
            <w:pPr>
              <w:keepNext/>
              <w:spacing w:before="20" w:after="20"/>
              <w:jc w:val="center"/>
            </w:pPr>
            <w:r>
              <w:rPr>
                <w:b/>
                <w:bCs/>
                <w:i/>
                <w:iCs/>
                <w:color w:val="FFFFFF"/>
                <w:sz w:val="18"/>
                <w:szCs w:val="18"/>
              </w:rPr>
              <w:t>Criterio</w:t>
            </w:r>
          </w:p>
        </w:tc>
        <w:tc>
          <w:tcPr>
            <w:tcW w:w="1842" w:type="dxa"/>
            <w:shd w:val="clear" w:color="auto" w:fill="4472C4"/>
            <w:vAlign w:val="center"/>
          </w:tcPr>
          <w:p w14:paraId="182A2AEB"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24BD2AD3" w14:textId="77777777" w:rsidR="00990B14" w:rsidRDefault="00000000">
            <w:pPr>
              <w:keepNext/>
              <w:spacing w:before="20" w:after="20"/>
              <w:jc w:val="center"/>
            </w:pPr>
            <w:r>
              <w:rPr>
                <w:b/>
                <w:bCs/>
                <w:i/>
                <w:iCs/>
                <w:color w:val="FFFFFF"/>
                <w:sz w:val="18"/>
                <w:szCs w:val="18"/>
              </w:rPr>
              <w:t>Suficiente (51–80)</w:t>
            </w:r>
          </w:p>
        </w:tc>
        <w:tc>
          <w:tcPr>
            <w:tcW w:w="1843" w:type="dxa"/>
            <w:shd w:val="clear" w:color="auto" w:fill="4472C4"/>
            <w:vAlign w:val="center"/>
          </w:tcPr>
          <w:p w14:paraId="0820B600" w14:textId="77777777" w:rsidR="00990B14" w:rsidRDefault="00000000">
            <w:pPr>
              <w:keepNext/>
              <w:spacing w:before="20" w:after="20"/>
              <w:jc w:val="center"/>
            </w:pPr>
            <w:r>
              <w:rPr>
                <w:b/>
                <w:bCs/>
                <w:i/>
                <w:iCs/>
                <w:color w:val="FFFFFF"/>
                <w:sz w:val="18"/>
                <w:szCs w:val="18"/>
              </w:rPr>
              <w:t>Destacado (81–100)</w:t>
            </w:r>
          </w:p>
        </w:tc>
      </w:tr>
      <w:tr w:rsidR="00990B14" w14:paraId="737FD45A" w14:textId="77777777">
        <w:trPr>
          <w:cantSplit/>
          <w:jc w:val="center"/>
        </w:trPr>
        <w:tc>
          <w:tcPr>
            <w:tcW w:w="1850" w:type="dxa"/>
            <w:vMerge/>
            <w:shd w:val="clear" w:color="auto" w:fill="4472C4"/>
            <w:vAlign w:val="center"/>
          </w:tcPr>
          <w:p w14:paraId="22B72E5E" w14:textId="77777777" w:rsidR="00990B14" w:rsidRDefault="00990B14">
            <w:pPr>
              <w:spacing w:before="20" w:after="20"/>
            </w:pPr>
          </w:p>
        </w:tc>
        <w:tc>
          <w:tcPr>
            <w:tcW w:w="1855" w:type="dxa"/>
            <w:shd w:val="clear" w:color="auto" w:fill="D9E2F3"/>
            <w:vAlign w:val="center"/>
          </w:tcPr>
          <w:p w14:paraId="687A83E5" w14:textId="77777777" w:rsidR="00990B14" w:rsidRDefault="00000000">
            <w:pPr>
              <w:spacing w:before="20" w:after="20"/>
              <w:jc w:val="both"/>
            </w:pPr>
            <w:r>
              <w:rPr>
                <w:sz w:val="18"/>
                <w:szCs w:val="18"/>
              </w:rPr>
              <w:t>Componentes</w:t>
            </w:r>
          </w:p>
        </w:tc>
        <w:tc>
          <w:tcPr>
            <w:tcW w:w="1842" w:type="dxa"/>
            <w:shd w:val="clear" w:color="auto" w:fill="D9E2F3"/>
            <w:vAlign w:val="center"/>
          </w:tcPr>
          <w:p w14:paraId="3F22C76D" w14:textId="77777777" w:rsidR="00990B14" w:rsidRDefault="00000000">
            <w:pPr>
              <w:spacing w:before="20" w:after="20"/>
              <w:jc w:val="both"/>
            </w:pPr>
            <w:r>
              <w:rPr>
                <w:sz w:val="18"/>
                <w:szCs w:val="18"/>
              </w:rPr>
              <w:t>Omite componentes.</w:t>
            </w:r>
          </w:p>
        </w:tc>
        <w:tc>
          <w:tcPr>
            <w:tcW w:w="2015" w:type="dxa"/>
            <w:shd w:val="clear" w:color="auto" w:fill="D9E2F3"/>
            <w:vAlign w:val="center"/>
          </w:tcPr>
          <w:p w14:paraId="34497545" w14:textId="77777777" w:rsidR="00990B14" w:rsidRDefault="00000000">
            <w:pPr>
              <w:spacing w:before="20" w:after="20"/>
              <w:jc w:val="both"/>
            </w:pPr>
            <w:r>
              <w:rPr>
                <w:sz w:val="18"/>
                <w:szCs w:val="18"/>
              </w:rPr>
              <w:t>Identifica los dispositivos de entrada, proceso y salida y el software instalado.</w:t>
            </w:r>
          </w:p>
        </w:tc>
        <w:tc>
          <w:tcPr>
            <w:tcW w:w="1843" w:type="dxa"/>
            <w:shd w:val="clear" w:color="auto" w:fill="D9E2F3"/>
            <w:vAlign w:val="center"/>
          </w:tcPr>
          <w:p w14:paraId="01249549" w14:textId="77777777" w:rsidR="00990B14" w:rsidRDefault="00000000">
            <w:pPr>
              <w:spacing w:before="20" w:after="20"/>
              <w:jc w:val="both"/>
            </w:pPr>
            <w:r>
              <w:rPr>
                <w:sz w:val="18"/>
                <w:szCs w:val="18"/>
              </w:rPr>
              <w:t>Explica la función de cada componente en el trabajo contable.</w:t>
            </w:r>
          </w:p>
        </w:tc>
      </w:tr>
      <w:tr w:rsidR="00990B14" w14:paraId="62D7BB27" w14:textId="77777777">
        <w:trPr>
          <w:cantSplit/>
          <w:jc w:val="center"/>
        </w:trPr>
        <w:tc>
          <w:tcPr>
            <w:tcW w:w="1850" w:type="dxa"/>
            <w:vMerge/>
            <w:shd w:val="clear" w:color="auto" w:fill="4472C4"/>
            <w:vAlign w:val="center"/>
          </w:tcPr>
          <w:p w14:paraId="0A0281CD" w14:textId="77777777" w:rsidR="00990B14" w:rsidRDefault="00990B14">
            <w:pPr>
              <w:spacing w:before="20" w:after="20"/>
            </w:pPr>
          </w:p>
        </w:tc>
        <w:tc>
          <w:tcPr>
            <w:tcW w:w="1855" w:type="dxa"/>
            <w:shd w:val="clear" w:color="auto" w:fill="D9E2F3"/>
            <w:vAlign w:val="center"/>
          </w:tcPr>
          <w:p w14:paraId="1D3A534A" w14:textId="77777777" w:rsidR="00990B14" w:rsidRDefault="00000000">
            <w:pPr>
              <w:spacing w:before="20" w:after="20"/>
              <w:jc w:val="both"/>
            </w:pPr>
            <w:r>
              <w:rPr>
                <w:sz w:val="18"/>
                <w:szCs w:val="18"/>
              </w:rPr>
              <w:t>Riesgos</w:t>
            </w:r>
          </w:p>
        </w:tc>
        <w:tc>
          <w:tcPr>
            <w:tcW w:w="1842" w:type="dxa"/>
            <w:shd w:val="clear" w:color="auto" w:fill="D9E2F3"/>
            <w:vAlign w:val="center"/>
          </w:tcPr>
          <w:p w14:paraId="619A121A" w14:textId="77777777" w:rsidR="00990B14" w:rsidRDefault="00000000">
            <w:pPr>
              <w:spacing w:before="20" w:after="20"/>
              <w:jc w:val="both"/>
            </w:pPr>
            <w:r>
              <w:rPr>
                <w:sz w:val="18"/>
                <w:szCs w:val="18"/>
              </w:rPr>
              <w:t>No identifica riesgos.</w:t>
            </w:r>
          </w:p>
        </w:tc>
        <w:tc>
          <w:tcPr>
            <w:tcW w:w="2015" w:type="dxa"/>
            <w:shd w:val="clear" w:color="auto" w:fill="D9E2F3"/>
            <w:vAlign w:val="center"/>
          </w:tcPr>
          <w:p w14:paraId="6EB54F93" w14:textId="77777777" w:rsidR="00990B14" w:rsidRDefault="00000000">
            <w:pPr>
              <w:spacing w:before="20" w:after="20"/>
              <w:jc w:val="both"/>
            </w:pPr>
            <w:r>
              <w:rPr>
                <w:sz w:val="18"/>
                <w:szCs w:val="18"/>
              </w:rPr>
              <w:t>Identifica los riesgos de seguridad del equipo.</w:t>
            </w:r>
          </w:p>
        </w:tc>
        <w:tc>
          <w:tcPr>
            <w:tcW w:w="1843" w:type="dxa"/>
            <w:shd w:val="clear" w:color="auto" w:fill="D9E2F3"/>
            <w:vAlign w:val="center"/>
          </w:tcPr>
          <w:p w14:paraId="3CBABC54" w14:textId="77777777" w:rsidR="00990B14" w:rsidRDefault="00000000">
            <w:pPr>
              <w:spacing w:before="20" w:after="20"/>
              <w:jc w:val="both"/>
            </w:pPr>
            <w:r>
              <w:rPr>
                <w:sz w:val="18"/>
                <w:szCs w:val="18"/>
              </w:rPr>
              <w:t>Prioriza los riesgos según su efecto en la información.</w:t>
            </w:r>
          </w:p>
        </w:tc>
      </w:tr>
      <w:tr w:rsidR="00990B14" w14:paraId="49E95ACF" w14:textId="77777777">
        <w:trPr>
          <w:cantSplit/>
          <w:jc w:val="center"/>
        </w:trPr>
        <w:tc>
          <w:tcPr>
            <w:tcW w:w="1850" w:type="dxa"/>
            <w:vMerge/>
            <w:shd w:val="clear" w:color="auto" w:fill="4472C4"/>
            <w:vAlign w:val="center"/>
          </w:tcPr>
          <w:p w14:paraId="0933C2CE" w14:textId="77777777" w:rsidR="00990B14" w:rsidRDefault="00990B14">
            <w:pPr>
              <w:spacing w:before="20" w:after="20"/>
            </w:pPr>
          </w:p>
        </w:tc>
        <w:tc>
          <w:tcPr>
            <w:tcW w:w="1855" w:type="dxa"/>
            <w:shd w:val="clear" w:color="auto" w:fill="D9E2F3"/>
            <w:vAlign w:val="center"/>
          </w:tcPr>
          <w:p w14:paraId="21C50113" w14:textId="77777777" w:rsidR="00990B14" w:rsidRDefault="00000000">
            <w:pPr>
              <w:spacing w:before="20" w:after="20"/>
              <w:jc w:val="both"/>
            </w:pPr>
            <w:r>
              <w:rPr>
                <w:sz w:val="18"/>
                <w:szCs w:val="18"/>
              </w:rPr>
              <w:t>Controles</w:t>
            </w:r>
          </w:p>
        </w:tc>
        <w:tc>
          <w:tcPr>
            <w:tcW w:w="1842" w:type="dxa"/>
            <w:shd w:val="clear" w:color="auto" w:fill="D9E2F3"/>
            <w:vAlign w:val="center"/>
          </w:tcPr>
          <w:p w14:paraId="1DC6FE23" w14:textId="77777777" w:rsidR="00990B14" w:rsidRDefault="00000000">
            <w:pPr>
              <w:spacing w:before="20" w:after="20"/>
              <w:jc w:val="both"/>
            </w:pPr>
            <w:r>
              <w:rPr>
                <w:sz w:val="18"/>
                <w:szCs w:val="18"/>
              </w:rPr>
              <w:t>No propone controles.</w:t>
            </w:r>
          </w:p>
        </w:tc>
        <w:tc>
          <w:tcPr>
            <w:tcW w:w="2015" w:type="dxa"/>
            <w:shd w:val="clear" w:color="auto" w:fill="D9E2F3"/>
            <w:vAlign w:val="center"/>
          </w:tcPr>
          <w:p w14:paraId="76103C15" w14:textId="77777777" w:rsidR="00990B14" w:rsidRDefault="00000000">
            <w:pPr>
              <w:spacing w:before="20" w:after="20"/>
              <w:jc w:val="both"/>
            </w:pPr>
            <w:r>
              <w:rPr>
                <w:sz w:val="18"/>
                <w:szCs w:val="18"/>
              </w:rPr>
              <w:t>Propone controles básicos de seguridad.</w:t>
            </w:r>
          </w:p>
        </w:tc>
        <w:tc>
          <w:tcPr>
            <w:tcW w:w="1843" w:type="dxa"/>
            <w:shd w:val="clear" w:color="auto" w:fill="D9E2F3"/>
            <w:vAlign w:val="center"/>
          </w:tcPr>
          <w:p w14:paraId="67DDFABF" w14:textId="77777777" w:rsidR="00990B14" w:rsidRDefault="00000000">
            <w:pPr>
              <w:spacing w:before="20" w:after="20"/>
              <w:jc w:val="both"/>
            </w:pPr>
            <w:r>
              <w:rPr>
                <w:sz w:val="18"/>
                <w:szCs w:val="18"/>
              </w:rPr>
              <w:t>Verifica la aplicación de los controles en el equipo.</w:t>
            </w:r>
          </w:p>
        </w:tc>
      </w:tr>
      <w:tr w:rsidR="00990B14" w14:paraId="2BFE0BCD" w14:textId="77777777">
        <w:trPr>
          <w:cantSplit/>
          <w:jc w:val="center"/>
        </w:trPr>
        <w:tc>
          <w:tcPr>
            <w:tcW w:w="1850" w:type="dxa"/>
            <w:vMerge/>
            <w:shd w:val="clear" w:color="auto" w:fill="4472C4"/>
            <w:vAlign w:val="center"/>
          </w:tcPr>
          <w:p w14:paraId="184DA6D8" w14:textId="77777777" w:rsidR="00990B14" w:rsidRDefault="00990B14">
            <w:pPr>
              <w:spacing w:before="20" w:after="20"/>
            </w:pPr>
          </w:p>
        </w:tc>
        <w:tc>
          <w:tcPr>
            <w:tcW w:w="5712" w:type="dxa"/>
            <w:gridSpan w:val="3"/>
            <w:shd w:val="clear" w:color="auto" w:fill="D9E2F3"/>
            <w:vAlign w:val="center"/>
          </w:tcPr>
          <w:p w14:paraId="760678AB" w14:textId="77777777" w:rsidR="00990B14" w:rsidRDefault="00000000">
            <w:pPr>
              <w:keepNext/>
              <w:spacing w:before="20" w:after="20"/>
              <w:jc w:val="both"/>
            </w:pPr>
            <w:r>
              <w:rPr>
                <w:b/>
                <w:bCs/>
                <w:i/>
                <w:iCs/>
                <w:sz w:val="18"/>
                <w:szCs w:val="18"/>
              </w:rPr>
              <w:t xml:space="preserve">Producto 3: </w:t>
            </w:r>
            <w:r>
              <w:rPr>
                <w:sz w:val="18"/>
                <w:szCs w:val="18"/>
              </w:rPr>
              <w:t>Diagrama de flujo de un algoritmo</w:t>
            </w:r>
          </w:p>
        </w:tc>
        <w:tc>
          <w:tcPr>
            <w:tcW w:w="1843" w:type="dxa"/>
            <w:shd w:val="clear" w:color="auto" w:fill="D9E2F3"/>
            <w:vAlign w:val="center"/>
          </w:tcPr>
          <w:p w14:paraId="71502DE8" w14:textId="77777777" w:rsidR="00990B14" w:rsidRDefault="00000000">
            <w:pPr>
              <w:spacing w:before="20" w:after="20"/>
              <w:jc w:val="center"/>
            </w:pPr>
            <w:r>
              <w:rPr>
                <w:b/>
                <w:bCs/>
                <w:sz w:val="18"/>
                <w:szCs w:val="18"/>
              </w:rPr>
              <w:t>8%</w:t>
            </w:r>
          </w:p>
        </w:tc>
      </w:tr>
      <w:tr w:rsidR="00990B14" w14:paraId="6249C7CF" w14:textId="77777777">
        <w:trPr>
          <w:cantSplit/>
          <w:jc w:val="center"/>
        </w:trPr>
        <w:tc>
          <w:tcPr>
            <w:tcW w:w="1850" w:type="dxa"/>
            <w:vMerge/>
            <w:shd w:val="clear" w:color="auto" w:fill="4472C4"/>
            <w:vAlign w:val="center"/>
          </w:tcPr>
          <w:p w14:paraId="4C178E50" w14:textId="77777777" w:rsidR="00990B14" w:rsidRDefault="00990B14">
            <w:pPr>
              <w:spacing w:before="20" w:after="20"/>
            </w:pPr>
          </w:p>
        </w:tc>
        <w:tc>
          <w:tcPr>
            <w:tcW w:w="1855" w:type="dxa"/>
            <w:shd w:val="clear" w:color="auto" w:fill="4472C4"/>
            <w:vAlign w:val="center"/>
          </w:tcPr>
          <w:p w14:paraId="3EBB80E8" w14:textId="77777777" w:rsidR="00990B14" w:rsidRDefault="00000000">
            <w:pPr>
              <w:keepNext/>
              <w:spacing w:before="20" w:after="20"/>
              <w:jc w:val="center"/>
            </w:pPr>
            <w:r>
              <w:rPr>
                <w:b/>
                <w:bCs/>
                <w:i/>
                <w:iCs/>
                <w:color w:val="FFFFFF"/>
                <w:sz w:val="18"/>
                <w:szCs w:val="18"/>
              </w:rPr>
              <w:t>Criterio</w:t>
            </w:r>
          </w:p>
        </w:tc>
        <w:tc>
          <w:tcPr>
            <w:tcW w:w="1842" w:type="dxa"/>
            <w:shd w:val="clear" w:color="auto" w:fill="4472C4"/>
            <w:vAlign w:val="center"/>
          </w:tcPr>
          <w:p w14:paraId="3A4D290F"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3D2D0A0D" w14:textId="77777777" w:rsidR="00990B14" w:rsidRDefault="00000000">
            <w:pPr>
              <w:keepNext/>
              <w:spacing w:before="20" w:after="20"/>
              <w:jc w:val="center"/>
            </w:pPr>
            <w:r>
              <w:rPr>
                <w:b/>
                <w:bCs/>
                <w:i/>
                <w:iCs/>
                <w:color w:val="FFFFFF"/>
                <w:sz w:val="18"/>
                <w:szCs w:val="18"/>
              </w:rPr>
              <w:t>Suficiente (51–80)</w:t>
            </w:r>
          </w:p>
        </w:tc>
        <w:tc>
          <w:tcPr>
            <w:tcW w:w="1843" w:type="dxa"/>
            <w:shd w:val="clear" w:color="auto" w:fill="4472C4"/>
            <w:vAlign w:val="center"/>
          </w:tcPr>
          <w:p w14:paraId="03E77A41" w14:textId="77777777" w:rsidR="00990B14" w:rsidRDefault="00000000">
            <w:pPr>
              <w:keepNext/>
              <w:spacing w:before="20" w:after="20"/>
              <w:jc w:val="center"/>
            </w:pPr>
            <w:r>
              <w:rPr>
                <w:b/>
                <w:bCs/>
                <w:i/>
                <w:iCs/>
                <w:color w:val="FFFFFF"/>
                <w:sz w:val="18"/>
                <w:szCs w:val="18"/>
              </w:rPr>
              <w:t>Destacado (81–100)</w:t>
            </w:r>
          </w:p>
        </w:tc>
      </w:tr>
      <w:tr w:rsidR="00990B14" w14:paraId="2C980F39" w14:textId="77777777">
        <w:trPr>
          <w:cantSplit/>
          <w:jc w:val="center"/>
        </w:trPr>
        <w:tc>
          <w:tcPr>
            <w:tcW w:w="1850" w:type="dxa"/>
            <w:vMerge/>
            <w:shd w:val="clear" w:color="auto" w:fill="4472C4"/>
            <w:vAlign w:val="center"/>
          </w:tcPr>
          <w:p w14:paraId="438332E1" w14:textId="77777777" w:rsidR="00990B14" w:rsidRDefault="00990B14">
            <w:pPr>
              <w:spacing w:before="20" w:after="20"/>
            </w:pPr>
          </w:p>
        </w:tc>
        <w:tc>
          <w:tcPr>
            <w:tcW w:w="1855" w:type="dxa"/>
            <w:shd w:val="clear" w:color="auto" w:fill="D9E2F3"/>
            <w:vAlign w:val="center"/>
          </w:tcPr>
          <w:p w14:paraId="1B43C40C" w14:textId="77777777" w:rsidR="00990B14" w:rsidRDefault="00000000">
            <w:pPr>
              <w:spacing w:before="20" w:after="20"/>
              <w:jc w:val="both"/>
            </w:pPr>
            <w:r>
              <w:rPr>
                <w:sz w:val="18"/>
                <w:szCs w:val="18"/>
              </w:rPr>
              <w:t>Lógica del algoritmo</w:t>
            </w:r>
          </w:p>
        </w:tc>
        <w:tc>
          <w:tcPr>
            <w:tcW w:w="1842" w:type="dxa"/>
            <w:shd w:val="clear" w:color="auto" w:fill="D9E2F3"/>
            <w:vAlign w:val="center"/>
          </w:tcPr>
          <w:p w14:paraId="11C4BFD4" w14:textId="77777777" w:rsidR="00990B14" w:rsidRDefault="00000000">
            <w:pPr>
              <w:spacing w:before="20" w:after="20"/>
              <w:jc w:val="both"/>
            </w:pPr>
            <w:r>
              <w:rPr>
                <w:sz w:val="18"/>
                <w:szCs w:val="18"/>
              </w:rPr>
              <w:t>El algoritmo no resuelve el problema.</w:t>
            </w:r>
          </w:p>
        </w:tc>
        <w:tc>
          <w:tcPr>
            <w:tcW w:w="2015" w:type="dxa"/>
            <w:shd w:val="clear" w:color="auto" w:fill="D9E2F3"/>
            <w:vAlign w:val="center"/>
          </w:tcPr>
          <w:p w14:paraId="43FFD5B9" w14:textId="77777777" w:rsidR="00990B14" w:rsidRDefault="00000000">
            <w:pPr>
              <w:spacing w:before="20" w:after="20"/>
              <w:jc w:val="both"/>
            </w:pPr>
            <w:r>
              <w:rPr>
                <w:sz w:val="18"/>
                <w:szCs w:val="18"/>
              </w:rPr>
              <w:t>El algoritmo resuelve el problema planteado.</w:t>
            </w:r>
          </w:p>
        </w:tc>
        <w:tc>
          <w:tcPr>
            <w:tcW w:w="1843" w:type="dxa"/>
            <w:shd w:val="clear" w:color="auto" w:fill="D9E2F3"/>
            <w:vAlign w:val="center"/>
          </w:tcPr>
          <w:p w14:paraId="48B6EC67" w14:textId="77777777" w:rsidR="00990B14" w:rsidRDefault="00000000">
            <w:pPr>
              <w:spacing w:before="20" w:after="20"/>
              <w:jc w:val="both"/>
            </w:pPr>
            <w:r>
              <w:rPr>
                <w:sz w:val="18"/>
                <w:szCs w:val="18"/>
              </w:rPr>
              <w:t>Optimiza el número de pasos.</w:t>
            </w:r>
          </w:p>
        </w:tc>
      </w:tr>
      <w:tr w:rsidR="00990B14" w14:paraId="5003003C" w14:textId="77777777">
        <w:trPr>
          <w:cantSplit/>
          <w:jc w:val="center"/>
        </w:trPr>
        <w:tc>
          <w:tcPr>
            <w:tcW w:w="1850" w:type="dxa"/>
            <w:vMerge/>
            <w:shd w:val="clear" w:color="auto" w:fill="4472C4"/>
            <w:vAlign w:val="center"/>
          </w:tcPr>
          <w:p w14:paraId="608CD572" w14:textId="77777777" w:rsidR="00990B14" w:rsidRDefault="00990B14">
            <w:pPr>
              <w:spacing w:before="20" w:after="20"/>
            </w:pPr>
          </w:p>
        </w:tc>
        <w:tc>
          <w:tcPr>
            <w:tcW w:w="1855" w:type="dxa"/>
            <w:shd w:val="clear" w:color="auto" w:fill="D9E2F3"/>
            <w:vAlign w:val="center"/>
          </w:tcPr>
          <w:p w14:paraId="15E56B28" w14:textId="77777777" w:rsidR="00990B14" w:rsidRDefault="00000000">
            <w:pPr>
              <w:spacing w:before="20" w:after="20"/>
              <w:jc w:val="both"/>
            </w:pPr>
            <w:r>
              <w:rPr>
                <w:sz w:val="18"/>
                <w:szCs w:val="18"/>
              </w:rPr>
              <w:t>Estructuras de control</w:t>
            </w:r>
          </w:p>
        </w:tc>
        <w:tc>
          <w:tcPr>
            <w:tcW w:w="1842" w:type="dxa"/>
            <w:shd w:val="clear" w:color="auto" w:fill="D9E2F3"/>
            <w:vAlign w:val="center"/>
          </w:tcPr>
          <w:p w14:paraId="1D4C90DC" w14:textId="77777777" w:rsidR="00990B14" w:rsidRDefault="00000000">
            <w:pPr>
              <w:spacing w:before="20" w:after="20"/>
              <w:jc w:val="both"/>
            </w:pPr>
            <w:r>
              <w:rPr>
                <w:sz w:val="18"/>
                <w:szCs w:val="18"/>
              </w:rPr>
              <w:t>Usa estructuras inadecuadas.</w:t>
            </w:r>
          </w:p>
        </w:tc>
        <w:tc>
          <w:tcPr>
            <w:tcW w:w="2015" w:type="dxa"/>
            <w:shd w:val="clear" w:color="auto" w:fill="D9E2F3"/>
            <w:vAlign w:val="center"/>
          </w:tcPr>
          <w:p w14:paraId="1D5E0BA9" w14:textId="77777777" w:rsidR="00990B14" w:rsidRDefault="00000000">
            <w:pPr>
              <w:spacing w:before="20" w:after="20"/>
              <w:jc w:val="both"/>
            </w:pPr>
            <w:r>
              <w:rPr>
                <w:sz w:val="18"/>
                <w:szCs w:val="18"/>
              </w:rPr>
              <w:t>Aplica estructuras secuenciales, condicionales y repetitivas.</w:t>
            </w:r>
          </w:p>
        </w:tc>
        <w:tc>
          <w:tcPr>
            <w:tcW w:w="1843" w:type="dxa"/>
            <w:shd w:val="clear" w:color="auto" w:fill="D9E2F3"/>
            <w:vAlign w:val="center"/>
          </w:tcPr>
          <w:p w14:paraId="3BF20DAA" w14:textId="77777777" w:rsidR="00990B14" w:rsidRDefault="00000000">
            <w:pPr>
              <w:spacing w:before="20" w:after="20"/>
              <w:jc w:val="both"/>
            </w:pPr>
            <w:r>
              <w:rPr>
                <w:sz w:val="18"/>
                <w:szCs w:val="18"/>
              </w:rPr>
              <w:t>Justifica la estructura elegida.</w:t>
            </w:r>
          </w:p>
        </w:tc>
      </w:tr>
      <w:tr w:rsidR="00990B14" w14:paraId="1978B9B4" w14:textId="77777777">
        <w:trPr>
          <w:cantSplit/>
          <w:jc w:val="center"/>
        </w:trPr>
        <w:tc>
          <w:tcPr>
            <w:tcW w:w="1850" w:type="dxa"/>
            <w:vMerge/>
            <w:shd w:val="clear" w:color="auto" w:fill="4472C4"/>
            <w:vAlign w:val="center"/>
          </w:tcPr>
          <w:p w14:paraId="1E2CD098" w14:textId="77777777" w:rsidR="00990B14" w:rsidRDefault="00990B14">
            <w:pPr>
              <w:spacing w:before="20" w:after="20"/>
            </w:pPr>
          </w:p>
        </w:tc>
        <w:tc>
          <w:tcPr>
            <w:tcW w:w="1855" w:type="dxa"/>
            <w:shd w:val="clear" w:color="auto" w:fill="D9E2F3"/>
            <w:vAlign w:val="center"/>
          </w:tcPr>
          <w:p w14:paraId="384B260B" w14:textId="77777777" w:rsidR="00990B14" w:rsidRDefault="00000000">
            <w:pPr>
              <w:spacing w:before="20" w:after="20"/>
              <w:jc w:val="both"/>
            </w:pPr>
            <w:r>
              <w:rPr>
                <w:sz w:val="18"/>
                <w:szCs w:val="18"/>
              </w:rPr>
              <w:t>Simbología</w:t>
            </w:r>
          </w:p>
        </w:tc>
        <w:tc>
          <w:tcPr>
            <w:tcW w:w="1842" w:type="dxa"/>
            <w:shd w:val="clear" w:color="auto" w:fill="D9E2F3"/>
            <w:vAlign w:val="center"/>
          </w:tcPr>
          <w:p w14:paraId="35FF5122" w14:textId="77777777" w:rsidR="00990B14" w:rsidRDefault="00000000">
            <w:pPr>
              <w:spacing w:before="20" w:after="20"/>
              <w:jc w:val="both"/>
            </w:pPr>
            <w:r>
              <w:rPr>
                <w:sz w:val="18"/>
                <w:szCs w:val="18"/>
              </w:rPr>
              <w:t>Usa símbolos incorrectos.</w:t>
            </w:r>
          </w:p>
        </w:tc>
        <w:tc>
          <w:tcPr>
            <w:tcW w:w="2015" w:type="dxa"/>
            <w:shd w:val="clear" w:color="auto" w:fill="D9E2F3"/>
            <w:vAlign w:val="center"/>
          </w:tcPr>
          <w:p w14:paraId="1ED856BA" w14:textId="77777777" w:rsidR="00990B14" w:rsidRDefault="00000000">
            <w:pPr>
              <w:spacing w:before="20" w:after="20"/>
              <w:jc w:val="both"/>
            </w:pPr>
            <w:r>
              <w:rPr>
                <w:sz w:val="18"/>
                <w:szCs w:val="18"/>
              </w:rPr>
              <w:t>Usa la simbología del diagrama de flujo.</w:t>
            </w:r>
          </w:p>
        </w:tc>
        <w:tc>
          <w:tcPr>
            <w:tcW w:w="1843" w:type="dxa"/>
            <w:shd w:val="clear" w:color="auto" w:fill="D9E2F3"/>
            <w:vAlign w:val="center"/>
          </w:tcPr>
          <w:p w14:paraId="6C83DB16" w14:textId="77777777" w:rsidR="00990B14" w:rsidRDefault="00000000">
            <w:pPr>
              <w:spacing w:before="20" w:after="20"/>
              <w:jc w:val="both"/>
            </w:pPr>
            <w:r>
              <w:rPr>
                <w:sz w:val="18"/>
                <w:szCs w:val="18"/>
              </w:rPr>
              <w:t>El diagrama es legible y ordenado.</w:t>
            </w:r>
          </w:p>
        </w:tc>
      </w:tr>
      <w:tr w:rsidR="00990B14" w14:paraId="28985294" w14:textId="77777777">
        <w:trPr>
          <w:cantSplit/>
          <w:jc w:val="center"/>
        </w:trPr>
        <w:tc>
          <w:tcPr>
            <w:tcW w:w="1850" w:type="dxa"/>
            <w:vMerge/>
            <w:shd w:val="clear" w:color="auto" w:fill="4472C4"/>
            <w:vAlign w:val="center"/>
          </w:tcPr>
          <w:p w14:paraId="4778F8A5" w14:textId="77777777" w:rsidR="00990B14" w:rsidRDefault="00990B14">
            <w:pPr>
              <w:spacing w:before="20" w:after="20"/>
            </w:pPr>
          </w:p>
        </w:tc>
        <w:tc>
          <w:tcPr>
            <w:tcW w:w="5712" w:type="dxa"/>
            <w:gridSpan w:val="3"/>
            <w:shd w:val="clear" w:color="auto" w:fill="D9E2F3"/>
            <w:vAlign w:val="center"/>
          </w:tcPr>
          <w:p w14:paraId="06E7AC02" w14:textId="77777777" w:rsidR="00990B14" w:rsidRDefault="00000000">
            <w:pPr>
              <w:keepNext/>
              <w:spacing w:before="20" w:after="20"/>
              <w:jc w:val="both"/>
            </w:pPr>
            <w:r>
              <w:rPr>
                <w:b/>
                <w:bCs/>
                <w:i/>
                <w:iCs/>
                <w:sz w:val="18"/>
                <w:szCs w:val="18"/>
              </w:rPr>
              <w:t xml:space="preserve">Producto 4: </w:t>
            </w:r>
            <w:r>
              <w:rPr>
                <w:sz w:val="18"/>
                <w:szCs w:val="18"/>
              </w:rPr>
              <w:t>Práctico de tipos de datos y variables</w:t>
            </w:r>
          </w:p>
        </w:tc>
        <w:tc>
          <w:tcPr>
            <w:tcW w:w="1843" w:type="dxa"/>
            <w:shd w:val="clear" w:color="auto" w:fill="D9E2F3"/>
            <w:vAlign w:val="center"/>
          </w:tcPr>
          <w:p w14:paraId="00BE88F2" w14:textId="77777777" w:rsidR="00990B14" w:rsidRDefault="00000000">
            <w:pPr>
              <w:spacing w:before="20" w:after="20"/>
              <w:jc w:val="center"/>
            </w:pPr>
            <w:r>
              <w:rPr>
                <w:b/>
                <w:bCs/>
                <w:sz w:val="18"/>
                <w:szCs w:val="18"/>
              </w:rPr>
              <w:t>8%</w:t>
            </w:r>
          </w:p>
        </w:tc>
      </w:tr>
      <w:tr w:rsidR="00990B14" w14:paraId="336489D8" w14:textId="77777777">
        <w:trPr>
          <w:cantSplit/>
          <w:jc w:val="center"/>
        </w:trPr>
        <w:tc>
          <w:tcPr>
            <w:tcW w:w="1850" w:type="dxa"/>
            <w:vMerge/>
            <w:shd w:val="clear" w:color="auto" w:fill="4472C4"/>
            <w:vAlign w:val="center"/>
          </w:tcPr>
          <w:p w14:paraId="76A4C71D" w14:textId="77777777" w:rsidR="00990B14" w:rsidRDefault="00990B14">
            <w:pPr>
              <w:spacing w:before="20" w:after="20"/>
            </w:pPr>
          </w:p>
        </w:tc>
        <w:tc>
          <w:tcPr>
            <w:tcW w:w="1855" w:type="dxa"/>
            <w:shd w:val="clear" w:color="auto" w:fill="4472C4"/>
            <w:vAlign w:val="center"/>
          </w:tcPr>
          <w:p w14:paraId="2A779697" w14:textId="77777777" w:rsidR="00990B14" w:rsidRDefault="00000000">
            <w:pPr>
              <w:keepNext/>
              <w:spacing w:before="20" w:after="20"/>
              <w:jc w:val="center"/>
            </w:pPr>
            <w:r>
              <w:rPr>
                <w:b/>
                <w:bCs/>
                <w:i/>
                <w:iCs/>
                <w:color w:val="FFFFFF"/>
                <w:sz w:val="18"/>
                <w:szCs w:val="18"/>
              </w:rPr>
              <w:t>Criterio</w:t>
            </w:r>
          </w:p>
        </w:tc>
        <w:tc>
          <w:tcPr>
            <w:tcW w:w="1842" w:type="dxa"/>
            <w:shd w:val="clear" w:color="auto" w:fill="4472C4"/>
            <w:vAlign w:val="center"/>
          </w:tcPr>
          <w:p w14:paraId="48D8E211"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43657D64" w14:textId="77777777" w:rsidR="00990B14" w:rsidRDefault="00000000">
            <w:pPr>
              <w:keepNext/>
              <w:spacing w:before="20" w:after="20"/>
              <w:jc w:val="center"/>
            </w:pPr>
            <w:r>
              <w:rPr>
                <w:b/>
                <w:bCs/>
                <w:i/>
                <w:iCs/>
                <w:color w:val="FFFFFF"/>
                <w:sz w:val="18"/>
                <w:szCs w:val="18"/>
              </w:rPr>
              <w:t>Suficiente (51–80)</w:t>
            </w:r>
          </w:p>
        </w:tc>
        <w:tc>
          <w:tcPr>
            <w:tcW w:w="1843" w:type="dxa"/>
            <w:shd w:val="clear" w:color="auto" w:fill="4472C4"/>
            <w:vAlign w:val="center"/>
          </w:tcPr>
          <w:p w14:paraId="27884FA7" w14:textId="77777777" w:rsidR="00990B14" w:rsidRDefault="00000000">
            <w:pPr>
              <w:keepNext/>
              <w:spacing w:before="20" w:after="20"/>
              <w:jc w:val="center"/>
            </w:pPr>
            <w:r>
              <w:rPr>
                <w:b/>
                <w:bCs/>
                <w:i/>
                <w:iCs/>
                <w:color w:val="FFFFFF"/>
                <w:sz w:val="18"/>
                <w:szCs w:val="18"/>
              </w:rPr>
              <w:t>Destacado (81–100)</w:t>
            </w:r>
          </w:p>
        </w:tc>
      </w:tr>
      <w:tr w:rsidR="00990B14" w14:paraId="0BDD85C8" w14:textId="77777777">
        <w:trPr>
          <w:cantSplit/>
          <w:jc w:val="center"/>
        </w:trPr>
        <w:tc>
          <w:tcPr>
            <w:tcW w:w="1850" w:type="dxa"/>
            <w:vMerge/>
            <w:shd w:val="clear" w:color="auto" w:fill="4472C4"/>
            <w:vAlign w:val="center"/>
          </w:tcPr>
          <w:p w14:paraId="3308E495" w14:textId="77777777" w:rsidR="00990B14" w:rsidRDefault="00990B14">
            <w:pPr>
              <w:spacing w:before="20" w:after="20"/>
            </w:pPr>
          </w:p>
        </w:tc>
        <w:tc>
          <w:tcPr>
            <w:tcW w:w="1855" w:type="dxa"/>
            <w:shd w:val="clear" w:color="auto" w:fill="D9E2F3"/>
            <w:vAlign w:val="center"/>
          </w:tcPr>
          <w:p w14:paraId="7735FC0C" w14:textId="77777777" w:rsidR="00990B14" w:rsidRDefault="00000000">
            <w:pPr>
              <w:spacing w:before="20" w:after="20"/>
              <w:jc w:val="both"/>
            </w:pPr>
            <w:r>
              <w:rPr>
                <w:sz w:val="18"/>
                <w:szCs w:val="18"/>
              </w:rPr>
              <w:t>Tipos de datos</w:t>
            </w:r>
          </w:p>
        </w:tc>
        <w:tc>
          <w:tcPr>
            <w:tcW w:w="1842" w:type="dxa"/>
            <w:shd w:val="clear" w:color="auto" w:fill="D9E2F3"/>
            <w:vAlign w:val="center"/>
          </w:tcPr>
          <w:p w14:paraId="6D1342FB" w14:textId="77777777" w:rsidR="00990B14" w:rsidRDefault="00000000">
            <w:pPr>
              <w:spacing w:before="20" w:after="20"/>
              <w:jc w:val="both"/>
            </w:pPr>
            <w:r>
              <w:rPr>
                <w:sz w:val="18"/>
                <w:szCs w:val="18"/>
              </w:rPr>
              <w:t>Asigna tipos incorrectos.</w:t>
            </w:r>
          </w:p>
        </w:tc>
        <w:tc>
          <w:tcPr>
            <w:tcW w:w="2015" w:type="dxa"/>
            <w:shd w:val="clear" w:color="auto" w:fill="D9E2F3"/>
            <w:vAlign w:val="center"/>
          </w:tcPr>
          <w:p w14:paraId="16FD834F" w14:textId="77777777" w:rsidR="00990B14" w:rsidRDefault="00000000">
            <w:pPr>
              <w:spacing w:before="20" w:after="20"/>
              <w:jc w:val="both"/>
            </w:pPr>
            <w:r>
              <w:rPr>
                <w:sz w:val="18"/>
                <w:szCs w:val="18"/>
              </w:rPr>
              <w:t>Asigna el tipo correcto a cada dato.</w:t>
            </w:r>
          </w:p>
        </w:tc>
        <w:tc>
          <w:tcPr>
            <w:tcW w:w="1843" w:type="dxa"/>
            <w:shd w:val="clear" w:color="auto" w:fill="D9E2F3"/>
            <w:vAlign w:val="center"/>
          </w:tcPr>
          <w:p w14:paraId="16A32560" w14:textId="77777777" w:rsidR="00990B14" w:rsidRDefault="00000000">
            <w:pPr>
              <w:spacing w:before="20" w:after="20"/>
              <w:jc w:val="both"/>
            </w:pPr>
            <w:r>
              <w:rPr>
                <w:sz w:val="18"/>
                <w:szCs w:val="18"/>
              </w:rPr>
              <w:t>Explica el efecto del tipo en el cálculo.</w:t>
            </w:r>
          </w:p>
        </w:tc>
      </w:tr>
      <w:tr w:rsidR="00990B14" w14:paraId="437C9CDE" w14:textId="77777777">
        <w:trPr>
          <w:cantSplit/>
          <w:jc w:val="center"/>
        </w:trPr>
        <w:tc>
          <w:tcPr>
            <w:tcW w:w="1850" w:type="dxa"/>
            <w:vMerge/>
            <w:shd w:val="clear" w:color="auto" w:fill="4472C4"/>
            <w:vAlign w:val="center"/>
          </w:tcPr>
          <w:p w14:paraId="4C61FC15" w14:textId="77777777" w:rsidR="00990B14" w:rsidRDefault="00990B14">
            <w:pPr>
              <w:spacing w:before="20" w:after="20"/>
            </w:pPr>
          </w:p>
        </w:tc>
        <w:tc>
          <w:tcPr>
            <w:tcW w:w="1855" w:type="dxa"/>
            <w:shd w:val="clear" w:color="auto" w:fill="D9E2F3"/>
            <w:vAlign w:val="center"/>
          </w:tcPr>
          <w:p w14:paraId="661094D5" w14:textId="77777777" w:rsidR="00990B14" w:rsidRDefault="00000000">
            <w:pPr>
              <w:spacing w:before="20" w:after="20"/>
              <w:jc w:val="both"/>
            </w:pPr>
            <w:r>
              <w:rPr>
                <w:sz w:val="18"/>
                <w:szCs w:val="18"/>
              </w:rPr>
              <w:t>Operadores</w:t>
            </w:r>
          </w:p>
        </w:tc>
        <w:tc>
          <w:tcPr>
            <w:tcW w:w="1842" w:type="dxa"/>
            <w:shd w:val="clear" w:color="auto" w:fill="D9E2F3"/>
            <w:vAlign w:val="center"/>
          </w:tcPr>
          <w:p w14:paraId="252A9C1A" w14:textId="77777777" w:rsidR="00990B14" w:rsidRDefault="00000000">
            <w:pPr>
              <w:spacing w:before="20" w:after="20"/>
              <w:jc w:val="both"/>
            </w:pPr>
            <w:r>
              <w:rPr>
                <w:sz w:val="18"/>
                <w:szCs w:val="18"/>
              </w:rPr>
              <w:t>Confunde operadores.</w:t>
            </w:r>
          </w:p>
        </w:tc>
        <w:tc>
          <w:tcPr>
            <w:tcW w:w="2015" w:type="dxa"/>
            <w:shd w:val="clear" w:color="auto" w:fill="D9E2F3"/>
            <w:vAlign w:val="center"/>
          </w:tcPr>
          <w:p w14:paraId="6EB35A6C" w14:textId="77777777" w:rsidR="00990B14" w:rsidRDefault="00000000">
            <w:pPr>
              <w:spacing w:before="20" w:after="20"/>
              <w:jc w:val="both"/>
            </w:pPr>
            <w:r>
              <w:rPr>
                <w:sz w:val="18"/>
                <w:szCs w:val="18"/>
              </w:rPr>
              <w:t>Usa operadores aritméticos, relacionales y lógicos.</w:t>
            </w:r>
          </w:p>
        </w:tc>
        <w:tc>
          <w:tcPr>
            <w:tcW w:w="1843" w:type="dxa"/>
            <w:shd w:val="clear" w:color="auto" w:fill="D9E2F3"/>
            <w:vAlign w:val="center"/>
          </w:tcPr>
          <w:p w14:paraId="71A0DE49" w14:textId="77777777" w:rsidR="00990B14" w:rsidRDefault="00000000">
            <w:pPr>
              <w:spacing w:before="20" w:after="20"/>
              <w:jc w:val="both"/>
            </w:pPr>
            <w:r>
              <w:rPr>
                <w:sz w:val="18"/>
                <w:szCs w:val="18"/>
              </w:rPr>
              <w:t>Resuelve la prioridad de los operadores.</w:t>
            </w:r>
          </w:p>
        </w:tc>
      </w:tr>
      <w:tr w:rsidR="00990B14" w14:paraId="6C9CDFE2" w14:textId="77777777">
        <w:trPr>
          <w:cantSplit/>
          <w:jc w:val="center"/>
        </w:trPr>
        <w:tc>
          <w:tcPr>
            <w:tcW w:w="1850" w:type="dxa"/>
            <w:vMerge/>
            <w:shd w:val="clear" w:color="auto" w:fill="4472C4"/>
            <w:vAlign w:val="center"/>
          </w:tcPr>
          <w:p w14:paraId="1E9ABE5A" w14:textId="77777777" w:rsidR="00990B14" w:rsidRDefault="00990B14">
            <w:pPr>
              <w:spacing w:before="20" w:after="20"/>
            </w:pPr>
          </w:p>
        </w:tc>
        <w:tc>
          <w:tcPr>
            <w:tcW w:w="1855" w:type="dxa"/>
            <w:shd w:val="clear" w:color="auto" w:fill="D9E2F3"/>
            <w:vAlign w:val="center"/>
          </w:tcPr>
          <w:p w14:paraId="31854409" w14:textId="77777777" w:rsidR="00990B14" w:rsidRDefault="00000000">
            <w:pPr>
              <w:spacing w:before="20" w:after="20"/>
              <w:jc w:val="both"/>
            </w:pPr>
            <w:r>
              <w:rPr>
                <w:sz w:val="18"/>
                <w:szCs w:val="18"/>
              </w:rPr>
              <w:t>Trabajo en equipo</w:t>
            </w:r>
          </w:p>
        </w:tc>
        <w:tc>
          <w:tcPr>
            <w:tcW w:w="1842" w:type="dxa"/>
            <w:shd w:val="clear" w:color="auto" w:fill="D9E2F3"/>
            <w:vAlign w:val="center"/>
          </w:tcPr>
          <w:p w14:paraId="608FCFBB" w14:textId="77777777" w:rsidR="00990B14" w:rsidRDefault="00000000">
            <w:pPr>
              <w:spacing w:before="20" w:after="20"/>
              <w:jc w:val="both"/>
            </w:pPr>
            <w:r>
              <w:rPr>
                <w:sz w:val="18"/>
                <w:szCs w:val="18"/>
              </w:rPr>
              <w:t>La participación es desigual.</w:t>
            </w:r>
          </w:p>
        </w:tc>
        <w:tc>
          <w:tcPr>
            <w:tcW w:w="2015" w:type="dxa"/>
            <w:shd w:val="clear" w:color="auto" w:fill="D9E2F3"/>
            <w:vAlign w:val="center"/>
          </w:tcPr>
          <w:p w14:paraId="08211732" w14:textId="77777777" w:rsidR="00990B14" w:rsidRDefault="00000000">
            <w:pPr>
              <w:spacing w:before="20" w:after="20"/>
              <w:jc w:val="both"/>
            </w:pPr>
            <w:r>
              <w:rPr>
                <w:sz w:val="18"/>
                <w:szCs w:val="18"/>
              </w:rPr>
              <w:t>Todos los integrantes participan.</w:t>
            </w:r>
          </w:p>
        </w:tc>
        <w:tc>
          <w:tcPr>
            <w:tcW w:w="1843" w:type="dxa"/>
            <w:shd w:val="clear" w:color="auto" w:fill="D9E2F3"/>
            <w:vAlign w:val="center"/>
          </w:tcPr>
          <w:p w14:paraId="78839FF8" w14:textId="77777777" w:rsidR="00990B14" w:rsidRDefault="00000000">
            <w:pPr>
              <w:spacing w:before="20" w:after="20"/>
              <w:jc w:val="both"/>
            </w:pPr>
            <w:r>
              <w:rPr>
                <w:sz w:val="18"/>
                <w:szCs w:val="18"/>
              </w:rPr>
              <w:t>El equipo verifica de forma cruzada sus resultados.</w:t>
            </w:r>
          </w:p>
        </w:tc>
      </w:tr>
      <w:tr w:rsidR="00990B14" w14:paraId="2B3B7096" w14:textId="77777777">
        <w:trPr>
          <w:cantSplit/>
          <w:jc w:val="center"/>
        </w:trPr>
        <w:tc>
          <w:tcPr>
            <w:tcW w:w="1850" w:type="dxa"/>
            <w:vMerge/>
            <w:shd w:val="clear" w:color="auto" w:fill="4472C4"/>
            <w:vAlign w:val="center"/>
          </w:tcPr>
          <w:p w14:paraId="5945C56E" w14:textId="77777777" w:rsidR="00990B14" w:rsidRDefault="00990B14">
            <w:pPr>
              <w:spacing w:before="20" w:after="20"/>
            </w:pPr>
          </w:p>
        </w:tc>
        <w:tc>
          <w:tcPr>
            <w:tcW w:w="5712" w:type="dxa"/>
            <w:gridSpan w:val="3"/>
            <w:shd w:val="clear" w:color="auto" w:fill="D9E2F3"/>
            <w:vAlign w:val="center"/>
          </w:tcPr>
          <w:p w14:paraId="64B3EF31" w14:textId="77777777" w:rsidR="00990B14" w:rsidRDefault="00000000">
            <w:pPr>
              <w:keepNext/>
              <w:spacing w:before="20" w:after="20"/>
              <w:jc w:val="both"/>
            </w:pPr>
            <w:r>
              <w:rPr>
                <w:b/>
                <w:bCs/>
                <w:i/>
                <w:iCs/>
                <w:sz w:val="18"/>
                <w:szCs w:val="18"/>
              </w:rPr>
              <w:t xml:space="preserve">Producto 5: </w:t>
            </w:r>
            <w:r>
              <w:rPr>
                <w:sz w:val="18"/>
                <w:szCs w:val="18"/>
              </w:rPr>
              <w:t>Cuadro de mando en Excel</w:t>
            </w:r>
          </w:p>
        </w:tc>
        <w:tc>
          <w:tcPr>
            <w:tcW w:w="1843" w:type="dxa"/>
            <w:shd w:val="clear" w:color="auto" w:fill="D9E2F3"/>
            <w:vAlign w:val="center"/>
          </w:tcPr>
          <w:p w14:paraId="65EC09A8" w14:textId="77777777" w:rsidR="00990B14" w:rsidRDefault="00000000">
            <w:pPr>
              <w:spacing w:before="20" w:after="20"/>
              <w:jc w:val="center"/>
            </w:pPr>
            <w:r>
              <w:rPr>
                <w:b/>
                <w:bCs/>
                <w:sz w:val="18"/>
                <w:szCs w:val="18"/>
              </w:rPr>
              <w:t>20%</w:t>
            </w:r>
          </w:p>
        </w:tc>
      </w:tr>
      <w:tr w:rsidR="00990B14" w14:paraId="46D56CB5" w14:textId="77777777">
        <w:trPr>
          <w:cantSplit/>
          <w:jc w:val="center"/>
        </w:trPr>
        <w:tc>
          <w:tcPr>
            <w:tcW w:w="1850" w:type="dxa"/>
            <w:vMerge/>
            <w:shd w:val="clear" w:color="auto" w:fill="4472C4"/>
            <w:vAlign w:val="center"/>
          </w:tcPr>
          <w:p w14:paraId="225AFC51" w14:textId="77777777" w:rsidR="00990B14" w:rsidRDefault="00990B14">
            <w:pPr>
              <w:spacing w:before="20" w:after="20"/>
            </w:pPr>
          </w:p>
        </w:tc>
        <w:tc>
          <w:tcPr>
            <w:tcW w:w="1855" w:type="dxa"/>
            <w:shd w:val="clear" w:color="auto" w:fill="4472C4"/>
            <w:vAlign w:val="center"/>
          </w:tcPr>
          <w:p w14:paraId="178E7064" w14:textId="77777777" w:rsidR="00990B14" w:rsidRDefault="00000000">
            <w:pPr>
              <w:keepNext/>
              <w:spacing w:before="20" w:after="20"/>
              <w:jc w:val="center"/>
            </w:pPr>
            <w:r>
              <w:rPr>
                <w:b/>
                <w:bCs/>
                <w:i/>
                <w:iCs/>
                <w:color w:val="FFFFFF"/>
                <w:sz w:val="18"/>
                <w:szCs w:val="18"/>
              </w:rPr>
              <w:t>Criterio</w:t>
            </w:r>
          </w:p>
        </w:tc>
        <w:tc>
          <w:tcPr>
            <w:tcW w:w="1842" w:type="dxa"/>
            <w:shd w:val="clear" w:color="auto" w:fill="4472C4"/>
            <w:vAlign w:val="center"/>
          </w:tcPr>
          <w:p w14:paraId="4E7A7250"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4A803390" w14:textId="77777777" w:rsidR="00990B14" w:rsidRDefault="00000000">
            <w:pPr>
              <w:keepNext/>
              <w:spacing w:before="20" w:after="20"/>
              <w:jc w:val="center"/>
            </w:pPr>
            <w:r>
              <w:rPr>
                <w:b/>
                <w:bCs/>
                <w:i/>
                <w:iCs/>
                <w:color w:val="FFFFFF"/>
                <w:sz w:val="18"/>
                <w:szCs w:val="18"/>
              </w:rPr>
              <w:t>Suficiente (51–80)</w:t>
            </w:r>
          </w:p>
        </w:tc>
        <w:tc>
          <w:tcPr>
            <w:tcW w:w="1843" w:type="dxa"/>
            <w:shd w:val="clear" w:color="auto" w:fill="4472C4"/>
            <w:vAlign w:val="center"/>
          </w:tcPr>
          <w:p w14:paraId="3347069C" w14:textId="77777777" w:rsidR="00990B14" w:rsidRDefault="00000000">
            <w:pPr>
              <w:keepNext/>
              <w:spacing w:before="20" w:after="20"/>
              <w:jc w:val="center"/>
            </w:pPr>
            <w:r>
              <w:rPr>
                <w:b/>
                <w:bCs/>
                <w:i/>
                <w:iCs/>
                <w:color w:val="FFFFFF"/>
                <w:sz w:val="18"/>
                <w:szCs w:val="18"/>
              </w:rPr>
              <w:t>Destacado (81–100)</w:t>
            </w:r>
          </w:p>
        </w:tc>
      </w:tr>
      <w:tr w:rsidR="00990B14" w14:paraId="18309590" w14:textId="77777777">
        <w:trPr>
          <w:cantSplit/>
          <w:jc w:val="center"/>
        </w:trPr>
        <w:tc>
          <w:tcPr>
            <w:tcW w:w="1850" w:type="dxa"/>
            <w:vMerge/>
            <w:shd w:val="clear" w:color="auto" w:fill="4472C4"/>
            <w:vAlign w:val="center"/>
          </w:tcPr>
          <w:p w14:paraId="04B83406" w14:textId="77777777" w:rsidR="00990B14" w:rsidRDefault="00990B14">
            <w:pPr>
              <w:spacing w:before="20" w:after="20"/>
            </w:pPr>
          </w:p>
        </w:tc>
        <w:tc>
          <w:tcPr>
            <w:tcW w:w="1855" w:type="dxa"/>
            <w:shd w:val="clear" w:color="auto" w:fill="D9E2F3"/>
            <w:vAlign w:val="center"/>
          </w:tcPr>
          <w:p w14:paraId="29B07C9C" w14:textId="77777777" w:rsidR="00990B14" w:rsidRDefault="00000000">
            <w:pPr>
              <w:spacing w:before="20" w:after="20"/>
              <w:jc w:val="both"/>
            </w:pPr>
            <w:r>
              <w:rPr>
                <w:sz w:val="18"/>
                <w:szCs w:val="18"/>
              </w:rPr>
              <w:t>Fórmulas y funciones</w:t>
            </w:r>
          </w:p>
        </w:tc>
        <w:tc>
          <w:tcPr>
            <w:tcW w:w="1842" w:type="dxa"/>
            <w:shd w:val="clear" w:color="auto" w:fill="D9E2F3"/>
            <w:vAlign w:val="center"/>
          </w:tcPr>
          <w:p w14:paraId="72A92983" w14:textId="77777777" w:rsidR="00990B14" w:rsidRDefault="00000000">
            <w:pPr>
              <w:spacing w:before="20" w:after="20"/>
              <w:jc w:val="both"/>
            </w:pPr>
            <w:r>
              <w:rPr>
                <w:sz w:val="18"/>
                <w:szCs w:val="18"/>
              </w:rPr>
              <w:t>Las fórmulas tienen errores.</w:t>
            </w:r>
          </w:p>
        </w:tc>
        <w:tc>
          <w:tcPr>
            <w:tcW w:w="2015" w:type="dxa"/>
            <w:shd w:val="clear" w:color="auto" w:fill="D9E2F3"/>
            <w:vAlign w:val="center"/>
          </w:tcPr>
          <w:p w14:paraId="5EAA734F" w14:textId="77777777" w:rsidR="00990B14" w:rsidRDefault="00000000">
            <w:pPr>
              <w:spacing w:before="20" w:after="20"/>
              <w:jc w:val="both"/>
            </w:pPr>
            <w:r>
              <w:rPr>
                <w:sz w:val="18"/>
                <w:szCs w:val="18"/>
              </w:rPr>
              <w:t>Usa funciones condicionales y de búsqueda correctamente.</w:t>
            </w:r>
          </w:p>
        </w:tc>
        <w:tc>
          <w:tcPr>
            <w:tcW w:w="1843" w:type="dxa"/>
            <w:shd w:val="clear" w:color="auto" w:fill="D9E2F3"/>
            <w:vAlign w:val="center"/>
          </w:tcPr>
          <w:p w14:paraId="4C168D1E" w14:textId="77777777" w:rsidR="00990B14" w:rsidRDefault="00000000">
            <w:pPr>
              <w:spacing w:before="20" w:after="20"/>
              <w:jc w:val="both"/>
            </w:pPr>
            <w:r>
              <w:rPr>
                <w:sz w:val="18"/>
                <w:szCs w:val="18"/>
              </w:rPr>
              <w:t>Audita las fórmulas y usa nombres de rango.</w:t>
            </w:r>
          </w:p>
        </w:tc>
      </w:tr>
      <w:tr w:rsidR="00990B14" w14:paraId="574E1B94" w14:textId="77777777">
        <w:trPr>
          <w:cantSplit/>
          <w:jc w:val="center"/>
        </w:trPr>
        <w:tc>
          <w:tcPr>
            <w:tcW w:w="1850" w:type="dxa"/>
            <w:vMerge/>
            <w:shd w:val="clear" w:color="auto" w:fill="4472C4"/>
            <w:vAlign w:val="center"/>
          </w:tcPr>
          <w:p w14:paraId="1AE66ABD" w14:textId="77777777" w:rsidR="00990B14" w:rsidRDefault="00990B14">
            <w:pPr>
              <w:spacing w:before="20" w:after="20"/>
            </w:pPr>
          </w:p>
        </w:tc>
        <w:tc>
          <w:tcPr>
            <w:tcW w:w="1855" w:type="dxa"/>
            <w:shd w:val="clear" w:color="auto" w:fill="D9E2F3"/>
            <w:vAlign w:val="center"/>
          </w:tcPr>
          <w:p w14:paraId="14999BB2" w14:textId="77777777" w:rsidR="00990B14" w:rsidRDefault="00000000">
            <w:pPr>
              <w:spacing w:before="20" w:after="20"/>
              <w:jc w:val="both"/>
            </w:pPr>
            <w:r>
              <w:rPr>
                <w:sz w:val="18"/>
                <w:szCs w:val="18"/>
              </w:rPr>
              <w:t>Tablas y gráficos dinámicos</w:t>
            </w:r>
          </w:p>
        </w:tc>
        <w:tc>
          <w:tcPr>
            <w:tcW w:w="1842" w:type="dxa"/>
            <w:shd w:val="clear" w:color="auto" w:fill="D9E2F3"/>
            <w:vAlign w:val="center"/>
          </w:tcPr>
          <w:p w14:paraId="63F6B6A1" w14:textId="77777777" w:rsidR="00990B14" w:rsidRDefault="00000000">
            <w:pPr>
              <w:spacing w:before="20" w:after="20"/>
              <w:jc w:val="both"/>
            </w:pPr>
            <w:r>
              <w:rPr>
                <w:sz w:val="18"/>
                <w:szCs w:val="18"/>
              </w:rPr>
              <w:t>No usa tablas dinámicas.</w:t>
            </w:r>
          </w:p>
        </w:tc>
        <w:tc>
          <w:tcPr>
            <w:tcW w:w="2015" w:type="dxa"/>
            <w:shd w:val="clear" w:color="auto" w:fill="D9E2F3"/>
            <w:vAlign w:val="center"/>
          </w:tcPr>
          <w:p w14:paraId="0AC93CD2" w14:textId="77777777" w:rsidR="00990B14" w:rsidRDefault="00000000">
            <w:pPr>
              <w:spacing w:before="20" w:after="20"/>
              <w:jc w:val="both"/>
            </w:pPr>
            <w:r>
              <w:rPr>
                <w:sz w:val="18"/>
                <w:szCs w:val="18"/>
              </w:rPr>
              <w:t>Resume la información con tablas y gráficos dinámicos.</w:t>
            </w:r>
          </w:p>
        </w:tc>
        <w:tc>
          <w:tcPr>
            <w:tcW w:w="1843" w:type="dxa"/>
            <w:shd w:val="clear" w:color="auto" w:fill="D9E2F3"/>
            <w:vAlign w:val="center"/>
          </w:tcPr>
          <w:p w14:paraId="652F0134" w14:textId="77777777" w:rsidR="00990B14" w:rsidRDefault="00000000">
            <w:pPr>
              <w:spacing w:before="20" w:after="20"/>
              <w:jc w:val="both"/>
            </w:pPr>
            <w:r>
              <w:rPr>
                <w:sz w:val="18"/>
                <w:szCs w:val="18"/>
              </w:rPr>
              <w:t>Aplica segmentación de datos y validaciones.</w:t>
            </w:r>
          </w:p>
        </w:tc>
      </w:tr>
      <w:tr w:rsidR="00990B14" w14:paraId="5CF718CB" w14:textId="77777777">
        <w:trPr>
          <w:cantSplit/>
          <w:jc w:val="center"/>
        </w:trPr>
        <w:tc>
          <w:tcPr>
            <w:tcW w:w="1850" w:type="dxa"/>
            <w:vMerge/>
            <w:shd w:val="clear" w:color="auto" w:fill="4472C4"/>
            <w:vAlign w:val="center"/>
          </w:tcPr>
          <w:p w14:paraId="6A84E7FC" w14:textId="77777777" w:rsidR="00990B14" w:rsidRDefault="00990B14">
            <w:pPr>
              <w:spacing w:before="20" w:after="20"/>
            </w:pPr>
          </w:p>
        </w:tc>
        <w:tc>
          <w:tcPr>
            <w:tcW w:w="1855" w:type="dxa"/>
            <w:shd w:val="clear" w:color="auto" w:fill="D9E2F3"/>
            <w:vAlign w:val="center"/>
          </w:tcPr>
          <w:p w14:paraId="07C4ABFB" w14:textId="77777777" w:rsidR="00990B14" w:rsidRDefault="00000000">
            <w:pPr>
              <w:spacing w:before="20" w:after="20"/>
              <w:jc w:val="both"/>
            </w:pPr>
            <w:r>
              <w:rPr>
                <w:sz w:val="18"/>
                <w:szCs w:val="18"/>
              </w:rPr>
              <w:t>Macros</w:t>
            </w:r>
          </w:p>
        </w:tc>
        <w:tc>
          <w:tcPr>
            <w:tcW w:w="1842" w:type="dxa"/>
            <w:shd w:val="clear" w:color="auto" w:fill="D9E2F3"/>
            <w:vAlign w:val="center"/>
          </w:tcPr>
          <w:p w14:paraId="1F067236" w14:textId="77777777" w:rsidR="00990B14" w:rsidRDefault="00000000">
            <w:pPr>
              <w:spacing w:before="20" w:after="20"/>
              <w:jc w:val="both"/>
            </w:pPr>
            <w:r>
              <w:rPr>
                <w:sz w:val="18"/>
                <w:szCs w:val="18"/>
              </w:rPr>
              <w:t>La macro no funciona.</w:t>
            </w:r>
          </w:p>
        </w:tc>
        <w:tc>
          <w:tcPr>
            <w:tcW w:w="2015" w:type="dxa"/>
            <w:shd w:val="clear" w:color="auto" w:fill="D9E2F3"/>
            <w:vAlign w:val="center"/>
          </w:tcPr>
          <w:p w14:paraId="555833AB" w14:textId="77777777" w:rsidR="00990B14" w:rsidRDefault="00000000">
            <w:pPr>
              <w:spacing w:before="20" w:after="20"/>
              <w:jc w:val="both"/>
            </w:pPr>
            <w:r>
              <w:rPr>
                <w:sz w:val="18"/>
                <w:szCs w:val="18"/>
              </w:rPr>
              <w:t>La macro automatiza la tarea repetitiva.</w:t>
            </w:r>
          </w:p>
        </w:tc>
        <w:tc>
          <w:tcPr>
            <w:tcW w:w="1843" w:type="dxa"/>
            <w:shd w:val="clear" w:color="auto" w:fill="D9E2F3"/>
            <w:vAlign w:val="center"/>
          </w:tcPr>
          <w:p w14:paraId="33C30DD9" w14:textId="77777777" w:rsidR="00990B14" w:rsidRDefault="00000000">
            <w:pPr>
              <w:spacing w:before="20" w:after="20"/>
              <w:jc w:val="both"/>
            </w:pPr>
            <w:r>
              <w:rPr>
                <w:sz w:val="18"/>
                <w:szCs w:val="18"/>
              </w:rPr>
              <w:t>La macro maneja errores y es reutilizable.</w:t>
            </w:r>
          </w:p>
        </w:tc>
      </w:tr>
      <w:tr w:rsidR="00990B14" w14:paraId="3F8174A8" w14:textId="77777777">
        <w:trPr>
          <w:cantSplit/>
          <w:jc w:val="center"/>
        </w:trPr>
        <w:tc>
          <w:tcPr>
            <w:tcW w:w="1850" w:type="dxa"/>
            <w:vMerge/>
            <w:shd w:val="clear" w:color="auto" w:fill="4472C4"/>
            <w:vAlign w:val="center"/>
          </w:tcPr>
          <w:p w14:paraId="0E7F1138" w14:textId="77777777" w:rsidR="00990B14" w:rsidRDefault="00990B14">
            <w:pPr>
              <w:spacing w:before="20" w:after="20"/>
            </w:pPr>
          </w:p>
        </w:tc>
        <w:tc>
          <w:tcPr>
            <w:tcW w:w="5712" w:type="dxa"/>
            <w:gridSpan w:val="3"/>
            <w:shd w:val="clear" w:color="auto" w:fill="D9E2F3"/>
            <w:vAlign w:val="center"/>
          </w:tcPr>
          <w:p w14:paraId="3BC45348" w14:textId="77777777" w:rsidR="00990B14" w:rsidRDefault="00000000">
            <w:pPr>
              <w:keepNext/>
              <w:spacing w:before="20" w:after="20"/>
              <w:jc w:val="both"/>
            </w:pPr>
            <w:r>
              <w:rPr>
                <w:b/>
                <w:bCs/>
                <w:i/>
                <w:iCs/>
                <w:sz w:val="18"/>
                <w:szCs w:val="18"/>
              </w:rPr>
              <w:t xml:space="preserve">Producto 6: </w:t>
            </w:r>
            <w:r>
              <w:rPr>
                <w:sz w:val="18"/>
                <w:szCs w:val="18"/>
              </w:rPr>
              <w:t>Cuadro de mando en Excel con tablas dinámicas</w:t>
            </w:r>
          </w:p>
        </w:tc>
        <w:tc>
          <w:tcPr>
            <w:tcW w:w="1843" w:type="dxa"/>
            <w:shd w:val="clear" w:color="auto" w:fill="D9E2F3"/>
            <w:vAlign w:val="center"/>
          </w:tcPr>
          <w:p w14:paraId="75BBC500" w14:textId="77777777" w:rsidR="00990B14" w:rsidRDefault="00000000">
            <w:pPr>
              <w:spacing w:before="20" w:after="20"/>
              <w:jc w:val="center"/>
            </w:pPr>
            <w:r>
              <w:rPr>
                <w:b/>
                <w:bCs/>
                <w:sz w:val="18"/>
                <w:szCs w:val="18"/>
              </w:rPr>
              <w:t>21%</w:t>
            </w:r>
          </w:p>
        </w:tc>
      </w:tr>
      <w:tr w:rsidR="00990B14" w14:paraId="68630149" w14:textId="77777777">
        <w:trPr>
          <w:cantSplit/>
          <w:jc w:val="center"/>
        </w:trPr>
        <w:tc>
          <w:tcPr>
            <w:tcW w:w="1850" w:type="dxa"/>
            <w:vMerge/>
            <w:shd w:val="clear" w:color="auto" w:fill="4472C4"/>
            <w:vAlign w:val="center"/>
          </w:tcPr>
          <w:p w14:paraId="64651AFC" w14:textId="77777777" w:rsidR="00990B14" w:rsidRDefault="00990B14">
            <w:pPr>
              <w:spacing w:before="20" w:after="20"/>
            </w:pPr>
          </w:p>
        </w:tc>
        <w:tc>
          <w:tcPr>
            <w:tcW w:w="1855" w:type="dxa"/>
            <w:shd w:val="clear" w:color="auto" w:fill="4472C4"/>
            <w:vAlign w:val="center"/>
          </w:tcPr>
          <w:p w14:paraId="15C91A1B" w14:textId="77777777" w:rsidR="00990B14" w:rsidRDefault="00000000">
            <w:pPr>
              <w:keepNext/>
              <w:spacing w:before="20" w:after="20"/>
              <w:jc w:val="center"/>
            </w:pPr>
            <w:r>
              <w:rPr>
                <w:b/>
                <w:bCs/>
                <w:i/>
                <w:iCs/>
                <w:color w:val="FFFFFF"/>
                <w:sz w:val="18"/>
                <w:szCs w:val="18"/>
              </w:rPr>
              <w:t>Criterio</w:t>
            </w:r>
          </w:p>
        </w:tc>
        <w:tc>
          <w:tcPr>
            <w:tcW w:w="1842" w:type="dxa"/>
            <w:shd w:val="clear" w:color="auto" w:fill="4472C4"/>
            <w:vAlign w:val="center"/>
          </w:tcPr>
          <w:p w14:paraId="5EFB2824"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643FDEF8" w14:textId="77777777" w:rsidR="00990B14" w:rsidRDefault="00000000">
            <w:pPr>
              <w:keepNext/>
              <w:spacing w:before="20" w:after="20"/>
              <w:jc w:val="center"/>
            </w:pPr>
            <w:r>
              <w:rPr>
                <w:b/>
                <w:bCs/>
                <w:i/>
                <w:iCs/>
                <w:color w:val="FFFFFF"/>
                <w:sz w:val="18"/>
                <w:szCs w:val="18"/>
              </w:rPr>
              <w:t>Suficiente (51–80)</w:t>
            </w:r>
          </w:p>
        </w:tc>
        <w:tc>
          <w:tcPr>
            <w:tcW w:w="1843" w:type="dxa"/>
            <w:shd w:val="clear" w:color="auto" w:fill="4472C4"/>
            <w:vAlign w:val="center"/>
          </w:tcPr>
          <w:p w14:paraId="0159AD89" w14:textId="77777777" w:rsidR="00990B14" w:rsidRDefault="00000000">
            <w:pPr>
              <w:keepNext/>
              <w:spacing w:before="20" w:after="20"/>
              <w:jc w:val="center"/>
            </w:pPr>
            <w:r>
              <w:rPr>
                <w:b/>
                <w:bCs/>
                <w:i/>
                <w:iCs/>
                <w:color w:val="FFFFFF"/>
                <w:sz w:val="18"/>
                <w:szCs w:val="18"/>
              </w:rPr>
              <w:t>Destacado (81–100)</w:t>
            </w:r>
          </w:p>
        </w:tc>
      </w:tr>
      <w:tr w:rsidR="00990B14" w14:paraId="694D02C6" w14:textId="77777777">
        <w:trPr>
          <w:cantSplit/>
          <w:jc w:val="center"/>
        </w:trPr>
        <w:tc>
          <w:tcPr>
            <w:tcW w:w="1850" w:type="dxa"/>
            <w:vMerge/>
            <w:shd w:val="clear" w:color="auto" w:fill="4472C4"/>
            <w:vAlign w:val="center"/>
          </w:tcPr>
          <w:p w14:paraId="39354748" w14:textId="77777777" w:rsidR="00990B14" w:rsidRDefault="00990B14">
            <w:pPr>
              <w:spacing w:before="20" w:after="20"/>
            </w:pPr>
          </w:p>
        </w:tc>
        <w:tc>
          <w:tcPr>
            <w:tcW w:w="1855" w:type="dxa"/>
            <w:shd w:val="clear" w:color="auto" w:fill="D9E2F3"/>
            <w:vAlign w:val="center"/>
          </w:tcPr>
          <w:p w14:paraId="4BFC5A77" w14:textId="77777777" w:rsidR="00990B14" w:rsidRDefault="00000000">
            <w:pPr>
              <w:spacing w:before="20" w:after="20"/>
              <w:jc w:val="both"/>
            </w:pPr>
            <w:r>
              <w:rPr>
                <w:sz w:val="18"/>
                <w:szCs w:val="18"/>
              </w:rPr>
              <w:t>Diseño de tablas</w:t>
            </w:r>
          </w:p>
        </w:tc>
        <w:tc>
          <w:tcPr>
            <w:tcW w:w="1842" w:type="dxa"/>
            <w:shd w:val="clear" w:color="auto" w:fill="D9E2F3"/>
            <w:vAlign w:val="center"/>
          </w:tcPr>
          <w:p w14:paraId="2B2761BF" w14:textId="77777777" w:rsidR="00990B14" w:rsidRDefault="00000000">
            <w:pPr>
              <w:spacing w:before="20" w:after="20"/>
              <w:jc w:val="both"/>
            </w:pPr>
            <w:r>
              <w:rPr>
                <w:sz w:val="18"/>
                <w:szCs w:val="18"/>
              </w:rPr>
              <w:t>Las tablas tienen limitaciones dinámicas.</w:t>
            </w:r>
          </w:p>
        </w:tc>
        <w:tc>
          <w:tcPr>
            <w:tcW w:w="2015" w:type="dxa"/>
            <w:shd w:val="clear" w:color="auto" w:fill="D9E2F3"/>
            <w:vAlign w:val="center"/>
          </w:tcPr>
          <w:p w14:paraId="20DDA00D" w14:textId="77777777" w:rsidR="00990B14" w:rsidRDefault="00000000">
            <w:pPr>
              <w:spacing w:before="20" w:after="20"/>
              <w:jc w:val="both"/>
            </w:pPr>
            <w:r>
              <w:rPr>
                <w:sz w:val="18"/>
                <w:szCs w:val="18"/>
              </w:rPr>
              <w:t>Define atajos basados en el uso del teclado</w:t>
            </w:r>
          </w:p>
        </w:tc>
        <w:tc>
          <w:tcPr>
            <w:tcW w:w="1843" w:type="dxa"/>
            <w:shd w:val="clear" w:color="auto" w:fill="D9E2F3"/>
            <w:vAlign w:val="center"/>
          </w:tcPr>
          <w:p w14:paraId="7151C705" w14:textId="77777777" w:rsidR="00990B14" w:rsidRDefault="00000000">
            <w:pPr>
              <w:spacing w:before="20" w:after="20"/>
              <w:jc w:val="both"/>
            </w:pPr>
            <w:r>
              <w:rPr>
                <w:sz w:val="18"/>
                <w:szCs w:val="18"/>
              </w:rPr>
              <w:t>Explica la tabla dinámica cruzada.</w:t>
            </w:r>
          </w:p>
        </w:tc>
      </w:tr>
      <w:tr w:rsidR="00990B14" w14:paraId="2861DDA7" w14:textId="77777777">
        <w:trPr>
          <w:cantSplit/>
          <w:jc w:val="center"/>
        </w:trPr>
        <w:tc>
          <w:tcPr>
            <w:tcW w:w="1850" w:type="dxa"/>
            <w:vMerge/>
            <w:shd w:val="clear" w:color="auto" w:fill="4472C4"/>
            <w:vAlign w:val="center"/>
          </w:tcPr>
          <w:p w14:paraId="4A705ECA" w14:textId="77777777" w:rsidR="00990B14" w:rsidRDefault="00990B14">
            <w:pPr>
              <w:spacing w:before="20" w:after="20"/>
            </w:pPr>
          </w:p>
        </w:tc>
        <w:tc>
          <w:tcPr>
            <w:tcW w:w="1855" w:type="dxa"/>
            <w:shd w:val="clear" w:color="auto" w:fill="D9E2F3"/>
            <w:vAlign w:val="center"/>
          </w:tcPr>
          <w:p w14:paraId="53F144B2" w14:textId="77777777" w:rsidR="00990B14" w:rsidRDefault="00000000">
            <w:pPr>
              <w:spacing w:before="20" w:after="20"/>
              <w:jc w:val="both"/>
            </w:pPr>
            <w:r>
              <w:rPr>
                <w:sz w:val="18"/>
                <w:szCs w:val="18"/>
              </w:rPr>
              <w:t>Gráficos dinámicos</w:t>
            </w:r>
          </w:p>
        </w:tc>
        <w:tc>
          <w:tcPr>
            <w:tcW w:w="1842" w:type="dxa"/>
            <w:shd w:val="clear" w:color="auto" w:fill="D9E2F3"/>
            <w:vAlign w:val="center"/>
          </w:tcPr>
          <w:p w14:paraId="69E54E48" w14:textId="77777777" w:rsidR="00990B14" w:rsidRDefault="00000000">
            <w:pPr>
              <w:spacing w:before="20" w:after="20"/>
              <w:jc w:val="both"/>
            </w:pPr>
            <w:r>
              <w:rPr>
                <w:sz w:val="18"/>
                <w:szCs w:val="18"/>
              </w:rPr>
              <w:t>Los gráficos no reflejan la tabla dinámica.</w:t>
            </w:r>
          </w:p>
        </w:tc>
        <w:tc>
          <w:tcPr>
            <w:tcW w:w="2015" w:type="dxa"/>
            <w:shd w:val="clear" w:color="auto" w:fill="D9E2F3"/>
            <w:vAlign w:val="center"/>
          </w:tcPr>
          <w:p w14:paraId="1CF91665" w14:textId="77777777" w:rsidR="00990B14" w:rsidRDefault="00000000">
            <w:pPr>
              <w:spacing w:before="20" w:after="20"/>
              <w:jc w:val="both"/>
            </w:pPr>
            <w:r>
              <w:rPr>
                <w:sz w:val="18"/>
                <w:szCs w:val="18"/>
              </w:rPr>
              <w:t>Construye gráficos dinámicos coherentes con los datos resumidos.</w:t>
            </w:r>
          </w:p>
        </w:tc>
        <w:tc>
          <w:tcPr>
            <w:tcW w:w="1843" w:type="dxa"/>
            <w:shd w:val="clear" w:color="auto" w:fill="D9E2F3"/>
            <w:vAlign w:val="center"/>
          </w:tcPr>
          <w:p w14:paraId="1ADCEC4C" w14:textId="77777777" w:rsidR="00990B14" w:rsidRDefault="00000000">
            <w:pPr>
              <w:spacing w:before="20" w:after="20"/>
              <w:jc w:val="both"/>
            </w:pPr>
            <w:r>
              <w:rPr>
                <w:sz w:val="18"/>
                <w:szCs w:val="18"/>
              </w:rPr>
              <w:t>Elige el tipo de gráfico según el mensaje que comunica.</w:t>
            </w:r>
          </w:p>
        </w:tc>
      </w:tr>
      <w:tr w:rsidR="00990B14" w14:paraId="0404C511" w14:textId="77777777">
        <w:trPr>
          <w:cantSplit/>
          <w:jc w:val="center"/>
        </w:trPr>
        <w:tc>
          <w:tcPr>
            <w:tcW w:w="1850" w:type="dxa"/>
            <w:vMerge/>
            <w:shd w:val="clear" w:color="auto" w:fill="4472C4"/>
            <w:vAlign w:val="center"/>
          </w:tcPr>
          <w:p w14:paraId="4D81126E" w14:textId="77777777" w:rsidR="00990B14" w:rsidRDefault="00990B14">
            <w:pPr>
              <w:spacing w:before="20" w:after="20"/>
            </w:pPr>
          </w:p>
        </w:tc>
        <w:tc>
          <w:tcPr>
            <w:tcW w:w="1855" w:type="dxa"/>
            <w:shd w:val="clear" w:color="auto" w:fill="D9E2F3"/>
            <w:vAlign w:val="center"/>
          </w:tcPr>
          <w:p w14:paraId="6BACD9BA" w14:textId="77777777" w:rsidR="00990B14" w:rsidRDefault="00000000">
            <w:pPr>
              <w:spacing w:before="20" w:after="20"/>
              <w:jc w:val="both"/>
            </w:pPr>
            <w:r>
              <w:rPr>
                <w:sz w:val="18"/>
                <w:szCs w:val="18"/>
              </w:rPr>
              <w:t>Presentación del cuadro</w:t>
            </w:r>
          </w:p>
        </w:tc>
        <w:tc>
          <w:tcPr>
            <w:tcW w:w="1842" w:type="dxa"/>
            <w:shd w:val="clear" w:color="auto" w:fill="D9E2F3"/>
            <w:vAlign w:val="center"/>
          </w:tcPr>
          <w:p w14:paraId="6129B79E" w14:textId="77777777" w:rsidR="00990B14" w:rsidRDefault="00000000">
            <w:pPr>
              <w:spacing w:before="20" w:after="20"/>
              <w:jc w:val="both"/>
            </w:pPr>
            <w:r>
              <w:rPr>
                <w:sz w:val="18"/>
                <w:szCs w:val="18"/>
              </w:rPr>
              <w:t>El cuadro es desordenado y no permite interpretar.</w:t>
            </w:r>
          </w:p>
        </w:tc>
        <w:tc>
          <w:tcPr>
            <w:tcW w:w="2015" w:type="dxa"/>
            <w:shd w:val="clear" w:color="auto" w:fill="D9E2F3"/>
            <w:vAlign w:val="center"/>
          </w:tcPr>
          <w:p w14:paraId="18761CC4" w14:textId="77777777" w:rsidR="00990B14" w:rsidRDefault="00000000">
            <w:pPr>
              <w:spacing w:before="20" w:after="20"/>
              <w:jc w:val="both"/>
            </w:pPr>
            <w:r>
              <w:rPr>
                <w:sz w:val="18"/>
                <w:szCs w:val="18"/>
              </w:rPr>
              <w:t>El cuadro presenta los indicadores de forma clara.</w:t>
            </w:r>
          </w:p>
        </w:tc>
        <w:tc>
          <w:tcPr>
            <w:tcW w:w="1843" w:type="dxa"/>
            <w:shd w:val="clear" w:color="auto" w:fill="D9E2F3"/>
            <w:vAlign w:val="center"/>
          </w:tcPr>
          <w:p w14:paraId="063A420E" w14:textId="77777777" w:rsidR="00990B14" w:rsidRDefault="00000000">
            <w:pPr>
              <w:spacing w:before="20" w:after="20"/>
              <w:jc w:val="both"/>
            </w:pPr>
            <w:r>
              <w:rPr>
                <w:sz w:val="18"/>
                <w:szCs w:val="18"/>
              </w:rPr>
              <w:t>Sustenta ante el curso las conclusiones del cuadro con objetividad.</w:t>
            </w:r>
          </w:p>
        </w:tc>
      </w:tr>
      <w:tr w:rsidR="00990B14" w14:paraId="698D86E1" w14:textId="77777777">
        <w:trPr>
          <w:cantSplit/>
          <w:jc w:val="center"/>
        </w:trPr>
        <w:tc>
          <w:tcPr>
            <w:tcW w:w="1850" w:type="dxa"/>
            <w:vMerge/>
            <w:shd w:val="clear" w:color="auto" w:fill="4472C4"/>
            <w:vAlign w:val="center"/>
          </w:tcPr>
          <w:p w14:paraId="4608D692" w14:textId="77777777" w:rsidR="00990B14" w:rsidRDefault="00990B14">
            <w:pPr>
              <w:spacing w:before="20" w:after="20"/>
            </w:pPr>
          </w:p>
        </w:tc>
        <w:tc>
          <w:tcPr>
            <w:tcW w:w="5712" w:type="dxa"/>
            <w:gridSpan w:val="3"/>
            <w:shd w:val="clear" w:color="auto" w:fill="D9E2F3"/>
            <w:vAlign w:val="center"/>
          </w:tcPr>
          <w:p w14:paraId="5C1C7E1F" w14:textId="77777777" w:rsidR="00990B14" w:rsidRDefault="00000000">
            <w:pPr>
              <w:keepNext/>
              <w:spacing w:before="20" w:after="20"/>
              <w:jc w:val="both"/>
            </w:pPr>
            <w:r>
              <w:rPr>
                <w:b/>
                <w:bCs/>
                <w:i/>
                <w:iCs/>
                <w:sz w:val="18"/>
                <w:szCs w:val="18"/>
              </w:rPr>
              <w:t xml:space="preserve">Producto 7: </w:t>
            </w:r>
            <w:r>
              <w:rPr>
                <w:sz w:val="18"/>
                <w:szCs w:val="18"/>
              </w:rPr>
              <w:t>Cuadro de mando en Excel con macros.</w:t>
            </w:r>
          </w:p>
        </w:tc>
        <w:tc>
          <w:tcPr>
            <w:tcW w:w="1843" w:type="dxa"/>
            <w:shd w:val="clear" w:color="auto" w:fill="D9E2F3"/>
            <w:vAlign w:val="center"/>
          </w:tcPr>
          <w:p w14:paraId="4C1F585B" w14:textId="77777777" w:rsidR="00990B14" w:rsidRDefault="00000000">
            <w:pPr>
              <w:spacing w:before="20" w:after="20"/>
              <w:jc w:val="center"/>
            </w:pPr>
            <w:r>
              <w:rPr>
                <w:b/>
                <w:bCs/>
                <w:sz w:val="18"/>
                <w:szCs w:val="18"/>
              </w:rPr>
              <w:t>18%</w:t>
            </w:r>
          </w:p>
        </w:tc>
      </w:tr>
      <w:tr w:rsidR="00990B14" w14:paraId="53DCC7FA" w14:textId="77777777">
        <w:trPr>
          <w:cantSplit/>
          <w:jc w:val="center"/>
        </w:trPr>
        <w:tc>
          <w:tcPr>
            <w:tcW w:w="1850" w:type="dxa"/>
            <w:vMerge/>
            <w:shd w:val="clear" w:color="auto" w:fill="4472C4"/>
            <w:vAlign w:val="center"/>
          </w:tcPr>
          <w:p w14:paraId="757C4E2F" w14:textId="77777777" w:rsidR="00990B14" w:rsidRDefault="00990B14">
            <w:pPr>
              <w:spacing w:before="20" w:after="20"/>
            </w:pPr>
          </w:p>
        </w:tc>
        <w:tc>
          <w:tcPr>
            <w:tcW w:w="1855" w:type="dxa"/>
            <w:shd w:val="clear" w:color="auto" w:fill="4472C4"/>
            <w:vAlign w:val="center"/>
          </w:tcPr>
          <w:p w14:paraId="3CD06938" w14:textId="77777777" w:rsidR="00990B14" w:rsidRDefault="00000000">
            <w:pPr>
              <w:keepNext/>
              <w:spacing w:before="20" w:after="20"/>
              <w:jc w:val="center"/>
            </w:pPr>
            <w:r>
              <w:rPr>
                <w:b/>
                <w:bCs/>
                <w:i/>
                <w:iCs/>
                <w:color w:val="FFFFFF"/>
                <w:sz w:val="18"/>
                <w:szCs w:val="18"/>
              </w:rPr>
              <w:t>Criterio</w:t>
            </w:r>
          </w:p>
        </w:tc>
        <w:tc>
          <w:tcPr>
            <w:tcW w:w="1842" w:type="dxa"/>
            <w:shd w:val="clear" w:color="auto" w:fill="4472C4"/>
            <w:vAlign w:val="center"/>
          </w:tcPr>
          <w:p w14:paraId="226164D5"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0D6610E8" w14:textId="77777777" w:rsidR="00990B14" w:rsidRDefault="00000000">
            <w:pPr>
              <w:keepNext/>
              <w:spacing w:before="20" w:after="20"/>
              <w:jc w:val="center"/>
            </w:pPr>
            <w:r>
              <w:rPr>
                <w:b/>
                <w:bCs/>
                <w:i/>
                <w:iCs/>
                <w:color w:val="FFFFFF"/>
                <w:sz w:val="18"/>
                <w:szCs w:val="18"/>
              </w:rPr>
              <w:t>Suficiente (51–80)</w:t>
            </w:r>
          </w:p>
        </w:tc>
        <w:tc>
          <w:tcPr>
            <w:tcW w:w="1843" w:type="dxa"/>
            <w:shd w:val="clear" w:color="auto" w:fill="4472C4"/>
            <w:vAlign w:val="center"/>
          </w:tcPr>
          <w:p w14:paraId="1FA33960" w14:textId="77777777" w:rsidR="00990B14" w:rsidRDefault="00000000">
            <w:pPr>
              <w:keepNext/>
              <w:spacing w:before="20" w:after="20"/>
              <w:jc w:val="center"/>
            </w:pPr>
            <w:r>
              <w:rPr>
                <w:b/>
                <w:bCs/>
                <w:i/>
                <w:iCs/>
                <w:color w:val="FFFFFF"/>
                <w:sz w:val="18"/>
                <w:szCs w:val="18"/>
              </w:rPr>
              <w:t>Destacado (81–100)</w:t>
            </w:r>
          </w:p>
        </w:tc>
      </w:tr>
      <w:tr w:rsidR="00990B14" w14:paraId="7CB83D15" w14:textId="77777777">
        <w:trPr>
          <w:cantSplit/>
          <w:jc w:val="center"/>
        </w:trPr>
        <w:tc>
          <w:tcPr>
            <w:tcW w:w="1850" w:type="dxa"/>
            <w:vMerge/>
            <w:shd w:val="clear" w:color="auto" w:fill="4472C4"/>
            <w:vAlign w:val="center"/>
          </w:tcPr>
          <w:p w14:paraId="57F0B330" w14:textId="77777777" w:rsidR="00990B14" w:rsidRDefault="00990B14">
            <w:pPr>
              <w:spacing w:before="20" w:after="20"/>
            </w:pPr>
          </w:p>
        </w:tc>
        <w:tc>
          <w:tcPr>
            <w:tcW w:w="1855" w:type="dxa"/>
            <w:shd w:val="clear" w:color="auto" w:fill="D9E2F3"/>
            <w:vAlign w:val="center"/>
          </w:tcPr>
          <w:p w14:paraId="48170B75" w14:textId="77777777" w:rsidR="00990B14" w:rsidRDefault="00000000">
            <w:pPr>
              <w:spacing w:before="20" w:after="20"/>
              <w:jc w:val="both"/>
            </w:pPr>
            <w:r>
              <w:rPr>
                <w:sz w:val="18"/>
                <w:szCs w:val="18"/>
              </w:rPr>
              <w:t>Descripción de la macro</w:t>
            </w:r>
          </w:p>
        </w:tc>
        <w:tc>
          <w:tcPr>
            <w:tcW w:w="1842" w:type="dxa"/>
            <w:shd w:val="clear" w:color="auto" w:fill="D9E2F3"/>
            <w:vAlign w:val="center"/>
          </w:tcPr>
          <w:p w14:paraId="371F6B3C" w14:textId="77777777" w:rsidR="00990B14" w:rsidRDefault="00000000">
            <w:pPr>
              <w:spacing w:before="20" w:after="20"/>
              <w:jc w:val="both"/>
            </w:pPr>
            <w:r>
              <w:rPr>
                <w:sz w:val="18"/>
                <w:szCs w:val="18"/>
              </w:rPr>
              <w:t>La descripción es errónea.</w:t>
            </w:r>
          </w:p>
        </w:tc>
        <w:tc>
          <w:tcPr>
            <w:tcW w:w="2015" w:type="dxa"/>
            <w:shd w:val="clear" w:color="auto" w:fill="D9E2F3"/>
            <w:vAlign w:val="center"/>
          </w:tcPr>
          <w:p w14:paraId="4B61AD92" w14:textId="77777777" w:rsidR="00990B14" w:rsidRDefault="00000000">
            <w:pPr>
              <w:spacing w:before="20" w:after="20"/>
              <w:jc w:val="both"/>
            </w:pPr>
            <w:r>
              <w:rPr>
                <w:sz w:val="18"/>
                <w:szCs w:val="18"/>
              </w:rPr>
              <w:t>Describe la macro y su funcionamiento básico.</w:t>
            </w:r>
          </w:p>
        </w:tc>
        <w:tc>
          <w:tcPr>
            <w:tcW w:w="1843" w:type="dxa"/>
            <w:shd w:val="clear" w:color="auto" w:fill="D9E2F3"/>
            <w:vAlign w:val="center"/>
          </w:tcPr>
          <w:p w14:paraId="7D4C8C88" w14:textId="77777777" w:rsidR="00990B14" w:rsidRDefault="00000000">
            <w:pPr>
              <w:spacing w:before="20" w:after="20"/>
              <w:jc w:val="both"/>
            </w:pPr>
            <w:r>
              <w:rPr>
                <w:sz w:val="18"/>
                <w:szCs w:val="18"/>
              </w:rPr>
              <w:t>Usa opciones de programación en macros.</w:t>
            </w:r>
          </w:p>
        </w:tc>
      </w:tr>
      <w:tr w:rsidR="00990B14" w14:paraId="06FB62C6" w14:textId="77777777">
        <w:trPr>
          <w:cantSplit/>
          <w:jc w:val="center"/>
        </w:trPr>
        <w:tc>
          <w:tcPr>
            <w:tcW w:w="1850" w:type="dxa"/>
            <w:vMerge/>
            <w:shd w:val="clear" w:color="auto" w:fill="4472C4"/>
            <w:vAlign w:val="center"/>
          </w:tcPr>
          <w:p w14:paraId="430C3C40" w14:textId="77777777" w:rsidR="00990B14" w:rsidRDefault="00990B14">
            <w:pPr>
              <w:spacing w:before="20" w:after="20"/>
            </w:pPr>
          </w:p>
        </w:tc>
        <w:tc>
          <w:tcPr>
            <w:tcW w:w="1855" w:type="dxa"/>
            <w:shd w:val="clear" w:color="auto" w:fill="D9E2F3"/>
            <w:vAlign w:val="center"/>
          </w:tcPr>
          <w:p w14:paraId="47703333" w14:textId="77777777" w:rsidR="00990B14" w:rsidRDefault="00000000">
            <w:pPr>
              <w:spacing w:before="20" w:after="20"/>
              <w:jc w:val="both"/>
            </w:pPr>
            <w:r>
              <w:rPr>
                <w:sz w:val="18"/>
                <w:szCs w:val="18"/>
              </w:rPr>
              <w:t>Automatización de tareas</w:t>
            </w:r>
          </w:p>
        </w:tc>
        <w:tc>
          <w:tcPr>
            <w:tcW w:w="1842" w:type="dxa"/>
            <w:shd w:val="clear" w:color="auto" w:fill="D9E2F3"/>
            <w:vAlign w:val="center"/>
          </w:tcPr>
          <w:p w14:paraId="3668FE19" w14:textId="77777777" w:rsidR="00990B14" w:rsidRDefault="00000000">
            <w:pPr>
              <w:spacing w:before="20" w:after="20"/>
              <w:jc w:val="both"/>
            </w:pPr>
            <w:r>
              <w:rPr>
                <w:sz w:val="18"/>
                <w:szCs w:val="18"/>
              </w:rPr>
              <w:t>La macro no ejecuta la tarea repetitiva.</w:t>
            </w:r>
          </w:p>
        </w:tc>
        <w:tc>
          <w:tcPr>
            <w:tcW w:w="2015" w:type="dxa"/>
            <w:shd w:val="clear" w:color="auto" w:fill="D9E2F3"/>
            <w:vAlign w:val="center"/>
          </w:tcPr>
          <w:p w14:paraId="74E8E55D" w14:textId="77777777" w:rsidR="00990B14" w:rsidRDefault="00000000">
            <w:pPr>
              <w:spacing w:before="20" w:after="20"/>
              <w:jc w:val="both"/>
            </w:pPr>
            <w:r>
              <w:rPr>
                <w:sz w:val="18"/>
                <w:szCs w:val="18"/>
              </w:rPr>
              <w:t>La macro automatiza la tarea repetitiva con el editor de Visual Basic.</w:t>
            </w:r>
          </w:p>
        </w:tc>
        <w:tc>
          <w:tcPr>
            <w:tcW w:w="1843" w:type="dxa"/>
            <w:shd w:val="clear" w:color="auto" w:fill="D9E2F3"/>
            <w:vAlign w:val="center"/>
          </w:tcPr>
          <w:p w14:paraId="25B40A49" w14:textId="77777777" w:rsidR="00990B14" w:rsidRDefault="00000000">
            <w:pPr>
              <w:spacing w:before="20" w:after="20"/>
              <w:jc w:val="both"/>
            </w:pPr>
            <w:r>
              <w:rPr>
                <w:sz w:val="18"/>
                <w:szCs w:val="18"/>
              </w:rPr>
              <w:t>La macro maneja errores y es reutilizable.</w:t>
            </w:r>
          </w:p>
        </w:tc>
      </w:tr>
      <w:tr w:rsidR="00990B14" w14:paraId="256A038E" w14:textId="77777777">
        <w:trPr>
          <w:cantSplit/>
          <w:jc w:val="center"/>
        </w:trPr>
        <w:tc>
          <w:tcPr>
            <w:tcW w:w="1850" w:type="dxa"/>
            <w:vMerge/>
            <w:shd w:val="clear" w:color="auto" w:fill="4472C4"/>
            <w:vAlign w:val="center"/>
          </w:tcPr>
          <w:p w14:paraId="7508E7A5" w14:textId="77777777" w:rsidR="00990B14" w:rsidRDefault="00990B14">
            <w:pPr>
              <w:spacing w:before="20" w:after="20"/>
            </w:pPr>
          </w:p>
        </w:tc>
        <w:tc>
          <w:tcPr>
            <w:tcW w:w="1855" w:type="dxa"/>
            <w:shd w:val="clear" w:color="auto" w:fill="D9E2F3"/>
            <w:vAlign w:val="center"/>
          </w:tcPr>
          <w:p w14:paraId="71AB9B1A" w14:textId="77777777" w:rsidR="00990B14" w:rsidRDefault="00000000">
            <w:pPr>
              <w:spacing w:before="20" w:after="20"/>
              <w:jc w:val="both"/>
            </w:pPr>
            <w:r>
              <w:rPr>
                <w:sz w:val="18"/>
                <w:szCs w:val="18"/>
              </w:rPr>
              <w:t>Controles y objetos</w:t>
            </w:r>
          </w:p>
        </w:tc>
        <w:tc>
          <w:tcPr>
            <w:tcW w:w="1842" w:type="dxa"/>
            <w:shd w:val="clear" w:color="auto" w:fill="D9E2F3"/>
            <w:vAlign w:val="center"/>
          </w:tcPr>
          <w:p w14:paraId="5F6A1F84" w14:textId="77777777" w:rsidR="00990B14" w:rsidRDefault="00000000">
            <w:pPr>
              <w:spacing w:before="20" w:after="20"/>
              <w:jc w:val="both"/>
            </w:pPr>
            <w:r>
              <w:rPr>
                <w:sz w:val="18"/>
                <w:szCs w:val="18"/>
              </w:rPr>
              <w:t>No usa controles ni objetos.</w:t>
            </w:r>
          </w:p>
        </w:tc>
        <w:tc>
          <w:tcPr>
            <w:tcW w:w="2015" w:type="dxa"/>
            <w:shd w:val="clear" w:color="auto" w:fill="D9E2F3"/>
            <w:vAlign w:val="center"/>
          </w:tcPr>
          <w:p w14:paraId="0547FA86" w14:textId="77777777" w:rsidR="00990B14" w:rsidRDefault="00000000">
            <w:pPr>
              <w:spacing w:before="20" w:after="20"/>
              <w:jc w:val="both"/>
            </w:pPr>
            <w:r>
              <w:rPr>
                <w:sz w:val="18"/>
                <w:szCs w:val="18"/>
              </w:rPr>
              <w:t>Asigna la macro a un control del cuadro de mando.</w:t>
            </w:r>
          </w:p>
        </w:tc>
        <w:tc>
          <w:tcPr>
            <w:tcW w:w="1843" w:type="dxa"/>
            <w:shd w:val="clear" w:color="auto" w:fill="D9E2F3"/>
            <w:vAlign w:val="center"/>
          </w:tcPr>
          <w:p w14:paraId="3562ABEA" w14:textId="77777777" w:rsidR="00990B14" w:rsidRDefault="00000000">
            <w:pPr>
              <w:spacing w:before="20" w:after="20"/>
              <w:jc w:val="both"/>
            </w:pPr>
            <w:r>
              <w:rPr>
                <w:sz w:val="18"/>
                <w:szCs w:val="18"/>
              </w:rPr>
              <w:t>Integra la macro con tablas dinámicas que se actualizan.</w:t>
            </w:r>
          </w:p>
        </w:tc>
      </w:tr>
      <w:tr w:rsidR="00990B14" w14:paraId="28B8DCBC" w14:textId="77777777">
        <w:trPr>
          <w:cantSplit/>
          <w:jc w:val="center"/>
        </w:trPr>
        <w:tc>
          <w:tcPr>
            <w:tcW w:w="1850" w:type="dxa"/>
            <w:vMerge/>
            <w:shd w:val="clear" w:color="auto" w:fill="4472C4"/>
            <w:vAlign w:val="center"/>
          </w:tcPr>
          <w:p w14:paraId="6F17265D" w14:textId="77777777" w:rsidR="00990B14" w:rsidRDefault="00990B14">
            <w:pPr>
              <w:spacing w:before="20" w:after="20"/>
            </w:pPr>
          </w:p>
        </w:tc>
        <w:tc>
          <w:tcPr>
            <w:tcW w:w="5712" w:type="dxa"/>
            <w:gridSpan w:val="3"/>
            <w:shd w:val="clear" w:color="auto" w:fill="D9E2F3"/>
            <w:vAlign w:val="center"/>
          </w:tcPr>
          <w:p w14:paraId="6627BE6F" w14:textId="77777777" w:rsidR="00990B14" w:rsidRDefault="00000000">
            <w:pPr>
              <w:keepNext/>
              <w:spacing w:before="20" w:after="20"/>
              <w:jc w:val="both"/>
            </w:pPr>
            <w:r>
              <w:rPr>
                <w:b/>
                <w:bCs/>
                <w:i/>
                <w:iCs/>
                <w:sz w:val="18"/>
                <w:szCs w:val="18"/>
              </w:rPr>
              <w:t xml:space="preserve">Producto 8: </w:t>
            </w:r>
            <w:r>
              <w:rPr>
                <w:sz w:val="18"/>
                <w:szCs w:val="18"/>
              </w:rPr>
              <w:t>Cuadro de mando en Excel con bases de datos.</w:t>
            </w:r>
          </w:p>
        </w:tc>
        <w:tc>
          <w:tcPr>
            <w:tcW w:w="1843" w:type="dxa"/>
            <w:shd w:val="clear" w:color="auto" w:fill="D9E2F3"/>
            <w:vAlign w:val="center"/>
          </w:tcPr>
          <w:p w14:paraId="1DC1A3E2" w14:textId="77777777" w:rsidR="00990B14" w:rsidRDefault="00000000">
            <w:pPr>
              <w:spacing w:before="20" w:after="20"/>
              <w:jc w:val="center"/>
            </w:pPr>
            <w:r>
              <w:rPr>
                <w:b/>
                <w:bCs/>
                <w:sz w:val="18"/>
                <w:szCs w:val="18"/>
              </w:rPr>
              <w:t>9%</w:t>
            </w:r>
          </w:p>
        </w:tc>
      </w:tr>
      <w:tr w:rsidR="00990B14" w14:paraId="4288C853" w14:textId="77777777">
        <w:trPr>
          <w:cantSplit/>
          <w:jc w:val="center"/>
        </w:trPr>
        <w:tc>
          <w:tcPr>
            <w:tcW w:w="1850" w:type="dxa"/>
            <w:vMerge/>
            <w:shd w:val="clear" w:color="auto" w:fill="4472C4"/>
            <w:vAlign w:val="center"/>
          </w:tcPr>
          <w:p w14:paraId="56F8E4A6" w14:textId="77777777" w:rsidR="00990B14" w:rsidRDefault="00990B14">
            <w:pPr>
              <w:spacing w:before="20" w:after="20"/>
            </w:pPr>
          </w:p>
        </w:tc>
        <w:tc>
          <w:tcPr>
            <w:tcW w:w="1855" w:type="dxa"/>
            <w:shd w:val="clear" w:color="auto" w:fill="4472C4"/>
            <w:vAlign w:val="center"/>
          </w:tcPr>
          <w:p w14:paraId="256891AB" w14:textId="77777777" w:rsidR="00990B14" w:rsidRDefault="00000000">
            <w:pPr>
              <w:keepNext/>
              <w:spacing w:before="20" w:after="20"/>
              <w:jc w:val="center"/>
            </w:pPr>
            <w:r>
              <w:rPr>
                <w:b/>
                <w:bCs/>
                <w:i/>
                <w:iCs/>
                <w:color w:val="FFFFFF"/>
                <w:sz w:val="18"/>
                <w:szCs w:val="18"/>
              </w:rPr>
              <w:t>Criterio</w:t>
            </w:r>
          </w:p>
        </w:tc>
        <w:tc>
          <w:tcPr>
            <w:tcW w:w="1842" w:type="dxa"/>
            <w:shd w:val="clear" w:color="auto" w:fill="4472C4"/>
            <w:vAlign w:val="center"/>
          </w:tcPr>
          <w:p w14:paraId="37A90D09"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6B65E9C9" w14:textId="77777777" w:rsidR="00990B14" w:rsidRDefault="00000000">
            <w:pPr>
              <w:keepNext/>
              <w:spacing w:before="20" w:after="20"/>
              <w:jc w:val="center"/>
            </w:pPr>
            <w:r>
              <w:rPr>
                <w:b/>
                <w:bCs/>
                <w:i/>
                <w:iCs/>
                <w:color w:val="FFFFFF"/>
                <w:sz w:val="18"/>
                <w:szCs w:val="18"/>
              </w:rPr>
              <w:t>Suficiente (51–80)</w:t>
            </w:r>
          </w:p>
        </w:tc>
        <w:tc>
          <w:tcPr>
            <w:tcW w:w="1843" w:type="dxa"/>
            <w:shd w:val="clear" w:color="auto" w:fill="4472C4"/>
            <w:vAlign w:val="center"/>
          </w:tcPr>
          <w:p w14:paraId="3FC6A3DA" w14:textId="77777777" w:rsidR="00990B14" w:rsidRDefault="00000000">
            <w:pPr>
              <w:keepNext/>
              <w:spacing w:before="20" w:after="20"/>
              <w:jc w:val="center"/>
            </w:pPr>
            <w:r>
              <w:rPr>
                <w:b/>
                <w:bCs/>
                <w:i/>
                <w:iCs/>
                <w:color w:val="FFFFFF"/>
                <w:sz w:val="18"/>
                <w:szCs w:val="18"/>
              </w:rPr>
              <w:t>Destacado (81–100)</w:t>
            </w:r>
          </w:p>
        </w:tc>
      </w:tr>
      <w:tr w:rsidR="00990B14" w14:paraId="79EFAE53" w14:textId="77777777">
        <w:trPr>
          <w:cantSplit/>
          <w:jc w:val="center"/>
        </w:trPr>
        <w:tc>
          <w:tcPr>
            <w:tcW w:w="1850" w:type="dxa"/>
            <w:vMerge/>
            <w:shd w:val="clear" w:color="auto" w:fill="4472C4"/>
            <w:vAlign w:val="center"/>
          </w:tcPr>
          <w:p w14:paraId="1479E1BC" w14:textId="77777777" w:rsidR="00990B14" w:rsidRDefault="00990B14">
            <w:pPr>
              <w:spacing w:before="20" w:after="20"/>
            </w:pPr>
          </w:p>
        </w:tc>
        <w:tc>
          <w:tcPr>
            <w:tcW w:w="1855" w:type="dxa"/>
            <w:shd w:val="clear" w:color="auto" w:fill="D9E2F3"/>
            <w:vAlign w:val="center"/>
          </w:tcPr>
          <w:p w14:paraId="22D5AB03" w14:textId="77777777" w:rsidR="00990B14" w:rsidRDefault="00000000">
            <w:pPr>
              <w:spacing w:before="20" w:after="20"/>
              <w:jc w:val="both"/>
            </w:pPr>
            <w:r>
              <w:rPr>
                <w:sz w:val="18"/>
                <w:szCs w:val="18"/>
              </w:rPr>
              <w:t>Diseño de la base de datos</w:t>
            </w:r>
          </w:p>
        </w:tc>
        <w:tc>
          <w:tcPr>
            <w:tcW w:w="1842" w:type="dxa"/>
            <w:shd w:val="clear" w:color="auto" w:fill="D9E2F3"/>
            <w:vAlign w:val="center"/>
          </w:tcPr>
          <w:p w14:paraId="7A0E5107" w14:textId="77777777" w:rsidR="00990B14" w:rsidRDefault="00000000">
            <w:pPr>
              <w:spacing w:before="20" w:after="20"/>
              <w:jc w:val="both"/>
            </w:pPr>
            <w:r>
              <w:rPr>
                <w:sz w:val="18"/>
                <w:szCs w:val="18"/>
              </w:rPr>
              <w:t>El proceso de diseño no es adecuado.</w:t>
            </w:r>
          </w:p>
        </w:tc>
        <w:tc>
          <w:tcPr>
            <w:tcW w:w="2015" w:type="dxa"/>
            <w:shd w:val="clear" w:color="auto" w:fill="D9E2F3"/>
            <w:vAlign w:val="center"/>
          </w:tcPr>
          <w:p w14:paraId="12476990" w14:textId="77777777" w:rsidR="00990B14" w:rsidRDefault="00000000">
            <w:pPr>
              <w:spacing w:before="20" w:after="20"/>
              <w:jc w:val="both"/>
            </w:pPr>
            <w:r>
              <w:rPr>
                <w:sz w:val="18"/>
                <w:szCs w:val="18"/>
              </w:rPr>
              <w:t>Formula el modelo conceptual y lógico</w:t>
            </w:r>
          </w:p>
        </w:tc>
        <w:tc>
          <w:tcPr>
            <w:tcW w:w="1843" w:type="dxa"/>
            <w:shd w:val="clear" w:color="auto" w:fill="D9E2F3"/>
            <w:vAlign w:val="center"/>
          </w:tcPr>
          <w:p w14:paraId="58A98211" w14:textId="77777777" w:rsidR="00990B14" w:rsidRDefault="00000000">
            <w:pPr>
              <w:spacing w:before="20" w:after="20"/>
              <w:jc w:val="both"/>
            </w:pPr>
            <w:r>
              <w:rPr>
                <w:sz w:val="18"/>
                <w:szCs w:val="18"/>
              </w:rPr>
              <w:t>Mejora modelado de base de datos.</w:t>
            </w:r>
          </w:p>
        </w:tc>
      </w:tr>
      <w:tr w:rsidR="00990B14" w14:paraId="76B96DB5" w14:textId="77777777">
        <w:trPr>
          <w:cantSplit/>
          <w:jc w:val="center"/>
        </w:trPr>
        <w:tc>
          <w:tcPr>
            <w:tcW w:w="1850" w:type="dxa"/>
            <w:vMerge/>
            <w:shd w:val="clear" w:color="auto" w:fill="4472C4"/>
            <w:vAlign w:val="center"/>
          </w:tcPr>
          <w:p w14:paraId="7AFF926C" w14:textId="77777777" w:rsidR="00990B14" w:rsidRDefault="00990B14">
            <w:pPr>
              <w:spacing w:before="20" w:after="20"/>
            </w:pPr>
          </w:p>
        </w:tc>
        <w:tc>
          <w:tcPr>
            <w:tcW w:w="1855" w:type="dxa"/>
            <w:shd w:val="clear" w:color="auto" w:fill="D9E2F3"/>
            <w:vAlign w:val="center"/>
          </w:tcPr>
          <w:p w14:paraId="39A12535" w14:textId="77777777" w:rsidR="00990B14" w:rsidRDefault="00000000">
            <w:pPr>
              <w:spacing w:before="20" w:after="20"/>
              <w:jc w:val="both"/>
            </w:pPr>
            <w:r>
              <w:rPr>
                <w:sz w:val="18"/>
                <w:szCs w:val="18"/>
              </w:rPr>
              <w:t>Tablas y relaciones</w:t>
            </w:r>
          </w:p>
        </w:tc>
        <w:tc>
          <w:tcPr>
            <w:tcW w:w="1842" w:type="dxa"/>
            <w:shd w:val="clear" w:color="auto" w:fill="D9E2F3"/>
            <w:vAlign w:val="center"/>
          </w:tcPr>
          <w:p w14:paraId="761D3259" w14:textId="77777777" w:rsidR="00990B14" w:rsidRDefault="00000000">
            <w:pPr>
              <w:spacing w:before="20" w:after="20"/>
              <w:jc w:val="both"/>
            </w:pPr>
            <w:r>
              <w:rPr>
                <w:sz w:val="18"/>
                <w:szCs w:val="18"/>
              </w:rPr>
              <w:t>Las tablas no se relacionan.</w:t>
            </w:r>
          </w:p>
        </w:tc>
        <w:tc>
          <w:tcPr>
            <w:tcW w:w="2015" w:type="dxa"/>
            <w:shd w:val="clear" w:color="auto" w:fill="D9E2F3"/>
            <w:vAlign w:val="center"/>
          </w:tcPr>
          <w:p w14:paraId="59218734" w14:textId="77777777" w:rsidR="00990B14" w:rsidRDefault="00000000">
            <w:pPr>
              <w:spacing w:before="20" w:after="20"/>
              <w:jc w:val="both"/>
            </w:pPr>
            <w:r>
              <w:rPr>
                <w:sz w:val="18"/>
                <w:szCs w:val="18"/>
              </w:rPr>
              <w:t>Define claves primarias, claves ajenas e integridad referencial.</w:t>
            </w:r>
          </w:p>
        </w:tc>
        <w:tc>
          <w:tcPr>
            <w:tcW w:w="1843" w:type="dxa"/>
            <w:shd w:val="clear" w:color="auto" w:fill="D9E2F3"/>
            <w:vAlign w:val="center"/>
          </w:tcPr>
          <w:p w14:paraId="764CADEE" w14:textId="77777777" w:rsidR="00990B14" w:rsidRDefault="00000000">
            <w:pPr>
              <w:spacing w:before="20" w:after="20"/>
              <w:jc w:val="both"/>
            </w:pPr>
            <w:r>
              <w:rPr>
                <w:sz w:val="18"/>
                <w:szCs w:val="18"/>
              </w:rPr>
              <w:t>Justifica las relaciones entre las tablas.</w:t>
            </w:r>
          </w:p>
        </w:tc>
      </w:tr>
      <w:tr w:rsidR="00990B14" w14:paraId="16EA73C7" w14:textId="77777777">
        <w:trPr>
          <w:cantSplit/>
          <w:jc w:val="center"/>
        </w:trPr>
        <w:tc>
          <w:tcPr>
            <w:tcW w:w="1850" w:type="dxa"/>
            <w:vMerge/>
            <w:shd w:val="clear" w:color="auto" w:fill="4472C4"/>
            <w:vAlign w:val="center"/>
          </w:tcPr>
          <w:p w14:paraId="42B2A879" w14:textId="77777777" w:rsidR="00990B14" w:rsidRDefault="00990B14">
            <w:pPr>
              <w:spacing w:before="20" w:after="20"/>
            </w:pPr>
          </w:p>
        </w:tc>
        <w:tc>
          <w:tcPr>
            <w:tcW w:w="1855" w:type="dxa"/>
            <w:shd w:val="clear" w:color="auto" w:fill="D9E2F3"/>
            <w:vAlign w:val="center"/>
          </w:tcPr>
          <w:p w14:paraId="5AF5FD33" w14:textId="77777777" w:rsidR="00990B14" w:rsidRDefault="00000000">
            <w:pPr>
              <w:spacing w:before="20" w:after="20"/>
              <w:jc w:val="both"/>
            </w:pPr>
            <w:r>
              <w:rPr>
                <w:sz w:val="18"/>
                <w:szCs w:val="18"/>
              </w:rPr>
              <w:t>Consultas SQL</w:t>
            </w:r>
          </w:p>
        </w:tc>
        <w:tc>
          <w:tcPr>
            <w:tcW w:w="1842" w:type="dxa"/>
            <w:shd w:val="clear" w:color="auto" w:fill="D9E2F3"/>
            <w:vAlign w:val="center"/>
          </w:tcPr>
          <w:p w14:paraId="29FF862A" w14:textId="77777777" w:rsidR="00990B14" w:rsidRDefault="00000000">
            <w:pPr>
              <w:spacing w:before="20" w:after="20"/>
              <w:jc w:val="both"/>
            </w:pPr>
            <w:r>
              <w:rPr>
                <w:sz w:val="18"/>
                <w:szCs w:val="18"/>
              </w:rPr>
              <w:t>Las consultas devuelven datos erróneos.</w:t>
            </w:r>
          </w:p>
        </w:tc>
        <w:tc>
          <w:tcPr>
            <w:tcW w:w="2015" w:type="dxa"/>
            <w:shd w:val="clear" w:color="auto" w:fill="D9E2F3"/>
            <w:vAlign w:val="center"/>
          </w:tcPr>
          <w:p w14:paraId="4ACABDAB" w14:textId="77777777" w:rsidR="00990B14" w:rsidRDefault="00000000">
            <w:pPr>
              <w:spacing w:before="20" w:after="20"/>
              <w:jc w:val="both"/>
            </w:pPr>
            <w:r>
              <w:rPr>
                <w:sz w:val="18"/>
                <w:szCs w:val="18"/>
              </w:rPr>
              <w:t>Ejecuta consultas con comandos básicos de SQL.</w:t>
            </w:r>
          </w:p>
        </w:tc>
        <w:tc>
          <w:tcPr>
            <w:tcW w:w="1843" w:type="dxa"/>
            <w:shd w:val="clear" w:color="auto" w:fill="D9E2F3"/>
            <w:vAlign w:val="center"/>
          </w:tcPr>
          <w:p w14:paraId="5EDB1CBD" w14:textId="77777777" w:rsidR="00990B14" w:rsidRDefault="00000000">
            <w:pPr>
              <w:spacing w:before="20" w:after="20"/>
              <w:jc w:val="both"/>
            </w:pPr>
            <w:r>
              <w:rPr>
                <w:sz w:val="18"/>
                <w:szCs w:val="18"/>
              </w:rPr>
              <w:t>Verifica los resultados de las consultas con los datos de origen.</w:t>
            </w:r>
          </w:p>
        </w:tc>
      </w:tr>
      <w:tr w:rsidR="00990B14" w14:paraId="7FE6FFE7" w14:textId="77777777">
        <w:trPr>
          <w:cantSplit/>
          <w:jc w:val="center"/>
        </w:trPr>
        <w:tc>
          <w:tcPr>
            <w:tcW w:w="7562" w:type="dxa"/>
            <w:gridSpan w:val="4"/>
            <w:shd w:val="clear" w:color="auto" w:fill="4472C4"/>
            <w:vAlign w:val="center"/>
          </w:tcPr>
          <w:p w14:paraId="3B684919" w14:textId="77777777" w:rsidR="00990B14" w:rsidRDefault="00000000">
            <w:pPr>
              <w:keepNext/>
              <w:spacing w:before="20" w:after="20"/>
              <w:jc w:val="center"/>
            </w:pPr>
            <w:r>
              <w:rPr>
                <w:b/>
                <w:bCs/>
                <w:i/>
                <w:iCs/>
                <w:color w:val="FFFFFF"/>
                <w:sz w:val="18"/>
                <w:szCs w:val="18"/>
              </w:rPr>
              <w:t>TOTAL</w:t>
            </w:r>
          </w:p>
        </w:tc>
        <w:tc>
          <w:tcPr>
            <w:tcW w:w="1843" w:type="dxa"/>
            <w:shd w:val="clear" w:color="auto" w:fill="4472C4"/>
            <w:vAlign w:val="center"/>
          </w:tcPr>
          <w:p w14:paraId="2AC91994" w14:textId="77777777" w:rsidR="00990B14" w:rsidRDefault="00000000">
            <w:pPr>
              <w:keepNext/>
              <w:spacing w:before="20" w:after="20"/>
              <w:jc w:val="center"/>
            </w:pPr>
            <w:r>
              <w:rPr>
                <w:b/>
                <w:bCs/>
                <w:i/>
                <w:iCs/>
                <w:color w:val="FFFFFF"/>
                <w:sz w:val="18"/>
                <w:szCs w:val="18"/>
              </w:rPr>
              <w:t>100%</w:t>
            </w:r>
          </w:p>
        </w:tc>
      </w:tr>
    </w:tbl>
    <w:p w14:paraId="5BF44983"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9405"/>
      </w:tblGrid>
      <w:tr w:rsidR="00990B14" w14:paraId="1D855D5D" w14:textId="77777777">
        <w:trPr>
          <w:jc w:val="center"/>
        </w:trPr>
        <w:tc>
          <w:tcPr>
            <w:tcW w:w="9405" w:type="dxa"/>
            <w:shd w:val="clear" w:color="auto" w:fill="D9E2F3"/>
          </w:tcPr>
          <w:p w14:paraId="45B50586" w14:textId="77777777" w:rsidR="00990B14" w:rsidRDefault="00000000">
            <w:pPr>
              <w:spacing w:before="40" w:after="40"/>
              <w:jc w:val="both"/>
            </w:pPr>
            <w:r>
              <w:rPr>
                <w:b/>
                <w:bCs/>
                <w:i/>
                <w:iCs/>
                <w:sz w:val="18"/>
                <w:szCs w:val="18"/>
              </w:rPr>
              <w:t>Bibliografía básica:</w:t>
            </w:r>
          </w:p>
          <w:p w14:paraId="4CA1C4D7" w14:textId="77777777" w:rsidR="00990B14" w:rsidRDefault="00000000">
            <w:pPr>
              <w:numPr>
                <w:ilvl w:val="0"/>
                <w:numId w:val="140"/>
              </w:numPr>
              <w:spacing w:after="20"/>
              <w:jc w:val="both"/>
            </w:pPr>
            <w:r>
              <w:rPr>
                <w:sz w:val="18"/>
                <w:szCs w:val="18"/>
              </w:rPr>
              <w:t xml:space="preserve">De Miguel, A., Piattini, M. y Marcos, E. (1999). </w:t>
            </w:r>
            <w:r>
              <w:rPr>
                <w:i/>
                <w:iCs/>
                <w:sz w:val="18"/>
                <w:szCs w:val="18"/>
              </w:rPr>
              <w:t>Diseño de bases de datos relacionales</w:t>
            </w:r>
            <w:r>
              <w:rPr>
                <w:sz w:val="18"/>
                <w:szCs w:val="18"/>
              </w:rPr>
              <w:t>. Madrid: RA-MA.</w:t>
            </w:r>
          </w:p>
          <w:p w14:paraId="750939CE" w14:textId="77777777" w:rsidR="00990B14" w:rsidRPr="00BD34F7" w:rsidRDefault="00000000">
            <w:pPr>
              <w:numPr>
                <w:ilvl w:val="0"/>
                <w:numId w:val="140"/>
              </w:numPr>
              <w:spacing w:after="20"/>
              <w:jc w:val="both"/>
              <w:rPr>
                <w:lang w:val="en-US"/>
              </w:rPr>
            </w:pPr>
            <w:r w:rsidRPr="00BD34F7">
              <w:rPr>
                <w:sz w:val="18"/>
                <w:szCs w:val="18"/>
                <w:lang w:val="en-US"/>
              </w:rPr>
              <w:t xml:space="preserve">Dyczkowska, J. (Ed.). (2024). </w:t>
            </w:r>
            <w:r w:rsidRPr="00BD34F7">
              <w:rPr>
                <w:i/>
                <w:iCs/>
                <w:sz w:val="18"/>
                <w:szCs w:val="18"/>
                <w:lang w:val="en-US"/>
              </w:rPr>
              <w:t>Human versus Machine: Accounting, Auditing and Education in the Era of Artificial Intelligence</w:t>
            </w:r>
            <w:r w:rsidRPr="00BD34F7">
              <w:rPr>
                <w:sz w:val="18"/>
                <w:szCs w:val="18"/>
                <w:lang w:val="en-US"/>
              </w:rPr>
              <w:t>. Breslavia: Publishing House of Wroclaw University of Economics and Business.</w:t>
            </w:r>
          </w:p>
          <w:p w14:paraId="7DFB7B89" w14:textId="77777777" w:rsidR="00990B14" w:rsidRDefault="00000000">
            <w:pPr>
              <w:numPr>
                <w:ilvl w:val="0"/>
                <w:numId w:val="140"/>
              </w:numPr>
              <w:spacing w:after="20"/>
              <w:jc w:val="both"/>
            </w:pPr>
            <w:r>
              <w:rPr>
                <w:sz w:val="18"/>
                <w:szCs w:val="18"/>
              </w:rPr>
              <w:t xml:space="preserve">Laudon, K. C. y Laudon, J. P. (2016). </w:t>
            </w:r>
            <w:r>
              <w:rPr>
                <w:i/>
                <w:iCs/>
                <w:sz w:val="18"/>
                <w:szCs w:val="18"/>
              </w:rPr>
              <w:t>Sistemas de información gerencial</w:t>
            </w:r>
            <w:r>
              <w:rPr>
                <w:sz w:val="18"/>
                <w:szCs w:val="18"/>
              </w:rPr>
              <w:t>. 14a. edición. México D.F.: Pearson.</w:t>
            </w:r>
          </w:p>
          <w:p w14:paraId="33BF1F98" w14:textId="77777777" w:rsidR="00990B14" w:rsidRDefault="00000000">
            <w:pPr>
              <w:numPr>
                <w:ilvl w:val="0"/>
                <w:numId w:val="140"/>
              </w:numPr>
              <w:spacing w:after="20"/>
              <w:jc w:val="both"/>
            </w:pPr>
            <w:r w:rsidRPr="00BD34F7">
              <w:rPr>
                <w:sz w:val="18"/>
                <w:szCs w:val="18"/>
                <w:lang w:val="en-US"/>
              </w:rPr>
              <w:t xml:space="preserve">Mayes, T. y Shank, T. (s.f.). </w:t>
            </w:r>
            <w:r>
              <w:rPr>
                <w:i/>
                <w:iCs/>
                <w:sz w:val="18"/>
                <w:szCs w:val="18"/>
              </w:rPr>
              <w:t>Análisis financiero con Microsoft Excel</w:t>
            </w:r>
            <w:r>
              <w:rPr>
                <w:sz w:val="18"/>
                <w:szCs w:val="18"/>
              </w:rPr>
              <w:t>. 5ta. edición.</w:t>
            </w:r>
          </w:p>
          <w:p w14:paraId="462BE88E" w14:textId="77777777" w:rsidR="00990B14" w:rsidRDefault="00000000">
            <w:pPr>
              <w:numPr>
                <w:ilvl w:val="0"/>
                <w:numId w:val="140"/>
              </w:numPr>
              <w:spacing w:after="20"/>
              <w:jc w:val="both"/>
            </w:pPr>
            <w:r>
              <w:rPr>
                <w:sz w:val="18"/>
                <w:szCs w:val="18"/>
              </w:rPr>
              <w:t xml:space="preserve">Russell, S., &amp; Norvig, P. (2024). </w:t>
            </w:r>
            <w:r>
              <w:rPr>
                <w:i/>
                <w:iCs/>
                <w:sz w:val="18"/>
                <w:szCs w:val="18"/>
              </w:rPr>
              <w:t>Inteligencia Artificial: Un Enfoque Moderno</w:t>
            </w:r>
            <w:r>
              <w:rPr>
                <w:sz w:val="18"/>
                <w:szCs w:val="18"/>
              </w:rPr>
              <w:t xml:space="preserve"> (4ª ed.). Madrid: Pearson Educación.</w:t>
            </w:r>
          </w:p>
        </w:tc>
      </w:tr>
      <w:tr w:rsidR="00990B14" w14:paraId="6B5B0601" w14:textId="77777777">
        <w:trPr>
          <w:jc w:val="center"/>
        </w:trPr>
        <w:tc>
          <w:tcPr>
            <w:tcW w:w="9405" w:type="dxa"/>
            <w:shd w:val="clear" w:color="auto" w:fill="D9E2F3"/>
          </w:tcPr>
          <w:p w14:paraId="205B8118" w14:textId="77777777" w:rsidR="00990B14" w:rsidRDefault="00000000">
            <w:pPr>
              <w:spacing w:before="40" w:after="40"/>
              <w:jc w:val="both"/>
            </w:pPr>
            <w:r>
              <w:rPr>
                <w:b/>
                <w:bCs/>
                <w:i/>
                <w:iCs/>
                <w:sz w:val="18"/>
                <w:szCs w:val="18"/>
              </w:rPr>
              <w:t>Bibliografía complementaria:</w:t>
            </w:r>
          </w:p>
          <w:p w14:paraId="7174340E" w14:textId="77777777" w:rsidR="00990B14" w:rsidRDefault="00000000">
            <w:pPr>
              <w:numPr>
                <w:ilvl w:val="0"/>
                <w:numId w:val="140"/>
              </w:numPr>
              <w:spacing w:after="20"/>
              <w:jc w:val="both"/>
            </w:pPr>
            <w:r>
              <w:rPr>
                <w:sz w:val="18"/>
                <w:szCs w:val="18"/>
              </w:rPr>
              <w:t xml:space="preserve">Alcande, E., García, M. y Peñuelas, S. (s.f.). </w:t>
            </w:r>
            <w:r>
              <w:rPr>
                <w:i/>
                <w:iCs/>
                <w:sz w:val="18"/>
                <w:szCs w:val="18"/>
              </w:rPr>
              <w:t>Informática básica</w:t>
            </w:r>
            <w:r>
              <w:rPr>
                <w:sz w:val="18"/>
                <w:szCs w:val="18"/>
              </w:rPr>
              <w:t>.</w:t>
            </w:r>
          </w:p>
          <w:p w14:paraId="11FE0216" w14:textId="77777777" w:rsidR="00990B14" w:rsidRDefault="00000000">
            <w:pPr>
              <w:numPr>
                <w:ilvl w:val="0"/>
                <w:numId w:val="140"/>
              </w:numPr>
              <w:spacing w:after="20"/>
              <w:jc w:val="both"/>
            </w:pPr>
            <w:r>
              <w:rPr>
                <w:sz w:val="18"/>
                <w:szCs w:val="18"/>
              </w:rPr>
              <w:t xml:space="preserve">Consejo de Normas Internacionales de Ética para Contadores, IESBA (2023). </w:t>
            </w:r>
            <w:r>
              <w:rPr>
                <w:i/>
                <w:iCs/>
                <w:sz w:val="18"/>
                <w:szCs w:val="18"/>
              </w:rPr>
              <w:t>Manual del Código Internacional de Ética para Contadores Profesionales</w:t>
            </w:r>
            <w:r>
              <w:rPr>
                <w:sz w:val="18"/>
                <w:szCs w:val="18"/>
              </w:rPr>
              <w:t>. Nueva York: Federación Internacional de Contadores, IFAC.</w:t>
            </w:r>
          </w:p>
          <w:p w14:paraId="58A2C95A" w14:textId="77777777" w:rsidR="00990B14" w:rsidRDefault="00000000">
            <w:pPr>
              <w:numPr>
                <w:ilvl w:val="0"/>
                <w:numId w:val="140"/>
              </w:numPr>
              <w:spacing w:after="20"/>
              <w:jc w:val="both"/>
            </w:pPr>
            <w:r>
              <w:rPr>
                <w:sz w:val="18"/>
                <w:szCs w:val="18"/>
              </w:rPr>
              <w:t xml:space="preserve">Pérez, D. J. (s.f.). </w:t>
            </w:r>
            <w:r>
              <w:rPr>
                <w:i/>
                <w:iCs/>
                <w:sz w:val="18"/>
                <w:szCs w:val="18"/>
              </w:rPr>
              <w:t>Terminología informática actualizada</w:t>
            </w:r>
            <w:r>
              <w:rPr>
                <w:sz w:val="18"/>
                <w:szCs w:val="18"/>
              </w:rPr>
              <w:t>.</w:t>
            </w:r>
          </w:p>
          <w:p w14:paraId="781366D8" w14:textId="77777777" w:rsidR="00990B14" w:rsidRDefault="00000000">
            <w:pPr>
              <w:numPr>
                <w:ilvl w:val="0"/>
                <w:numId w:val="140"/>
              </w:numPr>
              <w:spacing w:after="20"/>
              <w:jc w:val="both"/>
            </w:pPr>
            <w:r>
              <w:rPr>
                <w:sz w:val="18"/>
                <w:szCs w:val="18"/>
              </w:rPr>
              <w:t>Sitios web especializados en informática y tecnologías de la información.</w:t>
            </w:r>
          </w:p>
          <w:p w14:paraId="1B5D74EA" w14:textId="77777777" w:rsidR="00990B14" w:rsidRDefault="00000000">
            <w:pPr>
              <w:numPr>
                <w:ilvl w:val="0"/>
                <w:numId w:val="140"/>
              </w:numPr>
              <w:spacing w:after="20"/>
              <w:jc w:val="both"/>
            </w:pPr>
            <w:r>
              <w:rPr>
                <w:b/>
                <w:bCs/>
                <w:sz w:val="18"/>
                <w:szCs w:val="18"/>
              </w:rPr>
              <w:t>UNESCO.</w:t>
            </w:r>
            <w:r>
              <w:rPr>
                <w:sz w:val="18"/>
                <w:szCs w:val="18"/>
              </w:rPr>
              <w:t xml:space="preserve"> (2025). </w:t>
            </w:r>
            <w:r>
              <w:rPr>
                <w:i/>
                <w:iCs/>
                <w:sz w:val="18"/>
                <w:szCs w:val="18"/>
              </w:rPr>
              <w:t>Marco de competencias para estudiantes en materia de IA</w:t>
            </w:r>
          </w:p>
        </w:tc>
      </w:tr>
    </w:tbl>
    <w:p w14:paraId="1E023BC4" w14:textId="77777777" w:rsidR="00990B14" w:rsidRDefault="00000000">
      <w:pPr>
        <w:pStyle w:val="TituloPlanAsignatura"/>
        <w:keepNext/>
        <w:pageBreakBefore/>
        <w:spacing w:after="120"/>
        <w:jc w:val="center"/>
        <w:outlineLvl w:val="2"/>
      </w:pPr>
      <w:bookmarkStart w:id="148" w:name="_Toc000000089"/>
      <w:r>
        <w:rPr>
          <w:b/>
          <w:bCs/>
          <w:sz w:val="24"/>
          <w:szCs w:val="24"/>
        </w:rPr>
        <w:lastRenderedPageBreak/>
        <w:t>ADM-101 Administración General</w:t>
      </w:r>
      <w:bookmarkEnd w:id="148"/>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249"/>
        <w:gridCol w:w="1100"/>
        <w:gridCol w:w="149"/>
        <w:gridCol w:w="635"/>
        <w:gridCol w:w="615"/>
        <w:gridCol w:w="952"/>
        <w:gridCol w:w="298"/>
        <w:gridCol w:w="1250"/>
        <w:gridCol w:w="20"/>
        <w:gridCol w:w="385"/>
        <w:gridCol w:w="398"/>
        <w:gridCol w:w="447"/>
        <w:gridCol w:w="1907"/>
      </w:tblGrid>
      <w:tr w:rsidR="00990B14" w14:paraId="0AF71929" w14:textId="77777777">
        <w:trPr>
          <w:cantSplit/>
          <w:jc w:val="center"/>
        </w:trPr>
        <w:tc>
          <w:tcPr>
            <w:tcW w:w="2349" w:type="dxa"/>
            <w:gridSpan w:val="2"/>
            <w:shd w:val="clear" w:color="auto" w:fill="4472C4"/>
            <w:vAlign w:val="center"/>
          </w:tcPr>
          <w:p w14:paraId="56BB9B27" w14:textId="77777777" w:rsidR="00990B14" w:rsidRDefault="00000000">
            <w:pPr>
              <w:keepNext/>
              <w:spacing w:before="20" w:after="20"/>
              <w:jc w:val="center"/>
            </w:pPr>
            <w:r>
              <w:rPr>
                <w:b/>
                <w:bCs/>
                <w:i/>
                <w:iCs/>
                <w:color w:val="FFFFFF"/>
                <w:sz w:val="18"/>
                <w:szCs w:val="18"/>
              </w:rPr>
              <w:t>Asignatura</w:t>
            </w:r>
          </w:p>
        </w:tc>
        <w:tc>
          <w:tcPr>
            <w:tcW w:w="2351" w:type="dxa"/>
            <w:gridSpan w:val="4"/>
            <w:shd w:val="clear" w:color="auto" w:fill="4472C4"/>
            <w:vAlign w:val="center"/>
          </w:tcPr>
          <w:p w14:paraId="763C15E9" w14:textId="77777777" w:rsidR="00990B14" w:rsidRDefault="00000000">
            <w:pPr>
              <w:keepNext/>
              <w:spacing w:before="20" w:after="20"/>
              <w:jc w:val="center"/>
            </w:pPr>
            <w:r>
              <w:rPr>
                <w:b/>
                <w:bCs/>
                <w:i/>
                <w:iCs/>
                <w:color w:val="FFFFFF"/>
                <w:sz w:val="18"/>
                <w:szCs w:val="18"/>
              </w:rPr>
              <w:t>Sigla</w:t>
            </w:r>
          </w:p>
        </w:tc>
        <w:tc>
          <w:tcPr>
            <w:tcW w:w="2351" w:type="dxa"/>
            <w:gridSpan w:val="5"/>
            <w:shd w:val="clear" w:color="auto" w:fill="4472C4"/>
            <w:vAlign w:val="center"/>
          </w:tcPr>
          <w:p w14:paraId="7A217750" w14:textId="77777777" w:rsidR="00990B14" w:rsidRDefault="00000000">
            <w:pPr>
              <w:keepNext/>
              <w:spacing w:before="20" w:after="20"/>
              <w:jc w:val="center"/>
            </w:pPr>
            <w:r>
              <w:rPr>
                <w:b/>
                <w:bCs/>
                <w:i/>
                <w:iCs/>
                <w:color w:val="FFFFFF"/>
                <w:sz w:val="18"/>
                <w:szCs w:val="18"/>
              </w:rPr>
              <w:t>Nivel/Área</w:t>
            </w:r>
          </w:p>
        </w:tc>
        <w:tc>
          <w:tcPr>
            <w:tcW w:w="2354" w:type="dxa"/>
            <w:gridSpan w:val="2"/>
            <w:shd w:val="clear" w:color="auto" w:fill="4472C4"/>
            <w:vAlign w:val="center"/>
          </w:tcPr>
          <w:p w14:paraId="70EB3903" w14:textId="77777777" w:rsidR="00990B14" w:rsidRDefault="00000000">
            <w:pPr>
              <w:keepNext/>
              <w:spacing w:before="20" w:after="20"/>
              <w:jc w:val="center"/>
            </w:pPr>
            <w:r>
              <w:rPr>
                <w:b/>
                <w:bCs/>
                <w:i/>
                <w:iCs/>
                <w:color w:val="FFFFFF"/>
                <w:sz w:val="18"/>
                <w:szCs w:val="18"/>
              </w:rPr>
              <w:t>Prerrequisito</w:t>
            </w:r>
          </w:p>
        </w:tc>
      </w:tr>
      <w:tr w:rsidR="00990B14" w14:paraId="59B04293" w14:textId="77777777">
        <w:trPr>
          <w:cantSplit/>
          <w:jc w:val="center"/>
        </w:trPr>
        <w:tc>
          <w:tcPr>
            <w:tcW w:w="2349" w:type="dxa"/>
            <w:gridSpan w:val="2"/>
            <w:shd w:val="clear" w:color="auto" w:fill="D9E2F3"/>
            <w:vAlign w:val="center"/>
          </w:tcPr>
          <w:p w14:paraId="448CF11E" w14:textId="77777777" w:rsidR="00990B14" w:rsidRDefault="00000000">
            <w:pPr>
              <w:spacing w:before="20" w:after="20"/>
              <w:jc w:val="center"/>
            </w:pPr>
            <w:r>
              <w:rPr>
                <w:b/>
                <w:bCs/>
                <w:i/>
                <w:iCs/>
                <w:sz w:val="18"/>
                <w:szCs w:val="18"/>
              </w:rPr>
              <w:t>Administración General</w:t>
            </w:r>
          </w:p>
        </w:tc>
        <w:tc>
          <w:tcPr>
            <w:tcW w:w="2351" w:type="dxa"/>
            <w:gridSpan w:val="4"/>
            <w:shd w:val="clear" w:color="auto" w:fill="D9E2F3"/>
            <w:vAlign w:val="center"/>
          </w:tcPr>
          <w:p w14:paraId="6E0AE0B7" w14:textId="77777777" w:rsidR="00990B14" w:rsidRDefault="00000000">
            <w:pPr>
              <w:spacing w:before="20" w:after="20"/>
              <w:jc w:val="center"/>
            </w:pPr>
            <w:r>
              <w:rPr>
                <w:b/>
                <w:bCs/>
                <w:i/>
                <w:iCs/>
                <w:sz w:val="18"/>
                <w:szCs w:val="18"/>
              </w:rPr>
              <w:t>ADM-101</w:t>
            </w:r>
          </w:p>
        </w:tc>
        <w:tc>
          <w:tcPr>
            <w:tcW w:w="2351" w:type="dxa"/>
            <w:gridSpan w:val="5"/>
            <w:shd w:val="clear" w:color="auto" w:fill="D9E2F3"/>
            <w:vAlign w:val="center"/>
          </w:tcPr>
          <w:p w14:paraId="325BBDFF" w14:textId="77777777" w:rsidR="00990B14" w:rsidRDefault="00000000">
            <w:pPr>
              <w:spacing w:before="20" w:after="20"/>
              <w:jc w:val="center"/>
            </w:pPr>
            <w:r>
              <w:rPr>
                <w:b/>
                <w:bCs/>
                <w:i/>
                <w:iCs/>
                <w:sz w:val="18"/>
                <w:szCs w:val="18"/>
              </w:rPr>
              <w:t>Administración</w:t>
            </w:r>
          </w:p>
        </w:tc>
        <w:tc>
          <w:tcPr>
            <w:tcW w:w="2354" w:type="dxa"/>
            <w:gridSpan w:val="2"/>
            <w:shd w:val="clear" w:color="auto" w:fill="D9E2F3"/>
            <w:vAlign w:val="center"/>
          </w:tcPr>
          <w:p w14:paraId="0494C0AC" w14:textId="77777777" w:rsidR="00990B14" w:rsidRDefault="00000000">
            <w:pPr>
              <w:spacing w:before="20" w:after="20"/>
              <w:jc w:val="center"/>
            </w:pPr>
            <w:r>
              <w:rPr>
                <w:b/>
                <w:bCs/>
                <w:i/>
                <w:iCs/>
                <w:sz w:val="18"/>
                <w:szCs w:val="18"/>
              </w:rPr>
              <w:t>AE, CPF o PSA</w:t>
            </w:r>
          </w:p>
        </w:tc>
      </w:tr>
      <w:tr w:rsidR="00990B14" w14:paraId="0CF094BA" w14:textId="77777777">
        <w:trPr>
          <w:cantSplit/>
          <w:jc w:val="center"/>
        </w:trPr>
        <w:tc>
          <w:tcPr>
            <w:tcW w:w="7498" w:type="dxa"/>
            <w:gridSpan w:val="12"/>
            <w:shd w:val="clear" w:color="auto" w:fill="4472C4"/>
            <w:vAlign w:val="center"/>
          </w:tcPr>
          <w:p w14:paraId="59F6F52A" w14:textId="77777777" w:rsidR="00990B14" w:rsidRDefault="00000000">
            <w:pPr>
              <w:keepNext/>
              <w:spacing w:before="20" w:after="20"/>
              <w:jc w:val="center"/>
            </w:pPr>
            <w:r>
              <w:rPr>
                <w:b/>
                <w:bCs/>
                <w:i/>
                <w:iCs/>
                <w:color w:val="FFFFFF"/>
                <w:sz w:val="18"/>
                <w:szCs w:val="18"/>
              </w:rPr>
              <w:t>Carga Horaria</w:t>
            </w:r>
          </w:p>
        </w:tc>
        <w:tc>
          <w:tcPr>
            <w:tcW w:w="1907" w:type="dxa"/>
            <w:shd w:val="clear" w:color="auto" w:fill="4472C4"/>
            <w:vAlign w:val="center"/>
          </w:tcPr>
          <w:p w14:paraId="72283E72" w14:textId="77777777" w:rsidR="00990B14" w:rsidRDefault="00000000">
            <w:pPr>
              <w:keepNext/>
              <w:spacing w:before="20" w:after="20"/>
              <w:jc w:val="center"/>
            </w:pPr>
            <w:r>
              <w:rPr>
                <w:b/>
                <w:bCs/>
                <w:i/>
                <w:iCs/>
                <w:color w:val="FFFFFF"/>
                <w:sz w:val="18"/>
                <w:szCs w:val="18"/>
              </w:rPr>
              <w:t>Créditos</w:t>
            </w:r>
          </w:p>
        </w:tc>
      </w:tr>
      <w:tr w:rsidR="00990B14" w14:paraId="5A4ACA0E" w14:textId="77777777">
        <w:trPr>
          <w:cantSplit/>
          <w:jc w:val="center"/>
        </w:trPr>
        <w:tc>
          <w:tcPr>
            <w:tcW w:w="1249" w:type="dxa"/>
            <w:shd w:val="clear" w:color="auto" w:fill="4472C4"/>
            <w:vAlign w:val="center"/>
          </w:tcPr>
          <w:p w14:paraId="04865A0C" w14:textId="77777777" w:rsidR="00990B14" w:rsidRDefault="00000000">
            <w:pPr>
              <w:keepNext/>
              <w:spacing w:before="20" w:after="20"/>
              <w:jc w:val="center"/>
            </w:pPr>
            <w:r>
              <w:rPr>
                <w:b/>
                <w:bCs/>
                <w:i/>
                <w:iCs/>
                <w:color w:val="FFFFFF"/>
                <w:sz w:val="18"/>
                <w:szCs w:val="18"/>
              </w:rPr>
              <w:t>HP</w:t>
            </w:r>
          </w:p>
        </w:tc>
        <w:tc>
          <w:tcPr>
            <w:tcW w:w="1249" w:type="dxa"/>
            <w:gridSpan w:val="2"/>
            <w:shd w:val="clear" w:color="auto" w:fill="4472C4"/>
            <w:vAlign w:val="center"/>
          </w:tcPr>
          <w:p w14:paraId="313933DC" w14:textId="77777777" w:rsidR="00990B14" w:rsidRDefault="00000000">
            <w:pPr>
              <w:keepNext/>
              <w:spacing w:before="20" w:after="20"/>
              <w:jc w:val="center"/>
            </w:pPr>
            <w:r>
              <w:rPr>
                <w:b/>
                <w:bCs/>
                <w:i/>
                <w:iCs/>
                <w:color w:val="FFFFFF"/>
                <w:sz w:val="18"/>
                <w:szCs w:val="18"/>
              </w:rPr>
              <w:t>HAA</w:t>
            </w:r>
          </w:p>
        </w:tc>
        <w:tc>
          <w:tcPr>
            <w:tcW w:w="1250" w:type="dxa"/>
            <w:gridSpan w:val="2"/>
            <w:shd w:val="clear" w:color="auto" w:fill="4472C4"/>
            <w:vAlign w:val="center"/>
          </w:tcPr>
          <w:p w14:paraId="7A874CEB" w14:textId="77777777" w:rsidR="00990B14" w:rsidRDefault="00000000">
            <w:pPr>
              <w:keepNext/>
              <w:spacing w:before="20" w:after="20"/>
              <w:jc w:val="center"/>
            </w:pPr>
            <w:r>
              <w:rPr>
                <w:b/>
                <w:bCs/>
                <w:i/>
                <w:iCs/>
                <w:color w:val="FFFFFF"/>
                <w:sz w:val="18"/>
                <w:szCs w:val="18"/>
              </w:rPr>
              <w:t>HTG</w:t>
            </w:r>
          </w:p>
        </w:tc>
        <w:tc>
          <w:tcPr>
            <w:tcW w:w="1250" w:type="dxa"/>
            <w:gridSpan w:val="2"/>
            <w:shd w:val="clear" w:color="auto" w:fill="4472C4"/>
            <w:vAlign w:val="center"/>
          </w:tcPr>
          <w:p w14:paraId="339ED6F2" w14:textId="77777777" w:rsidR="00990B14" w:rsidRDefault="00000000">
            <w:pPr>
              <w:keepNext/>
              <w:spacing w:before="20" w:after="20"/>
              <w:jc w:val="center"/>
            </w:pPr>
            <w:r>
              <w:rPr>
                <w:b/>
                <w:bCs/>
                <w:i/>
                <w:iCs/>
                <w:color w:val="FFFFFF"/>
                <w:sz w:val="18"/>
                <w:szCs w:val="18"/>
              </w:rPr>
              <w:t>HIP</w:t>
            </w:r>
          </w:p>
        </w:tc>
        <w:tc>
          <w:tcPr>
            <w:tcW w:w="1250" w:type="dxa"/>
            <w:shd w:val="clear" w:color="auto" w:fill="4472C4"/>
            <w:vAlign w:val="center"/>
          </w:tcPr>
          <w:p w14:paraId="6FA8DA40" w14:textId="77777777" w:rsidR="00990B14" w:rsidRDefault="00000000">
            <w:pPr>
              <w:keepNext/>
              <w:spacing w:before="20" w:after="20"/>
              <w:jc w:val="center"/>
            </w:pPr>
            <w:r>
              <w:rPr>
                <w:b/>
                <w:bCs/>
                <w:i/>
                <w:iCs/>
                <w:color w:val="FFFFFF"/>
                <w:sz w:val="18"/>
                <w:szCs w:val="18"/>
              </w:rPr>
              <w:t>HE</w:t>
            </w:r>
          </w:p>
        </w:tc>
        <w:tc>
          <w:tcPr>
            <w:tcW w:w="1250" w:type="dxa"/>
            <w:gridSpan w:val="4"/>
            <w:shd w:val="clear" w:color="auto" w:fill="4472C4"/>
            <w:vAlign w:val="center"/>
          </w:tcPr>
          <w:p w14:paraId="3BC9CF5F" w14:textId="77777777" w:rsidR="00990B14" w:rsidRDefault="00000000">
            <w:pPr>
              <w:keepNext/>
              <w:spacing w:before="20" w:after="20"/>
              <w:jc w:val="center"/>
            </w:pPr>
            <w:r>
              <w:rPr>
                <w:b/>
                <w:bCs/>
                <w:i/>
                <w:iCs/>
                <w:color w:val="FFFFFF"/>
                <w:sz w:val="18"/>
                <w:szCs w:val="18"/>
              </w:rPr>
              <w:t>TOTAL</w:t>
            </w:r>
          </w:p>
        </w:tc>
        <w:tc>
          <w:tcPr>
            <w:tcW w:w="1907" w:type="dxa"/>
            <w:vMerge w:val="restart"/>
            <w:shd w:val="clear" w:color="auto" w:fill="D9E2F3"/>
            <w:vAlign w:val="center"/>
          </w:tcPr>
          <w:p w14:paraId="48254EBF" w14:textId="77777777" w:rsidR="00990B14" w:rsidRDefault="00000000">
            <w:pPr>
              <w:spacing w:before="20" w:after="20"/>
              <w:jc w:val="center"/>
            </w:pPr>
            <w:r>
              <w:rPr>
                <w:sz w:val="18"/>
                <w:szCs w:val="18"/>
              </w:rPr>
              <w:t>9</w:t>
            </w:r>
          </w:p>
        </w:tc>
      </w:tr>
      <w:tr w:rsidR="00990B14" w14:paraId="48F53E01" w14:textId="77777777">
        <w:trPr>
          <w:cantSplit/>
          <w:jc w:val="center"/>
        </w:trPr>
        <w:tc>
          <w:tcPr>
            <w:tcW w:w="1249" w:type="dxa"/>
            <w:shd w:val="clear" w:color="auto" w:fill="D9E2F3"/>
            <w:vAlign w:val="center"/>
          </w:tcPr>
          <w:p w14:paraId="02365EAB" w14:textId="77777777" w:rsidR="00990B14" w:rsidRDefault="00000000">
            <w:pPr>
              <w:spacing w:before="20" w:after="20"/>
              <w:jc w:val="center"/>
            </w:pPr>
            <w:r>
              <w:rPr>
                <w:sz w:val="18"/>
                <w:szCs w:val="18"/>
              </w:rPr>
              <w:t>160</w:t>
            </w:r>
          </w:p>
        </w:tc>
        <w:tc>
          <w:tcPr>
            <w:tcW w:w="1249" w:type="dxa"/>
            <w:gridSpan w:val="2"/>
            <w:shd w:val="clear" w:color="auto" w:fill="D9E2F3"/>
            <w:vAlign w:val="center"/>
          </w:tcPr>
          <w:p w14:paraId="7ADA88F4" w14:textId="77777777" w:rsidR="00990B14" w:rsidRDefault="00000000">
            <w:pPr>
              <w:spacing w:before="20" w:after="20"/>
              <w:jc w:val="center"/>
            </w:pPr>
            <w:r>
              <w:rPr>
                <w:sz w:val="18"/>
                <w:szCs w:val="18"/>
              </w:rPr>
              <w:t>28</w:t>
            </w:r>
          </w:p>
        </w:tc>
        <w:tc>
          <w:tcPr>
            <w:tcW w:w="1250" w:type="dxa"/>
            <w:gridSpan w:val="2"/>
            <w:shd w:val="clear" w:color="auto" w:fill="D9E2F3"/>
            <w:vAlign w:val="center"/>
          </w:tcPr>
          <w:p w14:paraId="2CC4F9BF" w14:textId="77777777" w:rsidR="00990B14" w:rsidRDefault="00000000">
            <w:pPr>
              <w:spacing w:before="20" w:after="20"/>
              <w:jc w:val="center"/>
            </w:pPr>
            <w:r>
              <w:rPr>
                <w:sz w:val="18"/>
                <w:szCs w:val="18"/>
              </w:rPr>
              <w:t>28</w:t>
            </w:r>
          </w:p>
        </w:tc>
        <w:tc>
          <w:tcPr>
            <w:tcW w:w="1250" w:type="dxa"/>
            <w:gridSpan w:val="2"/>
            <w:shd w:val="clear" w:color="auto" w:fill="D9E2F3"/>
            <w:vAlign w:val="center"/>
          </w:tcPr>
          <w:p w14:paraId="1BADDD98" w14:textId="77777777" w:rsidR="00990B14" w:rsidRDefault="00000000">
            <w:pPr>
              <w:spacing w:before="20" w:after="20"/>
              <w:jc w:val="center"/>
            </w:pPr>
            <w:r>
              <w:rPr>
                <w:sz w:val="18"/>
                <w:szCs w:val="18"/>
              </w:rPr>
              <w:t>27</w:t>
            </w:r>
          </w:p>
        </w:tc>
        <w:tc>
          <w:tcPr>
            <w:tcW w:w="1250" w:type="dxa"/>
            <w:shd w:val="clear" w:color="auto" w:fill="D9E2F3"/>
            <w:vAlign w:val="center"/>
          </w:tcPr>
          <w:p w14:paraId="781AD573" w14:textId="77777777" w:rsidR="00990B14" w:rsidRDefault="00000000">
            <w:pPr>
              <w:spacing w:before="20" w:after="20"/>
              <w:jc w:val="center"/>
            </w:pPr>
            <w:r>
              <w:rPr>
                <w:sz w:val="18"/>
                <w:szCs w:val="18"/>
              </w:rPr>
              <w:t>27</w:t>
            </w:r>
          </w:p>
        </w:tc>
        <w:tc>
          <w:tcPr>
            <w:tcW w:w="1250" w:type="dxa"/>
            <w:gridSpan w:val="4"/>
            <w:shd w:val="clear" w:color="auto" w:fill="D9E2F3"/>
            <w:vAlign w:val="center"/>
          </w:tcPr>
          <w:p w14:paraId="387B96B0" w14:textId="77777777" w:rsidR="00990B14" w:rsidRDefault="00000000">
            <w:pPr>
              <w:spacing w:before="20" w:after="20"/>
              <w:jc w:val="center"/>
            </w:pPr>
            <w:r>
              <w:rPr>
                <w:sz w:val="18"/>
                <w:szCs w:val="18"/>
              </w:rPr>
              <w:t>270</w:t>
            </w:r>
          </w:p>
        </w:tc>
        <w:tc>
          <w:tcPr>
            <w:tcW w:w="1907" w:type="dxa"/>
            <w:vMerge/>
            <w:shd w:val="clear" w:color="auto" w:fill="D9E2F3"/>
            <w:vAlign w:val="center"/>
          </w:tcPr>
          <w:p w14:paraId="7850A5CA" w14:textId="77777777" w:rsidR="00990B14" w:rsidRDefault="00990B14">
            <w:pPr>
              <w:spacing w:before="20" w:after="20"/>
            </w:pPr>
          </w:p>
        </w:tc>
      </w:tr>
      <w:tr w:rsidR="00990B14" w14:paraId="74D3D990" w14:textId="77777777">
        <w:trPr>
          <w:cantSplit/>
          <w:jc w:val="center"/>
        </w:trPr>
        <w:tc>
          <w:tcPr>
            <w:tcW w:w="9405" w:type="dxa"/>
            <w:gridSpan w:val="13"/>
            <w:shd w:val="clear" w:color="auto" w:fill="4472C4"/>
            <w:vAlign w:val="center"/>
          </w:tcPr>
          <w:p w14:paraId="03587D84" w14:textId="77777777" w:rsidR="00990B14" w:rsidRDefault="00000000">
            <w:pPr>
              <w:keepNext/>
              <w:spacing w:before="20" w:after="20"/>
              <w:jc w:val="center"/>
            </w:pPr>
            <w:r>
              <w:rPr>
                <w:b/>
                <w:bCs/>
                <w:i/>
                <w:iCs/>
                <w:color w:val="FFFFFF"/>
                <w:sz w:val="18"/>
                <w:szCs w:val="18"/>
              </w:rPr>
              <w:t>Unidad de Competencia</w:t>
            </w:r>
          </w:p>
        </w:tc>
      </w:tr>
      <w:tr w:rsidR="00990B14" w14:paraId="1E08232C" w14:textId="77777777">
        <w:trPr>
          <w:cantSplit/>
          <w:jc w:val="center"/>
        </w:trPr>
        <w:tc>
          <w:tcPr>
            <w:tcW w:w="9405" w:type="dxa"/>
            <w:gridSpan w:val="13"/>
            <w:shd w:val="clear" w:color="auto" w:fill="D9E2F3"/>
            <w:vAlign w:val="center"/>
          </w:tcPr>
          <w:p w14:paraId="7E4E5462" w14:textId="77777777" w:rsidR="00990B14" w:rsidRDefault="00000000">
            <w:pPr>
              <w:spacing w:before="20" w:after="20"/>
              <w:jc w:val="both"/>
            </w:pPr>
            <w:r>
              <w:rPr>
                <w:sz w:val="18"/>
                <w:szCs w:val="18"/>
              </w:rPr>
              <w:t>Diseña el proceso administrativo de una organización, planificando su estrategia con responsabilidad social, estructurando su organización, dirigiendo su ejecución, controlando sus resultados con gestión de riesgos y analizando los enfoques teóricos y la perspectiva global de la administración, con ética profesional e integridad.</w:t>
            </w:r>
          </w:p>
        </w:tc>
      </w:tr>
      <w:tr w:rsidR="00990B14" w14:paraId="04295BC3" w14:textId="77777777">
        <w:trPr>
          <w:cantSplit/>
          <w:jc w:val="center"/>
        </w:trPr>
        <w:tc>
          <w:tcPr>
            <w:tcW w:w="9405" w:type="dxa"/>
            <w:gridSpan w:val="13"/>
            <w:shd w:val="clear" w:color="auto" w:fill="D9E2F3"/>
            <w:vAlign w:val="center"/>
          </w:tcPr>
          <w:p w14:paraId="393A144B" w14:textId="77777777" w:rsidR="00990B14" w:rsidRDefault="00000000">
            <w:pPr>
              <w:spacing w:before="20" w:after="20"/>
              <w:jc w:val="both"/>
            </w:pPr>
            <w:r>
              <w:rPr>
                <w:b/>
                <w:bCs/>
                <w:i/>
                <w:iCs/>
                <w:sz w:val="18"/>
                <w:szCs w:val="18"/>
              </w:rPr>
              <w:t xml:space="preserve">Elemento de competencia 1: </w:t>
            </w:r>
            <w:r>
              <w:rPr>
                <w:sz w:val="18"/>
                <w:szCs w:val="18"/>
              </w:rPr>
              <w:t>Analiza los fundamentos, los enfoques teóricos y la perspectiva global de la administración, relacionando las características de la organización con el contexto social, económico y tecnológico en el que opera.</w:t>
            </w:r>
          </w:p>
        </w:tc>
      </w:tr>
      <w:tr w:rsidR="00990B14" w14:paraId="632517FA" w14:textId="77777777">
        <w:trPr>
          <w:cantSplit/>
          <w:jc w:val="center"/>
        </w:trPr>
        <w:tc>
          <w:tcPr>
            <w:tcW w:w="3133" w:type="dxa"/>
            <w:gridSpan w:val="4"/>
            <w:shd w:val="clear" w:color="auto" w:fill="4472C4"/>
            <w:vAlign w:val="center"/>
          </w:tcPr>
          <w:p w14:paraId="41B20B80"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66700829"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72F604DA" w14:textId="77777777" w:rsidR="00990B14" w:rsidRDefault="00000000">
            <w:pPr>
              <w:keepNext/>
              <w:spacing w:before="20" w:after="20"/>
              <w:jc w:val="center"/>
            </w:pPr>
            <w:r>
              <w:rPr>
                <w:b/>
                <w:bCs/>
                <w:i/>
                <w:iCs/>
                <w:color w:val="FFFFFF"/>
                <w:sz w:val="18"/>
                <w:szCs w:val="18"/>
              </w:rPr>
              <w:t>Evidencias de producto</w:t>
            </w:r>
          </w:p>
        </w:tc>
      </w:tr>
      <w:tr w:rsidR="00990B14" w14:paraId="20D1B171" w14:textId="77777777">
        <w:trPr>
          <w:cantSplit/>
          <w:jc w:val="center"/>
        </w:trPr>
        <w:tc>
          <w:tcPr>
            <w:tcW w:w="3133" w:type="dxa"/>
            <w:gridSpan w:val="4"/>
            <w:vMerge w:val="restart"/>
            <w:shd w:val="clear" w:color="auto" w:fill="D9E2F3"/>
            <w:vAlign w:val="center"/>
          </w:tcPr>
          <w:p w14:paraId="2115CA88" w14:textId="77777777" w:rsidR="00990B14" w:rsidRDefault="00000000">
            <w:pPr>
              <w:spacing w:before="20" w:after="20"/>
              <w:jc w:val="both"/>
            </w:pPr>
            <w:r>
              <w:rPr>
                <w:sz w:val="18"/>
                <w:szCs w:val="18"/>
              </w:rPr>
              <w:t>1. Analiza los conceptos fundamentales, la evolución de los enfoques teóricos clásico, humanístico, sistémico y contemporáneo y las tipologías de la administración pública, privada y mixta, clasificando a las organizaciones según su origen de capital, actividad, tamaño y estructura jurídica, y explicando su naturaleza, su tipología y su funcionamiento operativo.</w:t>
            </w:r>
          </w:p>
        </w:tc>
        <w:tc>
          <w:tcPr>
            <w:tcW w:w="3135" w:type="dxa"/>
            <w:gridSpan w:val="5"/>
            <w:shd w:val="clear" w:color="auto" w:fill="D9E2F3"/>
            <w:vAlign w:val="center"/>
          </w:tcPr>
          <w:p w14:paraId="5C078EC8" w14:textId="77777777" w:rsidR="00990B14" w:rsidRDefault="00000000">
            <w:pPr>
              <w:spacing w:before="20" w:after="20"/>
              <w:jc w:val="both"/>
            </w:pPr>
            <w:r>
              <w:rPr>
                <w:sz w:val="18"/>
                <w:szCs w:val="18"/>
              </w:rPr>
              <w:t>1.1 Argumenta ante el curso, en exposición oral crítica, la evolución, vigencia y aportes de los enfoques teórico-prácticos de la administración clásico, humanístico, sistémico y contemporáneo, frente a problemas organizacionales actuales.</w:t>
            </w:r>
          </w:p>
        </w:tc>
        <w:tc>
          <w:tcPr>
            <w:tcW w:w="3137" w:type="dxa"/>
            <w:gridSpan w:val="4"/>
            <w:shd w:val="clear" w:color="auto" w:fill="D9E2F3"/>
            <w:vAlign w:val="center"/>
          </w:tcPr>
          <w:p w14:paraId="28FD8485" w14:textId="77777777" w:rsidR="00990B14" w:rsidRDefault="00000000">
            <w:pPr>
              <w:spacing w:before="20" w:after="20"/>
              <w:jc w:val="both"/>
            </w:pPr>
            <w:r>
              <w:rPr>
                <w:b/>
                <w:bCs/>
                <w:sz w:val="18"/>
                <w:szCs w:val="18"/>
              </w:rPr>
              <w:t xml:space="preserve">Producto 1: </w:t>
            </w:r>
            <w:r>
              <w:rPr>
                <w:sz w:val="18"/>
                <w:szCs w:val="18"/>
              </w:rPr>
              <w:t>Matriz analítica comparativa: Cuadro sinóptico o documento técnico que contrasta postulados, autores clave, ventajas y limitaciones de las escuelas administrativas.</w:t>
            </w:r>
          </w:p>
        </w:tc>
      </w:tr>
      <w:tr w:rsidR="00990B14" w14:paraId="736AB596" w14:textId="77777777">
        <w:trPr>
          <w:cantSplit/>
          <w:jc w:val="center"/>
        </w:trPr>
        <w:tc>
          <w:tcPr>
            <w:tcW w:w="3133" w:type="dxa"/>
            <w:gridSpan w:val="4"/>
            <w:vMerge/>
            <w:shd w:val="clear" w:color="auto" w:fill="D9E2F3"/>
            <w:vAlign w:val="center"/>
          </w:tcPr>
          <w:p w14:paraId="27910EB3" w14:textId="77777777" w:rsidR="00990B14" w:rsidRDefault="00990B14">
            <w:pPr>
              <w:spacing w:before="20" w:after="20"/>
            </w:pPr>
          </w:p>
        </w:tc>
        <w:tc>
          <w:tcPr>
            <w:tcW w:w="3135" w:type="dxa"/>
            <w:gridSpan w:val="5"/>
            <w:shd w:val="clear" w:color="auto" w:fill="D9E2F3"/>
            <w:vAlign w:val="center"/>
          </w:tcPr>
          <w:p w14:paraId="02EDA9EB" w14:textId="77777777" w:rsidR="00990B14" w:rsidRDefault="00000000">
            <w:pPr>
              <w:spacing w:before="20" w:after="20"/>
              <w:jc w:val="both"/>
            </w:pPr>
            <w:r>
              <w:rPr>
                <w:sz w:val="18"/>
                <w:szCs w:val="18"/>
              </w:rPr>
              <w:t>1.2 Clasifica en aula, con sustentación de casos prácticos, organizaciones reales distinguiendo su naturaleza jurídica, origen del capital, tamaño, actividad y tipología pública, privada o mixta.</w:t>
            </w:r>
          </w:p>
        </w:tc>
        <w:tc>
          <w:tcPr>
            <w:tcW w:w="3137" w:type="dxa"/>
            <w:gridSpan w:val="4"/>
            <w:shd w:val="clear" w:color="auto" w:fill="D9E2F3"/>
            <w:vAlign w:val="center"/>
          </w:tcPr>
          <w:p w14:paraId="729C5B62" w14:textId="77777777" w:rsidR="00990B14" w:rsidRDefault="00000000">
            <w:pPr>
              <w:spacing w:before="20" w:after="20"/>
              <w:jc w:val="both"/>
            </w:pPr>
            <w:r>
              <w:rPr>
                <w:b/>
                <w:bCs/>
                <w:sz w:val="18"/>
                <w:szCs w:val="18"/>
              </w:rPr>
              <w:t xml:space="preserve">Producto 2: </w:t>
            </w:r>
            <w:r>
              <w:rPr>
                <w:sz w:val="18"/>
                <w:szCs w:val="18"/>
              </w:rPr>
              <w:t>Informe de tipificación y estructura organizacional: Reporte descriptivo que clasifica detalladamente a una organización y analiza su forma de gestión según su sector y marco legal.</w:t>
            </w:r>
          </w:p>
        </w:tc>
      </w:tr>
      <w:tr w:rsidR="00990B14" w14:paraId="14CE64D6" w14:textId="77777777">
        <w:trPr>
          <w:cantSplit/>
          <w:jc w:val="center"/>
        </w:trPr>
        <w:tc>
          <w:tcPr>
            <w:tcW w:w="3133" w:type="dxa"/>
            <w:gridSpan w:val="4"/>
            <w:vMerge w:val="restart"/>
            <w:shd w:val="clear" w:color="auto" w:fill="D9E2F3"/>
            <w:vAlign w:val="center"/>
          </w:tcPr>
          <w:p w14:paraId="5FC53D7E" w14:textId="77777777" w:rsidR="00990B14" w:rsidRDefault="00000000">
            <w:pPr>
              <w:spacing w:before="20" w:after="20"/>
              <w:jc w:val="both"/>
            </w:pPr>
            <w:r>
              <w:rPr>
                <w:sz w:val="18"/>
                <w:szCs w:val="18"/>
              </w:rPr>
              <w:t>2. Examina la interdependencia de la administración con otras disciplinas y el impacto de la globalización junto con los factores políticos, económicos, sociales, tecnológicos, ambientales y legales, integrando los principios de la ética profesional y la responsabilidad social organizacional para afrontar los desafíos del entorno actual de las organizaciones.</w:t>
            </w:r>
          </w:p>
        </w:tc>
        <w:tc>
          <w:tcPr>
            <w:tcW w:w="3135" w:type="dxa"/>
            <w:gridSpan w:val="5"/>
            <w:shd w:val="clear" w:color="auto" w:fill="D9E2F3"/>
            <w:vAlign w:val="center"/>
          </w:tcPr>
          <w:p w14:paraId="2CD4EA4F" w14:textId="77777777" w:rsidR="00990B14" w:rsidRDefault="00000000">
            <w:pPr>
              <w:spacing w:before="20" w:after="20"/>
              <w:jc w:val="both"/>
            </w:pPr>
            <w:r>
              <w:rPr>
                <w:sz w:val="18"/>
                <w:szCs w:val="18"/>
              </w:rPr>
              <w:t>2.1 Explica en debate o simulación gerencial cómo los factores políticos, económicos, sociales, tecnológicos, ambientales y legales del entorno afectan las decisiones estratégicas de la organización analizada.</w:t>
            </w:r>
          </w:p>
        </w:tc>
        <w:tc>
          <w:tcPr>
            <w:tcW w:w="3137" w:type="dxa"/>
            <w:gridSpan w:val="4"/>
            <w:shd w:val="clear" w:color="auto" w:fill="D9E2F3"/>
            <w:vAlign w:val="center"/>
          </w:tcPr>
          <w:p w14:paraId="7F2DA2E0" w14:textId="77777777" w:rsidR="00990B14" w:rsidRDefault="00000000">
            <w:pPr>
              <w:spacing w:before="20" w:after="20"/>
              <w:jc w:val="both"/>
            </w:pPr>
            <w:r>
              <w:rPr>
                <w:b/>
                <w:bCs/>
                <w:sz w:val="18"/>
                <w:szCs w:val="18"/>
              </w:rPr>
              <w:t xml:space="preserve">Producto 3: </w:t>
            </w:r>
            <w:r>
              <w:rPr>
                <w:sz w:val="18"/>
                <w:szCs w:val="18"/>
              </w:rPr>
              <w:t>Matriz de análisis del entorno global PESTEL: Documento estratégico que evalúa los riesgos y oportunidades derivados de la globalización y los factores del entorno en la gestión corporativa.</w:t>
            </w:r>
          </w:p>
        </w:tc>
      </w:tr>
      <w:tr w:rsidR="00990B14" w14:paraId="75634797" w14:textId="77777777">
        <w:trPr>
          <w:cantSplit/>
          <w:jc w:val="center"/>
        </w:trPr>
        <w:tc>
          <w:tcPr>
            <w:tcW w:w="3133" w:type="dxa"/>
            <w:gridSpan w:val="4"/>
            <w:vMerge/>
            <w:shd w:val="clear" w:color="auto" w:fill="D9E2F3"/>
            <w:vAlign w:val="center"/>
          </w:tcPr>
          <w:p w14:paraId="4CFF2A27" w14:textId="77777777" w:rsidR="00990B14" w:rsidRDefault="00990B14">
            <w:pPr>
              <w:spacing w:before="20" w:after="20"/>
            </w:pPr>
          </w:p>
        </w:tc>
        <w:tc>
          <w:tcPr>
            <w:tcW w:w="3135" w:type="dxa"/>
            <w:gridSpan w:val="5"/>
            <w:shd w:val="clear" w:color="auto" w:fill="D9E2F3"/>
            <w:vAlign w:val="center"/>
          </w:tcPr>
          <w:p w14:paraId="7400EDC9" w14:textId="77777777" w:rsidR="00990B14" w:rsidRDefault="00000000">
            <w:pPr>
              <w:spacing w:before="20" w:after="20"/>
              <w:jc w:val="both"/>
            </w:pPr>
            <w:r>
              <w:rPr>
                <w:sz w:val="18"/>
                <w:szCs w:val="18"/>
              </w:rPr>
              <w:t>2.2 Resuelve y defiende en aula un dilema ético, demostrando la integración de la responsabilidad social corporativa y la deontología profesional frente a situaciones de conflicto organizacional.</w:t>
            </w:r>
          </w:p>
        </w:tc>
        <w:tc>
          <w:tcPr>
            <w:tcW w:w="3137" w:type="dxa"/>
            <w:gridSpan w:val="4"/>
            <w:shd w:val="clear" w:color="auto" w:fill="D9E2F3"/>
            <w:vAlign w:val="center"/>
          </w:tcPr>
          <w:p w14:paraId="62AF2D21" w14:textId="77777777" w:rsidR="00990B14" w:rsidRDefault="00000000">
            <w:pPr>
              <w:spacing w:before="20" w:after="20"/>
              <w:jc w:val="both"/>
            </w:pPr>
            <w:r>
              <w:rPr>
                <w:b/>
                <w:bCs/>
                <w:sz w:val="18"/>
                <w:szCs w:val="18"/>
              </w:rPr>
              <w:t xml:space="preserve">Producto 4: </w:t>
            </w:r>
            <w:r>
              <w:rPr>
                <w:sz w:val="18"/>
                <w:szCs w:val="18"/>
              </w:rPr>
              <w:t>Propuesta de código de ética y plan de responsabilidad social empresarial: Propuesta que establece directrices de integridad y compromiso social para la organización.</w:t>
            </w:r>
          </w:p>
        </w:tc>
      </w:tr>
      <w:tr w:rsidR="00990B14" w14:paraId="30A8E8BF" w14:textId="77777777">
        <w:trPr>
          <w:cantSplit/>
          <w:jc w:val="center"/>
        </w:trPr>
        <w:tc>
          <w:tcPr>
            <w:tcW w:w="9405" w:type="dxa"/>
            <w:gridSpan w:val="13"/>
            <w:shd w:val="clear" w:color="auto" w:fill="4472C4"/>
            <w:vAlign w:val="center"/>
          </w:tcPr>
          <w:p w14:paraId="7CBE6EAD" w14:textId="77777777" w:rsidR="00990B14" w:rsidRDefault="00000000">
            <w:pPr>
              <w:keepNext/>
              <w:spacing w:before="20" w:after="20"/>
              <w:jc w:val="center"/>
            </w:pPr>
            <w:r>
              <w:rPr>
                <w:b/>
                <w:bCs/>
                <w:i/>
                <w:iCs/>
                <w:color w:val="FFFFFF"/>
                <w:sz w:val="18"/>
                <w:szCs w:val="18"/>
              </w:rPr>
              <w:lastRenderedPageBreak/>
              <w:t>Evidencias de conocimiento</w:t>
            </w:r>
          </w:p>
        </w:tc>
      </w:tr>
      <w:tr w:rsidR="00990B14" w14:paraId="1546684D" w14:textId="77777777">
        <w:trPr>
          <w:cantSplit/>
          <w:jc w:val="center"/>
        </w:trPr>
        <w:tc>
          <w:tcPr>
            <w:tcW w:w="2349" w:type="dxa"/>
            <w:gridSpan w:val="2"/>
            <w:shd w:val="clear" w:color="auto" w:fill="4472C4"/>
            <w:vAlign w:val="center"/>
          </w:tcPr>
          <w:p w14:paraId="5AF5B1A4"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1EACBAA5" w14:textId="77777777" w:rsidR="00990B14" w:rsidRDefault="00000000">
            <w:pPr>
              <w:keepNext/>
              <w:spacing w:before="20" w:after="20"/>
              <w:jc w:val="both"/>
            </w:pPr>
            <w:r>
              <w:rPr>
                <w:b/>
                <w:bCs/>
                <w:i/>
                <w:iCs/>
                <w:color w:val="FFFFFF"/>
                <w:sz w:val="18"/>
                <w:szCs w:val="18"/>
              </w:rPr>
              <w:t>Contenidos</w:t>
            </w:r>
          </w:p>
          <w:p w14:paraId="63810C27"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68BC278E" w14:textId="77777777" w:rsidR="00990B14" w:rsidRDefault="00000000">
            <w:pPr>
              <w:keepNext/>
              <w:spacing w:before="20" w:after="20"/>
              <w:jc w:val="center"/>
            </w:pPr>
            <w:r>
              <w:rPr>
                <w:b/>
                <w:bCs/>
                <w:i/>
                <w:iCs/>
                <w:color w:val="FFFFFF"/>
                <w:sz w:val="18"/>
                <w:szCs w:val="18"/>
              </w:rPr>
              <w:t>Conocimientos circunstanciales</w:t>
            </w:r>
          </w:p>
        </w:tc>
      </w:tr>
      <w:tr w:rsidR="00990B14" w14:paraId="557B8BBE" w14:textId="77777777">
        <w:trPr>
          <w:jc w:val="center"/>
        </w:trPr>
        <w:tc>
          <w:tcPr>
            <w:tcW w:w="2349" w:type="dxa"/>
            <w:gridSpan w:val="2"/>
            <w:shd w:val="clear" w:color="auto" w:fill="D9E2F3"/>
          </w:tcPr>
          <w:p w14:paraId="491C1329" w14:textId="77777777" w:rsidR="00990B14" w:rsidRDefault="00000000">
            <w:pPr>
              <w:spacing w:before="20" w:after="40"/>
              <w:jc w:val="both"/>
            </w:pPr>
            <w:r>
              <w:rPr>
                <w:sz w:val="18"/>
                <w:szCs w:val="18"/>
              </w:rPr>
              <w:t>Tema 1: Fundamentos introductorios de la Administración</w:t>
            </w:r>
          </w:p>
          <w:p w14:paraId="5517E6C8" w14:textId="77777777" w:rsidR="00990B14" w:rsidRDefault="00000000">
            <w:pPr>
              <w:spacing w:before="20" w:after="40"/>
              <w:jc w:val="both"/>
            </w:pPr>
            <w:r>
              <w:rPr>
                <w:sz w:val="18"/>
                <w:szCs w:val="18"/>
              </w:rPr>
              <w:t>Tema 2: Naturaleza de la Administración Organizacional</w:t>
            </w:r>
          </w:p>
          <w:p w14:paraId="10FD6D29" w14:textId="77777777" w:rsidR="00990B14" w:rsidRDefault="00000000">
            <w:pPr>
              <w:spacing w:before="20" w:after="40"/>
              <w:jc w:val="both"/>
            </w:pPr>
            <w:r>
              <w:rPr>
                <w:sz w:val="18"/>
                <w:szCs w:val="18"/>
              </w:rPr>
              <w:t>Tema 3: Teorías y Enfoques de la Administración General</w:t>
            </w:r>
          </w:p>
          <w:p w14:paraId="655183F3" w14:textId="77777777" w:rsidR="00990B14" w:rsidRDefault="00000000">
            <w:pPr>
              <w:spacing w:before="20" w:after="40"/>
              <w:jc w:val="both"/>
            </w:pPr>
            <w:r>
              <w:rPr>
                <w:sz w:val="18"/>
                <w:szCs w:val="18"/>
              </w:rPr>
              <w:t>Tema 4: La Organización</w:t>
            </w:r>
          </w:p>
        </w:tc>
        <w:tc>
          <w:tcPr>
            <w:tcW w:w="4304" w:type="dxa"/>
            <w:gridSpan w:val="8"/>
            <w:shd w:val="clear" w:color="auto" w:fill="D9E2F3"/>
          </w:tcPr>
          <w:p w14:paraId="033FFB1D" w14:textId="77777777" w:rsidR="00990B14" w:rsidRDefault="00000000">
            <w:pPr>
              <w:spacing w:after="40"/>
              <w:jc w:val="both"/>
            </w:pPr>
            <w:r>
              <w:rPr>
                <w:sz w:val="18"/>
                <w:szCs w:val="18"/>
              </w:rPr>
              <w:t>1. Introducción a la administración y sus conceptos fundamentales. (C)</w:t>
            </w:r>
          </w:p>
          <w:p w14:paraId="48914859" w14:textId="77777777" w:rsidR="00990B14" w:rsidRDefault="00000000">
            <w:pPr>
              <w:spacing w:after="40"/>
              <w:jc w:val="both"/>
            </w:pPr>
            <w:r>
              <w:rPr>
                <w:sz w:val="18"/>
                <w:szCs w:val="18"/>
              </w:rPr>
              <w:t>2. La administración y los organismos sociales, y su relación con otras disciplinas. (C)</w:t>
            </w:r>
          </w:p>
          <w:p w14:paraId="08915CBF" w14:textId="77777777" w:rsidR="00990B14" w:rsidRDefault="00000000">
            <w:pPr>
              <w:spacing w:after="40"/>
              <w:jc w:val="both"/>
            </w:pPr>
            <w:r>
              <w:rPr>
                <w:sz w:val="18"/>
                <w:szCs w:val="18"/>
              </w:rPr>
              <w:t>3. Características, importancia y rol de la administración en el contexto global. (C)</w:t>
            </w:r>
          </w:p>
          <w:p w14:paraId="4B9FD0C5" w14:textId="77777777" w:rsidR="00990B14" w:rsidRDefault="00000000">
            <w:pPr>
              <w:spacing w:after="40"/>
              <w:jc w:val="both"/>
            </w:pPr>
            <w:r>
              <w:rPr>
                <w:sz w:val="18"/>
                <w:szCs w:val="18"/>
              </w:rPr>
              <w:t>4. Ética profesional y responsabilidad social en la gestión de las organizaciones. (C, A)</w:t>
            </w:r>
          </w:p>
          <w:p w14:paraId="4D18F70C" w14:textId="77777777" w:rsidR="00990B14" w:rsidRDefault="00000000">
            <w:pPr>
              <w:spacing w:after="40"/>
              <w:jc w:val="both"/>
            </w:pPr>
            <w:r>
              <w:rPr>
                <w:sz w:val="18"/>
                <w:szCs w:val="18"/>
              </w:rPr>
              <w:t>5. Liderazgo: valores, principios y motivaciones. (C, A)</w:t>
            </w:r>
          </w:p>
          <w:p w14:paraId="51CA6D43" w14:textId="77777777" w:rsidR="00990B14" w:rsidRDefault="00000000">
            <w:pPr>
              <w:spacing w:after="40"/>
              <w:jc w:val="both"/>
            </w:pPr>
            <w:r>
              <w:rPr>
                <w:sz w:val="18"/>
                <w:szCs w:val="18"/>
              </w:rPr>
              <w:t>6. Administración pública, privada y mixta. (C)</w:t>
            </w:r>
          </w:p>
          <w:p w14:paraId="5DCE7E60" w14:textId="77777777" w:rsidR="00990B14" w:rsidRDefault="00000000">
            <w:pPr>
              <w:spacing w:after="40"/>
              <w:jc w:val="both"/>
            </w:pPr>
            <w:r>
              <w:rPr>
                <w:sz w:val="18"/>
                <w:szCs w:val="18"/>
              </w:rPr>
              <w:t>7. Organización: clasificación e importancia. (C)</w:t>
            </w:r>
          </w:p>
          <w:p w14:paraId="55D31D50" w14:textId="77777777" w:rsidR="00990B14" w:rsidRDefault="00000000">
            <w:pPr>
              <w:spacing w:after="40"/>
              <w:jc w:val="both"/>
            </w:pPr>
            <w:r>
              <w:rPr>
                <w:sz w:val="18"/>
                <w:szCs w:val="18"/>
              </w:rPr>
              <w:t>8. Concepto, características, elementos y funciones de la organización. (C)</w:t>
            </w:r>
          </w:p>
          <w:p w14:paraId="1F186A3E" w14:textId="77777777" w:rsidR="00990B14" w:rsidRDefault="00000000">
            <w:pPr>
              <w:spacing w:after="40"/>
              <w:jc w:val="both"/>
            </w:pPr>
            <w:r>
              <w:rPr>
                <w:sz w:val="18"/>
                <w:szCs w:val="18"/>
              </w:rPr>
              <w:t>9. Clasificación de las organizaciones según la naturaleza del capital, el origen del capital, la actividad principal que desarrollan, el tamaño y su conformación jurídica. (C, P)</w:t>
            </w:r>
          </w:p>
          <w:p w14:paraId="06B0A0BF" w14:textId="77777777" w:rsidR="00990B14" w:rsidRDefault="00000000">
            <w:pPr>
              <w:spacing w:after="40"/>
              <w:jc w:val="both"/>
            </w:pPr>
            <w:r>
              <w:rPr>
                <w:sz w:val="18"/>
                <w:szCs w:val="18"/>
              </w:rPr>
              <w:t>10.Enfoques de las escuelas de la ciencia administrativa: clásico, humanístico, sistémico y contemporáneo. (C)</w:t>
            </w:r>
          </w:p>
          <w:p w14:paraId="41137928" w14:textId="77777777" w:rsidR="00990B14" w:rsidRDefault="00000000">
            <w:pPr>
              <w:spacing w:after="40"/>
              <w:jc w:val="both"/>
            </w:pPr>
            <w:r>
              <w:rPr>
                <w:sz w:val="18"/>
                <w:szCs w:val="18"/>
              </w:rPr>
              <w:t>11.Evolución y antecedentes de la ciencia administrativa. (C)</w:t>
            </w:r>
          </w:p>
          <w:p w14:paraId="231BCF19" w14:textId="77777777" w:rsidR="00990B14" w:rsidRDefault="00000000">
            <w:pPr>
              <w:spacing w:after="40"/>
              <w:jc w:val="both"/>
            </w:pPr>
            <w:r>
              <w:rPr>
                <w:sz w:val="18"/>
                <w:szCs w:val="18"/>
              </w:rPr>
              <w:t>12.Factores políticos, económicos, sociales, tecnológicos, ambientales y legales del entorno global: análisis PESTEL de una organización. (C, P)</w:t>
            </w:r>
          </w:p>
          <w:p w14:paraId="7CE4A435" w14:textId="77777777" w:rsidR="00990B14" w:rsidRDefault="00000000">
            <w:pPr>
              <w:spacing w:after="40"/>
              <w:jc w:val="both"/>
            </w:pPr>
            <w:r>
              <w:rPr>
                <w:sz w:val="18"/>
                <w:szCs w:val="18"/>
              </w:rPr>
              <w:t>13.Código de ética y plan de responsabilidad social de la organización, y resolución de dilemas éticos. (P, A)</w:t>
            </w:r>
          </w:p>
          <w:p w14:paraId="6A7C72F2" w14:textId="77777777" w:rsidR="00990B14" w:rsidRDefault="00000000">
            <w:pPr>
              <w:spacing w:after="40"/>
              <w:jc w:val="both"/>
            </w:pPr>
            <w:r>
              <w:rPr>
                <w:sz w:val="18"/>
                <w:szCs w:val="18"/>
              </w:rPr>
              <w:t>14.Elaboración de matrices e informes organizacionales con hoja de cálculo y herramientas de inteligencia artificial, verificando sus resultados y asumiendo la responsabilidad profesional sobre ellos. (P, T)</w:t>
            </w:r>
          </w:p>
        </w:tc>
        <w:tc>
          <w:tcPr>
            <w:tcW w:w="2752" w:type="dxa"/>
            <w:gridSpan w:val="3"/>
            <w:shd w:val="clear" w:color="auto" w:fill="D9E2F3"/>
          </w:tcPr>
          <w:p w14:paraId="4352AB1F" w14:textId="77777777" w:rsidR="00990B14" w:rsidRDefault="00000000">
            <w:pPr>
              <w:numPr>
                <w:ilvl w:val="0"/>
                <w:numId w:val="139"/>
              </w:numPr>
              <w:spacing w:before="10" w:after="10"/>
              <w:jc w:val="both"/>
            </w:pPr>
            <w:r>
              <w:rPr>
                <w:sz w:val="18"/>
                <w:szCs w:val="18"/>
              </w:rPr>
              <w:t>Características de la administración en el contexto boliviano.</w:t>
            </w:r>
          </w:p>
        </w:tc>
      </w:tr>
      <w:tr w:rsidR="00990B14" w14:paraId="259F8A14" w14:textId="77777777">
        <w:trPr>
          <w:cantSplit/>
          <w:jc w:val="center"/>
        </w:trPr>
        <w:tc>
          <w:tcPr>
            <w:tcW w:w="9405" w:type="dxa"/>
            <w:gridSpan w:val="13"/>
            <w:shd w:val="clear" w:color="auto" w:fill="D9E2F3"/>
            <w:vAlign w:val="center"/>
          </w:tcPr>
          <w:p w14:paraId="7FACDCCC" w14:textId="77777777" w:rsidR="00990B14" w:rsidRDefault="00000000">
            <w:pPr>
              <w:spacing w:before="20" w:after="20"/>
              <w:jc w:val="both"/>
            </w:pPr>
            <w:r>
              <w:rPr>
                <w:b/>
                <w:bCs/>
                <w:i/>
                <w:iCs/>
                <w:sz w:val="18"/>
                <w:szCs w:val="18"/>
              </w:rPr>
              <w:t xml:space="preserve">Elemento de competencia 2: </w:t>
            </w:r>
            <w:r>
              <w:rPr>
                <w:sz w:val="18"/>
                <w:szCs w:val="18"/>
              </w:rPr>
              <w:t>Diseña el proceso administrativo de una organización, planificando su estrategia, estructurando su organización, dirigiendo y controlando la ejecución de sus actividades.</w:t>
            </w:r>
          </w:p>
        </w:tc>
      </w:tr>
      <w:tr w:rsidR="00990B14" w14:paraId="060672B0" w14:textId="77777777">
        <w:trPr>
          <w:cantSplit/>
          <w:jc w:val="center"/>
        </w:trPr>
        <w:tc>
          <w:tcPr>
            <w:tcW w:w="3133" w:type="dxa"/>
            <w:gridSpan w:val="4"/>
            <w:shd w:val="clear" w:color="auto" w:fill="4472C4"/>
            <w:vAlign w:val="center"/>
          </w:tcPr>
          <w:p w14:paraId="7480E06D" w14:textId="77777777" w:rsidR="00990B14" w:rsidRDefault="00000000">
            <w:pPr>
              <w:keepNext/>
              <w:spacing w:before="20" w:after="20"/>
              <w:jc w:val="center"/>
            </w:pPr>
            <w:r>
              <w:rPr>
                <w:b/>
                <w:bCs/>
                <w:i/>
                <w:iCs/>
                <w:color w:val="FFFFFF"/>
                <w:sz w:val="18"/>
                <w:szCs w:val="18"/>
              </w:rPr>
              <w:lastRenderedPageBreak/>
              <w:t>Criterios de desempeño</w:t>
            </w:r>
          </w:p>
        </w:tc>
        <w:tc>
          <w:tcPr>
            <w:tcW w:w="3135" w:type="dxa"/>
            <w:gridSpan w:val="5"/>
            <w:shd w:val="clear" w:color="auto" w:fill="4472C4"/>
            <w:vAlign w:val="center"/>
          </w:tcPr>
          <w:p w14:paraId="0F2EBA86"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0EB66326" w14:textId="77777777" w:rsidR="00990B14" w:rsidRDefault="00000000">
            <w:pPr>
              <w:keepNext/>
              <w:spacing w:before="20" w:after="20"/>
              <w:jc w:val="center"/>
            </w:pPr>
            <w:r>
              <w:rPr>
                <w:b/>
                <w:bCs/>
                <w:i/>
                <w:iCs/>
                <w:color w:val="FFFFFF"/>
                <w:sz w:val="18"/>
                <w:szCs w:val="18"/>
              </w:rPr>
              <w:t>Evidencias de producto</w:t>
            </w:r>
          </w:p>
        </w:tc>
      </w:tr>
      <w:tr w:rsidR="00990B14" w14:paraId="458228CF" w14:textId="77777777">
        <w:trPr>
          <w:cantSplit/>
          <w:jc w:val="center"/>
        </w:trPr>
        <w:tc>
          <w:tcPr>
            <w:tcW w:w="3133" w:type="dxa"/>
            <w:gridSpan w:val="4"/>
            <w:vMerge w:val="restart"/>
            <w:shd w:val="clear" w:color="auto" w:fill="D9E2F3"/>
            <w:vAlign w:val="center"/>
          </w:tcPr>
          <w:p w14:paraId="406A8129" w14:textId="77777777" w:rsidR="00990B14" w:rsidRDefault="00000000">
            <w:pPr>
              <w:spacing w:before="20" w:after="20"/>
              <w:jc w:val="both"/>
            </w:pPr>
            <w:r>
              <w:rPr>
                <w:sz w:val="18"/>
                <w:szCs w:val="18"/>
              </w:rPr>
              <w:t>1. Formula los elementos del proceso administrativo: la planificación, organización, integración, dirección y control, aplicándolos con coherencia en una organización simulada.</w:t>
            </w:r>
          </w:p>
        </w:tc>
        <w:tc>
          <w:tcPr>
            <w:tcW w:w="3135" w:type="dxa"/>
            <w:gridSpan w:val="5"/>
            <w:shd w:val="clear" w:color="auto" w:fill="D9E2F3"/>
            <w:vAlign w:val="center"/>
          </w:tcPr>
          <w:p w14:paraId="50E9D6B6" w14:textId="77777777" w:rsidR="00990B14" w:rsidRDefault="00000000">
            <w:pPr>
              <w:spacing w:before="20" w:after="20"/>
              <w:jc w:val="both"/>
            </w:pPr>
            <w:r>
              <w:rPr>
                <w:sz w:val="18"/>
                <w:szCs w:val="18"/>
              </w:rPr>
              <w:t>1.1 Debate y analiza en equipo el entorno con las herramientas FODA y PESTEL, y formula los objetivos estratégicos, tácticos y operativos de una organización simulada, aplicando correctamente el proceso administrativo.</w:t>
            </w:r>
          </w:p>
        </w:tc>
        <w:tc>
          <w:tcPr>
            <w:tcW w:w="3137" w:type="dxa"/>
            <w:gridSpan w:val="4"/>
            <w:shd w:val="clear" w:color="auto" w:fill="D9E2F3"/>
            <w:vAlign w:val="center"/>
          </w:tcPr>
          <w:p w14:paraId="35DEF5A2" w14:textId="77777777" w:rsidR="00990B14" w:rsidRDefault="00000000">
            <w:pPr>
              <w:spacing w:before="20" w:after="20"/>
              <w:jc w:val="both"/>
            </w:pPr>
            <w:r>
              <w:rPr>
                <w:b/>
                <w:bCs/>
                <w:sz w:val="18"/>
                <w:szCs w:val="18"/>
              </w:rPr>
              <w:t xml:space="preserve">Producto 5: </w:t>
            </w:r>
            <w:r>
              <w:rPr>
                <w:sz w:val="18"/>
                <w:szCs w:val="18"/>
              </w:rPr>
              <w:t>Documento formal de diagnóstico y filosofía organizacional: Incluye el diagnóstico, la misión, la visión, los valores, los objetivos trazados y el plan de acción temporalizado, además de ideas y oportunidades de negocio a considerar.</w:t>
            </w:r>
          </w:p>
        </w:tc>
      </w:tr>
      <w:tr w:rsidR="00990B14" w14:paraId="576FF342" w14:textId="77777777">
        <w:trPr>
          <w:cantSplit/>
          <w:jc w:val="center"/>
        </w:trPr>
        <w:tc>
          <w:tcPr>
            <w:tcW w:w="3133" w:type="dxa"/>
            <w:gridSpan w:val="4"/>
            <w:vMerge/>
            <w:shd w:val="clear" w:color="auto" w:fill="D9E2F3"/>
            <w:vAlign w:val="center"/>
          </w:tcPr>
          <w:p w14:paraId="2D6468B0" w14:textId="77777777" w:rsidR="00990B14" w:rsidRDefault="00990B14">
            <w:pPr>
              <w:spacing w:before="20" w:after="20"/>
            </w:pPr>
          </w:p>
        </w:tc>
        <w:tc>
          <w:tcPr>
            <w:tcW w:w="3135" w:type="dxa"/>
            <w:gridSpan w:val="5"/>
            <w:shd w:val="clear" w:color="auto" w:fill="D9E2F3"/>
            <w:vAlign w:val="center"/>
          </w:tcPr>
          <w:p w14:paraId="0010F977" w14:textId="77777777" w:rsidR="00990B14" w:rsidRDefault="00000000">
            <w:pPr>
              <w:spacing w:before="20" w:after="20"/>
              <w:jc w:val="both"/>
            </w:pPr>
            <w:r>
              <w:rPr>
                <w:sz w:val="18"/>
                <w:szCs w:val="18"/>
              </w:rPr>
              <w:t>1.2 Aplica en aula herramientas de planificación y de control de la gestión a un caso práctico, siguiendo el proceso administrativo.</w:t>
            </w:r>
          </w:p>
        </w:tc>
        <w:tc>
          <w:tcPr>
            <w:tcW w:w="3137" w:type="dxa"/>
            <w:gridSpan w:val="4"/>
            <w:shd w:val="clear" w:color="auto" w:fill="D9E2F3"/>
            <w:vAlign w:val="center"/>
          </w:tcPr>
          <w:p w14:paraId="263EEF52" w14:textId="77777777" w:rsidR="00990B14" w:rsidRDefault="00000000">
            <w:pPr>
              <w:spacing w:before="20" w:after="20"/>
              <w:jc w:val="both"/>
            </w:pPr>
            <w:r>
              <w:rPr>
                <w:b/>
                <w:bCs/>
                <w:sz w:val="18"/>
                <w:szCs w:val="18"/>
              </w:rPr>
              <w:t xml:space="preserve">Producto 6: </w:t>
            </w:r>
            <w:r>
              <w:rPr>
                <w:sz w:val="18"/>
                <w:szCs w:val="18"/>
              </w:rPr>
              <w:t>Documento formal de aplicación de los conocimientos básicos del proceso administrativo: Aplica herramientas de planificación y de control a un caso práctico.</w:t>
            </w:r>
          </w:p>
        </w:tc>
      </w:tr>
      <w:tr w:rsidR="00990B14" w14:paraId="79985840" w14:textId="77777777">
        <w:trPr>
          <w:cantSplit/>
          <w:jc w:val="center"/>
        </w:trPr>
        <w:tc>
          <w:tcPr>
            <w:tcW w:w="3133" w:type="dxa"/>
            <w:gridSpan w:val="4"/>
            <w:vMerge w:val="restart"/>
            <w:shd w:val="clear" w:color="auto" w:fill="D9E2F3"/>
            <w:vAlign w:val="center"/>
          </w:tcPr>
          <w:p w14:paraId="7CD4039D" w14:textId="77777777" w:rsidR="00990B14" w:rsidRDefault="00000000">
            <w:pPr>
              <w:spacing w:before="20" w:after="20"/>
              <w:jc w:val="both"/>
            </w:pPr>
            <w:r>
              <w:rPr>
                <w:sz w:val="18"/>
                <w:szCs w:val="18"/>
              </w:rPr>
              <w:t>2. Diseña la funcionalidad de una organización y dirige la ejecución de sus actividades, integrando sus recursos con liderazgo ético, comunicación efectiva y toma de decisiones.</w:t>
            </w:r>
          </w:p>
        </w:tc>
        <w:tc>
          <w:tcPr>
            <w:tcW w:w="3135" w:type="dxa"/>
            <w:gridSpan w:val="5"/>
            <w:shd w:val="clear" w:color="auto" w:fill="D9E2F3"/>
            <w:vAlign w:val="center"/>
          </w:tcPr>
          <w:p w14:paraId="6C9B99AA" w14:textId="77777777" w:rsidR="00990B14" w:rsidRDefault="00000000">
            <w:pPr>
              <w:spacing w:before="20" w:after="20"/>
              <w:jc w:val="both"/>
            </w:pPr>
            <w:r>
              <w:rPr>
                <w:sz w:val="18"/>
                <w:szCs w:val="18"/>
              </w:rPr>
              <w:t>2.1 Demuestra en aula el análisis funcional y la departamentalización, construyendo de forma interactiva la estructura de una organización y argumentando técnicamente los tramos de control y las líneas de autoridad.</w:t>
            </w:r>
          </w:p>
        </w:tc>
        <w:tc>
          <w:tcPr>
            <w:tcW w:w="3137" w:type="dxa"/>
            <w:gridSpan w:val="4"/>
            <w:shd w:val="clear" w:color="auto" w:fill="D9E2F3"/>
            <w:vAlign w:val="center"/>
          </w:tcPr>
          <w:p w14:paraId="286303DF" w14:textId="77777777" w:rsidR="00990B14" w:rsidRDefault="00000000">
            <w:pPr>
              <w:spacing w:before="20" w:after="20"/>
              <w:jc w:val="both"/>
            </w:pPr>
            <w:r>
              <w:rPr>
                <w:b/>
                <w:bCs/>
                <w:sz w:val="18"/>
                <w:szCs w:val="18"/>
              </w:rPr>
              <w:t xml:space="preserve">Producto 7: </w:t>
            </w:r>
            <w:r>
              <w:rPr>
                <w:sz w:val="18"/>
                <w:szCs w:val="18"/>
              </w:rPr>
              <w:t>Documento formal de funcionalidad de la organización: Incluye el organigrama, los niveles jerárquicos y el manual de organización y funciones.</w:t>
            </w:r>
          </w:p>
        </w:tc>
      </w:tr>
      <w:tr w:rsidR="00990B14" w14:paraId="295073BF" w14:textId="77777777">
        <w:trPr>
          <w:cantSplit/>
          <w:jc w:val="center"/>
        </w:trPr>
        <w:tc>
          <w:tcPr>
            <w:tcW w:w="3133" w:type="dxa"/>
            <w:gridSpan w:val="4"/>
            <w:vMerge/>
            <w:shd w:val="clear" w:color="auto" w:fill="D9E2F3"/>
            <w:vAlign w:val="center"/>
          </w:tcPr>
          <w:p w14:paraId="647E9213" w14:textId="77777777" w:rsidR="00990B14" w:rsidRDefault="00990B14">
            <w:pPr>
              <w:spacing w:before="20" w:after="20"/>
            </w:pPr>
          </w:p>
        </w:tc>
        <w:tc>
          <w:tcPr>
            <w:tcW w:w="3135" w:type="dxa"/>
            <w:gridSpan w:val="5"/>
            <w:shd w:val="clear" w:color="auto" w:fill="D9E2F3"/>
            <w:vAlign w:val="center"/>
          </w:tcPr>
          <w:p w14:paraId="66B6C26F" w14:textId="77777777" w:rsidR="00990B14" w:rsidRDefault="00000000">
            <w:pPr>
              <w:spacing w:before="20" w:after="20"/>
              <w:jc w:val="both"/>
            </w:pPr>
            <w:r>
              <w:rPr>
                <w:sz w:val="18"/>
                <w:szCs w:val="18"/>
              </w:rPr>
              <w:t>2.2 Conduce en aula una reunión directiva para resolver una crisis organizacional simulada, aplicando comunicación asertiva, ética profesional y toma de decisiones bajo presión.</w:t>
            </w:r>
          </w:p>
        </w:tc>
        <w:tc>
          <w:tcPr>
            <w:tcW w:w="3137" w:type="dxa"/>
            <w:gridSpan w:val="4"/>
            <w:shd w:val="clear" w:color="auto" w:fill="D9E2F3"/>
            <w:vAlign w:val="center"/>
          </w:tcPr>
          <w:p w14:paraId="0C4E0CDF" w14:textId="77777777" w:rsidR="00990B14" w:rsidRDefault="00000000">
            <w:pPr>
              <w:spacing w:before="20" w:after="20"/>
              <w:jc w:val="both"/>
            </w:pPr>
            <w:r>
              <w:rPr>
                <w:b/>
                <w:bCs/>
                <w:sz w:val="18"/>
                <w:szCs w:val="18"/>
              </w:rPr>
              <w:t xml:space="preserve">Producto 8: </w:t>
            </w:r>
            <w:r>
              <w:rPr>
                <w:sz w:val="18"/>
                <w:szCs w:val="18"/>
              </w:rPr>
              <w:t>Resolución de casos: Reporte o bitácora de toma de decisiones que documenta un caso simulado de dirección, incluyendo el diagnóstico del problema, el acta de la reunión directiva y el plan de comunicación interna implementado.</w:t>
            </w:r>
          </w:p>
        </w:tc>
      </w:tr>
      <w:tr w:rsidR="00990B14" w14:paraId="3FF4C7DC" w14:textId="77777777">
        <w:trPr>
          <w:cantSplit/>
          <w:jc w:val="center"/>
        </w:trPr>
        <w:tc>
          <w:tcPr>
            <w:tcW w:w="9405" w:type="dxa"/>
            <w:gridSpan w:val="13"/>
            <w:shd w:val="clear" w:color="auto" w:fill="4472C4"/>
            <w:vAlign w:val="center"/>
          </w:tcPr>
          <w:p w14:paraId="0E752ABA" w14:textId="77777777" w:rsidR="00990B14" w:rsidRDefault="00000000">
            <w:pPr>
              <w:keepNext/>
              <w:spacing w:before="20" w:after="20"/>
              <w:jc w:val="center"/>
            </w:pPr>
            <w:r>
              <w:rPr>
                <w:b/>
                <w:bCs/>
                <w:i/>
                <w:iCs/>
                <w:color w:val="FFFFFF"/>
                <w:sz w:val="18"/>
                <w:szCs w:val="18"/>
              </w:rPr>
              <w:t>Evidencias de conocimiento</w:t>
            </w:r>
          </w:p>
        </w:tc>
      </w:tr>
      <w:tr w:rsidR="00990B14" w14:paraId="73540194" w14:textId="77777777">
        <w:trPr>
          <w:cantSplit/>
          <w:jc w:val="center"/>
        </w:trPr>
        <w:tc>
          <w:tcPr>
            <w:tcW w:w="2349" w:type="dxa"/>
            <w:gridSpan w:val="2"/>
            <w:shd w:val="clear" w:color="auto" w:fill="4472C4"/>
            <w:vAlign w:val="center"/>
          </w:tcPr>
          <w:p w14:paraId="2CA415CB"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2DE4E28A" w14:textId="77777777" w:rsidR="00990B14" w:rsidRDefault="00000000">
            <w:pPr>
              <w:keepNext/>
              <w:spacing w:before="20" w:after="20"/>
              <w:jc w:val="both"/>
            </w:pPr>
            <w:r>
              <w:rPr>
                <w:b/>
                <w:bCs/>
                <w:i/>
                <w:iCs/>
                <w:color w:val="FFFFFF"/>
                <w:sz w:val="18"/>
                <w:szCs w:val="18"/>
              </w:rPr>
              <w:t>Contenidos</w:t>
            </w:r>
          </w:p>
          <w:p w14:paraId="40D3A126"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11DA008E" w14:textId="77777777" w:rsidR="00990B14" w:rsidRDefault="00000000">
            <w:pPr>
              <w:keepNext/>
              <w:spacing w:before="20" w:after="20"/>
              <w:jc w:val="center"/>
            </w:pPr>
            <w:r>
              <w:rPr>
                <w:b/>
                <w:bCs/>
                <w:i/>
                <w:iCs/>
                <w:color w:val="FFFFFF"/>
                <w:sz w:val="18"/>
                <w:szCs w:val="18"/>
              </w:rPr>
              <w:t>Conocimientos circunstanciales</w:t>
            </w:r>
          </w:p>
        </w:tc>
      </w:tr>
      <w:tr w:rsidR="00990B14" w14:paraId="1B2168EC" w14:textId="77777777">
        <w:trPr>
          <w:jc w:val="center"/>
        </w:trPr>
        <w:tc>
          <w:tcPr>
            <w:tcW w:w="2349" w:type="dxa"/>
            <w:gridSpan w:val="2"/>
            <w:shd w:val="clear" w:color="auto" w:fill="D9E2F3"/>
          </w:tcPr>
          <w:p w14:paraId="78CD7B3B" w14:textId="77777777" w:rsidR="00990B14" w:rsidRDefault="00000000">
            <w:pPr>
              <w:spacing w:before="20" w:after="40"/>
              <w:jc w:val="both"/>
            </w:pPr>
            <w:r>
              <w:rPr>
                <w:sz w:val="18"/>
                <w:szCs w:val="18"/>
              </w:rPr>
              <w:t>Tema 5: Introducción al Proceso Administrativo</w:t>
            </w:r>
          </w:p>
          <w:p w14:paraId="7DFD78FF" w14:textId="77777777" w:rsidR="00990B14" w:rsidRDefault="00000000">
            <w:pPr>
              <w:spacing w:before="20" w:after="40"/>
              <w:jc w:val="both"/>
            </w:pPr>
            <w:r>
              <w:rPr>
                <w:sz w:val="18"/>
                <w:szCs w:val="18"/>
              </w:rPr>
              <w:t>Tema 6: Planificación Tema 7: Organización Tema 8: Integración Tema 9: Dirección</w:t>
            </w:r>
          </w:p>
          <w:p w14:paraId="0017C481" w14:textId="77777777" w:rsidR="00990B14" w:rsidRDefault="00000000">
            <w:pPr>
              <w:spacing w:before="20" w:after="40"/>
              <w:jc w:val="both"/>
            </w:pPr>
            <w:r>
              <w:rPr>
                <w:sz w:val="18"/>
                <w:szCs w:val="18"/>
              </w:rPr>
              <w:t>Tema 10: Control</w:t>
            </w:r>
          </w:p>
        </w:tc>
        <w:tc>
          <w:tcPr>
            <w:tcW w:w="4304" w:type="dxa"/>
            <w:gridSpan w:val="8"/>
            <w:shd w:val="clear" w:color="auto" w:fill="D9E2F3"/>
          </w:tcPr>
          <w:p w14:paraId="2ADA31B3" w14:textId="77777777" w:rsidR="00990B14" w:rsidRDefault="00000000">
            <w:pPr>
              <w:spacing w:after="40"/>
              <w:jc w:val="both"/>
            </w:pPr>
            <w:r>
              <w:rPr>
                <w:sz w:val="18"/>
                <w:szCs w:val="18"/>
              </w:rPr>
              <w:t>1. Universalidad, principios y beneficios de la aplicación del proceso administrativo. (C, P)</w:t>
            </w:r>
          </w:p>
          <w:p w14:paraId="0FB179A5" w14:textId="77777777" w:rsidR="00990B14" w:rsidRDefault="00000000">
            <w:pPr>
              <w:spacing w:after="40"/>
              <w:jc w:val="both"/>
            </w:pPr>
            <w:r>
              <w:rPr>
                <w:sz w:val="18"/>
                <w:szCs w:val="18"/>
              </w:rPr>
              <w:t>2. Conceptuación del proceso administrativo, como sistema y visión / misión. (C)</w:t>
            </w:r>
          </w:p>
          <w:p w14:paraId="26947959" w14:textId="77777777" w:rsidR="00990B14" w:rsidRDefault="00000000">
            <w:pPr>
              <w:spacing w:after="40"/>
              <w:jc w:val="both"/>
            </w:pPr>
            <w:r>
              <w:rPr>
                <w:sz w:val="18"/>
                <w:szCs w:val="18"/>
              </w:rPr>
              <w:t>3. Etapas del proceso administrativo: previsión, planificación, organización, integración, dirección y control, y su relación con la coordinación. (C)</w:t>
            </w:r>
          </w:p>
          <w:p w14:paraId="29000CF9" w14:textId="77777777" w:rsidR="00990B14" w:rsidRDefault="00000000">
            <w:pPr>
              <w:spacing w:after="40"/>
              <w:jc w:val="both"/>
            </w:pPr>
            <w:r>
              <w:rPr>
                <w:sz w:val="18"/>
                <w:szCs w:val="18"/>
              </w:rPr>
              <w:t>4. Concepto, propósito y principios de la previsión. (C)</w:t>
            </w:r>
          </w:p>
          <w:p w14:paraId="01FE646F" w14:textId="77777777" w:rsidR="00990B14" w:rsidRDefault="00000000">
            <w:pPr>
              <w:spacing w:after="40"/>
              <w:jc w:val="both"/>
            </w:pPr>
            <w:r>
              <w:rPr>
                <w:sz w:val="18"/>
                <w:szCs w:val="18"/>
              </w:rPr>
              <w:t>5. Concepto, universalidad, premisas, axiomas y principios de la planificación. (C)</w:t>
            </w:r>
          </w:p>
          <w:p w14:paraId="175F9DBD" w14:textId="77777777" w:rsidR="00990B14" w:rsidRDefault="00000000">
            <w:pPr>
              <w:spacing w:after="40"/>
              <w:jc w:val="both"/>
            </w:pPr>
            <w:r>
              <w:rPr>
                <w:sz w:val="18"/>
                <w:szCs w:val="18"/>
              </w:rPr>
              <w:t>6. Ventajas y desventajas de la planificación, clasificación de los tipos de planes y herramientas de la planificación. (C)</w:t>
            </w:r>
          </w:p>
          <w:p w14:paraId="4A3323F8" w14:textId="77777777" w:rsidR="00990B14" w:rsidRDefault="00000000">
            <w:pPr>
              <w:spacing w:after="40"/>
              <w:jc w:val="both"/>
            </w:pPr>
            <w:r>
              <w:rPr>
                <w:sz w:val="18"/>
                <w:szCs w:val="18"/>
              </w:rPr>
              <w:lastRenderedPageBreak/>
              <w:t>7. Concepto de planificación estratégica y sus fases: pensamiento estratégico, planificación a largo plazo y planificación a corto plazo. (C)</w:t>
            </w:r>
          </w:p>
          <w:p w14:paraId="26F7B670" w14:textId="77777777" w:rsidR="00990B14" w:rsidRDefault="00000000">
            <w:pPr>
              <w:spacing w:after="40"/>
              <w:jc w:val="both"/>
            </w:pPr>
            <w:r>
              <w:rPr>
                <w:sz w:val="18"/>
                <w:szCs w:val="18"/>
              </w:rPr>
              <w:t>8. Componentes de la planificación estratégica: las estrategias, la misión, la visión y la cultura organizacional. (C)</w:t>
            </w:r>
          </w:p>
          <w:p w14:paraId="081EBC42" w14:textId="77777777" w:rsidR="00990B14" w:rsidRDefault="00000000">
            <w:pPr>
              <w:spacing w:after="40"/>
              <w:jc w:val="both"/>
            </w:pPr>
            <w:r>
              <w:rPr>
                <w:sz w:val="18"/>
                <w:szCs w:val="18"/>
              </w:rPr>
              <w:t>9. Diagnóstico estratégico, formulación de estrategias y tipos de estrategias. (C)</w:t>
            </w:r>
          </w:p>
          <w:p w14:paraId="1E28F417" w14:textId="77777777" w:rsidR="00990B14" w:rsidRDefault="00000000">
            <w:pPr>
              <w:spacing w:after="40"/>
              <w:jc w:val="both"/>
            </w:pPr>
            <w:r>
              <w:rPr>
                <w:sz w:val="18"/>
                <w:szCs w:val="18"/>
              </w:rPr>
              <w:t>10.Elaboración del diagnóstico estratégico con las herramientas FODA y PESTEL. (P)</w:t>
            </w:r>
          </w:p>
          <w:p w14:paraId="2428CE1B" w14:textId="77777777" w:rsidR="00990B14" w:rsidRDefault="00000000">
            <w:pPr>
              <w:spacing w:after="40"/>
              <w:jc w:val="both"/>
            </w:pPr>
            <w:r>
              <w:rPr>
                <w:sz w:val="18"/>
                <w:szCs w:val="18"/>
              </w:rPr>
              <w:t>11.Formulación del plan y su monitoreo, con la identificación de los factores que afectan su cumplimiento. (P)</w:t>
            </w:r>
          </w:p>
          <w:p w14:paraId="4C779AAE" w14:textId="77777777" w:rsidR="00990B14" w:rsidRDefault="00000000">
            <w:pPr>
              <w:spacing w:after="40"/>
              <w:jc w:val="both"/>
            </w:pPr>
            <w:r>
              <w:rPr>
                <w:sz w:val="18"/>
                <w:szCs w:val="18"/>
              </w:rPr>
              <w:t>12.Responsabilidad social y sostenibilidad en el plan de la organización. (C, A)</w:t>
            </w:r>
          </w:p>
          <w:p w14:paraId="2375D9E2" w14:textId="77777777" w:rsidR="00990B14" w:rsidRDefault="00000000">
            <w:pPr>
              <w:spacing w:after="40"/>
              <w:jc w:val="both"/>
            </w:pPr>
            <w:r>
              <w:rPr>
                <w:sz w:val="18"/>
                <w:szCs w:val="18"/>
              </w:rPr>
              <w:t>13.Definición y concepto de organización, importancia de la organización en las organizaciones y otras entidades, principios y objetivos de la organización. (C)</w:t>
            </w:r>
          </w:p>
          <w:p w14:paraId="7B347051" w14:textId="77777777" w:rsidR="00990B14" w:rsidRDefault="00000000">
            <w:pPr>
              <w:spacing w:after="40"/>
              <w:jc w:val="both"/>
            </w:pPr>
            <w:r>
              <w:rPr>
                <w:sz w:val="18"/>
                <w:szCs w:val="18"/>
              </w:rPr>
              <w:t>14.Proceso de organización: análisis de los objetivos y del trabajo, división del trabajo, y definición de responsabilidad y autoridad. (C, P)</w:t>
            </w:r>
          </w:p>
          <w:p w14:paraId="25C5BCA1" w14:textId="77777777" w:rsidR="00990B14" w:rsidRDefault="00000000">
            <w:pPr>
              <w:spacing w:after="40"/>
              <w:jc w:val="both"/>
            </w:pPr>
            <w:r>
              <w:rPr>
                <w:sz w:val="18"/>
                <w:szCs w:val="18"/>
              </w:rPr>
              <w:t>15.Diseño de la estructura organizacional, niveles jerárquicos y tipos de organización formal e informal. (C, P)</w:t>
            </w:r>
          </w:p>
          <w:p w14:paraId="2DE220DD" w14:textId="77777777" w:rsidR="00990B14" w:rsidRDefault="00000000">
            <w:pPr>
              <w:spacing w:after="40"/>
              <w:jc w:val="both"/>
            </w:pPr>
            <w:r>
              <w:rPr>
                <w:sz w:val="18"/>
                <w:szCs w:val="18"/>
              </w:rPr>
              <w:t>16.Procesos de departamentalización y modelos de estructura organizacional. (C)</w:t>
            </w:r>
          </w:p>
          <w:p w14:paraId="571396D9" w14:textId="77777777" w:rsidR="00990B14" w:rsidRDefault="00000000">
            <w:pPr>
              <w:spacing w:after="40"/>
              <w:jc w:val="both"/>
            </w:pPr>
            <w:r>
              <w:rPr>
                <w:sz w:val="18"/>
                <w:szCs w:val="18"/>
              </w:rPr>
              <w:t>17.Los organigramas y sus tipos. (C)</w:t>
            </w:r>
          </w:p>
          <w:p w14:paraId="258EF77F" w14:textId="77777777" w:rsidR="00990B14" w:rsidRDefault="00000000">
            <w:pPr>
              <w:spacing w:after="40"/>
              <w:jc w:val="both"/>
            </w:pPr>
            <w:r>
              <w:rPr>
                <w:sz w:val="18"/>
                <w:szCs w:val="18"/>
              </w:rPr>
              <w:t>18.Manuales administrativos: manual de organización y funciones, y manual de procesos y procedimientos. (P)</w:t>
            </w:r>
          </w:p>
          <w:p w14:paraId="78B995DB" w14:textId="77777777" w:rsidR="00990B14" w:rsidRDefault="00000000">
            <w:pPr>
              <w:spacing w:after="40"/>
              <w:jc w:val="both"/>
            </w:pPr>
            <w:r>
              <w:rPr>
                <w:sz w:val="18"/>
                <w:szCs w:val="18"/>
              </w:rPr>
              <w:t>19.Concepto, importancia, tipos y características de la integración. (C)</w:t>
            </w:r>
          </w:p>
          <w:p w14:paraId="02B6E0C8" w14:textId="77777777" w:rsidR="00990B14" w:rsidRDefault="00000000">
            <w:pPr>
              <w:spacing w:after="40"/>
              <w:jc w:val="both"/>
            </w:pPr>
            <w:r>
              <w:rPr>
                <w:sz w:val="18"/>
                <w:szCs w:val="18"/>
              </w:rPr>
              <w:t>20.Integración del recurso humano y sus etapas. (C, P)</w:t>
            </w:r>
          </w:p>
          <w:p w14:paraId="3CDA13A0" w14:textId="77777777" w:rsidR="00990B14" w:rsidRDefault="00000000">
            <w:pPr>
              <w:spacing w:after="40"/>
              <w:jc w:val="both"/>
            </w:pPr>
            <w:r>
              <w:rPr>
                <w:sz w:val="18"/>
                <w:szCs w:val="18"/>
              </w:rPr>
              <w:t>21.Integración de los recursos materiales, sus tipos e importancia. (C)</w:t>
            </w:r>
          </w:p>
          <w:p w14:paraId="152FB919" w14:textId="77777777" w:rsidR="00990B14" w:rsidRDefault="00000000">
            <w:pPr>
              <w:spacing w:after="40"/>
              <w:jc w:val="both"/>
            </w:pPr>
            <w:r>
              <w:rPr>
                <w:sz w:val="18"/>
                <w:szCs w:val="18"/>
              </w:rPr>
              <w:t>22.Integración de los recursos financieros y su importancia. (C)</w:t>
            </w:r>
          </w:p>
          <w:p w14:paraId="62DCA1A3" w14:textId="77777777" w:rsidR="00990B14" w:rsidRDefault="00000000">
            <w:pPr>
              <w:spacing w:after="40"/>
              <w:jc w:val="both"/>
            </w:pPr>
            <w:r>
              <w:rPr>
                <w:sz w:val="18"/>
                <w:szCs w:val="18"/>
              </w:rPr>
              <w:t>23.Integración de los recursos tecnológicos, su clasificación y su administración, con los sistemas de información. (C)</w:t>
            </w:r>
          </w:p>
          <w:p w14:paraId="4531D4D6" w14:textId="77777777" w:rsidR="00990B14" w:rsidRDefault="00000000">
            <w:pPr>
              <w:spacing w:after="40"/>
              <w:jc w:val="both"/>
            </w:pPr>
            <w:r>
              <w:rPr>
                <w:sz w:val="18"/>
                <w:szCs w:val="18"/>
              </w:rPr>
              <w:t>24.Elaboración de organigramas y seguimiento de indicadores de gestión en hoja de cálculo. (P, T)</w:t>
            </w:r>
          </w:p>
          <w:p w14:paraId="23BF01CA" w14:textId="77777777" w:rsidR="00990B14" w:rsidRDefault="00000000">
            <w:pPr>
              <w:spacing w:after="40"/>
              <w:jc w:val="both"/>
            </w:pPr>
            <w:r>
              <w:rPr>
                <w:sz w:val="18"/>
                <w:szCs w:val="18"/>
              </w:rPr>
              <w:t>25.Concepto, funciones, importancia, principios y objetivos de la dirección, y sus elementos: autoridad, liderazgo, poder, comunicación, motivación, supervisión y toma de decisiones. (C)</w:t>
            </w:r>
          </w:p>
          <w:p w14:paraId="71B4795F" w14:textId="77777777" w:rsidR="00990B14" w:rsidRDefault="00000000">
            <w:pPr>
              <w:spacing w:after="40"/>
              <w:jc w:val="both"/>
            </w:pPr>
            <w:r>
              <w:rPr>
                <w:sz w:val="18"/>
                <w:szCs w:val="18"/>
              </w:rPr>
              <w:t xml:space="preserve">26.Elementos, tipos y flujo de la comunicación en la organización, con la auditoría </w:t>
            </w:r>
            <w:r>
              <w:rPr>
                <w:sz w:val="18"/>
                <w:szCs w:val="18"/>
              </w:rPr>
              <w:lastRenderedPageBreak/>
              <w:t>comunicacional y las barreras comunicacionales y sus tipos. (C)</w:t>
            </w:r>
          </w:p>
          <w:p w14:paraId="33A12D4B" w14:textId="77777777" w:rsidR="00990B14" w:rsidRDefault="00000000">
            <w:pPr>
              <w:spacing w:after="40"/>
              <w:jc w:val="both"/>
            </w:pPr>
            <w:r>
              <w:rPr>
                <w:sz w:val="18"/>
                <w:szCs w:val="18"/>
              </w:rPr>
              <w:t>27.Teorías motivacionales y tipos de motivación. (C)</w:t>
            </w:r>
          </w:p>
          <w:p w14:paraId="495372C8" w14:textId="77777777" w:rsidR="00990B14" w:rsidRDefault="00000000">
            <w:pPr>
              <w:spacing w:after="40"/>
              <w:jc w:val="both"/>
            </w:pPr>
            <w:r>
              <w:rPr>
                <w:sz w:val="18"/>
                <w:szCs w:val="18"/>
              </w:rPr>
              <w:t>28.Concepto de liderazgo, el líder, sus tipos y sus cualidades. (C)</w:t>
            </w:r>
          </w:p>
          <w:p w14:paraId="21674903" w14:textId="77777777" w:rsidR="00990B14" w:rsidRDefault="00000000">
            <w:pPr>
              <w:spacing w:after="40"/>
              <w:jc w:val="both"/>
            </w:pPr>
            <w:r>
              <w:rPr>
                <w:sz w:val="18"/>
                <w:szCs w:val="18"/>
              </w:rPr>
              <w:t>29.Concepto, características, importancia y tipos de autoridad. (C)</w:t>
            </w:r>
          </w:p>
          <w:p w14:paraId="1268B037" w14:textId="77777777" w:rsidR="00990B14" w:rsidRDefault="00000000">
            <w:pPr>
              <w:spacing w:after="40"/>
              <w:jc w:val="both"/>
            </w:pPr>
            <w:r>
              <w:rPr>
                <w:sz w:val="18"/>
                <w:szCs w:val="18"/>
              </w:rPr>
              <w:t>30.Concepto y tipos de poder, y su relación con la autoridad y el liderazgo. (C)</w:t>
            </w:r>
          </w:p>
          <w:p w14:paraId="553CE354" w14:textId="77777777" w:rsidR="00990B14" w:rsidRDefault="00000000">
            <w:pPr>
              <w:spacing w:after="40"/>
              <w:jc w:val="both"/>
            </w:pPr>
            <w:r>
              <w:rPr>
                <w:sz w:val="18"/>
                <w:szCs w:val="18"/>
              </w:rPr>
              <w:t>31.Concepto, propósitos y objetivos de la supervisión, el papel y las características del supervisor, sus funciones, los estilos de supervisión y los errores de la supervisión. (C)</w:t>
            </w:r>
          </w:p>
          <w:p w14:paraId="1BE9F3F2" w14:textId="77777777" w:rsidR="00990B14" w:rsidRDefault="00000000">
            <w:pPr>
              <w:spacing w:after="40"/>
              <w:jc w:val="both"/>
            </w:pPr>
            <w:r>
              <w:rPr>
                <w:sz w:val="18"/>
                <w:szCs w:val="18"/>
              </w:rPr>
              <w:t>32.Concepto de toma de decisiones, decisiones programadas y no programadas, y las barreras en la toma de decisiones. (C)</w:t>
            </w:r>
          </w:p>
          <w:p w14:paraId="79404A00" w14:textId="77777777" w:rsidR="00990B14" w:rsidRDefault="00000000">
            <w:pPr>
              <w:spacing w:after="40"/>
              <w:jc w:val="both"/>
            </w:pPr>
            <w:r>
              <w:rPr>
                <w:sz w:val="18"/>
                <w:szCs w:val="18"/>
              </w:rPr>
              <w:t>33.Toma de decisiones grupales, con sus ventajas y desventajas, qué se debe conocer para tomar una buena decisión, y la experiencia y el buen juicio en la toma de decisiones. (C)</w:t>
            </w:r>
          </w:p>
          <w:p w14:paraId="3263DFF5" w14:textId="77777777" w:rsidR="00990B14" w:rsidRDefault="00000000">
            <w:pPr>
              <w:spacing w:after="40"/>
              <w:jc w:val="both"/>
            </w:pPr>
            <w:r>
              <w:rPr>
                <w:sz w:val="18"/>
                <w:szCs w:val="18"/>
              </w:rPr>
              <w:t>34.Responsables de la toma de decisiones en la organización y fases de la toma de decisiones. (C)</w:t>
            </w:r>
          </w:p>
          <w:p w14:paraId="3C937A85" w14:textId="77777777" w:rsidR="00990B14" w:rsidRDefault="00000000">
            <w:pPr>
              <w:spacing w:after="40"/>
              <w:jc w:val="both"/>
            </w:pPr>
            <w:r>
              <w:rPr>
                <w:sz w:val="18"/>
                <w:szCs w:val="18"/>
              </w:rPr>
              <w:t>35.Ética profesional, comunicación asertiva y respeto a la opinión ajena en la dirección de equipos y en la toma de decisiones. (A)</w:t>
            </w:r>
          </w:p>
          <w:p w14:paraId="00D002DB" w14:textId="77777777" w:rsidR="00990B14" w:rsidRDefault="00000000">
            <w:pPr>
              <w:spacing w:after="40"/>
              <w:jc w:val="both"/>
            </w:pPr>
            <w:r>
              <w:rPr>
                <w:sz w:val="18"/>
                <w:szCs w:val="18"/>
              </w:rPr>
              <w:t>36.Concepto, funciones, objetivo e importancia del control dentro del proceso administrativo. (C)</w:t>
            </w:r>
          </w:p>
          <w:p w14:paraId="470A4A6C" w14:textId="77777777" w:rsidR="00990B14" w:rsidRDefault="00000000">
            <w:pPr>
              <w:spacing w:after="40"/>
              <w:jc w:val="both"/>
            </w:pPr>
            <w:r>
              <w:rPr>
                <w:sz w:val="18"/>
                <w:szCs w:val="18"/>
              </w:rPr>
              <w:t>37.El proceso de control, sus tipos, el control interno y el control externo, y los principios del control. (C)</w:t>
            </w:r>
          </w:p>
          <w:p w14:paraId="70D5FA48" w14:textId="77777777" w:rsidR="00990B14" w:rsidRDefault="00000000">
            <w:pPr>
              <w:spacing w:after="40"/>
              <w:jc w:val="both"/>
            </w:pPr>
            <w:r>
              <w:rPr>
                <w:sz w:val="18"/>
                <w:szCs w:val="18"/>
              </w:rPr>
              <w:t>38.Relación entre control y otras etapas del proceso administrativo, y herramientas y técnicas de control. (P)</w:t>
            </w:r>
          </w:p>
          <w:p w14:paraId="5BEF9AC9" w14:textId="77777777" w:rsidR="00990B14" w:rsidRDefault="00000000">
            <w:pPr>
              <w:spacing w:after="40"/>
              <w:jc w:val="both"/>
            </w:pPr>
            <w:r>
              <w:rPr>
                <w:sz w:val="18"/>
                <w:szCs w:val="18"/>
              </w:rPr>
              <w:t>39.Gestión de riesgos en el control de los resultados de la organización: identificación, evaluación y respuesta a los riesgos. (C, P)</w:t>
            </w:r>
          </w:p>
        </w:tc>
        <w:tc>
          <w:tcPr>
            <w:tcW w:w="2752" w:type="dxa"/>
            <w:gridSpan w:val="3"/>
            <w:shd w:val="clear" w:color="auto" w:fill="D9E2F3"/>
          </w:tcPr>
          <w:p w14:paraId="1211E9F6" w14:textId="77777777" w:rsidR="00990B14" w:rsidRDefault="00000000">
            <w:pPr>
              <w:numPr>
                <w:ilvl w:val="0"/>
                <w:numId w:val="139"/>
              </w:numPr>
              <w:spacing w:before="10" w:after="10"/>
              <w:jc w:val="both"/>
            </w:pPr>
            <w:r>
              <w:rPr>
                <w:sz w:val="18"/>
                <w:szCs w:val="18"/>
              </w:rPr>
              <w:lastRenderedPageBreak/>
              <w:t>Simulación del proceso administrativo y su aplicación en las organizaciones.</w:t>
            </w:r>
          </w:p>
          <w:p w14:paraId="54494D25" w14:textId="77777777" w:rsidR="00990B14" w:rsidRDefault="00000000">
            <w:pPr>
              <w:numPr>
                <w:ilvl w:val="0"/>
                <w:numId w:val="139"/>
              </w:numPr>
              <w:spacing w:before="10" w:after="10"/>
              <w:jc w:val="both"/>
            </w:pPr>
            <w:r>
              <w:rPr>
                <w:sz w:val="18"/>
                <w:szCs w:val="18"/>
              </w:rPr>
              <w:t>Modelos básicos de organización.</w:t>
            </w:r>
          </w:p>
        </w:tc>
      </w:tr>
    </w:tbl>
    <w:p w14:paraId="6BC2EF76"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805"/>
        <w:gridCol w:w="1910"/>
        <w:gridCol w:w="1910"/>
        <w:gridCol w:w="1700"/>
        <w:gridCol w:w="2080"/>
      </w:tblGrid>
      <w:tr w:rsidR="00990B14" w14:paraId="5928CFDF" w14:textId="77777777">
        <w:trPr>
          <w:cantSplit/>
          <w:jc w:val="center"/>
        </w:trPr>
        <w:tc>
          <w:tcPr>
            <w:tcW w:w="9405" w:type="dxa"/>
            <w:gridSpan w:val="5"/>
            <w:shd w:val="clear" w:color="auto" w:fill="4472C4"/>
            <w:vAlign w:val="center"/>
          </w:tcPr>
          <w:p w14:paraId="306977E1" w14:textId="77777777" w:rsidR="00990B14" w:rsidRDefault="00000000">
            <w:pPr>
              <w:keepNext/>
              <w:spacing w:before="20" w:after="20"/>
              <w:jc w:val="center"/>
            </w:pPr>
            <w:r>
              <w:rPr>
                <w:b/>
                <w:bCs/>
                <w:i/>
                <w:iCs/>
                <w:color w:val="FFFFFF"/>
                <w:sz w:val="18"/>
                <w:szCs w:val="18"/>
              </w:rPr>
              <w:t>Actividades</w:t>
            </w:r>
          </w:p>
        </w:tc>
      </w:tr>
      <w:tr w:rsidR="00990B14" w14:paraId="677C497E" w14:textId="77777777">
        <w:trPr>
          <w:cantSplit/>
          <w:jc w:val="center"/>
        </w:trPr>
        <w:tc>
          <w:tcPr>
            <w:tcW w:w="1805" w:type="dxa"/>
            <w:shd w:val="clear" w:color="auto" w:fill="4472C4"/>
            <w:vAlign w:val="center"/>
          </w:tcPr>
          <w:p w14:paraId="0DBB95C0" w14:textId="77777777" w:rsidR="00990B14" w:rsidRDefault="00000000">
            <w:pPr>
              <w:keepNext/>
              <w:spacing w:before="20" w:after="20"/>
              <w:jc w:val="center"/>
            </w:pPr>
            <w:r>
              <w:rPr>
                <w:b/>
                <w:bCs/>
                <w:i/>
                <w:iCs/>
                <w:color w:val="FFFFFF"/>
                <w:sz w:val="18"/>
                <w:szCs w:val="18"/>
              </w:rPr>
              <w:t>En clase</w:t>
            </w:r>
          </w:p>
        </w:tc>
        <w:tc>
          <w:tcPr>
            <w:tcW w:w="1910" w:type="dxa"/>
            <w:shd w:val="clear" w:color="auto" w:fill="4472C4"/>
            <w:vAlign w:val="center"/>
          </w:tcPr>
          <w:p w14:paraId="706CA443" w14:textId="77777777" w:rsidR="00990B14" w:rsidRDefault="00000000">
            <w:pPr>
              <w:keepNext/>
              <w:spacing w:before="20" w:after="20"/>
              <w:jc w:val="center"/>
            </w:pPr>
            <w:r>
              <w:rPr>
                <w:b/>
                <w:bCs/>
                <w:i/>
                <w:iCs/>
                <w:color w:val="FFFFFF"/>
                <w:sz w:val="18"/>
                <w:szCs w:val="18"/>
              </w:rPr>
              <w:t>Autónomas</w:t>
            </w:r>
          </w:p>
        </w:tc>
        <w:tc>
          <w:tcPr>
            <w:tcW w:w="1910" w:type="dxa"/>
            <w:shd w:val="clear" w:color="auto" w:fill="4472C4"/>
            <w:vAlign w:val="center"/>
          </w:tcPr>
          <w:p w14:paraId="12E6A36A" w14:textId="77777777" w:rsidR="00990B14" w:rsidRDefault="00000000">
            <w:pPr>
              <w:keepNext/>
              <w:spacing w:before="20" w:after="20"/>
              <w:jc w:val="center"/>
            </w:pPr>
            <w:r>
              <w:rPr>
                <w:b/>
                <w:bCs/>
                <w:i/>
                <w:iCs/>
                <w:color w:val="FFFFFF"/>
                <w:sz w:val="18"/>
                <w:szCs w:val="18"/>
              </w:rPr>
              <w:t>B-Learning</w:t>
            </w:r>
          </w:p>
        </w:tc>
        <w:tc>
          <w:tcPr>
            <w:tcW w:w="1700" w:type="dxa"/>
            <w:shd w:val="clear" w:color="auto" w:fill="4472C4"/>
            <w:vAlign w:val="center"/>
          </w:tcPr>
          <w:p w14:paraId="3517E3C3" w14:textId="77777777" w:rsidR="00990B14" w:rsidRDefault="00000000">
            <w:pPr>
              <w:keepNext/>
              <w:spacing w:before="20" w:after="20"/>
              <w:jc w:val="center"/>
            </w:pPr>
            <w:r>
              <w:rPr>
                <w:b/>
                <w:bCs/>
                <w:i/>
                <w:iCs/>
                <w:color w:val="FFFFFF"/>
                <w:sz w:val="18"/>
                <w:szCs w:val="18"/>
              </w:rPr>
              <w:t>Taller</w:t>
            </w:r>
          </w:p>
        </w:tc>
        <w:tc>
          <w:tcPr>
            <w:tcW w:w="2080" w:type="dxa"/>
            <w:shd w:val="clear" w:color="auto" w:fill="4472C4"/>
            <w:vAlign w:val="center"/>
          </w:tcPr>
          <w:p w14:paraId="708989E7" w14:textId="77777777" w:rsidR="00990B14" w:rsidRDefault="00000000">
            <w:pPr>
              <w:keepNext/>
              <w:spacing w:before="20" w:after="20"/>
              <w:jc w:val="center"/>
            </w:pPr>
            <w:r>
              <w:rPr>
                <w:b/>
                <w:bCs/>
                <w:i/>
                <w:iCs/>
                <w:color w:val="FFFFFF"/>
                <w:sz w:val="18"/>
                <w:szCs w:val="18"/>
              </w:rPr>
              <w:t>Investigación/Práctica</w:t>
            </w:r>
          </w:p>
        </w:tc>
      </w:tr>
      <w:tr w:rsidR="00990B14" w14:paraId="4B8E32BD" w14:textId="77777777">
        <w:trPr>
          <w:jc w:val="center"/>
        </w:trPr>
        <w:tc>
          <w:tcPr>
            <w:tcW w:w="1805" w:type="dxa"/>
            <w:shd w:val="clear" w:color="auto" w:fill="D9E2F3"/>
          </w:tcPr>
          <w:p w14:paraId="261C5A3D" w14:textId="77777777" w:rsidR="00990B14" w:rsidRDefault="00000000">
            <w:pPr>
              <w:numPr>
                <w:ilvl w:val="0"/>
                <w:numId w:val="139"/>
              </w:numPr>
              <w:spacing w:before="10" w:after="10"/>
              <w:jc w:val="both"/>
            </w:pPr>
            <w:r>
              <w:rPr>
                <w:sz w:val="18"/>
                <w:szCs w:val="18"/>
              </w:rPr>
              <w:t>Exposición de los enfoques de la administración.</w:t>
            </w:r>
          </w:p>
          <w:p w14:paraId="28BEAC7B" w14:textId="77777777" w:rsidR="00990B14" w:rsidRDefault="00000000">
            <w:pPr>
              <w:numPr>
                <w:ilvl w:val="0"/>
                <w:numId w:val="139"/>
              </w:numPr>
              <w:spacing w:before="10" w:after="10"/>
              <w:jc w:val="both"/>
            </w:pPr>
            <w:r>
              <w:rPr>
                <w:sz w:val="18"/>
                <w:szCs w:val="18"/>
              </w:rPr>
              <w:t xml:space="preserve">Análisis de casos de organizaciones según su </w:t>
            </w:r>
            <w:r>
              <w:rPr>
                <w:sz w:val="18"/>
                <w:szCs w:val="18"/>
              </w:rPr>
              <w:lastRenderedPageBreak/>
              <w:t>clasificación y su entorno global.</w:t>
            </w:r>
          </w:p>
          <w:p w14:paraId="35EBA7C0" w14:textId="77777777" w:rsidR="00990B14" w:rsidRDefault="00000000">
            <w:pPr>
              <w:numPr>
                <w:ilvl w:val="0"/>
                <w:numId w:val="139"/>
              </w:numPr>
              <w:spacing w:before="10" w:after="10"/>
              <w:jc w:val="both"/>
            </w:pPr>
            <w:r>
              <w:rPr>
                <w:sz w:val="18"/>
                <w:szCs w:val="18"/>
              </w:rPr>
              <w:t>Resolución guiada del diagnóstico de una organización.</w:t>
            </w:r>
          </w:p>
          <w:p w14:paraId="2C8F4C04" w14:textId="77777777" w:rsidR="00990B14" w:rsidRDefault="00000000">
            <w:pPr>
              <w:numPr>
                <w:ilvl w:val="0"/>
                <w:numId w:val="139"/>
              </w:numPr>
              <w:spacing w:before="10" w:after="10"/>
              <w:jc w:val="both"/>
            </w:pPr>
            <w:r>
              <w:rPr>
                <w:sz w:val="18"/>
                <w:szCs w:val="18"/>
              </w:rPr>
              <w:t>Demostración de la elaboración de un organigrama y de la descripción de funciones.</w:t>
            </w:r>
          </w:p>
          <w:p w14:paraId="1063F213" w14:textId="77777777" w:rsidR="00990B14" w:rsidRDefault="00000000">
            <w:pPr>
              <w:numPr>
                <w:ilvl w:val="0"/>
                <w:numId w:val="139"/>
              </w:numPr>
              <w:spacing w:before="10" w:after="10"/>
              <w:jc w:val="both"/>
            </w:pPr>
            <w:r>
              <w:rPr>
                <w:sz w:val="18"/>
                <w:szCs w:val="18"/>
              </w:rPr>
              <w:t>Preguntas de comprensión sobre las etapas del proceso administrativo.</w:t>
            </w:r>
          </w:p>
        </w:tc>
        <w:tc>
          <w:tcPr>
            <w:tcW w:w="1910" w:type="dxa"/>
            <w:shd w:val="clear" w:color="auto" w:fill="D9E2F3"/>
          </w:tcPr>
          <w:p w14:paraId="654A745A" w14:textId="77777777" w:rsidR="00990B14" w:rsidRDefault="00000000">
            <w:pPr>
              <w:numPr>
                <w:ilvl w:val="0"/>
                <w:numId w:val="139"/>
              </w:numPr>
              <w:spacing w:before="10" w:after="10"/>
              <w:jc w:val="both"/>
            </w:pPr>
            <w:r>
              <w:rPr>
                <w:sz w:val="18"/>
                <w:szCs w:val="18"/>
              </w:rPr>
              <w:lastRenderedPageBreak/>
              <w:t>Lectura de casos de organizaciones para identificar enfoques administrativos.</w:t>
            </w:r>
          </w:p>
          <w:p w14:paraId="745E9C66" w14:textId="77777777" w:rsidR="00990B14" w:rsidRDefault="00000000">
            <w:pPr>
              <w:numPr>
                <w:ilvl w:val="0"/>
                <w:numId w:val="139"/>
              </w:numPr>
              <w:spacing w:before="10" w:after="10"/>
              <w:jc w:val="both"/>
            </w:pPr>
            <w:r>
              <w:rPr>
                <w:sz w:val="18"/>
                <w:szCs w:val="18"/>
              </w:rPr>
              <w:t xml:space="preserve">Elaboración progresiva del </w:t>
            </w:r>
            <w:r>
              <w:rPr>
                <w:sz w:val="18"/>
                <w:szCs w:val="18"/>
              </w:rPr>
              <w:lastRenderedPageBreak/>
              <w:t>diagnóstico organizacional.</w:t>
            </w:r>
          </w:p>
          <w:p w14:paraId="6CA2F0FC" w14:textId="77777777" w:rsidR="00990B14" w:rsidRDefault="00000000">
            <w:pPr>
              <w:numPr>
                <w:ilvl w:val="0"/>
                <w:numId w:val="139"/>
              </w:numPr>
              <w:spacing w:before="10" w:after="10"/>
              <w:jc w:val="both"/>
            </w:pPr>
            <w:r>
              <w:rPr>
                <w:sz w:val="18"/>
                <w:szCs w:val="18"/>
              </w:rPr>
              <w:t>Resolución de ejercicios de clasificación de organizaciones y de toma de decisiones.</w:t>
            </w:r>
          </w:p>
        </w:tc>
        <w:tc>
          <w:tcPr>
            <w:tcW w:w="1910" w:type="dxa"/>
            <w:shd w:val="clear" w:color="auto" w:fill="D9E2F3"/>
          </w:tcPr>
          <w:p w14:paraId="4203DE2C" w14:textId="77777777" w:rsidR="00990B14" w:rsidRDefault="00000000">
            <w:pPr>
              <w:numPr>
                <w:ilvl w:val="0"/>
                <w:numId w:val="139"/>
              </w:numPr>
              <w:spacing w:before="10" w:after="10"/>
              <w:jc w:val="both"/>
            </w:pPr>
            <w:r>
              <w:rPr>
                <w:sz w:val="18"/>
                <w:szCs w:val="18"/>
              </w:rPr>
              <w:lastRenderedPageBreak/>
              <w:t xml:space="preserve">Análisis y comprensión sobre los enfoques y las etapas del proceso administrativo en la </w:t>
            </w:r>
            <w:r>
              <w:rPr>
                <w:sz w:val="18"/>
                <w:szCs w:val="18"/>
              </w:rPr>
              <w:lastRenderedPageBreak/>
              <w:t>plataforma Moodle UMSA.</w:t>
            </w:r>
          </w:p>
          <w:p w14:paraId="296F03BF" w14:textId="77777777" w:rsidR="00990B14" w:rsidRDefault="00000000">
            <w:pPr>
              <w:numPr>
                <w:ilvl w:val="0"/>
                <w:numId w:val="139"/>
              </w:numPr>
              <w:spacing w:before="10" w:after="10"/>
              <w:jc w:val="both"/>
            </w:pPr>
            <w:r>
              <w:rPr>
                <w:sz w:val="18"/>
                <w:szCs w:val="18"/>
              </w:rPr>
              <w:t>Foros de consulta sobre liderazgo, motivación y toma de decisiones.</w:t>
            </w:r>
          </w:p>
          <w:p w14:paraId="22EF6DFC" w14:textId="77777777" w:rsidR="00990B14" w:rsidRDefault="00000000">
            <w:pPr>
              <w:numPr>
                <w:ilvl w:val="0"/>
                <w:numId w:val="139"/>
              </w:numPr>
              <w:spacing w:before="10" w:after="10"/>
              <w:jc w:val="both"/>
            </w:pPr>
            <w:r>
              <w:rPr>
                <w:sz w:val="18"/>
                <w:szCs w:val="18"/>
              </w:rPr>
              <w:t>Videotutoriales de elaboración de organigramas y manuales administrativos.</w:t>
            </w:r>
          </w:p>
        </w:tc>
        <w:tc>
          <w:tcPr>
            <w:tcW w:w="1700" w:type="dxa"/>
            <w:shd w:val="clear" w:color="auto" w:fill="D9E2F3"/>
          </w:tcPr>
          <w:p w14:paraId="565B2DD8" w14:textId="77777777" w:rsidR="00990B14" w:rsidRDefault="00000000">
            <w:pPr>
              <w:numPr>
                <w:ilvl w:val="0"/>
                <w:numId w:val="139"/>
              </w:numPr>
              <w:spacing w:before="10" w:after="10"/>
              <w:jc w:val="both"/>
            </w:pPr>
            <w:r>
              <w:rPr>
                <w:sz w:val="18"/>
                <w:szCs w:val="18"/>
              </w:rPr>
              <w:lastRenderedPageBreak/>
              <w:t>Debate colaborativo sobre los enfoques y las teorías de la administración aplicados a un caso real.</w:t>
            </w:r>
          </w:p>
          <w:p w14:paraId="02FA9462" w14:textId="77777777" w:rsidR="00990B14" w:rsidRDefault="00000000">
            <w:pPr>
              <w:numPr>
                <w:ilvl w:val="0"/>
                <w:numId w:val="139"/>
              </w:numPr>
              <w:spacing w:before="10" w:after="10"/>
              <w:jc w:val="both"/>
            </w:pPr>
            <w:r>
              <w:rPr>
                <w:sz w:val="18"/>
                <w:szCs w:val="18"/>
              </w:rPr>
              <w:lastRenderedPageBreak/>
              <w:t>Elaboración guiada de la estructura organizacional y funciones de una organización.</w:t>
            </w:r>
          </w:p>
          <w:p w14:paraId="621B3011" w14:textId="77777777" w:rsidR="00990B14" w:rsidRDefault="00000000">
            <w:pPr>
              <w:numPr>
                <w:ilvl w:val="0"/>
                <w:numId w:val="139"/>
              </w:numPr>
              <w:spacing w:before="10" w:after="10"/>
              <w:jc w:val="both"/>
            </w:pPr>
            <w:r>
              <w:rPr>
                <w:sz w:val="18"/>
                <w:szCs w:val="18"/>
              </w:rPr>
              <w:t>Simulación de una reunión de dirección con ejercicio de liderazgo y toma de decisiones.</w:t>
            </w:r>
          </w:p>
        </w:tc>
        <w:tc>
          <w:tcPr>
            <w:tcW w:w="2080" w:type="dxa"/>
            <w:shd w:val="clear" w:color="auto" w:fill="D9E2F3"/>
          </w:tcPr>
          <w:p w14:paraId="480FEC6C" w14:textId="77777777" w:rsidR="00990B14" w:rsidRDefault="00000000">
            <w:pPr>
              <w:numPr>
                <w:ilvl w:val="0"/>
                <w:numId w:val="139"/>
              </w:numPr>
              <w:spacing w:before="10" w:after="10"/>
              <w:jc w:val="both"/>
            </w:pPr>
            <w:r>
              <w:rPr>
                <w:sz w:val="18"/>
                <w:szCs w:val="18"/>
              </w:rPr>
              <w:lastRenderedPageBreak/>
              <w:t>Aplicación de un enfoque administrativo en una organización.</w:t>
            </w:r>
          </w:p>
          <w:p w14:paraId="25EDB976" w14:textId="77777777" w:rsidR="00990B14" w:rsidRDefault="00000000">
            <w:pPr>
              <w:numPr>
                <w:ilvl w:val="0"/>
                <w:numId w:val="139"/>
              </w:numPr>
              <w:spacing w:before="10" w:after="10"/>
              <w:jc w:val="both"/>
            </w:pPr>
            <w:r>
              <w:rPr>
                <w:sz w:val="18"/>
                <w:szCs w:val="18"/>
              </w:rPr>
              <w:t xml:space="preserve">Análisis de la estructura organizacional y del proceso de </w:t>
            </w:r>
            <w:r>
              <w:rPr>
                <w:sz w:val="18"/>
                <w:szCs w:val="18"/>
              </w:rPr>
              <w:lastRenderedPageBreak/>
              <w:t>control.</w:t>
            </w:r>
          </w:p>
          <w:p w14:paraId="2BF0AF9F" w14:textId="77777777" w:rsidR="00990B14" w:rsidRDefault="00000000">
            <w:pPr>
              <w:numPr>
                <w:ilvl w:val="0"/>
                <w:numId w:val="139"/>
              </w:numPr>
              <w:spacing w:before="10" w:after="10"/>
              <w:jc w:val="both"/>
            </w:pPr>
            <w:r>
              <w:rPr>
                <w:sz w:val="18"/>
                <w:szCs w:val="18"/>
              </w:rPr>
              <w:t>Comparación de los sistemas de administración pública y privada en Bolivia.</w:t>
            </w:r>
          </w:p>
        </w:tc>
      </w:tr>
    </w:tbl>
    <w:p w14:paraId="293D5D8B"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490"/>
        <w:gridCol w:w="1805"/>
        <w:gridCol w:w="1910"/>
        <w:gridCol w:w="2323"/>
        <w:gridCol w:w="1877"/>
      </w:tblGrid>
      <w:tr w:rsidR="00990B14" w14:paraId="23396BCB" w14:textId="77777777">
        <w:trPr>
          <w:jc w:val="center"/>
        </w:trPr>
        <w:tc>
          <w:tcPr>
            <w:tcW w:w="1490" w:type="dxa"/>
            <w:shd w:val="clear" w:color="auto" w:fill="4472C4"/>
            <w:vAlign w:val="center"/>
          </w:tcPr>
          <w:p w14:paraId="323A7204" w14:textId="77777777" w:rsidR="00990B14" w:rsidRDefault="00000000">
            <w:pPr>
              <w:spacing w:before="20" w:after="20"/>
              <w:jc w:val="center"/>
            </w:pPr>
            <w:r>
              <w:rPr>
                <w:b/>
                <w:bCs/>
                <w:i/>
                <w:iCs/>
                <w:color w:val="FFFFFF"/>
                <w:sz w:val="18"/>
                <w:szCs w:val="18"/>
              </w:rPr>
              <w:t>Estrategias de aprendizaje y enseñanza</w:t>
            </w:r>
          </w:p>
        </w:tc>
        <w:tc>
          <w:tcPr>
            <w:tcW w:w="7915" w:type="dxa"/>
            <w:gridSpan w:val="4"/>
            <w:shd w:val="clear" w:color="auto" w:fill="D9E2F3"/>
            <w:vAlign w:val="center"/>
          </w:tcPr>
          <w:p w14:paraId="0734D91A" w14:textId="77777777" w:rsidR="00990B14" w:rsidRDefault="00000000">
            <w:pPr>
              <w:numPr>
                <w:ilvl w:val="0"/>
                <w:numId w:val="140"/>
              </w:numPr>
              <w:spacing w:before="10" w:after="10"/>
              <w:jc w:val="both"/>
            </w:pPr>
            <w:r>
              <w:rPr>
                <w:sz w:val="18"/>
                <w:szCs w:val="18"/>
              </w:rPr>
              <w:t>Aprendizaje basado en problemas con casos de gestión de organizaciones.</w:t>
            </w:r>
          </w:p>
          <w:p w14:paraId="11795F2A" w14:textId="77777777" w:rsidR="00990B14" w:rsidRDefault="00000000">
            <w:pPr>
              <w:numPr>
                <w:ilvl w:val="0"/>
                <w:numId w:val="140"/>
              </w:numPr>
              <w:spacing w:before="10" w:after="10"/>
              <w:jc w:val="both"/>
            </w:pPr>
            <w:r>
              <w:rPr>
                <w:sz w:val="18"/>
                <w:szCs w:val="18"/>
              </w:rPr>
              <w:t>Estudio de casos de aplicación de los enfoques administrativos.</w:t>
            </w:r>
          </w:p>
          <w:p w14:paraId="784481E1" w14:textId="77777777" w:rsidR="00990B14" w:rsidRDefault="00000000">
            <w:pPr>
              <w:numPr>
                <w:ilvl w:val="0"/>
                <w:numId w:val="140"/>
              </w:numPr>
              <w:spacing w:before="10" w:after="10"/>
              <w:jc w:val="both"/>
            </w:pPr>
            <w:r>
              <w:rPr>
                <w:sz w:val="18"/>
                <w:szCs w:val="18"/>
              </w:rPr>
              <w:t>Proyecto integrador que recorre las etapas del proceso administrativo, de la previsión al control.</w:t>
            </w:r>
          </w:p>
          <w:p w14:paraId="77379AB5" w14:textId="77777777" w:rsidR="00990B14" w:rsidRDefault="00000000">
            <w:pPr>
              <w:numPr>
                <w:ilvl w:val="0"/>
                <w:numId w:val="140"/>
              </w:numPr>
              <w:spacing w:before="10" w:after="10"/>
              <w:jc w:val="both"/>
            </w:pPr>
            <w:r>
              <w:rPr>
                <w:sz w:val="18"/>
                <w:szCs w:val="18"/>
              </w:rPr>
              <w:t>Trabajo colaborativo en equipos para el diseño de la estructura organizacional y del plan estratégico.</w:t>
            </w:r>
          </w:p>
          <w:p w14:paraId="2B370944" w14:textId="77777777" w:rsidR="00990B14" w:rsidRDefault="00000000">
            <w:pPr>
              <w:numPr>
                <w:ilvl w:val="0"/>
                <w:numId w:val="140"/>
              </w:numPr>
              <w:spacing w:before="10" w:after="10"/>
              <w:jc w:val="both"/>
            </w:pPr>
            <w:r>
              <w:rPr>
                <w:sz w:val="18"/>
                <w:szCs w:val="18"/>
              </w:rPr>
              <w:t>Simulaciones de dirección y de toma de decisiones.</w:t>
            </w:r>
          </w:p>
          <w:p w14:paraId="796B44C0" w14:textId="77777777" w:rsidR="00990B14" w:rsidRDefault="00000000">
            <w:pPr>
              <w:numPr>
                <w:ilvl w:val="0"/>
                <w:numId w:val="140"/>
              </w:numPr>
              <w:spacing w:before="10" w:after="10"/>
              <w:jc w:val="both"/>
            </w:pPr>
            <w:r>
              <w:rPr>
                <w:sz w:val="18"/>
                <w:szCs w:val="18"/>
              </w:rPr>
              <w:t>Clase invertida para los contenidos conceptuales de los enfoques administrativos.</w:t>
            </w:r>
          </w:p>
        </w:tc>
      </w:tr>
      <w:tr w:rsidR="00990B14" w14:paraId="30408EC0" w14:textId="77777777">
        <w:trPr>
          <w:jc w:val="center"/>
        </w:trPr>
        <w:tc>
          <w:tcPr>
            <w:tcW w:w="1490" w:type="dxa"/>
            <w:shd w:val="clear" w:color="auto" w:fill="4472C4"/>
            <w:vAlign w:val="center"/>
          </w:tcPr>
          <w:p w14:paraId="6CE90FE7" w14:textId="77777777" w:rsidR="00990B14" w:rsidRDefault="00000000">
            <w:pPr>
              <w:spacing w:before="20" w:after="20"/>
              <w:jc w:val="center"/>
            </w:pPr>
            <w:r>
              <w:rPr>
                <w:b/>
                <w:bCs/>
                <w:i/>
                <w:iCs/>
                <w:color w:val="FFFFFF"/>
                <w:sz w:val="18"/>
                <w:szCs w:val="18"/>
              </w:rPr>
              <w:t>Recursos para el aprendizaje</w:t>
            </w:r>
          </w:p>
        </w:tc>
        <w:tc>
          <w:tcPr>
            <w:tcW w:w="7915" w:type="dxa"/>
            <w:gridSpan w:val="4"/>
            <w:shd w:val="clear" w:color="auto" w:fill="D9E2F3"/>
            <w:vAlign w:val="center"/>
          </w:tcPr>
          <w:p w14:paraId="441403DC" w14:textId="77777777" w:rsidR="00990B14" w:rsidRDefault="00000000">
            <w:pPr>
              <w:numPr>
                <w:ilvl w:val="0"/>
                <w:numId w:val="140"/>
              </w:numPr>
              <w:spacing w:before="10" w:after="10"/>
              <w:jc w:val="both"/>
            </w:pPr>
            <w:r>
              <w:rPr>
                <w:sz w:val="18"/>
                <w:szCs w:val="18"/>
              </w:rPr>
              <w:t>Plataforma Moodle UMSA y plataformas virtuales sincrónicas y asincrónicas.</w:t>
            </w:r>
          </w:p>
          <w:p w14:paraId="4EE4DAF9" w14:textId="77777777" w:rsidR="00990B14" w:rsidRDefault="00000000">
            <w:pPr>
              <w:numPr>
                <w:ilvl w:val="0"/>
                <w:numId w:val="140"/>
              </w:numPr>
              <w:spacing w:before="10" w:after="10"/>
              <w:jc w:val="both"/>
            </w:pPr>
            <w:r>
              <w:rPr>
                <w:sz w:val="18"/>
                <w:szCs w:val="18"/>
              </w:rPr>
              <w:t>Guías de ejercicios y casos elaborados por la cátedra.</w:t>
            </w:r>
          </w:p>
          <w:p w14:paraId="3CB16A4F" w14:textId="77777777" w:rsidR="00990B14" w:rsidRDefault="00000000">
            <w:pPr>
              <w:numPr>
                <w:ilvl w:val="0"/>
                <w:numId w:val="140"/>
              </w:numPr>
              <w:spacing w:before="10" w:after="10"/>
              <w:jc w:val="both"/>
            </w:pPr>
            <w:r>
              <w:rPr>
                <w:sz w:val="18"/>
                <w:szCs w:val="18"/>
              </w:rPr>
              <w:t>Organigramas y manuales administrativos de organizaciones como material de referencia. Bibliografía especializada en administración.</w:t>
            </w:r>
          </w:p>
          <w:p w14:paraId="7D482918" w14:textId="77777777" w:rsidR="00990B14" w:rsidRDefault="00000000">
            <w:pPr>
              <w:numPr>
                <w:ilvl w:val="0"/>
                <w:numId w:val="140"/>
              </w:numPr>
              <w:spacing w:before="10" w:after="10"/>
              <w:jc w:val="both"/>
            </w:pPr>
            <w:r>
              <w:rPr>
                <w:sz w:val="18"/>
                <w:szCs w:val="18"/>
              </w:rPr>
              <w:t>Formatos de diagnóstico y de planes para el trabajo en aula.</w:t>
            </w:r>
          </w:p>
          <w:p w14:paraId="545D7A19" w14:textId="77777777" w:rsidR="00990B14" w:rsidRDefault="00000000">
            <w:pPr>
              <w:numPr>
                <w:ilvl w:val="0"/>
                <w:numId w:val="140"/>
              </w:numPr>
              <w:spacing w:before="10" w:after="10"/>
              <w:jc w:val="both"/>
            </w:pPr>
            <w:r>
              <w:rPr>
                <w:sz w:val="18"/>
                <w:szCs w:val="18"/>
              </w:rPr>
              <w:t>Hojas de cálculo para el seguimiento de indicadores de gestión.</w:t>
            </w:r>
          </w:p>
          <w:p w14:paraId="2121FF01" w14:textId="77777777" w:rsidR="00990B14" w:rsidRDefault="00000000">
            <w:pPr>
              <w:numPr>
                <w:ilvl w:val="0"/>
                <w:numId w:val="140"/>
              </w:numPr>
              <w:spacing w:before="10" w:after="10"/>
              <w:jc w:val="both"/>
            </w:pPr>
            <w:r>
              <w:rPr>
                <w:sz w:val="18"/>
                <w:szCs w:val="18"/>
              </w:rPr>
              <w:t>Páginas de internet especializadas en administración y planificación estratégica.</w:t>
            </w:r>
          </w:p>
        </w:tc>
      </w:tr>
      <w:tr w:rsidR="00990B14" w14:paraId="6D57E2AF" w14:textId="77777777">
        <w:trPr>
          <w:jc w:val="center"/>
        </w:trPr>
        <w:tc>
          <w:tcPr>
            <w:tcW w:w="1490" w:type="dxa"/>
            <w:shd w:val="clear" w:color="auto" w:fill="4472C4"/>
            <w:vAlign w:val="center"/>
          </w:tcPr>
          <w:p w14:paraId="37B116DF" w14:textId="77777777" w:rsidR="00990B14" w:rsidRDefault="00000000">
            <w:pPr>
              <w:spacing w:before="20" w:after="20"/>
              <w:jc w:val="center"/>
            </w:pPr>
            <w:r>
              <w:rPr>
                <w:b/>
                <w:bCs/>
                <w:i/>
                <w:iCs/>
                <w:color w:val="FFFFFF"/>
                <w:sz w:val="18"/>
                <w:szCs w:val="18"/>
              </w:rPr>
              <w:t>Estrategias de evaluación</w:t>
            </w:r>
          </w:p>
        </w:tc>
        <w:tc>
          <w:tcPr>
            <w:tcW w:w="7915" w:type="dxa"/>
            <w:gridSpan w:val="4"/>
            <w:shd w:val="clear" w:color="auto" w:fill="D9E2F3"/>
            <w:vAlign w:val="center"/>
          </w:tcPr>
          <w:p w14:paraId="1FC7288E" w14:textId="77777777" w:rsidR="00990B14" w:rsidRDefault="00000000">
            <w:pPr>
              <w:numPr>
                <w:ilvl w:val="0"/>
                <w:numId w:val="140"/>
              </w:numPr>
              <w:spacing w:before="10" w:after="10"/>
              <w:jc w:val="both"/>
            </w:pPr>
            <w:r>
              <w:rPr>
                <w:b/>
                <w:bCs/>
                <w:sz w:val="18"/>
                <w:szCs w:val="18"/>
              </w:rPr>
              <w:t>Evaluación diagnóstica:</w:t>
            </w:r>
            <w:r>
              <w:rPr>
                <w:sz w:val="18"/>
                <w:szCs w:val="18"/>
              </w:rPr>
              <w:t xml:space="preserve"> prueba inicial sobre nociones generales de administración.</w:t>
            </w:r>
          </w:p>
          <w:p w14:paraId="366B8443" w14:textId="77777777" w:rsidR="00990B14" w:rsidRDefault="00000000">
            <w:pPr>
              <w:numPr>
                <w:ilvl w:val="0"/>
                <w:numId w:val="140"/>
              </w:numPr>
              <w:spacing w:before="10" w:after="10"/>
              <w:jc w:val="both"/>
            </w:pPr>
            <w:r>
              <w:rPr>
                <w:b/>
                <w:bCs/>
                <w:sz w:val="18"/>
                <w:szCs w:val="18"/>
              </w:rPr>
              <w:t>Evaluación formativa:</w:t>
            </w:r>
            <w:r>
              <w:rPr>
                <w:sz w:val="18"/>
                <w:szCs w:val="18"/>
              </w:rPr>
              <w:t xml:space="preserve"> preguntas de comprensión y desarrollo de casos prácticos en el aula, con retroalimentación continua.</w:t>
            </w:r>
          </w:p>
          <w:p w14:paraId="55BDCC6A" w14:textId="77777777" w:rsidR="00990B14" w:rsidRDefault="00000000">
            <w:pPr>
              <w:numPr>
                <w:ilvl w:val="0"/>
                <w:numId w:val="140"/>
              </w:numPr>
              <w:spacing w:before="10" w:after="10"/>
              <w:jc w:val="both"/>
            </w:pPr>
            <w:r>
              <w:rPr>
                <w:b/>
                <w:bCs/>
                <w:sz w:val="18"/>
                <w:szCs w:val="18"/>
              </w:rPr>
              <w:t>Evaluación sumativa:</w:t>
            </w:r>
            <w:r>
              <w:rPr>
                <w:sz w:val="18"/>
                <w:szCs w:val="18"/>
              </w:rPr>
              <w:t xml:space="preserve"> controles de lectura, ensayos y asistencia, evaluación de casos prácticos, trabajos de investigación y desarrollo, exámenes parciales y examen final.</w:t>
            </w:r>
          </w:p>
        </w:tc>
      </w:tr>
      <w:tr w:rsidR="00990B14" w14:paraId="48087912" w14:textId="77777777">
        <w:trPr>
          <w:jc w:val="center"/>
        </w:trPr>
        <w:tc>
          <w:tcPr>
            <w:tcW w:w="1490" w:type="dxa"/>
            <w:shd w:val="clear" w:color="auto" w:fill="4472C4"/>
            <w:vAlign w:val="center"/>
          </w:tcPr>
          <w:p w14:paraId="5FA04E28" w14:textId="77777777" w:rsidR="00990B14" w:rsidRDefault="00000000">
            <w:pPr>
              <w:spacing w:before="20" w:after="20"/>
              <w:jc w:val="center"/>
            </w:pPr>
            <w:r>
              <w:rPr>
                <w:b/>
                <w:bCs/>
                <w:i/>
                <w:iCs/>
                <w:color w:val="FFFFFF"/>
                <w:sz w:val="18"/>
                <w:szCs w:val="18"/>
              </w:rPr>
              <w:t>Criterios de calificación</w:t>
            </w:r>
          </w:p>
        </w:tc>
        <w:tc>
          <w:tcPr>
            <w:tcW w:w="7915" w:type="dxa"/>
            <w:gridSpan w:val="4"/>
            <w:shd w:val="clear" w:color="auto" w:fill="D9E2F3"/>
            <w:vAlign w:val="center"/>
          </w:tcPr>
          <w:p w14:paraId="23E334AB" w14:textId="77777777" w:rsidR="00990B14" w:rsidRDefault="00000000">
            <w:pPr>
              <w:numPr>
                <w:ilvl w:val="0"/>
                <w:numId w:val="140"/>
              </w:numPr>
              <w:spacing w:before="10" w:after="10"/>
              <w:jc w:val="both"/>
            </w:pPr>
            <w:r>
              <w:rPr>
                <w:sz w:val="18"/>
                <w:szCs w:val="18"/>
              </w:rPr>
              <w:t>Nota mínima de aprobación: 51/100.</w:t>
            </w:r>
          </w:p>
          <w:p w14:paraId="5E683952" w14:textId="77777777" w:rsidR="00990B14" w:rsidRDefault="00000000">
            <w:pPr>
              <w:numPr>
                <w:ilvl w:val="0"/>
                <w:numId w:val="140"/>
              </w:numPr>
              <w:spacing w:before="10" w:after="10"/>
              <w:jc w:val="both"/>
            </w:pPr>
            <w:r>
              <w:rPr>
                <w:sz w:val="18"/>
                <w:szCs w:val="18"/>
              </w:rPr>
              <w:t>Evaluación periódica al finalizar cada tema, basada en evidencias de conocimiento, desempeño y producto.</w:t>
            </w:r>
          </w:p>
          <w:p w14:paraId="5F6BD747" w14:textId="77777777" w:rsidR="00990B14" w:rsidRDefault="00000000">
            <w:pPr>
              <w:numPr>
                <w:ilvl w:val="0"/>
                <w:numId w:val="140"/>
              </w:numPr>
              <w:spacing w:before="10" w:after="10"/>
              <w:jc w:val="both"/>
            </w:pPr>
            <w:r>
              <w:rPr>
                <w:sz w:val="18"/>
                <w:szCs w:val="18"/>
              </w:rPr>
              <w:t>Cada evidencia de producto se evalúa con su propia rúbrica de tres niveles: Insuficiente, Suficiente y Destacado.</w:t>
            </w:r>
          </w:p>
          <w:p w14:paraId="472EAC7D" w14:textId="77777777" w:rsidR="00990B14" w:rsidRDefault="00000000">
            <w:pPr>
              <w:numPr>
                <w:ilvl w:val="0"/>
                <w:numId w:val="140"/>
              </w:numPr>
              <w:spacing w:before="10" w:after="10"/>
              <w:jc w:val="both"/>
            </w:pPr>
            <w:r>
              <w:rPr>
                <w:sz w:val="18"/>
                <w:szCs w:val="18"/>
              </w:rPr>
              <w:t>Los exámenes parciales y el examen final evalúan las evidencias de conocimiento de cada elemento de competencia; su resultado se incorpora a la calificación de las evidencias de producto del elemento correspondiente y no tiene ponderación aparte.</w:t>
            </w:r>
          </w:p>
          <w:p w14:paraId="649C0E40" w14:textId="77777777" w:rsidR="00990B14" w:rsidRDefault="00000000">
            <w:pPr>
              <w:numPr>
                <w:ilvl w:val="0"/>
                <w:numId w:val="140"/>
              </w:numPr>
              <w:spacing w:before="10" w:after="10"/>
              <w:jc w:val="both"/>
            </w:pPr>
            <w:r>
              <w:rPr>
                <w:sz w:val="18"/>
                <w:szCs w:val="18"/>
              </w:rPr>
              <w:lastRenderedPageBreak/>
              <w:t>La calificación de cada elemento de competencia suma las calificaciones de sus evidencias de producto.</w:t>
            </w:r>
          </w:p>
          <w:p w14:paraId="51DB9B18" w14:textId="77777777" w:rsidR="00990B14" w:rsidRDefault="00000000">
            <w:pPr>
              <w:numPr>
                <w:ilvl w:val="0"/>
                <w:numId w:val="140"/>
              </w:numPr>
              <w:spacing w:before="10" w:after="10"/>
              <w:jc w:val="both"/>
            </w:pPr>
            <w:r>
              <w:rPr>
                <w:sz w:val="18"/>
                <w:szCs w:val="18"/>
              </w:rPr>
              <w:t>En cada producto, los tres criterios de la rúbrica tienen igual peso.</w:t>
            </w:r>
          </w:p>
          <w:p w14:paraId="70D9CC7F" w14:textId="77777777" w:rsidR="00990B14" w:rsidRDefault="00000000">
            <w:pPr>
              <w:numPr>
                <w:ilvl w:val="0"/>
                <w:numId w:val="140"/>
              </w:numPr>
              <w:spacing w:before="10" w:after="10"/>
              <w:jc w:val="both"/>
            </w:pPr>
            <w:r>
              <w:rPr>
                <w:sz w:val="18"/>
                <w:szCs w:val="18"/>
              </w:rPr>
              <w:t>La nota ponderada del producto se obtiene multiplicando la calificación sobre 100 por su porcentaje y dividiendo entre 100.</w:t>
            </w:r>
          </w:p>
          <w:p w14:paraId="6E8709BD" w14:textId="77777777" w:rsidR="00990B14" w:rsidRDefault="00000000">
            <w:pPr>
              <w:numPr>
                <w:ilvl w:val="0"/>
                <w:numId w:val="140"/>
              </w:numPr>
              <w:spacing w:before="10" w:after="10"/>
              <w:jc w:val="both"/>
            </w:pPr>
            <w:r>
              <w:rPr>
                <w:sz w:val="18"/>
                <w:szCs w:val="18"/>
              </w:rPr>
              <w:t>Si no se presenta una evidencia, su calificación es 0.</w:t>
            </w:r>
          </w:p>
          <w:p w14:paraId="4D8D7D30" w14:textId="77777777" w:rsidR="00990B14" w:rsidRDefault="00000000">
            <w:pPr>
              <w:numPr>
                <w:ilvl w:val="0"/>
                <w:numId w:val="140"/>
              </w:numPr>
              <w:spacing w:before="10" w:after="10"/>
              <w:jc w:val="both"/>
            </w:pPr>
            <w:r>
              <w:rPr>
                <w:sz w:val="18"/>
                <w:szCs w:val="18"/>
              </w:rPr>
              <w:t>Los niveles de logro son acumulativos: Destacado presupone los requisitos de Suficiente.</w:t>
            </w:r>
          </w:p>
        </w:tc>
      </w:tr>
      <w:tr w:rsidR="00990B14" w14:paraId="5299A547" w14:textId="77777777">
        <w:trPr>
          <w:cantSplit/>
          <w:jc w:val="center"/>
        </w:trPr>
        <w:tc>
          <w:tcPr>
            <w:tcW w:w="1490" w:type="dxa"/>
            <w:vMerge w:val="restart"/>
            <w:shd w:val="clear" w:color="auto" w:fill="4472C4"/>
            <w:vAlign w:val="center"/>
          </w:tcPr>
          <w:p w14:paraId="08199131" w14:textId="77777777" w:rsidR="00990B14" w:rsidRDefault="00000000">
            <w:pPr>
              <w:spacing w:before="20" w:after="20"/>
              <w:jc w:val="center"/>
            </w:pPr>
            <w:r>
              <w:rPr>
                <w:b/>
                <w:bCs/>
                <w:i/>
                <w:iCs/>
                <w:color w:val="FFFFFF"/>
                <w:sz w:val="18"/>
                <w:szCs w:val="18"/>
              </w:rPr>
              <w:lastRenderedPageBreak/>
              <w:t>Niveles de logro y distribución de la calificación</w:t>
            </w:r>
          </w:p>
        </w:tc>
        <w:tc>
          <w:tcPr>
            <w:tcW w:w="6038" w:type="dxa"/>
            <w:gridSpan w:val="3"/>
            <w:shd w:val="clear" w:color="auto" w:fill="D9E2F3"/>
            <w:vAlign w:val="center"/>
          </w:tcPr>
          <w:p w14:paraId="57E3BC9F" w14:textId="77777777" w:rsidR="00990B14" w:rsidRDefault="00000000">
            <w:pPr>
              <w:keepNext/>
              <w:spacing w:before="20" w:after="20"/>
              <w:jc w:val="both"/>
            </w:pPr>
            <w:r>
              <w:rPr>
                <w:b/>
                <w:bCs/>
                <w:i/>
                <w:iCs/>
                <w:sz w:val="18"/>
                <w:szCs w:val="18"/>
              </w:rPr>
              <w:t xml:space="preserve">Producto 1: </w:t>
            </w:r>
            <w:r>
              <w:rPr>
                <w:sz w:val="18"/>
                <w:szCs w:val="18"/>
              </w:rPr>
              <w:t>Matriz analítica comparativa</w:t>
            </w:r>
          </w:p>
        </w:tc>
        <w:tc>
          <w:tcPr>
            <w:tcW w:w="1877" w:type="dxa"/>
            <w:shd w:val="clear" w:color="auto" w:fill="D9E2F3"/>
            <w:vAlign w:val="center"/>
          </w:tcPr>
          <w:p w14:paraId="56C805F6" w14:textId="77777777" w:rsidR="00990B14" w:rsidRDefault="00000000">
            <w:pPr>
              <w:spacing w:before="20" w:after="20"/>
              <w:jc w:val="center"/>
            </w:pPr>
            <w:r>
              <w:rPr>
                <w:b/>
                <w:bCs/>
                <w:sz w:val="18"/>
                <w:szCs w:val="18"/>
              </w:rPr>
              <w:t>9%</w:t>
            </w:r>
          </w:p>
        </w:tc>
      </w:tr>
      <w:tr w:rsidR="00990B14" w14:paraId="09C4F1A2" w14:textId="77777777">
        <w:trPr>
          <w:cantSplit/>
          <w:jc w:val="center"/>
        </w:trPr>
        <w:tc>
          <w:tcPr>
            <w:tcW w:w="1490" w:type="dxa"/>
            <w:vMerge/>
            <w:shd w:val="clear" w:color="auto" w:fill="4472C4"/>
            <w:vAlign w:val="center"/>
          </w:tcPr>
          <w:p w14:paraId="6B6678BF" w14:textId="77777777" w:rsidR="00990B14" w:rsidRDefault="00990B14">
            <w:pPr>
              <w:spacing w:before="20" w:after="20"/>
            </w:pPr>
          </w:p>
        </w:tc>
        <w:tc>
          <w:tcPr>
            <w:tcW w:w="1805" w:type="dxa"/>
            <w:shd w:val="clear" w:color="auto" w:fill="4472C4"/>
            <w:vAlign w:val="center"/>
          </w:tcPr>
          <w:p w14:paraId="55331D10"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24EEDB63" w14:textId="77777777" w:rsidR="00990B14" w:rsidRDefault="00000000">
            <w:pPr>
              <w:keepNext/>
              <w:spacing w:before="20" w:after="20"/>
              <w:jc w:val="center"/>
            </w:pPr>
            <w:r>
              <w:rPr>
                <w:b/>
                <w:bCs/>
                <w:i/>
                <w:iCs/>
                <w:color w:val="FFFFFF"/>
                <w:sz w:val="18"/>
                <w:szCs w:val="18"/>
              </w:rPr>
              <w:t>Insuficiente (1–50)</w:t>
            </w:r>
          </w:p>
        </w:tc>
        <w:tc>
          <w:tcPr>
            <w:tcW w:w="2323" w:type="dxa"/>
            <w:shd w:val="clear" w:color="auto" w:fill="4472C4"/>
            <w:vAlign w:val="center"/>
          </w:tcPr>
          <w:p w14:paraId="7A632001"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47CFCBA9" w14:textId="77777777" w:rsidR="00990B14" w:rsidRDefault="00000000">
            <w:pPr>
              <w:keepNext/>
              <w:spacing w:before="20" w:after="20"/>
              <w:jc w:val="center"/>
            </w:pPr>
            <w:r>
              <w:rPr>
                <w:b/>
                <w:bCs/>
                <w:i/>
                <w:iCs/>
                <w:color w:val="FFFFFF"/>
                <w:sz w:val="18"/>
                <w:szCs w:val="18"/>
              </w:rPr>
              <w:t>Destacado (81–100)</w:t>
            </w:r>
          </w:p>
        </w:tc>
      </w:tr>
      <w:tr w:rsidR="00990B14" w14:paraId="4900E560" w14:textId="77777777">
        <w:trPr>
          <w:cantSplit/>
          <w:jc w:val="center"/>
        </w:trPr>
        <w:tc>
          <w:tcPr>
            <w:tcW w:w="1490" w:type="dxa"/>
            <w:vMerge/>
            <w:shd w:val="clear" w:color="auto" w:fill="4472C4"/>
            <w:vAlign w:val="center"/>
          </w:tcPr>
          <w:p w14:paraId="63768228" w14:textId="77777777" w:rsidR="00990B14" w:rsidRDefault="00990B14">
            <w:pPr>
              <w:spacing w:before="20" w:after="20"/>
            </w:pPr>
          </w:p>
        </w:tc>
        <w:tc>
          <w:tcPr>
            <w:tcW w:w="1805" w:type="dxa"/>
            <w:shd w:val="clear" w:color="auto" w:fill="D9E2F3"/>
            <w:vAlign w:val="center"/>
          </w:tcPr>
          <w:p w14:paraId="546C1C1C" w14:textId="77777777" w:rsidR="00990B14" w:rsidRDefault="00000000">
            <w:pPr>
              <w:spacing w:before="20" w:after="20"/>
              <w:jc w:val="both"/>
            </w:pPr>
            <w:r>
              <w:rPr>
                <w:sz w:val="18"/>
                <w:szCs w:val="18"/>
              </w:rPr>
              <w:t>Identificación de enfoques</w:t>
            </w:r>
          </w:p>
        </w:tc>
        <w:tc>
          <w:tcPr>
            <w:tcW w:w="1910" w:type="dxa"/>
            <w:shd w:val="clear" w:color="auto" w:fill="D9E2F3"/>
            <w:vAlign w:val="center"/>
          </w:tcPr>
          <w:p w14:paraId="527F475F" w14:textId="77777777" w:rsidR="00990B14" w:rsidRDefault="00000000">
            <w:pPr>
              <w:spacing w:before="20" w:after="20"/>
              <w:jc w:val="both"/>
            </w:pPr>
            <w:r>
              <w:rPr>
                <w:sz w:val="18"/>
                <w:szCs w:val="18"/>
              </w:rPr>
              <w:t>Omite escuelas, autores o conceptos esenciales; presenta confusiones.</w:t>
            </w:r>
          </w:p>
        </w:tc>
        <w:tc>
          <w:tcPr>
            <w:tcW w:w="2323" w:type="dxa"/>
            <w:shd w:val="clear" w:color="auto" w:fill="D9E2F3"/>
            <w:vAlign w:val="center"/>
          </w:tcPr>
          <w:p w14:paraId="77E1E23F" w14:textId="77777777" w:rsidR="00990B14" w:rsidRDefault="00000000">
            <w:pPr>
              <w:spacing w:before="20" w:after="20"/>
              <w:jc w:val="both"/>
            </w:pPr>
            <w:r>
              <w:rPr>
                <w:sz w:val="18"/>
                <w:szCs w:val="18"/>
              </w:rPr>
              <w:t>Identifica los enfoques clásico, humanístico, sistémico y contemporáneo, sus autores y postulados.</w:t>
            </w:r>
          </w:p>
        </w:tc>
        <w:tc>
          <w:tcPr>
            <w:tcW w:w="1877" w:type="dxa"/>
            <w:shd w:val="clear" w:color="auto" w:fill="D9E2F3"/>
            <w:vAlign w:val="center"/>
          </w:tcPr>
          <w:p w14:paraId="2FB189D1" w14:textId="77777777" w:rsidR="00990B14" w:rsidRDefault="00000000">
            <w:pPr>
              <w:spacing w:before="20" w:after="20"/>
              <w:jc w:val="both"/>
            </w:pPr>
            <w:r>
              <w:rPr>
                <w:sz w:val="18"/>
                <w:szCs w:val="18"/>
              </w:rPr>
              <w:t>Distingue con precisión los enfoques y contextualiza sus aportes y evolución histórica.</w:t>
            </w:r>
          </w:p>
        </w:tc>
      </w:tr>
      <w:tr w:rsidR="00990B14" w14:paraId="420BB3E9" w14:textId="77777777">
        <w:trPr>
          <w:cantSplit/>
          <w:jc w:val="center"/>
        </w:trPr>
        <w:tc>
          <w:tcPr>
            <w:tcW w:w="1490" w:type="dxa"/>
            <w:vMerge/>
            <w:shd w:val="clear" w:color="auto" w:fill="4472C4"/>
            <w:vAlign w:val="center"/>
          </w:tcPr>
          <w:p w14:paraId="426C7488" w14:textId="77777777" w:rsidR="00990B14" w:rsidRDefault="00990B14">
            <w:pPr>
              <w:spacing w:before="20" w:after="20"/>
            </w:pPr>
          </w:p>
        </w:tc>
        <w:tc>
          <w:tcPr>
            <w:tcW w:w="1805" w:type="dxa"/>
            <w:shd w:val="clear" w:color="auto" w:fill="D9E2F3"/>
            <w:vAlign w:val="center"/>
          </w:tcPr>
          <w:p w14:paraId="55BF6B62" w14:textId="77777777" w:rsidR="00990B14" w:rsidRDefault="00000000">
            <w:pPr>
              <w:spacing w:before="20" w:after="20"/>
              <w:jc w:val="both"/>
            </w:pPr>
            <w:r>
              <w:rPr>
                <w:sz w:val="18"/>
                <w:szCs w:val="18"/>
              </w:rPr>
              <w:t>Comparación de postulados</w:t>
            </w:r>
          </w:p>
        </w:tc>
        <w:tc>
          <w:tcPr>
            <w:tcW w:w="1910" w:type="dxa"/>
            <w:shd w:val="clear" w:color="auto" w:fill="D9E2F3"/>
            <w:vAlign w:val="center"/>
          </w:tcPr>
          <w:p w14:paraId="2B87709C" w14:textId="77777777" w:rsidR="00990B14" w:rsidRDefault="00000000">
            <w:pPr>
              <w:spacing w:before="20" w:after="20"/>
              <w:jc w:val="both"/>
            </w:pPr>
            <w:r>
              <w:rPr>
                <w:sz w:val="18"/>
                <w:szCs w:val="18"/>
              </w:rPr>
              <w:t>Enumera teorías sin contrastar sus aportes, ventajas ni limitaciones.</w:t>
            </w:r>
          </w:p>
        </w:tc>
        <w:tc>
          <w:tcPr>
            <w:tcW w:w="2323" w:type="dxa"/>
            <w:shd w:val="clear" w:color="auto" w:fill="D9E2F3"/>
            <w:vAlign w:val="center"/>
          </w:tcPr>
          <w:p w14:paraId="05F7DAA1" w14:textId="77777777" w:rsidR="00990B14" w:rsidRDefault="00000000">
            <w:pPr>
              <w:spacing w:before="20" w:after="20"/>
              <w:jc w:val="both"/>
            </w:pPr>
            <w:r>
              <w:rPr>
                <w:sz w:val="18"/>
                <w:szCs w:val="18"/>
              </w:rPr>
              <w:t>Compara postulados, ventajas, limitaciones y vigencia con criterios definidos.</w:t>
            </w:r>
          </w:p>
        </w:tc>
        <w:tc>
          <w:tcPr>
            <w:tcW w:w="1877" w:type="dxa"/>
            <w:shd w:val="clear" w:color="auto" w:fill="D9E2F3"/>
            <w:vAlign w:val="center"/>
          </w:tcPr>
          <w:p w14:paraId="108B10AF" w14:textId="77777777" w:rsidR="00990B14" w:rsidRDefault="00000000">
            <w:pPr>
              <w:spacing w:before="20" w:after="20"/>
              <w:jc w:val="both"/>
            </w:pPr>
            <w:r>
              <w:rPr>
                <w:sz w:val="18"/>
                <w:szCs w:val="18"/>
              </w:rPr>
              <w:t>Explica qué enfoques resultan más pertinentes a problemas organizacionales actuales y lo fundamenta.</w:t>
            </w:r>
          </w:p>
        </w:tc>
      </w:tr>
      <w:tr w:rsidR="00990B14" w14:paraId="14707BAD" w14:textId="77777777">
        <w:trPr>
          <w:cantSplit/>
          <w:jc w:val="center"/>
        </w:trPr>
        <w:tc>
          <w:tcPr>
            <w:tcW w:w="1490" w:type="dxa"/>
            <w:vMerge/>
            <w:shd w:val="clear" w:color="auto" w:fill="4472C4"/>
            <w:vAlign w:val="center"/>
          </w:tcPr>
          <w:p w14:paraId="5601BD2C" w14:textId="77777777" w:rsidR="00990B14" w:rsidRDefault="00990B14">
            <w:pPr>
              <w:spacing w:before="20" w:after="20"/>
            </w:pPr>
          </w:p>
        </w:tc>
        <w:tc>
          <w:tcPr>
            <w:tcW w:w="1805" w:type="dxa"/>
            <w:shd w:val="clear" w:color="auto" w:fill="D9E2F3"/>
            <w:vAlign w:val="center"/>
          </w:tcPr>
          <w:p w14:paraId="1BC31E6C" w14:textId="77777777" w:rsidR="00990B14" w:rsidRDefault="00000000">
            <w:pPr>
              <w:spacing w:before="20" w:after="20"/>
              <w:jc w:val="both"/>
            </w:pPr>
            <w:r>
              <w:rPr>
                <w:sz w:val="18"/>
                <w:szCs w:val="18"/>
              </w:rPr>
              <w:t>Sustento y presentación</w:t>
            </w:r>
          </w:p>
        </w:tc>
        <w:tc>
          <w:tcPr>
            <w:tcW w:w="1910" w:type="dxa"/>
            <w:shd w:val="clear" w:color="auto" w:fill="D9E2F3"/>
            <w:vAlign w:val="center"/>
          </w:tcPr>
          <w:p w14:paraId="2772DC1E" w14:textId="77777777" w:rsidR="00990B14" w:rsidRDefault="00000000">
            <w:pPr>
              <w:spacing w:before="20" w:after="20"/>
              <w:jc w:val="both"/>
            </w:pPr>
            <w:r>
              <w:rPr>
                <w:sz w:val="18"/>
                <w:szCs w:val="18"/>
              </w:rPr>
              <w:t>La matriz es confusa, incompleta o carece de fuentes.</w:t>
            </w:r>
          </w:p>
        </w:tc>
        <w:tc>
          <w:tcPr>
            <w:tcW w:w="2323" w:type="dxa"/>
            <w:shd w:val="clear" w:color="auto" w:fill="D9E2F3"/>
            <w:vAlign w:val="center"/>
          </w:tcPr>
          <w:p w14:paraId="7C733E4A" w14:textId="77777777" w:rsidR="00990B14" w:rsidRDefault="00000000">
            <w:pPr>
              <w:spacing w:before="20" w:after="20"/>
              <w:jc w:val="both"/>
            </w:pPr>
            <w:r>
              <w:rPr>
                <w:sz w:val="18"/>
                <w:szCs w:val="18"/>
              </w:rPr>
              <w:t>Presenta una matriz ordenada, legible y con fuentes bibliográficas identificables.</w:t>
            </w:r>
          </w:p>
        </w:tc>
        <w:tc>
          <w:tcPr>
            <w:tcW w:w="1877" w:type="dxa"/>
            <w:shd w:val="clear" w:color="auto" w:fill="D9E2F3"/>
            <w:vAlign w:val="center"/>
          </w:tcPr>
          <w:p w14:paraId="6C29A374" w14:textId="77777777" w:rsidR="00990B14" w:rsidRDefault="00000000">
            <w:pPr>
              <w:spacing w:before="20" w:after="20"/>
              <w:jc w:val="both"/>
            </w:pPr>
            <w:r>
              <w:rPr>
                <w:sz w:val="18"/>
                <w:szCs w:val="18"/>
              </w:rPr>
              <w:t>Integra fuentes fiables y ejemplos de aplicación organizacional que respaldan sus conclusiones comparativas.</w:t>
            </w:r>
          </w:p>
        </w:tc>
      </w:tr>
      <w:tr w:rsidR="00990B14" w14:paraId="7773119E" w14:textId="77777777">
        <w:trPr>
          <w:cantSplit/>
          <w:jc w:val="center"/>
        </w:trPr>
        <w:tc>
          <w:tcPr>
            <w:tcW w:w="1490" w:type="dxa"/>
            <w:vMerge/>
            <w:shd w:val="clear" w:color="auto" w:fill="4472C4"/>
            <w:vAlign w:val="center"/>
          </w:tcPr>
          <w:p w14:paraId="3A4549EE" w14:textId="77777777" w:rsidR="00990B14" w:rsidRDefault="00990B14">
            <w:pPr>
              <w:spacing w:before="20" w:after="20"/>
            </w:pPr>
          </w:p>
        </w:tc>
        <w:tc>
          <w:tcPr>
            <w:tcW w:w="6038" w:type="dxa"/>
            <w:gridSpan w:val="3"/>
            <w:shd w:val="clear" w:color="auto" w:fill="D9E2F3"/>
            <w:vAlign w:val="center"/>
          </w:tcPr>
          <w:p w14:paraId="0F31FE24" w14:textId="77777777" w:rsidR="00990B14" w:rsidRDefault="00000000">
            <w:pPr>
              <w:keepNext/>
              <w:spacing w:before="20" w:after="20"/>
              <w:jc w:val="both"/>
            </w:pPr>
            <w:r>
              <w:rPr>
                <w:b/>
                <w:bCs/>
                <w:i/>
                <w:iCs/>
                <w:sz w:val="18"/>
                <w:szCs w:val="18"/>
              </w:rPr>
              <w:t xml:space="preserve">Producto 2: </w:t>
            </w:r>
            <w:r>
              <w:rPr>
                <w:sz w:val="18"/>
                <w:szCs w:val="18"/>
              </w:rPr>
              <w:t>Informe de tipificación y estructura organizacional</w:t>
            </w:r>
          </w:p>
        </w:tc>
        <w:tc>
          <w:tcPr>
            <w:tcW w:w="1877" w:type="dxa"/>
            <w:shd w:val="clear" w:color="auto" w:fill="D9E2F3"/>
            <w:vAlign w:val="center"/>
          </w:tcPr>
          <w:p w14:paraId="0BEF53EB" w14:textId="77777777" w:rsidR="00990B14" w:rsidRDefault="00000000">
            <w:pPr>
              <w:spacing w:before="20" w:after="20"/>
              <w:jc w:val="center"/>
            </w:pPr>
            <w:r>
              <w:rPr>
                <w:b/>
                <w:bCs/>
                <w:sz w:val="18"/>
                <w:szCs w:val="18"/>
              </w:rPr>
              <w:t>9%</w:t>
            </w:r>
          </w:p>
        </w:tc>
      </w:tr>
      <w:tr w:rsidR="00990B14" w14:paraId="1BAFAD58" w14:textId="77777777">
        <w:trPr>
          <w:cantSplit/>
          <w:jc w:val="center"/>
        </w:trPr>
        <w:tc>
          <w:tcPr>
            <w:tcW w:w="1490" w:type="dxa"/>
            <w:vMerge/>
            <w:shd w:val="clear" w:color="auto" w:fill="4472C4"/>
            <w:vAlign w:val="center"/>
          </w:tcPr>
          <w:p w14:paraId="1477E3E5" w14:textId="77777777" w:rsidR="00990B14" w:rsidRDefault="00990B14">
            <w:pPr>
              <w:spacing w:before="20" w:after="20"/>
            </w:pPr>
          </w:p>
        </w:tc>
        <w:tc>
          <w:tcPr>
            <w:tcW w:w="1805" w:type="dxa"/>
            <w:shd w:val="clear" w:color="auto" w:fill="4472C4"/>
            <w:vAlign w:val="center"/>
          </w:tcPr>
          <w:p w14:paraId="566E87A8"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69570C19" w14:textId="77777777" w:rsidR="00990B14" w:rsidRDefault="00000000">
            <w:pPr>
              <w:keepNext/>
              <w:spacing w:before="20" w:after="20"/>
              <w:jc w:val="center"/>
            </w:pPr>
            <w:r>
              <w:rPr>
                <w:b/>
                <w:bCs/>
                <w:i/>
                <w:iCs/>
                <w:color w:val="FFFFFF"/>
                <w:sz w:val="18"/>
                <w:szCs w:val="18"/>
              </w:rPr>
              <w:t>Insuficiente (1–50)</w:t>
            </w:r>
          </w:p>
        </w:tc>
        <w:tc>
          <w:tcPr>
            <w:tcW w:w="2323" w:type="dxa"/>
            <w:shd w:val="clear" w:color="auto" w:fill="4472C4"/>
            <w:vAlign w:val="center"/>
          </w:tcPr>
          <w:p w14:paraId="4B7813A4"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58965E62" w14:textId="77777777" w:rsidR="00990B14" w:rsidRDefault="00000000">
            <w:pPr>
              <w:keepNext/>
              <w:spacing w:before="20" w:after="20"/>
              <w:jc w:val="center"/>
            </w:pPr>
            <w:r>
              <w:rPr>
                <w:b/>
                <w:bCs/>
                <w:i/>
                <w:iCs/>
                <w:color w:val="FFFFFF"/>
                <w:sz w:val="18"/>
                <w:szCs w:val="18"/>
              </w:rPr>
              <w:t>Destacado (81–100)</w:t>
            </w:r>
          </w:p>
        </w:tc>
      </w:tr>
      <w:tr w:rsidR="00990B14" w14:paraId="59F6F61B" w14:textId="77777777">
        <w:trPr>
          <w:cantSplit/>
          <w:jc w:val="center"/>
        </w:trPr>
        <w:tc>
          <w:tcPr>
            <w:tcW w:w="1490" w:type="dxa"/>
            <w:vMerge/>
            <w:shd w:val="clear" w:color="auto" w:fill="4472C4"/>
            <w:vAlign w:val="center"/>
          </w:tcPr>
          <w:p w14:paraId="3D99D758" w14:textId="77777777" w:rsidR="00990B14" w:rsidRDefault="00990B14">
            <w:pPr>
              <w:spacing w:before="20" w:after="20"/>
            </w:pPr>
          </w:p>
        </w:tc>
        <w:tc>
          <w:tcPr>
            <w:tcW w:w="1805" w:type="dxa"/>
            <w:shd w:val="clear" w:color="auto" w:fill="D9E2F3"/>
            <w:vAlign w:val="center"/>
          </w:tcPr>
          <w:p w14:paraId="51E724A8" w14:textId="77777777" w:rsidR="00990B14" w:rsidRDefault="00000000">
            <w:pPr>
              <w:spacing w:before="20" w:after="20"/>
              <w:jc w:val="both"/>
            </w:pPr>
            <w:r>
              <w:rPr>
                <w:sz w:val="18"/>
                <w:szCs w:val="18"/>
              </w:rPr>
              <w:t>Tipificación organizacional</w:t>
            </w:r>
          </w:p>
        </w:tc>
        <w:tc>
          <w:tcPr>
            <w:tcW w:w="1910" w:type="dxa"/>
            <w:shd w:val="clear" w:color="auto" w:fill="D9E2F3"/>
            <w:vAlign w:val="center"/>
          </w:tcPr>
          <w:p w14:paraId="2B762B22" w14:textId="77777777" w:rsidR="00990B14" w:rsidRDefault="00000000">
            <w:pPr>
              <w:spacing w:before="20" w:after="20"/>
              <w:jc w:val="both"/>
            </w:pPr>
            <w:r>
              <w:rPr>
                <w:sz w:val="18"/>
                <w:szCs w:val="18"/>
              </w:rPr>
              <w:t>Confunde la naturaleza jurídica, el capital, el tamaño o la actividad.</w:t>
            </w:r>
          </w:p>
        </w:tc>
        <w:tc>
          <w:tcPr>
            <w:tcW w:w="2323" w:type="dxa"/>
            <w:shd w:val="clear" w:color="auto" w:fill="D9E2F3"/>
            <w:vAlign w:val="center"/>
          </w:tcPr>
          <w:p w14:paraId="6F61729E" w14:textId="77777777" w:rsidR="00990B14" w:rsidRDefault="00000000">
            <w:pPr>
              <w:spacing w:before="20" w:after="20"/>
              <w:jc w:val="both"/>
            </w:pPr>
            <w:r>
              <w:rPr>
                <w:sz w:val="18"/>
                <w:szCs w:val="18"/>
              </w:rPr>
              <w:t>Clasifica la organización por gestión pública/privada/mixta, capital, actividad, tamaño y forma jurídica.</w:t>
            </w:r>
          </w:p>
        </w:tc>
        <w:tc>
          <w:tcPr>
            <w:tcW w:w="1877" w:type="dxa"/>
            <w:shd w:val="clear" w:color="auto" w:fill="D9E2F3"/>
            <w:vAlign w:val="center"/>
          </w:tcPr>
          <w:p w14:paraId="08770B3E" w14:textId="77777777" w:rsidR="00990B14" w:rsidRDefault="00000000">
            <w:pPr>
              <w:spacing w:before="20" w:after="20"/>
              <w:jc w:val="both"/>
            </w:pPr>
            <w:r>
              <w:rPr>
                <w:sz w:val="18"/>
                <w:szCs w:val="18"/>
              </w:rPr>
              <w:t>Justifica cada clasificación con datos verificables y referencias pertinentes al caso boliviano.</w:t>
            </w:r>
          </w:p>
        </w:tc>
      </w:tr>
      <w:tr w:rsidR="00990B14" w14:paraId="499F6921" w14:textId="77777777">
        <w:trPr>
          <w:cantSplit/>
          <w:jc w:val="center"/>
        </w:trPr>
        <w:tc>
          <w:tcPr>
            <w:tcW w:w="1490" w:type="dxa"/>
            <w:vMerge/>
            <w:shd w:val="clear" w:color="auto" w:fill="4472C4"/>
            <w:vAlign w:val="center"/>
          </w:tcPr>
          <w:p w14:paraId="724C4691" w14:textId="77777777" w:rsidR="00990B14" w:rsidRDefault="00990B14">
            <w:pPr>
              <w:spacing w:before="20" w:after="20"/>
            </w:pPr>
          </w:p>
        </w:tc>
        <w:tc>
          <w:tcPr>
            <w:tcW w:w="1805" w:type="dxa"/>
            <w:shd w:val="clear" w:color="auto" w:fill="D9E2F3"/>
            <w:vAlign w:val="center"/>
          </w:tcPr>
          <w:p w14:paraId="733C23EE" w14:textId="77777777" w:rsidR="00990B14" w:rsidRDefault="00000000">
            <w:pPr>
              <w:spacing w:before="20" w:after="20"/>
              <w:jc w:val="both"/>
            </w:pPr>
            <w:r>
              <w:rPr>
                <w:sz w:val="18"/>
                <w:szCs w:val="18"/>
              </w:rPr>
              <w:t>Estructura y gestión</w:t>
            </w:r>
          </w:p>
        </w:tc>
        <w:tc>
          <w:tcPr>
            <w:tcW w:w="1910" w:type="dxa"/>
            <w:shd w:val="clear" w:color="auto" w:fill="D9E2F3"/>
            <w:vAlign w:val="center"/>
          </w:tcPr>
          <w:p w14:paraId="653B5A05" w14:textId="77777777" w:rsidR="00990B14" w:rsidRDefault="00000000">
            <w:pPr>
              <w:spacing w:before="20" w:after="20"/>
              <w:jc w:val="both"/>
            </w:pPr>
            <w:r>
              <w:rPr>
                <w:sz w:val="18"/>
                <w:szCs w:val="18"/>
              </w:rPr>
              <w:t>No caracteriza las áreas, funciones ni la estructura organizacional.</w:t>
            </w:r>
          </w:p>
        </w:tc>
        <w:tc>
          <w:tcPr>
            <w:tcW w:w="2323" w:type="dxa"/>
            <w:shd w:val="clear" w:color="auto" w:fill="D9E2F3"/>
            <w:vAlign w:val="center"/>
          </w:tcPr>
          <w:p w14:paraId="30F955B2" w14:textId="77777777" w:rsidR="00990B14" w:rsidRDefault="00000000">
            <w:pPr>
              <w:spacing w:before="20" w:after="20"/>
              <w:jc w:val="both"/>
            </w:pPr>
            <w:r>
              <w:rPr>
                <w:sz w:val="18"/>
                <w:szCs w:val="18"/>
              </w:rPr>
              <w:t>Describe la estructura, áreas funcionales y forma de gestión según el sector organizacional.</w:t>
            </w:r>
          </w:p>
        </w:tc>
        <w:tc>
          <w:tcPr>
            <w:tcW w:w="1877" w:type="dxa"/>
            <w:shd w:val="clear" w:color="auto" w:fill="D9E2F3"/>
            <w:vAlign w:val="center"/>
          </w:tcPr>
          <w:p w14:paraId="68596C5F" w14:textId="77777777" w:rsidR="00990B14" w:rsidRDefault="00000000">
            <w:pPr>
              <w:spacing w:before="20" w:after="20"/>
              <w:jc w:val="both"/>
            </w:pPr>
            <w:r>
              <w:rPr>
                <w:sz w:val="18"/>
                <w:szCs w:val="18"/>
              </w:rPr>
              <w:t>Analiza cómo el tamaño, sector y estructura condicionan responsabilidades y decisiones de gestión.</w:t>
            </w:r>
          </w:p>
        </w:tc>
      </w:tr>
      <w:tr w:rsidR="00990B14" w14:paraId="78B161FD" w14:textId="77777777">
        <w:trPr>
          <w:cantSplit/>
          <w:jc w:val="center"/>
        </w:trPr>
        <w:tc>
          <w:tcPr>
            <w:tcW w:w="1490" w:type="dxa"/>
            <w:vMerge/>
            <w:shd w:val="clear" w:color="auto" w:fill="4472C4"/>
            <w:vAlign w:val="center"/>
          </w:tcPr>
          <w:p w14:paraId="0390F10E" w14:textId="77777777" w:rsidR="00990B14" w:rsidRDefault="00990B14">
            <w:pPr>
              <w:spacing w:before="20" w:after="20"/>
            </w:pPr>
          </w:p>
        </w:tc>
        <w:tc>
          <w:tcPr>
            <w:tcW w:w="1805" w:type="dxa"/>
            <w:shd w:val="clear" w:color="auto" w:fill="D9E2F3"/>
            <w:vAlign w:val="center"/>
          </w:tcPr>
          <w:p w14:paraId="6A7C664C" w14:textId="77777777" w:rsidR="00990B14" w:rsidRDefault="00000000">
            <w:pPr>
              <w:spacing w:before="20" w:after="20"/>
              <w:jc w:val="both"/>
            </w:pPr>
            <w:r>
              <w:rPr>
                <w:sz w:val="18"/>
                <w:szCs w:val="18"/>
              </w:rPr>
              <w:t>Análisis y respaldo normativo</w:t>
            </w:r>
          </w:p>
        </w:tc>
        <w:tc>
          <w:tcPr>
            <w:tcW w:w="1910" w:type="dxa"/>
            <w:shd w:val="clear" w:color="auto" w:fill="D9E2F3"/>
            <w:vAlign w:val="center"/>
          </w:tcPr>
          <w:p w14:paraId="416D6500" w14:textId="77777777" w:rsidR="00990B14" w:rsidRDefault="00000000">
            <w:pPr>
              <w:spacing w:before="20" w:after="20"/>
              <w:jc w:val="both"/>
            </w:pPr>
            <w:r>
              <w:rPr>
                <w:sz w:val="18"/>
                <w:szCs w:val="18"/>
              </w:rPr>
              <w:t>Presenta afirmaciones sin documentación o confunde normas aplicables.</w:t>
            </w:r>
          </w:p>
        </w:tc>
        <w:tc>
          <w:tcPr>
            <w:tcW w:w="2323" w:type="dxa"/>
            <w:shd w:val="clear" w:color="auto" w:fill="D9E2F3"/>
            <w:vAlign w:val="center"/>
          </w:tcPr>
          <w:p w14:paraId="1CC8805A" w14:textId="77777777" w:rsidR="00990B14" w:rsidRDefault="00000000">
            <w:pPr>
              <w:spacing w:before="20" w:after="20"/>
              <w:jc w:val="both"/>
            </w:pPr>
            <w:r>
              <w:rPr>
                <w:sz w:val="18"/>
                <w:szCs w:val="18"/>
              </w:rPr>
              <w:t>Sustenta la descripción con información verificable y normativa relevante para la organización.</w:t>
            </w:r>
          </w:p>
        </w:tc>
        <w:tc>
          <w:tcPr>
            <w:tcW w:w="1877" w:type="dxa"/>
            <w:shd w:val="clear" w:color="auto" w:fill="D9E2F3"/>
            <w:vAlign w:val="center"/>
          </w:tcPr>
          <w:p w14:paraId="52F0BDE2" w14:textId="77777777" w:rsidR="00990B14" w:rsidRDefault="00000000">
            <w:pPr>
              <w:spacing w:before="20" w:after="20"/>
              <w:jc w:val="both"/>
            </w:pPr>
            <w:r>
              <w:rPr>
                <w:sz w:val="18"/>
                <w:szCs w:val="18"/>
              </w:rPr>
              <w:t>Contrasta fuentes, identifica implicaciones del marco legal y formula conclusiones fundamentadas.</w:t>
            </w:r>
          </w:p>
        </w:tc>
      </w:tr>
      <w:tr w:rsidR="00990B14" w14:paraId="1291319F" w14:textId="77777777">
        <w:trPr>
          <w:cantSplit/>
          <w:jc w:val="center"/>
        </w:trPr>
        <w:tc>
          <w:tcPr>
            <w:tcW w:w="1490" w:type="dxa"/>
            <w:vMerge/>
            <w:shd w:val="clear" w:color="auto" w:fill="4472C4"/>
            <w:vAlign w:val="center"/>
          </w:tcPr>
          <w:p w14:paraId="48090D69" w14:textId="77777777" w:rsidR="00990B14" w:rsidRDefault="00990B14">
            <w:pPr>
              <w:spacing w:before="20" w:after="20"/>
            </w:pPr>
          </w:p>
        </w:tc>
        <w:tc>
          <w:tcPr>
            <w:tcW w:w="6038" w:type="dxa"/>
            <w:gridSpan w:val="3"/>
            <w:shd w:val="clear" w:color="auto" w:fill="D9E2F3"/>
            <w:vAlign w:val="center"/>
          </w:tcPr>
          <w:p w14:paraId="1E546191" w14:textId="77777777" w:rsidR="00990B14" w:rsidRDefault="00000000">
            <w:pPr>
              <w:keepNext/>
              <w:spacing w:before="20" w:after="20"/>
              <w:jc w:val="both"/>
            </w:pPr>
            <w:r>
              <w:rPr>
                <w:b/>
                <w:bCs/>
                <w:i/>
                <w:iCs/>
                <w:sz w:val="18"/>
                <w:szCs w:val="18"/>
              </w:rPr>
              <w:t xml:space="preserve">Producto 3: </w:t>
            </w:r>
            <w:r>
              <w:rPr>
                <w:sz w:val="18"/>
                <w:szCs w:val="18"/>
              </w:rPr>
              <w:t>Matriz de análisis del entorno global PESTEL</w:t>
            </w:r>
          </w:p>
        </w:tc>
        <w:tc>
          <w:tcPr>
            <w:tcW w:w="1877" w:type="dxa"/>
            <w:shd w:val="clear" w:color="auto" w:fill="D9E2F3"/>
            <w:vAlign w:val="center"/>
          </w:tcPr>
          <w:p w14:paraId="262FCB26" w14:textId="77777777" w:rsidR="00990B14" w:rsidRDefault="00000000">
            <w:pPr>
              <w:spacing w:before="20" w:after="20"/>
              <w:jc w:val="center"/>
            </w:pPr>
            <w:r>
              <w:rPr>
                <w:b/>
                <w:bCs/>
                <w:sz w:val="18"/>
                <w:szCs w:val="18"/>
              </w:rPr>
              <w:t>9%</w:t>
            </w:r>
          </w:p>
        </w:tc>
      </w:tr>
      <w:tr w:rsidR="00990B14" w14:paraId="374FAEC5" w14:textId="77777777">
        <w:trPr>
          <w:cantSplit/>
          <w:jc w:val="center"/>
        </w:trPr>
        <w:tc>
          <w:tcPr>
            <w:tcW w:w="1490" w:type="dxa"/>
            <w:vMerge/>
            <w:shd w:val="clear" w:color="auto" w:fill="4472C4"/>
            <w:vAlign w:val="center"/>
          </w:tcPr>
          <w:p w14:paraId="672958CE" w14:textId="77777777" w:rsidR="00990B14" w:rsidRDefault="00990B14">
            <w:pPr>
              <w:spacing w:before="20" w:after="20"/>
            </w:pPr>
          </w:p>
        </w:tc>
        <w:tc>
          <w:tcPr>
            <w:tcW w:w="1805" w:type="dxa"/>
            <w:shd w:val="clear" w:color="auto" w:fill="4472C4"/>
            <w:vAlign w:val="center"/>
          </w:tcPr>
          <w:p w14:paraId="3840D1F2"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29C2F51A" w14:textId="77777777" w:rsidR="00990B14" w:rsidRDefault="00000000">
            <w:pPr>
              <w:keepNext/>
              <w:spacing w:before="20" w:after="20"/>
              <w:jc w:val="center"/>
            </w:pPr>
            <w:r>
              <w:rPr>
                <w:b/>
                <w:bCs/>
                <w:i/>
                <w:iCs/>
                <w:color w:val="FFFFFF"/>
                <w:sz w:val="18"/>
                <w:szCs w:val="18"/>
              </w:rPr>
              <w:t>Insuficiente (1–50)</w:t>
            </w:r>
          </w:p>
        </w:tc>
        <w:tc>
          <w:tcPr>
            <w:tcW w:w="2323" w:type="dxa"/>
            <w:shd w:val="clear" w:color="auto" w:fill="4472C4"/>
            <w:vAlign w:val="center"/>
          </w:tcPr>
          <w:p w14:paraId="3741A529"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6C69F101" w14:textId="77777777" w:rsidR="00990B14" w:rsidRDefault="00000000">
            <w:pPr>
              <w:keepNext/>
              <w:spacing w:before="20" w:after="20"/>
              <w:jc w:val="center"/>
            </w:pPr>
            <w:r>
              <w:rPr>
                <w:b/>
                <w:bCs/>
                <w:i/>
                <w:iCs/>
                <w:color w:val="FFFFFF"/>
                <w:sz w:val="18"/>
                <w:szCs w:val="18"/>
              </w:rPr>
              <w:t>Destacado (81–100)</w:t>
            </w:r>
          </w:p>
        </w:tc>
      </w:tr>
      <w:tr w:rsidR="00990B14" w14:paraId="2E0C9A6E" w14:textId="77777777">
        <w:trPr>
          <w:cantSplit/>
          <w:jc w:val="center"/>
        </w:trPr>
        <w:tc>
          <w:tcPr>
            <w:tcW w:w="1490" w:type="dxa"/>
            <w:vMerge/>
            <w:shd w:val="clear" w:color="auto" w:fill="4472C4"/>
            <w:vAlign w:val="center"/>
          </w:tcPr>
          <w:p w14:paraId="06F09BB4" w14:textId="77777777" w:rsidR="00990B14" w:rsidRDefault="00990B14">
            <w:pPr>
              <w:spacing w:before="20" w:after="20"/>
            </w:pPr>
          </w:p>
        </w:tc>
        <w:tc>
          <w:tcPr>
            <w:tcW w:w="1805" w:type="dxa"/>
            <w:shd w:val="clear" w:color="auto" w:fill="D9E2F3"/>
            <w:vAlign w:val="center"/>
          </w:tcPr>
          <w:p w14:paraId="5791FD97" w14:textId="77777777" w:rsidR="00990B14" w:rsidRDefault="00000000">
            <w:pPr>
              <w:spacing w:before="20" w:after="20"/>
              <w:jc w:val="both"/>
            </w:pPr>
            <w:r>
              <w:rPr>
                <w:sz w:val="18"/>
                <w:szCs w:val="18"/>
              </w:rPr>
              <w:t>Identificación de factores PESTEL</w:t>
            </w:r>
          </w:p>
        </w:tc>
        <w:tc>
          <w:tcPr>
            <w:tcW w:w="1910" w:type="dxa"/>
            <w:shd w:val="clear" w:color="auto" w:fill="D9E2F3"/>
            <w:vAlign w:val="center"/>
          </w:tcPr>
          <w:p w14:paraId="16BA6259" w14:textId="77777777" w:rsidR="00990B14" w:rsidRDefault="00000000">
            <w:pPr>
              <w:spacing w:before="20" w:after="20"/>
              <w:jc w:val="both"/>
            </w:pPr>
            <w:r>
              <w:rPr>
                <w:sz w:val="18"/>
                <w:szCs w:val="18"/>
              </w:rPr>
              <w:t>Omite dimensiones del análisis o confunde factores internos y externos.</w:t>
            </w:r>
          </w:p>
        </w:tc>
        <w:tc>
          <w:tcPr>
            <w:tcW w:w="2323" w:type="dxa"/>
            <w:shd w:val="clear" w:color="auto" w:fill="D9E2F3"/>
            <w:vAlign w:val="center"/>
          </w:tcPr>
          <w:p w14:paraId="075BB7AB" w14:textId="77777777" w:rsidR="00990B14" w:rsidRDefault="00000000">
            <w:pPr>
              <w:spacing w:before="20" w:after="20"/>
              <w:jc w:val="both"/>
            </w:pPr>
            <w:r>
              <w:rPr>
                <w:sz w:val="18"/>
                <w:szCs w:val="18"/>
              </w:rPr>
              <w:t>Identifica factores políticos, económicos, sociales, tecnológicos, ambientales y legales pertinentes.</w:t>
            </w:r>
          </w:p>
        </w:tc>
        <w:tc>
          <w:tcPr>
            <w:tcW w:w="1877" w:type="dxa"/>
            <w:shd w:val="clear" w:color="auto" w:fill="D9E2F3"/>
            <w:vAlign w:val="center"/>
          </w:tcPr>
          <w:p w14:paraId="64A1CB99" w14:textId="77777777" w:rsidR="00990B14" w:rsidRDefault="00000000">
            <w:pPr>
              <w:spacing w:before="20" w:after="20"/>
              <w:jc w:val="both"/>
            </w:pPr>
            <w:r>
              <w:rPr>
                <w:sz w:val="18"/>
                <w:szCs w:val="18"/>
              </w:rPr>
              <w:t>Jerarquiza los factores con evidencias y explica su incidencia en la organización.</w:t>
            </w:r>
          </w:p>
        </w:tc>
      </w:tr>
      <w:tr w:rsidR="00990B14" w14:paraId="1D045209" w14:textId="77777777">
        <w:trPr>
          <w:cantSplit/>
          <w:jc w:val="center"/>
        </w:trPr>
        <w:tc>
          <w:tcPr>
            <w:tcW w:w="1490" w:type="dxa"/>
            <w:vMerge/>
            <w:shd w:val="clear" w:color="auto" w:fill="4472C4"/>
            <w:vAlign w:val="center"/>
          </w:tcPr>
          <w:p w14:paraId="348D2C61" w14:textId="77777777" w:rsidR="00990B14" w:rsidRDefault="00990B14">
            <w:pPr>
              <w:spacing w:before="20" w:after="20"/>
            </w:pPr>
          </w:p>
        </w:tc>
        <w:tc>
          <w:tcPr>
            <w:tcW w:w="1805" w:type="dxa"/>
            <w:shd w:val="clear" w:color="auto" w:fill="D9E2F3"/>
            <w:vAlign w:val="center"/>
          </w:tcPr>
          <w:p w14:paraId="26EC447B" w14:textId="77777777" w:rsidR="00990B14" w:rsidRDefault="00000000">
            <w:pPr>
              <w:spacing w:before="20" w:after="20"/>
              <w:jc w:val="both"/>
            </w:pPr>
            <w:r>
              <w:rPr>
                <w:sz w:val="18"/>
                <w:szCs w:val="18"/>
              </w:rPr>
              <w:t>Riesgos y oportunidades</w:t>
            </w:r>
          </w:p>
        </w:tc>
        <w:tc>
          <w:tcPr>
            <w:tcW w:w="1910" w:type="dxa"/>
            <w:shd w:val="clear" w:color="auto" w:fill="D9E2F3"/>
            <w:vAlign w:val="center"/>
          </w:tcPr>
          <w:p w14:paraId="510BE1D9" w14:textId="77777777" w:rsidR="00990B14" w:rsidRDefault="00000000">
            <w:pPr>
              <w:spacing w:before="20" w:after="20"/>
              <w:jc w:val="both"/>
            </w:pPr>
            <w:r>
              <w:rPr>
                <w:sz w:val="18"/>
                <w:szCs w:val="18"/>
              </w:rPr>
              <w:t>Enumera factores sin determinar riesgos u oportunidades concretos.</w:t>
            </w:r>
          </w:p>
        </w:tc>
        <w:tc>
          <w:tcPr>
            <w:tcW w:w="2323" w:type="dxa"/>
            <w:shd w:val="clear" w:color="auto" w:fill="D9E2F3"/>
            <w:vAlign w:val="center"/>
          </w:tcPr>
          <w:p w14:paraId="4FE42064" w14:textId="77777777" w:rsidR="00990B14" w:rsidRDefault="00000000">
            <w:pPr>
              <w:spacing w:before="20" w:after="20"/>
              <w:jc w:val="both"/>
            </w:pPr>
            <w:r>
              <w:rPr>
                <w:sz w:val="18"/>
                <w:szCs w:val="18"/>
              </w:rPr>
              <w:t>Relaciona los factores del entorno con riesgos y oportunidades de la organización.</w:t>
            </w:r>
          </w:p>
        </w:tc>
        <w:tc>
          <w:tcPr>
            <w:tcW w:w="1877" w:type="dxa"/>
            <w:shd w:val="clear" w:color="auto" w:fill="D9E2F3"/>
            <w:vAlign w:val="center"/>
          </w:tcPr>
          <w:p w14:paraId="7DBB7F01" w14:textId="77777777" w:rsidR="00990B14" w:rsidRDefault="00000000">
            <w:pPr>
              <w:spacing w:before="20" w:after="20"/>
              <w:jc w:val="both"/>
            </w:pPr>
            <w:r>
              <w:rPr>
                <w:sz w:val="18"/>
                <w:szCs w:val="18"/>
              </w:rPr>
              <w:t>Valora magnitud y prioridad de los riesgos y oportunidades con criterios explícitos.</w:t>
            </w:r>
          </w:p>
        </w:tc>
      </w:tr>
      <w:tr w:rsidR="00990B14" w14:paraId="1581D8DD" w14:textId="77777777">
        <w:trPr>
          <w:cantSplit/>
          <w:jc w:val="center"/>
        </w:trPr>
        <w:tc>
          <w:tcPr>
            <w:tcW w:w="1490" w:type="dxa"/>
            <w:vMerge/>
            <w:shd w:val="clear" w:color="auto" w:fill="4472C4"/>
            <w:vAlign w:val="center"/>
          </w:tcPr>
          <w:p w14:paraId="49CBE2BC" w14:textId="77777777" w:rsidR="00990B14" w:rsidRDefault="00990B14">
            <w:pPr>
              <w:spacing w:before="20" w:after="20"/>
            </w:pPr>
          </w:p>
        </w:tc>
        <w:tc>
          <w:tcPr>
            <w:tcW w:w="1805" w:type="dxa"/>
            <w:shd w:val="clear" w:color="auto" w:fill="D9E2F3"/>
            <w:vAlign w:val="center"/>
          </w:tcPr>
          <w:p w14:paraId="2DC61A5E" w14:textId="77777777" w:rsidR="00990B14" w:rsidRDefault="00000000">
            <w:pPr>
              <w:spacing w:before="20" w:after="20"/>
              <w:jc w:val="both"/>
            </w:pPr>
            <w:r>
              <w:rPr>
                <w:sz w:val="18"/>
                <w:szCs w:val="18"/>
              </w:rPr>
              <w:t>Conclusiones y respuesta gerencial</w:t>
            </w:r>
          </w:p>
        </w:tc>
        <w:tc>
          <w:tcPr>
            <w:tcW w:w="1910" w:type="dxa"/>
            <w:shd w:val="clear" w:color="auto" w:fill="D9E2F3"/>
            <w:vAlign w:val="center"/>
          </w:tcPr>
          <w:p w14:paraId="23EE5A59" w14:textId="77777777" w:rsidR="00990B14" w:rsidRDefault="00000000">
            <w:pPr>
              <w:spacing w:before="20" w:after="20"/>
              <w:jc w:val="both"/>
            </w:pPr>
            <w:r>
              <w:rPr>
                <w:sz w:val="18"/>
                <w:szCs w:val="18"/>
              </w:rPr>
              <w:t>No vincula el diagnóstico con decisiones estratégicas.</w:t>
            </w:r>
          </w:p>
        </w:tc>
        <w:tc>
          <w:tcPr>
            <w:tcW w:w="2323" w:type="dxa"/>
            <w:shd w:val="clear" w:color="auto" w:fill="D9E2F3"/>
            <w:vAlign w:val="center"/>
          </w:tcPr>
          <w:p w14:paraId="0A0CC5C7" w14:textId="77777777" w:rsidR="00990B14" w:rsidRDefault="00000000">
            <w:pPr>
              <w:spacing w:before="20" w:after="20"/>
              <w:jc w:val="both"/>
            </w:pPr>
            <w:r>
              <w:rPr>
                <w:sz w:val="18"/>
                <w:szCs w:val="18"/>
              </w:rPr>
              <w:t>Propone respuestas estratégicas coherentes con los factores PESTEL identificados.</w:t>
            </w:r>
          </w:p>
        </w:tc>
        <w:tc>
          <w:tcPr>
            <w:tcW w:w="1877" w:type="dxa"/>
            <w:shd w:val="clear" w:color="auto" w:fill="D9E2F3"/>
            <w:vAlign w:val="center"/>
          </w:tcPr>
          <w:p w14:paraId="270C14AC" w14:textId="77777777" w:rsidR="00990B14" w:rsidRDefault="00000000">
            <w:pPr>
              <w:spacing w:before="20" w:after="20"/>
              <w:jc w:val="both"/>
            </w:pPr>
            <w:r>
              <w:rPr>
                <w:sz w:val="18"/>
                <w:szCs w:val="18"/>
              </w:rPr>
              <w:t>Justifica acciones priorizadas, responsables o medidas de seguimiento a partir del análisis.</w:t>
            </w:r>
          </w:p>
        </w:tc>
      </w:tr>
      <w:tr w:rsidR="00990B14" w14:paraId="77FC6400" w14:textId="77777777">
        <w:trPr>
          <w:cantSplit/>
          <w:jc w:val="center"/>
        </w:trPr>
        <w:tc>
          <w:tcPr>
            <w:tcW w:w="1490" w:type="dxa"/>
            <w:vMerge/>
            <w:shd w:val="clear" w:color="auto" w:fill="4472C4"/>
            <w:vAlign w:val="center"/>
          </w:tcPr>
          <w:p w14:paraId="3169499D" w14:textId="77777777" w:rsidR="00990B14" w:rsidRDefault="00990B14">
            <w:pPr>
              <w:spacing w:before="20" w:after="20"/>
            </w:pPr>
          </w:p>
        </w:tc>
        <w:tc>
          <w:tcPr>
            <w:tcW w:w="6038" w:type="dxa"/>
            <w:gridSpan w:val="3"/>
            <w:shd w:val="clear" w:color="auto" w:fill="D9E2F3"/>
            <w:vAlign w:val="center"/>
          </w:tcPr>
          <w:p w14:paraId="2F39CFC6" w14:textId="77777777" w:rsidR="00990B14" w:rsidRDefault="00000000">
            <w:pPr>
              <w:keepNext/>
              <w:spacing w:before="20" w:after="20"/>
              <w:jc w:val="both"/>
            </w:pPr>
            <w:r>
              <w:rPr>
                <w:b/>
                <w:bCs/>
                <w:i/>
                <w:iCs/>
                <w:sz w:val="18"/>
                <w:szCs w:val="18"/>
              </w:rPr>
              <w:t xml:space="preserve">Producto 4: </w:t>
            </w:r>
            <w:r>
              <w:rPr>
                <w:sz w:val="18"/>
                <w:szCs w:val="18"/>
              </w:rPr>
              <w:t>Propuesta de código de ética y plan de responsabilidad social empresarial</w:t>
            </w:r>
          </w:p>
        </w:tc>
        <w:tc>
          <w:tcPr>
            <w:tcW w:w="1877" w:type="dxa"/>
            <w:shd w:val="clear" w:color="auto" w:fill="D9E2F3"/>
            <w:vAlign w:val="center"/>
          </w:tcPr>
          <w:p w14:paraId="57E49A32" w14:textId="77777777" w:rsidR="00990B14" w:rsidRDefault="00000000">
            <w:pPr>
              <w:spacing w:before="20" w:after="20"/>
              <w:jc w:val="center"/>
            </w:pPr>
            <w:r>
              <w:rPr>
                <w:b/>
                <w:bCs/>
                <w:sz w:val="18"/>
                <w:szCs w:val="18"/>
              </w:rPr>
              <w:t>8%</w:t>
            </w:r>
          </w:p>
        </w:tc>
      </w:tr>
      <w:tr w:rsidR="00990B14" w14:paraId="7D4FD79A" w14:textId="77777777">
        <w:trPr>
          <w:cantSplit/>
          <w:jc w:val="center"/>
        </w:trPr>
        <w:tc>
          <w:tcPr>
            <w:tcW w:w="1490" w:type="dxa"/>
            <w:vMerge/>
            <w:shd w:val="clear" w:color="auto" w:fill="4472C4"/>
            <w:vAlign w:val="center"/>
          </w:tcPr>
          <w:p w14:paraId="28954D29" w14:textId="77777777" w:rsidR="00990B14" w:rsidRDefault="00990B14">
            <w:pPr>
              <w:spacing w:before="20" w:after="20"/>
            </w:pPr>
          </w:p>
        </w:tc>
        <w:tc>
          <w:tcPr>
            <w:tcW w:w="1805" w:type="dxa"/>
            <w:shd w:val="clear" w:color="auto" w:fill="4472C4"/>
            <w:vAlign w:val="center"/>
          </w:tcPr>
          <w:p w14:paraId="02BDECCC"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4B320BDA" w14:textId="77777777" w:rsidR="00990B14" w:rsidRDefault="00000000">
            <w:pPr>
              <w:keepNext/>
              <w:spacing w:before="20" w:after="20"/>
              <w:jc w:val="center"/>
            </w:pPr>
            <w:r>
              <w:rPr>
                <w:b/>
                <w:bCs/>
                <w:i/>
                <w:iCs/>
                <w:color w:val="FFFFFF"/>
                <w:sz w:val="18"/>
                <w:szCs w:val="18"/>
              </w:rPr>
              <w:t>Insuficiente (1–50)</w:t>
            </w:r>
          </w:p>
        </w:tc>
        <w:tc>
          <w:tcPr>
            <w:tcW w:w="2323" w:type="dxa"/>
            <w:shd w:val="clear" w:color="auto" w:fill="4472C4"/>
            <w:vAlign w:val="center"/>
          </w:tcPr>
          <w:p w14:paraId="59FD7773"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6BDC4BAB" w14:textId="77777777" w:rsidR="00990B14" w:rsidRDefault="00000000">
            <w:pPr>
              <w:keepNext/>
              <w:spacing w:before="20" w:after="20"/>
              <w:jc w:val="center"/>
            </w:pPr>
            <w:r>
              <w:rPr>
                <w:b/>
                <w:bCs/>
                <w:i/>
                <w:iCs/>
                <w:color w:val="FFFFFF"/>
                <w:sz w:val="18"/>
                <w:szCs w:val="18"/>
              </w:rPr>
              <w:t>Destacado (81–100)</w:t>
            </w:r>
          </w:p>
        </w:tc>
      </w:tr>
      <w:tr w:rsidR="00990B14" w14:paraId="7CC61F03" w14:textId="77777777">
        <w:trPr>
          <w:cantSplit/>
          <w:jc w:val="center"/>
        </w:trPr>
        <w:tc>
          <w:tcPr>
            <w:tcW w:w="1490" w:type="dxa"/>
            <w:vMerge/>
            <w:shd w:val="clear" w:color="auto" w:fill="4472C4"/>
            <w:vAlign w:val="center"/>
          </w:tcPr>
          <w:p w14:paraId="7B0F3224" w14:textId="77777777" w:rsidR="00990B14" w:rsidRDefault="00990B14">
            <w:pPr>
              <w:spacing w:before="20" w:after="20"/>
            </w:pPr>
          </w:p>
        </w:tc>
        <w:tc>
          <w:tcPr>
            <w:tcW w:w="1805" w:type="dxa"/>
            <w:shd w:val="clear" w:color="auto" w:fill="D9E2F3"/>
            <w:vAlign w:val="center"/>
          </w:tcPr>
          <w:p w14:paraId="11039162" w14:textId="77777777" w:rsidR="00990B14" w:rsidRDefault="00000000">
            <w:pPr>
              <w:spacing w:before="20" w:after="20"/>
              <w:jc w:val="both"/>
            </w:pPr>
            <w:r>
              <w:rPr>
                <w:sz w:val="18"/>
                <w:szCs w:val="18"/>
              </w:rPr>
              <w:t>Código de ética</w:t>
            </w:r>
          </w:p>
        </w:tc>
        <w:tc>
          <w:tcPr>
            <w:tcW w:w="1910" w:type="dxa"/>
            <w:shd w:val="clear" w:color="auto" w:fill="D9E2F3"/>
            <w:vAlign w:val="center"/>
          </w:tcPr>
          <w:p w14:paraId="50ED0B48" w14:textId="77777777" w:rsidR="00990B14" w:rsidRDefault="00000000">
            <w:pPr>
              <w:spacing w:before="20" w:after="20"/>
              <w:jc w:val="both"/>
            </w:pPr>
            <w:r>
              <w:rPr>
                <w:sz w:val="18"/>
                <w:szCs w:val="18"/>
              </w:rPr>
              <w:t>Presenta valores genéricos sin reglas claras de conducta.</w:t>
            </w:r>
          </w:p>
        </w:tc>
        <w:tc>
          <w:tcPr>
            <w:tcW w:w="2323" w:type="dxa"/>
            <w:shd w:val="clear" w:color="auto" w:fill="D9E2F3"/>
            <w:vAlign w:val="center"/>
          </w:tcPr>
          <w:p w14:paraId="30D6A937" w14:textId="77777777" w:rsidR="00990B14" w:rsidRDefault="00000000">
            <w:pPr>
              <w:spacing w:before="20" w:after="20"/>
              <w:jc w:val="both"/>
            </w:pPr>
            <w:r>
              <w:rPr>
                <w:sz w:val="18"/>
                <w:szCs w:val="18"/>
              </w:rPr>
              <w:t>Establece principios, comportamientos esperados y pautas para conflictos de interés.</w:t>
            </w:r>
          </w:p>
        </w:tc>
        <w:tc>
          <w:tcPr>
            <w:tcW w:w="1877" w:type="dxa"/>
            <w:shd w:val="clear" w:color="auto" w:fill="D9E2F3"/>
            <w:vAlign w:val="center"/>
          </w:tcPr>
          <w:p w14:paraId="36267793" w14:textId="77777777" w:rsidR="00990B14" w:rsidRDefault="00000000">
            <w:pPr>
              <w:spacing w:before="20" w:after="20"/>
              <w:jc w:val="both"/>
            </w:pPr>
            <w:r>
              <w:rPr>
                <w:sz w:val="18"/>
                <w:szCs w:val="18"/>
              </w:rPr>
              <w:t>Incorpora responsables, canal de denuncias, tratamiento de incumplimientos y aplicación práctica.</w:t>
            </w:r>
          </w:p>
        </w:tc>
      </w:tr>
      <w:tr w:rsidR="00990B14" w14:paraId="36F4C763" w14:textId="77777777">
        <w:trPr>
          <w:cantSplit/>
          <w:jc w:val="center"/>
        </w:trPr>
        <w:tc>
          <w:tcPr>
            <w:tcW w:w="1490" w:type="dxa"/>
            <w:vMerge/>
            <w:shd w:val="clear" w:color="auto" w:fill="4472C4"/>
            <w:vAlign w:val="center"/>
          </w:tcPr>
          <w:p w14:paraId="57A0A369" w14:textId="77777777" w:rsidR="00990B14" w:rsidRDefault="00990B14">
            <w:pPr>
              <w:spacing w:before="20" w:after="20"/>
            </w:pPr>
          </w:p>
        </w:tc>
        <w:tc>
          <w:tcPr>
            <w:tcW w:w="1805" w:type="dxa"/>
            <w:shd w:val="clear" w:color="auto" w:fill="D9E2F3"/>
            <w:vAlign w:val="center"/>
          </w:tcPr>
          <w:p w14:paraId="48A9CD95" w14:textId="77777777" w:rsidR="00990B14" w:rsidRDefault="00000000">
            <w:pPr>
              <w:spacing w:before="20" w:after="20"/>
              <w:jc w:val="both"/>
            </w:pPr>
            <w:r>
              <w:rPr>
                <w:sz w:val="18"/>
                <w:szCs w:val="18"/>
              </w:rPr>
              <w:t>Plan de responsabilidad social</w:t>
            </w:r>
          </w:p>
        </w:tc>
        <w:tc>
          <w:tcPr>
            <w:tcW w:w="1910" w:type="dxa"/>
            <w:shd w:val="clear" w:color="auto" w:fill="D9E2F3"/>
            <w:vAlign w:val="center"/>
          </w:tcPr>
          <w:p w14:paraId="3540B02F" w14:textId="77777777" w:rsidR="00990B14" w:rsidRDefault="00000000">
            <w:pPr>
              <w:spacing w:before="20" w:after="20"/>
              <w:jc w:val="both"/>
            </w:pPr>
            <w:r>
              <w:rPr>
                <w:sz w:val="18"/>
                <w:szCs w:val="18"/>
              </w:rPr>
              <w:t>Plantea actividades aisladas sin objetivos, destinatarios ni responsables.</w:t>
            </w:r>
          </w:p>
        </w:tc>
        <w:tc>
          <w:tcPr>
            <w:tcW w:w="2323" w:type="dxa"/>
            <w:shd w:val="clear" w:color="auto" w:fill="D9E2F3"/>
            <w:vAlign w:val="center"/>
          </w:tcPr>
          <w:p w14:paraId="0DB3D9DD" w14:textId="77777777" w:rsidR="00990B14" w:rsidRDefault="00000000">
            <w:pPr>
              <w:spacing w:before="20" w:after="20"/>
              <w:jc w:val="both"/>
            </w:pPr>
            <w:r>
              <w:rPr>
                <w:sz w:val="18"/>
                <w:szCs w:val="18"/>
              </w:rPr>
              <w:t>Define objetivos y acciones de responsabilidad social, beneficiarios, responsables y compromisos concretos.</w:t>
            </w:r>
          </w:p>
        </w:tc>
        <w:tc>
          <w:tcPr>
            <w:tcW w:w="1877" w:type="dxa"/>
            <w:shd w:val="clear" w:color="auto" w:fill="D9E2F3"/>
            <w:vAlign w:val="center"/>
          </w:tcPr>
          <w:p w14:paraId="47B99E25" w14:textId="77777777" w:rsidR="00990B14" w:rsidRDefault="00000000">
            <w:pPr>
              <w:spacing w:before="20" w:after="20"/>
              <w:jc w:val="both"/>
            </w:pPr>
            <w:r>
              <w:rPr>
                <w:sz w:val="18"/>
                <w:szCs w:val="18"/>
              </w:rPr>
              <w:t>Integra metas, indicadores, plazos y seguimiento de impactos sociales y ambientales.</w:t>
            </w:r>
          </w:p>
        </w:tc>
      </w:tr>
      <w:tr w:rsidR="00990B14" w14:paraId="6B165A65" w14:textId="77777777">
        <w:trPr>
          <w:cantSplit/>
          <w:jc w:val="center"/>
        </w:trPr>
        <w:tc>
          <w:tcPr>
            <w:tcW w:w="1490" w:type="dxa"/>
            <w:vMerge/>
            <w:shd w:val="clear" w:color="auto" w:fill="4472C4"/>
            <w:vAlign w:val="center"/>
          </w:tcPr>
          <w:p w14:paraId="6791E18D" w14:textId="77777777" w:rsidR="00990B14" w:rsidRDefault="00990B14">
            <w:pPr>
              <w:spacing w:before="20" w:after="20"/>
            </w:pPr>
          </w:p>
        </w:tc>
        <w:tc>
          <w:tcPr>
            <w:tcW w:w="1805" w:type="dxa"/>
            <w:shd w:val="clear" w:color="auto" w:fill="D9E2F3"/>
            <w:vAlign w:val="center"/>
          </w:tcPr>
          <w:p w14:paraId="6286CE17" w14:textId="77777777" w:rsidR="00990B14" w:rsidRDefault="00000000">
            <w:pPr>
              <w:spacing w:before="20" w:after="20"/>
              <w:jc w:val="both"/>
            </w:pPr>
            <w:r>
              <w:rPr>
                <w:sz w:val="18"/>
                <w:szCs w:val="18"/>
              </w:rPr>
              <w:t>Dilema y coherencia</w:t>
            </w:r>
          </w:p>
        </w:tc>
        <w:tc>
          <w:tcPr>
            <w:tcW w:w="1910" w:type="dxa"/>
            <w:shd w:val="clear" w:color="auto" w:fill="D9E2F3"/>
            <w:vAlign w:val="center"/>
          </w:tcPr>
          <w:p w14:paraId="689D2976" w14:textId="77777777" w:rsidR="00990B14" w:rsidRDefault="00000000">
            <w:pPr>
              <w:spacing w:before="20" w:after="20"/>
              <w:jc w:val="both"/>
            </w:pPr>
            <w:r>
              <w:rPr>
                <w:sz w:val="18"/>
                <w:szCs w:val="18"/>
              </w:rPr>
              <w:t>No relaciona el código y el plan con el dilema ético analizado.</w:t>
            </w:r>
          </w:p>
        </w:tc>
        <w:tc>
          <w:tcPr>
            <w:tcW w:w="2323" w:type="dxa"/>
            <w:shd w:val="clear" w:color="auto" w:fill="D9E2F3"/>
            <w:vAlign w:val="center"/>
          </w:tcPr>
          <w:p w14:paraId="704C7D4A" w14:textId="77777777" w:rsidR="00990B14" w:rsidRDefault="00000000">
            <w:pPr>
              <w:spacing w:before="20" w:after="20"/>
              <w:jc w:val="both"/>
            </w:pPr>
            <w:r>
              <w:rPr>
                <w:sz w:val="18"/>
                <w:szCs w:val="18"/>
              </w:rPr>
              <w:t>Aplica principios éticos y medidas de responsabilidad social a una situación organizacional concreta.</w:t>
            </w:r>
          </w:p>
        </w:tc>
        <w:tc>
          <w:tcPr>
            <w:tcW w:w="1877" w:type="dxa"/>
            <w:shd w:val="clear" w:color="auto" w:fill="D9E2F3"/>
            <w:vAlign w:val="center"/>
          </w:tcPr>
          <w:p w14:paraId="416F6F87" w14:textId="77777777" w:rsidR="00990B14" w:rsidRDefault="00000000">
            <w:pPr>
              <w:spacing w:before="20" w:after="20"/>
              <w:jc w:val="both"/>
            </w:pPr>
            <w:r>
              <w:rPr>
                <w:sz w:val="18"/>
                <w:szCs w:val="18"/>
              </w:rPr>
              <w:t>Justifica alternativas y considera consecuencias para la organización y sus grupos de interés.</w:t>
            </w:r>
          </w:p>
        </w:tc>
      </w:tr>
      <w:tr w:rsidR="00990B14" w14:paraId="62207191" w14:textId="77777777">
        <w:trPr>
          <w:cantSplit/>
          <w:jc w:val="center"/>
        </w:trPr>
        <w:tc>
          <w:tcPr>
            <w:tcW w:w="1490" w:type="dxa"/>
            <w:vMerge/>
            <w:shd w:val="clear" w:color="auto" w:fill="4472C4"/>
            <w:vAlign w:val="center"/>
          </w:tcPr>
          <w:p w14:paraId="5396B20D" w14:textId="77777777" w:rsidR="00990B14" w:rsidRDefault="00990B14">
            <w:pPr>
              <w:spacing w:before="20" w:after="20"/>
            </w:pPr>
          </w:p>
        </w:tc>
        <w:tc>
          <w:tcPr>
            <w:tcW w:w="6038" w:type="dxa"/>
            <w:gridSpan w:val="3"/>
            <w:shd w:val="clear" w:color="auto" w:fill="D9E2F3"/>
            <w:vAlign w:val="center"/>
          </w:tcPr>
          <w:p w14:paraId="57398326" w14:textId="77777777" w:rsidR="00990B14" w:rsidRDefault="00000000">
            <w:pPr>
              <w:keepNext/>
              <w:spacing w:before="20" w:after="20"/>
              <w:jc w:val="both"/>
            </w:pPr>
            <w:r>
              <w:rPr>
                <w:b/>
                <w:bCs/>
                <w:i/>
                <w:iCs/>
                <w:sz w:val="18"/>
                <w:szCs w:val="18"/>
              </w:rPr>
              <w:t xml:space="preserve">Producto 5: </w:t>
            </w:r>
            <w:r>
              <w:rPr>
                <w:sz w:val="18"/>
                <w:szCs w:val="18"/>
              </w:rPr>
              <w:t>Documento formal de diagnóstico y filosofía organizacional</w:t>
            </w:r>
          </w:p>
        </w:tc>
        <w:tc>
          <w:tcPr>
            <w:tcW w:w="1877" w:type="dxa"/>
            <w:shd w:val="clear" w:color="auto" w:fill="D9E2F3"/>
            <w:vAlign w:val="center"/>
          </w:tcPr>
          <w:p w14:paraId="54692E42" w14:textId="77777777" w:rsidR="00990B14" w:rsidRDefault="00000000">
            <w:pPr>
              <w:spacing w:before="20" w:after="20"/>
              <w:jc w:val="center"/>
            </w:pPr>
            <w:r>
              <w:rPr>
                <w:b/>
                <w:bCs/>
                <w:sz w:val="18"/>
                <w:szCs w:val="18"/>
              </w:rPr>
              <w:t>17%</w:t>
            </w:r>
          </w:p>
        </w:tc>
      </w:tr>
      <w:tr w:rsidR="00990B14" w14:paraId="6A4182F7" w14:textId="77777777">
        <w:trPr>
          <w:cantSplit/>
          <w:jc w:val="center"/>
        </w:trPr>
        <w:tc>
          <w:tcPr>
            <w:tcW w:w="1490" w:type="dxa"/>
            <w:vMerge/>
            <w:shd w:val="clear" w:color="auto" w:fill="4472C4"/>
            <w:vAlign w:val="center"/>
          </w:tcPr>
          <w:p w14:paraId="11B1AE7B" w14:textId="77777777" w:rsidR="00990B14" w:rsidRDefault="00990B14">
            <w:pPr>
              <w:spacing w:before="20" w:after="20"/>
            </w:pPr>
          </w:p>
        </w:tc>
        <w:tc>
          <w:tcPr>
            <w:tcW w:w="1805" w:type="dxa"/>
            <w:shd w:val="clear" w:color="auto" w:fill="4472C4"/>
            <w:vAlign w:val="center"/>
          </w:tcPr>
          <w:p w14:paraId="687F6040"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799C6099" w14:textId="77777777" w:rsidR="00990B14" w:rsidRDefault="00000000">
            <w:pPr>
              <w:keepNext/>
              <w:spacing w:before="20" w:after="20"/>
              <w:jc w:val="center"/>
            </w:pPr>
            <w:r>
              <w:rPr>
                <w:b/>
                <w:bCs/>
                <w:i/>
                <w:iCs/>
                <w:color w:val="FFFFFF"/>
                <w:sz w:val="18"/>
                <w:szCs w:val="18"/>
              </w:rPr>
              <w:t>Insuficiente (1–50)</w:t>
            </w:r>
          </w:p>
        </w:tc>
        <w:tc>
          <w:tcPr>
            <w:tcW w:w="2323" w:type="dxa"/>
            <w:shd w:val="clear" w:color="auto" w:fill="4472C4"/>
            <w:vAlign w:val="center"/>
          </w:tcPr>
          <w:p w14:paraId="7F32B641"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5786D260" w14:textId="77777777" w:rsidR="00990B14" w:rsidRDefault="00000000">
            <w:pPr>
              <w:keepNext/>
              <w:spacing w:before="20" w:after="20"/>
              <w:jc w:val="center"/>
            </w:pPr>
            <w:r>
              <w:rPr>
                <w:b/>
                <w:bCs/>
                <w:i/>
                <w:iCs/>
                <w:color w:val="FFFFFF"/>
                <w:sz w:val="18"/>
                <w:szCs w:val="18"/>
              </w:rPr>
              <w:t>Destacado (81–100)</w:t>
            </w:r>
          </w:p>
        </w:tc>
      </w:tr>
      <w:tr w:rsidR="00990B14" w14:paraId="13FFA899" w14:textId="77777777">
        <w:trPr>
          <w:cantSplit/>
          <w:jc w:val="center"/>
        </w:trPr>
        <w:tc>
          <w:tcPr>
            <w:tcW w:w="1490" w:type="dxa"/>
            <w:vMerge/>
            <w:shd w:val="clear" w:color="auto" w:fill="4472C4"/>
            <w:vAlign w:val="center"/>
          </w:tcPr>
          <w:p w14:paraId="6E4A329E" w14:textId="77777777" w:rsidR="00990B14" w:rsidRDefault="00990B14">
            <w:pPr>
              <w:spacing w:before="20" w:after="20"/>
            </w:pPr>
          </w:p>
        </w:tc>
        <w:tc>
          <w:tcPr>
            <w:tcW w:w="1805" w:type="dxa"/>
            <w:shd w:val="clear" w:color="auto" w:fill="D9E2F3"/>
            <w:vAlign w:val="center"/>
          </w:tcPr>
          <w:p w14:paraId="2F84BF07" w14:textId="77777777" w:rsidR="00990B14" w:rsidRDefault="00000000">
            <w:pPr>
              <w:spacing w:before="20" w:after="20"/>
              <w:jc w:val="both"/>
            </w:pPr>
            <w:r>
              <w:rPr>
                <w:sz w:val="18"/>
                <w:szCs w:val="18"/>
              </w:rPr>
              <w:t>Diagnóstico estratégico</w:t>
            </w:r>
          </w:p>
        </w:tc>
        <w:tc>
          <w:tcPr>
            <w:tcW w:w="1910" w:type="dxa"/>
            <w:shd w:val="clear" w:color="auto" w:fill="D9E2F3"/>
            <w:vAlign w:val="center"/>
          </w:tcPr>
          <w:p w14:paraId="12A12B1D" w14:textId="77777777" w:rsidR="00990B14" w:rsidRDefault="00000000">
            <w:pPr>
              <w:spacing w:before="20" w:after="20"/>
              <w:jc w:val="both"/>
            </w:pPr>
            <w:r>
              <w:rPr>
                <w:sz w:val="18"/>
                <w:szCs w:val="18"/>
              </w:rPr>
              <w:t>El diagnóstico FODA/PESTEL es incompleto o no se relaciona con la entidad.</w:t>
            </w:r>
          </w:p>
        </w:tc>
        <w:tc>
          <w:tcPr>
            <w:tcW w:w="2323" w:type="dxa"/>
            <w:shd w:val="clear" w:color="auto" w:fill="D9E2F3"/>
            <w:vAlign w:val="center"/>
          </w:tcPr>
          <w:p w14:paraId="4BFFBA85" w14:textId="77777777" w:rsidR="00990B14" w:rsidRDefault="00000000">
            <w:pPr>
              <w:spacing w:before="20" w:after="20"/>
              <w:jc w:val="both"/>
            </w:pPr>
            <w:r>
              <w:rPr>
                <w:sz w:val="18"/>
                <w:szCs w:val="18"/>
              </w:rPr>
              <w:t>Desarrolla un diagnóstico FODA/PESTEL pertinente con información de la organización.</w:t>
            </w:r>
          </w:p>
        </w:tc>
        <w:tc>
          <w:tcPr>
            <w:tcW w:w="1877" w:type="dxa"/>
            <w:shd w:val="clear" w:color="auto" w:fill="D9E2F3"/>
            <w:vAlign w:val="center"/>
          </w:tcPr>
          <w:p w14:paraId="2CA368FE" w14:textId="77777777" w:rsidR="00990B14" w:rsidRDefault="00000000">
            <w:pPr>
              <w:spacing w:before="20" w:after="20"/>
              <w:jc w:val="both"/>
            </w:pPr>
            <w:r>
              <w:rPr>
                <w:sz w:val="18"/>
                <w:szCs w:val="18"/>
              </w:rPr>
              <w:t>Prioriza hallazgos críticos y sustenta oportunidades y amenazas con evidencia verificable.</w:t>
            </w:r>
          </w:p>
        </w:tc>
      </w:tr>
      <w:tr w:rsidR="00990B14" w14:paraId="7648A975" w14:textId="77777777">
        <w:trPr>
          <w:cantSplit/>
          <w:jc w:val="center"/>
        </w:trPr>
        <w:tc>
          <w:tcPr>
            <w:tcW w:w="1490" w:type="dxa"/>
            <w:vMerge/>
            <w:shd w:val="clear" w:color="auto" w:fill="4472C4"/>
            <w:vAlign w:val="center"/>
          </w:tcPr>
          <w:p w14:paraId="51F3C4A1" w14:textId="77777777" w:rsidR="00990B14" w:rsidRDefault="00990B14">
            <w:pPr>
              <w:spacing w:before="20" w:after="20"/>
            </w:pPr>
          </w:p>
        </w:tc>
        <w:tc>
          <w:tcPr>
            <w:tcW w:w="1805" w:type="dxa"/>
            <w:shd w:val="clear" w:color="auto" w:fill="D9E2F3"/>
            <w:vAlign w:val="center"/>
          </w:tcPr>
          <w:p w14:paraId="0FCB4688" w14:textId="77777777" w:rsidR="00990B14" w:rsidRDefault="00000000">
            <w:pPr>
              <w:spacing w:before="20" w:after="20"/>
              <w:jc w:val="both"/>
            </w:pPr>
            <w:r>
              <w:rPr>
                <w:sz w:val="18"/>
                <w:szCs w:val="18"/>
              </w:rPr>
              <w:t>Filosofía y objetivos</w:t>
            </w:r>
          </w:p>
        </w:tc>
        <w:tc>
          <w:tcPr>
            <w:tcW w:w="1910" w:type="dxa"/>
            <w:shd w:val="clear" w:color="auto" w:fill="D9E2F3"/>
            <w:vAlign w:val="center"/>
          </w:tcPr>
          <w:p w14:paraId="045D946B" w14:textId="77777777" w:rsidR="00990B14" w:rsidRDefault="00000000">
            <w:pPr>
              <w:spacing w:before="20" w:after="20"/>
              <w:jc w:val="both"/>
            </w:pPr>
            <w:r>
              <w:rPr>
                <w:sz w:val="18"/>
                <w:szCs w:val="18"/>
              </w:rPr>
              <w:t>Misión, visión, valores y objetivos son genéricos o contradictorios.</w:t>
            </w:r>
          </w:p>
        </w:tc>
        <w:tc>
          <w:tcPr>
            <w:tcW w:w="2323" w:type="dxa"/>
            <w:shd w:val="clear" w:color="auto" w:fill="D9E2F3"/>
            <w:vAlign w:val="center"/>
          </w:tcPr>
          <w:p w14:paraId="15138B84" w14:textId="77777777" w:rsidR="00990B14" w:rsidRDefault="00000000">
            <w:pPr>
              <w:spacing w:before="20" w:after="20"/>
              <w:jc w:val="both"/>
            </w:pPr>
            <w:r>
              <w:rPr>
                <w:sz w:val="18"/>
                <w:szCs w:val="18"/>
              </w:rPr>
              <w:t>Formula misión, visión, valores y objetivos estratégicos, tácticos y operativos coherentes.</w:t>
            </w:r>
          </w:p>
        </w:tc>
        <w:tc>
          <w:tcPr>
            <w:tcW w:w="1877" w:type="dxa"/>
            <w:shd w:val="clear" w:color="auto" w:fill="D9E2F3"/>
            <w:vAlign w:val="center"/>
          </w:tcPr>
          <w:p w14:paraId="29DBF4BC" w14:textId="77777777" w:rsidR="00990B14" w:rsidRDefault="00000000">
            <w:pPr>
              <w:spacing w:before="20" w:after="20"/>
              <w:jc w:val="both"/>
            </w:pPr>
            <w:r>
              <w:rPr>
                <w:sz w:val="18"/>
                <w:szCs w:val="18"/>
              </w:rPr>
              <w:t>Establece objetivos medibles y alineados con la estrategia y la responsabilidad social.</w:t>
            </w:r>
          </w:p>
        </w:tc>
      </w:tr>
      <w:tr w:rsidR="00990B14" w14:paraId="3E3D2BA5" w14:textId="77777777">
        <w:trPr>
          <w:cantSplit/>
          <w:jc w:val="center"/>
        </w:trPr>
        <w:tc>
          <w:tcPr>
            <w:tcW w:w="1490" w:type="dxa"/>
            <w:vMerge/>
            <w:shd w:val="clear" w:color="auto" w:fill="4472C4"/>
            <w:vAlign w:val="center"/>
          </w:tcPr>
          <w:p w14:paraId="5C99F38D" w14:textId="77777777" w:rsidR="00990B14" w:rsidRDefault="00990B14">
            <w:pPr>
              <w:spacing w:before="20" w:after="20"/>
            </w:pPr>
          </w:p>
        </w:tc>
        <w:tc>
          <w:tcPr>
            <w:tcW w:w="1805" w:type="dxa"/>
            <w:shd w:val="clear" w:color="auto" w:fill="D9E2F3"/>
            <w:vAlign w:val="center"/>
          </w:tcPr>
          <w:p w14:paraId="1921406A" w14:textId="77777777" w:rsidR="00990B14" w:rsidRDefault="00000000">
            <w:pPr>
              <w:spacing w:before="20" w:after="20"/>
              <w:jc w:val="both"/>
            </w:pPr>
            <w:r>
              <w:rPr>
                <w:sz w:val="18"/>
                <w:szCs w:val="18"/>
              </w:rPr>
              <w:t>Plan operativo y seguimiento</w:t>
            </w:r>
          </w:p>
        </w:tc>
        <w:tc>
          <w:tcPr>
            <w:tcW w:w="1910" w:type="dxa"/>
            <w:shd w:val="clear" w:color="auto" w:fill="D9E2F3"/>
            <w:vAlign w:val="center"/>
          </w:tcPr>
          <w:p w14:paraId="2BB0F455" w14:textId="77777777" w:rsidR="00990B14" w:rsidRDefault="00000000">
            <w:pPr>
              <w:spacing w:before="20" w:after="20"/>
              <w:jc w:val="both"/>
            </w:pPr>
            <w:r>
              <w:rPr>
                <w:sz w:val="18"/>
                <w:szCs w:val="18"/>
              </w:rPr>
              <w:t>No define acciones, responsables, plazos ni seguimiento del plan.</w:t>
            </w:r>
          </w:p>
        </w:tc>
        <w:tc>
          <w:tcPr>
            <w:tcW w:w="2323" w:type="dxa"/>
            <w:shd w:val="clear" w:color="auto" w:fill="D9E2F3"/>
            <w:vAlign w:val="center"/>
          </w:tcPr>
          <w:p w14:paraId="3E9A21D8" w14:textId="77777777" w:rsidR="00990B14" w:rsidRDefault="00000000">
            <w:pPr>
              <w:spacing w:before="20" w:after="20"/>
              <w:jc w:val="both"/>
            </w:pPr>
            <w:r>
              <w:rPr>
                <w:sz w:val="18"/>
                <w:szCs w:val="18"/>
              </w:rPr>
              <w:t>Incluye acciones, recursos, responsables, metas, cronograma y riesgos principales.</w:t>
            </w:r>
          </w:p>
        </w:tc>
        <w:tc>
          <w:tcPr>
            <w:tcW w:w="1877" w:type="dxa"/>
            <w:shd w:val="clear" w:color="auto" w:fill="D9E2F3"/>
            <w:vAlign w:val="center"/>
          </w:tcPr>
          <w:p w14:paraId="3A112174" w14:textId="77777777" w:rsidR="00990B14" w:rsidRDefault="00000000">
            <w:pPr>
              <w:spacing w:before="20" w:after="20"/>
              <w:jc w:val="both"/>
            </w:pPr>
            <w:r>
              <w:rPr>
                <w:sz w:val="18"/>
                <w:szCs w:val="18"/>
              </w:rPr>
              <w:t>Presenta cronograma viable, indicadores y acciones de seguimiento y respuesta a riesgos.</w:t>
            </w:r>
          </w:p>
        </w:tc>
      </w:tr>
      <w:tr w:rsidR="00990B14" w14:paraId="1B4710F0" w14:textId="77777777">
        <w:trPr>
          <w:cantSplit/>
          <w:jc w:val="center"/>
        </w:trPr>
        <w:tc>
          <w:tcPr>
            <w:tcW w:w="1490" w:type="dxa"/>
            <w:vMerge/>
            <w:shd w:val="clear" w:color="auto" w:fill="4472C4"/>
            <w:vAlign w:val="center"/>
          </w:tcPr>
          <w:p w14:paraId="4BC01DE0" w14:textId="77777777" w:rsidR="00990B14" w:rsidRDefault="00990B14">
            <w:pPr>
              <w:spacing w:before="20" w:after="20"/>
            </w:pPr>
          </w:p>
        </w:tc>
        <w:tc>
          <w:tcPr>
            <w:tcW w:w="6038" w:type="dxa"/>
            <w:gridSpan w:val="3"/>
            <w:shd w:val="clear" w:color="auto" w:fill="D9E2F3"/>
            <w:vAlign w:val="center"/>
          </w:tcPr>
          <w:p w14:paraId="2446F869" w14:textId="77777777" w:rsidR="00990B14" w:rsidRDefault="00000000">
            <w:pPr>
              <w:keepNext/>
              <w:spacing w:before="20" w:after="20"/>
              <w:jc w:val="both"/>
            </w:pPr>
            <w:r>
              <w:rPr>
                <w:b/>
                <w:bCs/>
                <w:i/>
                <w:iCs/>
                <w:sz w:val="18"/>
                <w:szCs w:val="18"/>
              </w:rPr>
              <w:t xml:space="preserve">Producto 6: </w:t>
            </w:r>
            <w:r>
              <w:rPr>
                <w:sz w:val="18"/>
                <w:szCs w:val="18"/>
              </w:rPr>
              <w:t>Documento formal de aplicación de los conocimientos básicos del proceso administrativo</w:t>
            </w:r>
          </w:p>
        </w:tc>
        <w:tc>
          <w:tcPr>
            <w:tcW w:w="1877" w:type="dxa"/>
            <w:shd w:val="clear" w:color="auto" w:fill="D9E2F3"/>
            <w:vAlign w:val="center"/>
          </w:tcPr>
          <w:p w14:paraId="51B4AC69" w14:textId="77777777" w:rsidR="00990B14" w:rsidRDefault="00000000">
            <w:pPr>
              <w:spacing w:before="20" w:after="20"/>
              <w:jc w:val="center"/>
            </w:pPr>
            <w:r>
              <w:rPr>
                <w:b/>
                <w:bCs/>
                <w:sz w:val="18"/>
                <w:szCs w:val="18"/>
              </w:rPr>
              <w:t>16%</w:t>
            </w:r>
          </w:p>
        </w:tc>
      </w:tr>
      <w:tr w:rsidR="00990B14" w14:paraId="012A07B2" w14:textId="77777777">
        <w:trPr>
          <w:cantSplit/>
          <w:jc w:val="center"/>
        </w:trPr>
        <w:tc>
          <w:tcPr>
            <w:tcW w:w="1490" w:type="dxa"/>
            <w:vMerge/>
            <w:shd w:val="clear" w:color="auto" w:fill="4472C4"/>
            <w:vAlign w:val="center"/>
          </w:tcPr>
          <w:p w14:paraId="10618408" w14:textId="77777777" w:rsidR="00990B14" w:rsidRDefault="00990B14">
            <w:pPr>
              <w:spacing w:before="20" w:after="20"/>
            </w:pPr>
          </w:p>
        </w:tc>
        <w:tc>
          <w:tcPr>
            <w:tcW w:w="1805" w:type="dxa"/>
            <w:shd w:val="clear" w:color="auto" w:fill="4472C4"/>
            <w:vAlign w:val="center"/>
          </w:tcPr>
          <w:p w14:paraId="0812ED45"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592512AF" w14:textId="77777777" w:rsidR="00990B14" w:rsidRDefault="00000000">
            <w:pPr>
              <w:keepNext/>
              <w:spacing w:before="20" w:after="20"/>
              <w:jc w:val="center"/>
            </w:pPr>
            <w:r>
              <w:rPr>
                <w:b/>
                <w:bCs/>
                <w:i/>
                <w:iCs/>
                <w:color w:val="FFFFFF"/>
                <w:sz w:val="18"/>
                <w:szCs w:val="18"/>
              </w:rPr>
              <w:t>Insuficiente (1–50)</w:t>
            </w:r>
          </w:p>
        </w:tc>
        <w:tc>
          <w:tcPr>
            <w:tcW w:w="2323" w:type="dxa"/>
            <w:shd w:val="clear" w:color="auto" w:fill="4472C4"/>
            <w:vAlign w:val="center"/>
          </w:tcPr>
          <w:p w14:paraId="7E4A9A43"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0F0D029D" w14:textId="77777777" w:rsidR="00990B14" w:rsidRDefault="00000000">
            <w:pPr>
              <w:keepNext/>
              <w:spacing w:before="20" w:after="20"/>
              <w:jc w:val="center"/>
            </w:pPr>
            <w:r>
              <w:rPr>
                <w:b/>
                <w:bCs/>
                <w:i/>
                <w:iCs/>
                <w:color w:val="FFFFFF"/>
                <w:sz w:val="18"/>
                <w:szCs w:val="18"/>
              </w:rPr>
              <w:t>Destacado (81–100)</w:t>
            </w:r>
          </w:p>
        </w:tc>
      </w:tr>
      <w:tr w:rsidR="00990B14" w14:paraId="4747D97E" w14:textId="77777777">
        <w:trPr>
          <w:cantSplit/>
          <w:jc w:val="center"/>
        </w:trPr>
        <w:tc>
          <w:tcPr>
            <w:tcW w:w="1490" w:type="dxa"/>
            <w:vMerge/>
            <w:shd w:val="clear" w:color="auto" w:fill="4472C4"/>
            <w:vAlign w:val="center"/>
          </w:tcPr>
          <w:p w14:paraId="4475F628" w14:textId="77777777" w:rsidR="00990B14" w:rsidRDefault="00990B14">
            <w:pPr>
              <w:spacing w:before="20" w:after="20"/>
            </w:pPr>
          </w:p>
        </w:tc>
        <w:tc>
          <w:tcPr>
            <w:tcW w:w="1805" w:type="dxa"/>
            <w:shd w:val="clear" w:color="auto" w:fill="D9E2F3"/>
            <w:vAlign w:val="center"/>
          </w:tcPr>
          <w:p w14:paraId="7C7122BD" w14:textId="77777777" w:rsidR="00990B14" w:rsidRDefault="00000000">
            <w:pPr>
              <w:spacing w:before="20" w:after="20"/>
              <w:jc w:val="both"/>
            </w:pPr>
            <w:r>
              <w:rPr>
                <w:sz w:val="18"/>
                <w:szCs w:val="18"/>
              </w:rPr>
              <w:t>Planificación y control</w:t>
            </w:r>
          </w:p>
        </w:tc>
        <w:tc>
          <w:tcPr>
            <w:tcW w:w="1910" w:type="dxa"/>
            <w:shd w:val="clear" w:color="auto" w:fill="D9E2F3"/>
            <w:vAlign w:val="center"/>
          </w:tcPr>
          <w:p w14:paraId="1B4E9989" w14:textId="77777777" w:rsidR="00990B14" w:rsidRDefault="00000000">
            <w:pPr>
              <w:spacing w:before="20" w:after="20"/>
              <w:jc w:val="both"/>
            </w:pPr>
            <w:r>
              <w:rPr>
                <w:sz w:val="18"/>
                <w:szCs w:val="18"/>
              </w:rPr>
              <w:t>No aplica herramientas de planificación y control, o las usa incorrectamente en el caso práctico.</w:t>
            </w:r>
          </w:p>
        </w:tc>
        <w:tc>
          <w:tcPr>
            <w:tcW w:w="2323" w:type="dxa"/>
            <w:shd w:val="clear" w:color="auto" w:fill="D9E2F3"/>
            <w:vAlign w:val="center"/>
          </w:tcPr>
          <w:p w14:paraId="3164CD66" w14:textId="77777777" w:rsidR="00990B14" w:rsidRDefault="00000000">
            <w:pPr>
              <w:spacing w:before="20" w:after="20"/>
              <w:jc w:val="both"/>
            </w:pPr>
            <w:r>
              <w:rPr>
                <w:sz w:val="18"/>
                <w:szCs w:val="18"/>
              </w:rPr>
              <w:t>Aplica herramientas de planificación y control coherentes con el caso práctico y el proceso administrativo.</w:t>
            </w:r>
          </w:p>
        </w:tc>
        <w:tc>
          <w:tcPr>
            <w:tcW w:w="1877" w:type="dxa"/>
            <w:shd w:val="clear" w:color="auto" w:fill="D9E2F3"/>
            <w:vAlign w:val="center"/>
          </w:tcPr>
          <w:p w14:paraId="0328977A" w14:textId="77777777" w:rsidR="00990B14" w:rsidRDefault="00000000">
            <w:pPr>
              <w:spacing w:before="20" w:after="20"/>
              <w:jc w:val="both"/>
            </w:pPr>
            <w:r>
              <w:rPr>
                <w:sz w:val="18"/>
                <w:szCs w:val="18"/>
              </w:rPr>
              <w:t>Integra herramientas de planificación, organización, dirección y control en un documento estructurado y justifica su elección.</w:t>
            </w:r>
          </w:p>
        </w:tc>
      </w:tr>
      <w:tr w:rsidR="00990B14" w14:paraId="6A2BCDC0" w14:textId="77777777">
        <w:trPr>
          <w:cantSplit/>
          <w:jc w:val="center"/>
        </w:trPr>
        <w:tc>
          <w:tcPr>
            <w:tcW w:w="1490" w:type="dxa"/>
            <w:vMerge/>
            <w:shd w:val="clear" w:color="auto" w:fill="4472C4"/>
            <w:vAlign w:val="center"/>
          </w:tcPr>
          <w:p w14:paraId="2A6F9D21" w14:textId="77777777" w:rsidR="00990B14" w:rsidRDefault="00990B14">
            <w:pPr>
              <w:spacing w:before="20" w:after="20"/>
            </w:pPr>
          </w:p>
        </w:tc>
        <w:tc>
          <w:tcPr>
            <w:tcW w:w="1805" w:type="dxa"/>
            <w:shd w:val="clear" w:color="auto" w:fill="D9E2F3"/>
            <w:vAlign w:val="center"/>
          </w:tcPr>
          <w:p w14:paraId="16EBCA1E" w14:textId="77777777" w:rsidR="00990B14" w:rsidRDefault="00000000">
            <w:pPr>
              <w:spacing w:before="20" w:after="20"/>
              <w:jc w:val="both"/>
            </w:pPr>
            <w:r>
              <w:rPr>
                <w:sz w:val="18"/>
                <w:szCs w:val="18"/>
              </w:rPr>
              <w:t>Etapas del proceso</w:t>
            </w:r>
          </w:p>
        </w:tc>
        <w:tc>
          <w:tcPr>
            <w:tcW w:w="1910" w:type="dxa"/>
            <w:shd w:val="clear" w:color="auto" w:fill="D9E2F3"/>
            <w:vAlign w:val="center"/>
          </w:tcPr>
          <w:p w14:paraId="6EB58D2E" w14:textId="77777777" w:rsidR="00990B14" w:rsidRDefault="00000000">
            <w:pPr>
              <w:spacing w:before="20" w:after="20"/>
              <w:jc w:val="both"/>
            </w:pPr>
            <w:r>
              <w:rPr>
                <w:sz w:val="18"/>
                <w:szCs w:val="18"/>
              </w:rPr>
              <w:t>El documento no refleja las etapas del proceso administrativo.</w:t>
            </w:r>
          </w:p>
        </w:tc>
        <w:tc>
          <w:tcPr>
            <w:tcW w:w="2323" w:type="dxa"/>
            <w:shd w:val="clear" w:color="auto" w:fill="D9E2F3"/>
            <w:vAlign w:val="center"/>
          </w:tcPr>
          <w:p w14:paraId="45F604F6" w14:textId="77777777" w:rsidR="00990B14" w:rsidRDefault="00000000">
            <w:pPr>
              <w:spacing w:before="20" w:after="20"/>
              <w:jc w:val="both"/>
            </w:pPr>
            <w:r>
              <w:rPr>
                <w:sz w:val="18"/>
                <w:szCs w:val="18"/>
              </w:rPr>
              <w:t>El documento evidencia la aplicación de las etapas del proceso administrativo.</w:t>
            </w:r>
          </w:p>
        </w:tc>
        <w:tc>
          <w:tcPr>
            <w:tcW w:w="1877" w:type="dxa"/>
            <w:shd w:val="clear" w:color="auto" w:fill="D9E2F3"/>
            <w:vAlign w:val="center"/>
          </w:tcPr>
          <w:p w14:paraId="0A2936E6" w14:textId="77777777" w:rsidR="00990B14" w:rsidRDefault="00000000">
            <w:pPr>
              <w:spacing w:before="20" w:after="20"/>
              <w:jc w:val="both"/>
            </w:pPr>
            <w:r>
              <w:rPr>
                <w:sz w:val="18"/>
                <w:szCs w:val="18"/>
              </w:rPr>
              <w:t>Relaciona cada etapa con acciones concretas y justifica su aplicación en el caso.</w:t>
            </w:r>
          </w:p>
        </w:tc>
      </w:tr>
      <w:tr w:rsidR="00990B14" w14:paraId="38B93393" w14:textId="77777777">
        <w:trPr>
          <w:cantSplit/>
          <w:jc w:val="center"/>
        </w:trPr>
        <w:tc>
          <w:tcPr>
            <w:tcW w:w="1490" w:type="dxa"/>
            <w:vMerge/>
            <w:shd w:val="clear" w:color="auto" w:fill="4472C4"/>
            <w:vAlign w:val="center"/>
          </w:tcPr>
          <w:p w14:paraId="2D81216F" w14:textId="77777777" w:rsidR="00990B14" w:rsidRDefault="00990B14">
            <w:pPr>
              <w:spacing w:before="20" w:after="20"/>
            </w:pPr>
          </w:p>
        </w:tc>
        <w:tc>
          <w:tcPr>
            <w:tcW w:w="1805" w:type="dxa"/>
            <w:shd w:val="clear" w:color="auto" w:fill="D9E2F3"/>
            <w:vAlign w:val="center"/>
          </w:tcPr>
          <w:p w14:paraId="4DEC5B44" w14:textId="77777777" w:rsidR="00990B14" w:rsidRDefault="00000000">
            <w:pPr>
              <w:spacing w:before="20" w:after="20"/>
              <w:jc w:val="both"/>
            </w:pPr>
            <w:r>
              <w:rPr>
                <w:sz w:val="18"/>
                <w:szCs w:val="18"/>
              </w:rPr>
              <w:t>Calidad de la documentación</w:t>
            </w:r>
          </w:p>
        </w:tc>
        <w:tc>
          <w:tcPr>
            <w:tcW w:w="1910" w:type="dxa"/>
            <w:shd w:val="clear" w:color="auto" w:fill="D9E2F3"/>
            <w:vAlign w:val="center"/>
          </w:tcPr>
          <w:p w14:paraId="7F762587" w14:textId="77777777" w:rsidR="00990B14" w:rsidRDefault="00000000">
            <w:pPr>
              <w:spacing w:before="20" w:after="20"/>
              <w:jc w:val="both"/>
            </w:pPr>
            <w:r>
              <w:rPr>
                <w:sz w:val="18"/>
                <w:szCs w:val="18"/>
              </w:rPr>
              <w:t>El documento es incompleto, desordenado o sin fundamento.</w:t>
            </w:r>
          </w:p>
        </w:tc>
        <w:tc>
          <w:tcPr>
            <w:tcW w:w="2323" w:type="dxa"/>
            <w:shd w:val="clear" w:color="auto" w:fill="D9E2F3"/>
            <w:vAlign w:val="center"/>
          </w:tcPr>
          <w:p w14:paraId="728AA679" w14:textId="77777777" w:rsidR="00990B14" w:rsidRDefault="00000000">
            <w:pPr>
              <w:spacing w:before="20" w:after="20"/>
              <w:jc w:val="both"/>
            </w:pPr>
            <w:r>
              <w:rPr>
                <w:sz w:val="18"/>
                <w:szCs w:val="18"/>
              </w:rPr>
              <w:t>El documento es claro, ordenado y cita fuentes básicas.</w:t>
            </w:r>
          </w:p>
        </w:tc>
        <w:tc>
          <w:tcPr>
            <w:tcW w:w="1877" w:type="dxa"/>
            <w:shd w:val="clear" w:color="auto" w:fill="D9E2F3"/>
            <w:vAlign w:val="center"/>
          </w:tcPr>
          <w:p w14:paraId="4C2168AB" w14:textId="77777777" w:rsidR="00990B14" w:rsidRDefault="00000000">
            <w:pPr>
              <w:spacing w:before="20" w:after="20"/>
              <w:jc w:val="both"/>
            </w:pPr>
            <w:r>
              <w:rPr>
                <w:sz w:val="18"/>
                <w:szCs w:val="18"/>
              </w:rPr>
              <w:t>El documento es riguroso, cita fuentes y permite su aplicación a otros contextos.</w:t>
            </w:r>
          </w:p>
        </w:tc>
      </w:tr>
      <w:tr w:rsidR="00990B14" w14:paraId="4A3B9BB0" w14:textId="77777777">
        <w:trPr>
          <w:cantSplit/>
          <w:jc w:val="center"/>
        </w:trPr>
        <w:tc>
          <w:tcPr>
            <w:tcW w:w="1490" w:type="dxa"/>
            <w:vMerge/>
            <w:shd w:val="clear" w:color="auto" w:fill="4472C4"/>
            <w:vAlign w:val="center"/>
          </w:tcPr>
          <w:p w14:paraId="33FC64DF" w14:textId="77777777" w:rsidR="00990B14" w:rsidRDefault="00990B14">
            <w:pPr>
              <w:spacing w:before="20" w:after="20"/>
            </w:pPr>
          </w:p>
        </w:tc>
        <w:tc>
          <w:tcPr>
            <w:tcW w:w="6038" w:type="dxa"/>
            <w:gridSpan w:val="3"/>
            <w:shd w:val="clear" w:color="auto" w:fill="D9E2F3"/>
            <w:vAlign w:val="center"/>
          </w:tcPr>
          <w:p w14:paraId="74B68A03" w14:textId="77777777" w:rsidR="00990B14" w:rsidRDefault="00000000">
            <w:pPr>
              <w:keepNext/>
              <w:spacing w:before="20" w:after="20"/>
              <w:jc w:val="both"/>
            </w:pPr>
            <w:r>
              <w:rPr>
                <w:b/>
                <w:bCs/>
                <w:i/>
                <w:iCs/>
                <w:sz w:val="18"/>
                <w:szCs w:val="18"/>
              </w:rPr>
              <w:t xml:space="preserve">Producto 7: </w:t>
            </w:r>
            <w:r>
              <w:rPr>
                <w:sz w:val="18"/>
                <w:szCs w:val="18"/>
              </w:rPr>
              <w:t>Documento formal de funcionalidad de la organización</w:t>
            </w:r>
          </w:p>
        </w:tc>
        <w:tc>
          <w:tcPr>
            <w:tcW w:w="1877" w:type="dxa"/>
            <w:shd w:val="clear" w:color="auto" w:fill="D9E2F3"/>
            <w:vAlign w:val="center"/>
          </w:tcPr>
          <w:p w14:paraId="19D98E7A" w14:textId="77777777" w:rsidR="00990B14" w:rsidRDefault="00000000">
            <w:pPr>
              <w:spacing w:before="20" w:after="20"/>
              <w:jc w:val="center"/>
            </w:pPr>
            <w:r>
              <w:rPr>
                <w:b/>
                <w:bCs/>
                <w:sz w:val="18"/>
                <w:szCs w:val="18"/>
              </w:rPr>
              <w:t>16%</w:t>
            </w:r>
          </w:p>
        </w:tc>
      </w:tr>
      <w:tr w:rsidR="00990B14" w14:paraId="1B1569C3" w14:textId="77777777">
        <w:trPr>
          <w:cantSplit/>
          <w:jc w:val="center"/>
        </w:trPr>
        <w:tc>
          <w:tcPr>
            <w:tcW w:w="1490" w:type="dxa"/>
            <w:vMerge/>
            <w:shd w:val="clear" w:color="auto" w:fill="4472C4"/>
            <w:vAlign w:val="center"/>
          </w:tcPr>
          <w:p w14:paraId="6BD07FB5" w14:textId="77777777" w:rsidR="00990B14" w:rsidRDefault="00990B14">
            <w:pPr>
              <w:spacing w:before="20" w:after="20"/>
            </w:pPr>
          </w:p>
        </w:tc>
        <w:tc>
          <w:tcPr>
            <w:tcW w:w="1805" w:type="dxa"/>
            <w:shd w:val="clear" w:color="auto" w:fill="4472C4"/>
            <w:vAlign w:val="center"/>
          </w:tcPr>
          <w:p w14:paraId="38C03B9D"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41BBCF6D" w14:textId="77777777" w:rsidR="00990B14" w:rsidRDefault="00000000">
            <w:pPr>
              <w:keepNext/>
              <w:spacing w:before="20" w:after="20"/>
              <w:jc w:val="center"/>
            </w:pPr>
            <w:r>
              <w:rPr>
                <w:b/>
                <w:bCs/>
                <w:i/>
                <w:iCs/>
                <w:color w:val="FFFFFF"/>
                <w:sz w:val="18"/>
                <w:szCs w:val="18"/>
              </w:rPr>
              <w:t>Insuficiente (1–50)</w:t>
            </w:r>
          </w:p>
        </w:tc>
        <w:tc>
          <w:tcPr>
            <w:tcW w:w="2323" w:type="dxa"/>
            <w:shd w:val="clear" w:color="auto" w:fill="4472C4"/>
            <w:vAlign w:val="center"/>
          </w:tcPr>
          <w:p w14:paraId="5D1156D2"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7D3CA867" w14:textId="77777777" w:rsidR="00990B14" w:rsidRDefault="00000000">
            <w:pPr>
              <w:keepNext/>
              <w:spacing w:before="20" w:after="20"/>
              <w:jc w:val="center"/>
            </w:pPr>
            <w:r>
              <w:rPr>
                <w:b/>
                <w:bCs/>
                <w:i/>
                <w:iCs/>
                <w:color w:val="FFFFFF"/>
                <w:sz w:val="18"/>
                <w:szCs w:val="18"/>
              </w:rPr>
              <w:t>Destacado (81–100)</w:t>
            </w:r>
          </w:p>
        </w:tc>
      </w:tr>
      <w:tr w:rsidR="00990B14" w14:paraId="3A859003" w14:textId="77777777">
        <w:trPr>
          <w:cantSplit/>
          <w:jc w:val="center"/>
        </w:trPr>
        <w:tc>
          <w:tcPr>
            <w:tcW w:w="1490" w:type="dxa"/>
            <w:vMerge/>
            <w:shd w:val="clear" w:color="auto" w:fill="4472C4"/>
            <w:vAlign w:val="center"/>
          </w:tcPr>
          <w:p w14:paraId="1F871883" w14:textId="77777777" w:rsidR="00990B14" w:rsidRDefault="00990B14">
            <w:pPr>
              <w:spacing w:before="20" w:after="20"/>
            </w:pPr>
          </w:p>
        </w:tc>
        <w:tc>
          <w:tcPr>
            <w:tcW w:w="1805" w:type="dxa"/>
            <w:shd w:val="clear" w:color="auto" w:fill="D9E2F3"/>
            <w:vAlign w:val="center"/>
          </w:tcPr>
          <w:p w14:paraId="1CC415AF" w14:textId="77777777" w:rsidR="00990B14" w:rsidRDefault="00000000">
            <w:pPr>
              <w:spacing w:before="20" w:after="20"/>
              <w:jc w:val="both"/>
            </w:pPr>
            <w:r>
              <w:rPr>
                <w:sz w:val="18"/>
                <w:szCs w:val="18"/>
              </w:rPr>
              <w:t>Organigrama y niveles jerárquicos</w:t>
            </w:r>
          </w:p>
        </w:tc>
        <w:tc>
          <w:tcPr>
            <w:tcW w:w="1910" w:type="dxa"/>
            <w:shd w:val="clear" w:color="auto" w:fill="D9E2F3"/>
            <w:vAlign w:val="center"/>
          </w:tcPr>
          <w:p w14:paraId="2980A7FA" w14:textId="77777777" w:rsidR="00990B14" w:rsidRDefault="00000000">
            <w:pPr>
              <w:spacing w:before="20" w:after="20"/>
              <w:jc w:val="both"/>
            </w:pPr>
            <w:r>
              <w:rPr>
                <w:sz w:val="18"/>
                <w:szCs w:val="18"/>
              </w:rPr>
              <w:t>El organigrama omite áreas relevantes o representa incorrectamente la autoridad.</w:t>
            </w:r>
          </w:p>
        </w:tc>
        <w:tc>
          <w:tcPr>
            <w:tcW w:w="2323" w:type="dxa"/>
            <w:shd w:val="clear" w:color="auto" w:fill="D9E2F3"/>
            <w:vAlign w:val="center"/>
          </w:tcPr>
          <w:p w14:paraId="47B8EDA6" w14:textId="77777777" w:rsidR="00990B14" w:rsidRDefault="00000000">
            <w:pPr>
              <w:spacing w:before="20" w:after="20"/>
              <w:jc w:val="both"/>
            </w:pPr>
            <w:r>
              <w:rPr>
                <w:sz w:val="18"/>
                <w:szCs w:val="18"/>
              </w:rPr>
              <w:t>Representa áreas, jerarquías, líneas de autoridad y departamentalización de la entidad.</w:t>
            </w:r>
          </w:p>
        </w:tc>
        <w:tc>
          <w:tcPr>
            <w:tcW w:w="1877" w:type="dxa"/>
            <w:shd w:val="clear" w:color="auto" w:fill="D9E2F3"/>
            <w:vAlign w:val="center"/>
          </w:tcPr>
          <w:p w14:paraId="1C81CC41" w14:textId="77777777" w:rsidR="00990B14" w:rsidRDefault="00000000">
            <w:pPr>
              <w:spacing w:before="20" w:after="20"/>
              <w:jc w:val="both"/>
            </w:pPr>
            <w:r>
              <w:rPr>
                <w:sz w:val="18"/>
                <w:szCs w:val="18"/>
              </w:rPr>
              <w:t>Justifica la estructura elegida por tamaño, objetivos, funciones y tramos de control.</w:t>
            </w:r>
          </w:p>
        </w:tc>
      </w:tr>
      <w:tr w:rsidR="00990B14" w14:paraId="469CC597" w14:textId="77777777">
        <w:trPr>
          <w:cantSplit/>
          <w:jc w:val="center"/>
        </w:trPr>
        <w:tc>
          <w:tcPr>
            <w:tcW w:w="1490" w:type="dxa"/>
            <w:vMerge/>
            <w:shd w:val="clear" w:color="auto" w:fill="4472C4"/>
            <w:vAlign w:val="center"/>
          </w:tcPr>
          <w:p w14:paraId="30F297FC" w14:textId="77777777" w:rsidR="00990B14" w:rsidRDefault="00990B14">
            <w:pPr>
              <w:spacing w:before="20" w:after="20"/>
            </w:pPr>
          </w:p>
        </w:tc>
        <w:tc>
          <w:tcPr>
            <w:tcW w:w="1805" w:type="dxa"/>
            <w:shd w:val="clear" w:color="auto" w:fill="D9E2F3"/>
            <w:vAlign w:val="center"/>
          </w:tcPr>
          <w:p w14:paraId="65BD70AB" w14:textId="77777777" w:rsidR="00990B14" w:rsidRDefault="00000000">
            <w:pPr>
              <w:spacing w:before="20" w:after="20"/>
              <w:jc w:val="both"/>
            </w:pPr>
            <w:r>
              <w:rPr>
                <w:sz w:val="18"/>
                <w:szCs w:val="18"/>
              </w:rPr>
              <w:t>Perfiles y funciones</w:t>
            </w:r>
          </w:p>
        </w:tc>
        <w:tc>
          <w:tcPr>
            <w:tcW w:w="1910" w:type="dxa"/>
            <w:shd w:val="clear" w:color="auto" w:fill="D9E2F3"/>
            <w:vAlign w:val="center"/>
          </w:tcPr>
          <w:p w14:paraId="2F982CF5" w14:textId="77777777" w:rsidR="00990B14" w:rsidRDefault="00000000">
            <w:pPr>
              <w:spacing w:before="20" w:after="20"/>
              <w:jc w:val="both"/>
            </w:pPr>
            <w:r>
              <w:rPr>
                <w:sz w:val="18"/>
                <w:szCs w:val="18"/>
              </w:rPr>
              <w:t>El manual presenta cargos sin funciones claras o con duplicidades importantes.</w:t>
            </w:r>
          </w:p>
        </w:tc>
        <w:tc>
          <w:tcPr>
            <w:tcW w:w="2323" w:type="dxa"/>
            <w:shd w:val="clear" w:color="auto" w:fill="D9E2F3"/>
            <w:vAlign w:val="center"/>
          </w:tcPr>
          <w:p w14:paraId="7C018EDD" w14:textId="77777777" w:rsidR="00990B14" w:rsidRDefault="00000000">
            <w:pPr>
              <w:spacing w:before="20" w:after="20"/>
              <w:jc w:val="both"/>
            </w:pPr>
            <w:r>
              <w:rPr>
                <w:sz w:val="18"/>
                <w:szCs w:val="18"/>
              </w:rPr>
              <w:t>Describe puestos, funciones, responsabilidades, requisitos y relaciones de autoridad.</w:t>
            </w:r>
          </w:p>
        </w:tc>
        <w:tc>
          <w:tcPr>
            <w:tcW w:w="1877" w:type="dxa"/>
            <w:shd w:val="clear" w:color="auto" w:fill="D9E2F3"/>
            <w:vAlign w:val="center"/>
          </w:tcPr>
          <w:p w14:paraId="62D2A8A6" w14:textId="77777777" w:rsidR="00990B14" w:rsidRDefault="00000000">
            <w:pPr>
              <w:spacing w:before="20" w:after="20"/>
              <w:jc w:val="both"/>
            </w:pPr>
            <w:r>
              <w:rPr>
                <w:sz w:val="18"/>
                <w:szCs w:val="18"/>
              </w:rPr>
              <w:t>Verifica segregación de funciones y elimina solapamientos o vacíos de responsabilidad.</w:t>
            </w:r>
          </w:p>
        </w:tc>
      </w:tr>
      <w:tr w:rsidR="00990B14" w14:paraId="65D394F6" w14:textId="77777777">
        <w:trPr>
          <w:cantSplit/>
          <w:jc w:val="center"/>
        </w:trPr>
        <w:tc>
          <w:tcPr>
            <w:tcW w:w="1490" w:type="dxa"/>
            <w:vMerge/>
            <w:shd w:val="clear" w:color="auto" w:fill="4472C4"/>
            <w:vAlign w:val="center"/>
          </w:tcPr>
          <w:p w14:paraId="0755112B" w14:textId="77777777" w:rsidR="00990B14" w:rsidRDefault="00990B14">
            <w:pPr>
              <w:spacing w:before="20" w:after="20"/>
            </w:pPr>
          </w:p>
        </w:tc>
        <w:tc>
          <w:tcPr>
            <w:tcW w:w="1805" w:type="dxa"/>
            <w:shd w:val="clear" w:color="auto" w:fill="D9E2F3"/>
            <w:vAlign w:val="center"/>
          </w:tcPr>
          <w:p w14:paraId="658053E5" w14:textId="77777777" w:rsidR="00990B14" w:rsidRDefault="00000000">
            <w:pPr>
              <w:spacing w:before="20" w:after="20"/>
              <w:jc w:val="both"/>
            </w:pPr>
            <w:r>
              <w:rPr>
                <w:sz w:val="18"/>
                <w:szCs w:val="18"/>
              </w:rPr>
              <w:t>Organigrama y manual</w:t>
            </w:r>
          </w:p>
        </w:tc>
        <w:tc>
          <w:tcPr>
            <w:tcW w:w="1910" w:type="dxa"/>
            <w:shd w:val="clear" w:color="auto" w:fill="D9E2F3"/>
            <w:vAlign w:val="center"/>
          </w:tcPr>
          <w:p w14:paraId="071F57A7" w14:textId="77777777" w:rsidR="00990B14" w:rsidRDefault="00000000">
            <w:pPr>
              <w:spacing w:before="20" w:after="20"/>
              <w:jc w:val="both"/>
            </w:pPr>
            <w:r>
              <w:rPr>
                <w:sz w:val="18"/>
                <w:szCs w:val="18"/>
              </w:rPr>
              <w:t>Los cargos o jerarquías del manual contradicen el organigrama.</w:t>
            </w:r>
          </w:p>
        </w:tc>
        <w:tc>
          <w:tcPr>
            <w:tcW w:w="2323" w:type="dxa"/>
            <w:shd w:val="clear" w:color="auto" w:fill="D9E2F3"/>
            <w:vAlign w:val="center"/>
          </w:tcPr>
          <w:p w14:paraId="587264E1" w14:textId="77777777" w:rsidR="00990B14" w:rsidRDefault="00000000">
            <w:pPr>
              <w:spacing w:before="20" w:after="20"/>
              <w:jc w:val="both"/>
            </w:pPr>
            <w:r>
              <w:rPr>
                <w:sz w:val="18"/>
                <w:szCs w:val="18"/>
              </w:rPr>
              <w:t>Mantiene correspondencia entre cargos, funciones, niveles y canales de comunicación.</w:t>
            </w:r>
          </w:p>
        </w:tc>
        <w:tc>
          <w:tcPr>
            <w:tcW w:w="1877" w:type="dxa"/>
            <w:shd w:val="clear" w:color="auto" w:fill="D9E2F3"/>
            <w:vAlign w:val="center"/>
          </w:tcPr>
          <w:p w14:paraId="3794E2F5" w14:textId="77777777" w:rsidR="00990B14" w:rsidRDefault="00000000">
            <w:pPr>
              <w:spacing w:before="20" w:after="20"/>
              <w:jc w:val="both"/>
            </w:pPr>
            <w:r>
              <w:rPr>
                <w:sz w:val="18"/>
                <w:szCs w:val="18"/>
              </w:rPr>
              <w:t>Fundamenta la distribución de responsabilidades e identifica riesgos de diseño organizacional.</w:t>
            </w:r>
          </w:p>
        </w:tc>
      </w:tr>
      <w:tr w:rsidR="00990B14" w14:paraId="636A14D5" w14:textId="77777777">
        <w:trPr>
          <w:cantSplit/>
          <w:jc w:val="center"/>
        </w:trPr>
        <w:tc>
          <w:tcPr>
            <w:tcW w:w="1490" w:type="dxa"/>
            <w:vMerge/>
            <w:shd w:val="clear" w:color="auto" w:fill="4472C4"/>
            <w:vAlign w:val="center"/>
          </w:tcPr>
          <w:p w14:paraId="010697E8" w14:textId="77777777" w:rsidR="00990B14" w:rsidRDefault="00990B14">
            <w:pPr>
              <w:spacing w:before="20" w:after="20"/>
            </w:pPr>
          </w:p>
        </w:tc>
        <w:tc>
          <w:tcPr>
            <w:tcW w:w="6038" w:type="dxa"/>
            <w:gridSpan w:val="3"/>
            <w:shd w:val="clear" w:color="auto" w:fill="D9E2F3"/>
            <w:vAlign w:val="center"/>
          </w:tcPr>
          <w:p w14:paraId="74FE6064" w14:textId="77777777" w:rsidR="00990B14" w:rsidRDefault="00000000">
            <w:pPr>
              <w:keepNext/>
              <w:spacing w:before="20" w:after="20"/>
              <w:jc w:val="both"/>
            </w:pPr>
            <w:r>
              <w:rPr>
                <w:b/>
                <w:bCs/>
                <w:i/>
                <w:iCs/>
                <w:sz w:val="18"/>
                <w:szCs w:val="18"/>
              </w:rPr>
              <w:t xml:space="preserve">Producto 8: </w:t>
            </w:r>
            <w:r>
              <w:rPr>
                <w:sz w:val="18"/>
                <w:szCs w:val="18"/>
              </w:rPr>
              <w:t>Resolución de casos</w:t>
            </w:r>
          </w:p>
        </w:tc>
        <w:tc>
          <w:tcPr>
            <w:tcW w:w="1877" w:type="dxa"/>
            <w:shd w:val="clear" w:color="auto" w:fill="D9E2F3"/>
            <w:vAlign w:val="center"/>
          </w:tcPr>
          <w:p w14:paraId="5DC4D69C" w14:textId="77777777" w:rsidR="00990B14" w:rsidRDefault="00000000">
            <w:pPr>
              <w:spacing w:before="20" w:after="20"/>
              <w:jc w:val="center"/>
            </w:pPr>
            <w:r>
              <w:rPr>
                <w:b/>
                <w:bCs/>
                <w:sz w:val="18"/>
                <w:szCs w:val="18"/>
              </w:rPr>
              <w:t>16%</w:t>
            </w:r>
          </w:p>
        </w:tc>
      </w:tr>
      <w:tr w:rsidR="00990B14" w14:paraId="295C3185" w14:textId="77777777">
        <w:trPr>
          <w:cantSplit/>
          <w:jc w:val="center"/>
        </w:trPr>
        <w:tc>
          <w:tcPr>
            <w:tcW w:w="1490" w:type="dxa"/>
            <w:vMerge/>
            <w:shd w:val="clear" w:color="auto" w:fill="4472C4"/>
            <w:vAlign w:val="center"/>
          </w:tcPr>
          <w:p w14:paraId="77AE1A60" w14:textId="77777777" w:rsidR="00990B14" w:rsidRDefault="00990B14">
            <w:pPr>
              <w:spacing w:before="20" w:after="20"/>
            </w:pPr>
          </w:p>
        </w:tc>
        <w:tc>
          <w:tcPr>
            <w:tcW w:w="1805" w:type="dxa"/>
            <w:shd w:val="clear" w:color="auto" w:fill="4472C4"/>
            <w:vAlign w:val="center"/>
          </w:tcPr>
          <w:p w14:paraId="6D36BD66"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680CDAE1" w14:textId="77777777" w:rsidR="00990B14" w:rsidRDefault="00000000">
            <w:pPr>
              <w:keepNext/>
              <w:spacing w:before="20" w:after="20"/>
              <w:jc w:val="center"/>
            </w:pPr>
            <w:r>
              <w:rPr>
                <w:b/>
                <w:bCs/>
                <w:i/>
                <w:iCs/>
                <w:color w:val="FFFFFF"/>
                <w:sz w:val="18"/>
                <w:szCs w:val="18"/>
              </w:rPr>
              <w:t>Insuficiente (1–50)</w:t>
            </w:r>
          </w:p>
        </w:tc>
        <w:tc>
          <w:tcPr>
            <w:tcW w:w="2323" w:type="dxa"/>
            <w:shd w:val="clear" w:color="auto" w:fill="4472C4"/>
            <w:vAlign w:val="center"/>
          </w:tcPr>
          <w:p w14:paraId="5035C813"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3A494EAE" w14:textId="77777777" w:rsidR="00990B14" w:rsidRDefault="00000000">
            <w:pPr>
              <w:keepNext/>
              <w:spacing w:before="20" w:after="20"/>
              <w:jc w:val="center"/>
            </w:pPr>
            <w:r>
              <w:rPr>
                <w:b/>
                <w:bCs/>
                <w:i/>
                <w:iCs/>
                <w:color w:val="FFFFFF"/>
                <w:sz w:val="18"/>
                <w:szCs w:val="18"/>
              </w:rPr>
              <w:t>Destacado (81–100)</w:t>
            </w:r>
          </w:p>
        </w:tc>
      </w:tr>
      <w:tr w:rsidR="00990B14" w14:paraId="5D19805F" w14:textId="77777777">
        <w:trPr>
          <w:cantSplit/>
          <w:jc w:val="center"/>
        </w:trPr>
        <w:tc>
          <w:tcPr>
            <w:tcW w:w="1490" w:type="dxa"/>
            <w:vMerge/>
            <w:shd w:val="clear" w:color="auto" w:fill="4472C4"/>
            <w:vAlign w:val="center"/>
          </w:tcPr>
          <w:p w14:paraId="50E479A8" w14:textId="77777777" w:rsidR="00990B14" w:rsidRDefault="00990B14">
            <w:pPr>
              <w:spacing w:before="20" w:after="20"/>
            </w:pPr>
          </w:p>
        </w:tc>
        <w:tc>
          <w:tcPr>
            <w:tcW w:w="1805" w:type="dxa"/>
            <w:shd w:val="clear" w:color="auto" w:fill="D9E2F3"/>
            <w:vAlign w:val="center"/>
          </w:tcPr>
          <w:p w14:paraId="681C00AA" w14:textId="77777777" w:rsidR="00990B14" w:rsidRDefault="00000000">
            <w:pPr>
              <w:spacing w:before="20" w:after="20"/>
              <w:jc w:val="both"/>
            </w:pPr>
            <w:r>
              <w:rPr>
                <w:sz w:val="18"/>
                <w:szCs w:val="18"/>
              </w:rPr>
              <w:t>Alternativas de decisión</w:t>
            </w:r>
          </w:p>
        </w:tc>
        <w:tc>
          <w:tcPr>
            <w:tcW w:w="1910" w:type="dxa"/>
            <w:shd w:val="clear" w:color="auto" w:fill="D9E2F3"/>
            <w:vAlign w:val="center"/>
          </w:tcPr>
          <w:p w14:paraId="15526369" w14:textId="77777777" w:rsidR="00990B14" w:rsidRDefault="00000000">
            <w:pPr>
              <w:spacing w:before="20" w:after="20"/>
              <w:jc w:val="both"/>
            </w:pPr>
            <w:r>
              <w:rPr>
                <w:sz w:val="18"/>
                <w:szCs w:val="18"/>
              </w:rPr>
              <w:t>No define el problema ni examina opciones para resolverlo.</w:t>
            </w:r>
          </w:p>
        </w:tc>
        <w:tc>
          <w:tcPr>
            <w:tcW w:w="2323" w:type="dxa"/>
            <w:shd w:val="clear" w:color="auto" w:fill="D9E2F3"/>
            <w:vAlign w:val="center"/>
          </w:tcPr>
          <w:p w14:paraId="14BC6AF8" w14:textId="77777777" w:rsidR="00990B14" w:rsidRDefault="00000000">
            <w:pPr>
              <w:spacing w:before="20" w:after="20"/>
              <w:jc w:val="both"/>
            </w:pPr>
            <w:r>
              <w:rPr>
                <w:sz w:val="18"/>
                <w:szCs w:val="18"/>
              </w:rPr>
              <w:t>Documenta el problema, sus causas, alternativas y la decisión gerencial adoptada.</w:t>
            </w:r>
          </w:p>
        </w:tc>
        <w:tc>
          <w:tcPr>
            <w:tcW w:w="1877" w:type="dxa"/>
            <w:shd w:val="clear" w:color="auto" w:fill="D9E2F3"/>
            <w:vAlign w:val="center"/>
          </w:tcPr>
          <w:p w14:paraId="1B606BEF" w14:textId="77777777" w:rsidR="00990B14" w:rsidRDefault="00000000">
            <w:pPr>
              <w:spacing w:before="20" w:after="20"/>
              <w:jc w:val="both"/>
            </w:pPr>
            <w:r>
              <w:rPr>
                <w:sz w:val="18"/>
                <w:szCs w:val="18"/>
              </w:rPr>
              <w:t>Compara alternativas con datos, riesgos y efectos esperados, justificando la elección.</w:t>
            </w:r>
          </w:p>
        </w:tc>
      </w:tr>
      <w:tr w:rsidR="00990B14" w14:paraId="62736690" w14:textId="77777777">
        <w:trPr>
          <w:cantSplit/>
          <w:jc w:val="center"/>
        </w:trPr>
        <w:tc>
          <w:tcPr>
            <w:tcW w:w="1490" w:type="dxa"/>
            <w:vMerge/>
            <w:shd w:val="clear" w:color="auto" w:fill="4472C4"/>
            <w:vAlign w:val="center"/>
          </w:tcPr>
          <w:p w14:paraId="365EA078" w14:textId="77777777" w:rsidR="00990B14" w:rsidRDefault="00990B14">
            <w:pPr>
              <w:spacing w:before="20" w:after="20"/>
            </w:pPr>
          </w:p>
        </w:tc>
        <w:tc>
          <w:tcPr>
            <w:tcW w:w="1805" w:type="dxa"/>
            <w:shd w:val="clear" w:color="auto" w:fill="D9E2F3"/>
            <w:vAlign w:val="center"/>
          </w:tcPr>
          <w:p w14:paraId="673EDAE8" w14:textId="77777777" w:rsidR="00990B14" w:rsidRDefault="00000000">
            <w:pPr>
              <w:spacing w:before="20" w:after="20"/>
              <w:jc w:val="both"/>
            </w:pPr>
            <w:r>
              <w:rPr>
                <w:sz w:val="18"/>
                <w:szCs w:val="18"/>
              </w:rPr>
              <w:t>Acta y liderazgo</w:t>
            </w:r>
          </w:p>
        </w:tc>
        <w:tc>
          <w:tcPr>
            <w:tcW w:w="1910" w:type="dxa"/>
            <w:shd w:val="clear" w:color="auto" w:fill="D9E2F3"/>
            <w:vAlign w:val="center"/>
          </w:tcPr>
          <w:p w14:paraId="7160E2C6" w14:textId="77777777" w:rsidR="00990B14" w:rsidRDefault="00000000">
            <w:pPr>
              <w:spacing w:before="20" w:after="20"/>
              <w:jc w:val="both"/>
            </w:pPr>
            <w:r>
              <w:rPr>
                <w:sz w:val="18"/>
                <w:szCs w:val="18"/>
              </w:rPr>
              <w:t>Omite el acta o no registra deliberaciones y acuerdos relevantes.</w:t>
            </w:r>
          </w:p>
        </w:tc>
        <w:tc>
          <w:tcPr>
            <w:tcW w:w="2323" w:type="dxa"/>
            <w:shd w:val="clear" w:color="auto" w:fill="D9E2F3"/>
            <w:vAlign w:val="center"/>
          </w:tcPr>
          <w:p w14:paraId="2CE8C6BC" w14:textId="77777777" w:rsidR="00990B14" w:rsidRDefault="00000000">
            <w:pPr>
              <w:spacing w:before="20" w:after="20"/>
              <w:jc w:val="both"/>
            </w:pPr>
            <w:r>
              <w:rPr>
                <w:sz w:val="18"/>
                <w:szCs w:val="18"/>
              </w:rPr>
              <w:t>Incluye acta con participantes, análisis realizado, acuerdos, responsables y plazos.</w:t>
            </w:r>
          </w:p>
        </w:tc>
        <w:tc>
          <w:tcPr>
            <w:tcW w:w="1877" w:type="dxa"/>
            <w:shd w:val="clear" w:color="auto" w:fill="D9E2F3"/>
            <w:vAlign w:val="center"/>
          </w:tcPr>
          <w:p w14:paraId="791CD710" w14:textId="77777777" w:rsidR="00990B14" w:rsidRDefault="00000000">
            <w:pPr>
              <w:spacing w:before="20" w:after="20"/>
              <w:jc w:val="both"/>
            </w:pPr>
            <w:r>
              <w:rPr>
                <w:sz w:val="18"/>
                <w:szCs w:val="18"/>
              </w:rPr>
              <w:t>Demuestra conducción participativa, gestión del conflicto y trazabilidad de los acuerdos.</w:t>
            </w:r>
          </w:p>
        </w:tc>
      </w:tr>
      <w:tr w:rsidR="00990B14" w14:paraId="6700DBEE" w14:textId="77777777">
        <w:trPr>
          <w:cantSplit/>
          <w:jc w:val="center"/>
        </w:trPr>
        <w:tc>
          <w:tcPr>
            <w:tcW w:w="1490" w:type="dxa"/>
            <w:vMerge/>
            <w:shd w:val="clear" w:color="auto" w:fill="4472C4"/>
            <w:vAlign w:val="center"/>
          </w:tcPr>
          <w:p w14:paraId="003295EE" w14:textId="77777777" w:rsidR="00990B14" w:rsidRDefault="00990B14">
            <w:pPr>
              <w:spacing w:before="20" w:after="20"/>
            </w:pPr>
          </w:p>
        </w:tc>
        <w:tc>
          <w:tcPr>
            <w:tcW w:w="1805" w:type="dxa"/>
            <w:shd w:val="clear" w:color="auto" w:fill="D9E2F3"/>
            <w:vAlign w:val="center"/>
          </w:tcPr>
          <w:p w14:paraId="2FAE895A" w14:textId="77777777" w:rsidR="00990B14" w:rsidRDefault="00000000">
            <w:pPr>
              <w:spacing w:before="20" w:after="20"/>
              <w:jc w:val="both"/>
            </w:pPr>
            <w:r>
              <w:rPr>
                <w:sz w:val="18"/>
                <w:szCs w:val="18"/>
              </w:rPr>
              <w:t>Comunicación, ética y seguimiento</w:t>
            </w:r>
          </w:p>
        </w:tc>
        <w:tc>
          <w:tcPr>
            <w:tcW w:w="1910" w:type="dxa"/>
            <w:shd w:val="clear" w:color="auto" w:fill="D9E2F3"/>
            <w:vAlign w:val="center"/>
          </w:tcPr>
          <w:p w14:paraId="55D81CE2" w14:textId="77777777" w:rsidR="00990B14" w:rsidRDefault="00000000">
            <w:pPr>
              <w:spacing w:before="20" w:after="20"/>
              <w:jc w:val="both"/>
            </w:pPr>
            <w:r>
              <w:rPr>
                <w:sz w:val="18"/>
                <w:szCs w:val="18"/>
              </w:rPr>
              <w:t>No incorpora plan de comunicación ni considera implicaciones éticas.</w:t>
            </w:r>
          </w:p>
        </w:tc>
        <w:tc>
          <w:tcPr>
            <w:tcW w:w="2323" w:type="dxa"/>
            <w:shd w:val="clear" w:color="auto" w:fill="D9E2F3"/>
            <w:vAlign w:val="center"/>
          </w:tcPr>
          <w:p w14:paraId="5ED8F480" w14:textId="77777777" w:rsidR="00990B14" w:rsidRDefault="00000000">
            <w:pPr>
              <w:spacing w:before="20" w:after="20"/>
              <w:jc w:val="both"/>
            </w:pPr>
            <w:r>
              <w:rPr>
                <w:sz w:val="18"/>
                <w:szCs w:val="18"/>
              </w:rPr>
              <w:t>Incluye plan de comunicación interna y fundamentación ética de la decisión.</w:t>
            </w:r>
          </w:p>
        </w:tc>
        <w:tc>
          <w:tcPr>
            <w:tcW w:w="1877" w:type="dxa"/>
            <w:shd w:val="clear" w:color="auto" w:fill="D9E2F3"/>
            <w:vAlign w:val="center"/>
          </w:tcPr>
          <w:p w14:paraId="4428A9A4" w14:textId="77777777" w:rsidR="00990B14" w:rsidRDefault="00000000">
            <w:pPr>
              <w:spacing w:before="20" w:after="20"/>
              <w:jc w:val="both"/>
            </w:pPr>
            <w:r>
              <w:rPr>
                <w:sz w:val="18"/>
                <w:szCs w:val="18"/>
              </w:rPr>
              <w:t>Define seguimiento, mensajes, destinatarios e indicadores y valora efectos en interesados.</w:t>
            </w:r>
          </w:p>
        </w:tc>
      </w:tr>
      <w:tr w:rsidR="00990B14" w14:paraId="12A1B972" w14:textId="77777777">
        <w:trPr>
          <w:cantSplit/>
          <w:jc w:val="center"/>
        </w:trPr>
        <w:tc>
          <w:tcPr>
            <w:tcW w:w="7528" w:type="dxa"/>
            <w:gridSpan w:val="4"/>
            <w:shd w:val="clear" w:color="auto" w:fill="4472C4"/>
            <w:vAlign w:val="center"/>
          </w:tcPr>
          <w:p w14:paraId="2702341F" w14:textId="77777777" w:rsidR="00990B14" w:rsidRDefault="00000000">
            <w:pPr>
              <w:keepNext/>
              <w:spacing w:before="20" w:after="20"/>
              <w:jc w:val="center"/>
            </w:pPr>
            <w:r>
              <w:rPr>
                <w:b/>
                <w:bCs/>
                <w:i/>
                <w:iCs/>
                <w:color w:val="FFFFFF"/>
                <w:sz w:val="18"/>
                <w:szCs w:val="18"/>
              </w:rPr>
              <w:lastRenderedPageBreak/>
              <w:t>TOTAL</w:t>
            </w:r>
          </w:p>
        </w:tc>
        <w:tc>
          <w:tcPr>
            <w:tcW w:w="1877" w:type="dxa"/>
            <w:shd w:val="clear" w:color="auto" w:fill="4472C4"/>
            <w:vAlign w:val="center"/>
          </w:tcPr>
          <w:p w14:paraId="1A964A01" w14:textId="77777777" w:rsidR="00990B14" w:rsidRDefault="00000000">
            <w:pPr>
              <w:keepNext/>
              <w:spacing w:before="20" w:after="20"/>
              <w:jc w:val="center"/>
            </w:pPr>
            <w:r>
              <w:rPr>
                <w:b/>
                <w:bCs/>
                <w:i/>
                <w:iCs/>
                <w:color w:val="FFFFFF"/>
                <w:sz w:val="18"/>
                <w:szCs w:val="18"/>
              </w:rPr>
              <w:t>100%</w:t>
            </w:r>
          </w:p>
        </w:tc>
      </w:tr>
    </w:tbl>
    <w:p w14:paraId="6153FCEA"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9405"/>
      </w:tblGrid>
      <w:tr w:rsidR="00990B14" w14:paraId="42B65181" w14:textId="77777777">
        <w:trPr>
          <w:jc w:val="center"/>
        </w:trPr>
        <w:tc>
          <w:tcPr>
            <w:tcW w:w="9405" w:type="dxa"/>
            <w:shd w:val="clear" w:color="auto" w:fill="D9E2F3"/>
          </w:tcPr>
          <w:p w14:paraId="6E1A872E" w14:textId="77777777" w:rsidR="00990B14" w:rsidRDefault="00000000">
            <w:pPr>
              <w:spacing w:before="40" w:after="40"/>
              <w:jc w:val="both"/>
            </w:pPr>
            <w:r>
              <w:rPr>
                <w:b/>
                <w:bCs/>
                <w:i/>
                <w:iCs/>
                <w:sz w:val="18"/>
                <w:szCs w:val="18"/>
              </w:rPr>
              <w:t>Bibliografía básica:</w:t>
            </w:r>
          </w:p>
          <w:p w14:paraId="0AC0D850" w14:textId="77777777" w:rsidR="00990B14" w:rsidRDefault="00000000">
            <w:pPr>
              <w:numPr>
                <w:ilvl w:val="0"/>
                <w:numId w:val="140"/>
              </w:numPr>
              <w:spacing w:after="20"/>
              <w:jc w:val="both"/>
            </w:pPr>
            <w:r>
              <w:rPr>
                <w:sz w:val="18"/>
                <w:szCs w:val="18"/>
              </w:rPr>
              <w:t xml:space="preserve">Bolivia (1990). </w:t>
            </w:r>
            <w:r>
              <w:rPr>
                <w:i/>
                <w:iCs/>
                <w:sz w:val="18"/>
                <w:szCs w:val="18"/>
              </w:rPr>
              <w:t>Ley N.º 1178, de Administración y Control Gubernamentales</w:t>
            </w:r>
            <w:r>
              <w:rPr>
                <w:sz w:val="18"/>
                <w:szCs w:val="18"/>
              </w:rPr>
              <w:t xml:space="preserve">. Ley de 20 de julio de 1990. Chiavenato, I. (2006). </w:t>
            </w:r>
            <w:r>
              <w:rPr>
                <w:i/>
                <w:iCs/>
                <w:sz w:val="18"/>
                <w:szCs w:val="18"/>
              </w:rPr>
              <w:t>Introducción a la teoría general de la administración</w:t>
            </w:r>
            <w:r>
              <w:rPr>
                <w:sz w:val="18"/>
                <w:szCs w:val="18"/>
              </w:rPr>
              <w:t>. McGraw-Hill.</w:t>
            </w:r>
          </w:p>
          <w:p w14:paraId="23373E6B" w14:textId="77777777" w:rsidR="00990B14" w:rsidRDefault="00000000">
            <w:pPr>
              <w:numPr>
                <w:ilvl w:val="0"/>
                <w:numId w:val="140"/>
              </w:numPr>
              <w:spacing w:after="20"/>
              <w:jc w:val="both"/>
            </w:pPr>
            <w:r>
              <w:rPr>
                <w:sz w:val="18"/>
                <w:szCs w:val="18"/>
              </w:rPr>
              <w:t xml:space="preserve">Fernández, A. (2007). </w:t>
            </w:r>
            <w:r>
              <w:rPr>
                <w:i/>
                <w:iCs/>
                <w:sz w:val="18"/>
                <w:szCs w:val="18"/>
              </w:rPr>
              <w:t>El proceso administrativo</w:t>
            </w:r>
            <w:r>
              <w:rPr>
                <w:sz w:val="18"/>
                <w:szCs w:val="18"/>
              </w:rPr>
              <w:t>. Editorial Continental.</w:t>
            </w:r>
          </w:p>
          <w:p w14:paraId="1962620B" w14:textId="77777777" w:rsidR="00990B14" w:rsidRDefault="00000000">
            <w:pPr>
              <w:numPr>
                <w:ilvl w:val="0"/>
                <w:numId w:val="140"/>
              </w:numPr>
              <w:spacing w:after="20"/>
              <w:jc w:val="both"/>
            </w:pPr>
            <w:r>
              <w:rPr>
                <w:sz w:val="18"/>
                <w:szCs w:val="18"/>
              </w:rPr>
              <w:t xml:space="preserve">Hernández, S. y Rodríguez, G. (2012). </w:t>
            </w:r>
            <w:r>
              <w:rPr>
                <w:i/>
                <w:iCs/>
                <w:sz w:val="18"/>
                <w:szCs w:val="18"/>
              </w:rPr>
              <w:t>Administración</w:t>
            </w:r>
            <w:r>
              <w:rPr>
                <w:sz w:val="18"/>
                <w:szCs w:val="18"/>
              </w:rPr>
              <w:t>. McGraw-Hill.</w:t>
            </w:r>
          </w:p>
          <w:p w14:paraId="6E580B4C" w14:textId="77777777" w:rsidR="00990B14" w:rsidRDefault="00000000">
            <w:pPr>
              <w:numPr>
                <w:ilvl w:val="0"/>
                <w:numId w:val="140"/>
              </w:numPr>
              <w:spacing w:after="20"/>
              <w:jc w:val="both"/>
            </w:pPr>
            <w:r>
              <w:rPr>
                <w:sz w:val="18"/>
                <w:szCs w:val="18"/>
              </w:rPr>
              <w:t xml:space="preserve">Munch, L. (2010). </w:t>
            </w:r>
            <w:r>
              <w:rPr>
                <w:i/>
                <w:iCs/>
                <w:sz w:val="18"/>
                <w:szCs w:val="18"/>
              </w:rPr>
              <w:t>Gestión organizacional, enfoques y proceso administrativo</w:t>
            </w:r>
            <w:r>
              <w:rPr>
                <w:sz w:val="18"/>
                <w:szCs w:val="18"/>
              </w:rPr>
              <w:t>. Pearson.</w:t>
            </w:r>
          </w:p>
        </w:tc>
      </w:tr>
      <w:tr w:rsidR="00990B14" w14:paraId="0FB16B21" w14:textId="77777777">
        <w:trPr>
          <w:jc w:val="center"/>
        </w:trPr>
        <w:tc>
          <w:tcPr>
            <w:tcW w:w="9405" w:type="dxa"/>
            <w:shd w:val="clear" w:color="auto" w:fill="D9E2F3"/>
          </w:tcPr>
          <w:p w14:paraId="6761951B" w14:textId="77777777" w:rsidR="00990B14" w:rsidRDefault="00000000">
            <w:pPr>
              <w:spacing w:before="40" w:after="40"/>
              <w:jc w:val="both"/>
            </w:pPr>
            <w:r>
              <w:rPr>
                <w:b/>
                <w:bCs/>
                <w:i/>
                <w:iCs/>
                <w:sz w:val="18"/>
                <w:szCs w:val="18"/>
              </w:rPr>
              <w:t>Bibliografía complementaria:</w:t>
            </w:r>
          </w:p>
          <w:p w14:paraId="25A22572" w14:textId="77777777" w:rsidR="00990B14" w:rsidRDefault="00000000">
            <w:pPr>
              <w:numPr>
                <w:ilvl w:val="0"/>
                <w:numId w:val="140"/>
              </w:numPr>
              <w:spacing w:after="20"/>
              <w:jc w:val="both"/>
            </w:pPr>
            <w:r>
              <w:rPr>
                <w:sz w:val="18"/>
                <w:szCs w:val="18"/>
              </w:rPr>
              <w:t xml:space="preserve">Drucker, P. (2005). </w:t>
            </w:r>
            <w:r>
              <w:rPr>
                <w:i/>
                <w:iCs/>
                <w:sz w:val="18"/>
                <w:szCs w:val="18"/>
              </w:rPr>
              <w:t>La gerencia</w:t>
            </w:r>
            <w:r>
              <w:rPr>
                <w:sz w:val="18"/>
                <w:szCs w:val="18"/>
              </w:rPr>
              <w:t>. McGraw-Hill.</w:t>
            </w:r>
          </w:p>
          <w:p w14:paraId="58834AD3" w14:textId="77777777" w:rsidR="00990B14" w:rsidRDefault="00000000">
            <w:pPr>
              <w:numPr>
                <w:ilvl w:val="0"/>
                <w:numId w:val="140"/>
              </w:numPr>
              <w:spacing w:after="20"/>
              <w:jc w:val="both"/>
            </w:pPr>
            <w:r w:rsidRPr="00BD34F7">
              <w:rPr>
                <w:sz w:val="18"/>
                <w:szCs w:val="18"/>
                <w:lang w:val="en-US"/>
              </w:rPr>
              <w:t xml:space="preserve">Koontz, H. y Weihrich, H. (2011). </w:t>
            </w:r>
            <w:r>
              <w:rPr>
                <w:i/>
                <w:iCs/>
                <w:sz w:val="18"/>
                <w:szCs w:val="18"/>
              </w:rPr>
              <w:t>Administración: una perspectiva global</w:t>
            </w:r>
            <w:r>
              <w:rPr>
                <w:sz w:val="18"/>
                <w:szCs w:val="18"/>
              </w:rPr>
              <w:t>. McGraw-Hill.</w:t>
            </w:r>
          </w:p>
          <w:p w14:paraId="3FDA5446" w14:textId="77777777" w:rsidR="00990B14" w:rsidRDefault="00000000">
            <w:pPr>
              <w:numPr>
                <w:ilvl w:val="0"/>
                <w:numId w:val="140"/>
              </w:numPr>
              <w:spacing w:after="20"/>
              <w:jc w:val="both"/>
            </w:pPr>
            <w:r>
              <w:rPr>
                <w:sz w:val="18"/>
                <w:szCs w:val="18"/>
              </w:rPr>
              <w:t xml:space="preserve">Mancera, F. (2017). </w:t>
            </w:r>
            <w:r>
              <w:rPr>
                <w:i/>
                <w:iCs/>
                <w:sz w:val="18"/>
                <w:szCs w:val="18"/>
              </w:rPr>
              <w:t>Control de gestión</w:t>
            </w:r>
            <w:r>
              <w:rPr>
                <w:sz w:val="18"/>
                <w:szCs w:val="18"/>
              </w:rPr>
              <w:t xml:space="preserve">. Universidad José Carlos Mariátegui. Disponible en: http://www.ujcm.edu.pe/bv/links/cur_comercial/AdminGen-16.pdf Munch, L. (2007). </w:t>
            </w:r>
            <w:r>
              <w:rPr>
                <w:i/>
                <w:iCs/>
                <w:sz w:val="18"/>
                <w:szCs w:val="18"/>
              </w:rPr>
              <w:t>Administración: escuelas, proceso administrativo, áreas funcionales y desarrollo emprendedor</w:t>
            </w:r>
            <w:r>
              <w:rPr>
                <w:sz w:val="18"/>
                <w:szCs w:val="18"/>
              </w:rPr>
              <w:t>. Pearson.</w:t>
            </w:r>
          </w:p>
          <w:p w14:paraId="35DFD02E" w14:textId="77777777" w:rsidR="00990B14" w:rsidRDefault="00000000">
            <w:pPr>
              <w:numPr>
                <w:ilvl w:val="0"/>
                <w:numId w:val="140"/>
              </w:numPr>
              <w:spacing w:after="20"/>
              <w:jc w:val="both"/>
            </w:pPr>
            <w:r>
              <w:rPr>
                <w:sz w:val="18"/>
                <w:szCs w:val="18"/>
              </w:rPr>
              <w:t xml:space="preserve">Morrisey, G. (2009a). </w:t>
            </w:r>
            <w:r>
              <w:rPr>
                <w:i/>
                <w:iCs/>
                <w:sz w:val="18"/>
                <w:szCs w:val="18"/>
              </w:rPr>
              <w:t>Pensamiento estratégico</w:t>
            </w:r>
            <w:r>
              <w:rPr>
                <w:sz w:val="18"/>
                <w:szCs w:val="18"/>
              </w:rPr>
              <w:t>. Prentice Hall.</w:t>
            </w:r>
          </w:p>
          <w:p w14:paraId="66424AE0" w14:textId="77777777" w:rsidR="00990B14" w:rsidRDefault="00000000">
            <w:pPr>
              <w:numPr>
                <w:ilvl w:val="0"/>
                <w:numId w:val="140"/>
              </w:numPr>
              <w:spacing w:after="20"/>
              <w:jc w:val="both"/>
            </w:pPr>
            <w:r>
              <w:rPr>
                <w:sz w:val="18"/>
                <w:szCs w:val="18"/>
              </w:rPr>
              <w:t xml:space="preserve">Morrisey, G. (2009b). </w:t>
            </w:r>
            <w:r>
              <w:rPr>
                <w:i/>
                <w:iCs/>
                <w:sz w:val="18"/>
                <w:szCs w:val="18"/>
              </w:rPr>
              <w:t>Planeación a largo plazo</w:t>
            </w:r>
            <w:r>
              <w:rPr>
                <w:sz w:val="18"/>
                <w:szCs w:val="18"/>
              </w:rPr>
              <w:t>. Prentice Hall.</w:t>
            </w:r>
          </w:p>
          <w:p w14:paraId="183F6F3C" w14:textId="77777777" w:rsidR="00990B14" w:rsidRDefault="00000000">
            <w:pPr>
              <w:numPr>
                <w:ilvl w:val="0"/>
                <w:numId w:val="140"/>
              </w:numPr>
              <w:spacing w:after="20"/>
              <w:jc w:val="both"/>
            </w:pPr>
            <w:r>
              <w:rPr>
                <w:sz w:val="18"/>
                <w:szCs w:val="18"/>
              </w:rPr>
              <w:t xml:space="preserve">Morrisey, G. (2009c). </w:t>
            </w:r>
            <w:r>
              <w:rPr>
                <w:i/>
                <w:iCs/>
                <w:sz w:val="18"/>
                <w:szCs w:val="18"/>
              </w:rPr>
              <w:t>Planeación táctica</w:t>
            </w:r>
            <w:r>
              <w:rPr>
                <w:sz w:val="18"/>
                <w:szCs w:val="18"/>
              </w:rPr>
              <w:t>. Prentice Hall.</w:t>
            </w:r>
          </w:p>
          <w:p w14:paraId="549B0DF0" w14:textId="77777777" w:rsidR="00990B14" w:rsidRDefault="00000000">
            <w:pPr>
              <w:numPr>
                <w:ilvl w:val="0"/>
                <w:numId w:val="140"/>
              </w:numPr>
              <w:spacing w:after="20"/>
              <w:jc w:val="both"/>
            </w:pPr>
            <w:r>
              <w:rPr>
                <w:sz w:val="18"/>
                <w:szCs w:val="18"/>
              </w:rPr>
              <w:t xml:space="preserve">Reyes, P. (2014). </w:t>
            </w:r>
            <w:r>
              <w:rPr>
                <w:i/>
                <w:iCs/>
                <w:sz w:val="18"/>
                <w:szCs w:val="18"/>
              </w:rPr>
              <w:t>Administración moderna</w:t>
            </w:r>
            <w:r>
              <w:rPr>
                <w:sz w:val="18"/>
                <w:szCs w:val="18"/>
              </w:rPr>
              <w:t>. Limusa.</w:t>
            </w:r>
          </w:p>
          <w:p w14:paraId="5B72926B" w14:textId="77777777" w:rsidR="00990B14" w:rsidRDefault="00000000">
            <w:pPr>
              <w:numPr>
                <w:ilvl w:val="0"/>
                <w:numId w:val="140"/>
              </w:numPr>
              <w:spacing w:after="20"/>
              <w:jc w:val="both"/>
            </w:pPr>
            <w:r>
              <w:rPr>
                <w:sz w:val="18"/>
                <w:szCs w:val="18"/>
              </w:rPr>
              <w:t xml:space="preserve">Serna, H. (2011). </w:t>
            </w:r>
            <w:r>
              <w:rPr>
                <w:i/>
                <w:iCs/>
                <w:sz w:val="18"/>
                <w:szCs w:val="18"/>
              </w:rPr>
              <w:t>Planificación y gestión estratégica</w:t>
            </w:r>
            <w:r>
              <w:rPr>
                <w:sz w:val="18"/>
                <w:szCs w:val="18"/>
              </w:rPr>
              <w:t>. Editorial Gerentes.</w:t>
            </w:r>
          </w:p>
          <w:p w14:paraId="5567F1BB" w14:textId="77777777" w:rsidR="00990B14" w:rsidRDefault="00000000">
            <w:pPr>
              <w:numPr>
                <w:ilvl w:val="0"/>
                <w:numId w:val="140"/>
              </w:numPr>
              <w:spacing w:after="20"/>
              <w:jc w:val="both"/>
            </w:pPr>
            <w:r w:rsidRPr="00BD34F7">
              <w:rPr>
                <w:sz w:val="18"/>
                <w:szCs w:val="18"/>
                <w:lang w:val="en-US"/>
              </w:rPr>
              <w:t xml:space="preserve">Stoner, J., Freeman, E. y Gilbert, D. (2012). </w:t>
            </w:r>
            <w:r>
              <w:rPr>
                <w:i/>
                <w:iCs/>
                <w:sz w:val="18"/>
                <w:szCs w:val="18"/>
              </w:rPr>
              <w:t>Administración: una perspectiva global</w:t>
            </w:r>
            <w:r>
              <w:rPr>
                <w:sz w:val="18"/>
                <w:szCs w:val="18"/>
              </w:rPr>
              <w:t>. McGraw-Hill.</w:t>
            </w:r>
          </w:p>
        </w:tc>
      </w:tr>
    </w:tbl>
    <w:p w14:paraId="24677C73" w14:textId="77777777" w:rsidR="00990B14" w:rsidRDefault="00000000">
      <w:pPr>
        <w:pStyle w:val="TituloPlanAsignatura"/>
        <w:keepNext/>
        <w:pageBreakBefore/>
        <w:spacing w:after="120"/>
        <w:jc w:val="center"/>
        <w:outlineLvl w:val="2"/>
      </w:pPr>
      <w:bookmarkStart w:id="149" w:name="_Toc000000090"/>
      <w:r>
        <w:rPr>
          <w:b/>
          <w:bCs/>
          <w:sz w:val="24"/>
          <w:szCs w:val="24"/>
        </w:rPr>
        <w:lastRenderedPageBreak/>
        <w:t>DER-101 Derecho Comercial y Corporativo</w:t>
      </w:r>
      <w:bookmarkEnd w:id="149"/>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249"/>
        <w:gridCol w:w="1100"/>
        <w:gridCol w:w="149"/>
        <w:gridCol w:w="635"/>
        <w:gridCol w:w="615"/>
        <w:gridCol w:w="952"/>
        <w:gridCol w:w="298"/>
        <w:gridCol w:w="1250"/>
        <w:gridCol w:w="20"/>
        <w:gridCol w:w="385"/>
        <w:gridCol w:w="398"/>
        <w:gridCol w:w="447"/>
        <w:gridCol w:w="1907"/>
      </w:tblGrid>
      <w:tr w:rsidR="00990B14" w14:paraId="139D0430" w14:textId="77777777">
        <w:trPr>
          <w:cantSplit/>
          <w:jc w:val="center"/>
        </w:trPr>
        <w:tc>
          <w:tcPr>
            <w:tcW w:w="2349" w:type="dxa"/>
            <w:gridSpan w:val="2"/>
            <w:shd w:val="clear" w:color="auto" w:fill="4472C4"/>
            <w:vAlign w:val="center"/>
          </w:tcPr>
          <w:p w14:paraId="311E08BE" w14:textId="77777777" w:rsidR="00990B14" w:rsidRDefault="00000000">
            <w:pPr>
              <w:keepNext/>
              <w:spacing w:before="20" w:after="20"/>
              <w:jc w:val="center"/>
            </w:pPr>
            <w:r>
              <w:rPr>
                <w:b/>
                <w:bCs/>
                <w:i/>
                <w:iCs/>
                <w:color w:val="FFFFFF"/>
                <w:sz w:val="18"/>
                <w:szCs w:val="18"/>
              </w:rPr>
              <w:t>Asignatura</w:t>
            </w:r>
          </w:p>
        </w:tc>
        <w:tc>
          <w:tcPr>
            <w:tcW w:w="2351" w:type="dxa"/>
            <w:gridSpan w:val="4"/>
            <w:shd w:val="clear" w:color="auto" w:fill="4472C4"/>
            <w:vAlign w:val="center"/>
          </w:tcPr>
          <w:p w14:paraId="68422701" w14:textId="77777777" w:rsidR="00990B14" w:rsidRDefault="00000000">
            <w:pPr>
              <w:keepNext/>
              <w:spacing w:before="20" w:after="20"/>
              <w:jc w:val="center"/>
            </w:pPr>
            <w:r>
              <w:rPr>
                <w:b/>
                <w:bCs/>
                <w:i/>
                <w:iCs/>
                <w:color w:val="FFFFFF"/>
                <w:sz w:val="18"/>
                <w:szCs w:val="18"/>
              </w:rPr>
              <w:t>Sigla</w:t>
            </w:r>
          </w:p>
        </w:tc>
        <w:tc>
          <w:tcPr>
            <w:tcW w:w="2351" w:type="dxa"/>
            <w:gridSpan w:val="5"/>
            <w:shd w:val="clear" w:color="auto" w:fill="4472C4"/>
            <w:vAlign w:val="center"/>
          </w:tcPr>
          <w:p w14:paraId="4CDF443A" w14:textId="77777777" w:rsidR="00990B14" w:rsidRDefault="00000000">
            <w:pPr>
              <w:keepNext/>
              <w:spacing w:before="20" w:after="20"/>
              <w:jc w:val="center"/>
            </w:pPr>
            <w:r>
              <w:rPr>
                <w:b/>
                <w:bCs/>
                <w:i/>
                <w:iCs/>
                <w:color w:val="FFFFFF"/>
                <w:sz w:val="18"/>
                <w:szCs w:val="18"/>
              </w:rPr>
              <w:t>Nivel/Área</w:t>
            </w:r>
          </w:p>
        </w:tc>
        <w:tc>
          <w:tcPr>
            <w:tcW w:w="2354" w:type="dxa"/>
            <w:gridSpan w:val="2"/>
            <w:shd w:val="clear" w:color="auto" w:fill="4472C4"/>
            <w:vAlign w:val="center"/>
          </w:tcPr>
          <w:p w14:paraId="2C49505F" w14:textId="77777777" w:rsidR="00990B14" w:rsidRDefault="00000000">
            <w:pPr>
              <w:keepNext/>
              <w:spacing w:before="20" w:after="20"/>
              <w:jc w:val="center"/>
            </w:pPr>
            <w:r>
              <w:rPr>
                <w:b/>
                <w:bCs/>
                <w:i/>
                <w:iCs/>
                <w:color w:val="FFFFFF"/>
                <w:sz w:val="18"/>
                <w:szCs w:val="18"/>
              </w:rPr>
              <w:t>Prerrequisito</w:t>
            </w:r>
          </w:p>
        </w:tc>
      </w:tr>
      <w:tr w:rsidR="00990B14" w14:paraId="63076110" w14:textId="77777777">
        <w:trPr>
          <w:cantSplit/>
          <w:jc w:val="center"/>
        </w:trPr>
        <w:tc>
          <w:tcPr>
            <w:tcW w:w="2349" w:type="dxa"/>
            <w:gridSpan w:val="2"/>
            <w:shd w:val="clear" w:color="auto" w:fill="D9E2F3"/>
            <w:vAlign w:val="center"/>
          </w:tcPr>
          <w:p w14:paraId="09B65758" w14:textId="77777777" w:rsidR="00990B14" w:rsidRDefault="00000000">
            <w:pPr>
              <w:spacing w:before="20" w:after="20"/>
              <w:jc w:val="center"/>
            </w:pPr>
            <w:r>
              <w:rPr>
                <w:b/>
                <w:bCs/>
                <w:i/>
                <w:iCs/>
                <w:sz w:val="18"/>
                <w:szCs w:val="18"/>
              </w:rPr>
              <w:t>Derecho Comercial y Corporativo</w:t>
            </w:r>
          </w:p>
        </w:tc>
        <w:tc>
          <w:tcPr>
            <w:tcW w:w="2351" w:type="dxa"/>
            <w:gridSpan w:val="4"/>
            <w:shd w:val="clear" w:color="auto" w:fill="D9E2F3"/>
            <w:vAlign w:val="center"/>
          </w:tcPr>
          <w:p w14:paraId="33417D66" w14:textId="77777777" w:rsidR="00990B14" w:rsidRDefault="00000000">
            <w:pPr>
              <w:spacing w:before="20" w:after="20"/>
              <w:jc w:val="center"/>
            </w:pPr>
            <w:r>
              <w:rPr>
                <w:b/>
                <w:bCs/>
                <w:i/>
                <w:iCs/>
                <w:sz w:val="18"/>
                <w:szCs w:val="18"/>
              </w:rPr>
              <w:t>DER-101</w:t>
            </w:r>
          </w:p>
        </w:tc>
        <w:tc>
          <w:tcPr>
            <w:tcW w:w="2351" w:type="dxa"/>
            <w:gridSpan w:val="5"/>
            <w:shd w:val="clear" w:color="auto" w:fill="D9E2F3"/>
            <w:vAlign w:val="center"/>
          </w:tcPr>
          <w:p w14:paraId="72746EE5" w14:textId="77777777" w:rsidR="00990B14" w:rsidRDefault="00000000">
            <w:pPr>
              <w:spacing w:before="20" w:after="20"/>
              <w:jc w:val="center"/>
            </w:pPr>
            <w:r>
              <w:rPr>
                <w:b/>
                <w:bCs/>
                <w:i/>
                <w:iCs/>
                <w:sz w:val="18"/>
                <w:szCs w:val="18"/>
              </w:rPr>
              <w:t>Derecho</w:t>
            </w:r>
          </w:p>
        </w:tc>
        <w:tc>
          <w:tcPr>
            <w:tcW w:w="2354" w:type="dxa"/>
            <w:gridSpan w:val="2"/>
            <w:shd w:val="clear" w:color="auto" w:fill="D9E2F3"/>
            <w:vAlign w:val="center"/>
          </w:tcPr>
          <w:p w14:paraId="77CF33E9" w14:textId="77777777" w:rsidR="00990B14" w:rsidRDefault="00000000">
            <w:pPr>
              <w:spacing w:before="20" w:after="20"/>
              <w:jc w:val="center"/>
            </w:pPr>
            <w:r>
              <w:rPr>
                <w:b/>
                <w:bCs/>
                <w:i/>
                <w:iCs/>
                <w:sz w:val="18"/>
                <w:szCs w:val="18"/>
              </w:rPr>
              <w:t>AE, CPF o PSA</w:t>
            </w:r>
          </w:p>
        </w:tc>
      </w:tr>
      <w:tr w:rsidR="00990B14" w14:paraId="239F3950" w14:textId="77777777">
        <w:trPr>
          <w:cantSplit/>
          <w:jc w:val="center"/>
        </w:trPr>
        <w:tc>
          <w:tcPr>
            <w:tcW w:w="7498" w:type="dxa"/>
            <w:gridSpan w:val="12"/>
            <w:shd w:val="clear" w:color="auto" w:fill="4472C4"/>
            <w:vAlign w:val="center"/>
          </w:tcPr>
          <w:p w14:paraId="2D23808D" w14:textId="77777777" w:rsidR="00990B14" w:rsidRDefault="00000000">
            <w:pPr>
              <w:keepNext/>
              <w:spacing w:before="20" w:after="20"/>
              <w:jc w:val="center"/>
            </w:pPr>
            <w:r>
              <w:rPr>
                <w:b/>
                <w:bCs/>
                <w:i/>
                <w:iCs/>
                <w:color w:val="FFFFFF"/>
                <w:sz w:val="18"/>
                <w:szCs w:val="18"/>
              </w:rPr>
              <w:t>Carga Horaria</w:t>
            </w:r>
          </w:p>
        </w:tc>
        <w:tc>
          <w:tcPr>
            <w:tcW w:w="1907" w:type="dxa"/>
            <w:shd w:val="clear" w:color="auto" w:fill="4472C4"/>
            <w:vAlign w:val="center"/>
          </w:tcPr>
          <w:p w14:paraId="46075D9D" w14:textId="77777777" w:rsidR="00990B14" w:rsidRDefault="00000000">
            <w:pPr>
              <w:keepNext/>
              <w:spacing w:before="20" w:after="20"/>
              <w:jc w:val="center"/>
            </w:pPr>
            <w:r>
              <w:rPr>
                <w:b/>
                <w:bCs/>
                <w:i/>
                <w:iCs/>
                <w:color w:val="FFFFFF"/>
                <w:sz w:val="18"/>
                <w:szCs w:val="18"/>
              </w:rPr>
              <w:t>Créditos</w:t>
            </w:r>
          </w:p>
        </w:tc>
      </w:tr>
      <w:tr w:rsidR="00990B14" w14:paraId="6A1A04A6" w14:textId="77777777">
        <w:trPr>
          <w:cantSplit/>
          <w:jc w:val="center"/>
        </w:trPr>
        <w:tc>
          <w:tcPr>
            <w:tcW w:w="1249" w:type="dxa"/>
            <w:shd w:val="clear" w:color="auto" w:fill="4472C4"/>
            <w:vAlign w:val="center"/>
          </w:tcPr>
          <w:p w14:paraId="2E666D68" w14:textId="77777777" w:rsidR="00990B14" w:rsidRDefault="00000000">
            <w:pPr>
              <w:keepNext/>
              <w:spacing w:before="20" w:after="20"/>
              <w:jc w:val="center"/>
            </w:pPr>
            <w:r>
              <w:rPr>
                <w:b/>
                <w:bCs/>
                <w:i/>
                <w:iCs/>
                <w:color w:val="FFFFFF"/>
                <w:sz w:val="18"/>
                <w:szCs w:val="18"/>
              </w:rPr>
              <w:t>HP</w:t>
            </w:r>
          </w:p>
        </w:tc>
        <w:tc>
          <w:tcPr>
            <w:tcW w:w="1249" w:type="dxa"/>
            <w:gridSpan w:val="2"/>
            <w:shd w:val="clear" w:color="auto" w:fill="4472C4"/>
            <w:vAlign w:val="center"/>
          </w:tcPr>
          <w:p w14:paraId="2A80033A" w14:textId="77777777" w:rsidR="00990B14" w:rsidRDefault="00000000">
            <w:pPr>
              <w:keepNext/>
              <w:spacing w:before="20" w:after="20"/>
              <w:jc w:val="center"/>
            </w:pPr>
            <w:r>
              <w:rPr>
                <w:b/>
                <w:bCs/>
                <w:i/>
                <w:iCs/>
                <w:color w:val="FFFFFF"/>
                <w:sz w:val="18"/>
                <w:szCs w:val="18"/>
              </w:rPr>
              <w:t>HAA</w:t>
            </w:r>
          </w:p>
        </w:tc>
        <w:tc>
          <w:tcPr>
            <w:tcW w:w="1250" w:type="dxa"/>
            <w:gridSpan w:val="2"/>
            <w:shd w:val="clear" w:color="auto" w:fill="4472C4"/>
            <w:vAlign w:val="center"/>
          </w:tcPr>
          <w:p w14:paraId="0C0896C0" w14:textId="77777777" w:rsidR="00990B14" w:rsidRDefault="00000000">
            <w:pPr>
              <w:keepNext/>
              <w:spacing w:before="20" w:after="20"/>
              <w:jc w:val="center"/>
            </w:pPr>
            <w:r>
              <w:rPr>
                <w:b/>
                <w:bCs/>
                <w:i/>
                <w:iCs/>
                <w:color w:val="FFFFFF"/>
                <w:sz w:val="18"/>
                <w:szCs w:val="18"/>
              </w:rPr>
              <w:t>HTG</w:t>
            </w:r>
          </w:p>
        </w:tc>
        <w:tc>
          <w:tcPr>
            <w:tcW w:w="1250" w:type="dxa"/>
            <w:gridSpan w:val="2"/>
            <w:shd w:val="clear" w:color="auto" w:fill="4472C4"/>
            <w:vAlign w:val="center"/>
          </w:tcPr>
          <w:p w14:paraId="408BEC96" w14:textId="77777777" w:rsidR="00990B14" w:rsidRDefault="00000000">
            <w:pPr>
              <w:keepNext/>
              <w:spacing w:before="20" w:after="20"/>
              <w:jc w:val="center"/>
            </w:pPr>
            <w:r>
              <w:rPr>
                <w:b/>
                <w:bCs/>
                <w:i/>
                <w:iCs/>
                <w:color w:val="FFFFFF"/>
                <w:sz w:val="18"/>
                <w:szCs w:val="18"/>
              </w:rPr>
              <w:t>HIP</w:t>
            </w:r>
          </w:p>
        </w:tc>
        <w:tc>
          <w:tcPr>
            <w:tcW w:w="1250" w:type="dxa"/>
            <w:shd w:val="clear" w:color="auto" w:fill="4472C4"/>
            <w:vAlign w:val="center"/>
          </w:tcPr>
          <w:p w14:paraId="5300101B" w14:textId="77777777" w:rsidR="00990B14" w:rsidRDefault="00000000">
            <w:pPr>
              <w:keepNext/>
              <w:spacing w:before="20" w:after="20"/>
              <w:jc w:val="center"/>
            </w:pPr>
            <w:r>
              <w:rPr>
                <w:b/>
                <w:bCs/>
                <w:i/>
                <w:iCs/>
                <w:color w:val="FFFFFF"/>
                <w:sz w:val="18"/>
                <w:szCs w:val="18"/>
              </w:rPr>
              <w:t>HE</w:t>
            </w:r>
          </w:p>
        </w:tc>
        <w:tc>
          <w:tcPr>
            <w:tcW w:w="1250" w:type="dxa"/>
            <w:gridSpan w:val="4"/>
            <w:shd w:val="clear" w:color="auto" w:fill="4472C4"/>
            <w:vAlign w:val="center"/>
          </w:tcPr>
          <w:p w14:paraId="4476BEF0" w14:textId="77777777" w:rsidR="00990B14" w:rsidRDefault="00000000">
            <w:pPr>
              <w:keepNext/>
              <w:spacing w:before="20" w:after="20"/>
              <w:jc w:val="center"/>
            </w:pPr>
            <w:r>
              <w:rPr>
                <w:b/>
                <w:bCs/>
                <w:i/>
                <w:iCs/>
                <w:color w:val="FFFFFF"/>
                <w:sz w:val="18"/>
                <w:szCs w:val="18"/>
              </w:rPr>
              <w:t>TOTAL</w:t>
            </w:r>
          </w:p>
        </w:tc>
        <w:tc>
          <w:tcPr>
            <w:tcW w:w="1907" w:type="dxa"/>
            <w:vMerge w:val="restart"/>
            <w:shd w:val="clear" w:color="auto" w:fill="D9E2F3"/>
            <w:vAlign w:val="center"/>
          </w:tcPr>
          <w:p w14:paraId="1A87E2F1" w14:textId="77777777" w:rsidR="00990B14" w:rsidRDefault="00000000">
            <w:pPr>
              <w:spacing w:before="20" w:after="20"/>
              <w:jc w:val="center"/>
            </w:pPr>
            <w:r>
              <w:rPr>
                <w:sz w:val="18"/>
                <w:szCs w:val="18"/>
              </w:rPr>
              <w:t>5</w:t>
            </w:r>
          </w:p>
        </w:tc>
      </w:tr>
      <w:tr w:rsidR="00990B14" w14:paraId="1411C10B" w14:textId="77777777">
        <w:trPr>
          <w:cantSplit/>
          <w:jc w:val="center"/>
        </w:trPr>
        <w:tc>
          <w:tcPr>
            <w:tcW w:w="1249" w:type="dxa"/>
            <w:shd w:val="clear" w:color="auto" w:fill="D9E2F3"/>
            <w:vAlign w:val="center"/>
          </w:tcPr>
          <w:p w14:paraId="033150FD" w14:textId="77777777" w:rsidR="00990B14" w:rsidRDefault="00000000">
            <w:pPr>
              <w:spacing w:before="20" w:after="20"/>
              <w:jc w:val="center"/>
            </w:pPr>
            <w:r>
              <w:rPr>
                <w:sz w:val="18"/>
                <w:szCs w:val="18"/>
              </w:rPr>
              <w:t>80</w:t>
            </w:r>
          </w:p>
        </w:tc>
        <w:tc>
          <w:tcPr>
            <w:tcW w:w="1249" w:type="dxa"/>
            <w:gridSpan w:val="2"/>
            <w:shd w:val="clear" w:color="auto" w:fill="D9E2F3"/>
            <w:vAlign w:val="center"/>
          </w:tcPr>
          <w:p w14:paraId="15FCB6FB" w14:textId="77777777" w:rsidR="00990B14" w:rsidRDefault="00000000">
            <w:pPr>
              <w:spacing w:before="20" w:after="20"/>
              <w:jc w:val="center"/>
            </w:pPr>
            <w:r>
              <w:rPr>
                <w:sz w:val="18"/>
                <w:szCs w:val="18"/>
              </w:rPr>
              <w:t>14</w:t>
            </w:r>
          </w:p>
        </w:tc>
        <w:tc>
          <w:tcPr>
            <w:tcW w:w="1250" w:type="dxa"/>
            <w:gridSpan w:val="2"/>
            <w:shd w:val="clear" w:color="auto" w:fill="D9E2F3"/>
            <w:vAlign w:val="center"/>
          </w:tcPr>
          <w:p w14:paraId="1B047017" w14:textId="77777777" w:rsidR="00990B14" w:rsidRDefault="00000000">
            <w:pPr>
              <w:spacing w:before="20" w:after="20"/>
              <w:jc w:val="center"/>
            </w:pPr>
            <w:r>
              <w:rPr>
                <w:sz w:val="18"/>
                <w:szCs w:val="18"/>
              </w:rPr>
              <w:t>14</w:t>
            </w:r>
          </w:p>
        </w:tc>
        <w:tc>
          <w:tcPr>
            <w:tcW w:w="1250" w:type="dxa"/>
            <w:gridSpan w:val="2"/>
            <w:shd w:val="clear" w:color="auto" w:fill="D9E2F3"/>
            <w:vAlign w:val="center"/>
          </w:tcPr>
          <w:p w14:paraId="144CCF9D" w14:textId="77777777" w:rsidR="00990B14" w:rsidRDefault="00000000">
            <w:pPr>
              <w:spacing w:before="20" w:after="20"/>
              <w:jc w:val="center"/>
            </w:pPr>
            <w:r>
              <w:rPr>
                <w:sz w:val="18"/>
                <w:szCs w:val="18"/>
              </w:rPr>
              <w:t>28</w:t>
            </w:r>
          </w:p>
        </w:tc>
        <w:tc>
          <w:tcPr>
            <w:tcW w:w="1250" w:type="dxa"/>
            <w:shd w:val="clear" w:color="auto" w:fill="D9E2F3"/>
            <w:vAlign w:val="center"/>
          </w:tcPr>
          <w:p w14:paraId="61C588C8" w14:textId="77777777" w:rsidR="00990B14" w:rsidRDefault="00000000">
            <w:pPr>
              <w:spacing w:before="20" w:after="20"/>
              <w:jc w:val="center"/>
            </w:pPr>
            <w:r>
              <w:rPr>
                <w:sz w:val="18"/>
                <w:szCs w:val="18"/>
              </w:rPr>
              <w:t>14</w:t>
            </w:r>
          </w:p>
        </w:tc>
        <w:tc>
          <w:tcPr>
            <w:tcW w:w="1250" w:type="dxa"/>
            <w:gridSpan w:val="4"/>
            <w:shd w:val="clear" w:color="auto" w:fill="D9E2F3"/>
            <w:vAlign w:val="center"/>
          </w:tcPr>
          <w:p w14:paraId="721D5D2F" w14:textId="77777777" w:rsidR="00990B14" w:rsidRDefault="00000000">
            <w:pPr>
              <w:spacing w:before="20" w:after="20"/>
              <w:jc w:val="center"/>
            </w:pPr>
            <w:r>
              <w:rPr>
                <w:sz w:val="18"/>
                <w:szCs w:val="18"/>
              </w:rPr>
              <w:t>150</w:t>
            </w:r>
          </w:p>
        </w:tc>
        <w:tc>
          <w:tcPr>
            <w:tcW w:w="1907" w:type="dxa"/>
            <w:vMerge/>
            <w:shd w:val="clear" w:color="auto" w:fill="D9E2F3"/>
            <w:vAlign w:val="center"/>
          </w:tcPr>
          <w:p w14:paraId="6B8CCFEE" w14:textId="77777777" w:rsidR="00990B14" w:rsidRDefault="00990B14">
            <w:pPr>
              <w:spacing w:before="20" w:after="20"/>
            </w:pPr>
          </w:p>
        </w:tc>
      </w:tr>
      <w:tr w:rsidR="00990B14" w14:paraId="6F48F6FC" w14:textId="77777777">
        <w:trPr>
          <w:cantSplit/>
          <w:jc w:val="center"/>
        </w:trPr>
        <w:tc>
          <w:tcPr>
            <w:tcW w:w="9405" w:type="dxa"/>
            <w:gridSpan w:val="13"/>
            <w:shd w:val="clear" w:color="auto" w:fill="4472C4"/>
            <w:vAlign w:val="center"/>
          </w:tcPr>
          <w:p w14:paraId="082785E9" w14:textId="77777777" w:rsidR="00990B14" w:rsidRDefault="00000000">
            <w:pPr>
              <w:keepNext/>
              <w:spacing w:before="20" w:after="20"/>
              <w:jc w:val="center"/>
            </w:pPr>
            <w:r>
              <w:rPr>
                <w:b/>
                <w:bCs/>
                <w:i/>
                <w:iCs/>
                <w:color w:val="FFFFFF"/>
                <w:sz w:val="18"/>
                <w:szCs w:val="18"/>
              </w:rPr>
              <w:t>Unidad de Competencia</w:t>
            </w:r>
          </w:p>
        </w:tc>
      </w:tr>
      <w:tr w:rsidR="00990B14" w14:paraId="4CA49DCF" w14:textId="77777777">
        <w:trPr>
          <w:cantSplit/>
          <w:jc w:val="center"/>
        </w:trPr>
        <w:tc>
          <w:tcPr>
            <w:tcW w:w="9405" w:type="dxa"/>
            <w:gridSpan w:val="13"/>
            <w:shd w:val="clear" w:color="auto" w:fill="D9E2F3"/>
            <w:vAlign w:val="center"/>
          </w:tcPr>
          <w:p w14:paraId="5D381C5A" w14:textId="77777777" w:rsidR="00990B14" w:rsidRDefault="00000000">
            <w:pPr>
              <w:spacing w:before="20" w:after="20"/>
              <w:jc w:val="both"/>
            </w:pPr>
            <w:r>
              <w:rPr>
                <w:sz w:val="18"/>
                <w:szCs w:val="18"/>
              </w:rPr>
              <w:t>Aplica el ordenamiento jurídico comercial que regula los actos de comercio, los sujetos de derecho y las sociedades comerciales, mediante el análisis del Código de Comercio y la legislación regulatoria vigente, la caracterización de los documentos constitutivos societarios, títulos valores y mercado de valores, y el seguimiento de los procedimientos de constitución, reorganización y disolución de sociedades comerciales, para garantizar la validez legal de las operaciones comerciales, la gobernanza corporativa y la protección del patrimonio organizacional, con ética profesional, responsabilidad, confidencialidad y estricto cumplimiento normativo.</w:t>
            </w:r>
          </w:p>
        </w:tc>
      </w:tr>
      <w:tr w:rsidR="00990B14" w14:paraId="54B3BFA4" w14:textId="77777777">
        <w:trPr>
          <w:cantSplit/>
          <w:jc w:val="center"/>
        </w:trPr>
        <w:tc>
          <w:tcPr>
            <w:tcW w:w="9405" w:type="dxa"/>
            <w:gridSpan w:val="13"/>
            <w:shd w:val="clear" w:color="auto" w:fill="D9E2F3"/>
            <w:vAlign w:val="center"/>
          </w:tcPr>
          <w:p w14:paraId="6246E45D" w14:textId="77777777" w:rsidR="00990B14" w:rsidRDefault="00000000">
            <w:pPr>
              <w:spacing w:before="20" w:after="20"/>
              <w:jc w:val="both"/>
            </w:pPr>
            <w:r>
              <w:rPr>
                <w:b/>
                <w:bCs/>
                <w:i/>
                <w:iCs/>
                <w:sz w:val="18"/>
                <w:szCs w:val="18"/>
              </w:rPr>
              <w:t xml:space="preserve">Elemento de competencia 1: </w:t>
            </w:r>
            <w:r>
              <w:rPr>
                <w:sz w:val="18"/>
                <w:szCs w:val="18"/>
              </w:rPr>
              <w:t>Analiza el marco conceptual del derecho comercial y el estatuto del comerciante, aplicando el Código de Comercio a los actos de comercio y a las obligaciones registrales de los sujetos mercantiles.</w:t>
            </w:r>
          </w:p>
        </w:tc>
      </w:tr>
      <w:tr w:rsidR="00990B14" w14:paraId="50A14FD9" w14:textId="77777777">
        <w:trPr>
          <w:cantSplit/>
          <w:jc w:val="center"/>
        </w:trPr>
        <w:tc>
          <w:tcPr>
            <w:tcW w:w="3133" w:type="dxa"/>
            <w:gridSpan w:val="4"/>
            <w:shd w:val="clear" w:color="auto" w:fill="4472C4"/>
            <w:vAlign w:val="center"/>
          </w:tcPr>
          <w:p w14:paraId="0ECBDA16"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3D7A39DC"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150A8BC9" w14:textId="77777777" w:rsidR="00990B14" w:rsidRDefault="00000000">
            <w:pPr>
              <w:keepNext/>
              <w:spacing w:before="20" w:after="20"/>
              <w:jc w:val="center"/>
            </w:pPr>
            <w:r>
              <w:rPr>
                <w:b/>
                <w:bCs/>
                <w:i/>
                <w:iCs/>
                <w:color w:val="FFFFFF"/>
                <w:sz w:val="18"/>
                <w:szCs w:val="18"/>
              </w:rPr>
              <w:t>Evidencias de producto</w:t>
            </w:r>
          </w:p>
        </w:tc>
      </w:tr>
      <w:tr w:rsidR="00990B14" w14:paraId="215F6E44" w14:textId="77777777">
        <w:trPr>
          <w:cantSplit/>
          <w:jc w:val="center"/>
        </w:trPr>
        <w:tc>
          <w:tcPr>
            <w:tcW w:w="3133" w:type="dxa"/>
            <w:gridSpan w:val="4"/>
            <w:vMerge w:val="restart"/>
            <w:shd w:val="clear" w:color="auto" w:fill="D9E2F3"/>
            <w:vAlign w:val="center"/>
          </w:tcPr>
          <w:p w14:paraId="578109A7" w14:textId="77777777" w:rsidR="00990B14" w:rsidRDefault="00000000">
            <w:pPr>
              <w:spacing w:before="20" w:after="20"/>
              <w:jc w:val="both"/>
            </w:pPr>
            <w:r>
              <w:rPr>
                <w:sz w:val="18"/>
                <w:szCs w:val="18"/>
              </w:rPr>
              <w:t>1. Explica el marco conceptual del derecho comercial e identifica los actos de comercio y los bienes mercantiles según el Código de Comercio.</w:t>
            </w:r>
          </w:p>
        </w:tc>
        <w:tc>
          <w:tcPr>
            <w:tcW w:w="3135" w:type="dxa"/>
            <w:gridSpan w:val="5"/>
            <w:shd w:val="clear" w:color="auto" w:fill="D9E2F3"/>
            <w:vAlign w:val="center"/>
          </w:tcPr>
          <w:p w14:paraId="0C5C32FF" w14:textId="77777777" w:rsidR="00990B14" w:rsidRDefault="00000000">
            <w:pPr>
              <w:spacing w:before="20" w:after="20"/>
              <w:jc w:val="both"/>
            </w:pPr>
            <w:r>
              <w:rPr>
                <w:sz w:val="18"/>
                <w:szCs w:val="18"/>
              </w:rPr>
              <w:t>1.1 Clasifica un conjunto de actos en actos comerciales, no comerciales, mixtos o por conexión conforme al Código de Comercio.</w:t>
            </w:r>
          </w:p>
        </w:tc>
        <w:tc>
          <w:tcPr>
            <w:tcW w:w="3137" w:type="dxa"/>
            <w:gridSpan w:val="4"/>
            <w:shd w:val="clear" w:color="auto" w:fill="D9E2F3"/>
            <w:vAlign w:val="center"/>
          </w:tcPr>
          <w:p w14:paraId="481D269F" w14:textId="77777777" w:rsidR="00990B14" w:rsidRDefault="00000000">
            <w:pPr>
              <w:spacing w:before="20" w:after="20"/>
              <w:jc w:val="both"/>
            </w:pPr>
            <w:r>
              <w:rPr>
                <w:b/>
                <w:bCs/>
                <w:sz w:val="18"/>
                <w:szCs w:val="18"/>
              </w:rPr>
              <w:t xml:space="preserve">Producto 1: </w:t>
            </w:r>
            <w:r>
              <w:rPr>
                <w:sz w:val="18"/>
                <w:szCs w:val="18"/>
              </w:rPr>
              <w:t>Cuadro de clasificación de los actos de comercio.</w:t>
            </w:r>
          </w:p>
        </w:tc>
      </w:tr>
      <w:tr w:rsidR="00990B14" w14:paraId="5E6D6DBE" w14:textId="77777777">
        <w:trPr>
          <w:cantSplit/>
          <w:jc w:val="center"/>
        </w:trPr>
        <w:tc>
          <w:tcPr>
            <w:tcW w:w="3133" w:type="dxa"/>
            <w:gridSpan w:val="4"/>
            <w:vMerge/>
            <w:shd w:val="clear" w:color="auto" w:fill="D9E2F3"/>
            <w:vAlign w:val="center"/>
          </w:tcPr>
          <w:p w14:paraId="6515EBA3" w14:textId="77777777" w:rsidR="00990B14" w:rsidRDefault="00990B14">
            <w:pPr>
              <w:spacing w:before="20" w:after="20"/>
            </w:pPr>
          </w:p>
        </w:tc>
        <w:tc>
          <w:tcPr>
            <w:tcW w:w="3135" w:type="dxa"/>
            <w:gridSpan w:val="5"/>
            <w:shd w:val="clear" w:color="auto" w:fill="D9E2F3"/>
            <w:vAlign w:val="center"/>
          </w:tcPr>
          <w:p w14:paraId="14FDAA41" w14:textId="77777777" w:rsidR="00990B14" w:rsidRDefault="00000000">
            <w:pPr>
              <w:spacing w:before="20" w:after="20"/>
              <w:jc w:val="both"/>
            </w:pPr>
            <w:r>
              <w:rPr>
                <w:sz w:val="18"/>
                <w:szCs w:val="18"/>
              </w:rPr>
              <w:t>1.2 Identifica la diferencia del documento electrónico comercial con relación al documento comercial tradicional.</w:t>
            </w:r>
          </w:p>
        </w:tc>
        <w:tc>
          <w:tcPr>
            <w:tcW w:w="3137" w:type="dxa"/>
            <w:gridSpan w:val="4"/>
            <w:shd w:val="clear" w:color="auto" w:fill="D9E2F3"/>
            <w:vAlign w:val="center"/>
          </w:tcPr>
          <w:p w14:paraId="62793184" w14:textId="77777777" w:rsidR="00990B14" w:rsidRDefault="00000000">
            <w:pPr>
              <w:spacing w:before="20" w:after="20"/>
              <w:jc w:val="both"/>
            </w:pPr>
            <w:r>
              <w:rPr>
                <w:b/>
                <w:bCs/>
                <w:sz w:val="18"/>
                <w:szCs w:val="18"/>
              </w:rPr>
              <w:t xml:space="preserve">Producto 2: </w:t>
            </w:r>
            <w:r>
              <w:rPr>
                <w:sz w:val="18"/>
                <w:szCs w:val="18"/>
              </w:rPr>
              <w:t>Ficha de resumen de una operación de comercio electrónico.</w:t>
            </w:r>
          </w:p>
        </w:tc>
      </w:tr>
      <w:tr w:rsidR="00990B14" w14:paraId="2953A844" w14:textId="77777777">
        <w:trPr>
          <w:cantSplit/>
          <w:jc w:val="center"/>
        </w:trPr>
        <w:tc>
          <w:tcPr>
            <w:tcW w:w="3133" w:type="dxa"/>
            <w:gridSpan w:val="4"/>
            <w:vMerge w:val="restart"/>
            <w:shd w:val="clear" w:color="auto" w:fill="D9E2F3"/>
            <w:vAlign w:val="center"/>
          </w:tcPr>
          <w:p w14:paraId="2717F53B" w14:textId="77777777" w:rsidR="00990B14" w:rsidRDefault="00000000">
            <w:pPr>
              <w:spacing w:before="20" w:after="20"/>
              <w:jc w:val="both"/>
            </w:pPr>
            <w:r>
              <w:rPr>
                <w:sz w:val="18"/>
                <w:szCs w:val="18"/>
              </w:rPr>
              <w:t>2. Aplica el estatuto del comerciante a las obligaciones registrales y contables de los sujetos mercantiles, distinguiendo sus clases, sus impedimentos y sus prohibiciones.</w:t>
            </w:r>
          </w:p>
        </w:tc>
        <w:tc>
          <w:tcPr>
            <w:tcW w:w="3135" w:type="dxa"/>
            <w:gridSpan w:val="5"/>
            <w:shd w:val="clear" w:color="auto" w:fill="D9E2F3"/>
            <w:vAlign w:val="center"/>
          </w:tcPr>
          <w:p w14:paraId="5D279ECA" w14:textId="77777777" w:rsidR="00990B14" w:rsidRDefault="00000000">
            <w:pPr>
              <w:spacing w:before="20" w:after="20"/>
              <w:jc w:val="both"/>
            </w:pPr>
            <w:r>
              <w:rPr>
                <w:sz w:val="18"/>
                <w:szCs w:val="18"/>
              </w:rPr>
              <w:t>2.1 Verifica en equipo el cumplimiento de las obligaciones contables y registrales de un comerciante en un caso práctico.</w:t>
            </w:r>
          </w:p>
        </w:tc>
        <w:tc>
          <w:tcPr>
            <w:tcW w:w="3137" w:type="dxa"/>
            <w:gridSpan w:val="4"/>
            <w:shd w:val="clear" w:color="auto" w:fill="D9E2F3"/>
            <w:vAlign w:val="center"/>
          </w:tcPr>
          <w:p w14:paraId="54039ABA" w14:textId="77777777" w:rsidR="00990B14" w:rsidRDefault="00000000">
            <w:pPr>
              <w:spacing w:before="20" w:after="20"/>
              <w:jc w:val="both"/>
            </w:pPr>
            <w:r>
              <w:rPr>
                <w:b/>
                <w:bCs/>
                <w:sz w:val="18"/>
                <w:szCs w:val="18"/>
              </w:rPr>
              <w:t xml:space="preserve">Producto 3: </w:t>
            </w:r>
            <w:r>
              <w:rPr>
                <w:sz w:val="18"/>
                <w:szCs w:val="18"/>
              </w:rPr>
              <w:t>Informe sobre las obligaciones y el estatuto de un comerciante.</w:t>
            </w:r>
          </w:p>
        </w:tc>
      </w:tr>
      <w:tr w:rsidR="00990B14" w14:paraId="6AD728EC" w14:textId="77777777">
        <w:trPr>
          <w:cantSplit/>
          <w:jc w:val="center"/>
        </w:trPr>
        <w:tc>
          <w:tcPr>
            <w:tcW w:w="3133" w:type="dxa"/>
            <w:gridSpan w:val="4"/>
            <w:vMerge/>
            <w:shd w:val="clear" w:color="auto" w:fill="D9E2F3"/>
            <w:vAlign w:val="center"/>
          </w:tcPr>
          <w:p w14:paraId="096AF240" w14:textId="77777777" w:rsidR="00990B14" w:rsidRDefault="00990B14">
            <w:pPr>
              <w:spacing w:before="20" w:after="20"/>
            </w:pPr>
          </w:p>
        </w:tc>
        <w:tc>
          <w:tcPr>
            <w:tcW w:w="3135" w:type="dxa"/>
            <w:gridSpan w:val="5"/>
            <w:shd w:val="clear" w:color="auto" w:fill="D9E2F3"/>
            <w:vAlign w:val="center"/>
          </w:tcPr>
          <w:p w14:paraId="66DC47E8" w14:textId="77777777" w:rsidR="00990B14" w:rsidRDefault="00000000">
            <w:pPr>
              <w:spacing w:before="20" w:after="20"/>
              <w:jc w:val="both"/>
            </w:pPr>
            <w:r>
              <w:rPr>
                <w:sz w:val="18"/>
                <w:szCs w:val="18"/>
              </w:rPr>
              <w:t>2.2 Describe ante el curso el trámite de inscripción de una empresa unipersonal ante el Registro de Comercio.</w:t>
            </w:r>
          </w:p>
        </w:tc>
        <w:tc>
          <w:tcPr>
            <w:tcW w:w="3137" w:type="dxa"/>
            <w:gridSpan w:val="4"/>
            <w:shd w:val="clear" w:color="auto" w:fill="D9E2F3"/>
            <w:vAlign w:val="center"/>
          </w:tcPr>
          <w:p w14:paraId="2BBF7423" w14:textId="77777777" w:rsidR="00990B14" w:rsidRDefault="00000000">
            <w:pPr>
              <w:spacing w:before="20" w:after="20"/>
              <w:jc w:val="both"/>
            </w:pPr>
            <w:r>
              <w:rPr>
                <w:b/>
                <w:bCs/>
                <w:sz w:val="18"/>
                <w:szCs w:val="18"/>
              </w:rPr>
              <w:t xml:space="preserve">Producto 4: </w:t>
            </w:r>
            <w:r>
              <w:rPr>
                <w:sz w:val="18"/>
                <w:szCs w:val="18"/>
              </w:rPr>
              <w:t>Ficha de trámite de inscripción ante el Registro de Comercio.</w:t>
            </w:r>
          </w:p>
        </w:tc>
      </w:tr>
      <w:tr w:rsidR="00990B14" w14:paraId="38698F03" w14:textId="77777777">
        <w:trPr>
          <w:cantSplit/>
          <w:jc w:val="center"/>
        </w:trPr>
        <w:tc>
          <w:tcPr>
            <w:tcW w:w="9405" w:type="dxa"/>
            <w:gridSpan w:val="13"/>
            <w:shd w:val="clear" w:color="auto" w:fill="4472C4"/>
            <w:vAlign w:val="center"/>
          </w:tcPr>
          <w:p w14:paraId="5B49C724" w14:textId="77777777" w:rsidR="00990B14" w:rsidRDefault="00000000">
            <w:pPr>
              <w:keepNext/>
              <w:spacing w:before="20" w:after="20"/>
              <w:jc w:val="center"/>
            </w:pPr>
            <w:r>
              <w:rPr>
                <w:b/>
                <w:bCs/>
                <w:i/>
                <w:iCs/>
                <w:color w:val="FFFFFF"/>
                <w:sz w:val="18"/>
                <w:szCs w:val="18"/>
              </w:rPr>
              <w:t>Evidencias de conocimiento</w:t>
            </w:r>
          </w:p>
        </w:tc>
      </w:tr>
      <w:tr w:rsidR="00990B14" w14:paraId="3C3CFD47" w14:textId="77777777">
        <w:trPr>
          <w:cantSplit/>
          <w:jc w:val="center"/>
        </w:trPr>
        <w:tc>
          <w:tcPr>
            <w:tcW w:w="2349" w:type="dxa"/>
            <w:gridSpan w:val="2"/>
            <w:shd w:val="clear" w:color="auto" w:fill="4472C4"/>
            <w:vAlign w:val="center"/>
          </w:tcPr>
          <w:p w14:paraId="44A04540"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538D75F3" w14:textId="77777777" w:rsidR="00990B14" w:rsidRDefault="00000000">
            <w:pPr>
              <w:keepNext/>
              <w:spacing w:before="20" w:after="20"/>
              <w:jc w:val="both"/>
            </w:pPr>
            <w:r>
              <w:rPr>
                <w:b/>
                <w:bCs/>
                <w:i/>
                <w:iCs/>
                <w:color w:val="FFFFFF"/>
                <w:sz w:val="18"/>
                <w:szCs w:val="18"/>
              </w:rPr>
              <w:t>Contenidos</w:t>
            </w:r>
          </w:p>
          <w:p w14:paraId="74F2D2FA"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2294A9A6" w14:textId="77777777" w:rsidR="00990B14" w:rsidRDefault="00000000">
            <w:pPr>
              <w:keepNext/>
              <w:spacing w:before="20" w:after="20"/>
              <w:jc w:val="center"/>
            </w:pPr>
            <w:r>
              <w:rPr>
                <w:b/>
                <w:bCs/>
                <w:i/>
                <w:iCs/>
                <w:color w:val="FFFFFF"/>
                <w:sz w:val="18"/>
                <w:szCs w:val="18"/>
              </w:rPr>
              <w:t>Conocimientos circunstanciales</w:t>
            </w:r>
          </w:p>
        </w:tc>
      </w:tr>
      <w:tr w:rsidR="00990B14" w14:paraId="62ED8E67" w14:textId="77777777">
        <w:trPr>
          <w:jc w:val="center"/>
        </w:trPr>
        <w:tc>
          <w:tcPr>
            <w:tcW w:w="2349" w:type="dxa"/>
            <w:gridSpan w:val="2"/>
            <w:shd w:val="clear" w:color="auto" w:fill="D9E2F3"/>
          </w:tcPr>
          <w:p w14:paraId="0ACD5A92" w14:textId="77777777" w:rsidR="00990B14" w:rsidRDefault="00000000">
            <w:pPr>
              <w:spacing w:before="20" w:after="40"/>
              <w:jc w:val="both"/>
            </w:pPr>
            <w:r>
              <w:rPr>
                <w:sz w:val="18"/>
                <w:szCs w:val="18"/>
              </w:rPr>
              <w:t>Tema 1: Derecho Comercial</w:t>
            </w:r>
          </w:p>
          <w:p w14:paraId="03185B59" w14:textId="77777777" w:rsidR="00990B14" w:rsidRDefault="00000000">
            <w:pPr>
              <w:spacing w:before="20" w:after="40"/>
              <w:jc w:val="both"/>
            </w:pPr>
            <w:r>
              <w:rPr>
                <w:sz w:val="18"/>
                <w:szCs w:val="18"/>
              </w:rPr>
              <w:t>Tema 2: Comerciante o empresario mercantil</w:t>
            </w:r>
          </w:p>
          <w:p w14:paraId="587523AC" w14:textId="77777777" w:rsidR="00990B14" w:rsidRDefault="00000000">
            <w:pPr>
              <w:spacing w:before="20" w:after="40"/>
              <w:jc w:val="both"/>
            </w:pPr>
            <w:r>
              <w:rPr>
                <w:sz w:val="18"/>
                <w:szCs w:val="18"/>
              </w:rPr>
              <w:lastRenderedPageBreak/>
              <w:t>Tema 3: Estatuto del comerciante o empresario mercantil</w:t>
            </w:r>
          </w:p>
        </w:tc>
        <w:tc>
          <w:tcPr>
            <w:tcW w:w="4304" w:type="dxa"/>
            <w:gridSpan w:val="8"/>
            <w:shd w:val="clear" w:color="auto" w:fill="D9E2F3"/>
          </w:tcPr>
          <w:p w14:paraId="20E65C20" w14:textId="77777777" w:rsidR="00990B14" w:rsidRDefault="00000000">
            <w:pPr>
              <w:spacing w:after="40"/>
              <w:jc w:val="both"/>
            </w:pPr>
            <w:r>
              <w:rPr>
                <w:sz w:val="18"/>
                <w:szCs w:val="18"/>
              </w:rPr>
              <w:lastRenderedPageBreak/>
              <w:t>Derecho comercial, subjetivo y objetivo. (C)</w:t>
            </w:r>
          </w:p>
          <w:p w14:paraId="4068EB8D" w14:textId="77777777" w:rsidR="00990B14" w:rsidRDefault="00000000">
            <w:pPr>
              <w:spacing w:after="40"/>
              <w:jc w:val="both"/>
            </w:pPr>
            <w:r>
              <w:rPr>
                <w:sz w:val="18"/>
                <w:szCs w:val="18"/>
              </w:rPr>
              <w:t>Derecho mercantil como derecho de la empresa y del mercado. (C)</w:t>
            </w:r>
          </w:p>
          <w:p w14:paraId="14215558" w14:textId="77777777" w:rsidR="00990B14" w:rsidRDefault="00000000">
            <w:pPr>
              <w:spacing w:after="40"/>
              <w:jc w:val="both"/>
            </w:pPr>
            <w:r>
              <w:rPr>
                <w:sz w:val="18"/>
                <w:szCs w:val="18"/>
              </w:rPr>
              <w:t xml:space="preserve">Actos de comercio: clasificación, actos y operaciones según el Código de Comercio, </w:t>
            </w:r>
            <w:r>
              <w:rPr>
                <w:sz w:val="18"/>
                <w:szCs w:val="18"/>
              </w:rPr>
              <w:lastRenderedPageBreak/>
              <w:t>actos no comerciales, actos mixtos y actos por conexión. (C, P)</w:t>
            </w:r>
          </w:p>
          <w:p w14:paraId="5DD3D1A1" w14:textId="77777777" w:rsidR="00990B14" w:rsidRDefault="00000000">
            <w:pPr>
              <w:spacing w:after="40"/>
              <w:jc w:val="both"/>
            </w:pPr>
            <w:r>
              <w:rPr>
                <w:sz w:val="18"/>
                <w:szCs w:val="18"/>
              </w:rPr>
              <w:t>Bienes mercantiles. (C, P)</w:t>
            </w:r>
          </w:p>
          <w:p w14:paraId="221E0454" w14:textId="77777777" w:rsidR="00990B14" w:rsidRDefault="00000000">
            <w:pPr>
              <w:spacing w:after="40"/>
              <w:jc w:val="both"/>
            </w:pPr>
            <w:r>
              <w:rPr>
                <w:sz w:val="18"/>
                <w:szCs w:val="18"/>
              </w:rPr>
              <w:t>Comercio electrónico: documento electrónico y la firma digital. (C, T)</w:t>
            </w:r>
          </w:p>
          <w:p w14:paraId="7498C123" w14:textId="77777777" w:rsidR="00990B14" w:rsidRDefault="00000000">
            <w:pPr>
              <w:spacing w:after="40"/>
              <w:jc w:val="both"/>
            </w:pPr>
            <w:r>
              <w:rPr>
                <w:sz w:val="18"/>
                <w:szCs w:val="18"/>
              </w:rPr>
              <w:t>Concepto y clases de empresarios mercantiles. (C)</w:t>
            </w:r>
          </w:p>
          <w:p w14:paraId="23364584" w14:textId="77777777" w:rsidR="00990B14" w:rsidRDefault="00000000">
            <w:pPr>
              <w:spacing w:after="40"/>
              <w:jc w:val="both"/>
            </w:pPr>
            <w:r>
              <w:rPr>
                <w:sz w:val="18"/>
                <w:szCs w:val="18"/>
              </w:rPr>
              <w:t>El comerciante persona natural o empresario mercantil individual frente a la empresa unipersonal. Impedimentos y prohibiciones para ejercer el comercio. (C, P)</w:t>
            </w:r>
          </w:p>
          <w:p w14:paraId="74159EB5" w14:textId="77777777" w:rsidR="00990B14" w:rsidRDefault="00000000">
            <w:pPr>
              <w:spacing w:after="40"/>
              <w:jc w:val="both"/>
            </w:pPr>
            <w:r>
              <w:rPr>
                <w:sz w:val="18"/>
                <w:szCs w:val="18"/>
              </w:rPr>
              <w:t>El comerciante persona jurídica o empresario mercantil social: Sociedades comerciales. (C)</w:t>
            </w:r>
          </w:p>
          <w:p w14:paraId="7C768A13" w14:textId="77777777" w:rsidR="00990B14" w:rsidRDefault="00000000">
            <w:pPr>
              <w:spacing w:after="40"/>
              <w:jc w:val="both"/>
            </w:pPr>
            <w:r>
              <w:rPr>
                <w:sz w:val="18"/>
                <w:szCs w:val="18"/>
              </w:rPr>
              <w:t>Obligaciones de los comerciantes. (C)</w:t>
            </w:r>
          </w:p>
          <w:p w14:paraId="6A9BF2B6" w14:textId="77777777" w:rsidR="00990B14" w:rsidRDefault="00000000">
            <w:pPr>
              <w:spacing w:after="40"/>
              <w:jc w:val="both"/>
            </w:pPr>
            <w:r>
              <w:rPr>
                <w:sz w:val="18"/>
                <w:szCs w:val="18"/>
              </w:rPr>
              <w:t>Contabilidad ordenada: libros de contabilidad, libro diario, libro mayor, inventarios y balances, y conservación de los libros contables, análisis jurídico legal y su implicancia con las normas contables. (C, P)</w:t>
            </w:r>
          </w:p>
          <w:p w14:paraId="7BBB1B09" w14:textId="77777777" w:rsidR="00990B14" w:rsidRDefault="00000000">
            <w:pPr>
              <w:spacing w:after="40"/>
              <w:jc w:val="both"/>
            </w:pPr>
            <w:r>
              <w:rPr>
                <w:sz w:val="18"/>
                <w:szCs w:val="18"/>
              </w:rPr>
              <w:t>Registro de Comercio: conceptualización y principios, objeto, actos y sujetos a inscripción. (C, P)</w:t>
            </w:r>
          </w:p>
          <w:p w14:paraId="54093030" w14:textId="77777777" w:rsidR="00990B14" w:rsidRDefault="00000000">
            <w:pPr>
              <w:spacing w:after="40"/>
              <w:jc w:val="both"/>
            </w:pPr>
            <w:r>
              <w:rPr>
                <w:sz w:val="18"/>
                <w:szCs w:val="18"/>
              </w:rPr>
              <w:t>El SEPREC y el registro de comercio. (C, T)</w:t>
            </w:r>
          </w:p>
          <w:p w14:paraId="7F8A8E74" w14:textId="77777777" w:rsidR="00990B14" w:rsidRDefault="00000000">
            <w:pPr>
              <w:spacing w:after="40"/>
              <w:jc w:val="both"/>
            </w:pPr>
            <w:r>
              <w:rPr>
                <w:sz w:val="18"/>
                <w:szCs w:val="18"/>
              </w:rPr>
              <w:t>Sanciones e infracciones comerciales. (C)</w:t>
            </w:r>
          </w:p>
          <w:p w14:paraId="0188035D" w14:textId="77777777" w:rsidR="00990B14" w:rsidRDefault="00000000">
            <w:pPr>
              <w:spacing w:after="40"/>
              <w:jc w:val="both"/>
            </w:pPr>
            <w:r>
              <w:rPr>
                <w:sz w:val="18"/>
                <w:szCs w:val="18"/>
              </w:rPr>
              <w:t>Derecho de la competencia: legislación sobre la libre competencia, la competencia desleal, y clasificación y análisis de los actos de competencia desleal. (C, A)</w:t>
            </w:r>
          </w:p>
        </w:tc>
        <w:tc>
          <w:tcPr>
            <w:tcW w:w="2752" w:type="dxa"/>
            <w:gridSpan w:val="3"/>
            <w:shd w:val="clear" w:color="auto" w:fill="D9E2F3"/>
          </w:tcPr>
          <w:p w14:paraId="59F5A6C7" w14:textId="77777777" w:rsidR="00990B14" w:rsidRDefault="00000000">
            <w:pPr>
              <w:numPr>
                <w:ilvl w:val="0"/>
                <w:numId w:val="139"/>
              </w:numPr>
              <w:spacing w:before="10" w:after="10"/>
              <w:jc w:val="both"/>
            </w:pPr>
            <w:r>
              <w:rPr>
                <w:sz w:val="18"/>
                <w:szCs w:val="18"/>
              </w:rPr>
              <w:lastRenderedPageBreak/>
              <w:t xml:space="preserve">Servicio Plurinacional de Registro de Comercio (SEPREC), creado por el Decreto Supremo N.º 4596 en el marco de la Ley N.º </w:t>
            </w:r>
            <w:r>
              <w:rPr>
                <w:sz w:val="18"/>
                <w:szCs w:val="18"/>
              </w:rPr>
              <w:lastRenderedPageBreak/>
              <w:t>1398, de Registro de Comercio.</w:t>
            </w:r>
          </w:p>
          <w:p w14:paraId="400C0FA3" w14:textId="77777777" w:rsidR="00990B14" w:rsidRDefault="00000000">
            <w:pPr>
              <w:numPr>
                <w:ilvl w:val="0"/>
                <w:numId w:val="139"/>
              </w:numPr>
              <w:spacing w:before="10" w:after="10"/>
              <w:jc w:val="both"/>
            </w:pPr>
            <w:r>
              <w:rPr>
                <w:sz w:val="18"/>
                <w:szCs w:val="18"/>
              </w:rPr>
              <w:t>Código de Comercio, Decreto Ley N.º 14379, que clasifica los actos de comercio y regula las obligaciones de los comerciantes en Bolivia.</w:t>
            </w:r>
          </w:p>
          <w:p w14:paraId="29C0C25F" w14:textId="77777777" w:rsidR="00990B14" w:rsidRDefault="00000000">
            <w:pPr>
              <w:numPr>
                <w:ilvl w:val="0"/>
                <w:numId w:val="139"/>
              </w:numPr>
              <w:spacing w:before="10" w:after="10"/>
              <w:jc w:val="both"/>
            </w:pPr>
            <w:r>
              <w:rPr>
                <w:sz w:val="18"/>
                <w:szCs w:val="18"/>
              </w:rPr>
              <w:t>Ley N.º 164, General de Telecomunicaciones, Tecnologías de Información y Comunicación, que reconoce el valor jurídico del documento electrónico y de la firma digital en los actos comerciales.</w:t>
            </w:r>
          </w:p>
        </w:tc>
      </w:tr>
      <w:tr w:rsidR="00990B14" w14:paraId="27EC9462" w14:textId="77777777">
        <w:trPr>
          <w:cantSplit/>
          <w:jc w:val="center"/>
        </w:trPr>
        <w:tc>
          <w:tcPr>
            <w:tcW w:w="9405" w:type="dxa"/>
            <w:gridSpan w:val="13"/>
            <w:shd w:val="clear" w:color="auto" w:fill="D9E2F3"/>
            <w:vAlign w:val="center"/>
          </w:tcPr>
          <w:p w14:paraId="4E7CE1BB" w14:textId="77777777" w:rsidR="00990B14" w:rsidRDefault="00000000">
            <w:pPr>
              <w:spacing w:before="20" w:after="20"/>
              <w:jc w:val="both"/>
            </w:pPr>
            <w:r>
              <w:rPr>
                <w:b/>
                <w:bCs/>
                <w:i/>
                <w:iCs/>
                <w:sz w:val="18"/>
                <w:szCs w:val="18"/>
              </w:rPr>
              <w:lastRenderedPageBreak/>
              <w:t xml:space="preserve">Elemento de competencia 2: </w:t>
            </w:r>
            <w:r>
              <w:rPr>
                <w:sz w:val="18"/>
                <w:szCs w:val="18"/>
              </w:rPr>
              <w:t>Interpreta la estructura del contrato social y los lineamientos de gobierno corporativo, verificando el cumplimiento legal y regulatorio en la constitución, administración y disolución de sociedades comerciales.</w:t>
            </w:r>
          </w:p>
        </w:tc>
      </w:tr>
      <w:tr w:rsidR="00990B14" w14:paraId="10F5BD06" w14:textId="77777777">
        <w:trPr>
          <w:cantSplit/>
          <w:jc w:val="center"/>
        </w:trPr>
        <w:tc>
          <w:tcPr>
            <w:tcW w:w="3133" w:type="dxa"/>
            <w:gridSpan w:val="4"/>
            <w:shd w:val="clear" w:color="auto" w:fill="4472C4"/>
            <w:vAlign w:val="center"/>
          </w:tcPr>
          <w:p w14:paraId="3A053816"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75457E94"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0615E4C3" w14:textId="77777777" w:rsidR="00990B14" w:rsidRDefault="00000000">
            <w:pPr>
              <w:keepNext/>
              <w:spacing w:before="20" w:after="20"/>
              <w:jc w:val="center"/>
            </w:pPr>
            <w:r>
              <w:rPr>
                <w:b/>
                <w:bCs/>
                <w:i/>
                <w:iCs/>
                <w:color w:val="FFFFFF"/>
                <w:sz w:val="18"/>
                <w:szCs w:val="18"/>
              </w:rPr>
              <w:t>Evidencias de producto</w:t>
            </w:r>
          </w:p>
        </w:tc>
      </w:tr>
      <w:tr w:rsidR="00990B14" w14:paraId="0051E398" w14:textId="77777777">
        <w:trPr>
          <w:cantSplit/>
          <w:jc w:val="center"/>
        </w:trPr>
        <w:tc>
          <w:tcPr>
            <w:tcW w:w="3133" w:type="dxa"/>
            <w:gridSpan w:val="4"/>
            <w:vMerge w:val="restart"/>
            <w:shd w:val="clear" w:color="auto" w:fill="D9E2F3"/>
            <w:vAlign w:val="center"/>
          </w:tcPr>
          <w:p w14:paraId="3E613ACA" w14:textId="77777777" w:rsidR="00990B14" w:rsidRDefault="00000000">
            <w:pPr>
              <w:spacing w:before="20" w:after="20"/>
              <w:jc w:val="both"/>
            </w:pPr>
            <w:r>
              <w:rPr>
                <w:sz w:val="18"/>
                <w:szCs w:val="18"/>
              </w:rPr>
              <w:t>1. Verifica el contenido mínimo legal y regulatorio del contrato social de una sociedad comercial, diferenciando las sociedades de personas de las sociedades de capital y la estructura de sus órganos.</w:t>
            </w:r>
          </w:p>
        </w:tc>
        <w:tc>
          <w:tcPr>
            <w:tcW w:w="3135" w:type="dxa"/>
            <w:gridSpan w:val="5"/>
            <w:shd w:val="clear" w:color="auto" w:fill="D9E2F3"/>
            <w:vAlign w:val="center"/>
          </w:tcPr>
          <w:p w14:paraId="33192649" w14:textId="77777777" w:rsidR="00990B14" w:rsidRDefault="00000000">
            <w:pPr>
              <w:spacing w:before="20" w:after="20"/>
              <w:jc w:val="both"/>
            </w:pPr>
            <w:r>
              <w:rPr>
                <w:sz w:val="18"/>
                <w:szCs w:val="18"/>
              </w:rPr>
              <w:t>1.1 Revisa el cumplimiento de los requisitos legales del Código de Comercio en el contrato social y estatutos de una SRL o SA mediante una lista de cotejo.</w:t>
            </w:r>
          </w:p>
        </w:tc>
        <w:tc>
          <w:tcPr>
            <w:tcW w:w="3137" w:type="dxa"/>
            <w:gridSpan w:val="4"/>
            <w:shd w:val="clear" w:color="auto" w:fill="D9E2F3"/>
            <w:vAlign w:val="center"/>
          </w:tcPr>
          <w:p w14:paraId="66DE7C42" w14:textId="77777777" w:rsidR="00990B14" w:rsidRDefault="00000000">
            <w:pPr>
              <w:spacing w:before="20" w:after="20"/>
              <w:jc w:val="both"/>
            </w:pPr>
            <w:r>
              <w:rPr>
                <w:b/>
                <w:bCs/>
                <w:sz w:val="18"/>
                <w:szCs w:val="18"/>
              </w:rPr>
              <w:t xml:space="preserve">Producto 5: </w:t>
            </w:r>
            <w:r>
              <w:rPr>
                <w:sz w:val="18"/>
                <w:szCs w:val="18"/>
              </w:rPr>
              <w:t>Informe de revisión y lista de cotejo del cumplimiento legal del contrato social y sus estatutos.</w:t>
            </w:r>
          </w:p>
        </w:tc>
      </w:tr>
      <w:tr w:rsidR="00990B14" w14:paraId="7036776E" w14:textId="77777777">
        <w:trPr>
          <w:cantSplit/>
          <w:jc w:val="center"/>
        </w:trPr>
        <w:tc>
          <w:tcPr>
            <w:tcW w:w="3133" w:type="dxa"/>
            <w:gridSpan w:val="4"/>
            <w:vMerge/>
            <w:shd w:val="clear" w:color="auto" w:fill="D9E2F3"/>
            <w:vAlign w:val="center"/>
          </w:tcPr>
          <w:p w14:paraId="6094FC1C" w14:textId="77777777" w:rsidR="00990B14" w:rsidRDefault="00990B14">
            <w:pPr>
              <w:spacing w:before="20" w:after="20"/>
            </w:pPr>
          </w:p>
        </w:tc>
        <w:tc>
          <w:tcPr>
            <w:tcW w:w="3135" w:type="dxa"/>
            <w:gridSpan w:val="5"/>
            <w:shd w:val="clear" w:color="auto" w:fill="D9E2F3"/>
            <w:vAlign w:val="center"/>
          </w:tcPr>
          <w:p w14:paraId="4E98995C" w14:textId="77777777" w:rsidR="00990B14" w:rsidRDefault="00000000">
            <w:pPr>
              <w:spacing w:before="20" w:after="20"/>
              <w:jc w:val="both"/>
            </w:pPr>
            <w:r>
              <w:rPr>
                <w:sz w:val="18"/>
                <w:szCs w:val="18"/>
              </w:rPr>
              <w:t>1.2 Compara en aula las características de la sociedad colectiva, la sociedad en comandita simple, la asociación accidental, la sociedad de responsabilidad limitada y la sociedad anónima.</w:t>
            </w:r>
          </w:p>
        </w:tc>
        <w:tc>
          <w:tcPr>
            <w:tcW w:w="3137" w:type="dxa"/>
            <w:gridSpan w:val="4"/>
            <w:shd w:val="clear" w:color="auto" w:fill="D9E2F3"/>
            <w:vAlign w:val="center"/>
          </w:tcPr>
          <w:p w14:paraId="4F4048D2" w14:textId="77777777" w:rsidR="00990B14" w:rsidRDefault="00000000">
            <w:pPr>
              <w:spacing w:before="20" w:after="20"/>
              <w:jc w:val="both"/>
            </w:pPr>
            <w:r>
              <w:rPr>
                <w:b/>
                <w:bCs/>
                <w:sz w:val="18"/>
                <w:szCs w:val="18"/>
              </w:rPr>
              <w:t xml:space="preserve">Producto 6: </w:t>
            </w:r>
            <w:r>
              <w:rPr>
                <w:sz w:val="18"/>
                <w:szCs w:val="18"/>
              </w:rPr>
              <w:t>Cuadro comparativo de los tipos societarios.</w:t>
            </w:r>
          </w:p>
        </w:tc>
      </w:tr>
      <w:tr w:rsidR="00990B14" w14:paraId="0282B503" w14:textId="77777777">
        <w:trPr>
          <w:cantSplit/>
          <w:jc w:val="center"/>
        </w:trPr>
        <w:tc>
          <w:tcPr>
            <w:tcW w:w="3133" w:type="dxa"/>
            <w:gridSpan w:val="4"/>
            <w:vMerge w:val="restart"/>
            <w:shd w:val="clear" w:color="auto" w:fill="D9E2F3"/>
            <w:vAlign w:val="center"/>
          </w:tcPr>
          <w:p w14:paraId="74909A50" w14:textId="77777777" w:rsidR="00990B14" w:rsidRDefault="00000000">
            <w:pPr>
              <w:spacing w:before="20" w:after="20"/>
              <w:jc w:val="both"/>
            </w:pPr>
            <w:r>
              <w:rPr>
                <w:sz w:val="18"/>
                <w:szCs w:val="18"/>
              </w:rPr>
              <w:t xml:space="preserve">2. Aplica los lineamientos de gobierno corporativo y el régimen de disolución, liquidación, transformación, fusión y escisión de las </w:t>
            </w:r>
            <w:r>
              <w:rPr>
                <w:sz w:val="18"/>
                <w:szCs w:val="18"/>
              </w:rPr>
              <w:lastRenderedPageBreak/>
              <w:t>sociedades comerciales, distinguiendo las empresas públicas, mixtas y sociales y la protección de la empresa mercantil.</w:t>
            </w:r>
          </w:p>
        </w:tc>
        <w:tc>
          <w:tcPr>
            <w:tcW w:w="3135" w:type="dxa"/>
            <w:gridSpan w:val="5"/>
            <w:shd w:val="clear" w:color="auto" w:fill="D9E2F3"/>
            <w:vAlign w:val="center"/>
          </w:tcPr>
          <w:p w14:paraId="6A7CE9DE" w14:textId="77777777" w:rsidR="00990B14" w:rsidRDefault="00000000">
            <w:pPr>
              <w:spacing w:before="20" w:after="20"/>
              <w:jc w:val="both"/>
            </w:pPr>
            <w:r>
              <w:rPr>
                <w:sz w:val="18"/>
                <w:szCs w:val="18"/>
              </w:rPr>
              <w:lastRenderedPageBreak/>
              <w:t>2.1 Analiza en equipo los principios de gobierno corporativo y los conflictos de interés de una sociedad anónima boliviana.</w:t>
            </w:r>
          </w:p>
        </w:tc>
        <w:tc>
          <w:tcPr>
            <w:tcW w:w="3137" w:type="dxa"/>
            <w:gridSpan w:val="4"/>
            <w:shd w:val="clear" w:color="auto" w:fill="D9E2F3"/>
            <w:vAlign w:val="center"/>
          </w:tcPr>
          <w:p w14:paraId="5524DEC3" w14:textId="77777777" w:rsidR="00990B14" w:rsidRDefault="00000000">
            <w:pPr>
              <w:spacing w:before="20" w:after="20"/>
              <w:jc w:val="both"/>
            </w:pPr>
            <w:r>
              <w:rPr>
                <w:b/>
                <w:bCs/>
                <w:sz w:val="18"/>
                <w:szCs w:val="18"/>
              </w:rPr>
              <w:t xml:space="preserve">Producto 7: </w:t>
            </w:r>
            <w:r>
              <w:rPr>
                <w:sz w:val="18"/>
                <w:szCs w:val="18"/>
              </w:rPr>
              <w:t>Informe de aplicación de los principios de gobierno corporativo a una sociedad comercial.</w:t>
            </w:r>
          </w:p>
        </w:tc>
      </w:tr>
      <w:tr w:rsidR="00990B14" w14:paraId="40C735D7" w14:textId="77777777">
        <w:trPr>
          <w:cantSplit/>
          <w:jc w:val="center"/>
        </w:trPr>
        <w:tc>
          <w:tcPr>
            <w:tcW w:w="3133" w:type="dxa"/>
            <w:gridSpan w:val="4"/>
            <w:vMerge/>
            <w:shd w:val="clear" w:color="auto" w:fill="D9E2F3"/>
            <w:vAlign w:val="center"/>
          </w:tcPr>
          <w:p w14:paraId="6B66E338" w14:textId="77777777" w:rsidR="00990B14" w:rsidRDefault="00990B14">
            <w:pPr>
              <w:spacing w:before="20" w:after="20"/>
            </w:pPr>
          </w:p>
        </w:tc>
        <w:tc>
          <w:tcPr>
            <w:tcW w:w="3135" w:type="dxa"/>
            <w:gridSpan w:val="5"/>
            <w:shd w:val="clear" w:color="auto" w:fill="D9E2F3"/>
            <w:vAlign w:val="center"/>
          </w:tcPr>
          <w:p w14:paraId="6527BED9" w14:textId="77777777" w:rsidR="00990B14" w:rsidRDefault="00000000">
            <w:pPr>
              <w:spacing w:before="20" w:after="20"/>
              <w:jc w:val="both"/>
            </w:pPr>
            <w:r>
              <w:rPr>
                <w:sz w:val="18"/>
                <w:szCs w:val="18"/>
              </w:rPr>
              <w:t>2.2 Describe en aula los efectos legales y contables de un caso de disolución, liquidación, fusión o escisión de una sociedad comercial.</w:t>
            </w:r>
          </w:p>
        </w:tc>
        <w:tc>
          <w:tcPr>
            <w:tcW w:w="3137" w:type="dxa"/>
            <w:gridSpan w:val="4"/>
            <w:shd w:val="clear" w:color="auto" w:fill="D9E2F3"/>
            <w:vAlign w:val="center"/>
          </w:tcPr>
          <w:p w14:paraId="40D18424" w14:textId="77777777" w:rsidR="00990B14" w:rsidRDefault="00000000">
            <w:pPr>
              <w:spacing w:before="20" w:after="20"/>
              <w:jc w:val="both"/>
            </w:pPr>
            <w:r>
              <w:rPr>
                <w:b/>
                <w:bCs/>
                <w:sz w:val="18"/>
                <w:szCs w:val="18"/>
              </w:rPr>
              <w:t xml:space="preserve">Producto 8: </w:t>
            </w:r>
            <w:r>
              <w:rPr>
                <w:sz w:val="18"/>
                <w:szCs w:val="18"/>
              </w:rPr>
              <w:t>Informe de los efectos legales y contables de un caso de reorganización o disolución de una empresa.</w:t>
            </w:r>
          </w:p>
        </w:tc>
      </w:tr>
      <w:tr w:rsidR="00990B14" w14:paraId="23E22820" w14:textId="77777777">
        <w:trPr>
          <w:cantSplit/>
          <w:jc w:val="center"/>
        </w:trPr>
        <w:tc>
          <w:tcPr>
            <w:tcW w:w="9405" w:type="dxa"/>
            <w:gridSpan w:val="13"/>
            <w:shd w:val="clear" w:color="auto" w:fill="4472C4"/>
            <w:vAlign w:val="center"/>
          </w:tcPr>
          <w:p w14:paraId="35694E00" w14:textId="77777777" w:rsidR="00990B14" w:rsidRDefault="00000000">
            <w:pPr>
              <w:keepNext/>
              <w:spacing w:before="20" w:after="20"/>
              <w:jc w:val="center"/>
            </w:pPr>
            <w:r>
              <w:rPr>
                <w:b/>
                <w:bCs/>
                <w:i/>
                <w:iCs/>
                <w:color w:val="FFFFFF"/>
                <w:sz w:val="18"/>
                <w:szCs w:val="18"/>
              </w:rPr>
              <w:t>Evidencias de conocimiento</w:t>
            </w:r>
          </w:p>
        </w:tc>
      </w:tr>
      <w:tr w:rsidR="00990B14" w14:paraId="2AE137B0" w14:textId="77777777">
        <w:trPr>
          <w:cantSplit/>
          <w:jc w:val="center"/>
        </w:trPr>
        <w:tc>
          <w:tcPr>
            <w:tcW w:w="2349" w:type="dxa"/>
            <w:gridSpan w:val="2"/>
            <w:shd w:val="clear" w:color="auto" w:fill="4472C4"/>
            <w:vAlign w:val="center"/>
          </w:tcPr>
          <w:p w14:paraId="362A0A19"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05D23CF3" w14:textId="77777777" w:rsidR="00990B14" w:rsidRDefault="00000000">
            <w:pPr>
              <w:keepNext/>
              <w:spacing w:before="20" w:after="20"/>
              <w:jc w:val="both"/>
            </w:pPr>
            <w:r>
              <w:rPr>
                <w:b/>
                <w:bCs/>
                <w:i/>
                <w:iCs/>
                <w:color w:val="FFFFFF"/>
                <w:sz w:val="18"/>
                <w:szCs w:val="18"/>
              </w:rPr>
              <w:t>Contenidos</w:t>
            </w:r>
          </w:p>
          <w:p w14:paraId="6D78DDE9"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50E63738" w14:textId="77777777" w:rsidR="00990B14" w:rsidRDefault="00000000">
            <w:pPr>
              <w:keepNext/>
              <w:spacing w:before="20" w:after="20"/>
              <w:jc w:val="center"/>
            </w:pPr>
            <w:r>
              <w:rPr>
                <w:b/>
                <w:bCs/>
                <w:i/>
                <w:iCs/>
                <w:color w:val="FFFFFF"/>
                <w:sz w:val="18"/>
                <w:szCs w:val="18"/>
              </w:rPr>
              <w:t>Conocimientos circunstanciales</w:t>
            </w:r>
          </w:p>
        </w:tc>
      </w:tr>
      <w:tr w:rsidR="00990B14" w14:paraId="37C49C9C" w14:textId="77777777">
        <w:trPr>
          <w:jc w:val="center"/>
        </w:trPr>
        <w:tc>
          <w:tcPr>
            <w:tcW w:w="2349" w:type="dxa"/>
            <w:gridSpan w:val="2"/>
            <w:shd w:val="clear" w:color="auto" w:fill="D9E2F3"/>
          </w:tcPr>
          <w:p w14:paraId="1D221456" w14:textId="77777777" w:rsidR="00990B14" w:rsidRDefault="00000000">
            <w:pPr>
              <w:spacing w:before="20" w:after="40"/>
              <w:jc w:val="both"/>
            </w:pPr>
            <w:r>
              <w:rPr>
                <w:sz w:val="18"/>
                <w:szCs w:val="18"/>
              </w:rPr>
              <w:t>Tema 4: Sociedades comerciales</w:t>
            </w:r>
          </w:p>
          <w:p w14:paraId="3F72DFF7" w14:textId="77777777" w:rsidR="00990B14" w:rsidRDefault="00000000">
            <w:pPr>
              <w:spacing w:before="20" w:after="40"/>
              <w:jc w:val="both"/>
            </w:pPr>
            <w:r>
              <w:rPr>
                <w:sz w:val="18"/>
                <w:szCs w:val="18"/>
              </w:rPr>
              <w:t>Tema 5: Sociedades comerciales con predominio del factor personal</w:t>
            </w:r>
          </w:p>
          <w:p w14:paraId="3506CD77" w14:textId="77777777" w:rsidR="00990B14" w:rsidRDefault="00000000">
            <w:pPr>
              <w:spacing w:before="20" w:after="40"/>
              <w:jc w:val="both"/>
            </w:pPr>
            <w:r>
              <w:rPr>
                <w:sz w:val="18"/>
                <w:szCs w:val="18"/>
              </w:rPr>
              <w:t>Tema 6: Sociedad de Responsabilidad Limitada</w:t>
            </w:r>
          </w:p>
          <w:p w14:paraId="610513B0" w14:textId="77777777" w:rsidR="00990B14" w:rsidRDefault="00000000">
            <w:pPr>
              <w:spacing w:before="20" w:after="40"/>
              <w:jc w:val="both"/>
            </w:pPr>
            <w:r>
              <w:rPr>
                <w:sz w:val="18"/>
                <w:szCs w:val="18"/>
              </w:rPr>
              <w:t>Tema 7: Sociedad Anónima</w:t>
            </w:r>
          </w:p>
          <w:p w14:paraId="1AD12F64" w14:textId="77777777" w:rsidR="00990B14" w:rsidRDefault="00000000">
            <w:pPr>
              <w:spacing w:before="20" w:after="40"/>
              <w:jc w:val="both"/>
            </w:pPr>
            <w:r>
              <w:rPr>
                <w:sz w:val="18"/>
                <w:szCs w:val="18"/>
              </w:rPr>
              <w:t>Tema 8: Sociedad Anónima Mixta y</w:t>
            </w:r>
          </w:p>
          <w:p w14:paraId="6613CABF" w14:textId="77777777" w:rsidR="00990B14" w:rsidRDefault="00000000">
            <w:pPr>
              <w:spacing w:before="20" w:after="40"/>
              <w:jc w:val="both"/>
            </w:pPr>
            <w:r>
              <w:rPr>
                <w:sz w:val="18"/>
                <w:szCs w:val="18"/>
              </w:rPr>
              <w:t>Tema 9: Empresas estatales</w:t>
            </w:r>
          </w:p>
          <w:p w14:paraId="2055DCCD" w14:textId="77777777" w:rsidR="00990B14" w:rsidRDefault="00000000">
            <w:pPr>
              <w:spacing w:before="20" w:after="40"/>
              <w:jc w:val="both"/>
            </w:pPr>
            <w:r>
              <w:rPr>
                <w:sz w:val="18"/>
                <w:szCs w:val="18"/>
              </w:rPr>
              <w:t>Tema 10: Empresas sociales</w:t>
            </w:r>
          </w:p>
          <w:p w14:paraId="19046F07" w14:textId="77777777" w:rsidR="00990B14" w:rsidRDefault="00000000">
            <w:pPr>
              <w:spacing w:before="20" w:after="40"/>
              <w:jc w:val="both"/>
            </w:pPr>
            <w:r>
              <w:rPr>
                <w:sz w:val="18"/>
                <w:szCs w:val="18"/>
              </w:rPr>
              <w:t>Tema 11: Resolución parcial, disolución, liquidación, transformación, fusión y escisión de sociedades comerciales</w:t>
            </w:r>
          </w:p>
          <w:p w14:paraId="5A242F1E" w14:textId="77777777" w:rsidR="00990B14" w:rsidRDefault="00000000">
            <w:pPr>
              <w:spacing w:before="20" w:after="40"/>
              <w:jc w:val="both"/>
            </w:pPr>
            <w:r>
              <w:rPr>
                <w:sz w:val="18"/>
                <w:szCs w:val="18"/>
              </w:rPr>
              <w:t>Tema 12: Gobierno corporativo</w:t>
            </w:r>
          </w:p>
          <w:p w14:paraId="393067FE" w14:textId="77777777" w:rsidR="00990B14" w:rsidRDefault="00000000">
            <w:pPr>
              <w:spacing w:before="20" w:after="40"/>
              <w:jc w:val="both"/>
            </w:pPr>
            <w:r>
              <w:rPr>
                <w:sz w:val="18"/>
                <w:szCs w:val="18"/>
              </w:rPr>
              <w:t>Tema 13: Lineamientos de Gobierno corporativo para sociedades comerciales</w:t>
            </w:r>
          </w:p>
          <w:p w14:paraId="111249CD" w14:textId="77777777" w:rsidR="00990B14" w:rsidRDefault="00000000">
            <w:pPr>
              <w:spacing w:before="20" w:after="40"/>
              <w:jc w:val="both"/>
            </w:pPr>
            <w:r>
              <w:rPr>
                <w:sz w:val="18"/>
                <w:szCs w:val="18"/>
              </w:rPr>
              <w:t>Tema 14: Empresa mercantil</w:t>
            </w:r>
          </w:p>
        </w:tc>
        <w:tc>
          <w:tcPr>
            <w:tcW w:w="4304" w:type="dxa"/>
            <w:gridSpan w:val="8"/>
            <w:shd w:val="clear" w:color="auto" w:fill="D9E2F3"/>
          </w:tcPr>
          <w:p w14:paraId="05A5FEBD" w14:textId="77777777" w:rsidR="00990B14" w:rsidRDefault="00000000">
            <w:pPr>
              <w:spacing w:after="40"/>
              <w:jc w:val="both"/>
            </w:pPr>
            <w:r>
              <w:rPr>
                <w:sz w:val="18"/>
                <w:szCs w:val="18"/>
              </w:rPr>
              <w:t>Concepto, naturaleza jurídica y clasificación de las sociedades comerciales; elementos que configuran el contrato de sociedad comercial. (C)</w:t>
            </w:r>
          </w:p>
          <w:p w14:paraId="4C2A5427" w14:textId="77777777" w:rsidR="00990B14" w:rsidRDefault="00000000">
            <w:pPr>
              <w:spacing w:after="40"/>
              <w:jc w:val="both"/>
            </w:pPr>
            <w:r>
              <w:rPr>
                <w:sz w:val="18"/>
                <w:szCs w:val="18"/>
              </w:rPr>
              <w:t>Regulación general de las sociedades comerciales. Contenido del instrumento constitutivo, requisitos y trámite de inscripción ante el registro de comercio, adquisición de personalidad jurídica, estipulaciones nulas o cláusulas prohibidas, y derechos de los socios. (C)</w:t>
            </w:r>
          </w:p>
          <w:p w14:paraId="0EEB3E8D" w14:textId="77777777" w:rsidR="00990B14" w:rsidRDefault="00000000">
            <w:pPr>
              <w:spacing w:after="40"/>
              <w:jc w:val="both"/>
            </w:pPr>
            <w:r>
              <w:rPr>
                <w:sz w:val="18"/>
                <w:szCs w:val="18"/>
              </w:rPr>
              <w:t>Sociedad colectiva: características, responsabilidad de los socios, razón social o denominación, administración y representación, participación en los resultados, admisión y retiro de socios, resoluciones y actos de competencia. (C, P)</w:t>
            </w:r>
          </w:p>
          <w:p w14:paraId="71CB6DA7" w14:textId="77777777" w:rsidR="00990B14" w:rsidRDefault="00000000">
            <w:pPr>
              <w:spacing w:after="40"/>
              <w:jc w:val="both"/>
            </w:pPr>
            <w:r>
              <w:rPr>
                <w:sz w:val="18"/>
                <w:szCs w:val="18"/>
              </w:rPr>
              <w:t>Sociedad en comandita simple. (C)</w:t>
            </w:r>
          </w:p>
          <w:p w14:paraId="243A95FB" w14:textId="77777777" w:rsidR="00990B14" w:rsidRDefault="00000000">
            <w:pPr>
              <w:spacing w:after="40"/>
              <w:jc w:val="both"/>
            </w:pPr>
            <w:r>
              <w:rPr>
                <w:sz w:val="18"/>
                <w:szCs w:val="18"/>
              </w:rPr>
              <w:t>Sociedad de responsabilidad limitada: concepto, características, nombre de la sociedad y capital social. Aumento de capital, transferencia de cuotas de capital y registro de socios. Órganos de la sociedad de responsabilidad limitada: administración, asamblea de socios, facultades y convocatoria a asamblea, resoluciones, y órgano de control y vigilancia. (C, P)</w:t>
            </w:r>
          </w:p>
          <w:p w14:paraId="769890D4" w14:textId="77777777" w:rsidR="00990B14" w:rsidRDefault="00000000">
            <w:pPr>
              <w:spacing w:after="40"/>
              <w:jc w:val="both"/>
            </w:pPr>
            <w:r>
              <w:rPr>
                <w:sz w:val="18"/>
                <w:szCs w:val="18"/>
              </w:rPr>
              <w:t>Sociedad anónima: concepto, características y denominación. Constitución por acto único de fundadores y constitución por suscripción pública de acciones. Capital autorizado, capital suscrito, capital pagado, y aumento y reducción del capital. La acción: acciones nominativas y al portador, y acciones ordinarias y preferidas, y los accionistas. Órganos de la sociedad anónima. (C, P)</w:t>
            </w:r>
          </w:p>
          <w:p w14:paraId="55F8FC44" w14:textId="77777777" w:rsidR="00990B14" w:rsidRDefault="00000000">
            <w:pPr>
              <w:spacing w:after="40"/>
              <w:jc w:val="both"/>
            </w:pPr>
            <w:r>
              <w:rPr>
                <w:sz w:val="18"/>
                <w:szCs w:val="18"/>
              </w:rPr>
              <w:t>Sociedad en comandita por acciones. (C)</w:t>
            </w:r>
          </w:p>
          <w:p w14:paraId="4BF2A23B" w14:textId="77777777" w:rsidR="00990B14" w:rsidRDefault="00000000">
            <w:pPr>
              <w:spacing w:after="40"/>
              <w:jc w:val="both"/>
            </w:pPr>
            <w:r>
              <w:rPr>
                <w:sz w:val="18"/>
                <w:szCs w:val="18"/>
              </w:rPr>
              <w:t>Sociedad anónima mixta: concepto, características, naturaleza de persona de derecho privado, denominación, número de socios y constitución, aportes, transferencia recíproca de acciones, inversión en otras sociedades, emisión de acciones preferidas y bonos, representación estatal, presupuesto y tributación. (C, P)</w:t>
            </w:r>
          </w:p>
          <w:p w14:paraId="36468FFE" w14:textId="77777777" w:rsidR="00990B14" w:rsidRDefault="00000000">
            <w:pPr>
              <w:spacing w:after="40"/>
              <w:jc w:val="both"/>
            </w:pPr>
            <w:r>
              <w:rPr>
                <w:sz w:val="18"/>
                <w:szCs w:val="18"/>
              </w:rPr>
              <w:lastRenderedPageBreak/>
              <w:t>Asociación accidental o de cuentas en participación: características, derechos, obligaciones y ausencia de formalidades. (C)</w:t>
            </w:r>
          </w:p>
          <w:p w14:paraId="4C0EE5F4" w14:textId="77777777" w:rsidR="00990B14" w:rsidRDefault="00000000">
            <w:pPr>
              <w:spacing w:after="40"/>
              <w:jc w:val="both"/>
            </w:pPr>
            <w:r>
              <w:rPr>
                <w:sz w:val="18"/>
                <w:szCs w:val="18"/>
              </w:rPr>
              <w:t>Empresas Estatales: tipos, régimen legal, caracteres. Creación de las empresas estatales, de la empresa mixta, de la empresa estatal mixta y de la empresa estatal intergubernamental. (C)</w:t>
            </w:r>
          </w:p>
          <w:p w14:paraId="7298A3F2" w14:textId="77777777" w:rsidR="00990B14" w:rsidRDefault="00000000">
            <w:pPr>
              <w:spacing w:after="40"/>
              <w:jc w:val="both"/>
            </w:pPr>
            <w:r>
              <w:rPr>
                <w:sz w:val="18"/>
                <w:szCs w:val="18"/>
              </w:rPr>
              <w:t>Empresas sociales: concepto, naturaleza jurídica, causas de creación y constitución. (C)</w:t>
            </w:r>
          </w:p>
          <w:p w14:paraId="64D660BD" w14:textId="77777777" w:rsidR="00990B14" w:rsidRDefault="00000000">
            <w:pPr>
              <w:spacing w:after="40"/>
              <w:jc w:val="both"/>
            </w:pPr>
            <w:r>
              <w:rPr>
                <w:sz w:val="18"/>
                <w:szCs w:val="18"/>
              </w:rPr>
              <w:t>Concepto, objetivos y principios del gobierno corporativo, Lineamientos de gobierno corporativo para sociedades comerciales. (C, A)</w:t>
            </w:r>
          </w:p>
          <w:p w14:paraId="0F4A2D2C" w14:textId="77777777" w:rsidR="00990B14" w:rsidRDefault="00000000">
            <w:pPr>
              <w:spacing w:after="40"/>
              <w:jc w:val="both"/>
            </w:pPr>
            <w:r>
              <w:rPr>
                <w:sz w:val="18"/>
                <w:szCs w:val="18"/>
              </w:rPr>
              <w:t>Resolución parcial de la sociedad: causas de disolución parcial, muerte de un socio y exclusión de socios. (C, P)</w:t>
            </w:r>
          </w:p>
          <w:p w14:paraId="2BB3A3CA" w14:textId="77777777" w:rsidR="00990B14" w:rsidRDefault="00000000">
            <w:pPr>
              <w:spacing w:after="40"/>
              <w:jc w:val="both"/>
            </w:pPr>
            <w:r>
              <w:rPr>
                <w:sz w:val="18"/>
                <w:szCs w:val="18"/>
              </w:rPr>
              <w:t>Disolución: causas y efectos de la disolución. (C)</w:t>
            </w:r>
          </w:p>
          <w:p w14:paraId="259F35B4" w14:textId="77777777" w:rsidR="00990B14" w:rsidRDefault="00000000">
            <w:pPr>
              <w:spacing w:after="40"/>
              <w:jc w:val="both"/>
            </w:pPr>
            <w:r>
              <w:rPr>
                <w:sz w:val="18"/>
                <w:szCs w:val="18"/>
              </w:rPr>
              <w:t>Liquidación: nombramiento y remoción de liquidadores, sus obligaciones y facultades, y el balance final y la distribución. (C, P)</w:t>
            </w:r>
          </w:p>
          <w:p w14:paraId="67DC1281" w14:textId="77777777" w:rsidR="00990B14" w:rsidRDefault="00000000">
            <w:pPr>
              <w:spacing w:after="40"/>
              <w:jc w:val="both"/>
            </w:pPr>
            <w:r>
              <w:rPr>
                <w:sz w:val="18"/>
                <w:szCs w:val="18"/>
              </w:rPr>
              <w:t>Transformación de sociedades: requisitos y derecho de los socios. (C, P)</w:t>
            </w:r>
          </w:p>
          <w:p w14:paraId="00BED016" w14:textId="77777777" w:rsidR="00990B14" w:rsidRDefault="00000000">
            <w:pPr>
              <w:spacing w:after="40"/>
              <w:jc w:val="both"/>
            </w:pPr>
            <w:r>
              <w:rPr>
                <w:sz w:val="18"/>
                <w:szCs w:val="18"/>
              </w:rPr>
              <w:t>Fusión de sociedades: clases de fusión, fusión propia, fusión por absorción, requisitos y acuerdo definitivo. (C, P)</w:t>
            </w:r>
          </w:p>
          <w:p w14:paraId="33417AB7" w14:textId="77777777" w:rsidR="00990B14" w:rsidRDefault="00000000">
            <w:pPr>
              <w:spacing w:after="40"/>
              <w:jc w:val="both"/>
            </w:pPr>
            <w:r>
              <w:rPr>
                <w:sz w:val="18"/>
                <w:szCs w:val="18"/>
              </w:rPr>
              <w:t>Escisión de sociedades comerciales. (C, P)</w:t>
            </w:r>
          </w:p>
          <w:p w14:paraId="720D8416" w14:textId="77777777" w:rsidR="00990B14" w:rsidRDefault="00000000">
            <w:pPr>
              <w:spacing w:after="40"/>
              <w:jc w:val="both"/>
            </w:pPr>
            <w:r>
              <w:rPr>
                <w:sz w:val="18"/>
                <w:szCs w:val="18"/>
              </w:rPr>
              <w:t>Propiedad intelectual, industrial y marcas. (C)</w:t>
            </w:r>
          </w:p>
        </w:tc>
        <w:tc>
          <w:tcPr>
            <w:tcW w:w="2752" w:type="dxa"/>
            <w:gridSpan w:val="3"/>
            <w:shd w:val="clear" w:color="auto" w:fill="D9E2F3"/>
          </w:tcPr>
          <w:p w14:paraId="0B9141E2" w14:textId="77777777" w:rsidR="00990B14" w:rsidRDefault="00000000">
            <w:pPr>
              <w:numPr>
                <w:ilvl w:val="0"/>
                <w:numId w:val="139"/>
              </w:numPr>
              <w:spacing w:before="10" w:after="10"/>
              <w:jc w:val="both"/>
            </w:pPr>
            <w:r>
              <w:rPr>
                <w:sz w:val="18"/>
                <w:szCs w:val="18"/>
              </w:rPr>
              <w:lastRenderedPageBreak/>
              <w:t>Código de Comercio, Decreto Ley N.º 14379, que regula la constitución, la administración y la disolución de las sociedades comerciales en Bolivia.</w:t>
            </w:r>
          </w:p>
          <w:p w14:paraId="5E993CF6" w14:textId="77777777" w:rsidR="00990B14" w:rsidRDefault="00000000">
            <w:pPr>
              <w:numPr>
                <w:ilvl w:val="0"/>
                <w:numId w:val="139"/>
              </w:numPr>
              <w:spacing w:before="10" w:after="10"/>
              <w:jc w:val="both"/>
            </w:pPr>
            <w:r>
              <w:rPr>
                <w:sz w:val="18"/>
                <w:szCs w:val="18"/>
              </w:rPr>
              <w:t>Lineamientos de Buen Gobierno Corporativo de la Autoridad de Fiscalización de Empresas (AEMP), aprobados con la Resolución Administrativa N.º 330/2023 para las sociedades comerciales bolivianas.</w:t>
            </w:r>
          </w:p>
        </w:tc>
      </w:tr>
      <w:tr w:rsidR="00990B14" w14:paraId="28C6EB6C" w14:textId="77777777">
        <w:trPr>
          <w:cantSplit/>
          <w:jc w:val="center"/>
        </w:trPr>
        <w:tc>
          <w:tcPr>
            <w:tcW w:w="9405" w:type="dxa"/>
            <w:gridSpan w:val="13"/>
            <w:shd w:val="clear" w:color="auto" w:fill="D9E2F3"/>
            <w:vAlign w:val="center"/>
          </w:tcPr>
          <w:p w14:paraId="0CB8CE16" w14:textId="77777777" w:rsidR="00990B14" w:rsidRDefault="00000000">
            <w:pPr>
              <w:spacing w:before="20" w:after="20"/>
              <w:jc w:val="both"/>
            </w:pPr>
            <w:r>
              <w:rPr>
                <w:b/>
                <w:bCs/>
                <w:i/>
                <w:iCs/>
                <w:sz w:val="18"/>
                <w:szCs w:val="18"/>
              </w:rPr>
              <w:t xml:space="preserve">Elemento de competencia 3: </w:t>
            </w:r>
            <w:r>
              <w:rPr>
                <w:sz w:val="18"/>
                <w:szCs w:val="18"/>
              </w:rPr>
              <w:t>Aplica el régimen legal de los títulos valores y del mercado de valores, diferenciando la letra de cambio, el pagaré, el cheque, los bonos y las cédulas hipotecarias según sus requisitos, su circulación y sus acciones legales.</w:t>
            </w:r>
          </w:p>
        </w:tc>
      </w:tr>
      <w:tr w:rsidR="00990B14" w14:paraId="2BA81C9A" w14:textId="77777777">
        <w:trPr>
          <w:cantSplit/>
          <w:jc w:val="center"/>
        </w:trPr>
        <w:tc>
          <w:tcPr>
            <w:tcW w:w="3133" w:type="dxa"/>
            <w:gridSpan w:val="4"/>
            <w:shd w:val="clear" w:color="auto" w:fill="4472C4"/>
            <w:vAlign w:val="center"/>
          </w:tcPr>
          <w:p w14:paraId="7242685F"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78AAF20E"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5114F281" w14:textId="77777777" w:rsidR="00990B14" w:rsidRDefault="00000000">
            <w:pPr>
              <w:keepNext/>
              <w:spacing w:before="20" w:after="20"/>
              <w:jc w:val="center"/>
            </w:pPr>
            <w:r>
              <w:rPr>
                <w:b/>
                <w:bCs/>
                <w:i/>
                <w:iCs/>
                <w:color w:val="FFFFFF"/>
                <w:sz w:val="18"/>
                <w:szCs w:val="18"/>
              </w:rPr>
              <w:t>Evidencias de producto</w:t>
            </w:r>
          </w:p>
        </w:tc>
      </w:tr>
      <w:tr w:rsidR="00990B14" w14:paraId="0FAF84B6" w14:textId="77777777">
        <w:trPr>
          <w:cantSplit/>
          <w:jc w:val="center"/>
        </w:trPr>
        <w:tc>
          <w:tcPr>
            <w:tcW w:w="3133" w:type="dxa"/>
            <w:gridSpan w:val="4"/>
            <w:vMerge w:val="restart"/>
            <w:shd w:val="clear" w:color="auto" w:fill="D9E2F3"/>
            <w:vAlign w:val="center"/>
          </w:tcPr>
          <w:p w14:paraId="6B5DFC56" w14:textId="77777777" w:rsidR="00990B14" w:rsidRDefault="00000000">
            <w:pPr>
              <w:spacing w:before="20" w:after="20"/>
              <w:jc w:val="both"/>
            </w:pPr>
            <w:r>
              <w:rPr>
                <w:sz w:val="18"/>
                <w:szCs w:val="18"/>
              </w:rPr>
              <w:t>1. Aplica el régimen legal de la letra de cambio, el pagaré y el cheque, verificando sus requisitos, su endoso, su protesto y sus acciones emergentes.</w:t>
            </w:r>
          </w:p>
        </w:tc>
        <w:tc>
          <w:tcPr>
            <w:tcW w:w="3135" w:type="dxa"/>
            <w:gridSpan w:val="5"/>
            <w:shd w:val="clear" w:color="auto" w:fill="D9E2F3"/>
            <w:vAlign w:val="center"/>
          </w:tcPr>
          <w:p w14:paraId="0FA65885" w14:textId="77777777" w:rsidR="00990B14" w:rsidRDefault="00000000">
            <w:pPr>
              <w:spacing w:before="20" w:after="20"/>
              <w:jc w:val="both"/>
            </w:pPr>
            <w:r>
              <w:rPr>
                <w:sz w:val="18"/>
                <w:szCs w:val="18"/>
              </w:rPr>
              <w:t>1.1 Llena en aula una letra de cambio, un pagaré y un cheque con sus requisitos legales y sus endosos.</w:t>
            </w:r>
          </w:p>
        </w:tc>
        <w:tc>
          <w:tcPr>
            <w:tcW w:w="3137" w:type="dxa"/>
            <w:gridSpan w:val="4"/>
            <w:shd w:val="clear" w:color="auto" w:fill="D9E2F3"/>
            <w:vAlign w:val="center"/>
          </w:tcPr>
          <w:p w14:paraId="7B9EA1BB" w14:textId="77777777" w:rsidR="00990B14" w:rsidRDefault="00000000">
            <w:pPr>
              <w:spacing w:before="20" w:after="20"/>
              <w:jc w:val="both"/>
            </w:pPr>
            <w:r>
              <w:rPr>
                <w:b/>
                <w:bCs/>
                <w:sz w:val="18"/>
                <w:szCs w:val="18"/>
              </w:rPr>
              <w:t xml:space="preserve">Producto 9: </w:t>
            </w:r>
            <w:r>
              <w:rPr>
                <w:sz w:val="18"/>
                <w:szCs w:val="18"/>
              </w:rPr>
              <w:t>Carpeta de títulos valores llenados conforme a sus requisitos legales.</w:t>
            </w:r>
          </w:p>
        </w:tc>
      </w:tr>
      <w:tr w:rsidR="00990B14" w14:paraId="55731E05" w14:textId="77777777">
        <w:trPr>
          <w:cantSplit/>
          <w:jc w:val="center"/>
        </w:trPr>
        <w:tc>
          <w:tcPr>
            <w:tcW w:w="3133" w:type="dxa"/>
            <w:gridSpan w:val="4"/>
            <w:vMerge/>
            <w:shd w:val="clear" w:color="auto" w:fill="D9E2F3"/>
            <w:vAlign w:val="center"/>
          </w:tcPr>
          <w:p w14:paraId="5B8304AB" w14:textId="77777777" w:rsidR="00990B14" w:rsidRDefault="00990B14">
            <w:pPr>
              <w:spacing w:before="20" w:after="20"/>
            </w:pPr>
          </w:p>
        </w:tc>
        <w:tc>
          <w:tcPr>
            <w:tcW w:w="3135" w:type="dxa"/>
            <w:gridSpan w:val="5"/>
            <w:shd w:val="clear" w:color="auto" w:fill="D9E2F3"/>
            <w:vAlign w:val="center"/>
          </w:tcPr>
          <w:p w14:paraId="4C570A0F" w14:textId="77777777" w:rsidR="00990B14" w:rsidRDefault="00000000">
            <w:pPr>
              <w:spacing w:before="20" w:after="20"/>
              <w:jc w:val="both"/>
            </w:pPr>
            <w:r>
              <w:rPr>
                <w:sz w:val="18"/>
                <w:szCs w:val="18"/>
              </w:rPr>
              <w:t>1.2 Resuelve en equipo un caso de protesto y de acciones emergentes por falta de pago de un título valor.</w:t>
            </w:r>
          </w:p>
        </w:tc>
        <w:tc>
          <w:tcPr>
            <w:tcW w:w="3137" w:type="dxa"/>
            <w:gridSpan w:val="4"/>
            <w:shd w:val="clear" w:color="auto" w:fill="D9E2F3"/>
            <w:vAlign w:val="center"/>
          </w:tcPr>
          <w:p w14:paraId="4229B78B" w14:textId="77777777" w:rsidR="00990B14" w:rsidRDefault="00000000">
            <w:pPr>
              <w:spacing w:before="20" w:after="20"/>
              <w:jc w:val="both"/>
            </w:pPr>
            <w:r>
              <w:rPr>
                <w:b/>
                <w:bCs/>
                <w:sz w:val="18"/>
                <w:szCs w:val="18"/>
              </w:rPr>
              <w:t xml:space="preserve">Producto 10: </w:t>
            </w:r>
            <w:r>
              <w:rPr>
                <w:sz w:val="18"/>
                <w:szCs w:val="18"/>
              </w:rPr>
              <w:t>Informe de un caso de protesto.</w:t>
            </w:r>
          </w:p>
        </w:tc>
      </w:tr>
      <w:tr w:rsidR="00990B14" w14:paraId="35DB9F44" w14:textId="77777777">
        <w:trPr>
          <w:cantSplit/>
          <w:jc w:val="center"/>
        </w:trPr>
        <w:tc>
          <w:tcPr>
            <w:tcW w:w="3133" w:type="dxa"/>
            <w:gridSpan w:val="4"/>
            <w:vMerge w:val="restart"/>
            <w:shd w:val="clear" w:color="auto" w:fill="D9E2F3"/>
            <w:vAlign w:val="center"/>
          </w:tcPr>
          <w:p w14:paraId="3C538D71" w14:textId="77777777" w:rsidR="00990B14" w:rsidRDefault="00000000">
            <w:pPr>
              <w:spacing w:before="20" w:after="20"/>
              <w:jc w:val="both"/>
            </w:pPr>
            <w:r>
              <w:rPr>
                <w:sz w:val="18"/>
                <w:szCs w:val="18"/>
              </w:rPr>
              <w:t>2. Diferencia los bonos y las cédulas hipotecarias según sus requisitos de emisión y sus garantías, describiendo el mercado de valores boliviano.</w:t>
            </w:r>
          </w:p>
        </w:tc>
        <w:tc>
          <w:tcPr>
            <w:tcW w:w="3135" w:type="dxa"/>
            <w:gridSpan w:val="5"/>
            <w:shd w:val="clear" w:color="auto" w:fill="D9E2F3"/>
            <w:vAlign w:val="center"/>
          </w:tcPr>
          <w:p w14:paraId="6C6609E8" w14:textId="77777777" w:rsidR="00990B14" w:rsidRDefault="00000000">
            <w:pPr>
              <w:spacing w:before="20" w:after="20"/>
              <w:jc w:val="both"/>
            </w:pPr>
            <w:r>
              <w:rPr>
                <w:sz w:val="18"/>
                <w:szCs w:val="18"/>
              </w:rPr>
              <w:t>2.1 Compara en equipo los requisitos de emisión, las garantías y los derechos de los tenedores de bonos y de cédulas hipotecarias.</w:t>
            </w:r>
          </w:p>
        </w:tc>
        <w:tc>
          <w:tcPr>
            <w:tcW w:w="3137" w:type="dxa"/>
            <w:gridSpan w:val="4"/>
            <w:shd w:val="clear" w:color="auto" w:fill="D9E2F3"/>
            <w:vAlign w:val="center"/>
          </w:tcPr>
          <w:p w14:paraId="2196EBAA" w14:textId="77777777" w:rsidR="00990B14" w:rsidRDefault="00000000">
            <w:pPr>
              <w:spacing w:before="20" w:after="20"/>
              <w:jc w:val="both"/>
            </w:pPr>
            <w:r>
              <w:rPr>
                <w:b/>
                <w:bCs/>
                <w:sz w:val="18"/>
                <w:szCs w:val="18"/>
              </w:rPr>
              <w:t xml:space="preserve">Producto 11: </w:t>
            </w:r>
            <w:r>
              <w:rPr>
                <w:sz w:val="18"/>
                <w:szCs w:val="18"/>
              </w:rPr>
              <w:t>Cuadro comparativo de los bonos y las cédulas hipotecarias.</w:t>
            </w:r>
          </w:p>
        </w:tc>
      </w:tr>
      <w:tr w:rsidR="00990B14" w14:paraId="47139F8F" w14:textId="77777777">
        <w:trPr>
          <w:cantSplit/>
          <w:jc w:val="center"/>
        </w:trPr>
        <w:tc>
          <w:tcPr>
            <w:tcW w:w="3133" w:type="dxa"/>
            <w:gridSpan w:val="4"/>
            <w:vMerge/>
            <w:shd w:val="clear" w:color="auto" w:fill="D9E2F3"/>
            <w:vAlign w:val="center"/>
          </w:tcPr>
          <w:p w14:paraId="4579CA9F" w14:textId="77777777" w:rsidR="00990B14" w:rsidRDefault="00990B14">
            <w:pPr>
              <w:spacing w:before="20" w:after="20"/>
            </w:pPr>
          </w:p>
        </w:tc>
        <w:tc>
          <w:tcPr>
            <w:tcW w:w="3135" w:type="dxa"/>
            <w:gridSpan w:val="5"/>
            <w:shd w:val="clear" w:color="auto" w:fill="D9E2F3"/>
            <w:vAlign w:val="center"/>
          </w:tcPr>
          <w:p w14:paraId="6C5F0436" w14:textId="77777777" w:rsidR="00990B14" w:rsidRDefault="00000000">
            <w:pPr>
              <w:spacing w:before="20" w:after="20"/>
              <w:jc w:val="both"/>
            </w:pPr>
            <w:r>
              <w:rPr>
                <w:sz w:val="18"/>
                <w:szCs w:val="18"/>
              </w:rPr>
              <w:t>2.2 Expone ante el curso la estructura y los participantes del mercado de valores boliviano.</w:t>
            </w:r>
          </w:p>
        </w:tc>
        <w:tc>
          <w:tcPr>
            <w:tcW w:w="3137" w:type="dxa"/>
            <w:gridSpan w:val="4"/>
            <w:shd w:val="clear" w:color="auto" w:fill="D9E2F3"/>
            <w:vAlign w:val="center"/>
          </w:tcPr>
          <w:p w14:paraId="14316C47" w14:textId="77777777" w:rsidR="00990B14" w:rsidRDefault="00000000">
            <w:pPr>
              <w:spacing w:before="20" w:after="20"/>
              <w:jc w:val="both"/>
            </w:pPr>
            <w:r>
              <w:rPr>
                <w:b/>
                <w:bCs/>
                <w:sz w:val="18"/>
                <w:szCs w:val="18"/>
              </w:rPr>
              <w:t xml:space="preserve">Producto 12: </w:t>
            </w:r>
            <w:r>
              <w:rPr>
                <w:sz w:val="18"/>
                <w:szCs w:val="18"/>
              </w:rPr>
              <w:t>Esquema de la estructura y de los participantes del mercado de valores boliviano.</w:t>
            </w:r>
          </w:p>
        </w:tc>
      </w:tr>
      <w:tr w:rsidR="00990B14" w14:paraId="7683F51E" w14:textId="77777777">
        <w:trPr>
          <w:cantSplit/>
          <w:jc w:val="center"/>
        </w:trPr>
        <w:tc>
          <w:tcPr>
            <w:tcW w:w="9405" w:type="dxa"/>
            <w:gridSpan w:val="13"/>
            <w:shd w:val="clear" w:color="auto" w:fill="4472C4"/>
            <w:vAlign w:val="center"/>
          </w:tcPr>
          <w:p w14:paraId="56DCFA87" w14:textId="77777777" w:rsidR="00990B14" w:rsidRDefault="00000000">
            <w:pPr>
              <w:keepNext/>
              <w:spacing w:before="20" w:after="20"/>
              <w:jc w:val="center"/>
            </w:pPr>
            <w:r>
              <w:rPr>
                <w:b/>
                <w:bCs/>
                <w:i/>
                <w:iCs/>
                <w:color w:val="FFFFFF"/>
                <w:sz w:val="18"/>
                <w:szCs w:val="18"/>
              </w:rPr>
              <w:lastRenderedPageBreak/>
              <w:t>Evidencias de conocimiento</w:t>
            </w:r>
          </w:p>
        </w:tc>
      </w:tr>
      <w:tr w:rsidR="00990B14" w14:paraId="7E885474" w14:textId="77777777">
        <w:trPr>
          <w:cantSplit/>
          <w:jc w:val="center"/>
        </w:trPr>
        <w:tc>
          <w:tcPr>
            <w:tcW w:w="2349" w:type="dxa"/>
            <w:gridSpan w:val="2"/>
            <w:shd w:val="clear" w:color="auto" w:fill="4472C4"/>
            <w:vAlign w:val="center"/>
          </w:tcPr>
          <w:p w14:paraId="3F5F6534"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49BA458B" w14:textId="77777777" w:rsidR="00990B14" w:rsidRDefault="00000000">
            <w:pPr>
              <w:keepNext/>
              <w:spacing w:before="20" w:after="20"/>
              <w:jc w:val="both"/>
            </w:pPr>
            <w:r>
              <w:rPr>
                <w:b/>
                <w:bCs/>
                <w:i/>
                <w:iCs/>
                <w:color w:val="FFFFFF"/>
                <w:sz w:val="18"/>
                <w:szCs w:val="18"/>
              </w:rPr>
              <w:t>Contenidos</w:t>
            </w:r>
          </w:p>
          <w:p w14:paraId="0A0AD48B"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5C889350" w14:textId="77777777" w:rsidR="00990B14" w:rsidRDefault="00000000">
            <w:pPr>
              <w:keepNext/>
              <w:spacing w:before="20" w:after="20"/>
              <w:jc w:val="center"/>
            </w:pPr>
            <w:r>
              <w:rPr>
                <w:b/>
                <w:bCs/>
                <w:i/>
                <w:iCs/>
                <w:color w:val="FFFFFF"/>
                <w:sz w:val="18"/>
                <w:szCs w:val="18"/>
              </w:rPr>
              <w:t>Conocimientos circunstanciales</w:t>
            </w:r>
          </w:p>
        </w:tc>
      </w:tr>
      <w:tr w:rsidR="00990B14" w14:paraId="5CBB1D33" w14:textId="77777777">
        <w:trPr>
          <w:jc w:val="center"/>
        </w:trPr>
        <w:tc>
          <w:tcPr>
            <w:tcW w:w="2349" w:type="dxa"/>
            <w:gridSpan w:val="2"/>
            <w:shd w:val="clear" w:color="auto" w:fill="D9E2F3"/>
          </w:tcPr>
          <w:p w14:paraId="4F1CD1AA" w14:textId="77777777" w:rsidR="00990B14" w:rsidRDefault="00000000">
            <w:pPr>
              <w:spacing w:before="20" w:after="40"/>
              <w:jc w:val="both"/>
            </w:pPr>
            <w:r>
              <w:rPr>
                <w:sz w:val="18"/>
                <w:szCs w:val="18"/>
              </w:rPr>
              <w:t>Tema 15: Teoría de los títulos valores</w:t>
            </w:r>
          </w:p>
          <w:p w14:paraId="1FA43369" w14:textId="77777777" w:rsidR="00990B14" w:rsidRDefault="00000000">
            <w:pPr>
              <w:spacing w:before="20" w:after="40"/>
              <w:jc w:val="both"/>
            </w:pPr>
            <w:r>
              <w:rPr>
                <w:sz w:val="18"/>
                <w:szCs w:val="18"/>
              </w:rPr>
              <w:t>Tema 16: Letra de cambio</w:t>
            </w:r>
          </w:p>
          <w:p w14:paraId="79551603" w14:textId="77777777" w:rsidR="00990B14" w:rsidRDefault="00000000">
            <w:pPr>
              <w:spacing w:before="20" w:after="40"/>
              <w:jc w:val="both"/>
            </w:pPr>
            <w:r>
              <w:rPr>
                <w:sz w:val="18"/>
                <w:szCs w:val="18"/>
              </w:rPr>
              <w:t>Tema 17: Pagaré</w:t>
            </w:r>
          </w:p>
          <w:p w14:paraId="503A6D3F" w14:textId="77777777" w:rsidR="00990B14" w:rsidRDefault="00000000">
            <w:pPr>
              <w:spacing w:before="20" w:after="40"/>
              <w:jc w:val="both"/>
            </w:pPr>
            <w:r>
              <w:rPr>
                <w:sz w:val="18"/>
                <w:szCs w:val="18"/>
              </w:rPr>
              <w:t>Tema 18: Cheque</w:t>
            </w:r>
          </w:p>
          <w:p w14:paraId="6C7DE2F9" w14:textId="77777777" w:rsidR="00990B14" w:rsidRDefault="00000000">
            <w:pPr>
              <w:spacing w:before="20" w:after="40"/>
              <w:jc w:val="both"/>
            </w:pPr>
            <w:r>
              <w:rPr>
                <w:sz w:val="18"/>
                <w:szCs w:val="18"/>
              </w:rPr>
              <w:t>Tema 19: Bonos</w:t>
            </w:r>
          </w:p>
          <w:p w14:paraId="34796989" w14:textId="77777777" w:rsidR="00990B14" w:rsidRDefault="00000000">
            <w:pPr>
              <w:spacing w:before="20" w:after="40"/>
              <w:jc w:val="both"/>
            </w:pPr>
            <w:r>
              <w:rPr>
                <w:sz w:val="18"/>
                <w:szCs w:val="18"/>
              </w:rPr>
              <w:t>Tema 20: Cédulas hipotecarias</w:t>
            </w:r>
          </w:p>
          <w:p w14:paraId="30D28902" w14:textId="77777777" w:rsidR="00990B14" w:rsidRDefault="00000000">
            <w:pPr>
              <w:spacing w:before="20" w:after="40"/>
              <w:jc w:val="both"/>
            </w:pPr>
            <w:r>
              <w:rPr>
                <w:sz w:val="18"/>
                <w:szCs w:val="18"/>
              </w:rPr>
              <w:t>Tema 21: Mercado de valores</w:t>
            </w:r>
          </w:p>
        </w:tc>
        <w:tc>
          <w:tcPr>
            <w:tcW w:w="4304" w:type="dxa"/>
            <w:gridSpan w:val="8"/>
            <w:shd w:val="clear" w:color="auto" w:fill="D9E2F3"/>
          </w:tcPr>
          <w:p w14:paraId="17DEDC35" w14:textId="77777777" w:rsidR="00990B14" w:rsidRDefault="00000000">
            <w:pPr>
              <w:spacing w:after="40"/>
              <w:jc w:val="both"/>
            </w:pPr>
            <w:r>
              <w:rPr>
                <w:sz w:val="18"/>
                <w:szCs w:val="18"/>
              </w:rPr>
              <w:t>Concepto, denominación, características y naturaleza jurídica de los títulos valores. Requisitos comunes y clasificación de los títulos valores. El endoso y sus clases. (C, P)</w:t>
            </w:r>
          </w:p>
          <w:p w14:paraId="5BB2A5DC" w14:textId="77777777" w:rsidR="00990B14" w:rsidRDefault="00000000">
            <w:pPr>
              <w:spacing w:after="40"/>
              <w:jc w:val="both"/>
            </w:pPr>
            <w:r>
              <w:rPr>
                <w:sz w:val="18"/>
                <w:szCs w:val="18"/>
              </w:rPr>
              <w:t>Letra de cambio: concepto, elementos personales, modalidades de giro y formas de vencimiento. Aceptación, cláusula de valor y cláusulas especiales de la letra de cambio. Aval, presentación y pago, y protesto de la letra de cambio. (C, P)</w:t>
            </w:r>
          </w:p>
          <w:p w14:paraId="6F91C322" w14:textId="77777777" w:rsidR="00990B14" w:rsidRDefault="00000000">
            <w:pPr>
              <w:spacing w:after="40"/>
              <w:jc w:val="both"/>
            </w:pPr>
            <w:r>
              <w:rPr>
                <w:sz w:val="18"/>
                <w:szCs w:val="18"/>
              </w:rPr>
              <w:t>Pagaré: concepto, personas que intervienen y modalidades de giro. Estipulación de intereses, normas aplicables y acciones emergentes por la falta de pago del pagaré. (C, P)</w:t>
            </w:r>
          </w:p>
          <w:p w14:paraId="45F7E3DD" w14:textId="77777777" w:rsidR="00990B14" w:rsidRDefault="00000000">
            <w:pPr>
              <w:spacing w:after="40"/>
              <w:jc w:val="both"/>
            </w:pPr>
            <w:r>
              <w:rPr>
                <w:sz w:val="18"/>
                <w:szCs w:val="18"/>
              </w:rPr>
              <w:t>Cheque: concepto, contenido, modalidades de giro y endoso. Cheque no negociable, presentación y pago, revalidación y pago parcial. Rechazo del cheque, cheques especiales, y responsabilidad del cuentacorrentista y de la entidad financiera en su pago. (C, P)</w:t>
            </w:r>
          </w:p>
          <w:p w14:paraId="51ED8082" w14:textId="77777777" w:rsidR="00990B14" w:rsidRDefault="00000000">
            <w:pPr>
              <w:spacing w:after="40"/>
              <w:jc w:val="both"/>
            </w:pPr>
            <w:r>
              <w:rPr>
                <w:sz w:val="18"/>
                <w:szCs w:val="18"/>
              </w:rPr>
              <w:t>Bonos: concepto, requisitos para su emisión, características y pago de capital e intereses. Garantías, prospecto de emisión, representante común de tenedores de bonos y programa de emisiones. Calificación de riesgo, obligaciones de la sociedad emisora y derechos de los bonistas. Bonos convertibles en acciones, bonos participativos, exigibilidad de los bonos y acciones para su pago, y prescripción. (C, P)</w:t>
            </w:r>
          </w:p>
          <w:p w14:paraId="1F67D24C" w14:textId="77777777" w:rsidR="00990B14" w:rsidRDefault="00000000">
            <w:pPr>
              <w:spacing w:after="40"/>
              <w:jc w:val="both"/>
            </w:pPr>
            <w:r>
              <w:rPr>
                <w:sz w:val="18"/>
                <w:szCs w:val="18"/>
              </w:rPr>
              <w:t>Cédulas hipotecarias: concepto, contenido y emisión. Límites y correspondencia entre operaciones activas y pasivas, solicitud de no objeción para la emisión, y prospecto. Adquisición de cédulas hipotecarias por entidades de intermediación financiera, su registro, exigibilidad del documento y acciones para su cumplimiento, y prescripción. (C, P)</w:t>
            </w:r>
          </w:p>
          <w:p w14:paraId="6CFB63A1" w14:textId="77777777" w:rsidR="00990B14" w:rsidRDefault="00000000">
            <w:pPr>
              <w:spacing w:after="40"/>
              <w:jc w:val="both"/>
            </w:pPr>
            <w:r>
              <w:rPr>
                <w:sz w:val="18"/>
                <w:szCs w:val="18"/>
              </w:rPr>
              <w:t>Mercado de valores: concepto, características, clasificación y oferta pública de valores. Clasificación de los valores, la Bolsa Boliviana de Valores y operaciones de bolsa. (C, T)</w:t>
            </w:r>
          </w:p>
        </w:tc>
        <w:tc>
          <w:tcPr>
            <w:tcW w:w="2752" w:type="dxa"/>
            <w:gridSpan w:val="3"/>
            <w:shd w:val="clear" w:color="auto" w:fill="D9E2F3"/>
          </w:tcPr>
          <w:p w14:paraId="032A1645" w14:textId="77777777" w:rsidR="00990B14" w:rsidRDefault="00000000">
            <w:pPr>
              <w:numPr>
                <w:ilvl w:val="0"/>
                <w:numId w:val="139"/>
              </w:numPr>
              <w:spacing w:before="10" w:after="10"/>
              <w:jc w:val="both"/>
            </w:pPr>
            <w:r>
              <w:rPr>
                <w:sz w:val="18"/>
                <w:szCs w:val="18"/>
              </w:rPr>
              <w:t>Ley N.º 1834, del Mercado de Valores, que regula la Bolsa Boliviana de Valores, las agencias de bolsa, las calificadoras de riesgo y las entidades de depósito de valores, y exige mantener en reserva la información privilegiada.</w:t>
            </w:r>
          </w:p>
          <w:p w14:paraId="00A5156F" w14:textId="77777777" w:rsidR="00990B14" w:rsidRDefault="00000000">
            <w:pPr>
              <w:numPr>
                <w:ilvl w:val="0"/>
                <w:numId w:val="139"/>
              </w:numPr>
              <w:spacing w:before="10" w:after="10"/>
              <w:jc w:val="both"/>
            </w:pPr>
            <w:r>
              <w:rPr>
                <w:sz w:val="18"/>
                <w:szCs w:val="18"/>
              </w:rPr>
              <w:t>Código de Comercio, Decreto Ley N.º 14379, que regula la letra de cambio, el pagaré, el cheque y los demás títulos valores en Bolivia.</w:t>
            </w:r>
          </w:p>
          <w:p w14:paraId="5833F7ED" w14:textId="77777777" w:rsidR="00990B14" w:rsidRDefault="00000000">
            <w:pPr>
              <w:numPr>
                <w:ilvl w:val="0"/>
                <w:numId w:val="139"/>
              </w:numPr>
              <w:spacing w:before="10" w:after="10"/>
              <w:jc w:val="both"/>
            </w:pPr>
            <w:r>
              <w:rPr>
                <w:sz w:val="18"/>
                <w:szCs w:val="18"/>
              </w:rPr>
              <w:t>Entidad de Depósito de Valores de Bolivia S.A. (EDV).</w:t>
            </w:r>
          </w:p>
        </w:tc>
      </w:tr>
      <w:tr w:rsidR="00990B14" w14:paraId="16452846" w14:textId="77777777">
        <w:trPr>
          <w:cantSplit/>
          <w:jc w:val="center"/>
        </w:trPr>
        <w:tc>
          <w:tcPr>
            <w:tcW w:w="9405" w:type="dxa"/>
            <w:gridSpan w:val="13"/>
            <w:shd w:val="clear" w:color="auto" w:fill="D9E2F3"/>
            <w:vAlign w:val="center"/>
          </w:tcPr>
          <w:p w14:paraId="115C2005" w14:textId="77777777" w:rsidR="00990B14" w:rsidRDefault="00000000">
            <w:pPr>
              <w:spacing w:before="20" w:after="20"/>
              <w:jc w:val="both"/>
            </w:pPr>
            <w:r>
              <w:rPr>
                <w:b/>
                <w:bCs/>
                <w:i/>
                <w:iCs/>
                <w:sz w:val="18"/>
                <w:szCs w:val="18"/>
              </w:rPr>
              <w:t xml:space="preserve">Elemento de competencia 4: </w:t>
            </w:r>
            <w:r>
              <w:rPr>
                <w:sz w:val="18"/>
                <w:szCs w:val="18"/>
              </w:rPr>
              <w:t>Aplica el régimen legal de las obligaciones y de los contratos comerciales, interpretando las cláusulas de un contrato de compraventa, de transporte o bancario conforme a la normativa comercial vigente.</w:t>
            </w:r>
          </w:p>
        </w:tc>
      </w:tr>
      <w:tr w:rsidR="00990B14" w14:paraId="704AAB1D" w14:textId="77777777">
        <w:trPr>
          <w:cantSplit/>
          <w:jc w:val="center"/>
        </w:trPr>
        <w:tc>
          <w:tcPr>
            <w:tcW w:w="3133" w:type="dxa"/>
            <w:gridSpan w:val="4"/>
            <w:shd w:val="clear" w:color="auto" w:fill="4472C4"/>
            <w:vAlign w:val="center"/>
          </w:tcPr>
          <w:p w14:paraId="7626D1B4" w14:textId="77777777" w:rsidR="00990B14" w:rsidRDefault="00000000">
            <w:pPr>
              <w:keepNext/>
              <w:spacing w:before="20" w:after="20"/>
              <w:jc w:val="center"/>
            </w:pPr>
            <w:r>
              <w:rPr>
                <w:b/>
                <w:bCs/>
                <w:i/>
                <w:iCs/>
                <w:color w:val="FFFFFF"/>
                <w:sz w:val="18"/>
                <w:szCs w:val="18"/>
              </w:rPr>
              <w:lastRenderedPageBreak/>
              <w:t>Criterios de desempeño</w:t>
            </w:r>
          </w:p>
        </w:tc>
        <w:tc>
          <w:tcPr>
            <w:tcW w:w="3135" w:type="dxa"/>
            <w:gridSpan w:val="5"/>
            <w:shd w:val="clear" w:color="auto" w:fill="4472C4"/>
            <w:vAlign w:val="center"/>
          </w:tcPr>
          <w:p w14:paraId="4A47E325"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42E1ECEA" w14:textId="77777777" w:rsidR="00990B14" w:rsidRDefault="00000000">
            <w:pPr>
              <w:keepNext/>
              <w:spacing w:before="20" w:after="20"/>
              <w:jc w:val="center"/>
            </w:pPr>
            <w:r>
              <w:rPr>
                <w:b/>
                <w:bCs/>
                <w:i/>
                <w:iCs/>
                <w:color w:val="FFFFFF"/>
                <w:sz w:val="18"/>
                <w:szCs w:val="18"/>
              </w:rPr>
              <w:t>Evidencias de producto</w:t>
            </w:r>
          </w:p>
        </w:tc>
      </w:tr>
      <w:tr w:rsidR="00990B14" w14:paraId="5E2112A7" w14:textId="77777777">
        <w:trPr>
          <w:cantSplit/>
          <w:jc w:val="center"/>
        </w:trPr>
        <w:tc>
          <w:tcPr>
            <w:tcW w:w="3133" w:type="dxa"/>
            <w:gridSpan w:val="4"/>
            <w:vMerge w:val="restart"/>
            <w:shd w:val="clear" w:color="auto" w:fill="D9E2F3"/>
            <w:vAlign w:val="center"/>
          </w:tcPr>
          <w:p w14:paraId="7B937D21" w14:textId="77777777" w:rsidR="00990B14" w:rsidRDefault="00000000">
            <w:pPr>
              <w:spacing w:before="20" w:after="20"/>
              <w:jc w:val="both"/>
            </w:pPr>
            <w:r>
              <w:rPr>
                <w:sz w:val="18"/>
                <w:szCs w:val="18"/>
              </w:rPr>
              <w:t>1. Describe las cláusulas de un contrato de compraventa comercial.</w:t>
            </w:r>
          </w:p>
        </w:tc>
        <w:tc>
          <w:tcPr>
            <w:tcW w:w="3135" w:type="dxa"/>
            <w:gridSpan w:val="5"/>
            <w:shd w:val="clear" w:color="auto" w:fill="D9E2F3"/>
            <w:vAlign w:val="center"/>
          </w:tcPr>
          <w:p w14:paraId="64345618" w14:textId="77777777" w:rsidR="00990B14" w:rsidRDefault="00000000">
            <w:pPr>
              <w:spacing w:before="20" w:after="20"/>
              <w:jc w:val="both"/>
            </w:pPr>
            <w:r>
              <w:rPr>
                <w:sz w:val="18"/>
                <w:szCs w:val="18"/>
              </w:rPr>
              <w:t>1.1 Revisa las cláusulas de un contrato de compraventa comercial.</w:t>
            </w:r>
          </w:p>
        </w:tc>
        <w:tc>
          <w:tcPr>
            <w:tcW w:w="3137" w:type="dxa"/>
            <w:gridSpan w:val="4"/>
            <w:shd w:val="clear" w:color="auto" w:fill="D9E2F3"/>
            <w:vAlign w:val="center"/>
          </w:tcPr>
          <w:p w14:paraId="46D7C157" w14:textId="77777777" w:rsidR="00990B14" w:rsidRDefault="00000000">
            <w:pPr>
              <w:spacing w:before="20" w:after="20"/>
              <w:jc w:val="both"/>
            </w:pPr>
            <w:r>
              <w:rPr>
                <w:b/>
                <w:bCs/>
                <w:sz w:val="18"/>
                <w:szCs w:val="18"/>
              </w:rPr>
              <w:t xml:space="preserve">Producto 13: </w:t>
            </w:r>
            <w:r>
              <w:rPr>
                <w:sz w:val="18"/>
                <w:szCs w:val="18"/>
              </w:rPr>
              <w:t>Informe de revisión de las cláusulas de un contrato de compraventa comercial.</w:t>
            </w:r>
          </w:p>
        </w:tc>
      </w:tr>
      <w:tr w:rsidR="00990B14" w14:paraId="025FF870" w14:textId="77777777">
        <w:trPr>
          <w:cantSplit/>
          <w:jc w:val="center"/>
        </w:trPr>
        <w:tc>
          <w:tcPr>
            <w:tcW w:w="3133" w:type="dxa"/>
            <w:gridSpan w:val="4"/>
            <w:vMerge/>
            <w:shd w:val="clear" w:color="auto" w:fill="D9E2F3"/>
            <w:vAlign w:val="center"/>
          </w:tcPr>
          <w:p w14:paraId="35D567A9" w14:textId="77777777" w:rsidR="00990B14" w:rsidRDefault="00990B14">
            <w:pPr>
              <w:spacing w:before="20" w:after="20"/>
            </w:pPr>
          </w:p>
        </w:tc>
        <w:tc>
          <w:tcPr>
            <w:tcW w:w="3135" w:type="dxa"/>
            <w:gridSpan w:val="5"/>
            <w:shd w:val="clear" w:color="auto" w:fill="D9E2F3"/>
            <w:vAlign w:val="center"/>
          </w:tcPr>
          <w:p w14:paraId="56F693D0" w14:textId="77777777" w:rsidR="00990B14" w:rsidRDefault="00000000">
            <w:pPr>
              <w:spacing w:before="20" w:after="20"/>
              <w:jc w:val="both"/>
            </w:pPr>
            <w:r>
              <w:rPr>
                <w:sz w:val="18"/>
                <w:szCs w:val="18"/>
              </w:rPr>
              <w:t>1.2 Identifica en equipo las obligaciones del vendedor y del comprador en un caso de compraventa internacional.</w:t>
            </w:r>
          </w:p>
        </w:tc>
        <w:tc>
          <w:tcPr>
            <w:tcW w:w="3137" w:type="dxa"/>
            <w:gridSpan w:val="4"/>
            <w:shd w:val="clear" w:color="auto" w:fill="D9E2F3"/>
            <w:vAlign w:val="center"/>
          </w:tcPr>
          <w:p w14:paraId="4C916F19" w14:textId="77777777" w:rsidR="00990B14" w:rsidRDefault="00000000">
            <w:pPr>
              <w:spacing w:before="20" w:after="20"/>
              <w:jc w:val="both"/>
            </w:pPr>
            <w:r>
              <w:rPr>
                <w:b/>
                <w:bCs/>
                <w:sz w:val="18"/>
                <w:szCs w:val="18"/>
              </w:rPr>
              <w:t xml:space="preserve">Producto 14: </w:t>
            </w:r>
            <w:r>
              <w:rPr>
                <w:sz w:val="18"/>
                <w:szCs w:val="18"/>
              </w:rPr>
              <w:t>Cuadro descriptivo de las obligaciones y riesgos de las partes.</w:t>
            </w:r>
          </w:p>
        </w:tc>
      </w:tr>
      <w:tr w:rsidR="00990B14" w14:paraId="126ED54B" w14:textId="77777777">
        <w:trPr>
          <w:cantSplit/>
          <w:jc w:val="center"/>
        </w:trPr>
        <w:tc>
          <w:tcPr>
            <w:tcW w:w="3133" w:type="dxa"/>
            <w:gridSpan w:val="4"/>
            <w:vMerge w:val="restart"/>
            <w:shd w:val="clear" w:color="auto" w:fill="D9E2F3"/>
            <w:vAlign w:val="center"/>
          </w:tcPr>
          <w:p w14:paraId="36CA98CF" w14:textId="77777777" w:rsidR="00990B14" w:rsidRDefault="00000000">
            <w:pPr>
              <w:spacing w:before="20" w:after="20"/>
              <w:jc w:val="both"/>
            </w:pPr>
            <w:r>
              <w:rPr>
                <w:sz w:val="18"/>
                <w:szCs w:val="18"/>
              </w:rPr>
              <w:t>2. Diferencia los diferentes tipos de contratos comerciales.</w:t>
            </w:r>
          </w:p>
        </w:tc>
        <w:tc>
          <w:tcPr>
            <w:tcW w:w="3135" w:type="dxa"/>
            <w:gridSpan w:val="5"/>
            <w:shd w:val="clear" w:color="auto" w:fill="D9E2F3"/>
            <w:vAlign w:val="center"/>
          </w:tcPr>
          <w:p w14:paraId="155518EB" w14:textId="77777777" w:rsidR="00990B14" w:rsidRDefault="00000000">
            <w:pPr>
              <w:spacing w:before="20" w:after="20"/>
              <w:jc w:val="both"/>
            </w:pPr>
            <w:r>
              <w:rPr>
                <w:sz w:val="18"/>
                <w:szCs w:val="18"/>
              </w:rPr>
              <w:t>2.1 Analiza los diferentes tipos de contratos comerciales.</w:t>
            </w:r>
          </w:p>
        </w:tc>
        <w:tc>
          <w:tcPr>
            <w:tcW w:w="3137" w:type="dxa"/>
            <w:gridSpan w:val="4"/>
            <w:shd w:val="clear" w:color="auto" w:fill="D9E2F3"/>
            <w:vAlign w:val="center"/>
          </w:tcPr>
          <w:p w14:paraId="7CA9A012" w14:textId="77777777" w:rsidR="00990B14" w:rsidRDefault="00000000">
            <w:pPr>
              <w:spacing w:before="20" w:after="20"/>
              <w:jc w:val="both"/>
            </w:pPr>
            <w:r>
              <w:rPr>
                <w:b/>
                <w:bCs/>
                <w:sz w:val="18"/>
                <w:szCs w:val="18"/>
              </w:rPr>
              <w:t xml:space="preserve">Producto 15: </w:t>
            </w:r>
            <w:r>
              <w:rPr>
                <w:sz w:val="18"/>
                <w:szCs w:val="18"/>
              </w:rPr>
              <w:t>Cuadro comparativo de los distintos tipos de contratos.</w:t>
            </w:r>
          </w:p>
        </w:tc>
      </w:tr>
      <w:tr w:rsidR="00990B14" w14:paraId="2F01B891" w14:textId="77777777">
        <w:trPr>
          <w:cantSplit/>
          <w:jc w:val="center"/>
        </w:trPr>
        <w:tc>
          <w:tcPr>
            <w:tcW w:w="3133" w:type="dxa"/>
            <w:gridSpan w:val="4"/>
            <w:vMerge/>
            <w:shd w:val="clear" w:color="auto" w:fill="D9E2F3"/>
            <w:vAlign w:val="center"/>
          </w:tcPr>
          <w:p w14:paraId="40F95060" w14:textId="77777777" w:rsidR="00990B14" w:rsidRDefault="00990B14">
            <w:pPr>
              <w:spacing w:before="20" w:after="20"/>
            </w:pPr>
          </w:p>
        </w:tc>
        <w:tc>
          <w:tcPr>
            <w:tcW w:w="3135" w:type="dxa"/>
            <w:gridSpan w:val="5"/>
            <w:shd w:val="clear" w:color="auto" w:fill="D9E2F3"/>
            <w:vAlign w:val="center"/>
          </w:tcPr>
          <w:p w14:paraId="378D3A35" w14:textId="77777777" w:rsidR="00990B14" w:rsidRDefault="00000000">
            <w:pPr>
              <w:spacing w:before="20" w:after="20"/>
              <w:jc w:val="both"/>
            </w:pPr>
            <w:r>
              <w:rPr>
                <w:sz w:val="18"/>
                <w:szCs w:val="18"/>
              </w:rPr>
              <w:t>2.2 Describe en aula las diferencias de los distintos tipos de contratos comerciales.</w:t>
            </w:r>
          </w:p>
        </w:tc>
        <w:tc>
          <w:tcPr>
            <w:tcW w:w="3137" w:type="dxa"/>
            <w:gridSpan w:val="4"/>
            <w:shd w:val="clear" w:color="auto" w:fill="D9E2F3"/>
            <w:vAlign w:val="center"/>
          </w:tcPr>
          <w:p w14:paraId="3FFEDA19" w14:textId="77777777" w:rsidR="00990B14" w:rsidRDefault="00000000">
            <w:pPr>
              <w:spacing w:before="20" w:after="20"/>
              <w:jc w:val="both"/>
            </w:pPr>
            <w:r>
              <w:rPr>
                <w:b/>
                <w:bCs/>
                <w:sz w:val="18"/>
                <w:szCs w:val="18"/>
              </w:rPr>
              <w:t xml:space="preserve">Producto 16: </w:t>
            </w:r>
            <w:r>
              <w:rPr>
                <w:sz w:val="18"/>
                <w:szCs w:val="18"/>
              </w:rPr>
              <w:t>Informe de las diferencias de los distintos tipos de contratos comerciales.</w:t>
            </w:r>
          </w:p>
        </w:tc>
      </w:tr>
      <w:tr w:rsidR="00990B14" w14:paraId="09BDC4F6" w14:textId="77777777">
        <w:trPr>
          <w:cantSplit/>
          <w:jc w:val="center"/>
        </w:trPr>
        <w:tc>
          <w:tcPr>
            <w:tcW w:w="9405" w:type="dxa"/>
            <w:gridSpan w:val="13"/>
            <w:shd w:val="clear" w:color="auto" w:fill="4472C4"/>
            <w:vAlign w:val="center"/>
          </w:tcPr>
          <w:p w14:paraId="70125117" w14:textId="77777777" w:rsidR="00990B14" w:rsidRDefault="00000000">
            <w:pPr>
              <w:keepNext/>
              <w:spacing w:before="20" w:after="20"/>
              <w:jc w:val="center"/>
            </w:pPr>
            <w:r>
              <w:rPr>
                <w:b/>
                <w:bCs/>
                <w:i/>
                <w:iCs/>
                <w:color w:val="FFFFFF"/>
                <w:sz w:val="18"/>
                <w:szCs w:val="18"/>
              </w:rPr>
              <w:t>Evidencias de conocimiento</w:t>
            </w:r>
          </w:p>
        </w:tc>
      </w:tr>
      <w:tr w:rsidR="00990B14" w14:paraId="2EB4289B" w14:textId="77777777">
        <w:trPr>
          <w:cantSplit/>
          <w:jc w:val="center"/>
        </w:trPr>
        <w:tc>
          <w:tcPr>
            <w:tcW w:w="2349" w:type="dxa"/>
            <w:gridSpan w:val="2"/>
            <w:shd w:val="clear" w:color="auto" w:fill="4472C4"/>
            <w:vAlign w:val="center"/>
          </w:tcPr>
          <w:p w14:paraId="5039D088"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5501CFF7" w14:textId="77777777" w:rsidR="00990B14" w:rsidRDefault="00000000">
            <w:pPr>
              <w:keepNext/>
              <w:spacing w:before="20" w:after="20"/>
              <w:jc w:val="both"/>
            </w:pPr>
            <w:r>
              <w:rPr>
                <w:b/>
                <w:bCs/>
                <w:i/>
                <w:iCs/>
                <w:color w:val="FFFFFF"/>
                <w:sz w:val="18"/>
                <w:szCs w:val="18"/>
              </w:rPr>
              <w:t>Contenidos</w:t>
            </w:r>
          </w:p>
          <w:p w14:paraId="41941969"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699FB373" w14:textId="77777777" w:rsidR="00990B14" w:rsidRDefault="00000000">
            <w:pPr>
              <w:keepNext/>
              <w:spacing w:before="20" w:after="20"/>
              <w:jc w:val="center"/>
            </w:pPr>
            <w:r>
              <w:rPr>
                <w:b/>
                <w:bCs/>
                <w:i/>
                <w:iCs/>
                <w:color w:val="FFFFFF"/>
                <w:sz w:val="18"/>
                <w:szCs w:val="18"/>
              </w:rPr>
              <w:t>Conocimientos circunstanciales</w:t>
            </w:r>
          </w:p>
        </w:tc>
      </w:tr>
      <w:tr w:rsidR="00990B14" w14:paraId="4A575C10" w14:textId="77777777">
        <w:trPr>
          <w:jc w:val="center"/>
        </w:trPr>
        <w:tc>
          <w:tcPr>
            <w:tcW w:w="2349" w:type="dxa"/>
            <w:gridSpan w:val="2"/>
            <w:shd w:val="clear" w:color="auto" w:fill="D9E2F3"/>
          </w:tcPr>
          <w:p w14:paraId="50869661" w14:textId="77777777" w:rsidR="00990B14" w:rsidRDefault="00000000">
            <w:pPr>
              <w:spacing w:before="20" w:after="40"/>
              <w:jc w:val="both"/>
            </w:pPr>
            <w:r>
              <w:rPr>
                <w:sz w:val="18"/>
                <w:szCs w:val="18"/>
              </w:rPr>
              <w:t>Tema 22: Contratos y obligaciones comerciales</w:t>
            </w:r>
          </w:p>
        </w:tc>
        <w:tc>
          <w:tcPr>
            <w:tcW w:w="4304" w:type="dxa"/>
            <w:gridSpan w:val="8"/>
            <w:shd w:val="clear" w:color="auto" w:fill="D9E2F3"/>
          </w:tcPr>
          <w:p w14:paraId="5643D96F" w14:textId="77777777" w:rsidR="00990B14" w:rsidRDefault="00000000">
            <w:pPr>
              <w:spacing w:after="40"/>
              <w:jc w:val="both"/>
            </w:pPr>
            <w:r>
              <w:rPr>
                <w:sz w:val="18"/>
                <w:szCs w:val="18"/>
              </w:rPr>
              <w:t>Contratos comerciales. (C)</w:t>
            </w:r>
          </w:p>
          <w:p w14:paraId="03F95B22" w14:textId="77777777" w:rsidR="00990B14" w:rsidRDefault="00000000">
            <w:pPr>
              <w:spacing w:after="40"/>
              <w:jc w:val="both"/>
            </w:pPr>
            <w:r>
              <w:rPr>
                <w:sz w:val="18"/>
                <w:szCs w:val="18"/>
              </w:rPr>
              <w:t>Obligaciones comerciales. (C)</w:t>
            </w:r>
          </w:p>
          <w:p w14:paraId="1029D8BC" w14:textId="77777777" w:rsidR="00990B14" w:rsidRDefault="00000000">
            <w:pPr>
              <w:spacing w:after="40"/>
              <w:jc w:val="both"/>
            </w:pPr>
            <w:r>
              <w:rPr>
                <w:sz w:val="18"/>
                <w:szCs w:val="18"/>
              </w:rPr>
              <w:t>Distintas modalidades de contrato conforme al Código de Comercio. (C, P)</w:t>
            </w:r>
          </w:p>
        </w:tc>
        <w:tc>
          <w:tcPr>
            <w:tcW w:w="2752" w:type="dxa"/>
            <w:gridSpan w:val="3"/>
            <w:shd w:val="clear" w:color="auto" w:fill="D9E2F3"/>
          </w:tcPr>
          <w:p w14:paraId="306C4C4F" w14:textId="77777777" w:rsidR="00990B14" w:rsidRDefault="00000000">
            <w:pPr>
              <w:numPr>
                <w:ilvl w:val="0"/>
                <w:numId w:val="139"/>
              </w:numPr>
              <w:spacing w:before="10" w:after="10"/>
              <w:jc w:val="both"/>
            </w:pPr>
            <w:r>
              <w:rPr>
                <w:sz w:val="18"/>
                <w:szCs w:val="18"/>
              </w:rPr>
              <w:t>Incoterms de la Cámara de Comercio Internacional, empleados en los contratos de compraventa internacional de mercaderías.</w:t>
            </w:r>
          </w:p>
          <w:p w14:paraId="45B84C63" w14:textId="77777777" w:rsidR="00990B14" w:rsidRDefault="00000000">
            <w:pPr>
              <w:numPr>
                <w:ilvl w:val="0"/>
                <w:numId w:val="139"/>
              </w:numPr>
              <w:spacing w:before="10" w:after="10"/>
              <w:jc w:val="both"/>
            </w:pPr>
            <w:r>
              <w:rPr>
                <w:sz w:val="18"/>
                <w:szCs w:val="18"/>
              </w:rPr>
              <w:t>Código de Comercio, Decreto Ley N.º 14379, que regula los contratos comerciales y las obligaciones mercantiles en Bolivia.</w:t>
            </w:r>
          </w:p>
        </w:tc>
      </w:tr>
    </w:tbl>
    <w:p w14:paraId="1473B372"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716"/>
        <w:gridCol w:w="1656"/>
        <w:gridCol w:w="1837"/>
        <w:gridCol w:w="1656"/>
        <w:gridCol w:w="2540"/>
      </w:tblGrid>
      <w:tr w:rsidR="00990B14" w14:paraId="6B94A29F" w14:textId="77777777">
        <w:trPr>
          <w:cantSplit/>
          <w:jc w:val="center"/>
        </w:trPr>
        <w:tc>
          <w:tcPr>
            <w:tcW w:w="9405" w:type="dxa"/>
            <w:gridSpan w:val="5"/>
            <w:shd w:val="clear" w:color="auto" w:fill="4472C4"/>
            <w:vAlign w:val="center"/>
          </w:tcPr>
          <w:p w14:paraId="35B7E9E4" w14:textId="77777777" w:rsidR="00990B14" w:rsidRDefault="00000000">
            <w:pPr>
              <w:keepNext/>
              <w:spacing w:before="20" w:after="20"/>
              <w:jc w:val="center"/>
            </w:pPr>
            <w:r>
              <w:rPr>
                <w:b/>
                <w:bCs/>
                <w:i/>
                <w:iCs/>
                <w:color w:val="FFFFFF"/>
                <w:sz w:val="18"/>
                <w:szCs w:val="18"/>
              </w:rPr>
              <w:t>Actividades</w:t>
            </w:r>
          </w:p>
        </w:tc>
      </w:tr>
      <w:tr w:rsidR="00990B14" w14:paraId="0BF7CF36" w14:textId="77777777">
        <w:trPr>
          <w:cantSplit/>
          <w:jc w:val="center"/>
        </w:trPr>
        <w:tc>
          <w:tcPr>
            <w:tcW w:w="1716" w:type="dxa"/>
            <w:shd w:val="clear" w:color="auto" w:fill="4472C4"/>
            <w:vAlign w:val="center"/>
          </w:tcPr>
          <w:p w14:paraId="402FA2F3" w14:textId="77777777" w:rsidR="00990B14" w:rsidRDefault="00000000">
            <w:pPr>
              <w:keepNext/>
              <w:spacing w:before="20" w:after="20"/>
              <w:jc w:val="center"/>
            </w:pPr>
            <w:r>
              <w:rPr>
                <w:b/>
                <w:bCs/>
                <w:i/>
                <w:iCs/>
                <w:color w:val="FFFFFF"/>
                <w:sz w:val="18"/>
                <w:szCs w:val="18"/>
              </w:rPr>
              <w:t>En clase</w:t>
            </w:r>
          </w:p>
        </w:tc>
        <w:tc>
          <w:tcPr>
            <w:tcW w:w="1656" w:type="dxa"/>
            <w:shd w:val="clear" w:color="auto" w:fill="4472C4"/>
            <w:vAlign w:val="center"/>
          </w:tcPr>
          <w:p w14:paraId="7E8B2169" w14:textId="77777777" w:rsidR="00990B14" w:rsidRDefault="00000000">
            <w:pPr>
              <w:keepNext/>
              <w:spacing w:before="20" w:after="20"/>
              <w:jc w:val="center"/>
            </w:pPr>
            <w:r>
              <w:rPr>
                <w:b/>
                <w:bCs/>
                <w:i/>
                <w:iCs/>
                <w:color w:val="FFFFFF"/>
                <w:sz w:val="18"/>
                <w:szCs w:val="18"/>
              </w:rPr>
              <w:t>Autónomas</w:t>
            </w:r>
          </w:p>
        </w:tc>
        <w:tc>
          <w:tcPr>
            <w:tcW w:w="1837" w:type="dxa"/>
            <w:shd w:val="clear" w:color="auto" w:fill="4472C4"/>
            <w:vAlign w:val="center"/>
          </w:tcPr>
          <w:p w14:paraId="3A8DB0E1" w14:textId="77777777" w:rsidR="00990B14" w:rsidRDefault="00000000">
            <w:pPr>
              <w:keepNext/>
              <w:spacing w:before="20" w:after="20"/>
              <w:jc w:val="center"/>
            </w:pPr>
            <w:r>
              <w:rPr>
                <w:b/>
                <w:bCs/>
                <w:i/>
                <w:iCs/>
                <w:color w:val="FFFFFF"/>
                <w:sz w:val="18"/>
                <w:szCs w:val="18"/>
              </w:rPr>
              <w:t>B-Learning</w:t>
            </w:r>
          </w:p>
        </w:tc>
        <w:tc>
          <w:tcPr>
            <w:tcW w:w="1656" w:type="dxa"/>
            <w:shd w:val="clear" w:color="auto" w:fill="4472C4"/>
            <w:vAlign w:val="center"/>
          </w:tcPr>
          <w:p w14:paraId="68C78BC4" w14:textId="77777777" w:rsidR="00990B14" w:rsidRDefault="00000000">
            <w:pPr>
              <w:keepNext/>
              <w:spacing w:before="20" w:after="20"/>
              <w:jc w:val="center"/>
            </w:pPr>
            <w:r>
              <w:rPr>
                <w:b/>
                <w:bCs/>
                <w:i/>
                <w:iCs/>
                <w:color w:val="FFFFFF"/>
                <w:sz w:val="18"/>
                <w:szCs w:val="18"/>
              </w:rPr>
              <w:t>Taller</w:t>
            </w:r>
          </w:p>
        </w:tc>
        <w:tc>
          <w:tcPr>
            <w:tcW w:w="2540" w:type="dxa"/>
            <w:shd w:val="clear" w:color="auto" w:fill="4472C4"/>
            <w:vAlign w:val="center"/>
          </w:tcPr>
          <w:p w14:paraId="4A49CAD9" w14:textId="77777777" w:rsidR="00990B14" w:rsidRDefault="00000000">
            <w:pPr>
              <w:keepNext/>
              <w:spacing w:before="20" w:after="20"/>
              <w:jc w:val="center"/>
            </w:pPr>
            <w:r>
              <w:rPr>
                <w:b/>
                <w:bCs/>
                <w:i/>
                <w:iCs/>
                <w:color w:val="FFFFFF"/>
                <w:sz w:val="18"/>
                <w:szCs w:val="18"/>
              </w:rPr>
              <w:t>Investigación/Práctica</w:t>
            </w:r>
          </w:p>
        </w:tc>
      </w:tr>
      <w:tr w:rsidR="00990B14" w14:paraId="6A00E5BC" w14:textId="77777777">
        <w:trPr>
          <w:jc w:val="center"/>
        </w:trPr>
        <w:tc>
          <w:tcPr>
            <w:tcW w:w="1716" w:type="dxa"/>
            <w:shd w:val="clear" w:color="auto" w:fill="D9E2F3"/>
          </w:tcPr>
          <w:p w14:paraId="3CD4FF11" w14:textId="77777777" w:rsidR="00990B14" w:rsidRDefault="00000000">
            <w:pPr>
              <w:numPr>
                <w:ilvl w:val="0"/>
                <w:numId w:val="139"/>
              </w:numPr>
              <w:spacing w:before="10" w:after="10"/>
              <w:jc w:val="both"/>
            </w:pPr>
            <w:r>
              <w:rPr>
                <w:sz w:val="18"/>
                <w:szCs w:val="18"/>
              </w:rPr>
              <w:t>Exposición dialogada de las normas del Código de Comercio sobre comerciantes, sociedades y títulos valores.</w:t>
            </w:r>
          </w:p>
          <w:p w14:paraId="524A0EB5" w14:textId="77777777" w:rsidR="00990B14" w:rsidRDefault="00000000">
            <w:pPr>
              <w:numPr>
                <w:ilvl w:val="0"/>
                <w:numId w:val="139"/>
              </w:numPr>
              <w:spacing w:before="10" w:after="10"/>
              <w:jc w:val="both"/>
            </w:pPr>
            <w:r>
              <w:rPr>
                <w:sz w:val="18"/>
                <w:szCs w:val="18"/>
              </w:rPr>
              <w:t>Lectura comentada de cláusulas de contratos sociales, de estatutos y de contratos comerciales.</w:t>
            </w:r>
          </w:p>
          <w:p w14:paraId="7E23264B" w14:textId="77777777" w:rsidR="00990B14" w:rsidRDefault="00000000">
            <w:pPr>
              <w:numPr>
                <w:ilvl w:val="0"/>
                <w:numId w:val="139"/>
              </w:numPr>
              <w:spacing w:before="10" w:after="10"/>
              <w:jc w:val="both"/>
            </w:pPr>
            <w:r>
              <w:rPr>
                <w:sz w:val="18"/>
                <w:szCs w:val="18"/>
              </w:rPr>
              <w:lastRenderedPageBreak/>
              <w:t>Resolución guiada del llenado y del endoso de letras de cambio, pagarés y cheques.</w:t>
            </w:r>
          </w:p>
          <w:p w14:paraId="258104B5" w14:textId="77777777" w:rsidR="00990B14" w:rsidRDefault="00000000">
            <w:pPr>
              <w:numPr>
                <w:ilvl w:val="0"/>
                <w:numId w:val="139"/>
              </w:numPr>
              <w:spacing w:before="10" w:after="10"/>
              <w:jc w:val="both"/>
            </w:pPr>
            <w:r>
              <w:rPr>
                <w:sz w:val="18"/>
                <w:szCs w:val="18"/>
              </w:rPr>
              <w:t>Análisis de casos de constitución, fusión y disolución de sociedades comerciales bolivianas.</w:t>
            </w:r>
          </w:p>
          <w:p w14:paraId="619E5829" w14:textId="77777777" w:rsidR="00990B14" w:rsidRDefault="00000000">
            <w:pPr>
              <w:numPr>
                <w:ilvl w:val="0"/>
                <w:numId w:val="139"/>
              </w:numPr>
              <w:spacing w:before="10" w:after="10"/>
              <w:jc w:val="both"/>
            </w:pPr>
            <w:r>
              <w:rPr>
                <w:sz w:val="18"/>
                <w:szCs w:val="18"/>
              </w:rPr>
              <w:t>Preguntas de comprensión sobre gobierno corporativo y mercado de valores.</w:t>
            </w:r>
          </w:p>
        </w:tc>
        <w:tc>
          <w:tcPr>
            <w:tcW w:w="1656" w:type="dxa"/>
            <w:shd w:val="clear" w:color="auto" w:fill="D9E2F3"/>
          </w:tcPr>
          <w:p w14:paraId="12A916E2" w14:textId="77777777" w:rsidR="00990B14" w:rsidRDefault="00000000">
            <w:pPr>
              <w:numPr>
                <w:ilvl w:val="0"/>
                <w:numId w:val="139"/>
              </w:numPr>
              <w:spacing w:before="10" w:after="10"/>
              <w:jc w:val="both"/>
            </w:pPr>
            <w:r>
              <w:rPr>
                <w:sz w:val="18"/>
                <w:szCs w:val="18"/>
              </w:rPr>
              <w:lastRenderedPageBreak/>
              <w:t>Lectura de las normas del Código de Comercio, de la Ley de la Empresa Pública y de los Lineamientos de Buen Gobierno Corporativo de la AEMP.</w:t>
            </w:r>
          </w:p>
          <w:p w14:paraId="7BDF847C" w14:textId="77777777" w:rsidR="00990B14" w:rsidRDefault="00000000">
            <w:pPr>
              <w:numPr>
                <w:ilvl w:val="0"/>
                <w:numId w:val="139"/>
              </w:numPr>
              <w:spacing w:before="10" w:after="10"/>
              <w:jc w:val="both"/>
            </w:pPr>
            <w:r>
              <w:rPr>
                <w:sz w:val="18"/>
                <w:szCs w:val="18"/>
              </w:rPr>
              <w:t xml:space="preserve">Elaboración progresiva del contrato de una </w:t>
            </w:r>
            <w:r>
              <w:rPr>
                <w:sz w:val="18"/>
                <w:szCs w:val="18"/>
              </w:rPr>
              <w:lastRenderedPageBreak/>
              <w:t>sociedad comercial y de sus estatutos.</w:t>
            </w:r>
          </w:p>
          <w:p w14:paraId="48EA8594" w14:textId="77777777" w:rsidR="00990B14" w:rsidRDefault="00000000">
            <w:pPr>
              <w:numPr>
                <w:ilvl w:val="0"/>
                <w:numId w:val="139"/>
              </w:numPr>
              <w:spacing w:before="10" w:after="10"/>
              <w:jc w:val="both"/>
            </w:pPr>
            <w:r>
              <w:rPr>
                <w:sz w:val="18"/>
                <w:szCs w:val="18"/>
              </w:rPr>
              <w:t>Resolución de ejercicios de llenado de letras de cambio, pagarés y cheques.</w:t>
            </w:r>
          </w:p>
        </w:tc>
        <w:tc>
          <w:tcPr>
            <w:tcW w:w="1837" w:type="dxa"/>
            <w:shd w:val="clear" w:color="auto" w:fill="D9E2F3"/>
          </w:tcPr>
          <w:p w14:paraId="68135468" w14:textId="77777777" w:rsidR="00990B14" w:rsidRDefault="00000000">
            <w:pPr>
              <w:numPr>
                <w:ilvl w:val="0"/>
                <w:numId w:val="139"/>
              </w:numPr>
              <w:spacing w:before="10" w:after="10"/>
              <w:jc w:val="both"/>
            </w:pPr>
            <w:r>
              <w:rPr>
                <w:sz w:val="18"/>
                <w:szCs w:val="18"/>
              </w:rPr>
              <w:lastRenderedPageBreak/>
              <w:t>Cuestionarios de comprensión sobre los tipos societarios y los títulos valores en la plataforma Moodle UMSA.</w:t>
            </w:r>
          </w:p>
          <w:p w14:paraId="489A0B39" w14:textId="77777777" w:rsidR="00990B14" w:rsidRDefault="00000000">
            <w:pPr>
              <w:numPr>
                <w:ilvl w:val="0"/>
                <w:numId w:val="139"/>
              </w:numPr>
              <w:spacing w:before="10" w:after="10"/>
              <w:jc w:val="both"/>
            </w:pPr>
            <w:r>
              <w:rPr>
                <w:sz w:val="18"/>
                <w:szCs w:val="18"/>
              </w:rPr>
              <w:t>Foros de consulta sobre gobierno corporativo y disolución de sociedades.</w:t>
            </w:r>
          </w:p>
          <w:p w14:paraId="58AD63B2" w14:textId="77777777" w:rsidR="00990B14" w:rsidRDefault="00000000">
            <w:pPr>
              <w:numPr>
                <w:ilvl w:val="0"/>
                <w:numId w:val="139"/>
              </w:numPr>
              <w:spacing w:before="10" w:after="10"/>
              <w:jc w:val="both"/>
            </w:pPr>
            <w:r>
              <w:rPr>
                <w:sz w:val="18"/>
                <w:szCs w:val="18"/>
              </w:rPr>
              <w:t xml:space="preserve">Videotutoriales de trámites </w:t>
            </w:r>
            <w:r>
              <w:rPr>
                <w:sz w:val="18"/>
                <w:szCs w:val="18"/>
              </w:rPr>
              <w:lastRenderedPageBreak/>
              <w:t>ante el SEPREC y ante el Registro del Mercado de Valores.</w:t>
            </w:r>
          </w:p>
        </w:tc>
        <w:tc>
          <w:tcPr>
            <w:tcW w:w="1656" w:type="dxa"/>
            <w:shd w:val="clear" w:color="auto" w:fill="D9E2F3"/>
          </w:tcPr>
          <w:p w14:paraId="0ED68347" w14:textId="77777777" w:rsidR="00990B14" w:rsidRDefault="00000000">
            <w:pPr>
              <w:numPr>
                <w:ilvl w:val="0"/>
                <w:numId w:val="139"/>
              </w:numPr>
              <w:spacing w:before="10" w:after="10"/>
              <w:jc w:val="both"/>
            </w:pPr>
            <w:r>
              <w:rPr>
                <w:sz w:val="18"/>
                <w:szCs w:val="18"/>
              </w:rPr>
              <w:lastRenderedPageBreak/>
              <w:t>Debate colaborativo sobre la elección del tipo societario más adecuado para un caso real.</w:t>
            </w:r>
          </w:p>
          <w:p w14:paraId="5676E593" w14:textId="77777777" w:rsidR="00990B14" w:rsidRDefault="00000000">
            <w:pPr>
              <w:numPr>
                <w:ilvl w:val="0"/>
                <w:numId w:val="139"/>
              </w:numPr>
              <w:spacing w:before="10" w:after="10"/>
              <w:jc w:val="both"/>
            </w:pPr>
            <w:r>
              <w:rPr>
                <w:sz w:val="18"/>
                <w:szCs w:val="18"/>
              </w:rPr>
              <w:t xml:space="preserve">Elaboración guiada de un contrato de sociedad y de un contrato de compraventa </w:t>
            </w:r>
            <w:r>
              <w:rPr>
                <w:sz w:val="18"/>
                <w:szCs w:val="18"/>
              </w:rPr>
              <w:lastRenderedPageBreak/>
              <w:t>comercial.</w:t>
            </w:r>
          </w:p>
          <w:p w14:paraId="2A522DBE" w14:textId="77777777" w:rsidR="00990B14" w:rsidRDefault="00000000">
            <w:pPr>
              <w:numPr>
                <w:ilvl w:val="0"/>
                <w:numId w:val="139"/>
              </w:numPr>
              <w:spacing w:before="10" w:after="10"/>
              <w:jc w:val="both"/>
            </w:pPr>
            <w:r>
              <w:rPr>
                <w:sz w:val="18"/>
                <w:szCs w:val="18"/>
              </w:rPr>
              <w:t>Simulación de un protesto y de acciones emergentes de un título valor.</w:t>
            </w:r>
          </w:p>
        </w:tc>
        <w:tc>
          <w:tcPr>
            <w:tcW w:w="2540" w:type="dxa"/>
            <w:shd w:val="clear" w:color="auto" w:fill="D9E2F3"/>
          </w:tcPr>
          <w:p w14:paraId="2DB196BC" w14:textId="77777777" w:rsidR="00990B14" w:rsidRDefault="00000000">
            <w:pPr>
              <w:numPr>
                <w:ilvl w:val="0"/>
                <w:numId w:val="139"/>
              </w:numPr>
              <w:spacing w:before="10" w:after="10"/>
              <w:jc w:val="both"/>
            </w:pPr>
            <w:r>
              <w:rPr>
                <w:sz w:val="18"/>
                <w:szCs w:val="18"/>
              </w:rPr>
              <w:lastRenderedPageBreak/>
              <w:t>Investigación sobre la aplicación del gobierno corporativo en una sociedad anónima boliviana, con el análisis de sus conflictos de interés y de la gestión de sus riesgos.</w:t>
            </w:r>
          </w:p>
          <w:p w14:paraId="10F0736E" w14:textId="77777777" w:rsidR="00990B14" w:rsidRDefault="00000000">
            <w:pPr>
              <w:numPr>
                <w:ilvl w:val="0"/>
                <w:numId w:val="139"/>
              </w:numPr>
              <w:spacing w:before="10" w:after="10"/>
              <w:jc w:val="both"/>
            </w:pPr>
            <w:r>
              <w:rPr>
                <w:sz w:val="18"/>
                <w:szCs w:val="18"/>
              </w:rPr>
              <w:t>Análisis de un caso de fusión, escisión o transformación de una sociedad comercial.</w:t>
            </w:r>
          </w:p>
          <w:p w14:paraId="73890139" w14:textId="77777777" w:rsidR="00990B14" w:rsidRDefault="00000000">
            <w:pPr>
              <w:numPr>
                <w:ilvl w:val="0"/>
                <w:numId w:val="139"/>
              </w:numPr>
              <w:spacing w:before="10" w:after="10"/>
              <w:jc w:val="both"/>
            </w:pPr>
            <w:r>
              <w:rPr>
                <w:sz w:val="18"/>
                <w:szCs w:val="18"/>
              </w:rPr>
              <w:t xml:space="preserve">Comparación de los requisitos de emisión de bonos y de cédulas hipotecarias en el </w:t>
            </w:r>
            <w:r>
              <w:rPr>
                <w:sz w:val="18"/>
                <w:szCs w:val="18"/>
              </w:rPr>
              <w:lastRenderedPageBreak/>
              <w:t>mercado de valores boliviano.</w:t>
            </w:r>
          </w:p>
        </w:tc>
      </w:tr>
    </w:tbl>
    <w:p w14:paraId="3F7A4B38"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772"/>
        <w:gridCol w:w="1854"/>
        <w:gridCol w:w="1910"/>
        <w:gridCol w:w="1854"/>
        <w:gridCol w:w="2015"/>
      </w:tblGrid>
      <w:tr w:rsidR="00990B14" w14:paraId="61D88B41" w14:textId="77777777">
        <w:trPr>
          <w:jc w:val="center"/>
        </w:trPr>
        <w:tc>
          <w:tcPr>
            <w:tcW w:w="1772" w:type="dxa"/>
            <w:shd w:val="clear" w:color="auto" w:fill="4472C4"/>
            <w:vAlign w:val="center"/>
          </w:tcPr>
          <w:p w14:paraId="51A468BA" w14:textId="77777777" w:rsidR="00990B14" w:rsidRDefault="00000000">
            <w:pPr>
              <w:spacing w:before="20" w:after="20"/>
              <w:jc w:val="center"/>
            </w:pPr>
            <w:r>
              <w:rPr>
                <w:b/>
                <w:bCs/>
                <w:i/>
                <w:iCs/>
                <w:color w:val="FFFFFF"/>
                <w:sz w:val="18"/>
                <w:szCs w:val="18"/>
              </w:rPr>
              <w:t>Estrategias de aprendizaje y enseñanza</w:t>
            </w:r>
          </w:p>
        </w:tc>
        <w:tc>
          <w:tcPr>
            <w:tcW w:w="7633" w:type="dxa"/>
            <w:gridSpan w:val="4"/>
            <w:shd w:val="clear" w:color="auto" w:fill="D9E2F3"/>
            <w:vAlign w:val="center"/>
          </w:tcPr>
          <w:p w14:paraId="2B52890E" w14:textId="77777777" w:rsidR="00990B14" w:rsidRDefault="00000000">
            <w:pPr>
              <w:numPr>
                <w:ilvl w:val="0"/>
                <w:numId w:val="140"/>
              </w:numPr>
              <w:spacing w:before="10" w:after="10"/>
              <w:jc w:val="both"/>
            </w:pPr>
            <w:r>
              <w:rPr>
                <w:sz w:val="18"/>
                <w:szCs w:val="18"/>
              </w:rPr>
              <w:t>Aprendizaje basado en problemas con casos de constitución y de disolución de sociedades comerciales.</w:t>
            </w:r>
          </w:p>
          <w:p w14:paraId="18609DA1" w14:textId="77777777" w:rsidR="00990B14" w:rsidRDefault="00000000">
            <w:pPr>
              <w:numPr>
                <w:ilvl w:val="0"/>
                <w:numId w:val="140"/>
              </w:numPr>
              <w:spacing w:before="10" w:after="10"/>
              <w:jc w:val="both"/>
            </w:pPr>
            <w:r>
              <w:rPr>
                <w:sz w:val="18"/>
                <w:szCs w:val="18"/>
              </w:rPr>
              <w:t>Estudio de casos de aplicación del Código de Comercio y de la Ley de la Empresa Pública.</w:t>
            </w:r>
          </w:p>
          <w:p w14:paraId="4D8BDE2A" w14:textId="77777777" w:rsidR="00990B14" w:rsidRDefault="00000000">
            <w:pPr>
              <w:numPr>
                <w:ilvl w:val="0"/>
                <w:numId w:val="140"/>
              </w:numPr>
              <w:spacing w:before="10" w:after="10"/>
              <w:jc w:val="both"/>
            </w:pPr>
            <w:r>
              <w:rPr>
                <w:sz w:val="18"/>
                <w:szCs w:val="18"/>
              </w:rPr>
              <w:t>Proyecto integrador que recorre la constitución, el gobierno corporativo y la disolución de una sociedad.</w:t>
            </w:r>
          </w:p>
          <w:p w14:paraId="09D6BF56" w14:textId="77777777" w:rsidR="00990B14" w:rsidRDefault="00000000">
            <w:pPr>
              <w:numPr>
                <w:ilvl w:val="0"/>
                <w:numId w:val="140"/>
              </w:numPr>
              <w:spacing w:before="10" w:after="10"/>
              <w:jc w:val="both"/>
            </w:pPr>
            <w:r>
              <w:rPr>
                <w:sz w:val="18"/>
                <w:szCs w:val="18"/>
              </w:rPr>
              <w:t>Trabajo colaborativo en equipos para el llenado y el análisis de títulos valores.</w:t>
            </w:r>
          </w:p>
          <w:p w14:paraId="0E770410" w14:textId="77777777" w:rsidR="00990B14" w:rsidRDefault="00000000">
            <w:pPr>
              <w:numPr>
                <w:ilvl w:val="0"/>
                <w:numId w:val="140"/>
              </w:numPr>
              <w:spacing w:before="10" w:after="10"/>
              <w:jc w:val="both"/>
            </w:pPr>
            <w:r>
              <w:rPr>
                <w:sz w:val="18"/>
                <w:szCs w:val="18"/>
              </w:rPr>
              <w:t>Simulaciones de trámites ante el SEPREC y ante el mercado de valores.</w:t>
            </w:r>
          </w:p>
          <w:p w14:paraId="06E387AC" w14:textId="77777777" w:rsidR="00990B14" w:rsidRDefault="00000000">
            <w:pPr>
              <w:numPr>
                <w:ilvl w:val="0"/>
                <w:numId w:val="140"/>
              </w:numPr>
              <w:spacing w:before="10" w:after="10"/>
              <w:jc w:val="both"/>
            </w:pPr>
            <w:r>
              <w:rPr>
                <w:sz w:val="18"/>
                <w:szCs w:val="18"/>
              </w:rPr>
              <w:t>Clase invertida para los contenidos conceptuales del derecho comercial general.</w:t>
            </w:r>
          </w:p>
        </w:tc>
      </w:tr>
      <w:tr w:rsidR="00990B14" w14:paraId="33E57CDE" w14:textId="77777777">
        <w:trPr>
          <w:jc w:val="center"/>
        </w:trPr>
        <w:tc>
          <w:tcPr>
            <w:tcW w:w="1772" w:type="dxa"/>
            <w:shd w:val="clear" w:color="auto" w:fill="4472C4"/>
            <w:vAlign w:val="center"/>
          </w:tcPr>
          <w:p w14:paraId="4B63182D" w14:textId="77777777" w:rsidR="00990B14" w:rsidRDefault="00000000">
            <w:pPr>
              <w:spacing w:before="20" w:after="20"/>
              <w:jc w:val="center"/>
            </w:pPr>
            <w:r>
              <w:rPr>
                <w:b/>
                <w:bCs/>
                <w:i/>
                <w:iCs/>
                <w:color w:val="FFFFFF"/>
                <w:sz w:val="18"/>
                <w:szCs w:val="18"/>
              </w:rPr>
              <w:t>Recursos para el aprendizaje</w:t>
            </w:r>
          </w:p>
        </w:tc>
        <w:tc>
          <w:tcPr>
            <w:tcW w:w="7633" w:type="dxa"/>
            <w:gridSpan w:val="4"/>
            <w:shd w:val="clear" w:color="auto" w:fill="D9E2F3"/>
            <w:vAlign w:val="center"/>
          </w:tcPr>
          <w:p w14:paraId="33A34ED7" w14:textId="77777777" w:rsidR="00990B14" w:rsidRDefault="00000000">
            <w:pPr>
              <w:numPr>
                <w:ilvl w:val="0"/>
                <w:numId w:val="140"/>
              </w:numPr>
              <w:spacing w:before="10" w:after="10"/>
              <w:jc w:val="both"/>
            </w:pPr>
            <w:r>
              <w:rPr>
                <w:sz w:val="18"/>
                <w:szCs w:val="18"/>
              </w:rPr>
              <w:t>Plataforma Moodle UMSA.</w:t>
            </w:r>
          </w:p>
          <w:p w14:paraId="1B145571" w14:textId="77777777" w:rsidR="00990B14" w:rsidRDefault="00000000">
            <w:pPr>
              <w:numPr>
                <w:ilvl w:val="0"/>
                <w:numId w:val="140"/>
              </w:numPr>
              <w:spacing w:before="10" w:after="10"/>
              <w:jc w:val="both"/>
            </w:pPr>
            <w:r>
              <w:rPr>
                <w:sz w:val="18"/>
                <w:szCs w:val="18"/>
              </w:rPr>
              <w:t>Código de Comercio, Ley de la Empresa Pública, Ley del Mercado de Valores y Lineamientos de Buen Gobierno Corporativo de la AEMP.</w:t>
            </w:r>
          </w:p>
          <w:p w14:paraId="761E8087" w14:textId="77777777" w:rsidR="00990B14" w:rsidRDefault="00000000">
            <w:pPr>
              <w:numPr>
                <w:ilvl w:val="0"/>
                <w:numId w:val="140"/>
              </w:numPr>
              <w:spacing w:before="10" w:after="10"/>
              <w:jc w:val="both"/>
            </w:pPr>
            <w:r>
              <w:rPr>
                <w:sz w:val="18"/>
                <w:szCs w:val="18"/>
              </w:rPr>
              <w:t>Formatos de letras de cambio, pagarés y cheques para el trabajo en aula.</w:t>
            </w:r>
          </w:p>
          <w:p w14:paraId="0B35A8E4" w14:textId="77777777" w:rsidR="00990B14" w:rsidRDefault="00000000">
            <w:pPr>
              <w:numPr>
                <w:ilvl w:val="0"/>
                <w:numId w:val="140"/>
              </w:numPr>
              <w:spacing w:before="10" w:after="10"/>
              <w:jc w:val="both"/>
            </w:pPr>
            <w:r>
              <w:rPr>
                <w:sz w:val="18"/>
                <w:szCs w:val="18"/>
              </w:rPr>
              <w:t>Guías de ejercicios y casos elaborados por la cátedra.</w:t>
            </w:r>
          </w:p>
          <w:p w14:paraId="249CF165" w14:textId="77777777" w:rsidR="00990B14" w:rsidRDefault="00000000">
            <w:pPr>
              <w:numPr>
                <w:ilvl w:val="0"/>
                <w:numId w:val="140"/>
              </w:numPr>
              <w:spacing w:before="10" w:after="10"/>
              <w:jc w:val="both"/>
            </w:pPr>
            <w:r>
              <w:rPr>
                <w:sz w:val="18"/>
                <w:szCs w:val="18"/>
              </w:rPr>
              <w:t>Manuales e instructivos del Registro de Comercio del SEPREC.</w:t>
            </w:r>
          </w:p>
        </w:tc>
      </w:tr>
      <w:tr w:rsidR="00990B14" w14:paraId="30C9FCB9" w14:textId="77777777">
        <w:trPr>
          <w:jc w:val="center"/>
        </w:trPr>
        <w:tc>
          <w:tcPr>
            <w:tcW w:w="1772" w:type="dxa"/>
            <w:shd w:val="clear" w:color="auto" w:fill="4472C4"/>
            <w:vAlign w:val="center"/>
          </w:tcPr>
          <w:p w14:paraId="05F42DF0" w14:textId="77777777" w:rsidR="00990B14" w:rsidRDefault="00000000">
            <w:pPr>
              <w:spacing w:before="20" w:after="20"/>
              <w:jc w:val="center"/>
            </w:pPr>
            <w:r>
              <w:rPr>
                <w:b/>
                <w:bCs/>
                <w:i/>
                <w:iCs/>
                <w:color w:val="FFFFFF"/>
                <w:sz w:val="18"/>
                <w:szCs w:val="18"/>
              </w:rPr>
              <w:t>Estrategias de evaluación</w:t>
            </w:r>
          </w:p>
        </w:tc>
        <w:tc>
          <w:tcPr>
            <w:tcW w:w="7633" w:type="dxa"/>
            <w:gridSpan w:val="4"/>
            <w:shd w:val="clear" w:color="auto" w:fill="D9E2F3"/>
            <w:vAlign w:val="center"/>
          </w:tcPr>
          <w:p w14:paraId="03930923" w14:textId="77777777" w:rsidR="00990B14" w:rsidRDefault="00000000">
            <w:pPr>
              <w:numPr>
                <w:ilvl w:val="0"/>
                <w:numId w:val="140"/>
              </w:numPr>
              <w:spacing w:before="10" w:after="10"/>
              <w:jc w:val="both"/>
            </w:pPr>
            <w:r>
              <w:rPr>
                <w:sz w:val="18"/>
                <w:szCs w:val="18"/>
              </w:rPr>
              <w:t>Evaluación diagnóstica: prueba inicial sobre nociones generales de derecho y de las relaciones comerciales.</w:t>
            </w:r>
          </w:p>
          <w:p w14:paraId="3AD238FD" w14:textId="77777777" w:rsidR="00990B14" w:rsidRDefault="00000000">
            <w:pPr>
              <w:numPr>
                <w:ilvl w:val="0"/>
                <w:numId w:val="140"/>
              </w:numPr>
              <w:spacing w:before="10" w:after="10"/>
              <w:jc w:val="both"/>
            </w:pPr>
            <w:r>
              <w:rPr>
                <w:sz w:val="18"/>
                <w:szCs w:val="18"/>
              </w:rPr>
              <w:t>Evaluación formativa: preguntas de comprensión y desarrollo de ejercicios prácticos en el aula, con retroalimentación continua.</w:t>
            </w:r>
          </w:p>
          <w:p w14:paraId="2DE1215F" w14:textId="77777777" w:rsidR="00990B14" w:rsidRDefault="00000000">
            <w:pPr>
              <w:numPr>
                <w:ilvl w:val="0"/>
                <w:numId w:val="140"/>
              </w:numPr>
              <w:spacing w:before="10" w:after="10"/>
              <w:jc w:val="both"/>
            </w:pPr>
            <w:r>
              <w:rPr>
                <w:sz w:val="18"/>
                <w:szCs w:val="18"/>
              </w:rPr>
              <w:t>Evaluación sumativa: controles de lectura y asistencia, evaluación de casos prácticos, trabajos de investigación y desarrollo, exámenes parciales y examen final.</w:t>
            </w:r>
          </w:p>
        </w:tc>
      </w:tr>
      <w:tr w:rsidR="00990B14" w14:paraId="0F1F111E" w14:textId="77777777">
        <w:trPr>
          <w:jc w:val="center"/>
        </w:trPr>
        <w:tc>
          <w:tcPr>
            <w:tcW w:w="1772" w:type="dxa"/>
            <w:shd w:val="clear" w:color="auto" w:fill="4472C4"/>
            <w:vAlign w:val="center"/>
          </w:tcPr>
          <w:p w14:paraId="4FF11C6C" w14:textId="77777777" w:rsidR="00990B14" w:rsidRDefault="00000000">
            <w:pPr>
              <w:spacing w:before="20" w:after="20"/>
              <w:jc w:val="center"/>
            </w:pPr>
            <w:r>
              <w:rPr>
                <w:b/>
                <w:bCs/>
                <w:i/>
                <w:iCs/>
                <w:color w:val="FFFFFF"/>
                <w:sz w:val="18"/>
                <w:szCs w:val="18"/>
              </w:rPr>
              <w:t>Criterios de calificación</w:t>
            </w:r>
          </w:p>
        </w:tc>
        <w:tc>
          <w:tcPr>
            <w:tcW w:w="7633" w:type="dxa"/>
            <w:gridSpan w:val="4"/>
            <w:shd w:val="clear" w:color="auto" w:fill="D9E2F3"/>
            <w:vAlign w:val="center"/>
          </w:tcPr>
          <w:p w14:paraId="6FDC458E" w14:textId="77777777" w:rsidR="00990B14" w:rsidRDefault="00000000">
            <w:pPr>
              <w:numPr>
                <w:ilvl w:val="0"/>
                <w:numId w:val="140"/>
              </w:numPr>
              <w:spacing w:before="10" w:after="10"/>
              <w:jc w:val="both"/>
            </w:pPr>
            <w:r>
              <w:rPr>
                <w:sz w:val="18"/>
                <w:szCs w:val="18"/>
              </w:rPr>
              <w:t>Nota mínima de aprobación: 51/100.</w:t>
            </w:r>
          </w:p>
          <w:p w14:paraId="70654F1F" w14:textId="77777777" w:rsidR="00990B14" w:rsidRDefault="00000000">
            <w:pPr>
              <w:numPr>
                <w:ilvl w:val="0"/>
                <w:numId w:val="140"/>
              </w:numPr>
              <w:spacing w:before="10" w:after="10"/>
              <w:jc w:val="both"/>
            </w:pPr>
            <w:r>
              <w:rPr>
                <w:sz w:val="18"/>
                <w:szCs w:val="18"/>
              </w:rPr>
              <w:t>Evaluación periódica al finalizar cada tema, basada en evidencias de conocimiento, desempeño y producto.</w:t>
            </w:r>
          </w:p>
          <w:p w14:paraId="79993FE2" w14:textId="77777777" w:rsidR="00990B14" w:rsidRDefault="00000000">
            <w:pPr>
              <w:numPr>
                <w:ilvl w:val="0"/>
                <w:numId w:val="140"/>
              </w:numPr>
              <w:spacing w:before="10" w:after="10"/>
              <w:jc w:val="both"/>
            </w:pPr>
            <w:r>
              <w:rPr>
                <w:sz w:val="18"/>
                <w:szCs w:val="18"/>
              </w:rPr>
              <w:t>Cada evidencia de producto se evalúa con su propia rúbrica de tres niveles: Insuficiente, Suficiente y Destacado.</w:t>
            </w:r>
          </w:p>
          <w:p w14:paraId="0734C966" w14:textId="77777777" w:rsidR="00990B14" w:rsidRDefault="00000000">
            <w:pPr>
              <w:numPr>
                <w:ilvl w:val="0"/>
                <w:numId w:val="140"/>
              </w:numPr>
              <w:spacing w:before="10" w:after="10"/>
              <w:jc w:val="both"/>
            </w:pPr>
            <w:r>
              <w:rPr>
                <w:sz w:val="18"/>
                <w:szCs w:val="18"/>
              </w:rPr>
              <w:t>La calificación de cada elemento de competencia suma las calificaciones de sus evidencias de producto.</w:t>
            </w:r>
          </w:p>
        </w:tc>
      </w:tr>
      <w:tr w:rsidR="00990B14" w14:paraId="09F1437C" w14:textId="77777777">
        <w:trPr>
          <w:cantSplit/>
          <w:jc w:val="center"/>
        </w:trPr>
        <w:tc>
          <w:tcPr>
            <w:tcW w:w="1772" w:type="dxa"/>
            <w:vMerge w:val="restart"/>
            <w:shd w:val="clear" w:color="auto" w:fill="4472C4"/>
            <w:vAlign w:val="center"/>
          </w:tcPr>
          <w:p w14:paraId="35E0752E" w14:textId="77777777" w:rsidR="00990B14" w:rsidRDefault="00000000">
            <w:pPr>
              <w:spacing w:before="20" w:after="20"/>
              <w:jc w:val="center"/>
            </w:pPr>
            <w:r>
              <w:rPr>
                <w:b/>
                <w:bCs/>
                <w:i/>
                <w:iCs/>
                <w:color w:val="FFFFFF"/>
                <w:sz w:val="18"/>
                <w:szCs w:val="18"/>
              </w:rPr>
              <w:t>Niveles de logro y distribución de la calificación</w:t>
            </w:r>
          </w:p>
        </w:tc>
        <w:tc>
          <w:tcPr>
            <w:tcW w:w="5618" w:type="dxa"/>
            <w:gridSpan w:val="3"/>
            <w:shd w:val="clear" w:color="auto" w:fill="D9E2F3"/>
            <w:vAlign w:val="center"/>
          </w:tcPr>
          <w:p w14:paraId="7EFC31E9" w14:textId="77777777" w:rsidR="00990B14" w:rsidRDefault="00000000">
            <w:pPr>
              <w:keepNext/>
              <w:spacing w:before="20" w:after="20"/>
              <w:jc w:val="both"/>
            </w:pPr>
            <w:r>
              <w:rPr>
                <w:b/>
                <w:bCs/>
                <w:i/>
                <w:iCs/>
                <w:sz w:val="18"/>
                <w:szCs w:val="18"/>
              </w:rPr>
              <w:t xml:space="preserve">Producto 1: </w:t>
            </w:r>
            <w:r>
              <w:rPr>
                <w:sz w:val="18"/>
                <w:szCs w:val="18"/>
              </w:rPr>
              <w:t>Cuadro de clasificación de actos de comercio</w:t>
            </w:r>
          </w:p>
        </w:tc>
        <w:tc>
          <w:tcPr>
            <w:tcW w:w="2015" w:type="dxa"/>
            <w:shd w:val="clear" w:color="auto" w:fill="D9E2F3"/>
            <w:vAlign w:val="center"/>
          </w:tcPr>
          <w:p w14:paraId="2C13AD6F" w14:textId="77777777" w:rsidR="00990B14" w:rsidRDefault="00000000">
            <w:pPr>
              <w:spacing w:before="20" w:after="20"/>
              <w:jc w:val="center"/>
            </w:pPr>
            <w:r>
              <w:rPr>
                <w:b/>
                <w:bCs/>
                <w:sz w:val="18"/>
                <w:szCs w:val="18"/>
              </w:rPr>
              <w:t>4%</w:t>
            </w:r>
          </w:p>
        </w:tc>
      </w:tr>
      <w:tr w:rsidR="00990B14" w14:paraId="794754E4" w14:textId="77777777">
        <w:trPr>
          <w:cantSplit/>
          <w:jc w:val="center"/>
        </w:trPr>
        <w:tc>
          <w:tcPr>
            <w:tcW w:w="1772" w:type="dxa"/>
            <w:vMerge/>
            <w:shd w:val="clear" w:color="auto" w:fill="4472C4"/>
            <w:vAlign w:val="center"/>
          </w:tcPr>
          <w:p w14:paraId="07B69C74" w14:textId="77777777" w:rsidR="00990B14" w:rsidRDefault="00990B14">
            <w:pPr>
              <w:spacing w:before="20" w:after="20"/>
            </w:pPr>
          </w:p>
        </w:tc>
        <w:tc>
          <w:tcPr>
            <w:tcW w:w="1854" w:type="dxa"/>
            <w:shd w:val="clear" w:color="auto" w:fill="4472C4"/>
            <w:vAlign w:val="center"/>
          </w:tcPr>
          <w:p w14:paraId="039CCEA8"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31B0C592" w14:textId="77777777" w:rsidR="00990B14" w:rsidRDefault="00000000">
            <w:pPr>
              <w:keepNext/>
              <w:spacing w:before="20" w:after="20"/>
              <w:jc w:val="center"/>
            </w:pPr>
            <w:r>
              <w:rPr>
                <w:b/>
                <w:bCs/>
                <w:i/>
                <w:iCs/>
                <w:color w:val="FFFFFF"/>
                <w:sz w:val="18"/>
                <w:szCs w:val="18"/>
              </w:rPr>
              <w:t>Insuficiente (1–50)</w:t>
            </w:r>
          </w:p>
        </w:tc>
        <w:tc>
          <w:tcPr>
            <w:tcW w:w="1854" w:type="dxa"/>
            <w:shd w:val="clear" w:color="auto" w:fill="4472C4"/>
            <w:vAlign w:val="center"/>
          </w:tcPr>
          <w:p w14:paraId="659830E7"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1A98F6F8" w14:textId="77777777" w:rsidR="00990B14" w:rsidRDefault="00000000">
            <w:pPr>
              <w:keepNext/>
              <w:spacing w:before="20" w:after="20"/>
              <w:jc w:val="center"/>
            </w:pPr>
            <w:r>
              <w:rPr>
                <w:b/>
                <w:bCs/>
                <w:i/>
                <w:iCs/>
                <w:color w:val="FFFFFF"/>
                <w:sz w:val="18"/>
                <w:szCs w:val="18"/>
              </w:rPr>
              <w:t>Destacado (81–100)</w:t>
            </w:r>
          </w:p>
        </w:tc>
      </w:tr>
      <w:tr w:rsidR="00990B14" w14:paraId="306E2DB6" w14:textId="77777777">
        <w:trPr>
          <w:cantSplit/>
          <w:jc w:val="center"/>
        </w:trPr>
        <w:tc>
          <w:tcPr>
            <w:tcW w:w="1772" w:type="dxa"/>
            <w:vMerge/>
            <w:shd w:val="clear" w:color="auto" w:fill="4472C4"/>
            <w:vAlign w:val="center"/>
          </w:tcPr>
          <w:p w14:paraId="4090B600" w14:textId="77777777" w:rsidR="00990B14" w:rsidRDefault="00990B14">
            <w:pPr>
              <w:spacing w:before="20" w:after="20"/>
            </w:pPr>
          </w:p>
        </w:tc>
        <w:tc>
          <w:tcPr>
            <w:tcW w:w="1854" w:type="dxa"/>
            <w:shd w:val="clear" w:color="auto" w:fill="D9E2F3"/>
            <w:vAlign w:val="center"/>
          </w:tcPr>
          <w:p w14:paraId="0AA2EB8E" w14:textId="77777777" w:rsidR="00990B14" w:rsidRDefault="00000000">
            <w:pPr>
              <w:spacing w:before="20" w:after="20"/>
              <w:jc w:val="both"/>
            </w:pPr>
            <w:r>
              <w:rPr>
                <w:sz w:val="18"/>
                <w:szCs w:val="18"/>
              </w:rPr>
              <w:t>Clasificación</w:t>
            </w:r>
          </w:p>
        </w:tc>
        <w:tc>
          <w:tcPr>
            <w:tcW w:w="1910" w:type="dxa"/>
            <w:shd w:val="clear" w:color="auto" w:fill="D9E2F3"/>
            <w:vAlign w:val="center"/>
          </w:tcPr>
          <w:p w14:paraId="273359FD" w14:textId="77777777" w:rsidR="00990B14" w:rsidRDefault="00000000">
            <w:pPr>
              <w:spacing w:before="20" w:after="20"/>
              <w:jc w:val="both"/>
            </w:pPr>
            <w:r>
              <w:rPr>
                <w:sz w:val="18"/>
                <w:szCs w:val="18"/>
              </w:rPr>
              <w:t>Clasifica los actos con errores.</w:t>
            </w:r>
          </w:p>
        </w:tc>
        <w:tc>
          <w:tcPr>
            <w:tcW w:w="1854" w:type="dxa"/>
            <w:shd w:val="clear" w:color="auto" w:fill="D9E2F3"/>
            <w:vAlign w:val="center"/>
          </w:tcPr>
          <w:p w14:paraId="7810099C" w14:textId="77777777" w:rsidR="00990B14" w:rsidRDefault="00000000">
            <w:pPr>
              <w:spacing w:before="20" w:after="20"/>
              <w:jc w:val="both"/>
            </w:pPr>
            <w:r>
              <w:rPr>
                <w:sz w:val="18"/>
                <w:szCs w:val="18"/>
              </w:rPr>
              <w:t>Clasifica correctamente cada acto.</w:t>
            </w:r>
          </w:p>
        </w:tc>
        <w:tc>
          <w:tcPr>
            <w:tcW w:w="2015" w:type="dxa"/>
            <w:shd w:val="clear" w:color="auto" w:fill="D9E2F3"/>
            <w:vAlign w:val="center"/>
          </w:tcPr>
          <w:p w14:paraId="1A4DA98C" w14:textId="77777777" w:rsidR="00990B14" w:rsidRDefault="00000000">
            <w:pPr>
              <w:spacing w:before="20" w:after="20"/>
              <w:jc w:val="both"/>
            </w:pPr>
            <w:r>
              <w:rPr>
                <w:sz w:val="18"/>
                <w:szCs w:val="18"/>
              </w:rPr>
              <w:t>Explica los casos dudosos con el criterio de conexión.</w:t>
            </w:r>
          </w:p>
        </w:tc>
      </w:tr>
      <w:tr w:rsidR="00990B14" w14:paraId="267F0204" w14:textId="77777777">
        <w:trPr>
          <w:cantSplit/>
          <w:jc w:val="center"/>
        </w:trPr>
        <w:tc>
          <w:tcPr>
            <w:tcW w:w="1772" w:type="dxa"/>
            <w:vMerge/>
            <w:shd w:val="clear" w:color="auto" w:fill="4472C4"/>
            <w:vAlign w:val="center"/>
          </w:tcPr>
          <w:p w14:paraId="0DDC6E65" w14:textId="77777777" w:rsidR="00990B14" w:rsidRDefault="00990B14">
            <w:pPr>
              <w:spacing w:before="20" w:after="20"/>
            </w:pPr>
          </w:p>
        </w:tc>
        <w:tc>
          <w:tcPr>
            <w:tcW w:w="1854" w:type="dxa"/>
            <w:shd w:val="clear" w:color="auto" w:fill="D9E2F3"/>
            <w:vAlign w:val="center"/>
          </w:tcPr>
          <w:p w14:paraId="5C83D2E9" w14:textId="77777777" w:rsidR="00990B14" w:rsidRDefault="00000000">
            <w:pPr>
              <w:spacing w:before="20" w:after="20"/>
              <w:jc w:val="both"/>
            </w:pPr>
            <w:r>
              <w:rPr>
                <w:sz w:val="18"/>
                <w:szCs w:val="18"/>
              </w:rPr>
              <w:t>Fundamento legal</w:t>
            </w:r>
          </w:p>
        </w:tc>
        <w:tc>
          <w:tcPr>
            <w:tcW w:w="1910" w:type="dxa"/>
            <w:shd w:val="clear" w:color="auto" w:fill="D9E2F3"/>
            <w:vAlign w:val="center"/>
          </w:tcPr>
          <w:p w14:paraId="483F13A7" w14:textId="77777777" w:rsidR="00990B14" w:rsidRDefault="00000000">
            <w:pPr>
              <w:spacing w:before="20" w:after="20"/>
              <w:jc w:val="both"/>
            </w:pPr>
            <w:r>
              <w:rPr>
                <w:sz w:val="18"/>
                <w:szCs w:val="18"/>
              </w:rPr>
              <w:t>No cita el artículo aplicable.</w:t>
            </w:r>
          </w:p>
        </w:tc>
        <w:tc>
          <w:tcPr>
            <w:tcW w:w="1854" w:type="dxa"/>
            <w:shd w:val="clear" w:color="auto" w:fill="D9E2F3"/>
            <w:vAlign w:val="center"/>
          </w:tcPr>
          <w:p w14:paraId="36E1D3CC" w14:textId="77777777" w:rsidR="00990B14" w:rsidRDefault="00000000">
            <w:pPr>
              <w:spacing w:before="20" w:after="20"/>
              <w:jc w:val="both"/>
            </w:pPr>
            <w:r>
              <w:rPr>
                <w:sz w:val="18"/>
                <w:szCs w:val="18"/>
              </w:rPr>
              <w:t>Cita el artículo del Código de Comercio de cada acto.</w:t>
            </w:r>
          </w:p>
        </w:tc>
        <w:tc>
          <w:tcPr>
            <w:tcW w:w="2015" w:type="dxa"/>
            <w:shd w:val="clear" w:color="auto" w:fill="D9E2F3"/>
            <w:vAlign w:val="center"/>
          </w:tcPr>
          <w:p w14:paraId="108702B1" w14:textId="77777777" w:rsidR="00990B14" w:rsidRDefault="00000000">
            <w:pPr>
              <w:spacing w:before="20" w:after="20"/>
              <w:jc w:val="both"/>
            </w:pPr>
            <w:r>
              <w:rPr>
                <w:sz w:val="18"/>
                <w:szCs w:val="18"/>
              </w:rPr>
              <w:t>Relaciona la clasificación con las concepciones subjetiva y objetiva.</w:t>
            </w:r>
          </w:p>
        </w:tc>
      </w:tr>
      <w:tr w:rsidR="00990B14" w14:paraId="2B6633F9" w14:textId="77777777">
        <w:trPr>
          <w:cantSplit/>
          <w:jc w:val="center"/>
        </w:trPr>
        <w:tc>
          <w:tcPr>
            <w:tcW w:w="1772" w:type="dxa"/>
            <w:vMerge/>
            <w:shd w:val="clear" w:color="auto" w:fill="4472C4"/>
            <w:vAlign w:val="center"/>
          </w:tcPr>
          <w:p w14:paraId="717D1264" w14:textId="77777777" w:rsidR="00990B14" w:rsidRDefault="00990B14">
            <w:pPr>
              <w:spacing w:before="20" w:after="20"/>
            </w:pPr>
          </w:p>
        </w:tc>
        <w:tc>
          <w:tcPr>
            <w:tcW w:w="1854" w:type="dxa"/>
            <w:shd w:val="clear" w:color="auto" w:fill="D9E2F3"/>
            <w:vAlign w:val="center"/>
          </w:tcPr>
          <w:p w14:paraId="66377658" w14:textId="77777777" w:rsidR="00990B14" w:rsidRDefault="00000000">
            <w:pPr>
              <w:spacing w:before="20" w:after="20"/>
              <w:jc w:val="both"/>
            </w:pPr>
            <w:r>
              <w:rPr>
                <w:sz w:val="18"/>
                <w:szCs w:val="18"/>
              </w:rPr>
              <w:t>Presentación</w:t>
            </w:r>
          </w:p>
        </w:tc>
        <w:tc>
          <w:tcPr>
            <w:tcW w:w="1910" w:type="dxa"/>
            <w:shd w:val="clear" w:color="auto" w:fill="D9E2F3"/>
            <w:vAlign w:val="center"/>
          </w:tcPr>
          <w:p w14:paraId="78C3FD16" w14:textId="77777777" w:rsidR="00990B14" w:rsidRDefault="00000000">
            <w:pPr>
              <w:spacing w:before="20" w:after="20"/>
              <w:jc w:val="both"/>
            </w:pPr>
            <w:r>
              <w:rPr>
                <w:sz w:val="18"/>
                <w:szCs w:val="18"/>
              </w:rPr>
              <w:t>El cuadro es incompleto.</w:t>
            </w:r>
          </w:p>
        </w:tc>
        <w:tc>
          <w:tcPr>
            <w:tcW w:w="1854" w:type="dxa"/>
            <w:shd w:val="clear" w:color="auto" w:fill="D9E2F3"/>
            <w:vAlign w:val="center"/>
          </w:tcPr>
          <w:p w14:paraId="11D11D25" w14:textId="77777777" w:rsidR="00990B14" w:rsidRDefault="00000000">
            <w:pPr>
              <w:spacing w:before="20" w:after="20"/>
              <w:jc w:val="both"/>
            </w:pPr>
            <w:r>
              <w:rPr>
                <w:sz w:val="18"/>
                <w:szCs w:val="18"/>
              </w:rPr>
              <w:t>El cuadro es claro y completo.</w:t>
            </w:r>
          </w:p>
        </w:tc>
        <w:tc>
          <w:tcPr>
            <w:tcW w:w="2015" w:type="dxa"/>
            <w:shd w:val="clear" w:color="auto" w:fill="D9E2F3"/>
            <w:vAlign w:val="center"/>
          </w:tcPr>
          <w:p w14:paraId="1E57DA80" w14:textId="77777777" w:rsidR="00990B14" w:rsidRDefault="00000000">
            <w:pPr>
              <w:spacing w:before="20" w:after="20"/>
              <w:jc w:val="both"/>
            </w:pPr>
            <w:r>
              <w:rPr>
                <w:sz w:val="18"/>
                <w:szCs w:val="18"/>
              </w:rPr>
              <w:t>El cuadro incluye ejemplos de la actividad comercial boliviana.</w:t>
            </w:r>
          </w:p>
        </w:tc>
      </w:tr>
      <w:tr w:rsidR="00990B14" w14:paraId="1B3B6E70" w14:textId="77777777">
        <w:trPr>
          <w:cantSplit/>
          <w:jc w:val="center"/>
        </w:trPr>
        <w:tc>
          <w:tcPr>
            <w:tcW w:w="1772" w:type="dxa"/>
            <w:vMerge/>
            <w:shd w:val="clear" w:color="auto" w:fill="4472C4"/>
            <w:vAlign w:val="center"/>
          </w:tcPr>
          <w:p w14:paraId="0AE49846" w14:textId="77777777" w:rsidR="00990B14" w:rsidRDefault="00990B14">
            <w:pPr>
              <w:spacing w:before="20" w:after="20"/>
            </w:pPr>
          </w:p>
        </w:tc>
        <w:tc>
          <w:tcPr>
            <w:tcW w:w="5618" w:type="dxa"/>
            <w:gridSpan w:val="3"/>
            <w:shd w:val="clear" w:color="auto" w:fill="D9E2F3"/>
            <w:vAlign w:val="center"/>
          </w:tcPr>
          <w:p w14:paraId="7EB26D79" w14:textId="77777777" w:rsidR="00990B14" w:rsidRDefault="00000000">
            <w:pPr>
              <w:keepNext/>
              <w:spacing w:before="20" w:after="20"/>
              <w:jc w:val="both"/>
            </w:pPr>
            <w:r>
              <w:rPr>
                <w:b/>
                <w:bCs/>
                <w:i/>
                <w:iCs/>
                <w:sz w:val="18"/>
                <w:szCs w:val="18"/>
              </w:rPr>
              <w:t xml:space="preserve">Producto 2: </w:t>
            </w:r>
            <w:r>
              <w:rPr>
                <w:sz w:val="18"/>
                <w:szCs w:val="18"/>
              </w:rPr>
              <w:t>Ficha de comercio electrónico</w:t>
            </w:r>
          </w:p>
        </w:tc>
        <w:tc>
          <w:tcPr>
            <w:tcW w:w="2015" w:type="dxa"/>
            <w:shd w:val="clear" w:color="auto" w:fill="D9E2F3"/>
            <w:vAlign w:val="center"/>
          </w:tcPr>
          <w:p w14:paraId="1E1EB611" w14:textId="77777777" w:rsidR="00990B14" w:rsidRDefault="00000000">
            <w:pPr>
              <w:spacing w:before="20" w:after="20"/>
              <w:jc w:val="center"/>
            </w:pPr>
            <w:r>
              <w:rPr>
                <w:b/>
                <w:bCs/>
                <w:sz w:val="18"/>
                <w:szCs w:val="18"/>
              </w:rPr>
              <w:t>4%</w:t>
            </w:r>
          </w:p>
        </w:tc>
      </w:tr>
      <w:tr w:rsidR="00990B14" w14:paraId="7EA20026" w14:textId="77777777">
        <w:trPr>
          <w:cantSplit/>
          <w:jc w:val="center"/>
        </w:trPr>
        <w:tc>
          <w:tcPr>
            <w:tcW w:w="1772" w:type="dxa"/>
            <w:vMerge/>
            <w:shd w:val="clear" w:color="auto" w:fill="4472C4"/>
            <w:vAlign w:val="center"/>
          </w:tcPr>
          <w:p w14:paraId="5208845F" w14:textId="77777777" w:rsidR="00990B14" w:rsidRDefault="00990B14">
            <w:pPr>
              <w:spacing w:before="20" w:after="20"/>
            </w:pPr>
          </w:p>
        </w:tc>
        <w:tc>
          <w:tcPr>
            <w:tcW w:w="1854" w:type="dxa"/>
            <w:shd w:val="clear" w:color="auto" w:fill="4472C4"/>
            <w:vAlign w:val="center"/>
          </w:tcPr>
          <w:p w14:paraId="2BCB0781"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26EBB549" w14:textId="77777777" w:rsidR="00990B14" w:rsidRDefault="00000000">
            <w:pPr>
              <w:keepNext/>
              <w:spacing w:before="20" w:after="20"/>
              <w:jc w:val="center"/>
            </w:pPr>
            <w:r>
              <w:rPr>
                <w:b/>
                <w:bCs/>
                <w:i/>
                <w:iCs/>
                <w:color w:val="FFFFFF"/>
                <w:sz w:val="18"/>
                <w:szCs w:val="18"/>
              </w:rPr>
              <w:t>Insuficiente (1–50)</w:t>
            </w:r>
          </w:p>
        </w:tc>
        <w:tc>
          <w:tcPr>
            <w:tcW w:w="1854" w:type="dxa"/>
            <w:shd w:val="clear" w:color="auto" w:fill="4472C4"/>
            <w:vAlign w:val="center"/>
          </w:tcPr>
          <w:p w14:paraId="3B9667B1"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1414D7A8" w14:textId="77777777" w:rsidR="00990B14" w:rsidRDefault="00000000">
            <w:pPr>
              <w:keepNext/>
              <w:spacing w:before="20" w:after="20"/>
              <w:jc w:val="center"/>
            </w:pPr>
            <w:r>
              <w:rPr>
                <w:b/>
                <w:bCs/>
                <w:i/>
                <w:iCs/>
                <w:color w:val="FFFFFF"/>
                <w:sz w:val="18"/>
                <w:szCs w:val="18"/>
              </w:rPr>
              <w:t>Destacado (81–100)</w:t>
            </w:r>
          </w:p>
        </w:tc>
      </w:tr>
      <w:tr w:rsidR="00990B14" w14:paraId="378EC185" w14:textId="77777777">
        <w:trPr>
          <w:cantSplit/>
          <w:jc w:val="center"/>
        </w:trPr>
        <w:tc>
          <w:tcPr>
            <w:tcW w:w="1772" w:type="dxa"/>
            <w:vMerge/>
            <w:shd w:val="clear" w:color="auto" w:fill="4472C4"/>
            <w:vAlign w:val="center"/>
          </w:tcPr>
          <w:p w14:paraId="27ECB3E2" w14:textId="77777777" w:rsidR="00990B14" w:rsidRDefault="00990B14">
            <w:pPr>
              <w:spacing w:before="20" w:after="20"/>
            </w:pPr>
          </w:p>
        </w:tc>
        <w:tc>
          <w:tcPr>
            <w:tcW w:w="1854" w:type="dxa"/>
            <w:shd w:val="clear" w:color="auto" w:fill="D9E2F3"/>
            <w:vAlign w:val="center"/>
          </w:tcPr>
          <w:p w14:paraId="3EBDA52A" w14:textId="77777777" w:rsidR="00990B14" w:rsidRDefault="00000000">
            <w:pPr>
              <w:spacing w:before="20" w:after="20"/>
              <w:jc w:val="both"/>
            </w:pPr>
            <w:r>
              <w:rPr>
                <w:sz w:val="18"/>
                <w:szCs w:val="18"/>
              </w:rPr>
              <w:t>Bienes mercantiles</w:t>
            </w:r>
          </w:p>
        </w:tc>
        <w:tc>
          <w:tcPr>
            <w:tcW w:w="1910" w:type="dxa"/>
            <w:shd w:val="clear" w:color="auto" w:fill="D9E2F3"/>
            <w:vAlign w:val="center"/>
          </w:tcPr>
          <w:p w14:paraId="0C7621B7" w14:textId="77777777" w:rsidR="00990B14" w:rsidRDefault="00000000">
            <w:pPr>
              <w:spacing w:before="20" w:after="20"/>
              <w:jc w:val="both"/>
            </w:pPr>
            <w:r>
              <w:rPr>
                <w:sz w:val="18"/>
                <w:szCs w:val="18"/>
              </w:rPr>
              <w:t>No identifica los bienes de la operación.</w:t>
            </w:r>
          </w:p>
        </w:tc>
        <w:tc>
          <w:tcPr>
            <w:tcW w:w="1854" w:type="dxa"/>
            <w:shd w:val="clear" w:color="auto" w:fill="D9E2F3"/>
            <w:vAlign w:val="center"/>
          </w:tcPr>
          <w:p w14:paraId="2AF81AB6" w14:textId="77777777" w:rsidR="00990B14" w:rsidRDefault="00000000">
            <w:pPr>
              <w:spacing w:before="20" w:after="20"/>
              <w:jc w:val="both"/>
            </w:pPr>
            <w:r>
              <w:rPr>
                <w:sz w:val="18"/>
                <w:szCs w:val="18"/>
              </w:rPr>
              <w:t>Identifica los bienes mercantiles de la operación.</w:t>
            </w:r>
          </w:p>
        </w:tc>
        <w:tc>
          <w:tcPr>
            <w:tcW w:w="2015" w:type="dxa"/>
            <w:shd w:val="clear" w:color="auto" w:fill="D9E2F3"/>
            <w:vAlign w:val="center"/>
          </w:tcPr>
          <w:p w14:paraId="0B25788F" w14:textId="77777777" w:rsidR="00990B14" w:rsidRDefault="00000000">
            <w:pPr>
              <w:spacing w:before="20" w:after="20"/>
              <w:jc w:val="both"/>
            </w:pPr>
            <w:r>
              <w:rPr>
                <w:sz w:val="18"/>
                <w:szCs w:val="18"/>
              </w:rPr>
              <w:t>Distingue los bienes corporales de los incorporales.</w:t>
            </w:r>
          </w:p>
        </w:tc>
      </w:tr>
      <w:tr w:rsidR="00990B14" w14:paraId="311A14C7" w14:textId="77777777">
        <w:trPr>
          <w:cantSplit/>
          <w:jc w:val="center"/>
        </w:trPr>
        <w:tc>
          <w:tcPr>
            <w:tcW w:w="1772" w:type="dxa"/>
            <w:vMerge/>
            <w:shd w:val="clear" w:color="auto" w:fill="4472C4"/>
            <w:vAlign w:val="center"/>
          </w:tcPr>
          <w:p w14:paraId="7AA2CE4D" w14:textId="77777777" w:rsidR="00990B14" w:rsidRDefault="00990B14">
            <w:pPr>
              <w:spacing w:before="20" w:after="20"/>
            </w:pPr>
          </w:p>
        </w:tc>
        <w:tc>
          <w:tcPr>
            <w:tcW w:w="1854" w:type="dxa"/>
            <w:shd w:val="clear" w:color="auto" w:fill="D9E2F3"/>
            <w:vAlign w:val="center"/>
          </w:tcPr>
          <w:p w14:paraId="52D148A6" w14:textId="77777777" w:rsidR="00990B14" w:rsidRDefault="00000000">
            <w:pPr>
              <w:spacing w:before="20" w:after="20"/>
              <w:jc w:val="both"/>
            </w:pPr>
            <w:r>
              <w:rPr>
                <w:sz w:val="18"/>
                <w:szCs w:val="18"/>
              </w:rPr>
              <w:t>Validez jurídica</w:t>
            </w:r>
          </w:p>
        </w:tc>
        <w:tc>
          <w:tcPr>
            <w:tcW w:w="1910" w:type="dxa"/>
            <w:shd w:val="clear" w:color="auto" w:fill="D9E2F3"/>
            <w:vAlign w:val="center"/>
          </w:tcPr>
          <w:p w14:paraId="41DCD8B4" w14:textId="77777777" w:rsidR="00990B14" w:rsidRDefault="00000000">
            <w:pPr>
              <w:spacing w:before="20" w:after="20"/>
              <w:jc w:val="both"/>
            </w:pPr>
            <w:r>
              <w:rPr>
                <w:sz w:val="18"/>
                <w:szCs w:val="18"/>
              </w:rPr>
              <w:t>Desconoce el valor del documento electrónico.</w:t>
            </w:r>
          </w:p>
        </w:tc>
        <w:tc>
          <w:tcPr>
            <w:tcW w:w="1854" w:type="dxa"/>
            <w:shd w:val="clear" w:color="auto" w:fill="D9E2F3"/>
            <w:vAlign w:val="center"/>
          </w:tcPr>
          <w:p w14:paraId="50724768" w14:textId="77777777" w:rsidR="00990B14" w:rsidRDefault="00000000">
            <w:pPr>
              <w:spacing w:before="20" w:after="20"/>
              <w:jc w:val="both"/>
            </w:pPr>
            <w:r>
              <w:rPr>
                <w:sz w:val="18"/>
                <w:szCs w:val="18"/>
              </w:rPr>
              <w:t>Explica el valor jurídico del documento electrónico y de la firma digital.</w:t>
            </w:r>
          </w:p>
        </w:tc>
        <w:tc>
          <w:tcPr>
            <w:tcW w:w="2015" w:type="dxa"/>
            <w:shd w:val="clear" w:color="auto" w:fill="D9E2F3"/>
            <w:vAlign w:val="center"/>
          </w:tcPr>
          <w:p w14:paraId="4B2A4EB3" w14:textId="77777777" w:rsidR="00990B14" w:rsidRDefault="00000000">
            <w:pPr>
              <w:spacing w:before="20" w:after="20"/>
              <w:jc w:val="both"/>
            </w:pPr>
            <w:r>
              <w:rPr>
                <w:sz w:val="18"/>
                <w:szCs w:val="18"/>
              </w:rPr>
              <w:t>Señala los riesgos de una firma no certificada.</w:t>
            </w:r>
          </w:p>
        </w:tc>
      </w:tr>
      <w:tr w:rsidR="00990B14" w14:paraId="676CD4A8" w14:textId="77777777">
        <w:trPr>
          <w:cantSplit/>
          <w:jc w:val="center"/>
        </w:trPr>
        <w:tc>
          <w:tcPr>
            <w:tcW w:w="1772" w:type="dxa"/>
            <w:vMerge/>
            <w:shd w:val="clear" w:color="auto" w:fill="4472C4"/>
            <w:vAlign w:val="center"/>
          </w:tcPr>
          <w:p w14:paraId="509BD169" w14:textId="77777777" w:rsidR="00990B14" w:rsidRDefault="00990B14">
            <w:pPr>
              <w:spacing w:before="20" w:after="20"/>
            </w:pPr>
          </w:p>
        </w:tc>
        <w:tc>
          <w:tcPr>
            <w:tcW w:w="1854" w:type="dxa"/>
            <w:shd w:val="clear" w:color="auto" w:fill="D9E2F3"/>
            <w:vAlign w:val="center"/>
          </w:tcPr>
          <w:p w14:paraId="04BD8F0D" w14:textId="77777777" w:rsidR="00990B14" w:rsidRDefault="00000000">
            <w:pPr>
              <w:spacing w:before="20" w:after="20"/>
              <w:jc w:val="both"/>
            </w:pPr>
            <w:r>
              <w:rPr>
                <w:sz w:val="18"/>
                <w:szCs w:val="18"/>
              </w:rPr>
              <w:t>Trabajo en equipo</w:t>
            </w:r>
          </w:p>
        </w:tc>
        <w:tc>
          <w:tcPr>
            <w:tcW w:w="1910" w:type="dxa"/>
            <w:shd w:val="clear" w:color="auto" w:fill="D9E2F3"/>
            <w:vAlign w:val="center"/>
          </w:tcPr>
          <w:p w14:paraId="77259A65" w14:textId="77777777" w:rsidR="00990B14" w:rsidRDefault="00000000">
            <w:pPr>
              <w:spacing w:before="20" w:after="20"/>
              <w:jc w:val="both"/>
            </w:pPr>
            <w:r>
              <w:rPr>
                <w:sz w:val="18"/>
                <w:szCs w:val="18"/>
              </w:rPr>
              <w:t>La participación de los integrantes es desigual.</w:t>
            </w:r>
          </w:p>
        </w:tc>
        <w:tc>
          <w:tcPr>
            <w:tcW w:w="1854" w:type="dxa"/>
            <w:shd w:val="clear" w:color="auto" w:fill="D9E2F3"/>
            <w:vAlign w:val="center"/>
          </w:tcPr>
          <w:p w14:paraId="78A10920" w14:textId="77777777" w:rsidR="00990B14" w:rsidRDefault="00000000">
            <w:pPr>
              <w:spacing w:before="20" w:after="20"/>
              <w:jc w:val="both"/>
            </w:pPr>
            <w:r>
              <w:rPr>
                <w:sz w:val="18"/>
                <w:szCs w:val="18"/>
              </w:rPr>
              <w:t>Todos los integrantes participan.</w:t>
            </w:r>
          </w:p>
        </w:tc>
        <w:tc>
          <w:tcPr>
            <w:tcW w:w="2015" w:type="dxa"/>
            <w:shd w:val="clear" w:color="auto" w:fill="D9E2F3"/>
            <w:vAlign w:val="center"/>
          </w:tcPr>
          <w:p w14:paraId="54E81B51" w14:textId="77777777" w:rsidR="00990B14" w:rsidRDefault="00000000">
            <w:pPr>
              <w:spacing w:before="20" w:after="20"/>
              <w:jc w:val="both"/>
            </w:pPr>
            <w:r>
              <w:rPr>
                <w:sz w:val="18"/>
                <w:szCs w:val="18"/>
              </w:rPr>
              <w:t>El equipo explica la ficha ante el curso.</w:t>
            </w:r>
          </w:p>
        </w:tc>
      </w:tr>
      <w:tr w:rsidR="00990B14" w14:paraId="4734A78A" w14:textId="77777777">
        <w:trPr>
          <w:cantSplit/>
          <w:jc w:val="center"/>
        </w:trPr>
        <w:tc>
          <w:tcPr>
            <w:tcW w:w="1772" w:type="dxa"/>
            <w:vMerge/>
            <w:shd w:val="clear" w:color="auto" w:fill="4472C4"/>
            <w:vAlign w:val="center"/>
          </w:tcPr>
          <w:p w14:paraId="55270FE4" w14:textId="77777777" w:rsidR="00990B14" w:rsidRDefault="00990B14">
            <w:pPr>
              <w:spacing w:before="20" w:after="20"/>
            </w:pPr>
          </w:p>
        </w:tc>
        <w:tc>
          <w:tcPr>
            <w:tcW w:w="5618" w:type="dxa"/>
            <w:gridSpan w:val="3"/>
            <w:shd w:val="clear" w:color="auto" w:fill="D9E2F3"/>
            <w:vAlign w:val="center"/>
          </w:tcPr>
          <w:p w14:paraId="56997605" w14:textId="77777777" w:rsidR="00990B14" w:rsidRDefault="00000000">
            <w:pPr>
              <w:keepNext/>
              <w:spacing w:before="20" w:after="20"/>
              <w:jc w:val="both"/>
            </w:pPr>
            <w:r>
              <w:rPr>
                <w:b/>
                <w:bCs/>
                <w:i/>
                <w:iCs/>
                <w:sz w:val="18"/>
                <w:szCs w:val="18"/>
              </w:rPr>
              <w:t xml:space="preserve">Producto 3: </w:t>
            </w:r>
            <w:r>
              <w:rPr>
                <w:sz w:val="18"/>
                <w:szCs w:val="18"/>
              </w:rPr>
              <w:t>Informe sobre el estatuto del comerciante</w:t>
            </w:r>
          </w:p>
        </w:tc>
        <w:tc>
          <w:tcPr>
            <w:tcW w:w="2015" w:type="dxa"/>
            <w:shd w:val="clear" w:color="auto" w:fill="D9E2F3"/>
            <w:vAlign w:val="center"/>
          </w:tcPr>
          <w:p w14:paraId="58516FA3" w14:textId="77777777" w:rsidR="00990B14" w:rsidRDefault="00000000">
            <w:pPr>
              <w:spacing w:before="20" w:after="20"/>
              <w:jc w:val="center"/>
            </w:pPr>
            <w:r>
              <w:rPr>
                <w:b/>
                <w:bCs/>
                <w:sz w:val="18"/>
                <w:szCs w:val="18"/>
              </w:rPr>
              <w:t>4%</w:t>
            </w:r>
          </w:p>
        </w:tc>
      </w:tr>
      <w:tr w:rsidR="00990B14" w14:paraId="18FE8F6B" w14:textId="77777777">
        <w:trPr>
          <w:cantSplit/>
          <w:jc w:val="center"/>
        </w:trPr>
        <w:tc>
          <w:tcPr>
            <w:tcW w:w="1772" w:type="dxa"/>
            <w:vMerge/>
            <w:shd w:val="clear" w:color="auto" w:fill="4472C4"/>
            <w:vAlign w:val="center"/>
          </w:tcPr>
          <w:p w14:paraId="4A0C457B" w14:textId="77777777" w:rsidR="00990B14" w:rsidRDefault="00990B14">
            <w:pPr>
              <w:spacing w:before="20" w:after="20"/>
            </w:pPr>
          </w:p>
        </w:tc>
        <w:tc>
          <w:tcPr>
            <w:tcW w:w="1854" w:type="dxa"/>
            <w:shd w:val="clear" w:color="auto" w:fill="4472C4"/>
            <w:vAlign w:val="center"/>
          </w:tcPr>
          <w:p w14:paraId="53D24C2F"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45C1925F" w14:textId="77777777" w:rsidR="00990B14" w:rsidRDefault="00000000">
            <w:pPr>
              <w:keepNext/>
              <w:spacing w:before="20" w:after="20"/>
              <w:jc w:val="center"/>
            </w:pPr>
            <w:r>
              <w:rPr>
                <w:b/>
                <w:bCs/>
                <w:i/>
                <w:iCs/>
                <w:color w:val="FFFFFF"/>
                <w:sz w:val="18"/>
                <w:szCs w:val="18"/>
              </w:rPr>
              <w:t>Insuficiente (1–50)</w:t>
            </w:r>
          </w:p>
        </w:tc>
        <w:tc>
          <w:tcPr>
            <w:tcW w:w="1854" w:type="dxa"/>
            <w:shd w:val="clear" w:color="auto" w:fill="4472C4"/>
            <w:vAlign w:val="center"/>
          </w:tcPr>
          <w:p w14:paraId="2E19248C"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159BE721" w14:textId="77777777" w:rsidR="00990B14" w:rsidRDefault="00000000">
            <w:pPr>
              <w:keepNext/>
              <w:spacing w:before="20" w:after="20"/>
              <w:jc w:val="center"/>
            </w:pPr>
            <w:r>
              <w:rPr>
                <w:b/>
                <w:bCs/>
                <w:i/>
                <w:iCs/>
                <w:color w:val="FFFFFF"/>
                <w:sz w:val="18"/>
                <w:szCs w:val="18"/>
              </w:rPr>
              <w:t>Destacado (81–100)</w:t>
            </w:r>
          </w:p>
        </w:tc>
      </w:tr>
      <w:tr w:rsidR="00990B14" w14:paraId="0A530BCD" w14:textId="77777777">
        <w:trPr>
          <w:cantSplit/>
          <w:jc w:val="center"/>
        </w:trPr>
        <w:tc>
          <w:tcPr>
            <w:tcW w:w="1772" w:type="dxa"/>
            <w:vMerge/>
            <w:shd w:val="clear" w:color="auto" w:fill="4472C4"/>
            <w:vAlign w:val="center"/>
          </w:tcPr>
          <w:p w14:paraId="78D0B8B6" w14:textId="77777777" w:rsidR="00990B14" w:rsidRDefault="00990B14">
            <w:pPr>
              <w:spacing w:before="20" w:after="20"/>
            </w:pPr>
          </w:p>
        </w:tc>
        <w:tc>
          <w:tcPr>
            <w:tcW w:w="1854" w:type="dxa"/>
            <w:shd w:val="clear" w:color="auto" w:fill="D9E2F3"/>
            <w:vAlign w:val="center"/>
          </w:tcPr>
          <w:p w14:paraId="7A4B0AD6" w14:textId="77777777" w:rsidR="00990B14" w:rsidRDefault="00000000">
            <w:pPr>
              <w:spacing w:before="20" w:after="20"/>
              <w:jc w:val="both"/>
            </w:pPr>
            <w:r>
              <w:rPr>
                <w:sz w:val="18"/>
                <w:szCs w:val="18"/>
              </w:rPr>
              <w:t>Clase de comerciante</w:t>
            </w:r>
          </w:p>
        </w:tc>
        <w:tc>
          <w:tcPr>
            <w:tcW w:w="1910" w:type="dxa"/>
            <w:shd w:val="clear" w:color="auto" w:fill="D9E2F3"/>
            <w:vAlign w:val="center"/>
          </w:tcPr>
          <w:p w14:paraId="2BEBA32A" w14:textId="77777777" w:rsidR="00990B14" w:rsidRDefault="00000000">
            <w:pPr>
              <w:spacing w:before="20" w:after="20"/>
              <w:jc w:val="both"/>
            </w:pPr>
            <w:r>
              <w:rPr>
                <w:sz w:val="18"/>
                <w:szCs w:val="18"/>
              </w:rPr>
              <w:t>Confunde el comerciante individual y el social.</w:t>
            </w:r>
          </w:p>
        </w:tc>
        <w:tc>
          <w:tcPr>
            <w:tcW w:w="1854" w:type="dxa"/>
            <w:shd w:val="clear" w:color="auto" w:fill="D9E2F3"/>
            <w:vAlign w:val="center"/>
          </w:tcPr>
          <w:p w14:paraId="09DF39A2" w14:textId="77777777" w:rsidR="00990B14" w:rsidRDefault="00000000">
            <w:pPr>
              <w:spacing w:before="20" w:after="20"/>
              <w:jc w:val="both"/>
            </w:pPr>
            <w:r>
              <w:rPr>
                <w:sz w:val="18"/>
                <w:szCs w:val="18"/>
              </w:rPr>
              <w:t>Identifica la clase de comerciante del caso.</w:t>
            </w:r>
          </w:p>
        </w:tc>
        <w:tc>
          <w:tcPr>
            <w:tcW w:w="2015" w:type="dxa"/>
            <w:shd w:val="clear" w:color="auto" w:fill="D9E2F3"/>
            <w:vAlign w:val="center"/>
          </w:tcPr>
          <w:p w14:paraId="53B2B83E" w14:textId="77777777" w:rsidR="00990B14" w:rsidRDefault="00000000">
            <w:pPr>
              <w:spacing w:before="20" w:after="20"/>
              <w:jc w:val="both"/>
            </w:pPr>
            <w:r>
              <w:rPr>
                <w:sz w:val="18"/>
                <w:szCs w:val="18"/>
              </w:rPr>
              <w:t>Verifica la capacidad y las prohibiciones del comerciante.</w:t>
            </w:r>
          </w:p>
        </w:tc>
      </w:tr>
      <w:tr w:rsidR="00990B14" w14:paraId="5DFCDD25" w14:textId="77777777">
        <w:trPr>
          <w:cantSplit/>
          <w:jc w:val="center"/>
        </w:trPr>
        <w:tc>
          <w:tcPr>
            <w:tcW w:w="1772" w:type="dxa"/>
            <w:vMerge/>
            <w:shd w:val="clear" w:color="auto" w:fill="4472C4"/>
            <w:vAlign w:val="center"/>
          </w:tcPr>
          <w:p w14:paraId="2EF872D1" w14:textId="77777777" w:rsidR="00990B14" w:rsidRDefault="00990B14">
            <w:pPr>
              <w:spacing w:before="20" w:after="20"/>
            </w:pPr>
          </w:p>
        </w:tc>
        <w:tc>
          <w:tcPr>
            <w:tcW w:w="1854" w:type="dxa"/>
            <w:shd w:val="clear" w:color="auto" w:fill="D9E2F3"/>
            <w:vAlign w:val="center"/>
          </w:tcPr>
          <w:p w14:paraId="0C599060" w14:textId="77777777" w:rsidR="00990B14" w:rsidRDefault="00000000">
            <w:pPr>
              <w:spacing w:before="20" w:after="20"/>
              <w:jc w:val="both"/>
            </w:pPr>
            <w:r>
              <w:rPr>
                <w:sz w:val="18"/>
                <w:szCs w:val="18"/>
              </w:rPr>
              <w:t>Contabilidad ordenada</w:t>
            </w:r>
          </w:p>
        </w:tc>
        <w:tc>
          <w:tcPr>
            <w:tcW w:w="1910" w:type="dxa"/>
            <w:shd w:val="clear" w:color="auto" w:fill="D9E2F3"/>
            <w:vAlign w:val="center"/>
          </w:tcPr>
          <w:p w14:paraId="63045B2F" w14:textId="77777777" w:rsidR="00990B14" w:rsidRDefault="00000000">
            <w:pPr>
              <w:spacing w:before="20" w:after="20"/>
              <w:jc w:val="both"/>
            </w:pPr>
            <w:r>
              <w:rPr>
                <w:sz w:val="18"/>
                <w:szCs w:val="18"/>
              </w:rPr>
              <w:t>Desconoce los libros obligatorios.</w:t>
            </w:r>
          </w:p>
        </w:tc>
        <w:tc>
          <w:tcPr>
            <w:tcW w:w="1854" w:type="dxa"/>
            <w:shd w:val="clear" w:color="auto" w:fill="D9E2F3"/>
            <w:vAlign w:val="center"/>
          </w:tcPr>
          <w:p w14:paraId="392B0FA3" w14:textId="77777777" w:rsidR="00990B14" w:rsidRDefault="00000000">
            <w:pPr>
              <w:spacing w:before="20" w:after="20"/>
              <w:jc w:val="both"/>
            </w:pPr>
            <w:r>
              <w:rPr>
                <w:sz w:val="18"/>
                <w:szCs w:val="18"/>
              </w:rPr>
              <w:t>Verifica los libros obligatorios y su conservación.</w:t>
            </w:r>
          </w:p>
        </w:tc>
        <w:tc>
          <w:tcPr>
            <w:tcW w:w="2015" w:type="dxa"/>
            <w:shd w:val="clear" w:color="auto" w:fill="D9E2F3"/>
            <w:vAlign w:val="center"/>
          </w:tcPr>
          <w:p w14:paraId="4403B9D4" w14:textId="77777777" w:rsidR="00990B14" w:rsidRDefault="00000000">
            <w:pPr>
              <w:spacing w:before="20" w:after="20"/>
              <w:jc w:val="both"/>
            </w:pPr>
            <w:r>
              <w:rPr>
                <w:sz w:val="18"/>
                <w:szCs w:val="18"/>
              </w:rPr>
              <w:t>Relaciona los libros con las normas de contabilidad vigentes.</w:t>
            </w:r>
          </w:p>
        </w:tc>
      </w:tr>
      <w:tr w:rsidR="00990B14" w14:paraId="7879BBC8" w14:textId="77777777">
        <w:trPr>
          <w:cantSplit/>
          <w:jc w:val="center"/>
        </w:trPr>
        <w:tc>
          <w:tcPr>
            <w:tcW w:w="1772" w:type="dxa"/>
            <w:vMerge/>
            <w:shd w:val="clear" w:color="auto" w:fill="4472C4"/>
            <w:vAlign w:val="center"/>
          </w:tcPr>
          <w:p w14:paraId="48BCBA32" w14:textId="77777777" w:rsidR="00990B14" w:rsidRDefault="00990B14">
            <w:pPr>
              <w:spacing w:before="20" w:after="20"/>
            </w:pPr>
          </w:p>
        </w:tc>
        <w:tc>
          <w:tcPr>
            <w:tcW w:w="1854" w:type="dxa"/>
            <w:shd w:val="clear" w:color="auto" w:fill="D9E2F3"/>
            <w:vAlign w:val="center"/>
          </w:tcPr>
          <w:p w14:paraId="0B3FDD45" w14:textId="77777777" w:rsidR="00990B14" w:rsidRDefault="00000000">
            <w:pPr>
              <w:spacing w:before="20" w:after="20"/>
              <w:jc w:val="both"/>
            </w:pPr>
            <w:r>
              <w:rPr>
                <w:sz w:val="18"/>
                <w:szCs w:val="18"/>
              </w:rPr>
              <w:t>Trabajo en equipo</w:t>
            </w:r>
          </w:p>
        </w:tc>
        <w:tc>
          <w:tcPr>
            <w:tcW w:w="1910" w:type="dxa"/>
            <w:shd w:val="clear" w:color="auto" w:fill="D9E2F3"/>
            <w:vAlign w:val="center"/>
          </w:tcPr>
          <w:p w14:paraId="2C185006" w14:textId="77777777" w:rsidR="00990B14" w:rsidRDefault="00000000">
            <w:pPr>
              <w:spacing w:before="20" w:after="20"/>
              <w:jc w:val="both"/>
            </w:pPr>
            <w:r>
              <w:rPr>
                <w:sz w:val="18"/>
                <w:szCs w:val="18"/>
              </w:rPr>
              <w:t>La participación de los integrantes es desigual.</w:t>
            </w:r>
          </w:p>
        </w:tc>
        <w:tc>
          <w:tcPr>
            <w:tcW w:w="1854" w:type="dxa"/>
            <w:shd w:val="clear" w:color="auto" w:fill="D9E2F3"/>
            <w:vAlign w:val="center"/>
          </w:tcPr>
          <w:p w14:paraId="3BC2B33F" w14:textId="77777777" w:rsidR="00990B14" w:rsidRDefault="00000000">
            <w:pPr>
              <w:spacing w:before="20" w:after="20"/>
              <w:jc w:val="both"/>
            </w:pPr>
            <w:r>
              <w:rPr>
                <w:sz w:val="18"/>
                <w:szCs w:val="18"/>
              </w:rPr>
              <w:t>Todos los integrantes participan.</w:t>
            </w:r>
          </w:p>
        </w:tc>
        <w:tc>
          <w:tcPr>
            <w:tcW w:w="2015" w:type="dxa"/>
            <w:shd w:val="clear" w:color="auto" w:fill="D9E2F3"/>
            <w:vAlign w:val="center"/>
          </w:tcPr>
          <w:p w14:paraId="37635326" w14:textId="77777777" w:rsidR="00990B14" w:rsidRDefault="00000000">
            <w:pPr>
              <w:spacing w:before="20" w:after="20"/>
              <w:jc w:val="both"/>
            </w:pPr>
            <w:r>
              <w:rPr>
                <w:sz w:val="18"/>
                <w:szCs w:val="18"/>
              </w:rPr>
              <w:t>El equipo sustenta sus conclusiones con la norma.</w:t>
            </w:r>
          </w:p>
        </w:tc>
      </w:tr>
      <w:tr w:rsidR="00990B14" w14:paraId="3A590D4B" w14:textId="77777777">
        <w:trPr>
          <w:cantSplit/>
          <w:jc w:val="center"/>
        </w:trPr>
        <w:tc>
          <w:tcPr>
            <w:tcW w:w="1772" w:type="dxa"/>
            <w:vMerge/>
            <w:shd w:val="clear" w:color="auto" w:fill="4472C4"/>
            <w:vAlign w:val="center"/>
          </w:tcPr>
          <w:p w14:paraId="7125E5D5" w14:textId="77777777" w:rsidR="00990B14" w:rsidRDefault="00990B14">
            <w:pPr>
              <w:spacing w:before="20" w:after="20"/>
            </w:pPr>
          </w:p>
        </w:tc>
        <w:tc>
          <w:tcPr>
            <w:tcW w:w="5618" w:type="dxa"/>
            <w:gridSpan w:val="3"/>
            <w:shd w:val="clear" w:color="auto" w:fill="D9E2F3"/>
            <w:vAlign w:val="center"/>
          </w:tcPr>
          <w:p w14:paraId="55EF1816" w14:textId="77777777" w:rsidR="00990B14" w:rsidRDefault="00000000">
            <w:pPr>
              <w:keepNext/>
              <w:spacing w:before="20" w:after="20"/>
              <w:jc w:val="both"/>
            </w:pPr>
            <w:r>
              <w:rPr>
                <w:b/>
                <w:bCs/>
                <w:i/>
                <w:iCs/>
                <w:sz w:val="18"/>
                <w:szCs w:val="18"/>
              </w:rPr>
              <w:t xml:space="preserve">Producto 4: </w:t>
            </w:r>
            <w:r>
              <w:rPr>
                <w:sz w:val="18"/>
                <w:szCs w:val="18"/>
              </w:rPr>
              <w:t>Ficha de trámite ante el Registro de Comercio</w:t>
            </w:r>
          </w:p>
        </w:tc>
        <w:tc>
          <w:tcPr>
            <w:tcW w:w="2015" w:type="dxa"/>
            <w:shd w:val="clear" w:color="auto" w:fill="D9E2F3"/>
            <w:vAlign w:val="center"/>
          </w:tcPr>
          <w:p w14:paraId="507BD9A2" w14:textId="77777777" w:rsidR="00990B14" w:rsidRDefault="00000000">
            <w:pPr>
              <w:spacing w:before="20" w:after="20"/>
              <w:jc w:val="center"/>
            </w:pPr>
            <w:r>
              <w:rPr>
                <w:b/>
                <w:bCs/>
                <w:sz w:val="18"/>
                <w:szCs w:val="18"/>
              </w:rPr>
              <w:t>3%</w:t>
            </w:r>
          </w:p>
        </w:tc>
      </w:tr>
      <w:tr w:rsidR="00990B14" w14:paraId="49A0472F" w14:textId="77777777">
        <w:trPr>
          <w:cantSplit/>
          <w:jc w:val="center"/>
        </w:trPr>
        <w:tc>
          <w:tcPr>
            <w:tcW w:w="1772" w:type="dxa"/>
            <w:vMerge/>
            <w:shd w:val="clear" w:color="auto" w:fill="4472C4"/>
            <w:vAlign w:val="center"/>
          </w:tcPr>
          <w:p w14:paraId="055FD03D" w14:textId="77777777" w:rsidR="00990B14" w:rsidRDefault="00990B14">
            <w:pPr>
              <w:spacing w:before="20" w:after="20"/>
            </w:pPr>
          </w:p>
        </w:tc>
        <w:tc>
          <w:tcPr>
            <w:tcW w:w="1854" w:type="dxa"/>
            <w:shd w:val="clear" w:color="auto" w:fill="4472C4"/>
            <w:vAlign w:val="center"/>
          </w:tcPr>
          <w:p w14:paraId="47C46D68"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55A5FFED" w14:textId="77777777" w:rsidR="00990B14" w:rsidRDefault="00000000">
            <w:pPr>
              <w:keepNext/>
              <w:spacing w:before="20" w:after="20"/>
              <w:jc w:val="center"/>
            </w:pPr>
            <w:r>
              <w:rPr>
                <w:b/>
                <w:bCs/>
                <w:i/>
                <w:iCs/>
                <w:color w:val="FFFFFF"/>
                <w:sz w:val="18"/>
                <w:szCs w:val="18"/>
              </w:rPr>
              <w:t>Insuficiente (1–50)</w:t>
            </w:r>
          </w:p>
        </w:tc>
        <w:tc>
          <w:tcPr>
            <w:tcW w:w="1854" w:type="dxa"/>
            <w:shd w:val="clear" w:color="auto" w:fill="4472C4"/>
            <w:vAlign w:val="center"/>
          </w:tcPr>
          <w:p w14:paraId="5C581C6F"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3B47B966" w14:textId="77777777" w:rsidR="00990B14" w:rsidRDefault="00000000">
            <w:pPr>
              <w:keepNext/>
              <w:spacing w:before="20" w:after="20"/>
              <w:jc w:val="center"/>
            </w:pPr>
            <w:r>
              <w:rPr>
                <w:b/>
                <w:bCs/>
                <w:i/>
                <w:iCs/>
                <w:color w:val="FFFFFF"/>
                <w:sz w:val="18"/>
                <w:szCs w:val="18"/>
              </w:rPr>
              <w:t>Destacado (81–100)</w:t>
            </w:r>
          </w:p>
        </w:tc>
      </w:tr>
      <w:tr w:rsidR="00990B14" w14:paraId="163DC377" w14:textId="77777777">
        <w:trPr>
          <w:cantSplit/>
          <w:jc w:val="center"/>
        </w:trPr>
        <w:tc>
          <w:tcPr>
            <w:tcW w:w="1772" w:type="dxa"/>
            <w:vMerge/>
            <w:shd w:val="clear" w:color="auto" w:fill="4472C4"/>
            <w:vAlign w:val="center"/>
          </w:tcPr>
          <w:p w14:paraId="24D7BAB4" w14:textId="77777777" w:rsidR="00990B14" w:rsidRDefault="00990B14">
            <w:pPr>
              <w:spacing w:before="20" w:after="20"/>
            </w:pPr>
          </w:p>
        </w:tc>
        <w:tc>
          <w:tcPr>
            <w:tcW w:w="1854" w:type="dxa"/>
            <w:shd w:val="clear" w:color="auto" w:fill="D9E2F3"/>
            <w:vAlign w:val="center"/>
          </w:tcPr>
          <w:p w14:paraId="03226310" w14:textId="77777777" w:rsidR="00990B14" w:rsidRDefault="00000000">
            <w:pPr>
              <w:spacing w:before="20" w:after="20"/>
              <w:jc w:val="both"/>
            </w:pPr>
            <w:r>
              <w:rPr>
                <w:sz w:val="18"/>
                <w:szCs w:val="18"/>
              </w:rPr>
              <w:t>Requisitos del trámite</w:t>
            </w:r>
          </w:p>
        </w:tc>
        <w:tc>
          <w:tcPr>
            <w:tcW w:w="1910" w:type="dxa"/>
            <w:shd w:val="clear" w:color="auto" w:fill="D9E2F3"/>
            <w:vAlign w:val="center"/>
          </w:tcPr>
          <w:p w14:paraId="593EFDDB" w14:textId="77777777" w:rsidR="00990B14" w:rsidRDefault="00000000">
            <w:pPr>
              <w:spacing w:before="20" w:after="20"/>
              <w:jc w:val="both"/>
            </w:pPr>
            <w:r>
              <w:rPr>
                <w:sz w:val="18"/>
                <w:szCs w:val="18"/>
              </w:rPr>
              <w:t>Desconoce requisitos de la inscripción.</w:t>
            </w:r>
          </w:p>
        </w:tc>
        <w:tc>
          <w:tcPr>
            <w:tcW w:w="1854" w:type="dxa"/>
            <w:shd w:val="clear" w:color="auto" w:fill="D9E2F3"/>
            <w:vAlign w:val="center"/>
          </w:tcPr>
          <w:p w14:paraId="609D985F" w14:textId="77777777" w:rsidR="00990B14" w:rsidRDefault="00000000">
            <w:pPr>
              <w:spacing w:before="20" w:after="20"/>
              <w:jc w:val="both"/>
            </w:pPr>
            <w:r>
              <w:rPr>
                <w:sz w:val="18"/>
                <w:szCs w:val="18"/>
              </w:rPr>
              <w:t>Detalla los requisitos y los pasos del trámite.</w:t>
            </w:r>
          </w:p>
        </w:tc>
        <w:tc>
          <w:tcPr>
            <w:tcW w:w="2015" w:type="dxa"/>
            <w:shd w:val="clear" w:color="auto" w:fill="D9E2F3"/>
            <w:vAlign w:val="center"/>
          </w:tcPr>
          <w:p w14:paraId="18EB4EE1" w14:textId="77777777" w:rsidR="00990B14" w:rsidRDefault="00000000">
            <w:pPr>
              <w:spacing w:before="20" w:after="20"/>
              <w:jc w:val="both"/>
            </w:pPr>
            <w:r>
              <w:rPr>
                <w:sz w:val="18"/>
                <w:szCs w:val="18"/>
              </w:rPr>
              <w:t>Identifica los actos posteriores sujetos a inscripción.</w:t>
            </w:r>
          </w:p>
        </w:tc>
      </w:tr>
      <w:tr w:rsidR="00990B14" w14:paraId="26D91B41" w14:textId="77777777">
        <w:trPr>
          <w:cantSplit/>
          <w:jc w:val="center"/>
        </w:trPr>
        <w:tc>
          <w:tcPr>
            <w:tcW w:w="1772" w:type="dxa"/>
            <w:vMerge/>
            <w:shd w:val="clear" w:color="auto" w:fill="4472C4"/>
            <w:vAlign w:val="center"/>
          </w:tcPr>
          <w:p w14:paraId="5A8068C5" w14:textId="77777777" w:rsidR="00990B14" w:rsidRDefault="00990B14">
            <w:pPr>
              <w:spacing w:before="20" w:after="20"/>
            </w:pPr>
          </w:p>
        </w:tc>
        <w:tc>
          <w:tcPr>
            <w:tcW w:w="1854" w:type="dxa"/>
            <w:shd w:val="clear" w:color="auto" w:fill="D9E2F3"/>
            <w:vAlign w:val="center"/>
          </w:tcPr>
          <w:p w14:paraId="0B4044C8" w14:textId="77777777" w:rsidR="00990B14" w:rsidRDefault="00000000">
            <w:pPr>
              <w:spacing w:before="20" w:after="20"/>
              <w:jc w:val="both"/>
            </w:pPr>
            <w:r>
              <w:rPr>
                <w:sz w:val="18"/>
                <w:szCs w:val="18"/>
              </w:rPr>
              <w:t>Competencia del registro</w:t>
            </w:r>
          </w:p>
        </w:tc>
        <w:tc>
          <w:tcPr>
            <w:tcW w:w="1910" w:type="dxa"/>
            <w:shd w:val="clear" w:color="auto" w:fill="D9E2F3"/>
            <w:vAlign w:val="center"/>
          </w:tcPr>
          <w:p w14:paraId="3B9B5FC2" w14:textId="77777777" w:rsidR="00990B14" w:rsidRDefault="00000000">
            <w:pPr>
              <w:spacing w:before="20" w:after="20"/>
              <w:jc w:val="both"/>
            </w:pPr>
            <w:r>
              <w:rPr>
                <w:sz w:val="18"/>
                <w:szCs w:val="18"/>
              </w:rPr>
              <w:t>Desconoce la competencia del SEPREC.</w:t>
            </w:r>
          </w:p>
        </w:tc>
        <w:tc>
          <w:tcPr>
            <w:tcW w:w="1854" w:type="dxa"/>
            <w:shd w:val="clear" w:color="auto" w:fill="D9E2F3"/>
            <w:vAlign w:val="center"/>
          </w:tcPr>
          <w:p w14:paraId="52B56AAB" w14:textId="77777777" w:rsidR="00990B14" w:rsidRDefault="00000000">
            <w:pPr>
              <w:spacing w:before="20" w:after="20"/>
              <w:jc w:val="both"/>
            </w:pPr>
            <w:r>
              <w:rPr>
                <w:sz w:val="18"/>
                <w:szCs w:val="18"/>
              </w:rPr>
              <w:t>Explica la competencia y el objeto del registro.</w:t>
            </w:r>
          </w:p>
        </w:tc>
        <w:tc>
          <w:tcPr>
            <w:tcW w:w="2015" w:type="dxa"/>
            <w:shd w:val="clear" w:color="auto" w:fill="D9E2F3"/>
            <w:vAlign w:val="center"/>
          </w:tcPr>
          <w:p w14:paraId="14CA101E" w14:textId="77777777" w:rsidR="00990B14" w:rsidRDefault="00000000">
            <w:pPr>
              <w:spacing w:before="20" w:after="20"/>
              <w:jc w:val="both"/>
            </w:pPr>
            <w:r>
              <w:rPr>
                <w:sz w:val="18"/>
                <w:szCs w:val="18"/>
              </w:rPr>
              <w:t>Explica los efectos de la falta de inscripción.</w:t>
            </w:r>
          </w:p>
        </w:tc>
      </w:tr>
      <w:tr w:rsidR="00990B14" w14:paraId="2707C71B" w14:textId="77777777">
        <w:trPr>
          <w:cantSplit/>
          <w:jc w:val="center"/>
        </w:trPr>
        <w:tc>
          <w:tcPr>
            <w:tcW w:w="1772" w:type="dxa"/>
            <w:vMerge/>
            <w:shd w:val="clear" w:color="auto" w:fill="4472C4"/>
            <w:vAlign w:val="center"/>
          </w:tcPr>
          <w:p w14:paraId="71F7439C" w14:textId="77777777" w:rsidR="00990B14" w:rsidRDefault="00990B14">
            <w:pPr>
              <w:spacing w:before="20" w:after="20"/>
            </w:pPr>
          </w:p>
        </w:tc>
        <w:tc>
          <w:tcPr>
            <w:tcW w:w="1854" w:type="dxa"/>
            <w:shd w:val="clear" w:color="auto" w:fill="D9E2F3"/>
            <w:vAlign w:val="center"/>
          </w:tcPr>
          <w:p w14:paraId="35E99DF3" w14:textId="77777777" w:rsidR="00990B14" w:rsidRDefault="00000000">
            <w:pPr>
              <w:spacing w:before="20" w:after="20"/>
              <w:jc w:val="both"/>
            </w:pPr>
            <w:r>
              <w:rPr>
                <w:sz w:val="18"/>
                <w:szCs w:val="18"/>
              </w:rPr>
              <w:t>Claridad de la exposición</w:t>
            </w:r>
          </w:p>
        </w:tc>
        <w:tc>
          <w:tcPr>
            <w:tcW w:w="1910" w:type="dxa"/>
            <w:shd w:val="clear" w:color="auto" w:fill="D9E2F3"/>
            <w:vAlign w:val="center"/>
          </w:tcPr>
          <w:p w14:paraId="5E5D4ADE" w14:textId="77777777" w:rsidR="00990B14" w:rsidRDefault="00000000">
            <w:pPr>
              <w:spacing w:before="20" w:after="20"/>
              <w:jc w:val="both"/>
            </w:pPr>
            <w:r>
              <w:rPr>
                <w:sz w:val="18"/>
                <w:szCs w:val="18"/>
              </w:rPr>
              <w:t>La exposición es confusa.</w:t>
            </w:r>
          </w:p>
        </w:tc>
        <w:tc>
          <w:tcPr>
            <w:tcW w:w="1854" w:type="dxa"/>
            <w:shd w:val="clear" w:color="auto" w:fill="D9E2F3"/>
            <w:vAlign w:val="center"/>
          </w:tcPr>
          <w:p w14:paraId="3C0E0D73" w14:textId="77777777" w:rsidR="00990B14" w:rsidRDefault="00000000">
            <w:pPr>
              <w:spacing w:before="20" w:after="20"/>
              <w:jc w:val="both"/>
            </w:pPr>
            <w:r>
              <w:rPr>
                <w:sz w:val="18"/>
                <w:szCs w:val="18"/>
              </w:rPr>
              <w:t>Expone con claridad y orden.</w:t>
            </w:r>
          </w:p>
        </w:tc>
        <w:tc>
          <w:tcPr>
            <w:tcW w:w="2015" w:type="dxa"/>
            <w:shd w:val="clear" w:color="auto" w:fill="D9E2F3"/>
            <w:vAlign w:val="center"/>
          </w:tcPr>
          <w:p w14:paraId="0226D6B6" w14:textId="77777777" w:rsidR="00990B14" w:rsidRDefault="00000000">
            <w:pPr>
              <w:spacing w:before="20" w:after="20"/>
              <w:jc w:val="both"/>
            </w:pPr>
            <w:r>
              <w:rPr>
                <w:sz w:val="18"/>
                <w:szCs w:val="18"/>
              </w:rPr>
              <w:t>Responde con fundamento las preguntas del curso.</w:t>
            </w:r>
          </w:p>
        </w:tc>
      </w:tr>
      <w:tr w:rsidR="00990B14" w14:paraId="32015B7B" w14:textId="77777777">
        <w:trPr>
          <w:cantSplit/>
          <w:jc w:val="center"/>
        </w:trPr>
        <w:tc>
          <w:tcPr>
            <w:tcW w:w="1772" w:type="dxa"/>
            <w:vMerge/>
            <w:shd w:val="clear" w:color="auto" w:fill="4472C4"/>
            <w:vAlign w:val="center"/>
          </w:tcPr>
          <w:p w14:paraId="706E191F" w14:textId="77777777" w:rsidR="00990B14" w:rsidRDefault="00990B14">
            <w:pPr>
              <w:spacing w:before="20" w:after="20"/>
            </w:pPr>
          </w:p>
        </w:tc>
        <w:tc>
          <w:tcPr>
            <w:tcW w:w="5618" w:type="dxa"/>
            <w:gridSpan w:val="3"/>
            <w:shd w:val="clear" w:color="auto" w:fill="D9E2F3"/>
            <w:vAlign w:val="center"/>
          </w:tcPr>
          <w:p w14:paraId="4AC6A196" w14:textId="77777777" w:rsidR="00990B14" w:rsidRDefault="00000000">
            <w:pPr>
              <w:keepNext/>
              <w:spacing w:before="20" w:after="20"/>
              <w:jc w:val="both"/>
            </w:pPr>
            <w:r>
              <w:rPr>
                <w:b/>
                <w:bCs/>
                <w:i/>
                <w:iCs/>
                <w:sz w:val="18"/>
                <w:szCs w:val="18"/>
              </w:rPr>
              <w:t xml:space="preserve">Producto 5: </w:t>
            </w:r>
            <w:r>
              <w:rPr>
                <w:sz w:val="18"/>
                <w:szCs w:val="18"/>
              </w:rPr>
              <w:t>Informe de evaluación y lista de cotejo del cumplimiento legal del contrato social y sus estatutos</w:t>
            </w:r>
          </w:p>
        </w:tc>
        <w:tc>
          <w:tcPr>
            <w:tcW w:w="2015" w:type="dxa"/>
            <w:shd w:val="clear" w:color="auto" w:fill="D9E2F3"/>
            <w:vAlign w:val="center"/>
          </w:tcPr>
          <w:p w14:paraId="4131E3EA" w14:textId="77777777" w:rsidR="00990B14" w:rsidRDefault="00000000">
            <w:pPr>
              <w:spacing w:before="20" w:after="20"/>
              <w:jc w:val="center"/>
            </w:pPr>
            <w:r>
              <w:rPr>
                <w:b/>
                <w:bCs/>
                <w:sz w:val="18"/>
                <w:szCs w:val="18"/>
              </w:rPr>
              <w:t>12%</w:t>
            </w:r>
          </w:p>
        </w:tc>
      </w:tr>
      <w:tr w:rsidR="00990B14" w14:paraId="114F1950" w14:textId="77777777">
        <w:trPr>
          <w:cantSplit/>
          <w:jc w:val="center"/>
        </w:trPr>
        <w:tc>
          <w:tcPr>
            <w:tcW w:w="1772" w:type="dxa"/>
            <w:vMerge/>
            <w:shd w:val="clear" w:color="auto" w:fill="4472C4"/>
            <w:vAlign w:val="center"/>
          </w:tcPr>
          <w:p w14:paraId="791F3E7E" w14:textId="77777777" w:rsidR="00990B14" w:rsidRDefault="00990B14">
            <w:pPr>
              <w:spacing w:before="20" w:after="20"/>
            </w:pPr>
          </w:p>
        </w:tc>
        <w:tc>
          <w:tcPr>
            <w:tcW w:w="1854" w:type="dxa"/>
            <w:shd w:val="clear" w:color="auto" w:fill="4472C4"/>
            <w:vAlign w:val="center"/>
          </w:tcPr>
          <w:p w14:paraId="3EAD6C8C"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1E2A0B9B" w14:textId="77777777" w:rsidR="00990B14" w:rsidRDefault="00000000">
            <w:pPr>
              <w:keepNext/>
              <w:spacing w:before="20" w:after="20"/>
              <w:jc w:val="center"/>
            </w:pPr>
            <w:r>
              <w:rPr>
                <w:b/>
                <w:bCs/>
                <w:i/>
                <w:iCs/>
                <w:color w:val="FFFFFF"/>
                <w:sz w:val="18"/>
                <w:szCs w:val="18"/>
              </w:rPr>
              <w:t>Insuficiente (1–50)</w:t>
            </w:r>
          </w:p>
        </w:tc>
        <w:tc>
          <w:tcPr>
            <w:tcW w:w="1854" w:type="dxa"/>
            <w:shd w:val="clear" w:color="auto" w:fill="4472C4"/>
            <w:vAlign w:val="center"/>
          </w:tcPr>
          <w:p w14:paraId="4E0BFD7E"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3D08AFDA" w14:textId="77777777" w:rsidR="00990B14" w:rsidRDefault="00000000">
            <w:pPr>
              <w:keepNext/>
              <w:spacing w:before="20" w:after="20"/>
              <w:jc w:val="center"/>
            </w:pPr>
            <w:r>
              <w:rPr>
                <w:b/>
                <w:bCs/>
                <w:i/>
                <w:iCs/>
                <w:color w:val="FFFFFF"/>
                <w:sz w:val="18"/>
                <w:szCs w:val="18"/>
              </w:rPr>
              <w:t>Destacado (81–100)</w:t>
            </w:r>
          </w:p>
        </w:tc>
      </w:tr>
      <w:tr w:rsidR="00990B14" w14:paraId="752173BF" w14:textId="77777777">
        <w:trPr>
          <w:cantSplit/>
          <w:jc w:val="center"/>
        </w:trPr>
        <w:tc>
          <w:tcPr>
            <w:tcW w:w="1772" w:type="dxa"/>
            <w:vMerge/>
            <w:shd w:val="clear" w:color="auto" w:fill="4472C4"/>
            <w:vAlign w:val="center"/>
          </w:tcPr>
          <w:p w14:paraId="228AC0BF" w14:textId="77777777" w:rsidR="00990B14" w:rsidRDefault="00990B14">
            <w:pPr>
              <w:spacing w:before="20" w:after="20"/>
            </w:pPr>
          </w:p>
        </w:tc>
        <w:tc>
          <w:tcPr>
            <w:tcW w:w="1854" w:type="dxa"/>
            <w:shd w:val="clear" w:color="auto" w:fill="D9E2F3"/>
            <w:vAlign w:val="center"/>
          </w:tcPr>
          <w:p w14:paraId="40111915" w14:textId="77777777" w:rsidR="00990B14" w:rsidRDefault="00000000">
            <w:pPr>
              <w:spacing w:before="20" w:after="20"/>
              <w:jc w:val="both"/>
            </w:pPr>
            <w:r>
              <w:rPr>
                <w:sz w:val="18"/>
                <w:szCs w:val="18"/>
              </w:rPr>
              <w:t>Verificación del contenido mínimo legal</w:t>
            </w:r>
          </w:p>
        </w:tc>
        <w:tc>
          <w:tcPr>
            <w:tcW w:w="1910" w:type="dxa"/>
            <w:shd w:val="clear" w:color="auto" w:fill="D9E2F3"/>
            <w:vAlign w:val="center"/>
          </w:tcPr>
          <w:p w14:paraId="6AFC0F38" w14:textId="77777777" w:rsidR="00990B14" w:rsidRDefault="00000000">
            <w:pPr>
              <w:spacing w:before="20" w:after="20"/>
              <w:jc w:val="both"/>
            </w:pPr>
            <w:r>
              <w:rPr>
                <w:sz w:val="18"/>
                <w:szCs w:val="18"/>
              </w:rPr>
              <w:t>Desconoce los requisitos esenciales del Art. 127 del Código de Comercio o pasa por alto estipulaciones nulas o prohibidas.</w:t>
            </w:r>
          </w:p>
        </w:tc>
        <w:tc>
          <w:tcPr>
            <w:tcW w:w="1854" w:type="dxa"/>
            <w:shd w:val="clear" w:color="auto" w:fill="D9E2F3"/>
            <w:vAlign w:val="center"/>
          </w:tcPr>
          <w:p w14:paraId="62E0DA51" w14:textId="77777777" w:rsidR="00990B14" w:rsidRDefault="00000000">
            <w:pPr>
              <w:spacing w:before="20" w:after="20"/>
              <w:jc w:val="both"/>
            </w:pPr>
            <w:r>
              <w:rPr>
                <w:sz w:val="18"/>
                <w:szCs w:val="18"/>
              </w:rPr>
              <w:t>Verifica de forma completa el cumplimiento del contenido mínimo legal en el contrato social y sus estatutos mediante la lista de cotejo.</w:t>
            </w:r>
          </w:p>
        </w:tc>
        <w:tc>
          <w:tcPr>
            <w:tcW w:w="2015" w:type="dxa"/>
            <w:shd w:val="clear" w:color="auto" w:fill="D9E2F3"/>
            <w:vAlign w:val="center"/>
          </w:tcPr>
          <w:p w14:paraId="672442BE" w14:textId="77777777" w:rsidR="00990B14" w:rsidRDefault="00000000">
            <w:pPr>
              <w:spacing w:before="20" w:after="20"/>
              <w:jc w:val="both"/>
            </w:pPr>
            <w:r>
              <w:rPr>
                <w:sz w:val="18"/>
                <w:szCs w:val="18"/>
              </w:rPr>
              <w:t>Fundamenta jurídicamente las observaciones identificadas, evaluando el impacto de eventuales contingencias o riesgos de nulidad societaria.</w:t>
            </w:r>
          </w:p>
        </w:tc>
      </w:tr>
      <w:tr w:rsidR="00990B14" w14:paraId="430A815C" w14:textId="77777777">
        <w:trPr>
          <w:cantSplit/>
          <w:jc w:val="center"/>
        </w:trPr>
        <w:tc>
          <w:tcPr>
            <w:tcW w:w="1772" w:type="dxa"/>
            <w:vMerge/>
            <w:shd w:val="clear" w:color="auto" w:fill="4472C4"/>
            <w:vAlign w:val="center"/>
          </w:tcPr>
          <w:p w14:paraId="1F6268D7" w14:textId="77777777" w:rsidR="00990B14" w:rsidRDefault="00990B14">
            <w:pPr>
              <w:spacing w:before="20" w:after="20"/>
            </w:pPr>
          </w:p>
        </w:tc>
        <w:tc>
          <w:tcPr>
            <w:tcW w:w="1854" w:type="dxa"/>
            <w:shd w:val="clear" w:color="auto" w:fill="D9E2F3"/>
            <w:vAlign w:val="center"/>
          </w:tcPr>
          <w:p w14:paraId="1D5CBCBA" w14:textId="77777777" w:rsidR="00990B14" w:rsidRDefault="00000000">
            <w:pPr>
              <w:spacing w:before="20" w:after="20"/>
              <w:jc w:val="both"/>
            </w:pPr>
            <w:r>
              <w:rPr>
                <w:sz w:val="18"/>
                <w:szCs w:val="18"/>
              </w:rPr>
              <w:t>Capital y órganos</w:t>
            </w:r>
          </w:p>
        </w:tc>
        <w:tc>
          <w:tcPr>
            <w:tcW w:w="1910" w:type="dxa"/>
            <w:shd w:val="clear" w:color="auto" w:fill="D9E2F3"/>
            <w:vAlign w:val="center"/>
          </w:tcPr>
          <w:p w14:paraId="09C0DD07" w14:textId="77777777" w:rsidR="00990B14" w:rsidRDefault="00000000">
            <w:pPr>
              <w:spacing w:before="20" w:after="20"/>
              <w:jc w:val="both"/>
            </w:pPr>
            <w:r>
              <w:rPr>
                <w:sz w:val="18"/>
                <w:szCs w:val="18"/>
              </w:rPr>
              <w:t>Identifica erróneamente la estructura de capital o la atribución de funciones de los órganos según el tipo societario (SRL o SA)</w:t>
            </w:r>
          </w:p>
        </w:tc>
        <w:tc>
          <w:tcPr>
            <w:tcW w:w="1854" w:type="dxa"/>
            <w:shd w:val="clear" w:color="auto" w:fill="D9E2F3"/>
            <w:vAlign w:val="center"/>
          </w:tcPr>
          <w:p w14:paraId="46EC0486" w14:textId="77777777" w:rsidR="00990B14" w:rsidRDefault="00000000">
            <w:pPr>
              <w:spacing w:before="20" w:after="20"/>
              <w:jc w:val="both"/>
            </w:pPr>
            <w:r>
              <w:rPr>
                <w:sz w:val="18"/>
                <w:szCs w:val="18"/>
              </w:rPr>
              <w:t>Evalúa la composición del capital social (cuotas o acciones) y la delimitación legal de los órganos de administración, deliberación y control</w:t>
            </w:r>
          </w:p>
        </w:tc>
        <w:tc>
          <w:tcPr>
            <w:tcW w:w="2015" w:type="dxa"/>
            <w:shd w:val="clear" w:color="auto" w:fill="D9E2F3"/>
            <w:vAlign w:val="center"/>
          </w:tcPr>
          <w:p w14:paraId="67765E3F" w14:textId="77777777" w:rsidR="00990B14" w:rsidRDefault="00000000">
            <w:pPr>
              <w:spacing w:before="20" w:after="20"/>
              <w:jc w:val="both"/>
            </w:pPr>
            <w:r>
              <w:rPr>
                <w:sz w:val="18"/>
                <w:szCs w:val="18"/>
              </w:rPr>
              <w:t>Propone mejoras a la redacción de cláusulas sobre convocatorias, mayorías y facultades para fortalecer el gobierno corporativo y el sustento contable.</w:t>
            </w:r>
          </w:p>
        </w:tc>
      </w:tr>
      <w:tr w:rsidR="00990B14" w14:paraId="380FCCB3" w14:textId="77777777">
        <w:trPr>
          <w:cantSplit/>
          <w:jc w:val="center"/>
        </w:trPr>
        <w:tc>
          <w:tcPr>
            <w:tcW w:w="1772" w:type="dxa"/>
            <w:vMerge/>
            <w:shd w:val="clear" w:color="auto" w:fill="4472C4"/>
            <w:vAlign w:val="center"/>
          </w:tcPr>
          <w:p w14:paraId="05118489" w14:textId="77777777" w:rsidR="00990B14" w:rsidRDefault="00990B14">
            <w:pPr>
              <w:spacing w:before="20" w:after="20"/>
            </w:pPr>
          </w:p>
        </w:tc>
        <w:tc>
          <w:tcPr>
            <w:tcW w:w="1854" w:type="dxa"/>
            <w:shd w:val="clear" w:color="auto" w:fill="D9E2F3"/>
            <w:vAlign w:val="center"/>
          </w:tcPr>
          <w:p w14:paraId="0C1634A5" w14:textId="77777777" w:rsidR="00990B14" w:rsidRDefault="00000000">
            <w:pPr>
              <w:spacing w:before="20" w:after="20"/>
              <w:jc w:val="both"/>
            </w:pPr>
            <w:r>
              <w:rPr>
                <w:sz w:val="18"/>
                <w:szCs w:val="18"/>
              </w:rPr>
              <w:t>Trabajo en equipo</w:t>
            </w:r>
          </w:p>
        </w:tc>
        <w:tc>
          <w:tcPr>
            <w:tcW w:w="1910" w:type="dxa"/>
            <w:shd w:val="clear" w:color="auto" w:fill="D9E2F3"/>
            <w:vAlign w:val="center"/>
          </w:tcPr>
          <w:p w14:paraId="4AEE4C3F" w14:textId="77777777" w:rsidR="00990B14" w:rsidRDefault="00000000">
            <w:pPr>
              <w:spacing w:before="20" w:after="20"/>
              <w:jc w:val="both"/>
            </w:pPr>
            <w:r>
              <w:rPr>
                <w:sz w:val="18"/>
                <w:szCs w:val="18"/>
              </w:rPr>
              <w:t>La participación de los integrantes es desigual.</w:t>
            </w:r>
          </w:p>
        </w:tc>
        <w:tc>
          <w:tcPr>
            <w:tcW w:w="1854" w:type="dxa"/>
            <w:shd w:val="clear" w:color="auto" w:fill="D9E2F3"/>
            <w:vAlign w:val="center"/>
          </w:tcPr>
          <w:p w14:paraId="32EFF078" w14:textId="77777777" w:rsidR="00990B14" w:rsidRDefault="00000000">
            <w:pPr>
              <w:spacing w:before="20" w:after="20"/>
              <w:jc w:val="both"/>
            </w:pPr>
            <w:r>
              <w:rPr>
                <w:sz w:val="18"/>
                <w:szCs w:val="18"/>
              </w:rPr>
              <w:t>Todos los integrantes participan.</w:t>
            </w:r>
          </w:p>
        </w:tc>
        <w:tc>
          <w:tcPr>
            <w:tcW w:w="2015" w:type="dxa"/>
            <w:shd w:val="clear" w:color="auto" w:fill="D9E2F3"/>
            <w:vAlign w:val="center"/>
          </w:tcPr>
          <w:p w14:paraId="39E8EE6E" w14:textId="77777777" w:rsidR="00990B14" w:rsidRDefault="00000000">
            <w:pPr>
              <w:spacing w:before="20" w:after="20"/>
              <w:jc w:val="both"/>
            </w:pPr>
            <w:r>
              <w:rPr>
                <w:sz w:val="18"/>
                <w:szCs w:val="18"/>
              </w:rPr>
              <w:t>El equipo justifica la elección del tipo societario.</w:t>
            </w:r>
          </w:p>
        </w:tc>
      </w:tr>
      <w:tr w:rsidR="00990B14" w14:paraId="27E3447E" w14:textId="77777777">
        <w:trPr>
          <w:cantSplit/>
          <w:jc w:val="center"/>
        </w:trPr>
        <w:tc>
          <w:tcPr>
            <w:tcW w:w="1772" w:type="dxa"/>
            <w:vMerge/>
            <w:shd w:val="clear" w:color="auto" w:fill="4472C4"/>
            <w:vAlign w:val="center"/>
          </w:tcPr>
          <w:p w14:paraId="512CC798" w14:textId="77777777" w:rsidR="00990B14" w:rsidRDefault="00990B14">
            <w:pPr>
              <w:spacing w:before="20" w:after="20"/>
            </w:pPr>
          </w:p>
        </w:tc>
        <w:tc>
          <w:tcPr>
            <w:tcW w:w="5618" w:type="dxa"/>
            <w:gridSpan w:val="3"/>
            <w:shd w:val="clear" w:color="auto" w:fill="D9E2F3"/>
            <w:vAlign w:val="center"/>
          </w:tcPr>
          <w:p w14:paraId="3DF1E085" w14:textId="77777777" w:rsidR="00990B14" w:rsidRDefault="00000000">
            <w:pPr>
              <w:keepNext/>
              <w:spacing w:before="20" w:after="20"/>
              <w:jc w:val="both"/>
            </w:pPr>
            <w:r>
              <w:rPr>
                <w:b/>
                <w:bCs/>
                <w:i/>
                <w:iCs/>
                <w:sz w:val="18"/>
                <w:szCs w:val="18"/>
              </w:rPr>
              <w:t xml:space="preserve">Producto 6: </w:t>
            </w:r>
            <w:r>
              <w:rPr>
                <w:sz w:val="18"/>
                <w:szCs w:val="18"/>
              </w:rPr>
              <w:t>Cuadro comparativo de los tipos societarios</w:t>
            </w:r>
          </w:p>
        </w:tc>
        <w:tc>
          <w:tcPr>
            <w:tcW w:w="2015" w:type="dxa"/>
            <w:shd w:val="clear" w:color="auto" w:fill="D9E2F3"/>
            <w:vAlign w:val="center"/>
          </w:tcPr>
          <w:p w14:paraId="033F210B" w14:textId="77777777" w:rsidR="00990B14" w:rsidRDefault="00000000">
            <w:pPr>
              <w:spacing w:before="20" w:after="20"/>
              <w:jc w:val="center"/>
            </w:pPr>
            <w:r>
              <w:rPr>
                <w:b/>
                <w:bCs/>
                <w:sz w:val="18"/>
                <w:szCs w:val="18"/>
              </w:rPr>
              <w:t>11%</w:t>
            </w:r>
          </w:p>
        </w:tc>
      </w:tr>
      <w:tr w:rsidR="00990B14" w14:paraId="1DDA552B" w14:textId="77777777">
        <w:trPr>
          <w:cantSplit/>
          <w:jc w:val="center"/>
        </w:trPr>
        <w:tc>
          <w:tcPr>
            <w:tcW w:w="1772" w:type="dxa"/>
            <w:vMerge/>
            <w:shd w:val="clear" w:color="auto" w:fill="4472C4"/>
            <w:vAlign w:val="center"/>
          </w:tcPr>
          <w:p w14:paraId="54C750AB" w14:textId="77777777" w:rsidR="00990B14" w:rsidRDefault="00990B14">
            <w:pPr>
              <w:spacing w:before="20" w:after="20"/>
            </w:pPr>
          </w:p>
        </w:tc>
        <w:tc>
          <w:tcPr>
            <w:tcW w:w="1854" w:type="dxa"/>
            <w:shd w:val="clear" w:color="auto" w:fill="4472C4"/>
            <w:vAlign w:val="center"/>
          </w:tcPr>
          <w:p w14:paraId="7D6E981E"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16CEBB99" w14:textId="77777777" w:rsidR="00990B14" w:rsidRDefault="00000000">
            <w:pPr>
              <w:keepNext/>
              <w:spacing w:before="20" w:after="20"/>
              <w:jc w:val="center"/>
            </w:pPr>
            <w:r>
              <w:rPr>
                <w:b/>
                <w:bCs/>
                <w:i/>
                <w:iCs/>
                <w:color w:val="FFFFFF"/>
                <w:sz w:val="18"/>
                <w:szCs w:val="18"/>
              </w:rPr>
              <w:t>Insuficiente (1–50)</w:t>
            </w:r>
          </w:p>
        </w:tc>
        <w:tc>
          <w:tcPr>
            <w:tcW w:w="1854" w:type="dxa"/>
            <w:shd w:val="clear" w:color="auto" w:fill="4472C4"/>
            <w:vAlign w:val="center"/>
          </w:tcPr>
          <w:p w14:paraId="13FFAA6F"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523A3399" w14:textId="77777777" w:rsidR="00990B14" w:rsidRDefault="00000000">
            <w:pPr>
              <w:keepNext/>
              <w:spacing w:before="20" w:after="20"/>
              <w:jc w:val="center"/>
            </w:pPr>
            <w:r>
              <w:rPr>
                <w:b/>
                <w:bCs/>
                <w:i/>
                <w:iCs/>
                <w:color w:val="FFFFFF"/>
                <w:sz w:val="18"/>
                <w:szCs w:val="18"/>
              </w:rPr>
              <w:t>Destacado (81–100)</w:t>
            </w:r>
          </w:p>
        </w:tc>
      </w:tr>
      <w:tr w:rsidR="00990B14" w14:paraId="0943FEB2" w14:textId="77777777">
        <w:trPr>
          <w:cantSplit/>
          <w:jc w:val="center"/>
        </w:trPr>
        <w:tc>
          <w:tcPr>
            <w:tcW w:w="1772" w:type="dxa"/>
            <w:vMerge/>
            <w:shd w:val="clear" w:color="auto" w:fill="4472C4"/>
            <w:vAlign w:val="center"/>
          </w:tcPr>
          <w:p w14:paraId="5C020B44" w14:textId="77777777" w:rsidR="00990B14" w:rsidRDefault="00990B14">
            <w:pPr>
              <w:spacing w:before="20" w:after="20"/>
            </w:pPr>
          </w:p>
        </w:tc>
        <w:tc>
          <w:tcPr>
            <w:tcW w:w="1854" w:type="dxa"/>
            <w:shd w:val="clear" w:color="auto" w:fill="D9E2F3"/>
            <w:vAlign w:val="center"/>
          </w:tcPr>
          <w:p w14:paraId="557715D4" w14:textId="77777777" w:rsidR="00990B14" w:rsidRDefault="00000000">
            <w:pPr>
              <w:spacing w:before="20" w:after="20"/>
              <w:jc w:val="both"/>
            </w:pPr>
            <w:r>
              <w:rPr>
                <w:sz w:val="18"/>
                <w:szCs w:val="18"/>
              </w:rPr>
              <w:t>Responsabilidad de los socios</w:t>
            </w:r>
          </w:p>
        </w:tc>
        <w:tc>
          <w:tcPr>
            <w:tcW w:w="1910" w:type="dxa"/>
            <w:shd w:val="clear" w:color="auto" w:fill="D9E2F3"/>
            <w:vAlign w:val="center"/>
          </w:tcPr>
          <w:p w14:paraId="548D55F5" w14:textId="77777777" w:rsidR="00990B14" w:rsidRDefault="00000000">
            <w:pPr>
              <w:spacing w:before="20" w:after="20"/>
              <w:jc w:val="both"/>
            </w:pPr>
            <w:r>
              <w:rPr>
                <w:sz w:val="18"/>
                <w:szCs w:val="18"/>
              </w:rPr>
              <w:t>Confunde el alcance de la responsabilidad.</w:t>
            </w:r>
          </w:p>
        </w:tc>
        <w:tc>
          <w:tcPr>
            <w:tcW w:w="1854" w:type="dxa"/>
            <w:shd w:val="clear" w:color="auto" w:fill="D9E2F3"/>
            <w:vAlign w:val="center"/>
          </w:tcPr>
          <w:p w14:paraId="4D278014" w14:textId="77777777" w:rsidR="00990B14" w:rsidRDefault="00000000">
            <w:pPr>
              <w:spacing w:before="20" w:after="20"/>
              <w:jc w:val="both"/>
            </w:pPr>
            <w:r>
              <w:rPr>
                <w:sz w:val="18"/>
                <w:szCs w:val="18"/>
              </w:rPr>
              <w:t>Explica la responsabilidad de los socios en cada tipo.</w:t>
            </w:r>
          </w:p>
        </w:tc>
        <w:tc>
          <w:tcPr>
            <w:tcW w:w="2015" w:type="dxa"/>
            <w:shd w:val="clear" w:color="auto" w:fill="D9E2F3"/>
            <w:vAlign w:val="center"/>
          </w:tcPr>
          <w:p w14:paraId="7F696491" w14:textId="77777777" w:rsidR="00990B14" w:rsidRDefault="00000000">
            <w:pPr>
              <w:spacing w:before="20" w:after="20"/>
              <w:jc w:val="both"/>
            </w:pPr>
            <w:r>
              <w:rPr>
                <w:sz w:val="18"/>
                <w:szCs w:val="18"/>
              </w:rPr>
              <w:t>Relaciona la responsabilidad con el riesgo del negocio.</w:t>
            </w:r>
          </w:p>
        </w:tc>
      </w:tr>
      <w:tr w:rsidR="00990B14" w14:paraId="55586DC3" w14:textId="77777777">
        <w:trPr>
          <w:cantSplit/>
          <w:jc w:val="center"/>
        </w:trPr>
        <w:tc>
          <w:tcPr>
            <w:tcW w:w="1772" w:type="dxa"/>
            <w:vMerge/>
            <w:shd w:val="clear" w:color="auto" w:fill="4472C4"/>
            <w:vAlign w:val="center"/>
          </w:tcPr>
          <w:p w14:paraId="108EBB6C" w14:textId="77777777" w:rsidR="00990B14" w:rsidRDefault="00990B14">
            <w:pPr>
              <w:spacing w:before="20" w:after="20"/>
            </w:pPr>
          </w:p>
        </w:tc>
        <w:tc>
          <w:tcPr>
            <w:tcW w:w="1854" w:type="dxa"/>
            <w:shd w:val="clear" w:color="auto" w:fill="D9E2F3"/>
            <w:vAlign w:val="center"/>
          </w:tcPr>
          <w:p w14:paraId="4EB8E005" w14:textId="77777777" w:rsidR="00990B14" w:rsidRDefault="00000000">
            <w:pPr>
              <w:spacing w:before="20" w:after="20"/>
              <w:jc w:val="both"/>
            </w:pPr>
            <w:r>
              <w:rPr>
                <w:sz w:val="18"/>
                <w:szCs w:val="18"/>
              </w:rPr>
              <w:t>Capital y administración</w:t>
            </w:r>
          </w:p>
        </w:tc>
        <w:tc>
          <w:tcPr>
            <w:tcW w:w="1910" w:type="dxa"/>
            <w:shd w:val="clear" w:color="auto" w:fill="D9E2F3"/>
            <w:vAlign w:val="center"/>
          </w:tcPr>
          <w:p w14:paraId="25770C17" w14:textId="77777777" w:rsidR="00990B14" w:rsidRDefault="00000000">
            <w:pPr>
              <w:spacing w:before="20" w:after="20"/>
              <w:jc w:val="both"/>
            </w:pPr>
            <w:r>
              <w:rPr>
                <w:sz w:val="18"/>
                <w:szCs w:val="18"/>
              </w:rPr>
              <w:t>Desconoce la composición del capital o de la administración.</w:t>
            </w:r>
          </w:p>
        </w:tc>
        <w:tc>
          <w:tcPr>
            <w:tcW w:w="1854" w:type="dxa"/>
            <w:shd w:val="clear" w:color="auto" w:fill="D9E2F3"/>
            <w:vAlign w:val="center"/>
          </w:tcPr>
          <w:p w14:paraId="631793E3" w14:textId="77777777" w:rsidR="00990B14" w:rsidRDefault="00000000">
            <w:pPr>
              <w:spacing w:before="20" w:after="20"/>
              <w:jc w:val="both"/>
            </w:pPr>
            <w:r>
              <w:rPr>
                <w:sz w:val="18"/>
                <w:szCs w:val="18"/>
              </w:rPr>
              <w:t>Compara el capital y la administración de cada tipo.</w:t>
            </w:r>
          </w:p>
        </w:tc>
        <w:tc>
          <w:tcPr>
            <w:tcW w:w="2015" w:type="dxa"/>
            <w:shd w:val="clear" w:color="auto" w:fill="D9E2F3"/>
            <w:vAlign w:val="center"/>
          </w:tcPr>
          <w:p w14:paraId="1A915AE3" w14:textId="77777777" w:rsidR="00990B14" w:rsidRDefault="00000000">
            <w:pPr>
              <w:spacing w:before="20" w:after="20"/>
              <w:jc w:val="both"/>
            </w:pPr>
            <w:r>
              <w:rPr>
                <w:sz w:val="18"/>
                <w:szCs w:val="18"/>
              </w:rPr>
              <w:t>Señala la ventaja de cada tipo para un caso concreto.</w:t>
            </w:r>
          </w:p>
        </w:tc>
      </w:tr>
      <w:tr w:rsidR="00990B14" w14:paraId="72E078A8" w14:textId="77777777">
        <w:trPr>
          <w:cantSplit/>
          <w:jc w:val="center"/>
        </w:trPr>
        <w:tc>
          <w:tcPr>
            <w:tcW w:w="1772" w:type="dxa"/>
            <w:vMerge/>
            <w:shd w:val="clear" w:color="auto" w:fill="4472C4"/>
            <w:vAlign w:val="center"/>
          </w:tcPr>
          <w:p w14:paraId="3C77ADA1" w14:textId="77777777" w:rsidR="00990B14" w:rsidRDefault="00990B14">
            <w:pPr>
              <w:spacing w:before="20" w:after="20"/>
            </w:pPr>
          </w:p>
        </w:tc>
        <w:tc>
          <w:tcPr>
            <w:tcW w:w="1854" w:type="dxa"/>
            <w:shd w:val="clear" w:color="auto" w:fill="D9E2F3"/>
            <w:vAlign w:val="center"/>
          </w:tcPr>
          <w:p w14:paraId="564CC085" w14:textId="77777777" w:rsidR="00990B14" w:rsidRDefault="00000000">
            <w:pPr>
              <w:spacing w:before="20" w:after="20"/>
              <w:jc w:val="both"/>
            </w:pPr>
            <w:r>
              <w:rPr>
                <w:sz w:val="18"/>
                <w:szCs w:val="18"/>
              </w:rPr>
              <w:t>Presentación</w:t>
            </w:r>
          </w:p>
        </w:tc>
        <w:tc>
          <w:tcPr>
            <w:tcW w:w="1910" w:type="dxa"/>
            <w:shd w:val="clear" w:color="auto" w:fill="D9E2F3"/>
            <w:vAlign w:val="center"/>
          </w:tcPr>
          <w:p w14:paraId="59828FA6" w14:textId="77777777" w:rsidR="00990B14" w:rsidRDefault="00000000">
            <w:pPr>
              <w:spacing w:before="20" w:after="20"/>
              <w:jc w:val="both"/>
            </w:pPr>
            <w:r>
              <w:rPr>
                <w:sz w:val="18"/>
                <w:szCs w:val="18"/>
              </w:rPr>
              <w:t>El cuadro es incompleto.</w:t>
            </w:r>
          </w:p>
        </w:tc>
        <w:tc>
          <w:tcPr>
            <w:tcW w:w="1854" w:type="dxa"/>
            <w:shd w:val="clear" w:color="auto" w:fill="D9E2F3"/>
            <w:vAlign w:val="center"/>
          </w:tcPr>
          <w:p w14:paraId="00CDAB46" w14:textId="77777777" w:rsidR="00990B14" w:rsidRDefault="00000000">
            <w:pPr>
              <w:spacing w:before="20" w:after="20"/>
              <w:jc w:val="both"/>
            </w:pPr>
            <w:r>
              <w:rPr>
                <w:sz w:val="18"/>
                <w:szCs w:val="18"/>
              </w:rPr>
              <w:t>El cuadro es claro y completo.</w:t>
            </w:r>
          </w:p>
        </w:tc>
        <w:tc>
          <w:tcPr>
            <w:tcW w:w="2015" w:type="dxa"/>
            <w:shd w:val="clear" w:color="auto" w:fill="D9E2F3"/>
            <w:vAlign w:val="center"/>
          </w:tcPr>
          <w:p w14:paraId="6D305958" w14:textId="77777777" w:rsidR="00990B14" w:rsidRDefault="00000000">
            <w:pPr>
              <w:spacing w:before="20" w:after="20"/>
              <w:jc w:val="both"/>
            </w:pPr>
            <w:r>
              <w:rPr>
                <w:sz w:val="18"/>
                <w:szCs w:val="18"/>
              </w:rPr>
              <w:t>El cuadro cita los artículos aplicables.</w:t>
            </w:r>
          </w:p>
        </w:tc>
      </w:tr>
      <w:tr w:rsidR="00990B14" w14:paraId="31F7E61E" w14:textId="77777777">
        <w:trPr>
          <w:cantSplit/>
          <w:jc w:val="center"/>
        </w:trPr>
        <w:tc>
          <w:tcPr>
            <w:tcW w:w="1772" w:type="dxa"/>
            <w:vMerge/>
            <w:shd w:val="clear" w:color="auto" w:fill="4472C4"/>
            <w:vAlign w:val="center"/>
          </w:tcPr>
          <w:p w14:paraId="2881BBCB" w14:textId="77777777" w:rsidR="00990B14" w:rsidRDefault="00990B14">
            <w:pPr>
              <w:spacing w:before="20" w:after="20"/>
            </w:pPr>
          </w:p>
        </w:tc>
        <w:tc>
          <w:tcPr>
            <w:tcW w:w="5618" w:type="dxa"/>
            <w:gridSpan w:val="3"/>
            <w:shd w:val="clear" w:color="auto" w:fill="D9E2F3"/>
            <w:vAlign w:val="center"/>
          </w:tcPr>
          <w:p w14:paraId="140E30D7" w14:textId="77777777" w:rsidR="00990B14" w:rsidRDefault="00000000">
            <w:pPr>
              <w:keepNext/>
              <w:spacing w:before="20" w:after="20"/>
              <w:jc w:val="both"/>
            </w:pPr>
            <w:r>
              <w:rPr>
                <w:b/>
                <w:bCs/>
                <w:i/>
                <w:iCs/>
                <w:sz w:val="18"/>
                <w:szCs w:val="18"/>
              </w:rPr>
              <w:t xml:space="preserve">Producto 7: </w:t>
            </w:r>
            <w:r>
              <w:rPr>
                <w:sz w:val="18"/>
                <w:szCs w:val="18"/>
              </w:rPr>
              <w:t>Informe de aplicación de los principios del gobierno corporativo</w:t>
            </w:r>
          </w:p>
        </w:tc>
        <w:tc>
          <w:tcPr>
            <w:tcW w:w="2015" w:type="dxa"/>
            <w:shd w:val="clear" w:color="auto" w:fill="D9E2F3"/>
            <w:vAlign w:val="center"/>
          </w:tcPr>
          <w:p w14:paraId="7F7476A0" w14:textId="77777777" w:rsidR="00990B14" w:rsidRDefault="00000000">
            <w:pPr>
              <w:spacing w:before="20" w:after="20"/>
              <w:jc w:val="center"/>
            </w:pPr>
            <w:r>
              <w:rPr>
                <w:b/>
                <w:bCs/>
                <w:sz w:val="18"/>
                <w:szCs w:val="18"/>
              </w:rPr>
              <w:t>11%</w:t>
            </w:r>
          </w:p>
        </w:tc>
      </w:tr>
      <w:tr w:rsidR="00990B14" w14:paraId="7FBFC7D9" w14:textId="77777777">
        <w:trPr>
          <w:cantSplit/>
          <w:jc w:val="center"/>
        </w:trPr>
        <w:tc>
          <w:tcPr>
            <w:tcW w:w="1772" w:type="dxa"/>
            <w:vMerge/>
            <w:shd w:val="clear" w:color="auto" w:fill="4472C4"/>
            <w:vAlign w:val="center"/>
          </w:tcPr>
          <w:p w14:paraId="0E43C878" w14:textId="77777777" w:rsidR="00990B14" w:rsidRDefault="00990B14">
            <w:pPr>
              <w:spacing w:before="20" w:after="20"/>
            </w:pPr>
          </w:p>
        </w:tc>
        <w:tc>
          <w:tcPr>
            <w:tcW w:w="1854" w:type="dxa"/>
            <w:shd w:val="clear" w:color="auto" w:fill="4472C4"/>
            <w:vAlign w:val="center"/>
          </w:tcPr>
          <w:p w14:paraId="596E6694"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7B622470" w14:textId="77777777" w:rsidR="00990B14" w:rsidRDefault="00000000">
            <w:pPr>
              <w:keepNext/>
              <w:spacing w:before="20" w:after="20"/>
              <w:jc w:val="center"/>
            </w:pPr>
            <w:r>
              <w:rPr>
                <w:b/>
                <w:bCs/>
                <w:i/>
                <w:iCs/>
                <w:color w:val="FFFFFF"/>
                <w:sz w:val="18"/>
                <w:szCs w:val="18"/>
              </w:rPr>
              <w:t>Insuficiente (1–50)</w:t>
            </w:r>
          </w:p>
        </w:tc>
        <w:tc>
          <w:tcPr>
            <w:tcW w:w="1854" w:type="dxa"/>
            <w:shd w:val="clear" w:color="auto" w:fill="4472C4"/>
            <w:vAlign w:val="center"/>
          </w:tcPr>
          <w:p w14:paraId="7F1CD35F"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0FE5D8ED" w14:textId="77777777" w:rsidR="00990B14" w:rsidRDefault="00000000">
            <w:pPr>
              <w:keepNext/>
              <w:spacing w:before="20" w:after="20"/>
              <w:jc w:val="center"/>
            </w:pPr>
            <w:r>
              <w:rPr>
                <w:b/>
                <w:bCs/>
                <w:i/>
                <w:iCs/>
                <w:color w:val="FFFFFF"/>
                <w:sz w:val="18"/>
                <w:szCs w:val="18"/>
              </w:rPr>
              <w:t>Destacado (81–100)</w:t>
            </w:r>
          </w:p>
        </w:tc>
      </w:tr>
      <w:tr w:rsidR="00990B14" w14:paraId="1662CE97" w14:textId="77777777">
        <w:trPr>
          <w:cantSplit/>
          <w:jc w:val="center"/>
        </w:trPr>
        <w:tc>
          <w:tcPr>
            <w:tcW w:w="1772" w:type="dxa"/>
            <w:vMerge/>
            <w:shd w:val="clear" w:color="auto" w:fill="4472C4"/>
            <w:vAlign w:val="center"/>
          </w:tcPr>
          <w:p w14:paraId="7B62C22B" w14:textId="77777777" w:rsidR="00990B14" w:rsidRDefault="00990B14">
            <w:pPr>
              <w:spacing w:before="20" w:after="20"/>
            </w:pPr>
          </w:p>
        </w:tc>
        <w:tc>
          <w:tcPr>
            <w:tcW w:w="1854" w:type="dxa"/>
            <w:shd w:val="clear" w:color="auto" w:fill="D9E2F3"/>
            <w:vAlign w:val="center"/>
          </w:tcPr>
          <w:p w14:paraId="16BFF305" w14:textId="77777777" w:rsidR="00990B14" w:rsidRDefault="00000000">
            <w:pPr>
              <w:spacing w:before="20" w:after="20"/>
              <w:jc w:val="both"/>
            </w:pPr>
            <w:r>
              <w:rPr>
                <w:sz w:val="18"/>
                <w:szCs w:val="18"/>
              </w:rPr>
              <w:t>Principios y lineamientos</w:t>
            </w:r>
          </w:p>
        </w:tc>
        <w:tc>
          <w:tcPr>
            <w:tcW w:w="1910" w:type="dxa"/>
            <w:shd w:val="clear" w:color="auto" w:fill="D9E2F3"/>
            <w:vAlign w:val="center"/>
          </w:tcPr>
          <w:p w14:paraId="5CDAC2FB" w14:textId="77777777" w:rsidR="00990B14" w:rsidRDefault="00000000">
            <w:pPr>
              <w:spacing w:before="20" w:after="20"/>
              <w:jc w:val="both"/>
            </w:pPr>
            <w:r>
              <w:rPr>
                <w:sz w:val="18"/>
                <w:szCs w:val="18"/>
              </w:rPr>
              <w:t>Desconoce los principios aplicables.</w:t>
            </w:r>
          </w:p>
        </w:tc>
        <w:tc>
          <w:tcPr>
            <w:tcW w:w="1854" w:type="dxa"/>
            <w:shd w:val="clear" w:color="auto" w:fill="D9E2F3"/>
            <w:vAlign w:val="center"/>
          </w:tcPr>
          <w:p w14:paraId="4F7711EA" w14:textId="77777777" w:rsidR="00990B14" w:rsidRDefault="00000000">
            <w:pPr>
              <w:spacing w:before="20" w:after="20"/>
              <w:jc w:val="both"/>
            </w:pPr>
            <w:r>
              <w:rPr>
                <w:sz w:val="18"/>
                <w:szCs w:val="18"/>
              </w:rPr>
              <w:t>Aplica los lineamientos a los órganos de la sociedad.</w:t>
            </w:r>
          </w:p>
        </w:tc>
        <w:tc>
          <w:tcPr>
            <w:tcW w:w="2015" w:type="dxa"/>
            <w:shd w:val="clear" w:color="auto" w:fill="D9E2F3"/>
            <w:vAlign w:val="center"/>
          </w:tcPr>
          <w:p w14:paraId="25F72C14" w14:textId="77777777" w:rsidR="00990B14" w:rsidRDefault="00000000">
            <w:pPr>
              <w:spacing w:before="20" w:after="20"/>
              <w:jc w:val="both"/>
            </w:pPr>
            <w:r>
              <w:rPr>
                <w:sz w:val="18"/>
                <w:szCs w:val="18"/>
              </w:rPr>
              <w:t>Evalúa el grado de cumplimiento de la sociedad.</w:t>
            </w:r>
          </w:p>
        </w:tc>
      </w:tr>
      <w:tr w:rsidR="00990B14" w14:paraId="7DDFE455" w14:textId="77777777">
        <w:trPr>
          <w:cantSplit/>
          <w:jc w:val="center"/>
        </w:trPr>
        <w:tc>
          <w:tcPr>
            <w:tcW w:w="1772" w:type="dxa"/>
            <w:vMerge/>
            <w:shd w:val="clear" w:color="auto" w:fill="4472C4"/>
            <w:vAlign w:val="center"/>
          </w:tcPr>
          <w:p w14:paraId="679C29BB" w14:textId="77777777" w:rsidR="00990B14" w:rsidRDefault="00990B14">
            <w:pPr>
              <w:spacing w:before="20" w:after="20"/>
            </w:pPr>
          </w:p>
        </w:tc>
        <w:tc>
          <w:tcPr>
            <w:tcW w:w="1854" w:type="dxa"/>
            <w:shd w:val="clear" w:color="auto" w:fill="D9E2F3"/>
            <w:vAlign w:val="center"/>
          </w:tcPr>
          <w:p w14:paraId="6CF9D195" w14:textId="77777777" w:rsidR="00990B14" w:rsidRDefault="00000000">
            <w:pPr>
              <w:spacing w:before="20" w:after="20"/>
              <w:jc w:val="both"/>
            </w:pPr>
            <w:r>
              <w:rPr>
                <w:sz w:val="18"/>
                <w:szCs w:val="18"/>
              </w:rPr>
              <w:t>Conflictos de interés</w:t>
            </w:r>
          </w:p>
        </w:tc>
        <w:tc>
          <w:tcPr>
            <w:tcW w:w="1910" w:type="dxa"/>
            <w:shd w:val="clear" w:color="auto" w:fill="D9E2F3"/>
            <w:vAlign w:val="center"/>
          </w:tcPr>
          <w:p w14:paraId="46EA3B7D" w14:textId="77777777" w:rsidR="00990B14" w:rsidRDefault="00000000">
            <w:pPr>
              <w:spacing w:before="20" w:after="20"/>
              <w:jc w:val="both"/>
            </w:pPr>
            <w:r>
              <w:rPr>
                <w:sz w:val="18"/>
                <w:szCs w:val="18"/>
              </w:rPr>
              <w:t>No identifica los conflictos de interés.</w:t>
            </w:r>
          </w:p>
        </w:tc>
        <w:tc>
          <w:tcPr>
            <w:tcW w:w="1854" w:type="dxa"/>
            <w:shd w:val="clear" w:color="auto" w:fill="D9E2F3"/>
            <w:vAlign w:val="center"/>
          </w:tcPr>
          <w:p w14:paraId="22F8F5B7" w14:textId="77777777" w:rsidR="00990B14" w:rsidRDefault="00000000">
            <w:pPr>
              <w:spacing w:before="20" w:after="20"/>
              <w:jc w:val="both"/>
            </w:pPr>
            <w:r>
              <w:rPr>
                <w:sz w:val="18"/>
                <w:szCs w:val="18"/>
              </w:rPr>
              <w:t>Identifica los conflictos y los deberes de diligencia y lealtad.</w:t>
            </w:r>
          </w:p>
        </w:tc>
        <w:tc>
          <w:tcPr>
            <w:tcW w:w="2015" w:type="dxa"/>
            <w:shd w:val="clear" w:color="auto" w:fill="D9E2F3"/>
            <w:vAlign w:val="center"/>
          </w:tcPr>
          <w:p w14:paraId="43F73603" w14:textId="77777777" w:rsidR="00990B14" w:rsidRDefault="00000000">
            <w:pPr>
              <w:spacing w:before="20" w:after="20"/>
              <w:jc w:val="both"/>
            </w:pPr>
            <w:r>
              <w:rPr>
                <w:sz w:val="18"/>
                <w:szCs w:val="18"/>
              </w:rPr>
              <w:t>Propone medidas para gestionar los conflictos.</w:t>
            </w:r>
          </w:p>
        </w:tc>
      </w:tr>
      <w:tr w:rsidR="00990B14" w14:paraId="5B0FC6D8" w14:textId="77777777">
        <w:trPr>
          <w:cantSplit/>
          <w:jc w:val="center"/>
        </w:trPr>
        <w:tc>
          <w:tcPr>
            <w:tcW w:w="1772" w:type="dxa"/>
            <w:vMerge/>
            <w:shd w:val="clear" w:color="auto" w:fill="4472C4"/>
            <w:vAlign w:val="center"/>
          </w:tcPr>
          <w:p w14:paraId="11478984" w14:textId="77777777" w:rsidR="00990B14" w:rsidRDefault="00990B14">
            <w:pPr>
              <w:spacing w:before="20" w:after="20"/>
            </w:pPr>
          </w:p>
        </w:tc>
        <w:tc>
          <w:tcPr>
            <w:tcW w:w="1854" w:type="dxa"/>
            <w:shd w:val="clear" w:color="auto" w:fill="D9E2F3"/>
            <w:vAlign w:val="center"/>
          </w:tcPr>
          <w:p w14:paraId="00735184" w14:textId="77777777" w:rsidR="00990B14" w:rsidRDefault="00000000">
            <w:pPr>
              <w:spacing w:before="20" w:after="20"/>
              <w:jc w:val="both"/>
            </w:pPr>
            <w:r>
              <w:rPr>
                <w:sz w:val="18"/>
                <w:szCs w:val="18"/>
              </w:rPr>
              <w:t>Ética profesional</w:t>
            </w:r>
          </w:p>
        </w:tc>
        <w:tc>
          <w:tcPr>
            <w:tcW w:w="1910" w:type="dxa"/>
            <w:shd w:val="clear" w:color="auto" w:fill="D9E2F3"/>
            <w:vAlign w:val="center"/>
          </w:tcPr>
          <w:p w14:paraId="630AF025" w14:textId="77777777" w:rsidR="00990B14" w:rsidRDefault="00000000">
            <w:pPr>
              <w:spacing w:before="20" w:after="20"/>
              <w:jc w:val="both"/>
            </w:pPr>
            <w:r>
              <w:rPr>
                <w:sz w:val="18"/>
                <w:szCs w:val="18"/>
              </w:rPr>
              <w:t>No relaciona el control interno y la rendición de cuentas.</w:t>
            </w:r>
          </w:p>
        </w:tc>
        <w:tc>
          <w:tcPr>
            <w:tcW w:w="1854" w:type="dxa"/>
            <w:shd w:val="clear" w:color="auto" w:fill="D9E2F3"/>
            <w:vAlign w:val="center"/>
          </w:tcPr>
          <w:p w14:paraId="35ABA850" w14:textId="77777777" w:rsidR="00990B14" w:rsidRDefault="00000000">
            <w:pPr>
              <w:spacing w:before="20" w:after="20"/>
              <w:jc w:val="both"/>
            </w:pPr>
            <w:r>
              <w:rPr>
                <w:sz w:val="18"/>
                <w:szCs w:val="18"/>
              </w:rPr>
              <w:t>Relaciona el caso con el control interno y la rendición de cuentas.</w:t>
            </w:r>
          </w:p>
        </w:tc>
        <w:tc>
          <w:tcPr>
            <w:tcW w:w="2015" w:type="dxa"/>
            <w:shd w:val="clear" w:color="auto" w:fill="D9E2F3"/>
            <w:vAlign w:val="center"/>
          </w:tcPr>
          <w:p w14:paraId="1564E772" w14:textId="77777777" w:rsidR="00990B14" w:rsidRDefault="00000000">
            <w:pPr>
              <w:spacing w:before="20" w:after="20"/>
              <w:jc w:val="both"/>
            </w:pPr>
            <w:r>
              <w:rPr>
                <w:sz w:val="18"/>
                <w:szCs w:val="18"/>
              </w:rPr>
              <w:t>Vincula el gobierno corporativo con la sostenibilidad.</w:t>
            </w:r>
          </w:p>
        </w:tc>
      </w:tr>
      <w:tr w:rsidR="00990B14" w14:paraId="24FBC032" w14:textId="77777777">
        <w:trPr>
          <w:cantSplit/>
          <w:jc w:val="center"/>
        </w:trPr>
        <w:tc>
          <w:tcPr>
            <w:tcW w:w="1772" w:type="dxa"/>
            <w:vMerge/>
            <w:shd w:val="clear" w:color="auto" w:fill="4472C4"/>
            <w:vAlign w:val="center"/>
          </w:tcPr>
          <w:p w14:paraId="074C42C9" w14:textId="77777777" w:rsidR="00990B14" w:rsidRDefault="00990B14">
            <w:pPr>
              <w:spacing w:before="20" w:after="20"/>
            </w:pPr>
          </w:p>
        </w:tc>
        <w:tc>
          <w:tcPr>
            <w:tcW w:w="5618" w:type="dxa"/>
            <w:gridSpan w:val="3"/>
            <w:shd w:val="clear" w:color="auto" w:fill="D9E2F3"/>
            <w:vAlign w:val="center"/>
          </w:tcPr>
          <w:p w14:paraId="13AAC53B" w14:textId="77777777" w:rsidR="00990B14" w:rsidRDefault="00000000">
            <w:pPr>
              <w:keepNext/>
              <w:spacing w:before="20" w:after="20"/>
              <w:jc w:val="both"/>
            </w:pPr>
            <w:r>
              <w:rPr>
                <w:b/>
                <w:bCs/>
                <w:i/>
                <w:iCs/>
                <w:sz w:val="18"/>
                <w:szCs w:val="18"/>
              </w:rPr>
              <w:t xml:space="preserve">Producto 8: </w:t>
            </w:r>
            <w:r>
              <w:rPr>
                <w:sz w:val="18"/>
                <w:szCs w:val="18"/>
              </w:rPr>
              <w:t>Informe de los efectos legales y contables de reorganización de empresas</w:t>
            </w:r>
          </w:p>
        </w:tc>
        <w:tc>
          <w:tcPr>
            <w:tcW w:w="2015" w:type="dxa"/>
            <w:shd w:val="clear" w:color="auto" w:fill="D9E2F3"/>
            <w:vAlign w:val="center"/>
          </w:tcPr>
          <w:p w14:paraId="195D225B" w14:textId="77777777" w:rsidR="00990B14" w:rsidRDefault="00000000">
            <w:pPr>
              <w:spacing w:before="20" w:after="20"/>
              <w:jc w:val="center"/>
            </w:pPr>
            <w:r>
              <w:rPr>
                <w:b/>
                <w:bCs/>
                <w:sz w:val="18"/>
                <w:szCs w:val="18"/>
              </w:rPr>
              <w:t>11%</w:t>
            </w:r>
          </w:p>
        </w:tc>
      </w:tr>
      <w:tr w:rsidR="00990B14" w14:paraId="26F475E8" w14:textId="77777777">
        <w:trPr>
          <w:cantSplit/>
          <w:jc w:val="center"/>
        </w:trPr>
        <w:tc>
          <w:tcPr>
            <w:tcW w:w="1772" w:type="dxa"/>
            <w:vMerge/>
            <w:shd w:val="clear" w:color="auto" w:fill="4472C4"/>
            <w:vAlign w:val="center"/>
          </w:tcPr>
          <w:p w14:paraId="69090E69" w14:textId="77777777" w:rsidR="00990B14" w:rsidRDefault="00990B14">
            <w:pPr>
              <w:spacing w:before="20" w:after="20"/>
            </w:pPr>
          </w:p>
        </w:tc>
        <w:tc>
          <w:tcPr>
            <w:tcW w:w="1854" w:type="dxa"/>
            <w:shd w:val="clear" w:color="auto" w:fill="4472C4"/>
            <w:vAlign w:val="center"/>
          </w:tcPr>
          <w:p w14:paraId="1B7AC097"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4F3B30A7" w14:textId="77777777" w:rsidR="00990B14" w:rsidRDefault="00000000">
            <w:pPr>
              <w:keepNext/>
              <w:spacing w:before="20" w:after="20"/>
              <w:jc w:val="center"/>
            </w:pPr>
            <w:r>
              <w:rPr>
                <w:b/>
                <w:bCs/>
                <w:i/>
                <w:iCs/>
                <w:color w:val="FFFFFF"/>
                <w:sz w:val="18"/>
                <w:szCs w:val="18"/>
              </w:rPr>
              <w:t>Insuficiente (1–50)</w:t>
            </w:r>
          </w:p>
        </w:tc>
        <w:tc>
          <w:tcPr>
            <w:tcW w:w="1854" w:type="dxa"/>
            <w:shd w:val="clear" w:color="auto" w:fill="4472C4"/>
            <w:vAlign w:val="center"/>
          </w:tcPr>
          <w:p w14:paraId="2CC661AB"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519D9F48" w14:textId="77777777" w:rsidR="00990B14" w:rsidRDefault="00000000">
            <w:pPr>
              <w:keepNext/>
              <w:spacing w:before="20" w:after="20"/>
              <w:jc w:val="center"/>
            </w:pPr>
            <w:r>
              <w:rPr>
                <w:b/>
                <w:bCs/>
                <w:i/>
                <w:iCs/>
                <w:color w:val="FFFFFF"/>
                <w:sz w:val="18"/>
                <w:szCs w:val="18"/>
              </w:rPr>
              <w:t>Destacado (81–100)</w:t>
            </w:r>
          </w:p>
        </w:tc>
      </w:tr>
      <w:tr w:rsidR="00990B14" w14:paraId="710265A0" w14:textId="77777777">
        <w:trPr>
          <w:cantSplit/>
          <w:jc w:val="center"/>
        </w:trPr>
        <w:tc>
          <w:tcPr>
            <w:tcW w:w="1772" w:type="dxa"/>
            <w:vMerge/>
            <w:shd w:val="clear" w:color="auto" w:fill="4472C4"/>
            <w:vAlign w:val="center"/>
          </w:tcPr>
          <w:p w14:paraId="0B5C1C94" w14:textId="77777777" w:rsidR="00990B14" w:rsidRDefault="00990B14">
            <w:pPr>
              <w:spacing w:before="20" w:after="20"/>
            </w:pPr>
          </w:p>
        </w:tc>
        <w:tc>
          <w:tcPr>
            <w:tcW w:w="1854" w:type="dxa"/>
            <w:shd w:val="clear" w:color="auto" w:fill="D9E2F3"/>
            <w:vAlign w:val="center"/>
          </w:tcPr>
          <w:p w14:paraId="67C0FE54" w14:textId="77777777" w:rsidR="00990B14" w:rsidRDefault="00000000">
            <w:pPr>
              <w:spacing w:before="20" w:after="20"/>
              <w:jc w:val="both"/>
            </w:pPr>
            <w:r>
              <w:rPr>
                <w:sz w:val="18"/>
                <w:szCs w:val="18"/>
              </w:rPr>
              <w:t>Causa y procedimiento</w:t>
            </w:r>
          </w:p>
        </w:tc>
        <w:tc>
          <w:tcPr>
            <w:tcW w:w="1910" w:type="dxa"/>
            <w:shd w:val="clear" w:color="auto" w:fill="D9E2F3"/>
            <w:vAlign w:val="center"/>
          </w:tcPr>
          <w:p w14:paraId="71E9CEEE" w14:textId="77777777" w:rsidR="00990B14" w:rsidRDefault="00000000">
            <w:pPr>
              <w:spacing w:before="20" w:after="20"/>
              <w:jc w:val="both"/>
            </w:pPr>
            <w:r>
              <w:rPr>
                <w:sz w:val="18"/>
                <w:szCs w:val="18"/>
              </w:rPr>
              <w:t>No identifica la causa o el procedimiento.</w:t>
            </w:r>
          </w:p>
        </w:tc>
        <w:tc>
          <w:tcPr>
            <w:tcW w:w="1854" w:type="dxa"/>
            <w:shd w:val="clear" w:color="auto" w:fill="D9E2F3"/>
            <w:vAlign w:val="center"/>
          </w:tcPr>
          <w:p w14:paraId="31B46850" w14:textId="77777777" w:rsidR="00990B14" w:rsidRDefault="00000000">
            <w:pPr>
              <w:spacing w:before="20" w:after="20"/>
              <w:jc w:val="both"/>
            </w:pPr>
            <w:r>
              <w:rPr>
                <w:sz w:val="18"/>
                <w:szCs w:val="18"/>
              </w:rPr>
              <w:t>Identifica la causa y sigue el procedimiento legal.</w:t>
            </w:r>
          </w:p>
        </w:tc>
        <w:tc>
          <w:tcPr>
            <w:tcW w:w="2015" w:type="dxa"/>
            <w:shd w:val="clear" w:color="auto" w:fill="D9E2F3"/>
            <w:vAlign w:val="center"/>
          </w:tcPr>
          <w:p w14:paraId="7112959C" w14:textId="77777777" w:rsidR="00990B14" w:rsidRDefault="00000000">
            <w:pPr>
              <w:spacing w:before="20" w:after="20"/>
              <w:jc w:val="both"/>
            </w:pPr>
            <w:r>
              <w:rPr>
                <w:sz w:val="18"/>
                <w:szCs w:val="18"/>
              </w:rPr>
              <w:t>Explica los efectos para socios y acreedores.</w:t>
            </w:r>
          </w:p>
        </w:tc>
      </w:tr>
      <w:tr w:rsidR="00990B14" w14:paraId="0DD61A13" w14:textId="77777777">
        <w:trPr>
          <w:cantSplit/>
          <w:jc w:val="center"/>
        </w:trPr>
        <w:tc>
          <w:tcPr>
            <w:tcW w:w="1772" w:type="dxa"/>
            <w:vMerge/>
            <w:shd w:val="clear" w:color="auto" w:fill="4472C4"/>
            <w:vAlign w:val="center"/>
          </w:tcPr>
          <w:p w14:paraId="040190F5" w14:textId="77777777" w:rsidR="00990B14" w:rsidRDefault="00990B14">
            <w:pPr>
              <w:spacing w:before="20" w:after="20"/>
            </w:pPr>
          </w:p>
        </w:tc>
        <w:tc>
          <w:tcPr>
            <w:tcW w:w="1854" w:type="dxa"/>
            <w:shd w:val="clear" w:color="auto" w:fill="D9E2F3"/>
            <w:vAlign w:val="center"/>
          </w:tcPr>
          <w:p w14:paraId="4B22B4C9" w14:textId="77777777" w:rsidR="00990B14" w:rsidRDefault="00000000">
            <w:pPr>
              <w:spacing w:before="20" w:after="20"/>
              <w:jc w:val="both"/>
            </w:pPr>
            <w:r>
              <w:rPr>
                <w:sz w:val="18"/>
                <w:szCs w:val="18"/>
              </w:rPr>
              <w:t>Requisitos legales</w:t>
            </w:r>
          </w:p>
        </w:tc>
        <w:tc>
          <w:tcPr>
            <w:tcW w:w="1910" w:type="dxa"/>
            <w:shd w:val="clear" w:color="auto" w:fill="D9E2F3"/>
            <w:vAlign w:val="center"/>
          </w:tcPr>
          <w:p w14:paraId="0D7E5C30" w14:textId="77777777" w:rsidR="00990B14" w:rsidRDefault="00000000">
            <w:pPr>
              <w:spacing w:before="20" w:after="20"/>
              <w:jc w:val="both"/>
            </w:pPr>
            <w:r>
              <w:rPr>
                <w:sz w:val="18"/>
                <w:szCs w:val="18"/>
              </w:rPr>
              <w:t>No verifica los requisitos del acuerdo.</w:t>
            </w:r>
          </w:p>
        </w:tc>
        <w:tc>
          <w:tcPr>
            <w:tcW w:w="1854" w:type="dxa"/>
            <w:shd w:val="clear" w:color="auto" w:fill="D9E2F3"/>
            <w:vAlign w:val="center"/>
          </w:tcPr>
          <w:p w14:paraId="43A356C2" w14:textId="77777777" w:rsidR="00990B14" w:rsidRDefault="00000000">
            <w:pPr>
              <w:spacing w:before="20" w:after="20"/>
              <w:jc w:val="both"/>
            </w:pPr>
            <w:r>
              <w:rPr>
                <w:sz w:val="18"/>
                <w:szCs w:val="18"/>
              </w:rPr>
              <w:t>Verifica los requisitos y el derecho de los socios.</w:t>
            </w:r>
          </w:p>
        </w:tc>
        <w:tc>
          <w:tcPr>
            <w:tcW w:w="2015" w:type="dxa"/>
            <w:shd w:val="clear" w:color="auto" w:fill="D9E2F3"/>
            <w:vAlign w:val="center"/>
          </w:tcPr>
          <w:p w14:paraId="6C442897" w14:textId="77777777" w:rsidR="00990B14" w:rsidRDefault="00000000">
            <w:pPr>
              <w:spacing w:before="20" w:after="20"/>
              <w:jc w:val="both"/>
            </w:pPr>
            <w:r>
              <w:rPr>
                <w:sz w:val="18"/>
                <w:szCs w:val="18"/>
              </w:rPr>
              <w:t>Señala las responsabilidades de los liquidadores o administradores.</w:t>
            </w:r>
          </w:p>
        </w:tc>
      </w:tr>
      <w:tr w:rsidR="00990B14" w14:paraId="70145ECC" w14:textId="77777777">
        <w:trPr>
          <w:cantSplit/>
          <w:jc w:val="center"/>
        </w:trPr>
        <w:tc>
          <w:tcPr>
            <w:tcW w:w="1772" w:type="dxa"/>
            <w:vMerge/>
            <w:shd w:val="clear" w:color="auto" w:fill="4472C4"/>
            <w:vAlign w:val="center"/>
          </w:tcPr>
          <w:p w14:paraId="69B3100F" w14:textId="77777777" w:rsidR="00990B14" w:rsidRDefault="00990B14">
            <w:pPr>
              <w:spacing w:before="20" w:after="20"/>
            </w:pPr>
          </w:p>
        </w:tc>
        <w:tc>
          <w:tcPr>
            <w:tcW w:w="1854" w:type="dxa"/>
            <w:shd w:val="clear" w:color="auto" w:fill="D9E2F3"/>
            <w:vAlign w:val="center"/>
          </w:tcPr>
          <w:p w14:paraId="157C0264" w14:textId="77777777" w:rsidR="00990B14" w:rsidRDefault="00000000">
            <w:pPr>
              <w:spacing w:before="20" w:after="20"/>
              <w:jc w:val="both"/>
            </w:pPr>
            <w:r>
              <w:rPr>
                <w:sz w:val="18"/>
                <w:szCs w:val="18"/>
              </w:rPr>
              <w:t>Fundamento normativo</w:t>
            </w:r>
          </w:p>
        </w:tc>
        <w:tc>
          <w:tcPr>
            <w:tcW w:w="1910" w:type="dxa"/>
            <w:shd w:val="clear" w:color="auto" w:fill="D9E2F3"/>
            <w:vAlign w:val="center"/>
          </w:tcPr>
          <w:p w14:paraId="5174823B" w14:textId="77777777" w:rsidR="00990B14" w:rsidRDefault="00000000">
            <w:pPr>
              <w:spacing w:before="20" w:after="20"/>
              <w:jc w:val="both"/>
            </w:pPr>
            <w:r>
              <w:rPr>
                <w:sz w:val="18"/>
                <w:szCs w:val="18"/>
              </w:rPr>
              <w:t>No cita la norma.</w:t>
            </w:r>
          </w:p>
        </w:tc>
        <w:tc>
          <w:tcPr>
            <w:tcW w:w="1854" w:type="dxa"/>
            <w:shd w:val="clear" w:color="auto" w:fill="D9E2F3"/>
            <w:vAlign w:val="center"/>
          </w:tcPr>
          <w:p w14:paraId="7DB4EB58" w14:textId="77777777" w:rsidR="00990B14" w:rsidRDefault="00000000">
            <w:pPr>
              <w:spacing w:before="20" w:after="20"/>
              <w:jc w:val="both"/>
            </w:pPr>
            <w:r>
              <w:rPr>
                <w:sz w:val="18"/>
                <w:szCs w:val="18"/>
              </w:rPr>
              <w:t>Cita los artículos del Código de Comercio.</w:t>
            </w:r>
          </w:p>
        </w:tc>
        <w:tc>
          <w:tcPr>
            <w:tcW w:w="2015" w:type="dxa"/>
            <w:shd w:val="clear" w:color="auto" w:fill="D9E2F3"/>
            <w:vAlign w:val="center"/>
          </w:tcPr>
          <w:p w14:paraId="20B58DF9" w14:textId="77777777" w:rsidR="00990B14" w:rsidRDefault="00000000">
            <w:pPr>
              <w:spacing w:before="20" w:after="20"/>
              <w:jc w:val="both"/>
            </w:pPr>
            <w:r>
              <w:rPr>
                <w:sz w:val="18"/>
                <w:szCs w:val="18"/>
              </w:rPr>
              <w:t>Distingue el régimen de la empresa pública o mixta.</w:t>
            </w:r>
          </w:p>
        </w:tc>
      </w:tr>
      <w:tr w:rsidR="00990B14" w14:paraId="53474D63" w14:textId="77777777">
        <w:trPr>
          <w:cantSplit/>
          <w:jc w:val="center"/>
        </w:trPr>
        <w:tc>
          <w:tcPr>
            <w:tcW w:w="1772" w:type="dxa"/>
            <w:vMerge/>
            <w:shd w:val="clear" w:color="auto" w:fill="4472C4"/>
            <w:vAlign w:val="center"/>
          </w:tcPr>
          <w:p w14:paraId="5885B40A" w14:textId="77777777" w:rsidR="00990B14" w:rsidRDefault="00990B14">
            <w:pPr>
              <w:spacing w:before="20" w:after="20"/>
            </w:pPr>
          </w:p>
        </w:tc>
        <w:tc>
          <w:tcPr>
            <w:tcW w:w="5618" w:type="dxa"/>
            <w:gridSpan w:val="3"/>
            <w:shd w:val="clear" w:color="auto" w:fill="D9E2F3"/>
            <w:vAlign w:val="center"/>
          </w:tcPr>
          <w:p w14:paraId="1C58CE42" w14:textId="77777777" w:rsidR="00990B14" w:rsidRDefault="00000000">
            <w:pPr>
              <w:keepNext/>
              <w:spacing w:before="20" w:after="20"/>
              <w:jc w:val="both"/>
            </w:pPr>
            <w:r>
              <w:rPr>
                <w:b/>
                <w:bCs/>
                <w:i/>
                <w:iCs/>
                <w:sz w:val="18"/>
                <w:szCs w:val="18"/>
              </w:rPr>
              <w:t xml:space="preserve">Producto 9: </w:t>
            </w:r>
            <w:r>
              <w:rPr>
                <w:sz w:val="18"/>
                <w:szCs w:val="18"/>
              </w:rPr>
              <w:t>Carpeta de títulos valores</w:t>
            </w:r>
          </w:p>
        </w:tc>
        <w:tc>
          <w:tcPr>
            <w:tcW w:w="2015" w:type="dxa"/>
            <w:shd w:val="clear" w:color="auto" w:fill="D9E2F3"/>
            <w:vAlign w:val="center"/>
          </w:tcPr>
          <w:p w14:paraId="15ED7FAA" w14:textId="77777777" w:rsidR="00990B14" w:rsidRDefault="00000000">
            <w:pPr>
              <w:spacing w:before="20" w:after="20"/>
              <w:jc w:val="center"/>
            </w:pPr>
            <w:r>
              <w:rPr>
                <w:b/>
                <w:bCs/>
                <w:sz w:val="18"/>
                <w:szCs w:val="18"/>
              </w:rPr>
              <w:t>7%</w:t>
            </w:r>
          </w:p>
        </w:tc>
      </w:tr>
      <w:tr w:rsidR="00990B14" w14:paraId="7C5E686F" w14:textId="77777777">
        <w:trPr>
          <w:cantSplit/>
          <w:jc w:val="center"/>
        </w:trPr>
        <w:tc>
          <w:tcPr>
            <w:tcW w:w="1772" w:type="dxa"/>
            <w:vMerge/>
            <w:shd w:val="clear" w:color="auto" w:fill="4472C4"/>
            <w:vAlign w:val="center"/>
          </w:tcPr>
          <w:p w14:paraId="7170A461" w14:textId="77777777" w:rsidR="00990B14" w:rsidRDefault="00990B14">
            <w:pPr>
              <w:spacing w:before="20" w:after="20"/>
            </w:pPr>
          </w:p>
        </w:tc>
        <w:tc>
          <w:tcPr>
            <w:tcW w:w="1854" w:type="dxa"/>
            <w:shd w:val="clear" w:color="auto" w:fill="4472C4"/>
            <w:vAlign w:val="center"/>
          </w:tcPr>
          <w:p w14:paraId="095F2024"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2160C525" w14:textId="77777777" w:rsidR="00990B14" w:rsidRDefault="00000000">
            <w:pPr>
              <w:keepNext/>
              <w:spacing w:before="20" w:after="20"/>
              <w:jc w:val="center"/>
            </w:pPr>
            <w:r>
              <w:rPr>
                <w:b/>
                <w:bCs/>
                <w:i/>
                <w:iCs/>
                <w:color w:val="FFFFFF"/>
                <w:sz w:val="18"/>
                <w:szCs w:val="18"/>
              </w:rPr>
              <w:t>Insuficiente (1–50)</w:t>
            </w:r>
          </w:p>
        </w:tc>
        <w:tc>
          <w:tcPr>
            <w:tcW w:w="1854" w:type="dxa"/>
            <w:shd w:val="clear" w:color="auto" w:fill="4472C4"/>
            <w:vAlign w:val="center"/>
          </w:tcPr>
          <w:p w14:paraId="1877DB89"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492DC7FF" w14:textId="77777777" w:rsidR="00990B14" w:rsidRDefault="00000000">
            <w:pPr>
              <w:keepNext/>
              <w:spacing w:before="20" w:after="20"/>
              <w:jc w:val="center"/>
            </w:pPr>
            <w:r>
              <w:rPr>
                <w:b/>
                <w:bCs/>
                <w:i/>
                <w:iCs/>
                <w:color w:val="FFFFFF"/>
                <w:sz w:val="18"/>
                <w:szCs w:val="18"/>
              </w:rPr>
              <w:t>Destacado (81–100)</w:t>
            </w:r>
          </w:p>
        </w:tc>
      </w:tr>
      <w:tr w:rsidR="00990B14" w14:paraId="6D65C93F" w14:textId="77777777">
        <w:trPr>
          <w:cantSplit/>
          <w:jc w:val="center"/>
        </w:trPr>
        <w:tc>
          <w:tcPr>
            <w:tcW w:w="1772" w:type="dxa"/>
            <w:vMerge/>
            <w:shd w:val="clear" w:color="auto" w:fill="4472C4"/>
            <w:vAlign w:val="center"/>
          </w:tcPr>
          <w:p w14:paraId="4CD9729E" w14:textId="77777777" w:rsidR="00990B14" w:rsidRDefault="00990B14">
            <w:pPr>
              <w:spacing w:before="20" w:after="20"/>
            </w:pPr>
          </w:p>
        </w:tc>
        <w:tc>
          <w:tcPr>
            <w:tcW w:w="1854" w:type="dxa"/>
            <w:shd w:val="clear" w:color="auto" w:fill="D9E2F3"/>
            <w:vAlign w:val="center"/>
          </w:tcPr>
          <w:p w14:paraId="4D0F00D2" w14:textId="77777777" w:rsidR="00990B14" w:rsidRDefault="00000000">
            <w:pPr>
              <w:spacing w:before="20" w:after="20"/>
              <w:jc w:val="both"/>
            </w:pPr>
            <w:r>
              <w:rPr>
                <w:sz w:val="18"/>
                <w:szCs w:val="18"/>
              </w:rPr>
              <w:t>Requisitos de forma</w:t>
            </w:r>
          </w:p>
        </w:tc>
        <w:tc>
          <w:tcPr>
            <w:tcW w:w="1910" w:type="dxa"/>
            <w:shd w:val="clear" w:color="auto" w:fill="D9E2F3"/>
            <w:vAlign w:val="center"/>
          </w:tcPr>
          <w:p w14:paraId="539F67EE" w14:textId="77777777" w:rsidR="00990B14" w:rsidRDefault="00000000">
            <w:pPr>
              <w:spacing w:before="20" w:after="20"/>
              <w:jc w:val="both"/>
            </w:pPr>
            <w:r>
              <w:rPr>
                <w:sz w:val="18"/>
                <w:szCs w:val="18"/>
              </w:rPr>
              <w:t>Desconoce los requisitos esenciales.</w:t>
            </w:r>
          </w:p>
        </w:tc>
        <w:tc>
          <w:tcPr>
            <w:tcW w:w="1854" w:type="dxa"/>
            <w:shd w:val="clear" w:color="auto" w:fill="D9E2F3"/>
            <w:vAlign w:val="center"/>
          </w:tcPr>
          <w:p w14:paraId="25630807" w14:textId="77777777" w:rsidR="00990B14" w:rsidRDefault="00000000">
            <w:pPr>
              <w:spacing w:before="20" w:after="20"/>
              <w:jc w:val="both"/>
            </w:pPr>
            <w:r>
              <w:rPr>
                <w:sz w:val="18"/>
                <w:szCs w:val="18"/>
              </w:rPr>
              <w:t>Llena cada título con todos sus requisitos.</w:t>
            </w:r>
          </w:p>
        </w:tc>
        <w:tc>
          <w:tcPr>
            <w:tcW w:w="2015" w:type="dxa"/>
            <w:shd w:val="clear" w:color="auto" w:fill="D9E2F3"/>
            <w:vAlign w:val="center"/>
          </w:tcPr>
          <w:p w14:paraId="6337C3F7" w14:textId="77777777" w:rsidR="00990B14" w:rsidRDefault="00000000">
            <w:pPr>
              <w:spacing w:before="20" w:after="20"/>
              <w:jc w:val="both"/>
            </w:pPr>
            <w:r>
              <w:rPr>
                <w:sz w:val="18"/>
                <w:szCs w:val="18"/>
              </w:rPr>
              <w:t>Explica la consecuencia de la omisión de requisitos.</w:t>
            </w:r>
          </w:p>
        </w:tc>
      </w:tr>
      <w:tr w:rsidR="00990B14" w14:paraId="683F7412" w14:textId="77777777">
        <w:trPr>
          <w:cantSplit/>
          <w:jc w:val="center"/>
        </w:trPr>
        <w:tc>
          <w:tcPr>
            <w:tcW w:w="1772" w:type="dxa"/>
            <w:vMerge/>
            <w:shd w:val="clear" w:color="auto" w:fill="4472C4"/>
            <w:vAlign w:val="center"/>
          </w:tcPr>
          <w:p w14:paraId="74E67304" w14:textId="77777777" w:rsidR="00990B14" w:rsidRDefault="00990B14">
            <w:pPr>
              <w:spacing w:before="20" w:after="20"/>
            </w:pPr>
          </w:p>
        </w:tc>
        <w:tc>
          <w:tcPr>
            <w:tcW w:w="1854" w:type="dxa"/>
            <w:shd w:val="clear" w:color="auto" w:fill="D9E2F3"/>
            <w:vAlign w:val="center"/>
          </w:tcPr>
          <w:p w14:paraId="47D7477B" w14:textId="77777777" w:rsidR="00990B14" w:rsidRDefault="00000000">
            <w:pPr>
              <w:spacing w:before="20" w:after="20"/>
              <w:jc w:val="both"/>
            </w:pPr>
            <w:r>
              <w:rPr>
                <w:sz w:val="18"/>
                <w:szCs w:val="18"/>
              </w:rPr>
              <w:t>Endoso</w:t>
            </w:r>
          </w:p>
        </w:tc>
        <w:tc>
          <w:tcPr>
            <w:tcW w:w="1910" w:type="dxa"/>
            <w:shd w:val="clear" w:color="auto" w:fill="D9E2F3"/>
            <w:vAlign w:val="center"/>
          </w:tcPr>
          <w:p w14:paraId="28DE0A3C" w14:textId="77777777" w:rsidR="00990B14" w:rsidRDefault="00000000">
            <w:pPr>
              <w:spacing w:before="20" w:after="20"/>
              <w:jc w:val="both"/>
            </w:pPr>
            <w:r>
              <w:rPr>
                <w:sz w:val="18"/>
                <w:szCs w:val="18"/>
              </w:rPr>
              <w:t>Confunde las clases de endoso.</w:t>
            </w:r>
          </w:p>
        </w:tc>
        <w:tc>
          <w:tcPr>
            <w:tcW w:w="1854" w:type="dxa"/>
            <w:shd w:val="clear" w:color="auto" w:fill="D9E2F3"/>
            <w:vAlign w:val="center"/>
          </w:tcPr>
          <w:p w14:paraId="693B5D63" w14:textId="77777777" w:rsidR="00990B14" w:rsidRDefault="00000000">
            <w:pPr>
              <w:spacing w:before="20" w:after="20"/>
              <w:jc w:val="both"/>
            </w:pPr>
            <w:r>
              <w:rPr>
                <w:sz w:val="18"/>
                <w:szCs w:val="18"/>
              </w:rPr>
              <w:t>Aplica correctamente las clases de endoso.</w:t>
            </w:r>
          </w:p>
        </w:tc>
        <w:tc>
          <w:tcPr>
            <w:tcW w:w="2015" w:type="dxa"/>
            <w:shd w:val="clear" w:color="auto" w:fill="D9E2F3"/>
            <w:vAlign w:val="center"/>
          </w:tcPr>
          <w:p w14:paraId="257A84A5" w14:textId="77777777" w:rsidR="00990B14" w:rsidRDefault="00000000">
            <w:pPr>
              <w:spacing w:before="20" w:after="20"/>
              <w:jc w:val="both"/>
            </w:pPr>
            <w:r>
              <w:rPr>
                <w:sz w:val="18"/>
                <w:szCs w:val="18"/>
              </w:rPr>
              <w:t>Explica los efectos de cada endoso.</w:t>
            </w:r>
          </w:p>
        </w:tc>
      </w:tr>
      <w:tr w:rsidR="00990B14" w14:paraId="7462DA73" w14:textId="77777777">
        <w:trPr>
          <w:cantSplit/>
          <w:jc w:val="center"/>
        </w:trPr>
        <w:tc>
          <w:tcPr>
            <w:tcW w:w="1772" w:type="dxa"/>
            <w:vMerge/>
            <w:shd w:val="clear" w:color="auto" w:fill="4472C4"/>
            <w:vAlign w:val="center"/>
          </w:tcPr>
          <w:p w14:paraId="6554D757" w14:textId="77777777" w:rsidR="00990B14" w:rsidRDefault="00990B14">
            <w:pPr>
              <w:spacing w:before="20" w:after="20"/>
            </w:pPr>
          </w:p>
        </w:tc>
        <w:tc>
          <w:tcPr>
            <w:tcW w:w="1854" w:type="dxa"/>
            <w:shd w:val="clear" w:color="auto" w:fill="D9E2F3"/>
            <w:vAlign w:val="center"/>
          </w:tcPr>
          <w:p w14:paraId="02D607AA" w14:textId="77777777" w:rsidR="00990B14" w:rsidRDefault="00000000">
            <w:pPr>
              <w:spacing w:before="20" w:after="20"/>
              <w:jc w:val="both"/>
            </w:pPr>
            <w:r>
              <w:rPr>
                <w:sz w:val="18"/>
                <w:szCs w:val="18"/>
              </w:rPr>
              <w:t>Presentación</w:t>
            </w:r>
          </w:p>
        </w:tc>
        <w:tc>
          <w:tcPr>
            <w:tcW w:w="1910" w:type="dxa"/>
            <w:shd w:val="clear" w:color="auto" w:fill="D9E2F3"/>
            <w:vAlign w:val="center"/>
          </w:tcPr>
          <w:p w14:paraId="67F0BD2D" w14:textId="77777777" w:rsidR="00990B14" w:rsidRDefault="00000000">
            <w:pPr>
              <w:spacing w:before="20" w:after="20"/>
              <w:jc w:val="both"/>
            </w:pPr>
            <w:r>
              <w:rPr>
                <w:sz w:val="18"/>
                <w:szCs w:val="18"/>
              </w:rPr>
              <w:t>Los títulos tienen tachaduras o errores.</w:t>
            </w:r>
          </w:p>
        </w:tc>
        <w:tc>
          <w:tcPr>
            <w:tcW w:w="1854" w:type="dxa"/>
            <w:shd w:val="clear" w:color="auto" w:fill="D9E2F3"/>
            <w:vAlign w:val="center"/>
          </w:tcPr>
          <w:p w14:paraId="19965EF0" w14:textId="77777777" w:rsidR="00990B14" w:rsidRDefault="00000000">
            <w:pPr>
              <w:spacing w:before="20" w:after="20"/>
              <w:jc w:val="both"/>
            </w:pPr>
            <w:r>
              <w:rPr>
                <w:sz w:val="18"/>
                <w:szCs w:val="18"/>
              </w:rPr>
              <w:t>Los títulos están completos y legibles.</w:t>
            </w:r>
          </w:p>
        </w:tc>
        <w:tc>
          <w:tcPr>
            <w:tcW w:w="2015" w:type="dxa"/>
            <w:shd w:val="clear" w:color="auto" w:fill="D9E2F3"/>
            <w:vAlign w:val="center"/>
          </w:tcPr>
          <w:p w14:paraId="38C4E3C5" w14:textId="77777777" w:rsidR="00990B14" w:rsidRDefault="00000000">
            <w:pPr>
              <w:spacing w:before="20" w:after="20"/>
              <w:jc w:val="both"/>
            </w:pPr>
            <w:r>
              <w:rPr>
                <w:sz w:val="18"/>
                <w:szCs w:val="18"/>
              </w:rPr>
              <w:t>Incluye un aval y una cláusula especial correcta.</w:t>
            </w:r>
          </w:p>
        </w:tc>
      </w:tr>
      <w:tr w:rsidR="00990B14" w14:paraId="10369FAF" w14:textId="77777777">
        <w:trPr>
          <w:cantSplit/>
          <w:jc w:val="center"/>
        </w:trPr>
        <w:tc>
          <w:tcPr>
            <w:tcW w:w="1772" w:type="dxa"/>
            <w:vMerge/>
            <w:shd w:val="clear" w:color="auto" w:fill="4472C4"/>
            <w:vAlign w:val="center"/>
          </w:tcPr>
          <w:p w14:paraId="0F635E79" w14:textId="77777777" w:rsidR="00990B14" w:rsidRDefault="00990B14">
            <w:pPr>
              <w:spacing w:before="20" w:after="20"/>
            </w:pPr>
          </w:p>
        </w:tc>
        <w:tc>
          <w:tcPr>
            <w:tcW w:w="5618" w:type="dxa"/>
            <w:gridSpan w:val="3"/>
            <w:shd w:val="clear" w:color="auto" w:fill="D9E2F3"/>
            <w:vAlign w:val="center"/>
          </w:tcPr>
          <w:p w14:paraId="722C02A0" w14:textId="77777777" w:rsidR="00990B14" w:rsidRDefault="00000000">
            <w:pPr>
              <w:keepNext/>
              <w:spacing w:before="20" w:after="20"/>
              <w:jc w:val="both"/>
            </w:pPr>
            <w:r>
              <w:rPr>
                <w:b/>
                <w:bCs/>
                <w:i/>
                <w:iCs/>
                <w:sz w:val="18"/>
                <w:szCs w:val="18"/>
              </w:rPr>
              <w:t xml:space="preserve">Producto 10: </w:t>
            </w:r>
            <w:r>
              <w:rPr>
                <w:sz w:val="18"/>
                <w:szCs w:val="18"/>
              </w:rPr>
              <w:t>Informe del caso de protesto</w:t>
            </w:r>
          </w:p>
        </w:tc>
        <w:tc>
          <w:tcPr>
            <w:tcW w:w="2015" w:type="dxa"/>
            <w:shd w:val="clear" w:color="auto" w:fill="D9E2F3"/>
            <w:vAlign w:val="center"/>
          </w:tcPr>
          <w:p w14:paraId="1D6D9695" w14:textId="77777777" w:rsidR="00990B14" w:rsidRDefault="00000000">
            <w:pPr>
              <w:spacing w:before="20" w:after="20"/>
              <w:jc w:val="center"/>
            </w:pPr>
            <w:r>
              <w:rPr>
                <w:b/>
                <w:bCs/>
                <w:sz w:val="18"/>
                <w:szCs w:val="18"/>
              </w:rPr>
              <w:t>6%</w:t>
            </w:r>
          </w:p>
        </w:tc>
      </w:tr>
      <w:tr w:rsidR="00990B14" w14:paraId="4B703A22" w14:textId="77777777">
        <w:trPr>
          <w:cantSplit/>
          <w:jc w:val="center"/>
        </w:trPr>
        <w:tc>
          <w:tcPr>
            <w:tcW w:w="1772" w:type="dxa"/>
            <w:vMerge/>
            <w:shd w:val="clear" w:color="auto" w:fill="4472C4"/>
            <w:vAlign w:val="center"/>
          </w:tcPr>
          <w:p w14:paraId="1A98AFFA" w14:textId="77777777" w:rsidR="00990B14" w:rsidRDefault="00990B14">
            <w:pPr>
              <w:spacing w:before="20" w:after="20"/>
            </w:pPr>
          </w:p>
        </w:tc>
        <w:tc>
          <w:tcPr>
            <w:tcW w:w="1854" w:type="dxa"/>
            <w:shd w:val="clear" w:color="auto" w:fill="4472C4"/>
            <w:vAlign w:val="center"/>
          </w:tcPr>
          <w:p w14:paraId="6EA3D485"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1E1CF631" w14:textId="77777777" w:rsidR="00990B14" w:rsidRDefault="00000000">
            <w:pPr>
              <w:keepNext/>
              <w:spacing w:before="20" w:after="20"/>
              <w:jc w:val="center"/>
            </w:pPr>
            <w:r>
              <w:rPr>
                <w:b/>
                <w:bCs/>
                <w:i/>
                <w:iCs/>
                <w:color w:val="FFFFFF"/>
                <w:sz w:val="18"/>
                <w:szCs w:val="18"/>
              </w:rPr>
              <w:t>Insuficiente (1–50)</w:t>
            </w:r>
          </w:p>
        </w:tc>
        <w:tc>
          <w:tcPr>
            <w:tcW w:w="1854" w:type="dxa"/>
            <w:shd w:val="clear" w:color="auto" w:fill="4472C4"/>
            <w:vAlign w:val="center"/>
          </w:tcPr>
          <w:p w14:paraId="581D83A6"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7F506CF0" w14:textId="77777777" w:rsidR="00990B14" w:rsidRDefault="00000000">
            <w:pPr>
              <w:keepNext/>
              <w:spacing w:before="20" w:after="20"/>
              <w:jc w:val="center"/>
            </w:pPr>
            <w:r>
              <w:rPr>
                <w:b/>
                <w:bCs/>
                <w:i/>
                <w:iCs/>
                <w:color w:val="FFFFFF"/>
                <w:sz w:val="18"/>
                <w:szCs w:val="18"/>
              </w:rPr>
              <w:t>Destacado (81–100)</w:t>
            </w:r>
          </w:p>
        </w:tc>
      </w:tr>
      <w:tr w:rsidR="00990B14" w14:paraId="127587B6" w14:textId="77777777">
        <w:trPr>
          <w:cantSplit/>
          <w:jc w:val="center"/>
        </w:trPr>
        <w:tc>
          <w:tcPr>
            <w:tcW w:w="1772" w:type="dxa"/>
            <w:vMerge/>
            <w:shd w:val="clear" w:color="auto" w:fill="4472C4"/>
            <w:vAlign w:val="center"/>
          </w:tcPr>
          <w:p w14:paraId="2B730970" w14:textId="77777777" w:rsidR="00990B14" w:rsidRDefault="00990B14">
            <w:pPr>
              <w:spacing w:before="20" w:after="20"/>
            </w:pPr>
          </w:p>
        </w:tc>
        <w:tc>
          <w:tcPr>
            <w:tcW w:w="1854" w:type="dxa"/>
            <w:shd w:val="clear" w:color="auto" w:fill="D9E2F3"/>
            <w:vAlign w:val="center"/>
          </w:tcPr>
          <w:p w14:paraId="773DD46B" w14:textId="77777777" w:rsidR="00990B14" w:rsidRDefault="00000000">
            <w:pPr>
              <w:spacing w:before="20" w:after="20"/>
              <w:jc w:val="both"/>
            </w:pPr>
            <w:r>
              <w:rPr>
                <w:sz w:val="18"/>
                <w:szCs w:val="18"/>
              </w:rPr>
              <w:t>Protesto</w:t>
            </w:r>
          </w:p>
        </w:tc>
        <w:tc>
          <w:tcPr>
            <w:tcW w:w="1910" w:type="dxa"/>
            <w:shd w:val="clear" w:color="auto" w:fill="D9E2F3"/>
            <w:vAlign w:val="center"/>
          </w:tcPr>
          <w:p w14:paraId="1A0AF8B2" w14:textId="77777777" w:rsidR="00990B14" w:rsidRDefault="00000000">
            <w:pPr>
              <w:spacing w:before="20" w:after="20"/>
              <w:jc w:val="both"/>
            </w:pPr>
            <w:r>
              <w:rPr>
                <w:sz w:val="18"/>
                <w:szCs w:val="18"/>
              </w:rPr>
              <w:t>Desconoce las causas del protesto.</w:t>
            </w:r>
          </w:p>
        </w:tc>
        <w:tc>
          <w:tcPr>
            <w:tcW w:w="1854" w:type="dxa"/>
            <w:shd w:val="clear" w:color="auto" w:fill="D9E2F3"/>
            <w:vAlign w:val="center"/>
          </w:tcPr>
          <w:p w14:paraId="31F386D4" w14:textId="77777777" w:rsidR="00990B14" w:rsidRDefault="00000000">
            <w:pPr>
              <w:spacing w:before="20" w:after="20"/>
              <w:jc w:val="both"/>
            </w:pPr>
            <w:r>
              <w:rPr>
                <w:sz w:val="18"/>
                <w:szCs w:val="18"/>
              </w:rPr>
              <w:t>Conoce las causas del protesto.</w:t>
            </w:r>
          </w:p>
        </w:tc>
        <w:tc>
          <w:tcPr>
            <w:tcW w:w="2015" w:type="dxa"/>
            <w:shd w:val="clear" w:color="auto" w:fill="D9E2F3"/>
            <w:vAlign w:val="center"/>
          </w:tcPr>
          <w:p w14:paraId="66883566" w14:textId="77777777" w:rsidR="00990B14" w:rsidRDefault="00000000">
            <w:pPr>
              <w:spacing w:before="20" w:after="20"/>
              <w:jc w:val="both"/>
            </w:pPr>
            <w:r>
              <w:rPr>
                <w:sz w:val="18"/>
                <w:szCs w:val="18"/>
              </w:rPr>
              <w:t>Distingue los casos con cláusula sin protesto.</w:t>
            </w:r>
          </w:p>
        </w:tc>
      </w:tr>
      <w:tr w:rsidR="00990B14" w14:paraId="0D2BA371" w14:textId="77777777">
        <w:trPr>
          <w:cantSplit/>
          <w:jc w:val="center"/>
        </w:trPr>
        <w:tc>
          <w:tcPr>
            <w:tcW w:w="1772" w:type="dxa"/>
            <w:vMerge/>
            <w:shd w:val="clear" w:color="auto" w:fill="4472C4"/>
            <w:vAlign w:val="center"/>
          </w:tcPr>
          <w:p w14:paraId="41E41C0C" w14:textId="77777777" w:rsidR="00990B14" w:rsidRDefault="00990B14">
            <w:pPr>
              <w:spacing w:before="20" w:after="20"/>
            </w:pPr>
          </w:p>
        </w:tc>
        <w:tc>
          <w:tcPr>
            <w:tcW w:w="1854" w:type="dxa"/>
            <w:shd w:val="clear" w:color="auto" w:fill="D9E2F3"/>
            <w:vAlign w:val="center"/>
          </w:tcPr>
          <w:p w14:paraId="6714C469" w14:textId="77777777" w:rsidR="00990B14" w:rsidRDefault="00000000">
            <w:pPr>
              <w:spacing w:before="20" w:after="20"/>
              <w:jc w:val="both"/>
            </w:pPr>
            <w:r>
              <w:rPr>
                <w:sz w:val="18"/>
                <w:szCs w:val="18"/>
              </w:rPr>
              <w:t>Acciones emergentes</w:t>
            </w:r>
          </w:p>
        </w:tc>
        <w:tc>
          <w:tcPr>
            <w:tcW w:w="1910" w:type="dxa"/>
            <w:shd w:val="clear" w:color="auto" w:fill="D9E2F3"/>
            <w:vAlign w:val="center"/>
          </w:tcPr>
          <w:p w14:paraId="22BFD7FF" w14:textId="77777777" w:rsidR="00990B14" w:rsidRDefault="00000000">
            <w:pPr>
              <w:spacing w:before="20" w:after="20"/>
              <w:jc w:val="both"/>
            </w:pPr>
            <w:r>
              <w:rPr>
                <w:sz w:val="18"/>
                <w:szCs w:val="18"/>
              </w:rPr>
              <w:t>Confunde las acciones derivadas de los protestos.</w:t>
            </w:r>
          </w:p>
        </w:tc>
        <w:tc>
          <w:tcPr>
            <w:tcW w:w="1854" w:type="dxa"/>
            <w:shd w:val="clear" w:color="auto" w:fill="D9E2F3"/>
            <w:vAlign w:val="center"/>
          </w:tcPr>
          <w:p w14:paraId="34CE2209" w14:textId="77777777" w:rsidR="00990B14" w:rsidRDefault="00000000">
            <w:pPr>
              <w:spacing w:before="20" w:after="20"/>
              <w:jc w:val="both"/>
            </w:pPr>
            <w:r>
              <w:rPr>
                <w:sz w:val="18"/>
                <w:szCs w:val="18"/>
              </w:rPr>
              <w:t>Identifica la acción directa y la de regreso.</w:t>
            </w:r>
          </w:p>
        </w:tc>
        <w:tc>
          <w:tcPr>
            <w:tcW w:w="2015" w:type="dxa"/>
            <w:shd w:val="clear" w:color="auto" w:fill="D9E2F3"/>
            <w:vAlign w:val="center"/>
          </w:tcPr>
          <w:p w14:paraId="62FC8949" w14:textId="77777777" w:rsidR="00990B14" w:rsidRDefault="00000000">
            <w:pPr>
              <w:spacing w:before="20" w:after="20"/>
              <w:jc w:val="both"/>
            </w:pPr>
            <w:r>
              <w:rPr>
                <w:sz w:val="18"/>
                <w:szCs w:val="18"/>
              </w:rPr>
              <w:t>Calcula la prescripción de cada acción.</w:t>
            </w:r>
          </w:p>
        </w:tc>
      </w:tr>
      <w:tr w:rsidR="00990B14" w14:paraId="7E13F19F" w14:textId="77777777">
        <w:trPr>
          <w:cantSplit/>
          <w:jc w:val="center"/>
        </w:trPr>
        <w:tc>
          <w:tcPr>
            <w:tcW w:w="1772" w:type="dxa"/>
            <w:vMerge/>
            <w:shd w:val="clear" w:color="auto" w:fill="4472C4"/>
            <w:vAlign w:val="center"/>
          </w:tcPr>
          <w:p w14:paraId="5E29EB6F" w14:textId="77777777" w:rsidR="00990B14" w:rsidRDefault="00990B14">
            <w:pPr>
              <w:spacing w:before="20" w:after="20"/>
            </w:pPr>
          </w:p>
        </w:tc>
        <w:tc>
          <w:tcPr>
            <w:tcW w:w="1854" w:type="dxa"/>
            <w:shd w:val="clear" w:color="auto" w:fill="D9E2F3"/>
            <w:vAlign w:val="center"/>
          </w:tcPr>
          <w:p w14:paraId="0939E2CF" w14:textId="77777777" w:rsidR="00990B14" w:rsidRDefault="00000000">
            <w:pPr>
              <w:spacing w:before="20" w:after="20"/>
              <w:jc w:val="both"/>
            </w:pPr>
            <w:r>
              <w:rPr>
                <w:sz w:val="18"/>
                <w:szCs w:val="18"/>
              </w:rPr>
              <w:t>Trabajo en equipo</w:t>
            </w:r>
          </w:p>
        </w:tc>
        <w:tc>
          <w:tcPr>
            <w:tcW w:w="1910" w:type="dxa"/>
            <w:shd w:val="clear" w:color="auto" w:fill="D9E2F3"/>
            <w:vAlign w:val="center"/>
          </w:tcPr>
          <w:p w14:paraId="0CBEDEBE" w14:textId="77777777" w:rsidR="00990B14" w:rsidRDefault="00000000">
            <w:pPr>
              <w:spacing w:before="20" w:after="20"/>
              <w:jc w:val="both"/>
            </w:pPr>
            <w:r>
              <w:rPr>
                <w:sz w:val="18"/>
                <w:szCs w:val="18"/>
              </w:rPr>
              <w:t>La participación de los integrantes es desigual.</w:t>
            </w:r>
          </w:p>
        </w:tc>
        <w:tc>
          <w:tcPr>
            <w:tcW w:w="1854" w:type="dxa"/>
            <w:shd w:val="clear" w:color="auto" w:fill="D9E2F3"/>
            <w:vAlign w:val="center"/>
          </w:tcPr>
          <w:p w14:paraId="1173D3B4" w14:textId="77777777" w:rsidR="00990B14" w:rsidRDefault="00000000">
            <w:pPr>
              <w:spacing w:before="20" w:after="20"/>
              <w:jc w:val="both"/>
            </w:pPr>
            <w:r>
              <w:rPr>
                <w:sz w:val="18"/>
                <w:szCs w:val="18"/>
              </w:rPr>
              <w:t>Todos los integrantes participan.</w:t>
            </w:r>
          </w:p>
        </w:tc>
        <w:tc>
          <w:tcPr>
            <w:tcW w:w="2015" w:type="dxa"/>
            <w:shd w:val="clear" w:color="auto" w:fill="D9E2F3"/>
            <w:vAlign w:val="center"/>
          </w:tcPr>
          <w:p w14:paraId="238D481B" w14:textId="77777777" w:rsidR="00990B14" w:rsidRDefault="00000000">
            <w:pPr>
              <w:spacing w:before="20" w:after="20"/>
              <w:jc w:val="both"/>
            </w:pPr>
            <w:r>
              <w:rPr>
                <w:sz w:val="18"/>
                <w:szCs w:val="18"/>
              </w:rPr>
              <w:t>El equipo sustenta la solución ante el curso.</w:t>
            </w:r>
          </w:p>
        </w:tc>
      </w:tr>
      <w:tr w:rsidR="00990B14" w14:paraId="08F6995F" w14:textId="77777777">
        <w:trPr>
          <w:cantSplit/>
          <w:jc w:val="center"/>
        </w:trPr>
        <w:tc>
          <w:tcPr>
            <w:tcW w:w="1772" w:type="dxa"/>
            <w:vMerge/>
            <w:shd w:val="clear" w:color="auto" w:fill="4472C4"/>
            <w:vAlign w:val="center"/>
          </w:tcPr>
          <w:p w14:paraId="5E295B58" w14:textId="77777777" w:rsidR="00990B14" w:rsidRDefault="00990B14">
            <w:pPr>
              <w:spacing w:before="20" w:after="20"/>
            </w:pPr>
          </w:p>
        </w:tc>
        <w:tc>
          <w:tcPr>
            <w:tcW w:w="5618" w:type="dxa"/>
            <w:gridSpan w:val="3"/>
            <w:shd w:val="clear" w:color="auto" w:fill="D9E2F3"/>
            <w:vAlign w:val="center"/>
          </w:tcPr>
          <w:p w14:paraId="73A21F19" w14:textId="77777777" w:rsidR="00990B14" w:rsidRDefault="00000000">
            <w:pPr>
              <w:keepNext/>
              <w:spacing w:before="20" w:after="20"/>
              <w:jc w:val="both"/>
            </w:pPr>
            <w:r>
              <w:rPr>
                <w:b/>
                <w:bCs/>
                <w:i/>
                <w:iCs/>
                <w:sz w:val="18"/>
                <w:szCs w:val="18"/>
              </w:rPr>
              <w:t xml:space="preserve">Producto 11: </w:t>
            </w:r>
            <w:r>
              <w:rPr>
                <w:sz w:val="18"/>
                <w:szCs w:val="18"/>
              </w:rPr>
              <w:t>Cuadro comparativo de bonos y cédulas hipotecarias</w:t>
            </w:r>
          </w:p>
        </w:tc>
        <w:tc>
          <w:tcPr>
            <w:tcW w:w="2015" w:type="dxa"/>
            <w:shd w:val="clear" w:color="auto" w:fill="D9E2F3"/>
            <w:vAlign w:val="center"/>
          </w:tcPr>
          <w:p w14:paraId="2D900402" w14:textId="77777777" w:rsidR="00990B14" w:rsidRDefault="00000000">
            <w:pPr>
              <w:spacing w:before="20" w:after="20"/>
              <w:jc w:val="center"/>
            </w:pPr>
            <w:r>
              <w:rPr>
                <w:b/>
                <w:bCs/>
                <w:sz w:val="18"/>
                <w:szCs w:val="18"/>
              </w:rPr>
              <w:t>6%</w:t>
            </w:r>
          </w:p>
        </w:tc>
      </w:tr>
      <w:tr w:rsidR="00990B14" w14:paraId="14D33E37" w14:textId="77777777">
        <w:trPr>
          <w:cantSplit/>
          <w:jc w:val="center"/>
        </w:trPr>
        <w:tc>
          <w:tcPr>
            <w:tcW w:w="1772" w:type="dxa"/>
            <w:vMerge/>
            <w:shd w:val="clear" w:color="auto" w:fill="4472C4"/>
            <w:vAlign w:val="center"/>
          </w:tcPr>
          <w:p w14:paraId="7766806A" w14:textId="77777777" w:rsidR="00990B14" w:rsidRDefault="00990B14">
            <w:pPr>
              <w:spacing w:before="20" w:after="20"/>
            </w:pPr>
          </w:p>
        </w:tc>
        <w:tc>
          <w:tcPr>
            <w:tcW w:w="1854" w:type="dxa"/>
            <w:shd w:val="clear" w:color="auto" w:fill="4472C4"/>
            <w:vAlign w:val="center"/>
          </w:tcPr>
          <w:p w14:paraId="32595779"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287D8544" w14:textId="77777777" w:rsidR="00990B14" w:rsidRDefault="00000000">
            <w:pPr>
              <w:keepNext/>
              <w:spacing w:before="20" w:after="20"/>
              <w:jc w:val="center"/>
            </w:pPr>
            <w:r>
              <w:rPr>
                <w:b/>
                <w:bCs/>
                <w:i/>
                <w:iCs/>
                <w:color w:val="FFFFFF"/>
                <w:sz w:val="18"/>
                <w:szCs w:val="18"/>
              </w:rPr>
              <w:t>Insuficiente (1–50)</w:t>
            </w:r>
          </w:p>
        </w:tc>
        <w:tc>
          <w:tcPr>
            <w:tcW w:w="1854" w:type="dxa"/>
            <w:shd w:val="clear" w:color="auto" w:fill="4472C4"/>
            <w:vAlign w:val="center"/>
          </w:tcPr>
          <w:p w14:paraId="726E400A"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0A9BC4A2" w14:textId="77777777" w:rsidR="00990B14" w:rsidRDefault="00000000">
            <w:pPr>
              <w:keepNext/>
              <w:spacing w:before="20" w:after="20"/>
              <w:jc w:val="center"/>
            </w:pPr>
            <w:r>
              <w:rPr>
                <w:b/>
                <w:bCs/>
                <w:i/>
                <w:iCs/>
                <w:color w:val="FFFFFF"/>
                <w:sz w:val="18"/>
                <w:szCs w:val="18"/>
              </w:rPr>
              <w:t>Destacado (81–100)</w:t>
            </w:r>
          </w:p>
        </w:tc>
      </w:tr>
      <w:tr w:rsidR="00990B14" w14:paraId="38E9EF32" w14:textId="77777777">
        <w:trPr>
          <w:cantSplit/>
          <w:jc w:val="center"/>
        </w:trPr>
        <w:tc>
          <w:tcPr>
            <w:tcW w:w="1772" w:type="dxa"/>
            <w:vMerge/>
            <w:shd w:val="clear" w:color="auto" w:fill="4472C4"/>
            <w:vAlign w:val="center"/>
          </w:tcPr>
          <w:p w14:paraId="070682C6" w14:textId="77777777" w:rsidR="00990B14" w:rsidRDefault="00990B14">
            <w:pPr>
              <w:spacing w:before="20" w:after="20"/>
            </w:pPr>
          </w:p>
        </w:tc>
        <w:tc>
          <w:tcPr>
            <w:tcW w:w="1854" w:type="dxa"/>
            <w:shd w:val="clear" w:color="auto" w:fill="D9E2F3"/>
            <w:vAlign w:val="center"/>
          </w:tcPr>
          <w:p w14:paraId="1FD3A1A6" w14:textId="77777777" w:rsidR="00990B14" w:rsidRDefault="00000000">
            <w:pPr>
              <w:spacing w:before="20" w:after="20"/>
              <w:jc w:val="both"/>
            </w:pPr>
            <w:r>
              <w:rPr>
                <w:sz w:val="18"/>
                <w:szCs w:val="18"/>
              </w:rPr>
              <w:t>Requisitos de emisión</w:t>
            </w:r>
          </w:p>
        </w:tc>
        <w:tc>
          <w:tcPr>
            <w:tcW w:w="1910" w:type="dxa"/>
            <w:shd w:val="clear" w:color="auto" w:fill="D9E2F3"/>
            <w:vAlign w:val="center"/>
          </w:tcPr>
          <w:p w14:paraId="14ED2E3B" w14:textId="77777777" w:rsidR="00990B14" w:rsidRDefault="00000000">
            <w:pPr>
              <w:spacing w:before="20" w:after="20"/>
              <w:jc w:val="both"/>
            </w:pPr>
            <w:r>
              <w:rPr>
                <w:sz w:val="18"/>
                <w:szCs w:val="18"/>
              </w:rPr>
              <w:t>Desconoce requisitos de emisión.</w:t>
            </w:r>
          </w:p>
        </w:tc>
        <w:tc>
          <w:tcPr>
            <w:tcW w:w="1854" w:type="dxa"/>
            <w:shd w:val="clear" w:color="auto" w:fill="D9E2F3"/>
            <w:vAlign w:val="center"/>
          </w:tcPr>
          <w:p w14:paraId="6A134780" w14:textId="77777777" w:rsidR="00990B14" w:rsidRDefault="00000000">
            <w:pPr>
              <w:spacing w:before="20" w:after="20"/>
              <w:jc w:val="both"/>
            </w:pPr>
            <w:r>
              <w:rPr>
                <w:sz w:val="18"/>
                <w:szCs w:val="18"/>
              </w:rPr>
              <w:t>Compara los requisitos de emisión de ambos títulos.</w:t>
            </w:r>
          </w:p>
        </w:tc>
        <w:tc>
          <w:tcPr>
            <w:tcW w:w="2015" w:type="dxa"/>
            <w:shd w:val="clear" w:color="auto" w:fill="D9E2F3"/>
            <w:vAlign w:val="center"/>
          </w:tcPr>
          <w:p w14:paraId="00AAF0F1" w14:textId="77777777" w:rsidR="00990B14" w:rsidRDefault="00000000">
            <w:pPr>
              <w:spacing w:before="20" w:after="20"/>
              <w:jc w:val="both"/>
            </w:pPr>
            <w:r>
              <w:rPr>
                <w:sz w:val="18"/>
                <w:szCs w:val="18"/>
              </w:rPr>
              <w:t>Explica la función del prospecto y del representante de tenedores.</w:t>
            </w:r>
          </w:p>
        </w:tc>
      </w:tr>
      <w:tr w:rsidR="00990B14" w14:paraId="2032F2E9" w14:textId="77777777">
        <w:trPr>
          <w:cantSplit/>
          <w:jc w:val="center"/>
        </w:trPr>
        <w:tc>
          <w:tcPr>
            <w:tcW w:w="1772" w:type="dxa"/>
            <w:vMerge/>
            <w:shd w:val="clear" w:color="auto" w:fill="4472C4"/>
            <w:vAlign w:val="center"/>
          </w:tcPr>
          <w:p w14:paraId="018A1A00" w14:textId="77777777" w:rsidR="00990B14" w:rsidRDefault="00990B14">
            <w:pPr>
              <w:spacing w:before="20" w:after="20"/>
            </w:pPr>
          </w:p>
        </w:tc>
        <w:tc>
          <w:tcPr>
            <w:tcW w:w="1854" w:type="dxa"/>
            <w:shd w:val="clear" w:color="auto" w:fill="D9E2F3"/>
            <w:vAlign w:val="center"/>
          </w:tcPr>
          <w:p w14:paraId="2A141FDC" w14:textId="77777777" w:rsidR="00990B14" w:rsidRDefault="00000000">
            <w:pPr>
              <w:spacing w:before="20" w:after="20"/>
              <w:jc w:val="both"/>
            </w:pPr>
            <w:r>
              <w:rPr>
                <w:sz w:val="18"/>
                <w:szCs w:val="18"/>
              </w:rPr>
              <w:t>Garantías y derechos</w:t>
            </w:r>
          </w:p>
        </w:tc>
        <w:tc>
          <w:tcPr>
            <w:tcW w:w="1910" w:type="dxa"/>
            <w:shd w:val="clear" w:color="auto" w:fill="D9E2F3"/>
            <w:vAlign w:val="center"/>
          </w:tcPr>
          <w:p w14:paraId="6116F4B1" w14:textId="77777777" w:rsidR="00990B14" w:rsidRDefault="00000000">
            <w:pPr>
              <w:spacing w:before="20" w:after="20"/>
              <w:jc w:val="both"/>
            </w:pPr>
            <w:r>
              <w:rPr>
                <w:sz w:val="18"/>
                <w:szCs w:val="18"/>
              </w:rPr>
              <w:t>Confunde las garantías.</w:t>
            </w:r>
          </w:p>
        </w:tc>
        <w:tc>
          <w:tcPr>
            <w:tcW w:w="1854" w:type="dxa"/>
            <w:shd w:val="clear" w:color="auto" w:fill="D9E2F3"/>
            <w:vAlign w:val="center"/>
          </w:tcPr>
          <w:p w14:paraId="48B6115D" w14:textId="77777777" w:rsidR="00990B14" w:rsidRDefault="00000000">
            <w:pPr>
              <w:spacing w:before="20" w:after="20"/>
              <w:jc w:val="both"/>
            </w:pPr>
            <w:r>
              <w:rPr>
                <w:sz w:val="18"/>
                <w:szCs w:val="18"/>
              </w:rPr>
              <w:t>Distingue las garantías y los derechos de los tenedores.</w:t>
            </w:r>
          </w:p>
        </w:tc>
        <w:tc>
          <w:tcPr>
            <w:tcW w:w="2015" w:type="dxa"/>
            <w:shd w:val="clear" w:color="auto" w:fill="D9E2F3"/>
            <w:vAlign w:val="center"/>
          </w:tcPr>
          <w:p w14:paraId="0BC503E4" w14:textId="77777777" w:rsidR="00990B14" w:rsidRDefault="00000000">
            <w:pPr>
              <w:spacing w:before="20" w:after="20"/>
              <w:jc w:val="both"/>
            </w:pPr>
            <w:r>
              <w:rPr>
                <w:sz w:val="18"/>
                <w:szCs w:val="18"/>
              </w:rPr>
              <w:t>Relaciona la calificación de riesgo con la garantía.</w:t>
            </w:r>
          </w:p>
        </w:tc>
      </w:tr>
      <w:tr w:rsidR="00990B14" w14:paraId="6F0A57EB" w14:textId="77777777">
        <w:trPr>
          <w:cantSplit/>
          <w:jc w:val="center"/>
        </w:trPr>
        <w:tc>
          <w:tcPr>
            <w:tcW w:w="1772" w:type="dxa"/>
            <w:vMerge/>
            <w:shd w:val="clear" w:color="auto" w:fill="4472C4"/>
            <w:vAlign w:val="center"/>
          </w:tcPr>
          <w:p w14:paraId="5D9D8725" w14:textId="77777777" w:rsidR="00990B14" w:rsidRDefault="00990B14">
            <w:pPr>
              <w:spacing w:before="20" w:after="20"/>
            </w:pPr>
          </w:p>
        </w:tc>
        <w:tc>
          <w:tcPr>
            <w:tcW w:w="1854" w:type="dxa"/>
            <w:shd w:val="clear" w:color="auto" w:fill="D9E2F3"/>
            <w:vAlign w:val="center"/>
          </w:tcPr>
          <w:p w14:paraId="7F56809C" w14:textId="77777777" w:rsidR="00990B14" w:rsidRDefault="00000000">
            <w:pPr>
              <w:spacing w:before="20" w:after="20"/>
              <w:jc w:val="both"/>
            </w:pPr>
            <w:r>
              <w:rPr>
                <w:sz w:val="18"/>
                <w:szCs w:val="18"/>
              </w:rPr>
              <w:t>Trabajo en equipo</w:t>
            </w:r>
          </w:p>
        </w:tc>
        <w:tc>
          <w:tcPr>
            <w:tcW w:w="1910" w:type="dxa"/>
            <w:shd w:val="clear" w:color="auto" w:fill="D9E2F3"/>
            <w:vAlign w:val="center"/>
          </w:tcPr>
          <w:p w14:paraId="3490EFA3" w14:textId="77777777" w:rsidR="00990B14" w:rsidRDefault="00000000">
            <w:pPr>
              <w:spacing w:before="20" w:after="20"/>
              <w:jc w:val="both"/>
            </w:pPr>
            <w:r>
              <w:rPr>
                <w:sz w:val="18"/>
                <w:szCs w:val="18"/>
              </w:rPr>
              <w:t>La participación de los integrantes es desigual.</w:t>
            </w:r>
          </w:p>
        </w:tc>
        <w:tc>
          <w:tcPr>
            <w:tcW w:w="1854" w:type="dxa"/>
            <w:shd w:val="clear" w:color="auto" w:fill="D9E2F3"/>
            <w:vAlign w:val="center"/>
          </w:tcPr>
          <w:p w14:paraId="37460992" w14:textId="77777777" w:rsidR="00990B14" w:rsidRDefault="00000000">
            <w:pPr>
              <w:spacing w:before="20" w:after="20"/>
              <w:jc w:val="both"/>
            </w:pPr>
            <w:r>
              <w:rPr>
                <w:sz w:val="18"/>
                <w:szCs w:val="18"/>
              </w:rPr>
              <w:t>Todos los integrantes participan.</w:t>
            </w:r>
          </w:p>
        </w:tc>
        <w:tc>
          <w:tcPr>
            <w:tcW w:w="2015" w:type="dxa"/>
            <w:shd w:val="clear" w:color="auto" w:fill="D9E2F3"/>
            <w:vAlign w:val="center"/>
          </w:tcPr>
          <w:p w14:paraId="14E9F936" w14:textId="77777777" w:rsidR="00990B14" w:rsidRDefault="00000000">
            <w:pPr>
              <w:spacing w:before="20" w:after="20"/>
              <w:jc w:val="both"/>
            </w:pPr>
            <w:r>
              <w:rPr>
                <w:sz w:val="18"/>
                <w:szCs w:val="18"/>
              </w:rPr>
              <w:t>El equipo responde las preguntas del curso.</w:t>
            </w:r>
          </w:p>
        </w:tc>
      </w:tr>
      <w:tr w:rsidR="00990B14" w14:paraId="724AB180" w14:textId="77777777">
        <w:trPr>
          <w:cantSplit/>
          <w:jc w:val="center"/>
        </w:trPr>
        <w:tc>
          <w:tcPr>
            <w:tcW w:w="1772" w:type="dxa"/>
            <w:vMerge/>
            <w:shd w:val="clear" w:color="auto" w:fill="4472C4"/>
            <w:vAlign w:val="center"/>
          </w:tcPr>
          <w:p w14:paraId="7ADBC143" w14:textId="77777777" w:rsidR="00990B14" w:rsidRDefault="00990B14">
            <w:pPr>
              <w:spacing w:before="20" w:after="20"/>
            </w:pPr>
          </w:p>
        </w:tc>
        <w:tc>
          <w:tcPr>
            <w:tcW w:w="5618" w:type="dxa"/>
            <w:gridSpan w:val="3"/>
            <w:shd w:val="clear" w:color="auto" w:fill="D9E2F3"/>
            <w:vAlign w:val="center"/>
          </w:tcPr>
          <w:p w14:paraId="5B9220F2" w14:textId="77777777" w:rsidR="00990B14" w:rsidRDefault="00000000">
            <w:pPr>
              <w:keepNext/>
              <w:spacing w:before="20" w:after="20"/>
              <w:jc w:val="both"/>
            </w:pPr>
            <w:r>
              <w:rPr>
                <w:b/>
                <w:bCs/>
                <w:i/>
                <w:iCs/>
                <w:sz w:val="18"/>
                <w:szCs w:val="18"/>
              </w:rPr>
              <w:t xml:space="preserve">Producto 12: </w:t>
            </w:r>
            <w:r>
              <w:rPr>
                <w:sz w:val="18"/>
                <w:szCs w:val="18"/>
              </w:rPr>
              <w:t>Esquema de la estructura y participantes del mercado de valores</w:t>
            </w:r>
          </w:p>
        </w:tc>
        <w:tc>
          <w:tcPr>
            <w:tcW w:w="2015" w:type="dxa"/>
            <w:shd w:val="clear" w:color="auto" w:fill="D9E2F3"/>
            <w:vAlign w:val="center"/>
          </w:tcPr>
          <w:p w14:paraId="1006DCA0" w14:textId="77777777" w:rsidR="00990B14" w:rsidRDefault="00000000">
            <w:pPr>
              <w:spacing w:before="20" w:after="20"/>
              <w:jc w:val="center"/>
            </w:pPr>
            <w:r>
              <w:rPr>
                <w:b/>
                <w:bCs/>
                <w:sz w:val="18"/>
                <w:szCs w:val="18"/>
              </w:rPr>
              <w:t>6%</w:t>
            </w:r>
          </w:p>
        </w:tc>
      </w:tr>
      <w:tr w:rsidR="00990B14" w14:paraId="5C6770ED" w14:textId="77777777">
        <w:trPr>
          <w:cantSplit/>
          <w:jc w:val="center"/>
        </w:trPr>
        <w:tc>
          <w:tcPr>
            <w:tcW w:w="1772" w:type="dxa"/>
            <w:vMerge/>
            <w:shd w:val="clear" w:color="auto" w:fill="4472C4"/>
            <w:vAlign w:val="center"/>
          </w:tcPr>
          <w:p w14:paraId="3688715D" w14:textId="77777777" w:rsidR="00990B14" w:rsidRDefault="00990B14">
            <w:pPr>
              <w:spacing w:before="20" w:after="20"/>
            </w:pPr>
          </w:p>
        </w:tc>
        <w:tc>
          <w:tcPr>
            <w:tcW w:w="1854" w:type="dxa"/>
            <w:shd w:val="clear" w:color="auto" w:fill="4472C4"/>
            <w:vAlign w:val="center"/>
          </w:tcPr>
          <w:p w14:paraId="2B71CBFC"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47AB5C29" w14:textId="77777777" w:rsidR="00990B14" w:rsidRDefault="00000000">
            <w:pPr>
              <w:keepNext/>
              <w:spacing w:before="20" w:after="20"/>
              <w:jc w:val="center"/>
            </w:pPr>
            <w:r>
              <w:rPr>
                <w:b/>
                <w:bCs/>
                <w:i/>
                <w:iCs/>
                <w:color w:val="FFFFFF"/>
                <w:sz w:val="18"/>
                <w:szCs w:val="18"/>
              </w:rPr>
              <w:t>Insuficiente (1–50)</w:t>
            </w:r>
          </w:p>
        </w:tc>
        <w:tc>
          <w:tcPr>
            <w:tcW w:w="1854" w:type="dxa"/>
            <w:shd w:val="clear" w:color="auto" w:fill="4472C4"/>
            <w:vAlign w:val="center"/>
          </w:tcPr>
          <w:p w14:paraId="13FB7407"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309EEFEF" w14:textId="77777777" w:rsidR="00990B14" w:rsidRDefault="00000000">
            <w:pPr>
              <w:keepNext/>
              <w:spacing w:before="20" w:after="20"/>
              <w:jc w:val="center"/>
            </w:pPr>
            <w:r>
              <w:rPr>
                <w:b/>
                <w:bCs/>
                <w:i/>
                <w:iCs/>
                <w:color w:val="FFFFFF"/>
                <w:sz w:val="18"/>
                <w:szCs w:val="18"/>
              </w:rPr>
              <w:t>Destacado (81–100)</w:t>
            </w:r>
          </w:p>
        </w:tc>
      </w:tr>
      <w:tr w:rsidR="00990B14" w14:paraId="4D92D397" w14:textId="77777777">
        <w:trPr>
          <w:cantSplit/>
          <w:jc w:val="center"/>
        </w:trPr>
        <w:tc>
          <w:tcPr>
            <w:tcW w:w="1772" w:type="dxa"/>
            <w:vMerge/>
            <w:shd w:val="clear" w:color="auto" w:fill="4472C4"/>
            <w:vAlign w:val="center"/>
          </w:tcPr>
          <w:p w14:paraId="07640A6B" w14:textId="77777777" w:rsidR="00990B14" w:rsidRDefault="00990B14">
            <w:pPr>
              <w:spacing w:before="20" w:after="20"/>
            </w:pPr>
          </w:p>
        </w:tc>
        <w:tc>
          <w:tcPr>
            <w:tcW w:w="1854" w:type="dxa"/>
            <w:shd w:val="clear" w:color="auto" w:fill="D9E2F3"/>
            <w:vAlign w:val="center"/>
          </w:tcPr>
          <w:p w14:paraId="23F067F1" w14:textId="77777777" w:rsidR="00990B14" w:rsidRDefault="00000000">
            <w:pPr>
              <w:spacing w:before="20" w:after="20"/>
              <w:jc w:val="both"/>
            </w:pPr>
            <w:r>
              <w:rPr>
                <w:sz w:val="18"/>
                <w:szCs w:val="18"/>
              </w:rPr>
              <w:t>Participantes</w:t>
            </w:r>
          </w:p>
        </w:tc>
        <w:tc>
          <w:tcPr>
            <w:tcW w:w="1910" w:type="dxa"/>
            <w:shd w:val="clear" w:color="auto" w:fill="D9E2F3"/>
            <w:vAlign w:val="center"/>
          </w:tcPr>
          <w:p w14:paraId="58D03D73" w14:textId="77777777" w:rsidR="00990B14" w:rsidRDefault="00000000">
            <w:pPr>
              <w:spacing w:before="20" w:after="20"/>
              <w:jc w:val="both"/>
            </w:pPr>
            <w:r>
              <w:rPr>
                <w:sz w:val="18"/>
                <w:szCs w:val="18"/>
              </w:rPr>
              <w:t>Desconoce la estructura y los participantes del mercado.</w:t>
            </w:r>
          </w:p>
        </w:tc>
        <w:tc>
          <w:tcPr>
            <w:tcW w:w="1854" w:type="dxa"/>
            <w:shd w:val="clear" w:color="auto" w:fill="D9E2F3"/>
            <w:vAlign w:val="center"/>
          </w:tcPr>
          <w:p w14:paraId="47D247C2" w14:textId="77777777" w:rsidR="00990B14" w:rsidRDefault="00000000">
            <w:pPr>
              <w:spacing w:before="20" w:after="20"/>
              <w:jc w:val="both"/>
            </w:pPr>
            <w:r>
              <w:rPr>
                <w:sz w:val="18"/>
                <w:szCs w:val="18"/>
              </w:rPr>
              <w:t>Presenta la bolsa, las agencias, las calificadoras y las entidades de depósito.</w:t>
            </w:r>
          </w:p>
        </w:tc>
        <w:tc>
          <w:tcPr>
            <w:tcW w:w="2015" w:type="dxa"/>
            <w:shd w:val="clear" w:color="auto" w:fill="D9E2F3"/>
            <w:vAlign w:val="center"/>
          </w:tcPr>
          <w:p w14:paraId="6917B54A" w14:textId="77777777" w:rsidR="00990B14" w:rsidRDefault="00000000">
            <w:pPr>
              <w:spacing w:before="20" w:after="20"/>
              <w:jc w:val="both"/>
            </w:pPr>
            <w:r>
              <w:rPr>
                <w:sz w:val="18"/>
                <w:szCs w:val="18"/>
              </w:rPr>
              <w:t>Explica la función de cada participante.</w:t>
            </w:r>
          </w:p>
        </w:tc>
      </w:tr>
      <w:tr w:rsidR="00990B14" w14:paraId="014FD900" w14:textId="77777777">
        <w:trPr>
          <w:cantSplit/>
          <w:jc w:val="center"/>
        </w:trPr>
        <w:tc>
          <w:tcPr>
            <w:tcW w:w="1772" w:type="dxa"/>
            <w:vMerge/>
            <w:shd w:val="clear" w:color="auto" w:fill="4472C4"/>
            <w:vAlign w:val="center"/>
          </w:tcPr>
          <w:p w14:paraId="14CC1D6D" w14:textId="77777777" w:rsidR="00990B14" w:rsidRDefault="00990B14">
            <w:pPr>
              <w:spacing w:before="20" w:after="20"/>
            </w:pPr>
          </w:p>
        </w:tc>
        <w:tc>
          <w:tcPr>
            <w:tcW w:w="1854" w:type="dxa"/>
            <w:shd w:val="clear" w:color="auto" w:fill="D9E2F3"/>
            <w:vAlign w:val="center"/>
          </w:tcPr>
          <w:p w14:paraId="7591A2B4" w14:textId="77777777" w:rsidR="00990B14" w:rsidRDefault="00000000">
            <w:pPr>
              <w:spacing w:before="20" w:after="20"/>
              <w:jc w:val="both"/>
            </w:pPr>
            <w:r>
              <w:rPr>
                <w:sz w:val="18"/>
                <w:szCs w:val="18"/>
              </w:rPr>
              <w:t>Operaciones de bolsa</w:t>
            </w:r>
          </w:p>
        </w:tc>
        <w:tc>
          <w:tcPr>
            <w:tcW w:w="1910" w:type="dxa"/>
            <w:shd w:val="clear" w:color="auto" w:fill="D9E2F3"/>
            <w:vAlign w:val="center"/>
          </w:tcPr>
          <w:p w14:paraId="6F1BD7DC" w14:textId="77777777" w:rsidR="00990B14" w:rsidRDefault="00000000">
            <w:pPr>
              <w:spacing w:before="20" w:after="20"/>
              <w:jc w:val="both"/>
            </w:pPr>
            <w:r>
              <w:rPr>
                <w:sz w:val="18"/>
                <w:szCs w:val="18"/>
              </w:rPr>
              <w:t>Desconoce las operaciones de bolsa.</w:t>
            </w:r>
          </w:p>
        </w:tc>
        <w:tc>
          <w:tcPr>
            <w:tcW w:w="1854" w:type="dxa"/>
            <w:shd w:val="clear" w:color="auto" w:fill="D9E2F3"/>
            <w:vAlign w:val="center"/>
          </w:tcPr>
          <w:p w14:paraId="1A351886" w14:textId="77777777" w:rsidR="00990B14" w:rsidRDefault="00000000">
            <w:pPr>
              <w:spacing w:before="20" w:after="20"/>
              <w:jc w:val="both"/>
            </w:pPr>
            <w:r>
              <w:rPr>
                <w:sz w:val="18"/>
                <w:szCs w:val="18"/>
              </w:rPr>
              <w:t>Describe las operaciones de bolsa.</w:t>
            </w:r>
          </w:p>
        </w:tc>
        <w:tc>
          <w:tcPr>
            <w:tcW w:w="2015" w:type="dxa"/>
            <w:shd w:val="clear" w:color="auto" w:fill="D9E2F3"/>
            <w:vAlign w:val="center"/>
          </w:tcPr>
          <w:p w14:paraId="01FA7B10" w14:textId="77777777" w:rsidR="00990B14" w:rsidRDefault="00000000">
            <w:pPr>
              <w:spacing w:before="20" w:after="20"/>
              <w:jc w:val="both"/>
            </w:pPr>
            <w:r>
              <w:rPr>
                <w:sz w:val="18"/>
                <w:szCs w:val="18"/>
              </w:rPr>
              <w:t>Compara los efectos de las operaciones de bolsa.</w:t>
            </w:r>
          </w:p>
        </w:tc>
      </w:tr>
      <w:tr w:rsidR="00990B14" w14:paraId="6E1D14AC" w14:textId="77777777">
        <w:trPr>
          <w:cantSplit/>
          <w:jc w:val="center"/>
        </w:trPr>
        <w:tc>
          <w:tcPr>
            <w:tcW w:w="1772" w:type="dxa"/>
            <w:vMerge/>
            <w:shd w:val="clear" w:color="auto" w:fill="4472C4"/>
            <w:vAlign w:val="center"/>
          </w:tcPr>
          <w:p w14:paraId="6F4493B7" w14:textId="77777777" w:rsidR="00990B14" w:rsidRDefault="00990B14">
            <w:pPr>
              <w:spacing w:before="20" w:after="20"/>
            </w:pPr>
          </w:p>
        </w:tc>
        <w:tc>
          <w:tcPr>
            <w:tcW w:w="1854" w:type="dxa"/>
            <w:shd w:val="clear" w:color="auto" w:fill="D9E2F3"/>
            <w:vAlign w:val="center"/>
          </w:tcPr>
          <w:p w14:paraId="34E3C597" w14:textId="77777777" w:rsidR="00990B14" w:rsidRDefault="00000000">
            <w:pPr>
              <w:spacing w:before="20" w:after="20"/>
              <w:jc w:val="both"/>
            </w:pPr>
            <w:r>
              <w:rPr>
                <w:sz w:val="18"/>
                <w:szCs w:val="18"/>
              </w:rPr>
              <w:t>Conducta ética</w:t>
            </w:r>
          </w:p>
        </w:tc>
        <w:tc>
          <w:tcPr>
            <w:tcW w:w="1910" w:type="dxa"/>
            <w:shd w:val="clear" w:color="auto" w:fill="D9E2F3"/>
            <w:vAlign w:val="center"/>
          </w:tcPr>
          <w:p w14:paraId="21201117" w14:textId="77777777" w:rsidR="00990B14" w:rsidRDefault="00000000">
            <w:pPr>
              <w:spacing w:before="20" w:after="20"/>
              <w:jc w:val="both"/>
            </w:pPr>
            <w:r>
              <w:rPr>
                <w:sz w:val="18"/>
                <w:szCs w:val="18"/>
              </w:rPr>
              <w:t>Desconoce la información privilegiada.</w:t>
            </w:r>
          </w:p>
        </w:tc>
        <w:tc>
          <w:tcPr>
            <w:tcW w:w="1854" w:type="dxa"/>
            <w:shd w:val="clear" w:color="auto" w:fill="D9E2F3"/>
            <w:vAlign w:val="center"/>
          </w:tcPr>
          <w:p w14:paraId="663C7406" w14:textId="77777777" w:rsidR="00990B14" w:rsidRDefault="00000000">
            <w:pPr>
              <w:spacing w:before="20" w:after="20"/>
              <w:jc w:val="both"/>
            </w:pPr>
            <w:r>
              <w:rPr>
                <w:sz w:val="18"/>
                <w:szCs w:val="18"/>
              </w:rPr>
              <w:t>Explica la reserva de la información privilegiada.</w:t>
            </w:r>
          </w:p>
        </w:tc>
        <w:tc>
          <w:tcPr>
            <w:tcW w:w="2015" w:type="dxa"/>
            <w:shd w:val="clear" w:color="auto" w:fill="D9E2F3"/>
            <w:vAlign w:val="center"/>
          </w:tcPr>
          <w:p w14:paraId="383BEDC3" w14:textId="77777777" w:rsidR="00990B14" w:rsidRDefault="00000000">
            <w:pPr>
              <w:spacing w:before="20" w:after="20"/>
              <w:jc w:val="both"/>
            </w:pPr>
            <w:r>
              <w:rPr>
                <w:sz w:val="18"/>
                <w:szCs w:val="18"/>
              </w:rPr>
              <w:t>Ilustra con un caso el uso indebido de la información.</w:t>
            </w:r>
          </w:p>
        </w:tc>
      </w:tr>
      <w:tr w:rsidR="00990B14" w14:paraId="5ADEFD3B" w14:textId="77777777">
        <w:trPr>
          <w:cantSplit/>
          <w:jc w:val="center"/>
        </w:trPr>
        <w:tc>
          <w:tcPr>
            <w:tcW w:w="1772" w:type="dxa"/>
            <w:vMerge/>
            <w:shd w:val="clear" w:color="auto" w:fill="4472C4"/>
            <w:vAlign w:val="center"/>
          </w:tcPr>
          <w:p w14:paraId="6CAF0B95" w14:textId="77777777" w:rsidR="00990B14" w:rsidRDefault="00990B14">
            <w:pPr>
              <w:spacing w:before="20" w:after="20"/>
            </w:pPr>
          </w:p>
        </w:tc>
        <w:tc>
          <w:tcPr>
            <w:tcW w:w="5618" w:type="dxa"/>
            <w:gridSpan w:val="3"/>
            <w:shd w:val="clear" w:color="auto" w:fill="D9E2F3"/>
            <w:vAlign w:val="center"/>
          </w:tcPr>
          <w:p w14:paraId="125C5223" w14:textId="77777777" w:rsidR="00990B14" w:rsidRDefault="00000000">
            <w:pPr>
              <w:keepNext/>
              <w:spacing w:before="20" w:after="20"/>
              <w:jc w:val="both"/>
            </w:pPr>
            <w:r>
              <w:rPr>
                <w:b/>
                <w:bCs/>
                <w:i/>
                <w:iCs/>
                <w:sz w:val="18"/>
                <w:szCs w:val="18"/>
              </w:rPr>
              <w:t xml:space="preserve">Producto 13: </w:t>
            </w:r>
            <w:r>
              <w:rPr>
                <w:sz w:val="18"/>
                <w:szCs w:val="18"/>
              </w:rPr>
              <w:t>Informe de revisión de las cláusulas de un contrato de compraventa comercial</w:t>
            </w:r>
          </w:p>
        </w:tc>
        <w:tc>
          <w:tcPr>
            <w:tcW w:w="2015" w:type="dxa"/>
            <w:shd w:val="clear" w:color="auto" w:fill="D9E2F3"/>
            <w:vAlign w:val="center"/>
          </w:tcPr>
          <w:p w14:paraId="7AC7B7B1" w14:textId="77777777" w:rsidR="00990B14" w:rsidRDefault="00000000">
            <w:pPr>
              <w:spacing w:before="20" w:after="20"/>
              <w:jc w:val="center"/>
            </w:pPr>
            <w:r>
              <w:rPr>
                <w:b/>
                <w:bCs/>
                <w:sz w:val="18"/>
                <w:szCs w:val="18"/>
              </w:rPr>
              <w:t>4%</w:t>
            </w:r>
          </w:p>
        </w:tc>
      </w:tr>
      <w:tr w:rsidR="00990B14" w14:paraId="7A05BAD9" w14:textId="77777777">
        <w:trPr>
          <w:cantSplit/>
          <w:jc w:val="center"/>
        </w:trPr>
        <w:tc>
          <w:tcPr>
            <w:tcW w:w="1772" w:type="dxa"/>
            <w:vMerge/>
            <w:shd w:val="clear" w:color="auto" w:fill="4472C4"/>
            <w:vAlign w:val="center"/>
          </w:tcPr>
          <w:p w14:paraId="37A5AB0F" w14:textId="77777777" w:rsidR="00990B14" w:rsidRDefault="00990B14">
            <w:pPr>
              <w:spacing w:before="20" w:after="20"/>
            </w:pPr>
          </w:p>
        </w:tc>
        <w:tc>
          <w:tcPr>
            <w:tcW w:w="1854" w:type="dxa"/>
            <w:shd w:val="clear" w:color="auto" w:fill="4472C4"/>
            <w:vAlign w:val="center"/>
          </w:tcPr>
          <w:p w14:paraId="69A02421"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3F970358" w14:textId="77777777" w:rsidR="00990B14" w:rsidRDefault="00000000">
            <w:pPr>
              <w:keepNext/>
              <w:spacing w:before="20" w:after="20"/>
              <w:jc w:val="center"/>
            </w:pPr>
            <w:r>
              <w:rPr>
                <w:b/>
                <w:bCs/>
                <w:i/>
                <w:iCs/>
                <w:color w:val="FFFFFF"/>
                <w:sz w:val="18"/>
                <w:szCs w:val="18"/>
              </w:rPr>
              <w:t>Insuficiente (1–50)</w:t>
            </w:r>
          </w:p>
        </w:tc>
        <w:tc>
          <w:tcPr>
            <w:tcW w:w="1854" w:type="dxa"/>
            <w:shd w:val="clear" w:color="auto" w:fill="4472C4"/>
            <w:vAlign w:val="center"/>
          </w:tcPr>
          <w:p w14:paraId="1F681C64"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7815DE80" w14:textId="77777777" w:rsidR="00990B14" w:rsidRDefault="00000000">
            <w:pPr>
              <w:keepNext/>
              <w:spacing w:before="20" w:after="20"/>
              <w:jc w:val="center"/>
            </w:pPr>
            <w:r>
              <w:rPr>
                <w:b/>
                <w:bCs/>
                <w:i/>
                <w:iCs/>
                <w:color w:val="FFFFFF"/>
                <w:sz w:val="18"/>
                <w:szCs w:val="18"/>
              </w:rPr>
              <w:t>Destacado (81–100)</w:t>
            </w:r>
          </w:p>
        </w:tc>
      </w:tr>
      <w:tr w:rsidR="00990B14" w14:paraId="7D3455A9" w14:textId="77777777">
        <w:trPr>
          <w:cantSplit/>
          <w:jc w:val="center"/>
        </w:trPr>
        <w:tc>
          <w:tcPr>
            <w:tcW w:w="1772" w:type="dxa"/>
            <w:vMerge/>
            <w:shd w:val="clear" w:color="auto" w:fill="4472C4"/>
            <w:vAlign w:val="center"/>
          </w:tcPr>
          <w:p w14:paraId="48DE1BD4" w14:textId="77777777" w:rsidR="00990B14" w:rsidRDefault="00990B14">
            <w:pPr>
              <w:spacing w:before="20" w:after="20"/>
            </w:pPr>
          </w:p>
        </w:tc>
        <w:tc>
          <w:tcPr>
            <w:tcW w:w="1854" w:type="dxa"/>
            <w:shd w:val="clear" w:color="auto" w:fill="D9E2F3"/>
            <w:vAlign w:val="center"/>
          </w:tcPr>
          <w:p w14:paraId="0BDE7DBE" w14:textId="77777777" w:rsidR="00990B14" w:rsidRDefault="00000000">
            <w:pPr>
              <w:spacing w:before="20" w:after="20"/>
              <w:jc w:val="both"/>
            </w:pPr>
            <w:r>
              <w:rPr>
                <w:sz w:val="18"/>
                <w:szCs w:val="18"/>
              </w:rPr>
              <w:t>Requisitos del contrato comercial</w:t>
            </w:r>
          </w:p>
        </w:tc>
        <w:tc>
          <w:tcPr>
            <w:tcW w:w="1910" w:type="dxa"/>
            <w:shd w:val="clear" w:color="auto" w:fill="D9E2F3"/>
            <w:vAlign w:val="center"/>
          </w:tcPr>
          <w:p w14:paraId="718AA0D0" w14:textId="77777777" w:rsidR="00990B14" w:rsidRDefault="00000000">
            <w:pPr>
              <w:spacing w:before="20" w:after="20"/>
              <w:jc w:val="both"/>
            </w:pPr>
            <w:r>
              <w:rPr>
                <w:sz w:val="18"/>
                <w:szCs w:val="18"/>
              </w:rPr>
              <w:t>Desconoce los requisitos de los contratos.</w:t>
            </w:r>
          </w:p>
        </w:tc>
        <w:tc>
          <w:tcPr>
            <w:tcW w:w="1854" w:type="dxa"/>
            <w:shd w:val="clear" w:color="auto" w:fill="D9E2F3"/>
            <w:vAlign w:val="center"/>
          </w:tcPr>
          <w:p w14:paraId="6E482DA4" w14:textId="77777777" w:rsidR="00990B14" w:rsidRDefault="00000000">
            <w:pPr>
              <w:spacing w:before="20" w:after="20"/>
              <w:jc w:val="both"/>
            </w:pPr>
            <w:r>
              <w:rPr>
                <w:sz w:val="18"/>
                <w:szCs w:val="18"/>
              </w:rPr>
              <w:t>Describe los requisitos de los contratos.</w:t>
            </w:r>
          </w:p>
        </w:tc>
        <w:tc>
          <w:tcPr>
            <w:tcW w:w="2015" w:type="dxa"/>
            <w:shd w:val="clear" w:color="auto" w:fill="D9E2F3"/>
            <w:vAlign w:val="center"/>
          </w:tcPr>
          <w:p w14:paraId="620BE3F0" w14:textId="77777777" w:rsidR="00990B14" w:rsidRDefault="00000000">
            <w:pPr>
              <w:spacing w:before="20" w:after="20"/>
              <w:jc w:val="both"/>
            </w:pPr>
            <w:r>
              <w:rPr>
                <w:sz w:val="18"/>
                <w:szCs w:val="18"/>
              </w:rPr>
              <w:t>Justifica la importancia de los requisitos de los contratos.</w:t>
            </w:r>
          </w:p>
        </w:tc>
      </w:tr>
      <w:tr w:rsidR="00990B14" w14:paraId="60D75D0A" w14:textId="77777777">
        <w:trPr>
          <w:cantSplit/>
          <w:jc w:val="center"/>
        </w:trPr>
        <w:tc>
          <w:tcPr>
            <w:tcW w:w="1772" w:type="dxa"/>
            <w:vMerge/>
            <w:shd w:val="clear" w:color="auto" w:fill="4472C4"/>
            <w:vAlign w:val="center"/>
          </w:tcPr>
          <w:p w14:paraId="5BC72EAD" w14:textId="77777777" w:rsidR="00990B14" w:rsidRDefault="00990B14">
            <w:pPr>
              <w:spacing w:before="20" w:after="20"/>
            </w:pPr>
          </w:p>
        </w:tc>
        <w:tc>
          <w:tcPr>
            <w:tcW w:w="1854" w:type="dxa"/>
            <w:shd w:val="clear" w:color="auto" w:fill="D9E2F3"/>
            <w:vAlign w:val="center"/>
          </w:tcPr>
          <w:p w14:paraId="03568D7A" w14:textId="77777777" w:rsidR="00990B14" w:rsidRDefault="00000000">
            <w:pPr>
              <w:spacing w:before="20" w:after="20"/>
              <w:jc w:val="both"/>
            </w:pPr>
            <w:r>
              <w:rPr>
                <w:sz w:val="18"/>
                <w:szCs w:val="18"/>
              </w:rPr>
              <w:t>Cláusulas esenciales</w:t>
            </w:r>
          </w:p>
        </w:tc>
        <w:tc>
          <w:tcPr>
            <w:tcW w:w="1910" w:type="dxa"/>
            <w:shd w:val="clear" w:color="auto" w:fill="D9E2F3"/>
            <w:vAlign w:val="center"/>
          </w:tcPr>
          <w:p w14:paraId="2A7E20A4" w14:textId="77777777" w:rsidR="00990B14" w:rsidRDefault="00000000">
            <w:pPr>
              <w:spacing w:before="20" w:after="20"/>
              <w:jc w:val="both"/>
            </w:pPr>
            <w:r>
              <w:rPr>
                <w:sz w:val="18"/>
                <w:szCs w:val="18"/>
              </w:rPr>
              <w:t>Desconoce el objeto, el precio o la entrega.</w:t>
            </w:r>
          </w:p>
        </w:tc>
        <w:tc>
          <w:tcPr>
            <w:tcW w:w="1854" w:type="dxa"/>
            <w:shd w:val="clear" w:color="auto" w:fill="D9E2F3"/>
            <w:vAlign w:val="center"/>
          </w:tcPr>
          <w:p w14:paraId="43B70A92" w14:textId="77777777" w:rsidR="00990B14" w:rsidRDefault="00000000">
            <w:pPr>
              <w:spacing w:before="20" w:after="20"/>
              <w:jc w:val="both"/>
            </w:pPr>
            <w:r>
              <w:rPr>
                <w:sz w:val="18"/>
                <w:szCs w:val="18"/>
              </w:rPr>
              <w:t>Redacta las cláusulas esenciales del contrato.</w:t>
            </w:r>
          </w:p>
        </w:tc>
        <w:tc>
          <w:tcPr>
            <w:tcW w:w="2015" w:type="dxa"/>
            <w:shd w:val="clear" w:color="auto" w:fill="D9E2F3"/>
            <w:vAlign w:val="center"/>
          </w:tcPr>
          <w:p w14:paraId="601D5875" w14:textId="77777777" w:rsidR="00990B14" w:rsidRDefault="00000000">
            <w:pPr>
              <w:spacing w:before="20" w:after="20"/>
              <w:jc w:val="both"/>
            </w:pPr>
            <w:r>
              <w:rPr>
                <w:sz w:val="18"/>
                <w:szCs w:val="18"/>
              </w:rPr>
              <w:t>Incluye cláusulas de garantía y de solución de controversias.</w:t>
            </w:r>
          </w:p>
        </w:tc>
      </w:tr>
      <w:tr w:rsidR="00990B14" w14:paraId="78E5608C" w14:textId="77777777">
        <w:trPr>
          <w:cantSplit/>
          <w:jc w:val="center"/>
        </w:trPr>
        <w:tc>
          <w:tcPr>
            <w:tcW w:w="1772" w:type="dxa"/>
            <w:vMerge/>
            <w:shd w:val="clear" w:color="auto" w:fill="4472C4"/>
            <w:vAlign w:val="center"/>
          </w:tcPr>
          <w:p w14:paraId="41192EFC" w14:textId="77777777" w:rsidR="00990B14" w:rsidRDefault="00990B14">
            <w:pPr>
              <w:spacing w:before="20" w:after="20"/>
            </w:pPr>
          </w:p>
        </w:tc>
        <w:tc>
          <w:tcPr>
            <w:tcW w:w="1854" w:type="dxa"/>
            <w:shd w:val="clear" w:color="auto" w:fill="D9E2F3"/>
            <w:vAlign w:val="center"/>
          </w:tcPr>
          <w:p w14:paraId="7E2C5807" w14:textId="77777777" w:rsidR="00990B14" w:rsidRDefault="00000000">
            <w:pPr>
              <w:spacing w:before="20" w:after="20"/>
              <w:jc w:val="both"/>
            </w:pPr>
            <w:r>
              <w:rPr>
                <w:sz w:val="18"/>
                <w:szCs w:val="18"/>
              </w:rPr>
              <w:t>Redacción</w:t>
            </w:r>
          </w:p>
        </w:tc>
        <w:tc>
          <w:tcPr>
            <w:tcW w:w="1910" w:type="dxa"/>
            <w:shd w:val="clear" w:color="auto" w:fill="D9E2F3"/>
            <w:vAlign w:val="center"/>
          </w:tcPr>
          <w:p w14:paraId="063A069F" w14:textId="77777777" w:rsidR="00990B14" w:rsidRDefault="00000000">
            <w:pPr>
              <w:spacing w:before="20" w:after="20"/>
              <w:jc w:val="both"/>
            </w:pPr>
            <w:r>
              <w:rPr>
                <w:sz w:val="18"/>
                <w:szCs w:val="18"/>
              </w:rPr>
              <w:t>La redacción es ambigua.</w:t>
            </w:r>
          </w:p>
        </w:tc>
        <w:tc>
          <w:tcPr>
            <w:tcW w:w="1854" w:type="dxa"/>
            <w:shd w:val="clear" w:color="auto" w:fill="D9E2F3"/>
            <w:vAlign w:val="center"/>
          </w:tcPr>
          <w:p w14:paraId="7B1CC1D2" w14:textId="77777777" w:rsidR="00990B14" w:rsidRDefault="00000000">
            <w:pPr>
              <w:spacing w:before="20" w:after="20"/>
              <w:jc w:val="both"/>
            </w:pPr>
            <w:r>
              <w:rPr>
                <w:sz w:val="18"/>
                <w:szCs w:val="18"/>
              </w:rPr>
              <w:t>La redacción es clara y precisa.</w:t>
            </w:r>
          </w:p>
        </w:tc>
        <w:tc>
          <w:tcPr>
            <w:tcW w:w="2015" w:type="dxa"/>
            <w:shd w:val="clear" w:color="auto" w:fill="D9E2F3"/>
            <w:vAlign w:val="center"/>
          </w:tcPr>
          <w:p w14:paraId="1944A11C" w14:textId="77777777" w:rsidR="00990B14" w:rsidRDefault="00000000">
            <w:pPr>
              <w:spacing w:before="20" w:after="20"/>
              <w:jc w:val="both"/>
            </w:pPr>
            <w:r>
              <w:rPr>
                <w:sz w:val="18"/>
                <w:szCs w:val="18"/>
              </w:rPr>
              <w:t>Usa con propiedad la terminología en inglés.</w:t>
            </w:r>
          </w:p>
        </w:tc>
      </w:tr>
      <w:tr w:rsidR="00990B14" w14:paraId="78FFE7AB" w14:textId="77777777">
        <w:trPr>
          <w:cantSplit/>
          <w:jc w:val="center"/>
        </w:trPr>
        <w:tc>
          <w:tcPr>
            <w:tcW w:w="1772" w:type="dxa"/>
            <w:vMerge/>
            <w:shd w:val="clear" w:color="auto" w:fill="4472C4"/>
            <w:vAlign w:val="center"/>
          </w:tcPr>
          <w:p w14:paraId="12B5CF9A" w14:textId="77777777" w:rsidR="00990B14" w:rsidRDefault="00990B14">
            <w:pPr>
              <w:spacing w:before="20" w:after="20"/>
            </w:pPr>
          </w:p>
        </w:tc>
        <w:tc>
          <w:tcPr>
            <w:tcW w:w="5618" w:type="dxa"/>
            <w:gridSpan w:val="3"/>
            <w:shd w:val="clear" w:color="auto" w:fill="D9E2F3"/>
            <w:vAlign w:val="center"/>
          </w:tcPr>
          <w:p w14:paraId="63E9FA6B" w14:textId="77777777" w:rsidR="00990B14" w:rsidRDefault="00000000">
            <w:pPr>
              <w:keepNext/>
              <w:spacing w:before="20" w:after="20"/>
              <w:jc w:val="both"/>
            </w:pPr>
            <w:r>
              <w:rPr>
                <w:b/>
                <w:bCs/>
                <w:i/>
                <w:iCs/>
                <w:sz w:val="18"/>
                <w:szCs w:val="18"/>
              </w:rPr>
              <w:t xml:space="preserve">Producto 14: </w:t>
            </w:r>
            <w:r>
              <w:rPr>
                <w:sz w:val="18"/>
                <w:szCs w:val="18"/>
              </w:rPr>
              <w:t>Cuadro descriptivo de las obligaciones y riesgos de las partes</w:t>
            </w:r>
          </w:p>
        </w:tc>
        <w:tc>
          <w:tcPr>
            <w:tcW w:w="2015" w:type="dxa"/>
            <w:shd w:val="clear" w:color="auto" w:fill="D9E2F3"/>
            <w:vAlign w:val="center"/>
          </w:tcPr>
          <w:p w14:paraId="2238D2E9" w14:textId="77777777" w:rsidR="00990B14" w:rsidRDefault="00000000">
            <w:pPr>
              <w:spacing w:before="20" w:after="20"/>
              <w:jc w:val="center"/>
            </w:pPr>
            <w:r>
              <w:rPr>
                <w:b/>
                <w:bCs/>
                <w:sz w:val="18"/>
                <w:szCs w:val="18"/>
              </w:rPr>
              <w:t>4%</w:t>
            </w:r>
          </w:p>
        </w:tc>
      </w:tr>
      <w:tr w:rsidR="00990B14" w14:paraId="2F953621" w14:textId="77777777">
        <w:trPr>
          <w:cantSplit/>
          <w:jc w:val="center"/>
        </w:trPr>
        <w:tc>
          <w:tcPr>
            <w:tcW w:w="1772" w:type="dxa"/>
            <w:vMerge/>
            <w:shd w:val="clear" w:color="auto" w:fill="4472C4"/>
            <w:vAlign w:val="center"/>
          </w:tcPr>
          <w:p w14:paraId="0C677FB7" w14:textId="77777777" w:rsidR="00990B14" w:rsidRDefault="00990B14">
            <w:pPr>
              <w:spacing w:before="20" w:after="20"/>
            </w:pPr>
          </w:p>
        </w:tc>
        <w:tc>
          <w:tcPr>
            <w:tcW w:w="1854" w:type="dxa"/>
            <w:shd w:val="clear" w:color="auto" w:fill="4472C4"/>
            <w:vAlign w:val="center"/>
          </w:tcPr>
          <w:p w14:paraId="799B34DE"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52481AFD" w14:textId="77777777" w:rsidR="00990B14" w:rsidRDefault="00000000">
            <w:pPr>
              <w:keepNext/>
              <w:spacing w:before="20" w:after="20"/>
              <w:jc w:val="center"/>
            </w:pPr>
            <w:r>
              <w:rPr>
                <w:b/>
                <w:bCs/>
                <w:i/>
                <w:iCs/>
                <w:color w:val="FFFFFF"/>
                <w:sz w:val="18"/>
                <w:szCs w:val="18"/>
              </w:rPr>
              <w:t>Insuficiente (1–50)</w:t>
            </w:r>
          </w:p>
        </w:tc>
        <w:tc>
          <w:tcPr>
            <w:tcW w:w="1854" w:type="dxa"/>
            <w:shd w:val="clear" w:color="auto" w:fill="4472C4"/>
            <w:vAlign w:val="center"/>
          </w:tcPr>
          <w:p w14:paraId="33403CF2"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426ECC02" w14:textId="77777777" w:rsidR="00990B14" w:rsidRDefault="00000000">
            <w:pPr>
              <w:keepNext/>
              <w:spacing w:before="20" w:after="20"/>
              <w:jc w:val="center"/>
            </w:pPr>
            <w:r>
              <w:rPr>
                <w:b/>
                <w:bCs/>
                <w:i/>
                <w:iCs/>
                <w:color w:val="FFFFFF"/>
                <w:sz w:val="18"/>
                <w:szCs w:val="18"/>
              </w:rPr>
              <w:t>Destacado (81–100)</w:t>
            </w:r>
          </w:p>
        </w:tc>
      </w:tr>
      <w:tr w:rsidR="00990B14" w14:paraId="695CBEC3" w14:textId="77777777">
        <w:trPr>
          <w:cantSplit/>
          <w:jc w:val="center"/>
        </w:trPr>
        <w:tc>
          <w:tcPr>
            <w:tcW w:w="1772" w:type="dxa"/>
            <w:vMerge/>
            <w:shd w:val="clear" w:color="auto" w:fill="4472C4"/>
            <w:vAlign w:val="center"/>
          </w:tcPr>
          <w:p w14:paraId="0A4A5BD2" w14:textId="77777777" w:rsidR="00990B14" w:rsidRDefault="00990B14">
            <w:pPr>
              <w:spacing w:before="20" w:after="20"/>
            </w:pPr>
          </w:p>
        </w:tc>
        <w:tc>
          <w:tcPr>
            <w:tcW w:w="1854" w:type="dxa"/>
            <w:shd w:val="clear" w:color="auto" w:fill="D9E2F3"/>
            <w:vAlign w:val="center"/>
          </w:tcPr>
          <w:p w14:paraId="61B133DF" w14:textId="77777777" w:rsidR="00990B14" w:rsidRDefault="00000000">
            <w:pPr>
              <w:spacing w:before="20" w:after="20"/>
              <w:jc w:val="both"/>
            </w:pPr>
            <w:r>
              <w:rPr>
                <w:sz w:val="18"/>
                <w:szCs w:val="18"/>
              </w:rPr>
              <w:t>Obligaciones de las partes</w:t>
            </w:r>
          </w:p>
        </w:tc>
        <w:tc>
          <w:tcPr>
            <w:tcW w:w="1910" w:type="dxa"/>
            <w:shd w:val="clear" w:color="auto" w:fill="D9E2F3"/>
            <w:vAlign w:val="center"/>
          </w:tcPr>
          <w:p w14:paraId="661FCEC5" w14:textId="77777777" w:rsidR="00990B14" w:rsidRDefault="00000000">
            <w:pPr>
              <w:spacing w:before="20" w:after="20"/>
              <w:jc w:val="both"/>
            </w:pPr>
            <w:r>
              <w:rPr>
                <w:sz w:val="18"/>
                <w:szCs w:val="18"/>
              </w:rPr>
              <w:t>Señala incorrectamente las obligaciones.</w:t>
            </w:r>
          </w:p>
        </w:tc>
        <w:tc>
          <w:tcPr>
            <w:tcW w:w="1854" w:type="dxa"/>
            <w:shd w:val="clear" w:color="auto" w:fill="D9E2F3"/>
            <w:vAlign w:val="center"/>
          </w:tcPr>
          <w:p w14:paraId="6D4C56D2" w14:textId="77777777" w:rsidR="00990B14" w:rsidRDefault="00000000">
            <w:pPr>
              <w:spacing w:before="20" w:after="20"/>
              <w:jc w:val="both"/>
            </w:pPr>
            <w:r>
              <w:rPr>
                <w:sz w:val="18"/>
                <w:szCs w:val="18"/>
              </w:rPr>
              <w:t>Señala correctamente las obligaciones de cada parte.</w:t>
            </w:r>
          </w:p>
        </w:tc>
        <w:tc>
          <w:tcPr>
            <w:tcW w:w="2015" w:type="dxa"/>
            <w:shd w:val="clear" w:color="auto" w:fill="D9E2F3"/>
            <w:vAlign w:val="center"/>
          </w:tcPr>
          <w:p w14:paraId="24ABAEC7" w14:textId="77777777" w:rsidR="00990B14" w:rsidRDefault="00000000">
            <w:pPr>
              <w:spacing w:before="20" w:after="20"/>
              <w:jc w:val="both"/>
            </w:pPr>
            <w:r>
              <w:rPr>
                <w:sz w:val="18"/>
                <w:szCs w:val="18"/>
              </w:rPr>
              <w:t>Determina el momento de la transmisión de los riesgos.</w:t>
            </w:r>
          </w:p>
        </w:tc>
      </w:tr>
      <w:tr w:rsidR="00990B14" w14:paraId="130874AA" w14:textId="77777777">
        <w:trPr>
          <w:cantSplit/>
          <w:jc w:val="center"/>
        </w:trPr>
        <w:tc>
          <w:tcPr>
            <w:tcW w:w="1772" w:type="dxa"/>
            <w:vMerge/>
            <w:shd w:val="clear" w:color="auto" w:fill="4472C4"/>
            <w:vAlign w:val="center"/>
          </w:tcPr>
          <w:p w14:paraId="260F4111" w14:textId="77777777" w:rsidR="00990B14" w:rsidRDefault="00990B14">
            <w:pPr>
              <w:spacing w:before="20" w:after="20"/>
            </w:pPr>
          </w:p>
        </w:tc>
        <w:tc>
          <w:tcPr>
            <w:tcW w:w="1854" w:type="dxa"/>
            <w:shd w:val="clear" w:color="auto" w:fill="D9E2F3"/>
            <w:vAlign w:val="center"/>
          </w:tcPr>
          <w:p w14:paraId="323FF72D" w14:textId="77777777" w:rsidR="00990B14" w:rsidRDefault="00000000">
            <w:pPr>
              <w:spacing w:before="20" w:after="20"/>
              <w:jc w:val="both"/>
            </w:pPr>
            <w:r>
              <w:rPr>
                <w:sz w:val="18"/>
                <w:szCs w:val="18"/>
              </w:rPr>
              <w:t>Costos</w:t>
            </w:r>
          </w:p>
        </w:tc>
        <w:tc>
          <w:tcPr>
            <w:tcW w:w="1910" w:type="dxa"/>
            <w:shd w:val="clear" w:color="auto" w:fill="D9E2F3"/>
            <w:vAlign w:val="center"/>
          </w:tcPr>
          <w:p w14:paraId="5AFA568F" w14:textId="77777777" w:rsidR="00990B14" w:rsidRDefault="00000000">
            <w:pPr>
              <w:spacing w:before="20" w:after="20"/>
              <w:jc w:val="both"/>
            </w:pPr>
            <w:r>
              <w:rPr>
                <w:sz w:val="18"/>
                <w:szCs w:val="18"/>
              </w:rPr>
              <w:t>Desconoce los costos de la operación.</w:t>
            </w:r>
          </w:p>
        </w:tc>
        <w:tc>
          <w:tcPr>
            <w:tcW w:w="1854" w:type="dxa"/>
            <w:shd w:val="clear" w:color="auto" w:fill="D9E2F3"/>
            <w:vAlign w:val="center"/>
          </w:tcPr>
          <w:p w14:paraId="50D7844A" w14:textId="77777777" w:rsidR="00990B14" w:rsidRDefault="00000000">
            <w:pPr>
              <w:spacing w:before="20" w:after="20"/>
              <w:jc w:val="both"/>
            </w:pPr>
            <w:r>
              <w:rPr>
                <w:sz w:val="18"/>
                <w:szCs w:val="18"/>
              </w:rPr>
              <w:t>Distribuye los costos según las condiciones de compraventa.</w:t>
            </w:r>
          </w:p>
        </w:tc>
        <w:tc>
          <w:tcPr>
            <w:tcW w:w="2015" w:type="dxa"/>
            <w:shd w:val="clear" w:color="auto" w:fill="D9E2F3"/>
            <w:vAlign w:val="center"/>
          </w:tcPr>
          <w:p w14:paraId="76FAEAA3" w14:textId="77777777" w:rsidR="00990B14" w:rsidRDefault="00000000">
            <w:pPr>
              <w:spacing w:before="20" w:after="20"/>
              <w:jc w:val="both"/>
            </w:pPr>
            <w:r>
              <w:rPr>
                <w:sz w:val="18"/>
                <w:szCs w:val="18"/>
              </w:rPr>
              <w:t>Compara las condiciones de compraventa para una misma operación.</w:t>
            </w:r>
          </w:p>
        </w:tc>
      </w:tr>
      <w:tr w:rsidR="00990B14" w14:paraId="78DC6727" w14:textId="77777777">
        <w:trPr>
          <w:cantSplit/>
          <w:jc w:val="center"/>
        </w:trPr>
        <w:tc>
          <w:tcPr>
            <w:tcW w:w="1772" w:type="dxa"/>
            <w:vMerge/>
            <w:shd w:val="clear" w:color="auto" w:fill="4472C4"/>
            <w:vAlign w:val="center"/>
          </w:tcPr>
          <w:p w14:paraId="46706491" w14:textId="77777777" w:rsidR="00990B14" w:rsidRDefault="00990B14">
            <w:pPr>
              <w:spacing w:before="20" w:after="20"/>
            </w:pPr>
          </w:p>
        </w:tc>
        <w:tc>
          <w:tcPr>
            <w:tcW w:w="1854" w:type="dxa"/>
            <w:shd w:val="clear" w:color="auto" w:fill="D9E2F3"/>
            <w:vAlign w:val="center"/>
          </w:tcPr>
          <w:p w14:paraId="60CEDB1A" w14:textId="77777777" w:rsidR="00990B14" w:rsidRDefault="00000000">
            <w:pPr>
              <w:spacing w:before="20" w:after="20"/>
              <w:jc w:val="both"/>
            </w:pPr>
            <w:r>
              <w:rPr>
                <w:sz w:val="18"/>
                <w:szCs w:val="18"/>
              </w:rPr>
              <w:t>Trabajo en equipo</w:t>
            </w:r>
          </w:p>
        </w:tc>
        <w:tc>
          <w:tcPr>
            <w:tcW w:w="1910" w:type="dxa"/>
            <w:shd w:val="clear" w:color="auto" w:fill="D9E2F3"/>
            <w:vAlign w:val="center"/>
          </w:tcPr>
          <w:p w14:paraId="7AB858C5" w14:textId="77777777" w:rsidR="00990B14" w:rsidRDefault="00000000">
            <w:pPr>
              <w:spacing w:before="20" w:after="20"/>
              <w:jc w:val="both"/>
            </w:pPr>
            <w:r>
              <w:rPr>
                <w:sz w:val="18"/>
                <w:szCs w:val="18"/>
              </w:rPr>
              <w:t>La participación de los integrantes es desigual.</w:t>
            </w:r>
          </w:p>
        </w:tc>
        <w:tc>
          <w:tcPr>
            <w:tcW w:w="1854" w:type="dxa"/>
            <w:shd w:val="clear" w:color="auto" w:fill="D9E2F3"/>
            <w:vAlign w:val="center"/>
          </w:tcPr>
          <w:p w14:paraId="0D328617" w14:textId="77777777" w:rsidR="00990B14" w:rsidRDefault="00000000">
            <w:pPr>
              <w:spacing w:before="20" w:after="20"/>
              <w:jc w:val="both"/>
            </w:pPr>
            <w:r>
              <w:rPr>
                <w:sz w:val="18"/>
                <w:szCs w:val="18"/>
              </w:rPr>
              <w:t>Todos los integrantes participan.</w:t>
            </w:r>
          </w:p>
        </w:tc>
        <w:tc>
          <w:tcPr>
            <w:tcW w:w="2015" w:type="dxa"/>
            <w:shd w:val="clear" w:color="auto" w:fill="D9E2F3"/>
            <w:vAlign w:val="center"/>
          </w:tcPr>
          <w:p w14:paraId="664ED208" w14:textId="77777777" w:rsidR="00990B14" w:rsidRDefault="00000000">
            <w:pPr>
              <w:spacing w:before="20" w:after="20"/>
              <w:jc w:val="both"/>
            </w:pPr>
            <w:r>
              <w:rPr>
                <w:sz w:val="18"/>
                <w:szCs w:val="18"/>
              </w:rPr>
              <w:t>El equipo sustenta el cuadro ante el curso.</w:t>
            </w:r>
          </w:p>
        </w:tc>
      </w:tr>
      <w:tr w:rsidR="00990B14" w14:paraId="2C5CA155" w14:textId="77777777">
        <w:trPr>
          <w:cantSplit/>
          <w:jc w:val="center"/>
        </w:trPr>
        <w:tc>
          <w:tcPr>
            <w:tcW w:w="1772" w:type="dxa"/>
            <w:vMerge/>
            <w:shd w:val="clear" w:color="auto" w:fill="4472C4"/>
            <w:vAlign w:val="center"/>
          </w:tcPr>
          <w:p w14:paraId="3A6E32BD" w14:textId="77777777" w:rsidR="00990B14" w:rsidRDefault="00990B14">
            <w:pPr>
              <w:spacing w:before="20" w:after="20"/>
            </w:pPr>
          </w:p>
        </w:tc>
        <w:tc>
          <w:tcPr>
            <w:tcW w:w="5618" w:type="dxa"/>
            <w:gridSpan w:val="3"/>
            <w:shd w:val="clear" w:color="auto" w:fill="D9E2F3"/>
            <w:vAlign w:val="center"/>
          </w:tcPr>
          <w:p w14:paraId="309D41F8" w14:textId="77777777" w:rsidR="00990B14" w:rsidRDefault="00000000">
            <w:pPr>
              <w:keepNext/>
              <w:spacing w:before="20" w:after="20"/>
              <w:jc w:val="both"/>
            </w:pPr>
            <w:r>
              <w:rPr>
                <w:b/>
                <w:bCs/>
                <w:i/>
                <w:iCs/>
                <w:sz w:val="18"/>
                <w:szCs w:val="18"/>
              </w:rPr>
              <w:t xml:space="preserve">Producto 15: </w:t>
            </w:r>
            <w:r>
              <w:rPr>
                <w:sz w:val="18"/>
                <w:szCs w:val="18"/>
              </w:rPr>
              <w:t>Cuadro comparativo de los distintos tipos de contrato</w:t>
            </w:r>
          </w:p>
        </w:tc>
        <w:tc>
          <w:tcPr>
            <w:tcW w:w="2015" w:type="dxa"/>
            <w:shd w:val="clear" w:color="auto" w:fill="D9E2F3"/>
            <w:vAlign w:val="center"/>
          </w:tcPr>
          <w:p w14:paraId="1BF8A19C" w14:textId="77777777" w:rsidR="00990B14" w:rsidRDefault="00000000">
            <w:pPr>
              <w:spacing w:before="20" w:after="20"/>
              <w:jc w:val="center"/>
            </w:pPr>
            <w:r>
              <w:rPr>
                <w:b/>
                <w:bCs/>
                <w:sz w:val="18"/>
                <w:szCs w:val="18"/>
              </w:rPr>
              <w:t>4%</w:t>
            </w:r>
          </w:p>
        </w:tc>
      </w:tr>
      <w:tr w:rsidR="00990B14" w14:paraId="44588699" w14:textId="77777777">
        <w:trPr>
          <w:cantSplit/>
          <w:jc w:val="center"/>
        </w:trPr>
        <w:tc>
          <w:tcPr>
            <w:tcW w:w="1772" w:type="dxa"/>
            <w:vMerge/>
            <w:shd w:val="clear" w:color="auto" w:fill="4472C4"/>
            <w:vAlign w:val="center"/>
          </w:tcPr>
          <w:p w14:paraId="78A6148A" w14:textId="77777777" w:rsidR="00990B14" w:rsidRDefault="00990B14">
            <w:pPr>
              <w:spacing w:before="20" w:after="20"/>
            </w:pPr>
          </w:p>
        </w:tc>
        <w:tc>
          <w:tcPr>
            <w:tcW w:w="1854" w:type="dxa"/>
            <w:shd w:val="clear" w:color="auto" w:fill="4472C4"/>
            <w:vAlign w:val="center"/>
          </w:tcPr>
          <w:p w14:paraId="166EEA19"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38176D37" w14:textId="77777777" w:rsidR="00990B14" w:rsidRDefault="00000000">
            <w:pPr>
              <w:keepNext/>
              <w:spacing w:before="20" w:after="20"/>
              <w:jc w:val="center"/>
            </w:pPr>
            <w:r>
              <w:rPr>
                <w:b/>
                <w:bCs/>
                <w:i/>
                <w:iCs/>
                <w:color w:val="FFFFFF"/>
                <w:sz w:val="18"/>
                <w:szCs w:val="18"/>
              </w:rPr>
              <w:t>Insuficiente (1–50)</w:t>
            </w:r>
          </w:p>
        </w:tc>
        <w:tc>
          <w:tcPr>
            <w:tcW w:w="1854" w:type="dxa"/>
            <w:shd w:val="clear" w:color="auto" w:fill="4472C4"/>
            <w:vAlign w:val="center"/>
          </w:tcPr>
          <w:p w14:paraId="75C5B04B"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3C091ADE" w14:textId="77777777" w:rsidR="00990B14" w:rsidRDefault="00000000">
            <w:pPr>
              <w:keepNext/>
              <w:spacing w:before="20" w:after="20"/>
              <w:jc w:val="center"/>
            </w:pPr>
            <w:r>
              <w:rPr>
                <w:b/>
                <w:bCs/>
                <w:i/>
                <w:iCs/>
                <w:color w:val="FFFFFF"/>
                <w:sz w:val="18"/>
                <w:szCs w:val="18"/>
              </w:rPr>
              <w:t>Destacado (81–100)</w:t>
            </w:r>
          </w:p>
        </w:tc>
      </w:tr>
      <w:tr w:rsidR="00990B14" w14:paraId="041CA011" w14:textId="77777777">
        <w:trPr>
          <w:cantSplit/>
          <w:jc w:val="center"/>
        </w:trPr>
        <w:tc>
          <w:tcPr>
            <w:tcW w:w="1772" w:type="dxa"/>
            <w:vMerge/>
            <w:shd w:val="clear" w:color="auto" w:fill="4472C4"/>
            <w:vAlign w:val="center"/>
          </w:tcPr>
          <w:p w14:paraId="13306E28" w14:textId="77777777" w:rsidR="00990B14" w:rsidRDefault="00990B14">
            <w:pPr>
              <w:spacing w:before="20" w:after="20"/>
            </w:pPr>
          </w:p>
        </w:tc>
        <w:tc>
          <w:tcPr>
            <w:tcW w:w="1854" w:type="dxa"/>
            <w:shd w:val="clear" w:color="auto" w:fill="D9E2F3"/>
            <w:vAlign w:val="center"/>
          </w:tcPr>
          <w:p w14:paraId="43FEAE73" w14:textId="77777777" w:rsidR="00990B14" w:rsidRDefault="00000000">
            <w:pPr>
              <w:spacing w:before="20" w:after="20"/>
              <w:jc w:val="both"/>
            </w:pPr>
            <w:r>
              <w:rPr>
                <w:sz w:val="18"/>
                <w:szCs w:val="18"/>
              </w:rPr>
              <w:t>Naturaleza del contrato</w:t>
            </w:r>
          </w:p>
        </w:tc>
        <w:tc>
          <w:tcPr>
            <w:tcW w:w="1910" w:type="dxa"/>
            <w:shd w:val="clear" w:color="auto" w:fill="D9E2F3"/>
            <w:vAlign w:val="center"/>
          </w:tcPr>
          <w:p w14:paraId="1C775B47" w14:textId="77777777" w:rsidR="00990B14" w:rsidRDefault="00000000">
            <w:pPr>
              <w:spacing w:before="20" w:after="20"/>
              <w:jc w:val="both"/>
            </w:pPr>
            <w:r>
              <w:rPr>
                <w:sz w:val="18"/>
                <w:szCs w:val="18"/>
              </w:rPr>
              <w:t>Confunde la naturaleza de los contratos.</w:t>
            </w:r>
          </w:p>
        </w:tc>
        <w:tc>
          <w:tcPr>
            <w:tcW w:w="1854" w:type="dxa"/>
            <w:shd w:val="clear" w:color="auto" w:fill="D9E2F3"/>
            <w:vAlign w:val="center"/>
          </w:tcPr>
          <w:p w14:paraId="29F5830B" w14:textId="77777777" w:rsidR="00990B14" w:rsidRDefault="00000000">
            <w:pPr>
              <w:spacing w:before="20" w:after="20"/>
              <w:jc w:val="both"/>
            </w:pPr>
            <w:r>
              <w:rPr>
                <w:sz w:val="18"/>
                <w:szCs w:val="18"/>
              </w:rPr>
              <w:t>Distingue la naturaleza de cada contrato.</w:t>
            </w:r>
          </w:p>
        </w:tc>
        <w:tc>
          <w:tcPr>
            <w:tcW w:w="2015" w:type="dxa"/>
            <w:shd w:val="clear" w:color="auto" w:fill="D9E2F3"/>
            <w:vAlign w:val="center"/>
          </w:tcPr>
          <w:p w14:paraId="4AB10514" w14:textId="77777777" w:rsidR="00990B14" w:rsidRDefault="00000000">
            <w:pPr>
              <w:spacing w:before="20" w:after="20"/>
              <w:jc w:val="both"/>
            </w:pPr>
            <w:r>
              <w:rPr>
                <w:sz w:val="18"/>
                <w:szCs w:val="18"/>
              </w:rPr>
              <w:t>Explica la función económica de cada contrato.</w:t>
            </w:r>
          </w:p>
        </w:tc>
      </w:tr>
      <w:tr w:rsidR="00990B14" w14:paraId="308CD3F8" w14:textId="77777777">
        <w:trPr>
          <w:cantSplit/>
          <w:jc w:val="center"/>
        </w:trPr>
        <w:tc>
          <w:tcPr>
            <w:tcW w:w="1772" w:type="dxa"/>
            <w:vMerge/>
            <w:shd w:val="clear" w:color="auto" w:fill="4472C4"/>
            <w:vAlign w:val="center"/>
          </w:tcPr>
          <w:p w14:paraId="593570CF" w14:textId="77777777" w:rsidR="00990B14" w:rsidRDefault="00990B14">
            <w:pPr>
              <w:spacing w:before="20" w:after="20"/>
            </w:pPr>
          </w:p>
        </w:tc>
        <w:tc>
          <w:tcPr>
            <w:tcW w:w="1854" w:type="dxa"/>
            <w:shd w:val="clear" w:color="auto" w:fill="D9E2F3"/>
            <w:vAlign w:val="center"/>
          </w:tcPr>
          <w:p w14:paraId="72359DB9" w14:textId="77777777" w:rsidR="00990B14" w:rsidRDefault="00000000">
            <w:pPr>
              <w:spacing w:before="20" w:after="20"/>
              <w:jc w:val="both"/>
            </w:pPr>
            <w:r>
              <w:rPr>
                <w:sz w:val="18"/>
                <w:szCs w:val="18"/>
              </w:rPr>
              <w:t>Obligaciones de las partes</w:t>
            </w:r>
          </w:p>
        </w:tc>
        <w:tc>
          <w:tcPr>
            <w:tcW w:w="1910" w:type="dxa"/>
            <w:shd w:val="clear" w:color="auto" w:fill="D9E2F3"/>
            <w:vAlign w:val="center"/>
          </w:tcPr>
          <w:p w14:paraId="0DF0AAF6" w14:textId="77777777" w:rsidR="00990B14" w:rsidRDefault="00000000">
            <w:pPr>
              <w:spacing w:before="20" w:after="20"/>
              <w:jc w:val="both"/>
            </w:pPr>
            <w:r>
              <w:rPr>
                <w:sz w:val="18"/>
                <w:szCs w:val="18"/>
              </w:rPr>
              <w:t>Desconoce las obligaciones de las partes.</w:t>
            </w:r>
          </w:p>
        </w:tc>
        <w:tc>
          <w:tcPr>
            <w:tcW w:w="1854" w:type="dxa"/>
            <w:shd w:val="clear" w:color="auto" w:fill="D9E2F3"/>
            <w:vAlign w:val="center"/>
          </w:tcPr>
          <w:p w14:paraId="64DB5071" w14:textId="77777777" w:rsidR="00990B14" w:rsidRDefault="00000000">
            <w:pPr>
              <w:spacing w:before="20" w:after="20"/>
              <w:jc w:val="both"/>
            </w:pPr>
            <w:r>
              <w:rPr>
                <w:sz w:val="18"/>
                <w:szCs w:val="18"/>
              </w:rPr>
              <w:t>Identifica las obligaciones de cada parte.</w:t>
            </w:r>
          </w:p>
        </w:tc>
        <w:tc>
          <w:tcPr>
            <w:tcW w:w="2015" w:type="dxa"/>
            <w:shd w:val="clear" w:color="auto" w:fill="D9E2F3"/>
            <w:vAlign w:val="center"/>
          </w:tcPr>
          <w:p w14:paraId="4CA9FE47" w14:textId="77777777" w:rsidR="00990B14" w:rsidRDefault="00000000">
            <w:pPr>
              <w:spacing w:before="20" w:after="20"/>
              <w:jc w:val="both"/>
            </w:pPr>
            <w:r>
              <w:rPr>
                <w:sz w:val="18"/>
                <w:szCs w:val="18"/>
              </w:rPr>
              <w:t>Señala las consecuencias del incumplimiento.</w:t>
            </w:r>
          </w:p>
        </w:tc>
      </w:tr>
      <w:tr w:rsidR="00990B14" w14:paraId="535B64BD" w14:textId="77777777">
        <w:trPr>
          <w:cantSplit/>
          <w:jc w:val="center"/>
        </w:trPr>
        <w:tc>
          <w:tcPr>
            <w:tcW w:w="1772" w:type="dxa"/>
            <w:vMerge/>
            <w:shd w:val="clear" w:color="auto" w:fill="4472C4"/>
            <w:vAlign w:val="center"/>
          </w:tcPr>
          <w:p w14:paraId="25AC9355" w14:textId="77777777" w:rsidR="00990B14" w:rsidRDefault="00990B14">
            <w:pPr>
              <w:spacing w:before="20" w:after="20"/>
            </w:pPr>
          </w:p>
        </w:tc>
        <w:tc>
          <w:tcPr>
            <w:tcW w:w="1854" w:type="dxa"/>
            <w:shd w:val="clear" w:color="auto" w:fill="D9E2F3"/>
            <w:vAlign w:val="center"/>
          </w:tcPr>
          <w:p w14:paraId="689CED3B" w14:textId="77777777" w:rsidR="00990B14" w:rsidRDefault="00000000">
            <w:pPr>
              <w:spacing w:before="20" w:after="20"/>
              <w:jc w:val="both"/>
            </w:pPr>
            <w:r>
              <w:rPr>
                <w:sz w:val="18"/>
                <w:szCs w:val="18"/>
              </w:rPr>
              <w:t>Claridad de la exposición</w:t>
            </w:r>
          </w:p>
        </w:tc>
        <w:tc>
          <w:tcPr>
            <w:tcW w:w="1910" w:type="dxa"/>
            <w:shd w:val="clear" w:color="auto" w:fill="D9E2F3"/>
            <w:vAlign w:val="center"/>
          </w:tcPr>
          <w:p w14:paraId="6745E9F7" w14:textId="77777777" w:rsidR="00990B14" w:rsidRDefault="00000000">
            <w:pPr>
              <w:spacing w:before="20" w:after="20"/>
              <w:jc w:val="both"/>
            </w:pPr>
            <w:r>
              <w:rPr>
                <w:sz w:val="18"/>
                <w:szCs w:val="18"/>
              </w:rPr>
              <w:t>La exposición es confusa.</w:t>
            </w:r>
          </w:p>
        </w:tc>
        <w:tc>
          <w:tcPr>
            <w:tcW w:w="1854" w:type="dxa"/>
            <w:shd w:val="clear" w:color="auto" w:fill="D9E2F3"/>
            <w:vAlign w:val="center"/>
          </w:tcPr>
          <w:p w14:paraId="002D9A67" w14:textId="77777777" w:rsidR="00990B14" w:rsidRDefault="00000000">
            <w:pPr>
              <w:spacing w:before="20" w:after="20"/>
              <w:jc w:val="both"/>
            </w:pPr>
            <w:r>
              <w:rPr>
                <w:sz w:val="18"/>
                <w:szCs w:val="18"/>
              </w:rPr>
              <w:t>Expone con claridad y orden.</w:t>
            </w:r>
          </w:p>
        </w:tc>
        <w:tc>
          <w:tcPr>
            <w:tcW w:w="2015" w:type="dxa"/>
            <w:shd w:val="clear" w:color="auto" w:fill="D9E2F3"/>
            <w:vAlign w:val="center"/>
          </w:tcPr>
          <w:p w14:paraId="70890395" w14:textId="77777777" w:rsidR="00990B14" w:rsidRDefault="00000000">
            <w:pPr>
              <w:spacing w:before="20" w:after="20"/>
              <w:jc w:val="both"/>
            </w:pPr>
            <w:r>
              <w:rPr>
                <w:sz w:val="18"/>
                <w:szCs w:val="18"/>
              </w:rPr>
              <w:t>Responde con fundamento las preguntas del curso.</w:t>
            </w:r>
          </w:p>
        </w:tc>
      </w:tr>
      <w:tr w:rsidR="00990B14" w14:paraId="388A507F" w14:textId="77777777">
        <w:trPr>
          <w:cantSplit/>
          <w:jc w:val="center"/>
        </w:trPr>
        <w:tc>
          <w:tcPr>
            <w:tcW w:w="1772" w:type="dxa"/>
            <w:vMerge/>
            <w:shd w:val="clear" w:color="auto" w:fill="4472C4"/>
            <w:vAlign w:val="center"/>
          </w:tcPr>
          <w:p w14:paraId="74348764" w14:textId="77777777" w:rsidR="00990B14" w:rsidRDefault="00990B14">
            <w:pPr>
              <w:spacing w:before="20" w:after="20"/>
            </w:pPr>
          </w:p>
        </w:tc>
        <w:tc>
          <w:tcPr>
            <w:tcW w:w="5618" w:type="dxa"/>
            <w:gridSpan w:val="3"/>
            <w:shd w:val="clear" w:color="auto" w:fill="D9E2F3"/>
            <w:vAlign w:val="center"/>
          </w:tcPr>
          <w:p w14:paraId="1E3AF447" w14:textId="77777777" w:rsidR="00990B14" w:rsidRDefault="00000000">
            <w:pPr>
              <w:keepNext/>
              <w:spacing w:before="20" w:after="20"/>
              <w:jc w:val="both"/>
            </w:pPr>
            <w:r>
              <w:rPr>
                <w:b/>
                <w:bCs/>
                <w:i/>
                <w:iCs/>
                <w:sz w:val="18"/>
                <w:szCs w:val="18"/>
              </w:rPr>
              <w:t xml:space="preserve">Producto 16: </w:t>
            </w:r>
            <w:r>
              <w:rPr>
                <w:sz w:val="18"/>
                <w:szCs w:val="18"/>
              </w:rPr>
              <w:t>Informe de las diferencias de los distintos tipos de contratos comerciales.</w:t>
            </w:r>
          </w:p>
        </w:tc>
        <w:tc>
          <w:tcPr>
            <w:tcW w:w="2015" w:type="dxa"/>
            <w:shd w:val="clear" w:color="auto" w:fill="D9E2F3"/>
            <w:vAlign w:val="center"/>
          </w:tcPr>
          <w:p w14:paraId="56B9FF77" w14:textId="77777777" w:rsidR="00990B14" w:rsidRDefault="00000000">
            <w:pPr>
              <w:spacing w:before="20" w:after="20"/>
              <w:jc w:val="center"/>
            </w:pPr>
            <w:r>
              <w:rPr>
                <w:b/>
                <w:bCs/>
                <w:sz w:val="18"/>
                <w:szCs w:val="18"/>
              </w:rPr>
              <w:t>3%</w:t>
            </w:r>
          </w:p>
        </w:tc>
      </w:tr>
      <w:tr w:rsidR="00990B14" w14:paraId="76A9E8C2" w14:textId="77777777">
        <w:trPr>
          <w:cantSplit/>
          <w:jc w:val="center"/>
        </w:trPr>
        <w:tc>
          <w:tcPr>
            <w:tcW w:w="1772" w:type="dxa"/>
            <w:vMerge/>
            <w:shd w:val="clear" w:color="auto" w:fill="4472C4"/>
            <w:vAlign w:val="center"/>
          </w:tcPr>
          <w:p w14:paraId="2D3EF0EE" w14:textId="77777777" w:rsidR="00990B14" w:rsidRDefault="00990B14">
            <w:pPr>
              <w:spacing w:before="20" w:after="20"/>
            </w:pPr>
          </w:p>
        </w:tc>
        <w:tc>
          <w:tcPr>
            <w:tcW w:w="1854" w:type="dxa"/>
            <w:shd w:val="clear" w:color="auto" w:fill="4472C4"/>
            <w:vAlign w:val="center"/>
          </w:tcPr>
          <w:p w14:paraId="62AD974D"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389251B2" w14:textId="77777777" w:rsidR="00990B14" w:rsidRDefault="00000000">
            <w:pPr>
              <w:keepNext/>
              <w:spacing w:before="20" w:after="20"/>
              <w:jc w:val="center"/>
            </w:pPr>
            <w:r>
              <w:rPr>
                <w:b/>
                <w:bCs/>
                <w:i/>
                <w:iCs/>
                <w:color w:val="FFFFFF"/>
                <w:sz w:val="18"/>
                <w:szCs w:val="18"/>
              </w:rPr>
              <w:t>Insuficiente (1–50)</w:t>
            </w:r>
          </w:p>
        </w:tc>
        <w:tc>
          <w:tcPr>
            <w:tcW w:w="1854" w:type="dxa"/>
            <w:shd w:val="clear" w:color="auto" w:fill="4472C4"/>
            <w:vAlign w:val="center"/>
          </w:tcPr>
          <w:p w14:paraId="6054E2A4"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3387AAA2" w14:textId="77777777" w:rsidR="00990B14" w:rsidRDefault="00000000">
            <w:pPr>
              <w:keepNext/>
              <w:spacing w:before="20" w:after="20"/>
              <w:jc w:val="center"/>
            </w:pPr>
            <w:r>
              <w:rPr>
                <w:b/>
                <w:bCs/>
                <w:i/>
                <w:iCs/>
                <w:color w:val="FFFFFF"/>
                <w:sz w:val="18"/>
                <w:szCs w:val="18"/>
              </w:rPr>
              <w:t>Destacado (81–100)</w:t>
            </w:r>
          </w:p>
        </w:tc>
      </w:tr>
      <w:tr w:rsidR="00990B14" w14:paraId="180CEF9E" w14:textId="77777777">
        <w:trPr>
          <w:cantSplit/>
          <w:jc w:val="center"/>
        </w:trPr>
        <w:tc>
          <w:tcPr>
            <w:tcW w:w="1772" w:type="dxa"/>
            <w:vMerge/>
            <w:shd w:val="clear" w:color="auto" w:fill="4472C4"/>
            <w:vAlign w:val="center"/>
          </w:tcPr>
          <w:p w14:paraId="6F53477F" w14:textId="77777777" w:rsidR="00990B14" w:rsidRDefault="00990B14">
            <w:pPr>
              <w:spacing w:before="20" w:after="20"/>
            </w:pPr>
          </w:p>
        </w:tc>
        <w:tc>
          <w:tcPr>
            <w:tcW w:w="1854" w:type="dxa"/>
            <w:shd w:val="clear" w:color="auto" w:fill="D9E2F3"/>
            <w:vAlign w:val="center"/>
          </w:tcPr>
          <w:p w14:paraId="68EAB810" w14:textId="77777777" w:rsidR="00990B14" w:rsidRDefault="00000000">
            <w:pPr>
              <w:spacing w:before="20" w:after="20"/>
              <w:jc w:val="both"/>
            </w:pPr>
            <w:r>
              <w:rPr>
                <w:sz w:val="18"/>
                <w:szCs w:val="18"/>
              </w:rPr>
              <w:t>Identificación del contrato</w:t>
            </w:r>
          </w:p>
        </w:tc>
        <w:tc>
          <w:tcPr>
            <w:tcW w:w="1910" w:type="dxa"/>
            <w:shd w:val="clear" w:color="auto" w:fill="D9E2F3"/>
            <w:vAlign w:val="center"/>
          </w:tcPr>
          <w:p w14:paraId="0FA4316E" w14:textId="77777777" w:rsidR="00990B14" w:rsidRDefault="00000000">
            <w:pPr>
              <w:spacing w:before="20" w:after="20"/>
              <w:jc w:val="both"/>
            </w:pPr>
            <w:r>
              <w:rPr>
                <w:sz w:val="18"/>
                <w:szCs w:val="18"/>
              </w:rPr>
              <w:t>Confunde la naturaleza de los distintos tipos de contrato.</w:t>
            </w:r>
          </w:p>
        </w:tc>
        <w:tc>
          <w:tcPr>
            <w:tcW w:w="1854" w:type="dxa"/>
            <w:shd w:val="clear" w:color="auto" w:fill="D9E2F3"/>
            <w:vAlign w:val="center"/>
          </w:tcPr>
          <w:p w14:paraId="290906DA" w14:textId="77777777" w:rsidR="00990B14" w:rsidRDefault="00000000">
            <w:pPr>
              <w:spacing w:before="20" w:after="20"/>
              <w:jc w:val="both"/>
            </w:pPr>
            <w:r>
              <w:rPr>
                <w:sz w:val="18"/>
                <w:szCs w:val="18"/>
              </w:rPr>
              <w:t>Identifica correctamente las características de los diferentes tipos de contrato.</w:t>
            </w:r>
          </w:p>
        </w:tc>
        <w:tc>
          <w:tcPr>
            <w:tcW w:w="2015" w:type="dxa"/>
            <w:shd w:val="clear" w:color="auto" w:fill="D9E2F3"/>
            <w:vAlign w:val="center"/>
          </w:tcPr>
          <w:p w14:paraId="5A58B462" w14:textId="77777777" w:rsidR="00990B14" w:rsidRDefault="00000000">
            <w:pPr>
              <w:spacing w:before="20" w:after="20"/>
              <w:jc w:val="both"/>
            </w:pPr>
            <w:r>
              <w:rPr>
                <w:sz w:val="18"/>
                <w:szCs w:val="18"/>
              </w:rPr>
              <w:t>Compara y diferencia los distintos tipos de contrato.</w:t>
            </w:r>
          </w:p>
        </w:tc>
      </w:tr>
      <w:tr w:rsidR="00990B14" w14:paraId="5F10CCC2" w14:textId="77777777">
        <w:trPr>
          <w:cantSplit/>
          <w:jc w:val="center"/>
        </w:trPr>
        <w:tc>
          <w:tcPr>
            <w:tcW w:w="1772" w:type="dxa"/>
            <w:vMerge/>
            <w:shd w:val="clear" w:color="auto" w:fill="4472C4"/>
            <w:vAlign w:val="center"/>
          </w:tcPr>
          <w:p w14:paraId="435135F9" w14:textId="77777777" w:rsidR="00990B14" w:rsidRDefault="00990B14">
            <w:pPr>
              <w:spacing w:before="20" w:after="20"/>
            </w:pPr>
          </w:p>
        </w:tc>
        <w:tc>
          <w:tcPr>
            <w:tcW w:w="1854" w:type="dxa"/>
            <w:shd w:val="clear" w:color="auto" w:fill="D9E2F3"/>
            <w:vAlign w:val="center"/>
          </w:tcPr>
          <w:p w14:paraId="1D90666E" w14:textId="77777777" w:rsidR="00990B14" w:rsidRDefault="00000000">
            <w:pPr>
              <w:spacing w:before="20" w:after="20"/>
              <w:jc w:val="both"/>
            </w:pPr>
            <w:r>
              <w:rPr>
                <w:sz w:val="18"/>
                <w:szCs w:val="18"/>
              </w:rPr>
              <w:t>Obligaciones y derechos</w:t>
            </w:r>
          </w:p>
        </w:tc>
        <w:tc>
          <w:tcPr>
            <w:tcW w:w="1910" w:type="dxa"/>
            <w:shd w:val="clear" w:color="auto" w:fill="D9E2F3"/>
            <w:vAlign w:val="center"/>
          </w:tcPr>
          <w:p w14:paraId="47B63CB0" w14:textId="77777777" w:rsidR="00990B14" w:rsidRDefault="00000000">
            <w:pPr>
              <w:spacing w:before="20" w:after="20"/>
              <w:jc w:val="both"/>
            </w:pPr>
            <w:r>
              <w:rPr>
                <w:sz w:val="18"/>
                <w:szCs w:val="18"/>
              </w:rPr>
              <w:t>Desconoce derechos u obligaciones.</w:t>
            </w:r>
          </w:p>
        </w:tc>
        <w:tc>
          <w:tcPr>
            <w:tcW w:w="1854" w:type="dxa"/>
            <w:shd w:val="clear" w:color="auto" w:fill="D9E2F3"/>
            <w:vAlign w:val="center"/>
          </w:tcPr>
          <w:p w14:paraId="354304A7" w14:textId="77777777" w:rsidR="00990B14" w:rsidRDefault="00000000">
            <w:pPr>
              <w:spacing w:before="20" w:after="20"/>
              <w:jc w:val="both"/>
            </w:pPr>
            <w:r>
              <w:rPr>
                <w:sz w:val="18"/>
                <w:szCs w:val="18"/>
              </w:rPr>
              <w:t>Conoce las obligaciones y derechos de cada parte.</w:t>
            </w:r>
          </w:p>
        </w:tc>
        <w:tc>
          <w:tcPr>
            <w:tcW w:w="2015" w:type="dxa"/>
            <w:shd w:val="clear" w:color="auto" w:fill="D9E2F3"/>
            <w:vAlign w:val="center"/>
          </w:tcPr>
          <w:p w14:paraId="671656E7" w14:textId="77777777" w:rsidR="00990B14" w:rsidRDefault="00000000">
            <w:pPr>
              <w:spacing w:before="20" w:after="20"/>
              <w:jc w:val="both"/>
            </w:pPr>
            <w:r>
              <w:rPr>
                <w:sz w:val="18"/>
                <w:szCs w:val="18"/>
              </w:rPr>
              <w:t>Aplica las obligaciones y derechos de las partes.</w:t>
            </w:r>
          </w:p>
        </w:tc>
      </w:tr>
      <w:tr w:rsidR="00990B14" w14:paraId="16154181" w14:textId="77777777">
        <w:trPr>
          <w:cantSplit/>
          <w:jc w:val="center"/>
        </w:trPr>
        <w:tc>
          <w:tcPr>
            <w:tcW w:w="1772" w:type="dxa"/>
            <w:vMerge/>
            <w:shd w:val="clear" w:color="auto" w:fill="4472C4"/>
            <w:vAlign w:val="center"/>
          </w:tcPr>
          <w:p w14:paraId="228C1D73" w14:textId="77777777" w:rsidR="00990B14" w:rsidRDefault="00990B14">
            <w:pPr>
              <w:spacing w:before="20" w:after="20"/>
            </w:pPr>
          </w:p>
        </w:tc>
        <w:tc>
          <w:tcPr>
            <w:tcW w:w="1854" w:type="dxa"/>
            <w:shd w:val="clear" w:color="auto" w:fill="D9E2F3"/>
            <w:vAlign w:val="center"/>
          </w:tcPr>
          <w:p w14:paraId="745278A0" w14:textId="77777777" w:rsidR="00990B14" w:rsidRDefault="00000000">
            <w:pPr>
              <w:spacing w:before="20" w:after="20"/>
              <w:jc w:val="both"/>
            </w:pPr>
            <w:r>
              <w:rPr>
                <w:sz w:val="18"/>
                <w:szCs w:val="18"/>
              </w:rPr>
              <w:t>Buena fe y ética</w:t>
            </w:r>
          </w:p>
        </w:tc>
        <w:tc>
          <w:tcPr>
            <w:tcW w:w="1910" w:type="dxa"/>
            <w:shd w:val="clear" w:color="auto" w:fill="D9E2F3"/>
            <w:vAlign w:val="center"/>
          </w:tcPr>
          <w:p w14:paraId="1AEA86A4" w14:textId="77777777" w:rsidR="00990B14" w:rsidRDefault="00000000">
            <w:pPr>
              <w:spacing w:before="20" w:after="20"/>
              <w:jc w:val="both"/>
            </w:pPr>
            <w:r>
              <w:rPr>
                <w:sz w:val="18"/>
                <w:szCs w:val="18"/>
              </w:rPr>
              <w:t>No considera la buena fe.</w:t>
            </w:r>
          </w:p>
        </w:tc>
        <w:tc>
          <w:tcPr>
            <w:tcW w:w="1854" w:type="dxa"/>
            <w:shd w:val="clear" w:color="auto" w:fill="D9E2F3"/>
            <w:vAlign w:val="center"/>
          </w:tcPr>
          <w:p w14:paraId="323C0670" w14:textId="77777777" w:rsidR="00990B14" w:rsidRDefault="00000000">
            <w:pPr>
              <w:spacing w:before="20" w:after="20"/>
              <w:jc w:val="both"/>
            </w:pPr>
            <w:r>
              <w:rPr>
                <w:sz w:val="18"/>
                <w:szCs w:val="18"/>
              </w:rPr>
              <w:t>Valora la buena fe en la ejecución del contrato.</w:t>
            </w:r>
          </w:p>
        </w:tc>
        <w:tc>
          <w:tcPr>
            <w:tcW w:w="2015" w:type="dxa"/>
            <w:shd w:val="clear" w:color="auto" w:fill="D9E2F3"/>
            <w:vAlign w:val="center"/>
          </w:tcPr>
          <w:p w14:paraId="43CFCDC1" w14:textId="77777777" w:rsidR="00990B14" w:rsidRDefault="00000000">
            <w:pPr>
              <w:spacing w:before="20" w:after="20"/>
              <w:jc w:val="both"/>
            </w:pPr>
            <w:r>
              <w:rPr>
                <w:sz w:val="18"/>
                <w:szCs w:val="18"/>
              </w:rPr>
              <w:t>Propone una solución equitativa al conflicto.</w:t>
            </w:r>
          </w:p>
        </w:tc>
      </w:tr>
      <w:tr w:rsidR="00990B14" w14:paraId="2104BD43" w14:textId="77777777">
        <w:trPr>
          <w:cantSplit/>
          <w:jc w:val="center"/>
        </w:trPr>
        <w:tc>
          <w:tcPr>
            <w:tcW w:w="7390" w:type="dxa"/>
            <w:gridSpan w:val="4"/>
            <w:shd w:val="clear" w:color="auto" w:fill="4472C4"/>
            <w:vAlign w:val="center"/>
          </w:tcPr>
          <w:p w14:paraId="487EA3EA" w14:textId="77777777" w:rsidR="00990B14" w:rsidRDefault="00000000">
            <w:pPr>
              <w:keepNext/>
              <w:spacing w:before="20" w:after="20"/>
              <w:jc w:val="center"/>
            </w:pPr>
            <w:r>
              <w:rPr>
                <w:b/>
                <w:bCs/>
                <w:i/>
                <w:iCs/>
                <w:color w:val="FFFFFF"/>
                <w:sz w:val="18"/>
                <w:szCs w:val="18"/>
              </w:rPr>
              <w:t>TOTAL</w:t>
            </w:r>
          </w:p>
        </w:tc>
        <w:tc>
          <w:tcPr>
            <w:tcW w:w="2015" w:type="dxa"/>
            <w:shd w:val="clear" w:color="auto" w:fill="4472C4"/>
            <w:vAlign w:val="center"/>
          </w:tcPr>
          <w:p w14:paraId="3D632EBC" w14:textId="77777777" w:rsidR="00990B14" w:rsidRDefault="00000000">
            <w:pPr>
              <w:keepNext/>
              <w:spacing w:before="20" w:after="20"/>
              <w:jc w:val="center"/>
            </w:pPr>
            <w:r>
              <w:rPr>
                <w:b/>
                <w:bCs/>
                <w:i/>
                <w:iCs/>
                <w:color w:val="FFFFFF"/>
                <w:sz w:val="18"/>
                <w:szCs w:val="18"/>
              </w:rPr>
              <w:t>100%</w:t>
            </w:r>
          </w:p>
        </w:tc>
      </w:tr>
    </w:tbl>
    <w:p w14:paraId="4DDD7A72"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9405"/>
      </w:tblGrid>
      <w:tr w:rsidR="00990B14" w14:paraId="1E8CD2B7" w14:textId="77777777">
        <w:trPr>
          <w:jc w:val="center"/>
        </w:trPr>
        <w:tc>
          <w:tcPr>
            <w:tcW w:w="9405" w:type="dxa"/>
            <w:shd w:val="clear" w:color="auto" w:fill="D9E2F3"/>
          </w:tcPr>
          <w:p w14:paraId="44AF4FB7" w14:textId="77777777" w:rsidR="00990B14" w:rsidRDefault="00000000">
            <w:pPr>
              <w:spacing w:before="40" w:after="40"/>
              <w:jc w:val="both"/>
            </w:pPr>
            <w:r>
              <w:rPr>
                <w:b/>
                <w:bCs/>
                <w:i/>
                <w:iCs/>
                <w:sz w:val="18"/>
                <w:szCs w:val="18"/>
              </w:rPr>
              <w:t>Bibliografía básica:</w:t>
            </w:r>
          </w:p>
          <w:p w14:paraId="1491F354" w14:textId="77777777" w:rsidR="00990B14" w:rsidRDefault="00000000">
            <w:pPr>
              <w:numPr>
                <w:ilvl w:val="0"/>
                <w:numId w:val="140"/>
              </w:numPr>
              <w:spacing w:after="20"/>
              <w:jc w:val="both"/>
            </w:pPr>
            <w:r>
              <w:rPr>
                <w:sz w:val="18"/>
                <w:szCs w:val="18"/>
              </w:rPr>
              <w:t>Autoridad de Empresas (AEMP). Resolución Administrativa N.º 330/2023, Lineamientos de Buen Gobierno Corporativo.</w:t>
            </w:r>
          </w:p>
          <w:p w14:paraId="3E309ACF" w14:textId="77777777" w:rsidR="00990B14" w:rsidRDefault="00000000">
            <w:pPr>
              <w:numPr>
                <w:ilvl w:val="0"/>
                <w:numId w:val="140"/>
              </w:numPr>
              <w:spacing w:after="20"/>
              <w:jc w:val="both"/>
            </w:pPr>
            <w:r>
              <w:rPr>
                <w:sz w:val="18"/>
                <w:szCs w:val="18"/>
              </w:rPr>
              <w:t>Autoridad de Empresas (AEMP). Resoluciones administrativas.</w:t>
            </w:r>
          </w:p>
          <w:p w14:paraId="69AFC100" w14:textId="77777777" w:rsidR="00990B14" w:rsidRDefault="00000000">
            <w:pPr>
              <w:numPr>
                <w:ilvl w:val="0"/>
                <w:numId w:val="140"/>
              </w:numPr>
              <w:spacing w:after="20"/>
              <w:jc w:val="both"/>
            </w:pPr>
            <w:r>
              <w:rPr>
                <w:sz w:val="18"/>
                <w:szCs w:val="18"/>
              </w:rPr>
              <w:t>Código de Comercio, Decreto Ley N.º 14379. Gaceta Oficial de Bolivia.</w:t>
            </w:r>
          </w:p>
          <w:p w14:paraId="168C19FC" w14:textId="77777777" w:rsidR="00990B14" w:rsidRDefault="00000000">
            <w:pPr>
              <w:numPr>
                <w:ilvl w:val="0"/>
                <w:numId w:val="140"/>
              </w:numPr>
              <w:spacing w:after="20"/>
              <w:jc w:val="both"/>
            </w:pPr>
            <w:r>
              <w:rPr>
                <w:sz w:val="18"/>
                <w:szCs w:val="18"/>
              </w:rPr>
              <w:t>Constitución Política del Estado. Gaceta Oficial de Bolivia.</w:t>
            </w:r>
          </w:p>
          <w:p w14:paraId="17CD8B20" w14:textId="77777777" w:rsidR="00990B14" w:rsidRDefault="00000000">
            <w:pPr>
              <w:numPr>
                <w:ilvl w:val="0"/>
                <w:numId w:val="140"/>
              </w:numPr>
              <w:spacing w:after="20"/>
              <w:jc w:val="both"/>
            </w:pPr>
            <w:r>
              <w:rPr>
                <w:sz w:val="18"/>
                <w:szCs w:val="18"/>
              </w:rPr>
              <w:t>Ley de la Empresa Pública, Ley N.º 466. Gaceta Oficial de Bolivia.</w:t>
            </w:r>
          </w:p>
          <w:p w14:paraId="435F1567" w14:textId="77777777" w:rsidR="00990B14" w:rsidRDefault="00000000">
            <w:pPr>
              <w:numPr>
                <w:ilvl w:val="0"/>
                <w:numId w:val="140"/>
              </w:numPr>
              <w:spacing w:after="20"/>
              <w:jc w:val="both"/>
            </w:pPr>
            <w:r>
              <w:rPr>
                <w:sz w:val="18"/>
                <w:szCs w:val="18"/>
              </w:rPr>
              <w:t>Ley de la Empresa Social, Ley N.º 1055 de Creación de Empresas Sociales. Gaceta Oficial de Bolivia.</w:t>
            </w:r>
          </w:p>
          <w:p w14:paraId="31C4F4E6" w14:textId="77777777" w:rsidR="00990B14" w:rsidRDefault="00000000">
            <w:pPr>
              <w:numPr>
                <w:ilvl w:val="0"/>
                <w:numId w:val="140"/>
              </w:numPr>
              <w:spacing w:after="20"/>
              <w:jc w:val="both"/>
            </w:pPr>
            <w:r>
              <w:rPr>
                <w:sz w:val="18"/>
                <w:szCs w:val="18"/>
              </w:rPr>
              <w:t>Ley de Seguros, Ley N.º 1883. Gaceta Oficial de Bolivia.</w:t>
            </w:r>
          </w:p>
          <w:p w14:paraId="6BF3E548" w14:textId="77777777" w:rsidR="00990B14" w:rsidRDefault="00000000">
            <w:pPr>
              <w:numPr>
                <w:ilvl w:val="0"/>
                <w:numId w:val="140"/>
              </w:numPr>
              <w:spacing w:after="20"/>
              <w:jc w:val="both"/>
            </w:pPr>
            <w:r>
              <w:rPr>
                <w:sz w:val="18"/>
                <w:szCs w:val="18"/>
              </w:rPr>
              <w:t>Ley del Mercado de Valores, Ley N.º 1834. Gaceta Oficial de Bolivia.</w:t>
            </w:r>
          </w:p>
          <w:p w14:paraId="06AFF12C" w14:textId="77777777" w:rsidR="00990B14" w:rsidRDefault="00000000">
            <w:pPr>
              <w:numPr>
                <w:ilvl w:val="0"/>
                <w:numId w:val="140"/>
              </w:numPr>
              <w:spacing w:after="20"/>
              <w:jc w:val="both"/>
            </w:pPr>
            <w:r>
              <w:rPr>
                <w:sz w:val="18"/>
                <w:szCs w:val="18"/>
              </w:rPr>
              <w:t>Ley N.º 164, General de Telecomunicaciones, Tecnologías de Información y Comunicación. Gaceta Oficial de Bolivia.</w:t>
            </w:r>
          </w:p>
          <w:p w14:paraId="26C3DBC2" w14:textId="77777777" w:rsidR="00990B14" w:rsidRDefault="00000000">
            <w:pPr>
              <w:numPr>
                <w:ilvl w:val="0"/>
                <w:numId w:val="140"/>
              </w:numPr>
              <w:spacing w:after="20"/>
              <w:jc w:val="both"/>
            </w:pPr>
            <w:r>
              <w:rPr>
                <w:sz w:val="18"/>
                <w:szCs w:val="18"/>
              </w:rPr>
              <w:t>Servicio Plurinacional de Registro de Comercio (SEPREC). Instructivos del Registro de Comercio.</w:t>
            </w:r>
          </w:p>
          <w:p w14:paraId="42D272D9" w14:textId="77777777" w:rsidR="00990B14" w:rsidRDefault="00000000">
            <w:pPr>
              <w:numPr>
                <w:ilvl w:val="0"/>
                <w:numId w:val="140"/>
              </w:numPr>
              <w:spacing w:after="20"/>
              <w:jc w:val="both"/>
            </w:pPr>
            <w:r>
              <w:rPr>
                <w:sz w:val="18"/>
                <w:szCs w:val="18"/>
              </w:rPr>
              <w:t>Servicio Plurinacional de Registro de Comercio (SEPREC). Manual de trámites del Registro de Comercio.</w:t>
            </w:r>
          </w:p>
        </w:tc>
      </w:tr>
      <w:tr w:rsidR="00990B14" w14:paraId="292F8427" w14:textId="77777777">
        <w:trPr>
          <w:jc w:val="center"/>
        </w:trPr>
        <w:tc>
          <w:tcPr>
            <w:tcW w:w="9405" w:type="dxa"/>
            <w:shd w:val="clear" w:color="auto" w:fill="D9E2F3"/>
          </w:tcPr>
          <w:p w14:paraId="1B7C6ED4" w14:textId="77777777" w:rsidR="00990B14" w:rsidRDefault="00000000">
            <w:pPr>
              <w:spacing w:before="40" w:after="40"/>
              <w:jc w:val="both"/>
            </w:pPr>
            <w:r>
              <w:rPr>
                <w:b/>
                <w:bCs/>
                <w:i/>
                <w:iCs/>
                <w:sz w:val="18"/>
                <w:szCs w:val="18"/>
              </w:rPr>
              <w:t>Bibliografía complementaria:</w:t>
            </w:r>
          </w:p>
          <w:p w14:paraId="0FB48546" w14:textId="77777777" w:rsidR="00990B14" w:rsidRDefault="00000000">
            <w:pPr>
              <w:numPr>
                <w:ilvl w:val="0"/>
                <w:numId w:val="140"/>
              </w:numPr>
              <w:spacing w:after="20"/>
              <w:jc w:val="both"/>
            </w:pPr>
            <w:r>
              <w:rPr>
                <w:sz w:val="18"/>
                <w:szCs w:val="18"/>
              </w:rPr>
              <w:t xml:space="preserve">Broseta Pont, M. (2021). </w:t>
            </w:r>
            <w:r>
              <w:rPr>
                <w:i/>
                <w:iCs/>
                <w:sz w:val="18"/>
                <w:szCs w:val="18"/>
              </w:rPr>
              <w:t>Manual de derecho mercantil</w:t>
            </w:r>
            <w:r>
              <w:rPr>
                <w:sz w:val="18"/>
                <w:szCs w:val="18"/>
              </w:rPr>
              <w:t>. Tomo I y II. Madrid: Tecnos.</w:t>
            </w:r>
          </w:p>
          <w:p w14:paraId="1B698222" w14:textId="77777777" w:rsidR="00990B14" w:rsidRDefault="00000000">
            <w:pPr>
              <w:numPr>
                <w:ilvl w:val="0"/>
                <w:numId w:val="140"/>
              </w:numPr>
              <w:spacing w:after="20"/>
              <w:jc w:val="both"/>
            </w:pPr>
            <w:r>
              <w:rPr>
                <w:sz w:val="18"/>
                <w:szCs w:val="18"/>
              </w:rPr>
              <w:t xml:space="preserve">Castrillón, V. (2017). </w:t>
            </w:r>
            <w:r>
              <w:rPr>
                <w:i/>
                <w:iCs/>
                <w:sz w:val="18"/>
                <w:szCs w:val="18"/>
              </w:rPr>
              <w:t>Tratado de derecho mercantil</w:t>
            </w:r>
            <w:r>
              <w:rPr>
                <w:sz w:val="18"/>
                <w:szCs w:val="18"/>
              </w:rPr>
              <w:t>. México: Porrúa.</w:t>
            </w:r>
          </w:p>
          <w:p w14:paraId="39B21291" w14:textId="77777777" w:rsidR="00990B14" w:rsidRDefault="00000000">
            <w:pPr>
              <w:numPr>
                <w:ilvl w:val="0"/>
                <w:numId w:val="140"/>
              </w:numPr>
              <w:spacing w:after="20"/>
              <w:jc w:val="both"/>
            </w:pPr>
            <w:r>
              <w:rPr>
                <w:sz w:val="18"/>
                <w:szCs w:val="18"/>
              </w:rPr>
              <w:t xml:space="preserve">De Pina, R. (2002). </w:t>
            </w:r>
            <w:r>
              <w:rPr>
                <w:i/>
                <w:iCs/>
                <w:sz w:val="18"/>
                <w:szCs w:val="18"/>
              </w:rPr>
              <w:t>Elementos de derecho mercantil mexicano</w:t>
            </w:r>
            <w:r>
              <w:rPr>
                <w:sz w:val="18"/>
                <w:szCs w:val="18"/>
              </w:rPr>
              <w:t>. México: Porrúa.</w:t>
            </w:r>
          </w:p>
          <w:p w14:paraId="7F7F11B3" w14:textId="77777777" w:rsidR="00990B14" w:rsidRDefault="00000000">
            <w:pPr>
              <w:numPr>
                <w:ilvl w:val="0"/>
                <w:numId w:val="140"/>
              </w:numPr>
              <w:spacing w:after="20"/>
              <w:jc w:val="both"/>
            </w:pPr>
            <w:r>
              <w:rPr>
                <w:sz w:val="18"/>
                <w:szCs w:val="18"/>
              </w:rPr>
              <w:t xml:space="preserve">Menéndez Menéndez, A. y Rojo, Á. (2019). </w:t>
            </w:r>
            <w:r>
              <w:rPr>
                <w:i/>
                <w:iCs/>
                <w:sz w:val="18"/>
                <w:szCs w:val="18"/>
              </w:rPr>
              <w:t>Lecciones de derecho mercantil</w:t>
            </w:r>
            <w:r>
              <w:rPr>
                <w:sz w:val="18"/>
                <w:szCs w:val="18"/>
              </w:rPr>
              <w:t>. Navarra, España: Thomson Civitas.</w:t>
            </w:r>
          </w:p>
          <w:p w14:paraId="48D6F5BD" w14:textId="77777777" w:rsidR="00990B14" w:rsidRDefault="00000000">
            <w:pPr>
              <w:numPr>
                <w:ilvl w:val="0"/>
                <w:numId w:val="140"/>
              </w:numPr>
              <w:spacing w:after="20"/>
              <w:jc w:val="both"/>
            </w:pPr>
            <w:r>
              <w:rPr>
                <w:sz w:val="18"/>
                <w:szCs w:val="18"/>
              </w:rPr>
              <w:t xml:space="preserve">Ovando, J. (2008). </w:t>
            </w:r>
            <w:r>
              <w:rPr>
                <w:i/>
                <w:iCs/>
                <w:sz w:val="18"/>
                <w:szCs w:val="18"/>
              </w:rPr>
              <w:t>Sociedades comerciales</w:t>
            </w:r>
            <w:r>
              <w:rPr>
                <w:sz w:val="18"/>
                <w:szCs w:val="18"/>
              </w:rPr>
              <w:t>. La Paz: Plural Editores.</w:t>
            </w:r>
          </w:p>
          <w:p w14:paraId="799E3B48" w14:textId="77777777" w:rsidR="00990B14" w:rsidRDefault="00000000">
            <w:pPr>
              <w:numPr>
                <w:ilvl w:val="0"/>
                <w:numId w:val="140"/>
              </w:numPr>
              <w:spacing w:after="20"/>
              <w:jc w:val="both"/>
            </w:pPr>
            <w:r>
              <w:rPr>
                <w:sz w:val="18"/>
                <w:szCs w:val="18"/>
              </w:rPr>
              <w:t xml:space="preserve">Rodríguez Rodríguez, J. (1998). </w:t>
            </w:r>
            <w:r>
              <w:rPr>
                <w:i/>
                <w:iCs/>
                <w:sz w:val="18"/>
                <w:szCs w:val="18"/>
              </w:rPr>
              <w:t>Curso de derecho mercantil</w:t>
            </w:r>
            <w:r>
              <w:rPr>
                <w:sz w:val="18"/>
                <w:szCs w:val="18"/>
              </w:rPr>
              <w:t>. México: Porrúa.</w:t>
            </w:r>
          </w:p>
          <w:p w14:paraId="46554160" w14:textId="77777777" w:rsidR="00990B14" w:rsidRDefault="00000000">
            <w:pPr>
              <w:numPr>
                <w:ilvl w:val="0"/>
                <w:numId w:val="140"/>
              </w:numPr>
              <w:spacing w:after="20"/>
              <w:jc w:val="both"/>
            </w:pPr>
            <w:r>
              <w:rPr>
                <w:sz w:val="18"/>
                <w:szCs w:val="18"/>
              </w:rPr>
              <w:t xml:space="preserve">Sánchez Calero, F. (2014). </w:t>
            </w:r>
            <w:r>
              <w:rPr>
                <w:i/>
                <w:iCs/>
                <w:sz w:val="18"/>
                <w:szCs w:val="18"/>
              </w:rPr>
              <w:t>Instituciones de derecho mercantil</w:t>
            </w:r>
            <w:r>
              <w:rPr>
                <w:sz w:val="18"/>
                <w:szCs w:val="18"/>
              </w:rPr>
              <w:t>. Vol. I. Madrid: Tecnos.</w:t>
            </w:r>
          </w:p>
          <w:p w14:paraId="4FB9E268" w14:textId="77777777" w:rsidR="00990B14" w:rsidRDefault="00000000">
            <w:pPr>
              <w:numPr>
                <w:ilvl w:val="0"/>
                <w:numId w:val="140"/>
              </w:numPr>
              <w:spacing w:after="20"/>
              <w:jc w:val="both"/>
            </w:pPr>
            <w:r>
              <w:rPr>
                <w:sz w:val="18"/>
                <w:szCs w:val="18"/>
              </w:rPr>
              <w:t xml:space="preserve">Sánchez Cannavó, S. (2017). </w:t>
            </w:r>
            <w:r>
              <w:rPr>
                <w:i/>
                <w:iCs/>
                <w:sz w:val="18"/>
                <w:szCs w:val="18"/>
              </w:rPr>
              <w:t>Manual de derecho comercial</w:t>
            </w:r>
            <w:r>
              <w:rPr>
                <w:sz w:val="18"/>
                <w:szCs w:val="18"/>
              </w:rPr>
              <w:t>. Buenos Aires: Edunpaz.</w:t>
            </w:r>
          </w:p>
        </w:tc>
      </w:tr>
    </w:tbl>
    <w:p w14:paraId="1EED93E0" w14:textId="77777777" w:rsidR="00990B14" w:rsidRDefault="00000000">
      <w:pPr>
        <w:pStyle w:val="TituloPlanAsignatura"/>
        <w:keepNext/>
        <w:pageBreakBefore/>
        <w:spacing w:after="120"/>
        <w:jc w:val="center"/>
        <w:outlineLvl w:val="2"/>
      </w:pPr>
      <w:bookmarkStart w:id="150" w:name="_Toc000000091"/>
      <w:r>
        <w:rPr>
          <w:b/>
          <w:bCs/>
          <w:sz w:val="24"/>
          <w:szCs w:val="24"/>
        </w:rPr>
        <w:t>DER-102 Derecho Laboral y Seguridad Social</w:t>
      </w:r>
      <w:bookmarkEnd w:id="150"/>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249"/>
        <w:gridCol w:w="1100"/>
        <w:gridCol w:w="149"/>
        <w:gridCol w:w="635"/>
        <w:gridCol w:w="615"/>
        <w:gridCol w:w="952"/>
        <w:gridCol w:w="298"/>
        <w:gridCol w:w="1250"/>
        <w:gridCol w:w="20"/>
        <w:gridCol w:w="385"/>
        <w:gridCol w:w="398"/>
        <w:gridCol w:w="447"/>
        <w:gridCol w:w="1907"/>
      </w:tblGrid>
      <w:tr w:rsidR="00990B14" w14:paraId="6BF8DD7F" w14:textId="77777777">
        <w:trPr>
          <w:cantSplit/>
          <w:jc w:val="center"/>
        </w:trPr>
        <w:tc>
          <w:tcPr>
            <w:tcW w:w="2349" w:type="dxa"/>
            <w:gridSpan w:val="2"/>
            <w:shd w:val="clear" w:color="auto" w:fill="4472C4"/>
            <w:vAlign w:val="center"/>
          </w:tcPr>
          <w:p w14:paraId="1B4ECBB3" w14:textId="77777777" w:rsidR="00990B14" w:rsidRDefault="00000000">
            <w:pPr>
              <w:keepNext/>
              <w:spacing w:before="20" w:after="20"/>
              <w:jc w:val="center"/>
            </w:pPr>
            <w:r>
              <w:rPr>
                <w:b/>
                <w:bCs/>
                <w:i/>
                <w:iCs/>
                <w:color w:val="FFFFFF"/>
                <w:sz w:val="18"/>
                <w:szCs w:val="18"/>
              </w:rPr>
              <w:t>Asignatura</w:t>
            </w:r>
          </w:p>
        </w:tc>
        <w:tc>
          <w:tcPr>
            <w:tcW w:w="2351" w:type="dxa"/>
            <w:gridSpan w:val="4"/>
            <w:shd w:val="clear" w:color="auto" w:fill="4472C4"/>
            <w:vAlign w:val="center"/>
          </w:tcPr>
          <w:p w14:paraId="38E944E8" w14:textId="77777777" w:rsidR="00990B14" w:rsidRDefault="00000000">
            <w:pPr>
              <w:keepNext/>
              <w:spacing w:before="20" w:after="20"/>
              <w:jc w:val="center"/>
            </w:pPr>
            <w:r>
              <w:rPr>
                <w:b/>
                <w:bCs/>
                <w:i/>
                <w:iCs/>
                <w:color w:val="FFFFFF"/>
                <w:sz w:val="18"/>
                <w:szCs w:val="18"/>
              </w:rPr>
              <w:t>Sigla</w:t>
            </w:r>
          </w:p>
        </w:tc>
        <w:tc>
          <w:tcPr>
            <w:tcW w:w="2351" w:type="dxa"/>
            <w:gridSpan w:val="5"/>
            <w:shd w:val="clear" w:color="auto" w:fill="4472C4"/>
            <w:vAlign w:val="center"/>
          </w:tcPr>
          <w:p w14:paraId="68053891" w14:textId="77777777" w:rsidR="00990B14" w:rsidRDefault="00000000">
            <w:pPr>
              <w:keepNext/>
              <w:spacing w:before="20" w:after="20"/>
              <w:jc w:val="center"/>
            </w:pPr>
            <w:r>
              <w:rPr>
                <w:b/>
                <w:bCs/>
                <w:i/>
                <w:iCs/>
                <w:color w:val="FFFFFF"/>
                <w:sz w:val="18"/>
                <w:szCs w:val="18"/>
              </w:rPr>
              <w:t>Nivel/Área</w:t>
            </w:r>
          </w:p>
        </w:tc>
        <w:tc>
          <w:tcPr>
            <w:tcW w:w="2354" w:type="dxa"/>
            <w:gridSpan w:val="2"/>
            <w:shd w:val="clear" w:color="auto" w:fill="4472C4"/>
            <w:vAlign w:val="center"/>
          </w:tcPr>
          <w:p w14:paraId="2B580D09" w14:textId="77777777" w:rsidR="00990B14" w:rsidRDefault="00000000">
            <w:pPr>
              <w:keepNext/>
              <w:spacing w:before="20" w:after="20"/>
              <w:jc w:val="center"/>
            </w:pPr>
            <w:r>
              <w:rPr>
                <w:b/>
                <w:bCs/>
                <w:i/>
                <w:iCs/>
                <w:color w:val="FFFFFF"/>
                <w:sz w:val="18"/>
                <w:szCs w:val="18"/>
              </w:rPr>
              <w:t>Prerrequisito</w:t>
            </w:r>
          </w:p>
        </w:tc>
      </w:tr>
      <w:tr w:rsidR="00990B14" w14:paraId="14A27460" w14:textId="77777777">
        <w:trPr>
          <w:cantSplit/>
          <w:jc w:val="center"/>
        </w:trPr>
        <w:tc>
          <w:tcPr>
            <w:tcW w:w="2349" w:type="dxa"/>
            <w:gridSpan w:val="2"/>
            <w:shd w:val="clear" w:color="auto" w:fill="D9E2F3"/>
            <w:vAlign w:val="center"/>
          </w:tcPr>
          <w:p w14:paraId="45563910" w14:textId="77777777" w:rsidR="00990B14" w:rsidRDefault="00000000">
            <w:pPr>
              <w:spacing w:before="20" w:after="20"/>
              <w:jc w:val="center"/>
            </w:pPr>
            <w:r>
              <w:rPr>
                <w:b/>
                <w:bCs/>
                <w:i/>
                <w:iCs/>
                <w:sz w:val="18"/>
                <w:szCs w:val="18"/>
              </w:rPr>
              <w:t>Derecho Laboral y Seguridad Social</w:t>
            </w:r>
          </w:p>
        </w:tc>
        <w:tc>
          <w:tcPr>
            <w:tcW w:w="2351" w:type="dxa"/>
            <w:gridSpan w:val="4"/>
            <w:shd w:val="clear" w:color="auto" w:fill="D9E2F3"/>
            <w:vAlign w:val="center"/>
          </w:tcPr>
          <w:p w14:paraId="17D7F242" w14:textId="77777777" w:rsidR="00990B14" w:rsidRDefault="00000000">
            <w:pPr>
              <w:spacing w:before="20" w:after="20"/>
              <w:jc w:val="center"/>
            </w:pPr>
            <w:r>
              <w:rPr>
                <w:b/>
                <w:bCs/>
                <w:i/>
                <w:iCs/>
                <w:sz w:val="18"/>
                <w:szCs w:val="18"/>
              </w:rPr>
              <w:t>DER-102</w:t>
            </w:r>
          </w:p>
        </w:tc>
        <w:tc>
          <w:tcPr>
            <w:tcW w:w="2351" w:type="dxa"/>
            <w:gridSpan w:val="5"/>
            <w:shd w:val="clear" w:color="auto" w:fill="D9E2F3"/>
            <w:vAlign w:val="center"/>
          </w:tcPr>
          <w:p w14:paraId="5275807A" w14:textId="77777777" w:rsidR="00990B14" w:rsidRDefault="00000000">
            <w:pPr>
              <w:spacing w:before="20" w:after="20"/>
              <w:jc w:val="center"/>
            </w:pPr>
            <w:r>
              <w:rPr>
                <w:b/>
                <w:bCs/>
                <w:i/>
                <w:iCs/>
                <w:sz w:val="18"/>
                <w:szCs w:val="18"/>
              </w:rPr>
              <w:t>Derecho</w:t>
            </w:r>
          </w:p>
        </w:tc>
        <w:tc>
          <w:tcPr>
            <w:tcW w:w="2354" w:type="dxa"/>
            <w:gridSpan w:val="2"/>
            <w:shd w:val="clear" w:color="auto" w:fill="D9E2F3"/>
            <w:vAlign w:val="center"/>
          </w:tcPr>
          <w:p w14:paraId="00CEB27F" w14:textId="77777777" w:rsidR="00990B14" w:rsidRDefault="00000000">
            <w:pPr>
              <w:spacing w:before="20" w:after="20"/>
              <w:jc w:val="center"/>
            </w:pPr>
            <w:r>
              <w:rPr>
                <w:b/>
                <w:bCs/>
                <w:i/>
                <w:iCs/>
                <w:sz w:val="18"/>
                <w:szCs w:val="18"/>
              </w:rPr>
              <w:t>AE, CPF o PSA</w:t>
            </w:r>
          </w:p>
        </w:tc>
      </w:tr>
      <w:tr w:rsidR="00990B14" w14:paraId="4495D3B9" w14:textId="77777777">
        <w:trPr>
          <w:cantSplit/>
          <w:jc w:val="center"/>
        </w:trPr>
        <w:tc>
          <w:tcPr>
            <w:tcW w:w="7498" w:type="dxa"/>
            <w:gridSpan w:val="12"/>
            <w:shd w:val="clear" w:color="auto" w:fill="4472C4"/>
            <w:vAlign w:val="center"/>
          </w:tcPr>
          <w:p w14:paraId="3757503B" w14:textId="77777777" w:rsidR="00990B14" w:rsidRDefault="00000000">
            <w:pPr>
              <w:keepNext/>
              <w:spacing w:before="20" w:after="20"/>
              <w:jc w:val="center"/>
            </w:pPr>
            <w:r>
              <w:rPr>
                <w:b/>
                <w:bCs/>
                <w:i/>
                <w:iCs/>
                <w:color w:val="FFFFFF"/>
                <w:sz w:val="18"/>
                <w:szCs w:val="18"/>
              </w:rPr>
              <w:t>Carga Horaria</w:t>
            </w:r>
          </w:p>
        </w:tc>
        <w:tc>
          <w:tcPr>
            <w:tcW w:w="1907" w:type="dxa"/>
            <w:shd w:val="clear" w:color="auto" w:fill="4472C4"/>
            <w:vAlign w:val="center"/>
          </w:tcPr>
          <w:p w14:paraId="2BADC61B" w14:textId="77777777" w:rsidR="00990B14" w:rsidRDefault="00000000">
            <w:pPr>
              <w:keepNext/>
              <w:spacing w:before="20" w:after="20"/>
              <w:jc w:val="center"/>
            </w:pPr>
            <w:r>
              <w:rPr>
                <w:b/>
                <w:bCs/>
                <w:i/>
                <w:iCs/>
                <w:color w:val="FFFFFF"/>
                <w:sz w:val="18"/>
                <w:szCs w:val="18"/>
              </w:rPr>
              <w:t>Créditos</w:t>
            </w:r>
          </w:p>
        </w:tc>
      </w:tr>
      <w:tr w:rsidR="00990B14" w14:paraId="41EBD59F" w14:textId="77777777">
        <w:trPr>
          <w:cantSplit/>
          <w:jc w:val="center"/>
        </w:trPr>
        <w:tc>
          <w:tcPr>
            <w:tcW w:w="1249" w:type="dxa"/>
            <w:shd w:val="clear" w:color="auto" w:fill="4472C4"/>
            <w:vAlign w:val="center"/>
          </w:tcPr>
          <w:p w14:paraId="42E838D9" w14:textId="77777777" w:rsidR="00990B14" w:rsidRDefault="00000000">
            <w:pPr>
              <w:keepNext/>
              <w:spacing w:before="20" w:after="20"/>
              <w:jc w:val="center"/>
            </w:pPr>
            <w:r>
              <w:rPr>
                <w:b/>
                <w:bCs/>
                <w:i/>
                <w:iCs/>
                <w:color w:val="FFFFFF"/>
                <w:sz w:val="18"/>
                <w:szCs w:val="18"/>
              </w:rPr>
              <w:t>HP</w:t>
            </w:r>
          </w:p>
        </w:tc>
        <w:tc>
          <w:tcPr>
            <w:tcW w:w="1249" w:type="dxa"/>
            <w:gridSpan w:val="2"/>
            <w:shd w:val="clear" w:color="auto" w:fill="4472C4"/>
            <w:vAlign w:val="center"/>
          </w:tcPr>
          <w:p w14:paraId="61D9B219" w14:textId="77777777" w:rsidR="00990B14" w:rsidRDefault="00000000">
            <w:pPr>
              <w:keepNext/>
              <w:spacing w:before="20" w:after="20"/>
              <w:jc w:val="center"/>
            </w:pPr>
            <w:r>
              <w:rPr>
                <w:b/>
                <w:bCs/>
                <w:i/>
                <w:iCs/>
                <w:color w:val="FFFFFF"/>
                <w:sz w:val="18"/>
                <w:szCs w:val="18"/>
              </w:rPr>
              <w:t>HAA</w:t>
            </w:r>
          </w:p>
        </w:tc>
        <w:tc>
          <w:tcPr>
            <w:tcW w:w="1250" w:type="dxa"/>
            <w:gridSpan w:val="2"/>
            <w:shd w:val="clear" w:color="auto" w:fill="4472C4"/>
            <w:vAlign w:val="center"/>
          </w:tcPr>
          <w:p w14:paraId="77925E0B" w14:textId="77777777" w:rsidR="00990B14" w:rsidRDefault="00000000">
            <w:pPr>
              <w:keepNext/>
              <w:spacing w:before="20" w:after="20"/>
              <w:jc w:val="center"/>
            </w:pPr>
            <w:r>
              <w:rPr>
                <w:b/>
                <w:bCs/>
                <w:i/>
                <w:iCs/>
                <w:color w:val="FFFFFF"/>
                <w:sz w:val="18"/>
                <w:szCs w:val="18"/>
              </w:rPr>
              <w:t>HTG</w:t>
            </w:r>
          </w:p>
        </w:tc>
        <w:tc>
          <w:tcPr>
            <w:tcW w:w="1250" w:type="dxa"/>
            <w:gridSpan w:val="2"/>
            <w:shd w:val="clear" w:color="auto" w:fill="4472C4"/>
            <w:vAlign w:val="center"/>
          </w:tcPr>
          <w:p w14:paraId="452EBA97" w14:textId="77777777" w:rsidR="00990B14" w:rsidRDefault="00000000">
            <w:pPr>
              <w:keepNext/>
              <w:spacing w:before="20" w:after="20"/>
              <w:jc w:val="center"/>
            </w:pPr>
            <w:r>
              <w:rPr>
                <w:b/>
                <w:bCs/>
                <w:i/>
                <w:iCs/>
                <w:color w:val="FFFFFF"/>
                <w:sz w:val="18"/>
                <w:szCs w:val="18"/>
              </w:rPr>
              <w:t>HIP</w:t>
            </w:r>
          </w:p>
        </w:tc>
        <w:tc>
          <w:tcPr>
            <w:tcW w:w="1250" w:type="dxa"/>
            <w:shd w:val="clear" w:color="auto" w:fill="4472C4"/>
            <w:vAlign w:val="center"/>
          </w:tcPr>
          <w:p w14:paraId="2CB91098" w14:textId="77777777" w:rsidR="00990B14" w:rsidRDefault="00000000">
            <w:pPr>
              <w:keepNext/>
              <w:spacing w:before="20" w:after="20"/>
              <w:jc w:val="center"/>
            </w:pPr>
            <w:r>
              <w:rPr>
                <w:b/>
                <w:bCs/>
                <w:i/>
                <w:iCs/>
                <w:color w:val="FFFFFF"/>
                <w:sz w:val="18"/>
                <w:szCs w:val="18"/>
              </w:rPr>
              <w:t>HE</w:t>
            </w:r>
          </w:p>
        </w:tc>
        <w:tc>
          <w:tcPr>
            <w:tcW w:w="1250" w:type="dxa"/>
            <w:gridSpan w:val="4"/>
            <w:shd w:val="clear" w:color="auto" w:fill="4472C4"/>
            <w:vAlign w:val="center"/>
          </w:tcPr>
          <w:p w14:paraId="52BE539C" w14:textId="77777777" w:rsidR="00990B14" w:rsidRDefault="00000000">
            <w:pPr>
              <w:keepNext/>
              <w:spacing w:before="20" w:after="20"/>
              <w:jc w:val="center"/>
            </w:pPr>
            <w:r>
              <w:rPr>
                <w:b/>
                <w:bCs/>
                <w:i/>
                <w:iCs/>
                <w:color w:val="FFFFFF"/>
                <w:sz w:val="18"/>
                <w:szCs w:val="18"/>
              </w:rPr>
              <w:t>TOTAL</w:t>
            </w:r>
          </w:p>
        </w:tc>
        <w:tc>
          <w:tcPr>
            <w:tcW w:w="1907" w:type="dxa"/>
            <w:vMerge w:val="restart"/>
            <w:shd w:val="clear" w:color="auto" w:fill="D9E2F3"/>
            <w:vAlign w:val="center"/>
          </w:tcPr>
          <w:p w14:paraId="6A9A70F2" w14:textId="77777777" w:rsidR="00990B14" w:rsidRDefault="00000000">
            <w:pPr>
              <w:spacing w:before="20" w:after="20"/>
              <w:jc w:val="center"/>
            </w:pPr>
            <w:r>
              <w:rPr>
                <w:sz w:val="18"/>
                <w:szCs w:val="18"/>
              </w:rPr>
              <w:t>5</w:t>
            </w:r>
          </w:p>
        </w:tc>
      </w:tr>
      <w:tr w:rsidR="00990B14" w14:paraId="3E254393" w14:textId="77777777">
        <w:trPr>
          <w:cantSplit/>
          <w:jc w:val="center"/>
        </w:trPr>
        <w:tc>
          <w:tcPr>
            <w:tcW w:w="1249" w:type="dxa"/>
            <w:shd w:val="clear" w:color="auto" w:fill="D9E2F3"/>
            <w:vAlign w:val="center"/>
          </w:tcPr>
          <w:p w14:paraId="0F6F0936" w14:textId="77777777" w:rsidR="00990B14" w:rsidRDefault="00000000">
            <w:pPr>
              <w:spacing w:before="20" w:after="20"/>
              <w:jc w:val="center"/>
            </w:pPr>
            <w:r>
              <w:rPr>
                <w:sz w:val="18"/>
                <w:szCs w:val="18"/>
              </w:rPr>
              <w:t>80</w:t>
            </w:r>
          </w:p>
        </w:tc>
        <w:tc>
          <w:tcPr>
            <w:tcW w:w="1249" w:type="dxa"/>
            <w:gridSpan w:val="2"/>
            <w:shd w:val="clear" w:color="auto" w:fill="D9E2F3"/>
            <w:vAlign w:val="center"/>
          </w:tcPr>
          <w:p w14:paraId="31C104EE" w14:textId="77777777" w:rsidR="00990B14" w:rsidRDefault="00000000">
            <w:pPr>
              <w:spacing w:before="20" w:after="20"/>
              <w:jc w:val="center"/>
            </w:pPr>
            <w:r>
              <w:rPr>
                <w:sz w:val="18"/>
                <w:szCs w:val="18"/>
              </w:rPr>
              <w:t>14</w:t>
            </w:r>
          </w:p>
        </w:tc>
        <w:tc>
          <w:tcPr>
            <w:tcW w:w="1250" w:type="dxa"/>
            <w:gridSpan w:val="2"/>
            <w:shd w:val="clear" w:color="auto" w:fill="D9E2F3"/>
            <w:vAlign w:val="center"/>
          </w:tcPr>
          <w:p w14:paraId="54E6EDA9" w14:textId="77777777" w:rsidR="00990B14" w:rsidRDefault="00000000">
            <w:pPr>
              <w:spacing w:before="20" w:after="20"/>
              <w:jc w:val="center"/>
            </w:pPr>
            <w:r>
              <w:rPr>
                <w:sz w:val="18"/>
                <w:szCs w:val="18"/>
              </w:rPr>
              <w:t>14</w:t>
            </w:r>
          </w:p>
        </w:tc>
        <w:tc>
          <w:tcPr>
            <w:tcW w:w="1250" w:type="dxa"/>
            <w:gridSpan w:val="2"/>
            <w:shd w:val="clear" w:color="auto" w:fill="D9E2F3"/>
            <w:vAlign w:val="center"/>
          </w:tcPr>
          <w:p w14:paraId="3A384602" w14:textId="77777777" w:rsidR="00990B14" w:rsidRDefault="00000000">
            <w:pPr>
              <w:spacing w:before="20" w:after="20"/>
              <w:jc w:val="center"/>
            </w:pPr>
            <w:r>
              <w:rPr>
                <w:sz w:val="18"/>
                <w:szCs w:val="18"/>
              </w:rPr>
              <w:t>28</w:t>
            </w:r>
          </w:p>
        </w:tc>
        <w:tc>
          <w:tcPr>
            <w:tcW w:w="1250" w:type="dxa"/>
            <w:shd w:val="clear" w:color="auto" w:fill="D9E2F3"/>
            <w:vAlign w:val="center"/>
          </w:tcPr>
          <w:p w14:paraId="1BE29DDC" w14:textId="77777777" w:rsidR="00990B14" w:rsidRDefault="00000000">
            <w:pPr>
              <w:spacing w:before="20" w:after="20"/>
              <w:jc w:val="center"/>
            </w:pPr>
            <w:r>
              <w:rPr>
                <w:sz w:val="18"/>
                <w:szCs w:val="18"/>
              </w:rPr>
              <w:t>14</w:t>
            </w:r>
          </w:p>
        </w:tc>
        <w:tc>
          <w:tcPr>
            <w:tcW w:w="1250" w:type="dxa"/>
            <w:gridSpan w:val="4"/>
            <w:shd w:val="clear" w:color="auto" w:fill="D9E2F3"/>
            <w:vAlign w:val="center"/>
          </w:tcPr>
          <w:p w14:paraId="5FCEC04F" w14:textId="77777777" w:rsidR="00990B14" w:rsidRDefault="00000000">
            <w:pPr>
              <w:spacing w:before="20" w:after="20"/>
              <w:jc w:val="center"/>
            </w:pPr>
            <w:r>
              <w:rPr>
                <w:sz w:val="18"/>
                <w:szCs w:val="18"/>
              </w:rPr>
              <w:t>150</w:t>
            </w:r>
          </w:p>
        </w:tc>
        <w:tc>
          <w:tcPr>
            <w:tcW w:w="1907" w:type="dxa"/>
            <w:vMerge/>
            <w:shd w:val="clear" w:color="auto" w:fill="D9E2F3"/>
            <w:vAlign w:val="center"/>
          </w:tcPr>
          <w:p w14:paraId="19B48A2B" w14:textId="77777777" w:rsidR="00990B14" w:rsidRDefault="00990B14">
            <w:pPr>
              <w:spacing w:before="20" w:after="20"/>
            </w:pPr>
          </w:p>
        </w:tc>
      </w:tr>
      <w:tr w:rsidR="00990B14" w14:paraId="705063A4" w14:textId="77777777">
        <w:trPr>
          <w:cantSplit/>
          <w:jc w:val="center"/>
        </w:trPr>
        <w:tc>
          <w:tcPr>
            <w:tcW w:w="9405" w:type="dxa"/>
            <w:gridSpan w:val="13"/>
            <w:shd w:val="clear" w:color="auto" w:fill="4472C4"/>
            <w:vAlign w:val="center"/>
          </w:tcPr>
          <w:p w14:paraId="369E41D5" w14:textId="77777777" w:rsidR="00990B14" w:rsidRDefault="00000000">
            <w:pPr>
              <w:keepNext/>
              <w:spacing w:before="20" w:after="20"/>
              <w:jc w:val="center"/>
            </w:pPr>
            <w:r>
              <w:rPr>
                <w:b/>
                <w:bCs/>
                <w:i/>
                <w:iCs/>
                <w:color w:val="FFFFFF"/>
                <w:sz w:val="18"/>
                <w:szCs w:val="18"/>
              </w:rPr>
              <w:t>Unidad de Competencia</w:t>
            </w:r>
          </w:p>
        </w:tc>
      </w:tr>
      <w:tr w:rsidR="00990B14" w14:paraId="6C76DED6" w14:textId="77777777">
        <w:trPr>
          <w:cantSplit/>
          <w:jc w:val="center"/>
        </w:trPr>
        <w:tc>
          <w:tcPr>
            <w:tcW w:w="9405" w:type="dxa"/>
            <w:gridSpan w:val="13"/>
            <w:shd w:val="clear" w:color="auto" w:fill="D9E2F3"/>
            <w:vAlign w:val="center"/>
          </w:tcPr>
          <w:p w14:paraId="570B6D8F" w14:textId="77777777" w:rsidR="00990B14" w:rsidRDefault="00000000">
            <w:pPr>
              <w:spacing w:before="20" w:after="20"/>
              <w:jc w:val="both"/>
            </w:pPr>
            <w:r>
              <w:rPr>
                <w:sz w:val="18"/>
                <w:szCs w:val="18"/>
              </w:rPr>
              <w:t>Aplica la normativa laboral y de la seguridad social de corto y largo plazo en la gestión de las relaciones jurídicas laborales, mediante la interpretación de los derechos y obligaciones de los sujetos del derecho, la estructuración de algoritmos de cálculo sociolaboral y la determinación de componentes económicos de la nómina y aportes previsionales, para garantizar el cumplimiento legal, la certidumbre jurídica y la prevención de contingencias en la organización, con ética profesional, confidencialidad y estricto apego a las disposiciones legales vigentes.</w:t>
            </w:r>
          </w:p>
        </w:tc>
      </w:tr>
      <w:tr w:rsidR="00990B14" w14:paraId="38AF6C52" w14:textId="77777777">
        <w:trPr>
          <w:cantSplit/>
          <w:jc w:val="center"/>
        </w:trPr>
        <w:tc>
          <w:tcPr>
            <w:tcW w:w="9405" w:type="dxa"/>
            <w:gridSpan w:val="13"/>
            <w:shd w:val="clear" w:color="auto" w:fill="D9E2F3"/>
            <w:vAlign w:val="center"/>
          </w:tcPr>
          <w:p w14:paraId="274FBA6B" w14:textId="77777777" w:rsidR="00990B14" w:rsidRDefault="00000000">
            <w:pPr>
              <w:spacing w:before="20" w:after="20"/>
              <w:jc w:val="both"/>
            </w:pPr>
            <w:r>
              <w:rPr>
                <w:b/>
                <w:bCs/>
                <w:i/>
                <w:iCs/>
                <w:sz w:val="18"/>
                <w:szCs w:val="18"/>
              </w:rPr>
              <w:t xml:space="preserve">Elemento de competencia 1: </w:t>
            </w:r>
            <w:r>
              <w:rPr>
                <w:sz w:val="18"/>
                <w:szCs w:val="18"/>
              </w:rPr>
              <w:t>Analiza los fundamentos, las fuentes y los principios del derecho laboral, con relación a los sectores protegidos por la Ley General del Trabajo.</w:t>
            </w:r>
          </w:p>
        </w:tc>
      </w:tr>
      <w:tr w:rsidR="00990B14" w14:paraId="1AE997F5" w14:textId="77777777">
        <w:trPr>
          <w:cantSplit/>
          <w:jc w:val="center"/>
        </w:trPr>
        <w:tc>
          <w:tcPr>
            <w:tcW w:w="3133" w:type="dxa"/>
            <w:gridSpan w:val="4"/>
            <w:shd w:val="clear" w:color="auto" w:fill="4472C4"/>
            <w:vAlign w:val="center"/>
          </w:tcPr>
          <w:p w14:paraId="3CDB4A46"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43BD3A05"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4D679C72" w14:textId="77777777" w:rsidR="00990B14" w:rsidRDefault="00000000">
            <w:pPr>
              <w:keepNext/>
              <w:spacing w:before="20" w:after="20"/>
              <w:jc w:val="center"/>
            </w:pPr>
            <w:r>
              <w:rPr>
                <w:b/>
                <w:bCs/>
                <w:i/>
                <w:iCs/>
                <w:color w:val="FFFFFF"/>
                <w:sz w:val="18"/>
                <w:szCs w:val="18"/>
              </w:rPr>
              <w:t>Evidencias de producto</w:t>
            </w:r>
          </w:p>
        </w:tc>
      </w:tr>
      <w:tr w:rsidR="00990B14" w14:paraId="137E3188" w14:textId="77777777">
        <w:trPr>
          <w:cantSplit/>
          <w:jc w:val="center"/>
        </w:trPr>
        <w:tc>
          <w:tcPr>
            <w:tcW w:w="3133" w:type="dxa"/>
            <w:gridSpan w:val="4"/>
            <w:vMerge w:val="restart"/>
            <w:shd w:val="clear" w:color="auto" w:fill="D9E2F3"/>
            <w:vAlign w:val="center"/>
          </w:tcPr>
          <w:p w14:paraId="0E7763FB" w14:textId="77777777" w:rsidR="00990B14" w:rsidRDefault="00000000">
            <w:pPr>
              <w:spacing w:before="20" w:after="20"/>
              <w:jc w:val="both"/>
            </w:pPr>
            <w:r>
              <w:rPr>
                <w:sz w:val="18"/>
                <w:szCs w:val="18"/>
              </w:rPr>
              <w:t>1. Comprende el concepto, las fuentes y los principios del derecho laboral, aplicándolos a una relación de trabajo con criterio ético.</w:t>
            </w:r>
          </w:p>
        </w:tc>
        <w:tc>
          <w:tcPr>
            <w:tcW w:w="3135" w:type="dxa"/>
            <w:gridSpan w:val="5"/>
            <w:shd w:val="clear" w:color="auto" w:fill="D9E2F3"/>
            <w:vAlign w:val="center"/>
          </w:tcPr>
          <w:p w14:paraId="15433CB9" w14:textId="77777777" w:rsidR="00990B14" w:rsidRDefault="00000000">
            <w:pPr>
              <w:spacing w:before="20" w:after="20"/>
              <w:jc w:val="both"/>
            </w:pPr>
            <w:r>
              <w:rPr>
                <w:sz w:val="18"/>
                <w:szCs w:val="18"/>
              </w:rPr>
              <w:t>1.1 Clasifica las fuentes formales, internacionales y profesionales del derecho laboral.</w:t>
            </w:r>
          </w:p>
        </w:tc>
        <w:tc>
          <w:tcPr>
            <w:tcW w:w="3137" w:type="dxa"/>
            <w:gridSpan w:val="4"/>
            <w:shd w:val="clear" w:color="auto" w:fill="D9E2F3"/>
            <w:vAlign w:val="center"/>
          </w:tcPr>
          <w:p w14:paraId="4F7D42F3" w14:textId="77777777" w:rsidR="00990B14" w:rsidRDefault="00000000">
            <w:pPr>
              <w:spacing w:before="20" w:after="20"/>
              <w:jc w:val="both"/>
            </w:pPr>
            <w:r>
              <w:rPr>
                <w:b/>
                <w:bCs/>
                <w:sz w:val="18"/>
                <w:szCs w:val="18"/>
              </w:rPr>
              <w:t xml:space="preserve">Producto 1: </w:t>
            </w:r>
            <w:r>
              <w:rPr>
                <w:sz w:val="18"/>
                <w:szCs w:val="18"/>
              </w:rPr>
              <w:t>Cuadro de las fuentes del derecho laboral.</w:t>
            </w:r>
          </w:p>
        </w:tc>
      </w:tr>
      <w:tr w:rsidR="00990B14" w14:paraId="1E98A112" w14:textId="77777777">
        <w:trPr>
          <w:cantSplit/>
          <w:jc w:val="center"/>
        </w:trPr>
        <w:tc>
          <w:tcPr>
            <w:tcW w:w="3133" w:type="dxa"/>
            <w:gridSpan w:val="4"/>
            <w:vMerge/>
            <w:shd w:val="clear" w:color="auto" w:fill="D9E2F3"/>
            <w:vAlign w:val="center"/>
          </w:tcPr>
          <w:p w14:paraId="6B3EEC4B" w14:textId="77777777" w:rsidR="00990B14" w:rsidRDefault="00990B14">
            <w:pPr>
              <w:spacing w:before="20" w:after="20"/>
            </w:pPr>
          </w:p>
        </w:tc>
        <w:tc>
          <w:tcPr>
            <w:tcW w:w="3135" w:type="dxa"/>
            <w:gridSpan w:val="5"/>
            <w:shd w:val="clear" w:color="auto" w:fill="D9E2F3"/>
            <w:vAlign w:val="center"/>
          </w:tcPr>
          <w:p w14:paraId="67FBFACC" w14:textId="77777777" w:rsidR="00990B14" w:rsidRDefault="00000000">
            <w:pPr>
              <w:spacing w:before="20" w:after="20"/>
              <w:jc w:val="both"/>
            </w:pPr>
            <w:r>
              <w:rPr>
                <w:sz w:val="18"/>
                <w:szCs w:val="18"/>
              </w:rPr>
              <w:t>1.2 Identifica los principios del derecho laboral aplicables a un caso real.</w:t>
            </w:r>
          </w:p>
        </w:tc>
        <w:tc>
          <w:tcPr>
            <w:tcW w:w="3137" w:type="dxa"/>
            <w:gridSpan w:val="4"/>
            <w:shd w:val="clear" w:color="auto" w:fill="D9E2F3"/>
            <w:vAlign w:val="center"/>
          </w:tcPr>
          <w:p w14:paraId="48D14032" w14:textId="77777777" w:rsidR="00990B14" w:rsidRDefault="00000000">
            <w:pPr>
              <w:spacing w:before="20" w:after="20"/>
              <w:jc w:val="both"/>
            </w:pPr>
            <w:r>
              <w:rPr>
                <w:b/>
                <w:bCs/>
                <w:sz w:val="18"/>
                <w:szCs w:val="18"/>
              </w:rPr>
              <w:t xml:space="preserve">Producto 2: </w:t>
            </w:r>
            <w:r>
              <w:rPr>
                <w:sz w:val="18"/>
                <w:szCs w:val="18"/>
              </w:rPr>
              <w:t>Ficha de aplicación de los principios del derecho laboral.</w:t>
            </w:r>
          </w:p>
        </w:tc>
      </w:tr>
      <w:tr w:rsidR="00990B14" w14:paraId="3AB69A2A" w14:textId="77777777">
        <w:trPr>
          <w:cantSplit/>
          <w:jc w:val="center"/>
        </w:trPr>
        <w:tc>
          <w:tcPr>
            <w:tcW w:w="3133" w:type="dxa"/>
            <w:gridSpan w:val="4"/>
            <w:vMerge w:val="restart"/>
            <w:shd w:val="clear" w:color="auto" w:fill="D9E2F3"/>
            <w:vAlign w:val="center"/>
          </w:tcPr>
          <w:p w14:paraId="60680063" w14:textId="77777777" w:rsidR="00990B14" w:rsidRDefault="00000000">
            <w:pPr>
              <w:spacing w:before="20" w:after="20"/>
              <w:jc w:val="both"/>
            </w:pPr>
            <w:r>
              <w:rPr>
                <w:sz w:val="18"/>
                <w:szCs w:val="18"/>
              </w:rPr>
              <w:t>2. Distingue a los sujetos de la relación laboral y a los sectores reconocidos y excluidos por la Ley General del Trabajo.</w:t>
            </w:r>
          </w:p>
        </w:tc>
        <w:tc>
          <w:tcPr>
            <w:tcW w:w="3135" w:type="dxa"/>
            <w:gridSpan w:val="5"/>
            <w:shd w:val="clear" w:color="auto" w:fill="D9E2F3"/>
            <w:vAlign w:val="center"/>
          </w:tcPr>
          <w:p w14:paraId="10E3AF6F" w14:textId="77777777" w:rsidR="00990B14" w:rsidRDefault="00000000">
            <w:pPr>
              <w:spacing w:before="20" w:after="20"/>
              <w:jc w:val="both"/>
            </w:pPr>
            <w:r>
              <w:rPr>
                <w:sz w:val="18"/>
                <w:szCs w:val="18"/>
              </w:rPr>
              <w:t>2.1 Clasifica a los sujetos y a los sectores laborales de una empresa.</w:t>
            </w:r>
          </w:p>
        </w:tc>
        <w:tc>
          <w:tcPr>
            <w:tcW w:w="3137" w:type="dxa"/>
            <w:gridSpan w:val="4"/>
            <w:shd w:val="clear" w:color="auto" w:fill="D9E2F3"/>
            <w:vAlign w:val="center"/>
          </w:tcPr>
          <w:p w14:paraId="09CDE428" w14:textId="77777777" w:rsidR="00990B14" w:rsidRDefault="00000000">
            <w:pPr>
              <w:spacing w:before="20" w:after="20"/>
              <w:jc w:val="both"/>
            </w:pPr>
            <w:r>
              <w:rPr>
                <w:b/>
                <w:bCs/>
                <w:sz w:val="18"/>
                <w:szCs w:val="18"/>
              </w:rPr>
              <w:t xml:space="preserve">Producto 3: </w:t>
            </w:r>
            <w:r>
              <w:rPr>
                <w:sz w:val="18"/>
                <w:szCs w:val="18"/>
              </w:rPr>
              <w:t>Esquema de los sujetos y de los sectores laborales de la Ley General del Trabajo.</w:t>
            </w:r>
          </w:p>
        </w:tc>
      </w:tr>
      <w:tr w:rsidR="00990B14" w14:paraId="6784D297" w14:textId="77777777">
        <w:trPr>
          <w:cantSplit/>
          <w:jc w:val="center"/>
        </w:trPr>
        <w:tc>
          <w:tcPr>
            <w:tcW w:w="3133" w:type="dxa"/>
            <w:gridSpan w:val="4"/>
            <w:vMerge/>
            <w:shd w:val="clear" w:color="auto" w:fill="D9E2F3"/>
            <w:vAlign w:val="center"/>
          </w:tcPr>
          <w:p w14:paraId="0A45099D" w14:textId="77777777" w:rsidR="00990B14" w:rsidRDefault="00990B14">
            <w:pPr>
              <w:spacing w:before="20" w:after="20"/>
            </w:pPr>
          </w:p>
        </w:tc>
        <w:tc>
          <w:tcPr>
            <w:tcW w:w="3135" w:type="dxa"/>
            <w:gridSpan w:val="5"/>
            <w:shd w:val="clear" w:color="auto" w:fill="D9E2F3"/>
            <w:vAlign w:val="center"/>
          </w:tcPr>
          <w:p w14:paraId="158E8309" w14:textId="77777777" w:rsidR="00990B14" w:rsidRDefault="00000000">
            <w:pPr>
              <w:spacing w:before="20" w:after="20"/>
              <w:jc w:val="both"/>
            </w:pPr>
            <w:r>
              <w:rPr>
                <w:sz w:val="18"/>
                <w:szCs w:val="18"/>
              </w:rPr>
              <w:t>2.2 Conoce la estructura orgánica de la empresa y la relación de dependencia entre sus miembros.</w:t>
            </w:r>
          </w:p>
        </w:tc>
        <w:tc>
          <w:tcPr>
            <w:tcW w:w="3137" w:type="dxa"/>
            <w:gridSpan w:val="4"/>
            <w:shd w:val="clear" w:color="auto" w:fill="D9E2F3"/>
            <w:vAlign w:val="center"/>
          </w:tcPr>
          <w:p w14:paraId="1745B030" w14:textId="77777777" w:rsidR="00990B14" w:rsidRDefault="00000000">
            <w:pPr>
              <w:spacing w:before="20" w:after="20"/>
              <w:jc w:val="both"/>
            </w:pPr>
            <w:r>
              <w:rPr>
                <w:b/>
                <w:bCs/>
                <w:sz w:val="18"/>
                <w:szCs w:val="18"/>
              </w:rPr>
              <w:t xml:space="preserve">Producto 4: </w:t>
            </w:r>
            <w:r>
              <w:rPr>
                <w:sz w:val="18"/>
                <w:szCs w:val="18"/>
              </w:rPr>
              <w:t>Organigrama estructural y funcional.</w:t>
            </w:r>
          </w:p>
        </w:tc>
      </w:tr>
      <w:tr w:rsidR="00990B14" w14:paraId="405FA7FD" w14:textId="77777777">
        <w:trPr>
          <w:cantSplit/>
          <w:jc w:val="center"/>
        </w:trPr>
        <w:tc>
          <w:tcPr>
            <w:tcW w:w="9405" w:type="dxa"/>
            <w:gridSpan w:val="13"/>
            <w:shd w:val="clear" w:color="auto" w:fill="4472C4"/>
            <w:vAlign w:val="center"/>
          </w:tcPr>
          <w:p w14:paraId="6D8FCAB0" w14:textId="77777777" w:rsidR="00990B14" w:rsidRDefault="00000000">
            <w:pPr>
              <w:keepNext/>
              <w:spacing w:before="20" w:after="20"/>
              <w:jc w:val="center"/>
            </w:pPr>
            <w:r>
              <w:rPr>
                <w:b/>
                <w:bCs/>
                <w:i/>
                <w:iCs/>
                <w:color w:val="FFFFFF"/>
                <w:sz w:val="18"/>
                <w:szCs w:val="18"/>
              </w:rPr>
              <w:t>Evidencias de conocimiento</w:t>
            </w:r>
          </w:p>
        </w:tc>
      </w:tr>
      <w:tr w:rsidR="00990B14" w14:paraId="3AE598B9" w14:textId="77777777">
        <w:trPr>
          <w:cantSplit/>
          <w:jc w:val="center"/>
        </w:trPr>
        <w:tc>
          <w:tcPr>
            <w:tcW w:w="2349" w:type="dxa"/>
            <w:gridSpan w:val="2"/>
            <w:shd w:val="clear" w:color="auto" w:fill="4472C4"/>
            <w:vAlign w:val="center"/>
          </w:tcPr>
          <w:p w14:paraId="30BC7E09"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4A3BF30A" w14:textId="77777777" w:rsidR="00990B14" w:rsidRDefault="00000000">
            <w:pPr>
              <w:keepNext/>
              <w:spacing w:before="20" w:after="20"/>
              <w:jc w:val="both"/>
            </w:pPr>
            <w:r>
              <w:rPr>
                <w:b/>
                <w:bCs/>
                <w:i/>
                <w:iCs/>
                <w:color w:val="FFFFFF"/>
                <w:sz w:val="18"/>
                <w:szCs w:val="18"/>
              </w:rPr>
              <w:t>Contenidos</w:t>
            </w:r>
          </w:p>
          <w:p w14:paraId="78E7A351"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69714EB6" w14:textId="77777777" w:rsidR="00990B14" w:rsidRDefault="00000000">
            <w:pPr>
              <w:keepNext/>
              <w:spacing w:before="20" w:after="20"/>
              <w:jc w:val="center"/>
            </w:pPr>
            <w:r>
              <w:rPr>
                <w:b/>
                <w:bCs/>
                <w:i/>
                <w:iCs/>
                <w:color w:val="FFFFFF"/>
                <w:sz w:val="18"/>
                <w:szCs w:val="18"/>
              </w:rPr>
              <w:t>Conocimientos circunstanciales</w:t>
            </w:r>
          </w:p>
        </w:tc>
      </w:tr>
      <w:tr w:rsidR="00990B14" w14:paraId="63CC1166" w14:textId="77777777">
        <w:trPr>
          <w:jc w:val="center"/>
        </w:trPr>
        <w:tc>
          <w:tcPr>
            <w:tcW w:w="2349" w:type="dxa"/>
            <w:gridSpan w:val="2"/>
            <w:shd w:val="clear" w:color="auto" w:fill="D9E2F3"/>
          </w:tcPr>
          <w:p w14:paraId="1520CDAC" w14:textId="77777777" w:rsidR="00990B14" w:rsidRDefault="00000000">
            <w:pPr>
              <w:spacing w:before="20" w:after="40"/>
              <w:jc w:val="both"/>
            </w:pPr>
            <w:r>
              <w:rPr>
                <w:sz w:val="18"/>
                <w:szCs w:val="18"/>
              </w:rPr>
              <w:t>Tema 1: Derecho laboral</w:t>
            </w:r>
          </w:p>
          <w:p w14:paraId="267EF882" w14:textId="77777777" w:rsidR="00990B14" w:rsidRDefault="00000000">
            <w:pPr>
              <w:spacing w:before="20" w:after="40"/>
              <w:jc w:val="both"/>
            </w:pPr>
            <w:r>
              <w:rPr>
                <w:sz w:val="18"/>
                <w:szCs w:val="18"/>
              </w:rPr>
              <w:t>Tema 2: Fuentes del derecho laboral</w:t>
            </w:r>
          </w:p>
          <w:p w14:paraId="70104F77" w14:textId="77777777" w:rsidR="00990B14" w:rsidRDefault="00000000">
            <w:pPr>
              <w:spacing w:before="20" w:after="40"/>
              <w:jc w:val="both"/>
            </w:pPr>
            <w:r>
              <w:rPr>
                <w:sz w:val="18"/>
                <w:szCs w:val="18"/>
              </w:rPr>
              <w:t>Tema 3: Principios del derecho laboral</w:t>
            </w:r>
          </w:p>
          <w:p w14:paraId="3CC589EF" w14:textId="77777777" w:rsidR="00990B14" w:rsidRDefault="00000000">
            <w:pPr>
              <w:spacing w:before="20" w:after="40"/>
              <w:jc w:val="both"/>
            </w:pPr>
            <w:r>
              <w:rPr>
                <w:sz w:val="18"/>
                <w:szCs w:val="18"/>
              </w:rPr>
              <w:t>Tema 4: Sujetos del derecho laboral</w:t>
            </w:r>
          </w:p>
          <w:p w14:paraId="0149597D" w14:textId="77777777" w:rsidR="00990B14" w:rsidRDefault="00000000">
            <w:pPr>
              <w:spacing w:before="20" w:after="40"/>
              <w:jc w:val="both"/>
            </w:pPr>
            <w:r>
              <w:rPr>
                <w:sz w:val="18"/>
                <w:szCs w:val="18"/>
              </w:rPr>
              <w:t>Tema 5: Sectores laborales protegidos por la Ley General del Trabajo</w:t>
            </w:r>
          </w:p>
        </w:tc>
        <w:tc>
          <w:tcPr>
            <w:tcW w:w="4304" w:type="dxa"/>
            <w:gridSpan w:val="8"/>
            <w:shd w:val="clear" w:color="auto" w:fill="D9E2F3"/>
          </w:tcPr>
          <w:p w14:paraId="75FAC4B5" w14:textId="77777777" w:rsidR="00990B14" w:rsidRDefault="00000000">
            <w:pPr>
              <w:spacing w:after="40"/>
              <w:jc w:val="both"/>
            </w:pPr>
            <w:r>
              <w:rPr>
                <w:sz w:val="18"/>
                <w:szCs w:val="18"/>
              </w:rPr>
              <w:t>1. Concepto, contenido, características y fines del derecho laboral. (C)</w:t>
            </w:r>
          </w:p>
          <w:p w14:paraId="30594BB7" w14:textId="77777777" w:rsidR="00990B14" w:rsidRDefault="00000000">
            <w:pPr>
              <w:spacing w:after="40"/>
              <w:jc w:val="both"/>
            </w:pPr>
            <w:r>
              <w:rPr>
                <w:sz w:val="18"/>
                <w:szCs w:val="18"/>
              </w:rPr>
              <w:t>2. Nociones generales sobre las fuentes del derecho y del derecho laboral. (C)</w:t>
            </w:r>
          </w:p>
          <w:p w14:paraId="6CBA8983" w14:textId="77777777" w:rsidR="00990B14" w:rsidRDefault="00000000">
            <w:pPr>
              <w:spacing w:after="40"/>
              <w:jc w:val="both"/>
            </w:pPr>
            <w:r>
              <w:rPr>
                <w:sz w:val="18"/>
                <w:szCs w:val="18"/>
              </w:rPr>
              <w:t>3. Fuentes formales del derecho laboral y fuentes de origen internacional. (C)</w:t>
            </w:r>
          </w:p>
          <w:p w14:paraId="4B3A6538" w14:textId="77777777" w:rsidR="00990B14" w:rsidRDefault="00000000">
            <w:pPr>
              <w:spacing w:after="40"/>
              <w:jc w:val="both"/>
            </w:pPr>
            <w:r>
              <w:rPr>
                <w:sz w:val="18"/>
                <w:szCs w:val="18"/>
              </w:rPr>
              <w:t>4. Fuentes de origen profesional, el contrato individual de trabajo como fuente, y otras fuentes del derecho laboral. (C, P)</w:t>
            </w:r>
          </w:p>
          <w:p w14:paraId="1A49EE49" w14:textId="77777777" w:rsidR="00990B14" w:rsidRDefault="00000000">
            <w:pPr>
              <w:spacing w:after="40"/>
              <w:jc w:val="both"/>
            </w:pPr>
            <w:r>
              <w:rPr>
                <w:sz w:val="18"/>
                <w:szCs w:val="18"/>
              </w:rPr>
              <w:t>5. Concepto, características y funciones de los principios del derecho laboral. (C)</w:t>
            </w:r>
          </w:p>
          <w:p w14:paraId="2147314D" w14:textId="77777777" w:rsidR="00990B14" w:rsidRDefault="00000000">
            <w:pPr>
              <w:spacing w:after="40"/>
              <w:jc w:val="both"/>
            </w:pPr>
            <w:r>
              <w:rPr>
                <w:sz w:val="18"/>
                <w:szCs w:val="18"/>
              </w:rPr>
              <w:t>6. Principio protector y sus reglas de aplicación, y principio de irrenunciabilidad de derechos. (C, A)</w:t>
            </w:r>
          </w:p>
          <w:p w14:paraId="433B1517" w14:textId="77777777" w:rsidR="00990B14" w:rsidRDefault="00000000">
            <w:pPr>
              <w:spacing w:after="40"/>
              <w:jc w:val="both"/>
            </w:pPr>
            <w:r>
              <w:rPr>
                <w:sz w:val="18"/>
                <w:szCs w:val="18"/>
              </w:rPr>
              <w:t>7. Principio de continuidad laboral y principio de primacía de la realidad. (C, A)</w:t>
            </w:r>
          </w:p>
          <w:p w14:paraId="4CA4DD16" w14:textId="77777777" w:rsidR="00990B14" w:rsidRDefault="00000000">
            <w:pPr>
              <w:spacing w:after="40"/>
              <w:jc w:val="both"/>
            </w:pPr>
            <w:r>
              <w:rPr>
                <w:sz w:val="18"/>
                <w:szCs w:val="18"/>
              </w:rPr>
              <w:t>8. Principio de razonabilidad jurídica, principio de buena fe contractual y principio de no discriminación. (C, A)</w:t>
            </w:r>
          </w:p>
          <w:p w14:paraId="6BC264A3" w14:textId="77777777" w:rsidR="00990B14" w:rsidRDefault="00000000">
            <w:pPr>
              <w:spacing w:after="40"/>
              <w:jc w:val="both"/>
            </w:pPr>
            <w:r>
              <w:rPr>
                <w:sz w:val="18"/>
                <w:szCs w:val="18"/>
              </w:rPr>
              <w:t>9. Consideraciones generales sobre los sujetos del derecho laboral: el empleador, el trabajador y otros sujetos. (C)</w:t>
            </w:r>
          </w:p>
          <w:p w14:paraId="1B9BC4A4" w14:textId="77777777" w:rsidR="00990B14" w:rsidRDefault="00000000">
            <w:pPr>
              <w:spacing w:after="40"/>
              <w:jc w:val="both"/>
            </w:pPr>
            <w:r>
              <w:rPr>
                <w:sz w:val="18"/>
                <w:szCs w:val="18"/>
              </w:rPr>
              <w:t>10. Consideraciones generales y sectores laborales reconocidos por la Ley General del Trabajo. (C)</w:t>
            </w:r>
          </w:p>
          <w:p w14:paraId="41D39222" w14:textId="77777777" w:rsidR="00990B14" w:rsidRDefault="00000000">
            <w:pPr>
              <w:spacing w:after="40"/>
              <w:jc w:val="both"/>
            </w:pPr>
            <w:r>
              <w:rPr>
                <w:sz w:val="18"/>
                <w:szCs w:val="18"/>
              </w:rPr>
              <w:t>11. Sectores laborales excluidos de la Ley General del Trabajo y sus métodos de exclusión. (C, P)</w:t>
            </w:r>
          </w:p>
        </w:tc>
        <w:tc>
          <w:tcPr>
            <w:tcW w:w="2752" w:type="dxa"/>
            <w:gridSpan w:val="3"/>
            <w:shd w:val="clear" w:color="auto" w:fill="D9E2F3"/>
          </w:tcPr>
          <w:p w14:paraId="6C99F1EC" w14:textId="77777777" w:rsidR="00990B14" w:rsidRDefault="00000000">
            <w:pPr>
              <w:numPr>
                <w:ilvl w:val="0"/>
                <w:numId w:val="139"/>
              </w:numPr>
              <w:spacing w:before="10" w:after="10"/>
              <w:jc w:val="both"/>
            </w:pPr>
            <w:r>
              <w:rPr>
                <w:sz w:val="18"/>
                <w:szCs w:val="18"/>
              </w:rPr>
              <w:t>Ley General del Trabajo, vigente desde el 24 de mayo de 1939 y elevada a rango de ley el 8 de diciembre de 1942, como norma general de las relaciones laborales en Bolivia.</w:t>
            </w:r>
          </w:p>
          <w:p w14:paraId="68E2E730" w14:textId="77777777" w:rsidR="00990B14" w:rsidRDefault="00000000">
            <w:pPr>
              <w:numPr>
                <w:ilvl w:val="0"/>
                <w:numId w:val="139"/>
              </w:numPr>
              <w:spacing w:before="10" w:after="10"/>
              <w:jc w:val="both"/>
            </w:pPr>
            <w:r>
              <w:rPr>
                <w:sz w:val="18"/>
                <w:szCs w:val="18"/>
              </w:rPr>
              <w:t>Convenios de la Organización Internacional del Trabajo (OIT) ratificados por Bolivia, como fuente de origen internacional del derecho laboral.</w:t>
            </w:r>
          </w:p>
        </w:tc>
      </w:tr>
      <w:tr w:rsidR="00990B14" w14:paraId="5756120A" w14:textId="77777777">
        <w:trPr>
          <w:cantSplit/>
          <w:jc w:val="center"/>
        </w:trPr>
        <w:tc>
          <w:tcPr>
            <w:tcW w:w="9405" w:type="dxa"/>
            <w:gridSpan w:val="13"/>
            <w:shd w:val="clear" w:color="auto" w:fill="D9E2F3"/>
            <w:vAlign w:val="center"/>
          </w:tcPr>
          <w:p w14:paraId="26C464A7" w14:textId="77777777" w:rsidR="00990B14" w:rsidRDefault="00000000">
            <w:pPr>
              <w:spacing w:before="20" w:after="20"/>
              <w:jc w:val="both"/>
            </w:pPr>
            <w:r>
              <w:rPr>
                <w:b/>
                <w:bCs/>
                <w:i/>
                <w:iCs/>
                <w:sz w:val="18"/>
                <w:szCs w:val="18"/>
              </w:rPr>
              <w:t xml:space="preserve">Elemento de competencia 2: </w:t>
            </w:r>
            <w:r>
              <w:rPr>
                <w:sz w:val="18"/>
                <w:szCs w:val="18"/>
              </w:rPr>
              <w:t>Aplica el contenido del contrato individual de trabajo de una entidad, distinguiendo los elementos esenciales y determinando obligaciones y derechos de ambos sujetos de la relación laboral.</w:t>
            </w:r>
          </w:p>
        </w:tc>
      </w:tr>
      <w:tr w:rsidR="00990B14" w14:paraId="35127D18" w14:textId="77777777">
        <w:trPr>
          <w:cantSplit/>
          <w:jc w:val="center"/>
        </w:trPr>
        <w:tc>
          <w:tcPr>
            <w:tcW w:w="3133" w:type="dxa"/>
            <w:gridSpan w:val="4"/>
            <w:shd w:val="clear" w:color="auto" w:fill="4472C4"/>
            <w:vAlign w:val="center"/>
          </w:tcPr>
          <w:p w14:paraId="1BFEEC64"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1DBF7B3E"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55E7B4DE" w14:textId="77777777" w:rsidR="00990B14" w:rsidRDefault="00000000">
            <w:pPr>
              <w:keepNext/>
              <w:spacing w:before="20" w:after="20"/>
              <w:jc w:val="center"/>
            </w:pPr>
            <w:r>
              <w:rPr>
                <w:b/>
                <w:bCs/>
                <w:i/>
                <w:iCs/>
                <w:color w:val="FFFFFF"/>
                <w:sz w:val="18"/>
                <w:szCs w:val="18"/>
              </w:rPr>
              <w:t>Evidencias de producto</w:t>
            </w:r>
          </w:p>
        </w:tc>
      </w:tr>
      <w:tr w:rsidR="00990B14" w14:paraId="4FD48F2E" w14:textId="77777777">
        <w:trPr>
          <w:cantSplit/>
          <w:jc w:val="center"/>
        </w:trPr>
        <w:tc>
          <w:tcPr>
            <w:tcW w:w="3133" w:type="dxa"/>
            <w:gridSpan w:val="4"/>
            <w:vMerge w:val="restart"/>
            <w:shd w:val="clear" w:color="auto" w:fill="D9E2F3"/>
            <w:vAlign w:val="center"/>
          </w:tcPr>
          <w:p w14:paraId="2155D065" w14:textId="77777777" w:rsidR="00990B14" w:rsidRDefault="00000000">
            <w:pPr>
              <w:spacing w:before="20" w:after="20"/>
              <w:jc w:val="both"/>
            </w:pPr>
            <w:r>
              <w:rPr>
                <w:sz w:val="18"/>
                <w:szCs w:val="18"/>
              </w:rPr>
              <w:t>1. Comprende el contenido del contrato individual de trabajo, los requisitos esenciales y la relación jurídica laboral, determinando las obligaciones y los derechos de las partes.</w:t>
            </w:r>
          </w:p>
        </w:tc>
        <w:tc>
          <w:tcPr>
            <w:tcW w:w="3135" w:type="dxa"/>
            <w:gridSpan w:val="5"/>
            <w:shd w:val="clear" w:color="auto" w:fill="D9E2F3"/>
            <w:vAlign w:val="center"/>
          </w:tcPr>
          <w:p w14:paraId="742881E3" w14:textId="77777777" w:rsidR="00990B14" w:rsidRDefault="00000000">
            <w:pPr>
              <w:spacing w:before="20" w:after="20"/>
              <w:jc w:val="both"/>
            </w:pPr>
            <w:r>
              <w:rPr>
                <w:sz w:val="18"/>
                <w:szCs w:val="18"/>
              </w:rPr>
              <w:t>1.1 Analiza un contrato individual de trabajo con sus requisitos esenciales.</w:t>
            </w:r>
          </w:p>
        </w:tc>
        <w:tc>
          <w:tcPr>
            <w:tcW w:w="3137" w:type="dxa"/>
            <w:gridSpan w:val="4"/>
            <w:shd w:val="clear" w:color="auto" w:fill="D9E2F3"/>
            <w:vAlign w:val="center"/>
          </w:tcPr>
          <w:p w14:paraId="510BE171" w14:textId="77777777" w:rsidR="00990B14" w:rsidRDefault="00000000">
            <w:pPr>
              <w:spacing w:before="20" w:after="20"/>
              <w:jc w:val="both"/>
            </w:pPr>
            <w:r>
              <w:rPr>
                <w:b/>
                <w:bCs/>
                <w:sz w:val="18"/>
                <w:szCs w:val="18"/>
              </w:rPr>
              <w:t xml:space="preserve">Producto 5: </w:t>
            </w:r>
            <w:r>
              <w:rPr>
                <w:sz w:val="18"/>
                <w:szCs w:val="18"/>
              </w:rPr>
              <w:t>Contrato individual de trabajo de una entidad.</w:t>
            </w:r>
          </w:p>
        </w:tc>
      </w:tr>
      <w:tr w:rsidR="00990B14" w14:paraId="131CAB99" w14:textId="77777777">
        <w:trPr>
          <w:cantSplit/>
          <w:jc w:val="center"/>
        </w:trPr>
        <w:tc>
          <w:tcPr>
            <w:tcW w:w="3133" w:type="dxa"/>
            <w:gridSpan w:val="4"/>
            <w:vMerge/>
            <w:shd w:val="clear" w:color="auto" w:fill="D9E2F3"/>
            <w:vAlign w:val="center"/>
          </w:tcPr>
          <w:p w14:paraId="2885BD77" w14:textId="77777777" w:rsidR="00990B14" w:rsidRDefault="00990B14">
            <w:pPr>
              <w:spacing w:before="20" w:after="20"/>
            </w:pPr>
          </w:p>
        </w:tc>
        <w:tc>
          <w:tcPr>
            <w:tcW w:w="3135" w:type="dxa"/>
            <w:gridSpan w:val="5"/>
            <w:shd w:val="clear" w:color="auto" w:fill="D9E2F3"/>
            <w:vAlign w:val="center"/>
          </w:tcPr>
          <w:p w14:paraId="2DC24B55" w14:textId="77777777" w:rsidR="00990B14" w:rsidRDefault="00000000">
            <w:pPr>
              <w:spacing w:before="20" w:after="20"/>
              <w:jc w:val="both"/>
            </w:pPr>
            <w:r>
              <w:rPr>
                <w:sz w:val="18"/>
                <w:szCs w:val="18"/>
              </w:rPr>
              <w:t>1.2 Determina las obligaciones y los derechos del trabajador y del empleador.</w:t>
            </w:r>
          </w:p>
        </w:tc>
        <w:tc>
          <w:tcPr>
            <w:tcW w:w="3137" w:type="dxa"/>
            <w:gridSpan w:val="4"/>
            <w:shd w:val="clear" w:color="auto" w:fill="D9E2F3"/>
            <w:vAlign w:val="center"/>
          </w:tcPr>
          <w:p w14:paraId="11D0D233" w14:textId="77777777" w:rsidR="00990B14" w:rsidRDefault="00000000">
            <w:pPr>
              <w:spacing w:before="20" w:after="20"/>
              <w:jc w:val="both"/>
            </w:pPr>
            <w:r>
              <w:rPr>
                <w:b/>
                <w:bCs/>
                <w:sz w:val="18"/>
                <w:szCs w:val="18"/>
              </w:rPr>
              <w:t xml:space="preserve">Producto 6: </w:t>
            </w:r>
            <w:r>
              <w:rPr>
                <w:sz w:val="18"/>
                <w:szCs w:val="18"/>
              </w:rPr>
              <w:t>Cuadro de obligaciones y derechos de las partes del contrato (reglamento interno).</w:t>
            </w:r>
          </w:p>
        </w:tc>
      </w:tr>
      <w:tr w:rsidR="00990B14" w14:paraId="68EEA7BF" w14:textId="77777777">
        <w:trPr>
          <w:cantSplit/>
          <w:jc w:val="center"/>
        </w:trPr>
        <w:tc>
          <w:tcPr>
            <w:tcW w:w="3133" w:type="dxa"/>
            <w:gridSpan w:val="4"/>
            <w:vMerge w:val="restart"/>
            <w:shd w:val="clear" w:color="auto" w:fill="D9E2F3"/>
            <w:vAlign w:val="center"/>
          </w:tcPr>
          <w:p w14:paraId="4DEFC17B" w14:textId="77777777" w:rsidR="00990B14" w:rsidRDefault="00000000">
            <w:pPr>
              <w:spacing w:before="20" w:after="20"/>
              <w:jc w:val="both"/>
            </w:pPr>
            <w:r>
              <w:rPr>
                <w:sz w:val="18"/>
                <w:szCs w:val="18"/>
              </w:rPr>
              <w:t>2. Clasifica el contrato individual de trabajo por su duración y efectos, reconociendo en la contabilidad de la entidad los derechos laborales.</w:t>
            </w:r>
          </w:p>
        </w:tc>
        <w:tc>
          <w:tcPr>
            <w:tcW w:w="3135" w:type="dxa"/>
            <w:gridSpan w:val="5"/>
            <w:shd w:val="clear" w:color="auto" w:fill="D9E2F3"/>
            <w:vAlign w:val="center"/>
          </w:tcPr>
          <w:p w14:paraId="01DE6EAB" w14:textId="77777777" w:rsidR="00990B14" w:rsidRDefault="00000000">
            <w:pPr>
              <w:spacing w:before="20" w:after="20"/>
              <w:jc w:val="both"/>
            </w:pPr>
            <w:r>
              <w:rPr>
                <w:sz w:val="18"/>
                <w:szCs w:val="18"/>
              </w:rPr>
              <w:t>2.1 Clasifica en un caso práctico un contrato de trabajo según su duración y efectos.</w:t>
            </w:r>
          </w:p>
        </w:tc>
        <w:tc>
          <w:tcPr>
            <w:tcW w:w="3137" w:type="dxa"/>
            <w:gridSpan w:val="4"/>
            <w:shd w:val="clear" w:color="auto" w:fill="D9E2F3"/>
            <w:vAlign w:val="center"/>
          </w:tcPr>
          <w:p w14:paraId="4D484793" w14:textId="77777777" w:rsidR="00990B14" w:rsidRDefault="00000000">
            <w:pPr>
              <w:spacing w:before="20" w:after="20"/>
              <w:jc w:val="both"/>
            </w:pPr>
            <w:r>
              <w:rPr>
                <w:b/>
                <w:bCs/>
                <w:sz w:val="18"/>
                <w:szCs w:val="18"/>
              </w:rPr>
              <w:t xml:space="preserve">Producto 7: </w:t>
            </w:r>
            <w:r>
              <w:rPr>
                <w:sz w:val="18"/>
                <w:szCs w:val="18"/>
              </w:rPr>
              <w:t>Ficha de clasificación del contrato de trabajo.</w:t>
            </w:r>
          </w:p>
        </w:tc>
      </w:tr>
      <w:tr w:rsidR="00990B14" w14:paraId="300D936D" w14:textId="77777777">
        <w:trPr>
          <w:cantSplit/>
          <w:jc w:val="center"/>
        </w:trPr>
        <w:tc>
          <w:tcPr>
            <w:tcW w:w="3133" w:type="dxa"/>
            <w:gridSpan w:val="4"/>
            <w:vMerge/>
            <w:shd w:val="clear" w:color="auto" w:fill="D9E2F3"/>
            <w:vAlign w:val="center"/>
          </w:tcPr>
          <w:p w14:paraId="26A636F6" w14:textId="77777777" w:rsidR="00990B14" w:rsidRDefault="00990B14">
            <w:pPr>
              <w:spacing w:before="20" w:after="20"/>
            </w:pPr>
          </w:p>
        </w:tc>
        <w:tc>
          <w:tcPr>
            <w:tcW w:w="3135" w:type="dxa"/>
            <w:gridSpan w:val="5"/>
            <w:shd w:val="clear" w:color="auto" w:fill="D9E2F3"/>
            <w:vAlign w:val="center"/>
          </w:tcPr>
          <w:p w14:paraId="51973669" w14:textId="77777777" w:rsidR="00990B14" w:rsidRDefault="00000000">
            <w:pPr>
              <w:spacing w:before="20" w:after="20"/>
              <w:jc w:val="both"/>
            </w:pPr>
            <w:r>
              <w:rPr>
                <w:sz w:val="18"/>
                <w:szCs w:val="18"/>
              </w:rPr>
              <w:t>2.2 Explica el reconocimiento de los derechos laborales del trabajador según la NIC 19.</w:t>
            </w:r>
          </w:p>
        </w:tc>
        <w:tc>
          <w:tcPr>
            <w:tcW w:w="3137" w:type="dxa"/>
            <w:gridSpan w:val="4"/>
            <w:shd w:val="clear" w:color="auto" w:fill="D9E2F3"/>
            <w:vAlign w:val="center"/>
          </w:tcPr>
          <w:p w14:paraId="310F3914" w14:textId="77777777" w:rsidR="00990B14" w:rsidRDefault="00000000">
            <w:pPr>
              <w:spacing w:before="20" w:after="20"/>
              <w:jc w:val="both"/>
            </w:pPr>
            <w:r>
              <w:rPr>
                <w:b/>
                <w:bCs/>
                <w:sz w:val="18"/>
                <w:szCs w:val="18"/>
              </w:rPr>
              <w:t xml:space="preserve">Producto 8: </w:t>
            </w:r>
            <w:r>
              <w:rPr>
                <w:sz w:val="18"/>
                <w:szCs w:val="18"/>
              </w:rPr>
              <w:t>Resumen de los beneficios a los empleados según la NIC 19.</w:t>
            </w:r>
          </w:p>
        </w:tc>
      </w:tr>
      <w:tr w:rsidR="00990B14" w14:paraId="350F6D50" w14:textId="77777777">
        <w:trPr>
          <w:cantSplit/>
          <w:jc w:val="center"/>
        </w:trPr>
        <w:tc>
          <w:tcPr>
            <w:tcW w:w="9405" w:type="dxa"/>
            <w:gridSpan w:val="13"/>
            <w:shd w:val="clear" w:color="auto" w:fill="4472C4"/>
            <w:vAlign w:val="center"/>
          </w:tcPr>
          <w:p w14:paraId="13DD8A4D" w14:textId="77777777" w:rsidR="00990B14" w:rsidRDefault="00000000">
            <w:pPr>
              <w:keepNext/>
              <w:spacing w:before="20" w:after="20"/>
              <w:jc w:val="center"/>
            </w:pPr>
            <w:r>
              <w:rPr>
                <w:b/>
                <w:bCs/>
                <w:i/>
                <w:iCs/>
                <w:color w:val="FFFFFF"/>
                <w:sz w:val="18"/>
                <w:szCs w:val="18"/>
              </w:rPr>
              <w:t>Evidencias de conocimiento</w:t>
            </w:r>
          </w:p>
        </w:tc>
      </w:tr>
      <w:tr w:rsidR="00990B14" w14:paraId="2BC30009" w14:textId="77777777">
        <w:trPr>
          <w:cantSplit/>
          <w:jc w:val="center"/>
        </w:trPr>
        <w:tc>
          <w:tcPr>
            <w:tcW w:w="2349" w:type="dxa"/>
            <w:gridSpan w:val="2"/>
            <w:shd w:val="clear" w:color="auto" w:fill="4472C4"/>
            <w:vAlign w:val="center"/>
          </w:tcPr>
          <w:p w14:paraId="2BE15887"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7F0DEAF0" w14:textId="77777777" w:rsidR="00990B14" w:rsidRDefault="00000000">
            <w:pPr>
              <w:keepNext/>
              <w:spacing w:before="20" w:after="20"/>
              <w:jc w:val="both"/>
            </w:pPr>
            <w:r>
              <w:rPr>
                <w:b/>
                <w:bCs/>
                <w:i/>
                <w:iCs/>
                <w:color w:val="FFFFFF"/>
                <w:sz w:val="18"/>
                <w:szCs w:val="18"/>
              </w:rPr>
              <w:t>Contenidos</w:t>
            </w:r>
          </w:p>
          <w:p w14:paraId="53FAE65B"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5B6423EC" w14:textId="77777777" w:rsidR="00990B14" w:rsidRDefault="00000000">
            <w:pPr>
              <w:keepNext/>
              <w:spacing w:before="20" w:after="20"/>
              <w:jc w:val="center"/>
            </w:pPr>
            <w:r>
              <w:rPr>
                <w:b/>
                <w:bCs/>
                <w:i/>
                <w:iCs/>
                <w:color w:val="FFFFFF"/>
                <w:sz w:val="18"/>
                <w:szCs w:val="18"/>
              </w:rPr>
              <w:t>Conocimientos circunstanciales</w:t>
            </w:r>
          </w:p>
        </w:tc>
      </w:tr>
      <w:tr w:rsidR="00990B14" w14:paraId="3B137443" w14:textId="77777777">
        <w:trPr>
          <w:jc w:val="center"/>
        </w:trPr>
        <w:tc>
          <w:tcPr>
            <w:tcW w:w="2349" w:type="dxa"/>
            <w:gridSpan w:val="2"/>
            <w:shd w:val="clear" w:color="auto" w:fill="D9E2F3"/>
          </w:tcPr>
          <w:p w14:paraId="72E510F0" w14:textId="77777777" w:rsidR="00990B14" w:rsidRDefault="00000000">
            <w:pPr>
              <w:spacing w:before="20" w:after="40"/>
              <w:jc w:val="both"/>
            </w:pPr>
            <w:r>
              <w:rPr>
                <w:sz w:val="18"/>
                <w:szCs w:val="18"/>
              </w:rPr>
              <w:t>Tema 6: Contrato individual de trabajo</w:t>
            </w:r>
          </w:p>
          <w:p w14:paraId="58C7C5D1" w14:textId="77777777" w:rsidR="00990B14" w:rsidRDefault="00000000">
            <w:pPr>
              <w:spacing w:before="20" w:after="40"/>
              <w:jc w:val="both"/>
            </w:pPr>
            <w:r>
              <w:rPr>
                <w:sz w:val="18"/>
                <w:szCs w:val="18"/>
              </w:rPr>
              <w:t>Tema 7: Obligaciones y derechos que nacen del contrato individual de trabajo</w:t>
            </w:r>
          </w:p>
          <w:p w14:paraId="02FCBBDF" w14:textId="77777777" w:rsidR="00990B14" w:rsidRDefault="00000000">
            <w:pPr>
              <w:spacing w:before="20" w:after="40"/>
              <w:jc w:val="both"/>
            </w:pPr>
            <w:r>
              <w:rPr>
                <w:sz w:val="18"/>
                <w:szCs w:val="18"/>
              </w:rPr>
              <w:t>Tema 8: Contrato individual de trabajo por su formalización</w:t>
            </w:r>
          </w:p>
          <w:p w14:paraId="34BFFE6E" w14:textId="77777777" w:rsidR="00990B14" w:rsidRDefault="00000000">
            <w:pPr>
              <w:spacing w:before="20" w:after="40"/>
              <w:jc w:val="both"/>
            </w:pPr>
            <w:r>
              <w:rPr>
                <w:sz w:val="18"/>
                <w:szCs w:val="18"/>
              </w:rPr>
              <w:t>Tema 9: Contrato individual de trabajo por su duración</w:t>
            </w:r>
          </w:p>
        </w:tc>
        <w:tc>
          <w:tcPr>
            <w:tcW w:w="4304" w:type="dxa"/>
            <w:gridSpan w:val="8"/>
            <w:shd w:val="clear" w:color="auto" w:fill="D9E2F3"/>
          </w:tcPr>
          <w:p w14:paraId="44908014" w14:textId="77777777" w:rsidR="00990B14" w:rsidRDefault="00000000">
            <w:pPr>
              <w:spacing w:after="40"/>
              <w:jc w:val="both"/>
            </w:pPr>
            <w:r>
              <w:rPr>
                <w:sz w:val="18"/>
                <w:szCs w:val="18"/>
              </w:rPr>
              <w:t>1. El contrato y el contrato individual de trabajo: concepto e importancia. (C)</w:t>
            </w:r>
          </w:p>
          <w:p w14:paraId="768E5FFF" w14:textId="77777777" w:rsidR="00990B14" w:rsidRDefault="00000000">
            <w:pPr>
              <w:spacing w:after="40"/>
              <w:jc w:val="both"/>
            </w:pPr>
            <w:r>
              <w:rPr>
                <w:sz w:val="18"/>
                <w:szCs w:val="18"/>
              </w:rPr>
              <w:t>2. Contrato individual de trabajo y relación jurídica laboral, su función y sus características. (C)</w:t>
            </w:r>
          </w:p>
          <w:p w14:paraId="4F05A695" w14:textId="77777777" w:rsidR="00990B14" w:rsidRDefault="00000000">
            <w:pPr>
              <w:spacing w:after="40"/>
              <w:jc w:val="both"/>
            </w:pPr>
            <w:r>
              <w:rPr>
                <w:sz w:val="18"/>
                <w:szCs w:val="18"/>
              </w:rPr>
              <w:t>3. Requisitos esenciales del contrato individual de trabajo. (C, P)</w:t>
            </w:r>
          </w:p>
          <w:p w14:paraId="26D4802A" w14:textId="77777777" w:rsidR="00990B14" w:rsidRDefault="00000000">
            <w:pPr>
              <w:spacing w:after="40"/>
              <w:jc w:val="both"/>
            </w:pPr>
            <w:r>
              <w:rPr>
                <w:sz w:val="18"/>
                <w:szCs w:val="18"/>
              </w:rPr>
              <w:t>4. Contenido del contrato individual de trabajo, obligaciones y derechos del trabajador y del empleador y su interpretación contable. (C, P)</w:t>
            </w:r>
          </w:p>
          <w:p w14:paraId="4145A386" w14:textId="77777777" w:rsidR="00990B14" w:rsidRDefault="00000000">
            <w:pPr>
              <w:spacing w:after="40"/>
              <w:jc w:val="both"/>
            </w:pPr>
            <w:r>
              <w:rPr>
                <w:sz w:val="18"/>
                <w:szCs w:val="18"/>
              </w:rPr>
              <w:t>5. Consideraciones generales sobre el contrato individual de trabajo por su formalización: contrato verbal y contrato escrito. (C)</w:t>
            </w:r>
          </w:p>
          <w:p w14:paraId="279F2479" w14:textId="77777777" w:rsidR="00990B14" w:rsidRDefault="00000000">
            <w:pPr>
              <w:spacing w:after="40"/>
              <w:jc w:val="both"/>
            </w:pPr>
            <w:r>
              <w:rPr>
                <w:sz w:val="18"/>
                <w:szCs w:val="18"/>
              </w:rPr>
              <w:t>6. Contrato individual de trabajo por tiempo indefinido y por tiempo determinado o plazo fijo. (C, P)</w:t>
            </w:r>
          </w:p>
          <w:p w14:paraId="1F46F2CD" w14:textId="77777777" w:rsidR="00990B14" w:rsidRDefault="00000000">
            <w:pPr>
              <w:spacing w:after="40"/>
              <w:jc w:val="both"/>
            </w:pPr>
            <w:r>
              <w:rPr>
                <w:sz w:val="18"/>
                <w:szCs w:val="18"/>
              </w:rPr>
              <w:t>7. Derechos laborales del trabajador según la NIC 19. (C, P)</w:t>
            </w:r>
          </w:p>
          <w:p w14:paraId="7FDD68D4" w14:textId="77777777" w:rsidR="00990B14" w:rsidRDefault="00000000">
            <w:pPr>
              <w:spacing w:after="40"/>
              <w:jc w:val="both"/>
            </w:pPr>
            <w:r>
              <w:rPr>
                <w:sz w:val="18"/>
                <w:szCs w:val="18"/>
              </w:rPr>
              <w:t>8. Contrato por temporada o estacional, contrato eventual, y contrato por obra o por servicio. (C, P)</w:t>
            </w:r>
          </w:p>
        </w:tc>
        <w:tc>
          <w:tcPr>
            <w:tcW w:w="2752" w:type="dxa"/>
            <w:gridSpan w:val="3"/>
            <w:shd w:val="clear" w:color="auto" w:fill="D9E2F3"/>
          </w:tcPr>
          <w:p w14:paraId="6C0B7C5B" w14:textId="77777777" w:rsidR="00990B14" w:rsidRDefault="00000000">
            <w:pPr>
              <w:numPr>
                <w:ilvl w:val="0"/>
                <w:numId w:val="139"/>
              </w:numPr>
              <w:spacing w:before="10" w:after="10"/>
              <w:jc w:val="both"/>
            </w:pPr>
            <w:r>
              <w:rPr>
                <w:sz w:val="18"/>
                <w:szCs w:val="18"/>
              </w:rPr>
              <w:t>Decreto Supremo N.º 28699, que determina las características esenciales de la relación laboral: dependencia, subordinación, prestación de trabajo por cuenta ajena y remuneración.</w:t>
            </w:r>
          </w:p>
          <w:p w14:paraId="0FAEAC44" w14:textId="77777777" w:rsidR="00990B14" w:rsidRDefault="00000000">
            <w:pPr>
              <w:numPr>
                <w:ilvl w:val="0"/>
                <w:numId w:val="139"/>
              </w:numPr>
              <w:spacing w:before="10" w:after="10"/>
              <w:jc w:val="both"/>
            </w:pPr>
            <w:r>
              <w:rPr>
                <w:sz w:val="18"/>
                <w:szCs w:val="18"/>
              </w:rPr>
              <w:t>Artículo 22 de la Ley General del Trabajo y artículo 14 de su Decreto Reglamentario, que exigen el visado del contrato de trabajo escrito por la autoridad administrativa del trabajo</w:t>
            </w:r>
          </w:p>
        </w:tc>
      </w:tr>
      <w:tr w:rsidR="00990B14" w14:paraId="2015E1B1" w14:textId="77777777">
        <w:trPr>
          <w:cantSplit/>
          <w:jc w:val="center"/>
        </w:trPr>
        <w:tc>
          <w:tcPr>
            <w:tcW w:w="9405" w:type="dxa"/>
            <w:gridSpan w:val="13"/>
            <w:shd w:val="clear" w:color="auto" w:fill="D9E2F3"/>
            <w:vAlign w:val="center"/>
          </w:tcPr>
          <w:p w14:paraId="745FF3B8" w14:textId="77777777" w:rsidR="00990B14" w:rsidRDefault="00000000">
            <w:pPr>
              <w:spacing w:before="20" w:after="20"/>
              <w:jc w:val="both"/>
            </w:pPr>
            <w:r>
              <w:rPr>
                <w:b/>
                <w:bCs/>
                <w:i/>
                <w:iCs/>
                <w:sz w:val="18"/>
                <w:szCs w:val="18"/>
              </w:rPr>
              <w:t xml:space="preserve">Elemento de competencia 3: </w:t>
            </w:r>
            <w:r>
              <w:rPr>
                <w:sz w:val="18"/>
                <w:szCs w:val="18"/>
              </w:rPr>
              <w:t>Aplica el régimen legal en la relación laboral para el pago de la jornada laboral, el derecho al descanso y a la vacación.</w:t>
            </w:r>
          </w:p>
        </w:tc>
      </w:tr>
      <w:tr w:rsidR="00990B14" w14:paraId="2BC85D55" w14:textId="77777777">
        <w:trPr>
          <w:cantSplit/>
          <w:jc w:val="center"/>
        </w:trPr>
        <w:tc>
          <w:tcPr>
            <w:tcW w:w="3133" w:type="dxa"/>
            <w:gridSpan w:val="4"/>
            <w:shd w:val="clear" w:color="auto" w:fill="4472C4"/>
            <w:vAlign w:val="center"/>
          </w:tcPr>
          <w:p w14:paraId="028002EB"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03FCAD05"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0F863C6A" w14:textId="77777777" w:rsidR="00990B14" w:rsidRDefault="00000000">
            <w:pPr>
              <w:keepNext/>
              <w:spacing w:before="20" w:after="20"/>
              <w:jc w:val="center"/>
            </w:pPr>
            <w:r>
              <w:rPr>
                <w:b/>
                <w:bCs/>
                <w:i/>
                <w:iCs/>
                <w:color w:val="FFFFFF"/>
                <w:sz w:val="18"/>
                <w:szCs w:val="18"/>
              </w:rPr>
              <w:t>Evidencias de producto</w:t>
            </w:r>
          </w:p>
        </w:tc>
      </w:tr>
      <w:tr w:rsidR="00990B14" w14:paraId="307887BA" w14:textId="77777777">
        <w:trPr>
          <w:cantSplit/>
          <w:jc w:val="center"/>
        </w:trPr>
        <w:tc>
          <w:tcPr>
            <w:tcW w:w="3133" w:type="dxa"/>
            <w:gridSpan w:val="4"/>
            <w:vMerge w:val="restart"/>
            <w:shd w:val="clear" w:color="auto" w:fill="D9E2F3"/>
            <w:vAlign w:val="center"/>
          </w:tcPr>
          <w:p w14:paraId="40B13E43" w14:textId="77777777" w:rsidR="00990B14" w:rsidRDefault="00000000">
            <w:pPr>
              <w:spacing w:before="20" w:after="20"/>
              <w:jc w:val="both"/>
            </w:pPr>
            <w:r>
              <w:rPr>
                <w:sz w:val="18"/>
                <w:szCs w:val="18"/>
              </w:rPr>
              <w:t>1. Calcula el monto correspondiente a la jornada laboral, a las horas extraordinarias, al descanso y a la vacación anual de un trabajador conforme al régimen legal de cada condición de trabajo.</w:t>
            </w:r>
          </w:p>
        </w:tc>
        <w:tc>
          <w:tcPr>
            <w:tcW w:w="3135" w:type="dxa"/>
            <w:gridSpan w:val="5"/>
            <w:shd w:val="clear" w:color="auto" w:fill="D9E2F3"/>
            <w:vAlign w:val="center"/>
          </w:tcPr>
          <w:p w14:paraId="6AAE7142" w14:textId="77777777" w:rsidR="00990B14" w:rsidRDefault="00000000">
            <w:pPr>
              <w:spacing w:before="20" w:after="20"/>
              <w:jc w:val="both"/>
            </w:pPr>
            <w:r>
              <w:rPr>
                <w:sz w:val="18"/>
                <w:szCs w:val="18"/>
              </w:rPr>
              <w:t>1.1 Calcula las horas extraordinarias y la jornada nocturna de un trabajador.</w:t>
            </w:r>
          </w:p>
        </w:tc>
        <w:tc>
          <w:tcPr>
            <w:tcW w:w="3137" w:type="dxa"/>
            <w:gridSpan w:val="4"/>
            <w:shd w:val="clear" w:color="auto" w:fill="D9E2F3"/>
            <w:vAlign w:val="center"/>
          </w:tcPr>
          <w:p w14:paraId="413BDC20" w14:textId="77777777" w:rsidR="00990B14" w:rsidRDefault="00000000">
            <w:pPr>
              <w:spacing w:before="20" w:after="20"/>
              <w:jc w:val="both"/>
            </w:pPr>
            <w:r>
              <w:rPr>
                <w:b/>
                <w:bCs/>
                <w:sz w:val="18"/>
                <w:szCs w:val="18"/>
              </w:rPr>
              <w:t xml:space="preserve">Producto 9: </w:t>
            </w:r>
            <w:r>
              <w:rPr>
                <w:sz w:val="18"/>
                <w:szCs w:val="18"/>
              </w:rPr>
              <w:t>Planilla de la jornada laboral y de las horas extraordinarias.</w:t>
            </w:r>
          </w:p>
        </w:tc>
      </w:tr>
      <w:tr w:rsidR="00990B14" w14:paraId="69FC93E1" w14:textId="77777777">
        <w:trPr>
          <w:cantSplit/>
          <w:jc w:val="center"/>
        </w:trPr>
        <w:tc>
          <w:tcPr>
            <w:tcW w:w="3133" w:type="dxa"/>
            <w:gridSpan w:val="4"/>
            <w:vMerge/>
            <w:shd w:val="clear" w:color="auto" w:fill="D9E2F3"/>
            <w:vAlign w:val="center"/>
          </w:tcPr>
          <w:p w14:paraId="1AFBA4B8" w14:textId="77777777" w:rsidR="00990B14" w:rsidRDefault="00990B14">
            <w:pPr>
              <w:spacing w:before="20" w:after="20"/>
            </w:pPr>
          </w:p>
        </w:tc>
        <w:tc>
          <w:tcPr>
            <w:tcW w:w="3135" w:type="dxa"/>
            <w:gridSpan w:val="5"/>
            <w:shd w:val="clear" w:color="auto" w:fill="D9E2F3"/>
            <w:vAlign w:val="center"/>
          </w:tcPr>
          <w:p w14:paraId="42EAD885" w14:textId="77777777" w:rsidR="00990B14" w:rsidRDefault="00000000">
            <w:pPr>
              <w:spacing w:before="20" w:after="20"/>
              <w:jc w:val="both"/>
            </w:pPr>
            <w:r>
              <w:rPr>
                <w:sz w:val="18"/>
                <w:szCs w:val="18"/>
              </w:rPr>
              <w:t>1.2 Determina el tiempo y el pago de la vacación anual de un caso.</w:t>
            </w:r>
          </w:p>
        </w:tc>
        <w:tc>
          <w:tcPr>
            <w:tcW w:w="3137" w:type="dxa"/>
            <w:gridSpan w:val="4"/>
            <w:shd w:val="clear" w:color="auto" w:fill="D9E2F3"/>
            <w:vAlign w:val="center"/>
          </w:tcPr>
          <w:p w14:paraId="46815091" w14:textId="77777777" w:rsidR="00990B14" w:rsidRDefault="00000000">
            <w:pPr>
              <w:spacing w:before="20" w:after="20"/>
              <w:jc w:val="both"/>
            </w:pPr>
            <w:r>
              <w:rPr>
                <w:b/>
                <w:bCs/>
                <w:sz w:val="18"/>
                <w:szCs w:val="18"/>
              </w:rPr>
              <w:t xml:space="preserve">Producto 10: </w:t>
            </w:r>
            <w:r>
              <w:rPr>
                <w:sz w:val="18"/>
                <w:szCs w:val="18"/>
              </w:rPr>
              <w:t>Cálculo de la vacación anual de un trabajador.</w:t>
            </w:r>
          </w:p>
        </w:tc>
      </w:tr>
      <w:tr w:rsidR="00990B14" w14:paraId="40CCF68C" w14:textId="77777777">
        <w:trPr>
          <w:cantSplit/>
          <w:jc w:val="center"/>
        </w:trPr>
        <w:tc>
          <w:tcPr>
            <w:tcW w:w="3133" w:type="dxa"/>
            <w:gridSpan w:val="4"/>
            <w:vMerge w:val="restart"/>
            <w:shd w:val="clear" w:color="auto" w:fill="D9E2F3"/>
            <w:vAlign w:val="center"/>
          </w:tcPr>
          <w:p w14:paraId="19C20A57" w14:textId="77777777" w:rsidR="00990B14" w:rsidRDefault="00000000">
            <w:pPr>
              <w:spacing w:before="20" w:after="20"/>
              <w:jc w:val="both"/>
            </w:pPr>
            <w:r>
              <w:rPr>
                <w:sz w:val="18"/>
                <w:szCs w:val="18"/>
              </w:rPr>
              <w:t>2. Calcula el salario y otros conceptos remunerables del trabajador, aplicando principios de protección legal y confidencialidad.</w:t>
            </w:r>
          </w:p>
        </w:tc>
        <w:tc>
          <w:tcPr>
            <w:tcW w:w="3135" w:type="dxa"/>
            <w:gridSpan w:val="5"/>
            <w:shd w:val="clear" w:color="auto" w:fill="D9E2F3"/>
            <w:vAlign w:val="center"/>
          </w:tcPr>
          <w:p w14:paraId="441358CA" w14:textId="77777777" w:rsidR="00990B14" w:rsidRDefault="00000000">
            <w:pPr>
              <w:spacing w:before="20" w:after="20"/>
              <w:jc w:val="both"/>
            </w:pPr>
            <w:r>
              <w:rPr>
                <w:sz w:val="18"/>
                <w:szCs w:val="18"/>
              </w:rPr>
              <w:t>2.1 Realiza el cálculo del salario mensual, el aguinaldo y los bonos de un trabajador.</w:t>
            </w:r>
          </w:p>
        </w:tc>
        <w:tc>
          <w:tcPr>
            <w:tcW w:w="3137" w:type="dxa"/>
            <w:gridSpan w:val="4"/>
            <w:shd w:val="clear" w:color="auto" w:fill="D9E2F3"/>
            <w:vAlign w:val="center"/>
          </w:tcPr>
          <w:p w14:paraId="3542052A" w14:textId="77777777" w:rsidR="00990B14" w:rsidRDefault="00000000">
            <w:pPr>
              <w:spacing w:before="20" w:after="20"/>
              <w:jc w:val="both"/>
            </w:pPr>
            <w:r>
              <w:rPr>
                <w:b/>
                <w:bCs/>
                <w:sz w:val="18"/>
                <w:szCs w:val="18"/>
              </w:rPr>
              <w:t xml:space="preserve">Producto 11: </w:t>
            </w:r>
            <w:r>
              <w:rPr>
                <w:sz w:val="18"/>
                <w:szCs w:val="18"/>
              </w:rPr>
              <w:t>Boleta de pago con el salario, el aguinaldo y los bonos.</w:t>
            </w:r>
          </w:p>
        </w:tc>
      </w:tr>
      <w:tr w:rsidR="00990B14" w14:paraId="4E125452" w14:textId="77777777">
        <w:trPr>
          <w:cantSplit/>
          <w:jc w:val="center"/>
        </w:trPr>
        <w:tc>
          <w:tcPr>
            <w:tcW w:w="3133" w:type="dxa"/>
            <w:gridSpan w:val="4"/>
            <w:vMerge/>
            <w:shd w:val="clear" w:color="auto" w:fill="D9E2F3"/>
            <w:vAlign w:val="center"/>
          </w:tcPr>
          <w:p w14:paraId="121B2DFB" w14:textId="77777777" w:rsidR="00990B14" w:rsidRDefault="00990B14">
            <w:pPr>
              <w:spacing w:before="20" w:after="20"/>
            </w:pPr>
          </w:p>
        </w:tc>
        <w:tc>
          <w:tcPr>
            <w:tcW w:w="3135" w:type="dxa"/>
            <w:gridSpan w:val="5"/>
            <w:shd w:val="clear" w:color="auto" w:fill="D9E2F3"/>
            <w:vAlign w:val="center"/>
          </w:tcPr>
          <w:p w14:paraId="37BFB6D9" w14:textId="77777777" w:rsidR="00990B14" w:rsidRDefault="00000000">
            <w:pPr>
              <w:spacing w:before="20" w:after="20"/>
              <w:jc w:val="both"/>
            </w:pPr>
            <w:r>
              <w:rPr>
                <w:sz w:val="18"/>
                <w:szCs w:val="18"/>
              </w:rPr>
              <w:t>2.2 Determina el bono de antigüedad, el bono de producción y el subsidio de frontera de un caso.</w:t>
            </w:r>
          </w:p>
        </w:tc>
        <w:tc>
          <w:tcPr>
            <w:tcW w:w="3137" w:type="dxa"/>
            <w:gridSpan w:val="4"/>
            <w:shd w:val="clear" w:color="auto" w:fill="D9E2F3"/>
            <w:vAlign w:val="center"/>
          </w:tcPr>
          <w:p w14:paraId="50D6734E" w14:textId="77777777" w:rsidR="00990B14" w:rsidRDefault="00000000">
            <w:pPr>
              <w:spacing w:before="20" w:after="20"/>
              <w:jc w:val="both"/>
            </w:pPr>
            <w:r>
              <w:rPr>
                <w:b/>
                <w:bCs/>
                <w:sz w:val="18"/>
                <w:szCs w:val="18"/>
              </w:rPr>
              <w:t xml:space="preserve">Producto 12: </w:t>
            </w:r>
            <w:r>
              <w:rPr>
                <w:sz w:val="18"/>
                <w:szCs w:val="18"/>
              </w:rPr>
              <w:t>Cuadro de los conceptos remunerables de un trabajador.</w:t>
            </w:r>
          </w:p>
        </w:tc>
      </w:tr>
      <w:tr w:rsidR="00990B14" w14:paraId="3144E19D" w14:textId="77777777">
        <w:trPr>
          <w:cantSplit/>
          <w:jc w:val="center"/>
        </w:trPr>
        <w:tc>
          <w:tcPr>
            <w:tcW w:w="9405" w:type="dxa"/>
            <w:gridSpan w:val="13"/>
            <w:shd w:val="clear" w:color="auto" w:fill="4472C4"/>
            <w:vAlign w:val="center"/>
          </w:tcPr>
          <w:p w14:paraId="3039B797" w14:textId="77777777" w:rsidR="00990B14" w:rsidRDefault="00000000">
            <w:pPr>
              <w:keepNext/>
              <w:spacing w:before="20" w:after="20"/>
              <w:jc w:val="center"/>
            </w:pPr>
            <w:r>
              <w:rPr>
                <w:b/>
                <w:bCs/>
                <w:i/>
                <w:iCs/>
                <w:color w:val="FFFFFF"/>
                <w:sz w:val="18"/>
                <w:szCs w:val="18"/>
              </w:rPr>
              <w:t>Evidencias de conocimiento</w:t>
            </w:r>
          </w:p>
        </w:tc>
      </w:tr>
      <w:tr w:rsidR="00990B14" w14:paraId="049017DF" w14:textId="77777777">
        <w:trPr>
          <w:cantSplit/>
          <w:jc w:val="center"/>
        </w:trPr>
        <w:tc>
          <w:tcPr>
            <w:tcW w:w="2349" w:type="dxa"/>
            <w:gridSpan w:val="2"/>
            <w:shd w:val="clear" w:color="auto" w:fill="4472C4"/>
            <w:vAlign w:val="center"/>
          </w:tcPr>
          <w:p w14:paraId="3A9021FF"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467504EF" w14:textId="77777777" w:rsidR="00990B14" w:rsidRDefault="00000000">
            <w:pPr>
              <w:keepNext/>
              <w:spacing w:before="20" w:after="20"/>
              <w:jc w:val="both"/>
            </w:pPr>
            <w:r>
              <w:rPr>
                <w:b/>
                <w:bCs/>
                <w:i/>
                <w:iCs/>
                <w:color w:val="FFFFFF"/>
                <w:sz w:val="18"/>
                <w:szCs w:val="18"/>
              </w:rPr>
              <w:t>Contenidos</w:t>
            </w:r>
          </w:p>
          <w:p w14:paraId="124B21BD"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675A0C20" w14:textId="77777777" w:rsidR="00990B14" w:rsidRDefault="00000000">
            <w:pPr>
              <w:keepNext/>
              <w:spacing w:before="20" w:after="20"/>
              <w:jc w:val="center"/>
            </w:pPr>
            <w:r>
              <w:rPr>
                <w:b/>
                <w:bCs/>
                <w:i/>
                <w:iCs/>
                <w:color w:val="FFFFFF"/>
                <w:sz w:val="18"/>
                <w:szCs w:val="18"/>
              </w:rPr>
              <w:t>Conocimientos circunstanciales</w:t>
            </w:r>
          </w:p>
        </w:tc>
      </w:tr>
      <w:tr w:rsidR="00990B14" w14:paraId="01128F81" w14:textId="77777777">
        <w:trPr>
          <w:jc w:val="center"/>
        </w:trPr>
        <w:tc>
          <w:tcPr>
            <w:tcW w:w="2349" w:type="dxa"/>
            <w:gridSpan w:val="2"/>
            <w:shd w:val="clear" w:color="auto" w:fill="D9E2F3"/>
          </w:tcPr>
          <w:p w14:paraId="26F07D3C" w14:textId="77777777" w:rsidR="00990B14" w:rsidRDefault="00000000">
            <w:pPr>
              <w:spacing w:before="20" w:after="40"/>
              <w:jc w:val="both"/>
            </w:pPr>
            <w:r>
              <w:rPr>
                <w:sz w:val="18"/>
                <w:szCs w:val="18"/>
              </w:rPr>
              <w:t>Tema 10: Jornada laboral</w:t>
            </w:r>
          </w:p>
          <w:p w14:paraId="73013B9D" w14:textId="77777777" w:rsidR="00990B14" w:rsidRDefault="00000000">
            <w:pPr>
              <w:spacing w:before="20" w:after="40"/>
              <w:jc w:val="both"/>
            </w:pPr>
            <w:r>
              <w:rPr>
                <w:sz w:val="18"/>
                <w:szCs w:val="18"/>
              </w:rPr>
              <w:t>Tema 11: Descanso en la jornada laboral</w:t>
            </w:r>
          </w:p>
          <w:p w14:paraId="1158E78E" w14:textId="77777777" w:rsidR="00990B14" w:rsidRDefault="00000000">
            <w:pPr>
              <w:spacing w:before="20" w:after="40"/>
              <w:jc w:val="both"/>
            </w:pPr>
            <w:r>
              <w:rPr>
                <w:sz w:val="18"/>
                <w:szCs w:val="18"/>
              </w:rPr>
              <w:t>Tema 12: La vacación anual</w:t>
            </w:r>
          </w:p>
          <w:p w14:paraId="1AB7ED42" w14:textId="77777777" w:rsidR="00990B14" w:rsidRDefault="00000000">
            <w:pPr>
              <w:spacing w:before="20" w:after="40"/>
              <w:jc w:val="both"/>
            </w:pPr>
            <w:r>
              <w:rPr>
                <w:sz w:val="18"/>
                <w:szCs w:val="18"/>
              </w:rPr>
              <w:t>Tema 13: Salario – sueldo</w:t>
            </w:r>
          </w:p>
          <w:p w14:paraId="1D15B912" w14:textId="77777777" w:rsidR="00990B14" w:rsidRDefault="00000000">
            <w:pPr>
              <w:spacing w:before="20" w:after="40"/>
              <w:jc w:val="both"/>
            </w:pPr>
            <w:r>
              <w:rPr>
                <w:sz w:val="18"/>
                <w:szCs w:val="18"/>
              </w:rPr>
              <w:t>Tema 14: Otros conceptos remuneratorios</w:t>
            </w:r>
          </w:p>
        </w:tc>
        <w:tc>
          <w:tcPr>
            <w:tcW w:w="4304" w:type="dxa"/>
            <w:gridSpan w:val="8"/>
            <w:shd w:val="clear" w:color="auto" w:fill="D9E2F3"/>
          </w:tcPr>
          <w:p w14:paraId="6569B4F0" w14:textId="77777777" w:rsidR="00990B14" w:rsidRDefault="00000000">
            <w:pPr>
              <w:spacing w:after="40"/>
              <w:jc w:val="both"/>
            </w:pPr>
            <w:r>
              <w:rPr>
                <w:sz w:val="18"/>
                <w:szCs w:val="18"/>
              </w:rPr>
              <w:t>Importancia y concepto de la jornada laboral en la Ley General del Trabajo y su decreto reglamentario. (C)</w:t>
            </w:r>
          </w:p>
          <w:p w14:paraId="234F4D61" w14:textId="77777777" w:rsidR="00990B14" w:rsidRDefault="00000000">
            <w:pPr>
              <w:spacing w:after="40"/>
              <w:jc w:val="both"/>
            </w:pPr>
            <w:r>
              <w:rPr>
                <w:sz w:val="18"/>
                <w:szCs w:val="18"/>
              </w:rPr>
              <w:t>Elementos del concepto de jornada, y jornada máxima de trabajo: fundamentos y excepciones. (C)</w:t>
            </w:r>
          </w:p>
          <w:p w14:paraId="3458552F" w14:textId="77777777" w:rsidR="00990B14" w:rsidRDefault="00000000">
            <w:pPr>
              <w:spacing w:after="40"/>
              <w:jc w:val="both"/>
            </w:pPr>
            <w:r>
              <w:rPr>
                <w:sz w:val="18"/>
                <w:szCs w:val="18"/>
              </w:rPr>
              <w:t>Extensión de la jornada máxima de trabajo y horas extraordinarias. (C, P)</w:t>
            </w:r>
          </w:p>
          <w:p w14:paraId="3BC8C8D6" w14:textId="77777777" w:rsidR="00990B14" w:rsidRDefault="00000000">
            <w:pPr>
              <w:spacing w:after="40"/>
              <w:jc w:val="both"/>
            </w:pPr>
            <w:r>
              <w:rPr>
                <w:sz w:val="18"/>
                <w:szCs w:val="18"/>
              </w:rPr>
              <w:t>Jornada nocturna, jornada por equipos, tempus in itinere y días hábiles para trabajar. (C, P)</w:t>
            </w:r>
          </w:p>
          <w:p w14:paraId="20CD8EA3" w14:textId="77777777" w:rsidR="00990B14" w:rsidRDefault="00000000">
            <w:pPr>
              <w:spacing w:after="40"/>
              <w:jc w:val="both"/>
            </w:pPr>
            <w:r>
              <w:rPr>
                <w:sz w:val="18"/>
                <w:szCs w:val="18"/>
              </w:rPr>
              <w:t>Fundamentos, concepto y clases de descanso. (C)</w:t>
            </w:r>
          </w:p>
          <w:p w14:paraId="08E5D557" w14:textId="77777777" w:rsidR="00990B14" w:rsidRDefault="00000000">
            <w:pPr>
              <w:spacing w:after="40"/>
              <w:jc w:val="both"/>
            </w:pPr>
            <w:r>
              <w:rPr>
                <w:sz w:val="18"/>
                <w:szCs w:val="18"/>
              </w:rPr>
              <w:t>Descanso intermedio dentro de la jornada diaria y descanso nocturno. (C)</w:t>
            </w:r>
          </w:p>
          <w:p w14:paraId="74362113" w14:textId="77777777" w:rsidR="00990B14" w:rsidRDefault="00000000">
            <w:pPr>
              <w:spacing w:after="40"/>
              <w:jc w:val="both"/>
            </w:pPr>
            <w:r>
              <w:rPr>
                <w:sz w:val="18"/>
                <w:szCs w:val="18"/>
              </w:rPr>
              <w:t>Descanso semanal o hebdomadario, el trabajo dominical y el descanso de día y medio o sábado inglés. (C, P)</w:t>
            </w:r>
          </w:p>
          <w:p w14:paraId="5B9FD820" w14:textId="77777777" w:rsidR="00990B14" w:rsidRDefault="00000000">
            <w:pPr>
              <w:spacing w:after="40"/>
              <w:jc w:val="both"/>
            </w:pPr>
            <w:r>
              <w:rPr>
                <w:sz w:val="18"/>
                <w:szCs w:val="18"/>
              </w:rPr>
              <w:t>Fundamentos, concepto y naturaleza jurídica de las vacaciones. (C)</w:t>
            </w:r>
          </w:p>
          <w:p w14:paraId="1E333824" w14:textId="77777777" w:rsidR="00990B14" w:rsidRDefault="00000000">
            <w:pPr>
              <w:spacing w:after="40"/>
              <w:jc w:val="both"/>
            </w:pPr>
            <w:r>
              <w:rPr>
                <w:sz w:val="18"/>
                <w:szCs w:val="18"/>
              </w:rPr>
              <w:t>Escala y caracteres de las vacaciones, y vacaciones colectivas. (C, P)</w:t>
            </w:r>
          </w:p>
          <w:p w14:paraId="2DFD81DD" w14:textId="77777777" w:rsidR="00990B14" w:rsidRDefault="00000000">
            <w:pPr>
              <w:spacing w:after="40"/>
              <w:jc w:val="both"/>
            </w:pPr>
            <w:r>
              <w:rPr>
                <w:sz w:val="18"/>
                <w:szCs w:val="18"/>
              </w:rPr>
              <w:t>Tiempo requerido para tener derecho a vacaciones, vacaciones y faltas, y cálculo para el pago de las vacaciones. (P)</w:t>
            </w:r>
          </w:p>
          <w:p w14:paraId="716BCB61" w14:textId="77777777" w:rsidR="00990B14" w:rsidRDefault="00000000">
            <w:pPr>
              <w:spacing w:after="40"/>
              <w:jc w:val="both"/>
            </w:pPr>
            <w:r>
              <w:rPr>
                <w:sz w:val="18"/>
                <w:szCs w:val="18"/>
              </w:rPr>
              <w:t>Remuneración y sueldo: etimología, concepto y efectos jurídicos. (C)</w:t>
            </w:r>
          </w:p>
          <w:p w14:paraId="4F664F1C" w14:textId="77777777" w:rsidR="00990B14" w:rsidRDefault="00000000">
            <w:pPr>
              <w:spacing w:after="40"/>
              <w:jc w:val="both"/>
            </w:pPr>
            <w:r>
              <w:rPr>
                <w:sz w:val="18"/>
                <w:szCs w:val="18"/>
              </w:rPr>
              <w:t>Características y principios del sueldo y salario, y su protección legal. (C, A)</w:t>
            </w:r>
          </w:p>
          <w:p w14:paraId="22F5BD37" w14:textId="77777777" w:rsidR="00990B14" w:rsidRDefault="00000000">
            <w:pPr>
              <w:spacing w:after="40"/>
              <w:jc w:val="both"/>
            </w:pPr>
            <w:r>
              <w:rPr>
                <w:sz w:val="18"/>
                <w:szCs w:val="18"/>
              </w:rPr>
              <w:t>Pago de sueldos y salarios, salario y aportes de ley, y régimen tributario. (C, P)</w:t>
            </w:r>
          </w:p>
          <w:p w14:paraId="4868AADE" w14:textId="77777777" w:rsidR="00990B14" w:rsidRDefault="00000000">
            <w:pPr>
              <w:spacing w:after="40"/>
              <w:jc w:val="both"/>
            </w:pPr>
            <w:r>
              <w:rPr>
                <w:sz w:val="18"/>
                <w:szCs w:val="18"/>
              </w:rPr>
              <w:t>Salario básico, salario total y salario dominical. (C, P)</w:t>
            </w:r>
          </w:p>
          <w:p w14:paraId="726FCFDA" w14:textId="77777777" w:rsidR="00990B14" w:rsidRDefault="00000000">
            <w:pPr>
              <w:spacing w:after="40"/>
              <w:jc w:val="both"/>
            </w:pPr>
            <w:r>
              <w:rPr>
                <w:sz w:val="18"/>
                <w:szCs w:val="18"/>
              </w:rPr>
              <w:t>Aguinaldo de Navidad o sueldo anual, y primas anuales. (C, P)</w:t>
            </w:r>
          </w:p>
          <w:p w14:paraId="4685C9CB" w14:textId="77777777" w:rsidR="00990B14" w:rsidRDefault="00000000">
            <w:pPr>
              <w:spacing w:after="40"/>
              <w:jc w:val="both"/>
            </w:pPr>
            <w:r>
              <w:rPr>
                <w:sz w:val="18"/>
                <w:szCs w:val="18"/>
              </w:rPr>
              <w:t>Bono de antigüedad, bono de producción y subsidio de frontera. (C, P)</w:t>
            </w:r>
          </w:p>
          <w:p w14:paraId="159B444B" w14:textId="77777777" w:rsidR="00990B14" w:rsidRDefault="00000000">
            <w:pPr>
              <w:spacing w:after="40"/>
              <w:jc w:val="both"/>
            </w:pPr>
            <w:r>
              <w:rPr>
                <w:sz w:val="18"/>
                <w:szCs w:val="18"/>
              </w:rPr>
              <w:t>Algoritmos. (P, T)</w:t>
            </w:r>
          </w:p>
        </w:tc>
        <w:tc>
          <w:tcPr>
            <w:tcW w:w="2752" w:type="dxa"/>
            <w:gridSpan w:val="3"/>
            <w:shd w:val="clear" w:color="auto" w:fill="D9E2F3"/>
          </w:tcPr>
          <w:p w14:paraId="0097B908" w14:textId="77777777" w:rsidR="00990B14" w:rsidRDefault="00000000">
            <w:pPr>
              <w:numPr>
                <w:ilvl w:val="0"/>
                <w:numId w:val="139"/>
              </w:numPr>
              <w:spacing w:before="10" w:after="10"/>
              <w:jc w:val="both"/>
            </w:pPr>
            <w:r>
              <w:rPr>
                <w:sz w:val="18"/>
                <w:szCs w:val="18"/>
              </w:rPr>
              <w:t>Ley General del Trabajo y su Decreto Reglamentario, que fijan la jornada máxima de trabajo en el país.</w:t>
            </w:r>
          </w:p>
          <w:p w14:paraId="57A21BD5" w14:textId="77777777" w:rsidR="00990B14" w:rsidRDefault="00000000">
            <w:pPr>
              <w:numPr>
                <w:ilvl w:val="0"/>
                <w:numId w:val="139"/>
              </w:numPr>
              <w:spacing w:before="10" w:after="10"/>
              <w:jc w:val="both"/>
            </w:pPr>
            <w:r>
              <w:rPr>
                <w:sz w:val="18"/>
                <w:szCs w:val="18"/>
              </w:rPr>
              <w:t>Salario Mínimo Nacional vigente en Bolivia, fijado en Bs 3.300 por el Decreto Supremo N.º 5516, de enero de 2026, y actualizado anualmente por decreto supremo</w:t>
            </w:r>
          </w:p>
        </w:tc>
      </w:tr>
      <w:tr w:rsidR="00990B14" w14:paraId="710401F1" w14:textId="77777777">
        <w:trPr>
          <w:cantSplit/>
          <w:jc w:val="center"/>
        </w:trPr>
        <w:tc>
          <w:tcPr>
            <w:tcW w:w="9405" w:type="dxa"/>
            <w:gridSpan w:val="13"/>
            <w:shd w:val="clear" w:color="auto" w:fill="D9E2F3"/>
            <w:vAlign w:val="center"/>
          </w:tcPr>
          <w:p w14:paraId="4017EDA1" w14:textId="77777777" w:rsidR="00990B14" w:rsidRDefault="00000000">
            <w:pPr>
              <w:spacing w:before="20" w:after="20"/>
              <w:jc w:val="both"/>
            </w:pPr>
            <w:r>
              <w:rPr>
                <w:b/>
                <w:bCs/>
                <w:i/>
                <w:iCs/>
                <w:sz w:val="18"/>
                <w:szCs w:val="18"/>
              </w:rPr>
              <w:t xml:space="preserve">Elemento de competencia 4: </w:t>
            </w:r>
            <w:r>
              <w:rPr>
                <w:sz w:val="18"/>
                <w:szCs w:val="18"/>
              </w:rPr>
              <w:t>Calcula los beneficios sociales y la indemnización que corresponden a la extinción del contrato individual de trabajo, distinguiendo causas y efectos jurídicos según la voluntad del empleador, del trabajador o de causas ajenas a ambos.</w:t>
            </w:r>
          </w:p>
        </w:tc>
      </w:tr>
      <w:tr w:rsidR="00990B14" w14:paraId="620E0D95" w14:textId="77777777">
        <w:trPr>
          <w:cantSplit/>
          <w:jc w:val="center"/>
        </w:trPr>
        <w:tc>
          <w:tcPr>
            <w:tcW w:w="3133" w:type="dxa"/>
            <w:gridSpan w:val="4"/>
            <w:shd w:val="clear" w:color="auto" w:fill="4472C4"/>
            <w:vAlign w:val="center"/>
          </w:tcPr>
          <w:p w14:paraId="41CB78A8"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35E0937B"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0386B658" w14:textId="77777777" w:rsidR="00990B14" w:rsidRDefault="00000000">
            <w:pPr>
              <w:keepNext/>
              <w:spacing w:before="20" w:after="20"/>
              <w:jc w:val="center"/>
            </w:pPr>
            <w:r>
              <w:rPr>
                <w:b/>
                <w:bCs/>
                <w:i/>
                <w:iCs/>
                <w:color w:val="FFFFFF"/>
                <w:sz w:val="18"/>
                <w:szCs w:val="18"/>
              </w:rPr>
              <w:t>Evidencias de producto</w:t>
            </w:r>
          </w:p>
        </w:tc>
      </w:tr>
      <w:tr w:rsidR="00990B14" w14:paraId="1960A48C" w14:textId="77777777">
        <w:trPr>
          <w:cantSplit/>
          <w:jc w:val="center"/>
        </w:trPr>
        <w:tc>
          <w:tcPr>
            <w:tcW w:w="3133" w:type="dxa"/>
            <w:gridSpan w:val="4"/>
            <w:vMerge w:val="restart"/>
            <w:shd w:val="clear" w:color="auto" w:fill="D9E2F3"/>
            <w:vAlign w:val="center"/>
          </w:tcPr>
          <w:p w14:paraId="502BEF22" w14:textId="77777777" w:rsidR="00990B14" w:rsidRDefault="00000000">
            <w:pPr>
              <w:spacing w:before="20" w:after="20"/>
              <w:jc w:val="both"/>
            </w:pPr>
            <w:r>
              <w:rPr>
                <w:sz w:val="18"/>
                <w:szCs w:val="18"/>
              </w:rPr>
              <w:t>1. Distingue las causas y los efectos jurídicos de la suspensión y de la extinción del contrato individual de trabajo según la voluntad del empleador, del trabajador o de causas ajenas a ambos.</w:t>
            </w:r>
          </w:p>
        </w:tc>
        <w:tc>
          <w:tcPr>
            <w:tcW w:w="3135" w:type="dxa"/>
            <w:gridSpan w:val="5"/>
            <w:shd w:val="clear" w:color="auto" w:fill="D9E2F3"/>
            <w:vAlign w:val="center"/>
          </w:tcPr>
          <w:p w14:paraId="4081DBAB" w14:textId="77777777" w:rsidR="00990B14" w:rsidRDefault="00000000">
            <w:pPr>
              <w:spacing w:before="20" w:after="20"/>
              <w:jc w:val="both"/>
            </w:pPr>
            <w:r>
              <w:rPr>
                <w:sz w:val="18"/>
                <w:szCs w:val="18"/>
              </w:rPr>
              <w:t>1.1 Distingue el despido justificado (o legal) del injustificado (o intempestivo).</w:t>
            </w:r>
          </w:p>
        </w:tc>
        <w:tc>
          <w:tcPr>
            <w:tcW w:w="3137" w:type="dxa"/>
            <w:gridSpan w:val="4"/>
            <w:shd w:val="clear" w:color="auto" w:fill="D9E2F3"/>
            <w:vAlign w:val="center"/>
          </w:tcPr>
          <w:p w14:paraId="50D513AD" w14:textId="77777777" w:rsidR="00990B14" w:rsidRDefault="00000000">
            <w:pPr>
              <w:spacing w:before="20" w:after="20"/>
              <w:jc w:val="both"/>
            </w:pPr>
            <w:r>
              <w:rPr>
                <w:b/>
                <w:bCs/>
                <w:sz w:val="18"/>
                <w:szCs w:val="18"/>
              </w:rPr>
              <w:t xml:space="preserve">Producto 13: </w:t>
            </w:r>
            <w:r>
              <w:rPr>
                <w:sz w:val="18"/>
                <w:szCs w:val="18"/>
              </w:rPr>
              <w:t>Informe de las causas motivantes del despido.</w:t>
            </w:r>
          </w:p>
        </w:tc>
      </w:tr>
      <w:tr w:rsidR="00990B14" w14:paraId="237D485F" w14:textId="77777777">
        <w:trPr>
          <w:cantSplit/>
          <w:jc w:val="center"/>
        </w:trPr>
        <w:tc>
          <w:tcPr>
            <w:tcW w:w="3133" w:type="dxa"/>
            <w:gridSpan w:val="4"/>
            <w:vMerge/>
            <w:shd w:val="clear" w:color="auto" w:fill="D9E2F3"/>
            <w:vAlign w:val="center"/>
          </w:tcPr>
          <w:p w14:paraId="2B955A63" w14:textId="77777777" w:rsidR="00990B14" w:rsidRDefault="00990B14">
            <w:pPr>
              <w:spacing w:before="20" w:after="20"/>
            </w:pPr>
          </w:p>
        </w:tc>
        <w:tc>
          <w:tcPr>
            <w:tcW w:w="3135" w:type="dxa"/>
            <w:gridSpan w:val="5"/>
            <w:shd w:val="clear" w:color="auto" w:fill="D9E2F3"/>
            <w:vAlign w:val="center"/>
          </w:tcPr>
          <w:p w14:paraId="1BB96567" w14:textId="77777777" w:rsidR="00990B14" w:rsidRDefault="00000000">
            <w:pPr>
              <w:spacing w:before="20" w:after="20"/>
              <w:jc w:val="both"/>
            </w:pPr>
            <w:r>
              <w:rPr>
                <w:sz w:val="18"/>
                <w:szCs w:val="18"/>
              </w:rPr>
              <w:t>1.2 Diferencia las causas de extinción del contrato y sus efectos jurídicos.</w:t>
            </w:r>
          </w:p>
        </w:tc>
        <w:tc>
          <w:tcPr>
            <w:tcW w:w="3137" w:type="dxa"/>
            <w:gridSpan w:val="4"/>
            <w:shd w:val="clear" w:color="auto" w:fill="D9E2F3"/>
            <w:vAlign w:val="center"/>
          </w:tcPr>
          <w:p w14:paraId="3273E74D" w14:textId="77777777" w:rsidR="00990B14" w:rsidRDefault="00000000">
            <w:pPr>
              <w:spacing w:before="20" w:after="20"/>
              <w:jc w:val="both"/>
            </w:pPr>
            <w:r>
              <w:rPr>
                <w:b/>
                <w:bCs/>
                <w:sz w:val="18"/>
                <w:szCs w:val="18"/>
              </w:rPr>
              <w:t xml:space="preserve">Producto 14: </w:t>
            </w:r>
            <w:r>
              <w:rPr>
                <w:sz w:val="18"/>
                <w:szCs w:val="18"/>
              </w:rPr>
              <w:t>Cuadro de las causas de extinción del contrato y sus efectos.</w:t>
            </w:r>
          </w:p>
        </w:tc>
      </w:tr>
      <w:tr w:rsidR="00990B14" w14:paraId="0C4EFCC8" w14:textId="77777777">
        <w:trPr>
          <w:cantSplit/>
          <w:jc w:val="center"/>
        </w:trPr>
        <w:tc>
          <w:tcPr>
            <w:tcW w:w="3133" w:type="dxa"/>
            <w:gridSpan w:val="4"/>
            <w:vMerge w:val="restart"/>
            <w:shd w:val="clear" w:color="auto" w:fill="D9E2F3"/>
            <w:vAlign w:val="center"/>
          </w:tcPr>
          <w:p w14:paraId="184E1E5C" w14:textId="77777777" w:rsidR="00990B14" w:rsidRDefault="00000000">
            <w:pPr>
              <w:spacing w:before="20" w:after="20"/>
              <w:jc w:val="both"/>
            </w:pPr>
            <w:r>
              <w:rPr>
                <w:sz w:val="18"/>
                <w:szCs w:val="18"/>
              </w:rPr>
              <w:t>2. Calcula la indemnización, el desahucio y los beneficios sociales de la extinción del contrato, previendo las contingencias laborales de la entidad.</w:t>
            </w:r>
          </w:p>
        </w:tc>
        <w:tc>
          <w:tcPr>
            <w:tcW w:w="3135" w:type="dxa"/>
            <w:gridSpan w:val="5"/>
            <w:shd w:val="clear" w:color="auto" w:fill="D9E2F3"/>
            <w:vAlign w:val="center"/>
          </w:tcPr>
          <w:p w14:paraId="07EF6B98" w14:textId="77777777" w:rsidR="00990B14" w:rsidRDefault="00000000">
            <w:pPr>
              <w:spacing w:before="20" w:after="20"/>
              <w:jc w:val="both"/>
            </w:pPr>
            <w:r>
              <w:rPr>
                <w:sz w:val="18"/>
                <w:szCs w:val="18"/>
              </w:rPr>
              <w:t>2.1 Liquida y determina la indemnización y los beneficios sociales.</w:t>
            </w:r>
          </w:p>
        </w:tc>
        <w:tc>
          <w:tcPr>
            <w:tcW w:w="3137" w:type="dxa"/>
            <w:gridSpan w:val="4"/>
            <w:shd w:val="clear" w:color="auto" w:fill="D9E2F3"/>
            <w:vAlign w:val="center"/>
          </w:tcPr>
          <w:p w14:paraId="06FF543B" w14:textId="77777777" w:rsidR="00990B14" w:rsidRDefault="00000000">
            <w:pPr>
              <w:spacing w:before="20" w:after="20"/>
              <w:jc w:val="both"/>
            </w:pPr>
            <w:r>
              <w:rPr>
                <w:b/>
                <w:bCs/>
                <w:sz w:val="18"/>
                <w:szCs w:val="18"/>
              </w:rPr>
              <w:t xml:space="preserve">Producto 15: </w:t>
            </w:r>
            <w:r>
              <w:rPr>
                <w:sz w:val="18"/>
                <w:szCs w:val="18"/>
              </w:rPr>
              <w:t>Finiquito con la indemnización y los beneficios sociales.</w:t>
            </w:r>
          </w:p>
        </w:tc>
      </w:tr>
      <w:tr w:rsidR="00990B14" w14:paraId="6173A29F" w14:textId="77777777">
        <w:trPr>
          <w:cantSplit/>
          <w:jc w:val="center"/>
        </w:trPr>
        <w:tc>
          <w:tcPr>
            <w:tcW w:w="3133" w:type="dxa"/>
            <w:gridSpan w:val="4"/>
            <w:vMerge/>
            <w:shd w:val="clear" w:color="auto" w:fill="D9E2F3"/>
            <w:vAlign w:val="center"/>
          </w:tcPr>
          <w:p w14:paraId="4D44319D" w14:textId="77777777" w:rsidR="00990B14" w:rsidRDefault="00990B14">
            <w:pPr>
              <w:spacing w:before="20" w:after="20"/>
            </w:pPr>
          </w:p>
        </w:tc>
        <w:tc>
          <w:tcPr>
            <w:tcW w:w="3135" w:type="dxa"/>
            <w:gridSpan w:val="5"/>
            <w:shd w:val="clear" w:color="auto" w:fill="D9E2F3"/>
            <w:vAlign w:val="center"/>
          </w:tcPr>
          <w:p w14:paraId="4C302D46" w14:textId="77777777" w:rsidR="00990B14" w:rsidRDefault="00000000">
            <w:pPr>
              <w:spacing w:before="20" w:after="20"/>
              <w:jc w:val="both"/>
            </w:pPr>
            <w:r>
              <w:rPr>
                <w:sz w:val="18"/>
                <w:szCs w:val="18"/>
              </w:rPr>
              <w:t>2.2 Determina la previsión contable de los beneficios sociales en casos de contingencias.</w:t>
            </w:r>
          </w:p>
        </w:tc>
        <w:tc>
          <w:tcPr>
            <w:tcW w:w="3137" w:type="dxa"/>
            <w:gridSpan w:val="4"/>
            <w:shd w:val="clear" w:color="auto" w:fill="D9E2F3"/>
            <w:vAlign w:val="center"/>
          </w:tcPr>
          <w:p w14:paraId="6F45BD14" w14:textId="77777777" w:rsidR="00990B14" w:rsidRDefault="00000000">
            <w:pPr>
              <w:spacing w:before="20" w:after="20"/>
              <w:jc w:val="both"/>
            </w:pPr>
            <w:r>
              <w:rPr>
                <w:b/>
                <w:bCs/>
                <w:sz w:val="18"/>
                <w:szCs w:val="18"/>
              </w:rPr>
              <w:t xml:space="preserve">Producto 16: </w:t>
            </w:r>
            <w:r>
              <w:rPr>
                <w:sz w:val="18"/>
                <w:szCs w:val="18"/>
              </w:rPr>
              <w:t>Planilla de previsión de los beneficios sociales.</w:t>
            </w:r>
          </w:p>
        </w:tc>
      </w:tr>
      <w:tr w:rsidR="00990B14" w14:paraId="2D1B077E" w14:textId="77777777">
        <w:trPr>
          <w:cantSplit/>
          <w:jc w:val="center"/>
        </w:trPr>
        <w:tc>
          <w:tcPr>
            <w:tcW w:w="9405" w:type="dxa"/>
            <w:gridSpan w:val="13"/>
            <w:shd w:val="clear" w:color="auto" w:fill="4472C4"/>
            <w:vAlign w:val="center"/>
          </w:tcPr>
          <w:p w14:paraId="2C329F6E" w14:textId="77777777" w:rsidR="00990B14" w:rsidRDefault="00000000">
            <w:pPr>
              <w:keepNext/>
              <w:spacing w:before="20" w:after="20"/>
              <w:jc w:val="center"/>
            </w:pPr>
            <w:r>
              <w:rPr>
                <w:b/>
                <w:bCs/>
                <w:i/>
                <w:iCs/>
                <w:color w:val="FFFFFF"/>
                <w:sz w:val="18"/>
                <w:szCs w:val="18"/>
              </w:rPr>
              <w:t>Evidencias de conocimiento</w:t>
            </w:r>
          </w:p>
        </w:tc>
      </w:tr>
      <w:tr w:rsidR="00990B14" w14:paraId="1B6FE3B1" w14:textId="77777777">
        <w:trPr>
          <w:cantSplit/>
          <w:jc w:val="center"/>
        </w:trPr>
        <w:tc>
          <w:tcPr>
            <w:tcW w:w="2349" w:type="dxa"/>
            <w:gridSpan w:val="2"/>
            <w:shd w:val="clear" w:color="auto" w:fill="4472C4"/>
            <w:vAlign w:val="center"/>
          </w:tcPr>
          <w:p w14:paraId="00FB4006"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41D3D216" w14:textId="77777777" w:rsidR="00990B14" w:rsidRDefault="00000000">
            <w:pPr>
              <w:keepNext/>
              <w:spacing w:before="20" w:after="20"/>
              <w:jc w:val="both"/>
            </w:pPr>
            <w:r>
              <w:rPr>
                <w:b/>
                <w:bCs/>
                <w:i/>
                <w:iCs/>
                <w:color w:val="FFFFFF"/>
                <w:sz w:val="18"/>
                <w:szCs w:val="18"/>
              </w:rPr>
              <w:t>Contenidos</w:t>
            </w:r>
          </w:p>
          <w:p w14:paraId="762F80C3"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176BBE4A" w14:textId="77777777" w:rsidR="00990B14" w:rsidRDefault="00000000">
            <w:pPr>
              <w:keepNext/>
              <w:spacing w:before="20" w:after="20"/>
              <w:jc w:val="center"/>
            </w:pPr>
            <w:r>
              <w:rPr>
                <w:b/>
                <w:bCs/>
                <w:i/>
                <w:iCs/>
                <w:color w:val="FFFFFF"/>
                <w:sz w:val="18"/>
                <w:szCs w:val="18"/>
              </w:rPr>
              <w:t>Conocimientos circunstanciales</w:t>
            </w:r>
          </w:p>
        </w:tc>
      </w:tr>
      <w:tr w:rsidR="00990B14" w14:paraId="0C388D26" w14:textId="77777777">
        <w:trPr>
          <w:jc w:val="center"/>
        </w:trPr>
        <w:tc>
          <w:tcPr>
            <w:tcW w:w="2349" w:type="dxa"/>
            <w:gridSpan w:val="2"/>
            <w:shd w:val="clear" w:color="auto" w:fill="D9E2F3"/>
          </w:tcPr>
          <w:p w14:paraId="2E7EC9BB" w14:textId="77777777" w:rsidR="00990B14" w:rsidRDefault="00000000">
            <w:pPr>
              <w:spacing w:before="20" w:after="40"/>
              <w:jc w:val="both"/>
            </w:pPr>
            <w:r>
              <w:rPr>
                <w:sz w:val="18"/>
                <w:szCs w:val="18"/>
              </w:rPr>
              <w:t>Tema 15: Suspensión del contrato individual de trabajo</w:t>
            </w:r>
          </w:p>
          <w:p w14:paraId="510DC8E6" w14:textId="77777777" w:rsidR="00990B14" w:rsidRDefault="00000000">
            <w:pPr>
              <w:spacing w:before="20" w:after="40"/>
              <w:jc w:val="both"/>
            </w:pPr>
            <w:r>
              <w:rPr>
                <w:sz w:val="18"/>
                <w:szCs w:val="18"/>
              </w:rPr>
              <w:t>Tema 16: Extinción del contrato individual de trabajo por voluntad del empleador</w:t>
            </w:r>
          </w:p>
          <w:p w14:paraId="18E101B7" w14:textId="77777777" w:rsidR="00990B14" w:rsidRDefault="00000000">
            <w:pPr>
              <w:spacing w:before="20" w:after="40"/>
              <w:jc w:val="both"/>
            </w:pPr>
            <w:r>
              <w:rPr>
                <w:sz w:val="18"/>
                <w:szCs w:val="18"/>
              </w:rPr>
              <w:t>Tema 17: Extinción del contrato individual de trabajo por voluntad del trabajador</w:t>
            </w:r>
          </w:p>
          <w:p w14:paraId="0B0B7B03" w14:textId="77777777" w:rsidR="00990B14" w:rsidRDefault="00000000">
            <w:pPr>
              <w:spacing w:before="20" w:after="40"/>
              <w:jc w:val="both"/>
            </w:pPr>
            <w:r>
              <w:rPr>
                <w:sz w:val="18"/>
                <w:szCs w:val="18"/>
              </w:rPr>
              <w:t>Tema 18: Extinción del contrato individual de trabajo por causas ajenas al empleador y al trabajador</w:t>
            </w:r>
          </w:p>
          <w:p w14:paraId="527AD80A" w14:textId="77777777" w:rsidR="00990B14" w:rsidRDefault="00000000">
            <w:pPr>
              <w:spacing w:before="20" w:after="40"/>
              <w:jc w:val="both"/>
            </w:pPr>
            <w:r>
              <w:rPr>
                <w:sz w:val="18"/>
                <w:szCs w:val="18"/>
              </w:rPr>
              <w:t>Tema 19: Efectos jurídicos de la extinción del contrato individual de trabajo</w:t>
            </w:r>
          </w:p>
        </w:tc>
        <w:tc>
          <w:tcPr>
            <w:tcW w:w="4304" w:type="dxa"/>
            <w:gridSpan w:val="8"/>
            <w:shd w:val="clear" w:color="auto" w:fill="D9E2F3"/>
          </w:tcPr>
          <w:p w14:paraId="4DBEC914" w14:textId="77777777" w:rsidR="00990B14" w:rsidRDefault="00000000">
            <w:pPr>
              <w:spacing w:after="40"/>
              <w:jc w:val="both"/>
            </w:pPr>
            <w:r>
              <w:rPr>
                <w:sz w:val="18"/>
                <w:szCs w:val="18"/>
              </w:rPr>
              <w:t>Nociones generales sobre la suspensión del contrato individual de trabajo, sus causas y sus efectos jurídicos. (C)</w:t>
            </w:r>
          </w:p>
          <w:p w14:paraId="2B34EF1D" w14:textId="77777777" w:rsidR="00990B14" w:rsidRDefault="00000000">
            <w:pPr>
              <w:spacing w:after="40"/>
              <w:jc w:val="both"/>
            </w:pPr>
            <w:r>
              <w:rPr>
                <w:sz w:val="18"/>
                <w:szCs w:val="18"/>
              </w:rPr>
              <w:t>Consideraciones generales sobre la extinción del contrato individual de trabajo por voluntad del empleador, y despido injustificado: concepto y características. (C)</w:t>
            </w:r>
          </w:p>
          <w:p w14:paraId="28C60620" w14:textId="77777777" w:rsidR="00990B14" w:rsidRDefault="00000000">
            <w:pPr>
              <w:spacing w:after="40"/>
              <w:jc w:val="both"/>
            </w:pPr>
            <w:r>
              <w:rPr>
                <w:sz w:val="18"/>
                <w:szCs w:val="18"/>
              </w:rPr>
              <w:t>Despido indirecto: concepto y justificación, legislación inherente al despido indirecto, y despido indirecto por acoso laboral. (C, A)</w:t>
            </w:r>
          </w:p>
          <w:p w14:paraId="4FE5C441" w14:textId="77777777" w:rsidR="00990B14" w:rsidRDefault="00000000">
            <w:pPr>
              <w:spacing w:after="40"/>
              <w:jc w:val="both"/>
            </w:pPr>
            <w:r>
              <w:rPr>
                <w:sz w:val="18"/>
                <w:szCs w:val="18"/>
              </w:rPr>
              <w:t>La clausura por liquidación de la patronal. (C)</w:t>
            </w:r>
          </w:p>
          <w:p w14:paraId="3CA6C828" w14:textId="77777777" w:rsidR="00990B14" w:rsidRDefault="00000000">
            <w:pPr>
              <w:spacing w:after="40"/>
              <w:jc w:val="both"/>
            </w:pPr>
            <w:r>
              <w:rPr>
                <w:sz w:val="18"/>
                <w:szCs w:val="18"/>
              </w:rPr>
              <w:t>Despido justificado, retiro voluntario y abandono o retiro voluntario tácito. (C, P)</w:t>
            </w:r>
          </w:p>
          <w:p w14:paraId="65597880" w14:textId="77777777" w:rsidR="00990B14" w:rsidRDefault="00000000">
            <w:pPr>
              <w:spacing w:after="40"/>
              <w:jc w:val="both"/>
            </w:pPr>
            <w:r>
              <w:rPr>
                <w:sz w:val="18"/>
                <w:szCs w:val="18"/>
              </w:rPr>
              <w:t>Quiebra del patrono, muerte, incapacidad total y permanente para el trabajo, y fuerza mayor y caso fortuito. (C)</w:t>
            </w:r>
          </w:p>
          <w:p w14:paraId="3470BBC4" w14:textId="77777777" w:rsidR="00990B14" w:rsidRDefault="00000000">
            <w:pPr>
              <w:spacing w:after="40"/>
              <w:jc w:val="both"/>
            </w:pPr>
            <w:r>
              <w:rPr>
                <w:sz w:val="18"/>
                <w:szCs w:val="18"/>
              </w:rPr>
              <w:t>Consideraciones generales sobre los efectos jurídicos de la extinción del contrato, beneficios sociales e indemnización por tiempo de servicios, y contenido del tiempo de servicios. (C, P)</w:t>
            </w:r>
          </w:p>
          <w:p w14:paraId="63E00BF1" w14:textId="77777777" w:rsidR="00990B14" w:rsidRDefault="00000000">
            <w:pPr>
              <w:spacing w:after="40"/>
              <w:jc w:val="both"/>
            </w:pPr>
            <w:r>
              <w:rPr>
                <w:sz w:val="18"/>
                <w:szCs w:val="18"/>
              </w:rPr>
              <w:t>Liquidación de la indemnización por tiempo de servicios y por distintas causas. (P)</w:t>
            </w:r>
          </w:p>
          <w:p w14:paraId="2537102B" w14:textId="77777777" w:rsidR="00990B14" w:rsidRDefault="00000000">
            <w:pPr>
              <w:spacing w:after="40"/>
              <w:jc w:val="both"/>
            </w:pPr>
            <w:r>
              <w:rPr>
                <w:sz w:val="18"/>
                <w:szCs w:val="18"/>
              </w:rPr>
              <w:t>Plazo para el pago de la indemnización, y multa por su incumplimiento dentro de los 15 días y aportes a la Gestora Pública. (C, P)</w:t>
            </w:r>
          </w:p>
          <w:p w14:paraId="4C73FF83" w14:textId="77777777" w:rsidR="00990B14" w:rsidRDefault="00000000">
            <w:pPr>
              <w:spacing w:after="40"/>
              <w:jc w:val="both"/>
            </w:pPr>
            <w:r>
              <w:rPr>
                <w:sz w:val="18"/>
                <w:szCs w:val="18"/>
              </w:rPr>
              <w:t>Indexación de beneficios sociales, finiquito, pago total, inembargabilidad e imprescriptibilidad. (C, P)</w:t>
            </w:r>
          </w:p>
          <w:p w14:paraId="191E1FC8" w14:textId="77777777" w:rsidR="00990B14" w:rsidRDefault="00000000">
            <w:pPr>
              <w:spacing w:after="40"/>
              <w:jc w:val="both"/>
            </w:pPr>
            <w:r>
              <w:rPr>
                <w:sz w:val="18"/>
                <w:szCs w:val="18"/>
              </w:rPr>
              <w:t>Desahucio, derechos colaterales, certificado de retiro y carta de evaluación laboral. (C, P)</w:t>
            </w:r>
          </w:p>
          <w:p w14:paraId="33B5F14E" w14:textId="77777777" w:rsidR="00990B14" w:rsidRDefault="00000000">
            <w:pPr>
              <w:spacing w:after="40"/>
              <w:jc w:val="both"/>
            </w:pPr>
            <w:r>
              <w:rPr>
                <w:sz w:val="18"/>
                <w:szCs w:val="18"/>
              </w:rPr>
              <w:t>Pagos voluntarios de la patronal, que no tienen fuerza obligatoria ni son vinculantes. (C)</w:t>
            </w:r>
          </w:p>
        </w:tc>
        <w:tc>
          <w:tcPr>
            <w:tcW w:w="2752" w:type="dxa"/>
            <w:gridSpan w:val="3"/>
            <w:shd w:val="clear" w:color="auto" w:fill="D9E2F3"/>
          </w:tcPr>
          <w:p w14:paraId="65F71945" w14:textId="77777777" w:rsidR="00990B14" w:rsidRDefault="00000000">
            <w:pPr>
              <w:numPr>
                <w:ilvl w:val="0"/>
                <w:numId w:val="139"/>
              </w:numPr>
              <w:spacing w:before="10" w:after="10"/>
              <w:jc w:val="both"/>
            </w:pPr>
            <w:r>
              <w:rPr>
                <w:sz w:val="18"/>
                <w:szCs w:val="18"/>
              </w:rPr>
              <w:t>Decreto Supremo N.º 0110, que garantiza el pago de la indemnización por tiempo de servicios a partir de los noventa días de trabajo continuo, incluida la renuncia voluntaria, como derecho adquirido.</w:t>
            </w:r>
          </w:p>
          <w:p w14:paraId="53916766" w14:textId="77777777" w:rsidR="00990B14" w:rsidRDefault="00000000">
            <w:pPr>
              <w:numPr>
                <w:ilvl w:val="0"/>
                <w:numId w:val="139"/>
              </w:numPr>
              <w:spacing w:before="10" w:after="10"/>
              <w:jc w:val="both"/>
            </w:pPr>
            <w:r>
              <w:rPr>
                <w:sz w:val="18"/>
                <w:szCs w:val="18"/>
              </w:rPr>
              <w:t>Ley N.º 1610, que eleva a rango de ley el Decreto Supremo N.º 4668, sobre la aplicación de los derechos laborales adquiridos por las trabajadoras y los trabajadores sujetos a la Ley General del Trabajo</w:t>
            </w:r>
          </w:p>
        </w:tc>
      </w:tr>
      <w:tr w:rsidR="00990B14" w14:paraId="3718E3C5" w14:textId="77777777">
        <w:trPr>
          <w:cantSplit/>
          <w:jc w:val="center"/>
        </w:trPr>
        <w:tc>
          <w:tcPr>
            <w:tcW w:w="9405" w:type="dxa"/>
            <w:gridSpan w:val="13"/>
            <w:shd w:val="clear" w:color="auto" w:fill="D9E2F3"/>
            <w:vAlign w:val="center"/>
          </w:tcPr>
          <w:p w14:paraId="708B9D27" w14:textId="77777777" w:rsidR="00990B14" w:rsidRDefault="00000000">
            <w:pPr>
              <w:spacing w:before="20" w:after="20"/>
              <w:jc w:val="both"/>
            </w:pPr>
            <w:r>
              <w:rPr>
                <w:b/>
                <w:bCs/>
                <w:i/>
                <w:iCs/>
                <w:sz w:val="18"/>
                <w:szCs w:val="18"/>
              </w:rPr>
              <w:t xml:space="preserve">Elemento de competencia 5: </w:t>
            </w:r>
            <w:r>
              <w:rPr>
                <w:sz w:val="18"/>
                <w:szCs w:val="18"/>
              </w:rPr>
              <w:t>Aplica el régimen de la seguridad social de corto y de largo plazo, determinando las prestaciones del seguro social y del sistema integral de pensiones que corresponden al asegurado.</w:t>
            </w:r>
          </w:p>
        </w:tc>
      </w:tr>
      <w:tr w:rsidR="00990B14" w14:paraId="3918C245" w14:textId="77777777">
        <w:trPr>
          <w:cantSplit/>
          <w:jc w:val="center"/>
        </w:trPr>
        <w:tc>
          <w:tcPr>
            <w:tcW w:w="3133" w:type="dxa"/>
            <w:gridSpan w:val="4"/>
            <w:shd w:val="clear" w:color="auto" w:fill="4472C4"/>
            <w:vAlign w:val="center"/>
          </w:tcPr>
          <w:p w14:paraId="50E6C71F"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4071BFD6"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66D94AD5" w14:textId="77777777" w:rsidR="00990B14" w:rsidRDefault="00000000">
            <w:pPr>
              <w:keepNext/>
              <w:spacing w:before="20" w:after="20"/>
              <w:jc w:val="center"/>
            </w:pPr>
            <w:r>
              <w:rPr>
                <w:b/>
                <w:bCs/>
                <w:i/>
                <w:iCs/>
                <w:color w:val="FFFFFF"/>
                <w:sz w:val="18"/>
                <w:szCs w:val="18"/>
              </w:rPr>
              <w:t>Evidencias de producto</w:t>
            </w:r>
          </w:p>
        </w:tc>
      </w:tr>
      <w:tr w:rsidR="00990B14" w14:paraId="448C0FA0" w14:textId="77777777">
        <w:trPr>
          <w:cantSplit/>
          <w:jc w:val="center"/>
        </w:trPr>
        <w:tc>
          <w:tcPr>
            <w:tcW w:w="3133" w:type="dxa"/>
            <w:gridSpan w:val="4"/>
            <w:vMerge w:val="restart"/>
            <w:shd w:val="clear" w:color="auto" w:fill="D9E2F3"/>
            <w:vAlign w:val="center"/>
          </w:tcPr>
          <w:p w14:paraId="05E19255" w14:textId="77777777" w:rsidR="00990B14" w:rsidRDefault="00000000">
            <w:pPr>
              <w:spacing w:before="20" w:after="20"/>
              <w:jc w:val="both"/>
            </w:pPr>
            <w:r>
              <w:rPr>
                <w:sz w:val="18"/>
                <w:szCs w:val="18"/>
              </w:rPr>
              <w:t>1. Describe el régimen de la seguridad social de corto plazo, determinando las prestaciones que corresponden por enfermedad, maternidad y riesgos ocupacionales.</w:t>
            </w:r>
          </w:p>
        </w:tc>
        <w:tc>
          <w:tcPr>
            <w:tcW w:w="3135" w:type="dxa"/>
            <w:gridSpan w:val="5"/>
            <w:shd w:val="clear" w:color="auto" w:fill="D9E2F3"/>
            <w:vAlign w:val="center"/>
          </w:tcPr>
          <w:p w14:paraId="39B7825F" w14:textId="77777777" w:rsidR="00990B14" w:rsidRDefault="00000000">
            <w:pPr>
              <w:spacing w:before="20" w:after="20"/>
              <w:jc w:val="both"/>
            </w:pPr>
            <w:r>
              <w:rPr>
                <w:sz w:val="18"/>
                <w:szCs w:val="18"/>
              </w:rPr>
              <w:t>1.1 Determina las prestaciones del seguro social a corto plazo.</w:t>
            </w:r>
          </w:p>
        </w:tc>
        <w:tc>
          <w:tcPr>
            <w:tcW w:w="3137" w:type="dxa"/>
            <w:gridSpan w:val="4"/>
            <w:shd w:val="clear" w:color="auto" w:fill="D9E2F3"/>
            <w:vAlign w:val="center"/>
          </w:tcPr>
          <w:p w14:paraId="501158E4" w14:textId="77777777" w:rsidR="00990B14" w:rsidRDefault="00000000">
            <w:pPr>
              <w:spacing w:before="20" w:after="20"/>
              <w:jc w:val="both"/>
            </w:pPr>
            <w:r>
              <w:rPr>
                <w:b/>
                <w:bCs/>
                <w:sz w:val="18"/>
                <w:szCs w:val="18"/>
              </w:rPr>
              <w:t xml:space="preserve">Producto 17: </w:t>
            </w:r>
            <w:r>
              <w:rPr>
                <w:sz w:val="18"/>
                <w:szCs w:val="18"/>
              </w:rPr>
              <w:t>Informe de las prestaciones del seguro social a corto plazo.</w:t>
            </w:r>
          </w:p>
        </w:tc>
      </w:tr>
      <w:tr w:rsidR="00990B14" w14:paraId="691B3BA8" w14:textId="77777777">
        <w:trPr>
          <w:cantSplit/>
          <w:jc w:val="center"/>
        </w:trPr>
        <w:tc>
          <w:tcPr>
            <w:tcW w:w="3133" w:type="dxa"/>
            <w:gridSpan w:val="4"/>
            <w:vMerge/>
            <w:shd w:val="clear" w:color="auto" w:fill="D9E2F3"/>
            <w:vAlign w:val="center"/>
          </w:tcPr>
          <w:p w14:paraId="4C403D13" w14:textId="77777777" w:rsidR="00990B14" w:rsidRDefault="00990B14">
            <w:pPr>
              <w:spacing w:before="20" w:after="20"/>
            </w:pPr>
          </w:p>
        </w:tc>
        <w:tc>
          <w:tcPr>
            <w:tcW w:w="3135" w:type="dxa"/>
            <w:gridSpan w:val="5"/>
            <w:shd w:val="clear" w:color="auto" w:fill="D9E2F3"/>
            <w:vAlign w:val="center"/>
          </w:tcPr>
          <w:p w14:paraId="5773D479" w14:textId="77777777" w:rsidR="00990B14" w:rsidRDefault="00000000">
            <w:pPr>
              <w:spacing w:before="20" w:after="20"/>
              <w:jc w:val="both"/>
            </w:pPr>
            <w:r>
              <w:rPr>
                <w:sz w:val="18"/>
                <w:szCs w:val="18"/>
              </w:rPr>
              <w:t>1.2 Identifica los riesgos ocupacionales de un centro de trabajo.</w:t>
            </w:r>
          </w:p>
        </w:tc>
        <w:tc>
          <w:tcPr>
            <w:tcW w:w="3137" w:type="dxa"/>
            <w:gridSpan w:val="4"/>
            <w:shd w:val="clear" w:color="auto" w:fill="D9E2F3"/>
            <w:vAlign w:val="center"/>
          </w:tcPr>
          <w:p w14:paraId="11AB063E" w14:textId="77777777" w:rsidR="00990B14" w:rsidRDefault="00000000">
            <w:pPr>
              <w:spacing w:before="20" w:after="20"/>
              <w:jc w:val="both"/>
            </w:pPr>
            <w:r>
              <w:rPr>
                <w:b/>
                <w:bCs/>
                <w:sz w:val="18"/>
                <w:szCs w:val="18"/>
              </w:rPr>
              <w:t xml:space="preserve">Producto 18: </w:t>
            </w:r>
            <w:r>
              <w:rPr>
                <w:sz w:val="18"/>
                <w:szCs w:val="18"/>
              </w:rPr>
              <w:t>Informe de riesgos ocupacionales de un centro de trabajo.</w:t>
            </w:r>
          </w:p>
        </w:tc>
      </w:tr>
      <w:tr w:rsidR="00990B14" w14:paraId="47870ED1" w14:textId="77777777">
        <w:trPr>
          <w:cantSplit/>
          <w:jc w:val="center"/>
        </w:trPr>
        <w:tc>
          <w:tcPr>
            <w:tcW w:w="3133" w:type="dxa"/>
            <w:gridSpan w:val="4"/>
            <w:vMerge w:val="restart"/>
            <w:shd w:val="clear" w:color="auto" w:fill="D9E2F3"/>
            <w:vAlign w:val="center"/>
          </w:tcPr>
          <w:p w14:paraId="54CC92A4" w14:textId="77777777" w:rsidR="00990B14" w:rsidRDefault="00000000">
            <w:pPr>
              <w:spacing w:before="20" w:after="20"/>
              <w:jc w:val="both"/>
            </w:pPr>
            <w:r>
              <w:rPr>
                <w:sz w:val="18"/>
                <w:szCs w:val="18"/>
              </w:rPr>
              <w:t>2. Calcula las prestaciones del sistema integral de pensiones que corresponden a un asegurado y a sus derechohabientes según el régimen aplicable.</w:t>
            </w:r>
          </w:p>
        </w:tc>
        <w:tc>
          <w:tcPr>
            <w:tcW w:w="3135" w:type="dxa"/>
            <w:gridSpan w:val="5"/>
            <w:shd w:val="clear" w:color="auto" w:fill="D9E2F3"/>
            <w:vAlign w:val="center"/>
          </w:tcPr>
          <w:p w14:paraId="47228C06" w14:textId="77777777" w:rsidR="00990B14" w:rsidRDefault="00000000">
            <w:pPr>
              <w:spacing w:before="20" w:after="20"/>
              <w:jc w:val="both"/>
            </w:pPr>
            <w:r>
              <w:rPr>
                <w:sz w:val="18"/>
                <w:szCs w:val="18"/>
              </w:rPr>
              <w:t>2.1 Verifica el cálculo de la renta de vejez y la renta dignidad de un asegurado.</w:t>
            </w:r>
          </w:p>
        </w:tc>
        <w:tc>
          <w:tcPr>
            <w:tcW w:w="3137" w:type="dxa"/>
            <w:gridSpan w:val="4"/>
            <w:shd w:val="clear" w:color="auto" w:fill="D9E2F3"/>
            <w:vAlign w:val="center"/>
          </w:tcPr>
          <w:p w14:paraId="136291FB" w14:textId="77777777" w:rsidR="00990B14" w:rsidRDefault="00000000">
            <w:pPr>
              <w:spacing w:before="20" w:after="20"/>
              <w:jc w:val="both"/>
            </w:pPr>
            <w:r>
              <w:rPr>
                <w:b/>
                <w:bCs/>
                <w:sz w:val="18"/>
                <w:szCs w:val="18"/>
              </w:rPr>
              <w:t xml:space="preserve">Producto 19: </w:t>
            </w:r>
            <w:r>
              <w:rPr>
                <w:sz w:val="18"/>
                <w:szCs w:val="18"/>
              </w:rPr>
              <w:t>Cálculo de la renta de vejez y de la renta dignidad.</w:t>
            </w:r>
          </w:p>
        </w:tc>
      </w:tr>
      <w:tr w:rsidR="00990B14" w14:paraId="25190C2C" w14:textId="77777777">
        <w:trPr>
          <w:cantSplit/>
          <w:jc w:val="center"/>
        </w:trPr>
        <w:tc>
          <w:tcPr>
            <w:tcW w:w="3133" w:type="dxa"/>
            <w:gridSpan w:val="4"/>
            <w:vMerge/>
            <w:shd w:val="clear" w:color="auto" w:fill="D9E2F3"/>
            <w:vAlign w:val="center"/>
          </w:tcPr>
          <w:p w14:paraId="23505074" w14:textId="77777777" w:rsidR="00990B14" w:rsidRDefault="00990B14">
            <w:pPr>
              <w:spacing w:before="20" w:after="20"/>
            </w:pPr>
          </w:p>
        </w:tc>
        <w:tc>
          <w:tcPr>
            <w:tcW w:w="3135" w:type="dxa"/>
            <w:gridSpan w:val="5"/>
            <w:shd w:val="clear" w:color="auto" w:fill="D9E2F3"/>
            <w:vAlign w:val="center"/>
          </w:tcPr>
          <w:p w14:paraId="5B2B3487" w14:textId="77777777" w:rsidR="00990B14" w:rsidRDefault="00000000">
            <w:pPr>
              <w:spacing w:before="20" w:after="20"/>
              <w:jc w:val="both"/>
            </w:pPr>
            <w:r>
              <w:rPr>
                <w:sz w:val="18"/>
                <w:szCs w:val="18"/>
              </w:rPr>
              <w:t>2.2 Clasifica los regímenes contributivo, semicontributivo y no contributivo y sus prestaciones.</w:t>
            </w:r>
          </w:p>
        </w:tc>
        <w:tc>
          <w:tcPr>
            <w:tcW w:w="3137" w:type="dxa"/>
            <w:gridSpan w:val="4"/>
            <w:shd w:val="clear" w:color="auto" w:fill="D9E2F3"/>
            <w:vAlign w:val="center"/>
          </w:tcPr>
          <w:p w14:paraId="238AF656" w14:textId="77777777" w:rsidR="00990B14" w:rsidRDefault="00000000">
            <w:pPr>
              <w:spacing w:before="20" w:after="20"/>
              <w:jc w:val="both"/>
            </w:pPr>
            <w:r>
              <w:rPr>
                <w:b/>
                <w:bCs/>
                <w:sz w:val="18"/>
                <w:szCs w:val="18"/>
              </w:rPr>
              <w:t xml:space="preserve">Producto 20: </w:t>
            </w:r>
            <w:r>
              <w:rPr>
                <w:sz w:val="18"/>
                <w:szCs w:val="18"/>
              </w:rPr>
              <w:t>Cuadro de los regímenes del sistema integral de pensiones.</w:t>
            </w:r>
          </w:p>
        </w:tc>
      </w:tr>
      <w:tr w:rsidR="00990B14" w14:paraId="6478011E" w14:textId="77777777">
        <w:trPr>
          <w:cantSplit/>
          <w:jc w:val="center"/>
        </w:trPr>
        <w:tc>
          <w:tcPr>
            <w:tcW w:w="9405" w:type="dxa"/>
            <w:gridSpan w:val="13"/>
            <w:shd w:val="clear" w:color="auto" w:fill="4472C4"/>
            <w:vAlign w:val="center"/>
          </w:tcPr>
          <w:p w14:paraId="4CF4C009" w14:textId="77777777" w:rsidR="00990B14" w:rsidRDefault="00000000">
            <w:pPr>
              <w:keepNext/>
              <w:spacing w:before="20" w:after="20"/>
              <w:jc w:val="center"/>
            </w:pPr>
            <w:r>
              <w:rPr>
                <w:b/>
                <w:bCs/>
                <w:i/>
                <w:iCs/>
                <w:color w:val="FFFFFF"/>
                <w:sz w:val="18"/>
                <w:szCs w:val="18"/>
              </w:rPr>
              <w:t>Evidencias de conocimiento</w:t>
            </w:r>
          </w:p>
        </w:tc>
      </w:tr>
      <w:tr w:rsidR="00990B14" w14:paraId="32AB756F" w14:textId="77777777">
        <w:trPr>
          <w:cantSplit/>
          <w:jc w:val="center"/>
        </w:trPr>
        <w:tc>
          <w:tcPr>
            <w:tcW w:w="2349" w:type="dxa"/>
            <w:gridSpan w:val="2"/>
            <w:shd w:val="clear" w:color="auto" w:fill="4472C4"/>
            <w:vAlign w:val="center"/>
          </w:tcPr>
          <w:p w14:paraId="6ACFD2A8"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41D1736A" w14:textId="77777777" w:rsidR="00990B14" w:rsidRDefault="00000000">
            <w:pPr>
              <w:keepNext/>
              <w:spacing w:before="20" w:after="20"/>
              <w:jc w:val="both"/>
            </w:pPr>
            <w:r>
              <w:rPr>
                <w:b/>
                <w:bCs/>
                <w:i/>
                <w:iCs/>
                <w:color w:val="FFFFFF"/>
                <w:sz w:val="18"/>
                <w:szCs w:val="18"/>
              </w:rPr>
              <w:t>Contenidos</w:t>
            </w:r>
          </w:p>
          <w:p w14:paraId="1B457111"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520F5E8F" w14:textId="77777777" w:rsidR="00990B14" w:rsidRDefault="00000000">
            <w:pPr>
              <w:keepNext/>
              <w:spacing w:before="20" w:after="20"/>
              <w:jc w:val="center"/>
            </w:pPr>
            <w:r>
              <w:rPr>
                <w:b/>
                <w:bCs/>
                <w:i/>
                <w:iCs/>
                <w:color w:val="FFFFFF"/>
                <w:sz w:val="18"/>
                <w:szCs w:val="18"/>
              </w:rPr>
              <w:t>Conocimientos circunstanciales</w:t>
            </w:r>
          </w:p>
        </w:tc>
      </w:tr>
      <w:tr w:rsidR="00990B14" w14:paraId="1C8E13C2" w14:textId="77777777">
        <w:trPr>
          <w:jc w:val="center"/>
        </w:trPr>
        <w:tc>
          <w:tcPr>
            <w:tcW w:w="2349" w:type="dxa"/>
            <w:gridSpan w:val="2"/>
            <w:shd w:val="clear" w:color="auto" w:fill="D9E2F3"/>
          </w:tcPr>
          <w:p w14:paraId="76C4E2DC" w14:textId="77777777" w:rsidR="00990B14" w:rsidRDefault="00000000">
            <w:pPr>
              <w:spacing w:before="20" w:after="40"/>
              <w:jc w:val="both"/>
            </w:pPr>
            <w:r>
              <w:rPr>
                <w:sz w:val="18"/>
                <w:szCs w:val="18"/>
              </w:rPr>
              <w:t>Tema 20: Seguridad social y derecho de la seguridad social</w:t>
            </w:r>
          </w:p>
          <w:p w14:paraId="7A401352" w14:textId="77777777" w:rsidR="00990B14" w:rsidRDefault="00000000">
            <w:pPr>
              <w:spacing w:before="20" w:after="40"/>
              <w:jc w:val="both"/>
            </w:pPr>
            <w:r>
              <w:rPr>
                <w:sz w:val="18"/>
                <w:szCs w:val="18"/>
              </w:rPr>
              <w:t>Tema 21: Seguro social a corto plazo</w:t>
            </w:r>
          </w:p>
          <w:p w14:paraId="0732254E" w14:textId="77777777" w:rsidR="00990B14" w:rsidRDefault="00000000">
            <w:pPr>
              <w:spacing w:before="20" w:after="40"/>
              <w:jc w:val="both"/>
            </w:pPr>
            <w:r>
              <w:rPr>
                <w:sz w:val="18"/>
                <w:szCs w:val="18"/>
              </w:rPr>
              <w:t>Tema 22: Seguro Social Obligatorio de Largo Plazo</w:t>
            </w:r>
          </w:p>
        </w:tc>
        <w:tc>
          <w:tcPr>
            <w:tcW w:w="4304" w:type="dxa"/>
            <w:gridSpan w:val="8"/>
            <w:shd w:val="clear" w:color="auto" w:fill="D9E2F3"/>
          </w:tcPr>
          <w:p w14:paraId="29CDE632" w14:textId="77777777" w:rsidR="00990B14" w:rsidRDefault="00000000">
            <w:pPr>
              <w:spacing w:after="40"/>
              <w:jc w:val="both"/>
            </w:pPr>
            <w:r>
              <w:rPr>
                <w:sz w:val="18"/>
                <w:szCs w:val="18"/>
              </w:rPr>
              <w:t>Concepto de seguridad social, derecho de la seguridad social y seguridad social en Bolivia. (C)</w:t>
            </w:r>
          </w:p>
          <w:p w14:paraId="5B04E33B" w14:textId="77777777" w:rsidR="00990B14" w:rsidRDefault="00000000">
            <w:pPr>
              <w:spacing w:after="40"/>
              <w:jc w:val="both"/>
            </w:pPr>
            <w:r>
              <w:rPr>
                <w:sz w:val="18"/>
                <w:szCs w:val="18"/>
              </w:rPr>
              <w:t>Concepto del seguro social a corto plazo, seguro de enfermedad común y seguro de maternidad. (C)</w:t>
            </w:r>
          </w:p>
          <w:p w14:paraId="658E2AD1" w14:textId="77777777" w:rsidR="00990B14" w:rsidRDefault="00000000">
            <w:pPr>
              <w:spacing w:after="40"/>
              <w:jc w:val="both"/>
            </w:pPr>
            <w:r>
              <w:rPr>
                <w:sz w:val="18"/>
                <w:szCs w:val="18"/>
              </w:rPr>
              <w:t>Seguro de riesgos ocupacionales: accidentes de trabajo, enfermedades profesionales, otros riesgos y grados de incapacidad. (C, A)</w:t>
            </w:r>
          </w:p>
          <w:p w14:paraId="1A0D92B5" w14:textId="77777777" w:rsidR="00990B14" w:rsidRDefault="00000000">
            <w:pPr>
              <w:spacing w:after="40"/>
              <w:jc w:val="both"/>
            </w:pPr>
            <w:r>
              <w:rPr>
                <w:sz w:val="18"/>
                <w:szCs w:val="18"/>
              </w:rPr>
              <w:t>Financiamiento, prestaciones, asignaciones familiares y ente gestor del seguro social a corto plazo. (C, P)</w:t>
            </w:r>
          </w:p>
          <w:p w14:paraId="15C1EA1F" w14:textId="77777777" w:rsidR="00990B14" w:rsidRDefault="00000000">
            <w:pPr>
              <w:spacing w:after="40"/>
              <w:jc w:val="both"/>
            </w:pPr>
            <w:r>
              <w:rPr>
                <w:sz w:val="18"/>
                <w:szCs w:val="18"/>
              </w:rPr>
              <w:t>Concepto del seguro social obligatorio de largo plazo y del sistema integral de pensiones. (C)</w:t>
            </w:r>
          </w:p>
          <w:p w14:paraId="4B3F5BDC" w14:textId="77777777" w:rsidR="00990B14" w:rsidRDefault="00000000">
            <w:pPr>
              <w:spacing w:after="40"/>
              <w:jc w:val="both"/>
            </w:pPr>
            <w:r>
              <w:rPr>
                <w:sz w:val="18"/>
                <w:szCs w:val="18"/>
              </w:rPr>
              <w:t>Regímenes del sistema de pensiones: contributivo, semicontributivo y no contributivo. (C)</w:t>
            </w:r>
          </w:p>
          <w:p w14:paraId="58B3F464" w14:textId="77777777" w:rsidR="00990B14" w:rsidRDefault="00000000">
            <w:pPr>
              <w:spacing w:after="40"/>
              <w:jc w:val="both"/>
            </w:pPr>
            <w:r>
              <w:rPr>
                <w:sz w:val="18"/>
                <w:szCs w:val="18"/>
              </w:rPr>
              <w:t>Prestaciones del sistema integral de pensiones: pensión de vejez, pensión solidaria de vejez y pensión de invalidez. (C, P)</w:t>
            </w:r>
          </w:p>
          <w:p w14:paraId="0AB388A2" w14:textId="77777777" w:rsidR="00990B14" w:rsidRDefault="00000000">
            <w:pPr>
              <w:spacing w:after="40"/>
              <w:jc w:val="both"/>
            </w:pPr>
            <w:r>
              <w:rPr>
                <w:sz w:val="18"/>
                <w:szCs w:val="18"/>
              </w:rPr>
              <w:t>Concurrencia de pensiones, pensión por muerte y masa hereditaria. (C)</w:t>
            </w:r>
          </w:p>
          <w:p w14:paraId="248D5C56" w14:textId="77777777" w:rsidR="00990B14" w:rsidRDefault="00000000">
            <w:pPr>
              <w:spacing w:after="40"/>
              <w:jc w:val="both"/>
            </w:pPr>
            <w:r>
              <w:rPr>
                <w:sz w:val="18"/>
                <w:szCs w:val="18"/>
              </w:rPr>
              <w:t>Renta dignidad, gastos funerales y la Gestora Pública. (C, P)</w:t>
            </w:r>
          </w:p>
        </w:tc>
        <w:tc>
          <w:tcPr>
            <w:tcW w:w="2752" w:type="dxa"/>
            <w:gridSpan w:val="3"/>
            <w:shd w:val="clear" w:color="auto" w:fill="D9E2F3"/>
          </w:tcPr>
          <w:p w14:paraId="5E1C0C88" w14:textId="77777777" w:rsidR="00990B14" w:rsidRDefault="00000000">
            <w:pPr>
              <w:numPr>
                <w:ilvl w:val="0"/>
                <w:numId w:val="139"/>
              </w:numPr>
              <w:spacing w:before="10" w:after="10"/>
              <w:jc w:val="both"/>
            </w:pPr>
            <w:r>
              <w:rPr>
                <w:sz w:val="18"/>
                <w:szCs w:val="18"/>
              </w:rPr>
              <w:t>Ley N.º 065, de Pensiones, de 10 de diciembre de 2010, que crea el Sistema Integral de Pensiones.</w:t>
            </w:r>
          </w:p>
          <w:p w14:paraId="7519AD92" w14:textId="77777777" w:rsidR="00990B14" w:rsidRDefault="00000000">
            <w:pPr>
              <w:numPr>
                <w:ilvl w:val="0"/>
                <w:numId w:val="139"/>
              </w:numPr>
              <w:spacing w:before="10" w:after="10"/>
              <w:jc w:val="both"/>
            </w:pPr>
            <w:r>
              <w:rPr>
                <w:sz w:val="18"/>
                <w:szCs w:val="18"/>
              </w:rPr>
              <w:t>Gestora Pública de la Seguridad Social de Largo Plazo, que asumió la administración total del Sistema Integral de Pensiones desde el 15 de mayo de 2023, en cumplimiento del Decreto Supremo N.º 4585.</w:t>
            </w:r>
          </w:p>
          <w:p w14:paraId="7524B704" w14:textId="77777777" w:rsidR="00990B14" w:rsidRDefault="00000000">
            <w:pPr>
              <w:numPr>
                <w:ilvl w:val="0"/>
                <w:numId w:val="139"/>
              </w:numPr>
              <w:spacing w:before="10" w:after="10"/>
              <w:jc w:val="both"/>
            </w:pPr>
            <w:r>
              <w:rPr>
                <w:sz w:val="18"/>
                <w:szCs w:val="18"/>
              </w:rPr>
              <w:t>Decreto Ley N.º 16998, Ley General de Higiene, Seguridad Ocupacional y Bienestar, de 2 de agosto de 1979, que regula la prevención de los riesgos ocupacionales en los centros de trabajo.</w:t>
            </w:r>
          </w:p>
        </w:tc>
      </w:tr>
    </w:tbl>
    <w:p w14:paraId="1198C455"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910"/>
        <w:gridCol w:w="1700"/>
        <w:gridCol w:w="1805"/>
        <w:gridCol w:w="1490"/>
        <w:gridCol w:w="2500"/>
      </w:tblGrid>
      <w:tr w:rsidR="00990B14" w14:paraId="12418A58" w14:textId="77777777">
        <w:trPr>
          <w:cantSplit/>
          <w:jc w:val="center"/>
        </w:trPr>
        <w:tc>
          <w:tcPr>
            <w:tcW w:w="9405" w:type="dxa"/>
            <w:gridSpan w:val="5"/>
            <w:shd w:val="clear" w:color="auto" w:fill="4472C4"/>
            <w:vAlign w:val="center"/>
          </w:tcPr>
          <w:p w14:paraId="2CB0B5F7" w14:textId="77777777" w:rsidR="00990B14" w:rsidRDefault="00000000">
            <w:pPr>
              <w:keepNext/>
              <w:spacing w:before="20" w:after="20"/>
              <w:jc w:val="center"/>
            </w:pPr>
            <w:r>
              <w:rPr>
                <w:b/>
                <w:bCs/>
                <w:i/>
                <w:iCs/>
                <w:color w:val="FFFFFF"/>
                <w:sz w:val="18"/>
                <w:szCs w:val="18"/>
              </w:rPr>
              <w:t>Actividades</w:t>
            </w:r>
          </w:p>
        </w:tc>
      </w:tr>
      <w:tr w:rsidR="00990B14" w14:paraId="209C34E5" w14:textId="77777777">
        <w:trPr>
          <w:cantSplit/>
          <w:jc w:val="center"/>
        </w:trPr>
        <w:tc>
          <w:tcPr>
            <w:tcW w:w="1910" w:type="dxa"/>
            <w:shd w:val="clear" w:color="auto" w:fill="4472C4"/>
            <w:vAlign w:val="center"/>
          </w:tcPr>
          <w:p w14:paraId="7764FBA0" w14:textId="77777777" w:rsidR="00990B14" w:rsidRDefault="00000000">
            <w:pPr>
              <w:keepNext/>
              <w:spacing w:before="20" w:after="20"/>
              <w:jc w:val="center"/>
            </w:pPr>
            <w:r>
              <w:rPr>
                <w:b/>
                <w:bCs/>
                <w:i/>
                <w:iCs/>
                <w:color w:val="FFFFFF"/>
                <w:sz w:val="18"/>
                <w:szCs w:val="18"/>
              </w:rPr>
              <w:t>En clase</w:t>
            </w:r>
          </w:p>
        </w:tc>
        <w:tc>
          <w:tcPr>
            <w:tcW w:w="1700" w:type="dxa"/>
            <w:shd w:val="clear" w:color="auto" w:fill="4472C4"/>
            <w:vAlign w:val="center"/>
          </w:tcPr>
          <w:p w14:paraId="78162906" w14:textId="77777777" w:rsidR="00990B14" w:rsidRDefault="00000000">
            <w:pPr>
              <w:keepNext/>
              <w:spacing w:before="20" w:after="20"/>
              <w:jc w:val="center"/>
            </w:pPr>
            <w:r>
              <w:rPr>
                <w:b/>
                <w:bCs/>
                <w:i/>
                <w:iCs/>
                <w:color w:val="FFFFFF"/>
                <w:sz w:val="18"/>
                <w:szCs w:val="18"/>
              </w:rPr>
              <w:t>Autónomas</w:t>
            </w:r>
          </w:p>
        </w:tc>
        <w:tc>
          <w:tcPr>
            <w:tcW w:w="1805" w:type="dxa"/>
            <w:shd w:val="clear" w:color="auto" w:fill="4472C4"/>
            <w:vAlign w:val="center"/>
          </w:tcPr>
          <w:p w14:paraId="0530CDC9" w14:textId="77777777" w:rsidR="00990B14" w:rsidRDefault="00000000">
            <w:pPr>
              <w:keepNext/>
              <w:spacing w:before="20" w:after="20"/>
              <w:jc w:val="center"/>
            </w:pPr>
            <w:r>
              <w:rPr>
                <w:b/>
                <w:bCs/>
                <w:i/>
                <w:iCs/>
                <w:color w:val="FFFFFF"/>
                <w:sz w:val="18"/>
                <w:szCs w:val="18"/>
              </w:rPr>
              <w:t>B-Learning</w:t>
            </w:r>
          </w:p>
        </w:tc>
        <w:tc>
          <w:tcPr>
            <w:tcW w:w="1490" w:type="dxa"/>
            <w:shd w:val="clear" w:color="auto" w:fill="4472C4"/>
            <w:vAlign w:val="center"/>
          </w:tcPr>
          <w:p w14:paraId="3C533C36" w14:textId="77777777" w:rsidR="00990B14" w:rsidRDefault="00000000">
            <w:pPr>
              <w:keepNext/>
              <w:spacing w:before="20" w:after="20"/>
              <w:jc w:val="center"/>
            </w:pPr>
            <w:r>
              <w:rPr>
                <w:b/>
                <w:bCs/>
                <w:i/>
                <w:iCs/>
                <w:color w:val="FFFFFF"/>
                <w:sz w:val="18"/>
                <w:szCs w:val="18"/>
              </w:rPr>
              <w:t>Taller</w:t>
            </w:r>
          </w:p>
        </w:tc>
        <w:tc>
          <w:tcPr>
            <w:tcW w:w="2500" w:type="dxa"/>
            <w:shd w:val="clear" w:color="auto" w:fill="4472C4"/>
            <w:vAlign w:val="center"/>
          </w:tcPr>
          <w:p w14:paraId="6039B330" w14:textId="77777777" w:rsidR="00990B14" w:rsidRDefault="00000000">
            <w:pPr>
              <w:keepNext/>
              <w:spacing w:before="20" w:after="20"/>
              <w:jc w:val="center"/>
            </w:pPr>
            <w:r>
              <w:rPr>
                <w:b/>
                <w:bCs/>
                <w:i/>
                <w:iCs/>
                <w:color w:val="FFFFFF"/>
                <w:sz w:val="18"/>
                <w:szCs w:val="18"/>
              </w:rPr>
              <w:t>Investigación/Práctica</w:t>
            </w:r>
          </w:p>
        </w:tc>
      </w:tr>
      <w:tr w:rsidR="00990B14" w14:paraId="57091D90" w14:textId="77777777">
        <w:trPr>
          <w:jc w:val="center"/>
        </w:trPr>
        <w:tc>
          <w:tcPr>
            <w:tcW w:w="1910" w:type="dxa"/>
            <w:shd w:val="clear" w:color="auto" w:fill="D9E2F3"/>
          </w:tcPr>
          <w:p w14:paraId="23A603B8" w14:textId="77777777" w:rsidR="00990B14" w:rsidRDefault="00000000">
            <w:pPr>
              <w:numPr>
                <w:ilvl w:val="0"/>
                <w:numId w:val="139"/>
              </w:numPr>
              <w:spacing w:before="10" w:after="10"/>
              <w:jc w:val="both"/>
            </w:pPr>
            <w:r>
              <w:rPr>
                <w:sz w:val="18"/>
                <w:szCs w:val="18"/>
              </w:rPr>
              <w:t>Exposición dialogada de los principios y de las fuentes del derecho laboral.</w:t>
            </w:r>
          </w:p>
          <w:p w14:paraId="32E96B1B" w14:textId="77777777" w:rsidR="00990B14" w:rsidRDefault="00000000">
            <w:pPr>
              <w:numPr>
                <w:ilvl w:val="0"/>
                <w:numId w:val="139"/>
              </w:numPr>
              <w:spacing w:before="10" w:after="10"/>
              <w:jc w:val="both"/>
            </w:pPr>
            <w:r>
              <w:rPr>
                <w:sz w:val="18"/>
                <w:szCs w:val="18"/>
              </w:rPr>
              <w:t>Resolución guiada del cálculo de salarios, vacaciones y horas extraordinarias.</w:t>
            </w:r>
          </w:p>
          <w:p w14:paraId="3FBECCAA" w14:textId="77777777" w:rsidR="00990B14" w:rsidRDefault="00000000">
            <w:pPr>
              <w:numPr>
                <w:ilvl w:val="0"/>
                <w:numId w:val="139"/>
              </w:numPr>
              <w:spacing w:before="10" w:after="10"/>
              <w:jc w:val="both"/>
            </w:pPr>
            <w:r>
              <w:rPr>
                <w:sz w:val="18"/>
                <w:szCs w:val="18"/>
              </w:rPr>
              <w:t>Análisis de casos de despido y de extinción del contrato de trabajo.</w:t>
            </w:r>
          </w:p>
          <w:p w14:paraId="15BE7824" w14:textId="77777777" w:rsidR="00990B14" w:rsidRDefault="00000000">
            <w:pPr>
              <w:numPr>
                <w:ilvl w:val="0"/>
                <w:numId w:val="139"/>
              </w:numPr>
              <w:spacing w:before="10" w:after="10"/>
              <w:jc w:val="both"/>
            </w:pPr>
            <w:r>
              <w:rPr>
                <w:sz w:val="18"/>
                <w:szCs w:val="18"/>
              </w:rPr>
              <w:t>Demostración de la liquidación de beneficios sociales en hoja de cálculo.</w:t>
            </w:r>
          </w:p>
          <w:p w14:paraId="4713C383" w14:textId="77777777" w:rsidR="00990B14" w:rsidRDefault="00000000">
            <w:pPr>
              <w:numPr>
                <w:ilvl w:val="0"/>
                <w:numId w:val="139"/>
              </w:numPr>
              <w:spacing w:before="10" w:after="10"/>
              <w:jc w:val="both"/>
            </w:pPr>
            <w:r>
              <w:rPr>
                <w:sz w:val="18"/>
                <w:szCs w:val="18"/>
              </w:rPr>
              <w:t>Preguntas de comprensión sobre las prestaciones de la seguridad social.</w:t>
            </w:r>
          </w:p>
        </w:tc>
        <w:tc>
          <w:tcPr>
            <w:tcW w:w="1700" w:type="dxa"/>
            <w:shd w:val="clear" w:color="auto" w:fill="D9E2F3"/>
          </w:tcPr>
          <w:p w14:paraId="5C404889" w14:textId="77777777" w:rsidR="00990B14" w:rsidRDefault="00000000">
            <w:pPr>
              <w:numPr>
                <w:ilvl w:val="0"/>
                <w:numId w:val="139"/>
              </w:numPr>
              <w:spacing w:before="10" w:after="10"/>
              <w:jc w:val="both"/>
            </w:pPr>
            <w:r>
              <w:rPr>
                <w:sz w:val="18"/>
                <w:szCs w:val="18"/>
              </w:rPr>
              <w:t>Lectura de la Ley General del Trabajo y del Código de Seguridad Social.</w:t>
            </w:r>
          </w:p>
          <w:p w14:paraId="292BA8B5" w14:textId="77777777" w:rsidR="00990B14" w:rsidRDefault="00000000">
            <w:pPr>
              <w:numPr>
                <w:ilvl w:val="0"/>
                <w:numId w:val="139"/>
              </w:numPr>
              <w:spacing w:before="10" w:after="10"/>
              <w:jc w:val="both"/>
            </w:pPr>
            <w:r>
              <w:rPr>
                <w:sz w:val="18"/>
                <w:szCs w:val="18"/>
              </w:rPr>
              <w:t>Elaboración progresiva de un contrato individual de trabajo y de su finiquito.</w:t>
            </w:r>
          </w:p>
          <w:p w14:paraId="0AF3E1AD" w14:textId="77777777" w:rsidR="00990B14" w:rsidRDefault="00000000">
            <w:pPr>
              <w:numPr>
                <w:ilvl w:val="0"/>
                <w:numId w:val="139"/>
              </w:numPr>
              <w:spacing w:before="10" w:after="10"/>
              <w:jc w:val="both"/>
            </w:pPr>
            <w:r>
              <w:rPr>
                <w:sz w:val="18"/>
                <w:szCs w:val="18"/>
              </w:rPr>
              <w:t>Resolución de ejercicios de cálculo de salario, aguinaldo, vacación e indemnización.</w:t>
            </w:r>
          </w:p>
        </w:tc>
        <w:tc>
          <w:tcPr>
            <w:tcW w:w="1805" w:type="dxa"/>
            <w:shd w:val="clear" w:color="auto" w:fill="D9E2F3"/>
          </w:tcPr>
          <w:p w14:paraId="49256CFC" w14:textId="77777777" w:rsidR="00990B14" w:rsidRDefault="00000000">
            <w:pPr>
              <w:numPr>
                <w:ilvl w:val="0"/>
                <w:numId w:val="139"/>
              </w:numPr>
              <w:spacing w:before="10" w:after="10"/>
              <w:jc w:val="both"/>
            </w:pPr>
            <w:r>
              <w:rPr>
                <w:sz w:val="18"/>
                <w:szCs w:val="18"/>
              </w:rPr>
              <w:t>Cuestionarios de comprensión sobre los principios del derecho laboral y las prestaciones de la seguridad social en la plataforma Moodle UMSA.</w:t>
            </w:r>
          </w:p>
          <w:p w14:paraId="3BD2CFCC" w14:textId="77777777" w:rsidR="00990B14" w:rsidRDefault="00000000">
            <w:pPr>
              <w:numPr>
                <w:ilvl w:val="0"/>
                <w:numId w:val="139"/>
              </w:numPr>
              <w:spacing w:before="10" w:after="10"/>
              <w:jc w:val="both"/>
            </w:pPr>
            <w:r>
              <w:rPr>
                <w:sz w:val="18"/>
                <w:szCs w:val="18"/>
              </w:rPr>
              <w:t>Foros de consulta sobre despido justificado e injustificado.</w:t>
            </w:r>
          </w:p>
          <w:p w14:paraId="217A8D31" w14:textId="77777777" w:rsidR="00990B14" w:rsidRDefault="00000000">
            <w:pPr>
              <w:numPr>
                <w:ilvl w:val="0"/>
                <w:numId w:val="139"/>
              </w:numPr>
              <w:spacing w:before="10" w:after="10"/>
              <w:jc w:val="both"/>
            </w:pPr>
            <w:r>
              <w:rPr>
                <w:sz w:val="18"/>
                <w:szCs w:val="18"/>
              </w:rPr>
              <w:t>Videotutoriales de cálculo de beneficios sociales y de pensiones en hoja de cálculo.</w:t>
            </w:r>
          </w:p>
        </w:tc>
        <w:tc>
          <w:tcPr>
            <w:tcW w:w="1490" w:type="dxa"/>
            <w:shd w:val="clear" w:color="auto" w:fill="D9E2F3"/>
          </w:tcPr>
          <w:p w14:paraId="75876099" w14:textId="77777777" w:rsidR="00990B14" w:rsidRDefault="00000000">
            <w:pPr>
              <w:numPr>
                <w:ilvl w:val="0"/>
                <w:numId w:val="139"/>
              </w:numPr>
              <w:spacing w:before="10" w:after="10"/>
              <w:jc w:val="both"/>
            </w:pPr>
            <w:r>
              <w:rPr>
                <w:sz w:val="18"/>
                <w:szCs w:val="18"/>
              </w:rPr>
              <w:t>Debate colaborativo sobre la aplicación de los principios del derecho laboral a un caso real.</w:t>
            </w:r>
          </w:p>
          <w:p w14:paraId="6591B894" w14:textId="77777777" w:rsidR="00990B14" w:rsidRDefault="00000000">
            <w:pPr>
              <w:numPr>
                <w:ilvl w:val="0"/>
                <w:numId w:val="139"/>
              </w:numPr>
              <w:spacing w:before="10" w:after="10"/>
              <w:jc w:val="both"/>
            </w:pPr>
            <w:r>
              <w:rPr>
                <w:sz w:val="18"/>
                <w:szCs w:val="18"/>
              </w:rPr>
              <w:t>Elaboración guiada de una planilla de sueldos en hoja de cálculo y de un finiquito.</w:t>
            </w:r>
          </w:p>
          <w:p w14:paraId="2262EE4B" w14:textId="77777777" w:rsidR="00990B14" w:rsidRDefault="00000000">
            <w:pPr>
              <w:numPr>
                <w:ilvl w:val="0"/>
                <w:numId w:val="139"/>
              </w:numPr>
              <w:spacing w:before="10" w:after="10"/>
              <w:jc w:val="both"/>
            </w:pPr>
            <w:r>
              <w:rPr>
                <w:sz w:val="18"/>
                <w:szCs w:val="18"/>
              </w:rPr>
              <w:t>Simulación de un caso de calificación de despido y de liquidación de beneficios sociales.</w:t>
            </w:r>
          </w:p>
        </w:tc>
        <w:tc>
          <w:tcPr>
            <w:tcW w:w="2500" w:type="dxa"/>
            <w:shd w:val="clear" w:color="auto" w:fill="D9E2F3"/>
          </w:tcPr>
          <w:p w14:paraId="485C75A2" w14:textId="77777777" w:rsidR="00990B14" w:rsidRDefault="00000000">
            <w:pPr>
              <w:numPr>
                <w:ilvl w:val="0"/>
                <w:numId w:val="139"/>
              </w:numPr>
              <w:spacing w:before="10" w:after="10"/>
              <w:jc w:val="both"/>
            </w:pPr>
            <w:r>
              <w:rPr>
                <w:sz w:val="18"/>
                <w:szCs w:val="18"/>
              </w:rPr>
              <w:t>Investigación sobre la aplicación del salario mínimo nacional en una empresa boliviana.</w:t>
            </w:r>
          </w:p>
          <w:p w14:paraId="1E199F25" w14:textId="77777777" w:rsidR="00990B14" w:rsidRDefault="00000000">
            <w:pPr>
              <w:numPr>
                <w:ilvl w:val="0"/>
                <w:numId w:val="139"/>
              </w:numPr>
              <w:spacing w:before="10" w:after="10"/>
              <w:jc w:val="both"/>
            </w:pPr>
            <w:r>
              <w:rPr>
                <w:sz w:val="18"/>
                <w:szCs w:val="18"/>
              </w:rPr>
              <w:t>Análisis de un caso de extinción de contrato de trabajo, de su liquidación y de sus contingencias para la entidad.</w:t>
            </w:r>
          </w:p>
          <w:p w14:paraId="57FB195E" w14:textId="77777777" w:rsidR="00990B14" w:rsidRDefault="00000000">
            <w:pPr>
              <w:numPr>
                <w:ilvl w:val="0"/>
                <w:numId w:val="139"/>
              </w:numPr>
              <w:spacing w:before="10" w:after="10"/>
              <w:jc w:val="both"/>
            </w:pPr>
            <w:r>
              <w:rPr>
                <w:sz w:val="18"/>
                <w:szCs w:val="18"/>
              </w:rPr>
              <w:t>Comparación de las prestaciones del seguro social a corto plazo y del sistema integral de pensiones.</w:t>
            </w:r>
          </w:p>
        </w:tc>
      </w:tr>
    </w:tbl>
    <w:p w14:paraId="13C0052B"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850"/>
        <w:gridCol w:w="1910"/>
        <w:gridCol w:w="1867"/>
        <w:gridCol w:w="1867"/>
        <w:gridCol w:w="1911"/>
      </w:tblGrid>
      <w:tr w:rsidR="00990B14" w14:paraId="31FF620A" w14:textId="77777777">
        <w:trPr>
          <w:jc w:val="center"/>
        </w:trPr>
        <w:tc>
          <w:tcPr>
            <w:tcW w:w="1850" w:type="dxa"/>
            <w:shd w:val="clear" w:color="auto" w:fill="4472C4"/>
            <w:vAlign w:val="center"/>
          </w:tcPr>
          <w:p w14:paraId="4892ECA8" w14:textId="77777777" w:rsidR="00990B14" w:rsidRDefault="00000000">
            <w:pPr>
              <w:spacing w:before="20" w:after="20"/>
              <w:jc w:val="center"/>
            </w:pPr>
            <w:r>
              <w:rPr>
                <w:b/>
                <w:bCs/>
                <w:i/>
                <w:iCs/>
                <w:color w:val="FFFFFF"/>
                <w:sz w:val="18"/>
                <w:szCs w:val="18"/>
              </w:rPr>
              <w:t>Estrategias de aprendizaje y enseñanza</w:t>
            </w:r>
          </w:p>
        </w:tc>
        <w:tc>
          <w:tcPr>
            <w:tcW w:w="7555" w:type="dxa"/>
            <w:gridSpan w:val="4"/>
            <w:shd w:val="clear" w:color="auto" w:fill="D9E2F3"/>
            <w:vAlign w:val="center"/>
          </w:tcPr>
          <w:p w14:paraId="478DBF0C" w14:textId="77777777" w:rsidR="00990B14" w:rsidRDefault="00000000">
            <w:pPr>
              <w:numPr>
                <w:ilvl w:val="0"/>
                <w:numId w:val="140"/>
              </w:numPr>
              <w:spacing w:before="10" w:after="10"/>
              <w:jc w:val="both"/>
            </w:pPr>
            <w:r>
              <w:rPr>
                <w:sz w:val="18"/>
                <w:szCs w:val="18"/>
              </w:rPr>
              <w:t>Aprendizaje basado en problemas con casos de relaciones laborales de empresas bolivianas.</w:t>
            </w:r>
          </w:p>
          <w:p w14:paraId="23E71D48" w14:textId="77777777" w:rsidR="00990B14" w:rsidRDefault="00000000">
            <w:pPr>
              <w:numPr>
                <w:ilvl w:val="0"/>
                <w:numId w:val="140"/>
              </w:numPr>
              <w:spacing w:before="10" w:after="10"/>
              <w:jc w:val="both"/>
            </w:pPr>
            <w:r>
              <w:rPr>
                <w:sz w:val="18"/>
                <w:szCs w:val="18"/>
              </w:rPr>
              <w:t>Estudio de casos de despido justificado e injustificado.</w:t>
            </w:r>
          </w:p>
          <w:p w14:paraId="745B1889" w14:textId="77777777" w:rsidR="00990B14" w:rsidRDefault="00000000">
            <w:pPr>
              <w:numPr>
                <w:ilvl w:val="0"/>
                <w:numId w:val="140"/>
              </w:numPr>
              <w:spacing w:before="10" w:after="10"/>
              <w:jc w:val="both"/>
            </w:pPr>
            <w:r>
              <w:rPr>
                <w:sz w:val="18"/>
                <w:szCs w:val="18"/>
              </w:rPr>
              <w:t>Proyecto integrador que recorre la contratación, las condiciones de trabajo y la extinción de la relación laboral.</w:t>
            </w:r>
          </w:p>
          <w:p w14:paraId="65C9479D" w14:textId="77777777" w:rsidR="00990B14" w:rsidRDefault="00000000">
            <w:pPr>
              <w:numPr>
                <w:ilvl w:val="0"/>
                <w:numId w:val="140"/>
              </w:numPr>
              <w:spacing w:before="10" w:after="10"/>
              <w:jc w:val="both"/>
            </w:pPr>
            <w:r>
              <w:rPr>
                <w:sz w:val="18"/>
                <w:szCs w:val="18"/>
              </w:rPr>
              <w:t>Trabajo en equipos para el cálculo de beneficios sociales y de pensiones.</w:t>
            </w:r>
          </w:p>
          <w:p w14:paraId="75CD3802" w14:textId="77777777" w:rsidR="00990B14" w:rsidRDefault="00000000">
            <w:pPr>
              <w:numPr>
                <w:ilvl w:val="0"/>
                <w:numId w:val="140"/>
              </w:numPr>
              <w:spacing w:before="10" w:after="10"/>
              <w:jc w:val="both"/>
            </w:pPr>
            <w:r>
              <w:rPr>
                <w:sz w:val="18"/>
                <w:szCs w:val="18"/>
              </w:rPr>
              <w:t>Simulaciones de trámites ante el Ministerio de Trabajo y ante la Gestora Pública.</w:t>
            </w:r>
          </w:p>
          <w:p w14:paraId="5CEAAD18" w14:textId="77777777" w:rsidR="00990B14" w:rsidRDefault="00000000">
            <w:pPr>
              <w:numPr>
                <w:ilvl w:val="0"/>
                <w:numId w:val="140"/>
              </w:numPr>
              <w:spacing w:before="10" w:after="10"/>
              <w:jc w:val="both"/>
            </w:pPr>
            <w:r>
              <w:rPr>
                <w:sz w:val="18"/>
                <w:szCs w:val="18"/>
              </w:rPr>
              <w:t>Clase invertida para los contenidos conceptuales del derecho laboral.</w:t>
            </w:r>
          </w:p>
        </w:tc>
      </w:tr>
      <w:tr w:rsidR="00990B14" w14:paraId="69EE3CB4" w14:textId="77777777">
        <w:trPr>
          <w:jc w:val="center"/>
        </w:trPr>
        <w:tc>
          <w:tcPr>
            <w:tcW w:w="1850" w:type="dxa"/>
            <w:shd w:val="clear" w:color="auto" w:fill="4472C4"/>
            <w:vAlign w:val="center"/>
          </w:tcPr>
          <w:p w14:paraId="2D60D7D3" w14:textId="77777777" w:rsidR="00990B14" w:rsidRDefault="00000000">
            <w:pPr>
              <w:spacing w:before="20" w:after="20"/>
              <w:jc w:val="center"/>
            </w:pPr>
            <w:r>
              <w:rPr>
                <w:b/>
                <w:bCs/>
                <w:i/>
                <w:iCs/>
                <w:color w:val="FFFFFF"/>
                <w:sz w:val="18"/>
                <w:szCs w:val="18"/>
              </w:rPr>
              <w:t>Recursos para el aprendizaje</w:t>
            </w:r>
          </w:p>
        </w:tc>
        <w:tc>
          <w:tcPr>
            <w:tcW w:w="7555" w:type="dxa"/>
            <w:gridSpan w:val="4"/>
            <w:shd w:val="clear" w:color="auto" w:fill="D9E2F3"/>
            <w:vAlign w:val="center"/>
          </w:tcPr>
          <w:p w14:paraId="77448A59" w14:textId="77777777" w:rsidR="00990B14" w:rsidRDefault="00000000">
            <w:pPr>
              <w:numPr>
                <w:ilvl w:val="0"/>
                <w:numId w:val="140"/>
              </w:numPr>
              <w:spacing w:before="10" w:after="10"/>
              <w:jc w:val="both"/>
            </w:pPr>
            <w:r>
              <w:rPr>
                <w:sz w:val="18"/>
                <w:szCs w:val="18"/>
              </w:rPr>
              <w:t>Plataforma Moodle UMSA.</w:t>
            </w:r>
          </w:p>
          <w:p w14:paraId="1B7C6A3A" w14:textId="77777777" w:rsidR="00990B14" w:rsidRDefault="00000000">
            <w:pPr>
              <w:numPr>
                <w:ilvl w:val="0"/>
                <w:numId w:val="140"/>
              </w:numPr>
              <w:spacing w:before="10" w:after="10"/>
              <w:jc w:val="both"/>
            </w:pPr>
            <w:r>
              <w:rPr>
                <w:sz w:val="18"/>
                <w:szCs w:val="18"/>
              </w:rPr>
              <w:t>Ley General del Trabajo, su Decreto Reglamentario y Código de Seguridad Social.</w:t>
            </w:r>
          </w:p>
          <w:p w14:paraId="0F03EA25" w14:textId="77777777" w:rsidR="00990B14" w:rsidRDefault="00000000">
            <w:pPr>
              <w:numPr>
                <w:ilvl w:val="0"/>
                <w:numId w:val="140"/>
              </w:numPr>
              <w:spacing w:before="10" w:after="10"/>
              <w:jc w:val="both"/>
            </w:pPr>
            <w:r>
              <w:rPr>
                <w:sz w:val="18"/>
                <w:szCs w:val="18"/>
              </w:rPr>
              <w:t>Formatos de contratos de trabajo y de finiquitos para el trabajo en aula.</w:t>
            </w:r>
          </w:p>
          <w:p w14:paraId="243A5453" w14:textId="77777777" w:rsidR="00990B14" w:rsidRDefault="00000000">
            <w:pPr>
              <w:numPr>
                <w:ilvl w:val="0"/>
                <w:numId w:val="140"/>
              </w:numPr>
              <w:spacing w:before="10" w:after="10"/>
              <w:jc w:val="both"/>
            </w:pPr>
            <w:r>
              <w:rPr>
                <w:sz w:val="18"/>
                <w:szCs w:val="18"/>
              </w:rPr>
              <w:t>Guías de ejercicios y casos elaborados por la cátedra.</w:t>
            </w:r>
          </w:p>
          <w:p w14:paraId="6CC1C78C" w14:textId="77777777" w:rsidR="00990B14" w:rsidRDefault="00000000">
            <w:pPr>
              <w:numPr>
                <w:ilvl w:val="0"/>
                <w:numId w:val="140"/>
              </w:numPr>
              <w:spacing w:before="10" w:after="10"/>
              <w:jc w:val="both"/>
            </w:pPr>
            <w:r>
              <w:rPr>
                <w:sz w:val="18"/>
                <w:szCs w:val="18"/>
              </w:rPr>
              <w:t>Guías del Ministerio del Trabajo, Empleo y Previsión Social.</w:t>
            </w:r>
          </w:p>
          <w:p w14:paraId="61112611" w14:textId="77777777" w:rsidR="00990B14" w:rsidRDefault="00000000">
            <w:pPr>
              <w:numPr>
                <w:ilvl w:val="0"/>
                <w:numId w:val="140"/>
              </w:numPr>
              <w:spacing w:before="10" w:after="10"/>
              <w:jc w:val="both"/>
            </w:pPr>
            <w:r>
              <w:rPr>
                <w:sz w:val="18"/>
                <w:szCs w:val="18"/>
              </w:rPr>
              <w:t>Hojas de cálculo para planillas de sueldos y liquidaciones de beneficios sociales.</w:t>
            </w:r>
          </w:p>
        </w:tc>
      </w:tr>
      <w:tr w:rsidR="00990B14" w14:paraId="7869C7BE" w14:textId="77777777">
        <w:trPr>
          <w:jc w:val="center"/>
        </w:trPr>
        <w:tc>
          <w:tcPr>
            <w:tcW w:w="1850" w:type="dxa"/>
            <w:shd w:val="clear" w:color="auto" w:fill="4472C4"/>
            <w:vAlign w:val="center"/>
          </w:tcPr>
          <w:p w14:paraId="739BC01F" w14:textId="77777777" w:rsidR="00990B14" w:rsidRDefault="00000000">
            <w:pPr>
              <w:spacing w:before="20" w:after="20"/>
              <w:jc w:val="center"/>
            </w:pPr>
            <w:r>
              <w:rPr>
                <w:b/>
                <w:bCs/>
                <w:i/>
                <w:iCs/>
                <w:color w:val="FFFFFF"/>
                <w:sz w:val="18"/>
                <w:szCs w:val="18"/>
              </w:rPr>
              <w:t>Estrategias de evaluación</w:t>
            </w:r>
          </w:p>
        </w:tc>
        <w:tc>
          <w:tcPr>
            <w:tcW w:w="7555" w:type="dxa"/>
            <w:gridSpan w:val="4"/>
            <w:shd w:val="clear" w:color="auto" w:fill="D9E2F3"/>
            <w:vAlign w:val="center"/>
          </w:tcPr>
          <w:p w14:paraId="39265355" w14:textId="77777777" w:rsidR="00990B14" w:rsidRDefault="00000000">
            <w:pPr>
              <w:numPr>
                <w:ilvl w:val="0"/>
                <w:numId w:val="140"/>
              </w:numPr>
              <w:spacing w:before="10" w:after="10"/>
              <w:jc w:val="both"/>
            </w:pPr>
            <w:r>
              <w:rPr>
                <w:sz w:val="18"/>
                <w:szCs w:val="18"/>
              </w:rPr>
              <w:t>Evaluación diagnóstica: prueba inicial sobre nociones generales de derecho y de las relaciones de trabajo.</w:t>
            </w:r>
          </w:p>
          <w:p w14:paraId="0E57B747" w14:textId="77777777" w:rsidR="00990B14" w:rsidRDefault="00000000">
            <w:pPr>
              <w:numPr>
                <w:ilvl w:val="0"/>
                <w:numId w:val="140"/>
              </w:numPr>
              <w:spacing w:before="10" w:after="10"/>
              <w:jc w:val="both"/>
            </w:pPr>
            <w:r>
              <w:rPr>
                <w:sz w:val="18"/>
                <w:szCs w:val="18"/>
              </w:rPr>
              <w:t>Evaluación formativa: preguntas de comprensión y desarrollo de ejercicios prácticos en el aula, con retroalimentación continua.</w:t>
            </w:r>
          </w:p>
          <w:p w14:paraId="561ED8A3" w14:textId="77777777" w:rsidR="00990B14" w:rsidRDefault="00000000">
            <w:pPr>
              <w:numPr>
                <w:ilvl w:val="0"/>
                <w:numId w:val="140"/>
              </w:numPr>
              <w:spacing w:before="10" w:after="10"/>
              <w:jc w:val="both"/>
            </w:pPr>
            <w:r>
              <w:rPr>
                <w:sz w:val="18"/>
                <w:szCs w:val="18"/>
              </w:rPr>
              <w:t>Evaluación sumativa: controles de lectura y asistencia, evaluación de casos prácticos, trabajos de investigación y desarrollo, exámenes parciales y examen final.</w:t>
            </w:r>
          </w:p>
        </w:tc>
      </w:tr>
      <w:tr w:rsidR="00990B14" w14:paraId="1653B124" w14:textId="77777777">
        <w:trPr>
          <w:jc w:val="center"/>
        </w:trPr>
        <w:tc>
          <w:tcPr>
            <w:tcW w:w="1850" w:type="dxa"/>
            <w:shd w:val="clear" w:color="auto" w:fill="4472C4"/>
            <w:vAlign w:val="center"/>
          </w:tcPr>
          <w:p w14:paraId="0D20BEC2" w14:textId="77777777" w:rsidR="00990B14" w:rsidRDefault="00000000">
            <w:pPr>
              <w:spacing w:before="20" w:after="20"/>
              <w:jc w:val="center"/>
            </w:pPr>
            <w:r>
              <w:rPr>
                <w:b/>
                <w:bCs/>
                <w:i/>
                <w:iCs/>
                <w:color w:val="FFFFFF"/>
                <w:sz w:val="18"/>
                <w:szCs w:val="18"/>
              </w:rPr>
              <w:t>Criterios de calificación</w:t>
            </w:r>
          </w:p>
        </w:tc>
        <w:tc>
          <w:tcPr>
            <w:tcW w:w="7555" w:type="dxa"/>
            <w:gridSpan w:val="4"/>
            <w:shd w:val="clear" w:color="auto" w:fill="D9E2F3"/>
            <w:vAlign w:val="center"/>
          </w:tcPr>
          <w:p w14:paraId="3C42E055" w14:textId="77777777" w:rsidR="00990B14" w:rsidRDefault="00000000">
            <w:pPr>
              <w:numPr>
                <w:ilvl w:val="0"/>
                <w:numId w:val="140"/>
              </w:numPr>
              <w:spacing w:before="10" w:after="10"/>
              <w:jc w:val="both"/>
            </w:pPr>
            <w:r>
              <w:rPr>
                <w:sz w:val="18"/>
                <w:szCs w:val="18"/>
              </w:rPr>
              <w:t>Nota mínima de aprobación: 51/100.</w:t>
            </w:r>
          </w:p>
          <w:p w14:paraId="6CA4FE22" w14:textId="77777777" w:rsidR="00990B14" w:rsidRDefault="00000000">
            <w:pPr>
              <w:numPr>
                <w:ilvl w:val="0"/>
                <w:numId w:val="140"/>
              </w:numPr>
              <w:spacing w:before="10" w:after="10"/>
              <w:jc w:val="both"/>
            </w:pPr>
            <w:r>
              <w:rPr>
                <w:sz w:val="18"/>
                <w:szCs w:val="18"/>
              </w:rPr>
              <w:t>Evaluación periódica al finalizar cada tema, basada en evidencias de conocimiento, desempeño y producto.</w:t>
            </w:r>
          </w:p>
          <w:p w14:paraId="10B655B7" w14:textId="77777777" w:rsidR="00990B14" w:rsidRDefault="00000000">
            <w:pPr>
              <w:numPr>
                <w:ilvl w:val="0"/>
                <w:numId w:val="140"/>
              </w:numPr>
              <w:spacing w:before="10" w:after="10"/>
              <w:jc w:val="both"/>
            </w:pPr>
            <w:r>
              <w:rPr>
                <w:sz w:val="18"/>
                <w:szCs w:val="18"/>
              </w:rPr>
              <w:t>Cada evidencia de producto se evalúa con su propia rúbrica de tres niveles: Insuficiente, Suficiente y Destacado.</w:t>
            </w:r>
          </w:p>
          <w:p w14:paraId="3E030E98" w14:textId="77777777" w:rsidR="00990B14" w:rsidRDefault="00000000">
            <w:pPr>
              <w:numPr>
                <w:ilvl w:val="0"/>
                <w:numId w:val="140"/>
              </w:numPr>
              <w:spacing w:before="10" w:after="10"/>
              <w:jc w:val="both"/>
            </w:pPr>
            <w:r>
              <w:rPr>
                <w:sz w:val="18"/>
                <w:szCs w:val="18"/>
              </w:rPr>
              <w:t>La calificación de cada elemento de competencia suma las calificaciones de sus evidencias de producto.</w:t>
            </w:r>
          </w:p>
        </w:tc>
      </w:tr>
      <w:tr w:rsidR="00990B14" w14:paraId="4F1154CC" w14:textId="77777777">
        <w:trPr>
          <w:cantSplit/>
          <w:jc w:val="center"/>
        </w:trPr>
        <w:tc>
          <w:tcPr>
            <w:tcW w:w="1850" w:type="dxa"/>
            <w:vMerge w:val="restart"/>
            <w:shd w:val="clear" w:color="auto" w:fill="4472C4"/>
            <w:vAlign w:val="center"/>
          </w:tcPr>
          <w:p w14:paraId="23BF7657" w14:textId="77777777" w:rsidR="00990B14" w:rsidRDefault="00000000">
            <w:pPr>
              <w:spacing w:before="20" w:after="20"/>
              <w:jc w:val="center"/>
            </w:pPr>
            <w:r>
              <w:rPr>
                <w:b/>
                <w:bCs/>
                <w:i/>
                <w:iCs/>
                <w:color w:val="FFFFFF"/>
                <w:sz w:val="18"/>
                <w:szCs w:val="18"/>
              </w:rPr>
              <w:t>Niveles de logro y distribución de la calificación</w:t>
            </w:r>
          </w:p>
        </w:tc>
        <w:tc>
          <w:tcPr>
            <w:tcW w:w="5644" w:type="dxa"/>
            <w:gridSpan w:val="3"/>
            <w:shd w:val="clear" w:color="auto" w:fill="D9E2F3"/>
            <w:vAlign w:val="center"/>
          </w:tcPr>
          <w:p w14:paraId="032BAD4B" w14:textId="77777777" w:rsidR="00990B14" w:rsidRDefault="00000000">
            <w:pPr>
              <w:keepNext/>
              <w:spacing w:before="20" w:after="20"/>
              <w:jc w:val="both"/>
            </w:pPr>
            <w:r>
              <w:rPr>
                <w:b/>
                <w:bCs/>
                <w:i/>
                <w:iCs/>
                <w:sz w:val="18"/>
                <w:szCs w:val="18"/>
              </w:rPr>
              <w:t xml:space="preserve">Producto 1: </w:t>
            </w:r>
            <w:r>
              <w:rPr>
                <w:sz w:val="18"/>
                <w:szCs w:val="18"/>
              </w:rPr>
              <w:t>Cuadro de las fuentes del derecho laboral</w:t>
            </w:r>
          </w:p>
        </w:tc>
        <w:tc>
          <w:tcPr>
            <w:tcW w:w="1911" w:type="dxa"/>
            <w:shd w:val="clear" w:color="auto" w:fill="D9E2F3"/>
            <w:vAlign w:val="center"/>
          </w:tcPr>
          <w:p w14:paraId="3DA3C6E0" w14:textId="77777777" w:rsidR="00990B14" w:rsidRDefault="00000000">
            <w:pPr>
              <w:spacing w:before="20" w:after="20"/>
              <w:jc w:val="center"/>
            </w:pPr>
            <w:r>
              <w:rPr>
                <w:b/>
                <w:bCs/>
                <w:sz w:val="18"/>
                <w:szCs w:val="18"/>
              </w:rPr>
              <w:t>4%</w:t>
            </w:r>
          </w:p>
        </w:tc>
      </w:tr>
      <w:tr w:rsidR="00990B14" w14:paraId="1F6E61C9" w14:textId="77777777">
        <w:trPr>
          <w:cantSplit/>
          <w:jc w:val="center"/>
        </w:trPr>
        <w:tc>
          <w:tcPr>
            <w:tcW w:w="1850" w:type="dxa"/>
            <w:vMerge/>
            <w:shd w:val="clear" w:color="auto" w:fill="4472C4"/>
            <w:vAlign w:val="center"/>
          </w:tcPr>
          <w:p w14:paraId="66EEE349" w14:textId="77777777" w:rsidR="00990B14" w:rsidRDefault="00990B14">
            <w:pPr>
              <w:spacing w:before="20" w:after="20"/>
            </w:pPr>
          </w:p>
        </w:tc>
        <w:tc>
          <w:tcPr>
            <w:tcW w:w="1910" w:type="dxa"/>
            <w:shd w:val="clear" w:color="auto" w:fill="4472C4"/>
            <w:vAlign w:val="center"/>
          </w:tcPr>
          <w:p w14:paraId="759244CD" w14:textId="77777777" w:rsidR="00990B14" w:rsidRDefault="00000000">
            <w:pPr>
              <w:keepNext/>
              <w:spacing w:before="20" w:after="20"/>
              <w:jc w:val="center"/>
            </w:pPr>
            <w:r>
              <w:rPr>
                <w:b/>
                <w:bCs/>
                <w:i/>
                <w:iCs/>
                <w:color w:val="FFFFFF"/>
                <w:sz w:val="18"/>
                <w:szCs w:val="18"/>
              </w:rPr>
              <w:t>Criterio</w:t>
            </w:r>
          </w:p>
        </w:tc>
        <w:tc>
          <w:tcPr>
            <w:tcW w:w="1867" w:type="dxa"/>
            <w:shd w:val="clear" w:color="auto" w:fill="4472C4"/>
            <w:vAlign w:val="center"/>
          </w:tcPr>
          <w:p w14:paraId="07667226" w14:textId="77777777" w:rsidR="00990B14" w:rsidRDefault="00000000">
            <w:pPr>
              <w:keepNext/>
              <w:spacing w:before="20" w:after="20"/>
              <w:jc w:val="center"/>
            </w:pPr>
            <w:r>
              <w:rPr>
                <w:b/>
                <w:bCs/>
                <w:i/>
                <w:iCs/>
                <w:color w:val="FFFFFF"/>
                <w:sz w:val="18"/>
                <w:szCs w:val="18"/>
              </w:rPr>
              <w:t>Insuficiente (1–50)</w:t>
            </w:r>
          </w:p>
        </w:tc>
        <w:tc>
          <w:tcPr>
            <w:tcW w:w="1867" w:type="dxa"/>
            <w:shd w:val="clear" w:color="auto" w:fill="4472C4"/>
            <w:vAlign w:val="center"/>
          </w:tcPr>
          <w:p w14:paraId="0035D115" w14:textId="77777777" w:rsidR="00990B14" w:rsidRDefault="00000000">
            <w:pPr>
              <w:keepNext/>
              <w:spacing w:before="20" w:after="20"/>
              <w:jc w:val="center"/>
            </w:pPr>
            <w:r>
              <w:rPr>
                <w:b/>
                <w:bCs/>
                <w:i/>
                <w:iCs/>
                <w:color w:val="FFFFFF"/>
                <w:sz w:val="18"/>
                <w:szCs w:val="18"/>
              </w:rPr>
              <w:t>Suficiente (51–80)</w:t>
            </w:r>
          </w:p>
        </w:tc>
        <w:tc>
          <w:tcPr>
            <w:tcW w:w="1911" w:type="dxa"/>
            <w:shd w:val="clear" w:color="auto" w:fill="4472C4"/>
            <w:vAlign w:val="center"/>
          </w:tcPr>
          <w:p w14:paraId="2BA2CBBA" w14:textId="77777777" w:rsidR="00990B14" w:rsidRDefault="00000000">
            <w:pPr>
              <w:keepNext/>
              <w:spacing w:before="20" w:after="20"/>
              <w:jc w:val="center"/>
            </w:pPr>
            <w:r>
              <w:rPr>
                <w:b/>
                <w:bCs/>
                <w:i/>
                <w:iCs/>
                <w:color w:val="FFFFFF"/>
                <w:sz w:val="18"/>
                <w:szCs w:val="18"/>
              </w:rPr>
              <w:t>Destacado (81–100)</w:t>
            </w:r>
          </w:p>
        </w:tc>
      </w:tr>
      <w:tr w:rsidR="00990B14" w14:paraId="543699E4" w14:textId="77777777">
        <w:trPr>
          <w:cantSplit/>
          <w:jc w:val="center"/>
        </w:trPr>
        <w:tc>
          <w:tcPr>
            <w:tcW w:w="1850" w:type="dxa"/>
            <w:vMerge/>
            <w:shd w:val="clear" w:color="auto" w:fill="4472C4"/>
            <w:vAlign w:val="center"/>
          </w:tcPr>
          <w:p w14:paraId="68AA1B42" w14:textId="77777777" w:rsidR="00990B14" w:rsidRDefault="00990B14">
            <w:pPr>
              <w:spacing w:before="20" w:after="20"/>
            </w:pPr>
          </w:p>
        </w:tc>
        <w:tc>
          <w:tcPr>
            <w:tcW w:w="1910" w:type="dxa"/>
            <w:shd w:val="clear" w:color="auto" w:fill="D9E2F3"/>
            <w:vAlign w:val="center"/>
          </w:tcPr>
          <w:p w14:paraId="60E49881" w14:textId="77777777" w:rsidR="00990B14" w:rsidRDefault="00000000">
            <w:pPr>
              <w:spacing w:before="20" w:after="20"/>
              <w:jc w:val="center"/>
            </w:pPr>
            <w:r>
              <w:rPr>
                <w:sz w:val="18"/>
                <w:szCs w:val="18"/>
              </w:rPr>
              <w:t>Clasificación</w:t>
            </w:r>
          </w:p>
        </w:tc>
        <w:tc>
          <w:tcPr>
            <w:tcW w:w="1867" w:type="dxa"/>
            <w:shd w:val="clear" w:color="auto" w:fill="D9E2F3"/>
            <w:vAlign w:val="center"/>
          </w:tcPr>
          <w:p w14:paraId="3CBB6B6C" w14:textId="77777777" w:rsidR="00990B14" w:rsidRDefault="00000000">
            <w:pPr>
              <w:spacing w:before="20" w:after="20"/>
              <w:jc w:val="both"/>
            </w:pPr>
            <w:r>
              <w:rPr>
                <w:sz w:val="18"/>
                <w:szCs w:val="18"/>
              </w:rPr>
              <w:t>Confunde las fuentes.</w:t>
            </w:r>
          </w:p>
        </w:tc>
        <w:tc>
          <w:tcPr>
            <w:tcW w:w="1867" w:type="dxa"/>
            <w:shd w:val="clear" w:color="auto" w:fill="D9E2F3"/>
            <w:vAlign w:val="center"/>
          </w:tcPr>
          <w:p w14:paraId="7D14F0E9" w14:textId="77777777" w:rsidR="00990B14" w:rsidRDefault="00000000">
            <w:pPr>
              <w:spacing w:before="20" w:after="20"/>
              <w:jc w:val="both"/>
            </w:pPr>
            <w:r>
              <w:rPr>
                <w:sz w:val="18"/>
                <w:szCs w:val="18"/>
              </w:rPr>
              <w:t>Clasifica las fuentes según su origen.</w:t>
            </w:r>
          </w:p>
        </w:tc>
        <w:tc>
          <w:tcPr>
            <w:tcW w:w="1911" w:type="dxa"/>
            <w:shd w:val="clear" w:color="auto" w:fill="D9E2F3"/>
            <w:vAlign w:val="center"/>
          </w:tcPr>
          <w:p w14:paraId="276B2351" w14:textId="77777777" w:rsidR="00990B14" w:rsidRDefault="00000000">
            <w:pPr>
              <w:spacing w:before="20" w:after="20"/>
              <w:jc w:val="both"/>
            </w:pPr>
            <w:r>
              <w:rPr>
                <w:sz w:val="18"/>
                <w:szCs w:val="18"/>
              </w:rPr>
              <w:t>Ejemplifica cada fuente con una norma vigente.</w:t>
            </w:r>
          </w:p>
        </w:tc>
      </w:tr>
      <w:tr w:rsidR="00990B14" w14:paraId="72708C63" w14:textId="77777777">
        <w:trPr>
          <w:cantSplit/>
          <w:jc w:val="center"/>
        </w:trPr>
        <w:tc>
          <w:tcPr>
            <w:tcW w:w="1850" w:type="dxa"/>
            <w:vMerge/>
            <w:shd w:val="clear" w:color="auto" w:fill="4472C4"/>
            <w:vAlign w:val="center"/>
          </w:tcPr>
          <w:p w14:paraId="4DBA93E6" w14:textId="77777777" w:rsidR="00990B14" w:rsidRDefault="00990B14">
            <w:pPr>
              <w:spacing w:before="20" w:after="20"/>
            </w:pPr>
          </w:p>
        </w:tc>
        <w:tc>
          <w:tcPr>
            <w:tcW w:w="1910" w:type="dxa"/>
            <w:shd w:val="clear" w:color="auto" w:fill="D9E2F3"/>
            <w:vAlign w:val="center"/>
          </w:tcPr>
          <w:p w14:paraId="09C8B0C1" w14:textId="77777777" w:rsidR="00990B14" w:rsidRDefault="00000000">
            <w:pPr>
              <w:spacing w:before="20" w:after="20"/>
              <w:jc w:val="center"/>
            </w:pPr>
            <w:r>
              <w:rPr>
                <w:sz w:val="18"/>
                <w:szCs w:val="18"/>
              </w:rPr>
              <w:t>Contrato como fuente</w:t>
            </w:r>
          </w:p>
        </w:tc>
        <w:tc>
          <w:tcPr>
            <w:tcW w:w="1867" w:type="dxa"/>
            <w:shd w:val="clear" w:color="auto" w:fill="D9E2F3"/>
            <w:vAlign w:val="center"/>
          </w:tcPr>
          <w:p w14:paraId="7331998D" w14:textId="77777777" w:rsidR="00990B14" w:rsidRDefault="00000000">
            <w:pPr>
              <w:spacing w:before="20" w:after="20"/>
              <w:jc w:val="both"/>
            </w:pPr>
            <w:r>
              <w:rPr>
                <w:sz w:val="18"/>
                <w:szCs w:val="18"/>
              </w:rPr>
              <w:t>Omite el contrato individual.</w:t>
            </w:r>
          </w:p>
        </w:tc>
        <w:tc>
          <w:tcPr>
            <w:tcW w:w="1867" w:type="dxa"/>
            <w:shd w:val="clear" w:color="auto" w:fill="D9E2F3"/>
            <w:vAlign w:val="center"/>
          </w:tcPr>
          <w:p w14:paraId="50DCB454" w14:textId="77777777" w:rsidR="00990B14" w:rsidRDefault="00000000">
            <w:pPr>
              <w:spacing w:before="20" w:after="20"/>
              <w:jc w:val="both"/>
            </w:pPr>
            <w:r>
              <w:rPr>
                <w:sz w:val="18"/>
                <w:szCs w:val="18"/>
              </w:rPr>
              <w:t>Ubica el contrato individual entre las fuentes.</w:t>
            </w:r>
          </w:p>
        </w:tc>
        <w:tc>
          <w:tcPr>
            <w:tcW w:w="1911" w:type="dxa"/>
            <w:shd w:val="clear" w:color="auto" w:fill="D9E2F3"/>
            <w:vAlign w:val="center"/>
          </w:tcPr>
          <w:p w14:paraId="3DFEC8F7" w14:textId="77777777" w:rsidR="00990B14" w:rsidRDefault="00000000">
            <w:pPr>
              <w:spacing w:before="20" w:after="20"/>
              <w:jc w:val="both"/>
            </w:pPr>
            <w:r>
              <w:rPr>
                <w:sz w:val="18"/>
                <w:szCs w:val="18"/>
              </w:rPr>
              <w:t>Explica su relación con las demás fuentes.</w:t>
            </w:r>
          </w:p>
        </w:tc>
      </w:tr>
      <w:tr w:rsidR="00990B14" w14:paraId="4931D8ED" w14:textId="77777777">
        <w:trPr>
          <w:cantSplit/>
          <w:jc w:val="center"/>
        </w:trPr>
        <w:tc>
          <w:tcPr>
            <w:tcW w:w="1850" w:type="dxa"/>
            <w:vMerge/>
            <w:shd w:val="clear" w:color="auto" w:fill="4472C4"/>
            <w:vAlign w:val="center"/>
          </w:tcPr>
          <w:p w14:paraId="62C697F1" w14:textId="77777777" w:rsidR="00990B14" w:rsidRDefault="00990B14">
            <w:pPr>
              <w:spacing w:before="20" w:after="20"/>
            </w:pPr>
          </w:p>
        </w:tc>
        <w:tc>
          <w:tcPr>
            <w:tcW w:w="1910" w:type="dxa"/>
            <w:shd w:val="clear" w:color="auto" w:fill="D9E2F3"/>
            <w:vAlign w:val="center"/>
          </w:tcPr>
          <w:p w14:paraId="77BFDAA1" w14:textId="77777777" w:rsidR="00990B14" w:rsidRDefault="00000000">
            <w:pPr>
              <w:spacing w:before="20" w:after="20"/>
              <w:jc w:val="center"/>
            </w:pPr>
            <w:r>
              <w:rPr>
                <w:sz w:val="18"/>
                <w:szCs w:val="18"/>
              </w:rPr>
              <w:t>Presentación</w:t>
            </w:r>
          </w:p>
        </w:tc>
        <w:tc>
          <w:tcPr>
            <w:tcW w:w="1867" w:type="dxa"/>
            <w:shd w:val="clear" w:color="auto" w:fill="D9E2F3"/>
            <w:vAlign w:val="center"/>
          </w:tcPr>
          <w:p w14:paraId="163349C7" w14:textId="77777777" w:rsidR="00990B14" w:rsidRDefault="00000000">
            <w:pPr>
              <w:spacing w:before="20" w:after="20"/>
              <w:jc w:val="both"/>
            </w:pPr>
            <w:r>
              <w:rPr>
                <w:sz w:val="18"/>
                <w:szCs w:val="18"/>
              </w:rPr>
              <w:t>El cuadro es desordenado.</w:t>
            </w:r>
          </w:p>
        </w:tc>
        <w:tc>
          <w:tcPr>
            <w:tcW w:w="1867" w:type="dxa"/>
            <w:shd w:val="clear" w:color="auto" w:fill="D9E2F3"/>
            <w:vAlign w:val="center"/>
          </w:tcPr>
          <w:p w14:paraId="48A2115D" w14:textId="77777777" w:rsidR="00990B14" w:rsidRDefault="00000000">
            <w:pPr>
              <w:spacing w:before="20" w:after="20"/>
              <w:jc w:val="both"/>
            </w:pPr>
            <w:r>
              <w:rPr>
                <w:sz w:val="18"/>
                <w:szCs w:val="18"/>
              </w:rPr>
              <w:t>El cuadro es claro.</w:t>
            </w:r>
          </w:p>
        </w:tc>
        <w:tc>
          <w:tcPr>
            <w:tcW w:w="1911" w:type="dxa"/>
            <w:shd w:val="clear" w:color="auto" w:fill="D9E2F3"/>
            <w:vAlign w:val="center"/>
          </w:tcPr>
          <w:p w14:paraId="0C80EDDC" w14:textId="77777777" w:rsidR="00990B14" w:rsidRDefault="00000000">
            <w:pPr>
              <w:spacing w:before="20" w:after="20"/>
              <w:jc w:val="both"/>
            </w:pPr>
            <w:r>
              <w:rPr>
                <w:sz w:val="18"/>
                <w:szCs w:val="18"/>
              </w:rPr>
              <w:t>El cuadro es completo y sintético.</w:t>
            </w:r>
          </w:p>
        </w:tc>
      </w:tr>
      <w:tr w:rsidR="00990B14" w14:paraId="4FE13313" w14:textId="77777777">
        <w:trPr>
          <w:cantSplit/>
          <w:jc w:val="center"/>
        </w:trPr>
        <w:tc>
          <w:tcPr>
            <w:tcW w:w="1850" w:type="dxa"/>
            <w:vMerge/>
            <w:shd w:val="clear" w:color="auto" w:fill="4472C4"/>
            <w:vAlign w:val="center"/>
          </w:tcPr>
          <w:p w14:paraId="185BEB4B" w14:textId="77777777" w:rsidR="00990B14" w:rsidRDefault="00990B14">
            <w:pPr>
              <w:spacing w:before="20" w:after="20"/>
            </w:pPr>
          </w:p>
        </w:tc>
        <w:tc>
          <w:tcPr>
            <w:tcW w:w="5644" w:type="dxa"/>
            <w:gridSpan w:val="3"/>
            <w:shd w:val="clear" w:color="auto" w:fill="D9E2F3"/>
            <w:vAlign w:val="center"/>
          </w:tcPr>
          <w:p w14:paraId="195E6501" w14:textId="77777777" w:rsidR="00990B14" w:rsidRDefault="00000000">
            <w:pPr>
              <w:keepNext/>
              <w:spacing w:before="20" w:after="20"/>
              <w:jc w:val="both"/>
            </w:pPr>
            <w:r>
              <w:rPr>
                <w:b/>
                <w:bCs/>
                <w:i/>
                <w:iCs/>
                <w:sz w:val="18"/>
                <w:szCs w:val="18"/>
              </w:rPr>
              <w:t xml:space="preserve">Producto 2: </w:t>
            </w:r>
            <w:r>
              <w:rPr>
                <w:sz w:val="18"/>
                <w:szCs w:val="18"/>
              </w:rPr>
              <w:t>Ficha de principios del derecho laboral</w:t>
            </w:r>
          </w:p>
        </w:tc>
        <w:tc>
          <w:tcPr>
            <w:tcW w:w="1911" w:type="dxa"/>
            <w:shd w:val="clear" w:color="auto" w:fill="D9E2F3"/>
            <w:vAlign w:val="center"/>
          </w:tcPr>
          <w:p w14:paraId="55559926" w14:textId="77777777" w:rsidR="00990B14" w:rsidRDefault="00000000">
            <w:pPr>
              <w:spacing w:before="20" w:after="20"/>
              <w:jc w:val="center"/>
            </w:pPr>
            <w:r>
              <w:rPr>
                <w:b/>
                <w:bCs/>
                <w:sz w:val="18"/>
                <w:szCs w:val="18"/>
              </w:rPr>
              <w:t>4%</w:t>
            </w:r>
          </w:p>
        </w:tc>
      </w:tr>
      <w:tr w:rsidR="00990B14" w14:paraId="1AFEEE5C" w14:textId="77777777">
        <w:trPr>
          <w:cantSplit/>
          <w:jc w:val="center"/>
        </w:trPr>
        <w:tc>
          <w:tcPr>
            <w:tcW w:w="1850" w:type="dxa"/>
            <w:vMerge/>
            <w:shd w:val="clear" w:color="auto" w:fill="4472C4"/>
            <w:vAlign w:val="center"/>
          </w:tcPr>
          <w:p w14:paraId="0D714BCD" w14:textId="77777777" w:rsidR="00990B14" w:rsidRDefault="00990B14">
            <w:pPr>
              <w:spacing w:before="20" w:after="20"/>
            </w:pPr>
          </w:p>
        </w:tc>
        <w:tc>
          <w:tcPr>
            <w:tcW w:w="1910" w:type="dxa"/>
            <w:shd w:val="clear" w:color="auto" w:fill="4472C4"/>
            <w:vAlign w:val="center"/>
          </w:tcPr>
          <w:p w14:paraId="4E75C087" w14:textId="77777777" w:rsidR="00990B14" w:rsidRDefault="00000000">
            <w:pPr>
              <w:keepNext/>
              <w:spacing w:before="20" w:after="20"/>
              <w:jc w:val="center"/>
            </w:pPr>
            <w:r>
              <w:rPr>
                <w:b/>
                <w:bCs/>
                <w:i/>
                <w:iCs/>
                <w:color w:val="FFFFFF"/>
                <w:sz w:val="18"/>
                <w:szCs w:val="18"/>
              </w:rPr>
              <w:t>Criterio</w:t>
            </w:r>
          </w:p>
        </w:tc>
        <w:tc>
          <w:tcPr>
            <w:tcW w:w="1867" w:type="dxa"/>
            <w:shd w:val="clear" w:color="auto" w:fill="4472C4"/>
            <w:vAlign w:val="center"/>
          </w:tcPr>
          <w:p w14:paraId="1667D8B5" w14:textId="77777777" w:rsidR="00990B14" w:rsidRDefault="00000000">
            <w:pPr>
              <w:keepNext/>
              <w:spacing w:before="20" w:after="20"/>
              <w:jc w:val="center"/>
            </w:pPr>
            <w:r>
              <w:rPr>
                <w:b/>
                <w:bCs/>
                <w:i/>
                <w:iCs/>
                <w:color w:val="FFFFFF"/>
                <w:sz w:val="18"/>
                <w:szCs w:val="18"/>
              </w:rPr>
              <w:t>Insuficiente (1–50)</w:t>
            </w:r>
          </w:p>
        </w:tc>
        <w:tc>
          <w:tcPr>
            <w:tcW w:w="1867" w:type="dxa"/>
            <w:shd w:val="clear" w:color="auto" w:fill="4472C4"/>
            <w:vAlign w:val="center"/>
          </w:tcPr>
          <w:p w14:paraId="28F14D2E" w14:textId="77777777" w:rsidR="00990B14" w:rsidRDefault="00000000">
            <w:pPr>
              <w:keepNext/>
              <w:spacing w:before="20" w:after="20"/>
              <w:jc w:val="center"/>
            </w:pPr>
            <w:r>
              <w:rPr>
                <w:b/>
                <w:bCs/>
                <w:i/>
                <w:iCs/>
                <w:color w:val="FFFFFF"/>
                <w:sz w:val="18"/>
                <w:szCs w:val="18"/>
              </w:rPr>
              <w:t>Suficiente (51–80)</w:t>
            </w:r>
          </w:p>
        </w:tc>
        <w:tc>
          <w:tcPr>
            <w:tcW w:w="1911" w:type="dxa"/>
            <w:shd w:val="clear" w:color="auto" w:fill="4472C4"/>
            <w:vAlign w:val="center"/>
          </w:tcPr>
          <w:p w14:paraId="4C2AA4BE" w14:textId="77777777" w:rsidR="00990B14" w:rsidRDefault="00000000">
            <w:pPr>
              <w:keepNext/>
              <w:spacing w:before="20" w:after="20"/>
              <w:jc w:val="center"/>
            </w:pPr>
            <w:r>
              <w:rPr>
                <w:b/>
                <w:bCs/>
                <w:i/>
                <w:iCs/>
                <w:color w:val="FFFFFF"/>
                <w:sz w:val="18"/>
                <w:szCs w:val="18"/>
              </w:rPr>
              <w:t>Destacado (81–100)</w:t>
            </w:r>
          </w:p>
        </w:tc>
      </w:tr>
      <w:tr w:rsidR="00990B14" w14:paraId="0B3A1326" w14:textId="77777777">
        <w:trPr>
          <w:cantSplit/>
          <w:jc w:val="center"/>
        </w:trPr>
        <w:tc>
          <w:tcPr>
            <w:tcW w:w="1850" w:type="dxa"/>
            <w:vMerge/>
            <w:shd w:val="clear" w:color="auto" w:fill="4472C4"/>
            <w:vAlign w:val="center"/>
          </w:tcPr>
          <w:p w14:paraId="410AF106" w14:textId="77777777" w:rsidR="00990B14" w:rsidRDefault="00990B14">
            <w:pPr>
              <w:spacing w:before="20" w:after="20"/>
            </w:pPr>
          </w:p>
        </w:tc>
        <w:tc>
          <w:tcPr>
            <w:tcW w:w="1910" w:type="dxa"/>
            <w:shd w:val="clear" w:color="auto" w:fill="D9E2F3"/>
            <w:vAlign w:val="center"/>
          </w:tcPr>
          <w:p w14:paraId="5BCD5675" w14:textId="77777777" w:rsidR="00990B14" w:rsidRDefault="00000000">
            <w:pPr>
              <w:spacing w:before="20" w:after="20"/>
              <w:jc w:val="center"/>
            </w:pPr>
            <w:r>
              <w:rPr>
                <w:sz w:val="18"/>
                <w:szCs w:val="18"/>
              </w:rPr>
              <w:t>Principios</w:t>
            </w:r>
          </w:p>
        </w:tc>
        <w:tc>
          <w:tcPr>
            <w:tcW w:w="1867" w:type="dxa"/>
            <w:shd w:val="clear" w:color="auto" w:fill="D9E2F3"/>
            <w:vAlign w:val="center"/>
          </w:tcPr>
          <w:p w14:paraId="6F7ABA31" w14:textId="77777777" w:rsidR="00990B14" w:rsidRDefault="00000000">
            <w:pPr>
              <w:spacing w:before="20" w:after="20"/>
              <w:jc w:val="both"/>
            </w:pPr>
            <w:r>
              <w:rPr>
                <w:sz w:val="18"/>
                <w:szCs w:val="18"/>
              </w:rPr>
              <w:t>Omite principios aplicables.</w:t>
            </w:r>
          </w:p>
        </w:tc>
        <w:tc>
          <w:tcPr>
            <w:tcW w:w="1867" w:type="dxa"/>
            <w:shd w:val="clear" w:color="auto" w:fill="D9E2F3"/>
            <w:vAlign w:val="center"/>
          </w:tcPr>
          <w:p w14:paraId="5245D506" w14:textId="77777777" w:rsidR="00990B14" w:rsidRDefault="00000000">
            <w:pPr>
              <w:spacing w:before="20" w:after="20"/>
              <w:jc w:val="both"/>
            </w:pPr>
            <w:r>
              <w:rPr>
                <w:sz w:val="18"/>
                <w:szCs w:val="18"/>
              </w:rPr>
              <w:t>Identifica los principios que rigen el caso.</w:t>
            </w:r>
          </w:p>
        </w:tc>
        <w:tc>
          <w:tcPr>
            <w:tcW w:w="1911" w:type="dxa"/>
            <w:shd w:val="clear" w:color="auto" w:fill="D9E2F3"/>
            <w:vAlign w:val="center"/>
          </w:tcPr>
          <w:p w14:paraId="5C0A1E52" w14:textId="77777777" w:rsidR="00990B14" w:rsidRDefault="00000000">
            <w:pPr>
              <w:spacing w:before="20" w:after="20"/>
              <w:jc w:val="both"/>
            </w:pPr>
            <w:r>
              <w:rPr>
                <w:sz w:val="18"/>
                <w:szCs w:val="18"/>
              </w:rPr>
              <w:t>Explica cómo cada principio protege al trabajador.</w:t>
            </w:r>
          </w:p>
        </w:tc>
      </w:tr>
      <w:tr w:rsidR="00990B14" w14:paraId="48411C96" w14:textId="77777777">
        <w:trPr>
          <w:cantSplit/>
          <w:jc w:val="center"/>
        </w:trPr>
        <w:tc>
          <w:tcPr>
            <w:tcW w:w="1850" w:type="dxa"/>
            <w:vMerge/>
            <w:shd w:val="clear" w:color="auto" w:fill="4472C4"/>
            <w:vAlign w:val="center"/>
          </w:tcPr>
          <w:p w14:paraId="4DFD46BC" w14:textId="77777777" w:rsidR="00990B14" w:rsidRDefault="00990B14">
            <w:pPr>
              <w:spacing w:before="20" w:after="20"/>
            </w:pPr>
          </w:p>
        </w:tc>
        <w:tc>
          <w:tcPr>
            <w:tcW w:w="1910" w:type="dxa"/>
            <w:shd w:val="clear" w:color="auto" w:fill="D9E2F3"/>
            <w:vAlign w:val="center"/>
          </w:tcPr>
          <w:p w14:paraId="088F8167" w14:textId="77777777" w:rsidR="00990B14" w:rsidRDefault="00000000">
            <w:pPr>
              <w:spacing w:before="20" w:after="20"/>
              <w:jc w:val="center"/>
            </w:pPr>
            <w:r>
              <w:rPr>
                <w:sz w:val="18"/>
                <w:szCs w:val="18"/>
              </w:rPr>
              <w:t>Aplicación</w:t>
            </w:r>
          </w:p>
        </w:tc>
        <w:tc>
          <w:tcPr>
            <w:tcW w:w="1867" w:type="dxa"/>
            <w:shd w:val="clear" w:color="auto" w:fill="D9E2F3"/>
            <w:vAlign w:val="center"/>
          </w:tcPr>
          <w:p w14:paraId="0463FD80" w14:textId="77777777" w:rsidR="00990B14" w:rsidRDefault="00000000">
            <w:pPr>
              <w:spacing w:before="20" w:after="20"/>
              <w:jc w:val="both"/>
            </w:pPr>
            <w:r>
              <w:rPr>
                <w:sz w:val="18"/>
                <w:szCs w:val="18"/>
              </w:rPr>
              <w:t>No relaciona el principio con los hechos.</w:t>
            </w:r>
          </w:p>
        </w:tc>
        <w:tc>
          <w:tcPr>
            <w:tcW w:w="1867" w:type="dxa"/>
            <w:shd w:val="clear" w:color="auto" w:fill="D9E2F3"/>
            <w:vAlign w:val="center"/>
          </w:tcPr>
          <w:p w14:paraId="0B00CA01" w14:textId="77777777" w:rsidR="00990B14" w:rsidRDefault="00000000">
            <w:pPr>
              <w:spacing w:before="20" w:after="20"/>
              <w:jc w:val="both"/>
            </w:pPr>
            <w:r>
              <w:rPr>
                <w:sz w:val="18"/>
                <w:szCs w:val="18"/>
              </w:rPr>
              <w:t>Aplica cada principio a los hechos del caso.</w:t>
            </w:r>
          </w:p>
        </w:tc>
        <w:tc>
          <w:tcPr>
            <w:tcW w:w="1911" w:type="dxa"/>
            <w:shd w:val="clear" w:color="auto" w:fill="D9E2F3"/>
            <w:vAlign w:val="center"/>
          </w:tcPr>
          <w:p w14:paraId="38524C2D" w14:textId="77777777" w:rsidR="00990B14" w:rsidRDefault="00000000">
            <w:pPr>
              <w:spacing w:before="20" w:after="20"/>
              <w:jc w:val="both"/>
            </w:pPr>
            <w:r>
              <w:rPr>
                <w:sz w:val="18"/>
                <w:szCs w:val="18"/>
              </w:rPr>
              <w:t>Valora las implicancias éticas del caso.</w:t>
            </w:r>
          </w:p>
        </w:tc>
      </w:tr>
      <w:tr w:rsidR="00990B14" w14:paraId="1EFFB048" w14:textId="77777777">
        <w:trPr>
          <w:cantSplit/>
          <w:jc w:val="center"/>
        </w:trPr>
        <w:tc>
          <w:tcPr>
            <w:tcW w:w="1850" w:type="dxa"/>
            <w:vMerge/>
            <w:shd w:val="clear" w:color="auto" w:fill="4472C4"/>
            <w:vAlign w:val="center"/>
          </w:tcPr>
          <w:p w14:paraId="04F26FDA" w14:textId="77777777" w:rsidR="00990B14" w:rsidRDefault="00990B14">
            <w:pPr>
              <w:spacing w:before="20" w:after="20"/>
            </w:pPr>
          </w:p>
        </w:tc>
        <w:tc>
          <w:tcPr>
            <w:tcW w:w="1910" w:type="dxa"/>
            <w:shd w:val="clear" w:color="auto" w:fill="D9E2F3"/>
            <w:vAlign w:val="center"/>
          </w:tcPr>
          <w:p w14:paraId="63B9AB00" w14:textId="77777777" w:rsidR="00990B14" w:rsidRDefault="00000000">
            <w:pPr>
              <w:spacing w:before="20" w:after="20"/>
              <w:jc w:val="center"/>
            </w:pPr>
            <w:r>
              <w:rPr>
                <w:sz w:val="18"/>
                <w:szCs w:val="18"/>
              </w:rPr>
              <w:t>Presentación</w:t>
            </w:r>
          </w:p>
        </w:tc>
        <w:tc>
          <w:tcPr>
            <w:tcW w:w="1867" w:type="dxa"/>
            <w:shd w:val="clear" w:color="auto" w:fill="D9E2F3"/>
            <w:vAlign w:val="center"/>
          </w:tcPr>
          <w:p w14:paraId="64E210AA" w14:textId="77777777" w:rsidR="00990B14" w:rsidRDefault="00000000">
            <w:pPr>
              <w:spacing w:before="20" w:after="20"/>
              <w:jc w:val="both"/>
            </w:pPr>
            <w:r>
              <w:rPr>
                <w:sz w:val="18"/>
                <w:szCs w:val="18"/>
              </w:rPr>
              <w:t>El cuadro es desordenado.</w:t>
            </w:r>
          </w:p>
        </w:tc>
        <w:tc>
          <w:tcPr>
            <w:tcW w:w="1867" w:type="dxa"/>
            <w:shd w:val="clear" w:color="auto" w:fill="D9E2F3"/>
            <w:vAlign w:val="center"/>
          </w:tcPr>
          <w:p w14:paraId="4FA638A7" w14:textId="77777777" w:rsidR="00990B14" w:rsidRDefault="00000000">
            <w:pPr>
              <w:spacing w:before="20" w:after="20"/>
              <w:jc w:val="both"/>
            </w:pPr>
            <w:r>
              <w:rPr>
                <w:sz w:val="18"/>
                <w:szCs w:val="18"/>
              </w:rPr>
              <w:t>El cuadro es claro.</w:t>
            </w:r>
          </w:p>
        </w:tc>
        <w:tc>
          <w:tcPr>
            <w:tcW w:w="1911" w:type="dxa"/>
            <w:shd w:val="clear" w:color="auto" w:fill="D9E2F3"/>
            <w:vAlign w:val="center"/>
          </w:tcPr>
          <w:p w14:paraId="36D831EA" w14:textId="77777777" w:rsidR="00990B14" w:rsidRDefault="00000000">
            <w:pPr>
              <w:spacing w:before="20" w:after="20"/>
              <w:jc w:val="both"/>
            </w:pPr>
            <w:r>
              <w:rPr>
                <w:sz w:val="18"/>
                <w:szCs w:val="18"/>
              </w:rPr>
              <w:t>El cuadro es completo y sintético.</w:t>
            </w:r>
          </w:p>
        </w:tc>
      </w:tr>
      <w:tr w:rsidR="00990B14" w14:paraId="743CBD96" w14:textId="77777777">
        <w:trPr>
          <w:cantSplit/>
          <w:jc w:val="center"/>
        </w:trPr>
        <w:tc>
          <w:tcPr>
            <w:tcW w:w="1850" w:type="dxa"/>
            <w:vMerge/>
            <w:shd w:val="clear" w:color="auto" w:fill="4472C4"/>
            <w:vAlign w:val="center"/>
          </w:tcPr>
          <w:p w14:paraId="521A7E91" w14:textId="77777777" w:rsidR="00990B14" w:rsidRDefault="00990B14">
            <w:pPr>
              <w:spacing w:before="20" w:after="20"/>
            </w:pPr>
          </w:p>
        </w:tc>
        <w:tc>
          <w:tcPr>
            <w:tcW w:w="5644" w:type="dxa"/>
            <w:gridSpan w:val="3"/>
            <w:shd w:val="clear" w:color="auto" w:fill="D9E2F3"/>
            <w:vAlign w:val="center"/>
          </w:tcPr>
          <w:p w14:paraId="5D76544B" w14:textId="77777777" w:rsidR="00990B14" w:rsidRDefault="00000000">
            <w:pPr>
              <w:keepNext/>
              <w:spacing w:before="20" w:after="20"/>
              <w:jc w:val="both"/>
            </w:pPr>
            <w:r>
              <w:rPr>
                <w:b/>
                <w:bCs/>
                <w:i/>
                <w:iCs/>
                <w:sz w:val="18"/>
                <w:szCs w:val="18"/>
              </w:rPr>
              <w:t xml:space="preserve">Producto 3: </w:t>
            </w:r>
            <w:r>
              <w:rPr>
                <w:sz w:val="18"/>
                <w:szCs w:val="18"/>
              </w:rPr>
              <w:t>Esquema de sujetos y sectores laborales</w:t>
            </w:r>
          </w:p>
        </w:tc>
        <w:tc>
          <w:tcPr>
            <w:tcW w:w="1911" w:type="dxa"/>
            <w:shd w:val="clear" w:color="auto" w:fill="D9E2F3"/>
            <w:vAlign w:val="center"/>
          </w:tcPr>
          <w:p w14:paraId="1F8CB65C" w14:textId="77777777" w:rsidR="00990B14" w:rsidRDefault="00000000">
            <w:pPr>
              <w:spacing w:before="20" w:after="20"/>
              <w:jc w:val="center"/>
            </w:pPr>
            <w:r>
              <w:rPr>
                <w:b/>
                <w:bCs/>
                <w:sz w:val="18"/>
                <w:szCs w:val="18"/>
              </w:rPr>
              <w:t>4%</w:t>
            </w:r>
          </w:p>
        </w:tc>
      </w:tr>
      <w:tr w:rsidR="00990B14" w14:paraId="263F6797" w14:textId="77777777">
        <w:trPr>
          <w:cantSplit/>
          <w:jc w:val="center"/>
        </w:trPr>
        <w:tc>
          <w:tcPr>
            <w:tcW w:w="1850" w:type="dxa"/>
            <w:vMerge/>
            <w:shd w:val="clear" w:color="auto" w:fill="4472C4"/>
            <w:vAlign w:val="center"/>
          </w:tcPr>
          <w:p w14:paraId="59421F59" w14:textId="77777777" w:rsidR="00990B14" w:rsidRDefault="00990B14">
            <w:pPr>
              <w:spacing w:before="20" w:after="20"/>
            </w:pPr>
          </w:p>
        </w:tc>
        <w:tc>
          <w:tcPr>
            <w:tcW w:w="1910" w:type="dxa"/>
            <w:shd w:val="clear" w:color="auto" w:fill="4472C4"/>
            <w:vAlign w:val="center"/>
          </w:tcPr>
          <w:p w14:paraId="58B97CE9" w14:textId="77777777" w:rsidR="00990B14" w:rsidRDefault="00000000">
            <w:pPr>
              <w:keepNext/>
              <w:spacing w:before="20" w:after="20"/>
              <w:jc w:val="center"/>
            </w:pPr>
            <w:r>
              <w:rPr>
                <w:b/>
                <w:bCs/>
                <w:i/>
                <w:iCs/>
                <w:color w:val="FFFFFF"/>
                <w:sz w:val="18"/>
                <w:szCs w:val="18"/>
              </w:rPr>
              <w:t>Criterio</w:t>
            </w:r>
          </w:p>
        </w:tc>
        <w:tc>
          <w:tcPr>
            <w:tcW w:w="1867" w:type="dxa"/>
            <w:shd w:val="clear" w:color="auto" w:fill="4472C4"/>
            <w:vAlign w:val="center"/>
          </w:tcPr>
          <w:p w14:paraId="5EF9DFD8" w14:textId="77777777" w:rsidR="00990B14" w:rsidRDefault="00000000">
            <w:pPr>
              <w:keepNext/>
              <w:spacing w:before="20" w:after="20"/>
              <w:jc w:val="center"/>
            </w:pPr>
            <w:r>
              <w:rPr>
                <w:b/>
                <w:bCs/>
                <w:i/>
                <w:iCs/>
                <w:color w:val="FFFFFF"/>
                <w:sz w:val="18"/>
                <w:szCs w:val="18"/>
              </w:rPr>
              <w:t>Insuficiente (1–50)</w:t>
            </w:r>
          </w:p>
        </w:tc>
        <w:tc>
          <w:tcPr>
            <w:tcW w:w="1867" w:type="dxa"/>
            <w:shd w:val="clear" w:color="auto" w:fill="4472C4"/>
            <w:vAlign w:val="center"/>
          </w:tcPr>
          <w:p w14:paraId="330D3C35" w14:textId="77777777" w:rsidR="00990B14" w:rsidRDefault="00000000">
            <w:pPr>
              <w:keepNext/>
              <w:spacing w:before="20" w:after="20"/>
              <w:jc w:val="center"/>
            </w:pPr>
            <w:r>
              <w:rPr>
                <w:b/>
                <w:bCs/>
                <w:i/>
                <w:iCs/>
                <w:color w:val="FFFFFF"/>
                <w:sz w:val="18"/>
                <w:szCs w:val="18"/>
              </w:rPr>
              <w:t>Suficiente (51–80)</w:t>
            </w:r>
          </w:p>
        </w:tc>
        <w:tc>
          <w:tcPr>
            <w:tcW w:w="1911" w:type="dxa"/>
            <w:shd w:val="clear" w:color="auto" w:fill="4472C4"/>
            <w:vAlign w:val="center"/>
          </w:tcPr>
          <w:p w14:paraId="1DCB95D2" w14:textId="77777777" w:rsidR="00990B14" w:rsidRDefault="00000000">
            <w:pPr>
              <w:keepNext/>
              <w:spacing w:before="20" w:after="20"/>
              <w:jc w:val="center"/>
            </w:pPr>
            <w:r>
              <w:rPr>
                <w:b/>
                <w:bCs/>
                <w:i/>
                <w:iCs/>
                <w:color w:val="FFFFFF"/>
                <w:sz w:val="18"/>
                <w:szCs w:val="18"/>
              </w:rPr>
              <w:t>Destacado (81–100)</w:t>
            </w:r>
          </w:p>
        </w:tc>
      </w:tr>
      <w:tr w:rsidR="00990B14" w14:paraId="07397EB0" w14:textId="77777777">
        <w:trPr>
          <w:cantSplit/>
          <w:jc w:val="center"/>
        </w:trPr>
        <w:tc>
          <w:tcPr>
            <w:tcW w:w="1850" w:type="dxa"/>
            <w:vMerge/>
            <w:shd w:val="clear" w:color="auto" w:fill="4472C4"/>
            <w:vAlign w:val="center"/>
          </w:tcPr>
          <w:p w14:paraId="6975DE93" w14:textId="77777777" w:rsidR="00990B14" w:rsidRDefault="00990B14">
            <w:pPr>
              <w:spacing w:before="20" w:after="20"/>
            </w:pPr>
          </w:p>
        </w:tc>
        <w:tc>
          <w:tcPr>
            <w:tcW w:w="1910" w:type="dxa"/>
            <w:shd w:val="clear" w:color="auto" w:fill="D9E2F3"/>
            <w:vAlign w:val="center"/>
          </w:tcPr>
          <w:p w14:paraId="69E89B9F" w14:textId="77777777" w:rsidR="00990B14" w:rsidRDefault="00000000">
            <w:pPr>
              <w:spacing w:before="20" w:after="20"/>
              <w:jc w:val="center"/>
            </w:pPr>
            <w:r>
              <w:rPr>
                <w:sz w:val="18"/>
                <w:szCs w:val="18"/>
              </w:rPr>
              <w:t>Sujetos</w:t>
            </w:r>
          </w:p>
        </w:tc>
        <w:tc>
          <w:tcPr>
            <w:tcW w:w="1867" w:type="dxa"/>
            <w:shd w:val="clear" w:color="auto" w:fill="D9E2F3"/>
            <w:vAlign w:val="center"/>
          </w:tcPr>
          <w:p w14:paraId="1BA70405" w14:textId="77777777" w:rsidR="00990B14" w:rsidRDefault="00000000">
            <w:pPr>
              <w:spacing w:before="20" w:after="20"/>
              <w:jc w:val="both"/>
            </w:pPr>
            <w:r>
              <w:rPr>
                <w:sz w:val="18"/>
                <w:szCs w:val="18"/>
              </w:rPr>
              <w:t>Confunde a los sujetos.</w:t>
            </w:r>
          </w:p>
        </w:tc>
        <w:tc>
          <w:tcPr>
            <w:tcW w:w="1867" w:type="dxa"/>
            <w:shd w:val="clear" w:color="auto" w:fill="D9E2F3"/>
            <w:vAlign w:val="center"/>
          </w:tcPr>
          <w:p w14:paraId="715204D0" w14:textId="77777777" w:rsidR="00990B14" w:rsidRDefault="00000000">
            <w:pPr>
              <w:spacing w:before="20" w:after="20"/>
              <w:jc w:val="both"/>
            </w:pPr>
            <w:r>
              <w:rPr>
                <w:sz w:val="18"/>
                <w:szCs w:val="18"/>
              </w:rPr>
              <w:t>Distingue al empleador, al trabajador y a otros sujetos.</w:t>
            </w:r>
          </w:p>
        </w:tc>
        <w:tc>
          <w:tcPr>
            <w:tcW w:w="1911" w:type="dxa"/>
            <w:shd w:val="clear" w:color="auto" w:fill="D9E2F3"/>
            <w:vAlign w:val="center"/>
          </w:tcPr>
          <w:p w14:paraId="728F86F6" w14:textId="77777777" w:rsidR="00990B14" w:rsidRDefault="00000000">
            <w:pPr>
              <w:spacing w:before="20" w:after="20"/>
              <w:jc w:val="both"/>
            </w:pPr>
            <w:r>
              <w:rPr>
                <w:sz w:val="18"/>
                <w:szCs w:val="18"/>
              </w:rPr>
              <w:t>Ejemplifica cada sujeto en una empresa boliviana.</w:t>
            </w:r>
          </w:p>
        </w:tc>
      </w:tr>
      <w:tr w:rsidR="00990B14" w14:paraId="132771D9" w14:textId="77777777">
        <w:trPr>
          <w:cantSplit/>
          <w:jc w:val="center"/>
        </w:trPr>
        <w:tc>
          <w:tcPr>
            <w:tcW w:w="1850" w:type="dxa"/>
            <w:vMerge/>
            <w:shd w:val="clear" w:color="auto" w:fill="4472C4"/>
            <w:vAlign w:val="center"/>
          </w:tcPr>
          <w:p w14:paraId="43BDC808" w14:textId="77777777" w:rsidR="00990B14" w:rsidRDefault="00990B14">
            <w:pPr>
              <w:spacing w:before="20" w:after="20"/>
            </w:pPr>
          </w:p>
        </w:tc>
        <w:tc>
          <w:tcPr>
            <w:tcW w:w="1910" w:type="dxa"/>
            <w:shd w:val="clear" w:color="auto" w:fill="D9E2F3"/>
            <w:vAlign w:val="center"/>
          </w:tcPr>
          <w:p w14:paraId="62AFA72E" w14:textId="77777777" w:rsidR="00990B14" w:rsidRDefault="00000000">
            <w:pPr>
              <w:spacing w:before="20" w:after="20"/>
              <w:jc w:val="center"/>
            </w:pPr>
            <w:r>
              <w:rPr>
                <w:sz w:val="18"/>
                <w:szCs w:val="18"/>
              </w:rPr>
              <w:t>Sectores</w:t>
            </w:r>
          </w:p>
        </w:tc>
        <w:tc>
          <w:tcPr>
            <w:tcW w:w="1867" w:type="dxa"/>
            <w:shd w:val="clear" w:color="auto" w:fill="D9E2F3"/>
            <w:vAlign w:val="center"/>
          </w:tcPr>
          <w:p w14:paraId="07AD8C78" w14:textId="77777777" w:rsidR="00990B14" w:rsidRDefault="00000000">
            <w:pPr>
              <w:spacing w:before="20" w:after="20"/>
              <w:jc w:val="both"/>
            </w:pPr>
            <w:r>
              <w:rPr>
                <w:sz w:val="18"/>
                <w:szCs w:val="18"/>
              </w:rPr>
              <w:t>Omite sectores excluidos.</w:t>
            </w:r>
          </w:p>
        </w:tc>
        <w:tc>
          <w:tcPr>
            <w:tcW w:w="1867" w:type="dxa"/>
            <w:shd w:val="clear" w:color="auto" w:fill="D9E2F3"/>
            <w:vAlign w:val="center"/>
          </w:tcPr>
          <w:p w14:paraId="27F29BA1" w14:textId="77777777" w:rsidR="00990B14" w:rsidRDefault="00000000">
            <w:pPr>
              <w:spacing w:before="20" w:after="20"/>
              <w:jc w:val="both"/>
            </w:pPr>
            <w:r>
              <w:rPr>
                <w:sz w:val="18"/>
                <w:szCs w:val="18"/>
              </w:rPr>
              <w:t>Distingue los sectores reconocidos y los excluidos.</w:t>
            </w:r>
          </w:p>
        </w:tc>
        <w:tc>
          <w:tcPr>
            <w:tcW w:w="1911" w:type="dxa"/>
            <w:shd w:val="clear" w:color="auto" w:fill="D9E2F3"/>
            <w:vAlign w:val="center"/>
          </w:tcPr>
          <w:p w14:paraId="214946A2" w14:textId="77777777" w:rsidR="00990B14" w:rsidRDefault="00000000">
            <w:pPr>
              <w:spacing w:before="20" w:after="20"/>
              <w:jc w:val="both"/>
            </w:pPr>
            <w:r>
              <w:rPr>
                <w:sz w:val="18"/>
                <w:szCs w:val="18"/>
              </w:rPr>
              <w:t>Explica los métodos de exclusión.</w:t>
            </w:r>
          </w:p>
        </w:tc>
      </w:tr>
      <w:tr w:rsidR="00990B14" w14:paraId="425FCC24" w14:textId="77777777">
        <w:trPr>
          <w:cantSplit/>
          <w:jc w:val="center"/>
        </w:trPr>
        <w:tc>
          <w:tcPr>
            <w:tcW w:w="1850" w:type="dxa"/>
            <w:vMerge/>
            <w:shd w:val="clear" w:color="auto" w:fill="4472C4"/>
            <w:vAlign w:val="center"/>
          </w:tcPr>
          <w:p w14:paraId="6B473FC3" w14:textId="77777777" w:rsidR="00990B14" w:rsidRDefault="00990B14">
            <w:pPr>
              <w:spacing w:before="20" w:after="20"/>
            </w:pPr>
          </w:p>
        </w:tc>
        <w:tc>
          <w:tcPr>
            <w:tcW w:w="1910" w:type="dxa"/>
            <w:shd w:val="clear" w:color="auto" w:fill="D9E2F3"/>
            <w:vAlign w:val="center"/>
          </w:tcPr>
          <w:p w14:paraId="276602F1" w14:textId="77777777" w:rsidR="00990B14" w:rsidRDefault="00000000">
            <w:pPr>
              <w:spacing w:before="20" w:after="20"/>
              <w:jc w:val="center"/>
            </w:pPr>
            <w:r>
              <w:rPr>
                <w:sz w:val="18"/>
                <w:szCs w:val="18"/>
              </w:rPr>
              <w:t>Presentación</w:t>
            </w:r>
          </w:p>
        </w:tc>
        <w:tc>
          <w:tcPr>
            <w:tcW w:w="1867" w:type="dxa"/>
            <w:shd w:val="clear" w:color="auto" w:fill="D9E2F3"/>
            <w:vAlign w:val="center"/>
          </w:tcPr>
          <w:p w14:paraId="0F8BAEFF" w14:textId="77777777" w:rsidR="00990B14" w:rsidRDefault="00000000">
            <w:pPr>
              <w:spacing w:before="20" w:after="20"/>
              <w:jc w:val="both"/>
            </w:pPr>
            <w:r>
              <w:rPr>
                <w:sz w:val="18"/>
                <w:szCs w:val="18"/>
              </w:rPr>
              <w:t>El esquema es confuso.</w:t>
            </w:r>
          </w:p>
        </w:tc>
        <w:tc>
          <w:tcPr>
            <w:tcW w:w="1867" w:type="dxa"/>
            <w:shd w:val="clear" w:color="auto" w:fill="D9E2F3"/>
            <w:vAlign w:val="center"/>
          </w:tcPr>
          <w:p w14:paraId="7CC51F23" w14:textId="77777777" w:rsidR="00990B14" w:rsidRDefault="00000000">
            <w:pPr>
              <w:spacing w:before="20" w:after="20"/>
              <w:jc w:val="both"/>
            </w:pPr>
            <w:r>
              <w:rPr>
                <w:sz w:val="18"/>
                <w:szCs w:val="18"/>
              </w:rPr>
              <w:t>El esquema es claro.</w:t>
            </w:r>
          </w:p>
        </w:tc>
        <w:tc>
          <w:tcPr>
            <w:tcW w:w="1911" w:type="dxa"/>
            <w:shd w:val="clear" w:color="auto" w:fill="D9E2F3"/>
            <w:vAlign w:val="center"/>
          </w:tcPr>
          <w:p w14:paraId="31486BE4" w14:textId="77777777" w:rsidR="00990B14" w:rsidRDefault="00000000">
            <w:pPr>
              <w:spacing w:before="20" w:after="20"/>
              <w:jc w:val="both"/>
            </w:pPr>
            <w:r>
              <w:rPr>
                <w:sz w:val="18"/>
                <w:szCs w:val="18"/>
              </w:rPr>
              <w:t>El esquema es completo y ordenado.</w:t>
            </w:r>
          </w:p>
        </w:tc>
      </w:tr>
      <w:tr w:rsidR="00990B14" w14:paraId="16D1B050" w14:textId="77777777">
        <w:trPr>
          <w:cantSplit/>
          <w:jc w:val="center"/>
        </w:trPr>
        <w:tc>
          <w:tcPr>
            <w:tcW w:w="1850" w:type="dxa"/>
            <w:vMerge/>
            <w:shd w:val="clear" w:color="auto" w:fill="4472C4"/>
            <w:vAlign w:val="center"/>
          </w:tcPr>
          <w:p w14:paraId="70275166" w14:textId="77777777" w:rsidR="00990B14" w:rsidRDefault="00990B14">
            <w:pPr>
              <w:spacing w:before="20" w:after="20"/>
            </w:pPr>
          </w:p>
        </w:tc>
        <w:tc>
          <w:tcPr>
            <w:tcW w:w="5644" w:type="dxa"/>
            <w:gridSpan w:val="3"/>
            <w:shd w:val="clear" w:color="auto" w:fill="D9E2F3"/>
            <w:vAlign w:val="center"/>
          </w:tcPr>
          <w:p w14:paraId="2F6AAB78" w14:textId="77777777" w:rsidR="00990B14" w:rsidRDefault="00000000">
            <w:pPr>
              <w:keepNext/>
              <w:spacing w:before="20" w:after="20"/>
              <w:jc w:val="both"/>
            </w:pPr>
            <w:r>
              <w:rPr>
                <w:b/>
                <w:bCs/>
                <w:i/>
                <w:iCs/>
                <w:sz w:val="18"/>
                <w:szCs w:val="18"/>
              </w:rPr>
              <w:t xml:space="preserve">Producto 4: </w:t>
            </w:r>
            <w:r>
              <w:rPr>
                <w:sz w:val="18"/>
                <w:szCs w:val="18"/>
              </w:rPr>
              <w:t>Organigrama estructural</w:t>
            </w:r>
          </w:p>
        </w:tc>
        <w:tc>
          <w:tcPr>
            <w:tcW w:w="1911" w:type="dxa"/>
            <w:shd w:val="clear" w:color="auto" w:fill="D9E2F3"/>
            <w:vAlign w:val="center"/>
          </w:tcPr>
          <w:p w14:paraId="2A40E659" w14:textId="77777777" w:rsidR="00990B14" w:rsidRDefault="00000000">
            <w:pPr>
              <w:spacing w:before="20" w:after="20"/>
              <w:jc w:val="center"/>
            </w:pPr>
            <w:r>
              <w:rPr>
                <w:b/>
                <w:bCs/>
                <w:sz w:val="18"/>
                <w:szCs w:val="18"/>
              </w:rPr>
              <w:t>3%</w:t>
            </w:r>
          </w:p>
        </w:tc>
      </w:tr>
      <w:tr w:rsidR="00990B14" w14:paraId="3BAF7DF8" w14:textId="77777777">
        <w:trPr>
          <w:cantSplit/>
          <w:jc w:val="center"/>
        </w:trPr>
        <w:tc>
          <w:tcPr>
            <w:tcW w:w="1850" w:type="dxa"/>
            <w:vMerge/>
            <w:shd w:val="clear" w:color="auto" w:fill="4472C4"/>
            <w:vAlign w:val="center"/>
          </w:tcPr>
          <w:p w14:paraId="0565A796" w14:textId="77777777" w:rsidR="00990B14" w:rsidRDefault="00990B14">
            <w:pPr>
              <w:spacing w:before="20" w:after="20"/>
            </w:pPr>
          </w:p>
        </w:tc>
        <w:tc>
          <w:tcPr>
            <w:tcW w:w="1910" w:type="dxa"/>
            <w:shd w:val="clear" w:color="auto" w:fill="4472C4"/>
            <w:vAlign w:val="center"/>
          </w:tcPr>
          <w:p w14:paraId="27DAD3A6" w14:textId="77777777" w:rsidR="00990B14" w:rsidRDefault="00000000">
            <w:pPr>
              <w:keepNext/>
              <w:spacing w:before="20" w:after="20"/>
              <w:jc w:val="center"/>
            </w:pPr>
            <w:r>
              <w:rPr>
                <w:b/>
                <w:bCs/>
                <w:i/>
                <w:iCs/>
                <w:color w:val="FFFFFF"/>
                <w:sz w:val="18"/>
                <w:szCs w:val="18"/>
              </w:rPr>
              <w:t>Criterio</w:t>
            </w:r>
          </w:p>
        </w:tc>
        <w:tc>
          <w:tcPr>
            <w:tcW w:w="1867" w:type="dxa"/>
            <w:shd w:val="clear" w:color="auto" w:fill="4472C4"/>
            <w:vAlign w:val="center"/>
          </w:tcPr>
          <w:p w14:paraId="10F65CF3" w14:textId="77777777" w:rsidR="00990B14" w:rsidRDefault="00000000">
            <w:pPr>
              <w:keepNext/>
              <w:spacing w:before="20" w:after="20"/>
              <w:jc w:val="center"/>
            </w:pPr>
            <w:r>
              <w:rPr>
                <w:b/>
                <w:bCs/>
                <w:i/>
                <w:iCs/>
                <w:color w:val="FFFFFF"/>
                <w:sz w:val="18"/>
                <w:szCs w:val="18"/>
              </w:rPr>
              <w:t>Insuficiente (1–50)</w:t>
            </w:r>
          </w:p>
        </w:tc>
        <w:tc>
          <w:tcPr>
            <w:tcW w:w="1867" w:type="dxa"/>
            <w:shd w:val="clear" w:color="auto" w:fill="4472C4"/>
            <w:vAlign w:val="center"/>
          </w:tcPr>
          <w:p w14:paraId="5658A15B" w14:textId="77777777" w:rsidR="00990B14" w:rsidRDefault="00000000">
            <w:pPr>
              <w:keepNext/>
              <w:spacing w:before="20" w:after="20"/>
              <w:jc w:val="center"/>
            </w:pPr>
            <w:r>
              <w:rPr>
                <w:b/>
                <w:bCs/>
                <w:i/>
                <w:iCs/>
                <w:color w:val="FFFFFF"/>
                <w:sz w:val="18"/>
                <w:szCs w:val="18"/>
              </w:rPr>
              <w:t>Suficiente (51–80)</w:t>
            </w:r>
          </w:p>
        </w:tc>
        <w:tc>
          <w:tcPr>
            <w:tcW w:w="1911" w:type="dxa"/>
            <w:shd w:val="clear" w:color="auto" w:fill="4472C4"/>
            <w:vAlign w:val="center"/>
          </w:tcPr>
          <w:p w14:paraId="2132FA0D" w14:textId="77777777" w:rsidR="00990B14" w:rsidRDefault="00000000">
            <w:pPr>
              <w:keepNext/>
              <w:spacing w:before="20" w:after="20"/>
              <w:jc w:val="center"/>
            </w:pPr>
            <w:r>
              <w:rPr>
                <w:b/>
                <w:bCs/>
                <w:i/>
                <w:iCs/>
                <w:color w:val="FFFFFF"/>
                <w:sz w:val="18"/>
                <w:szCs w:val="18"/>
              </w:rPr>
              <w:t>Destacado (81–100)</w:t>
            </w:r>
          </w:p>
        </w:tc>
      </w:tr>
      <w:tr w:rsidR="00990B14" w14:paraId="2D5C011F" w14:textId="77777777">
        <w:trPr>
          <w:cantSplit/>
          <w:jc w:val="center"/>
        </w:trPr>
        <w:tc>
          <w:tcPr>
            <w:tcW w:w="1850" w:type="dxa"/>
            <w:vMerge/>
            <w:shd w:val="clear" w:color="auto" w:fill="4472C4"/>
            <w:vAlign w:val="center"/>
          </w:tcPr>
          <w:p w14:paraId="5680643D" w14:textId="77777777" w:rsidR="00990B14" w:rsidRDefault="00990B14">
            <w:pPr>
              <w:spacing w:before="20" w:after="20"/>
            </w:pPr>
          </w:p>
        </w:tc>
        <w:tc>
          <w:tcPr>
            <w:tcW w:w="1910" w:type="dxa"/>
            <w:shd w:val="clear" w:color="auto" w:fill="D9E2F3"/>
            <w:vAlign w:val="center"/>
          </w:tcPr>
          <w:p w14:paraId="16926D80" w14:textId="77777777" w:rsidR="00990B14" w:rsidRDefault="00000000">
            <w:pPr>
              <w:spacing w:before="20" w:after="20"/>
              <w:jc w:val="center"/>
            </w:pPr>
            <w:r>
              <w:rPr>
                <w:sz w:val="18"/>
                <w:szCs w:val="18"/>
              </w:rPr>
              <w:t>Estructura jerárquica</w:t>
            </w:r>
          </w:p>
        </w:tc>
        <w:tc>
          <w:tcPr>
            <w:tcW w:w="1867" w:type="dxa"/>
            <w:shd w:val="clear" w:color="auto" w:fill="D9E2F3"/>
            <w:vAlign w:val="center"/>
          </w:tcPr>
          <w:p w14:paraId="0A7F8C36" w14:textId="77777777" w:rsidR="00990B14" w:rsidRDefault="00000000">
            <w:pPr>
              <w:spacing w:before="20" w:after="20"/>
              <w:jc w:val="both"/>
            </w:pPr>
            <w:r>
              <w:rPr>
                <w:sz w:val="18"/>
                <w:szCs w:val="18"/>
              </w:rPr>
              <w:t>Omite niveles jerárquicos.</w:t>
            </w:r>
          </w:p>
        </w:tc>
        <w:tc>
          <w:tcPr>
            <w:tcW w:w="1867" w:type="dxa"/>
            <w:shd w:val="clear" w:color="auto" w:fill="D9E2F3"/>
            <w:vAlign w:val="center"/>
          </w:tcPr>
          <w:p w14:paraId="5A32BCBF" w14:textId="77777777" w:rsidR="00990B14" w:rsidRDefault="00000000">
            <w:pPr>
              <w:spacing w:before="20" w:after="20"/>
              <w:jc w:val="both"/>
            </w:pPr>
            <w:r>
              <w:rPr>
                <w:sz w:val="18"/>
                <w:szCs w:val="18"/>
              </w:rPr>
              <w:t>Representa correctamente los niveles jerárquicos.</w:t>
            </w:r>
          </w:p>
        </w:tc>
        <w:tc>
          <w:tcPr>
            <w:tcW w:w="1911" w:type="dxa"/>
            <w:shd w:val="clear" w:color="auto" w:fill="D9E2F3"/>
            <w:vAlign w:val="center"/>
          </w:tcPr>
          <w:p w14:paraId="677FD003" w14:textId="77777777" w:rsidR="00990B14" w:rsidRDefault="00000000">
            <w:pPr>
              <w:spacing w:before="20" w:after="20"/>
              <w:jc w:val="both"/>
            </w:pPr>
            <w:r>
              <w:rPr>
                <w:sz w:val="18"/>
                <w:szCs w:val="18"/>
              </w:rPr>
              <w:t>Representa todos los niveles y áreas con denominaciones precisas.</w:t>
            </w:r>
          </w:p>
        </w:tc>
      </w:tr>
      <w:tr w:rsidR="00990B14" w14:paraId="651F45D4" w14:textId="77777777">
        <w:trPr>
          <w:cantSplit/>
          <w:jc w:val="center"/>
        </w:trPr>
        <w:tc>
          <w:tcPr>
            <w:tcW w:w="1850" w:type="dxa"/>
            <w:vMerge/>
            <w:shd w:val="clear" w:color="auto" w:fill="4472C4"/>
            <w:vAlign w:val="center"/>
          </w:tcPr>
          <w:p w14:paraId="3DA3C9AB" w14:textId="77777777" w:rsidR="00990B14" w:rsidRDefault="00990B14">
            <w:pPr>
              <w:spacing w:before="20" w:after="20"/>
            </w:pPr>
          </w:p>
        </w:tc>
        <w:tc>
          <w:tcPr>
            <w:tcW w:w="1910" w:type="dxa"/>
            <w:shd w:val="clear" w:color="auto" w:fill="D9E2F3"/>
            <w:vAlign w:val="center"/>
          </w:tcPr>
          <w:p w14:paraId="4F7C82EE" w14:textId="77777777" w:rsidR="00990B14" w:rsidRDefault="00000000">
            <w:pPr>
              <w:spacing w:before="20" w:after="20"/>
              <w:jc w:val="center"/>
            </w:pPr>
            <w:r>
              <w:rPr>
                <w:sz w:val="18"/>
                <w:szCs w:val="18"/>
              </w:rPr>
              <w:t>Funciones</w:t>
            </w:r>
          </w:p>
        </w:tc>
        <w:tc>
          <w:tcPr>
            <w:tcW w:w="1867" w:type="dxa"/>
            <w:shd w:val="clear" w:color="auto" w:fill="D9E2F3"/>
            <w:vAlign w:val="center"/>
          </w:tcPr>
          <w:p w14:paraId="76B7CE2F" w14:textId="77777777" w:rsidR="00990B14" w:rsidRDefault="00000000">
            <w:pPr>
              <w:spacing w:before="20" w:after="20"/>
              <w:jc w:val="both"/>
            </w:pPr>
            <w:r>
              <w:rPr>
                <w:sz w:val="18"/>
                <w:szCs w:val="18"/>
              </w:rPr>
              <w:t>No describe las funciones de las unidades o cargos.</w:t>
            </w:r>
          </w:p>
        </w:tc>
        <w:tc>
          <w:tcPr>
            <w:tcW w:w="1867" w:type="dxa"/>
            <w:shd w:val="clear" w:color="auto" w:fill="D9E2F3"/>
            <w:vAlign w:val="center"/>
          </w:tcPr>
          <w:p w14:paraId="046DC63B" w14:textId="77777777" w:rsidR="00990B14" w:rsidRDefault="00000000">
            <w:pPr>
              <w:spacing w:before="20" w:after="20"/>
              <w:jc w:val="both"/>
            </w:pPr>
            <w:r>
              <w:rPr>
                <w:sz w:val="18"/>
                <w:szCs w:val="18"/>
              </w:rPr>
              <w:t>Describe las funciones principales de cada unidad o cargo.</w:t>
            </w:r>
          </w:p>
        </w:tc>
        <w:tc>
          <w:tcPr>
            <w:tcW w:w="1911" w:type="dxa"/>
            <w:shd w:val="clear" w:color="auto" w:fill="D9E2F3"/>
            <w:vAlign w:val="center"/>
          </w:tcPr>
          <w:p w14:paraId="025A814E" w14:textId="77777777" w:rsidR="00990B14" w:rsidRDefault="00000000">
            <w:pPr>
              <w:spacing w:before="20" w:after="20"/>
              <w:jc w:val="both"/>
            </w:pPr>
            <w:r>
              <w:rPr>
                <w:sz w:val="18"/>
                <w:szCs w:val="18"/>
              </w:rPr>
              <w:t>Describe las funciones de cada unidad y su articulación con los demás cargos.</w:t>
            </w:r>
          </w:p>
        </w:tc>
      </w:tr>
      <w:tr w:rsidR="00990B14" w14:paraId="09363D65" w14:textId="77777777">
        <w:trPr>
          <w:cantSplit/>
          <w:jc w:val="center"/>
        </w:trPr>
        <w:tc>
          <w:tcPr>
            <w:tcW w:w="1850" w:type="dxa"/>
            <w:vMerge/>
            <w:shd w:val="clear" w:color="auto" w:fill="4472C4"/>
            <w:vAlign w:val="center"/>
          </w:tcPr>
          <w:p w14:paraId="7BC6D492" w14:textId="77777777" w:rsidR="00990B14" w:rsidRDefault="00990B14">
            <w:pPr>
              <w:spacing w:before="20" w:after="20"/>
            </w:pPr>
          </w:p>
        </w:tc>
        <w:tc>
          <w:tcPr>
            <w:tcW w:w="1910" w:type="dxa"/>
            <w:shd w:val="clear" w:color="auto" w:fill="D9E2F3"/>
            <w:vAlign w:val="center"/>
          </w:tcPr>
          <w:p w14:paraId="15D5CDDE" w14:textId="77777777" w:rsidR="00990B14" w:rsidRDefault="00000000">
            <w:pPr>
              <w:spacing w:before="20" w:after="20"/>
              <w:jc w:val="center"/>
            </w:pPr>
            <w:r>
              <w:rPr>
                <w:sz w:val="18"/>
                <w:szCs w:val="18"/>
              </w:rPr>
              <w:t>Exposición</w:t>
            </w:r>
          </w:p>
        </w:tc>
        <w:tc>
          <w:tcPr>
            <w:tcW w:w="1867" w:type="dxa"/>
            <w:shd w:val="clear" w:color="auto" w:fill="D9E2F3"/>
            <w:vAlign w:val="center"/>
          </w:tcPr>
          <w:p w14:paraId="4647759F" w14:textId="77777777" w:rsidR="00990B14" w:rsidRDefault="00000000">
            <w:pPr>
              <w:spacing w:before="20" w:after="20"/>
              <w:jc w:val="both"/>
            </w:pPr>
            <w:r>
              <w:rPr>
                <w:sz w:val="18"/>
                <w:szCs w:val="18"/>
              </w:rPr>
              <w:t>La exposición es confusa.</w:t>
            </w:r>
          </w:p>
        </w:tc>
        <w:tc>
          <w:tcPr>
            <w:tcW w:w="1867" w:type="dxa"/>
            <w:shd w:val="clear" w:color="auto" w:fill="D9E2F3"/>
            <w:vAlign w:val="center"/>
          </w:tcPr>
          <w:p w14:paraId="3E78228A" w14:textId="77777777" w:rsidR="00990B14" w:rsidRDefault="00000000">
            <w:pPr>
              <w:spacing w:before="20" w:after="20"/>
              <w:jc w:val="both"/>
            </w:pPr>
            <w:r>
              <w:rPr>
                <w:sz w:val="18"/>
                <w:szCs w:val="18"/>
              </w:rPr>
              <w:t>La exposición es clara.</w:t>
            </w:r>
          </w:p>
        </w:tc>
        <w:tc>
          <w:tcPr>
            <w:tcW w:w="1911" w:type="dxa"/>
            <w:shd w:val="clear" w:color="auto" w:fill="D9E2F3"/>
            <w:vAlign w:val="center"/>
          </w:tcPr>
          <w:p w14:paraId="21D1D071" w14:textId="77777777" w:rsidR="00990B14" w:rsidRDefault="00000000">
            <w:pPr>
              <w:spacing w:before="20" w:after="20"/>
              <w:jc w:val="both"/>
            </w:pPr>
            <w:r>
              <w:rPr>
                <w:sz w:val="18"/>
                <w:szCs w:val="18"/>
              </w:rPr>
              <w:t>La exposición es comprensible, ordenada y completa.</w:t>
            </w:r>
          </w:p>
        </w:tc>
      </w:tr>
      <w:tr w:rsidR="00990B14" w14:paraId="7161E7E1" w14:textId="77777777">
        <w:trPr>
          <w:cantSplit/>
          <w:jc w:val="center"/>
        </w:trPr>
        <w:tc>
          <w:tcPr>
            <w:tcW w:w="1850" w:type="dxa"/>
            <w:vMerge/>
            <w:shd w:val="clear" w:color="auto" w:fill="4472C4"/>
            <w:vAlign w:val="center"/>
          </w:tcPr>
          <w:p w14:paraId="00DE03F7" w14:textId="77777777" w:rsidR="00990B14" w:rsidRDefault="00990B14">
            <w:pPr>
              <w:spacing w:before="20" w:after="20"/>
            </w:pPr>
          </w:p>
        </w:tc>
        <w:tc>
          <w:tcPr>
            <w:tcW w:w="5644" w:type="dxa"/>
            <w:gridSpan w:val="3"/>
            <w:shd w:val="clear" w:color="auto" w:fill="D9E2F3"/>
            <w:vAlign w:val="center"/>
          </w:tcPr>
          <w:p w14:paraId="604ADE04" w14:textId="77777777" w:rsidR="00990B14" w:rsidRDefault="00000000">
            <w:pPr>
              <w:keepNext/>
              <w:spacing w:before="20" w:after="20"/>
              <w:jc w:val="both"/>
            </w:pPr>
            <w:r>
              <w:rPr>
                <w:b/>
                <w:bCs/>
                <w:i/>
                <w:iCs/>
                <w:sz w:val="18"/>
                <w:szCs w:val="18"/>
              </w:rPr>
              <w:t xml:space="preserve">Producto 5: </w:t>
            </w:r>
            <w:r>
              <w:rPr>
                <w:sz w:val="18"/>
                <w:szCs w:val="18"/>
              </w:rPr>
              <w:t>Contrato individual de trabajo</w:t>
            </w:r>
          </w:p>
        </w:tc>
        <w:tc>
          <w:tcPr>
            <w:tcW w:w="1911" w:type="dxa"/>
            <w:shd w:val="clear" w:color="auto" w:fill="D9E2F3"/>
            <w:vAlign w:val="center"/>
          </w:tcPr>
          <w:p w14:paraId="33341DA4" w14:textId="77777777" w:rsidR="00990B14" w:rsidRDefault="00000000">
            <w:pPr>
              <w:spacing w:before="20" w:after="20"/>
              <w:jc w:val="center"/>
            </w:pPr>
            <w:r>
              <w:rPr>
                <w:b/>
                <w:bCs/>
                <w:sz w:val="18"/>
                <w:szCs w:val="18"/>
              </w:rPr>
              <w:t>5%</w:t>
            </w:r>
          </w:p>
        </w:tc>
      </w:tr>
      <w:tr w:rsidR="00990B14" w14:paraId="5A786ABB" w14:textId="77777777">
        <w:trPr>
          <w:cantSplit/>
          <w:jc w:val="center"/>
        </w:trPr>
        <w:tc>
          <w:tcPr>
            <w:tcW w:w="1850" w:type="dxa"/>
            <w:vMerge/>
            <w:shd w:val="clear" w:color="auto" w:fill="4472C4"/>
            <w:vAlign w:val="center"/>
          </w:tcPr>
          <w:p w14:paraId="540991A2" w14:textId="77777777" w:rsidR="00990B14" w:rsidRDefault="00990B14">
            <w:pPr>
              <w:spacing w:before="20" w:after="20"/>
            </w:pPr>
          </w:p>
        </w:tc>
        <w:tc>
          <w:tcPr>
            <w:tcW w:w="1910" w:type="dxa"/>
            <w:shd w:val="clear" w:color="auto" w:fill="4472C4"/>
            <w:vAlign w:val="center"/>
          </w:tcPr>
          <w:p w14:paraId="0E24C71A" w14:textId="77777777" w:rsidR="00990B14" w:rsidRDefault="00000000">
            <w:pPr>
              <w:keepNext/>
              <w:spacing w:before="20" w:after="20"/>
              <w:jc w:val="center"/>
            </w:pPr>
            <w:r>
              <w:rPr>
                <w:b/>
                <w:bCs/>
                <w:i/>
                <w:iCs/>
                <w:color w:val="FFFFFF"/>
                <w:sz w:val="18"/>
                <w:szCs w:val="18"/>
              </w:rPr>
              <w:t>Criterio</w:t>
            </w:r>
          </w:p>
        </w:tc>
        <w:tc>
          <w:tcPr>
            <w:tcW w:w="1867" w:type="dxa"/>
            <w:shd w:val="clear" w:color="auto" w:fill="4472C4"/>
            <w:vAlign w:val="center"/>
          </w:tcPr>
          <w:p w14:paraId="33F6DC5B" w14:textId="77777777" w:rsidR="00990B14" w:rsidRDefault="00000000">
            <w:pPr>
              <w:keepNext/>
              <w:spacing w:before="20" w:after="20"/>
              <w:jc w:val="center"/>
            </w:pPr>
            <w:r>
              <w:rPr>
                <w:b/>
                <w:bCs/>
                <w:i/>
                <w:iCs/>
                <w:color w:val="FFFFFF"/>
                <w:sz w:val="18"/>
                <w:szCs w:val="18"/>
              </w:rPr>
              <w:t>Insuficiente (1–50)</w:t>
            </w:r>
          </w:p>
        </w:tc>
        <w:tc>
          <w:tcPr>
            <w:tcW w:w="1867" w:type="dxa"/>
            <w:shd w:val="clear" w:color="auto" w:fill="4472C4"/>
            <w:vAlign w:val="center"/>
          </w:tcPr>
          <w:p w14:paraId="20705378" w14:textId="77777777" w:rsidR="00990B14" w:rsidRDefault="00000000">
            <w:pPr>
              <w:keepNext/>
              <w:spacing w:before="20" w:after="20"/>
              <w:jc w:val="center"/>
            </w:pPr>
            <w:r>
              <w:rPr>
                <w:b/>
                <w:bCs/>
                <w:i/>
                <w:iCs/>
                <w:color w:val="FFFFFF"/>
                <w:sz w:val="18"/>
                <w:szCs w:val="18"/>
              </w:rPr>
              <w:t>Suficiente (51–80)</w:t>
            </w:r>
          </w:p>
        </w:tc>
        <w:tc>
          <w:tcPr>
            <w:tcW w:w="1911" w:type="dxa"/>
            <w:shd w:val="clear" w:color="auto" w:fill="4472C4"/>
            <w:vAlign w:val="center"/>
          </w:tcPr>
          <w:p w14:paraId="103EF638" w14:textId="77777777" w:rsidR="00990B14" w:rsidRDefault="00000000">
            <w:pPr>
              <w:keepNext/>
              <w:spacing w:before="20" w:after="20"/>
              <w:jc w:val="center"/>
            </w:pPr>
            <w:r>
              <w:rPr>
                <w:b/>
                <w:bCs/>
                <w:i/>
                <w:iCs/>
                <w:color w:val="FFFFFF"/>
                <w:sz w:val="18"/>
                <w:szCs w:val="18"/>
              </w:rPr>
              <w:t>Destacado (81–100)</w:t>
            </w:r>
          </w:p>
        </w:tc>
      </w:tr>
      <w:tr w:rsidR="00990B14" w14:paraId="476C130B" w14:textId="77777777">
        <w:trPr>
          <w:cantSplit/>
          <w:jc w:val="center"/>
        </w:trPr>
        <w:tc>
          <w:tcPr>
            <w:tcW w:w="1850" w:type="dxa"/>
            <w:vMerge/>
            <w:shd w:val="clear" w:color="auto" w:fill="4472C4"/>
            <w:vAlign w:val="center"/>
          </w:tcPr>
          <w:p w14:paraId="58A35E1A" w14:textId="77777777" w:rsidR="00990B14" w:rsidRDefault="00990B14">
            <w:pPr>
              <w:spacing w:before="20" w:after="20"/>
            </w:pPr>
          </w:p>
        </w:tc>
        <w:tc>
          <w:tcPr>
            <w:tcW w:w="1910" w:type="dxa"/>
            <w:shd w:val="clear" w:color="auto" w:fill="D9E2F3"/>
            <w:vAlign w:val="center"/>
          </w:tcPr>
          <w:p w14:paraId="0E5DE0F1" w14:textId="77777777" w:rsidR="00990B14" w:rsidRDefault="00000000">
            <w:pPr>
              <w:spacing w:before="20" w:after="20"/>
              <w:jc w:val="center"/>
            </w:pPr>
            <w:r>
              <w:rPr>
                <w:sz w:val="18"/>
                <w:szCs w:val="18"/>
              </w:rPr>
              <w:t>Requisitos esenciales</w:t>
            </w:r>
          </w:p>
        </w:tc>
        <w:tc>
          <w:tcPr>
            <w:tcW w:w="1867" w:type="dxa"/>
            <w:shd w:val="clear" w:color="auto" w:fill="D9E2F3"/>
            <w:vAlign w:val="center"/>
          </w:tcPr>
          <w:p w14:paraId="428B3AB1" w14:textId="77777777" w:rsidR="00990B14" w:rsidRDefault="00000000">
            <w:pPr>
              <w:spacing w:before="20" w:after="20"/>
              <w:jc w:val="both"/>
            </w:pPr>
            <w:r>
              <w:rPr>
                <w:sz w:val="18"/>
                <w:szCs w:val="18"/>
              </w:rPr>
              <w:t>Omite requisitos esenciales.</w:t>
            </w:r>
          </w:p>
        </w:tc>
        <w:tc>
          <w:tcPr>
            <w:tcW w:w="1867" w:type="dxa"/>
            <w:shd w:val="clear" w:color="auto" w:fill="D9E2F3"/>
            <w:vAlign w:val="center"/>
          </w:tcPr>
          <w:p w14:paraId="72577A87" w14:textId="77777777" w:rsidR="00990B14" w:rsidRDefault="00000000">
            <w:pPr>
              <w:spacing w:before="20" w:after="20"/>
              <w:jc w:val="both"/>
            </w:pPr>
            <w:r>
              <w:rPr>
                <w:sz w:val="18"/>
                <w:szCs w:val="18"/>
              </w:rPr>
              <w:t>Incluye todos los requisitos esenciales.</w:t>
            </w:r>
          </w:p>
        </w:tc>
        <w:tc>
          <w:tcPr>
            <w:tcW w:w="1911" w:type="dxa"/>
            <w:shd w:val="clear" w:color="auto" w:fill="D9E2F3"/>
            <w:vAlign w:val="center"/>
          </w:tcPr>
          <w:p w14:paraId="21049245" w14:textId="77777777" w:rsidR="00990B14" w:rsidRDefault="00000000">
            <w:pPr>
              <w:spacing w:before="20" w:after="20"/>
              <w:jc w:val="both"/>
            </w:pPr>
            <w:r>
              <w:rPr>
                <w:sz w:val="18"/>
                <w:szCs w:val="18"/>
              </w:rPr>
              <w:t>Incorpora cláusulas de confidencialidad pertinentes.</w:t>
            </w:r>
          </w:p>
        </w:tc>
      </w:tr>
      <w:tr w:rsidR="00990B14" w14:paraId="48A9F6BB" w14:textId="77777777">
        <w:trPr>
          <w:cantSplit/>
          <w:jc w:val="center"/>
        </w:trPr>
        <w:tc>
          <w:tcPr>
            <w:tcW w:w="1850" w:type="dxa"/>
            <w:vMerge/>
            <w:shd w:val="clear" w:color="auto" w:fill="4472C4"/>
            <w:vAlign w:val="center"/>
          </w:tcPr>
          <w:p w14:paraId="18236CC2" w14:textId="77777777" w:rsidR="00990B14" w:rsidRDefault="00990B14">
            <w:pPr>
              <w:spacing w:before="20" w:after="20"/>
            </w:pPr>
          </w:p>
        </w:tc>
        <w:tc>
          <w:tcPr>
            <w:tcW w:w="1910" w:type="dxa"/>
            <w:shd w:val="clear" w:color="auto" w:fill="D9E2F3"/>
            <w:vAlign w:val="center"/>
          </w:tcPr>
          <w:p w14:paraId="22100733" w14:textId="77777777" w:rsidR="00990B14" w:rsidRDefault="00000000">
            <w:pPr>
              <w:spacing w:before="20" w:after="20"/>
              <w:jc w:val="center"/>
            </w:pPr>
            <w:r>
              <w:rPr>
                <w:sz w:val="18"/>
                <w:szCs w:val="18"/>
              </w:rPr>
              <w:t>Legalidad</w:t>
            </w:r>
          </w:p>
        </w:tc>
        <w:tc>
          <w:tcPr>
            <w:tcW w:w="1867" w:type="dxa"/>
            <w:shd w:val="clear" w:color="auto" w:fill="D9E2F3"/>
            <w:vAlign w:val="center"/>
          </w:tcPr>
          <w:p w14:paraId="5BF0F642" w14:textId="77777777" w:rsidR="00990B14" w:rsidRDefault="00000000">
            <w:pPr>
              <w:spacing w:before="20" w:after="20"/>
              <w:jc w:val="both"/>
            </w:pPr>
            <w:r>
              <w:rPr>
                <w:sz w:val="18"/>
                <w:szCs w:val="18"/>
              </w:rPr>
              <w:t>Contiene cláusulas contrarias a la ley.</w:t>
            </w:r>
          </w:p>
        </w:tc>
        <w:tc>
          <w:tcPr>
            <w:tcW w:w="1867" w:type="dxa"/>
            <w:shd w:val="clear" w:color="auto" w:fill="D9E2F3"/>
            <w:vAlign w:val="center"/>
          </w:tcPr>
          <w:p w14:paraId="46242DCC" w14:textId="77777777" w:rsidR="00990B14" w:rsidRDefault="00000000">
            <w:pPr>
              <w:spacing w:before="20" w:after="20"/>
              <w:jc w:val="both"/>
            </w:pPr>
            <w:r>
              <w:rPr>
                <w:sz w:val="18"/>
                <w:szCs w:val="18"/>
              </w:rPr>
              <w:t>Las cláusulas respetan la ley.</w:t>
            </w:r>
          </w:p>
        </w:tc>
        <w:tc>
          <w:tcPr>
            <w:tcW w:w="1911" w:type="dxa"/>
            <w:shd w:val="clear" w:color="auto" w:fill="D9E2F3"/>
            <w:vAlign w:val="center"/>
          </w:tcPr>
          <w:p w14:paraId="74FDD38E" w14:textId="77777777" w:rsidR="00990B14" w:rsidRDefault="00000000">
            <w:pPr>
              <w:spacing w:before="20" w:after="20"/>
              <w:jc w:val="both"/>
            </w:pPr>
            <w:r>
              <w:rPr>
                <w:sz w:val="18"/>
                <w:szCs w:val="18"/>
              </w:rPr>
              <w:t>Las cláusulas aplican los principios del derecho laboral.</w:t>
            </w:r>
          </w:p>
        </w:tc>
      </w:tr>
      <w:tr w:rsidR="00990B14" w14:paraId="1C5F4D41" w14:textId="77777777">
        <w:trPr>
          <w:cantSplit/>
          <w:jc w:val="center"/>
        </w:trPr>
        <w:tc>
          <w:tcPr>
            <w:tcW w:w="1850" w:type="dxa"/>
            <w:vMerge/>
            <w:shd w:val="clear" w:color="auto" w:fill="4472C4"/>
            <w:vAlign w:val="center"/>
          </w:tcPr>
          <w:p w14:paraId="3B6B3F6C" w14:textId="77777777" w:rsidR="00990B14" w:rsidRDefault="00990B14">
            <w:pPr>
              <w:spacing w:before="20" w:after="20"/>
            </w:pPr>
          </w:p>
        </w:tc>
        <w:tc>
          <w:tcPr>
            <w:tcW w:w="1910" w:type="dxa"/>
            <w:shd w:val="clear" w:color="auto" w:fill="D9E2F3"/>
            <w:vAlign w:val="center"/>
          </w:tcPr>
          <w:p w14:paraId="1C6CE3C2" w14:textId="77777777" w:rsidR="00990B14" w:rsidRDefault="00000000">
            <w:pPr>
              <w:spacing w:before="20" w:after="20"/>
              <w:jc w:val="center"/>
            </w:pPr>
            <w:r>
              <w:rPr>
                <w:sz w:val="18"/>
                <w:szCs w:val="18"/>
              </w:rPr>
              <w:t>Redacción</w:t>
            </w:r>
          </w:p>
        </w:tc>
        <w:tc>
          <w:tcPr>
            <w:tcW w:w="1867" w:type="dxa"/>
            <w:shd w:val="clear" w:color="auto" w:fill="D9E2F3"/>
            <w:vAlign w:val="center"/>
          </w:tcPr>
          <w:p w14:paraId="186A54EF" w14:textId="77777777" w:rsidR="00990B14" w:rsidRDefault="00000000">
            <w:pPr>
              <w:spacing w:before="20" w:after="20"/>
              <w:jc w:val="both"/>
            </w:pPr>
            <w:r>
              <w:rPr>
                <w:sz w:val="18"/>
                <w:szCs w:val="18"/>
              </w:rPr>
              <w:t>La redacción es ambigua.</w:t>
            </w:r>
          </w:p>
        </w:tc>
        <w:tc>
          <w:tcPr>
            <w:tcW w:w="1867" w:type="dxa"/>
            <w:shd w:val="clear" w:color="auto" w:fill="D9E2F3"/>
            <w:vAlign w:val="center"/>
          </w:tcPr>
          <w:p w14:paraId="424904EE" w14:textId="77777777" w:rsidR="00990B14" w:rsidRDefault="00000000">
            <w:pPr>
              <w:spacing w:before="20" w:after="20"/>
              <w:jc w:val="both"/>
            </w:pPr>
            <w:r>
              <w:rPr>
                <w:sz w:val="18"/>
                <w:szCs w:val="18"/>
              </w:rPr>
              <w:t>La redacción es clara.</w:t>
            </w:r>
          </w:p>
        </w:tc>
        <w:tc>
          <w:tcPr>
            <w:tcW w:w="1911" w:type="dxa"/>
            <w:shd w:val="clear" w:color="auto" w:fill="D9E2F3"/>
            <w:vAlign w:val="center"/>
          </w:tcPr>
          <w:p w14:paraId="064EE978" w14:textId="77777777" w:rsidR="00990B14" w:rsidRDefault="00000000">
            <w:pPr>
              <w:spacing w:before="20" w:after="20"/>
              <w:jc w:val="both"/>
            </w:pPr>
            <w:r>
              <w:rPr>
                <w:sz w:val="18"/>
                <w:szCs w:val="18"/>
              </w:rPr>
              <w:t>La redacción es precisa y ordenada.</w:t>
            </w:r>
          </w:p>
        </w:tc>
      </w:tr>
      <w:tr w:rsidR="00990B14" w14:paraId="050EA0D2" w14:textId="77777777">
        <w:trPr>
          <w:cantSplit/>
          <w:jc w:val="center"/>
        </w:trPr>
        <w:tc>
          <w:tcPr>
            <w:tcW w:w="1850" w:type="dxa"/>
            <w:vMerge/>
            <w:shd w:val="clear" w:color="auto" w:fill="4472C4"/>
            <w:vAlign w:val="center"/>
          </w:tcPr>
          <w:p w14:paraId="0F2373FC" w14:textId="77777777" w:rsidR="00990B14" w:rsidRDefault="00990B14">
            <w:pPr>
              <w:spacing w:before="20" w:after="20"/>
            </w:pPr>
          </w:p>
        </w:tc>
        <w:tc>
          <w:tcPr>
            <w:tcW w:w="5644" w:type="dxa"/>
            <w:gridSpan w:val="3"/>
            <w:shd w:val="clear" w:color="auto" w:fill="D9E2F3"/>
            <w:vAlign w:val="center"/>
          </w:tcPr>
          <w:p w14:paraId="5E2534F4" w14:textId="77777777" w:rsidR="00990B14" w:rsidRDefault="00000000">
            <w:pPr>
              <w:keepNext/>
              <w:spacing w:before="20" w:after="20"/>
              <w:jc w:val="both"/>
            </w:pPr>
            <w:r>
              <w:rPr>
                <w:b/>
                <w:bCs/>
                <w:i/>
                <w:iCs/>
                <w:sz w:val="18"/>
                <w:szCs w:val="18"/>
              </w:rPr>
              <w:t xml:space="preserve">Producto 6: </w:t>
            </w:r>
            <w:r>
              <w:rPr>
                <w:sz w:val="18"/>
                <w:szCs w:val="18"/>
              </w:rPr>
              <w:t>Cuadro de obligaciones y derechos</w:t>
            </w:r>
          </w:p>
        </w:tc>
        <w:tc>
          <w:tcPr>
            <w:tcW w:w="1911" w:type="dxa"/>
            <w:shd w:val="clear" w:color="auto" w:fill="D9E2F3"/>
            <w:vAlign w:val="center"/>
          </w:tcPr>
          <w:p w14:paraId="546D6D80" w14:textId="77777777" w:rsidR="00990B14" w:rsidRDefault="00000000">
            <w:pPr>
              <w:spacing w:before="20" w:after="20"/>
              <w:jc w:val="center"/>
            </w:pPr>
            <w:r>
              <w:rPr>
                <w:b/>
                <w:bCs/>
                <w:sz w:val="18"/>
                <w:szCs w:val="18"/>
              </w:rPr>
              <w:t>5%</w:t>
            </w:r>
          </w:p>
        </w:tc>
      </w:tr>
      <w:tr w:rsidR="00990B14" w14:paraId="55F938BC" w14:textId="77777777">
        <w:trPr>
          <w:cantSplit/>
          <w:jc w:val="center"/>
        </w:trPr>
        <w:tc>
          <w:tcPr>
            <w:tcW w:w="1850" w:type="dxa"/>
            <w:vMerge/>
            <w:shd w:val="clear" w:color="auto" w:fill="4472C4"/>
            <w:vAlign w:val="center"/>
          </w:tcPr>
          <w:p w14:paraId="1D3C392F" w14:textId="77777777" w:rsidR="00990B14" w:rsidRDefault="00990B14">
            <w:pPr>
              <w:spacing w:before="20" w:after="20"/>
            </w:pPr>
          </w:p>
        </w:tc>
        <w:tc>
          <w:tcPr>
            <w:tcW w:w="1910" w:type="dxa"/>
            <w:shd w:val="clear" w:color="auto" w:fill="4472C4"/>
            <w:vAlign w:val="center"/>
          </w:tcPr>
          <w:p w14:paraId="2A6A8FF3" w14:textId="77777777" w:rsidR="00990B14" w:rsidRDefault="00000000">
            <w:pPr>
              <w:keepNext/>
              <w:spacing w:before="20" w:after="20"/>
              <w:jc w:val="center"/>
            </w:pPr>
            <w:r>
              <w:rPr>
                <w:b/>
                <w:bCs/>
                <w:i/>
                <w:iCs/>
                <w:color w:val="FFFFFF"/>
                <w:sz w:val="18"/>
                <w:szCs w:val="18"/>
              </w:rPr>
              <w:t>Criterio</w:t>
            </w:r>
          </w:p>
        </w:tc>
        <w:tc>
          <w:tcPr>
            <w:tcW w:w="1867" w:type="dxa"/>
            <w:shd w:val="clear" w:color="auto" w:fill="4472C4"/>
            <w:vAlign w:val="center"/>
          </w:tcPr>
          <w:p w14:paraId="552128E1" w14:textId="77777777" w:rsidR="00990B14" w:rsidRDefault="00000000">
            <w:pPr>
              <w:keepNext/>
              <w:spacing w:before="20" w:after="20"/>
              <w:jc w:val="center"/>
            </w:pPr>
            <w:r>
              <w:rPr>
                <w:b/>
                <w:bCs/>
                <w:i/>
                <w:iCs/>
                <w:color w:val="FFFFFF"/>
                <w:sz w:val="18"/>
                <w:szCs w:val="18"/>
              </w:rPr>
              <w:t>Insuficiente (1–50)</w:t>
            </w:r>
          </w:p>
        </w:tc>
        <w:tc>
          <w:tcPr>
            <w:tcW w:w="1867" w:type="dxa"/>
            <w:shd w:val="clear" w:color="auto" w:fill="4472C4"/>
            <w:vAlign w:val="center"/>
          </w:tcPr>
          <w:p w14:paraId="742A2424" w14:textId="77777777" w:rsidR="00990B14" w:rsidRDefault="00000000">
            <w:pPr>
              <w:keepNext/>
              <w:spacing w:before="20" w:after="20"/>
              <w:jc w:val="center"/>
            </w:pPr>
            <w:r>
              <w:rPr>
                <w:b/>
                <w:bCs/>
                <w:i/>
                <w:iCs/>
                <w:color w:val="FFFFFF"/>
                <w:sz w:val="18"/>
                <w:szCs w:val="18"/>
              </w:rPr>
              <w:t>Suficiente (51–80)</w:t>
            </w:r>
          </w:p>
        </w:tc>
        <w:tc>
          <w:tcPr>
            <w:tcW w:w="1911" w:type="dxa"/>
            <w:shd w:val="clear" w:color="auto" w:fill="4472C4"/>
            <w:vAlign w:val="center"/>
          </w:tcPr>
          <w:p w14:paraId="0FB96235" w14:textId="77777777" w:rsidR="00990B14" w:rsidRDefault="00000000">
            <w:pPr>
              <w:keepNext/>
              <w:spacing w:before="20" w:after="20"/>
              <w:jc w:val="center"/>
            </w:pPr>
            <w:r>
              <w:rPr>
                <w:b/>
                <w:bCs/>
                <w:i/>
                <w:iCs/>
                <w:color w:val="FFFFFF"/>
                <w:sz w:val="18"/>
                <w:szCs w:val="18"/>
              </w:rPr>
              <w:t>Destacado (81–100)</w:t>
            </w:r>
          </w:p>
        </w:tc>
      </w:tr>
      <w:tr w:rsidR="00990B14" w14:paraId="38CD0C27" w14:textId="77777777">
        <w:trPr>
          <w:cantSplit/>
          <w:jc w:val="center"/>
        </w:trPr>
        <w:tc>
          <w:tcPr>
            <w:tcW w:w="1850" w:type="dxa"/>
            <w:vMerge/>
            <w:shd w:val="clear" w:color="auto" w:fill="4472C4"/>
            <w:vAlign w:val="center"/>
          </w:tcPr>
          <w:p w14:paraId="550267F3" w14:textId="77777777" w:rsidR="00990B14" w:rsidRDefault="00990B14">
            <w:pPr>
              <w:spacing w:before="20" w:after="20"/>
            </w:pPr>
          </w:p>
        </w:tc>
        <w:tc>
          <w:tcPr>
            <w:tcW w:w="1910" w:type="dxa"/>
            <w:shd w:val="clear" w:color="auto" w:fill="D9E2F3"/>
            <w:vAlign w:val="center"/>
          </w:tcPr>
          <w:p w14:paraId="585AC572" w14:textId="77777777" w:rsidR="00990B14" w:rsidRDefault="00000000">
            <w:pPr>
              <w:spacing w:before="20" w:after="20"/>
              <w:jc w:val="center"/>
            </w:pPr>
            <w:r>
              <w:rPr>
                <w:sz w:val="18"/>
                <w:szCs w:val="18"/>
              </w:rPr>
              <w:t>Obligaciones</w:t>
            </w:r>
          </w:p>
        </w:tc>
        <w:tc>
          <w:tcPr>
            <w:tcW w:w="1867" w:type="dxa"/>
            <w:shd w:val="clear" w:color="auto" w:fill="D9E2F3"/>
            <w:vAlign w:val="center"/>
          </w:tcPr>
          <w:p w14:paraId="2D557D08" w14:textId="77777777" w:rsidR="00990B14" w:rsidRDefault="00000000">
            <w:pPr>
              <w:spacing w:before="20" w:after="20"/>
              <w:jc w:val="both"/>
            </w:pPr>
            <w:r>
              <w:rPr>
                <w:sz w:val="18"/>
                <w:szCs w:val="18"/>
              </w:rPr>
              <w:t>Omite obligaciones.</w:t>
            </w:r>
          </w:p>
        </w:tc>
        <w:tc>
          <w:tcPr>
            <w:tcW w:w="1867" w:type="dxa"/>
            <w:shd w:val="clear" w:color="auto" w:fill="D9E2F3"/>
            <w:vAlign w:val="center"/>
          </w:tcPr>
          <w:p w14:paraId="43AA74D9" w14:textId="77777777" w:rsidR="00990B14" w:rsidRDefault="00000000">
            <w:pPr>
              <w:spacing w:before="20" w:after="20"/>
              <w:jc w:val="both"/>
            </w:pPr>
            <w:r>
              <w:rPr>
                <w:sz w:val="18"/>
                <w:szCs w:val="18"/>
              </w:rPr>
              <w:t>Identifica las obligaciones de ambas partes.</w:t>
            </w:r>
          </w:p>
        </w:tc>
        <w:tc>
          <w:tcPr>
            <w:tcW w:w="1911" w:type="dxa"/>
            <w:shd w:val="clear" w:color="auto" w:fill="D9E2F3"/>
            <w:vAlign w:val="center"/>
          </w:tcPr>
          <w:p w14:paraId="7D51739B" w14:textId="77777777" w:rsidR="00990B14" w:rsidRDefault="00000000">
            <w:pPr>
              <w:spacing w:before="20" w:after="20"/>
              <w:jc w:val="both"/>
            </w:pPr>
            <w:r>
              <w:rPr>
                <w:sz w:val="18"/>
                <w:szCs w:val="18"/>
              </w:rPr>
              <w:t>Señala la consecuencia de su incumplimiento.</w:t>
            </w:r>
          </w:p>
        </w:tc>
      </w:tr>
      <w:tr w:rsidR="00990B14" w14:paraId="040A76E2" w14:textId="77777777">
        <w:trPr>
          <w:cantSplit/>
          <w:jc w:val="center"/>
        </w:trPr>
        <w:tc>
          <w:tcPr>
            <w:tcW w:w="1850" w:type="dxa"/>
            <w:vMerge/>
            <w:shd w:val="clear" w:color="auto" w:fill="4472C4"/>
            <w:vAlign w:val="center"/>
          </w:tcPr>
          <w:p w14:paraId="2D57FDF9" w14:textId="77777777" w:rsidR="00990B14" w:rsidRDefault="00990B14">
            <w:pPr>
              <w:spacing w:before="20" w:after="20"/>
            </w:pPr>
          </w:p>
        </w:tc>
        <w:tc>
          <w:tcPr>
            <w:tcW w:w="1910" w:type="dxa"/>
            <w:shd w:val="clear" w:color="auto" w:fill="D9E2F3"/>
            <w:vAlign w:val="center"/>
          </w:tcPr>
          <w:p w14:paraId="23B71014" w14:textId="77777777" w:rsidR="00990B14" w:rsidRDefault="00000000">
            <w:pPr>
              <w:spacing w:before="20" w:after="20"/>
              <w:jc w:val="center"/>
            </w:pPr>
            <w:r>
              <w:rPr>
                <w:sz w:val="18"/>
                <w:szCs w:val="18"/>
              </w:rPr>
              <w:t>Derechos</w:t>
            </w:r>
          </w:p>
        </w:tc>
        <w:tc>
          <w:tcPr>
            <w:tcW w:w="1867" w:type="dxa"/>
            <w:shd w:val="clear" w:color="auto" w:fill="D9E2F3"/>
            <w:vAlign w:val="center"/>
          </w:tcPr>
          <w:p w14:paraId="40F081D8" w14:textId="77777777" w:rsidR="00990B14" w:rsidRDefault="00000000">
            <w:pPr>
              <w:spacing w:before="20" w:after="20"/>
              <w:jc w:val="both"/>
            </w:pPr>
            <w:r>
              <w:rPr>
                <w:sz w:val="18"/>
                <w:szCs w:val="18"/>
              </w:rPr>
              <w:t>Omite derechos.</w:t>
            </w:r>
          </w:p>
        </w:tc>
        <w:tc>
          <w:tcPr>
            <w:tcW w:w="1867" w:type="dxa"/>
            <w:shd w:val="clear" w:color="auto" w:fill="D9E2F3"/>
            <w:vAlign w:val="center"/>
          </w:tcPr>
          <w:p w14:paraId="65B2063F" w14:textId="77777777" w:rsidR="00990B14" w:rsidRDefault="00000000">
            <w:pPr>
              <w:spacing w:before="20" w:after="20"/>
              <w:jc w:val="both"/>
            </w:pPr>
            <w:r>
              <w:rPr>
                <w:sz w:val="18"/>
                <w:szCs w:val="18"/>
              </w:rPr>
              <w:t>Identifica los derechos de ambas partes.</w:t>
            </w:r>
          </w:p>
        </w:tc>
        <w:tc>
          <w:tcPr>
            <w:tcW w:w="1911" w:type="dxa"/>
            <w:shd w:val="clear" w:color="auto" w:fill="D9E2F3"/>
            <w:vAlign w:val="center"/>
          </w:tcPr>
          <w:p w14:paraId="79A6835D" w14:textId="77777777" w:rsidR="00990B14" w:rsidRDefault="00000000">
            <w:pPr>
              <w:spacing w:before="20" w:after="20"/>
              <w:jc w:val="both"/>
            </w:pPr>
            <w:r>
              <w:rPr>
                <w:sz w:val="18"/>
                <w:szCs w:val="18"/>
              </w:rPr>
              <w:t>Relaciona cada derecho con su base legal.</w:t>
            </w:r>
          </w:p>
        </w:tc>
      </w:tr>
      <w:tr w:rsidR="00990B14" w14:paraId="7D8B65BE" w14:textId="77777777">
        <w:trPr>
          <w:cantSplit/>
          <w:jc w:val="center"/>
        </w:trPr>
        <w:tc>
          <w:tcPr>
            <w:tcW w:w="1850" w:type="dxa"/>
            <w:vMerge/>
            <w:shd w:val="clear" w:color="auto" w:fill="4472C4"/>
            <w:vAlign w:val="center"/>
          </w:tcPr>
          <w:p w14:paraId="207F6564" w14:textId="77777777" w:rsidR="00990B14" w:rsidRDefault="00990B14">
            <w:pPr>
              <w:spacing w:before="20" w:after="20"/>
            </w:pPr>
          </w:p>
        </w:tc>
        <w:tc>
          <w:tcPr>
            <w:tcW w:w="1910" w:type="dxa"/>
            <w:shd w:val="clear" w:color="auto" w:fill="D9E2F3"/>
            <w:vAlign w:val="center"/>
          </w:tcPr>
          <w:p w14:paraId="52616406" w14:textId="77777777" w:rsidR="00990B14" w:rsidRDefault="00000000">
            <w:pPr>
              <w:spacing w:before="20" w:after="20"/>
              <w:jc w:val="center"/>
            </w:pPr>
            <w:r>
              <w:rPr>
                <w:sz w:val="18"/>
                <w:szCs w:val="18"/>
              </w:rPr>
              <w:t>Presentación</w:t>
            </w:r>
          </w:p>
        </w:tc>
        <w:tc>
          <w:tcPr>
            <w:tcW w:w="1867" w:type="dxa"/>
            <w:shd w:val="clear" w:color="auto" w:fill="D9E2F3"/>
            <w:vAlign w:val="center"/>
          </w:tcPr>
          <w:p w14:paraId="7D472AF1" w14:textId="77777777" w:rsidR="00990B14" w:rsidRDefault="00000000">
            <w:pPr>
              <w:spacing w:before="20" w:after="20"/>
              <w:jc w:val="both"/>
            </w:pPr>
            <w:r>
              <w:rPr>
                <w:sz w:val="18"/>
                <w:szCs w:val="18"/>
              </w:rPr>
              <w:t>El cuadro es confuso o está incompleto.</w:t>
            </w:r>
          </w:p>
        </w:tc>
        <w:tc>
          <w:tcPr>
            <w:tcW w:w="1867" w:type="dxa"/>
            <w:shd w:val="clear" w:color="auto" w:fill="D9E2F3"/>
            <w:vAlign w:val="center"/>
          </w:tcPr>
          <w:p w14:paraId="2E476DEA" w14:textId="77777777" w:rsidR="00990B14" w:rsidRDefault="00000000">
            <w:pPr>
              <w:spacing w:before="20" w:after="20"/>
              <w:jc w:val="both"/>
            </w:pPr>
            <w:r>
              <w:rPr>
                <w:sz w:val="18"/>
                <w:szCs w:val="18"/>
              </w:rPr>
              <w:t>El cuadro es claro y está completo.</w:t>
            </w:r>
          </w:p>
        </w:tc>
        <w:tc>
          <w:tcPr>
            <w:tcW w:w="1911" w:type="dxa"/>
            <w:shd w:val="clear" w:color="auto" w:fill="D9E2F3"/>
            <w:vAlign w:val="center"/>
          </w:tcPr>
          <w:p w14:paraId="05508859" w14:textId="77777777" w:rsidR="00990B14" w:rsidRDefault="00000000">
            <w:pPr>
              <w:spacing w:before="20" w:after="20"/>
              <w:jc w:val="both"/>
            </w:pPr>
            <w:r>
              <w:rPr>
                <w:sz w:val="18"/>
                <w:szCs w:val="18"/>
              </w:rPr>
              <w:t>El cuadro es ordenado, claro y fácil de consultar.</w:t>
            </w:r>
          </w:p>
        </w:tc>
      </w:tr>
      <w:tr w:rsidR="00990B14" w14:paraId="0675792E" w14:textId="77777777">
        <w:trPr>
          <w:cantSplit/>
          <w:jc w:val="center"/>
        </w:trPr>
        <w:tc>
          <w:tcPr>
            <w:tcW w:w="1850" w:type="dxa"/>
            <w:vMerge/>
            <w:shd w:val="clear" w:color="auto" w:fill="4472C4"/>
            <w:vAlign w:val="center"/>
          </w:tcPr>
          <w:p w14:paraId="67CB18B1" w14:textId="77777777" w:rsidR="00990B14" w:rsidRDefault="00990B14">
            <w:pPr>
              <w:spacing w:before="20" w:after="20"/>
            </w:pPr>
          </w:p>
        </w:tc>
        <w:tc>
          <w:tcPr>
            <w:tcW w:w="5644" w:type="dxa"/>
            <w:gridSpan w:val="3"/>
            <w:shd w:val="clear" w:color="auto" w:fill="D9E2F3"/>
            <w:vAlign w:val="center"/>
          </w:tcPr>
          <w:p w14:paraId="757F2314" w14:textId="77777777" w:rsidR="00990B14" w:rsidRDefault="00000000">
            <w:pPr>
              <w:keepNext/>
              <w:spacing w:before="20" w:after="20"/>
              <w:jc w:val="both"/>
            </w:pPr>
            <w:r>
              <w:rPr>
                <w:b/>
                <w:bCs/>
                <w:i/>
                <w:iCs/>
                <w:sz w:val="18"/>
                <w:szCs w:val="18"/>
              </w:rPr>
              <w:t xml:space="preserve">Producto 7: </w:t>
            </w:r>
            <w:r>
              <w:rPr>
                <w:sz w:val="18"/>
                <w:szCs w:val="18"/>
              </w:rPr>
              <w:t>Ficha de clasificación del contrato</w:t>
            </w:r>
          </w:p>
        </w:tc>
        <w:tc>
          <w:tcPr>
            <w:tcW w:w="1911" w:type="dxa"/>
            <w:shd w:val="clear" w:color="auto" w:fill="D9E2F3"/>
            <w:vAlign w:val="center"/>
          </w:tcPr>
          <w:p w14:paraId="29719BDF" w14:textId="77777777" w:rsidR="00990B14" w:rsidRDefault="00000000">
            <w:pPr>
              <w:spacing w:before="20" w:after="20"/>
              <w:jc w:val="center"/>
            </w:pPr>
            <w:r>
              <w:rPr>
                <w:b/>
                <w:bCs/>
                <w:sz w:val="18"/>
                <w:szCs w:val="18"/>
              </w:rPr>
              <w:t>5%</w:t>
            </w:r>
          </w:p>
        </w:tc>
      </w:tr>
      <w:tr w:rsidR="00990B14" w14:paraId="34D6618D" w14:textId="77777777">
        <w:trPr>
          <w:cantSplit/>
          <w:jc w:val="center"/>
        </w:trPr>
        <w:tc>
          <w:tcPr>
            <w:tcW w:w="1850" w:type="dxa"/>
            <w:vMerge/>
            <w:shd w:val="clear" w:color="auto" w:fill="4472C4"/>
            <w:vAlign w:val="center"/>
          </w:tcPr>
          <w:p w14:paraId="63B691E8" w14:textId="77777777" w:rsidR="00990B14" w:rsidRDefault="00990B14">
            <w:pPr>
              <w:spacing w:before="20" w:after="20"/>
            </w:pPr>
          </w:p>
        </w:tc>
        <w:tc>
          <w:tcPr>
            <w:tcW w:w="1910" w:type="dxa"/>
            <w:shd w:val="clear" w:color="auto" w:fill="4472C4"/>
            <w:vAlign w:val="center"/>
          </w:tcPr>
          <w:p w14:paraId="6E0853F6" w14:textId="77777777" w:rsidR="00990B14" w:rsidRDefault="00000000">
            <w:pPr>
              <w:keepNext/>
              <w:spacing w:before="20" w:after="20"/>
              <w:jc w:val="center"/>
            </w:pPr>
            <w:r>
              <w:rPr>
                <w:b/>
                <w:bCs/>
                <w:i/>
                <w:iCs/>
                <w:color w:val="FFFFFF"/>
                <w:sz w:val="18"/>
                <w:szCs w:val="18"/>
              </w:rPr>
              <w:t>Criterio</w:t>
            </w:r>
          </w:p>
        </w:tc>
        <w:tc>
          <w:tcPr>
            <w:tcW w:w="1867" w:type="dxa"/>
            <w:shd w:val="clear" w:color="auto" w:fill="4472C4"/>
            <w:vAlign w:val="center"/>
          </w:tcPr>
          <w:p w14:paraId="5089E6AC" w14:textId="77777777" w:rsidR="00990B14" w:rsidRDefault="00000000">
            <w:pPr>
              <w:keepNext/>
              <w:spacing w:before="20" w:after="20"/>
              <w:jc w:val="center"/>
            </w:pPr>
            <w:r>
              <w:rPr>
                <w:b/>
                <w:bCs/>
                <w:i/>
                <w:iCs/>
                <w:color w:val="FFFFFF"/>
                <w:sz w:val="18"/>
                <w:szCs w:val="18"/>
              </w:rPr>
              <w:t>Insuficiente (1–50)</w:t>
            </w:r>
          </w:p>
        </w:tc>
        <w:tc>
          <w:tcPr>
            <w:tcW w:w="1867" w:type="dxa"/>
            <w:shd w:val="clear" w:color="auto" w:fill="4472C4"/>
            <w:vAlign w:val="center"/>
          </w:tcPr>
          <w:p w14:paraId="55633A50" w14:textId="77777777" w:rsidR="00990B14" w:rsidRDefault="00000000">
            <w:pPr>
              <w:keepNext/>
              <w:spacing w:before="20" w:after="20"/>
              <w:jc w:val="center"/>
            </w:pPr>
            <w:r>
              <w:rPr>
                <w:b/>
                <w:bCs/>
                <w:i/>
                <w:iCs/>
                <w:color w:val="FFFFFF"/>
                <w:sz w:val="18"/>
                <w:szCs w:val="18"/>
              </w:rPr>
              <w:t>Suficiente (51–80)</w:t>
            </w:r>
          </w:p>
        </w:tc>
        <w:tc>
          <w:tcPr>
            <w:tcW w:w="1911" w:type="dxa"/>
            <w:shd w:val="clear" w:color="auto" w:fill="4472C4"/>
            <w:vAlign w:val="center"/>
          </w:tcPr>
          <w:p w14:paraId="5AC0E321" w14:textId="77777777" w:rsidR="00990B14" w:rsidRDefault="00000000">
            <w:pPr>
              <w:keepNext/>
              <w:spacing w:before="20" w:after="20"/>
              <w:jc w:val="center"/>
            </w:pPr>
            <w:r>
              <w:rPr>
                <w:b/>
                <w:bCs/>
                <w:i/>
                <w:iCs/>
                <w:color w:val="FFFFFF"/>
                <w:sz w:val="18"/>
                <w:szCs w:val="18"/>
              </w:rPr>
              <w:t>Destacado (81–100)</w:t>
            </w:r>
          </w:p>
        </w:tc>
      </w:tr>
      <w:tr w:rsidR="00990B14" w14:paraId="326B8E47" w14:textId="77777777">
        <w:trPr>
          <w:cantSplit/>
          <w:jc w:val="center"/>
        </w:trPr>
        <w:tc>
          <w:tcPr>
            <w:tcW w:w="1850" w:type="dxa"/>
            <w:vMerge/>
            <w:shd w:val="clear" w:color="auto" w:fill="4472C4"/>
            <w:vAlign w:val="center"/>
          </w:tcPr>
          <w:p w14:paraId="1F691BAB" w14:textId="77777777" w:rsidR="00990B14" w:rsidRDefault="00990B14">
            <w:pPr>
              <w:spacing w:before="20" w:after="20"/>
            </w:pPr>
          </w:p>
        </w:tc>
        <w:tc>
          <w:tcPr>
            <w:tcW w:w="1910" w:type="dxa"/>
            <w:shd w:val="clear" w:color="auto" w:fill="D9E2F3"/>
            <w:vAlign w:val="center"/>
          </w:tcPr>
          <w:p w14:paraId="1E572080" w14:textId="77777777" w:rsidR="00990B14" w:rsidRDefault="00000000">
            <w:pPr>
              <w:spacing w:before="20" w:after="20"/>
              <w:jc w:val="center"/>
            </w:pPr>
            <w:r>
              <w:rPr>
                <w:sz w:val="18"/>
                <w:szCs w:val="18"/>
              </w:rPr>
              <w:t>Formalización</w:t>
            </w:r>
          </w:p>
        </w:tc>
        <w:tc>
          <w:tcPr>
            <w:tcW w:w="1867" w:type="dxa"/>
            <w:shd w:val="clear" w:color="auto" w:fill="D9E2F3"/>
            <w:vAlign w:val="center"/>
          </w:tcPr>
          <w:p w14:paraId="0F869CE1" w14:textId="77777777" w:rsidR="00990B14" w:rsidRDefault="00000000">
            <w:pPr>
              <w:spacing w:before="20" w:after="20"/>
              <w:jc w:val="both"/>
            </w:pPr>
            <w:r>
              <w:rPr>
                <w:sz w:val="18"/>
                <w:szCs w:val="18"/>
              </w:rPr>
              <w:t>Confunde el contrato verbal con el escrito.</w:t>
            </w:r>
          </w:p>
        </w:tc>
        <w:tc>
          <w:tcPr>
            <w:tcW w:w="1867" w:type="dxa"/>
            <w:shd w:val="clear" w:color="auto" w:fill="D9E2F3"/>
            <w:vAlign w:val="center"/>
          </w:tcPr>
          <w:p w14:paraId="3A3D1711" w14:textId="77777777" w:rsidR="00990B14" w:rsidRDefault="00000000">
            <w:pPr>
              <w:spacing w:before="20" w:after="20"/>
              <w:jc w:val="both"/>
            </w:pPr>
            <w:r>
              <w:rPr>
                <w:sz w:val="18"/>
                <w:szCs w:val="18"/>
              </w:rPr>
              <w:t>Distingue el contrato verbal del escrito.</w:t>
            </w:r>
          </w:p>
        </w:tc>
        <w:tc>
          <w:tcPr>
            <w:tcW w:w="1911" w:type="dxa"/>
            <w:shd w:val="clear" w:color="auto" w:fill="D9E2F3"/>
            <w:vAlign w:val="center"/>
          </w:tcPr>
          <w:p w14:paraId="54AAAAE9" w14:textId="77777777" w:rsidR="00990B14" w:rsidRDefault="00000000">
            <w:pPr>
              <w:spacing w:before="20" w:after="20"/>
              <w:jc w:val="both"/>
            </w:pPr>
            <w:r>
              <w:rPr>
                <w:sz w:val="18"/>
                <w:szCs w:val="18"/>
              </w:rPr>
              <w:t>Explica el valor probatorio de cada forma.</w:t>
            </w:r>
          </w:p>
        </w:tc>
      </w:tr>
      <w:tr w:rsidR="00990B14" w14:paraId="2471FA92" w14:textId="77777777">
        <w:trPr>
          <w:cantSplit/>
          <w:jc w:val="center"/>
        </w:trPr>
        <w:tc>
          <w:tcPr>
            <w:tcW w:w="1850" w:type="dxa"/>
            <w:vMerge/>
            <w:shd w:val="clear" w:color="auto" w:fill="4472C4"/>
            <w:vAlign w:val="center"/>
          </w:tcPr>
          <w:p w14:paraId="633E0744" w14:textId="77777777" w:rsidR="00990B14" w:rsidRDefault="00990B14">
            <w:pPr>
              <w:spacing w:before="20" w:after="20"/>
            </w:pPr>
          </w:p>
        </w:tc>
        <w:tc>
          <w:tcPr>
            <w:tcW w:w="1910" w:type="dxa"/>
            <w:shd w:val="clear" w:color="auto" w:fill="D9E2F3"/>
            <w:vAlign w:val="center"/>
          </w:tcPr>
          <w:p w14:paraId="5DA9B4DC" w14:textId="77777777" w:rsidR="00990B14" w:rsidRDefault="00000000">
            <w:pPr>
              <w:spacing w:before="20" w:after="20"/>
              <w:jc w:val="center"/>
            </w:pPr>
            <w:r>
              <w:rPr>
                <w:sz w:val="18"/>
                <w:szCs w:val="18"/>
              </w:rPr>
              <w:t>Duración</w:t>
            </w:r>
          </w:p>
        </w:tc>
        <w:tc>
          <w:tcPr>
            <w:tcW w:w="1867" w:type="dxa"/>
            <w:shd w:val="clear" w:color="auto" w:fill="D9E2F3"/>
            <w:vAlign w:val="center"/>
          </w:tcPr>
          <w:p w14:paraId="528C511C" w14:textId="77777777" w:rsidR="00990B14" w:rsidRDefault="00000000">
            <w:pPr>
              <w:spacing w:before="20" w:after="20"/>
              <w:jc w:val="both"/>
            </w:pPr>
            <w:r>
              <w:rPr>
                <w:sz w:val="18"/>
                <w:szCs w:val="18"/>
              </w:rPr>
              <w:t>Clasifica mal la duración.</w:t>
            </w:r>
          </w:p>
        </w:tc>
        <w:tc>
          <w:tcPr>
            <w:tcW w:w="1867" w:type="dxa"/>
            <w:shd w:val="clear" w:color="auto" w:fill="D9E2F3"/>
            <w:vAlign w:val="center"/>
          </w:tcPr>
          <w:p w14:paraId="6C107C4E" w14:textId="77777777" w:rsidR="00990B14" w:rsidRDefault="00000000">
            <w:pPr>
              <w:spacing w:before="20" w:after="20"/>
              <w:jc w:val="both"/>
            </w:pPr>
            <w:r>
              <w:rPr>
                <w:sz w:val="18"/>
                <w:szCs w:val="18"/>
              </w:rPr>
              <w:t>Clasifica el contrato por su duración.</w:t>
            </w:r>
          </w:p>
        </w:tc>
        <w:tc>
          <w:tcPr>
            <w:tcW w:w="1911" w:type="dxa"/>
            <w:shd w:val="clear" w:color="auto" w:fill="D9E2F3"/>
            <w:vAlign w:val="center"/>
          </w:tcPr>
          <w:p w14:paraId="4F7DB412" w14:textId="77777777" w:rsidR="00990B14" w:rsidRDefault="00000000">
            <w:pPr>
              <w:spacing w:before="20" w:after="20"/>
              <w:jc w:val="both"/>
            </w:pPr>
            <w:r>
              <w:rPr>
                <w:sz w:val="18"/>
                <w:szCs w:val="18"/>
              </w:rPr>
              <w:t>Advierte los riesgos de una clasificación errónea.</w:t>
            </w:r>
          </w:p>
        </w:tc>
      </w:tr>
      <w:tr w:rsidR="00990B14" w14:paraId="5FB04698" w14:textId="77777777">
        <w:trPr>
          <w:cantSplit/>
          <w:jc w:val="center"/>
        </w:trPr>
        <w:tc>
          <w:tcPr>
            <w:tcW w:w="1850" w:type="dxa"/>
            <w:vMerge/>
            <w:shd w:val="clear" w:color="auto" w:fill="4472C4"/>
            <w:vAlign w:val="center"/>
          </w:tcPr>
          <w:p w14:paraId="43A67952" w14:textId="77777777" w:rsidR="00990B14" w:rsidRDefault="00990B14">
            <w:pPr>
              <w:spacing w:before="20" w:after="20"/>
            </w:pPr>
          </w:p>
        </w:tc>
        <w:tc>
          <w:tcPr>
            <w:tcW w:w="1910" w:type="dxa"/>
            <w:shd w:val="clear" w:color="auto" w:fill="D9E2F3"/>
            <w:vAlign w:val="center"/>
          </w:tcPr>
          <w:p w14:paraId="6489272A" w14:textId="77777777" w:rsidR="00990B14" w:rsidRDefault="00000000">
            <w:pPr>
              <w:spacing w:before="20" w:after="20"/>
              <w:jc w:val="center"/>
            </w:pPr>
            <w:r>
              <w:rPr>
                <w:sz w:val="18"/>
                <w:szCs w:val="18"/>
              </w:rPr>
              <w:t>Fundamento</w:t>
            </w:r>
          </w:p>
        </w:tc>
        <w:tc>
          <w:tcPr>
            <w:tcW w:w="1867" w:type="dxa"/>
            <w:shd w:val="clear" w:color="auto" w:fill="D9E2F3"/>
            <w:vAlign w:val="center"/>
          </w:tcPr>
          <w:p w14:paraId="7CB05111" w14:textId="77777777" w:rsidR="00990B14" w:rsidRDefault="00000000">
            <w:pPr>
              <w:spacing w:before="20" w:after="20"/>
              <w:jc w:val="both"/>
            </w:pPr>
            <w:r>
              <w:rPr>
                <w:sz w:val="18"/>
                <w:szCs w:val="18"/>
              </w:rPr>
              <w:t>No cita la norma.</w:t>
            </w:r>
          </w:p>
        </w:tc>
        <w:tc>
          <w:tcPr>
            <w:tcW w:w="1867" w:type="dxa"/>
            <w:shd w:val="clear" w:color="auto" w:fill="D9E2F3"/>
            <w:vAlign w:val="center"/>
          </w:tcPr>
          <w:p w14:paraId="1322FF13" w14:textId="77777777" w:rsidR="00990B14" w:rsidRDefault="00000000">
            <w:pPr>
              <w:spacing w:before="20" w:after="20"/>
              <w:jc w:val="both"/>
            </w:pPr>
            <w:r>
              <w:rPr>
                <w:sz w:val="18"/>
                <w:szCs w:val="18"/>
              </w:rPr>
              <w:t>Cita la norma aplicable.</w:t>
            </w:r>
          </w:p>
        </w:tc>
        <w:tc>
          <w:tcPr>
            <w:tcW w:w="1911" w:type="dxa"/>
            <w:shd w:val="clear" w:color="auto" w:fill="D9E2F3"/>
            <w:vAlign w:val="center"/>
          </w:tcPr>
          <w:p w14:paraId="40A04628" w14:textId="77777777" w:rsidR="00990B14" w:rsidRDefault="00000000">
            <w:pPr>
              <w:spacing w:before="20" w:after="20"/>
              <w:jc w:val="both"/>
            </w:pPr>
            <w:r>
              <w:rPr>
                <w:sz w:val="18"/>
                <w:szCs w:val="18"/>
              </w:rPr>
              <w:t>Explica la norma con ejemplos.</w:t>
            </w:r>
          </w:p>
        </w:tc>
      </w:tr>
      <w:tr w:rsidR="00990B14" w14:paraId="22D0815E" w14:textId="77777777">
        <w:trPr>
          <w:cantSplit/>
          <w:jc w:val="center"/>
        </w:trPr>
        <w:tc>
          <w:tcPr>
            <w:tcW w:w="1850" w:type="dxa"/>
            <w:vMerge/>
            <w:shd w:val="clear" w:color="auto" w:fill="4472C4"/>
            <w:vAlign w:val="center"/>
          </w:tcPr>
          <w:p w14:paraId="08911BCD" w14:textId="77777777" w:rsidR="00990B14" w:rsidRDefault="00990B14">
            <w:pPr>
              <w:spacing w:before="20" w:after="20"/>
            </w:pPr>
          </w:p>
        </w:tc>
        <w:tc>
          <w:tcPr>
            <w:tcW w:w="5644" w:type="dxa"/>
            <w:gridSpan w:val="3"/>
            <w:shd w:val="clear" w:color="auto" w:fill="D9E2F3"/>
            <w:vAlign w:val="center"/>
          </w:tcPr>
          <w:p w14:paraId="41E42E23" w14:textId="77777777" w:rsidR="00990B14" w:rsidRDefault="00000000">
            <w:pPr>
              <w:keepNext/>
              <w:spacing w:before="20" w:after="20"/>
              <w:jc w:val="both"/>
            </w:pPr>
            <w:r>
              <w:rPr>
                <w:b/>
                <w:bCs/>
                <w:i/>
                <w:iCs/>
                <w:sz w:val="18"/>
                <w:szCs w:val="18"/>
              </w:rPr>
              <w:t xml:space="preserve">Producto 8: </w:t>
            </w:r>
            <w:r>
              <w:rPr>
                <w:sz w:val="18"/>
                <w:szCs w:val="18"/>
              </w:rPr>
              <w:t>Resumen de beneficios a los empleados</w:t>
            </w:r>
          </w:p>
        </w:tc>
        <w:tc>
          <w:tcPr>
            <w:tcW w:w="1911" w:type="dxa"/>
            <w:shd w:val="clear" w:color="auto" w:fill="D9E2F3"/>
            <w:vAlign w:val="center"/>
          </w:tcPr>
          <w:p w14:paraId="69CAC410" w14:textId="77777777" w:rsidR="00990B14" w:rsidRDefault="00000000">
            <w:pPr>
              <w:spacing w:before="20" w:after="20"/>
              <w:jc w:val="center"/>
            </w:pPr>
            <w:r>
              <w:rPr>
                <w:b/>
                <w:bCs/>
                <w:sz w:val="18"/>
                <w:szCs w:val="18"/>
              </w:rPr>
              <w:t>5%</w:t>
            </w:r>
          </w:p>
        </w:tc>
      </w:tr>
      <w:tr w:rsidR="00990B14" w14:paraId="0404C9B7" w14:textId="77777777">
        <w:trPr>
          <w:cantSplit/>
          <w:jc w:val="center"/>
        </w:trPr>
        <w:tc>
          <w:tcPr>
            <w:tcW w:w="1850" w:type="dxa"/>
            <w:vMerge/>
            <w:shd w:val="clear" w:color="auto" w:fill="4472C4"/>
            <w:vAlign w:val="center"/>
          </w:tcPr>
          <w:p w14:paraId="33FFA7AD" w14:textId="77777777" w:rsidR="00990B14" w:rsidRDefault="00990B14">
            <w:pPr>
              <w:spacing w:before="20" w:after="20"/>
            </w:pPr>
          </w:p>
        </w:tc>
        <w:tc>
          <w:tcPr>
            <w:tcW w:w="1910" w:type="dxa"/>
            <w:shd w:val="clear" w:color="auto" w:fill="4472C4"/>
            <w:vAlign w:val="center"/>
          </w:tcPr>
          <w:p w14:paraId="71D057FC" w14:textId="77777777" w:rsidR="00990B14" w:rsidRDefault="00000000">
            <w:pPr>
              <w:keepNext/>
              <w:spacing w:before="20" w:after="20"/>
              <w:jc w:val="center"/>
            </w:pPr>
            <w:r>
              <w:rPr>
                <w:b/>
                <w:bCs/>
                <w:i/>
                <w:iCs/>
                <w:color w:val="FFFFFF"/>
                <w:sz w:val="18"/>
                <w:szCs w:val="18"/>
              </w:rPr>
              <w:t>Criterio</w:t>
            </w:r>
          </w:p>
        </w:tc>
        <w:tc>
          <w:tcPr>
            <w:tcW w:w="1867" w:type="dxa"/>
            <w:shd w:val="clear" w:color="auto" w:fill="4472C4"/>
            <w:vAlign w:val="center"/>
          </w:tcPr>
          <w:p w14:paraId="60CC4AF7" w14:textId="77777777" w:rsidR="00990B14" w:rsidRDefault="00000000">
            <w:pPr>
              <w:keepNext/>
              <w:spacing w:before="20" w:after="20"/>
              <w:jc w:val="center"/>
            </w:pPr>
            <w:r>
              <w:rPr>
                <w:b/>
                <w:bCs/>
                <w:i/>
                <w:iCs/>
                <w:color w:val="FFFFFF"/>
                <w:sz w:val="18"/>
                <w:szCs w:val="18"/>
              </w:rPr>
              <w:t>Insuficiente (1–50)</w:t>
            </w:r>
          </w:p>
        </w:tc>
        <w:tc>
          <w:tcPr>
            <w:tcW w:w="1867" w:type="dxa"/>
            <w:shd w:val="clear" w:color="auto" w:fill="4472C4"/>
            <w:vAlign w:val="center"/>
          </w:tcPr>
          <w:p w14:paraId="1864DFA4" w14:textId="77777777" w:rsidR="00990B14" w:rsidRDefault="00000000">
            <w:pPr>
              <w:keepNext/>
              <w:spacing w:before="20" w:after="20"/>
              <w:jc w:val="center"/>
            </w:pPr>
            <w:r>
              <w:rPr>
                <w:b/>
                <w:bCs/>
                <w:i/>
                <w:iCs/>
                <w:color w:val="FFFFFF"/>
                <w:sz w:val="18"/>
                <w:szCs w:val="18"/>
              </w:rPr>
              <w:t>Suficiente (51–80)</w:t>
            </w:r>
          </w:p>
        </w:tc>
        <w:tc>
          <w:tcPr>
            <w:tcW w:w="1911" w:type="dxa"/>
            <w:shd w:val="clear" w:color="auto" w:fill="4472C4"/>
            <w:vAlign w:val="center"/>
          </w:tcPr>
          <w:p w14:paraId="70E45E5B" w14:textId="77777777" w:rsidR="00990B14" w:rsidRDefault="00000000">
            <w:pPr>
              <w:keepNext/>
              <w:spacing w:before="20" w:after="20"/>
              <w:jc w:val="center"/>
            </w:pPr>
            <w:r>
              <w:rPr>
                <w:b/>
                <w:bCs/>
                <w:i/>
                <w:iCs/>
                <w:color w:val="FFFFFF"/>
                <w:sz w:val="18"/>
                <w:szCs w:val="18"/>
              </w:rPr>
              <w:t>Destacado (81–100)</w:t>
            </w:r>
          </w:p>
        </w:tc>
      </w:tr>
      <w:tr w:rsidR="00990B14" w14:paraId="1282E3A0" w14:textId="77777777">
        <w:trPr>
          <w:cantSplit/>
          <w:jc w:val="center"/>
        </w:trPr>
        <w:tc>
          <w:tcPr>
            <w:tcW w:w="1850" w:type="dxa"/>
            <w:vMerge/>
            <w:shd w:val="clear" w:color="auto" w:fill="4472C4"/>
            <w:vAlign w:val="center"/>
          </w:tcPr>
          <w:p w14:paraId="46BB2050" w14:textId="77777777" w:rsidR="00990B14" w:rsidRDefault="00990B14">
            <w:pPr>
              <w:spacing w:before="20" w:after="20"/>
            </w:pPr>
          </w:p>
        </w:tc>
        <w:tc>
          <w:tcPr>
            <w:tcW w:w="1910" w:type="dxa"/>
            <w:shd w:val="clear" w:color="auto" w:fill="D9E2F3"/>
            <w:vAlign w:val="center"/>
          </w:tcPr>
          <w:p w14:paraId="13D364B2" w14:textId="77777777" w:rsidR="00990B14" w:rsidRDefault="00000000">
            <w:pPr>
              <w:spacing w:before="20" w:after="20"/>
              <w:jc w:val="center"/>
            </w:pPr>
            <w:r>
              <w:rPr>
                <w:sz w:val="18"/>
                <w:szCs w:val="18"/>
              </w:rPr>
              <w:t>Clasificación</w:t>
            </w:r>
          </w:p>
        </w:tc>
        <w:tc>
          <w:tcPr>
            <w:tcW w:w="1867" w:type="dxa"/>
            <w:shd w:val="clear" w:color="auto" w:fill="D9E2F3"/>
            <w:vAlign w:val="center"/>
          </w:tcPr>
          <w:p w14:paraId="2FCACD04" w14:textId="77777777" w:rsidR="00990B14" w:rsidRDefault="00000000">
            <w:pPr>
              <w:spacing w:before="20" w:after="20"/>
              <w:jc w:val="both"/>
            </w:pPr>
            <w:r>
              <w:rPr>
                <w:sz w:val="18"/>
                <w:szCs w:val="18"/>
              </w:rPr>
              <w:t>Confunde los tipos de beneficio.</w:t>
            </w:r>
          </w:p>
        </w:tc>
        <w:tc>
          <w:tcPr>
            <w:tcW w:w="1867" w:type="dxa"/>
            <w:shd w:val="clear" w:color="auto" w:fill="D9E2F3"/>
            <w:vAlign w:val="center"/>
          </w:tcPr>
          <w:p w14:paraId="1227EFD1" w14:textId="77777777" w:rsidR="00990B14" w:rsidRDefault="00000000">
            <w:pPr>
              <w:spacing w:before="20" w:after="20"/>
              <w:jc w:val="both"/>
            </w:pPr>
            <w:r>
              <w:rPr>
                <w:sz w:val="18"/>
                <w:szCs w:val="18"/>
              </w:rPr>
              <w:t>Clasifica los beneficios según la NIC 19.</w:t>
            </w:r>
          </w:p>
        </w:tc>
        <w:tc>
          <w:tcPr>
            <w:tcW w:w="1911" w:type="dxa"/>
            <w:shd w:val="clear" w:color="auto" w:fill="D9E2F3"/>
            <w:vAlign w:val="center"/>
          </w:tcPr>
          <w:p w14:paraId="2127E4D8" w14:textId="77777777" w:rsidR="00990B14" w:rsidRDefault="00000000">
            <w:pPr>
              <w:spacing w:before="20" w:after="20"/>
              <w:jc w:val="both"/>
            </w:pPr>
            <w:r>
              <w:rPr>
                <w:sz w:val="18"/>
                <w:szCs w:val="18"/>
              </w:rPr>
              <w:t>Relaciona cada beneficio con la ley laboral.</w:t>
            </w:r>
          </w:p>
        </w:tc>
      </w:tr>
      <w:tr w:rsidR="00990B14" w14:paraId="2AF021DB" w14:textId="77777777">
        <w:trPr>
          <w:cantSplit/>
          <w:jc w:val="center"/>
        </w:trPr>
        <w:tc>
          <w:tcPr>
            <w:tcW w:w="1850" w:type="dxa"/>
            <w:vMerge/>
            <w:shd w:val="clear" w:color="auto" w:fill="4472C4"/>
            <w:vAlign w:val="center"/>
          </w:tcPr>
          <w:p w14:paraId="42632A98" w14:textId="77777777" w:rsidR="00990B14" w:rsidRDefault="00990B14">
            <w:pPr>
              <w:spacing w:before="20" w:after="20"/>
            </w:pPr>
          </w:p>
        </w:tc>
        <w:tc>
          <w:tcPr>
            <w:tcW w:w="1910" w:type="dxa"/>
            <w:shd w:val="clear" w:color="auto" w:fill="D9E2F3"/>
            <w:vAlign w:val="center"/>
          </w:tcPr>
          <w:p w14:paraId="7165EF45" w14:textId="77777777" w:rsidR="00990B14" w:rsidRDefault="00000000">
            <w:pPr>
              <w:spacing w:before="20" w:after="20"/>
              <w:jc w:val="center"/>
            </w:pPr>
            <w:r>
              <w:rPr>
                <w:sz w:val="18"/>
                <w:szCs w:val="18"/>
              </w:rPr>
              <w:t>Reconocimiento</w:t>
            </w:r>
          </w:p>
        </w:tc>
        <w:tc>
          <w:tcPr>
            <w:tcW w:w="1867" w:type="dxa"/>
            <w:shd w:val="clear" w:color="auto" w:fill="D9E2F3"/>
            <w:vAlign w:val="center"/>
          </w:tcPr>
          <w:p w14:paraId="6E99130A" w14:textId="77777777" w:rsidR="00990B14" w:rsidRDefault="00000000">
            <w:pPr>
              <w:spacing w:before="20" w:after="20"/>
              <w:jc w:val="both"/>
            </w:pPr>
            <w:r>
              <w:rPr>
                <w:sz w:val="18"/>
                <w:szCs w:val="18"/>
              </w:rPr>
              <w:t>No explica el reconocimiento.</w:t>
            </w:r>
          </w:p>
        </w:tc>
        <w:tc>
          <w:tcPr>
            <w:tcW w:w="1867" w:type="dxa"/>
            <w:shd w:val="clear" w:color="auto" w:fill="D9E2F3"/>
            <w:vAlign w:val="center"/>
          </w:tcPr>
          <w:p w14:paraId="017C52E9" w14:textId="77777777" w:rsidR="00990B14" w:rsidRDefault="00000000">
            <w:pPr>
              <w:spacing w:before="20" w:after="20"/>
              <w:jc w:val="both"/>
            </w:pPr>
            <w:r>
              <w:rPr>
                <w:sz w:val="18"/>
                <w:szCs w:val="18"/>
              </w:rPr>
              <w:t>Explica cuándo se reconoce cada beneficio.</w:t>
            </w:r>
          </w:p>
        </w:tc>
        <w:tc>
          <w:tcPr>
            <w:tcW w:w="1911" w:type="dxa"/>
            <w:shd w:val="clear" w:color="auto" w:fill="D9E2F3"/>
            <w:vAlign w:val="center"/>
          </w:tcPr>
          <w:p w14:paraId="198553E4" w14:textId="77777777" w:rsidR="00990B14" w:rsidRDefault="00000000">
            <w:pPr>
              <w:spacing w:before="20" w:after="20"/>
              <w:jc w:val="both"/>
            </w:pPr>
            <w:r>
              <w:rPr>
                <w:sz w:val="18"/>
                <w:szCs w:val="18"/>
              </w:rPr>
              <w:t>Ilustra el registro con un ejemplo.</w:t>
            </w:r>
          </w:p>
        </w:tc>
      </w:tr>
      <w:tr w:rsidR="00990B14" w14:paraId="20A5DDC0" w14:textId="77777777">
        <w:trPr>
          <w:cantSplit/>
          <w:jc w:val="center"/>
        </w:trPr>
        <w:tc>
          <w:tcPr>
            <w:tcW w:w="1850" w:type="dxa"/>
            <w:vMerge/>
            <w:shd w:val="clear" w:color="auto" w:fill="4472C4"/>
            <w:vAlign w:val="center"/>
          </w:tcPr>
          <w:p w14:paraId="594F8D3C" w14:textId="77777777" w:rsidR="00990B14" w:rsidRDefault="00990B14">
            <w:pPr>
              <w:spacing w:before="20" w:after="20"/>
            </w:pPr>
          </w:p>
        </w:tc>
        <w:tc>
          <w:tcPr>
            <w:tcW w:w="1910" w:type="dxa"/>
            <w:shd w:val="clear" w:color="auto" w:fill="D9E2F3"/>
            <w:vAlign w:val="center"/>
          </w:tcPr>
          <w:p w14:paraId="5BEA219B" w14:textId="77777777" w:rsidR="00990B14" w:rsidRDefault="00000000">
            <w:pPr>
              <w:spacing w:before="20" w:after="20"/>
              <w:jc w:val="center"/>
            </w:pPr>
            <w:r>
              <w:rPr>
                <w:sz w:val="18"/>
                <w:szCs w:val="18"/>
              </w:rPr>
              <w:t>Fundamento</w:t>
            </w:r>
          </w:p>
        </w:tc>
        <w:tc>
          <w:tcPr>
            <w:tcW w:w="1867" w:type="dxa"/>
            <w:shd w:val="clear" w:color="auto" w:fill="D9E2F3"/>
            <w:vAlign w:val="center"/>
          </w:tcPr>
          <w:p w14:paraId="4018218F" w14:textId="77777777" w:rsidR="00990B14" w:rsidRDefault="00000000">
            <w:pPr>
              <w:spacing w:before="20" w:after="20"/>
              <w:jc w:val="both"/>
            </w:pPr>
            <w:r>
              <w:rPr>
                <w:sz w:val="18"/>
                <w:szCs w:val="18"/>
              </w:rPr>
              <w:t>No cita la norma.</w:t>
            </w:r>
          </w:p>
        </w:tc>
        <w:tc>
          <w:tcPr>
            <w:tcW w:w="1867" w:type="dxa"/>
            <w:shd w:val="clear" w:color="auto" w:fill="D9E2F3"/>
            <w:vAlign w:val="center"/>
          </w:tcPr>
          <w:p w14:paraId="78CC3427" w14:textId="77777777" w:rsidR="00990B14" w:rsidRDefault="00000000">
            <w:pPr>
              <w:spacing w:before="20" w:after="20"/>
              <w:jc w:val="both"/>
            </w:pPr>
            <w:r>
              <w:rPr>
                <w:sz w:val="18"/>
                <w:szCs w:val="18"/>
              </w:rPr>
              <w:t>Cita la norma aplicable.</w:t>
            </w:r>
          </w:p>
        </w:tc>
        <w:tc>
          <w:tcPr>
            <w:tcW w:w="1911" w:type="dxa"/>
            <w:shd w:val="clear" w:color="auto" w:fill="D9E2F3"/>
            <w:vAlign w:val="center"/>
          </w:tcPr>
          <w:p w14:paraId="4CF9A7C4" w14:textId="77777777" w:rsidR="00990B14" w:rsidRDefault="00000000">
            <w:pPr>
              <w:spacing w:before="20" w:after="20"/>
              <w:jc w:val="both"/>
            </w:pPr>
            <w:r>
              <w:rPr>
                <w:sz w:val="18"/>
                <w:szCs w:val="18"/>
              </w:rPr>
              <w:t>Explica la norma con ejemplos.</w:t>
            </w:r>
          </w:p>
        </w:tc>
      </w:tr>
      <w:tr w:rsidR="00990B14" w14:paraId="689D3DAE" w14:textId="77777777">
        <w:trPr>
          <w:cantSplit/>
          <w:jc w:val="center"/>
        </w:trPr>
        <w:tc>
          <w:tcPr>
            <w:tcW w:w="1850" w:type="dxa"/>
            <w:vMerge/>
            <w:shd w:val="clear" w:color="auto" w:fill="4472C4"/>
            <w:vAlign w:val="center"/>
          </w:tcPr>
          <w:p w14:paraId="1638D689" w14:textId="77777777" w:rsidR="00990B14" w:rsidRDefault="00990B14">
            <w:pPr>
              <w:spacing w:before="20" w:after="20"/>
            </w:pPr>
          </w:p>
        </w:tc>
        <w:tc>
          <w:tcPr>
            <w:tcW w:w="5644" w:type="dxa"/>
            <w:gridSpan w:val="3"/>
            <w:shd w:val="clear" w:color="auto" w:fill="D9E2F3"/>
            <w:vAlign w:val="center"/>
          </w:tcPr>
          <w:p w14:paraId="1D8AF9B3" w14:textId="77777777" w:rsidR="00990B14" w:rsidRDefault="00000000">
            <w:pPr>
              <w:keepNext/>
              <w:spacing w:before="20" w:after="20"/>
              <w:jc w:val="both"/>
            </w:pPr>
            <w:r>
              <w:rPr>
                <w:b/>
                <w:bCs/>
                <w:i/>
                <w:iCs/>
                <w:sz w:val="18"/>
                <w:szCs w:val="18"/>
              </w:rPr>
              <w:t xml:space="preserve">Producto 9: </w:t>
            </w:r>
            <w:r>
              <w:rPr>
                <w:sz w:val="18"/>
                <w:szCs w:val="18"/>
              </w:rPr>
              <w:t>Planilla de jornada y horas extraordinarias</w:t>
            </w:r>
          </w:p>
        </w:tc>
        <w:tc>
          <w:tcPr>
            <w:tcW w:w="1911" w:type="dxa"/>
            <w:shd w:val="clear" w:color="auto" w:fill="D9E2F3"/>
            <w:vAlign w:val="center"/>
          </w:tcPr>
          <w:p w14:paraId="7799F6C8" w14:textId="77777777" w:rsidR="00990B14" w:rsidRDefault="00000000">
            <w:pPr>
              <w:spacing w:before="20" w:after="20"/>
              <w:jc w:val="center"/>
            </w:pPr>
            <w:r>
              <w:rPr>
                <w:b/>
                <w:bCs/>
                <w:sz w:val="18"/>
                <w:szCs w:val="18"/>
              </w:rPr>
              <w:t>7%</w:t>
            </w:r>
          </w:p>
        </w:tc>
      </w:tr>
      <w:tr w:rsidR="00990B14" w14:paraId="6FF9DA50" w14:textId="77777777">
        <w:trPr>
          <w:cantSplit/>
          <w:jc w:val="center"/>
        </w:trPr>
        <w:tc>
          <w:tcPr>
            <w:tcW w:w="1850" w:type="dxa"/>
            <w:vMerge/>
            <w:shd w:val="clear" w:color="auto" w:fill="4472C4"/>
            <w:vAlign w:val="center"/>
          </w:tcPr>
          <w:p w14:paraId="7354331F" w14:textId="77777777" w:rsidR="00990B14" w:rsidRDefault="00990B14">
            <w:pPr>
              <w:spacing w:before="20" w:after="20"/>
            </w:pPr>
          </w:p>
        </w:tc>
        <w:tc>
          <w:tcPr>
            <w:tcW w:w="1910" w:type="dxa"/>
            <w:shd w:val="clear" w:color="auto" w:fill="4472C4"/>
            <w:vAlign w:val="center"/>
          </w:tcPr>
          <w:p w14:paraId="003A1038" w14:textId="77777777" w:rsidR="00990B14" w:rsidRDefault="00000000">
            <w:pPr>
              <w:keepNext/>
              <w:spacing w:before="20" w:after="20"/>
              <w:jc w:val="center"/>
            </w:pPr>
            <w:r>
              <w:rPr>
                <w:b/>
                <w:bCs/>
                <w:i/>
                <w:iCs/>
                <w:color w:val="FFFFFF"/>
                <w:sz w:val="18"/>
                <w:szCs w:val="18"/>
              </w:rPr>
              <w:t>Criterio</w:t>
            </w:r>
          </w:p>
        </w:tc>
        <w:tc>
          <w:tcPr>
            <w:tcW w:w="1867" w:type="dxa"/>
            <w:shd w:val="clear" w:color="auto" w:fill="4472C4"/>
            <w:vAlign w:val="center"/>
          </w:tcPr>
          <w:p w14:paraId="4E8CF3CF" w14:textId="77777777" w:rsidR="00990B14" w:rsidRDefault="00000000">
            <w:pPr>
              <w:keepNext/>
              <w:spacing w:before="20" w:after="20"/>
              <w:jc w:val="center"/>
            </w:pPr>
            <w:r>
              <w:rPr>
                <w:b/>
                <w:bCs/>
                <w:i/>
                <w:iCs/>
                <w:color w:val="FFFFFF"/>
                <w:sz w:val="18"/>
                <w:szCs w:val="18"/>
              </w:rPr>
              <w:t>Insuficiente (1–50)</w:t>
            </w:r>
          </w:p>
        </w:tc>
        <w:tc>
          <w:tcPr>
            <w:tcW w:w="1867" w:type="dxa"/>
            <w:shd w:val="clear" w:color="auto" w:fill="4472C4"/>
            <w:vAlign w:val="center"/>
          </w:tcPr>
          <w:p w14:paraId="10722046" w14:textId="77777777" w:rsidR="00990B14" w:rsidRDefault="00000000">
            <w:pPr>
              <w:keepNext/>
              <w:spacing w:before="20" w:after="20"/>
              <w:jc w:val="center"/>
            </w:pPr>
            <w:r>
              <w:rPr>
                <w:b/>
                <w:bCs/>
                <w:i/>
                <w:iCs/>
                <w:color w:val="FFFFFF"/>
                <w:sz w:val="18"/>
                <w:szCs w:val="18"/>
              </w:rPr>
              <w:t>Suficiente (51–80)</w:t>
            </w:r>
          </w:p>
        </w:tc>
        <w:tc>
          <w:tcPr>
            <w:tcW w:w="1911" w:type="dxa"/>
            <w:shd w:val="clear" w:color="auto" w:fill="4472C4"/>
            <w:vAlign w:val="center"/>
          </w:tcPr>
          <w:p w14:paraId="054CD7A7" w14:textId="77777777" w:rsidR="00990B14" w:rsidRDefault="00000000">
            <w:pPr>
              <w:keepNext/>
              <w:spacing w:before="20" w:after="20"/>
              <w:jc w:val="center"/>
            </w:pPr>
            <w:r>
              <w:rPr>
                <w:b/>
                <w:bCs/>
                <w:i/>
                <w:iCs/>
                <w:color w:val="FFFFFF"/>
                <w:sz w:val="18"/>
                <w:szCs w:val="18"/>
              </w:rPr>
              <w:t>Destacado (81–100)</w:t>
            </w:r>
          </w:p>
        </w:tc>
      </w:tr>
      <w:tr w:rsidR="00990B14" w14:paraId="03D8966E" w14:textId="77777777">
        <w:trPr>
          <w:cantSplit/>
          <w:jc w:val="center"/>
        </w:trPr>
        <w:tc>
          <w:tcPr>
            <w:tcW w:w="1850" w:type="dxa"/>
            <w:vMerge/>
            <w:shd w:val="clear" w:color="auto" w:fill="4472C4"/>
            <w:vAlign w:val="center"/>
          </w:tcPr>
          <w:p w14:paraId="5F391530" w14:textId="77777777" w:rsidR="00990B14" w:rsidRDefault="00990B14">
            <w:pPr>
              <w:spacing w:before="20" w:after="20"/>
            </w:pPr>
          </w:p>
        </w:tc>
        <w:tc>
          <w:tcPr>
            <w:tcW w:w="1910" w:type="dxa"/>
            <w:shd w:val="clear" w:color="auto" w:fill="D9E2F3"/>
            <w:vAlign w:val="center"/>
          </w:tcPr>
          <w:p w14:paraId="2BEEC275" w14:textId="77777777" w:rsidR="00990B14" w:rsidRDefault="00000000">
            <w:pPr>
              <w:spacing w:before="20" w:after="20"/>
              <w:jc w:val="center"/>
            </w:pPr>
            <w:r>
              <w:rPr>
                <w:sz w:val="18"/>
                <w:szCs w:val="18"/>
              </w:rPr>
              <w:t>Jornada</w:t>
            </w:r>
          </w:p>
        </w:tc>
        <w:tc>
          <w:tcPr>
            <w:tcW w:w="1867" w:type="dxa"/>
            <w:shd w:val="clear" w:color="auto" w:fill="D9E2F3"/>
            <w:vAlign w:val="center"/>
          </w:tcPr>
          <w:p w14:paraId="01A6CB30" w14:textId="77777777" w:rsidR="00990B14" w:rsidRDefault="00000000">
            <w:pPr>
              <w:spacing w:before="20" w:after="20"/>
              <w:jc w:val="both"/>
            </w:pPr>
            <w:r>
              <w:rPr>
                <w:sz w:val="18"/>
                <w:szCs w:val="18"/>
              </w:rPr>
              <w:t>Excede la jornada máxima sin advertirlo.</w:t>
            </w:r>
          </w:p>
        </w:tc>
        <w:tc>
          <w:tcPr>
            <w:tcW w:w="1867" w:type="dxa"/>
            <w:shd w:val="clear" w:color="auto" w:fill="D9E2F3"/>
            <w:vAlign w:val="center"/>
          </w:tcPr>
          <w:p w14:paraId="76CDAB41" w14:textId="77777777" w:rsidR="00990B14" w:rsidRDefault="00000000">
            <w:pPr>
              <w:spacing w:before="20" w:after="20"/>
              <w:jc w:val="both"/>
            </w:pPr>
            <w:r>
              <w:rPr>
                <w:sz w:val="18"/>
                <w:szCs w:val="18"/>
              </w:rPr>
              <w:t>Aplica la jornada máxima y sus excepciones.</w:t>
            </w:r>
          </w:p>
        </w:tc>
        <w:tc>
          <w:tcPr>
            <w:tcW w:w="1911" w:type="dxa"/>
            <w:shd w:val="clear" w:color="auto" w:fill="D9E2F3"/>
            <w:vAlign w:val="center"/>
          </w:tcPr>
          <w:p w14:paraId="4B2FCD02" w14:textId="77777777" w:rsidR="00990B14" w:rsidRDefault="00000000">
            <w:pPr>
              <w:spacing w:before="20" w:after="20"/>
              <w:jc w:val="both"/>
            </w:pPr>
            <w:r>
              <w:rPr>
                <w:sz w:val="18"/>
                <w:szCs w:val="18"/>
              </w:rPr>
              <w:t>Identifica los casos de tempus in itinere.</w:t>
            </w:r>
          </w:p>
        </w:tc>
      </w:tr>
      <w:tr w:rsidR="00990B14" w14:paraId="5811DA90" w14:textId="77777777">
        <w:trPr>
          <w:cantSplit/>
          <w:jc w:val="center"/>
        </w:trPr>
        <w:tc>
          <w:tcPr>
            <w:tcW w:w="1850" w:type="dxa"/>
            <w:vMerge/>
            <w:shd w:val="clear" w:color="auto" w:fill="4472C4"/>
            <w:vAlign w:val="center"/>
          </w:tcPr>
          <w:p w14:paraId="270F9F21" w14:textId="77777777" w:rsidR="00990B14" w:rsidRDefault="00990B14">
            <w:pPr>
              <w:spacing w:before="20" w:after="20"/>
            </w:pPr>
          </w:p>
        </w:tc>
        <w:tc>
          <w:tcPr>
            <w:tcW w:w="1910" w:type="dxa"/>
            <w:shd w:val="clear" w:color="auto" w:fill="D9E2F3"/>
            <w:vAlign w:val="center"/>
          </w:tcPr>
          <w:p w14:paraId="1D586C10" w14:textId="77777777" w:rsidR="00990B14" w:rsidRDefault="00000000">
            <w:pPr>
              <w:spacing w:before="20" w:after="20"/>
              <w:jc w:val="center"/>
            </w:pPr>
            <w:r>
              <w:rPr>
                <w:sz w:val="18"/>
                <w:szCs w:val="18"/>
              </w:rPr>
              <w:t>Horas extraordinarias</w:t>
            </w:r>
          </w:p>
        </w:tc>
        <w:tc>
          <w:tcPr>
            <w:tcW w:w="1867" w:type="dxa"/>
            <w:shd w:val="clear" w:color="auto" w:fill="D9E2F3"/>
            <w:vAlign w:val="center"/>
          </w:tcPr>
          <w:p w14:paraId="643668B1" w14:textId="77777777" w:rsidR="00990B14" w:rsidRDefault="00000000">
            <w:pPr>
              <w:spacing w:before="20" w:after="20"/>
              <w:jc w:val="both"/>
            </w:pPr>
            <w:r>
              <w:rPr>
                <w:sz w:val="18"/>
                <w:szCs w:val="18"/>
              </w:rPr>
              <w:t>Calcula con errores.</w:t>
            </w:r>
          </w:p>
        </w:tc>
        <w:tc>
          <w:tcPr>
            <w:tcW w:w="1867" w:type="dxa"/>
            <w:shd w:val="clear" w:color="auto" w:fill="D9E2F3"/>
            <w:vAlign w:val="center"/>
          </w:tcPr>
          <w:p w14:paraId="165B4810" w14:textId="77777777" w:rsidR="00990B14" w:rsidRDefault="00000000">
            <w:pPr>
              <w:spacing w:before="20" w:after="20"/>
              <w:jc w:val="both"/>
            </w:pPr>
            <w:r>
              <w:rPr>
                <w:sz w:val="18"/>
                <w:szCs w:val="18"/>
              </w:rPr>
              <w:t>Calcula las horas extraordinarias y nocturnas.</w:t>
            </w:r>
          </w:p>
        </w:tc>
        <w:tc>
          <w:tcPr>
            <w:tcW w:w="1911" w:type="dxa"/>
            <w:shd w:val="clear" w:color="auto" w:fill="D9E2F3"/>
            <w:vAlign w:val="center"/>
          </w:tcPr>
          <w:p w14:paraId="46E847A8" w14:textId="77777777" w:rsidR="00990B14" w:rsidRDefault="00000000">
            <w:pPr>
              <w:spacing w:before="20" w:after="20"/>
              <w:jc w:val="both"/>
            </w:pPr>
            <w:r>
              <w:rPr>
                <w:sz w:val="18"/>
                <w:szCs w:val="18"/>
              </w:rPr>
              <w:t>Verifica los recargos con la norma.</w:t>
            </w:r>
          </w:p>
        </w:tc>
      </w:tr>
      <w:tr w:rsidR="00990B14" w14:paraId="4257C8F1" w14:textId="77777777">
        <w:trPr>
          <w:cantSplit/>
          <w:jc w:val="center"/>
        </w:trPr>
        <w:tc>
          <w:tcPr>
            <w:tcW w:w="1850" w:type="dxa"/>
            <w:vMerge/>
            <w:shd w:val="clear" w:color="auto" w:fill="4472C4"/>
            <w:vAlign w:val="center"/>
          </w:tcPr>
          <w:p w14:paraId="3FFA9AAF" w14:textId="77777777" w:rsidR="00990B14" w:rsidRDefault="00990B14">
            <w:pPr>
              <w:spacing w:before="20" w:after="20"/>
            </w:pPr>
          </w:p>
        </w:tc>
        <w:tc>
          <w:tcPr>
            <w:tcW w:w="1910" w:type="dxa"/>
            <w:shd w:val="clear" w:color="auto" w:fill="D9E2F3"/>
            <w:vAlign w:val="center"/>
          </w:tcPr>
          <w:p w14:paraId="0C0CF349" w14:textId="77777777" w:rsidR="00990B14" w:rsidRDefault="00000000">
            <w:pPr>
              <w:spacing w:before="20" w:after="20"/>
              <w:jc w:val="center"/>
            </w:pPr>
            <w:r>
              <w:rPr>
                <w:sz w:val="18"/>
                <w:szCs w:val="18"/>
              </w:rPr>
              <w:t>Exactitud</w:t>
            </w:r>
          </w:p>
        </w:tc>
        <w:tc>
          <w:tcPr>
            <w:tcW w:w="1867" w:type="dxa"/>
            <w:shd w:val="clear" w:color="auto" w:fill="D9E2F3"/>
            <w:vAlign w:val="center"/>
          </w:tcPr>
          <w:p w14:paraId="67DDE479" w14:textId="77777777" w:rsidR="00990B14" w:rsidRDefault="00000000">
            <w:pPr>
              <w:spacing w:before="20" w:after="20"/>
              <w:jc w:val="both"/>
            </w:pPr>
            <w:r>
              <w:rPr>
                <w:sz w:val="18"/>
                <w:szCs w:val="18"/>
              </w:rPr>
              <w:t>Los totales no cuadran.</w:t>
            </w:r>
          </w:p>
        </w:tc>
        <w:tc>
          <w:tcPr>
            <w:tcW w:w="1867" w:type="dxa"/>
            <w:shd w:val="clear" w:color="auto" w:fill="D9E2F3"/>
            <w:vAlign w:val="center"/>
          </w:tcPr>
          <w:p w14:paraId="4692F58F" w14:textId="77777777" w:rsidR="00990B14" w:rsidRDefault="00000000">
            <w:pPr>
              <w:spacing w:before="20" w:after="20"/>
              <w:jc w:val="both"/>
            </w:pPr>
            <w:r>
              <w:rPr>
                <w:sz w:val="18"/>
                <w:szCs w:val="18"/>
              </w:rPr>
              <w:t>Los cálculos son correctos.</w:t>
            </w:r>
          </w:p>
        </w:tc>
        <w:tc>
          <w:tcPr>
            <w:tcW w:w="1911" w:type="dxa"/>
            <w:shd w:val="clear" w:color="auto" w:fill="D9E2F3"/>
            <w:vAlign w:val="center"/>
          </w:tcPr>
          <w:p w14:paraId="0EE3559B" w14:textId="77777777" w:rsidR="00990B14" w:rsidRDefault="00000000">
            <w:pPr>
              <w:spacing w:before="20" w:after="20"/>
              <w:jc w:val="both"/>
            </w:pPr>
            <w:r>
              <w:rPr>
                <w:sz w:val="18"/>
                <w:szCs w:val="18"/>
              </w:rPr>
              <w:t>Los cálculos están verificados.</w:t>
            </w:r>
          </w:p>
        </w:tc>
      </w:tr>
      <w:tr w:rsidR="00990B14" w14:paraId="2ED56104" w14:textId="77777777">
        <w:trPr>
          <w:cantSplit/>
          <w:jc w:val="center"/>
        </w:trPr>
        <w:tc>
          <w:tcPr>
            <w:tcW w:w="1850" w:type="dxa"/>
            <w:vMerge/>
            <w:shd w:val="clear" w:color="auto" w:fill="4472C4"/>
            <w:vAlign w:val="center"/>
          </w:tcPr>
          <w:p w14:paraId="3CC490C8" w14:textId="77777777" w:rsidR="00990B14" w:rsidRDefault="00990B14">
            <w:pPr>
              <w:spacing w:before="20" w:after="20"/>
            </w:pPr>
          </w:p>
        </w:tc>
        <w:tc>
          <w:tcPr>
            <w:tcW w:w="5644" w:type="dxa"/>
            <w:gridSpan w:val="3"/>
            <w:shd w:val="clear" w:color="auto" w:fill="D9E2F3"/>
            <w:vAlign w:val="center"/>
          </w:tcPr>
          <w:p w14:paraId="5BF30A38" w14:textId="77777777" w:rsidR="00990B14" w:rsidRDefault="00000000">
            <w:pPr>
              <w:keepNext/>
              <w:spacing w:before="20" w:after="20"/>
              <w:jc w:val="both"/>
            </w:pPr>
            <w:r>
              <w:rPr>
                <w:b/>
                <w:bCs/>
                <w:i/>
                <w:iCs/>
                <w:sz w:val="18"/>
                <w:szCs w:val="18"/>
              </w:rPr>
              <w:t xml:space="preserve">Producto 10: </w:t>
            </w:r>
            <w:r>
              <w:rPr>
                <w:sz w:val="18"/>
                <w:szCs w:val="18"/>
              </w:rPr>
              <w:t>Cálculo de la vacación anual</w:t>
            </w:r>
          </w:p>
        </w:tc>
        <w:tc>
          <w:tcPr>
            <w:tcW w:w="1911" w:type="dxa"/>
            <w:shd w:val="clear" w:color="auto" w:fill="D9E2F3"/>
            <w:vAlign w:val="center"/>
          </w:tcPr>
          <w:p w14:paraId="15DBDDB7" w14:textId="77777777" w:rsidR="00990B14" w:rsidRDefault="00000000">
            <w:pPr>
              <w:spacing w:before="20" w:after="20"/>
              <w:jc w:val="center"/>
            </w:pPr>
            <w:r>
              <w:rPr>
                <w:b/>
                <w:bCs/>
                <w:sz w:val="18"/>
                <w:szCs w:val="18"/>
              </w:rPr>
              <w:t>6%</w:t>
            </w:r>
          </w:p>
        </w:tc>
      </w:tr>
      <w:tr w:rsidR="00990B14" w14:paraId="70A2C7CC" w14:textId="77777777">
        <w:trPr>
          <w:cantSplit/>
          <w:jc w:val="center"/>
        </w:trPr>
        <w:tc>
          <w:tcPr>
            <w:tcW w:w="1850" w:type="dxa"/>
            <w:vMerge/>
            <w:shd w:val="clear" w:color="auto" w:fill="4472C4"/>
            <w:vAlign w:val="center"/>
          </w:tcPr>
          <w:p w14:paraId="4AF79E62" w14:textId="77777777" w:rsidR="00990B14" w:rsidRDefault="00990B14">
            <w:pPr>
              <w:spacing w:before="20" w:after="20"/>
            </w:pPr>
          </w:p>
        </w:tc>
        <w:tc>
          <w:tcPr>
            <w:tcW w:w="1910" w:type="dxa"/>
            <w:shd w:val="clear" w:color="auto" w:fill="4472C4"/>
            <w:vAlign w:val="center"/>
          </w:tcPr>
          <w:p w14:paraId="1883FDD4" w14:textId="77777777" w:rsidR="00990B14" w:rsidRDefault="00000000">
            <w:pPr>
              <w:keepNext/>
              <w:spacing w:before="20" w:after="20"/>
              <w:jc w:val="center"/>
            </w:pPr>
            <w:r>
              <w:rPr>
                <w:b/>
                <w:bCs/>
                <w:i/>
                <w:iCs/>
                <w:color w:val="FFFFFF"/>
                <w:sz w:val="18"/>
                <w:szCs w:val="18"/>
              </w:rPr>
              <w:t>Criterio</w:t>
            </w:r>
          </w:p>
        </w:tc>
        <w:tc>
          <w:tcPr>
            <w:tcW w:w="1867" w:type="dxa"/>
            <w:shd w:val="clear" w:color="auto" w:fill="4472C4"/>
            <w:vAlign w:val="center"/>
          </w:tcPr>
          <w:p w14:paraId="1AAD7AE5" w14:textId="77777777" w:rsidR="00990B14" w:rsidRDefault="00000000">
            <w:pPr>
              <w:keepNext/>
              <w:spacing w:before="20" w:after="20"/>
              <w:jc w:val="center"/>
            </w:pPr>
            <w:r>
              <w:rPr>
                <w:b/>
                <w:bCs/>
                <w:i/>
                <w:iCs/>
                <w:color w:val="FFFFFF"/>
                <w:sz w:val="18"/>
                <w:szCs w:val="18"/>
              </w:rPr>
              <w:t>Insuficiente (1–50)</w:t>
            </w:r>
          </w:p>
        </w:tc>
        <w:tc>
          <w:tcPr>
            <w:tcW w:w="1867" w:type="dxa"/>
            <w:shd w:val="clear" w:color="auto" w:fill="4472C4"/>
            <w:vAlign w:val="center"/>
          </w:tcPr>
          <w:p w14:paraId="0C50649B" w14:textId="77777777" w:rsidR="00990B14" w:rsidRDefault="00000000">
            <w:pPr>
              <w:keepNext/>
              <w:spacing w:before="20" w:after="20"/>
              <w:jc w:val="center"/>
            </w:pPr>
            <w:r>
              <w:rPr>
                <w:b/>
                <w:bCs/>
                <w:i/>
                <w:iCs/>
                <w:color w:val="FFFFFF"/>
                <w:sz w:val="18"/>
                <w:szCs w:val="18"/>
              </w:rPr>
              <w:t>Suficiente (51–80)</w:t>
            </w:r>
          </w:p>
        </w:tc>
        <w:tc>
          <w:tcPr>
            <w:tcW w:w="1911" w:type="dxa"/>
            <w:shd w:val="clear" w:color="auto" w:fill="4472C4"/>
            <w:vAlign w:val="center"/>
          </w:tcPr>
          <w:p w14:paraId="033057BE" w14:textId="77777777" w:rsidR="00990B14" w:rsidRDefault="00000000">
            <w:pPr>
              <w:keepNext/>
              <w:spacing w:before="20" w:after="20"/>
              <w:jc w:val="center"/>
            </w:pPr>
            <w:r>
              <w:rPr>
                <w:b/>
                <w:bCs/>
                <w:i/>
                <w:iCs/>
                <w:color w:val="FFFFFF"/>
                <w:sz w:val="18"/>
                <w:szCs w:val="18"/>
              </w:rPr>
              <w:t>Destacado (81–100)</w:t>
            </w:r>
          </w:p>
        </w:tc>
      </w:tr>
      <w:tr w:rsidR="00990B14" w14:paraId="7926A203" w14:textId="77777777">
        <w:trPr>
          <w:cantSplit/>
          <w:jc w:val="center"/>
        </w:trPr>
        <w:tc>
          <w:tcPr>
            <w:tcW w:w="1850" w:type="dxa"/>
            <w:vMerge/>
            <w:shd w:val="clear" w:color="auto" w:fill="4472C4"/>
            <w:vAlign w:val="center"/>
          </w:tcPr>
          <w:p w14:paraId="2FD7CAA8" w14:textId="77777777" w:rsidR="00990B14" w:rsidRDefault="00990B14">
            <w:pPr>
              <w:spacing w:before="20" w:after="20"/>
            </w:pPr>
          </w:p>
        </w:tc>
        <w:tc>
          <w:tcPr>
            <w:tcW w:w="1910" w:type="dxa"/>
            <w:shd w:val="clear" w:color="auto" w:fill="D9E2F3"/>
            <w:vAlign w:val="center"/>
          </w:tcPr>
          <w:p w14:paraId="04866F05" w14:textId="77777777" w:rsidR="00990B14" w:rsidRDefault="00000000">
            <w:pPr>
              <w:spacing w:before="20" w:after="20"/>
              <w:jc w:val="center"/>
            </w:pPr>
            <w:r>
              <w:rPr>
                <w:sz w:val="18"/>
                <w:szCs w:val="18"/>
              </w:rPr>
              <w:t>Derecho</w:t>
            </w:r>
          </w:p>
        </w:tc>
        <w:tc>
          <w:tcPr>
            <w:tcW w:w="1867" w:type="dxa"/>
            <w:shd w:val="clear" w:color="auto" w:fill="D9E2F3"/>
            <w:vAlign w:val="center"/>
          </w:tcPr>
          <w:p w14:paraId="345DBA14" w14:textId="77777777" w:rsidR="00990B14" w:rsidRDefault="00000000">
            <w:pPr>
              <w:spacing w:before="20" w:after="20"/>
              <w:jc w:val="both"/>
            </w:pPr>
            <w:r>
              <w:rPr>
                <w:sz w:val="18"/>
                <w:szCs w:val="18"/>
              </w:rPr>
              <w:t>No verifica el derecho a vacación.</w:t>
            </w:r>
          </w:p>
        </w:tc>
        <w:tc>
          <w:tcPr>
            <w:tcW w:w="1867" w:type="dxa"/>
            <w:shd w:val="clear" w:color="auto" w:fill="D9E2F3"/>
            <w:vAlign w:val="center"/>
          </w:tcPr>
          <w:p w14:paraId="0AB87200" w14:textId="77777777" w:rsidR="00990B14" w:rsidRDefault="00000000">
            <w:pPr>
              <w:spacing w:before="20" w:after="20"/>
              <w:jc w:val="both"/>
            </w:pPr>
            <w:r>
              <w:rPr>
                <w:sz w:val="18"/>
                <w:szCs w:val="18"/>
              </w:rPr>
              <w:t>Verifica el tiempo requerido y la escala.</w:t>
            </w:r>
          </w:p>
        </w:tc>
        <w:tc>
          <w:tcPr>
            <w:tcW w:w="1911" w:type="dxa"/>
            <w:shd w:val="clear" w:color="auto" w:fill="D9E2F3"/>
            <w:vAlign w:val="center"/>
          </w:tcPr>
          <w:p w14:paraId="60FA3095" w14:textId="77777777" w:rsidR="00990B14" w:rsidRDefault="00000000">
            <w:pPr>
              <w:spacing w:before="20" w:after="20"/>
              <w:jc w:val="both"/>
            </w:pPr>
            <w:r>
              <w:rPr>
                <w:sz w:val="18"/>
                <w:szCs w:val="18"/>
              </w:rPr>
              <w:t>Considera las faltas y las vacaciones colectivas.</w:t>
            </w:r>
          </w:p>
        </w:tc>
      </w:tr>
      <w:tr w:rsidR="00990B14" w14:paraId="65B751BC" w14:textId="77777777">
        <w:trPr>
          <w:cantSplit/>
          <w:jc w:val="center"/>
        </w:trPr>
        <w:tc>
          <w:tcPr>
            <w:tcW w:w="1850" w:type="dxa"/>
            <w:vMerge/>
            <w:shd w:val="clear" w:color="auto" w:fill="4472C4"/>
            <w:vAlign w:val="center"/>
          </w:tcPr>
          <w:p w14:paraId="5A223DC8" w14:textId="77777777" w:rsidR="00990B14" w:rsidRDefault="00990B14">
            <w:pPr>
              <w:spacing w:before="20" w:after="20"/>
            </w:pPr>
          </w:p>
        </w:tc>
        <w:tc>
          <w:tcPr>
            <w:tcW w:w="1910" w:type="dxa"/>
            <w:shd w:val="clear" w:color="auto" w:fill="D9E2F3"/>
            <w:vAlign w:val="center"/>
          </w:tcPr>
          <w:p w14:paraId="6EA902B0" w14:textId="77777777" w:rsidR="00990B14" w:rsidRDefault="00000000">
            <w:pPr>
              <w:spacing w:before="20" w:after="20"/>
              <w:jc w:val="center"/>
            </w:pPr>
            <w:r>
              <w:rPr>
                <w:sz w:val="18"/>
                <w:szCs w:val="18"/>
              </w:rPr>
              <w:t>Pago</w:t>
            </w:r>
          </w:p>
        </w:tc>
        <w:tc>
          <w:tcPr>
            <w:tcW w:w="1867" w:type="dxa"/>
            <w:shd w:val="clear" w:color="auto" w:fill="D9E2F3"/>
            <w:vAlign w:val="center"/>
          </w:tcPr>
          <w:p w14:paraId="64D8FC64" w14:textId="77777777" w:rsidR="00990B14" w:rsidRDefault="00000000">
            <w:pPr>
              <w:spacing w:before="20" w:after="20"/>
              <w:jc w:val="both"/>
            </w:pPr>
            <w:r>
              <w:rPr>
                <w:sz w:val="18"/>
                <w:szCs w:val="18"/>
              </w:rPr>
              <w:t>Calcula mal el pago.</w:t>
            </w:r>
          </w:p>
        </w:tc>
        <w:tc>
          <w:tcPr>
            <w:tcW w:w="1867" w:type="dxa"/>
            <w:shd w:val="clear" w:color="auto" w:fill="D9E2F3"/>
            <w:vAlign w:val="center"/>
          </w:tcPr>
          <w:p w14:paraId="73577C3D" w14:textId="77777777" w:rsidR="00990B14" w:rsidRDefault="00000000">
            <w:pPr>
              <w:spacing w:before="20" w:after="20"/>
              <w:jc w:val="both"/>
            </w:pPr>
            <w:r>
              <w:rPr>
                <w:sz w:val="18"/>
                <w:szCs w:val="18"/>
              </w:rPr>
              <w:t>Calcula el pago de la vacación.</w:t>
            </w:r>
          </w:p>
        </w:tc>
        <w:tc>
          <w:tcPr>
            <w:tcW w:w="1911" w:type="dxa"/>
            <w:shd w:val="clear" w:color="auto" w:fill="D9E2F3"/>
            <w:vAlign w:val="center"/>
          </w:tcPr>
          <w:p w14:paraId="7E463049" w14:textId="77777777" w:rsidR="00990B14" w:rsidRDefault="00000000">
            <w:pPr>
              <w:spacing w:before="20" w:after="20"/>
              <w:jc w:val="both"/>
            </w:pPr>
            <w:r>
              <w:rPr>
                <w:sz w:val="18"/>
                <w:szCs w:val="18"/>
              </w:rPr>
              <w:t>Explica cada paso del cálculo.</w:t>
            </w:r>
          </w:p>
        </w:tc>
      </w:tr>
      <w:tr w:rsidR="00990B14" w14:paraId="659EEE53" w14:textId="77777777">
        <w:trPr>
          <w:cantSplit/>
          <w:jc w:val="center"/>
        </w:trPr>
        <w:tc>
          <w:tcPr>
            <w:tcW w:w="1850" w:type="dxa"/>
            <w:vMerge/>
            <w:shd w:val="clear" w:color="auto" w:fill="4472C4"/>
            <w:vAlign w:val="center"/>
          </w:tcPr>
          <w:p w14:paraId="44C784D2" w14:textId="77777777" w:rsidR="00990B14" w:rsidRDefault="00990B14">
            <w:pPr>
              <w:spacing w:before="20" w:after="20"/>
            </w:pPr>
          </w:p>
        </w:tc>
        <w:tc>
          <w:tcPr>
            <w:tcW w:w="1910" w:type="dxa"/>
            <w:shd w:val="clear" w:color="auto" w:fill="D9E2F3"/>
            <w:vAlign w:val="center"/>
          </w:tcPr>
          <w:p w14:paraId="353F38DE" w14:textId="77777777" w:rsidR="00990B14" w:rsidRDefault="00000000">
            <w:pPr>
              <w:spacing w:before="20" w:after="20"/>
              <w:jc w:val="center"/>
            </w:pPr>
            <w:r>
              <w:rPr>
                <w:sz w:val="18"/>
                <w:szCs w:val="18"/>
              </w:rPr>
              <w:t>Exactitud</w:t>
            </w:r>
          </w:p>
        </w:tc>
        <w:tc>
          <w:tcPr>
            <w:tcW w:w="1867" w:type="dxa"/>
            <w:shd w:val="clear" w:color="auto" w:fill="D9E2F3"/>
            <w:vAlign w:val="center"/>
          </w:tcPr>
          <w:p w14:paraId="5575688D" w14:textId="77777777" w:rsidR="00990B14" w:rsidRDefault="00000000">
            <w:pPr>
              <w:spacing w:before="20" w:after="20"/>
              <w:jc w:val="both"/>
            </w:pPr>
            <w:r>
              <w:rPr>
                <w:sz w:val="18"/>
                <w:szCs w:val="18"/>
              </w:rPr>
              <w:t>Los totales no cuadran.</w:t>
            </w:r>
          </w:p>
        </w:tc>
        <w:tc>
          <w:tcPr>
            <w:tcW w:w="1867" w:type="dxa"/>
            <w:shd w:val="clear" w:color="auto" w:fill="D9E2F3"/>
            <w:vAlign w:val="center"/>
          </w:tcPr>
          <w:p w14:paraId="1438C324" w14:textId="77777777" w:rsidR="00990B14" w:rsidRDefault="00000000">
            <w:pPr>
              <w:spacing w:before="20" w:after="20"/>
              <w:jc w:val="both"/>
            </w:pPr>
            <w:r>
              <w:rPr>
                <w:sz w:val="18"/>
                <w:szCs w:val="18"/>
              </w:rPr>
              <w:t>Los cálculos son correctos.</w:t>
            </w:r>
          </w:p>
        </w:tc>
        <w:tc>
          <w:tcPr>
            <w:tcW w:w="1911" w:type="dxa"/>
            <w:shd w:val="clear" w:color="auto" w:fill="D9E2F3"/>
            <w:vAlign w:val="center"/>
          </w:tcPr>
          <w:p w14:paraId="60A2EE5A" w14:textId="77777777" w:rsidR="00990B14" w:rsidRDefault="00000000">
            <w:pPr>
              <w:spacing w:before="20" w:after="20"/>
              <w:jc w:val="both"/>
            </w:pPr>
            <w:r>
              <w:rPr>
                <w:sz w:val="18"/>
                <w:szCs w:val="18"/>
              </w:rPr>
              <w:t>Los cálculos están verificados.</w:t>
            </w:r>
          </w:p>
        </w:tc>
      </w:tr>
      <w:tr w:rsidR="00990B14" w14:paraId="563FD4F6" w14:textId="77777777">
        <w:trPr>
          <w:cantSplit/>
          <w:jc w:val="center"/>
        </w:trPr>
        <w:tc>
          <w:tcPr>
            <w:tcW w:w="1850" w:type="dxa"/>
            <w:vMerge/>
            <w:shd w:val="clear" w:color="auto" w:fill="4472C4"/>
            <w:vAlign w:val="center"/>
          </w:tcPr>
          <w:p w14:paraId="1D29DB1E" w14:textId="77777777" w:rsidR="00990B14" w:rsidRDefault="00990B14">
            <w:pPr>
              <w:spacing w:before="20" w:after="20"/>
            </w:pPr>
          </w:p>
        </w:tc>
        <w:tc>
          <w:tcPr>
            <w:tcW w:w="5644" w:type="dxa"/>
            <w:gridSpan w:val="3"/>
            <w:shd w:val="clear" w:color="auto" w:fill="D9E2F3"/>
            <w:vAlign w:val="center"/>
          </w:tcPr>
          <w:p w14:paraId="69C7D621" w14:textId="77777777" w:rsidR="00990B14" w:rsidRDefault="00000000">
            <w:pPr>
              <w:keepNext/>
              <w:spacing w:before="20" w:after="20"/>
              <w:jc w:val="both"/>
            </w:pPr>
            <w:r>
              <w:rPr>
                <w:b/>
                <w:bCs/>
                <w:i/>
                <w:iCs/>
                <w:sz w:val="18"/>
                <w:szCs w:val="18"/>
              </w:rPr>
              <w:t xml:space="preserve">Producto 11: </w:t>
            </w:r>
            <w:r>
              <w:rPr>
                <w:sz w:val="18"/>
                <w:szCs w:val="18"/>
              </w:rPr>
              <w:t>Boleta de pago</w:t>
            </w:r>
          </w:p>
        </w:tc>
        <w:tc>
          <w:tcPr>
            <w:tcW w:w="1911" w:type="dxa"/>
            <w:shd w:val="clear" w:color="auto" w:fill="D9E2F3"/>
            <w:vAlign w:val="center"/>
          </w:tcPr>
          <w:p w14:paraId="326E8DBA" w14:textId="77777777" w:rsidR="00990B14" w:rsidRDefault="00000000">
            <w:pPr>
              <w:spacing w:before="20" w:after="20"/>
              <w:jc w:val="center"/>
            </w:pPr>
            <w:r>
              <w:rPr>
                <w:b/>
                <w:bCs/>
                <w:sz w:val="18"/>
                <w:szCs w:val="18"/>
              </w:rPr>
              <w:t>6%</w:t>
            </w:r>
          </w:p>
        </w:tc>
      </w:tr>
      <w:tr w:rsidR="00990B14" w14:paraId="36B907E0" w14:textId="77777777">
        <w:trPr>
          <w:cantSplit/>
          <w:jc w:val="center"/>
        </w:trPr>
        <w:tc>
          <w:tcPr>
            <w:tcW w:w="1850" w:type="dxa"/>
            <w:vMerge/>
            <w:shd w:val="clear" w:color="auto" w:fill="4472C4"/>
            <w:vAlign w:val="center"/>
          </w:tcPr>
          <w:p w14:paraId="69D9CAA4" w14:textId="77777777" w:rsidR="00990B14" w:rsidRDefault="00990B14">
            <w:pPr>
              <w:spacing w:before="20" w:after="20"/>
            </w:pPr>
          </w:p>
        </w:tc>
        <w:tc>
          <w:tcPr>
            <w:tcW w:w="1910" w:type="dxa"/>
            <w:shd w:val="clear" w:color="auto" w:fill="4472C4"/>
            <w:vAlign w:val="center"/>
          </w:tcPr>
          <w:p w14:paraId="633FD748" w14:textId="77777777" w:rsidR="00990B14" w:rsidRDefault="00000000">
            <w:pPr>
              <w:keepNext/>
              <w:spacing w:before="20" w:after="20"/>
              <w:jc w:val="center"/>
            </w:pPr>
            <w:r>
              <w:rPr>
                <w:b/>
                <w:bCs/>
                <w:i/>
                <w:iCs/>
                <w:color w:val="FFFFFF"/>
                <w:sz w:val="18"/>
                <w:szCs w:val="18"/>
              </w:rPr>
              <w:t>Criterio</w:t>
            </w:r>
          </w:p>
        </w:tc>
        <w:tc>
          <w:tcPr>
            <w:tcW w:w="1867" w:type="dxa"/>
            <w:shd w:val="clear" w:color="auto" w:fill="4472C4"/>
            <w:vAlign w:val="center"/>
          </w:tcPr>
          <w:p w14:paraId="2332DFF7" w14:textId="77777777" w:rsidR="00990B14" w:rsidRDefault="00000000">
            <w:pPr>
              <w:keepNext/>
              <w:spacing w:before="20" w:after="20"/>
              <w:jc w:val="center"/>
            </w:pPr>
            <w:r>
              <w:rPr>
                <w:b/>
                <w:bCs/>
                <w:i/>
                <w:iCs/>
                <w:color w:val="FFFFFF"/>
                <w:sz w:val="18"/>
                <w:szCs w:val="18"/>
              </w:rPr>
              <w:t>Insuficiente (1–50)</w:t>
            </w:r>
          </w:p>
        </w:tc>
        <w:tc>
          <w:tcPr>
            <w:tcW w:w="1867" w:type="dxa"/>
            <w:shd w:val="clear" w:color="auto" w:fill="4472C4"/>
            <w:vAlign w:val="center"/>
          </w:tcPr>
          <w:p w14:paraId="71C6D567" w14:textId="77777777" w:rsidR="00990B14" w:rsidRDefault="00000000">
            <w:pPr>
              <w:keepNext/>
              <w:spacing w:before="20" w:after="20"/>
              <w:jc w:val="center"/>
            </w:pPr>
            <w:r>
              <w:rPr>
                <w:b/>
                <w:bCs/>
                <w:i/>
                <w:iCs/>
                <w:color w:val="FFFFFF"/>
                <w:sz w:val="18"/>
                <w:szCs w:val="18"/>
              </w:rPr>
              <w:t>Suficiente (51–80)</w:t>
            </w:r>
          </w:p>
        </w:tc>
        <w:tc>
          <w:tcPr>
            <w:tcW w:w="1911" w:type="dxa"/>
            <w:shd w:val="clear" w:color="auto" w:fill="4472C4"/>
            <w:vAlign w:val="center"/>
          </w:tcPr>
          <w:p w14:paraId="73F5C5FA" w14:textId="77777777" w:rsidR="00990B14" w:rsidRDefault="00000000">
            <w:pPr>
              <w:keepNext/>
              <w:spacing w:before="20" w:after="20"/>
              <w:jc w:val="center"/>
            </w:pPr>
            <w:r>
              <w:rPr>
                <w:b/>
                <w:bCs/>
                <w:i/>
                <w:iCs/>
                <w:color w:val="FFFFFF"/>
                <w:sz w:val="18"/>
                <w:szCs w:val="18"/>
              </w:rPr>
              <w:t>Destacado (81–100)</w:t>
            </w:r>
          </w:p>
        </w:tc>
      </w:tr>
      <w:tr w:rsidR="00990B14" w14:paraId="1FC4736E" w14:textId="77777777">
        <w:trPr>
          <w:cantSplit/>
          <w:jc w:val="center"/>
        </w:trPr>
        <w:tc>
          <w:tcPr>
            <w:tcW w:w="1850" w:type="dxa"/>
            <w:vMerge/>
            <w:shd w:val="clear" w:color="auto" w:fill="4472C4"/>
            <w:vAlign w:val="center"/>
          </w:tcPr>
          <w:p w14:paraId="736FE02F" w14:textId="77777777" w:rsidR="00990B14" w:rsidRDefault="00990B14">
            <w:pPr>
              <w:spacing w:before="20" w:after="20"/>
            </w:pPr>
          </w:p>
        </w:tc>
        <w:tc>
          <w:tcPr>
            <w:tcW w:w="1910" w:type="dxa"/>
            <w:shd w:val="clear" w:color="auto" w:fill="D9E2F3"/>
            <w:vAlign w:val="center"/>
          </w:tcPr>
          <w:p w14:paraId="25F853AD" w14:textId="77777777" w:rsidR="00990B14" w:rsidRDefault="00000000">
            <w:pPr>
              <w:spacing w:before="20" w:after="20"/>
              <w:jc w:val="center"/>
            </w:pPr>
            <w:r>
              <w:rPr>
                <w:sz w:val="18"/>
                <w:szCs w:val="18"/>
              </w:rPr>
              <w:t>Haberes</w:t>
            </w:r>
          </w:p>
        </w:tc>
        <w:tc>
          <w:tcPr>
            <w:tcW w:w="1867" w:type="dxa"/>
            <w:shd w:val="clear" w:color="auto" w:fill="D9E2F3"/>
            <w:vAlign w:val="center"/>
          </w:tcPr>
          <w:p w14:paraId="42AEDD34" w14:textId="77777777" w:rsidR="00990B14" w:rsidRDefault="00000000">
            <w:pPr>
              <w:spacing w:before="20" w:after="20"/>
              <w:jc w:val="both"/>
            </w:pPr>
            <w:r>
              <w:rPr>
                <w:sz w:val="18"/>
                <w:szCs w:val="18"/>
              </w:rPr>
              <w:t>Omite conceptos remuneratorios.</w:t>
            </w:r>
          </w:p>
        </w:tc>
        <w:tc>
          <w:tcPr>
            <w:tcW w:w="1867" w:type="dxa"/>
            <w:shd w:val="clear" w:color="auto" w:fill="D9E2F3"/>
            <w:vAlign w:val="center"/>
          </w:tcPr>
          <w:p w14:paraId="4968E710" w14:textId="77777777" w:rsidR="00990B14" w:rsidRDefault="00000000">
            <w:pPr>
              <w:spacing w:before="20" w:after="20"/>
              <w:jc w:val="both"/>
            </w:pPr>
            <w:r>
              <w:rPr>
                <w:sz w:val="18"/>
                <w:szCs w:val="18"/>
              </w:rPr>
              <w:t>Incluye el salario y los conceptos que corresponden.</w:t>
            </w:r>
          </w:p>
        </w:tc>
        <w:tc>
          <w:tcPr>
            <w:tcW w:w="1911" w:type="dxa"/>
            <w:shd w:val="clear" w:color="auto" w:fill="D9E2F3"/>
            <w:vAlign w:val="center"/>
          </w:tcPr>
          <w:p w14:paraId="58751C1D" w14:textId="77777777" w:rsidR="00990B14" w:rsidRDefault="00000000">
            <w:pPr>
              <w:spacing w:before="20" w:after="20"/>
              <w:jc w:val="both"/>
            </w:pPr>
            <w:r>
              <w:rPr>
                <w:sz w:val="18"/>
                <w:szCs w:val="18"/>
              </w:rPr>
              <w:t>Distingue el salario básico del salario total.</w:t>
            </w:r>
          </w:p>
        </w:tc>
      </w:tr>
      <w:tr w:rsidR="00990B14" w14:paraId="74552B05" w14:textId="77777777">
        <w:trPr>
          <w:cantSplit/>
          <w:jc w:val="center"/>
        </w:trPr>
        <w:tc>
          <w:tcPr>
            <w:tcW w:w="1850" w:type="dxa"/>
            <w:vMerge/>
            <w:shd w:val="clear" w:color="auto" w:fill="4472C4"/>
            <w:vAlign w:val="center"/>
          </w:tcPr>
          <w:p w14:paraId="4E8D1635" w14:textId="77777777" w:rsidR="00990B14" w:rsidRDefault="00990B14">
            <w:pPr>
              <w:spacing w:before="20" w:after="20"/>
            </w:pPr>
          </w:p>
        </w:tc>
        <w:tc>
          <w:tcPr>
            <w:tcW w:w="1910" w:type="dxa"/>
            <w:shd w:val="clear" w:color="auto" w:fill="D9E2F3"/>
            <w:vAlign w:val="center"/>
          </w:tcPr>
          <w:p w14:paraId="1599C187" w14:textId="77777777" w:rsidR="00990B14" w:rsidRDefault="00000000">
            <w:pPr>
              <w:spacing w:before="20" w:after="20"/>
              <w:jc w:val="center"/>
            </w:pPr>
            <w:r>
              <w:rPr>
                <w:sz w:val="18"/>
                <w:szCs w:val="18"/>
              </w:rPr>
              <w:t>Descuentos</w:t>
            </w:r>
          </w:p>
        </w:tc>
        <w:tc>
          <w:tcPr>
            <w:tcW w:w="1867" w:type="dxa"/>
            <w:shd w:val="clear" w:color="auto" w:fill="D9E2F3"/>
            <w:vAlign w:val="center"/>
          </w:tcPr>
          <w:p w14:paraId="46A21C74" w14:textId="77777777" w:rsidR="00990B14" w:rsidRDefault="00000000">
            <w:pPr>
              <w:spacing w:before="20" w:after="20"/>
              <w:jc w:val="both"/>
            </w:pPr>
            <w:r>
              <w:rPr>
                <w:sz w:val="18"/>
                <w:szCs w:val="18"/>
              </w:rPr>
              <w:t>Aplica mal los aportes.</w:t>
            </w:r>
          </w:p>
        </w:tc>
        <w:tc>
          <w:tcPr>
            <w:tcW w:w="1867" w:type="dxa"/>
            <w:shd w:val="clear" w:color="auto" w:fill="D9E2F3"/>
            <w:vAlign w:val="center"/>
          </w:tcPr>
          <w:p w14:paraId="542A61C2" w14:textId="77777777" w:rsidR="00990B14" w:rsidRDefault="00000000">
            <w:pPr>
              <w:spacing w:before="20" w:after="20"/>
              <w:jc w:val="both"/>
            </w:pPr>
            <w:r>
              <w:rPr>
                <w:sz w:val="18"/>
                <w:szCs w:val="18"/>
              </w:rPr>
              <w:t>Aplica los aportes de ley.</w:t>
            </w:r>
          </w:p>
        </w:tc>
        <w:tc>
          <w:tcPr>
            <w:tcW w:w="1911" w:type="dxa"/>
            <w:shd w:val="clear" w:color="auto" w:fill="D9E2F3"/>
            <w:vAlign w:val="center"/>
          </w:tcPr>
          <w:p w14:paraId="78F54496" w14:textId="77777777" w:rsidR="00990B14" w:rsidRDefault="00000000">
            <w:pPr>
              <w:spacing w:before="20" w:after="20"/>
              <w:jc w:val="both"/>
            </w:pPr>
            <w:r>
              <w:rPr>
                <w:sz w:val="18"/>
                <w:szCs w:val="18"/>
              </w:rPr>
              <w:t>Verifica los descuentos con la norma vigente.</w:t>
            </w:r>
          </w:p>
        </w:tc>
      </w:tr>
      <w:tr w:rsidR="00990B14" w14:paraId="1F74C9C1" w14:textId="77777777">
        <w:trPr>
          <w:cantSplit/>
          <w:jc w:val="center"/>
        </w:trPr>
        <w:tc>
          <w:tcPr>
            <w:tcW w:w="1850" w:type="dxa"/>
            <w:vMerge/>
            <w:shd w:val="clear" w:color="auto" w:fill="4472C4"/>
            <w:vAlign w:val="center"/>
          </w:tcPr>
          <w:p w14:paraId="02605AD4" w14:textId="77777777" w:rsidR="00990B14" w:rsidRDefault="00990B14">
            <w:pPr>
              <w:spacing w:before="20" w:after="20"/>
            </w:pPr>
          </w:p>
        </w:tc>
        <w:tc>
          <w:tcPr>
            <w:tcW w:w="1910" w:type="dxa"/>
            <w:shd w:val="clear" w:color="auto" w:fill="D9E2F3"/>
            <w:vAlign w:val="center"/>
          </w:tcPr>
          <w:p w14:paraId="45891BCE" w14:textId="77777777" w:rsidR="00990B14" w:rsidRDefault="00000000">
            <w:pPr>
              <w:spacing w:before="20" w:after="20"/>
              <w:jc w:val="center"/>
            </w:pPr>
            <w:r>
              <w:rPr>
                <w:sz w:val="18"/>
                <w:szCs w:val="18"/>
              </w:rPr>
              <w:t>Confidencialidad</w:t>
            </w:r>
          </w:p>
        </w:tc>
        <w:tc>
          <w:tcPr>
            <w:tcW w:w="1867" w:type="dxa"/>
            <w:shd w:val="clear" w:color="auto" w:fill="D9E2F3"/>
            <w:vAlign w:val="center"/>
          </w:tcPr>
          <w:p w14:paraId="37FC8ECC" w14:textId="77777777" w:rsidR="00990B14" w:rsidRDefault="00000000">
            <w:pPr>
              <w:spacing w:before="20" w:after="20"/>
              <w:jc w:val="both"/>
            </w:pPr>
            <w:r>
              <w:rPr>
                <w:sz w:val="18"/>
                <w:szCs w:val="18"/>
              </w:rPr>
              <w:t>Expone datos personales.</w:t>
            </w:r>
          </w:p>
        </w:tc>
        <w:tc>
          <w:tcPr>
            <w:tcW w:w="1867" w:type="dxa"/>
            <w:shd w:val="clear" w:color="auto" w:fill="D9E2F3"/>
            <w:vAlign w:val="center"/>
          </w:tcPr>
          <w:p w14:paraId="6EFEF43C" w14:textId="77777777" w:rsidR="00990B14" w:rsidRDefault="00000000">
            <w:pPr>
              <w:spacing w:before="20" w:after="20"/>
              <w:jc w:val="both"/>
            </w:pPr>
            <w:r>
              <w:rPr>
                <w:sz w:val="18"/>
                <w:szCs w:val="18"/>
              </w:rPr>
              <w:t>Resguarda los datos del trabajador.</w:t>
            </w:r>
          </w:p>
        </w:tc>
        <w:tc>
          <w:tcPr>
            <w:tcW w:w="1911" w:type="dxa"/>
            <w:shd w:val="clear" w:color="auto" w:fill="D9E2F3"/>
            <w:vAlign w:val="center"/>
          </w:tcPr>
          <w:p w14:paraId="45EC909E" w14:textId="77777777" w:rsidR="00990B14" w:rsidRDefault="00000000">
            <w:pPr>
              <w:spacing w:before="20" w:after="20"/>
              <w:jc w:val="both"/>
            </w:pPr>
            <w:r>
              <w:rPr>
                <w:sz w:val="18"/>
                <w:szCs w:val="18"/>
              </w:rPr>
              <w:t>Propone controles de acceso a la planilla.</w:t>
            </w:r>
          </w:p>
        </w:tc>
      </w:tr>
      <w:tr w:rsidR="00990B14" w14:paraId="665A2414" w14:textId="77777777">
        <w:trPr>
          <w:cantSplit/>
          <w:jc w:val="center"/>
        </w:trPr>
        <w:tc>
          <w:tcPr>
            <w:tcW w:w="1850" w:type="dxa"/>
            <w:vMerge/>
            <w:shd w:val="clear" w:color="auto" w:fill="4472C4"/>
            <w:vAlign w:val="center"/>
          </w:tcPr>
          <w:p w14:paraId="5E6CA81C" w14:textId="77777777" w:rsidR="00990B14" w:rsidRDefault="00990B14">
            <w:pPr>
              <w:spacing w:before="20" w:after="20"/>
            </w:pPr>
          </w:p>
        </w:tc>
        <w:tc>
          <w:tcPr>
            <w:tcW w:w="5644" w:type="dxa"/>
            <w:gridSpan w:val="3"/>
            <w:shd w:val="clear" w:color="auto" w:fill="D9E2F3"/>
            <w:vAlign w:val="center"/>
          </w:tcPr>
          <w:p w14:paraId="097A2074" w14:textId="77777777" w:rsidR="00990B14" w:rsidRDefault="00000000">
            <w:pPr>
              <w:keepNext/>
              <w:spacing w:before="20" w:after="20"/>
              <w:jc w:val="both"/>
            </w:pPr>
            <w:r>
              <w:rPr>
                <w:b/>
                <w:bCs/>
                <w:i/>
                <w:iCs/>
                <w:sz w:val="18"/>
                <w:szCs w:val="18"/>
              </w:rPr>
              <w:t xml:space="preserve">Producto 12: </w:t>
            </w:r>
            <w:r>
              <w:rPr>
                <w:sz w:val="18"/>
                <w:szCs w:val="18"/>
              </w:rPr>
              <w:t>Cuadro de conceptos remunerables</w:t>
            </w:r>
          </w:p>
        </w:tc>
        <w:tc>
          <w:tcPr>
            <w:tcW w:w="1911" w:type="dxa"/>
            <w:shd w:val="clear" w:color="auto" w:fill="D9E2F3"/>
            <w:vAlign w:val="center"/>
          </w:tcPr>
          <w:p w14:paraId="2D3BB34C" w14:textId="77777777" w:rsidR="00990B14" w:rsidRDefault="00000000">
            <w:pPr>
              <w:spacing w:before="20" w:after="20"/>
              <w:jc w:val="center"/>
            </w:pPr>
            <w:r>
              <w:rPr>
                <w:b/>
                <w:bCs/>
                <w:sz w:val="18"/>
                <w:szCs w:val="18"/>
              </w:rPr>
              <w:t>6%</w:t>
            </w:r>
          </w:p>
        </w:tc>
      </w:tr>
      <w:tr w:rsidR="00990B14" w14:paraId="02FBE4C1" w14:textId="77777777">
        <w:trPr>
          <w:cantSplit/>
          <w:jc w:val="center"/>
        </w:trPr>
        <w:tc>
          <w:tcPr>
            <w:tcW w:w="1850" w:type="dxa"/>
            <w:vMerge/>
            <w:shd w:val="clear" w:color="auto" w:fill="4472C4"/>
            <w:vAlign w:val="center"/>
          </w:tcPr>
          <w:p w14:paraId="2B26F952" w14:textId="77777777" w:rsidR="00990B14" w:rsidRDefault="00990B14">
            <w:pPr>
              <w:spacing w:before="20" w:after="20"/>
            </w:pPr>
          </w:p>
        </w:tc>
        <w:tc>
          <w:tcPr>
            <w:tcW w:w="1910" w:type="dxa"/>
            <w:shd w:val="clear" w:color="auto" w:fill="4472C4"/>
            <w:vAlign w:val="center"/>
          </w:tcPr>
          <w:p w14:paraId="11378167" w14:textId="77777777" w:rsidR="00990B14" w:rsidRDefault="00000000">
            <w:pPr>
              <w:keepNext/>
              <w:spacing w:before="20" w:after="20"/>
              <w:jc w:val="center"/>
            </w:pPr>
            <w:r>
              <w:rPr>
                <w:b/>
                <w:bCs/>
                <w:i/>
                <w:iCs/>
                <w:color w:val="FFFFFF"/>
                <w:sz w:val="18"/>
                <w:szCs w:val="18"/>
              </w:rPr>
              <w:t>Criterio</w:t>
            </w:r>
          </w:p>
        </w:tc>
        <w:tc>
          <w:tcPr>
            <w:tcW w:w="1867" w:type="dxa"/>
            <w:shd w:val="clear" w:color="auto" w:fill="4472C4"/>
            <w:vAlign w:val="center"/>
          </w:tcPr>
          <w:p w14:paraId="196C1241" w14:textId="77777777" w:rsidR="00990B14" w:rsidRDefault="00000000">
            <w:pPr>
              <w:keepNext/>
              <w:spacing w:before="20" w:after="20"/>
              <w:jc w:val="center"/>
            </w:pPr>
            <w:r>
              <w:rPr>
                <w:b/>
                <w:bCs/>
                <w:i/>
                <w:iCs/>
                <w:color w:val="FFFFFF"/>
                <w:sz w:val="18"/>
                <w:szCs w:val="18"/>
              </w:rPr>
              <w:t>Insuficiente (1–50)</w:t>
            </w:r>
          </w:p>
        </w:tc>
        <w:tc>
          <w:tcPr>
            <w:tcW w:w="1867" w:type="dxa"/>
            <w:shd w:val="clear" w:color="auto" w:fill="4472C4"/>
            <w:vAlign w:val="center"/>
          </w:tcPr>
          <w:p w14:paraId="6205062D" w14:textId="77777777" w:rsidR="00990B14" w:rsidRDefault="00000000">
            <w:pPr>
              <w:keepNext/>
              <w:spacing w:before="20" w:after="20"/>
              <w:jc w:val="center"/>
            </w:pPr>
            <w:r>
              <w:rPr>
                <w:b/>
                <w:bCs/>
                <w:i/>
                <w:iCs/>
                <w:color w:val="FFFFFF"/>
                <w:sz w:val="18"/>
                <w:szCs w:val="18"/>
              </w:rPr>
              <w:t>Suficiente (51–80)</w:t>
            </w:r>
          </w:p>
        </w:tc>
        <w:tc>
          <w:tcPr>
            <w:tcW w:w="1911" w:type="dxa"/>
            <w:shd w:val="clear" w:color="auto" w:fill="4472C4"/>
            <w:vAlign w:val="center"/>
          </w:tcPr>
          <w:p w14:paraId="75CADFE2" w14:textId="77777777" w:rsidR="00990B14" w:rsidRDefault="00000000">
            <w:pPr>
              <w:keepNext/>
              <w:spacing w:before="20" w:after="20"/>
              <w:jc w:val="center"/>
            </w:pPr>
            <w:r>
              <w:rPr>
                <w:b/>
                <w:bCs/>
                <w:i/>
                <w:iCs/>
                <w:color w:val="FFFFFF"/>
                <w:sz w:val="18"/>
                <w:szCs w:val="18"/>
              </w:rPr>
              <w:t>Destacado (81–100)</w:t>
            </w:r>
          </w:p>
        </w:tc>
      </w:tr>
      <w:tr w:rsidR="00990B14" w14:paraId="2DA66120" w14:textId="77777777">
        <w:trPr>
          <w:cantSplit/>
          <w:jc w:val="center"/>
        </w:trPr>
        <w:tc>
          <w:tcPr>
            <w:tcW w:w="1850" w:type="dxa"/>
            <w:vMerge/>
            <w:shd w:val="clear" w:color="auto" w:fill="4472C4"/>
            <w:vAlign w:val="center"/>
          </w:tcPr>
          <w:p w14:paraId="14837923" w14:textId="77777777" w:rsidR="00990B14" w:rsidRDefault="00990B14">
            <w:pPr>
              <w:spacing w:before="20" w:after="20"/>
            </w:pPr>
          </w:p>
        </w:tc>
        <w:tc>
          <w:tcPr>
            <w:tcW w:w="1910" w:type="dxa"/>
            <w:shd w:val="clear" w:color="auto" w:fill="D9E2F3"/>
            <w:vAlign w:val="center"/>
          </w:tcPr>
          <w:p w14:paraId="12CAEFF6" w14:textId="77777777" w:rsidR="00990B14" w:rsidRDefault="00000000">
            <w:pPr>
              <w:spacing w:before="20" w:after="20"/>
              <w:jc w:val="center"/>
            </w:pPr>
            <w:r>
              <w:rPr>
                <w:sz w:val="18"/>
                <w:szCs w:val="18"/>
              </w:rPr>
              <w:t>Bono de antigüedad</w:t>
            </w:r>
          </w:p>
        </w:tc>
        <w:tc>
          <w:tcPr>
            <w:tcW w:w="1867" w:type="dxa"/>
            <w:shd w:val="clear" w:color="auto" w:fill="D9E2F3"/>
            <w:vAlign w:val="center"/>
          </w:tcPr>
          <w:p w14:paraId="0E647C59" w14:textId="77777777" w:rsidR="00990B14" w:rsidRDefault="00000000">
            <w:pPr>
              <w:spacing w:before="20" w:after="20"/>
              <w:jc w:val="both"/>
            </w:pPr>
            <w:r>
              <w:rPr>
                <w:sz w:val="18"/>
                <w:szCs w:val="18"/>
              </w:rPr>
              <w:t>Aplica mal la escala.</w:t>
            </w:r>
          </w:p>
        </w:tc>
        <w:tc>
          <w:tcPr>
            <w:tcW w:w="1867" w:type="dxa"/>
            <w:shd w:val="clear" w:color="auto" w:fill="D9E2F3"/>
            <w:vAlign w:val="center"/>
          </w:tcPr>
          <w:p w14:paraId="40031CDA" w14:textId="77777777" w:rsidR="00990B14" w:rsidRDefault="00000000">
            <w:pPr>
              <w:spacing w:before="20" w:after="20"/>
              <w:jc w:val="both"/>
            </w:pPr>
            <w:r>
              <w:rPr>
                <w:sz w:val="18"/>
                <w:szCs w:val="18"/>
              </w:rPr>
              <w:t>Aplica la escala de antigüedad.</w:t>
            </w:r>
          </w:p>
        </w:tc>
        <w:tc>
          <w:tcPr>
            <w:tcW w:w="1911" w:type="dxa"/>
            <w:shd w:val="clear" w:color="auto" w:fill="D9E2F3"/>
            <w:vAlign w:val="center"/>
          </w:tcPr>
          <w:p w14:paraId="5276ABB7" w14:textId="77777777" w:rsidR="00990B14" w:rsidRDefault="00000000">
            <w:pPr>
              <w:spacing w:before="20" w:after="20"/>
              <w:jc w:val="both"/>
            </w:pPr>
            <w:r>
              <w:rPr>
                <w:sz w:val="18"/>
                <w:szCs w:val="18"/>
              </w:rPr>
              <w:t>Explica la base de cálculo.</w:t>
            </w:r>
          </w:p>
        </w:tc>
      </w:tr>
      <w:tr w:rsidR="00990B14" w14:paraId="6275849A" w14:textId="77777777">
        <w:trPr>
          <w:cantSplit/>
          <w:jc w:val="center"/>
        </w:trPr>
        <w:tc>
          <w:tcPr>
            <w:tcW w:w="1850" w:type="dxa"/>
            <w:vMerge/>
            <w:shd w:val="clear" w:color="auto" w:fill="4472C4"/>
            <w:vAlign w:val="center"/>
          </w:tcPr>
          <w:p w14:paraId="62E8D3B4" w14:textId="77777777" w:rsidR="00990B14" w:rsidRDefault="00990B14">
            <w:pPr>
              <w:spacing w:before="20" w:after="20"/>
            </w:pPr>
          </w:p>
        </w:tc>
        <w:tc>
          <w:tcPr>
            <w:tcW w:w="1910" w:type="dxa"/>
            <w:shd w:val="clear" w:color="auto" w:fill="D9E2F3"/>
            <w:vAlign w:val="center"/>
          </w:tcPr>
          <w:p w14:paraId="190E7A62" w14:textId="77777777" w:rsidR="00990B14" w:rsidRDefault="00000000">
            <w:pPr>
              <w:spacing w:before="20" w:after="20"/>
              <w:jc w:val="center"/>
            </w:pPr>
            <w:r>
              <w:rPr>
                <w:sz w:val="18"/>
                <w:szCs w:val="18"/>
              </w:rPr>
              <w:t>Otros conceptos</w:t>
            </w:r>
          </w:p>
        </w:tc>
        <w:tc>
          <w:tcPr>
            <w:tcW w:w="1867" w:type="dxa"/>
            <w:shd w:val="clear" w:color="auto" w:fill="D9E2F3"/>
            <w:vAlign w:val="center"/>
          </w:tcPr>
          <w:p w14:paraId="5B79BAD8" w14:textId="77777777" w:rsidR="00990B14" w:rsidRDefault="00000000">
            <w:pPr>
              <w:spacing w:before="20" w:after="20"/>
              <w:jc w:val="both"/>
            </w:pPr>
            <w:r>
              <w:rPr>
                <w:sz w:val="18"/>
                <w:szCs w:val="18"/>
              </w:rPr>
              <w:t>Omite conceptos.</w:t>
            </w:r>
          </w:p>
        </w:tc>
        <w:tc>
          <w:tcPr>
            <w:tcW w:w="1867" w:type="dxa"/>
            <w:shd w:val="clear" w:color="auto" w:fill="D9E2F3"/>
            <w:vAlign w:val="center"/>
          </w:tcPr>
          <w:p w14:paraId="6801E7FA" w14:textId="77777777" w:rsidR="00990B14" w:rsidRDefault="00000000">
            <w:pPr>
              <w:spacing w:before="20" w:after="20"/>
              <w:jc w:val="both"/>
            </w:pPr>
            <w:r>
              <w:rPr>
                <w:sz w:val="18"/>
                <w:szCs w:val="18"/>
              </w:rPr>
              <w:t>Determina la prima, el bono de producción y el subsidio de frontera.</w:t>
            </w:r>
          </w:p>
        </w:tc>
        <w:tc>
          <w:tcPr>
            <w:tcW w:w="1911" w:type="dxa"/>
            <w:shd w:val="clear" w:color="auto" w:fill="D9E2F3"/>
            <w:vAlign w:val="center"/>
          </w:tcPr>
          <w:p w14:paraId="2C2D5729" w14:textId="77777777" w:rsidR="00990B14" w:rsidRDefault="00000000">
            <w:pPr>
              <w:spacing w:before="20" w:after="20"/>
              <w:jc w:val="both"/>
            </w:pPr>
            <w:r>
              <w:rPr>
                <w:sz w:val="18"/>
                <w:szCs w:val="18"/>
              </w:rPr>
              <w:t>Señala los requisitos de cada concepto.</w:t>
            </w:r>
          </w:p>
        </w:tc>
      </w:tr>
      <w:tr w:rsidR="00990B14" w14:paraId="7008200C" w14:textId="77777777">
        <w:trPr>
          <w:cantSplit/>
          <w:jc w:val="center"/>
        </w:trPr>
        <w:tc>
          <w:tcPr>
            <w:tcW w:w="1850" w:type="dxa"/>
            <w:vMerge/>
            <w:shd w:val="clear" w:color="auto" w:fill="4472C4"/>
            <w:vAlign w:val="center"/>
          </w:tcPr>
          <w:p w14:paraId="516CF770" w14:textId="77777777" w:rsidR="00990B14" w:rsidRDefault="00990B14">
            <w:pPr>
              <w:spacing w:before="20" w:after="20"/>
            </w:pPr>
          </w:p>
        </w:tc>
        <w:tc>
          <w:tcPr>
            <w:tcW w:w="1910" w:type="dxa"/>
            <w:shd w:val="clear" w:color="auto" w:fill="D9E2F3"/>
            <w:vAlign w:val="center"/>
          </w:tcPr>
          <w:p w14:paraId="5C5D6851" w14:textId="77777777" w:rsidR="00990B14" w:rsidRDefault="00000000">
            <w:pPr>
              <w:spacing w:before="20" w:after="20"/>
              <w:jc w:val="center"/>
            </w:pPr>
            <w:r>
              <w:rPr>
                <w:sz w:val="18"/>
                <w:szCs w:val="18"/>
              </w:rPr>
              <w:t>Presentación</w:t>
            </w:r>
          </w:p>
        </w:tc>
        <w:tc>
          <w:tcPr>
            <w:tcW w:w="1867" w:type="dxa"/>
            <w:shd w:val="clear" w:color="auto" w:fill="D9E2F3"/>
            <w:vAlign w:val="center"/>
          </w:tcPr>
          <w:p w14:paraId="0677C319" w14:textId="77777777" w:rsidR="00990B14" w:rsidRDefault="00000000">
            <w:pPr>
              <w:spacing w:before="20" w:after="20"/>
              <w:jc w:val="both"/>
            </w:pPr>
            <w:r>
              <w:rPr>
                <w:sz w:val="18"/>
                <w:szCs w:val="18"/>
              </w:rPr>
              <w:t>El cuadro es confuso.</w:t>
            </w:r>
          </w:p>
        </w:tc>
        <w:tc>
          <w:tcPr>
            <w:tcW w:w="1867" w:type="dxa"/>
            <w:shd w:val="clear" w:color="auto" w:fill="D9E2F3"/>
            <w:vAlign w:val="center"/>
          </w:tcPr>
          <w:p w14:paraId="3B843720" w14:textId="77777777" w:rsidR="00990B14" w:rsidRDefault="00000000">
            <w:pPr>
              <w:spacing w:before="20" w:after="20"/>
              <w:jc w:val="both"/>
            </w:pPr>
            <w:r>
              <w:rPr>
                <w:sz w:val="18"/>
                <w:szCs w:val="18"/>
              </w:rPr>
              <w:t>El cuadro es claro.</w:t>
            </w:r>
          </w:p>
        </w:tc>
        <w:tc>
          <w:tcPr>
            <w:tcW w:w="1911" w:type="dxa"/>
            <w:shd w:val="clear" w:color="auto" w:fill="D9E2F3"/>
            <w:vAlign w:val="center"/>
          </w:tcPr>
          <w:p w14:paraId="5A43A46F" w14:textId="77777777" w:rsidR="00990B14" w:rsidRDefault="00000000">
            <w:pPr>
              <w:spacing w:before="20" w:after="20"/>
              <w:jc w:val="both"/>
            </w:pPr>
            <w:r>
              <w:rPr>
                <w:sz w:val="18"/>
                <w:szCs w:val="18"/>
              </w:rPr>
              <w:t>El cuadro es ordenado y verificable.</w:t>
            </w:r>
          </w:p>
        </w:tc>
      </w:tr>
      <w:tr w:rsidR="00990B14" w14:paraId="3969AC13" w14:textId="77777777">
        <w:trPr>
          <w:cantSplit/>
          <w:jc w:val="center"/>
        </w:trPr>
        <w:tc>
          <w:tcPr>
            <w:tcW w:w="1850" w:type="dxa"/>
            <w:vMerge/>
            <w:shd w:val="clear" w:color="auto" w:fill="4472C4"/>
            <w:vAlign w:val="center"/>
          </w:tcPr>
          <w:p w14:paraId="02C25184" w14:textId="77777777" w:rsidR="00990B14" w:rsidRDefault="00990B14">
            <w:pPr>
              <w:spacing w:before="20" w:after="20"/>
            </w:pPr>
          </w:p>
        </w:tc>
        <w:tc>
          <w:tcPr>
            <w:tcW w:w="5644" w:type="dxa"/>
            <w:gridSpan w:val="3"/>
            <w:shd w:val="clear" w:color="auto" w:fill="D9E2F3"/>
            <w:vAlign w:val="center"/>
          </w:tcPr>
          <w:p w14:paraId="73BDF0D1" w14:textId="77777777" w:rsidR="00990B14" w:rsidRDefault="00000000">
            <w:pPr>
              <w:keepNext/>
              <w:spacing w:before="20" w:after="20"/>
              <w:jc w:val="both"/>
            </w:pPr>
            <w:r>
              <w:rPr>
                <w:b/>
                <w:bCs/>
                <w:i/>
                <w:iCs/>
                <w:sz w:val="18"/>
                <w:szCs w:val="18"/>
              </w:rPr>
              <w:t xml:space="preserve">Producto 13: </w:t>
            </w:r>
            <w:r>
              <w:rPr>
                <w:sz w:val="18"/>
                <w:szCs w:val="18"/>
              </w:rPr>
              <w:t>Informe de las causales motivantes del despido</w:t>
            </w:r>
          </w:p>
        </w:tc>
        <w:tc>
          <w:tcPr>
            <w:tcW w:w="1911" w:type="dxa"/>
            <w:shd w:val="clear" w:color="auto" w:fill="D9E2F3"/>
            <w:vAlign w:val="center"/>
          </w:tcPr>
          <w:p w14:paraId="58CC8726" w14:textId="77777777" w:rsidR="00990B14" w:rsidRDefault="00000000">
            <w:pPr>
              <w:spacing w:before="20" w:after="20"/>
              <w:jc w:val="center"/>
            </w:pPr>
            <w:r>
              <w:rPr>
                <w:b/>
                <w:bCs/>
                <w:sz w:val="18"/>
                <w:szCs w:val="18"/>
              </w:rPr>
              <w:t>7%</w:t>
            </w:r>
          </w:p>
        </w:tc>
      </w:tr>
      <w:tr w:rsidR="00990B14" w14:paraId="52707A89" w14:textId="77777777">
        <w:trPr>
          <w:cantSplit/>
          <w:jc w:val="center"/>
        </w:trPr>
        <w:tc>
          <w:tcPr>
            <w:tcW w:w="1850" w:type="dxa"/>
            <w:vMerge/>
            <w:shd w:val="clear" w:color="auto" w:fill="4472C4"/>
            <w:vAlign w:val="center"/>
          </w:tcPr>
          <w:p w14:paraId="25FB24A1" w14:textId="77777777" w:rsidR="00990B14" w:rsidRDefault="00990B14">
            <w:pPr>
              <w:spacing w:before="20" w:after="20"/>
            </w:pPr>
          </w:p>
        </w:tc>
        <w:tc>
          <w:tcPr>
            <w:tcW w:w="1910" w:type="dxa"/>
            <w:shd w:val="clear" w:color="auto" w:fill="4472C4"/>
            <w:vAlign w:val="center"/>
          </w:tcPr>
          <w:p w14:paraId="2EB8F228" w14:textId="77777777" w:rsidR="00990B14" w:rsidRDefault="00000000">
            <w:pPr>
              <w:keepNext/>
              <w:spacing w:before="20" w:after="20"/>
              <w:jc w:val="center"/>
            </w:pPr>
            <w:r>
              <w:rPr>
                <w:b/>
                <w:bCs/>
                <w:i/>
                <w:iCs/>
                <w:color w:val="FFFFFF"/>
                <w:sz w:val="18"/>
                <w:szCs w:val="18"/>
              </w:rPr>
              <w:t>Criterio</w:t>
            </w:r>
          </w:p>
        </w:tc>
        <w:tc>
          <w:tcPr>
            <w:tcW w:w="1867" w:type="dxa"/>
            <w:shd w:val="clear" w:color="auto" w:fill="4472C4"/>
            <w:vAlign w:val="center"/>
          </w:tcPr>
          <w:p w14:paraId="082EAED1" w14:textId="77777777" w:rsidR="00990B14" w:rsidRDefault="00000000">
            <w:pPr>
              <w:keepNext/>
              <w:spacing w:before="20" w:after="20"/>
              <w:jc w:val="center"/>
            </w:pPr>
            <w:r>
              <w:rPr>
                <w:b/>
                <w:bCs/>
                <w:i/>
                <w:iCs/>
                <w:color w:val="FFFFFF"/>
                <w:sz w:val="18"/>
                <w:szCs w:val="18"/>
              </w:rPr>
              <w:t>Insuficiente (1–50)</w:t>
            </w:r>
          </w:p>
        </w:tc>
        <w:tc>
          <w:tcPr>
            <w:tcW w:w="1867" w:type="dxa"/>
            <w:shd w:val="clear" w:color="auto" w:fill="4472C4"/>
            <w:vAlign w:val="center"/>
          </w:tcPr>
          <w:p w14:paraId="01F549F1" w14:textId="77777777" w:rsidR="00990B14" w:rsidRDefault="00000000">
            <w:pPr>
              <w:keepNext/>
              <w:spacing w:before="20" w:after="20"/>
              <w:jc w:val="center"/>
            </w:pPr>
            <w:r>
              <w:rPr>
                <w:b/>
                <w:bCs/>
                <w:i/>
                <w:iCs/>
                <w:color w:val="FFFFFF"/>
                <w:sz w:val="18"/>
                <w:szCs w:val="18"/>
              </w:rPr>
              <w:t>Suficiente (51–80)</w:t>
            </w:r>
          </w:p>
        </w:tc>
        <w:tc>
          <w:tcPr>
            <w:tcW w:w="1911" w:type="dxa"/>
            <w:shd w:val="clear" w:color="auto" w:fill="4472C4"/>
            <w:vAlign w:val="center"/>
          </w:tcPr>
          <w:p w14:paraId="3A225700" w14:textId="77777777" w:rsidR="00990B14" w:rsidRDefault="00000000">
            <w:pPr>
              <w:keepNext/>
              <w:spacing w:before="20" w:after="20"/>
              <w:jc w:val="center"/>
            </w:pPr>
            <w:r>
              <w:rPr>
                <w:b/>
                <w:bCs/>
                <w:i/>
                <w:iCs/>
                <w:color w:val="FFFFFF"/>
                <w:sz w:val="18"/>
                <w:szCs w:val="18"/>
              </w:rPr>
              <w:t>Destacado (81–100)</w:t>
            </w:r>
          </w:p>
        </w:tc>
      </w:tr>
      <w:tr w:rsidR="00990B14" w14:paraId="7C3B6941" w14:textId="77777777">
        <w:trPr>
          <w:cantSplit/>
          <w:jc w:val="center"/>
        </w:trPr>
        <w:tc>
          <w:tcPr>
            <w:tcW w:w="1850" w:type="dxa"/>
            <w:vMerge/>
            <w:shd w:val="clear" w:color="auto" w:fill="4472C4"/>
            <w:vAlign w:val="center"/>
          </w:tcPr>
          <w:p w14:paraId="4019BAF4" w14:textId="77777777" w:rsidR="00990B14" w:rsidRDefault="00990B14">
            <w:pPr>
              <w:spacing w:before="20" w:after="20"/>
            </w:pPr>
          </w:p>
        </w:tc>
        <w:tc>
          <w:tcPr>
            <w:tcW w:w="1910" w:type="dxa"/>
            <w:shd w:val="clear" w:color="auto" w:fill="D9E2F3"/>
            <w:vAlign w:val="center"/>
          </w:tcPr>
          <w:p w14:paraId="3625ECAC" w14:textId="77777777" w:rsidR="00990B14" w:rsidRDefault="00000000">
            <w:pPr>
              <w:spacing w:before="20" w:after="20"/>
              <w:jc w:val="center"/>
            </w:pPr>
            <w:r>
              <w:rPr>
                <w:sz w:val="18"/>
                <w:szCs w:val="18"/>
              </w:rPr>
              <w:t>Causal</w:t>
            </w:r>
          </w:p>
        </w:tc>
        <w:tc>
          <w:tcPr>
            <w:tcW w:w="1867" w:type="dxa"/>
            <w:shd w:val="clear" w:color="auto" w:fill="D9E2F3"/>
            <w:vAlign w:val="center"/>
          </w:tcPr>
          <w:p w14:paraId="67F547A4" w14:textId="77777777" w:rsidR="00990B14" w:rsidRDefault="00000000">
            <w:pPr>
              <w:spacing w:before="20" w:after="20"/>
              <w:jc w:val="both"/>
            </w:pPr>
            <w:r>
              <w:rPr>
                <w:sz w:val="18"/>
                <w:szCs w:val="18"/>
              </w:rPr>
              <w:t>No identifica la causal.</w:t>
            </w:r>
          </w:p>
        </w:tc>
        <w:tc>
          <w:tcPr>
            <w:tcW w:w="1867" w:type="dxa"/>
            <w:shd w:val="clear" w:color="auto" w:fill="D9E2F3"/>
            <w:vAlign w:val="center"/>
          </w:tcPr>
          <w:p w14:paraId="47CA5185" w14:textId="77777777" w:rsidR="00990B14" w:rsidRDefault="00000000">
            <w:pPr>
              <w:spacing w:before="20" w:after="20"/>
              <w:jc w:val="both"/>
            </w:pPr>
            <w:r>
              <w:rPr>
                <w:sz w:val="18"/>
                <w:szCs w:val="18"/>
              </w:rPr>
              <w:t>Identifica la causal y su fundamento legal.</w:t>
            </w:r>
          </w:p>
        </w:tc>
        <w:tc>
          <w:tcPr>
            <w:tcW w:w="1911" w:type="dxa"/>
            <w:shd w:val="clear" w:color="auto" w:fill="D9E2F3"/>
            <w:vAlign w:val="center"/>
          </w:tcPr>
          <w:p w14:paraId="37A62738" w14:textId="77777777" w:rsidR="00990B14" w:rsidRDefault="00000000">
            <w:pPr>
              <w:spacing w:before="20" w:after="20"/>
              <w:jc w:val="both"/>
            </w:pPr>
            <w:r>
              <w:rPr>
                <w:sz w:val="18"/>
                <w:szCs w:val="18"/>
              </w:rPr>
              <w:t>Considera el despido indirecto y el acoso laboral.</w:t>
            </w:r>
          </w:p>
        </w:tc>
      </w:tr>
      <w:tr w:rsidR="00990B14" w14:paraId="2E37155C" w14:textId="77777777">
        <w:trPr>
          <w:cantSplit/>
          <w:jc w:val="center"/>
        </w:trPr>
        <w:tc>
          <w:tcPr>
            <w:tcW w:w="1850" w:type="dxa"/>
            <w:vMerge/>
            <w:shd w:val="clear" w:color="auto" w:fill="4472C4"/>
            <w:vAlign w:val="center"/>
          </w:tcPr>
          <w:p w14:paraId="0E41E19F" w14:textId="77777777" w:rsidR="00990B14" w:rsidRDefault="00990B14">
            <w:pPr>
              <w:spacing w:before="20" w:after="20"/>
            </w:pPr>
          </w:p>
        </w:tc>
        <w:tc>
          <w:tcPr>
            <w:tcW w:w="1910" w:type="dxa"/>
            <w:shd w:val="clear" w:color="auto" w:fill="D9E2F3"/>
            <w:vAlign w:val="center"/>
          </w:tcPr>
          <w:p w14:paraId="10793FBF" w14:textId="77777777" w:rsidR="00990B14" w:rsidRDefault="00000000">
            <w:pPr>
              <w:spacing w:before="20" w:after="20"/>
              <w:jc w:val="center"/>
            </w:pPr>
            <w:r>
              <w:rPr>
                <w:sz w:val="18"/>
                <w:szCs w:val="18"/>
              </w:rPr>
              <w:t>Efectos</w:t>
            </w:r>
          </w:p>
        </w:tc>
        <w:tc>
          <w:tcPr>
            <w:tcW w:w="1867" w:type="dxa"/>
            <w:shd w:val="clear" w:color="auto" w:fill="D9E2F3"/>
            <w:vAlign w:val="center"/>
          </w:tcPr>
          <w:p w14:paraId="168F3198" w14:textId="77777777" w:rsidR="00990B14" w:rsidRDefault="00000000">
            <w:pPr>
              <w:spacing w:before="20" w:after="20"/>
              <w:jc w:val="both"/>
            </w:pPr>
            <w:r>
              <w:rPr>
                <w:sz w:val="18"/>
                <w:szCs w:val="18"/>
              </w:rPr>
              <w:t>Omite los efectos jurídicos.</w:t>
            </w:r>
          </w:p>
        </w:tc>
        <w:tc>
          <w:tcPr>
            <w:tcW w:w="1867" w:type="dxa"/>
            <w:shd w:val="clear" w:color="auto" w:fill="D9E2F3"/>
            <w:vAlign w:val="center"/>
          </w:tcPr>
          <w:p w14:paraId="0E6E5855" w14:textId="77777777" w:rsidR="00990B14" w:rsidRDefault="00000000">
            <w:pPr>
              <w:spacing w:before="20" w:after="20"/>
              <w:jc w:val="both"/>
            </w:pPr>
            <w:r>
              <w:rPr>
                <w:sz w:val="18"/>
                <w:szCs w:val="18"/>
              </w:rPr>
              <w:t>Determina los efectos jurídicos del despido.</w:t>
            </w:r>
          </w:p>
        </w:tc>
        <w:tc>
          <w:tcPr>
            <w:tcW w:w="1911" w:type="dxa"/>
            <w:shd w:val="clear" w:color="auto" w:fill="D9E2F3"/>
            <w:vAlign w:val="center"/>
          </w:tcPr>
          <w:p w14:paraId="3A3F6CA0" w14:textId="77777777" w:rsidR="00990B14" w:rsidRDefault="00000000">
            <w:pPr>
              <w:spacing w:before="20" w:after="20"/>
              <w:jc w:val="both"/>
            </w:pPr>
            <w:r>
              <w:rPr>
                <w:sz w:val="18"/>
                <w:szCs w:val="18"/>
              </w:rPr>
              <w:t>Explica los derechos del trabajador afectado.</w:t>
            </w:r>
          </w:p>
        </w:tc>
      </w:tr>
      <w:tr w:rsidR="00990B14" w14:paraId="2958325D" w14:textId="77777777">
        <w:trPr>
          <w:cantSplit/>
          <w:jc w:val="center"/>
        </w:trPr>
        <w:tc>
          <w:tcPr>
            <w:tcW w:w="1850" w:type="dxa"/>
            <w:vMerge/>
            <w:shd w:val="clear" w:color="auto" w:fill="4472C4"/>
            <w:vAlign w:val="center"/>
          </w:tcPr>
          <w:p w14:paraId="123B3F18" w14:textId="77777777" w:rsidR="00990B14" w:rsidRDefault="00990B14">
            <w:pPr>
              <w:spacing w:before="20" w:after="20"/>
            </w:pPr>
          </w:p>
        </w:tc>
        <w:tc>
          <w:tcPr>
            <w:tcW w:w="1910" w:type="dxa"/>
            <w:shd w:val="clear" w:color="auto" w:fill="D9E2F3"/>
            <w:vAlign w:val="center"/>
          </w:tcPr>
          <w:p w14:paraId="05F038F0" w14:textId="77777777" w:rsidR="00990B14" w:rsidRDefault="00000000">
            <w:pPr>
              <w:spacing w:before="20" w:after="20"/>
              <w:jc w:val="center"/>
            </w:pPr>
            <w:r>
              <w:rPr>
                <w:sz w:val="18"/>
                <w:szCs w:val="18"/>
              </w:rPr>
              <w:t>Redacción</w:t>
            </w:r>
          </w:p>
        </w:tc>
        <w:tc>
          <w:tcPr>
            <w:tcW w:w="1867" w:type="dxa"/>
            <w:shd w:val="clear" w:color="auto" w:fill="D9E2F3"/>
            <w:vAlign w:val="center"/>
          </w:tcPr>
          <w:p w14:paraId="6BC51205" w14:textId="77777777" w:rsidR="00990B14" w:rsidRDefault="00000000">
            <w:pPr>
              <w:spacing w:before="20" w:after="20"/>
              <w:jc w:val="both"/>
            </w:pPr>
            <w:r>
              <w:rPr>
                <w:sz w:val="18"/>
                <w:szCs w:val="18"/>
              </w:rPr>
              <w:t>El informe es confuso.</w:t>
            </w:r>
          </w:p>
        </w:tc>
        <w:tc>
          <w:tcPr>
            <w:tcW w:w="1867" w:type="dxa"/>
            <w:shd w:val="clear" w:color="auto" w:fill="D9E2F3"/>
            <w:vAlign w:val="center"/>
          </w:tcPr>
          <w:p w14:paraId="02514AEC" w14:textId="77777777" w:rsidR="00990B14" w:rsidRDefault="00000000">
            <w:pPr>
              <w:spacing w:before="20" w:after="20"/>
              <w:jc w:val="both"/>
            </w:pPr>
            <w:r>
              <w:rPr>
                <w:sz w:val="18"/>
                <w:szCs w:val="18"/>
              </w:rPr>
              <w:t>El informe es claro.</w:t>
            </w:r>
          </w:p>
        </w:tc>
        <w:tc>
          <w:tcPr>
            <w:tcW w:w="1911" w:type="dxa"/>
            <w:shd w:val="clear" w:color="auto" w:fill="D9E2F3"/>
            <w:vAlign w:val="center"/>
          </w:tcPr>
          <w:p w14:paraId="03B3F204" w14:textId="77777777" w:rsidR="00990B14" w:rsidRDefault="00000000">
            <w:pPr>
              <w:spacing w:before="20" w:after="20"/>
              <w:jc w:val="both"/>
            </w:pPr>
            <w:r>
              <w:rPr>
                <w:sz w:val="18"/>
                <w:szCs w:val="18"/>
              </w:rPr>
              <w:t>El informe es preciso y ordenado.</w:t>
            </w:r>
          </w:p>
        </w:tc>
      </w:tr>
      <w:tr w:rsidR="00990B14" w14:paraId="21C19905" w14:textId="77777777">
        <w:trPr>
          <w:cantSplit/>
          <w:jc w:val="center"/>
        </w:trPr>
        <w:tc>
          <w:tcPr>
            <w:tcW w:w="1850" w:type="dxa"/>
            <w:vMerge/>
            <w:shd w:val="clear" w:color="auto" w:fill="4472C4"/>
            <w:vAlign w:val="center"/>
          </w:tcPr>
          <w:p w14:paraId="3790D904" w14:textId="77777777" w:rsidR="00990B14" w:rsidRDefault="00990B14">
            <w:pPr>
              <w:spacing w:before="20" w:after="20"/>
            </w:pPr>
          </w:p>
        </w:tc>
        <w:tc>
          <w:tcPr>
            <w:tcW w:w="5644" w:type="dxa"/>
            <w:gridSpan w:val="3"/>
            <w:shd w:val="clear" w:color="auto" w:fill="D9E2F3"/>
            <w:vAlign w:val="center"/>
          </w:tcPr>
          <w:p w14:paraId="4AE244BC" w14:textId="77777777" w:rsidR="00990B14" w:rsidRDefault="00000000">
            <w:pPr>
              <w:keepNext/>
              <w:spacing w:before="20" w:after="20"/>
              <w:jc w:val="both"/>
            </w:pPr>
            <w:r>
              <w:rPr>
                <w:b/>
                <w:bCs/>
                <w:i/>
                <w:iCs/>
                <w:sz w:val="18"/>
                <w:szCs w:val="18"/>
              </w:rPr>
              <w:t xml:space="preserve">Producto 14: </w:t>
            </w:r>
            <w:r>
              <w:rPr>
                <w:sz w:val="18"/>
                <w:szCs w:val="18"/>
              </w:rPr>
              <w:t>Cuadro de causas de extinción</w:t>
            </w:r>
          </w:p>
        </w:tc>
        <w:tc>
          <w:tcPr>
            <w:tcW w:w="1911" w:type="dxa"/>
            <w:shd w:val="clear" w:color="auto" w:fill="D9E2F3"/>
            <w:vAlign w:val="center"/>
          </w:tcPr>
          <w:p w14:paraId="6573AD06" w14:textId="77777777" w:rsidR="00990B14" w:rsidRDefault="00000000">
            <w:pPr>
              <w:spacing w:before="20" w:after="20"/>
              <w:jc w:val="center"/>
            </w:pPr>
            <w:r>
              <w:rPr>
                <w:b/>
                <w:bCs/>
                <w:sz w:val="18"/>
                <w:szCs w:val="18"/>
              </w:rPr>
              <w:t>6%</w:t>
            </w:r>
          </w:p>
        </w:tc>
      </w:tr>
      <w:tr w:rsidR="00990B14" w14:paraId="3FA809BC" w14:textId="77777777">
        <w:trPr>
          <w:cantSplit/>
          <w:jc w:val="center"/>
        </w:trPr>
        <w:tc>
          <w:tcPr>
            <w:tcW w:w="1850" w:type="dxa"/>
            <w:vMerge/>
            <w:shd w:val="clear" w:color="auto" w:fill="4472C4"/>
            <w:vAlign w:val="center"/>
          </w:tcPr>
          <w:p w14:paraId="1B18267E" w14:textId="77777777" w:rsidR="00990B14" w:rsidRDefault="00990B14">
            <w:pPr>
              <w:spacing w:before="20" w:after="20"/>
            </w:pPr>
          </w:p>
        </w:tc>
        <w:tc>
          <w:tcPr>
            <w:tcW w:w="1910" w:type="dxa"/>
            <w:shd w:val="clear" w:color="auto" w:fill="4472C4"/>
            <w:vAlign w:val="center"/>
          </w:tcPr>
          <w:p w14:paraId="088962CE" w14:textId="77777777" w:rsidR="00990B14" w:rsidRDefault="00000000">
            <w:pPr>
              <w:keepNext/>
              <w:spacing w:before="20" w:after="20"/>
              <w:jc w:val="center"/>
            </w:pPr>
            <w:r>
              <w:rPr>
                <w:b/>
                <w:bCs/>
                <w:i/>
                <w:iCs/>
                <w:color w:val="FFFFFF"/>
                <w:sz w:val="18"/>
                <w:szCs w:val="18"/>
              </w:rPr>
              <w:t>Criterio</w:t>
            </w:r>
          </w:p>
        </w:tc>
        <w:tc>
          <w:tcPr>
            <w:tcW w:w="1867" w:type="dxa"/>
            <w:shd w:val="clear" w:color="auto" w:fill="4472C4"/>
            <w:vAlign w:val="center"/>
          </w:tcPr>
          <w:p w14:paraId="19A020B3" w14:textId="77777777" w:rsidR="00990B14" w:rsidRDefault="00000000">
            <w:pPr>
              <w:keepNext/>
              <w:spacing w:before="20" w:after="20"/>
              <w:jc w:val="center"/>
            </w:pPr>
            <w:r>
              <w:rPr>
                <w:b/>
                <w:bCs/>
                <w:i/>
                <w:iCs/>
                <w:color w:val="FFFFFF"/>
                <w:sz w:val="18"/>
                <w:szCs w:val="18"/>
              </w:rPr>
              <w:t>Insuficiente (1–50)</w:t>
            </w:r>
          </w:p>
        </w:tc>
        <w:tc>
          <w:tcPr>
            <w:tcW w:w="1867" w:type="dxa"/>
            <w:shd w:val="clear" w:color="auto" w:fill="4472C4"/>
            <w:vAlign w:val="center"/>
          </w:tcPr>
          <w:p w14:paraId="2F133EC8" w14:textId="77777777" w:rsidR="00990B14" w:rsidRDefault="00000000">
            <w:pPr>
              <w:keepNext/>
              <w:spacing w:before="20" w:after="20"/>
              <w:jc w:val="center"/>
            </w:pPr>
            <w:r>
              <w:rPr>
                <w:b/>
                <w:bCs/>
                <w:i/>
                <w:iCs/>
                <w:color w:val="FFFFFF"/>
                <w:sz w:val="18"/>
                <w:szCs w:val="18"/>
              </w:rPr>
              <w:t>Suficiente (51–80)</w:t>
            </w:r>
          </w:p>
        </w:tc>
        <w:tc>
          <w:tcPr>
            <w:tcW w:w="1911" w:type="dxa"/>
            <w:shd w:val="clear" w:color="auto" w:fill="4472C4"/>
            <w:vAlign w:val="center"/>
          </w:tcPr>
          <w:p w14:paraId="105C4AA3" w14:textId="77777777" w:rsidR="00990B14" w:rsidRDefault="00000000">
            <w:pPr>
              <w:keepNext/>
              <w:spacing w:before="20" w:after="20"/>
              <w:jc w:val="center"/>
            </w:pPr>
            <w:r>
              <w:rPr>
                <w:b/>
                <w:bCs/>
                <w:i/>
                <w:iCs/>
                <w:color w:val="FFFFFF"/>
                <w:sz w:val="18"/>
                <w:szCs w:val="18"/>
              </w:rPr>
              <w:t>Destacado (81–100)</w:t>
            </w:r>
          </w:p>
        </w:tc>
      </w:tr>
      <w:tr w:rsidR="00990B14" w14:paraId="08FEAA0E" w14:textId="77777777">
        <w:trPr>
          <w:cantSplit/>
          <w:jc w:val="center"/>
        </w:trPr>
        <w:tc>
          <w:tcPr>
            <w:tcW w:w="1850" w:type="dxa"/>
            <w:vMerge/>
            <w:shd w:val="clear" w:color="auto" w:fill="4472C4"/>
            <w:vAlign w:val="center"/>
          </w:tcPr>
          <w:p w14:paraId="2C8A45D1" w14:textId="77777777" w:rsidR="00990B14" w:rsidRDefault="00990B14">
            <w:pPr>
              <w:spacing w:before="20" w:after="20"/>
            </w:pPr>
          </w:p>
        </w:tc>
        <w:tc>
          <w:tcPr>
            <w:tcW w:w="1910" w:type="dxa"/>
            <w:shd w:val="clear" w:color="auto" w:fill="D9E2F3"/>
            <w:vAlign w:val="center"/>
          </w:tcPr>
          <w:p w14:paraId="4FA53891" w14:textId="77777777" w:rsidR="00990B14" w:rsidRDefault="00000000">
            <w:pPr>
              <w:spacing w:before="20" w:after="20"/>
              <w:jc w:val="center"/>
            </w:pPr>
            <w:r>
              <w:rPr>
                <w:sz w:val="18"/>
                <w:szCs w:val="18"/>
              </w:rPr>
              <w:t>Causas</w:t>
            </w:r>
          </w:p>
        </w:tc>
        <w:tc>
          <w:tcPr>
            <w:tcW w:w="1867" w:type="dxa"/>
            <w:shd w:val="clear" w:color="auto" w:fill="D9E2F3"/>
            <w:vAlign w:val="center"/>
          </w:tcPr>
          <w:p w14:paraId="1078041F" w14:textId="77777777" w:rsidR="00990B14" w:rsidRDefault="00000000">
            <w:pPr>
              <w:spacing w:before="20" w:after="20"/>
              <w:jc w:val="both"/>
            </w:pPr>
            <w:r>
              <w:rPr>
                <w:sz w:val="18"/>
                <w:szCs w:val="18"/>
              </w:rPr>
              <w:t>Omite causas de extinción.</w:t>
            </w:r>
          </w:p>
        </w:tc>
        <w:tc>
          <w:tcPr>
            <w:tcW w:w="1867" w:type="dxa"/>
            <w:shd w:val="clear" w:color="auto" w:fill="D9E2F3"/>
            <w:vAlign w:val="center"/>
          </w:tcPr>
          <w:p w14:paraId="6742CCE3" w14:textId="77777777" w:rsidR="00990B14" w:rsidRDefault="00000000">
            <w:pPr>
              <w:spacing w:before="20" w:after="20"/>
              <w:jc w:val="both"/>
            </w:pPr>
            <w:r>
              <w:rPr>
                <w:sz w:val="18"/>
                <w:szCs w:val="18"/>
              </w:rPr>
              <w:t>Clasifica las causas según su origen.</w:t>
            </w:r>
          </w:p>
        </w:tc>
        <w:tc>
          <w:tcPr>
            <w:tcW w:w="1911" w:type="dxa"/>
            <w:shd w:val="clear" w:color="auto" w:fill="D9E2F3"/>
            <w:vAlign w:val="center"/>
          </w:tcPr>
          <w:p w14:paraId="08BB0014" w14:textId="77777777" w:rsidR="00990B14" w:rsidRDefault="00000000">
            <w:pPr>
              <w:spacing w:before="20" w:after="20"/>
              <w:jc w:val="both"/>
            </w:pPr>
            <w:r>
              <w:rPr>
                <w:sz w:val="18"/>
                <w:szCs w:val="18"/>
              </w:rPr>
              <w:t>Distingue la suspensión de la extinción.</w:t>
            </w:r>
          </w:p>
        </w:tc>
      </w:tr>
      <w:tr w:rsidR="00990B14" w14:paraId="7D3BCB08" w14:textId="77777777">
        <w:trPr>
          <w:cantSplit/>
          <w:jc w:val="center"/>
        </w:trPr>
        <w:tc>
          <w:tcPr>
            <w:tcW w:w="1850" w:type="dxa"/>
            <w:vMerge/>
            <w:shd w:val="clear" w:color="auto" w:fill="4472C4"/>
            <w:vAlign w:val="center"/>
          </w:tcPr>
          <w:p w14:paraId="2CCE83B3" w14:textId="77777777" w:rsidR="00990B14" w:rsidRDefault="00990B14">
            <w:pPr>
              <w:spacing w:before="20" w:after="20"/>
            </w:pPr>
          </w:p>
        </w:tc>
        <w:tc>
          <w:tcPr>
            <w:tcW w:w="1910" w:type="dxa"/>
            <w:shd w:val="clear" w:color="auto" w:fill="D9E2F3"/>
            <w:vAlign w:val="center"/>
          </w:tcPr>
          <w:p w14:paraId="099F2EBE" w14:textId="77777777" w:rsidR="00990B14" w:rsidRDefault="00000000">
            <w:pPr>
              <w:spacing w:before="20" w:after="20"/>
              <w:jc w:val="center"/>
            </w:pPr>
            <w:r>
              <w:rPr>
                <w:sz w:val="18"/>
                <w:szCs w:val="18"/>
              </w:rPr>
              <w:t>Efectos</w:t>
            </w:r>
          </w:p>
        </w:tc>
        <w:tc>
          <w:tcPr>
            <w:tcW w:w="1867" w:type="dxa"/>
            <w:shd w:val="clear" w:color="auto" w:fill="D9E2F3"/>
            <w:vAlign w:val="center"/>
          </w:tcPr>
          <w:p w14:paraId="3AD0D1CA" w14:textId="77777777" w:rsidR="00990B14" w:rsidRDefault="00000000">
            <w:pPr>
              <w:spacing w:before="20" w:after="20"/>
              <w:jc w:val="both"/>
            </w:pPr>
            <w:r>
              <w:rPr>
                <w:sz w:val="18"/>
                <w:szCs w:val="18"/>
              </w:rPr>
              <w:t>No asocia efectos.</w:t>
            </w:r>
          </w:p>
        </w:tc>
        <w:tc>
          <w:tcPr>
            <w:tcW w:w="1867" w:type="dxa"/>
            <w:shd w:val="clear" w:color="auto" w:fill="D9E2F3"/>
            <w:vAlign w:val="center"/>
          </w:tcPr>
          <w:p w14:paraId="780D1702" w14:textId="77777777" w:rsidR="00990B14" w:rsidRDefault="00000000">
            <w:pPr>
              <w:spacing w:before="20" w:after="20"/>
              <w:jc w:val="both"/>
            </w:pPr>
            <w:r>
              <w:rPr>
                <w:sz w:val="18"/>
                <w:szCs w:val="18"/>
              </w:rPr>
              <w:t>Asocia a cada causa sus efectos.</w:t>
            </w:r>
          </w:p>
        </w:tc>
        <w:tc>
          <w:tcPr>
            <w:tcW w:w="1911" w:type="dxa"/>
            <w:shd w:val="clear" w:color="auto" w:fill="D9E2F3"/>
            <w:vAlign w:val="center"/>
          </w:tcPr>
          <w:p w14:paraId="2938A5C2" w14:textId="77777777" w:rsidR="00990B14" w:rsidRDefault="00000000">
            <w:pPr>
              <w:spacing w:before="20" w:after="20"/>
              <w:jc w:val="both"/>
            </w:pPr>
            <w:r>
              <w:rPr>
                <w:sz w:val="18"/>
                <w:szCs w:val="18"/>
              </w:rPr>
              <w:t>Ejemplifica cada efecto.</w:t>
            </w:r>
          </w:p>
        </w:tc>
      </w:tr>
      <w:tr w:rsidR="00990B14" w14:paraId="409FB84D" w14:textId="77777777">
        <w:trPr>
          <w:cantSplit/>
          <w:jc w:val="center"/>
        </w:trPr>
        <w:tc>
          <w:tcPr>
            <w:tcW w:w="1850" w:type="dxa"/>
            <w:vMerge/>
            <w:shd w:val="clear" w:color="auto" w:fill="4472C4"/>
            <w:vAlign w:val="center"/>
          </w:tcPr>
          <w:p w14:paraId="79E8DDA6" w14:textId="77777777" w:rsidR="00990B14" w:rsidRDefault="00990B14">
            <w:pPr>
              <w:spacing w:before="20" w:after="20"/>
            </w:pPr>
          </w:p>
        </w:tc>
        <w:tc>
          <w:tcPr>
            <w:tcW w:w="1910" w:type="dxa"/>
            <w:shd w:val="clear" w:color="auto" w:fill="D9E2F3"/>
            <w:vAlign w:val="center"/>
          </w:tcPr>
          <w:p w14:paraId="758C314C" w14:textId="77777777" w:rsidR="00990B14" w:rsidRDefault="00000000">
            <w:pPr>
              <w:spacing w:before="20" w:after="20"/>
              <w:jc w:val="center"/>
            </w:pPr>
            <w:r>
              <w:rPr>
                <w:sz w:val="18"/>
                <w:szCs w:val="18"/>
              </w:rPr>
              <w:t>Presentación</w:t>
            </w:r>
          </w:p>
        </w:tc>
        <w:tc>
          <w:tcPr>
            <w:tcW w:w="1867" w:type="dxa"/>
            <w:shd w:val="clear" w:color="auto" w:fill="D9E2F3"/>
            <w:vAlign w:val="center"/>
          </w:tcPr>
          <w:p w14:paraId="1E4C2487" w14:textId="77777777" w:rsidR="00990B14" w:rsidRDefault="00000000">
            <w:pPr>
              <w:spacing w:before="20" w:after="20"/>
              <w:jc w:val="both"/>
            </w:pPr>
            <w:r>
              <w:rPr>
                <w:sz w:val="18"/>
                <w:szCs w:val="18"/>
              </w:rPr>
              <w:t>El cuadro es confuso.</w:t>
            </w:r>
          </w:p>
        </w:tc>
        <w:tc>
          <w:tcPr>
            <w:tcW w:w="1867" w:type="dxa"/>
            <w:shd w:val="clear" w:color="auto" w:fill="D9E2F3"/>
            <w:vAlign w:val="center"/>
          </w:tcPr>
          <w:p w14:paraId="6A220284" w14:textId="77777777" w:rsidR="00990B14" w:rsidRDefault="00000000">
            <w:pPr>
              <w:spacing w:before="20" w:after="20"/>
              <w:jc w:val="both"/>
            </w:pPr>
            <w:r>
              <w:rPr>
                <w:sz w:val="18"/>
                <w:szCs w:val="18"/>
              </w:rPr>
              <w:t>El cuadro es claro.</w:t>
            </w:r>
          </w:p>
        </w:tc>
        <w:tc>
          <w:tcPr>
            <w:tcW w:w="1911" w:type="dxa"/>
            <w:shd w:val="clear" w:color="auto" w:fill="D9E2F3"/>
            <w:vAlign w:val="center"/>
          </w:tcPr>
          <w:p w14:paraId="35C779FD" w14:textId="77777777" w:rsidR="00990B14" w:rsidRDefault="00000000">
            <w:pPr>
              <w:spacing w:before="20" w:after="20"/>
              <w:jc w:val="both"/>
            </w:pPr>
            <w:r>
              <w:rPr>
                <w:sz w:val="18"/>
                <w:szCs w:val="18"/>
              </w:rPr>
              <w:t>El cuadro es ordenado y verificable.</w:t>
            </w:r>
          </w:p>
        </w:tc>
      </w:tr>
      <w:tr w:rsidR="00990B14" w14:paraId="764A573B" w14:textId="77777777">
        <w:trPr>
          <w:cantSplit/>
          <w:jc w:val="center"/>
        </w:trPr>
        <w:tc>
          <w:tcPr>
            <w:tcW w:w="1850" w:type="dxa"/>
            <w:vMerge/>
            <w:shd w:val="clear" w:color="auto" w:fill="4472C4"/>
            <w:vAlign w:val="center"/>
          </w:tcPr>
          <w:p w14:paraId="4A6E3033" w14:textId="77777777" w:rsidR="00990B14" w:rsidRDefault="00990B14">
            <w:pPr>
              <w:spacing w:before="20" w:after="20"/>
            </w:pPr>
          </w:p>
        </w:tc>
        <w:tc>
          <w:tcPr>
            <w:tcW w:w="5644" w:type="dxa"/>
            <w:gridSpan w:val="3"/>
            <w:shd w:val="clear" w:color="auto" w:fill="D9E2F3"/>
            <w:vAlign w:val="center"/>
          </w:tcPr>
          <w:p w14:paraId="003BE049" w14:textId="77777777" w:rsidR="00990B14" w:rsidRDefault="00000000">
            <w:pPr>
              <w:keepNext/>
              <w:spacing w:before="20" w:after="20"/>
              <w:jc w:val="both"/>
            </w:pPr>
            <w:r>
              <w:rPr>
                <w:b/>
                <w:bCs/>
                <w:i/>
                <w:iCs/>
                <w:sz w:val="18"/>
                <w:szCs w:val="18"/>
              </w:rPr>
              <w:t xml:space="preserve">Producto 15: </w:t>
            </w:r>
            <w:r>
              <w:rPr>
                <w:sz w:val="18"/>
                <w:szCs w:val="18"/>
              </w:rPr>
              <w:t>Finiquito</w:t>
            </w:r>
          </w:p>
        </w:tc>
        <w:tc>
          <w:tcPr>
            <w:tcW w:w="1911" w:type="dxa"/>
            <w:shd w:val="clear" w:color="auto" w:fill="D9E2F3"/>
            <w:vAlign w:val="center"/>
          </w:tcPr>
          <w:p w14:paraId="1417F623" w14:textId="77777777" w:rsidR="00990B14" w:rsidRDefault="00000000">
            <w:pPr>
              <w:spacing w:before="20" w:after="20"/>
              <w:jc w:val="center"/>
            </w:pPr>
            <w:r>
              <w:rPr>
                <w:b/>
                <w:bCs/>
                <w:sz w:val="18"/>
                <w:szCs w:val="18"/>
              </w:rPr>
              <w:t>6%</w:t>
            </w:r>
          </w:p>
        </w:tc>
      </w:tr>
      <w:tr w:rsidR="00990B14" w14:paraId="4431E612" w14:textId="77777777">
        <w:trPr>
          <w:cantSplit/>
          <w:jc w:val="center"/>
        </w:trPr>
        <w:tc>
          <w:tcPr>
            <w:tcW w:w="1850" w:type="dxa"/>
            <w:vMerge/>
            <w:shd w:val="clear" w:color="auto" w:fill="4472C4"/>
            <w:vAlign w:val="center"/>
          </w:tcPr>
          <w:p w14:paraId="1D017BB0" w14:textId="77777777" w:rsidR="00990B14" w:rsidRDefault="00990B14">
            <w:pPr>
              <w:spacing w:before="20" w:after="20"/>
            </w:pPr>
          </w:p>
        </w:tc>
        <w:tc>
          <w:tcPr>
            <w:tcW w:w="1910" w:type="dxa"/>
            <w:shd w:val="clear" w:color="auto" w:fill="4472C4"/>
            <w:vAlign w:val="center"/>
          </w:tcPr>
          <w:p w14:paraId="5CF2C15D" w14:textId="77777777" w:rsidR="00990B14" w:rsidRDefault="00000000">
            <w:pPr>
              <w:keepNext/>
              <w:spacing w:before="20" w:after="20"/>
              <w:jc w:val="center"/>
            </w:pPr>
            <w:r>
              <w:rPr>
                <w:b/>
                <w:bCs/>
                <w:i/>
                <w:iCs/>
                <w:color w:val="FFFFFF"/>
                <w:sz w:val="18"/>
                <w:szCs w:val="18"/>
              </w:rPr>
              <w:t>Criterio</w:t>
            </w:r>
          </w:p>
        </w:tc>
        <w:tc>
          <w:tcPr>
            <w:tcW w:w="1867" w:type="dxa"/>
            <w:shd w:val="clear" w:color="auto" w:fill="4472C4"/>
            <w:vAlign w:val="center"/>
          </w:tcPr>
          <w:p w14:paraId="67F0EFFD" w14:textId="77777777" w:rsidR="00990B14" w:rsidRDefault="00000000">
            <w:pPr>
              <w:keepNext/>
              <w:spacing w:before="20" w:after="20"/>
              <w:jc w:val="center"/>
            </w:pPr>
            <w:r>
              <w:rPr>
                <w:b/>
                <w:bCs/>
                <w:i/>
                <w:iCs/>
                <w:color w:val="FFFFFF"/>
                <w:sz w:val="18"/>
                <w:szCs w:val="18"/>
              </w:rPr>
              <w:t>Insuficiente (1–50)</w:t>
            </w:r>
          </w:p>
        </w:tc>
        <w:tc>
          <w:tcPr>
            <w:tcW w:w="1867" w:type="dxa"/>
            <w:shd w:val="clear" w:color="auto" w:fill="4472C4"/>
            <w:vAlign w:val="center"/>
          </w:tcPr>
          <w:p w14:paraId="2133A9A2" w14:textId="77777777" w:rsidR="00990B14" w:rsidRDefault="00000000">
            <w:pPr>
              <w:keepNext/>
              <w:spacing w:before="20" w:after="20"/>
              <w:jc w:val="center"/>
            </w:pPr>
            <w:r>
              <w:rPr>
                <w:b/>
                <w:bCs/>
                <w:i/>
                <w:iCs/>
                <w:color w:val="FFFFFF"/>
                <w:sz w:val="18"/>
                <w:szCs w:val="18"/>
              </w:rPr>
              <w:t>Suficiente (51–80)</w:t>
            </w:r>
          </w:p>
        </w:tc>
        <w:tc>
          <w:tcPr>
            <w:tcW w:w="1911" w:type="dxa"/>
            <w:shd w:val="clear" w:color="auto" w:fill="4472C4"/>
            <w:vAlign w:val="center"/>
          </w:tcPr>
          <w:p w14:paraId="55FF74D5" w14:textId="77777777" w:rsidR="00990B14" w:rsidRDefault="00000000">
            <w:pPr>
              <w:keepNext/>
              <w:spacing w:before="20" w:after="20"/>
              <w:jc w:val="center"/>
            </w:pPr>
            <w:r>
              <w:rPr>
                <w:b/>
                <w:bCs/>
                <w:i/>
                <w:iCs/>
                <w:color w:val="FFFFFF"/>
                <w:sz w:val="18"/>
                <w:szCs w:val="18"/>
              </w:rPr>
              <w:t>Destacado (81–100)</w:t>
            </w:r>
          </w:p>
        </w:tc>
      </w:tr>
      <w:tr w:rsidR="00990B14" w14:paraId="7AE3A818" w14:textId="77777777">
        <w:trPr>
          <w:cantSplit/>
          <w:jc w:val="center"/>
        </w:trPr>
        <w:tc>
          <w:tcPr>
            <w:tcW w:w="1850" w:type="dxa"/>
            <w:vMerge/>
            <w:shd w:val="clear" w:color="auto" w:fill="4472C4"/>
            <w:vAlign w:val="center"/>
          </w:tcPr>
          <w:p w14:paraId="49542072" w14:textId="77777777" w:rsidR="00990B14" w:rsidRDefault="00990B14">
            <w:pPr>
              <w:spacing w:before="20" w:after="20"/>
            </w:pPr>
          </w:p>
        </w:tc>
        <w:tc>
          <w:tcPr>
            <w:tcW w:w="1910" w:type="dxa"/>
            <w:shd w:val="clear" w:color="auto" w:fill="D9E2F3"/>
            <w:vAlign w:val="center"/>
          </w:tcPr>
          <w:p w14:paraId="3B6DA26F" w14:textId="77777777" w:rsidR="00990B14" w:rsidRDefault="00000000">
            <w:pPr>
              <w:spacing w:before="20" w:after="20"/>
              <w:jc w:val="center"/>
            </w:pPr>
            <w:r>
              <w:rPr>
                <w:sz w:val="18"/>
                <w:szCs w:val="18"/>
              </w:rPr>
              <w:t>Tiempo de servicios</w:t>
            </w:r>
          </w:p>
        </w:tc>
        <w:tc>
          <w:tcPr>
            <w:tcW w:w="1867" w:type="dxa"/>
            <w:shd w:val="clear" w:color="auto" w:fill="D9E2F3"/>
            <w:vAlign w:val="center"/>
          </w:tcPr>
          <w:p w14:paraId="77FD612D" w14:textId="77777777" w:rsidR="00990B14" w:rsidRDefault="00000000">
            <w:pPr>
              <w:spacing w:before="20" w:after="20"/>
              <w:jc w:val="both"/>
            </w:pPr>
            <w:r>
              <w:rPr>
                <w:sz w:val="18"/>
                <w:szCs w:val="18"/>
              </w:rPr>
              <w:t>Calcula mal el tiempo de servicios.</w:t>
            </w:r>
          </w:p>
        </w:tc>
        <w:tc>
          <w:tcPr>
            <w:tcW w:w="1867" w:type="dxa"/>
            <w:shd w:val="clear" w:color="auto" w:fill="D9E2F3"/>
            <w:vAlign w:val="center"/>
          </w:tcPr>
          <w:p w14:paraId="4E85E7EB" w14:textId="77777777" w:rsidR="00990B14" w:rsidRDefault="00000000">
            <w:pPr>
              <w:spacing w:before="20" w:after="20"/>
              <w:jc w:val="both"/>
            </w:pPr>
            <w:r>
              <w:rPr>
                <w:sz w:val="18"/>
                <w:szCs w:val="18"/>
              </w:rPr>
              <w:t>Calcula el tiempo de servicios.</w:t>
            </w:r>
          </w:p>
        </w:tc>
        <w:tc>
          <w:tcPr>
            <w:tcW w:w="1911" w:type="dxa"/>
            <w:shd w:val="clear" w:color="auto" w:fill="D9E2F3"/>
            <w:vAlign w:val="center"/>
          </w:tcPr>
          <w:p w14:paraId="021F03DB" w14:textId="77777777" w:rsidR="00990B14" w:rsidRDefault="00000000">
            <w:pPr>
              <w:spacing w:before="20" w:after="20"/>
              <w:jc w:val="both"/>
            </w:pPr>
            <w:r>
              <w:rPr>
                <w:sz w:val="18"/>
                <w:szCs w:val="18"/>
              </w:rPr>
              <w:t>Considera los quinquenios ya pagados.</w:t>
            </w:r>
          </w:p>
        </w:tc>
      </w:tr>
      <w:tr w:rsidR="00990B14" w14:paraId="3270B446" w14:textId="77777777">
        <w:trPr>
          <w:cantSplit/>
          <w:jc w:val="center"/>
        </w:trPr>
        <w:tc>
          <w:tcPr>
            <w:tcW w:w="1850" w:type="dxa"/>
            <w:vMerge/>
            <w:shd w:val="clear" w:color="auto" w:fill="4472C4"/>
            <w:vAlign w:val="center"/>
          </w:tcPr>
          <w:p w14:paraId="0AB4A220" w14:textId="77777777" w:rsidR="00990B14" w:rsidRDefault="00990B14">
            <w:pPr>
              <w:spacing w:before="20" w:after="20"/>
            </w:pPr>
          </w:p>
        </w:tc>
        <w:tc>
          <w:tcPr>
            <w:tcW w:w="1910" w:type="dxa"/>
            <w:shd w:val="clear" w:color="auto" w:fill="D9E2F3"/>
            <w:vAlign w:val="center"/>
          </w:tcPr>
          <w:p w14:paraId="4EBC6457" w14:textId="77777777" w:rsidR="00990B14" w:rsidRDefault="00000000">
            <w:pPr>
              <w:spacing w:before="20" w:after="20"/>
              <w:jc w:val="center"/>
            </w:pPr>
            <w:r>
              <w:rPr>
                <w:sz w:val="18"/>
                <w:szCs w:val="18"/>
              </w:rPr>
              <w:t>Beneficios</w:t>
            </w:r>
          </w:p>
        </w:tc>
        <w:tc>
          <w:tcPr>
            <w:tcW w:w="1867" w:type="dxa"/>
            <w:shd w:val="clear" w:color="auto" w:fill="D9E2F3"/>
            <w:vAlign w:val="center"/>
          </w:tcPr>
          <w:p w14:paraId="2C6238B8" w14:textId="77777777" w:rsidR="00990B14" w:rsidRDefault="00000000">
            <w:pPr>
              <w:spacing w:before="20" w:after="20"/>
              <w:jc w:val="both"/>
            </w:pPr>
            <w:r>
              <w:rPr>
                <w:sz w:val="18"/>
                <w:szCs w:val="18"/>
              </w:rPr>
              <w:t>Omite beneficios.</w:t>
            </w:r>
          </w:p>
        </w:tc>
        <w:tc>
          <w:tcPr>
            <w:tcW w:w="1867" w:type="dxa"/>
            <w:shd w:val="clear" w:color="auto" w:fill="D9E2F3"/>
            <w:vAlign w:val="center"/>
          </w:tcPr>
          <w:p w14:paraId="4F26BFE3" w14:textId="77777777" w:rsidR="00990B14" w:rsidRDefault="00000000">
            <w:pPr>
              <w:spacing w:before="20" w:after="20"/>
              <w:jc w:val="both"/>
            </w:pPr>
            <w:r>
              <w:rPr>
                <w:sz w:val="18"/>
                <w:szCs w:val="18"/>
              </w:rPr>
              <w:t>Liquida la indemnización, el desahucio y el aguinaldo.</w:t>
            </w:r>
          </w:p>
        </w:tc>
        <w:tc>
          <w:tcPr>
            <w:tcW w:w="1911" w:type="dxa"/>
            <w:shd w:val="clear" w:color="auto" w:fill="D9E2F3"/>
            <w:vAlign w:val="center"/>
          </w:tcPr>
          <w:p w14:paraId="1C9C4787" w14:textId="77777777" w:rsidR="00990B14" w:rsidRDefault="00000000">
            <w:pPr>
              <w:spacing w:before="20" w:after="20"/>
              <w:jc w:val="both"/>
            </w:pPr>
            <w:r>
              <w:rPr>
                <w:sz w:val="18"/>
                <w:szCs w:val="18"/>
              </w:rPr>
              <w:t>Aplica la indexación cuando corresponde.</w:t>
            </w:r>
          </w:p>
        </w:tc>
      </w:tr>
      <w:tr w:rsidR="00990B14" w14:paraId="65FDAB6B" w14:textId="77777777">
        <w:trPr>
          <w:cantSplit/>
          <w:jc w:val="center"/>
        </w:trPr>
        <w:tc>
          <w:tcPr>
            <w:tcW w:w="1850" w:type="dxa"/>
            <w:vMerge/>
            <w:shd w:val="clear" w:color="auto" w:fill="4472C4"/>
            <w:vAlign w:val="center"/>
          </w:tcPr>
          <w:p w14:paraId="28C0BE0B" w14:textId="77777777" w:rsidR="00990B14" w:rsidRDefault="00990B14">
            <w:pPr>
              <w:spacing w:before="20" w:after="20"/>
            </w:pPr>
          </w:p>
        </w:tc>
        <w:tc>
          <w:tcPr>
            <w:tcW w:w="1910" w:type="dxa"/>
            <w:shd w:val="clear" w:color="auto" w:fill="D9E2F3"/>
            <w:vAlign w:val="center"/>
          </w:tcPr>
          <w:p w14:paraId="054772F5" w14:textId="77777777" w:rsidR="00990B14" w:rsidRDefault="00000000">
            <w:pPr>
              <w:spacing w:before="20" w:after="20"/>
              <w:jc w:val="center"/>
            </w:pPr>
            <w:r>
              <w:rPr>
                <w:sz w:val="18"/>
                <w:szCs w:val="18"/>
              </w:rPr>
              <w:t>Exactitud</w:t>
            </w:r>
          </w:p>
        </w:tc>
        <w:tc>
          <w:tcPr>
            <w:tcW w:w="1867" w:type="dxa"/>
            <w:shd w:val="clear" w:color="auto" w:fill="D9E2F3"/>
            <w:vAlign w:val="center"/>
          </w:tcPr>
          <w:p w14:paraId="2111D502" w14:textId="77777777" w:rsidR="00990B14" w:rsidRDefault="00000000">
            <w:pPr>
              <w:spacing w:before="20" w:after="20"/>
              <w:jc w:val="both"/>
            </w:pPr>
            <w:r>
              <w:rPr>
                <w:sz w:val="18"/>
                <w:szCs w:val="18"/>
              </w:rPr>
              <w:t>Los cálculos tienen errores.</w:t>
            </w:r>
          </w:p>
        </w:tc>
        <w:tc>
          <w:tcPr>
            <w:tcW w:w="1867" w:type="dxa"/>
            <w:shd w:val="clear" w:color="auto" w:fill="D9E2F3"/>
            <w:vAlign w:val="center"/>
          </w:tcPr>
          <w:p w14:paraId="44256373" w14:textId="77777777" w:rsidR="00990B14" w:rsidRDefault="00000000">
            <w:pPr>
              <w:spacing w:before="20" w:after="20"/>
              <w:jc w:val="both"/>
            </w:pPr>
            <w:r>
              <w:rPr>
                <w:sz w:val="18"/>
                <w:szCs w:val="18"/>
              </w:rPr>
              <w:t>Los cálculos son correctos.</w:t>
            </w:r>
          </w:p>
        </w:tc>
        <w:tc>
          <w:tcPr>
            <w:tcW w:w="1911" w:type="dxa"/>
            <w:shd w:val="clear" w:color="auto" w:fill="D9E2F3"/>
            <w:vAlign w:val="center"/>
          </w:tcPr>
          <w:p w14:paraId="696515AE" w14:textId="77777777" w:rsidR="00990B14" w:rsidRDefault="00000000">
            <w:pPr>
              <w:spacing w:before="20" w:after="20"/>
              <w:jc w:val="both"/>
            </w:pPr>
            <w:r>
              <w:rPr>
                <w:sz w:val="18"/>
                <w:szCs w:val="18"/>
              </w:rPr>
              <w:t>Los cálculos están verificados.</w:t>
            </w:r>
          </w:p>
        </w:tc>
      </w:tr>
      <w:tr w:rsidR="00990B14" w14:paraId="0EE64AF6" w14:textId="77777777">
        <w:trPr>
          <w:cantSplit/>
          <w:jc w:val="center"/>
        </w:trPr>
        <w:tc>
          <w:tcPr>
            <w:tcW w:w="1850" w:type="dxa"/>
            <w:vMerge/>
            <w:shd w:val="clear" w:color="auto" w:fill="4472C4"/>
            <w:vAlign w:val="center"/>
          </w:tcPr>
          <w:p w14:paraId="4FA627B3" w14:textId="77777777" w:rsidR="00990B14" w:rsidRDefault="00990B14">
            <w:pPr>
              <w:spacing w:before="20" w:after="20"/>
            </w:pPr>
          </w:p>
        </w:tc>
        <w:tc>
          <w:tcPr>
            <w:tcW w:w="5644" w:type="dxa"/>
            <w:gridSpan w:val="3"/>
            <w:shd w:val="clear" w:color="auto" w:fill="D9E2F3"/>
            <w:vAlign w:val="center"/>
          </w:tcPr>
          <w:p w14:paraId="344DD339" w14:textId="77777777" w:rsidR="00990B14" w:rsidRDefault="00000000">
            <w:pPr>
              <w:keepNext/>
              <w:spacing w:before="20" w:after="20"/>
              <w:jc w:val="both"/>
            </w:pPr>
            <w:r>
              <w:rPr>
                <w:b/>
                <w:bCs/>
                <w:i/>
                <w:iCs/>
                <w:sz w:val="18"/>
                <w:szCs w:val="18"/>
              </w:rPr>
              <w:t xml:space="preserve">Producto 16: </w:t>
            </w:r>
            <w:r>
              <w:rPr>
                <w:sz w:val="18"/>
                <w:szCs w:val="18"/>
              </w:rPr>
              <w:t>Planilla de previsión de beneficios sociales</w:t>
            </w:r>
          </w:p>
        </w:tc>
        <w:tc>
          <w:tcPr>
            <w:tcW w:w="1911" w:type="dxa"/>
            <w:shd w:val="clear" w:color="auto" w:fill="D9E2F3"/>
            <w:vAlign w:val="center"/>
          </w:tcPr>
          <w:p w14:paraId="28ACF957" w14:textId="77777777" w:rsidR="00990B14" w:rsidRDefault="00000000">
            <w:pPr>
              <w:spacing w:before="20" w:after="20"/>
              <w:jc w:val="center"/>
            </w:pPr>
            <w:r>
              <w:rPr>
                <w:b/>
                <w:bCs/>
                <w:sz w:val="18"/>
                <w:szCs w:val="18"/>
              </w:rPr>
              <w:t>6%</w:t>
            </w:r>
          </w:p>
        </w:tc>
      </w:tr>
      <w:tr w:rsidR="00990B14" w14:paraId="08D14695" w14:textId="77777777">
        <w:trPr>
          <w:cantSplit/>
          <w:jc w:val="center"/>
        </w:trPr>
        <w:tc>
          <w:tcPr>
            <w:tcW w:w="1850" w:type="dxa"/>
            <w:vMerge/>
            <w:shd w:val="clear" w:color="auto" w:fill="4472C4"/>
            <w:vAlign w:val="center"/>
          </w:tcPr>
          <w:p w14:paraId="33D6765E" w14:textId="77777777" w:rsidR="00990B14" w:rsidRDefault="00990B14">
            <w:pPr>
              <w:spacing w:before="20" w:after="20"/>
            </w:pPr>
          </w:p>
        </w:tc>
        <w:tc>
          <w:tcPr>
            <w:tcW w:w="1910" w:type="dxa"/>
            <w:shd w:val="clear" w:color="auto" w:fill="4472C4"/>
            <w:vAlign w:val="center"/>
          </w:tcPr>
          <w:p w14:paraId="4587B410" w14:textId="77777777" w:rsidR="00990B14" w:rsidRDefault="00000000">
            <w:pPr>
              <w:keepNext/>
              <w:spacing w:before="20" w:after="20"/>
              <w:jc w:val="center"/>
            </w:pPr>
            <w:r>
              <w:rPr>
                <w:b/>
                <w:bCs/>
                <w:i/>
                <w:iCs/>
                <w:color w:val="FFFFFF"/>
                <w:sz w:val="18"/>
                <w:szCs w:val="18"/>
              </w:rPr>
              <w:t>Criterio</w:t>
            </w:r>
          </w:p>
        </w:tc>
        <w:tc>
          <w:tcPr>
            <w:tcW w:w="1867" w:type="dxa"/>
            <w:shd w:val="clear" w:color="auto" w:fill="4472C4"/>
            <w:vAlign w:val="center"/>
          </w:tcPr>
          <w:p w14:paraId="0213A155" w14:textId="77777777" w:rsidR="00990B14" w:rsidRDefault="00000000">
            <w:pPr>
              <w:keepNext/>
              <w:spacing w:before="20" w:after="20"/>
              <w:jc w:val="center"/>
            </w:pPr>
            <w:r>
              <w:rPr>
                <w:b/>
                <w:bCs/>
                <w:i/>
                <w:iCs/>
                <w:color w:val="FFFFFF"/>
                <w:sz w:val="18"/>
                <w:szCs w:val="18"/>
              </w:rPr>
              <w:t>Insuficiente (1–50)</w:t>
            </w:r>
          </w:p>
        </w:tc>
        <w:tc>
          <w:tcPr>
            <w:tcW w:w="1867" w:type="dxa"/>
            <w:shd w:val="clear" w:color="auto" w:fill="4472C4"/>
            <w:vAlign w:val="center"/>
          </w:tcPr>
          <w:p w14:paraId="4620F359" w14:textId="77777777" w:rsidR="00990B14" w:rsidRDefault="00000000">
            <w:pPr>
              <w:keepNext/>
              <w:spacing w:before="20" w:after="20"/>
              <w:jc w:val="center"/>
            </w:pPr>
            <w:r>
              <w:rPr>
                <w:b/>
                <w:bCs/>
                <w:i/>
                <w:iCs/>
                <w:color w:val="FFFFFF"/>
                <w:sz w:val="18"/>
                <w:szCs w:val="18"/>
              </w:rPr>
              <w:t>Suficiente (51–80)</w:t>
            </w:r>
          </w:p>
        </w:tc>
        <w:tc>
          <w:tcPr>
            <w:tcW w:w="1911" w:type="dxa"/>
            <w:shd w:val="clear" w:color="auto" w:fill="4472C4"/>
            <w:vAlign w:val="center"/>
          </w:tcPr>
          <w:p w14:paraId="79248362" w14:textId="77777777" w:rsidR="00990B14" w:rsidRDefault="00000000">
            <w:pPr>
              <w:keepNext/>
              <w:spacing w:before="20" w:after="20"/>
              <w:jc w:val="center"/>
            </w:pPr>
            <w:r>
              <w:rPr>
                <w:b/>
                <w:bCs/>
                <w:i/>
                <w:iCs/>
                <w:color w:val="FFFFFF"/>
                <w:sz w:val="18"/>
                <w:szCs w:val="18"/>
              </w:rPr>
              <w:t>Destacado (81–100)</w:t>
            </w:r>
          </w:p>
        </w:tc>
      </w:tr>
      <w:tr w:rsidR="00990B14" w14:paraId="119211E7" w14:textId="77777777">
        <w:trPr>
          <w:cantSplit/>
          <w:jc w:val="center"/>
        </w:trPr>
        <w:tc>
          <w:tcPr>
            <w:tcW w:w="1850" w:type="dxa"/>
            <w:vMerge/>
            <w:shd w:val="clear" w:color="auto" w:fill="4472C4"/>
            <w:vAlign w:val="center"/>
          </w:tcPr>
          <w:p w14:paraId="5F8D7EE5" w14:textId="77777777" w:rsidR="00990B14" w:rsidRDefault="00990B14">
            <w:pPr>
              <w:spacing w:before="20" w:after="20"/>
            </w:pPr>
          </w:p>
        </w:tc>
        <w:tc>
          <w:tcPr>
            <w:tcW w:w="1910" w:type="dxa"/>
            <w:shd w:val="clear" w:color="auto" w:fill="D9E2F3"/>
            <w:vAlign w:val="center"/>
          </w:tcPr>
          <w:p w14:paraId="5249FCF1" w14:textId="77777777" w:rsidR="00990B14" w:rsidRDefault="00000000">
            <w:pPr>
              <w:spacing w:before="20" w:after="20"/>
              <w:jc w:val="center"/>
            </w:pPr>
            <w:r>
              <w:rPr>
                <w:sz w:val="18"/>
                <w:szCs w:val="18"/>
              </w:rPr>
              <w:t>Cálculo</w:t>
            </w:r>
          </w:p>
        </w:tc>
        <w:tc>
          <w:tcPr>
            <w:tcW w:w="1867" w:type="dxa"/>
            <w:shd w:val="clear" w:color="auto" w:fill="D9E2F3"/>
            <w:vAlign w:val="center"/>
          </w:tcPr>
          <w:p w14:paraId="7B799D03" w14:textId="77777777" w:rsidR="00990B14" w:rsidRDefault="00000000">
            <w:pPr>
              <w:spacing w:before="20" w:after="20"/>
              <w:jc w:val="both"/>
            </w:pPr>
            <w:r>
              <w:rPr>
                <w:sz w:val="18"/>
                <w:szCs w:val="18"/>
              </w:rPr>
              <w:t>Calcula mal la previsión.</w:t>
            </w:r>
          </w:p>
        </w:tc>
        <w:tc>
          <w:tcPr>
            <w:tcW w:w="1867" w:type="dxa"/>
            <w:shd w:val="clear" w:color="auto" w:fill="D9E2F3"/>
            <w:vAlign w:val="center"/>
          </w:tcPr>
          <w:p w14:paraId="038978C6" w14:textId="77777777" w:rsidR="00990B14" w:rsidRDefault="00000000">
            <w:pPr>
              <w:spacing w:before="20" w:after="20"/>
              <w:jc w:val="both"/>
            </w:pPr>
            <w:r>
              <w:rPr>
                <w:sz w:val="18"/>
                <w:szCs w:val="18"/>
              </w:rPr>
              <w:t>Calcula la previsión de la indemnización y del aguinaldo.</w:t>
            </w:r>
          </w:p>
        </w:tc>
        <w:tc>
          <w:tcPr>
            <w:tcW w:w="1911" w:type="dxa"/>
            <w:shd w:val="clear" w:color="auto" w:fill="D9E2F3"/>
            <w:vAlign w:val="center"/>
          </w:tcPr>
          <w:p w14:paraId="4BEB00FF" w14:textId="77777777" w:rsidR="00990B14" w:rsidRDefault="00000000">
            <w:pPr>
              <w:spacing w:before="20" w:after="20"/>
              <w:jc w:val="both"/>
            </w:pPr>
            <w:r>
              <w:rPr>
                <w:sz w:val="18"/>
                <w:szCs w:val="18"/>
              </w:rPr>
              <w:t>Explica el efecto del quinquenio en la previsión.</w:t>
            </w:r>
          </w:p>
        </w:tc>
      </w:tr>
      <w:tr w:rsidR="00990B14" w14:paraId="7A66072A" w14:textId="77777777">
        <w:trPr>
          <w:cantSplit/>
          <w:jc w:val="center"/>
        </w:trPr>
        <w:tc>
          <w:tcPr>
            <w:tcW w:w="1850" w:type="dxa"/>
            <w:vMerge/>
            <w:shd w:val="clear" w:color="auto" w:fill="4472C4"/>
            <w:vAlign w:val="center"/>
          </w:tcPr>
          <w:p w14:paraId="2BC58789" w14:textId="77777777" w:rsidR="00990B14" w:rsidRDefault="00990B14">
            <w:pPr>
              <w:spacing w:before="20" w:after="20"/>
            </w:pPr>
          </w:p>
        </w:tc>
        <w:tc>
          <w:tcPr>
            <w:tcW w:w="1910" w:type="dxa"/>
            <w:shd w:val="clear" w:color="auto" w:fill="D9E2F3"/>
            <w:vAlign w:val="center"/>
          </w:tcPr>
          <w:p w14:paraId="53ED6A96" w14:textId="77777777" w:rsidR="00990B14" w:rsidRDefault="00000000">
            <w:pPr>
              <w:spacing w:before="20" w:after="20"/>
              <w:jc w:val="center"/>
            </w:pPr>
            <w:r>
              <w:rPr>
                <w:sz w:val="18"/>
                <w:szCs w:val="18"/>
              </w:rPr>
              <w:t>Contingencias</w:t>
            </w:r>
          </w:p>
        </w:tc>
        <w:tc>
          <w:tcPr>
            <w:tcW w:w="1867" w:type="dxa"/>
            <w:shd w:val="clear" w:color="auto" w:fill="D9E2F3"/>
            <w:vAlign w:val="center"/>
          </w:tcPr>
          <w:p w14:paraId="561ED1D6" w14:textId="77777777" w:rsidR="00990B14" w:rsidRDefault="00000000">
            <w:pPr>
              <w:spacing w:before="20" w:after="20"/>
              <w:jc w:val="both"/>
            </w:pPr>
            <w:r>
              <w:rPr>
                <w:sz w:val="18"/>
                <w:szCs w:val="18"/>
              </w:rPr>
              <w:t>No identifica contingencias.</w:t>
            </w:r>
          </w:p>
        </w:tc>
        <w:tc>
          <w:tcPr>
            <w:tcW w:w="1867" w:type="dxa"/>
            <w:shd w:val="clear" w:color="auto" w:fill="D9E2F3"/>
            <w:vAlign w:val="center"/>
          </w:tcPr>
          <w:p w14:paraId="7764D44F" w14:textId="77777777" w:rsidR="00990B14" w:rsidRDefault="00000000">
            <w:pPr>
              <w:spacing w:before="20" w:after="20"/>
              <w:jc w:val="both"/>
            </w:pPr>
            <w:r>
              <w:rPr>
                <w:sz w:val="18"/>
                <w:szCs w:val="18"/>
              </w:rPr>
              <w:t>Identifica las contingencias laborales.</w:t>
            </w:r>
          </w:p>
        </w:tc>
        <w:tc>
          <w:tcPr>
            <w:tcW w:w="1911" w:type="dxa"/>
            <w:shd w:val="clear" w:color="auto" w:fill="D9E2F3"/>
            <w:vAlign w:val="center"/>
          </w:tcPr>
          <w:p w14:paraId="7231C52B" w14:textId="77777777" w:rsidR="00990B14" w:rsidRDefault="00000000">
            <w:pPr>
              <w:spacing w:before="20" w:after="20"/>
              <w:jc w:val="both"/>
            </w:pPr>
            <w:r>
              <w:rPr>
                <w:sz w:val="18"/>
                <w:szCs w:val="18"/>
              </w:rPr>
              <w:t>Explica el riesgo de incumplir los plazos de pago.</w:t>
            </w:r>
          </w:p>
        </w:tc>
      </w:tr>
      <w:tr w:rsidR="00990B14" w14:paraId="4F6E6216" w14:textId="77777777">
        <w:trPr>
          <w:cantSplit/>
          <w:jc w:val="center"/>
        </w:trPr>
        <w:tc>
          <w:tcPr>
            <w:tcW w:w="1850" w:type="dxa"/>
            <w:vMerge/>
            <w:shd w:val="clear" w:color="auto" w:fill="4472C4"/>
            <w:vAlign w:val="center"/>
          </w:tcPr>
          <w:p w14:paraId="372DE2E6" w14:textId="77777777" w:rsidR="00990B14" w:rsidRDefault="00990B14">
            <w:pPr>
              <w:spacing w:before="20" w:after="20"/>
            </w:pPr>
          </w:p>
        </w:tc>
        <w:tc>
          <w:tcPr>
            <w:tcW w:w="1910" w:type="dxa"/>
            <w:shd w:val="clear" w:color="auto" w:fill="D9E2F3"/>
            <w:vAlign w:val="center"/>
          </w:tcPr>
          <w:p w14:paraId="76666925" w14:textId="77777777" w:rsidR="00990B14" w:rsidRDefault="00000000">
            <w:pPr>
              <w:spacing w:before="20" w:after="20"/>
              <w:jc w:val="center"/>
            </w:pPr>
            <w:r>
              <w:rPr>
                <w:sz w:val="18"/>
                <w:szCs w:val="18"/>
              </w:rPr>
              <w:t>Exactitud</w:t>
            </w:r>
          </w:p>
        </w:tc>
        <w:tc>
          <w:tcPr>
            <w:tcW w:w="1867" w:type="dxa"/>
            <w:shd w:val="clear" w:color="auto" w:fill="D9E2F3"/>
            <w:vAlign w:val="center"/>
          </w:tcPr>
          <w:p w14:paraId="51DC973E" w14:textId="77777777" w:rsidR="00990B14" w:rsidRDefault="00000000">
            <w:pPr>
              <w:spacing w:before="20" w:after="20"/>
              <w:jc w:val="both"/>
            </w:pPr>
            <w:r>
              <w:rPr>
                <w:sz w:val="18"/>
                <w:szCs w:val="18"/>
              </w:rPr>
              <w:t>Los cálculos tienen errores.</w:t>
            </w:r>
          </w:p>
        </w:tc>
        <w:tc>
          <w:tcPr>
            <w:tcW w:w="1867" w:type="dxa"/>
            <w:shd w:val="clear" w:color="auto" w:fill="D9E2F3"/>
            <w:vAlign w:val="center"/>
          </w:tcPr>
          <w:p w14:paraId="16A30775" w14:textId="77777777" w:rsidR="00990B14" w:rsidRDefault="00000000">
            <w:pPr>
              <w:spacing w:before="20" w:after="20"/>
              <w:jc w:val="both"/>
            </w:pPr>
            <w:r>
              <w:rPr>
                <w:sz w:val="18"/>
                <w:szCs w:val="18"/>
              </w:rPr>
              <w:t>Los cálculos son correctos.</w:t>
            </w:r>
          </w:p>
        </w:tc>
        <w:tc>
          <w:tcPr>
            <w:tcW w:w="1911" w:type="dxa"/>
            <w:shd w:val="clear" w:color="auto" w:fill="D9E2F3"/>
            <w:vAlign w:val="center"/>
          </w:tcPr>
          <w:p w14:paraId="0761D67E" w14:textId="77777777" w:rsidR="00990B14" w:rsidRDefault="00000000">
            <w:pPr>
              <w:spacing w:before="20" w:after="20"/>
              <w:jc w:val="both"/>
            </w:pPr>
            <w:r>
              <w:rPr>
                <w:sz w:val="18"/>
                <w:szCs w:val="18"/>
              </w:rPr>
              <w:t>Los cálculos están verificados.</w:t>
            </w:r>
          </w:p>
        </w:tc>
      </w:tr>
      <w:tr w:rsidR="00990B14" w14:paraId="054B9903" w14:textId="77777777">
        <w:trPr>
          <w:cantSplit/>
          <w:jc w:val="center"/>
        </w:trPr>
        <w:tc>
          <w:tcPr>
            <w:tcW w:w="1850" w:type="dxa"/>
            <w:vMerge/>
            <w:shd w:val="clear" w:color="auto" w:fill="4472C4"/>
            <w:vAlign w:val="center"/>
          </w:tcPr>
          <w:p w14:paraId="58B5B650" w14:textId="77777777" w:rsidR="00990B14" w:rsidRDefault="00990B14">
            <w:pPr>
              <w:spacing w:before="20" w:after="20"/>
            </w:pPr>
          </w:p>
        </w:tc>
        <w:tc>
          <w:tcPr>
            <w:tcW w:w="5644" w:type="dxa"/>
            <w:gridSpan w:val="3"/>
            <w:shd w:val="clear" w:color="auto" w:fill="D9E2F3"/>
            <w:vAlign w:val="center"/>
          </w:tcPr>
          <w:p w14:paraId="4E201079" w14:textId="77777777" w:rsidR="00990B14" w:rsidRDefault="00000000">
            <w:pPr>
              <w:keepNext/>
              <w:spacing w:before="20" w:after="20"/>
              <w:jc w:val="both"/>
            </w:pPr>
            <w:r>
              <w:rPr>
                <w:b/>
                <w:bCs/>
                <w:i/>
                <w:iCs/>
                <w:sz w:val="18"/>
                <w:szCs w:val="18"/>
              </w:rPr>
              <w:t xml:space="preserve">Producto 17: </w:t>
            </w:r>
            <w:r>
              <w:rPr>
                <w:sz w:val="18"/>
                <w:szCs w:val="18"/>
              </w:rPr>
              <w:t>Informe de prestaciones a corto plazo</w:t>
            </w:r>
          </w:p>
        </w:tc>
        <w:tc>
          <w:tcPr>
            <w:tcW w:w="1911" w:type="dxa"/>
            <w:shd w:val="clear" w:color="auto" w:fill="D9E2F3"/>
            <w:vAlign w:val="center"/>
          </w:tcPr>
          <w:p w14:paraId="3F24E400" w14:textId="77777777" w:rsidR="00990B14" w:rsidRDefault="00000000">
            <w:pPr>
              <w:spacing w:before="20" w:after="20"/>
              <w:jc w:val="center"/>
            </w:pPr>
            <w:r>
              <w:rPr>
                <w:b/>
                <w:bCs/>
                <w:sz w:val="18"/>
                <w:szCs w:val="18"/>
              </w:rPr>
              <w:t>4%</w:t>
            </w:r>
          </w:p>
        </w:tc>
      </w:tr>
      <w:tr w:rsidR="00990B14" w14:paraId="29A0074E" w14:textId="77777777">
        <w:trPr>
          <w:cantSplit/>
          <w:jc w:val="center"/>
        </w:trPr>
        <w:tc>
          <w:tcPr>
            <w:tcW w:w="1850" w:type="dxa"/>
            <w:vMerge/>
            <w:shd w:val="clear" w:color="auto" w:fill="4472C4"/>
            <w:vAlign w:val="center"/>
          </w:tcPr>
          <w:p w14:paraId="4039C6BB" w14:textId="77777777" w:rsidR="00990B14" w:rsidRDefault="00990B14">
            <w:pPr>
              <w:spacing w:before="20" w:after="20"/>
            </w:pPr>
          </w:p>
        </w:tc>
        <w:tc>
          <w:tcPr>
            <w:tcW w:w="1910" w:type="dxa"/>
            <w:shd w:val="clear" w:color="auto" w:fill="4472C4"/>
            <w:vAlign w:val="center"/>
          </w:tcPr>
          <w:p w14:paraId="0389C815" w14:textId="77777777" w:rsidR="00990B14" w:rsidRDefault="00000000">
            <w:pPr>
              <w:keepNext/>
              <w:spacing w:before="20" w:after="20"/>
              <w:jc w:val="center"/>
            </w:pPr>
            <w:r>
              <w:rPr>
                <w:b/>
                <w:bCs/>
                <w:i/>
                <w:iCs/>
                <w:color w:val="FFFFFF"/>
                <w:sz w:val="18"/>
                <w:szCs w:val="18"/>
              </w:rPr>
              <w:t>Criterio</w:t>
            </w:r>
          </w:p>
        </w:tc>
        <w:tc>
          <w:tcPr>
            <w:tcW w:w="1867" w:type="dxa"/>
            <w:shd w:val="clear" w:color="auto" w:fill="4472C4"/>
            <w:vAlign w:val="center"/>
          </w:tcPr>
          <w:p w14:paraId="57CD806E" w14:textId="77777777" w:rsidR="00990B14" w:rsidRDefault="00000000">
            <w:pPr>
              <w:keepNext/>
              <w:spacing w:before="20" w:after="20"/>
              <w:jc w:val="center"/>
            </w:pPr>
            <w:r>
              <w:rPr>
                <w:b/>
                <w:bCs/>
                <w:i/>
                <w:iCs/>
                <w:color w:val="FFFFFF"/>
                <w:sz w:val="18"/>
                <w:szCs w:val="18"/>
              </w:rPr>
              <w:t>Insuficiente (1–50)</w:t>
            </w:r>
          </w:p>
        </w:tc>
        <w:tc>
          <w:tcPr>
            <w:tcW w:w="1867" w:type="dxa"/>
            <w:shd w:val="clear" w:color="auto" w:fill="4472C4"/>
            <w:vAlign w:val="center"/>
          </w:tcPr>
          <w:p w14:paraId="01C4DBA6" w14:textId="77777777" w:rsidR="00990B14" w:rsidRDefault="00000000">
            <w:pPr>
              <w:keepNext/>
              <w:spacing w:before="20" w:after="20"/>
              <w:jc w:val="center"/>
            </w:pPr>
            <w:r>
              <w:rPr>
                <w:b/>
                <w:bCs/>
                <w:i/>
                <w:iCs/>
                <w:color w:val="FFFFFF"/>
                <w:sz w:val="18"/>
                <w:szCs w:val="18"/>
              </w:rPr>
              <w:t>Suficiente (51–80)</w:t>
            </w:r>
          </w:p>
        </w:tc>
        <w:tc>
          <w:tcPr>
            <w:tcW w:w="1911" w:type="dxa"/>
            <w:shd w:val="clear" w:color="auto" w:fill="4472C4"/>
            <w:vAlign w:val="center"/>
          </w:tcPr>
          <w:p w14:paraId="782B210E" w14:textId="77777777" w:rsidR="00990B14" w:rsidRDefault="00000000">
            <w:pPr>
              <w:keepNext/>
              <w:spacing w:before="20" w:after="20"/>
              <w:jc w:val="center"/>
            </w:pPr>
            <w:r>
              <w:rPr>
                <w:b/>
                <w:bCs/>
                <w:i/>
                <w:iCs/>
                <w:color w:val="FFFFFF"/>
                <w:sz w:val="18"/>
                <w:szCs w:val="18"/>
              </w:rPr>
              <w:t>Destacado (81–100)</w:t>
            </w:r>
          </w:p>
        </w:tc>
      </w:tr>
      <w:tr w:rsidR="00990B14" w14:paraId="056F72DD" w14:textId="77777777">
        <w:trPr>
          <w:cantSplit/>
          <w:jc w:val="center"/>
        </w:trPr>
        <w:tc>
          <w:tcPr>
            <w:tcW w:w="1850" w:type="dxa"/>
            <w:vMerge/>
            <w:shd w:val="clear" w:color="auto" w:fill="4472C4"/>
            <w:vAlign w:val="center"/>
          </w:tcPr>
          <w:p w14:paraId="7B45176B" w14:textId="77777777" w:rsidR="00990B14" w:rsidRDefault="00990B14">
            <w:pPr>
              <w:spacing w:before="20" w:after="20"/>
            </w:pPr>
          </w:p>
        </w:tc>
        <w:tc>
          <w:tcPr>
            <w:tcW w:w="1910" w:type="dxa"/>
            <w:shd w:val="clear" w:color="auto" w:fill="D9E2F3"/>
            <w:vAlign w:val="center"/>
          </w:tcPr>
          <w:p w14:paraId="24A06D24" w14:textId="77777777" w:rsidR="00990B14" w:rsidRDefault="00000000">
            <w:pPr>
              <w:spacing w:before="20" w:after="20"/>
              <w:jc w:val="center"/>
            </w:pPr>
            <w:r>
              <w:rPr>
                <w:sz w:val="18"/>
                <w:szCs w:val="18"/>
              </w:rPr>
              <w:t>Seguros</w:t>
            </w:r>
          </w:p>
        </w:tc>
        <w:tc>
          <w:tcPr>
            <w:tcW w:w="1867" w:type="dxa"/>
            <w:shd w:val="clear" w:color="auto" w:fill="D9E2F3"/>
            <w:vAlign w:val="center"/>
          </w:tcPr>
          <w:p w14:paraId="3987CEED" w14:textId="77777777" w:rsidR="00990B14" w:rsidRDefault="00000000">
            <w:pPr>
              <w:spacing w:before="20" w:after="20"/>
              <w:jc w:val="both"/>
            </w:pPr>
            <w:r>
              <w:rPr>
                <w:sz w:val="18"/>
                <w:szCs w:val="18"/>
              </w:rPr>
              <w:t>Confunde los seguros.</w:t>
            </w:r>
          </w:p>
        </w:tc>
        <w:tc>
          <w:tcPr>
            <w:tcW w:w="1867" w:type="dxa"/>
            <w:shd w:val="clear" w:color="auto" w:fill="D9E2F3"/>
            <w:vAlign w:val="center"/>
          </w:tcPr>
          <w:p w14:paraId="2A1A3390" w14:textId="77777777" w:rsidR="00990B14" w:rsidRDefault="00000000">
            <w:pPr>
              <w:spacing w:before="20" w:after="20"/>
              <w:jc w:val="both"/>
            </w:pPr>
            <w:r>
              <w:rPr>
                <w:sz w:val="18"/>
                <w:szCs w:val="18"/>
              </w:rPr>
              <w:t>Identifica el seguro que corresponde al caso.</w:t>
            </w:r>
          </w:p>
        </w:tc>
        <w:tc>
          <w:tcPr>
            <w:tcW w:w="1911" w:type="dxa"/>
            <w:shd w:val="clear" w:color="auto" w:fill="D9E2F3"/>
            <w:vAlign w:val="center"/>
          </w:tcPr>
          <w:p w14:paraId="4A38F081" w14:textId="77777777" w:rsidR="00990B14" w:rsidRDefault="00000000">
            <w:pPr>
              <w:spacing w:before="20" w:after="20"/>
              <w:jc w:val="both"/>
            </w:pPr>
            <w:r>
              <w:rPr>
                <w:sz w:val="18"/>
                <w:szCs w:val="18"/>
              </w:rPr>
              <w:t>Explica el financiamiento de cada seguro.</w:t>
            </w:r>
          </w:p>
        </w:tc>
      </w:tr>
      <w:tr w:rsidR="00990B14" w14:paraId="28F77160" w14:textId="77777777">
        <w:trPr>
          <w:cantSplit/>
          <w:jc w:val="center"/>
        </w:trPr>
        <w:tc>
          <w:tcPr>
            <w:tcW w:w="1850" w:type="dxa"/>
            <w:vMerge/>
            <w:shd w:val="clear" w:color="auto" w:fill="4472C4"/>
            <w:vAlign w:val="center"/>
          </w:tcPr>
          <w:p w14:paraId="1F962E47" w14:textId="77777777" w:rsidR="00990B14" w:rsidRDefault="00990B14">
            <w:pPr>
              <w:spacing w:before="20" w:after="20"/>
            </w:pPr>
          </w:p>
        </w:tc>
        <w:tc>
          <w:tcPr>
            <w:tcW w:w="1910" w:type="dxa"/>
            <w:shd w:val="clear" w:color="auto" w:fill="D9E2F3"/>
            <w:vAlign w:val="center"/>
          </w:tcPr>
          <w:p w14:paraId="5F7A10CA" w14:textId="77777777" w:rsidR="00990B14" w:rsidRDefault="00000000">
            <w:pPr>
              <w:spacing w:before="20" w:after="20"/>
              <w:jc w:val="center"/>
            </w:pPr>
            <w:r>
              <w:rPr>
                <w:sz w:val="18"/>
                <w:szCs w:val="18"/>
              </w:rPr>
              <w:t>Prestaciones</w:t>
            </w:r>
          </w:p>
        </w:tc>
        <w:tc>
          <w:tcPr>
            <w:tcW w:w="1867" w:type="dxa"/>
            <w:shd w:val="clear" w:color="auto" w:fill="D9E2F3"/>
            <w:vAlign w:val="center"/>
          </w:tcPr>
          <w:p w14:paraId="68E2FBA8" w14:textId="77777777" w:rsidR="00990B14" w:rsidRDefault="00000000">
            <w:pPr>
              <w:spacing w:before="20" w:after="20"/>
              <w:jc w:val="both"/>
            </w:pPr>
            <w:r>
              <w:rPr>
                <w:sz w:val="18"/>
                <w:szCs w:val="18"/>
              </w:rPr>
              <w:t>Omite prestaciones.</w:t>
            </w:r>
          </w:p>
        </w:tc>
        <w:tc>
          <w:tcPr>
            <w:tcW w:w="1867" w:type="dxa"/>
            <w:shd w:val="clear" w:color="auto" w:fill="D9E2F3"/>
            <w:vAlign w:val="center"/>
          </w:tcPr>
          <w:p w14:paraId="66DD59E9" w14:textId="77777777" w:rsidR="00990B14" w:rsidRDefault="00000000">
            <w:pPr>
              <w:spacing w:before="20" w:after="20"/>
              <w:jc w:val="both"/>
            </w:pPr>
            <w:r>
              <w:rPr>
                <w:sz w:val="18"/>
                <w:szCs w:val="18"/>
              </w:rPr>
              <w:t>Determina las prestaciones y las asignaciones familiares.</w:t>
            </w:r>
          </w:p>
        </w:tc>
        <w:tc>
          <w:tcPr>
            <w:tcW w:w="1911" w:type="dxa"/>
            <w:shd w:val="clear" w:color="auto" w:fill="D9E2F3"/>
            <w:vAlign w:val="center"/>
          </w:tcPr>
          <w:p w14:paraId="54CF1F7A" w14:textId="77777777" w:rsidR="00990B14" w:rsidRDefault="00000000">
            <w:pPr>
              <w:spacing w:before="20" w:after="20"/>
              <w:jc w:val="both"/>
            </w:pPr>
            <w:r>
              <w:rPr>
                <w:sz w:val="18"/>
                <w:szCs w:val="18"/>
              </w:rPr>
              <w:t>Determina el grado de incapacidad cuando corresponde.</w:t>
            </w:r>
          </w:p>
        </w:tc>
      </w:tr>
      <w:tr w:rsidR="00990B14" w14:paraId="46B0926D" w14:textId="77777777">
        <w:trPr>
          <w:cantSplit/>
          <w:jc w:val="center"/>
        </w:trPr>
        <w:tc>
          <w:tcPr>
            <w:tcW w:w="1850" w:type="dxa"/>
            <w:vMerge/>
            <w:shd w:val="clear" w:color="auto" w:fill="4472C4"/>
            <w:vAlign w:val="center"/>
          </w:tcPr>
          <w:p w14:paraId="37C5327D" w14:textId="77777777" w:rsidR="00990B14" w:rsidRDefault="00990B14">
            <w:pPr>
              <w:spacing w:before="20" w:after="20"/>
            </w:pPr>
          </w:p>
        </w:tc>
        <w:tc>
          <w:tcPr>
            <w:tcW w:w="1910" w:type="dxa"/>
            <w:shd w:val="clear" w:color="auto" w:fill="D9E2F3"/>
            <w:vAlign w:val="center"/>
          </w:tcPr>
          <w:p w14:paraId="232EAB3F" w14:textId="77777777" w:rsidR="00990B14" w:rsidRDefault="00000000">
            <w:pPr>
              <w:spacing w:before="20" w:after="20"/>
              <w:jc w:val="center"/>
            </w:pPr>
            <w:r>
              <w:rPr>
                <w:sz w:val="18"/>
                <w:szCs w:val="18"/>
              </w:rPr>
              <w:t>Redacción</w:t>
            </w:r>
          </w:p>
        </w:tc>
        <w:tc>
          <w:tcPr>
            <w:tcW w:w="1867" w:type="dxa"/>
            <w:shd w:val="clear" w:color="auto" w:fill="D9E2F3"/>
            <w:vAlign w:val="center"/>
          </w:tcPr>
          <w:p w14:paraId="506C4E73" w14:textId="77777777" w:rsidR="00990B14" w:rsidRDefault="00000000">
            <w:pPr>
              <w:spacing w:before="20" w:after="20"/>
              <w:jc w:val="both"/>
            </w:pPr>
            <w:r>
              <w:rPr>
                <w:sz w:val="18"/>
                <w:szCs w:val="18"/>
              </w:rPr>
              <w:t>El informe es confuso.</w:t>
            </w:r>
          </w:p>
        </w:tc>
        <w:tc>
          <w:tcPr>
            <w:tcW w:w="1867" w:type="dxa"/>
            <w:shd w:val="clear" w:color="auto" w:fill="D9E2F3"/>
            <w:vAlign w:val="center"/>
          </w:tcPr>
          <w:p w14:paraId="660A8551" w14:textId="77777777" w:rsidR="00990B14" w:rsidRDefault="00000000">
            <w:pPr>
              <w:spacing w:before="20" w:after="20"/>
              <w:jc w:val="both"/>
            </w:pPr>
            <w:r>
              <w:rPr>
                <w:sz w:val="18"/>
                <w:szCs w:val="18"/>
              </w:rPr>
              <w:t>El informe es claro.</w:t>
            </w:r>
          </w:p>
        </w:tc>
        <w:tc>
          <w:tcPr>
            <w:tcW w:w="1911" w:type="dxa"/>
            <w:shd w:val="clear" w:color="auto" w:fill="D9E2F3"/>
            <w:vAlign w:val="center"/>
          </w:tcPr>
          <w:p w14:paraId="3CA951B6" w14:textId="77777777" w:rsidR="00990B14" w:rsidRDefault="00000000">
            <w:pPr>
              <w:spacing w:before="20" w:after="20"/>
              <w:jc w:val="both"/>
            </w:pPr>
            <w:r>
              <w:rPr>
                <w:sz w:val="18"/>
                <w:szCs w:val="18"/>
              </w:rPr>
              <w:t>El informe es preciso y ordenado.</w:t>
            </w:r>
          </w:p>
        </w:tc>
      </w:tr>
      <w:tr w:rsidR="00990B14" w14:paraId="54311F65" w14:textId="77777777">
        <w:trPr>
          <w:cantSplit/>
          <w:jc w:val="center"/>
        </w:trPr>
        <w:tc>
          <w:tcPr>
            <w:tcW w:w="1850" w:type="dxa"/>
            <w:vMerge/>
            <w:shd w:val="clear" w:color="auto" w:fill="4472C4"/>
            <w:vAlign w:val="center"/>
          </w:tcPr>
          <w:p w14:paraId="7EEE3B3B" w14:textId="77777777" w:rsidR="00990B14" w:rsidRDefault="00990B14">
            <w:pPr>
              <w:spacing w:before="20" w:after="20"/>
            </w:pPr>
          </w:p>
        </w:tc>
        <w:tc>
          <w:tcPr>
            <w:tcW w:w="5644" w:type="dxa"/>
            <w:gridSpan w:val="3"/>
            <w:shd w:val="clear" w:color="auto" w:fill="D9E2F3"/>
            <w:vAlign w:val="center"/>
          </w:tcPr>
          <w:p w14:paraId="14634C42" w14:textId="77777777" w:rsidR="00990B14" w:rsidRDefault="00000000">
            <w:pPr>
              <w:keepNext/>
              <w:spacing w:before="20" w:after="20"/>
              <w:jc w:val="both"/>
            </w:pPr>
            <w:r>
              <w:rPr>
                <w:b/>
                <w:bCs/>
                <w:i/>
                <w:iCs/>
                <w:sz w:val="18"/>
                <w:szCs w:val="18"/>
              </w:rPr>
              <w:t xml:space="preserve">Producto 18: </w:t>
            </w:r>
            <w:r>
              <w:rPr>
                <w:sz w:val="18"/>
                <w:szCs w:val="18"/>
              </w:rPr>
              <w:t>Mapa de riesgos ocupacionales</w:t>
            </w:r>
          </w:p>
        </w:tc>
        <w:tc>
          <w:tcPr>
            <w:tcW w:w="1911" w:type="dxa"/>
            <w:shd w:val="clear" w:color="auto" w:fill="D9E2F3"/>
            <w:vAlign w:val="center"/>
          </w:tcPr>
          <w:p w14:paraId="40714356" w14:textId="77777777" w:rsidR="00990B14" w:rsidRDefault="00000000">
            <w:pPr>
              <w:spacing w:before="20" w:after="20"/>
              <w:jc w:val="center"/>
            </w:pPr>
            <w:r>
              <w:rPr>
                <w:b/>
                <w:bCs/>
                <w:sz w:val="18"/>
                <w:szCs w:val="18"/>
              </w:rPr>
              <w:t>4%</w:t>
            </w:r>
          </w:p>
        </w:tc>
      </w:tr>
      <w:tr w:rsidR="00990B14" w14:paraId="0915659F" w14:textId="77777777">
        <w:trPr>
          <w:cantSplit/>
          <w:jc w:val="center"/>
        </w:trPr>
        <w:tc>
          <w:tcPr>
            <w:tcW w:w="1850" w:type="dxa"/>
            <w:vMerge/>
            <w:shd w:val="clear" w:color="auto" w:fill="4472C4"/>
            <w:vAlign w:val="center"/>
          </w:tcPr>
          <w:p w14:paraId="7B8E47C5" w14:textId="77777777" w:rsidR="00990B14" w:rsidRDefault="00990B14">
            <w:pPr>
              <w:spacing w:before="20" w:after="20"/>
            </w:pPr>
          </w:p>
        </w:tc>
        <w:tc>
          <w:tcPr>
            <w:tcW w:w="1910" w:type="dxa"/>
            <w:shd w:val="clear" w:color="auto" w:fill="4472C4"/>
            <w:vAlign w:val="center"/>
          </w:tcPr>
          <w:p w14:paraId="1C6447DB" w14:textId="77777777" w:rsidR="00990B14" w:rsidRDefault="00000000">
            <w:pPr>
              <w:keepNext/>
              <w:spacing w:before="20" w:after="20"/>
              <w:jc w:val="center"/>
            </w:pPr>
            <w:r>
              <w:rPr>
                <w:b/>
                <w:bCs/>
                <w:i/>
                <w:iCs/>
                <w:color w:val="FFFFFF"/>
                <w:sz w:val="18"/>
                <w:szCs w:val="18"/>
              </w:rPr>
              <w:t>Criterio</w:t>
            </w:r>
          </w:p>
        </w:tc>
        <w:tc>
          <w:tcPr>
            <w:tcW w:w="1867" w:type="dxa"/>
            <w:shd w:val="clear" w:color="auto" w:fill="4472C4"/>
            <w:vAlign w:val="center"/>
          </w:tcPr>
          <w:p w14:paraId="4E2556A1" w14:textId="77777777" w:rsidR="00990B14" w:rsidRDefault="00000000">
            <w:pPr>
              <w:keepNext/>
              <w:spacing w:before="20" w:after="20"/>
              <w:jc w:val="center"/>
            </w:pPr>
            <w:r>
              <w:rPr>
                <w:b/>
                <w:bCs/>
                <w:i/>
                <w:iCs/>
                <w:color w:val="FFFFFF"/>
                <w:sz w:val="18"/>
                <w:szCs w:val="18"/>
              </w:rPr>
              <w:t>Insuficiente (1–50)</w:t>
            </w:r>
          </w:p>
        </w:tc>
        <w:tc>
          <w:tcPr>
            <w:tcW w:w="1867" w:type="dxa"/>
            <w:shd w:val="clear" w:color="auto" w:fill="4472C4"/>
            <w:vAlign w:val="center"/>
          </w:tcPr>
          <w:p w14:paraId="09792F90" w14:textId="77777777" w:rsidR="00990B14" w:rsidRDefault="00000000">
            <w:pPr>
              <w:keepNext/>
              <w:spacing w:before="20" w:after="20"/>
              <w:jc w:val="center"/>
            </w:pPr>
            <w:r>
              <w:rPr>
                <w:b/>
                <w:bCs/>
                <w:i/>
                <w:iCs/>
                <w:color w:val="FFFFFF"/>
                <w:sz w:val="18"/>
                <w:szCs w:val="18"/>
              </w:rPr>
              <w:t>Suficiente (51–80)</w:t>
            </w:r>
          </w:p>
        </w:tc>
        <w:tc>
          <w:tcPr>
            <w:tcW w:w="1911" w:type="dxa"/>
            <w:shd w:val="clear" w:color="auto" w:fill="4472C4"/>
            <w:vAlign w:val="center"/>
          </w:tcPr>
          <w:p w14:paraId="09226F52" w14:textId="77777777" w:rsidR="00990B14" w:rsidRDefault="00000000">
            <w:pPr>
              <w:keepNext/>
              <w:spacing w:before="20" w:after="20"/>
              <w:jc w:val="center"/>
            </w:pPr>
            <w:r>
              <w:rPr>
                <w:b/>
                <w:bCs/>
                <w:i/>
                <w:iCs/>
                <w:color w:val="FFFFFF"/>
                <w:sz w:val="18"/>
                <w:szCs w:val="18"/>
              </w:rPr>
              <w:t>Destacado (81–100)</w:t>
            </w:r>
          </w:p>
        </w:tc>
      </w:tr>
      <w:tr w:rsidR="00990B14" w14:paraId="498D0AE8" w14:textId="77777777">
        <w:trPr>
          <w:cantSplit/>
          <w:jc w:val="center"/>
        </w:trPr>
        <w:tc>
          <w:tcPr>
            <w:tcW w:w="1850" w:type="dxa"/>
            <w:vMerge/>
            <w:shd w:val="clear" w:color="auto" w:fill="4472C4"/>
            <w:vAlign w:val="center"/>
          </w:tcPr>
          <w:p w14:paraId="14E84D85" w14:textId="77777777" w:rsidR="00990B14" w:rsidRDefault="00990B14">
            <w:pPr>
              <w:spacing w:before="20" w:after="20"/>
            </w:pPr>
          </w:p>
        </w:tc>
        <w:tc>
          <w:tcPr>
            <w:tcW w:w="1910" w:type="dxa"/>
            <w:shd w:val="clear" w:color="auto" w:fill="D9E2F3"/>
            <w:vAlign w:val="center"/>
          </w:tcPr>
          <w:p w14:paraId="2EF2A91B" w14:textId="77777777" w:rsidR="00990B14" w:rsidRDefault="00000000">
            <w:pPr>
              <w:spacing w:before="20" w:after="20"/>
              <w:jc w:val="center"/>
            </w:pPr>
            <w:r>
              <w:rPr>
                <w:sz w:val="18"/>
                <w:szCs w:val="18"/>
              </w:rPr>
              <w:t>Riesgos</w:t>
            </w:r>
          </w:p>
        </w:tc>
        <w:tc>
          <w:tcPr>
            <w:tcW w:w="1867" w:type="dxa"/>
            <w:shd w:val="clear" w:color="auto" w:fill="D9E2F3"/>
            <w:vAlign w:val="center"/>
          </w:tcPr>
          <w:p w14:paraId="2E4E36B8" w14:textId="77777777" w:rsidR="00990B14" w:rsidRDefault="00000000">
            <w:pPr>
              <w:spacing w:before="20" w:after="20"/>
              <w:jc w:val="both"/>
            </w:pPr>
            <w:r>
              <w:rPr>
                <w:sz w:val="18"/>
                <w:szCs w:val="18"/>
              </w:rPr>
              <w:t>Omite riesgos evidentes.</w:t>
            </w:r>
          </w:p>
        </w:tc>
        <w:tc>
          <w:tcPr>
            <w:tcW w:w="1867" w:type="dxa"/>
            <w:shd w:val="clear" w:color="auto" w:fill="D9E2F3"/>
            <w:vAlign w:val="center"/>
          </w:tcPr>
          <w:p w14:paraId="0995F661" w14:textId="77777777" w:rsidR="00990B14" w:rsidRDefault="00000000">
            <w:pPr>
              <w:spacing w:before="20" w:after="20"/>
              <w:jc w:val="both"/>
            </w:pPr>
            <w:r>
              <w:rPr>
                <w:sz w:val="18"/>
                <w:szCs w:val="18"/>
              </w:rPr>
              <w:t>Identifica los riesgos del centro de trabajo.</w:t>
            </w:r>
          </w:p>
        </w:tc>
        <w:tc>
          <w:tcPr>
            <w:tcW w:w="1911" w:type="dxa"/>
            <w:shd w:val="clear" w:color="auto" w:fill="D9E2F3"/>
            <w:vAlign w:val="center"/>
          </w:tcPr>
          <w:p w14:paraId="5919B04B" w14:textId="77777777" w:rsidR="00990B14" w:rsidRDefault="00000000">
            <w:pPr>
              <w:spacing w:before="20" w:after="20"/>
              <w:jc w:val="both"/>
            </w:pPr>
            <w:r>
              <w:rPr>
                <w:sz w:val="18"/>
                <w:szCs w:val="18"/>
              </w:rPr>
              <w:t>Clasifica los riesgos según su gravedad.</w:t>
            </w:r>
          </w:p>
        </w:tc>
      </w:tr>
      <w:tr w:rsidR="00990B14" w14:paraId="2BF0A104" w14:textId="77777777">
        <w:trPr>
          <w:cantSplit/>
          <w:jc w:val="center"/>
        </w:trPr>
        <w:tc>
          <w:tcPr>
            <w:tcW w:w="1850" w:type="dxa"/>
            <w:vMerge/>
            <w:shd w:val="clear" w:color="auto" w:fill="4472C4"/>
            <w:vAlign w:val="center"/>
          </w:tcPr>
          <w:p w14:paraId="42E84212" w14:textId="77777777" w:rsidR="00990B14" w:rsidRDefault="00990B14">
            <w:pPr>
              <w:spacing w:before="20" w:after="20"/>
            </w:pPr>
          </w:p>
        </w:tc>
        <w:tc>
          <w:tcPr>
            <w:tcW w:w="1910" w:type="dxa"/>
            <w:shd w:val="clear" w:color="auto" w:fill="D9E2F3"/>
            <w:vAlign w:val="center"/>
          </w:tcPr>
          <w:p w14:paraId="633B7392" w14:textId="77777777" w:rsidR="00990B14" w:rsidRDefault="00000000">
            <w:pPr>
              <w:spacing w:before="20" w:after="20"/>
              <w:jc w:val="center"/>
            </w:pPr>
            <w:r>
              <w:rPr>
                <w:sz w:val="18"/>
                <w:szCs w:val="18"/>
              </w:rPr>
              <w:t>Prevención</w:t>
            </w:r>
          </w:p>
        </w:tc>
        <w:tc>
          <w:tcPr>
            <w:tcW w:w="1867" w:type="dxa"/>
            <w:shd w:val="clear" w:color="auto" w:fill="D9E2F3"/>
            <w:vAlign w:val="center"/>
          </w:tcPr>
          <w:p w14:paraId="7ACD895E" w14:textId="77777777" w:rsidR="00990B14" w:rsidRDefault="00000000">
            <w:pPr>
              <w:spacing w:before="20" w:after="20"/>
              <w:jc w:val="both"/>
            </w:pPr>
            <w:r>
              <w:rPr>
                <w:sz w:val="18"/>
                <w:szCs w:val="18"/>
              </w:rPr>
              <w:t>No propone medidas.</w:t>
            </w:r>
          </w:p>
        </w:tc>
        <w:tc>
          <w:tcPr>
            <w:tcW w:w="1867" w:type="dxa"/>
            <w:shd w:val="clear" w:color="auto" w:fill="D9E2F3"/>
            <w:vAlign w:val="center"/>
          </w:tcPr>
          <w:p w14:paraId="3A1BD97A" w14:textId="77777777" w:rsidR="00990B14" w:rsidRDefault="00000000">
            <w:pPr>
              <w:spacing w:before="20" w:after="20"/>
              <w:jc w:val="both"/>
            </w:pPr>
            <w:r>
              <w:rPr>
                <w:sz w:val="18"/>
                <w:szCs w:val="18"/>
              </w:rPr>
              <w:t>Propone medidas de seguridad y salud.</w:t>
            </w:r>
          </w:p>
        </w:tc>
        <w:tc>
          <w:tcPr>
            <w:tcW w:w="1911" w:type="dxa"/>
            <w:shd w:val="clear" w:color="auto" w:fill="D9E2F3"/>
            <w:vAlign w:val="center"/>
          </w:tcPr>
          <w:p w14:paraId="597300C0" w14:textId="77777777" w:rsidR="00990B14" w:rsidRDefault="00000000">
            <w:pPr>
              <w:spacing w:before="20" w:after="20"/>
              <w:jc w:val="both"/>
            </w:pPr>
            <w:r>
              <w:rPr>
                <w:sz w:val="18"/>
                <w:szCs w:val="18"/>
              </w:rPr>
              <w:t>Relaciona las medidas con la sostenibilidad social.</w:t>
            </w:r>
          </w:p>
        </w:tc>
      </w:tr>
      <w:tr w:rsidR="00990B14" w14:paraId="57FA90ED" w14:textId="77777777">
        <w:trPr>
          <w:cantSplit/>
          <w:jc w:val="center"/>
        </w:trPr>
        <w:tc>
          <w:tcPr>
            <w:tcW w:w="1850" w:type="dxa"/>
            <w:vMerge/>
            <w:shd w:val="clear" w:color="auto" w:fill="4472C4"/>
            <w:vAlign w:val="center"/>
          </w:tcPr>
          <w:p w14:paraId="495DD312" w14:textId="77777777" w:rsidR="00990B14" w:rsidRDefault="00990B14">
            <w:pPr>
              <w:spacing w:before="20" w:after="20"/>
            </w:pPr>
          </w:p>
        </w:tc>
        <w:tc>
          <w:tcPr>
            <w:tcW w:w="1910" w:type="dxa"/>
            <w:shd w:val="clear" w:color="auto" w:fill="D9E2F3"/>
            <w:vAlign w:val="center"/>
          </w:tcPr>
          <w:p w14:paraId="2F77315B" w14:textId="77777777" w:rsidR="00990B14" w:rsidRDefault="00000000">
            <w:pPr>
              <w:spacing w:before="20" w:after="20"/>
              <w:jc w:val="center"/>
            </w:pPr>
            <w:r>
              <w:rPr>
                <w:sz w:val="18"/>
                <w:szCs w:val="18"/>
              </w:rPr>
              <w:t>Presentación</w:t>
            </w:r>
          </w:p>
        </w:tc>
        <w:tc>
          <w:tcPr>
            <w:tcW w:w="1867" w:type="dxa"/>
            <w:shd w:val="clear" w:color="auto" w:fill="D9E2F3"/>
            <w:vAlign w:val="center"/>
          </w:tcPr>
          <w:p w14:paraId="0AAD4568" w14:textId="77777777" w:rsidR="00990B14" w:rsidRDefault="00000000">
            <w:pPr>
              <w:spacing w:before="20" w:after="20"/>
              <w:jc w:val="both"/>
            </w:pPr>
            <w:r>
              <w:rPr>
                <w:sz w:val="18"/>
                <w:szCs w:val="18"/>
              </w:rPr>
              <w:t>El cuadro es confuso.</w:t>
            </w:r>
          </w:p>
        </w:tc>
        <w:tc>
          <w:tcPr>
            <w:tcW w:w="1867" w:type="dxa"/>
            <w:shd w:val="clear" w:color="auto" w:fill="D9E2F3"/>
            <w:vAlign w:val="center"/>
          </w:tcPr>
          <w:p w14:paraId="344C55FD" w14:textId="77777777" w:rsidR="00990B14" w:rsidRDefault="00000000">
            <w:pPr>
              <w:spacing w:before="20" w:after="20"/>
              <w:jc w:val="both"/>
            </w:pPr>
            <w:r>
              <w:rPr>
                <w:sz w:val="18"/>
                <w:szCs w:val="18"/>
              </w:rPr>
              <w:t>El cuadro es claro.</w:t>
            </w:r>
          </w:p>
        </w:tc>
        <w:tc>
          <w:tcPr>
            <w:tcW w:w="1911" w:type="dxa"/>
            <w:shd w:val="clear" w:color="auto" w:fill="D9E2F3"/>
            <w:vAlign w:val="center"/>
          </w:tcPr>
          <w:p w14:paraId="6F8B8F04" w14:textId="77777777" w:rsidR="00990B14" w:rsidRDefault="00000000">
            <w:pPr>
              <w:spacing w:before="20" w:after="20"/>
              <w:jc w:val="both"/>
            </w:pPr>
            <w:r>
              <w:rPr>
                <w:sz w:val="18"/>
                <w:szCs w:val="18"/>
              </w:rPr>
              <w:t>El cuadro es ordenado y verificable.</w:t>
            </w:r>
          </w:p>
        </w:tc>
      </w:tr>
      <w:tr w:rsidR="00990B14" w14:paraId="6548AFE3" w14:textId="77777777">
        <w:trPr>
          <w:cantSplit/>
          <w:jc w:val="center"/>
        </w:trPr>
        <w:tc>
          <w:tcPr>
            <w:tcW w:w="1850" w:type="dxa"/>
            <w:vMerge/>
            <w:shd w:val="clear" w:color="auto" w:fill="4472C4"/>
            <w:vAlign w:val="center"/>
          </w:tcPr>
          <w:p w14:paraId="4296B355" w14:textId="77777777" w:rsidR="00990B14" w:rsidRDefault="00990B14">
            <w:pPr>
              <w:spacing w:before="20" w:after="20"/>
            </w:pPr>
          </w:p>
        </w:tc>
        <w:tc>
          <w:tcPr>
            <w:tcW w:w="5644" w:type="dxa"/>
            <w:gridSpan w:val="3"/>
            <w:shd w:val="clear" w:color="auto" w:fill="D9E2F3"/>
            <w:vAlign w:val="center"/>
          </w:tcPr>
          <w:p w14:paraId="2A6A988D" w14:textId="77777777" w:rsidR="00990B14" w:rsidRDefault="00000000">
            <w:pPr>
              <w:keepNext/>
              <w:spacing w:before="20" w:after="20"/>
              <w:jc w:val="both"/>
            </w:pPr>
            <w:r>
              <w:rPr>
                <w:b/>
                <w:bCs/>
                <w:i/>
                <w:iCs/>
                <w:sz w:val="18"/>
                <w:szCs w:val="18"/>
              </w:rPr>
              <w:t xml:space="preserve">Producto 19: </w:t>
            </w:r>
            <w:r>
              <w:rPr>
                <w:sz w:val="18"/>
                <w:szCs w:val="18"/>
              </w:rPr>
              <w:t>Cálculo de pensión y renta dignidad</w:t>
            </w:r>
          </w:p>
        </w:tc>
        <w:tc>
          <w:tcPr>
            <w:tcW w:w="1911" w:type="dxa"/>
            <w:shd w:val="clear" w:color="auto" w:fill="D9E2F3"/>
            <w:vAlign w:val="center"/>
          </w:tcPr>
          <w:p w14:paraId="566B1670" w14:textId="77777777" w:rsidR="00990B14" w:rsidRDefault="00000000">
            <w:pPr>
              <w:spacing w:before="20" w:after="20"/>
              <w:jc w:val="center"/>
            </w:pPr>
            <w:r>
              <w:rPr>
                <w:b/>
                <w:bCs/>
                <w:sz w:val="18"/>
                <w:szCs w:val="18"/>
              </w:rPr>
              <w:t>4%</w:t>
            </w:r>
          </w:p>
        </w:tc>
      </w:tr>
      <w:tr w:rsidR="00990B14" w14:paraId="1C194518" w14:textId="77777777">
        <w:trPr>
          <w:cantSplit/>
          <w:jc w:val="center"/>
        </w:trPr>
        <w:tc>
          <w:tcPr>
            <w:tcW w:w="1850" w:type="dxa"/>
            <w:vMerge/>
            <w:shd w:val="clear" w:color="auto" w:fill="4472C4"/>
            <w:vAlign w:val="center"/>
          </w:tcPr>
          <w:p w14:paraId="30907234" w14:textId="77777777" w:rsidR="00990B14" w:rsidRDefault="00990B14">
            <w:pPr>
              <w:spacing w:before="20" w:after="20"/>
            </w:pPr>
          </w:p>
        </w:tc>
        <w:tc>
          <w:tcPr>
            <w:tcW w:w="1910" w:type="dxa"/>
            <w:shd w:val="clear" w:color="auto" w:fill="4472C4"/>
            <w:vAlign w:val="center"/>
          </w:tcPr>
          <w:p w14:paraId="307A0D75" w14:textId="77777777" w:rsidR="00990B14" w:rsidRDefault="00000000">
            <w:pPr>
              <w:keepNext/>
              <w:spacing w:before="20" w:after="20"/>
              <w:jc w:val="center"/>
            </w:pPr>
            <w:r>
              <w:rPr>
                <w:b/>
                <w:bCs/>
                <w:i/>
                <w:iCs/>
                <w:color w:val="FFFFFF"/>
                <w:sz w:val="18"/>
                <w:szCs w:val="18"/>
              </w:rPr>
              <w:t>Criterio</w:t>
            </w:r>
          </w:p>
        </w:tc>
        <w:tc>
          <w:tcPr>
            <w:tcW w:w="1867" w:type="dxa"/>
            <w:shd w:val="clear" w:color="auto" w:fill="4472C4"/>
            <w:vAlign w:val="center"/>
          </w:tcPr>
          <w:p w14:paraId="55630FCE" w14:textId="77777777" w:rsidR="00990B14" w:rsidRDefault="00000000">
            <w:pPr>
              <w:keepNext/>
              <w:spacing w:before="20" w:after="20"/>
              <w:jc w:val="center"/>
            </w:pPr>
            <w:r>
              <w:rPr>
                <w:b/>
                <w:bCs/>
                <w:i/>
                <w:iCs/>
                <w:color w:val="FFFFFF"/>
                <w:sz w:val="18"/>
                <w:szCs w:val="18"/>
              </w:rPr>
              <w:t>Insuficiente (1–50)</w:t>
            </w:r>
          </w:p>
        </w:tc>
        <w:tc>
          <w:tcPr>
            <w:tcW w:w="1867" w:type="dxa"/>
            <w:shd w:val="clear" w:color="auto" w:fill="4472C4"/>
            <w:vAlign w:val="center"/>
          </w:tcPr>
          <w:p w14:paraId="5462248E" w14:textId="77777777" w:rsidR="00990B14" w:rsidRDefault="00000000">
            <w:pPr>
              <w:keepNext/>
              <w:spacing w:before="20" w:after="20"/>
              <w:jc w:val="center"/>
            </w:pPr>
            <w:r>
              <w:rPr>
                <w:b/>
                <w:bCs/>
                <w:i/>
                <w:iCs/>
                <w:color w:val="FFFFFF"/>
                <w:sz w:val="18"/>
                <w:szCs w:val="18"/>
              </w:rPr>
              <w:t>Suficiente (51–80)</w:t>
            </w:r>
          </w:p>
        </w:tc>
        <w:tc>
          <w:tcPr>
            <w:tcW w:w="1911" w:type="dxa"/>
            <w:shd w:val="clear" w:color="auto" w:fill="4472C4"/>
            <w:vAlign w:val="center"/>
          </w:tcPr>
          <w:p w14:paraId="542149CE" w14:textId="77777777" w:rsidR="00990B14" w:rsidRDefault="00000000">
            <w:pPr>
              <w:keepNext/>
              <w:spacing w:before="20" w:after="20"/>
              <w:jc w:val="center"/>
            </w:pPr>
            <w:r>
              <w:rPr>
                <w:b/>
                <w:bCs/>
                <w:i/>
                <w:iCs/>
                <w:color w:val="FFFFFF"/>
                <w:sz w:val="18"/>
                <w:szCs w:val="18"/>
              </w:rPr>
              <w:t>Destacado (81–100)</w:t>
            </w:r>
          </w:p>
        </w:tc>
      </w:tr>
      <w:tr w:rsidR="00990B14" w14:paraId="6C4DED6E" w14:textId="77777777">
        <w:trPr>
          <w:cantSplit/>
          <w:jc w:val="center"/>
        </w:trPr>
        <w:tc>
          <w:tcPr>
            <w:tcW w:w="1850" w:type="dxa"/>
            <w:vMerge/>
            <w:shd w:val="clear" w:color="auto" w:fill="4472C4"/>
            <w:vAlign w:val="center"/>
          </w:tcPr>
          <w:p w14:paraId="107C7AB8" w14:textId="77777777" w:rsidR="00990B14" w:rsidRDefault="00990B14">
            <w:pPr>
              <w:spacing w:before="20" w:after="20"/>
            </w:pPr>
          </w:p>
        </w:tc>
        <w:tc>
          <w:tcPr>
            <w:tcW w:w="1910" w:type="dxa"/>
            <w:shd w:val="clear" w:color="auto" w:fill="D9E2F3"/>
            <w:vAlign w:val="center"/>
          </w:tcPr>
          <w:p w14:paraId="127CA5E2" w14:textId="77777777" w:rsidR="00990B14" w:rsidRDefault="00000000">
            <w:pPr>
              <w:spacing w:before="20" w:after="20"/>
              <w:jc w:val="center"/>
            </w:pPr>
            <w:r>
              <w:rPr>
                <w:sz w:val="18"/>
                <w:szCs w:val="18"/>
              </w:rPr>
              <w:t>Requisitos</w:t>
            </w:r>
          </w:p>
        </w:tc>
        <w:tc>
          <w:tcPr>
            <w:tcW w:w="1867" w:type="dxa"/>
            <w:shd w:val="clear" w:color="auto" w:fill="D9E2F3"/>
            <w:vAlign w:val="center"/>
          </w:tcPr>
          <w:p w14:paraId="52F49C0D" w14:textId="77777777" w:rsidR="00990B14" w:rsidRDefault="00000000">
            <w:pPr>
              <w:spacing w:before="20" w:after="20"/>
              <w:jc w:val="both"/>
            </w:pPr>
            <w:r>
              <w:rPr>
                <w:sz w:val="18"/>
                <w:szCs w:val="18"/>
              </w:rPr>
              <w:t>No verifica los requisitos.</w:t>
            </w:r>
          </w:p>
        </w:tc>
        <w:tc>
          <w:tcPr>
            <w:tcW w:w="1867" w:type="dxa"/>
            <w:shd w:val="clear" w:color="auto" w:fill="D9E2F3"/>
            <w:vAlign w:val="center"/>
          </w:tcPr>
          <w:p w14:paraId="0D138D78" w14:textId="77777777" w:rsidR="00990B14" w:rsidRDefault="00000000">
            <w:pPr>
              <w:spacing w:before="20" w:after="20"/>
              <w:jc w:val="both"/>
            </w:pPr>
            <w:r>
              <w:rPr>
                <w:sz w:val="18"/>
                <w:szCs w:val="18"/>
              </w:rPr>
              <w:t>Verifica los requisitos de acceso.</w:t>
            </w:r>
          </w:p>
        </w:tc>
        <w:tc>
          <w:tcPr>
            <w:tcW w:w="1911" w:type="dxa"/>
            <w:shd w:val="clear" w:color="auto" w:fill="D9E2F3"/>
            <w:vAlign w:val="center"/>
          </w:tcPr>
          <w:p w14:paraId="4226F9E7" w14:textId="77777777" w:rsidR="00990B14" w:rsidRDefault="00000000">
            <w:pPr>
              <w:spacing w:before="20" w:after="20"/>
              <w:jc w:val="both"/>
            </w:pPr>
            <w:r>
              <w:rPr>
                <w:sz w:val="18"/>
                <w:szCs w:val="18"/>
              </w:rPr>
              <w:t>Considera la pensión solidaria cuando corresponde.</w:t>
            </w:r>
          </w:p>
        </w:tc>
      </w:tr>
      <w:tr w:rsidR="00990B14" w14:paraId="02F25FF4" w14:textId="77777777">
        <w:trPr>
          <w:cantSplit/>
          <w:jc w:val="center"/>
        </w:trPr>
        <w:tc>
          <w:tcPr>
            <w:tcW w:w="1850" w:type="dxa"/>
            <w:vMerge/>
            <w:shd w:val="clear" w:color="auto" w:fill="4472C4"/>
            <w:vAlign w:val="center"/>
          </w:tcPr>
          <w:p w14:paraId="049A7EFD" w14:textId="77777777" w:rsidR="00990B14" w:rsidRDefault="00990B14">
            <w:pPr>
              <w:spacing w:before="20" w:after="20"/>
            </w:pPr>
          </w:p>
        </w:tc>
        <w:tc>
          <w:tcPr>
            <w:tcW w:w="1910" w:type="dxa"/>
            <w:shd w:val="clear" w:color="auto" w:fill="D9E2F3"/>
            <w:vAlign w:val="center"/>
          </w:tcPr>
          <w:p w14:paraId="36066449" w14:textId="77777777" w:rsidR="00990B14" w:rsidRDefault="00000000">
            <w:pPr>
              <w:spacing w:before="20" w:after="20"/>
              <w:jc w:val="center"/>
            </w:pPr>
            <w:r>
              <w:rPr>
                <w:sz w:val="18"/>
                <w:szCs w:val="18"/>
              </w:rPr>
              <w:t>Cálculo</w:t>
            </w:r>
          </w:p>
        </w:tc>
        <w:tc>
          <w:tcPr>
            <w:tcW w:w="1867" w:type="dxa"/>
            <w:shd w:val="clear" w:color="auto" w:fill="D9E2F3"/>
            <w:vAlign w:val="center"/>
          </w:tcPr>
          <w:p w14:paraId="2E421D16" w14:textId="77777777" w:rsidR="00990B14" w:rsidRDefault="00000000">
            <w:pPr>
              <w:spacing w:before="20" w:after="20"/>
              <w:jc w:val="both"/>
            </w:pPr>
            <w:r>
              <w:rPr>
                <w:sz w:val="18"/>
                <w:szCs w:val="18"/>
              </w:rPr>
              <w:t>Calcula con errores.</w:t>
            </w:r>
          </w:p>
        </w:tc>
        <w:tc>
          <w:tcPr>
            <w:tcW w:w="1867" w:type="dxa"/>
            <w:shd w:val="clear" w:color="auto" w:fill="D9E2F3"/>
            <w:vAlign w:val="center"/>
          </w:tcPr>
          <w:p w14:paraId="3962A34B" w14:textId="77777777" w:rsidR="00990B14" w:rsidRDefault="00000000">
            <w:pPr>
              <w:spacing w:before="20" w:after="20"/>
              <w:jc w:val="both"/>
            </w:pPr>
            <w:r>
              <w:rPr>
                <w:sz w:val="18"/>
                <w:szCs w:val="18"/>
              </w:rPr>
              <w:t>Calcula la pensión y la renta dignidad.</w:t>
            </w:r>
          </w:p>
        </w:tc>
        <w:tc>
          <w:tcPr>
            <w:tcW w:w="1911" w:type="dxa"/>
            <w:shd w:val="clear" w:color="auto" w:fill="D9E2F3"/>
            <w:vAlign w:val="center"/>
          </w:tcPr>
          <w:p w14:paraId="181F46F8" w14:textId="77777777" w:rsidR="00990B14" w:rsidRDefault="00000000">
            <w:pPr>
              <w:spacing w:before="20" w:after="20"/>
              <w:jc w:val="both"/>
            </w:pPr>
            <w:r>
              <w:rPr>
                <w:sz w:val="18"/>
                <w:szCs w:val="18"/>
              </w:rPr>
              <w:t>Explica cada paso del cálculo.</w:t>
            </w:r>
          </w:p>
        </w:tc>
      </w:tr>
      <w:tr w:rsidR="00990B14" w14:paraId="1693CBCF" w14:textId="77777777">
        <w:trPr>
          <w:cantSplit/>
          <w:jc w:val="center"/>
        </w:trPr>
        <w:tc>
          <w:tcPr>
            <w:tcW w:w="1850" w:type="dxa"/>
            <w:vMerge/>
            <w:shd w:val="clear" w:color="auto" w:fill="4472C4"/>
            <w:vAlign w:val="center"/>
          </w:tcPr>
          <w:p w14:paraId="2757CE89" w14:textId="77777777" w:rsidR="00990B14" w:rsidRDefault="00990B14">
            <w:pPr>
              <w:spacing w:before="20" w:after="20"/>
            </w:pPr>
          </w:p>
        </w:tc>
        <w:tc>
          <w:tcPr>
            <w:tcW w:w="1910" w:type="dxa"/>
            <w:shd w:val="clear" w:color="auto" w:fill="D9E2F3"/>
            <w:vAlign w:val="center"/>
          </w:tcPr>
          <w:p w14:paraId="6E9B2EC4" w14:textId="77777777" w:rsidR="00990B14" w:rsidRDefault="00000000">
            <w:pPr>
              <w:spacing w:before="20" w:after="20"/>
              <w:jc w:val="center"/>
            </w:pPr>
            <w:r>
              <w:rPr>
                <w:sz w:val="18"/>
                <w:szCs w:val="18"/>
              </w:rPr>
              <w:t>Exactitud</w:t>
            </w:r>
          </w:p>
        </w:tc>
        <w:tc>
          <w:tcPr>
            <w:tcW w:w="1867" w:type="dxa"/>
            <w:shd w:val="clear" w:color="auto" w:fill="D9E2F3"/>
            <w:vAlign w:val="center"/>
          </w:tcPr>
          <w:p w14:paraId="525E139B" w14:textId="77777777" w:rsidR="00990B14" w:rsidRDefault="00000000">
            <w:pPr>
              <w:spacing w:before="20" w:after="20"/>
              <w:jc w:val="both"/>
            </w:pPr>
            <w:r>
              <w:rPr>
                <w:sz w:val="18"/>
                <w:szCs w:val="18"/>
              </w:rPr>
              <w:t>Los totales no cuadran.</w:t>
            </w:r>
          </w:p>
        </w:tc>
        <w:tc>
          <w:tcPr>
            <w:tcW w:w="1867" w:type="dxa"/>
            <w:shd w:val="clear" w:color="auto" w:fill="D9E2F3"/>
            <w:vAlign w:val="center"/>
          </w:tcPr>
          <w:p w14:paraId="7E230BA1" w14:textId="77777777" w:rsidR="00990B14" w:rsidRDefault="00000000">
            <w:pPr>
              <w:spacing w:before="20" w:after="20"/>
              <w:jc w:val="both"/>
            </w:pPr>
            <w:r>
              <w:rPr>
                <w:sz w:val="18"/>
                <w:szCs w:val="18"/>
              </w:rPr>
              <w:t>Los cálculos son correctos.</w:t>
            </w:r>
          </w:p>
        </w:tc>
        <w:tc>
          <w:tcPr>
            <w:tcW w:w="1911" w:type="dxa"/>
            <w:shd w:val="clear" w:color="auto" w:fill="D9E2F3"/>
            <w:vAlign w:val="center"/>
          </w:tcPr>
          <w:p w14:paraId="21821607" w14:textId="77777777" w:rsidR="00990B14" w:rsidRDefault="00000000">
            <w:pPr>
              <w:spacing w:before="20" w:after="20"/>
              <w:jc w:val="both"/>
            </w:pPr>
            <w:r>
              <w:rPr>
                <w:sz w:val="18"/>
                <w:szCs w:val="18"/>
              </w:rPr>
              <w:t>Los cálculos están verificados.</w:t>
            </w:r>
          </w:p>
        </w:tc>
      </w:tr>
      <w:tr w:rsidR="00990B14" w14:paraId="7F213FAC" w14:textId="77777777">
        <w:trPr>
          <w:cantSplit/>
          <w:jc w:val="center"/>
        </w:trPr>
        <w:tc>
          <w:tcPr>
            <w:tcW w:w="1850" w:type="dxa"/>
            <w:vMerge/>
            <w:shd w:val="clear" w:color="auto" w:fill="4472C4"/>
            <w:vAlign w:val="center"/>
          </w:tcPr>
          <w:p w14:paraId="3EFE7FB1" w14:textId="77777777" w:rsidR="00990B14" w:rsidRDefault="00990B14">
            <w:pPr>
              <w:spacing w:before="20" w:after="20"/>
            </w:pPr>
          </w:p>
        </w:tc>
        <w:tc>
          <w:tcPr>
            <w:tcW w:w="5644" w:type="dxa"/>
            <w:gridSpan w:val="3"/>
            <w:shd w:val="clear" w:color="auto" w:fill="D9E2F3"/>
            <w:vAlign w:val="center"/>
          </w:tcPr>
          <w:p w14:paraId="44758BAF" w14:textId="77777777" w:rsidR="00990B14" w:rsidRDefault="00000000">
            <w:pPr>
              <w:keepNext/>
              <w:spacing w:before="20" w:after="20"/>
              <w:jc w:val="both"/>
            </w:pPr>
            <w:r>
              <w:rPr>
                <w:b/>
                <w:bCs/>
                <w:i/>
                <w:iCs/>
                <w:sz w:val="18"/>
                <w:szCs w:val="18"/>
              </w:rPr>
              <w:t xml:space="preserve">Producto 20: </w:t>
            </w:r>
            <w:r>
              <w:rPr>
                <w:sz w:val="18"/>
                <w:szCs w:val="18"/>
              </w:rPr>
              <w:t>Cuadro de regímenes de pensiones</w:t>
            </w:r>
          </w:p>
        </w:tc>
        <w:tc>
          <w:tcPr>
            <w:tcW w:w="1911" w:type="dxa"/>
            <w:shd w:val="clear" w:color="auto" w:fill="D9E2F3"/>
            <w:vAlign w:val="center"/>
          </w:tcPr>
          <w:p w14:paraId="6C7C7F01" w14:textId="77777777" w:rsidR="00990B14" w:rsidRDefault="00000000">
            <w:pPr>
              <w:spacing w:before="20" w:after="20"/>
              <w:jc w:val="center"/>
            </w:pPr>
            <w:r>
              <w:rPr>
                <w:b/>
                <w:bCs/>
                <w:sz w:val="18"/>
                <w:szCs w:val="18"/>
              </w:rPr>
              <w:t>3%</w:t>
            </w:r>
          </w:p>
        </w:tc>
      </w:tr>
      <w:tr w:rsidR="00990B14" w14:paraId="3E84ED2A" w14:textId="77777777">
        <w:trPr>
          <w:cantSplit/>
          <w:jc w:val="center"/>
        </w:trPr>
        <w:tc>
          <w:tcPr>
            <w:tcW w:w="1850" w:type="dxa"/>
            <w:vMerge/>
            <w:shd w:val="clear" w:color="auto" w:fill="4472C4"/>
            <w:vAlign w:val="center"/>
          </w:tcPr>
          <w:p w14:paraId="3994A27F" w14:textId="77777777" w:rsidR="00990B14" w:rsidRDefault="00990B14">
            <w:pPr>
              <w:spacing w:before="20" w:after="20"/>
            </w:pPr>
          </w:p>
        </w:tc>
        <w:tc>
          <w:tcPr>
            <w:tcW w:w="1910" w:type="dxa"/>
            <w:shd w:val="clear" w:color="auto" w:fill="4472C4"/>
            <w:vAlign w:val="center"/>
          </w:tcPr>
          <w:p w14:paraId="162AA31A" w14:textId="77777777" w:rsidR="00990B14" w:rsidRDefault="00000000">
            <w:pPr>
              <w:keepNext/>
              <w:spacing w:before="20" w:after="20"/>
              <w:jc w:val="center"/>
            </w:pPr>
            <w:r>
              <w:rPr>
                <w:b/>
                <w:bCs/>
                <w:i/>
                <w:iCs/>
                <w:color w:val="FFFFFF"/>
                <w:sz w:val="18"/>
                <w:szCs w:val="18"/>
              </w:rPr>
              <w:t>Criterio</w:t>
            </w:r>
          </w:p>
        </w:tc>
        <w:tc>
          <w:tcPr>
            <w:tcW w:w="1867" w:type="dxa"/>
            <w:shd w:val="clear" w:color="auto" w:fill="4472C4"/>
            <w:vAlign w:val="center"/>
          </w:tcPr>
          <w:p w14:paraId="7CBFE26D" w14:textId="77777777" w:rsidR="00990B14" w:rsidRDefault="00000000">
            <w:pPr>
              <w:keepNext/>
              <w:spacing w:before="20" w:after="20"/>
              <w:jc w:val="center"/>
            </w:pPr>
            <w:r>
              <w:rPr>
                <w:b/>
                <w:bCs/>
                <w:i/>
                <w:iCs/>
                <w:color w:val="FFFFFF"/>
                <w:sz w:val="18"/>
                <w:szCs w:val="18"/>
              </w:rPr>
              <w:t>Insuficiente (1–50)</w:t>
            </w:r>
          </w:p>
        </w:tc>
        <w:tc>
          <w:tcPr>
            <w:tcW w:w="1867" w:type="dxa"/>
            <w:shd w:val="clear" w:color="auto" w:fill="4472C4"/>
            <w:vAlign w:val="center"/>
          </w:tcPr>
          <w:p w14:paraId="685E6276" w14:textId="77777777" w:rsidR="00990B14" w:rsidRDefault="00000000">
            <w:pPr>
              <w:keepNext/>
              <w:spacing w:before="20" w:after="20"/>
              <w:jc w:val="center"/>
            </w:pPr>
            <w:r>
              <w:rPr>
                <w:b/>
                <w:bCs/>
                <w:i/>
                <w:iCs/>
                <w:color w:val="FFFFFF"/>
                <w:sz w:val="18"/>
                <w:szCs w:val="18"/>
              </w:rPr>
              <w:t>Suficiente (51–80)</w:t>
            </w:r>
          </w:p>
        </w:tc>
        <w:tc>
          <w:tcPr>
            <w:tcW w:w="1911" w:type="dxa"/>
            <w:shd w:val="clear" w:color="auto" w:fill="4472C4"/>
            <w:vAlign w:val="center"/>
          </w:tcPr>
          <w:p w14:paraId="07F4343E" w14:textId="77777777" w:rsidR="00990B14" w:rsidRDefault="00000000">
            <w:pPr>
              <w:keepNext/>
              <w:spacing w:before="20" w:after="20"/>
              <w:jc w:val="center"/>
            </w:pPr>
            <w:r>
              <w:rPr>
                <w:b/>
                <w:bCs/>
                <w:i/>
                <w:iCs/>
                <w:color w:val="FFFFFF"/>
                <w:sz w:val="18"/>
                <w:szCs w:val="18"/>
              </w:rPr>
              <w:t>Destacado (81–100)</w:t>
            </w:r>
          </w:p>
        </w:tc>
      </w:tr>
      <w:tr w:rsidR="00990B14" w14:paraId="4B80F142" w14:textId="77777777">
        <w:trPr>
          <w:cantSplit/>
          <w:jc w:val="center"/>
        </w:trPr>
        <w:tc>
          <w:tcPr>
            <w:tcW w:w="1850" w:type="dxa"/>
            <w:vMerge/>
            <w:shd w:val="clear" w:color="auto" w:fill="4472C4"/>
            <w:vAlign w:val="center"/>
          </w:tcPr>
          <w:p w14:paraId="0C8B3868" w14:textId="77777777" w:rsidR="00990B14" w:rsidRDefault="00990B14">
            <w:pPr>
              <w:spacing w:before="20" w:after="20"/>
            </w:pPr>
          </w:p>
        </w:tc>
        <w:tc>
          <w:tcPr>
            <w:tcW w:w="1910" w:type="dxa"/>
            <w:shd w:val="clear" w:color="auto" w:fill="D9E2F3"/>
            <w:vAlign w:val="center"/>
          </w:tcPr>
          <w:p w14:paraId="53FFA095" w14:textId="77777777" w:rsidR="00990B14" w:rsidRDefault="00000000">
            <w:pPr>
              <w:spacing w:before="20" w:after="20"/>
              <w:jc w:val="center"/>
            </w:pPr>
            <w:r>
              <w:rPr>
                <w:sz w:val="18"/>
                <w:szCs w:val="18"/>
              </w:rPr>
              <w:t>Regímenes</w:t>
            </w:r>
          </w:p>
        </w:tc>
        <w:tc>
          <w:tcPr>
            <w:tcW w:w="1867" w:type="dxa"/>
            <w:shd w:val="clear" w:color="auto" w:fill="D9E2F3"/>
            <w:vAlign w:val="center"/>
          </w:tcPr>
          <w:p w14:paraId="10C053D1" w14:textId="77777777" w:rsidR="00990B14" w:rsidRDefault="00000000">
            <w:pPr>
              <w:spacing w:before="20" w:after="20"/>
              <w:jc w:val="both"/>
            </w:pPr>
            <w:r>
              <w:rPr>
                <w:sz w:val="18"/>
                <w:szCs w:val="18"/>
              </w:rPr>
              <w:t>Confunde los regímenes.</w:t>
            </w:r>
          </w:p>
        </w:tc>
        <w:tc>
          <w:tcPr>
            <w:tcW w:w="1867" w:type="dxa"/>
            <w:shd w:val="clear" w:color="auto" w:fill="D9E2F3"/>
            <w:vAlign w:val="center"/>
          </w:tcPr>
          <w:p w14:paraId="3D5C2AAE" w14:textId="77777777" w:rsidR="00990B14" w:rsidRDefault="00000000">
            <w:pPr>
              <w:spacing w:before="20" w:after="20"/>
              <w:jc w:val="both"/>
            </w:pPr>
            <w:r>
              <w:rPr>
                <w:sz w:val="18"/>
                <w:szCs w:val="18"/>
              </w:rPr>
              <w:t>Distingue los tres regímenes.</w:t>
            </w:r>
          </w:p>
        </w:tc>
        <w:tc>
          <w:tcPr>
            <w:tcW w:w="1911" w:type="dxa"/>
            <w:shd w:val="clear" w:color="auto" w:fill="D9E2F3"/>
            <w:vAlign w:val="center"/>
          </w:tcPr>
          <w:p w14:paraId="13DE2011" w14:textId="77777777" w:rsidR="00990B14" w:rsidRDefault="00000000">
            <w:pPr>
              <w:spacing w:before="20" w:after="20"/>
              <w:jc w:val="both"/>
            </w:pPr>
            <w:r>
              <w:rPr>
                <w:sz w:val="18"/>
                <w:szCs w:val="18"/>
              </w:rPr>
              <w:t>Explica la fuente de financiamiento de cada uno.</w:t>
            </w:r>
          </w:p>
        </w:tc>
      </w:tr>
      <w:tr w:rsidR="00990B14" w14:paraId="02EFF3DB" w14:textId="77777777">
        <w:trPr>
          <w:cantSplit/>
          <w:jc w:val="center"/>
        </w:trPr>
        <w:tc>
          <w:tcPr>
            <w:tcW w:w="1850" w:type="dxa"/>
            <w:vMerge/>
            <w:shd w:val="clear" w:color="auto" w:fill="4472C4"/>
            <w:vAlign w:val="center"/>
          </w:tcPr>
          <w:p w14:paraId="2CB45CF3" w14:textId="77777777" w:rsidR="00990B14" w:rsidRDefault="00990B14">
            <w:pPr>
              <w:spacing w:before="20" w:after="20"/>
            </w:pPr>
          </w:p>
        </w:tc>
        <w:tc>
          <w:tcPr>
            <w:tcW w:w="1910" w:type="dxa"/>
            <w:shd w:val="clear" w:color="auto" w:fill="D9E2F3"/>
            <w:vAlign w:val="center"/>
          </w:tcPr>
          <w:p w14:paraId="1E5EA64E" w14:textId="77777777" w:rsidR="00990B14" w:rsidRDefault="00000000">
            <w:pPr>
              <w:spacing w:before="20" w:after="20"/>
              <w:jc w:val="center"/>
            </w:pPr>
            <w:r>
              <w:rPr>
                <w:sz w:val="18"/>
                <w:szCs w:val="18"/>
              </w:rPr>
              <w:t>Prestaciones</w:t>
            </w:r>
          </w:p>
        </w:tc>
        <w:tc>
          <w:tcPr>
            <w:tcW w:w="1867" w:type="dxa"/>
            <w:shd w:val="clear" w:color="auto" w:fill="D9E2F3"/>
            <w:vAlign w:val="center"/>
          </w:tcPr>
          <w:p w14:paraId="301EB183" w14:textId="77777777" w:rsidR="00990B14" w:rsidRDefault="00000000">
            <w:pPr>
              <w:spacing w:before="20" w:after="20"/>
              <w:jc w:val="both"/>
            </w:pPr>
            <w:r>
              <w:rPr>
                <w:sz w:val="18"/>
                <w:szCs w:val="18"/>
              </w:rPr>
              <w:t>Omite prestaciones.</w:t>
            </w:r>
          </w:p>
        </w:tc>
        <w:tc>
          <w:tcPr>
            <w:tcW w:w="1867" w:type="dxa"/>
            <w:shd w:val="clear" w:color="auto" w:fill="D9E2F3"/>
            <w:vAlign w:val="center"/>
          </w:tcPr>
          <w:p w14:paraId="248CCAC1" w14:textId="77777777" w:rsidR="00990B14" w:rsidRDefault="00000000">
            <w:pPr>
              <w:spacing w:before="20" w:after="20"/>
              <w:jc w:val="both"/>
            </w:pPr>
            <w:r>
              <w:rPr>
                <w:sz w:val="18"/>
                <w:szCs w:val="18"/>
              </w:rPr>
              <w:t>Asocia a cada régimen sus prestaciones.</w:t>
            </w:r>
          </w:p>
        </w:tc>
        <w:tc>
          <w:tcPr>
            <w:tcW w:w="1911" w:type="dxa"/>
            <w:shd w:val="clear" w:color="auto" w:fill="D9E2F3"/>
            <w:vAlign w:val="center"/>
          </w:tcPr>
          <w:p w14:paraId="484B11A0" w14:textId="77777777" w:rsidR="00990B14" w:rsidRDefault="00000000">
            <w:pPr>
              <w:spacing w:before="20" w:after="20"/>
              <w:jc w:val="both"/>
            </w:pPr>
            <w:r>
              <w:rPr>
                <w:sz w:val="18"/>
                <w:szCs w:val="18"/>
              </w:rPr>
              <w:t>Incluye la pensión por muerte y la masa hereditaria.</w:t>
            </w:r>
          </w:p>
        </w:tc>
      </w:tr>
      <w:tr w:rsidR="00990B14" w14:paraId="1BB3A397" w14:textId="77777777">
        <w:trPr>
          <w:cantSplit/>
          <w:jc w:val="center"/>
        </w:trPr>
        <w:tc>
          <w:tcPr>
            <w:tcW w:w="1850" w:type="dxa"/>
            <w:vMerge/>
            <w:shd w:val="clear" w:color="auto" w:fill="4472C4"/>
            <w:vAlign w:val="center"/>
          </w:tcPr>
          <w:p w14:paraId="4A6ACC09" w14:textId="77777777" w:rsidR="00990B14" w:rsidRDefault="00990B14">
            <w:pPr>
              <w:spacing w:before="20" w:after="20"/>
            </w:pPr>
          </w:p>
        </w:tc>
        <w:tc>
          <w:tcPr>
            <w:tcW w:w="1910" w:type="dxa"/>
            <w:shd w:val="clear" w:color="auto" w:fill="D9E2F3"/>
            <w:vAlign w:val="center"/>
          </w:tcPr>
          <w:p w14:paraId="7E2246F1" w14:textId="77777777" w:rsidR="00990B14" w:rsidRDefault="00000000">
            <w:pPr>
              <w:spacing w:before="20" w:after="20"/>
              <w:jc w:val="center"/>
            </w:pPr>
            <w:r>
              <w:rPr>
                <w:sz w:val="18"/>
                <w:szCs w:val="18"/>
              </w:rPr>
              <w:t>Presentación</w:t>
            </w:r>
          </w:p>
        </w:tc>
        <w:tc>
          <w:tcPr>
            <w:tcW w:w="1867" w:type="dxa"/>
            <w:shd w:val="clear" w:color="auto" w:fill="D9E2F3"/>
            <w:vAlign w:val="center"/>
          </w:tcPr>
          <w:p w14:paraId="04087BF2" w14:textId="77777777" w:rsidR="00990B14" w:rsidRDefault="00000000">
            <w:pPr>
              <w:spacing w:before="20" w:after="20"/>
              <w:jc w:val="both"/>
            </w:pPr>
            <w:r>
              <w:rPr>
                <w:sz w:val="18"/>
                <w:szCs w:val="18"/>
              </w:rPr>
              <w:t>El cuadro es confuso.</w:t>
            </w:r>
          </w:p>
        </w:tc>
        <w:tc>
          <w:tcPr>
            <w:tcW w:w="1867" w:type="dxa"/>
            <w:shd w:val="clear" w:color="auto" w:fill="D9E2F3"/>
            <w:vAlign w:val="center"/>
          </w:tcPr>
          <w:p w14:paraId="5487B812" w14:textId="77777777" w:rsidR="00990B14" w:rsidRDefault="00000000">
            <w:pPr>
              <w:spacing w:before="20" w:after="20"/>
              <w:jc w:val="both"/>
            </w:pPr>
            <w:r>
              <w:rPr>
                <w:sz w:val="18"/>
                <w:szCs w:val="18"/>
              </w:rPr>
              <w:t>El cuadro es claro.</w:t>
            </w:r>
          </w:p>
        </w:tc>
        <w:tc>
          <w:tcPr>
            <w:tcW w:w="1911" w:type="dxa"/>
            <w:shd w:val="clear" w:color="auto" w:fill="D9E2F3"/>
            <w:vAlign w:val="center"/>
          </w:tcPr>
          <w:p w14:paraId="75AD7D7A" w14:textId="77777777" w:rsidR="00990B14" w:rsidRDefault="00000000">
            <w:pPr>
              <w:spacing w:before="20" w:after="20"/>
              <w:jc w:val="both"/>
            </w:pPr>
            <w:r>
              <w:rPr>
                <w:sz w:val="18"/>
                <w:szCs w:val="18"/>
              </w:rPr>
              <w:t>El cuadro es ordenado y verificable.</w:t>
            </w:r>
          </w:p>
        </w:tc>
      </w:tr>
      <w:tr w:rsidR="00990B14" w14:paraId="65A68764" w14:textId="77777777">
        <w:trPr>
          <w:cantSplit/>
          <w:jc w:val="center"/>
        </w:trPr>
        <w:tc>
          <w:tcPr>
            <w:tcW w:w="7494" w:type="dxa"/>
            <w:gridSpan w:val="4"/>
            <w:shd w:val="clear" w:color="auto" w:fill="4472C4"/>
            <w:vAlign w:val="center"/>
          </w:tcPr>
          <w:p w14:paraId="55978B7B" w14:textId="77777777" w:rsidR="00990B14" w:rsidRDefault="00000000">
            <w:pPr>
              <w:keepNext/>
              <w:spacing w:before="20" w:after="20"/>
              <w:jc w:val="center"/>
            </w:pPr>
            <w:r>
              <w:rPr>
                <w:b/>
                <w:bCs/>
                <w:i/>
                <w:iCs/>
                <w:color w:val="FFFFFF"/>
                <w:sz w:val="18"/>
                <w:szCs w:val="18"/>
              </w:rPr>
              <w:t>TOTAL</w:t>
            </w:r>
          </w:p>
        </w:tc>
        <w:tc>
          <w:tcPr>
            <w:tcW w:w="1911" w:type="dxa"/>
            <w:shd w:val="clear" w:color="auto" w:fill="4472C4"/>
            <w:vAlign w:val="center"/>
          </w:tcPr>
          <w:p w14:paraId="31CECD4B" w14:textId="77777777" w:rsidR="00990B14" w:rsidRDefault="00000000">
            <w:pPr>
              <w:keepNext/>
              <w:spacing w:before="20" w:after="20"/>
              <w:jc w:val="center"/>
            </w:pPr>
            <w:r>
              <w:rPr>
                <w:b/>
                <w:bCs/>
                <w:i/>
                <w:iCs/>
                <w:color w:val="FFFFFF"/>
                <w:sz w:val="18"/>
                <w:szCs w:val="18"/>
              </w:rPr>
              <w:t>100%</w:t>
            </w:r>
          </w:p>
        </w:tc>
      </w:tr>
    </w:tbl>
    <w:p w14:paraId="40A4FCAB"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9405"/>
      </w:tblGrid>
      <w:tr w:rsidR="00990B14" w14:paraId="62CA2D70" w14:textId="77777777">
        <w:trPr>
          <w:jc w:val="center"/>
        </w:trPr>
        <w:tc>
          <w:tcPr>
            <w:tcW w:w="9405" w:type="dxa"/>
            <w:shd w:val="clear" w:color="auto" w:fill="D9E2F3"/>
          </w:tcPr>
          <w:p w14:paraId="147DF0D5" w14:textId="77777777" w:rsidR="00990B14" w:rsidRDefault="00000000">
            <w:pPr>
              <w:spacing w:before="40" w:after="40"/>
              <w:jc w:val="both"/>
            </w:pPr>
            <w:r>
              <w:rPr>
                <w:b/>
                <w:bCs/>
                <w:i/>
                <w:iCs/>
                <w:sz w:val="18"/>
                <w:szCs w:val="18"/>
              </w:rPr>
              <w:t>Bibliografía básica:</w:t>
            </w:r>
          </w:p>
          <w:p w14:paraId="3E8CE482" w14:textId="77777777" w:rsidR="00990B14" w:rsidRDefault="00000000">
            <w:pPr>
              <w:numPr>
                <w:ilvl w:val="0"/>
                <w:numId w:val="140"/>
              </w:numPr>
              <w:spacing w:after="20"/>
              <w:jc w:val="both"/>
            </w:pPr>
            <w:r>
              <w:rPr>
                <w:sz w:val="18"/>
                <w:szCs w:val="18"/>
              </w:rPr>
              <w:t>Código de Seguridad Social y su Reglamento.</w:t>
            </w:r>
          </w:p>
          <w:p w14:paraId="3E2733DB" w14:textId="77777777" w:rsidR="00990B14" w:rsidRDefault="00000000">
            <w:pPr>
              <w:numPr>
                <w:ilvl w:val="0"/>
                <w:numId w:val="140"/>
              </w:numPr>
              <w:spacing w:after="20"/>
              <w:jc w:val="both"/>
            </w:pPr>
            <w:r>
              <w:rPr>
                <w:sz w:val="18"/>
                <w:szCs w:val="18"/>
              </w:rPr>
              <w:t>Constitución Política del Estado.</w:t>
            </w:r>
          </w:p>
          <w:p w14:paraId="00FD303B" w14:textId="77777777" w:rsidR="00990B14" w:rsidRDefault="00000000">
            <w:pPr>
              <w:numPr>
                <w:ilvl w:val="0"/>
                <w:numId w:val="140"/>
              </w:numPr>
              <w:spacing w:after="20"/>
              <w:jc w:val="both"/>
            </w:pPr>
            <w:r>
              <w:rPr>
                <w:sz w:val="18"/>
                <w:szCs w:val="18"/>
              </w:rPr>
              <w:t>Convenios N.º 1, 14, 30 y 106 de la Organización Internacional del Trabajo (OIT).</w:t>
            </w:r>
          </w:p>
          <w:p w14:paraId="0C2FE87B" w14:textId="77777777" w:rsidR="00990B14" w:rsidRDefault="00000000">
            <w:pPr>
              <w:numPr>
                <w:ilvl w:val="0"/>
                <w:numId w:val="140"/>
              </w:numPr>
              <w:spacing w:after="20"/>
              <w:jc w:val="both"/>
            </w:pPr>
            <w:r>
              <w:rPr>
                <w:sz w:val="18"/>
                <w:szCs w:val="18"/>
              </w:rPr>
              <w:t>Decreto Ley N.º 16998, Ley General de Higiene, Seguridad Ocupacional y Bienestar, de 2 de agosto de 1979.</w:t>
            </w:r>
          </w:p>
          <w:p w14:paraId="24F66E22" w14:textId="77777777" w:rsidR="00990B14" w:rsidRDefault="00000000">
            <w:pPr>
              <w:numPr>
                <w:ilvl w:val="0"/>
                <w:numId w:val="140"/>
              </w:numPr>
              <w:spacing w:after="20"/>
              <w:jc w:val="both"/>
            </w:pPr>
            <w:r>
              <w:rPr>
                <w:sz w:val="18"/>
                <w:szCs w:val="18"/>
              </w:rPr>
              <w:t>Decreto Reglamentario de la Ley General del Trabajo.</w:t>
            </w:r>
          </w:p>
          <w:p w14:paraId="1CEBDD37" w14:textId="77777777" w:rsidR="00990B14" w:rsidRDefault="00000000">
            <w:pPr>
              <w:numPr>
                <w:ilvl w:val="0"/>
                <w:numId w:val="140"/>
              </w:numPr>
              <w:spacing w:after="20"/>
              <w:jc w:val="both"/>
            </w:pPr>
            <w:r>
              <w:rPr>
                <w:sz w:val="18"/>
                <w:szCs w:val="18"/>
              </w:rPr>
              <w:t>Decreto Supremo N.º 0110, de 1 de mayo de 2009.</w:t>
            </w:r>
          </w:p>
          <w:p w14:paraId="1F92546C" w14:textId="77777777" w:rsidR="00990B14" w:rsidRDefault="00000000">
            <w:pPr>
              <w:numPr>
                <w:ilvl w:val="0"/>
                <w:numId w:val="140"/>
              </w:numPr>
              <w:spacing w:after="20"/>
              <w:jc w:val="both"/>
            </w:pPr>
            <w:r>
              <w:rPr>
                <w:sz w:val="18"/>
                <w:szCs w:val="18"/>
              </w:rPr>
              <w:t>Decreto Supremo N.º 17288, de 18 de marzo de 1980.</w:t>
            </w:r>
          </w:p>
          <w:p w14:paraId="4BBD6F5D" w14:textId="77777777" w:rsidR="00990B14" w:rsidRDefault="00000000">
            <w:pPr>
              <w:numPr>
                <w:ilvl w:val="0"/>
                <w:numId w:val="140"/>
              </w:numPr>
              <w:spacing w:after="20"/>
              <w:jc w:val="both"/>
            </w:pPr>
            <w:r>
              <w:rPr>
                <w:sz w:val="18"/>
                <w:szCs w:val="18"/>
              </w:rPr>
              <w:t>Decreto Supremo N.º 2534, de 10 de mayo de 1951.</w:t>
            </w:r>
          </w:p>
          <w:p w14:paraId="3D6626DA" w14:textId="77777777" w:rsidR="00990B14" w:rsidRDefault="00000000">
            <w:pPr>
              <w:numPr>
                <w:ilvl w:val="0"/>
                <w:numId w:val="140"/>
              </w:numPr>
              <w:spacing w:after="20"/>
              <w:jc w:val="both"/>
            </w:pPr>
            <w:r>
              <w:rPr>
                <w:sz w:val="18"/>
                <w:szCs w:val="18"/>
              </w:rPr>
              <w:t>Decreto Supremo N.º 2613, de 12 de julio de 1951.</w:t>
            </w:r>
          </w:p>
          <w:p w14:paraId="12ED561C" w14:textId="77777777" w:rsidR="00990B14" w:rsidRDefault="00000000">
            <w:pPr>
              <w:numPr>
                <w:ilvl w:val="0"/>
                <w:numId w:val="140"/>
              </w:numPr>
              <w:spacing w:after="20"/>
              <w:jc w:val="both"/>
            </w:pPr>
            <w:r>
              <w:rPr>
                <w:sz w:val="18"/>
                <w:szCs w:val="18"/>
              </w:rPr>
              <w:t>Decreto Supremo N.º 28699, de 1 de mayo de 2006.</w:t>
            </w:r>
          </w:p>
          <w:p w14:paraId="360D2CA4" w14:textId="77777777" w:rsidR="00990B14" w:rsidRDefault="00000000">
            <w:pPr>
              <w:numPr>
                <w:ilvl w:val="0"/>
                <w:numId w:val="140"/>
              </w:numPr>
              <w:spacing w:after="20"/>
              <w:jc w:val="both"/>
            </w:pPr>
            <w:r>
              <w:rPr>
                <w:sz w:val="18"/>
                <w:szCs w:val="18"/>
              </w:rPr>
              <w:t>Decreto Supremo N.º 3150, de 19 de agosto de 1952.</w:t>
            </w:r>
          </w:p>
          <w:p w14:paraId="32765975" w14:textId="77777777" w:rsidR="00990B14" w:rsidRDefault="00000000">
            <w:pPr>
              <w:numPr>
                <w:ilvl w:val="0"/>
                <w:numId w:val="140"/>
              </w:numPr>
              <w:spacing w:after="20"/>
              <w:jc w:val="both"/>
            </w:pPr>
            <w:r>
              <w:rPr>
                <w:sz w:val="18"/>
                <w:szCs w:val="18"/>
              </w:rPr>
              <w:t>Decreto Supremo N.º 90, de 24 de abril de 1944.</w:t>
            </w:r>
          </w:p>
          <w:p w14:paraId="0152BB18" w14:textId="77777777" w:rsidR="00990B14" w:rsidRDefault="00000000">
            <w:pPr>
              <w:numPr>
                <w:ilvl w:val="0"/>
                <w:numId w:val="140"/>
              </w:numPr>
              <w:spacing w:after="20"/>
              <w:jc w:val="both"/>
            </w:pPr>
            <w:r>
              <w:rPr>
                <w:sz w:val="18"/>
                <w:szCs w:val="18"/>
              </w:rPr>
              <w:t>Decreto Supremo, de 30 de agosto de 1927.</w:t>
            </w:r>
          </w:p>
          <w:p w14:paraId="5DE0362C" w14:textId="77777777" w:rsidR="00990B14" w:rsidRDefault="00000000">
            <w:pPr>
              <w:numPr>
                <w:ilvl w:val="0"/>
                <w:numId w:val="140"/>
              </w:numPr>
              <w:spacing w:after="20"/>
              <w:jc w:val="both"/>
            </w:pPr>
            <w:r>
              <w:rPr>
                <w:sz w:val="18"/>
                <w:szCs w:val="18"/>
              </w:rPr>
              <w:t>Ley General del Trabajo.</w:t>
            </w:r>
          </w:p>
          <w:p w14:paraId="7D8B2780" w14:textId="77777777" w:rsidR="00990B14" w:rsidRDefault="00000000">
            <w:pPr>
              <w:numPr>
                <w:ilvl w:val="0"/>
                <w:numId w:val="140"/>
              </w:numPr>
              <w:spacing w:after="20"/>
              <w:jc w:val="both"/>
            </w:pPr>
            <w:r>
              <w:rPr>
                <w:sz w:val="18"/>
                <w:szCs w:val="18"/>
              </w:rPr>
              <w:t>Ley N.º 065, de Pensiones, de 10 de diciembre de 2010.</w:t>
            </w:r>
          </w:p>
          <w:p w14:paraId="5E7745EB" w14:textId="77777777" w:rsidR="00990B14" w:rsidRDefault="00000000">
            <w:pPr>
              <w:numPr>
                <w:ilvl w:val="0"/>
                <w:numId w:val="140"/>
              </w:numPr>
              <w:spacing w:after="20"/>
              <w:jc w:val="both"/>
            </w:pPr>
            <w:r>
              <w:rPr>
                <w:sz w:val="18"/>
                <w:szCs w:val="18"/>
              </w:rPr>
              <w:t>Ley N.º 1610, de 13 de noviembre de 2024.</w:t>
            </w:r>
          </w:p>
          <w:p w14:paraId="20C24248" w14:textId="77777777" w:rsidR="00990B14" w:rsidRDefault="00000000">
            <w:pPr>
              <w:numPr>
                <w:ilvl w:val="0"/>
                <w:numId w:val="140"/>
              </w:numPr>
              <w:spacing w:after="20"/>
              <w:jc w:val="both"/>
            </w:pPr>
            <w:r>
              <w:rPr>
                <w:sz w:val="18"/>
                <w:szCs w:val="18"/>
              </w:rPr>
              <w:t>Ley N.º 3791, de la Renta Universal de Vejez (Renta Dignidad), de 28 de noviembre de 2007.</w:t>
            </w:r>
          </w:p>
          <w:p w14:paraId="57758BF0" w14:textId="77777777" w:rsidR="00990B14" w:rsidRDefault="00000000">
            <w:pPr>
              <w:numPr>
                <w:ilvl w:val="0"/>
                <w:numId w:val="140"/>
              </w:numPr>
              <w:spacing w:after="20"/>
              <w:jc w:val="both"/>
            </w:pPr>
            <w:r>
              <w:rPr>
                <w:sz w:val="18"/>
                <w:szCs w:val="18"/>
              </w:rPr>
              <w:t xml:space="preserve">Ministerio del Trabajo, Empleo y Previsión Social (s.f.). </w:t>
            </w:r>
            <w:r>
              <w:rPr>
                <w:i/>
                <w:iCs/>
                <w:sz w:val="18"/>
                <w:szCs w:val="18"/>
              </w:rPr>
              <w:t>Guía de derechos laborales</w:t>
            </w:r>
            <w:r>
              <w:rPr>
                <w:sz w:val="18"/>
                <w:szCs w:val="18"/>
              </w:rPr>
              <w:t>.</w:t>
            </w:r>
          </w:p>
          <w:p w14:paraId="5386507A" w14:textId="77777777" w:rsidR="00990B14" w:rsidRDefault="00000000">
            <w:pPr>
              <w:numPr>
                <w:ilvl w:val="0"/>
                <w:numId w:val="140"/>
              </w:numPr>
              <w:spacing w:after="20"/>
              <w:jc w:val="both"/>
            </w:pPr>
            <w:r>
              <w:rPr>
                <w:sz w:val="18"/>
                <w:szCs w:val="18"/>
              </w:rPr>
              <w:t xml:space="preserve">Ministerio del Trabajo, Empleo y Previsión Social (s.f.). </w:t>
            </w:r>
            <w:r>
              <w:rPr>
                <w:i/>
                <w:iCs/>
                <w:sz w:val="18"/>
                <w:szCs w:val="18"/>
              </w:rPr>
              <w:t>Guía de gestión sindical</w:t>
            </w:r>
            <w:r>
              <w:rPr>
                <w:sz w:val="18"/>
                <w:szCs w:val="18"/>
              </w:rPr>
              <w:t>.</w:t>
            </w:r>
          </w:p>
        </w:tc>
      </w:tr>
      <w:tr w:rsidR="00990B14" w14:paraId="57439315" w14:textId="77777777">
        <w:trPr>
          <w:jc w:val="center"/>
        </w:trPr>
        <w:tc>
          <w:tcPr>
            <w:tcW w:w="9405" w:type="dxa"/>
            <w:shd w:val="clear" w:color="auto" w:fill="D9E2F3"/>
          </w:tcPr>
          <w:p w14:paraId="013E08B8" w14:textId="77777777" w:rsidR="00990B14" w:rsidRDefault="00000000">
            <w:pPr>
              <w:spacing w:before="40" w:after="40"/>
              <w:jc w:val="both"/>
            </w:pPr>
            <w:r>
              <w:rPr>
                <w:b/>
                <w:bCs/>
                <w:i/>
                <w:iCs/>
                <w:sz w:val="18"/>
                <w:szCs w:val="18"/>
              </w:rPr>
              <w:t>Bibliografía complementaria:</w:t>
            </w:r>
          </w:p>
          <w:p w14:paraId="43E124F4" w14:textId="77777777" w:rsidR="00990B14" w:rsidRDefault="00000000">
            <w:pPr>
              <w:numPr>
                <w:ilvl w:val="0"/>
                <w:numId w:val="140"/>
              </w:numPr>
              <w:spacing w:after="20"/>
              <w:jc w:val="both"/>
            </w:pPr>
            <w:r>
              <w:rPr>
                <w:sz w:val="18"/>
                <w:szCs w:val="18"/>
              </w:rPr>
              <w:t xml:space="preserve">Borrajos, E. (1970). </w:t>
            </w:r>
            <w:r>
              <w:rPr>
                <w:i/>
                <w:iCs/>
                <w:sz w:val="18"/>
                <w:szCs w:val="18"/>
              </w:rPr>
              <w:t>Derecho del trabajo</w:t>
            </w:r>
            <w:r>
              <w:rPr>
                <w:sz w:val="18"/>
                <w:szCs w:val="18"/>
              </w:rPr>
              <w:t>. Madrid: Editorial Doncel.</w:t>
            </w:r>
          </w:p>
          <w:p w14:paraId="2F5381A1" w14:textId="77777777" w:rsidR="00990B14" w:rsidRDefault="00000000">
            <w:pPr>
              <w:numPr>
                <w:ilvl w:val="0"/>
                <w:numId w:val="140"/>
              </w:numPr>
              <w:spacing w:after="20"/>
              <w:jc w:val="both"/>
            </w:pPr>
            <w:r>
              <w:rPr>
                <w:sz w:val="18"/>
                <w:szCs w:val="18"/>
              </w:rPr>
              <w:t xml:space="preserve">Cabanellas de Torres, G. (1992). </w:t>
            </w:r>
            <w:r>
              <w:rPr>
                <w:i/>
                <w:iCs/>
                <w:sz w:val="18"/>
                <w:szCs w:val="18"/>
              </w:rPr>
              <w:t>Compendio de derecho laboral</w:t>
            </w:r>
            <w:r>
              <w:rPr>
                <w:sz w:val="18"/>
                <w:szCs w:val="18"/>
              </w:rPr>
              <w:t>. Tomo I. 3ra. edición actualizada y aumentada por G. Cabanellas de las Cuevas. Buenos Aires: Heliasta.</w:t>
            </w:r>
          </w:p>
          <w:p w14:paraId="31A0CC64" w14:textId="77777777" w:rsidR="00990B14" w:rsidRDefault="00000000">
            <w:pPr>
              <w:numPr>
                <w:ilvl w:val="0"/>
                <w:numId w:val="140"/>
              </w:numPr>
              <w:spacing w:after="20"/>
              <w:jc w:val="both"/>
            </w:pPr>
            <w:r>
              <w:rPr>
                <w:sz w:val="18"/>
                <w:szCs w:val="18"/>
              </w:rPr>
              <w:t xml:space="preserve">Cavazos Flores, B. (s.f.). </w:t>
            </w:r>
            <w:r>
              <w:rPr>
                <w:i/>
                <w:iCs/>
                <w:sz w:val="18"/>
                <w:szCs w:val="18"/>
              </w:rPr>
              <w:t>40 lecciones de derecho laboral</w:t>
            </w:r>
            <w:r>
              <w:rPr>
                <w:sz w:val="18"/>
                <w:szCs w:val="18"/>
              </w:rPr>
              <w:t>. México: Trillas.</w:t>
            </w:r>
          </w:p>
          <w:p w14:paraId="00CDD613" w14:textId="77777777" w:rsidR="00990B14" w:rsidRDefault="00000000">
            <w:pPr>
              <w:numPr>
                <w:ilvl w:val="0"/>
                <w:numId w:val="140"/>
              </w:numPr>
              <w:spacing w:after="20"/>
              <w:jc w:val="both"/>
            </w:pPr>
            <w:r>
              <w:rPr>
                <w:sz w:val="18"/>
                <w:szCs w:val="18"/>
              </w:rPr>
              <w:t xml:space="preserve">Claure Sensano, G. E. (2006). </w:t>
            </w:r>
            <w:r>
              <w:rPr>
                <w:i/>
                <w:iCs/>
                <w:sz w:val="18"/>
                <w:szCs w:val="18"/>
              </w:rPr>
              <w:t>Legislación laboral aplicada</w:t>
            </w:r>
            <w:r>
              <w:rPr>
                <w:sz w:val="18"/>
                <w:szCs w:val="18"/>
              </w:rPr>
              <w:t>. Bolivia: La Hoguera Investigación.</w:t>
            </w:r>
          </w:p>
          <w:p w14:paraId="739A3DCA" w14:textId="77777777" w:rsidR="00990B14" w:rsidRDefault="00000000">
            <w:pPr>
              <w:numPr>
                <w:ilvl w:val="0"/>
                <w:numId w:val="140"/>
              </w:numPr>
              <w:spacing w:after="20"/>
              <w:jc w:val="both"/>
            </w:pPr>
            <w:r>
              <w:rPr>
                <w:sz w:val="18"/>
                <w:szCs w:val="18"/>
              </w:rPr>
              <w:t xml:space="preserve">De Chazal Palomo, J. A. (s.f.). </w:t>
            </w:r>
            <w:r>
              <w:rPr>
                <w:i/>
                <w:iCs/>
                <w:sz w:val="18"/>
                <w:szCs w:val="18"/>
              </w:rPr>
              <w:t>Fundamentos de derecho laboral y social</w:t>
            </w:r>
            <w:r>
              <w:rPr>
                <w:sz w:val="18"/>
                <w:szCs w:val="18"/>
              </w:rPr>
              <w:t>. Santa Cruz - Bolivia.</w:t>
            </w:r>
          </w:p>
          <w:p w14:paraId="7F4152A2" w14:textId="77777777" w:rsidR="00990B14" w:rsidRDefault="00000000">
            <w:pPr>
              <w:numPr>
                <w:ilvl w:val="0"/>
                <w:numId w:val="140"/>
              </w:numPr>
              <w:spacing w:after="20"/>
              <w:jc w:val="both"/>
            </w:pPr>
            <w:r>
              <w:rPr>
                <w:sz w:val="18"/>
                <w:szCs w:val="18"/>
              </w:rPr>
              <w:t xml:space="preserve">De la Fuente H., H. (1982). </w:t>
            </w:r>
            <w:r>
              <w:rPr>
                <w:i/>
                <w:iCs/>
                <w:sz w:val="18"/>
                <w:szCs w:val="18"/>
              </w:rPr>
              <w:t>Tratado de derecho del trabajo</w:t>
            </w:r>
            <w:r>
              <w:rPr>
                <w:sz w:val="18"/>
                <w:szCs w:val="18"/>
              </w:rPr>
              <w:t>. Tomo 3, cap. VIII a XI, dirigido por A. Vásquez Vialard. Buenos Aires: Astrea.</w:t>
            </w:r>
          </w:p>
          <w:p w14:paraId="080C1DF2" w14:textId="77777777" w:rsidR="00990B14" w:rsidRDefault="00000000">
            <w:pPr>
              <w:numPr>
                <w:ilvl w:val="0"/>
                <w:numId w:val="140"/>
              </w:numPr>
              <w:spacing w:after="20"/>
              <w:jc w:val="both"/>
            </w:pPr>
            <w:r>
              <w:rPr>
                <w:sz w:val="18"/>
                <w:szCs w:val="18"/>
              </w:rPr>
              <w:t xml:space="preserve">Del Granado Cosío, J. (1985). </w:t>
            </w:r>
            <w:r>
              <w:rPr>
                <w:i/>
                <w:iCs/>
                <w:sz w:val="18"/>
                <w:szCs w:val="18"/>
              </w:rPr>
              <w:t>Manual de legislación del trabajo</w:t>
            </w:r>
            <w:r>
              <w:rPr>
                <w:sz w:val="18"/>
                <w:szCs w:val="18"/>
              </w:rPr>
              <w:t>. Cochabamba - Bolivia: Censed.</w:t>
            </w:r>
          </w:p>
          <w:p w14:paraId="53E58196" w14:textId="77777777" w:rsidR="00990B14" w:rsidRDefault="00000000">
            <w:pPr>
              <w:numPr>
                <w:ilvl w:val="0"/>
                <w:numId w:val="140"/>
              </w:numPr>
              <w:spacing w:after="20"/>
              <w:jc w:val="both"/>
            </w:pPr>
            <w:r>
              <w:rPr>
                <w:sz w:val="18"/>
                <w:szCs w:val="18"/>
              </w:rPr>
              <w:t xml:space="preserve">Frerking Salas, O. (1958). </w:t>
            </w:r>
            <w:r>
              <w:rPr>
                <w:i/>
                <w:iCs/>
                <w:sz w:val="18"/>
                <w:szCs w:val="18"/>
              </w:rPr>
              <w:t>Curso de derecho del trabajo</w:t>
            </w:r>
            <w:r>
              <w:rPr>
                <w:sz w:val="18"/>
                <w:szCs w:val="18"/>
              </w:rPr>
              <w:t>. Primera parte. Sucre - Bolivia: Universidad Mayor de San Francisco Xavier de Chuquisaca, Librería Universitaria.</w:t>
            </w:r>
          </w:p>
          <w:p w14:paraId="26A94BEF" w14:textId="77777777" w:rsidR="00990B14" w:rsidRDefault="00000000">
            <w:pPr>
              <w:numPr>
                <w:ilvl w:val="0"/>
                <w:numId w:val="140"/>
              </w:numPr>
              <w:spacing w:after="20"/>
              <w:jc w:val="both"/>
            </w:pPr>
            <w:r>
              <w:rPr>
                <w:sz w:val="18"/>
                <w:szCs w:val="18"/>
              </w:rPr>
              <w:t xml:space="preserve">Gaete Berríos, A. et al. (1946). </w:t>
            </w:r>
            <w:r>
              <w:rPr>
                <w:i/>
                <w:iCs/>
                <w:sz w:val="18"/>
                <w:szCs w:val="18"/>
              </w:rPr>
              <w:t>Tratado elemental de derecho del trabajo, doctrinas sociales, legislación y política social</w:t>
            </w:r>
            <w:r>
              <w:rPr>
                <w:sz w:val="18"/>
                <w:szCs w:val="18"/>
              </w:rPr>
              <w:t>. Santiago.</w:t>
            </w:r>
          </w:p>
          <w:p w14:paraId="47D2CDA4" w14:textId="77777777" w:rsidR="00990B14" w:rsidRDefault="00000000">
            <w:pPr>
              <w:numPr>
                <w:ilvl w:val="0"/>
                <w:numId w:val="140"/>
              </w:numPr>
              <w:spacing w:after="20"/>
              <w:jc w:val="both"/>
            </w:pPr>
            <w:r>
              <w:rPr>
                <w:sz w:val="18"/>
                <w:szCs w:val="18"/>
              </w:rPr>
              <w:t xml:space="preserve">Krotoschin, E. (1962). </w:t>
            </w:r>
            <w:r>
              <w:rPr>
                <w:i/>
                <w:iCs/>
                <w:sz w:val="18"/>
                <w:szCs w:val="18"/>
              </w:rPr>
              <w:t>Tratado práctico de derecho del trabajo</w:t>
            </w:r>
            <w:r>
              <w:rPr>
                <w:sz w:val="18"/>
                <w:szCs w:val="18"/>
              </w:rPr>
              <w:t>. Volumen I. 2da. edición. Buenos Aires: Depalma.</w:t>
            </w:r>
          </w:p>
          <w:p w14:paraId="7D27E0CB" w14:textId="77777777" w:rsidR="00990B14" w:rsidRDefault="00000000">
            <w:pPr>
              <w:numPr>
                <w:ilvl w:val="0"/>
                <w:numId w:val="140"/>
              </w:numPr>
              <w:spacing w:after="20"/>
              <w:jc w:val="both"/>
            </w:pPr>
            <w:r>
              <w:rPr>
                <w:sz w:val="18"/>
                <w:szCs w:val="18"/>
              </w:rPr>
              <w:t xml:space="preserve">Marc, J. E. (1979). </w:t>
            </w:r>
            <w:r>
              <w:rPr>
                <w:i/>
                <w:iCs/>
                <w:sz w:val="18"/>
                <w:szCs w:val="18"/>
              </w:rPr>
              <w:t>Introducción al derecho laboral</w:t>
            </w:r>
            <w:r>
              <w:rPr>
                <w:sz w:val="18"/>
                <w:szCs w:val="18"/>
              </w:rPr>
              <w:t>. Buenos Aires: Depalma.</w:t>
            </w:r>
          </w:p>
          <w:p w14:paraId="7DE7D23D" w14:textId="77777777" w:rsidR="00990B14" w:rsidRDefault="00000000">
            <w:pPr>
              <w:numPr>
                <w:ilvl w:val="0"/>
                <w:numId w:val="140"/>
              </w:numPr>
              <w:spacing w:after="20"/>
              <w:jc w:val="both"/>
            </w:pPr>
            <w:r>
              <w:rPr>
                <w:sz w:val="18"/>
                <w:szCs w:val="18"/>
              </w:rPr>
              <w:t xml:space="preserve">Montesinos Albiol, I. et al. (2000). </w:t>
            </w:r>
            <w:r>
              <w:rPr>
                <w:i/>
                <w:iCs/>
                <w:sz w:val="18"/>
                <w:szCs w:val="18"/>
              </w:rPr>
              <w:t>Derecho del trabajo, fuentes y contrato individual</w:t>
            </w:r>
            <w:r>
              <w:rPr>
                <w:sz w:val="18"/>
                <w:szCs w:val="18"/>
              </w:rPr>
              <w:t>. 2da. edición. Valencia: Tirant lo Blanch.</w:t>
            </w:r>
          </w:p>
          <w:p w14:paraId="41797029" w14:textId="77777777" w:rsidR="00990B14" w:rsidRDefault="00000000">
            <w:pPr>
              <w:numPr>
                <w:ilvl w:val="0"/>
                <w:numId w:val="140"/>
              </w:numPr>
              <w:spacing w:after="20"/>
              <w:jc w:val="both"/>
            </w:pPr>
            <w:r>
              <w:rPr>
                <w:sz w:val="18"/>
                <w:szCs w:val="18"/>
              </w:rPr>
              <w:t xml:space="preserve">Olmos Osinaga, M. (1974). </w:t>
            </w:r>
            <w:r>
              <w:rPr>
                <w:i/>
                <w:iCs/>
                <w:sz w:val="18"/>
                <w:szCs w:val="18"/>
              </w:rPr>
              <w:t>Compendio de derecho del trabajo, doctrina, legislación, jurisprudencia</w:t>
            </w:r>
            <w:r>
              <w:rPr>
                <w:sz w:val="18"/>
                <w:szCs w:val="18"/>
              </w:rPr>
              <w:t>. La Paz - Bolivia.</w:t>
            </w:r>
          </w:p>
          <w:p w14:paraId="6AD0B46D" w14:textId="77777777" w:rsidR="00990B14" w:rsidRDefault="00000000">
            <w:pPr>
              <w:numPr>
                <w:ilvl w:val="0"/>
                <w:numId w:val="140"/>
              </w:numPr>
              <w:spacing w:after="20"/>
              <w:jc w:val="both"/>
            </w:pPr>
            <w:r>
              <w:rPr>
                <w:sz w:val="18"/>
                <w:szCs w:val="18"/>
              </w:rPr>
              <w:t xml:space="preserve">Pérez Botija, E. (1957). </w:t>
            </w:r>
            <w:r>
              <w:rPr>
                <w:i/>
                <w:iCs/>
                <w:sz w:val="18"/>
                <w:szCs w:val="18"/>
              </w:rPr>
              <w:t>Curso de derecho del trabajo</w:t>
            </w:r>
            <w:r>
              <w:rPr>
                <w:sz w:val="18"/>
                <w:szCs w:val="18"/>
              </w:rPr>
              <w:t>. 5ta. edición. Madrid: Tecnos.</w:t>
            </w:r>
          </w:p>
          <w:p w14:paraId="63A6AA23" w14:textId="77777777" w:rsidR="00990B14" w:rsidRDefault="00000000">
            <w:pPr>
              <w:numPr>
                <w:ilvl w:val="0"/>
                <w:numId w:val="140"/>
              </w:numPr>
              <w:spacing w:after="20"/>
              <w:jc w:val="both"/>
            </w:pPr>
            <w:r>
              <w:rPr>
                <w:sz w:val="18"/>
                <w:szCs w:val="18"/>
              </w:rPr>
              <w:t xml:space="preserve">Pérez, B. (1983). </w:t>
            </w:r>
            <w:r>
              <w:rPr>
                <w:i/>
                <w:iCs/>
                <w:sz w:val="18"/>
                <w:szCs w:val="18"/>
              </w:rPr>
              <w:t>Derecho del trabajo</w:t>
            </w:r>
            <w:r>
              <w:rPr>
                <w:sz w:val="18"/>
                <w:szCs w:val="18"/>
              </w:rPr>
              <w:t>. Buenos Aires: Astrea.</w:t>
            </w:r>
          </w:p>
          <w:p w14:paraId="0BD9FA54" w14:textId="77777777" w:rsidR="00990B14" w:rsidRDefault="00000000">
            <w:pPr>
              <w:numPr>
                <w:ilvl w:val="0"/>
                <w:numId w:val="140"/>
              </w:numPr>
              <w:spacing w:after="20"/>
              <w:jc w:val="both"/>
            </w:pPr>
            <w:r>
              <w:rPr>
                <w:sz w:val="18"/>
                <w:szCs w:val="18"/>
              </w:rPr>
              <w:t xml:space="preserve">Tola Fernández, R. (2014). </w:t>
            </w:r>
            <w:r>
              <w:rPr>
                <w:i/>
                <w:iCs/>
                <w:sz w:val="18"/>
                <w:szCs w:val="18"/>
              </w:rPr>
              <w:t>Derecho laboral</w:t>
            </w:r>
            <w:r>
              <w:rPr>
                <w:sz w:val="18"/>
                <w:szCs w:val="18"/>
              </w:rPr>
              <w:t>. La Paz - Bolivia: Editorial San José.</w:t>
            </w:r>
          </w:p>
          <w:p w14:paraId="4465146C" w14:textId="77777777" w:rsidR="00990B14" w:rsidRDefault="00000000">
            <w:pPr>
              <w:numPr>
                <w:ilvl w:val="0"/>
                <w:numId w:val="140"/>
              </w:numPr>
              <w:spacing w:after="20"/>
              <w:jc w:val="both"/>
            </w:pPr>
            <w:r>
              <w:rPr>
                <w:sz w:val="18"/>
                <w:szCs w:val="18"/>
              </w:rPr>
              <w:t xml:space="preserve">Tola Fernández, R. (2022). </w:t>
            </w:r>
            <w:r>
              <w:rPr>
                <w:i/>
                <w:iCs/>
                <w:sz w:val="18"/>
                <w:szCs w:val="18"/>
              </w:rPr>
              <w:t>Condiciones generales del trabajo</w:t>
            </w:r>
            <w:r>
              <w:rPr>
                <w:sz w:val="18"/>
                <w:szCs w:val="18"/>
              </w:rPr>
              <w:t>. La Paz - Bolivia.</w:t>
            </w:r>
          </w:p>
          <w:p w14:paraId="74CD5E01" w14:textId="77777777" w:rsidR="00990B14" w:rsidRDefault="00000000">
            <w:pPr>
              <w:numPr>
                <w:ilvl w:val="0"/>
                <w:numId w:val="140"/>
              </w:numPr>
              <w:spacing w:after="20"/>
              <w:jc w:val="both"/>
            </w:pPr>
            <w:r>
              <w:rPr>
                <w:sz w:val="18"/>
                <w:szCs w:val="18"/>
              </w:rPr>
              <w:t xml:space="preserve">Tola Fernández, R. (2023). </w:t>
            </w:r>
            <w:r>
              <w:rPr>
                <w:i/>
                <w:iCs/>
                <w:sz w:val="18"/>
                <w:szCs w:val="18"/>
              </w:rPr>
              <w:t>Guía de contratos individuales de trabajo aplicables al análisis contable</w:t>
            </w:r>
            <w:r>
              <w:rPr>
                <w:sz w:val="18"/>
                <w:szCs w:val="18"/>
              </w:rPr>
              <w:t>. La Paz - Bolivia: Editorial San José.</w:t>
            </w:r>
          </w:p>
          <w:p w14:paraId="059C465A" w14:textId="77777777" w:rsidR="00990B14" w:rsidRDefault="00000000">
            <w:pPr>
              <w:numPr>
                <w:ilvl w:val="0"/>
                <w:numId w:val="140"/>
              </w:numPr>
              <w:spacing w:after="20"/>
              <w:jc w:val="both"/>
            </w:pPr>
            <w:r>
              <w:rPr>
                <w:sz w:val="18"/>
                <w:szCs w:val="18"/>
              </w:rPr>
              <w:t xml:space="preserve">Vásquez Vialard, A. (1989). </w:t>
            </w:r>
            <w:r>
              <w:rPr>
                <w:i/>
                <w:iCs/>
                <w:sz w:val="18"/>
                <w:szCs w:val="18"/>
              </w:rPr>
              <w:t>Derecho del trabajo y de la seguridad social</w:t>
            </w:r>
            <w:r>
              <w:rPr>
                <w:sz w:val="18"/>
                <w:szCs w:val="18"/>
              </w:rPr>
              <w:t>. Tomo I. 4ta. edición actualizada. Buenos Aires: Astrea.</w:t>
            </w:r>
          </w:p>
        </w:tc>
      </w:tr>
    </w:tbl>
    <w:p w14:paraId="566E62CC" w14:textId="77777777" w:rsidR="00990B14" w:rsidRDefault="00000000">
      <w:pPr>
        <w:pStyle w:val="TituloPlanAsignatura"/>
        <w:keepNext/>
        <w:pageBreakBefore/>
        <w:spacing w:after="120"/>
        <w:jc w:val="center"/>
        <w:outlineLvl w:val="2"/>
      </w:pPr>
      <w:bookmarkStart w:id="151" w:name="_Toc000000092"/>
      <w:r>
        <w:rPr>
          <w:b/>
          <w:bCs/>
          <w:sz w:val="24"/>
          <w:szCs w:val="24"/>
        </w:rPr>
        <w:t>ECO-101 Microeconomía</w:t>
      </w:r>
      <w:bookmarkEnd w:id="151"/>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249"/>
        <w:gridCol w:w="1100"/>
        <w:gridCol w:w="149"/>
        <w:gridCol w:w="635"/>
        <w:gridCol w:w="615"/>
        <w:gridCol w:w="952"/>
        <w:gridCol w:w="298"/>
        <w:gridCol w:w="1250"/>
        <w:gridCol w:w="20"/>
        <w:gridCol w:w="385"/>
        <w:gridCol w:w="398"/>
        <w:gridCol w:w="447"/>
        <w:gridCol w:w="1907"/>
      </w:tblGrid>
      <w:tr w:rsidR="00990B14" w14:paraId="36CE23AF" w14:textId="77777777">
        <w:trPr>
          <w:cantSplit/>
          <w:jc w:val="center"/>
        </w:trPr>
        <w:tc>
          <w:tcPr>
            <w:tcW w:w="2349" w:type="dxa"/>
            <w:gridSpan w:val="2"/>
            <w:shd w:val="clear" w:color="auto" w:fill="4472C4"/>
            <w:vAlign w:val="center"/>
          </w:tcPr>
          <w:p w14:paraId="63D1019A" w14:textId="77777777" w:rsidR="00990B14" w:rsidRDefault="00000000">
            <w:pPr>
              <w:keepNext/>
              <w:spacing w:before="20" w:after="20"/>
              <w:jc w:val="center"/>
            </w:pPr>
            <w:r>
              <w:rPr>
                <w:b/>
                <w:bCs/>
                <w:i/>
                <w:iCs/>
                <w:color w:val="FFFFFF"/>
                <w:sz w:val="18"/>
                <w:szCs w:val="18"/>
              </w:rPr>
              <w:t>Asignatura</w:t>
            </w:r>
          </w:p>
        </w:tc>
        <w:tc>
          <w:tcPr>
            <w:tcW w:w="2351" w:type="dxa"/>
            <w:gridSpan w:val="4"/>
            <w:shd w:val="clear" w:color="auto" w:fill="4472C4"/>
            <w:vAlign w:val="center"/>
          </w:tcPr>
          <w:p w14:paraId="64375473" w14:textId="77777777" w:rsidR="00990B14" w:rsidRDefault="00000000">
            <w:pPr>
              <w:keepNext/>
              <w:spacing w:before="20" w:after="20"/>
              <w:jc w:val="center"/>
            </w:pPr>
            <w:r>
              <w:rPr>
                <w:b/>
                <w:bCs/>
                <w:i/>
                <w:iCs/>
                <w:color w:val="FFFFFF"/>
                <w:sz w:val="18"/>
                <w:szCs w:val="18"/>
              </w:rPr>
              <w:t>Sigla</w:t>
            </w:r>
          </w:p>
        </w:tc>
        <w:tc>
          <w:tcPr>
            <w:tcW w:w="2351" w:type="dxa"/>
            <w:gridSpan w:val="5"/>
            <w:shd w:val="clear" w:color="auto" w:fill="4472C4"/>
            <w:vAlign w:val="center"/>
          </w:tcPr>
          <w:p w14:paraId="39AFA202" w14:textId="77777777" w:rsidR="00990B14" w:rsidRDefault="00000000">
            <w:pPr>
              <w:keepNext/>
              <w:spacing w:before="20" w:after="20"/>
              <w:jc w:val="center"/>
            </w:pPr>
            <w:r>
              <w:rPr>
                <w:b/>
                <w:bCs/>
                <w:i/>
                <w:iCs/>
                <w:color w:val="FFFFFF"/>
                <w:sz w:val="18"/>
                <w:szCs w:val="18"/>
              </w:rPr>
              <w:t>Nivel/Área</w:t>
            </w:r>
          </w:p>
        </w:tc>
        <w:tc>
          <w:tcPr>
            <w:tcW w:w="2354" w:type="dxa"/>
            <w:gridSpan w:val="2"/>
            <w:shd w:val="clear" w:color="auto" w:fill="4472C4"/>
            <w:vAlign w:val="center"/>
          </w:tcPr>
          <w:p w14:paraId="21E70597" w14:textId="77777777" w:rsidR="00990B14" w:rsidRDefault="00000000">
            <w:pPr>
              <w:keepNext/>
              <w:spacing w:before="20" w:after="20"/>
              <w:jc w:val="center"/>
            </w:pPr>
            <w:r>
              <w:rPr>
                <w:b/>
                <w:bCs/>
                <w:i/>
                <w:iCs/>
                <w:color w:val="FFFFFF"/>
                <w:sz w:val="18"/>
                <w:szCs w:val="18"/>
              </w:rPr>
              <w:t>Prerrequisito</w:t>
            </w:r>
          </w:p>
        </w:tc>
      </w:tr>
      <w:tr w:rsidR="00990B14" w14:paraId="399B30D4" w14:textId="77777777">
        <w:trPr>
          <w:cantSplit/>
          <w:jc w:val="center"/>
        </w:trPr>
        <w:tc>
          <w:tcPr>
            <w:tcW w:w="2349" w:type="dxa"/>
            <w:gridSpan w:val="2"/>
            <w:shd w:val="clear" w:color="auto" w:fill="D9E2F3"/>
            <w:vAlign w:val="center"/>
          </w:tcPr>
          <w:p w14:paraId="1D3BC266" w14:textId="77777777" w:rsidR="00990B14" w:rsidRDefault="00000000">
            <w:pPr>
              <w:spacing w:before="20" w:after="20"/>
              <w:jc w:val="center"/>
            </w:pPr>
            <w:r>
              <w:rPr>
                <w:b/>
                <w:bCs/>
                <w:i/>
                <w:iCs/>
                <w:sz w:val="18"/>
                <w:szCs w:val="18"/>
              </w:rPr>
              <w:t>Microeconomía</w:t>
            </w:r>
          </w:p>
        </w:tc>
        <w:tc>
          <w:tcPr>
            <w:tcW w:w="2351" w:type="dxa"/>
            <w:gridSpan w:val="4"/>
            <w:shd w:val="clear" w:color="auto" w:fill="D9E2F3"/>
            <w:vAlign w:val="center"/>
          </w:tcPr>
          <w:p w14:paraId="189D8405" w14:textId="77777777" w:rsidR="00990B14" w:rsidRDefault="00000000">
            <w:pPr>
              <w:spacing w:before="20" w:after="20"/>
              <w:jc w:val="center"/>
            </w:pPr>
            <w:r>
              <w:rPr>
                <w:b/>
                <w:bCs/>
                <w:i/>
                <w:iCs/>
                <w:sz w:val="18"/>
                <w:szCs w:val="18"/>
              </w:rPr>
              <w:t>ECO-101</w:t>
            </w:r>
          </w:p>
        </w:tc>
        <w:tc>
          <w:tcPr>
            <w:tcW w:w="2351" w:type="dxa"/>
            <w:gridSpan w:val="5"/>
            <w:shd w:val="clear" w:color="auto" w:fill="D9E2F3"/>
            <w:vAlign w:val="center"/>
          </w:tcPr>
          <w:p w14:paraId="6DDE79CC" w14:textId="77777777" w:rsidR="00990B14" w:rsidRDefault="00000000">
            <w:pPr>
              <w:spacing w:before="20" w:after="20"/>
              <w:jc w:val="center"/>
            </w:pPr>
            <w:r>
              <w:rPr>
                <w:b/>
                <w:bCs/>
                <w:i/>
                <w:iCs/>
                <w:sz w:val="18"/>
                <w:szCs w:val="18"/>
              </w:rPr>
              <w:t>Economía</w:t>
            </w:r>
          </w:p>
        </w:tc>
        <w:tc>
          <w:tcPr>
            <w:tcW w:w="2354" w:type="dxa"/>
            <w:gridSpan w:val="2"/>
            <w:shd w:val="clear" w:color="auto" w:fill="D9E2F3"/>
            <w:vAlign w:val="center"/>
          </w:tcPr>
          <w:p w14:paraId="0AF379FA" w14:textId="77777777" w:rsidR="00990B14" w:rsidRDefault="00000000">
            <w:pPr>
              <w:spacing w:before="20" w:after="20"/>
              <w:jc w:val="center"/>
            </w:pPr>
            <w:r>
              <w:rPr>
                <w:b/>
                <w:bCs/>
                <w:i/>
                <w:iCs/>
                <w:sz w:val="18"/>
                <w:szCs w:val="18"/>
              </w:rPr>
              <w:t>AE, CPF o PSA</w:t>
            </w:r>
          </w:p>
        </w:tc>
      </w:tr>
      <w:tr w:rsidR="00990B14" w14:paraId="060D8789" w14:textId="77777777">
        <w:trPr>
          <w:cantSplit/>
          <w:jc w:val="center"/>
        </w:trPr>
        <w:tc>
          <w:tcPr>
            <w:tcW w:w="7498" w:type="dxa"/>
            <w:gridSpan w:val="12"/>
            <w:shd w:val="clear" w:color="auto" w:fill="4472C4"/>
            <w:vAlign w:val="center"/>
          </w:tcPr>
          <w:p w14:paraId="11AD1A06" w14:textId="77777777" w:rsidR="00990B14" w:rsidRDefault="00000000">
            <w:pPr>
              <w:keepNext/>
              <w:spacing w:before="20" w:after="20"/>
              <w:jc w:val="center"/>
            </w:pPr>
            <w:r>
              <w:rPr>
                <w:b/>
                <w:bCs/>
                <w:i/>
                <w:iCs/>
                <w:color w:val="FFFFFF"/>
                <w:sz w:val="18"/>
                <w:szCs w:val="18"/>
              </w:rPr>
              <w:t>Carga Horaria</w:t>
            </w:r>
          </w:p>
        </w:tc>
        <w:tc>
          <w:tcPr>
            <w:tcW w:w="1907" w:type="dxa"/>
            <w:shd w:val="clear" w:color="auto" w:fill="4472C4"/>
            <w:vAlign w:val="center"/>
          </w:tcPr>
          <w:p w14:paraId="38CC05F6" w14:textId="77777777" w:rsidR="00990B14" w:rsidRDefault="00000000">
            <w:pPr>
              <w:keepNext/>
              <w:spacing w:before="20" w:after="20"/>
              <w:jc w:val="center"/>
            </w:pPr>
            <w:r>
              <w:rPr>
                <w:b/>
                <w:bCs/>
                <w:i/>
                <w:iCs/>
                <w:color w:val="FFFFFF"/>
                <w:sz w:val="18"/>
                <w:szCs w:val="18"/>
              </w:rPr>
              <w:t>Créditos</w:t>
            </w:r>
          </w:p>
        </w:tc>
      </w:tr>
      <w:tr w:rsidR="00990B14" w14:paraId="11A311A7" w14:textId="77777777">
        <w:trPr>
          <w:cantSplit/>
          <w:jc w:val="center"/>
        </w:trPr>
        <w:tc>
          <w:tcPr>
            <w:tcW w:w="1249" w:type="dxa"/>
            <w:shd w:val="clear" w:color="auto" w:fill="4472C4"/>
            <w:vAlign w:val="center"/>
          </w:tcPr>
          <w:p w14:paraId="50154C17" w14:textId="77777777" w:rsidR="00990B14" w:rsidRDefault="00000000">
            <w:pPr>
              <w:keepNext/>
              <w:spacing w:before="20" w:after="20"/>
              <w:jc w:val="center"/>
            </w:pPr>
            <w:r>
              <w:rPr>
                <w:b/>
                <w:bCs/>
                <w:i/>
                <w:iCs/>
                <w:color w:val="FFFFFF"/>
                <w:sz w:val="18"/>
                <w:szCs w:val="18"/>
              </w:rPr>
              <w:t>HP</w:t>
            </w:r>
          </w:p>
        </w:tc>
        <w:tc>
          <w:tcPr>
            <w:tcW w:w="1249" w:type="dxa"/>
            <w:gridSpan w:val="2"/>
            <w:shd w:val="clear" w:color="auto" w:fill="4472C4"/>
            <w:vAlign w:val="center"/>
          </w:tcPr>
          <w:p w14:paraId="5C14E678" w14:textId="77777777" w:rsidR="00990B14" w:rsidRDefault="00000000">
            <w:pPr>
              <w:keepNext/>
              <w:spacing w:before="20" w:after="20"/>
              <w:jc w:val="center"/>
            </w:pPr>
            <w:r>
              <w:rPr>
                <w:b/>
                <w:bCs/>
                <w:i/>
                <w:iCs/>
                <w:color w:val="FFFFFF"/>
                <w:sz w:val="18"/>
                <w:szCs w:val="18"/>
              </w:rPr>
              <w:t>HAA</w:t>
            </w:r>
          </w:p>
        </w:tc>
        <w:tc>
          <w:tcPr>
            <w:tcW w:w="1250" w:type="dxa"/>
            <w:gridSpan w:val="2"/>
            <w:shd w:val="clear" w:color="auto" w:fill="4472C4"/>
            <w:vAlign w:val="center"/>
          </w:tcPr>
          <w:p w14:paraId="28DA7AD0" w14:textId="77777777" w:rsidR="00990B14" w:rsidRDefault="00000000">
            <w:pPr>
              <w:keepNext/>
              <w:spacing w:before="20" w:after="20"/>
              <w:jc w:val="center"/>
            </w:pPr>
            <w:r>
              <w:rPr>
                <w:b/>
                <w:bCs/>
                <w:i/>
                <w:iCs/>
                <w:color w:val="FFFFFF"/>
                <w:sz w:val="18"/>
                <w:szCs w:val="18"/>
              </w:rPr>
              <w:t>HTG</w:t>
            </w:r>
          </w:p>
        </w:tc>
        <w:tc>
          <w:tcPr>
            <w:tcW w:w="1250" w:type="dxa"/>
            <w:gridSpan w:val="2"/>
            <w:shd w:val="clear" w:color="auto" w:fill="4472C4"/>
            <w:vAlign w:val="center"/>
          </w:tcPr>
          <w:p w14:paraId="60A642A5" w14:textId="77777777" w:rsidR="00990B14" w:rsidRDefault="00000000">
            <w:pPr>
              <w:keepNext/>
              <w:spacing w:before="20" w:after="20"/>
              <w:jc w:val="center"/>
            </w:pPr>
            <w:r>
              <w:rPr>
                <w:b/>
                <w:bCs/>
                <w:i/>
                <w:iCs/>
                <w:color w:val="FFFFFF"/>
                <w:sz w:val="18"/>
                <w:szCs w:val="18"/>
              </w:rPr>
              <w:t>HIP</w:t>
            </w:r>
          </w:p>
        </w:tc>
        <w:tc>
          <w:tcPr>
            <w:tcW w:w="1250" w:type="dxa"/>
            <w:shd w:val="clear" w:color="auto" w:fill="4472C4"/>
            <w:vAlign w:val="center"/>
          </w:tcPr>
          <w:p w14:paraId="65579FE9" w14:textId="77777777" w:rsidR="00990B14" w:rsidRDefault="00000000">
            <w:pPr>
              <w:keepNext/>
              <w:spacing w:before="20" w:after="20"/>
              <w:jc w:val="center"/>
            </w:pPr>
            <w:r>
              <w:rPr>
                <w:b/>
                <w:bCs/>
                <w:i/>
                <w:iCs/>
                <w:color w:val="FFFFFF"/>
                <w:sz w:val="18"/>
                <w:szCs w:val="18"/>
              </w:rPr>
              <w:t>HE</w:t>
            </w:r>
          </w:p>
        </w:tc>
        <w:tc>
          <w:tcPr>
            <w:tcW w:w="1250" w:type="dxa"/>
            <w:gridSpan w:val="4"/>
            <w:shd w:val="clear" w:color="auto" w:fill="4472C4"/>
            <w:vAlign w:val="center"/>
          </w:tcPr>
          <w:p w14:paraId="6D9EA407" w14:textId="77777777" w:rsidR="00990B14" w:rsidRDefault="00000000">
            <w:pPr>
              <w:keepNext/>
              <w:spacing w:before="20" w:after="20"/>
              <w:jc w:val="center"/>
            </w:pPr>
            <w:r>
              <w:rPr>
                <w:b/>
                <w:bCs/>
                <w:i/>
                <w:iCs/>
                <w:color w:val="FFFFFF"/>
                <w:sz w:val="18"/>
                <w:szCs w:val="18"/>
              </w:rPr>
              <w:t>TOTAL</w:t>
            </w:r>
          </w:p>
        </w:tc>
        <w:tc>
          <w:tcPr>
            <w:tcW w:w="1907" w:type="dxa"/>
            <w:vMerge w:val="restart"/>
            <w:shd w:val="clear" w:color="auto" w:fill="D9E2F3"/>
            <w:vAlign w:val="center"/>
          </w:tcPr>
          <w:p w14:paraId="7A07A071" w14:textId="77777777" w:rsidR="00990B14" w:rsidRDefault="00000000">
            <w:pPr>
              <w:spacing w:before="20" w:after="20"/>
              <w:jc w:val="center"/>
            </w:pPr>
            <w:r>
              <w:rPr>
                <w:sz w:val="18"/>
                <w:szCs w:val="18"/>
              </w:rPr>
              <w:t>9</w:t>
            </w:r>
          </w:p>
        </w:tc>
      </w:tr>
      <w:tr w:rsidR="00990B14" w14:paraId="57FC41F2" w14:textId="77777777">
        <w:trPr>
          <w:cantSplit/>
          <w:jc w:val="center"/>
        </w:trPr>
        <w:tc>
          <w:tcPr>
            <w:tcW w:w="1249" w:type="dxa"/>
            <w:shd w:val="clear" w:color="auto" w:fill="D9E2F3"/>
            <w:vAlign w:val="center"/>
          </w:tcPr>
          <w:p w14:paraId="37E8FE39" w14:textId="77777777" w:rsidR="00990B14" w:rsidRDefault="00000000">
            <w:pPr>
              <w:spacing w:before="20" w:after="20"/>
              <w:jc w:val="center"/>
            </w:pPr>
            <w:r>
              <w:rPr>
                <w:sz w:val="18"/>
                <w:szCs w:val="18"/>
              </w:rPr>
              <w:t>160</w:t>
            </w:r>
          </w:p>
        </w:tc>
        <w:tc>
          <w:tcPr>
            <w:tcW w:w="1249" w:type="dxa"/>
            <w:gridSpan w:val="2"/>
            <w:shd w:val="clear" w:color="auto" w:fill="D9E2F3"/>
            <w:vAlign w:val="center"/>
          </w:tcPr>
          <w:p w14:paraId="006DA049" w14:textId="77777777" w:rsidR="00990B14" w:rsidRDefault="00000000">
            <w:pPr>
              <w:spacing w:before="20" w:after="20"/>
              <w:jc w:val="center"/>
            </w:pPr>
            <w:r>
              <w:rPr>
                <w:sz w:val="18"/>
                <w:szCs w:val="18"/>
              </w:rPr>
              <w:t>22</w:t>
            </w:r>
          </w:p>
        </w:tc>
        <w:tc>
          <w:tcPr>
            <w:tcW w:w="1250" w:type="dxa"/>
            <w:gridSpan w:val="2"/>
            <w:shd w:val="clear" w:color="auto" w:fill="D9E2F3"/>
            <w:vAlign w:val="center"/>
          </w:tcPr>
          <w:p w14:paraId="08AAC041" w14:textId="77777777" w:rsidR="00990B14" w:rsidRDefault="00000000">
            <w:pPr>
              <w:spacing w:before="20" w:after="20"/>
              <w:jc w:val="center"/>
            </w:pPr>
            <w:r>
              <w:rPr>
                <w:sz w:val="18"/>
                <w:szCs w:val="18"/>
              </w:rPr>
              <w:t>22</w:t>
            </w:r>
          </w:p>
        </w:tc>
        <w:tc>
          <w:tcPr>
            <w:tcW w:w="1250" w:type="dxa"/>
            <w:gridSpan w:val="2"/>
            <w:shd w:val="clear" w:color="auto" w:fill="D9E2F3"/>
            <w:vAlign w:val="center"/>
          </w:tcPr>
          <w:p w14:paraId="199E25C7" w14:textId="77777777" w:rsidR="00990B14" w:rsidRDefault="00000000">
            <w:pPr>
              <w:spacing w:before="20" w:after="20"/>
              <w:jc w:val="center"/>
            </w:pPr>
            <w:r>
              <w:rPr>
                <w:sz w:val="18"/>
                <w:szCs w:val="18"/>
              </w:rPr>
              <w:t>44</w:t>
            </w:r>
          </w:p>
        </w:tc>
        <w:tc>
          <w:tcPr>
            <w:tcW w:w="1250" w:type="dxa"/>
            <w:shd w:val="clear" w:color="auto" w:fill="D9E2F3"/>
            <w:vAlign w:val="center"/>
          </w:tcPr>
          <w:p w14:paraId="631C100E" w14:textId="77777777" w:rsidR="00990B14" w:rsidRDefault="00000000">
            <w:pPr>
              <w:spacing w:before="20" w:after="20"/>
              <w:jc w:val="center"/>
            </w:pPr>
            <w:r>
              <w:rPr>
                <w:sz w:val="18"/>
                <w:szCs w:val="18"/>
              </w:rPr>
              <w:t>22</w:t>
            </w:r>
          </w:p>
        </w:tc>
        <w:tc>
          <w:tcPr>
            <w:tcW w:w="1250" w:type="dxa"/>
            <w:gridSpan w:val="4"/>
            <w:shd w:val="clear" w:color="auto" w:fill="D9E2F3"/>
            <w:vAlign w:val="center"/>
          </w:tcPr>
          <w:p w14:paraId="46A0D997" w14:textId="77777777" w:rsidR="00990B14" w:rsidRDefault="00000000">
            <w:pPr>
              <w:spacing w:before="20" w:after="20"/>
              <w:jc w:val="center"/>
            </w:pPr>
            <w:r>
              <w:rPr>
                <w:sz w:val="18"/>
                <w:szCs w:val="18"/>
              </w:rPr>
              <w:t>270</w:t>
            </w:r>
          </w:p>
        </w:tc>
        <w:tc>
          <w:tcPr>
            <w:tcW w:w="1907" w:type="dxa"/>
            <w:vMerge/>
            <w:shd w:val="clear" w:color="auto" w:fill="D9E2F3"/>
            <w:vAlign w:val="center"/>
          </w:tcPr>
          <w:p w14:paraId="23C8589D" w14:textId="77777777" w:rsidR="00990B14" w:rsidRDefault="00990B14">
            <w:pPr>
              <w:spacing w:before="20" w:after="20"/>
            </w:pPr>
          </w:p>
        </w:tc>
      </w:tr>
      <w:tr w:rsidR="00990B14" w14:paraId="17892235" w14:textId="77777777">
        <w:trPr>
          <w:cantSplit/>
          <w:jc w:val="center"/>
        </w:trPr>
        <w:tc>
          <w:tcPr>
            <w:tcW w:w="9405" w:type="dxa"/>
            <w:gridSpan w:val="13"/>
            <w:shd w:val="clear" w:color="auto" w:fill="4472C4"/>
            <w:vAlign w:val="center"/>
          </w:tcPr>
          <w:p w14:paraId="037AC2A0" w14:textId="77777777" w:rsidR="00990B14" w:rsidRDefault="00000000">
            <w:pPr>
              <w:keepNext/>
              <w:spacing w:before="20" w:after="20"/>
              <w:jc w:val="center"/>
            </w:pPr>
            <w:r>
              <w:rPr>
                <w:b/>
                <w:bCs/>
                <w:i/>
                <w:iCs/>
                <w:color w:val="FFFFFF"/>
                <w:sz w:val="18"/>
                <w:szCs w:val="18"/>
              </w:rPr>
              <w:t>Unidad de Competencia</w:t>
            </w:r>
          </w:p>
        </w:tc>
      </w:tr>
      <w:tr w:rsidR="00990B14" w14:paraId="1CD98EAA" w14:textId="77777777">
        <w:trPr>
          <w:cantSplit/>
          <w:jc w:val="center"/>
        </w:trPr>
        <w:tc>
          <w:tcPr>
            <w:tcW w:w="9405" w:type="dxa"/>
            <w:gridSpan w:val="13"/>
            <w:shd w:val="clear" w:color="auto" w:fill="D9E2F3"/>
            <w:vAlign w:val="center"/>
          </w:tcPr>
          <w:p w14:paraId="02F219EF" w14:textId="77777777" w:rsidR="00990B14" w:rsidRDefault="00000000">
            <w:pPr>
              <w:spacing w:before="20" w:after="20"/>
              <w:jc w:val="both"/>
            </w:pPr>
            <w:r>
              <w:rPr>
                <w:sz w:val="18"/>
                <w:szCs w:val="18"/>
              </w:rPr>
              <w:t>Evalúa el proceso de toma de decisiones de los agentes económicos (consumidores, empresas y gobierno) y el funcionamiento de los mercados de bienes y de factores, así como el equilibrio general, los problemas de información y la interdependencia estratégica, con rigor analítico, pensamiento crítico y ética profesional.</w:t>
            </w:r>
          </w:p>
        </w:tc>
      </w:tr>
      <w:tr w:rsidR="00990B14" w14:paraId="59401DDC" w14:textId="77777777">
        <w:trPr>
          <w:cantSplit/>
          <w:jc w:val="center"/>
        </w:trPr>
        <w:tc>
          <w:tcPr>
            <w:tcW w:w="9405" w:type="dxa"/>
            <w:gridSpan w:val="13"/>
            <w:shd w:val="clear" w:color="auto" w:fill="D9E2F3"/>
            <w:vAlign w:val="center"/>
          </w:tcPr>
          <w:p w14:paraId="6142C302" w14:textId="77777777" w:rsidR="00990B14" w:rsidRDefault="00000000">
            <w:pPr>
              <w:spacing w:before="20" w:after="20"/>
              <w:jc w:val="both"/>
            </w:pPr>
            <w:r>
              <w:rPr>
                <w:b/>
                <w:bCs/>
                <w:i/>
                <w:iCs/>
                <w:sz w:val="18"/>
                <w:szCs w:val="18"/>
              </w:rPr>
              <w:t xml:space="preserve">Elemento de competencia 1: </w:t>
            </w:r>
            <w:r>
              <w:rPr>
                <w:sz w:val="18"/>
                <w:szCs w:val="18"/>
              </w:rPr>
              <w:t>Analiza el objeto de la ciencia económica y su relación con la escasez de recursos, relacionando el enfoque sistémico con el alcance de la microeconomía y de la macroeconomía.</w:t>
            </w:r>
          </w:p>
        </w:tc>
      </w:tr>
      <w:tr w:rsidR="00990B14" w14:paraId="7802411C" w14:textId="77777777">
        <w:trPr>
          <w:cantSplit/>
          <w:jc w:val="center"/>
        </w:trPr>
        <w:tc>
          <w:tcPr>
            <w:tcW w:w="3133" w:type="dxa"/>
            <w:gridSpan w:val="4"/>
            <w:shd w:val="clear" w:color="auto" w:fill="4472C4"/>
            <w:vAlign w:val="center"/>
          </w:tcPr>
          <w:p w14:paraId="0BC65D9D"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5401F799"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6A847ED2" w14:textId="77777777" w:rsidR="00990B14" w:rsidRDefault="00000000">
            <w:pPr>
              <w:keepNext/>
              <w:spacing w:before="20" w:after="20"/>
              <w:jc w:val="center"/>
            </w:pPr>
            <w:r>
              <w:rPr>
                <w:b/>
                <w:bCs/>
                <w:i/>
                <w:iCs/>
                <w:color w:val="FFFFFF"/>
                <w:sz w:val="18"/>
                <w:szCs w:val="18"/>
              </w:rPr>
              <w:t>Evidencias de producto</w:t>
            </w:r>
          </w:p>
        </w:tc>
      </w:tr>
      <w:tr w:rsidR="00990B14" w14:paraId="3651E15F" w14:textId="77777777">
        <w:trPr>
          <w:cantSplit/>
          <w:jc w:val="center"/>
        </w:trPr>
        <w:tc>
          <w:tcPr>
            <w:tcW w:w="3133" w:type="dxa"/>
            <w:gridSpan w:val="4"/>
            <w:vMerge w:val="restart"/>
            <w:shd w:val="clear" w:color="auto" w:fill="D9E2F3"/>
            <w:vAlign w:val="center"/>
          </w:tcPr>
          <w:p w14:paraId="0988D4EC" w14:textId="77777777" w:rsidR="00990B14" w:rsidRDefault="00000000">
            <w:pPr>
              <w:spacing w:before="20" w:after="20"/>
              <w:jc w:val="both"/>
            </w:pPr>
            <w:r>
              <w:rPr>
                <w:sz w:val="18"/>
                <w:szCs w:val="18"/>
              </w:rPr>
              <w:t>1. Explica el objeto de la ciencia económica y el proceso de la actividad económica, relacionando la escasez de los recursos con sus costos sociales y ambientales.</w:t>
            </w:r>
          </w:p>
        </w:tc>
        <w:tc>
          <w:tcPr>
            <w:tcW w:w="3135" w:type="dxa"/>
            <w:gridSpan w:val="5"/>
            <w:shd w:val="clear" w:color="auto" w:fill="D9E2F3"/>
            <w:vAlign w:val="center"/>
          </w:tcPr>
          <w:p w14:paraId="615D1E0D" w14:textId="77777777" w:rsidR="00990B14" w:rsidRDefault="00000000">
            <w:pPr>
              <w:spacing w:before="20" w:after="20"/>
              <w:jc w:val="both"/>
            </w:pPr>
            <w:r>
              <w:rPr>
                <w:sz w:val="18"/>
                <w:szCs w:val="18"/>
              </w:rPr>
              <w:t>1.1 Expone en equipo el circuito económico simple de una actividad productiva boliviana.</w:t>
            </w:r>
          </w:p>
        </w:tc>
        <w:tc>
          <w:tcPr>
            <w:tcW w:w="3137" w:type="dxa"/>
            <w:gridSpan w:val="4"/>
            <w:shd w:val="clear" w:color="auto" w:fill="D9E2F3"/>
            <w:vAlign w:val="center"/>
          </w:tcPr>
          <w:p w14:paraId="4C56BB07" w14:textId="77777777" w:rsidR="00990B14" w:rsidRDefault="00000000">
            <w:pPr>
              <w:spacing w:before="20" w:after="20"/>
              <w:jc w:val="both"/>
            </w:pPr>
            <w:r>
              <w:rPr>
                <w:b/>
                <w:bCs/>
                <w:sz w:val="18"/>
                <w:szCs w:val="18"/>
              </w:rPr>
              <w:t xml:space="preserve">Producto 1: </w:t>
            </w:r>
            <w:r>
              <w:rPr>
                <w:sz w:val="18"/>
                <w:szCs w:val="18"/>
              </w:rPr>
              <w:t>Esquema del circuito económico simple de una actividad productiva.</w:t>
            </w:r>
          </w:p>
        </w:tc>
      </w:tr>
      <w:tr w:rsidR="00990B14" w14:paraId="17C76CB1" w14:textId="77777777">
        <w:trPr>
          <w:cantSplit/>
          <w:jc w:val="center"/>
        </w:trPr>
        <w:tc>
          <w:tcPr>
            <w:tcW w:w="3133" w:type="dxa"/>
            <w:gridSpan w:val="4"/>
            <w:vMerge/>
            <w:shd w:val="clear" w:color="auto" w:fill="D9E2F3"/>
            <w:vAlign w:val="center"/>
          </w:tcPr>
          <w:p w14:paraId="7E3FCD94" w14:textId="77777777" w:rsidR="00990B14" w:rsidRDefault="00990B14">
            <w:pPr>
              <w:spacing w:before="20" w:after="20"/>
            </w:pPr>
          </w:p>
        </w:tc>
        <w:tc>
          <w:tcPr>
            <w:tcW w:w="3135" w:type="dxa"/>
            <w:gridSpan w:val="5"/>
            <w:shd w:val="clear" w:color="auto" w:fill="D9E2F3"/>
            <w:vAlign w:val="center"/>
          </w:tcPr>
          <w:p w14:paraId="70BE9F53" w14:textId="77777777" w:rsidR="00990B14" w:rsidRDefault="00000000">
            <w:pPr>
              <w:spacing w:before="20" w:after="20"/>
              <w:jc w:val="both"/>
            </w:pPr>
            <w:r>
              <w:rPr>
                <w:sz w:val="18"/>
                <w:szCs w:val="18"/>
              </w:rPr>
              <w:t>1.2 Distingue en aula los actos de producción, inversión, cambio y consumo de una empresa en un caso práctico.</w:t>
            </w:r>
          </w:p>
        </w:tc>
        <w:tc>
          <w:tcPr>
            <w:tcW w:w="3137" w:type="dxa"/>
            <w:gridSpan w:val="4"/>
            <w:shd w:val="clear" w:color="auto" w:fill="D9E2F3"/>
            <w:vAlign w:val="center"/>
          </w:tcPr>
          <w:p w14:paraId="5BF31708" w14:textId="77777777" w:rsidR="00990B14" w:rsidRDefault="00000000">
            <w:pPr>
              <w:spacing w:before="20" w:after="20"/>
              <w:jc w:val="both"/>
            </w:pPr>
            <w:r>
              <w:rPr>
                <w:b/>
                <w:bCs/>
                <w:sz w:val="18"/>
                <w:szCs w:val="18"/>
              </w:rPr>
              <w:t xml:space="preserve">Producto 2: </w:t>
            </w:r>
            <w:r>
              <w:rPr>
                <w:sz w:val="18"/>
                <w:szCs w:val="18"/>
              </w:rPr>
              <w:t>Cuadro de los actos de la actividad económica de una empresa.</w:t>
            </w:r>
          </w:p>
        </w:tc>
      </w:tr>
      <w:tr w:rsidR="00990B14" w14:paraId="39B560FC" w14:textId="77777777">
        <w:trPr>
          <w:cantSplit/>
          <w:jc w:val="center"/>
        </w:trPr>
        <w:tc>
          <w:tcPr>
            <w:tcW w:w="3133" w:type="dxa"/>
            <w:gridSpan w:val="4"/>
            <w:vMerge w:val="restart"/>
            <w:shd w:val="clear" w:color="auto" w:fill="D9E2F3"/>
            <w:vAlign w:val="center"/>
          </w:tcPr>
          <w:p w14:paraId="58A19386" w14:textId="77777777" w:rsidR="00990B14" w:rsidRDefault="00000000">
            <w:pPr>
              <w:spacing w:before="20" w:after="20"/>
              <w:jc w:val="both"/>
            </w:pPr>
            <w:r>
              <w:rPr>
                <w:sz w:val="18"/>
                <w:szCs w:val="18"/>
              </w:rPr>
              <w:t>2. Relaciona la ciencia económica con otras disciplinas sociales, distinguiendo el alcance de la microeconomía y de la macroeconomía desde el enfoque sistémico.</w:t>
            </w:r>
          </w:p>
        </w:tc>
        <w:tc>
          <w:tcPr>
            <w:tcW w:w="3135" w:type="dxa"/>
            <w:gridSpan w:val="5"/>
            <w:shd w:val="clear" w:color="auto" w:fill="D9E2F3"/>
            <w:vAlign w:val="center"/>
          </w:tcPr>
          <w:p w14:paraId="49A5519F" w14:textId="77777777" w:rsidR="00990B14" w:rsidRDefault="00000000">
            <w:pPr>
              <w:spacing w:before="20" w:after="20"/>
              <w:jc w:val="both"/>
            </w:pPr>
            <w:r>
              <w:rPr>
                <w:sz w:val="18"/>
                <w:szCs w:val="18"/>
              </w:rPr>
              <w:t>2.1 Redacta en equipo un ensayo sobre la relación de la ciencia económica con la sociología, la historia, la geografía y la tecnología.</w:t>
            </w:r>
          </w:p>
        </w:tc>
        <w:tc>
          <w:tcPr>
            <w:tcW w:w="3137" w:type="dxa"/>
            <w:gridSpan w:val="4"/>
            <w:shd w:val="clear" w:color="auto" w:fill="D9E2F3"/>
            <w:vAlign w:val="center"/>
          </w:tcPr>
          <w:p w14:paraId="663927B6" w14:textId="77777777" w:rsidR="00990B14" w:rsidRDefault="00000000">
            <w:pPr>
              <w:spacing w:before="20" w:after="20"/>
              <w:jc w:val="both"/>
            </w:pPr>
            <w:r>
              <w:rPr>
                <w:b/>
                <w:bCs/>
                <w:sz w:val="18"/>
                <w:szCs w:val="18"/>
              </w:rPr>
              <w:t xml:space="preserve">Producto 3: </w:t>
            </w:r>
            <w:r>
              <w:rPr>
                <w:sz w:val="18"/>
                <w:szCs w:val="18"/>
              </w:rPr>
              <w:t>Ensayo sobre la relación de la ciencia económica con otras disciplinas.</w:t>
            </w:r>
          </w:p>
        </w:tc>
      </w:tr>
      <w:tr w:rsidR="00990B14" w14:paraId="1C594A13" w14:textId="77777777">
        <w:trPr>
          <w:cantSplit/>
          <w:jc w:val="center"/>
        </w:trPr>
        <w:tc>
          <w:tcPr>
            <w:tcW w:w="3133" w:type="dxa"/>
            <w:gridSpan w:val="4"/>
            <w:vMerge/>
            <w:shd w:val="clear" w:color="auto" w:fill="D9E2F3"/>
            <w:vAlign w:val="center"/>
          </w:tcPr>
          <w:p w14:paraId="7E5684A7" w14:textId="77777777" w:rsidR="00990B14" w:rsidRDefault="00990B14">
            <w:pPr>
              <w:spacing w:before="20" w:after="20"/>
            </w:pPr>
          </w:p>
        </w:tc>
        <w:tc>
          <w:tcPr>
            <w:tcW w:w="3135" w:type="dxa"/>
            <w:gridSpan w:val="5"/>
            <w:shd w:val="clear" w:color="auto" w:fill="D9E2F3"/>
            <w:vAlign w:val="center"/>
          </w:tcPr>
          <w:p w14:paraId="582BE417" w14:textId="77777777" w:rsidR="00990B14" w:rsidRDefault="00000000">
            <w:pPr>
              <w:spacing w:before="20" w:after="20"/>
              <w:jc w:val="both"/>
            </w:pPr>
            <w:r>
              <w:rPr>
                <w:sz w:val="18"/>
                <w:szCs w:val="18"/>
              </w:rPr>
              <w:t>2.2 Presenta ante el curso el alcance de la Teoría General de Sistemas en la delimitación de la microeconomía y de la macroeconomía.</w:t>
            </w:r>
          </w:p>
        </w:tc>
        <w:tc>
          <w:tcPr>
            <w:tcW w:w="3137" w:type="dxa"/>
            <w:gridSpan w:val="4"/>
            <w:shd w:val="clear" w:color="auto" w:fill="D9E2F3"/>
            <w:vAlign w:val="center"/>
          </w:tcPr>
          <w:p w14:paraId="26DA3613" w14:textId="77777777" w:rsidR="00990B14" w:rsidRDefault="00000000">
            <w:pPr>
              <w:spacing w:before="20" w:after="20"/>
              <w:jc w:val="both"/>
            </w:pPr>
            <w:r>
              <w:rPr>
                <w:b/>
                <w:bCs/>
                <w:sz w:val="18"/>
                <w:szCs w:val="18"/>
              </w:rPr>
              <w:t xml:space="preserve">Producto 4: </w:t>
            </w:r>
            <w:r>
              <w:rPr>
                <w:sz w:val="18"/>
                <w:szCs w:val="18"/>
              </w:rPr>
              <w:t>Informe de investigación sobre el enfoque sistémico de la microeconomía y la macroeconomía.</w:t>
            </w:r>
          </w:p>
        </w:tc>
      </w:tr>
      <w:tr w:rsidR="00990B14" w14:paraId="25D867C9" w14:textId="77777777">
        <w:trPr>
          <w:cantSplit/>
          <w:jc w:val="center"/>
        </w:trPr>
        <w:tc>
          <w:tcPr>
            <w:tcW w:w="9405" w:type="dxa"/>
            <w:gridSpan w:val="13"/>
            <w:shd w:val="clear" w:color="auto" w:fill="4472C4"/>
            <w:vAlign w:val="center"/>
          </w:tcPr>
          <w:p w14:paraId="287B8635" w14:textId="77777777" w:rsidR="00990B14" w:rsidRDefault="00000000">
            <w:pPr>
              <w:keepNext/>
              <w:spacing w:before="20" w:after="20"/>
              <w:jc w:val="center"/>
            </w:pPr>
            <w:r>
              <w:rPr>
                <w:b/>
                <w:bCs/>
                <w:i/>
                <w:iCs/>
                <w:color w:val="FFFFFF"/>
                <w:sz w:val="18"/>
                <w:szCs w:val="18"/>
              </w:rPr>
              <w:t>Evidencias de conocimiento</w:t>
            </w:r>
          </w:p>
        </w:tc>
      </w:tr>
      <w:tr w:rsidR="00990B14" w14:paraId="4E48249E" w14:textId="77777777">
        <w:trPr>
          <w:cantSplit/>
          <w:jc w:val="center"/>
        </w:trPr>
        <w:tc>
          <w:tcPr>
            <w:tcW w:w="2349" w:type="dxa"/>
            <w:gridSpan w:val="2"/>
            <w:shd w:val="clear" w:color="auto" w:fill="4472C4"/>
            <w:vAlign w:val="center"/>
          </w:tcPr>
          <w:p w14:paraId="7A125D43"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2D90CBFA" w14:textId="77777777" w:rsidR="00990B14" w:rsidRDefault="00000000">
            <w:pPr>
              <w:keepNext/>
              <w:spacing w:before="20" w:after="20"/>
              <w:jc w:val="both"/>
            </w:pPr>
            <w:r>
              <w:rPr>
                <w:b/>
                <w:bCs/>
                <w:i/>
                <w:iCs/>
                <w:color w:val="FFFFFF"/>
                <w:sz w:val="18"/>
                <w:szCs w:val="18"/>
              </w:rPr>
              <w:t>Contenidos</w:t>
            </w:r>
          </w:p>
          <w:p w14:paraId="26EDFA62"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12AB3CCC" w14:textId="77777777" w:rsidR="00990B14" w:rsidRDefault="00000000">
            <w:pPr>
              <w:keepNext/>
              <w:spacing w:before="20" w:after="20"/>
              <w:jc w:val="center"/>
            </w:pPr>
            <w:r>
              <w:rPr>
                <w:b/>
                <w:bCs/>
                <w:i/>
                <w:iCs/>
                <w:color w:val="FFFFFF"/>
                <w:sz w:val="18"/>
                <w:szCs w:val="18"/>
              </w:rPr>
              <w:t>Conocimientos circunstanciales</w:t>
            </w:r>
          </w:p>
        </w:tc>
      </w:tr>
      <w:tr w:rsidR="00990B14" w14:paraId="5B73487D" w14:textId="77777777">
        <w:trPr>
          <w:jc w:val="center"/>
        </w:trPr>
        <w:tc>
          <w:tcPr>
            <w:tcW w:w="2349" w:type="dxa"/>
            <w:gridSpan w:val="2"/>
            <w:shd w:val="clear" w:color="auto" w:fill="D9E2F3"/>
          </w:tcPr>
          <w:p w14:paraId="40B19851" w14:textId="77777777" w:rsidR="00990B14" w:rsidRDefault="00000000">
            <w:pPr>
              <w:spacing w:before="20" w:after="40"/>
              <w:jc w:val="both"/>
            </w:pPr>
            <w:r>
              <w:rPr>
                <w:sz w:val="18"/>
                <w:szCs w:val="18"/>
              </w:rPr>
              <w:t>Tema 1: Objeto de la Ciencia Económica</w:t>
            </w:r>
          </w:p>
        </w:tc>
        <w:tc>
          <w:tcPr>
            <w:tcW w:w="4304" w:type="dxa"/>
            <w:gridSpan w:val="8"/>
            <w:shd w:val="clear" w:color="auto" w:fill="D9E2F3"/>
          </w:tcPr>
          <w:p w14:paraId="782D29DF" w14:textId="77777777" w:rsidR="00990B14" w:rsidRDefault="00000000">
            <w:pPr>
              <w:spacing w:after="40"/>
              <w:jc w:val="both"/>
            </w:pPr>
            <w:r>
              <w:rPr>
                <w:sz w:val="18"/>
                <w:szCs w:val="18"/>
              </w:rPr>
              <w:t>Ciencias sociales y ciencias de la naturaleza, y el método general de las ciencias sociales. (C)</w:t>
            </w:r>
          </w:p>
          <w:p w14:paraId="77AC5708" w14:textId="77777777" w:rsidR="00990B14" w:rsidRDefault="00000000">
            <w:pPr>
              <w:spacing w:after="40"/>
              <w:jc w:val="both"/>
            </w:pPr>
            <w:r>
              <w:rPr>
                <w:sz w:val="18"/>
                <w:szCs w:val="18"/>
              </w:rPr>
              <w:t>Actividad económica y lucha contra la escasez, y noción de escasez. (C)</w:t>
            </w:r>
          </w:p>
          <w:p w14:paraId="2993B409" w14:textId="77777777" w:rsidR="00990B14" w:rsidRDefault="00000000">
            <w:pPr>
              <w:spacing w:after="40"/>
              <w:jc w:val="both"/>
            </w:pPr>
            <w:r>
              <w:rPr>
                <w:sz w:val="18"/>
                <w:szCs w:val="18"/>
              </w:rPr>
              <w:t>El proceso de la actividad económica: la escasez de recursos y las necesidades ilimitadas, los actos de producción, la inversión para constituir empresas, los actos de cambio y el consumo. (C)</w:t>
            </w:r>
          </w:p>
          <w:p w14:paraId="226E86ED" w14:textId="77777777" w:rsidR="00990B14" w:rsidRDefault="00000000">
            <w:pPr>
              <w:spacing w:after="40"/>
              <w:jc w:val="both"/>
            </w:pPr>
            <w:r>
              <w:rPr>
                <w:sz w:val="18"/>
                <w:szCs w:val="18"/>
              </w:rPr>
              <w:t>El flujo circular de la economía y la definición de ciencia económica. (C)</w:t>
            </w:r>
          </w:p>
          <w:p w14:paraId="053AFAC8" w14:textId="77777777" w:rsidR="00990B14" w:rsidRDefault="00000000">
            <w:pPr>
              <w:spacing w:after="40"/>
              <w:jc w:val="both"/>
            </w:pPr>
            <w:r>
              <w:rPr>
                <w:sz w:val="18"/>
                <w:szCs w:val="18"/>
              </w:rPr>
              <w:t>Autonomía de la ciencia económica y sus relaciones con la sociología, la historia, la geografía y la tecnología. (C)</w:t>
            </w:r>
          </w:p>
          <w:p w14:paraId="42B3857A" w14:textId="77777777" w:rsidR="00990B14" w:rsidRDefault="00000000">
            <w:pPr>
              <w:spacing w:after="40"/>
              <w:jc w:val="both"/>
            </w:pPr>
            <w:r>
              <w:rPr>
                <w:sz w:val="18"/>
                <w:szCs w:val="18"/>
              </w:rPr>
              <w:t>Enfoque sistémico para definir el alcance de la microeconomía y de la macroeconomía, e investigación sobre el alcance de la Teoría General de Sistemas. (C)</w:t>
            </w:r>
          </w:p>
        </w:tc>
        <w:tc>
          <w:tcPr>
            <w:tcW w:w="2752" w:type="dxa"/>
            <w:gridSpan w:val="3"/>
            <w:shd w:val="clear" w:color="auto" w:fill="D9E2F3"/>
          </w:tcPr>
          <w:p w14:paraId="7C146359" w14:textId="77777777" w:rsidR="00990B14" w:rsidRDefault="00000000">
            <w:pPr>
              <w:numPr>
                <w:ilvl w:val="0"/>
                <w:numId w:val="139"/>
              </w:numPr>
              <w:spacing w:before="10" w:after="10"/>
              <w:jc w:val="both"/>
            </w:pPr>
            <w:r>
              <w:rPr>
                <w:sz w:val="18"/>
                <w:szCs w:val="18"/>
              </w:rPr>
              <w:t>Análisis de problemas de escasez y suministro de bienes y servicios en el mercado boliviano</w:t>
            </w:r>
          </w:p>
          <w:p w14:paraId="353438DB" w14:textId="77777777" w:rsidR="00990B14" w:rsidRDefault="00000000">
            <w:pPr>
              <w:numPr>
                <w:ilvl w:val="0"/>
                <w:numId w:val="139"/>
              </w:numPr>
              <w:spacing w:before="10" w:after="10"/>
              <w:jc w:val="both"/>
            </w:pPr>
            <w:r>
              <w:rPr>
                <w:sz w:val="18"/>
                <w:szCs w:val="18"/>
              </w:rPr>
              <w:t>Nociones de geografía económica de Bolivia y de la distribución regional de sus recursos naturales.</w:t>
            </w:r>
          </w:p>
          <w:p w14:paraId="2F75F636" w14:textId="77777777" w:rsidR="00990B14" w:rsidRDefault="00000000">
            <w:pPr>
              <w:numPr>
                <w:ilvl w:val="0"/>
                <w:numId w:val="139"/>
              </w:numPr>
              <w:spacing w:before="10" w:after="10"/>
              <w:jc w:val="both"/>
            </w:pPr>
            <w:r>
              <w:rPr>
                <w:sz w:val="18"/>
                <w:szCs w:val="18"/>
              </w:rPr>
              <w:t>Nociones de historia económica de Bolivia y de sus ciclos productivos.</w:t>
            </w:r>
          </w:p>
        </w:tc>
      </w:tr>
      <w:tr w:rsidR="00990B14" w14:paraId="46BDD8E8" w14:textId="77777777">
        <w:trPr>
          <w:cantSplit/>
          <w:jc w:val="center"/>
        </w:trPr>
        <w:tc>
          <w:tcPr>
            <w:tcW w:w="9405" w:type="dxa"/>
            <w:gridSpan w:val="13"/>
            <w:shd w:val="clear" w:color="auto" w:fill="D9E2F3"/>
            <w:vAlign w:val="center"/>
          </w:tcPr>
          <w:p w14:paraId="70B0B933" w14:textId="77777777" w:rsidR="00990B14" w:rsidRDefault="00000000">
            <w:pPr>
              <w:spacing w:before="20" w:after="20"/>
              <w:jc w:val="both"/>
            </w:pPr>
            <w:r>
              <w:rPr>
                <w:b/>
                <w:bCs/>
                <w:i/>
                <w:iCs/>
                <w:sz w:val="18"/>
                <w:szCs w:val="18"/>
              </w:rPr>
              <w:t xml:space="preserve">Elemento de competencia 2: </w:t>
            </w:r>
            <w:r>
              <w:rPr>
                <w:sz w:val="18"/>
                <w:szCs w:val="18"/>
              </w:rPr>
              <w:t>Deduce la curva de demanda de un consumidor a partir del comportamiento del mercado, de la elasticidad y de la teoría de la utilidad, determinando el equilibrio del consumidor y los efectos del ingreso y de la sustitución.</w:t>
            </w:r>
          </w:p>
        </w:tc>
      </w:tr>
      <w:tr w:rsidR="00990B14" w14:paraId="17E9CC0D" w14:textId="77777777">
        <w:trPr>
          <w:cantSplit/>
          <w:jc w:val="center"/>
        </w:trPr>
        <w:tc>
          <w:tcPr>
            <w:tcW w:w="3133" w:type="dxa"/>
            <w:gridSpan w:val="4"/>
            <w:shd w:val="clear" w:color="auto" w:fill="4472C4"/>
            <w:vAlign w:val="center"/>
          </w:tcPr>
          <w:p w14:paraId="7C370E06"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672202E6"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1ED6222D" w14:textId="77777777" w:rsidR="00990B14" w:rsidRDefault="00000000">
            <w:pPr>
              <w:keepNext/>
              <w:spacing w:before="20" w:after="20"/>
              <w:jc w:val="center"/>
            </w:pPr>
            <w:r>
              <w:rPr>
                <w:b/>
                <w:bCs/>
                <w:i/>
                <w:iCs/>
                <w:color w:val="FFFFFF"/>
                <w:sz w:val="18"/>
                <w:szCs w:val="18"/>
              </w:rPr>
              <w:t>Evidencias de producto</w:t>
            </w:r>
          </w:p>
        </w:tc>
      </w:tr>
      <w:tr w:rsidR="00990B14" w14:paraId="76F82110" w14:textId="77777777">
        <w:trPr>
          <w:cantSplit/>
          <w:jc w:val="center"/>
        </w:trPr>
        <w:tc>
          <w:tcPr>
            <w:tcW w:w="3133" w:type="dxa"/>
            <w:gridSpan w:val="4"/>
            <w:vMerge w:val="restart"/>
            <w:shd w:val="clear" w:color="auto" w:fill="D9E2F3"/>
            <w:vAlign w:val="center"/>
          </w:tcPr>
          <w:p w14:paraId="7F45CEEF" w14:textId="77777777" w:rsidR="00990B14" w:rsidRDefault="00000000">
            <w:pPr>
              <w:spacing w:before="20" w:after="20"/>
              <w:jc w:val="both"/>
            </w:pPr>
            <w:r>
              <w:rPr>
                <w:sz w:val="18"/>
                <w:szCs w:val="18"/>
              </w:rPr>
              <w:t>1. Determina el equilibrio de mercado de un bien y sus desplazamientos, calculando la elasticidad precio de la demanda y de la oferta.</w:t>
            </w:r>
          </w:p>
        </w:tc>
        <w:tc>
          <w:tcPr>
            <w:tcW w:w="3135" w:type="dxa"/>
            <w:gridSpan w:val="5"/>
            <w:shd w:val="clear" w:color="auto" w:fill="D9E2F3"/>
            <w:vAlign w:val="center"/>
          </w:tcPr>
          <w:p w14:paraId="34209A37" w14:textId="77777777" w:rsidR="00990B14" w:rsidRDefault="00000000">
            <w:pPr>
              <w:spacing w:before="20" w:after="20"/>
              <w:jc w:val="both"/>
            </w:pPr>
            <w:r>
              <w:rPr>
                <w:sz w:val="18"/>
                <w:szCs w:val="18"/>
              </w:rPr>
              <w:t>1.1 Grafica en aula el equilibrio de mercado de un bien y sus desplazamientos ante cambios de la oferta o de la demanda.</w:t>
            </w:r>
          </w:p>
        </w:tc>
        <w:tc>
          <w:tcPr>
            <w:tcW w:w="3137" w:type="dxa"/>
            <w:gridSpan w:val="4"/>
            <w:shd w:val="clear" w:color="auto" w:fill="D9E2F3"/>
            <w:vAlign w:val="center"/>
          </w:tcPr>
          <w:p w14:paraId="61C8FF54" w14:textId="77777777" w:rsidR="00990B14" w:rsidRDefault="00000000">
            <w:pPr>
              <w:spacing w:before="20" w:after="20"/>
              <w:jc w:val="both"/>
            </w:pPr>
            <w:r>
              <w:rPr>
                <w:b/>
                <w:bCs/>
                <w:sz w:val="18"/>
                <w:szCs w:val="18"/>
              </w:rPr>
              <w:t xml:space="preserve">Producto 5: </w:t>
            </w:r>
            <w:r>
              <w:rPr>
                <w:sz w:val="18"/>
                <w:szCs w:val="18"/>
              </w:rPr>
              <w:t>Modelo gráfico de oferta, demanda y equilibrio de mercado de un bien.</w:t>
            </w:r>
          </w:p>
        </w:tc>
      </w:tr>
      <w:tr w:rsidR="00990B14" w14:paraId="5CC61768" w14:textId="77777777">
        <w:trPr>
          <w:cantSplit/>
          <w:jc w:val="center"/>
        </w:trPr>
        <w:tc>
          <w:tcPr>
            <w:tcW w:w="3133" w:type="dxa"/>
            <w:gridSpan w:val="4"/>
            <w:vMerge/>
            <w:shd w:val="clear" w:color="auto" w:fill="D9E2F3"/>
            <w:vAlign w:val="center"/>
          </w:tcPr>
          <w:p w14:paraId="28196411" w14:textId="77777777" w:rsidR="00990B14" w:rsidRDefault="00990B14">
            <w:pPr>
              <w:spacing w:before="20" w:after="20"/>
            </w:pPr>
          </w:p>
        </w:tc>
        <w:tc>
          <w:tcPr>
            <w:tcW w:w="3135" w:type="dxa"/>
            <w:gridSpan w:val="5"/>
            <w:shd w:val="clear" w:color="auto" w:fill="D9E2F3"/>
            <w:vAlign w:val="center"/>
          </w:tcPr>
          <w:p w14:paraId="7120A063" w14:textId="77777777" w:rsidR="00990B14" w:rsidRDefault="00000000">
            <w:pPr>
              <w:spacing w:before="20" w:after="20"/>
              <w:jc w:val="both"/>
            </w:pPr>
            <w:r>
              <w:rPr>
                <w:sz w:val="18"/>
                <w:szCs w:val="18"/>
              </w:rPr>
              <w:t>1.2 Calcula la elasticidad precio de la demanda y de la oferta de un bien de consumo boliviano en hoja de cálculo.</w:t>
            </w:r>
          </w:p>
        </w:tc>
        <w:tc>
          <w:tcPr>
            <w:tcW w:w="3137" w:type="dxa"/>
            <w:gridSpan w:val="4"/>
            <w:shd w:val="clear" w:color="auto" w:fill="D9E2F3"/>
            <w:vAlign w:val="center"/>
          </w:tcPr>
          <w:p w14:paraId="0BB5E95C" w14:textId="77777777" w:rsidR="00990B14" w:rsidRDefault="00000000">
            <w:pPr>
              <w:spacing w:before="20" w:after="20"/>
              <w:jc w:val="both"/>
            </w:pPr>
            <w:r>
              <w:rPr>
                <w:b/>
                <w:bCs/>
                <w:sz w:val="18"/>
                <w:szCs w:val="18"/>
              </w:rPr>
              <w:t xml:space="preserve">Producto 6: </w:t>
            </w:r>
            <w:r>
              <w:rPr>
                <w:sz w:val="18"/>
                <w:szCs w:val="18"/>
              </w:rPr>
              <w:t>Hoja de cálculo de la elasticidad precio de la demanda y de la oferta de un bien.</w:t>
            </w:r>
          </w:p>
        </w:tc>
      </w:tr>
      <w:tr w:rsidR="00990B14" w14:paraId="3583BDD0" w14:textId="77777777">
        <w:trPr>
          <w:cantSplit/>
          <w:jc w:val="center"/>
        </w:trPr>
        <w:tc>
          <w:tcPr>
            <w:tcW w:w="3133" w:type="dxa"/>
            <w:gridSpan w:val="4"/>
            <w:vMerge w:val="restart"/>
            <w:shd w:val="clear" w:color="auto" w:fill="D9E2F3"/>
            <w:vAlign w:val="center"/>
          </w:tcPr>
          <w:p w14:paraId="367CD855" w14:textId="77777777" w:rsidR="00990B14" w:rsidRDefault="00000000">
            <w:pPr>
              <w:spacing w:before="20" w:after="20"/>
              <w:jc w:val="both"/>
            </w:pPr>
            <w:r>
              <w:rPr>
                <w:sz w:val="18"/>
                <w:szCs w:val="18"/>
              </w:rPr>
              <w:t>2. Deduce la curva de demanda del consumidor a partir de la utilidad cuantificable y de las curvas de indiferencia, descomponiendo el efecto ingreso y el efecto sustitución.</w:t>
            </w:r>
          </w:p>
        </w:tc>
        <w:tc>
          <w:tcPr>
            <w:tcW w:w="3135" w:type="dxa"/>
            <w:gridSpan w:val="5"/>
            <w:shd w:val="clear" w:color="auto" w:fill="D9E2F3"/>
            <w:vAlign w:val="center"/>
          </w:tcPr>
          <w:p w14:paraId="6E840FC4" w14:textId="77777777" w:rsidR="00990B14" w:rsidRDefault="00000000">
            <w:pPr>
              <w:spacing w:before="20" w:after="20"/>
              <w:jc w:val="both"/>
            </w:pPr>
            <w:r>
              <w:rPr>
                <w:sz w:val="18"/>
                <w:szCs w:val="18"/>
              </w:rPr>
              <w:t>2.1 Resuelve en aula el equilibrio del consumidor con la utilidad total y marginal de dos bienes.</w:t>
            </w:r>
          </w:p>
        </w:tc>
        <w:tc>
          <w:tcPr>
            <w:tcW w:w="3137" w:type="dxa"/>
            <w:gridSpan w:val="4"/>
            <w:shd w:val="clear" w:color="auto" w:fill="D9E2F3"/>
            <w:vAlign w:val="center"/>
          </w:tcPr>
          <w:p w14:paraId="5B5DB8B4" w14:textId="77777777" w:rsidR="00990B14" w:rsidRDefault="00000000">
            <w:pPr>
              <w:spacing w:before="20" w:after="20"/>
              <w:jc w:val="both"/>
            </w:pPr>
            <w:r>
              <w:rPr>
                <w:b/>
                <w:bCs/>
                <w:sz w:val="18"/>
                <w:szCs w:val="18"/>
              </w:rPr>
              <w:t xml:space="preserve">Producto 7: </w:t>
            </w:r>
            <w:r>
              <w:rPr>
                <w:sz w:val="18"/>
                <w:szCs w:val="18"/>
              </w:rPr>
              <w:t>Tabla de utilidad total y marginal con el equilibrio del consumidor.</w:t>
            </w:r>
          </w:p>
        </w:tc>
      </w:tr>
      <w:tr w:rsidR="00990B14" w14:paraId="43687A60" w14:textId="77777777">
        <w:trPr>
          <w:cantSplit/>
          <w:jc w:val="center"/>
        </w:trPr>
        <w:tc>
          <w:tcPr>
            <w:tcW w:w="3133" w:type="dxa"/>
            <w:gridSpan w:val="4"/>
            <w:vMerge/>
            <w:shd w:val="clear" w:color="auto" w:fill="D9E2F3"/>
            <w:vAlign w:val="center"/>
          </w:tcPr>
          <w:p w14:paraId="1A15A809" w14:textId="77777777" w:rsidR="00990B14" w:rsidRDefault="00990B14">
            <w:pPr>
              <w:spacing w:before="20" w:after="20"/>
            </w:pPr>
          </w:p>
        </w:tc>
        <w:tc>
          <w:tcPr>
            <w:tcW w:w="3135" w:type="dxa"/>
            <w:gridSpan w:val="5"/>
            <w:shd w:val="clear" w:color="auto" w:fill="D9E2F3"/>
            <w:vAlign w:val="center"/>
          </w:tcPr>
          <w:p w14:paraId="4BDC2215" w14:textId="77777777" w:rsidR="00990B14" w:rsidRDefault="00000000">
            <w:pPr>
              <w:spacing w:before="20" w:after="20"/>
              <w:jc w:val="both"/>
            </w:pPr>
            <w:r>
              <w:rPr>
                <w:sz w:val="18"/>
                <w:szCs w:val="18"/>
              </w:rPr>
              <w:t>2.2 Deduce en equipo la curva de consumo-ingreso y la curva de demanda con curvas de indiferencia y rectas de presupuesto.</w:t>
            </w:r>
          </w:p>
        </w:tc>
        <w:tc>
          <w:tcPr>
            <w:tcW w:w="3137" w:type="dxa"/>
            <w:gridSpan w:val="4"/>
            <w:shd w:val="clear" w:color="auto" w:fill="D9E2F3"/>
            <w:vAlign w:val="center"/>
          </w:tcPr>
          <w:p w14:paraId="57145E0A" w14:textId="77777777" w:rsidR="00990B14" w:rsidRDefault="00000000">
            <w:pPr>
              <w:spacing w:before="20" w:after="20"/>
              <w:jc w:val="both"/>
            </w:pPr>
            <w:r>
              <w:rPr>
                <w:b/>
                <w:bCs/>
                <w:sz w:val="18"/>
                <w:szCs w:val="18"/>
              </w:rPr>
              <w:t xml:space="preserve">Producto 8: </w:t>
            </w:r>
            <w:r>
              <w:rPr>
                <w:sz w:val="18"/>
                <w:szCs w:val="18"/>
              </w:rPr>
              <w:t>Deducción gráfica de la curva de demanda con los efectos ingreso y sustitución.</w:t>
            </w:r>
          </w:p>
        </w:tc>
      </w:tr>
      <w:tr w:rsidR="00990B14" w14:paraId="168FD751" w14:textId="77777777">
        <w:trPr>
          <w:cantSplit/>
          <w:jc w:val="center"/>
        </w:trPr>
        <w:tc>
          <w:tcPr>
            <w:tcW w:w="9405" w:type="dxa"/>
            <w:gridSpan w:val="13"/>
            <w:shd w:val="clear" w:color="auto" w:fill="4472C4"/>
            <w:vAlign w:val="center"/>
          </w:tcPr>
          <w:p w14:paraId="1A2B9F6D" w14:textId="77777777" w:rsidR="00990B14" w:rsidRDefault="00000000">
            <w:pPr>
              <w:keepNext/>
              <w:spacing w:before="20" w:after="20"/>
              <w:jc w:val="center"/>
            </w:pPr>
            <w:r>
              <w:rPr>
                <w:b/>
                <w:bCs/>
                <w:i/>
                <w:iCs/>
                <w:color w:val="FFFFFF"/>
                <w:sz w:val="18"/>
                <w:szCs w:val="18"/>
              </w:rPr>
              <w:t>Evidencias de conocimiento</w:t>
            </w:r>
          </w:p>
        </w:tc>
      </w:tr>
      <w:tr w:rsidR="00990B14" w14:paraId="4E34CA4D" w14:textId="77777777">
        <w:trPr>
          <w:cantSplit/>
          <w:jc w:val="center"/>
        </w:trPr>
        <w:tc>
          <w:tcPr>
            <w:tcW w:w="2349" w:type="dxa"/>
            <w:gridSpan w:val="2"/>
            <w:shd w:val="clear" w:color="auto" w:fill="4472C4"/>
            <w:vAlign w:val="center"/>
          </w:tcPr>
          <w:p w14:paraId="2743F32D"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74D4DA63" w14:textId="77777777" w:rsidR="00990B14" w:rsidRDefault="00000000">
            <w:pPr>
              <w:keepNext/>
              <w:spacing w:before="20" w:after="20"/>
              <w:jc w:val="both"/>
            </w:pPr>
            <w:r>
              <w:rPr>
                <w:b/>
                <w:bCs/>
                <w:i/>
                <w:iCs/>
                <w:color w:val="FFFFFF"/>
                <w:sz w:val="18"/>
                <w:szCs w:val="18"/>
              </w:rPr>
              <w:t>Contenidos</w:t>
            </w:r>
          </w:p>
          <w:p w14:paraId="24CB0E63"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1CF3C0B6" w14:textId="77777777" w:rsidR="00990B14" w:rsidRDefault="00000000">
            <w:pPr>
              <w:keepNext/>
              <w:spacing w:before="20" w:after="20"/>
              <w:jc w:val="center"/>
            </w:pPr>
            <w:r>
              <w:rPr>
                <w:b/>
                <w:bCs/>
                <w:i/>
                <w:iCs/>
                <w:color w:val="FFFFFF"/>
                <w:sz w:val="18"/>
                <w:szCs w:val="18"/>
              </w:rPr>
              <w:t>Conocimientos circunstanciales</w:t>
            </w:r>
          </w:p>
        </w:tc>
      </w:tr>
      <w:tr w:rsidR="00990B14" w14:paraId="753930D2" w14:textId="77777777">
        <w:trPr>
          <w:jc w:val="center"/>
        </w:trPr>
        <w:tc>
          <w:tcPr>
            <w:tcW w:w="2349" w:type="dxa"/>
            <w:gridSpan w:val="2"/>
            <w:shd w:val="clear" w:color="auto" w:fill="D9E2F3"/>
          </w:tcPr>
          <w:p w14:paraId="5A41D10D" w14:textId="77777777" w:rsidR="00990B14" w:rsidRDefault="00000000">
            <w:pPr>
              <w:spacing w:before="20" w:after="40"/>
              <w:jc w:val="both"/>
            </w:pPr>
            <w:r>
              <w:rPr>
                <w:sz w:val="18"/>
                <w:szCs w:val="18"/>
              </w:rPr>
              <w:t>Tema 2: Consideraciones Generales sobre Oferta y Demanda y Comportamiento de Mercados</w:t>
            </w:r>
          </w:p>
          <w:p w14:paraId="29FDBAD6" w14:textId="77777777" w:rsidR="00990B14" w:rsidRDefault="00000000">
            <w:pPr>
              <w:spacing w:before="20" w:after="40"/>
              <w:jc w:val="both"/>
            </w:pPr>
            <w:r>
              <w:rPr>
                <w:sz w:val="18"/>
                <w:szCs w:val="18"/>
              </w:rPr>
              <w:t>Tema 3: Concepto de Elasticidad, Clases y Aplicaciones</w:t>
            </w:r>
          </w:p>
          <w:p w14:paraId="05F578CA" w14:textId="77777777" w:rsidR="00990B14" w:rsidRDefault="00000000">
            <w:pPr>
              <w:spacing w:before="20" w:after="40"/>
              <w:jc w:val="both"/>
            </w:pPr>
            <w:r>
              <w:rPr>
                <w:sz w:val="18"/>
                <w:szCs w:val="18"/>
              </w:rPr>
              <w:t>Tema 4: Teoría de Demanda – Utilidad Categoría Cuantificable</w:t>
            </w:r>
          </w:p>
          <w:p w14:paraId="35279714" w14:textId="77777777" w:rsidR="00990B14" w:rsidRDefault="00000000">
            <w:pPr>
              <w:spacing w:before="20" w:after="40"/>
              <w:jc w:val="both"/>
            </w:pPr>
            <w:r>
              <w:rPr>
                <w:sz w:val="18"/>
                <w:szCs w:val="18"/>
              </w:rPr>
              <w:t>Tema 5: Teoría de Demanda – Utilidad Categoría Clasificable</w:t>
            </w:r>
          </w:p>
        </w:tc>
        <w:tc>
          <w:tcPr>
            <w:tcW w:w="4304" w:type="dxa"/>
            <w:gridSpan w:val="8"/>
            <w:shd w:val="clear" w:color="auto" w:fill="D9E2F3"/>
          </w:tcPr>
          <w:p w14:paraId="4ADBAEDC" w14:textId="77777777" w:rsidR="00990B14" w:rsidRDefault="00000000">
            <w:pPr>
              <w:spacing w:after="40"/>
              <w:jc w:val="both"/>
            </w:pPr>
            <w:r>
              <w:rPr>
                <w:sz w:val="18"/>
                <w:szCs w:val="18"/>
              </w:rPr>
              <w:t>Introducción en un ámbito de teoría general de sistemas, y significado de microeconomía, de mercado y de competencia perfecta. (C)</w:t>
            </w:r>
          </w:p>
          <w:p w14:paraId="68D00A88" w14:textId="77777777" w:rsidR="00990B14" w:rsidRDefault="00000000">
            <w:pPr>
              <w:spacing w:after="40"/>
              <w:jc w:val="both"/>
            </w:pPr>
            <w:r>
              <w:rPr>
                <w:sz w:val="18"/>
                <w:szCs w:val="18"/>
              </w:rPr>
              <w:t>Demanda de un bien: representación funcional, tabular y gráfica, y cambios en la cantidad demandada y desplazamientos. (C)</w:t>
            </w:r>
          </w:p>
          <w:p w14:paraId="1030F0BB" w14:textId="77777777" w:rsidR="00990B14" w:rsidRDefault="00000000">
            <w:pPr>
              <w:spacing w:after="40"/>
              <w:jc w:val="both"/>
            </w:pPr>
            <w:r>
              <w:rPr>
                <w:sz w:val="18"/>
                <w:szCs w:val="18"/>
              </w:rPr>
              <w:t>Oferta de un bien: representación funcional, tabular y gráfica, y cambios en la cantidad ofertada y desplazamientos. (C)</w:t>
            </w:r>
          </w:p>
          <w:p w14:paraId="408FE9EF" w14:textId="77777777" w:rsidR="00990B14" w:rsidRDefault="00000000">
            <w:pPr>
              <w:spacing w:after="40"/>
              <w:jc w:val="both"/>
            </w:pPr>
            <w:r>
              <w:rPr>
                <w:sz w:val="18"/>
                <w:szCs w:val="18"/>
              </w:rPr>
              <w:t>Equilibrio de mercado de un bien: representación funcional, tabular y gráfica, y desplazamientos de la situación de equilibrio. (C)</w:t>
            </w:r>
          </w:p>
          <w:p w14:paraId="6C0E51E9" w14:textId="77777777" w:rsidR="00990B14" w:rsidRDefault="00000000">
            <w:pPr>
              <w:spacing w:after="40"/>
              <w:jc w:val="both"/>
            </w:pPr>
            <w:r>
              <w:rPr>
                <w:sz w:val="18"/>
                <w:szCs w:val="18"/>
              </w:rPr>
              <w:t>Elasticidad demanda-precio y clasificación de los bienes según su elasticidad demanda-precio. (C)</w:t>
            </w:r>
          </w:p>
          <w:p w14:paraId="7C693A8C" w14:textId="77777777" w:rsidR="00990B14" w:rsidRDefault="00000000">
            <w:pPr>
              <w:spacing w:after="40"/>
              <w:jc w:val="both"/>
            </w:pPr>
            <w:r>
              <w:rPr>
                <w:sz w:val="18"/>
                <w:szCs w:val="18"/>
              </w:rPr>
              <w:t>Aplicación de la elasticidad demanda-precio al gasto del consumidor, y otros tipos de elasticidad de la demanda. (C, P)</w:t>
            </w:r>
          </w:p>
          <w:p w14:paraId="6BF80411" w14:textId="77777777" w:rsidR="00990B14" w:rsidRDefault="00000000">
            <w:pPr>
              <w:spacing w:after="40"/>
              <w:jc w:val="both"/>
            </w:pPr>
            <w:r>
              <w:rPr>
                <w:sz w:val="18"/>
                <w:szCs w:val="18"/>
              </w:rPr>
              <w:t>Elasticidad oferta-precio. (C)</w:t>
            </w:r>
          </w:p>
          <w:p w14:paraId="24C10015" w14:textId="77777777" w:rsidR="00990B14" w:rsidRDefault="00000000">
            <w:pPr>
              <w:spacing w:after="40"/>
              <w:jc w:val="both"/>
            </w:pPr>
            <w:r>
              <w:rPr>
                <w:sz w:val="18"/>
                <w:szCs w:val="18"/>
              </w:rPr>
              <w:t>Medidas de la utilidad, situación de equilibrio del consumidor y deducción de la curva de demanda. (C)</w:t>
            </w:r>
          </w:p>
          <w:p w14:paraId="1B2CDB81" w14:textId="77777777" w:rsidR="00990B14" w:rsidRDefault="00000000">
            <w:pPr>
              <w:spacing w:after="40"/>
              <w:jc w:val="both"/>
            </w:pPr>
            <w:r>
              <w:rPr>
                <w:sz w:val="18"/>
                <w:szCs w:val="18"/>
              </w:rPr>
              <w:t>Conjuntos de preferencia, curvas de indiferencia y rectas de presupuesto. (C)</w:t>
            </w:r>
          </w:p>
          <w:p w14:paraId="22EDAE58" w14:textId="77777777" w:rsidR="00990B14" w:rsidRDefault="00000000">
            <w:pPr>
              <w:spacing w:after="40"/>
              <w:jc w:val="both"/>
            </w:pPr>
            <w:r>
              <w:rPr>
                <w:sz w:val="18"/>
                <w:szCs w:val="18"/>
              </w:rPr>
              <w:t>Situación de equilibrio del consumidor, curva de consumo-ingreso y deducción de la curva de demanda. (C)</w:t>
            </w:r>
          </w:p>
          <w:p w14:paraId="13462E94" w14:textId="77777777" w:rsidR="00990B14" w:rsidRDefault="00000000">
            <w:pPr>
              <w:spacing w:after="40"/>
              <w:jc w:val="both"/>
            </w:pPr>
            <w:r>
              <w:rPr>
                <w:sz w:val="18"/>
                <w:szCs w:val="18"/>
              </w:rPr>
              <w:t>Efecto ingreso y efecto sustitución. (C)</w:t>
            </w:r>
          </w:p>
          <w:p w14:paraId="0675979F" w14:textId="77777777" w:rsidR="00990B14" w:rsidRDefault="00000000">
            <w:pPr>
              <w:spacing w:after="40"/>
              <w:jc w:val="both"/>
            </w:pPr>
            <w:r>
              <w:rPr>
                <w:sz w:val="18"/>
                <w:szCs w:val="18"/>
              </w:rPr>
              <w:t>Supuestos, alcances y limitaciones de los modelos microeconómicos del consumidor. (C)</w:t>
            </w:r>
          </w:p>
        </w:tc>
        <w:tc>
          <w:tcPr>
            <w:tcW w:w="2752" w:type="dxa"/>
            <w:gridSpan w:val="3"/>
            <w:shd w:val="clear" w:color="auto" w:fill="D9E2F3"/>
          </w:tcPr>
          <w:p w14:paraId="6846568C" w14:textId="77777777" w:rsidR="00990B14" w:rsidRDefault="00000000">
            <w:pPr>
              <w:numPr>
                <w:ilvl w:val="0"/>
                <w:numId w:val="139"/>
              </w:numPr>
              <w:spacing w:before="10" w:after="10"/>
              <w:jc w:val="both"/>
            </w:pPr>
            <w:r>
              <w:rPr>
                <w:sz w:val="18"/>
                <w:szCs w:val="18"/>
              </w:rPr>
              <w:t>Nociones de la canasta familiar y del patrón de consumo de los hogares bolivianos.</w:t>
            </w:r>
          </w:p>
          <w:p w14:paraId="6D732401" w14:textId="77777777" w:rsidR="00990B14" w:rsidRDefault="00000000">
            <w:pPr>
              <w:numPr>
                <w:ilvl w:val="0"/>
                <w:numId w:val="139"/>
              </w:numPr>
              <w:spacing w:before="10" w:after="10"/>
              <w:jc w:val="both"/>
            </w:pPr>
            <w:r>
              <w:rPr>
                <w:sz w:val="18"/>
                <w:szCs w:val="18"/>
              </w:rPr>
              <w:t>Nociones de la fijación administrada de precios de bienes de consumo en Bolivia.</w:t>
            </w:r>
          </w:p>
        </w:tc>
      </w:tr>
      <w:tr w:rsidR="00990B14" w14:paraId="2770AFE2" w14:textId="77777777">
        <w:trPr>
          <w:cantSplit/>
          <w:jc w:val="center"/>
        </w:trPr>
        <w:tc>
          <w:tcPr>
            <w:tcW w:w="9405" w:type="dxa"/>
            <w:gridSpan w:val="13"/>
            <w:shd w:val="clear" w:color="auto" w:fill="D9E2F3"/>
            <w:vAlign w:val="center"/>
          </w:tcPr>
          <w:p w14:paraId="2E12EF3D" w14:textId="77777777" w:rsidR="00990B14" w:rsidRDefault="00000000">
            <w:pPr>
              <w:spacing w:before="20" w:after="20"/>
              <w:jc w:val="both"/>
            </w:pPr>
            <w:r>
              <w:rPr>
                <w:b/>
                <w:bCs/>
                <w:i/>
                <w:iCs/>
                <w:sz w:val="18"/>
                <w:szCs w:val="18"/>
              </w:rPr>
              <w:t xml:space="preserve">Elemento de competencia 3: </w:t>
            </w:r>
            <w:r>
              <w:rPr>
                <w:sz w:val="18"/>
                <w:szCs w:val="18"/>
              </w:rPr>
              <w:t>Analiza la producción, los costos y el precio de una empresa en competencia perfecta, en monopolio, en competencia monopólica y en oligopolio, determinando su producción de equilibrio con un factor fijo y con factores variables.</w:t>
            </w:r>
          </w:p>
        </w:tc>
      </w:tr>
      <w:tr w:rsidR="00990B14" w14:paraId="65D2169A" w14:textId="77777777">
        <w:trPr>
          <w:cantSplit/>
          <w:jc w:val="center"/>
        </w:trPr>
        <w:tc>
          <w:tcPr>
            <w:tcW w:w="3133" w:type="dxa"/>
            <w:gridSpan w:val="4"/>
            <w:shd w:val="clear" w:color="auto" w:fill="4472C4"/>
            <w:vAlign w:val="center"/>
          </w:tcPr>
          <w:p w14:paraId="291837D6"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2122D234"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4FE6D6FA" w14:textId="77777777" w:rsidR="00990B14" w:rsidRDefault="00000000">
            <w:pPr>
              <w:keepNext/>
              <w:spacing w:before="20" w:after="20"/>
              <w:jc w:val="center"/>
            </w:pPr>
            <w:r>
              <w:rPr>
                <w:b/>
                <w:bCs/>
                <w:i/>
                <w:iCs/>
                <w:color w:val="FFFFFF"/>
                <w:sz w:val="18"/>
                <w:szCs w:val="18"/>
              </w:rPr>
              <w:t>Evidencias de producto</w:t>
            </w:r>
          </w:p>
        </w:tc>
      </w:tr>
      <w:tr w:rsidR="00990B14" w14:paraId="04F172CA" w14:textId="77777777">
        <w:trPr>
          <w:cantSplit/>
          <w:jc w:val="center"/>
        </w:trPr>
        <w:tc>
          <w:tcPr>
            <w:tcW w:w="3133" w:type="dxa"/>
            <w:gridSpan w:val="4"/>
            <w:vMerge w:val="restart"/>
            <w:shd w:val="clear" w:color="auto" w:fill="D9E2F3"/>
            <w:vAlign w:val="center"/>
          </w:tcPr>
          <w:p w14:paraId="47B9ED5C" w14:textId="77777777" w:rsidR="00990B14" w:rsidRDefault="00000000">
            <w:pPr>
              <w:spacing w:before="20" w:after="20"/>
              <w:jc w:val="both"/>
            </w:pPr>
            <w:r>
              <w:rPr>
                <w:sz w:val="18"/>
                <w:szCs w:val="18"/>
              </w:rPr>
              <w:t>1. Calcula la producción y los costos de una empresa con un factor fijo y con factores variables, diferenciando el costo económico del costo contable.</w:t>
            </w:r>
          </w:p>
        </w:tc>
        <w:tc>
          <w:tcPr>
            <w:tcW w:w="3135" w:type="dxa"/>
            <w:gridSpan w:val="5"/>
            <w:shd w:val="clear" w:color="auto" w:fill="D9E2F3"/>
            <w:vAlign w:val="center"/>
          </w:tcPr>
          <w:p w14:paraId="42D3ACFA" w14:textId="77777777" w:rsidR="00990B14" w:rsidRDefault="00000000">
            <w:pPr>
              <w:spacing w:before="20" w:after="20"/>
              <w:jc w:val="both"/>
            </w:pPr>
            <w:r>
              <w:rPr>
                <w:sz w:val="18"/>
                <w:szCs w:val="18"/>
              </w:rPr>
              <w:t>1.1 Calcula el producto total, medio y marginal y los costos de corto plazo de una empresa en hoja de cálculo.</w:t>
            </w:r>
          </w:p>
        </w:tc>
        <w:tc>
          <w:tcPr>
            <w:tcW w:w="3137" w:type="dxa"/>
            <w:gridSpan w:val="4"/>
            <w:shd w:val="clear" w:color="auto" w:fill="D9E2F3"/>
            <w:vAlign w:val="center"/>
          </w:tcPr>
          <w:p w14:paraId="4D9FC265" w14:textId="77777777" w:rsidR="00990B14" w:rsidRDefault="00000000">
            <w:pPr>
              <w:spacing w:before="20" w:after="20"/>
              <w:jc w:val="both"/>
            </w:pPr>
            <w:r>
              <w:rPr>
                <w:b/>
                <w:bCs/>
                <w:sz w:val="18"/>
                <w:szCs w:val="18"/>
              </w:rPr>
              <w:t xml:space="preserve">Producto 9: </w:t>
            </w:r>
            <w:r>
              <w:rPr>
                <w:sz w:val="18"/>
                <w:szCs w:val="18"/>
              </w:rPr>
              <w:t>Cuadro en hoja de cálculo de las medidas del producto y de los costos de una empresa.</w:t>
            </w:r>
          </w:p>
        </w:tc>
      </w:tr>
      <w:tr w:rsidR="00990B14" w14:paraId="59BCBB47" w14:textId="77777777">
        <w:trPr>
          <w:cantSplit/>
          <w:jc w:val="center"/>
        </w:trPr>
        <w:tc>
          <w:tcPr>
            <w:tcW w:w="3133" w:type="dxa"/>
            <w:gridSpan w:val="4"/>
            <w:vMerge/>
            <w:shd w:val="clear" w:color="auto" w:fill="D9E2F3"/>
            <w:vAlign w:val="center"/>
          </w:tcPr>
          <w:p w14:paraId="3DCD578B" w14:textId="77777777" w:rsidR="00990B14" w:rsidRDefault="00990B14">
            <w:pPr>
              <w:spacing w:before="20" w:after="20"/>
            </w:pPr>
          </w:p>
        </w:tc>
        <w:tc>
          <w:tcPr>
            <w:tcW w:w="3135" w:type="dxa"/>
            <w:gridSpan w:val="5"/>
            <w:shd w:val="clear" w:color="auto" w:fill="D9E2F3"/>
            <w:vAlign w:val="center"/>
          </w:tcPr>
          <w:p w14:paraId="09A45720" w14:textId="77777777" w:rsidR="00990B14" w:rsidRDefault="00000000">
            <w:pPr>
              <w:spacing w:before="20" w:after="20"/>
              <w:jc w:val="both"/>
            </w:pPr>
            <w:r>
              <w:rPr>
                <w:sz w:val="18"/>
                <w:szCs w:val="18"/>
              </w:rPr>
              <w:t>1.2 Diferencia en aula los costos explícitos, implícitos y de oportunidad de los costos contables de un caso práctico.</w:t>
            </w:r>
          </w:p>
        </w:tc>
        <w:tc>
          <w:tcPr>
            <w:tcW w:w="3137" w:type="dxa"/>
            <w:gridSpan w:val="4"/>
            <w:shd w:val="clear" w:color="auto" w:fill="D9E2F3"/>
            <w:vAlign w:val="center"/>
          </w:tcPr>
          <w:p w14:paraId="00AF221F" w14:textId="77777777" w:rsidR="00990B14" w:rsidRDefault="00000000">
            <w:pPr>
              <w:spacing w:before="20" w:after="20"/>
              <w:jc w:val="both"/>
            </w:pPr>
            <w:r>
              <w:rPr>
                <w:b/>
                <w:bCs/>
                <w:sz w:val="18"/>
                <w:szCs w:val="18"/>
              </w:rPr>
              <w:t xml:space="preserve">Producto 10: </w:t>
            </w:r>
            <w:r>
              <w:rPr>
                <w:sz w:val="18"/>
                <w:szCs w:val="18"/>
              </w:rPr>
              <w:t>Cuadro comparativo del costo económico y del costo contable.</w:t>
            </w:r>
          </w:p>
        </w:tc>
      </w:tr>
      <w:tr w:rsidR="00990B14" w14:paraId="19217757" w14:textId="77777777">
        <w:trPr>
          <w:cantSplit/>
          <w:jc w:val="center"/>
        </w:trPr>
        <w:tc>
          <w:tcPr>
            <w:tcW w:w="3133" w:type="dxa"/>
            <w:gridSpan w:val="4"/>
            <w:vMerge w:val="restart"/>
            <w:shd w:val="clear" w:color="auto" w:fill="D9E2F3"/>
            <w:vAlign w:val="center"/>
          </w:tcPr>
          <w:p w14:paraId="38697F97" w14:textId="77777777" w:rsidR="00990B14" w:rsidRDefault="00000000">
            <w:pPr>
              <w:spacing w:before="20" w:after="20"/>
              <w:jc w:val="both"/>
            </w:pPr>
            <w:r>
              <w:rPr>
                <w:sz w:val="18"/>
                <w:szCs w:val="18"/>
              </w:rPr>
              <w:t>2. Determina el precio y la producción de equilibrio de una empresa en competencia perfecta, monopolio, competencia monopólica y oligopolio, analizando las conductas contrarias a la libre competencia.</w:t>
            </w:r>
          </w:p>
        </w:tc>
        <w:tc>
          <w:tcPr>
            <w:tcW w:w="3135" w:type="dxa"/>
            <w:gridSpan w:val="5"/>
            <w:shd w:val="clear" w:color="auto" w:fill="D9E2F3"/>
            <w:vAlign w:val="center"/>
          </w:tcPr>
          <w:p w14:paraId="42509F45" w14:textId="77777777" w:rsidR="00990B14" w:rsidRDefault="00000000">
            <w:pPr>
              <w:spacing w:before="20" w:after="20"/>
              <w:jc w:val="both"/>
            </w:pPr>
            <w:r>
              <w:rPr>
                <w:sz w:val="18"/>
                <w:szCs w:val="18"/>
              </w:rPr>
              <w:t>2.1 Determina en equipo la producción de equilibrio y la curva de oferta de una empresa en competencia perfecta.</w:t>
            </w:r>
          </w:p>
        </w:tc>
        <w:tc>
          <w:tcPr>
            <w:tcW w:w="3137" w:type="dxa"/>
            <w:gridSpan w:val="4"/>
            <w:shd w:val="clear" w:color="auto" w:fill="D9E2F3"/>
            <w:vAlign w:val="center"/>
          </w:tcPr>
          <w:p w14:paraId="29FAE49F" w14:textId="77777777" w:rsidR="00990B14" w:rsidRDefault="00000000">
            <w:pPr>
              <w:spacing w:before="20" w:after="20"/>
              <w:jc w:val="both"/>
            </w:pPr>
            <w:r>
              <w:rPr>
                <w:b/>
                <w:bCs/>
                <w:sz w:val="18"/>
                <w:szCs w:val="18"/>
              </w:rPr>
              <w:t xml:space="preserve">Producto 11: </w:t>
            </w:r>
            <w:r>
              <w:rPr>
                <w:sz w:val="18"/>
                <w:szCs w:val="18"/>
              </w:rPr>
              <w:t>Modelo de producción de equilibrio y curva de oferta de una empresa en competencia perfecta.</w:t>
            </w:r>
          </w:p>
        </w:tc>
      </w:tr>
      <w:tr w:rsidR="00990B14" w14:paraId="0400D1F3" w14:textId="77777777">
        <w:trPr>
          <w:cantSplit/>
          <w:jc w:val="center"/>
        </w:trPr>
        <w:tc>
          <w:tcPr>
            <w:tcW w:w="3133" w:type="dxa"/>
            <w:gridSpan w:val="4"/>
            <w:vMerge/>
            <w:shd w:val="clear" w:color="auto" w:fill="D9E2F3"/>
            <w:vAlign w:val="center"/>
          </w:tcPr>
          <w:p w14:paraId="33EBF456" w14:textId="77777777" w:rsidR="00990B14" w:rsidRDefault="00990B14">
            <w:pPr>
              <w:spacing w:before="20" w:after="20"/>
            </w:pPr>
          </w:p>
        </w:tc>
        <w:tc>
          <w:tcPr>
            <w:tcW w:w="3135" w:type="dxa"/>
            <w:gridSpan w:val="5"/>
            <w:shd w:val="clear" w:color="auto" w:fill="D9E2F3"/>
            <w:vAlign w:val="center"/>
          </w:tcPr>
          <w:p w14:paraId="7E0955C3" w14:textId="77777777" w:rsidR="00990B14" w:rsidRDefault="00000000">
            <w:pPr>
              <w:spacing w:before="20" w:after="20"/>
              <w:jc w:val="both"/>
            </w:pPr>
            <w:r>
              <w:rPr>
                <w:sz w:val="18"/>
                <w:szCs w:val="18"/>
              </w:rPr>
              <w:t>2.2 Compara ante el curso el precio y la producción de una empresa boliviana según la estructura de mercado en la que opera.</w:t>
            </w:r>
          </w:p>
        </w:tc>
        <w:tc>
          <w:tcPr>
            <w:tcW w:w="3137" w:type="dxa"/>
            <w:gridSpan w:val="4"/>
            <w:shd w:val="clear" w:color="auto" w:fill="D9E2F3"/>
            <w:vAlign w:val="center"/>
          </w:tcPr>
          <w:p w14:paraId="472C27D4" w14:textId="77777777" w:rsidR="00990B14" w:rsidRDefault="00000000">
            <w:pPr>
              <w:spacing w:before="20" w:after="20"/>
              <w:jc w:val="both"/>
            </w:pPr>
            <w:r>
              <w:rPr>
                <w:b/>
                <w:bCs/>
                <w:sz w:val="18"/>
                <w:szCs w:val="18"/>
              </w:rPr>
              <w:t xml:space="preserve">Producto 12: </w:t>
            </w:r>
            <w:r>
              <w:rPr>
                <w:sz w:val="18"/>
                <w:szCs w:val="18"/>
              </w:rPr>
              <w:t>Informe comparativo del precio y la producción en monopolio, competencia monopólica y oligopolio.</w:t>
            </w:r>
          </w:p>
        </w:tc>
      </w:tr>
      <w:tr w:rsidR="00990B14" w14:paraId="76936503" w14:textId="77777777">
        <w:trPr>
          <w:cantSplit/>
          <w:jc w:val="center"/>
        </w:trPr>
        <w:tc>
          <w:tcPr>
            <w:tcW w:w="9405" w:type="dxa"/>
            <w:gridSpan w:val="13"/>
            <w:shd w:val="clear" w:color="auto" w:fill="4472C4"/>
            <w:vAlign w:val="center"/>
          </w:tcPr>
          <w:p w14:paraId="2E831A44" w14:textId="77777777" w:rsidR="00990B14" w:rsidRDefault="00000000">
            <w:pPr>
              <w:keepNext/>
              <w:spacing w:before="20" w:after="20"/>
              <w:jc w:val="center"/>
            </w:pPr>
            <w:r>
              <w:rPr>
                <w:b/>
                <w:bCs/>
                <w:i/>
                <w:iCs/>
                <w:color w:val="FFFFFF"/>
                <w:sz w:val="18"/>
                <w:szCs w:val="18"/>
              </w:rPr>
              <w:t>Evidencias de conocimiento</w:t>
            </w:r>
          </w:p>
        </w:tc>
      </w:tr>
      <w:tr w:rsidR="00990B14" w14:paraId="17684525" w14:textId="77777777">
        <w:trPr>
          <w:cantSplit/>
          <w:jc w:val="center"/>
        </w:trPr>
        <w:tc>
          <w:tcPr>
            <w:tcW w:w="2349" w:type="dxa"/>
            <w:gridSpan w:val="2"/>
            <w:shd w:val="clear" w:color="auto" w:fill="4472C4"/>
            <w:vAlign w:val="center"/>
          </w:tcPr>
          <w:p w14:paraId="0F971AC8"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32EB1358" w14:textId="77777777" w:rsidR="00990B14" w:rsidRDefault="00000000">
            <w:pPr>
              <w:keepNext/>
              <w:spacing w:before="20" w:after="20"/>
              <w:jc w:val="both"/>
            </w:pPr>
            <w:r>
              <w:rPr>
                <w:b/>
                <w:bCs/>
                <w:i/>
                <w:iCs/>
                <w:color w:val="FFFFFF"/>
                <w:sz w:val="18"/>
                <w:szCs w:val="18"/>
              </w:rPr>
              <w:t>Contenidos</w:t>
            </w:r>
          </w:p>
          <w:p w14:paraId="7F51E2A5"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0370BF51" w14:textId="77777777" w:rsidR="00990B14" w:rsidRDefault="00000000">
            <w:pPr>
              <w:keepNext/>
              <w:spacing w:before="20" w:after="20"/>
              <w:jc w:val="center"/>
            </w:pPr>
            <w:r>
              <w:rPr>
                <w:b/>
                <w:bCs/>
                <w:i/>
                <w:iCs/>
                <w:color w:val="FFFFFF"/>
                <w:sz w:val="18"/>
                <w:szCs w:val="18"/>
              </w:rPr>
              <w:t>Conocimientos circunstanciales</w:t>
            </w:r>
          </w:p>
        </w:tc>
      </w:tr>
      <w:tr w:rsidR="00990B14" w14:paraId="46F8FA65" w14:textId="77777777">
        <w:trPr>
          <w:jc w:val="center"/>
        </w:trPr>
        <w:tc>
          <w:tcPr>
            <w:tcW w:w="2349" w:type="dxa"/>
            <w:gridSpan w:val="2"/>
            <w:shd w:val="clear" w:color="auto" w:fill="D9E2F3"/>
          </w:tcPr>
          <w:p w14:paraId="16315132" w14:textId="77777777" w:rsidR="00990B14" w:rsidRDefault="00000000">
            <w:pPr>
              <w:spacing w:before="20" w:after="40"/>
              <w:jc w:val="both"/>
            </w:pPr>
            <w:r>
              <w:rPr>
                <w:sz w:val="18"/>
                <w:szCs w:val="18"/>
              </w:rPr>
              <w:t>Tema 6: Teoría de la Producción</w:t>
            </w:r>
          </w:p>
          <w:p w14:paraId="7D0499D7" w14:textId="77777777" w:rsidR="00990B14" w:rsidRDefault="00000000">
            <w:pPr>
              <w:spacing w:before="20" w:after="40"/>
              <w:jc w:val="both"/>
            </w:pPr>
            <w:r>
              <w:rPr>
                <w:sz w:val="18"/>
                <w:szCs w:val="18"/>
              </w:rPr>
              <w:t>Tema 7: Teoría de Costo de los Factores de Producción</w:t>
            </w:r>
          </w:p>
          <w:p w14:paraId="348ED387" w14:textId="77777777" w:rsidR="00990B14" w:rsidRDefault="00000000">
            <w:pPr>
              <w:spacing w:before="20" w:after="40"/>
              <w:jc w:val="both"/>
            </w:pPr>
            <w:r>
              <w:rPr>
                <w:sz w:val="18"/>
                <w:szCs w:val="18"/>
              </w:rPr>
              <w:t>Tema 8: Precio y Producto en Competencia Perfecta</w:t>
            </w:r>
          </w:p>
          <w:p w14:paraId="6655B6C9" w14:textId="77777777" w:rsidR="00990B14" w:rsidRDefault="00000000">
            <w:pPr>
              <w:spacing w:before="20" w:after="40"/>
              <w:jc w:val="both"/>
            </w:pPr>
            <w:r>
              <w:rPr>
                <w:sz w:val="18"/>
                <w:szCs w:val="18"/>
              </w:rPr>
              <w:t>Tema 9: Precio y Producto en Monopolio</w:t>
            </w:r>
          </w:p>
          <w:p w14:paraId="01522792" w14:textId="77777777" w:rsidR="00990B14" w:rsidRDefault="00000000">
            <w:pPr>
              <w:spacing w:before="20" w:after="40"/>
              <w:jc w:val="both"/>
            </w:pPr>
            <w:r>
              <w:rPr>
                <w:sz w:val="18"/>
                <w:szCs w:val="18"/>
              </w:rPr>
              <w:t>Tema 10: Precio y Producto en Competencia Monopólica y en Oligopolio</w:t>
            </w:r>
          </w:p>
        </w:tc>
        <w:tc>
          <w:tcPr>
            <w:tcW w:w="4304" w:type="dxa"/>
            <w:gridSpan w:val="8"/>
            <w:shd w:val="clear" w:color="auto" w:fill="D9E2F3"/>
          </w:tcPr>
          <w:p w14:paraId="47C4CAC1" w14:textId="77777777" w:rsidR="00990B14" w:rsidRDefault="00000000">
            <w:pPr>
              <w:spacing w:after="40"/>
              <w:jc w:val="both"/>
            </w:pPr>
            <w:r>
              <w:rPr>
                <w:sz w:val="18"/>
                <w:szCs w:val="18"/>
              </w:rPr>
              <w:t>Generalidades sobre la producción y medidas del producto. (C)</w:t>
            </w:r>
          </w:p>
          <w:p w14:paraId="63A3293A" w14:textId="77777777" w:rsidR="00990B14" w:rsidRDefault="00000000">
            <w:pPr>
              <w:spacing w:after="40"/>
              <w:jc w:val="both"/>
            </w:pPr>
            <w:r>
              <w:rPr>
                <w:sz w:val="18"/>
                <w:szCs w:val="18"/>
              </w:rPr>
              <w:t>Teoría de la producción con un factor fijo y con los factores variables. (C)</w:t>
            </w:r>
          </w:p>
          <w:p w14:paraId="05717695" w14:textId="77777777" w:rsidR="00990B14" w:rsidRDefault="00000000">
            <w:pPr>
              <w:spacing w:after="40"/>
              <w:jc w:val="both"/>
            </w:pPr>
            <w:r>
              <w:rPr>
                <w:sz w:val="18"/>
                <w:szCs w:val="18"/>
              </w:rPr>
              <w:t>Consideraciones generales sobre el costo de los factores de producción. (C)</w:t>
            </w:r>
          </w:p>
          <w:p w14:paraId="6CDEE3CE" w14:textId="77777777" w:rsidR="00990B14" w:rsidRDefault="00000000">
            <w:pPr>
              <w:spacing w:after="40"/>
              <w:jc w:val="both"/>
            </w:pPr>
            <w:r>
              <w:rPr>
                <w:sz w:val="18"/>
                <w:szCs w:val="18"/>
              </w:rPr>
              <w:t>Teoría de costos de los factores con un factor fijo y con los factores variables. (C)</w:t>
            </w:r>
          </w:p>
          <w:p w14:paraId="3DD64016" w14:textId="77777777" w:rsidR="00990B14" w:rsidRDefault="00000000">
            <w:pPr>
              <w:spacing w:after="40"/>
              <w:jc w:val="both"/>
            </w:pPr>
            <w:r>
              <w:rPr>
                <w:sz w:val="18"/>
                <w:szCs w:val="18"/>
              </w:rPr>
              <w:t>Costo de oportunidad, costos explícitos e implícitos, y su diferencia con los costos contables. (C)</w:t>
            </w:r>
          </w:p>
          <w:p w14:paraId="5F655558" w14:textId="77777777" w:rsidR="00990B14" w:rsidRDefault="00000000">
            <w:pPr>
              <w:spacing w:after="40"/>
              <w:jc w:val="both"/>
            </w:pPr>
            <w:r>
              <w:rPr>
                <w:sz w:val="18"/>
                <w:szCs w:val="18"/>
              </w:rPr>
              <w:t>Introducción a las estructuras de mercado y características del mercado de competencia perfecta. (C)</w:t>
            </w:r>
          </w:p>
          <w:p w14:paraId="4D880A80" w14:textId="77777777" w:rsidR="00990B14" w:rsidRDefault="00000000">
            <w:pPr>
              <w:spacing w:after="40"/>
              <w:jc w:val="both"/>
            </w:pPr>
            <w:r>
              <w:rPr>
                <w:sz w:val="18"/>
                <w:szCs w:val="18"/>
              </w:rPr>
              <w:t>Relaciones entre la curva de demanda dirigida a la empresa, el ingreso marginal y el ingreso total en competencia perfecta. (C)</w:t>
            </w:r>
          </w:p>
          <w:p w14:paraId="7707C22A" w14:textId="77777777" w:rsidR="00990B14" w:rsidRDefault="00000000">
            <w:pPr>
              <w:spacing w:after="40"/>
              <w:jc w:val="both"/>
            </w:pPr>
            <w:r>
              <w:rPr>
                <w:sz w:val="18"/>
                <w:szCs w:val="18"/>
              </w:rPr>
              <w:t>Producción de equilibrio y deducción de la curva de oferta de la empresa en competencia perfecta, con un factor fijo y con factores variables. (C)</w:t>
            </w:r>
          </w:p>
          <w:p w14:paraId="7FB0B426" w14:textId="77777777" w:rsidR="00990B14" w:rsidRDefault="00000000">
            <w:pPr>
              <w:spacing w:after="40"/>
              <w:jc w:val="both"/>
            </w:pPr>
            <w:r>
              <w:rPr>
                <w:sz w:val="18"/>
                <w:szCs w:val="18"/>
              </w:rPr>
              <w:t>Características del monopolio y relaciones entre la curva de demanda dirigida a la empresa, el ingreso marginal y el ingreso total. (C)</w:t>
            </w:r>
          </w:p>
          <w:p w14:paraId="38FC0F6A" w14:textId="77777777" w:rsidR="00990B14" w:rsidRDefault="00000000">
            <w:pPr>
              <w:spacing w:after="40"/>
              <w:jc w:val="both"/>
            </w:pPr>
            <w:r>
              <w:rPr>
                <w:sz w:val="18"/>
                <w:szCs w:val="18"/>
              </w:rPr>
              <w:t>Producción de equilibrio del monopolio con un factor fijo y con factores variables. (C)</w:t>
            </w:r>
          </w:p>
          <w:p w14:paraId="38E827DB" w14:textId="77777777" w:rsidR="00990B14" w:rsidRDefault="00000000">
            <w:pPr>
              <w:spacing w:after="40"/>
              <w:jc w:val="both"/>
            </w:pPr>
            <w:r>
              <w:rPr>
                <w:sz w:val="18"/>
                <w:szCs w:val="18"/>
              </w:rPr>
              <w:t>Discriminación de precios y modelos de intervención del gobierno en el monopolio, incluidas la regulación de las externalidades y la defensa de la competencia. (C)</w:t>
            </w:r>
          </w:p>
          <w:p w14:paraId="3D4DC7F0" w14:textId="77777777" w:rsidR="00990B14" w:rsidRDefault="00000000">
            <w:pPr>
              <w:spacing w:after="40"/>
              <w:jc w:val="both"/>
            </w:pPr>
            <w:r>
              <w:rPr>
                <w:sz w:val="18"/>
                <w:szCs w:val="18"/>
              </w:rPr>
              <w:t>Conductas contrarias a la libre competencia y ética de las empresas en los mercados: colusión y abuso de posición dominante. (C, A)</w:t>
            </w:r>
          </w:p>
          <w:p w14:paraId="6BFC11AF" w14:textId="77777777" w:rsidR="00990B14" w:rsidRDefault="00000000">
            <w:pPr>
              <w:spacing w:after="40"/>
              <w:jc w:val="both"/>
            </w:pPr>
            <w:r>
              <w:rPr>
                <w:sz w:val="18"/>
                <w:szCs w:val="18"/>
              </w:rPr>
              <w:t>Características de la competencia monopólica, y mezcla de mercadotecnia y curva de demanda dirigida a la empresa. (C)</w:t>
            </w:r>
          </w:p>
          <w:p w14:paraId="403F5C10" w14:textId="77777777" w:rsidR="00990B14" w:rsidRDefault="00000000">
            <w:pPr>
              <w:spacing w:after="40"/>
              <w:jc w:val="both"/>
            </w:pPr>
            <w:r>
              <w:rPr>
                <w:sz w:val="18"/>
                <w:szCs w:val="18"/>
              </w:rPr>
              <w:t>Producción de equilibrio de la empresa en competencia monopólica con un factor fijo y con factores variables. (C)</w:t>
            </w:r>
          </w:p>
          <w:p w14:paraId="59BBA475" w14:textId="77777777" w:rsidR="00990B14" w:rsidRDefault="00000000">
            <w:pPr>
              <w:spacing w:after="40"/>
              <w:jc w:val="both"/>
            </w:pPr>
            <w:r>
              <w:rPr>
                <w:sz w:val="18"/>
                <w:szCs w:val="18"/>
              </w:rPr>
              <w:t>Características del oligopolio, modelo de Cournot y otros modelos de interpretación de su funcionamiento. (C)</w:t>
            </w:r>
          </w:p>
        </w:tc>
        <w:tc>
          <w:tcPr>
            <w:tcW w:w="2752" w:type="dxa"/>
            <w:gridSpan w:val="3"/>
            <w:shd w:val="clear" w:color="auto" w:fill="D9E2F3"/>
          </w:tcPr>
          <w:p w14:paraId="0EA103C2" w14:textId="77777777" w:rsidR="00990B14" w:rsidRDefault="00000000">
            <w:pPr>
              <w:numPr>
                <w:ilvl w:val="0"/>
                <w:numId w:val="139"/>
              </w:numPr>
              <w:spacing w:before="10" w:after="10"/>
              <w:jc w:val="both"/>
            </w:pPr>
            <w:r>
              <w:rPr>
                <w:sz w:val="18"/>
                <w:szCs w:val="18"/>
              </w:rPr>
              <w:t>Nociones de tecnología de producción y de rendimientos a escala en la industria boliviana.</w:t>
            </w:r>
          </w:p>
          <w:p w14:paraId="5219E87E" w14:textId="77777777" w:rsidR="00990B14" w:rsidRDefault="00000000">
            <w:pPr>
              <w:numPr>
                <w:ilvl w:val="0"/>
                <w:numId w:val="139"/>
              </w:numPr>
              <w:spacing w:before="10" w:after="10"/>
              <w:jc w:val="both"/>
            </w:pPr>
            <w:r>
              <w:rPr>
                <w:sz w:val="18"/>
                <w:szCs w:val="18"/>
              </w:rPr>
              <w:t>Nociones del régimen boliviano de regulación sectorial y de defensa de la competencia.</w:t>
            </w:r>
          </w:p>
        </w:tc>
      </w:tr>
      <w:tr w:rsidR="00990B14" w14:paraId="2E516B98" w14:textId="77777777">
        <w:trPr>
          <w:cantSplit/>
          <w:jc w:val="center"/>
        </w:trPr>
        <w:tc>
          <w:tcPr>
            <w:tcW w:w="9405" w:type="dxa"/>
            <w:gridSpan w:val="13"/>
            <w:shd w:val="clear" w:color="auto" w:fill="D9E2F3"/>
            <w:vAlign w:val="center"/>
          </w:tcPr>
          <w:p w14:paraId="58AADF9D" w14:textId="77777777" w:rsidR="00990B14" w:rsidRDefault="00000000">
            <w:pPr>
              <w:spacing w:before="20" w:after="20"/>
              <w:jc w:val="both"/>
            </w:pPr>
            <w:r>
              <w:rPr>
                <w:b/>
                <w:bCs/>
                <w:i/>
                <w:iCs/>
                <w:sz w:val="18"/>
                <w:szCs w:val="18"/>
              </w:rPr>
              <w:t xml:space="preserve">Elemento de competencia 4: </w:t>
            </w:r>
            <w:r>
              <w:rPr>
                <w:sz w:val="18"/>
                <w:szCs w:val="18"/>
              </w:rPr>
              <w:t>Determina la demanda de factores de producción de una empresa en mercados de competencia perfecta e imperfecta de los factores, analizando el significado del monopsonio.</w:t>
            </w:r>
          </w:p>
        </w:tc>
      </w:tr>
      <w:tr w:rsidR="00990B14" w14:paraId="46AC9F94" w14:textId="77777777">
        <w:trPr>
          <w:cantSplit/>
          <w:jc w:val="center"/>
        </w:trPr>
        <w:tc>
          <w:tcPr>
            <w:tcW w:w="3133" w:type="dxa"/>
            <w:gridSpan w:val="4"/>
            <w:shd w:val="clear" w:color="auto" w:fill="4472C4"/>
            <w:vAlign w:val="center"/>
          </w:tcPr>
          <w:p w14:paraId="04996CBB"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0CECF27E"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791F73DB" w14:textId="77777777" w:rsidR="00990B14" w:rsidRDefault="00000000">
            <w:pPr>
              <w:keepNext/>
              <w:spacing w:before="20" w:after="20"/>
              <w:jc w:val="center"/>
            </w:pPr>
            <w:r>
              <w:rPr>
                <w:b/>
                <w:bCs/>
                <w:i/>
                <w:iCs/>
                <w:color w:val="FFFFFF"/>
                <w:sz w:val="18"/>
                <w:szCs w:val="18"/>
              </w:rPr>
              <w:t>Evidencias de producto</w:t>
            </w:r>
          </w:p>
        </w:tc>
      </w:tr>
      <w:tr w:rsidR="00990B14" w14:paraId="6858A9E1" w14:textId="77777777">
        <w:trPr>
          <w:cantSplit/>
          <w:jc w:val="center"/>
        </w:trPr>
        <w:tc>
          <w:tcPr>
            <w:tcW w:w="3133" w:type="dxa"/>
            <w:gridSpan w:val="4"/>
            <w:vMerge w:val="restart"/>
            <w:shd w:val="clear" w:color="auto" w:fill="D9E2F3"/>
            <w:vAlign w:val="center"/>
          </w:tcPr>
          <w:p w14:paraId="6772D6E4" w14:textId="77777777" w:rsidR="00990B14" w:rsidRDefault="00000000">
            <w:pPr>
              <w:spacing w:before="20" w:after="20"/>
              <w:jc w:val="both"/>
            </w:pPr>
            <w:r>
              <w:rPr>
                <w:sz w:val="18"/>
                <w:szCs w:val="18"/>
              </w:rPr>
              <w:t>1. Determina la demanda de factores de producción de una empresa en mercados de competencia perfecta e imperfecta de los factores.</w:t>
            </w:r>
          </w:p>
        </w:tc>
        <w:tc>
          <w:tcPr>
            <w:tcW w:w="3135" w:type="dxa"/>
            <w:gridSpan w:val="5"/>
            <w:shd w:val="clear" w:color="auto" w:fill="D9E2F3"/>
            <w:vAlign w:val="center"/>
          </w:tcPr>
          <w:p w14:paraId="3BAAD8C6" w14:textId="77777777" w:rsidR="00990B14" w:rsidRDefault="00000000">
            <w:pPr>
              <w:spacing w:before="20" w:after="20"/>
              <w:jc w:val="both"/>
            </w:pPr>
            <w:r>
              <w:rPr>
                <w:sz w:val="18"/>
                <w:szCs w:val="18"/>
              </w:rPr>
              <w:t>1.1 Calcula en aula el valor del producto marginal y la demanda de trabajo de una empresa competitiva en el mercado de bienes y de factores.</w:t>
            </w:r>
          </w:p>
        </w:tc>
        <w:tc>
          <w:tcPr>
            <w:tcW w:w="3137" w:type="dxa"/>
            <w:gridSpan w:val="4"/>
            <w:shd w:val="clear" w:color="auto" w:fill="D9E2F3"/>
            <w:vAlign w:val="center"/>
          </w:tcPr>
          <w:p w14:paraId="244AE5A5" w14:textId="77777777" w:rsidR="00990B14" w:rsidRDefault="00000000">
            <w:pPr>
              <w:spacing w:before="20" w:after="20"/>
              <w:jc w:val="both"/>
            </w:pPr>
            <w:r>
              <w:rPr>
                <w:b/>
                <w:bCs/>
                <w:sz w:val="18"/>
                <w:szCs w:val="18"/>
              </w:rPr>
              <w:t xml:space="preserve">Producto 13: </w:t>
            </w:r>
            <w:r>
              <w:rPr>
                <w:sz w:val="18"/>
                <w:szCs w:val="18"/>
              </w:rPr>
              <w:t>Cuadro de la demanda de un factor en competencia perfecta.</w:t>
            </w:r>
          </w:p>
        </w:tc>
      </w:tr>
      <w:tr w:rsidR="00990B14" w14:paraId="796B6882" w14:textId="77777777">
        <w:trPr>
          <w:cantSplit/>
          <w:jc w:val="center"/>
        </w:trPr>
        <w:tc>
          <w:tcPr>
            <w:tcW w:w="3133" w:type="dxa"/>
            <w:gridSpan w:val="4"/>
            <w:vMerge/>
            <w:shd w:val="clear" w:color="auto" w:fill="D9E2F3"/>
            <w:vAlign w:val="center"/>
          </w:tcPr>
          <w:p w14:paraId="2C7A0CC2" w14:textId="77777777" w:rsidR="00990B14" w:rsidRDefault="00990B14">
            <w:pPr>
              <w:spacing w:before="20" w:after="20"/>
            </w:pPr>
          </w:p>
        </w:tc>
        <w:tc>
          <w:tcPr>
            <w:tcW w:w="3135" w:type="dxa"/>
            <w:gridSpan w:val="5"/>
            <w:shd w:val="clear" w:color="auto" w:fill="D9E2F3"/>
            <w:vAlign w:val="center"/>
          </w:tcPr>
          <w:p w14:paraId="61483728" w14:textId="77777777" w:rsidR="00990B14" w:rsidRDefault="00000000">
            <w:pPr>
              <w:spacing w:before="20" w:after="20"/>
              <w:jc w:val="both"/>
            </w:pPr>
            <w:r>
              <w:rPr>
                <w:sz w:val="18"/>
                <w:szCs w:val="18"/>
              </w:rPr>
              <w:t>1.2 Compara en equipo la demanda de factores de empresas competidoras perfectas e imperfectas en el mercado de bienes.</w:t>
            </w:r>
          </w:p>
        </w:tc>
        <w:tc>
          <w:tcPr>
            <w:tcW w:w="3137" w:type="dxa"/>
            <w:gridSpan w:val="4"/>
            <w:shd w:val="clear" w:color="auto" w:fill="D9E2F3"/>
            <w:vAlign w:val="center"/>
          </w:tcPr>
          <w:p w14:paraId="2A78DAB7" w14:textId="77777777" w:rsidR="00990B14" w:rsidRDefault="00000000">
            <w:pPr>
              <w:spacing w:before="20" w:after="20"/>
              <w:jc w:val="both"/>
            </w:pPr>
            <w:r>
              <w:rPr>
                <w:b/>
                <w:bCs/>
                <w:sz w:val="18"/>
                <w:szCs w:val="18"/>
              </w:rPr>
              <w:t xml:space="preserve">Producto 14: </w:t>
            </w:r>
            <w:r>
              <w:rPr>
                <w:sz w:val="18"/>
                <w:szCs w:val="18"/>
              </w:rPr>
              <w:t>Cuadro comparativo de la demanda de factores en competencia perfecta e imperfecta.</w:t>
            </w:r>
          </w:p>
        </w:tc>
      </w:tr>
      <w:tr w:rsidR="00990B14" w14:paraId="596F6ED3" w14:textId="77777777">
        <w:trPr>
          <w:cantSplit/>
          <w:jc w:val="center"/>
        </w:trPr>
        <w:tc>
          <w:tcPr>
            <w:tcW w:w="3133" w:type="dxa"/>
            <w:gridSpan w:val="4"/>
            <w:vMerge w:val="restart"/>
            <w:shd w:val="clear" w:color="auto" w:fill="D9E2F3"/>
            <w:vAlign w:val="center"/>
          </w:tcPr>
          <w:p w14:paraId="28952EC0" w14:textId="77777777" w:rsidR="00990B14" w:rsidRDefault="00000000">
            <w:pPr>
              <w:spacing w:before="20" w:after="20"/>
              <w:jc w:val="both"/>
            </w:pPr>
            <w:r>
              <w:rPr>
                <w:sz w:val="18"/>
                <w:szCs w:val="18"/>
              </w:rPr>
              <w:t>2. Analiza el significado del monopsonio y el efecto del salario mínimo sobre la demanda de trabajo en un mercado competitivo y en un monopsonio.</w:t>
            </w:r>
          </w:p>
        </w:tc>
        <w:tc>
          <w:tcPr>
            <w:tcW w:w="3135" w:type="dxa"/>
            <w:gridSpan w:val="5"/>
            <w:shd w:val="clear" w:color="auto" w:fill="D9E2F3"/>
            <w:vAlign w:val="center"/>
          </w:tcPr>
          <w:p w14:paraId="7E2F4866" w14:textId="77777777" w:rsidR="00990B14" w:rsidRDefault="00000000">
            <w:pPr>
              <w:spacing w:before="20" w:after="20"/>
              <w:jc w:val="both"/>
            </w:pPr>
            <w:r>
              <w:rPr>
                <w:sz w:val="18"/>
                <w:szCs w:val="18"/>
              </w:rPr>
              <w:t>2.1 Analiza en equipo un caso de monopsonio en un mercado de factores boliviano.</w:t>
            </w:r>
          </w:p>
        </w:tc>
        <w:tc>
          <w:tcPr>
            <w:tcW w:w="3137" w:type="dxa"/>
            <w:gridSpan w:val="4"/>
            <w:shd w:val="clear" w:color="auto" w:fill="D9E2F3"/>
            <w:vAlign w:val="center"/>
          </w:tcPr>
          <w:p w14:paraId="76F96A49" w14:textId="77777777" w:rsidR="00990B14" w:rsidRDefault="00000000">
            <w:pPr>
              <w:spacing w:before="20" w:after="20"/>
              <w:jc w:val="both"/>
            </w:pPr>
            <w:r>
              <w:rPr>
                <w:b/>
                <w:bCs/>
                <w:sz w:val="18"/>
                <w:szCs w:val="18"/>
              </w:rPr>
              <w:t xml:space="preserve">Producto 15: </w:t>
            </w:r>
            <w:r>
              <w:rPr>
                <w:sz w:val="18"/>
                <w:szCs w:val="18"/>
              </w:rPr>
              <w:t>Informe de análisis del monopsonio en un mercado de factores.</w:t>
            </w:r>
          </w:p>
        </w:tc>
      </w:tr>
      <w:tr w:rsidR="00990B14" w14:paraId="31B9F7C0" w14:textId="77777777">
        <w:trPr>
          <w:cantSplit/>
          <w:jc w:val="center"/>
        </w:trPr>
        <w:tc>
          <w:tcPr>
            <w:tcW w:w="3133" w:type="dxa"/>
            <w:gridSpan w:val="4"/>
            <w:vMerge/>
            <w:shd w:val="clear" w:color="auto" w:fill="D9E2F3"/>
            <w:vAlign w:val="center"/>
          </w:tcPr>
          <w:p w14:paraId="22FB7BAE" w14:textId="77777777" w:rsidR="00990B14" w:rsidRDefault="00990B14">
            <w:pPr>
              <w:spacing w:before="20" w:after="20"/>
            </w:pPr>
          </w:p>
        </w:tc>
        <w:tc>
          <w:tcPr>
            <w:tcW w:w="3135" w:type="dxa"/>
            <w:gridSpan w:val="5"/>
            <w:shd w:val="clear" w:color="auto" w:fill="D9E2F3"/>
            <w:vAlign w:val="center"/>
          </w:tcPr>
          <w:p w14:paraId="24C492B0" w14:textId="77777777" w:rsidR="00990B14" w:rsidRDefault="00000000">
            <w:pPr>
              <w:spacing w:before="20" w:after="20"/>
              <w:jc w:val="both"/>
            </w:pPr>
            <w:r>
              <w:rPr>
                <w:sz w:val="18"/>
                <w:szCs w:val="18"/>
              </w:rPr>
              <w:t>2.2 Explica el efecto de un salario mínimo sobre la demanda de trabajo en un mercado competitivo y en un monopsonio.</w:t>
            </w:r>
          </w:p>
        </w:tc>
        <w:tc>
          <w:tcPr>
            <w:tcW w:w="3137" w:type="dxa"/>
            <w:gridSpan w:val="4"/>
            <w:shd w:val="clear" w:color="auto" w:fill="D9E2F3"/>
            <w:vAlign w:val="center"/>
          </w:tcPr>
          <w:p w14:paraId="243C2090" w14:textId="77777777" w:rsidR="00990B14" w:rsidRDefault="00000000">
            <w:pPr>
              <w:spacing w:before="20" w:after="20"/>
              <w:jc w:val="both"/>
            </w:pPr>
            <w:r>
              <w:rPr>
                <w:b/>
                <w:bCs/>
                <w:sz w:val="18"/>
                <w:szCs w:val="18"/>
              </w:rPr>
              <w:t xml:space="preserve">Producto 16: </w:t>
            </w:r>
            <w:r>
              <w:rPr>
                <w:sz w:val="18"/>
                <w:szCs w:val="18"/>
              </w:rPr>
              <w:t>Esquema gráfico del efecto del salario mínimo en el mercado de trabajo.</w:t>
            </w:r>
          </w:p>
        </w:tc>
      </w:tr>
      <w:tr w:rsidR="00990B14" w14:paraId="4337C730" w14:textId="77777777">
        <w:trPr>
          <w:cantSplit/>
          <w:jc w:val="center"/>
        </w:trPr>
        <w:tc>
          <w:tcPr>
            <w:tcW w:w="9405" w:type="dxa"/>
            <w:gridSpan w:val="13"/>
            <w:shd w:val="clear" w:color="auto" w:fill="4472C4"/>
            <w:vAlign w:val="center"/>
          </w:tcPr>
          <w:p w14:paraId="46624682" w14:textId="77777777" w:rsidR="00990B14" w:rsidRDefault="00000000">
            <w:pPr>
              <w:keepNext/>
              <w:spacing w:before="20" w:after="20"/>
              <w:jc w:val="center"/>
            </w:pPr>
            <w:r>
              <w:rPr>
                <w:b/>
                <w:bCs/>
                <w:i/>
                <w:iCs/>
                <w:color w:val="FFFFFF"/>
                <w:sz w:val="18"/>
                <w:szCs w:val="18"/>
              </w:rPr>
              <w:t>Evidencias de conocimiento</w:t>
            </w:r>
          </w:p>
        </w:tc>
      </w:tr>
      <w:tr w:rsidR="00990B14" w14:paraId="7FC267BE" w14:textId="77777777">
        <w:trPr>
          <w:cantSplit/>
          <w:jc w:val="center"/>
        </w:trPr>
        <w:tc>
          <w:tcPr>
            <w:tcW w:w="2349" w:type="dxa"/>
            <w:gridSpan w:val="2"/>
            <w:shd w:val="clear" w:color="auto" w:fill="4472C4"/>
            <w:vAlign w:val="center"/>
          </w:tcPr>
          <w:p w14:paraId="4DE14DBC"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57700235" w14:textId="77777777" w:rsidR="00990B14" w:rsidRDefault="00000000">
            <w:pPr>
              <w:keepNext/>
              <w:spacing w:before="20" w:after="20"/>
              <w:jc w:val="both"/>
            </w:pPr>
            <w:r>
              <w:rPr>
                <w:b/>
                <w:bCs/>
                <w:i/>
                <w:iCs/>
                <w:color w:val="FFFFFF"/>
                <w:sz w:val="18"/>
                <w:szCs w:val="18"/>
              </w:rPr>
              <w:t>Contenidos</w:t>
            </w:r>
          </w:p>
          <w:p w14:paraId="7F118E15"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5F84ABDF" w14:textId="77777777" w:rsidR="00990B14" w:rsidRDefault="00000000">
            <w:pPr>
              <w:keepNext/>
              <w:spacing w:before="20" w:after="20"/>
              <w:jc w:val="center"/>
            </w:pPr>
            <w:r>
              <w:rPr>
                <w:b/>
                <w:bCs/>
                <w:i/>
                <w:iCs/>
                <w:color w:val="FFFFFF"/>
                <w:sz w:val="18"/>
                <w:szCs w:val="18"/>
              </w:rPr>
              <w:t>Conocimientos circunstanciales</w:t>
            </w:r>
          </w:p>
        </w:tc>
      </w:tr>
      <w:tr w:rsidR="00990B14" w14:paraId="63E80CB4" w14:textId="77777777">
        <w:trPr>
          <w:jc w:val="center"/>
        </w:trPr>
        <w:tc>
          <w:tcPr>
            <w:tcW w:w="2349" w:type="dxa"/>
            <w:gridSpan w:val="2"/>
            <w:shd w:val="clear" w:color="auto" w:fill="D9E2F3"/>
          </w:tcPr>
          <w:p w14:paraId="6012ED24" w14:textId="77777777" w:rsidR="00990B14" w:rsidRDefault="00000000">
            <w:pPr>
              <w:spacing w:before="20" w:after="40"/>
              <w:jc w:val="both"/>
            </w:pPr>
            <w:r>
              <w:rPr>
                <w:sz w:val="18"/>
                <w:szCs w:val="18"/>
              </w:rPr>
              <w:t>Tema 11: Demanda de Factores de Producción en Mercados de Competencia Perfecta de los Factores</w:t>
            </w:r>
          </w:p>
          <w:p w14:paraId="51206780" w14:textId="77777777" w:rsidR="00990B14" w:rsidRDefault="00000000">
            <w:pPr>
              <w:spacing w:before="20" w:after="40"/>
              <w:jc w:val="both"/>
            </w:pPr>
            <w:r>
              <w:rPr>
                <w:sz w:val="18"/>
                <w:szCs w:val="18"/>
              </w:rPr>
              <w:t>Tema 12: Demanda de Factores en Mercados de Competencia Imperfecta de los Factores</w:t>
            </w:r>
          </w:p>
        </w:tc>
        <w:tc>
          <w:tcPr>
            <w:tcW w:w="4304" w:type="dxa"/>
            <w:gridSpan w:val="8"/>
            <w:shd w:val="clear" w:color="auto" w:fill="D9E2F3"/>
          </w:tcPr>
          <w:p w14:paraId="632F8924" w14:textId="77777777" w:rsidR="00990B14" w:rsidRDefault="00000000">
            <w:pPr>
              <w:spacing w:after="40"/>
              <w:jc w:val="both"/>
            </w:pPr>
            <w:r>
              <w:rPr>
                <w:sz w:val="18"/>
                <w:szCs w:val="18"/>
              </w:rPr>
              <w:t>Consideraciones generales sobre los mercados de los factores de producción. (C)</w:t>
            </w:r>
          </w:p>
          <w:p w14:paraId="31AD1CA5" w14:textId="77777777" w:rsidR="00990B14" w:rsidRDefault="00000000">
            <w:pPr>
              <w:spacing w:after="40"/>
              <w:jc w:val="both"/>
            </w:pPr>
            <w:r>
              <w:rPr>
                <w:sz w:val="18"/>
                <w:szCs w:val="18"/>
              </w:rPr>
              <w:t>Competencia perfecta en los mercados de bienes y de los factores. (C)</w:t>
            </w:r>
          </w:p>
          <w:p w14:paraId="5930B55D" w14:textId="77777777" w:rsidR="00990B14" w:rsidRDefault="00000000">
            <w:pPr>
              <w:spacing w:after="40"/>
              <w:jc w:val="both"/>
            </w:pPr>
            <w:r>
              <w:rPr>
                <w:sz w:val="18"/>
                <w:szCs w:val="18"/>
              </w:rPr>
              <w:t>Competencia perfecta en los mercados de bienes e imperfecta en los mercados de productos. (C)</w:t>
            </w:r>
          </w:p>
          <w:p w14:paraId="3CAA9F4E" w14:textId="77777777" w:rsidR="00990B14" w:rsidRDefault="00000000">
            <w:pPr>
              <w:spacing w:after="40"/>
              <w:jc w:val="both"/>
            </w:pPr>
            <w:r>
              <w:rPr>
                <w:sz w:val="18"/>
                <w:szCs w:val="18"/>
              </w:rPr>
              <w:t>Significado de monopsonio. (C)</w:t>
            </w:r>
          </w:p>
          <w:p w14:paraId="78AE4A1A" w14:textId="77777777" w:rsidR="00990B14" w:rsidRDefault="00000000">
            <w:pPr>
              <w:spacing w:after="40"/>
              <w:jc w:val="both"/>
            </w:pPr>
            <w:r>
              <w:rPr>
                <w:sz w:val="18"/>
                <w:szCs w:val="18"/>
              </w:rPr>
              <w:t>Demanda de factores por empresas competidoras perfectas en el mercado de bienes. (C)</w:t>
            </w:r>
          </w:p>
          <w:p w14:paraId="515DAE52" w14:textId="77777777" w:rsidR="00990B14" w:rsidRDefault="00000000">
            <w:pPr>
              <w:spacing w:after="40"/>
              <w:jc w:val="both"/>
            </w:pPr>
            <w:r>
              <w:rPr>
                <w:sz w:val="18"/>
                <w:szCs w:val="18"/>
              </w:rPr>
              <w:t>Demanda de factores por empresas competidoras imperfectas en el mercado de bienes. (C)</w:t>
            </w:r>
          </w:p>
          <w:p w14:paraId="11F568C4" w14:textId="77777777" w:rsidR="00990B14" w:rsidRDefault="00000000">
            <w:pPr>
              <w:spacing w:after="40"/>
              <w:jc w:val="both"/>
            </w:pPr>
            <w:r>
              <w:rPr>
                <w:sz w:val="18"/>
                <w:szCs w:val="18"/>
              </w:rPr>
              <w:t>Salario mínimo y demanda de trabajo en un mercado de factores competitivo y en un monopsonio. (C)</w:t>
            </w:r>
          </w:p>
        </w:tc>
        <w:tc>
          <w:tcPr>
            <w:tcW w:w="2752" w:type="dxa"/>
            <w:gridSpan w:val="3"/>
            <w:shd w:val="clear" w:color="auto" w:fill="D9E2F3"/>
          </w:tcPr>
          <w:p w14:paraId="0EC0ED0A" w14:textId="77777777" w:rsidR="00990B14" w:rsidRDefault="00000000">
            <w:pPr>
              <w:numPr>
                <w:ilvl w:val="0"/>
                <w:numId w:val="139"/>
              </w:numPr>
              <w:spacing w:before="10" w:after="10"/>
              <w:jc w:val="both"/>
            </w:pPr>
            <w:r>
              <w:rPr>
                <w:sz w:val="18"/>
                <w:szCs w:val="18"/>
              </w:rPr>
              <w:t>Nociones del mercado laboral boliviano y de la informalidad del empleo.</w:t>
            </w:r>
          </w:p>
          <w:p w14:paraId="1A525733" w14:textId="77777777" w:rsidR="00990B14" w:rsidRDefault="00000000">
            <w:pPr>
              <w:numPr>
                <w:ilvl w:val="0"/>
                <w:numId w:val="139"/>
              </w:numPr>
              <w:spacing w:before="10" w:after="10"/>
              <w:jc w:val="both"/>
            </w:pPr>
            <w:r>
              <w:rPr>
                <w:sz w:val="18"/>
                <w:szCs w:val="18"/>
              </w:rPr>
              <w:t>Nociones de las cadenas productivas agroindustriales y de su relación con los productores primarios.</w:t>
            </w:r>
          </w:p>
        </w:tc>
      </w:tr>
    </w:tbl>
    <w:p w14:paraId="583C32AD"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633"/>
        <w:gridCol w:w="1633"/>
        <w:gridCol w:w="1833"/>
        <w:gridCol w:w="1766"/>
        <w:gridCol w:w="2540"/>
      </w:tblGrid>
      <w:tr w:rsidR="00990B14" w14:paraId="40A0382B" w14:textId="77777777">
        <w:trPr>
          <w:cantSplit/>
          <w:jc w:val="center"/>
        </w:trPr>
        <w:tc>
          <w:tcPr>
            <w:tcW w:w="9405" w:type="dxa"/>
            <w:gridSpan w:val="5"/>
            <w:shd w:val="clear" w:color="auto" w:fill="4472C4"/>
            <w:vAlign w:val="center"/>
          </w:tcPr>
          <w:p w14:paraId="1870F629" w14:textId="77777777" w:rsidR="00990B14" w:rsidRDefault="00000000">
            <w:pPr>
              <w:keepNext/>
              <w:spacing w:before="20" w:after="20"/>
              <w:jc w:val="center"/>
            </w:pPr>
            <w:r>
              <w:rPr>
                <w:b/>
                <w:bCs/>
                <w:i/>
                <w:iCs/>
                <w:color w:val="FFFFFF"/>
                <w:sz w:val="18"/>
                <w:szCs w:val="18"/>
              </w:rPr>
              <w:t>Actividades</w:t>
            </w:r>
          </w:p>
        </w:tc>
      </w:tr>
      <w:tr w:rsidR="00990B14" w14:paraId="24F28B3B" w14:textId="77777777">
        <w:trPr>
          <w:cantSplit/>
          <w:jc w:val="center"/>
        </w:trPr>
        <w:tc>
          <w:tcPr>
            <w:tcW w:w="1633" w:type="dxa"/>
            <w:shd w:val="clear" w:color="auto" w:fill="4472C4"/>
            <w:vAlign w:val="center"/>
          </w:tcPr>
          <w:p w14:paraId="5D97A914" w14:textId="77777777" w:rsidR="00990B14" w:rsidRDefault="00000000">
            <w:pPr>
              <w:keepNext/>
              <w:spacing w:before="20" w:after="20"/>
              <w:jc w:val="center"/>
            </w:pPr>
            <w:r>
              <w:rPr>
                <w:b/>
                <w:bCs/>
                <w:i/>
                <w:iCs/>
                <w:color w:val="FFFFFF"/>
                <w:sz w:val="18"/>
                <w:szCs w:val="18"/>
              </w:rPr>
              <w:t>En clase</w:t>
            </w:r>
          </w:p>
        </w:tc>
        <w:tc>
          <w:tcPr>
            <w:tcW w:w="1633" w:type="dxa"/>
            <w:shd w:val="clear" w:color="auto" w:fill="4472C4"/>
            <w:vAlign w:val="center"/>
          </w:tcPr>
          <w:p w14:paraId="1E3E4DD8" w14:textId="77777777" w:rsidR="00990B14" w:rsidRDefault="00000000">
            <w:pPr>
              <w:keepNext/>
              <w:spacing w:before="20" w:after="20"/>
              <w:jc w:val="center"/>
            </w:pPr>
            <w:r>
              <w:rPr>
                <w:b/>
                <w:bCs/>
                <w:i/>
                <w:iCs/>
                <w:color w:val="FFFFFF"/>
                <w:sz w:val="18"/>
                <w:szCs w:val="18"/>
              </w:rPr>
              <w:t>Autónomas</w:t>
            </w:r>
          </w:p>
        </w:tc>
        <w:tc>
          <w:tcPr>
            <w:tcW w:w="1833" w:type="dxa"/>
            <w:shd w:val="clear" w:color="auto" w:fill="4472C4"/>
            <w:vAlign w:val="center"/>
          </w:tcPr>
          <w:p w14:paraId="573D0852" w14:textId="77777777" w:rsidR="00990B14" w:rsidRDefault="00000000">
            <w:pPr>
              <w:keepNext/>
              <w:spacing w:before="20" w:after="20"/>
              <w:jc w:val="center"/>
            </w:pPr>
            <w:r>
              <w:rPr>
                <w:b/>
                <w:bCs/>
                <w:i/>
                <w:iCs/>
                <w:color w:val="FFFFFF"/>
                <w:sz w:val="18"/>
                <w:szCs w:val="18"/>
              </w:rPr>
              <w:t>B-Learning</w:t>
            </w:r>
          </w:p>
        </w:tc>
        <w:tc>
          <w:tcPr>
            <w:tcW w:w="1766" w:type="dxa"/>
            <w:shd w:val="clear" w:color="auto" w:fill="4472C4"/>
            <w:vAlign w:val="center"/>
          </w:tcPr>
          <w:p w14:paraId="5B751C1C" w14:textId="77777777" w:rsidR="00990B14" w:rsidRDefault="00000000">
            <w:pPr>
              <w:keepNext/>
              <w:spacing w:before="20" w:after="20"/>
              <w:jc w:val="center"/>
            </w:pPr>
            <w:r>
              <w:rPr>
                <w:b/>
                <w:bCs/>
                <w:i/>
                <w:iCs/>
                <w:color w:val="FFFFFF"/>
                <w:sz w:val="18"/>
                <w:szCs w:val="18"/>
              </w:rPr>
              <w:t>Taller</w:t>
            </w:r>
          </w:p>
        </w:tc>
        <w:tc>
          <w:tcPr>
            <w:tcW w:w="2540" w:type="dxa"/>
            <w:shd w:val="clear" w:color="auto" w:fill="4472C4"/>
            <w:vAlign w:val="center"/>
          </w:tcPr>
          <w:p w14:paraId="36C454B6" w14:textId="77777777" w:rsidR="00990B14" w:rsidRDefault="00000000">
            <w:pPr>
              <w:keepNext/>
              <w:spacing w:before="20" w:after="20"/>
              <w:jc w:val="center"/>
            </w:pPr>
            <w:r>
              <w:rPr>
                <w:b/>
                <w:bCs/>
                <w:i/>
                <w:iCs/>
                <w:color w:val="FFFFFF"/>
                <w:sz w:val="18"/>
                <w:szCs w:val="18"/>
              </w:rPr>
              <w:t>Investigación/Práctica</w:t>
            </w:r>
          </w:p>
        </w:tc>
      </w:tr>
      <w:tr w:rsidR="00990B14" w14:paraId="009E2FB1" w14:textId="77777777">
        <w:trPr>
          <w:jc w:val="center"/>
        </w:trPr>
        <w:tc>
          <w:tcPr>
            <w:tcW w:w="1633" w:type="dxa"/>
            <w:shd w:val="clear" w:color="auto" w:fill="D9E2F3"/>
          </w:tcPr>
          <w:p w14:paraId="07D42A5B" w14:textId="77777777" w:rsidR="00990B14" w:rsidRDefault="00000000">
            <w:pPr>
              <w:numPr>
                <w:ilvl w:val="0"/>
                <w:numId w:val="139"/>
              </w:numPr>
              <w:spacing w:before="10" w:after="10"/>
              <w:jc w:val="both"/>
            </w:pPr>
            <w:r>
              <w:rPr>
                <w:sz w:val="18"/>
                <w:szCs w:val="18"/>
              </w:rPr>
              <w:t>Exposición dialogada del objeto de la ciencia económica y del circuito económico.</w:t>
            </w:r>
          </w:p>
          <w:p w14:paraId="7169A951" w14:textId="77777777" w:rsidR="00990B14" w:rsidRDefault="00000000">
            <w:pPr>
              <w:numPr>
                <w:ilvl w:val="0"/>
                <w:numId w:val="139"/>
              </w:numPr>
              <w:spacing w:before="10" w:after="10"/>
              <w:jc w:val="both"/>
            </w:pPr>
            <w:r>
              <w:rPr>
                <w:sz w:val="18"/>
                <w:szCs w:val="18"/>
              </w:rPr>
              <w:t>Resolución guiada de ejercicios de oferta, demanda, elasticidad y equilibrio del consumidor.</w:t>
            </w:r>
          </w:p>
          <w:p w14:paraId="7D917478" w14:textId="77777777" w:rsidR="00990B14" w:rsidRDefault="00000000">
            <w:pPr>
              <w:numPr>
                <w:ilvl w:val="0"/>
                <w:numId w:val="139"/>
              </w:numPr>
              <w:spacing w:before="10" w:after="10"/>
              <w:jc w:val="both"/>
            </w:pPr>
            <w:r>
              <w:rPr>
                <w:sz w:val="18"/>
                <w:szCs w:val="18"/>
              </w:rPr>
              <w:t>Demostración gráfica en la pizarra de la deducción de curvas de demanda, de costos y de oferta.</w:t>
            </w:r>
          </w:p>
          <w:p w14:paraId="502E1D19" w14:textId="77777777" w:rsidR="00990B14" w:rsidRDefault="00000000">
            <w:pPr>
              <w:numPr>
                <w:ilvl w:val="0"/>
                <w:numId w:val="139"/>
              </w:numPr>
              <w:spacing w:before="10" w:after="10"/>
              <w:jc w:val="both"/>
            </w:pPr>
            <w:r>
              <w:rPr>
                <w:sz w:val="18"/>
                <w:szCs w:val="18"/>
              </w:rPr>
              <w:t>Análisis de casos de estructuras de mercado y de mercados de factores en Bolivia.</w:t>
            </w:r>
          </w:p>
          <w:p w14:paraId="141F2B84" w14:textId="77777777" w:rsidR="00990B14" w:rsidRDefault="00000000">
            <w:pPr>
              <w:numPr>
                <w:ilvl w:val="0"/>
                <w:numId w:val="139"/>
              </w:numPr>
              <w:spacing w:before="10" w:after="10"/>
              <w:jc w:val="both"/>
            </w:pPr>
            <w:r>
              <w:rPr>
                <w:sz w:val="18"/>
                <w:szCs w:val="18"/>
              </w:rPr>
              <w:t>Preguntas de comprensión sobre teoría de juegos e información asimétrica al cierre de cada tema.</w:t>
            </w:r>
          </w:p>
        </w:tc>
        <w:tc>
          <w:tcPr>
            <w:tcW w:w="1633" w:type="dxa"/>
            <w:shd w:val="clear" w:color="auto" w:fill="D9E2F3"/>
          </w:tcPr>
          <w:p w14:paraId="0AD51BDB" w14:textId="77777777" w:rsidR="00990B14" w:rsidRDefault="00000000">
            <w:pPr>
              <w:numPr>
                <w:ilvl w:val="0"/>
                <w:numId w:val="139"/>
              </w:numPr>
              <w:spacing w:before="10" w:after="10"/>
              <w:jc w:val="both"/>
            </w:pPr>
            <w:r>
              <w:rPr>
                <w:sz w:val="18"/>
                <w:szCs w:val="18"/>
              </w:rPr>
              <w:t>Resolución de ejercicios de oferta, demanda, elasticidad y equilibrio al cierre de cada tema.</w:t>
            </w:r>
          </w:p>
          <w:p w14:paraId="2C9A5D2D" w14:textId="77777777" w:rsidR="00990B14" w:rsidRDefault="00000000">
            <w:pPr>
              <w:numPr>
                <w:ilvl w:val="0"/>
                <w:numId w:val="139"/>
              </w:numPr>
              <w:spacing w:before="10" w:after="10"/>
              <w:jc w:val="both"/>
            </w:pPr>
            <w:r>
              <w:rPr>
                <w:sz w:val="18"/>
                <w:szCs w:val="18"/>
              </w:rPr>
              <w:t>Lectura de casos de estructuras de mercado de empresas bolivianas.</w:t>
            </w:r>
          </w:p>
          <w:p w14:paraId="38F55F2A" w14:textId="77777777" w:rsidR="00990B14" w:rsidRDefault="00000000">
            <w:pPr>
              <w:numPr>
                <w:ilvl w:val="0"/>
                <w:numId w:val="139"/>
              </w:numPr>
              <w:spacing w:before="10" w:after="10"/>
              <w:jc w:val="both"/>
            </w:pPr>
            <w:r>
              <w:rPr>
                <w:sz w:val="18"/>
                <w:szCs w:val="18"/>
              </w:rPr>
              <w:t>Elaboración progresiva de un análisis integrador de un mercado real boliviano.</w:t>
            </w:r>
          </w:p>
          <w:p w14:paraId="3850A39A" w14:textId="77777777" w:rsidR="00990B14" w:rsidRDefault="00000000">
            <w:pPr>
              <w:numPr>
                <w:ilvl w:val="0"/>
                <w:numId w:val="139"/>
              </w:numPr>
              <w:spacing w:before="10" w:after="10"/>
              <w:jc w:val="both"/>
            </w:pPr>
            <w:r>
              <w:rPr>
                <w:sz w:val="18"/>
                <w:szCs w:val="18"/>
              </w:rPr>
              <w:t>Resolución de matrices de pagos y árboles de decisión de casos de competencia, auditoría y cumplimiento tributario.</w:t>
            </w:r>
          </w:p>
        </w:tc>
        <w:tc>
          <w:tcPr>
            <w:tcW w:w="1833" w:type="dxa"/>
            <w:shd w:val="clear" w:color="auto" w:fill="D9E2F3"/>
          </w:tcPr>
          <w:p w14:paraId="08A12084" w14:textId="77777777" w:rsidR="00990B14" w:rsidRDefault="00000000">
            <w:pPr>
              <w:numPr>
                <w:ilvl w:val="0"/>
                <w:numId w:val="139"/>
              </w:numPr>
              <w:spacing w:before="10" w:after="10"/>
              <w:jc w:val="both"/>
            </w:pPr>
            <w:r>
              <w:rPr>
                <w:sz w:val="18"/>
                <w:szCs w:val="18"/>
              </w:rPr>
              <w:t>Cuestionarios de comprensión sobre teoría del consumidor y teoría de la empresa en la plataforma Moodle UMSA.</w:t>
            </w:r>
          </w:p>
          <w:p w14:paraId="28692C11" w14:textId="77777777" w:rsidR="00990B14" w:rsidRDefault="00000000">
            <w:pPr>
              <w:numPr>
                <w:ilvl w:val="0"/>
                <w:numId w:val="139"/>
              </w:numPr>
              <w:spacing w:before="10" w:after="10"/>
              <w:jc w:val="both"/>
            </w:pPr>
            <w:r>
              <w:rPr>
                <w:sz w:val="18"/>
                <w:szCs w:val="18"/>
              </w:rPr>
              <w:t>Foros de consulta sobre estructuras de mercado y elasticidad.</w:t>
            </w:r>
          </w:p>
          <w:p w14:paraId="65CC3FEC" w14:textId="77777777" w:rsidR="00990B14" w:rsidRDefault="00000000">
            <w:pPr>
              <w:numPr>
                <w:ilvl w:val="0"/>
                <w:numId w:val="139"/>
              </w:numPr>
              <w:spacing w:before="10" w:after="10"/>
              <w:jc w:val="both"/>
            </w:pPr>
            <w:r>
              <w:rPr>
                <w:sz w:val="18"/>
                <w:szCs w:val="18"/>
              </w:rPr>
              <w:t>Videotutoriales de deducción gráfica de curvas de demanda y de oferta.</w:t>
            </w:r>
          </w:p>
          <w:p w14:paraId="67BD1FF7" w14:textId="77777777" w:rsidR="00990B14" w:rsidRDefault="00000000">
            <w:pPr>
              <w:numPr>
                <w:ilvl w:val="0"/>
                <w:numId w:val="139"/>
              </w:numPr>
              <w:spacing w:before="10" w:after="10"/>
              <w:jc w:val="both"/>
            </w:pPr>
            <w:r>
              <w:rPr>
                <w:sz w:val="18"/>
                <w:szCs w:val="18"/>
              </w:rPr>
              <w:t>Simulador de juegos estratégicos (dilema del prisionero y juego de inspección) en la plataforma Moodle UMSA.</w:t>
            </w:r>
          </w:p>
        </w:tc>
        <w:tc>
          <w:tcPr>
            <w:tcW w:w="1766" w:type="dxa"/>
            <w:shd w:val="clear" w:color="auto" w:fill="D9E2F3"/>
          </w:tcPr>
          <w:p w14:paraId="5D8041C3" w14:textId="77777777" w:rsidR="00990B14" w:rsidRDefault="00000000">
            <w:pPr>
              <w:numPr>
                <w:ilvl w:val="0"/>
                <w:numId w:val="139"/>
              </w:numPr>
              <w:spacing w:before="10" w:after="10"/>
              <w:jc w:val="both"/>
            </w:pPr>
            <w:r>
              <w:rPr>
                <w:sz w:val="18"/>
                <w:szCs w:val="18"/>
              </w:rPr>
              <w:t>Resolución colaborativa de problemas de equilibrio del consumidor y de la empresa.</w:t>
            </w:r>
          </w:p>
          <w:p w14:paraId="1C67B96C" w14:textId="77777777" w:rsidR="00990B14" w:rsidRDefault="00000000">
            <w:pPr>
              <w:numPr>
                <w:ilvl w:val="0"/>
                <w:numId w:val="139"/>
              </w:numPr>
              <w:spacing w:before="10" w:after="10"/>
              <w:jc w:val="both"/>
            </w:pPr>
            <w:r>
              <w:rPr>
                <w:sz w:val="18"/>
                <w:szCs w:val="18"/>
              </w:rPr>
              <w:t>Debate sobre la estructura de mercado de un sector económico boliviano real.</w:t>
            </w:r>
          </w:p>
          <w:p w14:paraId="52412712" w14:textId="77777777" w:rsidR="00990B14" w:rsidRDefault="00000000">
            <w:pPr>
              <w:numPr>
                <w:ilvl w:val="0"/>
                <w:numId w:val="139"/>
              </w:numPr>
              <w:spacing w:before="10" w:after="10"/>
              <w:jc w:val="both"/>
            </w:pPr>
            <w:r>
              <w:rPr>
                <w:sz w:val="18"/>
                <w:szCs w:val="18"/>
              </w:rPr>
              <w:t>Elaboración guiada de un modelo de oferta y demanda en hoja de cálculo, con datos del INE de un mercado boliviano.</w:t>
            </w:r>
          </w:p>
          <w:p w14:paraId="2884B847" w14:textId="77777777" w:rsidR="00990B14" w:rsidRDefault="00000000">
            <w:pPr>
              <w:numPr>
                <w:ilvl w:val="0"/>
                <w:numId w:val="139"/>
              </w:numPr>
              <w:spacing w:before="10" w:after="10"/>
              <w:jc w:val="both"/>
            </w:pPr>
            <w:r>
              <w:rPr>
                <w:sz w:val="18"/>
                <w:szCs w:val="18"/>
              </w:rPr>
              <w:t>Simulación del juego de inspección entre auditor y auditado, y entre la administración tributaria y el contribuyente.</w:t>
            </w:r>
          </w:p>
        </w:tc>
        <w:tc>
          <w:tcPr>
            <w:tcW w:w="2540" w:type="dxa"/>
            <w:shd w:val="clear" w:color="auto" w:fill="D9E2F3"/>
          </w:tcPr>
          <w:p w14:paraId="069E545D" w14:textId="77777777" w:rsidR="00990B14" w:rsidRDefault="00000000">
            <w:pPr>
              <w:numPr>
                <w:ilvl w:val="0"/>
                <w:numId w:val="139"/>
              </w:numPr>
              <w:spacing w:before="10" w:after="10"/>
              <w:jc w:val="both"/>
            </w:pPr>
            <w:r>
              <w:rPr>
                <w:sz w:val="18"/>
                <w:szCs w:val="18"/>
              </w:rPr>
              <w:t>Investigación sobre la elasticidad de la demanda de un bien de consumo boliviano.</w:t>
            </w:r>
          </w:p>
          <w:p w14:paraId="03171BBA" w14:textId="77777777" w:rsidR="00990B14" w:rsidRDefault="00000000">
            <w:pPr>
              <w:numPr>
                <w:ilvl w:val="0"/>
                <w:numId w:val="139"/>
              </w:numPr>
              <w:spacing w:before="10" w:after="10"/>
              <w:jc w:val="both"/>
            </w:pPr>
            <w:r>
              <w:rPr>
                <w:sz w:val="18"/>
                <w:szCs w:val="18"/>
              </w:rPr>
              <w:t>Análisis de la estructura de mercado de un sector productivo de Bolivia y de las conductas de sus empresas frente a la competencia.</w:t>
            </w:r>
          </w:p>
          <w:p w14:paraId="288F5AEE" w14:textId="77777777" w:rsidR="00990B14" w:rsidRDefault="00000000">
            <w:pPr>
              <w:numPr>
                <w:ilvl w:val="0"/>
                <w:numId w:val="139"/>
              </w:numPr>
              <w:spacing w:before="10" w:after="10"/>
              <w:jc w:val="both"/>
            </w:pPr>
            <w:r>
              <w:rPr>
                <w:sz w:val="18"/>
                <w:szCs w:val="18"/>
              </w:rPr>
              <w:t>Comparación de la producción de equilibrio de una empresa en distintas estructuras de mercado.</w:t>
            </w:r>
          </w:p>
          <w:p w14:paraId="1EA02452" w14:textId="77777777" w:rsidR="00990B14" w:rsidRDefault="00000000">
            <w:pPr>
              <w:numPr>
                <w:ilvl w:val="0"/>
                <w:numId w:val="139"/>
              </w:numPr>
              <w:spacing w:before="10" w:after="10"/>
              <w:jc w:val="both"/>
            </w:pPr>
            <w:r>
              <w:rPr>
                <w:sz w:val="18"/>
                <w:szCs w:val="18"/>
              </w:rPr>
              <w:t>Análisis de un caso real de fraude o de conflicto principal-agente en una empresa, y propuesta de controles e incentivos.</w:t>
            </w:r>
          </w:p>
        </w:tc>
      </w:tr>
    </w:tbl>
    <w:p w14:paraId="4F983ADE"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772"/>
        <w:gridCol w:w="1854"/>
        <w:gridCol w:w="2015"/>
        <w:gridCol w:w="1854"/>
        <w:gridCol w:w="1910"/>
      </w:tblGrid>
      <w:tr w:rsidR="00990B14" w14:paraId="0B1C5D2A" w14:textId="77777777">
        <w:trPr>
          <w:jc w:val="center"/>
        </w:trPr>
        <w:tc>
          <w:tcPr>
            <w:tcW w:w="1772" w:type="dxa"/>
            <w:shd w:val="clear" w:color="auto" w:fill="4472C4"/>
            <w:vAlign w:val="center"/>
          </w:tcPr>
          <w:p w14:paraId="1E173EE1" w14:textId="77777777" w:rsidR="00990B14" w:rsidRDefault="00000000">
            <w:pPr>
              <w:spacing w:before="20" w:after="20"/>
              <w:jc w:val="center"/>
            </w:pPr>
            <w:r>
              <w:rPr>
                <w:b/>
                <w:bCs/>
                <w:i/>
                <w:iCs/>
                <w:color w:val="FFFFFF"/>
                <w:sz w:val="18"/>
                <w:szCs w:val="18"/>
              </w:rPr>
              <w:t>Estrategias de aprendizaje y enseñanza</w:t>
            </w:r>
          </w:p>
        </w:tc>
        <w:tc>
          <w:tcPr>
            <w:tcW w:w="7633" w:type="dxa"/>
            <w:gridSpan w:val="4"/>
            <w:shd w:val="clear" w:color="auto" w:fill="D9E2F3"/>
            <w:vAlign w:val="center"/>
          </w:tcPr>
          <w:p w14:paraId="7CD3EFB6" w14:textId="77777777" w:rsidR="00990B14" w:rsidRDefault="00000000">
            <w:pPr>
              <w:numPr>
                <w:ilvl w:val="0"/>
                <w:numId w:val="140"/>
              </w:numPr>
              <w:spacing w:before="10" w:after="10"/>
              <w:jc w:val="both"/>
            </w:pPr>
            <w:r>
              <w:rPr>
                <w:sz w:val="18"/>
                <w:szCs w:val="18"/>
              </w:rPr>
              <w:t>Aprendizaje basado en problemas con mercados y empresas bolivianas reales.</w:t>
            </w:r>
          </w:p>
          <w:p w14:paraId="69A01F3D" w14:textId="77777777" w:rsidR="00990B14" w:rsidRDefault="00000000">
            <w:pPr>
              <w:numPr>
                <w:ilvl w:val="0"/>
                <w:numId w:val="140"/>
              </w:numPr>
              <w:spacing w:before="10" w:after="10"/>
              <w:jc w:val="both"/>
            </w:pPr>
            <w:r>
              <w:rPr>
                <w:sz w:val="18"/>
                <w:szCs w:val="18"/>
              </w:rPr>
              <w:t>Resolución guiada de ejercicios en orden de dificultad creciente, de la oferta y la demanda a las estructuras de mercado.</w:t>
            </w:r>
          </w:p>
          <w:p w14:paraId="3EDB4665" w14:textId="77777777" w:rsidR="00990B14" w:rsidRDefault="00000000">
            <w:pPr>
              <w:numPr>
                <w:ilvl w:val="0"/>
                <w:numId w:val="140"/>
              </w:numPr>
              <w:spacing w:before="10" w:after="10"/>
              <w:jc w:val="both"/>
            </w:pPr>
            <w:r>
              <w:rPr>
                <w:sz w:val="18"/>
                <w:szCs w:val="18"/>
              </w:rPr>
              <w:t>Proyecto integrador que recorre la teoría del consumidor, de la empresa, del mercado de factores y de la interacción estratégica de los agentes económicos.</w:t>
            </w:r>
          </w:p>
          <w:p w14:paraId="7D28655B" w14:textId="77777777" w:rsidR="00990B14" w:rsidRDefault="00000000">
            <w:pPr>
              <w:numPr>
                <w:ilvl w:val="0"/>
                <w:numId w:val="140"/>
              </w:numPr>
              <w:spacing w:before="10" w:after="10"/>
              <w:jc w:val="both"/>
            </w:pPr>
            <w:r>
              <w:rPr>
                <w:sz w:val="18"/>
                <w:szCs w:val="18"/>
              </w:rPr>
              <w:t>Estudio de casos de estructuras de mercado de competencia perfecta, monopolio, competencia monopólica y oligopolio.</w:t>
            </w:r>
          </w:p>
          <w:p w14:paraId="11C55E01" w14:textId="77777777" w:rsidR="00990B14" w:rsidRDefault="00000000">
            <w:pPr>
              <w:numPr>
                <w:ilvl w:val="0"/>
                <w:numId w:val="140"/>
              </w:numPr>
              <w:spacing w:before="10" w:after="10"/>
              <w:jc w:val="both"/>
            </w:pPr>
            <w:r>
              <w:rPr>
                <w:sz w:val="18"/>
                <w:szCs w:val="18"/>
              </w:rPr>
              <w:t>Trabajo colaborativo en equipos para el análisis gráfico de mercados.</w:t>
            </w:r>
          </w:p>
          <w:p w14:paraId="5BB40F46" w14:textId="77777777" w:rsidR="00990B14" w:rsidRDefault="00000000">
            <w:pPr>
              <w:numPr>
                <w:ilvl w:val="0"/>
                <w:numId w:val="140"/>
              </w:numPr>
              <w:spacing w:before="10" w:after="10"/>
              <w:jc w:val="both"/>
            </w:pPr>
            <w:r>
              <w:rPr>
                <w:sz w:val="18"/>
                <w:szCs w:val="18"/>
              </w:rPr>
              <w:t>Clase invertida para los contenidos conceptuales de la teoría económica.</w:t>
            </w:r>
          </w:p>
          <w:p w14:paraId="25BAD223" w14:textId="77777777" w:rsidR="00990B14" w:rsidRDefault="00000000">
            <w:pPr>
              <w:numPr>
                <w:ilvl w:val="0"/>
                <w:numId w:val="140"/>
              </w:numPr>
              <w:spacing w:before="10" w:after="10"/>
              <w:jc w:val="both"/>
            </w:pPr>
            <w:r>
              <w:rPr>
                <w:sz w:val="18"/>
                <w:szCs w:val="18"/>
              </w:rPr>
              <w:t>Simulaciones y juegos de rol sobre la interacción estratégica entre empresas, auditores, reguladores y empleados, aplicados al control interno y a la tributación.</w:t>
            </w:r>
          </w:p>
        </w:tc>
      </w:tr>
      <w:tr w:rsidR="00990B14" w14:paraId="7949EE48" w14:textId="77777777">
        <w:trPr>
          <w:jc w:val="center"/>
        </w:trPr>
        <w:tc>
          <w:tcPr>
            <w:tcW w:w="1772" w:type="dxa"/>
            <w:shd w:val="clear" w:color="auto" w:fill="4472C4"/>
            <w:vAlign w:val="center"/>
          </w:tcPr>
          <w:p w14:paraId="5A2EBC91" w14:textId="77777777" w:rsidR="00990B14" w:rsidRDefault="00000000">
            <w:pPr>
              <w:spacing w:before="20" w:after="20"/>
              <w:jc w:val="center"/>
            </w:pPr>
            <w:r>
              <w:rPr>
                <w:b/>
                <w:bCs/>
                <w:i/>
                <w:iCs/>
                <w:color w:val="FFFFFF"/>
                <w:sz w:val="18"/>
                <w:szCs w:val="18"/>
              </w:rPr>
              <w:t>Recursos para el aprendizaje</w:t>
            </w:r>
          </w:p>
        </w:tc>
        <w:tc>
          <w:tcPr>
            <w:tcW w:w="7633" w:type="dxa"/>
            <w:gridSpan w:val="4"/>
            <w:shd w:val="clear" w:color="auto" w:fill="D9E2F3"/>
            <w:vAlign w:val="center"/>
          </w:tcPr>
          <w:p w14:paraId="4E04FC3D" w14:textId="77777777" w:rsidR="00990B14" w:rsidRDefault="00000000">
            <w:pPr>
              <w:numPr>
                <w:ilvl w:val="0"/>
                <w:numId w:val="140"/>
              </w:numPr>
              <w:spacing w:before="10" w:after="10"/>
              <w:jc w:val="both"/>
            </w:pPr>
            <w:r>
              <w:rPr>
                <w:sz w:val="18"/>
                <w:szCs w:val="18"/>
              </w:rPr>
              <w:t>Plataforma Moodle UMSA.</w:t>
            </w:r>
          </w:p>
          <w:p w14:paraId="304D89C7" w14:textId="77777777" w:rsidR="00990B14" w:rsidRDefault="00000000">
            <w:pPr>
              <w:numPr>
                <w:ilvl w:val="0"/>
                <w:numId w:val="140"/>
              </w:numPr>
              <w:spacing w:before="10" w:after="10"/>
              <w:jc w:val="both"/>
            </w:pPr>
            <w:r>
              <w:rPr>
                <w:sz w:val="18"/>
                <w:szCs w:val="18"/>
              </w:rPr>
              <w:t>Guías de ejercicios y casos elaborados por la cátedra.</w:t>
            </w:r>
          </w:p>
          <w:p w14:paraId="29AB5410" w14:textId="77777777" w:rsidR="00990B14" w:rsidRDefault="00000000">
            <w:pPr>
              <w:numPr>
                <w:ilvl w:val="0"/>
                <w:numId w:val="140"/>
              </w:numPr>
              <w:spacing w:before="10" w:after="10"/>
              <w:jc w:val="both"/>
            </w:pPr>
            <w:r>
              <w:rPr>
                <w:sz w:val="18"/>
                <w:szCs w:val="18"/>
              </w:rPr>
              <w:t>Datos y estadísticas del Instituto Nacional de Estadística (INE).</w:t>
            </w:r>
          </w:p>
          <w:p w14:paraId="2CC4A934" w14:textId="77777777" w:rsidR="00990B14" w:rsidRDefault="00000000">
            <w:pPr>
              <w:numPr>
                <w:ilvl w:val="0"/>
                <w:numId w:val="140"/>
              </w:numPr>
              <w:spacing w:before="10" w:after="10"/>
              <w:jc w:val="both"/>
            </w:pPr>
            <w:r>
              <w:rPr>
                <w:sz w:val="18"/>
                <w:szCs w:val="18"/>
              </w:rPr>
              <w:t>Hojas de cálculo y software de graficación de funciones económicas.</w:t>
            </w:r>
          </w:p>
          <w:p w14:paraId="0F9BFCFF" w14:textId="77777777" w:rsidR="00990B14" w:rsidRDefault="00000000">
            <w:pPr>
              <w:numPr>
                <w:ilvl w:val="0"/>
                <w:numId w:val="140"/>
              </w:numPr>
              <w:spacing w:before="10" w:after="10"/>
              <w:jc w:val="both"/>
            </w:pPr>
            <w:r>
              <w:rPr>
                <w:sz w:val="18"/>
                <w:szCs w:val="18"/>
              </w:rPr>
              <w:t>Simuladores de juegos estratégicos y plantillas de matrices de pagos en hoja de cálculo.</w:t>
            </w:r>
          </w:p>
          <w:p w14:paraId="6E457297" w14:textId="77777777" w:rsidR="00990B14" w:rsidRDefault="00000000">
            <w:pPr>
              <w:numPr>
                <w:ilvl w:val="0"/>
                <w:numId w:val="140"/>
              </w:numPr>
              <w:spacing w:before="10" w:after="10"/>
              <w:jc w:val="both"/>
            </w:pPr>
            <w:r>
              <w:rPr>
                <w:sz w:val="18"/>
                <w:szCs w:val="18"/>
              </w:rPr>
              <w:t>Bibliografía especializada en microeconomía.</w:t>
            </w:r>
          </w:p>
        </w:tc>
      </w:tr>
      <w:tr w:rsidR="00990B14" w14:paraId="4AC20164" w14:textId="77777777">
        <w:trPr>
          <w:jc w:val="center"/>
        </w:trPr>
        <w:tc>
          <w:tcPr>
            <w:tcW w:w="1772" w:type="dxa"/>
            <w:shd w:val="clear" w:color="auto" w:fill="4472C4"/>
            <w:vAlign w:val="center"/>
          </w:tcPr>
          <w:p w14:paraId="244741DC" w14:textId="77777777" w:rsidR="00990B14" w:rsidRDefault="00000000">
            <w:pPr>
              <w:spacing w:before="20" w:after="20"/>
              <w:jc w:val="center"/>
            </w:pPr>
            <w:r>
              <w:rPr>
                <w:b/>
                <w:bCs/>
                <w:i/>
                <w:iCs/>
                <w:color w:val="FFFFFF"/>
                <w:sz w:val="18"/>
                <w:szCs w:val="18"/>
              </w:rPr>
              <w:t>Estrategias de evaluación</w:t>
            </w:r>
          </w:p>
        </w:tc>
        <w:tc>
          <w:tcPr>
            <w:tcW w:w="7633" w:type="dxa"/>
            <w:gridSpan w:val="4"/>
            <w:shd w:val="clear" w:color="auto" w:fill="D9E2F3"/>
            <w:vAlign w:val="center"/>
          </w:tcPr>
          <w:p w14:paraId="5CB65895" w14:textId="77777777" w:rsidR="00990B14" w:rsidRDefault="00000000">
            <w:pPr>
              <w:numPr>
                <w:ilvl w:val="0"/>
                <w:numId w:val="140"/>
              </w:numPr>
              <w:spacing w:before="10" w:after="10"/>
              <w:jc w:val="both"/>
            </w:pPr>
            <w:r>
              <w:rPr>
                <w:sz w:val="18"/>
                <w:szCs w:val="18"/>
              </w:rPr>
              <w:t>Evaluación diagnóstica: prueba inicial sobre nociones generales de economía y de matemática básica.</w:t>
            </w:r>
          </w:p>
          <w:p w14:paraId="5A7126CA" w14:textId="77777777" w:rsidR="00990B14" w:rsidRDefault="00000000">
            <w:pPr>
              <w:numPr>
                <w:ilvl w:val="0"/>
                <w:numId w:val="140"/>
              </w:numPr>
              <w:spacing w:before="10" w:after="10"/>
              <w:jc w:val="both"/>
            </w:pPr>
            <w:r>
              <w:rPr>
                <w:sz w:val="18"/>
                <w:szCs w:val="18"/>
              </w:rPr>
              <w:t>Evaluación formativa: preguntas de comprensión y desarrollo de ejercicios prácticos en el aula, con retroalimentación continua.</w:t>
            </w:r>
          </w:p>
          <w:p w14:paraId="41EA0B58" w14:textId="77777777" w:rsidR="00990B14" w:rsidRDefault="00000000">
            <w:pPr>
              <w:numPr>
                <w:ilvl w:val="0"/>
                <w:numId w:val="140"/>
              </w:numPr>
              <w:spacing w:before="10" w:after="10"/>
              <w:jc w:val="both"/>
            </w:pPr>
            <w:r>
              <w:rPr>
                <w:sz w:val="18"/>
                <w:szCs w:val="18"/>
              </w:rPr>
              <w:t>Evaluación sumativa: controles de lectura y asistencia, evaluación de casos prácticos, simulaciones de juegos estratégicos aplicados al control interno y a la tributación, trabajos de investigación y desarrollo, exámenes parciales y examen final.</w:t>
            </w:r>
          </w:p>
        </w:tc>
      </w:tr>
      <w:tr w:rsidR="00990B14" w14:paraId="0E72C52C" w14:textId="77777777">
        <w:trPr>
          <w:jc w:val="center"/>
        </w:trPr>
        <w:tc>
          <w:tcPr>
            <w:tcW w:w="1772" w:type="dxa"/>
            <w:shd w:val="clear" w:color="auto" w:fill="4472C4"/>
            <w:vAlign w:val="center"/>
          </w:tcPr>
          <w:p w14:paraId="0FBC2BAD" w14:textId="77777777" w:rsidR="00990B14" w:rsidRDefault="00000000">
            <w:pPr>
              <w:spacing w:before="20" w:after="20"/>
              <w:jc w:val="center"/>
            </w:pPr>
            <w:r>
              <w:rPr>
                <w:b/>
                <w:bCs/>
                <w:i/>
                <w:iCs/>
                <w:color w:val="FFFFFF"/>
                <w:sz w:val="18"/>
                <w:szCs w:val="18"/>
              </w:rPr>
              <w:t>Criterios de calificación</w:t>
            </w:r>
          </w:p>
        </w:tc>
        <w:tc>
          <w:tcPr>
            <w:tcW w:w="7633" w:type="dxa"/>
            <w:gridSpan w:val="4"/>
            <w:shd w:val="clear" w:color="auto" w:fill="D9E2F3"/>
            <w:vAlign w:val="center"/>
          </w:tcPr>
          <w:p w14:paraId="40E4573A" w14:textId="77777777" w:rsidR="00990B14" w:rsidRDefault="00000000">
            <w:pPr>
              <w:numPr>
                <w:ilvl w:val="0"/>
                <w:numId w:val="140"/>
              </w:numPr>
              <w:spacing w:before="10" w:after="10"/>
              <w:jc w:val="both"/>
            </w:pPr>
            <w:r>
              <w:rPr>
                <w:sz w:val="18"/>
                <w:szCs w:val="18"/>
              </w:rPr>
              <w:t>Nota mínima de aprobación: 51/100.</w:t>
            </w:r>
          </w:p>
          <w:p w14:paraId="12F31B93" w14:textId="77777777" w:rsidR="00990B14" w:rsidRDefault="00000000">
            <w:pPr>
              <w:numPr>
                <w:ilvl w:val="0"/>
                <w:numId w:val="140"/>
              </w:numPr>
              <w:spacing w:before="10" w:after="10"/>
              <w:jc w:val="both"/>
            </w:pPr>
            <w:r>
              <w:rPr>
                <w:sz w:val="18"/>
                <w:szCs w:val="18"/>
              </w:rPr>
              <w:t>Evaluación periódica al finalizar cada tema, basada en evidencias de conocimiento, desempeño y producto.</w:t>
            </w:r>
          </w:p>
          <w:p w14:paraId="13757F2B" w14:textId="77777777" w:rsidR="00990B14" w:rsidRDefault="00000000">
            <w:pPr>
              <w:numPr>
                <w:ilvl w:val="0"/>
                <w:numId w:val="140"/>
              </w:numPr>
              <w:spacing w:before="10" w:after="10"/>
              <w:jc w:val="both"/>
            </w:pPr>
            <w:r>
              <w:rPr>
                <w:sz w:val="18"/>
                <w:szCs w:val="18"/>
              </w:rPr>
              <w:t>Cada evidencia de producto se evalúa con su propia rúbrica de tres niveles: Insuficiente, Suficiente y Destacado.</w:t>
            </w:r>
          </w:p>
          <w:p w14:paraId="1D9C40E8" w14:textId="77777777" w:rsidR="00990B14" w:rsidRDefault="00000000">
            <w:pPr>
              <w:numPr>
                <w:ilvl w:val="0"/>
                <w:numId w:val="140"/>
              </w:numPr>
              <w:spacing w:before="10" w:after="10"/>
              <w:jc w:val="both"/>
            </w:pPr>
            <w:r>
              <w:rPr>
                <w:sz w:val="18"/>
                <w:szCs w:val="18"/>
              </w:rPr>
              <w:t>La calificación de cada elemento de competencia suma las calificaciones de sus evidencias de producto.</w:t>
            </w:r>
          </w:p>
        </w:tc>
      </w:tr>
      <w:tr w:rsidR="00990B14" w14:paraId="3FA1F922" w14:textId="77777777">
        <w:trPr>
          <w:cantSplit/>
          <w:jc w:val="center"/>
        </w:trPr>
        <w:tc>
          <w:tcPr>
            <w:tcW w:w="1772" w:type="dxa"/>
            <w:vMerge w:val="restart"/>
            <w:shd w:val="clear" w:color="auto" w:fill="4472C4"/>
            <w:vAlign w:val="center"/>
          </w:tcPr>
          <w:p w14:paraId="6402E7FF" w14:textId="77777777" w:rsidR="00990B14" w:rsidRDefault="00000000">
            <w:pPr>
              <w:spacing w:before="20" w:after="20"/>
              <w:jc w:val="center"/>
            </w:pPr>
            <w:r>
              <w:rPr>
                <w:b/>
                <w:bCs/>
                <w:i/>
                <w:iCs/>
                <w:color w:val="FFFFFF"/>
                <w:sz w:val="18"/>
                <w:szCs w:val="18"/>
              </w:rPr>
              <w:t>Niveles de logro y distribución de la calificación</w:t>
            </w:r>
          </w:p>
        </w:tc>
        <w:tc>
          <w:tcPr>
            <w:tcW w:w="5723" w:type="dxa"/>
            <w:gridSpan w:val="3"/>
            <w:shd w:val="clear" w:color="auto" w:fill="D9E2F3"/>
            <w:vAlign w:val="center"/>
          </w:tcPr>
          <w:p w14:paraId="5E8B189F" w14:textId="77777777" w:rsidR="00990B14" w:rsidRDefault="00000000">
            <w:pPr>
              <w:keepNext/>
              <w:spacing w:before="20" w:after="20"/>
              <w:jc w:val="both"/>
            </w:pPr>
            <w:r>
              <w:rPr>
                <w:b/>
                <w:bCs/>
                <w:i/>
                <w:iCs/>
                <w:sz w:val="18"/>
                <w:szCs w:val="18"/>
              </w:rPr>
              <w:t xml:space="preserve">Producto 1: </w:t>
            </w:r>
            <w:r>
              <w:rPr>
                <w:sz w:val="18"/>
                <w:szCs w:val="18"/>
              </w:rPr>
              <w:t>Esquema del circuito económico</w:t>
            </w:r>
          </w:p>
        </w:tc>
        <w:tc>
          <w:tcPr>
            <w:tcW w:w="1910" w:type="dxa"/>
            <w:shd w:val="clear" w:color="auto" w:fill="D9E2F3"/>
            <w:vAlign w:val="center"/>
          </w:tcPr>
          <w:p w14:paraId="193C76B0" w14:textId="77777777" w:rsidR="00990B14" w:rsidRDefault="00000000">
            <w:pPr>
              <w:spacing w:before="20" w:after="20"/>
              <w:jc w:val="center"/>
            </w:pPr>
            <w:r>
              <w:rPr>
                <w:b/>
                <w:bCs/>
                <w:sz w:val="18"/>
                <w:szCs w:val="18"/>
              </w:rPr>
              <w:t>3%</w:t>
            </w:r>
          </w:p>
        </w:tc>
      </w:tr>
      <w:tr w:rsidR="00990B14" w14:paraId="60350B81" w14:textId="77777777">
        <w:trPr>
          <w:cantSplit/>
          <w:jc w:val="center"/>
        </w:trPr>
        <w:tc>
          <w:tcPr>
            <w:tcW w:w="1772" w:type="dxa"/>
            <w:vMerge/>
            <w:shd w:val="clear" w:color="auto" w:fill="4472C4"/>
            <w:vAlign w:val="center"/>
          </w:tcPr>
          <w:p w14:paraId="43DF53DC" w14:textId="77777777" w:rsidR="00990B14" w:rsidRDefault="00990B14">
            <w:pPr>
              <w:spacing w:before="20" w:after="20"/>
            </w:pPr>
          </w:p>
        </w:tc>
        <w:tc>
          <w:tcPr>
            <w:tcW w:w="1854" w:type="dxa"/>
            <w:shd w:val="clear" w:color="auto" w:fill="4472C4"/>
            <w:vAlign w:val="center"/>
          </w:tcPr>
          <w:p w14:paraId="69A0F5D6"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5F04078E" w14:textId="77777777" w:rsidR="00990B14" w:rsidRDefault="00000000">
            <w:pPr>
              <w:keepNext/>
              <w:spacing w:before="20" w:after="20"/>
              <w:jc w:val="center"/>
            </w:pPr>
            <w:r>
              <w:rPr>
                <w:b/>
                <w:bCs/>
                <w:i/>
                <w:iCs/>
                <w:color w:val="FFFFFF"/>
                <w:sz w:val="18"/>
                <w:szCs w:val="18"/>
              </w:rPr>
              <w:t>Insuficiente (1–50)</w:t>
            </w:r>
          </w:p>
        </w:tc>
        <w:tc>
          <w:tcPr>
            <w:tcW w:w="1854" w:type="dxa"/>
            <w:shd w:val="clear" w:color="auto" w:fill="4472C4"/>
            <w:vAlign w:val="center"/>
          </w:tcPr>
          <w:p w14:paraId="38A2B33F"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54C33780" w14:textId="77777777" w:rsidR="00990B14" w:rsidRDefault="00000000">
            <w:pPr>
              <w:keepNext/>
              <w:spacing w:before="20" w:after="20"/>
              <w:jc w:val="center"/>
            </w:pPr>
            <w:r>
              <w:rPr>
                <w:b/>
                <w:bCs/>
                <w:i/>
                <w:iCs/>
                <w:color w:val="FFFFFF"/>
                <w:sz w:val="18"/>
                <w:szCs w:val="18"/>
              </w:rPr>
              <w:t>Destacado (81–100)</w:t>
            </w:r>
          </w:p>
        </w:tc>
      </w:tr>
      <w:tr w:rsidR="00990B14" w14:paraId="22587CFC" w14:textId="77777777">
        <w:trPr>
          <w:cantSplit/>
          <w:jc w:val="center"/>
        </w:trPr>
        <w:tc>
          <w:tcPr>
            <w:tcW w:w="1772" w:type="dxa"/>
            <w:vMerge/>
            <w:shd w:val="clear" w:color="auto" w:fill="4472C4"/>
            <w:vAlign w:val="center"/>
          </w:tcPr>
          <w:p w14:paraId="6E07442E" w14:textId="77777777" w:rsidR="00990B14" w:rsidRDefault="00990B14">
            <w:pPr>
              <w:spacing w:before="20" w:after="20"/>
            </w:pPr>
          </w:p>
        </w:tc>
        <w:tc>
          <w:tcPr>
            <w:tcW w:w="1854" w:type="dxa"/>
            <w:shd w:val="clear" w:color="auto" w:fill="D9E2F3"/>
            <w:vAlign w:val="center"/>
          </w:tcPr>
          <w:p w14:paraId="27CF7D44" w14:textId="77777777" w:rsidR="00990B14" w:rsidRDefault="00000000">
            <w:pPr>
              <w:spacing w:before="20" w:after="20"/>
              <w:jc w:val="both"/>
            </w:pPr>
            <w:r>
              <w:rPr>
                <w:sz w:val="18"/>
                <w:szCs w:val="18"/>
              </w:rPr>
              <w:t>Agentes y flujos</w:t>
            </w:r>
          </w:p>
        </w:tc>
        <w:tc>
          <w:tcPr>
            <w:tcW w:w="2015" w:type="dxa"/>
            <w:shd w:val="clear" w:color="auto" w:fill="D9E2F3"/>
            <w:vAlign w:val="center"/>
          </w:tcPr>
          <w:p w14:paraId="5E056A8D" w14:textId="77777777" w:rsidR="00990B14" w:rsidRDefault="00000000">
            <w:pPr>
              <w:spacing w:before="20" w:after="20"/>
              <w:jc w:val="both"/>
            </w:pPr>
            <w:r>
              <w:rPr>
                <w:sz w:val="18"/>
                <w:szCs w:val="18"/>
              </w:rPr>
              <w:t>Omite agentes o flujos del circuito.</w:t>
            </w:r>
          </w:p>
        </w:tc>
        <w:tc>
          <w:tcPr>
            <w:tcW w:w="1854" w:type="dxa"/>
            <w:shd w:val="clear" w:color="auto" w:fill="D9E2F3"/>
            <w:vAlign w:val="center"/>
          </w:tcPr>
          <w:p w14:paraId="10D57CB1" w14:textId="77777777" w:rsidR="00990B14" w:rsidRDefault="00000000">
            <w:pPr>
              <w:spacing w:before="20" w:after="20"/>
              <w:jc w:val="both"/>
            </w:pPr>
            <w:r>
              <w:rPr>
                <w:sz w:val="18"/>
                <w:szCs w:val="18"/>
              </w:rPr>
              <w:t>Representa los agentes y los flujos reales y monetarios.</w:t>
            </w:r>
          </w:p>
        </w:tc>
        <w:tc>
          <w:tcPr>
            <w:tcW w:w="1910" w:type="dxa"/>
            <w:shd w:val="clear" w:color="auto" w:fill="D9E2F3"/>
            <w:vAlign w:val="center"/>
          </w:tcPr>
          <w:p w14:paraId="691D4121" w14:textId="77777777" w:rsidR="00990B14" w:rsidRDefault="00000000">
            <w:pPr>
              <w:spacing w:before="20" w:after="20"/>
              <w:jc w:val="both"/>
            </w:pPr>
            <w:r>
              <w:rPr>
                <w:sz w:val="18"/>
                <w:szCs w:val="18"/>
              </w:rPr>
              <w:t>Explica la interdependencia entre los agentes del circuito.</w:t>
            </w:r>
          </w:p>
        </w:tc>
      </w:tr>
      <w:tr w:rsidR="00990B14" w14:paraId="16936E80" w14:textId="77777777">
        <w:trPr>
          <w:cantSplit/>
          <w:jc w:val="center"/>
        </w:trPr>
        <w:tc>
          <w:tcPr>
            <w:tcW w:w="1772" w:type="dxa"/>
            <w:vMerge/>
            <w:shd w:val="clear" w:color="auto" w:fill="4472C4"/>
            <w:vAlign w:val="center"/>
          </w:tcPr>
          <w:p w14:paraId="37BF9BE6" w14:textId="77777777" w:rsidR="00990B14" w:rsidRDefault="00990B14">
            <w:pPr>
              <w:spacing w:before="20" w:after="20"/>
            </w:pPr>
          </w:p>
        </w:tc>
        <w:tc>
          <w:tcPr>
            <w:tcW w:w="1854" w:type="dxa"/>
            <w:shd w:val="clear" w:color="auto" w:fill="D9E2F3"/>
            <w:vAlign w:val="center"/>
          </w:tcPr>
          <w:p w14:paraId="4CCCA3EA" w14:textId="77777777" w:rsidR="00990B14" w:rsidRDefault="00000000">
            <w:pPr>
              <w:spacing w:before="20" w:after="20"/>
              <w:jc w:val="both"/>
            </w:pPr>
            <w:r>
              <w:rPr>
                <w:sz w:val="18"/>
                <w:szCs w:val="18"/>
              </w:rPr>
              <w:t>Ejemplo productivo</w:t>
            </w:r>
          </w:p>
        </w:tc>
        <w:tc>
          <w:tcPr>
            <w:tcW w:w="2015" w:type="dxa"/>
            <w:shd w:val="clear" w:color="auto" w:fill="D9E2F3"/>
            <w:vAlign w:val="center"/>
          </w:tcPr>
          <w:p w14:paraId="61B92E48" w14:textId="77777777" w:rsidR="00990B14" w:rsidRDefault="00000000">
            <w:pPr>
              <w:spacing w:before="20" w:after="20"/>
              <w:jc w:val="both"/>
            </w:pPr>
            <w:r>
              <w:rPr>
                <w:sz w:val="18"/>
                <w:szCs w:val="18"/>
              </w:rPr>
              <w:t>El ejemplo no corresponde a una actividad real.</w:t>
            </w:r>
          </w:p>
        </w:tc>
        <w:tc>
          <w:tcPr>
            <w:tcW w:w="1854" w:type="dxa"/>
            <w:shd w:val="clear" w:color="auto" w:fill="D9E2F3"/>
            <w:vAlign w:val="center"/>
          </w:tcPr>
          <w:p w14:paraId="18317E0A" w14:textId="77777777" w:rsidR="00990B14" w:rsidRDefault="00000000">
            <w:pPr>
              <w:spacing w:before="20" w:after="20"/>
              <w:jc w:val="both"/>
            </w:pPr>
            <w:r>
              <w:rPr>
                <w:sz w:val="18"/>
                <w:szCs w:val="18"/>
              </w:rPr>
              <w:t>Aplica el circuito a una actividad productiva boliviana.</w:t>
            </w:r>
          </w:p>
        </w:tc>
        <w:tc>
          <w:tcPr>
            <w:tcW w:w="1910" w:type="dxa"/>
            <w:shd w:val="clear" w:color="auto" w:fill="D9E2F3"/>
            <w:vAlign w:val="center"/>
          </w:tcPr>
          <w:p w14:paraId="3DBCFF1A" w14:textId="77777777" w:rsidR="00990B14" w:rsidRDefault="00000000">
            <w:pPr>
              <w:spacing w:before="20" w:after="20"/>
              <w:jc w:val="both"/>
            </w:pPr>
            <w:r>
              <w:rPr>
                <w:sz w:val="18"/>
                <w:szCs w:val="18"/>
              </w:rPr>
              <w:t>Señala los costos sociales y ambientales de la actividad.</w:t>
            </w:r>
          </w:p>
        </w:tc>
      </w:tr>
      <w:tr w:rsidR="00990B14" w14:paraId="3A3C0A4B" w14:textId="77777777">
        <w:trPr>
          <w:cantSplit/>
          <w:jc w:val="center"/>
        </w:trPr>
        <w:tc>
          <w:tcPr>
            <w:tcW w:w="1772" w:type="dxa"/>
            <w:vMerge/>
            <w:shd w:val="clear" w:color="auto" w:fill="4472C4"/>
            <w:vAlign w:val="center"/>
          </w:tcPr>
          <w:p w14:paraId="3102E71D" w14:textId="77777777" w:rsidR="00990B14" w:rsidRDefault="00990B14">
            <w:pPr>
              <w:spacing w:before="20" w:after="20"/>
            </w:pPr>
          </w:p>
        </w:tc>
        <w:tc>
          <w:tcPr>
            <w:tcW w:w="1854" w:type="dxa"/>
            <w:shd w:val="clear" w:color="auto" w:fill="D9E2F3"/>
            <w:vAlign w:val="center"/>
          </w:tcPr>
          <w:p w14:paraId="5769095E" w14:textId="77777777" w:rsidR="00990B14" w:rsidRDefault="00000000">
            <w:pPr>
              <w:spacing w:before="20" w:after="20"/>
              <w:jc w:val="both"/>
            </w:pPr>
            <w:r>
              <w:rPr>
                <w:sz w:val="18"/>
                <w:szCs w:val="18"/>
              </w:rPr>
              <w:t>Exposición en equipo</w:t>
            </w:r>
          </w:p>
        </w:tc>
        <w:tc>
          <w:tcPr>
            <w:tcW w:w="2015" w:type="dxa"/>
            <w:shd w:val="clear" w:color="auto" w:fill="D9E2F3"/>
            <w:vAlign w:val="center"/>
          </w:tcPr>
          <w:p w14:paraId="73994013" w14:textId="77777777" w:rsidR="00990B14" w:rsidRDefault="00000000">
            <w:pPr>
              <w:spacing w:before="20" w:after="20"/>
              <w:jc w:val="both"/>
            </w:pPr>
            <w:r>
              <w:rPr>
                <w:sz w:val="18"/>
                <w:szCs w:val="18"/>
              </w:rPr>
              <w:t>La exposición es desordenada.</w:t>
            </w:r>
          </w:p>
        </w:tc>
        <w:tc>
          <w:tcPr>
            <w:tcW w:w="1854" w:type="dxa"/>
            <w:shd w:val="clear" w:color="auto" w:fill="D9E2F3"/>
            <w:vAlign w:val="center"/>
          </w:tcPr>
          <w:p w14:paraId="593C0C71" w14:textId="77777777" w:rsidR="00990B14" w:rsidRDefault="00000000">
            <w:pPr>
              <w:spacing w:before="20" w:after="20"/>
              <w:jc w:val="both"/>
            </w:pPr>
            <w:r>
              <w:rPr>
                <w:sz w:val="18"/>
                <w:szCs w:val="18"/>
              </w:rPr>
              <w:t>Expone con claridad y reparte las intervenciones.</w:t>
            </w:r>
          </w:p>
        </w:tc>
        <w:tc>
          <w:tcPr>
            <w:tcW w:w="1910" w:type="dxa"/>
            <w:shd w:val="clear" w:color="auto" w:fill="D9E2F3"/>
            <w:vAlign w:val="center"/>
          </w:tcPr>
          <w:p w14:paraId="6FB6287C" w14:textId="77777777" w:rsidR="00990B14" w:rsidRDefault="00000000">
            <w:pPr>
              <w:spacing w:before="20" w:after="20"/>
              <w:jc w:val="both"/>
            </w:pPr>
            <w:r>
              <w:rPr>
                <w:sz w:val="18"/>
                <w:szCs w:val="18"/>
              </w:rPr>
              <w:t>Responde con solvencia las preguntas del curso.</w:t>
            </w:r>
          </w:p>
        </w:tc>
      </w:tr>
      <w:tr w:rsidR="00990B14" w14:paraId="1CD0B800" w14:textId="77777777">
        <w:trPr>
          <w:cantSplit/>
          <w:jc w:val="center"/>
        </w:trPr>
        <w:tc>
          <w:tcPr>
            <w:tcW w:w="1772" w:type="dxa"/>
            <w:vMerge/>
            <w:shd w:val="clear" w:color="auto" w:fill="4472C4"/>
            <w:vAlign w:val="center"/>
          </w:tcPr>
          <w:p w14:paraId="2C63B2CB" w14:textId="77777777" w:rsidR="00990B14" w:rsidRDefault="00990B14">
            <w:pPr>
              <w:spacing w:before="20" w:after="20"/>
            </w:pPr>
          </w:p>
        </w:tc>
        <w:tc>
          <w:tcPr>
            <w:tcW w:w="5723" w:type="dxa"/>
            <w:gridSpan w:val="3"/>
            <w:shd w:val="clear" w:color="auto" w:fill="D9E2F3"/>
            <w:vAlign w:val="center"/>
          </w:tcPr>
          <w:p w14:paraId="07CEDD88" w14:textId="77777777" w:rsidR="00990B14" w:rsidRDefault="00000000">
            <w:pPr>
              <w:keepNext/>
              <w:spacing w:before="20" w:after="20"/>
              <w:jc w:val="both"/>
            </w:pPr>
            <w:r>
              <w:rPr>
                <w:b/>
                <w:bCs/>
                <w:i/>
                <w:iCs/>
                <w:sz w:val="18"/>
                <w:szCs w:val="18"/>
              </w:rPr>
              <w:t xml:space="preserve">Producto 2: </w:t>
            </w:r>
            <w:r>
              <w:rPr>
                <w:sz w:val="18"/>
                <w:szCs w:val="18"/>
              </w:rPr>
              <w:t>Cuadro de los actos de la actividad económica</w:t>
            </w:r>
          </w:p>
        </w:tc>
        <w:tc>
          <w:tcPr>
            <w:tcW w:w="1910" w:type="dxa"/>
            <w:shd w:val="clear" w:color="auto" w:fill="D9E2F3"/>
            <w:vAlign w:val="center"/>
          </w:tcPr>
          <w:p w14:paraId="26155E55" w14:textId="77777777" w:rsidR="00990B14" w:rsidRDefault="00000000">
            <w:pPr>
              <w:spacing w:before="20" w:after="20"/>
              <w:jc w:val="center"/>
            </w:pPr>
            <w:r>
              <w:rPr>
                <w:b/>
                <w:bCs/>
                <w:sz w:val="18"/>
                <w:szCs w:val="18"/>
              </w:rPr>
              <w:t>5%</w:t>
            </w:r>
          </w:p>
        </w:tc>
      </w:tr>
      <w:tr w:rsidR="00990B14" w14:paraId="7707AC7B" w14:textId="77777777">
        <w:trPr>
          <w:cantSplit/>
          <w:jc w:val="center"/>
        </w:trPr>
        <w:tc>
          <w:tcPr>
            <w:tcW w:w="1772" w:type="dxa"/>
            <w:vMerge/>
            <w:shd w:val="clear" w:color="auto" w:fill="4472C4"/>
            <w:vAlign w:val="center"/>
          </w:tcPr>
          <w:p w14:paraId="0E2F98AB" w14:textId="77777777" w:rsidR="00990B14" w:rsidRDefault="00990B14">
            <w:pPr>
              <w:spacing w:before="20" w:after="20"/>
            </w:pPr>
          </w:p>
        </w:tc>
        <w:tc>
          <w:tcPr>
            <w:tcW w:w="1854" w:type="dxa"/>
            <w:shd w:val="clear" w:color="auto" w:fill="4472C4"/>
            <w:vAlign w:val="center"/>
          </w:tcPr>
          <w:p w14:paraId="5300823B"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5590EE6B" w14:textId="77777777" w:rsidR="00990B14" w:rsidRDefault="00000000">
            <w:pPr>
              <w:keepNext/>
              <w:spacing w:before="20" w:after="20"/>
              <w:jc w:val="center"/>
            </w:pPr>
            <w:r>
              <w:rPr>
                <w:b/>
                <w:bCs/>
                <w:i/>
                <w:iCs/>
                <w:color w:val="FFFFFF"/>
                <w:sz w:val="18"/>
                <w:szCs w:val="18"/>
              </w:rPr>
              <w:t>Insuficiente (1–50)</w:t>
            </w:r>
          </w:p>
        </w:tc>
        <w:tc>
          <w:tcPr>
            <w:tcW w:w="1854" w:type="dxa"/>
            <w:shd w:val="clear" w:color="auto" w:fill="4472C4"/>
            <w:vAlign w:val="center"/>
          </w:tcPr>
          <w:p w14:paraId="341768AC"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0117543F" w14:textId="77777777" w:rsidR="00990B14" w:rsidRDefault="00000000">
            <w:pPr>
              <w:keepNext/>
              <w:spacing w:before="20" w:after="20"/>
              <w:jc w:val="center"/>
            </w:pPr>
            <w:r>
              <w:rPr>
                <w:b/>
                <w:bCs/>
                <w:i/>
                <w:iCs/>
                <w:color w:val="FFFFFF"/>
                <w:sz w:val="18"/>
                <w:szCs w:val="18"/>
              </w:rPr>
              <w:t>Destacado (81–100)</w:t>
            </w:r>
          </w:p>
        </w:tc>
      </w:tr>
      <w:tr w:rsidR="00990B14" w14:paraId="10D8C7F7" w14:textId="77777777">
        <w:trPr>
          <w:cantSplit/>
          <w:jc w:val="center"/>
        </w:trPr>
        <w:tc>
          <w:tcPr>
            <w:tcW w:w="1772" w:type="dxa"/>
            <w:vMerge/>
            <w:shd w:val="clear" w:color="auto" w:fill="4472C4"/>
            <w:vAlign w:val="center"/>
          </w:tcPr>
          <w:p w14:paraId="7C70E258" w14:textId="77777777" w:rsidR="00990B14" w:rsidRDefault="00990B14">
            <w:pPr>
              <w:spacing w:before="20" w:after="20"/>
            </w:pPr>
          </w:p>
        </w:tc>
        <w:tc>
          <w:tcPr>
            <w:tcW w:w="1854" w:type="dxa"/>
            <w:shd w:val="clear" w:color="auto" w:fill="D9E2F3"/>
            <w:vAlign w:val="center"/>
          </w:tcPr>
          <w:p w14:paraId="11A8327F" w14:textId="77777777" w:rsidR="00990B14" w:rsidRDefault="00000000">
            <w:pPr>
              <w:spacing w:before="20" w:after="20"/>
              <w:jc w:val="both"/>
            </w:pPr>
            <w:r>
              <w:rPr>
                <w:sz w:val="18"/>
                <w:szCs w:val="18"/>
              </w:rPr>
              <w:t>Identificación de actos</w:t>
            </w:r>
          </w:p>
        </w:tc>
        <w:tc>
          <w:tcPr>
            <w:tcW w:w="2015" w:type="dxa"/>
            <w:shd w:val="clear" w:color="auto" w:fill="D9E2F3"/>
            <w:vAlign w:val="center"/>
          </w:tcPr>
          <w:p w14:paraId="7CA5F498" w14:textId="77777777" w:rsidR="00990B14" w:rsidRDefault="00000000">
            <w:pPr>
              <w:spacing w:before="20" w:after="20"/>
              <w:jc w:val="both"/>
            </w:pPr>
            <w:r>
              <w:rPr>
                <w:sz w:val="18"/>
                <w:szCs w:val="18"/>
              </w:rPr>
              <w:t>Confunde los actos de producción y de cambio.</w:t>
            </w:r>
          </w:p>
        </w:tc>
        <w:tc>
          <w:tcPr>
            <w:tcW w:w="1854" w:type="dxa"/>
            <w:shd w:val="clear" w:color="auto" w:fill="D9E2F3"/>
            <w:vAlign w:val="center"/>
          </w:tcPr>
          <w:p w14:paraId="05A56FD9" w14:textId="77777777" w:rsidR="00990B14" w:rsidRDefault="00000000">
            <w:pPr>
              <w:spacing w:before="20" w:after="20"/>
              <w:jc w:val="both"/>
            </w:pPr>
            <w:r>
              <w:rPr>
                <w:sz w:val="18"/>
                <w:szCs w:val="18"/>
              </w:rPr>
              <w:t>Identifica los actos de producción, inversión, cambio y consumo.</w:t>
            </w:r>
          </w:p>
        </w:tc>
        <w:tc>
          <w:tcPr>
            <w:tcW w:w="1910" w:type="dxa"/>
            <w:shd w:val="clear" w:color="auto" w:fill="D9E2F3"/>
            <w:vAlign w:val="center"/>
          </w:tcPr>
          <w:p w14:paraId="36C0786D" w14:textId="77777777" w:rsidR="00990B14" w:rsidRDefault="00000000">
            <w:pPr>
              <w:spacing w:before="20" w:after="20"/>
              <w:jc w:val="both"/>
            </w:pPr>
            <w:r>
              <w:rPr>
                <w:sz w:val="18"/>
                <w:szCs w:val="18"/>
              </w:rPr>
              <w:t>Relaciona cada acto con la escasez de los recursos.</w:t>
            </w:r>
          </w:p>
        </w:tc>
      </w:tr>
      <w:tr w:rsidR="00990B14" w14:paraId="2DCAC357" w14:textId="77777777">
        <w:trPr>
          <w:cantSplit/>
          <w:jc w:val="center"/>
        </w:trPr>
        <w:tc>
          <w:tcPr>
            <w:tcW w:w="1772" w:type="dxa"/>
            <w:vMerge/>
            <w:shd w:val="clear" w:color="auto" w:fill="4472C4"/>
            <w:vAlign w:val="center"/>
          </w:tcPr>
          <w:p w14:paraId="677C0474" w14:textId="77777777" w:rsidR="00990B14" w:rsidRDefault="00990B14">
            <w:pPr>
              <w:spacing w:before="20" w:after="20"/>
            </w:pPr>
          </w:p>
        </w:tc>
        <w:tc>
          <w:tcPr>
            <w:tcW w:w="1854" w:type="dxa"/>
            <w:shd w:val="clear" w:color="auto" w:fill="D9E2F3"/>
            <w:vAlign w:val="center"/>
          </w:tcPr>
          <w:p w14:paraId="1BC3B90C" w14:textId="77777777" w:rsidR="00990B14" w:rsidRDefault="00000000">
            <w:pPr>
              <w:spacing w:before="20" w:after="20"/>
              <w:jc w:val="both"/>
            </w:pPr>
            <w:r>
              <w:rPr>
                <w:sz w:val="18"/>
                <w:szCs w:val="18"/>
              </w:rPr>
              <w:t>Escasez y necesidades</w:t>
            </w:r>
          </w:p>
        </w:tc>
        <w:tc>
          <w:tcPr>
            <w:tcW w:w="2015" w:type="dxa"/>
            <w:shd w:val="clear" w:color="auto" w:fill="D9E2F3"/>
            <w:vAlign w:val="center"/>
          </w:tcPr>
          <w:p w14:paraId="3E9ED235" w14:textId="77777777" w:rsidR="00990B14" w:rsidRDefault="00000000">
            <w:pPr>
              <w:spacing w:before="20" w:after="20"/>
              <w:jc w:val="both"/>
            </w:pPr>
            <w:r>
              <w:rPr>
                <w:sz w:val="18"/>
                <w:szCs w:val="18"/>
              </w:rPr>
              <w:t>No vincula el caso con la escasez.</w:t>
            </w:r>
          </w:p>
        </w:tc>
        <w:tc>
          <w:tcPr>
            <w:tcW w:w="1854" w:type="dxa"/>
            <w:shd w:val="clear" w:color="auto" w:fill="D9E2F3"/>
            <w:vAlign w:val="center"/>
          </w:tcPr>
          <w:p w14:paraId="6DF314B7" w14:textId="77777777" w:rsidR="00990B14" w:rsidRDefault="00000000">
            <w:pPr>
              <w:spacing w:before="20" w:after="20"/>
              <w:jc w:val="both"/>
            </w:pPr>
            <w:r>
              <w:rPr>
                <w:sz w:val="18"/>
                <w:szCs w:val="18"/>
              </w:rPr>
              <w:t>Explica la escasez frente a las necesidades ilimitadas.</w:t>
            </w:r>
          </w:p>
        </w:tc>
        <w:tc>
          <w:tcPr>
            <w:tcW w:w="1910" w:type="dxa"/>
            <w:shd w:val="clear" w:color="auto" w:fill="D9E2F3"/>
            <w:vAlign w:val="center"/>
          </w:tcPr>
          <w:p w14:paraId="216EAC0A" w14:textId="77777777" w:rsidR="00990B14" w:rsidRDefault="00000000">
            <w:pPr>
              <w:spacing w:before="20" w:after="20"/>
              <w:jc w:val="both"/>
            </w:pPr>
            <w:r>
              <w:rPr>
                <w:sz w:val="18"/>
                <w:szCs w:val="18"/>
              </w:rPr>
              <w:t>Plantea alternativas de uso sostenible de los recursos.</w:t>
            </w:r>
          </w:p>
        </w:tc>
      </w:tr>
      <w:tr w:rsidR="00990B14" w14:paraId="48E05F77" w14:textId="77777777">
        <w:trPr>
          <w:cantSplit/>
          <w:jc w:val="center"/>
        </w:trPr>
        <w:tc>
          <w:tcPr>
            <w:tcW w:w="1772" w:type="dxa"/>
            <w:vMerge/>
            <w:shd w:val="clear" w:color="auto" w:fill="4472C4"/>
            <w:vAlign w:val="center"/>
          </w:tcPr>
          <w:p w14:paraId="56B4B3ED" w14:textId="77777777" w:rsidR="00990B14" w:rsidRDefault="00990B14">
            <w:pPr>
              <w:spacing w:before="20" w:after="20"/>
            </w:pPr>
          </w:p>
        </w:tc>
        <w:tc>
          <w:tcPr>
            <w:tcW w:w="1854" w:type="dxa"/>
            <w:shd w:val="clear" w:color="auto" w:fill="D9E2F3"/>
            <w:vAlign w:val="center"/>
          </w:tcPr>
          <w:p w14:paraId="6D676456" w14:textId="77777777" w:rsidR="00990B14" w:rsidRDefault="00000000">
            <w:pPr>
              <w:spacing w:before="20" w:after="20"/>
              <w:jc w:val="both"/>
            </w:pPr>
            <w:r>
              <w:rPr>
                <w:sz w:val="18"/>
                <w:szCs w:val="18"/>
              </w:rPr>
              <w:t>Presentación</w:t>
            </w:r>
          </w:p>
        </w:tc>
        <w:tc>
          <w:tcPr>
            <w:tcW w:w="2015" w:type="dxa"/>
            <w:shd w:val="clear" w:color="auto" w:fill="D9E2F3"/>
            <w:vAlign w:val="center"/>
          </w:tcPr>
          <w:p w14:paraId="32811DE5" w14:textId="77777777" w:rsidR="00990B14" w:rsidRDefault="00000000">
            <w:pPr>
              <w:spacing w:before="20" w:after="20"/>
              <w:jc w:val="both"/>
            </w:pPr>
            <w:r>
              <w:rPr>
                <w:sz w:val="18"/>
                <w:szCs w:val="18"/>
              </w:rPr>
              <w:t>El cuadro es incompleto.</w:t>
            </w:r>
          </w:p>
        </w:tc>
        <w:tc>
          <w:tcPr>
            <w:tcW w:w="1854" w:type="dxa"/>
            <w:shd w:val="clear" w:color="auto" w:fill="D9E2F3"/>
            <w:vAlign w:val="center"/>
          </w:tcPr>
          <w:p w14:paraId="1E64AE57" w14:textId="77777777" w:rsidR="00990B14" w:rsidRDefault="00000000">
            <w:pPr>
              <w:spacing w:before="20" w:after="20"/>
              <w:jc w:val="both"/>
            </w:pPr>
            <w:r>
              <w:rPr>
                <w:sz w:val="18"/>
                <w:szCs w:val="18"/>
              </w:rPr>
              <w:t>El cuadro es claro y ordenado.</w:t>
            </w:r>
          </w:p>
        </w:tc>
        <w:tc>
          <w:tcPr>
            <w:tcW w:w="1910" w:type="dxa"/>
            <w:shd w:val="clear" w:color="auto" w:fill="D9E2F3"/>
            <w:vAlign w:val="center"/>
          </w:tcPr>
          <w:p w14:paraId="1780F269" w14:textId="77777777" w:rsidR="00990B14" w:rsidRDefault="00000000">
            <w:pPr>
              <w:spacing w:before="20" w:after="20"/>
              <w:jc w:val="both"/>
            </w:pPr>
            <w:r>
              <w:rPr>
                <w:sz w:val="18"/>
                <w:szCs w:val="18"/>
              </w:rPr>
              <w:t>El cuadro incluye una conclusión propia.</w:t>
            </w:r>
          </w:p>
        </w:tc>
      </w:tr>
      <w:tr w:rsidR="00990B14" w14:paraId="53EE114A" w14:textId="77777777">
        <w:trPr>
          <w:cantSplit/>
          <w:jc w:val="center"/>
        </w:trPr>
        <w:tc>
          <w:tcPr>
            <w:tcW w:w="1772" w:type="dxa"/>
            <w:vMerge/>
            <w:shd w:val="clear" w:color="auto" w:fill="4472C4"/>
            <w:vAlign w:val="center"/>
          </w:tcPr>
          <w:p w14:paraId="62BB3058" w14:textId="77777777" w:rsidR="00990B14" w:rsidRDefault="00990B14">
            <w:pPr>
              <w:spacing w:before="20" w:after="20"/>
            </w:pPr>
          </w:p>
        </w:tc>
        <w:tc>
          <w:tcPr>
            <w:tcW w:w="5723" w:type="dxa"/>
            <w:gridSpan w:val="3"/>
            <w:shd w:val="clear" w:color="auto" w:fill="D9E2F3"/>
            <w:vAlign w:val="center"/>
          </w:tcPr>
          <w:p w14:paraId="423A9130" w14:textId="77777777" w:rsidR="00990B14" w:rsidRDefault="00000000">
            <w:pPr>
              <w:keepNext/>
              <w:spacing w:before="20" w:after="20"/>
              <w:jc w:val="both"/>
            </w:pPr>
            <w:r>
              <w:rPr>
                <w:b/>
                <w:bCs/>
                <w:i/>
                <w:iCs/>
                <w:sz w:val="18"/>
                <w:szCs w:val="18"/>
              </w:rPr>
              <w:t xml:space="preserve">Producto 3: </w:t>
            </w:r>
            <w:r>
              <w:rPr>
                <w:sz w:val="18"/>
                <w:szCs w:val="18"/>
              </w:rPr>
              <w:t>Ensayo sobre la ciencia económica</w:t>
            </w:r>
          </w:p>
        </w:tc>
        <w:tc>
          <w:tcPr>
            <w:tcW w:w="1910" w:type="dxa"/>
            <w:shd w:val="clear" w:color="auto" w:fill="D9E2F3"/>
            <w:vAlign w:val="center"/>
          </w:tcPr>
          <w:p w14:paraId="5BE0A385" w14:textId="77777777" w:rsidR="00990B14" w:rsidRDefault="00000000">
            <w:pPr>
              <w:spacing w:before="20" w:after="20"/>
              <w:jc w:val="center"/>
            </w:pPr>
            <w:r>
              <w:rPr>
                <w:b/>
                <w:bCs/>
                <w:sz w:val="18"/>
                <w:szCs w:val="18"/>
              </w:rPr>
              <w:t>5%</w:t>
            </w:r>
          </w:p>
        </w:tc>
      </w:tr>
      <w:tr w:rsidR="00990B14" w14:paraId="0A1368BD" w14:textId="77777777">
        <w:trPr>
          <w:cantSplit/>
          <w:jc w:val="center"/>
        </w:trPr>
        <w:tc>
          <w:tcPr>
            <w:tcW w:w="1772" w:type="dxa"/>
            <w:vMerge/>
            <w:shd w:val="clear" w:color="auto" w:fill="4472C4"/>
            <w:vAlign w:val="center"/>
          </w:tcPr>
          <w:p w14:paraId="6F1A13E7" w14:textId="77777777" w:rsidR="00990B14" w:rsidRDefault="00990B14">
            <w:pPr>
              <w:spacing w:before="20" w:after="20"/>
            </w:pPr>
          </w:p>
        </w:tc>
        <w:tc>
          <w:tcPr>
            <w:tcW w:w="1854" w:type="dxa"/>
            <w:shd w:val="clear" w:color="auto" w:fill="4472C4"/>
            <w:vAlign w:val="center"/>
          </w:tcPr>
          <w:p w14:paraId="567A84D2"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35464887" w14:textId="77777777" w:rsidR="00990B14" w:rsidRDefault="00000000">
            <w:pPr>
              <w:keepNext/>
              <w:spacing w:before="20" w:after="20"/>
              <w:jc w:val="center"/>
            </w:pPr>
            <w:r>
              <w:rPr>
                <w:b/>
                <w:bCs/>
                <w:i/>
                <w:iCs/>
                <w:color w:val="FFFFFF"/>
                <w:sz w:val="18"/>
                <w:szCs w:val="18"/>
              </w:rPr>
              <w:t>Insuficiente (1–50)</w:t>
            </w:r>
          </w:p>
        </w:tc>
        <w:tc>
          <w:tcPr>
            <w:tcW w:w="1854" w:type="dxa"/>
            <w:shd w:val="clear" w:color="auto" w:fill="4472C4"/>
            <w:vAlign w:val="center"/>
          </w:tcPr>
          <w:p w14:paraId="64592D85"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4C343649" w14:textId="77777777" w:rsidR="00990B14" w:rsidRDefault="00000000">
            <w:pPr>
              <w:keepNext/>
              <w:spacing w:before="20" w:after="20"/>
              <w:jc w:val="center"/>
            </w:pPr>
            <w:r>
              <w:rPr>
                <w:b/>
                <w:bCs/>
                <w:i/>
                <w:iCs/>
                <w:color w:val="FFFFFF"/>
                <w:sz w:val="18"/>
                <w:szCs w:val="18"/>
              </w:rPr>
              <w:t>Destacado (81–100)</w:t>
            </w:r>
          </w:p>
        </w:tc>
      </w:tr>
      <w:tr w:rsidR="00990B14" w14:paraId="5BB6BA00" w14:textId="77777777">
        <w:trPr>
          <w:cantSplit/>
          <w:jc w:val="center"/>
        </w:trPr>
        <w:tc>
          <w:tcPr>
            <w:tcW w:w="1772" w:type="dxa"/>
            <w:vMerge/>
            <w:shd w:val="clear" w:color="auto" w:fill="4472C4"/>
            <w:vAlign w:val="center"/>
          </w:tcPr>
          <w:p w14:paraId="25A5C273" w14:textId="77777777" w:rsidR="00990B14" w:rsidRDefault="00990B14">
            <w:pPr>
              <w:spacing w:before="20" w:after="20"/>
            </w:pPr>
          </w:p>
        </w:tc>
        <w:tc>
          <w:tcPr>
            <w:tcW w:w="1854" w:type="dxa"/>
            <w:shd w:val="clear" w:color="auto" w:fill="D9E2F3"/>
            <w:vAlign w:val="center"/>
          </w:tcPr>
          <w:p w14:paraId="63217A8F" w14:textId="77777777" w:rsidR="00990B14" w:rsidRDefault="00000000">
            <w:pPr>
              <w:spacing w:before="20" w:after="20"/>
              <w:jc w:val="both"/>
            </w:pPr>
            <w:r>
              <w:rPr>
                <w:sz w:val="18"/>
                <w:szCs w:val="18"/>
              </w:rPr>
              <w:t>Autonomía de la ciencia</w:t>
            </w:r>
          </w:p>
        </w:tc>
        <w:tc>
          <w:tcPr>
            <w:tcW w:w="2015" w:type="dxa"/>
            <w:shd w:val="clear" w:color="auto" w:fill="D9E2F3"/>
            <w:vAlign w:val="center"/>
          </w:tcPr>
          <w:p w14:paraId="1667B66A" w14:textId="77777777" w:rsidR="00990B14" w:rsidRDefault="00000000">
            <w:pPr>
              <w:spacing w:before="20" w:after="20"/>
              <w:jc w:val="both"/>
            </w:pPr>
            <w:r>
              <w:rPr>
                <w:sz w:val="18"/>
                <w:szCs w:val="18"/>
              </w:rPr>
              <w:t>No explica la autonomía de la ciencia económica.</w:t>
            </w:r>
          </w:p>
        </w:tc>
        <w:tc>
          <w:tcPr>
            <w:tcW w:w="1854" w:type="dxa"/>
            <w:shd w:val="clear" w:color="auto" w:fill="D9E2F3"/>
            <w:vAlign w:val="center"/>
          </w:tcPr>
          <w:p w14:paraId="23CDBAA7" w14:textId="77777777" w:rsidR="00990B14" w:rsidRDefault="00000000">
            <w:pPr>
              <w:spacing w:before="20" w:after="20"/>
              <w:jc w:val="both"/>
            </w:pPr>
            <w:r>
              <w:rPr>
                <w:sz w:val="18"/>
                <w:szCs w:val="18"/>
              </w:rPr>
              <w:t>Explica la autonomía y el método de la ciencia económica.</w:t>
            </w:r>
          </w:p>
        </w:tc>
        <w:tc>
          <w:tcPr>
            <w:tcW w:w="1910" w:type="dxa"/>
            <w:shd w:val="clear" w:color="auto" w:fill="D9E2F3"/>
            <w:vAlign w:val="center"/>
          </w:tcPr>
          <w:p w14:paraId="267E70B6" w14:textId="77777777" w:rsidR="00990B14" w:rsidRDefault="00000000">
            <w:pPr>
              <w:spacing w:before="20" w:after="20"/>
              <w:jc w:val="both"/>
            </w:pPr>
            <w:r>
              <w:rPr>
                <w:sz w:val="18"/>
                <w:szCs w:val="18"/>
              </w:rPr>
              <w:t>Compara el método de las ciencias sociales con el de las naturales.</w:t>
            </w:r>
          </w:p>
        </w:tc>
      </w:tr>
      <w:tr w:rsidR="00990B14" w14:paraId="112D79EB" w14:textId="77777777">
        <w:trPr>
          <w:cantSplit/>
          <w:jc w:val="center"/>
        </w:trPr>
        <w:tc>
          <w:tcPr>
            <w:tcW w:w="1772" w:type="dxa"/>
            <w:vMerge/>
            <w:shd w:val="clear" w:color="auto" w:fill="4472C4"/>
            <w:vAlign w:val="center"/>
          </w:tcPr>
          <w:p w14:paraId="0C0A8192" w14:textId="77777777" w:rsidR="00990B14" w:rsidRDefault="00990B14">
            <w:pPr>
              <w:spacing w:before="20" w:after="20"/>
            </w:pPr>
          </w:p>
        </w:tc>
        <w:tc>
          <w:tcPr>
            <w:tcW w:w="1854" w:type="dxa"/>
            <w:shd w:val="clear" w:color="auto" w:fill="D9E2F3"/>
            <w:vAlign w:val="center"/>
          </w:tcPr>
          <w:p w14:paraId="0A198347" w14:textId="77777777" w:rsidR="00990B14" w:rsidRDefault="00000000">
            <w:pPr>
              <w:spacing w:before="20" w:after="20"/>
              <w:jc w:val="both"/>
            </w:pPr>
            <w:r>
              <w:rPr>
                <w:sz w:val="18"/>
                <w:szCs w:val="18"/>
              </w:rPr>
              <w:t>Relación con disciplinas</w:t>
            </w:r>
          </w:p>
        </w:tc>
        <w:tc>
          <w:tcPr>
            <w:tcW w:w="2015" w:type="dxa"/>
            <w:shd w:val="clear" w:color="auto" w:fill="D9E2F3"/>
            <w:vAlign w:val="center"/>
          </w:tcPr>
          <w:p w14:paraId="0FCDE7FA" w14:textId="77777777" w:rsidR="00990B14" w:rsidRDefault="00000000">
            <w:pPr>
              <w:spacing w:before="20" w:after="20"/>
              <w:jc w:val="both"/>
            </w:pPr>
            <w:r>
              <w:rPr>
                <w:sz w:val="18"/>
                <w:szCs w:val="18"/>
              </w:rPr>
              <w:t>Menciona las disciplinas sin relacionarlas.</w:t>
            </w:r>
          </w:p>
        </w:tc>
        <w:tc>
          <w:tcPr>
            <w:tcW w:w="1854" w:type="dxa"/>
            <w:shd w:val="clear" w:color="auto" w:fill="D9E2F3"/>
            <w:vAlign w:val="center"/>
          </w:tcPr>
          <w:p w14:paraId="69492999" w14:textId="77777777" w:rsidR="00990B14" w:rsidRDefault="00000000">
            <w:pPr>
              <w:spacing w:before="20" w:after="20"/>
              <w:jc w:val="both"/>
            </w:pPr>
            <w:r>
              <w:rPr>
                <w:sz w:val="18"/>
                <w:szCs w:val="18"/>
              </w:rPr>
              <w:t>Relaciona la economía con cada disciplina.</w:t>
            </w:r>
          </w:p>
        </w:tc>
        <w:tc>
          <w:tcPr>
            <w:tcW w:w="1910" w:type="dxa"/>
            <w:shd w:val="clear" w:color="auto" w:fill="D9E2F3"/>
            <w:vAlign w:val="center"/>
          </w:tcPr>
          <w:p w14:paraId="36CDD33C" w14:textId="77777777" w:rsidR="00990B14" w:rsidRDefault="00000000">
            <w:pPr>
              <w:spacing w:before="20" w:after="20"/>
              <w:jc w:val="both"/>
            </w:pPr>
            <w:r>
              <w:rPr>
                <w:sz w:val="18"/>
                <w:szCs w:val="18"/>
              </w:rPr>
              <w:t>Ilustra cada relación con un hecho de la realidad boliviana.</w:t>
            </w:r>
          </w:p>
        </w:tc>
      </w:tr>
      <w:tr w:rsidR="00990B14" w14:paraId="2305D632" w14:textId="77777777">
        <w:trPr>
          <w:cantSplit/>
          <w:jc w:val="center"/>
        </w:trPr>
        <w:tc>
          <w:tcPr>
            <w:tcW w:w="1772" w:type="dxa"/>
            <w:vMerge/>
            <w:shd w:val="clear" w:color="auto" w:fill="4472C4"/>
            <w:vAlign w:val="center"/>
          </w:tcPr>
          <w:p w14:paraId="18AAED09" w14:textId="77777777" w:rsidR="00990B14" w:rsidRDefault="00990B14">
            <w:pPr>
              <w:spacing w:before="20" w:after="20"/>
            </w:pPr>
          </w:p>
        </w:tc>
        <w:tc>
          <w:tcPr>
            <w:tcW w:w="1854" w:type="dxa"/>
            <w:shd w:val="clear" w:color="auto" w:fill="D9E2F3"/>
            <w:vAlign w:val="center"/>
          </w:tcPr>
          <w:p w14:paraId="705442BD" w14:textId="77777777" w:rsidR="00990B14" w:rsidRDefault="00000000">
            <w:pPr>
              <w:spacing w:before="20" w:after="20"/>
              <w:jc w:val="both"/>
            </w:pPr>
            <w:r>
              <w:rPr>
                <w:sz w:val="18"/>
                <w:szCs w:val="18"/>
              </w:rPr>
              <w:t>Redacción</w:t>
            </w:r>
          </w:p>
        </w:tc>
        <w:tc>
          <w:tcPr>
            <w:tcW w:w="2015" w:type="dxa"/>
            <w:shd w:val="clear" w:color="auto" w:fill="D9E2F3"/>
            <w:vAlign w:val="center"/>
          </w:tcPr>
          <w:p w14:paraId="6B915002" w14:textId="77777777" w:rsidR="00990B14" w:rsidRDefault="00000000">
            <w:pPr>
              <w:spacing w:before="20" w:after="20"/>
              <w:jc w:val="both"/>
            </w:pPr>
            <w:r>
              <w:rPr>
                <w:sz w:val="18"/>
                <w:szCs w:val="18"/>
              </w:rPr>
              <w:t>La redacción es confusa.</w:t>
            </w:r>
          </w:p>
        </w:tc>
        <w:tc>
          <w:tcPr>
            <w:tcW w:w="1854" w:type="dxa"/>
            <w:shd w:val="clear" w:color="auto" w:fill="D9E2F3"/>
            <w:vAlign w:val="center"/>
          </w:tcPr>
          <w:p w14:paraId="40B7469A" w14:textId="77777777" w:rsidR="00990B14" w:rsidRDefault="00000000">
            <w:pPr>
              <w:spacing w:before="20" w:after="20"/>
              <w:jc w:val="both"/>
            </w:pPr>
            <w:r>
              <w:rPr>
                <w:sz w:val="18"/>
                <w:szCs w:val="18"/>
              </w:rPr>
              <w:t>La redacción es clara y coherente.</w:t>
            </w:r>
          </w:p>
        </w:tc>
        <w:tc>
          <w:tcPr>
            <w:tcW w:w="1910" w:type="dxa"/>
            <w:shd w:val="clear" w:color="auto" w:fill="D9E2F3"/>
            <w:vAlign w:val="center"/>
          </w:tcPr>
          <w:p w14:paraId="521C4EBF" w14:textId="77777777" w:rsidR="00990B14" w:rsidRDefault="00000000">
            <w:pPr>
              <w:spacing w:before="20" w:after="20"/>
              <w:jc w:val="both"/>
            </w:pPr>
            <w:r>
              <w:rPr>
                <w:sz w:val="18"/>
                <w:szCs w:val="18"/>
              </w:rPr>
              <w:t>Cita fuentes pertinentes y argumenta con solidez.</w:t>
            </w:r>
          </w:p>
        </w:tc>
      </w:tr>
      <w:tr w:rsidR="00990B14" w14:paraId="6B211070" w14:textId="77777777">
        <w:trPr>
          <w:cantSplit/>
          <w:jc w:val="center"/>
        </w:trPr>
        <w:tc>
          <w:tcPr>
            <w:tcW w:w="1772" w:type="dxa"/>
            <w:vMerge/>
            <w:shd w:val="clear" w:color="auto" w:fill="4472C4"/>
            <w:vAlign w:val="center"/>
          </w:tcPr>
          <w:p w14:paraId="31F709B7" w14:textId="77777777" w:rsidR="00990B14" w:rsidRDefault="00990B14">
            <w:pPr>
              <w:spacing w:before="20" w:after="20"/>
            </w:pPr>
          </w:p>
        </w:tc>
        <w:tc>
          <w:tcPr>
            <w:tcW w:w="5723" w:type="dxa"/>
            <w:gridSpan w:val="3"/>
            <w:shd w:val="clear" w:color="auto" w:fill="D9E2F3"/>
            <w:vAlign w:val="center"/>
          </w:tcPr>
          <w:p w14:paraId="6D3C8B3E" w14:textId="77777777" w:rsidR="00990B14" w:rsidRDefault="00000000">
            <w:pPr>
              <w:keepNext/>
              <w:spacing w:before="20" w:after="20"/>
              <w:jc w:val="both"/>
            </w:pPr>
            <w:r>
              <w:rPr>
                <w:b/>
                <w:bCs/>
                <w:i/>
                <w:iCs/>
                <w:sz w:val="18"/>
                <w:szCs w:val="18"/>
              </w:rPr>
              <w:t xml:space="preserve">Producto 4: </w:t>
            </w:r>
            <w:r>
              <w:rPr>
                <w:sz w:val="18"/>
                <w:szCs w:val="18"/>
              </w:rPr>
              <w:t>Informe sobre el enfoque sistémico</w:t>
            </w:r>
          </w:p>
        </w:tc>
        <w:tc>
          <w:tcPr>
            <w:tcW w:w="1910" w:type="dxa"/>
            <w:shd w:val="clear" w:color="auto" w:fill="D9E2F3"/>
            <w:vAlign w:val="center"/>
          </w:tcPr>
          <w:p w14:paraId="46B6BA97" w14:textId="77777777" w:rsidR="00990B14" w:rsidRDefault="00000000">
            <w:pPr>
              <w:spacing w:before="20" w:after="20"/>
              <w:jc w:val="center"/>
            </w:pPr>
            <w:r>
              <w:rPr>
                <w:b/>
                <w:bCs/>
                <w:sz w:val="18"/>
                <w:szCs w:val="18"/>
              </w:rPr>
              <w:t>2%</w:t>
            </w:r>
          </w:p>
        </w:tc>
      </w:tr>
      <w:tr w:rsidR="00990B14" w14:paraId="7A31BD8D" w14:textId="77777777">
        <w:trPr>
          <w:cantSplit/>
          <w:jc w:val="center"/>
        </w:trPr>
        <w:tc>
          <w:tcPr>
            <w:tcW w:w="1772" w:type="dxa"/>
            <w:vMerge/>
            <w:shd w:val="clear" w:color="auto" w:fill="4472C4"/>
            <w:vAlign w:val="center"/>
          </w:tcPr>
          <w:p w14:paraId="6E8093DE" w14:textId="77777777" w:rsidR="00990B14" w:rsidRDefault="00990B14">
            <w:pPr>
              <w:spacing w:before="20" w:after="20"/>
            </w:pPr>
          </w:p>
        </w:tc>
        <w:tc>
          <w:tcPr>
            <w:tcW w:w="1854" w:type="dxa"/>
            <w:shd w:val="clear" w:color="auto" w:fill="4472C4"/>
            <w:vAlign w:val="center"/>
          </w:tcPr>
          <w:p w14:paraId="55B59D2A"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335B354B" w14:textId="77777777" w:rsidR="00990B14" w:rsidRDefault="00000000">
            <w:pPr>
              <w:keepNext/>
              <w:spacing w:before="20" w:after="20"/>
              <w:jc w:val="center"/>
            </w:pPr>
            <w:r>
              <w:rPr>
                <w:b/>
                <w:bCs/>
                <w:i/>
                <w:iCs/>
                <w:color w:val="FFFFFF"/>
                <w:sz w:val="18"/>
                <w:szCs w:val="18"/>
              </w:rPr>
              <w:t>Insuficiente (1–50)</w:t>
            </w:r>
          </w:p>
        </w:tc>
        <w:tc>
          <w:tcPr>
            <w:tcW w:w="1854" w:type="dxa"/>
            <w:shd w:val="clear" w:color="auto" w:fill="4472C4"/>
            <w:vAlign w:val="center"/>
          </w:tcPr>
          <w:p w14:paraId="4D183A57"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3582E902" w14:textId="77777777" w:rsidR="00990B14" w:rsidRDefault="00000000">
            <w:pPr>
              <w:keepNext/>
              <w:spacing w:before="20" w:after="20"/>
              <w:jc w:val="center"/>
            </w:pPr>
            <w:r>
              <w:rPr>
                <w:b/>
                <w:bCs/>
                <w:i/>
                <w:iCs/>
                <w:color w:val="FFFFFF"/>
                <w:sz w:val="18"/>
                <w:szCs w:val="18"/>
              </w:rPr>
              <w:t>Destacado (81–100)</w:t>
            </w:r>
          </w:p>
        </w:tc>
      </w:tr>
      <w:tr w:rsidR="00990B14" w14:paraId="7CE333E3" w14:textId="77777777">
        <w:trPr>
          <w:cantSplit/>
          <w:jc w:val="center"/>
        </w:trPr>
        <w:tc>
          <w:tcPr>
            <w:tcW w:w="1772" w:type="dxa"/>
            <w:vMerge/>
            <w:shd w:val="clear" w:color="auto" w:fill="4472C4"/>
            <w:vAlign w:val="center"/>
          </w:tcPr>
          <w:p w14:paraId="6141C388" w14:textId="77777777" w:rsidR="00990B14" w:rsidRDefault="00990B14">
            <w:pPr>
              <w:spacing w:before="20" w:after="20"/>
            </w:pPr>
          </w:p>
        </w:tc>
        <w:tc>
          <w:tcPr>
            <w:tcW w:w="1854" w:type="dxa"/>
            <w:shd w:val="clear" w:color="auto" w:fill="D9E2F3"/>
            <w:vAlign w:val="center"/>
          </w:tcPr>
          <w:p w14:paraId="32F7153E" w14:textId="77777777" w:rsidR="00990B14" w:rsidRDefault="00000000">
            <w:pPr>
              <w:spacing w:before="20" w:after="20"/>
              <w:jc w:val="both"/>
            </w:pPr>
            <w:r>
              <w:rPr>
                <w:sz w:val="18"/>
                <w:szCs w:val="18"/>
              </w:rPr>
              <w:t>Enfoque sistémico</w:t>
            </w:r>
          </w:p>
        </w:tc>
        <w:tc>
          <w:tcPr>
            <w:tcW w:w="2015" w:type="dxa"/>
            <w:shd w:val="clear" w:color="auto" w:fill="D9E2F3"/>
            <w:vAlign w:val="center"/>
          </w:tcPr>
          <w:p w14:paraId="4BF6C763" w14:textId="77777777" w:rsidR="00990B14" w:rsidRDefault="00000000">
            <w:pPr>
              <w:spacing w:before="20" w:after="20"/>
              <w:jc w:val="both"/>
            </w:pPr>
            <w:r>
              <w:rPr>
                <w:sz w:val="18"/>
                <w:szCs w:val="18"/>
              </w:rPr>
              <w:t>Describe el sistema sin relacionarlo con la economía.</w:t>
            </w:r>
          </w:p>
        </w:tc>
        <w:tc>
          <w:tcPr>
            <w:tcW w:w="1854" w:type="dxa"/>
            <w:shd w:val="clear" w:color="auto" w:fill="D9E2F3"/>
            <w:vAlign w:val="center"/>
          </w:tcPr>
          <w:p w14:paraId="554BEEF7" w14:textId="77777777" w:rsidR="00990B14" w:rsidRDefault="00000000">
            <w:pPr>
              <w:spacing w:before="20" w:after="20"/>
              <w:jc w:val="both"/>
            </w:pPr>
            <w:r>
              <w:rPr>
                <w:sz w:val="18"/>
                <w:szCs w:val="18"/>
              </w:rPr>
              <w:t>Aplica el enfoque sistémico a la ciencia económica.</w:t>
            </w:r>
          </w:p>
        </w:tc>
        <w:tc>
          <w:tcPr>
            <w:tcW w:w="1910" w:type="dxa"/>
            <w:shd w:val="clear" w:color="auto" w:fill="D9E2F3"/>
            <w:vAlign w:val="center"/>
          </w:tcPr>
          <w:p w14:paraId="5D1B56F1" w14:textId="77777777" w:rsidR="00990B14" w:rsidRDefault="00000000">
            <w:pPr>
              <w:spacing w:before="20" w:after="20"/>
              <w:jc w:val="both"/>
            </w:pPr>
            <w:r>
              <w:rPr>
                <w:sz w:val="18"/>
                <w:szCs w:val="18"/>
              </w:rPr>
              <w:t>Representa el sistema económico con sus subsistemas.</w:t>
            </w:r>
          </w:p>
        </w:tc>
      </w:tr>
      <w:tr w:rsidR="00990B14" w14:paraId="55FB2AA9" w14:textId="77777777">
        <w:trPr>
          <w:cantSplit/>
          <w:jc w:val="center"/>
        </w:trPr>
        <w:tc>
          <w:tcPr>
            <w:tcW w:w="1772" w:type="dxa"/>
            <w:vMerge/>
            <w:shd w:val="clear" w:color="auto" w:fill="4472C4"/>
            <w:vAlign w:val="center"/>
          </w:tcPr>
          <w:p w14:paraId="334A9196" w14:textId="77777777" w:rsidR="00990B14" w:rsidRDefault="00990B14">
            <w:pPr>
              <w:spacing w:before="20" w:after="20"/>
            </w:pPr>
          </w:p>
        </w:tc>
        <w:tc>
          <w:tcPr>
            <w:tcW w:w="1854" w:type="dxa"/>
            <w:shd w:val="clear" w:color="auto" w:fill="D9E2F3"/>
            <w:vAlign w:val="center"/>
          </w:tcPr>
          <w:p w14:paraId="4EC006BA" w14:textId="77777777" w:rsidR="00990B14" w:rsidRDefault="00000000">
            <w:pPr>
              <w:spacing w:before="20" w:after="20"/>
              <w:jc w:val="both"/>
            </w:pPr>
            <w:r>
              <w:rPr>
                <w:sz w:val="18"/>
                <w:szCs w:val="18"/>
              </w:rPr>
              <w:t>Micro y macroeconomía</w:t>
            </w:r>
          </w:p>
        </w:tc>
        <w:tc>
          <w:tcPr>
            <w:tcW w:w="2015" w:type="dxa"/>
            <w:shd w:val="clear" w:color="auto" w:fill="D9E2F3"/>
            <w:vAlign w:val="center"/>
          </w:tcPr>
          <w:p w14:paraId="37CEE23D" w14:textId="77777777" w:rsidR="00990B14" w:rsidRDefault="00000000">
            <w:pPr>
              <w:spacing w:before="20" w:after="20"/>
              <w:jc w:val="both"/>
            </w:pPr>
            <w:r>
              <w:rPr>
                <w:sz w:val="18"/>
                <w:szCs w:val="18"/>
              </w:rPr>
              <w:t>Confunde el alcance de ambas ramas.</w:t>
            </w:r>
          </w:p>
        </w:tc>
        <w:tc>
          <w:tcPr>
            <w:tcW w:w="1854" w:type="dxa"/>
            <w:shd w:val="clear" w:color="auto" w:fill="D9E2F3"/>
            <w:vAlign w:val="center"/>
          </w:tcPr>
          <w:p w14:paraId="16CA21BE" w14:textId="77777777" w:rsidR="00990B14" w:rsidRDefault="00000000">
            <w:pPr>
              <w:spacing w:before="20" w:after="20"/>
              <w:jc w:val="both"/>
            </w:pPr>
            <w:r>
              <w:rPr>
                <w:sz w:val="18"/>
                <w:szCs w:val="18"/>
              </w:rPr>
              <w:t>Distingue el objeto de la microeconomía y de la macroeconomía.</w:t>
            </w:r>
          </w:p>
        </w:tc>
        <w:tc>
          <w:tcPr>
            <w:tcW w:w="1910" w:type="dxa"/>
            <w:shd w:val="clear" w:color="auto" w:fill="D9E2F3"/>
            <w:vAlign w:val="center"/>
          </w:tcPr>
          <w:p w14:paraId="637D38DC" w14:textId="77777777" w:rsidR="00990B14" w:rsidRDefault="00000000">
            <w:pPr>
              <w:spacing w:before="20" w:after="20"/>
              <w:jc w:val="both"/>
            </w:pPr>
            <w:r>
              <w:rPr>
                <w:sz w:val="18"/>
                <w:szCs w:val="18"/>
              </w:rPr>
              <w:t>Propone ejemplos que muestran la relación entre ambas.</w:t>
            </w:r>
          </w:p>
        </w:tc>
      </w:tr>
      <w:tr w:rsidR="00990B14" w14:paraId="7E936E02" w14:textId="77777777">
        <w:trPr>
          <w:cantSplit/>
          <w:jc w:val="center"/>
        </w:trPr>
        <w:tc>
          <w:tcPr>
            <w:tcW w:w="1772" w:type="dxa"/>
            <w:vMerge/>
            <w:shd w:val="clear" w:color="auto" w:fill="4472C4"/>
            <w:vAlign w:val="center"/>
          </w:tcPr>
          <w:p w14:paraId="1FA06DF6" w14:textId="77777777" w:rsidR="00990B14" w:rsidRDefault="00990B14">
            <w:pPr>
              <w:spacing w:before="20" w:after="20"/>
            </w:pPr>
          </w:p>
        </w:tc>
        <w:tc>
          <w:tcPr>
            <w:tcW w:w="1854" w:type="dxa"/>
            <w:shd w:val="clear" w:color="auto" w:fill="D9E2F3"/>
            <w:vAlign w:val="center"/>
          </w:tcPr>
          <w:p w14:paraId="68A744AA" w14:textId="77777777" w:rsidR="00990B14" w:rsidRDefault="00000000">
            <w:pPr>
              <w:spacing w:before="20" w:after="20"/>
              <w:jc w:val="both"/>
            </w:pPr>
            <w:r>
              <w:rPr>
                <w:sz w:val="18"/>
                <w:szCs w:val="18"/>
              </w:rPr>
              <w:t>Sustentación</w:t>
            </w:r>
          </w:p>
        </w:tc>
        <w:tc>
          <w:tcPr>
            <w:tcW w:w="2015" w:type="dxa"/>
            <w:shd w:val="clear" w:color="auto" w:fill="D9E2F3"/>
            <w:vAlign w:val="center"/>
          </w:tcPr>
          <w:p w14:paraId="740226D7" w14:textId="77777777" w:rsidR="00990B14" w:rsidRDefault="00000000">
            <w:pPr>
              <w:spacing w:before="20" w:after="20"/>
              <w:jc w:val="both"/>
            </w:pPr>
            <w:r>
              <w:rPr>
                <w:sz w:val="18"/>
                <w:szCs w:val="18"/>
              </w:rPr>
              <w:t>No responde las preguntas planteadas.</w:t>
            </w:r>
          </w:p>
        </w:tc>
        <w:tc>
          <w:tcPr>
            <w:tcW w:w="1854" w:type="dxa"/>
            <w:shd w:val="clear" w:color="auto" w:fill="D9E2F3"/>
            <w:vAlign w:val="center"/>
          </w:tcPr>
          <w:p w14:paraId="1198F454" w14:textId="77777777" w:rsidR="00990B14" w:rsidRDefault="00000000">
            <w:pPr>
              <w:spacing w:before="20" w:after="20"/>
              <w:jc w:val="both"/>
            </w:pPr>
            <w:r>
              <w:rPr>
                <w:sz w:val="18"/>
                <w:szCs w:val="18"/>
              </w:rPr>
              <w:t>Sustenta con claridad las ideas centrales.</w:t>
            </w:r>
          </w:p>
        </w:tc>
        <w:tc>
          <w:tcPr>
            <w:tcW w:w="1910" w:type="dxa"/>
            <w:shd w:val="clear" w:color="auto" w:fill="D9E2F3"/>
            <w:vAlign w:val="center"/>
          </w:tcPr>
          <w:p w14:paraId="33E1F57C" w14:textId="77777777" w:rsidR="00990B14" w:rsidRDefault="00000000">
            <w:pPr>
              <w:spacing w:before="20" w:after="20"/>
              <w:jc w:val="both"/>
            </w:pPr>
            <w:r>
              <w:rPr>
                <w:sz w:val="18"/>
                <w:szCs w:val="18"/>
              </w:rPr>
              <w:t>Defiende sus conclusiones con argumentos propios.</w:t>
            </w:r>
          </w:p>
        </w:tc>
      </w:tr>
      <w:tr w:rsidR="00990B14" w14:paraId="472B3D8F" w14:textId="77777777">
        <w:trPr>
          <w:cantSplit/>
          <w:jc w:val="center"/>
        </w:trPr>
        <w:tc>
          <w:tcPr>
            <w:tcW w:w="1772" w:type="dxa"/>
            <w:vMerge/>
            <w:shd w:val="clear" w:color="auto" w:fill="4472C4"/>
            <w:vAlign w:val="center"/>
          </w:tcPr>
          <w:p w14:paraId="78F04C5E" w14:textId="77777777" w:rsidR="00990B14" w:rsidRDefault="00990B14">
            <w:pPr>
              <w:spacing w:before="20" w:after="20"/>
            </w:pPr>
          </w:p>
        </w:tc>
        <w:tc>
          <w:tcPr>
            <w:tcW w:w="5723" w:type="dxa"/>
            <w:gridSpan w:val="3"/>
            <w:shd w:val="clear" w:color="auto" w:fill="D9E2F3"/>
            <w:vAlign w:val="center"/>
          </w:tcPr>
          <w:p w14:paraId="35AEA5EA" w14:textId="77777777" w:rsidR="00990B14" w:rsidRDefault="00000000">
            <w:pPr>
              <w:keepNext/>
              <w:spacing w:before="20" w:after="20"/>
              <w:jc w:val="both"/>
            </w:pPr>
            <w:r>
              <w:rPr>
                <w:b/>
                <w:bCs/>
                <w:i/>
                <w:iCs/>
                <w:sz w:val="18"/>
                <w:szCs w:val="18"/>
              </w:rPr>
              <w:t xml:space="preserve">Producto 5: </w:t>
            </w:r>
            <w:r>
              <w:rPr>
                <w:sz w:val="18"/>
                <w:szCs w:val="18"/>
              </w:rPr>
              <w:t>Modelo gráfico de oferta y demanda</w:t>
            </w:r>
          </w:p>
        </w:tc>
        <w:tc>
          <w:tcPr>
            <w:tcW w:w="1910" w:type="dxa"/>
            <w:shd w:val="clear" w:color="auto" w:fill="D9E2F3"/>
            <w:vAlign w:val="center"/>
          </w:tcPr>
          <w:p w14:paraId="081FCDEA" w14:textId="77777777" w:rsidR="00990B14" w:rsidRDefault="00000000">
            <w:pPr>
              <w:spacing w:before="20" w:after="20"/>
              <w:jc w:val="center"/>
            </w:pPr>
            <w:r>
              <w:rPr>
                <w:b/>
                <w:bCs/>
                <w:sz w:val="18"/>
                <w:szCs w:val="18"/>
              </w:rPr>
              <w:t>10%</w:t>
            </w:r>
          </w:p>
        </w:tc>
      </w:tr>
      <w:tr w:rsidR="00990B14" w14:paraId="7D81A082" w14:textId="77777777">
        <w:trPr>
          <w:cantSplit/>
          <w:jc w:val="center"/>
        </w:trPr>
        <w:tc>
          <w:tcPr>
            <w:tcW w:w="1772" w:type="dxa"/>
            <w:vMerge/>
            <w:shd w:val="clear" w:color="auto" w:fill="4472C4"/>
            <w:vAlign w:val="center"/>
          </w:tcPr>
          <w:p w14:paraId="60E56F96" w14:textId="77777777" w:rsidR="00990B14" w:rsidRDefault="00990B14">
            <w:pPr>
              <w:spacing w:before="20" w:after="20"/>
            </w:pPr>
          </w:p>
        </w:tc>
        <w:tc>
          <w:tcPr>
            <w:tcW w:w="1854" w:type="dxa"/>
            <w:shd w:val="clear" w:color="auto" w:fill="4472C4"/>
            <w:vAlign w:val="center"/>
          </w:tcPr>
          <w:p w14:paraId="5CF6C91F"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028E9F3B" w14:textId="77777777" w:rsidR="00990B14" w:rsidRDefault="00000000">
            <w:pPr>
              <w:keepNext/>
              <w:spacing w:before="20" w:after="20"/>
              <w:jc w:val="center"/>
            </w:pPr>
            <w:r>
              <w:rPr>
                <w:b/>
                <w:bCs/>
                <w:i/>
                <w:iCs/>
                <w:color w:val="FFFFFF"/>
                <w:sz w:val="18"/>
                <w:szCs w:val="18"/>
              </w:rPr>
              <w:t>Insuficiente (1–50)</w:t>
            </w:r>
          </w:p>
        </w:tc>
        <w:tc>
          <w:tcPr>
            <w:tcW w:w="1854" w:type="dxa"/>
            <w:shd w:val="clear" w:color="auto" w:fill="4472C4"/>
            <w:vAlign w:val="center"/>
          </w:tcPr>
          <w:p w14:paraId="347F3C4D"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103933B7" w14:textId="77777777" w:rsidR="00990B14" w:rsidRDefault="00000000">
            <w:pPr>
              <w:keepNext/>
              <w:spacing w:before="20" w:after="20"/>
              <w:jc w:val="center"/>
            </w:pPr>
            <w:r>
              <w:rPr>
                <w:b/>
                <w:bCs/>
                <w:i/>
                <w:iCs/>
                <w:color w:val="FFFFFF"/>
                <w:sz w:val="18"/>
                <w:szCs w:val="18"/>
              </w:rPr>
              <w:t>Destacado (81–100)</w:t>
            </w:r>
          </w:p>
        </w:tc>
      </w:tr>
      <w:tr w:rsidR="00990B14" w14:paraId="68C02917" w14:textId="77777777">
        <w:trPr>
          <w:cantSplit/>
          <w:jc w:val="center"/>
        </w:trPr>
        <w:tc>
          <w:tcPr>
            <w:tcW w:w="1772" w:type="dxa"/>
            <w:vMerge/>
            <w:shd w:val="clear" w:color="auto" w:fill="4472C4"/>
            <w:vAlign w:val="center"/>
          </w:tcPr>
          <w:p w14:paraId="70F7A1CC" w14:textId="77777777" w:rsidR="00990B14" w:rsidRDefault="00990B14">
            <w:pPr>
              <w:spacing w:before="20" w:after="20"/>
            </w:pPr>
          </w:p>
        </w:tc>
        <w:tc>
          <w:tcPr>
            <w:tcW w:w="1854" w:type="dxa"/>
            <w:shd w:val="clear" w:color="auto" w:fill="D9E2F3"/>
            <w:vAlign w:val="center"/>
          </w:tcPr>
          <w:p w14:paraId="6706F1A3" w14:textId="77777777" w:rsidR="00990B14" w:rsidRDefault="00000000">
            <w:pPr>
              <w:spacing w:before="20" w:after="20"/>
              <w:jc w:val="both"/>
            </w:pPr>
            <w:r>
              <w:rPr>
                <w:sz w:val="18"/>
                <w:szCs w:val="18"/>
              </w:rPr>
              <w:t>Representación</w:t>
            </w:r>
          </w:p>
        </w:tc>
        <w:tc>
          <w:tcPr>
            <w:tcW w:w="2015" w:type="dxa"/>
            <w:shd w:val="clear" w:color="auto" w:fill="D9E2F3"/>
            <w:vAlign w:val="center"/>
          </w:tcPr>
          <w:p w14:paraId="1070F507" w14:textId="77777777" w:rsidR="00990B14" w:rsidRDefault="00000000">
            <w:pPr>
              <w:spacing w:before="20" w:after="20"/>
              <w:jc w:val="both"/>
            </w:pPr>
            <w:r>
              <w:rPr>
                <w:sz w:val="18"/>
                <w:szCs w:val="18"/>
              </w:rPr>
              <w:t>Las curvas no corresponden a la función dada.</w:t>
            </w:r>
          </w:p>
        </w:tc>
        <w:tc>
          <w:tcPr>
            <w:tcW w:w="1854" w:type="dxa"/>
            <w:shd w:val="clear" w:color="auto" w:fill="D9E2F3"/>
            <w:vAlign w:val="center"/>
          </w:tcPr>
          <w:p w14:paraId="5874B5DA" w14:textId="77777777" w:rsidR="00990B14" w:rsidRDefault="00000000">
            <w:pPr>
              <w:spacing w:before="20" w:after="20"/>
              <w:jc w:val="both"/>
            </w:pPr>
            <w:r>
              <w:rPr>
                <w:sz w:val="18"/>
                <w:szCs w:val="18"/>
              </w:rPr>
              <w:t>Representa la demanda y la oferta en forma funcional, tabular y gráfica.</w:t>
            </w:r>
          </w:p>
        </w:tc>
        <w:tc>
          <w:tcPr>
            <w:tcW w:w="1910" w:type="dxa"/>
            <w:shd w:val="clear" w:color="auto" w:fill="D9E2F3"/>
            <w:vAlign w:val="center"/>
          </w:tcPr>
          <w:p w14:paraId="107161C3" w14:textId="77777777" w:rsidR="00990B14" w:rsidRDefault="00000000">
            <w:pPr>
              <w:spacing w:before="20" w:after="20"/>
              <w:jc w:val="both"/>
            </w:pPr>
            <w:r>
              <w:rPr>
                <w:sz w:val="18"/>
                <w:szCs w:val="18"/>
              </w:rPr>
              <w:t>Verifica el equilibrio en las tres formas de representación.</w:t>
            </w:r>
          </w:p>
        </w:tc>
      </w:tr>
      <w:tr w:rsidR="00990B14" w14:paraId="19FFA0B2" w14:textId="77777777">
        <w:trPr>
          <w:cantSplit/>
          <w:jc w:val="center"/>
        </w:trPr>
        <w:tc>
          <w:tcPr>
            <w:tcW w:w="1772" w:type="dxa"/>
            <w:vMerge/>
            <w:shd w:val="clear" w:color="auto" w:fill="4472C4"/>
            <w:vAlign w:val="center"/>
          </w:tcPr>
          <w:p w14:paraId="2EF53A7D" w14:textId="77777777" w:rsidR="00990B14" w:rsidRDefault="00990B14">
            <w:pPr>
              <w:spacing w:before="20" w:after="20"/>
            </w:pPr>
          </w:p>
        </w:tc>
        <w:tc>
          <w:tcPr>
            <w:tcW w:w="1854" w:type="dxa"/>
            <w:shd w:val="clear" w:color="auto" w:fill="D9E2F3"/>
            <w:vAlign w:val="center"/>
          </w:tcPr>
          <w:p w14:paraId="10D18CCD" w14:textId="77777777" w:rsidR="00990B14" w:rsidRDefault="00000000">
            <w:pPr>
              <w:spacing w:before="20" w:after="20"/>
              <w:jc w:val="both"/>
            </w:pPr>
            <w:r>
              <w:rPr>
                <w:sz w:val="18"/>
                <w:szCs w:val="18"/>
              </w:rPr>
              <w:t>Desplazamientos</w:t>
            </w:r>
          </w:p>
        </w:tc>
        <w:tc>
          <w:tcPr>
            <w:tcW w:w="2015" w:type="dxa"/>
            <w:shd w:val="clear" w:color="auto" w:fill="D9E2F3"/>
            <w:vAlign w:val="center"/>
          </w:tcPr>
          <w:p w14:paraId="52136193" w14:textId="77777777" w:rsidR="00990B14" w:rsidRDefault="00000000">
            <w:pPr>
              <w:spacing w:before="20" w:after="20"/>
              <w:jc w:val="both"/>
            </w:pPr>
            <w:r>
              <w:rPr>
                <w:sz w:val="18"/>
                <w:szCs w:val="18"/>
              </w:rPr>
              <w:t>Confunde el cambio en la cantidad con el desplazamiento.</w:t>
            </w:r>
          </w:p>
        </w:tc>
        <w:tc>
          <w:tcPr>
            <w:tcW w:w="1854" w:type="dxa"/>
            <w:shd w:val="clear" w:color="auto" w:fill="D9E2F3"/>
            <w:vAlign w:val="center"/>
          </w:tcPr>
          <w:p w14:paraId="4C931AB8" w14:textId="77777777" w:rsidR="00990B14" w:rsidRDefault="00000000">
            <w:pPr>
              <w:spacing w:before="20" w:after="20"/>
              <w:jc w:val="both"/>
            </w:pPr>
            <w:r>
              <w:rPr>
                <w:sz w:val="18"/>
                <w:szCs w:val="18"/>
              </w:rPr>
              <w:t>Distingue el cambio en la cantidad del desplazamiento de la curva.</w:t>
            </w:r>
          </w:p>
        </w:tc>
        <w:tc>
          <w:tcPr>
            <w:tcW w:w="1910" w:type="dxa"/>
            <w:shd w:val="clear" w:color="auto" w:fill="D9E2F3"/>
            <w:vAlign w:val="center"/>
          </w:tcPr>
          <w:p w14:paraId="4274E846" w14:textId="77777777" w:rsidR="00990B14" w:rsidRDefault="00000000">
            <w:pPr>
              <w:spacing w:before="20" w:after="20"/>
              <w:jc w:val="both"/>
            </w:pPr>
            <w:r>
              <w:rPr>
                <w:sz w:val="18"/>
                <w:szCs w:val="18"/>
              </w:rPr>
              <w:t>Explica el nuevo equilibrio con un hecho del mercado boliviano.</w:t>
            </w:r>
          </w:p>
        </w:tc>
      </w:tr>
      <w:tr w:rsidR="00990B14" w14:paraId="4494E8EB" w14:textId="77777777">
        <w:trPr>
          <w:cantSplit/>
          <w:jc w:val="center"/>
        </w:trPr>
        <w:tc>
          <w:tcPr>
            <w:tcW w:w="1772" w:type="dxa"/>
            <w:vMerge/>
            <w:shd w:val="clear" w:color="auto" w:fill="4472C4"/>
            <w:vAlign w:val="center"/>
          </w:tcPr>
          <w:p w14:paraId="7EC48947" w14:textId="77777777" w:rsidR="00990B14" w:rsidRDefault="00990B14">
            <w:pPr>
              <w:spacing w:before="20" w:after="20"/>
            </w:pPr>
          </w:p>
        </w:tc>
        <w:tc>
          <w:tcPr>
            <w:tcW w:w="1854" w:type="dxa"/>
            <w:shd w:val="clear" w:color="auto" w:fill="D9E2F3"/>
            <w:vAlign w:val="center"/>
          </w:tcPr>
          <w:p w14:paraId="54D366F9" w14:textId="77777777" w:rsidR="00990B14" w:rsidRDefault="00000000">
            <w:pPr>
              <w:spacing w:before="20" w:after="20"/>
              <w:jc w:val="both"/>
            </w:pPr>
            <w:r>
              <w:rPr>
                <w:sz w:val="18"/>
                <w:szCs w:val="18"/>
              </w:rPr>
              <w:t>Exactitud</w:t>
            </w:r>
          </w:p>
        </w:tc>
        <w:tc>
          <w:tcPr>
            <w:tcW w:w="2015" w:type="dxa"/>
            <w:shd w:val="clear" w:color="auto" w:fill="D9E2F3"/>
            <w:vAlign w:val="center"/>
          </w:tcPr>
          <w:p w14:paraId="4D2233CD" w14:textId="77777777" w:rsidR="00990B14" w:rsidRDefault="00000000">
            <w:pPr>
              <w:spacing w:before="20" w:after="20"/>
              <w:jc w:val="both"/>
            </w:pPr>
            <w:r>
              <w:rPr>
                <w:sz w:val="18"/>
                <w:szCs w:val="18"/>
              </w:rPr>
              <w:t>Presenta errores de cálculo.</w:t>
            </w:r>
          </w:p>
        </w:tc>
        <w:tc>
          <w:tcPr>
            <w:tcW w:w="1854" w:type="dxa"/>
            <w:shd w:val="clear" w:color="auto" w:fill="D9E2F3"/>
            <w:vAlign w:val="center"/>
          </w:tcPr>
          <w:p w14:paraId="342A150B" w14:textId="77777777" w:rsidR="00990B14" w:rsidRDefault="00000000">
            <w:pPr>
              <w:spacing w:before="20" w:after="20"/>
              <w:jc w:val="both"/>
            </w:pPr>
            <w:r>
              <w:rPr>
                <w:sz w:val="18"/>
                <w:szCs w:val="18"/>
              </w:rPr>
              <w:t>Calcula correctamente el precio y la cantidad de equilibrio.</w:t>
            </w:r>
          </w:p>
        </w:tc>
        <w:tc>
          <w:tcPr>
            <w:tcW w:w="1910" w:type="dxa"/>
            <w:shd w:val="clear" w:color="auto" w:fill="D9E2F3"/>
            <w:vAlign w:val="center"/>
          </w:tcPr>
          <w:p w14:paraId="4D760B1B" w14:textId="77777777" w:rsidR="00990B14" w:rsidRDefault="00000000">
            <w:pPr>
              <w:spacing w:before="20" w:after="20"/>
              <w:jc w:val="both"/>
            </w:pPr>
            <w:r>
              <w:rPr>
                <w:sz w:val="18"/>
                <w:szCs w:val="18"/>
              </w:rPr>
              <w:t>Compara los equilibrios antes y después del cambio.</w:t>
            </w:r>
          </w:p>
        </w:tc>
      </w:tr>
      <w:tr w:rsidR="00990B14" w14:paraId="7771B853" w14:textId="77777777">
        <w:trPr>
          <w:cantSplit/>
          <w:jc w:val="center"/>
        </w:trPr>
        <w:tc>
          <w:tcPr>
            <w:tcW w:w="1772" w:type="dxa"/>
            <w:vMerge/>
            <w:shd w:val="clear" w:color="auto" w:fill="4472C4"/>
            <w:vAlign w:val="center"/>
          </w:tcPr>
          <w:p w14:paraId="1FB85E9B" w14:textId="77777777" w:rsidR="00990B14" w:rsidRDefault="00990B14">
            <w:pPr>
              <w:spacing w:before="20" w:after="20"/>
            </w:pPr>
          </w:p>
        </w:tc>
        <w:tc>
          <w:tcPr>
            <w:tcW w:w="5723" w:type="dxa"/>
            <w:gridSpan w:val="3"/>
            <w:shd w:val="clear" w:color="auto" w:fill="D9E2F3"/>
            <w:vAlign w:val="center"/>
          </w:tcPr>
          <w:p w14:paraId="7F1234F9" w14:textId="77777777" w:rsidR="00990B14" w:rsidRDefault="00000000">
            <w:pPr>
              <w:keepNext/>
              <w:spacing w:before="20" w:after="20"/>
              <w:jc w:val="both"/>
            </w:pPr>
            <w:r>
              <w:rPr>
                <w:b/>
                <w:bCs/>
                <w:i/>
                <w:iCs/>
                <w:sz w:val="18"/>
                <w:szCs w:val="18"/>
              </w:rPr>
              <w:t xml:space="preserve">Producto 6: </w:t>
            </w:r>
            <w:r>
              <w:rPr>
                <w:sz w:val="18"/>
                <w:szCs w:val="18"/>
              </w:rPr>
              <w:t>Hoja de cálculo de la elasticidad</w:t>
            </w:r>
          </w:p>
        </w:tc>
        <w:tc>
          <w:tcPr>
            <w:tcW w:w="1910" w:type="dxa"/>
            <w:shd w:val="clear" w:color="auto" w:fill="D9E2F3"/>
            <w:vAlign w:val="center"/>
          </w:tcPr>
          <w:p w14:paraId="78873E66" w14:textId="77777777" w:rsidR="00990B14" w:rsidRDefault="00000000">
            <w:pPr>
              <w:spacing w:before="20" w:after="20"/>
              <w:jc w:val="center"/>
            </w:pPr>
            <w:r>
              <w:rPr>
                <w:b/>
                <w:bCs/>
                <w:sz w:val="18"/>
                <w:szCs w:val="18"/>
              </w:rPr>
              <w:t>10%</w:t>
            </w:r>
          </w:p>
        </w:tc>
      </w:tr>
      <w:tr w:rsidR="00990B14" w14:paraId="43DC3093" w14:textId="77777777">
        <w:trPr>
          <w:cantSplit/>
          <w:jc w:val="center"/>
        </w:trPr>
        <w:tc>
          <w:tcPr>
            <w:tcW w:w="1772" w:type="dxa"/>
            <w:vMerge/>
            <w:shd w:val="clear" w:color="auto" w:fill="4472C4"/>
            <w:vAlign w:val="center"/>
          </w:tcPr>
          <w:p w14:paraId="60B9504C" w14:textId="77777777" w:rsidR="00990B14" w:rsidRDefault="00990B14">
            <w:pPr>
              <w:spacing w:before="20" w:after="20"/>
            </w:pPr>
          </w:p>
        </w:tc>
        <w:tc>
          <w:tcPr>
            <w:tcW w:w="1854" w:type="dxa"/>
            <w:shd w:val="clear" w:color="auto" w:fill="4472C4"/>
            <w:vAlign w:val="center"/>
          </w:tcPr>
          <w:p w14:paraId="404A4F19"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7DC9439A" w14:textId="77777777" w:rsidR="00990B14" w:rsidRDefault="00000000">
            <w:pPr>
              <w:keepNext/>
              <w:spacing w:before="20" w:after="20"/>
              <w:jc w:val="center"/>
            </w:pPr>
            <w:r>
              <w:rPr>
                <w:b/>
                <w:bCs/>
                <w:i/>
                <w:iCs/>
                <w:color w:val="FFFFFF"/>
                <w:sz w:val="18"/>
                <w:szCs w:val="18"/>
              </w:rPr>
              <w:t>Insuficiente (1–50)</w:t>
            </w:r>
          </w:p>
        </w:tc>
        <w:tc>
          <w:tcPr>
            <w:tcW w:w="1854" w:type="dxa"/>
            <w:shd w:val="clear" w:color="auto" w:fill="4472C4"/>
            <w:vAlign w:val="center"/>
          </w:tcPr>
          <w:p w14:paraId="2D335CC3"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267A7B62" w14:textId="77777777" w:rsidR="00990B14" w:rsidRDefault="00000000">
            <w:pPr>
              <w:keepNext/>
              <w:spacing w:before="20" w:after="20"/>
              <w:jc w:val="center"/>
            </w:pPr>
            <w:r>
              <w:rPr>
                <w:b/>
                <w:bCs/>
                <w:i/>
                <w:iCs/>
                <w:color w:val="FFFFFF"/>
                <w:sz w:val="18"/>
                <w:szCs w:val="18"/>
              </w:rPr>
              <w:t>Destacado (81–100)</w:t>
            </w:r>
          </w:p>
        </w:tc>
      </w:tr>
      <w:tr w:rsidR="00990B14" w14:paraId="1D628B11" w14:textId="77777777">
        <w:trPr>
          <w:cantSplit/>
          <w:jc w:val="center"/>
        </w:trPr>
        <w:tc>
          <w:tcPr>
            <w:tcW w:w="1772" w:type="dxa"/>
            <w:vMerge/>
            <w:shd w:val="clear" w:color="auto" w:fill="4472C4"/>
            <w:vAlign w:val="center"/>
          </w:tcPr>
          <w:p w14:paraId="7140464D" w14:textId="77777777" w:rsidR="00990B14" w:rsidRDefault="00990B14">
            <w:pPr>
              <w:spacing w:before="20" w:after="20"/>
            </w:pPr>
          </w:p>
        </w:tc>
        <w:tc>
          <w:tcPr>
            <w:tcW w:w="1854" w:type="dxa"/>
            <w:shd w:val="clear" w:color="auto" w:fill="D9E2F3"/>
            <w:vAlign w:val="center"/>
          </w:tcPr>
          <w:p w14:paraId="49D5DC14" w14:textId="77777777" w:rsidR="00990B14" w:rsidRDefault="00000000">
            <w:pPr>
              <w:spacing w:before="20" w:after="20"/>
              <w:jc w:val="both"/>
            </w:pPr>
            <w:r>
              <w:rPr>
                <w:sz w:val="18"/>
                <w:szCs w:val="18"/>
              </w:rPr>
              <w:t>Cálculo de elasticidades</w:t>
            </w:r>
          </w:p>
        </w:tc>
        <w:tc>
          <w:tcPr>
            <w:tcW w:w="2015" w:type="dxa"/>
            <w:shd w:val="clear" w:color="auto" w:fill="D9E2F3"/>
            <w:vAlign w:val="center"/>
          </w:tcPr>
          <w:p w14:paraId="2C68B885" w14:textId="77777777" w:rsidR="00990B14" w:rsidRDefault="00000000">
            <w:pPr>
              <w:spacing w:before="20" w:after="20"/>
              <w:jc w:val="both"/>
            </w:pPr>
            <w:r>
              <w:rPr>
                <w:sz w:val="18"/>
                <w:szCs w:val="18"/>
              </w:rPr>
              <w:t>Aplica la fórmula de manera incorrecta.</w:t>
            </w:r>
          </w:p>
        </w:tc>
        <w:tc>
          <w:tcPr>
            <w:tcW w:w="1854" w:type="dxa"/>
            <w:shd w:val="clear" w:color="auto" w:fill="D9E2F3"/>
            <w:vAlign w:val="center"/>
          </w:tcPr>
          <w:p w14:paraId="487B8435" w14:textId="77777777" w:rsidR="00990B14" w:rsidRDefault="00000000">
            <w:pPr>
              <w:spacing w:before="20" w:after="20"/>
              <w:jc w:val="both"/>
            </w:pPr>
            <w:r>
              <w:rPr>
                <w:sz w:val="18"/>
                <w:szCs w:val="18"/>
              </w:rPr>
              <w:t>Calcula la elasticidad precio de la demanda y de la oferta.</w:t>
            </w:r>
          </w:p>
        </w:tc>
        <w:tc>
          <w:tcPr>
            <w:tcW w:w="1910" w:type="dxa"/>
            <w:shd w:val="clear" w:color="auto" w:fill="D9E2F3"/>
            <w:vAlign w:val="center"/>
          </w:tcPr>
          <w:p w14:paraId="458BC071" w14:textId="77777777" w:rsidR="00990B14" w:rsidRDefault="00000000">
            <w:pPr>
              <w:spacing w:before="20" w:after="20"/>
              <w:jc w:val="both"/>
            </w:pPr>
            <w:r>
              <w:rPr>
                <w:sz w:val="18"/>
                <w:szCs w:val="18"/>
              </w:rPr>
              <w:t>Calcula además la elasticidad ingreso y la elasticidad cruzada.</w:t>
            </w:r>
          </w:p>
        </w:tc>
      </w:tr>
      <w:tr w:rsidR="00990B14" w14:paraId="59796B10" w14:textId="77777777">
        <w:trPr>
          <w:cantSplit/>
          <w:jc w:val="center"/>
        </w:trPr>
        <w:tc>
          <w:tcPr>
            <w:tcW w:w="1772" w:type="dxa"/>
            <w:vMerge/>
            <w:shd w:val="clear" w:color="auto" w:fill="4472C4"/>
            <w:vAlign w:val="center"/>
          </w:tcPr>
          <w:p w14:paraId="687DC0BF" w14:textId="77777777" w:rsidR="00990B14" w:rsidRDefault="00990B14">
            <w:pPr>
              <w:spacing w:before="20" w:after="20"/>
            </w:pPr>
          </w:p>
        </w:tc>
        <w:tc>
          <w:tcPr>
            <w:tcW w:w="1854" w:type="dxa"/>
            <w:shd w:val="clear" w:color="auto" w:fill="D9E2F3"/>
            <w:vAlign w:val="center"/>
          </w:tcPr>
          <w:p w14:paraId="3B585AB8" w14:textId="77777777" w:rsidR="00990B14" w:rsidRDefault="00000000">
            <w:pPr>
              <w:spacing w:before="20" w:after="20"/>
              <w:jc w:val="both"/>
            </w:pPr>
            <w:r>
              <w:rPr>
                <w:sz w:val="18"/>
                <w:szCs w:val="18"/>
              </w:rPr>
              <w:t>Clasificación del bien</w:t>
            </w:r>
          </w:p>
        </w:tc>
        <w:tc>
          <w:tcPr>
            <w:tcW w:w="2015" w:type="dxa"/>
            <w:shd w:val="clear" w:color="auto" w:fill="D9E2F3"/>
            <w:vAlign w:val="center"/>
          </w:tcPr>
          <w:p w14:paraId="479D1DEF" w14:textId="77777777" w:rsidR="00990B14" w:rsidRDefault="00000000">
            <w:pPr>
              <w:spacing w:before="20" w:after="20"/>
              <w:jc w:val="both"/>
            </w:pPr>
            <w:r>
              <w:rPr>
                <w:sz w:val="18"/>
                <w:szCs w:val="18"/>
              </w:rPr>
              <w:t>No clasifica el bien.</w:t>
            </w:r>
          </w:p>
        </w:tc>
        <w:tc>
          <w:tcPr>
            <w:tcW w:w="1854" w:type="dxa"/>
            <w:shd w:val="clear" w:color="auto" w:fill="D9E2F3"/>
            <w:vAlign w:val="center"/>
          </w:tcPr>
          <w:p w14:paraId="71923289" w14:textId="77777777" w:rsidR="00990B14" w:rsidRDefault="00000000">
            <w:pPr>
              <w:spacing w:before="20" w:after="20"/>
              <w:jc w:val="both"/>
            </w:pPr>
            <w:r>
              <w:rPr>
                <w:sz w:val="18"/>
                <w:szCs w:val="18"/>
              </w:rPr>
              <w:t>Clasifica el bien según su elasticidad.</w:t>
            </w:r>
          </w:p>
        </w:tc>
        <w:tc>
          <w:tcPr>
            <w:tcW w:w="1910" w:type="dxa"/>
            <w:shd w:val="clear" w:color="auto" w:fill="D9E2F3"/>
            <w:vAlign w:val="center"/>
          </w:tcPr>
          <w:p w14:paraId="10A9B45F" w14:textId="77777777" w:rsidR="00990B14" w:rsidRDefault="00000000">
            <w:pPr>
              <w:spacing w:before="20" w:after="20"/>
              <w:jc w:val="both"/>
            </w:pPr>
            <w:r>
              <w:rPr>
                <w:sz w:val="18"/>
                <w:szCs w:val="18"/>
              </w:rPr>
              <w:t>Relaciona la elasticidad con el gasto del consumidor.</w:t>
            </w:r>
          </w:p>
        </w:tc>
      </w:tr>
      <w:tr w:rsidR="00990B14" w14:paraId="5054DB65" w14:textId="77777777">
        <w:trPr>
          <w:cantSplit/>
          <w:jc w:val="center"/>
        </w:trPr>
        <w:tc>
          <w:tcPr>
            <w:tcW w:w="1772" w:type="dxa"/>
            <w:vMerge/>
            <w:shd w:val="clear" w:color="auto" w:fill="4472C4"/>
            <w:vAlign w:val="center"/>
          </w:tcPr>
          <w:p w14:paraId="220D3AC0" w14:textId="77777777" w:rsidR="00990B14" w:rsidRDefault="00990B14">
            <w:pPr>
              <w:spacing w:before="20" w:after="20"/>
            </w:pPr>
          </w:p>
        </w:tc>
        <w:tc>
          <w:tcPr>
            <w:tcW w:w="1854" w:type="dxa"/>
            <w:shd w:val="clear" w:color="auto" w:fill="D9E2F3"/>
            <w:vAlign w:val="center"/>
          </w:tcPr>
          <w:p w14:paraId="7093ADD7" w14:textId="77777777" w:rsidR="00990B14" w:rsidRDefault="00000000">
            <w:pPr>
              <w:spacing w:before="20" w:after="20"/>
              <w:jc w:val="both"/>
            </w:pPr>
            <w:r>
              <w:rPr>
                <w:sz w:val="18"/>
                <w:szCs w:val="18"/>
              </w:rPr>
              <w:t>Uso de la hoja</w:t>
            </w:r>
          </w:p>
        </w:tc>
        <w:tc>
          <w:tcPr>
            <w:tcW w:w="2015" w:type="dxa"/>
            <w:shd w:val="clear" w:color="auto" w:fill="D9E2F3"/>
            <w:vAlign w:val="center"/>
          </w:tcPr>
          <w:p w14:paraId="6C8105FE" w14:textId="77777777" w:rsidR="00990B14" w:rsidRDefault="00000000">
            <w:pPr>
              <w:spacing w:before="20" w:after="20"/>
              <w:jc w:val="both"/>
            </w:pPr>
            <w:r>
              <w:rPr>
                <w:sz w:val="18"/>
                <w:szCs w:val="18"/>
              </w:rPr>
              <w:t>La hoja no tiene fórmulas.</w:t>
            </w:r>
          </w:p>
        </w:tc>
        <w:tc>
          <w:tcPr>
            <w:tcW w:w="1854" w:type="dxa"/>
            <w:shd w:val="clear" w:color="auto" w:fill="D9E2F3"/>
            <w:vAlign w:val="center"/>
          </w:tcPr>
          <w:p w14:paraId="2CCFC8E7" w14:textId="77777777" w:rsidR="00990B14" w:rsidRDefault="00000000">
            <w:pPr>
              <w:spacing w:before="20" w:after="20"/>
              <w:jc w:val="both"/>
            </w:pPr>
            <w:r>
              <w:rPr>
                <w:sz w:val="18"/>
                <w:szCs w:val="18"/>
              </w:rPr>
              <w:t>Organiza los datos y las fórmulas con orden.</w:t>
            </w:r>
          </w:p>
        </w:tc>
        <w:tc>
          <w:tcPr>
            <w:tcW w:w="1910" w:type="dxa"/>
            <w:shd w:val="clear" w:color="auto" w:fill="D9E2F3"/>
            <w:vAlign w:val="center"/>
          </w:tcPr>
          <w:p w14:paraId="3A5B017D" w14:textId="77777777" w:rsidR="00990B14" w:rsidRDefault="00000000">
            <w:pPr>
              <w:spacing w:before="20" w:after="20"/>
              <w:jc w:val="both"/>
            </w:pPr>
            <w:r>
              <w:rPr>
                <w:sz w:val="18"/>
                <w:szCs w:val="18"/>
              </w:rPr>
              <w:t>Incluye gráficos y escenarios de variación del precio.</w:t>
            </w:r>
          </w:p>
        </w:tc>
      </w:tr>
      <w:tr w:rsidR="00990B14" w14:paraId="65853D67" w14:textId="77777777">
        <w:trPr>
          <w:cantSplit/>
          <w:jc w:val="center"/>
        </w:trPr>
        <w:tc>
          <w:tcPr>
            <w:tcW w:w="1772" w:type="dxa"/>
            <w:vMerge/>
            <w:shd w:val="clear" w:color="auto" w:fill="4472C4"/>
            <w:vAlign w:val="center"/>
          </w:tcPr>
          <w:p w14:paraId="62719A5D" w14:textId="77777777" w:rsidR="00990B14" w:rsidRDefault="00990B14">
            <w:pPr>
              <w:spacing w:before="20" w:after="20"/>
            </w:pPr>
          </w:p>
        </w:tc>
        <w:tc>
          <w:tcPr>
            <w:tcW w:w="5723" w:type="dxa"/>
            <w:gridSpan w:val="3"/>
            <w:shd w:val="clear" w:color="auto" w:fill="D9E2F3"/>
            <w:vAlign w:val="center"/>
          </w:tcPr>
          <w:p w14:paraId="3B3BD879" w14:textId="77777777" w:rsidR="00990B14" w:rsidRDefault="00000000">
            <w:pPr>
              <w:keepNext/>
              <w:spacing w:before="20" w:after="20"/>
              <w:jc w:val="both"/>
            </w:pPr>
            <w:r>
              <w:rPr>
                <w:b/>
                <w:bCs/>
                <w:i/>
                <w:iCs/>
                <w:sz w:val="18"/>
                <w:szCs w:val="18"/>
              </w:rPr>
              <w:t xml:space="preserve">Producto 7: </w:t>
            </w:r>
            <w:r>
              <w:rPr>
                <w:sz w:val="18"/>
                <w:szCs w:val="18"/>
              </w:rPr>
              <w:t>Tabla de utilidad y equilibrio</w:t>
            </w:r>
          </w:p>
        </w:tc>
        <w:tc>
          <w:tcPr>
            <w:tcW w:w="1910" w:type="dxa"/>
            <w:shd w:val="clear" w:color="auto" w:fill="D9E2F3"/>
            <w:vAlign w:val="center"/>
          </w:tcPr>
          <w:p w14:paraId="01EC6903" w14:textId="77777777" w:rsidR="00990B14" w:rsidRDefault="00000000">
            <w:pPr>
              <w:spacing w:before="20" w:after="20"/>
              <w:jc w:val="center"/>
            </w:pPr>
            <w:r>
              <w:rPr>
                <w:b/>
                <w:bCs/>
                <w:sz w:val="18"/>
                <w:szCs w:val="18"/>
              </w:rPr>
              <w:t>6%</w:t>
            </w:r>
          </w:p>
        </w:tc>
      </w:tr>
      <w:tr w:rsidR="00990B14" w14:paraId="4622A27F" w14:textId="77777777">
        <w:trPr>
          <w:cantSplit/>
          <w:jc w:val="center"/>
        </w:trPr>
        <w:tc>
          <w:tcPr>
            <w:tcW w:w="1772" w:type="dxa"/>
            <w:vMerge/>
            <w:shd w:val="clear" w:color="auto" w:fill="4472C4"/>
            <w:vAlign w:val="center"/>
          </w:tcPr>
          <w:p w14:paraId="439183CB" w14:textId="77777777" w:rsidR="00990B14" w:rsidRDefault="00990B14">
            <w:pPr>
              <w:spacing w:before="20" w:after="20"/>
            </w:pPr>
          </w:p>
        </w:tc>
        <w:tc>
          <w:tcPr>
            <w:tcW w:w="1854" w:type="dxa"/>
            <w:shd w:val="clear" w:color="auto" w:fill="4472C4"/>
            <w:vAlign w:val="center"/>
          </w:tcPr>
          <w:p w14:paraId="4079D864"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1D6F3F69" w14:textId="77777777" w:rsidR="00990B14" w:rsidRDefault="00000000">
            <w:pPr>
              <w:keepNext/>
              <w:spacing w:before="20" w:after="20"/>
              <w:jc w:val="center"/>
            </w:pPr>
            <w:r>
              <w:rPr>
                <w:b/>
                <w:bCs/>
                <w:i/>
                <w:iCs/>
                <w:color w:val="FFFFFF"/>
                <w:sz w:val="18"/>
                <w:szCs w:val="18"/>
              </w:rPr>
              <w:t>Insuficiente (1–50)</w:t>
            </w:r>
          </w:p>
        </w:tc>
        <w:tc>
          <w:tcPr>
            <w:tcW w:w="1854" w:type="dxa"/>
            <w:shd w:val="clear" w:color="auto" w:fill="4472C4"/>
            <w:vAlign w:val="center"/>
          </w:tcPr>
          <w:p w14:paraId="4FE052C5"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6BD42F2C" w14:textId="77777777" w:rsidR="00990B14" w:rsidRDefault="00000000">
            <w:pPr>
              <w:keepNext/>
              <w:spacing w:before="20" w:after="20"/>
              <w:jc w:val="center"/>
            </w:pPr>
            <w:r>
              <w:rPr>
                <w:b/>
                <w:bCs/>
                <w:i/>
                <w:iCs/>
                <w:color w:val="FFFFFF"/>
                <w:sz w:val="18"/>
                <w:szCs w:val="18"/>
              </w:rPr>
              <w:t>Destacado (81–100)</w:t>
            </w:r>
          </w:p>
        </w:tc>
      </w:tr>
      <w:tr w:rsidR="00990B14" w14:paraId="633BF0EC" w14:textId="77777777">
        <w:trPr>
          <w:cantSplit/>
          <w:jc w:val="center"/>
        </w:trPr>
        <w:tc>
          <w:tcPr>
            <w:tcW w:w="1772" w:type="dxa"/>
            <w:vMerge/>
            <w:shd w:val="clear" w:color="auto" w:fill="4472C4"/>
            <w:vAlign w:val="center"/>
          </w:tcPr>
          <w:p w14:paraId="39C0B130" w14:textId="77777777" w:rsidR="00990B14" w:rsidRDefault="00990B14">
            <w:pPr>
              <w:spacing w:before="20" w:after="20"/>
            </w:pPr>
          </w:p>
        </w:tc>
        <w:tc>
          <w:tcPr>
            <w:tcW w:w="1854" w:type="dxa"/>
            <w:shd w:val="clear" w:color="auto" w:fill="D9E2F3"/>
            <w:vAlign w:val="center"/>
          </w:tcPr>
          <w:p w14:paraId="305A4A1E" w14:textId="77777777" w:rsidR="00990B14" w:rsidRDefault="00000000">
            <w:pPr>
              <w:spacing w:before="20" w:after="20"/>
              <w:jc w:val="both"/>
            </w:pPr>
            <w:r>
              <w:rPr>
                <w:sz w:val="18"/>
                <w:szCs w:val="18"/>
              </w:rPr>
              <w:t>Utilidad marginal</w:t>
            </w:r>
          </w:p>
        </w:tc>
        <w:tc>
          <w:tcPr>
            <w:tcW w:w="2015" w:type="dxa"/>
            <w:shd w:val="clear" w:color="auto" w:fill="D9E2F3"/>
            <w:vAlign w:val="center"/>
          </w:tcPr>
          <w:p w14:paraId="12DA25E9" w14:textId="77777777" w:rsidR="00990B14" w:rsidRDefault="00000000">
            <w:pPr>
              <w:spacing w:before="20" w:after="20"/>
              <w:jc w:val="both"/>
            </w:pPr>
            <w:r>
              <w:rPr>
                <w:sz w:val="18"/>
                <w:szCs w:val="18"/>
              </w:rPr>
              <w:t>Calcula mal la utilidad marginal.</w:t>
            </w:r>
          </w:p>
        </w:tc>
        <w:tc>
          <w:tcPr>
            <w:tcW w:w="1854" w:type="dxa"/>
            <w:shd w:val="clear" w:color="auto" w:fill="D9E2F3"/>
            <w:vAlign w:val="center"/>
          </w:tcPr>
          <w:p w14:paraId="55ED1A49" w14:textId="77777777" w:rsidR="00990B14" w:rsidRDefault="00000000">
            <w:pPr>
              <w:spacing w:before="20" w:after="20"/>
              <w:jc w:val="both"/>
            </w:pPr>
            <w:r>
              <w:rPr>
                <w:sz w:val="18"/>
                <w:szCs w:val="18"/>
              </w:rPr>
              <w:t>Calcula la utilidad total y marginal de cada bien.</w:t>
            </w:r>
          </w:p>
        </w:tc>
        <w:tc>
          <w:tcPr>
            <w:tcW w:w="1910" w:type="dxa"/>
            <w:shd w:val="clear" w:color="auto" w:fill="D9E2F3"/>
            <w:vAlign w:val="center"/>
          </w:tcPr>
          <w:p w14:paraId="041636AB" w14:textId="77777777" w:rsidR="00990B14" w:rsidRDefault="00000000">
            <w:pPr>
              <w:spacing w:before="20" w:after="20"/>
              <w:jc w:val="both"/>
            </w:pPr>
            <w:r>
              <w:rPr>
                <w:sz w:val="18"/>
                <w:szCs w:val="18"/>
              </w:rPr>
              <w:t>Explica la ley de la utilidad marginal decreciente.</w:t>
            </w:r>
          </w:p>
        </w:tc>
      </w:tr>
      <w:tr w:rsidR="00990B14" w14:paraId="2DBC2ECC" w14:textId="77777777">
        <w:trPr>
          <w:cantSplit/>
          <w:jc w:val="center"/>
        </w:trPr>
        <w:tc>
          <w:tcPr>
            <w:tcW w:w="1772" w:type="dxa"/>
            <w:vMerge/>
            <w:shd w:val="clear" w:color="auto" w:fill="4472C4"/>
            <w:vAlign w:val="center"/>
          </w:tcPr>
          <w:p w14:paraId="0D966D6C" w14:textId="77777777" w:rsidR="00990B14" w:rsidRDefault="00990B14">
            <w:pPr>
              <w:spacing w:before="20" w:after="20"/>
            </w:pPr>
          </w:p>
        </w:tc>
        <w:tc>
          <w:tcPr>
            <w:tcW w:w="1854" w:type="dxa"/>
            <w:shd w:val="clear" w:color="auto" w:fill="D9E2F3"/>
            <w:vAlign w:val="center"/>
          </w:tcPr>
          <w:p w14:paraId="5EF079FC" w14:textId="77777777" w:rsidR="00990B14" w:rsidRDefault="00000000">
            <w:pPr>
              <w:spacing w:before="20" w:after="20"/>
              <w:jc w:val="both"/>
            </w:pPr>
            <w:r>
              <w:rPr>
                <w:sz w:val="18"/>
                <w:szCs w:val="18"/>
              </w:rPr>
              <w:t>Equilibrio del consumidor</w:t>
            </w:r>
          </w:p>
        </w:tc>
        <w:tc>
          <w:tcPr>
            <w:tcW w:w="2015" w:type="dxa"/>
            <w:shd w:val="clear" w:color="auto" w:fill="D9E2F3"/>
            <w:vAlign w:val="center"/>
          </w:tcPr>
          <w:p w14:paraId="4A84A9C3" w14:textId="77777777" w:rsidR="00990B14" w:rsidRDefault="00000000">
            <w:pPr>
              <w:spacing w:before="20" w:after="20"/>
              <w:jc w:val="both"/>
            </w:pPr>
            <w:r>
              <w:rPr>
                <w:sz w:val="18"/>
                <w:szCs w:val="18"/>
              </w:rPr>
              <w:t>No aplica la condición de equilibrio.</w:t>
            </w:r>
          </w:p>
        </w:tc>
        <w:tc>
          <w:tcPr>
            <w:tcW w:w="1854" w:type="dxa"/>
            <w:shd w:val="clear" w:color="auto" w:fill="D9E2F3"/>
            <w:vAlign w:val="center"/>
          </w:tcPr>
          <w:p w14:paraId="5E718949" w14:textId="77777777" w:rsidR="00990B14" w:rsidRDefault="00000000">
            <w:pPr>
              <w:spacing w:before="20" w:after="20"/>
              <w:jc w:val="both"/>
            </w:pPr>
            <w:r>
              <w:rPr>
                <w:sz w:val="18"/>
                <w:szCs w:val="18"/>
              </w:rPr>
              <w:t>Determina el equilibrio con el ingreso disponible.</w:t>
            </w:r>
          </w:p>
        </w:tc>
        <w:tc>
          <w:tcPr>
            <w:tcW w:w="1910" w:type="dxa"/>
            <w:shd w:val="clear" w:color="auto" w:fill="D9E2F3"/>
            <w:vAlign w:val="center"/>
          </w:tcPr>
          <w:p w14:paraId="44ACA17E" w14:textId="77777777" w:rsidR="00990B14" w:rsidRDefault="00000000">
            <w:pPr>
              <w:spacing w:before="20" w:after="20"/>
              <w:jc w:val="both"/>
            </w:pPr>
            <w:r>
              <w:rPr>
                <w:sz w:val="18"/>
                <w:szCs w:val="18"/>
              </w:rPr>
              <w:t>Deduce la curva de demanda a partir del equilibrio.</w:t>
            </w:r>
          </w:p>
        </w:tc>
      </w:tr>
      <w:tr w:rsidR="00990B14" w14:paraId="1B26CB59" w14:textId="77777777">
        <w:trPr>
          <w:cantSplit/>
          <w:jc w:val="center"/>
        </w:trPr>
        <w:tc>
          <w:tcPr>
            <w:tcW w:w="1772" w:type="dxa"/>
            <w:vMerge/>
            <w:shd w:val="clear" w:color="auto" w:fill="4472C4"/>
            <w:vAlign w:val="center"/>
          </w:tcPr>
          <w:p w14:paraId="275C21A7" w14:textId="77777777" w:rsidR="00990B14" w:rsidRDefault="00990B14">
            <w:pPr>
              <w:spacing w:before="20" w:after="20"/>
            </w:pPr>
          </w:p>
        </w:tc>
        <w:tc>
          <w:tcPr>
            <w:tcW w:w="1854" w:type="dxa"/>
            <w:shd w:val="clear" w:color="auto" w:fill="D9E2F3"/>
            <w:vAlign w:val="center"/>
          </w:tcPr>
          <w:p w14:paraId="1483B978" w14:textId="77777777" w:rsidR="00990B14" w:rsidRDefault="00000000">
            <w:pPr>
              <w:spacing w:before="20" w:after="20"/>
              <w:jc w:val="both"/>
            </w:pPr>
            <w:r>
              <w:rPr>
                <w:sz w:val="18"/>
                <w:szCs w:val="18"/>
              </w:rPr>
              <w:t>Orden del trabajo</w:t>
            </w:r>
          </w:p>
        </w:tc>
        <w:tc>
          <w:tcPr>
            <w:tcW w:w="2015" w:type="dxa"/>
            <w:shd w:val="clear" w:color="auto" w:fill="D9E2F3"/>
            <w:vAlign w:val="center"/>
          </w:tcPr>
          <w:p w14:paraId="1C6EF41B" w14:textId="77777777" w:rsidR="00990B14" w:rsidRDefault="00000000">
            <w:pPr>
              <w:spacing w:before="20" w:after="20"/>
              <w:jc w:val="both"/>
            </w:pPr>
            <w:r>
              <w:rPr>
                <w:sz w:val="18"/>
                <w:szCs w:val="18"/>
              </w:rPr>
              <w:t>La tabla es desordenada.</w:t>
            </w:r>
          </w:p>
        </w:tc>
        <w:tc>
          <w:tcPr>
            <w:tcW w:w="1854" w:type="dxa"/>
            <w:shd w:val="clear" w:color="auto" w:fill="D9E2F3"/>
            <w:vAlign w:val="center"/>
          </w:tcPr>
          <w:p w14:paraId="67977C88" w14:textId="77777777" w:rsidR="00990B14" w:rsidRDefault="00000000">
            <w:pPr>
              <w:spacing w:before="20" w:after="20"/>
              <w:jc w:val="both"/>
            </w:pPr>
            <w:r>
              <w:rPr>
                <w:sz w:val="18"/>
                <w:szCs w:val="18"/>
              </w:rPr>
              <w:t>La tabla es clara y completa.</w:t>
            </w:r>
          </w:p>
        </w:tc>
        <w:tc>
          <w:tcPr>
            <w:tcW w:w="1910" w:type="dxa"/>
            <w:shd w:val="clear" w:color="auto" w:fill="D9E2F3"/>
            <w:vAlign w:val="center"/>
          </w:tcPr>
          <w:p w14:paraId="39916D9C" w14:textId="77777777" w:rsidR="00990B14" w:rsidRDefault="00000000">
            <w:pPr>
              <w:spacing w:before="20" w:after="20"/>
              <w:jc w:val="both"/>
            </w:pPr>
            <w:r>
              <w:rPr>
                <w:sz w:val="18"/>
                <w:szCs w:val="18"/>
              </w:rPr>
              <w:t>Comenta los supuestos y límites del modelo.</w:t>
            </w:r>
          </w:p>
        </w:tc>
      </w:tr>
      <w:tr w:rsidR="00990B14" w14:paraId="1184FE6E" w14:textId="77777777">
        <w:trPr>
          <w:cantSplit/>
          <w:jc w:val="center"/>
        </w:trPr>
        <w:tc>
          <w:tcPr>
            <w:tcW w:w="1772" w:type="dxa"/>
            <w:vMerge/>
            <w:shd w:val="clear" w:color="auto" w:fill="4472C4"/>
            <w:vAlign w:val="center"/>
          </w:tcPr>
          <w:p w14:paraId="3A53C85C" w14:textId="77777777" w:rsidR="00990B14" w:rsidRDefault="00990B14">
            <w:pPr>
              <w:spacing w:before="20" w:after="20"/>
            </w:pPr>
          </w:p>
        </w:tc>
        <w:tc>
          <w:tcPr>
            <w:tcW w:w="5723" w:type="dxa"/>
            <w:gridSpan w:val="3"/>
            <w:shd w:val="clear" w:color="auto" w:fill="D9E2F3"/>
            <w:vAlign w:val="center"/>
          </w:tcPr>
          <w:p w14:paraId="3B3A3FA6" w14:textId="77777777" w:rsidR="00990B14" w:rsidRDefault="00000000">
            <w:pPr>
              <w:keepNext/>
              <w:spacing w:before="20" w:after="20"/>
              <w:jc w:val="both"/>
            </w:pPr>
            <w:r>
              <w:rPr>
                <w:b/>
                <w:bCs/>
                <w:i/>
                <w:iCs/>
                <w:sz w:val="18"/>
                <w:szCs w:val="18"/>
              </w:rPr>
              <w:t xml:space="preserve">Producto 8: </w:t>
            </w:r>
            <w:r>
              <w:rPr>
                <w:sz w:val="18"/>
                <w:szCs w:val="18"/>
              </w:rPr>
              <w:t>Deducción gráfica de la demanda</w:t>
            </w:r>
          </w:p>
        </w:tc>
        <w:tc>
          <w:tcPr>
            <w:tcW w:w="1910" w:type="dxa"/>
            <w:shd w:val="clear" w:color="auto" w:fill="D9E2F3"/>
            <w:vAlign w:val="center"/>
          </w:tcPr>
          <w:p w14:paraId="44A88F0F" w14:textId="77777777" w:rsidR="00990B14" w:rsidRDefault="00000000">
            <w:pPr>
              <w:spacing w:before="20" w:after="20"/>
              <w:jc w:val="center"/>
            </w:pPr>
            <w:r>
              <w:rPr>
                <w:b/>
                <w:bCs/>
                <w:sz w:val="18"/>
                <w:szCs w:val="18"/>
              </w:rPr>
              <w:t>6%</w:t>
            </w:r>
          </w:p>
        </w:tc>
      </w:tr>
      <w:tr w:rsidR="00990B14" w14:paraId="64407EE5" w14:textId="77777777">
        <w:trPr>
          <w:cantSplit/>
          <w:jc w:val="center"/>
        </w:trPr>
        <w:tc>
          <w:tcPr>
            <w:tcW w:w="1772" w:type="dxa"/>
            <w:vMerge/>
            <w:shd w:val="clear" w:color="auto" w:fill="4472C4"/>
            <w:vAlign w:val="center"/>
          </w:tcPr>
          <w:p w14:paraId="36217C7B" w14:textId="77777777" w:rsidR="00990B14" w:rsidRDefault="00990B14">
            <w:pPr>
              <w:spacing w:before="20" w:after="20"/>
            </w:pPr>
          </w:p>
        </w:tc>
        <w:tc>
          <w:tcPr>
            <w:tcW w:w="1854" w:type="dxa"/>
            <w:shd w:val="clear" w:color="auto" w:fill="4472C4"/>
            <w:vAlign w:val="center"/>
          </w:tcPr>
          <w:p w14:paraId="3DB14F34"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56385388" w14:textId="77777777" w:rsidR="00990B14" w:rsidRDefault="00000000">
            <w:pPr>
              <w:keepNext/>
              <w:spacing w:before="20" w:after="20"/>
              <w:jc w:val="center"/>
            </w:pPr>
            <w:r>
              <w:rPr>
                <w:b/>
                <w:bCs/>
                <w:i/>
                <w:iCs/>
                <w:color w:val="FFFFFF"/>
                <w:sz w:val="18"/>
                <w:szCs w:val="18"/>
              </w:rPr>
              <w:t>Insuficiente (1–50)</w:t>
            </w:r>
          </w:p>
        </w:tc>
        <w:tc>
          <w:tcPr>
            <w:tcW w:w="1854" w:type="dxa"/>
            <w:shd w:val="clear" w:color="auto" w:fill="4472C4"/>
            <w:vAlign w:val="center"/>
          </w:tcPr>
          <w:p w14:paraId="49E979D9"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1CF453D3" w14:textId="77777777" w:rsidR="00990B14" w:rsidRDefault="00000000">
            <w:pPr>
              <w:keepNext/>
              <w:spacing w:before="20" w:after="20"/>
              <w:jc w:val="center"/>
            </w:pPr>
            <w:r>
              <w:rPr>
                <w:b/>
                <w:bCs/>
                <w:i/>
                <w:iCs/>
                <w:color w:val="FFFFFF"/>
                <w:sz w:val="18"/>
                <w:szCs w:val="18"/>
              </w:rPr>
              <w:t>Destacado (81–100)</w:t>
            </w:r>
          </w:p>
        </w:tc>
      </w:tr>
      <w:tr w:rsidR="00990B14" w14:paraId="17EC785D" w14:textId="77777777">
        <w:trPr>
          <w:cantSplit/>
          <w:jc w:val="center"/>
        </w:trPr>
        <w:tc>
          <w:tcPr>
            <w:tcW w:w="1772" w:type="dxa"/>
            <w:vMerge/>
            <w:shd w:val="clear" w:color="auto" w:fill="4472C4"/>
            <w:vAlign w:val="center"/>
          </w:tcPr>
          <w:p w14:paraId="19510EB4" w14:textId="77777777" w:rsidR="00990B14" w:rsidRDefault="00990B14">
            <w:pPr>
              <w:spacing w:before="20" w:after="20"/>
            </w:pPr>
          </w:p>
        </w:tc>
        <w:tc>
          <w:tcPr>
            <w:tcW w:w="1854" w:type="dxa"/>
            <w:shd w:val="clear" w:color="auto" w:fill="D9E2F3"/>
            <w:vAlign w:val="center"/>
          </w:tcPr>
          <w:p w14:paraId="55ADDE5D" w14:textId="77777777" w:rsidR="00990B14" w:rsidRDefault="00000000">
            <w:pPr>
              <w:spacing w:before="20" w:after="20"/>
              <w:jc w:val="both"/>
            </w:pPr>
            <w:r>
              <w:rPr>
                <w:sz w:val="18"/>
                <w:szCs w:val="18"/>
              </w:rPr>
              <w:t>Curvas de indiferencia</w:t>
            </w:r>
          </w:p>
        </w:tc>
        <w:tc>
          <w:tcPr>
            <w:tcW w:w="2015" w:type="dxa"/>
            <w:shd w:val="clear" w:color="auto" w:fill="D9E2F3"/>
            <w:vAlign w:val="center"/>
          </w:tcPr>
          <w:p w14:paraId="0A3880DC" w14:textId="77777777" w:rsidR="00990B14" w:rsidRDefault="00000000">
            <w:pPr>
              <w:spacing w:before="20" w:after="20"/>
              <w:jc w:val="both"/>
            </w:pPr>
            <w:r>
              <w:rPr>
                <w:sz w:val="18"/>
                <w:szCs w:val="18"/>
              </w:rPr>
              <w:t>Traza curvas que se cortan entre sí.</w:t>
            </w:r>
          </w:p>
        </w:tc>
        <w:tc>
          <w:tcPr>
            <w:tcW w:w="1854" w:type="dxa"/>
            <w:shd w:val="clear" w:color="auto" w:fill="D9E2F3"/>
            <w:vAlign w:val="center"/>
          </w:tcPr>
          <w:p w14:paraId="34B4410E" w14:textId="77777777" w:rsidR="00990B14" w:rsidRDefault="00000000">
            <w:pPr>
              <w:spacing w:before="20" w:after="20"/>
              <w:jc w:val="both"/>
            </w:pPr>
            <w:r>
              <w:rPr>
                <w:sz w:val="18"/>
                <w:szCs w:val="18"/>
              </w:rPr>
              <w:t>Traza las curvas de indiferencia y la recta de presupuesto.</w:t>
            </w:r>
          </w:p>
        </w:tc>
        <w:tc>
          <w:tcPr>
            <w:tcW w:w="1910" w:type="dxa"/>
            <w:shd w:val="clear" w:color="auto" w:fill="D9E2F3"/>
            <w:vAlign w:val="center"/>
          </w:tcPr>
          <w:p w14:paraId="0230745B" w14:textId="77777777" w:rsidR="00990B14" w:rsidRDefault="00000000">
            <w:pPr>
              <w:spacing w:before="20" w:after="20"/>
              <w:jc w:val="both"/>
            </w:pPr>
            <w:r>
              <w:rPr>
                <w:sz w:val="18"/>
                <w:szCs w:val="18"/>
              </w:rPr>
              <w:t>Explica la tasa marginal de sustitución en el punto de equilibrio.</w:t>
            </w:r>
          </w:p>
        </w:tc>
      </w:tr>
      <w:tr w:rsidR="00990B14" w14:paraId="7C2FD16C" w14:textId="77777777">
        <w:trPr>
          <w:cantSplit/>
          <w:jc w:val="center"/>
        </w:trPr>
        <w:tc>
          <w:tcPr>
            <w:tcW w:w="1772" w:type="dxa"/>
            <w:vMerge/>
            <w:shd w:val="clear" w:color="auto" w:fill="4472C4"/>
            <w:vAlign w:val="center"/>
          </w:tcPr>
          <w:p w14:paraId="65D24F31" w14:textId="77777777" w:rsidR="00990B14" w:rsidRDefault="00990B14">
            <w:pPr>
              <w:spacing w:before="20" w:after="20"/>
            </w:pPr>
          </w:p>
        </w:tc>
        <w:tc>
          <w:tcPr>
            <w:tcW w:w="1854" w:type="dxa"/>
            <w:shd w:val="clear" w:color="auto" w:fill="D9E2F3"/>
            <w:vAlign w:val="center"/>
          </w:tcPr>
          <w:p w14:paraId="5034FF9D" w14:textId="77777777" w:rsidR="00990B14" w:rsidRDefault="00000000">
            <w:pPr>
              <w:spacing w:before="20" w:after="20"/>
              <w:jc w:val="both"/>
            </w:pPr>
            <w:r>
              <w:rPr>
                <w:sz w:val="18"/>
                <w:szCs w:val="18"/>
              </w:rPr>
              <w:t>Efectos ingreso y sustitución</w:t>
            </w:r>
          </w:p>
        </w:tc>
        <w:tc>
          <w:tcPr>
            <w:tcW w:w="2015" w:type="dxa"/>
            <w:shd w:val="clear" w:color="auto" w:fill="D9E2F3"/>
            <w:vAlign w:val="center"/>
          </w:tcPr>
          <w:p w14:paraId="1C3F0AB2" w14:textId="77777777" w:rsidR="00990B14" w:rsidRDefault="00000000">
            <w:pPr>
              <w:spacing w:before="20" w:after="20"/>
              <w:jc w:val="both"/>
            </w:pPr>
            <w:r>
              <w:rPr>
                <w:sz w:val="18"/>
                <w:szCs w:val="18"/>
              </w:rPr>
              <w:t>No separa los efectos.</w:t>
            </w:r>
          </w:p>
        </w:tc>
        <w:tc>
          <w:tcPr>
            <w:tcW w:w="1854" w:type="dxa"/>
            <w:shd w:val="clear" w:color="auto" w:fill="D9E2F3"/>
            <w:vAlign w:val="center"/>
          </w:tcPr>
          <w:p w14:paraId="398A0E47" w14:textId="77777777" w:rsidR="00990B14" w:rsidRDefault="00000000">
            <w:pPr>
              <w:spacing w:before="20" w:after="20"/>
              <w:jc w:val="both"/>
            </w:pPr>
            <w:r>
              <w:rPr>
                <w:sz w:val="18"/>
                <w:szCs w:val="18"/>
              </w:rPr>
              <w:t>Descompone el efecto ingreso y el efecto sustitución.</w:t>
            </w:r>
          </w:p>
        </w:tc>
        <w:tc>
          <w:tcPr>
            <w:tcW w:w="1910" w:type="dxa"/>
            <w:shd w:val="clear" w:color="auto" w:fill="D9E2F3"/>
            <w:vAlign w:val="center"/>
          </w:tcPr>
          <w:p w14:paraId="00529BCE" w14:textId="77777777" w:rsidR="00990B14" w:rsidRDefault="00000000">
            <w:pPr>
              <w:spacing w:before="20" w:after="20"/>
              <w:jc w:val="both"/>
            </w:pPr>
            <w:r>
              <w:rPr>
                <w:sz w:val="18"/>
                <w:szCs w:val="18"/>
              </w:rPr>
              <w:t>Distingue el caso de un bien normal y de un bien inferior.</w:t>
            </w:r>
          </w:p>
        </w:tc>
      </w:tr>
      <w:tr w:rsidR="00990B14" w14:paraId="0D936F2A" w14:textId="77777777">
        <w:trPr>
          <w:cantSplit/>
          <w:jc w:val="center"/>
        </w:trPr>
        <w:tc>
          <w:tcPr>
            <w:tcW w:w="1772" w:type="dxa"/>
            <w:vMerge/>
            <w:shd w:val="clear" w:color="auto" w:fill="4472C4"/>
            <w:vAlign w:val="center"/>
          </w:tcPr>
          <w:p w14:paraId="51822727" w14:textId="77777777" w:rsidR="00990B14" w:rsidRDefault="00990B14">
            <w:pPr>
              <w:spacing w:before="20" w:after="20"/>
            </w:pPr>
          </w:p>
        </w:tc>
        <w:tc>
          <w:tcPr>
            <w:tcW w:w="1854" w:type="dxa"/>
            <w:shd w:val="clear" w:color="auto" w:fill="D9E2F3"/>
            <w:vAlign w:val="center"/>
          </w:tcPr>
          <w:p w14:paraId="0924E241" w14:textId="77777777" w:rsidR="00990B14" w:rsidRDefault="00000000">
            <w:pPr>
              <w:spacing w:before="20" w:after="20"/>
              <w:jc w:val="both"/>
            </w:pPr>
            <w:r>
              <w:rPr>
                <w:sz w:val="18"/>
                <w:szCs w:val="18"/>
              </w:rPr>
              <w:t>Trabajo en equipo</w:t>
            </w:r>
          </w:p>
        </w:tc>
        <w:tc>
          <w:tcPr>
            <w:tcW w:w="2015" w:type="dxa"/>
            <w:shd w:val="clear" w:color="auto" w:fill="D9E2F3"/>
            <w:vAlign w:val="center"/>
          </w:tcPr>
          <w:p w14:paraId="67089E58" w14:textId="77777777" w:rsidR="00990B14" w:rsidRDefault="00000000">
            <w:pPr>
              <w:spacing w:before="20" w:after="20"/>
              <w:jc w:val="both"/>
            </w:pPr>
            <w:r>
              <w:rPr>
                <w:sz w:val="18"/>
                <w:szCs w:val="18"/>
              </w:rPr>
              <w:t>Participan solo algunos integrantes.</w:t>
            </w:r>
          </w:p>
        </w:tc>
        <w:tc>
          <w:tcPr>
            <w:tcW w:w="1854" w:type="dxa"/>
            <w:shd w:val="clear" w:color="auto" w:fill="D9E2F3"/>
            <w:vAlign w:val="center"/>
          </w:tcPr>
          <w:p w14:paraId="50AF81CA" w14:textId="77777777" w:rsidR="00990B14" w:rsidRDefault="00000000">
            <w:pPr>
              <w:spacing w:before="20" w:after="20"/>
              <w:jc w:val="both"/>
            </w:pPr>
            <w:r>
              <w:rPr>
                <w:sz w:val="18"/>
                <w:szCs w:val="18"/>
              </w:rPr>
              <w:t>Todos los integrantes participan.</w:t>
            </w:r>
          </w:p>
        </w:tc>
        <w:tc>
          <w:tcPr>
            <w:tcW w:w="1910" w:type="dxa"/>
            <w:shd w:val="clear" w:color="auto" w:fill="D9E2F3"/>
            <w:vAlign w:val="center"/>
          </w:tcPr>
          <w:p w14:paraId="78130AD4" w14:textId="77777777" w:rsidR="00990B14" w:rsidRDefault="00000000">
            <w:pPr>
              <w:spacing w:before="20" w:after="20"/>
              <w:jc w:val="both"/>
            </w:pPr>
            <w:r>
              <w:rPr>
                <w:sz w:val="18"/>
                <w:szCs w:val="18"/>
              </w:rPr>
              <w:t>El equipo revisa y corrige su propio trabajo.</w:t>
            </w:r>
          </w:p>
        </w:tc>
      </w:tr>
      <w:tr w:rsidR="00990B14" w14:paraId="091898BD" w14:textId="77777777">
        <w:trPr>
          <w:cantSplit/>
          <w:jc w:val="center"/>
        </w:trPr>
        <w:tc>
          <w:tcPr>
            <w:tcW w:w="1772" w:type="dxa"/>
            <w:vMerge/>
            <w:shd w:val="clear" w:color="auto" w:fill="4472C4"/>
            <w:vAlign w:val="center"/>
          </w:tcPr>
          <w:p w14:paraId="6C1C5361" w14:textId="77777777" w:rsidR="00990B14" w:rsidRDefault="00990B14">
            <w:pPr>
              <w:spacing w:before="20" w:after="20"/>
            </w:pPr>
          </w:p>
        </w:tc>
        <w:tc>
          <w:tcPr>
            <w:tcW w:w="5723" w:type="dxa"/>
            <w:gridSpan w:val="3"/>
            <w:shd w:val="clear" w:color="auto" w:fill="D9E2F3"/>
            <w:vAlign w:val="center"/>
          </w:tcPr>
          <w:p w14:paraId="15B7A820" w14:textId="77777777" w:rsidR="00990B14" w:rsidRDefault="00000000">
            <w:pPr>
              <w:keepNext/>
              <w:spacing w:before="20" w:after="20"/>
              <w:jc w:val="both"/>
            </w:pPr>
            <w:r>
              <w:rPr>
                <w:b/>
                <w:bCs/>
                <w:i/>
                <w:iCs/>
                <w:sz w:val="18"/>
                <w:szCs w:val="18"/>
              </w:rPr>
              <w:t xml:space="preserve">Producto 9: </w:t>
            </w:r>
            <w:r>
              <w:rPr>
                <w:sz w:val="18"/>
                <w:szCs w:val="18"/>
              </w:rPr>
              <w:t>Cuadro del producto y de los costos</w:t>
            </w:r>
          </w:p>
        </w:tc>
        <w:tc>
          <w:tcPr>
            <w:tcW w:w="1910" w:type="dxa"/>
            <w:shd w:val="clear" w:color="auto" w:fill="D9E2F3"/>
            <w:vAlign w:val="center"/>
          </w:tcPr>
          <w:p w14:paraId="41B99F14" w14:textId="77777777" w:rsidR="00990B14" w:rsidRDefault="00000000">
            <w:pPr>
              <w:spacing w:before="20" w:after="20"/>
              <w:jc w:val="center"/>
            </w:pPr>
            <w:r>
              <w:rPr>
                <w:b/>
                <w:bCs/>
                <w:sz w:val="18"/>
                <w:szCs w:val="18"/>
              </w:rPr>
              <w:t>12%</w:t>
            </w:r>
          </w:p>
        </w:tc>
      </w:tr>
      <w:tr w:rsidR="00990B14" w14:paraId="09716FEF" w14:textId="77777777">
        <w:trPr>
          <w:cantSplit/>
          <w:jc w:val="center"/>
        </w:trPr>
        <w:tc>
          <w:tcPr>
            <w:tcW w:w="1772" w:type="dxa"/>
            <w:vMerge/>
            <w:shd w:val="clear" w:color="auto" w:fill="4472C4"/>
            <w:vAlign w:val="center"/>
          </w:tcPr>
          <w:p w14:paraId="0FA82F4E" w14:textId="77777777" w:rsidR="00990B14" w:rsidRDefault="00990B14">
            <w:pPr>
              <w:spacing w:before="20" w:after="20"/>
            </w:pPr>
          </w:p>
        </w:tc>
        <w:tc>
          <w:tcPr>
            <w:tcW w:w="1854" w:type="dxa"/>
            <w:shd w:val="clear" w:color="auto" w:fill="4472C4"/>
            <w:vAlign w:val="center"/>
          </w:tcPr>
          <w:p w14:paraId="422B6FFE"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17744701" w14:textId="77777777" w:rsidR="00990B14" w:rsidRDefault="00000000">
            <w:pPr>
              <w:keepNext/>
              <w:spacing w:before="20" w:after="20"/>
              <w:jc w:val="center"/>
            </w:pPr>
            <w:r>
              <w:rPr>
                <w:b/>
                <w:bCs/>
                <w:i/>
                <w:iCs/>
                <w:color w:val="FFFFFF"/>
                <w:sz w:val="18"/>
                <w:szCs w:val="18"/>
              </w:rPr>
              <w:t>Insuficiente (1–50)</w:t>
            </w:r>
          </w:p>
        </w:tc>
        <w:tc>
          <w:tcPr>
            <w:tcW w:w="1854" w:type="dxa"/>
            <w:shd w:val="clear" w:color="auto" w:fill="4472C4"/>
            <w:vAlign w:val="center"/>
          </w:tcPr>
          <w:p w14:paraId="62D4C222"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17288B37" w14:textId="77777777" w:rsidR="00990B14" w:rsidRDefault="00000000">
            <w:pPr>
              <w:keepNext/>
              <w:spacing w:before="20" w:after="20"/>
              <w:jc w:val="center"/>
            </w:pPr>
            <w:r>
              <w:rPr>
                <w:b/>
                <w:bCs/>
                <w:i/>
                <w:iCs/>
                <w:color w:val="FFFFFF"/>
                <w:sz w:val="18"/>
                <w:szCs w:val="18"/>
              </w:rPr>
              <w:t>Destacado (81–100)</w:t>
            </w:r>
          </w:p>
        </w:tc>
      </w:tr>
      <w:tr w:rsidR="00990B14" w14:paraId="0E7DD298" w14:textId="77777777">
        <w:trPr>
          <w:cantSplit/>
          <w:jc w:val="center"/>
        </w:trPr>
        <w:tc>
          <w:tcPr>
            <w:tcW w:w="1772" w:type="dxa"/>
            <w:vMerge/>
            <w:shd w:val="clear" w:color="auto" w:fill="4472C4"/>
            <w:vAlign w:val="center"/>
          </w:tcPr>
          <w:p w14:paraId="5FDFEB14" w14:textId="77777777" w:rsidR="00990B14" w:rsidRDefault="00990B14">
            <w:pPr>
              <w:spacing w:before="20" w:after="20"/>
            </w:pPr>
          </w:p>
        </w:tc>
        <w:tc>
          <w:tcPr>
            <w:tcW w:w="1854" w:type="dxa"/>
            <w:shd w:val="clear" w:color="auto" w:fill="D9E2F3"/>
            <w:vAlign w:val="center"/>
          </w:tcPr>
          <w:p w14:paraId="2C4A5481" w14:textId="77777777" w:rsidR="00990B14" w:rsidRDefault="00000000">
            <w:pPr>
              <w:spacing w:before="20" w:after="20"/>
              <w:jc w:val="both"/>
            </w:pPr>
            <w:r>
              <w:rPr>
                <w:sz w:val="18"/>
                <w:szCs w:val="18"/>
              </w:rPr>
              <w:t>Medidas del producto</w:t>
            </w:r>
          </w:p>
        </w:tc>
        <w:tc>
          <w:tcPr>
            <w:tcW w:w="2015" w:type="dxa"/>
            <w:shd w:val="clear" w:color="auto" w:fill="D9E2F3"/>
            <w:vAlign w:val="center"/>
          </w:tcPr>
          <w:p w14:paraId="3A98A477" w14:textId="77777777" w:rsidR="00990B14" w:rsidRDefault="00000000">
            <w:pPr>
              <w:spacing w:before="20" w:after="20"/>
              <w:jc w:val="both"/>
            </w:pPr>
            <w:r>
              <w:rPr>
                <w:sz w:val="18"/>
                <w:szCs w:val="18"/>
              </w:rPr>
              <w:t>Calcula mal el producto medio o marginal.</w:t>
            </w:r>
          </w:p>
        </w:tc>
        <w:tc>
          <w:tcPr>
            <w:tcW w:w="1854" w:type="dxa"/>
            <w:shd w:val="clear" w:color="auto" w:fill="D9E2F3"/>
            <w:vAlign w:val="center"/>
          </w:tcPr>
          <w:p w14:paraId="0CEA4DA3" w14:textId="77777777" w:rsidR="00990B14" w:rsidRDefault="00000000">
            <w:pPr>
              <w:spacing w:before="20" w:after="20"/>
              <w:jc w:val="both"/>
            </w:pPr>
            <w:r>
              <w:rPr>
                <w:sz w:val="18"/>
                <w:szCs w:val="18"/>
              </w:rPr>
              <w:t>Calcula el producto total, medio y marginal.</w:t>
            </w:r>
          </w:p>
        </w:tc>
        <w:tc>
          <w:tcPr>
            <w:tcW w:w="1910" w:type="dxa"/>
            <w:shd w:val="clear" w:color="auto" w:fill="D9E2F3"/>
            <w:vAlign w:val="center"/>
          </w:tcPr>
          <w:p w14:paraId="13B128FB" w14:textId="77777777" w:rsidR="00990B14" w:rsidRDefault="00000000">
            <w:pPr>
              <w:spacing w:before="20" w:after="20"/>
              <w:jc w:val="both"/>
            </w:pPr>
            <w:r>
              <w:rPr>
                <w:sz w:val="18"/>
                <w:szCs w:val="18"/>
              </w:rPr>
              <w:t>Identifica las etapas de la producción.</w:t>
            </w:r>
          </w:p>
        </w:tc>
      </w:tr>
      <w:tr w:rsidR="00990B14" w14:paraId="2062B43E" w14:textId="77777777">
        <w:trPr>
          <w:cantSplit/>
          <w:jc w:val="center"/>
        </w:trPr>
        <w:tc>
          <w:tcPr>
            <w:tcW w:w="1772" w:type="dxa"/>
            <w:vMerge/>
            <w:shd w:val="clear" w:color="auto" w:fill="4472C4"/>
            <w:vAlign w:val="center"/>
          </w:tcPr>
          <w:p w14:paraId="0C04C78C" w14:textId="77777777" w:rsidR="00990B14" w:rsidRDefault="00990B14">
            <w:pPr>
              <w:spacing w:before="20" w:after="20"/>
            </w:pPr>
          </w:p>
        </w:tc>
        <w:tc>
          <w:tcPr>
            <w:tcW w:w="1854" w:type="dxa"/>
            <w:shd w:val="clear" w:color="auto" w:fill="D9E2F3"/>
            <w:vAlign w:val="center"/>
          </w:tcPr>
          <w:p w14:paraId="2E67ED6C" w14:textId="77777777" w:rsidR="00990B14" w:rsidRDefault="00000000">
            <w:pPr>
              <w:spacing w:before="20" w:after="20"/>
              <w:jc w:val="both"/>
            </w:pPr>
            <w:r>
              <w:rPr>
                <w:sz w:val="18"/>
                <w:szCs w:val="18"/>
              </w:rPr>
              <w:t>Costos de corto plazo</w:t>
            </w:r>
          </w:p>
        </w:tc>
        <w:tc>
          <w:tcPr>
            <w:tcW w:w="2015" w:type="dxa"/>
            <w:shd w:val="clear" w:color="auto" w:fill="D9E2F3"/>
            <w:vAlign w:val="center"/>
          </w:tcPr>
          <w:p w14:paraId="640C1E7A" w14:textId="77777777" w:rsidR="00990B14" w:rsidRDefault="00000000">
            <w:pPr>
              <w:spacing w:before="20" w:after="20"/>
              <w:jc w:val="both"/>
            </w:pPr>
            <w:r>
              <w:rPr>
                <w:sz w:val="18"/>
                <w:szCs w:val="18"/>
              </w:rPr>
              <w:t>Omite costos fijos o variables.</w:t>
            </w:r>
          </w:p>
        </w:tc>
        <w:tc>
          <w:tcPr>
            <w:tcW w:w="1854" w:type="dxa"/>
            <w:shd w:val="clear" w:color="auto" w:fill="D9E2F3"/>
            <w:vAlign w:val="center"/>
          </w:tcPr>
          <w:p w14:paraId="3FFA0AC8" w14:textId="77777777" w:rsidR="00990B14" w:rsidRDefault="00000000">
            <w:pPr>
              <w:spacing w:before="20" w:after="20"/>
              <w:jc w:val="both"/>
            </w:pPr>
            <w:r>
              <w:rPr>
                <w:sz w:val="18"/>
                <w:szCs w:val="18"/>
              </w:rPr>
              <w:t>Calcula los costos totales, medios y marginales.</w:t>
            </w:r>
          </w:p>
        </w:tc>
        <w:tc>
          <w:tcPr>
            <w:tcW w:w="1910" w:type="dxa"/>
            <w:shd w:val="clear" w:color="auto" w:fill="D9E2F3"/>
            <w:vAlign w:val="center"/>
          </w:tcPr>
          <w:p w14:paraId="767C7A09" w14:textId="77777777" w:rsidR="00990B14" w:rsidRDefault="00000000">
            <w:pPr>
              <w:spacing w:before="20" w:after="20"/>
              <w:jc w:val="both"/>
            </w:pPr>
            <w:r>
              <w:rPr>
                <w:sz w:val="18"/>
                <w:szCs w:val="18"/>
              </w:rPr>
              <w:t>Relaciona la curva de costos con la de producto.</w:t>
            </w:r>
          </w:p>
        </w:tc>
      </w:tr>
      <w:tr w:rsidR="00990B14" w14:paraId="4320E922" w14:textId="77777777">
        <w:trPr>
          <w:cantSplit/>
          <w:jc w:val="center"/>
        </w:trPr>
        <w:tc>
          <w:tcPr>
            <w:tcW w:w="1772" w:type="dxa"/>
            <w:vMerge/>
            <w:shd w:val="clear" w:color="auto" w:fill="4472C4"/>
            <w:vAlign w:val="center"/>
          </w:tcPr>
          <w:p w14:paraId="05A96380" w14:textId="77777777" w:rsidR="00990B14" w:rsidRDefault="00990B14">
            <w:pPr>
              <w:spacing w:before="20" w:after="20"/>
            </w:pPr>
          </w:p>
        </w:tc>
        <w:tc>
          <w:tcPr>
            <w:tcW w:w="1854" w:type="dxa"/>
            <w:shd w:val="clear" w:color="auto" w:fill="D9E2F3"/>
            <w:vAlign w:val="center"/>
          </w:tcPr>
          <w:p w14:paraId="4E5AE916" w14:textId="77777777" w:rsidR="00990B14" w:rsidRDefault="00000000">
            <w:pPr>
              <w:spacing w:before="20" w:after="20"/>
              <w:jc w:val="both"/>
            </w:pPr>
            <w:r>
              <w:rPr>
                <w:sz w:val="18"/>
                <w:szCs w:val="18"/>
              </w:rPr>
              <w:t>Uso de la hoja</w:t>
            </w:r>
          </w:p>
        </w:tc>
        <w:tc>
          <w:tcPr>
            <w:tcW w:w="2015" w:type="dxa"/>
            <w:shd w:val="clear" w:color="auto" w:fill="D9E2F3"/>
            <w:vAlign w:val="center"/>
          </w:tcPr>
          <w:p w14:paraId="10ACC4B1" w14:textId="77777777" w:rsidR="00990B14" w:rsidRDefault="00000000">
            <w:pPr>
              <w:spacing w:before="20" w:after="20"/>
              <w:jc w:val="both"/>
            </w:pPr>
            <w:r>
              <w:rPr>
                <w:sz w:val="18"/>
                <w:szCs w:val="18"/>
              </w:rPr>
              <w:t>La hoja no tiene fórmulas.</w:t>
            </w:r>
          </w:p>
        </w:tc>
        <w:tc>
          <w:tcPr>
            <w:tcW w:w="1854" w:type="dxa"/>
            <w:shd w:val="clear" w:color="auto" w:fill="D9E2F3"/>
            <w:vAlign w:val="center"/>
          </w:tcPr>
          <w:p w14:paraId="4F0269A8" w14:textId="77777777" w:rsidR="00990B14" w:rsidRDefault="00000000">
            <w:pPr>
              <w:spacing w:before="20" w:after="20"/>
              <w:jc w:val="both"/>
            </w:pPr>
            <w:r>
              <w:rPr>
                <w:sz w:val="18"/>
                <w:szCs w:val="18"/>
              </w:rPr>
              <w:t>La hoja calcula y grafica correctamente.</w:t>
            </w:r>
          </w:p>
        </w:tc>
        <w:tc>
          <w:tcPr>
            <w:tcW w:w="1910" w:type="dxa"/>
            <w:shd w:val="clear" w:color="auto" w:fill="D9E2F3"/>
            <w:vAlign w:val="center"/>
          </w:tcPr>
          <w:p w14:paraId="2A9C2414" w14:textId="77777777" w:rsidR="00990B14" w:rsidRDefault="00000000">
            <w:pPr>
              <w:spacing w:before="20" w:after="20"/>
              <w:jc w:val="both"/>
            </w:pPr>
            <w:r>
              <w:rPr>
                <w:sz w:val="18"/>
                <w:szCs w:val="18"/>
              </w:rPr>
              <w:t>La hoja permite simular cambios en el precio de los factores.</w:t>
            </w:r>
          </w:p>
        </w:tc>
      </w:tr>
      <w:tr w:rsidR="00990B14" w14:paraId="072F2843" w14:textId="77777777">
        <w:trPr>
          <w:cantSplit/>
          <w:jc w:val="center"/>
        </w:trPr>
        <w:tc>
          <w:tcPr>
            <w:tcW w:w="1772" w:type="dxa"/>
            <w:vMerge/>
            <w:shd w:val="clear" w:color="auto" w:fill="4472C4"/>
            <w:vAlign w:val="center"/>
          </w:tcPr>
          <w:p w14:paraId="609C9D55" w14:textId="77777777" w:rsidR="00990B14" w:rsidRDefault="00990B14">
            <w:pPr>
              <w:spacing w:before="20" w:after="20"/>
            </w:pPr>
          </w:p>
        </w:tc>
        <w:tc>
          <w:tcPr>
            <w:tcW w:w="5723" w:type="dxa"/>
            <w:gridSpan w:val="3"/>
            <w:shd w:val="clear" w:color="auto" w:fill="D9E2F3"/>
            <w:vAlign w:val="center"/>
          </w:tcPr>
          <w:p w14:paraId="734CB9DD" w14:textId="77777777" w:rsidR="00990B14" w:rsidRDefault="00000000">
            <w:pPr>
              <w:keepNext/>
              <w:spacing w:before="20" w:after="20"/>
              <w:jc w:val="both"/>
            </w:pPr>
            <w:r>
              <w:rPr>
                <w:b/>
                <w:bCs/>
                <w:i/>
                <w:iCs/>
                <w:sz w:val="18"/>
                <w:szCs w:val="18"/>
              </w:rPr>
              <w:t xml:space="preserve">Producto 10: </w:t>
            </w:r>
            <w:r>
              <w:rPr>
                <w:sz w:val="18"/>
                <w:szCs w:val="18"/>
              </w:rPr>
              <w:t>Cuadro del costo económico y contable</w:t>
            </w:r>
          </w:p>
        </w:tc>
        <w:tc>
          <w:tcPr>
            <w:tcW w:w="1910" w:type="dxa"/>
            <w:shd w:val="clear" w:color="auto" w:fill="D9E2F3"/>
            <w:vAlign w:val="center"/>
          </w:tcPr>
          <w:p w14:paraId="61835A61" w14:textId="77777777" w:rsidR="00990B14" w:rsidRDefault="00000000">
            <w:pPr>
              <w:spacing w:before="20" w:after="20"/>
              <w:jc w:val="center"/>
            </w:pPr>
            <w:r>
              <w:rPr>
                <w:b/>
                <w:bCs/>
                <w:sz w:val="18"/>
                <w:szCs w:val="18"/>
              </w:rPr>
              <w:t>12%</w:t>
            </w:r>
          </w:p>
        </w:tc>
      </w:tr>
      <w:tr w:rsidR="00990B14" w14:paraId="18B07EBE" w14:textId="77777777">
        <w:trPr>
          <w:cantSplit/>
          <w:jc w:val="center"/>
        </w:trPr>
        <w:tc>
          <w:tcPr>
            <w:tcW w:w="1772" w:type="dxa"/>
            <w:vMerge/>
            <w:shd w:val="clear" w:color="auto" w:fill="4472C4"/>
            <w:vAlign w:val="center"/>
          </w:tcPr>
          <w:p w14:paraId="372850D5" w14:textId="77777777" w:rsidR="00990B14" w:rsidRDefault="00990B14">
            <w:pPr>
              <w:spacing w:before="20" w:after="20"/>
            </w:pPr>
          </w:p>
        </w:tc>
        <w:tc>
          <w:tcPr>
            <w:tcW w:w="1854" w:type="dxa"/>
            <w:shd w:val="clear" w:color="auto" w:fill="4472C4"/>
            <w:vAlign w:val="center"/>
          </w:tcPr>
          <w:p w14:paraId="20B1C197"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5E5C78E6" w14:textId="77777777" w:rsidR="00990B14" w:rsidRDefault="00000000">
            <w:pPr>
              <w:keepNext/>
              <w:spacing w:before="20" w:after="20"/>
              <w:jc w:val="center"/>
            </w:pPr>
            <w:r>
              <w:rPr>
                <w:b/>
                <w:bCs/>
                <w:i/>
                <w:iCs/>
                <w:color w:val="FFFFFF"/>
                <w:sz w:val="18"/>
                <w:szCs w:val="18"/>
              </w:rPr>
              <w:t>Insuficiente (1–50)</w:t>
            </w:r>
          </w:p>
        </w:tc>
        <w:tc>
          <w:tcPr>
            <w:tcW w:w="1854" w:type="dxa"/>
            <w:shd w:val="clear" w:color="auto" w:fill="4472C4"/>
            <w:vAlign w:val="center"/>
          </w:tcPr>
          <w:p w14:paraId="1C96EE7E"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65481091" w14:textId="77777777" w:rsidR="00990B14" w:rsidRDefault="00000000">
            <w:pPr>
              <w:keepNext/>
              <w:spacing w:before="20" w:after="20"/>
              <w:jc w:val="center"/>
            </w:pPr>
            <w:r>
              <w:rPr>
                <w:b/>
                <w:bCs/>
                <w:i/>
                <w:iCs/>
                <w:color w:val="FFFFFF"/>
                <w:sz w:val="18"/>
                <w:szCs w:val="18"/>
              </w:rPr>
              <w:t>Destacado (81–100)</w:t>
            </w:r>
          </w:p>
        </w:tc>
      </w:tr>
      <w:tr w:rsidR="00990B14" w14:paraId="15AACF34" w14:textId="77777777">
        <w:trPr>
          <w:cantSplit/>
          <w:jc w:val="center"/>
        </w:trPr>
        <w:tc>
          <w:tcPr>
            <w:tcW w:w="1772" w:type="dxa"/>
            <w:vMerge/>
            <w:shd w:val="clear" w:color="auto" w:fill="4472C4"/>
            <w:vAlign w:val="center"/>
          </w:tcPr>
          <w:p w14:paraId="45FB005C" w14:textId="77777777" w:rsidR="00990B14" w:rsidRDefault="00990B14">
            <w:pPr>
              <w:spacing w:before="20" w:after="20"/>
            </w:pPr>
          </w:p>
        </w:tc>
        <w:tc>
          <w:tcPr>
            <w:tcW w:w="1854" w:type="dxa"/>
            <w:shd w:val="clear" w:color="auto" w:fill="D9E2F3"/>
            <w:vAlign w:val="center"/>
          </w:tcPr>
          <w:p w14:paraId="4949B23F" w14:textId="77777777" w:rsidR="00990B14" w:rsidRDefault="00000000">
            <w:pPr>
              <w:spacing w:before="20" w:after="20"/>
              <w:jc w:val="both"/>
            </w:pPr>
            <w:r>
              <w:rPr>
                <w:sz w:val="18"/>
                <w:szCs w:val="18"/>
              </w:rPr>
              <w:t>Costo de oportunidad</w:t>
            </w:r>
          </w:p>
        </w:tc>
        <w:tc>
          <w:tcPr>
            <w:tcW w:w="2015" w:type="dxa"/>
            <w:shd w:val="clear" w:color="auto" w:fill="D9E2F3"/>
            <w:vAlign w:val="center"/>
          </w:tcPr>
          <w:p w14:paraId="2B47F926" w14:textId="77777777" w:rsidR="00990B14" w:rsidRDefault="00000000">
            <w:pPr>
              <w:spacing w:before="20" w:after="20"/>
              <w:jc w:val="both"/>
            </w:pPr>
            <w:r>
              <w:rPr>
                <w:sz w:val="18"/>
                <w:szCs w:val="18"/>
              </w:rPr>
              <w:t>No identifica el costo de oportunidad.</w:t>
            </w:r>
          </w:p>
        </w:tc>
        <w:tc>
          <w:tcPr>
            <w:tcW w:w="1854" w:type="dxa"/>
            <w:shd w:val="clear" w:color="auto" w:fill="D9E2F3"/>
            <w:vAlign w:val="center"/>
          </w:tcPr>
          <w:p w14:paraId="032DED9E" w14:textId="77777777" w:rsidR="00990B14" w:rsidRDefault="00000000">
            <w:pPr>
              <w:spacing w:before="20" w:after="20"/>
              <w:jc w:val="both"/>
            </w:pPr>
            <w:r>
              <w:rPr>
                <w:sz w:val="18"/>
                <w:szCs w:val="18"/>
              </w:rPr>
              <w:t>Identifica los costos explícitos, implícitos y de oportunidad.</w:t>
            </w:r>
          </w:p>
        </w:tc>
        <w:tc>
          <w:tcPr>
            <w:tcW w:w="1910" w:type="dxa"/>
            <w:shd w:val="clear" w:color="auto" w:fill="D9E2F3"/>
            <w:vAlign w:val="center"/>
          </w:tcPr>
          <w:p w14:paraId="14016C77" w14:textId="77777777" w:rsidR="00990B14" w:rsidRDefault="00000000">
            <w:pPr>
              <w:spacing w:before="20" w:after="20"/>
              <w:jc w:val="both"/>
            </w:pPr>
            <w:r>
              <w:rPr>
                <w:sz w:val="18"/>
                <w:szCs w:val="18"/>
              </w:rPr>
              <w:t>Cuantifica el costo de oportunidad del capital propio.</w:t>
            </w:r>
          </w:p>
        </w:tc>
      </w:tr>
      <w:tr w:rsidR="00990B14" w14:paraId="19579FD3" w14:textId="77777777">
        <w:trPr>
          <w:cantSplit/>
          <w:jc w:val="center"/>
        </w:trPr>
        <w:tc>
          <w:tcPr>
            <w:tcW w:w="1772" w:type="dxa"/>
            <w:vMerge/>
            <w:shd w:val="clear" w:color="auto" w:fill="4472C4"/>
            <w:vAlign w:val="center"/>
          </w:tcPr>
          <w:p w14:paraId="54DBAA52" w14:textId="77777777" w:rsidR="00990B14" w:rsidRDefault="00990B14">
            <w:pPr>
              <w:spacing w:before="20" w:after="20"/>
            </w:pPr>
          </w:p>
        </w:tc>
        <w:tc>
          <w:tcPr>
            <w:tcW w:w="1854" w:type="dxa"/>
            <w:shd w:val="clear" w:color="auto" w:fill="D9E2F3"/>
            <w:vAlign w:val="center"/>
          </w:tcPr>
          <w:p w14:paraId="0A2200FB" w14:textId="77777777" w:rsidR="00990B14" w:rsidRDefault="00000000">
            <w:pPr>
              <w:spacing w:before="20" w:after="20"/>
              <w:jc w:val="both"/>
            </w:pPr>
            <w:r>
              <w:rPr>
                <w:sz w:val="18"/>
                <w:szCs w:val="18"/>
              </w:rPr>
              <w:t>Comparación</w:t>
            </w:r>
          </w:p>
        </w:tc>
        <w:tc>
          <w:tcPr>
            <w:tcW w:w="2015" w:type="dxa"/>
            <w:shd w:val="clear" w:color="auto" w:fill="D9E2F3"/>
            <w:vAlign w:val="center"/>
          </w:tcPr>
          <w:p w14:paraId="558C53F5" w14:textId="77777777" w:rsidR="00990B14" w:rsidRDefault="00000000">
            <w:pPr>
              <w:spacing w:before="20" w:after="20"/>
              <w:jc w:val="both"/>
            </w:pPr>
            <w:r>
              <w:rPr>
                <w:sz w:val="18"/>
                <w:szCs w:val="18"/>
              </w:rPr>
              <w:t>Confunde el costo económico con el contable.</w:t>
            </w:r>
          </w:p>
        </w:tc>
        <w:tc>
          <w:tcPr>
            <w:tcW w:w="1854" w:type="dxa"/>
            <w:shd w:val="clear" w:color="auto" w:fill="D9E2F3"/>
            <w:vAlign w:val="center"/>
          </w:tcPr>
          <w:p w14:paraId="037DAF61" w14:textId="77777777" w:rsidR="00990B14" w:rsidRDefault="00000000">
            <w:pPr>
              <w:spacing w:before="20" w:after="20"/>
              <w:jc w:val="both"/>
            </w:pPr>
            <w:r>
              <w:rPr>
                <w:sz w:val="18"/>
                <w:szCs w:val="18"/>
              </w:rPr>
              <w:t>Compara correctamente ambos costos.</w:t>
            </w:r>
          </w:p>
        </w:tc>
        <w:tc>
          <w:tcPr>
            <w:tcW w:w="1910" w:type="dxa"/>
            <w:shd w:val="clear" w:color="auto" w:fill="D9E2F3"/>
            <w:vAlign w:val="center"/>
          </w:tcPr>
          <w:p w14:paraId="07BDD9C2" w14:textId="77777777" w:rsidR="00990B14" w:rsidRDefault="00000000">
            <w:pPr>
              <w:spacing w:before="20" w:after="20"/>
              <w:jc w:val="both"/>
            </w:pPr>
            <w:r>
              <w:rPr>
                <w:sz w:val="18"/>
                <w:szCs w:val="18"/>
              </w:rPr>
              <w:t>Explica el efecto en la decisión de continuar el negocio.</w:t>
            </w:r>
          </w:p>
        </w:tc>
      </w:tr>
      <w:tr w:rsidR="00990B14" w14:paraId="04503431" w14:textId="77777777">
        <w:trPr>
          <w:cantSplit/>
          <w:jc w:val="center"/>
        </w:trPr>
        <w:tc>
          <w:tcPr>
            <w:tcW w:w="1772" w:type="dxa"/>
            <w:vMerge/>
            <w:shd w:val="clear" w:color="auto" w:fill="4472C4"/>
            <w:vAlign w:val="center"/>
          </w:tcPr>
          <w:p w14:paraId="519B2BE8" w14:textId="77777777" w:rsidR="00990B14" w:rsidRDefault="00990B14">
            <w:pPr>
              <w:spacing w:before="20" w:after="20"/>
            </w:pPr>
          </w:p>
        </w:tc>
        <w:tc>
          <w:tcPr>
            <w:tcW w:w="1854" w:type="dxa"/>
            <w:shd w:val="clear" w:color="auto" w:fill="D9E2F3"/>
            <w:vAlign w:val="center"/>
          </w:tcPr>
          <w:p w14:paraId="48F03D58" w14:textId="77777777" w:rsidR="00990B14" w:rsidRDefault="00000000">
            <w:pPr>
              <w:spacing w:before="20" w:after="20"/>
              <w:jc w:val="both"/>
            </w:pPr>
            <w:r>
              <w:rPr>
                <w:sz w:val="18"/>
                <w:szCs w:val="18"/>
              </w:rPr>
              <w:t>Presentación</w:t>
            </w:r>
          </w:p>
        </w:tc>
        <w:tc>
          <w:tcPr>
            <w:tcW w:w="2015" w:type="dxa"/>
            <w:shd w:val="clear" w:color="auto" w:fill="D9E2F3"/>
            <w:vAlign w:val="center"/>
          </w:tcPr>
          <w:p w14:paraId="436E3F8C" w14:textId="77777777" w:rsidR="00990B14" w:rsidRDefault="00000000">
            <w:pPr>
              <w:spacing w:before="20" w:after="20"/>
              <w:jc w:val="both"/>
            </w:pPr>
            <w:r>
              <w:rPr>
                <w:sz w:val="18"/>
                <w:szCs w:val="18"/>
              </w:rPr>
              <w:t>El cuadro es incompleto.</w:t>
            </w:r>
          </w:p>
        </w:tc>
        <w:tc>
          <w:tcPr>
            <w:tcW w:w="1854" w:type="dxa"/>
            <w:shd w:val="clear" w:color="auto" w:fill="D9E2F3"/>
            <w:vAlign w:val="center"/>
          </w:tcPr>
          <w:p w14:paraId="7788AAE2" w14:textId="77777777" w:rsidR="00990B14" w:rsidRDefault="00000000">
            <w:pPr>
              <w:spacing w:before="20" w:after="20"/>
              <w:jc w:val="both"/>
            </w:pPr>
            <w:r>
              <w:rPr>
                <w:sz w:val="18"/>
                <w:szCs w:val="18"/>
              </w:rPr>
              <w:t>El cuadro es claro y ordenado.</w:t>
            </w:r>
          </w:p>
        </w:tc>
        <w:tc>
          <w:tcPr>
            <w:tcW w:w="1910" w:type="dxa"/>
            <w:shd w:val="clear" w:color="auto" w:fill="D9E2F3"/>
            <w:vAlign w:val="center"/>
          </w:tcPr>
          <w:p w14:paraId="511095D0" w14:textId="77777777" w:rsidR="00990B14" w:rsidRDefault="00000000">
            <w:pPr>
              <w:spacing w:before="20" w:after="20"/>
              <w:jc w:val="both"/>
            </w:pPr>
            <w:r>
              <w:rPr>
                <w:sz w:val="18"/>
                <w:szCs w:val="18"/>
              </w:rPr>
              <w:t>El cuadro incluye una conclusión fundamentada.</w:t>
            </w:r>
          </w:p>
        </w:tc>
      </w:tr>
      <w:tr w:rsidR="00990B14" w14:paraId="5131E5AF" w14:textId="77777777">
        <w:trPr>
          <w:cantSplit/>
          <w:jc w:val="center"/>
        </w:trPr>
        <w:tc>
          <w:tcPr>
            <w:tcW w:w="1772" w:type="dxa"/>
            <w:vMerge/>
            <w:shd w:val="clear" w:color="auto" w:fill="4472C4"/>
            <w:vAlign w:val="center"/>
          </w:tcPr>
          <w:p w14:paraId="13EEF74C" w14:textId="77777777" w:rsidR="00990B14" w:rsidRDefault="00990B14">
            <w:pPr>
              <w:spacing w:before="20" w:after="20"/>
            </w:pPr>
          </w:p>
        </w:tc>
        <w:tc>
          <w:tcPr>
            <w:tcW w:w="5723" w:type="dxa"/>
            <w:gridSpan w:val="3"/>
            <w:shd w:val="clear" w:color="auto" w:fill="D9E2F3"/>
            <w:vAlign w:val="center"/>
          </w:tcPr>
          <w:p w14:paraId="5191DAA0" w14:textId="77777777" w:rsidR="00990B14" w:rsidRDefault="00000000">
            <w:pPr>
              <w:keepNext/>
              <w:spacing w:before="20" w:after="20"/>
              <w:jc w:val="both"/>
            </w:pPr>
            <w:r>
              <w:rPr>
                <w:b/>
                <w:bCs/>
                <w:i/>
                <w:iCs/>
                <w:sz w:val="18"/>
                <w:szCs w:val="18"/>
              </w:rPr>
              <w:t xml:space="preserve">Producto 11: </w:t>
            </w:r>
            <w:r>
              <w:rPr>
                <w:sz w:val="18"/>
                <w:szCs w:val="18"/>
              </w:rPr>
              <w:t>Modelo de competencia perfecta</w:t>
            </w:r>
          </w:p>
        </w:tc>
        <w:tc>
          <w:tcPr>
            <w:tcW w:w="1910" w:type="dxa"/>
            <w:shd w:val="clear" w:color="auto" w:fill="D9E2F3"/>
            <w:vAlign w:val="center"/>
          </w:tcPr>
          <w:p w14:paraId="637D18EB" w14:textId="77777777" w:rsidR="00990B14" w:rsidRDefault="00000000">
            <w:pPr>
              <w:spacing w:before="20" w:after="20"/>
              <w:jc w:val="center"/>
            </w:pPr>
            <w:r>
              <w:rPr>
                <w:b/>
                <w:bCs/>
                <w:sz w:val="18"/>
                <w:szCs w:val="18"/>
              </w:rPr>
              <w:t>7%</w:t>
            </w:r>
          </w:p>
        </w:tc>
      </w:tr>
      <w:tr w:rsidR="00990B14" w14:paraId="0F77C5A6" w14:textId="77777777">
        <w:trPr>
          <w:cantSplit/>
          <w:jc w:val="center"/>
        </w:trPr>
        <w:tc>
          <w:tcPr>
            <w:tcW w:w="1772" w:type="dxa"/>
            <w:vMerge/>
            <w:shd w:val="clear" w:color="auto" w:fill="4472C4"/>
            <w:vAlign w:val="center"/>
          </w:tcPr>
          <w:p w14:paraId="02453D26" w14:textId="77777777" w:rsidR="00990B14" w:rsidRDefault="00990B14">
            <w:pPr>
              <w:spacing w:before="20" w:after="20"/>
            </w:pPr>
          </w:p>
        </w:tc>
        <w:tc>
          <w:tcPr>
            <w:tcW w:w="1854" w:type="dxa"/>
            <w:shd w:val="clear" w:color="auto" w:fill="4472C4"/>
            <w:vAlign w:val="center"/>
          </w:tcPr>
          <w:p w14:paraId="354794BA"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162166B6" w14:textId="77777777" w:rsidR="00990B14" w:rsidRDefault="00000000">
            <w:pPr>
              <w:keepNext/>
              <w:spacing w:before="20" w:after="20"/>
              <w:jc w:val="center"/>
            </w:pPr>
            <w:r>
              <w:rPr>
                <w:b/>
                <w:bCs/>
                <w:i/>
                <w:iCs/>
                <w:color w:val="FFFFFF"/>
                <w:sz w:val="18"/>
                <w:szCs w:val="18"/>
              </w:rPr>
              <w:t>Insuficiente (1–50)</w:t>
            </w:r>
          </w:p>
        </w:tc>
        <w:tc>
          <w:tcPr>
            <w:tcW w:w="1854" w:type="dxa"/>
            <w:shd w:val="clear" w:color="auto" w:fill="4472C4"/>
            <w:vAlign w:val="center"/>
          </w:tcPr>
          <w:p w14:paraId="1A6E1502"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0C28ACBF" w14:textId="77777777" w:rsidR="00990B14" w:rsidRDefault="00000000">
            <w:pPr>
              <w:keepNext/>
              <w:spacing w:before="20" w:after="20"/>
              <w:jc w:val="center"/>
            </w:pPr>
            <w:r>
              <w:rPr>
                <w:b/>
                <w:bCs/>
                <w:i/>
                <w:iCs/>
                <w:color w:val="FFFFFF"/>
                <w:sz w:val="18"/>
                <w:szCs w:val="18"/>
              </w:rPr>
              <w:t>Destacado (81–100)</w:t>
            </w:r>
          </w:p>
        </w:tc>
      </w:tr>
      <w:tr w:rsidR="00990B14" w14:paraId="17AAF716" w14:textId="77777777">
        <w:trPr>
          <w:cantSplit/>
          <w:jc w:val="center"/>
        </w:trPr>
        <w:tc>
          <w:tcPr>
            <w:tcW w:w="1772" w:type="dxa"/>
            <w:vMerge/>
            <w:shd w:val="clear" w:color="auto" w:fill="4472C4"/>
            <w:vAlign w:val="center"/>
          </w:tcPr>
          <w:p w14:paraId="00E635DE" w14:textId="77777777" w:rsidR="00990B14" w:rsidRDefault="00990B14">
            <w:pPr>
              <w:spacing w:before="20" w:after="20"/>
            </w:pPr>
          </w:p>
        </w:tc>
        <w:tc>
          <w:tcPr>
            <w:tcW w:w="1854" w:type="dxa"/>
            <w:shd w:val="clear" w:color="auto" w:fill="D9E2F3"/>
            <w:vAlign w:val="center"/>
          </w:tcPr>
          <w:p w14:paraId="1AAD40D8" w14:textId="77777777" w:rsidR="00990B14" w:rsidRDefault="00000000">
            <w:pPr>
              <w:spacing w:before="20" w:after="20"/>
              <w:jc w:val="both"/>
            </w:pPr>
            <w:r>
              <w:rPr>
                <w:sz w:val="18"/>
                <w:szCs w:val="18"/>
              </w:rPr>
              <w:t>Ingreso y costo marginal</w:t>
            </w:r>
          </w:p>
        </w:tc>
        <w:tc>
          <w:tcPr>
            <w:tcW w:w="2015" w:type="dxa"/>
            <w:shd w:val="clear" w:color="auto" w:fill="D9E2F3"/>
            <w:vAlign w:val="center"/>
          </w:tcPr>
          <w:p w14:paraId="039D64FB" w14:textId="77777777" w:rsidR="00990B14" w:rsidRDefault="00000000">
            <w:pPr>
              <w:spacing w:before="20" w:after="20"/>
              <w:jc w:val="both"/>
            </w:pPr>
            <w:r>
              <w:rPr>
                <w:sz w:val="18"/>
                <w:szCs w:val="18"/>
              </w:rPr>
              <w:t>No aplica la igualdad del ingreso y el costo marginal.</w:t>
            </w:r>
          </w:p>
        </w:tc>
        <w:tc>
          <w:tcPr>
            <w:tcW w:w="1854" w:type="dxa"/>
            <w:shd w:val="clear" w:color="auto" w:fill="D9E2F3"/>
            <w:vAlign w:val="center"/>
          </w:tcPr>
          <w:p w14:paraId="4837AD3D" w14:textId="77777777" w:rsidR="00990B14" w:rsidRDefault="00000000">
            <w:pPr>
              <w:spacing w:before="20" w:after="20"/>
              <w:jc w:val="both"/>
            </w:pPr>
            <w:r>
              <w:rPr>
                <w:sz w:val="18"/>
                <w:szCs w:val="18"/>
              </w:rPr>
              <w:t>Determina la producción donde el ingreso marginal iguala al costo marginal.</w:t>
            </w:r>
          </w:p>
        </w:tc>
        <w:tc>
          <w:tcPr>
            <w:tcW w:w="1910" w:type="dxa"/>
            <w:shd w:val="clear" w:color="auto" w:fill="D9E2F3"/>
            <w:vAlign w:val="center"/>
          </w:tcPr>
          <w:p w14:paraId="1AFDDA43" w14:textId="77777777" w:rsidR="00990B14" w:rsidRDefault="00000000">
            <w:pPr>
              <w:spacing w:before="20" w:after="20"/>
              <w:jc w:val="both"/>
            </w:pPr>
            <w:r>
              <w:rPr>
                <w:sz w:val="18"/>
                <w:szCs w:val="18"/>
              </w:rPr>
              <w:t>Analiza el punto de cierre y el de nivelación.</w:t>
            </w:r>
          </w:p>
        </w:tc>
      </w:tr>
      <w:tr w:rsidR="00990B14" w14:paraId="24D012A4" w14:textId="77777777">
        <w:trPr>
          <w:cantSplit/>
          <w:jc w:val="center"/>
        </w:trPr>
        <w:tc>
          <w:tcPr>
            <w:tcW w:w="1772" w:type="dxa"/>
            <w:vMerge/>
            <w:shd w:val="clear" w:color="auto" w:fill="4472C4"/>
            <w:vAlign w:val="center"/>
          </w:tcPr>
          <w:p w14:paraId="14D5CA0E" w14:textId="77777777" w:rsidR="00990B14" w:rsidRDefault="00990B14">
            <w:pPr>
              <w:spacing w:before="20" w:after="20"/>
            </w:pPr>
          </w:p>
        </w:tc>
        <w:tc>
          <w:tcPr>
            <w:tcW w:w="1854" w:type="dxa"/>
            <w:shd w:val="clear" w:color="auto" w:fill="D9E2F3"/>
            <w:vAlign w:val="center"/>
          </w:tcPr>
          <w:p w14:paraId="68B5445D" w14:textId="77777777" w:rsidR="00990B14" w:rsidRDefault="00000000">
            <w:pPr>
              <w:spacing w:before="20" w:after="20"/>
              <w:jc w:val="both"/>
            </w:pPr>
            <w:r>
              <w:rPr>
                <w:sz w:val="18"/>
                <w:szCs w:val="18"/>
              </w:rPr>
              <w:t>Curva de oferta</w:t>
            </w:r>
          </w:p>
        </w:tc>
        <w:tc>
          <w:tcPr>
            <w:tcW w:w="2015" w:type="dxa"/>
            <w:shd w:val="clear" w:color="auto" w:fill="D9E2F3"/>
            <w:vAlign w:val="center"/>
          </w:tcPr>
          <w:p w14:paraId="0D0C965B" w14:textId="77777777" w:rsidR="00990B14" w:rsidRDefault="00000000">
            <w:pPr>
              <w:spacing w:before="20" w:after="20"/>
              <w:jc w:val="both"/>
            </w:pPr>
            <w:r>
              <w:rPr>
                <w:sz w:val="18"/>
                <w:szCs w:val="18"/>
              </w:rPr>
              <w:t>No deduce la curva de oferta.</w:t>
            </w:r>
          </w:p>
        </w:tc>
        <w:tc>
          <w:tcPr>
            <w:tcW w:w="1854" w:type="dxa"/>
            <w:shd w:val="clear" w:color="auto" w:fill="D9E2F3"/>
            <w:vAlign w:val="center"/>
          </w:tcPr>
          <w:p w14:paraId="36F0CA1F" w14:textId="77777777" w:rsidR="00990B14" w:rsidRDefault="00000000">
            <w:pPr>
              <w:spacing w:before="20" w:after="20"/>
              <w:jc w:val="both"/>
            </w:pPr>
            <w:r>
              <w:rPr>
                <w:sz w:val="18"/>
                <w:szCs w:val="18"/>
              </w:rPr>
              <w:t>Deduce la curva de oferta de la empresa.</w:t>
            </w:r>
          </w:p>
        </w:tc>
        <w:tc>
          <w:tcPr>
            <w:tcW w:w="1910" w:type="dxa"/>
            <w:shd w:val="clear" w:color="auto" w:fill="D9E2F3"/>
            <w:vAlign w:val="center"/>
          </w:tcPr>
          <w:p w14:paraId="4E86CF6B" w14:textId="77777777" w:rsidR="00990B14" w:rsidRDefault="00000000">
            <w:pPr>
              <w:spacing w:before="20" w:after="20"/>
              <w:jc w:val="both"/>
            </w:pPr>
            <w:r>
              <w:rPr>
                <w:sz w:val="18"/>
                <w:szCs w:val="18"/>
              </w:rPr>
              <w:t>Explica la oferta de la industria a partir de las empresas.</w:t>
            </w:r>
          </w:p>
        </w:tc>
      </w:tr>
      <w:tr w:rsidR="00990B14" w14:paraId="5D4AAABA" w14:textId="77777777">
        <w:trPr>
          <w:cantSplit/>
          <w:jc w:val="center"/>
        </w:trPr>
        <w:tc>
          <w:tcPr>
            <w:tcW w:w="1772" w:type="dxa"/>
            <w:vMerge/>
            <w:shd w:val="clear" w:color="auto" w:fill="4472C4"/>
            <w:vAlign w:val="center"/>
          </w:tcPr>
          <w:p w14:paraId="5D67DE17" w14:textId="77777777" w:rsidR="00990B14" w:rsidRDefault="00990B14">
            <w:pPr>
              <w:spacing w:before="20" w:after="20"/>
            </w:pPr>
          </w:p>
        </w:tc>
        <w:tc>
          <w:tcPr>
            <w:tcW w:w="1854" w:type="dxa"/>
            <w:shd w:val="clear" w:color="auto" w:fill="D9E2F3"/>
            <w:vAlign w:val="center"/>
          </w:tcPr>
          <w:p w14:paraId="74C00141" w14:textId="77777777" w:rsidR="00990B14" w:rsidRDefault="00000000">
            <w:pPr>
              <w:spacing w:before="20" w:after="20"/>
              <w:jc w:val="both"/>
            </w:pPr>
            <w:r>
              <w:rPr>
                <w:sz w:val="18"/>
                <w:szCs w:val="18"/>
              </w:rPr>
              <w:t>Trabajo en equipo</w:t>
            </w:r>
          </w:p>
        </w:tc>
        <w:tc>
          <w:tcPr>
            <w:tcW w:w="2015" w:type="dxa"/>
            <w:shd w:val="clear" w:color="auto" w:fill="D9E2F3"/>
            <w:vAlign w:val="center"/>
          </w:tcPr>
          <w:p w14:paraId="04FCFFD8" w14:textId="77777777" w:rsidR="00990B14" w:rsidRDefault="00000000">
            <w:pPr>
              <w:spacing w:before="20" w:after="20"/>
              <w:jc w:val="both"/>
            </w:pPr>
            <w:r>
              <w:rPr>
                <w:sz w:val="18"/>
                <w:szCs w:val="18"/>
              </w:rPr>
              <w:t>El equipo no distribuye las tareas.</w:t>
            </w:r>
          </w:p>
        </w:tc>
        <w:tc>
          <w:tcPr>
            <w:tcW w:w="1854" w:type="dxa"/>
            <w:shd w:val="clear" w:color="auto" w:fill="D9E2F3"/>
            <w:vAlign w:val="center"/>
          </w:tcPr>
          <w:p w14:paraId="78EFC43A" w14:textId="77777777" w:rsidR="00990B14" w:rsidRDefault="00000000">
            <w:pPr>
              <w:spacing w:before="20" w:after="20"/>
              <w:jc w:val="both"/>
            </w:pPr>
            <w:r>
              <w:rPr>
                <w:sz w:val="18"/>
                <w:szCs w:val="18"/>
              </w:rPr>
              <w:t>El equipo trabaja de forma coordinada.</w:t>
            </w:r>
          </w:p>
        </w:tc>
        <w:tc>
          <w:tcPr>
            <w:tcW w:w="1910" w:type="dxa"/>
            <w:shd w:val="clear" w:color="auto" w:fill="D9E2F3"/>
            <w:vAlign w:val="center"/>
          </w:tcPr>
          <w:p w14:paraId="2147DF35" w14:textId="77777777" w:rsidR="00990B14" w:rsidRDefault="00000000">
            <w:pPr>
              <w:spacing w:before="20" w:after="20"/>
              <w:jc w:val="both"/>
            </w:pPr>
            <w:r>
              <w:rPr>
                <w:sz w:val="18"/>
                <w:szCs w:val="18"/>
              </w:rPr>
              <w:t>El equipo verifica los resultados de cada integrante.</w:t>
            </w:r>
          </w:p>
        </w:tc>
      </w:tr>
      <w:tr w:rsidR="00990B14" w14:paraId="39C52220" w14:textId="77777777">
        <w:trPr>
          <w:cantSplit/>
          <w:jc w:val="center"/>
        </w:trPr>
        <w:tc>
          <w:tcPr>
            <w:tcW w:w="1772" w:type="dxa"/>
            <w:vMerge/>
            <w:shd w:val="clear" w:color="auto" w:fill="4472C4"/>
            <w:vAlign w:val="center"/>
          </w:tcPr>
          <w:p w14:paraId="14847D6F" w14:textId="77777777" w:rsidR="00990B14" w:rsidRDefault="00990B14">
            <w:pPr>
              <w:spacing w:before="20" w:after="20"/>
            </w:pPr>
          </w:p>
        </w:tc>
        <w:tc>
          <w:tcPr>
            <w:tcW w:w="5723" w:type="dxa"/>
            <w:gridSpan w:val="3"/>
            <w:shd w:val="clear" w:color="auto" w:fill="D9E2F3"/>
            <w:vAlign w:val="center"/>
          </w:tcPr>
          <w:p w14:paraId="39CCD953" w14:textId="77777777" w:rsidR="00990B14" w:rsidRDefault="00000000">
            <w:pPr>
              <w:keepNext/>
              <w:spacing w:before="20" w:after="20"/>
              <w:jc w:val="both"/>
            </w:pPr>
            <w:r>
              <w:rPr>
                <w:b/>
                <w:bCs/>
                <w:i/>
                <w:iCs/>
                <w:sz w:val="18"/>
                <w:szCs w:val="18"/>
              </w:rPr>
              <w:t xml:space="preserve">Producto 12: </w:t>
            </w:r>
            <w:r>
              <w:rPr>
                <w:sz w:val="18"/>
                <w:szCs w:val="18"/>
              </w:rPr>
              <w:t>Informe de estructuras de mercado</w:t>
            </w:r>
          </w:p>
        </w:tc>
        <w:tc>
          <w:tcPr>
            <w:tcW w:w="1910" w:type="dxa"/>
            <w:shd w:val="clear" w:color="auto" w:fill="D9E2F3"/>
            <w:vAlign w:val="center"/>
          </w:tcPr>
          <w:p w14:paraId="02BA225E" w14:textId="77777777" w:rsidR="00990B14" w:rsidRDefault="00000000">
            <w:pPr>
              <w:spacing w:before="20" w:after="20"/>
              <w:jc w:val="center"/>
            </w:pPr>
            <w:r>
              <w:rPr>
                <w:b/>
                <w:bCs/>
                <w:sz w:val="18"/>
                <w:szCs w:val="18"/>
              </w:rPr>
              <w:t>7%</w:t>
            </w:r>
          </w:p>
        </w:tc>
      </w:tr>
      <w:tr w:rsidR="00990B14" w14:paraId="5468C610" w14:textId="77777777">
        <w:trPr>
          <w:cantSplit/>
          <w:jc w:val="center"/>
        </w:trPr>
        <w:tc>
          <w:tcPr>
            <w:tcW w:w="1772" w:type="dxa"/>
            <w:vMerge/>
            <w:shd w:val="clear" w:color="auto" w:fill="4472C4"/>
            <w:vAlign w:val="center"/>
          </w:tcPr>
          <w:p w14:paraId="5ABB0562" w14:textId="77777777" w:rsidR="00990B14" w:rsidRDefault="00990B14">
            <w:pPr>
              <w:spacing w:before="20" w:after="20"/>
            </w:pPr>
          </w:p>
        </w:tc>
        <w:tc>
          <w:tcPr>
            <w:tcW w:w="1854" w:type="dxa"/>
            <w:shd w:val="clear" w:color="auto" w:fill="4472C4"/>
            <w:vAlign w:val="center"/>
          </w:tcPr>
          <w:p w14:paraId="53CA76B0"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193821F8" w14:textId="77777777" w:rsidR="00990B14" w:rsidRDefault="00000000">
            <w:pPr>
              <w:keepNext/>
              <w:spacing w:before="20" w:after="20"/>
              <w:jc w:val="center"/>
            </w:pPr>
            <w:r>
              <w:rPr>
                <w:b/>
                <w:bCs/>
                <w:i/>
                <w:iCs/>
                <w:color w:val="FFFFFF"/>
                <w:sz w:val="18"/>
                <w:szCs w:val="18"/>
              </w:rPr>
              <w:t>Insuficiente (1–50)</w:t>
            </w:r>
          </w:p>
        </w:tc>
        <w:tc>
          <w:tcPr>
            <w:tcW w:w="1854" w:type="dxa"/>
            <w:shd w:val="clear" w:color="auto" w:fill="4472C4"/>
            <w:vAlign w:val="center"/>
          </w:tcPr>
          <w:p w14:paraId="197BED61"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424E6440" w14:textId="77777777" w:rsidR="00990B14" w:rsidRDefault="00000000">
            <w:pPr>
              <w:keepNext/>
              <w:spacing w:before="20" w:after="20"/>
              <w:jc w:val="center"/>
            </w:pPr>
            <w:r>
              <w:rPr>
                <w:b/>
                <w:bCs/>
                <w:i/>
                <w:iCs/>
                <w:color w:val="FFFFFF"/>
                <w:sz w:val="18"/>
                <w:szCs w:val="18"/>
              </w:rPr>
              <w:t>Destacado (81–100)</w:t>
            </w:r>
          </w:p>
        </w:tc>
      </w:tr>
      <w:tr w:rsidR="00990B14" w14:paraId="0331B981" w14:textId="77777777">
        <w:trPr>
          <w:cantSplit/>
          <w:jc w:val="center"/>
        </w:trPr>
        <w:tc>
          <w:tcPr>
            <w:tcW w:w="1772" w:type="dxa"/>
            <w:vMerge/>
            <w:shd w:val="clear" w:color="auto" w:fill="4472C4"/>
            <w:vAlign w:val="center"/>
          </w:tcPr>
          <w:p w14:paraId="52833358" w14:textId="77777777" w:rsidR="00990B14" w:rsidRDefault="00990B14">
            <w:pPr>
              <w:spacing w:before="20" w:after="20"/>
            </w:pPr>
          </w:p>
        </w:tc>
        <w:tc>
          <w:tcPr>
            <w:tcW w:w="1854" w:type="dxa"/>
            <w:shd w:val="clear" w:color="auto" w:fill="D9E2F3"/>
            <w:vAlign w:val="center"/>
          </w:tcPr>
          <w:p w14:paraId="0E55A784" w14:textId="77777777" w:rsidR="00990B14" w:rsidRDefault="00000000">
            <w:pPr>
              <w:spacing w:before="20" w:after="20"/>
              <w:jc w:val="both"/>
            </w:pPr>
            <w:r>
              <w:rPr>
                <w:sz w:val="18"/>
                <w:szCs w:val="18"/>
              </w:rPr>
              <w:t>Estructura de mercado</w:t>
            </w:r>
          </w:p>
        </w:tc>
        <w:tc>
          <w:tcPr>
            <w:tcW w:w="2015" w:type="dxa"/>
            <w:shd w:val="clear" w:color="auto" w:fill="D9E2F3"/>
            <w:vAlign w:val="center"/>
          </w:tcPr>
          <w:p w14:paraId="07081FB0" w14:textId="77777777" w:rsidR="00990B14" w:rsidRDefault="00000000">
            <w:pPr>
              <w:spacing w:before="20" w:after="20"/>
              <w:jc w:val="both"/>
            </w:pPr>
            <w:r>
              <w:rPr>
                <w:sz w:val="18"/>
                <w:szCs w:val="18"/>
              </w:rPr>
              <w:t>Identifica mal la estructura del mercado.</w:t>
            </w:r>
          </w:p>
        </w:tc>
        <w:tc>
          <w:tcPr>
            <w:tcW w:w="1854" w:type="dxa"/>
            <w:shd w:val="clear" w:color="auto" w:fill="D9E2F3"/>
            <w:vAlign w:val="center"/>
          </w:tcPr>
          <w:p w14:paraId="5DB46745" w14:textId="77777777" w:rsidR="00990B14" w:rsidRDefault="00000000">
            <w:pPr>
              <w:spacing w:before="20" w:after="20"/>
              <w:jc w:val="both"/>
            </w:pPr>
            <w:r>
              <w:rPr>
                <w:sz w:val="18"/>
                <w:szCs w:val="18"/>
              </w:rPr>
              <w:t>Caracteriza el monopolio, la competencia monopólica y el oligopolio.</w:t>
            </w:r>
          </w:p>
        </w:tc>
        <w:tc>
          <w:tcPr>
            <w:tcW w:w="1910" w:type="dxa"/>
            <w:shd w:val="clear" w:color="auto" w:fill="D9E2F3"/>
            <w:vAlign w:val="center"/>
          </w:tcPr>
          <w:p w14:paraId="6CEAB514" w14:textId="77777777" w:rsidR="00990B14" w:rsidRDefault="00000000">
            <w:pPr>
              <w:spacing w:before="20" w:after="20"/>
              <w:jc w:val="both"/>
            </w:pPr>
            <w:r>
              <w:rPr>
                <w:sz w:val="18"/>
                <w:szCs w:val="18"/>
              </w:rPr>
              <w:t>Fundamenta la estructura con datos del mercado boliviano.</w:t>
            </w:r>
          </w:p>
        </w:tc>
      </w:tr>
      <w:tr w:rsidR="00990B14" w14:paraId="552F39D0" w14:textId="77777777">
        <w:trPr>
          <w:cantSplit/>
          <w:jc w:val="center"/>
        </w:trPr>
        <w:tc>
          <w:tcPr>
            <w:tcW w:w="1772" w:type="dxa"/>
            <w:vMerge/>
            <w:shd w:val="clear" w:color="auto" w:fill="4472C4"/>
            <w:vAlign w:val="center"/>
          </w:tcPr>
          <w:p w14:paraId="25A63972" w14:textId="77777777" w:rsidR="00990B14" w:rsidRDefault="00990B14">
            <w:pPr>
              <w:spacing w:before="20" w:after="20"/>
            </w:pPr>
          </w:p>
        </w:tc>
        <w:tc>
          <w:tcPr>
            <w:tcW w:w="1854" w:type="dxa"/>
            <w:shd w:val="clear" w:color="auto" w:fill="D9E2F3"/>
            <w:vAlign w:val="center"/>
          </w:tcPr>
          <w:p w14:paraId="74F68B00" w14:textId="77777777" w:rsidR="00990B14" w:rsidRDefault="00000000">
            <w:pPr>
              <w:spacing w:before="20" w:after="20"/>
              <w:jc w:val="both"/>
            </w:pPr>
            <w:r>
              <w:rPr>
                <w:sz w:val="18"/>
                <w:szCs w:val="18"/>
              </w:rPr>
              <w:t>Equilibrio y precio</w:t>
            </w:r>
          </w:p>
        </w:tc>
        <w:tc>
          <w:tcPr>
            <w:tcW w:w="2015" w:type="dxa"/>
            <w:shd w:val="clear" w:color="auto" w:fill="D9E2F3"/>
            <w:vAlign w:val="center"/>
          </w:tcPr>
          <w:p w14:paraId="313F85DF" w14:textId="77777777" w:rsidR="00990B14" w:rsidRDefault="00000000">
            <w:pPr>
              <w:spacing w:before="20" w:after="20"/>
              <w:jc w:val="both"/>
            </w:pPr>
            <w:r>
              <w:rPr>
                <w:sz w:val="18"/>
                <w:szCs w:val="18"/>
              </w:rPr>
              <w:t>Calcula mal el equilibrio.</w:t>
            </w:r>
          </w:p>
        </w:tc>
        <w:tc>
          <w:tcPr>
            <w:tcW w:w="1854" w:type="dxa"/>
            <w:shd w:val="clear" w:color="auto" w:fill="D9E2F3"/>
            <w:vAlign w:val="center"/>
          </w:tcPr>
          <w:p w14:paraId="6CFF940D" w14:textId="77777777" w:rsidR="00990B14" w:rsidRDefault="00000000">
            <w:pPr>
              <w:spacing w:before="20" w:after="20"/>
              <w:jc w:val="both"/>
            </w:pPr>
            <w:r>
              <w:rPr>
                <w:sz w:val="18"/>
                <w:szCs w:val="18"/>
              </w:rPr>
              <w:t>Determina el precio y la producción en cada estructura.</w:t>
            </w:r>
          </w:p>
        </w:tc>
        <w:tc>
          <w:tcPr>
            <w:tcW w:w="1910" w:type="dxa"/>
            <w:shd w:val="clear" w:color="auto" w:fill="D9E2F3"/>
            <w:vAlign w:val="center"/>
          </w:tcPr>
          <w:p w14:paraId="23DFA0F9" w14:textId="77777777" w:rsidR="00990B14" w:rsidRDefault="00000000">
            <w:pPr>
              <w:spacing w:before="20" w:after="20"/>
              <w:jc w:val="both"/>
            </w:pPr>
            <w:r>
              <w:rPr>
                <w:sz w:val="18"/>
                <w:szCs w:val="18"/>
              </w:rPr>
              <w:t>Analiza la discriminación de precios y el modelo de Cournot.</w:t>
            </w:r>
          </w:p>
        </w:tc>
      </w:tr>
      <w:tr w:rsidR="00990B14" w14:paraId="4D75E7B0" w14:textId="77777777">
        <w:trPr>
          <w:cantSplit/>
          <w:jc w:val="center"/>
        </w:trPr>
        <w:tc>
          <w:tcPr>
            <w:tcW w:w="1772" w:type="dxa"/>
            <w:vMerge/>
            <w:shd w:val="clear" w:color="auto" w:fill="4472C4"/>
            <w:vAlign w:val="center"/>
          </w:tcPr>
          <w:p w14:paraId="0FC9B3BC" w14:textId="77777777" w:rsidR="00990B14" w:rsidRDefault="00990B14">
            <w:pPr>
              <w:spacing w:before="20" w:after="20"/>
            </w:pPr>
          </w:p>
        </w:tc>
        <w:tc>
          <w:tcPr>
            <w:tcW w:w="1854" w:type="dxa"/>
            <w:shd w:val="clear" w:color="auto" w:fill="D9E2F3"/>
            <w:vAlign w:val="center"/>
          </w:tcPr>
          <w:p w14:paraId="4800FE9A" w14:textId="77777777" w:rsidR="00990B14" w:rsidRDefault="00000000">
            <w:pPr>
              <w:spacing w:before="20" w:after="20"/>
              <w:jc w:val="both"/>
            </w:pPr>
            <w:r>
              <w:rPr>
                <w:sz w:val="18"/>
                <w:szCs w:val="18"/>
              </w:rPr>
              <w:t>Ética y competencia</w:t>
            </w:r>
          </w:p>
        </w:tc>
        <w:tc>
          <w:tcPr>
            <w:tcW w:w="2015" w:type="dxa"/>
            <w:shd w:val="clear" w:color="auto" w:fill="D9E2F3"/>
            <w:vAlign w:val="center"/>
          </w:tcPr>
          <w:p w14:paraId="69342279" w14:textId="77777777" w:rsidR="00990B14" w:rsidRDefault="00000000">
            <w:pPr>
              <w:spacing w:before="20" w:after="20"/>
              <w:jc w:val="both"/>
            </w:pPr>
            <w:r>
              <w:rPr>
                <w:sz w:val="18"/>
                <w:szCs w:val="18"/>
              </w:rPr>
              <w:t>No menciona conductas anticompetitivas.</w:t>
            </w:r>
          </w:p>
        </w:tc>
        <w:tc>
          <w:tcPr>
            <w:tcW w:w="1854" w:type="dxa"/>
            <w:shd w:val="clear" w:color="auto" w:fill="D9E2F3"/>
            <w:vAlign w:val="center"/>
          </w:tcPr>
          <w:p w14:paraId="101B7592" w14:textId="77777777" w:rsidR="00990B14" w:rsidRDefault="00000000">
            <w:pPr>
              <w:spacing w:before="20" w:after="20"/>
              <w:jc w:val="both"/>
            </w:pPr>
            <w:r>
              <w:rPr>
                <w:sz w:val="18"/>
                <w:szCs w:val="18"/>
              </w:rPr>
              <w:t>Describe la colusión y el abuso de posición dominante.</w:t>
            </w:r>
          </w:p>
        </w:tc>
        <w:tc>
          <w:tcPr>
            <w:tcW w:w="1910" w:type="dxa"/>
            <w:shd w:val="clear" w:color="auto" w:fill="D9E2F3"/>
            <w:vAlign w:val="center"/>
          </w:tcPr>
          <w:p w14:paraId="087A0DF3" w14:textId="77777777" w:rsidR="00990B14" w:rsidRDefault="00000000">
            <w:pPr>
              <w:spacing w:before="20" w:after="20"/>
              <w:jc w:val="both"/>
            </w:pPr>
            <w:r>
              <w:rPr>
                <w:sz w:val="18"/>
                <w:szCs w:val="18"/>
              </w:rPr>
              <w:t>Valora la regulación como protección del consumidor.</w:t>
            </w:r>
          </w:p>
        </w:tc>
      </w:tr>
      <w:tr w:rsidR="00990B14" w14:paraId="718E6AA8" w14:textId="77777777">
        <w:trPr>
          <w:cantSplit/>
          <w:jc w:val="center"/>
        </w:trPr>
        <w:tc>
          <w:tcPr>
            <w:tcW w:w="1772" w:type="dxa"/>
            <w:vMerge/>
            <w:shd w:val="clear" w:color="auto" w:fill="4472C4"/>
            <w:vAlign w:val="center"/>
          </w:tcPr>
          <w:p w14:paraId="3F461E8F" w14:textId="77777777" w:rsidR="00990B14" w:rsidRDefault="00990B14">
            <w:pPr>
              <w:spacing w:before="20" w:after="20"/>
            </w:pPr>
          </w:p>
        </w:tc>
        <w:tc>
          <w:tcPr>
            <w:tcW w:w="5723" w:type="dxa"/>
            <w:gridSpan w:val="3"/>
            <w:shd w:val="clear" w:color="auto" w:fill="D9E2F3"/>
            <w:vAlign w:val="center"/>
          </w:tcPr>
          <w:p w14:paraId="000F22B4" w14:textId="77777777" w:rsidR="00990B14" w:rsidRDefault="00000000">
            <w:pPr>
              <w:keepNext/>
              <w:spacing w:before="20" w:after="20"/>
              <w:jc w:val="both"/>
            </w:pPr>
            <w:r>
              <w:rPr>
                <w:b/>
                <w:bCs/>
                <w:i/>
                <w:iCs/>
                <w:sz w:val="18"/>
                <w:szCs w:val="18"/>
              </w:rPr>
              <w:t xml:space="preserve">Producto 13: </w:t>
            </w:r>
            <w:r>
              <w:rPr>
                <w:sz w:val="18"/>
                <w:szCs w:val="18"/>
              </w:rPr>
              <w:t>Cuadro de la demanda de un factor</w:t>
            </w:r>
          </w:p>
        </w:tc>
        <w:tc>
          <w:tcPr>
            <w:tcW w:w="1910" w:type="dxa"/>
            <w:shd w:val="clear" w:color="auto" w:fill="D9E2F3"/>
            <w:vAlign w:val="center"/>
          </w:tcPr>
          <w:p w14:paraId="5FB30331" w14:textId="77777777" w:rsidR="00990B14" w:rsidRDefault="00000000">
            <w:pPr>
              <w:spacing w:before="20" w:after="20"/>
              <w:jc w:val="center"/>
            </w:pPr>
            <w:r>
              <w:rPr>
                <w:b/>
                <w:bCs/>
                <w:sz w:val="18"/>
                <w:szCs w:val="18"/>
              </w:rPr>
              <w:t>4%</w:t>
            </w:r>
          </w:p>
        </w:tc>
      </w:tr>
      <w:tr w:rsidR="00990B14" w14:paraId="1AFFB64D" w14:textId="77777777">
        <w:trPr>
          <w:cantSplit/>
          <w:jc w:val="center"/>
        </w:trPr>
        <w:tc>
          <w:tcPr>
            <w:tcW w:w="1772" w:type="dxa"/>
            <w:vMerge/>
            <w:shd w:val="clear" w:color="auto" w:fill="4472C4"/>
            <w:vAlign w:val="center"/>
          </w:tcPr>
          <w:p w14:paraId="7F9EA02B" w14:textId="77777777" w:rsidR="00990B14" w:rsidRDefault="00990B14">
            <w:pPr>
              <w:spacing w:before="20" w:after="20"/>
            </w:pPr>
          </w:p>
        </w:tc>
        <w:tc>
          <w:tcPr>
            <w:tcW w:w="1854" w:type="dxa"/>
            <w:shd w:val="clear" w:color="auto" w:fill="4472C4"/>
            <w:vAlign w:val="center"/>
          </w:tcPr>
          <w:p w14:paraId="03739C9E"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054C0AC8" w14:textId="77777777" w:rsidR="00990B14" w:rsidRDefault="00000000">
            <w:pPr>
              <w:keepNext/>
              <w:spacing w:before="20" w:after="20"/>
              <w:jc w:val="center"/>
            </w:pPr>
            <w:r>
              <w:rPr>
                <w:b/>
                <w:bCs/>
                <w:i/>
                <w:iCs/>
                <w:color w:val="FFFFFF"/>
                <w:sz w:val="18"/>
                <w:szCs w:val="18"/>
              </w:rPr>
              <w:t>Insuficiente (1–50)</w:t>
            </w:r>
          </w:p>
        </w:tc>
        <w:tc>
          <w:tcPr>
            <w:tcW w:w="1854" w:type="dxa"/>
            <w:shd w:val="clear" w:color="auto" w:fill="4472C4"/>
            <w:vAlign w:val="center"/>
          </w:tcPr>
          <w:p w14:paraId="514642AB"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0F7873D0" w14:textId="77777777" w:rsidR="00990B14" w:rsidRDefault="00000000">
            <w:pPr>
              <w:keepNext/>
              <w:spacing w:before="20" w:after="20"/>
              <w:jc w:val="center"/>
            </w:pPr>
            <w:r>
              <w:rPr>
                <w:b/>
                <w:bCs/>
                <w:i/>
                <w:iCs/>
                <w:color w:val="FFFFFF"/>
                <w:sz w:val="18"/>
                <w:szCs w:val="18"/>
              </w:rPr>
              <w:t>Destacado (81–100)</w:t>
            </w:r>
          </w:p>
        </w:tc>
      </w:tr>
      <w:tr w:rsidR="00990B14" w14:paraId="157B40BE" w14:textId="77777777">
        <w:trPr>
          <w:cantSplit/>
          <w:jc w:val="center"/>
        </w:trPr>
        <w:tc>
          <w:tcPr>
            <w:tcW w:w="1772" w:type="dxa"/>
            <w:vMerge/>
            <w:shd w:val="clear" w:color="auto" w:fill="4472C4"/>
            <w:vAlign w:val="center"/>
          </w:tcPr>
          <w:p w14:paraId="5F01633D" w14:textId="77777777" w:rsidR="00990B14" w:rsidRDefault="00990B14">
            <w:pPr>
              <w:spacing w:before="20" w:after="20"/>
            </w:pPr>
          </w:p>
        </w:tc>
        <w:tc>
          <w:tcPr>
            <w:tcW w:w="1854" w:type="dxa"/>
            <w:shd w:val="clear" w:color="auto" w:fill="D9E2F3"/>
            <w:vAlign w:val="center"/>
          </w:tcPr>
          <w:p w14:paraId="53490F00" w14:textId="77777777" w:rsidR="00990B14" w:rsidRDefault="00000000">
            <w:pPr>
              <w:spacing w:before="20" w:after="20"/>
              <w:jc w:val="both"/>
            </w:pPr>
            <w:r>
              <w:rPr>
                <w:sz w:val="18"/>
                <w:szCs w:val="18"/>
              </w:rPr>
              <w:t>Producto marginal</w:t>
            </w:r>
          </w:p>
        </w:tc>
        <w:tc>
          <w:tcPr>
            <w:tcW w:w="2015" w:type="dxa"/>
            <w:shd w:val="clear" w:color="auto" w:fill="D9E2F3"/>
            <w:vAlign w:val="center"/>
          </w:tcPr>
          <w:p w14:paraId="34D145CC" w14:textId="77777777" w:rsidR="00990B14" w:rsidRDefault="00000000">
            <w:pPr>
              <w:spacing w:before="20" w:after="20"/>
              <w:jc w:val="both"/>
            </w:pPr>
            <w:r>
              <w:rPr>
                <w:sz w:val="18"/>
                <w:szCs w:val="18"/>
              </w:rPr>
              <w:t>Calcula mal el valor del producto marginal.</w:t>
            </w:r>
          </w:p>
        </w:tc>
        <w:tc>
          <w:tcPr>
            <w:tcW w:w="1854" w:type="dxa"/>
            <w:shd w:val="clear" w:color="auto" w:fill="D9E2F3"/>
            <w:vAlign w:val="center"/>
          </w:tcPr>
          <w:p w14:paraId="5B6F71EF" w14:textId="77777777" w:rsidR="00990B14" w:rsidRDefault="00000000">
            <w:pPr>
              <w:spacing w:before="20" w:after="20"/>
              <w:jc w:val="both"/>
            </w:pPr>
            <w:r>
              <w:rPr>
                <w:sz w:val="18"/>
                <w:szCs w:val="18"/>
              </w:rPr>
              <w:t>Calcula el valor del producto marginal del factor.</w:t>
            </w:r>
          </w:p>
        </w:tc>
        <w:tc>
          <w:tcPr>
            <w:tcW w:w="1910" w:type="dxa"/>
            <w:shd w:val="clear" w:color="auto" w:fill="D9E2F3"/>
            <w:vAlign w:val="center"/>
          </w:tcPr>
          <w:p w14:paraId="5D72BAF5" w14:textId="77777777" w:rsidR="00990B14" w:rsidRDefault="00000000">
            <w:pPr>
              <w:spacing w:before="20" w:after="20"/>
              <w:jc w:val="both"/>
            </w:pPr>
            <w:r>
              <w:rPr>
                <w:sz w:val="18"/>
                <w:szCs w:val="18"/>
              </w:rPr>
              <w:t>Explica por qué la curva de demanda tiene pendiente negativa.</w:t>
            </w:r>
          </w:p>
        </w:tc>
      </w:tr>
      <w:tr w:rsidR="00990B14" w14:paraId="60BE2CB5" w14:textId="77777777">
        <w:trPr>
          <w:cantSplit/>
          <w:jc w:val="center"/>
        </w:trPr>
        <w:tc>
          <w:tcPr>
            <w:tcW w:w="1772" w:type="dxa"/>
            <w:vMerge/>
            <w:shd w:val="clear" w:color="auto" w:fill="4472C4"/>
            <w:vAlign w:val="center"/>
          </w:tcPr>
          <w:p w14:paraId="346F768A" w14:textId="77777777" w:rsidR="00990B14" w:rsidRDefault="00990B14">
            <w:pPr>
              <w:spacing w:before="20" w:after="20"/>
            </w:pPr>
          </w:p>
        </w:tc>
        <w:tc>
          <w:tcPr>
            <w:tcW w:w="1854" w:type="dxa"/>
            <w:shd w:val="clear" w:color="auto" w:fill="D9E2F3"/>
            <w:vAlign w:val="center"/>
          </w:tcPr>
          <w:p w14:paraId="33236AD8" w14:textId="77777777" w:rsidR="00990B14" w:rsidRDefault="00000000">
            <w:pPr>
              <w:spacing w:before="20" w:after="20"/>
              <w:jc w:val="both"/>
            </w:pPr>
            <w:r>
              <w:rPr>
                <w:sz w:val="18"/>
                <w:szCs w:val="18"/>
              </w:rPr>
              <w:t>Cantidad contratada</w:t>
            </w:r>
          </w:p>
        </w:tc>
        <w:tc>
          <w:tcPr>
            <w:tcW w:w="2015" w:type="dxa"/>
            <w:shd w:val="clear" w:color="auto" w:fill="D9E2F3"/>
            <w:vAlign w:val="center"/>
          </w:tcPr>
          <w:p w14:paraId="70C6AAB8" w14:textId="77777777" w:rsidR="00990B14" w:rsidRDefault="00000000">
            <w:pPr>
              <w:spacing w:before="20" w:after="20"/>
              <w:jc w:val="both"/>
            </w:pPr>
            <w:r>
              <w:rPr>
                <w:sz w:val="18"/>
                <w:szCs w:val="18"/>
              </w:rPr>
              <w:t>No aplica la condición de contratación.</w:t>
            </w:r>
          </w:p>
        </w:tc>
        <w:tc>
          <w:tcPr>
            <w:tcW w:w="1854" w:type="dxa"/>
            <w:shd w:val="clear" w:color="auto" w:fill="D9E2F3"/>
            <w:vAlign w:val="center"/>
          </w:tcPr>
          <w:p w14:paraId="10905546" w14:textId="77777777" w:rsidR="00990B14" w:rsidRDefault="00000000">
            <w:pPr>
              <w:spacing w:before="20" w:after="20"/>
              <w:jc w:val="both"/>
            </w:pPr>
            <w:r>
              <w:rPr>
                <w:sz w:val="18"/>
                <w:szCs w:val="18"/>
              </w:rPr>
              <w:t>Determina la cantidad del factor que maximiza el beneficio.</w:t>
            </w:r>
          </w:p>
        </w:tc>
        <w:tc>
          <w:tcPr>
            <w:tcW w:w="1910" w:type="dxa"/>
            <w:shd w:val="clear" w:color="auto" w:fill="D9E2F3"/>
            <w:vAlign w:val="center"/>
          </w:tcPr>
          <w:p w14:paraId="0C241ECC" w14:textId="77777777" w:rsidR="00990B14" w:rsidRDefault="00000000">
            <w:pPr>
              <w:spacing w:before="20" w:after="20"/>
              <w:jc w:val="both"/>
            </w:pPr>
            <w:r>
              <w:rPr>
                <w:sz w:val="18"/>
                <w:szCs w:val="18"/>
              </w:rPr>
              <w:t>Analiza el efecto de un cambio en el precio del bien.</w:t>
            </w:r>
          </w:p>
        </w:tc>
      </w:tr>
      <w:tr w:rsidR="00990B14" w14:paraId="04FA2BF5" w14:textId="77777777">
        <w:trPr>
          <w:cantSplit/>
          <w:jc w:val="center"/>
        </w:trPr>
        <w:tc>
          <w:tcPr>
            <w:tcW w:w="1772" w:type="dxa"/>
            <w:vMerge/>
            <w:shd w:val="clear" w:color="auto" w:fill="4472C4"/>
            <w:vAlign w:val="center"/>
          </w:tcPr>
          <w:p w14:paraId="7AC60939" w14:textId="77777777" w:rsidR="00990B14" w:rsidRDefault="00990B14">
            <w:pPr>
              <w:spacing w:before="20" w:after="20"/>
            </w:pPr>
          </w:p>
        </w:tc>
        <w:tc>
          <w:tcPr>
            <w:tcW w:w="1854" w:type="dxa"/>
            <w:shd w:val="clear" w:color="auto" w:fill="D9E2F3"/>
            <w:vAlign w:val="center"/>
          </w:tcPr>
          <w:p w14:paraId="1A5CB803" w14:textId="77777777" w:rsidR="00990B14" w:rsidRDefault="00000000">
            <w:pPr>
              <w:spacing w:before="20" w:after="20"/>
              <w:jc w:val="both"/>
            </w:pPr>
            <w:r>
              <w:rPr>
                <w:sz w:val="18"/>
                <w:szCs w:val="18"/>
              </w:rPr>
              <w:t>Exactitud</w:t>
            </w:r>
          </w:p>
        </w:tc>
        <w:tc>
          <w:tcPr>
            <w:tcW w:w="2015" w:type="dxa"/>
            <w:shd w:val="clear" w:color="auto" w:fill="D9E2F3"/>
            <w:vAlign w:val="center"/>
          </w:tcPr>
          <w:p w14:paraId="720BF892" w14:textId="77777777" w:rsidR="00990B14" w:rsidRDefault="00000000">
            <w:pPr>
              <w:spacing w:before="20" w:after="20"/>
              <w:jc w:val="both"/>
            </w:pPr>
            <w:r>
              <w:rPr>
                <w:sz w:val="18"/>
                <w:szCs w:val="18"/>
              </w:rPr>
              <w:t>Presenta errores de cálculo.</w:t>
            </w:r>
          </w:p>
        </w:tc>
        <w:tc>
          <w:tcPr>
            <w:tcW w:w="1854" w:type="dxa"/>
            <w:shd w:val="clear" w:color="auto" w:fill="D9E2F3"/>
            <w:vAlign w:val="center"/>
          </w:tcPr>
          <w:p w14:paraId="504BDCB1" w14:textId="77777777" w:rsidR="00990B14" w:rsidRDefault="00000000">
            <w:pPr>
              <w:spacing w:before="20" w:after="20"/>
              <w:jc w:val="both"/>
            </w:pPr>
            <w:r>
              <w:rPr>
                <w:sz w:val="18"/>
                <w:szCs w:val="18"/>
              </w:rPr>
              <w:t>Los cálculos son correctos.</w:t>
            </w:r>
          </w:p>
        </w:tc>
        <w:tc>
          <w:tcPr>
            <w:tcW w:w="1910" w:type="dxa"/>
            <w:shd w:val="clear" w:color="auto" w:fill="D9E2F3"/>
            <w:vAlign w:val="center"/>
          </w:tcPr>
          <w:p w14:paraId="095E629F" w14:textId="77777777" w:rsidR="00990B14" w:rsidRDefault="00000000">
            <w:pPr>
              <w:spacing w:before="20" w:after="20"/>
              <w:jc w:val="both"/>
            </w:pPr>
            <w:r>
              <w:rPr>
                <w:sz w:val="18"/>
                <w:szCs w:val="18"/>
              </w:rPr>
              <w:t>Verifica los resultados con el gráfico.</w:t>
            </w:r>
          </w:p>
        </w:tc>
      </w:tr>
      <w:tr w:rsidR="00990B14" w14:paraId="05E14A58" w14:textId="77777777">
        <w:trPr>
          <w:cantSplit/>
          <w:jc w:val="center"/>
        </w:trPr>
        <w:tc>
          <w:tcPr>
            <w:tcW w:w="1772" w:type="dxa"/>
            <w:vMerge/>
            <w:shd w:val="clear" w:color="auto" w:fill="4472C4"/>
            <w:vAlign w:val="center"/>
          </w:tcPr>
          <w:p w14:paraId="0C750058" w14:textId="77777777" w:rsidR="00990B14" w:rsidRDefault="00990B14">
            <w:pPr>
              <w:spacing w:before="20" w:after="20"/>
            </w:pPr>
          </w:p>
        </w:tc>
        <w:tc>
          <w:tcPr>
            <w:tcW w:w="5723" w:type="dxa"/>
            <w:gridSpan w:val="3"/>
            <w:shd w:val="clear" w:color="auto" w:fill="D9E2F3"/>
            <w:vAlign w:val="center"/>
          </w:tcPr>
          <w:p w14:paraId="7F9AD521" w14:textId="77777777" w:rsidR="00990B14" w:rsidRDefault="00000000">
            <w:pPr>
              <w:keepNext/>
              <w:spacing w:before="20" w:after="20"/>
              <w:jc w:val="both"/>
            </w:pPr>
            <w:r>
              <w:rPr>
                <w:b/>
                <w:bCs/>
                <w:i/>
                <w:iCs/>
                <w:sz w:val="18"/>
                <w:szCs w:val="18"/>
              </w:rPr>
              <w:t xml:space="preserve">Producto 14: </w:t>
            </w:r>
            <w:r>
              <w:rPr>
                <w:sz w:val="18"/>
                <w:szCs w:val="18"/>
              </w:rPr>
              <w:t>Cuadro comparativo de la demanda de factores</w:t>
            </w:r>
          </w:p>
        </w:tc>
        <w:tc>
          <w:tcPr>
            <w:tcW w:w="1910" w:type="dxa"/>
            <w:shd w:val="clear" w:color="auto" w:fill="D9E2F3"/>
            <w:vAlign w:val="center"/>
          </w:tcPr>
          <w:p w14:paraId="71EF56C9" w14:textId="77777777" w:rsidR="00990B14" w:rsidRDefault="00000000">
            <w:pPr>
              <w:spacing w:before="20" w:after="20"/>
              <w:jc w:val="center"/>
            </w:pPr>
            <w:r>
              <w:rPr>
                <w:b/>
                <w:bCs/>
                <w:sz w:val="18"/>
                <w:szCs w:val="18"/>
              </w:rPr>
              <w:t>4%</w:t>
            </w:r>
          </w:p>
        </w:tc>
      </w:tr>
      <w:tr w:rsidR="00990B14" w14:paraId="436FF8B0" w14:textId="77777777">
        <w:trPr>
          <w:cantSplit/>
          <w:jc w:val="center"/>
        </w:trPr>
        <w:tc>
          <w:tcPr>
            <w:tcW w:w="1772" w:type="dxa"/>
            <w:vMerge/>
            <w:shd w:val="clear" w:color="auto" w:fill="4472C4"/>
            <w:vAlign w:val="center"/>
          </w:tcPr>
          <w:p w14:paraId="2EEDC60C" w14:textId="77777777" w:rsidR="00990B14" w:rsidRDefault="00990B14">
            <w:pPr>
              <w:spacing w:before="20" w:after="20"/>
            </w:pPr>
          </w:p>
        </w:tc>
        <w:tc>
          <w:tcPr>
            <w:tcW w:w="1854" w:type="dxa"/>
            <w:shd w:val="clear" w:color="auto" w:fill="4472C4"/>
            <w:vAlign w:val="center"/>
          </w:tcPr>
          <w:p w14:paraId="72D3770C"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358B0C82" w14:textId="77777777" w:rsidR="00990B14" w:rsidRDefault="00000000">
            <w:pPr>
              <w:keepNext/>
              <w:spacing w:before="20" w:after="20"/>
              <w:jc w:val="center"/>
            </w:pPr>
            <w:r>
              <w:rPr>
                <w:b/>
                <w:bCs/>
                <w:i/>
                <w:iCs/>
                <w:color w:val="FFFFFF"/>
                <w:sz w:val="18"/>
                <w:szCs w:val="18"/>
              </w:rPr>
              <w:t>Insuficiente (1–50)</w:t>
            </w:r>
          </w:p>
        </w:tc>
        <w:tc>
          <w:tcPr>
            <w:tcW w:w="1854" w:type="dxa"/>
            <w:shd w:val="clear" w:color="auto" w:fill="4472C4"/>
            <w:vAlign w:val="center"/>
          </w:tcPr>
          <w:p w14:paraId="326BA886"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672CF997" w14:textId="77777777" w:rsidR="00990B14" w:rsidRDefault="00000000">
            <w:pPr>
              <w:keepNext/>
              <w:spacing w:before="20" w:after="20"/>
              <w:jc w:val="center"/>
            </w:pPr>
            <w:r>
              <w:rPr>
                <w:b/>
                <w:bCs/>
                <w:i/>
                <w:iCs/>
                <w:color w:val="FFFFFF"/>
                <w:sz w:val="18"/>
                <w:szCs w:val="18"/>
              </w:rPr>
              <w:t>Destacado (81–100)</w:t>
            </w:r>
          </w:p>
        </w:tc>
      </w:tr>
      <w:tr w:rsidR="00990B14" w14:paraId="45B6232A" w14:textId="77777777">
        <w:trPr>
          <w:cantSplit/>
          <w:jc w:val="center"/>
        </w:trPr>
        <w:tc>
          <w:tcPr>
            <w:tcW w:w="1772" w:type="dxa"/>
            <w:vMerge/>
            <w:shd w:val="clear" w:color="auto" w:fill="4472C4"/>
            <w:vAlign w:val="center"/>
          </w:tcPr>
          <w:p w14:paraId="39A441D1" w14:textId="77777777" w:rsidR="00990B14" w:rsidRDefault="00990B14">
            <w:pPr>
              <w:spacing w:before="20" w:after="20"/>
            </w:pPr>
          </w:p>
        </w:tc>
        <w:tc>
          <w:tcPr>
            <w:tcW w:w="1854" w:type="dxa"/>
            <w:shd w:val="clear" w:color="auto" w:fill="D9E2F3"/>
            <w:vAlign w:val="center"/>
          </w:tcPr>
          <w:p w14:paraId="6D7DCC82" w14:textId="77777777" w:rsidR="00990B14" w:rsidRDefault="00000000">
            <w:pPr>
              <w:spacing w:before="20" w:after="20"/>
              <w:jc w:val="both"/>
            </w:pPr>
            <w:r>
              <w:rPr>
                <w:sz w:val="18"/>
                <w:szCs w:val="18"/>
              </w:rPr>
              <w:t>Ingreso del producto marginal</w:t>
            </w:r>
          </w:p>
        </w:tc>
        <w:tc>
          <w:tcPr>
            <w:tcW w:w="2015" w:type="dxa"/>
            <w:shd w:val="clear" w:color="auto" w:fill="D9E2F3"/>
            <w:vAlign w:val="center"/>
          </w:tcPr>
          <w:p w14:paraId="0E1B9269" w14:textId="77777777" w:rsidR="00990B14" w:rsidRDefault="00000000">
            <w:pPr>
              <w:spacing w:before="20" w:after="20"/>
              <w:jc w:val="both"/>
            </w:pPr>
            <w:r>
              <w:rPr>
                <w:sz w:val="18"/>
                <w:szCs w:val="18"/>
              </w:rPr>
              <w:t>Confunde el valor y el ingreso del producto marginal.</w:t>
            </w:r>
          </w:p>
        </w:tc>
        <w:tc>
          <w:tcPr>
            <w:tcW w:w="1854" w:type="dxa"/>
            <w:shd w:val="clear" w:color="auto" w:fill="D9E2F3"/>
            <w:vAlign w:val="center"/>
          </w:tcPr>
          <w:p w14:paraId="52CC914C" w14:textId="77777777" w:rsidR="00990B14" w:rsidRDefault="00000000">
            <w:pPr>
              <w:spacing w:before="20" w:after="20"/>
              <w:jc w:val="both"/>
            </w:pPr>
            <w:r>
              <w:rPr>
                <w:sz w:val="18"/>
                <w:szCs w:val="18"/>
              </w:rPr>
              <w:t>Diferencia el valor y el ingreso del producto marginal.</w:t>
            </w:r>
          </w:p>
        </w:tc>
        <w:tc>
          <w:tcPr>
            <w:tcW w:w="1910" w:type="dxa"/>
            <w:shd w:val="clear" w:color="auto" w:fill="D9E2F3"/>
            <w:vAlign w:val="center"/>
          </w:tcPr>
          <w:p w14:paraId="0CEEF192" w14:textId="77777777" w:rsidR="00990B14" w:rsidRDefault="00000000">
            <w:pPr>
              <w:spacing w:before="20" w:after="20"/>
              <w:jc w:val="both"/>
            </w:pPr>
            <w:r>
              <w:rPr>
                <w:sz w:val="18"/>
                <w:szCs w:val="18"/>
              </w:rPr>
              <w:t>Cuantifica la explotación monopolística del factor.</w:t>
            </w:r>
          </w:p>
        </w:tc>
      </w:tr>
      <w:tr w:rsidR="00990B14" w14:paraId="268061BD" w14:textId="77777777">
        <w:trPr>
          <w:cantSplit/>
          <w:jc w:val="center"/>
        </w:trPr>
        <w:tc>
          <w:tcPr>
            <w:tcW w:w="1772" w:type="dxa"/>
            <w:vMerge/>
            <w:shd w:val="clear" w:color="auto" w:fill="4472C4"/>
            <w:vAlign w:val="center"/>
          </w:tcPr>
          <w:p w14:paraId="776FD3C7" w14:textId="77777777" w:rsidR="00990B14" w:rsidRDefault="00990B14">
            <w:pPr>
              <w:spacing w:before="20" w:after="20"/>
            </w:pPr>
          </w:p>
        </w:tc>
        <w:tc>
          <w:tcPr>
            <w:tcW w:w="1854" w:type="dxa"/>
            <w:shd w:val="clear" w:color="auto" w:fill="D9E2F3"/>
            <w:vAlign w:val="center"/>
          </w:tcPr>
          <w:p w14:paraId="181C6B1D" w14:textId="77777777" w:rsidR="00990B14" w:rsidRDefault="00000000">
            <w:pPr>
              <w:spacing w:before="20" w:after="20"/>
              <w:jc w:val="both"/>
            </w:pPr>
            <w:r>
              <w:rPr>
                <w:sz w:val="18"/>
                <w:szCs w:val="18"/>
              </w:rPr>
              <w:t>Comparación</w:t>
            </w:r>
          </w:p>
        </w:tc>
        <w:tc>
          <w:tcPr>
            <w:tcW w:w="2015" w:type="dxa"/>
            <w:shd w:val="clear" w:color="auto" w:fill="D9E2F3"/>
            <w:vAlign w:val="center"/>
          </w:tcPr>
          <w:p w14:paraId="1545E7B8" w14:textId="77777777" w:rsidR="00990B14" w:rsidRDefault="00000000">
            <w:pPr>
              <w:spacing w:before="20" w:after="20"/>
              <w:jc w:val="both"/>
            </w:pPr>
            <w:r>
              <w:rPr>
                <w:sz w:val="18"/>
                <w:szCs w:val="18"/>
              </w:rPr>
              <w:t>La comparación es incompleta.</w:t>
            </w:r>
          </w:p>
        </w:tc>
        <w:tc>
          <w:tcPr>
            <w:tcW w:w="1854" w:type="dxa"/>
            <w:shd w:val="clear" w:color="auto" w:fill="D9E2F3"/>
            <w:vAlign w:val="center"/>
          </w:tcPr>
          <w:p w14:paraId="35D72974" w14:textId="77777777" w:rsidR="00990B14" w:rsidRDefault="00000000">
            <w:pPr>
              <w:spacing w:before="20" w:after="20"/>
              <w:jc w:val="both"/>
            </w:pPr>
            <w:r>
              <w:rPr>
                <w:sz w:val="18"/>
                <w:szCs w:val="18"/>
              </w:rPr>
              <w:t>Compara la cantidad y el precio del factor en cada caso.</w:t>
            </w:r>
          </w:p>
        </w:tc>
        <w:tc>
          <w:tcPr>
            <w:tcW w:w="1910" w:type="dxa"/>
            <w:shd w:val="clear" w:color="auto" w:fill="D9E2F3"/>
            <w:vAlign w:val="center"/>
          </w:tcPr>
          <w:p w14:paraId="1A5E160B" w14:textId="77777777" w:rsidR="00990B14" w:rsidRDefault="00000000">
            <w:pPr>
              <w:spacing w:before="20" w:after="20"/>
              <w:jc w:val="both"/>
            </w:pPr>
            <w:r>
              <w:rPr>
                <w:sz w:val="18"/>
                <w:szCs w:val="18"/>
              </w:rPr>
              <w:t>Explica las causas de la diferencia.</w:t>
            </w:r>
          </w:p>
        </w:tc>
      </w:tr>
      <w:tr w:rsidR="00990B14" w14:paraId="5FAC221D" w14:textId="77777777">
        <w:trPr>
          <w:cantSplit/>
          <w:jc w:val="center"/>
        </w:trPr>
        <w:tc>
          <w:tcPr>
            <w:tcW w:w="1772" w:type="dxa"/>
            <w:vMerge/>
            <w:shd w:val="clear" w:color="auto" w:fill="4472C4"/>
            <w:vAlign w:val="center"/>
          </w:tcPr>
          <w:p w14:paraId="26325CEA" w14:textId="77777777" w:rsidR="00990B14" w:rsidRDefault="00990B14">
            <w:pPr>
              <w:spacing w:before="20" w:after="20"/>
            </w:pPr>
          </w:p>
        </w:tc>
        <w:tc>
          <w:tcPr>
            <w:tcW w:w="1854" w:type="dxa"/>
            <w:shd w:val="clear" w:color="auto" w:fill="D9E2F3"/>
            <w:vAlign w:val="center"/>
          </w:tcPr>
          <w:p w14:paraId="75233AE5" w14:textId="77777777" w:rsidR="00990B14" w:rsidRDefault="00000000">
            <w:pPr>
              <w:spacing w:before="20" w:after="20"/>
              <w:jc w:val="both"/>
            </w:pPr>
            <w:r>
              <w:rPr>
                <w:sz w:val="18"/>
                <w:szCs w:val="18"/>
              </w:rPr>
              <w:t>Presentación</w:t>
            </w:r>
          </w:p>
        </w:tc>
        <w:tc>
          <w:tcPr>
            <w:tcW w:w="2015" w:type="dxa"/>
            <w:shd w:val="clear" w:color="auto" w:fill="D9E2F3"/>
            <w:vAlign w:val="center"/>
          </w:tcPr>
          <w:p w14:paraId="639764BE" w14:textId="77777777" w:rsidR="00990B14" w:rsidRDefault="00000000">
            <w:pPr>
              <w:spacing w:before="20" w:after="20"/>
              <w:jc w:val="both"/>
            </w:pPr>
            <w:r>
              <w:rPr>
                <w:sz w:val="18"/>
                <w:szCs w:val="18"/>
              </w:rPr>
              <w:t>El cuadro es desordenado.</w:t>
            </w:r>
          </w:p>
        </w:tc>
        <w:tc>
          <w:tcPr>
            <w:tcW w:w="1854" w:type="dxa"/>
            <w:shd w:val="clear" w:color="auto" w:fill="D9E2F3"/>
            <w:vAlign w:val="center"/>
          </w:tcPr>
          <w:p w14:paraId="4200A91C" w14:textId="77777777" w:rsidR="00990B14" w:rsidRDefault="00000000">
            <w:pPr>
              <w:spacing w:before="20" w:after="20"/>
              <w:jc w:val="both"/>
            </w:pPr>
            <w:r>
              <w:rPr>
                <w:sz w:val="18"/>
                <w:szCs w:val="18"/>
              </w:rPr>
              <w:t>El cuadro es claro.</w:t>
            </w:r>
          </w:p>
        </w:tc>
        <w:tc>
          <w:tcPr>
            <w:tcW w:w="1910" w:type="dxa"/>
            <w:shd w:val="clear" w:color="auto" w:fill="D9E2F3"/>
            <w:vAlign w:val="center"/>
          </w:tcPr>
          <w:p w14:paraId="2E647A14" w14:textId="77777777" w:rsidR="00990B14" w:rsidRDefault="00000000">
            <w:pPr>
              <w:spacing w:before="20" w:after="20"/>
              <w:jc w:val="both"/>
            </w:pPr>
            <w:r>
              <w:rPr>
                <w:sz w:val="18"/>
                <w:szCs w:val="18"/>
              </w:rPr>
              <w:t>El cuadro incluye gráficos de apoyo.</w:t>
            </w:r>
          </w:p>
        </w:tc>
      </w:tr>
      <w:tr w:rsidR="00990B14" w14:paraId="5EB66876" w14:textId="77777777">
        <w:trPr>
          <w:cantSplit/>
          <w:jc w:val="center"/>
        </w:trPr>
        <w:tc>
          <w:tcPr>
            <w:tcW w:w="1772" w:type="dxa"/>
            <w:vMerge/>
            <w:shd w:val="clear" w:color="auto" w:fill="4472C4"/>
            <w:vAlign w:val="center"/>
          </w:tcPr>
          <w:p w14:paraId="69A58BFF" w14:textId="77777777" w:rsidR="00990B14" w:rsidRDefault="00990B14">
            <w:pPr>
              <w:spacing w:before="20" w:after="20"/>
            </w:pPr>
          </w:p>
        </w:tc>
        <w:tc>
          <w:tcPr>
            <w:tcW w:w="5723" w:type="dxa"/>
            <w:gridSpan w:val="3"/>
            <w:shd w:val="clear" w:color="auto" w:fill="D9E2F3"/>
            <w:vAlign w:val="center"/>
          </w:tcPr>
          <w:p w14:paraId="0EF8B132" w14:textId="77777777" w:rsidR="00990B14" w:rsidRDefault="00000000">
            <w:pPr>
              <w:keepNext/>
              <w:spacing w:before="20" w:after="20"/>
              <w:jc w:val="both"/>
            </w:pPr>
            <w:r>
              <w:rPr>
                <w:b/>
                <w:bCs/>
                <w:i/>
                <w:iCs/>
                <w:sz w:val="18"/>
                <w:szCs w:val="18"/>
              </w:rPr>
              <w:t xml:space="preserve">Producto 15: </w:t>
            </w:r>
            <w:r>
              <w:rPr>
                <w:sz w:val="18"/>
                <w:szCs w:val="18"/>
              </w:rPr>
              <w:t>Informe del monopsonio</w:t>
            </w:r>
          </w:p>
        </w:tc>
        <w:tc>
          <w:tcPr>
            <w:tcW w:w="1910" w:type="dxa"/>
            <w:shd w:val="clear" w:color="auto" w:fill="D9E2F3"/>
            <w:vAlign w:val="center"/>
          </w:tcPr>
          <w:p w14:paraId="75B292CB" w14:textId="77777777" w:rsidR="00990B14" w:rsidRDefault="00000000">
            <w:pPr>
              <w:spacing w:before="20" w:after="20"/>
              <w:jc w:val="center"/>
            </w:pPr>
            <w:r>
              <w:rPr>
                <w:b/>
                <w:bCs/>
                <w:sz w:val="18"/>
                <w:szCs w:val="18"/>
              </w:rPr>
              <w:t>4%</w:t>
            </w:r>
          </w:p>
        </w:tc>
      </w:tr>
      <w:tr w:rsidR="00990B14" w14:paraId="54882414" w14:textId="77777777">
        <w:trPr>
          <w:cantSplit/>
          <w:jc w:val="center"/>
        </w:trPr>
        <w:tc>
          <w:tcPr>
            <w:tcW w:w="1772" w:type="dxa"/>
            <w:vMerge/>
            <w:shd w:val="clear" w:color="auto" w:fill="4472C4"/>
            <w:vAlign w:val="center"/>
          </w:tcPr>
          <w:p w14:paraId="16D2544E" w14:textId="77777777" w:rsidR="00990B14" w:rsidRDefault="00990B14">
            <w:pPr>
              <w:spacing w:before="20" w:after="20"/>
            </w:pPr>
          </w:p>
        </w:tc>
        <w:tc>
          <w:tcPr>
            <w:tcW w:w="1854" w:type="dxa"/>
            <w:shd w:val="clear" w:color="auto" w:fill="4472C4"/>
            <w:vAlign w:val="center"/>
          </w:tcPr>
          <w:p w14:paraId="1DF8FB38"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73CA66BC" w14:textId="77777777" w:rsidR="00990B14" w:rsidRDefault="00000000">
            <w:pPr>
              <w:keepNext/>
              <w:spacing w:before="20" w:after="20"/>
              <w:jc w:val="center"/>
            </w:pPr>
            <w:r>
              <w:rPr>
                <w:b/>
                <w:bCs/>
                <w:i/>
                <w:iCs/>
                <w:color w:val="FFFFFF"/>
                <w:sz w:val="18"/>
                <w:szCs w:val="18"/>
              </w:rPr>
              <w:t>Insuficiente (1–50)</w:t>
            </w:r>
          </w:p>
        </w:tc>
        <w:tc>
          <w:tcPr>
            <w:tcW w:w="1854" w:type="dxa"/>
            <w:shd w:val="clear" w:color="auto" w:fill="4472C4"/>
            <w:vAlign w:val="center"/>
          </w:tcPr>
          <w:p w14:paraId="36D440DE"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07C9672F" w14:textId="77777777" w:rsidR="00990B14" w:rsidRDefault="00000000">
            <w:pPr>
              <w:keepNext/>
              <w:spacing w:before="20" w:after="20"/>
              <w:jc w:val="center"/>
            </w:pPr>
            <w:r>
              <w:rPr>
                <w:b/>
                <w:bCs/>
                <w:i/>
                <w:iCs/>
                <w:color w:val="FFFFFF"/>
                <w:sz w:val="18"/>
                <w:szCs w:val="18"/>
              </w:rPr>
              <w:t>Destacado (81–100)</w:t>
            </w:r>
          </w:p>
        </w:tc>
      </w:tr>
      <w:tr w:rsidR="00990B14" w14:paraId="6837DBBD" w14:textId="77777777">
        <w:trPr>
          <w:cantSplit/>
          <w:jc w:val="center"/>
        </w:trPr>
        <w:tc>
          <w:tcPr>
            <w:tcW w:w="1772" w:type="dxa"/>
            <w:vMerge/>
            <w:shd w:val="clear" w:color="auto" w:fill="4472C4"/>
            <w:vAlign w:val="center"/>
          </w:tcPr>
          <w:p w14:paraId="05DD0157" w14:textId="77777777" w:rsidR="00990B14" w:rsidRDefault="00990B14">
            <w:pPr>
              <w:spacing w:before="20" w:after="20"/>
            </w:pPr>
          </w:p>
        </w:tc>
        <w:tc>
          <w:tcPr>
            <w:tcW w:w="1854" w:type="dxa"/>
            <w:shd w:val="clear" w:color="auto" w:fill="D9E2F3"/>
            <w:vAlign w:val="center"/>
          </w:tcPr>
          <w:p w14:paraId="0A891391" w14:textId="77777777" w:rsidR="00990B14" w:rsidRDefault="00000000">
            <w:pPr>
              <w:spacing w:before="20" w:after="20"/>
              <w:jc w:val="both"/>
            </w:pPr>
            <w:r>
              <w:rPr>
                <w:sz w:val="18"/>
                <w:szCs w:val="18"/>
              </w:rPr>
              <w:t>Identificación</w:t>
            </w:r>
          </w:p>
        </w:tc>
        <w:tc>
          <w:tcPr>
            <w:tcW w:w="2015" w:type="dxa"/>
            <w:shd w:val="clear" w:color="auto" w:fill="D9E2F3"/>
            <w:vAlign w:val="center"/>
          </w:tcPr>
          <w:p w14:paraId="47C0548D" w14:textId="77777777" w:rsidR="00990B14" w:rsidRDefault="00000000">
            <w:pPr>
              <w:spacing w:before="20" w:after="20"/>
              <w:jc w:val="both"/>
            </w:pPr>
            <w:r>
              <w:rPr>
                <w:sz w:val="18"/>
                <w:szCs w:val="18"/>
              </w:rPr>
              <w:t>No identifica el poder de compra.</w:t>
            </w:r>
          </w:p>
        </w:tc>
        <w:tc>
          <w:tcPr>
            <w:tcW w:w="1854" w:type="dxa"/>
            <w:shd w:val="clear" w:color="auto" w:fill="D9E2F3"/>
            <w:vAlign w:val="center"/>
          </w:tcPr>
          <w:p w14:paraId="38788BE0" w14:textId="77777777" w:rsidR="00990B14" w:rsidRDefault="00000000">
            <w:pPr>
              <w:spacing w:before="20" w:after="20"/>
              <w:jc w:val="both"/>
            </w:pPr>
            <w:r>
              <w:rPr>
                <w:sz w:val="18"/>
                <w:szCs w:val="18"/>
              </w:rPr>
              <w:t>Identifica las características del monopsonio.</w:t>
            </w:r>
          </w:p>
        </w:tc>
        <w:tc>
          <w:tcPr>
            <w:tcW w:w="1910" w:type="dxa"/>
            <w:shd w:val="clear" w:color="auto" w:fill="D9E2F3"/>
            <w:vAlign w:val="center"/>
          </w:tcPr>
          <w:p w14:paraId="039AE460" w14:textId="77777777" w:rsidR="00990B14" w:rsidRDefault="00000000">
            <w:pPr>
              <w:spacing w:before="20" w:after="20"/>
              <w:jc w:val="both"/>
            </w:pPr>
            <w:r>
              <w:rPr>
                <w:sz w:val="18"/>
                <w:szCs w:val="18"/>
              </w:rPr>
              <w:t>Fundamenta el caso con información del mercado boliviano.</w:t>
            </w:r>
          </w:p>
        </w:tc>
      </w:tr>
      <w:tr w:rsidR="00990B14" w14:paraId="7FA5ACE9" w14:textId="77777777">
        <w:trPr>
          <w:cantSplit/>
          <w:jc w:val="center"/>
        </w:trPr>
        <w:tc>
          <w:tcPr>
            <w:tcW w:w="1772" w:type="dxa"/>
            <w:vMerge/>
            <w:shd w:val="clear" w:color="auto" w:fill="4472C4"/>
            <w:vAlign w:val="center"/>
          </w:tcPr>
          <w:p w14:paraId="41F5C996" w14:textId="77777777" w:rsidR="00990B14" w:rsidRDefault="00990B14">
            <w:pPr>
              <w:spacing w:before="20" w:after="20"/>
            </w:pPr>
          </w:p>
        </w:tc>
        <w:tc>
          <w:tcPr>
            <w:tcW w:w="1854" w:type="dxa"/>
            <w:shd w:val="clear" w:color="auto" w:fill="D9E2F3"/>
            <w:vAlign w:val="center"/>
          </w:tcPr>
          <w:p w14:paraId="0D4356DD" w14:textId="77777777" w:rsidR="00990B14" w:rsidRDefault="00000000">
            <w:pPr>
              <w:spacing w:before="20" w:after="20"/>
              <w:jc w:val="both"/>
            </w:pPr>
            <w:r>
              <w:rPr>
                <w:sz w:val="18"/>
                <w:szCs w:val="18"/>
              </w:rPr>
              <w:t>Equilibrio</w:t>
            </w:r>
          </w:p>
        </w:tc>
        <w:tc>
          <w:tcPr>
            <w:tcW w:w="2015" w:type="dxa"/>
            <w:shd w:val="clear" w:color="auto" w:fill="D9E2F3"/>
            <w:vAlign w:val="center"/>
          </w:tcPr>
          <w:p w14:paraId="6B6807D1" w14:textId="77777777" w:rsidR="00990B14" w:rsidRDefault="00000000">
            <w:pPr>
              <w:spacing w:before="20" w:after="20"/>
              <w:jc w:val="both"/>
            </w:pPr>
            <w:r>
              <w:rPr>
                <w:sz w:val="18"/>
                <w:szCs w:val="18"/>
              </w:rPr>
              <w:t>Calcula mal el costo marginal del factor.</w:t>
            </w:r>
          </w:p>
        </w:tc>
        <w:tc>
          <w:tcPr>
            <w:tcW w:w="1854" w:type="dxa"/>
            <w:shd w:val="clear" w:color="auto" w:fill="D9E2F3"/>
            <w:vAlign w:val="center"/>
          </w:tcPr>
          <w:p w14:paraId="1100CB39" w14:textId="77777777" w:rsidR="00990B14" w:rsidRDefault="00000000">
            <w:pPr>
              <w:spacing w:before="20" w:after="20"/>
              <w:jc w:val="both"/>
            </w:pPr>
            <w:r>
              <w:rPr>
                <w:sz w:val="18"/>
                <w:szCs w:val="18"/>
              </w:rPr>
              <w:t>Determina el salario y la cantidad de equilibrio.</w:t>
            </w:r>
          </w:p>
        </w:tc>
        <w:tc>
          <w:tcPr>
            <w:tcW w:w="1910" w:type="dxa"/>
            <w:shd w:val="clear" w:color="auto" w:fill="D9E2F3"/>
            <w:vAlign w:val="center"/>
          </w:tcPr>
          <w:p w14:paraId="66810B91" w14:textId="77777777" w:rsidR="00990B14" w:rsidRDefault="00000000">
            <w:pPr>
              <w:spacing w:before="20" w:after="20"/>
              <w:jc w:val="both"/>
            </w:pPr>
            <w:r>
              <w:rPr>
                <w:sz w:val="18"/>
                <w:szCs w:val="18"/>
              </w:rPr>
              <w:t>Compara el resultado con el de competencia perfecta.</w:t>
            </w:r>
          </w:p>
        </w:tc>
      </w:tr>
      <w:tr w:rsidR="00990B14" w14:paraId="0188FBDF" w14:textId="77777777">
        <w:trPr>
          <w:cantSplit/>
          <w:jc w:val="center"/>
        </w:trPr>
        <w:tc>
          <w:tcPr>
            <w:tcW w:w="1772" w:type="dxa"/>
            <w:vMerge/>
            <w:shd w:val="clear" w:color="auto" w:fill="4472C4"/>
            <w:vAlign w:val="center"/>
          </w:tcPr>
          <w:p w14:paraId="11E774C9" w14:textId="77777777" w:rsidR="00990B14" w:rsidRDefault="00990B14">
            <w:pPr>
              <w:spacing w:before="20" w:after="20"/>
            </w:pPr>
          </w:p>
        </w:tc>
        <w:tc>
          <w:tcPr>
            <w:tcW w:w="1854" w:type="dxa"/>
            <w:shd w:val="clear" w:color="auto" w:fill="D9E2F3"/>
            <w:vAlign w:val="center"/>
          </w:tcPr>
          <w:p w14:paraId="77780C85" w14:textId="77777777" w:rsidR="00990B14" w:rsidRDefault="00000000">
            <w:pPr>
              <w:spacing w:before="20" w:after="20"/>
              <w:jc w:val="both"/>
            </w:pPr>
            <w:r>
              <w:rPr>
                <w:sz w:val="18"/>
                <w:szCs w:val="18"/>
              </w:rPr>
              <w:t>Redacción</w:t>
            </w:r>
          </w:p>
        </w:tc>
        <w:tc>
          <w:tcPr>
            <w:tcW w:w="2015" w:type="dxa"/>
            <w:shd w:val="clear" w:color="auto" w:fill="D9E2F3"/>
            <w:vAlign w:val="center"/>
          </w:tcPr>
          <w:p w14:paraId="538551C9" w14:textId="77777777" w:rsidR="00990B14" w:rsidRDefault="00000000">
            <w:pPr>
              <w:spacing w:before="20" w:after="20"/>
              <w:jc w:val="both"/>
            </w:pPr>
            <w:r>
              <w:rPr>
                <w:sz w:val="18"/>
                <w:szCs w:val="18"/>
              </w:rPr>
              <w:t>La redacción es confusa.</w:t>
            </w:r>
          </w:p>
        </w:tc>
        <w:tc>
          <w:tcPr>
            <w:tcW w:w="1854" w:type="dxa"/>
            <w:shd w:val="clear" w:color="auto" w:fill="D9E2F3"/>
            <w:vAlign w:val="center"/>
          </w:tcPr>
          <w:p w14:paraId="3C9F7572" w14:textId="77777777" w:rsidR="00990B14" w:rsidRDefault="00000000">
            <w:pPr>
              <w:spacing w:before="20" w:after="20"/>
              <w:jc w:val="both"/>
            </w:pPr>
            <w:r>
              <w:rPr>
                <w:sz w:val="18"/>
                <w:szCs w:val="18"/>
              </w:rPr>
              <w:t>La redacción es clara.</w:t>
            </w:r>
          </w:p>
        </w:tc>
        <w:tc>
          <w:tcPr>
            <w:tcW w:w="1910" w:type="dxa"/>
            <w:shd w:val="clear" w:color="auto" w:fill="D9E2F3"/>
            <w:vAlign w:val="center"/>
          </w:tcPr>
          <w:p w14:paraId="4C695FB2" w14:textId="77777777" w:rsidR="00990B14" w:rsidRDefault="00000000">
            <w:pPr>
              <w:spacing w:before="20" w:after="20"/>
              <w:jc w:val="both"/>
            </w:pPr>
            <w:r>
              <w:rPr>
                <w:sz w:val="18"/>
                <w:szCs w:val="18"/>
              </w:rPr>
              <w:t>Formula conclusiones propias.</w:t>
            </w:r>
          </w:p>
        </w:tc>
      </w:tr>
      <w:tr w:rsidR="00990B14" w14:paraId="580C66E3" w14:textId="77777777">
        <w:trPr>
          <w:cantSplit/>
          <w:jc w:val="center"/>
        </w:trPr>
        <w:tc>
          <w:tcPr>
            <w:tcW w:w="1772" w:type="dxa"/>
            <w:vMerge/>
            <w:shd w:val="clear" w:color="auto" w:fill="4472C4"/>
            <w:vAlign w:val="center"/>
          </w:tcPr>
          <w:p w14:paraId="7F334312" w14:textId="77777777" w:rsidR="00990B14" w:rsidRDefault="00990B14">
            <w:pPr>
              <w:spacing w:before="20" w:after="20"/>
            </w:pPr>
          </w:p>
        </w:tc>
        <w:tc>
          <w:tcPr>
            <w:tcW w:w="5723" w:type="dxa"/>
            <w:gridSpan w:val="3"/>
            <w:shd w:val="clear" w:color="auto" w:fill="D9E2F3"/>
            <w:vAlign w:val="center"/>
          </w:tcPr>
          <w:p w14:paraId="6CA0F80F" w14:textId="77777777" w:rsidR="00990B14" w:rsidRDefault="00000000">
            <w:pPr>
              <w:keepNext/>
              <w:spacing w:before="20" w:after="20"/>
              <w:jc w:val="both"/>
            </w:pPr>
            <w:r>
              <w:rPr>
                <w:b/>
                <w:bCs/>
                <w:i/>
                <w:iCs/>
                <w:sz w:val="18"/>
                <w:szCs w:val="18"/>
              </w:rPr>
              <w:t xml:space="preserve">Producto 16: </w:t>
            </w:r>
            <w:r>
              <w:rPr>
                <w:sz w:val="18"/>
                <w:szCs w:val="18"/>
              </w:rPr>
              <w:t>Esquema del salario mínimo</w:t>
            </w:r>
          </w:p>
        </w:tc>
        <w:tc>
          <w:tcPr>
            <w:tcW w:w="1910" w:type="dxa"/>
            <w:shd w:val="clear" w:color="auto" w:fill="D9E2F3"/>
            <w:vAlign w:val="center"/>
          </w:tcPr>
          <w:p w14:paraId="765939D4" w14:textId="77777777" w:rsidR="00990B14" w:rsidRDefault="00000000">
            <w:pPr>
              <w:spacing w:before="20" w:after="20"/>
              <w:jc w:val="center"/>
            </w:pPr>
            <w:r>
              <w:rPr>
                <w:b/>
                <w:bCs/>
                <w:sz w:val="18"/>
                <w:szCs w:val="18"/>
              </w:rPr>
              <w:t>3%</w:t>
            </w:r>
          </w:p>
        </w:tc>
      </w:tr>
      <w:tr w:rsidR="00990B14" w14:paraId="44ED12D9" w14:textId="77777777">
        <w:trPr>
          <w:cantSplit/>
          <w:jc w:val="center"/>
        </w:trPr>
        <w:tc>
          <w:tcPr>
            <w:tcW w:w="1772" w:type="dxa"/>
            <w:vMerge/>
            <w:shd w:val="clear" w:color="auto" w:fill="4472C4"/>
            <w:vAlign w:val="center"/>
          </w:tcPr>
          <w:p w14:paraId="6ED3E974" w14:textId="77777777" w:rsidR="00990B14" w:rsidRDefault="00990B14">
            <w:pPr>
              <w:spacing w:before="20" w:after="20"/>
            </w:pPr>
          </w:p>
        </w:tc>
        <w:tc>
          <w:tcPr>
            <w:tcW w:w="1854" w:type="dxa"/>
            <w:shd w:val="clear" w:color="auto" w:fill="4472C4"/>
            <w:vAlign w:val="center"/>
          </w:tcPr>
          <w:p w14:paraId="52B002EC"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456CF445" w14:textId="77777777" w:rsidR="00990B14" w:rsidRDefault="00000000">
            <w:pPr>
              <w:keepNext/>
              <w:spacing w:before="20" w:after="20"/>
              <w:jc w:val="center"/>
            </w:pPr>
            <w:r>
              <w:rPr>
                <w:b/>
                <w:bCs/>
                <w:i/>
                <w:iCs/>
                <w:color w:val="FFFFFF"/>
                <w:sz w:val="18"/>
                <w:szCs w:val="18"/>
              </w:rPr>
              <w:t>Insuficiente (1–50)</w:t>
            </w:r>
          </w:p>
        </w:tc>
        <w:tc>
          <w:tcPr>
            <w:tcW w:w="1854" w:type="dxa"/>
            <w:shd w:val="clear" w:color="auto" w:fill="4472C4"/>
            <w:vAlign w:val="center"/>
          </w:tcPr>
          <w:p w14:paraId="7FE3E16A"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644BA45B" w14:textId="77777777" w:rsidR="00990B14" w:rsidRDefault="00000000">
            <w:pPr>
              <w:keepNext/>
              <w:spacing w:before="20" w:after="20"/>
              <w:jc w:val="center"/>
            </w:pPr>
            <w:r>
              <w:rPr>
                <w:b/>
                <w:bCs/>
                <w:i/>
                <w:iCs/>
                <w:color w:val="FFFFFF"/>
                <w:sz w:val="18"/>
                <w:szCs w:val="18"/>
              </w:rPr>
              <w:t>Destacado (81–100)</w:t>
            </w:r>
          </w:p>
        </w:tc>
      </w:tr>
      <w:tr w:rsidR="00990B14" w14:paraId="1450F299" w14:textId="77777777">
        <w:trPr>
          <w:cantSplit/>
          <w:jc w:val="center"/>
        </w:trPr>
        <w:tc>
          <w:tcPr>
            <w:tcW w:w="1772" w:type="dxa"/>
            <w:vMerge/>
            <w:shd w:val="clear" w:color="auto" w:fill="4472C4"/>
            <w:vAlign w:val="center"/>
          </w:tcPr>
          <w:p w14:paraId="55F8D5DD" w14:textId="77777777" w:rsidR="00990B14" w:rsidRDefault="00990B14">
            <w:pPr>
              <w:spacing w:before="20" w:after="20"/>
            </w:pPr>
          </w:p>
        </w:tc>
        <w:tc>
          <w:tcPr>
            <w:tcW w:w="1854" w:type="dxa"/>
            <w:shd w:val="clear" w:color="auto" w:fill="D9E2F3"/>
            <w:vAlign w:val="center"/>
          </w:tcPr>
          <w:p w14:paraId="4631609E" w14:textId="77777777" w:rsidR="00990B14" w:rsidRDefault="00000000">
            <w:pPr>
              <w:spacing w:before="20" w:after="20"/>
              <w:jc w:val="both"/>
            </w:pPr>
            <w:r>
              <w:rPr>
                <w:sz w:val="18"/>
                <w:szCs w:val="18"/>
              </w:rPr>
              <w:t>Mercado competitivo</w:t>
            </w:r>
          </w:p>
        </w:tc>
        <w:tc>
          <w:tcPr>
            <w:tcW w:w="2015" w:type="dxa"/>
            <w:shd w:val="clear" w:color="auto" w:fill="D9E2F3"/>
            <w:vAlign w:val="center"/>
          </w:tcPr>
          <w:p w14:paraId="6F54655D" w14:textId="77777777" w:rsidR="00990B14" w:rsidRDefault="00000000">
            <w:pPr>
              <w:spacing w:before="20" w:after="20"/>
              <w:jc w:val="both"/>
            </w:pPr>
            <w:r>
              <w:rPr>
                <w:sz w:val="18"/>
                <w:szCs w:val="18"/>
              </w:rPr>
              <w:t>No muestra el desempleo generado.</w:t>
            </w:r>
          </w:p>
        </w:tc>
        <w:tc>
          <w:tcPr>
            <w:tcW w:w="1854" w:type="dxa"/>
            <w:shd w:val="clear" w:color="auto" w:fill="D9E2F3"/>
            <w:vAlign w:val="center"/>
          </w:tcPr>
          <w:p w14:paraId="13C18411" w14:textId="77777777" w:rsidR="00990B14" w:rsidRDefault="00000000">
            <w:pPr>
              <w:spacing w:before="20" w:after="20"/>
              <w:jc w:val="both"/>
            </w:pPr>
            <w:r>
              <w:rPr>
                <w:sz w:val="18"/>
                <w:szCs w:val="18"/>
              </w:rPr>
              <w:t>Representa el efecto del salario mínimo en un mercado competitivo.</w:t>
            </w:r>
          </w:p>
        </w:tc>
        <w:tc>
          <w:tcPr>
            <w:tcW w:w="1910" w:type="dxa"/>
            <w:shd w:val="clear" w:color="auto" w:fill="D9E2F3"/>
            <w:vAlign w:val="center"/>
          </w:tcPr>
          <w:p w14:paraId="01F44D95" w14:textId="77777777" w:rsidR="00990B14" w:rsidRDefault="00000000">
            <w:pPr>
              <w:spacing w:before="20" w:after="20"/>
              <w:jc w:val="both"/>
            </w:pPr>
            <w:r>
              <w:rPr>
                <w:sz w:val="18"/>
                <w:szCs w:val="18"/>
              </w:rPr>
              <w:t>Cuantifica la variación del empleo.</w:t>
            </w:r>
          </w:p>
        </w:tc>
      </w:tr>
      <w:tr w:rsidR="00990B14" w14:paraId="6FCFEE56" w14:textId="77777777">
        <w:trPr>
          <w:cantSplit/>
          <w:jc w:val="center"/>
        </w:trPr>
        <w:tc>
          <w:tcPr>
            <w:tcW w:w="1772" w:type="dxa"/>
            <w:vMerge/>
            <w:shd w:val="clear" w:color="auto" w:fill="4472C4"/>
            <w:vAlign w:val="center"/>
          </w:tcPr>
          <w:p w14:paraId="0077842C" w14:textId="77777777" w:rsidR="00990B14" w:rsidRDefault="00990B14">
            <w:pPr>
              <w:spacing w:before="20" w:after="20"/>
            </w:pPr>
          </w:p>
        </w:tc>
        <w:tc>
          <w:tcPr>
            <w:tcW w:w="1854" w:type="dxa"/>
            <w:shd w:val="clear" w:color="auto" w:fill="D9E2F3"/>
            <w:vAlign w:val="center"/>
          </w:tcPr>
          <w:p w14:paraId="04163307" w14:textId="77777777" w:rsidR="00990B14" w:rsidRDefault="00000000">
            <w:pPr>
              <w:spacing w:before="20" w:after="20"/>
              <w:jc w:val="both"/>
            </w:pPr>
            <w:r>
              <w:rPr>
                <w:sz w:val="18"/>
                <w:szCs w:val="18"/>
              </w:rPr>
              <w:t>Monopsonio</w:t>
            </w:r>
          </w:p>
        </w:tc>
        <w:tc>
          <w:tcPr>
            <w:tcW w:w="2015" w:type="dxa"/>
            <w:shd w:val="clear" w:color="auto" w:fill="D9E2F3"/>
            <w:vAlign w:val="center"/>
          </w:tcPr>
          <w:p w14:paraId="62B03902" w14:textId="77777777" w:rsidR="00990B14" w:rsidRDefault="00000000">
            <w:pPr>
              <w:spacing w:before="20" w:after="20"/>
              <w:jc w:val="both"/>
            </w:pPr>
            <w:r>
              <w:rPr>
                <w:sz w:val="18"/>
                <w:szCs w:val="18"/>
              </w:rPr>
              <w:t>Omite el caso del monopsonio.</w:t>
            </w:r>
          </w:p>
        </w:tc>
        <w:tc>
          <w:tcPr>
            <w:tcW w:w="1854" w:type="dxa"/>
            <w:shd w:val="clear" w:color="auto" w:fill="D9E2F3"/>
            <w:vAlign w:val="center"/>
          </w:tcPr>
          <w:p w14:paraId="1D87E02C" w14:textId="77777777" w:rsidR="00990B14" w:rsidRDefault="00000000">
            <w:pPr>
              <w:spacing w:before="20" w:after="20"/>
              <w:jc w:val="both"/>
            </w:pPr>
            <w:r>
              <w:rPr>
                <w:sz w:val="18"/>
                <w:szCs w:val="18"/>
              </w:rPr>
              <w:t>Representa el efecto del salario mínimo en un monopsonio.</w:t>
            </w:r>
          </w:p>
        </w:tc>
        <w:tc>
          <w:tcPr>
            <w:tcW w:w="1910" w:type="dxa"/>
            <w:shd w:val="clear" w:color="auto" w:fill="D9E2F3"/>
            <w:vAlign w:val="center"/>
          </w:tcPr>
          <w:p w14:paraId="00AFB56E" w14:textId="77777777" w:rsidR="00990B14" w:rsidRDefault="00000000">
            <w:pPr>
              <w:spacing w:before="20" w:after="20"/>
              <w:jc w:val="both"/>
            </w:pPr>
            <w:r>
              <w:rPr>
                <w:sz w:val="18"/>
                <w:szCs w:val="18"/>
              </w:rPr>
              <w:t>Explica por qué el empleo puede aumentar.</w:t>
            </w:r>
          </w:p>
        </w:tc>
      </w:tr>
      <w:tr w:rsidR="00990B14" w14:paraId="3B290DAF" w14:textId="77777777">
        <w:trPr>
          <w:cantSplit/>
          <w:jc w:val="center"/>
        </w:trPr>
        <w:tc>
          <w:tcPr>
            <w:tcW w:w="1772" w:type="dxa"/>
            <w:vMerge/>
            <w:shd w:val="clear" w:color="auto" w:fill="4472C4"/>
            <w:vAlign w:val="center"/>
          </w:tcPr>
          <w:p w14:paraId="16F74DFC" w14:textId="77777777" w:rsidR="00990B14" w:rsidRDefault="00990B14">
            <w:pPr>
              <w:spacing w:before="20" w:after="20"/>
            </w:pPr>
          </w:p>
        </w:tc>
        <w:tc>
          <w:tcPr>
            <w:tcW w:w="1854" w:type="dxa"/>
            <w:shd w:val="clear" w:color="auto" w:fill="D9E2F3"/>
            <w:vAlign w:val="center"/>
          </w:tcPr>
          <w:p w14:paraId="28777B6A" w14:textId="77777777" w:rsidR="00990B14" w:rsidRDefault="00000000">
            <w:pPr>
              <w:spacing w:before="20" w:after="20"/>
              <w:jc w:val="both"/>
            </w:pPr>
            <w:r>
              <w:rPr>
                <w:sz w:val="18"/>
                <w:szCs w:val="18"/>
              </w:rPr>
              <w:t>Claridad de la sustentación</w:t>
            </w:r>
          </w:p>
        </w:tc>
        <w:tc>
          <w:tcPr>
            <w:tcW w:w="2015" w:type="dxa"/>
            <w:shd w:val="clear" w:color="auto" w:fill="D9E2F3"/>
            <w:vAlign w:val="center"/>
          </w:tcPr>
          <w:p w14:paraId="0AC65433" w14:textId="77777777" w:rsidR="00990B14" w:rsidRDefault="00000000">
            <w:pPr>
              <w:spacing w:before="20" w:after="20"/>
              <w:jc w:val="both"/>
            </w:pPr>
            <w:r>
              <w:rPr>
                <w:sz w:val="18"/>
                <w:szCs w:val="18"/>
              </w:rPr>
              <w:t>La explicación es confusa.</w:t>
            </w:r>
          </w:p>
        </w:tc>
        <w:tc>
          <w:tcPr>
            <w:tcW w:w="1854" w:type="dxa"/>
            <w:shd w:val="clear" w:color="auto" w:fill="D9E2F3"/>
            <w:vAlign w:val="center"/>
          </w:tcPr>
          <w:p w14:paraId="7598CEF6" w14:textId="77777777" w:rsidR="00990B14" w:rsidRDefault="00000000">
            <w:pPr>
              <w:spacing w:before="20" w:after="20"/>
              <w:jc w:val="both"/>
            </w:pPr>
            <w:r>
              <w:rPr>
                <w:sz w:val="18"/>
                <w:szCs w:val="18"/>
              </w:rPr>
              <w:t>Explica con claridad los gráficos.</w:t>
            </w:r>
          </w:p>
        </w:tc>
        <w:tc>
          <w:tcPr>
            <w:tcW w:w="1910" w:type="dxa"/>
            <w:shd w:val="clear" w:color="auto" w:fill="D9E2F3"/>
            <w:vAlign w:val="center"/>
          </w:tcPr>
          <w:p w14:paraId="0248BA8B" w14:textId="77777777" w:rsidR="00990B14" w:rsidRDefault="00000000">
            <w:pPr>
              <w:spacing w:before="20" w:after="20"/>
              <w:jc w:val="both"/>
            </w:pPr>
            <w:r>
              <w:rPr>
                <w:sz w:val="18"/>
                <w:szCs w:val="18"/>
              </w:rPr>
              <w:t>Responde con solvencia las preguntas del curso.</w:t>
            </w:r>
          </w:p>
        </w:tc>
      </w:tr>
      <w:tr w:rsidR="00990B14" w14:paraId="150F5C82" w14:textId="77777777">
        <w:trPr>
          <w:cantSplit/>
          <w:jc w:val="center"/>
        </w:trPr>
        <w:tc>
          <w:tcPr>
            <w:tcW w:w="7495" w:type="dxa"/>
            <w:gridSpan w:val="4"/>
            <w:shd w:val="clear" w:color="auto" w:fill="4472C4"/>
            <w:vAlign w:val="center"/>
          </w:tcPr>
          <w:p w14:paraId="30FECC58" w14:textId="77777777" w:rsidR="00990B14" w:rsidRDefault="00000000">
            <w:pPr>
              <w:keepNext/>
              <w:spacing w:before="20" w:after="20"/>
              <w:jc w:val="center"/>
            </w:pPr>
            <w:r>
              <w:rPr>
                <w:b/>
                <w:bCs/>
                <w:i/>
                <w:iCs/>
                <w:color w:val="FFFFFF"/>
                <w:sz w:val="18"/>
                <w:szCs w:val="18"/>
              </w:rPr>
              <w:t>TOTAL</w:t>
            </w:r>
          </w:p>
        </w:tc>
        <w:tc>
          <w:tcPr>
            <w:tcW w:w="1910" w:type="dxa"/>
            <w:shd w:val="clear" w:color="auto" w:fill="4472C4"/>
            <w:vAlign w:val="center"/>
          </w:tcPr>
          <w:p w14:paraId="39F20750" w14:textId="77777777" w:rsidR="00990B14" w:rsidRDefault="00000000">
            <w:pPr>
              <w:keepNext/>
              <w:spacing w:before="20" w:after="20"/>
              <w:jc w:val="center"/>
            </w:pPr>
            <w:r>
              <w:rPr>
                <w:b/>
                <w:bCs/>
                <w:i/>
                <w:iCs/>
                <w:color w:val="FFFFFF"/>
                <w:sz w:val="18"/>
                <w:szCs w:val="18"/>
              </w:rPr>
              <w:t>100%</w:t>
            </w:r>
          </w:p>
        </w:tc>
      </w:tr>
    </w:tbl>
    <w:p w14:paraId="095CB5E8"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9405"/>
      </w:tblGrid>
      <w:tr w:rsidR="00990B14" w14:paraId="7165CC56" w14:textId="77777777">
        <w:trPr>
          <w:jc w:val="center"/>
        </w:trPr>
        <w:tc>
          <w:tcPr>
            <w:tcW w:w="9405" w:type="dxa"/>
            <w:shd w:val="clear" w:color="auto" w:fill="D9E2F3"/>
          </w:tcPr>
          <w:p w14:paraId="44BB2E1E" w14:textId="77777777" w:rsidR="00990B14" w:rsidRDefault="00000000">
            <w:pPr>
              <w:spacing w:before="40" w:after="40"/>
              <w:jc w:val="both"/>
            </w:pPr>
            <w:r>
              <w:rPr>
                <w:b/>
                <w:bCs/>
                <w:i/>
                <w:iCs/>
                <w:sz w:val="18"/>
                <w:szCs w:val="18"/>
              </w:rPr>
              <w:t>Bibliografía básica:</w:t>
            </w:r>
          </w:p>
          <w:p w14:paraId="5BE50E83" w14:textId="77777777" w:rsidR="00990B14" w:rsidRDefault="00000000">
            <w:pPr>
              <w:numPr>
                <w:ilvl w:val="0"/>
                <w:numId w:val="140"/>
              </w:numPr>
              <w:spacing w:after="20"/>
              <w:jc w:val="both"/>
            </w:pPr>
            <w:r>
              <w:rPr>
                <w:sz w:val="18"/>
                <w:szCs w:val="18"/>
              </w:rPr>
              <w:t xml:space="preserve">Bertalanffy, L. (2000). </w:t>
            </w:r>
            <w:r>
              <w:rPr>
                <w:i/>
                <w:iCs/>
                <w:sz w:val="18"/>
                <w:szCs w:val="18"/>
              </w:rPr>
              <w:t>Teoría general de sistemas</w:t>
            </w:r>
            <w:r>
              <w:rPr>
                <w:sz w:val="18"/>
                <w:szCs w:val="18"/>
              </w:rPr>
              <w:t>. 3ra. edición. México: Fondo de Cultura Económica.</w:t>
            </w:r>
          </w:p>
          <w:p w14:paraId="7D6A9AB7" w14:textId="77777777" w:rsidR="00990B14" w:rsidRDefault="00000000">
            <w:pPr>
              <w:numPr>
                <w:ilvl w:val="0"/>
                <w:numId w:val="140"/>
              </w:numPr>
              <w:spacing w:after="20"/>
              <w:jc w:val="both"/>
            </w:pPr>
            <w:r>
              <w:rPr>
                <w:sz w:val="18"/>
                <w:szCs w:val="18"/>
              </w:rPr>
              <w:t xml:space="preserve">Bilas, R. (1981). </w:t>
            </w:r>
            <w:r>
              <w:rPr>
                <w:i/>
                <w:iCs/>
                <w:sz w:val="18"/>
                <w:szCs w:val="18"/>
              </w:rPr>
              <w:t>Teoría microeconómica</w:t>
            </w:r>
            <w:r>
              <w:rPr>
                <w:sz w:val="18"/>
                <w:szCs w:val="18"/>
              </w:rPr>
              <w:t>. Madrid: Alianza.</w:t>
            </w:r>
          </w:p>
          <w:p w14:paraId="7DBE6A98" w14:textId="77777777" w:rsidR="00990B14" w:rsidRDefault="00000000">
            <w:pPr>
              <w:numPr>
                <w:ilvl w:val="0"/>
                <w:numId w:val="140"/>
              </w:numPr>
              <w:spacing w:after="20"/>
              <w:jc w:val="both"/>
            </w:pPr>
            <w:r w:rsidRPr="00BD34F7">
              <w:rPr>
                <w:sz w:val="18"/>
                <w:szCs w:val="18"/>
                <w:lang w:val="en-US"/>
              </w:rPr>
              <w:t xml:space="preserve">Case, K. y Ray, F. (1993). </w:t>
            </w:r>
            <w:r>
              <w:rPr>
                <w:i/>
                <w:iCs/>
                <w:sz w:val="18"/>
                <w:szCs w:val="18"/>
              </w:rPr>
              <w:t>Fundamentos de economía</w:t>
            </w:r>
            <w:r>
              <w:rPr>
                <w:sz w:val="18"/>
                <w:szCs w:val="18"/>
              </w:rPr>
              <w:t>. México: Prentice Hall Hispanoamérica.</w:t>
            </w:r>
          </w:p>
          <w:p w14:paraId="0D0C3CD6" w14:textId="77777777" w:rsidR="00990B14" w:rsidRDefault="00000000">
            <w:pPr>
              <w:numPr>
                <w:ilvl w:val="0"/>
                <w:numId w:val="140"/>
              </w:numPr>
              <w:spacing w:after="20"/>
              <w:jc w:val="both"/>
            </w:pPr>
            <w:r>
              <w:rPr>
                <w:sz w:val="18"/>
                <w:szCs w:val="18"/>
              </w:rPr>
              <w:t>Decreto Supremo N.º 29519, de 16 de abril de 2008. Gaceta Oficial de Bolivia.</w:t>
            </w:r>
          </w:p>
          <w:p w14:paraId="29869BB6" w14:textId="77777777" w:rsidR="00990B14" w:rsidRDefault="00000000">
            <w:pPr>
              <w:numPr>
                <w:ilvl w:val="0"/>
                <w:numId w:val="140"/>
              </w:numPr>
              <w:spacing w:after="20"/>
              <w:jc w:val="both"/>
            </w:pPr>
            <w:r>
              <w:rPr>
                <w:sz w:val="18"/>
                <w:szCs w:val="18"/>
              </w:rPr>
              <w:t xml:space="preserve">Frank, R. (1994). </w:t>
            </w:r>
            <w:r>
              <w:rPr>
                <w:i/>
                <w:iCs/>
                <w:sz w:val="18"/>
                <w:szCs w:val="18"/>
              </w:rPr>
              <w:t>Microeconomía y conducta</w:t>
            </w:r>
            <w:r>
              <w:rPr>
                <w:sz w:val="18"/>
                <w:szCs w:val="18"/>
              </w:rPr>
              <w:t>. Madrid: McGraw Hill.</w:t>
            </w:r>
          </w:p>
          <w:p w14:paraId="2C1050E9" w14:textId="77777777" w:rsidR="00990B14" w:rsidRDefault="00000000">
            <w:pPr>
              <w:numPr>
                <w:ilvl w:val="0"/>
                <w:numId w:val="140"/>
              </w:numPr>
              <w:spacing w:after="20"/>
              <w:jc w:val="both"/>
            </w:pPr>
            <w:r>
              <w:rPr>
                <w:sz w:val="18"/>
                <w:szCs w:val="18"/>
              </w:rPr>
              <w:t>Instituto Nacional de Estadística (INE). Clasificación de Actividades Económicas de Bolivia, CAEB 2011.</w:t>
            </w:r>
          </w:p>
          <w:p w14:paraId="08FCD28A" w14:textId="77777777" w:rsidR="00990B14" w:rsidRDefault="00000000">
            <w:pPr>
              <w:numPr>
                <w:ilvl w:val="0"/>
                <w:numId w:val="140"/>
              </w:numPr>
              <w:spacing w:after="20"/>
              <w:jc w:val="both"/>
            </w:pPr>
            <w:r>
              <w:rPr>
                <w:sz w:val="18"/>
                <w:szCs w:val="18"/>
              </w:rPr>
              <w:t>Ley de Hidrocarburos, Ley N.º 3058, de 17 de mayo de 2005. Gaceta Oficial de Bolivia.</w:t>
            </w:r>
          </w:p>
          <w:p w14:paraId="6625AE14" w14:textId="77777777" w:rsidR="00990B14" w:rsidRDefault="00000000">
            <w:pPr>
              <w:numPr>
                <w:ilvl w:val="0"/>
                <w:numId w:val="140"/>
              </w:numPr>
              <w:spacing w:after="20"/>
              <w:jc w:val="both"/>
            </w:pPr>
            <w:r>
              <w:rPr>
                <w:sz w:val="18"/>
                <w:szCs w:val="18"/>
              </w:rPr>
              <w:t xml:space="preserve">Parkin, M. y Loria, E. (2010). </w:t>
            </w:r>
            <w:r>
              <w:rPr>
                <w:i/>
                <w:iCs/>
                <w:sz w:val="18"/>
                <w:szCs w:val="18"/>
              </w:rPr>
              <w:t>Microeconomía. Versión para Latinoamérica</w:t>
            </w:r>
            <w:r>
              <w:rPr>
                <w:sz w:val="18"/>
                <w:szCs w:val="18"/>
              </w:rPr>
              <w:t>. Madrid: Pearson Educación.</w:t>
            </w:r>
          </w:p>
          <w:p w14:paraId="4E942D13" w14:textId="77777777" w:rsidR="00990B14" w:rsidRDefault="00000000">
            <w:pPr>
              <w:numPr>
                <w:ilvl w:val="0"/>
                <w:numId w:val="140"/>
              </w:numPr>
              <w:spacing w:after="20"/>
              <w:jc w:val="both"/>
            </w:pPr>
            <w:r>
              <w:rPr>
                <w:sz w:val="18"/>
                <w:szCs w:val="18"/>
              </w:rPr>
              <w:t xml:space="preserve">Pindyck, R. y Rubinfeld, D. (2013). </w:t>
            </w:r>
            <w:r>
              <w:rPr>
                <w:i/>
                <w:iCs/>
                <w:sz w:val="18"/>
                <w:szCs w:val="18"/>
              </w:rPr>
              <w:t>Microeconomía</w:t>
            </w:r>
            <w:r>
              <w:rPr>
                <w:sz w:val="18"/>
                <w:szCs w:val="18"/>
              </w:rPr>
              <w:t>. Madrid: Pearson Educación.</w:t>
            </w:r>
          </w:p>
          <w:p w14:paraId="25921CC1" w14:textId="77777777" w:rsidR="00990B14" w:rsidRDefault="00000000">
            <w:pPr>
              <w:numPr>
                <w:ilvl w:val="0"/>
                <w:numId w:val="140"/>
              </w:numPr>
              <w:spacing w:after="20"/>
              <w:jc w:val="both"/>
            </w:pPr>
            <w:r>
              <w:rPr>
                <w:sz w:val="18"/>
                <w:szCs w:val="18"/>
              </w:rPr>
              <w:t xml:space="preserve">Salvatore, D. (2009). </w:t>
            </w:r>
            <w:r>
              <w:rPr>
                <w:i/>
                <w:iCs/>
                <w:sz w:val="18"/>
                <w:szCs w:val="18"/>
              </w:rPr>
              <w:t>Microeconomía</w:t>
            </w:r>
            <w:r>
              <w:rPr>
                <w:sz w:val="18"/>
                <w:szCs w:val="18"/>
              </w:rPr>
              <w:t>. México: McGraw Hill.</w:t>
            </w:r>
          </w:p>
        </w:tc>
      </w:tr>
      <w:tr w:rsidR="00990B14" w14:paraId="39C829A0" w14:textId="77777777">
        <w:trPr>
          <w:jc w:val="center"/>
        </w:trPr>
        <w:tc>
          <w:tcPr>
            <w:tcW w:w="9405" w:type="dxa"/>
            <w:shd w:val="clear" w:color="auto" w:fill="D9E2F3"/>
          </w:tcPr>
          <w:p w14:paraId="695CF03B" w14:textId="77777777" w:rsidR="00990B14" w:rsidRDefault="00000000">
            <w:pPr>
              <w:spacing w:before="40" w:after="40"/>
              <w:jc w:val="both"/>
            </w:pPr>
            <w:r>
              <w:rPr>
                <w:b/>
                <w:bCs/>
                <w:i/>
                <w:iCs/>
                <w:sz w:val="18"/>
                <w:szCs w:val="18"/>
              </w:rPr>
              <w:t>Bibliografía complementaria:</w:t>
            </w:r>
          </w:p>
          <w:p w14:paraId="2D790457" w14:textId="77777777" w:rsidR="00990B14" w:rsidRDefault="00000000">
            <w:pPr>
              <w:numPr>
                <w:ilvl w:val="0"/>
                <w:numId w:val="140"/>
              </w:numPr>
              <w:spacing w:after="20"/>
              <w:jc w:val="both"/>
            </w:pPr>
            <w:r>
              <w:rPr>
                <w:sz w:val="18"/>
                <w:szCs w:val="18"/>
              </w:rPr>
              <w:t xml:space="preserve">Bergstrom, T. y Miller, J. (2009). </w:t>
            </w:r>
            <w:r>
              <w:rPr>
                <w:i/>
                <w:iCs/>
                <w:sz w:val="18"/>
                <w:szCs w:val="18"/>
              </w:rPr>
              <w:t>Experimentos con los principios económicos</w:t>
            </w:r>
            <w:r>
              <w:rPr>
                <w:sz w:val="18"/>
                <w:szCs w:val="18"/>
              </w:rPr>
              <w:t>. Barcelona: Antoni Bosch.</w:t>
            </w:r>
          </w:p>
          <w:p w14:paraId="16A84F94" w14:textId="77777777" w:rsidR="00990B14" w:rsidRDefault="00000000">
            <w:pPr>
              <w:numPr>
                <w:ilvl w:val="0"/>
                <w:numId w:val="140"/>
              </w:numPr>
              <w:spacing w:after="20"/>
              <w:jc w:val="both"/>
            </w:pPr>
            <w:r>
              <w:rPr>
                <w:sz w:val="18"/>
                <w:szCs w:val="18"/>
              </w:rPr>
              <w:t xml:space="preserve">Bertoglio, O. (1989). </w:t>
            </w:r>
            <w:r>
              <w:rPr>
                <w:i/>
                <w:iCs/>
                <w:sz w:val="18"/>
                <w:szCs w:val="18"/>
              </w:rPr>
              <w:t>Introducción a teoría general de sistemas</w:t>
            </w:r>
            <w:r>
              <w:rPr>
                <w:sz w:val="18"/>
                <w:szCs w:val="18"/>
              </w:rPr>
              <w:t>. Santiago de Chile: Noriega.</w:t>
            </w:r>
          </w:p>
          <w:p w14:paraId="5201AFAA" w14:textId="77777777" w:rsidR="00990B14" w:rsidRDefault="00000000">
            <w:pPr>
              <w:numPr>
                <w:ilvl w:val="0"/>
                <w:numId w:val="140"/>
              </w:numPr>
              <w:spacing w:after="20"/>
              <w:jc w:val="both"/>
            </w:pPr>
            <w:r>
              <w:rPr>
                <w:sz w:val="18"/>
                <w:szCs w:val="18"/>
              </w:rPr>
              <w:t>coursera.org: cursos de pago y de acceso gratuito.</w:t>
            </w:r>
          </w:p>
          <w:p w14:paraId="25BCF0DD" w14:textId="77777777" w:rsidR="00990B14" w:rsidRDefault="00000000">
            <w:pPr>
              <w:numPr>
                <w:ilvl w:val="0"/>
                <w:numId w:val="140"/>
              </w:numPr>
              <w:spacing w:after="20"/>
              <w:jc w:val="both"/>
            </w:pPr>
            <w:r>
              <w:rPr>
                <w:sz w:val="18"/>
                <w:szCs w:val="18"/>
              </w:rPr>
              <w:t>edx.org: cursos de pago y de acceso gratuito.</w:t>
            </w:r>
          </w:p>
          <w:p w14:paraId="5C711B89" w14:textId="77777777" w:rsidR="00990B14" w:rsidRDefault="00000000">
            <w:pPr>
              <w:numPr>
                <w:ilvl w:val="0"/>
                <w:numId w:val="140"/>
              </w:numPr>
              <w:spacing w:after="20"/>
              <w:jc w:val="both"/>
            </w:pPr>
            <w:r>
              <w:rPr>
                <w:sz w:val="18"/>
                <w:szCs w:val="18"/>
              </w:rPr>
              <w:t xml:space="preserve">Fontaine, E. (1985). </w:t>
            </w:r>
            <w:r>
              <w:rPr>
                <w:i/>
                <w:iCs/>
                <w:sz w:val="18"/>
                <w:szCs w:val="18"/>
              </w:rPr>
              <w:t>Teoría de precios</w:t>
            </w:r>
            <w:r>
              <w:rPr>
                <w:sz w:val="18"/>
                <w:szCs w:val="18"/>
              </w:rPr>
              <w:t>. Santiago: Ediciones Universidad Católica de Chile.</w:t>
            </w:r>
          </w:p>
          <w:p w14:paraId="7A3A3B05" w14:textId="77777777" w:rsidR="00990B14" w:rsidRDefault="00000000">
            <w:pPr>
              <w:numPr>
                <w:ilvl w:val="0"/>
                <w:numId w:val="140"/>
              </w:numPr>
              <w:spacing w:after="20"/>
              <w:jc w:val="both"/>
            </w:pPr>
            <w:r>
              <w:rPr>
                <w:sz w:val="18"/>
                <w:szCs w:val="18"/>
              </w:rPr>
              <w:t xml:space="preserve">Guevara, P. (2009). </w:t>
            </w:r>
            <w:r>
              <w:rPr>
                <w:i/>
                <w:iCs/>
                <w:sz w:val="18"/>
                <w:szCs w:val="18"/>
              </w:rPr>
              <w:t>Relaciones del sistema microeconómico</w:t>
            </w:r>
            <w:r>
              <w:rPr>
                <w:sz w:val="18"/>
                <w:szCs w:val="18"/>
              </w:rPr>
              <w:t>. La Paz: Mimeógrafo.</w:t>
            </w:r>
          </w:p>
          <w:p w14:paraId="26F7305F" w14:textId="77777777" w:rsidR="00990B14" w:rsidRDefault="00000000">
            <w:pPr>
              <w:numPr>
                <w:ilvl w:val="0"/>
                <w:numId w:val="140"/>
              </w:numPr>
              <w:spacing w:after="20"/>
              <w:jc w:val="both"/>
            </w:pPr>
            <w:r>
              <w:rPr>
                <w:sz w:val="18"/>
                <w:szCs w:val="18"/>
              </w:rPr>
              <w:t xml:space="preserve">Hirshleifer, J. (1980). </w:t>
            </w:r>
            <w:r>
              <w:rPr>
                <w:i/>
                <w:iCs/>
                <w:sz w:val="18"/>
                <w:szCs w:val="18"/>
              </w:rPr>
              <w:t>Teoría de precios y aplicaciones</w:t>
            </w:r>
            <w:r>
              <w:rPr>
                <w:sz w:val="18"/>
                <w:szCs w:val="18"/>
              </w:rPr>
              <w:t>. Bogotá: Ed. Carvajal.</w:t>
            </w:r>
          </w:p>
          <w:p w14:paraId="7407623C" w14:textId="77777777" w:rsidR="00990B14" w:rsidRDefault="00000000">
            <w:pPr>
              <w:numPr>
                <w:ilvl w:val="0"/>
                <w:numId w:val="140"/>
              </w:numPr>
              <w:spacing w:after="20"/>
              <w:jc w:val="both"/>
            </w:pPr>
            <w:r>
              <w:rPr>
                <w:sz w:val="18"/>
                <w:szCs w:val="18"/>
              </w:rPr>
              <w:t>Khan Academy (es.khanacademy.org): lecciones interactivas y ejercicios de microeconomía de forma gratuita, varios en español.</w:t>
            </w:r>
          </w:p>
          <w:p w14:paraId="5A507AB3" w14:textId="77777777" w:rsidR="00990B14" w:rsidRDefault="00000000">
            <w:pPr>
              <w:numPr>
                <w:ilvl w:val="0"/>
                <w:numId w:val="140"/>
              </w:numPr>
              <w:spacing w:after="20"/>
              <w:jc w:val="both"/>
            </w:pPr>
            <w:r>
              <w:rPr>
                <w:sz w:val="18"/>
                <w:szCs w:val="18"/>
              </w:rPr>
              <w:t xml:space="preserve">Klein, G. y Bauman, Y. (2013). </w:t>
            </w:r>
            <w:r>
              <w:rPr>
                <w:i/>
                <w:iCs/>
                <w:sz w:val="18"/>
                <w:szCs w:val="18"/>
              </w:rPr>
              <w:t>Introducción a la microeconomía en viñetas</w:t>
            </w:r>
            <w:r>
              <w:rPr>
                <w:sz w:val="18"/>
                <w:szCs w:val="18"/>
              </w:rPr>
              <w:t>. Barcelona: Debate.</w:t>
            </w:r>
          </w:p>
          <w:p w14:paraId="5C801C3D" w14:textId="77777777" w:rsidR="00990B14" w:rsidRDefault="00000000">
            <w:pPr>
              <w:numPr>
                <w:ilvl w:val="0"/>
                <w:numId w:val="140"/>
              </w:numPr>
              <w:spacing w:after="20"/>
              <w:jc w:val="both"/>
            </w:pPr>
            <w:r>
              <w:rPr>
                <w:sz w:val="18"/>
                <w:szCs w:val="18"/>
              </w:rPr>
              <w:t>Páginas de internet.</w:t>
            </w:r>
          </w:p>
        </w:tc>
      </w:tr>
    </w:tbl>
    <w:p w14:paraId="4EF1B451" w14:textId="77777777" w:rsidR="00990B14" w:rsidRDefault="00000000">
      <w:pPr>
        <w:pStyle w:val="TituloPlanAsignatura"/>
        <w:keepNext/>
        <w:pageBreakBefore/>
        <w:spacing w:after="120"/>
        <w:jc w:val="center"/>
        <w:outlineLvl w:val="2"/>
      </w:pPr>
      <w:bookmarkStart w:id="152" w:name="_Toc000000093"/>
      <w:r>
        <w:rPr>
          <w:b/>
          <w:bCs/>
          <w:sz w:val="24"/>
          <w:szCs w:val="24"/>
        </w:rPr>
        <w:t>MAT-101 Cálculo</w:t>
      </w:r>
      <w:bookmarkEnd w:id="152"/>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249"/>
        <w:gridCol w:w="1100"/>
        <w:gridCol w:w="149"/>
        <w:gridCol w:w="635"/>
        <w:gridCol w:w="615"/>
        <w:gridCol w:w="952"/>
        <w:gridCol w:w="298"/>
        <w:gridCol w:w="1250"/>
        <w:gridCol w:w="20"/>
        <w:gridCol w:w="385"/>
        <w:gridCol w:w="398"/>
        <w:gridCol w:w="447"/>
        <w:gridCol w:w="1907"/>
      </w:tblGrid>
      <w:tr w:rsidR="00990B14" w14:paraId="5D17618C" w14:textId="77777777">
        <w:trPr>
          <w:cantSplit/>
          <w:jc w:val="center"/>
        </w:trPr>
        <w:tc>
          <w:tcPr>
            <w:tcW w:w="2349" w:type="dxa"/>
            <w:gridSpan w:val="2"/>
            <w:shd w:val="clear" w:color="auto" w:fill="4472C4"/>
            <w:vAlign w:val="center"/>
          </w:tcPr>
          <w:p w14:paraId="299F756C" w14:textId="77777777" w:rsidR="00990B14" w:rsidRDefault="00000000">
            <w:pPr>
              <w:keepNext/>
              <w:spacing w:before="20" w:after="20"/>
              <w:jc w:val="center"/>
            </w:pPr>
            <w:r>
              <w:rPr>
                <w:b/>
                <w:bCs/>
                <w:i/>
                <w:iCs/>
                <w:color w:val="FFFFFF"/>
                <w:sz w:val="18"/>
                <w:szCs w:val="18"/>
              </w:rPr>
              <w:t>Asignatura</w:t>
            </w:r>
          </w:p>
        </w:tc>
        <w:tc>
          <w:tcPr>
            <w:tcW w:w="2351" w:type="dxa"/>
            <w:gridSpan w:val="4"/>
            <w:shd w:val="clear" w:color="auto" w:fill="4472C4"/>
            <w:vAlign w:val="center"/>
          </w:tcPr>
          <w:p w14:paraId="65687C96" w14:textId="77777777" w:rsidR="00990B14" w:rsidRDefault="00000000">
            <w:pPr>
              <w:keepNext/>
              <w:spacing w:before="20" w:after="20"/>
              <w:jc w:val="center"/>
            </w:pPr>
            <w:r>
              <w:rPr>
                <w:b/>
                <w:bCs/>
                <w:i/>
                <w:iCs/>
                <w:color w:val="FFFFFF"/>
                <w:sz w:val="18"/>
                <w:szCs w:val="18"/>
              </w:rPr>
              <w:t>Sigla</w:t>
            </w:r>
          </w:p>
        </w:tc>
        <w:tc>
          <w:tcPr>
            <w:tcW w:w="2351" w:type="dxa"/>
            <w:gridSpan w:val="5"/>
            <w:shd w:val="clear" w:color="auto" w:fill="4472C4"/>
            <w:vAlign w:val="center"/>
          </w:tcPr>
          <w:p w14:paraId="748063DA" w14:textId="77777777" w:rsidR="00990B14" w:rsidRDefault="00000000">
            <w:pPr>
              <w:keepNext/>
              <w:spacing w:before="20" w:after="20"/>
              <w:jc w:val="center"/>
            </w:pPr>
            <w:r>
              <w:rPr>
                <w:b/>
                <w:bCs/>
                <w:i/>
                <w:iCs/>
                <w:color w:val="FFFFFF"/>
                <w:sz w:val="18"/>
                <w:szCs w:val="18"/>
              </w:rPr>
              <w:t>Nivel/Área</w:t>
            </w:r>
          </w:p>
        </w:tc>
        <w:tc>
          <w:tcPr>
            <w:tcW w:w="2354" w:type="dxa"/>
            <w:gridSpan w:val="2"/>
            <w:shd w:val="clear" w:color="auto" w:fill="4472C4"/>
            <w:vAlign w:val="center"/>
          </w:tcPr>
          <w:p w14:paraId="7C838878" w14:textId="77777777" w:rsidR="00990B14" w:rsidRDefault="00000000">
            <w:pPr>
              <w:keepNext/>
              <w:spacing w:before="20" w:after="20"/>
              <w:jc w:val="center"/>
            </w:pPr>
            <w:r>
              <w:rPr>
                <w:b/>
                <w:bCs/>
                <w:i/>
                <w:iCs/>
                <w:color w:val="FFFFFF"/>
                <w:sz w:val="18"/>
                <w:szCs w:val="18"/>
              </w:rPr>
              <w:t>Prerrequisito</w:t>
            </w:r>
          </w:p>
        </w:tc>
      </w:tr>
      <w:tr w:rsidR="00990B14" w14:paraId="649A290A" w14:textId="77777777">
        <w:trPr>
          <w:cantSplit/>
          <w:jc w:val="center"/>
        </w:trPr>
        <w:tc>
          <w:tcPr>
            <w:tcW w:w="2349" w:type="dxa"/>
            <w:gridSpan w:val="2"/>
            <w:shd w:val="clear" w:color="auto" w:fill="D9E2F3"/>
            <w:vAlign w:val="center"/>
          </w:tcPr>
          <w:p w14:paraId="65061EBC" w14:textId="77777777" w:rsidR="00990B14" w:rsidRDefault="00000000">
            <w:pPr>
              <w:spacing w:before="20" w:after="20"/>
              <w:jc w:val="center"/>
            </w:pPr>
            <w:r>
              <w:rPr>
                <w:b/>
                <w:bCs/>
                <w:i/>
                <w:iCs/>
                <w:sz w:val="18"/>
                <w:szCs w:val="18"/>
              </w:rPr>
              <w:t>Cálculo</w:t>
            </w:r>
          </w:p>
        </w:tc>
        <w:tc>
          <w:tcPr>
            <w:tcW w:w="2351" w:type="dxa"/>
            <w:gridSpan w:val="4"/>
            <w:shd w:val="clear" w:color="auto" w:fill="D9E2F3"/>
            <w:vAlign w:val="center"/>
          </w:tcPr>
          <w:p w14:paraId="36D5FB33" w14:textId="77777777" w:rsidR="00990B14" w:rsidRDefault="00000000">
            <w:pPr>
              <w:spacing w:before="20" w:after="20"/>
              <w:jc w:val="center"/>
            </w:pPr>
            <w:r>
              <w:rPr>
                <w:b/>
                <w:bCs/>
                <w:i/>
                <w:iCs/>
                <w:sz w:val="18"/>
                <w:szCs w:val="18"/>
              </w:rPr>
              <w:t>MAT-101</w:t>
            </w:r>
          </w:p>
        </w:tc>
        <w:tc>
          <w:tcPr>
            <w:tcW w:w="2351" w:type="dxa"/>
            <w:gridSpan w:val="5"/>
            <w:shd w:val="clear" w:color="auto" w:fill="D9E2F3"/>
            <w:vAlign w:val="center"/>
          </w:tcPr>
          <w:p w14:paraId="4A129264" w14:textId="77777777" w:rsidR="00990B14" w:rsidRDefault="00000000">
            <w:pPr>
              <w:spacing w:before="20" w:after="20"/>
              <w:jc w:val="center"/>
            </w:pPr>
            <w:r>
              <w:rPr>
                <w:b/>
                <w:bCs/>
                <w:i/>
                <w:iCs/>
                <w:sz w:val="18"/>
                <w:szCs w:val="18"/>
              </w:rPr>
              <w:t>Matemáticas</w:t>
            </w:r>
          </w:p>
        </w:tc>
        <w:tc>
          <w:tcPr>
            <w:tcW w:w="2354" w:type="dxa"/>
            <w:gridSpan w:val="2"/>
            <w:shd w:val="clear" w:color="auto" w:fill="D9E2F3"/>
            <w:vAlign w:val="center"/>
          </w:tcPr>
          <w:p w14:paraId="4586EF61" w14:textId="77777777" w:rsidR="00990B14" w:rsidRDefault="00000000">
            <w:pPr>
              <w:spacing w:before="20" w:after="20"/>
              <w:jc w:val="center"/>
            </w:pPr>
            <w:r>
              <w:rPr>
                <w:b/>
                <w:bCs/>
                <w:i/>
                <w:iCs/>
                <w:sz w:val="18"/>
                <w:szCs w:val="18"/>
              </w:rPr>
              <w:t>AE, CPF o PSA</w:t>
            </w:r>
          </w:p>
        </w:tc>
      </w:tr>
      <w:tr w:rsidR="00990B14" w14:paraId="0C0D66B7" w14:textId="77777777">
        <w:trPr>
          <w:cantSplit/>
          <w:jc w:val="center"/>
        </w:trPr>
        <w:tc>
          <w:tcPr>
            <w:tcW w:w="7498" w:type="dxa"/>
            <w:gridSpan w:val="12"/>
            <w:shd w:val="clear" w:color="auto" w:fill="4472C4"/>
            <w:vAlign w:val="center"/>
          </w:tcPr>
          <w:p w14:paraId="09254572" w14:textId="77777777" w:rsidR="00990B14" w:rsidRDefault="00000000">
            <w:pPr>
              <w:keepNext/>
              <w:spacing w:before="20" w:after="20"/>
              <w:jc w:val="center"/>
            </w:pPr>
            <w:r>
              <w:rPr>
                <w:b/>
                <w:bCs/>
                <w:i/>
                <w:iCs/>
                <w:color w:val="FFFFFF"/>
                <w:sz w:val="18"/>
                <w:szCs w:val="18"/>
              </w:rPr>
              <w:t>Carga Horaria</w:t>
            </w:r>
          </w:p>
        </w:tc>
        <w:tc>
          <w:tcPr>
            <w:tcW w:w="1907" w:type="dxa"/>
            <w:shd w:val="clear" w:color="auto" w:fill="4472C4"/>
            <w:vAlign w:val="center"/>
          </w:tcPr>
          <w:p w14:paraId="75E5CD99" w14:textId="77777777" w:rsidR="00990B14" w:rsidRDefault="00000000">
            <w:pPr>
              <w:keepNext/>
              <w:spacing w:before="20" w:after="20"/>
              <w:jc w:val="center"/>
            </w:pPr>
            <w:r>
              <w:rPr>
                <w:b/>
                <w:bCs/>
                <w:i/>
                <w:iCs/>
                <w:color w:val="FFFFFF"/>
                <w:sz w:val="18"/>
                <w:szCs w:val="18"/>
              </w:rPr>
              <w:t>Créditos</w:t>
            </w:r>
          </w:p>
        </w:tc>
      </w:tr>
      <w:tr w:rsidR="00990B14" w14:paraId="60E86496" w14:textId="77777777">
        <w:trPr>
          <w:cantSplit/>
          <w:jc w:val="center"/>
        </w:trPr>
        <w:tc>
          <w:tcPr>
            <w:tcW w:w="1249" w:type="dxa"/>
            <w:shd w:val="clear" w:color="auto" w:fill="4472C4"/>
            <w:vAlign w:val="center"/>
          </w:tcPr>
          <w:p w14:paraId="792A1EF8" w14:textId="77777777" w:rsidR="00990B14" w:rsidRDefault="00000000">
            <w:pPr>
              <w:keepNext/>
              <w:spacing w:before="20" w:after="20"/>
              <w:jc w:val="center"/>
            </w:pPr>
            <w:r>
              <w:rPr>
                <w:b/>
                <w:bCs/>
                <w:i/>
                <w:iCs/>
                <w:color w:val="FFFFFF"/>
                <w:sz w:val="18"/>
                <w:szCs w:val="18"/>
              </w:rPr>
              <w:t>HP</w:t>
            </w:r>
          </w:p>
        </w:tc>
        <w:tc>
          <w:tcPr>
            <w:tcW w:w="1249" w:type="dxa"/>
            <w:gridSpan w:val="2"/>
            <w:shd w:val="clear" w:color="auto" w:fill="4472C4"/>
            <w:vAlign w:val="center"/>
          </w:tcPr>
          <w:p w14:paraId="5FF2FB8A" w14:textId="77777777" w:rsidR="00990B14" w:rsidRDefault="00000000">
            <w:pPr>
              <w:keepNext/>
              <w:spacing w:before="20" w:after="20"/>
              <w:jc w:val="center"/>
            </w:pPr>
            <w:r>
              <w:rPr>
                <w:b/>
                <w:bCs/>
                <w:i/>
                <w:iCs/>
                <w:color w:val="FFFFFF"/>
                <w:sz w:val="18"/>
                <w:szCs w:val="18"/>
              </w:rPr>
              <w:t>HAA</w:t>
            </w:r>
          </w:p>
        </w:tc>
        <w:tc>
          <w:tcPr>
            <w:tcW w:w="1250" w:type="dxa"/>
            <w:gridSpan w:val="2"/>
            <w:shd w:val="clear" w:color="auto" w:fill="4472C4"/>
            <w:vAlign w:val="center"/>
          </w:tcPr>
          <w:p w14:paraId="07A8C942" w14:textId="77777777" w:rsidR="00990B14" w:rsidRDefault="00000000">
            <w:pPr>
              <w:keepNext/>
              <w:spacing w:before="20" w:after="20"/>
              <w:jc w:val="center"/>
            </w:pPr>
            <w:r>
              <w:rPr>
                <w:b/>
                <w:bCs/>
                <w:i/>
                <w:iCs/>
                <w:color w:val="FFFFFF"/>
                <w:sz w:val="18"/>
                <w:szCs w:val="18"/>
              </w:rPr>
              <w:t>HTG</w:t>
            </w:r>
          </w:p>
        </w:tc>
        <w:tc>
          <w:tcPr>
            <w:tcW w:w="1250" w:type="dxa"/>
            <w:gridSpan w:val="2"/>
            <w:shd w:val="clear" w:color="auto" w:fill="4472C4"/>
            <w:vAlign w:val="center"/>
          </w:tcPr>
          <w:p w14:paraId="713DA092" w14:textId="77777777" w:rsidR="00990B14" w:rsidRDefault="00000000">
            <w:pPr>
              <w:keepNext/>
              <w:spacing w:before="20" w:after="20"/>
              <w:jc w:val="center"/>
            </w:pPr>
            <w:r>
              <w:rPr>
                <w:b/>
                <w:bCs/>
                <w:i/>
                <w:iCs/>
                <w:color w:val="FFFFFF"/>
                <w:sz w:val="18"/>
                <w:szCs w:val="18"/>
              </w:rPr>
              <w:t>HIP</w:t>
            </w:r>
          </w:p>
        </w:tc>
        <w:tc>
          <w:tcPr>
            <w:tcW w:w="1250" w:type="dxa"/>
            <w:shd w:val="clear" w:color="auto" w:fill="4472C4"/>
            <w:vAlign w:val="center"/>
          </w:tcPr>
          <w:p w14:paraId="6445F8B3" w14:textId="77777777" w:rsidR="00990B14" w:rsidRDefault="00000000">
            <w:pPr>
              <w:keepNext/>
              <w:spacing w:before="20" w:after="20"/>
              <w:jc w:val="center"/>
            </w:pPr>
            <w:r>
              <w:rPr>
                <w:b/>
                <w:bCs/>
                <w:i/>
                <w:iCs/>
                <w:color w:val="FFFFFF"/>
                <w:sz w:val="18"/>
                <w:szCs w:val="18"/>
              </w:rPr>
              <w:t>HE</w:t>
            </w:r>
          </w:p>
        </w:tc>
        <w:tc>
          <w:tcPr>
            <w:tcW w:w="1250" w:type="dxa"/>
            <w:gridSpan w:val="4"/>
            <w:shd w:val="clear" w:color="auto" w:fill="4472C4"/>
            <w:vAlign w:val="center"/>
          </w:tcPr>
          <w:p w14:paraId="6B62C803" w14:textId="77777777" w:rsidR="00990B14" w:rsidRDefault="00000000">
            <w:pPr>
              <w:keepNext/>
              <w:spacing w:before="20" w:after="20"/>
              <w:jc w:val="center"/>
            </w:pPr>
            <w:r>
              <w:rPr>
                <w:b/>
                <w:bCs/>
                <w:i/>
                <w:iCs/>
                <w:color w:val="FFFFFF"/>
                <w:sz w:val="18"/>
                <w:szCs w:val="18"/>
              </w:rPr>
              <w:t>TOTAL</w:t>
            </w:r>
          </w:p>
        </w:tc>
        <w:tc>
          <w:tcPr>
            <w:tcW w:w="1907" w:type="dxa"/>
            <w:vMerge w:val="restart"/>
            <w:shd w:val="clear" w:color="auto" w:fill="D9E2F3"/>
            <w:vAlign w:val="center"/>
          </w:tcPr>
          <w:p w14:paraId="47A004E3" w14:textId="77777777" w:rsidR="00990B14" w:rsidRDefault="00000000">
            <w:pPr>
              <w:spacing w:before="20" w:after="20"/>
              <w:jc w:val="center"/>
            </w:pPr>
            <w:r>
              <w:rPr>
                <w:sz w:val="18"/>
                <w:szCs w:val="18"/>
              </w:rPr>
              <w:t>9</w:t>
            </w:r>
          </w:p>
        </w:tc>
      </w:tr>
      <w:tr w:rsidR="00990B14" w14:paraId="2D443E05" w14:textId="77777777">
        <w:trPr>
          <w:cantSplit/>
          <w:jc w:val="center"/>
        </w:trPr>
        <w:tc>
          <w:tcPr>
            <w:tcW w:w="1249" w:type="dxa"/>
            <w:shd w:val="clear" w:color="auto" w:fill="D9E2F3"/>
            <w:vAlign w:val="center"/>
          </w:tcPr>
          <w:p w14:paraId="4E67AC74" w14:textId="77777777" w:rsidR="00990B14" w:rsidRDefault="00000000">
            <w:pPr>
              <w:spacing w:before="20" w:after="20"/>
              <w:jc w:val="center"/>
            </w:pPr>
            <w:r>
              <w:rPr>
                <w:sz w:val="18"/>
                <w:szCs w:val="18"/>
              </w:rPr>
              <w:t>160</w:t>
            </w:r>
          </w:p>
        </w:tc>
        <w:tc>
          <w:tcPr>
            <w:tcW w:w="1249" w:type="dxa"/>
            <w:gridSpan w:val="2"/>
            <w:shd w:val="clear" w:color="auto" w:fill="D9E2F3"/>
            <w:vAlign w:val="center"/>
          </w:tcPr>
          <w:p w14:paraId="7A4FAF6F" w14:textId="77777777" w:rsidR="00990B14" w:rsidRDefault="00000000">
            <w:pPr>
              <w:spacing w:before="20" w:after="20"/>
              <w:jc w:val="center"/>
            </w:pPr>
            <w:r>
              <w:rPr>
                <w:sz w:val="18"/>
                <w:szCs w:val="18"/>
              </w:rPr>
              <w:t>22</w:t>
            </w:r>
          </w:p>
        </w:tc>
        <w:tc>
          <w:tcPr>
            <w:tcW w:w="1250" w:type="dxa"/>
            <w:gridSpan w:val="2"/>
            <w:shd w:val="clear" w:color="auto" w:fill="D9E2F3"/>
            <w:vAlign w:val="center"/>
          </w:tcPr>
          <w:p w14:paraId="5E0A3899" w14:textId="77777777" w:rsidR="00990B14" w:rsidRDefault="00000000">
            <w:pPr>
              <w:spacing w:before="20" w:after="20"/>
              <w:jc w:val="center"/>
            </w:pPr>
            <w:r>
              <w:rPr>
                <w:sz w:val="18"/>
                <w:szCs w:val="18"/>
              </w:rPr>
              <w:t>44</w:t>
            </w:r>
          </w:p>
        </w:tc>
        <w:tc>
          <w:tcPr>
            <w:tcW w:w="1250" w:type="dxa"/>
            <w:gridSpan w:val="2"/>
            <w:shd w:val="clear" w:color="auto" w:fill="D9E2F3"/>
            <w:vAlign w:val="center"/>
          </w:tcPr>
          <w:p w14:paraId="492A286A" w14:textId="77777777" w:rsidR="00990B14" w:rsidRDefault="00000000">
            <w:pPr>
              <w:spacing w:before="20" w:after="20"/>
              <w:jc w:val="center"/>
            </w:pPr>
            <w:r>
              <w:rPr>
                <w:sz w:val="18"/>
                <w:szCs w:val="18"/>
              </w:rPr>
              <w:t>22</w:t>
            </w:r>
          </w:p>
        </w:tc>
        <w:tc>
          <w:tcPr>
            <w:tcW w:w="1250" w:type="dxa"/>
            <w:shd w:val="clear" w:color="auto" w:fill="D9E2F3"/>
            <w:vAlign w:val="center"/>
          </w:tcPr>
          <w:p w14:paraId="715D3462" w14:textId="77777777" w:rsidR="00990B14" w:rsidRDefault="00000000">
            <w:pPr>
              <w:spacing w:before="20" w:after="20"/>
              <w:jc w:val="center"/>
            </w:pPr>
            <w:r>
              <w:rPr>
                <w:sz w:val="18"/>
                <w:szCs w:val="18"/>
              </w:rPr>
              <w:t>22</w:t>
            </w:r>
          </w:p>
        </w:tc>
        <w:tc>
          <w:tcPr>
            <w:tcW w:w="1250" w:type="dxa"/>
            <w:gridSpan w:val="4"/>
            <w:shd w:val="clear" w:color="auto" w:fill="D9E2F3"/>
            <w:vAlign w:val="center"/>
          </w:tcPr>
          <w:p w14:paraId="1FAF978D" w14:textId="77777777" w:rsidR="00990B14" w:rsidRDefault="00000000">
            <w:pPr>
              <w:spacing w:before="20" w:after="20"/>
              <w:jc w:val="center"/>
            </w:pPr>
            <w:r>
              <w:rPr>
                <w:sz w:val="18"/>
                <w:szCs w:val="18"/>
              </w:rPr>
              <w:t>270</w:t>
            </w:r>
          </w:p>
        </w:tc>
        <w:tc>
          <w:tcPr>
            <w:tcW w:w="1907" w:type="dxa"/>
            <w:vMerge/>
            <w:shd w:val="clear" w:color="auto" w:fill="D9E2F3"/>
            <w:vAlign w:val="center"/>
          </w:tcPr>
          <w:p w14:paraId="2E55D11E" w14:textId="77777777" w:rsidR="00990B14" w:rsidRDefault="00990B14">
            <w:pPr>
              <w:spacing w:before="20" w:after="20"/>
            </w:pPr>
          </w:p>
        </w:tc>
      </w:tr>
      <w:tr w:rsidR="00990B14" w14:paraId="229A3C88" w14:textId="77777777">
        <w:trPr>
          <w:cantSplit/>
          <w:jc w:val="center"/>
        </w:trPr>
        <w:tc>
          <w:tcPr>
            <w:tcW w:w="9405" w:type="dxa"/>
            <w:gridSpan w:val="13"/>
            <w:shd w:val="clear" w:color="auto" w:fill="4472C4"/>
            <w:vAlign w:val="center"/>
          </w:tcPr>
          <w:p w14:paraId="2E0C22A7" w14:textId="77777777" w:rsidR="00990B14" w:rsidRDefault="00000000">
            <w:pPr>
              <w:keepNext/>
              <w:spacing w:before="20" w:after="20"/>
              <w:jc w:val="center"/>
            </w:pPr>
            <w:r>
              <w:rPr>
                <w:b/>
                <w:bCs/>
                <w:i/>
                <w:iCs/>
                <w:color w:val="FFFFFF"/>
                <w:sz w:val="18"/>
                <w:szCs w:val="18"/>
              </w:rPr>
              <w:t>Unidad de Competencia</w:t>
            </w:r>
          </w:p>
        </w:tc>
      </w:tr>
      <w:tr w:rsidR="00990B14" w14:paraId="3089A1FE" w14:textId="77777777">
        <w:trPr>
          <w:cantSplit/>
          <w:jc w:val="center"/>
        </w:trPr>
        <w:tc>
          <w:tcPr>
            <w:tcW w:w="9405" w:type="dxa"/>
            <w:gridSpan w:val="13"/>
            <w:shd w:val="clear" w:color="auto" w:fill="D9E2F3"/>
            <w:vAlign w:val="center"/>
          </w:tcPr>
          <w:p w14:paraId="1210FB69" w14:textId="77777777" w:rsidR="00990B14" w:rsidRDefault="00000000">
            <w:pPr>
              <w:spacing w:before="20" w:after="20"/>
              <w:jc w:val="both"/>
            </w:pPr>
            <w:r>
              <w:rPr>
                <w:sz w:val="18"/>
                <w:szCs w:val="18"/>
              </w:rPr>
              <w:t>Optimiza las funciones económicas, financieras y contables de una entidad con herramientas digitales, analizando las funciones, los límites, las derivadas y la sensibilidad de sus resultados, calculando integrales y derivadas parciales, y resolviendo ecuaciones y sistemas de ecuaciones, con rigor lógico, integridad e iniciativa propia.</w:t>
            </w:r>
          </w:p>
        </w:tc>
      </w:tr>
      <w:tr w:rsidR="00990B14" w14:paraId="61FF17CB" w14:textId="77777777">
        <w:trPr>
          <w:cantSplit/>
          <w:jc w:val="center"/>
        </w:trPr>
        <w:tc>
          <w:tcPr>
            <w:tcW w:w="9405" w:type="dxa"/>
            <w:gridSpan w:val="13"/>
            <w:shd w:val="clear" w:color="auto" w:fill="D9E2F3"/>
            <w:vAlign w:val="center"/>
          </w:tcPr>
          <w:p w14:paraId="2B18659E" w14:textId="77777777" w:rsidR="00990B14" w:rsidRDefault="00000000">
            <w:pPr>
              <w:spacing w:before="20" w:after="20"/>
              <w:jc w:val="both"/>
            </w:pPr>
            <w:r>
              <w:rPr>
                <w:b/>
                <w:bCs/>
                <w:i/>
                <w:iCs/>
                <w:sz w:val="18"/>
                <w:szCs w:val="18"/>
              </w:rPr>
              <w:t xml:space="preserve">Elemento de competencia 1: </w:t>
            </w:r>
            <w:r>
              <w:rPr>
                <w:sz w:val="18"/>
                <w:szCs w:val="18"/>
              </w:rPr>
              <w:t>Resuelve ecuaciones, sistemas de ecuaciones e inecuaciones, aplicando sus propiedades a problemas de las ciencias económicas, financieras y administrativas.</w:t>
            </w:r>
          </w:p>
        </w:tc>
      </w:tr>
      <w:tr w:rsidR="00990B14" w14:paraId="79657CB8" w14:textId="77777777">
        <w:trPr>
          <w:cantSplit/>
          <w:jc w:val="center"/>
        </w:trPr>
        <w:tc>
          <w:tcPr>
            <w:tcW w:w="3133" w:type="dxa"/>
            <w:gridSpan w:val="4"/>
            <w:shd w:val="clear" w:color="auto" w:fill="4472C4"/>
            <w:vAlign w:val="center"/>
          </w:tcPr>
          <w:p w14:paraId="1240A5D5"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5526A31C"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464C54FE" w14:textId="77777777" w:rsidR="00990B14" w:rsidRDefault="00000000">
            <w:pPr>
              <w:keepNext/>
              <w:spacing w:before="20" w:after="20"/>
              <w:jc w:val="center"/>
            </w:pPr>
            <w:r>
              <w:rPr>
                <w:b/>
                <w:bCs/>
                <w:i/>
                <w:iCs/>
                <w:color w:val="FFFFFF"/>
                <w:sz w:val="18"/>
                <w:szCs w:val="18"/>
              </w:rPr>
              <w:t>Evidencias de producto</w:t>
            </w:r>
          </w:p>
        </w:tc>
      </w:tr>
      <w:tr w:rsidR="00990B14" w14:paraId="105B5639" w14:textId="77777777">
        <w:trPr>
          <w:cantSplit/>
          <w:jc w:val="center"/>
        </w:trPr>
        <w:tc>
          <w:tcPr>
            <w:tcW w:w="3133" w:type="dxa"/>
            <w:gridSpan w:val="4"/>
            <w:vMerge w:val="restart"/>
            <w:shd w:val="clear" w:color="auto" w:fill="D9E2F3"/>
            <w:vAlign w:val="center"/>
          </w:tcPr>
          <w:p w14:paraId="456EA6FD" w14:textId="77777777" w:rsidR="00990B14" w:rsidRDefault="00000000">
            <w:pPr>
              <w:spacing w:before="20" w:after="20"/>
              <w:jc w:val="both"/>
            </w:pPr>
            <w:r>
              <w:rPr>
                <w:sz w:val="18"/>
                <w:szCs w:val="18"/>
              </w:rPr>
              <w:t>1. Resuelve ecuaciones lineales, cuadráticas, exponenciales y logarítmicas, analizando las propiedades de sus raíces en problemas de las ciencias económicas.</w:t>
            </w:r>
          </w:p>
        </w:tc>
        <w:tc>
          <w:tcPr>
            <w:tcW w:w="3135" w:type="dxa"/>
            <w:gridSpan w:val="5"/>
            <w:shd w:val="clear" w:color="auto" w:fill="D9E2F3"/>
            <w:vAlign w:val="center"/>
          </w:tcPr>
          <w:p w14:paraId="41091366" w14:textId="77777777" w:rsidR="00990B14" w:rsidRDefault="00000000">
            <w:pPr>
              <w:spacing w:before="20" w:after="20"/>
              <w:jc w:val="both"/>
            </w:pPr>
            <w:r>
              <w:rPr>
                <w:sz w:val="18"/>
                <w:szCs w:val="18"/>
              </w:rPr>
              <w:t>1.1 Resuelve en aula ecuaciones lineales y cuadráticas de aplicación económica y comprueba sus raíces.</w:t>
            </w:r>
          </w:p>
        </w:tc>
        <w:tc>
          <w:tcPr>
            <w:tcW w:w="3137" w:type="dxa"/>
            <w:gridSpan w:val="4"/>
            <w:shd w:val="clear" w:color="auto" w:fill="D9E2F3"/>
            <w:vAlign w:val="center"/>
          </w:tcPr>
          <w:p w14:paraId="143A0194" w14:textId="77777777" w:rsidR="00990B14" w:rsidRDefault="00000000">
            <w:pPr>
              <w:spacing w:before="20" w:after="20"/>
              <w:jc w:val="both"/>
            </w:pPr>
            <w:r>
              <w:rPr>
                <w:b/>
                <w:bCs/>
                <w:sz w:val="18"/>
                <w:szCs w:val="18"/>
              </w:rPr>
              <w:t xml:space="preserve">Producto 1: </w:t>
            </w:r>
            <w:r>
              <w:rPr>
                <w:sz w:val="18"/>
                <w:szCs w:val="18"/>
              </w:rPr>
              <w:t>Práctico de resolución de ecuaciones lineales, cuadráticas, exponenciales y logarítmicas</w:t>
            </w:r>
          </w:p>
        </w:tc>
      </w:tr>
      <w:tr w:rsidR="00990B14" w14:paraId="30AA4765" w14:textId="77777777">
        <w:trPr>
          <w:cantSplit/>
          <w:jc w:val="center"/>
        </w:trPr>
        <w:tc>
          <w:tcPr>
            <w:tcW w:w="3133" w:type="dxa"/>
            <w:gridSpan w:val="4"/>
            <w:vMerge/>
            <w:shd w:val="clear" w:color="auto" w:fill="D9E2F3"/>
            <w:vAlign w:val="center"/>
          </w:tcPr>
          <w:p w14:paraId="1B0778D0" w14:textId="77777777" w:rsidR="00990B14" w:rsidRDefault="00990B14">
            <w:pPr>
              <w:spacing w:before="20" w:after="20"/>
            </w:pPr>
          </w:p>
        </w:tc>
        <w:tc>
          <w:tcPr>
            <w:tcW w:w="3135" w:type="dxa"/>
            <w:gridSpan w:val="5"/>
            <w:shd w:val="clear" w:color="auto" w:fill="D9E2F3"/>
            <w:vAlign w:val="center"/>
          </w:tcPr>
          <w:p w14:paraId="08B28E92" w14:textId="77777777" w:rsidR="00990B14" w:rsidRDefault="00000000">
            <w:pPr>
              <w:spacing w:before="20" w:after="20"/>
              <w:jc w:val="both"/>
            </w:pPr>
            <w:r>
              <w:rPr>
                <w:sz w:val="18"/>
                <w:szCs w:val="18"/>
              </w:rPr>
              <w:t>1.2 Resuelve en aula un sistema de ecuaciones lineales aplicado a un problema de costos e ingresos de una empresa.</w:t>
            </w:r>
          </w:p>
        </w:tc>
        <w:tc>
          <w:tcPr>
            <w:tcW w:w="3137" w:type="dxa"/>
            <w:gridSpan w:val="4"/>
            <w:shd w:val="clear" w:color="auto" w:fill="D9E2F3"/>
            <w:vAlign w:val="center"/>
          </w:tcPr>
          <w:p w14:paraId="451423B2" w14:textId="77777777" w:rsidR="00990B14" w:rsidRDefault="00000000">
            <w:pPr>
              <w:spacing w:before="20" w:after="20"/>
              <w:jc w:val="both"/>
            </w:pPr>
            <w:r>
              <w:rPr>
                <w:b/>
                <w:bCs/>
                <w:sz w:val="18"/>
                <w:szCs w:val="18"/>
              </w:rPr>
              <w:t xml:space="preserve">Producto 2: </w:t>
            </w:r>
            <w:r>
              <w:rPr>
                <w:sz w:val="18"/>
                <w:szCs w:val="18"/>
              </w:rPr>
              <w:t>Informe técnico con la resolución y análisis de un problema de aplicación de ecuaciones a las ciencias económicas.</w:t>
            </w:r>
          </w:p>
        </w:tc>
      </w:tr>
      <w:tr w:rsidR="00990B14" w14:paraId="4D9E78B9" w14:textId="77777777">
        <w:trPr>
          <w:cantSplit/>
          <w:jc w:val="center"/>
        </w:trPr>
        <w:tc>
          <w:tcPr>
            <w:tcW w:w="3133" w:type="dxa"/>
            <w:gridSpan w:val="4"/>
            <w:vMerge w:val="restart"/>
            <w:shd w:val="clear" w:color="auto" w:fill="D9E2F3"/>
            <w:vAlign w:val="center"/>
          </w:tcPr>
          <w:p w14:paraId="0F81BE78" w14:textId="77777777" w:rsidR="00990B14" w:rsidRDefault="00000000">
            <w:pPr>
              <w:spacing w:before="20" w:after="20"/>
              <w:jc w:val="both"/>
            </w:pPr>
            <w:r>
              <w:rPr>
                <w:sz w:val="18"/>
                <w:szCs w:val="18"/>
              </w:rPr>
              <w:t>2. Resuelve sistemas de ecuaciones e inecuaciones lineales y de segundo grado, interpretando su solución en problemas de costos, ingresos y producción.</w:t>
            </w:r>
          </w:p>
        </w:tc>
        <w:tc>
          <w:tcPr>
            <w:tcW w:w="3135" w:type="dxa"/>
            <w:gridSpan w:val="5"/>
            <w:shd w:val="clear" w:color="auto" w:fill="D9E2F3"/>
            <w:vAlign w:val="center"/>
          </w:tcPr>
          <w:p w14:paraId="7F74ADB9" w14:textId="77777777" w:rsidR="00990B14" w:rsidRDefault="00000000">
            <w:pPr>
              <w:spacing w:before="20" w:after="20"/>
              <w:jc w:val="both"/>
            </w:pPr>
            <w:r>
              <w:rPr>
                <w:sz w:val="18"/>
                <w:szCs w:val="18"/>
              </w:rPr>
              <w:t>2.1 Grafica en el laboratorio de cómputo las raíces reales de un sistema lineal-cuadrático con software de graficación.</w:t>
            </w:r>
          </w:p>
        </w:tc>
        <w:tc>
          <w:tcPr>
            <w:tcW w:w="3137" w:type="dxa"/>
            <w:gridSpan w:val="4"/>
            <w:shd w:val="clear" w:color="auto" w:fill="D9E2F3"/>
            <w:vAlign w:val="center"/>
          </w:tcPr>
          <w:p w14:paraId="3A3991E3" w14:textId="77777777" w:rsidR="00990B14" w:rsidRDefault="00000000">
            <w:pPr>
              <w:spacing w:before="20" w:after="20"/>
              <w:jc w:val="both"/>
            </w:pPr>
            <w:r>
              <w:rPr>
                <w:b/>
                <w:bCs/>
                <w:sz w:val="18"/>
                <w:szCs w:val="18"/>
              </w:rPr>
              <w:t xml:space="preserve">Producto 3: </w:t>
            </w:r>
            <w:r>
              <w:rPr>
                <w:sz w:val="18"/>
                <w:szCs w:val="18"/>
              </w:rPr>
              <w:t>Gráfica de las raíces reales de un sistema de ecuaciones por el método gráfico.</w:t>
            </w:r>
          </w:p>
        </w:tc>
      </w:tr>
      <w:tr w:rsidR="00990B14" w14:paraId="3DBFC7DE" w14:textId="77777777">
        <w:trPr>
          <w:cantSplit/>
          <w:jc w:val="center"/>
        </w:trPr>
        <w:tc>
          <w:tcPr>
            <w:tcW w:w="3133" w:type="dxa"/>
            <w:gridSpan w:val="4"/>
            <w:vMerge/>
            <w:shd w:val="clear" w:color="auto" w:fill="D9E2F3"/>
            <w:vAlign w:val="center"/>
          </w:tcPr>
          <w:p w14:paraId="538A2114" w14:textId="77777777" w:rsidR="00990B14" w:rsidRDefault="00990B14">
            <w:pPr>
              <w:spacing w:before="20" w:after="20"/>
            </w:pPr>
          </w:p>
        </w:tc>
        <w:tc>
          <w:tcPr>
            <w:tcW w:w="3135" w:type="dxa"/>
            <w:gridSpan w:val="5"/>
            <w:shd w:val="clear" w:color="auto" w:fill="D9E2F3"/>
            <w:vAlign w:val="center"/>
          </w:tcPr>
          <w:p w14:paraId="7523EE3B" w14:textId="77777777" w:rsidR="00990B14" w:rsidRDefault="00000000">
            <w:pPr>
              <w:spacing w:before="20" w:after="20"/>
              <w:jc w:val="both"/>
            </w:pPr>
            <w:r>
              <w:rPr>
                <w:sz w:val="18"/>
                <w:szCs w:val="18"/>
              </w:rPr>
              <w:t>2.2 Resuelve ante el curso una inecuación de segundo grado que determina el rango de producción con utilidad positiva.</w:t>
            </w:r>
          </w:p>
        </w:tc>
        <w:tc>
          <w:tcPr>
            <w:tcW w:w="3137" w:type="dxa"/>
            <w:gridSpan w:val="4"/>
            <w:shd w:val="clear" w:color="auto" w:fill="D9E2F3"/>
            <w:vAlign w:val="center"/>
          </w:tcPr>
          <w:p w14:paraId="7E7731D6" w14:textId="77777777" w:rsidR="00990B14" w:rsidRDefault="00000000">
            <w:pPr>
              <w:spacing w:before="20" w:after="20"/>
              <w:jc w:val="both"/>
            </w:pPr>
            <w:r>
              <w:rPr>
                <w:b/>
                <w:bCs/>
                <w:sz w:val="18"/>
                <w:szCs w:val="18"/>
              </w:rPr>
              <w:t xml:space="preserve">Producto 4: </w:t>
            </w:r>
            <w:r>
              <w:rPr>
                <w:sz w:val="18"/>
                <w:szCs w:val="18"/>
              </w:rPr>
              <w:t>Cuadro del intervalo de producción rentable determinado con inecuaciones.</w:t>
            </w:r>
          </w:p>
        </w:tc>
      </w:tr>
      <w:tr w:rsidR="00990B14" w14:paraId="5CECBC6D" w14:textId="77777777">
        <w:trPr>
          <w:cantSplit/>
          <w:jc w:val="center"/>
        </w:trPr>
        <w:tc>
          <w:tcPr>
            <w:tcW w:w="9405" w:type="dxa"/>
            <w:gridSpan w:val="13"/>
            <w:shd w:val="clear" w:color="auto" w:fill="4472C4"/>
            <w:vAlign w:val="center"/>
          </w:tcPr>
          <w:p w14:paraId="0163637F" w14:textId="77777777" w:rsidR="00990B14" w:rsidRDefault="00000000">
            <w:pPr>
              <w:keepNext/>
              <w:spacing w:before="20" w:after="20"/>
              <w:jc w:val="center"/>
            </w:pPr>
            <w:r>
              <w:rPr>
                <w:b/>
                <w:bCs/>
                <w:i/>
                <w:iCs/>
                <w:color w:val="FFFFFF"/>
                <w:sz w:val="18"/>
                <w:szCs w:val="18"/>
              </w:rPr>
              <w:t>Evidencias de conocimiento</w:t>
            </w:r>
          </w:p>
        </w:tc>
      </w:tr>
      <w:tr w:rsidR="00990B14" w14:paraId="02069456" w14:textId="77777777">
        <w:trPr>
          <w:cantSplit/>
          <w:jc w:val="center"/>
        </w:trPr>
        <w:tc>
          <w:tcPr>
            <w:tcW w:w="2349" w:type="dxa"/>
            <w:gridSpan w:val="2"/>
            <w:shd w:val="clear" w:color="auto" w:fill="4472C4"/>
            <w:vAlign w:val="center"/>
          </w:tcPr>
          <w:p w14:paraId="010591C5"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4DB5EE49" w14:textId="77777777" w:rsidR="00990B14" w:rsidRDefault="00000000">
            <w:pPr>
              <w:keepNext/>
              <w:spacing w:before="20" w:after="20"/>
              <w:jc w:val="both"/>
            </w:pPr>
            <w:r>
              <w:rPr>
                <w:b/>
                <w:bCs/>
                <w:i/>
                <w:iCs/>
                <w:color w:val="FFFFFF"/>
                <w:sz w:val="18"/>
                <w:szCs w:val="18"/>
              </w:rPr>
              <w:t>Contenidos</w:t>
            </w:r>
          </w:p>
          <w:p w14:paraId="57833771"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5FF2D5F2" w14:textId="77777777" w:rsidR="00990B14" w:rsidRDefault="00000000">
            <w:pPr>
              <w:keepNext/>
              <w:spacing w:before="20" w:after="20"/>
              <w:jc w:val="center"/>
            </w:pPr>
            <w:r>
              <w:rPr>
                <w:b/>
                <w:bCs/>
                <w:i/>
                <w:iCs/>
                <w:color w:val="FFFFFF"/>
                <w:sz w:val="18"/>
                <w:szCs w:val="18"/>
              </w:rPr>
              <w:t>Conocimientos circunstanciales</w:t>
            </w:r>
          </w:p>
        </w:tc>
      </w:tr>
      <w:tr w:rsidR="00990B14" w14:paraId="32C6FC29" w14:textId="77777777">
        <w:trPr>
          <w:jc w:val="center"/>
        </w:trPr>
        <w:tc>
          <w:tcPr>
            <w:tcW w:w="2349" w:type="dxa"/>
            <w:gridSpan w:val="2"/>
            <w:shd w:val="clear" w:color="auto" w:fill="D9E2F3"/>
          </w:tcPr>
          <w:p w14:paraId="51755E8A" w14:textId="77777777" w:rsidR="00990B14" w:rsidRDefault="00000000">
            <w:pPr>
              <w:spacing w:before="20" w:after="40"/>
              <w:jc w:val="both"/>
            </w:pPr>
            <w:r>
              <w:rPr>
                <w:sz w:val="18"/>
                <w:szCs w:val="18"/>
              </w:rPr>
              <w:t>Tema 1: Teoría de Ecuaciones</w:t>
            </w:r>
          </w:p>
        </w:tc>
        <w:tc>
          <w:tcPr>
            <w:tcW w:w="4304" w:type="dxa"/>
            <w:gridSpan w:val="8"/>
            <w:shd w:val="clear" w:color="auto" w:fill="D9E2F3"/>
          </w:tcPr>
          <w:p w14:paraId="1EB8AFED" w14:textId="77777777" w:rsidR="00990B14" w:rsidRDefault="00000000">
            <w:pPr>
              <w:spacing w:after="40"/>
              <w:jc w:val="both"/>
            </w:pPr>
            <w:r>
              <w:rPr>
                <w:sz w:val="18"/>
                <w:szCs w:val="18"/>
              </w:rPr>
              <w:t>Igualdad, ecuación e identidad, y teorema fundamental del álgebra. (C)</w:t>
            </w:r>
          </w:p>
          <w:p w14:paraId="2E41CEC5" w14:textId="77777777" w:rsidR="00990B14" w:rsidRDefault="00000000">
            <w:pPr>
              <w:spacing w:after="40"/>
              <w:jc w:val="both"/>
            </w:pPr>
            <w:r>
              <w:rPr>
                <w:sz w:val="18"/>
                <w:szCs w:val="18"/>
              </w:rPr>
              <w:t>Ecuación entera racional, ecuaciones lineales y ecuaciones cuadráticas, y propiedades de las raíces. (C)</w:t>
            </w:r>
          </w:p>
          <w:p w14:paraId="2DA633D5" w14:textId="77777777" w:rsidR="00990B14" w:rsidRDefault="00000000">
            <w:pPr>
              <w:spacing w:after="40"/>
              <w:jc w:val="both"/>
            </w:pPr>
            <w:r>
              <w:rPr>
                <w:sz w:val="18"/>
                <w:szCs w:val="18"/>
              </w:rPr>
              <w:t>Sistemas de ecuaciones lineales, lineal-cuadráticos y cúbicos, y método gráfico para hallar raíces reales. (C)</w:t>
            </w:r>
          </w:p>
          <w:p w14:paraId="5C1F4B2B" w14:textId="77777777" w:rsidR="00990B14" w:rsidRDefault="00000000">
            <w:pPr>
              <w:spacing w:after="40"/>
              <w:jc w:val="both"/>
            </w:pPr>
            <w:r>
              <w:rPr>
                <w:sz w:val="18"/>
                <w:szCs w:val="18"/>
              </w:rPr>
              <w:t>Problemas que se resuelven aplicando ecuaciones y sistemas de ecuaciones. (C)</w:t>
            </w:r>
          </w:p>
          <w:p w14:paraId="379393D4" w14:textId="77777777" w:rsidR="00990B14" w:rsidRDefault="00000000">
            <w:pPr>
              <w:spacing w:after="40"/>
              <w:jc w:val="both"/>
            </w:pPr>
            <w:r>
              <w:rPr>
                <w:sz w:val="18"/>
                <w:szCs w:val="18"/>
              </w:rPr>
              <w:t>Ecuaciones y sistemas de ecuaciones exponenciales, logarítmicas y trigonométricas, con aplicaciones al interés compuesto. (C)</w:t>
            </w:r>
          </w:p>
          <w:p w14:paraId="339AF260" w14:textId="77777777" w:rsidR="00990B14" w:rsidRDefault="00000000">
            <w:pPr>
              <w:spacing w:after="40"/>
              <w:jc w:val="both"/>
            </w:pPr>
            <w:r>
              <w:rPr>
                <w:sz w:val="18"/>
                <w:szCs w:val="18"/>
              </w:rPr>
              <w:t>Inecuaciones lineales y de segundo grado, y problemas de aplicación a las ciencias económicas, financieras y administrativas. (P)</w:t>
            </w:r>
          </w:p>
        </w:tc>
        <w:tc>
          <w:tcPr>
            <w:tcW w:w="2752" w:type="dxa"/>
            <w:gridSpan w:val="3"/>
            <w:shd w:val="clear" w:color="auto" w:fill="D9E2F3"/>
          </w:tcPr>
          <w:p w14:paraId="5A5115DB" w14:textId="77777777" w:rsidR="00990B14" w:rsidRDefault="00000000">
            <w:pPr>
              <w:numPr>
                <w:ilvl w:val="0"/>
                <w:numId w:val="139"/>
              </w:numPr>
              <w:spacing w:before="10" w:after="10"/>
              <w:jc w:val="both"/>
            </w:pPr>
            <w:r>
              <w:rPr>
                <w:sz w:val="18"/>
                <w:szCs w:val="18"/>
              </w:rPr>
              <w:t>Productos notables y factorización algebraica.</w:t>
            </w:r>
          </w:p>
          <w:p w14:paraId="73C0493F" w14:textId="77777777" w:rsidR="00990B14" w:rsidRDefault="00000000">
            <w:pPr>
              <w:numPr>
                <w:ilvl w:val="0"/>
                <w:numId w:val="139"/>
              </w:numPr>
              <w:spacing w:before="10" w:after="10"/>
              <w:jc w:val="both"/>
            </w:pPr>
            <w:r>
              <w:rPr>
                <w:sz w:val="18"/>
                <w:szCs w:val="18"/>
              </w:rPr>
              <w:t>Propiedades de los exponentes, los radicales y los logaritmos.</w:t>
            </w:r>
          </w:p>
        </w:tc>
      </w:tr>
      <w:tr w:rsidR="00990B14" w14:paraId="0A2B4114" w14:textId="77777777">
        <w:trPr>
          <w:cantSplit/>
          <w:jc w:val="center"/>
        </w:trPr>
        <w:tc>
          <w:tcPr>
            <w:tcW w:w="9405" w:type="dxa"/>
            <w:gridSpan w:val="13"/>
            <w:shd w:val="clear" w:color="auto" w:fill="D9E2F3"/>
            <w:vAlign w:val="center"/>
          </w:tcPr>
          <w:p w14:paraId="16C4778E" w14:textId="77777777" w:rsidR="00990B14" w:rsidRDefault="00000000">
            <w:pPr>
              <w:spacing w:before="20" w:after="20"/>
              <w:jc w:val="both"/>
            </w:pPr>
            <w:r>
              <w:rPr>
                <w:b/>
                <w:bCs/>
                <w:i/>
                <w:iCs/>
                <w:sz w:val="18"/>
                <w:szCs w:val="18"/>
              </w:rPr>
              <w:t xml:space="preserve">Elemento de competencia 2: </w:t>
            </w:r>
            <w:r>
              <w:rPr>
                <w:sz w:val="18"/>
                <w:szCs w:val="18"/>
              </w:rPr>
              <w:t>Analiza las funciones, los límites y la continuidad, mediante la aplicación de modelos lineales y no lineales a problemas de ingresos, costos, utilidades, oferta y demanda de las empresas.</w:t>
            </w:r>
          </w:p>
        </w:tc>
      </w:tr>
      <w:tr w:rsidR="00990B14" w14:paraId="68B78D00" w14:textId="77777777">
        <w:trPr>
          <w:cantSplit/>
          <w:jc w:val="center"/>
        </w:trPr>
        <w:tc>
          <w:tcPr>
            <w:tcW w:w="3133" w:type="dxa"/>
            <w:gridSpan w:val="4"/>
            <w:shd w:val="clear" w:color="auto" w:fill="4472C4"/>
            <w:vAlign w:val="center"/>
          </w:tcPr>
          <w:p w14:paraId="386C6279"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310A9D5D"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7F43D7B7" w14:textId="77777777" w:rsidR="00990B14" w:rsidRDefault="00000000">
            <w:pPr>
              <w:keepNext/>
              <w:spacing w:before="20" w:after="20"/>
              <w:jc w:val="center"/>
            </w:pPr>
            <w:r>
              <w:rPr>
                <w:b/>
                <w:bCs/>
                <w:i/>
                <w:iCs/>
                <w:color w:val="FFFFFF"/>
                <w:sz w:val="18"/>
                <w:szCs w:val="18"/>
              </w:rPr>
              <w:t>Evidencias de producto</w:t>
            </w:r>
          </w:p>
        </w:tc>
      </w:tr>
      <w:tr w:rsidR="00990B14" w14:paraId="0855D92D" w14:textId="77777777">
        <w:trPr>
          <w:cantSplit/>
          <w:jc w:val="center"/>
        </w:trPr>
        <w:tc>
          <w:tcPr>
            <w:tcW w:w="3133" w:type="dxa"/>
            <w:gridSpan w:val="4"/>
            <w:vMerge w:val="restart"/>
            <w:shd w:val="clear" w:color="auto" w:fill="D9E2F3"/>
            <w:vAlign w:val="center"/>
          </w:tcPr>
          <w:p w14:paraId="64A92D36" w14:textId="77777777" w:rsidR="00990B14" w:rsidRDefault="00000000">
            <w:pPr>
              <w:spacing w:before="20" w:after="20"/>
              <w:jc w:val="both"/>
            </w:pPr>
            <w:r>
              <w:rPr>
                <w:sz w:val="18"/>
                <w:szCs w:val="18"/>
              </w:rPr>
              <w:t>1. Aplica las relaciones y las funciones lineales y no lineales a problemas de ingresos, costos, utilidades, oferta y demanda, interpretando su dominio y su recorrido.</w:t>
            </w:r>
          </w:p>
        </w:tc>
        <w:tc>
          <w:tcPr>
            <w:tcW w:w="3135" w:type="dxa"/>
            <w:gridSpan w:val="5"/>
            <w:shd w:val="clear" w:color="auto" w:fill="D9E2F3"/>
            <w:vAlign w:val="center"/>
          </w:tcPr>
          <w:p w14:paraId="49386641" w14:textId="77777777" w:rsidR="00990B14" w:rsidRDefault="00000000">
            <w:pPr>
              <w:spacing w:before="20" w:after="20"/>
              <w:jc w:val="both"/>
            </w:pPr>
            <w:r>
              <w:rPr>
                <w:sz w:val="18"/>
                <w:szCs w:val="18"/>
              </w:rPr>
              <w:t>1.1 Grafica en aula las funciones de oferta y demanda de un mercado y determina el precio y la cantidad de equilibrio.</w:t>
            </w:r>
          </w:p>
        </w:tc>
        <w:tc>
          <w:tcPr>
            <w:tcW w:w="3137" w:type="dxa"/>
            <w:gridSpan w:val="4"/>
            <w:shd w:val="clear" w:color="auto" w:fill="D9E2F3"/>
            <w:vAlign w:val="center"/>
          </w:tcPr>
          <w:p w14:paraId="13B7AC33" w14:textId="77777777" w:rsidR="00990B14" w:rsidRDefault="00000000">
            <w:pPr>
              <w:spacing w:before="20" w:after="20"/>
              <w:jc w:val="both"/>
            </w:pPr>
            <w:r>
              <w:rPr>
                <w:b/>
                <w:bCs/>
                <w:sz w:val="18"/>
                <w:szCs w:val="18"/>
              </w:rPr>
              <w:t xml:space="preserve">Producto 5: </w:t>
            </w:r>
            <w:r>
              <w:rPr>
                <w:sz w:val="18"/>
                <w:szCs w:val="18"/>
              </w:rPr>
              <w:t>Reporte de análisis del modelo de oferta y demanda con el precio y la cantidad de equilibrio.</w:t>
            </w:r>
          </w:p>
        </w:tc>
      </w:tr>
      <w:tr w:rsidR="00990B14" w14:paraId="58ACD6F9" w14:textId="77777777">
        <w:trPr>
          <w:cantSplit/>
          <w:jc w:val="center"/>
        </w:trPr>
        <w:tc>
          <w:tcPr>
            <w:tcW w:w="3133" w:type="dxa"/>
            <w:gridSpan w:val="4"/>
            <w:vMerge/>
            <w:shd w:val="clear" w:color="auto" w:fill="D9E2F3"/>
            <w:vAlign w:val="center"/>
          </w:tcPr>
          <w:p w14:paraId="6079531C" w14:textId="77777777" w:rsidR="00990B14" w:rsidRDefault="00990B14">
            <w:pPr>
              <w:spacing w:before="20" w:after="20"/>
            </w:pPr>
          </w:p>
        </w:tc>
        <w:tc>
          <w:tcPr>
            <w:tcW w:w="3135" w:type="dxa"/>
            <w:gridSpan w:val="5"/>
            <w:shd w:val="clear" w:color="auto" w:fill="D9E2F3"/>
            <w:vAlign w:val="center"/>
          </w:tcPr>
          <w:p w14:paraId="2976491E" w14:textId="77777777" w:rsidR="00990B14" w:rsidRDefault="00000000">
            <w:pPr>
              <w:spacing w:before="20" w:after="20"/>
              <w:jc w:val="both"/>
            </w:pPr>
            <w:r>
              <w:rPr>
                <w:sz w:val="18"/>
                <w:szCs w:val="18"/>
              </w:rPr>
              <w:t>1.2 Elabora en equipo la función lineal de depreciación de un activo fijo y la función exponencial de crecimiento de una variable económica en hoja de cálculo.</w:t>
            </w:r>
          </w:p>
        </w:tc>
        <w:tc>
          <w:tcPr>
            <w:tcW w:w="3137" w:type="dxa"/>
            <w:gridSpan w:val="4"/>
            <w:shd w:val="clear" w:color="auto" w:fill="D9E2F3"/>
            <w:vAlign w:val="center"/>
          </w:tcPr>
          <w:p w14:paraId="39DFC59C" w14:textId="77777777" w:rsidR="00990B14" w:rsidRDefault="00000000">
            <w:pPr>
              <w:spacing w:before="20" w:after="20"/>
              <w:jc w:val="both"/>
            </w:pPr>
            <w:r>
              <w:rPr>
                <w:b/>
                <w:bCs/>
                <w:sz w:val="18"/>
                <w:szCs w:val="18"/>
              </w:rPr>
              <w:t xml:space="preserve">Producto 6: </w:t>
            </w:r>
            <w:r>
              <w:rPr>
                <w:sz w:val="18"/>
                <w:szCs w:val="18"/>
              </w:rPr>
              <w:t>Hoja de cálculo de funciones lineales y exponenciales aplicadas a la depreciación y al crecimiento.</w:t>
            </w:r>
          </w:p>
        </w:tc>
      </w:tr>
      <w:tr w:rsidR="00990B14" w14:paraId="7B4EA0D7" w14:textId="77777777">
        <w:trPr>
          <w:cantSplit/>
          <w:jc w:val="center"/>
        </w:trPr>
        <w:tc>
          <w:tcPr>
            <w:tcW w:w="3133" w:type="dxa"/>
            <w:gridSpan w:val="4"/>
            <w:vMerge w:val="restart"/>
            <w:shd w:val="clear" w:color="auto" w:fill="D9E2F3"/>
            <w:vAlign w:val="center"/>
          </w:tcPr>
          <w:p w14:paraId="79BFFE79" w14:textId="77777777" w:rsidR="00990B14" w:rsidRDefault="00000000">
            <w:pPr>
              <w:spacing w:before="20" w:after="20"/>
              <w:jc w:val="both"/>
            </w:pPr>
            <w:r>
              <w:rPr>
                <w:sz w:val="18"/>
                <w:szCs w:val="18"/>
              </w:rPr>
              <w:t>2. Calcula límites de funciones algebraicas y trascendentes, analizando la continuidad de funciones aplicadas a la economía.</w:t>
            </w:r>
          </w:p>
        </w:tc>
        <w:tc>
          <w:tcPr>
            <w:tcW w:w="3135" w:type="dxa"/>
            <w:gridSpan w:val="5"/>
            <w:shd w:val="clear" w:color="auto" w:fill="D9E2F3"/>
            <w:vAlign w:val="center"/>
          </w:tcPr>
          <w:p w14:paraId="55925700" w14:textId="77777777" w:rsidR="00990B14" w:rsidRDefault="00000000">
            <w:pPr>
              <w:spacing w:before="20" w:after="20"/>
              <w:jc w:val="both"/>
            </w:pPr>
            <w:r>
              <w:rPr>
                <w:sz w:val="18"/>
                <w:szCs w:val="18"/>
              </w:rPr>
              <w:t>2.1 Calcula en aula límites algebraicos, logarítmicos, exponenciales y trigonométricos aplicando sus propiedades.</w:t>
            </w:r>
          </w:p>
        </w:tc>
        <w:tc>
          <w:tcPr>
            <w:tcW w:w="3137" w:type="dxa"/>
            <w:gridSpan w:val="4"/>
            <w:shd w:val="clear" w:color="auto" w:fill="D9E2F3"/>
            <w:vAlign w:val="center"/>
          </w:tcPr>
          <w:p w14:paraId="6A207C54" w14:textId="77777777" w:rsidR="00990B14" w:rsidRDefault="00000000">
            <w:pPr>
              <w:spacing w:before="20" w:after="20"/>
              <w:jc w:val="both"/>
            </w:pPr>
            <w:r>
              <w:rPr>
                <w:b/>
                <w:bCs/>
                <w:sz w:val="18"/>
                <w:szCs w:val="18"/>
              </w:rPr>
              <w:t xml:space="preserve">Producto 7: </w:t>
            </w:r>
            <w:r>
              <w:rPr>
                <w:sz w:val="18"/>
                <w:szCs w:val="18"/>
              </w:rPr>
              <w:t>Práctico de cálculo de límites de funciones algebraicas y trascendentes</w:t>
            </w:r>
          </w:p>
        </w:tc>
      </w:tr>
      <w:tr w:rsidR="00990B14" w14:paraId="2A909095" w14:textId="77777777">
        <w:trPr>
          <w:cantSplit/>
          <w:jc w:val="center"/>
        </w:trPr>
        <w:tc>
          <w:tcPr>
            <w:tcW w:w="3133" w:type="dxa"/>
            <w:gridSpan w:val="4"/>
            <w:vMerge/>
            <w:shd w:val="clear" w:color="auto" w:fill="D9E2F3"/>
            <w:vAlign w:val="center"/>
          </w:tcPr>
          <w:p w14:paraId="127D61C0" w14:textId="77777777" w:rsidR="00990B14" w:rsidRDefault="00990B14">
            <w:pPr>
              <w:spacing w:before="20" w:after="20"/>
            </w:pPr>
          </w:p>
        </w:tc>
        <w:tc>
          <w:tcPr>
            <w:tcW w:w="3135" w:type="dxa"/>
            <w:gridSpan w:val="5"/>
            <w:shd w:val="clear" w:color="auto" w:fill="D9E2F3"/>
            <w:vAlign w:val="center"/>
          </w:tcPr>
          <w:p w14:paraId="6F1BD026" w14:textId="77777777" w:rsidR="00990B14" w:rsidRDefault="00000000">
            <w:pPr>
              <w:spacing w:before="20" w:after="20"/>
              <w:jc w:val="both"/>
            </w:pPr>
            <w:r>
              <w:rPr>
                <w:sz w:val="18"/>
                <w:szCs w:val="18"/>
              </w:rPr>
              <w:t>2.2 Analiza en equipo la continuidad de una función de costos por tramos y clasifica sus discontinuidades.</w:t>
            </w:r>
          </w:p>
        </w:tc>
        <w:tc>
          <w:tcPr>
            <w:tcW w:w="3137" w:type="dxa"/>
            <w:gridSpan w:val="4"/>
            <w:shd w:val="clear" w:color="auto" w:fill="D9E2F3"/>
            <w:vAlign w:val="center"/>
          </w:tcPr>
          <w:p w14:paraId="190D3400" w14:textId="77777777" w:rsidR="00990B14" w:rsidRDefault="00000000">
            <w:pPr>
              <w:spacing w:before="20" w:after="20"/>
              <w:jc w:val="both"/>
            </w:pPr>
            <w:r>
              <w:rPr>
                <w:b/>
                <w:bCs/>
                <w:sz w:val="18"/>
                <w:szCs w:val="18"/>
              </w:rPr>
              <w:t xml:space="preserve">Producto 8: </w:t>
            </w:r>
            <w:r>
              <w:rPr>
                <w:sz w:val="18"/>
                <w:szCs w:val="18"/>
              </w:rPr>
              <w:t>Informe de continuidad de una función de costos por tramos.</w:t>
            </w:r>
          </w:p>
        </w:tc>
      </w:tr>
      <w:tr w:rsidR="00990B14" w14:paraId="45E87FB9" w14:textId="77777777">
        <w:trPr>
          <w:cantSplit/>
          <w:jc w:val="center"/>
        </w:trPr>
        <w:tc>
          <w:tcPr>
            <w:tcW w:w="9405" w:type="dxa"/>
            <w:gridSpan w:val="13"/>
            <w:shd w:val="clear" w:color="auto" w:fill="4472C4"/>
            <w:vAlign w:val="center"/>
          </w:tcPr>
          <w:p w14:paraId="070780E5" w14:textId="77777777" w:rsidR="00990B14" w:rsidRDefault="00000000">
            <w:pPr>
              <w:keepNext/>
              <w:spacing w:before="20" w:after="20"/>
              <w:jc w:val="center"/>
            </w:pPr>
            <w:r>
              <w:rPr>
                <w:b/>
                <w:bCs/>
                <w:i/>
                <w:iCs/>
                <w:color w:val="FFFFFF"/>
                <w:sz w:val="18"/>
                <w:szCs w:val="18"/>
              </w:rPr>
              <w:t>Evidencias de conocimiento</w:t>
            </w:r>
          </w:p>
        </w:tc>
      </w:tr>
      <w:tr w:rsidR="00990B14" w14:paraId="43E91B7D" w14:textId="77777777">
        <w:trPr>
          <w:cantSplit/>
          <w:jc w:val="center"/>
        </w:trPr>
        <w:tc>
          <w:tcPr>
            <w:tcW w:w="2349" w:type="dxa"/>
            <w:gridSpan w:val="2"/>
            <w:shd w:val="clear" w:color="auto" w:fill="4472C4"/>
            <w:vAlign w:val="center"/>
          </w:tcPr>
          <w:p w14:paraId="0378AE55"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47C4A95A" w14:textId="77777777" w:rsidR="00990B14" w:rsidRDefault="00000000">
            <w:pPr>
              <w:keepNext/>
              <w:spacing w:before="20" w:after="20"/>
              <w:jc w:val="both"/>
            </w:pPr>
            <w:r>
              <w:rPr>
                <w:b/>
                <w:bCs/>
                <w:i/>
                <w:iCs/>
                <w:color w:val="FFFFFF"/>
                <w:sz w:val="18"/>
                <w:szCs w:val="18"/>
              </w:rPr>
              <w:t>Contenidos</w:t>
            </w:r>
          </w:p>
          <w:p w14:paraId="5EA1BD8E"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7DF1E4F2" w14:textId="77777777" w:rsidR="00990B14" w:rsidRDefault="00000000">
            <w:pPr>
              <w:keepNext/>
              <w:spacing w:before="20" w:after="20"/>
              <w:jc w:val="center"/>
            </w:pPr>
            <w:r>
              <w:rPr>
                <w:b/>
                <w:bCs/>
                <w:i/>
                <w:iCs/>
                <w:color w:val="FFFFFF"/>
                <w:sz w:val="18"/>
                <w:szCs w:val="18"/>
              </w:rPr>
              <w:t>Conocimientos circunstanciales</w:t>
            </w:r>
          </w:p>
        </w:tc>
      </w:tr>
      <w:tr w:rsidR="00990B14" w14:paraId="788BC4D5" w14:textId="77777777">
        <w:trPr>
          <w:jc w:val="center"/>
        </w:trPr>
        <w:tc>
          <w:tcPr>
            <w:tcW w:w="2349" w:type="dxa"/>
            <w:gridSpan w:val="2"/>
            <w:shd w:val="clear" w:color="auto" w:fill="D9E2F3"/>
          </w:tcPr>
          <w:p w14:paraId="60D062C0" w14:textId="77777777" w:rsidR="00990B14" w:rsidRDefault="00000000">
            <w:pPr>
              <w:spacing w:before="20" w:after="40"/>
              <w:jc w:val="both"/>
            </w:pPr>
            <w:r>
              <w:rPr>
                <w:sz w:val="18"/>
                <w:szCs w:val="18"/>
              </w:rPr>
              <w:t>Tema 2: Funciones con Geometría Analítica</w:t>
            </w:r>
          </w:p>
          <w:p w14:paraId="35693F82" w14:textId="77777777" w:rsidR="00990B14" w:rsidRDefault="00000000">
            <w:pPr>
              <w:spacing w:before="20" w:after="40"/>
              <w:jc w:val="both"/>
            </w:pPr>
            <w:r>
              <w:rPr>
                <w:sz w:val="18"/>
                <w:szCs w:val="18"/>
              </w:rPr>
              <w:t>Tema 3: Límites y Continuidad</w:t>
            </w:r>
          </w:p>
        </w:tc>
        <w:tc>
          <w:tcPr>
            <w:tcW w:w="4304" w:type="dxa"/>
            <w:gridSpan w:val="8"/>
            <w:shd w:val="clear" w:color="auto" w:fill="D9E2F3"/>
          </w:tcPr>
          <w:p w14:paraId="21B63D50" w14:textId="77777777" w:rsidR="00990B14" w:rsidRDefault="00000000">
            <w:pPr>
              <w:spacing w:after="40"/>
              <w:jc w:val="both"/>
            </w:pPr>
            <w:r>
              <w:rPr>
                <w:sz w:val="18"/>
                <w:szCs w:val="18"/>
              </w:rPr>
              <w:t>Par ordenado, producto cartesiano y relaciones: concepto, definición, dominio y recorrido. (C)</w:t>
            </w:r>
          </w:p>
          <w:p w14:paraId="675AECCB" w14:textId="77777777" w:rsidR="00990B14" w:rsidRDefault="00000000">
            <w:pPr>
              <w:spacing w:after="40"/>
              <w:jc w:val="both"/>
            </w:pPr>
            <w:r>
              <w:rPr>
                <w:sz w:val="18"/>
                <w:szCs w:val="18"/>
              </w:rPr>
              <w:t>Propiedades de las relaciones y tipos de relaciones: de equivalencia, de orden y sus aplicaciones a las ciencias económicas. (C)</w:t>
            </w:r>
          </w:p>
          <w:p w14:paraId="263B1392" w14:textId="77777777" w:rsidR="00990B14" w:rsidRDefault="00000000">
            <w:pPr>
              <w:spacing w:after="40"/>
              <w:jc w:val="both"/>
            </w:pPr>
            <w:r>
              <w:rPr>
                <w:sz w:val="18"/>
                <w:szCs w:val="18"/>
              </w:rPr>
              <w:t>Funciones: concepto, definición, dominio, recorrido y tipos: inyectivas, sobreyectivas y biyectivas. (C)</w:t>
            </w:r>
          </w:p>
          <w:p w14:paraId="436A8A20" w14:textId="77777777" w:rsidR="00990B14" w:rsidRDefault="00000000">
            <w:pPr>
              <w:spacing w:after="40"/>
              <w:jc w:val="both"/>
            </w:pPr>
            <w:r>
              <w:rPr>
                <w:sz w:val="18"/>
                <w:szCs w:val="18"/>
              </w:rPr>
              <w:t>Álgebra de funciones, composición de funciones, función inversa y representación gráfica de curvas en el plano cartesiano. (C)</w:t>
            </w:r>
          </w:p>
          <w:p w14:paraId="6941CF67" w14:textId="77777777" w:rsidR="00990B14" w:rsidRDefault="00000000">
            <w:pPr>
              <w:spacing w:after="40"/>
              <w:jc w:val="both"/>
            </w:pPr>
            <w:r>
              <w:rPr>
                <w:sz w:val="18"/>
                <w:szCs w:val="18"/>
              </w:rPr>
              <w:t>Funciones lineales: aplicaciones a problemas de ingresos, costos y utilidades, modelos de oferta y demanda, determinación del precio y la cantidad de equilibrio, y depreciación en línea recta según la vida útil de los activos fijos. (P, T)</w:t>
            </w:r>
          </w:p>
          <w:p w14:paraId="1CBEA432" w14:textId="77777777" w:rsidR="00990B14" w:rsidRDefault="00000000">
            <w:pPr>
              <w:spacing w:after="40"/>
              <w:jc w:val="both"/>
            </w:pPr>
            <w:r>
              <w:rPr>
                <w:sz w:val="18"/>
                <w:szCs w:val="18"/>
              </w:rPr>
              <w:t>Funciones no lineales: funciones cuadráticas, logarítmicas y exponenciales, con ejercicios de aplicación en economía y administración. (P)</w:t>
            </w:r>
          </w:p>
          <w:p w14:paraId="58ADDCB7" w14:textId="77777777" w:rsidR="00990B14" w:rsidRDefault="00000000">
            <w:pPr>
              <w:spacing w:after="40"/>
              <w:jc w:val="both"/>
            </w:pPr>
            <w:r>
              <w:rPr>
                <w:sz w:val="18"/>
                <w:szCs w:val="18"/>
              </w:rPr>
              <w:t>Vecindad, sucesiones y puntos límites. (C)</w:t>
            </w:r>
          </w:p>
          <w:p w14:paraId="20F94E6B" w14:textId="77777777" w:rsidR="00990B14" w:rsidRDefault="00000000">
            <w:pPr>
              <w:spacing w:after="40"/>
              <w:jc w:val="both"/>
            </w:pPr>
            <w:r>
              <w:rPr>
                <w:sz w:val="18"/>
                <w:szCs w:val="18"/>
              </w:rPr>
              <w:t>Límite de una función: definición, propiedades, límites laterales y límites infinitos. (C)</w:t>
            </w:r>
          </w:p>
          <w:p w14:paraId="174234F7" w14:textId="77777777" w:rsidR="00990B14" w:rsidRDefault="00000000">
            <w:pPr>
              <w:spacing w:after="40"/>
              <w:jc w:val="both"/>
            </w:pPr>
            <w:r>
              <w:rPr>
                <w:sz w:val="18"/>
                <w:szCs w:val="18"/>
              </w:rPr>
              <w:t>Cálculo de límites algebraicos, logarítmicos, exponenciales y trigonométricos. (P)</w:t>
            </w:r>
          </w:p>
          <w:p w14:paraId="61F6B641" w14:textId="77777777" w:rsidR="00990B14" w:rsidRDefault="00000000">
            <w:pPr>
              <w:spacing w:after="40"/>
              <w:jc w:val="both"/>
            </w:pPr>
            <w:r>
              <w:rPr>
                <w:sz w:val="18"/>
                <w:szCs w:val="18"/>
              </w:rPr>
              <w:t>Continuidad: definición y propiedades, y discontinuidad y sus tipos, con ejercicios de aplicación. (C, P)</w:t>
            </w:r>
          </w:p>
        </w:tc>
        <w:tc>
          <w:tcPr>
            <w:tcW w:w="2752" w:type="dxa"/>
            <w:gridSpan w:val="3"/>
            <w:shd w:val="clear" w:color="auto" w:fill="D9E2F3"/>
          </w:tcPr>
          <w:p w14:paraId="50BAC33D" w14:textId="77777777" w:rsidR="00990B14" w:rsidRDefault="00000000">
            <w:pPr>
              <w:numPr>
                <w:ilvl w:val="0"/>
                <w:numId w:val="139"/>
              </w:numPr>
              <w:spacing w:before="10" w:after="10"/>
              <w:jc w:val="both"/>
            </w:pPr>
            <w:r>
              <w:rPr>
                <w:sz w:val="18"/>
                <w:szCs w:val="18"/>
              </w:rPr>
              <w:t>Razones e identidades trigonométricas básicas.</w:t>
            </w:r>
          </w:p>
          <w:p w14:paraId="27E0DD05" w14:textId="77777777" w:rsidR="00990B14" w:rsidRDefault="00000000">
            <w:pPr>
              <w:numPr>
                <w:ilvl w:val="0"/>
                <w:numId w:val="139"/>
              </w:numPr>
              <w:spacing w:before="10" w:after="10"/>
              <w:jc w:val="both"/>
            </w:pPr>
            <w:r>
              <w:rPr>
                <w:sz w:val="18"/>
                <w:szCs w:val="18"/>
              </w:rPr>
              <w:t>Valor absoluto y notación de intervalos de los números reales.</w:t>
            </w:r>
          </w:p>
        </w:tc>
      </w:tr>
      <w:tr w:rsidR="00990B14" w14:paraId="33DEEA4C" w14:textId="77777777">
        <w:trPr>
          <w:cantSplit/>
          <w:jc w:val="center"/>
        </w:trPr>
        <w:tc>
          <w:tcPr>
            <w:tcW w:w="9405" w:type="dxa"/>
            <w:gridSpan w:val="13"/>
            <w:shd w:val="clear" w:color="auto" w:fill="D9E2F3"/>
            <w:vAlign w:val="center"/>
          </w:tcPr>
          <w:p w14:paraId="250B0C2D" w14:textId="77777777" w:rsidR="00990B14" w:rsidRDefault="00000000">
            <w:pPr>
              <w:spacing w:before="20" w:after="20"/>
              <w:jc w:val="both"/>
            </w:pPr>
            <w:r>
              <w:rPr>
                <w:b/>
                <w:bCs/>
                <w:i/>
                <w:iCs/>
                <w:sz w:val="18"/>
                <w:szCs w:val="18"/>
              </w:rPr>
              <w:t xml:space="preserve">Elemento de competencia 3: </w:t>
            </w:r>
            <w:r>
              <w:rPr>
                <w:sz w:val="18"/>
                <w:szCs w:val="18"/>
              </w:rPr>
              <w:t>Optimiza las funciones de costo, ingreso y beneficio de una empresa, aplicando la derivada y su regla de cálculo a los problemas de máximos, mínimos y elasticidad.</w:t>
            </w:r>
          </w:p>
        </w:tc>
      </w:tr>
      <w:tr w:rsidR="00990B14" w14:paraId="60A9ED2D" w14:textId="77777777">
        <w:trPr>
          <w:cantSplit/>
          <w:jc w:val="center"/>
        </w:trPr>
        <w:tc>
          <w:tcPr>
            <w:tcW w:w="3133" w:type="dxa"/>
            <w:gridSpan w:val="4"/>
            <w:shd w:val="clear" w:color="auto" w:fill="4472C4"/>
            <w:vAlign w:val="center"/>
          </w:tcPr>
          <w:p w14:paraId="09CF382F"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6DAB1CFE"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588425C5" w14:textId="77777777" w:rsidR="00990B14" w:rsidRDefault="00000000">
            <w:pPr>
              <w:keepNext/>
              <w:spacing w:before="20" w:after="20"/>
              <w:jc w:val="center"/>
            </w:pPr>
            <w:r>
              <w:rPr>
                <w:b/>
                <w:bCs/>
                <w:i/>
                <w:iCs/>
                <w:color w:val="FFFFFF"/>
                <w:sz w:val="18"/>
                <w:szCs w:val="18"/>
              </w:rPr>
              <w:t>Evidencias de producto</w:t>
            </w:r>
          </w:p>
        </w:tc>
      </w:tr>
      <w:tr w:rsidR="00990B14" w14:paraId="5017392B" w14:textId="77777777">
        <w:trPr>
          <w:cantSplit/>
          <w:jc w:val="center"/>
        </w:trPr>
        <w:tc>
          <w:tcPr>
            <w:tcW w:w="3133" w:type="dxa"/>
            <w:gridSpan w:val="4"/>
            <w:vMerge w:val="restart"/>
            <w:shd w:val="clear" w:color="auto" w:fill="D9E2F3"/>
            <w:vAlign w:val="center"/>
          </w:tcPr>
          <w:p w14:paraId="71FCC5CA" w14:textId="77777777" w:rsidR="00990B14" w:rsidRDefault="00000000">
            <w:pPr>
              <w:spacing w:before="20" w:after="20"/>
              <w:jc w:val="both"/>
            </w:pPr>
            <w:r>
              <w:rPr>
                <w:sz w:val="18"/>
                <w:szCs w:val="18"/>
              </w:rPr>
              <w:t>1. Calcula la derivada de funciones algebraicas, exponenciales, logarítmicas y trigonométricas, aplicando las fórmulas de derivación, la derivada implícita y las derivadas de orden superior.</w:t>
            </w:r>
          </w:p>
        </w:tc>
        <w:tc>
          <w:tcPr>
            <w:tcW w:w="3135" w:type="dxa"/>
            <w:gridSpan w:val="5"/>
            <w:shd w:val="clear" w:color="auto" w:fill="D9E2F3"/>
            <w:vAlign w:val="center"/>
          </w:tcPr>
          <w:p w14:paraId="093CCC8C" w14:textId="77777777" w:rsidR="00990B14" w:rsidRDefault="00000000">
            <w:pPr>
              <w:spacing w:before="20" w:after="20"/>
              <w:jc w:val="both"/>
            </w:pPr>
            <w:r>
              <w:rPr>
                <w:sz w:val="18"/>
                <w:szCs w:val="18"/>
              </w:rPr>
              <w:t>1.1 Deriva en aula funciones algebraicas y trascendentes aplicando las fórmulas de derivación.</w:t>
            </w:r>
          </w:p>
        </w:tc>
        <w:tc>
          <w:tcPr>
            <w:tcW w:w="3137" w:type="dxa"/>
            <w:gridSpan w:val="4"/>
            <w:shd w:val="clear" w:color="auto" w:fill="D9E2F3"/>
            <w:vAlign w:val="center"/>
          </w:tcPr>
          <w:p w14:paraId="7C7FDB91" w14:textId="77777777" w:rsidR="00990B14" w:rsidRDefault="00000000">
            <w:pPr>
              <w:spacing w:before="20" w:after="20"/>
              <w:jc w:val="both"/>
            </w:pPr>
            <w:r>
              <w:rPr>
                <w:b/>
                <w:bCs/>
                <w:sz w:val="18"/>
                <w:szCs w:val="18"/>
              </w:rPr>
              <w:t xml:space="preserve">Producto 9: </w:t>
            </w:r>
            <w:r>
              <w:rPr>
                <w:sz w:val="18"/>
                <w:szCs w:val="18"/>
              </w:rPr>
              <w:t>Práctico de cálculo de derivadas de funciones algebraicas y trascendentes.</w:t>
            </w:r>
          </w:p>
        </w:tc>
      </w:tr>
      <w:tr w:rsidR="00990B14" w14:paraId="60958B1A" w14:textId="77777777">
        <w:trPr>
          <w:cantSplit/>
          <w:jc w:val="center"/>
        </w:trPr>
        <w:tc>
          <w:tcPr>
            <w:tcW w:w="3133" w:type="dxa"/>
            <w:gridSpan w:val="4"/>
            <w:vMerge/>
            <w:shd w:val="clear" w:color="auto" w:fill="D9E2F3"/>
            <w:vAlign w:val="center"/>
          </w:tcPr>
          <w:p w14:paraId="25F90B40" w14:textId="77777777" w:rsidR="00990B14" w:rsidRDefault="00990B14">
            <w:pPr>
              <w:spacing w:before="20" w:after="20"/>
            </w:pPr>
          </w:p>
        </w:tc>
        <w:tc>
          <w:tcPr>
            <w:tcW w:w="3135" w:type="dxa"/>
            <w:gridSpan w:val="5"/>
            <w:shd w:val="clear" w:color="auto" w:fill="D9E2F3"/>
            <w:vAlign w:val="center"/>
          </w:tcPr>
          <w:p w14:paraId="5E316DEA" w14:textId="77777777" w:rsidR="00990B14" w:rsidRDefault="00000000">
            <w:pPr>
              <w:spacing w:before="20" w:after="20"/>
              <w:jc w:val="both"/>
            </w:pPr>
            <w:r>
              <w:rPr>
                <w:sz w:val="18"/>
                <w:szCs w:val="18"/>
              </w:rPr>
              <w:t>1.2 Determina en equipo la recta tangente a una curva de costo total y resuelve formas indeterminadas con el teorema de L'Hôpital.</w:t>
            </w:r>
          </w:p>
        </w:tc>
        <w:tc>
          <w:tcPr>
            <w:tcW w:w="3137" w:type="dxa"/>
            <w:gridSpan w:val="4"/>
            <w:shd w:val="clear" w:color="auto" w:fill="D9E2F3"/>
            <w:vAlign w:val="center"/>
          </w:tcPr>
          <w:p w14:paraId="295297C8" w14:textId="77777777" w:rsidR="00990B14" w:rsidRDefault="00000000">
            <w:pPr>
              <w:spacing w:before="20" w:after="20"/>
              <w:jc w:val="both"/>
            </w:pPr>
            <w:r>
              <w:rPr>
                <w:b/>
                <w:bCs/>
                <w:sz w:val="18"/>
                <w:szCs w:val="18"/>
              </w:rPr>
              <w:t xml:space="preserve">Producto 10: </w:t>
            </w:r>
            <w:r>
              <w:rPr>
                <w:sz w:val="18"/>
                <w:szCs w:val="18"/>
              </w:rPr>
              <w:t>Cuadro de rectas tangentes y de límites resueltos con el teorema de L'Hôpital.</w:t>
            </w:r>
          </w:p>
        </w:tc>
      </w:tr>
      <w:tr w:rsidR="00990B14" w14:paraId="2852E604" w14:textId="77777777">
        <w:trPr>
          <w:cantSplit/>
          <w:jc w:val="center"/>
        </w:trPr>
        <w:tc>
          <w:tcPr>
            <w:tcW w:w="3133" w:type="dxa"/>
            <w:gridSpan w:val="4"/>
            <w:vMerge w:val="restart"/>
            <w:shd w:val="clear" w:color="auto" w:fill="D9E2F3"/>
            <w:vAlign w:val="center"/>
          </w:tcPr>
          <w:p w14:paraId="64064E2B" w14:textId="77777777" w:rsidR="00990B14" w:rsidRDefault="00000000">
            <w:pPr>
              <w:spacing w:before="20" w:after="20"/>
              <w:jc w:val="both"/>
            </w:pPr>
            <w:r>
              <w:rPr>
                <w:sz w:val="18"/>
                <w:szCs w:val="18"/>
              </w:rPr>
              <w:t>2. Optimiza las funciones de costo, ingreso y beneficio de una empresa, interpretando los máximos, los mínimos, la elasticidad y la sensibilidad del resultado.</w:t>
            </w:r>
          </w:p>
        </w:tc>
        <w:tc>
          <w:tcPr>
            <w:tcW w:w="3135" w:type="dxa"/>
            <w:gridSpan w:val="5"/>
            <w:shd w:val="clear" w:color="auto" w:fill="D9E2F3"/>
            <w:vAlign w:val="center"/>
          </w:tcPr>
          <w:p w14:paraId="60F1ACC6" w14:textId="77777777" w:rsidR="00990B14" w:rsidRDefault="00000000">
            <w:pPr>
              <w:spacing w:before="20" w:after="20"/>
              <w:jc w:val="both"/>
            </w:pPr>
            <w:r>
              <w:rPr>
                <w:sz w:val="18"/>
                <w:szCs w:val="18"/>
              </w:rPr>
              <w:t>2.1 Grafica en el laboratorio de cómputo una función a partir de su crecimiento, sus extremos relativos y sus puntos de inflexión.</w:t>
            </w:r>
          </w:p>
        </w:tc>
        <w:tc>
          <w:tcPr>
            <w:tcW w:w="3137" w:type="dxa"/>
            <w:gridSpan w:val="4"/>
            <w:shd w:val="clear" w:color="auto" w:fill="D9E2F3"/>
            <w:vAlign w:val="center"/>
          </w:tcPr>
          <w:p w14:paraId="327E0A03" w14:textId="77777777" w:rsidR="00990B14" w:rsidRDefault="00000000">
            <w:pPr>
              <w:spacing w:before="20" w:after="20"/>
              <w:jc w:val="both"/>
            </w:pPr>
            <w:r>
              <w:rPr>
                <w:b/>
                <w:bCs/>
                <w:sz w:val="18"/>
                <w:szCs w:val="18"/>
              </w:rPr>
              <w:t xml:space="preserve">Producto 11: </w:t>
            </w:r>
            <w:r>
              <w:rPr>
                <w:sz w:val="18"/>
                <w:szCs w:val="18"/>
              </w:rPr>
              <w:t>Gráfica de una función con sus máximos, mínimos y puntos de inflexión.</w:t>
            </w:r>
          </w:p>
        </w:tc>
      </w:tr>
      <w:tr w:rsidR="00990B14" w14:paraId="7A270417" w14:textId="77777777">
        <w:trPr>
          <w:cantSplit/>
          <w:jc w:val="center"/>
        </w:trPr>
        <w:tc>
          <w:tcPr>
            <w:tcW w:w="3133" w:type="dxa"/>
            <w:gridSpan w:val="4"/>
            <w:vMerge/>
            <w:shd w:val="clear" w:color="auto" w:fill="D9E2F3"/>
            <w:vAlign w:val="center"/>
          </w:tcPr>
          <w:p w14:paraId="0F4EE187" w14:textId="77777777" w:rsidR="00990B14" w:rsidRDefault="00990B14">
            <w:pPr>
              <w:spacing w:before="20" w:after="20"/>
            </w:pPr>
          </w:p>
        </w:tc>
        <w:tc>
          <w:tcPr>
            <w:tcW w:w="3135" w:type="dxa"/>
            <w:gridSpan w:val="5"/>
            <w:shd w:val="clear" w:color="auto" w:fill="D9E2F3"/>
            <w:vAlign w:val="center"/>
          </w:tcPr>
          <w:p w14:paraId="602EA2C0" w14:textId="77777777" w:rsidR="00990B14" w:rsidRDefault="00000000">
            <w:pPr>
              <w:spacing w:before="20" w:after="20"/>
              <w:jc w:val="both"/>
            </w:pPr>
            <w:r>
              <w:rPr>
                <w:sz w:val="18"/>
                <w:szCs w:val="18"/>
              </w:rPr>
              <w:t>2.2 Expone ante el curso la optimización del beneficio de una empresa con su elasticidad precio de la demanda y su análisis de sensibilidad.</w:t>
            </w:r>
          </w:p>
        </w:tc>
        <w:tc>
          <w:tcPr>
            <w:tcW w:w="3137" w:type="dxa"/>
            <w:gridSpan w:val="4"/>
            <w:shd w:val="clear" w:color="auto" w:fill="D9E2F3"/>
            <w:vAlign w:val="center"/>
          </w:tcPr>
          <w:p w14:paraId="78268E1E" w14:textId="77777777" w:rsidR="00990B14" w:rsidRDefault="00000000">
            <w:pPr>
              <w:spacing w:before="20" w:after="20"/>
              <w:jc w:val="both"/>
            </w:pPr>
            <w:r>
              <w:rPr>
                <w:b/>
                <w:bCs/>
                <w:sz w:val="18"/>
                <w:szCs w:val="18"/>
              </w:rPr>
              <w:t xml:space="preserve">Producto 12: </w:t>
            </w:r>
            <w:r>
              <w:rPr>
                <w:sz w:val="18"/>
                <w:szCs w:val="18"/>
              </w:rPr>
              <w:t>Informe de optimización del beneficio con su elasticidad y su análisis de sensibilidad.</w:t>
            </w:r>
          </w:p>
        </w:tc>
      </w:tr>
      <w:tr w:rsidR="00990B14" w14:paraId="110E6B2F" w14:textId="77777777">
        <w:trPr>
          <w:cantSplit/>
          <w:jc w:val="center"/>
        </w:trPr>
        <w:tc>
          <w:tcPr>
            <w:tcW w:w="9405" w:type="dxa"/>
            <w:gridSpan w:val="13"/>
            <w:shd w:val="clear" w:color="auto" w:fill="4472C4"/>
            <w:vAlign w:val="center"/>
          </w:tcPr>
          <w:p w14:paraId="45D4D579" w14:textId="77777777" w:rsidR="00990B14" w:rsidRDefault="00000000">
            <w:pPr>
              <w:keepNext/>
              <w:spacing w:before="20" w:after="20"/>
              <w:jc w:val="center"/>
            </w:pPr>
            <w:r>
              <w:rPr>
                <w:b/>
                <w:bCs/>
                <w:i/>
                <w:iCs/>
                <w:color w:val="FFFFFF"/>
                <w:sz w:val="18"/>
                <w:szCs w:val="18"/>
              </w:rPr>
              <w:t>Evidencias de conocimiento</w:t>
            </w:r>
          </w:p>
        </w:tc>
      </w:tr>
      <w:tr w:rsidR="00990B14" w14:paraId="4D6E45CA" w14:textId="77777777">
        <w:trPr>
          <w:cantSplit/>
          <w:jc w:val="center"/>
        </w:trPr>
        <w:tc>
          <w:tcPr>
            <w:tcW w:w="2349" w:type="dxa"/>
            <w:gridSpan w:val="2"/>
            <w:shd w:val="clear" w:color="auto" w:fill="4472C4"/>
            <w:vAlign w:val="center"/>
          </w:tcPr>
          <w:p w14:paraId="7132B6F3"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41A1700E" w14:textId="77777777" w:rsidR="00990B14" w:rsidRDefault="00000000">
            <w:pPr>
              <w:keepNext/>
              <w:spacing w:before="20" w:after="20"/>
              <w:jc w:val="both"/>
            </w:pPr>
            <w:r>
              <w:rPr>
                <w:b/>
                <w:bCs/>
                <w:i/>
                <w:iCs/>
                <w:color w:val="FFFFFF"/>
                <w:sz w:val="18"/>
                <w:szCs w:val="18"/>
              </w:rPr>
              <w:t>Contenidos</w:t>
            </w:r>
          </w:p>
          <w:p w14:paraId="69549297"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6C888BF6" w14:textId="77777777" w:rsidR="00990B14" w:rsidRDefault="00000000">
            <w:pPr>
              <w:keepNext/>
              <w:spacing w:before="20" w:after="20"/>
              <w:jc w:val="center"/>
            </w:pPr>
            <w:r>
              <w:rPr>
                <w:b/>
                <w:bCs/>
                <w:i/>
                <w:iCs/>
                <w:color w:val="FFFFFF"/>
                <w:sz w:val="18"/>
                <w:szCs w:val="18"/>
              </w:rPr>
              <w:t>Conocimientos circunstanciales</w:t>
            </w:r>
          </w:p>
        </w:tc>
      </w:tr>
      <w:tr w:rsidR="00990B14" w14:paraId="6E1F85FE" w14:textId="77777777">
        <w:trPr>
          <w:jc w:val="center"/>
        </w:trPr>
        <w:tc>
          <w:tcPr>
            <w:tcW w:w="2349" w:type="dxa"/>
            <w:gridSpan w:val="2"/>
            <w:shd w:val="clear" w:color="auto" w:fill="D9E2F3"/>
          </w:tcPr>
          <w:p w14:paraId="1A78461A" w14:textId="77777777" w:rsidR="00990B14" w:rsidRDefault="00000000">
            <w:pPr>
              <w:spacing w:before="20" w:after="40"/>
              <w:jc w:val="both"/>
            </w:pPr>
            <w:r>
              <w:rPr>
                <w:sz w:val="18"/>
                <w:szCs w:val="18"/>
              </w:rPr>
              <w:t>Tema 4: La Derivada</w:t>
            </w:r>
          </w:p>
          <w:p w14:paraId="1326269E" w14:textId="77777777" w:rsidR="00990B14" w:rsidRDefault="00000000">
            <w:pPr>
              <w:spacing w:before="20" w:after="40"/>
              <w:jc w:val="both"/>
            </w:pPr>
            <w:r>
              <w:rPr>
                <w:sz w:val="18"/>
                <w:szCs w:val="18"/>
              </w:rPr>
              <w:t>Tema 5: Aplicaciones de la Derivada</w:t>
            </w:r>
          </w:p>
        </w:tc>
        <w:tc>
          <w:tcPr>
            <w:tcW w:w="4304" w:type="dxa"/>
            <w:gridSpan w:val="8"/>
            <w:shd w:val="clear" w:color="auto" w:fill="D9E2F3"/>
          </w:tcPr>
          <w:p w14:paraId="39A446B4" w14:textId="77777777" w:rsidR="00990B14" w:rsidRDefault="00000000">
            <w:pPr>
              <w:spacing w:after="40"/>
              <w:jc w:val="both"/>
            </w:pPr>
            <w:r>
              <w:rPr>
                <w:sz w:val="18"/>
                <w:szCs w:val="18"/>
              </w:rPr>
              <w:t>Incrementos y la derivada: definición y fórmulas de derivación. (C)</w:t>
            </w:r>
          </w:p>
          <w:p w14:paraId="6E392FEB" w14:textId="77777777" w:rsidR="00990B14" w:rsidRDefault="00000000">
            <w:pPr>
              <w:spacing w:after="40"/>
              <w:jc w:val="both"/>
            </w:pPr>
            <w:r>
              <w:rPr>
                <w:sz w:val="18"/>
                <w:szCs w:val="18"/>
              </w:rPr>
              <w:t>Derivada de funciones algebraicas, exponenciales, logarítmicas y trigonométricas. (C)</w:t>
            </w:r>
          </w:p>
          <w:p w14:paraId="22F043FB" w14:textId="77777777" w:rsidR="00990B14" w:rsidRDefault="00000000">
            <w:pPr>
              <w:spacing w:after="40"/>
              <w:jc w:val="both"/>
            </w:pPr>
            <w:r>
              <w:rPr>
                <w:sz w:val="18"/>
                <w:szCs w:val="18"/>
              </w:rPr>
              <w:t>Derivada implícita y derivada de orden superior, con ejercicios de aplicación. (P)</w:t>
            </w:r>
          </w:p>
          <w:p w14:paraId="766CC687" w14:textId="77777777" w:rsidR="00990B14" w:rsidRDefault="00000000">
            <w:pPr>
              <w:spacing w:after="40"/>
              <w:jc w:val="both"/>
            </w:pPr>
            <w:r>
              <w:rPr>
                <w:sz w:val="18"/>
                <w:szCs w:val="18"/>
              </w:rPr>
              <w:t>Recta tangente y recta normal, y formas indeterminadas con el teorema de L'Hôpital. (C)</w:t>
            </w:r>
          </w:p>
          <w:p w14:paraId="46091AC9" w14:textId="77777777" w:rsidR="00990B14" w:rsidRDefault="00000000">
            <w:pPr>
              <w:spacing w:after="40"/>
              <w:jc w:val="both"/>
            </w:pPr>
            <w:r>
              <w:rPr>
                <w:sz w:val="18"/>
                <w:szCs w:val="18"/>
              </w:rPr>
              <w:t>Función creciente y decreciente, máximos y mínimos relativos, y punto de inflexión. (C)</w:t>
            </w:r>
          </w:p>
          <w:p w14:paraId="665560AB" w14:textId="77777777" w:rsidR="00990B14" w:rsidRDefault="00000000">
            <w:pPr>
              <w:spacing w:after="40"/>
              <w:jc w:val="both"/>
            </w:pPr>
            <w:r>
              <w:rPr>
                <w:sz w:val="18"/>
                <w:szCs w:val="18"/>
              </w:rPr>
              <w:t>Gráfica de funciones. (C)</w:t>
            </w:r>
          </w:p>
          <w:p w14:paraId="746A5D2E" w14:textId="77777777" w:rsidR="00990B14" w:rsidRDefault="00000000">
            <w:pPr>
              <w:spacing w:after="40"/>
              <w:jc w:val="both"/>
            </w:pPr>
            <w:r>
              <w:rPr>
                <w:sz w:val="18"/>
                <w:szCs w:val="18"/>
              </w:rPr>
              <w:t>Optimización de funciones de costo, ingreso y beneficio de una empresa, y elasticidad, con problemas de aplicación y análisis de sensibilidad del beneficio ante variaciones de precios y costos. (P)</w:t>
            </w:r>
          </w:p>
        </w:tc>
        <w:tc>
          <w:tcPr>
            <w:tcW w:w="2752" w:type="dxa"/>
            <w:gridSpan w:val="3"/>
            <w:shd w:val="clear" w:color="auto" w:fill="D9E2F3"/>
          </w:tcPr>
          <w:p w14:paraId="2F859E7B" w14:textId="77777777" w:rsidR="00990B14" w:rsidRDefault="00000000">
            <w:pPr>
              <w:numPr>
                <w:ilvl w:val="0"/>
                <w:numId w:val="139"/>
              </w:numPr>
              <w:spacing w:before="10" w:after="10"/>
              <w:jc w:val="both"/>
            </w:pPr>
            <w:r>
              <w:rPr>
                <w:sz w:val="18"/>
                <w:szCs w:val="18"/>
              </w:rPr>
              <w:t>Noción de razón de cambio y de tasa de variación media.</w:t>
            </w:r>
          </w:p>
          <w:p w14:paraId="341D9666" w14:textId="77777777" w:rsidR="00990B14" w:rsidRDefault="00000000">
            <w:pPr>
              <w:numPr>
                <w:ilvl w:val="0"/>
                <w:numId w:val="139"/>
              </w:numPr>
              <w:spacing w:before="10" w:after="10"/>
              <w:jc w:val="both"/>
            </w:pPr>
            <w:r>
              <w:rPr>
                <w:sz w:val="18"/>
                <w:szCs w:val="18"/>
              </w:rPr>
              <w:t>Uso básico de software de graficación matemática.</w:t>
            </w:r>
          </w:p>
        </w:tc>
      </w:tr>
      <w:tr w:rsidR="00990B14" w14:paraId="058F7301" w14:textId="77777777">
        <w:trPr>
          <w:cantSplit/>
          <w:jc w:val="center"/>
        </w:trPr>
        <w:tc>
          <w:tcPr>
            <w:tcW w:w="9405" w:type="dxa"/>
            <w:gridSpan w:val="13"/>
            <w:shd w:val="clear" w:color="auto" w:fill="D9E2F3"/>
            <w:vAlign w:val="center"/>
          </w:tcPr>
          <w:p w14:paraId="4A64514A" w14:textId="77777777" w:rsidR="00990B14" w:rsidRDefault="00000000">
            <w:pPr>
              <w:spacing w:before="20" w:after="20"/>
              <w:jc w:val="both"/>
            </w:pPr>
            <w:r>
              <w:rPr>
                <w:b/>
                <w:bCs/>
                <w:i/>
                <w:iCs/>
                <w:sz w:val="18"/>
                <w:szCs w:val="18"/>
              </w:rPr>
              <w:t xml:space="preserve">Elemento de competencia 4: </w:t>
            </w:r>
            <w:r>
              <w:rPr>
                <w:sz w:val="18"/>
                <w:szCs w:val="18"/>
              </w:rPr>
              <w:t>Calcula la integral indefinida y la integral definida de una función, aplicando el cálculo de áreas y el multiplicador de Lagrange a problemas de las ciencias económicas y financieras.</w:t>
            </w:r>
          </w:p>
        </w:tc>
      </w:tr>
      <w:tr w:rsidR="00990B14" w14:paraId="1F270E7A" w14:textId="77777777">
        <w:trPr>
          <w:cantSplit/>
          <w:jc w:val="center"/>
        </w:trPr>
        <w:tc>
          <w:tcPr>
            <w:tcW w:w="3133" w:type="dxa"/>
            <w:gridSpan w:val="4"/>
            <w:shd w:val="clear" w:color="auto" w:fill="4472C4"/>
            <w:vAlign w:val="center"/>
          </w:tcPr>
          <w:p w14:paraId="6B3BAF26"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6BBB3113"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075691E1" w14:textId="77777777" w:rsidR="00990B14" w:rsidRDefault="00000000">
            <w:pPr>
              <w:keepNext/>
              <w:spacing w:before="20" w:after="20"/>
              <w:jc w:val="center"/>
            </w:pPr>
            <w:r>
              <w:rPr>
                <w:b/>
                <w:bCs/>
                <w:i/>
                <w:iCs/>
                <w:color w:val="FFFFFF"/>
                <w:sz w:val="18"/>
                <w:szCs w:val="18"/>
              </w:rPr>
              <w:t>Evidencias de producto</w:t>
            </w:r>
          </w:p>
        </w:tc>
      </w:tr>
      <w:tr w:rsidR="00990B14" w14:paraId="36AFD6A2" w14:textId="77777777">
        <w:trPr>
          <w:cantSplit/>
          <w:jc w:val="center"/>
        </w:trPr>
        <w:tc>
          <w:tcPr>
            <w:tcW w:w="3133" w:type="dxa"/>
            <w:gridSpan w:val="4"/>
            <w:vMerge w:val="restart"/>
            <w:shd w:val="clear" w:color="auto" w:fill="D9E2F3"/>
            <w:vAlign w:val="center"/>
          </w:tcPr>
          <w:p w14:paraId="38631877" w14:textId="77777777" w:rsidR="00990B14" w:rsidRDefault="00000000">
            <w:pPr>
              <w:spacing w:before="20" w:after="20"/>
              <w:jc w:val="both"/>
            </w:pPr>
            <w:r>
              <w:rPr>
                <w:sz w:val="18"/>
                <w:szCs w:val="18"/>
              </w:rPr>
              <w:t>1. Calcula integrales indefinidas y definidas, aplicando los métodos de integración y el teorema fundamental del cálculo a problemas de la economía y de las finanzas.</w:t>
            </w:r>
          </w:p>
        </w:tc>
        <w:tc>
          <w:tcPr>
            <w:tcW w:w="3135" w:type="dxa"/>
            <w:gridSpan w:val="5"/>
            <w:shd w:val="clear" w:color="auto" w:fill="D9E2F3"/>
            <w:vAlign w:val="center"/>
          </w:tcPr>
          <w:p w14:paraId="4CAE6545" w14:textId="77777777" w:rsidR="00990B14" w:rsidRDefault="00000000">
            <w:pPr>
              <w:spacing w:before="20" w:after="20"/>
              <w:jc w:val="both"/>
            </w:pPr>
            <w:r>
              <w:rPr>
                <w:sz w:val="18"/>
                <w:szCs w:val="18"/>
              </w:rPr>
              <w:t>1.1 Integra en aula funciones diversas aplicando los métodos de sustitución y por partes.</w:t>
            </w:r>
          </w:p>
        </w:tc>
        <w:tc>
          <w:tcPr>
            <w:tcW w:w="3137" w:type="dxa"/>
            <w:gridSpan w:val="4"/>
            <w:shd w:val="clear" w:color="auto" w:fill="D9E2F3"/>
            <w:vAlign w:val="center"/>
          </w:tcPr>
          <w:p w14:paraId="596FF250" w14:textId="77777777" w:rsidR="00990B14" w:rsidRDefault="00000000">
            <w:pPr>
              <w:spacing w:before="20" w:after="20"/>
              <w:jc w:val="both"/>
            </w:pPr>
            <w:r>
              <w:rPr>
                <w:b/>
                <w:bCs/>
                <w:sz w:val="18"/>
                <w:szCs w:val="18"/>
              </w:rPr>
              <w:t xml:space="preserve">Producto 13: </w:t>
            </w:r>
            <w:r>
              <w:rPr>
                <w:sz w:val="18"/>
                <w:szCs w:val="18"/>
              </w:rPr>
              <w:t>Práctico de cálculo de integrales indefinidas y definidas.</w:t>
            </w:r>
          </w:p>
        </w:tc>
      </w:tr>
      <w:tr w:rsidR="00990B14" w14:paraId="3701B54C" w14:textId="77777777">
        <w:trPr>
          <w:cantSplit/>
          <w:jc w:val="center"/>
        </w:trPr>
        <w:tc>
          <w:tcPr>
            <w:tcW w:w="3133" w:type="dxa"/>
            <w:gridSpan w:val="4"/>
            <w:vMerge/>
            <w:shd w:val="clear" w:color="auto" w:fill="D9E2F3"/>
            <w:vAlign w:val="center"/>
          </w:tcPr>
          <w:p w14:paraId="12C9CA17" w14:textId="77777777" w:rsidR="00990B14" w:rsidRDefault="00990B14">
            <w:pPr>
              <w:spacing w:before="20" w:after="20"/>
            </w:pPr>
          </w:p>
        </w:tc>
        <w:tc>
          <w:tcPr>
            <w:tcW w:w="3135" w:type="dxa"/>
            <w:gridSpan w:val="5"/>
            <w:shd w:val="clear" w:color="auto" w:fill="D9E2F3"/>
            <w:vAlign w:val="center"/>
          </w:tcPr>
          <w:p w14:paraId="625A8189" w14:textId="77777777" w:rsidR="00990B14" w:rsidRDefault="00000000">
            <w:pPr>
              <w:spacing w:before="20" w:after="20"/>
              <w:jc w:val="both"/>
            </w:pPr>
            <w:r>
              <w:rPr>
                <w:sz w:val="18"/>
                <w:szCs w:val="18"/>
              </w:rPr>
              <w:t>1.2 Calcula en equipo el área bajo la curva de ingreso marginal y el ingreso total acumulado de un periodo.</w:t>
            </w:r>
          </w:p>
        </w:tc>
        <w:tc>
          <w:tcPr>
            <w:tcW w:w="3137" w:type="dxa"/>
            <w:gridSpan w:val="4"/>
            <w:shd w:val="clear" w:color="auto" w:fill="D9E2F3"/>
            <w:vAlign w:val="center"/>
          </w:tcPr>
          <w:p w14:paraId="452852EA" w14:textId="77777777" w:rsidR="00990B14" w:rsidRDefault="00000000">
            <w:pPr>
              <w:spacing w:before="20" w:after="20"/>
              <w:jc w:val="both"/>
            </w:pPr>
            <w:r>
              <w:rPr>
                <w:b/>
                <w:bCs/>
                <w:sz w:val="18"/>
                <w:szCs w:val="18"/>
              </w:rPr>
              <w:t xml:space="preserve">Producto 14: </w:t>
            </w:r>
            <w:r>
              <w:rPr>
                <w:sz w:val="18"/>
                <w:szCs w:val="18"/>
              </w:rPr>
              <w:t>Informe de aplicación económica de la integral definida con el cálculo de áreas.</w:t>
            </w:r>
          </w:p>
        </w:tc>
      </w:tr>
      <w:tr w:rsidR="00990B14" w14:paraId="3FE14F13" w14:textId="77777777">
        <w:trPr>
          <w:cantSplit/>
          <w:jc w:val="center"/>
        </w:trPr>
        <w:tc>
          <w:tcPr>
            <w:tcW w:w="3133" w:type="dxa"/>
            <w:gridSpan w:val="4"/>
            <w:vMerge w:val="restart"/>
            <w:shd w:val="clear" w:color="auto" w:fill="D9E2F3"/>
            <w:vAlign w:val="center"/>
          </w:tcPr>
          <w:p w14:paraId="5794F9BA" w14:textId="77777777" w:rsidR="00990B14" w:rsidRDefault="00000000">
            <w:pPr>
              <w:spacing w:before="20" w:after="20"/>
              <w:jc w:val="both"/>
            </w:pPr>
            <w:r>
              <w:rPr>
                <w:sz w:val="18"/>
                <w:szCs w:val="18"/>
              </w:rPr>
              <w:t>2. Optimiza funciones de varias variables sujetas a restricciones, aplicando las derivadas parciales, la regla de la cadena y el multiplicador de Lagrange.</w:t>
            </w:r>
          </w:p>
        </w:tc>
        <w:tc>
          <w:tcPr>
            <w:tcW w:w="3135" w:type="dxa"/>
            <w:gridSpan w:val="5"/>
            <w:shd w:val="clear" w:color="auto" w:fill="D9E2F3"/>
            <w:vAlign w:val="center"/>
          </w:tcPr>
          <w:p w14:paraId="093D3B9A" w14:textId="77777777" w:rsidR="00990B14" w:rsidRDefault="00000000">
            <w:pPr>
              <w:spacing w:before="20" w:after="20"/>
              <w:jc w:val="both"/>
            </w:pPr>
            <w:r>
              <w:rPr>
                <w:sz w:val="18"/>
                <w:szCs w:val="18"/>
              </w:rPr>
              <w:t>2.1 Calcula en aula las derivadas parciales de primer y segundo orden y la diferencial total de una función de producción.</w:t>
            </w:r>
          </w:p>
        </w:tc>
        <w:tc>
          <w:tcPr>
            <w:tcW w:w="3137" w:type="dxa"/>
            <w:gridSpan w:val="4"/>
            <w:shd w:val="clear" w:color="auto" w:fill="D9E2F3"/>
            <w:vAlign w:val="center"/>
          </w:tcPr>
          <w:p w14:paraId="0D242D0F" w14:textId="77777777" w:rsidR="00990B14" w:rsidRDefault="00000000">
            <w:pPr>
              <w:spacing w:before="20" w:after="20"/>
              <w:jc w:val="both"/>
            </w:pPr>
            <w:r>
              <w:rPr>
                <w:b/>
                <w:bCs/>
                <w:sz w:val="18"/>
                <w:szCs w:val="18"/>
              </w:rPr>
              <w:t xml:space="preserve">Producto 15: </w:t>
            </w:r>
            <w:r>
              <w:rPr>
                <w:sz w:val="18"/>
                <w:szCs w:val="18"/>
              </w:rPr>
              <w:t>Práctico de derivadas parciales y de diferencial total.</w:t>
            </w:r>
          </w:p>
        </w:tc>
      </w:tr>
      <w:tr w:rsidR="00990B14" w14:paraId="2F52FBAF" w14:textId="77777777">
        <w:trPr>
          <w:cantSplit/>
          <w:jc w:val="center"/>
        </w:trPr>
        <w:tc>
          <w:tcPr>
            <w:tcW w:w="3133" w:type="dxa"/>
            <w:gridSpan w:val="4"/>
            <w:vMerge/>
            <w:shd w:val="clear" w:color="auto" w:fill="D9E2F3"/>
            <w:vAlign w:val="center"/>
          </w:tcPr>
          <w:p w14:paraId="41A34F57" w14:textId="77777777" w:rsidR="00990B14" w:rsidRDefault="00990B14">
            <w:pPr>
              <w:spacing w:before="20" w:after="20"/>
            </w:pPr>
          </w:p>
        </w:tc>
        <w:tc>
          <w:tcPr>
            <w:tcW w:w="3135" w:type="dxa"/>
            <w:gridSpan w:val="5"/>
            <w:shd w:val="clear" w:color="auto" w:fill="D9E2F3"/>
            <w:vAlign w:val="center"/>
          </w:tcPr>
          <w:p w14:paraId="3127825D" w14:textId="77777777" w:rsidR="00990B14" w:rsidRDefault="00000000">
            <w:pPr>
              <w:spacing w:before="20" w:after="20"/>
              <w:jc w:val="both"/>
            </w:pPr>
            <w:r>
              <w:rPr>
                <w:sz w:val="18"/>
                <w:szCs w:val="18"/>
              </w:rPr>
              <w:t>2.2 Resuelve en el laboratorio de cómputo un problema de producción sujeto a un presupuesto con el multiplicador de Lagrange y verifica el resultado en hoja de cálculo.</w:t>
            </w:r>
          </w:p>
        </w:tc>
        <w:tc>
          <w:tcPr>
            <w:tcW w:w="3137" w:type="dxa"/>
            <w:gridSpan w:val="4"/>
            <w:shd w:val="clear" w:color="auto" w:fill="D9E2F3"/>
            <w:vAlign w:val="center"/>
          </w:tcPr>
          <w:p w14:paraId="53C107BF" w14:textId="77777777" w:rsidR="00990B14" w:rsidRDefault="00000000">
            <w:pPr>
              <w:spacing w:before="20" w:after="20"/>
              <w:jc w:val="both"/>
            </w:pPr>
            <w:r>
              <w:rPr>
                <w:b/>
                <w:bCs/>
                <w:sz w:val="18"/>
                <w:szCs w:val="18"/>
              </w:rPr>
              <w:t xml:space="preserve">Producto 16: </w:t>
            </w:r>
            <w:r>
              <w:rPr>
                <w:sz w:val="18"/>
                <w:szCs w:val="18"/>
              </w:rPr>
              <w:t>Informe técnico con la resolución de un problema de optimización con el multiplicador de Lagrange.</w:t>
            </w:r>
          </w:p>
        </w:tc>
      </w:tr>
      <w:tr w:rsidR="00990B14" w14:paraId="760C88E0" w14:textId="77777777">
        <w:trPr>
          <w:cantSplit/>
          <w:jc w:val="center"/>
        </w:trPr>
        <w:tc>
          <w:tcPr>
            <w:tcW w:w="9405" w:type="dxa"/>
            <w:gridSpan w:val="13"/>
            <w:shd w:val="clear" w:color="auto" w:fill="4472C4"/>
            <w:vAlign w:val="center"/>
          </w:tcPr>
          <w:p w14:paraId="1D8E457D" w14:textId="77777777" w:rsidR="00990B14" w:rsidRDefault="00000000">
            <w:pPr>
              <w:keepNext/>
              <w:spacing w:before="20" w:after="20"/>
              <w:jc w:val="center"/>
            </w:pPr>
            <w:r>
              <w:rPr>
                <w:b/>
                <w:bCs/>
                <w:i/>
                <w:iCs/>
                <w:color w:val="FFFFFF"/>
                <w:sz w:val="18"/>
                <w:szCs w:val="18"/>
              </w:rPr>
              <w:t>Evidencias de conocimiento</w:t>
            </w:r>
          </w:p>
        </w:tc>
      </w:tr>
      <w:tr w:rsidR="00990B14" w14:paraId="5AAB0B56" w14:textId="77777777">
        <w:trPr>
          <w:cantSplit/>
          <w:jc w:val="center"/>
        </w:trPr>
        <w:tc>
          <w:tcPr>
            <w:tcW w:w="2349" w:type="dxa"/>
            <w:gridSpan w:val="2"/>
            <w:shd w:val="clear" w:color="auto" w:fill="4472C4"/>
            <w:vAlign w:val="center"/>
          </w:tcPr>
          <w:p w14:paraId="59EBE99E"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4A6E3022" w14:textId="77777777" w:rsidR="00990B14" w:rsidRDefault="00000000">
            <w:pPr>
              <w:keepNext/>
              <w:spacing w:before="20" w:after="20"/>
              <w:jc w:val="both"/>
            </w:pPr>
            <w:r>
              <w:rPr>
                <w:b/>
                <w:bCs/>
                <w:i/>
                <w:iCs/>
                <w:color w:val="FFFFFF"/>
                <w:sz w:val="18"/>
                <w:szCs w:val="18"/>
              </w:rPr>
              <w:t>Contenidos</w:t>
            </w:r>
          </w:p>
          <w:p w14:paraId="00396B1C"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35CED415" w14:textId="77777777" w:rsidR="00990B14" w:rsidRDefault="00000000">
            <w:pPr>
              <w:keepNext/>
              <w:spacing w:before="20" w:after="20"/>
              <w:jc w:val="center"/>
            </w:pPr>
            <w:r>
              <w:rPr>
                <w:b/>
                <w:bCs/>
                <w:i/>
                <w:iCs/>
                <w:color w:val="FFFFFF"/>
                <w:sz w:val="18"/>
                <w:szCs w:val="18"/>
              </w:rPr>
              <w:t>Conocimientos circunstanciales</w:t>
            </w:r>
          </w:p>
        </w:tc>
      </w:tr>
      <w:tr w:rsidR="00990B14" w14:paraId="6F2673A3" w14:textId="77777777">
        <w:trPr>
          <w:jc w:val="center"/>
        </w:trPr>
        <w:tc>
          <w:tcPr>
            <w:tcW w:w="2349" w:type="dxa"/>
            <w:gridSpan w:val="2"/>
            <w:shd w:val="clear" w:color="auto" w:fill="D9E2F3"/>
          </w:tcPr>
          <w:p w14:paraId="6EDEC512" w14:textId="77777777" w:rsidR="00990B14" w:rsidRDefault="00000000">
            <w:pPr>
              <w:spacing w:before="20" w:after="40"/>
              <w:jc w:val="both"/>
            </w:pPr>
            <w:r>
              <w:rPr>
                <w:sz w:val="18"/>
                <w:szCs w:val="18"/>
              </w:rPr>
              <w:t>Tema 6: La Integral Indefinida</w:t>
            </w:r>
          </w:p>
          <w:p w14:paraId="733B33C7" w14:textId="77777777" w:rsidR="00990B14" w:rsidRDefault="00000000">
            <w:pPr>
              <w:spacing w:before="20" w:after="40"/>
              <w:jc w:val="both"/>
            </w:pPr>
            <w:r>
              <w:rPr>
                <w:sz w:val="18"/>
                <w:szCs w:val="18"/>
              </w:rPr>
              <w:t>Tema 7: La Integral Definida</w:t>
            </w:r>
          </w:p>
          <w:p w14:paraId="413E5D64" w14:textId="77777777" w:rsidR="00990B14" w:rsidRDefault="00000000">
            <w:pPr>
              <w:spacing w:before="20" w:after="40"/>
              <w:jc w:val="both"/>
            </w:pPr>
            <w:r>
              <w:rPr>
                <w:sz w:val="18"/>
                <w:szCs w:val="18"/>
              </w:rPr>
              <w:t>Tema 8: Derivada Parcial</w:t>
            </w:r>
          </w:p>
        </w:tc>
        <w:tc>
          <w:tcPr>
            <w:tcW w:w="4304" w:type="dxa"/>
            <w:gridSpan w:val="8"/>
            <w:shd w:val="clear" w:color="auto" w:fill="D9E2F3"/>
          </w:tcPr>
          <w:p w14:paraId="1091A829" w14:textId="77777777" w:rsidR="00990B14" w:rsidRDefault="00000000">
            <w:pPr>
              <w:spacing w:after="40"/>
              <w:jc w:val="both"/>
            </w:pPr>
            <w:r>
              <w:rPr>
                <w:sz w:val="18"/>
                <w:szCs w:val="18"/>
              </w:rPr>
              <w:t>Introducción a la integral indefinida y fórmulas de integración. (C)</w:t>
            </w:r>
          </w:p>
          <w:p w14:paraId="3EECF6C6" w14:textId="77777777" w:rsidR="00990B14" w:rsidRDefault="00000000">
            <w:pPr>
              <w:spacing w:after="40"/>
              <w:jc w:val="both"/>
            </w:pPr>
            <w:r>
              <w:rPr>
                <w:sz w:val="18"/>
                <w:szCs w:val="18"/>
              </w:rPr>
              <w:t>Integración de funciones diversas: métodos de integración, con ejercicios de aplicación. (P)</w:t>
            </w:r>
          </w:p>
          <w:p w14:paraId="23C3E784" w14:textId="77777777" w:rsidR="00990B14" w:rsidRDefault="00000000">
            <w:pPr>
              <w:spacing w:after="40"/>
              <w:jc w:val="both"/>
            </w:pPr>
            <w:r>
              <w:rPr>
                <w:sz w:val="18"/>
                <w:szCs w:val="18"/>
              </w:rPr>
              <w:t>Integral definida: definición, propiedades y teorema fundamental del cálculo integral. (C, P)</w:t>
            </w:r>
          </w:p>
          <w:p w14:paraId="2D9587C6" w14:textId="77777777" w:rsidR="00990B14" w:rsidRDefault="00000000">
            <w:pPr>
              <w:spacing w:after="40"/>
              <w:jc w:val="both"/>
            </w:pPr>
            <w:r>
              <w:rPr>
                <w:sz w:val="18"/>
                <w:szCs w:val="18"/>
              </w:rPr>
              <w:t>Cálculo de áreas e integral de funciones impropias. (P)</w:t>
            </w:r>
          </w:p>
          <w:p w14:paraId="5C868215" w14:textId="77777777" w:rsidR="00990B14" w:rsidRDefault="00000000">
            <w:pPr>
              <w:spacing w:after="40"/>
              <w:jc w:val="both"/>
            </w:pPr>
            <w:r>
              <w:rPr>
                <w:sz w:val="18"/>
                <w:szCs w:val="18"/>
              </w:rPr>
              <w:t>Aplicaciones de la integral definida a la economía y a las ciencias financieras, con problemas de aplicación. (P)</w:t>
            </w:r>
          </w:p>
          <w:p w14:paraId="2F394096" w14:textId="77777777" w:rsidR="00990B14" w:rsidRDefault="00000000">
            <w:pPr>
              <w:spacing w:after="40"/>
              <w:jc w:val="both"/>
            </w:pPr>
            <w:r>
              <w:rPr>
                <w:sz w:val="18"/>
                <w:szCs w:val="18"/>
              </w:rPr>
              <w:t>Derivada parcial de primer orden y de orden superior, y la diferencial total. (C)</w:t>
            </w:r>
          </w:p>
          <w:p w14:paraId="426F95FB" w14:textId="77777777" w:rsidR="00990B14" w:rsidRDefault="00000000">
            <w:pPr>
              <w:spacing w:after="40"/>
              <w:jc w:val="both"/>
            </w:pPr>
            <w:r>
              <w:rPr>
                <w:sz w:val="18"/>
                <w:szCs w:val="18"/>
              </w:rPr>
              <w:t>Funciones compuestas y regla de la cadena. (C)</w:t>
            </w:r>
          </w:p>
          <w:p w14:paraId="4DD98FB4" w14:textId="77777777" w:rsidR="00990B14" w:rsidRDefault="00000000">
            <w:pPr>
              <w:spacing w:after="40"/>
              <w:jc w:val="both"/>
            </w:pPr>
            <w:r>
              <w:rPr>
                <w:sz w:val="18"/>
                <w:szCs w:val="18"/>
              </w:rPr>
              <w:t>Optimización con el multiplicador de Lagrange, con aplicaciones a las ciencias económicas y financieras y problemas de aplicación. (P)</w:t>
            </w:r>
          </w:p>
          <w:p w14:paraId="2E6ADE35" w14:textId="77777777" w:rsidR="00990B14" w:rsidRDefault="00000000">
            <w:pPr>
              <w:spacing w:after="40"/>
              <w:jc w:val="both"/>
            </w:pPr>
            <w:r>
              <w:rPr>
                <w:sz w:val="18"/>
                <w:szCs w:val="18"/>
              </w:rPr>
              <w:t>Interpretación de resultados, supuestos y límites de los modelos matemáticos, con integridad en su reporte. (C, A)</w:t>
            </w:r>
          </w:p>
        </w:tc>
        <w:tc>
          <w:tcPr>
            <w:tcW w:w="2752" w:type="dxa"/>
            <w:gridSpan w:val="3"/>
            <w:shd w:val="clear" w:color="auto" w:fill="D9E2F3"/>
          </w:tcPr>
          <w:p w14:paraId="54DB6DB8" w14:textId="77777777" w:rsidR="00990B14" w:rsidRDefault="00000000">
            <w:pPr>
              <w:numPr>
                <w:ilvl w:val="0"/>
                <w:numId w:val="139"/>
              </w:numPr>
              <w:spacing w:before="10" w:after="10"/>
              <w:jc w:val="both"/>
            </w:pPr>
            <w:r>
              <w:rPr>
                <w:sz w:val="18"/>
                <w:szCs w:val="18"/>
              </w:rPr>
              <w:t>Noción de sumas de Riemann como aproximación del área bajo una curva.</w:t>
            </w:r>
          </w:p>
          <w:p w14:paraId="010D1D37" w14:textId="77777777" w:rsidR="00990B14" w:rsidRDefault="00000000">
            <w:pPr>
              <w:numPr>
                <w:ilvl w:val="0"/>
                <w:numId w:val="139"/>
              </w:numPr>
              <w:spacing w:before="10" w:after="10"/>
              <w:jc w:val="both"/>
            </w:pPr>
            <w:r>
              <w:rPr>
                <w:sz w:val="18"/>
                <w:szCs w:val="18"/>
              </w:rPr>
              <w:t>Representación de superficies y curvas de nivel de funciones de dos variables.</w:t>
            </w:r>
          </w:p>
        </w:tc>
      </w:tr>
    </w:tbl>
    <w:p w14:paraId="312F17F2"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737"/>
        <w:gridCol w:w="1654"/>
        <w:gridCol w:w="1821"/>
        <w:gridCol w:w="1654"/>
        <w:gridCol w:w="2539"/>
      </w:tblGrid>
      <w:tr w:rsidR="00990B14" w14:paraId="51A51163" w14:textId="77777777">
        <w:trPr>
          <w:cantSplit/>
          <w:jc w:val="center"/>
        </w:trPr>
        <w:tc>
          <w:tcPr>
            <w:tcW w:w="9405" w:type="dxa"/>
            <w:gridSpan w:val="5"/>
            <w:shd w:val="clear" w:color="auto" w:fill="4472C4"/>
            <w:vAlign w:val="center"/>
          </w:tcPr>
          <w:p w14:paraId="76B67B4C" w14:textId="77777777" w:rsidR="00990B14" w:rsidRDefault="00000000">
            <w:pPr>
              <w:keepNext/>
              <w:spacing w:before="20" w:after="20"/>
              <w:jc w:val="center"/>
            </w:pPr>
            <w:r>
              <w:rPr>
                <w:b/>
                <w:bCs/>
                <w:i/>
                <w:iCs/>
                <w:color w:val="FFFFFF"/>
                <w:sz w:val="18"/>
                <w:szCs w:val="18"/>
              </w:rPr>
              <w:t>Actividades</w:t>
            </w:r>
          </w:p>
        </w:tc>
      </w:tr>
      <w:tr w:rsidR="00990B14" w14:paraId="27C09BB3" w14:textId="77777777">
        <w:trPr>
          <w:cantSplit/>
          <w:jc w:val="center"/>
        </w:trPr>
        <w:tc>
          <w:tcPr>
            <w:tcW w:w="1737" w:type="dxa"/>
            <w:shd w:val="clear" w:color="auto" w:fill="4472C4"/>
            <w:vAlign w:val="center"/>
          </w:tcPr>
          <w:p w14:paraId="4498E9B1" w14:textId="77777777" w:rsidR="00990B14" w:rsidRDefault="00000000">
            <w:pPr>
              <w:keepNext/>
              <w:spacing w:before="20" w:after="20"/>
              <w:jc w:val="center"/>
            </w:pPr>
            <w:r>
              <w:rPr>
                <w:b/>
                <w:bCs/>
                <w:i/>
                <w:iCs/>
                <w:color w:val="FFFFFF"/>
                <w:sz w:val="18"/>
                <w:szCs w:val="18"/>
              </w:rPr>
              <w:t>En clase</w:t>
            </w:r>
          </w:p>
        </w:tc>
        <w:tc>
          <w:tcPr>
            <w:tcW w:w="1654" w:type="dxa"/>
            <w:shd w:val="clear" w:color="auto" w:fill="4472C4"/>
            <w:vAlign w:val="center"/>
          </w:tcPr>
          <w:p w14:paraId="394A0644" w14:textId="77777777" w:rsidR="00990B14" w:rsidRDefault="00000000">
            <w:pPr>
              <w:keepNext/>
              <w:spacing w:before="20" w:after="20"/>
              <w:jc w:val="center"/>
            </w:pPr>
            <w:r>
              <w:rPr>
                <w:b/>
                <w:bCs/>
                <w:i/>
                <w:iCs/>
                <w:color w:val="FFFFFF"/>
                <w:sz w:val="18"/>
                <w:szCs w:val="18"/>
              </w:rPr>
              <w:t>Autónomas</w:t>
            </w:r>
          </w:p>
        </w:tc>
        <w:tc>
          <w:tcPr>
            <w:tcW w:w="1821" w:type="dxa"/>
            <w:shd w:val="clear" w:color="auto" w:fill="4472C4"/>
            <w:vAlign w:val="center"/>
          </w:tcPr>
          <w:p w14:paraId="67DF25CF" w14:textId="77777777" w:rsidR="00990B14" w:rsidRDefault="00000000">
            <w:pPr>
              <w:keepNext/>
              <w:spacing w:before="20" w:after="20"/>
              <w:jc w:val="center"/>
            </w:pPr>
            <w:r>
              <w:rPr>
                <w:b/>
                <w:bCs/>
                <w:i/>
                <w:iCs/>
                <w:color w:val="FFFFFF"/>
                <w:sz w:val="18"/>
                <w:szCs w:val="18"/>
              </w:rPr>
              <w:t>B-Learning</w:t>
            </w:r>
          </w:p>
        </w:tc>
        <w:tc>
          <w:tcPr>
            <w:tcW w:w="1654" w:type="dxa"/>
            <w:shd w:val="clear" w:color="auto" w:fill="4472C4"/>
            <w:vAlign w:val="center"/>
          </w:tcPr>
          <w:p w14:paraId="76BA5E7F" w14:textId="77777777" w:rsidR="00990B14" w:rsidRDefault="00000000">
            <w:pPr>
              <w:keepNext/>
              <w:spacing w:before="20" w:after="20"/>
              <w:jc w:val="center"/>
            </w:pPr>
            <w:r>
              <w:rPr>
                <w:b/>
                <w:bCs/>
                <w:i/>
                <w:iCs/>
                <w:color w:val="FFFFFF"/>
                <w:sz w:val="18"/>
                <w:szCs w:val="18"/>
              </w:rPr>
              <w:t>Taller</w:t>
            </w:r>
          </w:p>
        </w:tc>
        <w:tc>
          <w:tcPr>
            <w:tcW w:w="2539" w:type="dxa"/>
            <w:shd w:val="clear" w:color="auto" w:fill="4472C4"/>
            <w:vAlign w:val="center"/>
          </w:tcPr>
          <w:p w14:paraId="66C82858" w14:textId="77777777" w:rsidR="00990B14" w:rsidRDefault="00000000">
            <w:pPr>
              <w:keepNext/>
              <w:spacing w:before="20" w:after="20"/>
              <w:jc w:val="center"/>
            </w:pPr>
            <w:r>
              <w:rPr>
                <w:b/>
                <w:bCs/>
                <w:i/>
                <w:iCs/>
                <w:color w:val="FFFFFF"/>
                <w:sz w:val="18"/>
                <w:szCs w:val="18"/>
              </w:rPr>
              <w:t>Investigación/Práctica</w:t>
            </w:r>
          </w:p>
        </w:tc>
      </w:tr>
      <w:tr w:rsidR="00990B14" w14:paraId="731C08F1" w14:textId="77777777">
        <w:trPr>
          <w:jc w:val="center"/>
        </w:trPr>
        <w:tc>
          <w:tcPr>
            <w:tcW w:w="1737" w:type="dxa"/>
            <w:shd w:val="clear" w:color="auto" w:fill="D9E2F3"/>
          </w:tcPr>
          <w:p w14:paraId="2321F2CD" w14:textId="77777777" w:rsidR="00990B14" w:rsidRDefault="00000000">
            <w:pPr>
              <w:numPr>
                <w:ilvl w:val="0"/>
                <w:numId w:val="139"/>
              </w:numPr>
              <w:spacing w:before="10" w:after="10"/>
              <w:jc w:val="both"/>
            </w:pPr>
            <w:r>
              <w:rPr>
                <w:sz w:val="18"/>
                <w:szCs w:val="18"/>
              </w:rPr>
              <w:t>Exposición dialogada de los conceptos de función, límite, derivada e integral con ejemplos económicos.</w:t>
            </w:r>
          </w:p>
          <w:p w14:paraId="686C74F7" w14:textId="77777777" w:rsidR="00990B14" w:rsidRDefault="00000000">
            <w:pPr>
              <w:numPr>
                <w:ilvl w:val="0"/>
                <w:numId w:val="139"/>
              </w:numPr>
              <w:spacing w:before="10" w:after="10"/>
              <w:jc w:val="both"/>
            </w:pPr>
            <w:r>
              <w:rPr>
                <w:sz w:val="18"/>
                <w:szCs w:val="18"/>
              </w:rPr>
              <w:t>Resolución guiada en la pizarra de ecuaciones, límites, derivadas e integrales.</w:t>
            </w:r>
          </w:p>
          <w:p w14:paraId="23D02769" w14:textId="77777777" w:rsidR="00990B14" w:rsidRDefault="00000000">
            <w:pPr>
              <w:numPr>
                <w:ilvl w:val="0"/>
                <w:numId w:val="139"/>
              </w:numPr>
              <w:spacing w:before="10" w:after="10"/>
              <w:jc w:val="both"/>
            </w:pPr>
            <w:r>
              <w:rPr>
                <w:sz w:val="18"/>
                <w:szCs w:val="18"/>
              </w:rPr>
              <w:t>Demostración en software de graficación del comportamiento de una función y de su derivada.</w:t>
            </w:r>
          </w:p>
          <w:p w14:paraId="0384AE68" w14:textId="77777777" w:rsidR="00990B14" w:rsidRDefault="00000000">
            <w:pPr>
              <w:numPr>
                <w:ilvl w:val="0"/>
                <w:numId w:val="139"/>
              </w:numPr>
              <w:spacing w:before="10" w:after="10"/>
              <w:jc w:val="both"/>
            </w:pPr>
            <w:r>
              <w:rPr>
                <w:sz w:val="18"/>
                <w:szCs w:val="18"/>
              </w:rPr>
              <w:t>Análisis de problemas de optimización de costos, ingresos y beneficios de empresas bolivianas.</w:t>
            </w:r>
          </w:p>
          <w:p w14:paraId="1423754B" w14:textId="77777777" w:rsidR="00990B14" w:rsidRDefault="00000000">
            <w:pPr>
              <w:numPr>
                <w:ilvl w:val="0"/>
                <w:numId w:val="139"/>
              </w:numPr>
              <w:spacing w:before="10" w:after="10"/>
              <w:jc w:val="both"/>
            </w:pPr>
            <w:r>
              <w:rPr>
                <w:sz w:val="18"/>
                <w:szCs w:val="18"/>
              </w:rPr>
              <w:t>Preguntas de comprensión sobre la interpretación económica de los resultados.</w:t>
            </w:r>
          </w:p>
        </w:tc>
        <w:tc>
          <w:tcPr>
            <w:tcW w:w="1654" w:type="dxa"/>
            <w:shd w:val="clear" w:color="auto" w:fill="D9E2F3"/>
          </w:tcPr>
          <w:p w14:paraId="2F5789DA" w14:textId="77777777" w:rsidR="00990B14" w:rsidRDefault="00000000">
            <w:pPr>
              <w:numPr>
                <w:ilvl w:val="0"/>
                <w:numId w:val="139"/>
              </w:numPr>
              <w:spacing w:before="10" w:after="10"/>
              <w:jc w:val="both"/>
            </w:pPr>
            <w:r>
              <w:rPr>
                <w:sz w:val="18"/>
                <w:szCs w:val="18"/>
              </w:rPr>
              <w:t>Resolución de ejercicios de ecuaciones, límites, derivadas e integrales al cierre de cada tema.</w:t>
            </w:r>
          </w:p>
          <w:p w14:paraId="4C502E3C" w14:textId="77777777" w:rsidR="00990B14" w:rsidRDefault="00000000">
            <w:pPr>
              <w:numPr>
                <w:ilvl w:val="0"/>
                <w:numId w:val="139"/>
              </w:numPr>
              <w:spacing w:before="10" w:after="10"/>
              <w:jc w:val="both"/>
            </w:pPr>
            <w:r>
              <w:rPr>
                <w:sz w:val="18"/>
                <w:szCs w:val="18"/>
              </w:rPr>
              <w:t>Lectura de los solucionarios de límites, derivadas e integrales.</w:t>
            </w:r>
          </w:p>
          <w:p w14:paraId="3B0A9CEC" w14:textId="77777777" w:rsidR="00990B14" w:rsidRDefault="00000000">
            <w:pPr>
              <w:numPr>
                <w:ilvl w:val="0"/>
                <w:numId w:val="139"/>
              </w:numPr>
              <w:spacing w:before="10" w:after="10"/>
              <w:jc w:val="both"/>
            </w:pPr>
            <w:r>
              <w:rPr>
                <w:sz w:val="18"/>
                <w:szCs w:val="18"/>
              </w:rPr>
              <w:t>Elaboración progresiva de un problema integrador de optimización económica.</w:t>
            </w:r>
          </w:p>
        </w:tc>
        <w:tc>
          <w:tcPr>
            <w:tcW w:w="1821" w:type="dxa"/>
            <w:shd w:val="clear" w:color="auto" w:fill="D9E2F3"/>
          </w:tcPr>
          <w:p w14:paraId="2132DD82" w14:textId="77777777" w:rsidR="00990B14" w:rsidRDefault="00000000">
            <w:pPr>
              <w:numPr>
                <w:ilvl w:val="0"/>
                <w:numId w:val="139"/>
              </w:numPr>
              <w:spacing w:before="10" w:after="10"/>
              <w:jc w:val="both"/>
            </w:pPr>
            <w:r>
              <w:rPr>
                <w:sz w:val="18"/>
                <w:szCs w:val="18"/>
              </w:rPr>
              <w:t>Cuestionarios de comprensión sobre funciones, límites, derivadas e integrales en la plataforma Moodle UMSA.</w:t>
            </w:r>
          </w:p>
          <w:p w14:paraId="37687A8D" w14:textId="77777777" w:rsidR="00990B14" w:rsidRDefault="00000000">
            <w:pPr>
              <w:numPr>
                <w:ilvl w:val="0"/>
                <w:numId w:val="139"/>
              </w:numPr>
              <w:spacing w:before="10" w:after="10"/>
              <w:jc w:val="both"/>
            </w:pPr>
            <w:r>
              <w:rPr>
                <w:sz w:val="18"/>
                <w:szCs w:val="18"/>
              </w:rPr>
              <w:t>Foros de consulta sobre la resolución de problemas de aplicación económica.</w:t>
            </w:r>
          </w:p>
          <w:p w14:paraId="3E324126" w14:textId="77777777" w:rsidR="00990B14" w:rsidRDefault="00000000">
            <w:pPr>
              <w:numPr>
                <w:ilvl w:val="0"/>
                <w:numId w:val="139"/>
              </w:numPr>
              <w:spacing w:before="10" w:after="10"/>
              <w:jc w:val="both"/>
            </w:pPr>
            <w:r>
              <w:rPr>
                <w:sz w:val="18"/>
                <w:szCs w:val="18"/>
              </w:rPr>
              <w:t>Videotutoriales de graficación de funciones en software y hoja de cálculo, y de cálculo de derivadas e integrales.</w:t>
            </w:r>
          </w:p>
        </w:tc>
        <w:tc>
          <w:tcPr>
            <w:tcW w:w="1654" w:type="dxa"/>
            <w:shd w:val="clear" w:color="auto" w:fill="D9E2F3"/>
          </w:tcPr>
          <w:p w14:paraId="28FA250D" w14:textId="77777777" w:rsidR="00990B14" w:rsidRDefault="00000000">
            <w:pPr>
              <w:numPr>
                <w:ilvl w:val="0"/>
                <w:numId w:val="139"/>
              </w:numPr>
              <w:spacing w:before="10" w:after="10"/>
              <w:jc w:val="both"/>
            </w:pPr>
            <w:r>
              <w:rPr>
                <w:sz w:val="18"/>
                <w:szCs w:val="18"/>
              </w:rPr>
              <w:t>Resolución colaborativa de sistemas de ecuaciones y de problemas de optimización.</w:t>
            </w:r>
          </w:p>
          <w:p w14:paraId="1F6C19D3" w14:textId="77777777" w:rsidR="00990B14" w:rsidRDefault="00000000">
            <w:pPr>
              <w:numPr>
                <w:ilvl w:val="0"/>
                <w:numId w:val="139"/>
              </w:numPr>
              <w:spacing w:before="10" w:after="10"/>
              <w:jc w:val="both"/>
            </w:pPr>
            <w:r>
              <w:rPr>
                <w:sz w:val="18"/>
                <w:szCs w:val="18"/>
              </w:rPr>
              <w:t>Elaboración guiada de un modelo de oferta y demanda en hoja de cálculo, con precio y cantidad de equilibrio.</w:t>
            </w:r>
          </w:p>
          <w:p w14:paraId="11276CAD" w14:textId="77777777" w:rsidR="00990B14" w:rsidRDefault="00000000">
            <w:pPr>
              <w:numPr>
                <w:ilvl w:val="0"/>
                <w:numId w:val="139"/>
              </w:numPr>
              <w:spacing w:before="10" w:after="10"/>
              <w:jc w:val="both"/>
            </w:pPr>
            <w:r>
              <w:rPr>
                <w:sz w:val="18"/>
                <w:szCs w:val="18"/>
              </w:rPr>
              <w:t>Resolución en equipo de un problema de optimización con el multiplicador de Lagrange.</w:t>
            </w:r>
          </w:p>
        </w:tc>
        <w:tc>
          <w:tcPr>
            <w:tcW w:w="2539" w:type="dxa"/>
            <w:shd w:val="clear" w:color="auto" w:fill="D9E2F3"/>
          </w:tcPr>
          <w:p w14:paraId="3080E517" w14:textId="77777777" w:rsidR="00990B14" w:rsidRDefault="00000000">
            <w:pPr>
              <w:numPr>
                <w:ilvl w:val="0"/>
                <w:numId w:val="139"/>
              </w:numPr>
              <w:spacing w:before="10" w:after="10"/>
              <w:jc w:val="both"/>
            </w:pPr>
            <w:r>
              <w:rPr>
                <w:sz w:val="18"/>
                <w:szCs w:val="18"/>
              </w:rPr>
              <w:t>Investigación sobre la aplicación de la derivada a la elasticidad de la demanda de un bien boliviano.</w:t>
            </w:r>
          </w:p>
          <w:p w14:paraId="5BE17EB1" w14:textId="77777777" w:rsidR="00990B14" w:rsidRDefault="00000000">
            <w:pPr>
              <w:numPr>
                <w:ilvl w:val="0"/>
                <w:numId w:val="139"/>
              </w:numPr>
              <w:spacing w:before="10" w:after="10"/>
              <w:jc w:val="both"/>
            </w:pPr>
            <w:r>
              <w:rPr>
                <w:sz w:val="18"/>
                <w:szCs w:val="18"/>
              </w:rPr>
              <w:t>Análisis de un caso de depreciación en línea recta de una empresa boliviana.</w:t>
            </w:r>
          </w:p>
          <w:p w14:paraId="74C6363F" w14:textId="77777777" w:rsidR="00990B14" w:rsidRDefault="00000000">
            <w:pPr>
              <w:numPr>
                <w:ilvl w:val="0"/>
                <w:numId w:val="139"/>
              </w:numPr>
              <w:spacing w:before="10" w:after="10"/>
              <w:jc w:val="both"/>
            </w:pPr>
            <w:r>
              <w:rPr>
                <w:sz w:val="18"/>
                <w:szCs w:val="18"/>
              </w:rPr>
              <w:t>Comparación de métodos de integración aplicados a problemas de economía y finanzas.</w:t>
            </w:r>
          </w:p>
        </w:tc>
      </w:tr>
    </w:tbl>
    <w:p w14:paraId="159001B6"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555"/>
        <w:gridCol w:w="2015"/>
        <w:gridCol w:w="1910"/>
        <w:gridCol w:w="2015"/>
        <w:gridCol w:w="1910"/>
      </w:tblGrid>
      <w:tr w:rsidR="00990B14" w14:paraId="774FD888" w14:textId="77777777">
        <w:trPr>
          <w:jc w:val="center"/>
        </w:trPr>
        <w:tc>
          <w:tcPr>
            <w:tcW w:w="1555" w:type="dxa"/>
            <w:shd w:val="clear" w:color="auto" w:fill="4472C4"/>
            <w:vAlign w:val="center"/>
          </w:tcPr>
          <w:p w14:paraId="509E55D8" w14:textId="77777777" w:rsidR="00990B14" w:rsidRDefault="00000000">
            <w:pPr>
              <w:spacing w:before="20" w:after="20"/>
              <w:jc w:val="center"/>
            </w:pPr>
            <w:r>
              <w:rPr>
                <w:b/>
                <w:bCs/>
                <w:i/>
                <w:iCs/>
                <w:color w:val="FFFFFF"/>
                <w:sz w:val="18"/>
                <w:szCs w:val="18"/>
              </w:rPr>
              <w:t>Estrategias de aprendizaje y enseñanza</w:t>
            </w:r>
          </w:p>
        </w:tc>
        <w:tc>
          <w:tcPr>
            <w:tcW w:w="7850" w:type="dxa"/>
            <w:gridSpan w:val="4"/>
            <w:shd w:val="clear" w:color="auto" w:fill="D9E2F3"/>
            <w:vAlign w:val="center"/>
          </w:tcPr>
          <w:p w14:paraId="6550182F" w14:textId="77777777" w:rsidR="00990B14" w:rsidRDefault="00000000">
            <w:pPr>
              <w:numPr>
                <w:ilvl w:val="0"/>
                <w:numId w:val="140"/>
              </w:numPr>
              <w:spacing w:before="10" w:after="10"/>
              <w:jc w:val="both"/>
            </w:pPr>
            <w:r>
              <w:rPr>
                <w:sz w:val="18"/>
                <w:szCs w:val="18"/>
              </w:rPr>
              <w:t>Aprendizaje basado en problemas con casos económicos, financieros y contables.</w:t>
            </w:r>
          </w:p>
          <w:p w14:paraId="4CBC9F4F" w14:textId="77777777" w:rsidR="00990B14" w:rsidRDefault="00000000">
            <w:pPr>
              <w:numPr>
                <w:ilvl w:val="0"/>
                <w:numId w:val="140"/>
              </w:numPr>
              <w:spacing w:before="10" w:after="10"/>
              <w:jc w:val="both"/>
            </w:pPr>
            <w:r>
              <w:rPr>
                <w:sz w:val="18"/>
                <w:szCs w:val="18"/>
              </w:rPr>
              <w:t>Resolución guiada de ejercicios en orden de dificultad creciente, del álgebra al cálculo integral.</w:t>
            </w:r>
          </w:p>
          <w:p w14:paraId="7B388A8A" w14:textId="77777777" w:rsidR="00990B14" w:rsidRDefault="00000000">
            <w:pPr>
              <w:numPr>
                <w:ilvl w:val="0"/>
                <w:numId w:val="140"/>
              </w:numPr>
              <w:spacing w:before="10" w:after="10"/>
              <w:jc w:val="both"/>
            </w:pPr>
            <w:r>
              <w:rPr>
                <w:sz w:val="18"/>
                <w:szCs w:val="18"/>
              </w:rPr>
              <w:t>Proyecto integrador que recorre la resolución de ecuaciones, funciones, derivadas e integrales.</w:t>
            </w:r>
          </w:p>
          <w:p w14:paraId="4327BF1A" w14:textId="77777777" w:rsidR="00990B14" w:rsidRDefault="00000000">
            <w:pPr>
              <w:numPr>
                <w:ilvl w:val="0"/>
                <w:numId w:val="140"/>
              </w:numPr>
              <w:spacing w:before="10" w:after="10"/>
              <w:jc w:val="both"/>
            </w:pPr>
            <w:r>
              <w:rPr>
                <w:sz w:val="18"/>
                <w:szCs w:val="18"/>
              </w:rPr>
              <w:t>Estudio de casos de optimización de funciones de costo, ingreso y beneficio.</w:t>
            </w:r>
          </w:p>
          <w:p w14:paraId="66DB22BB" w14:textId="77777777" w:rsidR="00990B14" w:rsidRDefault="00000000">
            <w:pPr>
              <w:numPr>
                <w:ilvl w:val="0"/>
                <w:numId w:val="140"/>
              </w:numPr>
              <w:spacing w:before="10" w:after="10"/>
              <w:jc w:val="both"/>
            </w:pPr>
            <w:r>
              <w:rPr>
                <w:sz w:val="18"/>
                <w:szCs w:val="18"/>
              </w:rPr>
              <w:t>Trabajo colaborativo en equipos para la resolución de problemas de aplicación económica.</w:t>
            </w:r>
          </w:p>
          <w:p w14:paraId="7FD05B69" w14:textId="77777777" w:rsidR="00990B14" w:rsidRDefault="00000000">
            <w:pPr>
              <w:numPr>
                <w:ilvl w:val="0"/>
                <w:numId w:val="140"/>
              </w:numPr>
              <w:spacing w:before="10" w:after="10"/>
              <w:jc w:val="both"/>
            </w:pPr>
            <w:r>
              <w:rPr>
                <w:sz w:val="18"/>
                <w:szCs w:val="18"/>
              </w:rPr>
              <w:t>Clase invertida para las reglas y fórmulas de derivación e integración.</w:t>
            </w:r>
          </w:p>
        </w:tc>
      </w:tr>
      <w:tr w:rsidR="00990B14" w14:paraId="7D44A21F" w14:textId="77777777">
        <w:trPr>
          <w:jc w:val="center"/>
        </w:trPr>
        <w:tc>
          <w:tcPr>
            <w:tcW w:w="1555" w:type="dxa"/>
            <w:shd w:val="clear" w:color="auto" w:fill="4472C4"/>
            <w:vAlign w:val="center"/>
          </w:tcPr>
          <w:p w14:paraId="4D32D051" w14:textId="77777777" w:rsidR="00990B14" w:rsidRDefault="00000000">
            <w:pPr>
              <w:spacing w:before="20" w:after="20"/>
              <w:jc w:val="center"/>
            </w:pPr>
            <w:r>
              <w:rPr>
                <w:b/>
                <w:bCs/>
                <w:i/>
                <w:iCs/>
                <w:color w:val="FFFFFF"/>
                <w:sz w:val="18"/>
                <w:szCs w:val="18"/>
              </w:rPr>
              <w:t>Recursos para el aprendizaje</w:t>
            </w:r>
          </w:p>
        </w:tc>
        <w:tc>
          <w:tcPr>
            <w:tcW w:w="7850" w:type="dxa"/>
            <w:gridSpan w:val="4"/>
            <w:shd w:val="clear" w:color="auto" w:fill="D9E2F3"/>
            <w:vAlign w:val="center"/>
          </w:tcPr>
          <w:p w14:paraId="316E9775" w14:textId="77777777" w:rsidR="00990B14" w:rsidRDefault="00000000">
            <w:pPr>
              <w:numPr>
                <w:ilvl w:val="0"/>
                <w:numId w:val="140"/>
              </w:numPr>
              <w:spacing w:before="10" w:after="10"/>
              <w:jc w:val="both"/>
            </w:pPr>
            <w:r>
              <w:rPr>
                <w:sz w:val="18"/>
                <w:szCs w:val="18"/>
              </w:rPr>
              <w:t>Plataforma Moodle UMSA.</w:t>
            </w:r>
          </w:p>
          <w:p w14:paraId="7AB529C9" w14:textId="77777777" w:rsidR="00990B14" w:rsidRDefault="00000000">
            <w:pPr>
              <w:numPr>
                <w:ilvl w:val="0"/>
                <w:numId w:val="140"/>
              </w:numPr>
              <w:spacing w:before="10" w:after="10"/>
              <w:jc w:val="both"/>
            </w:pPr>
            <w:r>
              <w:rPr>
                <w:sz w:val="18"/>
                <w:szCs w:val="18"/>
              </w:rPr>
              <w:t>Solucionarios de límites, derivadas e integrales, y problemas de aplicación.</w:t>
            </w:r>
          </w:p>
          <w:p w14:paraId="1310EC66" w14:textId="77777777" w:rsidR="00990B14" w:rsidRDefault="00000000">
            <w:pPr>
              <w:numPr>
                <w:ilvl w:val="0"/>
                <w:numId w:val="140"/>
              </w:numPr>
              <w:spacing w:before="10" w:after="10"/>
              <w:jc w:val="both"/>
            </w:pPr>
            <w:r>
              <w:rPr>
                <w:sz w:val="18"/>
                <w:szCs w:val="18"/>
              </w:rPr>
              <w:t>Guías de ejercicios y casos elaborados por la cátedra.</w:t>
            </w:r>
          </w:p>
          <w:p w14:paraId="0B49B995" w14:textId="77777777" w:rsidR="00990B14" w:rsidRDefault="00000000">
            <w:pPr>
              <w:numPr>
                <w:ilvl w:val="0"/>
                <w:numId w:val="140"/>
              </w:numPr>
              <w:spacing w:before="10" w:after="10"/>
              <w:jc w:val="both"/>
            </w:pPr>
            <w:r>
              <w:rPr>
                <w:sz w:val="18"/>
                <w:szCs w:val="18"/>
              </w:rPr>
              <w:t>Hojas de cálculo y software de graficación de funciones.</w:t>
            </w:r>
          </w:p>
          <w:p w14:paraId="26614945" w14:textId="77777777" w:rsidR="00990B14" w:rsidRDefault="00000000">
            <w:pPr>
              <w:numPr>
                <w:ilvl w:val="0"/>
                <w:numId w:val="140"/>
              </w:numPr>
              <w:spacing w:before="10" w:after="10"/>
              <w:jc w:val="both"/>
            </w:pPr>
            <w:r>
              <w:rPr>
                <w:sz w:val="18"/>
                <w:szCs w:val="18"/>
              </w:rPr>
              <w:t>Bibliografía especializada en cálculo diferencial e integral aplicado a la economía.</w:t>
            </w:r>
          </w:p>
        </w:tc>
      </w:tr>
      <w:tr w:rsidR="00990B14" w14:paraId="34681DA2" w14:textId="77777777">
        <w:trPr>
          <w:jc w:val="center"/>
        </w:trPr>
        <w:tc>
          <w:tcPr>
            <w:tcW w:w="1555" w:type="dxa"/>
            <w:shd w:val="clear" w:color="auto" w:fill="4472C4"/>
            <w:vAlign w:val="center"/>
          </w:tcPr>
          <w:p w14:paraId="4D0C7918" w14:textId="77777777" w:rsidR="00990B14" w:rsidRDefault="00000000">
            <w:pPr>
              <w:spacing w:before="20" w:after="20"/>
              <w:jc w:val="center"/>
            </w:pPr>
            <w:r>
              <w:rPr>
                <w:b/>
                <w:bCs/>
                <w:i/>
                <w:iCs/>
                <w:color w:val="FFFFFF"/>
                <w:sz w:val="18"/>
                <w:szCs w:val="18"/>
              </w:rPr>
              <w:t>Estrategias de evaluación</w:t>
            </w:r>
          </w:p>
        </w:tc>
        <w:tc>
          <w:tcPr>
            <w:tcW w:w="7850" w:type="dxa"/>
            <w:gridSpan w:val="4"/>
            <w:shd w:val="clear" w:color="auto" w:fill="D9E2F3"/>
            <w:vAlign w:val="center"/>
          </w:tcPr>
          <w:p w14:paraId="728E750B" w14:textId="77777777" w:rsidR="00990B14" w:rsidRDefault="00000000">
            <w:pPr>
              <w:numPr>
                <w:ilvl w:val="0"/>
                <w:numId w:val="140"/>
              </w:numPr>
              <w:spacing w:before="10" w:after="10"/>
              <w:jc w:val="both"/>
            </w:pPr>
            <w:r>
              <w:rPr>
                <w:sz w:val="18"/>
                <w:szCs w:val="18"/>
              </w:rPr>
              <w:t>Evaluación diagnóstica: prueba inicial sobre álgebra básica y operaciones matemáticas.</w:t>
            </w:r>
          </w:p>
          <w:p w14:paraId="5E2D1357" w14:textId="77777777" w:rsidR="00990B14" w:rsidRDefault="00000000">
            <w:pPr>
              <w:numPr>
                <w:ilvl w:val="0"/>
                <w:numId w:val="140"/>
              </w:numPr>
              <w:spacing w:before="10" w:after="10"/>
              <w:jc w:val="both"/>
            </w:pPr>
            <w:r>
              <w:rPr>
                <w:sz w:val="18"/>
                <w:szCs w:val="18"/>
              </w:rPr>
              <w:t>Evaluación formativa: preguntas de comprensión y desarrollo de ejercicios prácticos en el aula, con retroalimentación continua.</w:t>
            </w:r>
          </w:p>
          <w:p w14:paraId="024BE3A0" w14:textId="77777777" w:rsidR="00990B14" w:rsidRDefault="00000000">
            <w:pPr>
              <w:numPr>
                <w:ilvl w:val="0"/>
                <w:numId w:val="140"/>
              </w:numPr>
              <w:spacing w:before="10" w:after="10"/>
              <w:jc w:val="both"/>
            </w:pPr>
            <w:r>
              <w:rPr>
                <w:sz w:val="18"/>
                <w:szCs w:val="18"/>
              </w:rPr>
              <w:t>Evaluación sumativa: controles de lectura y asistencia, evaluación de casos prácticos, trabajos de investigación y desarrollo, exámenes parciales y examen final.</w:t>
            </w:r>
          </w:p>
        </w:tc>
      </w:tr>
      <w:tr w:rsidR="00990B14" w14:paraId="60191325" w14:textId="77777777">
        <w:trPr>
          <w:jc w:val="center"/>
        </w:trPr>
        <w:tc>
          <w:tcPr>
            <w:tcW w:w="1555" w:type="dxa"/>
            <w:shd w:val="clear" w:color="auto" w:fill="4472C4"/>
            <w:vAlign w:val="center"/>
          </w:tcPr>
          <w:p w14:paraId="1945A5A6" w14:textId="77777777" w:rsidR="00990B14" w:rsidRDefault="00000000">
            <w:pPr>
              <w:spacing w:before="20" w:after="20"/>
              <w:jc w:val="center"/>
            </w:pPr>
            <w:r>
              <w:rPr>
                <w:b/>
                <w:bCs/>
                <w:i/>
                <w:iCs/>
                <w:color w:val="FFFFFF"/>
                <w:sz w:val="18"/>
                <w:szCs w:val="18"/>
              </w:rPr>
              <w:t>Criterios de calificación</w:t>
            </w:r>
          </w:p>
        </w:tc>
        <w:tc>
          <w:tcPr>
            <w:tcW w:w="7850" w:type="dxa"/>
            <w:gridSpan w:val="4"/>
            <w:shd w:val="clear" w:color="auto" w:fill="D9E2F3"/>
            <w:vAlign w:val="center"/>
          </w:tcPr>
          <w:p w14:paraId="1FF09AF6" w14:textId="77777777" w:rsidR="00990B14" w:rsidRDefault="00000000">
            <w:pPr>
              <w:numPr>
                <w:ilvl w:val="0"/>
                <w:numId w:val="140"/>
              </w:numPr>
              <w:spacing w:before="10" w:after="10"/>
              <w:jc w:val="both"/>
            </w:pPr>
            <w:r>
              <w:rPr>
                <w:sz w:val="18"/>
                <w:szCs w:val="18"/>
              </w:rPr>
              <w:t>Nota mínima de aprobación: 51/100.</w:t>
            </w:r>
          </w:p>
          <w:p w14:paraId="6C75980C" w14:textId="77777777" w:rsidR="00990B14" w:rsidRDefault="00000000">
            <w:pPr>
              <w:numPr>
                <w:ilvl w:val="0"/>
                <w:numId w:val="140"/>
              </w:numPr>
              <w:spacing w:before="10" w:after="10"/>
              <w:jc w:val="both"/>
            </w:pPr>
            <w:r>
              <w:rPr>
                <w:sz w:val="18"/>
                <w:szCs w:val="18"/>
              </w:rPr>
              <w:t>Evaluación periódica al finalizar cada tema, basada en evidencias de conocimiento, desempeño y producto.</w:t>
            </w:r>
          </w:p>
          <w:p w14:paraId="7656E58A" w14:textId="77777777" w:rsidR="00990B14" w:rsidRDefault="00000000">
            <w:pPr>
              <w:numPr>
                <w:ilvl w:val="0"/>
                <w:numId w:val="140"/>
              </w:numPr>
              <w:spacing w:before="10" w:after="10"/>
              <w:jc w:val="both"/>
            </w:pPr>
            <w:r>
              <w:rPr>
                <w:sz w:val="18"/>
                <w:szCs w:val="18"/>
              </w:rPr>
              <w:t>Cada evidencia de producto se evalúa con su propia rúbrica de tres niveles: Insuficiente, Suficiente y Destacado.</w:t>
            </w:r>
          </w:p>
          <w:p w14:paraId="7EB0CF99" w14:textId="77777777" w:rsidR="00990B14" w:rsidRDefault="00000000">
            <w:pPr>
              <w:numPr>
                <w:ilvl w:val="0"/>
                <w:numId w:val="140"/>
              </w:numPr>
              <w:spacing w:before="10" w:after="10"/>
              <w:jc w:val="both"/>
            </w:pPr>
            <w:r>
              <w:rPr>
                <w:sz w:val="18"/>
                <w:szCs w:val="18"/>
              </w:rPr>
              <w:t>La calificación de cada elemento de competencia suma las calificaciones de sus evidencias de producto.</w:t>
            </w:r>
          </w:p>
        </w:tc>
      </w:tr>
      <w:tr w:rsidR="00990B14" w14:paraId="539C24D7" w14:textId="77777777">
        <w:trPr>
          <w:cantSplit/>
          <w:jc w:val="center"/>
        </w:trPr>
        <w:tc>
          <w:tcPr>
            <w:tcW w:w="1555" w:type="dxa"/>
            <w:vMerge w:val="restart"/>
            <w:shd w:val="clear" w:color="auto" w:fill="4472C4"/>
            <w:vAlign w:val="center"/>
          </w:tcPr>
          <w:p w14:paraId="3D00684E" w14:textId="77777777" w:rsidR="00990B14" w:rsidRDefault="00000000">
            <w:pPr>
              <w:spacing w:before="20" w:after="20"/>
              <w:jc w:val="center"/>
            </w:pPr>
            <w:r>
              <w:rPr>
                <w:b/>
                <w:bCs/>
                <w:i/>
                <w:iCs/>
                <w:color w:val="FFFFFF"/>
                <w:sz w:val="18"/>
                <w:szCs w:val="18"/>
              </w:rPr>
              <w:t>Niveles de logro y distribución de la calificación</w:t>
            </w:r>
          </w:p>
        </w:tc>
        <w:tc>
          <w:tcPr>
            <w:tcW w:w="5940" w:type="dxa"/>
            <w:gridSpan w:val="3"/>
            <w:shd w:val="clear" w:color="auto" w:fill="D9E2F3"/>
            <w:vAlign w:val="center"/>
          </w:tcPr>
          <w:p w14:paraId="53AE4776" w14:textId="77777777" w:rsidR="00990B14" w:rsidRDefault="00000000">
            <w:pPr>
              <w:keepNext/>
              <w:spacing w:before="20" w:after="20"/>
              <w:jc w:val="both"/>
            </w:pPr>
            <w:r>
              <w:rPr>
                <w:b/>
                <w:bCs/>
                <w:i/>
                <w:iCs/>
                <w:sz w:val="18"/>
                <w:szCs w:val="18"/>
              </w:rPr>
              <w:t xml:space="preserve">Producto 1: </w:t>
            </w:r>
            <w:r>
              <w:rPr>
                <w:sz w:val="18"/>
                <w:szCs w:val="18"/>
              </w:rPr>
              <w:t>Práctico de resolución de ecuaciones</w:t>
            </w:r>
          </w:p>
        </w:tc>
        <w:tc>
          <w:tcPr>
            <w:tcW w:w="1910" w:type="dxa"/>
            <w:shd w:val="clear" w:color="auto" w:fill="D9E2F3"/>
            <w:vAlign w:val="center"/>
          </w:tcPr>
          <w:p w14:paraId="5FF84C83" w14:textId="77777777" w:rsidR="00990B14" w:rsidRDefault="00000000">
            <w:pPr>
              <w:spacing w:before="20" w:after="20"/>
              <w:jc w:val="center"/>
            </w:pPr>
            <w:r>
              <w:rPr>
                <w:b/>
                <w:bCs/>
                <w:sz w:val="18"/>
                <w:szCs w:val="18"/>
              </w:rPr>
              <w:t>5%</w:t>
            </w:r>
          </w:p>
        </w:tc>
      </w:tr>
      <w:tr w:rsidR="00990B14" w14:paraId="7B097786" w14:textId="77777777">
        <w:trPr>
          <w:cantSplit/>
          <w:jc w:val="center"/>
        </w:trPr>
        <w:tc>
          <w:tcPr>
            <w:tcW w:w="1555" w:type="dxa"/>
            <w:vMerge/>
            <w:shd w:val="clear" w:color="auto" w:fill="4472C4"/>
            <w:vAlign w:val="center"/>
          </w:tcPr>
          <w:p w14:paraId="283E317C" w14:textId="77777777" w:rsidR="00990B14" w:rsidRDefault="00990B14">
            <w:pPr>
              <w:spacing w:before="20" w:after="20"/>
            </w:pPr>
          </w:p>
        </w:tc>
        <w:tc>
          <w:tcPr>
            <w:tcW w:w="2015" w:type="dxa"/>
            <w:shd w:val="clear" w:color="auto" w:fill="4472C4"/>
            <w:vAlign w:val="center"/>
          </w:tcPr>
          <w:p w14:paraId="74FD32AB"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308DB50C"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476748A1"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605A15F6" w14:textId="77777777" w:rsidR="00990B14" w:rsidRDefault="00000000">
            <w:pPr>
              <w:keepNext/>
              <w:spacing w:before="20" w:after="20"/>
              <w:jc w:val="center"/>
            </w:pPr>
            <w:r>
              <w:rPr>
                <w:b/>
                <w:bCs/>
                <w:i/>
                <w:iCs/>
                <w:color w:val="FFFFFF"/>
                <w:sz w:val="18"/>
                <w:szCs w:val="18"/>
              </w:rPr>
              <w:t>Destacado (81–100)</w:t>
            </w:r>
          </w:p>
        </w:tc>
      </w:tr>
      <w:tr w:rsidR="00990B14" w14:paraId="4ED275FC" w14:textId="77777777">
        <w:trPr>
          <w:cantSplit/>
          <w:jc w:val="center"/>
        </w:trPr>
        <w:tc>
          <w:tcPr>
            <w:tcW w:w="1555" w:type="dxa"/>
            <w:vMerge/>
            <w:shd w:val="clear" w:color="auto" w:fill="4472C4"/>
            <w:vAlign w:val="center"/>
          </w:tcPr>
          <w:p w14:paraId="353B44DE" w14:textId="77777777" w:rsidR="00990B14" w:rsidRDefault="00990B14">
            <w:pPr>
              <w:spacing w:before="20" w:after="20"/>
            </w:pPr>
          </w:p>
        </w:tc>
        <w:tc>
          <w:tcPr>
            <w:tcW w:w="2015" w:type="dxa"/>
            <w:shd w:val="clear" w:color="auto" w:fill="D9E2F3"/>
            <w:vAlign w:val="center"/>
          </w:tcPr>
          <w:p w14:paraId="3DCDD5C9" w14:textId="77777777" w:rsidR="00990B14" w:rsidRDefault="00000000">
            <w:pPr>
              <w:spacing w:before="20" w:after="20"/>
              <w:jc w:val="both"/>
            </w:pPr>
            <w:r>
              <w:rPr>
                <w:sz w:val="18"/>
                <w:szCs w:val="18"/>
              </w:rPr>
              <w:t>Planteamiento de la ecuación</w:t>
            </w:r>
          </w:p>
        </w:tc>
        <w:tc>
          <w:tcPr>
            <w:tcW w:w="1910" w:type="dxa"/>
            <w:shd w:val="clear" w:color="auto" w:fill="D9E2F3"/>
            <w:vAlign w:val="center"/>
          </w:tcPr>
          <w:p w14:paraId="1C8F5165" w14:textId="77777777" w:rsidR="00990B14" w:rsidRDefault="00000000">
            <w:pPr>
              <w:spacing w:before="20" w:after="20"/>
              <w:jc w:val="both"/>
            </w:pPr>
            <w:r>
              <w:rPr>
                <w:sz w:val="18"/>
                <w:szCs w:val="18"/>
              </w:rPr>
              <w:t>Traduce mal el enunciado a la ecuación.</w:t>
            </w:r>
          </w:p>
        </w:tc>
        <w:tc>
          <w:tcPr>
            <w:tcW w:w="2015" w:type="dxa"/>
            <w:shd w:val="clear" w:color="auto" w:fill="D9E2F3"/>
            <w:vAlign w:val="center"/>
          </w:tcPr>
          <w:p w14:paraId="41324D35" w14:textId="77777777" w:rsidR="00990B14" w:rsidRDefault="00000000">
            <w:pPr>
              <w:spacing w:before="20" w:after="20"/>
              <w:jc w:val="both"/>
            </w:pPr>
            <w:r>
              <w:rPr>
                <w:sz w:val="18"/>
                <w:szCs w:val="18"/>
              </w:rPr>
              <w:t>Plantea la ecuación que corresponde al enunciado.</w:t>
            </w:r>
          </w:p>
        </w:tc>
        <w:tc>
          <w:tcPr>
            <w:tcW w:w="1910" w:type="dxa"/>
            <w:shd w:val="clear" w:color="auto" w:fill="D9E2F3"/>
            <w:vAlign w:val="center"/>
          </w:tcPr>
          <w:p w14:paraId="41C8C8F7" w14:textId="77777777" w:rsidR="00990B14" w:rsidRDefault="00000000">
            <w:pPr>
              <w:spacing w:before="20" w:after="20"/>
              <w:jc w:val="both"/>
            </w:pPr>
            <w:r>
              <w:rPr>
                <w:sz w:val="18"/>
                <w:szCs w:val="18"/>
              </w:rPr>
              <w:t>Justifica cada término de la ecuación con los datos del problema.</w:t>
            </w:r>
          </w:p>
        </w:tc>
      </w:tr>
      <w:tr w:rsidR="00990B14" w14:paraId="2A32E3A8" w14:textId="77777777">
        <w:trPr>
          <w:cantSplit/>
          <w:jc w:val="center"/>
        </w:trPr>
        <w:tc>
          <w:tcPr>
            <w:tcW w:w="1555" w:type="dxa"/>
            <w:vMerge/>
            <w:shd w:val="clear" w:color="auto" w:fill="4472C4"/>
            <w:vAlign w:val="center"/>
          </w:tcPr>
          <w:p w14:paraId="7B051E9B" w14:textId="77777777" w:rsidR="00990B14" w:rsidRDefault="00990B14">
            <w:pPr>
              <w:spacing w:before="20" w:after="20"/>
            </w:pPr>
          </w:p>
        </w:tc>
        <w:tc>
          <w:tcPr>
            <w:tcW w:w="2015" w:type="dxa"/>
            <w:shd w:val="clear" w:color="auto" w:fill="D9E2F3"/>
            <w:vAlign w:val="center"/>
          </w:tcPr>
          <w:p w14:paraId="0E742D41" w14:textId="77777777" w:rsidR="00990B14" w:rsidRDefault="00000000">
            <w:pPr>
              <w:spacing w:before="20" w:after="20"/>
              <w:jc w:val="both"/>
            </w:pPr>
            <w:r>
              <w:rPr>
                <w:sz w:val="18"/>
                <w:szCs w:val="18"/>
              </w:rPr>
              <w:t>Cálculo de las raíces</w:t>
            </w:r>
          </w:p>
        </w:tc>
        <w:tc>
          <w:tcPr>
            <w:tcW w:w="1910" w:type="dxa"/>
            <w:shd w:val="clear" w:color="auto" w:fill="D9E2F3"/>
            <w:vAlign w:val="center"/>
          </w:tcPr>
          <w:p w14:paraId="19F8BD5B" w14:textId="77777777" w:rsidR="00990B14" w:rsidRDefault="00000000">
            <w:pPr>
              <w:spacing w:before="20" w:after="20"/>
              <w:jc w:val="both"/>
            </w:pPr>
            <w:r>
              <w:rPr>
                <w:sz w:val="18"/>
                <w:szCs w:val="18"/>
              </w:rPr>
              <w:t>Presenta errores en el despeje o en la fórmula.</w:t>
            </w:r>
          </w:p>
        </w:tc>
        <w:tc>
          <w:tcPr>
            <w:tcW w:w="2015" w:type="dxa"/>
            <w:shd w:val="clear" w:color="auto" w:fill="D9E2F3"/>
            <w:vAlign w:val="center"/>
          </w:tcPr>
          <w:p w14:paraId="7684FC02" w14:textId="77777777" w:rsidR="00990B14" w:rsidRDefault="00000000">
            <w:pPr>
              <w:spacing w:before="20" w:after="20"/>
              <w:jc w:val="both"/>
            </w:pPr>
            <w:r>
              <w:rPr>
                <w:sz w:val="18"/>
                <w:szCs w:val="18"/>
              </w:rPr>
              <w:t>Halla correctamente las raíces de la ecuación.</w:t>
            </w:r>
          </w:p>
        </w:tc>
        <w:tc>
          <w:tcPr>
            <w:tcW w:w="1910" w:type="dxa"/>
            <w:shd w:val="clear" w:color="auto" w:fill="D9E2F3"/>
            <w:vAlign w:val="center"/>
          </w:tcPr>
          <w:p w14:paraId="66C4E285" w14:textId="77777777" w:rsidR="00990B14" w:rsidRDefault="00000000">
            <w:pPr>
              <w:spacing w:before="20" w:after="20"/>
              <w:jc w:val="both"/>
            </w:pPr>
            <w:r>
              <w:rPr>
                <w:sz w:val="18"/>
                <w:szCs w:val="18"/>
              </w:rPr>
              <w:t>Relaciona las raíces con las propiedades de la ecuación.</w:t>
            </w:r>
          </w:p>
        </w:tc>
      </w:tr>
      <w:tr w:rsidR="00990B14" w14:paraId="223EF172" w14:textId="77777777">
        <w:trPr>
          <w:cantSplit/>
          <w:jc w:val="center"/>
        </w:trPr>
        <w:tc>
          <w:tcPr>
            <w:tcW w:w="1555" w:type="dxa"/>
            <w:vMerge/>
            <w:shd w:val="clear" w:color="auto" w:fill="4472C4"/>
            <w:vAlign w:val="center"/>
          </w:tcPr>
          <w:p w14:paraId="7D54679D" w14:textId="77777777" w:rsidR="00990B14" w:rsidRDefault="00990B14">
            <w:pPr>
              <w:spacing w:before="20" w:after="20"/>
            </w:pPr>
          </w:p>
        </w:tc>
        <w:tc>
          <w:tcPr>
            <w:tcW w:w="2015" w:type="dxa"/>
            <w:shd w:val="clear" w:color="auto" w:fill="D9E2F3"/>
            <w:vAlign w:val="center"/>
          </w:tcPr>
          <w:p w14:paraId="2A17EC18" w14:textId="77777777" w:rsidR="00990B14" w:rsidRDefault="00000000">
            <w:pPr>
              <w:spacing w:before="20" w:after="20"/>
              <w:jc w:val="both"/>
            </w:pPr>
            <w:r>
              <w:rPr>
                <w:sz w:val="18"/>
                <w:szCs w:val="18"/>
              </w:rPr>
              <w:t>Comprobación</w:t>
            </w:r>
          </w:p>
        </w:tc>
        <w:tc>
          <w:tcPr>
            <w:tcW w:w="1910" w:type="dxa"/>
            <w:shd w:val="clear" w:color="auto" w:fill="D9E2F3"/>
            <w:vAlign w:val="center"/>
          </w:tcPr>
          <w:p w14:paraId="72C92A82" w14:textId="77777777" w:rsidR="00990B14" w:rsidRDefault="00000000">
            <w:pPr>
              <w:spacing w:before="20" w:after="20"/>
              <w:jc w:val="both"/>
            </w:pPr>
            <w:r>
              <w:rPr>
                <w:sz w:val="18"/>
                <w:szCs w:val="18"/>
              </w:rPr>
              <w:t>No comprueba las soluciones.</w:t>
            </w:r>
          </w:p>
        </w:tc>
        <w:tc>
          <w:tcPr>
            <w:tcW w:w="2015" w:type="dxa"/>
            <w:shd w:val="clear" w:color="auto" w:fill="D9E2F3"/>
            <w:vAlign w:val="center"/>
          </w:tcPr>
          <w:p w14:paraId="2A70BC9B" w14:textId="77777777" w:rsidR="00990B14" w:rsidRDefault="00000000">
            <w:pPr>
              <w:spacing w:before="20" w:after="20"/>
              <w:jc w:val="both"/>
            </w:pPr>
            <w:r>
              <w:rPr>
                <w:sz w:val="18"/>
                <w:szCs w:val="18"/>
              </w:rPr>
              <w:t>Comprueba las raíces en la ecuación original.</w:t>
            </w:r>
          </w:p>
        </w:tc>
        <w:tc>
          <w:tcPr>
            <w:tcW w:w="1910" w:type="dxa"/>
            <w:shd w:val="clear" w:color="auto" w:fill="D9E2F3"/>
            <w:vAlign w:val="center"/>
          </w:tcPr>
          <w:p w14:paraId="4200580E" w14:textId="77777777" w:rsidR="00990B14" w:rsidRDefault="00000000">
            <w:pPr>
              <w:spacing w:before="20" w:after="20"/>
              <w:jc w:val="both"/>
            </w:pPr>
            <w:r>
              <w:rPr>
                <w:sz w:val="18"/>
                <w:szCs w:val="18"/>
              </w:rPr>
              <w:t>Descarta las raíces sin sentido económico.</w:t>
            </w:r>
          </w:p>
        </w:tc>
      </w:tr>
      <w:tr w:rsidR="00990B14" w14:paraId="3300A64A" w14:textId="77777777">
        <w:trPr>
          <w:cantSplit/>
          <w:jc w:val="center"/>
        </w:trPr>
        <w:tc>
          <w:tcPr>
            <w:tcW w:w="1555" w:type="dxa"/>
            <w:vMerge/>
            <w:shd w:val="clear" w:color="auto" w:fill="4472C4"/>
            <w:vAlign w:val="center"/>
          </w:tcPr>
          <w:p w14:paraId="63C16C84" w14:textId="77777777" w:rsidR="00990B14" w:rsidRDefault="00990B14">
            <w:pPr>
              <w:spacing w:before="20" w:after="20"/>
            </w:pPr>
          </w:p>
        </w:tc>
        <w:tc>
          <w:tcPr>
            <w:tcW w:w="5940" w:type="dxa"/>
            <w:gridSpan w:val="3"/>
            <w:shd w:val="clear" w:color="auto" w:fill="D9E2F3"/>
            <w:vAlign w:val="center"/>
          </w:tcPr>
          <w:p w14:paraId="0E6CF672" w14:textId="77777777" w:rsidR="00990B14" w:rsidRDefault="00000000">
            <w:pPr>
              <w:keepNext/>
              <w:spacing w:before="20" w:after="20"/>
              <w:jc w:val="both"/>
            </w:pPr>
            <w:r>
              <w:rPr>
                <w:b/>
                <w:bCs/>
                <w:i/>
                <w:iCs/>
                <w:sz w:val="18"/>
                <w:szCs w:val="18"/>
              </w:rPr>
              <w:t xml:space="preserve">Producto 2: </w:t>
            </w:r>
            <w:r>
              <w:rPr>
                <w:sz w:val="18"/>
                <w:szCs w:val="18"/>
              </w:rPr>
              <w:t>Informe técnico con la resolución y análisis de un problema de aplicación de ecuaciones a las ciencias económicas.</w:t>
            </w:r>
          </w:p>
        </w:tc>
        <w:tc>
          <w:tcPr>
            <w:tcW w:w="1910" w:type="dxa"/>
            <w:shd w:val="clear" w:color="auto" w:fill="D9E2F3"/>
            <w:vAlign w:val="center"/>
          </w:tcPr>
          <w:p w14:paraId="05373BE0" w14:textId="77777777" w:rsidR="00990B14" w:rsidRDefault="00000000">
            <w:pPr>
              <w:spacing w:before="20" w:after="20"/>
              <w:jc w:val="center"/>
            </w:pPr>
            <w:r>
              <w:rPr>
                <w:b/>
                <w:bCs/>
                <w:sz w:val="18"/>
                <w:szCs w:val="18"/>
              </w:rPr>
              <w:t>5%</w:t>
            </w:r>
          </w:p>
        </w:tc>
      </w:tr>
      <w:tr w:rsidR="00990B14" w14:paraId="5B9BE814" w14:textId="77777777">
        <w:trPr>
          <w:cantSplit/>
          <w:jc w:val="center"/>
        </w:trPr>
        <w:tc>
          <w:tcPr>
            <w:tcW w:w="1555" w:type="dxa"/>
            <w:vMerge/>
            <w:shd w:val="clear" w:color="auto" w:fill="4472C4"/>
            <w:vAlign w:val="center"/>
          </w:tcPr>
          <w:p w14:paraId="3AF83B47" w14:textId="77777777" w:rsidR="00990B14" w:rsidRDefault="00990B14">
            <w:pPr>
              <w:spacing w:before="20" w:after="20"/>
            </w:pPr>
          </w:p>
        </w:tc>
        <w:tc>
          <w:tcPr>
            <w:tcW w:w="2015" w:type="dxa"/>
            <w:shd w:val="clear" w:color="auto" w:fill="4472C4"/>
            <w:vAlign w:val="center"/>
          </w:tcPr>
          <w:p w14:paraId="6006D6D4"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016C5A29"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34CB93E3"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00F53FC4" w14:textId="77777777" w:rsidR="00990B14" w:rsidRDefault="00000000">
            <w:pPr>
              <w:keepNext/>
              <w:spacing w:before="20" w:after="20"/>
              <w:jc w:val="center"/>
            </w:pPr>
            <w:r>
              <w:rPr>
                <w:b/>
                <w:bCs/>
                <w:i/>
                <w:iCs/>
                <w:color w:val="FFFFFF"/>
                <w:sz w:val="18"/>
                <w:szCs w:val="18"/>
              </w:rPr>
              <w:t>Destacado (81–100)</w:t>
            </w:r>
          </w:p>
        </w:tc>
      </w:tr>
      <w:tr w:rsidR="00990B14" w14:paraId="574C4D7E" w14:textId="77777777">
        <w:trPr>
          <w:cantSplit/>
          <w:jc w:val="center"/>
        </w:trPr>
        <w:tc>
          <w:tcPr>
            <w:tcW w:w="1555" w:type="dxa"/>
            <w:vMerge/>
            <w:shd w:val="clear" w:color="auto" w:fill="4472C4"/>
            <w:vAlign w:val="center"/>
          </w:tcPr>
          <w:p w14:paraId="07232D5C" w14:textId="77777777" w:rsidR="00990B14" w:rsidRDefault="00990B14">
            <w:pPr>
              <w:spacing w:before="20" w:after="20"/>
            </w:pPr>
          </w:p>
        </w:tc>
        <w:tc>
          <w:tcPr>
            <w:tcW w:w="2015" w:type="dxa"/>
            <w:shd w:val="clear" w:color="auto" w:fill="D9E2F3"/>
            <w:vAlign w:val="center"/>
          </w:tcPr>
          <w:p w14:paraId="6B8FE0D6" w14:textId="77777777" w:rsidR="00990B14" w:rsidRDefault="00000000">
            <w:pPr>
              <w:spacing w:before="20" w:after="20"/>
              <w:jc w:val="both"/>
            </w:pPr>
            <w:r>
              <w:rPr>
                <w:sz w:val="18"/>
                <w:szCs w:val="18"/>
              </w:rPr>
              <w:t>Planteamiento del problema.</w:t>
            </w:r>
          </w:p>
        </w:tc>
        <w:tc>
          <w:tcPr>
            <w:tcW w:w="1910" w:type="dxa"/>
            <w:shd w:val="clear" w:color="auto" w:fill="D9E2F3"/>
            <w:vAlign w:val="center"/>
          </w:tcPr>
          <w:p w14:paraId="09B15759" w14:textId="77777777" w:rsidR="00990B14" w:rsidRDefault="00000000">
            <w:pPr>
              <w:spacing w:before="20" w:after="20"/>
              <w:jc w:val="both"/>
            </w:pPr>
            <w:r>
              <w:rPr>
                <w:sz w:val="18"/>
                <w:szCs w:val="18"/>
              </w:rPr>
              <w:t>Plantea de forma incorrecta las variables y ecuaciones del problema económico.</w:t>
            </w:r>
          </w:p>
        </w:tc>
        <w:tc>
          <w:tcPr>
            <w:tcW w:w="2015" w:type="dxa"/>
            <w:shd w:val="clear" w:color="auto" w:fill="D9E2F3"/>
            <w:vAlign w:val="center"/>
          </w:tcPr>
          <w:p w14:paraId="7370B07E" w14:textId="77777777" w:rsidR="00990B14" w:rsidRDefault="00000000">
            <w:pPr>
              <w:spacing w:before="20" w:after="20"/>
              <w:jc w:val="both"/>
            </w:pPr>
            <w:r>
              <w:rPr>
                <w:sz w:val="18"/>
                <w:szCs w:val="18"/>
              </w:rPr>
              <w:t>Identifica variables y plantea correctamente el sistema de ecuaciones.</w:t>
            </w:r>
          </w:p>
        </w:tc>
        <w:tc>
          <w:tcPr>
            <w:tcW w:w="1910" w:type="dxa"/>
            <w:shd w:val="clear" w:color="auto" w:fill="D9E2F3"/>
            <w:vAlign w:val="center"/>
          </w:tcPr>
          <w:p w14:paraId="452FD6B2" w14:textId="77777777" w:rsidR="00990B14" w:rsidRDefault="00000000">
            <w:pPr>
              <w:spacing w:before="20" w:after="20"/>
              <w:jc w:val="both"/>
            </w:pPr>
            <w:r>
              <w:rPr>
                <w:sz w:val="18"/>
                <w:szCs w:val="18"/>
              </w:rPr>
              <w:t>Define con precisión las variables y construye el modelo matemático completo.</w:t>
            </w:r>
          </w:p>
        </w:tc>
      </w:tr>
      <w:tr w:rsidR="00990B14" w14:paraId="4066D787" w14:textId="77777777">
        <w:trPr>
          <w:cantSplit/>
          <w:jc w:val="center"/>
        </w:trPr>
        <w:tc>
          <w:tcPr>
            <w:tcW w:w="1555" w:type="dxa"/>
            <w:vMerge/>
            <w:shd w:val="clear" w:color="auto" w:fill="4472C4"/>
            <w:vAlign w:val="center"/>
          </w:tcPr>
          <w:p w14:paraId="2545CB05" w14:textId="77777777" w:rsidR="00990B14" w:rsidRDefault="00990B14">
            <w:pPr>
              <w:spacing w:before="20" w:after="20"/>
            </w:pPr>
          </w:p>
        </w:tc>
        <w:tc>
          <w:tcPr>
            <w:tcW w:w="2015" w:type="dxa"/>
            <w:shd w:val="clear" w:color="auto" w:fill="D9E2F3"/>
            <w:vAlign w:val="center"/>
          </w:tcPr>
          <w:p w14:paraId="018A360B" w14:textId="77777777" w:rsidR="00990B14" w:rsidRDefault="00000000">
            <w:pPr>
              <w:spacing w:before="20" w:after="20"/>
              <w:jc w:val="both"/>
            </w:pPr>
            <w:r>
              <w:rPr>
                <w:sz w:val="18"/>
                <w:szCs w:val="18"/>
              </w:rPr>
              <w:t>Resolución y procedimiento.</w:t>
            </w:r>
          </w:p>
        </w:tc>
        <w:tc>
          <w:tcPr>
            <w:tcW w:w="1910" w:type="dxa"/>
            <w:shd w:val="clear" w:color="auto" w:fill="D9E2F3"/>
            <w:vAlign w:val="center"/>
          </w:tcPr>
          <w:p w14:paraId="2E47F274" w14:textId="77777777" w:rsidR="00990B14" w:rsidRDefault="00000000">
            <w:pPr>
              <w:spacing w:before="20" w:after="20"/>
              <w:jc w:val="both"/>
            </w:pPr>
            <w:r>
              <w:rPr>
                <w:sz w:val="18"/>
                <w:szCs w:val="18"/>
              </w:rPr>
              <w:t>Comete errores en los métodos algebraicos o gráficos de soluciones.</w:t>
            </w:r>
          </w:p>
        </w:tc>
        <w:tc>
          <w:tcPr>
            <w:tcW w:w="2015" w:type="dxa"/>
            <w:shd w:val="clear" w:color="auto" w:fill="D9E2F3"/>
            <w:vAlign w:val="center"/>
          </w:tcPr>
          <w:p w14:paraId="192D174C" w14:textId="77777777" w:rsidR="00990B14" w:rsidRDefault="00000000">
            <w:pPr>
              <w:spacing w:before="20" w:after="20"/>
              <w:jc w:val="both"/>
            </w:pPr>
            <w:r>
              <w:rPr>
                <w:sz w:val="18"/>
                <w:szCs w:val="18"/>
              </w:rPr>
              <w:t>Aplica métodos de factorización, regla de Ruffini o el teorema del álgebra.</w:t>
            </w:r>
          </w:p>
        </w:tc>
        <w:tc>
          <w:tcPr>
            <w:tcW w:w="1910" w:type="dxa"/>
            <w:shd w:val="clear" w:color="auto" w:fill="D9E2F3"/>
            <w:vAlign w:val="center"/>
          </w:tcPr>
          <w:p w14:paraId="71E384B4" w14:textId="77777777" w:rsidR="00990B14" w:rsidRDefault="00000000">
            <w:pPr>
              <w:spacing w:before="20" w:after="20"/>
              <w:jc w:val="both"/>
            </w:pPr>
            <w:r>
              <w:rPr>
                <w:sz w:val="18"/>
                <w:szCs w:val="18"/>
              </w:rPr>
              <w:t>Desarrolla el procedimiento con exactitud, orden y verificación.</w:t>
            </w:r>
          </w:p>
        </w:tc>
      </w:tr>
      <w:tr w:rsidR="00990B14" w14:paraId="7C1E12F6" w14:textId="77777777">
        <w:trPr>
          <w:cantSplit/>
          <w:jc w:val="center"/>
        </w:trPr>
        <w:tc>
          <w:tcPr>
            <w:tcW w:w="1555" w:type="dxa"/>
            <w:vMerge/>
            <w:shd w:val="clear" w:color="auto" w:fill="4472C4"/>
            <w:vAlign w:val="center"/>
          </w:tcPr>
          <w:p w14:paraId="44672817" w14:textId="77777777" w:rsidR="00990B14" w:rsidRDefault="00990B14">
            <w:pPr>
              <w:spacing w:before="20" w:after="20"/>
            </w:pPr>
          </w:p>
        </w:tc>
        <w:tc>
          <w:tcPr>
            <w:tcW w:w="2015" w:type="dxa"/>
            <w:shd w:val="clear" w:color="auto" w:fill="D9E2F3"/>
            <w:vAlign w:val="center"/>
          </w:tcPr>
          <w:p w14:paraId="4479D039" w14:textId="77777777" w:rsidR="00990B14" w:rsidRDefault="00000000">
            <w:pPr>
              <w:spacing w:before="20" w:after="20"/>
              <w:jc w:val="both"/>
            </w:pPr>
            <w:r>
              <w:rPr>
                <w:sz w:val="18"/>
                <w:szCs w:val="18"/>
              </w:rPr>
              <w:t>Interpretación de resultados.</w:t>
            </w:r>
          </w:p>
        </w:tc>
        <w:tc>
          <w:tcPr>
            <w:tcW w:w="1910" w:type="dxa"/>
            <w:shd w:val="clear" w:color="auto" w:fill="D9E2F3"/>
            <w:vAlign w:val="center"/>
          </w:tcPr>
          <w:p w14:paraId="1035FAB2" w14:textId="77777777" w:rsidR="00990B14" w:rsidRDefault="00000000">
            <w:pPr>
              <w:spacing w:before="20" w:after="20"/>
              <w:jc w:val="both"/>
            </w:pPr>
            <w:r>
              <w:rPr>
                <w:sz w:val="18"/>
                <w:szCs w:val="18"/>
              </w:rPr>
              <w:t>No interpreta las soluciones.</w:t>
            </w:r>
          </w:p>
        </w:tc>
        <w:tc>
          <w:tcPr>
            <w:tcW w:w="2015" w:type="dxa"/>
            <w:shd w:val="clear" w:color="auto" w:fill="D9E2F3"/>
            <w:vAlign w:val="center"/>
          </w:tcPr>
          <w:p w14:paraId="01DF25EE" w14:textId="77777777" w:rsidR="00990B14" w:rsidRDefault="00000000">
            <w:pPr>
              <w:spacing w:before="20" w:after="20"/>
              <w:jc w:val="both"/>
            </w:pPr>
            <w:r>
              <w:rPr>
                <w:sz w:val="18"/>
                <w:szCs w:val="18"/>
              </w:rPr>
              <w:t>Interpreta adecuadamente los resultados.</w:t>
            </w:r>
          </w:p>
        </w:tc>
        <w:tc>
          <w:tcPr>
            <w:tcW w:w="1910" w:type="dxa"/>
            <w:shd w:val="clear" w:color="auto" w:fill="D9E2F3"/>
            <w:vAlign w:val="center"/>
          </w:tcPr>
          <w:p w14:paraId="68BED5D4" w14:textId="77777777" w:rsidR="00990B14" w:rsidRDefault="00000000">
            <w:pPr>
              <w:spacing w:before="20" w:after="20"/>
              <w:jc w:val="both"/>
            </w:pPr>
            <w:r>
              <w:rPr>
                <w:sz w:val="18"/>
                <w:szCs w:val="18"/>
              </w:rPr>
              <w:t>Analiza a fondo los resultados y formula conclusiones claras.</w:t>
            </w:r>
          </w:p>
        </w:tc>
      </w:tr>
      <w:tr w:rsidR="00990B14" w14:paraId="065E02FD" w14:textId="77777777">
        <w:trPr>
          <w:cantSplit/>
          <w:jc w:val="center"/>
        </w:trPr>
        <w:tc>
          <w:tcPr>
            <w:tcW w:w="1555" w:type="dxa"/>
            <w:vMerge/>
            <w:shd w:val="clear" w:color="auto" w:fill="4472C4"/>
            <w:vAlign w:val="center"/>
          </w:tcPr>
          <w:p w14:paraId="28CA5C42" w14:textId="77777777" w:rsidR="00990B14" w:rsidRDefault="00990B14">
            <w:pPr>
              <w:spacing w:before="20" w:after="20"/>
            </w:pPr>
          </w:p>
        </w:tc>
        <w:tc>
          <w:tcPr>
            <w:tcW w:w="5940" w:type="dxa"/>
            <w:gridSpan w:val="3"/>
            <w:shd w:val="clear" w:color="auto" w:fill="D9E2F3"/>
            <w:vAlign w:val="center"/>
          </w:tcPr>
          <w:p w14:paraId="7642113C" w14:textId="77777777" w:rsidR="00990B14" w:rsidRDefault="00000000">
            <w:pPr>
              <w:keepNext/>
              <w:spacing w:before="20" w:after="20"/>
              <w:jc w:val="both"/>
            </w:pPr>
            <w:r>
              <w:rPr>
                <w:b/>
                <w:bCs/>
                <w:i/>
                <w:iCs/>
                <w:sz w:val="18"/>
                <w:szCs w:val="18"/>
              </w:rPr>
              <w:t xml:space="preserve">Producto 3: </w:t>
            </w:r>
            <w:r>
              <w:rPr>
                <w:sz w:val="18"/>
                <w:szCs w:val="18"/>
              </w:rPr>
              <w:t>Gráfica de raíces reales</w:t>
            </w:r>
          </w:p>
        </w:tc>
        <w:tc>
          <w:tcPr>
            <w:tcW w:w="1910" w:type="dxa"/>
            <w:shd w:val="clear" w:color="auto" w:fill="D9E2F3"/>
            <w:vAlign w:val="center"/>
          </w:tcPr>
          <w:p w14:paraId="5F9C3304" w14:textId="77777777" w:rsidR="00990B14" w:rsidRDefault="00000000">
            <w:pPr>
              <w:spacing w:before="20" w:after="20"/>
              <w:jc w:val="center"/>
            </w:pPr>
            <w:r>
              <w:rPr>
                <w:b/>
                <w:bCs/>
                <w:sz w:val="18"/>
                <w:szCs w:val="18"/>
              </w:rPr>
              <w:t>4%</w:t>
            </w:r>
          </w:p>
        </w:tc>
      </w:tr>
      <w:tr w:rsidR="00990B14" w14:paraId="38BB7B7D" w14:textId="77777777">
        <w:trPr>
          <w:cantSplit/>
          <w:jc w:val="center"/>
        </w:trPr>
        <w:tc>
          <w:tcPr>
            <w:tcW w:w="1555" w:type="dxa"/>
            <w:vMerge/>
            <w:shd w:val="clear" w:color="auto" w:fill="4472C4"/>
            <w:vAlign w:val="center"/>
          </w:tcPr>
          <w:p w14:paraId="5FA551EA" w14:textId="77777777" w:rsidR="00990B14" w:rsidRDefault="00990B14">
            <w:pPr>
              <w:spacing w:before="20" w:after="20"/>
            </w:pPr>
          </w:p>
        </w:tc>
        <w:tc>
          <w:tcPr>
            <w:tcW w:w="2015" w:type="dxa"/>
            <w:shd w:val="clear" w:color="auto" w:fill="4472C4"/>
            <w:vAlign w:val="center"/>
          </w:tcPr>
          <w:p w14:paraId="64446C13"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2FF30E96"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1A8369BC"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3E7C1196" w14:textId="77777777" w:rsidR="00990B14" w:rsidRDefault="00000000">
            <w:pPr>
              <w:keepNext/>
              <w:spacing w:before="20" w:after="20"/>
              <w:jc w:val="center"/>
            </w:pPr>
            <w:r>
              <w:rPr>
                <w:b/>
                <w:bCs/>
                <w:i/>
                <w:iCs/>
                <w:color w:val="FFFFFF"/>
                <w:sz w:val="18"/>
                <w:szCs w:val="18"/>
              </w:rPr>
              <w:t>Destacado (81–100)</w:t>
            </w:r>
          </w:p>
        </w:tc>
      </w:tr>
      <w:tr w:rsidR="00990B14" w14:paraId="7C0E4480" w14:textId="77777777">
        <w:trPr>
          <w:cantSplit/>
          <w:jc w:val="center"/>
        </w:trPr>
        <w:tc>
          <w:tcPr>
            <w:tcW w:w="1555" w:type="dxa"/>
            <w:vMerge/>
            <w:shd w:val="clear" w:color="auto" w:fill="4472C4"/>
            <w:vAlign w:val="center"/>
          </w:tcPr>
          <w:p w14:paraId="0B7D35A4" w14:textId="77777777" w:rsidR="00990B14" w:rsidRDefault="00990B14">
            <w:pPr>
              <w:spacing w:before="20" w:after="20"/>
            </w:pPr>
          </w:p>
        </w:tc>
        <w:tc>
          <w:tcPr>
            <w:tcW w:w="2015" w:type="dxa"/>
            <w:shd w:val="clear" w:color="auto" w:fill="D9E2F3"/>
            <w:vAlign w:val="center"/>
          </w:tcPr>
          <w:p w14:paraId="5D7F9624" w14:textId="77777777" w:rsidR="00990B14" w:rsidRDefault="00000000">
            <w:pPr>
              <w:spacing w:before="20" w:after="20"/>
              <w:jc w:val="both"/>
            </w:pPr>
            <w:r>
              <w:rPr>
                <w:sz w:val="18"/>
                <w:szCs w:val="18"/>
              </w:rPr>
              <w:t>Trazado de las curvas</w:t>
            </w:r>
          </w:p>
        </w:tc>
        <w:tc>
          <w:tcPr>
            <w:tcW w:w="1910" w:type="dxa"/>
            <w:shd w:val="clear" w:color="auto" w:fill="D9E2F3"/>
            <w:vAlign w:val="center"/>
          </w:tcPr>
          <w:p w14:paraId="02AFBA73" w14:textId="77777777" w:rsidR="00990B14" w:rsidRDefault="00000000">
            <w:pPr>
              <w:spacing w:before="20" w:after="20"/>
              <w:jc w:val="both"/>
            </w:pPr>
            <w:r>
              <w:rPr>
                <w:sz w:val="18"/>
                <w:szCs w:val="18"/>
              </w:rPr>
              <w:t>Las curvas no corresponden a las ecuaciones.</w:t>
            </w:r>
          </w:p>
        </w:tc>
        <w:tc>
          <w:tcPr>
            <w:tcW w:w="2015" w:type="dxa"/>
            <w:shd w:val="clear" w:color="auto" w:fill="D9E2F3"/>
            <w:vAlign w:val="center"/>
          </w:tcPr>
          <w:p w14:paraId="2A907950" w14:textId="77777777" w:rsidR="00990B14" w:rsidRDefault="00000000">
            <w:pPr>
              <w:spacing w:before="20" w:after="20"/>
              <w:jc w:val="both"/>
            </w:pPr>
            <w:r>
              <w:rPr>
                <w:sz w:val="18"/>
                <w:szCs w:val="18"/>
              </w:rPr>
              <w:t>Traza correctamente las curvas del sistema.</w:t>
            </w:r>
          </w:p>
        </w:tc>
        <w:tc>
          <w:tcPr>
            <w:tcW w:w="1910" w:type="dxa"/>
            <w:shd w:val="clear" w:color="auto" w:fill="D9E2F3"/>
            <w:vAlign w:val="center"/>
          </w:tcPr>
          <w:p w14:paraId="038ABA00" w14:textId="77777777" w:rsidR="00990B14" w:rsidRDefault="00000000">
            <w:pPr>
              <w:spacing w:before="20" w:after="20"/>
              <w:jc w:val="both"/>
            </w:pPr>
            <w:r>
              <w:rPr>
                <w:sz w:val="18"/>
                <w:szCs w:val="18"/>
              </w:rPr>
              <w:t>Ajusta la escala para mostrar todas las intersecciones.</w:t>
            </w:r>
          </w:p>
        </w:tc>
      </w:tr>
      <w:tr w:rsidR="00990B14" w14:paraId="78A00684" w14:textId="77777777">
        <w:trPr>
          <w:cantSplit/>
          <w:jc w:val="center"/>
        </w:trPr>
        <w:tc>
          <w:tcPr>
            <w:tcW w:w="1555" w:type="dxa"/>
            <w:vMerge/>
            <w:shd w:val="clear" w:color="auto" w:fill="4472C4"/>
            <w:vAlign w:val="center"/>
          </w:tcPr>
          <w:p w14:paraId="4A66CCAC" w14:textId="77777777" w:rsidR="00990B14" w:rsidRDefault="00990B14">
            <w:pPr>
              <w:spacing w:before="20" w:after="20"/>
            </w:pPr>
          </w:p>
        </w:tc>
        <w:tc>
          <w:tcPr>
            <w:tcW w:w="2015" w:type="dxa"/>
            <w:shd w:val="clear" w:color="auto" w:fill="D9E2F3"/>
            <w:vAlign w:val="center"/>
          </w:tcPr>
          <w:p w14:paraId="64C6CB28" w14:textId="77777777" w:rsidR="00990B14" w:rsidRDefault="00000000">
            <w:pPr>
              <w:spacing w:before="20" w:after="20"/>
              <w:jc w:val="both"/>
            </w:pPr>
            <w:r>
              <w:rPr>
                <w:sz w:val="18"/>
                <w:szCs w:val="18"/>
              </w:rPr>
              <w:t>Puntos de intersección</w:t>
            </w:r>
          </w:p>
        </w:tc>
        <w:tc>
          <w:tcPr>
            <w:tcW w:w="1910" w:type="dxa"/>
            <w:shd w:val="clear" w:color="auto" w:fill="D9E2F3"/>
            <w:vAlign w:val="center"/>
          </w:tcPr>
          <w:p w14:paraId="396CB438" w14:textId="77777777" w:rsidR="00990B14" w:rsidRDefault="00000000">
            <w:pPr>
              <w:spacing w:before="20" w:after="20"/>
              <w:jc w:val="both"/>
            </w:pPr>
            <w:r>
              <w:rPr>
                <w:sz w:val="18"/>
                <w:szCs w:val="18"/>
              </w:rPr>
              <w:t>Omite o ubica mal las raíces.</w:t>
            </w:r>
          </w:p>
        </w:tc>
        <w:tc>
          <w:tcPr>
            <w:tcW w:w="2015" w:type="dxa"/>
            <w:shd w:val="clear" w:color="auto" w:fill="D9E2F3"/>
            <w:vAlign w:val="center"/>
          </w:tcPr>
          <w:p w14:paraId="1A4A9765" w14:textId="77777777" w:rsidR="00990B14" w:rsidRDefault="00000000">
            <w:pPr>
              <w:spacing w:before="20" w:after="20"/>
              <w:jc w:val="both"/>
            </w:pPr>
            <w:r>
              <w:rPr>
                <w:sz w:val="18"/>
                <w:szCs w:val="18"/>
              </w:rPr>
              <w:t>Identifica las raíces reales del sistema.</w:t>
            </w:r>
          </w:p>
        </w:tc>
        <w:tc>
          <w:tcPr>
            <w:tcW w:w="1910" w:type="dxa"/>
            <w:shd w:val="clear" w:color="auto" w:fill="D9E2F3"/>
            <w:vAlign w:val="center"/>
          </w:tcPr>
          <w:p w14:paraId="3A9EC95F" w14:textId="77777777" w:rsidR="00990B14" w:rsidRDefault="00000000">
            <w:pPr>
              <w:spacing w:before="20" w:after="20"/>
              <w:jc w:val="both"/>
            </w:pPr>
            <w:r>
              <w:rPr>
                <w:sz w:val="18"/>
                <w:szCs w:val="18"/>
              </w:rPr>
              <w:t>Contrasta las raíces gráficas con la solución algebraica.</w:t>
            </w:r>
          </w:p>
        </w:tc>
      </w:tr>
      <w:tr w:rsidR="00990B14" w14:paraId="4EEB08F7" w14:textId="77777777">
        <w:trPr>
          <w:cantSplit/>
          <w:jc w:val="center"/>
        </w:trPr>
        <w:tc>
          <w:tcPr>
            <w:tcW w:w="1555" w:type="dxa"/>
            <w:vMerge/>
            <w:shd w:val="clear" w:color="auto" w:fill="4472C4"/>
            <w:vAlign w:val="center"/>
          </w:tcPr>
          <w:p w14:paraId="2E270152" w14:textId="77777777" w:rsidR="00990B14" w:rsidRDefault="00990B14">
            <w:pPr>
              <w:spacing w:before="20" w:after="20"/>
            </w:pPr>
          </w:p>
        </w:tc>
        <w:tc>
          <w:tcPr>
            <w:tcW w:w="2015" w:type="dxa"/>
            <w:shd w:val="clear" w:color="auto" w:fill="D9E2F3"/>
            <w:vAlign w:val="center"/>
          </w:tcPr>
          <w:p w14:paraId="296A7AEF" w14:textId="77777777" w:rsidR="00990B14" w:rsidRDefault="00000000">
            <w:pPr>
              <w:spacing w:before="20" w:after="20"/>
              <w:jc w:val="both"/>
            </w:pPr>
            <w:r>
              <w:rPr>
                <w:sz w:val="18"/>
                <w:szCs w:val="18"/>
              </w:rPr>
              <w:t>Presentación</w:t>
            </w:r>
          </w:p>
        </w:tc>
        <w:tc>
          <w:tcPr>
            <w:tcW w:w="1910" w:type="dxa"/>
            <w:shd w:val="clear" w:color="auto" w:fill="D9E2F3"/>
            <w:vAlign w:val="center"/>
          </w:tcPr>
          <w:p w14:paraId="74FAFBFC" w14:textId="77777777" w:rsidR="00990B14" w:rsidRDefault="00000000">
            <w:pPr>
              <w:spacing w:before="20" w:after="20"/>
              <w:jc w:val="both"/>
            </w:pPr>
            <w:r>
              <w:rPr>
                <w:sz w:val="18"/>
                <w:szCs w:val="18"/>
              </w:rPr>
              <w:t>La gráfica carece de títulos y escalas.</w:t>
            </w:r>
          </w:p>
        </w:tc>
        <w:tc>
          <w:tcPr>
            <w:tcW w:w="2015" w:type="dxa"/>
            <w:shd w:val="clear" w:color="auto" w:fill="D9E2F3"/>
            <w:vAlign w:val="center"/>
          </w:tcPr>
          <w:p w14:paraId="5BA1F898" w14:textId="77777777" w:rsidR="00990B14" w:rsidRDefault="00000000">
            <w:pPr>
              <w:spacing w:before="20" w:after="20"/>
              <w:jc w:val="both"/>
            </w:pPr>
            <w:r>
              <w:rPr>
                <w:sz w:val="18"/>
                <w:szCs w:val="18"/>
              </w:rPr>
              <w:t>La gráfica es legible y está rotulada.</w:t>
            </w:r>
          </w:p>
        </w:tc>
        <w:tc>
          <w:tcPr>
            <w:tcW w:w="1910" w:type="dxa"/>
            <w:shd w:val="clear" w:color="auto" w:fill="D9E2F3"/>
            <w:vAlign w:val="center"/>
          </w:tcPr>
          <w:p w14:paraId="6FCAB768" w14:textId="77777777" w:rsidR="00990B14" w:rsidRDefault="00000000">
            <w:pPr>
              <w:spacing w:before="20" w:after="20"/>
              <w:jc w:val="both"/>
            </w:pPr>
            <w:r>
              <w:rPr>
                <w:sz w:val="18"/>
                <w:szCs w:val="18"/>
              </w:rPr>
              <w:t>Acompaña la gráfica con su interpretación económica.</w:t>
            </w:r>
          </w:p>
        </w:tc>
      </w:tr>
      <w:tr w:rsidR="00990B14" w14:paraId="1A588BF4" w14:textId="77777777">
        <w:trPr>
          <w:cantSplit/>
          <w:jc w:val="center"/>
        </w:trPr>
        <w:tc>
          <w:tcPr>
            <w:tcW w:w="1555" w:type="dxa"/>
            <w:vMerge/>
            <w:shd w:val="clear" w:color="auto" w:fill="4472C4"/>
            <w:vAlign w:val="center"/>
          </w:tcPr>
          <w:p w14:paraId="29C3D30F" w14:textId="77777777" w:rsidR="00990B14" w:rsidRDefault="00990B14">
            <w:pPr>
              <w:spacing w:before="20" w:after="20"/>
            </w:pPr>
          </w:p>
        </w:tc>
        <w:tc>
          <w:tcPr>
            <w:tcW w:w="5940" w:type="dxa"/>
            <w:gridSpan w:val="3"/>
            <w:shd w:val="clear" w:color="auto" w:fill="D9E2F3"/>
            <w:vAlign w:val="center"/>
          </w:tcPr>
          <w:p w14:paraId="5884AC6E" w14:textId="77777777" w:rsidR="00990B14" w:rsidRDefault="00000000">
            <w:pPr>
              <w:keepNext/>
              <w:spacing w:before="20" w:after="20"/>
              <w:jc w:val="both"/>
            </w:pPr>
            <w:r>
              <w:rPr>
                <w:b/>
                <w:bCs/>
                <w:i/>
                <w:iCs/>
                <w:sz w:val="18"/>
                <w:szCs w:val="18"/>
              </w:rPr>
              <w:t xml:space="preserve">Producto 4: </w:t>
            </w:r>
            <w:r>
              <w:rPr>
                <w:sz w:val="18"/>
                <w:szCs w:val="18"/>
              </w:rPr>
              <w:t>Cuadro del intervalo de producción rentable</w:t>
            </w:r>
          </w:p>
        </w:tc>
        <w:tc>
          <w:tcPr>
            <w:tcW w:w="1910" w:type="dxa"/>
            <w:shd w:val="clear" w:color="auto" w:fill="D9E2F3"/>
            <w:vAlign w:val="center"/>
          </w:tcPr>
          <w:p w14:paraId="74D7EAD3" w14:textId="77777777" w:rsidR="00990B14" w:rsidRDefault="00000000">
            <w:pPr>
              <w:spacing w:before="20" w:after="20"/>
              <w:jc w:val="center"/>
            </w:pPr>
            <w:r>
              <w:rPr>
                <w:b/>
                <w:bCs/>
                <w:sz w:val="18"/>
                <w:szCs w:val="18"/>
              </w:rPr>
              <w:t>3%</w:t>
            </w:r>
          </w:p>
        </w:tc>
      </w:tr>
      <w:tr w:rsidR="00990B14" w14:paraId="3356428A" w14:textId="77777777">
        <w:trPr>
          <w:cantSplit/>
          <w:jc w:val="center"/>
        </w:trPr>
        <w:tc>
          <w:tcPr>
            <w:tcW w:w="1555" w:type="dxa"/>
            <w:vMerge/>
            <w:shd w:val="clear" w:color="auto" w:fill="4472C4"/>
            <w:vAlign w:val="center"/>
          </w:tcPr>
          <w:p w14:paraId="51FDC750" w14:textId="77777777" w:rsidR="00990B14" w:rsidRDefault="00990B14">
            <w:pPr>
              <w:spacing w:before="20" w:after="20"/>
            </w:pPr>
          </w:p>
        </w:tc>
        <w:tc>
          <w:tcPr>
            <w:tcW w:w="2015" w:type="dxa"/>
            <w:shd w:val="clear" w:color="auto" w:fill="4472C4"/>
            <w:vAlign w:val="center"/>
          </w:tcPr>
          <w:p w14:paraId="0FD42055"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57E90F4E"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22FD068B"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5FF0C8DA" w14:textId="77777777" w:rsidR="00990B14" w:rsidRDefault="00000000">
            <w:pPr>
              <w:keepNext/>
              <w:spacing w:before="20" w:after="20"/>
              <w:jc w:val="center"/>
            </w:pPr>
            <w:r>
              <w:rPr>
                <w:b/>
                <w:bCs/>
                <w:i/>
                <w:iCs/>
                <w:color w:val="FFFFFF"/>
                <w:sz w:val="18"/>
                <w:szCs w:val="18"/>
              </w:rPr>
              <w:t>Destacado (81–100)</w:t>
            </w:r>
          </w:p>
        </w:tc>
      </w:tr>
      <w:tr w:rsidR="00990B14" w14:paraId="41C52A74" w14:textId="77777777">
        <w:trPr>
          <w:cantSplit/>
          <w:jc w:val="center"/>
        </w:trPr>
        <w:tc>
          <w:tcPr>
            <w:tcW w:w="1555" w:type="dxa"/>
            <w:vMerge/>
            <w:shd w:val="clear" w:color="auto" w:fill="4472C4"/>
            <w:vAlign w:val="center"/>
          </w:tcPr>
          <w:p w14:paraId="0F437ED4" w14:textId="77777777" w:rsidR="00990B14" w:rsidRDefault="00990B14">
            <w:pPr>
              <w:spacing w:before="20" w:after="20"/>
            </w:pPr>
          </w:p>
        </w:tc>
        <w:tc>
          <w:tcPr>
            <w:tcW w:w="2015" w:type="dxa"/>
            <w:shd w:val="clear" w:color="auto" w:fill="D9E2F3"/>
            <w:vAlign w:val="center"/>
          </w:tcPr>
          <w:p w14:paraId="2B654490" w14:textId="77777777" w:rsidR="00990B14" w:rsidRDefault="00000000">
            <w:pPr>
              <w:spacing w:before="20" w:after="20"/>
              <w:jc w:val="both"/>
            </w:pPr>
            <w:r>
              <w:rPr>
                <w:sz w:val="18"/>
                <w:szCs w:val="18"/>
              </w:rPr>
              <w:t>Planteamiento</w:t>
            </w:r>
          </w:p>
        </w:tc>
        <w:tc>
          <w:tcPr>
            <w:tcW w:w="1910" w:type="dxa"/>
            <w:shd w:val="clear" w:color="auto" w:fill="D9E2F3"/>
            <w:vAlign w:val="center"/>
          </w:tcPr>
          <w:p w14:paraId="67040EF8" w14:textId="77777777" w:rsidR="00990B14" w:rsidRDefault="00000000">
            <w:pPr>
              <w:spacing w:before="20" w:after="20"/>
              <w:jc w:val="both"/>
            </w:pPr>
            <w:r>
              <w:rPr>
                <w:sz w:val="18"/>
                <w:szCs w:val="18"/>
              </w:rPr>
              <w:t>No plantea la desigualdad de la utilidad.</w:t>
            </w:r>
          </w:p>
        </w:tc>
        <w:tc>
          <w:tcPr>
            <w:tcW w:w="2015" w:type="dxa"/>
            <w:shd w:val="clear" w:color="auto" w:fill="D9E2F3"/>
            <w:vAlign w:val="center"/>
          </w:tcPr>
          <w:p w14:paraId="21BF24F3" w14:textId="77777777" w:rsidR="00990B14" w:rsidRDefault="00000000">
            <w:pPr>
              <w:spacing w:before="20" w:after="20"/>
              <w:jc w:val="both"/>
            </w:pPr>
            <w:r>
              <w:rPr>
                <w:sz w:val="18"/>
                <w:szCs w:val="18"/>
              </w:rPr>
              <w:t>Plantea la inecuación de la utilidad positiva.</w:t>
            </w:r>
          </w:p>
        </w:tc>
        <w:tc>
          <w:tcPr>
            <w:tcW w:w="1910" w:type="dxa"/>
            <w:shd w:val="clear" w:color="auto" w:fill="D9E2F3"/>
            <w:vAlign w:val="center"/>
          </w:tcPr>
          <w:p w14:paraId="3CF9447C" w14:textId="77777777" w:rsidR="00990B14" w:rsidRDefault="00000000">
            <w:pPr>
              <w:spacing w:before="20" w:after="20"/>
              <w:jc w:val="both"/>
            </w:pPr>
            <w:r>
              <w:rPr>
                <w:sz w:val="18"/>
                <w:szCs w:val="18"/>
              </w:rPr>
              <w:t>Incluye las restricciones de capacidad de la empresa.</w:t>
            </w:r>
          </w:p>
        </w:tc>
      </w:tr>
      <w:tr w:rsidR="00990B14" w14:paraId="45D119E8" w14:textId="77777777">
        <w:trPr>
          <w:cantSplit/>
          <w:jc w:val="center"/>
        </w:trPr>
        <w:tc>
          <w:tcPr>
            <w:tcW w:w="1555" w:type="dxa"/>
            <w:vMerge/>
            <w:shd w:val="clear" w:color="auto" w:fill="4472C4"/>
            <w:vAlign w:val="center"/>
          </w:tcPr>
          <w:p w14:paraId="43FA8313" w14:textId="77777777" w:rsidR="00990B14" w:rsidRDefault="00990B14">
            <w:pPr>
              <w:spacing w:before="20" w:after="20"/>
            </w:pPr>
          </w:p>
        </w:tc>
        <w:tc>
          <w:tcPr>
            <w:tcW w:w="2015" w:type="dxa"/>
            <w:shd w:val="clear" w:color="auto" w:fill="D9E2F3"/>
            <w:vAlign w:val="center"/>
          </w:tcPr>
          <w:p w14:paraId="7C834F0F" w14:textId="77777777" w:rsidR="00990B14" w:rsidRDefault="00000000">
            <w:pPr>
              <w:spacing w:before="20" w:after="20"/>
              <w:jc w:val="both"/>
            </w:pPr>
            <w:r>
              <w:rPr>
                <w:sz w:val="18"/>
                <w:szCs w:val="18"/>
              </w:rPr>
              <w:t>Intervalo solución</w:t>
            </w:r>
          </w:p>
        </w:tc>
        <w:tc>
          <w:tcPr>
            <w:tcW w:w="1910" w:type="dxa"/>
            <w:shd w:val="clear" w:color="auto" w:fill="D9E2F3"/>
            <w:vAlign w:val="center"/>
          </w:tcPr>
          <w:p w14:paraId="547CE683" w14:textId="77777777" w:rsidR="00990B14" w:rsidRDefault="00000000">
            <w:pPr>
              <w:spacing w:before="20" w:after="20"/>
              <w:jc w:val="both"/>
            </w:pPr>
            <w:r>
              <w:rPr>
                <w:sz w:val="18"/>
                <w:szCs w:val="18"/>
              </w:rPr>
              <w:t>El intervalo es incorrecto.</w:t>
            </w:r>
          </w:p>
        </w:tc>
        <w:tc>
          <w:tcPr>
            <w:tcW w:w="2015" w:type="dxa"/>
            <w:shd w:val="clear" w:color="auto" w:fill="D9E2F3"/>
            <w:vAlign w:val="center"/>
          </w:tcPr>
          <w:p w14:paraId="56A4175D" w14:textId="77777777" w:rsidR="00990B14" w:rsidRDefault="00000000">
            <w:pPr>
              <w:spacing w:before="20" w:after="20"/>
              <w:jc w:val="both"/>
            </w:pPr>
            <w:r>
              <w:rPr>
                <w:sz w:val="18"/>
                <w:szCs w:val="18"/>
              </w:rPr>
              <w:t>Determina correctamente el intervalo solución.</w:t>
            </w:r>
          </w:p>
        </w:tc>
        <w:tc>
          <w:tcPr>
            <w:tcW w:w="1910" w:type="dxa"/>
            <w:shd w:val="clear" w:color="auto" w:fill="D9E2F3"/>
            <w:vAlign w:val="center"/>
          </w:tcPr>
          <w:p w14:paraId="70213A93" w14:textId="77777777" w:rsidR="00990B14" w:rsidRDefault="00000000">
            <w:pPr>
              <w:spacing w:before="20" w:after="20"/>
              <w:jc w:val="both"/>
            </w:pPr>
            <w:r>
              <w:rPr>
                <w:sz w:val="18"/>
                <w:szCs w:val="18"/>
              </w:rPr>
              <w:t>Explica qué ocurre fuera del intervalo.</w:t>
            </w:r>
          </w:p>
        </w:tc>
      </w:tr>
      <w:tr w:rsidR="00990B14" w14:paraId="26BDB858" w14:textId="77777777">
        <w:trPr>
          <w:cantSplit/>
          <w:jc w:val="center"/>
        </w:trPr>
        <w:tc>
          <w:tcPr>
            <w:tcW w:w="1555" w:type="dxa"/>
            <w:vMerge/>
            <w:shd w:val="clear" w:color="auto" w:fill="4472C4"/>
            <w:vAlign w:val="center"/>
          </w:tcPr>
          <w:p w14:paraId="01DBA08B" w14:textId="77777777" w:rsidR="00990B14" w:rsidRDefault="00990B14">
            <w:pPr>
              <w:spacing w:before="20" w:after="20"/>
            </w:pPr>
          </w:p>
        </w:tc>
        <w:tc>
          <w:tcPr>
            <w:tcW w:w="2015" w:type="dxa"/>
            <w:shd w:val="clear" w:color="auto" w:fill="D9E2F3"/>
            <w:vAlign w:val="center"/>
          </w:tcPr>
          <w:p w14:paraId="61AA9E01" w14:textId="77777777" w:rsidR="00990B14" w:rsidRDefault="00000000">
            <w:pPr>
              <w:spacing w:before="20" w:after="20"/>
              <w:jc w:val="both"/>
            </w:pPr>
            <w:r>
              <w:rPr>
                <w:sz w:val="18"/>
                <w:szCs w:val="18"/>
              </w:rPr>
              <w:t>Exposición</w:t>
            </w:r>
          </w:p>
        </w:tc>
        <w:tc>
          <w:tcPr>
            <w:tcW w:w="1910" w:type="dxa"/>
            <w:shd w:val="clear" w:color="auto" w:fill="D9E2F3"/>
            <w:vAlign w:val="center"/>
          </w:tcPr>
          <w:p w14:paraId="697C7E54" w14:textId="77777777" w:rsidR="00990B14" w:rsidRDefault="00000000">
            <w:pPr>
              <w:spacing w:before="20" w:after="20"/>
              <w:jc w:val="both"/>
            </w:pPr>
            <w:r>
              <w:rPr>
                <w:sz w:val="18"/>
                <w:szCs w:val="18"/>
              </w:rPr>
              <w:t>La explicación es confusa.</w:t>
            </w:r>
          </w:p>
        </w:tc>
        <w:tc>
          <w:tcPr>
            <w:tcW w:w="2015" w:type="dxa"/>
            <w:shd w:val="clear" w:color="auto" w:fill="D9E2F3"/>
            <w:vAlign w:val="center"/>
          </w:tcPr>
          <w:p w14:paraId="680757EC" w14:textId="77777777" w:rsidR="00990B14" w:rsidRDefault="00000000">
            <w:pPr>
              <w:spacing w:before="20" w:after="20"/>
              <w:jc w:val="both"/>
            </w:pPr>
            <w:r>
              <w:rPr>
                <w:sz w:val="18"/>
                <w:szCs w:val="18"/>
              </w:rPr>
              <w:t>Explica el procedimiento con claridad.</w:t>
            </w:r>
          </w:p>
        </w:tc>
        <w:tc>
          <w:tcPr>
            <w:tcW w:w="1910" w:type="dxa"/>
            <w:shd w:val="clear" w:color="auto" w:fill="D9E2F3"/>
            <w:vAlign w:val="center"/>
          </w:tcPr>
          <w:p w14:paraId="7CC4D8CA" w14:textId="77777777" w:rsidR="00990B14" w:rsidRDefault="00000000">
            <w:pPr>
              <w:spacing w:before="20" w:after="20"/>
              <w:jc w:val="both"/>
            </w:pPr>
            <w:r>
              <w:rPr>
                <w:sz w:val="18"/>
                <w:szCs w:val="18"/>
              </w:rPr>
              <w:t>Responde con solvencia las preguntas del curso.</w:t>
            </w:r>
          </w:p>
        </w:tc>
      </w:tr>
      <w:tr w:rsidR="00990B14" w14:paraId="5994DC88" w14:textId="77777777">
        <w:trPr>
          <w:cantSplit/>
          <w:jc w:val="center"/>
        </w:trPr>
        <w:tc>
          <w:tcPr>
            <w:tcW w:w="1555" w:type="dxa"/>
            <w:vMerge/>
            <w:shd w:val="clear" w:color="auto" w:fill="4472C4"/>
            <w:vAlign w:val="center"/>
          </w:tcPr>
          <w:p w14:paraId="5755BE4A" w14:textId="77777777" w:rsidR="00990B14" w:rsidRDefault="00990B14">
            <w:pPr>
              <w:spacing w:before="20" w:after="20"/>
            </w:pPr>
          </w:p>
        </w:tc>
        <w:tc>
          <w:tcPr>
            <w:tcW w:w="5940" w:type="dxa"/>
            <w:gridSpan w:val="3"/>
            <w:shd w:val="clear" w:color="auto" w:fill="D9E2F3"/>
            <w:vAlign w:val="center"/>
          </w:tcPr>
          <w:p w14:paraId="0F72112D" w14:textId="77777777" w:rsidR="00990B14" w:rsidRDefault="00000000">
            <w:pPr>
              <w:keepNext/>
              <w:spacing w:before="20" w:after="20"/>
              <w:jc w:val="both"/>
            </w:pPr>
            <w:r>
              <w:rPr>
                <w:b/>
                <w:bCs/>
                <w:i/>
                <w:iCs/>
                <w:sz w:val="18"/>
                <w:szCs w:val="18"/>
              </w:rPr>
              <w:t xml:space="preserve">Producto 5: </w:t>
            </w:r>
            <w:r>
              <w:rPr>
                <w:sz w:val="18"/>
                <w:szCs w:val="18"/>
              </w:rPr>
              <w:t>Modelo de oferta y demanda</w:t>
            </w:r>
          </w:p>
        </w:tc>
        <w:tc>
          <w:tcPr>
            <w:tcW w:w="1910" w:type="dxa"/>
            <w:shd w:val="clear" w:color="auto" w:fill="D9E2F3"/>
            <w:vAlign w:val="center"/>
          </w:tcPr>
          <w:p w14:paraId="26099B3B" w14:textId="77777777" w:rsidR="00990B14" w:rsidRDefault="00000000">
            <w:pPr>
              <w:spacing w:before="20" w:after="20"/>
              <w:jc w:val="center"/>
            </w:pPr>
            <w:r>
              <w:rPr>
                <w:b/>
                <w:bCs/>
                <w:sz w:val="18"/>
                <w:szCs w:val="18"/>
              </w:rPr>
              <w:t>7%</w:t>
            </w:r>
          </w:p>
        </w:tc>
      </w:tr>
      <w:tr w:rsidR="00990B14" w14:paraId="124CE569" w14:textId="77777777">
        <w:trPr>
          <w:cantSplit/>
          <w:jc w:val="center"/>
        </w:trPr>
        <w:tc>
          <w:tcPr>
            <w:tcW w:w="1555" w:type="dxa"/>
            <w:vMerge/>
            <w:shd w:val="clear" w:color="auto" w:fill="4472C4"/>
            <w:vAlign w:val="center"/>
          </w:tcPr>
          <w:p w14:paraId="3EDD2CCA" w14:textId="77777777" w:rsidR="00990B14" w:rsidRDefault="00990B14">
            <w:pPr>
              <w:spacing w:before="20" w:after="20"/>
            </w:pPr>
          </w:p>
        </w:tc>
        <w:tc>
          <w:tcPr>
            <w:tcW w:w="2015" w:type="dxa"/>
            <w:shd w:val="clear" w:color="auto" w:fill="4472C4"/>
            <w:vAlign w:val="center"/>
          </w:tcPr>
          <w:p w14:paraId="460C23FD"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5ACD7C3F"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182466D7"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4789F370" w14:textId="77777777" w:rsidR="00990B14" w:rsidRDefault="00000000">
            <w:pPr>
              <w:keepNext/>
              <w:spacing w:before="20" w:after="20"/>
              <w:jc w:val="center"/>
            </w:pPr>
            <w:r>
              <w:rPr>
                <w:b/>
                <w:bCs/>
                <w:i/>
                <w:iCs/>
                <w:color w:val="FFFFFF"/>
                <w:sz w:val="18"/>
                <w:szCs w:val="18"/>
              </w:rPr>
              <w:t>Destacado (81–100)</w:t>
            </w:r>
          </w:p>
        </w:tc>
      </w:tr>
      <w:tr w:rsidR="00990B14" w14:paraId="68C13DEF" w14:textId="77777777">
        <w:trPr>
          <w:cantSplit/>
          <w:jc w:val="center"/>
        </w:trPr>
        <w:tc>
          <w:tcPr>
            <w:tcW w:w="1555" w:type="dxa"/>
            <w:vMerge/>
            <w:shd w:val="clear" w:color="auto" w:fill="4472C4"/>
            <w:vAlign w:val="center"/>
          </w:tcPr>
          <w:p w14:paraId="2B0998D4" w14:textId="77777777" w:rsidR="00990B14" w:rsidRDefault="00990B14">
            <w:pPr>
              <w:spacing w:before="20" w:after="20"/>
            </w:pPr>
          </w:p>
        </w:tc>
        <w:tc>
          <w:tcPr>
            <w:tcW w:w="2015" w:type="dxa"/>
            <w:shd w:val="clear" w:color="auto" w:fill="D9E2F3"/>
            <w:vAlign w:val="center"/>
          </w:tcPr>
          <w:p w14:paraId="2A38D2E3" w14:textId="77777777" w:rsidR="00990B14" w:rsidRDefault="00000000">
            <w:pPr>
              <w:spacing w:before="20" w:after="20"/>
              <w:jc w:val="both"/>
            </w:pPr>
            <w:r>
              <w:rPr>
                <w:sz w:val="18"/>
                <w:szCs w:val="18"/>
              </w:rPr>
              <w:t>Funciones del modelo</w:t>
            </w:r>
          </w:p>
        </w:tc>
        <w:tc>
          <w:tcPr>
            <w:tcW w:w="1910" w:type="dxa"/>
            <w:shd w:val="clear" w:color="auto" w:fill="D9E2F3"/>
            <w:vAlign w:val="center"/>
          </w:tcPr>
          <w:p w14:paraId="60FF0815" w14:textId="77777777" w:rsidR="00990B14" w:rsidRDefault="00000000">
            <w:pPr>
              <w:spacing w:before="20" w:after="20"/>
              <w:jc w:val="both"/>
            </w:pPr>
            <w:r>
              <w:rPr>
                <w:sz w:val="18"/>
                <w:szCs w:val="18"/>
              </w:rPr>
              <w:t>Confunde la función de oferta con la de demanda.</w:t>
            </w:r>
          </w:p>
        </w:tc>
        <w:tc>
          <w:tcPr>
            <w:tcW w:w="2015" w:type="dxa"/>
            <w:shd w:val="clear" w:color="auto" w:fill="D9E2F3"/>
            <w:vAlign w:val="center"/>
          </w:tcPr>
          <w:p w14:paraId="32E6019E" w14:textId="77777777" w:rsidR="00990B14" w:rsidRDefault="00000000">
            <w:pPr>
              <w:spacing w:before="20" w:after="20"/>
              <w:jc w:val="both"/>
            </w:pPr>
            <w:r>
              <w:rPr>
                <w:sz w:val="18"/>
                <w:szCs w:val="18"/>
              </w:rPr>
              <w:t>Expresa correctamente ambas funciones.</w:t>
            </w:r>
          </w:p>
        </w:tc>
        <w:tc>
          <w:tcPr>
            <w:tcW w:w="1910" w:type="dxa"/>
            <w:shd w:val="clear" w:color="auto" w:fill="D9E2F3"/>
            <w:vAlign w:val="center"/>
          </w:tcPr>
          <w:p w14:paraId="3CD8EB22" w14:textId="77777777" w:rsidR="00990B14" w:rsidRDefault="00000000">
            <w:pPr>
              <w:spacing w:before="20" w:after="20"/>
              <w:jc w:val="both"/>
            </w:pPr>
            <w:r>
              <w:rPr>
                <w:sz w:val="18"/>
                <w:szCs w:val="18"/>
              </w:rPr>
              <w:t>Explica el significado de las pendientes.</w:t>
            </w:r>
          </w:p>
        </w:tc>
      </w:tr>
      <w:tr w:rsidR="00990B14" w14:paraId="234BDE56" w14:textId="77777777">
        <w:trPr>
          <w:cantSplit/>
          <w:jc w:val="center"/>
        </w:trPr>
        <w:tc>
          <w:tcPr>
            <w:tcW w:w="1555" w:type="dxa"/>
            <w:vMerge/>
            <w:shd w:val="clear" w:color="auto" w:fill="4472C4"/>
            <w:vAlign w:val="center"/>
          </w:tcPr>
          <w:p w14:paraId="5871D7B5" w14:textId="77777777" w:rsidR="00990B14" w:rsidRDefault="00990B14">
            <w:pPr>
              <w:spacing w:before="20" w:after="20"/>
            </w:pPr>
          </w:p>
        </w:tc>
        <w:tc>
          <w:tcPr>
            <w:tcW w:w="2015" w:type="dxa"/>
            <w:shd w:val="clear" w:color="auto" w:fill="D9E2F3"/>
            <w:vAlign w:val="center"/>
          </w:tcPr>
          <w:p w14:paraId="226D2B73" w14:textId="77777777" w:rsidR="00990B14" w:rsidRDefault="00000000">
            <w:pPr>
              <w:spacing w:before="20" w:after="20"/>
              <w:jc w:val="both"/>
            </w:pPr>
            <w:r>
              <w:rPr>
                <w:sz w:val="18"/>
                <w:szCs w:val="18"/>
              </w:rPr>
              <w:t>Punto de equilibrio</w:t>
            </w:r>
          </w:p>
        </w:tc>
        <w:tc>
          <w:tcPr>
            <w:tcW w:w="1910" w:type="dxa"/>
            <w:shd w:val="clear" w:color="auto" w:fill="D9E2F3"/>
            <w:vAlign w:val="center"/>
          </w:tcPr>
          <w:p w14:paraId="51289572" w14:textId="77777777" w:rsidR="00990B14" w:rsidRDefault="00000000">
            <w:pPr>
              <w:spacing w:before="20" w:after="20"/>
              <w:jc w:val="both"/>
            </w:pPr>
            <w:r>
              <w:rPr>
                <w:sz w:val="18"/>
                <w:szCs w:val="18"/>
              </w:rPr>
              <w:t>El equilibrio calculado es incorrecto.</w:t>
            </w:r>
          </w:p>
        </w:tc>
        <w:tc>
          <w:tcPr>
            <w:tcW w:w="2015" w:type="dxa"/>
            <w:shd w:val="clear" w:color="auto" w:fill="D9E2F3"/>
            <w:vAlign w:val="center"/>
          </w:tcPr>
          <w:p w14:paraId="1CFA18DF" w14:textId="77777777" w:rsidR="00990B14" w:rsidRDefault="00000000">
            <w:pPr>
              <w:spacing w:before="20" w:after="20"/>
              <w:jc w:val="both"/>
            </w:pPr>
            <w:r>
              <w:rPr>
                <w:sz w:val="18"/>
                <w:szCs w:val="18"/>
              </w:rPr>
              <w:t>Determina el precio y la cantidad de equilibrio.</w:t>
            </w:r>
          </w:p>
        </w:tc>
        <w:tc>
          <w:tcPr>
            <w:tcW w:w="1910" w:type="dxa"/>
            <w:shd w:val="clear" w:color="auto" w:fill="D9E2F3"/>
            <w:vAlign w:val="center"/>
          </w:tcPr>
          <w:p w14:paraId="4198F06A" w14:textId="77777777" w:rsidR="00990B14" w:rsidRDefault="00000000">
            <w:pPr>
              <w:spacing w:before="20" w:after="20"/>
              <w:jc w:val="both"/>
            </w:pPr>
            <w:r>
              <w:rPr>
                <w:sz w:val="18"/>
                <w:szCs w:val="18"/>
              </w:rPr>
              <w:t>Analiza el efecto de un cambio en una de las funciones.</w:t>
            </w:r>
          </w:p>
        </w:tc>
      </w:tr>
      <w:tr w:rsidR="00990B14" w14:paraId="1C5A100E" w14:textId="77777777">
        <w:trPr>
          <w:cantSplit/>
          <w:jc w:val="center"/>
        </w:trPr>
        <w:tc>
          <w:tcPr>
            <w:tcW w:w="1555" w:type="dxa"/>
            <w:vMerge/>
            <w:shd w:val="clear" w:color="auto" w:fill="4472C4"/>
            <w:vAlign w:val="center"/>
          </w:tcPr>
          <w:p w14:paraId="309D5C30" w14:textId="77777777" w:rsidR="00990B14" w:rsidRDefault="00990B14">
            <w:pPr>
              <w:spacing w:before="20" w:after="20"/>
            </w:pPr>
          </w:p>
        </w:tc>
        <w:tc>
          <w:tcPr>
            <w:tcW w:w="2015" w:type="dxa"/>
            <w:shd w:val="clear" w:color="auto" w:fill="D9E2F3"/>
            <w:vAlign w:val="center"/>
          </w:tcPr>
          <w:p w14:paraId="1FE67A33" w14:textId="77777777" w:rsidR="00990B14" w:rsidRDefault="00000000">
            <w:pPr>
              <w:spacing w:before="20" w:after="20"/>
              <w:jc w:val="both"/>
            </w:pPr>
            <w:r>
              <w:rPr>
                <w:sz w:val="18"/>
                <w:szCs w:val="18"/>
              </w:rPr>
              <w:t>Gráfica</w:t>
            </w:r>
          </w:p>
        </w:tc>
        <w:tc>
          <w:tcPr>
            <w:tcW w:w="1910" w:type="dxa"/>
            <w:shd w:val="clear" w:color="auto" w:fill="D9E2F3"/>
            <w:vAlign w:val="center"/>
          </w:tcPr>
          <w:p w14:paraId="67EACB6B" w14:textId="77777777" w:rsidR="00990B14" w:rsidRDefault="00000000">
            <w:pPr>
              <w:spacing w:before="20" w:after="20"/>
              <w:jc w:val="both"/>
            </w:pPr>
            <w:r>
              <w:rPr>
                <w:sz w:val="18"/>
                <w:szCs w:val="18"/>
              </w:rPr>
              <w:t>La gráfica no muestra el equilibrio.</w:t>
            </w:r>
          </w:p>
        </w:tc>
        <w:tc>
          <w:tcPr>
            <w:tcW w:w="2015" w:type="dxa"/>
            <w:shd w:val="clear" w:color="auto" w:fill="D9E2F3"/>
            <w:vAlign w:val="center"/>
          </w:tcPr>
          <w:p w14:paraId="358AC05B" w14:textId="77777777" w:rsidR="00990B14" w:rsidRDefault="00000000">
            <w:pPr>
              <w:spacing w:before="20" w:after="20"/>
              <w:jc w:val="both"/>
            </w:pPr>
            <w:r>
              <w:rPr>
                <w:sz w:val="18"/>
                <w:szCs w:val="18"/>
              </w:rPr>
              <w:t>Grafica ambas funciones y su intersección.</w:t>
            </w:r>
          </w:p>
        </w:tc>
        <w:tc>
          <w:tcPr>
            <w:tcW w:w="1910" w:type="dxa"/>
            <w:shd w:val="clear" w:color="auto" w:fill="D9E2F3"/>
            <w:vAlign w:val="center"/>
          </w:tcPr>
          <w:p w14:paraId="27023FE6" w14:textId="77777777" w:rsidR="00990B14" w:rsidRDefault="00000000">
            <w:pPr>
              <w:spacing w:before="20" w:after="20"/>
              <w:jc w:val="both"/>
            </w:pPr>
            <w:r>
              <w:rPr>
                <w:sz w:val="18"/>
                <w:szCs w:val="18"/>
              </w:rPr>
              <w:t>Señala el excedente y el faltante fuera del equilibrio.</w:t>
            </w:r>
          </w:p>
        </w:tc>
      </w:tr>
      <w:tr w:rsidR="00990B14" w14:paraId="3975B231" w14:textId="77777777">
        <w:trPr>
          <w:cantSplit/>
          <w:jc w:val="center"/>
        </w:trPr>
        <w:tc>
          <w:tcPr>
            <w:tcW w:w="1555" w:type="dxa"/>
            <w:vMerge/>
            <w:shd w:val="clear" w:color="auto" w:fill="4472C4"/>
            <w:vAlign w:val="center"/>
          </w:tcPr>
          <w:p w14:paraId="4626B716" w14:textId="77777777" w:rsidR="00990B14" w:rsidRDefault="00990B14">
            <w:pPr>
              <w:spacing w:before="20" w:after="20"/>
            </w:pPr>
          </w:p>
        </w:tc>
        <w:tc>
          <w:tcPr>
            <w:tcW w:w="5940" w:type="dxa"/>
            <w:gridSpan w:val="3"/>
            <w:shd w:val="clear" w:color="auto" w:fill="D9E2F3"/>
            <w:vAlign w:val="center"/>
          </w:tcPr>
          <w:p w14:paraId="564AA434" w14:textId="77777777" w:rsidR="00990B14" w:rsidRDefault="00000000">
            <w:pPr>
              <w:keepNext/>
              <w:spacing w:before="20" w:after="20"/>
              <w:jc w:val="both"/>
            </w:pPr>
            <w:r>
              <w:rPr>
                <w:b/>
                <w:bCs/>
                <w:i/>
                <w:iCs/>
                <w:sz w:val="18"/>
                <w:szCs w:val="18"/>
              </w:rPr>
              <w:t xml:space="preserve">Producto 6: </w:t>
            </w:r>
            <w:r>
              <w:rPr>
                <w:sz w:val="18"/>
                <w:szCs w:val="18"/>
              </w:rPr>
              <w:t>Hoja de funciones lineales y exponenciales</w:t>
            </w:r>
          </w:p>
        </w:tc>
        <w:tc>
          <w:tcPr>
            <w:tcW w:w="1910" w:type="dxa"/>
            <w:shd w:val="clear" w:color="auto" w:fill="D9E2F3"/>
            <w:vAlign w:val="center"/>
          </w:tcPr>
          <w:p w14:paraId="088A373C" w14:textId="77777777" w:rsidR="00990B14" w:rsidRDefault="00000000">
            <w:pPr>
              <w:spacing w:before="20" w:after="20"/>
              <w:jc w:val="center"/>
            </w:pPr>
            <w:r>
              <w:rPr>
                <w:b/>
                <w:bCs/>
                <w:sz w:val="18"/>
                <w:szCs w:val="18"/>
              </w:rPr>
              <w:t>6%</w:t>
            </w:r>
          </w:p>
        </w:tc>
      </w:tr>
      <w:tr w:rsidR="00990B14" w14:paraId="280F0749" w14:textId="77777777">
        <w:trPr>
          <w:cantSplit/>
          <w:jc w:val="center"/>
        </w:trPr>
        <w:tc>
          <w:tcPr>
            <w:tcW w:w="1555" w:type="dxa"/>
            <w:vMerge/>
            <w:shd w:val="clear" w:color="auto" w:fill="4472C4"/>
            <w:vAlign w:val="center"/>
          </w:tcPr>
          <w:p w14:paraId="7341E0E2" w14:textId="77777777" w:rsidR="00990B14" w:rsidRDefault="00990B14">
            <w:pPr>
              <w:spacing w:before="20" w:after="20"/>
            </w:pPr>
          </w:p>
        </w:tc>
        <w:tc>
          <w:tcPr>
            <w:tcW w:w="2015" w:type="dxa"/>
            <w:shd w:val="clear" w:color="auto" w:fill="4472C4"/>
            <w:vAlign w:val="center"/>
          </w:tcPr>
          <w:p w14:paraId="415D2B33"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2E4F08FD"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29189400"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2EF27F6B" w14:textId="77777777" w:rsidR="00990B14" w:rsidRDefault="00000000">
            <w:pPr>
              <w:keepNext/>
              <w:spacing w:before="20" w:after="20"/>
              <w:jc w:val="center"/>
            </w:pPr>
            <w:r>
              <w:rPr>
                <w:b/>
                <w:bCs/>
                <w:i/>
                <w:iCs/>
                <w:color w:val="FFFFFF"/>
                <w:sz w:val="18"/>
                <w:szCs w:val="18"/>
              </w:rPr>
              <w:t>Destacado (81–100)</w:t>
            </w:r>
          </w:p>
        </w:tc>
      </w:tr>
      <w:tr w:rsidR="00990B14" w14:paraId="62303A43" w14:textId="77777777">
        <w:trPr>
          <w:cantSplit/>
          <w:jc w:val="center"/>
        </w:trPr>
        <w:tc>
          <w:tcPr>
            <w:tcW w:w="1555" w:type="dxa"/>
            <w:vMerge/>
            <w:shd w:val="clear" w:color="auto" w:fill="4472C4"/>
            <w:vAlign w:val="center"/>
          </w:tcPr>
          <w:p w14:paraId="63974612" w14:textId="77777777" w:rsidR="00990B14" w:rsidRDefault="00990B14">
            <w:pPr>
              <w:spacing w:before="20" w:after="20"/>
            </w:pPr>
          </w:p>
        </w:tc>
        <w:tc>
          <w:tcPr>
            <w:tcW w:w="2015" w:type="dxa"/>
            <w:shd w:val="clear" w:color="auto" w:fill="D9E2F3"/>
            <w:vAlign w:val="center"/>
          </w:tcPr>
          <w:p w14:paraId="3D68167A" w14:textId="77777777" w:rsidR="00990B14" w:rsidRDefault="00000000">
            <w:pPr>
              <w:spacing w:before="20" w:after="20"/>
              <w:jc w:val="both"/>
            </w:pPr>
            <w:r>
              <w:rPr>
                <w:sz w:val="18"/>
                <w:szCs w:val="18"/>
              </w:rPr>
              <w:t>Función de depreciación</w:t>
            </w:r>
          </w:p>
        </w:tc>
        <w:tc>
          <w:tcPr>
            <w:tcW w:w="1910" w:type="dxa"/>
            <w:shd w:val="clear" w:color="auto" w:fill="D9E2F3"/>
            <w:vAlign w:val="center"/>
          </w:tcPr>
          <w:p w14:paraId="5D331C69" w14:textId="77777777" w:rsidR="00990B14" w:rsidRDefault="00000000">
            <w:pPr>
              <w:spacing w:before="20" w:after="20"/>
              <w:jc w:val="both"/>
            </w:pPr>
            <w:r>
              <w:rPr>
                <w:sz w:val="18"/>
                <w:szCs w:val="18"/>
              </w:rPr>
              <w:t>La función no refleja la vida útil del activo.</w:t>
            </w:r>
          </w:p>
        </w:tc>
        <w:tc>
          <w:tcPr>
            <w:tcW w:w="2015" w:type="dxa"/>
            <w:shd w:val="clear" w:color="auto" w:fill="D9E2F3"/>
            <w:vAlign w:val="center"/>
          </w:tcPr>
          <w:p w14:paraId="0CD5DD09" w14:textId="77777777" w:rsidR="00990B14" w:rsidRDefault="00000000">
            <w:pPr>
              <w:spacing w:before="20" w:after="20"/>
              <w:jc w:val="both"/>
            </w:pPr>
            <w:r>
              <w:rPr>
                <w:sz w:val="18"/>
                <w:szCs w:val="18"/>
              </w:rPr>
              <w:t>Expresa el valor del activo como función lineal del tiempo.</w:t>
            </w:r>
          </w:p>
        </w:tc>
        <w:tc>
          <w:tcPr>
            <w:tcW w:w="1910" w:type="dxa"/>
            <w:shd w:val="clear" w:color="auto" w:fill="D9E2F3"/>
            <w:vAlign w:val="center"/>
          </w:tcPr>
          <w:p w14:paraId="038D6389" w14:textId="77777777" w:rsidR="00990B14" w:rsidRDefault="00000000">
            <w:pPr>
              <w:spacing w:before="20" w:after="20"/>
              <w:jc w:val="both"/>
            </w:pPr>
            <w:r>
              <w:rPr>
                <w:sz w:val="18"/>
                <w:szCs w:val="18"/>
              </w:rPr>
              <w:t>Interpreta la pendiente como depreciación anual.</w:t>
            </w:r>
          </w:p>
        </w:tc>
      </w:tr>
      <w:tr w:rsidR="00990B14" w14:paraId="2BC270ED" w14:textId="77777777">
        <w:trPr>
          <w:cantSplit/>
          <w:jc w:val="center"/>
        </w:trPr>
        <w:tc>
          <w:tcPr>
            <w:tcW w:w="1555" w:type="dxa"/>
            <w:vMerge/>
            <w:shd w:val="clear" w:color="auto" w:fill="4472C4"/>
            <w:vAlign w:val="center"/>
          </w:tcPr>
          <w:p w14:paraId="6F37FEB8" w14:textId="77777777" w:rsidR="00990B14" w:rsidRDefault="00990B14">
            <w:pPr>
              <w:spacing w:before="20" w:after="20"/>
            </w:pPr>
          </w:p>
        </w:tc>
        <w:tc>
          <w:tcPr>
            <w:tcW w:w="2015" w:type="dxa"/>
            <w:shd w:val="clear" w:color="auto" w:fill="D9E2F3"/>
            <w:vAlign w:val="center"/>
          </w:tcPr>
          <w:p w14:paraId="5233C5A4" w14:textId="77777777" w:rsidR="00990B14" w:rsidRDefault="00000000">
            <w:pPr>
              <w:spacing w:before="20" w:after="20"/>
              <w:jc w:val="both"/>
            </w:pPr>
            <w:r>
              <w:rPr>
                <w:sz w:val="18"/>
                <w:szCs w:val="18"/>
              </w:rPr>
              <w:t>Función de crecimiento</w:t>
            </w:r>
          </w:p>
        </w:tc>
        <w:tc>
          <w:tcPr>
            <w:tcW w:w="1910" w:type="dxa"/>
            <w:shd w:val="clear" w:color="auto" w:fill="D9E2F3"/>
            <w:vAlign w:val="center"/>
          </w:tcPr>
          <w:p w14:paraId="2731F487" w14:textId="77777777" w:rsidR="00990B14" w:rsidRDefault="00000000">
            <w:pPr>
              <w:spacing w:before="20" w:after="20"/>
              <w:jc w:val="both"/>
            </w:pPr>
            <w:r>
              <w:rPr>
                <w:sz w:val="18"/>
                <w:szCs w:val="18"/>
              </w:rPr>
              <w:t>Usa un modelo lineal para un crecimiento porcentual.</w:t>
            </w:r>
          </w:p>
        </w:tc>
        <w:tc>
          <w:tcPr>
            <w:tcW w:w="2015" w:type="dxa"/>
            <w:shd w:val="clear" w:color="auto" w:fill="D9E2F3"/>
            <w:vAlign w:val="center"/>
          </w:tcPr>
          <w:p w14:paraId="427EB19D" w14:textId="77777777" w:rsidR="00990B14" w:rsidRDefault="00000000">
            <w:pPr>
              <w:spacing w:before="20" w:after="20"/>
              <w:jc w:val="both"/>
            </w:pPr>
            <w:r>
              <w:rPr>
                <w:sz w:val="18"/>
                <w:szCs w:val="18"/>
              </w:rPr>
              <w:t>Aplica la función exponencial al crecimiento.</w:t>
            </w:r>
          </w:p>
        </w:tc>
        <w:tc>
          <w:tcPr>
            <w:tcW w:w="1910" w:type="dxa"/>
            <w:shd w:val="clear" w:color="auto" w:fill="D9E2F3"/>
            <w:vAlign w:val="center"/>
          </w:tcPr>
          <w:p w14:paraId="1170B452" w14:textId="77777777" w:rsidR="00990B14" w:rsidRDefault="00000000">
            <w:pPr>
              <w:spacing w:before="20" w:after="20"/>
              <w:jc w:val="both"/>
            </w:pPr>
            <w:r>
              <w:rPr>
                <w:sz w:val="18"/>
                <w:szCs w:val="18"/>
              </w:rPr>
              <w:t>Compara el crecimiento lineal con el exponencial.</w:t>
            </w:r>
          </w:p>
        </w:tc>
      </w:tr>
      <w:tr w:rsidR="00990B14" w14:paraId="151AA82C" w14:textId="77777777">
        <w:trPr>
          <w:cantSplit/>
          <w:jc w:val="center"/>
        </w:trPr>
        <w:tc>
          <w:tcPr>
            <w:tcW w:w="1555" w:type="dxa"/>
            <w:vMerge/>
            <w:shd w:val="clear" w:color="auto" w:fill="4472C4"/>
            <w:vAlign w:val="center"/>
          </w:tcPr>
          <w:p w14:paraId="5D730458" w14:textId="77777777" w:rsidR="00990B14" w:rsidRDefault="00990B14">
            <w:pPr>
              <w:spacing w:before="20" w:after="20"/>
            </w:pPr>
          </w:p>
        </w:tc>
        <w:tc>
          <w:tcPr>
            <w:tcW w:w="2015" w:type="dxa"/>
            <w:shd w:val="clear" w:color="auto" w:fill="D9E2F3"/>
            <w:vAlign w:val="center"/>
          </w:tcPr>
          <w:p w14:paraId="207A926A" w14:textId="77777777" w:rsidR="00990B14" w:rsidRDefault="00000000">
            <w:pPr>
              <w:spacing w:before="20" w:after="20"/>
              <w:jc w:val="both"/>
            </w:pPr>
            <w:r>
              <w:rPr>
                <w:sz w:val="18"/>
                <w:szCs w:val="18"/>
              </w:rPr>
              <w:t>Uso de la hoja de cálculo</w:t>
            </w:r>
          </w:p>
        </w:tc>
        <w:tc>
          <w:tcPr>
            <w:tcW w:w="1910" w:type="dxa"/>
            <w:shd w:val="clear" w:color="auto" w:fill="D9E2F3"/>
            <w:vAlign w:val="center"/>
          </w:tcPr>
          <w:p w14:paraId="194FBC4F" w14:textId="77777777" w:rsidR="00990B14" w:rsidRDefault="00000000">
            <w:pPr>
              <w:spacing w:before="20" w:after="20"/>
              <w:jc w:val="both"/>
            </w:pPr>
            <w:r>
              <w:rPr>
                <w:sz w:val="18"/>
                <w:szCs w:val="18"/>
              </w:rPr>
              <w:t>Las fórmulas tienen errores de referencia.</w:t>
            </w:r>
          </w:p>
        </w:tc>
        <w:tc>
          <w:tcPr>
            <w:tcW w:w="2015" w:type="dxa"/>
            <w:shd w:val="clear" w:color="auto" w:fill="D9E2F3"/>
            <w:vAlign w:val="center"/>
          </w:tcPr>
          <w:p w14:paraId="22F7E756" w14:textId="77777777" w:rsidR="00990B14" w:rsidRDefault="00000000">
            <w:pPr>
              <w:spacing w:before="20" w:after="20"/>
              <w:jc w:val="both"/>
            </w:pPr>
            <w:r>
              <w:rPr>
                <w:sz w:val="18"/>
                <w:szCs w:val="18"/>
              </w:rPr>
              <w:t>Las fórmulas y gráficos son correctos.</w:t>
            </w:r>
          </w:p>
        </w:tc>
        <w:tc>
          <w:tcPr>
            <w:tcW w:w="1910" w:type="dxa"/>
            <w:shd w:val="clear" w:color="auto" w:fill="D9E2F3"/>
            <w:vAlign w:val="center"/>
          </w:tcPr>
          <w:p w14:paraId="1B729068" w14:textId="77777777" w:rsidR="00990B14" w:rsidRDefault="00000000">
            <w:pPr>
              <w:spacing w:before="20" w:after="20"/>
              <w:jc w:val="both"/>
            </w:pPr>
            <w:r>
              <w:rPr>
                <w:sz w:val="18"/>
                <w:szCs w:val="18"/>
              </w:rPr>
              <w:t>Organiza la hoja para cambiar los datos con facilidad.</w:t>
            </w:r>
          </w:p>
        </w:tc>
      </w:tr>
      <w:tr w:rsidR="00990B14" w14:paraId="2EFC6603" w14:textId="77777777">
        <w:trPr>
          <w:cantSplit/>
          <w:jc w:val="center"/>
        </w:trPr>
        <w:tc>
          <w:tcPr>
            <w:tcW w:w="1555" w:type="dxa"/>
            <w:vMerge/>
            <w:shd w:val="clear" w:color="auto" w:fill="4472C4"/>
            <w:vAlign w:val="center"/>
          </w:tcPr>
          <w:p w14:paraId="3AB250EA" w14:textId="77777777" w:rsidR="00990B14" w:rsidRDefault="00990B14">
            <w:pPr>
              <w:spacing w:before="20" w:after="20"/>
            </w:pPr>
          </w:p>
        </w:tc>
        <w:tc>
          <w:tcPr>
            <w:tcW w:w="5940" w:type="dxa"/>
            <w:gridSpan w:val="3"/>
            <w:shd w:val="clear" w:color="auto" w:fill="D9E2F3"/>
            <w:vAlign w:val="center"/>
          </w:tcPr>
          <w:p w14:paraId="65D6EBEF" w14:textId="77777777" w:rsidR="00990B14" w:rsidRDefault="00000000">
            <w:pPr>
              <w:keepNext/>
              <w:spacing w:before="20" w:after="20"/>
              <w:jc w:val="both"/>
            </w:pPr>
            <w:r>
              <w:rPr>
                <w:b/>
                <w:bCs/>
                <w:i/>
                <w:iCs/>
                <w:sz w:val="18"/>
                <w:szCs w:val="18"/>
              </w:rPr>
              <w:t xml:space="preserve">Producto 7: </w:t>
            </w:r>
            <w:r>
              <w:rPr>
                <w:sz w:val="18"/>
                <w:szCs w:val="18"/>
              </w:rPr>
              <w:t>Práctico de cálculo de límites</w:t>
            </w:r>
          </w:p>
        </w:tc>
        <w:tc>
          <w:tcPr>
            <w:tcW w:w="1910" w:type="dxa"/>
            <w:shd w:val="clear" w:color="auto" w:fill="D9E2F3"/>
            <w:vAlign w:val="center"/>
          </w:tcPr>
          <w:p w14:paraId="0126223E" w14:textId="77777777" w:rsidR="00990B14" w:rsidRDefault="00000000">
            <w:pPr>
              <w:spacing w:before="20" w:after="20"/>
              <w:jc w:val="center"/>
            </w:pPr>
            <w:r>
              <w:rPr>
                <w:b/>
                <w:bCs/>
                <w:sz w:val="18"/>
                <w:szCs w:val="18"/>
              </w:rPr>
              <w:t>5%</w:t>
            </w:r>
          </w:p>
        </w:tc>
      </w:tr>
      <w:tr w:rsidR="00990B14" w14:paraId="1AB4554B" w14:textId="77777777">
        <w:trPr>
          <w:cantSplit/>
          <w:jc w:val="center"/>
        </w:trPr>
        <w:tc>
          <w:tcPr>
            <w:tcW w:w="1555" w:type="dxa"/>
            <w:vMerge/>
            <w:shd w:val="clear" w:color="auto" w:fill="4472C4"/>
            <w:vAlign w:val="center"/>
          </w:tcPr>
          <w:p w14:paraId="23E2517E" w14:textId="77777777" w:rsidR="00990B14" w:rsidRDefault="00990B14">
            <w:pPr>
              <w:spacing w:before="20" w:after="20"/>
            </w:pPr>
          </w:p>
        </w:tc>
        <w:tc>
          <w:tcPr>
            <w:tcW w:w="2015" w:type="dxa"/>
            <w:shd w:val="clear" w:color="auto" w:fill="4472C4"/>
            <w:vAlign w:val="center"/>
          </w:tcPr>
          <w:p w14:paraId="3C5D09EE"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5852C5AA"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7A75F6F3"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1A8FD392" w14:textId="77777777" w:rsidR="00990B14" w:rsidRDefault="00000000">
            <w:pPr>
              <w:keepNext/>
              <w:spacing w:before="20" w:after="20"/>
              <w:jc w:val="center"/>
            </w:pPr>
            <w:r>
              <w:rPr>
                <w:b/>
                <w:bCs/>
                <w:i/>
                <w:iCs/>
                <w:color w:val="FFFFFF"/>
                <w:sz w:val="18"/>
                <w:szCs w:val="18"/>
              </w:rPr>
              <w:t>Destacado (81–100)</w:t>
            </w:r>
          </w:p>
        </w:tc>
      </w:tr>
      <w:tr w:rsidR="00990B14" w14:paraId="373E4D6C" w14:textId="77777777">
        <w:trPr>
          <w:cantSplit/>
          <w:jc w:val="center"/>
        </w:trPr>
        <w:tc>
          <w:tcPr>
            <w:tcW w:w="1555" w:type="dxa"/>
            <w:vMerge/>
            <w:shd w:val="clear" w:color="auto" w:fill="4472C4"/>
            <w:vAlign w:val="center"/>
          </w:tcPr>
          <w:p w14:paraId="1338DC24" w14:textId="77777777" w:rsidR="00990B14" w:rsidRDefault="00990B14">
            <w:pPr>
              <w:spacing w:before="20" w:after="20"/>
            </w:pPr>
          </w:p>
        </w:tc>
        <w:tc>
          <w:tcPr>
            <w:tcW w:w="2015" w:type="dxa"/>
            <w:shd w:val="clear" w:color="auto" w:fill="D9E2F3"/>
            <w:vAlign w:val="center"/>
          </w:tcPr>
          <w:p w14:paraId="076205E8" w14:textId="77777777" w:rsidR="00990B14" w:rsidRDefault="00000000">
            <w:pPr>
              <w:spacing w:before="20" w:after="20"/>
              <w:jc w:val="both"/>
            </w:pPr>
            <w:r>
              <w:rPr>
                <w:sz w:val="18"/>
                <w:szCs w:val="18"/>
              </w:rPr>
              <w:t>Propiedades aplicadas</w:t>
            </w:r>
          </w:p>
        </w:tc>
        <w:tc>
          <w:tcPr>
            <w:tcW w:w="1910" w:type="dxa"/>
            <w:shd w:val="clear" w:color="auto" w:fill="D9E2F3"/>
            <w:vAlign w:val="center"/>
          </w:tcPr>
          <w:p w14:paraId="56894AEE" w14:textId="77777777" w:rsidR="00990B14" w:rsidRDefault="00000000">
            <w:pPr>
              <w:spacing w:before="20" w:after="20"/>
              <w:jc w:val="both"/>
            </w:pPr>
            <w:r>
              <w:rPr>
                <w:sz w:val="18"/>
                <w:szCs w:val="18"/>
              </w:rPr>
              <w:t>Aplica propiedades que no corresponden.</w:t>
            </w:r>
          </w:p>
        </w:tc>
        <w:tc>
          <w:tcPr>
            <w:tcW w:w="2015" w:type="dxa"/>
            <w:shd w:val="clear" w:color="auto" w:fill="D9E2F3"/>
            <w:vAlign w:val="center"/>
          </w:tcPr>
          <w:p w14:paraId="6C0C6865" w14:textId="77777777" w:rsidR="00990B14" w:rsidRDefault="00000000">
            <w:pPr>
              <w:spacing w:before="20" w:after="20"/>
              <w:jc w:val="both"/>
            </w:pPr>
            <w:r>
              <w:rPr>
                <w:sz w:val="18"/>
                <w:szCs w:val="18"/>
              </w:rPr>
              <w:t>Aplica correctamente las propiedades de los límites.</w:t>
            </w:r>
          </w:p>
        </w:tc>
        <w:tc>
          <w:tcPr>
            <w:tcW w:w="1910" w:type="dxa"/>
            <w:shd w:val="clear" w:color="auto" w:fill="D9E2F3"/>
            <w:vAlign w:val="center"/>
          </w:tcPr>
          <w:p w14:paraId="330DE606" w14:textId="77777777" w:rsidR="00990B14" w:rsidRDefault="00000000">
            <w:pPr>
              <w:spacing w:before="20" w:after="20"/>
              <w:jc w:val="both"/>
            </w:pPr>
            <w:r>
              <w:rPr>
                <w:sz w:val="18"/>
                <w:szCs w:val="18"/>
              </w:rPr>
              <w:t>Elige el procedimiento más directo en cada caso.</w:t>
            </w:r>
          </w:p>
        </w:tc>
      </w:tr>
      <w:tr w:rsidR="00990B14" w14:paraId="5F8C05B3" w14:textId="77777777">
        <w:trPr>
          <w:cantSplit/>
          <w:jc w:val="center"/>
        </w:trPr>
        <w:tc>
          <w:tcPr>
            <w:tcW w:w="1555" w:type="dxa"/>
            <w:vMerge/>
            <w:shd w:val="clear" w:color="auto" w:fill="4472C4"/>
            <w:vAlign w:val="center"/>
          </w:tcPr>
          <w:p w14:paraId="6C2CE885" w14:textId="77777777" w:rsidR="00990B14" w:rsidRDefault="00990B14">
            <w:pPr>
              <w:spacing w:before="20" w:after="20"/>
            </w:pPr>
          </w:p>
        </w:tc>
        <w:tc>
          <w:tcPr>
            <w:tcW w:w="2015" w:type="dxa"/>
            <w:shd w:val="clear" w:color="auto" w:fill="D9E2F3"/>
            <w:vAlign w:val="center"/>
          </w:tcPr>
          <w:p w14:paraId="11E130AD" w14:textId="77777777" w:rsidR="00990B14" w:rsidRDefault="00000000">
            <w:pPr>
              <w:spacing w:before="20" w:after="20"/>
              <w:jc w:val="both"/>
            </w:pPr>
            <w:r>
              <w:rPr>
                <w:sz w:val="18"/>
                <w:szCs w:val="18"/>
              </w:rPr>
              <w:t>Indeterminaciones</w:t>
            </w:r>
          </w:p>
        </w:tc>
        <w:tc>
          <w:tcPr>
            <w:tcW w:w="1910" w:type="dxa"/>
            <w:shd w:val="clear" w:color="auto" w:fill="D9E2F3"/>
            <w:vAlign w:val="center"/>
          </w:tcPr>
          <w:p w14:paraId="07152828" w14:textId="77777777" w:rsidR="00990B14" w:rsidRDefault="00000000">
            <w:pPr>
              <w:spacing w:before="20" w:after="20"/>
              <w:jc w:val="both"/>
            </w:pPr>
            <w:r>
              <w:rPr>
                <w:sz w:val="18"/>
                <w:szCs w:val="18"/>
              </w:rPr>
              <w:t>No resuelve las formas indeterminadas.</w:t>
            </w:r>
          </w:p>
        </w:tc>
        <w:tc>
          <w:tcPr>
            <w:tcW w:w="2015" w:type="dxa"/>
            <w:shd w:val="clear" w:color="auto" w:fill="D9E2F3"/>
            <w:vAlign w:val="center"/>
          </w:tcPr>
          <w:p w14:paraId="51B228B3" w14:textId="77777777" w:rsidR="00990B14" w:rsidRDefault="00000000">
            <w:pPr>
              <w:spacing w:before="20" w:after="20"/>
              <w:jc w:val="both"/>
            </w:pPr>
            <w:r>
              <w:rPr>
                <w:sz w:val="18"/>
                <w:szCs w:val="18"/>
              </w:rPr>
              <w:t>Levanta las indeterminaciones algebraicamente.</w:t>
            </w:r>
          </w:p>
        </w:tc>
        <w:tc>
          <w:tcPr>
            <w:tcW w:w="1910" w:type="dxa"/>
            <w:shd w:val="clear" w:color="auto" w:fill="D9E2F3"/>
            <w:vAlign w:val="center"/>
          </w:tcPr>
          <w:p w14:paraId="3AD02E46" w14:textId="77777777" w:rsidR="00990B14" w:rsidRDefault="00000000">
            <w:pPr>
              <w:spacing w:before="20" w:after="20"/>
              <w:jc w:val="both"/>
            </w:pPr>
            <w:r>
              <w:rPr>
                <w:sz w:val="18"/>
                <w:szCs w:val="18"/>
              </w:rPr>
              <w:t>Explica el origen de cada indeterminación.</w:t>
            </w:r>
          </w:p>
        </w:tc>
      </w:tr>
      <w:tr w:rsidR="00990B14" w14:paraId="0B3ADE26" w14:textId="77777777">
        <w:trPr>
          <w:cantSplit/>
          <w:jc w:val="center"/>
        </w:trPr>
        <w:tc>
          <w:tcPr>
            <w:tcW w:w="1555" w:type="dxa"/>
            <w:vMerge/>
            <w:shd w:val="clear" w:color="auto" w:fill="4472C4"/>
            <w:vAlign w:val="center"/>
          </w:tcPr>
          <w:p w14:paraId="19C38ECE" w14:textId="77777777" w:rsidR="00990B14" w:rsidRDefault="00990B14">
            <w:pPr>
              <w:spacing w:before="20" w:after="20"/>
            </w:pPr>
          </w:p>
        </w:tc>
        <w:tc>
          <w:tcPr>
            <w:tcW w:w="2015" w:type="dxa"/>
            <w:shd w:val="clear" w:color="auto" w:fill="D9E2F3"/>
            <w:vAlign w:val="center"/>
          </w:tcPr>
          <w:p w14:paraId="7E4A2217" w14:textId="77777777" w:rsidR="00990B14" w:rsidRDefault="00000000">
            <w:pPr>
              <w:spacing w:before="20" w:after="20"/>
              <w:jc w:val="both"/>
            </w:pPr>
            <w:r>
              <w:rPr>
                <w:sz w:val="18"/>
                <w:szCs w:val="18"/>
              </w:rPr>
              <w:t>Exactitud</w:t>
            </w:r>
          </w:p>
        </w:tc>
        <w:tc>
          <w:tcPr>
            <w:tcW w:w="1910" w:type="dxa"/>
            <w:shd w:val="clear" w:color="auto" w:fill="D9E2F3"/>
            <w:vAlign w:val="center"/>
          </w:tcPr>
          <w:p w14:paraId="7D0AC177" w14:textId="77777777" w:rsidR="00990B14" w:rsidRDefault="00000000">
            <w:pPr>
              <w:spacing w:before="20" w:after="20"/>
              <w:jc w:val="both"/>
            </w:pPr>
            <w:r>
              <w:rPr>
                <w:sz w:val="18"/>
                <w:szCs w:val="18"/>
              </w:rPr>
              <w:t>Presenta errores de cálculo.</w:t>
            </w:r>
          </w:p>
        </w:tc>
        <w:tc>
          <w:tcPr>
            <w:tcW w:w="2015" w:type="dxa"/>
            <w:shd w:val="clear" w:color="auto" w:fill="D9E2F3"/>
            <w:vAlign w:val="center"/>
          </w:tcPr>
          <w:p w14:paraId="20ACEED7" w14:textId="77777777" w:rsidR="00990B14" w:rsidRDefault="00000000">
            <w:pPr>
              <w:spacing w:before="20" w:after="20"/>
              <w:jc w:val="both"/>
            </w:pPr>
            <w:r>
              <w:rPr>
                <w:sz w:val="18"/>
                <w:szCs w:val="18"/>
              </w:rPr>
              <w:t>Los resultados son correctos.</w:t>
            </w:r>
          </w:p>
        </w:tc>
        <w:tc>
          <w:tcPr>
            <w:tcW w:w="1910" w:type="dxa"/>
            <w:shd w:val="clear" w:color="auto" w:fill="D9E2F3"/>
            <w:vAlign w:val="center"/>
          </w:tcPr>
          <w:p w14:paraId="25536448" w14:textId="77777777" w:rsidR="00990B14" w:rsidRDefault="00000000">
            <w:pPr>
              <w:spacing w:before="20" w:after="20"/>
              <w:jc w:val="both"/>
            </w:pPr>
            <w:r>
              <w:rPr>
                <w:sz w:val="18"/>
                <w:szCs w:val="18"/>
              </w:rPr>
              <w:t>Comprueba los resultados con una tabla de valores.</w:t>
            </w:r>
          </w:p>
        </w:tc>
      </w:tr>
      <w:tr w:rsidR="00990B14" w14:paraId="7DDE2093" w14:textId="77777777">
        <w:trPr>
          <w:cantSplit/>
          <w:jc w:val="center"/>
        </w:trPr>
        <w:tc>
          <w:tcPr>
            <w:tcW w:w="1555" w:type="dxa"/>
            <w:vMerge/>
            <w:shd w:val="clear" w:color="auto" w:fill="4472C4"/>
            <w:vAlign w:val="center"/>
          </w:tcPr>
          <w:p w14:paraId="6C690FEC" w14:textId="77777777" w:rsidR="00990B14" w:rsidRDefault="00990B14">
            <w:pPr>
              <w:spacing w:before="20" w:after="20"/>
            </w:pPr>
          </w:p>
        </w:tc>
        <w:tc>
          <w:tcPr>
            <w:tcW w:w="5940" w:type="dxa"/>
            <w:gridSpan w:val="3"/>
            <w:shd w:val="clear" w:color="auto" w:fill="D9E2F3"/>
            <w:vAlign w:val="center"/>
          </w:tcPr>
          <w:p w14:paraId="1594D2D0" w14:textId="77777777" w:rsidR="00990B14" w:rsidRDefault="00000000">
            <w:pPr>
              <w:keepNext/>
              <w:spacing w:before="20" w:after="20"/>
              <w:jc w:val="both"/>
            </w:pPr>
            <w:r>
              <w:rPr>
                <w:b/>
                <w:bCs/>
                <w:i/>
                <w:iCs/>
                <w:sz w:val="18"/>
                <w:szCs w:val="18"/>
              </w:rPr>
              <w:t xml:space="preserve">Producto 8: </w:t>
            </w:r>
            <w:r>
              <w:rPr>
                <w:sz w:val="18"/>
                <w:szCs w:val="18"/>
              </w:rPr>
              <w:t>Informe de continuidad</w:t>
            </w:r>
          </w:p>
        </w:tc>
        <w:tc>
          <w:tcPr>
            <w:tcW w:w="1910" w:type="dxa"/>
            <w:shd w:val="clear" w:color="auto" w:fill="D9E2F3"/>
            <w:vAlign w:val="center"/>
          </w:tcPr>
          <w:p w14:paraId="096835A1" w14:textId="77777777" w:rsidR="00990B14" w:rsidRDefault="00000000">
            <w:pPr>
              <w:spacing w:before="20" w:after="20"/>
              <w:jc w:val="center"/>
            </w:pPr>
            <w:r>
              <w:rPr>
                <w:b/>
                <w:bCs/>
                <w:sz w:val="18"/>
                <w:szCs w:val="18"/>
              </w:rPr>
              <w:t>7%</w:t>
            </w:r>
          </w:p>
        </w:tc>
      </w:tr>
      <w:tr w:rsidR="00990B14" w14:paraId="2C0FF3D4" w14:textId="77777777">
        <w:trPr>
          <w:cantSplit/>
          <w:jc w:val="center"/>
        </w:trPr>
        <w:tc>
          <w:tcPr>
            <w:tcW w:w="1555" w:type="dxa"/>
            <w:vMerge/>
            <w:shd w:val="clear" w:color="auto" w:fill="4472C4"/>
            <w:vAlign w:val="center"/>
          </w:tcPr>
          <w:p w14:paraId="4D94A55B" w14:textId="77777777" w:rsidR="00990B14" w:rsidRDefault="00990B14">
            <w:pPr>
              <w:spacing w:before="20" w:after="20"/>
            </w:pPr>
          </w:p>
        </w:tc>
        <w:tc>
          <w:tcPr>
            <w:tcW w:w="2015" w:type="dxa"/>
            <w:shd w:val="clear" w:color="auto" w:fill="4472C4"/>
            <w:vAlign w:val="center"/>
          </w:tcPr>
          <w:p w14:paraId="5A987AEF"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26B10BBA"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711B9D6F"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4B739460" w14:textId="77777777" w:rsidR="00990B14" w:rsidRDefault="00000000">
            <w:pPr>
              <w:keepNext/>
              <w:spacing w:before="20" w:after="20"/>
              <w:jc w:val="center"/>
            </w:pPr>
            <w:r>
              <w:rPr>
                <w:b/>
                <w:bCs/>
                <w:i/>
                <w:iCs/>
                <w:color w:val="FFFFFF"/>
                <w:sz w:val="18"/>
                <w:szCs w:val="18"/>
              </w:rPr>
              <w:t>Destacado (81–100)</w:t>
            </w:r>
          </w:p>
        </w:tc>
      </w:tr>
      <w:tr w:rsidR="00990B14" w14:paraId="7E65FFC0" w14:textId="77777777">
        <w:trPr>
          <w:cantSplit/>
          <w:jc w:val="center"/>
        </w:trPr>
        <w:tc>
          <w:tcPr>
            <w:tcW w:w="1555" w:type="dxa"/>
            <w:vMerge/>
            <w:shd w:val="clear" w:color="auto" w:fill="4472C4"/>
            <w:vAlign w:val="center"/>
          </w:tcPr>
          <w:p w14:paraId="7B09D465" w14:textId="77777777" w:rsidR="00990B14" w:rsidRDefault="00990B14">
            <w:pPr>
              <w:spacing w:before="20" w:after="20"/>
            </w:pPr>
          </w:p>
        </w:tc>
        <w:tc>
          <w:tcPr>
            <w:tcW w:w="2015" w:type="dxa"/>
            <w:shd w:val="clear" w:color="auto" w:fill="D9E2F3"/>
            <w:vAlign w:val="center"/>
          </w:tcPr>
          <w:p w14:paraId="4326125D" w14:textId="77777777" w:rsidR="00990B14" w:rsidRDefault="00000000">
            <w:pPr>
              <w:spacing w:before="20" w:after="20"/>
              <w:jc w:val="both"/>
            </w:pPr>
            <w:r>
              <w:rPr>
                <w:sz w:val="18"/>
                <w:szCs w:val="18"/>
              </w:rPr>
              <w:t>Límites laterales</w:t>
            </w:r>
          </w:p>
        </w:tc>
        <w:tc>
          <w:tcPr>
            <w:tcW w:w="1910" w:type="dxa"/>
            <w:shd w:val="clear" w:color="auto" w:fill="D9E2F3"/>
            <w:vAlign w:val="center"/>
          </w:tcPr>
          <w:p w14:paraId="269B5460" w14:textId="77777777" w:rsidR="00990B14" w:rsidRDefault="00000000">
            <w:pPr>
              <w:spacing w:before="20" w:after="20"/>
              <w:jc w:val="both"/>
            </w:pPr>
            <w:r>
              <w:rPr>
                <w:sz w:val="18"/>
                <w:szCs w:val="18"/>
              </w:rPr>
              <w:t>Omite el cálculo de los límites laterales.</w:t>
            </w:r>
          </w:p>
        </w:tc>
        <w:tc>
          <w:tcPr>
            <w:tcW w:w="2015" w:type="dxa"/>
            <w:shd w:val="clear" w:color="auto" w:fill="D9E2F3"/>
            <w:vAlign w:val="center"/>
          </w:tcPr>
          <w:p w14:paraId="3000B181" w14:textId="77777777" w:rsidR="00990B14" w:rsidRDefault="00000000">
            <w:pPr>
              <w:spacing w:before="20" w:after="20"/>
              <w:jc w:val="both"/>
            </w:pPr>
            <w:r>
              <w:rPr>
                <w:sz w:val="18"/>
                <w:szCs w:val="18"/>
              </w:rPr>
              <w:t>Calcula los límites laterales en cada punto de cambio.</w:t>
            </w:r>
          </w:p>
        </w:tc>
        <w:tc>
          <w:tcPr>
            <w:tcW w:w="1910" w:type="dxa"/>
            <w:shd w:val="clear" w:color="auto" w:fill="D9E2F3"/>
            <w:vAlign w:val="center"/>
          </w:tcPr>
          <w:p w14:paraId="25A67868" w14:textId="77777777" w:rsidR="00990B14" w:rsidRDefault="00000000">
            <w:pPr>
              <w:spacing w:before="20" w:after="20"/>
              <w:jc w:val="both"/>
            </w:pPr>
            <w:r>
              <w:rPr>
                <w:sz w:val="18"/>
                <w:szCs w:val="18"/>
              </w:rPr>
              <w:t>Relaciona los saltos con cambios en la estructura de costos.</w:t>
            </w:r>
          </w:p>
        </w:tc>
      </w:tr>
      <w:tr w:rsidR="00990B14" w14:paraId="1EB3FDED" w14:textId="77777777">
        <w:trPr>
          <w:cantSplit/>
          <w:jc w:val="center"/>
        </w:trPr>
        <w:tc>
          <w:tcPr>
            <w:tcW w:w="1555" w:type="dxa"/>
            <w:vMerge/>
            <w:shd w:val="clear" w:color="auto" w:fill="4472C4"/>
            <w:vAlign w:val="center"/>
          </w:tcPr>
          <w:p w14:paraId="2A115E04" w14:textId="77777777" w:rsidR="00990B14" w:rsidRDefault="00990B14">
            <w:pPr>
              <w:spacing w:before="20" w:after="20"/>
            </w:pPr>
          </w:p>
        </w:tc>
        <w:tc>
          <w:tcPr>
            <w:tcW w:w="2015" w:type="dxa"/>
            <w:shd w:val="clear" w:color="auto" w:fill="D9E2F3"/>
            <w:vAlign w:val="center"/>
          </w:tcPr>
          <w:p w14:paraId="77507D44" w14:textId="77777777" w:rsidR="00990B14" w:rsidRDefault="00000000">
            <w:pPr>
              <w:spacing w:before="20" w:after="20"/>
              <w:jc w:val="both"/>
            </w:pPr>
            <w:r>
              <w:rPr>
                <w:sz w:val="18"/>
                <w:szCs w:val="18"/>
              </w:rPr>
              <w:t>Clasificación</w:t>
            </w:r>
          </w:p>
        </w:tc>
        <w:tc>
          <w:tcPr>
            <w:tcW w:w="1910" w:type="dxa"/>
            <w:shd w:val="clear" w:color="auto" w:fill="D9E2F3"/>
            <w:vAlign w:val="center"/>
          </w:tcPr>
          <w:p w14:paraId="65E29449" w14:textId="77777777" w:rsidR="00990B14" w:rsidRDefault="00000000">
            <w:pPr>
              <w:spacing w:before="20" w:after="20"/>
              <w:jc w:val="both"/>
            </w:pPr>
            <w:r>
              <w:rPr>
                <w:sz w:val="18"/>
                <w:szCs w:val="18"/>
              </w:rPr>
              <w:t>Clasifica mal la discontinuidad.</w:t>
            </w:r>
          </w:p>
        </w:tc>
        <w:tc>
          <w:tcPr>
            <w:tcW w:w="2015" w:type="dxa"/>
            <w:shd w:val="clear" w:color="auto" w:fill="D9E2F3"/>
            <w:vAlign w:val="center"/>
          </w:tcPr>
          <w:p w14:paraId="405F94A7" w14:textId="77777777" w:rsidR="00990B14" w:rsidRDefault="00000000">
            <w:pPr>
              <w:spacing w:before="20" w:after="20"/>
              <w:jc w:val="both"/>
            </w:pPr>
            <w:r>
              <w:rPr>
                <w:sz w:val="18"/>
                <w:szCs w:val="18"/>
              </w:rPr>
              <w:t>Clasifica correctamente cada discontinuidad.</w:t>
            </w:r>
          </w:p>
        </w:tc>
        <w:tc>
          <w:tcPr>
            <w:tcW w:w="1910" w:type="dxa"/>
            <w:shd w:val="clear" w:color="auto" w:fill="D9E2F3"/>
            <w:vAlign w:val="center"/>
          </w:tcPr>
          <w:p w14:paraId="2DD6A63B" w14:textId="77777777" w:rsidR="00990B14" w:rsidRDefault="00000000">
            <w:pPr>
              <w:spacing w:before="20" w:after="20"/>
              <w:jc w:val="both"/>
            </w:pPr>
            <w:r>
              <w:rPr>
                <w:sz w:val="18"/>
                <w:szCs w:val="18"/>
              </w:rPr>
              <w:t>Propone cómo volver continua la función.</w:t>
            </w:r>
          </w:p>
        </w:tc>
      </w:tr>
      <w:tr w:rsidR="00990B14" w14:paraId="2E04BA82" w14:textId="77777777">
        <w:trPr>
          <w:cantSplit/>
          <w:jc w:val="center"/>
        </w:trPr>
        <w:tc>
          <w:tcPr>
            <w:tcW w:w="1555" w:type="dxa"/>
            <w:vMerge/>
            <w:shd w:val="clear" w:color="auto" w:fill="4472C4"/>
            <w:vAlign w:val="center"/>
          </w:tcPr>
          <w:p w14:paraId="7A21346D" w14:textId="77777777" w:rsidR="00990B14" w:rsidRDefault="00990B14">
            <w:pPr>
              <w:spacing w:before="20" w:after="20"/>
            </w:pPr>
          </w:p>
        </w:tc>
        <w:tc>
          <w:tcPr>
            <w:tcW w:w="2015" w:type="dxa"/>
            <w:shd w:val="clear" w:color="auto" w:fill="D9E2F3"/>
            <w:vAlign w:val="center"/>
          </w:tcPr>
          <w:p w14:paraId="66E536CD" w14:textId="77777777" w:rsidR="00990B14" w:rsidRDefault="00000000">
            <w:pPr>
              <w:spacing w:before="20" w:after="20"/>
              <w:jc w:val="both"/>
            </w:pPr>
            <w:r>
              <w:rPr>
                <w:sz w:val="18"/>
                <w:szCs w:val="18"/>
              </w:rPr>
              <w:t>Redacción</w:t>
            </w:r>
          </w:p>
        </w:tc>
        <w:tc>
          <w:tcPr>
            <w:tcW w:w="1910" w:type="dxa"/>
            <w:shd w:val="clear" w:color="auto" w:fill="D9E2F3"/>
            <w:vAlign w:val="center"/>
          </w:tcPr>
          <w:p w14:paraId="02744466" w14:textId="77777777" w:rsidR="00990B14" w:rsidRDefault="00000000">
            <w:pPr>
              <w:spacing w:before="20" w:after="20"/>
              <w:jc w:val="both"/>
            </w:pPr>
            <w:r>
              <w:rPr>
                <w:sz w:val="18"/>
                <w:szCs w:val="18"/>
              </w:rPr>
              <w:t>El informe es desordenado.</w:t>
            </w:r>
          </w:p>
        </w:tc>
        <w:tc>
          <w:tcPr>
            <w:tcW w:w="2015" w:type="dxa"/>
            <w:shd w:val="clear" w:color="auto" w:fill="D9E2F3"/>
            <w:vAlign w:val="center"/>
          </w:tcPr>
          <w:p w14:paraId="41709C13" w14:textId="77777777" w:rsidR="00990B14" w:rsidRDefault="00000000">
            <w:pPr>
              <w:spacing w:before="20" w:after="20"/>
              <w:jc w:val="both"/>
            </w:pPr>
            <w:r>
              <w:rPr>
                <w:sz w:val="18"/>
                <w:szCs w:val="18"/>
              </w:rPr>
              <w:t>El informe es claro y ordenado.</w:t>
            </w:r>
          </w:p>
        </w:tc>
        <w:tc>
          <w:tcPr>
            <w:tcW w:w="1910" w:type="dxa"/>
            <w:shd w:val="clear" w:color="auto" w:fill="D9E2F3"/>
            <w:vAlign w:val="center"/>
          </w:tcPr>
          <w:p w14:paraId="18206664" w14:textId="77777777" w:rsidR="00990B14" w:rsidRDefault="00000000">
            <w:pPr>
              <w:spacing w:before="20" w:after="20"/>
              <w:jc w:val="both"/>
            </w:pPr>
            <w:r>
              <w:rPr>
                <w:sz w:val="18"/>
                <w:szCs w:val="18"/>
              </w:rPr>
              <w:t>Las conclusiones se apoyan en la gráfica de la función.</w:t>
            </w:r>
          </w:p>
        </w:tc>
      </w:tr>
      <w:tr w:rsidR="00990B14" w14:paraId="67AC21A4" w14:textId="77777777">
        <w:trPr>
          <w:cantSplit/>
          <w:jc w:val="center"/>
        </w:trPr>
        <w:tc>
          <w:tcPr>
            <w:tcW w:w="1555" w:type="dxa"/>
            <w:vMerge/>
            <w:shd w:val="clear" w:color="auto" w:fill="4472C4"/>
            <w:vAlign w:val="center"/>
          </w:tcPr>
          <w:p w14:paraId="0673DF34" w14:textId="77777777" w:rsidR="00990B14" w:rsidRDefault="00990B14">
            <w:pPr>
              <w:spacing w:before="20" w:after="20"/>
            </w:pPr>
          </w:p>
        </w:tc>
        <w:tc>
          <w:tcPr>
            <w:tcW w:w="5940" w:type="dxa"/>
            <w:gridSpan w:val="3"/>
            <w:shd w:val="clear" w:color="auto" w:fill="D9E2F3"/>
            <w:vAlign w:val="center"/>
          </w:tcPr>
          <w:p w14:paraId="2646766E" w14:textId="77777777" w:rsidR="00990B14" w:rsidRDefault="00000000">
            <w:pPr>
              <w:keepNext/>
              <w:spacing w:before="20" w:after="20"/>
              <w:jc w:val="both"/>
            </w:pPr>
            <w:r>
              <w:rPr>
                <w:b/>
                <w:bCs/>
                <w:i/>
                <w:iCs/>
                <w:sz w:val="18"/>
                <w:szCs w:val="18"/>
              </w:rPr>
              <w:t xml:space="preserve">Producto 9: </w:t>
            </w:r>
            <w:r>
              <w:rPr>
                <w:sz w:val="18"/>
                <w:szCs w:val="18"/>
              </w:rPr>
              <w:t>Práctico de derivadas</w:t>
            </w:r>
          </w:p>
        </w:tc>
        <w:tc>
          <w:tcPr>
            <w:tcW w:w="1910" w:type="dxa"/>
            <w:shd w:val="clear" w:color="auto" w:fill="D9E2F3"/>
            <w:vAlign w:val="center"/>
          </w:tcPr>
          <w:p w14:paraId="783A17B3" w14:textId="77777777" w:rsidR="00990B14" w:rsidRDefault="00000000">
            <w:pPr>
              <w:spacing w:before="20" w:after="20"/>
              <w:jc w:val="center"/>
            </w:pPr>
            <w:r>
              <w:rPr>
                <w:b/>
                <w:bCs/>
                <w:sz w:val="18"/>
                <w:szCs w:val="18"/>
              </w:rPr>
              <w:t>8%</w:t>
            </w:r>
          </w:p>
        </w:tc>
      </w:tr>
      <w:tr w:rsidR="00990B14" w14:paraId="3CA2A4F7" w14:textId="77777777">
        <w:trPr>
          <w:cantSplit/>
          <w:jc w:val="center"/>
        </w:trPr>
        <w:tc>
          <w:tcPr>
            <w:tcW w:w="1555" w:type="dxa"/>
            <w:vMerge/>
            <w:shd w:val="clear" w:color="auto" w:fill="4472C4"/>
            <w:vAlign w:val="center"/>
          </w:tcPr>
          <w:p w14:paraId="519374E8" w14:textId="77777777" w:rsidR="00990B14" w:rsidRDefault="00990B14">
            <w:pPr>
              <w:spacing w:before="20" w:after="20"/>
            </w:pPr>
          </w:p>
        </w:tc>
        <w:tc>
          <w:tcPr>
            <w:tcW w:w="2015" w:type="dxa"/>
            <w:shd w:val="clear" w:color="auto" w:fill="4472C4"/>
            <w:vAlign w:val="center"/>
          </w:tcPr>
          <w:p w14:paraId="20F8CA71"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037B0295"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211EC414"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345504B7" w14:textId="77777777" w:rsidR="00990B14" w:rsidRDefault="00000000">
            <w:pPr>
              <w:keepNext/>
              <w:spacing w:before="20" w:after="20"/>
              <w:jc w:val="center"/>
            </w:pPr>
            <w:r>
              <w:rPr>
                <w:b/>
                <w:bCs/>
                <w:i/>
                <w:iCs/>
                <w:color w:val="FFFFFF"/>
                <w:sz w:val="18"/>
                <w:szCs w:val="18"/>
              </w:rPr>
              <w:t>Destacado (81–100)</w:t>
            </w:r>
          </w:p>
        </w:tc>
      </w:tr>
      <w:tr w:rsidR="00990B14" w14:paraId="5BE0581F" w14:textId="77777777">
        <w:trPr>
          <w:cantSplit/>
          <w:jc w:val="center"/>
        </w:trPr>
        <w:tc>
          <w:tcPr>
            <w:tcW w:w="1555" w:type="dxa"/>
            <w:vMerge/>
            <w:shd w:val="clear" w:color="auto" w:fill="4472C4"/>
            <w:vAlign w:val="center"/>
          </w:tcPr>
          <w:p w14:paraId="469F7252" w14:textId="77777777" w:rsidR="00990B14" w:rsidRDefault="00990B14">
            <w:pPr>
              <w:spacing w:before="20" w:after="20"/>
            </w:pPr>
          </w:p>
        </w:tc>
        <w:tc>
          <w:tcPr>
            <w:tcW w:w="2015" w:type="dxa"/>
            <w:shd w:val="clear" w:color="auto" w:fill="D9E2F3"/>
            <w:vAlign w:val="center"/>
          </w:tcPr>
          <w:p w14:paraId="6DF17E6A" w14:textId="77777777" w:rsidR="00990B14" w:rsidRDefault="00000000">
            <w:pPr>
              <w:spacing w:before="20" w:after="20"/>
              <w:jc w:val="both"/>
            </w:pPr>
            <w:r>
              <w:rPr>
                <w:sz w:val="18"/>
                <w:szCs w:val="18"/>
              </w:rPr>
              <w:t>Fórmulas de derivación</w:t>
            </w:r>
          </w:p>
        </w:tc>
        <w:tc>
          <w:tcPr>
            <w:tcW w:w="1910" w:type="dxa"/>
            <w:shd w:val="clear" w:color="auto" w:fill="D9E2F3"/>
            <w:vAlign w:val="center"/>
          </w:tcPr>
          <w:p w14:paraId="648BA569" w14:textId="77777777" w:rsidR="00990B14" w:rsidRDefault="00000000">
            <w:pPr>
              <w:spacing w:before="20" w:after="20"/>
              <w:jc w:val="both"/>
            </w:pPr>
            <w:r>
              <w:rPr>
                <w:sz w:val="18"/>
                <w:szCs w:val="18"/>
              </w:rPr>
              <w:t>Aplica fórmulas que no corresponden.</w:t>
            </w:r>
          </w:p>
        </w:tc>
        <w:tc>
          <w:tcPr>
            <w:tcW w:w="2015" w:type="dxa"/>
            <w:shd w:val="clear" w:color="auto" w:fill="D9E2F3"/>
            <w:vAlign w:val="center"/>
          </w:tcPr>
          <w:p w14:paraId="5C55A58E" w14:textId="77777777" w:rsidR="00990B14" w:rsidRDefault="00000000">
            <w:pPr>
              <w:spacing w:before="20" w:after="20"/>
              <w:jc w:val="both"/>
            </w:pPr>
            <w:r>
              <w:rPr>
                <w:sz w:val="18"/>
                <w:szCs w:val="18"/>
              </w:rPr>
              <w:t>Aplica correctamente las fórmulas de derivación.</w:t>
            </w:r>
          </w:p>
        </w:tc>
        <w:tc>
          <w:tcPr>
            <w:tcW w:w="1910" w:type="dxa"/>
            <w:shd w:val="clear" w:color="auto" w:fill="D9E2F3"/>
            <w:vAlign w:val="center"/>
          </w:tcPr>
          <w:p w14:paraId="5CBD0E74" w14:textId="77777777" w:rsidR="00990B14" w:rsidRDefault="00000000">
            <w:pPr>
              <w:spacing w:before="20" w:after="20"/>
              <w:jc w:val="both"/>
            </w:pPr>
            <w:r>
              <w:rPr>
                <w:sz w:val="18"/>
                <w:szCs w:val="18"/>
              </w:rPr>
              <w:t>Simplifica la derivada obtenida.</w:t>
            </w:r>
          </w:p>
        </w:tc>
      </w:tr>
      <w:tr w:rsidR="00990B14" w14:paraId="4BF05A34" w14:textId="77777777">
        <w:trPr>
          <w:cantSplit/>
          <w:jc w:val="center"/>
        </w:trPr>
        <w:tc>
          <w:tcPr>
            <w:tcW w:w="1555" w:type="dxa"/>
            <w:vMerge/>
            <w:shd w:val="clear" w:color="auto" w:fill="4472C4"/>
            <w:vAlign w:val="center"/>
          </w:tcPr>
          <w:p w14:paraId="48A19140" w14:textId="77777777" w:rsidR="00990B14" w:rsidRDefault="00990B14">
            <w:pPr>
              <w:spacing w:before="20" w:after="20"/>
            </w:pPr>
          </w:p>
        </w:tc>
        <w:tc>
          <w:tcPr>
            <w:tcW w:w="2015" w:type="dxa"/>
            <w:shd w:val="clear" w:color="auto" w:fill="D9E2F3"/>
            <w:vAlign w:val="center"/>
          </w:tcPr>
          <w:p w14:paraId="794E24FB" w14:textId="77777777" w:rsidR="00990B14" w:rsidRDefault="00000000">
            <w:pPr>
              <w:spacing w:before="20" w:after="20"/>
              <w:jc w:val="both"/>
            </w:pPr>
            <w:r>
              <w:rPr>
                <w:sz w:val="18"/>
                <w:szCs w:val="18"/>
              </w:rPr>
              <w:t>Derivada implícita</w:t>
            </w:r>
          </w:p>
        </w:tc>
        <w:tc>
          <w:tcPr>
            <w:tcW w:w="1910" w:type="dxa"/>
            <w:shd w:val="clear" w:color="auto" w:fill="D9E2F3"/>
            <w:vAlign w:val="center"/>
          </w:tcPr>
          <w:p w14:paraId="45ED9E21" w14:textId="77777777" w:rsidR="00990B14" w:rsidRDefault="00000000">
            <w:pPr>
              <w:spacing w:before="20" w:after="20"/>
              <w:jc w:val="both"/>
            </w:pPr>
            <w:r>
              <w:rPr>
                <w:sz w:val="18"/>
                <w:szCs w:val="18"/>
              </w:rPr>
              <w:t>No deriva respecto de la variable correcta.</w:t>
            </w:r>
          </w:p>
        </w:tc>
        <w:tc>
          <w:tcPr>
            <w:tcW w:w="2015" w:type="dxa"/>
            <w:shd w:val="clear" w:color="auto" w:fill="D9E2F3"/>
            <w:vAlign w:val="center"/>
          </w:tcPr>
          <w:p w14:paraId="47D83606" w14:textId="77777777" w:rsidR="00990B14" w:rsidRDefault="00000000">
            <w:pPr>
              <w:spacing w:before="20" w:after="20"/>
              <w:jc w:val="both"/>
            </w:pPr>
            <w:r>
              <w:rPr>
                <w:sz w:val="18"/>
                <w:szCs w:val="18"/>
              </w:rPr>
              <w:t>Obtiene correctamente la derivada implícita.</w:t>
            </w:r>
          </w:p>
        </w:tc>
        <w:tc>
          <w:tcPr>
            <w:tcW w:w="1910" w:type="dxa"/>
            <w:shd w:val="clear" w:color="auto" w:fill="D9E2F3"/>
            <w:vAlign w:val="center"/>
          </w:tcPr>
          <w:p w14:paraId="4C9D5C72" w14:textId="77777777" w:rsidR="00990B14" w:rsidRDefault="00000000">
            <w:pPr>
              <w:spacing w:before="20" w:after="20"/>
              <w:jc w:val="both"/>
            </w:pPr>
            <w:r>
              <w:rPr>
                <w:sz w:val="18"/>
                <w:szCs w:val="18"/>
              </w:rPr>
              <w:t>Interpreta la derivada implícita en una curva de nivel económica.</w:t>
            </w:r>
          </w:p>
        </w:tc>
      </w:tr>
      <w:tr w:rsidR="00990B14" w14:paraId="5A133F6E" w14:textId="77777777">
        <w:trPr>
          <w:cantSplit/>
          <w:jc w:val="center"/>
        </w:trPr>
        <w:tc>
          <w:tcPr>
            <w:tcW w:w="1555" w:type="dxa"/>
            <w:vMerge/>
            <w:shd w:val="clear" w:color="auto" w:fill="4472C4"/>
            <w:vAlign w:val="center"/>
          </w:tcPr>
          <w:p w14:paraId="5EC16018" w14:textId="77777777" w:rsidR="00990B14" w:rsidRDefault="00990B14">
            <w:pPr>
              <w:spacing w:before="20" w:after="20"/>
            </w:pPr>
          </w:p>
        </w:tc>
        <w:tc>
          <w:tcPr>
            <w:tcW w:w="2015" w:type="dxa"/>
            <w:shd w:val="clear" w:color="auto" w:fill="D9E2F3"/>
            <w:vAlign w:val="center"/>
          </w:tcPr>
          <w:p w14:paraId="3B906571" w14:textId="77777777" w:rsidR="00990B14" w:rsidRDefault="00000000">
            <w:pPr>
              <w:spacing w:before="20" w:after="20"/>
              <w:jc w:val="both"/>
            </w:pPr>
            <w:r>
              <w:rPr>
                <w:sz w:val="18"/>
                <w:szCs w:val="18"/>
              </w:rPr>
              <w:t>Orden superior</w:t>
            </w:r>
          </w:p>
        </w:tc>
        <w:tc>
          <w:tcPr>
            <w:tcW w:w="1910" w:type="dxa"/>
            <w:shd w:val="clear" w:color="auto" w:fill="D9E2F3"/>
            <w:vAlign w:val="center"/>
          </w:tcPr>
          <w:p w14:paraId="2D906908" w14:textId="77777777" w:rsidR="00990B14" w:rsidRDefault="00000000">
            <w:pPr>
              <w:spacing w:before="20" w:after="20"/>
              <w:jc w:val="both"/>
            </w:pPr>
            <w:r>
              <w:rPr>
                <w:sz w:val="18"/>
                <w:szCs w:val="18"/>
              </w:rPr>
              <w:t>Omite derivadas de orden superior.</w:t>
            </w:r>
          </w:p>
        </w:tc>
        <w:tc>
          <w:tcPr>
            <w:tcW w:w="2015" w:type="dxa"/>
            <w:shd w:val="clear" w:color="auto" w:fill="D9E2F3"/>
            <w:vAlign w:val="center"/>
          </w:tcPr>
          <w:p w14:paraId="181A2E9A" w14:textId="77777777" w:rsidR="00990B14" w:rsidRDefault="00000000">
            <w:pPr>
              <w:spacing w:before="20" w:after="20"/>
              <w:jc w:val="both"/>
            </w:pPr>
            <w:r>
              <w:rPr>
                <w:sz w:val="18"/>
                <w:szCs w:val="18"/>
              </w:rPr>
              <w:t>Calcula las derivadas de segundo y tercer orden.</w:t>
            </w:r>
          </w:p>
        </w:tc>
        <w:tc>
          <w:tcPr>
            <w:tcW w:w="1910" w:type="dxa"/>
            <w:shd w:val="clear" w:color="auto" w:fill="D9E2F3"/>
            <w:vAlign w:val="center"/>
          </w:tcPr>
          <w:p w14:paraId="3F7A837E" w14:textId="77777777" w:rsidR="00990B14" w:rsidRDefault="00000000">
            <w:pPr>
              <w:spacing w:before="20" w:after="20"/>
              <w:jc w:val="both"/>
            </w:pPr>
            <w:r>
              <w:rPr>
                <w:sz w:val="18"/>
                <w:szCs w:val="18"/>
              </w:rPr>
              <w:t>Explica el significado de la segunda derivada.</w:t>
            </w:r>
          </w:p>
        </w:tc>
      </w:tr>
      <w:tr w:rsidR="00990B14" w14:paraId="29A08D6A" w14:textId="77777777">
        <w:trPr>
          <w:cantSplit/>
          <w:jc w:val="center"/>
        </w:trPr>
        <w:tc>
          <w:tcPr>
            <w:tcW w:w="1555" w:type="dxa"/>
            <w:vMerge/>
            <w:shd w:val="clear" w:color="auto" w:fill="4472C4"/>
            <w:vAlign w:val="center"/>
          </w:tcPr>
          <w:p w14:paraId="2F7543D1" w14:textId="77777777" w:rsidR="00990B14" w:rsidRDefault="00990B14">
            <w:pPr>
              <w:spacing w:before="20" w:after="20"/>
            </w:pPr>
          </w:p>
        </w:tc>
        <w:tc>
          <w:tcPr>
            <w:tcW w:w="5940" w:type="dxa"/>
            <w:gridSpan w:val="3"/>
            <w:shd w:val="clear" w:color="auto" w:fill="D9E2F3"/>
            <w:vAlign w:val="center"/>
          </w:tcPr>
          <w:p w14:paraId="40B76F22" w14:textId="77777777" w:rsidR="00990B14" w:rsidRDefault="00000000">
            <w:pPr>
              <w:keepNext/>
              <w:spacing w:before="20" w:after="20"/>
              <w:jc w:val="both"/>
            </w:pPr>
            <w:r>
              <w:rPr>
                <w:b/>
                <w:bCs/>
                <w:i/>
                <w:iCs/>
                <w:sz w:val="18"/>
                <w:szCs w:val="18"/>
              </w:rPr>
              <w:t xml:space="preserve">Producto 10: </w:t>
            </w:r>
            <w:r>
              <w:rPr>
                <w:sz w:val="18"/>
                <w:szCs w:val="18"/>
              </w:rPr>
              <w:t>Cuadro de rectas tangentes y L'Hôpital</w:t>
            </w:r>
          </w:p>
        </w:tc>
        <w:tc>
          <w:tcPr>
            <w:tcW w:w="1910" w:type="dxa"/>
            <w:shd w:val="clear" w:color="auto" w:fill="D9E2F3"/>
            <w:vAlign w:val="center"/>
          </w:tcPr>
          <w:p w14:paraId="582F4CC2" w14:textId="77777777" w:rsidR="00990B14" w:rsidRDefault="00000000">
            <w:pPr>
              <w:spacing w:before="20" w:after="20"/>
              <w:jc w:val="center"/>
            </w:pPr>
            <w:r>
              <w:rPr>
                <w:b/>
                <w:bCs/>
                <w:sz w:val="18"/>
                <w:szCs w:val="18"/>
              </w:rPr>
              <w:t>6%</w:t>
            </w:r>
          </w:p>
        </w:tc>
      </w:tr>
      <w:tr w:rsidR="00990B14" w14:paraId="3ADA32A9" w14:textId="77777777">
        <w:trPr>
          <w:cantSplit/>
          <w:jc w:val="center"/>
        </w:trPr>
        <w:tc>
          <w:tcPr>
            <w:tcW w:w="1555" w:type="dxa"/>
            <w:vMerge/>
            <w:shd w:val="clear" w:color="auto" w:fill="4472C4"/>
            <w:vAlign w:val="center"/>
          </w:tcPr>
          <w:p w14:paraId="0F5DD44F" w14:textId="77777777" w:rsidR="00990B14" w:rsidRDefault="00990B14">
            <w:pPr>
              <w:spacing w:before="20" w:after="20"/>
            </w:pPr>
          </w:p>
        </w:tc>
        <w:tc>
          <w:tcPr>
            <w:tcW w:w="2015" w:type="dxa"/>
            <w:shd w:val="clear" w:color="auto" w:fill="4472C4"/>
            <w:vAlign w:val="center"/>
          </w:tcPr>
          <w:p w14:paraId="1DA6820A"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17D77AF9"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409564EB"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3E4D69A2" w14:textId="77777777" w:rsidR="00990B14" w:rsidRDefault="00000000">
            <w:pPr>
              <w:keepNext/>
              <w:spacing w:before="20" w:after="20"/>
              <w:jc w:val="center"/>
            </w:pPr>
            <w:r>
              <w:rPr>
                <w:b/>
                <w:bCs/>
                <w:i/>
                <w:iCs/>
                <w:color w:val="FFFFFF"/>
                <w:sz w:val="18"/>
                <w:szCs w:val="18"/>
              </w:rPr>
              <w:t>Destacado (81–100)</w:t>
            </w:r>
          </w:p>
        </w:tc>
      </w:tr>
      <w:tr w:rsidR="00990B14" w14:paraId="6624DF2B" w14:textId="77777777">
        <w:trPr>
          <w:cantSplit/>
          <w:jc w:val="center"/>
        </w:trPr>
        <w:tc>
          <w:tcPr>
            <w:tcW w:w="1555" w:type="dxa"/>
            <w:vMerge/>
            <w:shd w:val="clear" w:color="auto" w:fill="4472C4"/>
            <w:vAlign w:val="center"/>
          </w:tcPr>
          <w:p w14:paraId="5FD649D2" w14:textId="77777777" w:rsidR="00990B14" w:rsidRDefault="00990B14">
            <w:pPr>
              <w:spacing w:before="20" w:after="20"/>
            </w:pPr>
          </w:p>
        </w:tc>
        <w:tc>
          <w:tcPr>
            <w:tcW w:w="2015" w:type="dxa"/>
            <w:shd w:val="clear" w:color="auto" w:fill="D9E2F3"/>
            <w:vAlign w:val="center"/>
          </w:tcPr>
          <w:p w14:paraId="3ADAE19E" w14:textId="77777777" w:rsidR="00990B14" w:rsidRDefault="00000000">
            <w:pPr>
              <w:spacing w:before="20" w:after="20"/>
              <w:jc w:val="both"/>
            </w:pPr>
            <w:r>
              <w:rPr>
                <w:sz w:val="18"/>
                <w:szCs w:val="18"/>
              </w:rPr>
              <w:t>Recta tangente</w:t>
            </w:r>
          </w:p>
        </w:tc>
        <w:tc>
          <w:tcPr>
            <w:tcW w:w="1910" w:type="dxa"/>
            <w:shd w:val="clear" w:color="auto" w:fill="D9E2F3"/>
            <w:vAlign w:val="center"/>
          </w:tcPr>
          <w:p w14:paraId="7A0E4C8D" w14:textId="77777777" w:rsidR="00990B14" w:rsidRDefault="00000000">
            <w:pPr>
              <w:spacing w:before="20" w:after="20"/>
              <w:jc w:val="both"/>
            </w:pPr>
            <w:r>
              <w:rPr>
                <w:sz w:val="18"/>
                <w:szCs w:val="18"/>
              </w:rPr>
              <w:t>La pendiente no corresponde a la derivada.</w:t>
            </w:r>
          </w:p>
        </w:tc>
        <w:tc>
          <w:tcPr>
            <w:tcW w:w="2015" w:type="dxa"/>
            <w:shd w:val="clear" w:color="auto" w:fill="D9E2F3"/>
            <w:vAlign w:val="center"/>
          </w:tcPr>
          <w:p w14:paraId="119BBB7B" w14:textId="77777777" w:rsidR="00990B14" w:rsidRDefault="00000000">
            <w:pPr>
              <w:spacing w:before="20" w:after="20"/>
              <w:jc w:val="both"/>
            </w:pPr>
            <w:r>
              <w:rPr>
                <w:sz w:val="18"/>
                <w:szCs w:val="18"/>
              </w:rPr>
              <w:t>Determina la recta tangente y la normal.</w:t>
            </w:r>
          </w:p>
        </w:tc>
        <w:tc>
          <w:tcPr>
            <w:tcW w:w="1910" w:type="dxa"/>
            <w:shd w:val="clear" w:color="auto" w:fill="D9E2F3"/>
            <w:vAlign w:val="center"/>
          </w:tcPr>
          <w:p w14:paraId="1E7413B6" w14:textId="77777777" w:rsidR="00990B14" w:rsidRDefault="00000000">
            <w:pPr>
              <w:spacing w:before="20" w:after="20"/>
              <w:jc w:val="both"/>
            </w:pPr>
            <w:r>
              <w:rPr>
                <w:sz w:val="18"/>
                <w:szCs w:val="18"/>
              </w:rPr>
              <w:t>Interpreta la pendiente como costo marginal.</w:t>
            </w:r>
          </w:p>
        </w:tc>
      </w:tr>
      <w:tr w:rsidR="00990B14" w14:paraId="4856343B" w14:textId="77777777">
        <w:trPr>
          <w:cantSplit/>
          <w:jc w:val="center"/>
        </w:trPr>
        <w:tc>
          <w:tcPr>
            <w:tcW w:w="1555" w:type="dxa"/>
            <w:vMerge/>
            <w:shd w:val="clear" w:color="auto" w:fill="4472C4"/>
            <w:vAlign w:val="center"/>
          </w:tcPr>
          <w:p w14:paraId="2F925B59" w14:textId="77777777" w:rsidR="00990B14" w:rsidRDefault="00990B14">
            <w:pPr>
              <w:spacing w:before="20" w:after="20"/>
            </w:pPr>
          </w:p>
        </w:tc>
        <w:tc>
          <w:tcPr>
            <w:tcW w:w="2015" w:type="dxa"/>
            <w:shd w:val="clear" w:color="auto" w:fill="D9E2F3"/>
            <w:vAlign w:val="center"/>
          </w:tcPr>
          <w:p w14:paraId="1CC7404C" w14:textId="77777777" w:rsidR="00990B14" w:rsidRDefault="00000000">
            <w:pPr>
              <w:spacing w:before="20" w:after="20"/>
              <w:jc w:val="both"/>
            </w:pPr>
            <w:r>
              <w:rPr>
                <w:sz w:val="18"/>
                <w:szCs w:val="18"/>
              </w:rPr>
              <w:t>Teorema de L'Hôpital</w:t>
            </w:r>
          </w:p>
        </w:tc>
        <w:tc>
          <w:tcPr>
            <w:tcW w:w="1910" w:type="dxa"/>
            <w:shd w:val="clear" w:color="auto" w:fill="D9E2F3"/>
            <w:vAlign w:val="center"/>
          </w:tcPr>
          <w:p w14:paraId="22FA6AB8" w14:textId="77777777" w:rsidR="00990B14" w:rsidRDefault="00000000">
            <w:pPr>
              <w:spacing w:before="20" w:after="20"/>
              <w:jc w:val="both"/>
            </w:pPr>
            <w:r>
              <w:rPr>
                <w:sz w:val="18"/>
                <w:szCs w:val="18"/>
              </w:rPr>
              <w:t>Aplica el teorema sin verificar la indeterminación.</w:t>
            </w:r>
          </w:p>
        </w:tc>
        <w:tc>
          <w:tcPr>
            <w:tcW w:w="2015" w:type="dxa"/>
            <w:shd w:val="clear" w:color="auto" w:fill="D9E2F3"/>
            <w:vAlign w:val="center"/>
          </w:tcPr>
          <w:p w14:paraId="7BDCD6C7" w14:textId="77777777" w:rsidR="00990B14" w:rsidRDefault="00000000">
            <w:pPr>
              <w:spacing w:before="20" w:after="20"/>
              <w:jc w:val="both"/>
            </w:pPr>
            <w:r>
              <w:rPr>
                <w:sz w:val="18"/>
                <w:szCs w:val="18"/>
              </w:rPr>
              <w:t>Resuelve las formas indeterminadas con el teorema.</w:t>
            </w:r>
          </w:p>
        </w:tc>
        <w:tc>
          <w:tcPr>
            <w:tcW w:w="1910" w:type="dxa"/>
            <w:shd w:val="clear" w:color="auto" w:fill="D9E2F3"/>
            <w:vAlign w:val="center"/>
          </w:tcPr>
          <w:p w14:paraId="62288A80" w14:textId="77777777" w:rsidR="00990B14" w:rsidRDefault="00000000">
            <w:pPr>
              <w:spacing w:before="20" w:after="20"/>
              <w:jc w:val="both"/>
            </w:pPr>
            <w:r>
              <w:rPr>
                <w:sz w:val="18"/>
                <w:szCs w:val="18"/>
              </w:rPr>
              <w:t>Compara el resultado con el método algebraico.</w:t>
            </w:r>
          </w:p>
        </w:tc>
      </w:tr>
      <w:tr w:rsidR="00990B14" w14:paraId="0889EF22" w14:textId="77777777">
        <w:trPr>
          <w:cantSplit/>
          <w:jc w:val="center"/>
        </w:trPr>
        <w:tc>
          <w:tcPr>
            <w:tcW w:w="1555" w:type="dxa"/>
            <w:vMerge/>
            <w:shd w:val="clear" w:color="auto" w:fill="4472C4"/>
            <w:vAlign w:val="center"/>
          </w:tcPr>
          <w:p w14:paraId="2E1E8C35" w14:textId="77777777" w:rsidR="00990B14" w:rsidRDefault="00990B14">
            <w:pPr>
              <w:spacing w:before="20" w:after="20"/>
            </w:pPr>
          </w:p>
        </w:tc>
        <w:tc>
          <w:tcPr>
            <w:tcW w:w="2015" w:type="dxa"/>
            <w:shd w:val="clear" w:color="auto" w:fill="D9E2F3"/>
            <w:vAlign w:val="center"/>
          </w:tcPr>
          <w:p w14:paraId="64F59FBF" w14:textId="77777777" w:rsidR="00990B14" w:rsidRDefault="00000000">
            <w:pPr>
              <w:spacing w:before="20" w:after="20"/>
              <w:jc w:val="both"/>
            </w:pPr>
            <w:r>
              <w:rPr>
                <w:sz w:val="18"/>
                <w:szCs w:val="18"/>
              </w:rPr>
              <w:t>Trabajo en equipo</w:t>
            </w:r>
          </w:p>
        </w:tc>
        <w:tc>
          <w:tcPr>
            <w:tcW w:w="1910" w:type="dxa"/>
            <w:shd w:val="clear" w:color="auto" w:fill="D9E2F3"/>
            <w:vAlign w:val="center"/>
          </w:tcPr>
          <w:p w14:paraId="3DFE6211" w14:textId="77777777" w:rsidR="00990B14" w:rsidRDefault="00000000">
            <w:pPr>
              <w:spacing w:before="20" w:after="20"/>
              <w:jc w:val="both"/>
            </w:pPr>
            <w:r>
              <w:rPr>
                <w:sz w:val="18"/>
                <w:szCs w:val="18"/>
              </w:rPr>
              <w:t>El cuadro está incompleto.</w:t>
            </w:r>
          </w:p>
        </w:tc>
        <w:tc>
          <w:tcPr>
            <w:tcW w:w="2015" w:type="dxa"/>
            <w:shd w:val="clear" w:color="auto" w:fill="D9E2F3"/>
            <w:vAlign w:val="center"/>
          </w:tcPr>
          <w:p w14:paraId="6304ED6E" w14:textId="77777777" w:rsidR="00990B14" w:rsidRDefault="00000000">
            <w:pPr>
              <w:spacing w:before="20" w:after="20"/>
              <w:jc w:val="both"/>
            </w:pPr>
            <w:r>
              <w:rPr>
                <w:sz w:val="18"/>
                <w:szCs w:val="18"/>
              </w:rPr>
              <w:t>El equipo completa el cuadro de forma correcta.</w:t>
            </w:r>
          </w:p>
        </w:tc>
        <w:tc>
          <w:tcPr>
            <w:tcW w:w="1910" w:type="dxa"/>
            <w:shd w:val="clear" w:color="auto" w:fill="D9E2F3"/>
            <w:vAlign w:val="center"/>
          </w:tcPr>
          <w:p w14:paraId="4F158B32" w14:textId="77777777" w:rsidR="00990B14" w:rsidRDefault="00000000">
            <w:pPr>
              <w:spacing w:before="20" w:after="20"/>
              <w:jc w:val="both"/>
            </w:pPr>
            <w:r>
              <w:rPr>
                <w:sz w:val="18"/>
                <w:szCs w:val="18"/>
              </w:rPr>
              <w:t>El equipo revisa y corrige los errores de sus miembros.</w:t>
            </w:r>
          </w:p>
        </w:tc>
      </w:tr>
      <w:tr w:rsidR="00990B14" w14:paraId="5D4D227B" w14:textId="77777777">
        <w:trPr>
          <w:cantSplit/>
          <w:jc w:val="center"/>
        </w:trPr>
        <w:tc>
          <w:tcPr>
            <w:tcW w:w="1555" w:type="dxa"/>
            <w:vMerge/>
            <w:shd w:val="clear" w:color="auto" w:fill="4472C4"/>
            <w:vAlign w:val="center"/>
          </w:tcPr>
          <w:p w14:paraId="2EA7A965" w14:textId="77777777" w:rsidR="00990B14" w:rsidRDefault="00990B14">
            <w:pPr>
              <w:spacing w:before="20" w:after="20"/>
            </w:pPr>
          </w:p>
        </w:tc>
        <w:tc>
          <w:tcPr>
            <w:tcW w:w="5940" w:type="dxa"/>
            <w:gridSpan w:val="3"/>
            <w:shd w:val="clear" w:color="auto" w:fill="D9E2F3"/>
            <w:vAlign w:val="center"/>
          </w:tcPr>
          <w:p w14:paraId="711A4A73" w14:textId="77777777" w:rsidR="00990B14" w:rsidRDefault="00000000">
            <w:pPr>
              <w:keepNext/>
              <w:spacing w:before="20" w:after="20"/>
              <w:jc w:val="both"/>
            </w:pPr>
            <w:r>
              <w:rPr>
                <w:b/>
                <w:bCs/>
                <w:i/>
                <w:iCs/>
                <w:sz w:val="18"/>
                <w:szCs w:val="18"/>
              </w:rPr>
              <w:t xml:space="preserve">Producto 11: </w:t>
            </w:r>
            <w:r>
              <w:rPr>
                <w:sz w:val="18"/>
                <w:szCs w:val="18"/>
              </w:rPr>
              <w:t>Gráfica con extremos e inflexión</w:t>
            </w:r>
          </w:p>
        </w:tc>
        <w:tc>
          <w:tcPr>
            <w:tcW w:w="1910" w:type="dxa"/>
            <w:shd w:val="clear" w:color="auto" w:fill="D9E2F3"/>
            <w:vAlign w:val="center"/>
          </w:tcPr>
          <w:p w14:paraId="18A717EA" w14:textId="77777777" w:rsidR="00990B14" w:rsidRDefault="00000000">
            <w:pPr>
              <w:spacing w:before="20" w:after="20"/>
              <w:jc w:val="center"/>
            </w:pPr>
            <w:r>
              <w:rPr>
                <w:b/>
                <w:bCs/>
                <w:sz w:val="18"/>
                <w:szCs w:val="18"/>
              </w:rPr>
              <w:t>6%</w:t>
            </w:r>
          </w:p>
        </w:tc>
      </w:tr>
      <w:tr w:rsidR="00990B14" w14:paraId="5BE631BC" w14:textId="77777777">
        <w:trPr>
          <w:cantSplit/>
          <w:jc w:val="center"/>
        </w:trPr>
        <w:tc>
          <w:tcPr>
            <w:tcW w:w="1555" w:type="dxa"/>
            <w:vMerge/>
            <w:shd w:val="clear" w:color="auto" w:fill="4472C4"/>
            <w:vAlign w:val="center"/>
          </w:tcPr>
          <w:p w14:paraId="7330A48B" w14:textId="77777777" w:rsidR="00990B14" w:rsidRDefault="00990B14">
            <w:pPr>
              <w:spacing w:before="20" w:after="20"/>
            </w:pPr>
          </w:p>
        </w:tc>
        <w:tc>
          <w:tcPr>
            <w:tcW w:w="2015" w:type="dxa"/>
            <w:shd w:val="clear" w:color="auto" w:fill="4472C4"/>
            <w:vAlign w:val="center"/>
          </w:tcPr>
          <w:p w14:paraId="2C255CDC"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30684135"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2A9A6D90"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016A08F4" w14:textId="77777777" w:rsidR="00990B14" w:rsidRDefault="00000000">
            <w:pPr>
              <w:keepNext/>
              <w:spacing w:before="20" w:after="20"/>
              <w:jc w:val="center"/>
            </w:pPr>
            <w:r>
              <w:rPr>
                <w:b/>
                <w:bCs/>
                <w:i/>
                <w:iCs/>
                <w:color w:val="FFFFFF"/>
                <w:sz w:val="18"/>
                <w:szCs w:val="18"/>
              </w:rPr>
              <w:t>Destacado (81–100)</w:t>
            </w:r>
          </w:p>
        </w:tc>
      </w:tr>
      <w:tr w:rsidR="00990B14" w14:paraId="01F0BA5F" w14:textId="77777777">
        <w:trPr>
          <w:cantSplit/>
          <w:jc w:val="center"/>
        </w:trPr>
        <w:tc>
          <w:tcPr>
            <w:tcW w:w="1555" w:type="dxa"/>
            <w:vMerge/>
            <w:shd w:val="clear" w:color="auto" w:fill="4472C4"/>
            <w:vAlign w:val="center"/>
          </w:tcPr>
          <w:p w14:paraId="290EE2E0" w14:textId="77777777" w:rsidR="00990B14" w:rsidRDefault="00990B14">
            <w:pPr>
              <w:spacing w:before="20" w:after="20"/>
            </w:pPr>
          </w:p>
        </w:tc>
        <w:tc>
          <w:tcPr>
            <w:tcW w:w="2015" w:type="dxa"/>
            <w:shd w:val="clear" w:color="auto" w:fill="D9E2F3"/>
            <w:vAlign w:val="center"/>
          </w:tcPr>
          <w:p w14:paraId="3B2267B1" w14:textId="77777777" w:rsidR="00990B14" w:rsidRDefault="00000000">
            <w:pPr>
              <w:spacing w:before="20" w:after="20"/>
              <w:jc w:val="both"/>
            </w:pPr>
            <w:r>
              <w:rPr>
                <w:sz w:val="18"/>
                <w:szCs w:val="18"/>
              </w:rPr>
              <w:t>Intervalos de crecimiento</w:t>
            </w:r>
          </w:p>
        </w:tc>
        <w:tc>
          <w:tcPr>
            <w:tcW w:w="1910" w:type="dxa"/>
            <w:shd w:val="clear" w:color="auto" w:fill="D9E2F3"/>
            <w:vAlign w:val="center"/>
          </w:tcPr>
          <w:p w14:paraId="31F0D39C" w14:textId="77777777" w:rsidR="00990B14" w:rsidRDefault="00000000">
            <w:pPr>
              <w:spacing w:before="20" w:after="20"/>
              <w:jc w:val="both"/>
            </w:pPr>
            <w:r>
              <w:rPr>
                <w:sz w:val="18"/>
                <w:szCs w:val="18"/>
              </w:rPr>
              <w:t>Determina mal el signo de la derivada.</w:t>
            </w:r>
          </w:p>
        </w:tc>
        <w:tc>
          <w:tcPr>
            <w:tcW w:w="2015" w:type="dxa"/>
            <w:shd w:val="clear" w:color="auto" w:fill="D9E2F3"/>
            <w:vAlign w:val="center"/>
          </w:tcPr>
          <w:p w14:paraId="7EF2C722" w14:textId="77777777" w:rsidR="00990B14" w:rsidRDefault="00000000">
            <w:pPr>
              <w:spacing w:before="20" w:after="20"/>
              <w:jc w:val="both"/>
            </w:pPr>
            <w:r>
              <w:rPr>
                <w:sz w:val="18"/>
                <w:szCs w:val="18"/>
              </w:rPr>
              <w:t>Identifica los intervalos de crecimiento y decrecimiento.</w:t>
            </w:r>
          </w:p>
        </w:tc>
        <w:tc>
          <w:tcPr>
            <w:tcW w:w="1910" w:type="dxa"/>
            <w:shd w:val="clear" w:color="auto" w:fill="D9E2F3"/>
            <w:vAlign w:val="center"/>
          </w:tcPr>
          <w:p w14:paraId="42CE5DC9" w14:textId="77777777" w:rsidR="00990B14" w:rsidRDefault="00000000">
            <w:pPr>
              <w:spacing w:before="20" w:after="20"/>
              <w:jc w:val="both"/>
            </w:pPr>
            <w:r>
              <w:rPr>
                <w:sz w:val="18"/>
                <w:szCs w:val="18"/>
              </w:rPr>
              <w:t>Relaciona el crecimiento con el comportamiento económico.</w:t>
            </w:r>
          </w:p>
        </w:tc>
      </w:tr>
      <w:tr w:rsidR="00990B14" w14:paraId="56104DB0" w14:textId="77777777">
        <w:trPr>
          <w:cantSplit/>
          <w:jc w:val="center"/>
        </w:trPr>
        <w:tc>
          <w:tcPr>
            <w:tcW w:w="1555" w:type="dxa"/>
            <w:vMerge/>
            <w:shd w:val="clear" w:color="auto" w:fill="4472C4"/>
            <w:vAlign w:val="center"/>
          </w:tcPr>
          <w:p w14:paraId="0B2A7388" w14:textId="77777777" w:rsidR="00990B14" w:rsidRDefault="00990B14">
            <w:pPr>
              <w:spacing w:before="20" w:after="20"/>
            </w:pPr>
          </w:p>
        </w:tc>
        <w:tc>
          <w:tcPr>
            <w:tcW w:w="2015" w:type="dxa"/>
            <w:shd w:val="clear" w:color="auto" w:fill="D9E2F3"/>
            <w:vAlign w:val="center"/>
          </w:tcPr>
          <w:p w14:paraId="769ED18B" w14:textId="77777777" w:rsidR="00990B14" w:rsidRDefault="00000000">
            <w:pPr>
              <w:spacing w:before="20" w:after="20"/>
              <w:jc w:val="both"/>
            </w:pPr>
            <w:r>
              <w:rPr>
                <w:sz w:val="18"/>
                <w:szCs w:val="18"/>
              </w:rPr>
              <w:t>Extremos e inflexión</w:t>
            </w:r>
          </w:p>
        </w:tc>
        <w:tc>
          <w:tcPr>
            <w:tcW w:w="1910" w:type="dxa"/>
            <w:shd w:val="clear" w:color="auto" w:fill="D9E2F3"/>
            <w:vAlign w:val="center"/>
          </w:tcPr>
          <w:p w14:paraId="45D9A79D" w14:textId="77777777" w:rsidR="00990B14" w:rsidRDefault="00000000">
            <w:pPr>
              <w:spacing w:before="20" w:after="20"/>
              <w:jc w:val="both"/>
            </w:pPr>
            <w:r>
              <w:rPr>
                <w:sz w:val="18"/>
                <w:szCs w:val="18"/>
              </w:rPr>
              <w:t>Omite puntos críticos.</w:t>
            </w:r>
          </w:p>
        </w:tc>
        <w:tc>
          <w:tcPr>
            <w:tcW w:w="2015" w:type="dxa"/>
            <w:shd w:val="clear" w:color="auto" w:fill="D9E2F3"/>
            <w:vAlign w:val="center"/>
          </w:tcPr>
          <w:p w14:paraId="4A0012C4" w14:textId="77777777" w:rsidR="00990B14" w:rsidRDefault="00000000">
            <w:pPr>
              <w:spacing w:before="20" w:after="20"/>
              <w:jc w:val="both"/>
            </w:pPr>
            <w:r>
              <w:rPr>
                <w:sz w:val="18"/>
                <w:szCs w:val="18"/>
              </w:rPr>
              <w:t>Ubica los máximos, mínimos y puntos de inflexión.</w:t>
            </w:r>
          </w:p>
        </w:tc>
        <w:tc>
          <w:tcPr>
            <w:tcW w:w="1910" w:type="dxa"/>
            <w:shd w:val="clear" w:color="auto" w:fill="D9E2F3"/>
            <w:vAlign w:val="center"/>
          </w:tcPr>
          <w:p w14:paraId="7FDCD625" w14:textId="77777777" w:rsidR="00990B14" w:rsidRDefault="00000000">
            <w:pPr>
              <w:spacing w:before="20" w:after="20"/>
              <w:jc w:val="both"/>
            </w:pPr>
            <w:r>
              <w:rPr>
                <w:sz w:val="18"/>
                <w:szCs w:val="18"/>
              </w:rPr>
              <w:t>Verifica cada punto con el criterio de la segunda derivada.</w:t>
            </w:r>
          </w:p>
        </w:tc>
      </w:tr>
      <w:tr w:rsidR="00990B14" w14:paraId="4CC0149B" w14:textId="77777777">
        <w:trPr>
          <w:cantSplit/>
          <w:jc w:val="center"/>
        </w:trPr>
        <w:tc>
          <w:tcPr>
            <w:tcW w:w="1555" w:type="dxa"/>
            <w:vMerge/>
            <w:shd w:val="clear" w:color="auto" w:fill="4472C4"/>
            <w:vAlign w:val="center"/>
          </w:tcPr>
          <w:p w14:paraId="4A8149B4" w14:textId="77777777" w:rsidR="00990B14" w:rsidRDefault="00990B14">
            <w:pPr>
              <w:spacing w:before="20" w:after="20"/>
            </w:pPr>
          </w:p>
        </w:tc>
        <w:tc>
          <w:tcPr>
            <w:tcW w:w="2015" w:type="dxa"/>
            <w:shd w:val="clear" w:color="auto" w:fill="D9E2F3"/>
            <w:vAlign w:val="center"/>
          </w:tcPr>
          <w:p w14:paraId="5CF56664" w14:textId="77777777" w:rsidR="00990B14" w:rsidRDefault="00000000">
            <w:pPr>
              <w:spacing w:before="20" w:after="20"/>
              <w:jc w:val="both"/>
            </w:pPr>
            <w:r>
              <w:rPr>
                <w:sz w:val="18"/>
                <w:szCs w:val="18"/>
              </w:rPr>
              <w:t>Gráfica</w:t>
            </w:r>
          </w:p>
        </w:tc>
        <w:tc>
          <w:tcPr>
            <w:tcW w:w="1910" w:type="dxa"/>
            <w:shd w:val="clear" w:color="auto" w:fill="D9E2F3"/>
            <w:vAlign w:val="center"/>
          </w:tcPr>
          <w:p w14:paraId="4D65E8AA" w14:textId="77777777" w:rsidR="00990B14" w:rsidRDefault="00000000">
            <w:pPr>
              <w:spacing w:before="20" w:after="20"/>
              <w:jc w:val="both"/>
            </w:pPr>
            <w:r>
              <w:rPr>
                <w:sz w:val="18"/>
                <w:szCs w:val="18"/>
              </w:rPr>
              <w:t>La gráfica no coincide con el análisis.</w:t>
            </w:r>
          </w:p>
        </w:tc>
        <w:tc>
          <w:tcPr>
            <w:tcW w:w="2015" w:type="dxa"/>
            <w:shd w:val="clear" w:color="auto" w:fill="D9E2F3"/>
            <w:vAlign w:val="center"/>
          </w:tcPr>
          <w:p w14:paraId="599B8F88" w14:textId="77777777" w:rsidR="00990B14" w:rsidRDefault="00000000">
            <w:pPr>
              <w:spacing w:before="20" w:after="20"/>
              <w:jc w:val="both"/>
            </w:pPr>
            <w:r>
              <w:rPr>
                <w:sz w:val="18"/>
                <w:szCs w:val="18"/>
              </w:rPr>
              <w:t>La gráfica refleja el análisis de la derivada.</w:t>
            </w:r>
          </w:p>
        </w:tc>
        <w:tc>
          <w:tcPr>
            <w:tcW w:w="1910" w:type="dxa"/>
            <w:shd w:val="clear" w:color="auto" w:fill="D9E2F3"/>
            <w:vAlign w:val="center"/>
          </w:tcPr>
          <w:p w14:paraId="3FDE4313" w14:textId="77777777" w:rsidR="00990B14" w:rsidRDefault="00000000">
            <w:pPr>
              <w:spacing w:before="20" w:after="20"/>
              <w:jc w:val="both"/>
            </w:pPr>
            <w:r>
              <w:rPr>
                <w:sz w:val="18"/>
                <w:szCs w:val="18"/>
              </w:rPr>
              <w:t>Rotula la gráfica con su lectura económica.</w:t>
            </w:r>
          </w:p>
        </w:tc>
      </w:tr>
      <w:tr w:rsidR="00990B14" w14:paraId="34E77110" w14:textId="77777777">
        <w:trPr>
          <w:cantSplit/>
          <w:jc w:val="center"/>
        </w:trPr>
        <w:tc>
          <w:tcPr>
            <w:tcW w:w="1555" w:type="dxa"/>
            <w:vMerge/>
            <w:shd w:val="clear" w:color="auto" w:fill="4472C4"/>
            <w:vAlign w:val="center"/>
          </w:tcPr>
          <w:p w14:paraId="7FE35CF0" w14:textId="77777777" w:rsidR="00990B14" w:rsidRDefault="00990B14">
            <w:pPr>
              <w:spacing w:before="20" w:after="20"/>
            </w:pPr>
          </w:p>
        </w:tc>
        <w:tc>
          <w:tcPr>
            <w:tcW w:w="5940" w:type="dxa"/>
            <w:gridSpan w:val="3"/>
            <w:shd w:val="clear" w:color="auto" w:fill="D9E2F3"/>
            <w:vAlign w:val="center"/>
          </w:tcPr>
          <w:p w14:paraId="50717333" w14:textId="77777777" w:rsidR="00990B14" w:rsidRDefault="00000000">
            <w:pPr>
              <w:keepNext/>
              <w:spacing w:before="20" w:after="20"/>
              <w:jc w:val="both"/>
            </w:pPr>
            <w:r>
              <w:rPr>
                <w:b/>
                <w:bCs/>
                <w:i/>
                <w:iCs/>
                <w:sz w:val="18"/>
                <w:szCs w:val="18"/>
              </w:rPr>
              <w:t xml:space="preserve">Producto 12: </w:t>
            </w:r>
            <w:r>
              <w:rPr>
                <w:sz w:val="18"/>
                <w:szCs w:val="18"/>
              </w:rPr>
              <w:t>Informe de optimización del beneficio</w:t>
            </w:r>
          </w:p>
        </w:tc>
        <w:tc>
          <w:tcPr>
            <w:tcW w:w="1910" w:type="dxa"/>
            <w:shd w:val="clear" w:color="auto" w:fill="D9E2F3"/>
            <w:vAlign w:val="center"/>
          </w:tcPr>
          <w:p w14:paraId="2B5D49DD" w14:textId="77777777" w:rsidR="00990B14" w:rsidRDefault="00000000">
            <w:pPr>
              <w:spacing w:before="20" w:after="20"/>
              <w:jc w:val="center"/>
            </w:pPr>
            <w:r>
              <w:rPr>
                <w:b/>
                <w:bCs/>
                <w:sz w:val="18"/>
                <w:szCs w:val="18"/>
              </w:rPr>
              <w:t>10%</w:t>
            </w:r>
          </w:p>
        </w:tc>
      </w:tr>
      <w:tr w:rsidR="00990B14" w14:paraId="05AB6795" w14:textId="77777777">
        <w:trPr>
          <w:cantSplit/>
          <w:jc w:val="center"/>
        </w:trPr>
        <w:tc>
          <w:tcPr>
            <w:tcW w:w="1555" w:type="dxa"/>
            <w:vMerge/>
            <w:shd w:val="clear" w:color="auto" w:fill="4472C4"/>
            <w:vAlign w:val="center"/>
          </w:tcPr>
          <w:p w14:paraId="2DE93B1F" w14:textId="77777777" w:rsidR="00990B14" w:rsidRDefault="00990B14">
            <w:pPr>
              <w:spacing w:before="20" w:after="20"/>
            </w:pPr>
          </w:p>
        </w:tc>
        <w:tc>
          <w:tcPr>
            <w:tcW w:w="2015" w:type="dxa"/>
            <w:shd w:val="clear" w:color="auto" w:fill="4472C4"/>
            <w:vAlign w:val="center"/>
          </w:tcPr>
          <w:p w14:paraId="678DD29A"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46D53C94"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7D81E369"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7AFE37B0" w14:textId="77777777" w:rsidR="00990B14" w:rsidRDefault="00000000">
            <w:pPr>
              <w:keepNext/>
              <w:spacing w:before="20" w:after="20"/>
              <w:jc w:val="center"/>
            </w:pPr>
            <w:r>
              <w:rPr>
                <w:b/>
                <w:bCs/>
                <w:i/>
                <w:iCs/>
                <w:color w:val="FFFFFF"/>
                <w:sz w:val="18"/>
                <w:szCs w:val="18"/>
              </w:rPr>
              <w:t>Destacado (81–100)</w:t>
            </w:r>
          </w:p>
        </w:tc>
      </w:tr>
      <w:tr w:rsidR="00990B14" w14:paraId="16E4477F" w14:textId="77777777">
        <w:trPr>
          <w:cantSplit/>
          <w:jc w:val="center"/>
        </w:trPr>
        <w:tc>
          <w:tcPr>
            <w:tcW w:w="1555" w:type="dxa"/>
            <w:vMerge/>
            <w:shd w:val="clear" w:color="auto" w:fill="4472C4"/>
            <w:vAlign w:val="center"/>
          </w:tcPr>
          <w:p w14:paraId="1BB1705C" w14:textId="77777777" w:rsidR="00990B14" w:rsidRDefault="00990B14">
            <w:pPr>
              <w:spacing w:before="20" w:after="20"/>
            </w:pPr>
          </w:p>
        </w:tc>
        <w:tc>
          <w:tcPr>
            <w:tcW w:w="2015" w:type="dxa"/>
            <w:shd w:val="clear" w:color="auto" w:fill="D9E2F3"/>
            <w:vAlign w:val="center"/>
          </w:tcPr>
          <w:p w14:paraId="013039DD" w14:textId="77777777" w:rsidR="00990B14" w:rsidRDefault="00000000">
            <w:pPr>
              <w:spacing w:before="20" w:after="20"/>
              <w:jc w:val="both"/>
            </w:pPr>
            <w:r>
              <w:rPr>
                <w:sz w:val="18"/>
                <w:szCs w:val="18"/>
              </w:rPr>
              <w:t>Nivel óptimo</w:t>
            </w:r>
          </w:p>
        </w:tc>
        <w:tc>
          <w:tcPr>
            <w:tcW w:w="1910" w:type="dxa"/>
            <w:shd w:val="clear" w:color="auto" w:fill="D9E2F3"/>
            <w:vAlign w:val="center"/>
          </w:tcPr>
          <w:p w14:paraId="32288EDB" w14:textId="77777777" w:rsidR="00990B14" w:rsidRDefault="00000000">
            <w:pPr>
              <w:spacing w:before="20" w:after="20"/>
              <w:jc w:val="both"/>
            </w:pPr>
            <w:r>
              <w:rPr>
                <w:sz w:val="18"/>
                <w:szCs w:val="18"/>
              </w:rPr>
              <w:t>No iguala correctamente las condiciones de óptimo.</w:t>
            </w:r>
          </w:p>
        </w:tc>
        <w:tc>
          <w:tcPr>
            <w:tcW w:w="2015" w:type="dxa"/>
            <w:shd w:val="clear" w:color="auto" w:fill="D9E2F3"/>
            <w:vAlign w:val="center"/>
          </w:tcPr>
          <w:p w14:paraId="58FD2A8B" w14:textId="77777777" w:rsidR="00990B14" w:rsidRDefault="00000000">
            <w:pPr>
              <w:spacing w:before="20" w:after="20"/>
              <w:jc w:val="both"/>
            </w:pPr>
            <w:r>
              <w:rPr>
                <w:sz w:val="18"/>
                <w:szCs w:val="18"/>
              </w:rPr>
              <w:t>Determina la cantidad y el precio que maximizan el beneficio.</w:t>
            </w:r>
          </w:p>
        </w:tc>
        <w:tc>
          <w:tcPr>
            <w:tcW w:w="1910" w:type="dxa"/>
            <w:shd w:val="clear" w:color="auto" w:fill="D9E2F3"/>
            <w:vAlign w:val="center"/>
          </w:tcPr>
          <w:p w14:paraId="03560AAD" w14:textId="77777777" w:rsidR="00990B14" w:rsidRDefault="00000000">
            <w:pPr>
              <w:spacing w:before="20" w:after="20"/>
              <w:jc w:val="both"/>
            </w:pPr>
            <w:r>
              <w:rPr>
                <w:sz w:val="18"/>
                <w:szCs w:val="18"/>
              </w:rPr>
              <w:t>Comprueba que el punto es un máximo.</w:t>
            </w:r>
          </w:p>
        </w:tc>
      </w:tr>
      <w:tr w:rsidR="00990B14" w14:paraId="23B7BD03" w14:textId="77777777">
        <w:trPr>
          <w:cantSplit/>
          <w:jc w:val="center"/>
        </w:trPr>
        <w:tc>
          <w:tcPr>
            <w:tcW w:w="1555" w:type="dxa"/>
            <w:vMerge/>
            <w:shd w:val="clear" w:color="auto" w:fill="4472C4"/>
            <w:vAlign w:val="center"/>
          </w:tcPr>
          <w:p w14:paraId="4E9792E6" w14:textId="77777777" w:rsidR="00990B14" w:rsidRDefault="00990B14">
            <w:pPr>
              <w:spacing w:before="20" w:after="20"/>
            </w:pPr>
          </w:p>
        </w:tc>
        <w:tc>
          <w:tcPr>
            <w:tcW w:w="2015" w:type="dxa"/>
            <w:shd w:val="clear" w:color="auto" w:fill="D9E2F3"/>
            <w:vAlign w:val="center"/>
          </w:tcPr>
          <w:p w14:paraId="27EB7180" w14:textId="77777777" w:rsidR="00990B14" w:rsidRDefault="00000000">
            <w:pPr>
              <w:spacing w:before="20" w:after="20"/>
              <w:jc w:val="both"/>
            </w:pPr>
            <w:r>
              <w:rPr>
                <w:sz w:val="18"/>
                <w:szCs w:val="18"/>
              </w:rPr>
              <w:t>Elasticidad</w:t>
            </w:r>
          </w:p>
        </w:tc>
        <w:tc>
          <w:tcPr>
            <w:tcW w:w="1910" w:type="dxa"/>
            <w:shd w:val="clear" w:color="auto" w:fill="D9E2F3"/>
            <w:vAlign w:val="center"/>
          </w:tcPr>
          <w:p w14:paraId="0E6DFD37" w14:textId="77777777" w:rsidR="00990B14" w:rsidRDefault="00000000">
            <w:pPr>
              <w:spacing w:before="20" w:after="20"/>
              <w:jc w:val="both"/>
            </w:pPr>
            <w:r>
              <w:rPr>
                <w:sz w:val="18"/>
                <w:szCs w:val="18"/>
              </w:rPr>
              <w:t>Calcula mal la elasticidad.</w:t>
            </w:r>
          </w:p>
        </w:tc>
        <w:tc>
          <w:tcPr>
            <w:tcW w:w="2015" w:type="dxa"/>
            <w:shd w:val="clear" w:color="auto" w:fill="D9E2F3"/>
            <w:vAlign w:val="center"/>
          </w:tcPr>
          <w:p w14:paraId="2C97E5EC" w14:textId="77777777" w:rsidR="00990B14" w:rsidRDefault="00000000">
            <w:pPr>
              <w:spacing w:before="20" w:after="20"/>
              <w:jc w:val="both"/>
            </w:pPr>
            <w:r>
              <w:rPr>
                <w:sz w:val="18"/>
                <w:szCs w:val="18"/>
              </w:rPr>
              <w:t>Calcula e interpreta la elasticidad precio de la demanda.</w:t>
            </w:r>
          </w:p>
        </w:tc>
        <w:tc>
          <w:tcPr>
            <w:tcW w:w="1910" w:type="dxa"/>
            <w:shd w:val="clear" w:color="auto" w:fill="D9E2F3"/>
            <w:vAlign w:val="center"/>
          </w:tcPr>
          <w:p w14:paraId="5A5C5863" w14:textId="77777777" w:rsidR="00990B14" w:rsidRDefault="00000000">
            <w:pPr>
              <w:spacing w:before="20" w:after="20"/>
              <w:jc w:val="both"/>
            </w:pPr>
            <w:r>
              <w:rPr>
                <w:sz w:val="18"/>
                <w:szCs w:val="18"/>
              </w:rPr>
              <w:t>Relaciona la elasticidad con la política de precios.</w:t>
            </w:r>
          </w:p>
        </w:tc>
      </w:tr>
      <w:tr w:rsidR="00990B14" w14:paraId="47103713" w14:textId="77777777">
        <w:trPr>
          <w:cantSplit/>
          <w:jc w:val="center"/>
        </w:trPr>
        <w:tc>
          <w:tcPr>
            <w:tcW w:w="1555" w:type="dxa"/>
            <w:vMerge/>
            <w:shd w:val="clear" w:color="auto" w:fill="4472C4"/>
            <w:vAlign w:val="center"/>
          </w:tcPr>
          <w:p w14:paraId="5ADAD6E8" w14:textId="77777777" w:rsidR="00990B14" w:rsidRDefault="00990B14">
            <w:pPr>
              <w:spacing w:before="20" w:after="20"/>
            </w:pPr>
          </w:p>
        </w:tc>
        <w:tc>
          <w:tcPr>
            <w:tcW w:w="2015" w:type="dxa"/>
            <w:shd w:val="clear" w:color="auto" w:fill="D9E2F3"/>
            <w:vAlign w:val="center"/>
          </w:tcPr>
          <w:p w14:paraId="187372AD" w14:textId="77777777" w:rsidR="00990B14" w:rsidRDefault="00000000">
            <w:pPr>
              <w:spacing w:before="20" w:after="20"/>
              <w:jc w:val="both"/>
            </w:pPr>
            <w:r>
              <w:rPr>
                <w:sz w:val="18"/>
                <w:szCs w:val="18"/>
              </w:rPr>
              <w:t>Sensibilidad</w:t>
            </w:r>
          </w:p>
        </w:tc>
        <w:tc>
          <w:tcPr>
            <w:tcW w:w="1910" w:type="dxa"/>
            <w:shd w:val="clear" w:color="auto" w:fill="D9E2F3"/>
            <w:vAlign w:val="center"/>
          </w:tcPr>
          <w:p w14:paraId="20031C02" w14:textId="77777777" w:rsidR="00990B14" w:rsidRDefault="00000000">
            <w:pPr>
              <w:spacing w:before="20" w:after="20"/>
              <w:jc w:val="both"/>
            </w:pPr>
            <w:r>
              <w:rPr>
                <w:sz w:val="18"/>
                <w:szCs w:val="18"/>
              </w:rPr>
              <w:t>Omite el análisis de sensibilidad.</w:t>
            </w:r>
          </w:p>
        </w:tc>
        <w:tc>
          <w:tcPr>
            <w:tcW w:w="2015" w:type="dxa"/>
            <w:shd w:val="clear" w:color="auto" w:fill="D9E2F3"/>
            <w:vAlign w:val="center"/>
          </w:tcPr>
          <w:p w14:paraId="3256454E" w14:textId="77777777" w:rsidR="00990B14" w:rsidRDefault="00000000">
            <w:pPr>
              <w:spacing w:before="20" w:after="20"/>
              <w:jc w:val="both"/>
            </w:pPr>
            <w:r>
              <w:rPr>
                <w:sz w:val="18"/>
                <w:szCs w:val="18"/>
              </w:rPr>
              <w:t>Mide el efecto de cambios en precios y costos.</w:t>
            </w:r>
          </w:p>
        </w:tc>
        <w:tc>
          <w:tcPr>
            <w:tcW w:w="1910" w:type="dxa"/>
            <w:shd w:val="clear" w:color="auto" w:fill="D9E2F3"/>
            <w:vAlign w:val="center"/>
          </w:tcPr>
          <w:p w14:paraId="32AD8D3D" w14:textId="77777777" w:rsidR="00990B14" w:rsidRDefault="00000000">
            <w:pPr>
              <w:spacing w:before="20" w:after="20"/>
              <w:jc w:val="both"/>
            </w:pPr>
            <w:r>
              <w:rPr>
                <w:sz w:val="18"/>
                <w:szCs w:val="18"/>
              </w:rPr>
              <w:t>Recomienda una decisión según los escenarios.</w:t>
            </w:r>
          </w:p>
        </w:tc>
      </w:tr>
      <w:tr w:rsidR="00990B14" w14:paraId="11530D12" w14:textId="77777777">
        <w:trPr>
          <w:cantSplit/>
          <w:jc w:val="center"/>
        </w:trPr>
        <w:tc>
          <w:tcPr>
            <w:tcW w:w="1555" w:type="dxa"/>
            <w:vMerge/>
            <w:shd w:val="clear" w:color="auto" w:fill="4472C4"/>
            <w:vAlign w:val="center"/>
          </w:tcPr>
          <w:p w14:paraId="541DAC8B" w14:textId="77777777" w:rsidR="00990B14" w:rsidRDefault="00990B14">
            <w:pPr>
              <w:spacing w:before="20" w:after="20"/>
            </w:pPr>
          </w:p>
        </w:tc>
        <w:tc>
          <w:tcPr>
            <w:tcW w:w="5940" w:type="dxa"/>
            <w:gridSpan w:val="3"/>
            <w:shd w:val="clear" w:color="auto" w:fill="D9E2F3"/>
            <w:vAlign w:val="center"/>
          </w:tcPr>
          <w:p w14:paraId="117125C5" w14:textId="77777777" w:rsidR="00990B14" w:rsidRDefault="00000000">
            <w:pPr>
              <w:keepNext/>
              <w:spacing w:before="20" w:after="20"/>
              <w:jc w:val="both"/>
            </w:pPr>
            <w:r>
              <w:rPr>
                <w:b/>
                <w:bCs/>
                <w:i/>
                <w:iCs/>
                <w:sz w:val="18"/>
                <w:szCs w:val="18"/>
              </w:rPr>
              <w:t xml:space="preserve">Producto 13: </w:t>
            </w:r>
            <w:r>
              <w:rPr>
                <w:sz w:val="18"/>
                <w:szCs w:val="18"/>
              </w:rPr>
              <w:t>Práctico de integrales</w:t>
            </w:r>
          </w:p>
        </w:tc>
        <w:tc>
          <w:tcPr>
            <w:tcW w:w="1910" w:type="dxa"/>
            <w:shd w:val="clear" w:color="auto" w:fill="D9E2F3"/>
            <w:vAlign w:val="center"/>
          </w:tcPr>
          <w:p w14:paraId="3CC29ECE" w14:textId="77777777" w:rsidR="00990B14" w:rsidRDefault="00000000">
            <w:pPr>
              <w:spacing w:before="20" w:after="20"/>
              <w:jc w:val="center"/>
            </w:pPr>
            <w:r>
              <w:rPr>
                <w:b/>
                <w:bCs/>
                <w:sz w:val="18"/>
                <w:szCs w:val="18"/>
              </w:rPr>
              <w:t>7%</w:t>
            </w:r>
          </w:p>
        </w:tc>
      </w:tr>
      <w:tr w:rsidR="00990B14" w14:paraId="35B232D8" w14:textId="77777777">
        <w:trPr>
          <w:cantSplit/>
          <w:jc w:val="center"/>
        </w:trPr>
        <w:tc>
          <w:tcPr>
            <w:tcW w:w="1555" w:type="dxa"/>
            <w:vMerge/>
            <w:shd w:val="clear" w:color="auto" w:fill="4472C4"/>
            <w:vAlign w:val="center"/>
          </w:tcPr>
          <w:p w14:paraId="3A2922E9" w14:textId="77777777" w:rsidR="00990B14" w:rsidRDefault="00990B14">
            <w:pPr>
              <w:spacing w:before="20" w:after="20"/>
            </w:pPr>
          </w:p>
        </w:tc>
        <w:tc>
          <w:tcPr>
            <w:tcW w:w="2015" w:type="dxa"/>
            <w:shd w:val="clear" w:color="auto" w:fill="4472C4"/>
            <w:vAlign w:val="center"/>
          </w:tcPr>
          <w:p w14:paraId="572D2766"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7A4D5D53"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0502413A"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428CFC27" w14:textId="77777777" w:rsidR="00990B14" w:rsidRDefault="00000000">
            <w:pPr>
              <w:keepNext/>
              <w:spacing w:before="20" w:after="20"/>
              <w:jc w:val="center"/>
            </w:pPr>
            <w:r>
              <w:rPr>
                <w:b/>
                <w:bCs/>
                <w:i/>
                <w:iCs/>
                <w:color w:val="FFFFFF"/>
                <w:sz w:val="18"/>
                <w:szCs w:val="18"/>
              </w:rPr>
              <w:t>Destacado (81–100)</w:t>
            </w:r>
          </w:p>
        </w:tc>
      </w:tr>
      <w:tr w:rsidR="00990B14" w14:paraId="68989F2A" w14:textId="77777777">
        <w:trPr>
          <w:cantSplit/>
          <w:jc w:val="center"/>
        </w:trPr>
        <w:tc>
          <w:tcPr>
            <w:tcW w:w="1555" w:type="dxa"/>
            <w:vMerge/>
            <w:shd w:val="clear" w:color="auto" w:fill="4472C4"/>
            <w:vAlign w:val="center"/>
          </w:tcPr>
          <w:p w14:paraId="105557AC" w14:textId="77777777" w:rsidR="00990B14" w:rsidRDefault="00990B14">
            <w:pPr>
              <w:spacing w:before="20" w:after="20"/>
            </w:pPr>
          </w:p>
        </w:tc>
        <w:tc>
          <w:tcPr>
            <w:tcW w:w="2015" w:type="dxa"/>
            <w:shd w:val="clear" w:color="auto" w:fill="D9E2F3"/>
            <w:vAlign w:val="center"/>
          </w:tcPr>
          <w:p w14:paraId="351114BC" w14:textId="77777777" w:rsidR="00990B14" w:rsidRDefault="00000000">
            <w:pPr>
              <w:spacing w:before="20" w:after="20"/>
              <w:jc w:val="both"/>
            </w:pPr>
            <w:r>
              <w:rPr>
                <w:sz w:val="18"/>
                <w:szCs w:val="18"/>
              </w:rPr>
              <w:t>Método de integración</w:t>
            </w:r>
          </w:p>
        </w:tc>
        <w:tc>
          <w:tcPr>
            <w:tcW w:w="1910" w:type="dxa"/>
            <w:shd w:val="clear" w:color="auto" w:fill="D9E2F3"/>
            <w:vAlign w:val="center"/>
          </w:tcPr>
          <w:p w14:paraId="6B55536D" w14:textId="77777777" w:rsidR="00990B14" w:rsidRDefault="00000000">
            <w:pPr>
              <w:spacing w:before="20" w:after="20"/>
              <w:jc w:val="both"/>
            </w:pPr>
            <w:r>
              <w:rPr>
                <w:sz w:val="18"/>
                <w:szCs w:val="18"/>
              </w:rPr>
              <w:t>Elige un método que no corresponde.</w:t>
            </w:r>
          </w:p>
        </w:tc>
        <w:tc>
          <w:tcPr>
            <w:tcW w:w="2015" w:type="dxa"/>
            <w:shd w:val="clear" w:color="auto" w:fill="D9E2F3"/>
            <w:vAlign w:val="center"/>
          </w:tcPr>
          <w:p w14:paraId="436E625A" w14:textId="77777777" w:rsidR="00990B14" w:rsidRDefault="00000000">
            <w:pPr>
              <w:spacing w:before="20" w:after="20"/>
              <w:jc w:val="both"/>
            </w:pPr>
            <w:r>
              <w:rPr>
                <w:sz w:val="18"/>
                <w:szCs w:val="18"/>
              </w:rPr>
              <w:t>Aplica el método adecuado a cada integral.</w:t>
            </w:r>
          </w:p>
        </w:tc>
        <w:tc>
          <w:tcPr>
            <w:tcW w:w="1910" w:type="dxa"/>
            <w:shd w:val="clear" w:color="auto" w:fill="D9E2F3"/>
            <w:vAlign w:val="center"/>
          </w:tcPr>
          <w:p w14:paraId="7CBFE3F1" w14:textId="77777777" w:rsidR="00990B14" w:rsidRDefault="00000000">
            <w:pPr>
              <w:spacing w:before="20" w:after="20"/>
              <w:jc w:val="both"/>
            </w:pPr>
            <w:r>
              <w:rPr>
                <w:sz w:val="18"/>
                <w:szCs w:val="18"/>
              </w:rPr>
              <w:t>Justifica la elección del método.</w:t>
            </w:r>
          </w:p>
        </w:tc>
      </w:tr>
      <w:tr w:rsidR="00990B14" w14:paraId="54EC3A60" w14:textId="77777777">
        <w:trPr>
          <w:cantSplit/>
          <w:jc w:val="center"/>
        </w:trPr>
        <w:tc>
          <w:tcPr>
            <w:tcW w:w="1555" w:type="dxa"/>
            <w:vMerge/>
            <w:shd w:val="clear" w:color="auto" w:fill="4472C4"/>
            <w:vAlign w:val="center"/>
          </w:tcPr>
          <w:p w14:paraId="421F0FF5" w14:textId="77777777" w:rsidR="00990B14" w:rsidRDefault="00990B14">
            <w:pPr>
              <w:spacing w:before="20" w:after="20"/>
            </w:pPr>
          </w:p>
        </w:tc>
        <w:tc>
          <w:tcPr>
            <w:tcW w:w="2015" w:type="dxa"/>
            <w:shd w:val="clear" w:color="auto" w:fill="D9E2F3"/>
            <w:vAlign w:val="center"/>
          </w:tcPr>
          <w:p w14:paraId="3CB413F4" w14:textId="77777777" w:rsidR="00990B14" w:rsidRDefault="00000000">
            <w:pPr>
              <w:spacing w:before="20" w:after="20"/>
              <w:jc w:val="both"/>
            </w:pPr>
            <w:r>
              <w:rPr>
                <w:sz w:val="18"/>
                <w:szCs w:val="18"/>
              </w:rPr>
              <w:t>Integral definida</w:t>
            </w:r>
          </w:p>
        </w:tc>
        <w:tc>
          <w:tcPr>
            <w:tcW w:w="1910" w:type="dxa"/>
            <w:shd w:val="clear" w:color="auto" w:fill="D9E2F3"/>
            <w:vAlign w:val="center"/>
          </w:tcPr>
          <w:p w14:paraId="636E4B55" w14:textId="77777777" w:rsidR="00990B14" w:rsidRDefault="00000000">
            <w:pPr>
              <w:spacing w:before="20" w:after="20"/>
              <w:jc w:val="both"/>
            </w:pPr>
            <w:r>
              <w:rPr>
                <w:sz w:val="18"/>
                <w:szCs w:val="18"/>
              </w:rPr>
              <w:t>Evalúa mal los límites de integración.</w:t>
            </w:r>
          </w:p>
        </w:tc>
        <w:tc>
          <w:tcPr>
            <w:tcW w:w="2015" w:type="dxa"/>
            <w:shd w:val="clear" w:color="auto" w:fill="D9E2F3"/>
            <w:vAlign w:val="center"/>
          </w:tcPr>
          <w:p w14:paraId="194CF7F6" w14:textId="77777777" w:rsidR="00990B14" w:rsidRDefault="00000000">
            <w:pPr>
              <w:spacing w:before="20" w:after="20"/>
              <w:jc w:val="both"/>
            </w:pPr>
            <w:r>
              <w:rPr>
                <w:sz w:val="18"/>
                <w:szCs w:val="18"/>
              </w:rPr>
              <w:t>Aplica correctamente el teorema fundamental.</w:t>
            </w:r>
          </w:p>
        </w:tc>
        <w:tc>
          <w:tcPr>
            <w:tcW w:w="1910" w:type="dxa"/>
            <w:shd w:val="clear" w:color="auto" w:fill="D9E2F3"/>
            <w:vAlign w:val="center"/>
          </w:tcPr>
          <w:p w14:paraId="38D16A6A" w14:textId="77777777" w:rsidR="00990B14" w:rsidRDefault="00000000">
            <w:pPr>
              <w:spacing w:before="20" w:after="20"/>
              <w:jc w:val="both"/>
            </w:pPr>
            <w:r>
              <w:rPr>
                <w:sz w:val="18"/>
                <w:szCs w:val="18"/>
              </w:rPr>
              <w:t>Comprueba el resultado derivando la primitiva.</w:t>
            </w:r>
          </w:p>
        </w:tc>
      </w:tr>
      <w:tr w:rsidR="00990B14" w14:paraId="3E846691" w14:textId="77777777">
        <w:trPr>
          <w:cantSplit/>
          <w:jc w:val="center"/>
        </w:trPr>
        <w:tc>
          <w:tcPr>
            <w:tcW w:w="1555" w:type="dxa"/>
            <w:vMerge/>
            <w:shd w:val="clear" w:color="auto" w:fill="4472C4"/>
            <w:vAlign w:val="center"/>
          </w:tcPr>
          <w:p w14:paraId="058854DD" w14:textId="77777777" w:rsidR="00990B14" w:rsidRDefault="00990B14">
            <w:pPr>
              <w:spacing w:before="20" w:after="20"/>
            </w:pPr>
          </w:p>
        </w:tc>
        <w:tc>
          <w:tcPr>
            <w:tcW w:w="2015" w:type="dxa"/>
            <w:shd w:val="clear" w:color="auto" w:fill="D9E2F3"/>
            <w:vAlign w:val="center"/>
          </w:tcPr>
          <w:p w14:paraId="5A2C498C" w14:textId="77777777" w:rsidR="00990B14" w:rsidRDefault="00000000">
            <w:pPr>
              <w:spacing w:before="20" w:after="20"/>
              <w:jc w:val="both"/>
            </w:pPr>
            <w:r>
              <w:rPr>
                <w:sz w:val="18"/>
                <w:szCs w:val="18"/>
              </w:rPr>
              <w:t>Exactitud</w:t>
            </w:r>
          </w:p>
        </w:tc>
        <w:tc>
          <w:tcPr>
            <w:tcW w:w="1910" w:type="dxa"/>
            <w:shd w:val="clear" w:color="auto" w:fill="D9E2F3"/>
            <w:vAlign w:val="center"/>
          </w:tcPr>
          <w:p w14:paraId="700E6097" w14:textId="77777777" w:rsidR="00990B14" w:rsidRDefault="00000000">
            <w:pPr>
              <w:spacing w:before="20" w:after="20"/>
              <w:jc w:val="both"/>
            </w:pPr>
            <w:r>
              <w:rPr>
                <w:sz w:val="18"/>
                <w:szCs w:val="18"/>
              </w:rPr>
              <w:t>Presenta errores de cálculo.</w:t>
            </w:r>
          </w:p>
        </w:tc>
        <w:tc>
          <w:tcPr>
            <w:tcW w:w="2015" w:type="dxa"/>
            <w:shd w:val="clear" w:color="auto" w:fill="D9E2F3"/>
            <w:vAlign w:val="center"/>
          </w:tcPr>
          <w:p w14:paraId="729C6DCC" w14:textId="77777777" w:rsidR="00990B14" w:rsidRDefault="00000000">
            <w:pPr>
              <w:spacing w:before="20" w:after="20"/>
              <w:jc w:val="both"/>
            </w:pPr>
            <w:r>
              <w:rPr>
                <w:sz w:val="18"/>
                <w:szCs w:val="18"/>
              </w:rPr>
              <w:t>Los resultados son correctos.</w:t>
            </w:r>
          </w:p>
        </w:tc>
        <w:tc>
          <w:tcPr>
            <w:tcW w:w="1910" w:type="dxa"/>
            <w:shd w:val="clear" w:color="auto" w:fill="D9E2F3"/>
            <w:vAlign w:val="center"/>
          </w:tcPr>
          <w:p w14:paraId="762D2F81" w14:textId="77777777" w:rsidR="00990B14" w:rsidRDefault="00000000">
            <w:pPr>
              <w:spacing w:before="20" w:after="20"/>
              <w:jc w:val="both"/>
            </w:pPr>
            <w:r>
              <w:rPr>
                <w:sz w:val="18"/>
                <w:szCs w:val="18"/>
              </w:rPr>
              <w:t>Presenta el desarrollo ordenado y completo.</w:t>
            </w:r>
          </w:p>
        </w:tc>
      </w:tr>
      <w:tr w:rsidR="00990B14" w14:paraId="11AD5825" w14:textId="77777777">
        <w:trPr>
          <w:cantSplit/>
          <w:jc w:val="center"/>
        </w:trPr>
        <w:tc>
          <w:tcPr>
            <w:tcW w:w="1555" w:type="dxa"/>
            <w:vMerge/>
            <w:shd w:val="clear" w:color="auto" w:fill="4472C4"/>
            <w:vAlign w:val="center"/>
          </w:tcPr>
          <w:p w14:paraId="785FA882" w14:textId="77777777" w:rsidR="00990B14" w:rsidRDefault="00990B14">
            <w:pPr>
              <w:spacing w:before="20" w:after="20"/>
            </w:pPr>
          </w:p>
        </w:tc>
        <w:tc>
          <w:tcPr>
            <w:tcW w:w="5940" w:type="dxa"/>
            <w:gridSpan w:val="3"/>
            <w:shd w:val="clear" w:color="auto" w:fill="D9E2F3"/>
            <w:vAlign w:val="center"/>
          </w:tcPr>
          <w:p w14:paraId="08D06948" w14:textId="77777777" w:rsidR="00990B14" w:rsidRDefault="00000000">
            <w:pPr>
              <w:keepNext/>
              <w:spacing w:before="20" w:after="20"/>
              <w:jc w:val="both"/>
            </w:pPr>
            <w:r>
              <w:rPr>
                <w:b/>
                <w:bCs/>
                <w:i/>
                <w:iCs/>
                <w:sz w:val="18"/>
                <w:szCs w:val="18"/>
              </w:rPr>
              <w:t xml:space="preserve">Producto 14: </w:t>
            </w:r>
            <w:r>
              <w:rPr>
                <w:sz w:val="18"/>
                <w:szCs w:val="18"/>
              </w:rPr>
              <w:t>Informe de aplicación de la integral definida</w:t>
            </w:r>
          </w:p>
        </w:tc>
        <w:tc>
          <w:tcPr>
            <w:tcW w:w="1910" w:type="dxa"/>
            <w:shd w:val="clear" w:color="auto" w:fill="D9E2F3"/>
            <w:vAlign w:val="center"/>
          </w:tcPr>
          <w:p w14:paraId="3E63B1EB" w14:textId="77777777" w:rsidR="00990B14" w:rsidRDefault="00000000">
            <w:pPr>
              <w:spacing w:before="20" w:after="20"/>
              <w:jc w:val="center"/>
            </w:pPr>
            <w:r>
              <w:rPr>
                <w:b/>
                <w:bCs/>
                <w:sz w:val="18"/>
                <w:szCs w:val="18"/>
              </w:rPr>
              <w:t>8%</w:t>
            </w:r>
          </w:p>
        </w:tc>
      </w:tr>
      <w:tr w:rsidR="00990B14" w14:paraId="4ACA4F02" w14:textId="77777777">
        <w:trPr>
          <w:cantSplit/>
          <w:jc w:val="center"/>
        </w:trPr>
        <w:tc>
          <w:tcPr>
            <w:tcW w:w="1555" w:type="dxa"/>
            <w:vMerge/>
            <w:shd w:val="clear" w:color="auto" w:fill="4472C4"/>
            <w:vAlign w:val="center"/>
          </w:tcPr>
          <w:p w14:paraId="421B39C4" w14:textId="77777777" w:rsidR="00990B14" w:rsidRDefault="00990B14">
            <w:pPr>
              <w:spacing w:before="20" w:after="20"/>
            </w:pPr>
          </w:p>
        </w:tc>
        <w:tc>
          <w:tcPr>
            <w:tcW w:w="2015" w:type="dxa"/>
            <w:shd w:val="clear" w:color="auto" w:fill="4472C4"/>
            <w:vAlign w:val="center"/>
          </w:tcPr>
          <w:p w14:paraId="2983E221"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4386E23B"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28A1CDE6"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6264A993" w14:textId="77777777" w:rsidR="00990B14" w:rsidRDefault="00000000">
            <w:pPr>
              <w:keepNext/>
              <w:spacing w:before="20" w:after="20"/>
              <w:jc w:val="center"/>
            </w:pPr>
            <w:r>
              <w:rPr>
                <w:b/>
                <w:bCs/>
                <w:i/>
                <w:iCs/>
                <w:color w:val="FFFFFF"/>
                <w:sz w:val="18"/>
                <w:szCs w:val="18"/>
              </w:rPr>
              <w:t>Destacado (81–100)</w:t>
            </w:r>
          </w:p>
        </w:tc>
      </w:tr>
      <w:tr w:rsidR="00990B14" w14:paraId="7958165E" w14:textId="77777777">
        <w:trPr>
          <w:cantSplit/>
          <w:jc w:val="center"/>
        </w:trPr>
        <w:tc>
          <w:tcPr>
            <w:tcW w:w="1555" w:type="dxa"/>
            <w:vMerge/>
            <w:shd w:val="clear" w:color="auto" w:fill="4472C4"/>
            <w:vAlign w:val="center"/>
          </w:tcPr>
          <w:p w14:paraId="4E45DB10" w14:textId="77777777" w:rsidR="00990B14" w:rsidRDefault="00990B14">
            <w:pPr>
              <w:spacing w:before="20" w:after="20"/>
            </w:pPr>
          </w:p>
        </w:tc>
        <w:tc>
          <w:tcPr>
            <w:tcW w:w="2015" w:type="dxa"/>
            <w:shd w:val="clear" w:color="auto" w:fill="D9E2F3"/>
            <w:vAlign w:val="center"/>
          </w:tcPr>
          <w:p w14:paraId="68F1DEC2" w14:textId="77777777" w:rsidR="00990B14" w:rsidRDefault="00000000">
            <w:pPr>
              <w:spacing w:before="20" w:after="20"/>
              <w:jc w:val="both"/>
            </w:pPr>
            <w:r>
              <w:rPr>
                <w:sz w:val="18"/>
                <w:szCs w:val="18"/>
              </w:rPr>
              <w:t>Planteamiento</w:t>
            </w:r>
          </w:p>
        </w:tc>
        <w:tc>
          <w:tcPr>
            <w:tcW w:w="1910" w:type="dxa"/>
            <w:shd w:val="clear" w:color="auto" w:fill="D9E2F3"/>
            <w:vAlign w:val="center"/>
          </w:tcPr>
          <w:p w14:paraId="21FBB289" w14:textId="77777777" w:rsidR="00990B14" w:rsidRDefault="00000000">
            <w:pPr>
              <w:spacing w:before="20" w:after="20"/>
              <w:jc w:val="both"/>
            </w:pPr>
            <w:r>
              <w:rPr>
                <w:sz w:val="18"/>
                <w:szCs w:val="18"/>
              </w:rPr>
              <w:t>No identifica la función a integrar.</w:t>
            </w:r>
          </w:p>
        </w:tc>
        <w:tc>
          <w:tcPr>
            <w:tcW w:w="2015" w:type="dxa"/>
            <w:shd w:val="clear" w:color="auto" w:fill="D9E2F3"/>
            <w:vAlign w:val="center"/>
          </w:tcPr>
          <w:p w14:paraId="4FFD077D" w14:textId="77777777" w:rsidR="00990B14" w:rsidRDefault="00000000">
            <w:pPr>
              <w:spacing w:before="20" w:after="20"/>
              <w:jc w:val="both"/>
            </w:pPr>
            <w:r>
              <w:rPr>
                <w:sz w:val="18"/>
                <w:szCs w:val="18"/>
              </w:rPr>
              <w:t>Plantea la integral del ingreso marginal.</w:t>
            </w:r>
          </w:p>
        </w:tc>
        <w:tc>
          <w:tcPr>
            <w:tcW w:w="1910" w:type="dxa"/>
            <w:shd w:val="clear" w:color="auto" w:fill="D9E2F3"/>
            <w:vAlign w:val="center"/>
          </w:tcPr>
          <w:p w14:paraId="39151875" w14:textId="77777777" w:rsidR="00990B14" w:rsidRDefault="00000000">
            <w:pPr>
              <w:spacing w:before="20" w:after="20"/>
              <w:jc w:val="both"/>
            </w:pPr>
            <w:r>
              <w:rPr>
                <w:sz w:val="18"/>
                <w:szCs w:val="18"/>
              </w:rPr>
              <w:t>Explica el significado económico del área.</w:t>
            </w:r>
          </w:p>
        </w:tc>
      </w:tr>
      <w:tr w:rsidR="00990B14" w14:paraId="75E22A05" w14:textId="77777777">
        <w:trPr>
          <w:cantSplit/>
          <w:jc w:val="center"/>
        </w:trPr>
        <w:tc>
          <w:tcPr>
            <w:tcW w:w="1555" w:type="dxa"/>
            <w:vMerge/>
            <w:shd w:val="clear" w:color="auto" w:fill="4472C4"/>
            <w:vAlign w:val="center"/>
          </w:tcPr>
          <w:p w14:paraId="435F1A7F" w14:textId="77777777" w:rsidR="00990B14" w:rsidRDefault="00990B14">
            <w:pPr>
              <w:spacing w:before="20" w:after="20"/>
            </w:pPr>
          </w:p>
        </w:tc>
        <w:tc>
          <w:tcPr>
            <w:tcW w:w="2015" w:type="dxa"/>
            <w:shd w:val="clear" w:color="auto" w:fill="D9E2F3"/>
            <w:vAlign w:val="center"/>
          </w:tcPr>
          <w:p w14:paraId="328847D7" w14:textId="77777777" w:rsidR="00990B14" w:rsidRDefault="00000000">
            <w:pPr>
              <w:spacing w:before="20" w:after="20"/>
              <w:jc w:val="both"/>
            </w:pPr>
            <w:r>
              <w:rPr>
                <w:sz w:val="18"/>
                <w:szCs w:val="18"/>
              </w:rPr>
              <w:t>Cálculo del área</w:t>
            </w:r>
          </w:p>
        </w:tc>
        <w:tc>
          <w:tcPr>
            <w:tcW w:w="1910" w:type="dxa"/>
            <w:shd w:val="clear" w:color="auto" w:fill="D9E2F3"/>
            <w:vAlign w:val="center"/>
          </w:tcPr>
          <w:p w14:paraId="3138C472" w14:textId="77777777" w:rsidR="00990B14" w:rsidRDefault="00000000">
            <w:pPr>
              <w:spacing w:before="20" w:after="20"/>
              <w:jc w:val="both"/>
            </w:pPr>
            <w:r>
              <w:rPr>
                <w:sz w:val="18"/>
                <w:szCs w:val="18"/>
              </w:rPr>
              <w:t>El área es incorrecta.</w:t>
            </w:r>
          </w:p>
        </w:tc>
        <w:tc>
          <w:tcPr>
            <w:tcW w:w="2015" w:type="dxa"/>
            <w:shd w:val="clear" w:color="auto" w:fill="D9E2F3"/>
            <w:vAlign w:val="center"/>
          </w:tcPr>
          <w:p w14:paraId="69D50BE0" w14:textId="77777777" w:rsidR="00990B14" w:rsidRDefault="00000000">
            <w:pPr>
              <w:spacing w:before="20" w:after="20"/>
              <w:jc w:val="both"/>
            </w:pPr>
            <w:r>
              <w:rPr>
                <w:sz w:val="18"/>
                <w:szCs w:val="18"/>
              </w:rPr>
              <w:t>Calcula correctamente el área y el ingreso acumulado.</w:t>
            </w:r>
          </w:p>
        </w:tc>
        <w:tc>
          <w:tcPr>
            <w:tcW w:w="1910" w:type="dxa"/>
            <w:shd w:val="clear" w:color="auto" w:fill="D9E2F3"/>
            <w:vAlign w:val="center"/>
          </w:tcPr>
          <w:p w14:paraId="2D356EA3" w14:textId="77777777" w:rsidR="00990B14" w:rsidRDefault="00000000">
            <w:pPr>
              <w:spacing w:before="20" w:after="20"/>
              <w:jc w:val="both"/>
            </w:pPr>
            <w:r>
              <w:rPr>
                <w:sz w:val="18"/>
                <w:szCs w:val="18"/>
              </w:rPr>
              <w:t>Representa el área en una gráfica.</w:t>
            </w:r>
          </w:p>
        </w:tc>
      </w:tr>
      <w:tr w:rsidR="00990B14" w14:paraId="2A4B00A7" w14:textId="77777777">
        <w:trPr>
          <w:cantSplit/>
          <w:jc w:val="center"/>
        </w:trPr>
        <w:tc>
          <w:tcPr>
            <w:tcW w:w="1555" w:type="dxa"/>
            <w:vMerge/>
            <w:shd w:val="clear" w:color="auto" w:fill="4472C4"/>
            <w:vAlign w:val="center"/>
          </w:tcPr>
          <w:p w14:paraId="0072F49C" w14:textId="77777777" w:rsidR="00990B14" w:rsidRDefault="00990B14">
            <w:pPr>
              <w:spacing w:before="20" w:after="20"/>
            </w:pPr>
          </w:p>
        </w:tc>
        <w:tc>
          <w:tcPr>
            <w:tcW w:w="2015" w:type="dxa"/>
            <w:shd w:val="clear" w:color="auto" w:fill="D9E2F3"/>
            <w:vAlign w:val="center"/>
          </w:tcPr>
          <w:p w14:paraId="551EC2A3" w14:textId="77777777" w:rsidR="00990B14" w:rsidRDefault="00000000">
            <w:pPr>
              <w:spacing w:before="20" w:after="20"/>
              <w:jc w:val="both"/>
            </w:pPr>
            <w:r>
              <w:rPr>
                <w:sz w:val="18"/>
                <w:szCs w:val="18"/>
              </w:rPr>
              <w:t>Integridad del reporte</w:t>
            </w:r>
          </w:p>
        </w:tc>
        <w:tc>
          <w:tcPr>
            <w:tcW w:w="1910" w:type="dxa"/>
            <w:shd w:val="clear" w:color="auto" w:fill="D9E2F3"/>
            <w:vAlign w:val="center"/>
          </w:tcPr>
          <w:p w14:paraId="181DC960" w14:textId="77777777" w:rsidR="00990B14" w:rsidRDefault="00000000">
            <w:pPr>
              <w:spacing w:before="20" w:after="20"/>
              <w:jc w:val="both"/>
            </w:pPr>
            <w:r>
              <w:rPr>
                <w:sz w:val="18"/>
                <w:szCs w:val="18"/>
              </w:rPr>
              <w:t>Omite los supuestos del modelo.</w:t>
            </w:r>
          </w:p>
        </w:tc>
        <w:tc>
          <w:tcPr>
            <w:tcW w:w="2015" w:type="dxa"/>
            <w:shd w:val="clear" w:color="auto" w:fill="D9E2F3"/>
            <w:vAlign w:val="center"/>
          </w:tcPr>
          <w:p w14:paraId="49C324DE" w14:textId="77777777" w:rsidR="00990B14" w:rsidRDefault="00000000">
            <w:pPr>
              <w:spacing w:before="20" w:after="20"/>
              <w:jc w:val="both"/>
            </w:pPr>
            <w:r>
              <w:rPr>
                <w:sz w:val="18"/>
                <w:szCs w:val="18"/>
              </w:rPr>
              <w:t>Señala los supuestos empleados.</w:t>
            </w:r>
          </w:p>
        </w:tc>
        <w:tc>
          <w:tcPr>
            <w:tcW w:w="1910" w:type="dxa"/>
            <w:shd w:val="clear" w:color="auto" w:fill="D9E2F3"/>
            <w:vAlign w:val="center"/>
          </w:tcPr>
          <w:p w14:paraId="5E6A2CF1" w14:textId="77777777" w:rsidR="00990B14" w:rsidRDefault="00000000">
            <w:pPr>
              <w:spacing w:before="20" w:after="20"/>
              <w:jc w:val="both"/>
            </w:pPr>
            <w:r>
              <w:rPr>
                <w:sz w:val="18"/>
                <w:szCs w:val="18"/>
              </w:rPr>
              <w:t>Indica los límites del modelo matemático.</w:t>
            </w:r>
          </w:p>
        </w:tc>
      </w:tr>
      <w:tr w:rsidR="00990B14" w14:paraId="632727A6" w14:textId="77777777">
        <w:trPr>
          <w:cantSplit/>
          <w:jc w:val="center"/>
        </w:trPr>
        <w:tc>
          <w:tcPr>
            <w:tcW w:w="1555" w:type="dxa"/>
            <w:vMerge/>
            <w:shd w:val="clear" w:color="auto" w:fill="4472C4"/>
            <w:vAlign w:val="center"/>
          </w:tcPr>
          <w:p w14:paraId="1A64DE1D" w14:textId="77777777" w:rsidR="00990B14" w:rsidRDefault="00990B14">
            <w:pPr>
              <w:spacing w:before="20" w:after="20"/>
            </w:pPr>
          </w:p>
        </w:tc>
        <w:tc>
          <w:tcPr>
            <w:tcW w:w="5940" w:type="dxa"/>
            <w:gridSpan w:val="3"/>
            <w:shd w:val="clear" w:color="auto" w:fill="D9E2F3"/>
            <w:vAlign w:val="center"/>
          </w:tcPr>
          <w:p w14:paraId="2AA9B10A" w14:textId="77777777" w:rsidR="00990B14" w:rsidRDefault="00000000">
            <w:pPr>
              <w:keepNext/>
              <w:spacing w:before="20" w:after="20"/>
              <w:jc w:val="both"/>
            </w:pPr>
            <w:r>
              <w:rPr>
                <w:b/>
                <w:bCs/>
                <w:i/>
                <w:iCs/>
                <w:sz w:val="18"/>
                <w:szCs w:val="18"/>
              </w:rPr>
              <w:t xml:space="preserve">Producto 15: </w:t>
            </w:r>
            <w:r>
              <w:rPr>
                <w:sz w:val="18"/>
                <w:szCs w:val="18"/>
              </w:rPr>
              <w:t>Práctico de derivadas parciales</w:t>
            </w:r>
          </w:p>
        </w:tc>
        <w:tc>
          <w:tcPr>
            <w:tcW w:w="1910" w:type="dxa"/>
            <w:shd w:val="clear" w:color="auto" w:fill="D9E2F3"/>
            <w:vAlign w:val="center"/>
          </w:tcPr>
          <w:p w14:paraId="4AF99071" w14:textId="77777777" w:rsidR="00990B14" w:rsidRDefault="00000000">
            <w:pPr>
              <w:spacing w:before="20" w:after="20"/>
              <w:jc w:val="center"/>
            </w:pPr>
            <w:r>
              <w:rPr>
                <w:b/>
                <w:bCs/>
                <w:sz w:val="18"/>
                <w:szCs w:val="18"/>
              </w:rPr>
              <w:t>7%</w:t>
            </w:r>
          </w:p>
        </w:tc>
      </w:tr>
      <w:tr w:rsidR="00990B14" w14:paraId="69289F3C" w14:textId="77777777">
        <w:trPr>
          <w:cantSplit/>
          <w:jc w:val="center"/>
        </w:trPr>
        <w:tc>
          <w:tcPr>
            <w:tcW w:w="1555" w:type="dxa"/>
            <w:vMerge/>
            <w:shd w:val="clear" w:color="auto" w:fill="4472C4"/>
            <w:vAlign w:val="center"/>
          </w:tcPr>
          <w:p w14:paraId="7028FB05" w14:textId="77777777" w:rsidR="00990B14" w:rsidRDefault="00990B14">
            <w:pPr>
              <w:spacing w:before="20" w:after="20"/>
            </w:pPr>
          </w:p>
        </w:tc>
        <w:tc>
          <w:tcPr>
            <w:tcW w:w="2015" w:type="dxa"/>
            <w:shd w:val="clear" w:color="auto" w:fill="4472C4"/>
            <w:vAlign w:val="center"/>
          </w:tcPr>
          <w:p w14:paraId="6F32E859"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0F089027"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568ED859"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410EA04E" w14:textId="77777777" w:rsidR="00990B14" w:rsidRDefault="00000000">
            <w:pPr>
              <w:keepNext/>
              <w:spacing w:before="20" w:after="20"/>
              <w:jc w:val="center"/>
            </w:pPr>
            <w:r>
              <w:rPr>
                <w:b/>
                <w:bCs/>
                <w:i/>
                <w:iCs/>
                <w:color w:val="FFFFFF"/>
                <w:sz w:val="18"/>
                <w:szCs w:val="18"/>
              </w:rPr>
              <w:t>Destacado (81–100)</w:t>
            </w:r>
          </w:p>
        </w:tc>
      </w:tr>
      <w:tr w:rsidR="00990B14" w14:paraId="0E9BA018" w14:textId="77777777">
        <w:trPr>
          <w:cantSplit/>
          <w:jc w:val="center"/>
        </w:trPr>
        <w:tc>
          <w:tcPr>
            <w:tcW w:w="1555" w:type="dxa"/>
            <w:vMerge/>
            <w:shd w:val="clear" w:color="auto" w:fill="4472C4"/>
            <w:vAlign w:val="center"/>
          </w:tcPr>
          <w:p w14:paraId="5671A4E6" w14:textId="77777777" w:rsidR="00990B14" w:rsidRDefault="00990B14">
            <w:pPr>
              <w:spacing w:before="20" w:after="20"/>
            </w:pPr>
          </w:p>
        </w:tc>
        <w:tc>
          <w:tcPr>
            <w:tcW w:w="2015" w:type="dxa"/>
            <w:shd w:val="clear" w:color="auto" w:fill="D9E2F3"/>
            <w:vAlign w:val="center"/>
          </w:tcPr>
          <w:p w14:paraId="60CFFF2B" w14:textId="77777777" w:rsidR="00990B14" w:rsidRDefault="00000000">
            <w:pPr>
              <w:spacing w:before="20" w:after="20"/>
              <w:jc w:val="both"/>
            </w:pPr>
            <w:r>
              <w:rPr>
                <w:sz w:val="18"/>
                <w:szCs w:val="18"/>
              </w:rPr>
              <w:t>Derivadas parciales</w:t>
            </w:r>
          </w:p>
        </w:tc>
        <w:tc>
          <w:tcPr>
            <w:tcW w:w="1910" w:type="dxa"/>
            <w:shd w:val="clear" w:color="auto" w:fill="D9E2F3"/>
            <w:vAlign w:val="center"/>
          </w:tcPr>
          <w:p w14:paraId="267CF8E1" w14:textId="77777777" w:rsidR="00990B14" w:rsidRDefault="00000000">
            <w:pPr>
              <w:spacing w:before="20" w:after="20"/>
              <w:jc w:val="both"/>
            </w:pPr>
            <w:r>
              <w:rPr>
                <w:sz w:val="18"/>
                <w:szCs w:val="18"/>
              </w:rPr>
              <w:t>Deriva sin mantener constantes las demás variables.</w:t>
            </w:r>
          </w:p>
        </w:tc>
        <w:tc>
          <w:tcPr>
            <w:tcW w:w="2015" w:type="dxa"/>
            <w:shd w:val="clear" w:color="auto" w:fill="D9E2F3"/>
            <w:vAlign w:val="center"/>
          </w:tcPr>
          <w:p w14:paraId="23648491" w14:textId="77777777" w:rsidR="00990B14" w:rsidRDefault="00000000">
            <w:pPr>
              <w:spacing w:before="20" w:after="20"/>
              <w:jc w:val="both"/>
            </w:pPr>
            <w:r>
              <w:rPr>
                <w:sz w:val="18"/>
                <w:szCs w:val="18"/>
              </w:rPr>
              <w:t>Calcula las derivadas parciales correctamente.</w:t>
            </w:r>
          </w:p>
        </w:tc>
        <w:tc>
          <w:tcPr>
            <w:tcW w:w="1910" w:type="dxa"/>
            <w:shd w:val="clear" w:color="auto" w:fill="D9E2F3"/>
            <w:vAlign w:val="center"/>
          </w:tcPr>
          <w:p w14:paraId="623E6453" w14:textId="77777777" w:rsidR="00990B14" w:rsidRDefault="00000000">
            <w:pPr>
              <w:spacing w:before="20" w:after="20"/>
              <w:jc w:val="both"/>
            </w:pPr>
            <w:r>
              <w:rPr>
                <w:sz w:val="18"/>
                <w:szCs w:val="18"/>
              </w:rPr>
              <w:t>Interpreta cada derivada como productividad marginal.</w:t>
            </w:r>
          </w:p>
        </w:tc>
      </w:tr>
      <w:tr w:rsidR="00990B14" w14:paraId="7C9EDA86" w14:textId="77777777">
        <w:trPr>
          <w:cantSplit/>
          <w:jc w:val="center"/>
        </w:trPr>
        <w:tc>
          <w:tcPr>
            <w:tcW w:w="1555" w:type="dxa"/>
            <w:vMerge/>
            <w:shd w:val="clear" w:color="auto" w:fill="4472C4"/>
            <w:vAlign w:val="center"/>
          </w:tcPr>
          <w:p w14:paraId="03596754" w14:textId="77777777" w:rsidR="00990B14" w:rsidRDefault="00990B14">
            <w:pPr>
              <w:spacing w:before="20" w:after="20"/>
            </w:pPr>
          </w:p>
        </w:tc>
        <w:tc>
          <w:tcPr>
            <w:tcW w:w="2015" w:type="dxa"/>
            <w:shd w:val="clear" w:color="auto" w:fill="D9E2F3"/>
            <w:vAlign w:val="center"/>
          </w:tcPr>
          <w:p w14:paraId="17DDB43F" w14:textId="77777777" w:rsidR="00990B14" w:rsidRDefault="00000000">
            <w:pPr>
              <w:spacing w:before="20" w:after="20"/>
              <w:jc w:val="both"/>
            </w:pPr>
            <w:r>
              <w:rPr>
                <w:sz w:val="18"/>
                <w:szCs w:val="18"/>
              </w:rPr>
              <w:t>Regla de la cadena</w:t>
            </w:r>
          </w:p>
        </w:tc>
        <w:tc>
          <w:tcPr>
            <w:tcW w:w="1910" w:type="dxa"/>
            <w:shd w:val="clear" w:color="auto" w:fill="D9E2F3"/>
            <w:vAlign w:val="center"/>
          </w:tcPr>
          <w:p w14:paraId="2F58873D" w14:textId="77777777" w:rsidR="00990B14" w:rsidRDefault="00000000">
            <w:pPr>
              <w:spacing w:before="20" w:after="20"/>
              <w:jc w:val="both"/>
            </w:pPr>
            <w:r>
              <w:rPr>
                <w:sz w:val="18"/>
                <w:szCs w:val="18"/>
              </w:rPr>
              <w:t>Aplica mal la regla de la cadena.</w:t>
            </w:r>
          </w:p>
        </w:tc>
        <w:tc>
          <w:tcPr>
            <w:tcW w:w="2015" w:type="dxa"/>
            <w:shd w:val="clear" w:color="auto" w:fill="D9E2F3"/>
            <w:vAlign w:val="center"/>
          </w:tcPr>
          <w:p w14:paraId="72490B65" w14:textId="77777777" w:rsidR="00990B14" w:rsidRDefault="00000000">
            <w:pPr>
              <w:spacing w:before="20" w:after="20"/>
              <w:jc w:val="both"/>
            </w:pPr>
            <w:r>
              <w:rPr>
                <w:sz w:val="18"/>
                <w:szCs w:val="18"/>
              </w:rPr>
              <w:t>Deriva funciones compuestas con la regla de la cadena.</w:t>
            </w:r>
          </w:p>
        </w:tc>
        <w:tc>
          <w:tcPr>
            <w:tcW w:w="1910" w:type="dxa"/>
            <w:shd w:val="clear" w:color="auto" w:fill="D9E2F3"/>
            <w:vAlign w:val="center"/>
          </w:tcPr>
          <w:p w14:paraId="77471288" w14:textId="77777777" w:rsidR="00990B14" w:rsidRDefault="00000000">
            <w:pPr>
              <w:spacing w:before="20" w:after="20"/>
              <w:jc w:val="both"/>
            </w:pPr>
            <w:r>
              <w:rPr>
                <w:sz w:val="18"/>
                <w:szCs w:val="18"/>
              </w:rPr>
              <w:t>Explica la dependencia entre las variables.</w:t>
            </w:r>
          </w:p>
        </w:tc>
      </w:tr>
      <w:tr w:rsidR="00990B14" w14:paraId="62B0D17B" w14:textId="77777777">
        <w:trPr>
          <w:cantSplit/>
          <w:jc w:val="center"/>
        </w:trPr>
        <w:tc>
          <w:tcPr>
            <w:tcW w:w="1555" w:type="dxa"/>
            <w:vMerge/>
            <w:shd w:val="clear" w:color="auto" w:fill="4472C4"/>
            <w:vAlign w:val="center"/>
          </w:tcPr>
          <w:p w14:paraId="75322EE7" w14:textId="77777777" w:rsidR="00990B14" w:rsidRDefault="00990B14">
            <w:pPr>
              <w:spacing w:before="20" w:after="20"/>
            </w:pPr>
          </w:p>
        </w:tc>
        <w:tc>
          <w:tcPr>
            <w:tcW w:w="2015" w:type="dxa"/>
            <w:shd w:val="clear" w:color="auto" w:fill="D9E2F3"/>
            <w:vAlign w:val="center"/>
          </w:tcPr>
          <w:p w14:paraId="213E473C" w14:textId="77777777" w:rsidR="00990B14" w:rsidRDefault="00000000">
            <w:pPr>
              <w:spacing w:before="20" w:after="20"/>
              <w:jc w:val="both"/>
            </w:pPr>
            <w:r>
              <w:rPr>
                <w:sz w:val="18"/>
                <w:szCs w:val="18"/>
              </w:rPr>
              <w:t>Diferencial total</w:t>
            </w:r>
          </w:p>
        </w:tc>
        <w:tc>
          <w:tcPr>
            <w:tcW w:w="1910" w:type="dxa"/>
            <w:shd w:val="clear" w:color="auto" w:fill="D9E2F3"/>
            <w:vAlign w:val="center"/>
          </w:tcPr>
          <w:p w14:paraId="6D3F9140" w14:textId="77777777" w:rsidR="00990B14" w:rsidRDefault="00000000">
            <w:pPr>
              <w:spacing w:before="20" w:after="20"/>
              <w:jc w:val="both"/>
            </w:pPr>
            <w:r>
              <w:rPr>
                <w:sz w:val="18"/>
                <w:szCs w:val="18"/>
              </w:rPr>
              <w:t>Omite términos de la diferencial.</w:t>
            </w:r>
          </w:p>
        </w:tc>
        <w:tc>
          <w:tcPr>
            <w:tcW w:w="2015" w:type="dxa"/>
            <w:shd w:val="clear" w:color="auto" w:fill="D9E2F3"/>
            <w:vAlign w:val="center"/>
          </w:tcPr>
          <w:p w14:paraId="3AB436E4" w14:textId="77777777" w:rsidR="00990B14" w:rsidRDefault="00000000">
            <w:pPr>
              <w:spacing w:before="20" w:after="20"/>
              <w:jc w:val="both"/>
            </w:pPr>
            <w:r>
              <w:rPr>
                <w:sz w:val="18"/>
                <w:szCs w:val="18"/>
              </w:rPr>
              <w:t>Obtiene la diferencial total completa.</w:t>
            </w:r>
          </w:p>
        </w:tc>
        <w:tc>
          <w:tcPr>
            <w:tcW w:w="1910" w:type="dxa"/>
            <w:shd w:val="clear" w:color="auto" w:fill="D9E2F3"/>
            <w:vAlign w:val="center"/>
          </w:tcPr>
          <w:p w14:paraId="2EAA9F5F" w14:textId="77777777" w:rsidR="00990B14" w:rsidRDefault="00000000">
            <w:pPr>
              <w:spacing w:before="20" w:after="20"/>
              <w:jc w:val="both"/>
            </w:pPr>
            <w:r>
              <w:rPr>
                <w:sz w:val="18"/>
                <w:szCs w:val="18"/>
              </w:rPr>
              <w:t>Estima con ella una variación de la producción.</w:t>
            </w:r>
          </w:p>
        </w:tc>
      </w:tr>
      <w:tr w:rsidR="00990B14" w14:paraId="6A70A16D" w14:textId="77777777">
        <w:trPr>
          <w:cantSplit/>
          <w:jc w:val="center"/>
        </w:trPr>
        <w:tc>
          <w:tcPr>
            <w:tcW w:w="1555" w:type="dxa"/>
            <w:vMerge/>
            <w:shd w:val="clear" w:color="auto" w:fill="4472C4"/>
            <w:vAlign w:val="center"/>
          </w:tcPr>
          <w:p w14:paraId="346150F3" w14:textId="77777777" w:rsidR="00990B14" w:rsidRDefault="00990B14">
            <w:pPr>
              <w:spacing w:before="20" w:after="20"/>
            </w:pPr>
          </w:p>
        </w:tc>
        <w:tc>
          <w:tcPr>
            <w:tcW w:w="5940" w:type="dxa"/>
            <w:gridSpan w:val="3"/>
            <w:shd w:val="clear" w:color="auto" w:fill="D9E2F3"/>
            <w:vAlign w:val="center"/>
          </w:tcPr>
          <w:p w14:paraId="146B3805" w14:textId="77777777" w:rsidR="00990B14" w:rsidRDefault="00000000">
            <w:pPr>
              <w:keepNext/>
              <w:spacing w:before="20" w:after="20"/>
              <w:jc w:val="both"/>
            </w:pPr>
            <w:r>
              <w:rPr>
                <w:b/>
                <w:bCs/>
                <w:i/>
                <w:iCs/>
                <w:sz w:val="18"/>
                <w:szCs w:val="18"/>
              </w:rPr>
              <w:t xml:space="preserve">Producto 16: </w:t>
            </w:r>
            <w:r>
              <w:rPr>
                <w:sz w:val="18"/>
                <w:szCs w:val="18"/>
              </w:rPr>
              <w:t>Problema con multiplicador de Lagrange</w:t>
            </w:r>
          </w:p>
        </w:tc>
        <w:tc>
          <w:tcPr>
            <w:tcW w:w="1910" w:type="dxa"/>
            <w:shd w:val="clear" w:color="auto" w:fill="D9E2F3"/>
            <w:vAlign w:val="center"/>
          </w:tcPr>
          <w:p w14:paraId="7050E511" w14:textId="77777777" w:rsidR="00990B14" w:rsidRDefault="00000000">
            <w:pPr>
              <w:spacing w:before="20" w:after="20"/>
              <w:jc w:val="center"/>
            </w:pPr>
            <w:r>
              <w:rPr>
                <w:b/>
                <w:bCs/>
                <w:sz w:val="18"/>
                <w:szCs w:val="18"/>
              </w:rPr>
              <w:t>6%</w:t>
            </w:r>
          </w:p>
        </w:tc>
      </w:tr>
      <w:tr w:rsidR="00990B14" w14:paraId="1C428354" w14:textId="77777777">
        <w:trPr>
          <w:cantSplit/>
          <w:jc w:val="center"/>
        </w:trPr>
        <w:tc>
          <w:tcPr>
            <w:tcW w:w="1555" w:type="dxa"/>
            <w:vMerge/>
            <w:shd w:val="clear" w:color="auto" w:fill="4472C4"/>
            <w:vAlign w:val="center"/>
          </w:tcPr>
          <w:p w14:paraId="7DEDD44C" w14:textId="77777777" w:rsidR="00990B14" w:rsidRDefault="00990B14">
            <w:pPr>
              <w:spacing w:before="20" w:after="20"/>
            </w:pPr>
          </w:p>
        </w:tc>
        <w:tc>
          <w:tcPr>
            <w:tcW w:w="2015" w:type="dxa"/>
            <w:shd w:val="clear" w:color="auto" w:fill="4472C4"/>
            <w:vAlign w:val="center"/>
          </w:tcPr>
          <w:p w14:paraId="27F6518F"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2FA3AECC"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35758567"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788B8A38" w14:textId="77777777" w:rsidR="00990B14" w:rsidRDefault="00000000">
            <w:pPr>
              <w:keepNext/>
              <w:spacing w:before="20" w:after="20"/>
              <w:jc w:val="center"/>
            </w:pPr>
            <w:r>
              <w:rPr>
                <w:b/>
                <w:bCs/>
                <w:i/>
                <w:iCs/>
                <w:color w:val="FFFFFF"/>
                <w:sz w:val="18"/>
                <w:szCs w:val="18"/>
              </w:rPr>
              <w:t>Destacado (81–100)</w:t>
            </w:r>
          </w:p>
        </w:tc>
      </w:tr>
      <w:tr w:rsidR="00990B14" w14:paraId="45E3A547" w14:textId="77777777">
        <w:trPr>
          <w:cantSplit/>
          <w:jc w:val="center"/>
        </w:trPr>
        <w:tc>
          <w:tcPr>
            <w:tcW w:w="1555" w:type="dxa"/>
            <w:vMerge/>
            <w:shd w:val="clear" w:color="auto" w:fill="4472C4"/>
            <w:vAlign w:val="center"/>
          </w:tcPr>
          <w:p w14:paraId="3EB4E018" w14:textId="77777777" w:rsidR="00990B14" w:rsidRDefault="00990B14">
            <w:pPr>
              <w:spacing w:before="20" w:after="20"/>
            </w:pPr>
          </w:p>
        </w:tc>
        <w:tc>
          <w:tcPr>
            <w:tcW w:w="2015" w:type="dxa"/>
            <w:shd w:val="clear" w:color="auto" w:fill="D9E2F3"/>
            <w:vAlign w:val="center"/>
          </w:tcPr>
          <w:p w14:paraId="3C05C37F" w14:textId="77777777" w:rsidR="00990B14" w:rsidRDefault="00000000">
            <w:pPr>
              <w:spacing w:before="20" w:after="20"/>
              <w:jc w:val="both"/>
            </w:pPr>
            <w:r>
              <w:rPr>
                <w:sz w:val="18"/>
                <w:szCs w:val="18"/>
              </w:rPr>
              <w:t>Función de Lagrange</w:t>
            </w:r>
          </w:p>
        </w:tc>
        <w:tc>
          <w:tcPr>
            <w:tcW w:w="1910" w:type="dxa"/>
            <w:shd w:val="clear" w:color="auto" w:fill="D9E2F3"/>
            <w:vAlign w:val="center"/>
          </w:tcPr>
          <w:p w14:paraId="4429C39E" w14:textId="77777777" w:rsidR="00990B14" w:rsidRDefault="00000000">
            <w:pPr>
              <w:spacing w:before="20" w:after="20"/>
              <w:jc w:val="both"/>
            </w:pPr>
            <w:r>
              <w:rPr>
                <w:sz w:val="18"/>
                <w:szCs w:val="18"/>
              </w:rPr>
              <w:t>Plantea mal la función o la restricción.</w:t>
            </w:r>
          </w:p>
        </w:tc>
        <w:tc>
          <w:tcPr>
            <w:tcW w:w="2015" w:type="dxa"/>
            <w:shd w:val="clear" w:color="auto" w:fill="D9E2F3"/>
            <w:vAlign w:val="center"/>
          </w:tcPr>
          <w:p w14:paraId="11424E22" w14:textId="77777777" w:rsidR="00990B14" w:rsidRDefault="00000000">
            <w:pPr>
              <w:spacing w:before="20" w:after="20"/>
              <w:jc w:val="both"/>
            </w:pPr>
            <w:r>
              <w:rPr>
                <w:sz w:val="18"/>
                <w:szCs w:val="18"/>
              </w:rPr>
              <w:t>Plantea la función de Lagrange del problema.</w:t>
            </w:r>
          </w:p>
        </w:tc>
        <w:tc>
          <w:tcPr>
            <w:tcW w:w="1910" w:type="dxa"/>
            <w:shd w:val="clear" w:color="auto" w:fill="D9E2F3"/>
            <w:vAlign w:val="center"/>
          </w:tcPr>
          <w:p w14:paraId="37BC17A3" w14:textId="77777777" w:rsidR="00990B14" w:rsidRDefault="00000000">
            <w:pPr>
              <w:spacing w:before="20" w:after="20"/>
              <w:jc w:val="both"/>
            </w:pPr>
            <w:r>
              <w:rPr>
                <w:sz w:val="18"/>
                <w:szCs w:val="18"/>
              </w:rPr>
              <w:t>Explica el papel de la restricción presupuestaria.</w:t>
            </w:r>
          </w:p>
        </w:tc>
      </w:tr>
      <w:tr w:rsidR="00990B14" w14:paraId="66C1EC4B" w14:textId="77777777">
        <w:trPr>
          <w:cantSplit/>
          <w:jc w:val="center"/>
        </w:trPr>
        <w:tc>
          <w:tcPr>
            <w:tcW w:w="1555" w:type="dxa"/>
            <w:vMerge/>
            <w:shd w:val="clear" w:color="auto" w:fill="4472C4"/>
            <w:vAlign w:val="center"/>
          </w:tcPr>
          <w:p w14:paraId="49485F32" w14:textId="77777777" w:rsidR="00990B14" w:rsidRDefault="00990B14">
            <w:pPr>
              <w:spacing w:before="20" w:after="20"/>
            </w:pPr>
          </w:p>
        </w:tc>
        <w:tc>
          <w:tcPr>
            <w:tcW w:w="2015" w:type="dxa"/>
            <w:shd w:val="clear" w:color="auto" w:fill="D9E2F3"/>
            <w:vAlign w:val="center"/>
          </w:tcPr>
          <w:p w14:paraId="7878E929" w14:textId="77777777" w:rsidR="00990B14" w:rsidRDefault="00000000">
            <w:pPr>
              <w:spacing w:before="20" w:after="20"/>
              <w:jc w:val="both"/>
            </w:pPr>
            <w:r>
              <w:rPr>
                <w:sz w:val="18"/>
                <w:szCs w:val="18"/>
              </w:rPr>
              <w:t>Solución óptima</w:t>
            </w:r>
          </w:p>
        </w:tc>
        <w:tc>
          <w:tcPr>
            <w:tcW w:w="1910" w:type="dxa"/>
            <w:shd w:val="clear" w:color="auto" w:fill="D9E2F3"/>
            <w:vAlign w:val="center"/>
          </w:tcPr>
          <w:p w14:paraId="5195CE97" w14:textId="77777777" w:rsidR="00990B14" w:rsidRDefault="00000000">
            <w:pPr>
              <w:spacing w:before="20" w:after="20"/>
              <w:jc w:val="both"/>
            </w:pPr>
            <w:r>
              <w:rPr>
                <w:sz w:val="18"/>
                <w:szCs w:val="18"/>
              </w:rPr>
              <w:t>El sistema de condiciones está mal resuelto.</w:t>
            </w:r>
          </w:p>
        </w:tc>
        <w:tc>
          <w:tcPr>
            <w:tcW w:w="2015" w:type="dxa"/>
            <w:shd w:val="clear" w:color="auto" w:fill="D9E2F3"/>
            <w:vAlign w:val="center"/>
          </w:tcPr>
          <w:p w14:paraId="7B236B11" w14:textId="77777777" w:rsidR="00990B14" w:rsidRDefault="00000000">
            <w:pPr>
              <w:spacing w:before="20" w:after="20"/>
              <w:jc w:val="both"/>
            </w:pPr>
            <w:r>
              <w:rPr>
                <w:sz w:val="18"/>
                <w:szCs w:val="18"/>
              </w:rPr>
              <w:t>Halla la combinación óptima de insumos.</w:t>
            </w:r>
          </w:p>
        </w:tc>
        <w:tc>
          <w:tcPr>
            <w:tcW w:w="1910" w:type="dxa"/>
            <w:shd w:val="clear" w:color="auto" w:fill="D9E2F3"/>
            <w:vAlign w:val="center"/>
          </w:tcPr>
          <w:p w14:paraId="18CF60D1" w14:textId="77777777" w:rsidR="00990B14" w:rsidRDefault="00000000">
            <w:pPr>
              <w:spacing w:before="20" w:after="20"/>
              <w:jc w:val="both"/>
            </w:pPr>
            <w:r>
              <w:rPr>
                <w:sz w:val="18"/>
                <w:szCs w:val="18"/>
              </w:rPr>
              <w:t>Interpreta el valor del multiplicador.</w:t>
            </w:r>
          </w:p>
        </w:tc>
      </w:tr>
      <w:tr w:rsidR="00990B14" w14:paraId="3D1E2DAA" w14:textId="77777777">
        <w:trPr>
          <w:cantSplit/>
          <w:jc w:val="center"/>
        </w:trPr>
        <w:tc>
          <w:tcPr>
            <w:tcW w:w="1555" w:type="dxa"/>
            <w:vMerge/>
            <w:shd w:val="clear" w:color="auto" w:fill="4472C4"/>
            <w:vAlign w:val="center"/>
          </w:tcPr>
          <w:p w14:paraId="3892E631" w14:textId="77777777" w:rsidR="00990B14" w:rsidRDefault="00990B14">
            <w:pPr>
              <w:spacing w:before="20" w:after="20"/>
            </w:pPr>
          </w:p>
        </w:tc>
        <w:tc>
          <w:tcPr>
            <w:tcW w:w="2015" w:type="dxa"/>
            <w:shd w:val="clear" w:color="auto" w:fill="D9E2F3"/>
            <w:vAlign w:val="center"/>
          </w:tcPr>
          <w:p w14:paraId="7695C3AF" w14:textId="77777777" w:rsidR="00990B14" w:rsidRDefault="00000000">
            <w:pPr>
              <w:spacing w:before="20" w:after="20"/>
              <w:jc w:val="both"/>
            </w:pPr>
            <w:r>
              <w:rPr>
                <w:sz w:val="18"/>
                <w:szCs w:val="18"/>
              </w:rPr>
              <w:t>Verificación digital</w:t>
            </w:r>
          </w:p>
        </w:tc>
        <w:tc>
          <w:tcPr>
            <w:tcW w:w="1910" w:type="dxa"/>
            <w:shd w:val="clear" w:color="auto" w:fill="D9E2F3"/>
            <w:vAlign w:val="center"/>
          </w:tcPr>
          <w:p w14:paraId="6A810144" w14:textId="77777777" w:rsidR="00990B14" w:rsidRDefault="00000000">
            <w:pPr>
              <w:spacing w:before="20" w:after="20"/>
              <w:jc w:val="both"/>
            </w:pPr>
            <w:r>
              <w:rPr>
                <w:sz w:val="18"/>
                <w:szCs w:val="18"/>
              </w:rPr>
              <w:t>No verifica el resultado.</w:t>
            </w:r>
          </w:p>
        </w:tc>
        <w:tc>
          <w:tcPr>
            <w:tcW w:w="2015" w:type="dxa"/>
            <w:shd w:val="clear" w:color="auto" w:fill="D9E2F3"/>
            <w:vAlign w:val="center"/>
          </w:tcPr>
          <w:p w14:paraId="721A6EBC" w14:textId="77777777" w:rsidR="00990B14" w:rsidRDefault="00000000">
            <w:pPr>
              <w:spacing w:before="20" w:after="20"/>
              <w:jc w:val="both"/>
            </w:pPr>
            <w:r>
              <w:rPr>
                <w:sz w:val="18"/>
                <w:szCs w:val="18"/>
              </w:rPr>
              <w:t>Verifica la solución en hoja de cálculo.</w:t>
            </w:r>
          </w:p>
        </w:tc>
        <w:tc>
          <w:tcPr>
            <w:tcW w:w="1910" w:type="dxa"/>
            <w:shd w:val="clear" w:color="auto" w:fill="D9E2F3"/>
            <w:vAlign w:val="center"/>
          </w:tcPr>
          <w:p w14:paraId="7B1704C0" w14:textId="77777777" w:rsidR="00990B14" w:rsidRDefault="00000000">
            <w:pPr>
              <w:spacing w:before="20" w:after="20"/>
              <w:jc w:val="both"/>
            </w:pPr>
            <w:r>
              <w:rPr>
                <w:sz w:val="18"/>
                <w:szCs w:val="18"/>
              </w:rPr>
              <w:t>Analiza el cambio del óptimo ante otro presupuesto.</w:t>
            </w:r>
          </w:p>
        </w:tc>
      </w:tr>
      <w:tr w:rsidR="00990B14" w14:paraId="2A8A0601" w14:textId="77777777">
        <w:trPr>
          <w:cantSplit/>
          <w:jc w:val="center"/>
        </w:trPr>
        <w:tc>
          <w:tcPr>
            <w:tcW w:w="7495" w:type="dxa"/>
            <w:gridSpan w:val="4"/>
            <w:shd w:val="clear" w:color="auto" w:fill="4472C4"/>
            <w:vAlign w:val="center"/>
          </w:tcPr>
          <w:p w14:paraId="49CAAC99" w14:textId="77777777" w:rsidR="00990B14" w:rsidRDefault="00000000">
            <w:pPr>
              <w:keepNext/>
              <w:spacing w:before="20" w:after="20"/>
              <w:jc w:val="center"/>
            </w:pPr>
            <w:r>
              <w:rPr>
                <w:b/>
                <w:bCs/>
                <w:i/>
                <w:iCs/>
                <w:color w:val="FFFFFF"/>
                <w:sz w:val="18"/>
                <w:szCs w:val="18"/>
              </w:rPr>
              <w:t>TOTAL</w:t>
            </w:r>
          </w:p>
        </w:tc>
        <w:tc>
          <w:tcPr>
            <w:tcW w:w="1910" w:type="dxa"/>
            <w:shd w:val="clear" w:color="auto" w:fill="4472C4"/>
            <w:vAlign w:val="center"/>
          </w:tcPr>
          <w:p w14:paraId="7F4C3B40" w14:textId="77777777" w:rsidR="00990B14" w:rsidRDefault="00000000">
            <w:pPr>
              <w:keepNext/>
              <w:spacing w:before="20" w:after="20"/>
              <w:jc w:val="center"/>
            </w:pPr>
            <w:r>
              <w:rPr>
                <w:b/>
                <w:bCs/>
                <w:i/>
                <w:iCs/>
                <w:color w:val="FFFFFF"/>
                <w:sz w:val="18"/>
                <w:szCs w:val="18"/>
              </w:rPr>
              <w:t>100%</w:t>
            </w:r>
          </w:p>
        </w:tc>
      </w:tr>
    </w:tbl>
    <w:p w14:paraId="0C1522AB"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9405"/>
      </w:tblGrid>
      <w:tr w:rsidR="00990B14" w14:paraId="4CED8298" w14:textId="77777777">
        <w:trPr>
          <w:jc w:val="center"/>
        </w:trPr>
        <w:tc>
          <w:tcPr>
            <w:tcW w:w="9405" w:type="dxa"/>
            <w:shd w:val="clear" w:color="auto" w:fill="D9E2F3"/>
          </w:tcPr>
          <w:p w14:paraId="21DFA67B" w14:textId="77777777" w:rsidR="00990B14" w:rsidRDefault="00000000">
            <w:pPr>
              <w:spacing w:before="40" w:after="40"/>
              <w:jc w:val="both"/>
            </w:pPr>
            <w:r>
              <w:rPr>
                <w:b/>
                <w:bCs/>
                <w:i/>
                <w:iCs/>
                <w:sz w:val="18"/>
                <w:szCs w:val="18"/>
              </w:rPr>
              <w:t>Bibliografía básica:</w:t>
            </w:r>
          </w:p>
          <w:p w14:paraId="1C02848B" w14:textId="77777777" w:rsidR="00990B14" w:rsidRDefault="00000000">
            <w:pPr>
              <w:numPr>
                <w:ilvl w:val="0"/>
                <w:numId w:val="140"/>
              </w:numPr>
              <w:spacing w:after="20"/>
              <w:jc w:val="both"/>
            </w:pPr>
            <w:r>
              <w:rPr>
                <w:sz w:val="18"/>
                <w:szCs w:val="18"/>
              </w:rPr>
              <w:t xml:space="preserve">Ayres Jr., F. (1970). </w:t>
            </w:r>
            <w:r>
              <w:rPr>
                <w:i/>
                <w:iCs/>
                <w:sz w:val="18"/>
                <w:szCs w:val="18"/>
              </w:rPr>
              <w:t>Cálculo diferencial e integral</w:t>
            </w:r>
            <w:r>
              <w:rPr>
                <w:sz w:val="18"/>
                <w:szCs w:val="18"/>
              </w:rPr>
              <w:t>. Colombia: McGraw Hill.</w:t>
            </w:r>
          </w:p>
          <w:p w14:paraId="27A38364" w14:textId="77777777" w:rsidR="00990B14" w:rsidRDefault="00000000">
            <w:pPr>
              <w:numPr>
                <w:ilvl w:val="0"/>
                <w:numId w:val="140"/>
              </w:numPr>
              <w:spacing w:after="20"/>
              <w:jc w:val="both"/>
            </w:pPr>
            <w:r>
              <w:rPr>
                <w:sz w:val="18"/>
                <w:szCs w:val="18"/>
              </w:rPr>
              <w:t>Decreto Supremo N.º 24051, Reglamento del Impuesto sobre las Utilidades de las Empresas, de 29 de junio de 1995. Gaceta Oficial de Bolivia.</w:t>
            </w:r>
          </w:p>
          <w:p w14:paraId="46F46453" w14:textId="77777777" w:rsidR="00990B14" w:rsidRDefault="00000000">
            <w:pPr>
              <w:numPr>
                <w:ilvl w:val="0"/>
                <w:numId w:val="140"/>
              </w:numPr>
              <w:spacing w:after="20"/>
              <w:jc w:val="both"/>
            </w:pPr>
            <w:r>
              <w:rPr>
                <w:sz w:val="18"/>
                <w:szCs w:val="18"/>
              </w:rPr>
              <w:t>Ejercicios resueltos de integrales y problemas de aplicación.</w:t>
            </w:r>
          </w:p>
          <w:p w14:paraId="28B9AB8E" w14:textId="77777777" w:rsidR="00990B14" w:rsidRDefault="00000000">
            <w:pPr>
              <w:numPr>
                <w:ilvl w:val="0"/>
                <w:numId w:val="140"/>
              </w:numPr>
              <w:spacing w:after="20"/>
              <w:jc w:val="both"/>
            </w:pPr>
            <w:r>
              <w:rPr>
                <w:sz w:val="18"/>
                <w:szCs w:val="18"/>
              </w:rPr>
              <w:t>Ejercicios resueltos de límites y derivadas.</w:t>
            </w:r>
          </w:p>
          <w:p w14:paraId="75F73389" w14:textId="77777777" w:rsidR="00990B14" w:rsidRDefault="00000000">
            <w:pPr>
              <w:numPr>
                <w:ilvl w:val="0"/>
                <w:numId w:val="140"/>
              </w:numPr>
              <w:spacing w:after="20"/>
              <w:jc w:val="both"/>
            </w:pPr>
            <w:r>
              <w:rPr>
                <w:sz w:val="18"/>
                <w:szCs w:val="18"/>
              </w:rPr>
              <w:t xml:space="preserve">Leithold, L. (1973). </w:t>
            </w:r>
            <w:r>
              <w:rPr>
                <w:i/>
                <w:iCs/>
                <w:sz w:val="18"/>
                <w:szCs w:val="18"/>
              </w:rPr>
              <w:t>El cálculo con geometría analítica</w:t>
            </w:r>
            <w:r>
              <w:rPr>
                <w:sz w:val="18"/>
                <w:szCs w:val="18"/>
              </w:rPr>
              <w:t>. México D.F.: Harla.</w:t>
            </w:r>
          </w:p>
          <w:p w14:paraId="2780FD84" w14:textId="77777777" w:rsidR="00990B14" w:rsidRDefault="00000000">
            <w:pPr>
              <w:numPr>
                <w:ilvl w:val="0"/>
                <w:numId w:val="140"/>
              </w:numPr>
              <w:spacing w:after="20"/>
              <w:jc w:val="both"/>
            </w:pPr>
            <w:r>
              <w:rPr>
                <w:sz w:val="18"/>
                <w:szCs w:val="18"/>
              </w:rPr>
              <w:t xml:space="preserve">Taylor, H. (1995). </w:t>
            </w:r>
            <w:r>
              <w:rPr>
                <w:i/>
                <w:iCs/>
                <w:sz w:val="18"/>
                <w:szCs w:val="18"/>
              </w:rPr>
              <w:t>Cálculo diferencial e integral</w:t>
            </w:r>
            <w:r>
              <w:rPr>
                <w:sz w:val="18"/>
                <w:szCs w:val="18"/>
              </w:rPr>
              <w:t>. México: Limusa.</w:t>
            </w:r>
          </w:p>
          <w:p w14:paraId="1A8A766A" w14:textId="77777777" w:rsidR="00990B14" w:rsidRDefault="00000000">
            <w:pPr>
              <w:numPr>
                <w:ilvl w:val="0"/>
                <w:numId w:val="140"/>
              </w:numPr>
              <w:spacing w:after="20"/>
              <w:jc w:val="both"/>
            </w:pPr>
            <w:r>
              <w:rPr>
                <w:sz w:val="18"/>
                <w:szCs w:val="18"/>
              </w:rPr>
              <w:t xml:space="preserve">Weber, J. E. y Espinoza, R. E. (2003). </w:t>
            </w:r>
            <w:r>
              <w:rPr>
                <w:i/>
                <w:iCs/>
                <w:sz w:val="18"/>
                <w:szCs w:val="18"/>
              </w:rPr>
              <w:t>Solucionario de matemática para administración y economía</w:t>
            </w:r>
            <w:r>
              <w:rPr>
                <w:sz w:val="18"/>
                <w:szCs w:val="18"/>
              </w:rPr>
              <w:t>. 2da. edición. Lima - Perú.</w:t>
            </w:r>
          </w:p>
        </w:tc>
      </w:tr>
      <w:tr w:rsidR="00990B14" w14:paraId="7A727D5B" w14:textId="77777777">
        <w:trPr>
          <w:jc w:val="center"/>
        </w:trPr>
        <w:tc>
          <w:tcPr>
            <w:tcW w:w="9405" w:type="dxa"/>
            <w:shd w:val="clear" w:color="auto" w:fill="D9E2F3"/>
          </w:tcPr>
          <w:p w14:paraId="4EB7E300" w14:textId="77777777" w:rsidR="00990B14" w:rsidRDefault="00000000">
            <w:pPr>
              <w:spacing w:before="40" w:after="40"/>
              <w:jc w:val="both"/>
            </w:pPr>
            <w:r>
              <w:rPr>
                <w:b/>
                <w:bCs/>
                <w:i/>
                <w:iCs/>
                <w:sz w:val="18"/>
                <w:szCs w:val="18"/>
              </w:rPr>
              <w:t>Bibliografía complementaria:</w:t>
            </w:r>
          </w:p>
          <w:p w14:paraId="7F8C5269" w14:textId="77777777" w:rsidR="00990B14" w:rsidRDefault="00000000">
            <w:pPr>
              <w:numPr>
                <w:ilvl w:val="0"/>
                <w:numId w:val="140"/>
              </w:numPr>
              <w:spacing w:after="20"/>
              <w:jc w:val="both"/>
            </w:pPr>
            <w:r>
              <w:rPr>
                <w:sz w:val="18"/>
                <w:szCs w:val="18"/>
              </w:rPr>
              <w:t xml:space="preserve">Deminovich, R. P. (1990). </w:t>
            </w:r>
            <w:r>
              <w:rPr>
                <w:i/>
                <w:iCs/>
                <w:sz w:val="18"/>
                <w:szCs w:val="18"/>
              </w:rPr>
              <w:t>5000 problemas de análisis matemático</w:t>
            </w:r>
            <w:r>
              <w:rPr>
                <w:sz w:val="18"/>
                <w:szCs w:val="18"/>
              </w:rPr>
              <w:t>. Madrid: Paraninfo.</w:t>
            </w:r>
          </w:p>
          <w:p w14:paraId="45427710" w14:textId="77777777" w:rsidR="00990B14" w:rsidRDefault="00000000">
            <w:pPr>
              <w:numPr>
                <w:ilvl w:val="0"/>
                <w:numId w:val="140"/>
              </w:numPr>
              <w:spacing w:after="20"/>
              <w:jc w:val="both"/>
            </w:pPr>
            <w:r>
              <w:rPr>
                <w:sz w:val="18"/>
                <w:szCs w:val="18"/>
              </w:rPr>
              <w:t xml:space="preserve">Deminovich, R. P. (1990). </w:t>
            </w:r>
            <w:r>
              <w:rPr>
                <w:i/>
                <w:iCs/>
                <w:sz w:val="18"/>
                <w:szCs w:val="18"/>
              </w:rPr>
              <w:t>Cálculo diferencial e integral</w:t>
            </w:r>
            <w:r>
              <w:rPr>
                <w:sz w:val="18"/>
                <w:szCs w:val="18"/>
              </w:rPr>
              <w:t>. Madrid: Mir Moscú.</w:t>
            </w:r>
          </w:p>
          <w:p w14:paraId="21DE7077" w14:textId="77777777" w:rsidR="00990B14" w:rsidRDefault="00000000">
            <w:pPr>
              <w:numPr>
                <w:ilvl w:val="0"/>
                <w:numId w:val="140"/>
              </w:numPr>
              <w:spacing w:after="20"/>
              <w:jc w:val="both"/>
            </w:pPr>
            <w:r w:rsidRPr="00BD34F7">
              <w:rPr>
                <w:sz w:val="18"/>
                <w:szCs w:val="18"/>
                <w:lang w:val="en-US"/>
              </w:rPr>
              <w:t xml:space="preserve">Haeussler, E. F., Paul, R. S. y Wood, R. J. (2012). </w:t>
            </w:r>
            <w:r>
              <w:rPr>
                <w:i/>
                <w:iCs/>
                <w:sz w:val="18"/>
                <w:szCs w:val="18"/>
              </w:rPr>
              <w:t>Matemáticas para administración y economía</w:t>
            </w:r>
            <w:r>
              <w:rPr>
                <w:sz w:val="18"/>
                <w:szCs w:val="18"/>
              </w:rPr>
              <w:t>. 12.ª edición. México: Pearson Educación.</w:t>
            </w:r>
          </w:p>
          <w:p w14:paraId="6D8D3BED" w14:textId="77777777" w:rsidR="00990B14" w:rsidRDefault="00000000">
            <w:pPr>
              <w:numPr>
                <w:ilvl w:val="0"/>
                <w:numId w:val="140"/>
              </w:numPr>
              <w:spacing w:after="20"/>
              <w:jc w:val="both"/>
            </w:pPr>
            <w:r>
              <w:rPr>
                <w:sz w:val="18"/>
                <w:szCs w:val="18"/>
              </w:rPr>
              <w:t xml:space="preserve">Protter, M. (1990). </w:t>
            </w:r>
            <w:r>
              <w:rPr>
                <w:i/>
                <w:iCs/>
                <w:sz w:val="18"/>
                <w:szCs w:val="18"/>
              </w:rPr>
              <w:t>Análisis matemático</w:t>
            </w:r>
            <w:r>
              <w:rPr>
                <w:sz w:val="18"/>
                <w:szCs w:val="18"/>
              </w:rPr>
              <w:t>. México: Fondo Educativo Interamericano.</w:t>
            </w:r>
          </w:p>
          <w:p w14:paraId="5E40E3DD" w14:textId="77777777" w:rsidR="00990B14" w:rsidRDefault="00000000">
            <w:pPr>
              <w:numPr>
                <w:ilvl w:val="0"/>
                <w:numId w:val="140"/>
              </w:numPr>
              <w:spacing w:after="20"/>
              <w:jc w:val="both"/>
            </w:pPr>
            <w:r>
              <w:rPr>
                <w:sz w:val="18"/>
                <w:szCs w:val="18"/>
              </w:rPr>
              <w:t xml:space="preserve">Spiegel, R. M. (2005). </w:t>
            </w:r>
            <w:r>
              <w:rPr>
                <w:i/>
                <w:iCs/>
                <w:sz w:val="18"/>
                <w:szCs w:val="18"/>
              </w:rPr>
              <w:t>Álgebra superior</w:t>
            </w:r>
            <w:r>
              <w:rPr>
                <w:sz w:val="18"/>
                <w:szCs w:val="18"/>
              </w:rPr>
              <w:t>. Colombia: McGraw Hill.</w:t>
            </w:r>
          </w:p>
        </w:tc>
      </w:tr>
    </w:tbl>
    <w:p w14:paraId="154017BA" w14:textId="77777777" w:rsidR="00990B14" w:rsidRDefault="00000000">
      <w:pPr>
        <w:pStyle w:val="TituloPlanAsignatura"/>
        <w:keepNext/>
        <w:pageBreakBefore/>
        <w:spacing w:after="120"/>
        <w:jc w:val="center"/>
        <w:outlineLvl w:val="2"/>
      </w:pPr>
      <w:bookmarkStart w:id="153" w:name="_Toc000000094"/>
      <w:r>
        <w:rPr>
          <w:b/>
          <w:bCs/>
          <w:sz w:val="24"/>
          <w:szCs w:val="24"/>
        </w:rPr>
        <w:t>MAT-102 Matemáticas Financieras</w:t>
      </w:r>
      <w:bookmarkEnd w:id="153"/>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249"/>
        <w:gridCol w:w="1100"/>
        <w:gridCol w:w="149"/>
        <w:gridCol w:w="635"/>
        <w:gridCol w:w="615"/>
        <w:gridCol w:w="952"/>
        <w:gridCol w:w="298"/>
        <w:gridCol w:w="1250"/>
        <w:gridCol w:w="20"/>
        <w:gridCol w:w="385"/>
        <w:gridCol w:w="398"/>
        <w:gridCol w:w="447"/>
        <w:gridCol w:w="1907"/>
      </w:tblGrid>
      <w:tr w:rsidR="00990B14" w14:paraId="30507FB9" w14:textId="77777777">
        <w:trPr>
          <w:cantSplit/>
          <w:jc w:val="center"/>
        </w:trPr>
        <w:tc>
          <w:tcPr>
            <w:tcW w:w="2349" w:type="dxa"/>
            <w:gridSpan w:val="2"/>
            <w:shd w:val="clear" w:color="auto" w:fill="4472C4"/>
            <w:vAlign w:val="center"/>
          </w:tcPr>
          <w:p w14:paraId="56DB0439" w14:textId="77777777" w:rsidR="00990B14" w:rsidRDefault="00000000">
            <w:pPr>
              <w:keepNext/>
              <w:spacing w:before="20" w:after="20"/>
              <w:jc w:val="center"/>
            </w:pPr>
            <w:r>
              <w:rPr>
                <w:b/>
                <w:bCs/>
                <w:i/>
                <w:iCs/>
                <w:color w:val="FFFFFF"/>
                <w:sz w:val="18"/>
                <w:szCs w:val="18"/>
              </w:rPr>
              <w:t>Asignatura</w:t>
            </w:r>
          </w:p>
        </w:tc>
        <w:tc>
          <w:tcPr>
            <w:tcW w:w="2351" w:type="dxa"/>
            <w:gridSpan w:val="4"/>
            <w:shd w:val="clear" w:color="auto" w:fill="4472C4"/>
            <w:vAlign w:val="center"/>
          </w:tcPr>
          <w:p w14:paraId="2B3DEDC1" w14:textId="77777777" w:rsidR="00990B14" w:rsidRDefault="00000000">
            <w:pPr>
              <w:keepNext/>
              <w:spacing w:before="20" w:after="20"/>
              <w:jc w:val="center"/>
            </w:pPr>
            <w:r>
              <w:rPr>
                <w:b/>
                <w:bCs/>
                <w:i/>
                <w:iCs/>
                <w:color w:val="FFFFFF"/>
                <w:sz w:val="18"/>
                <w:szCs w:val="18"/>
              </w:rPr>
              <w:t>Sigla</w:t>
            </w:r>
          </w:p>
        </w:tc>
        <w:tc>
          <w:tcPr>
            <w:tcW w:w="2351" w:type="dxa"/>
            <w:gridSpan w:val="5"/>
            <w:shd w:val="clear" w:color="auto" w:fill="4472C4"/>
            <w:vAlign w:val="center"/>
          </w:tcPr>
          <w:p w14:paraId="01D6BFF0" w14:textId="77777777" w:rsidR="00990B14" w:rsidRDefault="00000000">
            <w:pPr>
              <w:keepNext/>
              <w:spacing w:before="20" w:after="20"/>
              <w:jc w:val="center"/>
            </w:pPr>
            <w:r>
              <w:rPr>
                <w:b/>
                <w:bCs/>
                <w:i/>
                <w:iCs/>
                <w:color w:val="FFFFFF"/>
                <w:sz w:val="18"/>
                <w:szCs w:val="18"/>
              </w:rPr>
              <w:t>Nivel/Área</w:t>
            </w:r>
          </w:p>
        </w:tc>
        <w:tc>
          <w:tcPr>
            <w:tcW w:w="2354" w:type="dxa"/>
            <w:gridSpan w:val="2"/>
            <w:shd w:val="clear" w:color="auto" w:fill="4472C4"/>
            <w:vAlign w:val="center"/>
          </w:tcPr>
          <w:p w14:paraId="268DFDDB" w14:textId="77777777" w:rsidR="00990B14" w:rsidRDefault="00000000">
            <w:pPr>
              <w:keepNext/>
              <w:spacing w:before="20" w:after="20"/>
              <w:jc w:val="center"/>
            </w:pPr>
            <w:r>
              <w:rPr>
                <w:b/>
                <w:bCs/>
                <w:i/>
                <w:iCs/>
                <w:color w:val="FFFFFF"/>
                <w:sz w:val="18"/>
                <w:szCs w:val="18"/>
              </w:rPr>
              <w:t>Prerrequisito</w:t>
            </w:r>
          </w:p>
        </w:tc>
      </w:tr>
      <w:tr w:rsidR="00990B14" w14:paraId="6CE66389" w14:textId="77777777">
        <w:trPr>
          <w:cantSplit/>
          <w:jc w:val="center"/>
        </w:trPr>
        <w:tc>
          <w:tcPr>
            <w:tcW w:w="2349" w:type="dxa"/>
            <w:gridSpan w:val="2"/>
            <w:shd w:val="clear" w:color="auto" w:fill="D9E2F3"/>
            <w:vAlign w:val="center"/>
          </w:tcPr>
          <w:p w14:paraId="1B40996D" w14:textId="77777777" w:rsidR="00990B14" w:rsidRDefault="00000000">
            <w:pPr>
              <w:spacing w:before="20" w:after="20"/>
              <w:jc w:val="center"/>
            </w:pPr>
            <w:r>
              <w:rPr>
                <w:b/>
                <w:bCs/>
                <w:i/>
                <w:iCs/>
                <w:sz w:val="18"/>
                <w:szCs w:val="18"/>
              </w:rPr>
              <w:t>Matemáticas Financieras</w:t>
            </w:r>
          </w:p>
        </w:tc>
        <w:tc>
          <w:tcPr>
            <w:tcW w:w="2351" w:type="dxa"/>
            <w:gridSpan w:val="4"/>
            <w:shd w:val="clear" w:color="auto" w:fill="D9E2F3"/>
            <w:vAlign w:val="center"/>
          </w:tcPr>
          <w:p w14:paraId="184AAD70" w14:textId="77777777" w:rsidR="00990B14" w:rsidRDefault="00000000">
            <w:pPr>
              <w:spacing w:before="20" w:after="20"/>
              <w:jc w:val="center"/>
            </w:pPr>
            <w:r>
              <w:rPr>
                <w:b/>
                <w:bCs/>
                <w:i/>
                <w:iCs/>
                <w:sz w:val="18"/>
                <w:szCs w:val="18"/>
              </w:rPr>
              <w:t>MAT-102</w:t>
            </w:r>
          </w:p>
        </w:tc>
        <w:tc>
          <w:tcPr>
            <w:tcW w:w="2351" w:type="dxa"/>
            <w:gridSpan w:val="5"/>
            <w:shd w:val="clear" w:color="auto" w:fill="D9E2F3"/>
            <w:vAlign w:val="center"/>
          </w:tcPr>
          <w:p w14:paraId="03EC5611" w14:textId="77777777" w:rsidR="00990B14" w:rsidRDefault="00000000">
            <w:pPr>
              <w:spacing w:before="20" w:after="20"/>
              <w:jc w:val="center"/>
            </w:pPr>
            <w:r>
              <w:rPr>
                <w:b/>
                <w:bCs/>
                <w:i/>
                <w:iCs/>
                <w:sz w:val="18"/>
                <w:szCs w:val="18"/>
              </w:rPr>
              <w:t>Matemáticas</w:t>
            </w:r>
          </w:p>
        </w:tc>
        <w:tc>
          <w:tcPr>
            <w:tcW w:w="2354" w:type="dxa"/>
            <w:gridSpan w:val="2"/>
            <w:shd w:val="clear" w:color="auto" w:fill="D9E2F3"/>
            <w:vAlign w:val="center"/>
          </w:tcPr>
          <w:p w14:paraId="1CAE7C61" w14:textId="77777777" w:rsidR="00990B14" w:rsidRDefault="00000000">
            <w:pPr>
              <w:spacing w:before="20" w:after="20"/>
              <w:jc w:val="center"/>
            </w:pPr>
            <w:r>
              <w:rPr>
                <w:b/>
                <w:bCs/>
                <w:i/>
                <w:iCs/>
                <w:sz w:val="18"/>
                <w:szCs w:val="18"/>
              </w:rPr>
              <w:t>AE, CPF o PSA</w:t>
            </w:r>
          </w:p>
        </w:tc>
      </w:tr>
      <w:tr w:rsidR="00990B14" w14:paraId="7F08C7C3" w14:textId="77777777">
        <w:trPr>
          <w:cantSplit/>
          <w:jc w:val="center"/>
        </w:trPr>
        <w:tc>
          <w:tcPr>
            <w:tcW w:w="7498" w:type="dxa"/>
            <w:gridSpan w:val="12"/>
            <w:shd w:val="clear" w:color="auto" w:fill="4472C4"/>
            <w:vAlign w:val="center"/>
          </w:tcPr>
          <w:p w14:paraId="5D8577DA" w14:textId="77777777" w:rsidR="00990B14" w:rsidRDefault="00000000">
            <w:pPr>
              <w:keepNext/>
              <w:spacing w:before="20" w:after="20"/>
              <w:jc w:val="center"/>
            </w:pPr>
            <w:r>
              <w:rPr>
                <w:b/>
                <w:bCs/>
                <w:i/>
                <w:iCs/>
                <w:color w:val="FFFFFF"/>
                <w:sz w:val="18"/>
                <w:szCs w:val="18"/>
              </w:rPr>
              <w:t>Carga Horaria</w:t>
            </w:r>
          </w:p>
        </w:tc>
        <w:tc>
          <w:tcPr>
            <w:tcW w:w="1907" w:type="dxa"/>
            <w:shd w:val="clear" w:color="auto" w:fill="4472C4"/>
            <w:vAlign w:val="center"/>
          </w:tcPr>
          <w:p w14:paraId="6453D46A" w14:textId="77777777" w:rsidR="00990B14" w:rsidRDefault="00000000">
            <w:pPr>
              <w:keepNext/>
              <w:spacing w:before="20" w:after="20"/>
              <w:jc w:val="center"/>
            </w:pPr>
            <w:r>
              <w:rPr>
                <w:b/>
                <w:bCs/>
                <w:i/>
                <w:iCs/>
                <w:color w:val="FFFFFF"/>
                <w:sz w:val="18"/>
                <w:szCs w:val="18"/>
              </w:rPr>
              <w:t>Créditos</w:t>
            </w:r>
          </w:p>
        </w:tc>
      </w:tr>
      <w:tr w:rsidR="00990B14" w14:paraId="41C97289" w14:textId="77777777">
        <w:trPr>
          <w:cantSplit/>
          <w:jc w:val="center"/>
        </w:trPr>
        <w:tc>
          <w:tcPr>
            <w:tcW w:w="1249" w:type="dxa"/>
            <w:shd w:val="clear" w:color="auto" w:fill="4472C4"/>
            <w:vAlign w:val="center"/>
          </w:tcPr>
          <w:p w14:paraId="0EE47B34" w14:textId="77777777" w:rsidR="00990B14" w:rsidRDefault="00000000">
            <w:pPr>
              <w:keepNext/>
              <w:spacing w:before="20" w:after="20"/>
              <w:jc w:val="center"/>
            </w:pPr>
            <w:r>
              <w:rPr>
                <w:b/>
                <w:bCs/>
                <w:i/>
                <w:iCs/>
                <w:color w:val="FFFFFF"/>
                <w:sz w:val="18"/>
                <w:szCs w:val="18"/>
              </w:rPr>
              <w:t>HP</w:t>
            </w:r>
          </w:p>
        </w:tc>
        <w:tc>
          <w:tcPr>
            <w:tcW w:w="1249" w:type="dxa"/>
            <w:gridSpan w:val="2"/>
            <w:shd w:val="clear" w:color="auto" w:fill="4472C4"/>
            <w:vAlign w:val="center"/>
          </w:tcPr>
          <w:p w14:paraId="6E573B00" w14:textId="77777777" w:rsidR="00990B14" w:rsidRDefault="00000000">
            <w:pPr>
              <w:keepNext/>
              <w:spacing w:before="20" w:after="20"/>
              <w:jc w:val="center"/>
            </w:pPr>
            <w:r>
              <w:rPr>
                <w:b/>
                <w:bCs/>
                <w:i/>
                <w:iCs/>
                <w:color w:val="FFFFFF"/>
                <w:sz w:val="18"/>
                <w:szCs w:val="18"/>
              </w:rPr>
              <w:t>HAA</w:t>
            </w:r>
          </w:p>
        </w:tc>
        <w:tc>
          <w:tcPr>
            <w:tcW w:w="1250" w:type="dxa"/>
            <w:gridSpan w:val="2"/>
            <w:shd w:val="clear" w:color="auto" w:fill="4472C4"/>
            <w:vAlign w:val="center"/>
          </w:tcPr>
          <w:p w14:paraId="237F6949" w14:textId="77777777" w:rsidR="00990B14" w:rsidRDefault="00000000">
            <w:pPr>
              <w:keepNext/>
              <w:spacing w:before="20" w:after="20"/>
              <w:jc w:val="center"/>
            </w:pPr>
            <w:r>
              <w:rPr>
                <w:b/>
                <w:bCs/>
                <w:i/>
                <w:iCs/>
                <w:color w:val="FFFFFF"/>
                <w:sz w:val="18"/>
                <w:szCs w:val="18"/>
              </w:rPr>
              <w:t>HTG</w:t>
            </w:r>
          </w:p>
        </w:tc>
        <w:tc>
          <w:tcPr>
            <w:tcW w:w="1250" w:type="dxa"/>
            <w:gridSpan w:val="2"/>
            <w:shd w:val="clear" w:color="auto" w:fill="4472C4"/>
            <w:vAlign w:val="center"/>
          </w:tcPr>
          <w:p w14:paraId="69F6D9C7" w14:textId="77777777" w:rsidR="00990B14" w:rsidRDefault="00000000">
            <w:pPr>
              <w:keepNext/>
              <w:spacing w:before="20" w:after="20"/>
              <w:jc w:val="center"/>
            </w:pPr>
            <w:r>
              <w:rPr>
                <w:b/>
                <w:bCs/>
                <w:i/>
                <w:iCs/>
                <w:color w:val="FFFFFF"/>
                <w:sz w:val="18"/>
                <w:szCs w:val="18"/>
              </w:rPr>
              <w:t>HIP</w:t>
            </w:r>
          </w:p>
        </w:tc>
        <w:tc>
          <w:tcPr>
            <w:tcW w:w="1250" w:type="dxa"/>
            <w:shd w:val="clear" w:color="auto" w:fill="4472C4"/>
            <w:vAlign w:val="center"/>
          </w:tcPr>
          <w:p w14:paraId="3E0D9357" w14:textId="77777777" w:rsidR="00990B14" w:rsidRDefault="00000000">
            <w:pPr>
              <w:keepNext/>
              <w:spacing w:before="20" w:after="20"/>
              <w:jc w:val="center"/>
            </w:pPr>
            <w:r>
              <w:rPr>
                <w:b/>
                <w:bCs/>
                <w:i/>
                <w:iCs/>
                <w:color w:val="FFFFFF"/>
                <w:sz w:val="18"/>
                <w:szCs w:val="18"/>
              </w:rPr>
              <w:t>HE</w:t>
            </w:r>
          </w:p>
        </w:tc>
        <w:tc>
          <w:tcPr>
            <w:tcW w:w="1250" w:type="dxa"/>
            <w:gridSpan w:val="4"/>
            <w:shd w:val="clear" w:color="auto" w:fill="4472C4"/>
            <w:vAlign w:val="center"/>
          </w:tcPr>
          <w:p w14:paraId="29DA4799" w14:textId="77777777" w:rsidR="00990B14" w:rsidRDefault="00000000">
            <w:pPr>
              <w:keepNext/>
              <w:spacing w:before="20" w:after="20"/>
              <w:jc w:val="center"/>
            </w:pPr>
            <w:r>
              <w:rPr>
                <w:b/>
                <w:bCs/>
                <w:i/>
                <w:iCs/>
                <w:color w:val="FFFFFF"/>
                <w:sz w:val="18"/>
                <w:szCs w:val="18"/>
              </w:rPr>
              <w:t>TOTAL</w:t>
            </w:r>
          </w:p>
        </w:tc>
        <w:tc>
          <w:tcPr>
            <w:tcW w:w="1907" w:type="dxa"/>
            <w:vMerge w:val="restart"/>
            <w:shd w:val="clear" w:color="auto" w:fill="D9E2F3"/>
            <w:vAlign w:val="center"/>
          </w:tcPr>
          <w:p w14:paraId="35F98E00" w14:textId="77777777" w:rsidR="00990B14" w:rsidRDefault="00000000">
            <w:pPr>
              <w:spacing w:before="20" w:after="20"/>
              <w:jc w:val="center"/>
            </w:pPr>
            <w:r>
              <w:rPr>
                <w:sz w:val="18"/>
                <w:szCs w:val="18"/>
              </w:rPr>
              <w:t>9</w:t>
            </w:r>
          </w:p>
        </w:tc>
      </w:tr>
      <w:tr w:rsidR="00990B14" w14:paraId="1BE9B33C" w14:textId="77777777">
        <w:trPr>
          <w:cantSplit/>
          <w:jc w:val="center"/>
        </w:trPr>
        <w:tc>
          <w:tcPr>
            <w:tcW w:w="1249" w:type="dxa"/>
            <w:shd w:val="clear" w:color="auto" w:fill="D9E2F3"/>
            <w:vAlign w:val="center"/>
          </w:tcPr>
          <w:p w14:paraId="683BD81F" w14:textId="77777777" w:rsidR="00990B14" w:rsidRDefault="00000000">
            <w:pPr>
              <w:spacing w:before="20" w:after="20"/>
              <w:jc w:val="center"/>
            </w:pPr>
            <w:r>
              <w:rPr>
                <w:sz w:val="18"/>
                <w:szCs w:val="18"/>
              </w:rPr>
              <w:t>160</w:t>
            </w:r>
          </w:p>
        </w:tc>
        <w:tc>
          <w:tcPr>
            <w:tcW w:w="1249" w:type="dxa"/>
            <w:gridSpan w:val="2"/>
            <w:shd w:val="clear" w:color="auto" w:fill="D9E2F3"/>
            <w:vAlign w:val="center"/>
          </w:tcPr>
          <w:p w14:paraId="5ADEFBBF" w14:textId="77777777" w:rsidR="00990B14" w:rsidRDefault="00000000">
            <w:pPr>
              <w:spacing w:before="20" w:after="20"/>
              <w:jc w:val="center"/>
            </w:pPr>
            <w:r>
              <w:rPr>
                <w:sz w:val="18"/>
                <w:szCs w:val="18"/>
              </w:rPr>
              <w:t>14</w:t>
            </w:r>
          </w:p>
        </w:tc>
        <w:tc>
          <w:tcPr>
            <w:tcW w:w="1250" w:type="dxa"/>
            <w:gridSpan w:val="2"/>
            <w:shd w:val="clear" w:color="auto" w:fill="D9E2F3"/>
            <w:vAlign w:val="center"/>
          </w:tcPr>
          <w:p w14:paraId="376CAA1A" w14:textId="77777777" w:rsidR="00990B14" w:rsidRDefault="00000000">
            <w:pPr>
              <w:spacing w:before="20" w:after="20"/>
              <w:jc w:val="center"/>
            </w:pPr>
            <w:r>
              <w:rPr>
                <w:sz w:val="18"/>
                <w:szCs w:val="18"/>
              </w:rPr>
              <w:t>14</w:t>
            </w:r>
          </w:p>
        </w:tc>
        <w:tc>
          <w:tcPr>
            <w:tcW w:w="1250" w:type="dxa"/>
            <w:gridSpan w:val="2"/>
            <w:shd w:val="clear" w:color="auto" w:fill="D9E2F3"/>
            <w:vAlign w:val="center"/>
          </w:tcPr>
          <w:p w14:paraId="5EC66782" w14:textId="77777777" w:rsidR="00990B14" w:rsidRDefault="00000000">
            <w:pPr>
              <w:spacing w:before="20" w:after="20"/>
              <w:jc w:val="center"/>
            </w:pPr>
            <w:r>
              <w:rPr>
                <w:sz w:val="18"/>
                <w:szCs w:val="18"/>
              </w:rPr>
              <w:t>41</w:t>
            </w:r>
          </w:p>
        </w:tc>
        <w:tc>
          <w:tcPr>
            <w:tcW w:w="1250" w:type="dxa"/>
            <w:shd w:val="clear" w:color="auto" w:fill="D9E2F3"/>
            <w:vAlign w:val="center"/>
          </w:tcPr>
          <w:p w14:paraId="7C7DCBAD" w14:textId="77777777" w:rsidR="00990B14" w:rsidRDefault="00000000">
            <w:pPr>
              <w:spacing w:before="20" w:after="20"/>
              <w:jc w:val="center"/>
            </w:pPr>
            <w:r>
              <w:rPr>
                <w:sz w:val="18"/>
                <w:szCs w:val="18"/>
              </w:rPr>
              <w:t>41</w:t>
            </w:r>
          </w:p>
        </w:tc>
        <w:tc>
          <w:tcPr>
            <w:tcW w:w="1250" w:type="dxa"/>
            <w:gridSpan w:val="4"/>
            <w:shd w:val="clear" w:color="auto" w:fill="D9E2F3"/>
            <w:vAlign w:val="center"/>
          </w:tcPr>
          <w:p w14:paraId="00FBA9CE" w14:textId="77777777" w:rsidR="00990B14" w:rsidRDefault="00000000">
            <w:pPr>
              <w:spacing w:before="20" w:after="20"/>
              <w:jc w:val="center"/>
            </w:pPr>
            <w:r>
              <w:rPr>
                <w:sz w:val="18"/>
                <w:szCs w:val="18"/>
              </w:rPr>
              <w:t>270</w:t>
            </w:r>
          </w:p>
        </w:tc>
        <w:tc>
          <w:tcPr>
            <w:tcW w:w="1907" w:type="dxa"/>
            <w:vMerge/>
            <w:shd w:val="clear" w:color="auto" w:fill="D9E2F3"/>
            <w:vAlign w:val="center"/>
          </w:tcPr>
          <w:p w14:paraId="51AE0459" w14:textId="77777777" w:rsidR="00990B14" w:rsidRDefault="00990B14">
            <w:pPr>
              <w:spacing w:before="20" w:after="20"/>
            </w:pPr>
          </w:p>
        </w:tc>
      </w:tr>
      <w:tr w:rsidR="00990B14" w14:paraId="2E4FDFA9" w14:textId="77777777">
        <w:trPr>
          <w:cantSplit/>
          <w:jc w:val="center"/>
        </w:trPr>
        <w:tc>
          <w:tcPr>
            <w:tcW w:w="9405" w:type="dxa"/>
            <w:gridSpan w:val="13"/>
            <w:shd w:val="clear" w:color="auto" w:fill="4472C4"/>
            <w:vAlign w:val="center"/>
          </w:tcPr>
          <w:p w14:paraId="6F8DCF20" w14:textId="77777777" w:rsidR="00990B14" w:rsidRDefault="00000000">
            <w:pPr>
              <w:keepNext/>
              <w:spacing w:before="20" w:after="20"/>
              <w:jc w:val="center"/>
            </w:pPr>
            <w:r>
              <w:rPr>
                <w:b/>
                <w:bCs/>
                <w:i/>
                <w:iCs/>
                <w:color w:val="FFFFFF"/>
                <w:sz w:val="18"/>
                <w:szCs w:val="18"/>
              </w:rPr>
              <w:t>Unidad de Competencia</w:t>
            </w:r>
          </w:p>
        </w:tc>
      </w:tr>
      <w:tr w:rsidR="00990B14" w14:paraId="5388F2AE" w14:textId="77777777">
        <w:trPr>
          <w:cantSplit/>
          <w:jc w:val="center"/>
        </w:trPr>
        <w:tc>
          <w:tcPr>
            <w:tcW w:w="9405" w:type="dxa"/>
            <w:gridSpan w:val="13"/>
            <w:shd w:val="clear" w:color="auto" w:fill="D9E2F3"/>
            <w:vAlign w:val="center"/>
          </w:tcPr>
          <w:p w14:paraId="49441290" w14:textId="77777777" w:rsidR="00990B14" w:rsidRDefault="00000000">
            <w:pPr>
              <w:spacing w:before="20" w:after="20"/>
              <w:jc w:val="both"/>
            </w:pPr>
            <w:r>
              <w:rPr>
                <w:sz w:val="18"/>
                <w:szCs w:val="18"/>
              </w:rPr>
              <w:t>Evalúa operaciones de financiamiento e inversión del sistema financiero boliviano, aplicando los modelos del valor del dinero en el tiempo, calculando tasas, rentas, amortizaciones y valores de instrumentos financieros en hoja de cálculo e interpretando sus resultados y sus riesgos en la toma de decisiones, con rigor técnico, pensamiento crítico, ética profesional y apego a la normativa de la ASFI y del Banco Central de Bolivia.</w:t>
            </w:r>
          </w:p>
        </w:tc>
      </w:tr>
      <w:tr w:rsidR="00990B14" w14:paraId="0198FC7B" w14:textId="77777777">
        <w:trPr>
          <w:cantSplit/>
          <w:jc w:val="center"/>
        </w:trPr>
        <w:tc>
          <w:tcPr>
            <w:tcW w:w="9405" w:type="dxa"/>
            <w:gridSpan w:val="13"/>
            <w:shd w:val="clear" w:color="auto" w:fill="D9E2F3"/>
            <w:vAlign w:val="center"/>
          </w:tcPr>
          <w:p w14:paraId="47D2EB48" w14:textId="77777777" w:rsidR="00990B14" w:rsidRDefault="00000000">
            <w:pPr>
              <w:spacing w:before="20" w:after="20"/>
              <w:jc w:val="both"/>
            </w:pPr>
            <w:r>
              <w:rPr>
                <w:b/>
                <w:bCs/>
                <w:i/>
                <w:iCs/>
                <w:sz w:val="18"/>
                <w:szCs w:val="18"/>
              </w:rPr>
              <w:t xml:space="preserve">Elemento de competencia 1: </w:t>
            </w:r>
            <w:r>
              <w:rPr>
                <w:sz w:val="18"/>
                <w:szCs w:val="18"/>
              </w:rPr>
              <w:t>Aplica los modelos de interés simple y compuesto en operaciones de capitalización, descuento y equivalencia financiera, considerando la variación de tasas, los periodos fraccionarios y la inflación en el contexto comercial boliviano.</w:t>
            </w:r>
          </w:p>
        </w:tc>
      </w:tr>
      <w:tr w:rsidR="00990B14" w14:paraId="06E2F4FF" w14:textId="77777777">
        <w:trPr>
          <w:cantSplit/>
          <w:jc w:val="center"/>
        </w:trPr>
        <w:tc>
          <w:tcPr>
            <w:tcW w:w="3133" w:type="dxa"/>
            <w:gridSpan w:val="4"/>
            <w:shd w:val="clear" w:color="auto" w:fill="4472C4"/>
            <w:vAlign w:val="center"/>
          </w:tcPr>
          <w:p w14:paraId="651AAD8F"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4B812D9A"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35BF4C68" w14:textId="77777777" w:rsidR="00990B14" w:rsidRDefault="00000000">
            <w:pPr>
              <w:keepNext/>
              <w:spacing w:before="20" w:after="20"/>
              <w:jc w:val="center"/>
            </w:pPr>
            <w:r>
              <w:rPr>
                <w:b/>
                <w:bCs/>
                <w:i/>
                <w:iCs/>
                <w:color w:val="FFFFFF"/>
                <w:sz w:val="18"/>
                <w:szCs w:val="18"/>
              </w:rPr>
              <w:t>Evidencias de producto</w:t>
            </w:r>
          </w:p>
        </w:tc>
      </w:tr>
      <w:tr w:rsidR="00990B14" w14:paraId="72FFB311" w14:textId="77777777">
        <w:trPr>
          <w:cantSplit/>
          <w:jc w:val="center"/>
        </w:trPr>
        <w:tc>
          <w:tcPr>
            <w:tcW w:w="3133" w:type="dxa"/>
            <w:gridSpan w:val="4"/>
            <w:vMerge w:val="restart"/>
            <w:shd w:val="clear" w:color="auto" w:fill="D9E2F3"/>
            <w:vAlign w:val="center"/>
          </w:tcPr>
          <w:p w14:paraId="4BDD8B7D" w14:textId="77777777" w:rsidR="00990B14" w:rsidRDefault="00000000">
            <w:pPr>
              <w:spacing w:before="20" w:after="20"/>
              <w:jc w:val="both"/>
            </w:pPr>
            <w:r>
              <w:rPr>
                <w:sz w:val="18"/>
                <w:szCs w:val="18"/>
              </w:rPr>
              <w:t>1. Calcula el interés, el monto, el valor actual y el descuento de un capital a interés simple y compuesto, convirtiendo tasas nominales, efectivas y equivalentes según el periodo de capitalización.</w:t>
            </w:r>
          </w:p>
        </w:tc>
        <w:tc>
          <w:tcPr>
            <w:tcW w:w="3135" w:type="dxa"/>
            <w:gridSpan w:val="5"/>
            <w:shd w:val="clear" w:color="auto" w:fill="D9E2F3"/>
            <w:vAlign w:val="center"/>
          </w:tcPr>
          <w:p w14:paraId="0D3D24BD" w14:textId="77777777" w:rsidR="00990B14" w:rsidRDefault="00000000">
            <w:pPr>
              <w:spacing w:before="20" w:after="20"/>
              <w:jc w:val="both"/>
            </w:pPr>
            <w:r>
              <w:rPr>
                <w:sz w:val="18"/>
                <w:szCs w:val="18"/>
              </w:rPr>
              <w:t>1.1 Resuelve en aula ejercicios de capitalización y de descuento racional y comercial, y verifica los resultados en hoja de cálculo.</w:t>
            </w:r>
          </w:p>
        </w:tc>
        <w:tc>
          <w:tcPr>
            <w:tcW w:w="3137" w:type="dxa"/>
            <w:gridSpan w:val="4"/>
            <w:shd w:val="clear" w:color="auto" w:fill="D9E2F3"/>
            <w:vAlign w:val="center"/>
          </w:tcPr>
          <w:p w14:paraId="7DB71077" w14:textId="77777777" w:rsidR="00990B14" w:rsidRDefault="00000000">
            <w:pPr>
              <w:spacing w:before="20" w:after="20"/>
              <w:jc w:val="both"/>
            </w:pPr>
            <w:r>
              <w:rPr>
                <w:b/>
                <w:bCs/>
                <w:sz w:val="18"/>
                <w:szCs w:val="18"/>
              </w:rPr>
              <w:t xml:space="preserve">Producto 1: </w:t>
            </w:r>
            <w:r>
              <w:rPr>
                <w:sz w:val="18"/>
                <w:szCs w:val="18"/>
              </w:rPr>
              <w:t>Hoja de cálculo de capitalización y descuento a interés simple y compuesto.</w:t>
            </w:r>
          </w:p>
        </w:tc>
      </w:tr>
      <w:tr w:rsidR="00990B14" w14:paraId="53E5DE92" w14:textId="77777777">
        <w:trPr>
          <w:cantSplit/>
          <w:jc w:val="center"/>
        </w:trPr>
        <w:tc>
          <w:tcPr>
            <w:tcW w:w="3133" w:type="dxa"/>
            <w:gridSpan w:val="4"/>
            <w:vMerge/>
            <w:shd w:val="clear" w:color="auto" w:fill="D9E2F3"/>
            <w:vAlign w:val="center"/>
          </w:tcPr>
          <w:p w14:paraId="56858D88" w14:textId="77777777" w:rsidR="00990B14" w:rsidRDefault="00990B14">
            <w:pPr>
              <w:spacing w:before="20" w:after="20"/>
            </w:pPr>
          </w:p>
        </w:tc>
        <w:tc>
          <w:tcPr>
            <w:tcW w:w="3135" w:type="dxa"/>
            <w:gridSpan w:val="5"/>
            <w:shd w:val="clear" w:color="auto" w:fill="D9E2F3"/>
            <w:vAlign w:val="center"/>
          </w:tcPr>
          <w:p w14:paraId="5C938C12" w14:textId="77777777" w:rsidR="00990B14" w:rsidRDefault="00000000">
            <w:pPr>
              <w:spacing w:before="20" w:after="20"/>
              <w:jc w:val="both"/>
            </w:pPr>
            <w:r>
              <w:rPr>
                <w:sz w:val="18"/>
                <w:szCs w:val="18"/>
              </w:rPr>
              <w:t>1.2 Convierte en equipo tasas nominales, efectivas, equivalentes y de descuento de ofertas de crédito de entidades financieras.</w:t>
            </w:r>
          </w:p>
        </w:tc>
        <w:tc>
          <w:tcPr>
            <w:tcW w:w="3137" w:type="dxa"/>
            <w:gridSpan w:val="4"/>
            <w:shd w:val="clear" w:color="auto" w:fill="D9E2F3"/>
            <w:vAlign w:val="center"/>
          </w:tcPr>
          <w:p w14:paraId="23717D6F" w14:textId="77777777" w:rsidR="00990B14" w:rsidRDefault="00000000">
            <w:pPr>
              <w:spacing w:before="20" w:after="20"/>
              <w:jc w:val="both"/>
            </w:pPr>
            <w:r>
              <w:rPr>
                <w:b/>
                <w:bCs/>
                <w:sz w:val="18"/>
                <w:szCs w:val="18"/>
              </w:rPr>
              <w:t xml:space="preserve">Producto 2: </w:t>
            </w:r>
            <w:r>
              <w:rPr>
                <w:sz w:val="18"/>
                <w:szCs w:val="18"/>
              </w:rPr>
              <w:t>Cuadro de conversión de tasas nominales, efectivas y equivalentes.</w:t>
            </w:r>
          </w:p>
        </w:tc>
      </w:tr>
      <w:tr w:rsidR="00990B14" w14:paraId="012E4385" w14:textId="77777777">
        <w:trPr>
          <w:cantSplit/>
          <w:jc w:val="center"/>
        </w:trPr>
        <w:tc>
          <w:tcPr>
            <w:tcW w:w="3133" w:type="dxa"/>
            <w:gridSpan w:val="4"/>
            <w:vMerge w:val="restart"/>
            <w:shd w:val="clear" w:color="auto" w:fill="D9E2F3"/>
            <w:vAlign w:val="center"/>
          </w:tcPr>
          <w:p w14:paraId="34985950" w14:textId="77777777" w:rsidR="00990B14" w:rsidRDefault="00000000">
            <w:pPr>
              <w:spacing w:before="20" w:after="20"/>
              <w:jc w:val="both"/>
            </w:pPr>
            <w:r>
              <w:rPr>
                <w:sz w:val="18"/>
                <w:szCs w:val="18"/>
              </w:rPr>
              <w:t>2. Aplica ecuaciones de valor y la actualización por inflación en la reprogramación de obligaciones, determinando el costo efectivo de la financiación vía proveedores.</w:t>
            </w:r>
          </w:p>
        </w:tc>
        <w:tc>
          <w:tcPr>
            <w:tcW w:w="3135" w:type="dxa"/>
            <w:gridSpan w:val="5"/>
            <w:shd w:val="clear" w:color="auto" w:fill="D9E2F3"/>
            <w:vAlign w:val="center"/>
          </w:tcPr>
          <w:p w14:paraId="53A71679" w14:textId="77777777" w:rsidR="00990B14" w:rsidRDefault="00000000">
            <w:pPr>
              <w:spacing w:before="20" w:after="20"/>
              <w:jc w:val="both"/>
            </w:pPr>
            <w:r>
              <w:rPr>
                <w:sz w:val="18"/>
                <w:szCs w:val="18"/>
              </w:rPr>
              <w:t>2.1 Expone en equipo la reprogramación de una deuda comercial planteada con ecuaciones de valor.</w:t>
            </w:r>
          </w:p>
        </w:tc>
        <w:tc>
          <w:tcPr>
            <w:tcW w:w="3137" w:type="dxa"/>
            <w:gridSpan w:val="4"/>
            <w:shd w:val="clear" w:color="auto" w:fill="D9E2F3"/>
            <w:vAlign w:val="center"/>
          </w:tcPr>
          <w:p w14:paraId="4C15F394" w14:textId="77777777" w:rsidR="00990B14" w:rsidRDefault="00000000">
            <w:pPr>
              <w:spacing w:before="20" w:after="20"/>
              <w:jc w:val="both"/>
            </w:pPr>
            <w:r>
              <w:rPr>
                <w:b/>
                <w:bCs/>
                <w:sz w:val="18"/>
                <w:szCs w:val="18"/>
              </w:rPr>
              <w:t xml:space="preserve">Producto 3: </w:t>
            </w:r>
            <w:r>
              <w:rPr>
                <w:sz w:val="18"/>
                <w:szCs w:val="18"/>
              </w:rPr>
              <w:t>Informe de reprogramación de una deuda con ecuaciones de valor.</w:t>
            </w:r>
          </w:p>
        </w:tc>
      </w:tr>
      <w:tr w:rsidR="00990B14" w14:paraId="0E5E21D9" w14:textId="77777777">
        <w:trPr>
          <w:cantSplit/>
          <w:jc w:val="center"/>
        </w:trPr>
        <w:tc>
          <w:tcPr>
            <w:tcW w:w="3133" w:type="dxa"/>
            <w:gridSpan w:val="4"/>
            <w:vMerge/>
            <w:shd w:val="clear" w:color="auto" w:fill="D9E2F3"/>
            <w:vAlign w:val="center"/>
          </w:tcPr>
          <w:p w14:paraId="66E0F51E" w14:textId="77777777" w:rsidR="00990B14" w:rsidRDefault="00990B14">
            <w:pPr>
              <w:spacing w:before="20" w:after="20"/>
            </w:pPr>
          </w:p>
        </w:tc>
        <w:tc>
          <w:tcPr>
            <w:tcW w:w="3135" w:type="dxa"/>
            <w:gridSpan w:val="5"/>
            <w:shd w:val="clear" w:color="auto" w:fill="D9E2F3"/>
            <w:vAlign w:val="center"/>
          </w:tcPr>
          <w:p w14:paraId="5F287BC1" w14:textId="77777777" w:rsidR="00990B14" w:rsidRDefault="00000000">
            <w:pPr>
              <w:spacing w:before="20" w:after="20"/>
              <w:jc w:val="both"/>
            </w:pPr>
            <w:r>
              <w:rPr>
                <w:sz w:val="18"/>
                <w:szCs w:val="18"/>
              </w:rPr>
              <w:t>2.2 Calcula en aula la tasa real de una operación y actualiza un monto en bolivianos con la Unidad de Fomento de Vivienda.</w:t>
            </w:r>
          </w:p>
        </w:tc>
        <w:tc>
          <w:tcPr>
            <w:tcW w:w="3137" w:type="dxa"/>
            <w:gridSpan w:val="4"/>
            <w:shd w:val="clear" w:color="auto" w:fill="D9E2F3"/>
            <w:vAlign w:val="center"/>
          </w:tcPr>
          <w:p w14:paraId="2F208A15" w14:textId="77777777" w:rsidR="00990B14" w:rsidRDefault="00000000">
            <w:pPr>
              <w:spacing w:before="20" w:after="20"/>
              <w:jc w:val="both"/>
            </w:pPr>
            <w:r>
              <w:rPr>
                <w:b/>
                <w:bCs/>
                <w:sz w:val="18"/>
                <w:szCs w:val="18"/>
              </w:rPr>
              <w:t xml:space="preserve">Producto 4: </w:t>
            </w:r>
            <w:r>
              <w:rPr>
                <w:sz w:val="18"/>
                <w:szCs w:val="18"/>
              </w:rPr>
              <w:t>Planilla de actualización de obligaciones con la Unidad de Fomento de Vivienda y cálculo de la tasa real.</w:t>
            </w:r>
          </w:p>
        </w:tc>
      </w:tr>
      <w:tr w:rsidR="00990B14" w14:paraId="145A7D8D" w14:textId="77777777">
        <w:trPr>
          <w:cantSplit/>
          <w:jc w:val="center"/>
        </w:trPr>
        <w:tc>
          <w:tcPr>
            <w:tcW w:w="9405" w:type="dxa"/>
            <w:gridSpan w:val="13"/>
            <w:shd w:val="clear" w:color="auto" w:fill="4472C4"/>
            <w:vAlign w:val="center"/>
          </w:tcPr>
          <w:p w14:paraId="4C45299E" w14:textId="77777777" w:rsidR="00990B14" w:rsidRDefault="00000000">
            <w:pPr>
              <w:keepNext/>
              <w:spacing w:before="20" w:after="20"/>
              <w:jc w:val="center"/>
            </w:pPr>
            <w:r>
              <w:rPr>
                <w:b/>
                <w:bCs/>
                <w:i/>
                <w:iCs/>
                <w:color w:val="FFFFFF"/>
                <w:sz w:val="18"/>
                <w:szCs w:val="18"/>
              </w:rPr>
              <w:t>Evidencias de conocimiento</w:t>
            </w:r>
          </w:p>
        </w:tc>
      </w:tr>
      <w:tr w:rsidR="00990B14" w14:paraId="7F4B5503" w14:textId="77777777">
        <w:trPr>
          <w:cantSplit/>
          <w:jc w:val="center"/>
        </w:trPr>
        <w:tc>
          <w:tcPr>
            <w:tcW w:w="2349" w:type="dxa"/>
            <w:gridSpan w:val="2"/>
            <w:shd w:val="clear" w:color="auto" w:fill="4472C4"/>
            <w:vAlign w:val="center"/>
          </w:tcPr>
          <w:p w14:paraId="6E8F33F5"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06C91E84" w14:textId="77777777" w:rsidR="00990B14" w:rsidRDefault="00000000">
            <w:pPr>
              <w:keepNext/>
              <w:spacing w:before="20" w:after="20"/>
              <w:jc w:val="both"/>
            </w:pPr>
            <w:r>
              <w:rPr>
                <w:b/>
                <w:bCs/>
                <w:i/>
                <w:iCs/>
                <w:color w:val="FFFFFF"/>
                <w:sz w:val="18"/>
                <w:szCs w:val="18"/>
              </w:rPr>
              <w:t>Contenidos</w:t>
            </w:r>
          </w:p>
          <w:p w14:paraId="6CA45FA1"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78F58DBC" w14:textId="77777777" w:rsidR="00990B14" w:rsidRDefault="00000000">
            <w:pPr>
              <w:keepNext/>
              <w:spacing w:before="20" w:after="20"/>
              <w:jc w:val="center"/>
            </w:pPr>
            <w:r>
              <w:rPr>
                <w:b/>
                <w:bCs/>
                <w:i/>
                <w:iCs/>
                <w:color w:val="FFFFFF"/>
                <w:sz w:val="18"/>
                <w:szCs w:val="18"/>
              </w:rPr>
              <w:t>Conocimientos circunstanciales</w:t>
            </w:r>
          </w:p>
        </w:tc>
      </w:tr>
      <w:tr w:rsidR="00990B14" w14:paraId="575ECC74" w14:textId="77777777">
        <w:trPr>
          <w:jc w:val="center"/>
        </w:trPr>
        <w:tc>
          <w:tcPr>
            <w:tcW w:w="2349" w:type="dxa"/>
            <w:gridSpan w:val="2"/>
            <w:shd w:val="clear" w:color="auto" w:fill="D9E2F3"/>
          </w:tcPr>
          <w:p w14:paraId="08094DB4" w14:textId="77777777" w:rsidR="00990B14" w:rsidRDefault="00000000">
            <w:pPr>
              <w:spacing w:before="20" w:after="40"/>
              <w:jc w:val="both"/>
            </w:pPr>
            <w:r>
              <w:rPr>
                <w:sz w:val="18"/>
                <w:szCs w:val="18"/>
              </w:rPr>
              <w:t>Tema 1: Operaciones a interés simple</w:t>
            </w:r>
          </w:p>
          <w:p w14:paraId="67F69E5F" w14:textId="77777777" w:rsidR="00990B14" w:rsidRDefault="00000000">
            <w:pPr>
              <w:spacing w:before="20" w:after="40"/>
              <w:jc w:val="both"/>
            </w:pPr>
            <w:r>
              <w:rPr>
                <w:sz w:val="18"/>
                <w:szCs w:val="18"/>
              </w:rPr>
              <w:t>Tema 2: Operaciones a interés compuesto</w:t>
            </w:r>
          </w:p>
        </w:tc>
        <w:tc>
          <w:tcPr>
            <w:tcW w:w="4304" w:type="dxa"/>
            <w:gridSpan w:val="8"/>
            <w:shd w:val="clear" w:color="auto" w:fill="D9E2F3"/>
          </w:tcPr>
          <w:p w14:paraId="7B269440" w14:textId="77777777" w:rsidR="00990B14" w:rsidRDefault="00000000">
            <w:pPr>
              <w:spacing w:after="40"/>
              <w:jc w:val="both"/>
            </w:pPr>
            <w:r>
              <w:rPr>
                <w:sz w:val="18"/>
                <w:szCs w:val="18"/>
              </w:rPr>
              <w:t>El interés y la capitalización simple: fórmula del interés simple, montante y valor final de un capital. (C)</w:t>
            </w:r>
          </w:p>
          <w:p w14:paraId="1212511E" w14:textId="77777777" w:rsidR="00990B14" w:rsidRDefault="00000000">
            <w:pPr>
              <w:spacing w:after="40"/>
              <w:jc w:val="both"/>
            </w:pPr>
            <w:r>
              <w:rPr>
                <w:sz w:val="18"/>
                <w:szCs w:val="18"/>
              </w:rPr>
              <w:t>Descuento simple y valor actual de un capital: descuento racional y descuento comercial. (C)</w:t>
            </w:r>
          </w:p>
          <w:p w14:paraId="63BE94BC" w14:textId="77777777" w:rsidR="00990B14" w:rsidRDefault="00000000">
            <w:pPr>
              <w:spacing w:after="40"/>
              <w:jc w:val="both"/>
            </w:pPr>
            <w:r>
              <w:rPr>
                <w:sz w:val="18"/>
                <w:szCs w:val="18"/>
              </w:rPr>
              <w:t>Tipo de interés equivalente a tipo de descuento y tasas de recargo. (C)</w:t>
            </w:r>
          </w:p>
          <w:p w14:paraId="215CC9EA" w14:textId="77777777" w:rsidR="00990B14" w:rsidRDefault="00000000">
            <w:pPr>
              <w:spacing w:after="40"/>
              <w:jc w:val="both"/>
            </w:pPr>
            <w:r>
              <w:rPr>
                <w:sz w:val="18"/>
                <w:szCs w:val="18"/>
              </w:rPr>
              <w:t>La inflación y su efecto sobre el tipo de interés. (C)</w:t>
            </w:r>
          </w:p>
          <w:p w14:paraId="7FBAD2C5" w14:textId="77777777" w:rsidR="00990B14" w:rsidRDefault="00000000">
            <w:pPr>
              <w:spacing w:after="40"/>
              <w:jc w:val="both"/>
            </w:pPr>
            <w:r>
              <w:rPr>
                <w:sz w:val="18"/>
                <w:szCs w:val="18"/>
              </w:rPr>
              <w:t>Actualización de montos con la inflación: Unidad de Fomento de Vivienda (UFV). (C)</w:t>
            </w:r>
          </w:p>
          <w:p w14:paraId="3D34DBAF" w14:textId="77777777" w:rsidR="00990B14" w:rsidRDefault="00000000">
            <w:pPr>
              <w:spacing w:after="40"/>
              <w:jc w:val="both"/>
            </w:pPr>
            <w:r>
              <w:rPr>
                <w:sz w:val="18"/>
                <w:szCs w:val="18"/>
              </w:rPr>
              <w:t>Vencimiento medio, vencimiento común y pagos parciales. (C)</w:t>
            </w:r>
          </w:p>
          <w:p w14:paraId="2FDC95D4" w14:textId="77777777" w:rsidR="00990B14" w:rsidRDefault="00000000">
            <w:pPr>
              <w:spacing w:after="40"/>
              <w:jc w:val="both"/>
            </w:pPr>
            <w:r>
              <w:rPr>
                <w:sz w:val="18"/>
                <w:szCs w:val="18"/>
              </w:rPr>
              <w:t>El costo de la financiación vía proveedores. (C)</w:t>
            </w:r>
          </w:p>
          <w:p w14:paraId="3C6CA3E8" w14:textId="77777777" w:rsidR="00990B14" w:rsidRDefault="00000000">
            <w:pPr>
              <w:spacing w:after="40"/>
              <w:jc w:val="both"/>
            </w:pPr>
            <w:r>
              <w:rPr>
                <w:sz w:val="18"/>
                <w:szCs w:val="18"/>
              </w:rPr>
              <w:t>Interés compuesto: capitalización y actualización para periodos enteros y fraccionarios. (C)</w:t>
            </w:r>
          </w:p>
          <w:p w14:paraId="2ED8D678" w14:textId="77777777" w:rsidR="00990B14" w:rsidRDefault="00000000">
            <w:pPr>
              <w:spacing w:after="40"/>
              <w:jc w:val="both"/>
            </w:pPr>
            <w:r>
              <w:rPr>
                <w:sz w:val="18"/>
                <w:szCs w:val="18"/>
              </w:rPr>
              <w:t>Capitalización y actualización cuando varía el tipo de interés; fórmula general del interés compuesto. (C)</w:t>
            </w:r>
          </w:p>
          <w:p w14:paraId="4FA8959B" w14:textId="77777777" w:rsidR="00990B14" w:rsidRDefault="00000000">
            <w:pPr>
              <w:spacing w:after="40"/>
              <w:jc w:val="both"/>
            </w:pPr>
            <w:r>
              <w:rPr>
                <w:sz w:val="18"/>
                <w:szCs w:val="18"/>
              </w:rPr>
              <w:t>Capitalización continua del interés. (C)</w:t>
            </w:r>
          </w:p>
          <w:p w14:paraId="11803740" w14:textId="77777777" w:rsidR="00990B14" w:rsidRDefault="00000000">
            <w:pPr>
              <w:spacing w:after="40"/>
              <w:jc w:val="both"/>
            </w:pPr>
            <w:r>
              <w:rPr>
                <w:sz w:val="18"/>
                <w:szCs w:val="18"/>
              </w:rPr>
              <w:t>Descuento racional y comercial compuesto. (C)</w:t>
            </w:r>
          </w:p>
          <w:p w14:paraId="7ED440DA" w14:textId="77777777" w:rsidR="00990B14" w:rsidRDefault="00000000">
            <w:pPr>
              <w:spacing w:after="40"/>
              <w:jc w:val="both"/>
            </w:pPr>
            <w:r>
              <w:rPr>
                <w:sz w:val="18"/>
                <w:szCs w:val="18"/>
              </w:rPr>
              <w:t>Ecuaciones de valor equivalentes. (C)</w:t>
            </w:r>
          </w:p>
          <w:p w14:paraId="2FC8EAA6" w14:textId="77777777" w:rsidR="00990B14" w:rsidRDefault="00000000">
            <w:pPr>
              <w:spacing w:after="40"/>
              <w:jc w:val="both"/>
            </w:pPr>
            <w:r>
              <w:rPr>
                <w:sz w:val="18"/>
                <w:szCs w:val="18"/>
              </w:rPr>
              <w:t>Aplicaciones en Excel y casos prácticos, con la verificación y la trazabilidad de los cálculos. (P, T)</w:t>
            </w:r>
          </w:p>
        </w:tc>
        <w:tc>
          <w:tcPr>
            <w:tcW w:w="2752" w:type="dxa"/>
            <w:gridSpan w:val="3"/>
            <w:shd w:val="clear" w:color="auto" w:fill="D9E2F3"/>
          </w:tcPr>
          <w:p w14:paraId="49DEBB18" w14:textId="77777777" w:rsidR="00990B14" w:rsidRDefault="00000000">
            <w:pPr>
              <w:numPr>
                <w:ilvl w:val="0"/>
                <w:numId w:val="139"/>
              </w:numPr>
              <w:spacing w:before="10" w:after="10"/>
              <w:jc w:val="both"/>
            </w:pPr>
            <w:r>
              <w:rPr>
                <w:sz w:val="18"/>
                <w:szCs w:val="18"/>
              </w:rPr>
              <w:t>Cómputo de días entre fechas con el año comercial y el año civil.</w:t>
            </w:r>
          </w:p>
          <w:p w14:paraId="00BC6AEE" w14:textId="77777777" w:rsidR="00990B14" w:rsidRDefault="00000000">
            <w:pPr>
              <w:numPr>
                <w:ilvl w:val="0"/>
                <w:numId w:val="139"/>
              </w:numPr>
              <w:spacing w:before="10" w:after="10"/>
              <w:jc w:val="both"/>
            </w:pPr>
            <w:r>
              <w:rPr>
                <w:sz w:val="18"/>
                <w:szCs w:val="18"/>
              </w:rPr>
              <w:t>Nociones de los plazos y las condiciones de pago del comercio a crédito.</w:t>
            </w:r>
          </w:p>
        </w:tc>
      </w:tr>
      <w:tr w:rsidR="00990B14" w14:paraId="3F331034" w14:textId="77777777">
        <w:trPr>
          <w:cantSplit/>
          <w:jc w:val="center"/>
        </w:trPr>
        <w:tc>
          <w:tcPr>
            <w:tcW w:w="9405" w:type="dxa"/>
            <w:gridSpan w:val="13"/>
            <w:shd w:val="clear" w:color="auto" w:fill="D9E2F3"/>
            <w:vAlign w:val="center"/>
          </w:tcPr>
          <w:p w14:paraId="6AD66D7C" w14:textId="77777777" w:rsidR="00990B14" w:rsidRDefault="00000000">
            <w:pPr>
              <w:spacing w:before="20" w:after="20"/>
              <w:jc w:val="both"/>
            </w:pPr>
            <w:r>
              <w:rPr>
                <w:b/>
                <w:bCs/>
                <w:i/>
                <w:iCs/>
                <w:sz w:val="18"/>
                <w:szCs w:val="18"/>
              </w:rPr>
              <w:t xml:space="preserve">Elemento de competencia 2: </w:t>
            </w:r>
            <w:r>
              <w:rPr>
                <w:sz w:val="18"/>
                <w:szCs w:val="18"/>
              </w:rPr>
              <w:t>Valora rentas constantes y variables en sus distintas modalidades, determinando su valor actual, su valor final y sus variables implícitas en operaciones de ahorro, crédito y financiamiento.</w:t>
            </w:r>
          </w:p>
        </w:tc>
      </w:tr>
      <w:tr w:rsidR="00990B14" w14:paraId="5D601662" w14:textId="77777777">
        <w:trPr>
          <w:cantSplit/>
          <w:jc w:val="center"/>
        </w:trPr>
        <w:tc>
          <w:tcPr>
            <w:tcW w:w="3133" w:type="dxa"/>
            <w:gridSpan w:val="4"/>
            <w:shd w:val="clear" w:color="auto" w:fill="4472C4"/>
            <w:vAlign w:val="center"/>
          </w:tcPr>
          <w:p w14:paraId="250172EF"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43A2FEB6"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5F125552" w14:textId="77777777" w:rsidR="00990B14" w:rsidRDefault="00000000">
            <w:pPr>
              <w:keepNext/>
              <w:spacing w:before="20" w:after="20"/>
              <w:jc w:val="center"/>
            </w:pPr>
            <w:r>
              <w:rPr>
                <w:b/>
                <w:bCs/>
                <w:i/>
                <w:iCs/>
                <w:color w:val="FFFFFF"/>
                <w:sz w:val="18"/>
                <w:szCs w:val="18"/>
              </w:rPr>
              <w:t>Evidencias de producto</w:t>
            </w:r>
          </w:p>
        </w:tc>
      </w:tr>
      <w:tr w:rsidR="00990B14" w14:paraId="1D1C3F98" w14:textId="77777777">
        <w:trPr>
          <w:cantSplit/>
          <w:jc w:val="center"/>
        </w:trPr>
        <w:tc>
          <w:tcPr>
            <w:tcW w:w="3133" w:type="dxa"/>
            <w:gridSpan w:val="4"/>
            <w:vMerge w:val="restart"/>
            <w:shd w:val="clear" w:color="auto" w:fill="D9E2F3"/>
            <w:vAlign w:val="center"/>
          </w:tcPr>
          <w:p w14:paraId="4A47A782" w14:textId="77777777" w:rsidR="00990B14" w:rsidRDefault="00000000">
            <w:pPr>
              <w:spacing w:before="20" w:after="20"/>
              <w:jc w:val="both"/>
            </w:pPr>
            <w:r>
              <w:rPr>
                <w:sz w:val="18"/>
                <w:szCs w:val="18"/>
              </w:rPr>
              <w:t>1. Calcula el valor actual y el valor final de rentas vencidas, anticipadas, diferidas y perpetuas, clasificándolas según su cuantía, su momento de pago y su duración.</w:t>
            </w:r>
          </w:p>
        </w:tc>
        <w:tc>
          <w:tcPr>
            <w:tcW w:w="3135" w:type="dxa"/>
            <w:gridSpan w:val="5"/>
            <w:shd w:val="clear" w:color="auto" w:fill="D9E2F3"/>
            <w:vAlign w:val="center"/>
          </w:tcPr>
          <w:p w14:paraId="39F2145F" w14:textId="77777777" w:rsidR="00990B14" w:rsidRDefault="00000000">
            <w:pPr>
              <w:spacing w:before="20" w:after="20"/>
              <w:jc w:val="both"/>
            </w:pPr>
            <w:r>
              <w:rPr>
                <w:sz w:val="18"/>
                <w:szCs w:val="18"/>
              </w:rPr>
              <w:t>1.1 Resuelve en aula casos de ahorro programado y de compras a plazo con rentas constantes.</w:t>
            </w:r>
          </w:p>
        </w:tc>
        <w:tc>
          <w:tcPr>
            <w:tcW w:w="3137" w:type="dxa"/>
            <w:gridSpan w:val="4"/>
            <w:shd w:val="clear" w:color="auto" w:fill="D9E2F3"/>
            <w:vAlign w:val="center"/>
          </w:tcPr>
          <w:p w14:paraId="17045ACE" w14:textId="77777777" w:rsidR="00990B14" w:rsidRDefault="00000000">
            <w:pPr>
              <w:spacing w:before="20" w:after="20"/>
              <w:jc w:val="both"/>
            </w:pPr>
            <w:r>
              <w:rPr>
                <w:b/>
                <w:bCs/>
                <w:sz w:val="18"/>
                <w:szCs w:val="18"/>
              </w:rPr>
              <w:t xml:space="preserve">Producto 5: </w:t>
            </w:r>
            <w:r>
              <w:rPr>
                <w:sz w:val="18"/>
                <w:szCs w:val="18"/>
              </w:rPr>
              <w:t>Práctico de valoración de rentas constantes vencidas, anticipadas, diferidas y perpetuas.</w:t>
            </w:r>
          </w:p>
        </w:tc>
      </w:tr>
      <w:tr w:rsidR="00990B14" w14:paraId="544F43D6" w14:textId="77777777">
        <w:trPr>
          <w:cantSplit/>
          <w:jc w:val="center"/>
        </w:trPr>
        <w:tc>
          <w:tcPr>
            <w:tcW w:w="3133" w:type="dxa"/>
            <w:gridSpan w:val="4"/>
            <w:vMerge/>
            <w:shd w:val="clear" w:color="auto" w:fill="D9E2F3"/>
            <w:vAlign w:val="center"/>
          </w:tcPr>
          <w:p w14:paraId="5FC06AE1" w14:textId="77777777" w:rsidR="00990B14" w:rsidRDefault="00990B14">
            <w:pPr>
              <w:spacing w:before="20" w:after="20"/>
            </w:pPr>
          </w:p>
        </w:tc>
        <w:tc>
          <w:tcPr>
            <w:tcW w:w="3135" w:type="dxa"/>
            <w:gridSpan w:val="5"/>
            <w:shd w:val="clear" w:color="auto" w:fill="D9E2F3"/>
            <w:vAlign w:val="center"/>
          </w:tcPr>
          <w:p w14:paraId="73D13092" w14:textId="77777777" w:rsidR="00990B14" w:rsidRDefault="00000000">
            <w:pPr>
              <w:spacing w:before="20" w:after="20"/>
              <w:jc w:val="both"/>
            </w:pPr>
            <w:r>
              <w:rPr>
                <w:sz w:val="18"/>
                <w:szCs w:val="18"/>
              </w:rPr>
              <w:t>1.2 Determina en equipo la cuota, el plazo y la tasa implícita de una venta a plazos de una casa comercial.</w:t>
            </w:r>
          </w:p>
        </w:tc>
        <w:tc>
          <w:tcPr>
            <w:tcW w:w="3137" w:type="dxa"/>
            <w:gridSpan w:val="4"/>
            <w:shd w:val="clear" w:color="auto" w:fill="D9E2F3"/>
            <w:vAlign w:val="center"/>
          </w:tcPr>
          <w:p w14:paraId="3B415464" w14:textId="77777777" w:rsidR="00990B14" w:rsidRDefault="00000000">
            <w:pPr>
              <w:spacing w:before="20" w:after="20"/>
              <w:jc w:val="both"/>
            </w:pPr>
            <w:r>
              <w:rPr>
                <w:b/>
                <w:bCs/>
                <w:sz w:val="18"/>
                <w:szCs w:val="18"/>
              </w:rPr>
              <w:t xml:space="preserve">Producto 6: </w:t>
            </w:r>
            <w:r>
              <w:rPr>
                <w:sz w:val="18"/>
                <w:szCs w:val="18"/>
              </w:rPr>
              <w:t>Caso resuelto de venta a plazos con su cuota, su plazo y su tasa implícita.</w:t>
            </w:r>
          </w:p>
        </w:tc>
      </w:tr>
      <w:tr w:rsidR="00990B14" w14:paraId="0E0C64B7" w14:textId="77777777">
        <w:trPr>
          <w:cantSplit/>
          <w:jc w:val="center"/>
        </w:trPr>
        <w:tc>
          <w:tcPr>
            <w:tcW w:w="3133" w:type="dxa"/>
            <w:gridSpan w:val="4"/>
            <w:vMerge w:val="restart"/>
            <w:shd w:val="clear" w:color="auto" w:fill="D9E2F3"/>
            <w:vAlign w:val="center"/>
          </w:tcPr>
          <w:p w14:paraId="7FEA5BD4" w14:textId="77777777" w:rsidR="00990B14" w:rsidRDefault="00000000">
            <w:pPr>
              <w:spacing w:before="20" w:after="20"/>
              <w:jc w:val="both"/>
            </w:pPr>
            <w:r>
              <w:rPr>
                <w:sz w:val="18"/>
                <w:szCs w:val="18"/>
              </w:rPr>
              <w:t>2. Valora rentas en progresión aritmética y geométrica, comparando su resultado con el de una renta constante para un mismo objetivo financiero.</w:t>
            </w:r>
          </w:p>
        </w:tc>
        <w:tc>
          <w:tcPr>
            <w:tcW w:w="3135" w:type="dxa"/>
            <w:gridSpan w:val="5"/>
            <w:shd w:val="clear" w:color="auto" w:fill="D9E2F3"/>
            <w:vAlign w:val="center"/>
          </w:tcPr>
          <w:p w14:paraId="5CD1D437" w14:textId="77777777" w:rsidR="00990B14" w:rsidRDefault="00000000">
            <w:pPr>
              <w:spacing w:before="20" w:after="20"/>
              <w:jc w:val="both"/>
            </w:pPr>
            <w:r>
              <w:rPr>
                <w:sz w:val="18"/>
                <w:szCs w:val="18"/>
              </w:rPr>
              <w:t>2.1 Elabora en el laboratorio de cómputo un simulador de ahorro con escenarios de renta constante, aritmética y geométrica.</w:t>
            </w:r>
          </w:p>
        </w:tc>
        <w:tc>
          <w:tcPr>
            <w:tcW w:w="3137" w:type="dxa"/>
            <w:gridSpan w:val="4"/>
            <w:shd w:val="clear" w:color="auto" w:fill="D9E2F3"/>
            <w:vAlign w:val="center"/>
          </w:tcPr>
          <w:p w14:paraId="78C73A16" w14:textId="77777777" w:rsidR="00990B14" w:rsidRDefault="00000000">
            <w:pPr>
              <w:spacing w:before="20" w:after="20"/>
              <w:jc w:val="both"/>
            </w:pPr>
            <w:r>
              <w:rPr>
                <w:b/>
                <w:bCs/>
                <w:sz w:val="18"/>
                <w:szCs w:val="18"/>
              </w:rPr>
              <w:t xml:space="preserve">Producto 7: </w:t>
            </w:r>
            <w:r>
              <w:rPr>
                <w:sz w:val="18"/>
                <w:szCs w:val="18"/>
              </w:rPr>
              <w:t>Simulador de ahorro con rentas constantes y variables.</w:t>
            </w:r>
          </w:p>
        </w:tc>
      </w:tr>
      <w:tr w:rsidR="00990B14" w14:paraId="68D52506" w14:textId="77777777">
        <w:trPr>
          <w:cantSplit/>
          <w:jc w:val="center"/>
        </w:trPr>
        <w:tc>
          <w:tcPr>
            <w:tcW w:w="3133" w:type="dxa"/>
            <w:gridSpan w:val="4"/>
            <w:vMerge/>
            <w:shd w:val="clear" w:color="auto" w:fill="D9E2F3"/>
            <w:vAlign w:val="center"/>
          </w:tcPr>
          <w:p w14:paraId="0C808ABD" w14:textId="77777777" w:rsidR="00990B14" w:rsidRDefault="00990B14">
            <w:pPr>
              <w:spacing w:before="20" w:after="20"/>
            </w:pPr>
          </w:p>
        </w:tc>
        <w:tc>
          <w:tcPr>
            <w:tcW w:w="3135" w:type="dxa"/>
            <w:gridSpan w:val="5"/>
            <w:shd w:val="clear" w:color="auto" w:fill="D9E2F3"/>
            <w:vAlign w:val="center"/>
          </w:tcPr>
          <w:p w14:paraId="3A57285D" w14:textId="77777777" w:rsidR="00990B14" w:rsidRDefault="00000000">
            <w:pPr>
              <w:spacing w:before="20" w:after="20"/>
              <w:jc w:val="both"/>
            </w:pPr>
            <w:r>
              <w:rPr>
                <w:sz w:val="18"/>
                <w:szCs w:val="18"/>
              </w:rPr>
              <w:t>2.2 Contrasta ante el curso una renta creciente y una renta constante aplicadas al pago de un arrendamiento.</w:t>
            </w:r>
          </w:p>
        </w:tc>
        <w:tc>
          <w:tcPr>
            <w:tcW w:w="3137" w:type="dxa"/>
            <w:gridSpan w:val="4"/>
            <w:shd w:val="clear" w:color="auto" w:fill="D9E2F3"/>
            <w:vAlign w:val="center"/>
          </w:tcPr>
          <w:p w14:paraId="3CB43800" w14:textId="77777777" w:rsidR="00990B14" w:rsidRDefault="00000000">
            <w:pPr>
              <w:spacing w:before="20" w:after="20"/>
              <w:jc w:val="both"/>
            </w:pPr>
            <w:r>
              <w:rPr>
                <w:b/>
                <w:bCs/>
                <w:sz w:val="18"/>
                <w:szCs w:val="18"/>
              </w:rPr>
              <w:t xml:space="preserve">Producto 8: </w:t>
            </w:r>
            <w:r>
              <w:rPr>
                <w:sz w:val="18"/>
                <w:szCs w:val="18"/>
              </w:rPr>
              <w:t>Cuadro comparativo de rentas constantes y variables de un arrendamiento.</w:t>
            </w:r>
          </w:p>
        </w:tc>
      </w:tr>
      <w:tr w:rsidR="00990B14" w14:paraId="4464AE61" w14:textId="77777777">
        <w:trPr>
          <w:cantSplit/>
          <w:jc w:val="center"/>
        </w:trPr>
        <w:tc>
          <w:tcPr>
            <w:tcW w:w="9405" w:type="dxa"/>
            <w:gridSpan w:val="13"/>
            <w:shd w:val="clear" w:color="auto" w:fill="4472C4"/>
            <w:vAlign w:val="center"/>
          </w:tcPr>
          <w:p w14:paraId="53FA4CE4" w14:textId="77777777" w:rsidR="00990B14" w:rsidRDefault="00000000">
            <w:pPr>
              <w:keepNext/>
              <w:spacing w:before="20" w:after="20"/>
              <w:jc w:val="center"/>
            </w:pPr>
            <w:r>
              <w:rPr>
                <w:b/>
                <w:bCs/>
                <w:i/>
                <w:iCs/>
                <w:color w:val="FFFFFF"/>
                <w:sz w:val="18"/>
                <w:szCs w:val="18"/>
              </w:rPr>
              <w:t>Evidencias de conocimiento</w:t>
            </w:r>
          </w:p>
        </w:tc>
      </w:tr>
      <w:tr w:rsidR="00990B14" w14:paraId="74D61B30" w14:textId="77777777">
        <w:trPr>
          <w:cantSplit/>
          <w:jc w:val="center"/>
        </w:trPr>
        <w:tc>
          <w:tcPr>
            <w:tcW w:w="2349" w:type="dxa"/>
            <w:gridSpan w:val="2"/>
            <w:shd w:val="clear" w:color="auto" w:fill="4472C4"/>
            <w:vAlign w:val="center"/>
          </w:tcPr>
          <w:p w14:paraId="65829A20"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5E5FA420" w14:textId="77777777" w:rsidR="00990B14" w:rsidRDefault="00000000">
            <w:pPr>
              <w:keepNext/>
              <w:spacing w:before="20" w:after="20"/>
              <w:jc w:val="both"/>
            </w:pPr>
            <w:r>
              <w:rPr>
                <w:b/>
                <w:bCs/>
                <w:i/>
                <w:iCs/>
                <w:color w:val="FFFFFF"/>
                <w:sz w:val="18"/>
                <w:szCs w:val="18"/>
              </w:rPr>
              <w:t>Contenidos</w:t>
            </w:r>
          </w:p>
          <w:p w14:paraId="16284C0D"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22FA3BD5" w14:textId="77777777" w:rsidR="00990B14" w:rsidRDefault="00000000">
            <w:pPr>
              <w:keepNext/>
              <w:spacing w:before="20" w:after="20"/>
              <w:jc w:val="center"/>
            </w:pPr>
            <w:r>
              <w:rPr>
                <w:b/>
                <w:bCs/>
                <w:i/>
                <w:iCs/>
                <w:color w:val="FFFFFF"/>
                <w:sz w:val="18"/>
                <w:szCs w:val="18"/>
              </w:rPr>
              <w:t>Conocimientos circunstanciales</w:t>
            </w:r>
          </w:p>
        </w:tc>
      </w:tr>
      <w:tr w:rsidR="00990B14" w14:paraId="11D1E8BB" w14:textId="77777777">
        <w:trPr>
          <w:jc w:val="center"/>
        </w:trPr>
        <w:tc>
          <w:tcPr>
            <w:tcW w:w="2349" w:type="dxa"/>
            <w:gridSpan w:val="2"/>
            <w:shd w:val="clear" w:color="auto" w:fill="D9E2F3"/>
          </w:tcPr>
          <w:p w14:paraId="54DE0536" w14:textId="77777777" w:rsidR="00990B14" w:rsidRDefault="00000000">
            <w:pPr>
              <w:spacing w:before="20" w:after="40"/>
              <w:jc w:val="both"/>
            </w:pPr>
            <w:r>
              <w:rPr>
                <w:sz w:val="18"/>
                <w:szCs w:val="18"/>
              </w:rPr>
              <w:t>Tema 3: Rentas o anualidades</w:t>
            </w:r>
          </w:p>
          <w:p w14:paraId="647ABD5C" w14:textId="77777777" w:rsidR="00990B14" w:rsidRDefault="00000000">
            <w:pPr>
              <w:spacing w:before="20" w:after="40"/>
              <w:jc w:val="both"/>
            </w:pPr>
            <w:r>
              <w:rPr>
                <w:sz w:val="18"/>
                <w:szCs w:val="18"/>
              </w:rPr>
              <w:t>Tema 4: Rentas en progresión aritmética</w:t>
            </w:r>
          </w:p>
          <w:p w14:paraId="53BF5CF8" w14:textId="77777777" w:rsidR="00990B14" w:rsidRDefault="00000000">
            <w:pPr>
              <w:spacing w:before="20" w:after="40"/>
              <w:jc w:val="both"/>
            </w:pPr>
            <w:r>
              <w:rPr>
                <w:sz w:val="18"/>
                <w:szCs w:val="18"/>
              </w:rPr>
              <w:t>Tema 5: Rentas en progresión geométrica</w:t>
            </w:r>
          </w:p>
        </w:tc>
        <w:tc>
          <w:tcPr>
            <w:tcW w:w="4304" w:type="dxa"/>
            <w:gridSpan w:val="8"/>
            <w:shd w:val="clear" w:color="auto" w:fill="D9E2F3"/>
          </w:tcPr>
          <w:p w14:paraId="6F5E7B2B" w14:textId="77777777" w:rsidR="00990B14" w:rsidRDefault="00000000">
            <w:pPr>
              <w:spacing w:after="40"/>
              <w:jc w:val="both"/>
            </w:pPr>
            <w:r>
              <w:rPr>
                <w:sz w:val="18"/>
                <w:szCs w:val="18"/>
              </w:rPr>
              <w:t>Concepto y clasificación de las rentas. (C)</w:t>
            </w:r>
          </w:p>
          <w:p w14:paraId="16A8221A" w14:textId="77777777" w:rsidR="00990B14" w:rsidRDefault="00000000">
            <w:pPr>
              <w:spacing w:after="40"/>
              <w:jc w:val="both"/>
            </w:pPr>
            <w:r>
              <w:rPr>
                <w:sz w:val="18"/>
                <w:szCs w:val="18"/>
              </w:rPr>
              <w:t>Rentas enteras ciertas: valor actual y valor final. (C)</w:t>
            </w:r>
          </w:p>
          <w:p w14:paraId="4B30EE20" w14:textId="77777777" w:rsidR="00990B14" w:rsidRDefault="00000000">
            <w:pPr>
              <w:spacing w:after="40"/>
              <w:jc w:val="both"/>
            </w:pPr>
            <w:r>
              <w:rPr>
                <w:sz w:val="18"/>
                <w:szCs w:val="18"/>
              </w:rPr>
              <w:t>Rentas anticipadas, vencidas y diferidas. (C)</w:t>
            </w:r>
          </w:p>
          <w:p w14:paraId="2F2C21AF" w14:textId="77777777" w:rsidR="00990B14" w:rsidRDefault="00000000">
            <w:pPr>
              <w:spacing w:after="40"/>
              <w:jc w:val="both"/>
            </w:pPr>
            <w:r>
              <w:rPr>
                <w:sz w:val="18"/>
                <w:szCs w:val="18"/>
              </w:rPr>
              <w:t>Rentas perpetuas y rentas generales. (C)</w:t>
            </w:r>
          </w:p>
          <w:p w14:paraId="4B150B2B" w14:textId="77777777" w:rsidR="00990B14" w:rsidRDefault="00000000">
            <w:pPr>
              <w:spacing w:after="40"/>
              <w:jc w:val="both"/>
            </w:pPr>
            <w:r>
              <w:rPr>
                <w:sz w:val="18"/>
                <w:szCs w:val="18"/>
              </w:rPr>
              <w:t>Rentas en progresión aritmética enteras, ciertas y perpetuas: valor actual y valor final. (C, A)</w:t>
            </w:r>
          </w:p>
          <w:p w14:paraId="015A4D3D" w14:textId="77777777" w:rsidR="00990B14" w:rsidRDefault="00000000">
            <w:pPr>
              <w:spacing w:after="40"/>
              <w:jc w:val="both"/>
            </w:pPr>
            <w:r>
              <w:rPr>
                <w:sz w:val="18"/>
                <w:szCs w:val="18"/>
              </w:rPr>
              <w:t>Rentas en progresión aritmética anticipadas, vencidas y diferidas. (C, A)</w:t>
            </w:r>
          </w:p>
          <w:p w14:paraId="0051BDC2" w14:textId="77777777" w:rsidR="00990B14" w:rsidRDefault="00000000">
            <w:pPr>
              <w:spacing w:after="40"/>
              <w:jc w:val="both"/>
            </w:pPr>
            <w:r>
              <w:rPr>
                <w:sz w:val="18"/>
                <w:szCs w:val="18"/>
              </w:rPr>
              <w:t>Rentas en progresión geométrica enteras, ciertas y perpetuas: valor actual y valor final. (C)</w:t>
            </w:r>
          </w:p>
          <w:p w14:paraId="5AE96F7A" w14:textId="77777777" w:rsidR="00990B14" w:rsidRDefault="00000000">
            <w:pPr>
              <w:spacing w:after="40"/>
              <w:jc w:val="both"/>
            </w:pPr>
            <w:r>
              <w:rPr>
                <w:sz w:val="18"/>
                <w:szCs w:val="18"/>
              </w:rPr>
              <w:t>Rentas en progresión geométrica anticipadas, vencidas y diferidas. (C)</w:t>
            </w:r>
          </w:p>
          <w:p w14:paraId="486682E8" w14:textId="77777777" w:rsidR="00990B14" w:rsidRDefault="00000000">
            <w:pPr>
              <w:spacing w:after="40"/>
              <w:jc w:val="both"/>
            </w:pPr>
            <w:r>
              <w:rPr>
                <w:sz w:val="18"/>
                <w:szCs w:val="18"/>
              </w:rPr>
              <w:t>Aplicaciones en Excel y casos prácticos, con la verificación y la trazabilidad de los cálculos. (P, T)</w:t>
            </w:r>
          </w:p>
        </w:tc>
        <w:tc>
          <w:tcPr>
            <w:tcW w:w="2752" w:type="dxa"/>
            <w:gridSpan w:val="3"/>
            <w:shd w:val="clear" w:color="auto" w:fill="D9E2F3"/>
          </w:tcPr>
          <w:p w14:paraId="1FB8DBB8" w14:textId="77777777" w:rsidR="00990B14" w:rsidRDefault="00000000">
            <w:pPr>
              <w:numPr>
                <w:ilvl w:val="0"/>
                <w:numId w:val="139"/>
              </w:numPr>
              <w:spacing w:before="10" w:after="10"/>
              <w:jc w:val="both"/>
            </w:pPr>
            <w:r>
              <w:rPr>
                <w:sz w:val="18"/>
                <w:szCs w:val="18"/>
              </w:rPr>
              <w:t>Modalidades de ahorro programado y de venta a plazos del comercio boliviano.</w:t>
            </w:r>
          </w:p>
        </w:tc>
      </w:tr>
      <w:tr w:rsidR="00990B14" w14:paraId="117DB5F1" w14:textId="77777777">
        <w:trPr>
          <w:cantSplit/>
          <w:jc w:val="center"/>
        </w:trPr>
        <w:tc>
          <w:tcPr>
            <w:tcW w:w="9405" w:type="dxa"/>
            <w:gridSpan w:val="13"/>
            <w:shd w:val="clear" w:color="auto" w:fill="D9E2F3"/>
            <w:vAlign w:val="center"/>
          </w:tcPr>
          <w:p w14:paraId="3CD9FAF7" w14:textId="77777777" w:rsidR="00990B14" w:rsidRDefault="00000000">
            <w:pPr>
              <w:spacing w:before="20" w:after="20"/>
              <w:jc w:val="both"/>
            </w:pPr>
            <w:r>
              <w:rPr>
                <w:b/>
                <w:bCs/>
                <w:i/>
                <w:iCs/>
                <w:sz w:val="18"/>
                <w:szCs w:val="18"/>
              </w:rPr>
              <w:t xml:space="preserve">Elemento de competencia 3: </w:t>
            </w:r>
            <w:r>
              <w:rPr>
                <w:sz w:val="18"/>
                <w:szCs w:val="18"/>
              </w:rPr>
              <w:t>Estructura cuadros de amortización y fondos de amortización para préstamos y obligaciones, comparando los sistemas de reembolso y determinando el costo efectivo para el deudor.</w:t>
            </w:r>
          </w:p>
        </w:tc>
      </w:tr>
      <w:tr w:rsidR="00990B14" w14:paraId="183BE543" w14:textId="77777777">
        <w:trPr>
          <w:cantSplit/>
          <w:jc w:val="center"/>
        </w:trPr>
        <w:tc>
          <w:tcPr>
            <w:tcW w:w="3133" w:type="dxa"/>
            <w:gridSpan w:val="4"/>
            <w:shd w:val="clear" w:color="auto" w:fill="4472C4"/>
            <w:vAlign w:val="center"/>
          </w:tcPr>
          <w:p w14:paraId="1EB99AB8"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51715936"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04785AB1" w14:textId="77777777" w:rsidR="00990B14" w:rsidRDefault="00000000">
            <w:pPr>
              <w:keepNext/>
              <w:spacing w:before="20" w:after="20"/>
              <w:jc w:val="center"/>
            </w:pPr>
            <w:r>
              <w:rPr>
                <w:b/>
                <w:bCs/>
                <w:i/>
                <w:iCs/>
                <w:color w:val="FFFFFF"/>
                <w:sz w:val="18"/>
                <w:szCs w:val="18"/>
              </w:rPr>
              <w:t>Evidencias de producto</w:t>
            </w:r>
          </w:p>
        </w:tc>
      </w:tr>
      <w:tr w:rsidR="00990B14" w14:paraId="48D3AC22" w14:textId="77777777">
        <w:trPr>
          <w:cantSplit/>
          <w:jc w:val="center"/>
        </w:trPr>
        <w:tc>
          <w:tcPr>
            <w:tcW w:w="3133" w:type="dxa"/>
            <w:gridSpan w:val="4"/>
            <w:vMerge w:val="restart"/>
            <w:shd w:val="clear" w:color="auto" w:fill="D9E2F3"/>
            <w:vAlign w:val="center"/>
          </w:tcPr>
          <w:p w14:paraId="4CD6EE37" w14:textId="77777777" w:rsidR="00990B14" w:rsidRDefault="00000000">
            <w:pPr>
              <w:spacing w:before="20" w:after="20"/>
              <w:jc w:val="both"/>
            </w:pPr>
            <w:r>
              <w:rPr>
                <w:sz w:val="18"/>
                <w:szCs w:val="18"/>
              </w:rPr>
              <w:t>1. Elabora cuadros de amortización bajo los sistemas francés, alemán y americano, incorporando periodos de gracia, tasas variables y amortizaciones anticipadas.</w:t>
            </w:r>
          </w:p>
        </w:tc>
        <w:tc>
          <w:tcPr>
            <w:tcW w:w="3135" w:type="dxa"/>
            <w:gridSpan w:val="5"/>
            <w:shd w:val="clear" w:color="auto" w:fill="D9E2F3"/>
            <w:vAlign w:val="center"/>
          </w:tcPr>
          <w:p w14:paraId="6C7D9AA1" w14:textId="77777777" w:rsidR="00990B14" w:rsidRDefault="00000000">
            <w:pPr>
              <w:spacing w:before="20" w:after="20"/>
              <w:jc w:val="both"/>
            </w:pPr>
            <w:r>
              <w:rPr>
                <w:sz w:val="18"/>
                <w:szCs w:val="18"/>
              </w:rPr>
              <w:t>1.1 Construye en el laboratorio de cómputo el plan de pagos de un crédito de vivienda bajo tres sistemas de amortización.</w:t>
            </w:r>
          </w:p>
        </w:tc>
        <w:tc>
          <w:tcPr>
            <w:tcW w:w="3137" w:type="dxa"/>
            <w:gridSpan w:val="4"/>
            <w:shd w:val="clear" w:color="auto" w:fill="D9E2F3"/>
            <w:vAlign w:val="center"/>
          </w:tcPr>
          <w:p w14:paraId="29A20CD9" w14:textId="77777777" w:rsidR="00990B14" w:rsidRDefault="00000000">
            <w:pPr>
              <w:spacing w:before="20" w:after="20"/>
              <w:jc w:val="both"/>
            </w:pPr>
            <w:r>
              <w:rPr>
                <w:b/>
                <w:bCs/>
                <w:sz w:val="18"/>
                <w:szCs w:val="18"/>
              </w:rPr>
              <w:t xml:space="preserve">Producto 9: </w:t>
            </w:r>
            <w:r>
              <w:rPr>
                <w:sz w:val="18"/>
                <w:szCs w:val="18"/>
              </w:rPr>
              <w:t>Libro de hoja de cálculo con los cuadros de amortización de tres sistemas.</w:t>
            </w:r>
          </w:p>
        </w:tc>
      </w:tr>
      <w:tr w:rsidR="00990B14" w14:paraId="0AEA9369" w14:textId="77777777">
        <w:trPr>
          <w:cantSplit/>
          <w:jc w:val="center"/>
        </w:trPr>
        <w:tc>
          <w:tcPr>
            <w:tcW w:w="3133" w:type="dxa"/>
            <w:gridSpan w:val="4"/>
            <w:vMerge/>
            <w:shd w:val="clear" w:color="auto" w:fill="D9E2F3"/>
            <w:vAlign w:val="center"/>
          </w:tcPr>
          <w:p w14:paraId="7B7F833E" w14:textId="77777777" w:rsidR="00990B14" w:rsidRDefault="00990B14">
            <w:pPr>
              <w:spacing w:before="20" w:after="20"/>
            </w:pPr>
          </w:p>
        </w:tc>
        <w:tc>
          <w:tcPr>
            <w:tcW w:w="3135" w:type="dxa"/>
            <w:gridSpan w:val="5"/>
            <w:shd w:val="clear" w:color="auto" w:fill="D9E2F3"/>
            <w:vAlign w:val="center"/>
          </w:tcPr>
          <w:p w14:paraId="65DADB21" w14:textId="77777777" w:rsidR="00990B14" w:rsidRDefault="00000000">
            <w:pPr>
              <w:spacing w:before="20" w:after="20"/>
              <w:jc w:val="both"/>
            </w:pPr>
            <w:r>
              <w:rPr>
                <w:sz w:val="18"/>
                <w:szCs w:val="18"/>
              </w:rPr>
              <w:t>1.2 Calcula en aula el saldo insoluto y el tanto efectivo de un préstamo con sus comisiones y gastos.</w:t>
            </w:r>
          </w:p>
        </w:tc>
        <w:tc>
          <w:tcPr>
            <w:tcW w:w="3137" w:type="dxa"/>
            <w:gridSpan w:val="4"/>
            <w:shd w:val="clear" w:color="auto" w:fill="D9E2F3"/>
            <w:vAlign w:val="center"/>
          </w:tcPr>
          <w:p w14:paraId="181579B3" w14:textId="77777777" w:rsidR="00990B14" w:rsidRDefault="00000000">
            <w:pPr>
              <w:spacing w:before="20" w:after="20"/>
              <w:jc w:val="both"/>
            </w:pPr>
            <w:r>
              <w:rPr>
                <w:b/>
                <w:bCs/>
                <w:sz w:val="18"/>
                <w:szCs w:val="18"/>
              </w:rPr>
              <w:t xml:space="preserve">Producto 10: </w:t>
            </w:r>
            <w:r>
              <w:rPr>
                <w:sz w:val="18"/>
                <w:szCs w:val="18"/>
              </w:rPr>
              <w:t>Cálculo del saldo insoluto y del tanto efectivo de un préstamo.</w:t>
            </w:r>
          </w:p>
        </w:tc>
      </w:tr>
      <w:tr w:rsidR="00990B14" w14:paraId="6C8068B9" w14:textId="77777777">
        <w:trPr>
          <w:cantSplit/>
          <w:jc w:val="center"/>
        </w:trPr>
        <w:tc>
          <w:tcPr>
            <w:tcW w:w="3133" w:type="dxa"/>
            <w:gridSpan w:val="4"/>
            <w:vMerge w:val="restart"/>
            <w:shd w:val="clear" w:color="auto" w:fill="D9E2F3"/>
            <w:vAlign w:val="center"/>
          </w:tcPr>
          <w:p w14:paraId="6425CC47" w14:textId="77777777" w:rsidR="00990B14" w:rsidRDefault="00000000">
            <w:pPr>
              <w:spacing w:before="20" w:after="20"/>
              <w:jc w:val="both"/>
            </w:pPr>
            <w:r>
              <w:rPr>
                <w:sz w:val="18"/>
                <w:szCs w:val="18"/>
              </w:rPr>
              <w:t>2. Diseña fondos de amortización con aportes constantes y variables, evaluando la conveniencia de renegociar una deuda.</w:t>
            </w:r>
          </w:p>
        </w:tc>
        <w:tc>
          <w:tcPr>
            <w:tcW w:w="3135" w:type="dxa"/>
            <w:gridSpan w:val="5"/>
            <w:shd w:val="clear" w:color="auto" w:fill="D9E2F3"/>
            <w:vAlign w:val="center"/>
          </w:tcPr>
          <w:p w14:paraId="191AB549" w14:textId="77777777" w:rsidR="00990B14" w:rsidRDefault="00000000">
            <w:pPr>
              <w:spacing w:before="20" w:after="20"/>
              <w:jc w:val="both"/>
            </w:pPr>
            <w:r>
              <w:rPr>
                <w:sz w:val="18"/>
                <w:szCs w:val="18"/>
              </w:rPr>
              <w:t>2.1 Elabora en equipo la tabla de un fondo de amortización con aportes constantes y variables.</w:t>
            </w:r>
          </w:p>
        </w:tc>
        <w:tc>
          <w:tcPr>
            <w:tcW w:w="3137" w:type="dxa"/>
            <w:gridSpan w:val="4"/>
            <w:shd w:val="clear" w:color="auto" w:fill="D9E2F3"/>
            <w:vAlign w:val="center"/>
          </w:tcPr>
          <w:p w14:paraId="30A95DCE" w14:textId="77777777" w:rsidR="00990B14" w:rsidRDefault="00000000">
            <w:pPr>
              <w:spacing w:before="20" w:after="20"/>
              <w:jc w:val="both"/>
            </w:pPr>
            <w:r>
              <w:rPr>
                <w:b/>
                <w:bCs/>
                <w:sz w:val="18"/>
                <w:szCs w:val="18"/>
              </w:rPr>
              <w:t xml:space="preserve">Producto 11: </w:t>
            </w:r>
            <w:r>
              <w:rPr>
                <w:sz w:val="18"/>
                <w:szCs w:val="18"/>
              </w:rPr>
              <w:t>Tabla de un fondo de amortización con aportes constantes y variables.</w:t>
            </w:r>
          </w:p>
        </w:tc>
      </w:tr>
      <w:tr w:rsidR="00990B14" w14:paraId="7C990BF3" w14:textId="77777777">
        <w:trPr>
          <w:cantSplit/>
          <w:jc w:val="center"/>
        </w:trPr>
        <w:tc>
          <w:tcPr>
            <w:tcW w:w="3133" w:type="dxa"/>
            <w:gridSpan w:val="4"/>
            <w:vMerge/>
            <w:shd w:val="clear" w:color="auto" w:fill="D9E2F3"/>
            <w:vAlign w:val="center"/>
          </w:tcPr>
          <w:p w14:paraId="153E6697" w14:textId="77777777" w:rsidR="00990B14" w:rsidRDefault="00990B14">
            <w:pPr>
              <w:spacing w:before="20" w:after="20"/>
            </w:pPr>
          </w:p>
        </w:tc>
        <w:tc>
          <w:tcPr>
            <w:tcW w:w="3135" w:type="dxa"/>
            <w:gridSpan w:val="5"/>
            <w:shd w:val="clear" w:color="auto" w:fill="D9E2F3"/>
            <w:vAlign w:val="center"/>
          </w:tcPr>
          <w:p w14:paraId="15F25931" w14:textId="77777777" w:rsidR="00990B14" w:rsidRDefault="00000000">
            <w:pPr>
              <w:spacing w:before="20" w:after="20"/>
              <w:jc w:val="both"/>
            </w:pPr>
            <w:r>
              <w:rPr>
                <w:sz w:val="18"/>
                <w:szCs w:val="18"/>
              </w:rPr>
              <w:t>2.2 Sustenta ante el curso la renegociación de una deuda en un caso simulado.</w:t>
            </w:r>
          </w:p>
        </w:tc>
        <w:tc>
          <w:tcPr>
            <w:tcW w:w="3137" w:type="dxa"/>
            <w:gridSpan w:val="4"/>
            <w:shd w:val="clear" w:color="auto" w:fill="D9E2F3"/>
            <w:vAlign w:val="center"/>
          </w:tcPr>
          <w:p w14:paraId="0D547855" w14:textId="77777777" w:rsidR="00990B14" w:rsidRDefault="00000000">
            <w:pPr>
              <w:spacing w:before="20" w:after="20"/>
              <w:jc w:val="both"/>
            </w:pPr>
            <w:r>
              <w:rPr>
                <w:b/>
                <w:bCs/>
                <w:sz w:val="18"/>
                <w:szCs w:val="18"/>
              </w:rPr>
              <w:t xml:space="preserve">Producto 12: </w:t>
            </w:r>
            <w:r>
              <w:rPr>
                <w:sz w:val="18"/>
                <w:szCs w:val="18"/>
              </w:rPr>
              <w:t>Informe de renegociación de deuda con la tabla reprogramada.</w:t>
            </w:r>
          </w:p>
        </w:tc>
      </w:tr>
      <w:tr w:rsidR="00990B14" w14:paraId="55402639" w14:textId="77777777">
        <w:trPr>
          <w:cantSplit/>
          <w:jc w:val="center"/>
        </w:trPr>
        <w:tc>
          <w:tcPr>
            <w:tcW w:w="9405" w:type="dxa"/>
            <w:gridSpan w:val="13"/>
            <w:shd w:val="clear" w:color="auto" w:fill="4472C4"/>
            <w:vAlign w:val="center"/>
          </w:tcPr>
          <w:p w14:paraId="166C5687" w14:textId="77777777" w:rsidR="00990B14" w:rsidRDefault="00000000">
            <w:pPr>
              <w:keepNext/>
              <w:spacing w:before="20" w:after="20"/>
              <w:jc w:val="center"/>
            </w:pPr>
            <w:r>
              <w:rPr>
                <w:b/>
                <w:bCs/>
                <w:i/>
                <w:iCs/>
                <w:color w:val="FFFFFF"/>
                <w:sz w:val="18"/>
                <w:szCs w:val="18"/>
              </w:rPr>
              <w:t>Evidencias de conocimiento</w:t>
            </w:r>
          </w:p>
        </w:tc>
      </w:tr>
      <w:tr w:rsidR="00990B14" w14:paraId="304EE412" w14:textId="77777777">
        <w:trPr>
          <w:cantSplit/>
          <w:jc w:val="center"/>
        </w:trPr>
        <w:tc>
          <w:tcPr>
            <w:tcW w:w="2349" w:type="dxa"/>
            <w:gridSpan w:val="2"/>
            <w:shd w:val="clear" w:color="auto" w:fill="4472C4"/>
            <w:vAlign w:val="center"/>
          </w:tcPr>
          <w:p w14:paraId="190746DB"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4735F37C" w14:textId="77777777" w:rsidR="00990B14" w:rsidRDefault="00000000">
            <w:pPr>
              <w:keepNext/>
              <w:spacing w:before="20" w:after="20"/>
              <w:jc w:val="both"/>
            </w:pPr>
            <w:r>
              <w:rPr>
                <w:b/>
                <w:bCs/>
                <w:i/>
                <w:iCs/>
                <w:color w:val="FFFFFF"/>
                <w:sz w:val="18"/>
                <w:szCs w:val="18"/>
              </w:rPr>
              <w:t>Contenidos</w:t>
            </w:r>
          </w:p>
          <w:p w14:paraId="7BCAB129"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29FB7F49" w14:textId="77777777" w:rsidR="00990B14" w:rsidRDefault="00000000">
            <w:pPr>
              <w:keepNext/>
              <w:spacing w:before="20" w:after="20"/>
              <w:jc w:val="center"/>
            </w:pPr>
            <w:r>
              <w:rPr>
                <w:b/>
                <w:bCs/>
                <w:i/>
                <w:iCs/>
                <w:color w:val="FFFFFF"/>
                <w:sz w:val="18"/>
                <w:szCs w:val="18"/>
              </w:rPr>
              <w:t>Conocimientos circunstanciales</w:t>
            </w:r>
          </w:p>
        </w:tc>
      </w:tr>
      <w:tr w:rsidR="00990B14" w14:paraId="0E2579C2" w14:textId="77777777">
        <w:trPr>
          <w:jc w:val="center"/>
        </w:trPr>
        <w:tc>
          <w:tcPr>
            <w:tcW w:w="2349" w:type="dxa"/>
            <w:gridSpan w:val="2"/>
            <w:shd w:val="clear" w:color="auto" w:fill="D9E2F3"/>
          </w:tcPr>
          <w:p w14:paraId="5D904421" w14:textId="77777777" w:rsidR="00990B14" w:rsidRDefault="00000000">
            <w:pPr>
              <w:spacing w:before="20" w:after="40"/>
              <w:jc w:val="both"/>
            </w:pPr>
            <w:r>
              <w:rPr>
                <w:sz w:val="18"/>
                <w:szCs w:val="18"/>
              </w:rPr>
              <w:t>Tema 6: Amortización</w:t>
            </w:r>
          </w:p>
          <w:p w14:paraId="02928BAC" w14:textId="77777777" w:rsidR="00990B14" w:rsidRDefault="00000000">
            <w:pPr>
              <w:spacing w:before="20" w:after="40"/>
              <w:jc w:val="both"/>
            </w:pPr>
            <w:r>
              <w:rPr>
                <w:sz w:val="18"/>
                <w:szCs w:val="18"/>
              </w:rPr>
              <w:t>Tema 7: Fondos de amortización</w:t>
            </w:r>
          </w:p>
        </w:tc>
        <w:tc>
          <w:tcPr>
            <w:tcW w:w="4304" w:type="dxa"/>
            <w:gridSpan w:val="8"/>
            <w:shd w:val="clear" w:color="auto" w:fill="D9E2F3"/>
          </w:tcPr>
          <w:p w14:paraId="4B04E541" w14:textId="77777777" w:rsidR="00990B14" w:rsidRDefault="00000000">
            <w:pPr>
              <w:spacing w:after="40"/>
              <w:jc w:val="both"/>
            </w:pPr>
            <w:r>
              <w:rPr>
                <w:sz w:val="18"/>
                <w:szCs w:val="18"/>
              </w:rPr>
              <w:t>Reembolso único o amortización a plazo fijo. (C)</w:t>
            </w:r>
          </w:p>
          <w:p w14:paraId="15DBC90F" w14:textId="77777777" w:rsidR="00990B14" w:rsidRDefault="00000000">
            <w:pPr>
              <w:spacing w:after="40"/>
              <w:jc w:val="both"/>
            </w:pPr>
            <w:r>
              <w:rPr>
                <w:sz w:val="18"/>
                <w:szCs w:val="18"/>
              </w:rPr>
              <w:t>Reembolso único con pago periódico de intereses o sistema in fine. (C)</w:t>
            </w:r>
          </w:p>
          <w:p w14:paraId="2BBCF1C8" w14:textId="77777777" w:rsidR="00990B14" w:rsidRDefault="00000000">
            <w:pPr>
              <w:spacing w:after="40"/>
              <w:jc w:val="both"/>
            </w:pPr>
            <w:r>
              <w:rPr>
                <w:sz w:val="18"/>
                <w:szCs w:val="18"/>
              </w:rPr>
              <w:t>Cuota de amortización constante. (C)</w:t>
            </w:r>
          </w:p>
          <w:p w14:paraId="0A945B61" w14:textId="77777777" w:rsidR="00990B14" w:rsidRDefault="00000000">
            <w:pPr>
              <w:spacing w:after="40"/>
              <w:jc w:val="both"/>
            </w:pPr>
            <w:r>
              <w:rPr>
                <w:sz w:val="18"/>
                <w:szCs w:val="18"/>
              </w:rPr>
              <w:t>Sistema francés con tipo de interés fijo, con plazo de carencia o periodo de gracia y con tipo de interés variable. (C)</w:t>
            </w:r>
          </w:p>
          <w:p w14:paraId="788243EB" w14:textId="77777777" w:rsidR="00990B14" w:rsidRDefault="00000000">
            <w:pPr>
              <w:spacing w:after="40"/>
              <w:jc w:val="both"/>
            </w:pPr>
            <w:r>
              <w:rPr>
                <w:sz w:val="18"/>
                <w:szCs w:val="18"/>
              </w:rPr>
              <w:t>Sistema alemán. (C)</w:t>
            </w:r>
          </w:p>
          <w:p w14:paraId="38748A9A" w14:textId="77777777" w:rsidR="00990B14" w:rsidRDefault="00000000">
            <w:pPr>
              <w:spacing w:after="40"/>
              <w:jc w:val="both"/>
            </w:pPr>
            <w:r>
              <w:rPr>
                <w:sz w:val="18"/>
                <w:szCs w:val="18"/>
              </w:rPr>
              <w:t>Sistema americano con tipo de interés fijo y variable. (C)</w:t>
            </w:r>
          </w:p>
          <w:p w14:paraId="69F61613" w14:textId="77777777" w:rsidR="00990B14" w:rsidRDefault="00000000">
            <w:pPr>
              <w:spacing w:after="40"/>
              <w:jc w:val="both"/>
            </w:pPr>
            <w:r>
              <w:rPr>
                <w:sz w:val="18"/>
                <w:szCs w:val="18"/>
              </w:rPr>
              <w:t>Amortización voluntaria de préstamos, derechos del acreedor y del deudor, y renegociación de una deuda. (C)</w:t>
            </w:r>
          </w:p>
          <w:p w14:paraId="20B9D8D5" w14:textId="77777777" w:rsidR="00990B14" w:rsidRDefault="00000000">
            <w:pPr>
              <w:spacing w:after="40"/>
              <w:jc w:val="both"/>
            </w:pPr>
            <w:r>
              <w:rPr>
                <w:sz w:val="18"/>
                <w:szCs w:val="18"/>
              </w:rPr>
              <w:t>Amortización con cuotas en progresión aritmética y geométrica. (C, A)</w:t>
            </w:r>
          </w:p>
          <w:p w14:paraId="14C01582" w14:textId="77777777" w:rsidR="00990B14" w:rsidRDefault="00000000">
            <w:pPr>
              <w:spacing w:after="40"/>
              <w:jc w:val="both"/>
            </w:pPr>
            <w:r>
              <w:rPr>
                <w:sz w:val="18"/>
                <w:szCs w:val="18"/>
              </w:rPr>
              <w:t>Tanto efectivo de los préstamos y su relación con la tasa de interés efectiva de las normas de contabilidad. (C)</w:t>
            </w:r>
          </w:p>
          <w:p w14:paraId="2805E38F" w14:textId="77777777" w:rsidR="00990B14" w:rsidRDefault="00000000">
            <w:pPr>
              <w:spacing w:after="40"/>
              <w:jc w:val="both"/>
            </w:pPr>
            <w:r>
              <w:rPr>
                <w:sz w:val="18"/>
                <w:szCs w:val="18"/>
              </w:rPr>
              <w:t>Tablas y sistemas de fondos de amortización. (C)</w:t>
            </w:r>
          </w:p>
          <w:p w14:paraId="04F7BBCC" w14:textId="77777777" w:rsidR="00990B14" w:rsidRDefault="00000000">
            <w:pPr>
              <w:spacing w:after="40"/>
              <w:jc w:val="both"/>
            </w:pPr>
            <w:r>
              <w:rPr>
                <w:sz w:val="18"/>
                <w:szCs w:val="18"/>
              </w:rPr>
              <w:t>Fondos de capitalización con aporte de cuota constante, cuota variable y cuota sin dirección. (C)</w:t>
            </w:r>
          </w:p>
          <w:p w14:paraId="2EEC223B" w14:textId="77777777" w:rsidR="00990B14" w:rsidRDefault="00000000">
            <w:pPr>
              <w:spacing w:after="40"/>
              <w:jc w:val="both"/>
            </w:pPr>
            <w:r>
              <w:rPr>
                <w:sz w:val="18"/>
                <w:szCs w:val="18"/>
              </w:rPr>
              <w:t>Saldo insoluto en fondos de amortización. (C)</w:t>
            </w:r>
          </w:p>
          <w:p w14:paraId="33E9EFDA" w14:textId="77777777" w:rsidR="00990B14" w:rsidRDefault="00000000">
            <w:pPr>
              <w:spacing w:after="40"/>
              <w:jc w:val="both"/>
            </w:pPr>
            <w:r>
              <w:rPr>
                <w:sz w:val="18"/>
                <w:szCs w:val="18"/>
              </w:rPr>
              <w:t>Aplicaciones en Excel y casos prácticos, con la verificación y la trazabilidad de los cálculos. (P, T)</w:t>
            </w:r>
          </w:p>
        </w:tc>
        <w:tc>
          <w:tcPr>
            <w:tcW w:w="2752" w:type="dxa"/>
            <w:gridSpan w:val="3"/>
            <w:shd w:val="clear" w:color="auto" w:fill="D9E2F3"/>
          </w:tcPr>
          <w:p w14:paraId="30A33D70" w14:textId="77777777" w:rsidR="00990B14" w:rsidRDefault="00000000">
            <w:pPr>
              <w:numPr>
                <w:ilvl w:val="0"/>
                <w:numId w:val="139"/>
              </w:numPr>
              <w:spacing w:before="10" w:after="10"/>
              <w:jc w:val="both"/>
            </w:pPr>
            <w:r>
              <w:rPr>
                <w:sz w:val="18"/>
                <w:szCs w:val="18"/>
              </w:rPr>
              <w:t>Lectura de un contrato de préstamo y de su plan de pagos.</w:t>
            </w:r>
          </w:p>
          <w:p w14:paraId="0178B0DB" w14:textId="77777777" w:rsidR="00990B14" w:rsidRDefault="00000000">
            <w:pPr>
              <w:numPr>
                <w:ilvl w:val="0"/>
                <w:numId w:val="139"/>
              </w:numPr>
              <w:spacing w:before="10" w:after="10"/>
              <w:jc w:val="both"/>
            </w:pPr>
            <w:r>
              <w:rPr>
                <w:sz w:val="18"/>
                <w:szCs w:val="18"/>
              </w:rPr>
              <w:t>Nociones del historial crediticio y de la capacidad de pago del deudor.</w:t>
            </w:r>
          </w:p>
        </w:tc>
      </w:tr>
      <w:tr w:rsidR="00990B14" w14:paraId="3AB0308E" w14:textId="77777777">
        <w:trPr>
          <w:cantSplit/>
          <w:jc w:val="center"/>
        </w:trPr>
        <w:tc>
          <w:tcPr>
            <w:tcW w:w="9405" w:type="dxa"/>
            <w:gridSpan w:val="13"/>
            <w:shd w:val="clear" w:color="auto" w:fill="D9E2F3"/>
            <w:vAlign w:val="center"/>
          </w:tcPr>
          <w:p w14:paraId="4EBCC3CB" w14:textId="77777777" w:rsidR="00990B14" w:rsidRDefault="00000000">
            <w:pPr>
              <w:spacing w:before="20" w:after="20"/>
              <w:jc w:val="both"/>
            </w:pPr>
            <w:r>
              <w:rPr>
                <w:b/>
                <w:bCs/>
                <w:i/>
                <w:iCs/>
                <w:sz w:val="18"/>
                <w:szCs w:val="18"/>
              </w:rPr>
              <w:t xml:space="preserve">Elemento de competencia 4: </w:t>
            </w:r>
            <w:r>
              <w:rPr>
                <w:sz w:val="18"/>
                <w:szCs w:val="18"/>
              </w:rPr>
              <w:t>Calcula la depreciación de activos fijos y el agotamiento de recursos naturales, aplicando métodos contables y financieros y contrastando su efecto en el valor en libros.</w:t>
            </w:r>
          </w:p>
        </w:tc>
      </w:tr>
      <w:tr w:rsidR="00990B14" w14:paraId="78260AE4" w14:textId="77777777">
        <w:trPr>
          <w:cantSplit/>
          <w:jc w:val="center"/>
        </w:trPr>
        <w:tc>
          <w:tcPr>
            <w:tcW w:w="3133" w:type="dxa"/>
            <w:gridSpan w:val="4"/>
            <w:shd w:val="clear" w:color="auto" w:fill="4472C4"/>
            <w:vAlign w:val="center"/>
          </w:tcPr>
          <w:p w14:paraId="144385AA"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7D6B8892"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216343A0" w14:textId="77777777" w:rsidR="00990B14" w:rsidRDefault="00000000">
            <w:pPr>
              <w:keepNext/>
              <w:spacing w:before="20" w:after="20"/>
              <w:jc w:val="center"/>
            </w:pPr>
            <w:r>
              <w:rPr>
                <w:b/>
                <w:bCs/>
                <w:i/>
                <w:iCs/>
                <w:color w:val="FFFFFF"/>
                <w:sz w:val="18"/>
                <w:szCs w:val="18"/>
              </w:rPr>
              <w:t>Evidencias de producto</w:t>
            </w:r>
          </w:p>
        </w:tc>
      </w:tr>
      <w:tr w:rsidR="00990B14" w14:paraId="5CCB8533" w14:textId="77777777">
        <w:trPr>
          <w:cantSplit/>
          <w:jc w:val="center"/>
        </w:trPr>
        <w:tc>
          <w:tcPr>
            <w:tcW w:w="3133" w:type="dxa"/>
            <w:gridSpan w:val="4"/>
            <w:vMerge w:val="restart"/>
            <w:shd w:val="clear" w:color="auto" w:fill="D9E2F3"/>
            <w:vAlign w:val="center"/>
          </w:tcPr>
          <w:p w14:paraId="667CCEC0" w14:textId="77777777" w:rsidR="00990B14" w:rsidRDefault="00000000">
            <w:pPr>
              <w:spacing w:before="20" w:after="20"/>
              <w:jc w:val="both"/>
            </w:pPr>
            <w:r>
              <w:rPr>
                <w:sz w:val="18"/>
                <w:szCs w:val="18"/>
              </w:rPr>
              <w:t>1. Calcula la depreciación de un activo fijo con los métodos de línea recta, suma de dígitos, interés compuesto, horas trabajadas y unidades producidas, determinando su valor en libros.</w:t>
            </w:r>
          </w:p>
        </w:tc>
        <w:tc>
          <w:tcPr>
            <w:tcW w:w="3135" w:type="dxa"/>
            <w:gridSpan w:val="5"/>
            <w:shd w:val="clear" w:color="auto" w:fill="D9E2F3"/>
            <w:vAlign w:val="center"/>
          </w:tcPr>
          <w:p w14:paraId="5D149AC1" w14:textId="77777777" w:rsidR="00990B14" w:rsidRDefault="00000000">
            <w:pPr>
              <w:spacing w:before="20" w:after="20"/>
              <w:jc w:val="both"/>
            </w:pPr>
            <w:r>
              <w:rPr>
                <w:sz w:val="18"/>
                <w:szCs w:val="18"/>
              </w:rPr>
              <w:t>1.1 Compara en equipo los métodos de depreciación aplicados a un mismo activo y explica su efecto en el resultado del periodo.</w:t>
            </w:r>
          </w:p>
        </w:tc>
        <w:tc>
          <w:tcPr>
            <w:tcW w:w="3137" w:type="dxa"/>
            <w:gridSpan w:val="4"/>
            <w:shd w:val="clear" w:color="auto" w:fill="D9E2F3"/>
            <w:vAlign w:val="center"/>
          </w:tcPr>
          <w:p w14:paraId="7A81B361" w14:textId="77777777" w:rsidR="00990B14" w:rsidRDefault="00000000">
            <w:pPr>
              <w:spacing w:before="20" w:after="20"/>
              <w:jc w:val="both"/>
            </w:pPr>
            <w:r>
              <w:rPr>
                <w:b/>
                <w:bCs/>
                <w:sz w:val="18"/>
                <w:szCs w:val="18"/>
              </w:rPr>
              <w:t xml:space="preserve">Producto 13: </w:t>
            </w:r>
            <w:r>
              <w:rPr>
                <w:sz w:val="18"/>
                <w:szCs w:val="18"/>
              </w:rPr>
              <w:t>Cuadro comparativo de los métodos de depreciación con el gráfico del valor en libros.</w:t>
            </w:r>
          </w:p>
        </w:tc>
      </w:tr>
      <w:tr w:rsidR="00990B14" w14:paraId="4950D0CE" w14:textId="77777777">
        <w:trPr>
          <w:cantSplit/>
          <w:jc w:val="center"/>
        </w:trPr>
        <w:tc>
          <w:tcPr>
            <w:tcW w:w="3133" w:type="dxa"/>
            <w:gridSpan w:val="4"/>
            <w:vMerge/>
            <w:shd w:val="clear" w:color="auto" w:fill="D9E2F3"/>
            <w:vAlign w:val="center"/>
          </w:tcPr>
          <w:p w14:paraId="06C1E433" w14:textId="77777777" w:rsidR="00990B14" w:rsidRDefault="00990B14">
            <w:pPr>
              <w:spacing w:before="20" w:after="20"/>
            </w:pPr>
          </w:p>
        </w:tc>
        <w:tc>
          <w:tcPr>
            <w:tcW w:w="3135" w:type="dxa"/>
            <w:gridSpan w:val="5"/>
            <w:shd w:val="clear" w:color="auto" w:fill="D9E2F3"/>
            <w:vAlign w:val="center"/>
          </w:tcPr>
          <w:p w14:paraId="575C36DE" w14:textId="77777777" w:rsidR="00990B14" w:rsidRDefault="00000000">
            <w:pPr>
              <w:spacing w:before="20" w:after="20"/>
              <w:jc w:val="both"/>
            </w:pPr>
            <w:r>
              <w:rPr>
                <w:sz w:val="18"/>
                <w:szCs w:val="18"/>
              </w:rPr>
              <w:t>1.2 Elabora en el laboratorio de cómputo la planilla de depreciación de los bienes de uso de una empresa.</w:t>
            </w:r>
          </w:p>
        </w:tc>
        <w:tc>
          <w:tcPr>
            <w:tcW w:w="3137" w:type="dxa"/>
            <w:gridSpan w:val="4"/>
            <w:shd w:val="clear" w:color="auto" w:fill="D9E2F3"/>
            <w:vAlign w:val="center"/>
          </w:tcPr>
          <w:p w14:paraId="07B1C149" w14:textId="77777777" w:rsidR="00990B14" w:rsidRDefault="00000000">
            <w:pPr>
              <w:spacing w:before="20" w:after="20"/>
              <w:jc w:val="both"/>
            </w:pPr>
            <w:r>
              <w:rPr>
                <w:b/>
                <w:bCs/>
                <w:sz w:val="18"/>
                <w:szCs w:val="18"/>
              </w:rPr>
              <w:t xml:space="preserve">Producto 14: </w:t>
            </w:r>
            <w:r>
              <w:rPr>
                <w:sz w:val="18"/>
                <w:szCs w:val="18"/>
              </w:rPr>
              <w:t>Planilla de depreciación de los bienes de uso de una empresa.</w:t>
            </w:r>
          </w:p>
        </w:tc>
      </w:tr>
      <w:tr w:rsidR="00990B14" w14:paraId="76D9FABD" w14:textId="77777777">
        <w:trPr>
          <w:cantSplit/>
          <w:jc w:val="center"/>
        </w:trPr>
        <w:tc>
          <w:tcPr>
            <w:tcW w:w="3133" w:type="dxa"/>
            <w:gridSpan w:val="4"/>
            <w:vMerge w:val="restart"/>
            <w:shd w:val="clear" w:color="auto" w:fill="D9E2F3"/>
            <w:vAlign w:val="center"/>
          </w:tcPr>
          <w:p w14:paraId="3C674D05" w14:textId="77777777" w:rsidR="00990B14" w:rsidRDefault="00000000">
            <w:pPr>
              <w:spacing w:before="20" w:after="20"/>
              <w:jc w:val="both"/>
            </w:pPr>
            <w:r>
              <w:rPr>
                <w:sz w:val="18"/>
                <w:szCs w:val="18"/>
              </w:rPr>
              <w:t>2. Calcula el agotamiento de recursos naturales y el fondo de reposición de un activo, relacionando la depreciación con la reposición del bien.</w:t>
            </w:r>
          </w:p>
        </w:tc>
        <w:tc>
          <w:tcPr>
            <w:tcW w:w="3135" w:type="dxa"/>
            <w:gridSpan w:val="5"/>
            <w:shd w:val="clear" w:color="auto" w:fill="D9E2F3"/>
            <w:vAlign w:val="center"/>
          </w:tcPr>
          <w:p w14:paraId="62029F04" w14:textId="77777777" w:rsidR="00990B14" w:rsidRDefault="00000000">
            <w:pPr>
              <w:spacing w:before="20" w:after="20"/>
              <w:jc w:val="both"/>
            </w:pPr>
            <w:r>
              <w:rPr>
                <w:sz w:val="18"/>
                <w:szCs w:val="18"/>
              </w:rPr>
              <w:t>2.1 Resuelve en aula un caso de agotamiento de un yacimiento minero en función de las unidades extraídas.</w:t>
            </w:r>
          </w:p>
        </w:tc>
        <w:tc>
          <w:tcPr>
            <w:tcW w:w="3137" w:type="dxa"/>
            <w:gridSpan w:val="4"/>
            <w:shd w:val="clear" w:color="auto" w:fill="D9E2F3"/>
            <w:vAlign w:val="center"/>
          </w:tcPr>
          <w:p w14:paraId="199B535E" w14:textId="77777777" w:rsidR="00990B14" w:rsidRDefault="00000000">
            <w:pPr>
              <w:spacing w:before="20" w:after="20"/>
              <w:jc w:val="both"/>
            </w:pPr>
            <w:r>
              <w:rPr>
                <w:b/>
                <w:bCs/>
                <w:sz w:val="18"/>
                <w:szCs w:val="18"/>
              </w:rPr>
              <w:t xml:space="preserve">Producto 15: </w:t>
            </w:r>
            <w:r>
              <w:rPr>
                <w:sz w:val="18"/>
                <w:szCs w:val="18"/>
              </w:rPr>
              <w:t>Cuadro de agotamiento de un yacimiento minero.</w:t>
            </w:r>
          </w:p>
        </w:tc>
      </w:tr>
      <w:tr w:rsidR="00990B14" w14:paraId="292A1E08" w14:textId="77777777">
        <w:trPr>
          <w:cantSplit/>
          <w:jc w:val="center"/>
        </w:trPr>
        <w:tc>
          <w:tcPr>
            <w:tcW w:w="3133" w:type="dxa"/>
            <w:gridSpan w:val="4"/>
            <w:vMerge/>
            <w:shd w:val="clear" w:color="auto" w:fill="D9E2F3"/>
            <w:vAlign w:val="center"/>
          </w:tcPr>
          <w:p w14:paraId="23750A57" w14:textId="77777777" w:rsidR="00990B14" w:rsidRDefault="00990B14">
            <w:pPr>
              <w:spacing w:before="20" w:after="20"/>
            </w:pPr>
          </w:p>
        </w:tc>
        <w:tc>
          <w:tcPr>
            <w:tcW w:w="3135" w:type="dxa"/>
            <w:gridSpan w:val="5"/>
            <w:shd w:val="clear" w:color="auto" w:fill="D9E2F3"/>
            <w:vAlign w:val="center"/>
          </w:tcPr>
          <w:p w14:paraId="5C1A71D0" w14:textId="77777777" w:rsidR="00990B14" w:rsidRDefault="00000000">
            <w:pPr>
              <w:spacing w:before="20" w:after="20"/>
              <w:jc w:val="both"/>
            </w:pPr>
            <w:r>
              <w:rPr>
                <w:sz w:val="18"/>
                <w:szCs w:val="18"/>
              </w:rPr>
              <w:t>2.2 Determina en equipo el aporte periódico del fondo que repone un activo al término de su vida útil.</w:t>
            </w:r>
          </w:p>
        </w:tc>
        <w:tc>
          <w:tcPr>
            <w:tcW w:w="3137" w:type="dxa"/>
            <w:gridSpan w:val="4"/>
            <w:shd w:val="clear" w:color="auto" w:fill="D9E2F3"/>
            <w:vAlign w:val="center"/>
          </w:tcPr>
          <w:p w14:paraId="7D8D19F7" w14:textId="77777777" w:rsidR="00990B14" w:rsidRDefault="00000000">
            <w:pPr>
              <w:spacing w:before="20" w:after="20"/>
              <w:jc w:val="both"/>
            </w:pPr>
            <w:r>
              <w:rPr>
                <w:b/>
                <w:bCs/>
                <w:sz w:val="18"/>
                <w:szCs w:val="18"/>
              </w:rPr>
              <w:t xml:space="preserve">Producto 16: </w:t>
            </w:r>
            <w:r>
              <w:rPr>
                <w:sz w:val="18"/>
                <w:szCs w:val="18"/>
              </w:rPr>
              <w:t>Plan del fondo de reposición de un activo fijo.</w:t>
            </w:r>
          </w:p>
        </w:tc>
      </w:tr>
      <w:tr w:rsidR="00990B14" w14:paraId="4C5293F6" w14:textId="77777777">
        <w:trPr>
          <w:cantSplit/>
          <w:jc w:val="center"/>
        </w:trPr>
        <w:tc>
          <w:tcPr>
            <w:tcW w:w="9405" w:type="dxa"/>
            <w:gridSpan w:val="13"/>
            <w:shd w:val="clear" w:color="auto" w:fill="4472C4"/>
            <w:vAlign w:val="center"/>
          </w:tcPr>
          <w:p w14:paraId="4FCED1C7" w14:textId="77777777" w:rsidR="00990B14" w:rsidRDefault="00000000">
            <w:pPr>
              <w:keepNext/>
              <w:spacing w:before="20" w:after="20"/>
              <w:jc w:val="center"/>
            </w:pPr>
            <w:r>
              <w:rPr>
                <w:b/>
                <w:bCs/>
                <w:i/>
                <w:iCs/>
                <w:color w:val="FFFFFF"/>
                <w:sz w:val="18"/>
                <w:szCs w:val="18"/>
              </w:rPr>
              <w:t>Evidencias de conocimiento</w:t>
            </w:r>
          </w:p>
        </w:tc>
      </w:tr>
      <w:tr w:rsidR="00990B14" w14:paraId="61D788CE" w14:textId="77777777">
        <w:trPr>
          <w:cantSplit/>
          <w:jc w:val="center"/>
        </w:trPr>
        <w:tc>
          <w:tcPr>
            <w:tcW w:w="2349" w:type="dxa"/>
            <w:gridSpan w:val="2"/>
            <w:shd w:val="clear" w:color="auto" w:fill="4472C4"/>
            <w:vAlign w:val="center"/>
          </w:tcPr>
          <w:p w14:paraId="170327F3"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6F20581C" w14:textId="77777777" w:rsidR="00990B14" w:rsidRDefault="00000000">
            <w:pPr>
              <w:keepNext/>
              <w:spacing w:before="20" w:after="20"/>
              <w:jc w:val="both"/>
            </w:pPr>
            <w:r>
              <w:rPr>
                <w:b/>
                <w:bCs/>
                <w:i/>
                <w:iCs/>
                <w:color w:val="FFFFFF"/>
                <w:sz w:val="18"/>
                <w:szCs w:val="18"/>
              </w:rPr>
              <w:t>Contenidos</w:t>
            </w:r>
          </w:p>
          <w:p w14:paraId="46E12B46"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4745F512" w14:textId="77777777" w:rsidR="00990B14" w:rsidRDefault="00000000">
            <w:pPr>
              <w:keepNext/>
              <w:spacing w:before="20" w:after="20"/>
              <w:jc w:val="center"/>
            </w:pPr>
            <w:r>
              <w:rPr>
                <w:b/>
                <w:bCs/>
                <w:i/>
                <w:iCs/>
                <w:color w:val="FFFFFF"/>
                <w:sz w:val="18"/>
                <w:szCs w:val="18"/>
              </w:rPr>
              <w:t>Conocimientos circunstanciales</w:t>
            </w:r>
          </w:p>
        </w:tc>
      </w:tr>
      <w:tr w:rsidR="00990B14" w14:paraId="731D2532" w14:textId="77777777">
        <w:trPr>
          <w:jc w:val="center"/>
        </w:trPr>
        <w:tc>
          <w:tcPr>
            <w:tcW w:w="2349" w:type="dxa"/>
            <w:gridSpan w:val="2"/>
            <w:shd w:val="clear" w:color="auto" w:fill="D9E2F3"/>
          </w:tcPr>
          <w:p w14:paraId="24A83BCD" w14:textId="77777777" w:rsidR="00990B14" w:rsidRDefault="00000000">
            <w:pPr>
              <w:spacing w:before="20" w:after="40"/>
              <w:jc w:val="both"/>
            </w:pPr>
            <w:r>
              <w:rPr>
                <w:sz w:val="18"/>
                <w:szCs w:val="18"/>
              </w:rPr>
              <w:t>Tema 8: Depreciación y agotamiento de recursos naturales</w:t>
            </w:r>
          </w:p>
        </w:tc>
        <w:tc>
          <w:tcPr>
            <w:tcW w:w="4304" w:type="dxa"/>
            <w:gridSpan w:val="8"/>
            <w:shd w:val="clear" w:color="auto" w:fill="D9E2F3"/>
          </w:tcPr>
          <w:p w14:paraId="650AEFB4" w14:textId="77777777" w:rsidR="00990B14" w:rsidRDefault="00000000">
            <w:pPr>
              <w:spacing w:after="40"/>
              <w:jc w:val="both"/>
            </w:pPr>
            <w:r>
              <w:rPr>
                <w:sz w:val="18"/>
                <w:szCs w:val="18"/>
              </w:rPr>
              <w:t>Valor en libros del activo. (C)</w:t>
            </w:r>
          </w:p>
          <w:p w14:paraId="6F9AAA20" w14:textId="77777777" w:rsidR="00990B14" w:rsidRDefault="00000000">
            <w:pPr>
              <w:spacing w:after="40"/>
              <w:jc w:val="both"/>
            </w:pPr>
            <w:r>
              <w:rPr>
                <w:sz w:val="18"/>
                <w:szCs w:val="18"/>
              </w:rPr>
              <w:t>Vida útil, valor residual y revisión del método de depreciación según la NIC 16. (C)</w:t>
            </w:r>
          </w:p>
          <w:p w14:paraId="1B7D7062" w14:textId="77777777" w:rsidR="00990B14" w:rsidRDefault="00000000">
            <w:pPr>
              <w:spacing w:after="40"/>
              <w:jc w:val="both"/>
            </w:pPr>
            <w:r>
              <w:rPr>
                <w:sz w:val="18"/>
                <w:szCs w:val="18"/>
              </w:rPr>
              <w:t>Métodos de depreciación: línea recta, depreciación acelerada y suma de los dígitos. (C)</w:t>
            </w:r>
          </w:p>
          <w:p w14:paraId="364D22AA" w14:textId="77777777" w:rsidR="00990B14" w:rsidRDefault="00000000">
            <w:pPr>
              <w:spacing w:after="40"/>
              <w:jc w:val="both"/>
            </w:pPr>
            <w:r>
              <w:rPr>
                <w:sz w:val="18"/>
                <w:szCs w:val="18"/>
              </w:rPr>
              <w:t>Depreciación por interés compuesto. (C)</w:t>
            </w:r>
          </w:p>
          <w:p w14:paraId="48379D0A" w14:textId="77777777" w:rsidR="00990B14" w:rsidRDefault="00000000">
            <w:pPr>
              <w:spacing w:after="40"/>
              <w:jc w:val="both"/>
            </w:pPr>
            <w:r>
              <w:rPr>
                <w:sz w:val="18"/>
                <w:szCs w:val="18"/>
              </w:rPr>
              <w:t>Depreciación por horas trabajadas y por unidades producidas. (C)</w:t>
            </w:r>
          </w:p>
          <w:p w14:paraId="189054D6" w14:textId="77777777" w:rsidR="00990B14" w:rsidRDefault="00000000">
            <w:pPr>
              <w:spacing w:after="40"/>
              <w:jc w:val="both"/>
            </w:pPr>
            <w:r>
              <w:rPr>
                <w:sz w:val="18"/>
                <w:szCs w:val="18"/>
              </w:rPr>
              <w:t>Fondos de amortización para la reposición de activos. (C)</w:t>
            </w:r>
          </w:p>
          <w:p w14:paraId="7413652A" w14:textId="77777777" w:rsidR="00990B14" w:rsidRDefault="00000000">
            <w:pPr>
              <w:spacing w:after="40"/>
              <w:jc w:val="both"/>
            </w:pPr>
            <w:r>
              <w:rPr>
                <w:sz w:val="18"/>
                <w:szCs w:val="18"/>
              </w:rPr>
              <w:t>Agotamiento de recursos naturales y uso sostenible del recurso. (C)</w:t>
            </w:r>
          </w:p>
          <w:p w14:paraId="271CEAC7" w14:textId="77777777" w:rsidR="00990B14" w:rsidRDefault="00000000">
            <w:pPr>
              <w:spacing w:after="40"/>
              <w:jc w:val="both"/>
            </w:pPr>
            <w:r>
              <w:rPr>
                <w:sz w:val="18"/>
                <w:szCs w:val="18"/>
              </w:rPr>
              <w:t>Aplicaciones en Excel y casos prácticos, con la verificación y la trazabilidad de los cálculos. (P, T)</w:t>
            </w:r>
          </w:p>
        </w:tc>
        <w:tc>
          <w:tcPr>
            <w:tcW w:w="2752" w:type="dxa"/>
            <w:gridSpan w:val="3"/>
            <w:shd w:val="clear" w:color="auto" w:fill="D9E2F3"/>
          </w:tcPr>
          <w:p w14:paraId="1B67AB23" w14:textId="77777777" w:rsidR="00990B14" w:rsidRDefault="00000000">
            <w:pPr>
              <w:numPr>
                <w:ilvl w:val="0"/>
                <w:numId w:val="139"/>
              </w:numPr>
              <w:spacing w:before="10" w:after="10"/>
              <w:jc w:val="both"/>
            </w:pPr>
            <w:r>
              <w:rPr>
                <w:sz w:val="18"/>
                <w:szCs w:val="18"/>
              </w:rPr>
              <w:t>Nociones de desgaste físico y de obsolescencia técnica de la maquinaria y los equipos.</w:t>
            </w:r>
          </w:p>
        </w:tc>
      </w:tr>
      <w:tr w:rsidR="00990B14" w14:paraId="7957AA3A" w14:textId="77777777">
        <w:trPr>
          <w:cantSplit/>
          <w:jc w:val="center"/>
        </w:trPr>
        <w:tc>
          <w:tcPr>
            <w:tcW w:w="9405" w:type="dxa"/>
            <w:gridSpan w:val="13"/>
            <w:shd w:val="clear" w:color="auto" w:fill="D9E2F3"/>
            <w:vAlign w:val="center"/>
          </w:tcPr>
          <w:p w14:paraId="4028D3F1" w14:textId="77777777" w:rsidR="00990B14" w:rsidRDefault="00000000">
            <w:pPr>
              <w:spacing w:before="20" w:after="20"/>
              <w:jc w:val="both"/>
            </w:pPr>
            <w:r>
              <w:rPr>
                <w:b/>
                <w:bCs/>
                <w:i/>
                <w:iCs/>
                <w:sz w:val="18"/>
                <w:szCs w:val="18"/>
              </w:rPr>
              <w:t xml:space="preserve">Elemento de competencia 5: </w:t>
            </w:r>
            <w:r>
              <w:rPr>
                <w:sz w:val="18"/>
                <w:szCs w:val="18"/>
              </w:rPr>
              <w:t>Evalúa inversiones y títulos valores del mercado financiero boliviano, determinando su valor, su rendimiento y su costo efectivo con las tasas vigentes del sistema financiero nacional.</w:t>
            </w:r>
          </w:p>
        </w:tc>
      </w:tr>
      <w:tr w:rsidR="00990B14" w14:paraId="675BC6CA" w14:textId="77777777">
        <w:trPr>
          <w:cantSplit/>
          <w:jc w:val="center"/>
        </w:trPr>
        <w:tc>
          <w:tcPr>
            <w:tcW w:w="3133" w:type="dxa"/>
            <w:gridSpan w:val="4"/>
            <w:shd w:val="clear" w:color="auto" w:fill="4472C4"/>
            <w:vAlign w:val="center"/>
          </w:tcPr>
          <w:p w14:paraId="332A5F91"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7BA1181C"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6E26F396" w14:textId="77777777" w:rsidR="00990B14" w:rsidRDefault="00000000">
            <w:pPr>
              <w:keepNext/>
              <w:spacing w:before="20" w:after="20"/>
              <w:jc w:val="center"/>
            </w:pPr>
            <w:r>
              <w:rPr>
                <w:b/>
                <w:bCs/>
                <w:i/>
                <w:iCs/>
                <w:color w:val="FFFFFF"/>
                <w:sz w:val="18"/>
                <w:szCs w:val="18"/>
              </w:rPr>
              <w:t>Evidencias de producto</w:t>
            </w:r>
          </w:p>
        </w:tc>
      </w:tr>
      <w:tr w:rsidR="00990B14" w14:paraId="7271944F" w14:textId="77777777">
        <w:trPr>
          <w:cantSplit/>
          <w:jc w:val="center"/>
        </w:trPr>
        <w:tc>
          <w:tcPr>
            <w:tcW w:w="3133" w:type="dxa"/>
            <w:gridSpan w:val="4"/>
            <w:vMerge w:val="restart"/>
            <w:shd w:val="clear" w:color="auto" w:fill="D9E2F3"/>
            <w:vAlign w:val="center"/>
          </w:tcPr>
          <w:p w14:paraId="46E6129E" w14:textId="77777777" w:rsidR="00990B14" w:rsidRDefault="00000000">
            <w:pPr>
              <w:spacing w:before="20" w:after="20"/>
              <w:jc w:val="both"/>
            </w:pPr>
            <w:r>
              <w:rPr>
                <w:sz w:val="18"/>
                <w:szCs w:val="18"/>
              </w:rPr>
              <w:t>1. Evalúa bonos, acciones y proyectos de inversión, determinando su precio, su rendimiento, el VAN, la TIR, el periodo de recuperación y el CAUE.</w:t>
            </w:r>
          </w:p>
        </w:tc>
        <w:tc>
          <w:tcPr>
            <w:tcW w:w="3135" w:type="dxa"/>
            <w:gridSpan w:val="5"/>
            <w:shd w:val="clear" w:color="auto" w:fill="D9E2F3"/>
            <w:vAlign w:val="center"/>
          </w:tcPr>
          <w:p w14:paraId="03650C12" w14:textId="77777777" w:rsidR="00990B14" w:rsidRDefault="00000000">
            <w:pPr>
              <w:spacing w:before="20" w:after="20"/>
              <w:jc w:val="both"/>
            </w:pPr>
            <w:r>
              <w:rPr>
                <w:sz w:val="18"/>
                <w:szCs w:val="18"/>
              </w:rPr>
              <w:t>1.1 Analiza en equipo una emisión de bonos inscrita en la Bolsa Boliviana de Valores y determina su precio teórico.</w:t>
            </w:r>
          </w:p>
        </w:tc>
        <w:tc>
          <w:tcPr>
            <w:tcW w:w="3137" w:type="dxa"/>
            <w:gridSpan w:val="4"/>
            <w:shd w:val="clear" w:color="auto" w:fill="D9E2F3"/>
            <w:vAlign w:val="center"/>
          </w:tcPr>
          <w:p w14:paraId="568CCBC1" w14:textId="77777777" w:rsidR="00990B14" w:rsidRDefault="00000000">
            <w:pPr>
              <w:spacing w:before="20" w:after="20"/>
              <w:jc w:val="both"/>
            </w:pPr>
            <w:r>
              <w:rPr>
                <w:b/>
                <w:bCs/>
                <w:sz w:val="18"/>
                <w:szCs w:val="18"/>
              </w:rPr>
              <w:t xml:space="preserve">Producto 17: </w:t>
            </w:r>
            <w:r>
              <w:rPr>
                <w:sz w:val="18"/>
                <w:szCs w:val="18"/>
              </w:rPr>
              <w:t>Cálculo del precio teórico y del rendimiento de un bono.</w:t>
            </w:r>
          </w:p>
        </w:tc>
      </w:tr>
      <w:tr w:rsidR="00990B14" w14:paraId="7112E66F" w14:textId="77777777">
        <w:trPr>
          <w:cantSplit/>
          <w:jc w:val="center"/>
        </w:trPr>
        <w:tc>
          <w:tcPr>
            <w:tcW w:w="3133" w:type="dxa"/>
            <w:gridSpan w:val="4"/>
            <w:vMerge/>
            <w:shd w:val="clear" w:color="auto" w:fill="D9E2F3"/>
            <w:vAlign w:val="center"/>
          </w:tcPr>
          <w:p w14:paraId="0A539BCE" w14:textId="77777777" w:rsidR="00990B14" w:rsidRDefault="00990B14">
            <w:pPr>
              <w:spacing w:before="20" w:after="20"/>
            </w:pPr>
          </w:p>
        </w:tc>
        <w:tc>
          <w:tcPr>
            <w:tcW w:w="3135" w:type="dxa"/>
            <w:gridSpan w:val="5"/>
            <w:shd w:val="clear" w:color="auto" w:fill="D9E2F3"/>
            <w:vAlign w:val="center"/>
          </w:tcPr>
          <w:p w14:paraId="448CE01D" w14:textId="77777777" w:rsidR="00990B14" w:rsidRDefault="00000000">
            <w:pPr>
              <w:spacing w:before="20" w:after="20"/>
              <w:jc w:val="both"/>
            </w:pPr>
            <w:r>
              <w:rPr>
                <w:sz w:val="18"/>
                <w:szCs w:val="18"/>
              </w:rPr>
              <w:t>1.2 Defiende ante el curso la decisión de inversión de un proyecto con su flujo de caja, VAN, TIR, periodo de recuperación y CAUE.</w:t>
            </w:r>
          </w:p>
        </w:tc>
        <w:tc>
          <w:tcPr>
            <w:tcW w:w="3137" w:type="dxa"/>
            <w:gridSpan w:val="4"/>
            <w:shd w:val="clear" w:color="auto" w:fill="D9E2F3"/>
            <w:vAlign w:val="center"/>
          </w:tcPr>
          <w:p w14:paraId="6B7E8DCD" w14:textId="77777777" w:rsidR="00990B14" w:rsidRDefault="00000000">
            <w:pPr>
              <w:spacing w:before="20" w:after="20"/>
              <w:jc w:val="both"/>
            </w:pPr>
            <w:r>
              <w:rPr>
                <w:b/>
                <w:bCs/>
                <w:sz w:val="18"/>
                <w:szCs w:val="18"/>
              </w:rPr>
              <w:t xml:space="preserve">Producto 18: </w:t>
            </w:r>
            <w:r>
              <w:rPr>
                <w:sz w:val="18"/>
                <w:szCs w:val="18"/>
              </w:rPr>
              <w:t>Informe de evaluación financiera de un proyecto de inversión.</w:t>
            </w:r>
          </w:p>
        </w:tc>
      </w:tr>
      <w:tr w:rsidR="00990B14" w14:paraId="637FA08D" w14:textId="77777777">
        <w:trPr>
          <w:cantSplit/>
          <w:jc w:val="center"/>
        </w:trPr>
        <w:tc>
          <w:tcPr>
            <w:tcW w:w="3133" w:type="dxa"/>
            <w:gridSpan w:val="4"/>
            <w:vMerge w:val="restart"/>
            <w:shd w:val="clear" w:color="auto" w:fill="D9E2F3"/>
            <w:vAlign w:val="center"/>
          </w:tcPr>
          <w:p w14:paraId="7D1F1EFD" w14:textId="77777777" w:rsidR="00990B14" w:rsidRDefault="00000000">
            <w:pPr>
              <w:spacing w:before="20" w:after="20"/>
              <w:jc w:val="both"/>
            </w:pPr>
            <w:r>
              <w:rPr>
                <w:sz w:val="18"/>
                <w:szCs w:val="18"/>
              </w:rPr>
              <w:t>2. Diferencia las tasas activas, pasivas, nominales, efectivas, de referencia, penales y reales del sistema financiero nacional, calculando la tasa efectiva al cliente con sus cargos y comisiones.</w:t>
            </w:r>
          </w:p>
        </w:tc>
        <w:tc>
          <w:tcPr>
            <w:tcW w:w="3135" w:type="dxa"/>
            <w:gridSpan w:val="5"/>
            <w:shd w:val="clear" w:color="auto" w:fill="D9E2F3"/>
            <w:vAlign w:val="center"/>
          </w:tcPr>
          <w:p w14:paraId="2DF4DB0E" w14:textId="77777777" w:rsidR="00990B14" w:rsidRDefault="00000000">
            <w:pPr>
              <w:spacing w:before="20" w:after="20"/>
              <w:jc w:val="both"/>
            </w:pPr>
            <w:r>
              <w:rPr>
                <w:sz w:val="18"/>
                <w:szCs w:val="18"/>
              </w:rPr>
              <w:t>2.1 Compara en el laboratorio de cómputo las tasas activas y pasivas de tres entidades financieras.</w:t>
            </w:r>
          </w:p>
        </w:tc>
        <w:tc>
          <w:tcPr>
            <w:tcW w:w="3137" w:type="dxa"/>
            <w:gridSpan w:val="4"/>
            <w:shd w:val="clear" w:color="auto" w:fill="D9E2F3"/>
            <w:vAlign w:val="center"/>
          </w:tcPr>
          <w:p w14:paraId="25846767" w14:textId="77777777" w:rsidR="00990B14" w:rsidRDefault="00000000">
            <w:pPr>
              <w:spacing w:before="20" w:after="20"/>
              <w:jc w:val="both"/>
            </w:pPr>
            <w:r>
              <w:rPr>
                <w:b/>
                <w:bCs/>
                <w:sz w:val="18"/>
                <w:szCs w:val="18"/>
              </w:rPr>
              <w:t xml:space="preserve">Producto 19: </w:t>
            </w:r>
            <w:r>
              <w:rPr>
                <w:sz w:val="18"/>
                <w:szCs w:val="18"/>
              </w:rPr>
              <w:t>Cuadro comparativo de tasas activas y pasivas de tres entidades financieras.</w:t>
            </w:r>
          </w:p>
        </w:tc>
      </w:tr>
      <w:tr w:rsidR="00990B14" w14:paraId="471FC489" w14:textId="77777777">
        <w:trPr>
          <w:cantSplit/>
          <w:jc w:val="center"/>
        </w:trPr>
        <w:tc>
          <w:tcPr>
            <w:tcW w:w="3133" w:type="dxa"/>
            <w:gridSpan w:val="4"/>
            <w:vMerge/>
            <w:shd w:val="clear" w:color="auto" w:fill="D9E2F3"/>
            <w:vAlign w:val="center"/>
          </w:tcPr>
          <w:p w14:paraId="323F1BAA" w14:textId="77777777" w:rsidR="00990B14" w:rsidRDefault="00990B14">
            <w:pPr>
              <w:spacing w:before="20" w:after="20"/>
            </w:pPr>
          </w:p>
        </w:tc>
        <w:tc>
          <w:tcPr>
            <w:tcW w:w="3135" w:type="dxa"/>
            <w:gridSpan w:val="5"/>
            <w:shd w:val="clear" w:color="auto" w:fill="D9E2F3"/>
            <w:vAlign w:val="center"/>
          </w:tcPr>
          <w:p w14:paraId="3A150573" w14:textId="77777777" w:rsidR="00990B14" w:rsidRDefault="00000000">
            <w:pPr>
              <w:spacing w:before="20" w:after="20"/>
              <w:jc w:val="both"/>
            </w:pPr>
            <w:r>
              <w:rPr>
                <w:sz w:val="18"/>
                <w:szCs w:val="18"/>
              </w:rPr>
              <w:t>2.2 Calcula en aula la tasa efectiva al cliente de un crédito de consumo con sus cargos y comisiones.</w:t>
            </w:r>
          </w:p>
        </w:tc>
        <w:tc>
          <w:tcPr>
            <w:tcW w:w="3137" w:type="dxa"/>
            <w:gridSpan w:val="4"/>
            <w:shd w:val="clear" w:color="auto" w:fill="D9E2F3"/>
            <w:vAlign w:val="center"/>
          </w:tcPr>
          <w:p w14:paraId="537EEB90" w14:textId="77777777" w:rsidR="00990B14" w:rsidRDefault="00000000">
            <w:pPr>
              <w:spacing w:before="20" w:after="20"/>
              <w:jc w:val="both"/>
            </w:pPr>
            <w:r>
              <w:rPr>
                <w:b/>
                <w:bCs/>
                <w:sz w:val="18"/>
                <w:szCs w:val="18"/>
              </w:rPr>
              <w:t xml:space="preserve">Producto 20: </w:t>
            </w:r>
            <w:r>
              <w:rPr>
                <w:sz w:val="18"/>
                <w:szCs w:val="18"/>
              </w:rPr>
              <w:t>Cálculo de la tasa efectiva al cliente de un crédito de consumo.</w:t>
            </w:r>
          </w:p>
        </w:tc>
      </w:tr>
      <w:tr w:rsidR="00990B14" w14:paraId="71B9DA11" w14:textId="77777777">
        <w:trPr>
          <w:cantSplit/>
          <w:jc w:val="center"/>
        </w:trPr>
        <w:tc>
          <w:tcPr>
            <w:tcW w:w="9405" w:type="dxa"/>
            <w:gridSpan w:val="13"/>
            <w:shd w:val="clear" w:color="auto" w:fill="4472C4"/>
            <w:vAlign w:val="center"/>
          </w:tcPr>
          <w:p w14:paraId="28C391B7" w14:textId="77777777" w:rsidR="00990B14" w:rsidRDefault="00000000">
            <w:pPr>
              <w:keepNext/>
              <w:spacing w:before="20" w:after="20"/>
              <w:jc w:val="center"/>
            </w:pPr>
            <w:r>
              <w:rPr>
                <w:b/>
                <w:bCs/>
                <w:i/>
                <w:iCs/>
                <w:color w:val="FFFFFF"/>
                <w:sz w:val="18"/>
                <w:szCs w:val="18"/>
              </w:rPr>
              <w:t>Evidencias de conocimiento</w:t>
            </w:r>
          </w:p>
        </w:tc>
      </w:tr>
      <w:tr w:rsidR="00990B14" w14:paraId="210F24F3" w14:textId="77777777">
        <w:trPr>
          <w:cantSplit/>
          <w:jc w:val="center"/>
        </w:trPr>
        <w:tc>
          <w:tcPr>
            <w:tcW w:w="2349" w:type="dxa"/>
            <w:gridSpan w:val="2"/>
            <w:shd w:val="clear" w:color="auto" w:fill="4472C4"/>
            <w:vAlign w:val="center"/>
          </w:tcPr>
          <w:p w14:paraId="01EFAE0C"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62F4BD2D" w14:textId="77777777" w:rsidR="00990B14" w:rsidRDefault="00000000">
            <w:pPr>
              <w:keepNext/>
              <w:spacing w:before="20" w:after="20"/>
              <w:jc w:val="both"/>
            </w:pPr>
            <w:r>
              <w:rPr>
                <w:b/>
                <w:bCs/>
                <w:i/>
                <w:iCs/>
                <w:color w:val="FFFFFF"/>
                <w:sz w:val="18"/>
                <w:szCs w:val="18"/>
              </w:rPr>
              <w:t>Contenidos</w:t>
            </w:r>
          </w:p>
          <w:p w14:paraId="620A57BE"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41D4F02F" w14:textId="77777777" w:rsidR="00990B14" w:rsidRDefault="00000000">
            <w:pPr>
              <w:keepNext/>
              <w:spacing w:before="20" w:after="20"/>
              <w:jc w:val="center"/>
            </w:pPr>
            <w:r>
              <w:rPr>
                <w:b/>
                <w:bCs/>
                <w:i/>
                <w:iCs/>
                <w:color w:val="FFFFFF"/>
                <w:sz w:val="18"/>
                <w:szCs w:val="18"/>
              </w:rPr>
              <w:t>Conocimientos circunstanciales</w:t>
            </w:r>
          </w:p>
        </w:tc>
      </w:tr>
      <w:tr w:rsidR="00990B14" w14:paraId="44C37E2D" w14:textId="77777777">
        <w:trPr>
          <w:jc w:val="center"/>
        </w:trPr>
        <w:tc>
          <w:tcPr>
            <w:tcW w:w="2349" w:type="dxa"/>
            <w:gridSpan w:val="2"/>
            <w:shd w:val="clear" w:color="auto" w:fill="D9E2F3"/>
          </w:tcPr>
          <w:p w14:paraId="5D094B01" w14:textId="77777777" w:rsidR="00990B14" w:rsidRDefault="00000000">
            <w:pPr>
              <w:spacing w:before="20" w:after="40"/>
              <w:jc w:val="both"/>
            </w:pPr>
            <w:r>
              <w:rPr>
                <w:sz w:val="18"/>
                <w:szCs w:val="18"/>
              </w:rPr>
              <w:t>Tema 9: Introducción a la Bolsa de Valores</w:t>
            </w:r>
          </w:p>
          <w:p w14:paraId="488F3F34" w14:textId="77777777" w:rsidR="00990B14" w:rsidRDefault="00000000">
            <w:pPr>
              <w:spacing w:before="20" w:after="40"/>
              <w:jc w:val="both"/>
            </w:pPr>
            <w:r>
              <w:rPr>
                <w:sz w:val="18"/>
                <w:szCs w:val="18"/>
              </w:rPr>
              <w:t>Tema 10: Valoración de bonos y acciones</w:t>
            </w:r>
          </w:p>
          <w:p w14:paraId="3A787F90" w14:textId="77777777" w:rsidR="00990B14" w:rsidRDefault="00000000">
            <w:pPr>
              <w:spacing w:before="20" w:after="40"/>
              <w:jc w:val="both"/>
            </w:pPr>
            <w:r>
              <w:rPr>
                <w:sz w:val="18"/>
                <w:szCs w:val="18"/>
              </w:rPr>
              <w:t>Tema 11: Criterios de valoración de inversiones</w:t>
            </w:r>
          </w:p>
          <w:p w14:paraId="3BC290B4" w14:textId="77777777" w:rsidR="00990B14" w:rsidRDefault="00000000">
            <w:pPr>
              <w:spacing w:before="20" w:after="40"/>
              <w:jc w:val="both"/>
            </w:pPr>
            <w:r>
              <w:rPr>
                <w:sz w:val="18"/>
                <w:szCs w:val="18"/>
              </w:rPr>
              <w:t>Tema 12: Tasas del sistema financiero nacional</w:t>
            </w:r>
          </w:p>
        </w:tc>
        <w:tc>
          <w:tcPr>
            <w:tcW w:w="4304" w:type="dxa"/>
            <w:gridSpan w:val="8"/>
            <w:shd w:val="clear" w:color="auto" w:fill="D9E2F3"/>
          </w:tcPr>
          <w:p w14:paraId="3236179E" w14:textId="77777777" w:rsidR="00990B14" w:rsidRDefault="00000000">
            <w:pPr>
              <w:spacing w:after="40"/>
              <w:jc w:val="both"/>
            </w:pPr>
            <w:r>
              <w:rPr>
                <w:sz w:val="18"/>
                <w:szCs w:val="18"/>
              </w:rPr>
              <w:t>Fundamentos del mercado de valores: concepto, función económica y diferencia entre el mercado financiero (bancos) y el mercado bursátil. (C)</w:t>
            </w:r>
          </w:p>
          <w:p w14:paraId="6034D426" w14:textId="77777777" w:rsidR="00990B14" w:rsidRDefault="00000000">
            <w:pPr>
              <w:spacing w:after="40"/>
              <w:jc w:val="both"/>
            </w:pPr>
            <w:r>
              <w:rPr>
                <w:sz w:val="18"/>
                <w:szCs w:val="18"/>
              </w:rPr>
              <w:t>Simulador de inversiones en bolsa. (T)</w:t>
            </w:r>
          </w:p>
          <w:p w14:paraId="65BBA825" w14:textId="77777777" w:rsidR="00990B14" w:rsidRDefault="00000000">
            <w:pPr>
              <w:spacing w:after="40"/>
              <w:jc w:val="both"/>
            </w:pPr>
            <w:r>
              <w:rPr>
                <w:sz w:val="18"/>
                <w:szCs w:val="18"/>
              </w:rPr>
              <w:t>Valoración de bonos: precio bajo la par, a la par y sobre la par. (P)</w:t>
            </w:r>
          </w:p>
          <w:p w14:paraId="6B2E7452" w14:textId="77777777" w:rsidR="00990B14" w:rsidRDefault="00000000">
            <w:pPr>
              <w:spacing w:after="40"/>
              <w:jc w:val="both"/>
            </w:pPr>
            <w:r>
              <w:rPr>
                <w:sz w:val="18"/>
                <w:szCs w:val="18"/>
              </w:rPr>
              <w:t>Tipos de bonos y tasa de rendimiento. (C)</w:t>
            </w:r>
          </w:p>
          <w:p w14:paraId="703168AB" w14:textId="77777777" w:rsidR="00990B14" w:rsidRDefault="00000000">
            <w:pPr>
              <w:spacing w:after="40"/>
              <w:jc w:val="both"/>
            </w:pPr>
            <w:r>
              <w:rPr>
                <w:sz w:val="18"/>
                <w:szCs w:val="18"/>
              </w:rPr>
              <w:t>Cálculo del valor de bonos y riesgo de tasa de interés. (P)</w:t>
            </w:r>
          </w:p>
          <w:p w14:paraId="32896421" w14:textId="77777777" w:rsidR="00990B14" w:rsidRDefault="00000000">
            <w:pPr>
              <w:spacing w:after="40"/>
              <w:jc w:val="both"/>
            </w:pPr>
            <w:r>
              <w:rPr>
                <w:sz w:val="18"/>
                <w:szCs w:val="18"/>
              </w:rPr>
              <w:t>Valoración de acciones. (P)</w:t>
            </w:r>
          </w:p>
          <w:p w14:paraId="5BD31124" w14:textId="77777777" w:rsidR="00990B14" w:rsidRDefault="00000000">
            <w:pPr>
              <w:spacing w:after="40"/>
              <w:jc w:val="both"/>
            </w:pPr>
            <w:r>
              <w:rPr>
                <w:sz w:val="18"/>
                <w:szCs w:val="18"/>
              </w:rPr>
              <w:t>Periodo de recuperación de la inversión (payback). (C)</w:t>
            </w:r>
          </w:p>
          <w:p w14:paraId="4B457309" w14:textId="77777777" w:rsidR="00990B14" w:rsidRDefault="00000000">
            <w:pPr>
              <w:spacing w:after="40"/>
              <w:jc w:val="both"/>
            </w:pPr>
            <w:r>
              <w:rPr>
                <w:sz w:val="18"/>
                <w:szCs w:val="18"/>
              </w:rPr>
              <w:t>Valor Actual Neto (VAN) y su representación gráfica. (C)</w:t>
            </w:r>
          </w:p>
          <w:p w14:paraId="425AFBC2" w14:textId="77777777" w:rsidR="00990B14" w:rsidRDefault="00000000">
            <w:pPr>
              <w:spacing w:after="40"/>
              <w:jc w:val="both"/>
            </w:pPr>
            <w:r>
              <w:rPr>
                <w:sz w:val="18"/>
                <w:szCs w:val="18"/>
              </w:rPr>
              <w:t>Tasa Interna de Retorno (TIR). (C)</w:t>
            </w:r>
          </w:p>
          <w:p w14:paraId="37791300" w14:textId="77777777" w:rsidR="00990B14" w:rsidRDefault="00000000">
            <w:pPr>
              <w:spacing w:after="40"/>
              <w:jc w:val="both"/>
            </w:pPr>
            <w:r>
              <w:rPr>
                <w:sz w:val="18"/>
                <w:szCs w:val="18"/>
              </w:rPr>
              <w:t>Costo Anual Uniforme Equivalente (CAUE). (C)</w:t>
            </w:r>
          </w:p>
          <w:p w14:paraId="3ADAB274" w14:textId="77777777" w:rsidR="00990B14" w:rsidRDefault="00000000">
            <w:pPr>
              <w:spacing w:after="40"/>
              <w:jc w:val="both"/>
            </w:pPr>
            <w:r>
              <w:rPr>
                <w:sz w:val="18"/>
                <w:szCs w:val="18"/>
              </w:rPr>
              <w:t>Análisis de sensibilidad y riesgo de un proyecto de inversión. (P)</w:t>
            </w:r>
          </w:p>
          <w:p w14:paraId="72FCE29B" w14:textId="77777777" w:rsidR="00990B14" w:rsidRDefault="00000000">
            <w:pPr>
              <w:spacing w:after="40"/>
              <w:jc w:val="both"/>
            </w:pPr>
            <w:r>
              <w:rPr>
                <w:sz w:val="18"/>
                <w:szCs w:val="18"/>
              </w:rPr>
              <w:t>Tasa de interés activa y pasiva, nominal y efectiva. (C)</w:t>
            </w:r>
          </w:p>
          <w:p w14:paraId="6A8E45AC" w14:textId="77777777" w:rsidR="00990B14" w:rsidRDefault="00000000">
            <w:pPr>
              <w:spacing w:after="40"/>
              <w:jc w:val="both"/>
            </w:pPr>
            <w:r>
              <w:rPr>
                <w:sz w:val="18"/>
                <w:szCs w:val="18"/>
              </w:rPr>
              <w:t>Consolidación de tasas de interés y tasa de interés efectiva al cliente. (C)</w:t>
            </w:r>
          </w:p>
          <w:p w14:paraId="6F13D0F1" w14:textId="77777777" w:rsidR="00990B14" w:rsidRDefault="00000000">
            <w:pPr>
              <w:spacing w:after="40"/>
              <w:jc w:val="both"/>
            </w:pPr>
            <w:r>
              <w:rPr>
                <w:sz w:val="18"/>
                <w:szCs w:val="18"/>
              </w:rPr>
              <w:t>Tasa de interés de referencia, tasa de interés penal y tasa de interés real. (C)</w:t>
            </w:r>
          </w:p>
          <w:p w14:paraId="6643983F" w14:textId="77777777" w:rsidR="00990B14" w:rsidRDefault="00000000">
            <w:pPr>
              <w:spacing w:after="40"/>
              <w:jc w:val="both"/>
            </w:pPr>
            <w:r>
              <w:rPr>
                <w:sz w:val="18"/>
                <w:szCs w:val="18"/>
              </w:rPr>
              <w:t>Transparencia de la información y protección del consumidor financiero en el cálculo de tasas y cargos. (P, A)</w:t>
            </w:r>
          </w:p>
          <w:p w14:paraId="4A349BE7" w14:textId="77777777" w:rsidR="00990B14" w:rsidRDefault="00000000">
            <w:pPr>
              <w:spacing w:after="40"/>
              <w:jc w:val="both"/>
            </w:pPr>
            <w:r>
              <w:rPr>
                <w:sz w:val="18"/>
                <w:szCs w:val="18"/>
              </w:rPr>
              <w:t>Aplicaciones en Excel y casos prácticos, con la verificación y la trazabilidad de los cálculos. (P, T)</w:t>
            </w:r>
          </w:p>
        </w:tc>
        <w:tc>
          <w:tcPr>
            <w:tcW w:w="2752" w:type="dxa"/>
            <w:gridSpan w:val="3"/>
            <w:shd w:val="clear" w:color="auto" w:fill="D9E2F3"/>
          </w:tcPr>
          <w:p w14:paraId="5F4DBFC9" w14:textId="77777777" w:rsidR="00990B14" w:rsidRDefault="00000000">
            <w:pPr>
              <w:numPr>
                <w:ilvl w:val="0"/>
                <w:numId w:val="139"/>
              </w:numPr>
              <w:spacing w:before="10" w:after="10"/>
              <w:jc w:val="both"/>
            </w:pPr>
            <w:r>
              <w:rPr>
                <w:sz w:val="18"/>
                <w:szCs w:val="18"/>
              </w:rPr>
              <w:t>Lectura de boletines de cotizaciones de valores de renta fija.</w:t>
            </w:r>
          </w:p>
        </w:tc>
      </w:tr>
    </w:tbl>
    <w:p w14:paraId="1ACC5D5D"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675"/>
        <w:gridCol w:w="1675"/>
        <w:gridCol w:w="1841"/>
        <w:gridCol w:w="1675"/>
        <w:gridCol w:w="2539"/>
      </w:tblGrid>
      <w:tr w:rsidR="00990B14" w14:paraId="3A9D63C4" w14:textId="77777777">
        <w:trPr>
          <w:cantSplit/>
          <w:jc w:val="center"/>
        </w:trPr>
        <w:tc>
          <w:tcPr>
            <w:tcW w:w="9405" w:type="dxa"/>
            <w:gridSpan w:val="5"/>
            <w:shd w:val="clear" w:color="auto" w:fill="4472C4"/>
            <w:vAlign w:val="center"/>
          </w:tcPr>
          <w:p w14:paraId="2D268A89" w14:textId="77777777" w:rsidR="00990B14" w:rsidRDefault="00000000">
            <w:pPr>
              <w:keepNext/>
              <w:spacing w:before="20" w:after="20"/>
              <w:jc w:val="center"/>
            </w:pPr>
            <w:r>
              <w:rPr>
                <w:b/>
                <w:bCs/>
                <w:i/>
                <w:iCs/>
                <w:color w:val="FFFFFF"/>
                <w:sz w:val="18"/>
                <w:szCs w:val="18"/>
              </w:rPr>
              <w:t>Actividades</w:t>
            </w:r>
          </w:p>
        </w:tc>
      </w:tr>
      <w:tr w:rsidR="00990B14" w14:paraId="3ABCA0D6" w14:textId="77777777">
        <w:trPr>
          <w:cantSplit/>
          <w:jc w:val="center"/>
        </w:trPr>
        <w:tc>
          <w:tcPr>
            <w:tcW w:w="1675" w:type="dxa"/>
            <w:shd w:val="clear" w:color="auto" w:fill="4472C4"/>
            <w:vAlign w:val="center"/>
          </w:tcPr>
          <w:p w14:paraId="4309204F" w14:textId="77777777" w:rsidR="00990B14" w:rsidRDefault="00000000">
            <w:pPr>
              <w:keepNext/>
              <w:spacing w:before="20" w:after="20"/>
              <w:jc w:val="center"/>
            </w:pPr>
            <w:r>
              <w:rPr>
                <w:b/>
                <w:bCs/>
                <w:i/>
                <w:iCs/>
                <w:color w:val="FFFFFF"/>
                <w:sz w:val="18"/>
                <w:szCs w:val="18"/>
              </w:rPr>
              <w:t>En clase</w:t>
            </w:r>
          </w:p>
        </w:tc>
        <w:tc>
          <w:tcPr>
            <w:tcW w:w="1675" w:type="dxa"/>
            <w:shd w:val="clear" w:color="auto" w:fill="4472C4"/>
            <w:vAlign w:val="center"/>
          </w:tcPr>
          <w:p w14:paraId="502942D3" w14:textId="77777777" w:rsidR="00990B14" w:rsidRDefault="00000000">
            <w:pPr>
              <w:keepNext/>
              <w:spacing w:before="20" w:after="20"/>
              <w:jc w:val="center"/>
            </w:pPr>
            <w:r>
              <w:rPr>
                <w:b/>
                <w:bCs/>
                <w:i/>
                <w:iCs/>
                <w:color w:val="FFFFFF"/>
                <w:sz w:val="18"/>
                <w:szCs w:val="18"/>
              </w:rPr>
              <w:t>Autónomas</w:t>
            </w:r>
          </w:p>
        </w:tc>
        <w:tc>
          <w:tcPr>
            <w:tcW w:w="1841" w:type="dxa"/>
            <w:shd w:val="clear" w:color="auto" w:fill="4472C4"/>
            <w:vAlign w:val="center"/>
          </w:tcPr>
          <w:p w14:paraId="59F58778" w14:textId="77777777" w:rsidR="00990B14" w:rsidRDefault="00000000">
            <w:pPr>
              <w:keepNext/>
              <w:spacing w:before="20" w:after="20"/>
              <w:jc w:val="center"/>
            </w:pPr>
            <w:r>
              <w:rPr>
                <w:b/>
                <w:bCs/>
                <w:i/>
                <w:iCs/>
                <w:color w:val="FFFFFF"/>
                <w:sz w:val="18"/>
                <w:szCs w:val="18"/>
              </w:rPr>
              <w:t>B-Learning</w:t>
            </w:r>
          </w:p>
        </w:tc>
        <w:tc>
          <w:tcPr>
            <w:tcW w:w="1675" w:type="dxa"/>
            <w:shd w:val="clear" w:color="auto" w:fill="4472C4"/>
            <w:vAlign w:val="center"/>
          </w:tcPr>
          <w:p w14:paraId="3B5AF93C" w14:textId="77777777" w:rsidR="00990B14" w:rsidRDefault="00000000">
            <w:pPr>
              <w:keepNext/>
              <w:spacing w:before="20" w:after="20"/>
              <w:jc w:val="center"/>
            </w:pPr>
            <w:r>
              <w:rPr>
                <w:b/>
                <w:bCs/>
                <w:i/>
                <w:iCs/>
                <w:color w:val="FFFFFF"/>
                <w:sz w:val="18"/>
                <w:szCs w:val="18"/>
              </w:rPr>
              <w:t>Taller</w:t>
            </w:r>
          </w:p>
        </w:tc>
        <w:tc>
          <w:tcPr>
            <w:tcW w:w="2539" w:type="dxa"/>
            <w:shd w:val="clear" w:color="auto" w:fill="4472C4"/>
            <w:vAlign w:val="center"/>
          </w:tcPr>
          <w:p w14:paraId="2C184931" w14:textId="77777777" w:rsidR="00990B14" w:rsidRDefault="00000000">
            <w:pPr>
              <w:keepNext/>
              <w:spacing w:before="20" w:after="20"/>
              <w:jc w:val="center"/>
            </w:pPr>
            <w:r>
              <w:rPr>
                <w:b/>
                <w:bCs/>
                <w:i/>
                <w:iCs/>
                <w:color w:val="FFFFFF"/>
                <w:sz w:val="18"/>
                <w:szCs w:val="18"/>
              </w:rPr>
              <w:t>Investigación/Práctica</w:t>
            </w:r>
          </w:p>
        </w:tc>
      </w:tr>
      <w:tr w:rsidR="00990B14" w14:paraId="49D2E035" w14:textId="77777777">
        <w:trPr>
          <w:jc w:val="center"/>
        </w:trPr>
        <w:tc>
          <w:tcPr>
            <w:tcW w:w="1675" w:type="dxa"/>
            <w:shd w:val="clear" w:color="auto" w:fill="D9E2F3"/>
          </w:tcPr>
          <w:p w14:paraId="717308E2" w14:textId="77777777" w:rsidR="00990B14" w:rsidRDefault="00000000">
            <w:pPr>
              <w:numPr>
                <w:ilvl w:val="0"/>
                <w:numId w:val="139"/>
              </w:numPr>
              <w:spacing w:before="10" w:after="10"/>
              <w:jc w:val="both"/>
            </w:pPr>
            <w:r>
              <w:rPr>
                <w:sz w:val="18"/>
                <w:szCs w:val="18"/>
              </w:rPr>
              <w:t>Exposición dialogada del valor del dinero en el tiempo con operaciones del comercio boliviano.</w:t>
            </w:r>
          </w:p>
          <w:p w14:paraId="6528A974" w14:textId="77777777" w:rsidR="00990B14" w:rsidRDefault="00000000">
            <w:pPr>
              <w:numPr>
                <w:ilvl w:val="0"/>
                <w:numId w:val="139"/>
              </w:numPr>
              <w:spacing w:before="10" w:after="10"/>
              <w:jc w:val="both"/>
            </w:pPr>
            <w:r>
              <w:rPr>
                <w:sz w:val="18"/>
                <w:szCs w:val="18"/>
              </w:rPr>
              <w:t>Resolución guiada de ejercicios de interés, rentas y amortización con diagramas de tiempo.</w:t>
            </w:r>
          </w:p>
          <w:p w14:paraId="63F9C1F2" w14:textId="77777777" w:rsidR="00990B14" w:rsidRDefault="00000000">
            <w:pPr>
              <w:numPr>
                <w:ilvl w:val="0"/>
                <w:numId w:val="139"/>
              </w:numPr>
              <w:spacing w:before="10" w:after="10"/>
              <w:jc w:val="both"/>
            </w:pPr>
            <w:r>
              <w:rPr>
                <w:sz w:val="18"/>
                <w:szCs w:val="18"/>
              </w:rPr>
              <w:t>Demostración en hoja de cálculo de las funciones financieras VF, VA, PAGO, TASA, VNA y TIR.</w:t>
            </w:r>
          </w:p>
          <w:p w14:paraId="7F9255F3" w14:textId="77777777" w:rsidR="00990B14" w:rsidRDefault="00000000">
            <w:pPr>
              <w:numPr>
                <w:ilvl w:val="0"/>
                <w:numId w:val="139"/>
              </w:numPr>
              <w:spacing w:before="10" w:after="10"/>
              <w:jc w:val="both"/>
            </w:pPr>
            <w:r>
              <w:rPr>
                <w:sz w:val="18"/>
                <w:szCs w:val="18"/>
              </w:rPr>
              <w:t>Análisis de planes de pagos y de ofertas de crédito de entidades financieras.</w:t>
            </w:r>
          </w:p>
          <w:p w14:paraId="2BF840D7" w14:textId="77777777" w:rsidR="00990B14" w:rsidRDefault="00000000">
            <w:pPr>
              <w:numPr>
                <w:ilvl w:val="0"/>
                <w:numId w:val="139"/>
              </w:numPr>
              <w:spacing w:before="10" w:after="10"/>
              <w:jc w:val="both"/>
            </w:pPr>
            <w:r>
              <w:rPr>
                <w:sz w:val="18"/>
                <w:szCs w:val="18"/>
              </w:rPr>
              <w:t>Preguntas de comprensión sobre la elección de la fórmula según el tipo de operación.</w:t>
            </w:r>
          </w:p>
        </w:tc>
        <w:tc>
          <w:tcPr>
            <w:tcW w:w="1675" w:type="dxa"/>
            <w:shd w:val="clear" w:color="auto" w:fill="D9E2F3"/>
          </w:tcPr>
          <w:p w14:paraId="6DDC51CB" w14:textId="77777777" w:rsidR="00990B14" w:rsidRDefault="00000000">
            <w:pPr>
              <w:numPr>
                <w:ilvl w:val="0"/>
                <w:numId w:val="139"/>
              </w:numPr>
              <w:spacing w:before="10" w:after="10"/>
              <w:jc w:val="both"/>
            </w:pPr>
            <w:r>
              <w:rPr>
                <w:sz w:val="18"/>
                <w:szCs w:val="18"/>
              </w:rPr>
              <w:t>Resolución de guías de ejercicios al cierre de cada tema.</w:t>
            </w:r>
          </w:p>
          <w:p w14:paraId="383AC2D8" w14:textId="77777777" w:rsidR="00990B14" w:rsidRDefault="00000000">
            <w:pPr>
              <w:numPr>
                <w:ilvl w:val="0"/>
                <w:numId w:val="139"/>
              </w:numPr>
              <w:spacing w:before="10" w:after="10"/>
              <w:jc w:val="both"/>
            </w:pPr>
            <w:r>
              <w:rPr>
                <w:sz w:val="18"/>
                <w:szCs w:val="18"/>
              </w:rPr>
              <w:t>Lectura de la normativa de la ASFI sobre tasas de interés.</w:t>
            </w:r>
          </w:p>
          <w:p w14:paraId="4151BA1A" w14:textId="77777777" w:rsidR="00990B14" w:rsidRDefault="00000000">
            <w:pPr>
              <w:numPr>
                <w:ilvl w:val="0"/>
                <w:numId w:val="139"/>
              </w:numPr>
              <w:spacing w:before="10" w:after="10"/>
              <w:jc w:val="both"/>
            </w:pPr>
            <w:r>
              <w:rPr>
                <w:sz w:val="18"/>
                <w:szCs w:val="18"/>
              </w:rPr>
              <w:t>Construcción progresiva de un libro personal de hoja de cálculo financiera.</w:t>
            </w:r>
          </w:p>
        </w:tc>
        <w:tc>
          <w:tcPr>
            <w:tcW w:w="1841" w:type="dxa"/>
            <w:shd w:val="clear" w:color="auto" w:fill="D9E2F3"/>
          </w:tcPr>
          <w:p w14:paraId="775D44EB" w14:textId="77777777" w:rsidR="00990B14" w:rsidRDefault="00000000">
            <w:pPr>
              <w:numPr>
                <w:ilvl w:val="0"/>
                <w:numId w:val="139"/>
              </w:numPr>
              <w:spacing w:before="10" w:after="10"/>
              <w:jc w:val="both"/>
            </w:pPr>
            <w:r>
              <w:rPr>
                <w:sz w:val="18"/>
                <w:szCs w:val="18"/>
              </w:rPr>
              <w:t>Cuestionarios de comprensión en la plataforma Moodle UMSA.</w:t>
            </w:r>
          </w:p>
          <w:p w14:paraId="5029E488" w14:textId="77777777" w:rsidR="00990B14" w:rsidRDefault="00000000">
            <w:pPr>
              <w:numPr>
                <w:ilvl w:val="0"/>
                <w:numId w:val="139"/>
              </w:numPr>
              <w:spacing w:before="10" w:after="10"/>
              <w:jc w:val="both"/>
            </w:pPr>
            <w:r>
              <w:rPr>
                <w:sz w:val="18"/>
                <w:szCs w:val="18"/>
              </w:rPr>
              <w:t>Foros de consulta sobre ejercicios resueltos.</w:t>
            </w:r>
          </w:p>
          <w:p w14:paraId="7231044E" w14:textId="77777777" w:rsidR="00990B14" w:rsidRDefault="00000000">
            <w:pPr>
              <w:numPr>
                <w:ilvl w:val="0"/>
                <w:numId w:val="139"/>
              </w:numPr>
              <w:spacing w:before="10" w:after="10"/>
              <w:jc w:val="both"/>
            </w:pPr>
            <w:r>
              <w:rPr>
                <w:sz w:val="18"/>
                <w:szCs w:val="18"/>
              </w:rPr>
              <w:t>Videotutoriales de funciones financieras de Excel.</w:t>
            </w:r>
          </w:p>
        </w:tc>
        <w:tc>
          <w:tcPr>
            <w:tcW w:w="1675" w:type="dxa"/>
            <w:shd w:val="clear" w:color="auto" w:fill="D9E2F3"/>
          </w:tcPr>
          <w:p w14:paraId="5D7F0870" w14:textId="77777777" w:rsidR="00990B14" w:rsidRDefault="00000000">
            <w:pPr>
              <w:numPr>
                <w:ilvl w:val="0"/>
                <w:numId w:val="139"/>
              </w:numPr>
              <w:spacing w:before="10" w:after="10"/>
              <w:jc w:val="both"/>
            </w:pPr>
            <w:r>
              <w:rPr>
                <w:sz w:val="18"/>
                <w:szCs w:val="18"/>
              </w:rPr>
              <w:t>Laboratorio de hoja de cálculo por tema.</w:t>
            </w:r>
          </w:p>
          <w:p w14:paraId="6D73A44D" w14:textId="77777777" w:rsidR="00990B14" w:rsidRDefault="00000000">
            <w:pPr>
              <w:numPr>
                <w:ilvl w:val="0"/>
                <w:numId w:val="139"/>
              </w:numPr>
              <w:spacing w:before="10" w:after="10"/>
              <w:jc w:val="both"/>
            </w:pPr>
            <w:r>
              <w:rPr>
                <w:sz w:val="18"/>
                <w:szCs w:val="18"/>
              </w:rPr>
              <w:t>Resolución colaborativa de casos prácticos.</w:t>
            </w:r>
          </w:p>
          <w:p w14:paraId="0873023B" w14:textId="77777777" w:rsidR="00990B14" w:rsidRDefault="00000000">
            <w:pPr>
              <w:numPr>
                <w:ilvl w:val="0"/>
                <w:numId w:val="139"/>
              </w:numPr>
              <w:spacing w:before="10" w:after="10"/>
              <w:jc w:val="both"/>
            </w:pPr>
            <w:r>
              <w:rPr>
                <w:sz w:val="18"/>
                <w:szCs w:val="18"/>
              </w:rPr>
              <w:t>Simulación de negociación de una deuda entre acreedor y deudor.</w:t>
            </w:r>
          </w:p>
        </w:tc>
        <w:tc>
          <w:tcPr>
            <w:tcW w:w="2539" w:type="dxa"/>
            <w:shd w:val="clear" w:color="auto" w:fill="D9E2F3"/>
          </w:tcPr>
          <w:p w14:paraId="3F294669" w14:textId="77777777" w:rsidR="00990B14" w:rsidRDefault="00000000">
            <w:pPr>
              <w:numPr>
                <w:ilvl w:val="0"/>
                <w:numId w:val="139"/>
              </w:numPr>
              <w:spacing w:before="10" w:after="10"/>
              <w:jc w:val="both"/>
            </w:pPr>
            <w:r>
              <w:rPr>
                <w:sz w:val="18"/>
                <w:szCs w:val="18"/>
              </w:rPr>
              <w:t>Recopilación de tasas vigentes de entidades financieras.</w:t>
            </w:r>
          </w:p>
          <w:p w14:paraId="2D7EEDBB" w14:textId="77777777" w:rsidR="00990B14" w:rsidRDefault="00000000">
            <w:pPr>
              <w:numPr>
                <w:ilvl w:val="0"/>
                <w:numId w:val="139"/>
              </w:numPr>
              <w:spacing w:before="10" w:after="10"/>
              <w:jc w:val="both"/>
            </w:pPr>
            <w:r>
              <w:rPr>
                <w:sz w:val="18"/>
                <w:szCs w:val="18"/>
              </w:rPr>
              <w:t>Revisión de prospectos de emisión de la Bolsa Boliviana de Valores.</w:t>
            </w:r>
          </w:p>
          <w:p w14:paraId="7972F2A0" w14:textId="77777777" w:rsidR="00990B14" w:rsidRDefault="00000000">
            <w:pPr>
              <w:numPr>
                <w:ilvl w:val="0"/>
                <w:numId w:val="139"/>
              </w:numPr>
              <w:spacing w:before="10" w:after="10"/>
              <w:jc w:val="both"/>
            </w:pPr>
            <w:r>
              <w:rPr>
                <w:sz w:val="18"/>
                <w:szCs w:val="18"/>
              </w:rPr>
              <w:t>Análisis de un plan de pagos real de un crédito.</w:t>
            </w:r>
          </w:p>
        </w:tc>
      </w:tr>
    </w:tbl>
    <w:p w14:paraId="39F0234D"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900"/>
        <w:gridCol w:w="1876"/>
        <w:gridCol w:w="1876"/>
        <w:gridCol w:w="1876"/>
        <w:gridCol w:w="1877"/>
      </w:tblGrid>
      <w:tr w:rsidR="00990B14" w14:paraId="000CC38C" w14:textId="77777777">
        <w:trPr>
          <w:jc w:val="center"/>
        </w:trPr>
        <w:tc>
          <w:tcPr>
            <w:tcW w:w="1900" w:type="dxa"/>
            <w:shd w:val="clear" w:color="auto" w:fill="4472C4"/>
            <w:vAlign w:val="center"/>
          </w:tcPr>
          <w:p w14:paraId="4C8716D7" w14:textId="77777777" w:rsidR="00990B14" w:rsidRDefault="00000000">
            <w:pPr>
              <w:spacing w:before="20" w:after="20"/>
              <w:jc w:val="center"/>
            </w:pPr>
            <w:r>
              <w:rPr>
                <w:b/>
                <w:bCs/>
                <w:i/>
                <w:iCs/>
                <w:color w:val="FFFFFF"/>
                <w:sz w:val="18"/>
                <w:szCs w:val="18"/>
              </w:rPr>
              <w:t>Estrategias de aprendizaje y enseñanza</w:t>
            </w:r>
          </w:p>
        </w:tc>
        <w:tc>
          <w:tcPr>
            <w:tcW w:w="7505" w:type="dxa"/>
            <w:gridSpan w:val="4"/>
            <w:shd w:val="clear" w:color="auto" w:fill="D9E2F3"/>
            <w:vAlign w:val="center"/>
          </w:tcPr>
          <w:p w14:paraId="75841616" w14:textId="77777777" w:rsidR="00990B14" w:rsidRDefault="00000000">
            <w:pPr>
              <w:numPr>
                <w:ilvl w:val="0"/>
                <w:numId w:val="140"/>
              </w:numPr>
              <w:spacing w:before="10" w:after="10"/>
              <w:jc w:val="both"/>
            </w:pPr>
            <w:r>
              <w:rPr>
                <w:sz w:val="18"/>
                <w:szCs w:val="18"/>
              </w:rPr>
              <w:t>Aprendizaje basado en problemas con casos del sistema financiero boliviano.</w:t>
            </w:r>
          </w:p>
          <w:p w14:paraId="67503DFB" w14:textId="77777777" w:rsidR="00990B14" w:rsidRDefault="00000000">
            <w:pPr>
              <w:numPr>
                <w:ilvl w:val="0"/>
                <w:numId w:val="140"/>
              </w:numPr>
              <w:spacing w:before="10" w:after="10"/>
              <w:jc w:val="both"/>
            </w:pPr>
            <w:r>
              <w:rPr>
                <w:sz w:val="18"/>
                <w:szCs w:val="18"/>
              </w:rPr>
              <w:t>Resolución guiada de ejercicios en orden de dificultad creciente.</w:t>
            </w:r>
          </w:p>
          <w:p w14:paraId="0C66A6EB" w14:textId="77777777" w:rsidR="00990B14" w:rsidRDefault="00000000">
            <w:pPr>
              <w:numPr>
                <w:ilvl w:val="0"/>
                <w:numId w:val="140"/>
              </w:numPr>
              <w:spacing w:before="10" w:after="10"/>
              <w:jc w:val="both"/>
            </w:pPr>
            <w:r>
              <w:rPr>
                <w:sz w:val="18"/>
                <w:szCs w:val="18"/>
              </w:rPr>
              <w:t>Laboratorio de hoja de cálculo aplicado a cada tema.</w:t>
            </w:r>
          </w:p>
          <w:p w14:paraId="591E4BF4" w14:textId="77777777" w:rsidR="00990B14" w:rsidRDefault="00000000">
            <w:pPr>
              <w:numPr>
                <w:ilvl w:val="0"/>
                <w:numId w:val="140"/>
              </w:numPr>
              <w:spacing w:before="10" w:after="10"/>
              <w:jc w:val="both"/>
            </w:pPr>
            <w:r>
              <w:rPr>
                <w:sz w:val="18"/>
                <w:szCs w:val="18"/>
              </w:rPr>
              <w:t>Estudio de casos reales de crédito, ahorro e inversión.</w:t>
            </w:r>
          </w:p>
          <w:p w14:paraId="7A54AD86" w14:textId="77777777" w:rsidR="00990B14" w:rsidRDefault="00000000">
            <w:pPr>
              <w:numPr>
                <w:ilvl w:val="0"/>
                <w:numId w:val="140"/>
              </w:numPr>
              <w:spacing w:before="10" w:after="10"/>
              <w:jc w:val="both"/>
            </w:pPr>
            <w:r>
              <w:rPr>
                <w:sz w:val="18"/>
                <w:szCs w:val="18"/>
              </w:rPr>
              <w:t>Trabajo colaborativo en equipos de análisis.</w:t>
            </w:r>
          </w:p>
          <w:p w14:paraId="1D91DE60" w14:textId="77777777" w:rsidR="00990B14" w:rsidRDefault="00000000">
            <w:pPr>
              <w:numPr>
                <w:ilvl w:val="0"/>
                <w:numId w:val="140"/>
              </w:numPr>
              <w:spacing w:before="10" w:after="10"/>
              <w:jc w:val="both"/>
            </w:pPr>
            <w:r>
              <w:rPr>
                <w:sz w:val="18"/>
                <w:szCs w:val="18"/>
              </w:rPr>
              <w:t>Clase invertida para los contenidos normativos sobre tasas de interés.</w:t>
            </w:r>
          </w:p>
        </w:tc>
      </w:tr>
      <w:tr w:rsidR="00990B14" w14:paraId="5D2D5E39" w14:textId="77777777">
        <w:trPr>
          <w:jc w:val="center"/>
        </w:trPr>
        <w:tc>
          <w:tcPr>
            <w:tcW w:w="1900" w:type="dxa"/>
            <w:shd w:val="clear" w:color="auto" w:fill="4472C4"/>
            <w:vAlign w:val="center"/>
          </w:tcPr>
          <w:p w14:paraId="04B68DF5" w14:textId="77777777" w:rsidR="00990B14" w:rsidRDefault="00000000">
            <w:pPr>
              <w:spacing w:before="20" w:after="20"/>
              <w:jc w:val="center"/>
            </w:pPr>
            <w:r>
              <w:rPr>
                <w:b/>
                <w:bCs/>
                <w:i/>
                <w:iCs/>
                <w:color w:val="FFFFFF"/>
                <w:sz w:val="18"/>
                <w:szCs w:val="18"/>
              </w:rPr>
              <w:t>Recursos para el aprendizaje</w:t>
            </w:r>
          </w:p>
        </w:tc>
        <w:tc>
          <w:tcPr>
            <w:tcW w:w="7505" w:type="dxa"/>
            <w:gridSpan w:val="4"/>
            <w:shd w:val="clear" w:color="auto" w:fill="D9E2F3"/>
            <w:vAlign w:val="center"/>
          </w:tcPr>
          <w:p w14:paraId="6A70970A" w14:textId="77777777" w:rsidR="00990B14" w:rsidRDefault="00000000">
            <w:pPr>
              <w:numPr>
                <w:ilvl w:val="0"/>
                <w:numId w:val="140"/>
              </w:numPr>
              <w:spacing w:before="10" w:after="10"/>
              <w:jc w:val="both"/>
            </w:pPr>
            <w:r>
              <w:rPr>
                <w:sz w:val="18"/>
                <w:szCs w:val="18"/>
              </w:rPr>
              <w:t>Plataforma Moodle UMSA.</w:t>
            </w:r>
          </w:p>
          <w:p w14:paraId="7C5F5A7A" w14:textId="77777777" w:rsidR="00990B14" w:rsidRDefault="00000000">
            <w:pPr>
              <w:numPr>
                <w:ilvl w:val="0"/>
                <w:numId w:val="140"/>
              </w:numPr>
              <w:spacing w:before="10" w:after="10"/>
              <w:jc w:val="both"/>
            </w:pPr>
            <w:r>
              <w:rPr>
                <w:sz w:val="18"/>
                <w:szCs w:val="18"/>
              </w:rPr>
              <w:t>Hoja de cálculo Microsoft Excel o Google Sheets con funciones financieras.</w:t>
            </w:r>
          </w:p>
          <w:p w14:paraId="711EEE02" w14:textId="77777777" w:rsidR="00990B14" w:rsidRDefault="00000000">
            <w:pPr>
              <w:numPr>
                <w:ilvl w:val="0"/>
                <w:numId w:val="140"/>
              </w:numPr>
              <w:spacing w:before="10" w:after="10"/>
              <w:jc w:val="both"/>
            </w:pPr>
            <w:r>
              <w:rPr>
                <w:sz w:val="18"/>
                <w:szCs w:val="18"/>
              </w:rPr>
              <w:t>Calculadora científica o financiera.</w:t>
            </w:r>
          </w:p>
          <w:p w14:paraId="4A9DADF3" w14:textId="77777777" w:rsidR="00990B14" w:rsidRDefault="00000000">
            <w:pPr>
              <w:numPr>
                <w:ilvl w:val="0"/>
                <w:numId w:val="140"/>
              </w:numPr>
              <w:spacing w:before="10" w:after="10"/>
              <w:jc w:val="both"/>
            </w:pPr>
            <w:r>
              <w:rPr>
                <w:sz w:val="18"/>
                <w:szCs w:val="18"/>
              </w:rPr>
              <w:t>Portales institucionales de la ASFI, el Banco Central de Bolivia, la Bolsa Boliviana de Valores y el INE.</w:t>
            </w:r>
          </w:p>
          <w:p w14:paraId="1E271A6C" w14:textId="77777777" w:rsidR="00990B14" w:rsidRDefault="00000000">
            <w:pPr>
              <w:numPr>
                <w:ilvl w:val="0"/>
                <w:numId w:val="140"/>
              </w:numPr>
              <w:spacing w:before="10" w:after="10"/>
              <w:jc w:val="both"/>
            </w:pPr>
            <w:r>
              <w:rPr>
                <w:sz w:val="18"/>
                <w:szCs w:val="18"/>
              </w:rPr>
              <w:t>Guías de ejercicios y casos elaborados por la cátedra.</w:t>
            </w:r>
          </w:p>
        </w:tc>
      </w:tr>
      <w:tr w:rsidR="00990B14" w14:paraId="1EFB1A7D" w14:textId="77777777">
        <w:trPr>
          <w:jc w:val="center"/>
        </w:trPr>
        <w:tc>
          <w:tcPr>
            <w:tcW w:w="1900" w:type="dxa"/>
            <w:shd w:val="clear" w:color="auto" w:fill="4472C4"/>
            <w:vAlign w:val="center"/>
          </w:tcPr>
          <w:p w14:paraId="3084AB5E" w14:textId="77777777" w:rsidR="00990B14" w:rsidRDefault="00000000">
            <w:pPr>
              <w:spacing w:before="20" w:after="20"/>
              <w:jc w:val="center"/>
            </w:pPr>
            <w:r>
              <w:rPr>
                <w:b/>
                <w:bCs/>
                <w:i/>
                <w:iCs/>
                <w:color w:val="FFFFFF"/>
                <w:sz w:val="18"/>
                <w:szCs w:val="18"/>
              </w:rPr>
              <w:t>Estrategias de evaluación</w:t>
            </w:r>
          </w:p>
        </w:tc>
        <w:tc>
          <w:tcPr>
            <w:tcW w:w="7505" w:type="dxa"/>
            <w:gridSpan w:val="4"/>
            <w:shd w:val="clear" w:color="auto" w:fill="D9E2F3"/>
            <w:vAlign w:val="center"/>
          </w:tcPr>
          <w:p w14:paraId="6CAEF5E2" w14:textId="77777777" w:rsidR="00990B14" w:rsidRDefault="00000000">
            <w:pPr>
              <w:numPr>
                <w:ilvl w:val="0"/>
                <w:numId w:val="140"/>
              </w:numPr>
              <w:spacing w:before="10" w:after="10"/>
              <w:jc w:val="both"/>
            </w:pPr>
            <w:r>
              <w:rPr>
                <w:sz w:val="18"/>
                <w:szCs w:val="18"/>
              </w:rPr>
              <w:t>Evaluación diagnóstica: prueba inicial de álgebra, porcentajes y progresiones.</w:t>
            </w:r>
          </w:p>
          <w:p w14:paraId="0F1BDCE9" w14:textId="77777777" w:rsidR="00990B14" w:rsidRDefault="00000000">
            <w:pPr>
              <w:numPr>
                <w:ilvl w:val="0"/>
                <w:numId w:val="140"/>
              </w:numPr>
              <w:spacing w:before="10" w:after="10"/>
              <w:jc w:val="both"/>
            </w:pPr>
            <w:r>
              <w:rPr>
                <w:sz w:val="18"/>
                <w:szCs w:val="18"/>
              </w:rPr>
              <w:t>Evaluación formativa: preguntas de comprensión y desarrollo de ejercicios prácticos en el aula, con retroalimentación continua, autoevaluación y coevaluación.</w:t>
            </w:r>
          </w:p>
          <w:p w14:paraId="3AF68939" w14:textId="77777777" w:rsidR="00990B14" w:rsidRDefault="00000000">
            <w:pPr>
              <w:numPr>
                <w:ilvl w:val="0"/>
                <w:numId w:val="140"/>
              </w:numPr>
              <w:spacing w:before="10" w:after="10"/>
              <w:jc w:val="both"/>
            </w:pPr>
            <w:r>
              <w:rPr>
                <w:sz w:val="18"/>
                <w:szCs w:val="18"/>
              </w:rPr>
              <w:t>Evaluación sumativa: controles de lectura y asistencia, evaluación de casos prácticos, trabajos de investigación y desarrollo, exámenes parciales y examen final.</w:t>
            </w:r>
          </w:p>
        </w:tc>
      </w:tr>
      <w:tr w:rsidR="00990B14" w14:paraId="468CF7DF" w14:textId="77777777">
        <w:trPr>
          <w:jc w:val="center"/>
        </w:trPr>
        <w:tc>
          <w:tcPr>
            <w:tcW w:w="1900" w:type="dxa"/>
            <w:shd w:val="clear" w:color="auto" w:fill="4472C4"/>
            <w:vAlign w:val="center"/>
          </w:tcPr>
          <w:p w14:paraId="2233EB87" w14:textId="77777777" w:rsidR="00990B14" w:rsidRDefault="00000000">
            <w:pPr>
              <w:spacing w:before="20" w:after="20"/>
              <w:jc w:val="center"/>
            </w:pPr>
            <w:r>
              <w:rPr>
                <w:b/>
                <w:bCs/>
                <w:i/>
                <w:iCs/>
                <w:color w:val="FFFFFF"/>
                <w:sz w:val="18"/>
                <w:szCs w:val="18"/>
              </w:rPr>
              <w:t>Criterios de calificación</w:t>
            </w:r>
          </w:p>
        </w:tc>
        <w:tc>
          <w:tcPr>
            <w:tcW w:w="7505" w:type="dxa"/>
            <w:gridSpan w:val="4"/>
            <w:shd w:val="clear" w:color="auto" w:fill="D9E2F3"/>
            <w:vAlign w:val="center"/>
          </w:tcPr>
          <w:p w14:paraId="3CDF63C6" w14:textId="77777777" w:rsidR="00990B14" w:rsidRDefault="00000000">
            <w:pPr>
              <w:numPr>
                <w:ilvl w:val="0"/>
                <w:numId w:val="140"/>
              </w:numPr>
              <w:spacing w:before="10" w:after="10"/>
              <w:jc w:val="both"/>
            </w:pPr>
            <w:r>
              <w:rPr>
                <w:sz w:val="18"/>
                <w:szCs w:val="18"/>
              </w:rPr>
              <w:t>Nota mínima de aprobación: 51/100.</w:t>
            </w:r>
          </w:p>
          <w:p w14:paraId="61037294" w14:textId="77777777" w:rsidR="00990B14" w:rsidRDefault="00000000">
            <w:pPr>
              <w:numPr>
                <w:ilvl w:val="0"/>
                <w:numId w:val="140"/>
              </w:numPr>
              <w:spacing w:before="10" w:after="10"/>
              <w:jc w:val="both"/>
            </w:pPr>
            <w:r>
              <w:rPr>
                <w:sz w:val="18"/>
                <w:szCs w:val="18"/>
              </w:rPr>
              <w:t>Evaluación periódica al finalizar cada tema, basada en evidencias de conocimiento, desempeño y producto.</w:t>
            </w:r>
          </w:p>
          <w:p w14:paraId="5C4F74D3" w14:textId="77777777" w:rsidR="00990B14" w:rsidRDefault="00000000">
            <w:pPr>
              <w:numPr>
                <w:ilvl w:val="0"/>
                <w:numId w:val="140"/>
              </w:numPr>
              <w:spacing w:before="10" w:after="10"/>
              <w:jc w:val="both"/>
            </w:pPr>
            <w:r>
              <w:rPr>
                <w:sz w:val="18"/>
                <w:szCs w:val="18"/>
              </w:rPr>
              <w:t>Cada evidencia de producto se evalúa con su propia rúbrica de tres niveles: Insuficiente, Suficiente y Destacado.</w:t>
            </w:r>
          </w:p>
          <w:p w14:paraId="6F41B36B" w14:textId="77777777" w:rsidR="00990B14" w:rsidRDefault="00000000">
            <w:pPr>
              <w:numPr>
                <w:ilvl w:val="0"/>
                <w:numId w:val="140"/>
              </w:numPr>
              <w:spacing w:before="10" w:after="10"/>
              <w:jc w:val="both"/>
            </w:pPr>
            <w:r>
              <w:rPr>
                <w:sz w:val="18"/>
                <w:szCs w:val="18"/>
              </w:rPr>
              <w:t>La calificación de cada elemento de competencia suma las calificaciones de sus evidencias de producto.</w:t>
            </w:r>
          </w:p>
        </w:tc>
      </w:tr>
      <w:tr w:rsidR="00990B14" w14:paraId="71E65705" w14:textId="77777777">
        <w:trPr>
          <w:cantSplit/>
          <w:jc w:val="center"/>
        </w:trPr>
        <w:tc>
          <w:tcPr>
            <w:tcW w:w="1900" w:type="dxa"/>
            <w:vMerge w:val="restart"/>
            <w:shd w:val="clear" w:color="auto" w:fill="4472C4"/>
            <w:vAlign w:val="center"/>
          </w:tcPr>
          <w:p w14:paraId="290E0459" w14:textId="77777777" w:rsidR="00990B14" w:rsidRDefault="00000000">
            <w:pPr>
              <w:spacing w:before="20" w:after="20"/>
              <w:jc w:val="center"/>
            </w:pPr>
            <w:r>
              <w:rPr>
                <w:b/>
                <w:bCs/>
                <w:i/>
                <w:iCs/>
                <w:color w:val="FFFFFF"/>
                <w:sz w:val="18"/>
                <w:szCs w:val="18"/>
              </w:rPr>
              <w:t>Niveles de logro y distribución de la calificación</w:t>
            </w:r>
          </w:p>
        </w:tc>
        <w:tc>
          <w:tcPr>
            <w:tcW w:w="5628" w:type="dxa"/>
            <w:gridSpan w:val="3"/>
            <w:shd w:val="clear" w:color="auto" w:fill="D9E2F3"/>
            <w:vAlign w:val="center"/>
          </w:tcPr>
          <w:p w14:paraId="19C9981C" w14:textId="77777777" w:rsidR="00990B14" w:rsidRDefault="00000000">
            <w:pPr>
              <w:keepNext/>
              <w:spacing w:before="20" w:after="20"/>
              <w:jc w:val="both"/>
            </w:pPr>
            <w:r>
              <w:rPr>
                <w:b/>
                <w:bCs/>
                <w:i/>
                <w:iCs/>
                <w:sz w:val="18"/>
                <w:szCs w:val="18"/>
              </w:rPr>
              <w:t xml:space="preserve">Producto 1: </w:t>
            </w:r>
            <w:r>
              <w:rPr>
                <w:sz w:val="18"/>
                <w:szCs w:val="18"/>
              </w:rPr>
              <w:t>Hoja de capitalización y descuento</w:t>
            </w:r>
          </w:p>
        </w:tc>
        <w:tc>
          <w:tcPr>
            <w:tcW w:w="1877" w:type="dxa"/>
            <w:shd w:val="clear" w:color="auto" w:fill="D9E2F3"/>
            <w:vAlign w:val="center"/>
          </w:tcPr>
          <w:p w14:paraId="65DD327A" w14:textId="77777777" w:rsidR="00990B14" w:rsidRDefault="00000000">
            <w:pPr>
              <w:spacing w:before="20" w:after="20"/>
              <w:jc w:val="center"/>
            </w:pPr>
            <w:r>
              <w:rPr>
                <w:b/>
                <w:bCs/>
                <w:sz w:val="18"/>
                <w:szCs w:val="18"/>
              </w:rPr>
              <w:t>5%</w:t>
            </w:r>
          </w:p>
        </w:tc>
      </w:tr>
      <w:tr w:rsidR="00990B14" w14:paraId="63E07603" w14:textId="77777777">
        <w:trPr>
          <w:cantSplit/>
          <w:jc w:val="center"/>
        </w:trPr>
        <w:tc>
          <w:tcPr>
            <w:tcW w:w="1900" w:type="dxa"/>
            <w:vMerge/>
            <w:shd w:val="clear" w:color="auto" w:fill="4472C4"/>
            <w:vAlign w:val="center"/>
          </w:tcPr>
          <w:p w14:paraId="2CA55FD1" w14:textId="77777777" w:rsidR="00990B14" w:rsidRDefault="00990B14">
            <w:pPr>
              <w:spacing w:before="20" w:after="20"/>
            </w:pPr>
          </w:p>
        </w:tc>
        <w:tc>
          <w:tcPr>
            <w:tcW w:w="1876" w:type="dxa"/>
            <w:shd w:val="clear" w:color="auto" w:fill="4472C4"/>
            <w:vAlign w:val="center"/>
          </w:tcPr>
          <w:p w14:paraId="5F599849"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0B340DAD"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66FD6190"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2194C89A" w14:textId="77777777" w:rsidR="00990B14" w:rsidRDefault="00000000">
            <w:pPr>
              <w:keepNext/>
              <w:spacing w:before="20" w:after="20"/>
              <w:jc w:val="center"/>
            </w:pPr>
            <w:r>
              <w:rPr>
                <w:b/>
                <w:bCs/>
                <w:i/>
                <w:iCs/>
                <w:color w:val="FFFFFF"/>
                <w:sz w:val="18"/>
                <w:szCs w:val="18"/>
              </w:rPr>
              <w:t>Destacado (81–100)</w:t>
            </w:r>
          </w:p>
        </w:tc>
      </w:tr>
      <w:tr w:rsidR="00990B14" w14:paraId="0983B764" w14:textId="77777777">
        <w:trPr>
          <w:cantSplit/>
          <w:jc w:val="center"/>
        </w:trPr>
        <w:tc>
          <w:tcPr>
            <w:tcW w:w="1900" w:type="dxa"/>
            <w:vMerge/>
            <w:shd w:val="clear" w:color="auto" w:fill="4472C4"/>
            <w:vAlign w:val="center"/>
          </w:tcPr>
          <w:p w14:paraId="351C4887" w14:textId="77777777" w:rsidR="00990B14" w:rsidRDefault="00990B14">
            <w:pPr>
              <w:spacing w:before="20" w:after="20"/>
            </w:pPr>
          </w:p>
        </w:tc>
        <w:tc>
          <w:tcPr>
            <w:tcW w:w="1876" w:type="dxa"/>
            <w:shd w:val="clear" w:color="auto" w:fill="D9E2F3"/>
            <w:vAlign w:val="center"/>
          </w:tcPr>
          <w:p w14:paraId="19172B0D" w14:textId="77777777" w:rsidR="00990B14" w:rsidRDefault="00000000">
            <w:pPr>
              <w:spacing w:before="20" w:after="20"/>
              <w:jc w:val="both"/>
            </w:pPr>
            <w:r>
              <w:rPr>
                <w:sz w:val="18"/>
                <w:szCs w:val="18"/>
              </w:rPr>
              <w:t>Fórmulas aplicadas</w:t>
            </w:r>
          </w:p>
        </w:tc>
        <w:tc>
          <w:tcPr>
            <w:tcW w:w="1876" w:type="dxa"/>
            <w:shd w:val="clear" w:color="auto" w:fill="D9E2F3"/>
            <w:vAlign w:val="center"/>
          </w:tcPr>
          <w:p w14:paraId="28DB5A8E" w14:textId="77777777" w:rsidR="00990B14" w:rsidRDefault="00000000">
            <w:pPr>
              <w:spacing w:before="20" w:after="20"/>
              <w:jc w:val="both"/>
            </w:pPr>
            <w:r>
              <w:rPr>
                <w:sz w:val="18"/>
                <w:szCs w:val="18"/>
              </w:rPr>
              <w:t>Confunde el interés simple con el compuesto.</w:t>
            </w:r>
          </w:p>
        </w:tc>
        <w:tc>
          <w:tcPr>
            <w:tcW w:w="1876" w:type="dxa"/>
            <w:shd w:val="clear" w:color="auto" w:fill="D9E2F3"/>
            <w:vAlign w:val="center"/>
          </w:tcPr>
          <w:p w14:paraId="022DC258" w14:textId="77777777" w:rsidR="00990B14" w:rsidRDefault="00000000">
            <w:pPr>
              <w:spacing w:before="20" w:after="20"/>
              <w:jc w:val="both"/>
            </w:pPr>
            <w:r>
              <w:rPr>
                <w:sz w:val="18"/>
                <w:szCs w:val="18"/>
              </w:rPr>
              <w:t>Aplica la fórmula que corresponde a cada operación.</w:t>
            </w:r>
          </w:p>
        </w:tc>
        <w:tc>
          <w:tcPr>
            <w:tcW w:w="1877" w:type="dxa"/>
            <w:shd w:val="clear" w:color="auto" w:fill="D9E2F3"/>
            <w:vAlign w:val="center"/>
          </w:tcPr>
          <w:p w14:paraId="30856BC2" w14:textId="77777777" w:rsidR="00990B14" w:rsidRDefault="00000000">
            <w:pPr>
              <w:spacing w:before="20" w:after="20"/>
              <w:jc w:val="both"/>
            </w:pPr>
            <w:r>
              <w:rPr>
                <w:sz w:val="18"/>
                <w:szCs w:val="18"/>
              </w:rPr>
              <w:t>Explica la diferencia de resultados entre ambos regímenes.</w:t>
            </w:r>
          </w:p>
        </w:tc>
      </w:tr>
      <w:tr w:rsidR="00990B14" w14:paraId="4B0B4659" w14:textId="77777777">
        <w:trPr>
          <w:cantSplit/>
          <w:jc w:val="center"/>
        </w:trPr>
        <w:tc>
          <w:tcPr>
            <w:tcW w:w="1900" w:type="dxa"/>
            <w:vMerge/>
            <w:shd w:val="clear" w:color="auto" w:fill="4472C4"/>
            <w:vAlign w:val="center"/>
          </w:tcPr>
          <w:p w14:paraId="1D1F2D81" w14:textId="77777777" w:rsidR="00990B14" w:rsidRDefault="00990B14">
            <w:pPr>
              <w:spacing w:before="20" w:after="20"/>
            </w:pPr>
          </w:p>
        </w:tc>
        <w:tc>
          <w:tcPr>
            <w:tcW w:w="1876" w:type="dxa"/>
            <w:shd w:val="clear" w:color="auto" w:fill="D9E2F3"/>
            <w:vAlign w:val="center"/>
          </w:tcPr>
          <w:p w14:paraId="50216DDA" w14:textId="77777777" w:rsidR="00990B14" w:rsidRDefault="00000000">
            <w:pPr>
              <w:spacing w:before="20" w:after="20"/>
              <w:jc w:val="both"/>
            </w:pPr>
            <w:r>
              <w:rPr>
                <w:sz w:val="18"/>
                <w:szCs w:val="18"/>
              </w:rPr>
              <w:t>Descuento</w:t>
            </w:r>
          </w:p>
        </w:tc>
        <w:tc>
          <w:tcPr>
            <w:tcW w:w="1876" w:type="dxa"/>
            <w:shd w:val="clear" w:color="auto" w:fill="D9E2F3"/>
            <w:vAlign w:val="center"/>
          </w:tcPr>
          <w:p w14:paraId="2D8022AE" w14:textId="77777777" w:rsidR="00990B14" w:rsidRDefault="00000000">
            <w:pPr>
              <w:spacing w:before="20" w:after="20"/>
              <w:jc w:val="both"/>
            </w:pPr>
            <w:r>
              <w:rPr>
                <w:sz w:val="18"/>
                <w:szCs w:val="18"/>
              </w:rPr>
              <w:t>Confunde el descuento racional con el comercial.</w:t>
            </w:r>
          </w:p>
        </w:tc>
        <w:tc>
          <w:tcPr>
            <w:tcW w:w="1876" w:type="dxa"/>
            <w:shd w:val="clear" w:color="auto" w:fill="D9E2F3"/>
            <w:vAlign w:val="center"/>
          </w:tcPr>
          <w:p w14:paraId="27BF48ED" w14:textId="77777777" w:rsidR="00990B14" w:rsidRDefault="00000000">
            <w:pPr>
              <w:spacing w:before="20" w:after="20"/>
              <w:jc w:val="both"/>
            </w:pPr>
            <w:r>
              <w:rPr>
                <w:sz w:val="18"/>
                <w:szCs w:val="18"/>
              </w:rPr>
              <w:t>Calcula ambos descuentos y el valor líquido.</w:t>
            </w:r>
          </w:p>
        </w:tc>
        <w:tc>
          <w:tcPr>
            <w:tcW w:w="1877" w:type="dxa"/>
            <w:shd w:val="clear" w:color="auto" w:fill="D9E2F3"/>
            <w:vAlign w:val="center"/>
          </w:tcPr>
          <w:p w14:paraId="705D6C29" w14:textId="77777777" w:rsidR="00990B14" w:rsidRDefault="00000000">
            <w:pPr>
              <w:spacing w:before="20" w:after="20"/>
              <w:jc w:val="both"/>
            </w:pPr>
            <w:r>
              <w:rPr>
                <w:sz w:val="18"/>
                <w:szCs w:val="18"/>
              </w:rPr>
              <w:t>Compara el costo efectivo de cada descuento.</w:t>
            </w:r>
          </w:p>
        </w:tc>
      </w:tr>
      <w:tr w:rsidR="00990B14" w14:paraId="09AD625D" w14:textId="77777777">
        <w:trPr>
          <w:cantSplit/>
          <w:jc w:val="center"/>
        </w:trPr>
        <w:tc>
          <w:tcPr>
            <w:tcW w:w="1900" w:type="dxa"/>
            <w:vMerge/>
            <w:shd w:val="clear" w:color="auto" w:fill="4472C4"/>
            <w:vAlign w:val="center"/>
          </w:tcPr>
          <w:p w14:paraId="0A969C14" w14:textId="77777777" w:rsidR="00990B14" w:rsidRDefault="00990B14">
            <w:pPr>
              <w:spacing w:before="20" w:after="20"/>
            </w:pPr>
          </w:p>
        </w:tc>
        <w:tc>
          <w:tcPr>
            <w:tcW w:w="1876" w:type="dxa"/>
            <w:shd w:val="clear" w:color="auto" w:fill="D9E2F3"/>
            <w:vAlign w:val="center"/>
          </w:tcPr>
          <w:p w14:paraId="4EEE5347" w14:textId="77777777" w:rsidR="00990B14" w:rsidRDefault="00000000">
            <w:pPr>
              <w:spacing w:before="20" w:after="20"/>
              <w:jc w:val="both"/>
            </w:pPr>
            <w:r>
              <w:rPr>
                <w:sz w:val="18"/>
                <w:szCs w:val="18"/>
              </w:rPr>
              <w:t>Funciones financieras</w:t>
            </w:r>
          </w:p>
        </w:tc>
        <w:tc>
          <w:tcPr>
            <w:tcW w:w="1876" w:type="dxa"/>
            <w:shd w:val="clear" w:color="auto" w:fill="D9E2F3"/>
            <w:vAlign w:val="center"/>
          </w:tcPr>
          <w:p w14:paraId="27FDA47C" w14:textId="77777777" w:rsidR="00990B14" w:rsidRDefault="00000000">
            <w:pPr>
              <w:spacing w:before="20" w:after="20"/>
              <w:jc w:val="both"/>
            </w:pPr>
            <w:r>
              <w:rPr>
                <w:sz w:val="18"/>
                <w:szCs w:val="18"/>
              </w:rPr>
              <w:t>Usa mal los argumentos de VF, VA, TASA o NPER.</w:t>
            </w:r>
          </w:p>
        </w:tc>
        <w:tc>
          <w:tcPr>
            <w:tcW w:w="1876" w:type="dxa"/>
            <w:shd w:val="clear" w:color="auto" w:fill="D9E2F3"/>
            <w:vAlign w:val="center"/>
          </w:tcPr>
          <w:p w14:paraId="489BECC8" w14:textId="77777777" w:rsidR="00990B14" w:rsidRDefault="00000000">
            <w:pPr>
              <w:spacing w:before="20" w:after="20"/>
              <w:jc w:val="both"/>
            </w:pPr>
            <w:r>
              <w:rPr>
                <w:sz w:val="18"/>
                <w:szCs w:val="18"/>
              </w:rPr>
              <w:t>Verifica los cálculos con las funciones financieras.</w:t>
            </w:r>
          </w:p>
        </w:tc>
        <w:tc>
          <w:tcPr>
            <w:tcW w:w="1877" w:type="dxa"/>
            <w:shd w:val="clear" w:color="auto" w:fill="D9E2F3"/>
            <w:vAlign w:val="center"/>
          </w:tcPr>
          <w:p w14:paraId="20D7964A" w14:textId="77777777" w:rsidR="00990B14" w:rsidRDefault="00000000">
            <w:pPr>
              <w:spacing w:before="20" w:after="20"/>
              <w:jc w:val="both"/>
            </w:pPr>
            <w:r>
              <w:rPr>
                <w:sz w:val="18"/>
                <w:szCs w:val="18"/>
              </w:rPr>
              <w:t>Deja trazables los datos y las fórmulas.</w:t>
            </w:r>
          </w:p>
        </w:tc>
      </w:tr>
      <w:tr w:rsidR="00990B14" w14:paraId="146D52DA" w14:textId="77777777">
        <w:trPr>
          <w:cantSplit/>
          <w:jc w:val="center"/>
        </w:trPr>
        <w:tc>
          <w:tcPr>
            <w:tcW w:w="1900" w:type="dxa"/>
            <w:vMerge/>
            <w:shd w:val="clear" w:color="auto" w:fill="4472C4"/>
            <w:vAlign w:val="center"/>
          </w:tcPr>
          <w:p w14:paraId="5BA33637" w14:textId="77777777" w:rsidR="00990B14" w:rsidRDefault="00990B14">
            <w:pPr>
              <w:spacing w:before="20" w:after="20"/>
            </w:pPr>
          </w:p>
        </w:tc>
        <w:tc>
          <w:tcPr>
            <w:tcW w:w="5628" w:type="dxa"/>
            <w:gridSpan w:val="3"/>
            <w:shd w:val="clear" w:color="auto" w:fill="D9E2F3"/>
            <w:vAlign w:val="center"/>
          </w:tcPr>
          <w:p w14:paraId="1F63D12C" w14:textId="77777777" w:rsidR="00990B14" w:rsidRDefault="00000000">
            <w:pPr>
              <w:keepNext/>
              <w:spacing w:before="20" w:after="20"/>
              <w:jc w:val="both"/>
            </w:pPr>
            <w:r>
              <w:rPr>
                <w:b/>
                <w:bCs/>
                <w:i/>
                <w:iCs/>
                <w:sz w:val="18"/>
                <w:szCs w:val="18"/>
              </w:rPr>
              <w:t xml:space="preserve">Producto 2: </w:t>
            </w:r>
            <w:r>
              <w:rPr>
                <w:sz w:val="18"/>
                <w:szCs w:val="18"/>
              </w:rPr>
              <w:t>Cuadro de conversión de tasas</w:t>
            </w:r>
          </w:p>
        </w:tc>
        <w:tc>
          <w:tcPr>
            <w:tcW w:w="1877" w:type="dxa"/>
            <w:shd w:val="clear" w:color="auto" w:fill="D9E2F3"/>
            <w:vAlign w:val="center"/>
          </w:tcPr>
          <w:p w14:paraId="535C3BC2" w14:textId="77777777" w:rsidR="00990B14" w:rsidRDefault="00000000">
            <w:pPr>
              <w:spacing w:before="20" w:after="20"/>
              <w:jc w:val="center"/>
            </w:pPr>
            <w:r>
              <w:rPr>
                <w:b/>
                <w:bCs/>
                <w:sz w:val="18"/>
                <w:szCs w:val="18"/>
              </w:rPr>
              <w:t>5%</w:t>
            </w:r>
          </w:p>
        </w:tc>
      </w:tr>
      <w:tr w:rsidR="00990B14" w14:paraId="2D9EF1B4" w14:textId="77777777">
        <w:trPr>
          <w:cantSplit/>
          <w:jc w:val="center"/>
        </w:trPr>
        <w:tc>
          <w:tcPr>
            <w:tcW w:w="1900" w:type="dxa"/>
            <w:vMerge/>
            <w:shd w:val="clear" w:color="auto" w:fill="4472C4"/>
            <w:vAlign w:val="center"/>
          </w:tcPr>
          <w:p w14:paraId="411032B6" w14:textId="77777777" w:rsidR="00990B14" w:rsidRDefault="00990B14">
            <w:pPr>
              <w:spacing w:before="20" w:after="20"/>
            </w:pPr>
          </w:p>
        </w:tc>
        <w:tc>
          <w:tcPr>
            <w:tcW w:w="1876" w:type="dxa"/>
            <w:shd w:val="clear" w:color="auto" w:fill="4472C4"/>
            <w:vAlign w:val="center"/>
          </w:tcPr>
          <w:p w14:paraId="25764ED4"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46BAE545"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0AFA6222"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42937291" w14:textId="77777777" w:rsidR="00990B14" w:rsidRDefault="00000000">
            <w:pPr>
              <w:keepNext/>
              <w:spacing w:before="20" w:after="20"/>
              <w:jc w:val="center"/>
            </w:pPr>
            <w:r>
              <w:rPr>
                <w:b/>
                <w:bCs/>
                <w:i/>
                <w:iCs/>
                <w:color w:val="FFFFFF"/>
                <w:sz w:val="18"/>
                <w:szCs w:val="18"/>
              </w:rPr>
              <w:t>Destacado (81–100)</w:t>
            </w:r>
          </w:p>
        </w:tc>
      </w:tr>
      <w:tr w:rsidR="00990B14" w14:paraId="02DCC8BA" w14:textId="77777777">
        <w:trPr>
          <w:cantSplit/>
          <w:jc w:val="center"/>
        </w:trPr>
        <w:tc>
          <w:tcPr>
            <w:tcW w:w="1900" w:type="dxa"/>
            <w:vMerge/>
            <w:shd w:val="clear" w:color="auto" w:fill="4472C4"/>
            <w:vAlign w:val="center"/>
          </w:tcPr>
          <w:p w14:paraId="45AB55BD" w14:textId="77777777" w:rsidR="00990B14" w:rsidRDefault="00990B14">
            <w:pPr>
              <w:spacing w:before="20" w:after="20"/>
            </w:pPr>
          </w:p>
        </w:tc>
        <w:tc>
          <w:tcPr>
            <w:tcW w:w="1876" w:type="dxa"/>
            <w:shd w:val="clear" w:color="auto" w:fill="D9E2F3"/>
            <w:vAlign w:val="center"/>
          </w:tcPr>
          <w:p w14:paraId="59051B36" w14:textId="77777777" w:rsidR="00990B14" w:rsidRDefault="00000000">
            <w:pPr>
              <w:spacing w:before="20" w:after="20"/>
              <w:jc w:val="both"/>
            </w:pPr>
            <w:r>
              <w:rPr>
                <w:sz w:val="18"/>
                <w:szCs w:val="18"/>
              </w:rPr>
              <w:t>Periodo de capitalización</w:t>
            </w:r>
          </w:p>
        </w:tc>
        <w:tc>
          <w:tcPr>
            <w:tcW w:w="1876" w:type="dxa"/>
            <w:shd w:val="clear" w:color="auto" w:fill="D9E2F3"/>
            <w:vAlign w:val="center"/>
          </w:tcPr>
          <w:p w14:paraId="33F1C182" w14:textId="77777777" w:rsidR="00990B14" w:rsidRDefault="00000000">
            <w:pPr>
              <w:spacing w:before="20" w:after="20"/>
              <w:jc w:val="both"/>
            </w:pPr>
            <w:r>
              <w:rPr>
                <w:sz w:val="18"/>
                <w:szCs w:val="18"/>
              </w:rPr>
              <w:t>Ignora la frecuencia de capitalización.</w:t>
            </w:r>
          </w:p>
        </w:tc>
        <w:tc>
          <w:tcPr>
            <w:tcW w:w="1876" w:type="dxa"/>
            <w:shd w:val="clear" w:color="auto" w:fill="D9E2F3"/>
            <w:vAlign w:val="center"/>
          </w:tcPr>
          <w:p w14:paraId="5C99585D" w14:textId="77777777" w:rsidR="00990B14" w:rsidRDefault="00000000">
            <w:pPr>
              <w:spacing w:before="20" w:after="20"/>
              <w:jc w:val="both"/>
            </w:pPr>
            <w:r>
              <w:rPr>
                <w:sz w:val="18"/>
                <w:szCs w:val="18"/>
              </w:rPr>
              <w:t>Identifica la frecuencia de cada tasa.</w:t>
            </w:r>
          </w:p>
        </w:tc>
        <w:tc>
          <w:tcPr>
            <w:tcW w:w="1877" w:type="dxa"/>
            <w:shd w:val="clear" w:color="auto" w:fill="D9E2F3"/>
            <w:vAlign w:val="center"/>
          </w:tcPr>
          <w:p w14:paraId="01DFD436" w14:textId="77777777" w:rsidR="00990B14" w:rsidRDefault="00000000">
            <w:pPr>
              <w:spacing w:before="20" w:after="20"/>
              <w:jc w:val="both"/>
            </w:pPr>
            <w:r>
              <w:rPr>
                <w:sz w:val="18"/>
                <w:szCs w:val="18"/>
              </w:rPr>
              <w:t>Advierte el efecto de la frecuencia en el costo.</w:t>
            </w:r>
          </w:p>
        </w:tc>
      </w:tr>
      <w:tr w:rsidR="00990B14" w14:paraId="30A79857" w14:textId="77777777">
        <w:trPr>
          <w:cantSplit/>
          <w:jc w:val="center"/>
        </w:trPr>
        <w:tc>
          <w:tcPr>
            <w:tcW w:w="1900" w:type="dxa"/>
            <w:vMerge/>
            <w:shd w:val="clear" w:color="auto" w:fill="4472C4"/>
            <w:vAlign w:val="center"/>
          </w:tcPr>
          <w:p w14:paraId="6B0D4862" w14:textId="77777777" w:rsidR="00990B14" w:rsidRDefault="00990B14">
            <w:pPr>
              <w:spacing w:before="20" w:after="20"/>
            </w:pPr>
          </w:p>
        </w:tc>
        <w:tc>
          <w:tcPr>
            <w:tcW w:w="1876" w:type="dxa"/>
            <w:shd w:val="clear" w:color="auto" w:fill="D9E2F3"/>
            <w:vAlign w:val="center"/>
          </w:tcPr>
          <w:p w14:paraId="779ECD02" w14:textId="77777777" w:rsidR="00990B14" w:rsidRDefault="00000000">
            <w:pPr>
              <w:spacing w:before="20" w:after="20"/>
              <w:jc w:val="both"/>
            </w:pPr>
            <w:r>
              <w:rPr>
                <w:sz w:val="18"/>
                <w:szCs w:val="18"/>
              </w:rPr>
              <w:t>Conversión</w:t>
            </w:r>
          </w:p>
        </w:tc>
        <w:tc>
          <w:tcPr>
            <w:tcW w:w="1876" w:type="dxa"/>
            <w:shd w:val="clear" w:color="auto" w:fill="D9E2F3"/>
            <w:vAlign w:val="center"/>
          </w:tcPr>
          <w:p w14:paraId="222BB034" w14:textId="77777777" w:rsidR="00990B14" w:rsidRDefault="00000000">
            <w:pPr>
              <w:spacing w:before="20" w:after="20"/>
              <w:jc w:val="both"/>
            </w:pPr>
            <w:r>
              <w:rPr>
                <w:sz w:val="18"/>
                <w:szCs w:val="18"/>
              </w:rPr>
              <w:t>Las tasas convertidas son incorrectas.</w:t>
            </w:r>
          </w:p>
        </w:tc>
        <w:tc>
          <w:tcPr>
            <w:tcW w:w="1876" w:type="dxa"/>
            <w:shd w:val="clear" w:color="auto" w:fill="D9E2F3"/>
            <w:vAlign w:val="center"/>
          </w:tcPr>
          <w:p w14:paraId="011372B7" w14:textId="77777777" w:rsidR="00990B14" w:rsidRDefault="00000000">
            <w:pPr>
              <w:spacing w:before="20" w:after="20"/>
              <w:jc w:val="both"/>
            </w:pPr>
            <w:r>
              <w:rPr>
                <w:sz w:val="18"/>
                <w:szCs w:val="18"/>
              </w:rPr>
              <w:t>Convierte correctamente las tasas.</w:t>
            </w:r>
          </w:p>
        </w:tc>
        <w:tc>
          <w:tcPr>
            <w:tcW w:w="1877" w:type="dxa"/>
            <w:shd w:val="clear" w:color="auto" w:fill="D9E2F3"/>
            <w:vAlign w:val="center"/>
          </w:tcPr>
          <w:p w14:paraId="62249651" w14:textId="77777777" w:rsidR="00990B14" w:rsidRDefault="00000000">
            <w:pPr>
              <w:spacing w:before="20" w:after="20"/>
              <w:jc w:val="both"/>
            </w:pPr>
            <w:r>
              <w:rPr>
                <w:sz w:val="18"/>
                <w:szCs w:val="18"/>
              </w:rPr>
              <w:t>Comprueba la equivalencia con un mismo capital.</w:t>
            </w:r>
          </w:p>
        </w:tc>
      </w:tr>
      <w:tr w:rsidR="00990B14" w14:paraId="0B3A8A81" w14:textId="77777777">
        <w:trPr>
          <w:cantSplit/>
          <w:jc w:val="center"/>
        </w:trPr>
        <w:tc>
          <w:tcPr>
            <w:tcW w:w="1900" w:type="dxa"/>
            <w:vMerge/>
            <w:shd w:val="clear" w:color="auto" w:fill="4472C4"/>
            <w:vAlign w:val="center"/>
          </w:tcPr>
          <w:p w14:paraId="288C0AAA" w14:textId="77777777" w:rsidR="00990B14" w:rsidRDefault="00990B14">
            <w:pPr>
              <w:spacing w:before="20" w:after="20"/>
            </w:pPr>
          </w:p>
        </w:tc>
        <w:tc>
          <w:tcPr>
            <w:tcW w:w="1876" w:type="dxa"/>
            <w:shd w:val="clear" w:color="auto" w:fill="D9E2F3"/>
            <w:vAlign w:val="center"/>
          </w:tcPr>
          <w:p w14:paraId="1F81D30F" w14:textId="77777777" w:rsidR="00990B14" w:rsidRDefault="00000000">
            <w:pPr>
              <w:spacing w:before="20" w:after="20"/>
              <w:jc w:val="both"/>
            </w:pPr>
            <w:r>
              <w:rPr>
                <w:sz w:val="18"/>
                <w:szCs w:val="18"/>
              </w:rPr>
              <w:t>Trabajo en equipo</w:t>
            </w:r>
          </w:p>
        </w:tc>
        <w:tc>
          <w:tcPr>
            <w:tcW w:w="1876" w:type="dxa"/>
            <w:shd w:val="clear" w:color="auto" w:fill="D9E2F3"/>
            <w:vAlign w:val="center"/>
          </w:tcPr>
          <w:p w14:paraId="528A9BDF" w14:textId="77777777" w:rsidR="00990B14" w:rsidRDefault="00000000">
            <w:pPr>
              <w:spacing w:before="20" w:after="20"/>
              <w:jc w:val="both"/>
            </w:pPr>
            <w:r>
              <w:rPr>
                <w:sz w:val="18"/>
                <w:szCs w:val="18"/>
              </w:rPr>
              <w:t>El cuadro está incompleto.</w:t>
            </w:r>
          </w:p>
        </w:tc>
        <w:tc>
          <w:tcPr>
            <w:tcW w:w="1876" w:type="dxa"/>
            <w:shd w:val="clear" w:color="auto" w:fill="D9E2F3"/>
            <w:vAlign w:val="center"/>
          </w:tcPr>
          <w:p w14:paraId="2A8AA769" w14:textId="77777777" w:rsidR="00990B14" w:rsidRDefault="00000000">
            <w:pPr>
              <w:spacing w:before="20" w:after="20"/>
              <w:jc w:val="both"/>
            </w:pPr>
            <w:r>
              <w:rPr>
                <w:sz w:val="18"/>
                <w:szCs w:val="18"/>
              </w:rPr>
              <w:t>El equipo presenta el cuadro completo.</w:t>
            </w:r>
          </w:p>
        </w:tc>
        <w:tc>
          <w:tcPr>
            <w:tcW w:w="1877" w:type="dxa"/>
            <w:shd w:val="clear" w:color="auto" w:fill="D9E2F3"/>
            <w:vAlign w:val="center"/>
          </w:tcPr>
          <w:p w14:paraId="2445221D" w14:textId="77777777" w:rsidR="00990B14" w:rsidRDefault="00000000">
            <w:pPr>
              <w:spacing w:before="20" w:after="20"/>
              <w:jc w:val="both"/>
            </w:pPr>
            <w:r>
              <w:rPr>
                <w:sz w:val="18"/>
                <w:szCs w:val="18"/>
              </w:rPr>
              <w:t>El equipo recomienda la oferta más conveniente.</w:t>
            </w:r>
          </w:p>
        </w:tc>
      </w:tr>
      <w:tr w:rsidR="00990B14" w14:paraId="6FE680D8" w14:textId="77777777">
        <w:trPr>
          <w:cantSplit/>
          <w:jc w:val="center"/>
        </w:trPr>
        <w:tc>
          <w:tcPr>
            <w:tcW w:w="1900" w:type="dxa"/>
            <w:vMerge/>
            <w:shd w:val="clear" w:color="auto" w:fill="4472C4"/>
            <w:vAlign w:val="center"/>
          </w:tcPr>
          <w:p w14:paraId="5FE033C7" w14:textId="77777777" w:rsidR="00990B14" w:rsidRDefault="00990B14">
            <w:pPr>
              <w:spacing w:before="20" w:after="20"/>
            </w:pPr>
          </w:p>
        </w:tc>
        <w:tc>
          <w:tcPr>
            <w:tcW w:w="5628" w:type="dxa"/>
            <w:gridSpan w:val="3"/>
            <w:shd w:val="clear" w:color="auto" w:fill="D9E2F3"/>
            <w:vAlign w:val="center"/>
          </w:tcPr>
          <w:p w14:paraId="372F4CFC" w14:textId="77777777" w:rsidR="00990B14" w:rsidRDefault="00000000">
            <w:pPr>
              <w:keepNext/>
              <w:spacing w:before="20" w:after="20"/>
              <w:jc w:val="both"/>
            </w:pPr>
            <w:r>
              <w:rPr>
                <w:b/>
                <w:bCs/>
                <w:i/>
                <w:iCs/>
                <w:sz w:val="18"/>
                <w:szCs w:val="18"/>
              </w:rPr>
              <w:t xml:space="preserve">Producto 3: </w:t>
            </w:r>
            <w:r>
              <w:rPr>
                <w:sz w:val="18"/>
                <w:szCs w:val="18"/>
              </w:rPr>
              <w:t>Informe de reprogramación con ecuaciones de valor</w:t>
            </w:r>
          </w:p>
        </w:tc>
        <w:tc>
          <w:tcPr>
            <w:tcW w:w="1877" w:type="dxa"/>
            <w:shd w:val="clear" w:color="auto" w:fill="D9E2F3"/>
            <w:vAlign w:val="center"/>
          </w:tcPr>
          <w:p w14:paraId="2CA92468" w14:textId="77777777" w:rsidR="00990B14" w:rsidRDefault="00000000">
            <w:pPr>
              <w:spacing w:before="20" w:after="20"/>
              <w:jc w:val="center"/>
            </w:pPr>
            <w:r>
              <w:rPr>
                <w:b/>
                <w:bCs/>
                <w:sz w:val="18"/>
                <w:szCs w:val="18"/>
              </w:rPr>
              <w:t>5%</w:t>
            </w:r>
          </w:p>
        </w:tc>
      </w:tr>
      <w:tr w:rsidR="00990B14" w14:paraId="39CF74A1" w14:textId="77777777">
        <w:trPr>
          <w:cantSplit/>
          <w:jc w:val="center"/>
        </w:trPr>
        <w:tc>
          <w:tcPr>
            <w:tcW w:w="1900" w:type="dxa"/>
            <w:vMerge/>
            <w:shd w:val="clear" w:color="auto" w:fill="4472C4"/>
            <w:vAlign w:val="center"/>
          </w:tcPr>
          <w:p w14:paraId="78E9E137" w14:textId="77777777" w:rsidR="00990B14" w:rsidRDefault="00990B14">
            <w:pPr>
              <w:spacing w:before="20" w:after="20"/>
            </w:pPr>
          </w:p>
        </w:tc>
        <w:tc>
          <w:tcPr>
            <w:tcW w:w="1876" w:type="dxa"/>
            <w:shd w:val="clear" w:color="auto" w:fill="4472C4"/>
            <w:vAlign w:val="center"/>
          </w:tcPr>
          <w:p w14:paraId="3F71F9D6"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128A4E27"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5EE4E59D"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0E49A1C3" w14:textId="77777777" w:rsidR="00990B14" w:rsidRDefault="00000000">
            <w:pPr>
              <w:keepNext/>
              <w:spacing w:before="20" w:after="20"/>
              <w:jc w:val="center"/>
            </w:pPr>
            <w:r>
              <w:rPr>
                <w:b/>
                <w:bCs/>
                <w:i/>
                <w:iCs/>
                <w:color w:val="FFFFFF"/>
                <w:sz w:val="18"/>
                <w:szCs w:val="18"/>
              </w:rPr>
              <w:t>Destacado (81–100)</w:t>
            </w:r>
          </w:p>
        </w:tc>
      </w:tr>
      <w:tr w:rsidR="00990B14" w14:paraId="32F8787B" w14:textId="77777777">
        <w:trPr>
          <w:cantSplit/>
          <w:jc w:val="center"/>
        </w:trPr>
        <w:tc>
          <w:tcPr>
            <w:tcW w:w="1900" w:type="dxa"/>
            <w:vMerge/>
            <w:shd w:val="clear" w:color="auto" w:fill="4472C4"/>
            <w:vAlign w:val="center"/>
          </w:tcPr>
          <w:p w14:paraId="66BA2691" w14:textId="77777777" w:rsidR="00990B14" w:rsidRDefault="00990B14">
            <w:pPr>
              <w:spacing w:before="20" w:after="20"/>
            </w:pPr>
          </w:p>
        </w:tc>
        <w:tc>
          <w:tcPr>
            <w:tcW w:w="1876" w:type="dxa"/>
            <w:shd w:val="clear" w:color="auto" w:fill="D9E2F3"/>
            <w:vAlign w:val="center"/>
          </w:tcPr>
          <w:p w14:paraId="0E667FF7" w14:textId="77777777" w:rsidR="00990B14" w:rsidRDefault="00000000">
            <w:pPr>
              <w:spacing w:before="20" w:after="20"/>
              <w:jc w:val="both"/>
            </w:pPr>
            <w:r>
              <w:rPr>
                <w:sz w:val="18"/>
                <w:szCs w:val="18"/>
              </w:rPr>
              <w:t>Fecha focal</w:t>
            </w:r>
          </w:p>
        </w:tc>
        <w:tc>
          <w:tcPr>
            <w:tcW w:w="1876" w:type="dxa"/>
            <w:shd w:val="clear" w:color="auto" w:fill="D9E2F3"/>
            <w:vAlign w:val="center"/>
          </w:tcPr>
          <w:p w14:paraId="0D47E0CE" w14:textId="77777777" w:rsidR="00990B14" w:rsidRDefault="00000000">
            <w:pPr>
              <w:spacing w:before="20" w:after="20"/>
              <w:jc w:val="both"/>
            </w:pPr>
            <w:r>
              <w:rPr>
                <w:sz w:val="18"/>
                <w:szCs w:val="18"/>
              </w:rPr>
              <w:t>No fija una fecha focal.</w:t>
            </w:r>
          </w:p>
        </w:tc>
        <w:tc>
          <w:tcPr>
            <w:tcW w:w="1876" w:type="dxa"/>
            <w:shd w:val="clear" w:color="auto" w:fill="D9E2F3"/>
            <w:vAlign w:val="center"/>
          </w:tcPr>
          <w:p w14:paraId="1987E98C" w14:textId="77777777" w:rsidR="00990B14" w:rsidRDefault="00000000">
            <w:pPr>
              <w:spacing w:before="20" w:after="20"/>
              <w:jc w:val="both"/>
            </w:pPr>
            <w:r>
              <w:rPr>
                <w:sz w:val="18"/>
                <w:szCs w:val="18"/>
              </w:rPr>
              <w:t>Plantea la ecuación de valor en una fecha focal.</w:t>
            </w:r>
          </w:p>
        </w:tc>
        <w:tc>
          <w:tcPr>
            <w:tcW w:w="1877" w:type="dxa"/>
            <w:shd w:val="clear" w:color="auto" w:fill="D9E2F3"/>
            <w:vAlign w:val="center"/>
          </w:tcPr>
          <w:p w14:paraId="0E1767DE" w14:textId="77777777" w:rsidR="00990B14" w:rsidRDefault="00000000">
            <w:pPr>
              <w:spacing w:before="20" w:after="20"/>
              <w:jc w:val="both"/>
            </w:pPr>
            <w:r>
              <w:rPr>
                <w:sz w:val="18"/>
                <w:szCs w:val="18"/>
              </w:rPr>
              <w:t>Muestra que el resultado no depende de la fecha en régimen compuesto.</w:t>
            </w:r>
          </w:p>
        </w:tc>
      </w:tr>
      <w:tr w:rsidR="00990B14" w14:paraId="1B8FB0AD" w14:textId="77777777">
        <w:trPr>
          <w:cantSplit/>
          <w:jc w:val="center"/>
        </w:trPr>
        <w:tc>
          <w:tcPr>
            <w:tcW w:w="1900" w:type="dxa"/>
            <w:vMerge/>
            <w:shd w:val="clear" w:color="auto" w:fill="4472C4"/>
            <w:vAlign w:val="center"/>
          </w:tcPr>
          <w:p w14:paraId="0132CF71" w14:textId="77777777" w:rsidR="00990B14" w:rsidRDefault="00990B14">
            <w:pPr>
              <w:spacing w:before="20" w:after="20"/>
            </w:pPr>
          </w:p>
        </w:tc>
        <w:tc>
          <w:tcPr>
            <w:tcW w:w="1876" w:type="dxa"/>
            <w:shd w:val="clear" w:color="auto" w:fill="D9E2F3"/>
            <w:vAlign w:val="center"/>
          </w:tcPr>
          <w:p w14:paraId="154CE3D7" w14:textId="77777777" w:rsidR="00990B14" w:rsidRDefault="00000000">
            <w:pPr>
              <w:spacing w:before="20" w:after="20"/>
              <w:jc w:val="both"/>
            </w:pPr>
            <w:r>
              <w:rPr>
                <w:sz w:val="18"/>
                <w:szCs w:val="18"/>
              </w:rPr>
              <w:t>Nuevos pagos</w:t>
            </w:r>
          </w:p>
        </w:tc>
        <w:tc>
          <w:tcPr>
            <w:tcW w:w="1876" w:type="dxa"/>
            <w:shd w:val="clear" w:color="auto" w:fill="D9E2F3"/>
            <w:vAlign w:val="center"/>
          </w:tcPr>
          <w:p w14:paraId="41CD7504" w14:textId="77777777" w:rsidR="00990B14" w:rsidRDefault="00000000">
            <w:pPr>
              <w:spacing w:before="20" w:after="20"/>
              <w:jc w:val="both"/>
            </w:pPr>
            <w:r>
              <w:rPr>
                <w:sz w:val="18"/>
                <w:szCs w:val="18"/>
              </w:rPr>
              <w:t>Los pagos calculados no equivalen a la deuda.</w:t>
            </w:r>
          </w:p>
        </w:tc>
        <w:tc>
          <w:tcPr>
            <w:tcW w:w="1876" w:type="dxa"/>
            <w:shd w:val="clear" w:color="auto" w:fill="D9E2F3"/>
            <w:vAlign w:val="center"/>
          </w:tcPr>
          <w:p w14:paraId="020EEB7E" w14:textId="77777777" w:rsidR="00990B14" w:rsidRDefault="00000000">
            <w:pPr>
              <w:spacing w:before="20" w:after="20"/>
              <w:jc w:val="both"/>
            </w:pPr>
            <w:r>
              <w:rPr>
                <w:sz w:val="18"/>
                <w:szCs w:val="18"/>
              </w:rPr>
              <w:t>Determina los pagos equivalentes.</w:t>
            </w:r>
          </w:p>
        </w:tc>
        <w:tc>
          <w:tcPr>
            <w:tcW w:w="1877" w:type="dxa"/>
            <w:shd w:val="clear" w:color="auto" w:fill="D9E2F3"/>
            <w:vAlign w:val="center"/>
          </w:tcPr>
          <w:p w14:paraId="116CF214" w14:textId="77777777" w:rsidR="00990B14" w:rsidRDefault="00000000">
            <w:pPr>
              <w:spacing w:before="20" w:after="20"/>
              <w:jc w:val="both"/>
            </w:pPr>
            <w:r>
              <w:rPr>
                <w:sz w:val="18"/>
                <w:szCs w:val="18"/>
              </w:rPr>
              <w:t>Compara alternativas de reprogramación.</w:t>
            </w:r>
          </w:p>
        </w:tc>
      </w:tr>
      <w:tr w:rsidR="00990B14" w14:paraId="1FB43C92" w14:textId="77777777">
        <w:trPr>
          <w:cantSplit/>
          <w:jc w:val="center"/>
        </w:trPr>
        <w:tc>
          <w:tcPr>
            <w:tcW w:w="1900" w:type="dxa"/>
            <w:vMerge/>
            <w:shd w:val="clear" w:color="auto" w:fill="4472C4"/>
            <w:vAlign w:val="center"/>
          </w:tcPr>
          <w:p w14:paraId="7279AB4B" w14:textId="77777777" w:rsidR="00990B14" w:rsidRDefault="00990B14">
            <w:pPr>
              <w:spacing w:before="20" w:after="20"/>
            </w:pPr>
          </w:p>
        </w:tc>
        <w:tc>
          <w:tcPr>
            <w:tcW w:w="1876" w:type="dxa"/>
            <w:shd w:val="clear" w:color="auto" w:fill="D9E2F3"/>
            <w:vAlign w:val="center"/>
          </w:tcPr>
          <w:p w14:paraId="40AD6344" w14:textId="77777777" w:rsidR="00990B14" w:rsidRDefault="00000000">
            <w:pPr>
              <w:spacing w:before="20" w:after="20"/>
              <w:jc w:val="both"/>
            </w:pPr>
            <w:r>
              <w:rPr>
                <w:sz w:val="18"/>
                <w:szCs w:val="18"/>
              </w:rPr>
              <w:t>Exposición</w:t>
            </w:r>
          </w:p>
        </w:tc>
        <w:tc>
          <w:tcPr>
            <w:tcW w:w="1876" w:type="dxa"/>
            <w:shd w:val="clear" w:color="auto" w:fill="D9E2F3"/>
            <w:vAlign w:val="center"/>
          </w:tcPr>
          <w:p w14:paraId="56C60DD4" w14:textId="77777777" w:rsidR="00990B14" w:rsidRDefault="00000000">
            <w:pPr>
              <w:spacing w:before="20" w:after="20"/>
              <w:jc w:val="both"/>
            </w:pPr>
            <w:r>
              <w:rPr>
                <w:sz w:val="18"/>
                <w:szCs w:val="18"/>
              </w:rPr>
              <w:t>La exposición es confusa.</w:t>
            </w:r>
          </w:p>
        </w:tc>
        <w:tc>
          <w:tcPr>
            <w:tcW w:w="1876" w:type="dxa"/>
            <w:shd w:val="clear" w:color="auto" w:fill="D9E2F3"/>
            <w:vAlign w:val="center"/>
          </w:tcPr>
          <w:p w14:paraId="070D6DF6" w14:textId="77777777" w:rsidR="00990B14" w:rsidRDefault="00000000">
            <w:pPr>
              <w:spacing w:before="20" w:after="20"/>
              <w:jc w:val="both"/>
            </w:pPr>
            <w:r>
              <w:rPr>
                <w:sz w:val="18"/>
                <w:szCs w:val="18"/>
              </w:rPr>
              <w:t>Explica el planteamiento con claridad.</w:t>
            </w:r>
          </w:p>
        </w:tc>
        <w:tc>
          <w:tcPr>
            <w:tcW w:w="1877" w:type="dxa"/>
            <w:shd w:val="clear" w:color="auto" w:fill="D9E2F3"/>
            <w:vAlign w:val="center"/>
          </w:tcPr>
          <w:p w14:paraId="29403815" w14:textId="77777777" w:rsidR="00990B14" w:rsidRDefault="00000000">
            <w:pPr>
              <w:spacing w:before="20" w:after="20"/>
              <w:jc w:val="both"/>
            </w:pPr>
            <w:r>
              <w:rPr>
                <w:sz w:val="18"/>
                <w:szCs w:val="18"/>
              </w:rPr>
              <w:t>Responde con solvencia las preguntas del curso.</w:t>
            </w:r>
          </w:p>
        </w:tc>
      </w:tr>
      <w:tr w:rsidR="00990B14" w14:paraId="3132FA33" w14:textId="77777777">
        <w:trPr>
          <w:cantSplit/>
          <w:jc w:val="center"/>
        </w:trPr>
        <w:tc>
          <w:tcPr>
            <w:tcW w:w="1900" w:type="dxa"/>
            <w:vMerge/>
            <w:shd w:val="clear" w:color="auto" w:fill="4472C4"/>
            <w:vAlign w:val="center"/>
          </w:tcPr>
          <w:p w14:paraId="608476B1" w14:textId="77777777" w:rsidR="00990B14" w:rsidRDefault="00990B14">
            <w:pPr>
              <w:spacing w:before="20" w:after="20"/>
            </w:pPr>
          </w:p>
        </w:tc>
        <w:tc>
          <w:tcPr>
            <w:tcW w:w="5628" w:type="dxa"/>
            <w:gridSpan w:val="3"/>
            <w:shd w:val="clear" w:color="auto" w:fill="D9E2F3"/>
            <w:vAlign w:val="center"/>
          </w:tcPr>
          <w:p w14:paraId="54CA5358" w14:textId="77777777" w:rsidR="00990B14" w:rsidRDefault="00000000">
            <w:pPr>
              <w:keepNext/>
              <w:spacing w:before="20" w:after="20"/>
              <w:jc w:val="both"/>
            </w:pPr>
            <w:r>
              <w:rPr>
                <w:b/>
                <w:bCs/>
                <w:i/>
                <w:iCs/>
                <w:sz w:val="18"/>
                <w:szCs w:val="18"/>
              </w:rPr>
              <w:t xml:space="preserve">Producto 4: </w:t>
            </w:r>
            <w:r>
              <w:rPr>
                <w:sz w:val="18"/>
                <w:szCs w:val="18"/>
              </w:rPr>
              <w:t>Planilla de actualización con la Unidad de Fomento de Vivienda</w:t>
            </w:r>
          </w:p>
        </w:tc>
        <w:tc>
          <w:tcPr>
            <w:tcW w:w="1877" w:type="dxa"/>
            <w:shd w:val="clear" w:color="auto" w:fill="D9E2F3"/>
            <w:vAlign w:val="center"/>
          </w:tcPr>
          <w:p w14:paraId="70EC3826" w14:textId="77777777" w:rsidR="00990B14" w:rsidRDefault="00000000">
            <w:pPr>
              <w:spacing w:before="20" w:after="20"/>
              <w:jc w:val="center"/>
            </w:pPr>
            <w:r>
              <w:rPr>
                <w:b/>
                <w:bCs/>
                <w:sz w:val="18"/>
                <w:szCs w:val="18"/>
              </w:rPr>
              <w:t>5%</w:t>
            </w:r>
          </w:p>
        </w:tc>
      </w:tr>
      <w:tr w:rsidR="00990B14" w14:paraId="4AE041DA" w14:textId="77777777">
        <w:trPr>
          <w:cantSplit/>
          <w:jc w:val="center"/>
        </w:trPr>
        <w:tc>
          <w:tcPr>
            <w:tcW w:w="1900" w:type="dxa"/>
            <w:vMerge/>
            <w:shd w:val="clear" w:color="auto" w:fill="4472C4"/>
            <w:vAlign w:val="center"/>
          </w:tcPr>
          <w:p w14:paraId="0BB53BB1" w14:textId="77777777" w:rsidR="00990B14" w:rsidRDefault="00990B14">
            <w:pPr>
              <w:spacing w:before="20" w:after="20"/>
            </w:pPr>
          </w:p>
        </w:tc>
        <w:tc>
          <w:tcPr>
            <w:tcW w:w="1876" w:type="dxa"/>
            <w:shd w:val="clear" w:color="auto" w:fill="4472C4"/>
            <w:vAlign w:val="center"/>
          </w:tcPr>
          <w:p w14:paraId="42BF9B84"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4BBDE2DB"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4EB4C579"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08088B9A" w14:textId="77777777" w:rsidR="00990B14" w:rsidRDefault="00000000">
            <w:pPr>
              <w:keepNext/>
              <w:spacing w:before="20" w:after="20"/>
              <w:jc w:val="center"/>
            </w:pPr>
            <w:r>
              <w:rPr>
                <w:b/>
                <w:bCs/>
                <w:i/>
                <w:iCs/>
                <w:color w:val="FFFFFF"/>
                <w:sz w:val="18"/>
                <w:szCs w:val="18"/>
              </w:rPr>
              <w:t>Destacado (81–100)</w:t>
            </w:r>
          </w:p>
        </w:tc>
      </w:tr>
      <w:tr w:rsidR="00990B14" w14:paraId="071BDF60" w14:textId="77777777">
        <w:trPr>
          <w:cantSplit/>
          <w:jc w:val="center"/>
        </w:trPr>
        <w:tc>
          <w:tcPr>
            <w:tcW w:w="1900" w:type="dxa"/>
            <w:vMerge/>
            <w:shd w:val="clear" w:color="auto" w:fill="4472C4"/>
            <w:vAlign w:val="center"/>
          </w:tcPr>
          <w:p w14:paraId="184B16CC" w14:textId="77777777" w:rsidR="00990B14" w:rsidRDefault="00990B14">
            <w:pPr>
              <w:spacing w:before="20" w:after="20"/>
            </w:pPr>
          </w:p>
        </w:tc>
        <w:tc>
          <w:tcPr>
            <w:tcW w:w="1876" w:type="dxa"/>
            <w:shd w:val="clear" w:color="auto" w:fill="D9E2F3"/>
            <w:vAlign w:val="center"/>
          </w:tcPr>
          <w:p w14:paraId="13B65858" w14:textId="77777777" w:rsidR="00990B14" w:rsidRDefault="00000000">
            <w:pPr>
              <w:spacing w:before="20" w:after="20"/>
              <w:jc w:val="both"/>
            </w:pPr>
            <w:r>
              <w:rPr>
                <w:sz w:val="18"/>
                <w:szCs w:val="18"/>
              </w:rPr>
              <w:t>Actualización</w:t>
            </w:r>
          </w:p>
        </w:tc>
        <w:tc>
          <w:tcPr>
            <w:tcW w:w="1876" w:type="dxa"/>
            <w:shd w:val="clear" w:color="auto" w:fill="D9E2F3"/>
            <w:vAlign w:val="center"/>
          </w:tcPr>
          <w:p w14:paraId="5567DF57" w14:textId="77777777" w:rsidR="00990B14" w:rsidRDefault="00000000">
            <w:pPr>
              <w:spacing w:before="20" w:after="20"/>
              <w:jc w:val="both"/>
            </w:pPr>
            <w:r>
              <w:rPr>
                <w:sz w:val="18"/>
                <w:szCs w:val="18"/>
              </w:rPr>
              <w:t>Usa valores de la Unidad de Fomento de Vivienda de fechas erradas.</w:t>
            </w:r>
          </w:p>
        </w:tc>
        <w:tc>
          <w:tcPr>
            <w:tcW w:w="1876" w:type="dxa"/>
            <w:shd w:val="clear" w:color="auto" w:fill="D9E2F3"/>
            <w:vAlign w:val="center"/>
          </w:tcPr>
          <w:p w14:paraId="0CEFEF5D" w14:textId="77777777" w:rsidR="00990B14" w:rsidRDefault="00000000">
            <w:pPr>
              <w:spacing w:before="20" w:after="20"/>
              <w:jc w:val="both"/>
            </w:pPr>
            <w:r>
              <w:rPr>
                <w:sz w:val="18"/>
                <w:szCs w:val="18"/>
              </w:rPr>
              <w:t>Actualiza el monto con los valores de las fechas correctas.</w:t>
            </w:r>
          </w:p>
        </w:tc>
        <w:tc>
          <w:tcPr>
            <w:tcW w:w="1877" w:type="dxa"/>
            <w:shd w:val="clear" w:color="auto" w:fill="D9E2F3"/>
            <w:vAlign w:val="center"/>
          </w:tcPr>
          <w:p w14:paraId="6BBE85B2" w14:textId="77777777" w:rsidR="00990B14" w:rsidRDefault="00000000">
            <w:pPr>
              <w:spacing w:before="20" w:after="20"/>
              <w:jc w:val="both"/>
            </w:pPr>
            <w:r>
              <w:rPr>
                <w:sz w:val="18"/>
                <w:szCs w:val="18"/>
              </w:rPr>
              <w:t>Cita la fuente oficial de los valores empleados.</w:t>
            </w:r>
          </w:p>
        </w:tc>
      </w:tr>
      <w:tr w:rsidR="00990B14" w14:paraId="3D9E2C5C" w14:textId="77777777">
        <w:trPr>
          <w:cantSplit/>
          <w:jc w:val="center"/>
        </w:trPr>
        <w:tc>
          <w:tcPr>
            <w:tcW w:w="1900" w:type="dxa"/>
            <w:vMerge/>
            <w:shd w:val="clear" w:color="auto" w:fill="4472C4"/>
            <w:vAlign w:val="center"/>
          </w:tcPr>
          <w:p w14:paraId="535513F4" w14:textId="77777777" w:rsidR="00990B14" w:rsidRDefault="00990B14">
            <w:pPr>
              <w:spacing w:before="20" w:after="20"/>
            </w:pPr>
          </w:p>
        </w:tc>
        <w:tc>
          <w:tcPr>
            <w:tcW w:w="1876" w:type="dxa"/>
            <w:shd w:val="clear" w:color="auto" w:fill="D9E2F3"/>
            <w:vAlign w:val="center"/>
          </w:tcPr>
          <w:p w14:paraId="01EB6CAF" w14:textId="77777777" w:rsidR="00990B14" w:rsidRDefault="00000000">
            <w:pPr>
              <w:spacing w:before="20" w:after="20"/>
              <w:jc w:val="both"/>
            </w:pPr>
            <w:r>
              <w:rPr>
                <w:sz w:val="18"/>
                <w:szCs w:val="18"/>
              </w:rPr>
              <w:t>Tasa real</w:t>
            </w:r>
          </w:p>
        </w:tc>
        <w:tc>
          <w:tcPr>
            <w:tcW w:w="1876" w:type="dxa"/>
            <w:shd w:val="clear" w:color="auto" w:fill="D9E2F3"/>
            <w:vAlign w:val="center"/>
          </w:tcPr>
          <w:p w14:paraId="3FB51E69" w14:textId="77777777" w:rsidR="00990B14" w:rsidRDefault="00000000">
            <w:pPr>
              <w:spacing w:before="20" w:after="20"/>
              <w:jc w:val="both"/>
            </w:pPr>
            <w:r>
              <w:rPr>
                <w:sz w:val="18"/>
                <w:szCs w:val="18"/>
              </w:rPr>
              <w:t>Resta la inflación de la tasa nominal sin justificar.</w:t>
            </w:r>
          </w:p>
        </w:tc>
        <w:tc>
          <w:tcPr>
            <w:tcW w:w="1876" w:type="dxa"/>
            <w:shd w:val="clear" w:color="auto" w:fill="D9E2F3"/>
            <w:vAlign w:val="center"/>
          </w:tcPr>
          <w:p w14:paraId="225C7BC3" w14:textId="77777777" w:rsidR="00990B14" w:rsidRDefault="00000000">
            <w:pPr>
              <w:spacing w:before="20" w:after="20"/>
              <w:jc w:val="both"/>
            </w:pPr>
            <w:r>
              <w:rPr>
                <w:sz w:val="18"/>
                <w:szCs w:val="18"/>
              </w:rPr>
              <w:t>Calcula la tasa real con la fórmula correcta.</w:t>
            </w:r>
          </w:p>
        </w:tc>
        <w:tc>
          <w:tcPr>
            <w:tcW w:w="1877" w:type="dxa"/>
            <w:shd w:val="clear" w:color="auto" w:fill="D9E2F3"/>
            <w:vAlign w:val="center"/>
          </w:tcPr>
          <w:p w14:paraId="5104BB9C" w14:textId="77777777" w:rsidR="00990B14" w:rsidRDefault="00000000">
            <w:pPr>
              <w:spacing w:before="20" w:after="20"/>
              <w:jc w:val="both"/>
            </w:pPr>
            <w:r>
              <w:rPr>
                <w:sz w:val="18"/>
                <w:szCs w:val="18"/>
              </w:rPr>
              <w:t>Interpreta la pérdida o ganancia de poder adquisitivo.</w:t>
            </w:r>
          </w:p>
        </w:tc>
      </w:tr>
      <w:tr w:rsidR="00990B14" w14:paraId="6F751BD9" w14:textId="77777777">
        <w:trPr>
          <w:cantSplit/>
          <w:jc w:val="center"/>
        </w:trPr>
        <w:tc>
          <w:tcPr>
            <w:tcW w:w="1900" w:type="dxa"/>
            <w:vMerge/>
            <w:shd w:val="clear" w:color="auto" w:fill="4472C4"/>
            <w:vAlign w:val="center"/>
          </w:tcPr>
          <w:p w14:paraId="78189358" w14:textId="77777777" w:rsidR="00990B14" w:rsidRDefault="00990B14">
            <w:pPr>
              <w:spacing w:before="20" w:after="20"/>
            </w:pPr>
          </w:p>
        </w:tc>
        <w:tc>
          <w:tcPr>
            <w:tcW w:w="1876" w:type="dxa"/>
            <w:shd w:val="clear" w:color="auto" w:fill="D9E2F3"/>
            <w:vAlign w:val="center"/>
          </w:tcPr>
          <w:p w14:paraId="61D99393" w14:textId="77777777" w:rsidR="00990B14" w:rsidRDefault="00000000">
            <w:pPr>
              <w:spacing w:before="20" w:after="20"/>
              <w:jc w:val="both"/>
            </w:pPr>
            <w:r>
              <w:rPr>
                <w:sz w:val="18"/>
                <w:szCs w:val="18"/>
              </w:rPr>
              <w:t>Costo de proveedores</w:t>
            </w:r>
          </w:p>
        </w:tc>
        <w:tc>
          <w:tcPr>
            <w:tcW w:w="1876" w:type="dxa"/>
            <w:shd w:val="clear" w:color="auto" w:fill="D9E2F3"/>
            <w:vAlign w:val="center"/>
          </w:tcPr>
          <w:p w14:paraId="72FF4AF0" w14:textId="77777777" w:rsidR="00990B14" w:rsidRDefault="00000000">
            <w:pPr>
              <w:spacing w:before="20" w:after="20"/>
              <w:jc w:val="both"/>
            </w:pPr>
            <w:r>
              <w:rPr>
                <w:sz w:val="18"/>
                <w:szCs w:val="18"/>
              </w:rPr>
              <w:t>Omite el costo del crédito comercial.</w:t>
            </w:r>
          </w:p>
        </w:tc>
        <w:tc>
          <w:tcPr>
            <w:tcW w:w="1876" w:type="dxa"/>
            <w:shd w:val="clear" w:color="auto" w:fill="D9E2F3"/>
            <w:vAlign w:val="center"/>
          </w:tcPr>
          <w:p w14:paraId="46EABF8A" w14:textId="77777777" w:rsidR="00990B14" w:rsidRDefault="00000000">
            <w:pPr>
              <w:spacing w:before="20" w:after="20"/>
              <w:jc w:val="both"/>
            </w:pPr>
            <w:r>
              <w:rPr>
                <w:sz w:val="18"/>
                <w:szCs w:val="18"/>
              </w:rPr>
              <w:t>Calcula el costo efectivo de no tomar el descuento por pronto pago.</w:t>
            </w:r>
          </w:p>
        </w:tc>
        <w:tc>
          <w:tcPr>
            <w:tcW w:w="1877" w:type="dxa"/>
            <w:shd w:val="clear" w:color="auto" w:fill="D9E2F3"/>
            <w:vAlign w:val="center"/>
          </w:tcPr>
          <w:p w14:paraId="36C2EFC5" w14:textId="77777777" w:rsidR="00990B14" w:rsidRDefault="00000000">
            <w:pPr>
              <w:spacing w:before="20" w:after="20"/>
              <w:jc w:val="both"/>
            </w:pPr>
            <w:r>
              <w:rPr>
                <w:sz w:val="18"/>
                <w:szCs w:val="18"/>
              </w:rPr>
              <w:t>Recomienda la mejor forma de pago.</w:t>
            </w:r>
          </w:p>
        </w:tc>
      </w:tr>
      <w:tr w:rsidR="00990B14" w14:paraId="2A765D4D" w14:textId="77777777">
        <w:trPr>
          <w:cantSplit/>
          <w:jc w:val="center"/>
        </w:trPr>
        <w:tc>
          <w:tcPr>
            <w:tcW w:w="1900" w:type="dxa"/>
            <w:vMerge/>
            <w:shd w:val="clear" w:color="auto" w:fill="4472C4"/>
            <w:vAlign w:val="center"/>
          </w:tcPr>
          <w:p w14:paraId="7ABA5860" w14:textId="77777777" w:rsidR="00990B14" w:rsidRDefault="00990B14">
            <w:pPr>
              <w:spacing w:before="20" w:after="20"/>
            </w:pPr>
          </w:p>
        </w:tc>
        <w:tc>
          <w:tcPr>
            <w:tcW w:w="5628" w:type="dxa"/>
            <w:gridSpan w:val="3"/>
            <w:shd w:val="clear" w:color="auto" w:fill="D9E2F3"/>
            <w:vAlign w:val="center"/>
          </w:tcPr>
          <w:p w14:paraId="59DD6784" w14:textId="77777777" w:rsidR="00990B14" w:rsidRDefault="00000000">
            <w:pPr>
              <w:keepNext/>
              <w:spacing w:before="20" w:after="20"/>
              <w:jc w:val="both"/>
            </w:pPr>
            <w:r>
              <w:rPr>
                <w:b/>
                <w:bCs/>
                <w:i/>
                <w:iCs/>
                <w:sz w:val="18"/>
                <w:szCs w:val="18"/>
              </w:rPr>
              <w:t xml:space="preserve">Producto 5: </w:t>
            </w:r>
            <w:r>
              <w:rPr>
                <w:sz w:val="18"/>
                <w:szCs w:val="18"/>
              </w:rPr>
              <w:t>Práctico de rentas constantes</w:t>
            </w:r>
          </w:p>
        </w:tc>
        <w:tc>
          <w:tcPr>
            <w:tcW w:w="1877" w:type="dxa"/>
            <w:shd w:val="clear" w:color="auto" w:fill="D9E2F3"/>
            <w:vAlign w:val="center"/>
          </w:tcPr>
          <w:p w14:paraId="1DD90A8C" w14:textId="77777777" w:rsidR="00990B14" w:rsidRDefault="00000000">
            <w:pPr>
              <w:spacing w:before="20" w:after="20"/>
              <w:jc w:val="center"/>
            </w:pPr>
            <w:r>
              <w:rPr>
                <w:b/>
                <w:bCs/>
                <w:sz w:val="18"/>
                <w:szCs w:val="18"/>
              </w:rPr>
              <w:t>5%</w:t>
            </w:r>
          </w:p>
        </w:tc>
      </w:tr>
      <w:tr w:rsidR="00990B14" w14:paraId="645A9B5D" w14:textId="77777777">
        <w:trPr>
          <w:cantSplit/>
          <w:jc w:val="center"/>
        </w:trPr>
        <w:tc>
          <w:tcPr>
            <w:tcW w:w="1900" w:type="dxa"/>
            <w:vMerge/>
            <w:shd w:val="clear" w:color="auto" w:fill="4472C4"/>
            <w:vAlign w:val="center"/>
          </w:tcPr>
          <w:p w14:paraId="19E60E8B" w14:textId="77777777" w:rsidR="00990B14" w:rsidRDefault="00990B14">
            <w:pPr>
              <w:spacing w:before="20" w:after="20"/>
            </w:pPr>
          </w:p>
        </w:tc>
        <w:tc>
          <w:tcPr>
            <w:tcW w:w="1876" w:type="dxa"/>
            <w:shd w:val="clear" w:color="auto" w:fill="4472C4"/>
            <w:vAlign w:val="center"/>
          </w:tcPr>
          <w:p w14:paraId="29C8AD7C"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12B4305D"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25B009BF"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6D72B36F" w14:textId="77777777" w:rsidR="00990B14" w:rsidRDefault="00000000">
            <w:pPr>
              <w:keepNext/>
              <w:spacing w:before="20" w:after="20"/>
              <w:jc w:val="center"/>
            </w:pPr>
            <w:r>
              <w:rPr>
                <w:b/>
                <w:bCs/>
                <w:i/>
                <w:iCs/>
                <w:color w:val="FFFFFF"/>
                <w:sz w:val="18"/>
                <w:szCs w:val="18"/>
              </w:rPr>
              <w:t>Destacado (81–100)</w:t>
            </w:r>
          </w:p>
        </w:tc>
      </w:tr>
      <w:tr w:rsidR="00990B14" w14:paraId="3A79EB7C" w14:textId="77777777">
        <w:trPr>
          <w:cantSplit/>
          <w:jc w:val="center"/>
        </w:trPr>
        <w:tc>
          <w:tcPr>
            <w:tcW w:w="1900" w:type="dxa"/>
            <w:vMerge/>
            <w:shd w:val="clear" w:color="auto" w:fill="4472C4"/>
            <w:vAlign w:val="center"/>
          </w:tcPr>
          <w:p w14:paraId="03072A50" w14:textId="77777777" w:rsidR="00990B14" w:rsidRDefault="00990B14">
            <w:pPr>
              <w:spacing w:before="20" w:after="20"/>
            </w:pPr>
          </w:p>
        </w:tc>
        <w:tc>
          <w:tcPr>
            <w:tcW w:w="1876" w:type="dxa"/>
            <w:shd w:val="clear" w:color="auto" w:fill="D9E2F3"/>
            <w:vAlign w:val="center"/>
          </w:tcPr>
          <w:p w14:paraId="44EEE547" w14:textId="77777777" w:rsidR="00990B14" w:rsidRDefault="00000000">
            <w:pPr>
              <w:spacing w:before="20" w:after="20"/>
              <w:jc w:val="both"/>
            </w:pPr>
            <w:r>
              <w:rPr>
                <w:sz w:val="18"/>
                <w:szCs w:val="18"/>
              </w:rPr>
              <w:t>Clasificación de la renta</w:t>
            </w:r>
          </w:p>
        </w:tc>
        <w:tc>
          <w:tcPr>
            <w:tcW w:w="1876" w:type="dxa"/>
            <w:shd w:val="clear" w:color="auto" w:fill="D9E2F3"/>
            <w:vAlign w:val="center"/>
          </w:tcPr>
          <w:p w14:paraId="1BDEA0B3" w14:textId="77777777" w:rsidR="00990B14" w:rsidRDefault="00000000">
            <w:pPr>
              <w:spacing w:before="20" w:after="20"/>
              <w:jc w:val="both"/>
            </w:pPr>
            <w:r>
              <w:rPr>
                <w:sz w:val="18"/>
                <w:szCs w:val="18"/>
              </w:rPr>
              <w:t>Clasifica mal el tipo de renta.</w:t>
            </w:r>
          </w:p>
        </w:tc>
        <w:tc>
          <w:tcPr>
            <w:tcW w:w="1876" w:type="dxa"/>
            <w:shd w:val="clear" w:color="auto" w:fill="D9E2F3"/>
            <w:vAlign w:val="center"/>
          </w:tcPr>
          <w:p w14:paraId="46C7BD95" w14:textId="77777777" w:rsidR="00990B14" w:rsidRDefault="00000000">
            <w:pPr>
              <w:spacing w:before="20" w:after="20"/>
              <w:jc w:val="both"/>
            </w:pPr>
            <w:r>
              <w:rPr>
                <w:sz w:val="18"/>
                <w:szCs w:val="18"/>
              </w:rPr>
              <w:t>Identifica correctamente cada tipo de renta.</w:t>
            </w:r>
          </w:p>
        </w:tc>
        <w:tc>
          <w:tcPr>
            <w:tcW w:w="1877" w:type="dxa"/>
            <w:shd w:val="clear" w:color="auto" w:fill="D9E2F3"/>
            <w:vAlign w:val="center"/>
          </w:tcPr>
          <w:p w14:paraId="77C0CCB3" w14:textId="77777777" w:rsidR="00990B14" w:rsidRDefault="00000000">
            <w:pPr>
              <w:spacing w:before="20" w:after="20"/>
              <w:jc w:val="both"/>
            </w:pPr>
            <w:r>
              <w:rPr>
                <w:sz w:val="18"/>
                <w:szCs w:val="18"/>
              </w:rPr>
              <w:t>Explica cómo cambia el valor según el momento de pago.</w:t>
            </w:r>
          </w:p>
        </w:tc>
      </w:tr>
      <w:tr w:rsidR="00990B14" w14:paraId="0020CFF0" w14:textId="77777777">
        <w:trPr>
          <w:cantSplit/>
          <w:jc w:val="center"/>
        </w:trPr>
        <w:tc>
          <w:tcPr>
            <w:tcW w:w="1900" w:type="dxa"/>
            <w:vMerge/>
            <w:shd w:val="clear" w:color="auto" w:fill="4472C4"/>
            <w:vAlign w:val="center"/>
          </w:tcPr>
          <w:p w14:paraId="724BC2A5" w14:textId="77777777" w:rsidR="00990B14" w:rsidRDefault="00990B14">
            <w:pPr>
              <w:spacing w:before="20" w:after="20"/>
            </w:pPr>
          </w:p>
        </w:tc>
        <w:tc>
          <w:tcPr>
            <w:tcW w:w="1876" w:type="dxa"/>
            <w:shd w:val="clear" w:color="auto" w:fill="D9E2F3"/>
            <w:vAlign w:val="center"/>
          </w:tcPr>
          <w:p w14:paraId="5F772289" w14:textId="77777777" w:rsidR="00990B14" w:rsidRDefault="00000000">
            <w:pPr>
              <w:spacing w:before="20" w:after="20"/>
              <w:jc w:val="both"/>
            </w:pPr>
            <w:r>
              <w:rPr>
                <w:sz w:val="18"/>
                <w:szCs w:val="18"/>
              </w:rPr>
              <w:t>Valor actual y final</w:t>
            </w:r>
          </w:p>
        </w:tc>
        <w:tc>
          <w:tcPr>
            <w:tcW w:w="1876" w:type="dxa"/>
            <w:shd w:val="clear" w:color="auto" w:fill="D9E2F3"/>
            <w:vAlign w:val="center"/>
          </w:tcPr>
          <w:p w14:paraId="7874BF80" w14:textId="77777777" w:rsidR="00990B14" w:rsidRDefault="00000000">
            <w:pPr>
              <w:spacing w:before="20" w:after="20"/>
              <w:jc w:val="both"/>
            </w:pPr>
            <w:r>
              <w:rPr>
                <w:sz w:val="18"/>
                <w:szCs w:val="18"/>
              </w:rPr>
              <w:t>Aplica factores que no corresponden.</w:t>
            </w:r>
          </w:p>
        </w:tc>
        <w:tc>
          <w:tcPr>
            <w:tcW w:w="1876" w:type="dxa"/>
            <w:shd w:val="clear" w:color="auto" w:fill="D9E2F3"/>
            <w:vAlign w:val="center"/>
          </w:tcPr>
          <w:p w14:paraId="31E39A9F" w14:textId="77777777" w:rsidR="00990B14" w:rsidRDefault="00000000">
            <w:pPr>
              <w:spacing w:before="20" w:after="20"/>
              <w:jc w:val="both"/>
            </w:pPr>
            <w:r>
              <w:rPr>
                <w:sz w:val="18"/>
                <w:szCs w:val="18"/>
              </w:rPr>
              <w:t>Calcula correctamente el valor actual y el final.</w:t>
            </w:r>
          </w:p>
        </w:tc>
        <w:tc>
          <w:tcPr>
            <w:tcW w:w="1877" w:type="dxa"/>
            <w:shd w:val="clear" w:color="auto" w:fill="D9E2F3"/>
            <w:vAlign w:val="center"/>
          </w:tcPr>
          <w:p w14:paraId="03AF88D4" w14:textId="77777777" w:rsidR="00990B14" w:rsidRDefault="00000000">
            <w:pPr>
              <w:spacing w:before="20" w:after="20"/>
              <w:jc w:val="both"/>
            </w:pPr>
            <w:r>
              <w:rPr>
                <w:sz w:val="18"/>
                <w:szCs w:val="18"/>
              </w:rPr>
              <w:t>Verifica los valores en hoja de cálculo.</w:t>
            </w:r>
          </w:p>
        </w:tc>
      </w:tr>
      <w:tr w:rsidR="00990B14" w14:paraId="1ED818A3" w14:textId="77777777">
        <w:trPr>
          <w:cantSplit/>
          <w:jc w:val="center"/>
        </w:trPr>
        <w:tc>
          <w:tcPr>
            <w:tcW w:w="1900" w:type="dxa"/>
            <w:vMerge/>
            <w:shd w:val="clear" w:color="auto" w:fill="4472C4"/>
            <w:vAlign w:val="center"/>
          </w:tcPr>
          <w:p w14:paraId="05D5D008" w14:textId="77777777" w:rsidR="00990B14" w:rsidRDefault="00990B14">
            <w:pPr>
              <w:spacing w:before="20" w:after="20"/>
            </w:pPr>
          </w:p>
        </w:tc>
        <w:tc>
          <w:tcPr>
            <w:tcW w:w="1876" w:type="dxa"/>
            <w:shd w:val="clear" w:color="auto" w:fill="D9E2F3"/>
            <w:vAlign w:val="center"/>
          </w:tcPr>
          <w:p w14:paraId="769A6BF7" w14:textId="77777777" w:rsidR="00990B14" w:rsidRDefault="00000000">
            <w:pPr>
              <w:spacing w:before="20" w:after="20"/>
              <w:jc w:val="both"/>
            </w:pPr>
            <w:r>
              <w:rPr>
                <w:sz w:val="18"/>
                <w:szCs w:val="18"/>
              </w:rPr>
              <w:t>Orden del desarrollo</w:t>
            </w:r>
          </w:p>
        </w:tc>
        <w:tc>
          <w:tcPr>
            <w:tcW w:w="1876" w:type="dxa"/>
            <w:shd w:val="clear" w:color="auto" w:fill="D9E2F3"/>
            <w:vAlign w:val="center"/>
          </w:tcPr>
          <w:p w14:paraId="1D2CDFA0" w14:textId="77777777" w:rsidR="00990B14" w:rsidRDefault="00000000">
            <w:pPr>
              <w:spacing w:before="20" w:after="20"/>
              <w:jc w:val="both"/>
            </w:pPr>
            <w:r>
              <w:rPr>
                <w:sz w:val="18"/>
                <w:szCs w:val="18"/>
              </w:rPr>
              <w:t>El desarrollo es desordenado.</w:t>
            </w:r>
          </w:p>
        </w:tc>
        <w:tc>
          <w:tcPr>
            <w:tcW w:w="1876" w:type="dxa"/>
            <w:shd w:val="clear" w:color="auto" w:fill="D9E2F3"/>
            <w:vAlign w:val="center"/>
          </w:tcPr>
          <w:p w14:paraId="5D8BB83E" w14:textId="77777777" w:rsidR="00990B14" w:rsidRDefault="00000000">
            <w:pPr>
              <w:spacing w:before="20" w:after="20"/>
              <w:jc w:val="both"/>
            </w:pPr>
            <w:r>
              <w:rPr>
                <w:sz w:val="18"/>
                <w:szCs w:val="18"/>
              </w:rPr>
              <w:t>Presenta los datos, la fórmula y el resultado.</w:t>
            </w:r>
          </w:p>
        </w:tc>
        <w:tc>
          <w:tcPr>
            <w:tcW w:w="1877" w:type="dxa"/>
            <w:shd w:val="clear" w:color="auto" w:fill="D9E2F3"/>
            <w:vAlign w:val="center"/>
          </w:tcPr>
          <w:p w14:paraId="5428086D" w14:textId="77777777" w:rsidR="00990B14" w:rsidRDefault="00000000">
            <w:pPr>
              <w:spacing w:before="20" w:after="20"/>
              <w:jc w:val="both"/>
            </w:pPr>
            <w:r>
              <w:rPr>
                <w:sz w:val="18"/>
                <w:szCs w:val="18"/>
              </w:rPr>
              <w:t>Incluye un diagrama de tiempo en cada caso.</w:t>
            </w:r>
          </w:p>
        </w:tc>
      </w:tr>
      <w:tr w:rsidR="00990B14" w14:paraId="503AF70A" w14:textId="77777777">
        <w:trPr>
          <w:cantSplit/>
          <w:jc w:val="center"/>
        </w:trPr>
        <w:tc>
          <w:tcPr>
            <w:tcW w:w="1900" w:type="dxa"/>
            <w:vMerge/>
            <w:shd w:val="clear" w:color="auto" w:fill="4472C4"/>
            <w:vAlign w:val="center"/>
          </w:tcPr>
          <w:p w14:paraId="6335F34A" w14:textId="77777777" w:rsidR="00990B14" w:rsidRDefault="00990B14">
            <w:pPr>
              <w:spacing w:before="20" w:after="20"/>
            </w:pPr>
          </w:p>
        </w:tc>
        <w:tc>
          <w:tcPr>
            <w:tcW w:w="5628" w:type="dxa"/>
            <w:gridSpan w:val="3"/>
            <w:shd w:val="clear" w:color="auto" w:fill="D9E2F3"/>
            <w:vAlign w:val="center"/>
          </w:tcPr>
          <w:p w14:paraId="27C34210" w14:textId="77777777" w:rsidR="00990B14" w:rsidRDefault="00000000">
            <w:pPr>
              <w:keepNext/>
              <w:spacing w:before="20" w:after="20"/>
              <w:jc w:val="both"/>
            </w:pPr>
            <w:r>
              <w:rPr>
                <w:b/>
                <w:bCs/>
                <w:i/>
                <w:iCs/>
                <w:sz w:val="18"/>
                <w:szCs w:val="18"/>
              </w:rPr>
              <w:t xml:space="preserve">Producto 6: </w:t>
            </w:r>
            <w:r>
              <w:rPr>
                <w:sz w:val="18"/>
                <w:szCs w:val="18"/>
              </w:rPr>
              <w:t>Caso de venta a plazos</w:t>
            </w:r>
          </w:p>
        </w:tc>
        <w:tc>
          <w:tcPr>
            <w:tcW w:w="1877" w:type="dxa"/>
            <w:shd w:val="clear" w:color="auto" w:fill="D9E2F3"/>
            <w:vAlign w:val="center"/>
          </w:tcPr>
          <w:p w14:paraId="08CA3409" w14:textId="77777777" w:rsidR="00990B14" w:rsidRDefault="00000000">
            <w:pPr>
              <w:spacing w:before="20" w:after="20"/>
              <w:jc w:val="center"/>
            </w:pPr>
            <w:r>
              <w:rPr>
                <w:b/>
                <w:bCs/>
                <w:sz w:val="18"/>
                <w:szCs w:val="18"/>
              </w:rPr>
              <w:t>5%</w:t>
            </w:r>
          </w:p>
        </w:tc>
      </w:tr>
      <w:tr w:rsidR="00990B14" w14:paraId="774F1124" w14:textId="77777777">
        <w:trPr>
          <w:cantSplit/>
          <w:jc w:val="center"/>
        </w:trPr>
        <w:tc>
          <w:tcPr>
            <w:tcW w:w="1900" w:type="dxa"/>
            <w:vMerge/>
            <w:shd w:val="clear" w:color="auto" w:fill="4472C4"/>
            <w:vAlign w:val="center"/>
          </w:tcPr>
          <w:p w14:paraId="01241633" w14:textId="77777777" w:rsidR="00990B14" w:rsidRDefault="00990B14">
            <w:pPr>
              <w:spacing w:before="20" w:after="20"/>
            </w:pPr>
          </w:p>
        </w:tc>
        <w:tc>
          <w:tcPr>
            <w:tcW w:w="1876" w:type="dxa"/>
            <w:shd w:val="clear" w:color="auto" w:fill="4472C4"/>
            <w:vAlign w:val="center"/>
          </w:tcPr>
          <w:p w14:paraId="607454A7"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69E0785D"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63766A17"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50D0DA2F" w14:textId="77777777" w:rsidR="00990B14" w:rsidRDefault="00000000">
            <w:pPr>
              <w:keepNext/>
              <w:spacing w:before="20" w:after="20"/>
              <w:jc w:val="center"/>
            </w:pPr>
            <w:r>
              <w:rPr>
                <w:b/>
                <w:bCs/>
                <w:i/>
                <w:iCs/>
                <w:color w:val="FFFFFF"/>
                <w:sz w:val="18"/>
                <w:szCs w:val="18"/>
              </w:rPr>
              <w:t>Destacado (81–100)</w:t>
            </w:r>
          </w:p>
        </w:tc>
      </w:tr>
      <w:tr w:rsidR="00990B14" w14:paraId="761F7092" w14:textId="77777777">
        <w:trPr>
          <w:cantSplit/>
          <w:jc w:val="center"/>
        </w:trPr>
        <w:tc>
          <w:tcPr>
            <w:tcW w:w="1900" w:type="dxa"/>
            <w:vMerge/>
            <w:shd w:val="clear" w:color="auto" w:fill="4472C4"/>
            <w:vAlign w:val="center"/>
          </w:tcPr>
          <w:p w14:paraId="2F518AA4" w14:textId="77777777" w:rsidR="00990B14" w:rsidRDefault="00990B14">
            <w:pPr>
              <w:spacing w:before="20" w:after="20"/>
            </w:pPr>
          </w:p>
        </w:tc>
        <w:tc>
          <w:tcPr>
            <w:tcW w:w="1876" w:type="dxa"/>
            <w:shd w:val="clear" w:color="auto" w:fill="D9E2F3"/>
            <w:vAlign w:val="center"/>
          </w:tcPr>
          <w:p w14:paraId="66407318" w14:textId="77777777" w:rsidR="00990B14" w:rsidRDefault="00000000">
            <w:pPr>
              <w:spacing w:before="20" w:after="20"/>
              <w:jc w:val="both"/>
            </w:pPr>
            <w:r>
              <w:rPr>
                <w:sz w:val="18"/>
                <w:szCs w:val="18"/>
              </w:rPr>
              <w:t>Cuota</w:t>
            </w:r>
          </w:p>
        </w:tc>
        <w:tc>
          <w:tcPr>
            <w:tcW w:w="1876" w:type="dxa"/>
            <w:shd w:val="clear" w:color="auto" w:fill="D9E2F3"/>
            <w:vAlign w:val="center"/>
          </w:tcPr>
          <w:p w14:paraId="518C3E6D" w14:textId="77777777" w:rsidR="00990B14" w:rsidRDefault="00000000">
            <w:pPr>
              <w:spacing w:before="20" w:after="20"/>
              <w:jc w:val="both"/>
            </w:pPr>
            <w:r>
              <w:rPr>
                <w:sz w:val="18"/>
                <w:szCs w:val="18"/>
              </w:rPr>
              <w:t>La cuota calculada es incorrecta.</w:t>
            </w:r>
          </w:p>
        </w:tc>
        <w:tc>
          <w:tcPr>
            <w:tcW w:w="1876" w:type="dxa"/>
            <w:shd w:val="clear" w:color="auto" w:fill="D9E2F3"/>
            <w:vAlign w:val="center"/>
          </w:tcPr>
          <w:p w14:paraId="0C43CC38" w14:textId="77777777" w:rsidR="00990B14" w:rsidRDefault="00000000">
            <w:pPr>
              <w:spacing w:before="20" w:after="20"/>
              <w:jc w:val="both"/>
            </w:pPr>
            <w:r>
              <w:rPr>
                <w:sz w:val="18"/>
                <w:szCs w:val="18"/>
              </w:rPr>
              <w:t>Determina la cuota de la venta a plazos.</w:t>
            </w:r>
          </w:p>
        </w:tc>
        <w:tc>
          <w:tcPr>
            <w:tcW w:w="1877" w:type="dxa"/>
            <w:shd w:val="clear" w:color="auto" w:fill="D9E2F3"/>
            <w:vAlign w:val="center"/>
          </w:tcPr>
          <w:p w14:paraId="1FFE340C" w14:textId="77777777" w:rsidR="00990B14" w:rsidRDefault="00000000">
            <w:pPr>
              <w:spacing w:before="20" w:after="20"/>
              <w:jc w:val="both"/>
            </w:pPr>
            <w:r>
              <w:rPr>
                <w:sz w:val="18"/>
                <w:szCs w:val="18"/>
              </w:rPr>
              <w:t>Compara la cuota con el precio al contado.</w:t>
            </w:r>
          </w:p>
        </w:tc>
      </w:tr>
      <w:tr w:rsidR="00990B14" w14:paraId="57F74267" w14:textId="77777777">
        <w:trPr>
          <w:cantSplit/>
          <w:jc w:val="center"/>
        </w:trPr>
        <w:tc>
          <w:tcPr>
            <w:tcW w:w="1900" w:type="dxa"/>
            <w:vMerge/>
            <w:shd w:val="clear" w:color="auto" w:fill="4472C4"/>
            <w:vAlign w:val="center"/>
          </w:tcPr>
          <w:p w14:paraId="2F2E846E" w14:textId="77777777" w:rsidR="00990B14" w:rsidRDefault="00990B14">
            <w:pPr>
              <w:spacing w:before="20" w:after="20"/>
            </w:pPr>
          </w:p>
        </w:tc>
        <w:tc>
          <w:tcPr>
            <w:tcW w:w="1876" w:type="dxa"/>
            <w:shd w:val="clear" w:color="auto" w:fill="D9E2F3"/>
            <w:vAlign w:val="center"/>
          </w:tcPr>
          <w:p w14:paraId="269B3F50" w14:textId="77777777" w:rsidR="00990B14" w:rsidRDefault="00000000">
            <w:pPr>
              <w:spacing w:before="20" w:after="20"/>
              <w:jc w:val="both"/>
            </w:pPr>
            <w:r>
              <w:rPr>
                <w:sz w:val="18"/>
                <w:szCs w:val="18"/>
              </w:rPr>
              <w:t>Tasa implícita</w:t>
            </w:r>
          </w:p>
        </w:tc>
        <w:tc>
          <w:tcPr>
            <w:tcW w:w="1876" w:type="dxa"/>
            <w:shd w:val="clear" w:color="auto" w:fill="D9E2F3"/>
            <w:vAlign w:val="center"/>
          </w:tcPr>
          <w:p w14:paraId="2CD8A140" w14:textId="77777777" w:rsidR="00990B14" w:rsidRDefault="00000000">
            <w:pPr>
              <w:spacing w:before="20" w:after="20"/>
              <w:jc w:val="both"/>
            </w:pPr>
            <w:r>
              <w:rPr>
                <w:sz w:val="18"/>
                <w:szCs w:val="18"/>
              </w:rPr>
              <w:t>No determina la tasa implícita.</w:t>
            </w:r>
          </w:p>
        </w:tc>
        <w:tc>
          <w:tcPr>
            <w:tcW w:w="1876" w:type="dxa"/>
            <w:shd w:val="clear" w:color="auto" w:fill="D9E2F3"/>
            <w:vAlign w:val="center"/>
          </w:tcPr>
          <w:p w14:paraId="0DAEEF24" w14:textId="77777777" w:rsidR="00990B14" w:rsidRDefault="00000000">
            <w:pPr>
              <w:spacing w:before="20" w:after="20"/>
              <w:jc w:val="both"/>
            </w:pPr>
            <w:r>
              <w:rPr>
                <w:sz w:val="18"/>
                <w:szCs w:val="18"/>
              </w:rPr>
              <w:t>Calcula la tasa implícita de la operación.</w:t>
            </w:r>
          </w:p>
        </w:tc>
        <w:tc>
          <w:tcPr>
            <w:tcW w:w="1877" w:type="dxa"/>
            <w:shd w:val="clear" w:color="auto" w:fill="D9E2F3"/>
            <w:vAlign w:val="center"/>
          </w:tcPr>
          <w:p w14:paraId="0B18F838" w14:textId="77777777" w:rsidR="00990B14" w:rsidRDefault="00000000">
            <w:pPr>
              <w:spacing w:before="20" w:after="20"/>
              <w:jc w:val="both"/>
            </w:pPr>
            <w:r>
              <w:rPr>
                <w:sz w:val="18"/>
                <w:szCs w:val="18"/>
              </w:rPr>
              <w:t>Advierte el costo oculto de la venta a plazos.</w:t>
            </w:r>
          </w:p>
        </w:tc>
      </w:tr>
      <w:tr w:rsidR="00990B14" w14:paraId="07BEB62C" w14:textId="77777777">
        <w:trPr>
          <w:cantSplit/>
          <w:jc w:val="center"/>
        </w:trPr>
        <w:tc>
          <w:tcPr>
            <w:tcW w:w="1900" w:type="dxa"/>
            <w:vMerge/>
            <w:shd w:val="clear" w:color="auto" w:fill="4472C4"/>
            <w:vAlign w:val="center"/>
          </w:tcPr>
          <w:p w14:paraId="43BB3CE3" w14:textId="77777777" w:rsidR="00990B14" w:rsidRDefault="00990B14">
            <w:pPr>
              <w:spacing w:before="20" w:after="20"/>
            </w:pPr>
          </w:p>
        </w:tc>
        <w:tc>
          <w:tcPr>
            <w:tcW w:w="1876" w:type="dxa"/>
            <w:shd w:val="clear" w:color="auto" w:fill="D9E2F3"/>
            <w:vAlign w:val="center"/>
          </w:tcPr>
          <w:p w14:paraId="011BB7A5" w14:textId="77777777" w:rsidR="00990B14" w:rsidRDefault="00000000">
            <w:pPr>
              <w:spacing w:before="20" w:after="20"/>
              <w:jc w:val="both"/>
            </w:pPr>
            <w:r>
              <w:rPr>
                <w:sz w:val="18"/>
                <w:szCs w:val="18"/>
              </w:rPr>
              <w:t>Trabajo en equipo</w:t>
            </w:r>
          </w:p>
        </w:tc>
        <w:tc>
          <w:tcPr>
            <w:tcW w:w="1876" w:type="dxa"/>
            <w:shd w:val="clear" w:color="auto" w:fill="D9E2F3"/>
            <w:vAlign w:val="center"/>
          </w:tcPr>
          <w:p w14:paraId="1F60ECFD" w14:textId="77777777" w:rsidR="00990B14" w:rsidRDefault="00000000">
            <w:pPr>
              <w:spacing w:before="20" w:after="20"/>
              <w:jc w:val="both"/>
            </w:pPr>
            <w:r>
              <w:rPr>
                <w:sz w:val="18"/>
                <w:szCs w:val="18"/>
              </w:rPr>
              <w:t>Pocos integrantes participan.</w:t>
            </w:r>
          </w:p>
        </w:tc>
        <w:tc>
          <w:tcPr>
            <w:tcW w:w="1876" w:type="dxa"/>
            <w:shd w:val="clear" w:color="auto" w:fill="D9E2F3"/>
            <w:vAlign w:val="center"/>
          </w:tcPr>
          <w:p w14:paraId="64707AA7" w14:textId="77777777" w:rsidR="00990B14" w:rsidRDefault="00000000">
            <w:pPr>
              <w:spacing w:before="20" w:after="20"/>
              <w:jc w:val="both"/>
            </w:pPr>
            <w:r>
              <w:rPr>
                <w:sz w:val="18"/>
                <w:szCs w:val="18"/>
              </w:rPr>
              <w:t>Todos los integrantes aportan al caso.</w:t>
            </w:r>
          </w:p>
        </w:tc>
        <w:tc>
          <w:tcPr>
            <w:tcW w:w="1877" w:type="dxa"/>
            <w:shd w:val="clear" w:color="auto" w:fill="D9E2F3"/>
            <w:vAlign w:val="center"/>
          </w:tcPr>
          <w:p w14:paraId="4A1E4EB8" w14:textId="77777777" w:rsidR="00990B14" w:rsidRDefault="00000000">
            <w:pPr>
              <w:spacing w:before="20" w:after="20"/>
              <w:jc w:val="both"/>
            </w:pPr>
            <w:r>
              <w:rPr>
                <w:sz w:val="18"/>
                <w:szCs w:val="18"/>
              </w:rPr>
              <w:t>El equipo sustenta una recomendación al comprador.</w:t>
            </w:r>
          </w:p>
        </w:tc>
      </w:tr>
      <w:tr w:rsidR="00990B14" w14:paraId="75D92A05" w14:textId="77777777">
        <w:trPr>
          <w:cantSplit/>
          <w:jc w:val="center"/>
        </w:trPr>
        <w:tc>
          <w:tcPr>
            <w:tcW w:w="1900" w:type="dxa"/>
            <w:vMerge/>
            <w:shd w:val="clear" w:color="auto" w:fill="4472C4"/>
            <w:vAlign w:val="center"/>
          </w:tcPr>
          <w:p w14:paraId="3A5F7AD8" w14:textId="77777777" w:rsidR="00990B14" w:rsidRDefault="00990B14">
            <w:pPr>
              <w:spacing w:before="20" w:after="20"/>
            </w:pPr>
          </w:p>
        </w:tc>
        <w:tc>
          <w:tcPr>
            <w:tcW w:w="5628" w:type="dxa"/>
            <w:gridSpan w:val="3"/>
            <w:shd w:val="clear" w:color="auto" w:fill="D9E2F3"/>
            <w:vAlign w:val="center"/>
          </w:tcPr>
          <w:p w14:paraId="7BF88788" w14:textId="77777777" w:rsidR="00990B14" w:rsidRDefault="00000000">
            <w:pPr>
              <w:keepNext/>
              <w:spacing w:before="20" w:after="20"/>
              <w:jc w:val="both"/>
            </w:pPr>
            <w:r>
              <w:rPr>
                <w:b/>
                <w:bCs/>
                <w:i/>
                <w:iCs/>
                <w:sz w:val="18"/>
                <w:szCs w:val="18"/>
              </w:rPr>
              <w:t xml:space="preserve">Producto 7: </w:t>
            </w:r>
            <w:r>
              <w:rPr>
                <w:sz w:val="18"/>
                <w:szCs w:val="18"/>
              </w:rPr>
              <w:t>Simulador de ahorro</w:t>
            </w:r>
          </w:p>
        </w:tc>
        <w:tc>
          <w:tcPr>
            <w:tcW w:w="1877" w:type="dxa"/>
            <w:shd w:val="clear" w:color="auto" w:fill="D9E2F3"/>
            <w:vAlign w:val="center"/>
          </w:tcPr>
          <w:p w14:paraId="08746F29" w14:textId="77777777" w:rsidR="00990B14" w:rsidRDefault="00000000">
            <w:pPr>
              <w:spacing w:before="20" w:after="20"/>
              <w:jc w:val="center"/>
            </w:pPr>
            <w:r>
              <w:rPr>
                <w:b/>
                <w:bCs/>
                <w:sz w:val="18"/>
                <w:szCs w:val="18"/>
              </w:rPr>
              <w:t>5%</w:t>
            </w:r>
          </w:p>
        </w:tc>
      </w:tr>
      <w:tr w:rsidR="00990B14" w14:paraId="362AF1BE" w14:textId="77777777">
        <w:trPr>
          <w:cantSplit/>
          <w:jc w:val="center"/>
        </w:trPr>
        <w:tc>
          <w:tcPr>
            <w:tcW w:w="1900" w:type="dxa"/>
            <w:vMerge/>
            <w:shd w:val="clear" w:color="auto" w:fill="4472C4"/>
            <w:vAlign w:val="center"/>
          </w:tcPr>
          <w:p w14:paraId="272DEF83" w14:textId="77777777" w:rsidR="00990B14" w:rsidRDefault="00990B14">
            <w:pPr>
              <w:spacing w:before="20" w:after="20"/>
            </w:pPr>
          </w:p>
        </w:tc>
        <w:tc>
          <w:tcPr>
            <w:tcW w:w="1876" w:type="dxa"/>
            <w:shd w:val="clear" w:color="auto" w:fill="4472C4"/>
            <w:vAlign w:val="center"/>
          </w:tcPr>
          <w:p w14:paraId="284A4B6F"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453CA8CE"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4324CB9D"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75A42BA3" w14:textId="77777777" w:rsidR="00990B14" w:rsidRDefault="00000000">
            <w:pPr>
              <w:keepNext/>
              <w:spacing w:before="20" w:after="20"/>
              <w:jc w:val="center"/>
            </w:pPr>
            <w:r>
              <w:rPr>
                <w:b/>
                <w:bCs/>
                <w:i/>
                <w:iCs/>
                <w:color w:val="FFFFFF"/>
                <w:sz w:val="18"/>
                <w:szCs w:val="18"/>
              </w:rPr>
              <w:t>Destacado (81–100)</w:t>
            </w:r>
          </w:p>
        </w:tc>
      </w:tr>
      <w:tr w:rsidR="00990B14" w14:paraId="47403A9D" w14:textId="77777777">
        <w:trPr>
          <w:cantSplit/>
          <w:jc w:val="center"/>
        </w:trPr>
        <w:tc>
          <w:tcPr>
            <w:tcW w:w="1900" w:type="dxa"/>
            <w:vMerge/>
            <w:shd w:val="clear" w:color="auto" w:fill="4472C4"/>
            <w:vAlign w:val="center"/>
          </w:tcPr>
          <w:p w14:paraId="2888E4A9" w14:textId="77777777" w:rsidR="00990B14" w:rsidRDefault="00990B14">
            <w:pPr>
              <w:spacing w:before="20" w:after="20"/>
            </w:pPr>
          </w:p>
        </w:tc>
        <w:tc>
          <w:tcPr>
            <w:tcW w:w="1876" w:type="dxa"/>
            <w:shd w:val="clear" w:color="auto" w:fill="D9E2F3"/>
            <w:vAlign w:val="center"/>
          </w:tcPr>
          <w:p w14:paraId="26B8EAAF" w14:textId="77777777" w:rsidR="00990B14" w:rsidRDefault="00000000">
            <w:pPr>
              <w:spacing w:before="20" w:after="20"/>
              <w:jc w:val="both"/>
            </w:pPr>
            <w:r>
              <w:rPr>
                <w:sz w:val="18"/>
                <w:szCs w:val="18"/>
              </w:rPr>
              <w:t>Escenarios</w:t>
            </w:r>
          </w:p>
        </w:tc>
        <w:tc>
          <w:tcPr>
            <w:tcW w:w="1876" w:type="dxa"/>
            <w:shd w:val="clear" w:color="auto" w:fill="D9E2F3"/>
            <w:vAlign w:val="center"/>
          </w:tcPr>
          <w:p w14:paraId="1F0FF366" w14:textId="77777777" w:rsidR="00990B14" w:rsidRDefault="00000000">
            <w:pPr>
              <w:spacing w:before="20" w:after="20"/>
              <w:jc w:val="both"/>
            </w:pPr>
            <w:r>
              <w:rPr>
                <w:sz w:val="18"/>
                <w:szCs w:val="18"/>
              </w:rPr>
              <w:t>Incluye un solo escenario.</w:t>
            </w:r>
          </w:p>
        </w:tc>
        <w:tc>
          <w:tcPr>
            <w:tcW w:w="1876" w:type="dxa"/>
            <w:shd w:val="clear" w:color="auto" w:fill="D9E2F3"/>
            <w:vAlign w:val="center"/>
          </w:tcPr>
          <w:p w14:paraId="41F94FE5" w14:textId="77777777" w:rsidR="00990B14" w:rsidRDefault="00000000">
            <w:pPr>
              <w:spacing w:before="20" w:after="20"/>
              <w:jc w:val="both"/>
            </w:pPr>
            <w:r>
              <w:rPr>
                <w:sz w:val="18"/>
                <w:szCs w:val="18"/>
              </w:rPr>
              <w:t>Modela los tres tipos de renta.</w:t>
            </w:r>
          </w:p>
        </w:tc>
        <w:tc>
          <w:tcPr>
            <w:tcW w:w="1877" w:type="dxa"/>
            <w:shd w:val="clear" w:color="auto" w:fill="D9E2F3"/>
            <w:vAlign w:val="center"/>
          </w:tcPr>
          <w:p w14:paraId="147AD4BE" w14:textId="77777777" w:rsidR="00990B14" w:rsidRDefault="00000000">
            <w:pPr>
              <w:spacing w:before="20" w:after="20"/>
              <w:jc w:val="both"/>
            </w:pPr>
            <w:r>
              <w:rPr>
                <w:sz w:val="18"/>
                <w:szCs w:val="18"/>
              </w:rPr>
              <w:t>Permite cambiar la razón y la tasa con facilidad.</w:t>
            </w:r>
          </w:p>
        </w:tc>
      </w:tr>
      <w:tr w:rsidR="00990B14" w14:paraId="666391E4" w14:textId="77777777">
        <w:trPr>
          <w:cantSplit/>
          <w:jc w:val="center"/>
        </w:trPr>
        <w:tc>
          <w:tcPr>
            <w:tcW w:w="1900" w:type="dxa"/>
            <w:vMerge/>
            <w:shd w:val="clear" w:color="auto" w:fill="4472C4"/>
            <w:vAlign w:val="center"/>
          </w:tcPr>
          <w:p w14:paraId="06157EB7" w14:textId="77777777" w:rsidR="00990B14" w:rsidRDefault="00990B14">
            <w:pPr>
              <w:spacing w:before="20" w:after="20"/>
            </w:pPr>
          </w:p>
        </w:tc>
        <w:tc>
          <w:tcPr>
            <w:tcW w:w="1876" w:type="dxa"/>
            <w:shd w:val="clear" w:color="auto" w:fill="D9E2F3"/>
            <w:vAlign w:val="center"/>
          </w:tcPr>
          <w:p w14:paraId="01AAF89E" w14:textId="77777777" w:rsidR="00990B14" w:rsidRDefault="00000000">
            <w:pPr>
              <w:spacing w:before="20" w:after="20"/>
              <w:jc w:val="both"/>
            </w:pPr>
            <w:r>
              <w:rPr>
                <w:sz w:val="18"/>
                <w:szCs w:val="18"/>
              </w:rPr>
              <w:t>Cálculos</w:t>
            </w:r>
          </w:p>
        </w:tc>
        <w:tc>
          <w:tcPr>
            <w:tcW w:w="1876" w:type="dxa"/>
            <w:shd w:val="clear" w:color="auto" w:fill="D9E2F3"/>
            <w:vAlign w:val="center"/>
          </w:tcPr>
          <w:p w14:paraId="1710797A" w14:textId="77777777" w:rsidR="00990B14" w:rsidRDefault="00000000">
            <w:pPr>
              <w:spacing w:before="20" w:after="20"/>
              <w:jc w:val="both"/>
            </w:pPr>
            <w:r>
              <w:rPr>
                <w:sz w:val="18"/>
                <w:szCs w:val="18"/>
              </w:rPr>
              <w:t>Las fórmulas no reproducen la progresión.</w:t>
            </w:r>
          </w:p>
        </w:tc>
        <w:tc>
          <w:tcPr>
            <w:tcW w:w="1876" w:type="dxa"/>
            <w:shd w:val="clear" w:color="auto" w:fill="D9E2F3"/>
            <w:vAlign w:val="center"/>
          </w:tcPr>
          <w:p w14:paraId="6E10FA03" w14:textId="77777777" w:rsidR="00990B14" w:rsidRDefault="00000000">
            <w:pPr>
              <w:spacing w:before="20" w:after="20"/>
              <w:jc w:val="both"/>
            </w:pPr>
            <w:r>
              <w:rPr>
                <w:sz w:val="18"/>
                <w:szCs w:val="18"/>
              </w:rPr>
              <w:t>Calcula correctamente cada escenario.</w:t>
            </w:r>
          </w:p>
        </w:tc>
        <w:tc>
          <w:tcPr>
            <w:tcW w:w="1877" w:type="dxa"/>
            <w:shd w:val="clear" w:color="auto" w:fill="D9E2F3"/>
            <w:vAlign w:val="center"/>
          </w:tcPr>
          <w:p w14:paraId="1C543AE1" w14:textId="77777777" w:rsidR="00990B14" w:rsidRDefault="00000000">
            <w:pPr>
              <w:spacing w:before="20" w:after="20"/>
              <w:jc w:val="both"/>
            </w:pPr>
            <w:r>
              <w:rPr>
                <w:sz w:val="18"/>
                <w:szCs w:val="18"/>
              </w:rPr>
              <w:t>Comprueba los resultados con una tabla período a período.</w:t>
            </w:r>
          </w:p>
        </w:tc>
      </w:tr>
      <w:tr w:rsidR="00990B14" w14:paraId="15391D40" w14:textId="77777777">
        <w:trPr>
          <w:cantSplit/>
          <w:jc w:val="center"/>
        </w:trPr>
        <w:tc>
          <w:tcPr>
            <w:tcW w:w="1900" w:type="dxa"/>
            <w:vMerge/>
            <w:shd w:val="clear" w:color="auto" w:fill="4472C4"/>
            <w:vAlign w:val="center"/>
          </w:tcPr>
          <w:p w14:paraId="14E0D4F6" w14:textId="77777777" w:rsidR="00990B14" w:rsidRDefault="00990B14">
            <w:pPr>
              <w:spacing w:before="20" w:after="20"/>
            </w:pPr>
          </w:p>
        </w:tc>
        <w:tc>
          <w:tcPr>
            <w:tcW w:w="1876" w:type="dxa"/>
            <w:shd w:val="clear" w:color="auto" w:fill="D9E2F3"/>
            <w:vAlign w:val="center"/>
          </w:tcPr>
          <w:p w14:paraId="1056A1E2" w14:textId="77777777" w:rsidR="00990B14" w:rsidRDefault="00000000">
            <w:pPr>
              <w:spacing w:before="20" w:after="20"/>
              <w:jc w:val="both"/>
            </w:pPr>
            <w:r>
              <w:rPr>
                <w:sz w:val="18"/>
                <w:szCs w:val="18"/>
              </w:rPr>
              <w:t>Presentación</w:t>
            </w:r>
          </w:p>
        </w:tc>
        <w:tc>
          <w:tcPr>
            <w:tcW w:w="1876" w:type="dxa"/>
            <w:shd w:val="clear" w:color="auto" w:fill="D9E2F3"/>
            <w:vAlign w:val="center"/>
          </w:tcPr>
          <w:p w14:paraId="668D1DA3" w14:textId="77777777" w:rsidR="00990B14" w:rsidRDefault="00000000">
            <w:pPr>
              <w:spacing w:before="20" w:after="20"/>
              <w:jc w:val="both"/>
            </w:pPr>
            <w:r>
              <w:rPr>
                <w:sz w:val="18"/>
                <w:szCs w:val="18"/>
              </w:rPr>
              <w:t>El simulador es difícil de leer.</w:t>
            </w:r>
          </w:p>
        </w:tc>
        <w:tc>
          <w:tcPr>
            <w:tcW w:w="1876" w:type="dxa"/>
            <w:shd w:val="clear" w:color="auto" w:fill="D9E2F3"/>
            <w:vAlign w:val="center"/>
          </w:tcPr>
          <w:p w14:paraId="4EB6DB71" w14:textId="77777777" w:rsidR="00990B14" w:rsidRDefault="00000000">
            <w:pPr>
              <w:spacing w:before="20" w:after="20"/>
              <w:jc w:val="both"/>
            </w:pPr>
            <w:r>
              <w:rPr>
                <w:sz w:val="18"/>
                <w:szCs w:val="18"/>
              </w:rPr>
              <w:t>El simulador es claro y ordenado.</w:t>
            </w:r>
          </w:p>
        </w:tc>
        <w:tc>
          <w:tcPr>
            <w:tcW w:w="1877" w:type="dxa"/>
            <w:shd w:val="clear" w:color="auto" w:fill="D9E2F3"/>
            <w:vAlign w:val="center"/>
          </w:tcPr>
          <w:p w14:paraId="580D6719" w14:textId="77777777" w:rsidR="00990B14" w:rsidRDefault="00000000">
            <w:pPr>
              <w:spacing w:before="20" w:after="20"/>
              <w:jc w:val="both"/>
            </w:pPr>
            <w:r>
              <w:rPr>
                <w:sz w:val="18"/>
                <w:szCs w:val="18"/>
              </w:rPr>
              <w:t>Incluye un gráfico comparativo de los escenarios.</w:t>
            </w:r>
          </w:p>
        </w:tc>
      </w:tr>
      <w:tr w:rsidR="00990B14" w14:paraId="3850D117" w14:textId="77777777">
        <w:trPr>
          <w:cantSplit/>
          <w:jc w:val="center"/>
        </w:trPr>
        <w:tc>
          <w:tcPr>
            <w:tcW w:w="1900" w:type="dxa"/>
            <w:vMerge/>
            <w:shd w:val="clear" w:color="auto" w:fill="4472C4"/>
            <w:vAlign w:val="center"/>
          </w:tcPr>
          <w:p w14:paraId="4B23DAB2" w14:textId="77777777" w:rsidR="00990B14" w:rsidRDefault="00990B14">
            <w:pPr>
              <w:spacing w:before="20" w:after="20"/>
            </w:pPr>
          </w:p>
        </w:tc>
        <w:tc>
          <w:tcPr>
            <w:tcW w:w="5628" w:type="dxa"/>
            <w:gridSpan w:val="3"/>
            <w:shd w:val="clear" w:color="auto" w:fill="D9E2F3"/>
            <w:vAlign w:val="center"/>
          </w:tcPr>
          <w:p w14:paraId="3989AC37" w14:textId="77777777" w:rsidR="00990B14" w:rsidRDefault="00000000">
            <w:pPr>
              <w:keepNext/>
              <w:spacing w:before="20" w:after="20"/>
              <w:jc w:val="both"/>
            </w:pPr>
            <w:r>
              <w:rPr>
                <w:b/>
                <w:bCs/>
                <w:i/>
                <w:iCs/>
                <w:sz w:val="18"/>
                <w:szCs w:val="18"/>
              </w:rPr>
              <w:t xml:space="preserve">Producto 8: </w:t>
            </w:r>
            <w:r>
              <w:rPr>
                <w:sz w:val="18"/>
                <w:szCs w:val="18"/>
              </w:rPr>
              <w:t>Cuadro comparativo de rentas de un arrendamiento</w:t>
            </w:r>
          </w:p>
        </w:tc>
        <w:tc>
          <w:tcPr>
            <w:tcW w:w="1877" w:type="dxa"/>
            <w:shd w:val="clear" w:color="auto" w:fill="D9E2F3"/>
            <w:vAlign w:val="center"/>
          </w:tcPr>
          <w:p w14:paraId="71A093BE" w14:textId="77777777" w:rsidR="00990B14" w:rsidRDefault="00000000">
            <w:pPr>
              <w:spacing w:before="20" w:after="20"/>
              <w:jc w:val="center"/>
            </w:pPr>
            <w:r>
              <w:rPr>
                <w:b/>
                <w:bCs/>
                <w:sz w:val="18"/>
                <w:szCs w:val="18"/>
              </w:rPr>
              <w:t>5%</w:t>
            </w:r>
          </w:p>
        </w:tc>
      </w:tr>
      <w:tr w:rsidR="00990B14" w14:paraId="4216715C" w14:textId="77777777">
        <w:trPr>
          <w:cantSplit/>
          <w:jc w:val="center"/>
        </w:trPr>
        <w:tc>
          <w:tcPr>
            <w:tcW w:w="1900" w:type="dxa"/>
            <w:vMerge/>
            <w:shd w:val="clear" w:color="auto" w:fill="4472C4"/>
            <w:vAlign w:val="center"/>
          </w:tcPr>
          <w:p w14:paraId="0F723CF2" w14:textId="77777777" w:rsidR="00990B14" w:rsidRDefault="00990B14">
            <w:pPr>
              <w:spacing w:before="20" w:after="20"/>
            </w:pPr>
          </w:p>
        </w:tc>
        <w:tc>
          <w:tcPr>
            <w:tcW w:w="1876" w:type="dxa"/>
            <w:shd w:val="clear" w:color="auto" w:fill="4472C4"/>
            <w:vAlign w:val="center"/>
          </w:tcPr>
          <w:p w14:paraId="2C98BE5F"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7ACC0DA9"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013513B8"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6C422F1E" w14:textId="77777777" w:rsidR="00990B14" w:rsidRDefault="00000000">
            <w:pPr>
              <w:keepNext/>
              <w:spacing w:before="20" w:after="20"/>
              <w:jc w:val="center"/>
            </w:pPr>
            <w:r>
              <w:rPr>
                <w:b/>
                <w:bCs/>
                <w:i/>
                <w:iCs/>
                <w:color w:val="FFFFFF"/>
                <w:sz w:val="18"/>
                <w:szCs w:val="18"/>
              </w:rPr>
              <w:t>Destacado (81–100)</w:t>
            </w:r>
          </w:p>
        </w:tc>
      </w:tr>
      <w:tr w:rsidR="00990B14" w14:paraId="0FEF494A" w14:textId="77777777">
        <w:trPr>
          <w:cantSplit/>
          <w:jc w:val="center"/>
        </w:trPr>
        <w:tc>
          <w:tcPr>
            <w:tcW w:w="1900" w:type="dxa"/>
            <w:vMerge/>
            <w:shd w:val="clear" w:color="auto" w:fill="4472C4"/>
            <w:vAlign w:val="center"/>
          </w:tcPr>
          <w:p w14:paraId="7207A52B" w14:textId="77777777" w:rsidR="00990B14" w:rsidRDefault="00990B14">
            <w:pPr>
              <w:spacing w:before="20" w:after="20"/>
            </w:pPr>
          </w:p>
        </w:tc>
        <w:tc>
          <w:tcPr>
            <w:tcW w:w="1876" w:type="dxa"/>
            <w:shd w:val="clear" w:color="auto" w:fill="D9E2F3"/>
            <w:vAlign w:val="center"/>
          </w:tcPr>
          <w:p w14:paraId="2A585F27" w14:textId="77777777" w:rsidR="00990B14" w:rsidRDefault="00000000">
            <w:pPr>
              <w:spacing w:before="20" w:after="20"/>
              <w:jc w:val="both"/>
            </w:pPr>
            <w:r>
              <w:rPr>
                <w:sz w:val="18"/>
                <w:szCs w:val="18"/>
              </w:rPr>
              <w:t>Valor de cada renta</w:t>
            </w:r>
          </w:p>
        </w:tc>
        <w:tc>
          <w:tcPr>
            <w:tcW w:w="1876" w:type="dxa"/>
            <w:shd w:val="clear" w:color="auto" w:fill="D9E2F3"/>
            <w:vAlign w:val="center"/>
          </w:tcPr>
          <w:p w14:paraId="1B4730D0" w14:textId="77777777" w:rsidR="00990B14" w:rsidRDefault="00000000">
            <w:pPr>
              <w:spacing w:before="20" w:after="20"/>
              <w:jc w:val="both"/>
            </w:pPr>
            <w:r>
              <w:rPr>
                <w:sz w:val="18"/>
                <w:szCs w:val="18"/>
              </w:rPr>
              <w:t>Compara rentas con tasas distintas.</w:t>
            </w:r>
          </w:p>
        </w:tc>
        <w:tc>
          <w:tcPr>
            <w:tcW w:w="1876" w:type="dxa"/>
            <w:shd w:val="clear" w:color="auto" w:fill="D9E2F3"/>
            <w:vAlign w:val="center"/>
          </w:tcPr>
          <w:p w14:paraId="152866A5" w14:textId="77777777" w:rsidR="00990B14" w:rsidRDefault="00000000">
            <w:pPr>
              <w:spacing w:before="20" w:after="20"/>
              <w:jc w:val="both"/>
            </w:pPr>
            <w:r>
              <w:rPr>
                <w:sz w:val="18"/>
                <w:szCs w:val="18"/>
              </w:rPr>
              <w:t>Valora ambas rentas con la misma tasa.</w:t>
            </w:r>
          </w:p>
        </w:tc>
        <w:tc>
          <w:tcPr>
            <w:tcW w:w="1877" w:type="dxa"/>
            <w:shd w:val="clear" w:color="auto" w:fill="D9E2F3"/>
            <w:vAlign w:val="center"/>
          </w:tcPr>
          <w:p w14:paraId="49F67B91" w14:textId="77777777" w:rsidR="00990B14" w:rsidRDefault="00000000">
            <w:pPr>
              <w:spacing w:before="20" w:after="20"/>
              <w:jc w:val="both"/>
            </w:pPr>
            <w:r>
              <w:rPr>
                <w:sz w:val="18"/>
                <w:szCs w:val="18"/>
              </w:rPr>
              <w:t>Explica por qué difieren los valores.</w:t>
            </w:r>
          </w:p>
        </w:tc>
      </w:tr>
      <w:tr w:rsidR="00990B14" w14:paraId="69DDAC1A" w14:textId="77777777">
        <w:trPr>
          <w:cantSplit/>
          <w:jc w:val="center"/>
        </w:trPr>
        <w:tc>
          <w:tcPr>
            <w:tcW w:w="1900" w:type="dxa"/>
            <w:vMerge/>
            <w:shd w:val="clear" w:color="auto" w:fill="4472C4"/>
            <w:vAlign w:val="center"/>
          </w:tcPr>
          <w:p w14:paraId="69DB46AA" w14:textId="77777777" w:rsidR="00990B14" w:rsidRDefault="00990B14">
            <w:pPr>
              <w:spacing w:before="20" w:after="20"/>
            </w:pPr>
          </w:p>
        </w:tc>
        <w:tc>
          <w:tcPr>
            <w:tcW w:w="1876" w:type="dxa"/>
            <w:shd w:val="clear" w:color="auto" w:fill="D9E2F3"/>
            <w:vAlign w:val="center"/>
          </w:tcPr>
          <w:p w14:paraId="1C32DD19" w14:textId="77777777" w:rsidR="00990B14" w:rsidRDefault="00000000">
            <w:pPr>
              <w:spacing w:before="20" w:after="20"/>
              <w:jc w:val="both"/>
            </w:pPr>
            <w:r>
              <w:rPr>
                <w:sz w:val="18"/>
                <w:szCs w:val="18"/>
              </w:rPr>
              <w:t>Conclusión</w:t>
            </w:r>
          </w:p>
        </w:tc>
        <w:tc>
          <w:tcPr>
            <w:tcW w:w="1876" w:type="dxa"/>
            <w:shd w:val="clear" w:color="auto" w:fill="D9E2F3"/>
            <w:vAlign w:val="center"/>
          </w:tcPr>
          <w:p w14:paraId="6658CCCA" w14:textId="77777777" w:rsidR="00990B14" w:rsidRDefault="00000000">
            <w:pPr>
              <w:spacing w:before="20" w:after="20"/>
              <w:jc w:val="both"/>
            </w:pPr>
            <w:r>
              <w:rPr>
                <w:sz w:val="18"/>
                <w:szCs w:val="18"/>
              </w:rPr>
              <w:t>No extrae conclusión.</w:t>
            </w:r>
          </w:p>
        </w:tc>
        <w:tc>
          <w:tcPr>
            <w:tcW w:w="1876" w:type="dxa"/>
            <w:shd w:val="clear" w:color="auto" w:fill="D9E2F3"/>
            <w:vAlign w:val="center"/>
          </w:tcPr>
          <w:p w14:paraId="77B550DF" w14:textId="77777777" w:rsidR="00990B14" w:rsidRDefault="00000000">
            <w:pPr>
              <w:spacing w:before="20" w:after="20"/>
              <w:jc w:val="both"/>
            </w:pPr>
            <w:r>
              <w:rPr>
                <w:sz w:val="18"/>
                <w:szCs w:val="18"/>
              </w:rPr>
              <w:t>Señala la alternativa de menor costo.</w:t>
            </w:r>
          </w:p>
        </w:tc>
        <w:tc>
          <w:tcPr>
            <w:tcW w:w="1877" w:type="dxa"/>
            <w:shd w:val="clear" w:color="auto" w:fill="D9E2F3"/>
            <w:vAlign w:val="center"/>
          </w:tcPr>
          <w:p w14:paraId="01EC8602" w14:textId="77777777" w:rsidR="00990B14" w:rsidRDefault="00000000">
            <w:pPr>
              <w:spacing w:before="20" w:after="20"/>
              <w:jc w:val="both"/>
            </w:pPr>
            <w:r>
              <w:rPr>
                <w:sz w:val="18"/>
                <w:szCs w:val="18"/>
              </w:rPr>
              <w:t>Considera la capacidad de pago del arrendatario.</w:t>
            </w:r>
          </w:p>
        </w:tc>
      </w:tr>
      <w:tr w:rsidR="00990B14" w14:paraId="0DA48D49" w14:textId="77777777">
        <w:trPr>
          <w:cantSplit/>
          <w:jc w:val="center"/>
        </w:trPr>
        <w:tc>
          <w:tcPr>
            <w:tcW w:w="1900" w:type="dxa"/>
            <w:vMerge/>
            <w:shd w:val="clear" w:color="auto" w:fill="4472C4"/>
            <w:vAlign w:val="center"/>
          </w:tcPr>
          <w:p w14:paraId="7820562F" w14:textId="77777777" w:rsidR="00990B14" w:rsidRDefault="00990B14">
            <w:pPr>
              <w:spacing w:before="20" w:after="20"/>
            </w:pPr>
          </w:p>
        </w:tc>
        <w:tc>
          <w:tcPr>
            <w:tcW w:w="1876" w:type="dxa"/>
            <w:shd w:val="clear" w:color="auto" w:fill="D9E2F3"/>
            <w:vAlign w:val="center"/>
          </w:tcPr>
          <w:p w14:paraId="0B9739C5" w14:textId="77777777" w:rsidR="00990B14" w:rsidRDefault="00000000">
            <w:pPr>
              <w:spacing w:before="20" w:after="20"/>
              <w:jc w:val="both"/>
            </w:pPr>
            <w:r>
              <w:rPr>
                <w:sz w:val="18"/>
                <w:szCs w:val="18"/>
              </w:rPr>
              <w:t>Sustentación</w:t>
            </w:r>
          </w:p>
        </w:tc>
        <w:tc>
          <w:tcPr>
            <w:tcW w:w="1876" w:type="dxa"/>
            <w:shd w:val="clear" w:color="auto" w:fill="D9E2F3"/>
            <w:vAlign w:val="center"/>
          </w:tcPr>
          <w:p w14:paraId="438FF53C" w14:textId="77777777" w:rsidR="00990B14" w:rsidRDefault="00000000">
            <w:pPr>
              <w:spacing w:before="20" w:after="20"/>
              <w:jc w:val="both"/>
            </w:pPr>
            <w:r>
              <w:rPr>
                <w:sz w:val="18"/>
                <w:szCs w:val="18"/>
              </w:rPr>
              <w:t>La sustentación es confusa.</w:t>
            </w:r>
          </w:p>
        </w:tc>
        <w:tc>
          <w:tcPr>
            <w:tcW w:w="1876" w:type="dxa"/>
            <w:shd w:val="clear" w:color="auto" w:fill="D9E2F3"/>
            <w:vAlign w:val="center"/>
          </w:tcPr>
          <w:p w14:paraId="04BFE142" w14:textId="77777777" w:rsidR="00990B14" w:rsidRDefault="00000000">
            <w:pPr>
              <w:spacing w:before="20" w:after="20"/>
              <w:jc w:val="both"/>
            </w:pPr>
            <w:r>
              <w:rPr>
                <w:sz w:val="18"/>
                <w:szCs w:val="18"/>
              </w:rPr>
              <w:t>Sustenta la comparación con claridad.</w:t>
            </w:r>
          </w:p>
        </w:tc>
        <w:tc>
          <w:tcPr>
            <w:tcW w:w="1877" w:type="dxa"/>
            <w:shd w:val="clear" w:color="auto" w:fill="D9E2F3"/>
            <w:vAlign w:val="center"/>
          </w:tcPr>
          <w:p w14:paraId="50314803" w14:textId="77777777" w:rsidR="00990B14" w:rsidRDefault="00000000">
            <w:pPr>
              <w:spacing w:before="20" w:after="20"/>
              <w:jc w:val="both"/>
            </w:pPr>
            <w:r>
              <w:rPr>
                <w:sz w:val="18"/>
                <w:szCs w:val="18"/>
              </w:rPr>
              <w:t>Responde con solvencia las preguntas del curso.</w:t>
            </w:r>
          </w:p>
        </w:tc>
      </w:tr>
      <w:tr w:rsidR="00990B14" w14:paraId="3D9AB1AB" w14:textId="77777777">
        <w:trPr>
          <w:cantSplit/>
          <w:jc w:val="center"/>
        </w:trPr>
        <w:tc>
          <w:tcPr>
            <w:tcW w:w="1900" w:type="dxa"/>
            <w:vMerge/>
            <w:shd w:val="clear" w:color="auto" w:fill="4472C4"/>
            <w:vAlign w:val="center"/>
          </w:tcPr>
          <w:p w14:paraId="7CCCD619" w14:textId="77777777" w:rsidR="00990B14" w:rsidRDefault="00990B14">
            <w:pPr>
              <w:spacing w:before="20" w:after="20"/>
            </w:pPr>
          </w:p>
        </w:tc>
        <w:tc>
          <w:tcPr>
            <w:tcW w:w="5628" w:type="dxa"/>
            <w:gridSpan w:val="3"/>
            <w:shd w:val="clear" w:color="auto" w:fill="D9E2F3"/>
            <w:vAlign w:val="center"/>
          </w:tcPr>
          <w:p w14:paraId="593E8035" w14:textId="77777777" w:rsidR="00990B14" w:rsidRDefault="00000000">
            <w:pPr>
              <w:keepNext/>
              <w:spacing w:before="20" w:after="20"/>
              <w:jc w:val="both"/>
            </w:pPr>
            <w:r>
              <w:rPr>
                <w:b/>
                <w:bCs/>
                <w:i/>
                <w:iCs/>
                <w:sz w:val="18"/>
                <w:szCs w:val="18"/>
              </w:rPr>
              <w:t xml:space="preserve">Producto 9: </w:t>
            </w:r>
            <w:r>
              <w:rPr>
                <w:sz w:val="18"/>
                <w:szCs w:val="18"/>
              </w:rPr>
              <w:t>Cuadros de amortización de tres sistemas</w:t>
            </w:r>
          </w:p>
        </w:tc>
        <w:tc>
          <w:tcPr>
            <w:tcW w:w="1877" w:type="dxa"/>
            <w:shd w:val="clear" w:color="auto" w:fill="D9E2F3"/>
            <w:vAlign w:val="center"/>
          </w:tcPr>
          <w:p w14:paraId="4DC9464C" w14:textId="77777777" w:rsidR="00990B14" w:rsidRDefault="00000000">
            <w:pPr>
              <w:spacing w:before="20" w:after="20"/>
              <w:jc w:val="center"/>
            </w:pPr>
            <w:r>
              <w:rPr>
                <w:b/>
                <w:bCs/>
                <w:sz w:val="18"/>
                <w:szCs w:val="18"/>
              </w:rPr>
              <w:t>5%</w:t>
            </w:r>
          </w:p>
        </w:tc>
      </w:tr>
      <w:tr w:rsidR="00990B14" w14:paraId="79B4834B" w14:textId="77777777">
        <w:trPr>
          <w:cantSplit/>
          <w:jc w:val="center"/>
        </w:trPr>
        <w:tc>
          <w:tcPr>
            <w:tcW w:w="1900" w:type="dxa"/>
            <w:vMerge/>
            <w:shd w:val="clear" w:color="auto" w:fill="4472C4"/>
            <w:vAlign w:val="center"/>
          </w:tcPr>
          <w:p w14:paraId="729EC1B6" w14:textId="77777777" w:rsidR="00990B14" w:rsidRDefault="00990B14">
            <w:pPr>
              <w:spacing w:before="20" w:after="20"/>
            </w:pPr>
          </w:p>
        </w:tc>
        <w:tc>
          <w:tcPr>
            <w:tcW w:w="1876" w:type="dxa"/>
            <w:shd w:val="clear" w:color="auto" w:fill="4472C4"/>
            <w:vAlign w:val="center"/>
          </w:tcPr>
          <w:p w14:paraId="4F7A6617"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25AB6DAE"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3C9B6036"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2FC6D3B5" w14:textId="77777777" w:rsidR="00990B14" w:rsidRDefault="00000000">
            <w:pPr>
              <w:keepNext/>
              <w:spacing w:before="20" w:after="20"/>
              <w:jc w:val="center"/>
            </w:pPr>
            <w:r>
              <w:rPr>
                <w:b/>
                <w:bCs/>
                <w:i/>
                <w:iCs/>
                <w:color w:val="FFFFFF"/>
                <w:sz w:val="18"/>
                <w:szCs w:val="18"/>
              </w:rPr>
              <w:t>Destacado (81–100)</w:t>
            </w:r>
          </w:p>
        </w:tc>
      </w:tr>
      <w:tr w:rsidR="00990B14" w14:paraId="69D99210" w14:textId="77777777">
        <w:trPr>
          <w:cantSplit/>
          <w:jc w:val="center"/>
        </w:trPr>
        <w:tc>
          <w:tcPr>
            <w:tcW w:w="1900" w:type="dxa"/>
            <w:vMerge/>
            <w:shd w:val="clear" w:color="auto" w:fill="4472C4"/>
            <w:vAlign w:val="center"/>
          </w:tcPr>
          <w:p w14:paraId="1D1DCB76" w14:textId="77777777" w:rsidR="00990B14" w:rsidRDefault="00990B14">
            <w:pPr>
              <w:spacing w:before="20" w:after="20"/>
            </w:pPr>
          </w:p>
        </w:tc>
        <w:tc>
          <w:tcPr>
            <w:tcW w:w="1876" w:type="dxa"/>
            <w:shd w:val="clear" w:color="auto" w:fill="D9E2F3"/>
            <w:vAlign w:val="center"/>
          </w:tcPr>
          <w:p w14:paraId="1B13210C" w14:textId="77777777" w:rsidR="00990B14" w:rsidRDefault="00000000">
            <w:pPr>
              <w:spacing w:before="20" w:after="20"/>
              <w:jc w:val="both"/>
            </w:pPr>
            <w:r>
              <w:rPr>
                <w:sz w:val="18"/>
                <w:szCs w:val="18"/>
              </w:rPr>
              <w:t>Estructura del cuadro</w:t>
            </w:r>
          </w:p>
        </w:tc>
        <w:tc>
          <w:tcPr>
            <w:tcW w:w="1876" w:type="dxa"/>
            <w:shd w:val="clear" w:color="auto" w:fill="D9E2F3"/>
            <w:vAlign w:val="center"/>
          </w:tcPr>
          <w:p w14:paraId="47E77F28" w14:textId="77777777" w:rsidR="00990B14" w:rsidRDefault="00000000">
            <w:pPr>
              <w:spacing w:before="20" w:after="20"/>
              <w:jc w:val="both"/>
            </w:pPr>
            <w:r>
              <w:rPr>
                <w:sz w:val="18"/>
                <w:szCs w:val="18"/>
              </w:rPr>
              <w:t>Faltan columnas de interés, amortización o saldo.</w:t>
            </w:r>
          </w:p>
        </w:tc>
        <w:tc>
          <w:tcPr>
            <w:tcW w:w="1876" w:type="dxa"/>
            <w:shd w:val="clear" w:color="auto" w:fill="D9E2F3"/>
            <w:vAlign w:val="center"/>
          </w:tcPr>
          <w:p w14:paraId="17060B68" w14:textId="77777777" w:rsidR="00990B14" w:rsidRDefault="00000000">
            <w:pPr>
              <w:spacing w:before="20" w:after="20"/>
              <w:jc w:val="both"/>
            </w:pPr>
            <w:r>
              <w:rPr>
                <w:sz w:val="18"/>
                <w:szCs w:val="18"/>
              </w:rPr>
              <w:t>Cada cuadro tiene todas sus columnas.</w:t>
            </w:r>
          </w:p>
        </w:tc>
        <w:tc>
          <w:tcPr>
            <w:tcW w:w="1877" w:type="dxa"/>
            <w:shd w:val="clear" w:color="auto" w:fill="D9E2F3"/>
            <w:vAlign w:val="center"/>
          </w:tcPr>
          <w:p w14:paraId="5DF06182" w14:textId="77777777" w:rsidR="00990B14" w:rsidRDefault="00000000">
            <w:pPr>
              <w:spacing w:before="20" w:after="20"/>
              <w:jc w:val="both"/>
            </w:pPr>
            <w:r>
              <w:rPr>
                <w:sz w:val="18"/>
                <w:szCs w:val="18"/>
              </w:rPr>
              <w:t>Incluye el total de intereses de cada sistema.</w:t>
            </w:r>
          </w:p>
        </w:tc>
      </w:tr>
      <w:tr w:rsidR="00990B14" w14:paraId="37951C0E" w14:textId="77777777">
        <w:trPr>
          <w:cantSplit/>
          <w:jc w:val="center"/>
        </w:trPr>
        <w:tc>
          <w:tcPr>
            <w:tcW w:w="1900" w:type="dxa"/>
            <w:vMerge/>
            <w:shd w:val="clear" w:color="auto" w:fill="4472C4"/>
            <w:vAlign w:val="center"/>
          </w:tcPr>
          <w:p w14:paraId="5AC567D9" w14:textId="77777777" w:rsidR="00990B14" w:rsidRDefault="00990B14">
            <w:pPr>
              <w:spacing w:before="20" w:after="20"/>
            </w:pPr>
          </w:p>
        </w:tc>
        <w:tc>
          <w:tcPr>
            <w:tcW w:w="1876" w:type="dxa"/>
            <w:shd w:val="clear" w:color="auto" w:fill="D9E2F3"/>
            <w:vAlign w:val="center"/>
          </w:tcPr>
          <w:p w14:paraId="622DC938" w14:textId="77777777" w:rsidR="00990B14" w:rsidRDefault="00000000">
            <w:pPr>
              <w:spacing w:before="20" w:after="20"/>
              <w:jc w:val="both"/>
            </w:pPr>
            <w:r>
              <w:rPr>
                <w:sz w:val="18"/>
                <w:szCs w:val="18"/>
              </w:rPr>
              <w:t>Cálculo de la cuota</w:t>
            </w:r>
          </w:p>
        </w:tc>
        <w:tc>
          <w:tcPr>
            <w:tcW w:w="1876" w:type="dxa"/>
            <w:shd w:val="clear" w:color="auto" w:fill="D9E2F3"/>
            <w:vAlign w:val="center"/>
          </w:tcPr>
          <w:p w14:paraId="118D5DEF" w14:textId="77777777" w:rsidR="00990B14" w:rsidRDefault="00000000">
            <w:pPr>
              <w:spacing w:before="20" w:after="20"/>
              <w:jc w:val="both"/>
            </w:pPr>
            <w:r>
              <w:rPr>
                <w:sz w:val="18"/>
                <w:szCs w:val="18"/>
              </w:rPr>
              <w:t>La cuota no extingue la deuda.</w:t>
            </w:r>
          </w:p>
        </w:tc>
        <w:tc>
          <w:tcPr>
            <w:tcW w:w="1876" w:type="dxa"/>
            <w:shd w:val="clear" w:color="auto" w:fill="D9E2F3"/>
            <w:vAlign w:val="center"/>
          </w:tcPr>
          <w:p w14:paraId="77596593" w14:textId="77777777" w:rsidR="00990B14" w:rsidRDefault="00000000">
            <w:pPr>
              <w:spacing w:before="20" w:after="20"/>
              <w:jc w:val="both"/>
            </w:pPr>
            <w:r>
              <w:rPr>
                <w:sz w:val="18"/>
                <w:szCs w:val="18"/>
              </w:rPr>
              <w:t>Las cuotas extinguen la deuda en el plazo.</w:t>
            </w:r>
          </w:p>
        </w:tc>
        <w:tc>
          <w:tcPr>
            <w:tcW w:w="1877" w:type="dxa"/>
            <w:shd w:val="clear" w:color="auto" w:fill="D9E2F3"/>
            <w:vAlign w:val="center"/>
          </w:tcPr>
          <w:p w14:paraId="3B9AAABE" w14:textId="77777777" w:rsidR="00990B14" w:rsidRDefault="00000000">
            <w:pPr>
              <w:spacing w:before="20" w:after="20"/>
              <w:jc w:val="both"/>
            </w:pPr>
            <w:r>
              <w:rPr>
                <w:sz w:val="18"/>
                <w:szCs w:val="18"/>
              </w:rPr>
              <w:t>Incorpora un periodo de gracia o una tasa variable.</w:t>
            </w:r>
          </w:p>
        </w:tc>
      </w:tr>
      <w:tr w:rsidR="00990B14" w14:paraId="583B00DB" w14:textId="77777777">
        <w:trPr>
          <w:cantSplit/>
          <w:jc w:val="center"/>
        </w:trPr>
        <w:tc>
          <w:tcPr>
            <w:tcW w:w="1900" w:type="dxa"/>
            <w:vMerge/>
            <w:shd w:val="clear" w:color="auto" w:fill="4472C4"/>
            <w:vAlign w:val="center"/>
          </w:tcPr>
          <w:p w14:paraId="6E62278A" w14:textId="77777777" w:rsidR="00990B14" w:rsidRDefault="00990B14">
            <w:pPr>
              <w:spacing w:before="20" w:after="20"/>
            </w:pPr>
          </w:p>
        </w:tc>
        <w:tc>
          <w:tcPr>
            <w:tcW w:w="1876" w:type="dxa"/>
            <w:shd w:val="clear" w:color="auto" w:fill="D9E2F3"/>
            <w:vAlign w:val="center"/>
          </w:tcPr>
          <w:p w14:paraId="4693CCE6" w14:textId="77777777" w:rsidR="00990B14" w:rsidRDefault="00000000">
            <w:pPr>
              <w:spacing w:before="20" w:after="20"/>
              <w:jc w:val="both"/>
            </w:pPr>
            <w:r>
              <w:rPr>
                <w:sz w:val="18"/>
                <w:szCs w:val="18"/>
              </w:rPr>
              <w:t>Comparación</w:t>
            </w:r>
          </w:p>
        </w:tc>
        <w:tc>
          <w:tcPr>
            <w:tcW w:w="1876" w:type="dxa"/>
            <w:shd w:val="clear" w:color="auto" w:fill="D9E2F3"/>
            <w:vAlign w:val="center"/>
          </w:tcPr>
          <w:p w14:paraId="2F285F75" w14:textId="77777777" w:rsidR="00990B14" w:rsidRDefault="00000000">
            <w:pPr>
              <w:spacing w:before="20" w:after="20"/>
              <w:jc w:val="both"/>
            </w:pPr>
            <w:r>
              <w:rPr>
                <w:sz w:val="18"/>
                <w:szCs w:val="18"/>
              </w:rPr>
              <w:t>No compara los sistemas.</w:t>
            </w:r>
          </w:p>
        </w:tc>
        <w:tc>
          <w:tcPr>
            <w:tcW w:w="1876" w:type="dxa"/>
            <w:shd w:val="clear" w:color="auto" w:fill="D9E2F3"/>
            <w:vAlign w:val="center"/>
          </w:tcPr>
          <w:p w14:paraId="3AE2E56B" w14:textId="77777777" w:rsidR="00990B14" w:rsidRDefault="00000000">
            <w:pPr>
              <w:spacing w:before="20" w:after="20"/>
              <w:jc w:val="both"/>
            </w:pPr>
            <w:r>
              <w:rPr>
                <w:sz w:val="18"/>
                <w:szCs w:val="18"/>
              </w:rPr>
              <w:t>Compara el costo financiero total.</w:t>
            </w:r>
          </w:p>
        </w:tc>
        <w:tc>
          <w:tcPr>
            <w:tcW w:w="1877" w:type="dxa"/>
            <w:shd w:val="clear" w:color="auto" w:fill="D9E2F3"/>
            <w:vAlign w:val="center"/>
          </w:tcPr>
          <w:p w14:paraId="2D881283" w14:textId="77777777" w:rsidR="00990B14" w:rsidRDefault="00000000">
            <w:pPr>
              <w:spacing w:before="20" w:after="20"/>
              <w:jc w:val="both"/>
            </w:pPr>
            <w:r>
              <w:rPr>
                <w:sz w:val="18"/>
                <w:szCs w:val="18"/>
              </w:rPr>
              <w:t>Ilustra la comparación con un gráfico.</w:t>
            </w:r>
          </w:p>
        </w:tc>
      </w:tr>
      <w:tr w:rsidR="00990B14" w14:paraId="081FADFF" w14:textId="77777777">
        <w:trPr>
          <w:cantSplit/>
          <w:jc w:val="center"/>
        </w:trPr>
        <w:tc>
          <w:tcPr>
            <w:tcW w:w="1900" w:type="dxa"/>
            <w:vMerge/>
            <w:shd w:val="clear" w:color="auto" w:fill="4472C4"/>
            <w:vAlign w:val="center"/>
          </w:tcPr>
          <w:p w14:paraId="6A9CC685" w14:textId="77777777" w:rsidR="00990B14" w:rsidRDefault="00990B14">
            <w:pPr>
              <w:spacing w:before="20" w:after="20"/>
            </w:pPr>
          </w:p>
        </w:tc>
        <w:tc>
          <w:tcPr>
            <w:tcW w:w="5628" w:type="dxa"/>
            <w:gridSpan w:val="3"/>
            <w:shd w:val="clear" w:color="auto" w:fill="D9E2F3"/>
            <w:vAlign w:val="center"/>
          </w:tcPr>
          <w:p w14:paraId="1B78CAEA" w14:textId="77777777" w:rsidR="00990B14" w:rsidRDefault="00000000">
            <w:pPr>
              <w:keepNext/>
              <w:spacing w:before="20" w:after="20"/>
              <w:jc w:val="both"/>
            </w:pPr>
            <w:r>
              <w:rPr>
                <w:b/>
                <w:bCs/>
                <w:i/>
                <w:iCs/>
                <w:sz w:val="18"/>
                <w:szCs w:val="18"/>
              </w:rPr>
              <w:t xml:space="preserve">Producto 10: </w:t>
            </w:r>
            <w:r>
              <w:rPr>
                <w:sz w:val="18"/>
                <w:szCs w:val="18"/>
              </w:rPr>
              <w:t>Cálculo del saldo insoluto y del tanto efectivo</w:t>
            </w:r>
          </w:p>
        </w:tc>
        <w:tc>
          <w:tcPr>
            <w:tcW w:w="1877" w:type="dxa"/>
            <w:shd w:val="clear" w:color="auto" w:fill="D9E2F3"/>
            <w:vAlign w:val="center"/>
          </w:tcPr>
          <w:p w14:paraId="040D2A62" w14:textId="77777777" w:rsidR="00990B14" w:rsidRDefault="00000000">
            <w:pPr>
              <w:spacing w:before="20" w:after="20"/>
              <w:jc w:val="center"/>
            </w:pPr>
            <w:r>
              <w:rPr>
                <w:b/>
                <w:bCs/>
                <w:sz w:val="18"/>
                <w:szCs w:val="18"/>
              </w:rPr>
              <w:t>5%</w:t>
            </w:r>
          </w:p>
        </w:tc>
      </w:tr>
      <w:tr w:rsidR="00990B14" w14:paraId="1713B995" w14:textId="77777777">
        <w:trPr>
          <w:cantSplit/>
          <w:jc w:val="center"/>
        </w:trPr>
        <w:tc>
          <w:tcPr>
            <w:tcW w:w="1900" w:type="dxa"/>
            <w:vMerge/>
            <w:shd w:val="clear" w:color="auto" w:fill="4472C4"/>
            <w:vAlign w:val="center"/>
          </w:tcPr>
          <w:p w14:paraId="4262D28C" w14:textId="77777777" w:rsidR="00990B14" w:rsidRDefault="00990B14">
            <w:pPr>
              <w:spacing w:before="20" w:after="20"/>
            </w:pPr>
          </w:p>
        </w:tc>
        <w:tc>
          <w:tcPr>
            <w:tcW w:w="1876" w:type="dxa"/>
            <w:shd w:val="clear" w:color="auto" w:fill="4472C4"/>
            <w:vAlign w:val="center"/>
          </w:tcPr>
          <w:p w14:paraId="64342690"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3FB85D1F"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1ED93CF0"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0F039264" w14:textId="77777777" w:rsidR="00990B14" w:rsidRDefault="00000000">
            <w:pPr>
              <w:keepNext/>
              <w:spacing w:before="20" w:after="20"/>
              <w:jc w:val="center"/>
            </w:pPr>
            <w:r>
              <w:rPr>
                <w:b/>
                <w:bCs/>
                <w:i/>
                <w:iCs/>
                <w:color w:val="FFFFFF"/>
                <w:sz w:val="18"/>
                <w:szCs w:val="18"/>
              </w:rPr>
              <w:t>Destacado (81–100)</w:t>
            </w:r>
          </w:p>
        </w:tc>
      </w:tr>
      <w:tr w:rsidR="00990B14" w14:paraId="327F4CE7" w14:textId="77777777">
        <w:trPr>
          <w:cantSplit/>
          <w:jc w:val="center"/>
        </w:trPr>
        <w:tc>
          <w:tcPr>
            <w:tcW w:w="1900" w:type="dxa"/>
            <w:vMerge/>
            <w:shd w:val="clear" w:color="auto" w:fill="4472C4"/>
            <w:vAlign w:val="center"/>
          </w:tcPr>
          <w:p w14:paraId="6AC345E5" w14:textId="77777777" w:rsidR="00990B14" w:rsidRDefault="00990B14">
            <w:pPr>
              <w:spacing w:before="20" w:after="20"/>
            </w:pPr>
          </w:p>
        </w:tc>
        <w:tc>
          <w:tcPr>
            <w:tcW w:w="1876" w:type="dxa"/>
            <w:shd w:val="clear" w:color="auto" w:fill="D9E2F3"/>
            <w:vAlign w:val="center"/>
          </w:tcPr>
          <w:p w14:paraId="605D47F1" w14:textId="77777777" w:rsidR="00990B14" w:rsidRDefault="00000000">
            <w:pPr>
              <w:spacing w:before="20" w:after="20"/>
              <w:jc w:val="both"/>
            </w:pPr>
            <w:r>
              <w:rPr>
                <w:sz w:val="18"/>
                <w:szCs w:val="18"/>
              </w:rPr>
              <w:t>Saldo insoluto</w:t>
            </w:r>
          </w:p>
        </w:tc>
        <w:tc>
          <w:tcPr>
            <w:tcW w:w="1876" w:type="dxa"/>
            <w:shd w:val="clear" w:color="auto" w:fill="D9E2F3"/>
            <w:vAlign w:val="center"/>
          </w:tcPr>
          <w:p w14:paraId="759DDC03" w14:textId="77777777" w:rsidR="00990B14" w:rsidRDefault="00000000">
            <w:pPr>
              <w:spacing w:before="20" w:after="20"/>
              <w:jc w:val="both"/>
            </w:pPr>
            <w:r>
              <w:rPr>
                <w:sz w:val="18"/>
                <w:szCs w:val="18"/>
              </w:rPr>
              <w:t>El saldo no coincide con el cuadro.</w:t>
            </w:r>
          </w:p>
        </w:tc>
        <w:tc>
          <w:tcPr>
            <w:tcW w:w="1876" w:type="dxa"/>
            <w:shd w:val="clear" w:color="auto" w:fill="D9E2F3"/>
            <w:vAlign w:val="center"/>
          </w:tcPr>
          <w:p w14:paraId="440E5BC5" w14:textId="77777777" w:rsidR="00990B14" w:rsidRDefault="00000000">
            <w:pPr>
              <w:spacing w:before="20" w:after="20"/>
              <w:jc w:val="both"/>
            </w:pPr>
            <w:r>
              <w:rPr>
                <w:sz w:val="18"/>
                <w:szCs w:val="18"/>
              </w:rPr>
              <w:t>Calcula el saldo en la fecha pedida.</w:t>
            </w:r>
          </w:p>
        </w:tc>
        <w:tc>
          <w:tcPr>
            <w:tcW w:w="1877" w:type="dxa"/>
            <w:shd w:val="clear" w:color="auto" w:fill="D9E2F3"/>
            <w:vAlign w:val="center"/>
          </w:tcPr>
          <w:p w14:paraId="75E377FE" w14:textId="77777777" w:rsidR="00990B14" w:rsidRDefault="00000000">
            <w:pPr>
              <w:spacing w:before="20" w:after="20"/>
              <w:jc w:val="both"/>
            </w:pPr>
            <w:r>
              <w:rPr>
                <w:sz w:val="18"/>
                <w:szCs w:val="18"/>
              </w:rPr>
              <w:t>Lo obtiene por el método retrospectivo y el prospectivo.</w:t>
            </w:r>
          </w:p>
        </w:tc>
      </w:tr>
      <w:tr w:rsidR="00990B14" w14:paraId="294D4FE9" w14:textId="77777777">
        <w:trPr>
          <w:cantSplit/>
          <w:jc w:val="center"/>
        </w:trPr>
        <w:tc>
          <w:tcPr>
            <w:tcW w:w="1900" w:type="dxa"/>
            <w:vMerge/>
            <w:shd w:val="clear" w:color="auto" w:fill="4472C4"/>
            <w:vAlign w:val="center"/>
          </w:tcPr>
          <w:p w14:paraId="58B5F6AF" w14:textId="77777777" w:rsidR="00990B14" w:rsidRDefault="00990B14">
            <w:pPr>
              <w:spacing w:before="20" w:after="20"/>
            </w:pPr>
          </w:p>
        </w:tc>
        <w:tc>
          <w:tcPr>
            <w:tcW w:w="1876" w:type="dxa"/>
            <w:shd w:val="clear" w:color="auto" w:fill="D9E2F3"/>
            <w:vAlign w:val="center"/>
          </w:tcPr>
          <w:p w14:paraId="57C57D53" w14:textId="77777777" w:rsidR="00990B14" w:rsidRDefault="00000000">
            <w:pPr>
              <w:spacing w:before="20" w:after="20"/>
              <w:jc w:val="both"/>
            </w:pPr>
            <w:r>
              <w:rPr>
                <w:sz w:val="18"/>
                <w:szCs w:val="18"/>
              </w:rPr>
              <w:t>Tanto efectivo</w:t>
            </w:r>
          </w:p>
        </w:tc>
        <w:tc>
          <w:tcPr>
            <w:tcW w:w="1876" w:type="dxa"/>
            <w:shd w:val="clear" w:color="auto" w:fill="D9E2F3"/>
            <w:vAlign w:val="center"/>
          </w:tcPr>
          <w:p w14:paraId="4E65CC9E" w14:textId="77777777" w:rsidR="00990B14" w:rsidRDefault="00000000">
            <w:pPr>
              <w:spacing w:before="20" w:after="20"/>
              <w:jc w:val="both"/>
            </w:pPr>
            <w:r>
              <w:rPr>
                <w:sz w:val="18"/>
                <w:szCs w:val="18"/>
              </w:rPr>
              <w:t>Ignora comisiones y gastos.</w:t>
            </w:r>
          </w:p>
        </w:tc>
        <w:tc>
          <w:tcPr>
            <w:tcW w:w="1876" w:type="dxa"/>
            <w:shd w:val="clear" w:color="auto" w:fill="D9E2F3"/>
            <w:vAlign w:val="center"/>
          </w:tcPr>
          <w:p w14:paraId="32679FB8" w14:textId="77777777" w:rsidR="00990B14" w:rsidRDefault="00000000">
            <w:pPr>
              <w:spacing w:before="20" w:after="20"/>
              <w:jc w:val="both"/>
            </w:pPr>
            <w:r>
              <w:rPr>
                <w:sz w:val="18"/>
                <w:szCs w:val="18"/>
              </w:rPr>
              <w:t>Incluye comisiones y gastos en el tanto efectivo.</w:t>
            </w:r>
          </w:p>
        </w:tc>
        <w:tc>
          <w:tcPr>
            <w:tcW w:w="1877" w:type="dxa"/>
            <w:shd w:val="clear" w:color="auto" w:fill="D9E2F3"/>
            <w:vAlign w:val="center"/>
          </w:tcPr>
          <w:p w14:paraId="4C6712E9" w14:textId="77777777" w:rsidR="00990B14" w:rsidRDefault="00000000">
            <w:pPr>
              <w:spacing w:before="20" w:after="20"/>
              <w:jc w:val="both"/>
            </w:pPr>
            <w:r>
              <w:rPr>
                <w:sz w:val="18"/>
                <w:szCs w:val="18"/>
              </w:rPr>
              <w:t>Relaciona el resultado con la tasa de interés efectiva contable.</w:t>
            </w:r>
          </w:p>
        </w:tc>
      </w:tr>
      <w:tr w:rsidR="00990B14" w14:paraId="3F429C76" w14:textId="77777777">
        <w:trPr>
          <w:cantSplit/>
          <w:jc w:val="center"/>
        </w:trPr>
        <w:tc>
          <w:tcPr>
            <w:tcW w:w="1900" w:type="dxa"/>
            <w:vMerge/>
            <w:shd w:val="clear" w:color="auto" w:fill="4472C4"/>
            <w:vAlign w:val="center"/>
          </w:tcPr>
          <w:p w14:paraId="15FF5A44" w14:textId="77777777" w:rsidR="00990B14" w:rsidRDefault="00990B14">
            <w:pPr>
              <w:spacing w:before="20" w:after="20"/>
            </w:pPr>
          </w:p>
        </w:tc>
        <w:tc>
          <w:tcPr>
            <w:tcW w:w="1876" w:type="dxa"/>
            <w:shd w:val="clear" w:color="auto" w:fill="D9E2F3"/>
            <w:vAlign w:val="center"/>
          </w:tcPr>
          <w:p w14:paraId="00369429" w14:textId="77777777" w:rsidR="00990B14" w:rsidRDefault="00000000">
            <w:pPr>
              <w:spacing w:before="20" w:after="20"/>
              <w:jc w:val="both"/>
            </w:pPr>
            <w:r>
              <w:rPr>
                <w:sz w:val="18"/>
                <w:szCs w:val="18"/>
              </w:rPr>
              <w:t>Exactitud</w:t>
            </w:r>
          </w:p>
        </w:tc>
        <w:tc>
          <w:tcPr>
            <w:tcW w:w="1876" w:type="dxa"/>
            <w:shd w:val="clear" w:color="auto" w:fill="D9E2F3"/>
            <w:vAlign w:val="center"/>
          </w:tcPr>
          <w:p w14:paraId="48DE97E0" w14:textId="77777777" w:rsidR="00990B14" w:rsidRDefault="00000000">
            <w:pPr>
              <w:spacing w:before="20" w:after="20"/>
              <w:jc w:val="both"/>
            </w:pPr>
            <w:r>
              <w:rPr>
                <w:sz w:val="18"/>
                <w:szCs w:val="18"/>
              </w:rPr>
              <w:t>Presenta errores de cálculo.</w:t>
            </w:r>
          </w:p>
        </w:tc>
        <w:tc>
          <w:tcPr>
            <w:tcW w:w="1876" w:type="dxa"/>
            <w:shd w:val="clear" w:color="auto" w:fill="D9E2F3"/>
            <w:vAlign w:val="center"/>
          </w:tcPr>
          <w:p w14:paraId="1E7541F2" w14:textId="77777777" w:rsidR="00990B14" w:rsidRDefault="00000000">
            <w:pPr>
              <w:spacing w:before="20" w:after="20"/>
              <w:jc w:val="both"/>
            </w:pPr>
            <w:r>
              <w:rPr>
                <w:sz w:val="18"/>
                <w:szCs w:val="18"/>
              </w:rPr>
              <w:t>Los resultados son correctos.</w:t>
            </w:r>
          </w:p>
        </w:tc>
        <w:tc>
          <w:tcPr>
            <w:tcW w:w="1877" w:type="dxa"/>
            <w:shd w:val="clear" w:color="auto" w:fill="D9E2F3"/>
            <w:vAlign w:val="center"/>
          </w:tcPr>
          <w:p w14:paraId="136FB36A" w14:textId="77777777" w:rsidR="00990B14" w:rsidRDefault="00000000">
            <w:pPr>
              <w:spacing w:before="20" w:after="20"/>
              <w:jc w:val="both"/>
            </w:pPr>
            <w:r>
              <w:rPr>
                <w:sz w:val="18"/>
                <w:szCs w:val="18"/>
              </w:rPr>
              <w:t>Verifica el resultado con la función TIR.</w:t>
            </w:r>
          </w:p>
        </w:tc>
      </w:tr>
      <w:tr w:rsidR="00990B14" w14:paraId="21FFB898" w14:textId="77777777">
        <w:trPr>
          <w:cantSplit/>
          <w:jc w:val="center"/>
        </w:trPr>
        <w:tc>
          <w:tcPr>
            <w:tcW w:w="1900" w:type="dxa"/>
            <w:vMerge/>
            <w:shd w:val="clear" w:color="auto" w:fill="4472C4"/>
            <w:vAlign w:val="center"/>
          </w:tcPr>
          <w:p w14:paraId="7979221F" w14:textId="77777777" w:rsidR="00990B14" w:rsidRDefault="00990B14">
            <w:pPr>
              <w:spacing w:before="20" w:after="20"/>
            </w:pPr>
          </w:p>
        </w:tc>
        <w:tc>
          <w:tcPr>
            <w:tcW w:w="5628" w:type="dxa"/>
            <w:gridSpan w:val="3"/>
            <w:shd w:val="clear" w:color="auto" w:fill="D9E2F3"/>
            <w:vAlign w:val="center"/>
          </w:tcPr>
          <w:p w14:paraId="371EF580" w14:textId="77777777" w:rsidR="00990B14" w:rsidRDefault="00000000">
            <w:pPr>
              <w:keepNext/>
              <w:spacing w:before="20" w:after="20"/>
              <w:jc w:val="both"/>
            </w:pPr>
            <w:r>
              <w:rPr>
                <w:b/>
                <w:bCs/>
                <w:i/>
                <w:iCs/>
                <w:sz w:val="18"/>
                <w:szCs w:val="18"/>
              </w:rPr>
              <w:t xml:space="preserve">Producto 11: </w:t>
            </w:r>
            <w:r>
              <w:rPr>
                <w:sz w:val="18"/>
                <w:szCs w:val="18"/>
              </w:rPr>
              <w:t>Tabla de fondo de amortización</w:t>
            </w:r>
          </w:p>
        </w:tc>
        <w:tc>
          <w:tcPr>
            <w:tcW w:w="1877" w:type="dxa"/>
            <w:shd w:val="clear" w:color="auto" w:fill="D9E2F3"/>
            <w:vAlign w:val="center"/>
          </w:tcPr>
          <w:p w14:paraId="39BCFB41" w14:textId="77777777" w:rsidR="00990B14" w:rsidRDefault="00000000">
            <w:pPr>
              <w:spacing w:before="20" w:after="20"/>
              <w:jc w:val="center"/>
            </w:pPr>
            <w:r>
              <w:rPr>
                <w:b/>
                <w:bCs/>
                <w:sz w:val="18"/>
                <w:szCs w:val="18"/>
              </w:rPr>
              <w:t>5%</w:t>
            </w:r>
          </w:p>
        </w:tc>
      </w:tr>
      <w:tr w:rsidR="00990B14" w14:paraId="690B7915" w14:textId="77777777">
        <w:trPr>
          <w:cantSplit/>
          <w:jc w:val="center"/>
        </w:trPr>
        <w:tc>
          <w:tcPr>
            <w:tcW w:w="1900" w:type="dxa"/>
            <w:vMerge/>
            <w:shd w:val="clear" w:color="auto" w:fill="4472C4"/>
            <w:vAlign w:val="center"/>
          </w:tcPr>
          <w:p w14:paraId="6A5959BC" w14:textId="77777777" w:rsidR="00990B14" w:rsidRDefault="00990B14">
            <w:pPr>
              <w:spacing w:before="20" w:after="20"/>
            </w:pPr>
          </w:p>
        </w:tc>
        <w:tc>
          <w:tcPr>
            <w:tcW w:w="1876" w:type="dxa"/>
            <w:shd w:val="clear" w:color="auto" w:fill="4472C4"/>
            <w:vAlign w:val="center"/>
          </w:tcPr>
          <w:p w14:paraId="00D47C2F"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72ACC65A"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69425C23"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31D5903E" w14:textId="77777777" w:rsidR="00990B14" w:rsidRDefault="00000000">
            <w:pPr>
              <w:keepNext/>
              <w:spacing w:before="20" w:after="20"/>
              <w:jc w:val="center"/>
            </w:pPr>
            <w:r>
              <w:rPr>
                <w:b/>
                <w:bCs/>
                <w:i/>
                <w:iCs/>
                <w:color w:val="FFFFFF"/>
                <w:sz w:val="18"/>
                <w:szCs w:val="18"/>
              </w:rPr>
              <w:t>Destacado (81–100)</w:t>
            </w:r>
          </w:p>
        </w:tc>
      </w:tr>
      <w:tr w:rsidR="00990B14" w14:paraId="16E93F10" w14:textId="77777777">
        <w:trPr>
          <w:cantSplit/>
          <w:jc w:val="center"/>
        </w:trPr>
        <w:tc>
          <w:tcPr>
            <w:tcW w:w="1900" w:type="dxa"/>
            <w:vMerge/>
            <w:shd w:val="clear" w:color="auto" w:fill="4472C4"/>
            <w:vAlign w:val="center"/>
          </w:tcPr>
          <w:p w14:paraId="7830FD4E" w14:textId="77777777" w:rsidR="00990B14" w:rsidRDefault="00990B14">
            <w:pPr>
              <w:spacing w:before="20" w:after="20"/>
            </w:pPr>
          </w:p>
        </w:tc>
        <w:tc>
          <w:tcPr>
            <w:tcW w:w="1876" w:type="dxa"/>
            <w:shd w:val="clear" w:color="auto" w:fill="D9E2F3"/>
            <w:vAlign w:val="center"/>
          </w:tcPr>
          <w:p w14:paraId="0A72A202" w14:textId="77777777" w:rsidR="00990B14" w:rsidRDefault="00000000">
            <w:pPr>
              <w:spacing w:before="20" w:after="20"/>
              <w:jc w:val="both"/>
            </w:pPr>
            <w:r>
              <w:rPr>
                <w:sz w:val="18"/>
                <w:szCs w:val="18"/>
              </w:rPr>
              <w:t>Aporte periódico</w:t>
            </w:r>
          </w:p>
        </w:tc>
        <w:tc>
          <w:tcPr>
            <w:tcW w:w="1876" w:type="dxa"/>
            <w:shd w:val="clear" w:color="auto" w:fill="D9E2F3"/>
            <w:vAlign w:val="center"/>
          </w:tcPr>
          <w:p w14:paraId="6ABDE630" w14:textId="77777777" w:rsidR="00990B14" w:rsidRDefault="00000000">
            <w:pPr>
              <w:spacing w:before="20" w:after="20"/>
              <w:jc w:val="both"/>
            </w:pPr>
            <w:r>
              <w:rPr>
                <w:sz w:val="18"/>
                <w:szCs w:val="18"/>
              </w:rPr>
              <w:t>El aporte no alcanza el monto objetivo.</w:t>
            </w:r>
          </w:p>
        </w:tc>
        <w:tc>
          <w:tcPr>
            <w:tcW w:w="1876" w:type="dxa"/>
            <w:shd w:val="clear" w:color="auto" w:fill="D9E2F3"/>
            <w:vAlign w:val="center"/>
          </w:tcPr>
          <w:p w14:paraId="1234B9E0" w14:textId="77777777" w:rsidR="00990B14" w:rsidRDefault="00000000">
            <w:pPr>
              <w:spacing w:before="20" w:after="20"/>
              <w:jc w:val="both"/>
            </w:pPr>
            <w:r>
              <w:rPr>
                <w:sz w:val="18"/>
                <w:szCs w:val="18"/>
              </w:rPr>
              <w:t>Calcula el aporte que reúne el monto.</w:t>
            </w:r>
          </w:p>
        </w:tc>
        <w:tc>
          <w:tcPr>
            <w:tcW w:w="1877" w:type="dxa"/>
            <w:shd w:val="clear" w:color="auto" w:fill="D9E2F3"/>
            <w:vAlign w:val="center"/>
          </w:tcPr>
          <w:p w14:paraId="0BCB7236" w14:textId="77777777" w:rsidR="00990B14" w:rsidRDefault="00000000">
            <w:pPr>
              <w:spacing w:before="20" w:after="20"/>
              <w:jc w:val="both"/>
            </w:pPr>
            <w:r>
              <w:rPr>
                <w:sz w:val="18"/>
                <w:szCs w:val="18"/>
              </w:rPr>
              <w:t>Compara aportes constantes y variables.</w:t>
            </w:r>
          </w:p>
        </w:tc>
      </w:tr>
      <w:tr w:rsidR="00990B14" w14:paraId="0AFC8C23" w14:textId="77777777">
        <w:trPr>
          <w:cantSplit/>
          <w:jc w:val="center"/>
        </w:trPr>
        <w:tc>
          <w:tcPr>
            <w:tcW w:w="1900" w:type="dxa"/>
            <w:vMerge/>
            <w:shd w:val="clear" w:color="auto" w:fill="4472C4"/>
            <w:vAlign w:val="center"/>
          </w:tcPr>
          <w:p w14:paraId="0D24FA32" w14:textId="77777777" w:rsidR="00990B14" w:rsidRDefault="00990B14">
            <w:pPr>
              <w:spacing w:before="20" w:after="20"/>
            </w:pPr>
          </w:p>
        </w:tc>
        <w:tc>
          <w:tcPr>
            <w:tcW w:w="1876" w:type="dxa"/>
            <w:shd w:val="clear" w:color="auto" w:fill="D9E2F3"/>
            <w:vAlign w:val="center"/>
          </w:tcPr>
          <w:p w14:paraId="5E9EF82D" w14:textId="77777777" w:rsidR="00990B14" w:rsidRDefault="00000000">
            <w:pPr>
              <w:spacing w:before="20" w:after="20"/>
              <w:jc w:val="both"/>
            </w:pPr>
            <w:r>
              <w:rPr>
                <w:sz w:val="18"/>
                <w:szCs w:val="18"/>
              </w:rPr>
              <w:t>Saldo del fondo</w:t>
            </w:r>
          </w:p>
        </w:tc>
        <w:tc>
          <w:tcPr>
            <w:tcW w:w="1876" w:type="dxa"/>
            <w:shd w:val="clear" w:color="auto" w:fill="D9E2F3"/>
            <w:vAlign w:val="center"/>
          </w:tcPr>
          <w:p w14:paraId="13A3B00A" w14:textId="77777777" w:rsidR="00990B14" w:rsidRDefault="00000000">
            <w:pPr>
              <w:spacing w:before="20" w:after="20"/>
              <w:jc w:val="both"/>
            </w:pPr>
            <w:r>
              <w:rPr>
                <w:sz w:val="18"/>
                <w:szCs w:val="18"/>
              </w:rPr>
              <w:t>El saldo acumulado tiene errores.</w:t>
            </w:r>
          </w:p>
        </w:tc>
        <w:tc>
          <w:tcPr>
            <w:tcW w:w="1876" w:type="dxa"/>
            <w:shd w:val="clear" w:color="auto" w:fill="D9E2F3"/>
            <w:vAlign w:val="center"/>
          </w:tcPr>
          <w:p w14:paraId="09A5335F" w14:textId="77777777" w:rsidR="00990B14" w:rsidRDefault="00000000">
            <w:pPr>
              <w:spacing w:before="20" w:after="20"/>
              <w:jc w:val="both"/>
            </w:pPr>
            <w:r>
              <w:rPr>
                <w:sz w:val="18"/>
                <w:szCs w:val="18"/>
              </w:rPr>
              <w:t>La tabla muestra el saldo de cada periodo.</w:t>
            </w:r>
          </w:p>
        </w:tc>
        <w:tc>
          <w:tcPr>
            <w:tcW w:w="1877" w:type="dxa"/>
            <w:shd w:val="clear" w:color="auto" w:fill="D9E2F3"/>
            <w:vAlign w:val="center"/>
          </w:tcPr>
          <w:p w14:paraId="21B07EC8" w14:textId="77777777" w:rsidR="00990B14" w:rsidRDefault="00000000">
            <w:pPr>
              <w:spacing w:before="20" w:after="20"/>
              <w:jc w:val="both"/>
            </w:pPr>
            <w:r>
              <w:rPr>
                <w:sz w:val="18"/>
                <w:szCs w:val="18"/>
              </w:rPr>
              <w:t>Calcula el saldo insoluto en una fecha intermedia.</w:t>
            </w:r>
          </w:p>
        </w:tc>
      </w:tr>
      <w:tr w:rsidR="00990B14" w14:paraId="1400432A" w14:textId="77777777">
        <w:trPr>
          <w:cantSplit/>
          <w:jc w:val="center"/>
        </w:trPr>
        <w:tc>
          <w:tcPr>
            <w:tcW w:w="1900" w:type="dxa"/>
            <w:vMerge/>
            <w:shd w:val="clear" w:color="auto" w:fill="4472C4"/>
            <w:vAlign w:val="center"/>
          </w:tcPr>
          <w:p w14:paraId="1598C726" w14:textId="77777777" w:rsidR="00990B14" w:rsidRDefault="00990B14">
            <w:pPr>
              <w:spacing w:before="20" w:after="20"/>
            </w:pPr>
          </w:p>
        </w:tc>
        <w:tc>
          <w:tcPr>
            <w:tcW w:w="1876" w:type="dxa"/>
            <w:shd w:val="clear" w:color="auto" w:fill="D9E2F3"/>
            <w:vAlign w:val="center"/>
          </w:tcPr>
          <w:p w14:paraId="211CCBA2" w14:textId="77777777" w:rsidR="00990B14" w:rsidRDefault="00000000">
            <w:pPr>
              <w:spacing w:before="20" w:after="20"/>
              <w:jc w:val="both"/>
            </w:pPr>
            <w:r>
              <w:rPr>
                <w:sz w:val="18"/>
                <w:szCs w:val="18"/>
              </w:rPr>
              <w:t>Trabajo en equipo</w:t>
            </w:r>
          </w:p>
        </w:tc>
        <w:tc>
          <w:tcPr>
            <w:tcW w:w="1876" w:type="dxa"/>
            <w:shd w:val="clear" w:color="auto" w:fill="D9E2F3"/>
            <w:vAlign w:val="center"/>
          </w:tcPr>
          <w:p w14:paraId="68BCBC9F" w14:textId="77777777" w:rsidR="00990B14" w:rsidRDefault="00000000">
            <w:pPr>
              <w:spacing w:before="20" w:after="20"/>
              <w:jc w:val="both"/>
            </w:pPr>
            <w:r>
              <w:rPr>
                <w:sz w:val="18"/>
                <w:szCs w:val="18"/>
              </w:rPr>
              <w:t>La tabla está incompleta.</w:t>
            </w:r>
          </w:p>
        </w:tc>
        <w:tc>
          <w:tcPr>
            <w:tcW w:w="1876" w:type="dxa"/>
            <w:shd w:val="clear" w:color="auto" w:fill="D9E2F3"/>
            <w:vAlign w:val="center"/>
          </w:tcPr>
          <w:p w14:paraId="2B9D1780" w14:textId="77777777" w:rsidR="00990B14" w:rsidRDefault="00000000">
            <w:pPr>
              <w:spacing w:before="20" w:after="20"/>
              <w:jc w:val="both"/>
            </w:pPr>
            <w:r>
              <w:rPr>
                <w:sz w:val="18"/>
                <w:szCs w:val="18"/>
              </w:rPr>
              <w:t>El equipo presenta la tabla completa.</w:t>
            </w:r>
          </w:p>
        </w:tc>
        <w:tc>
          <w:tcPr>
            <w:tcW w:w="1877" w:type="dxa"/>
            <w:shd w:val="clear" w:color="auto" w:fill="D9E2F3"/>
            <w:vAlign w:val="center"/>
          </w:tcPr>
          <w:p w14:paraId="449B4704" w14:textId="77777777" w:rsidR="00990B14" w:rsidRDefault="00000000">
            <w:pPr>
              <w:spacing w:before="20" w:after="20"/>
              <w:jc w:val="both"/>
            </w:pPr>
            <w:r>
              <w:rPr>
                <w:sz w:val="18"/>
                <w:szCs w:val="18"/>
              </w:rPr>
              <w:t>El equipo revisa la coherencia de los totales.</w:t>
            </w:r>
          </w:p>
        </w:tc>
      </w:tr>
      <w:tr w:rsidR="00990B14" w14:paraId="334E05EA" w14:textId="77777777">
        <w:trPr>
          <w:cantSplit/>
          <w:jc w:val="center"/>
        </w:trPr>
        <w:tc>
          <w:tcPr>
            <w:tcW w:w="1900" w:type="dxa"/>
            <w:vMerge/>
            <w:shd w:val="clear" w:color="auto" w:fill="4472C4"/>
            <w:vAlign w:val="center"/>
          </w:tcPr>
          <w:p w14:paraId="691D6C82" w14:textId="77777777" w:rsidR="00990B14" w:rsidRDefault="00990B14">
            <w:pPr>
              <w:spacing w:before="20" w:after="20"/>
            </w:pPr>
          </w:p>
        </w:tc>
        <w:tc>
          <w:tcPr>
            <w:tcW w:w="5628" w:type="dxa"/>
            <w:gridSpan w:val="3"/>
            <w:shd w:val="clear" w:color="auto" w:fill="D9E2F3"/>
            <w:vAlign w:val="center"/>
          </w:tcPr>
          <w:p w14:paraId="28D8B7A8" w14:textId="77777777" w:rsidR="00990B14" w:rsidRDefault="00000000">
            <w:pPr>
              <w:keepNext/>
              <w:spacing w:before="20" w:after="20"/>
              <w:jc w:val="both"/>
            </w:pPr>
            <w:r>
              <w:rPr>
                <w:b/>
                <w:bCs/>
                <w:i/>
                <w:iCs/>
                <w:sz w:val="18"/>
                <w:szCs w:val="18"/>
              </w:rPr>
              <w:t xml:space="preserve">Producto 12: </w:t>
            </w:r>
            <w:r>
              <w:rPr>
                <w:sz w:val="18"/>
                <w:szCs w:val="18"/>
              </w:rPr>
              <w:t>Informe de renegociación de deuda</w:t>
            </w:r>
          </w:p>
        </w:tc>
        <w:tc>
          <w:tcPr>
            <w:tcW w:w="1877" w:type="dxa"/>
            <w:shd w:val="clear" w:color="auto" w:fill="D9E2F3"/>
            <w:vAlign w:val="center"/>
          </w:tcPr>
          <w:p w14:paraId="1D0A683F" w14:textId="77777777" w:rsidR="00990B14" w:rsidRDefault="00000000">
            <w:pPr>
              <w:spacing w:before="20" w:after="20"/>
              <w:jc w:val="center"/>
            </w:pPr>
            <w:r>
              <w:rPr>
                <w:b/>
                <w:bCs/>
                <w:sz w:val="18"/>
                <w:szCs w:val="18"/>
              </w:rPr>
              <w:t>5%</w:t>
            </w:r>
          </w:p>
        </w:tc>
      </w:tr>
      <w:tr w:rsidR="00990B14" w14:paraId="596FA1FF" w14:textId="77777777">
        <w:trPr>
          <w:cantSplit/>
          <w:jc w:val="center"/>
        </w:trPr>
        <w:tc>
          <w:tcPr>
            <w:tcW w:w="1900" w:type="dxa"/>
            <w:vMerge/>
            <w:shd w:val="clear" w:color="auto" w:fill="4472C4"/>
            <w:vAlign w:val="center"/>
          </w:tcPr>
          <w:p w14:paraId="5345B15B" w14:textId="77777777" w:rsidR="00990B14" w:rsidRDefault="00990B14">
            <w:pPr>
              <w:spacing w:before="20" w:after="20"/>
            </w:pPr>
          </w:p>
        </w:tc>
        <w:tc>
          <w:tcPr>
            <w:tcW w:w="1876" w:type="dxa"/>
            <w:shd w:val="clear" w:color="auto" w:fill="4472C4"/>
            <w:vAlign w:val="center"/>
          </w:tcPr>
          <w:p w14:paraId="33B1D79C"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48A9568F"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236A9274"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4A813233" w14:textId="77777777" w:rsidR="00990B14" w:rsidRDefault="00000000">
            <w:pPr>
              <w:keepNext/>
              <w:spacing w:before="20" w:after="20"/>
              <w:jc w:val="center"/>
            </w:pPr>
            <w:r>
              <w:rPr>
                <w:b/>
                <w:bCs/>
                <w:i/>
                <w:iCs/>
                <w:color w:val="FFFFFF"/>
                <w:sz w:val="18"/>
                <w:szCs w:val="18"/>
              </w:rPr>
              <w:t>Destacado (81–100)</w:t>
            </w:r>
          </w:p>
        </w:tc>
      </w:tr>
      <w:tr w:rsidR="00990B14" w14:paraId="23790C4C" w14:textId="77777777">
        <w:trPr>
          <w:cantSplit/>
          <w:jc w:val="center"/>
        </w:trPr>
        <w:tc>
          <w:tcPr>
            <w:tcW w:w="1900" w:type="dxa"/>
            <w:vMerge/>
            <w:shd w:val="clear" w:color="auto" w:fill="4472C4"/>
            <w:vAlign w:val="center"/>
          </w:tcPr>
          <w:p w14:paraId="2AA69AD1" w14:textId="77777777" w:rsidR="00990B14" w:rsidRDefault="00990B14">
            <w:pPr>
              <w:spacing w:before="20" w:after="20"/>
            </w:pPr>
          </w:p>
        </w:tc>
        <w:tc>
          <w:tcPr>
            <w:tcW w:w="1876" w:type="dxa"/>
            <w:shd w:val="clear" w:color="auto" w:fill="D9E2F3"/>
            <w:vAlign w:val="center"/>
          </w:tcPr>
          <w:p w14:paraId="548DFBF9" w14:textId="77777777" w:rsidR="00990B14" w:rsidRDefault="00000000">
            <w:pPr>
              <w:spacing w:before="20" w:after="20"/>
              <w:jc w:val="both"/>
            </w:pPr>
            <w:r>
              <w:rPr>
                <w:sz w:val="18"/>
                <w:szCs w:val="18"/>
              </w:rPr>
              <w:t>Situación inicial</w:t>
            </w:r>
          </w:p>
        </w:tc>
        <w:tc>
          <w:tcPr>
            <w:tcW w:w="1876" w:type="dxa"/>
            <w:shd w:val="clear" w:color="auto" w:fill="D9E2F3"/>
            <w:vAlign w:val="center"/>
          </w:tcPr>
          <w:p w14:paraId="66085433" w14:textId="77777777" w:rsidR="00990B14" w:rsidRDefault="00000000">
            <w:pPr>
              <w:spacing w:before="20" w:after="20"/>
              <w:jc w:val="both"/>
            </w:pPr>
            <w:r>
              <w:rPr>
                <w:sz w:val="18"/>
                <w:szCs w:val="18"/>
              </w:rPr>
              <w:t>No determina el saldo a renegociar.</w:t>
            </w:r>
          </w:p>
        </w:tc>
        <w:tc>
          <w:tcPr>
            <w:tcW w:w="1876" w:type="dxa"/>
            <w:shd w:val="clear" w:color="auto" w:fill="D9E2F3"/>
            <w:vAlign w:val="center"/>
          </w:tcPr>
          <w:p w14:paraId="68931313" w14:textId="77777777" w:rsidR="00990B14" w:rsidRDefault="00000000">
            <w:pPr>
              <w:spacing w:before="20" w:after="20"/>
              <w:jc w:val="both"/>
            </w:pPr>
            <w:r>
              <w:rPr>
                <w:sz w:val="18"/>
                <w:szCs w:val="18"/>
              </w:rPr>
              <w:t>Determina el saldo y las condiciones vigentes.</w:t>
            </w:r>
          </w:p>
        </w:tc>
        <w:tc>
          <w:tcPr>
            <w:tcW w:w="1877" w:type="dxa"/>
            <w:shd w:val="clear" w:color="auto" w:fill="D9E2F3"/>
            <w:vAlign w:val="center"/>
          </w:tcPr>
          <w:p w14:paraId="6D4FA4FA" w14:textId="77777777" w:rsidR="00990B14" w:rsidRDefault="00000000">
            <w:pPr>
              <w:spacing w:before="20" w:after="20"/>
              <w:jc w:val="both"/>
            </w:pPr>
            <w:r>
              <w:rPr>
                <w:sz w:val="18"/>
                <w:szCs w:val="18"/>
              </w:rPr>
              <w:t>Identifica la causa del problema de pago.</w:t>
            </w:r>
          </w:p>
        </w:tc>
      </w:tr>
      <w:tr w:rsidR="00990B14" w14:paraId="30B15EDD" w14:textId="77777777">
        <w:trPr>
          <w:cantSplit/>
          <w:jc w:val="center"/>
        </w:trPr>
        <w:tc>
          <w:tcPr>
            <w:tcW w:w="1900" w:type="dxa"/>
            <w:vMerge/>
            <w:shd w:val="clear" w:color="auto" w:fill="4472C4"/>
            <w:vAlign w:val="center"/>
          </w:tcPr>
          <w:p w14:paraId="75D994A6" w14:textId="77777777" w:rsidR="00990B14" w:rsidRDefault="00990B14">
            <w:pPr>
              <w:spacing w:before="20" w:after="20"/>
            </w:pPr>
          </w:p>
        </w:tc>
        <w:tc>
          <w:tcPr>
            <w:tcW w:w="1876" w:type="dxa"/>
            <w:shd w:val="clear" w:color="auto" w:fill="D9E2F3"/>
            <w:vAlign w:val="center"/>
          </w:tcPr>
          <w:p w14:paraId="3728AABA" w14:textId="77777777" w:rsidR="00990B14" w:rsidRDefault="00000000">
            <w:pPr>
              <w:spacing w:before="20" w:after="20"/>
              <w:jc w:val="both"/>
            </w:pPr>
            <w:r>
              <w:rPr>
                <w:sz w:val="18"/>
                <w:szCs w:val="18"/>
              </w:rPr>
              <w:t>Tabla reprogramada</w:t>
            </w:r>
          </w:p>
        </w:tc>
        <w:tc>
          <w:tcPr>
            <w:tcW w:w="1876" w:type="dxa"/>
            <w:shd w:val="clear" w:color="auto" w:fill="D9E2F3"/>
            <w:vAlign w:val="center"/>
          </w:tcPr>
          <w:p w14:paraId="2E2A7651" w14:textId="77777777" w:rsidR="00990B14" w:rsidRDefault="00000000">
            <w:pPr>
              <w:spacing w:before="20" w:after="20"/>
              <w:jc w:val="both"/>
            </w:pPr>
            <w:r>
              <w:rPr>
                <w:sz w:val="18"/>
                <w:szCs w:val="18"/>
              </w:rPr>
              <w:t>La nueva tabla no cuadra con el saldo.</w:t>
            </w:r>
          </w:p>
        </w:tc>
        <w:tc>
          <w:tcPr>
            <w:tcW w:w="1876" w:type="dxa"/>
            <w:shd w:val="clear" w:color="auto" w:fill="D9E2F3"/>
            <w:vAlign w:val="center"/>
          </w:tcPr>
          <w:p w14:paraId="2E09C59D" w14:textId="77777777" w:rsidR="00990B14" w:rsidRDefault="00000000">
            <w:pPr>
              <w:spacing w:before="20" w:after="20"/>
              <w:jc w:val="both"/>
            </w:pPr>
            <w:r>
              <w:rPr>
                <w:sz w:val="18"/>
                <w:szCs w:val="18"/>
              </w:rPr>
              <w:t>Presenta la tabla con las nuevas condiciones.</w:t>
            </w:r>
          </w:p>
        </w:tc>
        <w:tc>
          <w:tcPr>
            <w:tcW w:w="1877" w:type="dxa"/>
            <w:shd w:val="clear" w:color="auto" w:fill="D9E2F3"/>
            <w:vAlign w:val="center"/>
          </w:tcPr>
          <w:p w14:paraId="47EED6C0" w14:textId="77777777" w:rsidR="00990B14" w:rsidRDefault="00000000">
            <w:pPr>
              <w:spacing w:before="20" w:after="20"/>
              <w:jc w:val="both"/>
            </w:pPr>
            <w:r>
              <w:rPr>
                <w:sz w:val="18"/>
                <w:szCs w:val="18"/>
              </w:rPr>
              <w:t>Compara el costo de la deuda antes y después.</w:t>
            </w:r>
          </w:p>
        </w:tc>
      </w:tr>
      <w:tr w:rsidR="00990B14" w14:paraId="29039E9F" w14:textId="77777777">
        <w:trPr>
          <w:cantSplit/>
          <w:jc w:val="center"/>
        </w:trPr>
        <w:tc>
          <w:tcPr>
            <w:tcW w:w="1900" w:type="dxa"/>
            <w:vMerge/>
            <w:shd w:val="clear" w:color="auto" w:fill="4472C4"/>
            <w:vAlign w:val="center"/>
          </w:tcPr>
          <w:p w14:paraId="1F911955" w14:textId="77777777" w:rsidR="00990B14" w:rsidRDefault="00990B14">
            <w:pPr>
              <w:spacing w:before="20" w:after="20"/>
            </w:pPr>
          </w:p>
        </w:tc>
        <w:tc>
          <w:tcPr>
            <w:tcW w:w="1876" w:type="dxa"/>
            <w:shd w:val="clear" w:color="auto" w:fill="D9E2F3"/>
            <w:vAlign w:val="center"/>
          </w:tcPr>
          <w:p w14:paraId="1C858B94" w14:textId="77777777" w:rsidR="00990B14" w:rsidRDefault="00000000">
            <w:pPr>
              <w:spacing w:before="20" w:after="20"/>
              <w:jc w:val="both"/>
            </w:pPr>
            <w:r>
              <w:rPr>
                <w:sz w:val="18"/>
                <w:szCs w:val="18"/>
              </w:rPr>
              <w:t>Ética y claridad</w:t>
            </w:r>
          </w:p>
        </w:tc>
        <w:tc>
          <w:tcPr>
            <w:tcW w:w="1876" w:type="dxa"/>
            <w:shd w:val="clear" w:color="auto" w:fill="D9E2F3"/>
            <w:vAlign w:val="center"/>
          </w:tcPr>
          <w:p w14:paraId="4A485AFF" w14:textId="77777777" w:rsidR="00990B14" w:rsidRDefault="00000000">
            <w:pPr>
              <w:spacing w:before="20" w:after="20"/>
              <w:jc w:val="both"/>
            </w:pPr>
            <w:r>
              <w:rPr>
                <w:sz w:val="18"/>
                <w:szCs w:val="18"/>
              </w:rPr>
              <w:t>Oculta condiciones desfavorables al deudor.</w:t>
            </w:r>
          </w:p>
        </w:tc>
        <w:tc>
          <w:tcPr>
            <w:tcW w:w="1876" w:type="dxa"/>
            <w:shd w:val="clear" w:color="auto" w:fill="D9E2F3"/>
            <w:vAlign w:val="center"/>
          </w:tcPr>
          <w:p w14:paraId="54D7C53F" w14:textId="77777777" w:rsidR="00990B14" w:rsidRDefault="00000000">
            <w:pPr>
              <w:spacing w:before="20" w:after="20"/>
              <w:jc w:val="both"/>
            </w:pPr>
            <w:r>
              <w:rPr>
                <w:sz w:val="18"/>
                <w:szCs w:val="18"/>
              </w:rPr>
              <w:t>Expone con transparencia las condiciones.</w:t>
            </w:r>
          </w:p>
        </w:tc>
        <w:tc>
          <w:tcPr>
            <w:tcW w:w="1877" w:type="dxa"/>
            <w:shd w:val="clear" w:color="auto" w:fill="D9E2F3"/>
            <w:vAlign w:val="center"/>
          </w:tcPr>
          <w:p w14:paraId="74B6EF34" w14:textId="77777777" w:rsidR="00990B14" w:rsidRDefault="00000000">
            <w:pPr>
              <w:spacing w:before="20" w:after="20"/>
              <w:jc w:val="both"/>
            </w:pPr>
            <w:r>
              <w:rPr>
                <w:sz w:val="18"/>
                <w:szCs w:val="18"/>
              </w:rPr>
              <w:t>Recomienda la opción más equitativa para ambas partes.</w:t>
            </w:r>
          </w:p>
        </w:tc>
      </w:tr>
      <w:tr w:rsidR="00990B14" w14:paraId="54E28C47" w14:textId="77777777">
        <w:trPr>
          <w:cantSplit/>
          <w:jc w:val="center"/>
        </w:trPr>
        <w:tc>
          <w:tcPr>
            <w:tcW w:w="1900" w:type="dxa"/>
            <w:vMerge/>
            <w:shd w:val="clear" w:color="auto" w:fill="4472C4"/>
            <w:vAlign w:val="center"/>
          </w:tcPr>
          <w:p w14:paraId="0AE8EFA4" w14:textId="77777777" w:rsidR="00990B14" w:rsidRDefault="00990B14">
            <w:pPr>
              <w:spacing w:before="20" w:after="20"/>
            </w:pPr>
          </w:p>
        </w:tc>
        <w:tc>
          <w:tcPr>
            <w:tcW w:w="5628" w:type="dxa"/>
            <w:gridSpan w:val="3"/>
            <w:shd w:val="clear" w:color="auto" w:fill="D9E2F3"/>
            <w:vAlign w:val="center"/>
          </w:tcPr>
          <w:p w14:paraId="253E0AB2" w14:textId="77777777" w:rsidR="00990B14" w:rsidRDefault="00000000">
            <w:pPr>
              <w:keepNext/>
              <w:spacing w:before="20" w:after="20"/>
              <w:jc w:val="both"/>
            </w:pPr>
            <w:r>
              <w:rPr>
                <w:b/>
                <w:bCs/>
                <w:i/>
                <w:iCs/>
                <w:sz w:val="18"/>
                <w:szCs w:val="18"/>
              </w:rPr>
              <w:t xml:space="preserve">Producto 13: </w:t>
            </w:r>
            <w:r>
              <w:rPr>
                <w:sz w:val="18"/>
                <w:szCs w:val="18"/>
              </w:rPr>
              <w:t>Cuadro comparativo de métodos de depreciación</w:t>
            </w:r>
          </w:p>
        </w:tc>
        <w:tc>
          <w:tcPr>
            <w:tcW w:w="1877" w:type="dxa"/>
            <w:shd w:val="clear" w:color="auto" w:fill="D9E2F3"/>
            <w:vAlign w:val="center"/>
          </w:tcPr>
          <w:p w14:paraId="582D1745" w14:textId="77777777" w:rsidR="00990B14" w:rsidRDefault="00000000">
            <w:pPr>
              <w:spacing w:before="20" w:after="20"/>
              <w:jc w:val="center"/>
            </w:pPr>
            <w:r>
              <w:rPr>
                <w:b/>
                <w:bCs/>
                <w:sz w:val="18"/>
                <w:szCs w:val="18"/>
              </w:rPr>
              <w:t>3%</w:t>
            </w:r>
          </w:p>
        </w:tc>
      </w:tr>
      <w:tr w:rsidR="00990B14" w14:paraId="7E8EF2AC" w14:textId="77777777">
        <w:trPr>
          <w:cantSplit/>
          <w:jc w:val="center"/>
        </w:trPr>
        <w:tc>
          <w:tcPr>
            <w:tcW w:w="1900" w:type="dxa"/>
            <w:vMerge/>
            <w:shd w:val="clear" w:color="auto" w:fill="4472C4"/>
            <w:vAlign w:val="center"/>
          </w:tcPr>
          <w:p w14:paraId="122C744F" w14:textId="77777777" w:rsidR="00990B14" w:rsidRDefault="00990B14">
            <w:pPr>
              <w:spacing w:before="20" w:after="20"/>
            </w:pPr>
          </w:p>
        </w:tc>
        <w:tc>
          <w:tcPr>
            <w:tcW w:w="1876" w:type="dxa"/>
            <w:shd w:val="clear" w:color="auto" w:fill="4472C4"/>
            <w:vAlign w:val="center"/>
          </w:tcPr>
          <w:p w14:paraId="4E76BF7C"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3C9CC825"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65B713F2"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3B852952" w14:textId="77777777" w:rsidR="00990B14" w:rsidRDefault="00000000">
            <w:pPr>
              <w:keepNext/>
              <w:spacing w:before="20" w:after="20"/>
              <w:jc w:val="center"/>
            </w:pPr>
            <w:r>
              <w:rPr>
                <w:b/>
                <w:bCs/>
                <w:i/>
                <w:iCs/>
                <w:color w:val="FFFFFF"/>
                <w:sz w:val="18"/>
                <w:szCs w:val="18"/>
              </w:rPr>
              <w:t>Destacado (81–100)</w:t>
            </w:r>
          </w:p>
        </w:tc>
      </w:tr>
      <w:tr w:rsidR="00990B14" w14:paraId="2E5679F4" w14:textId="77777777">
        <w:trPr>
          <w:cantSplit/>
          <w:jc w:val="center"/>
        </w:trPr>
        <w:tc>
          <w:tcPr>
            <w:tcW w:w="1900" w:type="dxa"/>
            <w:vMerge/>
            <w:shd w:val="clear" w:color="auto" w:fill="4472C4"/>
            <w:vAlign w:val="center"/>
          </w:tcPr>
          <w:p w14:paraId="4D00A00D" w14:textId="77777777" w:rsidR="00990B14" w:rsidRDefault="00990B14">
            <w:pPr>
              <w:spacing w:before="20" w:after="20"/>
            </w:pPr>
          </w:p>
        </w:tc>
        <w:tc>
          <w:tcPr>
            <w:tcW w:w="1876" w:type="dxa"/>
            <w:shd w:val="clear" w:color="auto" w:fill="D9E2F3"/>
            <w:vAlign w:val="center"/>
          </w:tcPr>
          <w:p w14:paraId="2C08FE65" w14:textId="77777777" w:rsidR="00990B14" w:rsidRDefault="00000000">
            <w:pPr>
              <w:spacing w:before="20" w:after="20"/>
              <w:jc w:val="both"/>
            </w:pPr>
            <w:r>
              <w:rPr>
                <w:sz w:val="18"/>
                <w:szCs w:val="18"/>
              </w:rPr>
              <w:t>Aplicación de métodos</w:t>
            </w:r>
          </w:p>
        </w:tc>
        <w:tc>
          <w:tcPr>
            <w:tcW w:w="1876" w:type="dxa"/>
            <w:shd w:val="clear" w:color="auto" w:fill="D9E2F3"/>
            <w:vAlign w:val="center"/>
          </w:tcPr>
          <w:p w14:paraId="70144334" w14:textId="77777777" w:rsidR="00990B14" w:rsidRDefault="00000000">
            <w:pPr>
              <w:spacing w:before="20" w:after="20"/>
              <w:jc w:val="both"/>
            </w:pPr>
            <w:r>
              <w:rPr>
                <w:sz w:val="18"/>
                <w:szCs w:val="18"/>
              </w:rPr>
              <w:t>Aplica mal algún método.</w:t>
            </w:r>
          </w:p>
        </w:tc>
        <w:tc>
          <w:tcPr>
            <w:tcW w:w="1876" w:type="dxa"/>
            <w:shd w:val="clear" w:color="auto" w:fill="D9E2F3"/>
            <w:vAlign w:val="center"/>
          </w:tcPr>
          <w:p w14:paraId="54630BEA" w14:textId="77777777" w:rsidR="00990B14" w:rsidRDefault="00000000">
            <w:pPr>
              <w:spacing w:before="20" w:after="20"/>
              <w:jc w:val="both"/>
            </w:pPr>
            <w:r>
              <w:rPr>
                <w:sz w:val="18"/>
                <w:szCs w:val="18"/>
              </w:rPr>
              <w:t>Calcula la depreciación con cada método.</w:t>
            </w:r>
          </w:p>
        </w:tc>
        <w:tc>
          <w:tcPr>
            <w:tcW w:w="1877" w:type="dxa"/>
            <w:shd w:val="clear" w:color="auto" w:fill="D9E2F3"/>
            <w:vAlign w:val="center"/>
          </w:tcPr>
          <w:p w14:paraId="76CCEABE" w14:textId="77777777" w:rsidR="00990B14" w:rsidRDefault="00000000">
            <w:pPr>
              <w:spacing w:before="20" w:after="20"/>
              <w:jc w:val="both"/>
            </w:pPr>
            <w:r>
              <w:rPr>
                <w:sz w:val="18"/>
                <w:szCs w:val="18"/>
              </w:rPr>
              <w:t>Explica cuándo conviene cada método.</w:t>
            </w:r>
          </w:p>
        </w:tc>
      </w:tr>
      <w:tr w:rsidR="00990B14" w14:paraId="17F1F419" w14:textId="77777777">
        <w:trPr>
          <w:cantSplit/>
          <w:jc w:val="center"/>
        </w:trPr>
        <w:tc>
          <w:tcPr>
            <w:tcW w:w="1900" w:type="dxa"/>
            <w:vMerge/>
            <w:shd w:val="clear" w:color="auto" w:fill="4472C4"/>
            <w:vAlign w:val="center"/>
          </w:tcPr>
          <w:p w14:paraId="46915417" w14:textId="77777777" w:rsidR="00990B14" w:rsidRDefault="00990B14">
            <w:pPr>
              <w:spacing w:before="20" w:after="20"/>
            </w:pPr>
          </w:p>
        </w:tc>
        <w:tc>
          <w:tcPr>
            <w:tcW w:w="1876" w:type="dxa"/>
            <w:shd w:val="clear" w:color="auto" w:fill="D9E2F3"/>
            <w:vAlign w:val="center"/>
          </w:tcPr>
          <w:p w14:paraId="5053D703" w14:textId="77777777" w:rsidR="00990B14" w:rsidRDefault="00000000">
            <w:pPr>
              <w:spacing w:before="20" w:after="20"/>
              <w:jc w:val="both"/>
            </w:pPr>
            <w:r>
              <w:rPr>
                <w:sz w:val="18"/>
                <w:szCs w:val="18"/>
              </w:rPr>
              <w:t>Valor en libros</w:t>
            </w:r>
          </w:p>
        </w:tc>
        <w:tc>
          <w:tcPr>
            <w:tcW w:w="1876" w:type="dxa"/>
            <w:shd w:val="clear" w:color="auto" w:fill="D9E2F3"/>
            <w:vAlign w:val="center"/>
          </w:tcPr>
          <w:p w14:paraId="3B6C7411" w14:textId="77777777" w:rsidR="00990B14" w:rsidRDefault="00000000">
            <w:pPr>
              <w:spacing w:before="20" w:after="20"/>
              <w:jc w:val="both"/>
            </w:pPr>
            <w:r>
              <w:rPr>
                <w:sz w:val="18"/>
                <w:szCs w:val="18"/>
              </w:rPr>
              <w:t>El valor en libros no llega al valor residual.</w:t>
            </w:r>
          </w:p>
        </w:tc>
        <w:tc>
          <w:tcPr>
            <w:tcW w:w="1876" w:type="dxa"/>
            <w:shd w:val="clear" w:color="auto" w:fill="D9E2F3"/>
            <w:vAlign w:val="center"/>
          </w:tcPr>
          <w:p w14:paraId="4AAD922F" w14:textId="77777777" w:rsidR="00990B14" w:rsidRDefault="00000000">
            <w:pPr>
              <w:spacing w:before="20" w:after="20"/>
              <w:jc w:val="both"/>
            </w:pPr>
            <w:r>
              <w:rPr>
                <w:sz w:val="18"/>
                <w:szCs w:val="18"/>
              </w:rPr>
              <w:t>Determina el valor en libros de cada año.</w:t>
            </w:r>
          </w:p>
        </w:tc>
        <w:tc>
          <w:tcPr>
            <w:tcW w:w="1877" w:type="dxa"/>
            <w:shd w:val="clear" w:color="auto" w:fill="D9E2F3"/>
            <w:vAlign w:val="center"/>
          </w:tcPr>
          <w:p w14:paraId="7FCDDF06" w14:textId="77777777" w:rsidR="00990B14" w:rsidRDefault="00000000">
            <w:pPr>
              <w:spacing w:before="20" w:after="20"/>
              <w:jc w:val="both"/>
            </w:pPr>
            <w:r>
              <w:rPr>
                <w:sz w:val="18"/>
                <w:szCs w:val="18"/>
              </w:rPr>
              <w:t>Grafica la evolución del valor en libros.</w:t>
            </w:r>
          </w:p>
        </w:tc>
      </w:tr>
      <w:tr w:rsidR="00990B14" w14:paraId="39604EB8" w14:textId="77777777">
        <w:trPr>
          <w:cantSplit/>
          <w:jc w:val="center"/>
        </w:trPr>
        <w:tc>
          <w:tcPr>
            <w:tcW w:w="1900" w:type="dxa"/>
            <w:vMerge/>
            <w:shd w:val="clear" w:color="auto" w:fill="4472C4"/>
            <w:vAlign w:val="center"/>
          </w:tcPr>
          <w:p w14:paraId="382E33EE" w14:textId="77777777" w:rsidR="00990B14" w:rsidRDefault="00990B14">
            <w:pPr>
              <w:spacing w:before="20" w:after="20"/>
            </w:pPr>
          </w:p>
        </w:tc>
        <w:tc>
          <w:tcPr>
            <w:tcW w:w="1876" w:type="dxa"/>
            <w:shd w:val="clear" w:color="auto" w:fill="D9E2F3"/>
            <w:vAlign w:val="center"/>
          </w:tcPr>
          <w:p w14:paraId="5F8B0AEC" w14:textId="77777777" w:rsidR="00990B14" w:rsidRDefault="00000000">
            <w:pPr>
              <w:spacing w:before="20" w:after="20"/>
              <w:jc w:val="both"/>
            </w:pPr>
            <w:r>
              <w:rPr>
                <w:sz w:val="18"/>
                <w:szCs w:val="18"/>
              </w:rPr>
              <w:t>Efecto en el resultado</w:t>
            </w:r>
          </w:p>
        </w:tc>
        <w:tc>
          <w:tcPr>
            <w:tcW w:w="1876" w:type="dxa"/>
            <w:shd w:val="clear" w:color="auto" w:fill="D9E2F3"/>
            <w:vAlign w:val="center"/>
          </w:tcPr>
          <w:p w14:paraId="742EFB4A" w14:textId="77777777" w:rsidR="00990B14" w:rsidRDefault="00000000">
            <w:pPr>
              <w:spacing w:before="20" w:after="20"/>
              <w:jc w:val="both"/>
            </w:pPr>
            <w:r>
              <w:rPr>
                <w:sz w:val="18"/>
                <w:szCs w:val="18"/>
              </w:rPr>
              <w:t>No analiza el efecto.</w:t>
            </w:r>
          </w:p>
        </w:tc>
        <w:tc>
          <w:tcPr>
            <w:tcW w:w="1876" w:type="dxa"/>
            <w:shd w:val="clear" w:color="auto" w:fill="D9E2F3"/>
            <w:vAlign w:val="center"/>
          </w:tcPr>
          <w:p w14:paraId="496B33E1" w14:textId="77777777" w:rsidR="00990B14" w:rsidRDefault="00000000">
            <w:pPr>
              <w:spacing w:before="20" w:after="20"/>
              <w:jc w:val="both"/>
            </w:pPr>
            <w:r>
              <w:rPr>
                <w:sz w:val="18"/>
                <w:szCs w:val="18"/>
              </w:rPr>
              <w:t>Señala el efecto de cada método en el resultado.</w:t>
            </w:r>
          </w:p>
        </w:tc>
        <w:tc>
          <w:tcPr>
            <w:tcW w:w="1877" w:type="dxa"/>
            <w:shd w:val="clear" w:color="auto" w:fill="D9E2F3"/>
            <w:vAlign w:val="center"/>
          </w:tcPr>
          <w:p w14:paraId="30B20B17" w14:textId="77777777" w:rsidR="00990B14" w:rsidRDefault="00000000">
            <w:pPr>
              <w:spacing w:before="20" w:after="20"/>
              <w:jc w:val="both"/>
            </w:pPr>
            <w:r>
              <w:rPr>
                <w:sz w:val="18"/>
                <w:szCs w:val="18"/>
              </w:rPr>
              <w:t>Relaciona el efecto con la vida útil y el valor residual.</w:t>
            </w:r>
          </w:p>
        </w:tc>
      </w:tr>
      <w:tr w:rsidR="00990B14" w14:paraId="1CFA5ADD" w14:textId="77777777">
        <w:trPr>
          <w:cantSplit/>
          <w:jc w:val="center"/>
        </w:trPr>
        <w:tc>
          <w:tcPr>
            <w:tcW w:w="1900" w:type="dxa"/>
            <w:vMerge/>
            <w:shd w:val="clear" w:color="auto" w:fill="4472C4"/>
            <w:vAlign w:val="center"/>
          </w:tcPr>
          <w:p w14:paraId="3EB8A8C2" w14:textId="77777777" w:rsidR="00990B14" w:rsidRDefault="00990B14">
            <w:pPr>
              <w:spacing w:before="20" w:after="20"/>
            </w:pPr>
          </w:p>
        </w:tc>
        <w:tc>
          <w:tcPr>
            <w:tcW w:w="5628" w:type="dxa"/>
            <w:gridSpan w:val="3"/>
            <w:shd w:val="clear" w:color="auto" w:fill="D9E2F3"/>
            <w:vAlign w:val="center"/>
          </w:tcPr>
          <w:p w14:paraId="4D2EF1FE" w14:textId="77777777" w:rsidR="00990B14" w:rsidRDefault="00000000">
            <w:pPr>
              <w:keepNext/>
              <w:spacing w:before="20" w:after="20"/>
              <w:jc w:val="both"/>
            </w:pPr>
            <w:r>
              <w:rPr>
                <w:b/>
                <w:bCs/>
                <w:i/>
                <w:iCs/>
                <w:sz w:val="18"/>
                <w:szCs w:val="18"/>
              </w:rPr>
              <w:t xml:space="preserve">Producto 14: </w:t>
            </w:r>
            <w:r>
              <w:rPr>
                <w:sz w:val="18"/>
                <w:szCs w:val="18"/>
              </w:rPr>
              <w:t>Planilla de depreciación</w:t>
            </w:r>
          </w:p>
        </w:tc>
        <w:tc>
          <w:tcPr>
            <w:tcW w:w="1877" w:type="dxa"/>
            <w:shd w:val="clear" w:color="auto" w:fill="D9E2F3"/>
            <w:vAlign w:val="center"/>
          </w:tcPr>
          <w:p w14:paraId="1D067D1C" w14:textId="77777777" w:rsidR="00990B14" w:rsidRDefault="00000000">
            <w:pPr>
              <w:spacing w:before="20" w:after="20"/>
              <w:jc w:val="center"/>
            </w:pPr>
            <w:r>
              <w:rPr>
                <w:b/>
                <w:bCs/>
                <w:sz w:val="18"/>
                <w:szCs w:val="18"/>
              </w:rPr>
              <w:t>3%</w:t>
            </w:r>
          </w:p>
        </w:tc>
      </w:tr>
      <w:tr w:rsidR="00990B14" w14:paraId="629FEFB5" w14:textId="77777777">
        <w:trPr>
          <w:cantSplit/>
          <w:jc w:val="center"/>
        </w:trPr>
        <w:tc>
          <w:tcPr>
            <w:tcW w:w="1900" w:type="dxa"/>
            <w:vMerge/>
            <w:shd w:val="clear" w:color="auto" w:fill="4472C4"/>
            <w:vAlign w:val="center"/>
          </w:tcPr>
          <w:p w14:paraId="4B7C92E5" w14:textId="77777777" w:rsidR="00990B14" w:rsidRDefault="00990B14">
            <w:pPr>
              <w:spacing w:before="20" w:after="20"/>
            </w:pPr>
          </w:p>
        </w:tc>
        <w:tc>
          <w:tcPr>
            <w:tcW w:w="1876" w:type="dxa"/>
            <w:shd w:val="clear" w:color="auto" w:fill="4472C4"/>
            <w:vAlign w:val="center"/>
          </w:tcPr>
          <w:p w14:paraId="051C4764"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28EB85E5"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6E7C6F5D"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36C9466F" w14:textId="77777777" w:rsidR="00990B14" w:rsidRDefault="00000000">
            <w:pPr>
              <w:keepNext/>
              <w:spacing w:before="20" w:after="20"/>
              <w:jc w:val="center"/>
            </w:pPr>
            <w:r>
              <w:rPr>
                <w:b/>
                <w:bCs/>
                <w:i/>
                <w:iCs/>
                <w:color w:val="FFFFFF"/>
                <w:sz w:val="18"/>
                <w:szCs w:val="18"/>
              </w:rPr>
              <w:t>Destacado (81–100)</w:t>
            </w:r>
          </w:p>
        </w:tc>
      </w:tr>
      <w:tr w:rsidR="00990B14" w14:paraId="6F8491C6" w14:textId="77777777">
        <w:trPr>
          <w:cantSplit/>
          <w:jc w:val="center"/>
        </w:trPr>
        <w:tc>
          <w:tcPr>
            <w:tcW w:w="1900" w:type="dxa"/>
            <w:vMerge/>
            <w:shd w:val="clear" w:color="auto" w:fill="4472C4"/>
            <w:vAlign w:val="center"/>
          </w:tcPr>
          <w:p w14:paraId="2CBBD55C" w14:textId="77777777" w:rsidR="00990B14" w:rsidRDefault="00990B14">
            <w:pPr>
              <w:spacing w:before="20" w:after="20"/>
            </w:pPr>
          </w:p>
        </w:tc>
        <w:tc>
          <w:tcPr>
            <w:tcW w:w="1876" w:type="dxa"/>
            <w:shd w:val="clear" w:color="auto" w:fill="D9E2F3"/>
            <w:vAlign w:val="center"/>
          </w:tcPr>
          <w:p w14:paraId="3CF505C3" w14:textId="77777777" w:rsidR="00990B14" w:rsidRDefault="00000000">
            <w:pPr>
              <w:spacing w:before="20" w:after="20"/>
              <w:jc w:val="both"/>
            </w:pPr>
            <w:r>
              <w:rPr>
                <w:sz w:val="18"/>
                <w:szCs w:val="18"/>
              </w:rPr>
              <w:t>Datos de los bienes</w:t>
            </w:r>
          </w:p>
        </w:tc>
        <w:tc>
          <w:tcPr>
            <w:tcW w:w="1876" w:type="dxa"/>
            <w:shd w:val="clear" w:color="auto" w:fill="D9E2F3"/>
            <w:vAlign w:val="center"/>
          </w:tcPr>
          <w:p w14:paraId="1EEACD6D" w14:textId="77777777" w:rsidR="00990B14" w:rsidRDefault="00000000">
            <w:pPr>
              <w:spacing w:before="20" w:after="20"/>
              <w:jc w:val="both"/>
            </w:pPr>
            <w:r>
              <w:rPr>
                <w:sz w:val="18"/>
                <w:szCs w:val="18"/>
              </w:rPr>
              <w:t>Faltan datos de costo o de vida útil.</w:t>
            </w:r>
          </w:p>
        </w:tc>
        <w:tc>
          <w:tcPr>
            <w:tcW w:w="1876" w:type="dxa"/>
            <w:shd w:val="clear" w:color="auto" w:fill="D9E2F3"/>
            <w:vAlign w:val="center"/>
          </w:tcPr>
          <w:p w14:paraId="30D7A24B" w14:textId="77777777" w:rsidR="00990B14" w:rsidRDefault="00000000">
            <w:pPr>
              <w:spacing w:before="20" w:after="20"/>
              <w:jc w:val="both"/>
            </w:pPr>
            <w:r>
              <w:rPr>
                <w:sz w:val="18"/>
                <w:szCs w:val="18"/>
              </w:rPr>
              <w:t>Registra el costo, la vida útil y el valor residual.</w:t>
            </w:r>
          </w:p>
        </w:tc>
        <w:tc>
          <w:tcPr>
            <w:tcW w:w="1877" w:type="dxa"/>
            <w:shd w:val="clear" w:color="auto" w:fill="D9E2F3"/>
            <w:vAlign w:val="center"/>
          </w:tcPr>
          <w:p w14:paraId="5B79ECF6" w14:textId="77777777" w:rsidR="00990B14" w:rsidRDefault="00000000">
            <w:pPr>
              <w:spacing w:before="20" w:after="20"/>
              <w:jc w:val="both"/>
            </w:pPr>
            <w:r>
              <w:rPr>
                <w:sz w:val="18"/>
                <w:szCs w:val="18"/>
              </w:rPr>
              <w:t>Clasifica los bienes por rubro.</w:t>
            </w:r>
          </w:p>
        </w:tc>
      </w:tr>
      <w:tr w:rsidR="00990B14" w14:paraId="56C719F5" w14:textId="77777777">
        <w:trPr>
          <w:cantSplit/>
          <w:jc w:val="center"/>
        </w:trPr>
        <w:tc>
          <w:tcPr>
            <w:tcW w:w="1900" w:type="dxa"/>
            <w:vMerge/>
            <w:shd w:val="clear" w:color="auto" w:fill="4472C4"/>
            <w:vAlign w:val="center"/>
          </w:tcPr>
          <w:p w14:paraId="4BD95529" w14:textId="77777777" w:rsidR="00990B14" w:rsidRDefault="00990B14">
            <w:pPr>
              <w:spacing w:before="20" w:after="20"/>
            </w:pPr>
          </w:p>
        </w:tc>
        <w:tc>
          <w:tcPr>
            <w:tcW w:w="1876" w:type="dxa"/>
            <w:shd w:val="clear" w:color="auto" w:fill="D9E2F3"/>
            <w:vAlign w:val="center"/>
          </w:tcPr>
          <w:p w14:paraId="6BA4E606" w14:textId="77777777" w:rsidR="00990B14" w:rsidRDefault="00000000">
            <w:pPr>
              <w:spacing w:before="20" w:after="20"/>
              <w:jc w:val="both"/>
            </w:pPr>
            <w:r>
              <w:rPr>
                <w:sz w:val="18"/>
                <w:szCs w:val="18"/>
              </w:rPr>
              <w:t>Cálculos</w:t>
            </w:r>
          </w:p>
        </w:tc>
        <w:tc>
          <w:tcPr>
            <w:tcW w:w="1876" w:type="dxa"/>
            <w:shd w:val="clear" w:color="auto" w:fill="D9E2F3"/>
            <w:vAlign w:val="center"/>
          </w:tcPr>
          <w:p w14:paraId="3019761B" w14:textId="77777777" w:rsidR="00990B14" w:rsidRDefault="00000000">
            <w:pPr>
              <w:spacing w:before="20" w:after="20"/>
              <w:jc w:val="both"/>
            </w:pPr>
            <w:r>
              <w:rPr>
                <w:sz w:val="18"/>
                <w:szCs w:val="18"/>
              </w:rPr>
              <w:t>Las fórmulas tienen errores.</w:t>
            </w:r>
          </w:p>
        </w:tc>
        <w:tc>
          <w:tcPr>
            <w:tcW w:w="1876" w:type="dxa"/>
            <w:shd w:val="clear" w:color="auto" w:fill="D9E2F3"/>
            <w:vAlign w:val="center"/>
          </w:tcPr>
          <w:p w14:paraId="5BD4C273" w14:textId="77777777" w:rsidR="00990B14" w:rsidRDefault="00000000">
            <w:pPr>
              <w:spacing w:before="20" w:after="20"/>
              <w:jc w:val="both"/>
            </w:pPr>
            <w:r>
              <w:rPr>
                <w:sz w:val="18"/>
                <w:szCs w:val="18"/>
              </w:rPr>
              <w:t>Calcula la depreciación anual y la acumulada.</w:t>
            </w:r>
          </w:p>
        </w:tc>
        <w:tc>
          <w:tcPr>
            <w:tcW w:w="1877" w:type="dxa"/>
            <w:shd w:val="clear" w:color="auto" w:fill="D9E2F3"/>
            <w:vAlign w:val="center"/>
          </w:tcPr>
          <w:p w14:paraId="0C348B0D" w14:textId="77777777" w:rsidR="00990B14" w:rsidRDefault="00000000">
            <w:pPr>
              <w:spacing w:before="20" w:after="20"/>
              <w:jc w:val="both"/>
            </w:pPr>
            <w:r>
              <w:rPr>
                <w:sz w:val="18"/>
                <w:szCs w:val="18"/>
              </w:rPr>
              <w:t>Controla que la acumulada no exceda el costo.</w:t>
            </w:r>
          </w:p>
        </w:tc>
      </w:tr>
      <w:tr w:rsidR="00990B14" w14:paraId="4CD5830F" w14:textId="77777777">
        <w:trPr>
          <w:cantSplit/>
          <w:jc w:val="center"/>
        </w:trPr>
        <w:tc>
          <w:tcPr>
            <w:tcW w:w="1900" w:type="dxa"/>
            <w:vMerge/>
            <w:shd w:val="clear" w:color="auto" w:fill="4472C4"/>
            <w:vAlign w:val="center"/>
          </w:tcPr>
          <w:p w14:paraId="2F3BBA99" w14:textId="77777777" w:rsidR="00990B14" w:rsidRDefault="00990B14">
            <w:pPr>
              <w:spacing w:before="20" w:after="20"/>
            </w:pPr>
          </w:p>
        </w:tc>
        <w:tc>
          <w:tcPr>
            <w:tcW w:w="1876" w:type="dxa"/>
            <w:shd w:val="clear" w:color="auto" w:fill="D9E2F3"/>
            <w:vAlign w:val="center"/>
          </w:tcPr>
          <w:p w14:paraId="21725D52" w14:textId="77777777" w:rsidR="00990B14" w:rsidRDefault="00000000">
            <w:pPr>
              <w:spacing w:before="20" w:after="20"/>
              <w:jc w:val="both"/>
            </w:pPr>
            <w:r>
              <w:rPr>
                <w:sz w:val="18"/>
                <w:szCs w:val="18"/>
              </w:rPr>
              <w:t>Presentación</w:t>
            </w:r>
          </w:p>
        </w:tc>
        <w:tc>
          <w:tcPr>
            <w:tcW w:w="1876" w:type="dxa"/>
            <w:shd w:val="clear" w:color="auto" w:fill="D9E2F3"/>
            <w:vAlign w:val="center"/>
          </w:tcPr>
          <w:p w14:paraId="3B72CF2F" w14:textId="77777777" w:rsidR="00990B14" w:rsidRDefault="00000000">
            <w:pPr>
              <w:spacing w:before="20" w:after="20"/>
              <w:jc w:val="both"/>
            </w:pPr>
            <w:r>
              <w:rPr>
                <w:sz w:val="18"/>
                <w:szCs w:val="18"/>
              </w:rPr>
              <w:t>La planilla es desordenada.</w:t>
            </w:r>
          </w:p>
        </w:tc>
        <w:tc>
          <w:tcPr>
            <w:tcW w:w="1876" w:type="dxa"/>
            <w:shd w:val="clear" w:color="auto" w:fill="D9E2F3"/>
            <w:vAlign w:val="center"/>
          </w:tcPr>
          <w:p w14:paraId="3E8300FC" w14:textId="77777777" w:rsidR="00990B14" w:rsidRDefault="00000000">
            <w:pPr>
              <w:spacing w:before="20" w:after="20"/>
              <w:jc w:val="both"/>
            </w:pPr>
            <w:r>
              <w:rPr>
                <w:sz w:val="18"/>
                <w:szCs w:val="18"/>
              </w:rPr>
              <w:t>La planilla es clara y completa.</w:t>
            </w:r>
          </w:p>
        </w:tc>
        <w:tc>
          <w:tcPr>
            <w:tcW w:w="1877" w:type="dxa"/>
            <w:shd w:val="clear" w:color="auto" w:fill="D9E2F3"/>
            <w:vAlign w:val="center"/>
          </w:tcPr>
          <w:p w14:paraId="42C9A541" w14:textId="77777777" w:rsidR="00990B14" w:rsidRDefault="00000000">
            <w:pPr>
              <w:spacing w:before="20" w:after="20"/>
              <w:jc w:val="both"/>
            </w:pPr>
            <w:r>
              <w:rPr>
                <w:sz w:val="18"/>
                <w:szCs w:val="18"/>
              </w:rPr>
              <w:t>Incluye totales por rubro.</w:t>
            </w:r>
          </w:p>
        </w:tc>
      </w:tr>
      <w:tr w:rsidR="00990B14" w14:paraId="0FD2CED6" w14:textId="77777777">
        <w:trPr>
          <w:cantSplit/>
          <w:jc w:val="center"/>
        </w:trPr>
        <w:tc>
          <w:tcPr>
            <w:tcW w:w="1900" w:type="dxa"/>
            <w:vMerge/>
            <w:shd w:val="clear" w:color="auto" w:fill="4472C4"/>
            <w:vAlign w:val="center"/>
          </w:tcPr>
          <w:p w14:paraId="3611A520" w14:textId="77777777" w:rsidR="00990B14" w:rsidRDefault="00990B14">
            <w:pPr>
              <w:spacing w:before="20" w:after="20"/>
            </w:pPr>
          </w:p>
        </w:tc>
        <w:tc>
          <w:tcPr>
            <w:tcW w:w="5628" w:type="dxa"/>
            <w:gridSpan w:val="3"/>
            <w:shd w:val="clear" w:color="auto" w:fill="D9E2F3"/>
            <w:vAlign w:val="center"/>
          </w:tcPr>
          <w:p w14:paraId="5DF88BD3" w14:textId="77777777" w:rsidR="00990B14" w:rsidRDefault="00000000">
            <w:pPr>
              <w:keepNext/>
              <w:spacing w:before="20" w:after="20"/>
              <w:jc w:val="both"/>
            </w:pPr>
            <w:r>
              <w:rPr>
                <w:b/>
                <w:bCs/>
                <w:i/>
                <w:iCs/>
                <w:sz w:val="18"/>
                <w:szCs w:val="18"/>
              </w:rPr>
              <w:t xml:space="preserve">Producto 15: </w:t>
            </w:r>
            <w:r>
              <w:rPr>
                <w:sz w:val="18"/>
                <w:szCs w:val="18"/>
              </w:rPr>
              <w:t>Cuadro de agotamiento</w:t>
            </w:r>
          </w:p>
        </w:tc>
        <w:tc>
          <w:tcPr>
            <w:tcW w:w="1877" w:type="dxa"/>
            <w:shd w:val="clear" w:color="auto" w:fill="D9E2F3"/>
            <w:vAlign w:val="center"/>
          </w:tcPr>
          <w:p w14:paraId="2318F745" w14:textId="77777777" w:rsidR="00990B14" w:rsidRDefault="00000000">
            <w:pPr>
              <w:spacing w:before="20" w:after="20"/>
              <w:jc w:val="center"/>
            </w:pPr>
            <w:r>
              <w:rPr>
                <w:b/>
                <w:bCs/>
                <w:sz w:val="18"/>
                <w:szCs w:val="18"/>
              </w:rPr>
              <w:t>2%</w:t>
            </w:r>
          </w:p>
        </w:tc>
      </w:tr>
      <w:tr w:rsidR="00990B14" w14:paraId="7B2D55F8" w14:textId="77777777">
        <w:trPr>
          <w:cantSplit/>
          <w:jc w:val="center"/>
        </w:trPr>
        <w:tc>
          <w:tcPr>
            <w:tcW w:w="1900" w:type="dxa"/>
            <w:vMerge/>
            <w:shd w:val="clear" w:color="auto" w:fill="4472C4"/>
            <w:vAlign w:val="center"/>
          </w:tcPr>
          <w:p w14:paraId="2555A722" w14:textId="77777777" w:rsidR="00990B14" w:rsidRDefault="00990B14">
            <w:pPr>
              <w:spacing w:before="20" w:after="20"/>
            </w:pPr>
          </w:p>
        </w:tc>
        <w:tc>
          <w:tcPr>
            <w:tcW w:w="1876" w:type="dxa"/>
            <w:shd w:val="clear" w:color="auto" w:fill="4472C4"/>
            <w:vAlign w:val="center"/>
          </w:tcPr>
          <w:p w14:paraId="61F99073"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3E278875"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0DAAD3F0"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6D915316" w14:textId="77777777" w:rsidR="00990B14" w:rsidRDefault="00000000">
            <w:pPr>
              <w:keepNext/>
              <w:spacing w:before="20" w:after="20"/>
              <w:jc w:val="center"/>
            </w:pPr>
            <w:r>
              <w:rPr>
                <w:b/>
                <w:bCs/>
                <w:i/>
                <w:iCs/>
                <w:color w:val="FFFFFF"/>
                <w:sz w:val="18"/>
                <w:szCs w:val="18"/>
              </w:rPr>
              <w:t>Destacado (81–100)</w:t>
            </w:r>
          </w:p>
        </w:tc>
      </w:tr>
      <w:tr w:rsidR="00990B14" w14:paraId="1F43260A" w14:textId="77777777">
        <w:trPr>
          <w:cantSplit/>
          <w:jc w:val="center"/>
        </w:trPr>
        <w:tc>
          <w:tcPr>
            <w:tcW w:w="1900" w:type="dxa"/>
            <w:vMerge/>
            <w:shd w:val="clear" w:color="auto" w:fill="4472C4"/>
            <w:vAlign w:val="center"/>
          </w:tcPr>
          <w:p w14:paraId="1548095A" w14:textId="77777777" w:rsidR="00990B14" w:rsidRDefault="00990B14">
            <w:pPr>
              <w:spacing w:before="20" w:after="20"/>
            </w:pPr>
          </w:p>
        </w:tc>
        <w:tc>
          <w:tcPr>
            <w:tcW w:w="1876" w:type="dxa"/>
            <w:shd w:val="clear" w:color="auto" w:fill="D9E2F3"/>
            <w:vAlign w:val="center"/>
          </w:tcPr>
          <w:p w14:paraId="079B77B9" w14:textId="77777777" w:rsidR="00990B14" w:rsidRDefault="00000000">
            <w:pPr>
              <w:spacing w:before="20" w:after="20"/>
              <w:jc w:val="both"/>
            </w:pPr>
            <w:r>
              <w:rPr>
                <w:sz w:val="18"/>
                <w:szCs w:val="18"/>
              </w:rPr>
              <w:t>Tasa de agotamiento</w:t>
            </w:r>
          </w:p>
        </w:tc>
        <w:tc>
          <w:tcPr>
            <w:tcW w:w="1876" w:type="dxa"/>
            <w:shd w:val="clear" w:color="auto" w:fill="D9E2F3"/>
            <w:vAlign w:val="center"/>
          </w:tcPr>
          <w:p w14:paraId="724CA642" w14:textId="77777777" w:rsidR="00990B14" w:rsidRDefault="00000000">
            <w:pPr>
              <w:spacing w:before="20" w:after="20"/>
              <w:jc w:val="both"/>
            </w:pPr>
            <w:r>
              <w:rPr>
                <w:sz w:val="18"/>
                <w:szCs w:val="18"/>
              </w:rPr>
              <w:t>Calcula mal el costo por unidad.</w:t>
            </w:r>
          </w:p>
        </w:tc>
        <w:tc>
          <w:tcPr>
            <w:tcW w:w="1876" w:type="dxa"/>
            <w:shd w:val="clear" w:color="auto" w:fill="D9E2F3"/>
            <w:vAlign w:val="center"/>
          </w:tcPr>
          <w:p w14:paraId="019318B5" w14:textId="77777777" w:rsidR="00990B14" w:rsidRDefault="00000000">
            <w:pPr>
              <w:spacing w:before="20" w:after="20"/>
              <w:jc w:val="both"/>
            </w:pPr>
            <w:r>
              <w:rPr>
                <w:sz w:val="18"/>
                <w:szCs w:val="18"/>
              </w:rPr>
              <w:t>Determina el costo de agotamiento por unidad.</w:t>
            </w:r>
          </w:p>
        </w:tc>
        <w:tc>
          <w:tcPr>
            <w:tcW w:w="1877" w:type="dxa"/>
            <w:shd w:val="clear" w:color="auto" w:fill="D9E2F3"/>
            <w:vAlign w:val="center"/>
          </w:tcPr>
          <w:p w14:paraId="03278C6F" w14:textId="77777777" w:rsidR="00990B14" w:rsidRDefault="00000000">
            <w:pPr>
              <w:spacing w:before="20" w:after="20"/>
              <w:jc w:val="both"/>
            </w:pPr>
            <w:r>
              <w:rPr>
                <w:sz w:val="18"/>
                <w:szCs w:val="18"/>
              </w:rPr>
              <w:t>Ajusta la tasa ante una nueva estimación de reservas.</w:t>
            </w:r>
          </w:p>
        </w:tc>
      </w:tr>
      <w:tr w:rsidR="00990B14" w14:paraId="4D01ED40" w14:textId="77777777">
        <w:trPr>
          <w:cantSplit/>
          <w:jc w:val="center"/>
        </w:trPr>
        <w:tc>
          <w:tcPr>
            <w:tcW w:w="1900" w:type="dxa"/>
            <w:vMerge/>
            <w:shd w:val="clear" w:color="auto" w:fill="4472C4"/>
            <w:vAlign w:val="center"/>
          </w:tcPr>
          <w:p w14:paraId="6E1716F2" w14:textId="77777777" w:rsidR="00990B14" w:rsidRDefault="00990B14">
            <w:pPr>
              <w:spacing w:before="20" w:after="20"/>
            </w:pPr>
          </w:p>
        </w:tc>
        <w:tc>
          <w:tcPr>
            <w:tcW w:w="1876" w:type="dxa"/>
            <w:shd w:val="clear" w:color="auto" w:fill="D9E2F3"/>
            <w:vAlign w:val="center"/>
          </w:tcPr>
          <w:p w14:paraId="06D83425" w14:textId="77777777" w:rsidR="00990B14" w:rsidRDefault="00000000">
            <w:pPr>
              <w:spacing w:before="20" w:after="20"/>
              <w:jc w:val="both"/>
            </w:pPr>
            <w:r>
              <w:rPr>
                <w:sz w:val="18"/>
                <w:szCs w:val="18"/>
              </w:rPr>
              <w:t>Agotamiento del periodo</w:t>
            </w:r>
          </w:p>
        </w:tc>
        <w:tc>
          <w:tcPr>
            <w:tcW w:w="1876" w:type="dxa"/>
            <w:shd w:val="clear" w:color="auto" w:fill="D9E2F3"/>
            <w:vAlign w:val="center"/>
          </w:tcPr>
          <w:p w14:paraId="2F5532CE" w14:textId="77777777" w:rsidR="00990B14" w:rsidRDefault="00000000">
            <w:pPr>
              <w:spacing w:before="20" w:after="20"/>
              <w:jc w:val="both"/>
            </w:pPr>
            <w:r>
              <w:rPr>
                <w:sz w:val="18"/>
                <w:szCs w:val="18"/>
              </w:rPr>
              <w:t>No relaciona el agotamiento con lo extraído.</w:t>
            </w:r>
          </w:p>
        </w:tc>
        <w:tc>
          <w:tcPr>
            <w:tcW w:w="1876" w:type="dxa"/>
            <w:shd w:val="clear" w:color="auto" w:fill="D9E2F3"/>
            <w:vAlign w:val="center"/>
          </w:tcPr>
          <w:p w14:paraId="728AC7A0" w14:textId="77777777" w:rsidR="00990B14" w:rsidRDefault="00000000">
            <w:pPr>
              <w:spacing w:before="20" w:after="20"/>
              <w:jc w:val="both"/>
            </w:pPr>
            <w:r>
              <w:rPr>
                <w:sz w:val="18"/>
                <w:szCs w:val="18"/>
              </w:rPr>
              <w:t>Calcula el agotamiento de cada periodo.</w:t>
            </w:r>
          </w:p>
        </w:tc>
        <w:tc>
          <w:tcPr>
            <w:tcW w:w="1877" w:type="dxa"/>
            <w:shd w:val="clear" w:color="auto" w:fill="D9E2F3"/>
            <w:vAlign w:val="center"/>
          </w:tcPr>
          <w:p w14:paraId="51192735" w14:textId="77777777" w:rsidR="00990B14" w:rsidRDefault="00000000">
            <w:pPr>
              <w:spacing w:before="20" w:after="20"/>
              <w:jc w:val="both"/>
            </w:pPr>
            <w:r>
              <w:rPr>
                <w:sz w:val="18"/>
                <w:szCs w:val="18"/>
              </w:rPr>
              <w:t>Relaciona el resultado con el uso sostenible del recurso.</w:t>
            </w:r>
          </w:p>
        </w:tc>
      </w:tr>
      <w:tr w:rsidR="00990B14" w14:paraId="646BD225" w14:textId="77777777">
        <w:trPr>
          <w:cantSplit/>
          <w:jc w:val="center"/>
        </w:trPr>
        <w:tc>
          <w:tcPr>
            <w:tcW w:w="1900" w:type="dxa"/>
            <w:vMerge/>
            <w:shd w:val="clear" w:color="auto" w:fill="4472C4"/>
            <w:vAlign w:val="center"/>
          </w:tcPr>
          <w:p w14:paraId="5DF797A6" w14:textId="77777777" w:rsidR="00990B14" w:rsidRDefault="00990B14">
            <w:pPr>
              <w:spacing w:before="20" w:after="20"/>
            </w:pPr>
          </w:p>
        </w:tc>
        <w:tc>
          <w:tcPr>
            <w:tcW w:w="1876" w:type="dxa"/>
            <w:shd w:val="clear" w:color="auto" w:fill="D9E2F3"/>
            <w:vAlign w:val="center"/>
          </w:tcPr>
          <w:p w14:paraId="7E81AE9E" w14:textId="77777777" w:rsidR="00990B14" w:rsidRDefault="00000000">
            <w:pPr>
              <w:spacing w:before="20" w:after="20"/>
              <w:jc w:val="both"/>
            </w:pPr>
            <w:r>
              <w:rPr>
                <w:sz w:val="18"/>
                <w:szCs w:val="18"/>
              </w:rPr>
              <w:t>Exactitud</w:t>
            </w:r>
          </w:p>
        </w:tc>
        <w:tc>
          <w:tcPr>
            <w:tcW w:w="1876" w:type="dxa"/>
            <w:shd w:val="clear" w:color="auto" w:fill="D9E2F3"/>
            <w:vAlign w:val="center"/>
          </w:tcPr>
          <w:p w14:paraId="5014D224" w14:textId="77777777" w:rsidR="00990B14" w:rsidRDefault="00000000">
            <w:pPr>
              <w:spacing w:before="20" w:after="20"/>
              <w:jc w:val="both"/>
            </w:pPr>
            <w:r>
              <w:rPr>
                <w:sz w:val="18"/>
                <w:szCs w:val="18"/>
              </w:rPr>
              <w:t>Presenta errores de cálculo.</w:t>
            </w:r>
          </w:p>
        </w:tc>
        <w:tc>
          <w:tcPr>
            <w:tcW w:w="1876" w:type="dxa"/>
            <w:shd w:val="clear" w:color="auto" w:fill="D9E2F3"/>
            <w:vAlign w:val="center"/>
          </w:tcPr>
          <w:p w14:paraId="49CE9AE6" w14:textId="77777777" w:rsidR="00990B14" w:rsidRDefault="00000000">
            <w:pPr>
              <w:spacing w:before="20" w:after="20"/>
              <w:jc w:val="both"/>
            </w:pPr>
            <w:r>
              <w:rPr>
                <w:sz w:val="18"/>
                <w:szCs w:val="18"/>
              </w:rPr>
              <w:t>Los resultados son correctos.</w:t>
            </w:r>
          </w:p>
        </w:tc>
        <w:tc>
          <w:tcPr>
            <w:tcW w:w="1877" w:type="dxa"/>
            <w:shd w:val="clear" w:color="auto" w:fill="D9E2F3"/>
            <w:vAlign w:val="center"/>
          </w:tcPr>
          <w:p w14:paraId="16195202" w14:textId="77777777" w:rsidR="00990B14" w:rsidRDefault="00000000">
            <w:pPr>
              <w:spacing w:before="20" w:after="20"/>
              <w:jc w:val="both"/>
            </w:pPr>
            <w:r>
              <w:rPr>
                <w:sz w:val="18"/>
                <w:szCs w:val="18"/>
              </w:rPr>
              <w:t>Cuadra el agotamiento acumulado con el costo total.</w:t>
            </w:r>
          </w:p>
        </w:tc>
      </w:tr>
      <w:tr w:rsidR="00990B14" w14:paraId="79C87C43" w14:textId="77777777">
        <w:trPr>
          <w:cantSplit/>
          <w:jc w:val="center"/>
        </w:trPr>
        <w:tc>
          <w:tcPr>
            <w:tcW w:w="1900" w:type="dxa"/>
            <w:vMerge/>
            <w:shd w:val="clear" w:color="auto" w:fill="4472C4"/>
            <w:vAlign w:val="center"/>
          </w:tcPr>
          <w:p w14:paraId="1769B0DB" w14:textId="77777777" w:rsidR="00990B14" w:rsidRDefault="00990B14">
            <w:pPr>
              <w:spacing w:before="20" w:after="20"/>
            </w:pPr>
          </w:p>
        </w:tc>
        <w:tc>
          <w:tcPr>
            <w:tcW w:w="5628" w:type="dxa"/>
            <w:gridSpan w:val="3"/>
            <w:shd w:val="clear" w:color="auto" w:fill="D9E2F3"/>
            <w:vAlign w:val="center"/>
          </w:tcPr>
          <w:p w14:paraId="4CB28C1D" w14:textId="77777777" w:rsidR="00990B14" w:rsidRDefault="00000000">
            <w:pPr>
              <w:keepNext/>
              <w:spacing w:before="20" w:after="20"/>
              <w:jc w:val="both"/>
            </w:pPr>
            <w:r>
              <w:rPr>
                <w:b/>
                <w:bCs/>
                <w:i/>
                <w:iCs/>
                <w:sz w:val="18"/>
                <w:szCs w:val="18"/>
              </w:rPr>
              <w:t xml:space="preserve">Producto 16: </w:t>
            </w:r>
            <w:r>
              <w:rPr>
                <w:sz w:val="18"/>
                <w:szCs w:val="18"/>
              </w:rPr>
              <w:t>Plan del fondo de reposición</w:t>
            </w:r>
          </w:p>
        </w:tc>
        <w:tc>
          <w:tcPr>
            <w:tcW w:w="1877" w:type="dxa"/>
            <w:shd w:val="clear" w:color="auto" w:fill="D9E2F3"/>
            <w:vAlign w:val="center"/>
          </w:tcPr>
          <w:p w14:paraId="78B6041B" w14:textId="77777777" w:rsidR="00990B14" w:rsidRDefault="00000000">
            <w:pPr>
              <w:spacing w:before="20" w:after="20"/>
              <w:jc w:val="center"/>
            </w:pPr>
            <w:r>
              <w:rPr>
                <w:b/>
                <w:bCs/>
                <w:sz w:val="18"/>
                <w:szCs w:val="18"/>
              </w:rPr>
              <w:t>2%</w:t>
            </w:r>
          </w:p>
        </w:tc>
      </w:tr>
      <w:tr w:rsidR="00990B14" w14:paraId="26650364" w14:textId="77777777">
        <w:trPr>
          <w:cantSplit/>
          <w:jc w:val="center"/>
        </w:trPr>
        <w:tc>
          <w:tcPr>
            <w:tcW w:w="1900" w:type="dxa"/>
            <w:vMerge/>
            <w:shd w:val="clear" w:color="auto" w:fill="4472C4"/>
            <w:vAlign w:val="center"/>
          </w:tcPr>
          <w:p w14:paraId="1B540B4E" w14:textId="77777777" w:rsidR="00990B14" w:rsidRDefault="00990B14">
            <w:pPr>
              <w:spacing w:before="20" w:after="20"/>
            </w:pPr>
          </w:p>
        </w:tc>
        <w:tc>
          <w:tcPr>
            <w:tcW w:w="1876" w:type="dxa"/>
            <w:shd w:val="clear" w:color="auto" w:fill="4472C4"/>
            <w:vAlign w:val="center"/>
          </w:tcPr>
          <w:p w14:paraId="024277A5"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4AF4B348"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288EAFCB"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04FAD90A" w14:textId="77777777" w:rsidR="00990B14" w:rsidRDefault="00000000">
            <w:pPr>
              <w:keepNext/>
              <w:spacing w:before="20" w:after="20"/>
              <w:jc w:val="center"/>
            </w:pPr>
            <w:r>
              <w:rPr>
                <w:b/>
                <w:bCs/>
                <w:i/>
                <w:iCs/>
                <w:color w:val="FFFFFF"/>
                <w:sz w:val="18"/>
                <w:szCs w:val="18"/>
              </w:rPr>
              <w:t>Destacado (81–100)</w:t>
            </w:r>
          </w:p>
        </w:tc>
      </w:tr>
      <w:tr w:rsidR="00990B14" w14:paraId="3EB84940" w14:textId="77777777">
        <w:trPr>
          <w:cantSplit/>
          <w:jc w:val="center"/>
        </w:trPr>
        <w:tc>
          <w:tcPr>
            <w:tcW w:w="1900" w:type="dxa"/>
            <w:vMerge/>
            <w:shd w:val="clear" w:color="auto" w:fill="4472C4"/>
            <w:vAlign w:val="center"/>
          </w:tcPr>
          <w:p w14:paraId="0C3FD3FF" w14:textId="77777777" w:rsidR="00990B14" w:rsidRDefault="00990B14">
            <w:pPr>
              <w:spacing w:before="20" w:after="20"/>
            </w:pPr>
          </w:p>
        </w:tc>
        <w:tc>
          <w:tcPr>
            <w:tcW w:w="1876" w:type="dxa"/>
            <w:shd w:val="clear" w:color="auto" w:fill="D9E2F3"/>
            <w:vAlign w:val="center"/>
          </w:tcPr>
          <w:p w14:paraId="07B487C0" w14:textId="77777777" w:rsidR="00990B14" w:rsidRDefault="00000000">
            <w:pPr>
              <w:spacing w:before="20" w:after="20"/>
              <w:jc w:val="both"/>
            </w:pPr>
            <w:r>
              <w:rPr>
                <w:sz w:val="18"/>
                <w:szCs w:val="18"/>
              </w:rPr>
              <w:t>Monto de reposición</w:t>
            </w:r>
          </w:p>
        </w:tc>
        <w:tc>
          <w:tcPr>
            <w:tcW w:w="1876" w:type="dxa"/>
            <w:shd w:val="clear" w:color="auto" w:fill="D9E2F3"/>
            <w:vAlign w:val="center"/>
          </w:tcPr>
          <w:p w14:paraId="33C88760" w14:textId="77777777" w:rsidR="00990B14" w:rsidRDefault="00000000">
            <w:pPr>
              <w:spacing w:before="20" w:after="20"/>
              <w:jc w:val="both"/>
            </w:pPr>
            <w:r>
              <w:rPr>
                <w:sz w:val="18"/>
                <w:szCs w:val="18"/>
              </w:rPr>
              <w:t>No estima el costo futuro del activo.</w:t>
            </w:r>
          </w:p>
        </w:tc>
        <w:tc>
          <w:tcPr>
            <w:tcW w:w="1876" w:type="dxa"/>
            <w:shd w:val="clear" w:color="auto" w:fill="D9E2F3"/>
            <w:vAlign w:val="center"/>
          </w:tcPr>
          <w:p w14:paraId="2EFE3150" w14:textId="77777777" w:rsidR="00990B14" w:rsidRDefault="00000000">
            <w:pPr>
              <w:spacing w:before="20" w:after="20"/>
              <w:jc w:val="both"/>
            </w:pPr>
            <w:r>
              <w:rPr>
                <w:sz w:val="18"/>
                <w:szCs w:val="18"/>
              </w:rPr>
              <w:t>Estima el monto necesario para la reposición.</w:t>
            </w:r>
          </w:p>
        </w:tc>
        <w:tc>
          <w:tcPr>
            <w:tcW w:w="1877" w:type="dxa"/>
            <w:shd w:val="clear" w:color="auto" w:fill="D9E2F3"/>
            <w:vAlign w:val="center"/>
          </w:tcPr>
          <w:p w14:paraId="68B68FD2" w14:textId="77777777" w:rsidR="00990B14" w:rsidRDefault="00000000">
            <w:pPr>
              <w:spacing w:before="20" w:after="20"/>
              <w:jc w:val="both"/>
            </w:pPr>
            <w:r>
              <w:rPr>
                <w:sz w:val="18"/>
                <w:szCs w:val="18"/>
              </w:rPr>
              <w:t>Considera el efecto de la inflación en el costo futuro.</w:t>
            </w:r>
          </w:p>
        </w:tc>
      </w:tr>
      <w:tr w:rsidR="00990B14" w14:paraId="2B96E0F7" w14:textId="77777777">
        <w:trPr>
          <w:cantSplit/>
          <w:jc w:val="center"/>
        </w:trPr>
        <w:tc>
          <w:tcPr>
            <w:tcW w:w="1900" w:type="dxa"/>
            <w:vMerge/>
            <w:shd w:val="clear" w:color="auto" w:fill="4472C4"/>
            <w:vAlign w:val="center"/>
          </w:tcPr>
          <w:p w14:paraId="3EDEED8C" w14:textId="77777777" w:rsidR="00990B14" w:rsidRDefault="00990B14">
            <w:pPr>
              <w:spacing w:before="20" w:after="20"/>
            </w:pPr>
          </w:p>
        </w:tc>
        <w:tc>
          <w:tcPr>
            <w:tcW w:w="1876" w:type="dxa"/>
            <w:shd w:val="clear" w:color="auto" w:fill="D9E2F3"/>
            <w:vAlign w:val="center"/>
          </w:tcPr>
          <w:p w14:paraId="094BF0C6" w14:textId="77777777" w:rsidR="00990B14" w:rsidRDefault="00000000">
            <w:pPr>
              <w:spacing w:before="20" w:after="20"/>
              <w:jc w:val="both"/>
            </w:pPr>
            <w:r>
              <w:rPr>
                <w:sz w:val="18"/>
                <w:szCs w:val="18"/>
              </w:rPr>
              <w:t>Aporte periódico</w:t>
            </w:r>
          </w:p>
        </w:tc>
        <w:tc>
          <w:tcPr>
            <w:tcW w:w="1876" w:type="dxa"/>
            <w:shd w:val="clear" w:color="auto" w:fill="D9E2F3"/>
            <w:vAlign w:val="center"/>
          </w:tcPr>
          <w:p w14:paraId="41609866" w14:textId="77777777" w:rsidR="00990B14" w:rsidRDefault="00000000">
            <w:pPr>
              <w:spacing w:before="20" w:after="20"/>
              <w:jc w:val="both"/>
            </w:pPr>
            <w:r>
              <w:rPr>
                <w:sz w:val="18"/>
                <w:szCs w:val="18"/>
              </w:rPr>
              <w:t>El aporte no reúne el monto.</w:t>
            </w:r>
          </w:p>
        </w:tc>
        <w:tc>
          <w:tcPr>
            <w:tcW w:w="1876" w:type="dxa"/>
            <w:shd w:val="clear" w:color="auto" w:fill="D9E2F3"/>
            <w:vAlign w:val="center"/>
          </w:tcPr>
          <w:p w14:paraId="31C34AEF" w14:textId="77777777" w:rsidR="00990B14" w:rsidRDefault="00000000">
            <w:pPr>
              <w:spacing w:before="20" w:after="20"/>
              <w:jc w:val="both"/>
            </w:pPr>
            <w:r>
              <w:rPr>
                <w:sz w:val="18"/>
                <w:szCs w:val="18"/>
              </w:rPr>
              <w:t>Calcula el aporte periódico correcto.</w:t>
            </w:r>
          </w:p>
        </w:tc>
        <w:tc>
          <w:tcPr>
            <w:tcW w:w="1877" w:type="dxa"/>
            <w:shd w:val="clear" w:color="auto" w:fill="D9E2F3"/>
            <w:vAlign w:val="center"/>
          </w:tcPr>
          <w:p w14:paraId="2C1E9069" w14:textId="77777777" w:rsidR="00990B14" w:rsidRDefault="00000000">
            <w:pPr>
              <w:spacing w:before="20" w:after="20"/>
              <w:jc w:val="both"/>
            </w:pPr>
            <w:r>
              <w:rPr>
                <w:sz w:val="18"/>
                <w:szCs w:val="18"/>
              </w:rPr>
              <w:t>Compara el aporte con la depreciación anual.</w:t>
            </w:r>
          </w:p>
        </w:tc>
      </w:tr>
      <w:tr w:rsidR="00990B14" w14:paraId="1DE9F382" w14:textId="77777777">
        <w:trPr>
          <w:cantSplit/>
          <w:jc w:val="center"/>
        </w:trPr>
        <w:tc>
          <w:tcPr>
            <w:tcW w:w="1900" w:type="dxa"/>
            <w:vMerge/>
            <w:shd w:val="clear" w:color="auto" w:fill="4472C4"/>
            <w:vAlign w:val="center"/>
          </w:tcPr>
          <w:p w14:paraId="56412EE2" w14:textId="77777777" w:rsidR="00990B14" w:rsidRDefault="00990B14">
            <w:pPr>
              <w:spacing w:before="20" w:after="20"/>
            </w:pPr>
          </w:p>
        </w:tc>
        <w:tc>
          <w:tcPr>
            <w:tcW w:w="1876" w:type="dxa"/>
            <w:shd w:val="clear" w:color="auto" w:fill="D9E2F3"/>
            <w:vAlign w:val="center"/>
          </w:tcPr>
          <w:p w14:paraId="1DB07510" w14:textId="77777777" w:rsidR="00990B14" w:rsidRDefault="00000000">
            <w:pPr>
              <w:spacing w:before="20" w:after="20"/>
              <w:jc w:val="both"/>
            </w:pPr>
            <w:r>
              <w:rPr>
                <w:sz w:val="18"/>
                <w:szCs w:val="18"/>
              </w:rPr>
              <w:t>Trabajo en equipo</w:t>
            </w:r>
          </w:p>
        </w:tc>
        <w:tc>
          <w:tcPr>
            <w:tcW w:w="1876" w:type="dxa"/>
            <w:shd w:val="clear" w:color="auto" w:fill="D9E2F3"/>
            <w:vAlign w:val="center"/>
          </w:tcPr>
          <w:p w14:paraId="15879BF1" w14:textId="77777777" w:rsidR="00990B14" w:rsidRDefault="00000000">
            <w:pPr>
              <w:spacing w:before="20" w:after="20"/>
              <w:jc w:val="both"/>
            </w:pPr>
            <w:r>
              <w:rPr>
                <w:sz w:val="18"/>
                <w:szCs w:val="18"/>
              </w:rPr>
              <w:t>Pocos integrantes participan.</w:t>
            </w:r>
          </w:p>
        </w:tc>
        <w:tc>
          <w:tcPr>
            <w:tcW w:w="1876" w:type="dxa"/>
            <w:shd w:val="clear" w:color="auto" w:fill="D9E2F3"/>
            <w:vAlign w:val="center"/>
          </w:tcPr>
          <w:p w14:paraId="0E7617B6" w14:textId="77777777" w:rsidR="00990B14" w:rsidRDefault="00000000">
            <w:pPr>
              <w:spacing w:before="20" w:after="20"/>
              <w:jc w:val="both"/>
            </w:pPr>
            <w:r>
              <w:rPr>
                <w:sz w:val="18"/>
                <w:szCs w:val="18"/>
              </w:rPr>
              <w:t>Todos los integrantes aportan al plan.</w:t>
            </w:r>
          </w:p>
        </w:tc>
        <w:tc>
          <w:tcPr>
            <w:tcW w:w="1877" w:type="dxa"/>
            <w:shd w:val="clear" w:color="auto" w:fill="D9E2F3"/>
            <w:vAlign w:val="center"/>
          </w:tcPr>
          <w:p w14:paraId="63786C91" w14:textId="77777777" w:rsidR="00990B14" w:rsidRDefault="00000000">
            <w:pPr>
              <w:spacing w:before="20" w:after="20"/>
              <w:jc w:val="both"/>
            </w:pPr>
            <w:r>
              <w:rPr>
                <w:sz w:val="18"/>
                <w:szCs w:val="18"/>
              </w:rPr>
              <w:t>El equipo propone el momento óptimo de reposición.</w:t>
            </w:r>
          </w:p>
        </w:tc>
      </w:tr>
      <w:tr w:rsidR="00990B14" w14:paraId="690587C8" w14:textId="77777777">
        <w:trPr>
          <w:cantSplit/>
          <w:jc w:val="center"/>
        </w:trPr>
        <w:tc>
          <w:tcPr>
            <w:tcW w:w="1900" w:type="dxa"/>
            <w:vMerge/>
            <w:shd w:val="clear" w:color="auto" w:fill="4472C4"/>
            <w:vAlign w:val="center"/>
          </w:tcPr>
          <w:p w14:paraId="332F8D3B" w14:textId="77777777" w:rsidR="00990B14" w:rsidRDefault="00990B14">
            <w:pPr>
              <w:spacing w:before="20" w:after="20"/>
            </w:pPr>
          </w:p>
        </w:tc>
        <w:tc>
          <w:tcPr>
            <w:tcW w:w="5628" w:type="dxa"/>
            <w:gridSpan w:val="3"/>
            <w:shd w:val="clear" w:color="auto" w:fill="D9E2F3"/>
            <w:vAlign w:val="center"/>
          </w:tcPr>
          <w:p w14:paraId="4249E374" w14:textId="77777777" w:rsidR="00990B14" w:rsidRDefault="00000000">
            <w:pPr>
              <w:keepNext/>
              <w:spacing w:before="20" w:after="20"/>
              <w:jc w:val="both"/>
            </w:pPr>
            <w:r>
              <w:rPr>
                <w:b/>
                <w:bCs/>
                <w:i/>
                <w:iCs/>
                <w:sz w:val="18"/>
                <w:szCs w:val="18"/>
              </w:rPr>
              <w:t xml:space="preserve">Producto 17: </w:t>
            </w:r>
            <w:r>
              <w:rPr>
                <w:sz w:val="18"/>
                <w:szCs w:val="18"/>
              </w:rPr>
              <w:t>Cálculo del precio de un bono</w:t>
            </w:r>
          </w:p>
        </w:tc>
        <w:tc>
          <w:tcPr>
            <w:tcW w:w="1877" w:type="dxa"/>
            <w:shd w:val="clear" w:color="auto" w:fill="D9E2F3"/>
            <w:vAlign w:val="center"/>
          </w:tcPr>
          <w:p w14:paraId="27A7BCDF" w14:textId="77777777" w:rsidR="00990B14" w:rsidRDefault="00000000">
            <w:pPr>
              <w:spacing w:before="20" w:after="20"/>
              <w:jc w:val="center"/>
            </w:pPr>
            <w:r>
              <w:rPr>
                <w:b/>
                <w:bCs/>
                <w:sz w:val="18"/>
                <w:szCs w:val="18"/>
              </w:rPr>
              <w:t>8%</w:t>
            </w:r>
          </w:p>
        </w:tc>
      </w:tr>
      <w:tr w:rsidR="00990B14" w14:paraId="3F827AEC" w14:textId="77777777">
        <w:trPr>
          <w:cantSplit/>
          <w:jc w:val="center"/>
        </w:trPr>
        <w:tc>
          <w:tcPr>
            <w:tcW w:w="1900" w:type="dxa"/>
            <w:vMerge/>
            <w:shd w:val="clear" w:color="auto" w:fill="4472C4"/>
            <w:vAlign w:val="center"/>
          </w:tcPr>
          <w:p w14:paraId="1436FC85" w14:textId="77777777" w:rsidR="00990B14" w:rsidRDefault="00990B14">
            <w:pPr>
              <w:spacing w:before="20" w:after="20"/>
            </w:pPr>
          </w:p>
        </w:tc>
        <w:tc>
          <w:tcPr>
            <w:tcW w:w="1876" w:type="dxa"/>
            <w:shd w:val="clear" w:color="auto" w:fill="4472C4"/>
            <w:vAlign w:val="center"/>
          </w:tcPr>
          <w:p w14:paraId="1C822D45"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490F7753"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71617B06"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43B98725" w14:textId="77777777" w:rsidR="00990B14" w:rsidRDefault="00000000">
            <w:pPr>
              <w:keepNext/>
              <w:spacing w:before="20" w:after="20"/>
              <w:jc w:val="center"/>
            </w:pPr>
            <w:r>
              <w:rPr>
                <w:b/>
                <w:bCs/>
                <w:i/>
                <w:iCs/>
                <w:color w:val="FFFFFF"/>
                <w:sz w:val="18"/>
                <w:szCs w:val="18"/>
              </w:rPr>
              <w:t>Destacado (81–100)</w:t>
            </w:r>
          </w:p>
        </w:tc>
      </w:tr>
      <w:tr w:rsidR="00990B14" w14:paraId="55B51535" w14:textId="77777777">
        <w:trPr>
          <w:cantSplit/>
          <w:jc w:val="center"/>
        </w:trPr>
        <w:tc>
          <w:tcPr>
            <w:tcW w:w="1900" w:type="dxa"/>
            <w:vMerge/>
            <w:shd w:val="clear" w:color="auto" w:fill="4472C4"/>
            <w:vAlign w:val="center"/>
          </w:tcPr>
          <w:p w14:paraId="0BB27978" w14:textId="77777777" w:rsidR="00990B14" w:rsidRDefault="00990B14">
            <w:pPr>
              <w:spacing w:before="20" w:after="20"/>
            </w:pPr>
          </w:p>
        </w:tc>
        <w:tc>
          <w:tcPr>
            <w:tcW w:w="1876" w:type="dxa"/>
            <w:shd w:val="clear" w:color="auto" w:fill="D9E2F3"/>
            <w:vAlign w:val="center"/>
          </w:tcPr>
          <w:p w14:paraId="58EA99E1" w14:textId="77777777" w:rsidR="00990B14" w:rsidRDefault="00000000">
            <w:pPr>
              <w:spacing w:before="20" w:after="20"/>
              <w:jc w:val="both"/>
            </w:pPr>
            <w:r>
              <w:rPr>
                <w:sz w:val="18"/>
                <w:szCs w:val="18"/>
              </w:rPr>
              <w:t>Flujos del bono</w:t>
            </w:r>
          </w:p>
        </w:tc>
        <w:tc>
          <w:tcPr>
            <w:tcW w:w="1876" w:type="dxa"/>
            <w:shd w:val="clear" w:color="auto" w:fill="D9E2F3"/>
            <w:vAlign w:val="center"/>
          </w:tcPr>
          <w:p w14:paraId="3B1E29CD" w14:textId="77777777" w:rsidR="00990B14" w:rsidRDefault="00000000">
            <w:pPr>
              <w:spacing w:before="20" w:after="20"/>
              <w:jc w:val="both"/>
            </w:pPr>
            <w:r>
              <w:rPr>
                <w:sz w:val="18"/>
                <w:szCs w:val="18"/>
              </w:rPr>
              <w:t>Omite cupones o el valor nominal.</w:t>
            </w:r>
          </w:p>
        </w:tc>
        <w:tc>
          <w:tcPr>
            <w:tcW w:w="1876" w:type="dxa"/>
            <w:shd w:val="clear" w:color="auto" w:fill="D9E2F3"/>
            <w:vAlign w:val="center"/>
          </w:tcPr>
          <w:p w14:paraId="0F3667E1" w14:textId="77777777" w:rsidR="00990B14" w:rsidRDefault="00000000">
            <w:pPr>
              <w:spacing w:before="20" w:after="20"/>
              <w:jc w:val="both"/>
            </w:pPr>
            <w:r>
              <w:rPr>
                <w:sz w:val="18"/>
                <w:szCs w:val="18"/>
              </w:rPr>
              <w:t>Identifica los cupones y el valor nominal.</w:t>
            </w:r>
          </w:p>
        </w:tc>
        <w:tc>
          <w:tcPr>
            <w:tcW w:w="1877" w:type="dxa"/>
            <w:shd w:val="clear" w:color="auto" w:fill="D9E2F3"/>
            <w:vAlign w:val="center"/>
          </w:tcPr>
          <w:p w14:paraId="353BE460" w14:textId="77777777" w:rsidR="00990B14" w:rsidRDefault="00000000">
            <w:pPr>
              <w:spacing w:before="20" w:after="20"/>
              <w:jc w:val="both"/>
            </w:pPr>
            <w:r>
              <w:rPr>
                <w:sz w:val="18"/>
                <w:szCs w:val="18"/>
              </w:rPr>
              <w:t>Explica las condiciones del prospecto de emisión.</w:t>
            </w:r>
          </w:p>
        </w:tc>
      </w:tr>
      <w:tr w:rsidR="00990B14" w14:paraId="04066363" w14:textId="77777777">
        <w:trPr>
          <w:cantSplit/>
          <w:jc w:val="center"/>
        </w:trPr>
        <w:tc>
          <w:tcPr>
            <w:tcW w:w="1900" w:type="dxa"/>
            <w:vMerge/>
            <w:shd w:val="clear" w:color="auto" w:fill="4472C4"/>
            <w:vAlign w:val="center"/>
          </w:tcPr>
          <w:p w14:paraId="1EFB8665" w14:textId="77777777" w:rsidR="00990B14" w:rsidRDefault="00990B14">
            <w:pPr>
              <w:spacing w:before="20" w:after="20"/>
            </w:pPr>
          </w:p>
        </w:tc>
        <w:tc>
          <w:tcPr>
            <w:tcW w:w="1876" w:type="dxa"/>
            <w:shd w:val="clear" w:color="auto" w:fill="D9E2F3"/>
            <w:vAlign w:val="center"/>
          </w:tcPr>
          <w:p w14:paraId="325F9900" w14:textId="77777777" w:rsidR="00990B14" w:rsidRDefault="00000000">
            <w:pPr>
              <w:spacing w:before="20" w:after="20"/>
              <w:jc w:val="both"/>
            </w:pPr>
            <w:r>
              <w:rPr>
                <w:sz w:val="18"/>
                <w:szCs w:val="18"/>
              </w:rPr>
              <w:t>Precio teórico</w:t>
            </w:r>
          </w:p>
        </w:tc>
        <w:tc>
          <w:tcPr>
            <w:tcW w:w="1876" w:type="dxa"/>
            <w:shd w:val="clear" w:color="auto" w:fill="D9E2F3"/>
            <w:vAlign w:val="center"/>
          </w:tcPr>
          <w:p w14:paraId="187D5358" w14:textId="77777777" w:rsidR="00990B14" w:rsidRDefault="00000000">
            <w:pPr>
              <w:spacing w:before="20" w:after="20"/>
              <w:jc w:val="both"/>
            </w:pPr>
            <w:r>
              <w:rPr>
                <w:sz w:val="18"/>
                <w:szCs w:val="18"/>
              </w:rPr>
              <w:t>Descuenta con una tasa equivocada.</w:t>
            </w:r>
          </w:p>
        </w:tc>
        <w:tc>
          <w:tcPr>
            <w:tcW w:w="1876" w:type="dxa"/>
            <w:shd w:val="clear" w:color="auto" w:fill="D9E2F3"/>
            <w:vAlign w:val="center"/>
          </w:tcPr>
          <w:p w14:paraId="1AF30F3E" w14:textId="77777777" w:rsidR="00990B14" w:rsidRDefault="00000000">
            <w:pPr>
              <w:spacing w:before="20" w:after="20"/>
              <w:jc w:val="both"/>
            </w:pPr>
            <w:r>
              <w:rPr>
                <w:sz w:val="18"/>
                <w:szCs w:val="18"/>
              </w:rPr>
              <w:t>Determina si el bono se cotiza bajo, a o sobre la par.</w:t>
            </w:r>
          </w:p>
        </w:tc>
        <w:tc>
          <w:tcPr>
            <w:tcW w:w="1877" w:type="dxa"/>
            <w:shd w:val="clear" w:color="auto" w:fill="D9E2F3"/>
            <w:vAlign w:val="center"/>
          </w:tcPr>
          <w:p w14:paraId="799C80CE" w14:textId="77777777" w:rsidR="00990B14" w:rsidRDefault="00000000">
            <w:pPr>
              <w:spacing w:before="20" w:after="20"/>
              <w:jc w:val="both"/>
            </w:pPr>
            <w:r>
              <w:rPr>
                <w:sz w:val="18"/>
                <w:szCs w:val="18"/>
              </w:rPr>
              <w:t>Mide el efecto de un cambio de tasa en el precio.</w:t>
            </w:r>
          </w:p>
        </w:tc>
      </w:tr>
      <w:tr w:rsidR="00990B14" w14:paraId="40F63C16" w14:textId="77777777">
        <w:trPr>
          <w:cantSplit/>
          <w:jc w:val="center"/>
        </w:trPr>
        <w:tc>
          <w:tcPr>
            <w:tcW w:w="1900" w:type="dxa"/>
            <w:vMerge/>
            <w:shd w:val="clear" w:color="auto" w:fill="4472C4"/>
            <w:vAlign w:val="center"/>
          </w:tcPr>
          <w:p w14:paraId="041F8CE2" w14:textId="77777777" w:rsidR="00990B14" w:rsidRDefault="00990B14">
            <w:pPr>
              <w:spacing w:before="20" w:after="20"/>
            </w:pPr>
          </w:p>
        </w:tc>
        <w:tc>
          <w:tcPr>
            <w:tcW w:w="1876" w:type="dxa"/>
            <w:shd w:val="clear" w:color="auto" w:fill="D9E2F3"/>
            <w:vAlign w:val="center"/>
          </w:tcPr>
          <w:p w14:paraId="496C6B41" w14:textId="77777777" w:rsidR="00990B14" w:rsidRDefault="00000000">
            <w:pPr>
              <w:spacing w:before="20" w:after="20"/>
              <w:jc w:val="both"/>
            </w:pPr>
            <w:r>
              <w:rPr>
                <w:sz w:val="18"/>
                <w:szCs w:val="18"/>
              </w:rPr>
              <w:t>Rendimiento</w:t>
            </w:r>
          </w:p>
        </w:tc>
        <w:tc>
          <w:tcPr>
            <w:tcW w:w="1876" w:type="dxa"/>
            <w:shd w:val="clear" w:color="auto" w:fill="D9E2F3"/>
            <w:vAlign w:val="center"/>
          </w:tcPr>
          <w:p w14:paraId="5F5B7C72" w14:textId="77777777" w:rsidR="00990B14" w:rsidRDefault="00000000">
            <w:pPr>
              <w:spacing w:before="20" w:after="20"/>
              <w:jc w:val="both"/>
            </w:pPr>
            <w:r>
              <w:rPr>
                <w:sz w:val="18"/>
                <w:szCs w:val="18"/>
              </w:rPr>
              <w:t>No calcula el rendimiento.</w:t>
            </w:r>
          </w:p>
        </w:tc>
        <w:tc>
          <w:tcPr>
            <w:tcW w:w="1876" w:type="dxa"/>
            <w:shd w:val="clear" w:color="auto" w:fill="D9E2F3"/>
            <w:vAlign w:val="center"/>
          </w:tcPr>
          <w:p w14:paraId="53C20777" w14:textId="77777777" w:rsidR="00990B14" w:rsidRDefault="00000000">
            <w:pPr>
              <w:spacing w:before="20" w:after="20"/>
              <w:jc w:val="both"/>
            </w:pPr>
            <w:r>
              <w:rPr>
                <w:sz w:val="18"/>
                <w:szCs w:val="18"/>
              </w:rPr>
              <w:t>Calcula la tasa de rendimiento del bono.</w:t>
            </w:r>
          </w:p>
        </w:tc>
        <w:tc>
          <w:tcPr>
            <w:tcW w:w="1877" w:type="dxa"/>
            <w:shd w:val="clear" w:color="auto" w:fill="D9E2F3"/>
            <w:vAlign w:val="center"/>
          </w:tcPr>
          <w:p w14:paraId="55A54934" w14:textId="77777777" w:rsidR="00990B14" w:rsidRDefault="00000000">
            <w:pPr>
              <w:spacing w:before="20" w:after="20"/>
              <w:jc w:val="both"/>
            </w:pPr>
            <w:r>
              <w:rPr>
                <w:sz w:val="18"/>
                <w:szCs w:val="18"/>
              </w:rPr>
              <w:t>Compara el rendimiento con otras alternativas.</w:t>
            </w:r>
          </w:p>
        </w:tc>
      </w:tr>
      <w:tr w:rsidR="00990B14" w14:paraId="28E4BAC5" w14:textId="77777777">
        <w:trPr>
          <w:cantSplit/>
          <w:jc w:val="center"/>
        </w:trPr>
        <w:tc>
          <w:tcPr>
            <w:tcW w:w="1900" w:type="dxa"/>
            <w:vMerge/>
            <w:shd w:val="clear" w:color="auto" w:fill="4472C4"/>
            <w:vAlign w:val="center"/>
          </w:tcPr>
          <w:p w14:paraId="416BFCEC" w14:textId="77777777" w:rsidR="00990B14" w:rsidRDefault="00990B14">
            <w:pPr>
              <w:spacing w:before="20" w:after="20"/>
            </w:pPr>
          </w:p>
        </w:tc>
        <w:tc>
          <w:tcPr>
            <w:tcW w:w="5628" w:type="dxa"/>
            <w:gridSpan w:val="3"/>
            <w:shd w:val="clear" w:color="auto" w:fill="D9E2F3"/>
            <w:vAlign w:val="center"/>
          </w:tcPr>
          <w:p w14:paraId="66D2B6E9" w14:textId="77777777" w:rsidR="00990B14" w:rsidRDefault="00000000">
            <w:pPr>
              <w:keepNext/>
              <w:spacing w:before="20" w:after="20"/>
              <w:jc w:val="both"/>
            </w:pPr>
            <w:r>
              <w:rPr>
                <w:b/>
                <w:bCs/>
                <w:i/>
                <w:iCs/>
                <w:sz w:val="18"/>
                <w:szCs w:val="18"/>
              </w:rPr>
              <w:t xml:space="preserve">Producto 18: </w:t>
            </w:r>
            <w:r>
              <w:rPr>
                <w:sz w:val="18"/>
                <w:szCs w:val="18"/>
              </w:rPr>
              <w:t>Informe de evaluación de un proyecto</w:t>
            </w:r>
          </w:p>
        </w:tc>
        <w:tc>
          <w:tcPr>
            <w:tcW w:w="1877" w:type="dxa"/>
            <w:shd w:val="clear" w:color="auto" w:fill="D9E2F3"/>
            <w:vAlign w:val="center"/>
          </w:tcPr>
          <w:p w14:paraId="3CBFE5EE" w14:textId="77777777" w:rsidR="00990B14" w:rsidRDefault="00000000">
            <w:pPr>
              <w:spacing w:before="20" w:after="20"/>
              <w:jc w:val="center"/>
            </w:pPr>
            <w:r>
              <w:rPr>
                <w:b/>
                <w:bCs/>
                <w:sz w:val="18"/>
                <w:szCs w:val="18"/>
              </w:rPr>
              <w:t>8%</w:t>
            </w:r>
          </w:p>
        </w:tc>
      </w:tr>
      <w:tr w:rsidR="00990B14" w14:paraId="26D5907D" w14:textId="77777777">
        <w:trPr>
          <w:cantSplit/>
          <w:jc w:val="center"/>
        </w:trPr>
        <w:tc>
          <w:tcPr>
            <w:tcW w:w="1900" w:type="dxa"/>
            <w:vMerge/>
            <w:shd w:val="clear" w:color="auto" w:fill="4472C4"/>
            <w:vAlign w:val="center"/>
          </w:tcPr>
          <w:p w14:paraId="69DDF334" w14:textId="77777777" w:rsidR="00990B14" w:rsidRDefault="00990B14">
            <w:pPr>
              <w:spacing w:before="20" w:after="20"/>
            </w:pPr>
          </w:p>
        </w:tc>
        <w:tc>
          <w:tcPr>
            <w:tcW w:w="1876" w:type="dxa"/>
            <w:shd w:val="clear" w:color="auto" w:fill="4472C4"/>
            <w:vAlign w:val="center"/>
          </w:tcPr>
          <w:p w14:paraId="02C7F15A"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4B82CCE8"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73FBB77F"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1ABB8477" w14:textId="77777777" w:rsidR="00990B14" w:rsidRDefault="00000000">
            <w:pPr>
              <w:keepNext/>
              <w:spacing w:before="20" w:after="20"/>
              <w:jc w:val="center"/>
            </w:pPr>
            <w:r>
              <w:rPr>
                <w:b/>
                <w:bCs/>
                <w:i/>
                <w:iCs/>
                <w:color w:val="FFFFFF"/>
                <w:sz w:val="18"/>
                <w:szCs w:val="18"/>
              </w:rPr>
              <w:t>Destacado (81–100)</w:t>
            </w:r>
          </w:p>
        </w:tc>
      </w:tr>
      <w:tr w:rsidR="00990B14" w14:paraId="5F6E6ED9" w14:textId="77777777">
        <w:trPr>
          <w:cantSplit/>
          <w:jc w:val="center"/>
        </w:trPr>
        <w:tc>
          <w:tcPr>
            <w:tcW w:w="1900" w:type="dxa"/>
            <w:vMerge/>
            <w:shd w:val="clear" w:color="auto" w:fill="4472C4"/>
            <w:vAlign w:val="center"/>
          </w:tcPr>
          <w:p w14:paraId="6A14DB48" w14:textId="77777777" w:rsidR="00990B14" w:rsidRDefault="00990B14">
            <w:pPr>
              <w:spacing w:before="20" w:after="20"/>
            </w:pPr>
          </w:p>
        </w:tc>
        <w:tc>
          <w:tcPr>
            <w:tcW w:w="1876" w:type="dxa"/>
            <w:shd w:val="clear" w:color="auto" w:fill="D9E2F3"/>
            <w:vAlign w:val="center"/>
          </w:tcPr>
          <w:p w14:paraId="3D2D4B1F" w14:textId="77777777" w:rsidR="00990B14" w:rsidRDefault="00000000">
            <w:pPr>
              <w:spacing w:before="20" w:after="20"/>
              <w:jc w:val="both"/>
            </w:pPr>
            <w:r>
              <w:rPr>
                <w:sz w:val="18"/>
                <w:szCs w:val="18"/>
              </w:rPr>
              <w:t>Flujo de caja</w:t>
            </w:r>
          </w:p>
        </w:tc>
        <w:tc>
          <w:tcPr>
            <w:tcW w:w="1876" w:type="dxa"/>
            <w:shd w:val="clear" w:color="auto" w:fill="D9E2F3"/>
            <w:vAlign w:val="center"/>
          </w:tcPr>
          <w:p w14:paraId="0DA7C8AB" w14:textId="77777777" w:rsidR="00990B14" w:rsidRDefault="00000000">
            <w:pPr>
              <w:spacing w:before="20" w:after="20"/>
              <w:jc w:val="both"/>
            </w:pPr>
            <w:r>
              <w:rPr>
                <w:sz w:val="18"/>
                <w:szCs w:val="18"/>
              </w:rPr>
              <w:t>El flujo omite inversiones o ingresos.</w:t>
            </w:r>
          </w:p>
        </w:tc>
        <w:tc>
          <w:tcPr>
            <w:tcW w:w="1876" w:type="dxa"/>
            <w:shd w:val="clear" w:color="auto" w:fill="D9E2F3"/>
            <w:vAlign w:val="center"/>
          </w:tcPr>
          <w:p w14:paraId="78CA0AE1" w14:textId="77777777" w:rsidR="00990B14" w:rsidRDefault="00000000">
            <w:pPr>
              <w:spacing w:before="20" w:after="20"/>
              <w:jc w:val="both"/>
            </w:pPr>
            <w:r>
              <w:rPr>
                <w:sz w:val="18"/>
                <w:szCs w:val="18"/>
              </w:rPr>
              <w:t>Presenta el flujo de caja completo.</w:t>
            </w:r>
          </w:p>
        </w:tc>
        <w:tc>
          <w:tcPr>
            <w:tcW w:w="1877" w:type="dxa"/>
            <w:shd w:val="clear" w:color="auto" w:fill="D9E2F3"/>
            <w:vAlign w:val="center"/>
          </w:tcPr>
          <w:p w14:paraId="7A1053DE" w14:textId="77777777" w:rsidR="00990B14" w:rsidRDefault="00000000">
            <w:pPr>
              <w:spacing w:before="20" w:after="20"/>
              <w:jc w:val="both"/>
            </w:pPr>
            <w:r>
              <w:rPr>
                <w:sz w:val="18"/>
                <w:szCs w:val="18"/>
              </w:rPr>
              <w:t>Explica los supuestos del flujo.</w:t>
            </w:r>
          </w:p>
        </w:tc>
      </w:tr>
      <w:tr w:rsidR="00990B14" w14:paraId="7922F99E" w14:textId="77777777">
        <w:trPr>
          <w:cantSplit/>
          <w:jc w:val="center"/>
        </w:trPr>
        <w:tc>
          <w:tcPr>
            <w:tcW w:w="1900" w:type="dxa"/>
            <w:vMerge/>
            <w:shd w:val="clear" w:color="auto" w:fill="4472C4"/>
            <w:vAlign w:val="center"/>
          </w:tcPr>
          <w:p w14:paraId="2A9F56C5" w14:textId="77777777" w:rsidR="00990B14" w:rsidRDefault="00990B14">
            <w:pPr>
              <w:spacing w:before="20" w:after="20"/>
            </w:pPr>
          </w:p>
        </w:tc>
        <w:tc>
          <w:tcPr>
            <w:tcW w:w="1876" w:type="dxa"/>
            <w:shd w:val="clear" w:color="auto" w:fill="D9E2F3"/>
            <w:vAlign w:val="center"/>
          </w:tcPr>
          <w:p w14:paraId="3DD09889" w14:textId="77777777" w:rsidR="00990B14" w:rsidRDefault="00000000">
            <w:pPr>
              <w:spacing w:before="20" w:after="20"/>
              <w:jc w:val="both"/>
            </w:pPr>
            <w:r>
              <w:rPr>
                <w:sz w:val="18"/>
                <w:szCs w:val="18"/>
              </w:rPr>
              <w:t>Indicadores</w:t>
            </w:r>
          </w:p>
        </w:tc>
        <w:tc>
          <w:tcPr>
            <w:tcW w:w="1876" w:type="dxa"/>
            <w:shd w:val="clear" w:color="auto" w:fill="D9E2F3"/>
            <w:vAlign w:val="center"/>
          </w:tcPr>
          <w:p w14:paraId="067898DD" w14:textId="77777777" w:rsidR="00990B14" w:rsidRDefault="00000000">
            <w:pPr>
              <w:spacing w:before="20" w:after="20"/>
              <w:jc w:val="both"/>
            </w:pPr>
            <w:r>
              <w:rPr>
                <w:sz w:val="18"/>
                <w:szCs w:val="18"/>
              </w:rPr>
              <w:t>Calcula mal algún indicador.</w:t>
            </w:r>
          </w:p>
        </w:tc>
        <w:tc>
          <w:tcPr>
            <w:tcW w:w="1876" w:type="dxa"/>
            <w:shd w:val="clear" w:color="auto" w:fill="D9E2F3"/>
            <w:vAlign w:val="center"/>
          </w:tcPr>
          <w:p w14:paraId="5B8D08A3" w14:textId="77777777" w:rsidR="00990B14" w:rsidRDefault="00000000">
            <w:pPr>
              <w:spacing w:before="20" w:after="20"/>
              <w:jc w:val="both"/>
            </w:pPr>
            <w:r>
              <w:rPr>
                <w:sz w:val="18"/>
                <w:szCs w:val="18"/>
              </w:rPr>
              <w:t>Calcula el VAN, la TIR, el periodo de recuperación y el CAUE.</w:t>
            </w:r>
          </w:p>
        </w:tc>
        <w:tc>
          <w:tcPr>
            <w:tcW w:w="1877" w:type="dxa"/>
            <w:shd w:val="clear" w:color="auto" w:fill="D9E2F3"/>
            <w:vAlign w:val="center"/>
          </w:tcPr>
          <w:p w14:paraId="4C913173" w14:textId="77777777" w:rsidR="00990B14" w:rsidRDefault="00000000">
            <w:pPr>
              <w:spacing w:before="20" w:after="20"/>
              <w:jc w:val="both"/>
            </w:pPr>
            <w:r>
              <w:rPr>
                <w:sz w:val="18"/>
                <w:szCs w:val="18"/>
              </w:rPr>
              <w:t>Analiza la sensibilidad del VAN ante la tasa y los flujos.</w:t>
            </w:r>
          </w:p>
        </w:tc>
      </w:tr>
      <w:tr w:rsidR="00990B14" w14:paraId="1CF4D077" w14:textId="77777777">
        <w:trPr>
          <w:cantSplit/>
          <w:jc w:val="center"/>
        </w:trPr>
        <w:tc>
          <w:tcPr>
            <w:tcW w:w="1900" w:type="dxa"/>
            <w:vMerge/>
            <w:shd w:val="clear" w:color="auto" w:fill="4472C4"/>
            <w:vAlign w:val="center"/>
          </w:tcPr>
          <w:p w14:paraId="4DCF115E" w14:textId="77777777" w:rsidR="00990B14" w:rsidRDefault="00990B14">
            <w:pPr>
              <w:spacing w:before="20" w:after="20"/>
            </w:pPr>
          </w:p>
        </w:tc>
        <w:tc>
          <w:tcPr>
            <w:tcW w:w="1876" w:type="dxa"/>
            <w:shd w:val="clear" w:color="auto" w:fill="D9E2F3"/>
            <w:vAlign w:val="center"/>
          </w:tcPr>
          <w:p w14:paraId="1BDA1D71" w14:textId="77777777" w:rsidR="00990B14" w:rsidRDefault="00000000">
            <w:pPr>
              <w:spacing w:before="20" w:after="20"/>
              <w:jc w:val="both"/>
            </w:pPr>
            <w:r>
              <w:rPr>
                <w:sz w:val="18"/>
                <w:szCs w:val="18"/>
              </w:rPr>
              <w:t>Decisión</w:t>
            </w:r>
          </w:p>
        </w:tc>
        <w:tc>
          <w:tcPr>
            <w:tcW w:w="1876" w:type="dxa"/>
            <w:shd w:val="clear" w:color="auto" w:fill="D9E2F3"/>
            <w:vAlign w:val="center"/>
          </w:tcPr>
          <w:p w14:paraId="19A826CF" w14:textId="77777777" w:rsidR="00990B14" w:rsidRDefault="00000000">
            <w:pPr>
              <w:spacing w:before="20" w:after="20"/>
              <w:jc w:val="both"/>
            </w:pPr>
            <w:r>
              <w:rPr>
                <w:sz w:val="18"/>
                <w:szCs w:val="18"/>
              </w:rPr>
              <w:t>La decisión contradice los indicadores.</w:t>
            </w:r>
          </w:p>
        </w:tc>
        <w:tc>
          <w:tcPr>
            <w:tcW w:w="1876" w:type="dxa"/>
            <w:shd w:val="clear" w:color="auto" w:fill="D9E2F3"/>
            <w:vAlign w:val="center"/>
          </w:tcPr>
          <w:p w14:paraId="62E593DC" w14:textId="77777777" w:rsidR="00990B14" w:rsidRDefault="00000000">
            <w:pPr>
              <w:spacing w:before="20" w:after="20"/>
              <w:jc w:val="both"/>
            </w:pPr>
            <w:r>
              <w:rPr>
                <w:sz w:val="18"/>
                <w:szCs w:val="18"/>
              </w:rPr>
              <w:t>Toma la decisión que sustentan los indicadores.</w:t>
            </w:r>
          </w:p>
        </w:tc>
        <w:tc>
          <w:tcPr>
            <w:tcW w:w="1877" w:type="dxa"/>
            <w:shd w:val="clear" w:color="auto" w:fill="D9E2F3"/>
            <w:vAlign w:val="center"/>
          </w:tcPr>
          <w:p w14:paraId="1C6655C3" w14:textId="77777777" w:rsidR="00990B14" w:rsidRDefault="00000000">
            <w:pPr>
              <w:spacing w:before="20" w:after="20"/>
              <w:jc w:val="both"/>
            </w:pPr>
            <w:r>
              <w:rPr>
                <w:sz w:val="18"/>
                <w:szCs w:val="18"/>
              </w:rPr>
              <w:t>Advierte los riesgos del proyecto.</w:t>
            </w:r>
          </w:p>
        </w:tc>
      </w:tr>
      <w:tr w:rsidR="00990B14" w14:paraId="43D1BA32" w14:textId="77777777">
        <w:trPr>
          <w:cantSplit/>
          <w:jc w:val="center"/>
        </w:trPr>
        <w:tc>
          <w:tcPr>
            <w:tcW w:w="1900" w:type="dxa"/>
            <w:vMerge/>
            <w:shd w:val="clear" w:color="auto" w:fill="4472C4"/>
            <w:vAlign w:val="center"/>
          </w:tcPr>
          <w:p w14:paraId="76EE28AA" w14:textId="77777777" w:rsidR="00990B14" w:rsidRDefault="00990B14">
            <w:pPr>
              <w:spacing w:before="20" w:after="20"/>
            </w:pPr>
          </w:p>
        </w:tc>
        <w:tc>
          <w:tcPr>
            <w:tcW w:w="5628" w:type="dxa"/>
            <w:gridSpan w:val="3"/>
            <w:shd w:val="clear" w:color="auto" w:fill="D9E2F3"/>
            <w:vAlign w:val="center"/>
          </w:tcPr>
          <w:p w14:paraId="299AEDE2" w14:textId="77777777" w:rsidR="00990B14" w:rsidRDefault="00000000">
            <w:pPr>
              <w:keepNext/>
              <w:spacing w:before="20" w:after="20"/>
              <w:jc w:val="both"/>
            </w:pPr>
            <w:r>
              <w:rPr>
                <w:b/>
                <w:bCs/>
                <w:i/>
                <w:iCs/>
                <w:sz w:val="18"/>
                <w:szCs w:val="18"/>
              </w:rPr>
              <w:t xml:space="preserve">Producto 19: </w:t>
            </w:r>
            <w:r>
              <w:rPr>
                <w:sz w:val="18"/>
                <w:szCs w:val="18"/>
              </w:rPr>
              <w:t>Cuadro comparativo de tasas</w:t>
            </w:r>
          </w:p>
        </w:tc>
        <w:tc>
          <w:tcPr>
            <w:tcW w:w="1877" w:type="dxa"/>
            <w:shd w:val="clear" w:color="auto" w:fill="D9E2F3"/>
            <w:vAlign w:val="center"/>
          </w:tcPr>
          <w:p w14:paraId="37A4AEC6" w14:textId="77777777" w:rsidR="00990B14" w:rsidRDefault="00000000">
            <w:pPr>
              <w:spacing w:before="20" w:after="20"/>
              <w:jc w:val="center"/>
            </w:pPr>
            <w:r>
              <w:rPr>
                <w:b/>
                <w:bCs/>
                <w:sz w:val="18"/>
                <w:szCs w:val="18"/>
              </w:rPr>
              <w:t>7%</w:t>
            </w:r>
          </w:p>
        </w:tc>
      </w:tr>
      <w:tr w:rsidR="00990B14" w14:paraId="2483AB3E" w14:textId="77777777">
        <w:trPr>
          <w:cantSplit/>
          <w:jc w:val="center"/>
        </w:trPr>
        <w:tc>
          <w:tcPr>
            <w:tcW w:w="1900" w:type="dxa"/>
            <w:vMerge/>
            <w:shd w:val="clear" w:color="auto" w:fill="4472C4"/>
            <w:vAlign w:val="center"/>
          </w:tcPr>
          <w:p w14:paraId="5FE0E8F4" w14:textId="77777777" w:rsidR="00990B14" w:rsidRDefault="00990B14">
            <w:pPr>
              <w:spacing w:before="20" w:after="20"/>
            </w:pPr>
          </w:p>
        </w:tc>
        <w:tc>
          <w:tcPr>
            <w:tcW w:w="1876" w:type="dxa"/>
            <w:shd w:val="clear" w:color="auto" w:fill="4472C4"/>
            <w:vAlign w:val="center"/>
          </w:tcPr>
          <w:p w14:paraId="5255BBD8"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3E143A31"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290932C8"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60EDF959" w14:textId="77777777" w:rsidR="00990B14" w:rsidRDefault="00000000">
            <w:pPr>
              <w:keepNext/>
              <w:spacing w:before="20" w:after="20"/>
              <w:jc w:val="center"/>
            </w:pPr>
            <w:r>
              <w:rPr>
                <w:b/>
                <w:bCs/>
                <w:i/>
                <w:iCs/>
                <w:color w:val="FFFFFF"/>
                <w:sz w:val="18"/>
                <w:szCs w:val="18"/>
              </w:rPr>
              <w:t>Destacado (81–100)</w:t>
            </w:r>
          </w:p>
        </w:tc>
      </w:tr>
      <w:tr w:rsidR="00990B14" w14:paraId="044EB60F" w14:textId="77777777">
        <w:trPr>
          <w:cantSplit/>
          <w:jc w:val="center"/>
        </w:trPr>
        <w:tc>
          <w:tcPr>
            <w:tcW w:w="1900" w:type="dxa"/>
            <w:vMerge/>
            <w:shd w:val="clear" w:color="auto" w:fill="4472C4"/>
            <w:vAlign w:val="center"/>
          </w:tcPr>
          <w:p w14:paraId="6A4D302E" w14:textId="77777777" w:rsidR="00990B14" w:rsidRDefault="00990B14">
            <w:pPr>
              <w:spacing w:before="20" w:after="20"/>
            </w:pPr>
          </w:p>
        </w:tc>
        <w:tc>
          <w:tcPr>
            <w:tcW w:w="1876" w:type="dxa"/>
            <w:shd w:val="clear" w:color="auto" w:fill="D9E2F3"/>
            <w:vAlign w:val="center"/>
          </w:tcPr>
          <w:p w14:paraId="2E3E3991" w14:textId="77777777" w:rsidR="00990B14" w:rsidRDefault="00000000">
            <w:pPr>
              <w:spacing w:before="20" w:after="20"/>
              <w:jc w:val="both"/>
            </w:pPr>
            <w:r>
              <w:rPr>
                <w:sz w:val="18"/>
                <w:szCs w:val="18"/>
              </w:rPr>
              <w:t>Fuente de datos</w:t>
            </w:r>
          </w:p>
        </w:tc>
        <w:tc>
          <w:tcPr>
            <w:tcW w:w="1876" w:type="dxa"/>
            <w:shd w:val="clear" w:color="auto" w:fill="D9E2F3"/>
            <w:vAlign w:val="center"/>
          </w:tcPr>
          <w:p w14:paraId="243335E3" w14:textId="77777777" w:rsidR="00990B14" w:rsidRDefault="00000000">
            <w:pPr>
              <w:spacing w:before="20" w:after="20"/>
              <w:jc w:val="both"/>
            </w:pPr>
            <w:r>
              <w:rPr>
                <w:sz w:val="18"/>
                <w:szCs w:val="18"/>
              </w:rPr>
              <w:t>No indica la fuente ni la fecha.</w:t>
            </w:r>
          </w:p>
        </w:tc>
        <w:tc>
          <w:tcPr>
            <w:tcW w:w="1876" w:type="dxa"/>
            <w:shd w:val="clear" w:color="auto" w:fill="D9E2F3"/>
            <w:vAlign w:val="center"/>
          </w:tcPr>
          <w:p w14:paraId="5BA70082" w14:textId="77777777" w:rsidR="00990B14" w:rsidRDefault="00000000">
            <w:pPr>
              <w:spacing w:before="20" w:after="20"/>
              <w:jc w:val="both"/>
            </w:pPr>
            <w:r>
              <w:rPr>
                <w:sz w:val="18"/>
                <w:szCs w:val="18"/>
              </w:rPr>
              <w:t>Usa datos oficiales con su fecha.</w:t>
            </w:r>
          </w:p>
        </w:tc>
        <w:tc>
          <w:tcPr>
            <w:tcW w:w="1877" w:type="dxa"/>
            <w:shd w:val="clear" w:color="auto" w:fill="D9E2F3"/>
            <w:vAlign w:val="center"/>
          </w:tcPr>
          <w:p w14:paraId="30CB5A29" w14:textId="77777777" w:rsidR="00990B14" w:rsidRDefault="00000000">
            <w:pPr>
              <w:spacing w:before="20" w:after="20"/>
              <w:jc w:val="both"/>
            </w:pPr>
            <w:r>
              <w:rPr>
                <w:sz w:val="18"/>
                <w:szCs w:val="18"/>
              </w:rPr>
              <w:t>Explica las diferencias entre entidades.</w:t>
            </w:r>
          </w:p>
        </w:tc>
      </w:tr>
      <w:tr w:rsidR="00990B14" w14:paraId="39CEBF76" w14:textId="77777777">
        <w:trPr>
          <w:cantSplit/>
          <w:jc w:val="center"/>
        </w:trPr>
        <w:tc>
          <w:tcPr>
            <w:tcW w:w="1900" w:type="dxa"/>
            <w:vMerge/>
            <w:shd w:val="clear" w:color="auto" w:fill="4472C4"/>
            <w:vAlign w:val="center"/>
          </w:tcPr>
          <w:p w14:paraId="5AAB04C9" w14:textId="77777777" w:rsidR="00990B14" w:rsidRDefault="00990B14">
            <w:pPr>
              <w:spacing w:before="20" w:after="20"/>
            </w:pPr>
          </w:p>
        </w:tc>
        <w:tc>
          <w:tcPr>
            <w:tcW w:w="1876" w:type="dxa"/>
            <w:shd w:val="clear" w:color="auto" w:fill="D9E2F3"/>
            <w:vAlign w:val="center"/>
          </w:tcPr>
          <w:p w14:paraId="6DE37AB8" w14:textId="77777777" w:rsidR="00990B14" w:rsidRDefault="00000000">
            <w:pPr>
              <w:spacing w:before="20" w:after="20"/>
              <w:jc w:val="both"/>
            </w:pPr>
            <w:r>
              <w:rPr>
                <w:sz w:val="18"/>
                <w:szCs w:val="18"/>
              </w:rPr>
              <w:t>Clasificación de tasas</w:t>
            </w:r>
          </w:p>
        </w:tc>
        <w:tc>
          <w:tcPr>
            <w:tcW w:w="1876" w:type="dxa"/>
            <w:shd w:val="clear" w:color="auto" w:fill="D9E2F3"/>
            <w:vAlign w:val="center"/>
          </w:tcPr>
          <w:p w14:paraId="4AE7CDAB" w14:textId="77777777" w:rsidR="00990B14" w:rsidRDefault="00000000">
            <w:pPr>
              <w:spacing w:before="20" w:after="20"/>
              <w:jc w:val="both"/>
            </w:pPr>
            <w:r>
              <w:rPr>
                <w:sz w:val="18"/>
                <w:szCs w:val="18"/>
              </w:rPr>
              <w:t>Confunde tasas nominales y efectivas.</w:t>
            </w:r>
          </w:p>
        </w:tc>
        <w:tc>
          <w:tcPr>
            <w:tcW w:w="1876" w:type="dxa"/>
            <w:shd w:val="clear" w:color="auto" w:fill="D9E2F3"/>
            <w:vAlign w:val="center"/>
          </w:tcPr>
          <w:p w14:paraId="39C9F775" w14:textId="77777777" w:rsidR="00990B14" w:rsidRDefault="00000000">
            <w:pPr>
              <w:spacing w:before="20" w:after="20"/>
              <w:jc w:val="both"/>
            </w:pPr>
            <w:r>
              <w:rPr>
                <w:sz w:val="18"/>
                <w:szCs w:val="18"/>
              </w:rPr>
              <w:t>Clasifica correctamente cada tasa.</w:t>
            </w:r>
          </w:p>
        </w:tc>
        <w:tc>
          <w:tcPr>
            <w:tcW w:w="1877" w:type="dxa"/>
            <w:shd w:val="clear" w:color="auto" w:fill="D9E2F3"/>
            <w:vAlign w:val="center"/>
          </w:tcPr>
          <w:p w14:paraId="14271148" w14:textId="77777777" w:rsidR="00990B14" w:rsidRDefault="00000000">
            <w:pPr>
              <w:spacing w:before="20" w:after="20"/>
              <w:jc w:val="both"/>
            </w:pPr>
            <w:r>
              <w:rPr>
                <w:sz w:val="18"/>
                <w:szCs w:val="18"/>
              </w:rPr>
              <w:t>Calcula el margen entre tasas activas y pasivas.</w:t>
            </w:r>
          </w:p>
        </w:tc>
      </w:tr>
      <w:tr w:rsidR="00990B14" w14:paraId="2257FD02" w14:textId="77777777">
        <w:trPr>
          <w:cantSplit/>
          <w:jc w:val="center"/>
        </w:trPr>
        <w:tc>
          <w:tcPr>
            <w:tcW w:w="1900" w:type="dxa"/>
            <w:vMerge/>
            <w:shd w:val="clear" w:color="auto" w:fill="4472C4"/>
            <w:vAlign w:val="center"/>
          </w:tcPr>
          <w:p w14:paraId="4B93F692" w14:textId="77777777" w:rsidR="00990B14" w:rsidRDefault="00990B14">
            <w:pPr>
              <w:spacing w:before="20" w:after="20"/>
            </w:pPr>
          </w:p>
        </w:tc>
        <w:tc>
          <w:tcPr>
            <w:tcW w:w="1876" w:type="dxa"/>
            <w:shd w:val="clear" w:color="auto" w:fill="D9E2F3"/>
            <w:vAlign w:val="center"/>
          </w:tcPr>
          <w:p w14:paraId="06671DAD" w14:textId="77777777" w:rsidR="00990B14" w:rsidRDefault="00000000">
            <w:pPr>
              <w:spacing w:before="20" w:after="20"/>
              <w:jc w:val="both"/>
            </w:pPr>
            <w:r>
              <w:rPr>
                <w:sz w:val="18"/>
                <w:szCs w:val="18"/>
              </w:rPr>
              <w:t>Presentación</w:t>
            </w:r>
          </w:p>
        </w:tc>
        <w:tc>
          <w:tcPr>
            <w:tcW w:w="1876" w:type="dxa"/>
            <w:shd w:val="clear" w:color="auto" w:fill="D9E2F3"/>
            <w:vAlign w:val="center"/>
          </w:tcPr>
          <w:p w14:paraId="3CEA3922" w14:textId="77777777" w:rsidR="00990B14" w:rsidRDefault="00000000">
            <w:pPr>
              <w:spacing w:before="20" w:after="20"/>
              <w:jc w:val="both"/>
            </w:pPr>
            <w:r>
              <w:rPr>
                <w:sz w:val="18"/>
                <w:szCs w:val="18"/>
              </w:rPr>
              <w:t>El cuadro es confuso.</w:t>
            </w:r>
          </w:p>
        </w:tc>
        <w:tc>
          <w:tcPr>
            <w:tcW w:w="1876" w:type="dxa"/>
            <w:shd w:val="clear" w:color="auto" w:fill="D9E2F3"/>
            <w:vAlign w:val="center"/>
          </w:tcPr>
          <w:p w14:paraId="009EAB8A" w14:textId="77777777" w:rsidR="00990B14" w:rsidRDefault="00000000">
            <w:pPr>
              <w:spacing w:before="20" w:after="20"/>
              <w:jc w:val="both"/>
            </w:pPr>
            <w:r>
              <w:rPr>
                <w:sz w:val="18"/>
                <w:szCs w:val="18"/>
              </w:rPr>
              <w:t>El cuadro es claro y ordenado.</w:t>
            </w:r>
          </w:p>
        </w:tc>
        <w:tc>
          <w:tcPr>
            <w:tcW w:w="1877" w:type="dxa"/>
            <w:shd w:val="clear" w:color="auto" w:fill="D9E2F3"/>
            <w:vAlign w:val="center"/>
          </w:tcPr>
          <w:p w14:paraId="62278CF8" w14:textId="77777777" w:rsidR="00990B14" w:rsidRDefault="00000000">
            <w:pPr>
              <w:spacing w:before="20" w:after="20"/>
              <w:jc w:val="both"/>
            </w:pPr>
            <w:r>
              <w:rPr>
                <w:sz w:val="18"/>
                <w:szCs w:val="18"/>
              </w:rPr>
              <w:t>Incluye un gráfico comparativo.</w:t>
            </w:r>
          </w:p>
        </w:tc>
      </w:tr>
      <w:tr w:rsidR="00990B14" w14:paraId="66EDA403" w14:textId="77777777">
        <w:trPr>
          <w:cantSplit/>
          <w:jc w:val="center"/>
        </w:trPr>
        <w:tc>
          <w:tcPr>
            <w:tcW w:w="1900" w:type="dxa"/>
            <w:vMerge/>
            <w:shd w:val="clear" w:color="auto" w:fill="4472C4"/>
            <w:vAlign w:val="center"/>
          </w:tcPr>
          <w:p w14:paraId="2491FEC9" w14:textId="77777777" w:rsidR="00990B14" w:rsidRDefault="00990B14">
            <w:pPr>
              <w:spacing w:before="20" w:after="20"/>
            </w:pPr>
          </w:p>
        </w:tc>
        <w:tc>
          <w:tcPr>
            <w:tcW w:w="5628" w:type="dxa"/>
            <w:gridSpan w:val="3"/>
            <w:shd w:val="clear" w:color="auto" w:fill="D9E2F3"/>
            <w:vAlign w:val="center"/>
          </w:tcPr>
          <w:p w14:paraId="0FE81C52" w14:textId="77777777" w:rsidR="00990B14" w:rsidRDefault="00000000">
            <w:pPr>
              <w:keepNext/>
              <w:spacing w:before="20" w:after="20"/>
              <w:jc w:val="both"/>
            </w:pPr>
            <w:r>
              <w:rPr>
                <w:b/>
                <w:bCs/>
                <w:i/>
                <w:iCs/>
                <w:sz w:val="18"/>
                <w:szCs w:val="18"/>
              </w:rPr>
              <w:t xml:space="preserve">Producto 20: </w:t>
            </w:r>
            <w:r>
              <w:rPr>
                <w:sz w:val="18"/>
                <w:szCs w:val="18"/>
              </w:rPr>
              <w:t>Cálculo de la tasa efectiva al cliente</w:t>
            </w:r>
          </w:p>
        </w:tc>
        <w:tc>
          <w:tcPr>
            <w:tcW w:w="1877" w:type="dxa"/>
            <w:shd w:val="clear" w:color="auto" w:fill="D9E2F3"/>
            <w:vAlign w:val="center"/>
          </w:tcPr>
          <w:p w14:paraId="56932B36" w14:textId="77777777" w:rsidR="00990B14" w:rsidRDefault="00000000">
            <w:pPr>
              <w:spacing w:before="20" w:after="20"/>
              <w:jc w:val="center"/>
            </w:pPr>
            <w:r>
              <w:rPr>
                <w:b/>
                <w:bCs/>
                <w:sz w:val="18"/>
                <w:szCs w:val="18"/>
              </w:rPr>
              <w:t>7%</w:t>
            </w:r>
          </w:p>
        </w:tc>
      </w:tr>
      <w:tr w:rsidR="00990B14" w14:paraId="03561BFD" w14:textId="77777777">
        <w:trPr>
          <w:cantSplit/>
          <w:jc w:val="center"/>
        </w:trPr>
        <w:tc>
          <w:tcPr>
            <w:tcW w:w="1900" w:type="dxa"/>
            <w:vMerge/>
            <w:shd w:val="clear" w:color="auto" w:fill="4472C4"/>
            <w:vAlign w:val="center"/>
          </w:tcPr>
          <w:p w14:paraId="45B9E86C" w14:textId="77777777" w:rsidR="00990B14" w:rsidRDefault="00990B14">
            <w:pPr>
              <w:spacing w:before="20" w:after="20"/>
            </w:pPr>
          </w:p>
        </w:tc>
        <w:tc>
          <w:tcPr>
            <w:tcW w:w="1876" w:type="dxa"/>
            <w:shd w:val="clear" w:color="auto" w:fill="4472C4"/>
            <w:vAlign w:val="center"/>
          </w:tcPr>
          <w:p w14:paraId="08164F34"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5AE93ACE"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4081E487"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5228D3E7" w14:textId="77777777" w:rsidR="00990B14" w:rsidRDefault="00000000">
            <w:pPr>
              <w:keepNext/>
              <w:spacing w:before="20" w:after="20"/>
              <w:jc w:val="center"/>
            </w:pPr>
            <w:r>
              <w:rPr>
                <w:b/>
                <w:bCs/>
                <w:i/>
                <w:iCs/>
                <w:color w:val="FFFFFF"/>
                <w:sz w:val="18"/>
                <w:szCs w:val="18"/>
              </w:rPr>
              <w:t>Destacado (81–100)</w:t>
            </w:r>
          </w:p>
        </w:tc>
      </w:tr>
      <w:tr w:rsidR="00990B14" w14:paraId="4103E38D" w14:textId="77777777">
        <w:trPr>
          <w:cantSplit/>
          <w:jc w:val="center"/>
        </w:trPr>
        <w:tc>
          <w:tcPr>
            <w:tcW w:w="1900" w:type="dxa"/>
            <w:vMerge/>
            <w:shd w:val="clear" w:color="auto" w:fill="4472C4"/>
            <w:vAlign w:val="center"/>
          </w:tcPr>
          <w:p w14:paraId="197C6EF0" w14:textId="77777777" w:rsidR="00990B14" w:rsidRDefault="00990B14">
            <w:pPr>
              <w:spacing w:before="20" w:after="20"/>
            </w:pPr>
          </w:p>
        </w:tc>
        <w:tc>
          <w:tcPr>
            <w:tcW w:w="1876" w:type="dxa"/>
            <w:shd w:val="clear" w:color="auto" w:fill="D9E2F3"/>
            <w:vAlign w:val="center"/>
          </w:tcPr>
          <w:p w14:paraId="55B89F3D" w14:textId="77777777" w:rsidR="00990B14" w:rsidRDefault="00000000">
            <w:pPr>
              <w:spacing w:before="20" w:after="20"/>
              <w:jc w:val="both"/>
            </w:pPr>
            <w:r>
              <w:rPr>
                <w:sz w:val="18"/>
                <w:szCs w:val="18"/>
              </w:rPr>
              <w:t>Cargos incluidos</w:t>
            </w:r>
          </w:p>
        </w:tc>
        <w:tc>
          <w:tcPr>
            <w:tcW w:w="1876" w:type="dxa"/>
            <w:shd w:val="clear" w:color="auto" w:fill="D9E2F3"/>
            <w:vAlign w:val="center"/>
          </w:tcPr>
          <w:p w14:paraId="26C1CDE4" w14:textId="77777777" w:rsidR="00990B14" w:rsidRDefault="00000000">
            <w:pPr>
              <w:spacing w:before="20" w:after="20"/>
              <w:jc w:val="both"/>
            </w:pPr>
            <w:r>
              <w:rPr>
                <w:sz w:val="18"/>
                <w:szCs w:val="18"/>
              </w:rPr>
              <w:t>Omite cargos o comisiones.</w:t>
            </w:r>
          </w:p>
        </w:tc>
        <w:tc>
          <w:tcPr>
            <w:tcW w:w="1876" w:type="dxa"/>
            <w:shd w:val="clear" w:color="auto" w:fill="D9E2F3"/>
            <w:vAlign w:val="center"/>
          </w:tcPr>
          <w:p w14:paraId="7404586D" w14:textId="77777777" w:rsidR="00990B14" w:rsidRDefault="00000000">
            <w:pPr>
              <w:spacing w:before="20" w:after="20"/>
              <w:jc w:val="both"/>
            </w:pPr>
            <w:r>
              <w:rPr>
                <w:sz w:val="18"/>
                <w:szCs w:val="18"/>
              </w:rPr>
              <w:t>Incluye todos los cargos y comisiones.</w:t>
            </w:r>
          </w:p>
        </w:tc>
        <w:tc>
          <w:tcPr>
            <w:tcW w:w="1877" w:type="dxa"/>
            <w:shd w:val="clear" w:color="auto" w:fill="D9E2F3"/>
            <w:vAlign w:val="center"/>
          </w:tcPr>
          <w:p w14:paraId="65C13B11" w14:textId="77777777" w:rsidR="00990B14" w:rsidRDefault="00000000">
            <w:pPr>
              <w:spacing w:before="20" w:after="20"/>
              <w:jc w:val="both"/>
            </w:pPr>
            <w:r>
              <w:rPr>
                <w:sz w:val="18"/>
                <w:szCs w:val="18"/>
              </w:rPr>
              <w:t>Distingue los cargos obligatorios de los opcionales.</w:t>
            </w:r>
          </w:p>
        </w:tc>
      </w:tr>
      <w:tr w:rsidR="00990B14" w14:paraId="4313B39A" w14:textId="77777777">
        <w:trPr>
          <w:cantSplit/>
          <w:jc w:val="center"/>
        </w:trPr>
        <w:tc>
          <w:tcPr>
            <w:tcW w:w="1900" w:type="dxa"/>
            <w:vMerge/>
            <w:shd w:val="clear" w:color="auto" w:fill="4472C4"/>
            <w:vAlign w:val="center"/>
          </w:tcPr>
          <w:p w14:paraId="4D3D7309" w14:textId="77777777" w:rsidR="00990B14" w:rsidRDefault="00990B14">
            <w:pPr>
              <w:spacing w:before="20" w:after="20"/>
            </w:pPr>
          </w:p>
        </w:tc>
        <w:tc>
          <w:tcPr>
            <w:tcW w:w="1876" w:type="dxa"/>
            <w:shd w:val="clear" w:color="auto" w:fill="D9E2F3"/>
            <w:vAlign w:val="center"/>
          </w:tcPr>
          <w:p w14:paraId="4972FFCE" w14:textId="77777777" w:rsidR="00990B14" w:rsidRDefault="00000000">
            <w:pPr>
              <w:spacing w:before="20" w:after="20"/>
              <w:jc w:val="both"/>
            </w:pPr>
            <w:r>
              <w:rPr>
                <w:sz w:val="18"/>
                <w:szCs w:val="18"/>
              </w:rPr>
              <w:t>Cálculo</w:t>
            </w:r>
          </w:p>
        </w:tc>
        <w:tc>
          <w:tcPr>
            <w:tcW w:w="1876" w:type="dxa"/>
            <w:shd w:val="clear" w:color="auto" w:fill="D9E2F3"/>
            <w:vAlign w:val="center"/>
          </w:tcPr>
          <w:p w14:paraId="5BCC4C03" w14:textId="77777777" w:rsidR="00990B14" w:rsidRDefault="00000000">
            <w:pPr>
              <w:spacing w:before="20" w:after="20"/>
              <w:jc w:val="both"/>
            </w:pPr>
            <w:r>
              <w:rPr>
                <w:sz w:val="18"/>
                <w:szCs w:val="18"/>
              </w:rPr>
              <w:t>La tasa calculada es incorrecta.</w:t>
            </w:r>
          </w:p>
        </w:tc>
        <w:tc>
          <w:tcPr>
            <w:tcW w:w="1876" w:type="dxa"/>
            <w:shd w:val="clear" w:color="auto" w:fill="D9E2F3"/>
            <w:vAlign w:val="center"/>
          </w:tcPr>
          <w:p w14:paraId="478D088C" w14:textId="77777777" w:rsidR="00990B14" w:rsidRDefault="00000000">
            <w:pPr>
              <w:spacing w:before="20" w:after="20"/>
              <w:jc w:val="both"/>
            </w:pPr>
            <w:r>
              <w:rPr>
                <w:sz w:val="18"/>
                <w:szCs w:val="18"/>
              </w:rPr>
              <w:t>Calcula correctamente la tasa efectiva.</w:t>
            </w:r>
          </w:p>
        </w:tc>
        <w:tc>
          <w:tcPr>
            <w:tcW w:w="1877" w:type="dxa"/>
            <w:shd w:val="clear" w:color="auto" w:fill="D9E2F3"/>
            <w:vAlign w:val="center"/>
          </w:tcPr>
          <w:p w14:paraId="088DCD90" w14:textId="77777777" w:rsidR="00990B14" w:rsidRDefault="00000000">
            <w:pPr>
              <w:spacing w:before="20" w:after="20"/>
              <w:jc w:val="both"/>
            </w:pPr>
            <w:r>
              <w:rPr>
                <w:sz w:val="18"/>
                <w:szCs w:val="18"/>
              </w:rPr>
              <w:t>La compara con la tasa nominal pactada.</w:t>
            </w:r>
          </w:p>
        </w:tc>
      </w:tr>
      <w:tr w:rsidR="00990B14" w14:paraId="4812E0CA" w14:textId="77777777">
        <w:trPr>
          <w:cantSplit/>
          <w:jc w:val="center"/>
        </w:trPr>
        <w:tc>
          <w:tcPr>
            <w:tcW w:w="1900" w:type="dxa"/>
            <w:vMerge/>
            <w:shd w:val="clear" w:color="auto" w:fill="4472C4"/>
            <w:vAlign w:val="center"/>
          </w:tcPr>
          <w:p w14:paraId="65DDEDD0" w14:textId="77777777" w:rsidR="00990B14" w:rsidRDefault="00990B14">
            <w:pPr>
              <w:spacing w:before="20" w:after="20"/>
            </w:pPr>
          </w:p>
        </w:tc>
        <w:tc>
          <w:tcPr>
            <w:tcW w:w="1876" w:type="dxa"/>
            <w:shd w:val="clear" w:color="auto" w:fill="D9E2F3"/>
            <w:vAlign w:val="center"/>
          </w:tcPr>
          <w:p w14:paraId="0DF940B9" w14:textId="77777777" w:rsidR="00990B14" w:rsidRDefault="00000000">
            <w:pPr>
              <w:spacing w:before="20" w:after="20"/>
              <w:jc w:val="both"/>
            </w:pPr>
            <w:r>
              <w:rPr>
                <w:sz w:val="18"/>
                <w:szCs w:val="18"/>
              </w:rPr>
              <w:t>Protección del consumidor</w:t>
            </w:r>
          </w:p>
        </w:tc>
        <w:tc>
          <w:tcPr>
            <w:tcW w:w="1876" w:type="dxa"/>
            <w:shd w:val="clear" w:color="auto" w:fill="D9E2F3"/>
            <w:vAlign w:val="center"/>
          </w:tcPr>
          <w:p w14:paraId="2E34ABDC" w14:textId="77777777" w:rsidR="00990B14" w:rsidRDefault="00000000">
            <w:pPr>
              <w:spacing w:before="20" w:after="20"/>
              <w:jc w:val="both"/>
            </w:pPr>
            <w:r>
              <w:rPr>
                <w:sz w:val="18"/>
                <w:szCs w:val="18"/>
              </w:rPr>
              <w:t>No comenta la transparencia del crédito.</w:t>
            </w:r>
          </w:p>
        </w:tc>
        <w:tc>
          <w:tcPr>
            <w:tcW w:w="1876" w:type="dxa"/>
            <w:shd w:val="clear" w:color="auto" w:fill="D9E2F3"/>
            <w:vAlign w:val="center"/>
          </w:tcPr>
          <w:p w14:paraId="35B1E8AB" w14:textId="77777777" w:rsidR="00990B14" w:rsidRDefault="00000000">
            <w:pPr>
              <w:spacing w:before="20" w:after="20"/>
              <w:jc w:val="both"/>
            </w:pPr>
            <w:r>
              <w:rPr>
                <w:sz w:val="18"/>
                <w:szCs w:val="18"/>
              </w:rPr>
              <w:t>Señala la información que debe recibir el cliente.</w:t>
            </w:r>
          </w:p>
        </w:tc>
        <w:tc>
          <w:tcPr>
            <w:tcW w:w="1877" w:type="dxa"/>
            <w:shd w:val="clear" w:color="auto" w:fill="D9E2F3"/>
            <w:vAlign w:val="center"/>
          </w:tcPr>
          <w:p w14:paraId="0537C87C" w14:textId="77777777" w:rsidR="00990B14" w:rsidRDefault="00000000">
            <w:pPr>
              <w:spacing w:before="20" w:after="20"/>
              <w:jc w:val="both"/>
            </w:pPr>
            <w:r>
              <w:rPr>
                <w:sz w:val="18"/>
                <w:szCs w:val="18"/>
              </w:rPr>
              <w:t>Propone cómo explicar el costo real al cliente.</w:t>
            </w:r>
          </w:p>
        </w:tc>
      </w:tr>
      <w:tr w:rsidR="00990B14" w14:paraId="5C4CD3A3" w14:textId="77777777">
        <w:trPr>
          <w:cantSplit/>
          <w:jc w:val="center"/>
        </w:trPr>
        <w:tc>
          <w:tcPr>
            <w:tcW w:w="7528" w:type="dxa"/>
            <w:gridSpan w:val="4"/>
            <w:shd w:val="clear" w:color="auto" w:fill="4472C4"/>
            <w:vAlign w:val="center"/>
          </w:tcPr>
          <w:p w14:paraId="17467183" w14:textId="77777777" w:rsidR="00990B14" w:rsidRDefault="00000000">
            <w:pPr>
              <w:keepNext/>
              <w:spacing w:before="20" w:after="20"/>
              <w:jc w:val="center"/>
            </w:pPr>
            <w:r>
              <w:rPr>
                <w:b/>
                <w:bCs/>
                <w:i/>
                <w:iCs/>
                <w:color w:val="FFFFFF"/>
                <w:sz w:val="18"/>
                <w:szCs w:val="18"/>
              </w:rPr>
              <w:t>TOTAL</w:t>
            </w:r>
          </w:p>
        </w:tc>
        <w:tc>
          <w:tcPr>
            <w:tcW w:w="1877" w:type="dxa"/>
            <w:shd w:val="clear" w:color="auto" w:fill="4472C4"/>
            <w:vAlign w:val="center"/>
          </w:tcPr>
          <w:p w14:paraId="047D770D" w14:textId="77777777" w:rsidR="00990B14" w:rsidRDefault="00000000">
            <w:pPr>
              <w:keepNext/>
              <w:spacing w:before="20" w:after="20"/>
              <w:jc w:val="center"/>
            </w:pPr>
            <w:r>
              <w:rPr>
                <w:b/>
                <w:bCs/>
                <w:i/>
                <w:iCs/>
                <w:color w:val="FFFFFF"/>
                <w:sz w:val="18"/>
                <w:szCs w:val="18"/>
              </w:rPr>
              <w:t>100%</w:t>
            </w:r>
          </w:p>
        </w:tc>
      </w:tr>
    </w:tbl>
    <w:p w14:paraId="0A5FEA9C"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9405"/>
      </w:tblGrid>
      <w:tr w:rsidR="00990B14" w14:paraId="040AEC1D" w14:textId="77777777">
        <w:trPr>
          <w:jc w:val="center"/>
        </w:trPr>
        <w:tc>
          <w:tcPr>
            <w:tcW w:w="9405" w:type="dxa"/>
            <w:shd w:val="clear" w:color="auto" w:fill="D9E2F3"/>
          </w:tcPr>
          <w:p w14:paraId="1CB826B6" w14:textId="77777777" w:rsidR="00990B14" w:rsidRDefault="00000000">
            <w:pPr>
              <w:spacing w:before="40" w:after="40"/>
              <w:jc w:val="both"/>
            </w:pPr>
            <w:r>
              <w:rPr>
                <w:b/>
                <w:bCs/>
                <w:i/>
                <w:iCs/>
                <w:sz w:val="18"/>
                <w:szCs w:val="18"/>
              </w:rPr>
              <w:t>Bibliografía básica:</w:t>
            </w:r>
          </w:p>
          <w:p w14:paraId="5FB1C4E5" w14:textId="77777777" w:rsidR="00990B14" w:rsidRDefault="00000000">
            <w:pPr>
              <w:numPr>
                <w:ilvl w:val="0"/>
                <w:numId w:val="140"/>
              </w:numPr>
              <w:spacing w:after="20"/>
              <w:jc w:val="both"/>
            </w:pPr>
            <w:r>
              <w:rPr>
                <w:sz w:val="18"/>
                <w:szCs w:val="18"/>
              </w:rPr>
              <w:t xml:space="preserve">Aguirre, V. (2021). </w:t>
            </w:r>
            <w:r>
              <w:rPr>
                <w:i/>
                <w:iCs/>
                <w:sz w:val="18"/>
                <w:szCs w:val="18"/>
              </w:rPr>
              <w:t>Apuntes de Matemáticas Financieras</w:t>
            </w:r>
            <w:r>
              <w:rPr>
                <w:sz w:val="18"/>
                <w:szCs w:val="18"/>
              </w:rPr>
              <w:t>. La Paz – Bolivia: s/e.</w:t>
            </w:r>
          </w:p>
          <w:p w14:paraId="41DB688C" w14:textId="77777777" w:rsidR="00990B14" w:rsidRDefault="00000000">
            <w:pPr>
              <w:numPr>
                <w:ilvl w:val="0"/>
                <w:numId w:val="140"/>
              </w:numPr>
              <w:spacing w:after="20"/>
              <w:jc w:val="both"/>
            </w:pPr>
            <w:r>
              <w:rPr>
                <w:sz w:val="18"/>
                <w:szCs w:val="18"/>
              </w:rPr>
              <w:t xml:space="preserve">Alvarado Ralde, H. (2011). </w:t>
            </w:r>
            <w:r>
              <w:rPr>
                <w:i/>
                <w:iCs/>
                <w:sz w:val="18"/>
                <w:szCs w:val="18"/>
              </w:rPr>
              <w:t>Matemáticas Financieras con Excel</w:t>
            </w:r>
            <w:r>
              <w:rPr>
                <w:sz w:val="18"/>
                <w:szCs w:val="18"/>
              </w:rPr>
              <w:t>. La Paz – Bolivia: s/e.</w:t>
            </w:r>
          </w:p>
          <w:p w14:paraId="19469728" w14:textId="77777777" w:rsidR="00990B14" w:rsidRDefault="00000000">
            <w:pPr>
              <w:numPr>
                <w:ilvl w:val="0"/>
                <w:numId w:val="140"/>
              </w:numPr>
              <w:spacing w:after="20"/>
              <w:jc w:val="both"/>
            </w:pPr>
            <w:r>
              <w:rPr>
                <w:sz w:val="18"/>
                <w:szCs w:val="18"/>
              </w:rPr>
              <w:t>Autoridad de Supervisión del Sistema Financiero, ASFI. Recopilación de Normas para Servicios Financieros. La Paz – Bolivia.</w:t>
            </w:r>
          </w:p>
          <w:p w14:paraId="44219A45" w14:textId="77777777" w:rsidR="00990B14" w:rsidRDefault="00000000">
            <w:pPr>
              <w:numPr>
                <w:ilvl w:val="0"/>
                <w:numId w:val="140"/>
              </w:numPr>
              <w:spacing w:after="20"/>
              <w:jc w:val="both"/>
            </w:pPr>
            <w:r>
              <w:rPr>
                <w:sz w:val="18"/>
                <w:szCs w:val="18"/>
              </w:rPr>
              <w:t>Código de Comercio, Decreto Ley N.º 14379.</w:t>
            </w:r>
          </w:p>
          <w:p w14:paraId="58282082" w14:textId="77777777" w:rsidR="00990B14" w:rsidRDefault="00000000">
            <w:pPr>
              <w:numPr>
                <w:ilvl w:val="0"/>
                <w:numId w:val="140"/>
              </w:numPr>
              <w:spacing w:after="20"/>
              <w:jc w:val="both"/>
            </w:pPr>
            <w:r>
              <w:rPr>
                <w:sz w:val="18"/>
                <w:szCs w:val="18"/>
              </w:rPr>
              <w:t xml:space="preserve">Layme Llanos, M. (2018). </w:t>
            </w:r>
            <w:r>
              <w:rPr>
                <w:i/>
                <w:iCs/>
                <w:sz w:val="18"/>
                <w:szCs w:val="18"/>
              </w:rPr>
              <w:t>Matemáticas Financieras I</w:t>
            </w:r>
            <w:r>
              <w:rPr>
                <w:sz w:val="18"/>
                <w:szCs w:val="18"/>
              </w:rPr>
              <w:t>. La Paz – Bolivia: s/e.</w:t>
            </w:r>
          </w:p>
          <w:p w14:paraId="1673F418" w14:textId="77777777" w:rsidR="00990B14" w:rsidRDefault="00000000">
            <w:pPr>
              <w:numPr>
                <w:ilvl w:val="0"/>
                <w:numId w:val="140"/>
              </w:numPr>
              <w:spacing w:after="20"/>
              <w:jc w:val="both"/>
            </w:pPr>
            <w:r>
              <w:rPr>
                <w:sz w:val="18"/>
                <w:szCs w:val="18"/>
              </w:rPr>
              <w:t>Ley N.º 1834 Mercado de valores, 31 de marzo de 1998.</w:t>
            </w:r>
          </w:p>
          <w:p w14:paraId="79680087" w14:textId="77777777" w:rsidR="00990B14" w:rsidRDefault="00000000">
            <w:pPr>
              <w:numPr>
                <w:ilvl w:val="0"/>
                <w:numId w:val="140"/>
              </w:numPr>
              <w:spacing w:after="20"/>
              <w:jc w:val="both"/>
            </w:pPr>
            <w:r>
              <w:rPr>
                <w:sz w:val="18"/>
                <w:szCs w:val="18"/>
              </w:rPr>
              <w:t>Ley N.º 393 de Servicios Financieros, de 21 de agosto de 2013.</w:t>
            </w:r>
          </w:p>
          <w:p w14:paraId="25E923A5" w14:textId="77777777" w:rsidR="00990B14" w:rsidRDefault="00000000">
            <w:pPr>
              <w:numPr>
                <w:ilvl w:val="0"/>
                <w:numId w:val="140"/>
              </w:numPr>
              <w:spacing w:after="20"/>
              <w:jc w:val="both"/>
            </w:pPr>
            <w:r>
              <w:rPr>
                <w:sz w:val="18"/>
                <w:szCs w:val="18"/>
              </w:rPr>
              <w:t xml:space="preserve">Mejillones Rodríguez, E. (2014). </w:t>
            </w:r>
            <w:r>
              <w:rPr>
                <w:i/>
                <w:iCs/>
                <w:sz w:val="18"/>
                <w:szCs w:val="18"/>
              </w:rPr>
              <w:t>Matemáticas Financieras y Actuariales</w:t>
            </w:r>
            <w:r>
              <w:rPr>
                <w:sz w:val="18"/>
                <w:szCs w:val="18"/>
              </w:rPr>
              <w:t>. La Paz – Bolivia: s/e.</w:t>
            </w:r>
          </w:p>
          <w:p w14:paraId="7C093A4B" w14:textId="77777777" w:rsidR="00990B14" w:rsidRDefault="00000000">
            <w:pPr>
              <w:numPr>
                <w:ilvl w:val="0"/>
                <w:numId w:val="140"/>
              </w:numPr>
              <w:spacing w:after="20"/>
              <w:jc w:val="both"/>
            </w:pPr>
            <w:r>
              <w:rPr>
                <w:sz w:val="18"/>
                <w:szCs w:val="18"/>
              </w:rPr>
              <w:t xml:space="preserve">Portus, L. (1997). </w:t>
            </w:r>
            <w:r>
              <w:rPr>
                <w:i/>
                <w:iCs/>
                <w:sz w:val="18"/>
                <w:szCs w:val="18"/>
              </w:rPr>
              <w:t>Matemáticas Financieras</w:t>
            </w:r>
            <w:r>
              <w:rPr>
                <w:sz w:val="18"/>
                <w:szCs w:val="18"/>
              </w:rPr>
              <w:t>. Bogotá – Colombia: McGraw-Hill.</w:t>
            </w:r>
          </w:p>
          <w:p w14:paraId="090E48C9" w14:textId="77777777" w:rsidR="00990B14" w:rsidRDefault="00000000">
            <w:pPr>
              <w:numPr>
                <w:ilvl w:val="0"/>
                <w:numId w:val="140"/>
              </w:numPr>
              <w:spacing w:after="20"/>
              <w:jc w:val="both"/>
            </w:pPr>
            <w:r>
              <w:rPr>
                <w:sz w:val="18"/>
                <w:szCs w:val="18"/>
              </w:rPr>
              <w:t>Vargas Sánchez, A. (2021). El Mercado de Valores en Bolivia: Financiamiento, Inversión Óptima y Análisis de Resultados. La Paz – Bolivia: s/e.</w:t>
            </w:r>
          </w:p>
        </w:tc>
      </w:tr>
      <w:tr w:rsidR="00990B14" w14:paraId="513927D1" w14:textId="77777777">
        <w:trPr>
          <w:jc w:val="center"/>
        </w:trPr>
        <w:tc>
          <w:tcPr>
            <w:tcW w:w="9405" w:type="dxa"/>
            <w:shd w:val="clear" w:color="auto" w:fill="D9E2F3"/>
          </w:tcPr>
          <w:p w14:paraId="3210C4A4" w14:textId="77777777" w:rsidR="00990B14" w:rsidRDefault="00000000">
            <w:pPr>
              <w:spacing w:before="40" w:after="40"/>
              <w:jc w:val="both"/>
            </w:pPr>
            <w:r>
              <w:rPr>
                <w:b/>
                <w:bCs/>
                <w:i/>
                <w:iCs/>
                <w:sz w:val="18"/>
                <w:szCs w:val="18"/>
              </w:rPr>
              <w:t>Bibliografía complementaria:</w:t>
            </w:r>
          </w:p>
          <w:p w14:paraId="48549295" w14:textId="77777777" w:rsidR="00990B14" w:rsidRDefault="00000000">
            <w:pPr>
              <w:numPr>
                <w:ilvl w:val="0"/>
                <w:numId w:val="140"/>
              </w:numPr>
              <w:spacing w:after="20"/>
              <w:jc w:val="both"/>
            </w:pPr>
            <w:r>
              <w:rPr>
                <w:sz w:val="18"/>
                <w:szCs w:val="18"/>
              </w:rPr>
              <w:t xml:space="preserve">Álvarez A., A. (s.f.). </w:t>
            </w:r>
            <w:r>
              <w:rPr>
                <w:i/>
                <w:iCs/>
                <w:sz w:val="18"/>
                <w:szCs w:val="18"/>
              </w:rPr>
              <w:t>Matemáticas Financieras y temas afines</w:t>
            </w:r>
            <w:r>
              <w:rPr>
                <w:sz w:val="18"/>
                <w:szCs w:val="18"/>
              </w:rPr>
              <w:t>. La Paz – Bolivia: s/e.</w:t>
            </w:r>
          </w:p>
          <w:p w14:paraId="6F883126" w14:textId="77777777" w:rsidR="00990B14" w:rsidRDefault="00000000">
            <w:pPr>
              <w:numPr>
                <w:ilvl w:val="0"/>
                <w:numId w:val="140"/>
              </w:numPr>
              <w:spacing w:after="20"/>
              <w:jc w:val="both"/>
            </w:pPr>
            <w:r>
              <w:rPr>
                <w:sz w:val="18"/>
                <w:szCs w:val="18"/>
              </w:rPr>
              <w:t xml:space="preserve">Blank, L. y Tarquin, A. (2012). </w:t>
            </w:r>
            <w:r>
              <w:rPr>
                <w:i/>
                <w:iCs/>
                <w:sz w:val="18"/>
                <w:szCs w:val="18"/>
              </w:rPr>
              <w:t>Ingeniería Económica</w:t>
            </w:r>
            <w:r>
              <w:rPr>
                <w:sz w:val="18"/>
                <w:szCs w:val="18"/>
              </w:rPr>
              <w:t>. México D.F.: McGraw-Hill.</w:t>
            </w:r>
          </w:p>
          <w:p w14:paraId="56D26288" w14:textId="77777777" w:rsidR="00990B14" w:rsidRDefault="00000000">
            <w:pPr>
              <w:numPr>
                <w:ilvl w:val="0"/>
                <w:numId w:val="140"/>
              </w:numPr>
              <w:spacing w:after="20"/>
              <w:jc w:val="both"/>
            </w:pPr>
            <w:r>
              <w:rPr>
                <w:sz w:val="18"/>
                <w:szCs w:val="18"/>
              </w:rPr>
              <w:t>Consejo de Normas Internacionales de Contabilidad (IASB). NIC 16 Propiedades, planta y equipo.</w:t>
            </w:r>
          </w:p>
          <w:p w14:paraId="601AF29E" w14:textId="77777777" w:rsidR="00990B14" w:rsidRDefault="00000000">
            <w:pPr>
              <w:numPr>
                <w:ilvl w:val="0"/>
                <w:numId w:val="140"/>
              </w:numPr>
              <w:spacing w:after="20"/>
              <w:jc w:val="both"/>
            </w:pPr>
            <w:r>
              <w:rPr>
                <w:sz w:val="18"/>
                <w:szCs w:val="18"/>
              </w:rPr>
              <w:t>Decreto Supremo N.º 24051, Reglamento del Impuesto sobre las Utilidades de las Empresas, de 29 de junio de 1995.</w:t>
            </w:r>
          </w:p>
          <w:p w14:paraId="04DA70DE" w14:textId="77777777" w:rsidR="00990B14" w:rsidRDefault="00000000">
            <w:pPr>
              <w:numPr>
                <w:ilvl w:val="0"/>
                <w:numId w:val="140"/>
              </w:numPr>
              <w:spacing w:after="20"/>
              <w:jc w:val="both"/>
            </w:pPr>
            <w:r>
              <w:rPr>
                <w:sz w:val="18"/>
                <w:szCs w:val="18"/>
              </w:rPr>
              <w:t xml:space="preserve">García, J. (2005). </w:t>
            </w:r>
            <w:r>
              <w:rPr>
                <w:i/>
                <w:iCs/>
                <w:sz w:val="18"/>
                <w:szCs w:val="18"/>
              </w:rPr>
              <w:t>Matemáticas Financieras con ecuaciones de diferencia finita</w:t>
            </w:r>
            <w:r>
              <w:rPr>
                <w:sz w:val="18"/>
                <w:szCs w:val="18"/>
              </w:rPr>
              <w:t>. Bogotá – Colombia: Pearson.</w:t>
            </w:r>
          </w:p>
          <w:p w14:paraId="4B28A37A" w14:textId="77777777" w:rsidR="00990B14" w:rsidRDefault="00000000">
            <w:pPr>
              <w:numPr>
                <w:ilvl w:val="0"/>
                <w:numId w:val="140"/>
              </w:numPr>
              <w:spacing w:after="20"/>
              <w:jc w:val="both"/>
            </w:pPr>
            <w:r>
              <w:rPr>
                <w:sz w:val="18"/>
                <w:szCs w:val="18"/>
              </w:rPr>
              <w:t xml:space="preserve">Gitman, L. y Zutter, C. (2012). </w:t>
            </w:r>
            <w:r>
              <w:rPr>
                <w:i/>
                <w:iCs/>
                <w:sz w:val="18"/>
                <w:szCs w:val="18"/>
              </w:rPr>
              <w:t>Principios de administración financiera</w:t>
            </w:r>
            <w:r>
              <w:rPr>
                <w:sz w:val="18"/>
                <w:szCs w:val="18"/>
              </w:rPr>
              <w:t>. México: Pearson Educación.</w:t>
            </w:r>
          </w:p>
          <w:p w14:paraId="71146D50" w14:textId="77777777" w:rsidR="00990B14" w:rsidRDefault="00000000">
            <w:pPr>
              <w:numPr>
                <w:ilvl w:val="0"/>
                <w:numId w:val="140"/>
              </w:numPr>
              <w:spacing w:after="20"/>
              <w:jc w:val="both"/>
            </w:pPr>
            <w:r>
              <w:rPr>
                <w:sz w:val="18"/>
                <w:szCs w:val="18"/>
              </w:rPr>
              <w:t xml:space="preserve">Mokate, K. (1998). </w:t>
            </w:r>
            <w:r>
              <w:rPr>
                <w:i/>
                <w:iCs/>
                <w:sz w:val="18"/>
                <w:szCs w:val="18"/>
              </w:rPr>
              <w:t>Evaluación Financiera de Proyectos de Inversión</w:t>
            </w:r>
            <w:r>
              <w:rPr>
                <w:sz w:val="18"/>
                <w:szCs w:val="18"/>
              </w:rPr>
              <w:t>. Bogotá – Colombia: Ediciones Uniandes.</w:t>
            </w:r>
          </w:p>
          <w:p w14:paraId="37B288C7" w14:textId="77777777" w:rsidR="00990B14" w:rsidRDefault="00000000">
            <w:pPr>
              <w:numPr>
                <w:ilvl w:val="0"/>
                <w:numId w:val="140"/>
              </w:numPr>
              <w:spacing w:after="20"/>
              <w:jc w:val="both"/>
            </w:pPr>
            <w:r>
              <w:rPr>
                <w:sz w:val="18"/>
                <w:szCs w:val="18"/>
              </w:rPr>
              <w:t>Páginas de internet: www.asfi.gob.bo, www.bcb.gob.bo y www.bbv.com.bo.</w:t>
            </w:r>
          </w:p>
          <w:p w14:paraId="573617BA" w14:textId="77777777" w:rsidR="00990B14" w:rsidRDefault="00000000">
            <w:pPr>
              <w:numPr>
                <w:ilvl w:val="0"/>
                <w:numId w:val="140"/>
              </w:numPr>
              <w:spacing w:after="20"/>
              <w:jc w:val="both"/>
            </w:pPr>
            <w:r>
              <w:rPr>
                <w:sz w:val="18"/>
                <w:szCs w:val="18"/>
              </w:rPr>
              <w:t>Resoluciones del Directorio del Banco Central de Bolivia y circulares de la ASFI sobre tasas de interés.</w:t>
            </w:r>
          </w:p>
        </w:tc>
      </w:tr>
    </w:tbl>
    <w:p w14:paraId="18B95053" w14:textId="77777777" w:rsidR="00990B14" w:rsidRDefault="00000000">
      <w:pPr>
        <w:pStyle w:val="TituloPlanAnio"/>
        <w:pageBreakBefore/>
        <w:spacing w:before="4800"/>
        <w:jc w:val="center"/>
        <w:outlineLvl w:val="2"/>
      </w:pPr>
      <w:bookmarkStart w:id="154" w:name="_Toc000000095"/>
      <w:r>
        <w:rPr>
          <w:b/>
          <w:bCs/>
          <w:sz w:val="40"/>
          <w:szCs w:val="40"/>
        </w:rPr>
        <w:t>Segundo Año</w:t>
      </w:r>
      <w:bookmarkEnd w:id="154"/>
    </w:p>
    <w:p w14:paraId="184B3A00" w14:textId="77777777" w:rsidR="00990B14" w:rsidRDefault="00000000">
      <w:pPr>
        <w:pStyle w:val="TituloPlanAsignatura"/>
        <w:keepNext/>
        <w:pageBreakBefore/>
        <w:spacing w:after="120"/>
        <w:jc w:val="center"/>
        <w:outlineLvl w:val="2"/>
      </w:pPr>
      <w:bookmarkStart w:id="155" w:name="_Toc000000096"/>
      <w:r>
        <w:rPr>
          <w:b/>
          <w:bCs/>
          <w:sz w:val="24"/>
          <w:szCs w:val="24"/>
        </w:rPr>
        <w:t>CPA-201 Contabilidad Intermedia</w:t>
      </w:r>
      <w:bookmarkEnd w:id="155"/>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249"/>
        <w:gridCol w:w="1100"/>
        <w:gridCol w:w="149"/>
        <w:gridCol w:w="635"/>
        <w:gridCol w:w="615"/>
        <w:gridCol w:w="952"/>
        <w:gridCol w:w="298"/>
        <w:gridCol w:w="1250"/>
        <w:gridCol w:w="20"/>
        <w:gridCol w:w="385"/>
        <w:gridCol w:w="398"/>
        <w:gridCol w:w="447"/>
        <w:gridCol w:w="1907"/>
      </w:tblGrid>
      <w:tr w:rsidR="00990B14" w14:paraId="1747341B" w14:textId="77777777">
        <w:trPr>
          <w:cantSplit/>
          <w:jc w:val="center"/>
        </w:trPr>
        <w:tc>
          <w:tcPr>
            <w:tcW w:w="2349" w:type="dxa"/>
            <w:gridSpan w:val="2"/>
            <w:shd w:val="clear" w:color="auto" w:fill="4472C4"/>
            <w:vAlign w:val="center"/>
          </w:tcPr>
          <w:p w14:paraId="18FCCE2C" w14:textId="77777777" w:rsidR="00990B14" w:rsidRDefault="00000000">
            <w:pPr>
              <w:keepNext/>
              <w:spacing w:before="20" w:after="20"/>
              <w:jc w:val="center"/>
            </w:pPr>
            <w:r>
              <w:rPr>
                <w:b/>
                <w:bCs/>
                <w:i/>
                <w:iCs/>
                <w:color w:val="FFFFFF"/>
                <w:sz w:val="18"/>
                <w:szCs w:val="18"/>
              </w:rPr>
              <w:t>Asignatura</w:t>
            </w:r>
          </w:p>
        </w:tc>
        <w:tc>
          <w:tcPr>
            <w:tcW w:w="2351" w:type="dxa"/>
            <w:gridSpan w:val="4"/>
            <w:shd w:val="clear" w:color="auto" w:fill="4472C4"/>
            <w:vAlign w:val="center"/>
          </w:tcPr>
          <w:p w14:paraId="357E1BFE" w14:textId="77777777" w:rsidR="00990B14" w:rsidRDefault="00000000">
            <w:pPr>
              <w:keepNext/>
              <w:spacing w:before="20" w:after="20"/>
              <w:jc w:val="center"/>
            </w:pPr>
            <w:r>
              <w:rPr>
                <w:b/>
                <w:bCs/>
                <w:i/>
                <w:iCs/>
                <w:color w:val="FFFFFF"/>
                <w:sz w:val="18"/>
                <w:szCs w:val="18"/>
              </w:rPr>
              <w:t>Sigla</w:t>
            </w:r>
          </w:p>
        </w:tc>
        <w:tc>
          <w:tcPr>
            <w:tcW w:w="2351" w:type="dxa"/>
            <w:gridSpan w:val="5"/>
            <w:shd w:val="clear" w:color="auto" w:fill="4472C4"/>
            <w:vAlign w:val="center"/>
          </w:tcPr>
          <w:p w14:paraId="4204A6FB" w14:textId="77777777" w:rsidR="00990B14" w:rsidRDefault="00000000">
            <w:pPr>
              <w:keepNext/>
              <w:spacing w:before="20" w:after="20"/>
              <w:jc w:val="center"/>
            </w:pPr>
            <w:r>
              <w:rPr>
                <w:b/>
                <w:bCs/>
                <w:i/>
                <w:iCs/>
                <w:color w:val="FFFFFF"/>
                <w:sz w:val="18"/>
                <w:szCs w:val="18"/>
              </w:rPr>
              <w:t>Nivel/Área</w:t>
            </w:r>
          </w:p>
        </w:tc>
        <w:tc>
          <w:tcPr>
            <w:tcW w:w="2354" w:type="dxa"/>
            <w:gridSpan w:val="2"/>
            <w:shd w:val="clear" w:color="auto" w:fill="4472C4"/>
            <w:vAlign w:val="center"/>
          </w:tcPr>
          <w:p w14:paraId="4786BE81" w14:textId="77777777" w:rsidR="00990B14" w:rsidRDefault="00000000">
            <w:pPr>
              <w:keepNext/>
              <w:spacing w:before="20" w:after="20"/>
              <w:jc w:val="center"/>
            </w:pPr>
            <w:r>
              <w:rPr>
                <w:b/>
                <w:bCs/>
                <w:i/>
                <w:iCs/>
                <w:color w:val="FFFFFF"/>
                <w:sz w:val="18"/>
                <w:szCs w:val="18"/>
              </w:rPr>
              <w:t>Prerrequisito</w:t>
            </w:r>
          </w:p>
        </w:tc>
      </w:tr>
      <w:tr w:rsidR="00990B14" w14:paraId="7821D864" w14:textId="77777777">
        <w:trPr>
          <w:cantSplit/>
          <w:jc w:val="center"/>
        </w:trPr>
        <w:tc>
          <w:tcPr>
            <w:tcW w:w="2349" w:type="dxa"/>
            <w:gridSpan w:val="2"/>
            <w:shd w:val="clear" w:color="auto" w:fill="D9E2F3"/>
            <w:vAlign w:val="center"/>
          </w:tcPr>
          <w:p w14:paraId="21A6B019" w14:textId="77777777" w:rsidR="00990B14" w:rsidRDefault="00000000">
            <w:pPr>
              <w:spacing w:before="20" w:after="20"/>
              <w:jc w:val="center"/>
            </w:pPr>
            <w:r>
              <w:rPr>
                <w:b/>
                <w:bCs/>
                <w:i/>
                <w:iCs/>
                <w:sz w:val="18"/>
                <w:szCs w:val="18"/>
              </w:rPr>
              <w:t>Contabilidad Intermedia</w:t>
            </w:r>
          </w:p>
        </w:tc>
        <w:tc>
          <w:tcPr>
            <w:tcW w:w="2351" w:type="dxa"/>
            <w:gridSpan w:val="4"/>
            <w:shd w:val="clear" w:color="auto" w:fill="D9E2F3"/>
            <w:vAlign w:val="center"/>
          </w:tcPr>
          <w:p w14:paraId="12BE8314" w14:textId="77777777" w:rsidR="00990B14" w:rsidRDefault="00000000">
            <w:pPr>
              <w:spacing w:before="20" w:after="20"/>
              <w:jc w:val="center"/>
            </w:pPr>
            <w:r>
              <w:rPr>
                <w:b/>
                <w:bCs/>
                <w:i/>
                <w:iCs/>
                <w:sz w:val="18"/>
                <w:szCs w:val="18"/>
              </w:rPr>
              <w:t>CPA-201</w:t>
            </w:r>
          </w:p>
        </w:tc>
        <w:tc>
          <w:tcPr>
            <w:tcW w:w="2351" w:type="dxa"/>
            <w:gridSpan w:val="5"/>
            <w:shd w:val="clear" w:color="auto" w:fill="D9E2F3"/>
            <w:vAlign w:val="center"/>
          </w:tcPr>
          <w:p w14:paraId="31B7617F" w14:textId="77777777" w:rsidR="00990B14" w:rsidRDefault="00000000">
            <w:pPr>
              <w:spacing w:before="20" w:after="20"/>
              <w:jc w:val="center"/>
            </w:pPr>
            <w:r>
              <w:rPr>
                <w:b/>
                <w:bCs/>
                <w:i/>
                <w:iCs/>
                <w:sz w:val="18"/>
                <w:szCs w:val="18"/>
              </w:rPr>
              <w:t>Información Financiera</w:t>
            </w:r>
          </w:p>
        </w:tc>
        <w:tc>
          <w:tcPr>
            <w:tcW w:w="2354" w:type="dxa"/>
            <w:gridSpan w:val="2"/>
            <w:shd w:val="clear" w:color="auto" w:fill="D9E2F3"/>
            <w:vAlign w:val="center"/>
          </w:tcPr>
          <w:p w14:paraId="632406B2" w14:textId="77777777" w:rsidR="00990B14" w:rsidRDefault="00000000">
            <w:pPr>
              <w:spacing w:before="20" w:after="20"/>
              <w:jc w:val="center"/>
            </w:pPr>
            <w:r>
              <w:rPr>
                <w:b/>
                <w:bCs/>
                <w:i/>
                <w:iCs/>
                <w:sz w:val="18"/>
                <w:szCs w:val="18"/>
              </w:rPr>
              <w:t>CPA-101</w:t>
            </w:r>
          </w:p>
        </w:tc>
      </w:tr>
      <w:tr w:rsidR="00990B14" w14:paraId="01FA7B1F" w14:textId="77777777">
        <w:trPr>
          <w:cantSplit/>
          <w:jc w:val="center"/>
        </w:trPr>
        <w:tc>
          <w:tcPr>
            <w:tcW w:w="7498" w:type="dxa"/>
            <w:gridSpan w:val="12"/>
            <w:shd w:val="clear" w:color="auto" w:fill="4472C4"/>
            <w:vAlign w:val="center"/>
          </w:tcPr>
          <w:p w14:paraId="45776C97" w14:textId="77777777" w:rsidR="00990B14" w:rsidRDefault="00000000">
            <w:pPr>
              <w:keepNext/>
              <w:spacing w:before="20" w:after="20"/>
              <w:jc w:val="center"/>
            </w:pPr>
            <w:r>
              <w:rPr>
                <w:b/>
                <w:bCs/>
                <w:i/>
                <w:iCs/>
                <w:color w:val="FFFFFF"/>
                <w:sz w:val="18"/>
                <w:szCs w:val="18"/>
              </w:rPr>
              <w:t>Carga Horaria</w:t>
            </w:r>
          </w:p>
        </w:tc>
        <w:tc>
          <w:tcPr>
            <w:tcW w:w="1907" w:type="dxa"/>
            <w:shd w:val="clear" w:color="auto" w:fill="4472C4"/>
            <w:vAlign w:val="center"/>
          </w:tcPr>
          <w:p w14:paraId="118DA4DD" w14:textId="77777777" w:rsidR="00990B14" w:rsidRDefault="00000000">
            <w:pPr>
              <w:keepNext/>
              <w:spacing w:before="20" w:after="20"/>
              <w:jc w:val="center"/>
            </w:pPr>
            <w:r>
              <w:rPr>
                <w:b/>
                <w:bCs/>
                <w:i/>
                <w:iCs/>
                <w:color w:val="FFFFFF"/>
                <w:sz w:val="18"/>
                <w:szCs w:val="18"/>
              </w:rPr>
              <w:t>Créditos</w:t>
            </w:r>
          </w:p>
        </w:tc>
      </w:tr>
      <w:tr w:rsidR="00990B14" w14:paraId="065518B4" w14:textId="77777777">
        <w:trPr>
          <w:cantSplit/>
          <w:jc w:val="center"/>
        </w:trPr>
        <w:tc>
          <w:tcPr>
            <w:tcW w:w="1249" w:type="dxa"/>
            <w:shd w:val="clear" w:color="auto" w:fill="4472C4"/>
            <w:vAlign w:val="center"/>
          </w:tcPr>
          <w:p w14:paraId="0151F6A8" w14:textId="77777777" w:rsidR="00990B14" w:rsidRDefault="00000000">
            <w:pPr>
              <w:keepNext/>
              <w:spacing w:before="20" w:after="20"/>
              <w:jc w:val="center"/>
            </w:pPr>
            <w:r>
              <w:rPr>
                <w:b/>
                <w:bCs/>
                <w:i/>
                <w:iCs/>
                <w:color w:val="FFFFFF"/>
                <w:sz w:val="18"/>
                <w:szCs w:val="18"/>
              </w:rPr>
              <w:t>HP</w:t>
            </w:r>
          </w:p>
        </w:tc>
        <w:tc>
          <w:tcPr>
            <w:tcW w:w="1249" w:type="dxa"/>
            <w:gridSpan w:val="2"/>
            <w:shd w:val="clear" w:color="auto" w:fill="4472C4"/>
            <w:vAlign w:val="center"/>
          </w:tcPr>
          <w:p w14:paraId="40704CD2" w14:textId="77777777" w:rsidR="00990B14" w:rsidRDefault="00000000">
            <w:pPr>
              <w:keepNext/>
              <w:spacing w:before="20" w:after="20"/>
              <w:jc w:val="center"/>
            </w:pPr>
            <w:r>
              <w:rPr>
                <w:b/>
                <w:bCs/>
                <w:i/>
                <w:iCs/>
                <w:color w:val="FFFFFF"/>
                <w:sz w:val="18"/>
                <w:szCs w:val="18"/>
              </w:rPr>
              <w:t>HAA</w:t>
            </w:r>
          </w:p>
        </w:tc>
        <w:tc>
          <w:tcPr>
            <w:tcW w:w="1250" w:type="dxa"/>
            <w:gridSpan w:val="2"/>
            <w:shd w:val="clear" w:color="auto" w:fill="4472C4"/>
            <w:vAlign w:val="center"/>
          </w:tcPr>
          <w:p w14:paraId="2F3FF132" w14:textId="77777777" w:rsidR="00990B14" w:rsidRDefault="00000000">
            <w:pPr>
              <w:keepNext/>
              <w:spacing w:before="20" w:after="20"/>
              <w:jc w:val="center"/>
            </w:pPr>
            <w:r>
              <w:rPr>
                <w:b/>
                <w:bCs/>
                <w:i/>
                <w:iCs/>
                <w:color w:val="FFFFFF"/>
                <w:sz w:val="18"/>
                <w:szCs w:val="18"/>
              </w:rPr>
              <w:t>HTG</w:t>
            </w:r>
          </w:p>
        </w:tc>
        <w:tc>
          <w:tcPr>
            <w:tcW w:w="1250" w:type="dxa"/>
            <w:gridSpan w:val="2"/>
            <w:shd w:val="clear" w:color="auto" w:fill="4472C4"/>
            <w:vAlign w:val="center"/>
          </w:tcPr>
          <w:p w14:paraId="4314DAE3" w14:textId="77777777" w:rsidR="00990B14" w:rsidRDefault="00000000">
            <w:pPr>
              <w:keepNext/>
              <w:spacing w:before="20" w:after="20"/>
              <w:jc w:val="center"/>
            </w:pPr>
            <w:r>
              <w:rPr>
                <w:b/>
                <w:bCs/>
                <w:i/>
                <w:iCs/>
                <w:color w:val="FFFFFF"/>
                <w:sz w:val="18"/>
                <w:szCs w:val="18"/>
              </w:rPr>
              <w:t>HIP</w:t>
            </w:r>
          </w:p>
        </w:tc>
        <w:tc>
          <w:tcPr>
            <w:tcW w:w="1250" w:type="dxa"/>
            <w:shd w:val="clear" w:color="auto" w:fill="4472C4"/>
            <w:vAlign w:val="center"/>
          </w:tcPr>
          <w:p w14:paraId="121E1A7F" w14:textId="77777777" w:rsidR="00990B14" w:rsidRDefault="00000000">
            <w:pPr>
              <w:keepNext/>
              <w:spacing w:before="20" w:after="20"/>
              <w:jc w:val="center"/>
            </w:pPr>
            <w:r>
              <w:rPr>
                <w:b/>
                <w:bCs/>
                <w:i/>
                <w:iCs/>
                <w:color w:val="FFFFFF"/>
                <w:sz w:val="18"/>
                <w:szCs w:val="18"/>
              </w:rPr>
              <w:t>HE</w:t>
            </w:r>
          </w:p>
        </w:tc>
        <w:tc>
          <w:tcPr>
            <w:tcW w:w="1250" w:type="dxa"/>
            <w:gridSpan w:val="4"/>
            <w:shd w:val="clear" w:color="auto" w:fill="4472C4"/>
            <w:vAlign w:val="center"/>
          </w:tcPr>
          <w:p w14:paraId="27EB406C" w14:textId="77777777" w:rsidR="00990B14" w:rsidRDefault="00000000">
            <w:pPr>
              <w:keepNext/>
              <w:spacing w:before="20" w:after="20"/>
              <w:jc w:val="center"/>
            </w:pPr>
            <w:r>
              <w:rPr>
                <w:b/>
                <w:bCs/>
                <w:i/>
                <w:iCs/>
                <w:color w:val="FFFFFF"/>
                <w:sz w:val="18"/>
                <w:szCs w:val="18"/>
              </w:rPr>
              <w:t>TOTAL</w:t>
            </w:r>
          </w:p>
        </w:tc>
        <w:tc>
          <w:tcPr>
            <w:tcW w:w="1907" w:type="dxa"/>
            <w:vMerge w:val="restart"/>
            <w:shd w:val="clear" w:color="auto" w:fill="D9E2F3"/>
            <w:vAlign w:val="center"/>
          </w:tcPr>
          <w:p w14:paraId="07133140" w14:textId="77777777" w:rsidR="00990B14" w:rsidRDefault="00000000">
            <w:pPr>
              <w:spacing w:before="20" w:after="20"/>
              <w:jc w:val="center"/>
            </w:pPr>
            <w:r>
              <w:rPr>
                <w:sz w:val="18"/>
                <w:szCs w:val="18"/>
              </w:rPr>
              <w:t>8</w:t>
            </w:r>
          </w:p>
        </w:tc>
      </w:tr>
      <w:tr w:rsidR="00990B14" w14:paraId="37F54BC6" w14:textId="77777777">
        <w:trPr>
          <w:cantSplit/>
          <w:jc w:val="center"/>
        </w:trPr>
        <w:tc>
          <w:tcPr>
            <w:tcW w:w="1249" w:type="dxa"/>
            <w:shd w:val="clear" w:color="auto" w:fill="D9E2F3"/>
            <w:vAlign w:val="center"/>
          </w:tcPr>
          <w:p w14:paraId="09A16A91" w14:textId="77777777" w:rsidR="00990B14" w:rsidRDefault="00000000">
            <w:pPr>
              <w:spacing w:before="20" w:after="20"/>
              <w:jc w:val="center"/>
            </w:pPr>
            <w:r>
              <w:rPr>
                <w:sz w:val="18"/>
                <w:szCs w:val="18"/>
              </w:rPr>
              <w:t>160</w:t>
            </w:r>
          </w:p>
        </w:tc>
        <w:tc>
          <w:tcPr>
            <w:tcW w:w="1249" w:type="dxa"/>
            <w:gridSpan w:val="2"/>
            <w:shd w:val="clear" w:color="auto" w:fill="D9E2F3"/>
            <w:vAlign w:val="center"/>
          </w:tcPr>
          <w:p w14:paraId="1081E07F" w14:textId="77777777" w:rsidR="00990B14" w:rsidRDefault="00000000">
            <w:pPr>
              <w:spacing w:before="20" w:after="20"/>
              <w:jc w:val="center"/>
            </w:pPr>
            <w:r>
              <w:rPr>
                <w:sz w:val="18"/>
                <w:szCs w:val="18"/>
              </w:rPr>
              <w:t>20</w:t>
            </w:r>
          </w:p>
        </w:tc>
        <w:tc>
          <w:tcPr>
            <w:tcW w:w="1250" w:type="dxa"/>
            <w:gridSpan w:val="2"/>
            <w:shd w:val="clear" w:color="auto" w:fill="D9E2F3"/>
            <w:vAlign w:val="center"/>
          </w:tcPr>
          <w:p w14:paraId="618E14DE" w14:textId="77777777" w:rsidR="00990B14" w:rsidRDefault="00000000">
            <w:pPr>
              <w:spacing w:before="20" w:after="20"/>
              <w:jc w:val="center"/>
            </w:pPr>
            <w:r>
              <w:rPr>
                <w:sz w:val="18"/>
                <w:szCs w:val="18"/>
              </w:rPr>
              <w:t>20</w:t>
            </w:r>
          </w:p>
        </w:tc>
        <w:tc>
          <w:tcPr>
            <w:tcW w:w="1250" w:type="dxa"/>
            <w:gridSpan w:val="2"/>
            <w:shd w:val="clear" w:color="auto" w:fill="D9E2F3"/>
            <w:vAlign w:val="center"/>
          </w:tcPr>
          <w:p w14:paraId="22C37359" w14:textId="77777777" w:rsidR="00990B14" w:rsidRDefault="00000000">
            <w:pPr>
              <w:spacing w:before="20" w:after="20"/>
              <w:jc w:val="center"/>
            </w:pPr>
            <w:r>
              <w:rPr>
                <w:sz w:val="18"/>
                <w:szCs w:val="18"/>
              </w:rPr>
              <w:t>20</w:t>
            </w:r>
          </w:p>
        </w:tc>
        <w:tc>
          <w:tcPr>
            <w:tcW w:w="1250" w:type="dxa"/>
            <w:shd w:val="clear" w:color="auto" w:fill="D9E2F3"/>
            <w:vAlign w:val="center"/>
          </w:tcPr>
          <w:p w14:paraId="3F2CE9FC" w14:textId="77777777" w:rsidR="00990B14" w:rsidRDefault="00000000">
            <w:pPr>
              <w:spacing w:before="20" w:after="20"/>
              <w:jc w:val="center"/>
            </w:pPr>
            <w:r>
              <w:rPr>
                <w:sz w:val="18"/>
                <w:szCs w:val="18"/>
              </w:rPr>
              <w:t>20</w:t>
            </w:r>
          </w:p>
        </w:tc>
        <w:tc>
          <w:tcPr>
            <w:tcW w:w="1250" w:type="dxa"/>
            <w:gridSpan w:val="4"/>
            <w:shd w:val="clear" w:color="auto" w:fill="D9E2F3"/>
            <w:vAlign w:val="center"/>
          </w:tcPr>
          <w:p w14:paraId="39193B6B" w14:textId="77777777" w:rsidR="00990B14" w:rsidRDefault="00000000">
            <w:pPr>
              <w:spacing w:before="20" w:after="20"/>
              <w:jc w:val="center"/>
            </w:pPr>
            <w:r>
              <w:rPr>
                <w:sz w:val="18"/>
                <w:szCs w:val="18"/>
              </w:rPr>
              <w:t>240</w:t>
            </w:r>
          </w:p>
        </w:tc>
        <w:tc>
          <w:tcPr>
            <w:tcW w:w="1907" w:type="dxa"/>
            <w:vMerge/>
            <w:shd w:val="clear" w:color="auto" w:fill="D9E2F3"/>
            <w:vAlign w:val="center"/>
          </w:tcPr>
          <w:p w14:paraId="18094DAB" w14:textId="77777777" w:rsidR="00990B14" w:rsidRDefault="00990B14">
            <w:pPr>
              <w:spacing w:before="20" w:after="20"/>
            </w:pPr>
          </w:p>
        </w:tc>
      </w:tr>
      <w:tr w:rsidR="00990B14" w14:paraId="451B1935" w14:textId="77777777">
        <w:trPr>
          <w:cantSplit/>
          <w:jc w:val="center"/>
        </w:trPr>
        <w:tc>
          <w:tcPr>
            <w:tcW w:w="9405" w:type="dxa"/>
            <w:gridSpan w:val="13"/>
            <w:shd w:val="clear" w:color="auto" w:fill="4472C4"/>
            <w:vAlign w:val="center"/>
          </w:tcPr>
          <w:p w14:paraId="5868BCAD" w14:textId="77777777" w:rsidR="00990B14" w:rsidRDefault="00000000">
            <w:pPr>
              <w:keepNext/>
              <w:spacing w:before="20" w:after="20"/>
              <w:jc w:val="center"/>
            </w:pPr>
            <w:r>
              <w:rPr>
                <w:b/>
                <w:bCs/>
                <w:i/>
                <w:iCs/>
                <w:color w:val="FFFFFF"/>
                <w:sz w:val="18"/>
                <w:szCs w:val="18"/>
              </w:rPr>
              <w:t>Unidad de Competencia</w:t>
            </w:r>
          </w:p>
        </w:tc>
      </w:tr>
      <w:tr w:rsidR="00990B14" w14:paraId="7020258C" w14:textId="77777777">
        <w:trPr>
          <w:cantSplit/>
          <w:jc w:val="center"/>
        </w:trPr>
        <w:tc>
          <w:tcPr>
            <w:tcW w:w="9405" w:type="dxa"/>
            <w:gridSpan w:val="13"/>
            <w:shd w:val="clear" w:color="auto" w:fill="D9E2F3"/>
            <w:vAlign w:val="center"/>
          </w:tcPr>
          <w:p w14:paraId="3BA2D05C" w14:textId="77777777" w:rsidR="00990B14" w:rsidRDefault="00000000">
            <w:pPr>
              <w:spacing w:before="20" w:after="20"/>
              <w:jc w:val="both"/>
            </w:pPr>
            <w:r>
              <w:rPr>
                <w:sz w:val="18"/>
                <w:szCs w:val="18"/>
              </w:rPr>
              <w:t>Estructura el marco de teoría contable para la situación financiera, el desempeño financiero y los flujos de efectivo de una entidad boliviana, conforme a las normas de contabilidad y disposiciones legales vigentes en Bolivia, a través de un sistema de contabilidad acorde a las actividades de una entidad boliviana, en función a un sistema de control interno, aplicando criterios de valuación y reconocimiento (apropiación) para partidas de balance y resultado, operando herramientas digitales y las plataformas del Servicio de Impuestos Nacionales, para generar información razonable, oportuna, íntegra, confiable y útil para la toma y control de decisiones.</w:t>
            </w:r>
          </w:p>
        </w:tc>
      </w:tr>
      <w:tr w:rsidR="00990B14" w14:paraId="5E9C9190" w14:textId="77777777">
        <w:trPr>
          <w:cantSplit/>
          <w:jc w:val="center"/>
        </w:trPr>
        <w:tc>
          <w:tcPr>
            <w:tcW w:w="9405" w:type="dxa"/>
            <w:gridSpan w:val="13"/>
            <w:shd w:val="clear" w:color="auto" w:fill="D9E2F3"/>
            <w:vAlign w:val="center"/>
          </w:tcPr>
          <w:p w14:paraId="1C4D5AAE" w14:textId="77777777" w:rsidR="00990B14" w:rsidRDefault="00000000">
            <w:pPr>
              <w:spacing w:before="20" w:after="20"/>
              <w:jc w:val="both"/>
            </w:pPr>
            <w:r>
              <w:rPr>
                <w:b/>
                <w:bCs/>
                <w:i/>
                <w:iCs/>
                <w:sz w:val="18"/>
                <w:szCs w:val="18"/>
              </w:rPr>
              <w:t xml:space="preserve">Elemento de competencia 1: </w:t>
            </w:r>
            <w:r>
              <w:rPr>
                <w:sz w:val="18"/>
                <w:szCs w:val="18"/>
              </w:rPr>
              <w:t>Controla el efectivo de una entidad boliviana, arqueando los fondos de caja chica y de caja y conciliando los saldos de la cuenta corriente bancaria.</w:t>
            </w:r>
          </w:p>
        </w:tc>
      </w:tr>
      <w:tr w:rsidR="00990B14" w14:paraId="5938F4E4" w14:textId="77777777">
        <w:trPr>
          <w:cantSplit/>
          <w:jc w:val="center"/>
        </w:trPr>
        <w:tc>
          <w:tcPr>
            <w:tcW w:w="3133" w:type="dxa"/>
            <w:gridSpan w:val="4"/>
            <w:shd w:val="clear" w:color="auto" w:fill="4472C4"/>
            <w:vAlign w:val="center"/>
          </w:tcPr>
          <w:p w14:paraId="37891EAD"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226A92C3"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6D8D1A5B" w14:textId="77777777" w:rsidR="00990B14" w:rsidRDefault="00000000">
            <w:pPr>
              <w:keepNext/>
              <w:spacing w:before="20" w:after="20"/>
              <w:jc w:val="center"/>
            </w:pPr>
            <w:r>
              <w:rPr>
                <w:b/>
                <w:bCs/>
                <w:i/>
                <w:iCs/>
                <w:color w:val="FFFFFF"/>
                <w:sz w:val="18"/>
                <w:szCs w:val="18"/>
              </w:rPr>
              <w:t>Evidencias de producto</w:t>
            </w:r>
          </w:p>
        </w:tc>
      </w:tr>
      <w:tr w:rsidR="00990B14" w14:paraId="55433FEF" w14:textId="77777777">
        <w:trPr>
          <w:cantSplit/>
          <w:jc w:val="center"/>
        </w:trPr>
        <w:tc>
          <w:tcPr>
            <w:tcW w:w="3133" w:type="dxa"/>
            <w:gridSpan w:val="4"/>
            <w:vMerge w:val="restart"/>
            <w:shd w:val="clear" w:color="auto" w:fill="D9E2F3"/>
            <w:vAlign w:val="center"/>
          </w:tcPr>
          <w:p w14:paraId="7917B4F4" w14:textId="77777777" w:rsidR="00990B14" w:rsidRDefault="00000000">
            <w:pPr>
              <w:spacing w:before="20" w:after="20"/>
              <w:jc w:val="both"/>
            </w:pPr>
            <w:r>
              <w:rPr>
                <w:sz w:val="18"/>
                <w:szCs w:val="18"/>
              </w:rPr>
              <w:t>1. Controla los fondos de caja chica y de caja de una entidad boliviana, aplicando el procedimiento del arqueo y registrando los asientos de reposición y de incorporación.</w:t>
            </w:r>
          </w:p>
        </w:tc>
        <w:tc>
          <w:tcPr>
            <w:tcW w:w="3135" w:type="dxa"/>
            <w:gridSpan w:val="5"/>
            <w:shd w:val="clear" w:color="auto" w:fill="D9E2F3"/>
            <w:vAlign w:val="center"/>
          </w:tcPr>
          <w:p w14:paraId="1D85E496" w14:textId="77777777" w:rsidR="00990B14" w:rsidRDefault="00000000">
            <w:pPr>
              <w:spacing w:before="20" w:after="20"/>
              <w:jc w:val="both"/>
            </w:pPr>
            <w:r>
              <w:rPr>
                <w:sz w:val="18"/>
                <w:szCs w:val="18"/>
              </w:rPr>
              <w:t>1.1 Practica en aula el arqueo sorpresivo de caja chica de un caso boliviano, determinando los faltantes con y sin responsabilidad.</w:t>
            </w:r>
          </w:p>
        </w:tc>
        <w:tc>
          <w:tcPr>
            <w:tcW w:w="3137" w:type="dxa"/>
            <w:gridSpan w:val="4"/>
            <w:shd w:val="clear" w:color="auto" w:fill="D9E2F3"/>
            <w:vAlign w:val="center"/>
          </w:tcPr>
          <w:p w14:paraId="349F105B" w14:textId="77777777" w:rsidR="00990B14" w:rsidRDefault="00000000">
            <w:pPr>
              <w:spacing w:before="20" w:after="20"/>
              <w:jc w:val="both"/>
            </w:pPr>
            <w:r>
              <w:rPr>
                <w:b/>
                <w:bCs/>
                <w:sz w:val="18"/>
                <w:szCs w:val="18"/>
              </w:rPr>
              <w:t xml:space="preserve">Producto 1: </w:t>
            </w:r>
            <w:r>
              <w:rPr>
                <w:sz w:val="18"/>
                <w:szCs w:val="18"/>
              </w:rPr>
              <w:t>Planilla de arqueo de caja chica con la determinación de diferencias.</w:t>
            </w:r>
          </w:p>
        </w:tc>
      </w:tr>
      <w:tr w:rsidR="00990B14" w14:paraId="754515A2" w14:textId="77777777">
        <w:trPr>
          <w:cantSplit/>
          <w:jc w:val="center"/>
        </w:trPr>
        <w:tc>
          <w:tcPr>
            <w:tcW w:w="3133" w:type="dxa"/>
            <w:gridSpan w:val="4"/>
            <w:vMerge/>
            <w:shd w:val="clear" w:color="auto" w:fill="D9E2F3"/>
            <w:vAlign w:val="center"/>
          </w:tcPr>
          <w:p w14:paraId="0FF89B9A" w14:textId="77777777" w:rsidR="00990B14" w:rsidRDefault="00990B14">
            <w:pPr>
              <w:spacing w:before="20" w:after="20"/>
            </w:pPr>
          </w:p>
        </w:tc>
        <w:tc>
          <w:tcPr>
            <w:tcW w:w="3135" w:type="dxa"/>
            <w:gridSpan w:val="5"/>
            <w:shd w:val="clear" w:color="auto" w:fill="D9E2F3"/>
            <w:vAlign w:val="center"/>
          </w:tcPr>
          <w:p w14:paraId="4F762C60" w14:textId="77777777" w:rsidR="00990B14" w:rsidRDefault="00000000">
            <w:pPr>
              <w:spacing w:before="20" w:after="20"/>
              <w:jc w:val="both"/>
            </w:pPr>
            <w:r>
              <w:rPr>
                <w:sz w:val="18"/>
                <w:szCs w:val="18"/>
              </w:rPr>
              <w:t>1.2 Registra en equipo las operaciones de caja de un periodo con sus asientos de incorporación y de regularización.</w:t>
            </w:r>
          </w:p>
        </w:tc>
        <w:tc>
          <w:tcPr>
            <w:tcW w:w="3137" w:type="dxa"/>
            <w:gridSpan w:val="4"/>
            <w:shd w:val="clear" w:color="auto" w:fill="D9E2F3"/>
            <w:vAlign w:val="center"/>
          </w:tcPr>
          <w:p w14:paraId="03913905" w14:textId="77777777" w:rsidR="00990B14" w:rsidRDefault="00000000">
            <w:pPr>
              <w:spacing w:before="20" w:after="20"/>
              <w:jc w:val="both"/>
            </w:pPr>
            <w:r>
              <w:rPr>
                <w:b/>
                <w:bCs/>
                <w:sz w:val="18"/>
                <w:szCs w:val="18"/>
              </w:rPr>
              <w:t xml:space="preserve">Producto 2: </w:t>
            </w:r>
            <w:r>
              <w:rPr>
                <w:sz w:val="18"/>
                <w:szCs w:val="18"/>
              </w:rPr>
              <w:t>Libro de registro de caja con sus asientos de incorporación y de regularización.</w:t>
            </w:r>
          </w:p>
        </w:tc>
      </w:tr>
      <w:tr w:rsidR="00990B14" w14:paraId="63B82FCF" w14:textId="77777777">
        <w:trPr>
          <w:cantSplit/>
          <w:jc w:val="center"/>
        </w:trPr>
        <w:tc>
          <w:tcPr>
            <w:tcW w:w="3133" w:type="dxa"/>
            <w:gridSpan w:val="4"/>
            <w:vMerge w:val="restart"/>
            <w:shd w:val="clear" w:color="auto" w:fill="D9E2F3"/>
            <w:vAlign w:val="center"/>
          </w:tcPr>
          <w:p w14:paraId="765BD71E" w14:textId="77777777" w:rsidR="00990B14" w:rsidRDefault="00000000">
            <w:pPr>
              <w:spacing w:before="20" w:after="20"/>
              <w:jc w:val="both"/>
            </w:pPr>
            <w:r>
              <w:rPr>
                <w:sz w:val="18"/>
                <w:szCs w:val="18"/>
              </w:rPr>
              <w:t>2. Concilia los saldos de la cuenta corriente bancaria con el extracto del banco, registrando los asientos de regularización en moneda nacional y extranjera y presentando el efectivo y equivalentes en el estado de situación financiera.</w:t>
            </w:r>
          </w:p>
        </w:tc>
        <w:tc>
          <w:tcPr>
            <w:tcW w:w="3135" w:type="dxa"/>
            <w:gridSpan w:val="5"/>
            <w:shd w:val="clear" w:color="auto" w:fill="D9E2F3"/>
            <w:vAlign w:val="center"/>
          </w:tcPr>
          <w:p w14:paraId="3C589010" w14:textId="77777777" w:rsidR="00990B14" w:rsidRDefault="00000000">
            <w:pPr>
              <w:spacing w:before="20" w:after="20"/>
              <w:jc w:val="both"/>
            </w:pPr>
            <w:r>
              <w:rPr>
                <w:sz w:val="18"/>
                <w:szCs w:val="18"/>
              </w:rPr>
              <w:t>2.1 Concilia en el laboratorio de cómputo el mayor de banco con el extracto bancario de un mes en hoja de cálculo.</w:t>
            </w:r>
          </w:p>
        </w:tc>
        <w:tc>
          <w:tcPr>
            <w:tcW w:w="3137" w:type="dxa"/>
            <w:gridSpan w:val="4"/>
            <w:shd w:val="clear" w:color="auto" w:fill="D9E2F3"/>
            <w:vAlign w:val="center"/>
          </w:tcPr>
          <w:p w14:paraId="2C9B7A86" w14:textId="77777777" w:rsidR="00990B14" w:rsidRDefault="00000000">
            <w:pPr>
              <w:spacing w:before="20" w:after="20"/>
              <w:jc w:val="both"/>
            </w:pPr>
            <w:r>
              <w:rPr>
                <w:b/>
                <w:bCs/>
                <w:sz w:val="18"/>
                <w:szCs w:val="18"/>
              </w:rPr>
              <w:t xml:space="preserve">Producto 3: </w:t>
            </w:r>
            <w:r>
              <w:rPr>
                <w:sz w:val="18"/>
                <w:szCs w:val="18"/>
              </w:rPr>
              <w:t>Conciliación bancaria mensual con sus asientos de regularización.</w:t>
            </w:r>
          </w:p>
        </w:tc>
      </w:tr>
      <w:tr w:rsidR="00990B14" w14:paraId="30BAE2FF" w14:textId="77777777">
        <w:trPr>
          <w:cantSplit/>
          <w:jc w:val="center"/>
        </w:trPr>
        <w:tc>
          <w:tcPr>
            <w:tcW w:w="3133" w:type="dxa"/>
            <w:gridSpan w:val="4"/>
            <w:vMerge/>
            <w:shd w:val="clear" w:color="auto" w:fill="D9E2F3"/>
            <w:vAlign w:val="center"/>
          </w:tcPr>
          <w:p w14:paraId="2C0EFCD4" w14:textId="77777777" w:rsidR="00990B14" w:rsidRDefault="00990B14">
            <w:pPr>
              <w:spacing w:before="20" w:after="20"/>
            </w:pPr>
          </w:p>
        </w:tc>
        <w:tc>
          <w:tcPr>
            <w:tcW w:w="3135" w:type="dxa"/>
            <w:gridSpan w:val="5"/>
            <w:shd w:val="clear" w:color="auto" w:fill="D9E2F3"/>
            <w:vAlign w:val="center"/>
          </w:tcPr>
          <w:p w14:paraId="560628AE" w14:textId="77777777" w:rsidR="00990B14" w:rsidRDefault="00000000">
            <w:pPr>
              <w:spacing w:before="20" w:after="20"/>
              <w:jc w:val="both"/>
            </w:pPr>
            <w:r>
              <w:rPr>
                <w:sz w:val="18"/>
                <w:szCs w:val="18"/>
              </w:rPr>
              <w:t>2.2 Expone ante el curso la presentación del efectivo y equivalentes de efectivo de una entidad boliviana según normas de contabilidad vigentes</w:t>
            </w:r>
          </w:p>
        </w:tc>
        <w:tc>
          <w:tcPr>
            <w:tcW w:w="3137" w:type="dxa"/>
            <w:gridSpan w:val="4"/>
            <w:shd w:val="clear" w:color="auto" w:fill="D9E2F3"/>
            <w:vAlign w:val="center"/>
          </w:tcPr>
          <w:p w14:paraId="455388FB" w14:textId="77777777" w:rsidR="00990B14" w:rsidRDefault="00000000">
            <w:pPr>
              <w:spacing w:before="20" w:after="20"/>
              <w:jc w:val="both"/>
            </w:pPr>
            <w:r>
              <w:rPr>
                <w:b/>
                <w:bCs/>
                <w:sz w:val="18"/>
                <w:szCs w:val="18"/>
              </w:rPr>
              <w:t xml:space="preserve">Producto 4: </w:t>
            </w:r>
            <w:r>
              <w:rPr>
                <w:sz w:val="18"/>
                <w:szCs w:val="18"/>
              </w:rPr>
              <w:t>Exposición del efectivo y equivalentes en el Estado de Situación Financiera.</w:t>
            </w:r>
          </w:p>
        </w:tc>
      </w:tr>
      <w:tr w:rsidR="00990B14" w14:paraId="674302CA" w14:textId="77777777">
        <w:trPr>
          <w:cantSplit/>
          <w:jc w:val="center"/>
        </w:trPr>
        <w:tc>
          <w:tcPr>
            <w:tcW w:w="9405" w:type="dxa"/>
            <w:gridSpan w:val="13"/>
            <w:shd w:val="clear" w:color="auto" w:fill="4472C4"/>
            <w:vAlign w:val="center"/>
          </w:tcPr>
          <w:p w14:paraId="0CA31400" w14:textId="77777777" w:rsidR="00990B14" w:rsidRDefault="00000000">
            <w:pPr>
              <w:keepNext/>
              <w:spacing w:before="20" w:after="20"/>
              <w:jc w:val="center"/>
            </w:pPr>
            <w:r>
              <w:rPr>
                <w:b/>
                <w:bCs/>
                <w:i/>
                <w:iCs/>
                <w:color w:val="FFFFFF"/>
                <w:sz w:val="18"/>
                <w:szCs w:val="18"/>
              </w:rPr>
              <w:t>Evidencias de conocimiento</w:t>
            </w:r>
          </w:p>
        </w:tc>
      </w:tr>
      <w:tr w:rsidR="00990B14" w14:paraId="0758FFB2" w14:textId="77777777">
        <w:trPr>
          <w:cantSplit/>
          <w:jc w:val="center"/>
        </w:trPr>
        <w:tc>
          <w:tcPr>
            <w:tcW w:w="2349" w:type="dxa"/>
            <w:gridSpan w:val="2"/>
            <w:shd w:val="clear" w:color="auto" w:fill="4472C4"/>
            <w:vAlign w:val="center"/>
          </w:tcPr>
          <w:p w14:paraId="10CEE178"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6BAC6327" w14:textId="77777777" w:rsidR="00990B14" w:rsidRDefault="00000000">
            <w:pPr>
              <w:keepNext/>
              <w:spacing w:before="20" w:after="20"/>
              <w:jc w:val="both"/>
            </w:pPr>
            <w:r>
              <w:rPr>
                <w:b/>
                <w:bCs/>
                <w:i/>
                <w:iCs/>
                <w:color w:val="FFFFFF"/>
                <w:sz w:val="18"/>
                <w:szCs w:val="18"/>
              </w:rPr>
              <w:t>Contenidos</w:t>
            </w:r>
          </w:p>
          <w:p w14:paraId="4F64AF9A"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64B17817" w14:textId="77777777" w:rsidR="00990B14" w:rsidRDefault="00000000">
            <w:pPr>
              <w:keepNext/>
              <w:spacing w:before="20" w:after="20"/>
              <w:jc w:val="center"/>
            </w:pPr>
            <w:r>
              <w:rPr>
                <w:b/>
                <w:bCs/>
                <w:i/>
                <w:iCs/>
                <w:color w:val="FFFFFF"/>
                <w:sz w:val="18"/>
                <w:szCs w:val="18"/>
              </w:rPr>
              <w:t>Conocimientos circunstanciales</w:t>
            </w:r>
          </w:p>
        </w:tc>
      </w:tr>
      <w:tr w:rsidR="00990B14" w14:paraId="326E3D81" w14:textId="77777777">
        <w:trPr>
          <w:jc w:val="center"/>
        </w:trPr>
        <w:tc>
          <w:tcPr>
            <w:tcW w:w="2349" w:type="dxa"/>
            <w:gridSpan w:val="2"/>
            <w:shd w:val="clear" w:color="auto" w:fill="D9E2F3"/>
          </w:tcPr>
          <w:p w14:paraId="7C56145F" w14:textId="77777777" w:rsidR="00990B14" w:rsidRDefault="00000000">
            <w:pPr>
              <w:spacing w:before="20" w:after="40"/>
              <w:jc w:val="both"/>
            </w:pPr>
            <w:r>
              <w:rPr>
                <w:sz w:val="18"/>
                <w:szCs w:val="18"/>
              </w:rPr>
              <w:t>Tema 1: Caja chica</w:t>
            </w:r>
          </w:p>
          <w:p w14:paraId="0D587002" w14:textId="77777777" w:rsidR="00990B14" w:rsidRDefault="00000000">
            <w:pPr>
              <w:spacing w:before="20" w:after="40"/>
              <w:jc w:val="both"/>
            </w:pPr>
            <w:r>
              <w:rPr>
                <w:sz w:val="18"/>
                <w:szCs w:val="18"/>
              </w:rPr>
              <w:t>Tema 2: Caja</w:t>
            </w:r>
          </w:p>
          <w:p w14:paraId="14CDBAFF" w14:textId="77777777" w:rsidR="00990B14" w:rsidRDefault="00000000">
            <w:pPr>
              <w:spacing w:before="20" w:after="40"/>
              <w:jc w:val="both"/>
            </w:pPr>
            <w:r>
              <w:rPr>
                <w:sz w:val="18"/>
                <w:szCs w:val="18"/>
              </w:rPr>
              <w:t>Tema 3: Conciliaciones bancarias</w:t>
            </w:r>
          </w:p>
        </w:tc>
        <w:tc>
          <w:tcPr>
            <w:tcW w:w="4304" w:type="dxa"/>
            <w:gridSpan w:val="8"/>
            <w:shd w:val="clear" w:color="auto" w:fill="D9E2F3"/>
          </w:tcPr>
          <w:p w14:paraId="338B79F1" w14:textId="77777777" w:rsidR="00990B14" w:rsidRDefault="00000000">
            <w:pPr>
              <w:spacing w:after="40"/>
              <w:jc w:val="both"/>
            </w:pPr>
            <w:r>
              <w:rPr>
                <w:sz w:val="18"/>
                <w:szCs w:val="18"/>
              </w:rPr>
              <w:t>Caja chica: concepto, objetivo, características, y control con el diseño y la conformación del registro de caja chica. (C, P)</w:t>
            </w:r>
          </w:p>
          <w:p w14:paraId="08D1D9F6" w14:textId="77777777" w:rsidR="00990B14" w:rsidRDefault="00000000">
            <w:pPr>
              <w:spacing w:after="40"/>
              <w:jc w:val="both"/>
            </w:pPr>
            <w:r>
              <w:rPr>
                <w:sz w:val="18"/>
                <w:szCs w:val="18"/>
              </w:rPr>
              <w:t>Documentación de caja chica: corte, selección y revisión de comprobantes; validación, selección y clasificación del efectivo en caja. (C, P)</w:t>
            </w:r>
          </w:p>
          <w:p w14:paraId="75A369D0" w14:textId="77777777" w:rsidR="00990B14" w:rsidRDefault="00000000">
            <w:pPr>
              <w:spacing w:after="40"/>
              <w:jc w:val="both"/>
            </w:pPr>
            <w:r>
              <w:rPr>
                <w:sz w:val="18"/>
                <w:szCs w:val="18"/>
              </w:rPr>
              <w:t>Procedimiento del arqueo de caja chica: diferencias detectadas, faltantes sin responsabilidad y faltantes con responsabilidad; reposición de fondos. (P)</w:t>
            </w:r>
          </w:p>
          <w:p w14:paraId="191F3A4A" w14:textId="77777777" w:rsidR="00990B14" w:rsidRDefault="00000000">
            <w:pPr>
              <w:spacing w:after="40"/>
              <w:jc w:val="both"/>
            </w:pPr>
            <w:r>
              <w:rPr>
                <w:sz w:val="18"/>
                <w:szCs w:val="18"/>
              </w:rPr>
              <w:t>Naturaleza de la cuenta Caja Chica y tratamiento contable del asiento de reposición. (C, P)</w:t>
            </w:r>
          </w:p>
          <w:p w14:paraId="5E0BE7BF" w14:textId="77777777" w:rsidR="00990B14" w:rsidRDefault="00000000">
            <w:pPr>
              <w:spacing w:after="40"/>
              <w:jc w:val="both"/>
            </w:pPr>
            <w:r>
              <w:rPr>
                <w:sz w:val="18"/>
                <w:szCs w:val="18"/>
              </w:rPr>
              <w:t>Caja: concepto, objetivo, características, y control con el diseño y la conformación del registro de caja. (C, P)</w:t>
            </w:r>
          </w:p>
          <w:p w14:paraId="09C67371" w14:textId="77777777" w:rsidR="00990B14" w:rsidRDefault="00000000">
            <w:pPr>
              <w:spacing w:after="40"/>
              <w:jc w:val="both"/>
            </w:pPr>
            <w:r>
              <w:rPr>
                <w:sz w:val="18"/>
                <w:szCs w:val="18"/>
              </w:rPr>
              <w:t>Documentación de caja: revisión de cheques recibidos, corte, selección y revisión de comprobantes; selección y clasificación del efectivo en caja. (C, P)</w:t>
            </w:r>
          </w:p>
          <w:p w14:paraId="1D475C7E" w14:textId="77777777" w:rsidR="00990B14" w:rsidRDefault="00000000">
            <w:pPr>
              <w:spacing w:after="40"/>
              <w:jc w:val="both"/>
            </w:pPr>
            <w:r>
              <w:rPr>
                <w:sz w:val="18"/>
                <w:szCs w:val="18"/>
              </w:rPr>
              <w:t>Procedimiento del arqueo de caja: diferencias detectadas, faltantes sin responsabilidad y faltantes con responsabilidad. (P)</w:t>
            </w:r>
          </w:p>
          <w:p w14:paraId="55B40837" w14:textId="77777777" w:rsidR="00990B14" w:rsidRDefault="00000000">
            <w:pPr>
              <w:spacing w:after="40"/>
              <w:jc w:val="both"/>
            </w:pPr>
            <w:r>
              <w:rPr>
                <w:sz w:val="18"/>
                <w:szCs w:val="18"/>
              </w:rPr>
              <w:t>Control interno del efectivo: custodia, segregación de funciones y arqueos sorpresivos. (C)</w:t>
            </w:r>
          </w:p>
          <w:p w14:paraId="76AC19E4" w14:textId="77777777" w:rsidR="00990B14" w:rsidRDefault="00000000">
            <w:pPr>
              <w:spacing w:after="40"/>
              <w:jc w:val="both"/>
            </w:pPr>
            <w:r>
              <w:rPr>
                <w:sz w:val="18"/>
                <w:szCs w:val="18"/>
              </w:rPr>
              <w:t>Naturaleza de la cuenta Caja y tratamiento contable de los asientos de incorporación. (C, P)</w:t>
            </w:r>
          </w:p>
          <w:p w14:paraId="436A3FF5" w14:textId="77777777" w:rsidR="00990B14" w:rsidRDefault="00000000">
            <w:pPr>
              <w:spacing w:after="40"/>
              <w:jc w:val="both"/>
            </w:pPr>
            <w:r>
              <w:rPr>
                <w:sz w:val="18"/>
                <w:szCs w:val="18"/>
              </w:rPr>
              <w:t>Conciliación bancaria: concepto, objetivo, características, y control con el diseño y la conformación del registro de banco. (C, P)</w:t>
            </w:r>
          </w:p>
          <w:p w14:paraId="5E2464DB" w14:textId="77777777" w:rsidR="00990B14" w:rsidRDefault="00000000">
            <w:pPr>
              <w:spacing w:after="40"/>
              <w:jc w:val="both"/>
            </w:pPr>
            <w:r>
              <w:rPr>
                <w:sz w:val="18"/>
                <w:szCs w:val="18"/>
              </w:rPr>
              <w:t>Cuenta corriente bancaria: requisitos y boletas de depósito; el cheque: características, giro, endoso, rechazo, clases y disposiciones legales. (C)</w:t>
            </w:r>
          </w:p>
          <w:p w14:paraId="353E1102" w14:textId="77777777" w:rsidR="00990B14" w:rsidRDefault="00000000">
            <w:pPr>
              <w:spacing w:after="40"/>
              <w:jc w:val="both"/>
            </w:pPr>
            <w:r>
              <w:rPr>
                <w:sz w:val="18"/>
                <w:szCs w:val="18"/>
              </w:rPr>
              <w:t>Metodología de la conciliación de saldos: cargos y abonos de la empresa sin conocimiento del banco, y cargos y abonos del banco sin conocimiento de la empresa. (P, T)</w:t>
            </w:r>
          </w:p>
          <w:p w14:paraId="291F3F56" w14:textId="77777777" w:rsidR="00990B14" w:rsidRDefault="00000000">
            <w:pPr>
              <w:spacing w:after="40"/>
              <w:jc w:val="both"/>
            </w:pPr>
            <w:r>
              <w:rPr>
                <w:sz w:val="18"/>
                <w:szCs w:val="18"/>
              </w:rPr>
              <w:t>Naturaleza de la cuenta Banco y tratamiento contable a partir del registro de mayor y el extracto bancario: asientos de regularización. (C, P)</w:t>
            </w:r>
          </w:p>
          <w:p w14:paraId="2ECD9644" w14:textId="77777777" w:rsidR="00990B14" w:rsidRDefault="00000000">
            <w:pPr>
              <w:spacing w:after="40"/>
              <w:jc w:val="both"/>
            </w:pPr>
            <w:r>
              <w:rPr>
                <w:sz w:val="18"/>
                <w:szCs w:val="18"/>
              </w:rPr>
              <w:t>Transacciones en moneda extranjera: conciliación de saldos en cuentas bancarias y registro de las diferencias de cambio. (P)</w:t>
            </w:r>
          </w:p>
          <w:p w14:paraId="200A883F" w14:textId="77777777" w:rsidR="00990B14" w:rsidRDefault="00000000">
            <w:pPr>
              <w:spacing w:after="40"/>
              <w:jc w:val="both"/>
            </w:pPr>
            <w:r>
              <w:rPr>
                <w:sz w:val="18"/>
                <w:szCs w:val="18"/>
              </w:rPr>
              <w:t>Efectivo y equivalentes de efectivo: definición de la NIC 7 y presentación en el estado de situación financiera según normas de contabilidad vigentes. (C, P)</w:t>
            </w:r>
          </w:p>
        </w:tc>
        <w:tc>
          <w:tcPr>
            <w:tcW w:w="2752" w:type="dxa"/>
            <w:gridSpan w:val="3"/>
            <w:shd w:val="clear" w:color="auto" w:fill="D9E2F3"/>
          </w:tcPr>
          <w:p w14:paraId="4F198EAF" w14:textId="77777777" w:rsidR="00990B14" w:rsidRDefault="00000000">
            <w:pPr>
              <w:numPr>
                <w:ilvl w:val="0"/>
                <w:numId w:val="139"/>
              </w:numPr>
              <w:spacing w:before="10" w:after="10"/>
              <w:jc w:val="both"/>
            </w:pPr>
            <w:r>
              <w:rPr>
                <w:sz w:val="18"/>
                <w:szCs w:val="18"/>
              </w:rPr>
              <w:t>Nociones del funcionamiento de la cuenta corriente y de los servicios de banca por internet.</w:t>
            </w:r>
          </w:p>
          <w:p w14:paraId="2283B973" w14:textId="77777777" w:rsidR="00990B14" w:rsidRDefault="00000000">
            <w:pPr>
              <w:numPr>
                <w:ilvl w:val="0"/>
                <w:numId w:val="139"/>
              </w:numPr>
              <w:spacing w:before="10" w:after="10"/>
              <w:jc w:val="both"/>
            </w:pPr>
            <w:r>
              <w:rPr>
                <w:sz w:val="18"/>
                <w:szCs w:val="18"/>
              </w:rPr>
              <w:t>Nociones del manejo del dinero en efectivo y de la detección de billetes falsificados.</w:t>
            </w:r>
          </w:p>
        </w:tc>
      </w:tr>
      <w:tr w:rsidR="00990B14" w14:paraId="3B436610" w14:textId="77777777">
        <w:trPr>
          <w:cantSplit/>
          <w:jc w:val="center"/>
        </w:trPr>
        <w:tc>
          <w:tcPr>
            <w:tcW w:w="9405" w:type="dxa"/>
            <w:gridSpan w:val="13"/>
            <w:shd w:val="clear" w:color="auto" w:fill="D9E2F3"/>
            <w:vAlign w:val="center"/>
          </w:tcPr>
          <w:p w14:paraId="4A3A57B4" w14:textId="77777777" w:rsidR="00990B14" w:rsidRDefault="00000000">
            <w:pPr>
              <w:spacing w:before="20" w:after="20"/>
              <w:jc w:val="both"/>
            </w:pPr>
            <w:r>
              <w:rPr>
                <w:b/>
                <w:bCs/>
                <w:i/>
                <w:iCs/>
                <w:sz w:val="18"/>
                <w:szCs w:val="18"/>
              </w:rPr>
              <w:t xml:space="preserve">Elemento de competencia 2: </w:t>
            </w:r>
            <w:r>
              <w:rPr>
                <w:sz w:val="18"/>
                <w:szCs w:val="18"/>
              </w:rPr>
              <w:t>Registra la otorgación de créditos y recuperación de estos, en cuentas específicas de una entidad boliviana, en función a la gestión de cobranza y política crediticia, aplicando previsión para cuentas incobrables de créditos no recuperados, de acuerdo al método establecido.</w:t>
            </w:r>
          </w:p>
        </w:tc>
      </w:tr>
      <w:tr w:rsidR="00990B14" w14:paraId="3E1F56A5" w14:textId="77777777">
        <w:trPr>
          <w:cantSplit/>
          <w:jc w:val="center"/>
        </w:trPr>
        <w:tc>
          <w:tcPr>
            <w:tcW w:w="3133" w:type="dxa"/>
            <w:gridSpan w:val="4"/>
            <w:shd w:val="clear" w:color="auto" w:fill="4472C4"/>
            <w:vAlign w:val="center"/>
          </w:tcPr>
          <w:p w14:paraId="23AF4D34"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1731921E"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63BF54A6" w14:textId="77777777" w:rsidR="00990B14" w:rsidRDefault="00000000">
            <w:pPr>
              <w:keepNext/>
              <w:spacing w:before="20" w:after="20"/>
              <w:jc w:val="center"/>
            </w:pPr>
            <w:r>
              <w:rPr>
                <w:b/>
                <w:bCs/>
                <w:i/>
                <w:iCs/>
                <w:color w:val="FFFFFF"/>
                <w:sz w:val="18"/>
                <w:szCs w:val="18"/>
              </w:rPr>
              <w:t>Evidencias de producto</w:t>
            </w:r>
          </w:p>
        </w:tc>
      </w:tr>
      <w:tr w:rsidR="00990B14" w14:paraId="306A0791" w14:textId="77777777">
        <w:trPr>
          <w:cantSplit/>
          <w:jc w:val="center"/>
        </w:trPr>
        <w:tc>
          <w:tcPr>
            <w:tcW w:w="3133" w:type="dxa"/>
            <w:gridSpan w:val="4"/>
            <w:vMerge w:val="restart"/>
            <w:shd w:val="clear" w:color="auto" w:fill="D9E2F3"/>
            <w:vAlign w:val="center"/>
          </w:tcPr>
          <w:p w14:paraId="534BD8D3" w14:textId="77777777" w:rsidR="00990B14" w:rsidRDefault="00000000">
            <w:pPr>
              <w:spacing w:before="20" w:after="20"/>
              <w:jc w:val="both"/>
            </w:pPr>
            <w:r>
              <w:rPr>
                <w:sz w:val="18"/>
                <w:szCs w:val="18"/>
              </w:rPr>
              <w:t>1. Registra la otorgación, la recuperación y la previsión de las cuentas por cobrar, calculando la incobrabilidad con los métodos de previsión vigentes.</w:t>
            </w:r>
          </w:p>
        </w:tc>
        <w:tc>
          <w:tcPr>
            <w:tcW w:w="3135" w:type="dxa"/>
            <w:gridSpan w:val="5"/>
            <w:shd w:val="clear" w:color="auto" w:fill="D9E2F3"/>
            <w:vAlign w:val="center"/>
          </w:tcPr>
          <w:p w14:paraId="1FC9EB2C" w14:textId="77777777" w:rsidR="00990B14" w:rsidRDefault="00000000">
            <w:pPr>
              <w:spacing w:before="20" w:after="20"/>
              <w:jc w:val="both"/>
            </w:pPr>
            <w:r>
              <w:rPr>
                <w:sz w:val="18"/>
                <w:szCs w:val="18"/>
              </w:rPr>
              <w:t>1.1 Resuelve la otorgación y la recuperación de créditos en moneda nacional y extranjera de una entidad boliviana</w:t>
            </w:r>
          </w:p>
        </w:tc>
        <w:tc>
          <w:tcPr>
            <w:tcW w:w="3137" w:type="dxa"/>
            <w:gridSpan w:val="4"/>
            <w:shd w:val="clear" w:color="auto" w:fill="D9E2F3"/>
            <w:vAlign w:val="center"/>
          </w:tcPr>
          <w:p w14:paraId="204FCCA1" w14:textId="77777777" w:rsidR="00990B14" w:rsidRDefault="00000000">
            <w:pPr>
              <w:spacing w:before="20" w:after="20"/>
              <w:jc w:val="both"/>
            </w:pPr>
            <w:r>
              <w:rPr>
                <w:b/>
                <w:bCs/>
                <w:sz w:val="18"/>
                <w:szCs w:val="18"/>
              </w:rPr>
              <w:t xml:space="preserve">Producto 5: </w:t>
            </w:r>
            <w:r>
              <w:rPr>
                <w:sz w:val="18"/>
                <w:szCs w:val="18"/>
              </w:rPr>
              <w:t>Registro de asientos de otorgación, recuperación y ajustes por diferencias de cambio</w:t>
            </w:r>
          </w:p>
        </w:tc>
      </w:tr>
      <w:tr w:rsidR="00990B14" w14:paraId="10A69996" w14:textId="77777777">
        <w:trPr>
          <w:cantSplit/>
          <w:jc w:val="center"/>
        </w:trPr>
        <w:tc>
          <w:tcPr>
            <w:tcW w:w="3133" w:type="dxa"/>
            <w:gridSpan w:val="4"/>
            <w:vMerge/>
            <w:shd w:val="clear" w:color="auto" w:fill="D9E2F3"/>
            <w:vAlign w:val="center"/>
          </w:tcPr>
          <w:p w14:paraId="6EB11FAA" w14:textId="77777777" w:rsidR="00990B14" w:rsidRDefault="00990B14">
            <w:pPr>
              <w:spacing w:before="20" w:after="20"/>
            </w:pPr>
          </w:p>
        </w:tc>
        <w:tc>
          <w:tcPr>
            <w:tcW w:w="3135" w:type="dxa"/>
            <w:gridSpan w:val="5"/>
            <w:shd w:val="clear" w:color="auto" w:fill="D9E2F3"/>
            <w:vAlign w:val="center"/>
          </w:tcPr>
          <w:p w14:paraId="1C189C5E" w14:textId="77777777" w:rsidR="00990B14" w:rsidRDefault="00000000">
            <w:pPr>
              <w:spacing w:before="20" w:after="20"/>
              <w:jc w:val="both"/>
            </w:pPr>
            <w:r>
              <w:rPr>
                <w:sz w:val="18"/>
                <w:szCs w:val="18"/>
              </w:rPr>
              <w:t>1.2 Calcula la previsión para incobrables de una cartera con el método promedio, estadístico, antigüedad de saldos y método de las garantías.</w:t>
            </w:r>
          </w:p>
        </w:tc>
        <w:tc>
          <w:tcPr>
            <w:tcW w:w="3137" w:type="dxa"/>
            <w:gridSpan w:val="4"/>
            <w:shd w:val="clear" w:color="auto" w:fill="D9E2F3"/>
            <w:vAlign w:val="center"/>
          </w:tcPr>
          <w:p w14:paraId="7733934B" w14:textId="77777777" w:rsidR="00990B14" w:rsidRDefault="00000000">
            <w:pPr>
              <w:spacing w:before="20" w:after="20"/>
              <w:jc w:val="both"/>
            </w:pPr>
            <w:r>
              <w:rPr>
                <w:b/>
                <w:bCs/>
                <w:sz w:val="18"/>
                <w:szCs w:val="18"/>
              </w:rPr>
              <w:t xml:space="preserve">Producto 6: </w:t>
            </w:r>
            <w:r>
              <w:rPr>
                <w:sz w:val="18"/>
                <w:szCs w:val="18"/>
              </w:rPr>
              <w:t>Cuadro de cálculo de la previsión para cuentas incobrables.</w:t>
            </w:r>
          </w:p>
        </w:tc>
      </w:tr>
      <w:tr w:rsidR="00990B14" w14:paraId="19E97990" w14:textId="77777777">
        <w:trPr>
          <w:cantSplit/>
          <w:jc w:val="center"/>
        </w:trPr>
        <w:tc>
          <w:tcPr>
            <w:tcW w:w="3133" w:type="dxa"/>
            <w:gridSpan w:val="4"/>
            <w:vMerge w:val="restart"/>
            <w:shd w:val="clear" w:color="auto" w:fill="D9E2F3"/>
            <w:vAlign w:val="center"/>
          </w:tcPr>
          <w:p w14:paraId="625ED459" w14:textId="77777777" w:rsidR="00990B14" w:rsidRDefault="00000000">
            <w:pPr>
              <w:spacing w:before="20" w:after="20"/>
              <w:jc w:val="both"/>
            </w:pPr>
            <w:r>
              <w:rPr>
                <w:sz w:val="18"/>
                <w:szCs w:val="18"/>
              </w:rPr>
              <w:t>2. Aplica el tratamiento contable de las letras de cambio y de la gestión de cobranza, distinguiendo las renovaciones, el protesto y el descuento.</w:t>
            </w:r>
          </w:p>
        </w:tc>
        <w:tc>
          <w:tcPr>
            <w:tcW w:w="3135" w:type="dxa"/>
            <w:gridSpan w:val="5"/>
            <w:shd w:val="clear" w:color="auto" w:fill="D9E2F3"/>
            <w:vAlign w:val="center"/>
          </w:tcPr>
          <w:p w14:paraId="6B0557C2" w14:textId="77777777" w:rsidR="00990B14" w:rsidRDefault="00000000">
            <w:pPr>
              <w:spacing w:before="20" w:after="20"/>
              <w:jc w:val="both"/>
            </w:pPr>
            <w:r>
              <w:rPr>
                <w:sz w:val="18"/>
                <w:szCs w:val="18"/>
              </w:rPr>
              <w:t>2.1 Registra en equipo las renovaciones totales y parciales, el protesto y el descuento de letras de cambio de un caso.</w:t>
            </w:r>
          </w:p>
        </w:tc>
        <w:tc>
          <w:tcPr>
            <w:tcW w:w="3137" w:type="dxa"/>
            <w:gridSpan w:val="4"/>
            <w:shd w:val="clear" w:color="auto" w:fill="D9E2F3"/>
            <w:vAlign w:val="center"/>
          </w:tcPr>
          <w:p w14:paraId="4704B03A" w14:textId="77777777" w:rsidR="00990B14" w:rsidRDefault="00000000">
            <w:pPr>
              <w:spacing w:before="20" w:after="20"/>
              <w:jc w:val="both"/>
            </w:pPr>
            <w:r>
              <w:rPr>
                <w:b/>
                <w:bCs/>
                <w:sz w:val="18"/>
                <w:szCs w:val="18"/>
              </w:rPr>
              <w:t xml:space="preserve">Producto 7: </w:t>
            </w:r>
            <w:r>
              <w:rPr>
                <w:sz w:val="18"/>
                <w:szCs w:val="18"/>
              </w:rPr>
              <w:t>Registro de renovaciones, protesto y descuento de letras de cambio.</w:t>
            </w:r>
          </w:p>
        </w:tc>
      </w:tr>
      <w:tr w:rsidR="00990B14" w14:paraId="6AB64147" w14:textId="77777777">
        <w:trPr>
          <w:cantSplit/>
          <w:jc w:val="center"/>
        </w:trPr>
        <w:tc>
          <w:tcPr>
            <w:tcW w:w="3133" w:type="dxa"/>
            <w:gridSpan w:val="4"/>
            <w:vMerge/>
            <w:shd w:val="clear" w:color="auto" w:fill="D9E2F3"/>
            <w:vAlign w:val="center"/>
          </w:tcPr>
          <w:p w14:paraId="2CE950A5" w14:textId="77777777" w:rsidR="00990B14" w:rsidRDefault="00990B14">
            <w:pPr>
              <w:spacing w:before="20" w:after="20"/>
            </w:pPr>
          </w:p>
        </w:tc>
        <w:tc>
          <w:tcPr>
            <w:tcW w:w="3135" w:type="dxa"/>
            <w:gridSpan w:val="5"/>
            <w:shd w:val="clear" w:color="auto" w:fill="D9E2F3"/>
            <w:vAlign w:val="center"/>
          </w:tcPr>
          <w:p w14:paraId="0DC7A0C9" w14:textId="77777777" w:rsidR="00990B14" w:rsidRDefault="00000000">
            <w:pPr>
              <w:spacing w:before="20" w:after="20"/>
              <w:jc w:val="both"/>
            </w:pPr>
            <w:r>
              <w:rPr>
                <w:sz w:val="18"/>
                <w:szCs w:val="18"/>
              </w:rPr>
              <w:t>2.2 Explica ante el curso la gestión de cobranza propia y por empresas de cobranza de una entidad boliviana.</w:t>
            </w:r>
          </w:p>
        </w:tc>
        <w:tc>
          <w:tcPr>
            <w:tcW w:w="3137" w:type="dxa"/>
            <w:gridSpan w:val="4"/>
            <w:shd w:val="clear" w:color="auto" w:fill="D9E2F3"/>
            <w:vAlign w:val="center"/>
          </w:tcPr>
          <w:p w14:paraId="3E700680" w14:textId="77777777" w:rsidR="00990B14" w:rsidRDefault="00000000">
            <w:pPr>
              <w:spacing w:before="20" w:after="20"/>
              <w:jc w:val="both"/>
            </w:pPr>
            <w:r>
              <w:rPr>
                <w:b/>
                <w:bCs/>
                <w:sz w:val="18"/>
                <w:szCs w:val="18"/>
              </w:rPr>
              <w:t xml:space="preserve">Producto 8: </w:t>
            </w:r>
            <w:r>
              <w:rPr>
                <w:sz w:val="18"/>
                <w:szCs w:val="18"/>
              </w:rPr>
              <w:t>Informe de gestión de cobranza propia y por terceros.</w:t>
            </w:r>
          </w:p>
        </w:tc>
      </w:tr>
      <w:tr w:rsidR="00990B14" w14:paraId="4714D638" w14:textId="77777777">
        <w:trPr>
          <w:cantSplit/>
          <w:jc w:val="center"/>
        </w:trPr>
        <w:tc>
          <w:tcPr>
            <w:tcW w:w="9405" w:type="dxa"/>
            <w:gridSpan w:val="13"/>
            <w:shd w:val="clear" w:color="auto" w:fill="4472C4"/>
            <w:vAlign w:val="center"/>
          </w:tcPr>
          <w:p w14:paraId="6CF32665" w14:textId="77777777" w:rsidR="00990B14" w:rsidRDefault="00000000">
            <w:pPr>
              <w:keepNext/>
              <w:spacing w:before="20" w:after="20"/>
              <w:jc w:val="center"/>
            </w:pPr>
            <w:r>
              <w:rPr>
                <w:b/>
                <w:bCs/>
                <w:i/>
                <w:iCs/>
                <w:color w:val="FFFFFF"/>
                <w:sz w:val="18"/>
                <w:szCs w:val="18"/>
              </w:rPr>
              <w:t>Evidencias de conocimiento</w:t>
            </w:r>
          </w:p>
        </w:tc>
      </w:tr>
      <w:tr w:rsidR="00990B14" w14:paraId="45BBD18E" w14:textId="77777777">
        <w:trPr>
          <w:cantSplit/>
          <w:jc w:val="center"/>
        </w:trPr>
        <w:tc>
          <w:tcPr>
            <w:tcW w:w="2349" w:type="dxa"/>
            <w:gridSpan w:val="2"/>
            <w:shd w:val="clear" w:color="auto" w:fill="4472C4"/>
            <w:vAlign w:val="center"/>
          </w:tcPr>
          <w:p w14:paraId="056B00FB"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75116077" w14:textId="77777777" w:rsidR="00990B14" w:rsidRDefault="00000000">
            <w:pPr>
              <w:keepNext/>
              <w:spacing w:before="20" w:after="20"/>
              <w:jc w:val="both"/>
            </w:pPr>
            <w:r>
              <w:rPr>
                <w:b/>
                <w:bCs/>
                <w:i/>
                <w:iCs/>
                <w:color w:val="FFFFFF"/>
                <w:sz w:val="18"/>
                <w:szCs w:val="18"/>
              </w:rPr>
              <w:t>Contenidos</w:t>
            </w:r>
          </w:p>
          <w:p w14:paraId="36AEB9C8"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6819ED91" w14:textId="77777777" w:rsidR="00990B14" w:rsidRDefault="00000000">
            <w:pPr>
              <w:keepNext/>
              <w:spacing w:before="20" w:after="20"/>
              <w:jc w:val="center"/>
            </w:pPr>
            <w:r>
              <w:rPr>
                <w:b/>
                <w:bCs/>
                <w:i/>
                <w:iCs/>
                <w:color w:val="FFFFFF"/>
                <w:sz w:val="18"/>
                <w:szCs w:val="18"/>
              </w:rPr>
              <w:t>Conocimientos circunstanciales</w:t>
            </w:r>
          </w:p>
        </w:tc>
      </w:tr>
      <w:tr w:rsidR="00990B14" w14:paraId="6C54DE9C" w14:textId="77777777">
        <w:trPr>
          <w:jc w:val="center"/>
        </w:trPr>
        <w:tc>
          <w:tcPr>
            <w:tcW w:w="2349" w:type="dxa"/>
            <w:gridSpan w:val="2"/>
            <w:shd w:val="clear" w:color="auto" w:fill="D9E2F3"/>
          </w:tcPr>
          <w:p w14:paraId="5163146B" w14:textId="77777777" w:rsidR="00990B14" w:rsidRDefault="00000000">
            <w:pPr>
              <w:spacing w:before="20" w:after="40"/>
              <w:jc w:val="both"/>
            </w:pPr>
            <w:r>
              <w:rPr>
                <w:sz w:val="18"/>
                <w:szCs w:val="18"/>
              </w:rPr>
              <w:t>Tema 4: Cuentas por cobrar</w:t>
            </w:r>
          </w:p>
          <w:p w14:paraId="611332EC" w14:textId="77777777" w:rsidR="00990B14" w:rsidRDefault="00000000">
            <w:pPr>
              <w:spacing w:before="20" w:after="40"/>
              <w:jc w:val="both"/>
            </w:pPr>
            <w:r>
              <w:rPr>
                <w:sz w:val="18"/>
                <w:szCs w:val="18"/>
              </w:rPr>
              <w:t>Tema 5: Letras por cobrar</w:t>
            </w:r>
          </w:p>
          <w:p w14:paraId="389570B6" w14:textId="77777777" w:rsidR="00990B14" w:rsidRDefault="00000000">
            <w:pPr>
              <w:spacing w:before="20" w:after="40"/>
              <w:jc w:val="both"/>
            </w:pPr>
            <w:r>
              <w:rPr>
                <w:sz w:val="18"/>
                <w:szCs w:val="18"/>
              </w:rPr>
              <w:t>Tema 6: Cobranzas</w:t>
            </w:r>
          </w:p>
        </w:tc>
        <w:tc>
          <w:tcPr>
            <w:tcW w:w="4304" w:type="dxa"/>
            <w:gridSpan w:val="8"/>
            <w:shd w:val="clear" w:color="auto" w:fill="D9E2F3"/>
          </w:tcPr>
          <w:p w14:paraId="5811BBF3" w14:textId="77777777" w:rsidR="00990B14" w:rsidRDefault="00000000">
            <w:pPr>
              <w:spacing w:after="40"/>
              <w:jc w:val="both"/>
            </w:pPr>
            <w:r>
              <w:rPr>
                <w:sz w:val="18"/>
                <w:szCs w:val="18"/>
              </w:rPr>
              <w:t>Cuentas por cobrar: concepto, objetivo, características y clasificación por su naturaleza, la moneda, el tiempo, la garantía, la rentabilidad y la forma de cobro. (C)</w:t>
            </w:r>
          </w:p>
          <w:p w14:paraId="3B643E35" w14:textId="77777777" w:rsidR="00990B14" w:rsidRDefault="00000000">
            <w:pPr>
              <w:spacing w:after="40"/>
              <w:jc w:val="both"/>
            </w:pPr>
            <w:r>
              <w:rPr>
                <w:sz w:val="18"/>
                <w:szCs w:val="18"/>
              </w:rPr>
              <w:t>Control y registro de cuentas por cobrar: diseño y conformación. (P)</w:t>
            </w:r>
          </w:p>
          <w:p w14:paraId="0FB3446F" w14:textId="77777777" w:rsidR="00990B14" w:rsidRDefault="00000000">
            <w:pPr>
              <w:spacing w:after="40"/>
              <w:jc w:val="both"/>
            </w:pPr>
            <w:r>
              <w:rPr>
                <w:sz w:val="18"/>
                <w:szCs w:val="18"/>
              </w:rPr>
              <w:t>Facturación y Registro de Compras y Ventas (RCV) del Servicio de Impuestos Nacionales como respaldo de las ventas al crédito. (P, T)</w:t>
            </w:r>
          </w:p>
          <w:p w14:paraId="6B550D3F" w14:textId="77777777" w:rsidR="00990B14" w:rsidRDefault="00000000">
            <w:pPr>
              <w:spacing w:after="40"/>
              <w:jc w:val="both"/>
            </w:pPr>
            <w:r>
              <w:rPr>
                <w:sz w:val="18"/>
                <w:szCs w:val="18"/>
              </w:rPr>
              <w:t>Naturaleza de la cuenta y tratamiento contable de la otorgación del crédito en moneda nacional y en moneda extranjera, y de la recuperación del crédito. (C, P)</w:t>
            </w:r>
          </w:p>
          <w:p w14:paraId="38EA0932" w14:textId="77777777" w:rsidR="00990B14" w:rsidRDefault="00000000">
            <w:pPr>
              <w:spacing w:after="40"/>
              <w:jc w:val="both"/>
            </w:pPr>
            <w:r>
              <w:rPr>
                <w:sz w:val="18"/>
                <w:szCs w:val="18"/>
              </w:rPr>
              <w:t>Previsión para cuentas incobrables: concepto, métodos de previsión y naturaleza de las cuentas. (C)</w:t>
            </w:r>
          </w:p>
          <w:p w14:paraId="056F9ECE" w14:textId="77777777" w:rsidR="00990B14" w:rsidRDefault="00000000">
            <w:pPr>
              <w:spacing w:after="40"/>
              <w:jc w:val="both"/>
            </w:pPr>
            <w:r>
              <w:rPr>
                <w:sz w:val="18"/>
                <w:szCs w:val="18"/>
              </w:rPr>
              <w:t>Método promedio de incobrabilidad, método de la antigüedad de saldos, método estadístico y método de las garantías; tratamiento contable de la recuperación de créditos incobrables. (P)</w:t>
            </w:r>
          </w:p>
          <w:p w14:paraId="262BFDEF" w14:textId="77777777" w:rsidR="00990B14" w:rsidRDefault="00000000">
            <w:pPr>
              <w:spacing w:after="40"/>
              <w:jc w:val="both"/>
            </w:pPr>
            <w:r>
              <w:rPr>
                <w:sz w:val="18"/>
                <w:szCs w:val="18"/>
              </w:rPr>
              <w:t>Letras por cobrar: concepto, objetivo, características, requisitos, términos, giro, endoso y disposiciones legales; naturaleza de la cuenta. (C)</w:t>
            </w:r>
          </w:p>
          <w:p w14:paraId="00B97D0A" w14:textId="77777777" w:rsidR="00990B14" w:rsidRDefault="00000000">
            <w:pPr>
              <w:spacing w:after="40"/>
              <w:jc w:val="both"/>
            </w:pPr>
            <w:r>
              <w:rPr>
                <w:sz w:val="18"/>
                <w:szCs w:val="18"/>
              </w:rPr>
              <w:t>Renovaciones de letras de cambio: objetivo, clases y tratamiento contable de las renovaciones totales sin interés, con interés pagado y con interés incluido en la nueva letra. (C, P)</w:t>
            </w:r>
          </w:p>
          <w:p w14:paraId="66FE997C" w14:textId="77777777" w:rsidR="00990B14" w:rsidRDefault="00000000">
            <w:pPr>
              <w:spacing w:after="40"/>
              <w:jc w:val="both"/>
            </w:pPr>
            <w:r>
              <w:rPr>
                <w:sz w:val="18"/>
                <w:szCs w:val="18"/>
              </w:rPr>
              <w:t>Renovaciones parciales de letras de cambio en sus mismas modalidades; protesto de letras de cambio y su tratamiento posterior. (C)</w:t>
            </w:r>
          </w:p>
          <w:p w14:paraId="5053145F" w14:textId="77777777" w:rsidR="00990B14" w:rsidRDefault="00000000">
            <w:pPr>
              <w:spacing w:after="40"/>
              <w:jc w:val="both"/>
            </w:pPr>
            <w:r>
              <w:rPr>
                <w:sz w:val="18"/>
                <w:szCs w:val="18"/>
              </w:rPr>
              <w:t>Descuento de letras de cambio: tratamiento contable del vencimiento, el cobro y la incobrabilidad de la letra descontada. (P)</w:t>
            </w:r>
          </w:p>
          <w:p w14:paraId="1E415C27" w14:textId="77777777" w:rsidR="00990B14" w:rsidRDefault="00000000">
            <w:pPr>
              <w:spacing w:after="40"/>
              <w:jc w:val="both"/>
            </w:pPr>
            <w:r>
              <w:rPr>
                <w:sz w:val="18"/>
                <w:szCs w:val="18"/>
              </w:rPr>
              <w:t>Introducción a la cobranza; cobranza por la empresa: concepto, objetivo, características, unidad de cobranzas, gestión, proceso y políticas de cobranza. (C)</w:t>
            </w:r>
          </w:p>
          <w:p w14:paraId="4C78FD43" w14:textId="77777777" w:rsidR="00990B14" w:rsidRDefault="00000000">
            <w:pPr>
              <w:spacing w:after="40"/>
              <w:jc w:val="both"/>
            </w:pPr>
            <w:r>
              <w:rPr>
                <w:sz w:val="18"/>
                <w:szCs w:val="18"/>
              </w:rPr>
              <w:t>Formas y mecanismos de pago, herramientas de cobranza, personal de cobranzas y clasificación de créditos; control y naturaleza de las cuentas; tratamiento contable. (C, P)</w:t>
            </w:r>
          </w:p>
          <w:p w14:paraId="5898DCEA" w14:textId="77777777" w:rsidR="00990B14" w:rsidRDefault="00000000">
            <w:pPr>
              <w:spacing w:after="40"/>
              <w:jc w:val="both"/>
            </w:pPr>
            <w:r>
              <w:rPr>
                <w:sz w:val="18"/>
                <w:szCs w:val="18"/>
              </w:rPr>
              <w:t>Cobranza por empresas de cobranzas: concepto, objetivo, características y clases por venta y por servicio de cobranza; naturaleza de las cuentas. (C)</w:t>
            </w:r>
          </w:p>
          <w:p w14:paraId="7B5FD439" w14:textId="77777777" w:rsidR="00990B14" w:rsidRDefault="00000000">
            <w:pPr>
              <w:spacing w:after="40"/>
              <w:jc w:val="both"/>
            </w:pPr>
            <w:r>
              <w:rPr>
                <w:sz w:val="18"/>
                <w:szCs w:val="18"/>
              </w:rPr>
              <w:t>Tratamiento contable de la venta de cartera al valor en libros y al valor de recuperación, y del cobro por vencimiento en el servicio de cobranza. (P)</w:t>
            </w:r>
          </w:p>
        </w:tc>
        <w:tc>
          <w:tcPr>
            <w:tcW w:w="2752" w:type="dxa"/>
            <w:gridSpan w:val="3"/>
            <w:shd w:val="clear" w:color="auto" w:fill="D9E2F3"/>
          </w:tcPr>
          <w:p w14:paraId="265D7908" w14:textId="77777777" w:rsidR="00990B14" w:rsidRDefault="00000000">
            <w:pPr>
              <w:numPr>
                <w:ilvl w:val="0"/>
                <w:numId w:val="139"/>
              </w:numPr>
              <w:spacing w:before="10" w:after="10"/>
              <w:jc w:val="both"/>
            </w:pPr>
            <w:r>
              <w:rPr>
                <w:sz w:val="18"/>
                <w:szCs w:val="18"/>
              </w:rPr>
              <w:t>Nociones de la evaluación de la capacidad de pago del cliente antes de otorgar un crédito comercial.</w:t>
            </w:r>
          </w:p>
          <w:p w14:paraId="6AF8F827" w14:textId="77777777" w:rsidR="00990B14" w:rsidRDefault="00000000">
            <w:pPr>
              <w:numPr>
                <w:ilvl w:val="0"/>
                <w:numId w:val="139"/>
              </w:numPr>
              <w:spacing w:before="10" w:after="10"/>
              <w:jc w:val="both"/>
            </w:pPr>
            <w:r>
              <w:rPr>
                <w:sz w:val="18"/>
                <w:szCs w:val="18"/>
              </w:rPr>
              <w:t>Nociones de las técnicas de negociación con clientes morosos.</w:t>
            </w:r>
          </w:p>
        </w:tc>
      </w:tr>
      <w:tr w:rsidR="00990B14" w14:paraId="34B22232" w14:textId="77777777">
        <w:trPr>
          <w:cantSplit/>
          <w:jc w:val="center"/>
        </w:trPr>
        <w:tc>
          <w:tcPr>
            <w:tcW w:w="9405" w:type="dxa"/>
            <w:gridSpan w:val="13"/>
            <w:shd w:val="clear" w:color="auto" w:fill="D9E2F3"/>
            <w:vAlign w:val="center"/>
          </w:tcPr>
          <w:p w14:paraId="0EECFCFD" w14:textId="77777777" w:rsidR="00990B14" w:rsidRDefault="00000000">
            <w:pPr>
              <w:spacing w:before="20" w:after="20"/>
              <w:jc w:val="both"/>
            </w:pPr>
            <w:r>
              <w:rPr>
                <w:b/>
                <w:bCs/>
                <w:i/>
                <w:iCs/>
                <w:sz w:val="18"/>
                <w:szCs w:val="18"/>
              </w:rPr>
              <w:t xml:space="preserve">Elemento de competencia 3: </w:t>
            </w:r>
            <w:r>
              <w:rPr>
                <w:sz w:val="18"/>
                <w:szCs w:val="18"/>
              </w:rPr>
              <w:t>Aplica tratamiento contable a los inventarios de una entidad boliviana, evaluando los métodos de valuación PEPS, UEPS, CPP e Identificación Específica, registrando las bajas por sus diferentes causas, y las operaciones de comisión y consignación conforme a la normativa vigente.</w:t>
            </w:r>
          </w:p>
        </w:tc>
      </w:tr>
      <w:tr w:rsidR="00990B14" w14:paraId="7DFE2A18" w14:textId="77777777">
        <w:trPr>
          <w:cantSplit/>
          <w:jc w:val="center"/>
        </w:trPr>
        <w:tc>
          <w:tcPr>
            <w:tcW w:w="3133" w:type="dxa"/>
            <w:gridSpan w:val="4"/>
            <w:shd w:val="clear" w:color="auto" w:fill="4472C4"/>
            <w:vAlign w:val="center"/>
          </w:tcPr>
          <w:p w14:paraId="30D6990E"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33BA6D1A"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11F84F12" w14:textId="77777777" w:rsidR="00990B14" w:rsidRDefault="00000000">
            <w:pPr>
              <w:keepNext/>
              <w:spacing w:before="20" w:after="20"/>
              <w:jc w:val="center"/>
            </w:pPr>
            <w:r>
              <w:rPr>
                <w:b/>
                <w:bCs/>
                <w:i/>
                <w:iCs/>
                <w:color w:val="FFFFFF"/>
                <w:sz w:val="18"/>
                <w:szCs w:val="18"/>
              </w:rPr>
              <w:t>Evidencias de producto</w:t>
            </w:r>
          </w:p>
        </w:tc>
      </w:tr>
      <w:tr w:rsidR="00990B14" w14:paraId="7F23FADF" w14:textId="77777777">
        <w:trPr>
          <w:cantSplit/>
          <w:jc w:val="center"/>
        </w:trPr>
        <w:tc>
          <w:tcPr>
            <w:tcW w:w="3133" w:type="dxa"/>
            <w:gridSpan w:val="4"/>
            <w:vMerge w:val="restart"/>
            <w:shd w:val="clear" w:color="auto" w:fill="D9E2F3"/>
            <w:vAlign w:val="center"/>
          </w:tcPr>
          <w:p w14:paraId="1AA1E2A4" w14:textId="77777777" w:rsidR="00990B14" w:rsidRDefault="00000000">
            <w:pPr>
              <w:spacing w:before="20" w:after="20"/>
              <w:jc w:val="both"/>
            </w:pPr>
            <w:r>
              <w:rPr>
                <w:sz w:val="18"/>
                <w:szCs w:val="18"/>
              </w:rPr>
              <w:t>1. Efectúa la valuación de los inventarios de una entidad con los métodos Primera Entrada, Primera Salida (PEPS), Última Entrada, Primera Salida (UEPS), Costo Promedio Ponderado (CPP) e Identificación Específica (IE), registrando bajo los sistemas de inventario perpetuo o periódico.</w:t>
            </w:r>
          </w:p>
        </w:tc>
        <w:tc>
          <w:tcPr>
            <w:tcW w:w="3135" w:type="dxa"/>
            <w:gridSpan w:val="5"/>
            <w:shd w:val="clear" w:color="auto" w:fill="D9E2F3"/>
            <w:vAlign w:val="center"/>
          </w:tcPr>
          <w:p w14:paraId="4F80743C" w14:textId="77777777" w:rsidR="00990B14" w:rsidRDefault="00000000">
            <w:pPr>
              <w:spacing w:before="20" w:after="20"/>
              <w:jc w:val="both"/>
            </w:pPr>
            <w:r>
              <w:rPr>
                <w:sz w:val="18"/>
                <w:szCs w:val="18"/>
              </w:rPr>
              <w:t>1.1 Elabora el kárdex valorado de una mercadería con los métodos PEPS, UEPS, CPP e IE</w:t>
            </w:r>
          </w:p>
        </w:tc>
        <w:tc>
          <w:tcPr>
            <w:tcW w:w="3137" w:type="dxa"/>
            <w:gridSpan w:val="4"/>
            <w:shd w:val="clear" w:color="auto" w:fill="D9E2F3"/>
            <w:vAlign w:val="center"/>
          </w:tcPr>
          <w:p w14:paraId="0DF806A7" w14:textId="77777777" w:rsidR="00990B14" w:rsidRDefault="00000000">
            <w:pPr>
              <w:spacing w:before="20" w:after="20"/>
              <w:jc w:val="both"/>
            </w:pPr>
            <w:r>
              <w:rPr>
                <w:b/>
                <w:bCs/>
                <w:sz w:val="18"/>
                <w:szCs w:val="18"/>
              </w:rPr>
              <w:t xml:space="preserve">Producto 9: </w:t>
            </w:r>
            <w:r>
              <w:rPr>
                <w:sz w:val="18"/>
                <w:szCs w:val="18"/>
              </w:rPr>
              <w:t>Kárdex valorado de inventarios preparado con el método requerido.</w:t>
            </w:r>
          </w:p>
        </w:tc>
      </w:tr>
      <w:tr w:rsidR="00990B14" w14:paraId="673E0A27" w14:textId="77777777">
        <w:trPr>
          <w:cantSplit/>
          <w:jc w:val="center"/>
        </w:trPr>
        <w:tc>
          <w:tcPr>
            <w:tcW w:w="3133" w:type="dxa"/>
            <w:gridSpan w:val="4"/>
            <w:vMerge/>
            <w:shd w:val="clear" w:color="auto" w:fill="D9E2F3"/>
            <w:vAlign w:val="center"/>
          </w:tcPr>
          <w:p w14:paraId="225C44C9" w14:textId="77777777" w:rsidR="00990B14" w:rsidRDefault="00990B14">
            <w:pPr>
              <w:spacing w:before="20" w:after="20"/>
            </w:pPr>
          </w:p>
        </w:tc>
        <w:tc>
          <w:tcPr>
            <w:tcW w:w="3135" w:type="dxa"/>
            <w:gridSpan w:val="5"/>
            <w:shd w:val="clear" w:color="auto" w:fill="D9E2F3"/>
            <w:vAlign w:val="center"/>
          </w:tcPr>
          <w:p w14:paraId="48C78B97" w14:textId="77777777" w:rsidR="00990B14" w:rsidRDefault="00000000">
            <w:pPr>
              <w:spacing w:before="20" w:after="20"/>
              <w:jc w:val="both"/>
            </w:pPr>
            <w:r>
              <w:rPr>
                <w:sz w:val="18"/>
                <w:szCs w:val="18"/>
              </w:rPr>
              <w:t>1.2 Compara en equipo el efecto de cada método de valuación y del valor neto de realización en el costo de ventas y en el resultado.</w:t>
            </w:r>
          </w:p>
        </w:tc>
        <w:tc>
          <w:tcPr>
            <w:tcW w:w="3137" w:type="dxa"/>
            <w:gridSpan w:val="4"/>
            <w:shd w:val="clear" w:color="auto" w:fill="D9E2F3"/>
            <w:vAlign w:val="center"/>
          </w:tcPr>
          <w:p w14:paraId="2A42FF04" w14:textId="77777777" w:rsidR="00990B14" w:rsidRDefault="00000000">
            <w:pPr>
              <w:spacing w:before="20" w:after="20"/>
              <w:jc w:val="both"/>
            </w:pPr>
            <w:r>
              <w:rPr>
                <w:b/>
                <w:bCs/>
                <w:sz w:val="18"/>
                <w:szCs w:val="18"/>
              </w:rPr>
              <w:t xml:space="preserve">Producto 10: </w:t>
            </w:r>
            <w:r>
              <w:rPr>
                <w:sz w:val="18"/>
                <w:szCs w:val="18"/>
              </w:rPr>
              <w:t>Cuadro comparativo del efecto de los métodos de valuación en el resultado.</w:t>
            </w:r>
          </w:p>
        </w:tc>
      </w:tr>
      <w:tr w:rsidR="00990B14" w14:paraId="2A146527" w14:textId="77777777">
        <w:trPr>
          <w:cantSplit/>
          <w:jc w:val="center"/>
        </w:trPr>
        <w:tc>
          <w:tcPr>
            <w:tcW w:w="3133" w:type="dxa"/>
            <w:gridSpan w:val="4"/>
            <w:vMerge w:val="restart"/>
            <w:shd w:val="clear" w:color="auto" w:fill="D9E2F3"/>
            <w:vAlign w:val="center"/>
          </w:tcPr>
          <w:p w14:paraId="521861DE" w14:textId="77777777" w:rsidR="00990B14" w:rsidRDefault="00000000">
            <w:pPr>
              <w:spacing w:before="20" w:after="20"/>
              <w:jc w:val="both"/>
            </w:pPr>
            <w:r>
              <w:rPr>
                <w:sz w:val="18"/>
                <w:szCs w:val="18"/>
              </w:rPr>
              <w:t>2. Registra las diferentes causas para baja de inventarios y las operaciones de comisión y de consignación.</w:t>
            </w:r>
          </w:p>
        </w:tc>
        <w:tc>
          <w:tcPr>
            <w:tcW w:w="3135" w:type="dxa"/>
            <w:gridSpan w:val="5"/>
            <w:shd w:val="clear" w:color="auto" w:fill="D9E2F3"/>
            <w:vAlign w:val="center"/>
          </w:tcPr>
          <w:p w14:paraId="0C6F6A7A" w14:textId="77777777" w:rsidR="00990B14" w:rsidRDefault="00000000">
            <w:pPr>
              <w:spacing w:before="20" w:after="20"/>
              <w:jc w:val="both"/>
            </w:pPr>
            <w:r>
              <w:rPr>
                <w:sz w:val="18"/>
                <w:szCs w:val="18"/>
              </w:rPr>
              <w:t>2.1 Registra en aula las bajas de inventarios y el resultado de la toma física de un almacén.</w:t>
            </w:r>
          </w:p>
        </w:tc>
        <w:tc>
          <w:tcPr>
            <w:tcW w:w="3137" w:type="dxa"/>
            <w:gridSpan w:val="4"/>
            <w:shd w:val="clear" w:color="auto" w:fill="D9E2F3"/>
            <w:vAlign w:val="center"/>
          </w:tcPr>
          <w:p w14:paraId="29548238" w14:textId="77777777" w:rsidR="00990B14" w:rsidRDefault="00000000">
            <w:pPr>
              <w:spacing w:before="20" w:after="20"/>
              <w:jc w:val="both"/>
            </w:pPr>
            <w:r>
              <w:rPr>
                <w:b/>
                <w:bCs/>
                <w:sz w:val="18"/>
                <w:szCs w:val="18"/>
              </w:rPr>
              <w:t xml:space="preserve">Producto 11: </w:t>
            </w:r>
            <w:r>
              <w:rPr>
                <w:sz w:val="18"/>
                <w:szCs w:val="18"/>
              </w:rPr>
              <w:t>Acta de toma física de inventarios con el registro de sus diferencias.</w:t>
            </w:r>
          </w:p>
        </w:tc>
      </w:tr>
      <w:tr w:rsidR="00990B14" w14:paraId="29328637" w14:textId="77777777">
        <w:trPr>
          <w:cantSplit/>
          <w:jc w:val="center"/>
        </w:trPr>
        <w:tc>
          <w:tcPr>
            <w:tcW w:w="3133" w:type="dxa"/>
            <w:gridSpan w:val="4"/>
            <w:vMerge/>
            <w:shd w:val="clear" w:color="auto" w:fill="D9E2F3"/>
            <w:vAlign w:val="center"/>
          </w:tcPr>
          <w:p w14:paraId="6B795598" w14:textId="77777777" w:rsidR="00990B14" w:rsidRDefault="00990B14">
            <w:pPr>
              <w:spacing w:before="20" w:after="20"/>
            </w:pPr>
          </w:p>
        </w:tc>
        <w:tc>
          <w:tcPr>
            <w:tcW w:w="3135" w:type="dxa"/>
            <w:gridSpan w:val="5"/>
            <w:shd w:val="clear" w:color="auto" w:fill="D9E2F3"/>
            <w:vAlign w:val="center"/>
          </w:tcPr>
          <w:p w14:paraId="28D58C8D" w14:textId="77777777" w:rsidR="00990B14" w:rsidRDefault="00000000">
            <w:pPr>
              <w:spacing w:before="20" w:after="20"/>
              <w:jc w:val="both"/>
            </w:pPr>
            <w:r>
              <w:rPr>
                <w:sz w:val="18"/>
                <w:szCs w:val="18"/>
              </w:rPr>
              <w:t>2.2 Liquida en equipo una operación de comisión y otra de consignación en los registros de ambas partes.</w:t>
            </w:r>
          </w:p>
        </w:tc>
        <w:tc>
          <w:tcPr>
            <w:tcW w:w="3137" w:type="dxa"/>
            <w:gridSpan w:val="4"/>
            <w:shd w:val="clear" w:color="auto" w:fill="D9E2F3"/>
            <w:vAlign w:val="center"/>
          </w:tcPr>
          <w:p w14:paraId="237DB918" w14:textId="77777777" w:rsidR="00990B14" w:rsidRDefault="00000000">
            <w:pPr>
              <w:spacing w:before="20" w:after="20"/>
              <w:jc w:val="both"/>
            </w:pPr>
            <w:r>
              <w:rPr>
                <w:b/>
                <w:bCs/>
                <w:sz w:val="18"/>
                <w:szCs w:val="18"/>
              </w:rPr>
              <w:t xml:space="preserve">Producto 12: </w:t>
            </w:r>
            <w:r>
              <w:rPr>
                <w:sz w:val="18"/>
                <w:szCs w:val="18"/>
              </w:rPr>
              <w:t>Liquidación de comisión y de consignación con sus registros contables y estado de costo de la mercadería</w:t>
            </w:r>
          </w:p>
        </w:tc>
      </w:tr>
      <w:tr w:rsidR="00990B14" w14:paraId="32999DCF" w14:textId="77777777">
        <w:trPr>
          <w:cantSplit/>
          <w:jc w:val="center"/>
        </w:trPr>
        <w:tc>
          <w:tcPr>
            <w:tcW w:w="9405" w:type="dxa"/>
            <w:gridSpan w:val="13"/>
            <w:shd w:val="clear" w:color="auto" w:fill="4472C4"/>
            <w:vAlign w:val="center"/>
          </w:tcPr>
          <w:p w14:paraId="1253C42D" w14:textId="77777777" w:rsidR="00990B14" w:rsidRDefault="00000000">
            <w:pPr>
              <w:keepNext/>
              <w:spacing w:before="20" w:after="20"/>
              <w:jc w:val="center"/>
            </w:pPr>
            <w:r>
              <w:rPr>
                <w:b/>
                <w:bCs/>
                <w:i/>
                <w:iCs/>
                <w:color w:val="FFFFFF"/>
                <w:sz w:val="18"/>
                <w:szCs w:val="18"/>
              </w:rPr>
              <w:t>Evidencias de conocimiento</w:t>
            </w:r>
          </w:p>
        </w:tc>
      </w:tr>
      <w:tr w:rsidR="00990B14" w14:paraId="110D765C" w14:textId="77777777">
        <w:trPr>
          <w:cantSplit/>
          <w:jc w:val="center"/>
        </w:trPr>
        <w:tc>
          <w:tcPr>
            <w:tcW w:w="2349" w:type="dxa"/>
            <w:gridSpan w:val="2"/>
            <w:shd w:val="clear" w:color="auto" w:fill="4472C4"/>
            <w:vAlign w:val="center"/>
          </w:tcPr>
          <w:p w14:paraId="4A47CF29"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3FE3443E" w14:textId="77777777" w:rsidR="00990B14" w:rsidRDefault="00000000">
            <w:pPr>
              <w:keepNext/>
              <w:spacing w:before="20" w:after="20"/>
              <w:jc w:val="both"/>
            </w:pPr>
            <w:r>
              <w:rPr>
                <w:b/>
                <w:bCs/>
                <w:i/>
                <w:iCs/>
                <w:color w:val="FFFFFF"/>
                <w:sz w:val="18"/>
                <w:szCs w:val="18"/>
              </w:rPr>
              <w:t>Contenidos</w:t>
            </w:r>
          </w:p>
          <w:p w14:paraId="0CBDCB07"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6822907A" w14:textId="77777777" w:rsidR="00990B14" w:rsidRDefault="00000000">
            <w:pPr>
              <w:keepNext/>
              <w:spacing w:before="20" w:after="20"/>
              <w:jc w:val="center"/>
            </w:pPr>
            <w:r>
              <w:rPr>
                <w:b/>
                <w:bCs/>
                <w:i/>
                <w:iCs/>
                <w:color w:val="FFFFFF"/>
                <w:sz w:val="18"/>
                <w:szCs w:val="18"/>
              </w:rPr>
              <w:t>Conocimientos circunstanciales</w:t>
            </w:r>
          </w:p>
        </w:tc>
      </w:tr>
      <w:tr w:rsidR="00990B14" w14:paraId="1FF45378" w14:textId="77777777">
        <w:trPr>
          <w:jc w:val="center"/>
        </w:trPr>
        <w:tc>
          <w:tcPr>
            <w:tcW w:w="2349" w:type="dxa"/>
            <w:gridSpan w:val="2"/>
            <w:shd w:val="clear" w:color="auto" w:fill="D9E2F3"/>
          </w:tcPr>
          <w:p w14:paraId="4C825953" w14:textId="77777777" w:rsidR="00990B14" w:rsidRDefault="00000000">
            <w:pPr>
              <w:spacing w:before="20" w:after="40"/>
              <w:jc w:val="both"/>
            </w:pPr>
            <w:r>
              <w:rPr>
                <w:sz w:val="18"/>
                <w:szCs w:val="18"/>
              </w:rPr>
              <w:t>Tema 7: Inventarios</w:t>
            </w:r>
          </w:p>
          <w:p w14:paraId="3FA99DF1" w14:textId="77777777" w:rsidR="00990B14" w:rsidRDefault="00000000">
            <w:pPr>
              <w:spacing w:before="20" w:after="40"/>
              <w:jc w:val="both"/>
            </w:pPr>
            <w:r>
              <w:rPr>
                <w:sz w:val="18"/>
                <w:szCs w:val="18"/>
              </w:rPr>
              <w:t>Tema 8: Comisión</w:t>
            </w:r>
          </w:p>
          <w:p w14:paraId="691D09C1" w14:textId="77777777" w:rsidR="00990B14" w:rsidRDefault="00000000">
            <w:pPr>
              <w:spacing w:before="20" w:after="40"/>
              <w:jc w:val="both"/>
            </w:pPr>
            <w:r>
              <w:rPr>
                <w:sz w:val="18"/>
                <w:szCs w:val="18"/>
              </w:rPr>
              <w:t>Tema 9: Consignación</w:t>
            </w:r>
          </w:p>
        </w:tc>
        <w:tc>
          <w:tcPr>
            <w:tcW w:w="4304" w:type="dxa"/>
            <w:gridSpan w:val="8"/>
            <w:shd w:val="clear" w:color="auto" w:fill="D9E2F3"/>
          </w:tcPr>
          <w:p w14:paraId="1A0C1DD6" w14:textId="77777777" w:rsidR="00990B14" w:rsidRDefault="00000000">
            <w:pPr>
              <w:spacing w:after="40"/>
              <w:jc w:val="both"/>
            </w:pPr>
            <w:r>
              <w:rPr>
                <w:sz w:val="18"/>
                <w:szCs w:val="18"/>
              </w:rPr>
              <w:t>Inventarios: concepto, objetivo, características, composición y términos de intercambio. (C)</w:t>
            </w:r>
          </w:p>
          <w:p w14:paraId="5DE163B9" w14:textId="77777777" w:rsidR="00990B14" w:rsidRDefault="00000000">
            <w:pPr>
              <w:spacing w:after="40"/>
              <w:jc w:val="both"/>
            </w:pPr>
            <w:r>
              <w:rPr>
                <w:sz w:val="18"/>
                <w:szCs w:val="18"/>
              </w:rPr>
              <w:t>Control de inventarios con tarjetas de control y tarjetas valoradas, y su diseño y conformación en tarjetas de almacenes. (P)</w:t>
            </w:r>
          </w:p>
          <w:p w14:paraId="2ABB86E7" w14:textId="77777777" w:rsidR="00990B14" w:rsidRDefault="00000000">
            <w:pPr>
              <w:spacing w:after="40"/>
              <w:jc w:val="both"/>
            </w:pPr>
            <w:r>
              <w:rPr>
                <w:sz w:val="18"/>
                <w:szCs w:val="18"/>
              </w:rPr>
              <w:t>Control interno de inventarios: toma física, conciliación del kárdex con el inventario y custodia en almacenes. (P)</w:t>
            </w:r>
          </w:p>
          <w:p w14:paraId="77330576" w14:textId="77777777" w:rsidR="00990B14" w:rsidRDefault="00000000">
            <w:pPr>
              <w:spacing w:after="40"/>
              <w:jc w:val="both"/>
            </w:pPr>
            <w:r>
              <w:rPr>
                <w:sz w:val="18"/>
                <w:szCs w:val="18"/>
              </w:rPr>
              <w:t>Apropiación o reconocimiento y valuación o medición de inventarios: valuación inicial, posterior y final, y costo financiero; medición al menor entre el costo y el valor neto de realización según la NIC 2. (C, P)</w:t>
            </w:r>
          </w:p>
          <w:p w14:paraId="7B656CE2" w14:textId="77777777" w:rsidR="00990B14" w:rsidRDefault="00000000">
            <w:pPr>
              <w:spacing w:after="40"/>
              <w:jc w:val="both"/>
            </w:pPr>
            <w:r>
              <w:rPr>
                <w:sz w:val="18"/>
                <w:szCs w:val="18"/>
              </w:rPr>
              <w:t>Criterios de valuación: importancia de la valuación, su demostración y los errores compensatorios. (C)</w:t>
            </w:r>
          </w:p>
          <w:p w14:paraId="7D0F2564" w14:textId="77777777" w:rsidR="00990B14" w:rsidRDefault="00000000">
            <w:pPr>
              <w:spacing w:after="40"/>
              <w:jc w:val="both"/>
            </w:pPr>
            <w:r>
              <w:rPr>
                <w:sz w:val="18"/>
                <w:szCs w:val="18"/>
              </w:rPr>
              <w:t>Métodos de valuación de inventarios: primera entrada primera salida (PEPS), última entrada primera salida (UEPS), costo promedio ponderado (CPP), con sus diferencias. (C, P)</w:t>
            </w:r>
          </w:p>
          <w:p w14:paraId="491A60F1" w14:textId="77777777" w:rsidR="00990B14" w:rsidRDefault="00000000">
            <w:pPr>
              <w:spacing w:after="40"/>
              <w:jc w:val="both"/>
            </w:pPr>
            <w:r>
              <w:rPr>
                <w:sz w:val="18"/>
                <w:szCs w:val="18"/>
              </w:rPr>
              <w:t>Otros métodos de valuación: precio de venta, precio de costo, utilidad bruta, última factura, promedios simples e identificación específica; cambio de método de valuación. (C)</w:t>
            </w:r>
          </w:p>
          <w:p w14:paraId="1405E1E2" w14:textId="77777777" w:rsidR="00990B14" w:rsidRDefault="00000000">
            <w:pPr>
              <w:spacing w:after="40"/>
              <w:jc w:val="both"/>
            </w:pPr>
            <w:r>
              <w:rPr>
                <w:sz w:val="18"/>
                <w:szCs w:val="18"/>
              </w:rPr>
              <w:t>Sistema del inventario perpetuo: objetivo, características, naturaleza de las cuentas y tratamiento contable, con el kárdex en hoja de cálculo. (C, P, T)</w:t>
            </w:r>
          </w:p>
          <w:p w14:paraId="40B756E5" w14:textId="77777777" w:rsidR="00990B14" w:rsidRDefault="00000000">
            <w:pPr>
              <w:spacing w:after="40"/>
              <w:jc w:val="both"/>
            </w:pPr>
            <w:r>
              <w:rPr>
                <w:sz w:val="18"/>
                <w:szCs w:val="18"/>
              </w:rPr>
              <w:t>Sistema del inventario periódico: objetivo, características y tratamiento contable. (C, P)</w:t>
            </w:r>
          </w:p>
          <w:p w14:paraId="548D6715" w14:textId="77777777" w:rsidR="00990B14" w:rsidRDefault="00000000">
            <w:pPr>
              <w:spacing w:after="40"/>
              <w:jc w:val="both"/>
            </w:pPr>
            <w:r>
              <w:rPr>
                <w:sz w:val="18"/>
                <w:szCs w:val="18"/>
              </w:rPr>
              <w:t>Actualización, reexpresión o indexación de valores de inventarios, y suspensión vigente del ajuste por inflación; bajas de inventarios y su tratamiento contable. (P)</w:t>
            </w:r>
          </w:p>
          <w:p w14:paraId="4FB86CF1" w14:textId="77777777" w:rsidR="00990B14" w:rsidRDefault="00000000">
            <w:pPr>
              <w:spacing w:after="40"/>
              <w:jc w:val="both"/>
            </w:pPr>
            <w:r>
              <w:rPr>
                <w:sz w:val="18"/>
                <w:szCs w:val="18"/>
              </w:rPr>
              <w:t>Comisión: concepto, objetivo, características, disposiciones legales, liquidación y Estado de Costo de la mercadería; naturaleza de las cuentas. (C)</w:t>
            </w:r>
          </w:p>
          <w:p w14:paraId="71382AFF" w14:textId="77777777" w:rsidR="00990B14" w:rsidRDefault="00000000">
            <w:pPr>
              <w:spacing w:after="40"/>
              <w:jc w:val="both"/>
            </w:pPr>
            <w:r>
              <w:rPr>
                <w:sz w:val="18"/>
                <w:szCs w:val="18"/>
              </w:rPr>
              <w:t>Tratamiento contable de la comisión en los registros del comitente y del comisionista. (P)</w:t>
            </w:r>
          </w:p>
          <w:p w14:paraId="12D6637D" w14:textId="77777777" w:rsidR="00990B14" w:rsidRDefault="00000000">
            <w:pPr>
              <w:spacing w:after="40"/>
              <w:jc w:val="both"/>
            </w:pPr>
            <w:r>
              <w:rPr>
                <w:sz w:val="18"/>
                <w:szCs w:val="18"/>
              </w:rPr>
              <w:t>Consignación: concepto, objetivo, características, disposiciones legales y liquidación; naturaleza de las cuentas. (C)</w:t>
            </w:r>
          </w:p>
          <w:p w14:paraId="45B366C9" w14:textId="77777777" w:rsidR="00990B14" w:rsidRDefault="00000000">
            <w:pPr>
              <w:spacing w:after="40"/>
              <w:jc w:val="both"/>
            </w:pPr>
            <w:r>
              <w:rPr>
                <w:sz w:val="18"/>
                <w:szCs w:val="18"/>
              </w:rPr>
              <w:t>Tratamiento contable de la consignación en los registros del consignante y del consignatario. (P)</w:t>
            </w:r>
          </w:p>
        </w:tc>
        <w:tc>
          <w:tcPr>
            <w:tcW w:w="2752" w:type="dxa"/>
            <w:gridSpan w:val="3"/>
            <w:shd w:val="clear" w:color="auto" w:fill="D9E2F3"/>
          </w:tcPr>
          <w:p w14:paraId="0E7B0597" w14:textId="77777777" w:rsidR="00990B14" w:rsidRDefault="00000000">
            <w:pPr>
              <w:numPr>
                <w:ilvl w:val="0"/>
                <w:numId w:val="139"/>
              </w:numPr>
              <w:spacing w:before="10" w:after="10"/>
              <w:jc w:val="both"/>
            </w:pPr>
            <w:r>
              <w:rPr>
                <w:sz w:val="18"/>
                <w:szCs w:val="18"/>
              </w:rPr>
              <w:t>Nociones de la organización de almacenes y de la codificación de mercaderías.</w:t>
            </w:r>
          </w:p>
          <w:p w14:paraId="209219CB" w14:textId="77777777" w:rsidR="00990B14" w:rsidRDefault="00000000">
            <w:pPr>
              <w:numPr>
                <w:ilvl w:val="0"/>
                <w:numId w:val="139"/>
              </w:numPr>
              <w:spacing w:before="10" w:after="10"/>
              <w:jc w:val="both"/>
            </w:pPr>
            <w:r>
              <w:rPr>
                <w:sz w:val="18"/>
                <w:szCs w:val="18"/>
              </w:rPr>
              <w:t>Nociones de la conservación y del control de vencimiento de los productos perecibles.</w:t>
            </w:r>
          </w:p>
        </w:tc>
      </w:tr>
      <w:tr w:rsidR="00990B14" w14:paraId="6B591F08" w14:textId="77777777">
        <w:trPr>
          <w:cantSplit/>
          <w:jc w:val="center"/>
        </w:trPr>
        <w:tc>
          <w:tcPr>
            <w:tcW w:w="9405" w:type="dxa"/>
            <w:gridSpan w:val="13"/>
            <w:shd w:val="clear" w:color="auto" w:fill="D9E2F3"/>
            <w:vAlign w:val="center"/>
          </w:tcPr>
          <w:p w14:paraId="7B32EA72" w14:textId="77777777" w:rsidR="00990B14" w:rsidRDefault="00000000">
            <w:pPr>
              <w:spacing w:before="20" w:after="20"/>
              <w:jc w:val="both"/>
            </w:pPr>
            <w:r>
              <w:rPr>
                <w:b/>
                <w:bCs/>
                <w:i/>
                <w:iCs/>
                <w:sz w:val="18"/>
                <w:szCs w:val="18"/>
              </w:rPr>
              <w:t xml:space="preserve">Elemento de competencia 4: </w:t>
            </w:r>
            <w:r>
              <w:rPr>
                <w:sz w:val="18"/>
                <w:szCs w:val="18"/>
              </w:rPr>
              <w:t>Determina el tratamiento contable de los pagos anticipados, los cargos diferidos y las inversiones de una entidad boliviana, registrando su valuación inicial, tenencia y final.</w:t>
            </w:r>
          </w:p>
        </w:tc>
      </w:tr>
      <w:tr w:rsidR="00990B14" w14:paraId="34637C85" w14:textId="77777777">
        <w:trPr>
          <w:cantSplit/>
          <w:jc w:val="center"/>
        </w:trPr>
        <w:tc>
          <w:tcPr>
            <w:tcW w:w="3133" w:type="dxa"/>
            <w:gridSpan w:val="4"/>
            <w:shd w:val="clear" w:color="auto" w:fill="4472C4"/>
            <w:vAlign w:val="center"/>
          </w:tcPr>
          <w:p w14:paraId="55086D6A"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3F5A70EC"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0BAAD96A" w14:textId="77777777" w:rsidR="00990B14" w:rsidRDefault="00000000">
            <w:pPr>
              <w:keepNext/>
              <w:spacing w:before="20" w:after="20"/>
              <w:jc w:val="center"/>
            </w:pPr>
            <w:r>
              <w:rPr>
                <w:b/>
                <w:bCs/>
                <w:i/>
                <w:iCs/>
                <w:color w:val="FFFFFF"/>
                <w:sz w:val="18"/>
                <w:szCs w:val="18"/>
              </w:rPr>
              <w:t>Evidencias de producto</w:t>
            </w:r>
          </w:p>
        </w:tc>
      </w:tr>
      <w:tr w:rsidR="00990B14" w14:paraId="720EE6C6" w14:textId="77777777">
        <w:trPr>
          <w:cantSplit/>
          <w:jc w:val="center"/>
        </w:trPr>
        <w:tc>
          <w:tcPr>
            <w:tcW w:w="3133" w:type="dxa"/>
            <w:gridSpan w:val="4"/>
            <w:vMerge w:val="restart"/>
            <w:shd w:val="clear" w:color="auto" w:fill="D9E2F3"/>
            <w:vAlign w:val="center"/>
          </w:tcPr>
          <w:p w14:paraId="67ACB8F4" w14:textId="77777777" w:rsidR="00990B14" w:rsidRDefault="00000000">
            <w:pPr>
              <w:spacing w:before="20" w:after="20"/>
              <w:jc w:val="both"/>
            </w:pPr>
            <w:r>
              <w:rPr>
                <w:sz w:val="18"/>
                <w:szCs w:val="18"/>
              </w:rPr>
              <w:t>1. Registra los pagos anticipados y los cargos diferidos de una entidad, aplicando los asientos irreversibles y reversibles al cierre del periodo.</w:t>
            </w:r>
          </w:p>
        </w:tc>
        <w:tc>
          <w:tcPr>
            <w:tcW w:w="3135" w:type="dxa"/>
            <w:gridSpan w:val="5"/>
            <w:shd w:val="clear" w:color="auto" w:fill="D9E2F3"/>
            <w:vAlign w:val="center"/>
          </w:tcPr>
          <w:p w14:paraId="68406325" w14:textId="77777777" w:rsidR="00990B14" w:rsidRDefault="00000000">
            <w:pPr>
              <w:spacing w:before="20" w:after="20"/>
              <w:jc w:val="both"/>
            </w:pPr>
            <w:r>
              <w:rPr>
                <w:sz w:val="18"/>
                <w:szCs w:val="18"/>
              </w:rPr>
              <w:t>1.1 Registra en aula los alquileres, seguros, intereses y otros conceptos pagados por anticipado de un periodo con su respaldo en factura.</w:t>
            </w:r>
          </w:p>
        </w:tc>
        <w:tc>
          <w:tcPr>
            <w:tcW w:w="3137" w:type="dxa"/>
            <w:gridSpan w:val="4"/>
            <w:shd w:val="clear" w:color="auto" w:fill="D9E2F3"/>
            <w:vAlign w:val="center"/>
          </w:tcPr>
          <w:p w14:paraId="092881F9" w14:textId="77777777" w:rsidR="00990B14" w:rsidRDefault="00000000">
            <w:pPr>
              <w:spacing w:before="20" w:after="20"/>
              <w:jc w:val="both"/>
            </w:pPr>
            <w:r>
              <w:rPr>
                <w:b/>
                <w:bCs/>
                <w:sz w:val="18"/>
                <w:szCs w:val="18"/>
              </w:rPr>
              <w:t xml:space="preserve">Producto 13: </w:t>
            </w:r>
            <w:r>
              <w:rPr>
                <w:sz w:val="18"/>
                <w:szCs w:val="18"/>
              </w:rPr>
              <w:t>Cuadro de devengamiento de pagos anticipados.</w:t>
            </w:r>
          </w:p>
        </w:tc>
      </w:tr>
      <w:tr w:rsidR="00990B14" w14:paraId="3D5BB9C0" w14:textId="77777777">
        <w:trPr>
          <w:cantSplit/>
          <w:jc w:val="center"/>
        </w:trPr>
        <w:tc>
          <w:tcPr>
            <w:tcW w:w="3133" w:type="dxa"/>
            <w:gridSpan w:val="4"/>
            <w:vMerge/>
            <w:shd w:val="clear" w:color="auto" w:fill="D9E2F3"/>
            <w:vAlign w:val="center"/>
          </w:tcPr>
          <w:p w14:paraId="40B83869" w14:textId="77777777" w:rsidR="00990B14" w:rsidRDefault="00990B14">
            <w:pPr>
              <w:spacing w:before="20" w:after="20"/>
            </w:pPr>
          </w:p>
        </w:tc>
        <w:tc>
          <w:tcPr>
            <w:tcW w:w="3135" w:type="dxa"/>
            <w:gridSpan w:val="5"/>
            <w:shd w:val="clear" w:color="auto" w:fill="D9E2F3"/>
            <w:vAlign w:val="center"/>
          </w:tcPr>
          <w:p w14:paraId="7658DEFF" w14:textId="77777777" w:rsidR="00990B14" w:rsidRDefault="00000000">
            <w:pPr>
              <w:spacing w:before="20" w:after="20"/>
              <w:jc w:val="both"/>
            </w:pPr>
            <w:r>
              <w:rPr>
                <w:sz w:val="18"/>
                <w:szCs w:val="18"/>
              </w:rPr>
              <w:t>1.2 Diferencia en equipo los cargos diferidos de los pagos anticipados de un caso, preparando sus asientos de cierre.</w:t>
            </w:r>
          </w:p>
        </w:tc>
        <w:tc>
          <w:tcPr>
            <w:tcW w:w="3137" w:type="dxa"/>
            <w:gridSpan w:val="4"/>
            <w:shd w:val="clear" w:color="auto" w:fill="D9E2F3"/>
            <w:vAlign w:val="center"/>
          </w:tcPr>
          <w:p w14:paraId="4A6FC815" w14:textId="77777777" w:rsidR="00990B14" w:rsidRDefault="00000000">
            <w:pPr>
              <w:spacing w:before="20" w:after="20"/>
              <w:jc w:val="both"/>
            </w:pPr>
            <w:r>
              <w:rPr>
                <w:b/>
                <w:bCs/>
                <w:sz w:val="18"/>
                <w:szCs w:val="18"/>
              </w:rPr>
              <w:t xml:space="preserve">Producto 14: </w:t>
            </w:r>
            <w:r>
              <w:rPr>
                <w:sz w:val="18"/>
                <w:szCs w:val="18"/>
              </w:rPr>
              <w:t>Cédula de cargos diferidos con sus asientos de cierre.</w:t>
            </w:r>
          </w:p>
        </w:tc>
      </w:tr>
      <w:tr w:rsidR="00990B14" w14:paraId="54D6ACB4" w14:textId="77777777">
        <w:trPr>
          <w:cantSplit/>
          <w:jc w:val="center"/>
        </w:trPr>
        <w:tc>
          <w:tcPr>
            <w:tcW w:w="3133" w:type="dxa"/>
            <w:gridSpan w:val="4"/>
            <w:vMerge w:val="restart"/>
            <w:shd w:val="clear" w:color="auto" w:fill="D9E2F3"/>
            <w:vAlign w:val="center"/>
          </w:tcPr>
          <w:p w14:paraId="02F1D8B7" w14:textId="77777777" w:rsidR="00990B14" w:rsidRDefault="00000000">
            <w:pPr>
              <w:spacing w:before="20" w:after="20"/>
              <w:jc w:val="both"/>
            </w:pPr>
            <w:r>
              <w:rPr>
                <w:sz w:val="18"/>
                <w:szCs w:val="18"/>
              </w:rPr>
              <w:t>2. Determina el tratamiento contable de la compra, rendimiento, tenencia y venta de bonos, acciones, y otros valores negociables clasificados en corto o largo plazo.</w:t>
            </w:r>
          </w:p>
        </w:tc>
        <w:tc>
          <w:tcPr>
            <w:tcW w:w="3135" w:type="dxa"/>
            <w:gridSpan w:val="5"/>
            <w:shd w:val="clear" w:color="auto" w:fill="D9E2F3"/>
            <w:vAlign w:val="center"/>
          </w:tcPr>
          <w:p w14:paraId="13138F6B" w14:textId="77777777" w:rsidR="00990B14" w:rsidRDefault="00000000">
            <w:pPr>
              <w:spacing w:before="20" w:after="20"/>
              <w:jc w:val="both"/>
            </w:pPr>
            <w:r>
              <w:rPr>
                <w:sz w:val="18"/>
                <w:szCs w:val="18"/>
              </w:rPr>
              <w:t>2.1 Calcula la amortización de la prima o del descuento de bonos comprados sobre o bajo la par con la tasa de interés efectiva.</w:t>
            </w:r>
          </w:p>
        </w:tc>
        <w:tc>
          <w:tcPr>
            <w:tcW w:w="3137" w:type="dxa"/>
            <w:gridSpan w:val="4"/>
            <w:shd w:val="clear" w:color="auto" w:fill="D9E2F3"/>
            <w:vAlign w:val="center"/>
          </w:tcPr>
          <w:p w14:paraId="7071B26B" w14:textId="77777777" w:rsidR="00990B14" w:rsidRDefault="00000000">
            <w:pPr>
              <w:spacing w:before="20" w:after="20"/>
              <w:jc w:val="both"/>
            </w:pPr>
            <w:r>
              <w:rPr>
                <w:b/>
                <w:bCs/>
                <w:sz w:val="18"/>
                <w:szCs w:val="18"/>
              </w:rPr>
              <w:t xml:space="preserve">Producto 15: </w:t>
            </w:r>
            <w:r>
              <w:rPr>
                <w:sz w:val="18"/>
                <w:szCs w:val="18"/>
              </w:rPr>
              <w:t>Tabla de amortización del diferencial de bonos.</w:t>
            </w:r>
          </w:p>
        </w:tc>
      </w:tr>
      <w:tr w:rsidR="00990B14" w14:paraId="4CBA4440" w14:textId="77777777">
        <w:trPr>
          <w:cantSplit/>
          <w:jc w:val="center"/>
        </w:trPr>
        <w:tc>
          <w:tcPr>
            <w:tcW w:w="3133" w:type="dxa"/>
            <w:gridSpan w:val="4"/>
            <w:vMerge/>
            <w:shd w:val="clear" w:color="auto" w:fill="D9E2F3"/>
            <w:vAlign w:val="center"/>
          </w:tcPr>
          <w:p w14:paraId="4AAC5CB7" w14:textId="77777777" w:rsidR="00990B14" w:rsidRDefault="00990B14">
            <w:pPr>
              <w:spacing w:before="20" w:after="20"/>
            </w:pPr>
          </w:p>
        </w:tc>
        <w:tc>
          <w:tcPr>
            <w:tcW w:w="3135" w:type="dxa"/>
            <w:gridSpan w:val="5"/>
            <w:shd w:val="clear" w:color="auto" w:fill="D9E2F3"/>
            <w:vAlign w:val="center"/>
          </w:tcPr>
          <w:p w14:paraId="516DC4D3" w14:textId="77777777" w:rsidR="00990B14" w:rsidRDefault="00000000">
            <w:pPr>
              <w:spacing w:before="20" w:after="20"/>
              <w:jc w:val="both"/>
            </w:pPr>
            <w:r>
              <w:rPr>
                <w:sz w:val="18"/>
                <w:szCs w:val="18"/>
              </w:rPr>
              <w:t>2.2 Analiza ante el curso la clasificación, la rentabilidad y el riesgo de una cartera de inversiones de una empresa boliviana.</w:t>
            </w:r>
          </w:p>
        </w:tc>
        <w:tc>
          <w:tcPr>
            <w:tcW w:w="3137" w:type="dxa"/>
            <w:gridSpan w:val="4"/>
            <w:shd w:val="clear" w:color="auto" w:fill="D9E2F3"/>
            <w:vAlign w:val="center"/>
          </w:tcPr>
          <w:p w14:paraId="7B24C584" w14:textId="77777777" w:rsidR="00990B14" w:rsidRDefault="00000000">
            <w:pPr>
              <w:spacing w:before="20" w:after="20"/>
              <w:jc w:val="both"/>
            </w:pPr>
            <w:r>
              <w:rPr>
                <w:b/>
                <w:bCs/>
                <w:sz w:val="18"/>
                <w:szCs w:val="18"/>
              </w:rPr>
              <w:t xml:space="preserve">Producto 16: </w:t>
            </w:r>
            <w:r>
              <w:rPr>
                <w:sz w:val="18"/>
                <w:szCs w:val="18"/>
              </w:rPr>
              <w:t>Informe de la cartera de inversiones temporarias y permanentes.</w:t>
            </w:r>
          </w:p>
        </w:tc>
      </w:tr>
      <w:tr w:rsidR="00990B14" w14:paraId="4611ADC9" w14:textId="77777777">
        <w:trPr>
          <w:cantSplit/>
          <w:jc w:val="center"/>
        </w:trPr>
        <w:tc>
          <w:tcPr>
            <w:tcW w:w="9405" w:type="dxa"/>
            <w:gridSpan w:val="13"/>
            <w:shd w:val="clear" w:color="auto" w:fill="4472C4"/>
            <w:vAlign w:val="center"/>
          </w:tcPr>
          <w:p w14:paraId="20D9294A" w14:textId="77777777" w:rsidR="00990B14" w:rsidRDefault="00000000">
            <w:pPr>
              <w:keepNext/>
              <w:spacing w:before="20" w:after="20"/>
              <w:jc w:val="center"/>
            </w:pPr>
            <w:r>
              <w:rPr>
                <w:b/>
                <w:bCs/>
                <w:i/>
                <w:iCs/>
                <w:color w:val="FFFFFF"/>
                <w:sz w:val="18"/>
                <w:szCs w:val="18"/>
              </w:rPr>
              <w:t>Evidencias de conocimiento</w:t>
            </w:r>
          </w:p>
        </w:tc>
      </w:tr>
      <w:tr w:rsidR="00990B14" w14:paraId="54AA4003" w14:textId="77777777">
        <w:trPr>
          <w:cantSplit/>
          <w:jc w:val="center"/>
        </w:trPr>
        <w:tc>
          <w:tcPr>
            <w:tcW w:w="2349" w:type="dxa"/>
            <w:gridSpan w:val="2"/>
            <w:shd w:val="clear" w:color="auto" w:fill="4472C4"/>
            <w:vAlign w:val="center"/>
          </w:tcPr>
          <w:p w14:paraId="2F44D0D0"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7E0B7867" w14:textId="77777777" w:rsidR="00990B14" w:rsidRDefault="00000000">
            <w:pPr>
              <w:keepNext/>
              <w:spacing w:before="20" w:after="20"/>
              <w:jc w:val="both"/>
            </w:pPr>
            <w:r>
              <w:rPr>
                <w:b/>
                <w:bCs/>
                <w:i/>
                <w:iCs/>
                <w:color w:val="FFFFFF"/>
                <w:sz w:val="18"/>
                <w:szCs w:val="18"/>
              </w:rPr>
              <w:t>Contenidos</w:t>
            </w:r>
          </w:p>
          <w:p w14:paraId="1916F424"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20A0D223" w14:textId="77777777" w:rsidR="00990B14" w:rsidRDefault="00000000">
            <w:pPr>
              <w:keepNext/>
              <w:spacing w:before="20" w:after="20"/>
              <w:jc w:val="center"/>
            </w:pPr>
            <w:r>
              <w:rPr>
                <w:b/>
                <w:bCs/>
                <w:i/>
                <w:iCs/>
                <w:color w:val="FFFFFF"/>
                <w:sz w:val="18"/>
                <w:szCs w:val="18"/>
              </w:rPr>
              <w:t>Conocimientos circunstanciales</w:t>
            </w:r>
          </w:p>
        </w:tc>
      </w:tr>
      <w:tr w:rsidR="00990B14" w14:paraId="7D4FF046" w14:textId="77777777">
        <w:trPr>
          <w:jc w:val="center"/>
        </w:trPr>
        <w:tc>
          <w:tcPr>
            <w:tcW w:w="2349" w:type="dxa"/>
            <w:gridSpan w:val="2"/>
            <w:shd w:val="clear" w:color="auto" w:fill="D9E2F3"/>
          </w:tcPr>
          <w:p w14:paraId="22668EE1" w14:textId="77777777" w:rsidR="00990B14" w:rsidRDefault="00000000">
            <w:pPr>
              <w:spacing w:before="20" w:after="40"/>
              <w:jc w:val="both"/>
            </w:pPr>
            <w:r>
              <w:rPr>
                <w:sz w:val="18"/>
                <w:szCs w:val="18"/>
              </w:rPr>
              <w:t>Tema 10: Pagos anticipados y cargos diferidos</w:t>
            </w:r>
          </w:p>
          <w:p w14:paraId="538414C5" w14:textId="77777777" w:rsidR="00990B14" w:rsidRDefault="00000000">
            <w:pPr>
              <w:spacing w:before="20" w:after="40"/>
              <w:jc w:val="both"/>
            </w:pPr>
            <w:r>
              <w:rPr>
                <w:sz w:val="18"/>
                <w:szCs w:val="18"/>
              </w:rPr>
              <w:t>Tema 11: Inversiones</w:t>
            </w:r>
          </w:p>
        </w:tc>
        <w:tc>
          <w:tcPr>
            <w:tcW w:w="4304" w:type="dxa"/>
            <w:gridSpan w:val="8"/>
            <w:shd w:val="clear" w:color="auto" w:fill="D9E2F3"/>
          </w:tcPr>
          <w:p w14:paraId="0D1DAAE7" w14:textId="77777777" w:rsidR="00990B14" w:rsidRDefault="00000000">
            <w:pPr>
              <w:spacing w:after="40"/>
              <w:jc w:val="both"/>
            </w:pPr>
            <w:r>
              <w:rPr>
                <w:sz w:val="18"/>
                <w:szCs w:val="18"/>
              </w:rPr>
              <w:t>Pagos anticipados: objetivo, características, control y naturaleza de las cuentas; tratamiento contable de los asientos irreversibles y reversibles. (C, P)</w:t>
            </w:r>
          </w:p>
          <w:p w14:paraId="46321185" w14:textId="77777777" w:rsidR="00990B14" w:rsidRDefault="00000000">
            <w:pPr>
              <w:spacing w:after="40"/>
              <w:jc w:val="both"/>
            </w:pPr>
            <w:r>
              <w:rPr>
                <w:sz w:val="18"/>
                <w:szCs w:val="18"/>
              </w:rPr>
              <w:t>Respaldo de los pagos anticipados con facturas y su registro en el Registro de Compras y Ventas (RCV) del Servicio de Impuestos Nacionales. (P, T)</w:t>
            </w:r>
          </w:p>
          <w:p w14:paraId="09D6FE9A" w14:textId="77777777" w:rsidR="00990B14" w:rsidRDefault="00000000">
            <w:pPr>
              <w:spacing w:after="40"/>
              <w:jc w:val="both"/>
            </w:pPr>
            <w:r>
              <w:rPr>
                <w:sz w:val="18"/>
                <w:szCs w:val="18"/>
              </w:rPr>
              <w:t>Cargos diferidos: objetivo, características, control y naturaleza de las cuentas; tratamiento contable de los asientos irreversibles, conclusiones y diferencias con los pagos anticipados. (C, P)</w:t>
            </w:r>
          </w:p>
          <w:p w14:paraId="17F200E9" w14:textId="77777777" w:rsidR="00990B14" w:rsidRDefault="00000000">
            <w:pPr>
              <w:spacing w:after="40"/>
              <w:jc w:val="both"/>
            </w:pPr>
            <w:r>
              <w:rPr>
                <w:sz w:val="18"/>
                <w:szCs w:val="18"/>
              </w:rPr>
              <w:t>Inversiones: concepto, objetivo, características y propiedades. (C)</w:t>
            </w:r>
          </w:p>
          <w:p w14:paraId="3A19AF81" w14:textId="77777777" w:rsidR="00990B14" w:rsidRDefault="00000000">
            <w:pPr>
              <w:spacing w:after="40"/>
              <w:jc w:val="both"/>
            </w:pPr>
            <w:r>
              <w:rPr>
                <w:sz w:val="18"/>
                <w:szCs w:val="18"/>
              </w:rPr>
              <w:t>Clasificación de las inversiones por su naturaleza en inversiones de capital, en obligaciones, financieras y en otros activos. (C)</w:t>
            </w:r>
          </w:p>
          <w:p w14:paraId="066EBEEF" w14:textId="77777777" w:rsidR="00990B14" w:rsidRDefault="00000000">
            <w:pPr>
              <w:spacing w:after="40"/>
              <w:jc w:val="both"/>
            </w:pPr>
            <w:r>
              <w:rPr>
                <w:sz w:val="18"/>
                <w:szCs w:val="18"/>
              </w:rPr>
              <w:t>Clasificación de las inversiones por la moneda en nacional y extranjera, por el tiempo en temporarias y permanentes, y por la rentabilidad en rentables de renta fija o variable y no rentables. (C)</w:t>
            </w:r>
          </w:p>
          <w:p w14:paraId="619F8CD9" w14:textId="77777777" w:rsidR="00990B14" w:rsidRDefault="00000000">
            <w:pPr>
              <w:spacing w:after="40"/>
              <w:jc w:val="both"/>
            </w:pPr>
            <w:r>
              <w:rPr>
                <w:sz w:val="18"/>
                <w:szCs w:val="18"/>
              </w:rPr>
              <w:t>Clasificación y medición de las inversiones en instrumentos financieros según la NIIF 9: costo amortizado y valor razonable. (C, P)</w:t>
            </w:r>
          </w:p>
          <w:p w14:paraId="40EB393F" w14:textId="77777777" w:rsidR="00990B14" w:rsidRDefault="00000000">
            <w:pPr>
              <w:spacing w:after="40"/>
              <w:jc w:val="both"/>
            </w:pPr>
            <w:r>
              <w:rPr>
                <w:sz w:val="18"/>
                <w:szCs w:val="18"/>
              </w:rPr>
              <w:t>Control y naturaleza de las cuentas de inversión; tratamiento contable de las cajas de ahorro: apertura, percepción del interés, actualización y cierre. (C, P)</w:t>
            </w:r>
          </w:p>
          <w:p w14:paraId="1B000C9E" w14:textId="77777777" w:rsidR="00990B14" w:rsidRDefault="00000000">
            <w:pPr>
              <w:spacing w:after="40"/>
              <w:jc w:val="both"/>
            </w:pPr>
            <w:r>
              <w:rPr>
                <w:sz w:val="18"/>
                <w:szCs w:val="18"/>
              </w:rPr>
              <w:t>Certificados de aportación: tratamiento contable de la compra, la actualización, la valuación y la venta. (P)</w:t>
            </w:r>
          </w:p>
          <w:p w14:paraId="6BF0BDFF" w14:textId="77777777" w:rsidR="00990B14" w:rsidRDefault="00000000">
            <w:pPr>
              <w:spacing w:after="40"/>
              <w:jc w:val="both"/>
            </w:pPr>
            <w:r>
              <w:rPr>
                <w:sz w:val="18"/>
                <w:szCs w:val="18"/>
              </w:rPr>
              <w:t>Bonos de empresas: tratamiento contable de la compra en la fecha de emisión e interés y en fecha posterior entre fechas de interés, y del cobro del interés en fecha y entre fechas. (P)</w:t>
            </w:r>
          </w:p>
          <w:p w14:paraId="0DB5CD1C" w14:textId="77777777" w:rsidR="00990B14" w:rsidRDefault="00000000">
            <w:pPr>
              <w:spacing w:after="40"/>
              <w:jc w:val="both"/>
            </w:pPr>
            <w:r>
              <w:rPr>
                <w:sz w:val="18"/>
                <w:szCs w:val="18"/>
              </w:rPr>
              <w:t>Amortización del diferencial en la compra de bonos con el método de la tasa de interés efectiva: prima y descuento; tratamiento contable de la venta de bonos comprados a la par, sobre la par y bajo la par. (P)</w:t>
            </w:r>
          </w:p>
          <w:p w14:paraId="128A6D30" w14:textId="77777777" w:rsidR="00990B14" w:rsidRDefault="00000000">
            <w:pPr>
              <w:spacing w:after="40"/>
              <w:jc w:val="both"/>
            </w:pPr>
            <w:r>
              <w:rPr>
                <w:sz w:val="18"/>
                <w:szCs w:val="18"/>
              </w:rPr>
              <w:t>Acciones de empresas: objetivo, clasificación, valuación inicial y final; tratamiento contable de la compra. (C, P)</w:t>
            </w:r>
          </w:p>
          <w:p w14:paraId="638B7EE3" w14:textId="77777777" w:rsidR="00990B14" w:rsidRDefault="00000000">
            <w:pPr>
              <w:spacing w:after="40"/>
              <w:jc w:val="both"/>
            </w:pPr>
            <w:r>
              <w:rPr>
                <w:sz w:val="18"/>
                <w:szCs w:val="18"/>
              </w:rPr>
              <w:t>Tratamiento contable de la percepción de dividendos en efectivo y en acciones, y de la venta de acciones. (P)</w:t>
            </w:r>
          </w:p>
          <w:p w14:paraId="798FA9FF" w14:textId="77777777" w:rsidR="00990B14" w:rsidRDefault="00000000">
            <w:pPr>
              <w:spacing w:after="40"/>
              <w:jc w:val="both"/>
            </w:pPr>
            <w:r>
              <w:rPr>
                <w:sz w:val="18"/>
                <w:szCs w:val="18"/>
              </w:rPr>
              <w:t>Riesgos de las inversiones: riesgo de crédito, de mercado y de liquidez. (C)</w:t>
            </w:r>
          </w:p>
        </w:tc>
        <w:tc>
          <w:tcPr>
            <w:tcW w:w="2752" w:type="dxa"/>
            <w:gridSpan w:val="3"/>
            <w:shd w:val="clear" w:color="auto" w:fill="D9E2F3"/>
          </w:tcPr>
          <w:p w14:paraId="17798C2F" w14:textId="77777777" w:rsidR="00990B14" w:rsidRDefault="00000000">
            <w:pPr>
              <w:numPr>
                <w:ilvl w:val="0"/>
                <w:numId w:val="139"/>
              </w:numPr>
              <w:spacing w:before="10" w:after="10"/>
              <w:jc w:val="both"/>
            </w:pPr>
            <w:r>
              <w:rPr>
                <w:sz w:val="18"/>
                <w:szCs w:val="18"/>
              </w:rPr>
              <w:t>Nociones de los contratos de alquiler de inmuebles y de sus cláusulas de pago anticipado.</w:t>
            </w:r>
          </w:p>
          <w:p w14:paraId="2D0393F5" w14:textId="77777777" w:rsidR="00990B14" w:rsidRDefault="00000000">
            <w:pPr>
              <w:numPr>
                <w:ilvl w:val="0"/>
                <w:numId w:val="139"/>
              </w:numPr>
              <w:spacing w:before="10" w:after="10"/>
              <w:jc w:val="both"/>
            </w:pPr>
            <w:r>
              <w:rPr>
                <w:sz w:val="18"/>
                <w:szCs w:val="18"/>
              </w:rPr>
              <w:t>Nociones de la lectura de los boletines de precios de bonos y acciones de la bolsa de valores.</w:t>
            </w:r>
          </w:p>
        </w:tc>
      </w:tr>
      <w:tr w:rsidR="00990B14" w14:paraId="63F8D695" w14:textId="77777777">
        <w:trPr>
          <w:cantSplit/>
          <w:jc w:val="center"/>
        </w:trPr>
        <w:tc>
          <w:tcPr>
            <w:tcW w:w="9405" w:type="dxa"/>
            <w:gridSpan w:val="13"/>
            <w:shd w:val="clear" w:color="auto" w:fill="D9E2F3"/>
            <w:vAlign w:val="center"/>
          </w:tcPr>
          <w:p w14:paraId="7EC19833" w14:textId="77777777" w:rsidR="00990B14" w:rsidRDefault="00000000">
            <w:pPr>
              <w:spacing w:before="20" w:after="20"/>
              <w:jc w:val="both"/>
            </w:pPr>
            <w:r>
              <w:rPr>
                <w:b/>
                <w:bCs/>
                <w:i/>
                <w:iCs/>
                <w:sz w:val="18"/>
                <w:szCs w:val="18"/>
              </w:rPr>
              <w:t xml:space="preserve">Elemento de competencia 5: </w:t>
            </w:r>
            <w:r>
              <w:rPr>
                <w:sz w:val="18"/>
                <w:szCs w:val="18"/>
              </w:rPr>
              <w:t>Reconoce y valúa los Bienes de Uso, su depreciación, deterioro (pérdida de valor), agotamiento y revalorización técnica de una entidad boliviana, conforme a normas de contabilidad y disposiciones legales vigentes</w:t>
            </w:r>
          </w:p>
        </w:tc>
      </w:tr>
      <w:tr w:rsidR="00990B14" w14:paraId="3FF71450" w14:textId="77777777">
        <w:trPr>
          <w:cantSplit/>
          <w:jc w:val="center"/>
        </w:trPr>
        <w:tc>
          <w:tcPr>
            <w:tcW w:w="3133" w:type="dxa"/>
            <w:gridSpan w:val="4"/>
            <w:shd w:val="clear" w:color="auto" w:fill="4472C4"/>
            <w:vAlign w:val="center"/>
          </w:tcPr>
          <w:p w14:paraId="5C4D0E49"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1329DF8A"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48715C84" w14:textId="77777777" w:rsidR="00990B14" w:rsidRDefault="00000000">
            <w:pPr>
              <w:keepNext/>
              <w:spacing w:before="20" w:after="20"/>
              <w:jc w:val="center"/>
            </w:pPr>
            <w:r>
              <w:rPr>
                <w:b/>
                <w:bCs/>
                <w:i/>
                <w:iCs/>
                <w:color w:val="FFFFFF"/>
                <w:sz w:val="18"/>
                <w:szCs w:val="18"/>
              </w:rPr>
              <w:t>Evidencias de producto</w:t>
            </w:r>
          </w:p>
        </w:tc>
      </w:tr>
      <w:tr w:rsidR="00990B14" w14:paraId="271C6F88" w14:textId="77777777">
        <w:trPr>
          <w:cantSplit/>
          <w:jc w:val="center"/>
        </w:trPr>
        <w:tc>
          <w:tcPr>
            <w:tcW w:w="3133" w:type="dxa"/>
            <w:gridSpan w:val="4"/>
            <w:vMerge w:val="restart"/>
            <w:shd w:val="clear" w:color="auto" w:fill="D9E2F3"/>
            <w:vAlign w:val="center"/>
          </w:tcPr>
          <w:p w14:paraId="04D30B2C" w14:textId="77777777" w:rsidR="00990B14" w:rsidRDefault="00000000">
            <w:pPr>
              <w:spacing w:before="20" w:after="20"/>
              <w:jc w:val="both"/>
            </w:pPr>
            <w:r>
              <w:rPr>
                <w:sz w:val="18"/>
                <w:szCs w:val="18"/>
              </w:rPr>
              <w:t>1. Calcula la depreciación de los bienes de uso con los métodos de línea recta, suma de dígitos, horas de trabajo, unidades de producción y acelerada o logarítmica, registrando su compra, retiro y donación.</w:t>
            </w:r>
          </w:p>
        </w:tc>
        <w:tc>
          <w:tcPr>
            <w:tcW w:w="3135" w:type="dxa"/>
            <w:gridSpan w:val="5"/>
            <w:shd w:val="clear" w:color="auto" w:fill="D9E2F3"/>
            <w:vAlign w:val="center"/>
          </w:tcPr>
          <w:p w14:paraId="2F603CC0" w14:textId="77777777" w:rsidR="00990B14" w:rsidRDefault="00000000">
            <w:pPr>
              <w:spacing w:before="20" w:after="20"/>
              <w:jc w:val="both"/>
            </w:pPr>
            <w:r>
              <w:rPr>
                <w:sz w:val="18"/>
                <w:szCs w:val="18"/>
              </w:rPr>
              <w:t>1.1 Calcula la depreciación de un bien de uso con distintos métodos, comparando sus resultados.</w:t>
            </w:r>
          </w:p>
        </w:tc>
        <w:tc>
          <w:tcPr>
            <w:tcW w:w="3137" w:type="dxa"/>
            <w:gridSpan w:val="4"/>
            <w:shd w:val="clear" w:color="auto" w:fill="D9E2F3"/>
            <w:vAlign w:val="center"/>
          </w:tcPr>
          <w:p w14:paraId="1A075A35" w14:textId="77777777" w:rsidR="00990B14" w:rsidRDefault="00000000">
            <w:pPr>
              <w:spacing w:before="20" w:after="20"/>
              <w:jc w:val="both"/>
            </w:pPr>
            <w:r>
              <w:rPr>
                <w:b/>
                <w:bCs/>
                <w:sz w:val="18"/>
                <w:szCs w:val="18"/>
              </w:rPr>
              <w:t xml:space="preserve">Producto 17: </w:t>
            </w:r>
            <w:r>
              <w:rPr>
                <w:sz w:val="18"/>
                <w:szCs w:val="18"/>
              </w:rPr>
              <w:t>Cuadro comparativo de depreciación por métodos.</w:t>
            </w:r>
          </w:p>
        </w:tc>
      </w:tr>
      <w:tr w:rsidR="00990B14" w14:paraId="4432D181" w14:textId="77777777">
        <w:trPr>
          <w:cantSplit/>
          <w:jc w:val="center"/>
        </w:trPr>
        <w:tc>
          <w:tcPr>
            <w:tcW w:w="3133" w:type="dxa"/>
            <w:gridSpan w:val="4"/>
            <w:vMerge/>
            <w:shd w:val="clear" w:color="auto" w:fill="D9E2F3"/>
            <w:vAlign w:val="center"/>
          </w:tcPr>
          <w:p w14:paraId="08EF8ACD" w14:textId="77777777" w:rsidR="00990B14" w:rsidRDefault="00990B14">
            <w:pPr>
              <w:spacing w:before="20" w:after="20"/>
            </w:pPr>
          </w:p>
        </w:tc>
        <w:tc>
          <w:tcPr>
            <w:tcW w:w="3135" w:type="dxa"/>
            <w:gridSpan w:val="5"/>
            <w:shd w:val="clear" w:color="auto" w:fill="D9E2F3"/>
            <w:vAlign w:val="center"/>
          </w:tcPr>
          <w:p w14:paraId="68AC9E81" w14:textId="77777777" w:rsidR="00990B14" w:rsidRDefault="00000000">
            <w:pPr>
              <w:spacing w:before="20" w:after="20"/>
              <w:jc w:val="both"/>
            </w:pPr>
            <w:r>
              <w:rPr>
                <w:sz w:val="18"/>
                <w:szCs w:val="18"/>
              </w:rPr>
              <w:t>1.2 Registra la compra, las mejoras, venta, baja, retiro y donación de bienes de uso de un caso.</w:t>
            </w:r>
          </w:p>
        </w:tc>
        <w:tc>
          <w:tcPr>
            <w:tcW w:w="3137" w:type="dxa"/>
            <w:gridSpan w:val="4"/>
            <w:shd w:val="clear" w:color="auto" w:fill="D9E2F3"/>
            <w:vAlign w:val="center"/>
          </w:tcPr>
          <w:p w14:paraId="4149B85E" w14:textId="77777777" w:rsidR="00990B14" w:rsidRDefault="00000000">
            <w:pPr>
              <w:spacing w:before="20" w:after="20"/>
              <w:jc w:val="both"/>
            </w:pPr>
            <w:r>
              <w:rPr>
                <w:b/>
                <w:bCs/>
                <w:sz w:val="18"/>
                <w:szCs w:val="18"/>
              </w:rPr>
              <w:t xml:space="preserve">Producto 18: </w:t>
            </w:r>
            <w:r>
              <w:rPr>
                <w:sz w:val="18"/>
                <w:szCs w:val="18"/>
              </w:rPr>
              <w:t>Tarjeta de control y registro de altas y bajas de bienes de uso.</w:t>
            </w:r>
          </w:p>
        </w:tc>
      </w:tr>
      <w:tr w:rsidR="00990B14" w14:paraId="3C2B371D" w14:textId="77777777">
        <w:trPr>
          <w:cantSplit/>
          <w:jc w:val="center"/>
        </w:trPr>
        <w:tc>
          <w:tcPr>
            <w:tcW w:w="3133" w:type="dxa"/>
            <w:gridSpan w:val="4"/>
            <w:vMerge w:val="restart"/>
            <w:shd w:val="clear" w:color="auto" w:fill="D9E2F3"/>
            <w:vAlign w:val="center"/>
          </w:tcPr>
          <w:p w14:paraId="6C9C1628" w14:textId="77777777" w:rsidR="00990B14" w:rsidRDefault="00000000">
            <w:pPr>
              <w:spacing w:before="20" w:after="20"/>
              <w:jc w:val="both"/>
            </w:pPr>
            <w:r>
              <w:rPr>
                <w:sz w:val="18"/>
                <w:szCs w:val="18"/>
              </w:rPr>
              <w:t>2. Registra contablemente el incremento o decremento por revalorización técnica, o la pérdida por deterioro de los Bienes de Uso, calculando su efecto en el patrimonio y en el resultado</w:t>
            </w:r>
          </w:p>
        </w:tc>
        <w:tc>
          <w:tcPr>
            <w:tcW w:w="3135" w:type="dxa"/>
            <w:gridSpan w:val="5"/>
            <w:shd w:val="clear" w:color="auto" w:fill="D9E2F3"/>
            <w:vAlign w:val="center"/>
          </w:tcPr>
          <w:p w14:paraId="3B0AE3A2" w14:textId="77777777" w:rsidR="00990B14" w:rsidRDefault="00000000">
            <w:pPr>
              <w:spacing w:before="20" w:after="20"/>
              <w:jc w:val="both"/>
            </w:pPr>
            <w:r>
              <w:rPr>
                <w:sz w:val="18"/>
                <w:szCs w:val="18"/>
              </w:rPr>
              <w:t>2.1 Desarrolla en equipo el procedimiento de revalorización técnica de los bienes de uso de un caso boliviano.</w:t>
            </w:r>
          </w:p>
        </w:tc>
        <w:tc>
          <w:tcPr>
            <w:tcW w:w="3137" w:type="dxa"/>
            <w:gridSpan w:val="4"/>
            <w:shd w:val="clear" w:color="auto" w:fill="D9E2F3"/>
            <w:vAlign w:val="center"/>
          </w:tcPr>
          <w:p w14:paraId="2BCB954B" w14:textId="77777777" w:rsidR="00990B14" w:rsidRDefault="00000000">
            <w:pPr>
              <w:spacing w:before="20" w:after="20"/>
              <w:jc w:val="both"/>
            </w:pPr>
            <w:r>
              <w:rPr>
                <w:b/>
                <w:bCs/>
                <w:sz w:val="18"/>
                <w:szCs w:val="18"/>
              </w:rPr>
              <w:t xml:space="preserve">Producto 19: </w:t>
            </w:r>
            <w:r>
              <w:rPr>
                <w:sz w:val="18"/>
                <w:szCs w:val="18"/>
              </w:rPr>
              <w:t>Informe de revalorización técnica con su estado por cuentas y estado resumen.</w:t>
            </w:r>
          </w:p>
        </w:tc>
      </w:tr>
      <w:tr w:rsidR="00990B14" w14:paraId="6AC302DC" w14:textId="77777777">
        <w:trPr>
          <w:cantSplit/>
          <w:jc w:val="center"/>
        </w:trPr>
        <w:tc>
          <w:tcPr>
            <w:tcW w:w="3133" w:type="dxa"/>
            <w:gridSpan w:val="4"/>
            <w:vMerge/>
            <w:shd w:val="clear" w:color="auto" w:fill="D9E2F3"/>
            <w:vAlign w:val="center"/>
          </w:tcPr>
          <w:p w14:paraId="60EE1758" w14:textId="77777777" w:rsidR="00990B14" w:rsidRDefault="00990B14">
            <w:pPr>
              <w:spacing w:before="20" w:after="20"/>
            </w:pPr>
          </w:p>
        </w:tc>
        <w:tc>
          <w:tcPr>
            <w:tcW w:w="3135" w:type="dxa"/>
            <w:gridSpan w:val="5"/>
            <w:shd w:val="clear" w:color="auto" w:fill="D9E2F3"/>
            <w:vAlign w:val="center"/>
          </w:tcPr>
          <w:p w14:paraId="29027392" w14:textId="77777777" w:rsidR="00990B14" w:rsidRDefault="00000000">
            <w:pPr>
              <w:spacing w:before="20" w:after="20"/>
              <w:jc w:val="both"/>
            </w:pPr>
            <w:r>
              <w:rPr>
                <w:sz w:val="18"/>
                <w:szCs w:val="18"/>
              </w:rPr>
              <w:t>2.2 Identifica en aula los indicios de deterioro de un bien de uso y calcula su pérdida por deterioro.</w:t>
            </w:r>
          </w:p>
        </w:tc>
        <w:tc>
          <w:tcPr>
            <w:tcW w:w="3137" w:type="dxa"/>
            <w:gridSpan w:val="4"/>
            <w:shd w:val="clear" w:color="auto" w:fill="D9E2F3"/>
            <w:vAlign w:val="center"/>
          </w:tcPr>
          <w:p w14:paraId="5E187164" w14:textId="77777777" w:rsidR="00990B14" w:rsidRDefault="00000000">
            <w:pPr>
              <w:spacing w:before="20" w:after="20"/>
              <w:jc w:val="both"/>
            </w:pPr>
            <w:r>
              <w:rPr>
                <w:b/>
                <w:bCs/>
                <w:sz w:val="18"/>
                <w:szCs w:val="18"/>
              </w:rPr>
              <w:t xml:space="preserve">Producto 20: </w:t>
            </w:r>
            <w:r>
              <w:rPr>
                <w:sz w:val="18"/>
                <w:szCs w:val="18"/>
              </w:rPr>
              <w:t>Cédula de prueba de deterioro de un bien de uso.</w:t>
            </w:r>
          </w:p>
        </w:tc>
      </w:tr>
      <w:tr w:rsidR="00990B14" w14:paraId="14FDA064" w14:textId="77777777">
        <w:trPr>
          <w:cantSplit/>
          <w:jc w:val="center"/>
        </w:trPr>
        <w:tc>
          <w:tcPr>
            <w:tcW w:w="9405" w:type="dxa"/>
            <w:gridSpan w:val="13"/>
            <w:shd w:val="clear" w:color="auto" w:fill="4472C4"/>
            <w:vAlign w:val="center"/>
          </w:tcPr>
          <w:p w14:paraId="5651A396" w14:textId="77777777" w:rsidR="00990B14" w:rsidRDefault="00000000">
            <w:pPr>
              <w:keepNext/>
              <w:spacing w:before="20" w:after="20"/>
              <w:jc w:val="center"/>
            </w:pPr>
            <w:r>
              <w:rPr>
                <w:b/>
                <w:bCs/>
                <w:i/>
                <w:iCs/>
                <w:color w:val="FFFFFF"/>
                <w:sz w:val="18"/>
                <w:szCs w:val="18"/>
              </w:rPr>
              <w:t>Evidencias de conocimiento</w:t>
            </w:r>
          </w:p>
        </w:tc>
      </w:tr>
      <w:tr w:rsidR="00990B14" w14:paraId="3F6DCF68" w14:textId="77777777">
        <w:trPr>
          <w:cantSplit/>
          <w:jc w:val="center"/>
        </w:trPr>
        <w:tc>
          <w:tcPr>
            <w:tcW w:w="2349" w:type="dxa"/>
            <w:gridSpan w:val="2"/>
            <w:shd w:val="clear" w:color="auto" w:fill="4472C4"/>
            <w:vAlign w:val="center"/>
          </w:tcPr>
          <w:p w14:paraId="60FEC935"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2979EEE4" w14:textId="77777777" w:rsidR="00990B14" w:rsidRDefault="00000000">
            <w:pPr>
              <w:keepNext/>
              <w:spacing w:before="20" w:after="20"/>
              <w:jc w:val="both"/>
            </w:pPr>
            <w:r>
              <w:rPr>
                <w:b/>
                <w:bCs/>
                <w:i/>
                <w:iCs/>
                <w:color w:val="FFFFFF"/>
                <w:sz w:val="18"/>
                <w:szCs w:val="18"/>
              </w:rPr>
              <w:t>Contenidos</w:t>
            </w:r>
          </w:p>
          <w:p w14:paraId="45CE653D"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1A0EA8C8" w14:textId="77777777" w:rsidR="00990B14" w:rsidRDefault="00000000">
            <w:pPr>
              <w:keepNext/>
              <w:spacing w:before="20" w:after="20"/>
              <w:jc w:val="center"/>
            </w:pPr>
            <w:r>
              <w:rPr>
                <w:b/>
                <w:bCs/>
                <w:i/>
                <w:iCs/>
                <w:color w:val="FFFFFF"/>
                <w:sz w:val="18"/>
                <w:szCs w:val="18"/>
              </w:rPr>
              <w:t>Conocimientos circunstanciales</w:t>
            </w:r>
          </w:p>
        </w:tc>
      </w:tr>
      <w:tr w:rsidR="00990B14" w14:paraId="5219F5D6" w14:textId="77777777">
        <w:trPr>
          <w:jc w:val="center"/>
        </w:trPr>
        <w:tc>
          <w:tcPr>
            <w:tcW w:w="2349" w:type="dxa"/>
            <w:gridSpan w:val="2"/>
            <w:shd w:val="clear" w:color="auto" w:fill="D9E2F3"/>
          </w:tcPr>
          <w:p w14:paraId="72BA9EF2" w14:textId="77777777" w:rsidR="00990B14" w:rsidRDefault="00000000">
            <w:pPr>
              <w:spacing w:before="20" w:after="40"/>
              <w:jc w:val="both"/>
            </w:pPr>
            <w:r>
              <w:rPr>
                <w:sz w:val="18"/>
                <w:szCs w:val="18"/>
              </w:rPr>
              <w:t>Tema 12: Bienes de uso</w:t>
            </w:r>
          </w:p>
          <w:p w14:paraId="7C70A5C4" w14:textId="77777777" w:rsidR="00990B14" w:rsidRDefault="00000000">
            <w:pPr>
              <w:spacing w:before="20" w:after="40"/>
              <w:jc w:val="both"/>
            </w:pPr>
            <w:r>
              <w:rPr>
                <w:sz w:val="18"/>
                <w:szCs w:val="18"/>
              </w:rPr>
              <w:t>Tema 13: Revalorización técnica de bienes de uso</w:t>
            </w:r>
          </w:p>
        </w:tc>
        <w:tc>
          <w:tcPr>
            <w:tcW w:w="4304" w:type="dxa"/>
            <w:gridSpan w:val="8"/>
            <w:shd w:val="clear" w:color="auto" w:fill="D9E2F3"/>
          </w:tcPr>
          <w:p w14:paraId="08945A26" w14:textId="77777777" w:rsidR="00990B14" w:rsidRDefault="00000000">
            <w:pPr>
              <w:spacing w:after="40"/>
              <w:jc w:val="both"/>
            </w:pPr>
            <w:r>
              <w:rPr>
                <w:sz w:val="18"/>
                <w:szCs w:val="18"/>
              </w:rPr>
              <w:t>Bienes de uso: concepto, objetivo, características, control con tarjetas y diseño de su conformación, y custodia y salvaguarda de los activos. (C, P)</w:t>
            </w:r>
          </w:p>
          <w:p w14:paraId="3E5326B7" w14:textId="77777777" w:rsidR="00990B14" w:rsidRDefault="00000000">
            <w:pPr>
              <w:spacing w:after="40"/>
              <w:jc w:val="both"/>
            </w:pPr>
            <w:r>
              <w:rPr>
                <w:sz w:val="18"/>
                <w:szCs w:val="18"/>
              </w:rPr>
              <w:t>Apropiación o reconocimiento y valuación o medición inicial y final de los bienes de uso; naturaleza de las cuentas. (C, P)</w:t>
            </w:r>
          </w:p>
          <w:p w14:paraId="17011C31" w14:textId="77777777" w:rsidR="00990B14" w:rsidRDefault="00000000">
            <w:pPr>
              <w:spacing w:after="40"/>
              <w:jc w:val="both"/>
            </w:pPr>
            <w:r>
              <w:rPr>
                <w:sz w:val="18"/>
                <w:szCs w:val="18"/>
              </w:rPr>
              <w:t>Reconocimiento y medición de bienes de uso según la NIC 16: costo, componentes, vida útil y valor residual. (C, P)</w:t>
            </w:r>
          </w:p>
          <w:p w14:paraId="20A331E2" w14:textId="77777777" w:rsidR="00990B14" w:rsidRDefault="00000000">
            <w:pPr>
              <w:spacing w:after="40"/>
              <w:jc w:val="both"/>
            </w:pPr>
            <w:r>
              <w:rPr>
                <w:sz w:val="18"/>
                <w:szCs w:val="18"/>
              </w:rPr>
              <w:t>Tratamiento contable de la compra de bienes de uso nuevos, a medio uso y usados; mantenimiento, reparaciones y mejoras. (P)</w:t>
            </w:r>
          </w:p>
          <w:p w14:paraId="2FBD79C7" w14:textId="77777777" w:rsidR="00990B14" w:rsidRDefault="00000000">
            <w:pPr>
              <w:spacing w:after="40"/>
              <w:jc w:val="both"/>
            </w:pPr>
            <w:r>
              <w:rPr>
                <w:sz w:val="18"/>
                <w:szCs w:val="18"/>
              </w:rPr>
              <w:t>Métodos de cálculo de la depreciación en hoja de cálculo: línea recta, suma de dígitos ascendente y descendente, horas de trabajo, unidades de producción, método acelerado y exponencial, con su comparación. (P, T)</w:t>
            </w:r>
          </w:p>
          <w:p w14:paraId="12F5967F" w14:textId="77777777" w:rsidR="00990B14" w:rsidRDefault="00000000">
            <w:pPr>
              <w:spacing w:after="40"/>
              <w:jc w:val="both"/>
            </w:pPr>
            <w:r>
              <w:rPr>
                <w:sz w:val="18"/>
                <w:szCs w:val="18"/>
              </w:rPr>
              <w:t>Tratamiento contable del cambio de método de depreciación. (C, P)</w:t>
            </w:r>
          </w:p>
          <w:p w14:paraId="729B3963" w14:textId="77777777" w:rsidR="00990B14" w:rsidRDefault="00000000">
            <w:pPr>
              <w:spacing w:after="40"/>
              <w:jc w:val="both"/>
            </w:pPr>
            <w:r>
              <w:rPr>
                <w:sz w:val="18"/>
                <w:szCs w:val="18"/>
              </w:rPr>
              <w:t>Deterioro del valor de los bienes de uso según la NIC 36: indicios de deterioro y pérdida por deterioro. (C, P)</w:t>
            </w:r>
          </w:p>
          <w:p w14:paraId="47F56E18" w14:textId="77777777" w:rsidR="00990B14" w:rsidRDefault="00000000">
            <w:pPr>
              <w:spacing w:after="40"/>
              <w:jc w:val="both"/>
            </w:pPr>
            <w:r>
              <w:rPr>
                <w:sz w:val="18"/>
                <w:szCs w:val="18"/>
              </w:rPr>
              <w:t>Tratamiento contable del retiro de bienes de uso por venta o baja, y de las donaciones de bienes de uso. (P)</w:t>
            </w:r>
          </w:p>
          <w:p w14:paraId="2D8D748C" w14:textId="77777777" w:rsidR="00990B14" w:rsidRDefault="00000000">
            <w:pPr>
              <w:spacing w:after="40"/>
              <w:jc w:val="both"/>
            </w:pPr>
            <w:r>
              <w:rPr>
                <w:sz w:val="18"/>
                <w:szCs w:val="18"/>
              </w:rPr>
              <w:t>Revalorización técnica de bienes de uso: concepto, objetivos, características, causas, bienes sujetos a revalorización y periodicidad. (C)</w:t>
            </w:r>
          </w:p>
          <w:p w14:paraId="26BCF2EE" w14:textId="77777777" w:rsidR="00990B14" w:rsidRDefault="00000000">
            <w:pPr>
              <w:spacing w:after="40"/>
              <w:jc w:val="both"/>
            </w:pPr>
            <w:r>
              <w:rPr>
                <w:sz w:val="18"/>
                <w:szCs w:val="18"/>
              </w:rPr>
              <w:t>Normas de contabilidad y disposiciones legales sobre la revalorización técnica; información requerida para peritos independientes y su independencia y objetividad en la determinación del valor. (C, P, A)</w:t>
            </w:r>
          </w:p>
          <w:p w14:paraId="39C066A8" w14:textId="77777777" w:rsidR="00990B14" w:rsidRDefault="00000000">
            <w:pPr>
              <w:spacing w:after="40"/>
              <w:jc w:val="both"/>
            </w:pPr>
            <w:r>
              <w:rPr>
                <w:sz w:val="18"/>
                <w:szCs w:val="18"/>
              </w:rPr>
              <w:t>Procedimiento de revalorización: inventario físico de bienes de uso y su desarrollo, diferencias determinadas y su tratamiento, reclasificaciones y codificación de bienes de uso. (P)</w:t>
            </w:r>
          </w:p>
          <w:p w14:paraId="252F1ED6" w14:textId="77777777" w:rsidR="00990B14" w:rsidRDefault="00000000">
            <w:pPr>
              <w:spacing w:after="40"/>
              <w:jc w:val="both"/>
            </w:pPr>
            <w:r>
              <w:rPr>
                <w:sz w:val="18"/>
                <w:szCs w:val="18"/>
              </w:rPr>
              <w:t>Informe de revalorización y su contenido; estados de revalorización por cuentas y estado resumen, con su diseño y conformación. (P)</w:t>
            </w:r>
          </w:p>
          <w:p w14:paraId="1BBECF7C" w14:textId="77777777" w:rsidR="00990B14" w:rsidRDefault="00000000">
            <w:pPr>
              <w:spacing w:after="40"/>
              <w:jc w:val="both"/>
            </w:pPr>
            <w:r>
              <w:rPr>
                <w:sz w:val="18"/>
                <w:szCs w:val="18"/>
              </w:rPr>
              <w:t>Naturaleza de la cuenta y tratamiento contable de la revalorización técnica; conclusiones. (C, P)</w:t>
            </w:r>
          </w:p>
        </w:tc>
        <w:tc>
          <w:tcPr>
            <w:tcW w:w="2752" w:type="dxa"/>
            <w:gridSpan w:val="3"/>
            <w:shd w:val="clear" w:color="auto" w:fill="D9E2F3"/>
          </w:tcPr>
          <w:p w14:paraId="022A966D" w14:textId="77777777" w:rsidR="00990B14" w:rsidRDefault="00000000">
            <w:pPr>
              <w:numPr>
                <w:ilvl w:val="0"/>
                <w:numId w:val="139"/>
              </w:numPr>
              <w:spacing w:before="10" w:after="10"/>
              <w:jc w:val="both"/>
            </w:pPr>
            <w:r>
              <w:rPr>
                <w:sz w:val="18"/>
                <w:szCs w:val="18"/>
              </w:rPr>
              <w:t>Nociones de la tasación de inmuebles, maquinaria y vehículos por un perito valuador.</w:t>
            </w:r>
          </w:p>
          <w:p w14:paraId="36D986ED" w14:textId="77777777" w:rsidR="00990B14" w:rsidRDefault="00000000">
            <w:pPr>
              <w:numPr>
                <w:ilvl w:val="0"/>
                <w:numId w:val="139"/>
              </w:numPr>
              <w:spacing w:before="10" w:after="10"/>
              <w:jc w:val="both"/>
            </w:pPr>
            <w:r>
              <w:rPr>
                <w:sz w:val="18"/>
                <w:szCs w:val="18"/>
              </w:rPr>
              <w:t>Nociones de la codificación y el etiquetado de los bienes de uso para su control físico.</w:t>
            </w:r>
          </w:p>
        </w:tc>
      </w:tr>
      <w:tr w:rsidR="00990B14" w14:paraId="0F768EDE" w14:textId="77777777">
        <w:trPr>
          <w:cantSplit/>
          <w:jc w:val="center"/>
        </w:trPr>
        <w:tc>
          <w:tcPr>
            <w:tcW w:w="9405" w:type="dxa"/>
            <w:gridSpan w:val="13"/>
            <w:shd w:val="clear" w:color="auto" w:fill="D9E2F3"/>
            <w:vAlign w:val="center"/>
          </w:tcPr>
          <w:p w14:paraId="48F8E503" w14:textId="77777777" w:rsidR="00990B14" w:rsidRDefault="00000000">
            <w:pPr>
              <w:spacing w:before="20" w:after="20"/>
              <w:jc w:val="both"/>
            </w:pPr>
            <w:r>
              <w:rPr>
                <w:b/>
                <w:bCs/>
                <w:i/>
                <w:iCs/>
                <w:sz w:val="18"/>
                <w:szCs w:val="18"/>
              </w:rPr>
              <w:t xml:space="preserve">Elemento de competencia 6: </w:t>
            </w:r>
            <w:r>
              <w:rPr>
                <w:sz w:val="18"/>
                <w:szCs w:val="18"/>
              </w:rPr>
              <w:t>Aplica valuación y apropiación de activos intangibles exclusivos de una entidad boliviana, clasificándolos por su vida limitada o ilimitada y amortizando los de vida limitada.</w:t>
            </w:r>
          </w:p>
        </w:tc>
      </w:tr>
      <w:tr w:rsidR="00990B14" w14:paraId="4B7A0165" w14:textId="77777777">
        <w:trPr>
          <w:cantSplit/>
          <w:jc w:val="center"/>
        </w:trPr>
        <w:tc>
          <w:tcPr>
            <w:tcW w:w="3133" w:type="dxa"/>
            <w:gridSpan w:val="4"/>
            <w:shd w:val="clear" w:color="auto" w:fill="4472C4"/>
            <w:vAlign w:val="center"/>
          </w:tcPr>
          <w:p w14:paraId="525387E8"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69919E07"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12686F14" w14:textId="77777777" w:rsidR="00990B14" w:rsidRDefault="00000000">
            <w:pPr>
              <w:keepNext/>
              <w:spacing w:before="20" w:after="20"/>
              <w:jc w:val="center"/>
            </w:pPr>
            <w:r>
              <w:rPr>
                <w:b/>
                <w:bCs/>
                <w:i/>
                <w:iCs/>
                <w:color w:val="FFFFFF"/>
                <w:sz w:val="18"/>
                <w:szCs w:val="18"/>
              </w:rPr>
              <w:t>Evidencias de producto</w:t>
            </w:r>
          </w:p>
        </w:tc>
      </w:tr>
      <w:tr w:rsidR="00990B14" w14:paraId="3D91A56A" w14:textId="77777777">
        <w:trPr>
          <w:cantSplit/>
          <w:jc w:val="center"/>
        </w:trPr>
        <w:tc>
          <w:tcPr>
            <w:tcW w:w="3133" w:type="dxa"/>
            <w:gridSpan w:val="4"/>
            <w:vMerge w:val="restart"/>
            <w:shd w:val="clear" w:color="auto" w:fill="D9E2F3"/>
            <w:vAlign w:val="center"/>
          </w:tcPr>
          <w:p w14:paraId="22946333" w14:textId="77777777" w:rsidR="00990B14" w:rsidRDefault="00000000">
            <w:pPr>
              <w:spacing w:before="20" w:after="20"/>
              <w:jc w:val="both"/>
            </w:pPr>
            <w:r>
              <w:rPr>
                <w:sz w:val="18"/>
                <w:szCs w:val="18"/>
              </w:rPr>
              <w:t>1. Clasifica los activos intangibles de una entidad por su duración, distinguiendo aquellos desembolsos que se reconocen como activo, de los que se aplican al gasto.</w:t>
            </w:r>
          </w:p>
        </w:tc>
        <w:tc>
          <w:tcPr>
            <w:tcW w:w="3135" w:type="dxa"/>
            <w:gridSpan w:val="5"/>
            <w:shd w:val="clear" w:color="auto" w:fill="D9E2F3"/>
            <w:vAlign w:val="center"/>
          </w:tcPr>
          <w:p w14:paraId="31AE5765" w14:textId="77777777" w:rsidR="00990B14" w:rsidRDefault="00000000">
            <w:pPr>
              <w:spacing w:before="20" w:after="20"/>
              <w:jc w:val="both"/>
            </w:pPr>
            <w:r>
              <w:rPr>
                <w:sz w:val="18"/>
                <w:szCs w:val="18"/>
              </w:rPr>
              <w:t>1.1 Clasifica ante el curso los activos intangibles de una entidad boliviana según la NIC 38.</w:t>
            </w:r>
          </w:p>
        </w:tc>
        <w:tc>
          <w:tcPr>
            <w:tcW w:w="3137" w:type="dxa"/>
            <w:gridSpan w:val="4"/>
            <w:shd w:val="clear" w:color="auto" w:fill="D9E2F3"/>
            <w:vAlign w:val="center"/>
          </w:tcPr>
          <w:p w14:paraId="085B9C8E" w14:textId="77777777" w:rsidR="00990B14" w:rsidRDefault="00000000">
            <w:pPr>
              <w:spacing w:before="20" w:after="20"/>
              <w:jc w:val="both"/>
            </w:pPr>
            <w:r>
              <w:rPr>
                <w:b/>
                <w:bCs/>
                <w:sz w:val="18"/>
                <w:szCs w:val="18"/>
              </w:rPr>
              <w:t xml:space="preserve">Producto 21: </w:t>
            </w:r>
            <w:r>
              <w:rPr>
                <w:sz w:val="18"/>
                <w:szCs w:val="18"/>
              </w:rPr>
              <w:t>Cuadro de clasificación de activos intangibles.</w:t>
            </w:r>
          </w:p>
        </w:tc>
      </w:tr>
      <w:tr w:rsidR="00990B14" w14:paraId="56A2A0A4" w14:textId="77777777">
        <w:trPr>
          <w:cantSplit/>
          <w:jc w:val="center"/>
        </w:trPr>
        <w:tc>
          <w:tcPr>
            <w:tcW w:w="3133" w:type="dxa"/>
            <w:gridSpan w:val="4"/>
            <w:vMerge/>
            <w:shd w:val="clear" w:color="auto" w:fill="D9E2F3"/>
            <w:vAlign w:val="center"/>
          </w:tcPr>
          <w:p w14:paraId="1783A555" w14:textId="77777777" w:rsidR="00990B14" w:rsidRDefault="00990B14">
            <w:pPr>
              <w:spacing w:before="20" w:after="20"/>
            </w:pPr>
          </w:p>
        </w:tc>
        <w:tc>
          <w:tcPr>
            <w:tcW w:w="3135" w:type="dxa"/>
            <w:gridSpan w:val="5"/>
            <w:shd w:val="clear" w:color="auto" w:fill="D9E2F3"/>
            <w:vAlign w:val="center"/>
          </w:tcPr>
          <w:p w14:paraId="306A6ED8" w14:textId="77777777" w:rsidR="00990B14" w:rsidRDefault="00000000">
            <w:pPr>
              <w:spacing w:before="20" w:after="20"/>
              <w:jc w:val="both"/>
            </w:pPr>
            <w:r>
              <w:rPr>
                <w:sz w:val="18"/>
                <w:szCs w:val="18"/>
              </w:rPr>
              <w:t>1.2 Analiza en equipo los desembolsos de un proyecto de desarrollo de software, separando la fase de investigación de la de desarrollo.</w:t>
            </w:r>
          </w:p>
        </w:tc>
        <w:tc>
          <w:tcPr>
            <w:tcW w:w="3137" w:type="dxa"/>
            <w:gridSpan w:val="4"/>
            <w:shd w:val="clear" w:color="auto" w:fill="D9E2F3"/>
            <w:vAlign w:val="center"/>
          </w:tcPr>
          <w:p w14:paraId="7E2B1A73" w14:textId="77777777" w:rsidR="00990B14" w:rsidRDefault="00000000">
            <w:pPr>
              <w:spacing w:before="20" w:after="20"/>
              <w:jc w:val="both"/>
            </w:pPr>
            <w:r>
              <w:rPr>
                <w:b/>
                <w:bCs/>
                <w:sz w:val="18"/>
                <w:szCs w:val="18"/>
              </w:rPr>
              <w:t xml:space="preserve">Producto 22: </w:t>
            </w:r>
            <w:r>
              <w:rPr>
                <w:sz w:val="18"/>
                <w:szCs w:val="18"/>
              </w:rPr>
              <w:t>Cédula de desembolsos activables y no activables.</w:t>
            </w:r>
          </w:p>
        </w:tc>
      </w:tr>
      <w:tr w:rsidR="00990B14" w14:paraId="7B7AE635" w14:textId="77777777">
        <w:trPr>
          <w:cantSplit/>
          <w:jc w:val="center"/>
        </w:trPr>
        <w:tc>
          <w:tcPr>
            <w:tcW w:w="3133" w:type="dxa"/>
            <w:gridSpan w:val="4"/>
            <w:vMerge w:val="restart"/>
            <w:shd w:val="clear" w:color="auto" w:fill="D9E2F3"/>
            <w:vAlign w:val="center"/>
          </w:tcPr>
          <w:p w14:paraId="37F99EF4" w14:textId="77777777" w:rsidR="00990B14" w:rsidRDefault="00000000">
            <w:pPr>
              <w:spacing w:before="20" w:after="20"/>
              <w:jc w:val="both"/>
            </w:pPr>
            <w:r>
              <w:rPr>
                <w:sz w:val="18"/>
                <w:szCs w:val="18"/>
              </w:rPr>
              <w:t>2. Registra la adquisición y la amortización de programas informáticos y concesiones, en función a su vida útil, cuantificando su valor residual.</w:t>
            </w:r>
          </w:p>
        </w:tc>
        <w:tc>
          <w:tcPr>
            <w:tcW w:w="3135" w:type="dxa"/>
            <w:gridSpan w:val="5"/>
            <w:shd w:val="clear" w:color="auto" w:fill="D9E2F3"/>
            <w:vAlign w:val="center"/>
          </w:tcPr>
          <w:p w14:paraId="7E53B547" w14:textId="77777777" w:rsidR="00990B14" w:rsidRDefault="00000000">
            <w:pPr>
              <w:spacing w:before="20" w:after="20"/>
              <w:jc w:val="both"/>
            </w:pPr>
            <w:r>
              <w:rPr>
                <w:sz w:val="18"/>
                <w:szCs w:val="18"/>
              </w:rPr>
              <w:t>2.1 Registra en aula la compra y la amortización de una licencia de software y una concesión</w:t>
            </w:r>
          </w:p>
        </w:tc>
        <w:tc>
          <w:tcPr>
            <w:tcW w:w="3137" w:type="dxa"/>
            <w:gridSpan w:val="4"/>
            <w:shd w:val="clear" w:color="auto" w:fill="D9E2F3"/>
            <w:vAlign w:val="center"/>
          </w:tcPr>
          <w:p w14:paraId="6C5E5F4C" w14:textId="77777777" w:rsidR="00990B14" w:rsidRDefault="00000000">
            <w:pPr>
              <w:spacing w:before="20" w:after="20"/>
              <w:jc w:val="both"/>
            </w:pPr>
            <w:r>
              <w:rPr>
                <w:b/>
                <w:bCs/>
                <w:sz w:val="18"/>
                <w:szCs w:val="18"/>
              </w:rPr>
              <w:t xml:space="preserve">Producto 23: </w:t>
            </w:r>
            <w:r>
              <w:rPr>
                <w:sz w:val="18"/>
                <w:szCs w:val="18"/>
              </w:rPr>
              <w:t>Libro diario de adquisición y amortización de licencias, concesiones y patentes.</w:t>
            </w:r>
          </w:p>
        </w:tc>
      </w:tr>
      <w:tr w:rsidR="00990B14" w14:paraId="61146DA6" w14:textId="77777777">
        <w:trPr>
          <w:cantSplit/>
          <w:jc w:val="center"/>
        </w:trPr>
        <w:tc>
          <w:tcPr>
            <w:tcW w:w="3133" w:type="dxa"/>
            <w:gridSpan w:val="4"/>
            <w:vMerge/>
            <w:shd w:val="clear" w:color="auto" w:fill="D9E2F3"/>
            <w:vAlign w:val="center"/>
          </w:tcPr>
          <w:p w14:paraId="34DE8C58" w14:textId="77777777" w:rsidR="00990B14" w:rsidRDefault="00990B14">
            <w:pPr>
              <w:spacing w:before="20" w:after="20"/>
            </w:pPr>
          </w:p>
        </w:tc>
        <w:tc>
          <w:tcPr>
            <w:tcW w:w="3135" w:type="dxa"/>
            <w:gridSpan w:val="5"/>
            <w:shd w:val="clear" w:color="auto" w:fill="D9E2F3"/>
            <w:vAlign w:val="center"/>
          </w:tcPr>
          <w:p w14:paraId="58BAE701" w14:textId="77777777" w:rsidR="00990B14" w:rsidRDefault="00000000">
            <w:pPr>
              <w:spacing w:before="20" w:after="20"/>
              <w:jc w:val="both"/>
            </w:pPr>
            <w:r>
              <w:rPr>
                <w:sz w:val="18"/>
                <w:szCs w:val="18"/>
              </w:rPr>
              <w:t>2.2 Calcula la amortización de los intangibles de vida útil limitada de un caso.</w:t>
            </w:r>
          </w:p>
        </w:tc>
        <w:tc>
          <w:tcPr>
            <w:tcW w:w="3137" w:type="dxa"/>
            <w:gridSpan w:val="4"/>
            <w:shd w:val="clear" w:color="auto" w:fill="D9E2F3"/>
            <w:vAlign w:val="center"/>
          </w:tcPr>
          <w:p w14:paraId="153D05CE" w14:textId="77777777" w:rsidR="00990B14" w:rsidRDefault="00000000">
            <w:pPr>
              <w:spacing w:before="20" w:after="20"/>
              <w:jc w:val="both"/>
            </w:pPr>
            <w:r>
              <w:rPr>
                <w:b/>
                <w:bCs/>
                <w:sz w:val="18"/>
                <w:szCs w:val="18"/>
              </w:rPr>
              <w:t xml:space="preserve">Producto 24: </w:t>
            </w:r>
            <w:r>
              <w:rPr>
                <w:sz w:val="18"/>
                <w:szCs w:val="18"/>
              </w:rPr>
              <w:t>Tabla de amortización de activos intangibles.</w:t>
            </w:r>
          </w:p>
        </w:tc>
      </w:tr>
      <w:tr w:rsidR="00990B14" w14:paraId="36CDAB99" w14:textId="77777777">
        <w:trPr>
          <w:cantSplit/>
          <w:jc w:val="center"/>
        </w:trPr>
        <w:tc>
          <w:tcPr>
            <w:tcW w:w="9405" w:type="dxa"/>
            <w:gridSpan w:val="13"/>
            <w:shd w:val="clear" w:color="auto" w:fill="4472C4"/>
            <w:vAlign w:val="center"/>
          </w:tcPr>
          <w:p w14:paraId="67BF73E3" w14:textId="77777777" w:rsidR="00990B14" w:rsidRDefault="00000000">
            <w:pPr>
              <w:keepNext/>
              <w:spacing w:before="20" w:after="20"/>
              <w:jc w:val="center"/>
            </w:pPr>
            <w:r>
              <w:rPr>
                <w:b/>
                <w:bCs/>
                <w:i/>
                <w:iCs/>
                <w:color w:val="FFFFFF"/>
                <w:sz w:val="18"/>
                <w:szCs w:val="18"/>
              </w:rPr>
              <w:t>Evidencias de conocimiento</w:t>
            </w:r>
          </w:p>
        </w:tc>
      </w:tr>
      <w:tr w:rsidR="00990B14" w14:paraId="09B53A5C" w14:textId="77777777">
        <w:trPr>
          <w:cantSplit/>
          <w:jc w:val="center"/>
        </w:trPr>
        <w:tc>
          <w:tcPr>
            <w:tcW w:w="2349" w:type="dxa"/>
            <w:gridSpan w:val="2"/>
            <w:shd w:val="clear" w:color="auto" w:fill="4472C4"/>
            <w:vAlign w:val="center"/>
          </w:tcPr>
          <w:p w14:paraId="0B3CE826"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3AA2ABEF" w14:textId="77777777" w:rsidR="00990B14" w:rsidRDefault="00000000">
            <w:pPr>
              <w:keepNext/>
              <w:spacing w:before="20" w:after="20"/>
              <w:jc w:val="both"/>
            </w:pPr>
            <w:r>
              <w:rPr>
                <w:b/>
                <w:bCs/>
                <w:i/>
                <w:iCs/>
                <w:color w:val="FFFFFF"/>
                <w:sz w:val="18"/>
                <w:szCs w:val="18"/>
              </w:rPr>
              <w:t>Contenidos</w:t>
            </w:r>
          </w:p>
          <w:p w14:paraId="0DAAB729"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6941505F" w14:textId="77777777" w:rsidR="00990B14" w:rsidRDefault="00000000">
            <w:pPr>
              <w:keepNext/>
              <w:spacing w:before="20" w:after="20"/>
              <w:jc w:val="center"/>
            </w:pPr>
            <w:r>
              <w:rPr>
                <w:b/>
                <w:bCs/>
                <w:i/>
                <w:iCs/>
                <w:color w:val="FFFFFF"/>
                <w:sz w:val="18"/>
                <w:szCs w:val="18"/>
              </w:rPr>
              <w:t>Conocimientos circunstanciales</w:t>
            </w:r>
          </w:p>
        </w:tc>
      </w:tr>
      <w:tr w:rsidR="00990B14" w14:paraId="4453CFDA" w14:textId="77777777">
        <w:trPr>
          <w:jc w:val="center"/>
        </w:trPr>
        <w:tc>
          <w:tcPr>
            <w:tcW w:w="2349" w:type="dxa"/>
            <w:gridSpan w:val="2"/>
            <w:shd w:val="clear" w:color="auto" w:fill="D9E2F3"/>
          </w:tcPr>
          <w:p w14:paraId="088C99D7" w14:textId="77777777" w:rsidR="00990B14" w:rsidRDefault="00000000">
            <w:pPr>
              <w:spacing w:before="20" w:after="40"/>
              <w:jc w:val="both"/>
            </w:pPr>
            <w:r>
              <w:rPr>
                <w:sz w:val="18"/>
                <w:szCs w:val="18"/>
              </w:rPr>
              <w:t>Tema 14: Intangibles</w:t>
            </w:r>
          </w:p>
        </w:tc>
        <w:tc>
          <w:tcPr>
            <w:tcW w:w="4304" w:type="dxa"/>
            <w:gridSpan w:val="8"/>
            <w:shd w:val="clear" w:color="auto" w:fill="D9E2F3"/>
          </w:tcPr>
          <w:p w14:paraId="14F68C59" w14:textId="77777777" w:rsidR="00990B14" w:rsidRDefault="00000000">
            <w:pPr>
              <w:spacing w:after="40"/>
              <w:jc w:val="both"/>
            </w:pPr>
            <w:r>
              <w:rPr>
                <w:sz w:val="18"/>
                <w:szCs w:val="18"/>
              </w:rPr>
              <w:t>Activos intangibles: concepto, objetivo, características, control y disposiciones legales. (C)</w:t>
            </w:r>
          </w:p>
          <w:p w14:paraId="5172F17F" w14:textId="77777777" w:rsidR="00990B14" w:rsidRDefault="00000000">
            <w:pPr>
              <w:spacing w:after="40"/>
              <w:jc w:val="both"/>
            </w:pPr>
            <w:r>
              <w:rPr>
                <w:sz w:val="18"/>
                <w:szCs w:val="18"/>
              </w:rPr>
              <w:t>Clasificación de los activos intangibles por su tiempo de duración en limitada e ilimitada, y por su apropiación en apropiados y no apropiados. (C)</w:t>
            </w:r>
          </w:p>
          <w:p w14:paraId="41A773B2" w14:textId="77777777" w:rsidR="00990B14" w:rsidRDefault="00000000">
            <w:pPr>
              <w:spacing w:after="40"/>
              <w:jc w:val="both"/>
            </w:pPr>
            <w:r>
              <w:rPr>
                <w:sz w:val="18"/>
                <w:szCs w:val="18"/>
              </w:rPr>
              <w:t>Apropiación o reconocimiento y valuación o medición inicial y final de los activos intangibles; naturaleza de las cuentas. (C, P)</w:t>
            </w:r>
          </w:p>
          <w:p w14:paraId="500E5658" w14:textId="77777777" w:rsidR="00990B14" w:rsidRDefault="00000000">
            <w:pPr>
              <w:spacing w:after="40"/>
              <w:jc w:val="both"/>
            </w:pPr>
            <w:r>
              <w:rPr>
                <w:sz w:val="18"/>
                <w:szCs w:val="18"/>
              </w:rPr>
              <w:t>Reconocimiento de activos intangibles según la NIC 38: identificabilidad, control y beneficios económicos futuros; desembolsos que se llevan a gasto. (C)</w:t>
            </w:r>
          </w:p>
          <w:p w14:paraId="51135046" w14:textId="77777777" w:rsidR="00990B14" w:rsidRDefault="00000000">
            <w:pPr>
              <w:spacing w:after="40"/>
              <w:jc w:val="both"/>
            </w:pPr>
            <w:r>
              <w:rPr>
                <w:sz w:val="18"/>
                <w:szCs w:val="18"/>
              </w:rPr>
              <w:t>Tratamiento contable de los activos intangibles de duración limitada: programas informáticos o software, licencias informáticas, concesiones, y costos o gastos de organización. (P)</w:t>
            </w:r>
          </w:p>
          <w:p w14:paraId="6CFB7341" w14:textId="77777777" w:rsidR="00990B14" w:rsidRDefault="00000000">
            <w:pPr>
              <w:spacing w:after="40"/>
              <w:jc w:val="both"/>
            </w:pPr>
            <w:r>
              <w:rPr>
                <w:sz w:val="18"/>
                <w:szCs w:val="18"/>
              </w:rPr>
              <w:t>Amortización de los activos intangibles de vida útil limitada: método, vida útil y valor residual según la NIC 38. (C, P)</w:t>
            </w:r>
          </w:p>
          <w:p w14:paraId="05817F0D" w14:textId="77777777" w:rsidR="00990B14" w:rsidRDefault="00000000">
            <w:pPr>
              <w:spacing w:after="40"/>
              <w:jc w:val="both"/>
            </w:pPr>
            <w:r>
              <w:rPr>
                <w:sz w:val="18"/>
                <w:szCs w:val="18"/>
              </w:rPr>
              <w:t>Tratamiento contable de los activos intangibles de duración ilimitada: patentes y otros activos intangibles. (P)</w:t>
            </w:r>
          </w:p>
        </w:tc>
        <w:tc>
          <w:tcPr>
            <w:tcW w:w="2752" w:type="dxa"/>
            <w:gridSpan w:val="3"/>
            <w:shd w:val="clear" w:color="auto" w:fill="D9E2F3"/>
          </w:tcPr>
          <w:p w14:paraId="53F3C1B4" w14:textId="77777777" w:rsidR="00990B14" w:rsidRDefault="00000000">
            <w:pPr>
              <w:numPr>
                <w:ilvl w:val="0"/>
                <w:numId w:val="139"/>
              </w:numPr>
              <w:spacing w:before="10" w:after="10"/>
              <w:jc w:val="both"/>
            </w:pPr>
            <w:r>
              <w:rPr>
                <w:sz w:val="18"/>
                <w:szCs w:val="18"/>
              </w:rPr>
              <w:t>Nociones de los contratos de licencia de software y de suscripción a servicios en la nube.</w:t>
            </w:r>
          </w:p>
          <w:p w14:paraId="495B0822" w14:textId="77777777" w:rsidR="00990B14" w:rsidRDefault="00000000">
            <w:pPr>
              <w:numPr>
                <w:ilvl w:val="0"/>
                <w:numId w:val="139"/>
              </w:numPr>
              <w:spacing w:before="10" w:after="10"/>
              <w:jc w:val="both"/>
            </w:pPr>
            <w:r>
              <w:rPr>
                <w:sz w:val="18"/>
                <w:szCs w:val="18"/>
              </w:rPr>
              <w:t>Nociones del ciclo de desarrollo de un programa informático.</w:t>
            </w:r>
          </w:p>
        </w:tc>
      </w:tr>
      <w:tr w:rsidR="00990B14" w14:paraId="315AF570" w14:textId="77777777">
        <w:trPr>
          <w:cantSplit/>
          <w:jc w:val="center"/>
        </w:trPr>
        <w:tc>
          <w:tcPr>
            <w:tcW w:w="9405" w:type="dxa"/>
            <w:gridSpan w:val="13"/>
            <w:shd w:val="clear" w:color="auto" w:fill="D9E2F3"/>
            <w:vAlign w:val="center"/>
          </w:tcPr>
          <w:p w14:paraId="5E59AD51" w14:textId="77777777" w:rsidR="00990B14" w:rsidRDefault="00000000">
            <w:pPr>
              <w:spacing w:before="20" w:after="20"/>
              <w:jc w:val="both"/>
            </w:pPr>
            <w:r>
              <w:rPr>
                <w:b/>
                <w:bCs/>
                <w:i/>
                <w:iCs/>
                <w:sz w:val="18"/>
                <w:szCs w:val="18"/>
              </w:rPr>
              <w:t xml:space="preserve">Elemento de competencia 7: </w:t>
            </w:r>
            <w:r>
              <w:rPr>
                <w:sz w:val="18"/>
                <w:szCs w:val="18"/>
              </w:rPr>
              <w:t>Aplica tratamiento contable a las obligaciones a corto plazo de una entidad boliviana, clasificadas en obligaciones laborales, tributarias, comerciales, otras obligaciones e ingresos anticipados, según sus fechas de vencimiento.</w:t>
            </w:r>
          </w:p>
        </w:tc>
      </w:tr>
      <w:tr w:rsidR="00990B14" w14:paraId="079091B8" w14:textId="77777777">
        <w:trPr>
          <w:cantSplit/>
          <w:jc w:val="center"/>
        </w:trPr>
        <w:tc>
          <w:tcPr>
            <w:tcW w:w="3133" w:type="dxa"/>
            <w:gridSpan w:val="4"/>
            <w:shd w:val="clear" w:color="auto" w:fill="4472C4"/>
            <w:vAlign w:val="center"/>
          </w:tcPr>
          <w:p w14:paraId="09868A94"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097F0EC9"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6A66DF47" w14:textId="77777777" w:rsidR="00990B14" w:rsidRDefault="00000000">
            <w:pPr>
              <w:keepNext/>
              <w:spacing w:before="20" w:after="20"/>
              <w:jc w:val="center"/>
            </w:pPr>
            <w:r>
              <w:rPr>
                <w:b/>
                <w:bCs/>
                <w:i/>
                <w:iCs/>
                <w:color w:val="FFFFFF"/>
                <w:sz w:val="18"/>
                <w:szCs w:val="18"/>
              </w:rPr>
              <w:t>Evidencias de producto</w:t>
            </w:r>
          </w:p>
        </w:tc>
      </w:tr>
      <w:tr w:rsidR="00990B14" w14:paraId="6D8E5116" w14:textId="77777777">
        <w:trPr>
          <w:cantSplit/>
          <w:jc w:val="center"/>
        </w:trPr>
        <w:tc>
          <w:tcPr>
            <w:tcW w:w="3133" w:type="dxa"/>
            <w:gridSpan w:val="4"/>
            <w:vMerge w:val="restart"/>
            <w:shd w:val="clear" w:color="auto" w:fill="D9E2F3"/>
            <w:vAlign w:val="center"/>
          </w:tcPr>
          <w:p w14:paraId="5032FB09" w14:textId="77777777" w:rsidR="00990B14" w:rsidRDefault="00000000">
            <w:pPr>
              <w:spacing w:before="20" w:after="20"/>
              <w:jc w:val="both"/>
            </w:pPr>
            <w:r>
              <w:rPr>
                <w:sz w:val="18"/>
                <w:szCs w:val="18"/>
              </w:rPr>
              <w:t>1. Registra las obligaciones tributarias, laborales y comerciales a corto plazo y los ingresos anticipados, distinguiéndolos de los créditos (pasivos) diferidos.</w:t>
            </w:r>
          </w:p>
        </w:tc>
        <w:tc>
          <w:tcPr>
            <w:tcW w:w="3135" w:type="dxa"/>
            <w:gridSpan w:val="5"/>
            <w:shd w:val="clear" w:color="auto" w:fill="D9E2F3"/>
            <w:vAlign w:val="center"/>
          </w:tcPr>
          <w:p w14:paraId="4ED57524" w14:textId="77777777" w:rsidR="00990B14" w:rsidRDefault="00000000">
            <w:pPr>
              <w:spacing w:before="20" w:after="20"/>
              <w:jc w:val="both"/>
            </w:pPr>
            <w:r>
              <w:rPr>
                <w:sz w:val="18"/>
                <w:szCs w:val="18"/>
              </w:rPr>
              <w:t>1.1 Registra en aula la apropiación y el pago de las obligaciones a corto plazo de un periodo.</w:t>
            </w:r>
          </w:p>
        </w:tc>
        <w:tc>
          <w:tcPr>
            <w:tcW w:w="3137" w:type="dxa"/>
            <w:gridSpan w:val="4"/>
            <w:shd w:val="clear" w:color="auto" w:fill="D9E2F3"/>
            <w:vAlign w:val="center"/>
          </w:tcPr>
          <w:p w14:paraId="6DFBBCFE" w14:textId="77777777" w:rsidR="00990B14" w:rsidRDefault="00000000">
            <w:pPr>
              <w:spacing w:before="20" w:after="20"/>
              <w:jc w:val="both"/>
            </w:pPr>
            <w:r>
              <w:rPr>
                <w:b/>
                <w:bCs/>
                <w:sz w:val="18"/>
                <w:szCs w:val="18"/>
              </w:rPr>
              <w:t xml:space="preserve">Producto 25: </w:t>
            </w:r>
            <w:r>
              <w:rPr>
                <w:sz w:val="18"/>
                <w:szCs w:val="18"/>
              </w:rPr>
              <w:t>Cuadro de clasificación y registro de las obligaciones a corto plazo.</w:t>
            </w:r>
          </w:p>
        </w:tc>
      </w:tr>
      <w:tr w:rsidR="00990B14" w14:paraId="1715BE4F" w14:textId="77777777">
        <w:trPr>
          <w:cantSplit/>
          <w:jc w:val="center"/>
        </w:trPr>
        <w:tc>
          <w:tcPr>
            <w:tcW w:w="3133" w:type="dxa"/>
            <w:gridSpan w:val="4"/>
            <w:vMerge/>
            <w:shd w:val="clear" w:color="auto" w:fill="D9E2F3"/>
            <w:vAlign w:val="center"/>
          </w:tcPr>
          <w:p w14:paraId="07C999BA" w14:textId="77777777" w:rsidR="00990B14" w:rsidRDefault="00990B14">
            <w:pPr>
              <w:spacing w:before="20" w:after="20"/>
            </w:pPr>
          </w:p>
        </w:tc>
        <w:tc>
          <w:tcPr>
            <w:tcW w:w="3135" w:type="dxa"/>
            <w:gridSpan w:val="5"/>
            <w:shd w:val="clear" w:color="auto" w:fill="D9E2F3"/>
            <w:vAlign w:val="center"/>
          </w:tcPr>
          <w:p w14:paraId="5C1B3B3A" w14:textId="77777777" w:rsidR="00990B14" w:rsidRDefault="00000000">
            <w:pPr>
              <w:spacing w:before="20" w:after="20"/>
              <w:jc w:val="both"/>
            </w:pPr>
            <w:r>
              <w:rPr>
                <w:sz w:val="18"/>
                <w:szCs w:val="18"/>
              </w:rPr>
              <w:t>1.2 Distingue en equipo los ingresos anticipados de los créditos diferidos de un caso.</w:t>
            </w:r>
          </w:p>
        </w:tc>
        <w:tc>
          <w:tcPr>
            <w:tcW w:w="3137" w:type="dxa"/>
            <w:gridSpan w:val="4"/>
            <w:shd w:val="clear" w:color="auto" w:fill="D9E2F3"/>
            <w:vAlign w:val="center"/>
          </w:tcPr>
          <w:p w14:paraId="1BBC04ED" w14:textId="77777777" w:rsidR="00990B14" w:rsidRDefault="00000000">
            <w:pPr>
              <w:spacing w:before="20" w:after="20"/>
              <w:jc w:val="both"/>
            </w:pPr>
            <w:r>
              <w:rPr>
                <w:b/>
                <w:bCs/>
                <w:sz w:val="18"/>
                <w:szCs w:val="18"/>
              </w:rPr>
              <w:t xml:space="preserve">Producto 26: </w:t>
            </w:r>
            <w:r>
              <w:rPr>
                <w:sz w:val="18"/>
                <w:szCs w:val="18"/>
              </w:rPr>
              <w:t>Cédula de ingresos anticipados y créditos diferidos.</w:t>
            </w:r>
          </w:p>
        </w:tc>
      </w:tr>
      <w:tr w:rsidR="00990B14" w14:paraId="2DFFD8F6" w14:textId="77777777">
        <w:trPr>
          <w:cantSplit/>
          <w:jc w:val="center"/>
        </w:trPr>
        <w:tc>
          <w:tcPr>
            <w:tcW w:w="3133" w:type="dxa"/>
            <w:gridSpan w:val="4"/>
            <w:vMerge w:val="restart"/>
            <w:shd w:val="clear" w:color="auto" w:fill="D9E2F3"/>
            <w:vAlign w:val="center"/>
          </w:tcPr>
          <w:p w14:paraId="383297BE" w14:textId="77777777" w:rsidR="00990B14" w:rsidRDefault="00000000">
            <w:pPr>
              <w:spacing w:before="20" w:after="20"/>
              <w:jc w:val="both"/>
            </w:pPr>
            <w:r>
              <w:rPr>
                <w:sz w:val="18"/>
                <w:szCs w:val="18"/>
              </w:rPr>
              <w:t>2. Prepara la planilla de sueldos de una entidad con sus descuentos, aportes patronales y beneficios sociales, conforme a disposiciones legales en vigencia.</w:t>
            </w:r>
          </w:p>
        </w:tc>
        <w:tc>
          <w:tcPr>
            <w:tcW w:w="3135" w:type="dxa"/>
            <w:gridSpan w:val="5"/>
            <w:shd w:val="clear" w:color="auto" w:fill="D9E2F3"/>
            <w:vAlign w:val="center"/>
          </w:tcPr>
          <w:p w14:paraId="07F432F6" w14:textId="77777777" w:rsidR="00990B14" w:rsidRDefault="00000000">
            <w:pPr>
              <w:spacing w:before="20" w:after="20"/>
              <w:jc w:val="both"/>
            </w:pPr>
            <w:r>
              <w:rPr>
                <w:sz w:val="18"/>
                <w:szCs w:val="18"/>
              </w:rPr>
              <w:t>2.1 Elabora la planilla de sueldos y la planilla tributaria de una empresa.</w:t>
            </w:r>
          </w:p>
        </w:tc>
        <w:tc>
          <w:tcPr>
            <w:tcW w:w="3137" w:type="dxa"/>
            <w:gridSpan w:val="4"/>
            <w:shd w:val="clear" w:color="auto" w:fill="D9E2F3"/>
            <w:vAlign w:val="center"/>
          </w:tcPr>
          <w:p w14:paraId="3E53C02A" w14:textId="77777777" w:rsidR="00990B14" w:rsidRDefault="00000000">
            <w:pPr>
              <w:spacing w:before="20" w:after="20"/>
              <w:jc w:val="both"/>
            </w:pPr>
            <w:r>
              <w:rPr>
                <w:b/>
                <w:bCs/>
                <w:sz w:val="18"/>
                <w:szCs w:val="18"/>
              </w:rPr>
              <w:t xml:space="preserve">Producto 27: </w:t>
            </w:r>
            <w:r>
              <w:rPr>
                <w:sz w:val="18"/>
                <w:szCs w:val="18"/>
              </w:rPr>
              <w:t>Planilla de sueldos y planilla tributaria.</w:t>
            </w:r>
          </w:p>
        </w:tc>
      </w:tr>
      <w:tr w:rsidR="00990B14" w14:paraId="79431D54" w14:textId="77777777">
        <w:trPr>
          <w:cantSplit/>
          <w:jc w:val="center"/>
        </w:trPr>
        <w:tc>
          <w:tcPr>
            <w:tcW w:w="3133" w:type="dxa"/>
            <w:gridSpan w:val="4"/>
            <w:vMerge/>
            <w:shd w:val="clear" w:color="auto" w:fill="D9E2F3"/>
            <w:vAlign w:val="center"/>
          </w:tcPr>
          <w:p w14:paraId="4B3316B4" w14:textId="77777777" w:rsidR="00990B14" w:rsidRDefault="00990B14">
            <w:pPr>
              <w:spacing w:before="20" w:after="20"/>
            </w:pPr>
          </w:p>
        </w:tc>
        <w:tc>
          <w:tcPr>
            <w:tcW w:w="3135" w:type="dxa"/>
            <w:gridSpan w:val="5"/>
            <w:shd w:val="clear" w:color="auto" w:fill="D9E2F3"/>
            <w:vAlign w:val="center"/>
          </w:tcPr>
          <w:p w14:paraId="01FAE038" w14:textId="77777777" w:rsidR="00990B14" w:rsidRDefault="00000000">
            <w:pPr>
              <w:spacing w:before="20" w:after="20"/>
              <w:jc w:val="both"/>
            </w:pPr>
            <w:r>
              <w:rPr>
                <w:sz w:val="18"/>
                <w:szCs w:val="18"/>
              </w:rPr>
              <w:t>2.2 Expone ante el curso el cálculo de la previsión de aguinaldo e indemnización del personal de un caso.</w:t>
            </w:r>
          </w:p>
        </w:tc>
        <w:tc>
          <w:tcPr>
            <w:tcW w:w="3137" w:type="dxa"/>
            <w:gridSpan w:val="4"/>
            <w:shd w:val="clear" w:color="auto" w:fill="D9E2F3"/>
            <w:vAlign w:val="center"/>
          </w:tcPr>
          <w:p w14:paraId="10787C3E" w14:textId="77777777" w:rsidR="00990B14" w:rsidRDefault="00000000">
            <w:pPr>
              <w:spacing w:before="20" w:after="20"/>
              <w:jc w:val="both"/>
            </w:pPr>
            <w:r>
              <w:rPr>
                <w:b/>
                <w:bCs/>
                <w:sz w:val="18"/>
                <w:szCs w:val="18"/>
              </w:rPr>
              <w:t xml:space="preserve">Producto 28: </w:t>
            </w:r>
            <w:r>
              <w:rPr>
                <w:sz w:val="18"/>
                <w:szCs w:val="18"/>
              </w:rPr>
              <w:t>Cuadro de previsión de aguinaldo e indemnización.</w:t>
            </w:r>
          </w:p>
        </w:tc>
      </w:tr>
      <w:tr w:rsidR="00990B14" w14:paraId="2642970A" w14:textId="77777777">
        <w:trPr>
          <w:cantSplit/>
          <w:jc w:val="center"/>
        </w:trPr>
        <w:tc>
          <w:tcPr>
            <w:tcW w:w="9405" w:type="dxa"/>
            <w:gridSpan w:val="13"/>
            <w:shd w:val="clear" w:color="auto" w:fill="4472C4"/>
            <w:vAlign w:val="center"/>
          </w:tcPr>
          <w:p w14:paraId="1EC92950" w14:textId="77777777" w:rsidR="00990B14" w:rsidRDefault="00000000">
            <w:pPr>
              <w:keepNext/>
              <w:spacing w:before="20" w:after="20"/>
              <w:jc w:val="center"/>
            </w:pPr>
            <w:r>
              <w:rPr>
                <w:b/>
                <w:bCs/>
                <w:i/>
                <w:iCs/>
                <w:color w:val="FFFFFF"/>
                <w:sz w:val="18"/>
                <w:szCs w:val="18"/>
              </w:rPr>
              <w:t>Evidencias de conocimiento</w:t>
            </w:r>
          </w:p>
        </w:tc>
      </w:tr>
      <w:tr w:rsidR="00990B14" w14:paraId="049AF7E5" w14:textId="77777777">
        <w:trPr>
          <w:cantSplit/>
          <w:jc w:val="center"/>
        </w:trPr>
        <w:tc>
          <w:tcPr>
            <w:tcW w:w="2349" w:type="dxa"/>
            <w:gridSpan w:val="2"/>
            <w:shd w:val="clear" w:color="auto" w:fill="4472C4"/>
            <w:vAlign w:val="center"/>
          </w:tcPr>
          <w:p w14:paraId="63A91E37"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69F91E09" w14:textId="77777777" w:rsidR="00990B14" w:rsidRDefault="00000000">
            <w:pPr>
              <w:keepNext/>
              <w:spacing w:before="20" w:after="20"/>
              <w:jc w:val="both"/>
            </w:pPr>
            <w:r>
              <w:rPr>
                <w:b/>
                <w:bCs/>
                <w:i/>
                <w:iCs/>
                <w:color w:val="FFFFFF"/>
                <w:sz w:val="18"/>
                <w:szCs w:val="18"/>
              </w:rPr>
              <w:t>Contenidos</w:t>
            </w:r>
          </w:p>
          <w:p w14:paraId="15023B5B"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11ABBDBF" w14:textId="77777777" w:rsidR="00990B14" w:rsidRDefault="00000000">
            <w:pPr>
              <w:keepNext/>
              <w:spacing w:before="20" w:after="20"/>
              <w:jc w:val="center"/>
            </w:pPr>
            <w:r>
              <w:rPr>
                <w:b/>
                <w:bCs/>
                <w:i/>
                <w:iCs/>
                <w:color w:val="FFFFFF"/>
                <w:sz w:val="18"/>
                <w:szCs w:val="18"/>
              </w:rPr>
              <w:t>Conocimientos circunstanciales</w:t>
            </w:r>
          </w:p>
        </w:tc>
      </w:tr>
      <w:tr w:rsidR="00990B14" w14:paraId="3F32B42C" w14:textId="77777777">
        <w:trPr>
          <w:jc w:val="center"/>
        </w:trPr>
        <w:tc>
          <w:tcPr>
            <w:tcW w:w="2349" w:type="dxa"/>
            <w:gridSpan w:val="2"/>
            <w:shd w:val="clear" w:color="auto" w:fill="D9E2F3"/>
          </w:tcPr>
          <w:p w14:paraId="4824C5D0" w14:textId="77777777" w:rsidR="00990B14" w:rsidRDefault="00000000">
            <w:pPr>
              <w:spacing w:before="20" w:after="40"/>
              <w:jc w:val="both"/>
            </w:pPr>
            <w:r>
              <w:rPr>
                <w:sz w:val="18"/>
                <w:szCs w:val="18"/>
              </w:rPr>
              <w:t>Tema 15: Pasivos a corto plazo</w:t>
            </w:r>
          </w:p>
          <w:p w14:paraId="45C58A30" w14:textId="77777777" w:rsidR="00990B14" w:rsidRDefault="00000000">
            <w:pPr>
              <w:spacing w:before="20" w:after="40"/>
              <w:jc w:val="both"/>
            </w:pPr>
            <w:r>
              <w:rPr>
                <w:sz w:val="18"/>
                <w:szCs w:val="18"/>
              </w:rPr>
              <w:t>Tema 16: Ingresos anticipados y créditos diferidos</w:t>
            </w:r>
          </w:p>
          <w:p w14:paraId="4653342B" w14:textId="77777777" w:rsidR="00990B14" w:rsidRDefault="00000000">
            <w:pPr>
              <w:spacing w:before="20" w:after="40"/>
              <w:jc w:val="both"/>
            </w:pPr>
            <w:r>
              <w:rPr>
                <w:sz w:val="18"/>
                <w:szCs w:val="18"/>
              </w:rPr>
              <w:t>Tema 17: Planilla de sueldos</w:t>
            </w:r>
          </w:p>
        </w:tc>
        <w:tc>
          <w:tcPr>
            <w:tcW w:w="4304" w:type="dxa"/>
            <w:gridSpan w:val="8"/>
            <w:shd w:val="clear" w:color="auto" w:fill="D9E2F3"/>
          </w:tcPr>
          <w:p w14:paraId="01054292" w14:textId="77777777" w:rsidR="00990B14" w:rsidRDefault="00000000">
            <w:pPr>
              <w:spacing w:after="40"/>
              <w:jc w:val="both"/>
            </w:pPr>
            <w:r>
              <w:rPr>
                <w:sz w:val="18"/>
                <w:szCs w:val="18"/>
              </w:rPr>
              <w:t>Pasivos a corto plazo: concepto, objetivo, características y clasificación por su naturaleza en obligaciones tributarias, laborales, comerciales y otras. (C)</w:t>
            </w:r>
          </w:p>
          <w:p w14:paraId="41D79290" w14:textId="77777777" w:rsidR="00990B14" w:rsidRDefault="00000000">
            <w:pPr>
              <w:spacing w:after="40"/>
              <w:jc w:val="both"/>
            </w:pPr>
            <w:r>
              <w:rPr>
                <w:sz w:val="18"/>
                <w:szCs w:val="18"/>
              </w:rPr>
              <w:t>Clasificación de los pasivos a corto plazo por la moneda, la garantía, el costo financiero y la forma de pago; control, registro y naturaleza de las cuentas. (C, P)</w:t>
            </w:r>
          </w:p>
          <w:p w14:paraId="061E68A5" w14:textId="77777777" w:rsidR="00990B14" w:rsidRDefault="00000000">
            <w:pPr>
              <w:spacing w:after="40"/>
              <w:jc w:val="both"/>
            </w:pPr>
            <w:r>
              <w:rPr>
                <w:sz w:val="18"/>
                <w:szCs w:val="18"/>
              </w:rPr>
              <w:t>Tratamiento contable de la apropiación de obligaciones tributarias en moneda nacional de pago único, laborales en moneda nacional de pago único, y comerciales en moneda extranjera de pagos periódicos. (P)</w:t>
            </w:r>
          </w:p>
          <w:p w14:paraId="57A14813" w14:textId="77777777" w:rsidR="00990B14" w:rsidRDefault="00000000">
            <w:pPr>
              <w:spacing w:after="40"/>
              <w:jc w:val="both"/>
            </w:pPr>
            <w:r>
              <w:rPr>
                <w:sz w:val="18"/>
                <w:szCs w:val="18"/>
              </w:rPr>
              <w:t>Ingresos anticipados: objetivo, características, control y naturaleza de las cuentas; tratamiento contable de los asientos irreversibles y reversibles. (C, P)</w:t>
            </w:r>
          </w:p>
          <w:p w14:paraId="6156DB57" w14:textId="77777777" w:rsidR="00990B14" w:rsidRDefault="00000000">
            <w:pPr>
              <w:spacing w:after="40"/>
              <w:jc w:val="both"/>
            </w:pPr>
            <w:r>
              <w:rPr>
                <w:sz w:val="18"/>
                <w:szCs w:val="18"/>
              </w:rPr>
              <w:t>Créditos diferidos: objetivo, características, control y naturaleza de las cuentas; tratamiento contable de los asientos irreversibles, conclusiones y diferencias con los ingresos anticipados. (C, P)</w:t>
            </w:r>
          </w:p>
          <w:p w14:paraId="5C297BA9" w14:textId="77777777" w:rsidR="00990B14" w:rsidRDefault="00000000">
            <w:pPr>
              <w:spacing w:after="40"/>
              <w:jc w:val="both"/>
            </w:pPr>
            <w:r>
              <w:rPr>
                <w:sz w:val="18"/>
                <w:szCs w:val="18"/>
              </w:rPr>
              <w:t>Planilla de sueldos: concepto, remuneraciones, objetivos y control; régimen de seguridad social con la Ley de Pensiones, y contribuciones del empleador y del empleado. (C)</w:t>
            </w:r>
          </w:p>
          <w:p w14:paraId="3E79E12E" w14:textId="77777777" w:rsidR="00990B14" w:rsidRDefault="00000000">
            <w:pPr>
              <w:spacing w:after="40"/>
              <w:jc w:val="both"/>
            </w:pPr>
            <w:r>
              <w:rPr>
                <w:sz w:val="18"/>
                <w:szCs w:val="18"/>
              </w:rPr>
              <w:t>Diseño y conformación de la planilla de sueldos y de la planilla impositiva, con la retención del RC-IVA sobre los sueldos; naturaleza de las cuentas. (C, P)</w:t>
            </w:r>
          </w:p>
          <w:p w14:paraId="64C072EE" w14:textId="77777777" w:rsidR="00990B14" w:rsidRDefault="00000000">
            <w:pPr>
              <w:spacing w:after="40"/>
              <w:jc w:val="both"/>
            </w:pPr>
            <w:r>
              <w:rPr>
                <w:sz w:val="18"/>
                <w:szCs w:val="18"/>
              </w:rPr>
              <w:t>Tratamiento contable de los anticipos de sueldos, la preparación y el registro de la planilla, y la cancelación del líquido pagable. (P)</w:t>
            </w:r>
          </w:p>
          <w:p w14:paraId="460610C4" w14:textId="77777777" w:rsidR="00990B14" w:rsidRDefault="00000000">
            <w:pPr>
              <w:spacing w:after="40"/>
              <w:jc w:val="both"/>
            </w:pPr>
            <w:r>
              <w:rPr>
                <w:sz w:val="18"/>
                <w:szCs w:val="18"/>
              </w:rPr>
              <w:t>Control interno de la planilla: altas y bajas del personal, aprobación de la planilla y pago del líquido pagable. (C)</w:t>
            </w:r>
          </w:p>
          <w:p w14:paraId="71BE1627" w14:textId="77777777" w:rsidR="00990B14" w:rsidRDefault="00000000">
            <w:pPr>
              <w:spacing w:after="40"/>
              <w:jc w:val="both"/>
            </w:pPr>
            <w:r>
              <w:rPr>
                <w:sz w:val="18"/>
                <w:szCs w:val="18"/>
              </w:rPr>
              <w:t>Cancelación de los descuentos laborales y los aportes patronales; cálculo y recálculo de la indemnización; tratamiento contable de las asignaciones familiares. (P)</w:t>
            </w:r>
          </w:p>
        </w:tc>
        <w:tc>
          <w:tcPr>
            <w:tcW w:w="2752" w:type="dxa"/>
            <w:gridSpan w:val="3"/>
            <w:shd w:val="clear" w:color="auto" w:fill="D9E2F3"/>
          </w:tcPr>
          <w:p w14:paraId="2464C60A" w14:textId="77777777" w:rsidR="00990B14" w:rsidRDefault="00000000">
            <w:pPr>
              <w:numPr>
                <w:ilvl w:val="0"/>
                <w:numId w:val="139"/>
              </w:numPr>
              <w:spacing w:before="10" w:after="10"/>
              <w:jc w:val="both"/>
            </w:pPr>
            <w:r>
              <w:rPr>
                <w:sz w:val="18"/>
                <w:szCs w:val="18"/>
              </w:rPr>
              <w:t>Nociones del manejo de los legajos del personal y del control de asistencia.</w:t>
            </w:r>
          </w:p>
          <w:p w14:paraId="490E2874" w14:textId="77777777" w:rsidR="00990B14" w:rsidRDefault="00000000">
            <w:pPr>
              <w:numPr>
                <w:ilvl w:val="0"/>
                <w:numId w:val="139"/>
              </w:numPr>
              <w:spacing w:before="10" w:after="10"/>
              <w:jc w:val="both"/>
            </w:pPr>
            <w:r>
              <w:rPr>
                <w:sz w:val="18"/>
                <w:szCs w:val="18"/>
              </w:rPr>
              <w:t>Nociones del pago de sueldos por abono en cuenta bancaria.</w:t>
            </w:r>
          </w:p>
        </w:tc>
      </w:tr>
      <w:tr w:rsidR="00990B14" w14:paraId="2A9C7505" w14:textId="77777777">
        <w:trPr>
          <w:cantSplit/>
          <w:jc w:val="center"/>
        </w:trPr>
        <w:tc>
          <w:tcPr>
            <w:tcW w:w="9405" w:type="dxa"/>
            <w:gridSpan w:val="13"/>
            <w:shd w:val="clear" w:color="auto" w:fill="D9E2F3"/>
            <w:vAlign w:val="center"/>
          </w:tcPr>
          <w:p w14:paraId="1736C125" w14:textId="77777777" w:rsidR="00990B14" w:rsidRDefault="00000000">
            <w:pPr>
              <w:spacing w:before="20" w:after="20"/>
              <w:jc w:val="both"/>
            </w:pPr>
            <w:r>
              <w:rPr>
                <w:b/>
                <w:bCs/>
                <w:i/>
                <w:iCs/>
                <w:sz w:val="18"/>
                <w:szCs w:val="18"/>
              </w:rPr>
              <w:t xml:space="preserve">Elemento de competencia 8: </w:t>
            </w:r>
            <w:r>
              <w:rPr>
                <w:sz w:val="18"/>
                <w:szCs w:val="18"/>
              </w:rPr>
              <w:t>Aplica tratamiento contable a las obligaciones a largo plazo, en función a fechas de vencimiento, por diferentes conceptos de una entidad boliviana, calculando su costo financiero con la tasa de interés efectiva.</w:t>
            </w:r>
          </w:p>
        </w:tc>
      </w:tr>
      <w:tr w:rsidR="00990B14" w14:paraId="7A50BB2A" w14:textId="77777777">
        <w:trPr>
          <w:cantSplit/>
          <w:jc w:val="center"/>
        </w:trPr>
        <w:tc>
          <w:tcPr>
            <w:tcW w:w="3133" w:type="dxa"/>
            <w:gridSpan w:val="4"/>
            <w:shd w:val="clear" w:color="auto" w:fill="4472C4"/>
            <w:vAlign w:val="center"/>
          </w:tcPr>
          <w:p w14:paraId="4F420CB8"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33EEC8C2"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6A98931D" w14:textId="77777777" w:rsidR="00990B14" w:rsidRDefault="00000000">
            <w:pPr>
              <w:keepNext/>
              <w:spacing w:before="20" w:after="20"/>
              <w:jc w:val="center"/>
            </w:pPr>
            <w:r>
              <w:rPr>
                <w:b/>
                <w:bCs/>
                <w:i/>
                <w:iCs/>
                <w:color w:val="FFFFFF"/>
                <w:sz w:val="18"/>
                <w:szCs w:val="18"/>
              </w:rPr>
              <w:t>Evidencias de producto</w:t>
            </w:r>
          </w:p>
        </w:tc>
      </w:tr>
      <w:tr w:rsidR="00990B14" w14:paraId="6178FB61" w14:textId="77777777">
        <w:trPr>
          <w:cantSplit/>
          <w:jc w:val="center"/>
        </w:trPr>
        <w:tc>
          <w:tcPr>
            <w:tcW w:w="3133" w:type="dxa"/>
            <w:gridSpan w:val="4"/>
            <w:vMerge w:val="restart"/>
            <w:shd w:val="clear" w:color="auto" w:fill="D9E2F3"/>
            <w:vAlign w:val="center"/>
          </w:tcPr>
          <w:p w14:paraId="06292F3A" w14:textId="77777777" w:rsidR="00990B14" w:rsidRDefault="00000000">
            <w:pPr>
              <w:spacing w:before="20" w:after="20"/>
              <w:jc w:val="both"/>
            </w:pPr>
            <w:r>
              <w:rPr>
                <w:sz w:val="18"/>
                <w:szCs w:val="18"/>
              </w:rPr>
              <w:t>1. Registra los préstamos y bonos por pagar de una entidad, calculando su costo financiero y la amortización del diferencial en emisión con la tasa de interés efectiva.</w:t>
            </w:r>
          </w:p>
        </w:tc>
        <w:tc>
          <w:tcPr>
            <w:tcW w:w="3135" w:type="dxa"/>
            <w:gridSpan w:val="5"/>
            <w:shd w:val="clear" w:color="auto" w:fill="D9E2F3"/>
            <w:vAlign w:val="center"/>
          </w:tcPr>
          <w:p w14:paraId="75056603" w14:textId="77777777" w:rsidR="00990B14" w:rsidRDefault="00000000">
            <w:pPr>
              <w:spacing w:before="20" w:after="20"/>
              <w:jc w:val="both"/>
            </w:pPr>
            <w:r>
              <w:rPr>
                <w:sz w:val="18"/>
                <w:szCs w:val="18"/>
              </w:rPr>
              <w:t>1.1 Elabora el cuadro de amortización de un préstamo bancario con su costo financiero.</w:t>
            </w:r>
          </w:p>
        </w:tc>
        <w:tc>
          <w:tcPr>
            <w:tcW w:w="3137" w:type="dxa"/>
            <w:gridSpan w:val="4"/>
            <w:shd w:val="clear" w:color="auto" w:fill="D9E2F3"/>
            <w:vAlign w:val="center"/>
          </w:tcPr>
          <w:p w14:paraId="6B2765CB" w14:textId="77777777" w:rsidR="00990B14" w:rsidRDefault="00000000">
            <w:pPr>
              <w:spacing w:before="20" w:after="20"/>
              <w:jc w:val="both"/>
            </w:pPr>
            <w:r>
              <w:rPr>
                <w:b/>
                <w:bCs/>
                <w:sz w:val="18"/>
                <w:szCs w:val="18"/>
              </w:rPr>
              <w:t xml:space="preserve">Producto 29: </w:t>
            </w:r>
            <w:r>
              <w:rPr>
                <w:sz w:val="18"/>
                <w:szCs w:val="18"/>
              </w:rPr>
              <w:t>Cuadro de amortización de un préstamo por pagar.</w:t>
            </w:r>
          </w:p>
        </w:tc>
      </w:tr>
      <w:tr w:rsidR="00990B14" w14:paraId="3893E0B8" w14:textId="77777777">
        <w:trPr>
          <w:cantSplit/>
          <w:jc w:val="center"/>
        </w:trPr>
        <w:tc>
          <w:tcPr>
            <w:tcW w:w="3133" w:type="dxa"/>
            <w:gridSpan w:val="4"/>
            <w:vMerge/>
            <w:shd w:val="clear" w:color="auto" w:fill="D9E2F3"/>
            <w:vAlign w:val="center"/>
          </w:tcPr>
          <w:p w14:paraId="7950A1F5" w14:textId="77777777" w:rsidR="00990B14" w:rsidRDefault="00990B14">
            <w:pPr>
              <w:spacing w:before="20" w:after="20"/>
            </w:pPr>
          </w:p>
        </w:tc>
        <w:tc>
          <w:tcPr>
            <w:tcW w:w="3135" w:type="dxa"/>
            <w:gridSpan w:val="5"/>
            <w:shd w:val="clear" w:color="auto" w:fill="D9E2F3"/>
            <w:vAlign w:val="center"/>
          </w:tcPr>
          <w:p w14:paraId="25623F86" w14:textId="77777777" w:rsidR="00990B14" w:rsidRDefault="00000000">
            <w:pPr>
              <w:spacing w:before="20" w:after="20"/>
              <w:jc w:val="both"/>
            </w:pPr>
            <w:r>
              <w:rPr>
                <w:sz w:val="18"/>
                <w:szCs w:val="18"/>
              </w:rPr>
              <w:t>1.2 Resuelve la emisión, el pago de intereses, la recompra y el retiro de bonos por pagar.</w:t>
            </w:r>
          </w:p>
        </w:tc>
        <w:tc>
          <w:tcPr>
            <w:tcW w:w="3137" w:type="dxa"/>
            <w:gridSpan w:val="4"/>
            <w:shd w:val="clear" w:color="auto" w:fill="D9E2F3"/>
            <w:vAlign w:val="center"/>
          </w:tcPr>
          <w:p w14:paraId="452BB38C" w14:textId="77777777" w:rsidR="00990B14" w:rsidRDefault="00000000">
            <w:pPr>
              <w:spacing w:before="20" w:after="20"/>
              <w:jc w:val="both"/>
            </w:pPr>
            <w:r>
              <w:rPr>
                <w:b/>
                <w:bCs/>
                <w:sz w:val="18"/>
                <w:szCs w:val="18"/>
              </w:rPr>
              <w:t xml:space="preserve">Producto 30: </w:t>
            </w:r>
            <w:r>
              <w:rPr>
                <w:sz w:val="18"/>
                <w:szCs w:val="18"/>
              </w:rPr>
              <w:t>Registro de la emisión, el interés y el retiro de bonos por pagar.</w:t>
            </w:r>
          </w:p>
        </w:tc>
      </w:tr>
      <w:tr w:rsidR="00990B14" w14:paraId="22680E8F" w14:textId="77777777">
        <w:trPr>
          <w:cantSplit/>
          <w:jc w:val="center"/>
        </w:trPr>
        <w:tc>
          <w:tcPr>
            <w:tcW w:w="3133" w:type="dxa"/>
            <w:gridSpan w:val="4"/>
            <w:vMerge w:val="restart"/>
            <w:shd w:val="clear" w:color="auto" w:fill="D9E2F3"/>
            <w:vAlign w:val="center"/>
          </w:tcPr>
          <w:p w14:paraId="1C20CB09" w14:textId="77777777" w:rsidR="00990B14" w:rsidRDefault="00000000">
            <w:pPr>
              <w:spacing w:before="20" w:after="20"/>
              <w:jc w:val="both"/>
            </w:pPr>
            <w:r>
              <w:rPr>
                <w:sz w:val="18"/>
                <w:szCs w:val="18"/>
              </w:rPr>
              <w:t>2. Aplica el tratamiento contable de los arrendamientos en el arrendador y en el arrendatario conforme a normas de contabilidad vigentes</w:t>
            </w:r>
          </w:p>
        </w:tc>
        <w:tc>
          <w:tcPr>
            <w:tcW w:w="3135" w:type="dxa"/>
            <w:gridSpan w:val="5"/>
            <w:shd w:val="clear" w:color="auto" w:fill="D9E2F3"/>
            <w:vAlign w:val="center"/>
          </w:tcPr>
          <w:p w14:paraId="3119EA18" w14:textId="77777777" w:rsidR="00990B14" w:rsidRDefault="00000000">
            <w:pPr>
              <w:spacing w:before="20" w:after="20"/>
              <w:jc w:val="both"/>
            </w:pPr>
            <w:r>
              <w:rPr>
                <w:sz w:val="18"/>
                <w:szCs w:val="18"/>
              </w:rPr>
              <w:t>2.1 Analiza en equipo un contrato de arrendamiento financiero y otro operativo de una empresa boliviana con su registro en ambas partes.</w:t>
            </w:r>
          </w:p>
        </w:tc>
        <w:tc>
          <w:tcPr>
            <w:tcW w:w="3137" w:type="dxa"/>
            <w:gridSpan w:val="4"/>
            <w:shd w:val="clear" w:color="auto" w:fill="D9E2F3"/>
            <w:vAlign w:val="center"/>
          </w:tcPr>
          <w:p w14:paraId="4A365BAE" w14:textId="77777777" w:rsidR="00990B14" w:rsidRDefault="00000000">
            <w:pPr>
              <w:spacing w:before="20" w:after="20"/>
              <w:jc w:val="both"/>
            </w:pPr>
            <w:r>
              <w:rPr>
                <w:b/>
                <w:bCs/>
                <w:sz w:val="18"/>
                <w:szCs w:val="18"/>
              </w:rPr>
              <w:t xml:space="preserve">Producto 31: </w:t>
            </w:r>
            <w:r>
              <w:rPr>
                <w:sz w:val="18"/>
                <w:szCs w:val="18"/>
              </w:rPr>
              <w:t>Cuadro comparativo del arrendamiento financiero y del operativo.</w:t>
            </w:r>
          </w:p>
        </w:tc>
      </w:tr>
      <w:tr w:rsidR="00990B14" w14:paraId="32F21C74" w14:textId="77777777">
        <w:trPr>
          <w:cantSplit/>
          <w:jc w:val="center"/>
        </w:trPr>
        <w:tc>
          <w:tcPr>
            <w:tcW w:w="3133" w:type="dxa"/>
            <w:gridSpan w:val="4"/>
            <w:vMerge/>
            <w:shd w:val="clear" w:color="auto" w:fill="D9E2F3"/>
            <w:vAlign w:val="center"/>
          </w:tcPr>
          <w:p w14:paraId="0D035074" w14:textId="77777777" w:rsidR="00990B14" w:rsidRDefault="00990B14">
            <w:pPr>
              <w:spacing w:before="20" w:after="20"/>
            </w:pPr>
          </w:p>
        </w:tc>
        <w:tc>
          <w:tcPr>
            <w:tcW w:w="3135" w:type="dxa"/>
            <w:gridSpan w:val="5"/>
            <w:shd w:val="clear" w:color="auto" w:fill="D9E2F3"/>
            <w:vAlign w:val="center"/>
          </w:tcPr>
          <w:p w14:paraId="53323713" w14:textId="77777777" w:rsidR="00990B14" w:rsidRDefault="00000000">
            <w:pPr>
              <w:spacing w:before="20" w:after="20"/>
              <w:jc w:val="both"/>
            </w:pPr>
            <w:r>
              <w:rPr>
                <w:sz w:val="18"/>
                <w:szCs w:val="18"/>
              </w:rPr>
              <w:t>2.2 Calcula en aula el activo por derecho de uso y el pasivo por arrendamiento de un contrato.</w:t>
            </w:r>
          </w:p>
        </w:tc>
        <w:tc>
          <w:tcPr>
            <w:tcW w:w="3137" w:type="dxa"/>
            <w:gridSpan w:val="4"/>
            <w:shd w:val="clear" w:color="auto" w:fill="D9E2F3"/>
            <w:vAlign w:val="center"/>
          </w:tcPr>
          <w:p w14:paraId="4877B1F0" w14:textId="77777777" w:rsidR="00990B14" w:rsidRDefault="00000000">
            <w:pPr>
              <w:spacing w:before="20" w:after="20"/>
              <w:jc w:val="both"/>
            </w:pPr>
            <w:r>
              <w:rPr>
                <w:b/>
                <w:bCs/>
                <w:sz w:val="18"/>
                <w:szCs w:val="18"/>
              </w:rPr>
              <w:t xml:space="preserve">Producto 32: </w:t>
            </w:r>
            <w:r>
              <w:rPr>
                <w:sz w:val="18"/>
                <w:szCs w:val="18"/>
              </w:rPr>
              <w:t>Tabla del pasivo por arrendamiento y del activo por derecho de uso.</w:t>
            </w:r>
          </w:p>
        </w:tc>
      </w:tr>
      <w:tr w:rsidR="00990B14" w14:paraId="148B9BAB" w14:textId="77777777">
        <w:trPr>
          <w:cantSplit/>
          <w:jc w:val="center"/>
        </w:trPr>
        <w:tc>
          <w:tcPr>
            <w:tcW w:w="9405" w:type="dxa"/>
            <w:gridSpan w:val="13"/>
            <w:shd w:val="clear" w:color="auto" w:fill="4472C4"/>
            <w:vAlign w:val="center"/>
          </w:tcPr>
          <w:p w14:paraId="0D3A66EF" w14:textId="77777777" w:rsidR="00990B14" w:rsidRDefault="00000000">
            <w:pPr>
              <w:keepNext/>
              <w:spacing w:before="20" w:after="20"/>
              <w:jc w:val="center"/>
            </w:pPr>
            <w:r>
              <w:rPr>
                <w:b/>
                <w:bCs/>
                <w:i/>
                <w:iCs/>
                <w:color w:val="FFFFFF"/>
                <w:sz w:val="18"/>
                <w:szCs w:val="18"/>
              </w:rPr>
              <w:t>Evidencias de conocimiento</w:t>
            </w:r>
          </w:p>
        </w:tc>
      </w:tr>
      <w:tr w:rsidR="00990B14" w14:paraId="3947B499" w14:textId="77777777">
        <w:trPr>
          <w:cantSplit/>
          <w:jc w:val="center"/>
        </w:trPr>
        <w:tc>
          <w:tcPr>
            <w:tcW w:w="2349" w:type="dxa"/>
            <w:gridSpan w:val="2"/>
            <w:shd w:val="clear" w:color="auto" w:fill="4472C4"/>
            <w:vAlign w:val="center"/>
          </w:tcPr>
          <w:p w14:paraId="4ADFB57A"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0341F8AB" w14:textId="77777777" w:rsidR="00990B14" w:rsidRDefault="00000000">
            <w:pPr>
              <w:keepNext/>
              <w:spacing w:before="20" w:after="20"/>
              <w:jc w:val="both"/>
            </w:pPr>
            <w:r>
              <w:rPr>
                <w:b/>
                <w:bCs/>
                <w:i/>
                <w:iCs/>
                <w:color w:val="FFFFFF"/>
                <w:sz w:val="18"/>
                <w:szCs w:val="18"/>
              </w:rPr>
              <w:t>Contenidos</w:t>
            </w:r>
          </w:p>
          <w:p w14:paraId="14ED6874"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72CCE3AF" w14:textId="77777777" w:rsidR="00990B14" w:rsidRDefault="00000000">
            <w:pPr>
              <w:keepNext/>
              <w:spacing w:before="20" w:after="20"/>
              <w:jc w:val="center"/>
            </w:pPr>
            <w:r>
              <w:rPr>
                <w:b/>
                <w:bCs/>
                <w:i/>
                <w:iCs/>
                <w:color w:val="FFFFFF"/>
                <w:sz w:val="18"/>
                <w:szCs w:val="18"/>
              </w:rPr>
              <w:t>Conocimientos circunstanciales</w:t>
            </w:r>
          </w:p>
        </w:tc>
      </w:tr>
      <w:tr w:rsidR="00990B14" w14:paraId="3C55E321" w14:textId="77777777">
        <w:trPr>
          <w:jc w:val="center"/>
        </w:trPr>
        <w:tc>
          <w:tcPr>
            <w:tcW w:w="2349" w:type="dxa"/>
            <w:gridSpan w:val="2"/>
            <w:shd w:val="clear" w:color="auto" w:fill="D9E2F3"/>
          </w:tcPr>
          <w:p w14:paraId="0EE82D86" w14:textId="77777777" w:rsidR="00990B14" w:rsidRDefault="00000000">
            <w:pPr>
              <w:spacing w:before="20" w:after="40"/>
              <w:jc w:val="both"/>
            </w:pPr>
            <w:r>
              <w:rPr>
                <w:sz w:val="18"/>
                <w:szCs w:val="18"/>
              </w:rPr>
              <w:t>Tema 18: Préstamos por pagar</w:t>
            </w:r>
          </w:p>
          <w:p w14:paraId="7C271C48" w14:textId="77777777" w:rsidR="00990B14" w:rsidRDefault="00000000">
            <w:pPr>
              <w:spacing w:before="20" w:after="40"/>
              <w:jc w:val="both"/>
            </w:pPr>
            <w:r>
              <w:rPr>
                <w:sz w:val="18"/>
                <w:szCs w:val="18"/>
              </w:rPr>
              <w:t>Tema 19: Bonos por pagar</w:t>
            </w:r>
          </w:p>
          <w:p w14:paraId="0374F59D" w14:textId="77777777" w:rsidR="00990B14" w:rsidRDefault="00000000">
            <w:pPr>
              <w:spacing w:before="20" w:after="40"/>
              <w:jc w:val="both"/>
            </w:pPr>
            <w:r>
              <w:rPr>
                <w:sz w:val="18"/>
                <w:szCs w:val="18"/>
              </w:rPr>
              <w:t>Tema 20: Arrendamientos</w:t>
            </w:r>
          </w:p>
        </w:tc>
        <w:tc>
          <w:tcPr>
            <w:tcW w:w="4304" w:type="dxa"/>
            <w:gridSpan w:val="8"/>
            <w:shd w:val="clear" w:color="auto" w:fill="D9E2F3"/>
          </w:tcPr>
          <w:p w14:paraId="38FF3A76" w14:textId="77777777" w:rsidR="00990B14" w:rsidRDefault="00000000">
            <w:pPr>
              <w:spacing w:after="40"/>
              <w:jc w:val="both"/>
            </w:pPr>
            <w:r>
              <w:rPr>
                <w:sz w:val="18"/>
                <w:szCs w:val="18"/>
              </w:rPr>
              <w:t>Préstamos por pagar: concepto, objetivo, características, control, costo financiero y fondo de amortización; naturaleza de la cuenta y tratamiento contable, con la tasa de interés efectiva. (C, P)</w:t>
            </w:r>
          </w:p>
          <w:p w14:paraId="3272A413" w14:textId="77777777" w:rsidR="00990B14" w:rsidRDefault="00000000">
            <w:pPr>
              <w:spacing w:after="40"/>
              <w:jc w:val="both"/>
            </w:pPr>
            <w:r>
              <w:rPr>
                <w:sz w:val="18"/>
                <w:szCs w:val="18"/>
              </w:rPr>
              <w:t>Riesgos del endeudamiento: liquidez, tasa de interés y cumplimiento de las obligaciones contractuales. (C)</w:t>
            </w:r>
          </w:p>
          <w:p w14:paraId="730D3342" w14:textId="77777777" w:rsidR="00990B14" w:rsidRDefault="00000000">
            <w:pPr>
              <w:spacing w:after="40"/>
              <w:jc w:val="both"/>
            </w:pPr>
            <w:r>
              <w:rPr>
                <w:sz w:val="18"/>
                <w:szCs w:val="18"/>
              </w:rPr>
              <w:t>Bonos por pagar: concepto, objetivo, características y requisitos; clasificación por su naturaleza, garantía, riesgo, interés, tiempo y transferencia. (C)</w:t>
            </w:r>
          </w:p>
          <w:p w14:paraId="5C745A52" w14:textId="77777777" w:rsidR="00990B14" w:rsidRDefault="00000000">
            <w:pPr>
              <w:spacing w:after="40"/>
              <w:jc w:val="both"/>
            </w:pPr>
            <w:r>
              <w:rPr>
                <w:sz w:val="18"/>
                <w:szCs w:val="18"/>
              </w:rPr>
              <w:t>Control y registro de bonos por pagar con su diseño y conformación; emisión de bonos: autorización, emisión, pago del interés, amortización del diferencial de emisión y retiro. (P)</w:t>
            </w:r>
          </w:p>
          <w:p w14:paraId="76B9D2A1" w14:textId="77777777" w:rsidR="00990B14" w:rsidRDefault="00000000">
            <w:pPr>
              <w:spacing w:after="40"/>
              <w:jc w:val="both"/>
            </w:pPr>
            <w:r>
              <w:rPr>
                <w:sz w:val="18"/>
                <w:szCs w:val="18"/>
              </w:rPr>
              <w:t>Tratamiento contable de la emisión de bonos en la fecha de emisión e interés y en fecha posterior entre fechas de interés. (P)</w:t>
            </w:r>
          </w:p>
          <w:p w14:paraId="51D25855" w14:textId="77777777" w:rsidR="00990B14" w:rsidRDefault="00000000">
            <w:pPr>
              <w:spacing w:after="40"/>
              <w:jc w:val="both"/>
            </w:pPr>
            <w:r>
              <w:rPr>
                <w:sz w:val="18"/>
                <w:szCs w:val="18"/>
              </w:rPr>
              <w:t>Tratamiento contable del pago del interés en la fecha y entre fechas de interés, y de la amortización del diferencial de emisión con el método de la tasa de interés efectiva: prima y descuento en la emisión de bonos. (P)</w:t>
            </w:r>
          </w:p>
          <w:p w14:paraId="0D9399D0" w14:textId="77777777" w:rsidR="00990B14" w:rsidRDefault="00000000">
            <w:pPr>
              <w:spacing w:after="40"/>
              <w:jc w:val="both"/>
            </w:pPr>
            <w:r>
              <w:rPr>
                <w:sz w:val="18"/>
                <w:szCs w:val="18"/>
              </w:rPr>
              <w:t>Tratamiento contable del retiro de bonos y del fondo de amortización para bonos. (P)</w:t>
            </w:r>
          </w:p>
          <w:p w14:paraId="7280675F" w14:textId="77777777" w:rsidR="00990B14" w:rsidRDefault="00000000">
            <w:pPr>
              <w:spacing w:after="40"/>
              <w:jc w:val="both"/>
            </w:pPr>
            <w:r>
              <w:rPr>
                <w:sz w:val="18"/>
                <w:szCs w:val="18"/>
              </w:rPr>
              <w:t>Recompra de bonos emitidos a la par, sobre la par y bajo la par, y su tratamiento contable. (P)</w:t>
            </w:r>
          </w:p>
          <w:p w14:paraId="430AAB29" w14:textId="77777777" w:rsidR="00990B14" w:rsidRDefault="00000000">
            <w:pPr>
              <w:spacing w:after="40"/>
              <w:jc w:val="both"/>
            </w:pPr>
            <w:r>
              <w:rPr>
                <w:sz w:val="18"/>
                <w:szCs w:val="18"/>
              </w:rPr>
              <w:t>Arrendamientos: concepto, objetivo, características, control, normas de contabilidad y disposiciones legales. (C)</w:t>
            </w:r>
          </w:p>
          <w:p w14:paraId="0B552348" w14:textId="77777777" w:rsidR="00990B14" w:rsidRDefault="00000000">
            <w:pPr>
              <w:spacing w:after="40"/>
              <w:jc w:val="both"/>
            </w:pPr>
            <w:r>
              <w:rPr>
                <w:sz w:val="18"/>
                <w:szCs w:val="18"/>
              </w:rPr>
              <w:t>Clases de arrendamiento: financiero o de capital, y operativo u operacional, con sus características; naturaleza de las cuentas. (C)</w:t>
            </w:r>
          </w:p>
          <w:p w14:paraId="5C373D66" w14:textId="77777777" w:rsidR="00990B14" w:rsidRDefault="00000000">
            <w:pPr>
              <w:spacing w:after="40"/>
              <w:jc w:val="both"/>
            </w:pPr>
            <w:r>
              <w:rPr>
                <w:sz w:val="18"/>
                <w:szCs w:val="18"/>
              </w:rPr>
              <w:t>Tratamiento contable del arrendamiento financiero en los registros del arrendador y del arrendatario. (P)</w:t>
            </w:r>
          </w:p>
          <w:p w14:paraId="4E3B4D64" w14:textId="77777777" w:rsidR="00990B14" w:rsidRDefault="00000000">
            <w:pPr>
              <w:spacing w:after="40"/>
              <w:jc w:val="both"/>
            </w:pPr>
            <w:r>
              <w:rPr>
                <w:sz w:val="18"/>
                <w:szCs w:val="18"/>
              </w:rPr>
              <w:t>Tratamiento contable del arrendamiento operativo en los registros del arrendador y del arrendatario. (P)</w:t>
            </w:r>
          </w:p>
        </w:tc>
        <w:tc>
          <w:tcPr>
            <w:tcW w:w="2752" w:type="dxa"/>
            <w:gridSpan w:val="3"/>
            <w:shd w:val="clear" w:color="auto" w:fill="D9E2F3"/>
          </w:tcPr>
          <w:p w14:paraId="5414DF47" w14:textId="77777777" w:rsidR="00990B14" w:rsidRDefault="00000000">
            <w:pPr>
              <w:numPr>
                <w:ilvl w:val="0"/>
                <w:numId w:val="139"/>
              </w:numPr>
              <w:spacing w:before="10" w:after="10"/>
              <w:jc w:val="both"/>
            </w:pPr>
            <w:r>
              <w:rPr>
                <w:sz w:val="18"/>
                <w:szCs w:val="18"/>
              </w:rPr>
              <w:t>Nociones de los requisitos y de las garantías que exigen los bancos para un crédito empresarial.</w:t>
            </w:r>
          </w:p>
          <w:p w14:paraId="3FC67A7D" w14:textId="77777777" w:rsidR="00990B14" w:rsidRDefault="00000000">
            <w:pPr>
              <w:numPr>
                <w:ilvl w:val="0"/>
                <w:numId w:val="139"/>
              </w:numPr>
              <w:spacing w:before="10" w:after="10"/>
              <w:jc w:val="both"/>
            </w:pPr>
            <w:r>
              <w:rPr>
                <w:sz w:val="18"/>
                <w:szCs w:val="18"/>
              </w:rPr>
              <w:t>Nociones de las cláusulas habituales de un contrato de arrendamiento financiero.</w:t>
            </w:r>
          </w:p>
        </w:tc>
      </w:tr>
      <w:tr w:rsidR="00990B14" w14:paraId="38A09E23" w14:textId="77777777">
        <w:trPr>
          <w:cantSplit/>
          <w:jc w:val="center"/>
        </w:trPr>
        <w:tc>
          <w:tcPr>
            <w:tcW w:w="9405" w:type="dxa"/>
            <w:gridSpan w:val="13"/>
            <w:shd w:val="clear" w:color="auto" w:fill="D9E2F3"/>
            <w:vAlign w:val="center"/>
          </w:tcPr>
          <w:p w14:paraId="45F73B09" w14:textId="77777777" w:rsidR="00990B14" w:rsidRDefault="00000000">
            <w:pPr>
              <w:spacing w:before="20" w:after="20"/>
              <w:jc w:val="both"/>
            </w:pPr>
            <w:r>
              <w:rPr>
                <w:b/>
                <w:bCs/>
                <w:i/>
                <w:iCs/>
                <w:sz w:val="18"/>
                <w:szCs w:val="18"/>
              </w:rPr>
              <w:t xml:space="preserve">Elemento de competencia 9: </w:t>
            </w:r>
            <w:r>
              <w:rPr>
                <w:sz w:val="18"/>
                <w:szCs w:val="18"/>
              </w:rPr>
              <w:t>Estructura la composición del patrimonio en función a una sociedad comercial, registrando el capital, las reservas y los resultados acumulados y preparando el estado de evolución del patrimonio, registrando sus cuentas y aplicando el tratamiento contable de las cuentas de orden.</w:t>
            </w:r>
          </w:p>
        </w:tc>
      </w:tr>
      <w:tr w:rsidR="00990B14" w14:paraId="0EE55501" w14:textId="77777777">
        <w:trPr>
          <w:cantSplit/>
          <w:jc w:val="center"/>
        </w:trPr>
        <w:tc>
          <w:tcPr>
            <w:tcW w:w="3133" w:type="dxa"/>
            <w:gridSpan w:val="4"/>
            <w:shd w:val="clear" w:color="auto" w:fill="4472C4"/>
            <w:vAlign w:val="center"/>
          </w:tcPr>
          <w:p w14:paraId="04DF84B4"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0DF294A8"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2E3DAB67" w14:textId="77777777" w:rsidR="00990B14" w:rsidRDefault="00000000">
            <w:pPr>
              <w:keepNext/>
              <w:spacing w:before="20" w:after="20"/>
              <w:jc w:val="center"/>
            </w:pPr>
            <w:r>
              <w:rPr>
                <w:b/>
                <w:bCs/>
                <w:i/>
                <w:iCs/>
                <w:color w:val="FFFFFF"/>
                <w:sz w:val="18"/>
                <w:szCs w:val="18"/>
              </w:rPr>
              <w:t>Evidencias de producto</w:t>
            </w:r>
          </w:p>
        </w:tc>
      </w:tr>
      <w:tr w:rsidR="00990B14" w14:paraId="4858C4C0" w14:textId="77777777">
        <w:trPr>
          <w:cantSplit/>
          <w:jc w:val="center"/>
        </w:trPr>
        <w:tc>
          <w:tcPr>
            <w:tcW w:w="3133" w:type="dxa"/>
            <w:gridSpan w:val="4"/>
            <w:vMerge w:val="restart"/>
            <w:shd w:val="clear" w:color="auto" w:fill="D9E2F3"/>
            <w:vAlign w:val="center"/>
          </w:tcPr>
          <w:p w14:paraId="0EFABEE3" w14:textId="77777777" w:rsidR="00990B14" w:rsidRDefault="00000000">
            <w:pPr>
              <w:spacing w:before="20" w:after="20"/>
              <w:jc w:val="both"/>
            </w:pPr>
            <w:r>
              <w:rPr>
                <w:sz w:val="18"/>
                <w:szCs w:val="18"/>
              </w:rPr>
              <w:t>1. Estructura el patrimonio de una entidad con su capital, sus reservas y sus resultados acumulados, presentando sus movimientos en el estado de cambios en el patrimonio.</w:t>
            </w:r>
          </w:p>
        </w:tc>
        <w:tc>
          <w:tcPr>
            <w:tcW w:w="3135" w:type="dxa"/>
            <w:gridSpan w:val="5"/>
            <w:shd w:val="clear" w:color="auto" w:fill="D9E2F3"/>
            <w:vAlign w:val="center"/>
          </w:tcPr>
          <w:p w14:paraId="4479D4CB" w14:textId="77777777" w:rsidR="00990B14" w:rsidRDefault="00000000">
            <w:pPr>
              <w:spacing w:before="20" w:after="20"/>
              <w:jc w:val="both"/>
            </w:pPr>
            <w:r>
              <w:rPr>
                <w:sz w:val="18"/>
                <w:szCs w:val="18"/>
              </w:rPr>
              <w:t>1.1 Estructura en aula el patrimonio de una empresa, clasificando sus reservas.</w:t>
            </w:r>
          </w:p>
        </w:tc>
        <w:tc>
          <w:tcPr>
            <w:tcW w:w="3137" w:type="dxa"/>
            <w:gridSpan w:val="4"/>
            <w:shd w:val="clear" w:color="auto" w:fill="D9E2F3"/>
            <w:vAlign w:val="center"/>
          </w:tcPr>
          <w:p w14:paraId="10E550C8" w14:textId="77777777" w:rsidR="00990B14" w:rsidRDefault="00000000">
            <w:pPr>
              <w:spacing w:before="20" w:after="20"/>
              <w:jc w:val="both"/>
            </w:pPr>
            <w:r>
              <w:rPr>
                <w:b/>
                <w:bCs/>
                <w:sz w:val="18"/>
                <w:szCs w:val="18"/>
              </w:rPr>
              <w:t xml:space="preserve">Producto 33: </w:t>
            </w:r>
            <w:r>
              <w:rPr>
                <w:sz w:val="18"/>
                <w:szCs w:val="18"/>
              </w:rPr>
              <w:t>Cuadro de composición del patrimonio con sus reservas clasificadas.</w:t>
            </w:r>
          </w:p>
        </w:tc>
      </w:tr>
      <w:tr w:rsidR="00990B14" w14:paraId="23F853E4" w14:textId="77777777">
        <w:trPr>
          <w:cantSplit/>
          <w:jc w:val="center"/>
        </w:trPr>
        <w:tc>
          <w:tcPr>
            <w:tcW w:w="3133" w:type="dxa"/>
            <w:gridSpan w:val="4"/>
            <w:vMerge/>
            <w:shd w:val="clear" w:color="auto" w:fill="D9E2F3"/>
            <w:vAlign w:val="center"/>
          </w:tcPr>
          <w:p w14:paraId="1080C727" w14:textId="77777777" w:rsidR="00990B14" w:rsidRDefault="00990B14">
            <w:pPr>
              <w:spacing w:before="20" w:after="20"/>
            </w:pPr>
          </w:p>
        </w:tc>
        <w:tc>
          <w:tcPr>
            <w:tcW w:w="3135" w:type="dxa"/>
            <w:gridSpan w:val="5"/>
            <w:shd w:val="clear" w:color="auto" w:fill="D9E2F3"/>
            <w:vAlign w:val="center"/>
          </w:tcPr>
          <w:p w14:paraId="3764EEFF" w14:textId="77777777" w:rsidR="00990B14" w:rsidRDefault="00000000">
            <w:pPr>
              <w:spacing w:before="20" w:after="20"/>
              <w:jc w:val="both"/>
            </w:pPr>
            <w:r>
              <w:rPr>
                <w:sz w:val="18"/>
                <w:szCs w:val="18"/>
              </w:rPr>
              <w:t>1.2 Elabora en el laboratorio de cómputo el estado de cambios en el patrimonio de un caso.</w:t>
            </w:r>
          </w:p>
        </w:tc>
        <w:tc>
          <w:tcPr>
            <w:tcW w:w="3137" w:type="dxa"/>
            <w:gridSpan w:val="4"/>
            <w:shd w:val="clear" w:color="auto" w:fill="D9E2F3"/>
            <w:vAlign w:val="center"/>
          </w:tcPr>
          <w:p w14:paraId="36317F95" w14:textId="77777777" w:rsidR="00990B14" w:rsidRDefault="00000000">
            <w:pPr>
              <w:spacing w:before="20" w:after="20"/>
              <w:jc w:val="both"/>
            </w:pPr>
            <w:r>
              <w:rPr>
                <w:b/>
                <w:bCs/>
                <w:sz w:val="18"/>
                <w:szCs w:val="18"/>
              </w:rPr>
              <w:t xml:space="preserve">Producto 34: </w:t>
            </w:r>
            <w:r>
              <w:rPr>
                <w:sz w:val="18"/>
                <w:szCs w:val="18"/>
              </w:rPr>
              <w:t>Estado de cambios en el patrimonio en hoja de cálculo.</w:t>
            </w:r>
          </w:p>
        </w:tc>
      </w:tr>
      <w:tr w:rsidR="00990B14" w14:paraId="442300A2" w14:textId="77777777">
        <w:trPr>
          <w:cantSplit/>
          <w:jc w:val="center"/>
        </w:trPr>
        <w:tc>
          <w:tcPr>
            <w:tcW w:w="3133" w:type="dxa"/>
            <w:gridSpan w:val="4"/>
            <w:vMerge w:val="restart"/>
            <w:shd w:val="clear" w:color="auto" w:fill="D9E2F3"/>
            <w:vAlign w:val="center"/>
          </w:tcPr>
          <w:p w14:paraId="08B726BA" w14:textId="77777777" w:rsidR="00990B14" w:rsidRDefault="00000000">
            <w:pPr>
              <w:spacing w:before="20" w:after="20"/>
              <w:jc w:val="both"/>
            </w:pPr>
            <w:r>
              <w:rPr>
                <w:sz w:val="18"/>
                <w:szCs w:val="18"/>
              </w:rPr>
              <w:t>2. Registra las cuentas de orden y el mantenimiento del capital financiero y operativo, relacionando las cuentas de orden con los contingentes.</w:t>
            </w:r>
          </w:p>
        </w:tc>
        <w:tc>
          <w:tcPr>
            <w:tcW w:w="3135" w:type="dxa"/>
            <w:gridSpan w:val="5"/>
            <w:shd w:val="clear" w:color="auto" w:fill="D9E2F3"/>
            <w:vAlign w:val="center"/>
          </w:tcPr>
          <w:p w14:paraId="75555953" w14:textId="77777777" w:rsidR="00990B14" w:rsidRDefault="00000000">
            <w:pPr>
              <w:spacing w:before="20" w:after="20"/>
              <w:jc w:val="both"/>
            </w:pPr>
            <w:r>
              <w:rPr>
                <w:sz w:val="18"/>
                <w:szCs w:val="18"/>
              </w:rPr>
              <w:t>2.1 Registra en equipo las garantías, los bienes en custodia y los contingentes de un caso en cuentas de orden.</w:t>
            </w:r>
          </w:p>
        </w:tc>
        <w:tc>
          <w:tcPr>
            <w:tcW w:w="3137" w:type="dxa"/>
            <w:gridSpan w:val="4"/>
            <w:shd w:val="clear" w:color="auto" w:fill="D9E2F3"/>
            <w:vAlign w:val="center"/>
          </w:tcPr>
          <w:p w14:paraId="6650C85A" w14:textId="77777777" w:rsidR="00990B14" w:rsidRDefault="00000000">
            <w:pPr>
              <w:spacing w:before="20" w:after="20"/>
              <w:jc w:val="both"/>
            </w:pPr>
            <w:r>
              <w:rPr>
                <w:b/>
                <w:bCs/>
                <w:sz w:val="18"/>
                <w:szCs w:val="18"/>
              </w:rPr>
              <w:t xml:space="preserve">Producto 35: </w:t>
            </w:r>
            <w:r>
              <w:rPr>
                <w:sz w:val="18"/>
                <w:szCs w:val="18"/>
              </w:rPr>
              <w:t>Registro de cuentas de orden deudoras y acreedoras.</w:t>
            </w:r>
          </w:p>
        </w:tc>
      </w:tr>
      <w:tr w:rsidR="00990B14" w14:paraId="7C86C9E0" w14:textId="77777777">
        <w:trPr>
          <w:cantSplit/>
          <w:jc w:val="center"/>
        </w:trPr>
        <w:tc>
          <w:tcPr>
            <w:tcW w:w="3133" w:type="dxa"/>
            <w:gridSpan w:val="4"/>
            <w:vMerge/>
            <w:shd w:val="clear" w:color="auto" w:fill="D9E2F3"/>
            <w:vAlign w:val="center"/>
          </w:tcPr>
          <w:p w14:paraId="0DDC1BD3" w14:textId="77777777" w:rsidR="00990B14" w:rsidRDefault="00990B14">
            <w:pPr>
              <w:spacing w:before="20" w:after="20"/>
            </w:pPr>
          </w:p>
        </w:tc>
        <w:tc>
          <w:tcPr>
            <w:tcW w:w="3135" w:type="dxa"/>
            <w:gridSpan w:val="5"/>
            <w:shd w:val="clear" w:color="auto" w:fill="D9E2F3"/>
            <w:vAlign w:val="center"/>
          </w:tcPr>
          <w:p w14:paraId="50242061" w14:textId="77777777" w:rsidR="00990B14" w:rsidRDefault="00000000">
            <w:pPr>
              <w:spacing w:before="20" w:after="20"/>
              <w:jc w:val="both"/>
            </w:pPr>
            <w:r>
              <w:rPr>
                <w:sz w:val="18"/>
                <w:szCs w:val="18"/>
              </w:rPr>
              <w:t>2.2 Explica ante el curso la diferencia entre el mantenimiento del capital financiero y del capital operativo con un ejemplo numérico.</w:t>
            </w:r>
          </w:p>
        </w:tc>
        <w:tc>
          <w:tcPr>
            <w:tcW w:w="3137" w:type="dxa"/>
            <w:gridSpan w:val="4"/>
            <w:shd w:val="clear" w:color="auto" w:fill="D9E2F3"/>
            <w:vAlign w:val="center"/>
          </w:tcPr>
          <w:p w14:paraId="14FB01F5" w14:textId="77777777" w:rsidR="00990B14" w:rsidRDefault="00000000">
            <w:pPr>
              <w:spacing w:before="20" w:after="20"/>
              <w:jc w:val="both"/>
            </w:pPr>
            <w:r>
              <w:rPr>
                <w:b/>
                <w:bCs/>
                <w:sz w:val="18"/>
                <w:szCs w:val="18"/>
              </w:rPr>
              <w:t xml:space="preserve">Producto 36: </w:t>
            </w:r>
            <w:r>
              <w:rPr>
                <w:sz w:val="18"/>
                <w:szCs w:val="18"/>
              </w:rPr>
              <w:t>Informe comparativo del mantenimiento del capital financiero y operativo.</w:t>
            </w:r>
          </w:p>
        </w:tc>
      </w:tr>
      <w:tr w:rsidR="00990B14" w14:paraId="217F381A" w14:textId="77777777">
        <w:trPr>
          <w:cantSplit/>
          <w:jc w:val="center"/>
        </w:trPr>
        <w:tc>
          <w:tcPr>
            <w:tcW w:w="9405" w:type="dxa"/>
            <w:gridSpan w:val="13"/>
            <w:shd w:val="clear" w:color="auto" w:fill="4472C4"/>
            <w:vAlign w:val="center"/>
          </w:tcPr>
          <w:p w14:paraId="59FB8737" w14:textId="77777777" w:rsidR="00990B14" w:rsidRDefault="00000000">
            <w:pPr>
              <w:keepNext/>
              <w:spacing w:before="20" w:after="20"/>
              <w:jc w:val="center"/>
            </w:pPr>
            <w:r>
              <w:rPr>
                <w:b/>
                <w:bCs/>
                <w:i/>
                <w:iCs/>
                <w:color w:val="FFFFFF"/>
                <w:sz w:val="18"/>
                <w:szCs w:val="18"/>
              </w:rPr>
              <w:t>Evidencias de conocimiento</w:t>
            </w:r>
          </w:p>
        </w:tc>
      </w:tr>
      <w:tr w:rsidR="00990B14" w14:paraId="0BCFA2DA" w14:textId="77777777">
        <w:trPr>
          <w:cantSplit/>
          <w:jc w:val="center"/>
        </w:trPr>
        <w:tc>
          <w:tcPr>
            <w:tcW w:w="2349" w:type="dxa"/>
            <w:gridSpan w:val="2"/>
            <w:shd w:val="clear" w:color="auto" w:fill="4472C4"/>
            <w:vAlign w:val="center"/>
          </w:tcPr>
          <w:p w14:paraId="2897FF3C"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6A2766B4" w14:textId="77777777" w:rsidR="00990B14" w:rsidRDefault="00000000">
            <w:pPr>
              <w:keepNext/>
              <w:spacing w:before="20" w:after="20"/>
              <w:jc w:val="both"/>
            </w:pPr>
            <w:r>
              <w:rPr>
                <w:b/>
                <w:bCs/>
                <w:i/>
                <w:iCs/>
                <w:color w:val="FFFFFF"/>
                <w:sz w:val="18"/>
                <w:szCs w:val="18"/>
              </w:rPr>
              <w:t>Contenidos</w:t>
            </w:r>
          </w:p>
          <w:p w14:paraId="049BF34B"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6DD126EF" w14:textId="77777777" w:rsidR="00990B14" w:rsidRDefault="00000000">
            <w:pPr>
              <w:keepNext/>
              <w:spacing w:before="20" w:after="20"/>
              <w:jc w:val="center"/>
            </w:pPr>
            <w:r>
              <w:rPr>
                <w:b/>
                <w:bCs/>
                <w:i/>
                <w:iCs/>
                <w:color w:val="FFFFFF"/>
                <w:sz w:val="18"/>
                <w:szCs w:val="18"/>
              </w:rPr>
              <w:t>Conocimientos circunstanciales</w:t>
            </w:r>
          </w:p>
        </w:tc>
      </w:tr>
      <w:tr w:rsidR="00990B14" w14:paraId="0844C5C7" w14:textId="77777777">
        <w:trPr>
          <w:jc w:val="center"/>
        </w:trPr>
        <w:tc>
          <w:tcPr>
            <w:tcW w:w="2349" w:type="dxa"/>
            <w:gridSpan w:val="2"/>
            <w:shd w:val="clear" w:color="auto" w:fill="D9E2F3"/>
          </w:tcPr>
          <w:p w14:paraId="37A73AC5" w14:textId="77777777" w:rsidR="00990B14" w:rsidRDefault="00000000">
            <w:pPr>
              <w:spacing w:before="20" w:after="40"/>
              <w:jc w:val="both"/>
            </w:pPr>
            <w:r>
              <w:rPr>
                <w:sz w:val="18"/>
                <w:szCs w:val="18"/>
              </w:rPr>
              <w:t>Tema 21: Patrimonio</w:t>
            </w:r>
          </w:p>
          <w:p w14:paraId="25866C89" w14:textId="77777777" w:rsidR="00990B14" w:rsidRDefault="00000000">
            <w:pPr>
              <w:spacing w:before="20" w:after="40"/>
              <w:jc w:val="both"/>
            </w:pPr>
            <w:r>
              <w:rPr>
                <w:sz w:val="18"/>
                <w:szCs w:val="18"/>
              </w:rPr>
              <w:t>Tema 22: Cuentas de orden</w:t>
            </w:r>
          </w:p>
        </w:tc>
        <w:tc>
          <w:tcPr>
            <w:tcW w:w="4304" w:type="dxa"/>
            <w:gridSpan w:val="8"/>
            <w:shd w:val="clear" w:color="auto" w:fill="D9E2F3"/>
          </w:tcPr>
          <w:p w14:paraId="30FE9CDC" w14:textId="77777777" w:rsidR="00990B14" w:rsidRDefault="00000000">
            <w:pPr>
              <w:spacing w:after="40"/>
              <w:jc w:val="both"/>
            </w:pPr>
            <w:r>
              <w:rPr>
                <w:sz w:val="18"/>
                <w:szCs w:val="18"/>
              </w:rPr>
              <w:t>Patrimonio: objetivo, características y conformación; capital: objetivo, características, conformación y denominación. (C)</w:t>
            </w:r>
          </w:p>
          <w:p w14:paraId="32D47CA3" w14:textId="77777777" w:rsidR="00990B14" w:rsidRDefault="00000000">
            <w:pPr>
              <w:spacing w:after="40"/>
              <w:jc w:val="both"/>
            </w:pPr>
            <w:r>
              <w:rPr>
                <w:sz w:val="18"/>
                <w:szCs w:val="18"/>
              </w:rPr>
              <w:t>Reservas: objetivo, características, fuente y resultados favorables; disposiciones legales y técnicas, entre ellas la reserva legal del Código de Comercio. (C, P)</w:t>
            </w:r>
          </w:p>
          <w:p w14:paraId="1CBE5574" w14:textId="77777777" w:rsidR="00990B14" w:rsidRDefault="00000000">
            <w:pPr>
              <w:spacing w:after="40"/>
              <w:jc w:val="both"/>
            </w:pPr>
            <w:r>
              <w:rPr>
                <w:sz w:val="18"/>
                <w:szCs w:val="18"/>
              </w:rPr>
              <w:t>Clasificación de las reservas en jurídicas, estatutarias, voluntarias y por normas de contabilidad. (C)</w:t>
            </w:r>
          </w:p>
          <w:p w14:paraId="4CE10D9E" w14:textId="77777777" w:rsidR="00990B14" w:rsidRDefault="00000000">
            <w:pPr>
              <w:spacing w:after="40"/>
              <w:jc w:val="both"/>
            </w:pPr>
            <w:r>
              <w:rPr>
                <w:sz w:val="18"/>
                <w:szCs w:val="18"/>
              </w:rPr>
              <w:t>Resultados acumulados: objetivo, características, fuente y conformación, con resultados favorables y desfavorables. (C)</w:t>
            </w:r>
          </w:p>
          <w:p w14:paraId="70D4555D" w14:textId="77777777" w:rsidR="00990B14" w:rsidRDefault="00000000">
            <w:pPr>
              <w:spacing w:after="40"/>
              <w:jc w:val="both"/>
            </w:pPr>
            <w:r>
              <w:rPr>
                <w:sz w:val="18"/>
                <w:szCs w:val="18"/>
              </w:rPr>
              <w:t>Otras cuentas de patrimonio y cuentas reguladoras de patrimonio: objetivo, características, fuente y conformación. (C)</w:t>
            </w:r>
          </w:p>
          <w:p w14:paraId="1CDBD15D" w14:textId="77777777" w:rsidR="00990B14" w:rsidRDefault="00000000">
            <w:pPr>
              <w:spacing w:after="40"/>
              <w:jc w:val="both"/>
            </w:pPr>
            <w:r>
              <w:rPr>
                <w:sz w:val="18"/>
                <w:szCs w:val="18"/>
              </w:rPr>
              <w:t>Concepto y mantenimiento de capital financiero: mantenimiento, valuación y ajuste, con la suspensión vigente del ajuste por inflación. (C, P)</w:t>
            </w:r>
          </w:p>
          <w:p w14:paraId="37FBAAF0" w14:textId="77777777" w:rsidR="00990B14" w:rsidRDefault="00000000">
            <w:pPr>
              <w:spacing w:after="40"/>
              <w:jc w:val="both"/>
            </w:pPr>
            <w:r>
              <w:rPr>
                <w:sz w:val="18"/>
                <w:szCs w:val="18"/>
              </w:rPr>
              <w:t>Concepto y mantenimiento de capital operativo: mantenimiento, valuación y ajuste, y su diferencia con el capital financiero. (C, P)</w:t>
            </w:r>
          </w:p>
          <w:p w14:paraId="4CD97DF9" w14:textId="77777777" w:rsidR="00990B14" w:rsidRDefault="00000000">
            <w:pPr>
              <w:spacing w:after="40"/>
              <w:jc w:val="both"/>
            </w:pPr>
            <w:r>
              <w:rPr>
                <w:sz w:val="18"/>
                <w:szCs w:val="18"/>
              </w:rPr>
              <w:t>Naturaleza de las cuentas de patrimonio y su tratamiento contable. (C, P)</w:t>
            </w:r>
          </w:p>
          <w:p w14:paraId="4EC2898E" w14:textId="77777777" w:rsidR="00990B14" w:rsidRDefault="00000000">
            <w:pPr>
              <w:spacing w:after="40"/>
              <w:jc w:val="both"/>
            </w:pPr>
            <w:r>
              <w:rPr>
                <w:sz w:val="18"/>
                <w:szCs w:val="18"/>
              </w:rPr>
              <w:t>Estado de cambios en el patrimonio: presentación de los movimientos del capital, las reservas y los resultados acumulados. (C)</w:t>
            </w:r>
          </w:p>
          <w:p w14:paraId="1823ED19" w14:textId="77777777" w:rsidR="00990B14" w:rsidRDefault="00000000">
            <w:pPr>
              <w:spacing w:after="40"/>
              <w:jc w:val="both"/>
            </w:pPr>
            <w:r>
              <w:rPr>
                <w:sz w:val="18"/>
                <w:szCs w:val="18"/>
              </w:rPr>
              <w:t>Cuentas de orden: concepto, objetivo, características, control, naturaleza de las cuentas y tratamiento contable; relación con la revelación de activos y pasivos contingentes según la NIC 37. (C, P)</w:t>
            </w:r>
          </w:p>
        </w:tc>
        <w:tc>
          <w:tcPr>
            <w:tcW w:w="2752" w:type="dxa"/>
            <w:gridSpan w:val="3"/>
            <w:shd w:val="clear" w:color="auto" w:fill="D9E2F3"/>
          </w:tcPr>
          <w:p w14:paraId="354B89C3" w14:textId="77777777" w:rsidR="00990B14" w:rsidRDefault="00000000">
            <w:pPr>
              <w:numPr>
                <w:ilvl w:val="0"/>
                <w:numId w:val="139"/>
              </w:numPr>
              <w:spacing w:before="10" w:after="10"/>
              <w:jc w:val="both"/>
            </w:pPr>
            <w:r>
              <w:rPr>
                <w:sz w:val="18"/>
                <w:szCs w:val="18"/>
              </w:rPr>
              <w:t>Nociones de las boletas de garantía y los avales que se controlan en cuentas de orden.</w:t>
            </w:r>
          </w:p>
          <w:p w14:paraId="2DF0C1BA" w14:textId="77777777" w:rsidR="00990B14" w:rsidRDefault="00000000">
            <w:pPr>
              <w:numPr>
                <w:ilvl w:val="0"/>
                <w:numId w:val="139"/>
              </w:numPr>
              <w:spacing w:before="10" w:after="10"/>
              <w:jc w:val="both"/>
            </w:pPr>
            <w:r>
              <w:rPr>
                <w:sz w:val="18"/>
                <w:szCs w:val="18"/>
              </w:rPr>
              <w:t>Nociones de la lectura del acta de junta que aprueba la distribución de utilidades.</w:t>
            </w:r>
          </w:p>
        </w:tc>
      </w:tr>
      <w:tr w:rsidR="00990B14" w14:paraId="0A739697" w14:textId="77777777">
        <w:trPr>
          <w:cantSplit/>
          <w:jc w:val="center"/>
        </w:trPr>
        <w:tc>
          <w:tcPr>
            <w:tcW w:w="9405" w:type="dxa"/>
            <w:gridSpan w:val="13"/>
            <w:shd w:val="clear" w:color="auto" w:fill="D9E2F3"/>
            <w:vAlign w:val="center"/>
          </w:tcPr>
          <w:p w14:paraId="51642887" w14:textId="77777777" w:rsidR="00990B14" w:rsidRDefault="00000000">
            <w:pPr>
              <w:spacing w:before="20" w:after="20"/>
              <w:jc w:val="both"/>
            </w:pPr>
            <w:r>
              <w:rPr>
                <w:b/>
                <w:bCs/>
                <w:i/>
                <w:iCs/>
                <w:sz w:val="18"/>
                <w:szCs w:val="18"/>
              </w:rPr>
              <w:t xml:space="preserve">Elemento de competencia 10: </w:t>
            </w:r>
            <w:r>
              <w:rPr>
                <w:sz w:val="18"/>
                <w:szCs w:val="18"/>
              </w:rPr>
              <w:t>Diseña el plan de cuentas de una entidad boliviana, clasificando las cuentas de gasto y de ingreso conforme a su función y naturaleza.</w:t>
            </w:r>
          </w:p>
        </w:tc>
      </w:tr>
      <w:tr w:rsidR="00990B14" w14:paraId="3D4FA636" w14:textId="77777777">
        <w:trPr>
          <w:cantSplit/>
          <w:jc w:val="center"/>
        </w:trPr>
        <w:tc>
          <w:tcPr>
            <w:tcW w:w="3133" w:type="dxa"/>
            <w:gridSpan w:val="4"/>
            <w:shd w:val="clear" w:color="auto" w:fill="4472C4"/>
            <w:vAlign w:val="center"/>
          </w:tcPr>
          <w:p w14:paraId="0F64E6A4"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2CF0D581"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2E3B8AFC" w14:textId="77777777" w:rsidR="00990B14" w:rsidRDefault="00000000">
            <w:pPr>
              <w:keepNext/>
              <w:spacing w:before="20" w:after="20"/>
              <w:jc w:val="center"/>
            </w:pPr>
            <w:r>
              <w:rPr>
                <w:b/>
                <w:bCs/>
                <w:i/>
                <w:iCs/>
                <w:color w:val="FFFFFF"/>
                <w:sz w:val="18"/>
                <w:szCs w:val="18"/>
              </w:rPr>
              <w:t>Evidencias de producto</w:t>
            </w:r>
          </w:p>
        </w:tc>
      </w:tr>
      <w:tr w:rsidR="00990B14" w14:paraId="7735B789" w14:textId="77777777">
        <w:trPr>
          <w:cantSplit/>
          <w:jc w:val="center"/>
        </w:trPr>
        <w:tc>
          <w:tcPr>
            <w:tcW w:w="3133" w:type="dxa"/>
            <w:gridSpan w:val="4"/>
            <w:vMerge w:val="restart"/>
            <w:shd w:val="clear" w:color="auto" w:fill="D9E2F3"/>
            <w:vAlign w:val="center"/>
          </w:tcPr>
          <w:p w14:paraId="33A83617" w14:textId="77777777" w:rsidR="00990B14" w:rsidRDefault="00000000">
            <w:pPr>
              <w:spacing w:before="20" w:after="20"/>
              <w:jc w:val="both"/>
            </w:pPr>
            <w:r>
              <w:rPr>
                <w:sz w:val="18"/>
                <w:szCs w:val="18"/>
              </w:rPr>
              <w:t>1. Clasifica las cuentas de gasto y de ingreso por su función y su naturaleza, registrándolas con base devengado y efectivo.</w:t>
            </w:r>
          </w:p>
        </w:tc>
        <w:tc>
          <w:tcPr>
            <w:tcW w:w="3135" w:type="dxa"/>
            <w:gridSpan w:val="5"/>
            <w:shd w:val="clear" w:color="auto" w:fill="D9E2F3"/>
            <w:vAlign w:val="center"/>
          </w:tcPr>
          <w:p w14:paraId="572FED57" w14:textId="77777777" w:rsidR="00990B14" w:rsidRDefault="00000000">
            <w:pPr>
              <w:spacing w:before="20" w:after="20"/>
              <w:jc w:val="both"/>
            </w:pPr>
            <w:r>
              <w:rPr>
                <w:sz w:val="18"/>
                <w:szCs w:val="18"/>
              </w:rPr>
              <w:t>1.1 Clasifica en aula los gastos y los ingresos de un periodo por su función, su naturaleza y su base de registro.</w:t>
            </w:r>
          </w:p>
        </w:tc>
        <w:tc>
          <w:tcPr>
            <w:tcW w:w="3137" w:type="dxa"/>
            <w:gridSpan w:val="4"/>
            <w:shd w:val="clear" w:color="auto" w:fill="D9E2F3"/>
            <w:vAlign w:val="center"/>
          </w:tcPr>
          <w:p w14:paraId="64B10C67" w14:textId="77777777" w:rsidR="00990B14" w:rsidRDefault="00000000">
            <w:pPr>
              <w:spacing w:before="20" w:after="20"/>
              <w:jc w:val="both"/>
            </w:pPr>
            <w:r>
              <w:rPr>
                <w:b/>
                <w:bCs/>
                <w:sz w:val="18"/>
                <w:szCs w:val="18"/>
              </w:rPr>
              <w:t xml:space="preserve">Producto 37: </w:t>
            </w:r>
            <w:r>
              <w:rPr>
                <w:sz w:val="18"/>
                <w:szCs w:val="18"/>
              </w:rPr>
              <w:t>Cuadro de clasificación de gastos e ingresos.</w:t>
            </w:r>
          </w:p>
        </w:tc>
      </w:tr>
      <w:tr w:rsidR="00990B14" w14:paraId="2FB7E166" w14:textId="77777777">
        <w:trPr>
          <w:cantSplit/>
          <w:jc w:val="center"/>
        </w:trPr>
        <w:tc>
          <w:tcPr>
            <w:tcW w:w="3133" w:type="dxa"/>
            <w:gridSpan w:val="4"/>
            <w:vMerge/>
            <w:shd w:val="clear" w:color="auto" w:fill="D9E2F3"/>
            <w:vAlign w:val="center"/>
          </w:tcPr>
          <w:p w14:paraId="62CF0717" w14:textId="77777777" w:rsidR="00990B14" w:rsidRDefault="00990B14">
            <w:pPr>
              <w:spacing w:before="20" w:after="20"/>
            </w:pPr>
          </w:p>
        </w:tc>
        <w:tc>
          <w:tcPr>
            <w:tcW w:w="3135" w:type="dxa"/>
            <w:gridSpan w:val="5"/>
            <w:shd w:val="clear" w:color="auto" w:fill="D9E2F3"/>
            <w:vAlign w:val="center"/>
          </w:tcPr>
          <w:p w14:paraId="3B4FF52B" w14:textId="77777777" w:rsidR="00990B14" w:rsidRDefault="00000000">
            <w:pPr>
              <w:spacing w:before="20" w:after="20"/>
              <w:jc w:val="both"/>
            </w:pPr>
            <w:r>
              <w:rPr>
                <w:sz w:val="18"/>
                <w:szCs w:val="18"/>
              </w:rPr>
              <w:t>1.2 Aplica en equipo los cinco pasos de la NIIF 15 a un contrato de venta con varias obligaciones de desempeño.</w:t>
            </w:r>
          </w:p>
        </w:tc>
        <w:tc>
          <w:tcPr>
            <w:tcW w:w="3137" w:type="dxa"/>
            <w:gridSpan w:val="4"/>
            <w:shd w:val="clear" w:color="auto" w:fill="D9E2F3"/>
            <w:vAlign w:val="center"/>
          </w:tcPr>
          <w:p w14:paraId="057D371C" w14:textId="77777777" w:rsidR="00990B14" w:rsidRDefault="00000000">
            <w:pPr>
              <w:spacing w:before="20" w:after="20"/>
              <w:jc w:val="both"/>
            </w:pPr>
            <w:r>
              <w:rPr>
                <w:b/>
                <w:bCs/>
                <w:sz w:val="18"/>
                <w:szCs w:val="18"/>
              </w:rPr>
              <w:t xml:space="preserve">Producto 38: </w:t>
            </w:r>
            <w:r>
              <w:rPr>
                <w:sz w:val="18"/>
                <w:szCs w:val="18"/>
              </w:rPr>
              <w:t>Hoja de reconocimiento de ingresos de un contrato con clientes.</w:t>
            </w:r>
          </w:p>
        </w:tc>
      </w:tr>
      <w:tr w:rsidR="00990B14" w14:paraId="4ADDE9E9" w14:textId="77777777">
        <w:trPr>
          <w:cantSplit/>
          <w:jc w:val="center"/>
        </w:trPr>
        <w:tc>
          <w:tcPr>
            <w:tcW w:w="3133" w:type="dxa"/>
            <w:gridSpan w:val="4"/>
            <w:vMerge w:val="restart"/>
            <w:shd w:val="clear" w:color="auto" w:fill="D9E2F3"/>
            <w:vAlign w:val="center"/>
          </w:tcPr>
          <w:p w14:paraId="3C4ED0AF" w14:textId="77777777" w:rsidR="00990B14" w:rsidRDefault="00000000">
            <w:pPr>
              <w:spacing w:before="20" w:after="20"/>
              <w:jc w:val="both"/>
            </w:pPr>
            <w:r>
              <w:rPr>
                <w:sz w:val="18"/>
                <w:szCs w:val="18"/>
              </w:rPr>
              <w:t>2. Diseña el plan de cuentas codificado de una entidad según su giro, compatible con la presentación de los estados financieros.</w:t>
            </w:r>
          </w:p>
        </w:tc>
        <w:tc>
          <w:tcPr>
            <w:tcW w:w="3135" w:type="dxa"/>
            <w:gridSpan w:val="5"/>
            <w:shd w:val="clear" w:color="auto" w:fill="D9E2F3"/>
            <w:vAlign w:val="center"/>
          </w:tcPr>
          <w:p w14:paraId="36A8A01E" w14:textId="77777777" w:rsidR="00990B14" w:rsidRDefault="00000000">
            <w:pPr>
              <w:spacing w:before="20" w:after="20"/>
              <w:jc w:val="both"/>
            </w:pPr>
            <w:r>
              <w:rPr>
                <w:sz w:val="18"/>
                <w:szCs w:val="18"/>
              </w:rPr>
              <w:t>2.1 Diseña en el laboratorio de cómputo el plan de cuentas codificado de una empresa boliviana.</w:t>
            </w:r>
          </w:p>
        </w:tc>
        <w:tc>
          <w:tcPr>
            <w:tcW w:w="3137" w:type="dxa"/>
            <w:gridSpan w:val="4"/>
            <w:shd w:val="clear" w:color="auto" w:fill="D9E2F3"/>
            <w:vAlign w:val="center"/>
          </w:tcPr>
          <w:p w14:paraId="7E1370DE" w14:textId="77777777" w:rsidR="00990B14" w:rsidRDefault="00000000">
            <w:pPr>
              <w:spacing w:before="20" w:after="20"/>
              <w:jc w:val="both"/>
            </w:pPr>
            <w:r>
              <w:rPr>
                <w:b/>
                <w:bCs/>
                <w:sz w:val="18"/>
                <w:szCs w:val="18"/>
              </w:rPr>
              <w:t xml:space="preserve">Producto 39: </w:t>
            </w:r>
            <w:r>
              <w:rPr>
                <w:sz w:val="18"/>
                <w:szCs w:val="18"/>
              </w:rPr>
              <w:t>Plan de cuentas codificado en hoja de cálculo.</w:t>
            </w:r>
          </w:p>
        </w:tc>
      </w:tr>
      <w:tr w:rsidR="00990B14" w14:paraId="40DE6701" w14:textId="77777777">
        <w:trPr>
          <w:cantSplit/>
          <w:jc w:val="center"/>
        </w:trPr>
        <w:tc>
          <w:tcPr>
            <w:tcW w:w="3133" w:type="dxa"/>
            <w:gridSpan w:val="4"/>
            <w:vMerge/>
            <w:shd w:val="clear" w:color="auto" w:fill="D9E2F3"/>
            <w:vAlign w:val="center"/>
          </w:tcPr>
          <w:p w14:paraId="3E6373D3" w14:textId="77777777" w:rsidR="00990B14" w:rsidRDefault="00990B14">
            <w:pPr>
              <w:spacing w:before="20" w:after="20"/>
            </w:pPr>
          </w:p>
        </w:tc>
        <w:tc>
          <w:tcPr>
            <w:tcW w:w="3135" w:type="dxa"/>
            <w:gridSpan w:val="5"/>
            <w:shd w:val="clear" w:color="auto" w:fill="D9E2F3"/>
            <w:vAlign w:val="center"/>
          </w:tcPr>
          <w:p w14:paraId="085F39E0" w14:textId="77777777" w:rsidR="00990B14" w:rsidRDefault="00000000">
            <w:pPr>
              <w:spacing w:before="20" w:after="20"/>
              <w:jc w:val="both"/>
            </w:pPr>
            <w:r>
              <w:rPr>
                <w:sz w:val="18"/>
                <w:szCs w:val="18"/>
              </w:rPr>
              <w:t>2.2 Sustenta ante el curso la estructura del plan de cuentas y su relación con los estados financieros.</w:t>
            </w:r>
          </w:p>
        </w:tc>
        <w:tc>
          <w:tcPr>
            <w:tcW w:w="3137" w:type="dxa"/>
            <w:gridSpan w:val="4"/>
            <w:shd w:val="clear" w:color="auto" w:fill="D9E2F3"/>
            <w:vAlign w:val="center"/>
          </w:tcPr>
          <w:p w14:paraId="483C0025" w14:textId="77777777" w:rsidR="00990B14" w:rsidRDefault="00000000">
            <w:pPr>
              <w:spacing w:before="20" w:after="20"/>
              <w:jc w:val="both"/>
            </w:pPr>
            <w:r>
              <w:rPr>
                <w:b/>
                <w:bCs/>
                <w:sz w:val="18"/>
                <w:szCs w:val="18"/>
              </w:rPr>
              <w:t xml:space="preserve">Producto 40: </w:t>
            </w:r>
            <w:r>
              <w:rPr>
                <w:sz w:val="18"/>
                <w:szCs w:val="18"/>
              </w:rPr>
              <w:t>Manual de cuentas con la descripción y el movimiento de cada cuenta.</w:t>
            </w:r>
          </w:p>
        </w:tc>
      </w:tr>
      <w:tr w:rsidR="00990B14" w14:paraId="5643BDE4" w14:textId="77777777">
        <w:trPr>
          <w:cantSplit/>
          <w:jc w:val="center"/>
        </w:trPr>
        <w:tc>
          <w:tcPr>
            <w:tcW w:w="9405" w:type="dxa"/>
            <w:gridSpan w:val="13"/>
            <w:shd w:val="clear" w:color="auto" w:fill="4472C4"/>
            <w:vAlign w:val="center"/>
          </w:tcPr>
          <w:p w14:paraId="2F2269DB" w14:textId="77777777" w:rsidR="00990B14" w:rsidRDefault="00000000">
            <w:pPr>
              <w:keepNext/>
              <w:spacing w:before="20" w:after="20"/>
              <w:jc w:val="center"/>
            </w:pPr>
            <w:r>
              <w:rPr>
                <w:b/>
                <w:bCs/>
                <w:i/>
                <w:iCs/>
                <w:color w:val="FFFFFF"/>
                <w:sz w:val="18"/>
                <w:szCs w:val="18"/>
              </w:rPr>
              <w:t>Evidencias de conocimiento</w:t>
            </w:r>
          </w:p>
        </w:tc>
      </w:tr>
      <w:tr w:rsidR="00990B14" w14:paraId="14651154" w14:textId="77777777">
        <w:trPr>
          <w:cantSplit/>
          <w:jc w:val="center"/>
        </w:trPr>
        <w:tc>
          <w:tcPr>
            <w:tcW w:w="2349" w:type="dxa"/>
            <w:gridSpan w:val="2"/>
            <w:shd w:val="clear" w:color="auto" w:fill="4472C4"/>
            <w:vAlign w:val="center"/>
          </w:tcPr>
          <w:p w14:paraId="7FD8AAAB"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36184FF8" w14:textId="77777777" w:rsidR="00990B14" w:rsidRDefault="00000000">
            <w:pPr>
              <w:keepNext/>
              <w:spacing w:before="20" w:after="20"/>
              <w:jc w:val="both"/>
            </w:pPr>
            <w:r>
              <w:rPr>
                <w:b/>
                <w:bCs/>
                <w:i/>
                <w:iCs/>
                <w:color w:val="FFFFFF"/>
                <w:sz w:val="18"/>
                <w:szCs w:val="18"/>
              </w:rPr>
              <w:t>Contenidos</w:t>
            </w:r>
          </w:p>
          <w:p w14:paraId="5DC09BA8"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41206F92" w14:textId="77777777" w:rsidR="00990B14" w:rsidRDefault="00000000">
            <w:pPr>
              <w:keepNext/>
              <w:spacing w:before="20" w:after="20"/>
              <w:jc w:val="center"/>
            </w:pPr>
            <w:r>
              <w:rPr>
                <w:b/>
                <w:bCs/>
                <w:i/>
                <w:iCs/>
                <w:color w:val="FFFFFF"/>
                <w:sz w:val="18"/>
                <w:szCs w:val="18"/>
              </w:rPr>
              <w:t>Conocimientos circunstanciales</w:t>
            </w:r>
          </w:p>
        </w:tc>
      </w:tr>
      <w:tr w:rsidR="00990B14" w14:paraId="2FA35F23" w14:textId="77777777">
        <w:trPr>
          <w:jc w:val="center"/>
        </w:trPr>
        <w:tc>
          <w:tcPr>
            <w:tcW w:w="2349" w:type="dxa"/>
            <w:gridSpan w:val="2"/>
            <w:shd w:val="clear" w:color="auto" w:fill="D9E2F3"/>
          </w:tcPr>
          <w:p w14:paraId="04567C77" w14:textId="77777777" w:rsidR="00990B14" w:rsidRDefault="00000000">
            <w:pPr>
              <w:spacing w:before="20" w:after="40"/>
              <w:jc w:val="both"/>
            </w:pPr>
            <w:r>
              <w:rPr>
                <w:sz w:val="18"/>
                <w:szCs w:val="18"/>
              </w:rPr>
              <w:t>Tema 23: Cuentas de gasto</w:t>
            </w:r>
          </w:p>
          <w:p w14:paraId="04F19682" w14:textId="77777777" w:rsidR="00990B14" w:rsidRDefault="00000000">
            <w:pPr>
              <w:spacing w:before="20" w:after="40"/>
              <w:jc w:val="both"/>
            </w:pPr>
            <w:r>
              <w:rPr>
                <w:sz w:val="18"/>
                <w:szCs w:val="18"/>
              </w:rPr>
              <w:t>Tema 24: Cuentas de ingresos</w:t>
            </w:r>
          </w:p>
          <w:p w14:paraId="4327B252" w14:textId="77777777" w:rsidR="00990B14" w:rsidRDefault="00000000">
            <w:pPr>
              <w:spacing w:before="20" w:after="40"/>
              <w:jc w:val="both"/>
            </w:pPr>
            <w:r>
              <w:rPr>
                <w:sz w:val="18"/>
                <w:szCs w:val="18"/>
              </w:rPr>
              <w:t>Tema 25: Plan de cuentas</w:t>
            </w:r>
          </w:p>
        </w:tc>
        <w:tc>
          <w:tcPr>
            <w:tcW w:w="4304" w:type="dxa"/>
            <w:gridSpan w:val="8"/>
            <w:shd w:val="clear" w:color="auto" w:fill="D9E2F3"/>
          </w:tcPr>
          <w:p w14:paraId="64F0DD5C" w14:textId="77777777" w:rsidR="00990B14" w:rsidRDefault="00000000">
            <w:pPr>
              <w:spacing w:after="40"/>
              <w:jc w:val="both"/>
            </w:pPr>
            <w:r>
              <w:rPr>
                <w:sz w:val="18"/>
                <w:szCs w:val="18"/>
              </w:rPr>
              <w:t>Cuentas de gasto: concepto, objetivo, características, control y apropiación de gastos. (C)</w:t>
            </w:r>
          </w:p>
          <w:p w14:paraId="07691001" w14:textId="77777777" w:rsidR="00990B14" w:rsidRDefault="00000000">
            <w:pPr>
              <w:spacing w:after="40"/>
              <w:jc w:val="both"/>
            </w:pPr>
            <w:r>
              <w:rPr>
                <w:sz w:val="18"/>
                <w:szCs w:val="18"/>
              </w:rPr>
              <w:t>Integridad en el registro de gastos e ingresos: devengo, corte de operaciones y prevención de la manipulación de resultados. (P, A)</w:t>
            </w:r>
          </w:p>
          <w:p w14:paraId="6497BA52" w14:textId="77777777" w:rsidR="00990B14" w:rsidRDefault="00000000">
            <w:pPr>
              <w:spacing w:after="40"/>
              <w:jc w:val="both"/>
            </w:pPr>
            <w:r>
              <w:rPr>
                <w:sz w:val="18"/>
                <w:szCs w:val="18"/>
              </w:rPr>
              <w:t>Clasificación de las cuentas de gasto por su función en gastos de operación, de administración, de venta y financieros, y por su naturaleza; naturaleza de las cuentas. (C)</w:t>
            </w:r>
          </w:p>
          <w:p w14:paraId="2BD3D254" w14:textId="77777777" w:rsidR="00990B14" w:rsidRDefault="00000000">
            <w:pPr>
              <w:spacing w:after="40"/>
              <w:jc w:val="both"/>
            </w:pPr>
            <w:r>
              <w:rPr>
                <w:sz w:val="18"/>
                <w:szCs w:val="18"/>
              </w:rPr>
              <w:t>Tratamiento contable de los gastos con base efectivo y con base devengado; actualización de valores de las cuentas de gasto. (P)</w:t>
            </w:r>
          </w:p>
          <w:p w14:paraId="7838A1A0" w14:textId="77777777" w:rsidR="00990B14" w:rsidRDefault="00000000">
            <w:pPr>
              <w:spacing w:after="40"/>
              <w:jc w:val="both"/>
            </w:pPr>
            <w:r>
              <w:rPr>
                <w:sz w:val="18"/>
                <w:szCs w:val="18"/>
              </w:rPr>
              <w:t>Respaldo de gastos e ingresos con facturas y su registro en el Registro de Compras y Ventas (RCV). (P, T)</w:t>
            </w:r>
          </w:p>
          <w:p w14:paraId="2F9D7169" w14:textId="77777777" w:rsidR="00990B14" w:rsidRDefault="00000000">
            <w:pPr>
              <w:spacing w:after="40"/>
              <w:jc w:val="both"/>
            </w:pPr>
            <w:r>
              <w:rPr>
                <w:sz w:val="18"/>
                <w:szCs w:val="18"/>
              </w:rPr>
              <w:t>Cuentas de ingresos: concepto, objetivo, características, control y apropiación de ingresos; clasificación y naturaleza de las cuentas. (C)</w:t>
            </w:r>
          </w:p>
          <w:p w14:paraId="46148D67" w14:textId="77777777" w:rsidR="00990B14" w:rsidRDefault="00000000">
            <w:pPr>
              <w:spacing w:after="40"/>
              <w:jc w:val="both"/>
            </w:pPr>
            <w:r>
              <w:rPr>
                <w:sz w:val="18"/>
                <w:szCs w:val="18"/>
              </w:rPr>
              <w:t>Tratamiento contable de los ingresos y actualización de sus valores. (P)</w:t>
            </w:r>
          </w:p>
          <w:p w14:paraId="1D819478" w14:textId="77777777" w:rsidR="00990B14" w:rsidRDefault="00000000">
            <w:pPr>
              <w:spacing w:after="40"/>
              <w:jc w:val="both"/>
            </w:pPr>
            <w:r>
              <w:rPr>
                <w:sz w:val="18"/>
                <w:szCs w:val="18"/>
              </w:rPr>
              <w:t>Plan de cuentas: concepto, objetivo, características y estructura. (C)</w:t>
            </w:r>
          </w:p>
          <w:p w14:paraId="0F29703A" w14:textId="77777777" w:rsidR="00990B14" w:rsidRDefault="00000000">
            <w:pPr>
              <w:spacing w:after="40"/>
              <w:jc w:val="both"/>
            </w:pPr>
            <w:r>
              <w:rPr>
                <w:sz w:val="18"/>
                <w:szCs w:val="18"/>
              </w:rPr>
              <w:t>Estructura del plan de cuentas compatible con la presentación del estado de situación financiera y del estado de resultados. (C, P)</w:t>
            </w:r>
          </w:p>
          <w:p w14:paraId="43C31020" w14:textId="77777777" w:rsidR="00990B14" w:rsidRDefault="00000000">
            <w:pPr>
              <w:spacing w:after="40"/>
              <w:jc w:val="both"/>
            </w:pPr>
            <w:r>
              <w:rPr>
                <w:sz w:val="18"/>
                <w:szCs w:val="18"/>
              </w:rPr>
              <w:t>Cuentas de balance: cuentas de activo, de pasivo, de patrimonio y sus cuentas reguladoras de activo, de pasivo y de patrimonio. (C)</w:t>
            </w:r>
          </w:p>
          <w:p w14:paraId="2D4E782A" w14:textId="77777777" w:rsidR="00990B14" w:rsidRDefault="00000000">
            <w:pPr>
              <w:spacing w:after="40"/>
              <w:jc w:val="both"/>
            </w:pPr>
            <w:r>
              <w:rPr>
                <w:sz w:val="18"/>
                <w:szCs w:val="18"/>
              </w:rPr>
              <w:t>Cuentas de orden deudoras y acreedoras. (C)</w:t>
            </w:r>
          </w:p>
          <w:p w14:paraId="3664A33F" w14:textId="77777777" w:rsidR="00990B14" w:rsidRDefault="00000000">
            <w:pPr>
              <w:spacing w:after="40"/>
              <w:jc w:val="both"/>
            </w:pPr>
            <w:r>
              <w:rPr>
                <w:sz w:val="18"/>
                <w:szCs w:val="18"/>
              </w:rPr>
              <w:t>Cuentas de resultados: cuentas de costo, de gasto, de ingreso y otras cuentas de resultados. (C)</w:t>
            </w:r>
          </w:p>
        </w:tc>
        <w:tc>
          <w:tcPr>
            <w:tcW w:w="2752" w:type="dxa"/>
            <w:gridSpan w:val="3"/>
            <w:shd w:val="clear" w:color="auto" w:fill="D9E2F3"/>
          </w:tcPr>
          <w:p w14:paraId="4DD7865F" w14:textId="77777777" w:rsidR="00990B14" w:rsidRDefault="00000000">
            <w:pPr>
              <w:numPr>
                <w:ilvl w:val="0"/>
                <w:numId w:val="139"/>
              </w:numPr>
              <w:spacing w:before="10" w:after="10"/>
              <w:jc w:val="both"/>
            </w:pPr>
            <w:r>
              <w:rPr>
                <w:sz w:val="18"/>
                <w:szCs w:val="18"/>
              </w:rPr>
              <w:t>Nociones del giro y de los procesos de negocio de la entidad para la que se diseña el plan de cuentas.</w:t>
            </w:r>
          </w:p>
          <w:p w14:paraId="604AC639" w14:textId="77777777" w:rsidR="00990B14" w:rsidRDefault="00000000">
            <w:pPr>
              <w:numPr>
                <w:ilvl w:val="0"/>
                <w:numId w:val="139"/>
              </w:numPr>
              <w:spacing w:before="10" w:after="10"/>
              <w:jc w:val="both"/>
            </w:pPr>
            <w:r>
              <w:rPr>
                <w:sz w:val="18"/>
                <w:szCs w:val="18"/>
              </w:rPr>
              <w:t>Nociones de los sistemas de codificación numérica y alfanumérica.</w:t>
            </w:r>
          </w:p>
        </w:tc>
      </w:tr>
    </w:tbl>
    <w:p w14:paraId="298580CE"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654"/>
        <w:gridCol w:w="1654"/>
        <w:gridCol w:w="1821"/>
        <w:gridCol w:w="1737"/>
        <w:gridCol w:w="2539"/>
      </w:tblGrid>
      <w:tr w:rsidR="00990B14" w14:paraId="2053DA67" w14:textId="77777777">
        <w:trPr>
          <w:cantSplit/>
          <w:jc w:val="center"/>
        </w:trPr>
        <w:tc>
          <w:tcPr>
            <w:tcW w:w="9405" w:type="dxa"/>
            <w:gridSpan w:val="5"/>
            <w:shd w:val="clear" w:color="auto" w:fill="4472C4"/>
            <w:vAlign w:val="center"/>
          </w:tcPr>
          <w:p w14:paraId="01AB366E" w14:textId="77777777" w:rsidR="00990B14" w:rsidRDefault="00000000">
            <w:pPr>
              <w:keepNext/>
              <w:spacing w:before="20" w:after="20"/>
              <w:jc w:val="center"/>
            </w:pPr>
            <w:r>
              <w:rPr>
                <w:b/>
                <w:bCs/>
                <w:i/>
                <w:iCs/>
                <w:color w:val="FFFFFF"/>
                <w:sz w:val="18"/>
                <w:szCs w:val="18"/>
              </w:rPr>
              <w:t>Actividades</w:t>
            </w:r>
          </w:p>
        </w:tc>
      </w:tr>
      <w:tr w:rsidR="00990B14" w14:paraId="06053931" w14:textId="77777777">
        <w:trPr>
          <w:cantSplit/>
          <w:jc w:val="center"/>
        </w:trPr>
        <w:tc>
          <w:tcPr>
            <w:tcW w:w="1654" w:type="dxa"/>
            <w:shd w:val="clear" w:color="auto" w:fill="4472C4"/>
            <w:vAlign w:val="center"/>
          </w:tcPr>
          <w:p w14:paraId="4BEE5CFD" w14:textId="77777777" w:rsidR="00990B14" w:rsidRDefault="00000000">
            <w:pPr>
              <w:keepNext/>
              <w:spacing w:before="20" w:after="20"/>
              <w:jc w:val="center"/>
            </w:pPr>
            <w:r>
              <w:rPr>
                <w:b/>
                <w:bCs/>
                <w:i/>
                <w:iCs/>
                <w:color w:val="FFFFFF"/>
                <w:sz w:val="18"/>
                <w:szCs w:val="18"/>
              </w:rPr>
              <w:t>En clase</w:t>
            </w:r>
          </w:p>
        </w:tc>
        <w:tc>
          <w:tcPr>
            <w:tcW w:w="1654" w:type="dxa"/>
            <w:shd w:val="clear" w:color="auto" w:fill="4472C4"/>
            <w:vAlign w:val="center"/>
          </w:tcPr>
          <w:p w14:paraId="12722FE7" w14:textId="77777777" w:rsidR="00990B14" w:rsidRDefault="00000000">
            <w:pPr>
              <w:keepNext/>
              <w:spacing w:before="20" w:after="20"/>
              <w:jc w:val="center"/>
            </w:pPr>
            <w:r>
              <w:rPr>
                <w:b/>
                <w:bCs/>
                <w:i/>
                <w:iCs/>
                <w:color w:val="FFFFFF"/>
                <w:sz w:val="18"/>
                <w:szCs w:val="18"/>
              </w:rPr>
              <w:t>Autónomas</w:t>
            </w:r>
          </w:p>
        </w:tc>
        <w:tc>
          <w:tcPr>
            <w:tcW w:w="1821" w:type="dxa"/>
            <w:shd w:val="clear" w:color="auto" w:fill="4472C4"/>
            <w:vAlign w:val="center"/>
          </w:tcPr>
          <w:p w14:paraId="41A46A2A" w14:textId="77777777" w:rsidR="00990B14" w:rsidRDefault="00000000">
            <w:pPr>
              <w:keepNext/>
              <w:spacing w:before="20" w:after="20"/>
              <w:jc w:val="center"/>
            </w:pPr>
            <w:r>
              <w:rPr>
                <w:b/>
                <w:bCs/>
                <w:i/>
                <w:iCs/>
                <w:color w:val="FFFFFF"/>
                <w:sz w:val="18"/>
                <w:szCs w:val="18"/>
              </w:rPr>
              <w:t>B-Learning</w:t>
            </w:r>
          </w:p>
        </w:tc>
        <w:tc>
          <w:tcPr>
            <w:tcW w:w="1737" w:type="dxa"/>
            <w:shd w:val="clear" w:color="auto" w:fill="4472C4"/>
            <w:vAlign w:val="center"/>
          </w:tcPr>
          <w:p w14:paraId="5B899E67" w14:textId="77777777" w:rsidR="00990B14" w:rsidRDefault="00000000">
            <w:pPr>
              <w:keepNext/>
              <w:spacing w:before="20" w:after="20"/>
              <w:jc w:val="center"/>
            </w:pPr>
            <w:r>
              <w:rPr>
                <w:b/>
                <w:bCs/>
                <w:i/>
                <w:iCs/>
                <w:color w:val="FFFFFF"/>
                <w:sz w:val="18"/>
                <w:szCs w:val="18"/>
              </w:rPr>
              <w:t>Taller</w:t>
            </w:r>
          </w:p>
        </w:tc>
        <w:tc>
          <w:tcPr>
            <w:tcW w:w="2539" w:type="dxa"/>
            <w:shd w:val="clear" w:color="auto" w:fill="4472C4"/>
            <w:vAlign w:val="center"/>
          </w:tcPr>
          <w:p w14:paraId="498ECAC1" w14:textId="77777777" w:rsidR="00990B14" w:rsidRDefault="00000000">
            <w:pPr>
              <w:keepNext/>
              <w:spacing w:before="20" w:after="20"/>
              <w:jc w:val="center"/>
            </w:pPr>
            <w:r>
              <w:rPr>
                <w:b/>
                <w:bCs/>
                <w:i/>
                <w:iCs/>
                <w:color w:val="FFFFFF"/>
                <w:sz w:val="18"/>
                <w:szCs w:val="18"/>
              </w:rPr>
              <w:t>Investigación/Práctica</w:t>
            </w:r>
          </w:p>
        </w:tc>
      </w:tr>
      <w:tr w:rsidR="00990B14" w14:paraId="4594F6B6" w14:textId="77777777">
        <w:trPr>
          <w:jc w:val="center"/>
        </w:trPr>
        <w:tc>
          <w:tcPr>
            <w:tcW w:w="1654" w:type="dxa"/>
            <w:shd w:val="clear" w:color="auto" w:fill="D9E2F3"/>
          </w:tcPr>
          <w:p w14:paraId="116FAF92" w14:textId="77777777" w:rsidR="00990B14" w:rsidRDefault="00000000">
            <w:pPr>
              <w:numPr>
                <w:ilvl w:val="0"/>
                <w:numId w:val="139"/>
              </w:numPr>
              <w:spacing w:before="10" w:after="10"/>
              <w:jc w:val="both"/>
            </w:pPr>
            <w:r>
              <w:rPr>
                <w:sz w:val="18"/>
                <w:szCs w:val="18"/>
              </w:rPr>
              <w:t>Exposición dialogada del tratamiento contable de cada rubro del activo, el pasivo y el patrimonio.</w:t>
            </w:r>
          </w:p>
          <w:p w14:paraId="04AF324F" w14:textId="77777777" w:rsidR="00990B14" w:rsidRDefault="00000000">
            <w:pPr>
              <w:numPr>
                <w:ilvl w:val="0"/>
                <w:numId w:val="139"/>
              </w:numPr>
              <w:spacing w:before="10" w:after="10"/>
              <w:jc w:val="both"/>
            </w:pPr>
            <w:r>
              <w:rPr>
                <w:sz w:val="18"/>
                <w:szCs w:val="18"/>
              </w:rPr>
              <w:t>Resolución guiada de casos de valuación y registro en la pizarra.</w:t>
            </w:r>
          </w:p>
          <w:p w14:paraId="5029B200" w14:textId="77777777" w:rsidR="00990B14" w:rsidRDefault="00000000">
            <w:pPr>
              <w:numPr>
                <w:ilvl w:val="0"/>
                <w:numId w:val="139"/>
              </w:numPr>
              <w:spacing w:before="10" w:after="10"/>
              <w:jc w:val="both"/>
            </w:pPr>
            <w:r>
              <w:rPr>
                <w:sz w:val="18"/>
                <w:szCs w:val="18"/>
              </w:rPr>
              <w:t>Demostración en hoja de cálculo del kárdex y de los cuadros de depreciación y de amortización.</w:t>
            </w:r>
          </w:p>
          <w:p w14:paraId="6A9E97C5" w14:textId="77777777" w:rsidR="00990B14" w:rsidRDefault="00000000">
            <w:pPr>
              <w:numPr>
                <w:ilvl w:val="0"/>
                <w:numId w:val="139"/>
              </w:numPr>
              <w:spacing w:before="10" w:after="10"/>
              <w:jc w:val="both"/>
            </w:pPr>
            <w:r>
              <w:rPr>
                <w:sz w:val="18"/>
                <w:szCs w:val="18"/>
              </w:rPr>
              <w:t>Análisis de casos de control interno del efectivo y de los inventarios.</w:t>
            </w:r>
          </w:p>
          <w:p w14:paraId="61313E60" w14:textId="77777777" w:rsidR="00990B14" w:rsidRDefault="00000000">
            <w:pPr>
              <w:numPr>
                <w:ilvl w:val="0"/>
                <w:numId w:val="139"/>
              </w:numPr>
              <w:spacing w:before="10" w:after="10"/>
              <w:jc w:val="both"/>
            </w:pPr>
            <w:r>
              <w:rPr>
                <w:sz w:val="18"/>
                <w:szCs w:val="18"/>
              </w:rPr>
              <w:t>Preguntas de comprensión sobre las diferencias entre las normas bolivianas y las NIIF.</w:t>
            </w:r>
          </w:p>
        </w:tc>
        <w:tc>
          <w:tcPr>
            <w:tcW w:w="1654" w:type="dxa"/>
            <w:shd w:val="clear" w:color="auto" w:fill="D9E2F3"/>
          </w:tcPr>
          <w:p w14:paraId="3932D299" w14:textId="77777777" w:rsidR="00990B14" w:rsidRDefault="00000000">
            <w:pPr>
              <w:numPr>
                <w:ilvl w:val="0"/>
                <w:numId w:val="139"/>
              </w:numPr>
              <w:spacing w:before="10" w:after="10"/>
              <w:jc w:val="both"/>
            </w:pPr>
            <w:r>
              <w:rPr>
                <w:sz w:val="18"/>
                <w:szCs w:val="18"/>
              </w:rPr>
              <w:t>Resolución de ejercicios de valuación y registro al cierre de cada tema.</w:t>
            </w:r>
          </w:p>
          <w:p w14:paraId="6DC61CBC" w14:textId="77777777" w:rsidR="00990B14" w:rsidRDefault="00000000">
            <w:pPr>
              <w:numPr>
                <w:ilvl w:val="0"/>
                <w:numId w:val="139"/>
              </w:numPr>
              <w:spacing w:before="10" w:after="10"/>
              <w:jc w:val="both"/>
            </w:pPr>
            <w:r>
              <w:rPr>
                <w:sz w:val="18"/>
                <w:szCs w:val="18"/>
              </w:rPr>
              <w:t>Lectura de las normas de contabilidad, de las NIC y NIIF aplicables y de las disposiciones legales vigentes sobre cada rubro.</w:t>
            </w:r>
          </w:p>
          <w:p w14:paraId="64493A60" w14:textId="77777777" w:rsidR="00990B14" w:rsidRDefault="00000000">
            <w:pPr>
              <w:numPr>
                <w:ilvl w:val="0"/>
                <w:numId w:val="139"/>
              </w:numPr>
              <w:spacing w:before="10" w:after="10"/>
              <w:jc w:val="both"/>
            </w:pPr>
            <w:r>
              <w:rPr>
                <w:sz w:val="18"/>
                <w:szCs w:val="18"/>
              </w:rPr>
              <w:t>Desarrollo progresivo de un caso práctico integral de activo, pasivo y patrimonio.</w:t>
            </w:r>
          </w:p>
        </w:tc>
        <w:tc>
          <w:tcPr>
            <w:tcW w:w="1821" w:type="dxa"/>
            <w:shd w:val="clear" w:color="auto" w:fill="D9E2F3"/>
          </w:tcPr>
          <w:p w14:paraId="68516C3C" w14:textId="77777777" w:rsidR="00990B14" w:rsidRDefault="00000000">
            <w:pPr>
              <w:numPr>
                <w:ilvl w:val="0"/>
                <w:numId w:val="139"/>
              </w:numPr>
              <w:spacing w:before="10" w:after="10"/>
              <w:jc w:val="both"/>
            </w:pPr>
            <w:r>
              <w:rPr>
                <w:sz w:val="18"/>
                <w:szCs w:val="18"/>
              </w:rPr>
              <w:t>Cuestionarios de comprensión en la plataforma Moodle UMSA.</w:t>
            </w:r>
          </w:p>
          <w:p w14:paraId="16B22133" w14:textId="77777777" w:rsidR="00990B14" w:rsidRDefault="00000000">
            <w:pPr>
              <w:numPr>
                <w:ilvl w:val="0"/>
                <w:numId w:val="139"/>
              </w:numPr>
              <w:spacing w:before="10" w:after="10"/>
              <w:jc w:val="both"/>
            </w:pPr>
            <w:r>
              <w:rPr>
                <w:sz w:val="18"/>
                <w:szCs w:val="18"/>
              </w:rPr>
              <w:t>Foros de consulta sobre el tratamiento contable de cada rubro.</w:t>
            </w:r>
          </w:p>
          <w:p w14:paraId="4AB06E7A" w14:textId="77777777" w:rsidR="00990B14" w:rsidRDefault="00000000">
            <w:pPr>
              <w:numPr>
                <w:ilvl w:val="0"/>
                <w:numId w:val="139"/>
              </w:numPr>
              <w:spacing w:before="10" w:after="10"/>
              <w:jc w:val="both"/>
            </w:pPr>
            <w:r>
              <w:rPr>
                <w:sz w:val="18"/>
                <w:szCs w:val="18"/>
              </w:rPr>
              <w:t>Videotutoriales de valuación de inventarios, cálculo de depreciaciones y registro de inversiones en hoja de cálculo.</w:t>
            </w:r>
          </w:p>
        </w:tc>
        <w:tc>
          <w:tcPr>
            <w:tcW w:w="1737" w:type="dxa"/>
            <w:shd w:val="clear" w:color="auto" w:fill="D9E2F3"/>
          </w:tcPr>
          <w:p w14:paraId="6D8B2D10" w14:textId="77777777" w:rsidR="00990B14" w:rsidRDefault="00000000">
            <w:pPr>
              <w:numPr>
                <w:ilvl w:val="0"/>
                <w:numId w:val="139"/>
              </w:numPr>
              <w:spacing w:before="10" w:after="10"/>
              <w:jc w:val="both"/>
            </w:pPr>
            <w:r>
              <w:rPr>
                <w:sz w:val="18"/>
                <w:szCs w:val="18"/>
              </w:rPr>
              <w:t>Resolución colaborativa de arqueos, conciliaciones y valuaciones.</w:t>
            </w:r>
          </w:p>
          <w:p w14:paraId="0F4CAA7D" w14:textId="77777777" w:rsidR="00990B14" w:rsidRDefault="00000000">
            <w:pPr>
              <w:numPr>
                <w:ilvl w:val="0"/>
                <w:numId w:val="139"/>
              </w:numPr>
              <w:spacing w:before="10" w:after="10"/>
              <w:jc w:val="both"/>
            </w:pPr>
            <w:r>
              <w:rPr>
                <w:sz w:val="18"/>
                <w:szCs w:val="18"/>
              </w:rPr>
              <w:t>Elaboración guiada de cuadros de depreciación y de revalorización técnica en hoja de cálculo.</w:t>
            </w:r>
          </w:p>
          <w:p w14:paraId="0B3531A4" w14:textId="77777777" w:rsidR="00990B14" w:rsidRDefault="00000000">
            <w:pPr>
              <w:numPr>
                <w:ilvl w:val="0"/>
                <w:numId w:val="139"/>
              </w:numPr>
              <w:spacing w:before="10" w:after="10"/>
              <w:jc w:val="both"/>
            </w:pPr>
            <w:r>
              <w:rPr>
                <w:sz w:val="18"/>
                <w:szCs w:val="18"/>
              </w:rPr>
              <w:t>Preparación guiada de una planilla de sueldos y de la retención del RC-IVA con los formularios del Servicio de Impuestos Nacionales.</w:t>
            </w:r>
          </w:p>
        </w:tc>
        <w:tc>
          <w:tcPr>
            <w:tcW w:w="2539" w:type="dxa"/>
            <w:shd w:val="clear" w:color="auto" w:fill="D9E2F3"/>
          </w:tcPr>
          <w:p w14:paraId="12BE04D9" w14:textId="77777777" w:rsidR="00990B14" w:rsidRDefault="00000000">
            <w:pPr>
              <w:numPr>
                <w:ilvl w:val="0"/>
                <w:numId w:val="139"/>
              </w:numPr>
              <w:spacing w:before="10" w:after="10"/>
              <w:jc w:val="both"/>
            </w:pPr>
            <w:r>
              <w:rPr>
                <w:sz w:val="18"/>
                <w:szCs w:val="18"/>
              </w:rPr>
              <w:t>Análisis de estados financieros publicados por empresas bolivianas inscritas en la Bolsa Boliviana de Valores, identificando la composición de sus rubros y sus políticas contables.</w:t>
            </w:r>
          </w:p>
          <w:p w14:paraId="1ECCA903" w14:textId="77777777" w:rsidR="00990B14" w:rsidRDefault="00000000">
            <w:pPr>
              <w:numPr>
                <w:ilvl w:val="0"/>
                <w:numId w:val="139"/>
              </w:numPr>
              <w:spacing w:before="10" w:after="10"/>
              <w:jc w:val="both"/>
            </w:pPr>
            <w:r>
              <w:rPr>
                <w:sz w:val="18"/>
                <w:szCs w:val="18"/>
              </w:rPr>
              <w:t>Revisión de contratos de arrendamiento financiero y de bonos emitidos por empresas bolivianas.</w:t>
            </w:r>
          </w:p>
          <w:p w14:paraId="2C7CAA10" w14:textId="77777777" w:rsidR="00990B14" w:rsidRDefault="00000000">
            <w:pPr>
              <w:numPr>
                <w:ilvl w:val="0"/>
                <w:numId w:val="139"/>
              </w:numPr>
              <w:spacing w:before="10" w:after="10"/>
              <w:jc w:val="both"/>
            </w:pPr>
            <w:r>
              <w:rPr>
                <w:sz w:val="18"/>
                <w:szCs w:val="18"/>
              </w:rPr>
              <w:t>Comparación de políticas de valuación de inventarios y de bienes de uso entre distintos sectores.</w:t>
            </w:r>
          </w:p>
        </w:tc>
      </w:tr>
    </w:tbl>
    <w:p w14:paraId="7EC98838"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780"/>
        <w:gridCol w:w="1825"/>
        <w:gridCol w:w="1825"/>
        <w:gridCol w:w="2120"/>
        <w:gridCol w:w="1855"/>
      </w:tblGrid>
      <w:tr w:rsidR="00990B14" w14:paraId="27026DF7" w14:textId="77777777">
        <w:trPr>
          <w:jc w:val="center"/>
        </w:trPr>
        <w:tc>
          <w:tcPr>
            <w:tcW w:w="1780" w:type="dxa"/>
            <w:shd w:val="clear" w:color="auto" w:fill="4472C4"/>
            <w:vAlign w:val="center"/>
          </w:tcPr>
          <w:p w14:paraId="147BBFF6" w14:textId="77777777" w:rsidR="00990B14" w:rsidRDefault="00000000">
            <w:pPr>
              <w:spacing w:before="20" w:after="20"/>
              <w:jc w:val="center"/>
            </w:pPr>
            <w:r>
              <w:rPr>
                <w:b/>
                <w:bCs/>
                <w:i/>
                <w:iCs/>
                <w:color w:val="FFFFFF"/>
                <w:sz w:val="18"/>
                <w:szCs w:val="18"/>
              </w:rPr>
              <w:t>Estrategias de aprendizaje y enseñanza</w:t>
            </w:r>
          </w:p>
        </w:tc>
        <w:tc>
          <w:tcPr>
            <w:tcW w:w="7625" w:type="dxa"/>
            <w:gridSpan w:val="4"/>
            <w:shd w:val="clear" w:color="auto" w:fill="D9E2F3"/>
            <w:vAlign w:val="center"/>
          </w:tcPr>
          <w:p w14:paraId="6A7FFE55" w14:textId="77777777" w:rsidR="00990B14" w:rsidRDefault="00000000">
            <w:pPr>
              <w:numPr>
                <w:ilvl w:val="0"/>
                <w:numId w:val="140"/>
              </w:numPr>
              <w:spacing w:before="10" w:after="10"/>
              <w:jc w:val="both"/>
            </w:pPr>
            <w:r>
              <w:rPr>
                <w:sz w:val="18"/>
                <w:szCs w:val="18"/>
              </w:rPr>
              <w:t>Aprendizaje basado en problemas con transacciones de empresas bolivianas.</w:t>
            </w:r>
          </w:p>
          <w:p w14:paraId="4B4CE509" w14:textId="77777777" w:rsidR="00990B14" w:rsidRDefault="00000000">
            <w:pPr>
              <w:numPr>
                <w:ilvl w:val="0"/>
                <w:numId w:val="140"/>
              </w:numPr>
              <w:spacing w:before="10" w:after="10"/>
              <w:jc w:val="both"/>
            </w:pPr>
            <w:r>
              <w:rPr>
                <w:sz w:val="18"/>
                <w:szCs w:val="18"/>
              </w:rPr>
              <w:t>Resolución guiada de ejercicios en orden de dificultad creciente por rubro.</w:t>
            </w:r>
          </w:p>
          <w:p w14:paraId="5FFB6229" w14:textId="77777777" w:rsidR="00990B14" w:rsidRDefault="00000000">
            <w:pPr>
              <w:numPr>
                <w:ilvl w:val="0"/>
                <w:numId w:val="140"/>
              </w:numPr>
              <w:spacing w:before="10" w:after="10"/>
              <w:jc w:val="both"/>
            </w:pPr>
            <w:r>
              <w:rPr>
                <w:sz w:val="18"/>
                <w:szCs w:val="18"/>
              </w:rPr>
              <w:t>Caso práctico integral que recorre la valuación y el registro de activo, pasivo y patrimonio.</w:t>
            </w:r>
          </w:p>
          <w:p w14:paraId="49F19B35" w14:textId="77777777" w:rsidR="00990B14" w:rsidRDefault="00000000">
            <w:pPr>
              <w:numPr>
                <w:ilvl w:val="0"/>
                <w:numId w:val="140"/>
              </w:numPr>
              <w:spacing w:before="10" w:after="10"/>
              <w:jc w:val="both"/>
            </w:pPr>
            <w:r>
              <w:rPr>
                <w:sz w:val="18"/>
                <w:szCs w:val="18"/>
              </w:rPr>
              <w:t>Estudio de casos de valuación de inventarios, bienes de uso e inversiones, con identificación de sus riesgos y controles.</w:t>
            </w:r>
          </w:p>
          <w:p w14:paraId="54DC11B3" w14:textId="77777777" w:rsidR="00990B14" w:rsidRDefault="00000000">
            <w:pPr>
              <w:numPr>
                <w:ilvl w:val="0"/>
                <w:numId w:val="140"/>
              </w:numPr>
              <w:spacing w:before="10" w:after="10"/>
              <w:jc w:val="both"/>
            </w:pPr>
            <w:r>
              <w:rPr>
                <w:sz w:val="18"/>
                <w:szCs w:val="18"/>
              </w:rPr>
              <w:t>Trabajo colaborativo en equipos de arqueo, conciliación y valuación.</w:t>
            </w:r>
          </w:p>
          <w:p w14:paraId="199FEAE1" w14:textId="77777777" w:rsidR="00990B14" w:rsidRDefault="00000000">
            <w:pPr>
              <w:numPr>
                <w:ilvl w:val="0"/>
                <w:numId w:val="140"/>
              </w:numPr>
              <w:spacing w:before="10" w:after="10"/>
              <w:jc w:val="both"/>
            </w:pPr>
            <w:r>
              <w:rPr>
                <w:sz w:val="18"/>
                <w:szCs w:val="18"/>
              </w:rPr>
              <w:t>Clase invertida para los contenidos normativos y legales de cada rubro.</w:t>
            </w:r>
          </w:p>
        </w:tc>
      </w:tr>
      <w:tr w:rsidR="00990B14" w14:paraId="1777D5FF" w14:textId="77777777">
        <w:trPr>
          <w:jc w:val="center"/>
        </w:trPr>
        <w:tc>
          <w:tcPr>
            <w:tcW w:w="1780" w:type="dxa"/>
            <w:shd w:val="clear" w:color="auto" w:fill="4472C4"/>
            <w:vAlign w:val="center"/>
          </w:tcPr>
          <w:p w14:paraId="2341675C" w14:textId="77777777" w:rsidR="00990B14" w:rsidRDefault="00000000">
            <w:pPr>
              <w:spacing w:before="20" w:after="20"/>
              <w:jc w:val="center"/>
            </w:pPr>
            <w:r>
              <w:rPr>
                <w:b/>
                <w:bCs/>
                <w:i/>
                <w:iCs/>
                <w:color w:val="FFFFFF"/>
                <w:sz w:val="18"/>
                <w:szCs w:val="18"/>
              </w:rPr>
              <w:t>Recursos para el aprendizaje</w:t>
            </w:r>
          </w:p>
        </w:tc>
        <w:tc>
          <w:tcPr>
            <w:tcW w:w="7625" w:type="dxa"/>
            <w:gridSpan w:val="4"/>
            <w:shd w:val="clear" w:color="auto" w:fill="D9E2F3"/>
            <w:vAlign w:val="center"/>
          </w:tcPr>
          <w:p w14:paraId="1F270AF7" w14:textId="77777777" w:rsidR="00990B14" w:rsidRDefault="00000000">
            <w:pPr>
              <w:numPr>
                <w:ilvl w:val="0"/>
                <w:numId w:val="140"/>
              </w:numPr>
              <w:spacing w:before="10" w:after="10"/>
              <w:jc w:val="both"/>
            </w:pPr>
            <w:r>
              <w:rPr>
                <w:sz w:val="18"/>
                <w:szCs w:val="18"/>
              </w:rPr>
              <w:t>Plataforma Moodle UMSA.</w:t>
            </w:r>
          </w:p>
          <w:p w14:paraId="37DC77B4" w14:textId="77777777" w:rsidR="00990B14" w:rsidRDefault="00000000">
            <w:pPr>
              <w:numPr>
                <w:ilvl w:val="0"/>
                <w:numId w:val="140"/>
              </w:numPr>
              <w:spacing w:before="10" w:after="10"/>
              <w:jc w:val="both"/>
            </w:pPr>
            <w:r>
              <w:rPr>
                <w:sz w:val="18"/>
                <w:szCs w:val="18"/>
              </w:rPr>
              <w:t>Hoja de cálculo y sistemas contables de uso académico.</w:t>
            </w:r>
          </w:p>
          <w:p w14:paraId="1FE9034B" w14:textId="77777777" w:rsidR="00990B14" w:rsidRDefault="00000000">
            <w:pPr>
              <w:numPr>
                <w:ilvl w:val="0"/>
                <w:numId w:val="140"/>
              </w:numPr>
              <w:spacing w:before="10" w:after="10"/>
              <w:jc w:val="both"/>
            </w:pPr>
            <w:r>
              <w:rPr>
                <w:sz w:val="18"/>
                <w:szCs w:val="18"/>
              </w:rPr>
              <w:t>Guías de uso de las plataformas del Servicio de Impuestos Nacionales: facturación, Registro de Compras y Ventas y formularios del dependiente y del agente de retención.</w:t>
            </w:r>
          </w:p>
          <w:p w14:paraId="493011FD" w14:textId="77777777" w:rsidR="00990B14" w:rsidRDefault="00000000">
            <w:pPr>
              <w:numPr>
                <w:ilvl w:val="0"/>
                <w:numId w:val="140"/>
              </w:numPr>
              <w:spacing w:before="10" w:after="10"/>
              <w:jc w:val="both"/>
            </w:pPr>
            <w:r>
              <w:rPr>
                <w:sz w:val="18"/>
                <w:szCs w:val="18"/>
              </w:rPr>
              <w:t>Formularios de arqueo, conciliación bancaria, planillas de depreciación y cuadros de valuación.</w:t>
            </w:r>
          </w:p>
          <w:p w14:paraId="542EE429" w14:textId="77777777" w:rsidR="00990B14" w:rsidRDefault="00000000">
            <w:pPr>
              <w:numPr>
                <w:ilvl w:val="0"/>
                <w:numId w:val="140"/>
              </w:numPr>
              <w:spacing w:before="10" w:after="10"/>
              <w:jc w:val="both"/>
            </w:pPr>
            <w:r>
              <w:rPr>
                <w:sz w:val="18"/>
                <w:szCs w:val="18"/>
              </w:rPr>
              <w:t>Compendio de Normas de Contabilidad y Auditoría del CAUB y Normas Internacionales de Información Financiera.</w:t>
            </w:r>
          </w:p>
          <w:p w14:paraId="25F3DD27" w14:textId="77777777" w:rsidR="00990B14" w:rsidRDefault="00000000">
            <w:pPr>
              <w:numPr>
                <w:ilvl w:val="0"/>
                <w:numId w:val="140"/>
              </w:numPr>
              <w:spacing w:before="10" w:after="10"/>
              <w:jc w:val="both"/>
            </w:pPr>
            <w:r>
              <w:rPr>
                <w:sz w:val="18"/>
                <w:szCs w:val="18"/>
              </w:rPr>
              <w:t>Guías de ejercicios y casos elaborados por la cátedra.</w:t>
            </w:r>
          </w:p>
        </w:tc>
      </w:tr>
      <w:tr w:rsidR="00990B14" w14:paraId="0A121BF8" w14:textId="77777777">
        <w:trPr>
          <w:jc w:val="center"/>
        </w:trPr>
        <w:tc>
          <w:tcPr>
            <w:tcW w:w="1780" w:type="dxa"/>
            <w:shd w:val="clear" w:color="auto" w:fill="4472C4"/>
            <w:vAlign w:val="center"/>
          </w:tcPr>
          <w:p w14:paraId="6B594D48" w14:textId="77777777" w:rsidR="00990B14" w:rsidRDefault="00000000">
            <w:pPr>
              <w:spacing w:before="20" w:after="20"/>
              <w:jc w:val="center"/>
            </w:pPr>
            <w:r>
              <w:rPr>
                <w:b/>
                <w:bCs/>
                <w:i/>
                <w:iCs/>
                <w:color w:val="FFFFFF"/>
                <w:sz w:val="18"/>
                <w:szCs w:val="18"/>
              </w:rPr>
              <w:t>Estrategias de evaluación</w:t>
            </w:r>
          </w:p>
        </w:tc>
        <w:tc>
          <w:tcPr>
            <w:tcW w:w="7625" w:type="dxa"/>
            <w:gridSpan w:val="4"/>
            <w:shd w:val="clear" w:color="auto" w:fill="D9E2F3"/>
            <w:vAlign w:val="center"/>
          </w:tcPr>
          <w:p w14:paraId="5BF6C575" w14:textId="77777777" w:rsidR="00990B14" w:rsidRDefault="00000000">
            <w:pPr>
              <w:numPr>
                <w:ilvl w:val="0"/>
                <w:numId w:val="140"/>
              </w:numPr>
              <w:spacing w:before="10" w:after="10"/>
              <w:jc w:val="both"/>
            </w:pPr>
            <w:r>
              <w:rPr>
                <w:sz w:val="18"/>
                <w:szCs w:val="18"/>
              </w:rPr>
              <w:t>Evaluación diagnóstica: prueba inicial sobre la teoría de las cuentas, el registro en libros de diario y mayor y la elaboración de los estados financieros básicos de la asignatura CPA-101 Contabilidad Básica.</w:t>
            </w:r>
          </w:p>
          <w:p w14:paraId="2501EE8D" w14:textId="77777777" w:rsidR="00990B14" w:rsidRDefault="00000000">
            <w:pPr>
              <w:numPr>
                <w:ilvl w:val="0"/>
                <w:numId w:val="140"/>
              </w:numPr>
              <w:spacing w:before="10" w:after="10"/>
              <w:jc w:val="both"/>
            </w:pPr>
            <w:r>
              <w:rPr>
                <w:sz w:val="18"/>
                <w:szCs w:val="18"/>
              </w:rPr>
              <w:t>Evaluación formativa: preguntas de comprensión y desarrollo de ejercicios prácticos en el aula, con retroalimentación continua, autoevaluación y coevaluación.</w:t>
            </w:r>
          </w:p>
          <w:p w14:paraId="562950EB" w14:textId="77777777" w:rsidR="00990B14" w:rsidRDefault="00000000">
            <w:pPr>
              <w:numPr>
                <w:ilvl w:val="0"/>
                <w:numId w:val="140"/>
              </w:numPr>
              <w:spacing w:before="10" w:after="10"/>
              <w:jc w:val="both"/>
            </w:pPr>
            <w:r>
              <w:rPr>
                <w:sz w:val="18"/>
                <w:szCs w:val="18"/>
              </w:rPr>
              <w:t>Evaluación sumativa: controles de lectura y asistencia, evaluación de casos prácticos, trabajos de investigación y desarrollo, exámenes parciales y examen final.</w:t>
            </w:r>
          </w:p>
        </w:tc>
      </w:tr>
      <w:tr w:rsidR="00990B14" w14:paraId="0741EBEA" w14:textId="77777777">
        <w:trPr>
          <w:jc w:val="center"/>
        </w:trPr>
        <w:tc>
          <w:tcPr>
            <w:tcW w:w="1780" w:type="dxa"/>
            <w:shd w:val="clear" w:color="auto" w:fill="4472C4"/>
            <w:vAlign w:val="center"/>
          </w:tcPr>
          <w:p w14:paraId="73C7AF57" w14:textId="77777777" w:rsidR="00990B14" w:rsidRDefault="00000000">
            <w:pPr>
              <w:spacing w:before="20" w:after="20"/>
              <w:jc w:val="center"/>
            </w:pPr>
            <w:r>
              <w:rPr>
                <w:b/>
                <w:bCs/>
                <w:i/>
                <w:iCs/>
                <w:color w:val="FFFFFF"/>
                <w:sz w:val="18"/>
                <w:szCs w:val="18"/>
              </w:rPr>
              <w:t>Criterios de calificación</w:t>
            </w:r>
          </w:p>
        </w:tc>
        <w:tc>
          <w:tcPr>
            <w:tcW w:w="7625" w:type="dxa"/>
            <w:gridSpan w:val="4"/>
            <w:shd w:val="clear" w:color="auto" w:fill="D9E2F3"/>
            <w:vAlign w:val="center"/>
          </w:tcPr>
          <w:p w14:paraId="4E9E89ED" w14:textId="77777777" w:rsidR="00990B14" w:rsidRDefault="00000000">
            <w:pPr>
              <w:numPr>
                <w:ilvl w:val="0"/>
                <w:numId w:val="140"/>
              </w:numPr>
              <w:spacing w:before="10" w:after="10"/>
              <w:jc w:val="both"/>
            </w:pPr>
            <w:r>
              <w:rPr>
                <w:sz w:val="18"/>
                <w:szCs w:val="18"/>
              </w:rPr>
              <w:t>Nota mínima de aprobación: 51/100.</w:t>
            </w:r>
          </w:p>
          <w:p w14:paraId="331E238A" w14:textId="77777777" w:rsidR="00990B14" w:rsidRDefault="00000000">
            <w:pPr>
              <w:numPr>
                <w:ilvl w:val="0"/>
                <w:numId w:val="140"/>
              </w:numPr>
              <w:spacing w:before="10" w:after="10"/>
              <w:jc w:val="both"/>
            </w:pPr>
            <w:r>
              <w:rPr>
                <w:sz w:val="18"/>
                <w:szCs w:val="18"/>
              </w:rPr>
              <w:t>Evaluación periódica al finalizar cada tema, basada en evidencias de conocimiento, desempeño y producto.</w:t>
            </w:r>
          </w:p>
          <w:p w14:paraId="264621D4" w14:textId="77777777" w:rsidR="00990B14" w:rsidRDefault="00000000">
            <w:pPr>
              <w:numPr>
                <w:ilvl w:val="0"/>
                <w:numId w:val="140"/>
              </w:numPr>
              <w:spacing w:before="10" w:after="10"/>
              <w:jc w:val="both"/>
            </w:pPr>
            <w:r>
              <w:rPr>
                <w:sz w:val="18"/>
                <w:szCs w:val="18"/>
              </w:rPr>
              <w:t>Cada evidencia de producto se evalúa con su propia rúbrica de tres niveles: Insuficiente, Suficiente y Destacado.</w:t>
            </w:r>
          </w:p>
          <w:p w14:paraId="6B8C7A6F" w14:textId="77777777" w:rsidR="00990B14" w:rsidRDefault="00000000">
            <w:pPr>
              <w:numPr>
                <w:ilvl w:val="0"/>
                <w:numId w:val="140"/>
              </w:numPr>
              <w:spacing w:before="10" w:after="10"/>
              <w:jc w:val="both"/>
            </w:pPr>
            <w:r>
              <w:rPr>
                <w:sz w:val="18"/>
                <w:szCs w:val="18"/>
              </w:rPr>
              <w:t>La calificación de cada elemento de competencia suma las calificaciones de sus evidencias de producto.</w:t>
            </w:r>
          </w:p>
        </w:tc>
      </w:tr>
      <w:tr w:rsidR="00990B14" w14:paraId="18AE827B" w14:textId="77777777">
        <w:trPr>
          <w:cantSplit/>
          <w:jc w:val="center"/>
        </w:trPr>
        <w:tc>
          <w:tcPr>
            <w:tcW w:w="1780" w:type="dxa"/>
            <w:vMerge w:val="restart"/>
            <w:shd w:val="clear" w:color="auto" w:fill="4472C4"/>
            <w:vAlign w:val="center"/>
          </w:tcPr>
          <w:p w14:paraId="07041F97" w14:textId="77777777" w:rsidR="00990B14" w:rsidRDefault="00000000">
            <w:pPr>
              <w:spacing w:before="20" w:after="20"/>
              <w:jc w:val="center"/>
            </w:pPr>
            <w:r>
              <w:rPr>
                <w:b/>
                <w:bCs/>
                <w:i/>
                <w:iCs/>
                <w:color w:val="FFFFFF"/>
                <w:sz w:val="18"/>
                <w:szCs w:val="18"/>
              </w:rPr>
              <w:t>Niveles de logro y distribución de la calificación</w:t>
            </w:r>
          </w:p>
        </w:tc>
        <w:tc>
          <w:tcPr>
            <w:tcW w:w="5770" w:type="dxa"/>
            <w:gridSpan w:val="3"/>
            <w:shd w:val="clear" w:color="auto" w:fill="D9E2F3"/>
            <w:vAlign w:val="center"/>
          </w:tcPr>
          <w:p w14:paraId="443CA472" w14:textId="77777777" w:rsidR="00990B14" w:rsidRDefault="00000000">
            <w:pPr>
              <w:keepNext/>
              <w:spacing w:before="20" w:after="20"/>
              <w:jc w:val="both"/>
            </w:pPr>
            <w:r>
              <w:rPr>
                <w:b/>
                <w:bCs/>
                <w:i/>
                <w:iCs/>
                <w:sz w:val="18"/>
                <w:szCs w:val="18"/>
              </w:rPr>
              <w:t xml:space="preserve">Producto 1: </w:t>
            </w:r>
            <w:r>
              <w:rPr>
                <w:sz w:val="18"/>
                <w:szCs w:val="18"/>
              </w:rPr>
              <w:t>Planilla de arqueo de caja chica</w:t>
            </w:r>
          </w:p>
        </w:tc>
        <w:tc>
          <w:tcPr>
            <w:tcW w:w="1855" w:type="dxa"/>
            <w:shd w:val="clear" w:color="auto" w:fill="D9E2F3"/>
            <w:vAlign w:val="center"/>
          </w:tcPr>
          <w:p w14:paraId="657D72EB" w14:textId="77777777" w:rsidR="00990B14" w:rsidRDefault="00000000">
            <w:pPr>
              <w:spacing w:before="20" w:after="20"/>
              <w:jc w:val="center"/>
            </w:pPr>
            <w:r>
              <w:rPr>
                <w:b/>
                <w:bCs/>
                <w:sz w:val="18"/>
                <w:szCs w:val="18"/>
              </w:rPr>
              <w:t>2%</w:t>
            </w:r>
          </w:p>
        </w:tc>
      </w:tr>
      <w:tr w:rsidR="00990B14" w14:paraId="0D821FA7" w14:textId="77777777">
        <w:trPr>
          <w:cantSplit/>
          <w:jc w:val="center"/>
        </w:trPr>
        <w:tc>
          <w:tcPr>
            <w:tcW w:w="1780" w:type="dxa"/>
            <w:vMerge/>
            <w:shd w:val="clear" w:color="auto" w:fill="4472C4"/>
            <w:vAlign w:val="center"/>
          </w:tcPr>
          <w:p w14:paraId="79D06BBE" w14:textId="77777777" w:rsidR="00990B14" w:rsidRDefault="00990B14">
            <w:pPr>
              <w:spacing w:before="20" w:after="20"/>
            </w:pPr>
          </w:p>
        </w:tc>
        <w:tc>
          <w:tcPr>
            <w:tcW w:w="1825" w:type="dxa"/>
            <w:shd w:val="clear" w:color="auto" w:fill="4472C4"/>
            <w:vAlign w:val="center"/>
          </w:tcPr>
          <w:p w14:paraId="4BC247AB" w14:textId="77777777" w:rsidR="00990B14" w:rsidRDefault="00000000">
            <w:pPr>
              <w:keepNext/>
              <w:spacing w:before="20" w:after="20"/>
              <w:jc w:val="center"/>
            </w:pPr>
            <w:r>
              <w:rPr>
                <w:b/>
                <w:bCs/>
                <w:i/>
                <w:iCs/>
                <w:color w:val="FFFFFF"/>
                <w:sz w:val="18"/>
                <w:szCs w:val="18"/>
              </w:rPr>
              <w:t>Criterio</w:t>
            </w:r>
          </w:p>
        </w:tc>
        <w:tc>
          <w:tcPr>
            <w:tcW w:w="1825" w:type="dxa"/>
            <w:shd w:val="clear" w:color="auto" w:fill="4472C4"/>
            <w:vAlign w:val="center"/>
          </w:tcPr>
          <w:p w14:paraId="77443778" w14:textId="77777777" w:rsidR="00990B14" w:rsidRDefault="00000000">
            <w:pPr>
              <w:keepNext/>
              <w:spacing w:before="20" w:after="20"/>
              <w:jc w:val="center"/>
            </w:pPr>
            <w:r>
              <w:rPr>
                <w:b/>
                <w:bCs/>
                <w:i/>
                <w:iCs/>
                <w:color w:val="FFFFFF"/>
                <w:sz w:val="18"/>
                <w:szCs w:val="18"/>
              </w:rPr>
              <w:t>Insuficiente (1–50)</w:t>
            </w:r>
          </w:p>
        </w:tc>
        <w:tc>
          <w:tcPr>
            <w:tcW w:w="2120" w:type="dxa"/>
            <w:shd w:val="clear" w:color="auto" w:fill="4472C4"/>
            <w:vAlign w:val="center"/>
          </w:tcPr>
          <w:p w14:paraId="0F10FA52" w14:textId="77777777" w:rsidR="00990B14" w:rsidRDefault="00000000">
            <w:pPr>
              <w:keepNext/>
              <w:spacing w:before="20" w:after="20"/>
              <w:jc w:val="center"/>
            </w:pPr>
            <w:r>
              <w:rPr>
                <w:b/>
                <w:bCs/>
                <w:i/>
                <w:iCs/>
                <w:color w:val="FFFFFF"/>
                <w:sz w:val="18"/>
                <w:szCs w:val="18"/>
              </w:rPr>
              <w:t>Suficiente (51–80)</w:t>
            </w:r>
          </w:p>
        </w:tc>
        <w:tc>
          <w:tcPr>
            <w:tcW w:w="1855" w:type="dxa"/>
            <w:shd w:val="clear" w:color="auto" w:fill="4472C4"/>
            <w:vAlign w:val="center"/>
          </w:tcPr>
          <w:p w14:paraId="195FDBDB" w14:textId="77777777" w:rsidR="00990B14" w:rsidRDefault="00000000">
            <w:pPr>
              <w:keepNext/>
              <w:spacing w:before="20" w:after="20"/>
              <w:jc w:val="center"/>
            </w:pPr>
            <w:r>
              <w:rPr>
                <w:b/>
                <w:bCs/>
                <w:i/>
                <w:iCs/>
                <w:color w:val="FFFFFF"/>
                <w:sz w:val="18"/>
                <w:szCs w:val="18"/>
              </w:rPr>
              <w:t>Destacado (81–100)</w:t>
            </w:r>
          </w:p>
        </w:tc>
      </w:tr>
      <w:tr w:rsidR="00990B14" w14:paraId="480BA511" w14:textId="77777777">
        <w:trPr>
          <w:cantSplit/>
          <w:jc w:val="center"/>
        </w:trPr>
        <w:tc>
          <w:tcPr>
            <w:tcW w:w="1780" w:type="dxa"/>
            <w:vMerge/>
            <w:shd w:val="clear" w:color="auto" w:fill="4472C4"/>
            <w:vAlign w:val="center"/>
          </w:tcPr>
          <w:p w14:paraId="5404FAE5" w14:textId="77777777" w:rsidR="00990B14" w:rsidRDefault="00990B14">
            <w:pPr>
              <w:spacing w:before="20" w:after="20"/>
            </w:pPr>
          </w:p>
        </w:tc>
        <w:tc>
          <w:tcPr>
            <w:tcW w:w="1825" w:type="dxa"/>
            <w:shd w:val="clear" w:color="auto" w:fill="D9E2F3"/>
            <w:vAlign w:val="center"/>
          </w:tcPr>
          <w:p w14:paraId="5E1A09FE" w14:textId="77777777" w:rsidR="00990B14" w:rsidRDefault="00000000">
            <w:pPr>
              <w:spacing w:before="20" w:after="20"/>
              <w:jc w:val="both"/>
            </w:pPr>
            <w:r>
              <w:rPr>
                <w:sz w:val="18"/>
                <w:szCs w:val="18"/>
              </w:rPr>
              <w:t>Recuento del efectivo</w:t>
            </w:r>
          </w:p>
        </w:tc>
        <w:tc>
          <w:tcPr>
            <w:tcW w:w="1825" w:type="dxa"/>
            <w:shd w:val="clear" w:color="auto" w:fill="D9E2F3"/>
            <w:vAlign w:val="center"/>
          </w:tcPr>
          <w:p w14:paraId="27FE3735" w14:textId="77777777" w:rsidR="00990B14" w:rsidRDefault="00000000">
            <w:pPr>
              <w:spacing w:before="20" w:after="20"/>
              <w:jc w:val="both"/>
            </w:pPr>
            <w:r>
              <w:rPr>
                <w:sz w:val="18"/>
                <w:szCs w:val="18"/>
              </w:rPr>
              <w:t>Omite billetes, monedas o comprobantes.</w:t>
            </w:r>
          </w:p>
        </w:tc>
        <w:tc>
          <w:tcPr>
            <w:tcW w:w="2120" w:type="dxa"/>
            <w:shd w:val="clear" w:color="auto" w:fill="D9E2F3"/>
            <w:vAlign w:val="center"/>
          </w:tcPr>
          <w:p w14:paraId="5E98AF3D" w14:textId="77777777" w:rsidR="00990B14" w:rsidRDefault="00000000">
            <w:pPr>
              <w:spacing w:before="20" w:after="20"/>
              <w:jc w:val="both"/>
            </w:pPr>
            <w:r>
              <w:rPr>
                <w:sz w:val="18"/>
                <w:szCs w:val="18"/>
              </w:rPr>
              <w:t>Cuenta y clasifica el efectivo y los comprobantes del fondo.</w:t>
            </w:r>
          </w:p>
        </w:tc>
        <w:tc>
          <w:tcPr>
            <w:tcW w:w="1855" w:type="dxa"/>
            <w:shd w:val="clear" w:color="auto" w:fill="D9E2F3"/>
            <w:vAlign w:val="center"/>
          </w:tcPr>
          <w:p w14:paraId="22879FD6" w14:textId="77777777" w:rsidR="00990B14" w:rsidRDefault="00000000">
            <w:pPr>
              <w:spacing w:before="20" w:after="20"/>
              <w:jc w:val="both"/>
            </w:pPr>
            <w:r>
              <w:rPr>
                <w:sz w:val="18"/>
                <w:szCs w:val="18"/>
              </w:rPr>
              <w:t>Verifica la validez de cada comprobante antes de cerrar el arqueo.</w:t>
            </w:r>
          </w:p>
        </w:tc>
      </w:tr>
      <w:tr w:rsidR="00990B14" w14:paraId="515ECDC3" w14:textId="77777777">
        <w:trPr>
          <w:cantSplit/>
          <w:jc w:val="center"/>
        </w:trPr>
        <w:tc>
          <w:tcPr>
            <w:tcW w:w="1780" w:type="dxa"/>
            <w:vMerge/>
            <w:shd w:val="clear" w:color="auto" w:fill="4472C4"/>
            <w:vAlign w:val="center"/>
          </w:tcPr>
          <w:p w14:paraId="01C84C3B" w14:textId="77777777" w:rsidR="00990B14" w:rsidRDefault="00990B14">
            <w:pPr>
              <w:spacing w:before="20" w:after="20"/>
            </w:pPr>
          </w:p>
        </w:tc>
        <w:tc>
          <w:tcPr>
            <w:tcW w:w="1825" w:type="dxa"/>
            <w:shd w:val="clear" w:color="auto" w:fill="D9E2F3"/>
            <w:vAlign w:val="center"/>
          </w:tcPr>
          <w:p w14:paraId="7C2118BF" w14:textId="77777777" w:rsidR="00990B14" w:rsidRDefault="00000000">
            <w:pPr>
              <w:spacing w:before="20" w:after="20"/>
              <w:jc w:val="both"/>
            </w:pPr>
            <w:r>
              <w:rPr>
                <w:sz w:val="18"/>
                <w:szCs w:val="18"/>
              </w:rPr>
              <w:t>Determinación de diferencias</w:t>
            </w:r>
          </w:p>
        </w:tc>
        <w:tc>
          <w:tcPr>
            <w:tcW w:w="1825" w:type="dxa"/>
            <w:shd w:val="clear" w:color="auto" w:fill="D9E2F3"/>
            <w:vAlign w:val="center"/>
          </w:tcPr>
          <w:p w14:paraId="1CBF42C4" w14:textId="77777777" w:rsidR="00990B14" w:rsidRDefault="00000000">
            <w:pPr>
              <w:spacing w:before="20" w:after="20"/>
              <w:jc w:val="both"/>
            </w:pPr>
            <w:r>
              <w:rPr>
                <w:sz w:val="18"/>
                <w:szCs w:val="18"/>
              </w:rPr>
              <w:t>No determina el faltante o el sobrante.</w:t>
            </w:r>
          </w:p>
        </w:tc>
        <w:tc>
          <w:tcPr>
            <w:tcW w:w="2120" w:type="dxa"/>
            <w:shd w:val="clear" w:color="auto" w:fill="D9E2F3"/>
            <w:vAlign w:val="center"/>
          </w:tcPr>
          <w:p w14:paraId="7071087B" w14:textId="77777777" w:rsidR="00990B14" w:rsidRDefault="00000000">
            <w:pPr>
              <w:spacing w:before="20" w:after="20"/>
              <w:jc w:val="both"/>
            </w:pPr>
            <w:r>
              <w:rPr>
                <w:sz w:val="18"/>
                <w:szCs w:val="18"/>
              </w:rPr>
              <w:t>Determina las diferencias y la responsabilidad del custodio.</w:t>
            </w:r>
          </w:p>
        </w:tc>
        <w:tc>
          <w:tcPr>
            <w:tcW w:w="1855" w:type="dxa"/>
            <w:shd w:val="clear" w:color="auto" w:fill="D9E2F3"/>
            <w:vAlign w:val="center"/>
          </w:tcPr>
          <w:p w14:paraId="3B5F4820" w14:textId="77777777" w:rsidR="00990B14" w:rsidRDefault="00000000">
            <w:pPr>
              <w:spacing w:before="20" w:after="20"/>
              <w:jc w:val="both"/>
            </w:pPr>
            <w:r>
              <w:rPr>
                <w:sz w:val="18"/>
                <w:szCs w:val="18"/>
              </w:rPr>
              <w:t>Explica la causa probable de cada diferencia.</w:t>
            </w:r>
          </w:p>
        </w:tc>
      </w:tr>
      <w:tr w:rsidR="00990B14" w14:paraId="242EA95B" w14:textId="77777777">
        <w:trPr>
          <w:cantSplit/>
          <w:jc w:val="center"/>
        </w:trPr>
        <w:tc>
          <w:tcPr>
            <w:tcW w:w="1780" w:type="dxa"/>
            <w:vMerge/>
            <w:shd w:val="clear" w:color="auto" w:fill="4472C4"/>
            <w:vAlign w:val="center"/>
          </w:tcPr>
          <w:p w14:paraId="3D089F63" w14:textId="77777777" w:rsidR="00990B14" w:rsidRDefault="00990B14">
            <w:pPr>
              <w:spacing w:before="20" w:after="20"/>
            </w:pPr>
          </w:p>
        </w:tc>
        <w:tc>
          <w:tcPr>
            <w:tcW w:w="1825" w:type="dxa"/>
            <w:shd w:val="clear" w:color="auto" w:fill="D9E2F3"/>
            <w:vAlign w:val="center"/>
          </w:tcPr>
          <w:p w14:paraId="0ED761E0" w14:textId="77777777" w:rsidR="00990B14" w:rsidRDefault="00000000">
            <w:pPr>
              <w:spacing w:before="20" w:after="20"/>
              <w:jc w:val="both"/>
            </w:pPr>
            <w:r>
              <w:rPr>
                <w:sz w:val="18"/>
                <w:szCs w:val="18"/>
              </w:rPr>
              <w:t>Asiento de reposición</w:t>
            </w:r>
          </w:p>
        </w:tc>
        <w:tc>
          <w:tcPr>
            <w:tcW w:w="1825" w:type="dxa"/>
            <w:shd w:val="clear" w:color="auto" w:fill="D9E2F3"/>
            <w:vAlign w:val="center"/>
          </w:tcPr>
          <w:p w14:paraId="77D277BB" w14:textId="77777777" w:rsidR="00990B14" w:rsidRDefault="00000000">
            <w:pPr>
              <w:spacing w:before="20" w:after="20"/>
              <w:jc w:val="both"/>
            </w:pPr>
            <w:r>
              <w:rPr>
                <w:sz w:val="18"/>
                <w:szCs w:val="18"/>
              </w:rPr>
              <w:t>Registra la reposición con errores.</w:t>
            </w:r>
          </w:p>
        </w:tc>
        <w:tc>
          <w:tcPr>
            <w:tcW w:w="2120" w:type="dxa"/>
            <w:shd w:val="clear" w:color="auto" w:fill="D9E2F3"/>
            <w:vAlign w:val="center"/>
          </w:tcPr>
          <w:p w14:paraId="60484B53" w14:textId="77777777" w:rsidR="00990B14" w:rsidRDefault="00000000">
            <w:pPr>
              <w:spacing w:before="20" w:after="20"/>
              <w:jc w:val="both"/>
            </w:pPr>
            <w:r>
              <w:rPr>
                <w:sz w:val="18"/>
                <w:szCs w:val="18"/>
              </w:rPr>
              <w:t>Registra correctamente la reposición del fondo.</w:t>
            </w:r>
          </w:p>
        </w:tc>
        <w:tc>
          <w:tcPr>
            <w:tcW w:w="1855" w:type="dxa"/>
            <w:shd w:val="clear" w:color="auto" w:fill="D9E2F3"/>
            <w:vAlign w:val="center"/>
          </w:tcPr>
          <w:p w14:paraId="507E9BDF" w14:textId="77777777" w:rsidR="00990B14" w:rsidRDefault="00000000">
            <w:pPr>
              <w:spacing w:before="20" w:after="20"/>
              <w:jc w:val="both"/>
            </w:pPr>
            <w:r>
              <w:rPr>
                <w:sz w:val="18"/>
                <w:szCs w:val="18"/>
              </w:rPr>
              <w:t>Sugiere ajustar el monto del fondo según su rotación.</w:t>
            </w:r>
          </w:p>
        </w:tc>
      </w:tr>
      <w:tr w:rsidR="00990B14" w14:paraId="2E692C94" w14:textId="77777777">
        <w:trPr>
          <w:cantSplit/>
          <w:jc w:val="center"/>
        </w:trPr>
        <w:tc>
          <w:tcPr>
            <w:tcW w:w="1780" w:type="dxa"/>
            <w:vMerge/>
            <w:shd w:val="clear" w:color="auto" w:fill="4472C4"/>
            <w:vAlign w:val="center"/>
          </w:tcPr>
          <w:p w14:paraId="2D23DEC1" w14:textId="77777777" w:rsidR="00990B14" w:rsidRDefault="00990B14">
            <w:pPr>
              <w:spacing w:before="20" w:after="20"/>
            </w:pPr>
          </w:p>
        </w:tc>
        <w:tc>
          <w:tcPr>
            <w:tcW w:w="5770" w:type="dxa"/>
            <w:gridSpan w:val="3"/>
            <w:shd w:val="clear" w:color="auto" w:fill="D9E2F3"/>
            <w:vAlign w:val="center"/>
          </w:tcPr>
          <w:p w14:paraId="54254BA8" w14:textId="77777777" w:rsidR="00990B14" w:rsidRDefault="00000000">
            <w:pPr>
              <w:keepNext/>
              <w:spacing w:before="20" w:after="20"/>
              <w:jc w:val="both"/>
            </w:pPr>
            <w:r>
              <w:rPr>
                <w:b/>
                <w:bCs/>
                <w:i/>
                <w:iCs/>
                <w:sz w:val="18"/>
                <w:szCs w:val="18"/>
              </w:rPr>
              <w:t xml:space="preserve">Producto 2: </w:t>
            </w:r>
            <w:r>
              <w:rPr>
                <w:sz w:val="18"/>
                <w:szCs w:val="18"/>
              </w:rPr>
              <w:t>Libro de registro de caja</w:t>
            </w:r>
          </w:p>
        </w:tc>
        <w:tc>
          <w:tcPr>
            <w:tcW w:w="1855" w:type="dxa"/>
            <w:shd w:val="clear" w:color="auto" w:fill="D9E2F3"/>
            <w:vAlign w:val="center"/>
          </w:tcPr>
          <w:p w14:paraId="35D4590E" w14:textId="77777777" w:rsidR="00990B14" w:rsidRDefault="00000000">
            <w:pPr>
              <w:spacing w:before="20" w:after="20"/>
              <w:jc w:val="center"/>
            </w:pPr>
            <w:r>
              <w:rPr>
                <w:b/>
                <w:bCs/>
                <w:sz w:val="18"/>
                <w:szCs w:val="18"/>
              </w:rPr>
              <w:t>2%</w:t>
            </w:r>
          </w:p>
        </w:tc>
      </w:tr>
      <w:tr w:rsidR="00990B14" w14:paraId="7C16A603" w14:textId="77777777">
        <w:trPr>
          <w:cantSplit/>
          <w:jc w:val="center"/>
        </w:trPr>
        <w:tc>
          <w:tcPr>
            <w:tcW w:w="1780" w:type="dxa"/>
            <w:vMerge/>
            <w:shd w:val="clear" w:color="auto" w:fill="4472C4"/>
            <w:vAlign w:val="center"/>
          </w:tcPr>
          <w:p w14:paraId="13DFEFFA" w14:textId="77777777" w:rsidR="00990B14" w:rsidRDefault="00990B14">
            <w:pPr>
              <w:spacing w:before="20" w:after="20"/>
            </w:pPr>
          </w:p>
        </w:tc>
        <w:tc>
          <w:tcPr>
            <w:tcW w:w="1825" w:type="dxa"/>
            <w:shd w:val="clear" w:color="auto" w:fill="4472C4"/>
            <w:vAlign w:val="center"/>
          </w:tcPr>
          <w:p w14:paraId="110604DE" w14:textId="77777777" w:rsidR="00990B14" w:rsidRDefault="00000000">
            <w:pPr>
              <w:keepNext/>
              <w:spacing w:before="20" w:after="20"/>
              <w:jc w:val="center"/>
            </w:pPr>
            <w:r>
              <w:rPr>
                <w:b/>
                <w:bCs/>
                <w:i/>
                <w:iCs/>
                <w:color w:val="FFFFFF"/>
                <w:sz w:val="18"/>
                <w:szCs w:val="18"/>
              </w:rPr>
              <w:t>Criterio</w:t>
            </w:r>
          </w:p>
        </w:tc>
        <w:tc>
          <w:tcPr>
            <w:tcW w:w="1825" w:type="dxa"/>
            <w:shd w:val="clear" w:color="auto" w:fill="4472C4"/>
            <w:vAlign w:val="center"/>
          </w:tcPr>
          <w:p w14:paraId="2EF57138" w14:textId="77777777" w:rsidR="00990B14" w:rsidRDefault="00000000">
            <w:pPr>
              <w:keepNext/>
              <w:spacing w:before="20" w:after="20"/>
              <w:jc w:val="center"/>
            </w:pPr>
            <w:r>
              <w:rPr>
                <w:b/>
                <w:bCs/>
                <w:i/>
                <w:iCs/>
                <w:color w:val="FFFFFF"/>
                <w:sz w:val="18"/>
                <w:szCs w:val="18"/>
              </w:rPr>
              <w:t>Insuficiente (1–50)</w:t>
            </w:r>
          </w:p>
        </w:tc>
        <w:tc>
          <w:tcPr>
            <w:tcW w:w="2120" w:type="dxa"/>
            <w:shd w:val="clear" w:color="auto" w:fill="4472C4"/>
            <w:vAlign w:val="center"/>
          </w:tcPr>
          <w:p w14:paraId="19055081" w14:textId="77777777" w:rsidR="00990B14" w:rsidRDefault="00000000">
            <w:pPr>
              <w:keepNext/>
              <w:spacing w:before="20" w:after="20"/>
              <w:jc w:val="center"/>
            </w:pPr>
            <w:r>
              <w:rPr>
                <w:b/>
                <w:bCs/>
                <w:i/>
                <w:iCs/>
                <w:color w:val="FFFFFF"/>
                <w:sz w:val="18"/>
                <w:szCs w:val="18"/>
              </w:rPr>
              <w:t>Suficiente (51–80)</w:t>
            </w:r>
          </w:p>
        </w:tc>
        <w:tc>
          <w:tcPr>
            <w:tcW w:w="1855" w:type="dxa"/>
            <w:shd w:val="clear" w:color="auto" w:fill="4472C4"/>
            <w:vAlign w:val="center"/>
          </w:tcPr>
          <w:p w14:paraId="7BEE3290" w14:textId="77777777" w:rsidR="00990B14" w:rsidRDefault="00000000">
            <w:pPr>
              <w:keepNext/>
              <w:spacing w:before="20" w:after="20"/>
              <w:jc w:val="center"/>
            </w:pPr>
            <w:r>
              <w:rPr>
                <w:b/>
                <w:bCs/>
                <w:i/>
                <w:iCs/>
                <w:color w:val="FFFFFF"/>
                <w:sz w:val="18"/>
                <w:szCs w:val="18"/>
              </w:rPr>
              <w:t>Destacado (81–100)</w:t>
            </w:r>
          </w:p>
        </w:tc>
      </w:tr>
      <w:tr w:rsidR="00990B14" w14:paraId="1B171BEE" w14:textId="77777777">
        <w:trPr>
          <w:cantSplit/>
          <w:jc w:val="center"/>
        </w:trPr>
        <w:tc>
          <w:tcPr>
            <w:tcW w:w="1780" w:type="dxa"/>
            <w:vMerge/>
            <w:shd w:val="clear" w:color="auto" w:fill="4472C4"/>
            <w:vAlign w:val="center"/>
          </w:tcPr>
          <w:p w14:paraId="0BEBA9EB" w14:textId="77777777" w:rsidR="00990B14" w:rsidRDefault="00990B14">
            <w:pPr>
              <w:spacing w:before="20" w:after="20"/>
            </w:pPr>
          </w:p>
        </w:tc>
        <w:tc>
          <w:tcPr>
            <w:tcW w:w="1825" w:type="dxa"/>
            <w:shd w:val="clear" w:color="auto" w:fill="D9E2F3"/>
            <w:vAlign w:val="center"/>
          </w:tcPr>
          <w:p w14:paraId="6AE25457" w14:textId="77777777" w:rsidR="00990B14" w:rsidRDefault="00000000">
            <w:pPr>
              <w:spacing w:before="20" w:after="20"/>
              <w:jc w:val="both"/>
            </w:pPr>
            <w:r>
              <w:rPr>
                <w:sz w:val="18"/>
                <w:szCs w:val="18"/>
              </w:rPr>
              <w:t>Ingresos y egresos</w:t>
            </w:r>
          </w:p>
        </w:tc>
        <w:tc>
          <w:tcPr>
            <w:tcW w:w="1825" w:type="dxa"/>
            <w:shd w:val="clear" w:color="auto" w:fill="D9E2F3"/>
            <w:vAlign w:val="center"/>
          </w:tcPr>
          <w:p w14:paraId="07CA81C0" w14:textId="77777777" w:rsidR="00990B14" w:rsidRDefault="00000000">
            <w:pPr>
              <w:spacing w:before="20" w:after="20"/>
              <w:jc w:val="both"/>
            </w:pPr>
            <w:r>
              <w:rPr>
                <w:sz w:val="18"/>
                <w:szCs w:val="18"/>
              </w:rPr>
              <w:t>Omite operaciones del periodo.</w:t>
            </w:r>
          </w:p>
        </w:tc>
        <w:tc>
          <w:tcPr>
            <w:tcW w:w="2120" w:type="dxa"/>
            <w:shd w:val="clear" w:color="auto" w:fill="D9E2F3"/>
            <w:vAlign w:val="center"/>
          </w:tcPr>
          <w:p w14:paraId="7EE044D7" w14:textId="77777777" w:rsidR="00990B14" w:rsidRDefault="00000000">
            <w:pPr>
              <w:spacing w:before="20" w:after="20"/>
              <w:jc w:val="both"/>
            </w:pPr>
            <w:r>
              <w:rPr>
                <w:sz w:val="18"/>
                <w:szCs w:val="18"/>
              </w:rPr>
              <w:t>Registra todos los ingresos y egresos con su respaldo.</w:t>
            </w:r>
          </w:p>
        </w:tc>
        <w:tc>
          <w:tcPr>
            <w:tcW w:w="1855" w:type="dxa"/>
            <w:shd w:val="clear" w:color="auto" w:fill="D9E2F3"/>
            <w:vAlign w:val="center"/>
          </w:tcPr>
          <w:p w14:paraId="7CBDDEBE" w14:textId="77777777" w:rsidR="00990B14" w:rsidRDefault="00000000">
            <w:pPr>
              <w:spacing w:before="20" w:after="20"/>
              <w:jc w:val="both"/>
            </w:pPr>
            <w:r>
              <w:rPr>
                <w:sz w:val="18"/>
                <w:szCs w:val="18"/>
              </w:rPr>
              <w:t>Ordena el registro por fecha y tipo de documento.</w:t>
            </w:r>
          </w:p>
        </w:tc>
      </w:tr>
      <w:tr w:rsidR="00990B14" w14:paraId="2C6B7106" w14:textId="77777777">
        <w:trPr>
          <w:cantSplit/>
          <w:jc w:val="center"/>
        </w:trPr>
        <w:tc>
          <w:tcPr>
            <w:tcW w:w="1780" w:type="dxa"/>
            <w:vMerge/>
            <w:shd w:val="clear" w:color="auto" w:fill="4472C4"/>
            <w:vAlign w:val="center"/>
          </w:tcPr>
          <w:p w14:paraId="60974B81" w14:textId="77777777" w:rsidR="00990B14" w:rsidRDefault="00990B14">
            <w:pPr>
              <w:spacing w:before="20" w:after="20"/>
            </w:pPr>
          </w:p>
        </w:tc>
        <w:tc>
          <w:tcPr>
            <w:tcW w:w="1825" w:type="dxa"/>
            <w:shd w:val="clear" w:color="auto" w:fill="D9E2F3"/>
            <w:vAlign w:val="center"/>
          </w:tcPr>
          <w:p w14:paraId="27389019" w14:textId="77777777" w:rsidR="00990B14" w:rsidRDefault="00000000">
            <w:pPr>
              <w:spacing w:before="20" w:after="20"/>
              <w:jc w:val="both"/>
            </w:pPr>
            <w:r>
              <w:rPr>
                <w:sz w:val="18"/>
                <w:szCs w:val="18"/>
              </w:rPr>
              <w:t>Asientos de incorporación</w:t>
            </w:r>
          </w:p>
        </w:tc>
        <w:tc>
          <w:tcPr>
            <w:tcW w:w="1825" w:type="dxa"/>
            <w:shd w:val="clear" w:color="auto" w:fill="D9E2F3"/>
            <w:vAlign w:val="center"/>
          </w:tcPr>
          <w:p w14:paraId="3FFCC8B4" w14:textId="77777777" w:rsidR="00990B14" w:rsidRDefault="00000000">
            <w:pPr>
              <w:spacing w:before="20" w:after="20"/>
              <w:jc w:val="both"/>
            </w:pPr>
            <w:r>
              <w:rPr>
                <w:sz w:val="18"/>
                <w:szCs w:val="18"/>
              </w:rPr>
              <w:t>Confunde las cuentas del asiento.</w:t>
            </w:r>
          </w:p>
        </w:tc>
        <w:tc>
          <w:tcPr>
            <w:tcW w:w="2120" w:type="dxa"/>
            <w:shd w:val="clear" w:color="auto" w:fill="D9E2F3"/>
            <w:vAlign w:val="center"/>
          </w:tcPr>
          <w:p w14:paraId="5FAC6F04" w14:textId="77777777" w:rsidR="00990B14" w:rsidRDefault="00000000">
            <w:pPr>
              <w:spacing w:before="20" w:after="20"/>
              <w:jc w:val="both"/>
            </w:pPr>
            <w:r>
              <w:rPr>
                <w:sz w:val="18"/>
                <w:szCs w:val="18"/>
              </w:rPr>
              <w:t>Registra correctamente los asientos de incorporación.</w:t>
            </w:r>
          </w:p>
        </w:tc>
        <w:tc>
          <w:tcPr>
            <w:tcW w:w="1855" w:type="dxa"/>
            <w:shd w:val="clear" w:color="auto" w:fill="D9E2F3"/>
            <w:vAlign w:val="center"/>
          </w:tcPr>
          <w:p w14:paraId="752BCD2F" w14:textId="77777777" w:rsidR="00990B14" w:rsidRDefault="00000000">
            <w:pPr>
              <w:spacing w:before="20" w:after="20"/>
              <w:jc w:val="both"/>
            </w:pPr>
            <w:r>
              <w:rPr>
                <w:sz w:val="18"/>
                <w:szCs w:val="18"/>
              </w:rPr>
              <w:t>Comprueba el saldo de caja con el arqueo.</w:t>
            </w:r>
          </w:p>
        </w:tc>
      </w:tr>
      <w:tr w:rsidR="00990B14" w14:paraId="19EDAB31" w14:textId="77777777">
        <w:trPr>
          <w:cantSplit/>
          <w:jc w:val="center"/>
        </w:trPr>
        <w:tc>
          <w:tcPr>
            <w:tcW w:w="1780" w:type="dxa"/>
            <w:vMerge/>
            <w:shd w:val="clear" w:color="auto" w:fill="4472C4"/>
            <w:vAlign w:val="center"/>
          </w:tcPr>
          <w:p w14:paraId="30DBAADA" w14:textId="77777777" w:rsidR="00990B14" w:rsidRDefault="00990B14">
            <w:pPr>
              <w:spacing w:before="20" w:after="20"/>
            </w:pPr>
          </w:p>
        </w:tc>
        <w:tc>
          <w:tcPr>
            <w:tcW w:w="1825" w:type="dxa"/>
            <w:shd w:val="clear" w:color="auto" w:fill="D9E2F3"/>
            <w:vAlign w:val="center"/>
          </w:tcPr>
          <w:p w14:paraId="76364575" w14:textId="77777777" w:rsidR="00990B14" w:rsidRDefault="00000000">
            <w:pPr>
              <w:spacing w:before="20" w:after="20"/>
              <w:jc w:val="both"/>
            </w:pPr>
            <w:r>
              <w:rPr>
                <w:sz w:val="18"/>
                <w:szCs w:val="18"/>
              </w:rPr>
              <w:t>Control interno</w:t>
            </w:r>
          </w:p>
        </w:tc>
        <w:tc>
          <w:tcPr>
            <w:tcW w:w="1825" w:type="dxa"/>
            <w:shd w:val="clear" w:color="auto" w:fill="D9E2F3"/>
            <w:vAlign w:val="center"/>
          </w:tcPr>
          <w:p w14:paraId="1B1398A9" w14:textId="77777777" w:rsidR="00990B14" w:rsidRDefault="00000000">
            <w:pPr>
              <w:spacing w:before="20" w:after="20"/>
              <w:jc w:val="both"/>
            </w:pPr>
            <w:r>
              <w:rPr>
                <w:sz w:val="18"/>
                <w:szCs w:val="18"/>
              </w:rPr>
              <w:t>No identifica controles del efectivo.</w:t>
            </w:r>
          </w:p>
        </w:tc>
        <w:tc>
          <w:tcPr>
            <w:tcW w:w="2120" w:type="dxa"/>
            <w:shd w:val="clear" w:color="auto" w:fill="D9E2F3"/>
            <w:vAlign w:val="center"/>
          </w:tcPr>
          <w:p w14:paraId="59D4484F" w14:textId="77777777" w:rsidR="00990B14" w:rsidRDefault="00000000">
            <w:pPr>
              <w:spacing w:before="20" w:after="20"/>
              <w:jc w:val="both"/>
            </w:pPr>
            <w:r>
              <w:rPr>
                <w:sz w:val="18"/>
                <w:szCs w:val="18"/>
              </w:rPr>
              <w:t>Describe la custodia y la segregación de funciones.</w:t>
            </w:r>
          </w:p>
        </w:tc>
        <w:tc>
          <w:tcPr>
            <w:tcW w:w="1855" w:type="dxa"/>
            <w:shd w:val="clear" w:color="auto" w:fill="D9E2F3"/>
            <w:vAlign w:val="center"/>
          </w:tcPr>
          <w:p w14:paraId="3FE6F264" w14:textId="77777777" w:rsidR="00990B14" w:rsidRDefault="00000000">
            <w:pPr>
              <w:spacing w:before="20" w:after="20"/>
              <w:jc w:val="both"/>
            </w:pPr>
            <w:r>
              <w:rPr>
                <w:sz w:val="18"/>
                <w:szCs w:val="18"/>
              </w:rPr>
              <w:t>Sugiere controles adicionales para el manejo de caja.</w:t>
            </w:r>
          </w:p>
        </w:tc>
      </w:tr>
      <w:tr w:rsidR="00990B14" w14:paraId="56B3EF7C" w14:textId="77777777">
        <w:trPr>
          <w:cantSplit/>
          <w:jc w:val="center"/>
        </w:trPr>
        <w:tc>
          <w:tcPr>
            <w:tcW w:w="1780" w:type="dxa"/>
            <w:vMerge/>
            <w:shd w:val="clear" w:color="auto" w:fill="4472C4"/>
            <w:vAlign w:val="center"/>
          </w:tcPr>
          <w:p w14:paraId="4DCD2781" w14:textId="77777777" w:rsidR="00990B14" w:rsidRDefault="00990B14">
            <w:pPr>
              <w:spacing w:before="20" w:after="20"/>
            </w:pPr>
          </w:p>
        </w:tc>
        <w:tc>
          <w:tcPr>
            <w:tcW w:w="5770" w:type="dxa"/>
            <w:gridSpan w:val="3"/>
            <w:shd w:val="clear" w:color="auto" w:fill="D9E2F3"/>
            <w:vAlign w:val="center"/>
          </w:tcPr>
          <w:p w14:paraId="52715C40" w14:textId="77777777" w:rsidR="00990B14" w:rsidRDefault="00000000">
            <w:pPr>
              <w:keepNext/>
              <w:spacing w:before="20" w:after="20"/>
              <w:jc w:val="both"/>
            </w:pPr>
            <w:r>
              <w:rPr>
                <w:b/>
                <w:bCs/>
                <w:i/>
                <w:iCs/>
                <w:sz w:val="18"/>
                <w:szCs w:val="18"/>
              </w:rPr>
              <w:t xml:space="preserve">Producto 3: </w:t>
            </w:r>
            <w:r>
              <w:rPr>
                <w:sz w:val="18"/>
                <w:szCs w:val="18"/>
              </w:rPr>
              <w:t>Conciliación bancaria mensual</w:t>
            </w:r>
          </w:p>
        </w:tc>
        <w:tc>
          <w:tcPr>
            <w:tcW w:w="1855" w:type="dxa"/>
            <w:shd w:val="clear" w:color="auto" w:fill="D9E2F3"/>
            <w:vAlign w:val="center"/>
          </w:tcPr>
          <w:p w14:paraId="61ECDBAA" w14:textId="77777777" w:rsidR="00990B14" w:rsidRDefault="00000000">
            <w:pPr>
              <w:spacing w:before="20" w:after="20"/>
              <w:jc w:val="center"/>
            </w:pPr>
            <w:r>
              <w:rPr>
                <w:b/>
                <w:bCs/>
                <w:sz w:val="18"/>
                <w:szCs w:val="18"/>
              </w:rPr>
              <w:t>2%</w:t>
            </w:r>
          </w:p>
        </w:tc>
      </w:tr>
      <w:tr w:rsidR="00990B14" w14:paraId="22EE93C1" w14:textId="77777777">
        <w:trPr>
          <w:cantSplit/>
          <w:jc w:val="center"/>
        </w:trPr>
        <w:tc>
          <w:tcPr>
            <w:tcW w:w="1780" w:type="dxa"/>
            <w:vMerge/>
            <w:shd w:val="clear" w:color="auto" w:fill="4472C4"/>
            <w:vAlign w:val="center"/>
          </w:tcPr>
          <w:p w14:paraId="4FF74302" w14:textId="77777777" w:rsidR="00990B14" w:rsidRDefault="00990B14">
            <w:pPr>
              <w:spacing w:before="20" w:after="20"/>
            </w:pPr>
          </w:p>
        </w:tc>
        <w:tc>
          <w:tcPr>
            <w:tcW w:w="1825" w:type="dxa"/>
            <w:shd w:val="clear" w:color="auto" w:fill="4472C4"/>
            <w:vAlign w:val="center"/>
          </w:tcPr>
          <w:p w14:paraId="5BD29132" w14:textId="77777777" w:rsidR="00990B14" w:rsidRDefault="00000000">
            <w:pPr>
              <w:keepNext/>
              <w:spacing w:before="20" w:after="20"/>
              <w:jc w:val="center"/>
            </w:pPr>
            <w:r>
              <w:rPr>
                <w:b/>
                <w:bCs/>
                <w:i/>
                <w:iCs/>
                <w:color w:val="FFFFFF"/>
                <w:sz w:val="18"/>
                <w:szCs w:val="18"/>
              </w:rPr>
              <w:t>Criterio</w:t>
            </w:r>
          </w:p>
        </w:tc>
        <w:tc>
          <w:tcPr>
            <w:tcW w:w="1825" w:type="dxa"/>
            <w:shd w:val="clear" w:color="auto" w:fill="4472C4"/>
            <w:vAlign w:val="center"/>
          </w:tcPr>
          <w:p w14:paraId="38191377" w14:textId="77777777" w:rsidR="00990B14" w:rsidRDefault="00000000">
            <w:pPr>
              <w:keepNext/>
              <w:spacing w:before="20" w:after="20"/>
              <w:jc w:val="center"/>
            </w:pPr>
            <w:r>
              <w:rPr>
                <w:b/>
                <w:bCs/>
                <w:i/>
                <w:iCs/>
                <w:color w:val="FFFFFF"/>
                <w:sz w:val="18"/>
                <w:szCs w:val="18"/>
              </w:rPr>
              <w:t>Insuficiente (1–50)</w:t>
            </w:r>
          </w:p>
        </w:tc>
        <w:tc>
          <w:tcPr>
            <w:tcW w:w="2120" w:type="dxa"/>
            <w:shd w:val="clear" w:color="auto" w:fill="4472C4"/>
            <w:vAlign w:val="center"/>
          </w:tcPr>
          <w:p w14:paraId="350C9014" w14:textId="77777777" w:rsidR="00990B14" w:rsidRDefault="00000000">
            <w:pPr>
              <w:keepNext/>
              <w:spacing w:before="20" w:after="20"/>
              <w:jc w:val="center"/>
            </w:pPr>
            <w:r>
              <w:rPr>
                <w:b/>
                <w:bCs/>
                <w:i/>
                <w:iCs/>
                <w:color w:val="FFFFFF"/>
                <w:sz w:val="18"/>
                <w:szCs w:val="18"/>
              </w:rPr>
              <w:t>Suficiente (51–80)</w:t>
            </w:r>
          </w:p>
        </w:tc>
        <w:tc>
          <w:tcPr>
            <w:tcW w:w="1855" w:type="dxa"/>
            <w:shd w:val="clear" w:color="auto" w:fill="4472C4"/>
            <w:vAlign w:val="center"/>
          </w:tcPr>
          <w:p w14:paraId="3E000C8F" w14:textId="77777777" w:rsidR="00990B14" w:rsidRDefault="00000000">
            <w:pPr>
              <w:keepNext/>
              <w:spacing w:before="20" w:after="20"/>
              <w:jc w:val="center"/>
            </w:pPr>
            <w:r>
              <w:rPr>
                <w:b/>
                <w:bCs/>
                <w:i/>
                <w:iCs/>
                <w:color w:val="FFFFFF"/>
                <w:sz w:val="18"/>
                <w:szCs w:val="18"/>
              </w:rPr>
              <w:t>Destacado (81–100)</w:t>
            </w:r>
          </w:p>
        </w:tc>
      </w:tr>
      <w:tr w:rsidR="00990B14" w14:paraId="26CE85EC" w14:textId="77777777">
        <w:trPr>
          <w:cantSplit/>
          <w:jc w:val="center"/>
        </w:trPr>
        <w:tc>
          <w:tcPr>
            <w:tcW w:w="1780" w:type="dxa"/>
            <w:vMerge/>
            <w:shd w:val="clear" w:color="auto" w:fill="4472C4"/>
            <w:vAlign w:val="center"/>
          </w:tcPr>
          <w:p w14:paraId="35A729BB" w14:textId="77777777" w:rsidR="00990B14" w:rsidRDefault="00990B14">
            <w:pPr>
              <w:spacing w:before="20" w:after="20"/>
            </w:pPr>
          </w:p>
        </w:tc>
        <w:tc>
          <w:tcPr>
            <w:tcW w:w="1825" w:type="dxa"/>
            <w:shd w:val="clear" w:color="auto" w:fill="D9E2F3"/>
            <w:vAlign w:val="center"/>
          </w:tcPr>
          <w:p w14:paraId="68F8C3DF" w14:textId="77777777" w:rsidR="00990B14" w:rsidRDefault="00000000">
            <w:pPr>
              <w:spacing w:before="20" w:after="20"/>
              <w:jc w:val="both"/>
            </w:pPr>
            <w:r>
              <w:rPr>
                <w:sz w:val="18"/>
                <w:szCs w:val="18"/>
              </w:rPr>
              <w:t>Partidas conciliatorias</w:t>
            </w:r>
          </w:p>
        </w:tc>
        <w:tc>
          <w:tcPr>
            <w:tcW w:w="1825" w:type="dxa"/>
            <w:shd w:val="clear" w:color="auto" w:fill="D9E2F3"/>
            <w:vAlign w:val="center"/>
          </w:tcPr>
          <w:p w14:paraId="2A7F3328" w14:textId="77777777" w:rsidR="00990B14" w:rsidRDefault="00000000">
            <w:pPr>
              <w:spacing w:before="20" w:after="20"/>
              <w:jc w:val="both"/>
            </w:pPr>
            <w:r>
              <w:rPr>
                <w:sz w:val="18"/>
                <w:szCs w:val="18"/>
              </w:rPr>
              <w:t>Omite cheques en tránsito o notas del banco.</w:t>
            </w:r>
          </w:p>
        </w:tc>
        <w:tc>
          <w:tcPr>
            <w:tcW w:w="2120" w:type="dxa"/>
            <w:shd w:val="clear" w:color="auto" w:fill="D9E2F3"/>
            <w:vAlign w:val="center"/>
          </w:tcPr>
          <w:p w14:paraId="6CDA43A5" w14:textId="77777777" w:rsidR="00990B14" w:rsidRDefault="00000000">
            <w:pPr>
              <w:spacing w:before="20" w:after="20"/>
              <w:jc w:val="both"/>
            </w:pPr>
            <w:r>
              <w:rPr>
                <w:sz w:val="18"/>
                <w:szCs w:val="18"/>
              </w:rPr>
              <w:t>Identifica las partidas de la empresa y del banco.</w:t>
            </w:r>
          </w:p>
        </w:tc>
        <w:tc>
          <w:tcPr>
            <w:tcW w:w="1855" w:type="dxa"/>
            <w:shd w:val="clear" w:color="auto" w:fill="D9E2F3"/>
            <w:vAlign w:val="center"/>
          </w:tcPr>
          <w:p w14:paraId="0C62010A" w14:textId="77777777" w:rsidR="00990B14" w:rsidRDefault="00000000">
            <w:pPr>
              <w:spacing w:before="20" w:after="20"/>
              <w:jc w:val="both"/>
            </w:pPr>
            <w:r>
              <w:rPr>
                <w:sz w:val="18"/>
                <w:szCs w:val="18"/>
              </w:rPr>
              <w:t>Explica el origen de cada partida conciliatoria.</w:t>
            </w:r>
          </w:p>
        </w:tc>
      </w:tr>
      <w:tr w:rsidR="00990B14" w14:paraId="169BC5FA" w14:textId="77777777">
        <w:trPr>
          <w:cantSplit/>
          <w:jc w:val="center"/>
        </w:trPr>
        <w:tc>
          <w:tcPr>
            <w:tcW w:w="1780" w:type="dxa"/>
            <w:vMerge/>
            <w:shd w:val="clear" w:color="auto" w:fill="4472C4"/>
            <w:vAlign w:val="center"/>
          </w:tcPr>
          <w:p w14:paraId="5BF4656E" w14:textId="77777777" w:rsidR="00990B14" w:rsidRDefault="00990B14">
            <w:pPr>
              <w:spacing w:before="20" w:after="20"/>
            </w:pPr>
          </w:p>
        </w:tc>
        <w:tc>
          <w:tcPr>
            <w:tcW w:w="1825" w:type="dxa"/>
            <w:shd w:val="clear" w:color="auto" w:fill="D9E2F3"/>
            <w:vAlign w:val="center"/>
          </w:tcPr>
          <w:p w14:paraId="49E41DBA" w14:textId="77777777" w:rsidR="00990B14" w:rsidRDefault="00000000">
            <w:pPr>
              <w:spacing w:before="20" w:after="20"/>
              <w:jc w:val="both"/>
            </w:pPr>
            <w:r>
              <w:rPr>
                <w:sz w:val="18"/>
                <w:szCs w:val="18"/>
              </w:rPr>
              <w:t>Asientos de regularización</w:t>
            </w:r>
          </w:p>
        </w:tc>
        <w:tc>
          <w:tcPr>
            <w:tcW w:w="1825" w:type="dxa"/>
            <w:shd w:val="clear" w:color="auto" w:fill="D9E2F3"/>
            <w:vAlign w:val="center"/>
          </w:tcPr>
          <w:p w14:paraId="4F555092" w14:textId="77777777" w:rsidR="00990B14" w:rsidRDefault="00000000">
            <w:pPr>
              <w:spacing w:before="20" w:after="20"/>
              <w:jc w:val="both"/>
            </w:pPr>
            <w:r>
              <w:rPr>
                <w:sz w:val="18"/>
                <w:szCs w:val="18"/>
              </w:rPr>
              <w:t>Registra ajustes que no corresponden.</w:t>
            </w:r>
          </w:p>
        </w:tc>
        <w:tc>
          <w:tcPr>
            <w:tcW w:w="2120" w:type="dxa"/>
            <w:shd w:val="clear" w:color="auto" w:fill="D9E2F3"/>
            <w:vAlign w:val="center"/>
          </w:tcPr>
          <w:p w14:paraId="1700CF60" w14:textId="77777777" w:rsidR="00990B14" w:rsidRDefault="00000000">
            <w:pPr>
              <w:spacing w:before="20" w:after="20"/>
              <w:jc w:val="both"/>
            </w:pPr>
            <w:r>
              <w:rPr>
                <w:sz w:val="18"/>
                <w:szCs w:val="18"/>
              </w:rPr>
              <w:t>Registra los ajustes que corresponden a la empresa.</w:t>
            </w:r>
          </w:p>
        </w:tc>
        <w:tc>
          <w:tcPr>
            <w:tcW w:w="1855" w:type="dxa"/>
            <w:shd w:val="clear" w:color="auto" w:fill="D9E2F3"/>
            <w:vAlign w:val="center"/>
          </w:tcPr>
          <w:p w14:paraId="152063A7" w14:textId="77777777" w:rsidR="00990B14" w:rsidRDefault="00000000">
            <w:pPr>
              <w:spacing w:before="20" w:after="20"/>
              <w:jc w:val="both"/>
            </w:pPr>
            <w:r>
              <w:rPr>
                <w:sz w:val="18"/>
                <w:szCs w:val="18"/>
              </w:rPr>
              <w:t>Verifica que el saldo ajustado coincida en ambos registros.</w:t>
            </w:r>
          </w:p>
        </w:tc>
      </w:tr>
      <w:tr w:rsidR="00990B14" w14:paraId="11036001" w14:textId="77777777">
        <w:trPr>
          <w:cantSplit/>
          <w:jc w:val="center"/>
        </w:trPr>
        <w:tc>
          <w:tcPr>
            <w:tcW w:w="1780" w:type="dxa"/>
            <w:vMerge/>
            <w:shd w:val="clear" w:color="auto" w:fill="4472C4"/>
            <w:vAlign w:val="center"/>
          </w:tcPr>
          <w:p w14:paraId="7106C628" w14:textId="77777777" w:rsidR="00990B14" w:rsidRDefault="00990B14">
            <w:pPr>
              <w:spacing w:before="20" w:after="20"/>
            </w:pPr>
          </w:p>
        </w:tc>
        <w:tc>
          <w:tcPr>
            <w:tcW w:w="1825" w:type="dxa"/>
            <w:shd w:val="clear" w:color="auto" w:fill="D9E2F3"/>
            <w:vAlign w:val="center"/>
          </w:tcPr>
          <w:p w14:paraId="2BECF188" w14:textId="77777777" w:rsidR="00990B14" w:rsidRDefault="00000000">
            <w:pPr>
              <w:spacing w:before="20" w:after="20"/>
              <w:jc w:val="both"/>
            </w:pPr>
            <w:r>
              <w:rPr>
                <w:sz w:val="18"/>
                <w:szCs w:val="18"/>
              </w:rPr>
              <w:t>Uso de la hoja de cálculo</w:t>
            </w:r>
          </w:p>
        </w:tc>
        <w:tc>
          <w:tcPr>
            <w:tcW w:w="1825" w:type="dxa"/>
            <w:shd w:val="clear" w:color="auto" w:fill="D9E2F3"/>
            <w:vAlign w:val="center"/>
          </w:tcPr>
          <w:p w14:paraId="3BFAB1C4" w14:textId="77777777" w:rsidR="00990B14" w:rsidRDefault="00000000">
            <w:pPr>
              <w:spacing w:before="20" w:after="20"/>
              <w:jc w:val="both"/>
            </w:pPr>
            <w:r>
              <w:rPr>
                <w:sz w:val="18"/>
                <w:szCs w:val="18"/>
              </w:rPr>
              <w:t>Calcula los saldos a mano.</w:t>
            </w:r>
          </w:p>
        </w:tc>
        <w:tc>
          <w:tcPr>
            <w:tcW w:w="2120" w:type="dxa"/>
            <w:shd w:val="clear" w:color="auto" w:fill="D9E2F3"/>
            <w:vAlign w:val="center"/>
          </w:tcPr>
          <w:p w14:paraId="1B82915C" w14:textId="77777777" w:rsidR="00990B14" w:rsidRDefault="00000000">
            <w:pPr>
              <w:spacing w:before="20" w:after="20"/>
              <w:jc w:val="both"/>
            </w:pPr>
            <w:r>
              <w:rPr>
                <w:sz w:val="18"/>
                <w:szCs w:val="18"/>
              </w:rPr>
              <w:t>Usa fórmulas para obtener los saldos conciliados.</w:t>
            </w:r>
          </w:p>
        </w:tc>
        <w:tc>
          <w:tcPr>
            <w:tcW w:w="1855" w:type="dxa"/>
            <w:shd w:val="clear" w:color="auto" w:fill="D9E2F3"/>
            <w:vAlign w:val="center"/>
          </w:tcPr>
          <w:p w14:paraId="7B0F3223" w14:textId="77777777" w:rsidR="00990B14" w:rsidRDefault="00000000">
            <w:pPr>
              <w:spacing w:before="20" w:after="20"/>
              <w:jc w:val="both"/>
            </w:pPr>
            <w:r>
              <w:rPr>
                <w:sz w:val="18"/>
                <w:szCs w:val="18"/>
              </w:rPr>
              <w:t>Deja una plantilla reutilizable para otros meses.</w:t>
            </w:r>
          </w:p>
        </w:tc>
      </w:tr>
      <w:tr w:rsidR="00990B14" w14:paraId="696F66A4" w14:textId="77777777">
        <w:trPr>
          <w:cantSplit/>
          <w:jc w:val="center"/>
        </w:trPr>
        <w:tc>
          <w:tcPr>
            <w:tcW w:w="1780" w:type="dxa"/>
            <w:vMerge/>
            <w:shd w:val="clear" w:color="auto" w:fill="4472C4"/>
            <w:vAlign w:val="center"/>
          </w:tcPr>
          <w:p w14:paraId="4986C06F" w14:textId="77777777" w:rsidR="00990B14" w:rsidRDefault="00990B14">
            <w:pPr>
              <w:spacing w:before="20" w:after="20"/>
            </w:pPr>
          </w:p>
        </w:tc>
        <w:tc>
          <w:tcPr>
            <w:tcW w:w="5770" w:type="dxa"/>
            <w:gridSpan w:val="3"/>
            <w:shd w:val="clear" w:color="auto" w:fill="D9E2F3"/>
            <w:vAlign w:val="center"/>
          </w:tcPr>
          <w:p w14:paraId="51913365" w14:textId="77777777" w:rsidR="00990B14" w:rsidRDefault="00000000">
            <w:pPr>
              <w:keepNext/>
              <w:spacing w:before="20" w:after="20"/>
              <w:jc w:val="both"/>
            </w:pPr>
            <w:r>
              <w:rPr>
                <w:b/>
                <w:bCs/>
                <w:i/>
                <w:iCs/>
                <w:sz w:val="18"/>
                <w:szCs w:val="18"/>
              </w:rPr>
              <w:t xml:space="preserve">Producto 4: </w:t>
            </w:r>
            <w:r>
              <w:rPr>
                <w:sz w:val="18"/>
                <w:szCs w:val="18"/>
              </w:rPr>
              <w:t>Exposición del efectivo y equivalentes</w:t>
            </w:r>
          </w:p>
        </w:tc>
        <w:tc>
          <w:tcPr>
            <w:tcW w:w="1855" w:type="dxa"/>
            <w:shd w:val="clear" w:color="auto" w:fill="D9E2F3"/>
            <w:vAlign w:val="center"/>
          </w:tcPr>
          <w:p w14:paraId="4A6D980F" w14:textId="77777777" w:rsidR="00990B14" w:rsidRDefault="00000000">
            <w:pPr>
              <w:spacing w:before="20" w:after="20"/>
              <w:jc w:val="center"/>
            </w:pPr>
            <w:r>
              <w:rPr>
                <w:b/>
                <w:bCs/>
                <w:sz w:val="18"/>
                <w:szCs w:val="18"/>
              </w:rPr>
              <w:t>2%</w:t>
            </w:r>
          </w:p>
        </w:tc>
      </w:tr>
      <w:tr w:rsidR="00990B14" w14:paraId="29E2B067" w14:textId="77777777">
        <w:trPr>
          <w:cantSplit/>
          <w:jc w:val="center"/>
        </w:trPr>
        <w:tc>
          <w:tcPr>
            <w:tcW w:w="1780" w:type="dxa"/>
            <w:vMerge/>
            <w:shd w:val="clear" w:color="auto" w:fill="4472C4"/>
            <w:vAlign w:val="center"/>
          </w:tcPr>
          <w:p w14:paraId="71C190B2" w14:textId="77777777" w:rsidR="00990B14" w:rsidRDefault="00990B14">
            <w:pPr>
              <w:spacing w:before="20" w:after="20"/>
            </w:pPr>
          </w:p>
        </w:tc>
        <w:tc>
          <w:tcPr>
            <w:tcW w:w="1825" w:type="dxa"/>
            <w:shd w:val="clear" w:color="auto" w:fill="4472C4"/>
            <w:vAlign w:val="center"/>
          </w:tcPr>
          <w:p w14:paraId="29D8E4D1" w14:textId="77777777" w:rsidR="00990B14" w:rsidRDefault="00000000">
            <w:pPr>
              <w:keepNext/>
              <w:spacing w:before="20" w:after="20"/>
              <w:jc w:val="center"/>
            </w:pPr>
            <w:r>
              <w:rPr>
                <w:b/>
                <w:bCs/>
                <w:i/>
                <w:iCs/>
                <w:color w:val="FFFFFF"/>
                <w:sz w:val="18"/>
                <w:szCs w:val="18"/>
              </w:rPr>
              <w:t>Criterio</w:t>
            </w:r>
          </w:p>
        </w:tc>
        <w:tc>
          <w:tcPr>
            <w:tcW w:w="1825" w:type="dxa"/>
            <w:shd w:val="clear" w:color="auto" w:fill="4472C4"/>
            <w:vAlign w:val="center"/>
          </w:tcPr>
          <w:p w14:paraId="00CEEBFD" w14:textId="77777777" w:rsidR="00990B14" w:rsidRDefault="00000000">
            <w:pPr>
              <w:keepNext/>
              <w:spacing w:before="20" w:after="20"/>
              <w:jc w:val="center"/>
            </w:pPr>
            <w:r>
              <w:rPr>
                <w:b/>
                <w:bCs/>
                <w:i/>
                <w:iCs/>
                <w:color w:val="FFFFFF"/>
                <w:sz w:val="18"/>
                <w:szCs w:val="18"/>
              </w:rPr>
              <w:t>Insuficiente (1–50)</w:t>
            </w:r>
          </w:p>
        </w:tc>
        <w:tc>
          <w:tcPr>
            <w:tcW w:w="2120" w:type="dxa"/>
            <w:shd w:val="clear" w:color="auto" w:fill="4472C4"/>
            <w:vAlign w:val="center"/>
          </w:tcPr>
          <w:p w14:paraId="1D3FF605" w14:textId="77777777" w:rsidR="00990B14" w:rsidRDefault="00000000">
            <w:pPr>
              <w:keepNext/>
              <w:spacing w:before="20" w:after="20"/>
              <w:jc w:val="center"/>
            </w:pPr>
            <w:r>
              <w:rPr>
                <w:b/>
                <w:bCs/>
                <w:i/>
                <w:iCs/>
                <w:color w:val="FFFFFF"/>
                <w:sz w:val="18"/>
                <w:szCs w:val="18"/>
              </w:rPr>
              <w:t>Suficiente (51–80)</w:t>
            </w:r>
          </w:p>
        </w:tc>
        <w:tc>
          <w:tcPr>
            <w:tcW w:w="1855" w:type="dxa"/>
            <w:shd w:val="clear" w:color="auto" w:fill="4472C4"/>
            <w:vAlign w:val="center"/>
          </w:tcPr>
          <w:p w14:paraId="39CDDEA2" w14:textId="77777777" w:rsidR="00990B14" w:rsidRDefault="00000000">
            <w:pPr>
              <w:keepNext/>
              <w:spacing w:before="20" w:after="20"/>
              <w:jc w:val="center"/>
            </w:pPr>
            <w:r>
              <w:rPr>
                <w:b/>
                <w:bCs/>
                <w:i/>
                <w:iCs/>
                <w:color w:val="FFFFFF"/>
                <w:sz w:val="18"/>
                <w:szCs w:val="18"/>
              </w:rPr>
              <w:t>Destacado (81–100)</w:t>
            </w:r>
          </w:p>
        </w:tc>
      </w:tr>
      <w:tr w:rsidR="00990B14" w14:paraId="20D92055" w14:textId="77777777">
        <w:trPr>
          <w:cantSplit/>
          <w:jc w:val="center"/>
        </w:trPr>
        <w:tc>
          <w:tcPr>
            <w:tcW w:w="1780" w:type="dxa"/>
            <w:vMerge/>
            <w:shd w:val="clear" w:color="auto" w:fill="4472C4"/>
            <w:vAlign w:val="center"/>
          </w:tcPr>
          <w:p w14:paraId="78961C68" w14:textId="77777777" w:rsidR="00990B14" w:rsidRDefault="00990B14">
            <w:pPr>
              <w:spacing w:before="20" w:after="20"/>
            </w:pPr>
          </w:p>
        </w:tc>
        <w:tc>
          <w:tcPr>
            <w:tcW w:w="1825" w:type="dxa"/>
            <w:shd w:val="clear" w:color="auto" w:fill="D9E2F3"/>
            <w:vAlign w:val="center"/>
          </w:tcPr>
          <w:p w14:paraId="31CCBC71" w14:textId="77777777" w:rsidR="00990B14" w:rsidRDefault="00000000">
            <w:pPr>
              <w:spacing w:before="20" w:after="20"/>
              <w:jc w:val="both"/>
            </w:pPr>
            <w:r>
              <w:rPr>
                <w:sz w:val="18"/>
                <w:szCs w:val="18"/>
              </w:rPr>
              <w:t>Composición del rubro</w:t>
            </w:r>
          </w:p>
        </w:tc>
        <w:tc>
          <w:tcPr>
            <w:tcW w:w="1825" w:type="dxa"/>
            <w:shd w:val="clear" w:color="auto" w:fill="D9E2F3"/>
            <w:vAlign w:val="center"/>
          </w:tcPr>
          <w:p w14:paraId="1665FBDE" w14:textId="77777777" w:rsidR="00990B14" w:rsidRDefault="00000000">
            <w:pPr>
              <w:spacing w:before="20" w:after="20"/>
              <w:jc w:val="both"/>
            </w:pPr>
            <w:r>
              <w:rPr>
                <w:sz w:val="18"/>
                <w:szCs w:val="18"/>
              </w:rPr>
              <w:t>Incluye partidas que no son efectivo.</w:t>
            </w:r>
          </w:p>
        </w:tc>
        <w:tc>
          <w:tcPr>
            <w:tcW w:w="2120" w:type="dxa"/>
            <w:shd w:val="clear" w:color="auto" w:fill="D9E2F3"/>
            <w:vAlign w:val="center"/>
          </w:tcPr>
          <w:p w14:paraId="617C2BB1" w14:textId="77777777" w:rsidR="00990B14" w:rsidRDefault="00000000">
            <w:pPr>
              <w:spacing w:before="20" w:after="20"/>
              <w:jc w:val="both"/>
            </w:pPr>
            <w:r>
              <w:rPr>
                <w:sz w:val="18"/>
                <w:szCs w:val="18"/>
              </w:rPr>
              <w:t>Detalla caja, bancos y equivalentes de efectivo.</w:t>
            </w:r>
          </w:p>
        </w:tc>
        <w:tc>
          <w:tcPr>
            <w:tcW w:w="1855" w:type="dxa"/>
            <w:shd w:val="clear" w:color="auto" w:fill="D9E2F3"/>
            <w:vAlign w:val="center"/>
          </w:tcPr>
          <w:p w14:paraId="73A52068" w14:textId="77777777" w:rsidR="00990B14" w:rsidRDefault="00000000">
            <w:pPr>
              <w:spacing w:before="20" w:after="20"/>
              <w:jc w:val="both"/>
            </w:pPr>
            <w:r>
              <w:rPr>
                <w:sz w:val="18"/>
                <w:szCs w:val="18"/>
              </w:rPr>
              <w:t>Justifica la inclusión de cada equivalente de efectivo.</w:t>
            </w:r>
          </w:p>
        </w:tc>
      </w:tr>
      <w:tr w:rsidR="00990B14" w14:paraId="5731A707" w14:textId="77777777">
        <w:trPr>
          <w:cantSplit/>
          <w:jc w:val="center"/>
        </w:trPr>
        <w:tc>
          <w:tcPr>
            <w:tcW w:w="1780" w:type="dxa"/>
            <w:vMerge/>
            <w:shd w:val="clear" w:color="auto" w:fill="4472C4"/>
            <w:vAlign w:val="center"/>
          </w:tcPr>
          <w:p w14:paraId="44BA1BBE" w14:textId="77777777" w:rsidR="00990B14" w:rsidRDefault="00990B14">
            <w:pPr>
              <w:spacing w:before="20" w:after="20"/>
            </w:pPr>
          </w:p>
        </w:tc>
        <w:tc>
          <w:tcPr>
            <w:tcW w:w="1825" w:type="dxa"/>
            <w:shd w:val="clear" w:color="auto" w:fill="D9E2F3"/>
            <w:vAlign w:val="center"/>
          </w:tcPr>
          <w:p w14:paraId="32C73113" w14:textId="77777777" w:rsidR="00990B14" w:rsidRDefault="00000000">
            <w:pPr>
              <w:spacing w:before="20" w:after="20"/>
              <w:jc w:val="both"/>
            </w:pPr>
            <w:r>
              <w:rPr>
                <w:sz w:val="18"/>
                <w:szCs w:val="18"/>
              </w:rPr>
              <w:t>Moneda extranjera</w:t>
            </w:r>
          </w:p>
        </w:tc>
        <w:tc>
          <w:tcPr>
            <w:tcW w:w="1825" w:type="dxa"/>
            <w:shd w:val="clear" w:color="auto" w:fill="D9E2F3"/>
            <w:vAlign w:val="center"/>
          </w:tcPr>
          <w:p w14:paraId="1EB272B5" w14:textId="77777777" w:rsidR="00990B14" w:rsidRDefault="00000000">
            <w:pPr>
              <w:spacing w:before="20" w:after="20"/>
              <w:jc w:val="both"/>
            </w:pPr>
            <w:r>
              <w:rPr>
                <w:sz w:val="18"/>
                <w:szCs w:val="18"/>
              </w:rPr>
              <w:t>No reconoce la diferencia de cambio.</w:t>
            </w:r>
          </w:p>
        </w:tc>
        <w:tc>
          <w:tcPr>
            <w:tcW w:w="2120" w:type="dxa"/>
            <w:shd w:val="clear" w:color="auto" w:fill="D9E2F3"/>
            <w:vAlign w:val="center"/>
          </w:tcPr>
          <w:p w14:paraId="3EE74433" w14:textId="77777777" w:rsidR="00990B14" w:rsidRDefault="00000000">
            <w:pPr>
              <w:spacing w:before="20" w:after="20"/>
              <w:jc w:val="both"/>
            </w:pPr>
            <w:r>
              <w:rPr>
                <w:sz w:val="18"/>
                <w:szCs w:val="18"/>
              </w:rPr>
              <w:t>Registra la diferencia de cambio de los saldos en divisas.</w:t>
            </w:r>
          </w:p>
        </w:tc>
        <w:tc>
          <w:tcPr>
            <w:tcW w:w="1855" w:type="dxa"/>
            <w:shd w:val="clear" w:color="auto" w:fill="D9E2F3"/>
            <w:vAlign w:val="center"/>
          </w:tcPr>
          <w:p w14:paraId="49302614" w14:textId="77777777" w:rsidR="00990B14" w:rsidRDefault="00000000">
            <w:pPr>
              <w:spacing w:before="20" w:after="20"/>
              <w:jc w:val="both"/>
            </w:pPr>
            <w:r>
              <w:rPr>
                <w:sz w:val="18"/>
                <w:szCs w:val="18"/>
              </w:rPr>
              <w:t>Compara el criterio boliviano con el de las NIIF.</w:t>
            </w:r>
          </w:p>
        </w:tc>
      </w:tr>
      <w:tr w:rsidR="00990B14" w14:paraId="616489BA" w14:textId="77777777">
        <w:trPr>
          <w:cantSplit/>
          <w:jc w:val="center"/>
        </w:trPr>
        <w:tc>
          <w:tcPr>
            <w:tcW w:w="1780" w:type="dxa"/>
            <w:vMerge/>
            <w:shd w:val="clear" w:color="auto" w:fill="4472C4"/>
            <w:vAlign w:val="center"/>
          </w:tcPr>
          <w:p w14:paraId="26E1A89D" w14:textId="77777777" w:rsidR="00990B14" w:rsidRDefault="00990B14">
            <w:pPr>
              <w:spacing w:before="20" w:after="20"/>
            </w:pPr>
          </w:p>
        </w:tc>
        <w:tc>
          <w:tcPr>
            <w:tcW w:w="1825" w:type="dxa"/>
            <w:shd w:val="clear" w:color="auto" w:fill="D9E2F3"/>
            <w:vAlign w:val="center"/>
          </w:tcPr>
          <w:p w14:paraId="3A0E462F" w14:textId="77777777" w:rsidR="00990B14" w:rsidRDefault="00000000">
            <w:pPr>
              <w:spacing w:before="20" w:after="20"/>
              <w:jc w:val="both"/>
            </w:pPr>
            <w:r>
              <w:rPr>
                <w:sz w:val="18"/>
                <w:szCs w:val="18"/>
              </w:rPr>
              <w:t>Claridad de la exposición</w:t>
            </w:r>
          </w:p>
        </w:tc>
        <w:tc>
          <w:tcPr>
            <w:tcW w:w="1825" w:type="dxa"/>
            <w:shd w:val="clear" w:color="auto" w:fill="D9E2F3"/>
            <w:vAlign w:val="center"/>
          </w:tcPr>
          <w:p w14:paraId="50A746ED" w14:textId="77777777" w:rsidR="00990B14" w:rsidRDefault="00000000">
            <w:pPr>
              <w:spacing w:before="20" w:after="20"/>
              <w:jc w:val="both"/>
            </w:pPr>
            <w:r>
              <w:rPr>
                <w:sz w:val="18"/>
                <w:szCs w:val="18"/>
              </w:rPr>
              <w:t>La exposición es confusa.</w:t>
            </w:r>
          </w:p>
        </w:tc>
        <w:tc>
          <w:tcPr>
            <w:tcW w:w="2120" w:type="dxa"/>
            <w:shd w:val="clear" w:color="auto" w:fill="D9E2F3"/>
            <w:vAlign w:val="center"/>
          </w:tcPr>
          <w:p w14:paraId="3C58C15F" w14:textId="77777777" w:rsidR="00990B14" w:rsidRDefault="00000000">
            <w:pPr>
              <w:spacing w:before="20" w:after="20"/>
              <w:jc w:val="both"/>
            </w:pPr>
            <w:r>
              <w:rPr>
                <w:sz w:val="18"/>
                <w:szCs w:val="18"/>
              </w:rPr>
              <w:t>Expone la nota con orden y claridad.</w:t>
            </w:r>
          </w:p>
        </w:tc>
        <w:tc>
          <w:tcPr>
            <w:tcW w:w="1855" w:type="dxa"/>
            <w:shd w:val="clear" w:color="auto" w:fill="D9E2F3"/>
            <w:vAlign w:val="center"/>
          </w:tcPr>
          <w:p w14:paraId="33FF3A18" w14:textId="77777777" w:rsidR="00990B14" w:rsidRDefault="00000000">
            <w:pPr>
              <w:spacing w:before="20" w:after="20"/>
              <w:jc w:val="both"/>
            </w:pPr>
            <w:r>
              <w:rPr>
                <w:sz w:val="18"/>
                <w:szCs w:val="18"/>
              </w:rPr>
              <w:t>Responde con solvencia las preguntas del curso.</w:t>
            </w:r>
          </w:p>
        </w:tc>
      </w:tr>
      <w:tr w:rsidR="00990B14" w14:paraId="1F741CFB" w14:textId="77777777">
        <w:trPr>
          <w:cantSplit/>
          <w:jc w:val="center"/>
        </w:trPr>
        <w:tc>
          <w:tcPr>
            <w:tcW w:w="1780" w:type="dxa"/>
            <w:vMerge/>
            <w:shd w:val="clear" w:color="auto" w:fill="4472C4"/>
            <w:vAlign w:val="center"/>
          </w:tcPr>
          <w:p w14:paraId="69048AB2" w14:textId="77777777" w:rsidR="00990B14" w:rsidRDefault="00990B14">
            <w:pPr>
              <w:spacing w:before="20" w:after="20"/>
            </w:pPr>
          </w:p>
        </w:tc>
        <w:tc>
          <w:tcPr>
            <w:tcW w:w="5770" w:type="dxa"/>
            <w:gridSpan w:val="3"/>
            <w:shd w:val="clear" w:color="auto" w:fill="D9E2F3"/>
            <w:vAlign w:val="center"/>
          </w:tcPr>
          <w:p w14:paraId="6E49BE9B" w14:textId="77777777" w:rsidR="00990B14" w:rsidRDefault="00000000">
            <w:pPr>
              <w:keepNext/>
              <w:spacing w:before="20" w:after="20"/>
              <w:jc w:val="both"/>
            </w:pPr>
            <w:r>
              <w:rPr>
                <w:b/>
                <w:bCs/>
                <w:i/>
                <w:iCs/>
                <w:sz w:val="18"/>
                <w:szCs w:val="18"/>
              </w:rPr>
              <w:t xml:space="preserve">Producto 5: </w:t>
            </w:r>
            <w:r>
              <w:rPr>
                <w:sz w:val="18"/>
                <w:szCs w:val="18"/>
              </w:rPr>
              <w:t>Registro auxiliar de cuentas por cobrar</w:t>
            </w:r>
          </w:p>
        </w:tc>
        <w:tc>
          <w:tcPr>
            <w:tcW w:w="1855" w:type="dxa"/>
            <w:shd w:val="clear" w:color="auto" w:fill="D9E2F3"/>
            <w:vAlign w:val="center"/>
          </w:tcPr>
          <w:p w14:paraId="1E222863" w14:textId="77777777" w:rsidR="00990B14" w:rsidRDefault="00000000">
            <w:pPr>
              <w:spacing w:before="20" w:after="20"/>
              <w:jc w:val="center"/>
            </w:pPr>
            <w:r>
              <w:rPr>
                <w:b/>
                <w:bCs/>
                <w:sz w:val="18"/>
                <w:szCs w:val="18"/>
              </w:rPr>
              <w:t>3%</w:t>
            </w:r>
          </w:p>
        </w:tc>
      </w:tr>
      <w:tr w:rsidR="00990B14" w14:paraId="32852411" w14:textId="77777777">
        <w:trPr>
          <w:cantSplit/>
          <w:jc w:val="center"/>
        </w:trPr>
        <w:tc>
          <w:tcPr>
            <w:tcW w:w="1780" w:type="dxa"/>
            <w:vMerge/>
            <w:shd w:val="clear" w:color="auto" w:fill="4472C4"/>
            <w:vAlign w:val="center"/>
          </w:tcPr>
          <w:p w14:paraId="448899CE" w14:textId="77777777" w:rsidR="00990B14" w:rsidRDefault="00990B14">
            <w:pPr>
              <w:spacing w:before="20" w:after="20"/>
            </w:pPr>
          </w:p>
        </w:tc>
        <w:tc>
          <w:tcPr>
            <w:tcW w:w="1825" w:type="dxa"/>
            <w:shd w:val="clear" w:color="auto" w:fill="4472C4"/>
            <w:vAlign w:val="center"/>
          </w:tcPr>
          <w:p w14:paraId="47815EC2" w14:textId="77777777" w:rsidR="00990B14" w:rsidRDefault="00000000">
            <w:pPr>
              <w:keepNext/>
              <w:spacing w:before="20" w:after="20"/>
              <w:jc w:val="center"/>
            </w:pPr>
            <w:r>
              <w:rPr>
                <w:b/>
                <w:bCs/>
                <w:i/>
                <w:iCs/>
                <w:color w:val="FFFFFF"/>
                <w:sz w:val="18"/>
                <w:szCs w:val="18"/>
              </w:rPr>
              <w:t>Criterio</w:t>
            </w:r>
          </w:p>
        </w:tc>
        <w:tc>
          <w:tcPr>
            <w:tcW w:w="1825" w:type="dxa"/>
            <w:shd w:val="clear" w:color="auto" w:fill="4472C4"/>
            <w:vAlign w:val="center"/>
          </w:tcPr>
          <w:p w14:paraId="491D1A08" w14:textId="77777777" w:rsidR="00990B14" w:rsidRDefault="00000000">
            <w:pPr>
              <w:keepNext/>
              <w:spacing w:before="20" w:after="20"/>
              <w:jc w:val="center"/>
            </w:pPr>
            <w:r>
              <w:rPr>
                <w:b/>
                <w:bCs/>
                <w:i/>
                <w:iCs/>
                <w:color w:val="FFFFFF"/>
                <w:sz w:val="18"/>
                <w:szCs w:val="18"/>
              </w:rPr>
              <w:t>Insuficiente (1–50)</w:t>
            </w:r>
          </w:p>
        </w:tc>
        <w:tc>
          <w:tcPr>
            <w:tcW w:w="2120" w:type="dxa"/>
            <w:shd w:val="clear" w:color="auto" w:fill="4472C4"/>
            <w:vAlign w:val="center"/>
          </w:tcPr>
          <w:p w14:paraId="7C7C91C6" w14:textId="77777777" w:rsidR="00990B14" w:rsidRDefault="00000000">
            <w:pPr>
              <w:keepNext/>
              <w:spacing w:before="20" w:after="20"/>
              <w:jc w:val="center"/>
            </w:pPr>
            <w:r>
              <w:rPr>
                <w:b/>
                <w:bCs/>
                <w:i/>
                <w:iCs/>
                <w:color w:val="FFFFFF"/>
                <w:sz w:val="18"/>
                <w:szCs w:val="18"/>
              </w:rPr>
              <w:t>Suficiente (51–80)</w:t>
            </w:r>
          </w:p>
        </w:tc>
        <w:tc>
          <w:tcPr>
            <w:tcW w:w="1855" w:type="dxa"/>
            <w:shd w:val="clear" w:color="auto" w:fill="4472C4"/>
            <w:vAlign w:val="center"/>
          </w:tcPr>
          <w:p w14:paraId="51F15636" w14:textId="77777777" w:rsidR="00990B14" w:rsidRDefault="00000000">
            <w:pPr>
              <w:keepNext/>
              <w:spacing w:before="20" w:after="20"/>
              <w:jc w:val="center"/>
            </w:pPr>
            <w:r>
              <w:rPr>
                <w:b/>
                <w:bCs/>
                <w:i/>
                <w:iCs/>
                <w:color w:val="FFFFFF"/>
                <w:sz w:val="18"/>
                <w:szCs w:val="18"/>
              </w:rPr>
              <w:t>Destacado (81–100)</w:t>
            </w:r>
          </w:p>
        </w:tc>
      </w:tr>
      <w:tr w:rsidR="00990B14" w14:paraId="20DAA332" w14:textId="77777777">
        <w:trPr>
          <w:cantSplit/>
          <w:jc w:val="center"/>
        </w:trPr>
        <w:tc>
          <w:tcPr>
            <w:tcW w:w="1780" w:type="dxa"/>
            <w:vMerge/>
            <w:shd w:val="clear" w:color="auto" w:fill="4472C4"/>
            <w:vAlign w:val="center"/>
          </w:tcPr>
          <w:p w14:paraId="38C580D6" w14:textId="77777777" w:rsidR="00990B14" w:rsidRDefault="00990B14">
            <w:pPr>
              <w:spacing w:before="20" w:after="20"/>
            </w:pPr>
          </w:p>
        </w:tc>
        <w:tc>
          <w:tcPr>
            <w:tcW w:w="1825" w:type="dxa"/>
            <w:shd w:val="clear" w:color="auto" w:fill="D9E2F3"/>
            <w:vAlign w:val="center"/>
          </w:tcPr>
          <w:p w14:paraId="0BEC515C" w14:textId="77777777" w:rsidR="00990B14" w:rsidRDefault="00000000">
            <w:pPr>
              <w:spacing w:before="20" w:after="20"/>
              <w:jc w:val="both"/>
            </w:pPr>
            <w:r>
              <w:rPr>
                <w:sz w:val="18"/>
                <w:szCs w:val="18"/>
              </w:rPr>
              <w:t>Otorgación del crédito</w:t>
            </w:r>
          </w:p>
        </w:tc>
        <w:tc>
          <w:tcPr>
            <w:tcW w:w="1825" w:type="dxa"/>
            <w:shd w:val="clear" w:color="auto" w:fill="D9E2F3"/>
            <w:vAlign w:val="center"/>
          </w:tcPr>
          <w:p w14:paraId="03F9F212" w14:textId="77777777" w:rsidR="00990B14" w:rsidRDefault="00000000">
            <w:pPr>
              <w:spacing w:before="20" w:after="20"/>
              <w:jc w:val="both"/>
            </w:pPr>
            <w:r>
              <w:rPr>
                <w:sz w:val="18"/>
                <w:szCs w:val="18"/>
              </w:rPr>
              <w:t>Registra la venta sin su respaldo.</w:t>
            </w:r>
          </w:p>
        </w:tc>
        <w:tc>
          <w:tcPr>
            <w:tcW w:w="2120" w:type="dxa"/>
            <w:shd w:val="clear" w:color="auto" w:fill="D9E2F3"/>
            <w:vAlign w:val="center"/>
          </w:tcPr>
          <w:p w14:paraId="26C84022" w14:textId="77777777" w:rsidR="00990B14" w:rsidRDefault="00000000">
            <w:pPr>
              <w:spacing w:before="20" w:after="20"/>
              <w:jc w:val="both"/>
            </w:pPr>
            <w:r>
              <w:rPr>
                <w:sz w:val="18"/>
                <w:szCs w:val="18"/>
              </w:rPr>
              <w:t>Registra la venta al crédito con su factura.</w:t>
            </w:r>
          </w:p>
        </w:tc>
        <w:tc>
          <w:tcPr>
            <w:tcW w:w="1855" w:type="dxa"/>
            <w:shd w:val="clear" w:color="auto" w:fill="D9E2F3"/>
            <w:vAlign w:val="center"/>
          </w:tcPr>
          <w:p w14:paraId="6B51168A" w14:textId="77777777" w:rsidR="00990B14" w:rsidRDefault="00000000">
            <w:pPr>
              <w:spacing w:before="20" w:after="20"/>
              <w:jc w:val="both"/>
            </w:pPr>
            <w:r>
              <w:rPr>
                <w:sz w:val="18"/>
                <w:szCs w:val="18"/>
              </w:rPr>
              <w:t>Relaciona el crédito con el Registro de Compras y Ventas.</w:t>
            </w:r>
          </w:p>
        </w:tc>
      </w:tr>
      <w:tr w:rsidR="00990B14" w14:paraId="3E646CB5" w14:textId="77777777">
        <w:trPr>
          <w:cantSplit/>
          <w:jc w:val="center"/>
        </w:trPr>
        <w:tc>
          <w:tcPr>
            <w:tcW w:w="1780" w:type="dxa"/>
            <w:vMerge/>
            <w:shd w:val="clear" w:color="auto" w:fill="4472C4"/>
            <w:vAlign w:val="center"/>
          </w:tcPr>
          <w:p w14:paraId="7EB380C3" w14:textId="77777777" w:rsidR="00990B14" w:rsidRDefault="00990B14">
            <w:pPr>
              <w:spacing w:before="20" w:after="20"/>
            </w:pPr>
          </w:p>
        </w:tc>
        <w:tc>
          <w:tcPr>
            <w:tcW w:w="1825" w:type="dxa"/>
            <w:shd w:val="clear" w:color="auto" w:fill="D9E2F3"/>
            <w:vAlign w:val="center"/>
          </w:tcPr>
          <w:p w14:paraId="475FC39B" w14:textId="77777777" w:rsidR="00990B14" w:rsidRDefault="00000000">
            <w:pPr>
              <w:spacing w:before="20" w:after="20"/>
              <w:jc w:val="both"/>
            </w:pPr>
            <w:r>
              <w:rPr>
                <w:sz w:val="18"/>
                <w:szCs w:val="18"/>
              </w:rPr>
              <w:t>Moneda extranjera</w:t>
            </w:r>
          </w:p>
        </w:tc>
        <w:tc>
          <w:tcPr>
            <w:tcW w:w="1825" w:type="dxa"/>
            <w:shd w:val="clear" w:color="auto" w:fill="D9E2F3"/>
            <w:vAlign w:val="center"/>
          </w:tcPr>
          <w:p w14:paraId="3FDFFA6F" w14:textId="77777777" w:rsidR="00990B14" w:rsidRDefault="00000000">
            <w:pPr>
              <w:spacing w:before="20" w:after="20"/>
              <w:jc w:val="both"/>
            </w:pPr>
            <w:r>
              <w:rPr>
                <w:sz w:val="18"/>
                <w:szCs w:val="18"/>
              </w:rPr>
              <w:t>No reconoce la diferencia de cambio.</w:t>
            </w:r>
          </w:p>
        </w:tc>
        <w:tc>
          <w:tcPr>
            <w:tcW w:w="2120" w:type="dxa"/>
            <w:shd w:val="clear" w:color="auto" w:fill="D9E2F3"/>
            <w:vAlign w:val="center"/>
          </w:tcPr>
          <w:p w14:paraId="0E974819" w14:textId="77777777" w:rsidR="00990B14" w:rsidRDefault="00000000">
            <w:pPr>
              <w:spacing w:before="20" w:after="20"/>
              <w:jc w:val="both"/>
            </w:pPr>
            <w:r>
              <w:rPr>
                <w:sz w:val="18"/>
                <w:szCs w:val="18"/>
              </w:rPr>
              <w:t>Registra la diferencia de cambio al cobro.</w:t>
            </w:r>
          </w:p>
        </w:tc>
        <w:tc>
          <w:tcPr>
            <w:tcW w:w="1855" w:type="dxa"/>
            <w:shd w:val="clear" w:color="auto" w:fill="D9E2F3"/>
            <w:vAlign w:val="center"/>
          </w:tcPr>
          <w:p w14:paraId="5CB59D67" w14:textId="77777777" w:rsidR="00990B14" w:rsidRDefault="00000000">
            <w:pPr>
              <w:spacing w:before="20" w:after="20"/>
              <w:jc w:val="both"/>
            </w:pPr>
            <w:r>
              <w:rPr>
                <w:sz w:val="18"/>
                <w:szCs w:val="18"/>
              </w:rPr>
              <w:t>Explica el efecto cambiario en el resultado.</w:t>
            </w:r>
          </w:p>
        </w:tc>
      </w:tr>
      <w:tr w:rsidR="00990B14" w14:paraId="525BA737" w14:textId="77777777">
        <w:trPr>
          <w:cantSplit/>
          <w:jc w:val="center"/>
        </w:trPr>
        <w:tc>
          <w:tcPr>
            <w:tcW w:w="1780" w:type="dxa"/>
            <w:vMerge/>
            <w:shd w:val="clear" w:color="auto" w:fill="4472C4"/>
            <w:vAlign w:val="center"/>
          </w:tcPr>
          <w:p w14:paraId="2DAB31FF" w14:textId="77777777" w:rsidR="00990B14" w:rsidRDefault="00990B14">
            <w:pPr>
              <w:spacing w:before="20" w:after="20"/>
            </w:pPr>
          </w:p>
        </w:tc>
        <w:tc>
          <w:tcPr>
            <w:tcW w:w="1825" w:type="dxa"/>
            <w:shd w:val="clear" w:color="auto" w:fill="D9E2F3"/>
            <w:vAlign w:val="center"/>
          </w:tcPr>
          <w:p w14:paraId="1BA9E01A" w14:textId="77777777" w:rsidR="00990B14" w:rsidRDefault="00000000">
            <w:pPr>
              <w:spacing w:before="20" w:after="20"/>
              <w:jc w:val="both"/>
            </w:pPr>
            <w:r>
              <w:rPr>
                <w:sz w:val="18"/>
                <w:szCs w:val="18"/>
              </w:rPr>
              <w:t>Saldo por cliente</w:t>
            </w:r>
          </w:p>
        </w:tc>
        <w:tc>
          <w:tcPr>
            <w:tcW w:w="1825" w:type="dxa"/>
            <w:shd w:val="clear" w:color="auto" w:fill="D9E2F3"/>
            <w:vAlign w:val="center"/>
          </w:tcPr>
          <w:p w14:paraId="5F06FE77" w14:textId="77777777" w:rsidR="00990B14" w:rsidRDefault="00000000">
            <w:pPr>
              <w:spacing w:before="20" w:after="20"/>
              <w:jc w:val="both"/>
            </w:pPr>
            <w:r>
              <w:rPr>
                <w:sz w:val="18"/>
                <w:szCs w:val="18"/>
              </w:rPr>
              <w:t>El auxiliar no concilia con el mayor.</w:t>
            </w:r>
          </w:p>
        </w:tc>
        <w:tc>
          <w:tcPr>
            <w:tcW w:w="2120" w:type="dxa"/>
            <w:shd w:val="clear" w:color="auto" w:fill="D9E2F3"/>
            <w:vAlign w:val="center"/>
          </w:tcPr>
          <w:p w14:paraId="2A5CFDD6" w14:textId="77777777" w:rsidR="00990B14" w:rsidRDefault="00000000">
            <w:pPr>
              <w:spacing w:before="20" w:after="20"/>
              <w:jc w:val="both"/>
            </w:pPr>
            <w:r>
              <w:rPr>
                <w:sz w:val="18"/>
                <w:szCs w:val="18"/>
              </w:rPr>
              <w:t>El auxiliar concilia con la cuenta de control.</w:t>
            </w:r>
          </w:p>
        </w:tc>
        <w:tc>
          <w:tcPr>
            <w:tcW w:w="1855" w:type="dxa"/>
            <w:shd w:val="clear" w:color="auto" w:fill="D9E2F3"/>
            <w:vAlign w:val="center"/>
          </w:tcPr>
          <w:p w14:paraId="4C82D614" w14:textId="77777777" w:rsidR="00990B14" w:rsidRDefault="00000000">
            <w:pPr>
              <w:spacing w:before="20" w:after="20"/>
              <w:jc w:val="both"/>
            </w:pPr>
            <w:r>
              <w:rPr>
                <w:sz w:val="18"/>
                <w:szCs w:val="18"/>
              </w:rPr>
              <w:t>Señala los clientes con saldos vencidos.</w:t>
            </w:r>
          </w:p>
        </w:tc>
      </w:tr>
      <w:tr w:rsidR="00990B14" w14:paraId="40DB6926" w14:textId="77777777">
        <w:trPr>
          <w:cantSplit/>
          <w:jc w:val="center"/>
        </w:trPr>
        <w:tc>
          <w:tcPr>
            <w:tcW w:w="1780" w:type="dxa"/>
            <w:vMerge/>
            <w:shd w:val="clear" w:color="auto" w:fill="4472C4"/>
            <w:vAlign w:val="center"/>
          </w:tcPr>
          <w:p w14:paraId="212ABCAD" w14:textId="77777777" w:rsidR="00990B14" w:rsidRDefault="00990B14">
            <w:pPr>
              <w:spacing w:before="20" w:after="20"/>
            </w:pPr>
          </w:p>
        </w:tc>
        <w:tc>
          <w:tcPr>
            <w:tcW w:w="5770" w:type="dxa"/>
            <w:gridSpan w:val="3"/>
            <w:shd w:val="clear" w:color="auto" w:fill="D9E2F3"/>
            <w:vAlign w:val="center"/>
          </w:tcPr>
          <w:p w14:paraId="7F950E90" w14:textId="77777777" w:rsidR="00990B14" w:rsidRDefault="00000000">
            <w:pPr>
              <w:keepNext/>
              <w:spacing w:before="20" w:after="20"/>
              <w:jc w:val="both"/>
            </w:pPr>
            <w:r>
              <w:rPr>
                <w:b/>
                <w:bCs/>
                <w:i/>
                <w:iCs/>
                <w:sz w:val="18"/>
                <w:szCs w:val="18"/>
              </w:rPr>
              <w:t xml:space="preserve">Producto 6: </w:t>
            </w:r>
            <w:r>
              <w:rPr>
                <w:sz w:val="18"/>
                <w:szCs w:val="18"/>
              </w:rPr>
              <w:t>Cuadro de previsión para incobrables</w:t>
            </w:r>
          </w:p>
        </w:tc>
        <w:tc>
          <w:tcPr>
            <w:tcW w:w="1855" w:type="dxa"/>
            <w:shd w:val="clear" w:color="auto" w:fill="D9E2F3"/>
            <w:vAlign w:val="center"/>
          </w:tcPr>
          <w:p w14:paraId="145CA2BA" w14:textId="77777777" w:rsidR="00990B14" w:rsidRDefault="00000000">
            <w:pPr>
              <w:spacing w:before="20" w:after="20"/>
              <w:jc w:val="center"/>
            </w:pPr>
            <w:r>
              <w:rPr>
                <w:b/>
                <w:bCs/>
                <w:sz w:val="18"/>
                <w:szCs w:val="18"/>
              </w:rPr>
              <w:t>3%</w:t>
            </w:r>
          </w:p>
        </w:tc>
      </w:tr>
      <w:tr w:rsidR="00990B14" w14:paraId="00DF6664" w14:textId="77777777">
        <w:trPr>
          <w:cantSplit/>
          <w:jc w:val="center"/>
        </w:trPr>
        <w:tc>
          <w:tcPr>
            <w:tcW w:w="1780" w:type="dxa"/>
            <w:vMerge/>
            <w:shd w:val="clear" w:color="auto" w:fill="4472C4"/>
            <w:vAlign w:val="center"/>
          </w:tcPr>
          <w:p w14:paraId="3C5DBDC2" w14:textId="77777777" w:rsidR="00990B14" w:rsidRDefault="00990B14">
            <w:pPr>
              <w:spacing w:before="20" w:after="20"/>
            </w:pPr>
          </w:p>
        </w:tc>
        <w:tc>
          <w:tcPr>
            <w:tcW w:w="1825" w:type="dxa"/>
            <w:shd w:val="clear" w:color="auto" w:fill="4472C4"/>
            <w:vAlign w:val="center"/>
          </w:tcPr>
          <w:p w14:paraId="734584FA" w14:textId="77777777" w:rsidR="00990B14" w:rsidRDefault="00000000">
            <w:pPr>
              <w:keepNext/>
              <w:spacing w:before="20" w:after="20"/>
              <w:jc w:val="center"/>
            </w:pPr>
            <w:r>
              <w:rPr>
                <w:b/>
                <w:bCs/>
                <w:i/>
                <w:iCs/>
                <w:color w:val="FFFFFF"/>
                <w:sz w:val="18"/>
                <w:szCs w:val="18"/>
              </w:rPr>
              <w:t>Criterio</w:t>
            </w:r>
          </w:p>
        </w:tc>
        <w:tc>
          <w:tcPr>
            <w:tcW w:w="1825" w:type="dxa"/>
            <w:shd w:val="clear" w:color="auto" w:fill="4472C4"/>
            <w:vAlign w:val="center"/>
          </w:tcPr>
          <w:p w14:paraId="4D0B724A" w14:textId="77777777" w:rsidR="00990B14" w:rsidRDefault="00000000">
            <w:pPr>
              <w:keepNext/>
              <w:spacing w:before="20" w:after="20"/>
              <w:jc w:val="center"/>
            </w:pPr>
            <w:r>
              <w:rPr>
                <w:b/>
                <w:bCs/>
                <w:i/>
                <w:iCs/>
                <w:color w:val="FFFFFF"/>
                <w:sz w:val="18"/>
                <w:szCs w:val="18"/>
              </w:rPr>
              <w:t>Insuficiente (1–50)</w:t>
            </w:r>
          </w:p>
        </w:tc>
        <w:tc>
          <w:tcPr>
            <w:tcW w:w="2120" w:type="dxa"/>
            <w:shd w:val="clear" w:color="auto" w:fill="4472C4"/>
            <w:vAlign w:val="center"/>
          </w:tcPr>
          <w:p w14:paraId="4B2C6A4E" w14:textId="77777777" w:rsidR="00990B14" w:rsidRDefault="00000000">
            <w:pPr>
              <w:keepNext/>
              <w:spacing w:before="20" w:after="20"/>
              <w:jc w:val="center"/>
            </w:pPr>
            <w:r>
              <w:rPr>
                <w:b/>
                <w:bCs/>
                <w:i/>
                <w:iCs/>
                <w:color w:val="FFFFFF"/>
                <w:sz w:val="18"/>
                <w:szCs w:val="18"/>
              </w:rPr>
              <w:t>Suficiente (51–80)</w:t>
            </w:r>
          </w:p>
        </w:tc>
        <w:tc>
          <w:tcPr>
            <w:tcW w:w="1855" w:type="dxa"/>
            <w:shd w:val="clear" w:color="auto" w:fill="4472C4"/>
            <w:vAlign w:val="center"/>
          </w:tcPr>
          <w:p w14:paraId="01F721FC" w14:textId="77777777" w:rsidR="00990B14" w:rsidRDefault="00000000">
            <w:pPr>
              <w:keepNext/>
              <w:spacing w:before="20" w:after="20"/>
              <w:jc w:val="center"/>
            </w:pPr>
            <w:r>
              <w:rPr>
                <w:b/>
                <w:bCs/>
                <w:i/>
                <w:iCs/>
                <w:color w:val="FFFFFF"/>
                <w:sz w:val="18"/>
                <w:szCs w:val="18"/>
              </w:rPr>
              <w:t>Destacado (81–100)</w:t>
            </w:r>
          </w:p>
        </w:tc>
      </w:tr>
      <w:tr w:rsidR="00990B14" w14:paraId="6A442D5D" w14:textId="77777777">
        <w:trPr>
          <w:cantSplit/>
          <w:jc w:val="center"/>
        </w:trPr>
        <w:tc>
          <w:tcPr>
            <w:tcW w:w="1780" w:type="dxa"/>
            <w:vMerge/>
            <w:shd w:val="clear" w:color="auto" w:fill="4472C4"/>
            <w:vAlign w:val="center"/>
          </w:tcPr>
          <w:p w14:paraId="1567B365" w14:textId="77777777" w:rsidR="00990B14" w:rsidRDefault="00990B14">
            <w:pPr>
              <w:spacing w:before="20" w:after="20"/>
            </w:pPr>
          </w:p>
        </w:tc>
        <w:tc>
          <w:tcPr>
            <w:tcW w:w="1825" w:type="dxa"/>
            <w:shd w:val="clear" w:color="auto" w:fill="D9E2F3"/>
            <w:vAlign w:val="center"/>
          </w:tcPr>
          <w:p w14:paraId="4659E27B" w14:textId="77777777" w:rsidR="00990B14" w:rsidRDefault="00000000">
            <w:pPr>
              <w:spacing w:before="20" w:after="20"/>
              <w:jc w:val="both"/>
            </w:pPr>
            <w:r>
              <w:rPr>
                <w:sz w:val="18"/>
                <w:szCs w:val="18"/>
              </w:rPr>
              <w:t>Antigüedad de saldos</w:t>
            </w:r>
          </w:p>
        </w:tc>
        <w:tc>
          <w:tcPr>
            <w:tcW w:w="1825" w:type="dxa"/>
            <w:shd w:val="clear" w:color="auto" w:fill="D9E2F3"/>
            <w:vAlign w:val="center"/>
          </w:tcPr>
          <w:p w14:paraId="015269A0" w14:textId="77777777" w:rsidR="00990B14" w:rsidRDefault="00000000">
            <w:pPr>
              <w:spacing w:before="20" w:after="20"/>
              <w:jc w:val="both"/>
            </w:pPr>
            <w:r>
              <w:rPr>
                <w:sz w:val="18"/>
                <w:szCs w:val="18"/>
              </w:rPr>
              <w:t>Clasifica mal los saldos por tramo.</w:t>
            </w:r>
          </w:p>
        </w:tc>
        <w:tc>
          <w:tcPr>
            <w:tcW w:w="2120" w:type="dxa"/>
            <w:shd w:val="clear" w:color="auto" w:fill="D9E2F3"/>
            <w:vAlign w:val="center"/>
          </w:tcPr>
          <w:p w14:paraId="51AADC1E" w14:textId="77777777" w:rsidR="00990B14" w:rsidRDefault="00000000">
            <w:pPr>
              <w:spacing w:before="20" w:after="20"/>
              <w:jc w:val="both"/>
            </w:pPr>
            <w:r>
              <w:rPr>
                <w:sz w:val="18"/>
                <w:szCs w:val="18"/>
              </w:rPr>
              <w:t>Clasifica la cartera por tramos de vencimiento.</w:t>
            </w:r>
          </w:p>
        </w:tc>
        <w:tc>
          <w:tcPr>
            <w:tcW w:w="1855" w:type="dxa"/>
            <w:shd w:val="clear" w:color="auto" w:fill="D9E2F3"/>
            <w:vAlign w:val="center"/>
          </w:tcPr>
          <w:p w14:paraId="22CB3F32" w14:textId="77777777" w:rsidR="00990B14" w:rsidRDefault="00000000">
            <w:pPr>
              <w:spacing w:before="20" w:after="20"/>
              <w:jc w:val="both"/>
            </w:pPr>
            <w:r>
              <w:rPr>
                <w:sz w:val="18"/>
                <w:szCs w:val="18"/>
              </w:rPr>
              <w:t>Detecta clientes con riesgo alto de impago.</w:t>
            </w:r>
          </w:p>
        </w:tc>
      </w:tr>
      <w:tr w:rsidR="00990B14" w14:paraId="6F31FF3B" w14:textId="77777777">
        <w:trPr>
          <w:cantSplit/>
          <w:jc w:val="center"/>
        </w:trPr>
        <w:tc>
          <w:tcPr>
            <w:tcW w:w="1780" w:type="dxa"/>
            <w:vMerge/>
            <w:shd w:val="clear" w:color="auto" w:fill="4472C4"/>
            <w:vAlign w:val="center"/>
          </w:tcPr>
          <w:p w14:paraId="548D3E92" w14:textId="77777777" w:rsidR="00990B14" w:rsidRDefault="00990B14">
            <w:pPr>
              <w:spacing w:before="20" w:after="20"/>
            </w:pPr>
          </w:p>
        </w:tc>
        <w:tc>
          <w:tcPr>
            <w:tcW w:w="1825" w:type="dxa"/>
            <w:shd w:val="clear" w:color="auto" w:fill="D9E2F3"/>
            <w:vAlign w:val="center"/>
          </w:tcPr>
          <w:p w14:paraId="49A6558F" w14:textId="77777777" w:rsidR="00990B14" w:rsidRDefault="00000000">
            <w:pPr>
              <w:spacing w:before="20" w:after="20"/>
              <w:jc w:val="both"/>
            </w:pPr>
            <w:r>
              <w:rPr>
                <w:sz w:val="18"/>
                <w:szCs w:val="18"/>
              </w:rPr>
              <w:t>Cálculo de la previsión</w:t>
            </w:r>
          </w:p>
        </w:tc>
        <w:tc>
          <w:tcPr>
            <w:tcW w:w="1825" w:type="dxa"/>
            <w:shd w:val="clear" w:color="auto" w:fill="D9E2F3"/>
            <w:vAlign w:val="center"/>
          </w:tcPr>
          <w:p w14:paraId="0D2D25B8" w14:textId="77777777" w:rsidR="00990B14" w:rsidRDefault="00000000">
            <w:pPr>
              <w:spacing w:before="20" w:after="20"/>
              <w:jc w:val="both"/>
            </w:pPr>
            <w:r>
              <w:rPr>
                <w:sz w:val="18"/>
                <w:szCs w:val="18"/>
              </w:rPr>
              <w:t>Aplica porcentajes sin sustento.</w:t>
            </w:r>
          </w:p>
        </w:tc>
        <w:tc>
          <w:tcPr>
            <w:tcW w:w="2120" w:type="dxa"/>
            <w:shd w:val="clear" w:color="auto" w:fill="D9E2F3"/>
            <w:vAlign w:val="center"/>
          </w:tcPr>
          <w:p w14:paraId="180CC45C" w14:textId="77777777" w:rsidR="00990B14" w:rsidRDefault="00000000">
            <w:pPr>
              <w:spacing w:before="20" w:after="20"/>
              <w:jc w:val="both"/>
            </w:pPr>
            <w:r>
              <w:rPr>
                <w:sz w:val="18"/>
                <w:szCs w:val="18"/>
              </w:rPr>
              <w:t>Calcula la previsión con cada método.</w:t>
            </w:r>
          </w:p>
        </w:tc>
        <w:tc>
          <w:tcPr>
            <w:tcW w:w="1855" w:type="dxa"/>
            <w:shd w:val="clear" w:color="auto" w:fill="D9E2F3"/>
            <w:vAlign w:val="center"/>
          </w:tcPr>
          <w:p w14:paraId="3CD5BFF5" w14:textId="77777777" w:rsidR="00990B14" w:rsidRDefault="00000000">
            <w:pPr>
              <w:spacing w:before="20" w:after="20"/>
              <w:jc w:val="both"/>
            </w:pPr>
            <w:r>
              <w:rPr>
                <w:sz w:val="18"/>
                <w:szCs w:val="18"/>
              </w:rPr>
              <w:t>Justifica el método más adecuado para la cartera.</w:t>
            </w:r>
          </w:p>
        </w:tc>
      </w:tr>
      <w:tr w:rsidR="00990B14" w14:paraId="11EB6ED6" w14:textId="77777777">
        <w:trPr>
          <w:cantSplit/>
          <w:jc w:val="center"/>
        </w:trPr>
        <w:tc>
          <w:tcPr>
            <w:tcW w:w="1780" w:type="dxa"/>
            <w:vMerge/>
            <w:shd w:val="clear" w:color="auto" w:fill="4472C4"/>
            <w:vAlign w:val="center"/>
          </w:tcPr>
          <w:p w14:paraId="6C19637B" w14:textId="77777777" w:rsidR="00990B14" w:rsidRDefault="00990B14">
            <w:pPr>
              <w:spacing w:before="20" w:after="20"/>
            </w:pPr>
          </w:p>
        </w:tc>
        <w:tc>
          <w:tcPr>
            <w:tcW w:w="1825" w:type="dxa"/>
            <w:shd w:val="clear" w:color="auto" w:fill="D9E2F3"/>
            <w:vAlign w:val="center"/>
          </w:tcPr>
          <w:p w14:paraId="250A5900" w14:textId="77777777" w:rsidR="00990B14" w:rsidRDefault="00000000">
            <w:pPr>
              <w:spacing w:before="20" w:after="20"/>
              <w:jc w:val="both"/>
            </w:pPr>
            <w:r>
              <w:rPr>
                <w:sz w:val="18"/>
                <w:szCs w:val="18"/>
              </w:rPr>
              <w:t>Registro contable</w:t>
            </w:r>
          </w:p>
        </w:tc>
        <w:tc>
          <w:tcPr>
            <w:tcW w:w="1825" w:type="dxa"/>
            <w:shd w:val="clear" w:color="auto" w:fill="D9E2F3"/>
            <w:vAlign w:val="center"/>
          </w:tcPr>
          <w:p w14:paraId="19051D75" w14:textId="77777777" w:rsidR="00990B14" w:rsidRDefault="00000000">
            <w:pPr>
              <w:spacing w:before="20" w:after="20"/>
              <w:jc w:val="both"/>
            </w:pPr>
            <w:r>
              <w:rPr>
                <w:sz w:val="18"/>
                <w:szCs w:val="18"/>
              </w:rPr>
              <w:t>Omite el asiento de previsión.</w:t>
            </w:r>
          </w:p>
        </w:tc>
        <w:tc>
          <w:tcPr>
            <w:tcW w:w="2120" w:type="dxa"/>
            <w:shd w:val="clear" w:color="auto" w:fill="D9E2F3"/>
            <w:vAlign w:val="center"/>
          </w:tcPr>
          <w:p w14:paraId="7447DDC7" w14:textId="77777777" w:rsidR="00990B14" w:rsidRDefault="00000000">
            <w:pPr>
              <w:spacing w:before="20" w:after="20"/>
              <w:jc w:val="both"/>
            </w:pPr>
            <w:r>
              <w:rPr>
                <w:sz w:val="18"/>
                <w:szCs w:val="18"/>
              </w:rPr>
              <w:t>Registra la previsión y la recuperación de incobrables.</w:t>
            </w:r>
          </w:p>
        </w:tc>
        <w:tc>
          <w:tcPr>
            <w:tcW w:w="1855" w:type="dxa"/>
            <w:shd w:val="clear" w:color="auto" w:fill="D9E2F3"/>
            <w:vAlign w:val="center"/>
          </w:tcPr>
          <w:p w14:paraId="0414180D" w14:textId="77777777" w:rsidR="00990B14" w:rsidRDefault="00000000">
            <w:pPr>
              <w:spacing w:before="20" w:after="20"/>
              <w:jc w:val="both"/>
            </w:pPr>
            <w:r>
              <w:rPr>
                <w:sz w:val="18"/>
                <w:szCs w:val="18"/>
              </w:rPr>
              <w:t>Verifica el saldo de la previsión con el cuadro.</w:t>
            </w:r>
          </w:p>
        </w:tc>
      </w:tr>
      <w:tr w:rsidR="00990B14" w14:paraId="5BBD7F40" w14:textId="77777777">
        <w:trPr>
          <w:cantSplit/>
          <w:jc w:val="center"/>
        </w:trPr>
        <w:tc>
          <w:tcPr>
            <w:tcW w:w="1780" w:type="dxa"/>
            <w:vMerge/>
            <w:shd w:val="clear" w:color="auto" w:fill="4472C4"/>
            <w:vAlign w:val="center"/>
          </w:tcPr>
          <w:p w14:paraId="1007BF7E" w14:textId="77777777" w:rsidR="00990B14" w:rsidRDefault="00990B14">
            <w:pPr>
              <w:spacing w:before="20" w:after="20"/>
            </w:pPr>
          </w:p>
        </w:tc>
        <w:tc>
          <w:tcPr>
            <w:tcW w:w="5770" w:type="dxa"/>
            <w:gridSpan w:val="3"/>
            <w:shd w:val="clear" w:color="auto" w:fill="D9E2F3"/>
            <w:vAlign w:val="center"/>
          </w:tcPr>
          <w:p w14:paraId="1449FDA6" w14:textId="77777777" w:rsidR="00990B14" w:rsidRDefault="00000000">
            <w:pPr>
              <w:keepNext/>
              <w:spacing w:before="20" w:after="20"/>
              <w:jc w:val="both"/>
            </w:pPr>
            <w:r>
              <w:rPr>
                <w:b/>
                <w:bCs/>
                <w:i/>
                <w:iCs/>
                <w:sz w:val="18"/>
                <w:szCs w:val="18"/>
              </w:rPr>
              <w:t xml:space="preserve">Producto 7: </w:t>
            </w:r>
            <w:r>
              <w:rPr>
                <w:sz w:val="18"/>
                <w:szCs w:val="18"/>
              </w:rPr>
              <w:t>Cuadro de registro de letras de cambio</w:t>
            </w:r>
          </w:p>
        </w:tc>
        <w:tc>
          <w:tcPr>
            <w:tcW w:w="1855" w:type="dxa"/>
            <w:shd w:val="clear" w:color="auto" w:fill="D9E2F3"/>
            <w:vAlign w:val="center"/>
          </w:tcPr>
          <w:p w14:paraId="7594779C" w14:textId="77777777" w:rsidR="00990B14" w:rsidRDefault="00000000">
            <w:pPr>
              <w:spacing w:before="20" w:after="20"/>
              <w:jc w:val="center"/>
            </w:pPr>
            <w:r>
              <w:rPr>
                <w:b/>
                <w:bCs/>
                <w:sz w:val="18"/>
                <w:szCs w:val="18"/>
              </w:rPr>
              <w:t>3%</w:t>
            </w:r>
          </w:p>
        </w:tc>
      </w:tr>
      <w:tr w:rsidR="00990B14" w14:paraId="391332EA" w14:textId="77777777">
        <w:trPr>
          <w:cantSplit/>
          <w:jc w:val="center"/>
        </w:trPr>
        <w:tc>
          <w:tcPr>
            <w:tcW w:w="1780" w:type="dxa"/>
            <w:vMerge/>
            <w:shd w:val="clear" w:color="auto" w:fill="4472C4"/>
            <w:vAlign w:val="center"/>
          </w:tcPr>
          <w:p w14:paraId="0FC7A387" w14:textId="77777777" w:rsidR="00990B14" w:rsidRDefault="00990B14">
            <w:pPr>
              <w:spacing w:before="20" w:after="20"/>
            </w:pPr>
          </w:p>
        </w:tc>
        <w:tc>
          <w:tcPr>
            <w:tcW w:w="1825" w:type="dxa"/>
            <w:shd w:val="clear" w:color="auto" w:fill="4472C4"/>
            <w:vAlign w:val="center"/>
          </w:tcPr>
          <w:p w14:paraId="78D92D62" w14:textId="77777777" w:rsidR="00990B14" w:rsidRDefault="00000000">
            <w:pPr>
              <w:keepNext/>
              <w:spacing w:before="20" w:after="20"/>
              <w:jc w:val="center"/>
            </w:pPr>
            <w:r>
              <w:rPr>
                <w:b/>
                <w:bCs/>
                <w:i/>
                <w:iCs/>
                <w:color w:val="FFFFFF"/>
                <w:sz w:val="18"/>
                <w:szCs w:val="18"/>
              </w:rPr>
              <w:t>Criterio</w:t>
            </w:r>
          </w:p>
        </w:tc>
        <w:tc>
          <w:tcPr>
            <w:tcW w:w="1825" w:type="dxa"/>
            <w:shd w:val="clear" w:color="auto" w:fill="4472C4"/>
            <w:vAlign w:val="center"/>
          </w:tcPr>
          <w:p w14:paraId="3EAF0369" w14:textId="77777777" w:rsidR="00990B14" w:rsidRDefault="00000000">
            <w:pPr>
              <w:keepNext/>
              <w:spacing w:before="20" w:after="20"/>
              <w:jc w:val="center"/>
            </w:pPr>
            <w:r>
              <w:rPr>
                <w:b/>
                <w:bCs/>
                <w:i/>
                <w:iCs/>
                <w:color w:val="FFFFFF"/>
                <w:sz w:val="18"/>
                <w:szCs w:val="18"/>
              </w:rPr>
              <w:t>Insuficiente (1–50)</w:t>
            </w:r>
          </w:p>
        </w:tc>
        <w:tc>
          <w:tcPr>
            <w:tcW w:w="2120" w:type="dxa"/>
            <w:shd w:val="clear" w:color="auto" w:fill="4472C4"/>
            <w:vAlign w:val="center"/>
          </w:tcPr>
          <w:p w14:paraId="5B22A1E5" w14:textId="77777777" w:rsidR="00990B14" w:rsidRDefault="00000000">
            <w:pPr>
              <w:keepNext/>
              <w:spacing w:before="20" w:after="20"/>
              <w:jc w:val="center"/>
            </w:pPr>
            <w:r>
              <w:rPr>
                <w:b/>
                <w:bCs/>
                <w:i/>
                <w:iCs/>
                <w:color w:val="FFFFFF"/>
                <w:sz w:val="18"/>
                <w:szCs w:val="18"/>
              </w:rPr>
              <w:t>Suficiente (51–80)</w:t>
            </w:r>
          </w:p>
        </w:tc>
        <w:tc>
          <w:tcPr>
            <w:tcW w:w="1855" w:type="dxa"/>
            <w:shd w:val="clear" w:color="auto" w:fill="4472C4"/>
            <w:vAlign w:val="center"/>
          </w:tcPr>
          <w:p w14:paraId="5AA9A45C" w14:textId="77777777" w:rsidR="00990B14" w:rsidRDefault="00000000">
            <w:pPr>
              <w:keepNext/>
              <w:spacing w:before="20" w:after="20"/>
              <w:jc w:val="center"/>
            </w:pPr>
            <w:r>
              <w:rPr>
                <w:b/>
                <w:bCs/>
                <w:i/>
                <w:iCs/>
                <w:color w:val="FFFFFF"/>
                <w:sz w:val="18"/>
                <w:szCs w:val="18"/>
              </w:rPr>
              <w:t>Destacado (81–100)</w:t>
            </w:r>
          </w:p>
        </w:tc>
      </w:tr>
      <w:tr w:rsidR="00990B14" w14:paraId="12B554D5" w14:textId="77777777">
        <w:trPr>
          <w:cantSplit/>
          <w:jc w:val="center"/>
        </w:trPr>
        <w:tc>
          <w:tcPr>
            <w:tcW w:w="1780" w:type="dxa"/>
            <w:vMerge/>
            <w:shd w:val="clear" w:color="auto" w:fill="4472C4"/>
            <w:vAlign w:val="center"/>
          </w:tcPr>
          <w:p w14:paraId="30951E84" w14:textId="77777777" w:rsidR="00990B14" w:rsidRDefault="00990B14">
            <w:pPr>
              <w:spacing w:before="20" w:after="20"/>
            </w:pPr>
          </w:p>
        </w:tc>
        <w:tc>
          <w:tcPr>
            <w:tcW w:w="1825" w:type="dxa"/>
            <w:shd w:val="clear" w:color="auto" w:fill="D9E2F3"/>
            <w:vAlign w:val="center"/>
          </w:tcPr>
          <w:p w14:paraId="63C069D2" w14:textId="77777777" w:rsidR="00990B14" w:rsidRDefault="00000000">
            <w:pPr>
              <w:spacing w:before="20" w:after="20"/>
              <w:jc w:val="both"/>
            </w:pPr>
            <w:r>
              <w:rPr>
                <w:sz w:val="18"/>
                <w:szCs w:val="18"/>
              </w:rPr>
              <w:t>Renovaciones</w:t>
            </w:r>
          </w:p>
        </w:tc>
        <w:tc>
          <w:tcPr>
            <w:tcW w:w="1825" w:type="dxa"/>
            <w:shd w:val="clear" w:color="auto" w:fill="D9E2F3"/>
            <w:vAlign w:val="center"/>
          </w:tcPr>
          <w:p w14:paraId="67A87C25" w14:textId="77777777" w:rsidR="00990B14" w:rsidRDefault="00000000">
            <w:pPr>
              <w:spacing w:before="20" w:after="20"/>
              <w:jc w:val="both"/>
            </w:pPr>
            <w:r>
              <w:rPr>
                <w:sz w:val="18"/>
                <w:szCs w:val="18"/>
              </w:rPr>
              <w:t>Confunde la renovación total con la parcial.</w:t>
            </w:r>
          </w:p>
        </w:tc>
        <w:tc>
          <w:tcPr>
            <w:tcW w:w="2120" w:type="dxa"/>
            <w:shd w:val="clear" w:color="auto" w:fill="D9E2F3"/>
            <w:vAlign w:val="center"/>
          </w:tcPr>
          <w:p w14:paraId="45AF95FF" w14:textId="77777777" w:rsidR="00990B14" w:rsidRDefault="00000000">
            <w:pPr>
              <w:spacing w:before="20" w:after="20"/>
              <w:jc w:val="both"/>
            </w:pPr>
            <w:r>
              <w:rPr>
                <w:sz w:val="18"/>
                <w:szCs w:val="18"/>
              </w:rPr>
              <w:t>Registra cada modalidad de renovación con su interés.</w:t>
            </w:r>
          </w:p>
        </w:tc>
        <w:tc>
          <w:tcPr>
            <w:tcW w:w="1855" w:type="dxa"/>
            <w:shd w:val="clear" w:color="auto" w:fill="D9E2F3"/>
            <w:vAlign w:val="center"/>
          </w:tcPr>
          <w:p w14:paraId="7C1A2974" w14:textId="77777777" w:rsidR="00990B14" w:rsidRDefault="00000000">
            <w:pPr>
              <w:spacing w:before="20" w:after="20"/>
              <w:jc w:val="both"/>
            </w:pPr>
            <w:r>
              <w:rPr>
                <w:sz w:val="18"/>
                <w:szCs w:val="18"/>
              </w:rPr>
              <w:t>Compara el costo de cada modalidad para el deudor.</w:t>
            </w:r>
          </w:p>
        </w:tc>
      </w:tr>
      <w:tr w:rsidR="00990B14" w14:paraId="4D33EA03" w14:textId="77777777">
        <w:trPr>
          <w:cantSplit/>
          <w:jc w:val="center"/>
        </w:trPr>
        <w:tc>
          <w:tcPr>
            <w:tcW w:w="1780" w:type="dxa"/>
            <w:vMerge/>
            <w:shd w:val="clear" w:color="auto" w:fill="4472C4"/>
            <w:vAlign w:val="center"/>
          </w:tcPr>
          <w:p w14:paraId="51843570" w14:textId="77777777" w:rsidR="00990B14" w:rsidRDefault="00990B14">
            <w:pPr>
              <w:spacing w:before="20" w:after="20"/>
            </w:pPr>
          </w:p>
        </w:tc>
        <w:tc>
          <w:tcPr>
            <w:tcW w:w="1825" w:type="dxa"/>
            <w:shd w:val="clear" w:color="auto" w:fill="D9E2F3"/>
            <w:vAlign w:val="center"/>
          </w:tcPr>
          <w:p w14:paraId="5802DD28" w14:textId="77777777" w:rsidR="00990B14" w:rsidRDefault="00000000">
            <w:pPr>
              <w:spacing w:before="20" w:after="20"/>
              <w:jc w:val="both"/>
            </w:pPr>
            <w:r>
              <w:rPr>
                <w:sz w:val="18"/>
                <w:szCs w:val="18"/>
              </w:rPr>
              <w:t>Protesto y descuento</w:t>
            </w:r>
          </w:p>
        </w:tc>
        <w:tc>
          <w:tcPr>
            <w:tcW w:w="1825" w:type="dxa"/>
            <w:shd w:val="clear" w:color="auto" w:fill="D9E2F3"/>
            <w:vAlign w:val="center"/>
          </w:tcPr>
          <w:p w14:paraId="00EB2EB6" w14:textId="77777777" w:rsidR="00990B14" w:rsidRDefault="00000000">
            <w:pPr>
              <w:spacing w:before="20" w:after="20"/>
              <w:jc w:val="both"/>
            </w:pPr>
            <w:r>
              <w:rPr>
                <w:sz w:val="18"/>
                <w:szCs w:val="18"/>
              </w:rPr>
              <w:t>Omite los gastos del protesto o del descuento.</w:t>
            </w:r>
          </w:p>
        </w:tc>
        <w:tc>
          <w:tcPr>
            <w:tcW w:w="2120" w:type="dxa"/>
            <w:shd w:val="clear" w:color="auto" w:fill="D9E2F3"/>
            <w:vAlign w:val="center"/>
          </w:tcPr>
          <w:p w14:paraId="596BB42A" w14:textId="77777777" w:rsidR="00990B14" w:rsidRDefault="00000000">
            <w:pPr>
              <w:spacing w:before="20" w:after="20"/>
              <w:jc w:val="both"/>
            </w:pPr>
            <w:r>
              <w:rPr>
                <w:sz w:val="18"/>
                <w:szCs w:val="18"/>
              </w:rPr>
              <w:t>Registra el protesto y el descuento de la letra.</w:t>
            </w:r>
          </w:p>
        </w:tc>
        <w:tc>
          <w:tcPr>
            <w:tcW w:w="1855" w:type="dxa"/>
            <w:shd w:val="clear" w:color="auto" w:fill="D9E2F3"/>
            <w:vAlign w:val="center"/>
          </w:tcPr>
          <w:p w14:paraId="13EB8402" w14:textId="77777777" w:rsidR="00990B14" w:rsidRDefault="00000000">
            <w:pPr>
              <w:spacing w:before="20" w:after="20"/>
              <w:jc w:val="both"/>
            </w:pPr>
            <w:r>
              <w:rPr>
                <w:sz w:val="18"/>
                <w:szCs w:val="18"/>
              </w:rPr>
              <w:t>Explica la contingencia de la letra descontada.</w:t>
            </w:r>
          </w:p>
        </w:tc>
      </w:tr>
      <w:tr w:rsidR="00990B14" w14:paraId="584E0C51" w14:textId="77777777">
        <w:trPr>
          <w:cantSplit/>
          <w:jc w:val="center"/>
        </w:trPr>
        <w:tc>
          <w:tcPr>
            <w:tcW w:w="1780" w:type="dxa"/>
            <w:vMerge/>
            <w:shd w:val="clear" w:color="auto" w:fill="4472C4"/>
            <w:vAlign w:val="center"/>
          </w:tcPr>
          <w:p w14:paraId="5BA55226" w14:textId="77777777" w:rsidR="00990B14" w:rsidRDefault="00990B14">
            <w:pPr>
              <w:spacing w:before="20" w:after="20"/>
            </w:pPr>
          </w:p>
        </w:tc>
        <w:tc>
          <w:tcPr>
            <w:tcW w:w="1825" w:type="dxa"/>
            <w:shd w:val="clear" w:color="auto" w:fill="D9E2F3"/>
            <w:vAlign w:val="center"/>
          </w:tcPr>
          <w:p w14:paraId="704D6C92" w14:textId="77777777" w:rsidR="00990B14" w:rsidRDefault="00000000">
            <w:pPr>
              <w:spacing w:before="20" w:after="20"/>
              <w:jc w:val="both"/>
            </w:pPr>
            <w:r>
              <w:rPr>
                <w:sz w:val="18"/>
                <w:szCs w:val="18"/>
              </w:rPr>
              <w:t>Trabajo en equipo</w:t>
            </w:r>
          </w:p>
        </w:tc>
        <w:tc>
          <w:tcPr>
            <w:tcW w:w="1825" w:type="dxa"/>
            <w:shd w:val="clear" w:color="auto" w:fill="D9E2F3"/>
            <w:vAlign w:val="center"/>
          </w:tcPr>
          <w:p w14:paraId="654B050A" w14:textId="77777777" w:rsidR="00990B14" w:rsidRDefault="00000000">
            <w:pPr>
              <w:spacing w:before="20" w:after="20"/>
              <w:jc w:val="both"/>
            </w:pPr>
            <w:r>
              <w:rPr>
                <w:sz w:val="18"/>
                <w:szCs w:val="18"/>
              </w:rPr>
              <w:t>La participación es desigual.</w:t>
            </w:r>
          </w:p>
        </w:tc>
        <w:tc>
          <w:tcPr>
            <w:tcW w:w="2120" w:type="dxa"/>
            <w:shd w:val="clear" w:color="auto" w:fill="D9E2F3"/>
            <w:vAlign w:val="center"/>
          </w:tcPr>
          <w:p w14:paraId="0A0D2EF9" w14:textId="77777777" w:rsidR="00990B14" w:rsidRDefault="00000000">
            <w:pPr>
              <w:spacing w:before="20" w:after="20"/>
              <w:jc w:val="both"/>
            </w:pPr>
            <w:r>
              <w:rPr>
                <w:sz w:val="18"/>
                <w:szCs w:val="18"/>
              </w:rPr>
              <w:t>Todos los integrantes participan.</w:t>
            </w:r>
          </w:p>
        </w:tc>
        <w:tc>
          <w:tcPr>
            <w:tcW w:w="1855" w:type="dxa"/>
            <w:shd w:val="clear" w:color="auto" w:fill="D9E2F3"/>
            <w:vAlign w:val="center"/>
          </w:tcPr>
          <w:p w14:paraId="36CFADDF" w14:textId="77777777" w:rsidR="00990B14" w:rsidRDefault="00000000">
            <w:pPr>
              <w:spacing w:before="20" w:after="20"/>
              <w:jc w:val="both"/>
            </w:pPr>
            <w:r>
              <w:rPr>
                <w:sz w:val="18"/>
                <w:szCs w:val="18"/>
              </w:rPr>
              <w:t>El equipo sustenta sus registros ante el curso.</w:t>
            </w:r>
          </w:p>
        </w:tc>
      </w:tr>
      <w:tr w:rsidR="00990B14" w14:paraId="2F588755" w14:textId="77777777">
        <w:trPr>
          <w:cantSplit/>
          <w:jc w:val="center"/>
        </w:trPr>
        <w:tc>
          <w:tcPr>
            <w:tcW w:w="1780" w:type="dxa"/>
            <w:vMerge/>
            <w:shd w:val="clear" w:color="auto" w:fill="4472C4"/>
            <w:vAlign w:val="center"/>
          </w:tcPr>
          <w:p w14:paraId="453B6421" w14:textId="77777777" w:rsidR="00990B14" w:rsidRDefault="00990B14">
            <w:pPr>
              <w:spacing w:before="20" w:after="20"/>
            </w:pPr>
          </w:p>
        </w:tc>
        <w:tc>
          <w:tcPr>
            <w:tcW w:w="5770" w:type="dxa"/>
            <w:gridSpan w:val="3"/>
            <w:shd w:val="clear" w:color="auto" w:fill="D9E2F3"/>
            <w:vAlign w:val="center"/>
          </w:tcPr>
          <w:p w14:paraId="127D24A0" w14:textId="77777777" w:rsidR="00990B14" w:rsidRDefault="00000000">
            <w:pPr>
              <w:keepNext/>
              <w:spacing w:before="20" w:after="20"/>
              <w:jc w:val="both"/>
            </w:pPr>
            <w:r>
              <w:rPr>
                <w:b/>
                <w:bCs/>
                <w:i/>
                <w:iCs/>
                <w:sz w:val="18"/>
                <w:szCs w:val="18"/>
              </w:rPr>
              <w:t xml:space="preserve">Producto 8: </w:t>
            </w:r>
            <w:r>
              <w:rPr>
                <w:sz w:val="18"/>
                <w:szCs w:val="18"/>
              </w:rPr>
              <w:t>Informe de gestión de cobranza</w:t>
            </w:r>
          </w:p>
        </w:tc>
        <w:tc>
          <w:tcPr>
            <w:tcW w:w="1855" w:type="dxa"/>
            <w:shd w:val="clear" w:color="auto" w:fill="D9E2F3"/>
            <w:vAlign w:val="center"/>
          </w:tcPr>
          <w:p w14:paraId="65F2D169" w14:textId="77777777" w:rsidR="00990B14" w:rsidRDefault="00000000">
            <w:pPr>
              <w:spacing w:before="20" w:after="20"/>
              <w:jc w:val="center"/>
            </w:pPr>
            <w:r>
              <w:rPr>
                <w:b/>
                <w:bCs/>
                <w:sz w:val="18"/>
                <w:szCs w:val="18"/>
              </w:rPr>
              <w:t>3%</w:t>
            </w:r>
          </w:p>
        </w:tc>
      </w:tr>
      <w:tr w:rsidR="00990B14" w14:paraId="6719B5C7" w14:textId="77777777">
        <w:trPr>
          <w:cantSplit/>
          <w:jc w:val="center"/>
        </w:trPr>
        <w:tc>
          <w:tcPr>
            <w:tcW w:w="1780" w:type="dxa"/>
            <w:vMerge/>
            <w:shd w:val="clear" w:color="auto" w:fill="4472C4"/>
            <w:vAlign w:val="center"/>
          </w:tcPr>
          <w:p w14:paraId="724C87B7" w14:textId="77777777" w:rsidR="00990B14" w:rsidRDefault="00990B14">
            <w:pPr>
              <w:spacing w:before="20" w:after="20"/>
            </w:pPr>
          </w:p>
        </w:tc>
        <w:tc>
          <w:tcPr>
            <w:tcW w:w="1825" w:type="dxa"/>
            <w:shd w:val="clear" w:color="auto" w:fill="4472C4"/>
            <w:vAlign w:val="center"/>
          </w:tcPr>
          <w:p w14:paraId="7CFF6E63" w14:textId="77777777" w:rsidR="00990B14" w:rsidRDefault="00000000">
            <w:pPr>
              <w:keepNext/>
              <w:spacing w:before="20" w:after="20"/>
              <w:jc w:val="center"/>
            </w:pPr>
            <w:r>
              <w:rPr>
                <w:b/>
                <w:bCs/>
                <w:i/>
                <w:iCs/>
                <w:color w:val="FFFFFF"/>
                <w:sz w:val="18"/>
                <w:szCs w:val="18"/>
              </w:rPr>
              <w:t>Criterio</w:t>
            </w:r>
          </w:p>
        </w:tc>
        <w:tc>
          <w:tcPr>
            <w:tcW w:w="1825" w:type="dxa"/>
            <w:shd w:val="clear" w:color="auto" w:fill="4472C4"/>
            <w:vAlign w:val="center"/>
          </w:tcPr>
          <w:p w14:paraId="6E3AD65B" w14:textId="77777777" w:rsidR="00990B14" w:rsidRDefault="00000000">
            <w:pPr>
              <w:keepNext/>
              <w:spacing w:before="20" w:after="20"/>
              <w:jc w:val="center"/>
            </w:pPr>
            <w:r>
              <w:rPr>
                <w:b/>
                <w:bCs/>
                <w:i/>
                <w:iCs/>
                <w:color w:val="FFFFFF"/>
                <w:sz w:val="18"/>
                <w:szCs w:val="18"/>
              </w:rPr>
              <w:t>Insuficiente (1–50)</w:t>
            </w:r>
          </w:p>
        </w:tc>
        <w:tc>
          <w:tcPr>
            <w:tcW w:w="2120" w:type="dxa"/>
            <w:shd w:val="clear" w:color="auto" w:fill="4472C4"/>
            <w:vAlign w:val="center"/>
          </w:tcPr>
          <w:p w14:paraId="623E4DC7" w14:textId="77777777" w:rsidR="00990B14" w:rsidRDefault="00000000">
            <w:pPr>
              <w:keepNext/>
              <w:spacing w:before="20" w:after="20"/>
              <w:jc w:val="center"/>
            </w:pPr>
            <w:r>
              <w:rPr>
                <w:b/>
                <w:bCs/>
                <w:i/>
                <w:iCs/>
                <w:color w:val="FFFFFF"/>
                <w:sz w:val="18"/>
                <w:szCs w:val="18"/>
              </w:rPr>
              <w:t>Suficiente (51–80)</w:t>
            </w:r>
          </w:p>
        </w:tc>
        <w:tc>
          <w:tcPr>
            <w:tcW w:w="1855" w:type="dxa"/>
            <w:shd w:val="clear" w:color="auto" w:fill="4472C4"/>
            <w:vAlign w:val="center"/>
          </w:tcPr>
          <w:p w14:paraId="0B3ABAB7" w14:textId="77777777" w:rsidR="00990B14" w:rsidRDefault="00000000">
            <w:pPr>
              <w:keepNext/>
              <w:spacing w:before="20" w:after="20"/>
              <w:jc w:val="center"/>
            </w:pPr>
            <w:r>
              <w:rPr>
                <w:b/>
                <w:bCs/>
                <w:i/>
                <w:iCs/>
                <w:color w:val="FFFFFF"/>
                <w:sz w:val="18"/>
                <w:szCs w:val="18"/>
              </w:rPr>
              <w:t>Destacado (81–100)</w:t>
            </w:r>
          </w:p>
        </w:tc>
      </w:tr>
      <w:tr w:rsidR="00990B14" w14:paraId="5357C10C" w14:textId="77777777">
        <w:trPr>
          <w:cantSplit/>
          <w:jc w:val="center"/>
        </w:trPr>
        <w:tc>
          <w:tcPr>
            <w:tcW w:w="1780" w:type="dxa"/>
            <w:vMerge/>
            <w:shd w:val="clear" w:color="auto" w:fill="4472C4"/>
            <w:vAlign w:val="center"/>
          </w:tcPr>
          <w:p w14:paraId="605F6F14" w14:textId="77777777" w:rsidR="00990B14" w:rsidRDefault="00990B14">
            <w:pPr>
              <w:spacing w:before="20" w:after="20"/>
            </w:pPr>
          </w:p>
        </w:tc>
        <w:tc>
          <w:tcPr>
            <w:tcW w:w="1825" w:type="dxa"/>
            <w:shd w:val="clear" w:color="auto" w:fill="D9E2F3"/>
            <w:vAlign w:val="center"/>
          </w:tcPr>
          <w:p w14:paraId="48353FA9" w14:textId="77777777" w:rsidR="00990B14" w:rsidRDefault="00000000">
            <w:pPr>
              <w:spacing w:before="20" w:after="20"/>
              <w:jc w:val="both"/>
            </w:pPr>
            <w:r>
              <w:rPr>
                <w:sz w:val="18"/>
                <w:szCs w:val="18"/>
              </w:rPr>
              <w:t>Políticas de cobranza</w:t>
            </w:r>
          </w:p>
        </w:tc>
        <w:tc>
          <w:tcPr>
            <w:tcW w:w="1825" w:type="dxa"/>
            <w:shd w:val="clear" w:color="auto" w:fill="D9E2F3"/>
            <w:vAlign w:val="center"/>
          </w:tcPr>
          <w:p w14:paraId="3DD817BA" w14:textId="77777777" w:rsidR="00990B14" w:rsidRDefault="00000000">
            <w:pPr>
              <w:spacing w:before="20" w:after="20"/>
              <w:jc w:val="both"/>
            </w:pPr>
            <w:r>
              <w:rPr>
                <w:sz w:val="18"/>
                <w:szCs w:val="18"/>
              </w:rPr>
              <w:t>No describe las políticas de cobro.</w:t>
            </w:r>
          </w:p>
        </w:tc>
        <w:tc>
          <w:tcPr>
            <w:tcW w:w="2120" w:type="dxa"/>
            <w:shd w:val="clear" w:color="auto" w:fill="D9E2F3"/>
            <w:vAlign w:val="center"/>
          </w:tcPr>
          <w:p w14:paraId="2613128A" w14:textId="77777777" w:rsidR="00990B14" w:rsidRDefault="00000000">
            <w:pPr>
              <w:spacing w:before="20" w:after="20"/>
              <w:jc w:val="both"/>
            </w:pPr>
            <w:r>
              <w:rPr>
                <w:sz w:val="18"/>
                <w:szCs w:val="18"/>
              </w:rPr>
              <w:t>Describe el proceso y las políticas de cobranza.</w:t>
            </w:r>
          </w:p>
        </w:tc>
        <w:tc>
          <w:tcPr>
            <w:tcW w:w="1855" w:type="dxa"/>
            <w:shd w:val="clear" w:color="auto" w:fill="D9E2F3"/>
            <w:vAlign w:val="center"/>
          </w:tcPr>
          <w:p w14:paraId="44BAF50D" w14:textId="77777777" w:rsidR="00990B14" w:rsidRDefault="00000000">
            <w:pPr>
              <w:spacing w:before="20" w:after="20"/>
              <w:jc w:val="both"/>
            </w:pPr>
            <w:r>
              <w:rPr>
                <w:sz w:val="18"/>
                <w:szCs w:val="18"/>
              </w:rPr>
              <w:t>Sugiere mejoras al proceso de cobranza.</w:t>
            </w:r>
          </w:p>
        </w:tc>
      </w:tr>
      <w:tr w:rsidR="00990B14" w14:paraId="67B1C183" w14:textId="77777777">
        <w:trPr>
          <w:cantSplit/>
          <w:jc w:val="center"/>
        </w:trPr>
        <w:tc>
          <w:tcPr>
            <w:tcW w:w="1780" w:type="dxa"/>
            <w:vMerge/>
            <w:shd w:val="clear" w:color="auto" w:fill="4472C4"/>
            <w:vAlign w:val="center"/>
          </w:tcPr>
          <w:p w14:paraId="6895D494" w14:textId="77777777" w:rsidR="00990B14" w:rsidRDefault="00990B14">
            <w:pPr>
              <w:spacing w:before="20" w:after="20"/>
            </w:pPr>
          </w:p>
        </w:tc>
        <w:tc>
          <w:tcPr>
            <w:tcW w:w="1825" w:type="dxa"/>
            <w:shd w:val="clear" w:color="auto" w:fill="D9E2F3"/>
            <w:vAlign w:val="center"/>
          </w:tcPr>
          <w:p w14:paraId="57092F32" w14:textId="77777777" w:rsidR="00990B14" w:rsidRDefault="00000000">
            <w:pPr>
              <w:spacing w:before="20" w:after="20"/>
              <w:jc w:val="both"/>
            </w:pPr>
            <w:r>
              <w:rPr>
                <w:sz w:val="18"/>
                <w:szCs w:val="18"/>
              </w:rPr>
              <w:t>Venta de cartera</w:t>
            </w:r>
          </w:p>
        </w:tc>
        <w:tc>
          <w:tcPr>
            <w:tcW w:w="1825" w:type="dxa"/>
            <w:shd w:val="clear" w:color="auto" w:fill="D9E2F3"/>
            <w:vAlign w:val="center"/>
          </w:tcPr>
          <w:p w14:paraId="16646D8E" w14:textId="77777777" w:rsidR="00990B14" w:rsidRDefault="00000000">
            <w:pPr>
              <w:spacing w:before="20" w:after="20"/>
              <w:jc w:val="both"/>
            </w:pPr>
            <w:r>
              <w:rPr>
                <w:sz w:val="18"/>
                <w:szCs w:val="18"/>
              </w:rPr>
              <w:t>Registra la venta de cartera con errores.</w:t>
            </w:r>
          </w:p>
        </w:tc>
        <w:tc>
          <w:tcPr>
            <w:tcW w:w="2120" w:type="dxa"/>
            <w:shd w:val="clear" w:color="auto" w:fill="D9E2F3"/>
            <w:vAlign w:val="center"/>
          </w:tcPr>
          <w:p w14:paraId="25CB92A4" w14:textId="77777777" w:rsidR="00990B14" w:rsidRDefault="00000000">
            <w:pPr>
              <w:spacing w:before="20" w:after="20"/>
              <w:jc w:val="both"/>
            </w:pPr>
            <w:r>
              <w:rPr>
                <w:sz w:val="18"/>
                <w:szCs w:val="18"/>
              </w:rPr>
              <w:t>Registra la venta al valor en libros y al de recuperación.</w:t>
            </w:r>
          </w:p>
        </w:tc>
        <w:tc>
          <w:tcPr>
            <w:tcW w:w="1855" w:type="dxa"/>
            <w:shd w:val="clear" w:color="auto" w:fill="D9E2F3"/>
            <w:vAlign w:val="center"/>
          </w:tcPr>
          <w:p w14:paraId="0DC55DF2" w14:textId="77777777" w:rsidR="00990B14" w:rsidRDefault="00000000">
            <w:pPr>
              <w:spacing w:before="20" w:after="20"/>
              <w:jc w:val="both"/>
            </w:pPr>
            <w:r>
              <w:rPr>
                <w:sz w:val="18"/>
                <w:szCs w:val="18"/>
              </w:rPr>
              <w:t>Compara el resultado de ambas alternativas.</w:t>
            </w:r>
          </w:p>
        </w:tc>
      </w:tr>
      <w:tr w:rsidR="00990B14" w14:paraId="00F1BE39" w14:textId="77777777">
        <w:trPr>
          <w:cantSplit/>
          <w:jc w:val="center"/>
        </w:trPr>
        <w:tc>
          <w:tcPr>
            <w:tcW w:w="1780" w:type="dxa"/>
            <w:vMerge/>
            <w:shd w:val="clear" w:color="auto" w:fill="4472C4"/>
            <w:vAlign w:val="center"/>
          </w:tcPr>
          <w:p w14:paraId="2959AC10" w14:textId="77777777" w:rsidR="00990B14" w:rsidRDefault="00990B14">
            <w:pPr>
              <w:spacing w:before="20" w:after="20"/>
            </w:pPr>
          </w:p>
        </w:tc>
        <w:tc>
          <w:tcPr>
            <w:tcW w:w="1825" w:type="dxa"/>
            <w:shd w:val="clear" w:color="auto" w:fill="D9E2F3"/>
            <w:vAlign w:val="center"/>
          </w:tcPr>
          <w:p w14:paraId="702AA3BF" w14:textId="77777777" w:rsidR="00990B14" w:rsidRDefault="00000000">
            <w:pPr>
              <w:spacing w:before="20" w:after="20"/>
              <w:jc w:val="both"/>
            </w:pPr>
            <w:r>
              <w:rPr>
                <w:sz w:val="18"/>
                <w:szCs w:val="18"/>
              </w:rPr>
              <w:t>Redacción del informe</w:t>
            </w:r>
          </w:p>
        </w:tc>
        <w:tc>
          <w:tcPr>
            <w:tcW w:w="1825" w:type="dxa"/>
            <w:shd w:val="clear" w:color="auto" w:fill="D9E2F3"/>
            <w:vAlign w:val="center"/>
          </w:tcPr>
          <w:p w14:paraId="2ED8D099" w14:textId="77777777" w:rsidR="00990B14" w:rsidRDefault="00000000">
            <w:pPr>
              <w:spacing w:before="20" w:after="20"/>
              <w:jc w:val="both"/>
            </w:pPr>
            <w:r>
              <w:rPr>
                <w:sz w:val="18"/>
                <w:szCs w:val="18"/>
              </w:rPr>
              <w:t>El informe es confuso.</w:t>
            </w:r>
          </w:p>
        </w:tc>
        <w:tc>
          <w:tcPr>
            <w:tcW w:w="2120" w:type="dxa"/>
            <w:shd w:val="clear" w:color="auto" w:fill="D9E2F3"/>
            <w:vAlign w:val="center"/>
          </w:tcPr>
          <w:p w14:paraId="4EC73AF3" w14:textId="77777777" w:rsidR="00990B14" w:rsidRDefault="00000000">
            <w:pPr>
              <w:spacing w:before="20" w:after="20"/>
              <w:jc w:val="both"/>
            </w:pPr>
            <w:r>
              <w:rPr>
                <w:sz w:val="18"/>
                <w:szCs w:val="18"/>
              </w:rPr>
              <w:t>El informe es claro y ordenado.</w:t>
            </w:r>
          </w:p>
        </w:tc>
        <w:tc>
          <w:tcPr>
            <w:tcW w:w="1855" w:type="dxa"/>
            <w:shd w:val="clear" w:color="auto" w:fill="D9E2F3"/>
            <w:vAlign w:val="center"/>
          </w:tcPr>
          <w:p w14:paraId="4C2D4D0D" w14:textId="77777777" w:rsidR="00990B14" w:rsidRDefault="00000000">
            <w:pPr>
              <w:spacing w:before="20" w:after="20"/>
              <w:jc w:val="both"/>
            </w:pPr>
            <w:r>
              <w:rPr>
                <w:sz w:val="18"/>
                <w:szCs w:val="18"/>
              </w:rPr>
              <w:t>El informe sustenta sus conclusiones con cifras.</w:t>
            </w:r>
          </w:p>
        </w:tc>
      </w:tr>
      <w:tr w:rsidR="00990B14" w14:paraId="1E58E350" w14:textId="77777777">
        <w:trPr>
          <w:cantSplit/>
          <w:jc w:val="center"/>
        </w:trPr>
        <w:tc>
          <w:tcPr>
            <w:tcW w:w="1780" w:type="dxa"/>
            <w:vMerge/>
            <w:shd w:val="clear" w:color="auto" w:fill="4472C4"/>
            <w:vAlign w:val="center"/>
          </w:tcPr>
          <w:p w14:paraId="551B43A8" w14:textId="77777777" w:rsidR="00990B14" w:rsidRDefault="00990B14">
            <w:pPr>
              <w:spacing w:before="20" w:after="20"/>
            </w:pPr>
          </w:p>
        </w:tc>
        <w:tc>
          <w:tcPr>
            <w:tcW w:w="5770" w:type="dxa"/>
            <w:gridSpan w:val="3"/>
            <w:shd w:val="clear" w:color="auto" w:fill="D9E2F3"/>
            <w:vAlign w:val="center"/>
          </w:tcPr>
          <w:p w14:paraId="11FF71A8" w14:textId="77777777" w:rsidR="00990B14" w:rsidRDefault="00000000">
            <w:pPr>
              <w:keepNext/>
              <w:spacing w:before="20" w:after="20"/>
              <w:jc w:val="both"/>
            </w:pPr>
            <w:r>
              <w:rPr>
                <w:b/>
                <w:bCs/>
                <w:i/>
                <w:iCs/>
                <w:sz w:val="18"/>
                <w:szCs w:val="18"/>
              </w:rPr>
              <w:t xml:space="preserve">Producto 9: </w:t>
            </w:r>
            <w:r>
              <w:rPr>
                <w:sz w:val="18"/>
                <w:szCs w:val="18"/>
              </w:rPr>
              <w:t>Kárdex valorado de inventarios</w:t>
            </w:r>
          </w:p>
        </w:tc>
        <w:tc>
          <w:tcPr>
            <w:tcW w:w="1855" w:type="dxa"/>
            <w:shd w:val="clear" w:color="auto" w:fill="D9E2F3"/>
            <w:vAlign w:val="center"/>
          </w:tcPr>
          <w:p w14:paraId="0FB7EF02" w14:textId="77777777" w:rsidR="00990B14" w:rsidRDefault="00000000">
            <w:pPr>
              <w:spacing w:before="20" w:after="20"/>
              <w:jc w:val="center"/>
            </w:pPr>
            <w:r>
              <w:rPr>
                <w:b/>
                <w:bCs/>
                <w:sz w:val="18"/>
                <w:szCs w:val="18"/>
              </w:rPr>
              <w:t>4%</w:t>
            </w:r>
          </w:p>
        </w:tc>
      </w:tr>
      <w:tr w:rsidR="00990B14" w14:paraId="44D1B36C" w14:textId="77777777">
        <w:trPr>
          <w:cantSplit/>
          <w:jc w:val="center"/>
        </w:trPr>
        <w:tc>
          <w:tcPr>
            <w:tcW w:w="1780" w:type="dxa"/>
            <w:vMerge/>
            <w:shd w:val="clear" w:color="auto" w:fill="4472C4"/>
            <w:vAlign w:val="center"/>
          </w:tcPr>
          <w:p w14:paraId="531547C2" w14:textId="77777777" w:rsidR="00990B14" w:rsidRDefault="00990B14">
            <w:pPr>
              <w:spacing w:before="20" w:after="20"/>
            </w:pPr>
          </w:p>
        </w:tc>
        <w:tc>
          <w:tcPr>
            <w:tcW w:w="1825" w:type="dxa"/>
            <w:shd w:val="clear" w:color="auto" w:fill="4472C4"/>
            <w:vAlign w:val="center"/>
          </w:tcPr>
          <w:p w14:paraId="726EB331" w14:textId="77777777" w:rsidR="00990B14" w:rsidRDefault="00000000">
            <w:pPr>
              <w:keepNext/>
              <w:spacing w:before="20" w:after="20"/>
              <w:jc w:val="center"/>
            </w:pPr>
            <w:r>
              <w:rPr>
                <w:b/>
                <w:bCs/>
                <w:i/>
                <w:iCs/>
                <w:color w:val="FFFFFF"/>
                <w:sz w:val="18"/>
                <w:szCs w:val="18"/>
              </w:rPr>
              <w:t>Criterio</w:t>
            </w:r>
          </w:p>
        </w:tc>
        <w:tc>
          <w:tcPr>
            <w:tcW w:w="1825" w:type="dxa"/>
            <w:shd w:val="clear" w:color="auto" w:fill="4472C4"/>
            <w:vAlign w:val="center"/>
          </w:tcPr>
          <w:p w14:paraId="1BDD5737" w14:textId="77777777" w:rsidR="00990B14" w:rsidRDefault="00000000">
            <w:pPr>
              <w:keepNext/>
              <w:spacing w:before="20" w:after="20"/>
              <w:jc w:val="center"/>
            </w:pPr>
            <w:r>
              <w:rPr>
                <w:b/>
                <w:bCs/>
                <w:i/>
                <w:iCs/>
                <w:color w:val="FFFFFF"/>
                <w:sz w:val="18"/>
                <w:szCs w:val="18"/>
              </w:rPr>
              <w:t>Insuficiente (1–50)</w:t>
            </w:r>
          </w:p>
        </w:tc>
        <w:tc>
          <w:tcPr>
            <w:tcW w:w="2120" w:type="dxa"/>
            <w:shd w:val="clear" w:color="auto" w:fill="4472C4"/>
            <w:vAlign w:val="center"/>
          </w:tcPr>
          <w:p w14:paraId="15678890" w14:textId="77777777" w:rsidR="00990B14" w:rsidRDefault="00000000">
            <w:pPr>
              <w:keepNext/>
              <w:spacing w:before="20" w:after="20"/>
              <w:jc w:val="center"/>
            </w:pPr>
            <w:r>
              <w:rPr>
                <w:b/>
                <w:bCs/>
                <w:i/>
                <w:iCs/>
                <w:color w:val="FFFFFF"/>
                <w:sz w:val="18"/>
                <w:szCs w:val="18"/>
              </w:rPr>
              <w:t>Suficiente (51–80)</w:t>
            </w:r>
          </w:p>
        </w:tc>
        <w:tc>
          <w:tcPr>
            <w:tcW w:w="1855" w:type="dxa"/>
            <w:shd w:val="clear" w:color="auto" w:fill="4472C4"/>
            <w:vAlign w:val="center"/>
          </w:tcPr>
          <w:p w14:paraId="3FEEBCE7" w14:textId="77777777" w:rsidR="00990B14" w:rsidRDefault="00000000">
            <w:pPr>
              <w:keepNext/>
              <w:spacing w:before="20" w:after="20"/>
              <w:jc w:val="center"/>
            </w:pPr>
            <w:r>
              <w:rPr>
                <w:b/>
                <w:bCs/>
                <w:i/>
                <w:iCs/>
                <w:color w:val="FFFFFF"/>
                <w:sz w:val="18"/>
                <w:szCs w:val="18"/>
              </w:rPr>
              <w:t>Destacado (81–100)</w:t>
            </w:r>
          </w:p>
        </w:tc>
      </w:tr>
      <w:tr w:rsidR="00990B14" w14:paraId="4F7B2485" w14:textId="77777777">
        <w:trPr>
          <w:cantSplit/>
          <w:jc w:val="center"/>
        </w:trPr>
        <w:tc>
          <w:tcPr>
            <w:tcW w:w="1780" w:type="dxa"/>
            <w:vMerge/>
            <w:shd w:val="clear" w:color="auto" w:fill="4472C4"/>
            <w:vAlign w:val="center"/>
          </w:tcPr>
          <w:p w14:paraId="3BDD1758" w14:textId="77777777" w:rsidR="00990B14" w:rsidRDefault="00990B14">
            <w:pPr>
              <w:spacing w:before="20" w:after="20"/>
            </w:pPr>
          </w:p>
        </w:tc>
        <w:tc>
          <w:tcPr>
            <w:tcW w:w="1825" w:type="dxa"/>
            <w:shd w:val="clear" w:color="auto" w:fill="D9E2F3"/>
            <w:vAlign w:val="center"/>
          </w:tcPr>
          <w:p w14:paraId="2BD54E08" w14:textId="77777777" w:rsidR="00990B14" w:rsidRDefault="00000000">
            <w:pPr>
              <w:spacing w:before="20" w:after="20"/>
              <w:jc w:val="both"/>
            </w:pPr>
            <w:r>
              <w:rPr>
                <w:sz w:val="18"/>
                <w:szCs w:val="18"/>
              </w:rPr>
              <w:t>Entradas y salidas</w:t>
            </w:r>
          </w:p>
        </w:tc>
        <w:tc>
          <w:tcPr>
            <w:tcW w:w="1825" w:type="dxa"/>
            <w:shd w:val="clear" w:color="auto" w:fill="D9E2F3"/>
            <w:vAlign w:val="center"/>
          </w:tcPr>
          <w:p w14:paraId="311F5230" w14:textId="77777777" w:rsidR="00990B14" w:rsidRDefault="00000000">
            <w:pPr>
              <w:spacing w:before="20" w:after="20"/>
              <w:jc w:val="both"/>
            </w:pPr>
            <w:r>
              <w:rPr>
                <w:sz w:val="18"/>
                <w:szCs w:val="18"/>
              </w:rPr>
              <w:t>Omite movimientos de la mercadería.</w:t>
            </w:r>
          </w:p>
        </w:tc>
        <w:tc>
          <w:tcPr>
            <w:tcW w:w="2120" w:type="dxa"/>
            <w:shd w:val="clear" w:color="auto" w:fill="D9E2F3"/>
            <w:vAlign w:val="center"/>
          </w:tcPr>
          <w:p w14:paraId="19A0C7A4" w14:textId="77777777" w:rsidR="00990B14" w:rsidRDefault="00000000">
            <w:pPr>
              <w:spacing w:before="20" w:after="20"/>
              <w:jc w:val="both"/>
            </w:pPr>
            <w:r>
              <w:rPr>
                <w:sz w:val="18"/>
                <w:szCs w:val="18"/>
              </w:rPr>
              <w:t>Registra todas las entradas, salidas y devoluciones.</w:t>
            </w:r>
          </w:p>
        </w:tc>
        <w:tc>
          <w:tcPr>
            <w:tcW w:w="1855" w:type="dxa"/>
            <w:shd w:val="clear" w:color="auto" w:fill="D9E2F3"/>
            <w:vAlign w:val="center"/>
          </w:tcPr>
          <w:p w14:paraId="4817AE00" w14:textId="77777777" w:rsidR="00990B14" w:rsidRDefault="00000000">
            <w:pPr>
              <w:spacing w:before="20" w:after="20"/>
              <w:jc w:val="both"/>
            </w:pPr>
            <w:r>
              <w:rPr>
                <w:sz w:val="18"/>
                <w:szCs w:val="18"/>
              </w:rPr>
              <w:t>Concilia el saldo físico con el saldo valorado.</w:t>
            </w:r>
          </w:p>
        </w:tc>
      </w:tr>
      <w:tr w:rsidR="00990B14" w14:paraId="2E803B16" w14:textId="77777777">
        <w:trPr>
          <w:cantSplit/>
          <w:jc w:val="center"/>
        </w:trPr>
        <w:tc>
          <w:tcPr>
            <w:tcW w:w="1780" w:type="dxa"/>
            <w:vMerge/>
            <w:shd w:val="clear" w:color="auto" w:fill="4472C4"/>
            <w:vAlign w:val="center"/>
          </w:tcPr>
          <w:p w14:paraId="4234D915" w14:textId="77777777" w:rsidR="00990B14" w:rsidRDefault="00990B14">
            <w:pPr>
              <w:spacing w:before="20" w:after="20"/>
            </w:pPr>
          </w:p>
        </w:tc>
        <w:tc>
          <w:tcPr>
            <w:tcW w:w="1825" w:type="dxa"/>
            <w:shd w:val="clear" w:color="auto" w:fill="D9E2F3"/>
            <w:vAlign w:val="center"/>
          </w:tcPr>
          <w:p w14:paraId="0078E182" w14:textId="77777777" w:rsidR="00990B14" w:rsidRDefault="00000000">
            <w:pPr>
              <w:spacing w:before="20" w:after="20"/>
              <w:jc w:val="both"/>
            </w:pPr>
            <w:r>
              <w:rPr>
                <w:sz w:val="18"/>
                <w:szCs w:val="18"/>
              </w:rPr>
              <w:t>Método de valuación</w:t>
            </w:r>
          </w:p>
        </w:tc>
        <w:tc>
          <w:tcPr>
            <w:tcW w:w="1825" w:type="dxa"/>
            <w:shd w:val="clear" w:color="auto" w:fill="D9E2F3"/>
            <w:vAlign w:val="center"/>
          </w:tcPr>
          <w:p w14:paraId="386FFAC4" w14:textId="77777777" w:rsidR="00990B14" w:rsidRDefault="00000000">
            <w:pPr>
              <w:spacing w:before="20" w:after="20"/>
              <w:jc w:val="both"/>
            </w:pPr>
            <w:r>
              <w:rPr>
                <w:sz w:val="18"/>
                <w:szCs w:val="18"/>
              </w:rPr>
              <w:t>Valora las salidas con un costo errado.</w:t>
            </w:r>
          </w:p>
        </w:tc>
        <w:tc>
          <w:tcPr>
            <w:tcW w:w="2120" w:type="dxa"/>
            <w:shd w:val="clear" w:color="auto" w:fill="D9E2F3"/>
            <w:vAlign w:val="center"/>
          </w:tcPr>
          <w:p w14:paraId="3AF3F012" w14:textId="77777777" w:rsidR="00990B14" w:rsidRDefault="00000000">
            <w:pPr>
              <w:spacing w:before="20" w:after="20"/>
              <w:jc w:val="both"/>
            </w:pPr>
            <w:r>
              <w:rPr>
                <w:sz w:val="18"/>
                <w:szCs w:val="18"/>
              </w:rPr>
              <w:t>Aplica correctamente cada método de valuación.</w:t>
            </w:r>
          </w:p>
        </w:tc>
        <w:tc>
          <w:tcPr>
            <w:tcW w:w="1855" w:type="dxa"/>
            <w:shd w:val="clear" w:color="auto" w:fill="D9E2F3"/>
            <w:vAlign w:val="center"/>
          </w:tcPr>
          <w:p w14:paraId="3B4DB0B1" w14:textId="77777777" w:rsidR="00990B14" w:rsidRDefault="00000000">
            <w:pPr>
              <w:spacing w:before="20" w:after="20"/>
              <w:jc w:val="both"/>
            </w:pPr>
            <w:r>
              <w:rPr>
                <w:sz w:val="18"/>
                <w:szCs w:val="18"/>
              </w:rPr>
              <w:t>Explica por qué la NIC 2 no admite el UEPS.</w:t>
            </w:r>
          </w:p>
        </w:tc>
      </w:tr>
      <w:tr w:rsidR="00990B14" w14:paraId="3065305C" w14:textId="77777777">
        <w:trPr>
          <w:cantSplit/>
          <w:jc w:val="center"/>
        </w:trPr>
        <w:tc>
          <w:tcPr>
            <w:tcW w:w="1780" w:type="dxa"/>
            <w:vMerge/>
            <w:shd w:val="clear" w:color="auto" w:fill="4472C4"/>
            <w:vAlign w:val="center"/>
          </w:tcPr>
          <w:p w14:paraId="08678B18" w14:textId="77777777" w:rsidR="00990B14" w:rsidRDefault="00990B14">
            <w:pPr>
              <w:spacing w:before="20" w:after="20"/>
            </w:pPr>
          </w:p>
        </w:tc>
        <w:tc>
          <w:tcPr>
            <w:tcW w:w="1825" w:type="dxa"/>
            <w:shd w:val="clear" w:color="auto" w:fill="D9E2F3"/>
            <w:vAlign w:val="center"/>
          </w:tcPr>
          <w:p w14:paraId="074FD1DE" w14:textId="77777777" w:rsidR="00990B14" w:rsidRDefault="00000000">
            <w:pPr>
              <w:spacing w:before="20" w:after="20"/>
              <w:jc w:val="both"/>
            </w:pPr>
            <w:r>
              <w:rPr>
                <w:sz w:val="18"/>
                <w:szCs w:val="18"/>
              </w:rPr>
              <w:t>Uso de la hoja de cálculo</w:t>
            </w:r>
          </w:p>
        </w:tc>
        <w:tc>
          <w:tcPr>
            <w:tcW w:w="1825" w:type="dxa"/>
            <w:shd w:val="clear" w:color="auto" w:fill="D9E2F3"/>
            <w:vAlign w:val="center"/>
          </w:tcPr>
          <w:p w14:paraId="1C32E354" w14:textId="77777777" w:rsidR="00990B14" w:rsidRDefault="00000000">
            <w:pPr>
              <w:spacing w:before="20" w:after="20"/>
              <w:jc w:val="both"/>
            </w:pPr>
            <w:r>
              <w:rPr>
                <w:sz w:val="18"/>
                <w:szCs w:val="18"/>
              </w:rPr>
              <w:t>No usa fórmulas.</w:t>
            </w:r>
          </w:p>
        </w:tc>
        <w:tc>
          <w:tcPr>
            <w:tcW w:w="2120" w:type="dxa"/>
            <w:shd w:val="clear" w:color="auto" w:fill="D9E2F3"/>
            <w:vAlign w:val="center"/>
          </w:tcPr>
          <w:p w14:paraId="6747D166" w14:textId="77777777" w:rsidR="00990B14" w:rsidRDefault="00000000">
            <w:pPr>
              <w:spacing w:before="20" w:after="20"/>
              <w:jc w:val="both"/>
            </w:pPr>
            <w:r>
              <w:rPr>
                <w:sz w:val="18"/>
                <w:szCs w:val="18"/>
              </w:rPr>
              <w:t>Usa fórmulas en el cálculo de saldos.</w:t>
            </w:r>
          </w:p>
        </w:tc>
        <w:tc>
          <w:tcPr>
            <w:tcW w:w="1855" w:type="dxa"/>
            <w:shd w:val="clear" w:color="auto" w:fill="D9E2F3"/>
            <w:vAlign w:val="center"/>
          </w:tcPr>
          <w:p w14:paraId="4939259F" w14:textId="77777777" w:rsidR="00990B14" w:rsidRDefault="00000000">
            <w:pPr>
              <w:spacing w:before="20" w:after="20"/>
              <w:jc w:val="both"/>
            </w:pPr>
            <w:r>
              <w:rPr>
                <w:sz w:val="18"/>
                <w:szCs w:val="18"/>
              </w:rPr>
              <w:t>El kárdex es reutilizable para otros productos.</w:t>
            </w:r>
          </w:p>
        </w:tc>
      </w:tr>
      <w:tr w:rsidR="00990B14" w14:paraId="0559A2F5" w14:textId="77777777">
        <w:trPr>
          <w:cantSplit/>
          <w:jc w:val="center"/>
        </w:trPr>
        <w:tc>
          <w:tcPr>
            <w:tcW w:w="1780" w:type="dxa"/>
            <w:vMerge/>
            <w:shd w:val="clear" w:color="auto" w:fill="4472C4"/>
            <w:vAlign w:val="center"/>
          </w:tcPr>
          <w:p w14:paraId="34FD0CF8" w14:textId="77777777" w:rsidR="00990B14" w:rsidRDefault="00990B14">
            <w:pPr>
              <w:spacing w:before="20" w:after="20"/>
            </w:pPr>
          </w:p>
        </w:tc>
        <w:tc>
          <w:tcPr>
            <w:tcW w:w="5770" w:type="dxa"/>
            <w:gridSpan w:val="3"/>
            <w:shd w:val="clear" w:color="auto" w:fill="D9E2F3"/>
            <w:vAlign w:val="center"/>
          </w:tcPr>
          <w:p w14:paraId="6AE74DDF" w14:textId="77777777" w:rsidR="00990B14" w:rsidRDefault="00000000">
            <w:pPr>
              <w:keepNext/>
              <w:spacing w:before="20" w:after="20"/>
              <w:jc w:val="both"/>
            </w:pPr>
            <w:r>
              <w:rPr>
                <w:b/>
                <w:bCs/>
                <w:i/>
                <w:iCs/>
                <w:sz w:val="18"/>
                <w:szCs w:val="18"/>
              </w:rPr>
              <w:t xml:space="preserve">Producto 10: </w:t>
            </w:r>
            <w:r>
              <w:rPr>
                <w:sz w:val="18"/>
                <w:szCs w:val="18"/>
              </w:rPr>
              <w:t>Cuadro comparativo de métodos de valuación</w:t>
            </w:r>
          </w:p>
        </w:tc>
        <w:tc>
          <w:tcPr>
            <w:tcW w:w="1855" w:type="dxa"/>
            <w:shd w:val="clear" w:color="auto" w:fill="D9E2F3"/>
            <w:vAlign w:val="center"/>
          </w:tcPr>
          <w:p w14:paraId="46A364AA" w14:textId="77777777" w:rsidR="00990B14" w:rsidRDefault="00000000">
            <w:pPr>
              <w:spacing w:before="20" w:after="20"/>
              <w:jc w:val="center"/>
            </w:pPr>
            <w:r>
              <w:rPr>
                <w:b/>
                <w:bCs/>
                <w:sz w:val="18"/>
                <w:szCs w:val="18"/>
              </w:rPr>
              <w:t>4%</w:t>
            </w:r>
          </w:p>
        </w:tc>
      </w:tr>
      <w:tr w:rsidR="00990B14" w14:paraId="393A0C7B" w14:textId="77777777">
        <w:trPr>
          <w:cantSplit/>
          <w:jc w:val="center"/>
        </w:trPr>
        <w:tc>
          <w:tcPr>
            <w:tcW w:w="1780" w:type="dxa"/>
            <w:vMerge/>
            <w:shd w:val="clear" w:color="auto" w:fill="4472C4"/>
            <w:vAlign w:val="center"/>
          </w:tcPr>
          <w:p w14:paraId="5ACD3245" w14:textId="77777777" w:rsidR="00990B14" w:rsidRDefault="00990B14">
            <w:pPr>
              <w:spacing w:before="20" w:after="20"/>
            </w:pPr>
          </w:p>
        </w:tc>
        <w:tc>
          <w:tcPr>
            <w:tcW w:w="1825" w:type="dxa"/>
            <w:shd w:val="clear" w:color="auto" w:fill="4472C4"/>
            <w:vAlign w:val="center"/>
          </w:tcPr>
          <w:p w14:paraId="0D0E73C9" w14:textId="77777777" w:rsidR="00990B14" w:rsidRDefault="00000000">
            <w:pPr>
              <w:keepNext/>
              <w:spacing w:before="20" w:after="20"/>
              <w:jc w:val="center"/>
            </w:pPr>
            <w:r>
              <w:rPr>
                <w:b/>
                <w:bCs/>
                <w:i/>
                <w:iCs/>
                <w:color w:val="FFFFFF"/>
                <w:sz w:val="18"/>
                <w:szCs w:val="18"/>
              </w:rPr>
              <w:t>Criterio</w:t>
            </w:r>
          </w:p>
        </w:tc>
        <w:tc>
          <w:tcPr>
            <w:tcW w:w="1825" w:type="dxa"/>
            <w:shd w:val="clear" w:color="auto" w:fill="4472C4"/>
            <w:vAlign w:val="center"/>
          </w:tcPr>
          <w:p w14:paraId="7E7C9D03" w14:textId="77777777" w:rsidR="00990B14" w:rsidRDefault="00000000">
            <w:pPr>
              <w:keepNext/>
              <w:spacing w:before="20" w:after="20"/>
              <w:jc w:val="center"/>
            </w:pPr>
            <w:r>
              <w:rPr>
                <w:b/>
                <w:bCs/>
                <w:i/>
                <w:iCs/>
                <w:color w:val="FFFFFF"/>
                <w:sz w:val="18"/>
                <w:szCs w:val="18"/>
              </w:rPr>
              <w:t>Insuficiente (1–50)</w:t>
            </w:r>
          </w:p>
        </w:tc>
        <w:tc>
          <w:tcPr>
            <w:tcW w:w="2120" w:type="dxa"/>
            <w:shd w:val="clear" w:color="auto" w:fill="4472C4"/>
            <w:vAlign w:val="center"/>
          </w:tcPr>
          <w:p w14:paraId="0DA088BC" w14:textId="77777777" w:rsidR="00990B14" w:rsidRDefault="00000000">
            <w:pPr>
              <w:keepNext/>
              <w:spacing w:before="20" w:after="20"/>
              <w:jc w:val="center"/>
            </w:pPr>
            <w:r>
              <w:rPr>
                <w:b/>
                <w:bCs/>
                <w:i/>
                <w:iCs/>
                <w:color w:val="FFFFFF"/>
                <w:sz w:val="18"/>
                <w:szCs w:val="18"/>
              </w:rPr>
              <w:t>Suficiente (51–80)</w:t>
            </w:r>
          </w:p>
        </w:tc>
        <w:tc>
          <w:tcPr>
            <w:tcW w:w="1855" w:type="dxa"/>
            <w:shd w:val="clear" w:color="auto" w:fill="4472C4"/>
            <w:vAlign w:val="center"/>
          </w:tcPr>
          <w:p w14:paraId="62AA4586" w14:textId="77777777" w:rsidR="00990B14" w:rsidRDefault="00000000">
            <w:pPr>
              <w:keepNext/>
              <w:spacing w:before="20" w:after="20"/>
              <w:jc w:val="center"/>
            </w:pPr>
            <w:r>
              <w:rPr>
                <w:b/>
                <w:bCs/>
                <w:i/>
                <w:iCs/>
                <w:color w:val="FFFFFF"/>
                <w:sz w:val="18"/>
                <w:szCs w:val="18"/>
              </w:rPr>
              <w:t>Destacado (81–100)</w:t>
            </w:r>
          </w:p>
        </w:tc>
      </w:tr>
      <w:tr w:rsidR="00990B14" w14:paraId="09A8E364" w14:textId="77777777">
        <w:trPr>
          <w:cantSplit/>
          <w:jc w:val="center"/>
        </w:trPr>
        <w:tc>
          <w:tcPr>
            <w:tcW w:w="1780" w:type="dxa"/>
            <w:vMerge/>
            <w:shd w:val="clear" w:color="auto" w:fill="4472C4"/>
            <w:vAlign w:val="center"/>
          </w:tcPr>
          <w:p w14:paraId="02FDAC9E" w14:textId="77777777" w:rsidR="00990B14" w:rsidRDefault="00990B14">
            <w:pPr>
              <w:spacing w:before="20" w:after="20"/>
            </w:pPr>
          </w:p>
        </w:tc>
        <w:tc>
          <w:tcPr>
            <w:tcW w:w="1825" w:type="dxa"/>
            <w:shd w:val="clear" w:color="auto" w:fill="D9E2F3"/>
            <w:vAlign w:val="center"/>
          </w:tcPr>
          <w:p w14:paraId="58D3EC62" w14:textId="77777777" w:rsidR="00990B14" w:rsidRDefault="00000000">
            <w:pPr>
              <w:spacing w:before="20" w:after="20"/>
              <w:jc w:val="both"/>
            </w:pPr>
            <w:r>
              <w:rPr>
                <w:sz w:val="18"/>
                <w:szCs w:val="18"/>
              </w:rPr>
              <w:t>Costo de ventas</w:t>
            </w:r>
          </w:p>
        </w:tc>
        <w:tc>
          <w:tcPr>
            <w:tcW w:w="1825" w:type="dxa"/>
            <w:shd w:val="clear" w:color="auto" w:fill="D9E2F3"/>
            <w:vAlign w:val="center"/>
          </w:tcPr>
          <w:p w14:paraId="55205447" w14:textId="77777777" w:rsidR="00990B14" w:rsidRDefault="00000000">
            <w:pPr>
              <w:spacing w:before="20" w:after="20"/>
              <w:jc w:val="both"/>
            </w:pPr>
            <w:r>
              <w:rPr>
                <w:sz w:val="18"/>
                <w:szCs w:val="18"/>
              </w:rPr>
              <w:t>Calcula erróneamente el costo de ventas.</w:t>
            </w:r>
          </w:p>
        </w:tc>
        <w:tc>
          <w:tcPr>
            <w:tcW w:w="2120" w:type="dxa"/>
            <w:shd w:val="clear" w:color="auto" w:fill="D9E2F3"/>
            <w:vAlign w:val="center"/>
          </w:tcPr>
          <w:p w14:paraId="544E0F1E" w14:textId="77777777" w:rsidR="00990B14" w:rsidRDefault="00000000">
            <w:pPr>
              <w:spacing w:before="20" w:after="20"/>
              <w:jc w:val="both"/>
            </w:pPr>
            <w:r>
              <w:rPr>
                <w:sz w:val="18"/>
                <w:szCs w:val="18"/>
              </w:rPr>
              <w:t>Determina el costo de ventas con cada método.</w:t>
            </w:r>
          </w:p>
        </w:tc>
        <w:tc>
          <w:tcPr>
            <w:tcW w:w="1855" w:type="dxa"/>
            <w:shd w:val="clear" w:color="auto" w:fill="D9E2F3"/>
            <w:vAlign w:val="center"/>
          </w:tcPr>
          <w:p w14:paraId="51A6DE3E" w14:textId="77777777" w:rsidR="00990B14" w:rsidRDefault="00000000">
            <w:pPr>
              <w:spacing w:before="20" w:after="20"/>
              <w:jc w:val="both"/>
            </w:pPr>
            <w:r>
              <w:rPr>
                <w:sz w:val="18"/>
                <w:szCs w:val="18"/>
              </w:rPr>
              <w:t>Explica la diferencia entre métodos en periodos de alza de precios.</w:t>
            </w:r>
          </w:p>
        </w:tc>
      </w:tr>
      <w:tr w:rsidR="00990B14" w14:paraId="151E0EEB" w14:textId="77777777">
        <w:trPr>
          <w:cantSplit/>
          <w:jc w:val="center"/>
        </w:trPr>
        <w:tc>
          <w:tcPr>
            <w:tcW w:w="1780" w:type="dxa"/>
            <w:vMerge/>
            <w:shd w:val="clear" w:color="auto" w:fill="4472C4"/>
            <w:vAlign w:val="center"/>
          </w:tcPr>
          <w:p w14:paraId="2F283843" w14:textId="77777777" w:rsidR="00990B14" w:rsidRDefault="00990B14">
            <w:pPr>
              <w:spacing w:before="20" w:after="20"/>
            </w:pPr>
          </w:p>
        </w:tc>
        <w:tc>
          <w:tcPr>
            <w:tcW w:w="1825" w:type="dxa"/>
            <w:shd w:val="clear" w:color="auto" w:fill="D9E2F3"/>
            <w:vAlign w:val="center"/>
          </w:tcPr>
          <w:p w14:paraId="35034060" w14:textId="77777777" w:rsidR="00990B14" w:rsidRDefault="00000000">
            <w:pPr>
              <w:spacing w:before="20" w:after="20"/>
              <w:jc w:val="both"/>
            </w:pPr>
            <w:r>
              <w:rPr>
                <w:sz w:val="18"/>
                <w:szCs w:val="18"/>
              </w:rPr>
              <w:t>Valor neto de realización</w:t>
            </w:r>
          </w:p>
        </w:tc>
        <w:tc>
          <w:tcPr>
            <w:tcW w:w="1825" w:type="dxa"/>
            <w:shd w:val="clear" w:color="auto" w:fill="D9E2F3"/>
            <w:vAlign w:val="center"/>
          </w:tcPr>
          <w:p w14:paraId="58C97B24" w14:textId="77777777" w:rsidR="00990B14" w:rsidRDefault="00000000">
            <w:pPr>
              <w:spacing w:before="20" w:after="20"/>
              <w:jc w:val="both"/>
            </w:pPr>
            <w:r>
              <w:rPr>
                <w:sz w:val="18"/>
                <w:szCs w:val="18"/>
              </w:rPr>
              <w:t>No aplica la regla del menor valor.</w:t>
            </w:r>
          </w:p>
        </w:tc>
        <w:tc>
          <w:tcPr>
            <w:tcW w:w="2120" w:type="dxa"/>
            <w:shd w:val="clear" w:color="auto" w:fill="D9E2F3"/>
            <w:vAlign w:val="center"/>
          </w:tcPr>
          <w:p w14:paraId="4485ECDE" w14:textId="77777777" w:rsidR="00990B14" w:rsidRDefault="00000000">
            <w:pPr>
              <w:spacing w:before="20" w:after="20"/>
              <w:jc w:val="both"/>
            </w:pPr>
            <w:r>
              <w:rPr>
                <w:sz w:val="18"/>
                <w:szCs w:val="18"/>
              </w:rPr>
              <w:t>Mide el inventario al menor entre costo y valor neto de realización.</w:t>
            </w:r>
          </w:p>
        </w:tc>
        <w:tc>
          <w:tcPr>
            <w:tcW w:w="1855" w:type="dxa"/>
            <w:shd w:val="clear" w:color="auto" w:fill="D9E2F3"/>
            <w:vAlign w:val="center"/>
          </w:tcPr>
          <w:p w14:paraId="60DCE3DA" w14:textId="77777777" w:rsidR="00990B14" w:rsidRDefault="00000000">
            <w:pPr>
              <w:spacing w:before="20" w:after="20"/>
              <w:jc w:val="both"/>
            </w:pPr>
            <w:r>
              <w:rPr>
                <w:sz w:val="18"/>
                <w:szCs w:val="18"/>
              </w:rPr>
              <w:t>Registra la reversión de la rebaja cuando corresponde.</w:t>
            </w:r>
          </w:p>
        </w:tc>
      </w:tr>
      <w:tr w:rsidR="00990B14" w14:paraId="5DA21C0C" w14:textId="77777777">
        <w:trPr>
          <w:cantSplit/>
          <w:jc w:val="center"/>
        </w:trPr>
        <w:tc>
          <w:tcPr>
            <w:tcW w:w="1780" w:type="dxa"/>
            <w:vMerge/>
            <w:shd w:val="clear" w:color="auto" w:fill="4472C4"/>
            <w:vAlign w:val="center"/>
          </w:tcPr>
          <w:p w14:paraId="3D2F165A" w14:textId="77777777" w:rsidR="00990B14" w:rsidRDefault="00990B14">
            <w:pPr>
              <w:spacing w:before="20" w:after="20"/>
            </w:pPr>
          </w:p>
        </w:tc>
        <w:tc>
          <w:tcPr>
            <w:tcW w:w="1825" w:type="dxa"/>
            <w:shd w:val="clear" w:color="auto" w:fill="D9E2F3"/>
            <w:vAlign w:val="center"/>
          </w:tcPr>
          <w:p w14:paraId="52795163" w14:textId="77777777" w:rsidR="00990B14" w:rsidRDefault="00000000">
            <w:pPr>
              <w:spacing w:before="20" w:after="20"/>
              <w:jc w:val="both"/>
            </w:pPr>
            <w:r>
              <w:rPr>
                <w:sz w:val="18"/>
                <w:szCs w:val="18"/>
              </w:rPr>
              <w:t>Conclusiones</w:t>
            </w:r>
          </w:p>
        </w:tc>
        <w:tc>
          <w:tcPr>
            <w:tcW w:w="1825" w:type="dxa"/>
            <w:shd w:val="clear" w:color="auto" w:fill="D9E2F3"/>
            <w:vAlign w:val="center"/>
          </w:tcPr>
          <w:p w14:paraId="133422E0" w14:textId="77777777" w:rsidR="00990B14" w:rsidRDefault="00000000">
            <w:pPr>
              <w:spacing w:before="20" w:after="20"/>
              <w:jc w:val="both"/>
            </w:pPr>
            <w:r>
              <w:rPr>
                <w:sz w:val="18"/>
                <w:szCs w:val="18"/>
              </w:rPr>
              <w:t>No presenta conclusiones.</w:t>
            </w:r>
          </w:p>
        </w:tc>
        <w:tc>
          <w:tcPr>
            <w:tcW w:w="2120" w:type="dxa"/>
            <w:shd w:val="clear" w:color="auto" w:fill="D9E2F3"/>
            <w:vAlign w:val="center"/>
          </w:tcPr>
          <w:p w14:paraId="522AB208" w14:textId="77777777" w:rsidR="00990B14" w:rsidRDefault="00000000">
            <w:pPr>
              <w:spacing w:before="20" w:after="20"/>
              <w:jc w:val="both"/>
            </w:pPr>
            <w:r>
              <w:rPr>
                <w:sz w:val="18"/>
                <w:szCs w:val="18"/>
              </w:rPr>
              <w:t>Presenta conclusiones coherentes con las cifras.</w:t>
            </w:r>
          </w:p>
        </w:tc>
        <w:tc>
          <w:tcPr>
            <w:tcW w:w="1855" w:type="dxa"/>
            <w:shd w:val="clear" w:color="auto" w:fill="D9E2F3"/>
            <w:vAlign w:val="center"/>
          </w:tcPr>
          <w:p w14:paraId="4AFCC1C2" w14:textId="77777777" w:rsidR="00990B14" w:rsidRDefault="00000000">
            <w:pPr>
              <w:spacing w:before="20" w:after="20"/>
              <w:jc w:val="both"/>
            </w:pPr>
            <w:r>
              <w:rPr>
                <w:sz w:val="18"/>
                <w:szCs w:val="18"/>
              </w:rPr>
              <w:t>Recomienda un método según la actividad de la empresa.</w:t>
            </w:r>
          </w:p>
        </w:tc>
      </w:tr>
      <w:tr w:rsidR="00990B14" w14:paraId="270FD314" w14:textId="77777777">
        <w:trPr>
          <w:cantSplit/>
          <w:jc w:val="center"/>
        </w:trPr>
        <w:tc>
          <w:tcPr>
            <w:tcW w:w="1780" w:type="dxa"/>
            <w:vMerge/>
            <w:shd w:val="clear" w:color="auto" w:fill="4472C4"/>
            <w:vAlign w:val="center"/>
          </w:tcPr>
          <w:p w14:paraId="2F1AD9C4" w14:textId="77777777" w:rsidR="00990B14" w:rsidRDefault="00990B14">
            <w:pPr>
              <w:spacing w:before="20" w:after="20"/>
            </w:pPr>
          </w:p>
        </w:tc>
        <w:tc>
          <w:tcPr>
            <w:tcW w:w="5770" w:type="dxa"/>
            <w:gridSpan w:val="3"/>
            <w:shd w:val="clear" w:color="auto" w:fill="D9E2F3"/>
            <w:vAlign w:val="center"/>
          </w:tcPr>
          <w:p w14:paraId="34211323" w14:textId="77777777" w:rsidR="00990B14" w:rsidRDefault="00000000">
            <w:pPr>
              <w:keepNext/>
              <w:spacing w:before="20" w:after="20"/>
              <w:jc w:val="both"/>
            </w:pPr>
            <w:r>
              <w:rPr>
                <w:b/>
                <w:bCs/>
                <w:i/>
                <w:iCs/>
                <w:sz w:val="18"/>
                <w:szCs w:val="18"/>
              </w:rPr>
              <w:t xml:space="preserve">Producto 11: </w:t>
            </w:r>
            <w:r>
              <w:rPr>
                <w:sz w:val="18"/>
                <w:szCs w:val="18"/>
              </w:rPr>
              <w:t>Acta de toma física de inventarios</w:t>
            </w:r>
          </w:p>
        </w:tc>
        <w:tc>
          <w:tcPr>
            <w:tcW w:w="1855" w:type="dxa"/>
            <w:shd w:val="clear" w:color="auto" w:fill="D9E2F3"/>
            <w:vAlign w:val="center"/>
          </w:tcPr>
          <w:p w14:paraId="73E804DF" w14:textId="77777777" w:rsidR="00990B14" w:rsidRDefault="00000000">
            <w:pPr>
              <w:spacing w:before="20" w:after="20"/>
              <w:jc w:val="center"/>
            </w:pPr>
            <w:r>
              <w:rPr>
                <w:b/>
                <w:bCs/>
                <w:sz w:val="18"/>
                <w:szCs w:val="18"/>
              </w:rPr>
              <w:t>4%</w:t>
            </w:r>
          </w:p>
        </w:tc>
      </w:tr>
      <w:tr w:rsidR="00990B14" w14:paraId="12942E81" w14:textId="77777777">
        <w:trPr>
          <w:cantSplit/>
          <w:jc w:val="center"/>
        </w:trPr>
        <w:tc>
          <w:tcPr>
            <w:tcW w:w="1780" w:type="dxa"/>
            <w:vMerge/>
            <w:shd w:val="clear" w:color="auto" w:fill="4472C4"/>
            <w:vAlign w:val="center"/>
          </w:tcPr>
          <w:p w14:paraId="252167AE" w14:textId="77777777" w:rsidR="00990B14" w:rsidRDefault="00990B14">
            <w:pPr>
              <w:spacing w:before="20" w:after="20"/>
            </w:pPr>
          </w:p>
        </w:tc>
        <w:tc>
          <w:tcPr>
            <w:tcW w:w="1825" w:type="dxa"/>
            <w:shd w:val="clear" w:color="auto" w:fill="4472C4"/>
            <w:vAlign w:val="center"/>
          </w:tcPr>
          <w:p w14:paraId="0D9347A5" w14:textId="77777777" w:rsidR="00990B14" w:rsidRDefault="00000000">
            <w:pPr>
              <w:keepNext/>
              <w:spacing w:before="20" w:after="20"/>
              <w:jc w:val="center"/>
            </w:pPr>
            <w:r>
              <w:rPr>
                <w:b/>
                <w:bCs/>
                <w:i/>
                <w:iCs/>
                <w:color w:val="FFFFFF"/>
                <w:sz w:val="18"/>
                <w:szCs w:val="18"/>
              </w:rPr>
              <w:t>Criterio</w:t>
            </w:r>
          </w:p>
        </w:tc>
        <w:tc>
          <w:tcPr>
            <w:tcW w:w="1825" w:type="dxa"/>
            <w:shd w:val="clear" w:color="auto" w:fill="4472C4"/>
            <w:vAlign w:val="center"/>
          </w:tcPr>
          <w:p w14:paraId="663038B7" w14:textId="77777777" w:rsidR="00990B14" w:rsidRDefault="00000000">
            <w:pPr>
              <w:keepNext/>
              <w:spacing w:before="20" w:after="20"/>
              <w:jc w:val="center"/>
            </w:pPr>
            <w:r>
              <w:rPr>
                <w:b/>
                <w:bCs/>
                <w:i/>
                <w:iCs/>
                <w:color w:val="FFFFFF"/>
                <w:sz w:val="18"/>
                <w:szCs w:val="18"/>
              </w:rPr>
              <w:t>Insuficiente (1–50)</w:t>
            </w:r>
          </w:p>
        </w:tc>
        <w:tc>
          <w:tcPr>
            <w:tcW w:w="2120" w:type="dxa"/>
            <w:shd w:val="clear" w:color="auto" w:fill="4472C4"/>
            <w:vAlign w:val="center"/>
          </w:tcPr>
          <w:p w14:paraId="62FCB206" w14:textId="77777777" w:rsidR="00990B14" w:rsidRDefault="00000000">
            <w:pPr>
              <w:keepNext/>
              <w:spacing w:before="20" w:after="20"/>
              <w:jc w:val="center"/>
            </w:pPr>
            <w:r>
              <w:rPr>
                <w:b/>
                <w:bCs/>
                <w:i/>
                <w:iCs/>
                <w:color w:val="FFFFFF"/>
                <w:sz w:val="18"/>
                <w:szCs w:val="18"/>
              </w:rPr>
              <w:t>Suficiente (51–80)</w:t>
            </w:r>
          </w:p>
        </w:tc>
        <w:tc>
          <w:tcPr>
            <w:tcW w:w="1855" w:type="dxa"/>
            <w:shd w:val="clear" w:color="auto" w:fill="4472C4"/>
            <w:vAlign w:val="center"/>
          </w:tcPr>
          <w:p w14:paraId="13467F74" w14:textId="77777777" w:rsidR="00990B14" w:rsidRDefault="00000000">
            <w:pPr>
              <w:keepNext/>
              <w:spacing w:before="20" w:after="20"/>
              <w:jc w:val="center"/>
            </w:pPr>
            <w:r>
              <w:rPr>
                <w:b/>
                <w:bCs/>
                <w:i/>
                <w:iCs/>
                <w:color w:val="FFFFFF"/>
                <w:sz w:val="18"/>
                <w:szCs w:val="18"/>
              </w:rPr>
              <w:t>Destacado (81–100)</w:t>
            </w:r>
          </w:p>
        </w:tc>
      </w:tr>
      <w:tr w:rsidR="00990B14" w14:paraId="54719AD3" w14:textId="77777777">
        <w:trPr>
          <w:cantSplit/>
          <w:jc w:val="center"/>
        </w:trPr>
        <w:tc>
          <w:tcPr>
            <w:tcW w:w="1780" w:type="dxa"/>
            <w:vMerge/>
            <w:shd w:val="clear" w:color="auto" w:fill="4472C4"/>
            <w:vAlign w:val="center"/>
          </w:tcPr>
          <w:p w14:paraId="59C8C887" w14:textId="77777777" w:rsidR="00990B14" w:rsidRDefault="00990B14">
            <w:pPr>
              <w:spacing w:before="20" w:after="20"/>
            </w:pPr>
          </w:p>
        </w:tc>
        <w:tc>
          <w:tcPr>
            <w:tcW w:w="1825" w:type="dxa"/>
            <w:shd w:val="clear" w:color="auto" w:fill="D9E2F3"/>
            <w:vAlign w:val="center"/>
          </w:tcPr>
          <w:p w14:paraId="06C1CFB1" w14:textId="77777777" w:rsidR="00990B14" w:rsidRDefault="00000000">
            <w:pPr>
              <w:spacing w:before="20" w:after="20"/>
              <w:jc w:val="both"/>
            </w:pPr>
            <w:r>
              <w:rPr>
                <w:sz w:val="18"/>
                <w:szCs w:val="18"/>
              </w:rPr>
              <w:t>Toma física</w:t>
            </w:r>
          </w:p>
        </w:tc>
        <w:tc>
          <w:tcPr>
            <w:tcW w:w="1825" w:type="dxa"/>
            <w:shd w:val="clear" w:color="auto" w:fill="D9E2F3"/>
            <w:vAlign w:val="center"/>
          </w:tcPr>
          <w:p w14:paraId="54497B50" w14:textId="77777777" w:rsidR="00990B14" w:rsidRDefault="00000000">
            <w:pPr>
              <w:spacing w:before="20" w:after="20"/>
              <w:jc w:val="both"/>
            </w:pPr>
            <w:r>
              <w:rPr>
                <w:sz w:val="18"/>
                <w:szCs w:val="18"/>
              </w:rPr>
              <w:t>El conteo no cubre todo el almacén.</w:t>
            </w:r>
          </w:p>
        </w:tc>
        <w:tc>
          <w:tcPr>
            <w:tcW w:w="2120" w:type="dxa"/>
            <w:shd w:val="clear" w:color="auto" w:fill="D9E2F3"/>
            <w:vAlign w:val="center"/>
          </w:tcPr>
          <w:p w14:paraId="220C86E1" w14:textId="77777777" w:rsidR="00990B14" w:rsidRDefault="00000000">
            <w:pPr>
              <w:spacing w:before="20" w:after="20"/>
              <w:jc w:val="both"/>
            </w:pPr>
            <w:r>
              <w:rPr>
                <w:sz w:val="18"/>
                <w:szCs w:val="18"/>
              </w:rPr>
              <w:t>Registra el conteo de todos los artículos.</w:t>
            </w:r>
          </w:p>
        </w:tc>
        <w:tc>
          <w:tcPr>
            <w:tcW w:w="1855" w:type="dxa"/>
            <w:shd w:val="clear" w:color="auto" w:fill="D9E2F3"/>
            <w:vAlign w:val="center"/>
          </w:tcPr>
          <w:p w14:paraId="559F1EE8" w14:textId="77777777" w:rsidR="00990B14" w:rsidRDefault="00000000">
            <w:pPr>
              <w:spacing w:before="20" w:after="20"/>
              <w:jc w:val="both"/>
            </w:pPr>
            <w:r>
              <w:rPr>
                <w:sz w:val="18"/>
                <w:szCs w:val="18"/>
              </w:rPr>
              <w:t>Planifica el conteo con corte de documentos.</w:t>
            </w:r>
          </w:p>
        </w:tc>
      </w:tr>
      <w:tr w:rsidR="00990B14" w14:paraId="2BF24DD1" w14:textId="77777777">
        <w:trPr>
          <w:cantSplit/>
          <w:jc w:val="center"/>
        </w:trPr>
        <w:tc>
          <w:tcPr>
            <w:tcW w:w="1780" w:type="dxa"/>
            <w:vMerge/>
            <w:shd w:val="clear" w:color="auto" w:fill="4472C4"/>
            <w:vAlign w:val="center"/>
          </w:tcPr>
          <w:p w14:paraId="254D63C0" w14:textId="77777777" w:rsidR="00990B14" w:rsidRDefault="00990B14">
            <w:pPr>
              <w:spacing w:before="20" w:after="20"/>
            </w:pPr>
          </w:p>
        </w:tc>
        <w:tc>
          <w:tcPr>
            <w:tcW w:w="1825" w:type="dxa"/>
            <w:shd w:val="clear" w:color="auto" w:fill="D9E2F3"/>
            <w:vAlign w:val="center"/>
          </w:tcPr>
          <w:p w14:paraId="24F88116" w14:textId="77777777" w:rsidR="00990B14" w:rsidRDefault="00000000">
            <w:pPr>
              <w:spacing w:before="20" w:after="20"/>
              <w:jc w:val="both"/>
            </w:pPr>
            <w:r>
              <w:rPr>
                <w:sz w:val="18"/>
                <w:szCs w:val="18"/>
              </w:rPr>
              <w:t>Diferencias</w:t>
            </w:r>
          </w:p>
        </w:tc>
        <w:tc>
          <w:tcPr>
            <w:tcW w:w="1825" w:type="dxa"/>
            <w:shd w:val="clear" w:color="auto" w:fill="D9E2F3"/>
            <w:vAlign w:val="center"/>
          </w:tcPr>
          <w:p w14:paraId="6C7CF5A4" w14:textId="77777777" w:rsidR="00990B14" w:rsidRDefault="00000000">
            <w:pPr>
              <w:spacing w:before="20" w:after="20"/>
              <w:jc w:val="both"/>
            </w:pPr>
            <w:r>
              <w:rPr>
                <w:sz w:val="18"/>
                <w:szCs w:val="18"/>
              </w:rPr>
              <w:t>No determina sobrantes ni faltantes.</w:t>
            </w:r>
          </w:p>
        </w:tc>
        <w:tc>
          <w:tcPr>
            <w:tcW w:w="2120" w:type="dxa"/>
            <w:shd w:val="clear" w:color="auto" w:fill="D9E2F3"/>
            <w:vAlign w:val="center"/>
          </w:tcPr>
          <w:p w14:paraId="10E88DD1" w14:textId="77777777" w:rsidR="00990B14" w:rsidRDefault="00000000">
            <w:pPr>
              <w:spacing w:before="20" w:after="20"/>
              <w:jc w:val="both"/>
            </w:pPr>
            <w:r>
              <w:rPr>
                <w:sz w:val="18"/>
                <w:szCs w:val="18"/>
              </w:rPr>
              <w:t>Determina las diferencias con el kárdex.</w:t>
            </w:r>
          </w:p>
        </w:tc>
        <w:tc>
          <w:tcPr>
            <w:tcW w:w="1855" w:type="dxa"/>
            <w:shd w:val="clear" w:color="auto" w:fill="D9E2F3"/>
            <w:vAlign w:val="center"/>
          </w:tcPr>
          <w:p w14:paraId="44953A81" w14:textId="77777777" w:rsidR="00990B14" w:rsidRDefault="00000000">
            <w:pPr>
              <w:spacing w:before="20" w:after="20"/>
              <w:jc w:val="both"/>
            </w:pPr>
            <w:r>
              <w:rPr>
                <w:sz w:val="18"/>
                <w:szCs w:val="18"/>
              </w:rPr>
              <w:t>Analiza las causas de cada diferencia.</w:t>
            </w:r>
          </w:p>
        </w:tc>
      </w:tr>
      <w:tr w:rsidR="00990B14" w14:paraId="7BC6B497" w14:textId="77777777">
        <w:trPr>
          <w:cantSplit/>
          <w:jc w:val="center"/>
        </w:trPr>
        <w:tc>
          <w:tcPr>
            <w:tcW w:w="1780" w:type="dxa"/>
            <w:vMerge/>
            <w:shd w:val="clear" w:color="auto" w:fill="4472C4"/>
            <w:vAlign w:val="center"/>
          </w:tcPr>
          <w:p w14:paraId="09A0146F" w14:textId="77777777" w:rsidR="00990B14" w:rsidRDefault="00990B14">
            <w:pPr>
              <w:spacing w:before="20" w:after="20"/>
            </w:pPr>
          </w:p>
        </w:tc>
        <w:tc>
          <w:tcPr>
            <w:tcW w:w="1825" w:type="dxa"/>
            <w:shd w:val="clear" w:color="auto" w:fill="D9E2F3"/>
            <w:vAlign w:val="center"/>
          </w:tcPr>
          <w:p w14:paraId="5D3CA111" w14:textId="77777777" w:rsidR="00990B14" w:rsidRDefault="00000000">
            <w:pPr>
              <w:spacing w:before="20" w:after="20"/>
              <w:jc w:val="both"/>
            </w:pPr>
            <w:r>
              <w:rPr>
                <w:sz w:val="18"/>
                <w:szCs w:val="18"/>
              </w:rPr>
              <w:t>Registro de bajas</w:t>
            </w:r>
          </w:p>
        </w:tc>
        <w:tc>
          <w:tcPr>
            <w:tcW w:w="1825" w:type="dxa"/>
            <w:shd w:val="clear" w:color="auto" w:fill="D9E2F3"/>
            <w:vAlign w:val="center"/>
          </w:tcPr>
          <w:p w14:paraId="79FBF299" w14:textId="77777777" w:rsidR="00990B14" w:rsidRDefault="00000000">
            <w:pPr>
              <w:spacing w:before="20" w:after="20"/>
              <w:jc w:val="both"/>
            </w:pPr>
            <w:r>
              <w:rPr>
                <w:sz w:val="18"/>
                <w:szCs w:val="18"/>
              </w:rPr>
              <w:t>Registra las bajas sin respaldo.</w:t>
            </w:r>
          </w:p>
        </w:tc>
        <w:tc>
          <w:tcPr>
            <w:tcW w:w="2120" w:type="dxa"/>
            <w:shd w:val="clear" w:color="auto" w:fill="D9E2F3"/>
            <w:vAlign w:val="center"/>
          </w:tcPr>
          <w:p w14:paraId="5196C739" w14:textId="77777777" w:rsidR="00990B14" w:rsidRDefault="00000000">
            <w:pPr>
              <w:spacing w:before="20" w:after="20"/>
              <w:jc w:val="both"/>
            </w:pPr>
            <w:r>
              <w:rPr>
                <w:sz w:val="18"/>
                <w:szCs w:val="18"/>
              </w:rPr>
              <w:t>Registra las bajas con su documentación.</w:t>
            </w:r>
          </w:p>
        </w:tc>
        <w:tc>
          <w:tcPr>
            <w:tcW w:w="1855" w:type="dxa"/>
            <w:shd w:val="clear" w:color="auto" w:fill="D9E2F3"/>
            <w:vAlign w:val="center"/>
          </w:tcPr>
          <w:p w14:paraId="2065C86D" w14:textId="77777777" w:rsidR="00990B14" w:rsidRDefault="00000000">
            <w:pPr>
              <w:spacing w:before="20" w:after="20"/>
              <w:jc w:val="both"/>
            </w:pPr>
            <w:r>
              <w:rPr>
                <w:sz w:val="18"/>
                <w:szCs w:val="18"/>
              </w:rPr>
              <w:t>Distingue las mermas normales de las anormales.</w:t>
            </w:r>
          </w:p>
        </w:tc>
      </w:tr>
      <w:tr w:rsidR="00990B14" w14:paraId="38777872" w14:textId="77777777">
        <w:trPr>
          <w:cantSplit/>
          <w:jc w:val="center"/>
        </w:trPr>
        <w:tc>
          <w:tcPr>
            <w:tcW w:w="1780" w:type="dxa"/>
            <w:vMerge/>
            <w:shd w:val="clear" w:color="auto" w:fill="4472C4"/>
            <w:vAlign w:val="center"/>
          </w:tcPr>
          <w:p w14:paraId="110B1180" w14:textId="77777777" w:rsidR="00990B14" w:rsidRDefault="00990B14">
            <w:pPr>
              <w:spacing w:before="20" w:after="20"/>
            </w:pPr>
          </w:p>
        </w:tc>
        <w:tc>
          <w:tcPr>
            <w:tcW w:w="5770" w:type="dxa"/>
            <w:gridSpan w:val="3"/>
            <w:shd w:val="clear" w:color="auto" w:fill="D9E2F3"/>
            <w:vAlign w:val="center"/>
          </w:tcPr>
          <w:p w14:paraId="70AB0CBA" w14:textId="77777777" w:rsidR="00990B14" w:rsidRDefault="00000000">
            <w:pPr>
              <w:keepNext/>
              <w:spacing w:before="20" w:after="20"/>
              <w:jc w:val="both"/>
            </w:pPr>
            <w:r>
              <w:rPr>
                <w:b/>
                <w:bCs/>
                <w:i/>
                <w:iCs/>
                <w:sz w:val="18"/>
                <w:szCs w:val="18"/>
              </w:rPr>
              <w:t xml:space="preserve">Producto 12: </w:t>
            </w:r>
            <w:r>
              <w:rPr>
                <w:sz w:val="18"/>
                <w:szCs w:val="18"/>
              </w:rPr>
              <w:t>Liquidación de comisión y consignación</w:t>
            </w:r>
          </w:p>
        </w:tc>
        <w:tc>
          <w:tcPr>
            <w:tcW w:w="1855" w:type="dxa"/>
            <w:shd w:val="clear" w:color="auto" w:fill="D9E2F3"/>
            <w:vAlign w:val="center"/>
          </w:tcPr>
          <w:p w14:paraId="6D14225F" w14:textId="77777777" w:rsidR="00990B14" w:rsidRDefault="00000000">
            <w:pPr>
              <w:spacing w:before="20" w:after="20"/>
              <w:jc w:val="center"/>
            </w:pPr>
            <w:r>
              <w:rPr>
                <w:b/>
                <w:bCs/>
                <w:sz w:val="18"/>
                <w:szCs w:val="18"/>
              </w:rPr>
              <w:t>3%</w:t>
            </w:r>
          </w:p>
        </w:tc>
      </w:tr>
      <w:tr w:rsidR="00990B14" w14:paraId="74F5DE83" w14:textId="77777777">
        <w:trPr>
          <w:cantSplit/>
          <w:jc w:val="center"/>
        </w:trPr>
        <w:tc>
          <w:tcPr>
            <w:tcW w:w="1780" w:type="dxa"/>
            <w:vMerge/>
            <w:shd w:val="clear" w:color="auto" w:fill="4472C4"/>
            <w:vAlign w:val="center"/>
          </w:tcPr>
          <w:p w14:paraId="5A547079" w14:textId="77777777" w:rsidR="00990B14" w:rsidRDefault="00990B14">
            <w:pPr>
              <w:spacing w:before="20" w:after="20"/>
            </w:pPr>
          </w:p>
        </w:tc>
        <w:tc>
          <w:tcPr>
            <w:tcW w:w="1825" w:type="dxa"/>
            <w:shd w:val="clear" w:color="auto" w:fill="4472C4"/>
            <w:vAlign w:val="center"/>
          </w:tcPr>
          <w:p w14:paraId="746BC199" w14:textId="77777777" w:rsidR="00990B14" w:rsidRDefault="00000000">
            <w:pPr>
              <w:keepNext/>
              <w:spacing w:before="20" w:after="20"/>
              <w:jc w:val="center"/>
            </w:pPr>
            <w:r>
              <w:rPr>
                <w:b/>
                <w:bCs/>
                <w:i/>
                <w:iCs/>
                <w:color w:val="FFFFFF"/>
                <w:sz w:val="18"/>
                <w:szCs w:val="18"/>
              </w:rPr>
              <w:t>Criterio</w:t>
            </w:r>
          </w:p>
        </w:tc>
        <w:tc>
          <w:tcPr>
            <w:tcW w:w="1825" w:type="dxa"/>
            <w:shd w:val="clear" w:color="auto" w:fill="4472C4"/>
            <w:vAlign w:val="center"/>
          </w:tcPr>
          <w:p w14:paraId="64EEFD25" w14:textId="77777777" w:rsidR="00990B14" w:rsidRDefault="00000000">
            <w:pPr>
              <w:keepNext/>
              <w:spacing w:before="20" w:after="20"/>
              <w:jc w:val="center"/>
            </w:pPr>
            <w:r>
              <w:rPr>
                <w:b/>
                <w:bCs/>
                <w:i/>
                <w:iCs/>
                <w:color w:val="FFFFFF"/>
                <w:sz w:val="18"/>
                <w:szCs w:val="18"/>
              </w:rPr>
              <w:t>Insuficiente (1–50)</w:t>
            </w:r>
          </w:p>
        </w:tc>
        <w:tc>
          <w:tcPr>
            <w:tcW w:w="2120" w:type="dxa"/>
            <w:shd w:val="clear" w:color="auto" w:fill="4472C4"/>
            <w:vAlign w:val="center"/>
          </w:tcPr>
          <w:p w14:paraId="3F726A4E" w14:textId="77777777" w:rsidR="00990B14" w:rsidRDefault="00000000">
            <w:pPr>
              <w:keepNext/>
              <w:spacing w:before="20" w:after="20"/>
              <w:jc w:val="center"/>
            </w:pPr>
            <w:r>
              <w:rPr>
                <w:b/>
                <w:bCs/>
                <w:i/>
                <w:iCs/>
                <w:color w:val="FFFFFF"/>
                <w:sz w:val="18"/>
                <w:szCs w:val="18"/>
              </w:rPr>
              <w:t>Suficiente (51–80)</w:t>
            </w:r>
          </w:p>
        </w:tc>
        <w:tc>
          <w:tcPr>
            <w:tcW w:w="1855" w:type="dxa"/>
            <w:shd w:val="clear" w:color="auto" w:fill="4472C4"/>
            <w:vAlign w:val="center"/>
          </w:tcPr>
          <w:p w14:paraId="23650176" w14:textId="77777777" w:rsidR="00990B14" w:rsidRDefault="00000000">
            <w:pPr>
              <w:keepNext/>
              <w:spacing w:before="20" w:after="20"/>
              <w:jc w:val="center"/>
            </w:pPr>
            <w:r>
              <w:rPr>
                <w:b/>
                <w:bCs/>
                <w:i/>
                <w:iCs/>
                <w:color w:val="FFFFFF"/>
                <w:sz w:val="18"/>
                <w:szCs w:val="18"/>
              </w:rPr>
              <w:t>Destacado (81–100)</w:t>
            </w:r>
          </w:p>
        </w:tc>
      </w:tr>
      <w:tr w:rsidR="00990B14" w14:paraId="5AFC26D5" w14:textId="77777777">
        <w:trPr>
          <w:cantSplit/>
          <w:jc w:val="center"/>
        </w:trPr>
        <w:tc>
          <w:tcPr>
            <w:tcW w:w="1780" w:type="dxa"/>
            <w:vMerge/>
            <w:shd w:val="clear" w:color="auto" w:fill="4472C4"/>
            <w:vAlign w:val="center"/>
          </w:tcPr>
          <w:p w14:paraId="17662ED8" w14:textId="77777777" w:rsidR="00990B14" w:rsidRDefault="00990B14">
            <w:pPr>
              <w:spacing w:before="20" w:after="20"/>
            </w:pPr>
          </w:p>
        </w:tc>
        <w:tc>
          <w:tcPr>
            <w:tcW w:w="1825" w:type="dxa"/>
            <w:shd w:val="clear" w:color="auto" w:fill="D9E2F3"/>
            <w:vAlign w:val="center"/>
          </w:tcPr>
          <w:p w14:paraId="461FD3A2" w14:textId="77777777" w:rsidR="00990B14" w:rsidRDefault="00000000">
            <w:pPr>
              <w:spacing w:before="20" w:after="20"/>
              <w:jc w:val="both"/>
            </w:pPr>
            <w:r>
              <w:rPr>
                <w:sz w:val="18"/>
                <w:szCs w:val="18"/>
              </w:rPr>
              <w:t>Liquidación</w:t>
            </w:r>
          </w:p>
        </w:tc>
        <w:tc>
          <w:tcPr>
            <w:tcW w:w="1825" w:type="dxa"/>
            <w:shd w:val="clear" w:color="auto" w:fill="D9E2F3"/>
            <w:vAlign w:val="center"/>
          </w:tcPr>
          <w:p w14:paraId="4E06CC69" w14:textId="77777777" w:rsidR="00990B14" w:rsidRDefault="00000000">
            <w:pPr>
              <w:spacing w:before="20" w:after="20"/>
              <w:jc w:val="both"/>
            </w:pPr>
            <w:r>
              <w:rPr>
                <w:sz w:val="18"/>
                <w:szCs w:val="18"/>
              </w:rPr>
              <w:t>La liquidación omite gastos o comisiones.</w:t>
            </w:r>
          </w:p>
        </w:tc>
        <w:tc>
          <w:tcPr>
            <w:tcW w:w="2120" w:type="dxa"/>
            <w:shd w:val="clear" w:color="auto" w:fill="D9E2F3"/>
            <w:vAlign w:val="center"/>
          </w:tcPr>
          <w:p w14:paraId="75DCBAD2" w14:textId="77777777" w:rsidR="00990B14" w:rsidRDefault="00000000">
            <w:pPr>
              <w:spacing w:before="20" w:after="20"/>
              <w:jc w:val="both"/>
            </w:pPr>
            <w:r>
              <w:rPr>
                <w:sz w:val="18"/>
                <w:szCs w:val="18"/>
              </w:rPr>
              <w:t>Prepara la liquidación completa de cada operación.</w:t>
            </w:r>
          </w:p>
        </w:tc>
        <w:tc>
          <w:tcPr>
            <w:tcW w:w="1855" w:type="dxa"/>
            <w:shd w:val="clear" w:color="auto" w:fill="D9E2F3"/>
            <w:vAlign w:val="center"/>
          </w:tcPr>
          <w:p w14:paraId="2FF812F6" w14:textId="77777777" w:rsidR="00990B14" w:rsidRDefault="00000000">
            <w:pPr>
              <w:spacing w:before="20" w:after="20"/>
              <w:jc w:val="both"/>
            </w:pPr>
            <w:r>
              <w:rPr>
                <w:sz w:val="18"/>
                <w:szCs w:val="18"/>
              </w:rPr>
              <w:t>Verifica la liquidación con el contrato.</w:t>
            </w:r>
          </w:p>
        </w:tc>
      </w:tr>
      <w:tr w:rsidR="00990B14" w14:paraId="6371400E" w14:textId="77777777">
        <w:trPr>
          <w:cantSplit/>
          <w:jc w:val="center"/>
        </w:trPr>
        <w:tc>
          <w:tcPr>
            <w:tcW w:w="1780" w:type="dxa"/>
            <w:vMerge/>
            <w:shd w:val="clear" w:color="auto" w:fill="4472C4"/>
            <w:vAlign w:val="center"/>
          </w:tcPr>
          <w:p w14:paraId="166A8D74" w14:textId="77777777" w:rsidR="00990B14" w:rsidRDefault="00990B14">
            <w:pPr>
              <w:spacing w:before="20" w:after="20"/>
            </w:pPr>
          </w:p>
        </w:tc>
        <w:tc>
          <w:tcPr>
            <w:tcW w:w="1825" w:type="dxa"/>
            <w:shd w:val="clear" w:color="auto" w:fill="D9E2F3"/>
            <w:vAlign w:val="center"/>
          </w:tcPr>
          <w:p w14:paraId="10C146FA" w14:textId="77777777" w:rsidR="00990B14" w:rsidRDefault="00000000">
            <w:pPr>
              <w:spacing w:before="20" w:after="20"/>
              <w:jc w:val="both"/>
            </w:pPr>
            <w:r>
              <w:rPr>
                <w:sz w:val="18"/>
                <w:szCs w:val="18"/>
              </w:rPr>
              <w:t>Registros de ambas partes</w:t>
            </w:r>
          </w:p>
        </w:tc>
        <w:tc>
          <w:tcPr>
            <w:tcW w:w="1825" w:type="dxa"/>
            <w:shd w:val="clear" w:color="auto" w:fill="D9E2F3"/>
            <w:vAlign w:val="center"/>
          </w:tcPr>
          <w:p w14:paraId="61CCA243" w14:textId="77777777" w:rsidR="00990B14" w:rsidRDefault="00000000">
            <w:pPr>
              <w:spacing w:before="20" w:after="20"/>
              <w:jc w:val="both"/>
            </w:pPr>
            <w:r>
              <w:rPr>
                <w:sz w:val="18"/>
                <w:szCs w:val="18"/>
              </w:rPr>
              <w:t>Registra solo una de las partes.</w:t>
            </w:r>
          </w:p>
        </w:tc>
        <w:tc>
          <w:tcPr>
            <w:tcW w:w="2120" w:type="dxa"/>
            <w:shd w:val="clear" w:color="auto" w:fill="D9E2F3"/>
            <w:vAlign w:val="center"/>
          </w:tcPr>
          <w:p w14:paraId="0279BC16" w14:textId="77777777" w:rsidR="00990B14" w:rsidRDefault="00000000">
            <w:pPr>
              <w:spacing w:before="20" w:after="20"/>
              <w:jc w:val="both"/>
            </w:pPr>
            <w:r>
              <w:rPr>
                <w:sz w:val="18"/>
                <w:szCs w:val="18"/>
              </w:rPr>
              <w:t>Registra la operación en ambas partes.</w:t>
            </w:r>
          </w:p>
        </w:tc>
        <w:tc>
          <w:tcPr>
            <w:tcW w:w="1855" w:type="dxa"/>
            <w:shd w:val="clear" w:color="auto" w:fill="D9E2F3"/>
            <w:vAlign w:val="center"/>
          </w:tcPr>
          <w:p w14:paraId="13314002" w14:textId="77777777" w:rsidR="00990B14" w:rsidRDefault="00000000">
            <w:pPr>
              <w:spacing w:before="20" w:after="20"/>
              <w:jc w:val="both"/>
            </w:pPr>
            <w:r>
              <w:rPr>
                <w:sz w:val="18"/>
                <w:szCs w:val="18"/>
              </w:rPr>
              <w:t>Explica la naturaleza de cada cuenta usada.</w:t>
            </w:r>
          </w:p>
        </w:tc>
      </w:tr>
      <w:tr w:rsidR="00990B14" w14:paraId="0D89494C" w14:textId="77777777">
        <w:trPr>
          <w:cantSplit/>
          <w:jc w:val="center"/>
        </w:trPr>
        <w:tc>
          <w:tcPr>
            <w:tcW w:w="1780" w:type="dxa"/>
            <w:vMerge/>
            <w:shd w:val="clear" w:color="auto" w:fill="4472C4"/>
            <w:vAlign w:val="center"/>
          </w:tcPr>
          <w:p w14:paraId="0AB333D4" w14:textId="77777777" w:rsidR="00990B14" w:rsidRDefault="00990B14">
            <w:pPr>
              <w:spacing w:before="20" w:after="20"/>
            </w:pPr>
          </w:p>
        </w:tc>
        <w:tc>
          <w:tcPr>
            <w:tcW w:w="1825" w:type="dxa"/>
            <w:shd w:val="clear" w:color="auto" w:fill="D9E2F3"/>
            <w:vAlign w:val="center"/>
          </w:tcPr>
          <w:p w14:paraId="17D7FE38" w14:textId="77777777" w:rsidR="00990B14" w:rsidRDefault="00000000">
            <w:pPr>
              <w:spacing w:before="20" w:after="20"/>
              <w:jc w:val="both"/>
            </w:pPr>
            <w:r>
              <w:rPr>
                <w:sz w:val="18"/>
                <w:szCs w:val="18"/>
              </w:rPr>
              <w:t>Principal o agente</w:t>
            </w:r>
          </w:p>
        </w:tc>
        <w:tc>
          <w:tcPr>
            <w:tcW w:w="1825" w:type="dxa"/>
            <w:shd w:val="clear" w:color="auto" w:fill="D9E2F3"/>
            <w:vAlign w:val="center"/>
          </w:tcPr>
          <w:p w14:paraId="544078A5" w14:textId="77777777" w:rsidR="00990B14" w:rsidRDefault="00000000">
            <w:pPr>
              <w:spacing w:before="20" w:after="20"/>
              <w:jc w:val="both"/>
            </w:pPr>
            <w:r>
              <w:rPr>
                <w:sz w:val="18"/>
                <w:szCs w:val="18"/>
              </w:rPr>
              <w:t>No identifica quién controla la mercadería.</w:t>
            </w:r>
          </w:p>
        </w:tc>
        <w:tc>
          <w:tcPr>
            <w:tcW w:w="2120" w:type="dxa"/>
            <w:shd w:val="clear" w:color="auto" w:fill="D9E2F3"/>
            <w:vAlign w:val="center"/>
          </w:tcPr>
          <w:p w14:paraId="486124A9" w14:textId="77777777" w:rsidR="00990B14" w:rsidRDefault="00000000">
            <w:pPr>
              <w:spacing w:before="20" w:after="20"/>
              <w:jc w:val="both"/>
            </w:pPr>
            <w:r>
              <w:rPr>
                <w:sz w:val="18"/>
                <w:szCs w:val="18"/>
              </w:rPr>
              <w:t>Distingue al principal del agente según la NIIF 15.</w:t>
            </w:r>
          </w:p>
        </w:tc>
        <w:tc>
          <w:tcPr>
            <w:tcW w:w="1855" w:type="dxa"/>
            <w:shd w:val="clear" w:color="auto" w:fill="D9E2F3"/>
            <w:vAlign w:val="center"/>
          </w:tcPr>
          <w:p w14:paraId="51C8559D" w14:textId="77777777" w:rsidR="00990B14" w:rsidRDefault="00000000">
            <w:pPr>
              <w:spacing w:before="20" w:after="20"/>
              <w:jc w:val="both"/>
            </w:pPr>
            <w:r>
              <w:rPr>
                <w:sz w:val="18"/>
                <w:szCs w:val="18"/>
              </w:rPr>
              <w:t>Justifica el momento del reconocimiento del ingreso.</w:t>
            </w:r>
          </w:p>
        </w:tc>
      </w:tr>
      <w:tr w:rsidR="00990B14" w14:paraId="2317802E" w14:textId="77777777">
        <w:trPr>
          <w:cantSplit/>
          <w:jc w:val="center"/>
        </w:trPr>
        <w:tc>
          <w:tcPr>
            <w:tcW w:w="1780" w:type="dxa"/>
            <w:vMerge/>
            <w:shd w:val="clear" w:color="auto" w:fill="4472C4"/>
            <w:vAlign w:val="center"/>
          </w:tcPr>
          <w:p w14:paraId="66CD933E" w14:textId="77777777" w:rsidR="00990B14" w:rsidRDefault="00990B14">
            <w:pPr>
              <w:spacing w:before="20" w:after="20"/>
            </w:pPr>
          </w:p>
        </w:tc>
        <w:tc>
          <w:tcPr>
            <w:tcW w:w="5770" w:type="dxa"/>
            <w:gridSpan w:val="3"/>
            <w:shd w:val="clear" w:color="auto" w:fill="D9E2F3"/>
            <w:vAlign w:val="center"/>
          </w:tcPr>
          <w:p w14:paraId="779698EC" w14:textId="77777777" w:rsidR="00990B14" w:rsidRDefault="00000000">
            <w:pPr>
              <w:keepNext/>
              <w:spacing w:before="20" w:after="20"/>
              <w:jc w:val="both"/>
            </w:pPr>
            <w:r>
              <w:rPr>
                <w:b/>
                <w:bCs/>
                <w:i/>
                <w:iCs/>
                <w:sz w:val="18"/>
                <w:szCs w:val="18"/>
              </w:rPr>
              <w:t xml:space="preserve">Producto 13: </w:t>
            </w:r>
            <w:r>
              <w:rPr>
                <w:sz w:val="18"/>
                <w:szCs w:val="18"/>
              </w:rPr>
              <w:t>Cuadro de devengamiento de pagos anticipados</w:t>
            </w:r>
          </w:p>
        </w:tc>
        <w:tc>
          <w:tcPr>
            <w:tcW w:w="1855" w:type="dxa"/>
            <w:shd w:val="clear" w:color="auto" w:fill="D9E2F3"/>
            <w:vAlign w:val="center"/>
          </w:tcPr>
          <w:p w14:paraId="6775890C" w14:textId="77777777" w:rsidR="00990B14" w:rsidRDefault="00000000">
            <w:pPr>
              <w:spacing w:before="20" w:after="20"/>
              <w:jc w:val="center"/>
            </w:pPr>
            <w:r>
              <w:rPr>
                <w:b/>
                <w:bCs/>
                <w:sz w:val="18"/>
                <w:szCs w:val="18"/>
              </w:rPr>
              <w:t>2%</w:t>
            </w:r>
          </w:p>
        </w:tc>
      </w:tr>
      <w:tr w:rsidR="00990B14" w14:paraId="14671B7A" w14:textId="77777777">
        <w:trPr>
          <w:cantSplit/>
          <w:jc w:val="center"/>
        </w:trPr>
        <w:tc>
          <w:tcPr>
            <w:tcW w:w="1780" w:type="dxa"/>
            <w:vMerge/>
            <w:shd w:val="clear" w:color="auto" w:fill="4472C4"/>
            <w:vAlign w:val="center"/>
          </w:tcPr>
          <w:p w14:paraId="579D30FD" w14:textId="77777777" w:rsidR="00990B14" w:rsidRDefault="00990B14">
            <w:pPr>
              <w:spacing w:before="20" w:after="20"/>
            </w:pPr>
          </w:p>
        </w:tc>
        <w:tc>
          <w:tcPr>
            <w:tcW w:w="1825" w:type="dxa"/>
            <w:shd w:val="clear" w:color="auto" w:fill="4472C4"/>
            <w:vAlign w:val="center"/>
          </w:tcPr>
          <w:p w14:paraId="446D304D" w14:textId="77777777" w:rsidR="00990B14" w:rsidRDefault="00000000">
            <w:pPr>
              <w:keepNext/>
              <w:spacing w:before="20" w:after="20"/>
              <w:jc w:val="center"/>
            </w:pPr>
            <w:r>
              <w:rPr>
                <w:b/>
                <w:bCs/>
                <w:i/>
                <w:iCs/>
                <w:color w:val="FFFFFF"/>
                <w:sz w:val="18"/>
                <w:szCs w:val="18"/>
              </w:rPr>
              <w:t>Criterio</w:t>
            </w:r>
          </w:p>
        </w:tc>
        <w:tc>
          <w:tcPr>
            <w:tcW w:w="1825" w:type="dxa"/>
            <w:shd w:val="clear" w:color="auto" w:fill="4472C4"/>
            <w:vAlign w:val="center"/>
          </w:tcPr>
          <w:p w14:paraId="2BE2E45F" w14:textId="77777777" w:rsidR="00990B14" w:rsidRDefault="00000000">
            <w:pPr>
              <w:keepNext/>
              <w:spacing w:before="20" w:after="20"/>
              <w:jc w:val="center"/>
            </w:pPr>
            <w:r>
              <w:rPr>
                <w:b/>
                <w:bCs/>
                <w:i/>
                <w:iCs/>
                <w:color w:val="FFFFFF"/>
                <w:sz w:val="18"/>
                <w:szCs w:val="18"/>
              </w:rPr>
              <w:t>Insuficiente (1–50)</w:t>
            </w:r>
          </w:p>
        </w:tc>
        <w:tc>
          <w:tcPr>
            <w:tcW w:w="2120" w:type="dxa"/>
            <w:shd w:val="clear" w:color="auto" w:fill="4472C4"/>
            <w:vAlign w:val="center"/>
          </w:tcPr>
          <w:p w14:paraId="3A5FE7A7" w14:textId="77777777" w:rsidR="00990B14" w:rsidRDefault="00000000">
            <w:pPr>
              <w:keepNext/>
              <w:spacing w:before="20" w:after="20"/>
              <w:jc w:val="center"/>
            </w:pPr>
            <w:r>
              <w:rPr>
                <w:b/>
                <w:bCs/>
                <w:i/>
                <w:iCs/>
                <w:color w:val="FFFFFF"/>
                <w:sz w:val="18"/>
                <w:szCs w:val="18"/>
              </w:rPr>
              <w:t>Suficiente (51–80)</w:t>
            </w:r>
          </w:p>
        </w:tc>
        <w:tc>
          <w:tcPr>
            <w:tcW w:w="1855" w:type="dxa"/>
            <w:shd w:val="clear" w:color="auto" w:fill="4472C4"/>
            <w:vAlign w:val="center"/>
          </w:tcPr>
          <w:p w14:paraId="0C46D507" w14:textId="77777777" w:rsidR="00990B14" w:rsidRDefault="00000000">
            <w:pPr>
              <w:keepNext/>
              <w:spacing w:before="20" w:after="20"/>
              <w:jc w:val="center"/>
            </w:pPr>
            <w:r>
              <w:rPr>
                <w:b/>
                <w:bCs/>
                <w:i/>
                <w:iCs/>
                <w:color w:val="FFFFFF"/>
                <w:sz w:val="18"/>
                <w:szCs w:val="18"/>
              </w:rPr>
              <w:t>Destacado (81–100)</w:t>
            </w:r>
          </w:p>
        </w:tc>
      </w:tr>
      <w:tr w:rsidR="00990B14" w14:paraId="0452C64F" w14:textId="77777777">
        <w:trPr>
          <w:cantSplit/>
          <w:jc w:val="center"/>
        </w:trPr>
        <w:tc>
          <w:tcPr>
            <w:tcW w:w="1780" w:type="dxa"/>
            <w:vMerge/>
            <w:shd w:val="clear" w:color="auto" w:fill="4472C4"/>
            <w:vAlign w:val="center"/>
          </w:tcPr>
          <w:p w14:paraId="5295D80F" w14:textId="77777777" w:rsidR="00990B14" w:rsidRDefault="00990B14">
            <w:pPr>
              <w:spacing w:before="20" w:after="20"/>
            </w:pPr>
          </w:p>
        </w:tc>
        <w:tc>
          <w:tcPr>
            <w:tcW w:w="1825" w:type="dxa"/>
            <w:shd w:val="clear" w:color="auto" w:fill="D9E2F3"/>
            <w:vAlign w:val="center"/>
          </w:tcPr>
          <w:p w14:paraId="598E8EE4" w14:textId="77777777" w:rsidR="00990B14" w:rsidRDefault="00000000">
            <w:pPr>
              <w:spacing w:before="20" w:after="20"/>
              <w:jc w:val="both"/>
            </w:pPr>
            <w:r>
              <w:rPr>
                <w:sz w:val="18"/>
                <w:szCs w:val="18"/>
              </w:rPr>
              <w:t>Devengamiento</w:t>
            </w:r>
          </w:p>
        </w:tc>
        <w:tc>
          <w:tcPr>
            <w:tcW w:w="1825" w:type="dxa"/>
            <w:shd w:val="clear" w:color="auto" w:fill="D9E2F3"/>
            <w:vAlign w:val="center"/>
          </w:tcPr>
          <w:p w14:paraId="4D0C99B1" w14:textId="77777777" w:rsidR="00990B14" w:rsidRDefault="00000000">
            <w:pPr>
              <w:spacing w:before="20" w:after="20"/>
              <w:jc w:val="both"/>
            </w:pPr>
            <w:r>
              <w:rPr>
                <w:sz w:val="18"/>
                <w:szCs w:val="18"/>
              </w:rPr>
              <w:t>Calcula mal la porción consumida.</w:t>
            </w:r>
          </w:p>
        </w:tc>
        <w:tc>
          <w:tcPr>
            <w:tcW w:w="2120" w:type="dxa"/>
            <w:shd w:val="clear" w:color="auto" w:fill="D9E2F3"/>
            <w:vAlign w:val="center"/>
          </w:tcPr>
          <w:p w14:paraId="77710579" w14:textId="77777777" w:rsidR="00990B14" w:rsidRDefault="00000000">
            <w:pPr>
              <w:spacing w:before="20" w:after="20"/>
              <w:jc w:val="both"/>
            </w:pPr>
            <w:r>
              <w:rPr>
                <w:sz w:val="18"/>
                <w:szCs w:val="18"/>
              </w:rPr>
              <w:t>Calcula la porción devengada de cada partida.</w:t>
            </w:r>
          </w:p>
        </w:tc>
        <w:tc>
          <w:tcPr>
            <w:tcW w:w="1855" w:type="dxa"/>
            <w:shd w:val="clear" w:color="auto" w:fill="D9E2F3"/>
            <w:vAlign w:val="center"/>
          </w:tcPr>
          <w:p w14:paraId="45EBDB8F" w14:textId="77777777" w:rsidR="00990B14" w:rsidRDefault="00000000">
            <w:pPr>
              <w:spacing w:before="20" w:after="20"/>
              <w:jc w:val="both"/>
            </w:pPr>
            <w:r>
              <w:rPr>
                <w:sz w:val="18"/>
                <w:szCs w:val="18"/>
              </w:rPr>
              <w:t>Relaciona el devengamiento con el periodo del contrato.</w:t>
            </w:r>
          </w:p>
        </w:tc>
      </w:tr>
      <w:tr w:rsidR="00990B14" w14:paraId="32D75045" w14:textId="77777777">
        <w:trPr>
          <w:cantSplit/>
          <w:jc w:val="center"/>
        </w:trPr>
        <w:tc>
          <w:tcPr>
            <w:tcW w:w="1780" w:type="dxa"/>
            <w:vMerge/>
            <w:shd w:val="clear" w:color="auto" w:fill="4472C4"/>
            <w:vAlign w:val="center"/>
          </w:tcPr>
          <w:p w14:paraId="768E7181" w14:textId="77777777" w:rsidR="00990B14" w:rsidRDefault="00990B14">
            <w:pPr>
              <w:spacing w:before="20" w:after="20"/>
            </w:pPr>
          </w:p>
        </w:tc>
        <w:tc>
          <w:tcPr>
            <w:tcW w:w="1825" w:type="dxa"/>
            <w:shd w:val="clear" w:color="auto" w:fill="D9E2F3"/>
            <w:vAlign w:val="center"/>
          </w:tcPr>
          <w:p w14:paraId="51A55387" w14:textId="77777777" w:rsidR="00990B14" w:rsidRDefault="00000000">
            <w:pPr>
              <w:spacing w:before="20" w:after="20"/>
              <w:jc w:val="both"/>
            </w:pPr>
            <w:r>
              <w:rPr>
                <w:sz w:val="18"/>
                <w:szCs w:val="18"/>
              </w:rPr>
              <w:t>Asientos irreversibles y reversibles</w:t>
            </w:r>
          </w:p>
        </w:tc>
        <w:tc>
          <w:tcPr>
            <w:tcW w:w="1825" w:type="dxa"/>
            <w:shd w:val="clear" w:color="auto" w:fill="D9E2F3"/>
            <w:vAlign w:val="center"/>
          </w:tcPr>
          <w:p w14:paraId="4E825103" w14:textId="77777777" w:rsidR="00990B14" w:rsidRDefault="00000000">
            <w:pPr>
              <w:spacing w:before="20" w:after="20"/>
              <w:jc w:val="both"/>
            </w:pPr>
            <w:r>
              <w:rPr>
                <w:sz w:val="18"/>
                <w:szCs w:val="18"/>
              </w:rPr>
              <w:t>Confunde ambos tipos de asiento.</w:t>
            </w:r>
          </w:p>
        </w:tc>
        <w:tc>
          <w:tcPr>
            <w:tcW w:w="2120" w:type="dxa"/>
            <w:shd w:val="clear" w:color="auto" w:fill="D9E2F3"/>
            <w:vAlign w:val="center"/>
          </w:tcPr>
          <w:p w14:paraId="786ABA4D" w14:textId="77777777" w:rsidR="00990B14" w:rsidRDefault="00000000">
            <w:pPr>
              <w:spacing w:before="20" w:after="20"/>
              <w:jc w:val="both"/>
            </w:pPr>
            <w:r>
              <w:rPr>
                <w:sz w:val="18"/>
                <w:szCs w:val="18"/>
              </w:rPr>
              <w:t>Registra correctamente ambos tipos de asiento.</w:t>
            </w:r>
          </w:p>
        </w:tc>
        <w:tc>
          <w:tcPr>
            <w:tcW w:w="1855" w:type="dxa"/>
            <w:shd w:val="clear" w:color="auto" w:fill="D9E2F3"/>
            <w:vAlign w:val="center"/>
          </w:tcPr>
          <w:p w14:paraId="317A107D" w14:textId="77777777" w:rsidR="00990B14" w:rsidRDefault="00000000">
            <w:pPr>
              <w:spacing w:before="20" w:after="20"/>
              <w:jc w:val="both"/>
            </w:pPr>
            <w:r>
              <w:rPr>
                <w:sz w:val="18"/>
                <w:szCs w:val="18"/>
              </w:rPr>
              <w:t>Explica cuándo conviene cada tipo de asiento.</w:t>
            </w:r>
          </w:p>
        </w:tc>
      </w:tr>
      <w:tr w:rsidR="00990B14" w14:paraId="20B0A01F" w14:textId="77777777">
        <w:trPr>
          <w:cantSplit/>
          <w:jc w:val="center"/>
        </w:trPr>
        <w:tc>
          <w:tcPr>
            <w:tcW w:w="1780" w:type="dxa"/>
            <w:vMerge/>
            <w:shd w:val="clear" w:color="auto" w:fill="4472C4"/>
            <w:vAlign w:val="center"/>
          </w:tcPr>
          <w:p w14:paraId="092F3E23" w14:textId="77777777" w:rsidR="00990B14" w:rsidRDefault="00990B14">
            <w:pPr>
              <w:spacing w:before="20" w:after="20"/>
            </w:pPr>
          </w:p>
        </w:tc>
        <w:tc>
          <w:tcPr>
            <w:tcW w:w="1825" w:type="dxa"/>
            <w:shd w:val="clear" w:color="auto" w:fill="D9E2F3"/>
            <w:vAlign w:val="center"/>
          </w:tcPr>
          <w:p w14:paraId="746F7ABC" w14:textId="77777777" w:rsidR="00990B14" w:rsidRDefault="00000000">
            <w:pPr>
              <w:spacing w:before="20" w:after="20"/>
              <w:jc w:val="both"/>
            </w:pPr>
            <w:r>
              <w:rPr>
                <w:sz w:val="18"/>
                <w:szCs w:val="18"/>
              </w:rPr>
              <w:t>Respaldo documental</w:t>
            </w:r>
          </w:p>
        </w:tc>
        <w:tc>
          <w:tcPr>
            <w:tcW w:w="1825" w:type="dxa"/>
            <w:shd w:val="clear" w:color="auto" w:fill="D9E2F3"/>
            <w:vAlign w:val="center"/>
          </w:tcPr>
          <w:p w14:paraId="73C47D13" w14:textId="77777777" w:rsidR="00990B14" w:rsidRDefault="00000000">
            <w:pPr>
              <w:spacing w:before="20" w:after="20"/>
              <w:jc w:val="both"/>
            </w:pPr>
            <w:r>
              <w:rPr>
                <w:sz w:val="18"/>
                <w:szCs w:val="18"/>
              </w:rPr>
              <w:t>Registra pagos sin factura.</w:t>
            </w:r>
          </w:p>
        </w:tc>
        <w:tc>
          <w:tcPr>
            <w:tcW w:w="2120" w:type="dxa"/>
            <w:shd w:val="clear" w:color="auto" w:fill="D9E2F3"/>
            <w:vAlign w:val="center"/>
          </w:tcPr>
          <w:p w14:paraId="53FF28A1" w14:textId="77777777" w:rsidR="00990B14" w:rsidRDefault="00000000">
            <w:pPr>
              <w:spacing w:before="20" w:after="20"/>
              <w:jc w:val="both"/>
            </w:pPr>
            <w:r>
              <w:rPr>
                <w:sz w:val="18"/>
                <w:szCs w:val="18"/>
              </w:rPr>
              <w:t>Respalda cada pago con su factura.</w:t>
            </w:r>
          </w:p>
        </w:tc>
        <w:tc>
          <w:tcPr>
            <w:tcW w:w="1855" w:type="dxa"/>
            <w:shd w:val="clear" w:color="auto" w:fill="D9E2F3"/>
            <w:vAlign w:val="center"/>
          </w:tcPr>
          <w:p w14:paraId="7EC68386" w14:textId="77777777" w:rsidR="00990B14" w:rsidRDefault="00000000">
            <w:pPr>
              <w:spacing w:before="20" w:after="20"/>
              <w:jc w:val="both"/>
            </w:pPr>
            <w:r>
              <w:rPr>
                <w:sz w:val="18"/>
                <w:szCs w:val="18"/>
              </w:rPr>
              <w:t>Verifica su registro en el Registro de Compras y Ventas.</w:t>
            </w:r>
          </w:p>
        </w:tc>
      </w:tr>
      <w:tr w:rsidR="00990B14" w14:paraId="78ED1BC0" w14:textId="77777777">
        <w:trPr>
          <w:cantSplit/>
          <w:jc w:val="center"/>
        </w:trPr>
        <w:tc>
          <w:tcPr>
            <w:tcW w:w="1780" w:type="dxa"/>
            <w:vMerge/>
            <w:shd w:val="clear" w:color="auto" w:fill="4472C4"/>
            <w:vAlign w:val="center"/>
          </w:tcPr>
          <w:p w14:paraId="32FB833B" w14:textId="77777777" w:rsidR="00990B14" w:rsidRDefault="00990B14">
            <w:pPr>
              <w:spacing w:before="20" w:after="20"/>
            </w:pPr>
          </w:p>
        </w:tc>
        <w:tc>
          <w:tcPr>
            <w:tcW w:w="5770" w:type="dxa"/>
            <w:gridSpan w:val="3"/>
            <w:shd w:val="clear" w:color="auto" w:fill="D9E2F3"/>
            <w:vAlign w:val="center"/>
          </w:tcPr>
          <w:p w14:paraId="75E62A39" w14:textId="77777777" w:rsidR="00990B14" w:rsidRDefault="00000000">
            <w:pPr>
              <w:keepNext/>
              <w:spacing w:before="20" w:after="20"/>
              <w:jc w:val="both"/>
            </w:pPr>
            <w:r>
              <w:rPr>
                <w:b/>
                <w:bCs/>
                <w:i/>
                <w:iCs/>
                <w:sz w:val="18"/>
                <w:szCs w:val="18"/>
              </w:rPr>
              <w:t xml:space="preserve">Producto 14: </w:t>
            </w:r>
            <w:r>
              <w:rPr>
                <w:sz w:val="18"/>
                <w:szCs w:val="18"/>
              </w:rPr>
              <w:t>Cédula de cargos diferidos</w:t>
            </w:r>
          </w:p>
        </w:tc>
        <w:tc>
          <w:tcPr>
            <w:tcW w:w="1855" w:type="dxa"/>
            <w:shd w:val="clear" w:color="auto" w:fill="D9E2F3"/>
            <w:vAlign w:val="center"/>
          </w:tcPr>
          <w:p w14:paraId="19EECAF7" w14:textId="77777777" w:rsidR="00990B14" w:rsidRDefault="00000000">
            <w:pPr>
              <w:spacing w:before="20" w:after="20"/>
              <w:jc w:val="center"/>
            </w:pPr>
            <w:r>
              <w:rPr>
                <w:b/>
                <w:bCs/>
                <w:sz w:val="18"/>
                <w:szCs w:val="18"/>
              </w:rPr>
              <w:t>2%</w:t>
            </w:r>
          </w:p>
        </w:tc>
      </w:tr>
      <w:tr w:rsidR="00990B14" w14:paraId="4CC013AC" w14:textId="77777777">
        <w:trPr>
          <w:cantSplit/>
          <w:jc w:val="center"/>
        </w:trPr>
        <w:tc>
          <w:tcPr>
            <w:tcW w:w="1780" w:type="dxa"/>
            <w:vMerge/>
            <w:shd w:val="clear" w:color="auto" w:fill="4472C4"/>
            <w:vAlign w:val="center"/>
          </w:tcPr>
          <w:p w14:paraId="3B4E9387" w14:textId="77777777" w:rsidR="00990B14" w:rsidRDefault="00990B14">
            <w:pPr>
              <w:spacing w:before="20" w:after="20"/>
            </w:pPr>
          </w:p>
        </w:tc>
        <w:tc>
          <w:tcPr>
            <w:tcW w:w="1825" w:type="dxa"/>
            <w:shd w:val="clear" w:color="auto" w:fill="4472C4"/>
            <w:vAlign w:val="center"/>
          </w:tcPr>
          <w:p w14:paraId="507E88C5" w14:textId="77777777" w:rsidR="00990B14" w:rsidRDefault="00000000">
            <w:pPr>
              <w:keepNext/>
              <w:spacing w:before="20" w:after="20"/>
              <w:jc w:val="center"/>
            </w:pPr>
            <w:r>
              <w:rPr>
                <w:b/>
                <w:bCs/>
                <w:i/>
                <w:iCs/>
                <w:color w:val="FFFFFF"/>
                <w:sz w:val="18"/>
                <w:szCs w:val="18"/>
              </w:rPr>
              <w:t>Criterio</w:t>
            </w:r>
          </w:p>
        </w:tc>
        <w:tc>
          <w:tcPr>
            <w:tcW w:w="1825" w:type="dxa"/>
            <w:shd w:val="clear" w:color="auto" w:fill="4472C4"/>
            <w:vAlign w:val="center"/>
          </w:tcPr>
          <w:p w14:paraId="2151C888" w14:textId="77777777" w:rsidR="00990B14" w:rsidRDefault="00000000">
            <w:pPr>
              <w:keepNext/>
              <w:spacing w:before="20" w:after="20"/>
              <w:jc w:val="center"/>
            </w:pPr>
            <w:r>
              <w:rPr>
                <w:b/>
                <w:bCs/>
                <w:i/>
                <w:iCs/>
                <w:color w:val="FFFFFF"/>
                <w:sz w:val="18"/>
                <w:szCs w:val="18"/>
              </w:rPr>
              <w:t>Insuficiente (1–50)</w:t>
            </w:r>
          </w:p>
        </w:tc>
        <w:tc>
          <w:tcPr>
            <w:tcW w:w="2120" w:type="dxa"/>
            <w:shd w:val="clear" w:color="auto" w:fill="4472C4"/>
            <w:vAlign w:val="center"/>
          </w:tcPr>
          <w:p w14:paraId="5986D083" w14:textId="77777777" w:rsidR="00990B14" w:rsidRDefault="00000000">
            <w:pPr>
              <w:keepNext/>
              <w:spacing w:before="20" w:after="20"/>
              <w:jc w:val="center"/>
            </w:pPr>
            <w:r>
              <w:rPr>
                <w:b/>
                <w:bCs/>
                <w:i/>
                <w:iCs/>
                <w:color w:val="FFFFFF"/>
                <w:sz w:val="18"/>
                <w:szCs w:val="18"/>
              </w:rPr>
              <w:t>Suficiente (51–80)</w:t>
            </w:r>
          </w:p>
        </w:tc>
        <w:tc>
          <w:tcPr>
            <w:tcW w:w="1855" w:type="dxa"/>
            <w:shd w:val="clear" w:color="auto" w:fill="4472C4"/>
            <w:vAlign w:val="center"/>
          </w:tcPr>
          <w:p w14:paraId="23FA19E4" w14:textId="77777777" w:rsidR="00990B14" w:rsidRDefault="00000000">
            <w:pPr>
              <w:keepNext/>
              <w:spacing w:before="20" w:after="20"/>
              <w:jc w:val="center"/>
            </w:pPr>
            <w:r>
              <w:rPr>
                <w:b/>
                <w:bCs/>
                <w:i/>
                <w:iCs/>
                <w:color w:val="FFFFFF"/>
                <w:sz w:val="18"/>
                <w:szCs w:val="18"/>
              </w:rPr>
              <w:t>Destacado (81–100)</w:t>
            </w:r>
          </w:p>
        </w:tc>
      </w:tr>
      <w:tr w:rsidR="00990B14" w14:paraId="545E27AE" w14:textId="77777777">
        <w:trPr>
          <w:cantSplit/>
          <w:jc w:val="center"/>
        </w:trPr>
        <w:tc>
          <w:tcPr>
            <w:tcW w:w="1780" w:type="dxa"/>
            <w:vMerge/>
            <w:shd w:val="clear" w:color="auto" w:fill="4472C4"/>
            <w:vAlign w:val="center"/>
          </w:tcPr>
          <w:p w14:paraId="7FBF9123" w14:textId="77777777" w:rsidR="00990B14" w:rsidRDefault="00990B14">
            <w:pPr>
              <w:spacing w:before="20" w:after="20"/>
            </w:pPr>
          </w:p>
        </w:tc>
        <w:tc>
          <w:tcPr>
            <w:tcW w:w="1825" w:type="dxa"/>
            <w:shd w:val="clear" w:color="auto" w:fill="D9E2F3"/>
            <w:vAlign w:val="center"/>
          </w:tcPr>
          <w:p w14:paraId="732FDBE1" w14:textId="77777777" w:rsidR="00990B14" w:rsidRDefault="00000000">
            <w:pPr>
              <w:spacing w:before="20" w:after="20"/>
              <w:jc w:val="both"/>
            </w:pPr>
            <w:r>
              <w:rPr>
                <w:sz w:val="18"/>
                <w:szCs w:val="18"/>
              </w:rPr>
              <w:t>Identificación</w:t>
            </w:r>
          </w:p>
        </w:tc>
        <w:tc>
          <w:tcPr>
            <w:tcW w:w="1825" w:type="dxa"/>
            <w:shd w:val="clear" w:color="auto" w:fill="D9E2F3"/>
            <w:vAlign w:val="center"/>
          </w:tcPr>
          <w:p w14:paraId="0E1343CC" w14:textId="77777777" w:rsidR="00990B14" w:rsidRDefault="00000000">
            <w:pPr>
              <w:spacing w:before="20" w:after="20"/>
              <w:jc w:val="both"/>
            </w:pPr>
            <w:r>
              <w:rPr>
                <w:sz w:val="18"/>
                <w:szCs w:val="18"/>
              </w:rPr>
              <w:t>Clasifica mal las partidas.</w:t>
            </w:r>
          </w:p>
        </w:tc>
        <w:tc>
          <w:tcPr>
            <w:tcW w:w="2120" w:type="dxa"/>
            <w:shd w:val="clear" w:color="auto" w:fill="D9E2F3"/>
            <w:vAlign w:val="center"/>
          </w:tcPr>
          <w:p w14:paraId="141CA2BB" w14:textId="77777777" w:rsidR="00990B14" w:rsidRDefault="00000000">
            <w:pPr>
              <w:spacing w:before="20" w:after="20"/>
              <w:jc w:val="both"/>
            </w:pPr>
            <w:r>
              <w:rPr>
                <w:sz w:val="18"/>
                <w:szCs w:val="18"/>
              </w:rPr>
              <w:t>Distingue los cargos diferidos de los pagos anticipados.</w:t>
            </w:r>
          </w:p>
        </w:tc>
        <w:tc>
          <w:tcPr>
            <w:tcW w:w="1855" w:type="dxa"/>
            <w:shd w:val="clear" w:color="auto" w:fill="D9E2F3"/>
            <w:vAlign w:val="center"/>
          </w:tcPr>
          <w:p w14:paraId="299BAD90" w14:textId="77777777" w:rsidR="00990B14" w:rsidRDefault="00000000">
            <w:pPr>
              <w:spacing w:before="20" w:after="20"/>
              <w:jc w:val="both"/>
            </w:pPr>
            <w:r>
              <w:rPr>
                <w:sz w:val="18"/>
                <w:szCs w:val="18"/>
              </w:rPr>
              <w:t>Explica el criterio de diferimiento de cada partida.</w:t>
            </w:r>
          </w:p>
        </w:tc>
      </w:tr>
      <w:tr w:rsidR="00990B14" w14:paraId="200F6A2F" w14:textId="77777777">
        <w:trPr>
          <w:cantSplit/>
          <w:jc w:val="center"/>
        </w:trPr>
        <w:tc>
          <w:tcPr>
            <w:tcW w:w="1780" w:type="dxa"/>
            <w:vMerge/>
            <w:shd w:val="clear" w:color="auto" w:fill="4472C4"/>
            <w:vAlign w:val="center"/>
          </w:tcPr>
          <w:p w14:paraId="3B252B28" w14:textId="77777777" w:rsidR="00990B14" w:rsidRDefault="00990B14">
            <w:pPr>
              <w:spacing w:before="20" w:after="20"/>
            </w:pPr>
          </w:p>
        </w:tc>
        <w:tc>
          <w:tcPr>
            <w:tcW w:w="1825" w:type="dxa"/>
            <w:shd w:val="clear" w:color="auto" w:fill="D9E2F3"/>
            <w:vAlign w:val="center"/>
          </w:tcPr>
          <w:p w14:paraId="1BF57B6B" w14:textId="77777777" w:rsidR="00990B14" w:rsidRDefault="00000000">
            <w:pPr>
              <w:spacing w:before="20" w:after="20"/>
              <w:jc w:val="both"/>
            </w:pPr>
            <w:r>
              <w:rPr>
                <w:sz w:val="18"/>
                <w:szCs w:val="18"/>
              </w:rPr>
              <w:t>Amortización</w:t>
            </w:r>
          </w:p>
        </w:tc>
        <w:tc>
          <w:tcPr>
            <w:tcW w:w="1825" w:type="dxa"/>
            <w:shd w:val="clear" w:color="auto" w:fill="D9E2F3"/>
            <w:vAlign w:val="center"/>
          </w:tcPr>
          <w:p w14:paraId="338C8233" w14:textId="77777777" w:rsidR="00990B14" w:rsidRDefault="00000000">
            <w:pPr>
              <w:spacing w:before="20" w:after="20"/>
              <w:jc w:val="both"/>
            </w:pPr>
            <w:r>
              <w:rPr>
                <w:sz w:val="18"/>
                <w:szCs w:val="18"/>
              </w:rPr>
              <w:t>Amortiza en un plazo errado.</w:t>
            </w:r>
          </w:p>
        </w:tc>
        <w:tc>
          <w:tcPr>
            <w:tcW w:w="2120" w:type="dxa"/>
            <w:shd w:val="clear" w:color="auto" w:fill="D9E2F3"/>
            <w:vAlign w:val="center"/>
          </w:tcPr>
          <w:p w14:paraId="306BBF90" w14:textId="77777777" w:rsidR="00990B14" w:rsidRDefault="00000000">
            <w:pPr>
              <w:spacing w:before="20" w:after="20"/>
              <w:jc w:val="both"/>
            </w:pPr>
            <w:r>
              <w:rPr>
                <w:sz w:val="18"/>
                <w:szCs w:val="18"/>
              </w:rPr>
              <w:t>Amortiza cada cargo en el plazo que corresponde.</w:t>
            </w:r>
          </w:p>
        </w:tc>
        <w:tc>
          <w:tcPr>
            <w:tcW w:w="1855" w:type="dxa"/>
            <w:shd w:val="clear" w:color="auto" w:fill="D9E2F3"/>
            <w:vAlign w:val="center"/>
          </w:tcPr>
          <w:p w14:paraId="30A0B368" w14:textId="77777777" w:rsidR="00990B14" w:rsidRDefault="00000000">
            <w:pPr>
              <w:spacing w:before="20" w:after="20"/>
              <w:jc w:val="both"/>
            </w:pPr>
            <w:r>
              <w:rPr>
                <w:sz w:val="18"/>
                <w:szCs w:val="18"/>
              </w:rPr>
              <w:t>Verifica el saldo final con la cédula.</w:t>
            </w:r>
          </w:p>
        </w:tc>
      </w:tr>
      <w:tr w:rsidR="00990B14" w14:paraId="62DD3422" w14:textId="77777777">
        <w:trPr>
          <w:cantSplit/>
          <w:jc w:val="center"/>
        </w:trPr>
        <w:tc>
          <w:tcPr>
            <w:tcW w:w="1780" w:type="dxa"/>
            <w:vMerge/>
            <w:shd w:val="clear" w:color="auto" w:fill="4472C4"/>
            <w:vAlign w:val="center"/>
          </w:tcPr>
          <w:p w14:paraId="0A6958E8" w14:textId="77777777" w:rsidR="00990B14" w:rsidRDefault="00990B14">
            <w:pPr>
              <w:spacing w:before="20" w:after="20"/>
            </w:pPr>
          </w:p>
        </w:tc>
        <w:tc>
          <w:tcPr>
            <w:tcW w:w="1825" w:type="dxa"/>
            <w:shd w:val="clear" w:color="auto" w:fill="D9E2F3"/>
            <w:vAlign w:val="center"/>
          </w:tcPr>
          <w:p w14:paraId="068468DE" w14:textId="77777777" w:rsidR="00990B14" w:rsidRDefault="00000000">
            <w:pPr>
              <w:spacing w:before="20" w:after="20"/>
              <w:jc w:val="both"/>
            </w:pPr>
            <w:r>
              <w:rPr>
                <w:sz w:val="18"/>
                <w:szCs w:val="18"/>
              </w:rPr>
              <w:t>Trabajo en equipo</w:t>
            </w:r>
          </w:p>
        </w:tc>
        <w:tc>
          <w:tcPr>
            <w:tcW w:w="1825" w:type="dxa"/>
            <w:shd w:val="clear" w:color="auto" w:fill="D9E2F3"/>
            <w:vAlign w:val="center"/>
          </w:tcPr>
          <w:p w14:paraId="20B7C30C" w14:textId="77777777" w:rsidR="00990B14" w:rsidRDefault="00000000">
            <w:pPr>
              <w:spacing w:before="20" w:after="20"/>
              <w:jc w:val="both"/>
            </w:pPr>
            <w:r>
              <w:rPr>
                <w:sz w:val="18"/>
                <w:szCs w:val="18"/>
              </w:rPr>
              <w:t>La participación es desigual.</w:t>
            </w:r>
          </w:p>
        </w:tc>
        <w:tc>
          <w:tcPr>
            <w:tcW w:w="2120" w:type="dxa"/>
            <w:shd w:val="clear" w:color="auto" w:fill="D9E2F3"/>
            <w:vAlign w:val="center"/>
          </w:tcPr>
          <w:p w14:paraId="44C27841" w14:textId="77777777" w:rsidR="00990B14" w:rsidRDefault="00000000">
            <w:pPr>
              <w:spacing w:before="20" w:after="20"/>
              <w:jc w:val="both"/>
            </w:pPr>
            <w:r>
              <w:rPr>
                <w:sz w:val="18"/>
                <w:szCs w:val="18"/>
              </w:rPr>
              <w:t>Todos los integrantes participan.</w:t>
            </w:r>
          </w:p>
        </w:tc>
        <w:tc>
          <w:tcPr>
            <w:tcW w:w="1855" w:type="dxa"/>
            <w:shd w:val="clear" w:color="auto" w:fill="D9E2F3"/>
            <w:vAlign w:val="center"/>
          </w:tcPr>
          <w:p w14:paraId="738C27BB" w14:textId="77777777" w:rsidR="00990B14" w:rsidRDefault="00000000">
            <w:pPr>
              <w:spacing w:before="20" w:after="20"/>
              <w:jc w:val="both"/>
            </w:pPr>
            <w:r>
              <w:rPr>
                <w:sz w:val="18"/>
                <w:szCs w:val="18"/>
              </w:rPr>
              <w:t>El equipo sustenta sus decisiones ante el curso.</w:t>
            </w:r>
          </w:p>
        </w:tc>
      </w:tr>
      <w:tr w:rsidR="00990B14" w14:paraId="5FFC783C" w14:textId="77777777">
        <w:trPr>
          <w:cantSplit/>
          <w:jc w:val="center"/>
        </w:trPr>
        <w:tc>
          <w:tcPr>
            <w:tcW w:w="1780" w:type="dxa"/>
            <w:vMerge/>
            <w:shd w:val="clear" w:color="auto" w:fill="4472C4"/>
            <w:vAlign w:val="center"/>
          </w:tcPr>
          <w:p w14:paraId="5B25D84A" w14:textId="77777777" w:rsidR="00990B14" w:rsidRDefault="00990B14">
            <w:pPr>
              <w:spacing w:before="20" w:after="20"/>
            </w:pPr>
          </w:p>
        </w:tc>
        <w:tc>
          <w:tcPr>
            <w:tcW w:w="5770" w:type="dxa"/>
            <w:gridSpan w:val="3"/>
            <w:shd w:val="clear" w:color="auto" w:fill="D9E2F3"/>
            <w:vAlign w:val="center"/>
          </w:tcPr>
          <w:p w14:paraId="55E763DA" w14:textId="77777777" w:rsidR="00990B14" w:rsidRDefault="00000000">
            <w:pPr>
              <w:keepNext/>
              <w:spacing w:before="20" w:after="20"/>
              <w:jc w:val="both"/>
            </w:pPr>
            <w:r>
              <w:rPr>
                <w:b/>
                <w:bCs/>
                <w:i/>
                <w:iCs/>
                <w:sz w:val="18"/>
                <w:szCs w:val="18"/>
              </w:rPr>
              <w:t xml:space="preserve">Producto 15: </w:t>
            </w:r>
            <w:r>
              <w:rPr>
                <w:sz w:val="18"/>
                <w:szCs w:val="18"/>
              </w:rPr>
              <w:t>Tabla de amortización del diferencial</w:t>
            </w:r>
          </w:p>
        </w:tc>
        <w:tc>
          <w:tcPr>
            <w:tcW w:w="1855" w:type="dxa"/>
            <w:shd w:val="clear" w:color="auto" w:fill="D9E2F3"/>
            <w:vAlign w:val="center"/>
          </w:tcPr>
          <w:p w14:paraId="28EE7B49" w14:textId="77777777" w:rsidR="00990B14" w:rsidRDefault="00000000">
            <w:pPr>
              <w:spacing w:before="20" w:after="20"/>
              <w:jc w:val="center"/>
            </w:pPr>
            <w:r>
              <w:rPr>
                <w:b/>
                <w:bCs/>
                <w:sz w:val="18"/>
                <w:szCs w:val="18"/>
              </w:rPr>
              <w:t>2%</w:t>
            </w:r>
          </w:p>
        </w:tc>
      </w:tr>
      <w:tr w:rsidR="00990B14" w14:paraId="49896A36" w14:textId="77777777">
        <w:trPr>
          <w:cantSplit/>
          <w:jc w:val="center"/>
        </w:trPr>
        <w:tc>
          <w:tcPr>
            <w:tcW w:w="1780" w:type="dxa"/>
            <w:vMerge/>
            <w:shd w:val="clear" w:color="auto" w:fill="4472C4"/>
            <w:vAlign w:val="center"/>
          </w:tcPr>
          <w:p w14:paraId="739D7208" w14:textId="77777777" w:rsidR="00990B14" w:rsidRDefault="00990B14">
            <w:pPr>
              <w:spacing w:before="20" w:after="20"/>
            </w:pPr>
          </w:p>
        </w:tc>
        <w:tc>
          <w:tcPr>
            <w:tcW w:w="1825" w:type="dxa"/>
            <w:shd w:val="clear" w:color="auto" w:fill="4472C4"/>
            <w:vAlign w:val="center"/>
          </w:tcPr>
          <w:p w14:paraId="7A2C8DBF" w14:textId="77777777" w:rsidR="00990B14" w:rsidRDefault="00000000">
            <w:pPr>
              <w:keepNext/>
              <w:spacing w:before="20" w:after="20"/>
              <w:jc w:val="center"/>
            </w:pPr>
            <w:r>
              <w:rPr>
                <w:b/>
                <w:bCs/>
                <w:i/>
                <w:iCs/>
                <w:color w:val="FFFFFF"/>
                <w:sz w:val="18"/>
                <w:szCs w:val="18"/>
              </w:rPr>
              <w:t>Criterio</w:t>
            </w:r>
          </w:p>
        </w:tc>
        <w:tc>
          <w:tcPr>
            <w:tcW w:w="1825" w:type="dxa"/>
            <w:shd w:val="clear" w:color="auto" w:fill="4472C4"/>
            <w:vAlign w:val="center"/>
          </w:tcPr>
          <w:p w14:paraId="1A46C782" w14:textId="77777777" w:rsidR="00990B14" w:rsidRDefault="00000000">
            <w:pPr>
              <w:keepNext/>
              <w:spacing w:before="20" w:after="20"/>
              <w:jc w:val="center"/>
            </w:pPr>
            <w:r>
              <w:rPr>
                <w:b/>
                <w:bCs/>
                <w:i/>
                <w:iCs/>
                <w:color w:val="FFFFFF"/>
                <w:sz w:val="18"/>
                <w:szCs w:val="18"/>
              </w:rPr>
              <w:t>Insuficiente (1–50)</w:t>
            </w:r>
          </w:p>
        </w:tc>
        <w:tc>
          <w:tcPr>
            <w:tcW w:w="2120" w:type="dxa"/>
            <w:shd w:val="clear" w:color="auto" w:fill="4472C4"/>
            <w:vAlign w:val="center"/>
          </w:tcPr>
          <w:p w14:paraId="28608817" w14:textId="77777777" w:rsidR="00990B14" w:rsidRDefault="00000000">
            <w:pPr>
              <w:keepNext/>
              <w:spacing w:before="20" w:after="20"/>
              <w:jc w:val="center"/>
            </w:pPr>
            <w:r>
              <w:rPr>
                <w:b/>
                <w:bCs/>
                <w:i/>
                <w:iCs/>
                <w:color w:val="FFFFFF"/>
                <w:sz w:val="18"/>
                <w:szCs w:val="18"/>
              </w:rPr>
              <w:t>Suficiente (51–80)</w:t>
            </w:r>
          </w:p>
        </w:tc>
        <w:tc>
          <w:tcPr>
            <w:tcW w:w="1855" w:type="dxa"/>
            <w:shd w:val="clear" w:color="auto" w:fill="4472C4"/>
            <w:vAlign w:val="center"/>
          </w:tcPr>
          <w:p w14:paraId="1A51A73C" w14:textId="77777777" w:rsidR="00990B14" w:rsidRDefault="00000000">
            <w:pPr>
              <w:keepNext/>
              <w:spacing w:before="20" w:after="20"/>
              <w:jc w:val="center"/>
            </w:pPr>
            <w:r>
              <w:rPr>
                <w:b/>
                <w:bCs/>
                <w:i/>
                <w:iCs/>
                <w:color w:val="FFFFFF"/>
                <w:sz w:val="18"/>
                <w:szCs w:val="18"/>
              </w:rPr>
              <w:t>Destacado (81–100)</w:t>
            </w:r>
          </w:p>
        </w:tc>
      </w:tr>
      <w:tr w:rsidR="00990B14" w14:paraId="1AA787D0" w14:textId="77777777">
        <w:trPr>
          <w:cantSplit/>
          <w:jc w:val="center"/>
        </w:trPr>
        <w:tc>
          <w:tcPr>
            <w:tcW w:w="1780" w:type="dxa"/>
            <w:vMerge/>
            <w:shd w:val="clear" w:color="auto" w:fill="4472C4"/>
            <w:vAlign w:val="center"/>
          </w:tcPr>
          <w:p w14:paraId="37BC630C" w14:textId="77777777" w:rsidR="00990B14" w:rsidRDefault="00990B14">
            <w:pPr>
              <w:spacing w:before="20" w:after="20"/>
            </w:pPr>
          </w:p>
        </w:tc>
        <w:tc>
          <w:tcPr>
            <w:tcW w:w="1825" w:type="dxa"/>
            <w:shd w:val="clear" w:color="auto" w:fill="D9E2F3"/>
            <w:vAlign w:val="center"/>
          </w:tcPr>
          <w:p w14:paraId="51309D7F" w14:textId="77777777" w:rsidR="00990B14" w:rsidRDefault="00000000">
            <w:pPr>
              <w:spacing w:before="20" w:after="20"/>
              <w:jc w:val="both"/>
            </w:pPr>
            <w:r>
              <w:rPr>
                <w:sz w:val="18"/>
                <w:szCs w:val="18"/>
              </w:rPr>
              <w:t>Tasa de interés efectiva</w:t>
            </w:r>
          </w:p>
        </w:tc>
        <w:tc>
          <w:tcPr>
            <w:tcW w:w="1825" w:type="dxa"/>
            <w:shd w:val="clear" w:color="auto" w:fill="D9E2F3"/>
            <w:vAlign w:val="center"/>
          </w:tcPr>
          <w:p w14:paraId="5116FEAE" w14:textId="77777777" w:rsidR="00990B14" w:rsidRDefault="00000000">
            <w:pPr>
              <w:spacing w:before="20" w:after="20"/>
              <w:jc w:val="both"/>
            </w:pPr>
            <w:r>
              <w:rPr>
                <w:sz w:val="18"/>
                <w:szCs w:val="18"/>
              </w:rPr>
              <w:t>Usa la tasa nominal en el cálculo.</w:t>
            </w:r>
          </w:p>
        </w:tc>
        <w:tc>
          <w:tcPr>
            <w:tcW w:w="2120" w:type="dxa"/>
            <w:shd w:val="clear" w:color="auto" w:fill="D9E2F3"/>
            <w:vAlign w:val="center"/>
          </w:tcPr>
          <w:p w14:paraId="7A35487A" w14:textId="77777777" w:rsidR="00990B14" w:rsidRDefault="00000000">
            <w:pPr>
              <w:spacing w:before="20" w:after="20"/>
              <w:jc w:val="both"/>
            </w:pPr>
            <w:r>
              <w:rPr>
                <w:sz w:val="18"/>
                <w:szCs w:val="18"/>
              </w:rPr>
              <w:t>Aplica la tasa de interés efectiva en cada periodo.</w:t>
            </w:r>
          </w:p>
        </w:tc>
        <w:tc>
          <w:tcPr>
            <w:tcW w:w="1855" w:type="dxa"/>
            <w:shd w:val="clear" w:color="auto" w:fill="D9E2F3"/>
            <w:vAlign w:val="center"/>
          </w:tcPr>
          <w:p w14:paraId="692A6668" w14:textId="77777777" w:rsidR="00990B14" w:rsidRDefault="00000000">
            <w:pPr>
              <w:spacing w:before="20" w:after="20"/>
              <w:jc w:val="both"/>
            </w:pPr>
            <w:r>
              <w:rPr>
                <w:sz w:val="18"/>
                <w:szCs w:val="18"/>
              </w:rPr>
              <w:t>Comprueba que el saldo final iguale el valor nominal.</w:t>
            </w:r>
          </w:p>
        </w:tc>
      </w:tr>
      <w:tr w:rsidR="00990B14" w14:paraId="36E371A7" w14:textId="77777777">
        <w:trPr>
          <w:cantSplit/>
          <w:jc w:val="center"/>
        </w:trPr>
        <w:tc>
          <w:tcPr>
            <w:tcW w:w="1780" w:type="dxa"/>
            <w:vMerge/>
            <w:shd w:val="clear" w:color="auto" w:fill="4472C4"/>
            <w:vAlign w:val="center"/>
          </w:tcPr>
          <w:p w14:paraId="2811FCD9" w14:textId="77777777" w:rsidR="00990B14" w:rsidRDefault="00990B14">
            <w:pPr>
              <w:spacing w:before="20" w:after="20"/>
            </w:pPr>
          </w:p>
        </w:tc>
        <w:tc>
          <w:tcPr>
            <w:tcW w:w="1825" w:type="dxa"/>
            <w:shd w:val="clear" w:color="auto" w:fill="D9E2F3"/>
            <w:vAlign w:val="center"/>
          </w:tcPr>
          <w:p w14:paraId="551DD2D8" w14:textId="77777777" w:rsidR="00990B14" w:rsidRDefault="00000000">
            <w:pPr>
              <w:spacing w:before="20" w:after="20"/>
              <w:jc w:val="both"/>
            </w:pPr>
            <w:r>
              <w:rPr>
                <w:sz w:val="18"/>
                <w:szCs w:val="18"/>
              </w:rPr>
              <w:t>Registro del interés</w:t>
            </w:r>
          </w:p>
        </w:tc>
        <w:tc>
          <w:tcPr>
            <w:tcW w:w="1825" w:type="dxa"/>
            <w:shd w:val="clear" w:color="auto" w:fill="D9E2F3"/>
            <w:vAlign w:val="center"/>
          </w:tcPr>
          <w:p w14:paraId="742E8347" w14:textId="77777777" w:rsidR="00990B14" w:rsidRDefault="00000000">
            <w:pPr>
              <w:spacing w:before="20" w:after="20"/>
              <w:jc w:val="both"/>
            </w:pPr>
            <w:r>
              <w:rPr>
                <w:sz w:val="18"/>
                <w:szCs w:val="18"/>
              </w:rPr>
              <w:t>Omite el interés entre fechas.</w:t>
            </w:r>
          </w:p>
        </w:tc>
        <w:tc>
          <w:tcPr>
            <w:tcW w:w="2120" w:type="dxa"/>
            <w:shd w:val="clear" w:color="auto" w:fill="D9E2F3"/>
            <w:vAlign w:val="center"/>
          </w:tcPr>
          <w:p w14:paraId="376F40B1" w14:textId="77777777" w:rsidR="00990B14" w:rsidRDefault="00000000">
            <w:pPr>
              <w:spacing w:before="20" w:after="20"/>
              <w:jc w:val="both"/>
            </w:pPr>
            <w:r>
              <w:rPr>
                <w:sz w:val="18"/>
                <w:szCs w:val="18"/>
              </w:rPr>
              <w:t>Registra el interés cobrado y la amortización del diferencial.</w:t>
            </w:r>
          </w:p>
        </w:tc>
        <w:tc>
          <w:tcPr>
            <w:tcW w:w="1855" w:type="dxa"/>
            <w:shd w:val="clear" w:color="auto" w:fill="D9E2F3"/>
            <w:vAlign w:val="center"/>
          </w:tcPr>
          <w:p w14:paraId="4211908E" w14:textId="77777777" w:rsidR="00990B14" w:rsidRDefault="00000000">
            <w:pPr>
              <w:spacing w:before="20" w:after="20"/>
              <w:jc w:val="both"/>
            </w:pPr>
            <w:r>
              <w:rPr>
                <w:sz w:val="18"/>
                <w:szCs w:val="18"/>
              </w:rPr>
              <w:t>Explica el efecto de la prima o el descuento en el rendimiento.</w:t>
            </w:r>
          </w:p>
        </w:tc>
      </w:tr>
      <w:tr w:rsidR="00990B14" w14:paraId="0F10EC5B" w14:textId="77777777">
        <w:trPr>
          <w:cantSplit/>
          <w:jc w:val="center"/>
        </w:trPr>
        <w:tc>
          <w:tcPr>
            <w:tcW w:w="1780" w:type="dxa"/>
            <w:vMerge/>
            <w:shd w:val="clear" w:color="auto" w:fill="4472C4"/>
            <w:vAlign w:val="center"/>
          </w:tcPr>
          <w:p w14:paraId="4E8BD3E2" w14:textId="77777777" w:rsidR="00990B14" w:rsidRDefault="00990B14">
            <w:pPr>
              <w:spacing w:before="20" w:after="20"/>
            </w:pPr>
          </w:p>
        </w:tc>
        <w:tc>
          <w:tcPr>
            <w:tcW w:w="1825" w:type="dxa"/>
            <w:shd w:val="clear" w:color="auto" w:fill="D9E2F3"/>
            <w:vAlign w:val="center"/>
          </w:tcPr>
          <w:p w14:paraId="654C5220" w14:textId="77777777" w:rsidR="00990B14" w:rsidRDefault="00000000">
            <w:pPr>
              <w:spacing w:before="20" w:after="20"/>
              <w:jc w:val="both"/>
            </w:pPr>
            <w:r>
              <w:rPr>
                <w:sz w:val="18"/>
                <w:szCs w:val="18"/>
              </w:rPr>
              <w:t>Venta de bonos</w:t>
            </w:r>
          </w:p>
        </w:tc>
        <w:tc>
          <w:tcPr>
            <w:tcW w:w="1825" w:type="dxa"/>
            <w:shd w:val="clear" w:color="auto" w:fill="D9E2F3"/>
            <w:vAlign w:val="center"/>
          </w:tcPr>
          <w:p w14:paraId="3BF78B57" w14:textId="77777777" w:rsidR="00990B14" w:rsidRDefault="00000000">
            <w:pPr>
              <w:spacing w:before="20" w:after="20"/>
              <w:jc w:val="both"/>
            </w:pPr>
            <w:r>
              <w:rPr>
                <w:sz w:val="18"/>
                <w:szCs w:val="18"/>
              </w:rPr>
              <w:t>Determina mal el resultado de la venta.</w:t>
            </w:r>
          </w:p>
        </w:tc>
        <w:tc>
          <w:tcPr>
            <w:tcW w:w="2120" w:type="dxa"/>
            <w:shd w:val="clear" w:color="auto" w:fill="D9E2F3"/>
            <w:vAlign w:val="center"/>
          </w:tcPr>
          <w:p w14:paraId="22A949CC" w14:textId="77777777" w:rsidR="00990B14" w:rsidRDefault="00000000">
            <w:pPr>
              <w:spacing w:before="20" w:after="20"/>
              <w:jc w:val="both"/>
            </w:pPr>
            <w:r>
              <w:rPr>
                <w:sz w:val="18"/>
                <w:szCs w:val="18"/>
              </w:rPr>
              <w:t>Registra la venta y su resultado.</w:t>
            </w:r>
          </w:p>
        </w:tc>
        <w:tc>
          <w:tcPr>
            <w:tcW w:w="1855" w:type="dxa"/>
            <w:shd w:val="clear" w:color="auto" w:fill="D9E2F3"/>
            <w:vAlign w:val="center"/>
          </w:tcPr>
          <w:p w14:paraId="5380CBA2" w14:textId="77777777" w:rsidR="00990B14" w:rsidRDefault="00000000">
            <w:pPr>
              <w:spacing w:before="20" w:after="20"/>
              <w:jc w:val="both"/>
            </w:pPr>
            <w:r>
              <w:rPr>
                <w:sz w:val="18"/>
                <w:szCs w:val="18"/>
              </w:rPr>
              <w:t>Compara el resultado con el valor razonable.</w:t>
            </w:r>
          </w:p>
        </w:tc>
      </w:tr>
      <w:tr w:rsidR="00990B14" w14:paraId="7DE9528F" w14:textId="77777777">
        <w:trPr>
          <w:cantSplit/>
          <w:jc w:val="center"/>
        </w:trPr>
        <w:tc>
          <w:tcPr>
            <w:tcW w:w="1780" w:type="dxa"/>
            <w:vMerge/>
            <w:shd w:val="clear" w:color="auto" w:fill="4472C4"/>
            <w:vAlign w:val="center"/>
          </w:tcPr>
          <w:p w14:paraId="1748251F" w14:textId="77777777" w:rsidR="00990B14" w:rsidRDefault="00990B14">
            <w:pPr>
              <w:spacing w:before="20" w:after="20"/>
            </w:pPr>
          </w:p>
        </w:tc>
        <w:tc>
          <w:tcPr>
            <w:tcW w:w="5770" w:type="dxa"/>
            <w:gridSpan w:val="3"/>
            <w:shd w:val="clear" w:color="auto" w:fill="D9E2F3"/>
            <w:vAlign w:val="center"/>
          </w:tcPr>
          <w:p w14:paraId="45C4C35E" w14:textId="77777777" w:rsidR="00990B14" w:rsidRDefault="00000000">
            <w:pPr>
              <w:keepNext/>
              <w:spacing w:before="20" w:after="20"/>
              <w:jc w:val="both"/>
            </w:pPr>
            <w:r>
              <w:rPr>
                <w:b/>
                <w:bCs/>
                <w:i/>
                <w:iCs/>
                <w:sz w:val="18"/>
                <w:szCs w:val="18"/>
              </w:rPr>
              <w:t xml:space="preserve">Producto 16: </w:t>
            </w:r>
            <w:r>
              <w:rPr>
                <w:sz w:val="18"/>
                <w:szCs w:val="18"/>
              </w:rPr>
              <w:t>Informe de la cartera de inversiones</w:t>
            </w:r>
          </w:p>
        </w:tc>
        <w:tc>
          <w:tcPr>
            <w:tcW w:w="1855" w:type="dxa"/>
            <w:shd w:val="clear" w:color="auto" w:fill="D9E2F3"/>
            <w:vAlign w:val="center"/>
          </w:tcPr>
          <w:p w14:paraId="2887D454" w14:textId="77777777" w:rsidR="00990B14" w:rsidRDefault="00000000">
            <w:pPr>
              <w:spacing w:before="20" w:after="20"/>
              <w:jc w:val="center"/>
            </w:pPr>
            <w:r>
              <w:rPr>
                <w:b/>
                <w:bCs/>
                <w:sz w:val="18"/>
                <w:szCs w:val="18"/>
              </w:rPr>
              <w:t>2%</w:t>
            </w:r>
          </w:p>
        </w:tc>
      </w:tr>
      <w:tr w:rsidR="00990B14" w14:paraId="51CEF70B" w14:textId="77777777">
        <w:trPr>
          <w:cantSplit/>
          <w:jc w:val="center"/>
        </w:trPr>
        <w:tc>
          <w:tcPr>
            <w:tcW w:w="1780" w:type="dxa"/>
            <w:vMerge/>
            <w:shd w:val="clear" w:color="auto" w:fill="4472C4"/>
            <w:vAlign w:val="center"/>
          </w:tcPr>
          <w:p w14:paraId="7B11330E" w14:textId="77777777" w:rsidR="00990B14" w:rsidRDefault="00990B14">
            <w:pPr>
              <w:spacing w:before="20" w:after="20"/>
            </w:pPr>
          </w:p>
        </w:tc>
        <w:tc>
          <w:tcPr>
            <w:tcW w:w="1825" w:type="dxa"/>
            <w:shd w:val="clear" w:color="auto" w:fill="4472C4"/>
            <w:vAlign w:val="center"/>
          </w:tcPr>
          <w:p w14:paraId="5DE08AB5" w14:textId="77777777" w:rsidR="00990B14" w:rsidRDefault="00000000">
            <w:pPr>
              <w:keepNext/>
              <w:spacing w:before="20" w:after="20"/>
              <w:jc w:val="center"/>
            </w:pPr>
            <w:r>
              <w:rPr>
                <w:b/>
                <w:bCs/>
                <w:i/>
                <w:iCs/>
                <w:color w:val="FFFFFF"/>
                <w:sz w:val="18"/>
                <w:szCs w:val="18"/>
              </w:rPr>
              <w:t>Criterio</w:t>
            </w:r>
          </w:p>
        </w:tc>
        <w:tc>
          <w:tcPr>
            <w:tcW w:w="1825" w:type="dxa"/>
            <w:shd w:val="clear" w:color="auto" w:fill="4472C4"/>
            <w:vAlign w:val="center"/>
          </w:tcPr>
          <w:p w14:paraId="0A362DE1" w14:textId="77777777" w:rsidR="00990B14" w:rsidRDefault="00000000">
            <w:pPr>
              <w:keepNext/>
              <w:spacing w:before="20" w:after="20"/>
              <w:jc w:val="center"/>
            </w:pPr>
            <w:r>
              <w:rPr>
                <w:b/>
                <w:bCs/>
                <w:i/>
                <w:iCs/>
                <w:color w:val="FFFFFF"/>
                <w:sz w:val="18"/>
                <w:szCs w:val="18"/>
              </w:rPr>
              <w:t>Insuficiente (1–50)</w:t>
            </w:r>
          </w:p>
        </w:tc>
        <w:tc>
          <w:tcPr>
            <w:tcW w:w="2120" w:type="dxa"/>
            <w:shd w:val="clear" w:color="auto" w:fill="4472C4"/>
            <w:vAlign w:val="center"/>
          </w:tcPr>
          <w:p w14:paraId="5B8AC855" w14:textId="77777777" w:rsidR="00990B14" w:rsidRDefault="00000000">
            <w:pPr>
              <w:keepNext/>
              <w:spacing w:before="20" w:after="20"/>
              <w:jc w:val="center"/>
            </w:pPr>
            <w:r>
              <w:rPr>
                <w:b/>
                <w:bCs/>
                <w:i/>
                <w:iCs/>
                <w:color w:val="FFFFFF"/>
                <w:sz w:val="18"/>
                <w:szCs w:val="18"/>
              </w:rPr>
              <w:t>Suficiente (51–80)</w:t>
            </w:r>
          </w:p>
        </w:tc>
        <w:tc>
          <w:tcPr>
            <w:tcW w:w="1855" w:type="dxa"/>
            <w:shd w:val="clear" w:color="auto" w:fill="4472C4"/>
            <w:vAlign w:val="center"/>
          </w:tcPr>
          <w:p w14:paraId="76345C89" w14:textId="77777777" w:rsidR="00990B14" w:rsidRDefault="00000000">
            <w:pPr>
              <w:keepNext/>
              <w:spacing w:before="20" w:after="20"/>
              <w:jc w:val="center"/>
            </w:pPr>
            <w:r>
              <w:rPr>
                <w:b/>
                <w:bCs/>
                <w:i/>
                <w:iCs/>
                <w:color w:val="FFFFFF"/>
                <w:sz w:val="18"/>
                <w:szCs w:val="18"/>
              </w:rPr>
              <w:t>Destacado (81–100)</w:t>
            </w:r>
          </w:p>
        </w:tc>
      </w:tr>
      <w:tr w:rsidR="00990B14" w14:paraId="31F2F1E5" w14:textId="77777777">
        <w:trPr>
          <w:cantSplit/>
          <w:jc w:val="center"/>
        </w:trPr>
        <w:tc>
          <w:tcPr>
            <w:tcW w:w="1780" w:type="dxa"/>
            <w:vMerge/>
            <w:shd w:val="clear" w:color="auto" w:fill="4472C4"/>
            <w:vAlign w:val="center"/>
          </w:tcPr>
          <w:p w14:paraId="0BE843D4" w14:textId="77777777" w:rsidR="00990B14" w:rsidRDefault="00990B14">
            <w:pPr>
              <w:spacing w:before="20" w:after="20"/>
            </w:pPr>
          </w:p>
        </w:tc>
        <w:tc>
          <w:tcPr>
            <w:tcW w:w="1825" w:type="dxa"/>
            <w:shd w:val="clear" w:color="auto" w:fill="D9E2F3"/>
            <w:vAlign w:val="center"/>
          </w:tcPr>
          <w:p w14:paraId="687EE5E5" w14:textId="77777777" w:rsidR="00990B14" w:rsidRDefault="00000000">
            <w:pPr>
              <w:spacing w:before="20" w:after="20"/>
              <w:jc w:val="both"/>
            </w:pPr>
            <w:r>
              <w:rPr>
                <w:sz w:val="18"/>
                <w:szCs w:val="18"/>
              </w:rPr>
              <w:t>Clasificación</w:t>
            </w:r>
          </w:p>
        </w:tc>
        <w:tc>
          <w:tcPr>
            <w:tcW w:w="1825" w:type="dxa"/>
            <w:shd w:val="clear" w:color="auto" w:fill="D9E2F3"/>
            <w:vAlign w:val="center"/>
          </w:tcPr>
          <w:p w14:paraId="67465FC6" w14:textId="77777777" w:rsidR="00990B14" w:rsidRDefault="00000000">
            <w:pPr>
              <w:spacing w:before="20" w:after="20"/>
              <w:jc w:val="both"/>
            </w:pPr>
            <w:r>
              <w:rPr>
                <w:sz w:val="18"/>
                <w:szCs w:val="18"/>
              </w:rPr>
              <w:t>Clasifica mal las inversiones.</w:t>
            </w:r>
          </w:p>
        </w:tc>
        <w:tc>
          <w:tcPr>
            <w:tcW w:w="2120" w:type="dxa"/>
            <w:shd w:val="clear" w:color="auto" w:fill="D9E2F3"/>
            <w:vAlign w:val="center"/>
          </w:tcPr>
          <w:p w14:paraId="11D52A1D" w14:textId="77777777" w:rsidR="00990B14" w:rsidRDefault="00000000">
            <w:pPr>
              <w:spacing w:before="20" w:after="20"/>
              <w:jc w:val="both"/>
            </w:pPr>
            <w:r>
              <w:rPr>
                <w:sz w:val="18"/>
                <w:szCs w:val="18"/>
              </w:rPr>
              <w:t>Clasifica las inversiones por plazo y por modelo de negocio.</w:t>
            </w:r>
          </w:p>
        </w:tc>
        <w:tc>
          <w:tcPr>
            <w:tcW w:w="1855" w:type="dxa"/>
            <w:shd w:val="clear" w:color="auto" w:fill="D9E2F3"/>
            <w:vAlign w:val="center"/>
          </w:tcPr>
          <w:p w14:paraId="39BD65B0" w14:textId="77777777" w:rsidR="00990B14" w:rsidRDefault="00000000">
            <w:pPr>
              <w:spacing w:before="20" w:after="20"/>
              <w:jc w:val="both"/>
            </w:pPr>
            <w:r>
              <w:rPr>
                <w:sz w:val="18"/>
                <w:szCs w:val="18"/>
              </w:rPr>
              <w:t>Relaciona la clasificación con la medición de la NIIF 9.</w:t>
            </w:r>
          </w:p>
        </w:tc>
      </w:tr>
      <w:tr w:rsidR="00990B14" w14:paraId="2563F46E" w14:textId="77777777">
        <w:trPr>
          <w:cantSplit/>
          <w:jc w:val="center"/>
        </w:trPr>
        <w:tc>
          <w:tcPr>
            <w:tcW w:w="1780" w:type="dxa"/>
            <w:vMerge/>
            <w:shd w:val="clear" w:color="auto" w:fill="4472C4"/>
            <w:vAlign w:val="center"/>
          </w:tcPr>
          <w:p w14:paraId="5036B9AE" w14:textId="77777777" w:rsidR="00990B14" w:rsidRDefault="00990B14">
            <w:pPr>
              <w:spacing w:before="20" w:after="20"/>
            </w:pPr>
          </w:p>
        </w:tc>
        <w:tc>
          <w:tcPr>
            <w:tcW w:w="1825" w:type="dxa"/>
            <w:shd w:val="clear" w:color="auto" w:fill="D9E2F3"/>
            <w:vAlign w:val="center"/>
          </w:tcPr>
          <w:p w14:paraId="5E7E19BB" w14:textId="77777777" w:rsidR="00990B14" w:rsidRDefault="00000000">
            <w:pPr>
              <w:spacing w:before="20" w:after="20"/>
              <w:jc w:val="both"/>
            </w:pPr>
            <w:r>
              <w:rPr>
                <w:sz w:val="18"/>
                <w:szCs w:val="18"/>
              </w:rPr>
              <w:t>Dividendos y rendimiento</w:t>
            </w:r>
          </w:p>
        </w:tc>
        <w:tc>
          <w:tcPr>
            <w:tcW w:w="1825" w:type="dxa"/>
            <w:shd w:val="clear" w:color="auto" w:fill="D9E2F3"/>
            <w:vAlign w:val="center"/>
          </w:tcPr>
          <w:p w14:paraId="26AE0CC0" w14:textId="77777777" w:rsidR="00990B14" w:rsidRDefault="00000000">
            <w:pPr>
              <w:spacing w:before="20" w:after="20"/>
              <w:jc w:val="both"/>
            </w:pPr>
            <w:r>
              <w:rPr>
                <w:sz w:val="18"/>
                <w:szCs w:val="18"/>
              </w:rPr>
              <w:t>Registra mal los dividendos.</w:t>
            </w:r>
          </w:p>
        </w:tc>
        <w:tc>
          <w:tcPr>
            <w:tcW w:w="2120" w:type="dxa"/>
            <w:shd w:val="clear" w:color="auto" w:fill="D9E2F3"/>
            <w:vAlign w:val="center"/>
          </w:tcPr>
          <w:p w14:paraId="7E2BF837" w14:textId="77777777" w:rsidR="00990B14" w:rsidRDefault="00000000">
            <w:pPr>
              <w:spacing w:before="20" w:after="20"/>
              <w:jc w:val="both"/>
            </w:pPr>
            <w:r>
              <w:rPr>
                <w:sz w:val="18"/>
                <w:szCs w:val="18"/>
              </w:rPr>
              <w:t>Registra los dividendos en efectivo y en acciones.</w:t>
            </w:r>
          </w:p>
        </w:tc>
        <w:tc>
          <w:tcPr>
            <w:tcW w:w="1855" w:type="dxa"/>
            <w:shd w:val="clear" w:color="auto" w:fill="D9E2F3"/>
            <w:vAlign w:val="center"/>
          </w:tcPr>
          <w:p w14:paraId="77DE4758" w14:textId="77777777" w:rsidR="00990B14" w:rsidRDefault="00000000">
            <w:pPr>
              <w:spacing w:before="20" w:after="20"/>
              <w:jc w:val="both"/>
            </w:pPr>
            <w:r>
              <w:rPr>
                <w:sz w:val="18"/>
                <w:szCs w:val="18"/>
              </w:rPr>
              <w:t>Calcula la rentabilidad de la cartera.</w:t>
            </w:r>
          </w:p>
        </w:tc>
      </w:tr>
      <w:tr w:rsidR="00990B14" w14:paraId="0DE76E71" w14:textId="77777777">
        <w:trPr>
          <w:cantSplit/>
          <w:jc w:val="center"/>
        </w:trPr>
        <w:tc>
          <w:tcPr>
            <w:tcW w:w="1780" w:type="dxa"/>
            <w:vMerge/>
            <w:shd w:val="clear" w:color="auto" w:fill="4472C4"/>
            <w:vAlign w:val="center"/>
          </w:tcPr>
          <w:p w14:paraId="06A4E460" w14:textId="77777777" w:rsidR="00990B14" w:rsidRDefault="00990B14">
            <w:pPr>
              <w:spacing w:before="20" w:after="20"/>
            </w:pPr>
          </w:p>
        </w:tc>
        <w:tc>
          <w:tcPr>
            <w:tcW w:w="1825" w:type="dxa"/>
            <w:shd w:val="clear" w:color="auto" w:fill="D9E2F3"/>
            <w:vAlign w:val="center"/>
          </w:tcPr>
          <w:p w14:paraId="7ED9E421" w14:textId="77777777" w:rsidR="00990B14" w:rsidRDefault="00000000">
            <w:pPr>
              <w:spacing w:before="20" w:after="20"/>
              <w:jc w:val="both"/>
            </w:pPr>
            <w:r>
              <w:rPr>
                <w:sz w:val="18"/>
                <w:szCs w:val="18"/>
              </w:rPr>
              <w:t>Riesgos</w:t>
            </w:r>
          </w:p>
        </w:tc>
        <w:tc>
          <w:tcPr>
            <w:tcW w:w="1825" w:type="dxa"/>
            <w:shd w:val="clear" w:color="auto" w:fill="D9E2F3"/>
            <w:vAlign w:val="center"/>
          </w:tcPr>
          <w:p w14:paraId="0811BB1B" w14:textId="77777777" w:rsidR="00990B14" w:rsidRDefault="00000000">
            <w:pPr>
              <w:spacing w:before="20" w:after="20"/>
              <w:jc w:val="both"/>
            </w:pPr>
            <w:r>
              <w:rPr>
                <w:sz w:val="18"/>
                <w:szCs w:val="18"/>
              </w:rPr>
              <w:t>No identifica riesgos.</w:t>
            </w:r>
          </w:p>
        </w:tc>
        <w:tc>
          <w:tcPr>
            <w:tcW w:w="2120" w:type="dxa"/>
            <w:shd w:val="clear" w:color="auto" w:fill="D9E2F3"/>
            <w:vAlign w:val="center"/>
          </w:tcPr>
          <w:p w14:paraId="2B43AAB0" w14:textId="77777777" w:rsidR="00990B14" w:rsidRDefault="00000000">
            <w:pPr>
              <w:spacing w:before="20" w:after="20"/>
              <w:jc w:val="both"/>
            </w:pPr>
            <w:r>
              <w:rPr>
                <w:sz w:val="18"/>
                <w:szCs w:val="18"/>
              </w:rPr>
              <w:t>Describe el riesgo de crédito, de mercado y de liquidez.</w:t>
            </w:r>
          </w:p>
        </w:tc>
        <w:tc>
          <w:tcPr>
            <w:tcW w:w="1855" w:type="dxa"/>
            <w:shd w:val="clear" w:color="auto" w:fill="D9E2F3"/>
            <w:vAlign w:val="center"/>
          </w:tcPr>
          <w:p w14:paraId="5DF7FE66" w14:textId="77777777" w:rsidR="00990B14" w:rsidRDefault="00000000">
            <w:pPr>
              <w:spacing w:before="20" w:after="20"/>
              <w:jc w:val="both"/>
            </w:pPr>
            <w:r>
              <w:rPr>
                <w:sz w:val="18"/>
                <w:szCs w:val="18"/>
              </w:rPr>
              <w:t>Sugiere una diversificación razonable de la cartera.</w:t>
            </w:r>
          </w:p>
        </w:tc>
      </w:tr>
      <w:tr w:rsidR="00990B14" w14:paraId="07136CF8" w14:textId="77777777">
        <w:trPr>
          <w:cantSplit/>
          <w:jc w:val="center"/>
        </w:trPr>
        <w:tc>
          <w:tcPr>
            <w:tcW w:w="1780" w:type="dxa"/>
            <w:vMerge/>
            <w:shd w:val="clear" w:color="auto" w:fill="4472C4"/>
            <w:vAlign w:val="center"/>
          </w:tcPr>
          <w:p w14:paraId="0284A14C" w14:textId="77777777" w:rsidR="00990B14" w:rsidRDefault="00990B14">
            <w:pPr>
              <w:spacing w:before="20" w:after="20"/>
            </w:pPr>
          </w:p>
        </w:tc>
        <w:tc>
          <w:tcPr>
            <w:tcW w:w="5770" w:type="dxa"/>
            <w:gridSpan w:val="3"/>
            <w:shd w:val="clear" w:color="auto" w:fill="D9E2F3"/>
            <w:vAlign w:val="center"/>
          </w:tcPr>
          <w:p w14:paraId="352C9596" w14:textId="77777777" w:rsidR="00990B14" w:rsidRDefault="00000000">
            <w:pPr>
              <w:keepNext/>
              <w:spacing w:before="20" w:after="20"/>
              <w:jc w:val="both"/>
            </w:pPr>
            <w:r>
              <w:rPr>
                <w:b/>
                <w:bCs/>
                <w:i/>
                <w:iCs/>
                <w:sz w:val="18"/>
                <w:szCs w:val="18"/>
              </w:rPr>
              <w:t xml:space="preserve">Producto 17: </w:t>
            </w:r>
            <w:r>
              <w:rPr>
                <w:sz w:val="18"/>
                <w:szCs w:val="18"/>
              </w:rPr>
              <w:t>Cuadro comparativo de depreciación</w:t>
            </w:r>
          </w:p>
        </w:tc>
        <w:tc>
          <w:tcPr>
            <w:tcW w:w="1855" w:type="dxa"/>
            <w:shd w:val="clear" w:color="auto" w:fill="D9E2F3"/>
            <w:vAlign w:val="center"/>
          </w:tcPr>
          <w:p w14:paraId="0A735F15" w14:textId="77777777" w:rsidR="00990B14" w:rsidRDefault="00000000">
            <w:pPr>
              <w:spacing w:before="20" w:after="20"/>
              <w:jc w:val="center"/>
            </w:pPr>
            <w:r>
              <w:rPr>
                <w:b/>
                <w:bCs/>
                <w:sz w:val="18"/>
                <w:szCs w:val="18"/>
              </w:rPr>
              <w:t>3%</w:t>
            </w:r>
          </w:p>
        </w:tc>
      </w:tr>
      <w:tr w:rsidR="00990B14" w14:paraId="22D0D9A3" w14:textId="77777777">
        <w:trPr>
          <w:cantSplit/>
          <w:jc w:val="center"/>
        </w:trPr>
        <w:tc>
          <w:tcPr>
            <w:tcW w:w="1780" w:type="dxa"/>
            <w:vMerge/>
            <w:shd w:val="clear" w:color="auto" w:fill="4472C4"/>
            <w:vAlign w:val="center"/>
          </w:tcPr>
          <w:p w14:paraId="0F480C63" w14:textId="77777777" w:rsidR="00990B14" w:rsidRDefault="00990B14">
            <w:pPr>
              <w:spacing w:before="20" w:after="20"/>
            </w:pPr>
          </w:p>
        </w:tc>
        <w:tc>
          <w:tcPr>
            <w:tcW w:w="1825" w:type="dxa"/>
            <w:shd w:val="clear" w:color="auto" w:fill="4472C4"/>
            <w:vAlign w:val="center"/>
          </w:tcPr>
          <w:p w14:paraId="5A0FDE79" w14:textId="77777777" w:rsidR="00990B14" w:rsidRDefault="00000000">
            <w:pPr>
              <w:keepNext/>
              <w:spacing w:before="20" w:after="20"/>
              <w:jc w:val="center"/>
            </w:pPr>
            <w:r>
              <w:rPr>
                <w:b/>
                <w:bCs/>
                <w:i/>
                <w:iCs/>
                <w:color w:val="FFFFFF"/>
                <w:sz w:val="18"/>
                <w:szCs w:val="18"/>
              </w:rPr>
              <w:t>Criterio</w:t>
            </w:r>
          </w:p>
        </w:tc>
        <w:tc>
          <w:tcPr>
            <w:tcW w:w="1825" w:type="dxa"/>
            <w:shd w:val="clear" w:color="auto" w:fill="4472C4"/>
            <w:vAlign w:val="center"/>
          </w:tcPr>
          <w:p w14:paraId="2DD69DC0" w14:textId="77777777" w:rsidR="00990B14" w:rsidRDefault="00000000">
            <w:pPr>
              <w:keepNext/>
              <w:spacing w:before="20" w:after="20"/>
              <w:jc w:val="center"/>
            </w:pPr>
            <w:r>
              <w:rPr>
                <w:b/>
                <w:bCs/>
                <w:i/>
                <w:iCs/>
                <w:color w:val="FFFFFF"/>
                <w:sz w:val="18"/>
                <w:szCs w:val="18"/>
              </w:rPr>
              <w:t>Insuficiente (1–50)</w:t>
            </w:r>
          </w:p>
        </w:tc>
        <w:tc>
          <w:tcPr>
            <w:tcW w:w="2120" w:type="dxa"/>
            <w:shd w:val="clear" w:color="auto" w:fill="4472C4"/>
            <w:vAlign w:val="center"/>
          </w:tcPr>
          <w:p w14:paraId="1D6EA7C4" w14:textId="77777777" w:rsidR="00990B14" w:rsidRDefault="00000000">
            <w:pPr>
              <w:keepNext/>
              <w:spacing w:before="20" w:after="20"/>
              <w:jc w:val="center"/>
            </w:pPr>
            <w:r>
              <w:rPr>
                <w:b/>
                <w:bCs/>
                <w:i/>
                <w:iCs/>
                <w:color w:val="FFFFFF"/>
                <w:sz w:val="18"/>
                <w:szCs w:val="18"/>
              </w:rPr>
              <w:t>Suficiente (51–80)</w:t>
            </w:r>
          </w:p>
        </w:tc>
        <w:tc>
          <w:tcPr>
            <w:tcW w:w="1855" w:type="dxa"/>
            <w:shd w:val="clear" w:color="auto" w:fill="4472C4"/>
            <w:vAlign w:val="center"/>
          </w:tcPr>
          <w:p w14:paraId="3926DBF3" w14:textId="77777777" w:rsidR="00990B14" w:rsidRDefault="00000000">
            <w:pPr>
              <w:keepNext/>
              <w:spacing w:before="20" w:after="20"/>
              <w:jc w:val="center"/>
            </w:pPr>
            <w:r>
              <w:rPr>
                <w:b/>
                <w:bCs/>
                <w:i/>
                <w:iCs/>
                <w:color w:val="FFFFFF"/>
                <w:sz w:val="18"/>
                <w:szCs w:val="18"/>
              </w:rPr>
              <w:t>Destacado (81–100)</w:t>
            </w:r>
          </w:p>
        </w:tc>
      </w:tr>
      <w:tr w:rsidR="00990B14" w14:paraId="16A9BD82" w14:textId="77777777">
        <w:trPr>
          <w:cantSplit/>
          <w:jc w:val="center"/>
        </w:trPr>
        <w:tc>
          <w:tcPr>
            <w:tcW w:w="1780" w:type="dxa"/>
            <w:vMerge/>
            <w:shd w:val="clear" w:color="auto" w:fill="4472C4"/>
            <w:vAlign w:val="center"/>
          </w:tcPr>
          <w:p w14:paraId="413A0C52" w14:textId="77777777" w:rsidR="00990B14" w:rsidRDefault="00990B14">
            <w:pPr>
              <w:spacing w:before="20" w:after="20"/>
            </w:pPr>
          </w:p>
        </w:tc>
        <w:tc>
          <w:tcPr>
            <w:tcW w:w="1825" w:type="dxa"/>
            <w:shd w:val="clear" w:color="auto" w:fill="D9E2F3"/>
            <w:vAlign w:val="center"/>
          </w:tcPr>
          <w:p w14:paraId="6AF771EA" w14:textId="77777777" w:rsidR="00990B14" w:rsidRDefault="00000000">
            <w:pPr>
              <w:spacing w:before="20" w:after="20"/>
              <w:jc w:val="both"/>
            </w:pPr>
            <w:r>
              <w:rPr>
                <w:sz w:val="18"/>
                <w:szCs w:val="18"/>
              </w:rPr>
              <w:t>Base de cálculo</w:t>
            </w:r>
          </w:p>
        </w:tc>
        <w:tc>
          <w:tcPr>
            <w:tcW w:w="1825" w:type="dxa"/>
            <w:shd w:val="clear" w:color="auto" w:fill="D9E2F3"/>
            <w:vAlign w:val="center"/>
          </w:tcPr>
          <w:p w14:paraId="31DA0CD4" w14:textId="77777777" w:rsidR="00990B14" w:rsidRDefault="00000000">
            <w:pPr>
              <w:spacing w:before="20" w:after="20"/>
              <w:jc w:val="both"/>
            </w:pPr>
            <w:r>
              <w:rPr>
                <w:sz w:val="18"/>
                <w:szCs w:val="18"/>
              </w:rPr>
              <w:t>Omite el valor residual o la vida útil.</w:t>
            </w:r>
          </w:p>
        </w:tc>
        <w:tc>
          <w:tcPr>
            <w:tcW w:w="2120" w:type="dxa"/>
            <w:shd w:val="clear" w:color="auto" w:fill="D9E2F3"/>
            <w:vAlign w:val="center"/>
          </w:tcPr>
          <w:p w14:paraId="152AED5F" w14:textId="77777777" w:rsidR="00990B14" w:rsidRDefault="00000000">
            <w:pPr>
              <w:spacing w:before="20" w:after="20"/>
              <w:jc w:val="both"/>
            </w:pPr>
            <w:r>
              <w:rPr>
                <w:sz w:val="18"/>
                <w:szCs w:val="18"/>
              </w:rPr>
              <w:t>Define el costo, la vida útil y el valor residual.</w:t>
            </w:r>
          </w:p>
        </w:tc>
        <w:tc>
          <w:tcPr>
            <w:tcW w:w="1855" w:type="dxa"/>
            <w:shd w:val="clear" w:color="auto" w:fill="D9E2F3"/>
            <w:vAlign w:val="center"/>
          </w:tcPr>
          <w:p w14:paraId="2AE10C83" w14:textId="77777777" w:rsidR="00990B14" w:rsidRDefault="00000000">
            <w:pPr>
              <w:spacing w:before="20" w:after="20"/>
              <w:jc w:val="both"/>
            </w:pPr>
            <w:r>
              <w:rPr>
                <w:sz w:val="18"/>
                <w:szCs w:val="18"/>
              </w:rPr>
              <w:t>Justifica las estimaciones según la NIC 16.</w:t>
            </w:r>
          </w:p>
        </w:tc>
      </w:tr>
      <w:tr w:rsidR="00990B14" w14:paraId="1B8CBC8C" w14:textId="77777777">
        <w:trPr>
          <w:cantSplit/>
          <w:jc w:val="center"/>
        </w:trPr>
        <w:tc>
          <w:tcPr>
            <w:tcW w:w="1780" w:type="dxa"/>
            <w:vMerge/>
            <w:shd w:val="clear" w:color="auto" w:fill="4472C4"/>
            <w:vAlign w:val="center"/>
          </w:tcPr>
          <w:p w14:paraId="08D7D562" w14:textId="77777777" w:rsidR="00990B14" w:rsidRDefault="00990B14">
            <w:pPr>
              <w:spacing w:before="20" w:after="20"/>
            </w:pPr>
          </w:p>
        </w:tc>
        <w:tc>
          <w:tcPr>
            <w:tcW w:w="1825" w:type="dxa"/>
            <w:shd w:val="clear" w:color="auto" w:fill="D9E2F3"/>
            <w:vAlign w:val="center"/>
          </w:tcPr>
          <w:p w14:paraId="5B21CA12" w14:textId="77777777" w:rsidR="00990B14" w:rsidRDefault="00000000">
            <w:pPr>
              <w:spacing w:before="20" w:after="20"/>
              <w:jc w:val="both"/>
            </w:pPr>
            <w:r>
              <w:rPr>
                <w:sz w:val="18"/>
                <w:szCs w:val="18"/>
              </w:rPr>
              <w:t>Aplicación de métodos</w:t>
            </w:r>
          </w:p>
        </w:tc>
        <w:tc>
          <w:tcPr>
            <w:tcW w:w="1825" w:type="dxa"/>
            <w:shd w:val="clear" w:color="auto" w:fill="D9E2F3"/>
            <w:vAlign w:val="center"/>
          </w:tcPr>
          <w:p w14:paraId="3A51FA98" w14:textId="77777777" w:rsidR="00990B14" w:rsidRDefault="00000000">
            <w:pPr>
              <w:spacing w:before="20" w:after="20"/>
              <w:jc w:val="both"/>
            </w:pPr>
            <w:r>
              <w:rPr>
                <w:sz w:val="18"/>
                <w:szCs w:val="18"/>
              </w:rPr>
              <w:t>Aplica con errores algún método.</w:t>
            </w:r>
          </w:p>
        </w:tc>
        <w:tc>
          <w:tcPr>
            <w:tcW w:w="2120" w:type="dxa"/>
            <w:shd w:val="clear" w:color="auto" w:fill="D9E2F3"/>
            <w:vAlign w:val="center"/>
          </w:tcPr>
          <w:p w14:paraId="76075BD4" w14:textId="77777777" w:rsidR="00990B14" w:rsidRDefault="00000000">
            <w:pPr>
              <w:spacing w:before="20" w:after="20"/>
              <w:jc w:val="both"/>
            </w:pPr>
            <w:r>
              <w:rPr>
                <w:sz w:val="18"/>
                <w:szCs w:val="18"/>
              </w:rPr>
              <w:t>Calcula la depreciación con cada método.</w:t>
            </w:r>
          </w:p>
        </w:tc>
        <w:tc>
          <w:tcPr>
            <w:tcW w:w="1855" w:type="dxa"/>
            <w:shd w:val="clear" w:color="auto" w:fill="D9E2F3"/>
            <w:vAlign w:val="center"/>
          </w:tcPr>
          <w:p w14:paraId="135AC037" w14:textId="77777777" w:rsidR="00990B14" w:rsidRDefault="00000000">
            <w:pPr>
              <w:spacing w:before="20" w:after="20"/>
              <w:jc w:val="both"/>
            </w:pPr>
            <w:r>
              <w:rPr>
                <w:sz w:val="18"/>
                <w:szCs w:val="18"/>
              </w:rPr>
              <w:t>Explica qué método refleja mejor el uso del bien.</w:t>
            </w:r>
          </w:p>
        </w:tc>
      </w:tr>
      <w:tr w:rsidR="00990B14" w14:paraId="2A9CCCE1" w14:textId="77777777">
        <w:trPr>
          <w:cantSplit/>
          <w:jc w:val="center"/>
        </w:trPr>
        <w:tc>
          <w:tcPr>
            <w:tcW w:w="1780" w:type="dxa"/>
            <w:vMerge/>
            <w:shd w:val="clear" w:color="auto" w:fill="4472C4"/>
            <w:vAlign w:val="center"/>
          </w:tcPr>
          <w:p w14:paraId="012A140A" w14:textId="77777777" w:rsidR="00990B14" w:rsidRDefault="00990B14">
            <w:pPr>
              <w:spacing w:before="20" w:after="20"/>
            </w:pPr>
          </w:p>
        </w:tc>
        <w:tc>
          <w:tcPr>
            <w:tcW w:w="1825" w:type="dxa"/>
            <w:shd w:val="clear" w:color="auto" w:fill="D9E2F3"/>
            <w:vAlign w:val="center"/>
          </w:tcPr>
          <w:p w14:paraId="464F7A8E" w14:textId="77777777" w:rsidR="00990B14" w:rsidRDefault="00000000">
            <w:pPr>
              <w:spacing w:before="20" w:after="20"/>
              <w:jc w:val="both"/>
            </w:pPr>
            <w:r>
              <w:rPr>
                <w:sz w:val="18"/>
                <w:szCs w:val="18"/>
              </w:rPr>
              <w:t>Uso de la hoja de cálculo</w:t>
            </w:r>
          </w:p>
        </w:tc>
        <w:tc>
          <w:tcPr>
            <w:tcW w:w="1825" w:type="dxa"/>
            <w:shd w:val="clear" w:color="auto" w:fill="D9E2F3"/>
            <w:vAlign w:val="center"/>
          </w:tcPr>
          <w:p w14:paraId="721D78E5" w14:textId="77777777" w:rsidR="00990B14" w:rsidRDefault="00000000">
            <w:pPr>
              <w:spacing w:before="20" w:after="20"/>
              <w:jc w:val="both"/>
            </w:pPr>
            <w:r>
              <w:rPr>
                <w:sz w:val="18"/>
                <w:szCs w:val="18"/>
              </w:rPr>
              <w:t>No usa fórmulas.</w:t>
            </w:r>
          </w:p>
        </w:tc>
        <w:tc>
          <w:tcPr>
            <w:tcW w:w="2120" w:type="dxa"/>
            <w:shd w:val="clear" w:color="auto" w:fill="D9E2F3"/>
            <w:vAlign w:val="center"/>
          </w:tcPr>
          <w:p w14:paraId="6FB3D04A" w14:textId="77777777" w:rsidR="00990B14" w:rsidRDefault="00000000">
            <w:pPr>
              <w:spacing w:before="20" w:after="20"/>
              <w:jc w:val="both"/>
            </w:pPr>
            <w:r>
              <w:rPr>
                <w:sz w:val="18"/>
                <w:szCs w:val="18"/>
              </w:rPr>
              <w:t>Usa fórmulas y gráficos de comparación.</w:t>
            </w:r>
          </w:p>
        </w:tc>
        <w:tc>
          <w:tcPr>
            <w:tcW w:w="1855" w:type="dxa"/>
            <w:shd w:val="clear" w:color="auto" w:fill="D9E2F3"/>
            <w:vAlign w:val="center"/>
          </w:tcPr>
          <w:p w14:paraId="604AA4B0" w14:textId="77777777" w:rsidR="00990B14" w:rsidRDefault="00000000">
            <w:pPr>
              <w:spacing w:before="20" w:after="20"/>
              <w:jc w:val="both"/>
            </w:pPr>
            <w:r>
              <w:rPr>
                <w:sz w:val="18"/>
                <w:szCs w:val="18"/>
              </w:rPr>
              <w:t>El modelo permite cambiar supuestos sin rehacerlo.</w:t>
            </w:r>
          </w:p>
        </w:tc>
      </w:tr>
      <w:tr w:rsidR="00990B14" w14:paraId="75F946BB" w14:textId="77777777">
        <w:trPr>
          <w:cantSplit/>
          <w:jc w:val="center"/>
        </w:trPr>
        <w:tc>
          <w:tcPr>
            <w:tcW w:w="1780" w:type="dxa"/>
            <w:vMerge/>
            <w:shd w:val="clear" w:color="auto" w:fill="4472C4"/>
            <w:vAlign w:val="center"/>
          </w:tcPr>
          <w:p w14:paraId="5C6C9E84" w14:textId="77777777" w:rsidR="00990B14" w:rsidRDefault="00990B14">
            <w:pPr>
              <w:spacing w:before="20" w:after="20"/>
            </w:pPr>
          </w:p>
        </w:tc>
        <w:tc>
          <w:tcPr>
            <w:tcW w:w="5770" w:type="dxa"/>
            <w:gridSpan w:val="3"/>
            <w:shd w:val="clear" w:color="auto" w:fill="D9E2F3"/>
            <w:vAlign w:val="center"/>
          </w:tcPr>
          <w:p w14:paraId="4E0A126E" w14:textId="77777777" w:rsidR="00990B14" w:rsidRDefault="00000000">
            <w:pPr>
              <w:keepNext/>
              <w:spacing w:before="20" w:after="20"/>
              <w:jc w:val="both"/>
            </w:pPr>
            <w:r>
              <w:rPr>
                <w:b/>
                <w:bCs/>
                <w:i/>
                <w:iCs/>
                <w:sz w:val="18"/>
                <w:szCs w:val="18"/>
              </w:rPr>
              <w:t xml:space="preserve">Producto 18: </w:t>
            </w:r>
            <w:r>
              <w:rPr>
                <w:sz w:val="18"/>
                <w:szCs w:val="18"/>
              </w:rPr>
              <w:t>Tarjeta de control de bienes de uso</w:t>
            </w:r>
          </w:p>
        </w:tc>
        <w:tc>
          <w:tcPr>
            <w:tcW w:w="1855" w:type="dxa"/>
            <w:shd w:val="clear" w:color="auto" w:fill="D9E2F3"/>
            <w:vAlign w:val="center"/>
          </w:tcPr>
          <w:p w14:paraId="7371F60D" w14:textId="77777777" w:rsidR="00990B14" w:rsidRDefault="00000000">
            <w:pPr>
              <w:spacing w:before="20" w:after="20"/>
              <w:jc w:val="center"/>
            </w:pPr>
            <w:r>
              <w:rPr>
                <w:b/>
                <w:bCs/>
                <w:sz w:val="18"/>
                <w:szCs w:val="18"/>
              </w:rPr>
              <w:t>3%</w:t>
            </w:r>
          </w:p>
        </w:tc>
      </w:tr>
      <w:tr w:rsidR="00990B14" w14:paraId="07A13EE8" w14:textId="77777777">
        <w:trPr>
          <w:cantSplit/>
          <w:jc w:val="center"/>
        </w:trPr>
        <w:tc>
          <w:tcPr>
            <w:tcW w:w="1780" w:type="dxa"/>
            <w:vMerge/>
            <w:shd w:val="clear" w:color="auto" w:fill="4472C4"/>
            <w:vAlign w:val="center"/>
          </w:tcPr>
          <w:p w14:paraId="771B776E" w14:textId="77777777" w:rsidR="00990B14" w:rsidRDefault="00990B14">
            <w:pPr>
              <w:spacing w:before="20" w:after="20"/>
            </w:pPr>
          </w:p>
        </w:tc>
        <w:tc>
          <w:tcPr>
            <w:tcW w:w="1825" w:type="dxa"/>
            <w:shd w:val="clear" w:color="auto" w:fill="4472C4"/>
            <w:vAlign w:val="center"/>
          </w:tcPr>
          <w:p w14:paraId="73C1AEC5" w14:textId="77777777" w:rsidR="00990B14" w:rsidRDefault="00000000">
            <w:pPr>
              <w:keepNext/>
              <w:spacing w:before="20" w:after="20"/>
              <w:jc w:val="center"/>
            </w:pPr>
            <w:r>
              <w:rPr>
                <w:b/>
                <w:bCs/>
                <w:i/>
                <w:iCs/>
                <w:color w:val="FFFFFF"/>
                <w:sz w:val="18"/>
                <w:szCs w:val="18"/>
              </w:rPr>
              <w:t>Criterio</w:t>
            </w:r>
          </w:p>
        </w:tc>
        <w:tc>
          <w:tcPr>
            <w:tcW w:w="1825" w:type="dxa"/>
            <w:shd w:val="clear" w:color="auto" w:fill="4472C4"/>
            <w:vAlign w:val="center"/>
          </w:tcPr>
          <w:p w14:paraId="685AA67D" w14:textId="77777777" w:rsidR="00990B14" w:rsidRDefault="00000000">
            <w:pPr>
              <w:keepNext/>
              <w:spacing w:before="20" w:after="20"/>
              <w:jc w:val="center"/>
            </w:pPr>
            <w:r>
              <w:rPr>
                <w:b/>
                <w:bCs/>
                <w:i/>
                <w:iCs/>
                <w:color w:val="FFFFFF"/>
                <w:sz w:val="18"/>
                <w:szCs w:val="18"/>
              </w:rPr>
              <w:t>Insuficiente (1–50)</w:t>
            </w:r>
          </w:p>
        </w:tc>
        <w:tc>
          <w:tcPr>
            <w:tcW w:w="2120" w:type="dxa"/>
            <w:shd w:val="clear" w:color="auto" w:fill="4472C4"/>
            <w:vAlign w:val="center"/>
          </w:tcPr>
          <w:p w14:paraId="78B1EB0A" w14:textId="77777777" w:rsidR="00990B14" w:rsidRDefault="00000000">
            <w:pPr>
              <w:keepNext/>
              <w:spacing w:before="20" w:after="20"/>
              <w:jc w:val="center"/>
            </w:pPr>
            <w:r>
              <w:rPr>
                <w:b/>
                <w:bCs/>
                <w:i/>
                <w:iCs/>
                <w:color w:val="FFFFFF"/>
                <w:sz w:val="18"/>
                <w:szCs w:val="18"/>
              </w:rPr>
              <w:t>Suficiente (51–80)</w:t>
            </w:r>
          </w:p>
        </w:tc>
        <w:tc>
          <w:tcPr>
            <w:tcW w:w="1855" w:type="dxa"/>
            <w:shd w:val="clear" w:color="auto" w:fill="4472C4"/>
            <w:vAlign w:val="center"/>
          </w:tcPr>
          <w:p w14:paraId="5C92D278" w14:textId="77777777" w:rsidR="00990B14" w:rsidRDefault="00000000">
            <w:pPr>
              <w:keepNext/>
              <w:spacing w:before="20" w:after="20"/>
              <w:jc w:val="center"/>
            </w:pPr>
            <w:r>
              <w:rPr>
                <w:b/>
                <w:bCs/>
                <w:i/>
                <w:iCs/>
                <w:color w:val="FFFFFF"/>
                <w:sz w:val="18"/>
                <w:szCs w:val="18"/>
              </w:rPr>
              <w:t>Destacado (81–100)</w:t>
            </w:r>
          </w:p>
        </w:tc>
      </w:tr>
      <w:tr w:rsidR="00990B14" w14:paraId="0ACF8AF6" w14:textId="77777777">
        <w:trPr>
          <w:cantSplit/>
          <w:jc w:val="center"/>
        </w:trPr>
        <w:tc>
          <w:tcPr>
            <w:tcW w:w="1780" w:type="dxa"/>
            <w:vMerge/>
            <w:shd w:val="clear" w:color="auto" w:fill="4472C4"/>
            <w:vAlign w:val="center"/>
          </w:tcPr>
          <w:p w14:paraId="4FF700AE" w14:textId="77777777" w:rsidR="00990B14" w:rsidRDefault="00990B14">
            <w:pPr>
              <w:spacing w:before="20" w:after="20"/>
            </w:pPr>
          </w:p>
        </w:tc>
        <w:tc>
          <w:tcPr>
            <w:tcW w:w="1825" w:type="dxa"/>
            <w:shd w:val="clear" w:color="auto" w:fill="D9E2F3"/>
            <w:vAlign w:val="center"/>
          </w:tcPr>
          <w:p w14:paraId="51E1E81B" w14:textId="77777777" w:rsidR="00990B14" w:rsidRDefault="00000000">
            <w:pPr>
              <w:spacing w:before="20" w:after="20"/>
              <w:jc w:val="both"/>
            </w:pPr>
            <w:r>
              <w:rPr>
                <w:sz w:val="18"/>
                <w:szCs w:val="18"/>
              </w:rPr>
              <w:t>Compra y mejoras</w:t>
            </w:r>
          </w:p>
        </w:tc>
        <w:tc>
          <w:tcPr>
            <w:tcW w:w="1825" w:type="dxa"/>
            <w:shd w:val="clear" w:color="auto" w:fill="D9E2F3"/>
            <w:vAlign w:val="center"/>
          </w:tcPr>
          <w:p w14:paraId="629225EE" w14:textId="77777777" w:rsidR="00990B14" w:rsidRDefault="00000000">
            <w:pPr>
              <w:spacing w:before="20" w:after="20"/>
              <w:jc w:val="both"/>
            </w:pPr>
            <w:r>
              <w:rPr>
                <w:sz w:val="18"/>
                <w:szCs w:val="18"/>
              </w:rPr>
              <w:t>Lleva a gasto desembolsos activables.</w:t>
            </w:r>
          </w:p>
        </w:tc>
        <w:tc>
          <w:tcPr>
            <w:tcW w:w="2120" w:type="dxa"/>
            <w:shd w:val="clear" w:color="auto" w:fill="D9E2F3"/>
            <w:vAlign w:val="center"/>
          </w:tcPr>
          <w:p w14:paraId="1BC5F84D" w14:textId="77777777" w:rsidR="00990B14" w:rsidRDefault="00000000">
            <w:pPr>
              <w:spacing w:before="20" w:after="20"/>
              <w:jc w:val="both"/>
            </w:pPr>
            <w:r>
              <w:rPr>
                <w:sz w:val="18"/>
                <w:szCs w:val="18"/>
              </w:rPr>
              <w:t>Distingue mejoras de reparaciones.</w:t>
            </w:r>
          </w:p>
        </w:tc>
        <w:tc>
          <w:tcPr>
            <w:tcW w:w="1855" w:type="dxa"/>
            <w:shd w:val="clear" w:color="auto" w:fill="D9E2F3"/>
            <w:vAlign w:val="center"/>
          </w:tcPr>
          <w:p w14:paraId="14D35779" w14:textId="77777777" w:rsidR="00990B14" w:rsidRDefault="00000000">
            <w:pPr>
              <w:spacing w:before="20" w:after="20"/>
              <w:jc w:val="both"/>
            </w:pPr>
            <w:r>
              <w:rPr>
                <w:sz w:val="18"/>
                <w:szCs w:val="18"/>
              </w:rPr>
              <w:t>Justifica cada capitalización con la NIC 16.</w:t>
            </w:r>
          </w:p>
        </w:tc>
      </w:tr>
      <w:tr w:rsidR="00990B14" w14:paraId="55CBE9C3" w14:textId="77777777">
        <w:trPr>
          <w:cantSplit/>
          <w:jc w:val="center"/>
        </w:trPr>
        <w:tc>
          <w:tcPr>
            <w:tcW w:w="1780" w:type="dxa"/>
            <w:vMerge/>
            <w:shd w:val="clear" w:color="auto" w:fill="4472C4"/>
            <w:vAlign w:val="center"/>
          </w:tcPr>
          <w:p w14:paraId="5712B637" w14:textId="77777777" w:rsidR="00990B14" w:rsidRDefault="00990B14">
            <w:pPr>
              <w:spacing w:before="20" w:after="20"/>
            </w:pPr>
          </w:p>
        </w:tc>
        <w:tc>
          <w:tcPr>
            <w:tcW w:w="1825" w:type="dxa"/>
            <w:shd w:val="clear" w:color="auto" w:fill="D9E2F3"/>
            <w:vAlign w:val="center"/>
          </w:tcPr>
          <w:p w14:paraId="03E53453" w14:textId="77777777" w:rsidR="00990B14" w:rsidRDefault="00000000">
            <w:pPr>
              <w:spacing w:before="20" w:after="20"/>
              <w:jc w:val="both"/>
            </w:pPr>
            <w:r>
              <w:rPr>
                <w:sz w:val="18"/>
                <w:szCs w:val="18"/>
              </w:rPr>
              <w:t>Retiro y donación</w:t>
            </w:r>
          </w:p>
        </w:tc>
        <w:tc>
          <w:tcPr>
            <w:tcW w:w="1825" w:type="dxa"/>
            <w:shd w:val="clear" w:color="auto" w:fill="D9E2F3"/>
            <w:vAlign w:val="center"/>
          </w:tcPr>
          <w:p w14:paraId="0B150D8D" w14:textId="77777777" w:rsidR="00990B14" w:rsidRDefault="00000000">
            <w:pPr>
              <w:spacing w:before="20" w:after="20"/>
              <w:jc w:val="both"/>
            </w:pPr>
            <w:r>
              <w:rPr>
                <w:sz w:val="18"/>
                <w:szCs w:val="18"/>
              </w:rPr>
              <w:t>Determina mal el resultado del retiro.</w:t>
            </w:r>
          </w:p>
        </w:tc>
        <w:tc>
          <w:tcPr>
            <w:tcW w:w="2120" w:type="dxa"/>
            <w:shd w:val="clear" w:color="auto" w:fill="D9E2F3"/>
            <w:vAlign w:val="center"/>
          </w:tcPr>
          <w:p w14:paraId="41B592F2" w14:textId="77777777" w:rsidR="00990B14" w:rsidRDefault="00000000">
            <w:pPr>
              <w:spacing w:before="20" w:after="20"/>
              <w:jc w:val="both"/>
            </w:pPr>
            <w:r>
              <w:rPr>
                <w:sz w:val="18"/>
                <w:szCs w:val="18"/>
              </w:rPr>
              <w:t>Registra la venta, la baja y la donación.</w:t>
            </w:r>
          </w:p>
        </w:tc>
        <w:tc>
          <w:tcPr>
            <w:tcW w:w="1855" w:type="dxa"/>
            <w:shd w:val="clear" w:color="auto" w:fill="D9E2F3"/>
            <w:vAlign w:val="center"/>
          </w:tcPr>
          <w:p w14:paraId="6DD314A5" w14:textId="77777777" w:rsidR="00990B14" w:rsidRDefault="00000000">
            <w:pPr>
              <w:spacing w:before="20" w:after="20"/>
              <w:jc w:val="both"/>
            </w:pPr>
            <w:r>
              <w:rPr>
                <w:sz w:val="18"/>
                <w:szCs w:val="18"/>
              </w:rPr>
              <w:t>Verifica la depreciación acumulada a la fecha de baja.</w:t>
            </w:r>
          </w:p>
        </w:tc>
      </w:tr>
      <w:tr w:rsidR="00990B14" w14:paraId="41166CA5" w14:textId="77777777">
        <w:trPr>
          <w:cantSplit/>
          <w:jc w:val="center"/>
        </w:trPr>
        <w:tc>
          <w:tcPr>
            <w:tcW w:w="1780" w:type="dxa"/>
            <w:vMerge/>
            <w:shd w:val="clear" w:color="auto" w:fill="4472C4"/>
            <w:vAlign w:val="center"/>
          </w:tcPr>
          <w:p w14:paraId="0AD3C65E" w14:textId="77777777" w:rsidR="00990B14" w:rsidRDefault="00990B14">
            <w:pPr>
              <w:spacing w:before="20" w:after="20"/>
            </w:pPr>
          </w:p>
        </w:tc>
        <w:tc>
          <w:tcPr>
            <w:tcW w:w="1825" w:type="dxa"/>
            <w:shd w:val="clear" w:color="auto" w:fill="D9E2F3"/>
            <w:vAlign w:val="center"/>
          </w:tcPr>
          <w:p w14:paraId="796DC688" w14:textId="77777777" w:rsidR="00990B14" w:rsidRDefault="00000000">
            <w:pPr>
              <w:spacing w:before="20" w:after="20"/>
              <w:jc w:val="both"/>
            </w:pPr>
            <w:r>
              <w:rPr>
                <w:sz w:val="18"/>
                <w:szCs w:val="18"/>
              </w:rPr>
              <w:t>Control físico</w:t>
            </w:r>
          </w:p>
        </w:tc>
        <w:tc>
          <w:tcPr>
            <w:tcW w:w="1825" w:type="dxa"/>
            <w:shd w:val="clear" w:color="auto" w:fill="D9E2F3"/>
            <w:vAlign w:val="center"/>
          </w:tcPr>
          <w:p w14:paraId="03664D11" w14:textId="77777777" w:rsidR="00990B14" w:rsidRDefault="00000000">
            <w:pPr>
              <w:spacing w:before="20" w:after="20"/>
              <w:jc w:val="both"/>
            </w:pPr>
            <w:r>
              <w:rPr>
                <w:sz w:val="18"/>
                <w:szCs w:val="18"/>
              </w:rPr>
              <w:t>La tarjeta no identifica el bien.</w:t>
            </w:r>
          </w:p>
        </w:tc>
        <w:tc>
          <w:tcPr>
            <w:tcW w:w="2120" w:type="dxa"/>
            <w:shd w:val="clear" w:color="auto" w:fill="D9E2F3"/>
            <w:vAlign w:val="center"/>
          </w:tcPr>
          <w:p w14:paraId="06A729D2" w14:textId="77777777" w:rsidR="00990B14" w:rsidRDefault="00000000">
            <w:pPr>
              <w:spacing w:before="20" w:after="20"/>
              <w:jc w:val="both"/>
            </w:pPr>
            <w:r>
              <w:rPr>
                <w:sz w:val="18"/>
                <w:szCs w:val="18"/>
              </w:rPr>
              <w:t>La tarjeta identifica el bien, su ubicación y su custodio.</w:t>
            </w:r>
          </w:p>
        </w:tc>
        <w:tc>
          <w:tcPr>
            <w:tcW w:w="1855" w:type="dxa"/>
            <w:shd w:val="clear" w:color="auto" w:fill="D9E2F3"/>
            <w:vAlign w:val="center"/>
          </w:tcPr>
          <w:p w14:paraId="55FC09F2" w14:textId="77777777" w:rsidR="00990B14" w:rsidRDefault="00000000">
            <w:pPr>
              <w:spacing w:before="20" w:after="20"/>
              <w:jc w:val="both"/>
            </w:pPr>
            <w:r>
              <w:rPr>
                <w:sz w:val="18"/>
                <w:szCs w:val="18"/>
              </w:rPr>
              <w:t>Sugiere controles de salvaguarda del bien.</w:t>
            </w:r>
          </w:p>
        </w:tc>
      </w:tr>
      <w:tr w:rsidR="00990B14" w14:paraId="00E5A1FA" w14:textId="77777777">
        <w:trPr>
          <w:cantSplit/>
          <w:jc w:val="center"/>
        </w:trPr>
        <w:tc>
          <w:tcPr>
            <w:tcW w:w="1780" w:type="dxa"/>
            <w:vMerge/>
            <w:shd w:val="clear" w:color="auto" w:fill="4472C4"/>
            <w:vAlign w:val="center"/>
          </w:tcPr>
          <w:p w14:paraId="1452C6B8" w14:textId="77777777" w:rsidR="00990B14" w:rsidRDefault="00990B14">
            <w:pPr>
              <w:spacing w:before="20" w:after="20"/>
            </w:pPr>
          </w:p>
        </w:tc>
        <w:tc>
          <w:tcPr>
            <w:tcW w:w="5770" w:type="dxa"/>
            <w:gridSpan w:val="3"/>
            <w:shd w:val="clear" w:color="auto" w:fill="D9E2F3"/>
            <w:vAlign w:val="center"/>
          </w:tcPr>
          <w:p w14:paraId="469E2CFA" w14:textId="77777777" w:rsidR="00990B14" w:rsidRDefault="00000000">
            <w:pPr>
              <w:keepNext/>
              <w:spacing w:before="20" w:after="20"/>
              <w:jc w:val="both"/>
            </w:pPr>
            <w:r>
              <w:rPr>
                <w:b/>
                <w:bCs/>
                <w:i/>
                <w:iCs/>
                <w:sz w:val="18"/>
                <w:szCs w:val="18"/>
              </w:rPr>
              <w:t xml:space="preserve">Producto 19: </w:t>
            </w:r>
            <w:r>
              <w:rPr>
                <w:sz w:val="18"/>
                <w:szCs w:val="18"/>
              </w:rPr>
              <w:t>Informe de revalorización técnica</w:t>
            </w:r>
          </w:p>
        </w:tc>
        <w:tc>
          <w:tcPr>
            <w:tcW w:w="1855" w:type="dxa"/>
            <w:shd w:val="clear" w:color="auto" w:fill="D9E2F3"/>
            <w:vAlign w:val="center"/>
          </w:tcPr>
          <w:p w14:paraId="3D304C23" w14:textId="77777777" w:rsidR="00990B14" w:rsidRDefault="00000000">
            <w:pPr>
              <w:spacing w:before="20" w:after="20"/>
              <w:jc w:val="center"/>
            </w:pPr>
            <w:r>
              <w:rPr>
                <w:b/>
                <w:bCs/>
                <w:sz w:val="18"/>
                <w:szCs w:val="18"/>
              </w:rPr>
              <w:t>3%</w:t>
            </w:r>
          </w:p>
        </w:tc>
      </w:tr>
      <w:tr w:rsidR="00990B14" w14:paraId="13243703" w14:textId="77777777">
        <w:trPr>
          <w:cantSplit/>
          <w:jc w:val="center"/>
        </w:trPr>
        <w:tc>
          <w:tcPr>
            <w:tcW w:w="1780" w:type="dxa"/>
            <w:vMerge/>
            <w:shd w:val="clear" w:color="auto" w:fill="4472C4"/>
            <w:vAlign w:val="center"/>
          </w:tcPr>
          <w:p w14:paraId="04839D56" w14:textId="77777777" w:rsidR="00990B14" w:rsidRDefault="00990B14">
            <w:pPr>
              <w:spacing w:before="20" w:after="20"/>
            </w:pPr>
          </w:p>
        </w:tc>
        <w:tc>
          <w:tcPr>
            <w:tcW w:w="1825" w:type="dxa"/>
            <w:shd w:val="clear" w:color="auto" w:fill="4472C4"/>
            <w:vAlign w:val="center"/>
          </w:tcPr>
          <w:p w14:paraId="4837917C" w14:textId="77777777" w:rsidR="00990B14" w:rsidRDefault="00000000">
            <w:pPr>
              <w:keepNext/>
              <w:spacing w:before="20" w:after="20"/>
              <w:jc w:val="center"/>
            </w:pPr>
            <w:r>
              <w:rPr>
                <w:b/>
                <w:bCs/>
                <w:i/>
                <w:iCs/>
                <w:color w:val="FFFFFF"/>
                <w:sz w:val="18"/>
                <w:szCs w:val="18"/>
              </w:rPr>
              <w:t>Criterio</w:t>
            </w:r>
          </w:p>
        </w:tc>
        <w:tc>
          <w:tcPr>
            <w:tcW w:w="1825" w:type="dxa"/>
            <w:shd w:val="clear" w:color="auto" w:fill="4472C4"/>
            <w:vAlign w:val="center"/>
          </w:tcPr>
          <w:p w14:paraId="16D50B96" w14:textId="77777777" w:rsidR="00990B14" w:rsidRDefault="00000000">
            <w:pPr>
              <w:keepNext/>
              <w:spacing w:before="20" w:after="20"/>
              <w:jc w:val="center"/>
            </w:pPr>
            <w:r>
              <w:rPr>
                <w:b/>
                <w:bCs/>
                <w:i/>
                <w:iCs/>
                <w:color w:val="FFFFFF"/>
                <w:sz w:val="18"/>
                <w:szCs w:val="18"/>
              </w:rPr>
              <w:t>Insuficiente (1–50)</w:t>
            </w:r>
          </w:p>
        </w:tc>
        <w:tc>
          <w:tcPr>
            <w:tcW w:w="2120" w:type="dxa"/>
            <w:shd w:val="clear" w:color="auto" w:fill="4472C4"/>
            <w:vAlign w:val="center"/>
          </w:tcPr>
          <w:p w14:paraId="062A434D" w14:textId="77777777" w:rsidR="00990B14" w:rsidRDefault="00000000">
            <w:pPr>
              <w:keepNext/>
              <w:spacing w:before="20" w:after="20"/>
              <w:jc w:val="center"/>
            </w:pPr>
            <w:r>
              <w:rPr>
                <w:b/>
                <w:bCs/>
                <w:i/>
                <w:iCs/>
                <w:color w:val="FFFFFF"/>
                <w:sz w:val="18"/>
                <w:szCs w:val="18"/>
              </w:rPr>
              <w:t>Suficiente (51–80)</w:t>
            </w:r>
          </w:p>
        </w:tc>
        <w:tc>
          <w:tcPr>
            <w:tcW w:w="1855" w:type="dxa"/>
            <w:shd w:val="clear" w:color="auto" w:fill="4472C4"/>
            <w:vAlign w:val="center"/>
          </w:tcPr>
          <w:p w14:paraId="1E64913B" w14:textId="77777777" w:rsidR="00990B14" w:rsidRDefault="00000000">
            <w:pPr>
              <w:keepNext/>
              <w:spacing w:before="20" w:after="20"/>
              <w:jc w:val="center"/>
            </w:pPr>
            <w:r>
              <w:rPr>
                <w:b/>
                <w:bCs/>
                <w:i/>
                <w:iCs/>
                <w:color w:val="FFFFFF"/>
                <w:sz w:val="18"/>
                <w:szCs w:val="18"/>
              </w:rPr>
              <w:t>Destacado (81–100)</w:t>
            </w:r>
          </w:p>
        </w:tc>
      </w:tr>
      <w:tr w:rsidR="00990B14" w14:paraId="6E2A1C59" w14:textId="77777777">
        <w:trPr>
          <w:cantSplit/>
          <w:jc w:val="center"/>
        </w:trPr>
        <w:tc>
          <w:tcPr>
            <w:tcW w:w="1780" w:type="dxa"/>
            <w:vMerge/>
            <w:shd w:val="clear" w:color="auto" w:fill="4472C4"/>
            <w:vAlign w:val="center"/>
          </w:tcPr>
          <w:p w14:paraId="6F5F38DE" w14:textId="77777777" w:rsidR="00990B14" w:rsidRDefault="00990B14">
            <w:pPr>
              <w:spacing w:before="20" w:after="20"/>
            </w:pPr>
          </w:p>
        </w:tc>
        <w:tc>
          <w:tcPr>
            <w:tcW w:w="1825" w:type="dxa"/>
            <w:shd w:val="clear" w:color="auto" w:fill="D9E2F3"/>
            <w:vAlign w:val="center"/>
          </w:tcPr>
          <w:p w14:paraId="33158121" w14:textId="77777777" w:rsidR="00990B14" w:rsidRDefault="00000000">
            <w:pPr>
              <w:spacing w:before="20" w:after="20"/>
              <w:jc w:val="both"/>
            </w:pPr>
            <w:r>
              <w:rPr>
                <w:sz w:val="18"/>
                <w:szCs w:val="18"/>
              </w:rPr>
              <w:t>Inventario físico</w:t>
            </w:r>
          </w:p>
        </w:tc>
        <w:tc>
          <w:tcPr>
            <w:tcW w:w="1825" w:type="dxa"/>
            <w:shd w:val="clear" w:color="auto" w:fill="D9E2F3"/>
            <w:vAlign w:val="center"/>
          </w:tcPr>
          <w:p w14:paraId="5B0798CB" w14:textId="77777777" w:rsidR="00990B14" w:rsidRDefault="00000000">
            <w:pPr>
              <w:spacing w:before="20" w:after="20"/>
              <w:jc w:val="both"/>
            </w:pPr>
            <w:r>
              <w:rPr>
                <w:sz w:val="18"/>
                <w:szCs w:val="18"/>
              </w:rPr>
              <w:t>No concilia el inventario con los registros.</w:t>
            </w:r>
          </w:p>
        </w:tc>
        <w:tc>
          <w:tcPr>
            <w:tcW w:w="2120" w:type="dxa"/>
            <w:shd w:val="clear" w:color="auto" w:fill="D9E2F3"/>
            <w:vAlign w:val="center"/>
          </w:tcPr>
          <w:p w14:paraId="4D7D7A5D" w14:textId="77777777" w:rsidR="00990B14" w:rsidRDefault="00000000">
            <w:pPr>
              <w:spacing w:before="20" w:after="20"/>
              <w:jc w:val="both"/>
            </w:pPr>
            <w:r>
              <w:rPr>
                <w:sz w:val="18"/>
                <w:szCs w:val="18"/>
              </w:rPr>
              <w:t>Concilia el inventario físico con los registros.</w:t>
            </w:r>
          </w:p>
        </w:tc>
        <w:tc>
          <w:tcPr>
            <w:tcW w:w="1855" w:type="dxa"/>
            <w:shd w:val="clear" w:color="auto" w:fill="D9E2F3"/>
            <w:vAlign w:val="center"/>
          </w:tcPr>
          <w:p w14:paraId="61CC1AB9" w14:textId="77777777" w:rsidR="00990B14" w:rsidRDefault="00000000">
            <w:pPr>
              <w:spacing w:before="20" w:after="20"/>
              <w:jc w:val="both"/>
            </w:pPr>
            <w:r>
              <w:rPr>
                <w:sz w:val="18"/>
                <w:szCs w:val="18"/>
              </w:rPr>
              <w:t>Reclasifica y codifica los bienes con criterio.</w:t>
            </w:r>
          </w:p>
        </w:tc>
      </w:tr>
      <w:tr w:rsidR="00990B14" w14:paraId="4E198DD2" w14:textId="77777777">
        <w:trPr>
          <w:cantSplit/>
          <w:jc w:val="center"/>
        </w:trPr>
        <w:tc>
          <w:tcPr>
            <w:tcW w:w="1780" w:type="dxa"/>
            <w:vMerge/>
            <w:shd w:val="clear" w:color="auto" w:fill="4472C4"/>
            <w:vAlign w:val="center"/>
          </w:tcPr>
          <w:p w14:paraId="608E66CF" w14:textId="77777777" w:rsidR="00990B14" w:rsidRDefault="00990B14">
            <w:pPr>
              <w:spacing w:before="20" w:after="20"/>
            </w:pPr>
          </w:p>
        </w:tc>
        <w:tc>
          <w:tcPr>
            <w:tcW w:w="1825" w:type="dxa"/>
            <w:shd w:val="clear" w:color="auto" w:fill="D9E2F3"/>
            <w:vAlign w:val="center"/>
          </w:tcPr>
          <w:p w14:paraId="520B035E" w14:textId="77777777" w:rsidR="00990B14" w:rsidRDefault="00000000">
            <w:pPr>
              <w:spacing w:before="20" w:after="20"/>
              <w:jc w:val="both"/>
            </w:pPr>
            <w:r>
              <w:rPr>
                <w:sz w:val="18"/>
                <w:szCs w:val="18"/>
              </w:rPr>
              <w:t>Estados de revalorización</w:t>
            </w:r>
          </w:p>
        </w:tc>
        <w:tc>
          <w:tcPr>
            <w:tcW w:w="1825" w:type="dxa"/>
            <w:shd w:val="clear" w:color="auto" w:fill="D9E2F3"/>
            <w:vAlign w:val="center"/>
          </w:tcPr>
          <w:p w14:paraId="0B8D03C5" w14:textId="77777777" w:rsidR="00990B14" w:rsidRDefault="00000000">
            <w:pPr>
              <w:spacing w:before="20" w:after="20"/>
              <w:jc w:val="both"/>
            </w:pPr>
            <w:r>
              <w:rPr>
                <w:sz w:val="18"/>
                <w:szCs w:val="18"/>
              </w:rPr>
              <w:t>Los estados son incompletos.</w:t>
            </w:r>
          </w:p>
        </w:tc>
        <w:tc>
          <w:tcPr>
            <w:tcW w:w="2120" w:type="dxa"/>
            <w:shd w:val="clear" w:color="auto" w:fill="D9E2F3"/>
            <w:vAlign w:val="center"/>
          </w:tcPr>
          <w:p w14:paraId="3BD64F25" w14:textId="77777777" w:rsidR="00990B14" w:rsidRDefault="00000000">
            <w:pPr>
              <w:spacing w:before="20" w:after="20"/>
              <w:jc w:val="both"/>
            </w:pPr>
            <w:r>
              <w:rPr>
                <w:sz w:val="18"/>
                <w:szCs w:val="18"/>
              </w:rPr>
              <w:t>Prepara el estado por cuentas y el estado resumen.</w:t>
            </w:r>
          </w:p>
        </w:tc>
        <w:tc>
          <w:tcPr>
            <w:tcW w:w="1855" w:type="dxa"/>
            <w:shd w:val="clear" w:color="auto" w:fill="D9E2F3"/>
            <w:vAlign w:val="center"/>
          </w:tcPr>
          <w:p w14:paraId="27A70939" w14:textId="77777777" w:rsidR="00990B14" w:rsidRDefault="00000000">
            <w:pPr>
              <w:spacing w:before="20" w:after="20"/>
              <w:jc w:val="both"/>
            </w:pPr>
            <w:r>
              <w:rPr>
                <w:sz w:val="18"/>
                <w:szCs w:val="18"/>
              </w:rPr>
              <w:t>Verifica la independencia del perito.</w:t>
            </w:r>
          </w:p>
        </w:tc>
      </w:tr>
      <w:tr w:rsidR="00990B14" w14:paraId="4464516C" w14:textId="77777777">
        <w:trPr>
          <w:cantSplit/>
          <w:jc w:val="center"/>
        </w:trPr>
        <w:tc>
          <w:tcPr>
            <w:tcW w:w="1780" w:type="dxa"/>
            <w:vMerge/>
            <w:shd w:val="clear" w:color="auto" w:fill="4472C4"/>
            <w:vAlign w:val="center"/>
          </w:tcPr>
          <w:p w14:paraId="4562A162" w14:textId="77777777" w:rsidR="00990B14" w:rsidRDefault="00990B14">
            <w:pPr>
              <w:spacing w:before="20" w:after="20"/>
            </w:pPr>
          </w:p>
        </w:tc>
        <w:tc>
          <w:tcPr>
            <w:tcW w:w="1825" w:type="dxa"/>
            <w:shd w:val="clear" w:color="auto" w:fill="D9E2F3"/>
            <w:vAlign w:val="center"/>
          </w:tcPr>
          <w:p w14:paraId="73D5FC3F" w14:textId="77777777" w:rsidR="00990B14" w:rsidRDefault="00000000">
            <w:pPr>
              <w:spacing w:before="20" w:after="20"/>
              <w:jc w:val="both"/>
            </w:pPr>
            <w:r>
              <w:rPr>
                <w:sz w:val="18"/>
                <w:szCs w:val="18"/>
              </w:rPr>
              <w:t>Registro contable</w:t>
            </w:r>
          </w:p>
        </w:tc>
        <w:tc>
          <w:tcPr>
            <w:tcW w:w="1825" w:type="dxa"/>
            <w:shd w:val="clear" w:color="auto" w:fill="D9E2F3"/>
            <w:vAlign w:val="center"/>
          </w:tcPr>
          <w:p w14:paraId="733B004F" w14:textId="77777777" w:rsidR="00990B14" w:rsidRDefault="00000000">
            <w:pPr>
              <w:spacing w:before="20" w:after="20"/>
              <w:jc w:val="both"/>
            </w:pPr>
            <w:r>
              <w:rPr>
                <w:sz w:val="18"/>
                <w:szCs w:val="18"/>
              </w:rPr>
              <w:t>Registra la revalorización con errores.</w:t>
            </w:r>
          </w:p>
        </w:tc>
        <w:tc>
          <w:tcPr>
            <w:tcW w:w="2120" w:type="dxa"/>
            <w:shd w:val="clear" w:color="auto" w:fill="D9E2F3"/>
            <w:vAlign w:val="center"/>
          </w:tcPr>
          <w:p w14:paraId="3987C79E" w14:textId="77777777" w:rsidR="00990B14" w:rsidRDefault="00000000">
            <w:pPr>
              <w:spacing w:before="20" w:after="20"/>
              <w:jc w:val="both"/>
            </w:pPr>
            <w:r>
              <w:rPr>
                <w:sz w:val="18"/>
                <w:szCs w:val="18"/>
              </w:rPr>
              <w:t>Registra el superávit por revalorización.</w:t>
            </w:r>
          </w:p>
        </w:tc>
        <w:tc>
          <w:tcPr>
            <w:tcW w:w="1855" w:type="dxa"/>
            <w:shd w:val="clear" w:color="auto" w:fill="D9E2F3"/>
            <w:vAlign w:val="center"/>
          </w:tcPr>
          <w:p w14:paraId="2901C80D" w14:textId="77777777" w:rsidR="00990B14" w:rsidRDefault="00000000">
            <w:pPr>
              <w:spacing w:before="20" w:after="20"/>
              <w:jc w:val="both"/>
            </w:pPr>
            <w:r>
              <w:rPr>
                <w:sz w:val="18"/>
                <w:szCs w:val="18"/>
              </w:rPr>
              <w:t>Compara el registro con el modelo de revaluación de la NIC 16.</w:t>
            </w:r>
          </w:p>
        </w:tc>
      </w:tr>
      <w:tr w:rsidR="00990B14" w14:paraId="1692D847" w14:textId="77777777">
        <w:trPr>
          <w:cantSplit/>
          <w:jc w:val="center"/>
        </w:trPr>
        <w:tc>
          <w:tcPr>
            <w:tcW w:w="1780" w:type="dxa"/>
            <w:vMerge/>
            <w:shd w:val="clear" w:color="auto" w:fill="4472C4"/>
            <w:vAlign w:val="center"/>
          </w:tcPr>
          <w:p w14:paraId="579466A3" w14:textId="77777777" w:rsidR="00990B14" w:rsidRDefault="00990B14">
            <w:pPr>
              <w:spacing w:before="20" w:after="20"/>
            </w:pPr>
          </w:p>
        </w:tc>
        <w:tc>
          <w:tcPr>
            <w:tcW w:w="5770" w:type="dxa"/>
            <w:gridSpan w:val="3"/>
            <w:shd w:val="clear" w:color="auto" w:fill="D9E2F3"/>
            <w:vAlign w:val="center"/>
          </w:tcPr>
          <w:p w14:paraId="73326336" w14:textId="77777777" w:rsidR="00990B14" w:rsidRDefault="00000000">
            <w:pPr>
              <w:keepNext/>
              <w:spacing w:before="20" w:after="20"/>
              <w:jc w:val="both"/>
            </w:pPr>
            <w:r>
              <w:rPr>
                <w:b/>
                <w:bCs/>
                <w:i/>
                <w:iCs/>
                <w:sz w:val="18"/>
                <w:szCs w:val="18"/>
              </w:rPr>
              <w:t xml:space="preserve">Producto 20: </w:t>
            </w:r>
            <w:r>
              <w:rPr>
                <w:sz w:val="18"/>
                <w:szCs w:val="18"/>
              </w:rPr>
              <w:t>Cédula de prueba de deterioro</w:t>
            </w:r>
          </w:p>
        </w:tc>
        <w:tc>
          <w:tcPr>
            <w:tcW w:w="1855" w:type="dxa"/>
            <w:shd w:val="clear" w:color="auto" w:fill="D9E2F3"/>
            <w:vAlign w:val="center"/>
          </w:tcPr>
          <w:p w14:paraId="6F151350" w14:textId="77777777" w:rsidR="00990B14" w:rsidRDefault="00000000">
            <w:pPr>
              <w:spacing w:before="20" w:after="20"/>
              <w:jc w:val="center"/>
            </w:pPr>
            <w:r>
              <w:rPr>
                <w:b/>
                <w:bCs/>
                <w:sz w:val="18"/>
                <w:szCs w:val="18"/>
              </w:rPr>
              <w:t>3%</w:t>
            </w:r>
          </w:p>
        </w:tc>
      </w:tr>
      <w:tr w:rsidR="00990B14" w14:paraId="5C64BD14" w14:textId="77777777">
        <w:trPr>
          <w:cantSplit/>
          <w:jc w:val="center"/>
        </w:trPr>
        <w:tc>
          <w:tcPr>
            <w:tcW w:w="1780" w:type="dxa"/>
            <w:vMerge/>
            <w:shd w:val="clear" w:color="auto" w:fill="4472C4"/>
            <w:vAlign w:val="center"/>
          </w:tcPr>
          <w:p w14:paraId="1A7FEB25" w14:textId="77777777" w:rsidR="00990B14" w:rsidRDefault="00990B14">
            <w:pPr>
              <w:spacing w:before="20" w:after="20"/>
            </w:pPr>
          </w:p>
        </w:tc>
        <w:tc>
          <w:tcPr>
            <w:tcW w:w="1825" w:type="dxa"/>
            <w:shd w:val="clear" w:color="auto" w:fill="4472C4"/>
            <w:vAlign w:val="center"/>
          </w:tcPr>
          <w:p w14:paraId="386CABA1" w14:textId="77777777" w:rsidR="00990B14" w:rsidRDefault="00000000">
            <w:pPr>
              <w:keepNext/>
              <w:spacing w:before="20" w:after="20"/>
              <w:jc w:val="center"/>
            </w:pPr>
            <w:r>
              <w:rPr>
                <w:b/>
                <w:bCs/>
                <w:i/>
                <w:iCs/>
                <w:color w:val="FFFFFF"/>
                <w:sz w:val="18"/>
                <w:szCs w:val="18"/>
              </w:rPr>
              <w:t>Criterio</w:t>
            </w:r>
          </w:p>
        </w:tc>
        <w:tc>
          <w:tcPr>
            <w:tcW w:w="1825" w:type="dxa"/>
            <w:shd w:val="clear" w:color="auto" w:fill="4472C4"/>
            <w:vAlign w:val="center"/>
          </w:tcPr>
          <w:p w14:paraId="3C011A60" w14:textId="77777777" w:rsidR="00990B14" w:rsidRDefault="00000000">
            <w:pPr>
              <w:keepNext/>
              <w:spacing w:before="20" w:after="20"/>
              <w:jc w:val="center"/>
            </w:pPr>
            <w:r>
              <w:rPr>
                <w:b/>
                <w:bCs/>
                <w:i/>
                <w:iCs/>
                <w:color w:val="FFFFFF"/>
                <w:sz w:val="18"/>
                <w:szCs w:val="18"/>
              </w:rPr>
              <w:t>Insuficiente (1–50)</w:t>
            </w:r>
          </w:p>
        </w:tc>
        <w:tc>
          <w:tcPr>
            <w:tcW w:w="2120" w:type="dxa"/>
            <w:shd w:val="clear" w:color="auto" w:fill="4472C4"/>
            <w:vAlign w:val="center"/>
          </w:tcPr>
          <w:p w14:paraId="115DBB61" w14:textId="77777777" w:rsidR="00990B14" w:rsidRDefault="00000000">
            <w:pPr>
              <w:keepNext/>
              <w:spacing w:before="20" w:after="20"/>
              <w:jc w:val="center"/>
            </w:pPr>
            <w:r>
              <w:rPr>
                <w:b/>
                <w:bCs/>
                <w:i/>
                <w:iCs/>
                <w:color w:val="FFFFFF"/>
                <w:sz w:val="18"/>
                <w:szCs w:val="18"/>
              </w:rPr>
              <w:t>Suficiente (51–80)</w:t>
            </w:r>
          </w:p>
        </w:tc>
        <w:tc>
          <w:tcPr>
            <w:tcW w:w="1855" w:type="dxa"/>
            <w:shd w:val="clear" w:color="auto" w:fill="4472C4"/>
            <w:vAlign w:val="center"/>
          </w:tcPr>
          <w:p w14:paraId="53EA3E4C" w14:textId="77777777" w:rsidR="00990B14" w:rsidRDefault="00000000">
            <w:pPr>
              <w:keepNext/>
              <w:spacing w:before="20" w:after="20"/>
              <w:jc w:val="center"/>
            </w:pPr>
            <w:r>
              <w:rPr>
                <w:b/>
                <w:bCs/>
                <w:i/>
                <w:iCs/>
                <w:color w:val="FFFFFF"/>
                <w:sz w:val="18"/>
                <w:szCs w:val="18"/>
              </w:rPr>
              <w:t>Destacado (81–100)</w:t>
            </w:r>
          </w:p>
        </w:tc>
      </w:tr>
      <w:tr w:rsidR="00990B14" w14:paraId="6152C158" w14:textId="77777777">
        <w:trPr>
          <w:cantSplit/>
          <w:jc w:val="center"/>
        </w:trPr>
        <w:tc>
          <w:tcPr>
            <w:tcW w:w="1780" w:type="dxa"/>
            <w:vMerge/>
            <w:shd w:val="clear" w:color="auto" w:fill="4472C4"/>
            <w:vAlign w:val="center"/>
          </w:tcPr>
          <w:p w14:paraId="1FB68F72" w14:textId="77777777" w:rsidR="00990B14" w:rsidRDefault="00990B14">
            <w:pPr>
              <w:spacing w:before="20" w:after="20"/>
            </w:pPr>
          </w:p>
        </w:tc>
        <w:tc>
          <w:tcPr>
            <w:tcW w:w="1825" w:type="dxa"/>
            <w:shd w:val="clear" w:color="auto" w:fill="D9E2F3"/>
            <w:vAlign w:val="center"/>
          </w:tcPr>
          <w:p w14:paraId="39A9C076" w14:textId="77777777" w:rsidR="00990B14" w:rsidRDefault="00000000">
            <w:pPr>
              <w:spacing w:before="20" w:after="20"/>
              <w:jc w:val="both"/>
            </w:pPr>
            <w:r>
              <w:rPr>
                <w:sz w:val="18"/>
                <w:szCs w:val="18"/>
              </w:rPr>
              <w:t>Indicios de deterioro</w:t>
            </w:r>
          </w:p>
        </w:tc>
        <w:tc>
          <w:tcPr>
            <w:tcW w:w="1825" w:type="dxa"/>
            <w:shd w:val="clear" w:color="auto" w:fill="D9E2F3"/>
            <w:vAlign w:val="center"/>
          </w:tcPr>
          <w:p w14:paraId="4049439D" w14:textId="77777777" w:rsidR="00990B14" w:rsidRDefault="00000000">
            <w:pPr>
              <w:spacing w:before="20" w:after="20"/>
              <w:jc w:val="both"/>
            </w:pPr>
            <w:r>
              <w:rPr>
                <w:sz w:val="18"/>
                <w:szCs w:val="18"/>
              </w:rPr>
              <w:t>No reconoce los indicios.</w:t>
            </w:r>
          </w:p>
        </w:tc>
        <w:tc>
          <w:tcPr>
            <w:tcW w:w="2120" w:type="dxa"/>
            <w:shd w:val="clear" w:color="auto" w:fill="D9E2F3"/>
            <w:vAlign w:val="center"/>
          </w:tcPr>
          <w:p w14:paraId="55B3A238" w14:textId="77777777" w:rsidR="00990B14" w:rsidRDefault="00000000">
            <w:pPr>
              <w:spacing w:before="20" w:after="20"/>
              <w:jc w:val="both"/>
            </w:pPr>
            <w:r>
              <w:rPr>
                <w:sz w:val="18"/>
                <w:szCs w:val="18"/>
              </w:rPr>
              <w:t>Identifica los indicios internos y externos.</w:t>
            </w:r>
          </w:p>
        </w:tc>
        <w:tc>
          <w:tcPr>
            <w:tcW w:w="1855" w:type="dxa"/>
            <w:shd w:val="clear" w:color="auto" w:fill="D9E2F3"/>
            <w:vAlign w:val="center"/>
          </w:tcPr>
          <w:p w14:paraId="6763236C" w14:textId="77777777" w:rsidR="00990B14" w:rsidRDefault="00000000">
            <w:pPr>
              <w:spacing w:before="20" w:after="20"/>
              <w:jc w:val="both"/>
            </w:pPr>
            <w:r>
              <w:rPr>
                <w:sz w:val="18"/>
                <w:szCs w:val="18"/>
              </w:rPr>
              <w:t>Explica la relevancia de cada indicio.</w:t>
            </w:r>
          </w:p>
        </w:tc>
      </w:tr>
      <w:tr w:rsidR="00990B14" w14:paraId="0336FCBB" w14:textId="77777777">
        <w:trPr>
          <w:cantSplit/>
          <w:jc w:val="center"/>
        </w:trPr>
        <w:tc>
          <w:tcPr>
            <w:tcW w:w="1780" w:type="dxa"/>
            <w:vMerge/>
            <w:shd w:val="clear" w:color="auto" w:fill="4472C4"/>
            <w:vAlign w:val="center"/>
          </w:tcPr>
          <w:p w14:paraId="3ED04860" w14:textId="77777777" w:rsidR="00990B14" w:rsidRDefault="00990B14">
            <w:pPr>
              <w:spacing w:before="20" w:after="20"/>
            </w:pPr>
          </w:p>
        </w:tc>
        <w:tc>
          <w:tcPr>
            <w:tcW w:w="1825" w:type="dxa"/>
            <w:shd w:val="clear" w:color="auto" w:fill="D9E2F3"/>
            <w:vAlign w:val="center"/>
          </w:tcPr>
          <w:p w14:paraId="57756AEF" w14:textId="77777777" w:rsidR="00990B14" w:rsidRDefault="00000000">
            <w:pPr>
              <w:spacing w:before="20" w:after="20"/>
              <w:jc w:val="both"/>
            </w:pPr>
            <w:r>
              <w:rPr>
                <w:sz w:val="18"/>
                <w:szCs w:val="18"/>
              </w:rPr>
              <w:t>Importe recuperable</w:t>
            </w:r>
          </w:p>
        </w:tc>
        <w:tc>
          <w:tcPr>
            <w:tcW w:w="1825" w:type="dxa"/>
            <w:shd w:val="clear" w:color="auto" w:fill="D9E2F3"/>
            <w:vAlign w:val="center"/>
          </w:tcPr>
          <w:p w14:paraId="4E94276B" w14:textId="77777777" w:rsidR="00990B14" w:rsidRDefault="00000000">
            <w:pPr>
              <w:spacing w:before="20" w:after="20"/>
              <w:jc w:val="both"/>
            </w:pPr>
            <w:r>
              <w:rPr>
                <w:sz w:val="18"/>
                <w:szCs w:val="18"/>
              </w:rPr>
              <w:t>Calcula mal el importe recuperable.</w:t>
            </w:r>
          </w:p>
        </w:tc>
        <w:tc>
          <w:tcPr>
            <w:tcW w:w="2120" w:type="dxa"/>
            <w:shd w:val="clear" w:color="auto" w:fill="D9E2F3"/>
            <w:vAlign w:val="center"/>
          </w:tcPr>
          <w:p w14:paraId="24B9107C" w14:textId="77777777" w:rsidR="00990B14" w:rsidRDefault="00000000">
            <w:pPr>
              <w:spacing w:before="20" w:after="20"/>
              <w:jc w:val="both"/>
            </w:pPr>
            <w:r>
              <w:rPr>
                <w:sz w:val="18"/>
                <w:szCs w:val="18"/>
              </w:rPr>
              <w:t>Compara el valor en libros con el importe recuperable.</w:t>
            </w:r>
          </w:p>
        </w:tc>
        <w:tc>
          <w:tcPr>
            <w:tcW w:w="1855" w:type="dxa"/>
            <w:shd w:val="clear" w:color="auto" w:fill="D9E2F3"/>
            <w:vAlign w:val="center"/>
          </w:tcPr>
          <w:p w14:paraId="6ABA2C00" w14:textId="77777777" w:rsidR="00990B14" w:rsidRDefault="00000000">
            <w:pPr>
              <w:spacing w:before="20" w:after="20"/>
              <w:jc w:val="both"/>
            </w:pPr>
            <w:r>
              <w:rPr>
                <w:sz w:val="18"/>
                <w:szCs w:val="18"/>
              </w:rPr>
              <w:t>Justifica los supuestos del valor de uso.</w:t>
            </w:r>
          </w:p>
        </w:tc>
      </w:tr>
      <w:tr w:rsidR="00990B14" w14:paraId="7581A8DB" w14:textId="77777777">
        <w:trPr>
          <w:cantSplit/>
          <w:jc w:val="center"/>
        </w:trPr>
        <w:tc>
          <w:tcPr>
            <w:tcW w:w="1780" w:type="dxa"/>
            <w:vMerge/>
            <w:shd w:val="clear" w:color="auto" w:fill="4472C4"/>
            <w:vAlign w:val="center"/>
          </w:tcPr>
          <w:p w14:paraId="6F8A47A8" w14:textId="77777777" w:rsidR="00990B14" w:rsidRDefault="00990B14">
            <w:pPr>
              <w:spacing w:before="20" w:after="20"/>
            </w:pPr>
          </w:p>
        </w:tc>
        <w:tc>
          <w:tcPr>
            <w:tcW w:w="1825" w:type="dxa"/>
            <w:shd w:val="clear" w:color="auto" w:fill="D9E2F3"/>
            <w:vAlign w:val="center"/>
          </w:tcPr>
          <w:p w14:paraId="26EBDAF1" w14:textId="77777777" w:rsidR="00990B14" w:rsidRDefault="00000000">
            <w:pPr>
              <w:spacing w:before="20" w:after="20"/>
              <w:jc w:val="both"/>
            </w:pPr>
            <w:r>
              <w:rPr>
                <w:sz w:val="18"/>
                <w:szCs w:val="18"/>
              </w:rPr>
              <w:t>Pérdida por deterioro</w:t>
            </w:r>
          </w:p>
        </w:tc>
        <w:tc>
          <w:tcPr>
            <w:tcW w:w="1825" w:type="dxa"/>
            <w:shd w:val="clear" w:color="auto" w:fill="D9E2F3"/>
            <w:vAlign w:val="center"/>
          </w:tcPr>
          <w:p w14:paraId="413B111D" w14:textId="77777777" w:rsidR="00990B14" w:rsidRDefault="00000000">
            <w:pPr>
              <w:spacing w:before="20" w:after="20"/>
              <w:jc w:val="both"/>
            </w:pPr>
            <w:r>
              <w:rPr>
                <w:sz w:val="18"/>
                <w:szCs w:val="18"/>
              </w:rPr>
              <w:t>No registra la pérdida.</w:t>
            </w:r>
          </w:p>
        </w:tc>
        <w:tc>
          <w:tcPr>
            <w:tcW w:w="2120" w:type="dxa"/>
            <w:shd w:val="clear" w:color="auto" w:fill="D9E2F3"/>
            <w:vAlign w:val="center"/>
          </w:tcPr>
          <w:p w14:paraId="120C5CE8" w14:textId="77777777" w:rsidR="00990B14" w:rsidRDefault="00000000">
            <w:pPr>
              <w:spacing w:before="20" w:after="20"/>
              <w:jc w:val="both"/>
            </w:pPr>
            <w:r>
              <w:rPr>
                <w:sz w:val="18"/>
                <w:szCs w:val="18"/>
              </w:rPr>
              <w:t>Registra la pérdida por deterioro.</w:t>
            </w:r>
          </w:p>
        </w:tc>
        <w:tc>
          <w:tcPr>
            <w:tcW w:w="1855" w:type="dxa"/>
            <w:shd w:val="clear" w:color="auto" w:fill="D9E2F3"/>
            <w:vAlign w:val="center"/>
          </w:tcPr>
          <w:p w14:paraId="7F54DBD0" w14:textId="77777777" w:rsidR="00990B14" w:rsidRDefault="00000000">
            <w:pPr>
              <w:spacing w:before="20" w:after="20"/>
              <w:jc w:val="both"/>
            </w:pPr>
            <w:r>
              <w:rPr>
                <w:sz w:val="18"/>
                <w:szCs w:val="18"/>
              </w:rPr>
              <w:t>Ajusta la depreciación futura del bien.</w:t>
            </w:r>
          </w:p>
        </w:tc>
      </w:tr>
      <w:tr w:rsidR="00990B14" w14:paraId="19FFFD6B" w14:textId="77777777">
        <w:trPr>
          <w:cantSplit/>
          <w:jc w:val="center"/>
        </w:trPr>
        <w:tc>
          <w:tcPr>
            <w:tcW w:w="1780" w:type="dxa"/>
            <w:vMerge/>
            <w:shd w:val="clear" w:color="auto" w:fill="4472C4"/>
            <w:vAlign w:val="center"/>
          </w:tcPr>
          <w:p w14:paraId="0A37C1CA" w14:textId="77777777" w:rsidR="00990B14" w:rsidRDefault="00990B14">
            <w:pPr>
              <w:spacing w:before="20" w:after="20"/>
            </w:pPr>
          </w:p>
        </w:tc>
        <w:tc>
          <w:tcPr>
            <w:tcW w:w="5770" w:type="dxa"/>
            <w:gridSpan w:val="3"/>
            <w:shd w:val="clear" w:color="auto" w:fill="D9E2F3"/>
            <w:vAlign w:val="center"/>
          </w:tcPr>
          <w:p w14:paraId="181208F9" w14:textId="77777777" w:rsidR="00990B14" w:rsidRDefault="00000000">
            <w:pPr>
              <w:keepNext/>
              <w:spacing w:before="20" w:after="20"/>
              <w:jc w:val="both"/>
            </w:pPr>
            <w:r>
              <w:rPr>
                <w:b/>
                <w:bCs/>
                <w:i/>
                <w:iCs/>
                <w:sz w:val="18"/>
                <w:szCs w:val="18"/>
              </w:rPr>
              <w:t xml:space="preserve">Producto 21: </w:t>
            </w:r>
            <w:r>
              <w:rPr>
                <w:sz w:val="18"/>
                <w:szCs w:val="18"/>
              </w:rPr>
              <w:t>Cuadro de clasificación de intangibles</w:t>
            </w:r>
          </w:p>
        </w:tc>
        <w:tc>
          <w:tcPr>
            <w:tcW w:w="1855" w:type="dxa"/>
            <w:shd w:val="clear" w:color="auto" w:fill="D9E2F3"/>
            <w:vAlign w:val="center"/>
          </w:tcPr>
          <w:p w14:paraId="06EF00D7" w14:textId="77777777" w:rsidR="00990B14" w:rsidRDefault="00000000">
            <w:pPr>
              <w:spacing w:before="20" w:after="20"/>
              <w:jc w:val="center"/>
            </w:pPr>
            <w:r>
              <w:rPr>
                <w:b/>
                <w:bCs/>
                <w:sz w:val="18"/>
                <w:szCs w:val="18"/>
              </w:rPr>
              <w:t>2%</w:t>
            </w:r>
          </w:p>
        </w:tc>
      </w:tr>
      <w:tr w:rsidR="00990B14" w14:paraId="32EDCA0F" w14:textId="77777777">
        <w:trPr>
          <w:cantSplit/>
          <w:jc w:val="center"/>
        </w:trPr>
        <w:tc>
          <w:tcPr>
            <w:tcW w:w="1780" w:type="dxa"/>
            <w:vMerge/>
            <w:shd w:val="clear" w:color="auto" w:fill="4472C4"/>
            <w:vAlign w:val="center"/>
          </w:tcPr>
          <w:p w14:paraId="0CA9A606" w14:textId="77777777" w:rsidR="00990B14" w:rsidRDefault="00990B14">
            <w:pPr>
              <w:spacing w:before="20" w:after="20"/>
            </w:pPr>
          </w:p>
        </w:tc>
        <w:tc>
          <w:tcPr>
            <w:tcW w:w="1825" w:type="dxa"/>
            <w:shd w:val="clear" w:color="auto" w:fill="4472C4"/>
            <w:vAlign w:val="center"/>
          </w:tcPr>
          <w:p w14:paraId="6352F7D7" w14:textId="77777777" w:rsidR="00990B14" w:rsidRDefault="00000000">
            <w:pPr>
              <w:keepNext/>
              <w:spacing w:before="20" w:after="20"/>
              <w:jc w:val="center"/>
            </w:pPr>
            <w:r>
              <w:rPr>
                <w:b/>
                <w:bCs/>
                <w:i/>
                <w:iCs/>
                <w:color w:val="FFFFFF"/>
                <w:sz w:val="18"/>
                <w:szCs w:val="18"/>
              </w:rPr>
              <w:t>Criterio</w:t>
            </w:r>
          </w:p>
        </w:tc>
        <w:tc>
          <w:tcPr>
            <w:tcW w:w="1825" w:type="dxa"/>
            <w:shd w:val="clear" w:color="auto" w:fill="4472C4"/>
            <w:vAlign w:val="center"/>
          </w:tcPr>
          <w:p w14:paraId="00FACDC6" w14:textId="77777777" w:rsidR="00990B14" w:rsidRDefault="00000000">
            <w:pPr>
              <w:keepNext/>
              <w:spacing w:before="20" w:after="20"/>
              <w:jc w:val="center"/>
            </w:pPr>
            <w:r>
              <w:rPr>
                <w:b/>
                <w:bCs/>
                <w:i/>
                <w:iCs/>
                <w:color w:val="FFFFFF"/>
                <w:sz w:val="18"/>
                <w:szCs w:val="18"/>
              </w:rPr>
              <w:t>Insuficiente (1–50)</w:t>
            </w:r>
          </w:p>
        </w:tc>
        <w:tc>
          <w:tcPr>
            <w:tcW w:w="2120" w:type="dxa"/>
            <w:shd w:val="clear" w:color="auto" w:fill="4472C4"/>
            <w:vAlign w:val="center"/>
          </w:tcPr>
          <w:p w14:paraId="30B4D02A" w14:textId="77777777" w:rsidR="00990B14" w:rsidRDefault="00000000">
            <w:pPr>
              <w:keepNext/>
              <w:spacing w:before="20" w:after="20"/>
              <w:jc w:val="center"/>
            </w:pPr>
            <w:r>
              <w:rPr>
                <w:b/>
                <w:bCs/>
                <w:i/>
                <w:iCs/>
                <w:color w:val="FFFFFF"/>
                <w:sz w:val="18"/>
                <w:szCs w:val="18"/>
              </w:rPr>
              <w:t>Suficiente (51–80)</w:t>
            </w:r>
          </w:p>
        </w:tc>
        <w:tc>
          <w:tcPr>
            <w:tcW w:w="1855" w:type="dxa"/>
            <w:shd w:val="clear" w:color="auto" w:fill="4472C4"/>
            <w:vAlign w:val="center"/>
          </w:tcPr>
          <w:p w14:paraId="23A2ADAF" w14:textId="77777777" w:rsidR="00990B14" w:rsidRDefault="00000000">
            <w:pPr>
              <w:keepNext/>
              <w:spacing w:before="20" w:after="20"/>
              <w:jc w:val="center"/>
            </w:pPr>
            <w:r>
              <w:rPr>
                <w:b/>
                <w:bCs/>
                <w:i/>
                <w:iCs/>
                <w:color w:val="FFFFFF"/>
                <w:sz w:val="18"/>
                <w:szCs w:val="18"/>
              </w:rPr>
              <w:t>Destacado (81–100)</w:t>
            </w:r>
          </w:p>
        </w:tc>
      </w:tr>
      <w:tr w:rsidR="00990B14" w14:paraId="11333FE2" w14:textId="77777777">
        <w:trPr>
          <w:cantSplit/>
          <w:jc w:val="center"/>
        </w:trPr>
        <w:tc>
          <w:tcPr>
            <w:tcW w:w="1780" w:type="dxa"/>
            <w:vMerge/>
            <w:shd w:val="clear" w:color="auto" w:fill="4472C4"/>
            <w:vAlign w:val="center"/>
          </w:tcPr>
          <w:p w14:paraId="676D7B79" w14:textId="77777777" w:rsidR="00990B14" w:rsidRDefault="00990B14">
            <w:pPr>
              <w:spacing w:before="20" w:after="20"/>
            </w:pPr>
          </w:p>
        </w:tc>
        <w:tc>
          <w:tcPr>
            <w:tcW w:w="1825" w:type="dxa"/>
            <w:shd w:val="clear" w:color="auto" w:fill="D9E2F3"/>
            <w:vAlign w:val="center"/>
          </w:tcPr>
          <w:p w14:paraId="6E26C73B" w14:textId="77777777" w:rsidR="00990B14" w:rsidRDefault="00000000">
            <w:pPr>
              <w:spacing w:before="20" w:after="20"/>
              <w:jc w:val="both"/>
            </w:pPr>
            <w:r>
              <w:rPr>
                <w:sz w:val="18"/>
                <w:szCs w:val="18"/>
              </w:rPr>
              <w:t>Duración</w:t>
            </w:r>
          </w:p>
        </w:tc>
        <w:tc>
          <w:tcPr>
            <w:tcW w:w="1825" w:type="dxa"/>
            <w:shd w:val="clear" w:color="auto" w:fill="D9E2F3"/>
            <w:vAlign w:val="center"/>
          </w:tcPr>
          <w:p w14:paraId="60B604BD" w14:textId="77777777" w:rsidR="00990B14" w:rsidRDefault="00000000">
            <w:pPr>
              <w:spacing w:before="20" w:after="20"/>
              <w:jc w:val="both"/>
            </w:pPr>
            <w:r>
              <w:rPr>
                <w:sz w:val="18"/>
                <w:szCs w:val="18"/>
              </w:rPr>
              <w:t>Confunde vida útil limitada e ilimitada.</w:t>
            </w:r>
          </w:p>
        </w:tc>
        <w:tc>
          <w:tcPr>
            <w:tcW w:w="2120" w:type="dxa"/>
            <w:shd w:val="clear" w:color="auto" w:fill="D9E2F3"/>
            <w:vAlign w:val="center"/>
          </w:tcPr>
          <w:p w14:paraId="41E0AC7D" w14:textId="77777777" w:rsidR="00990B14" w:rsidRDefault="00000000">
            <w:pPr>
              <w:spacing w:before="20" w:after="20"/>
              <w:jc w:val="both"/>
            </w:pPr>
            <w:r>
              <w:rPr>
                <w:sz w:val="18"/>
                <w:szCs w:val="18"/>
              </w:rPr>
              <w:t>Clasifica los intangibles por su duración.</w:t>
            </w:r>
          </w:p>
        </w:tc>
        <w:tc>
          <w:tcPr>
            <w:tcW w:w="1855" w:type="dxa"/>
            <w:shd w:val="clear" w:color="auto" w:fill="D9E2F3"/>
            <w:vAlign w:val="center"/>
          </w:tcPr>
          <w:p w14:paraId="63460B7A" w14:textId="77777777" w:rsidR="00990B14" w:rsidRDefault="00000000">
            <w:pPr>
              <w:spacing w:before="20" w:after="20"/>
              <w:jc w:val="both"/>
            </w:pPr>
            <w:r>
              <w:rPr>
                <w:sz w:val="18"/>
                <w:szCs w:val="18"/>
              </w:rPr>
              <w:t>Explica el efecto de la duración en la amortización.</w:t>
            </w:r>
          </w:p>
        </w:tc>
      </w:tr>
      <w:tr w:rsidR="00990B14" w14:paraId="6D97A4DA" w14:textId="77777777">
        <w:trPr>
          <w:cantSplit/>
          <w:jc w:val="center"/>
        </w:trPr>
        <w:tc>
          <w:tcPr>
            <w:tcW w:w="1780" w:type="dxa"/>
            <w:vMerge/>
            <w:shd w:val="clear" w:color="auto" w:fill="4472C4"/>
            <w:vAlign w:val="center"/>
          </w:tcPr>
          <w:p w14:paraId="76267E8A" w14:textId="77777777" w:rsidR="00990B14" w:rsidRDefault="00990B14">
            <w:pPr>
              <w:spacing w:before="20" w:after="20"/>
            </w:pPr>
          </w:p>
        </w:tc>
        <w:tc>
          <w:tcPr>
            <w:tcW w:w="1825" w:type="dxa"/>
            <w:shd w:val="clear" w:color="auto" w:fill="D9E2F3"/>
            <w:vAlign w:val="center"/>
          </w:tcPr>
          <w:p w14:paraId="3DD1723D" w14:textId="77777777" w:rsidR="00990B14" w:rsidRDefault="00000000">
            <w:pPr>
              <w:spacing w:before="20" w:after="20"/>
              <w:jc w:val="both"/>
            </w:pPr>
            <w:r>
              <w:rPr>
                <w:sz w:val="18"/>
                <w:szCs w:val="18"/>
              </w:rPr>
              <w:t>Reconocimiento</w:t>
            </w:r>
          </w:p>
        </w:tc>
        <w:tc>
          <w:tcPr>
            <w:tcW w:w="1825" w:type="dxa"/>
            <w:shd w:val="clear" w:color="auto" w:fill="D9E2F3"/>
            <w:vAlign w:val="center"/>
          </w:tcPr>
          <w:p w14:paraId="27185C9D" w14:textId="77777777" w:rsidR="00990B14" w:rsidRDefault="00000000">
            <w:pPr>
              <w:spacing w:before="20" w:after="20"/>
              <w:jc w:val="both"/>
            </w:pPr>
            <w:r>
              <w:rPr>
                <w:sz w:val="18"/>
                <w:szCs w:val="18"/>
              </w:rPr>
              <w:t>Reconoce partidas que no cumplen la definición.</w:t>
            </w:r>
          </w:p>
        </w:tc>
        <w:tc>
          <w:tcPr>
            <w:tcW w:w="2120" w:type="dxa"/>
            <w:shd w:val="clear" w:color="auto" w:fill="D9E2F3"/>
            <w:vAlign w:val="center"/>
          </w:tcPr>
          <w:p w14:paraId="6CA5AD54" w14:textId="77777777" w:rsidR="00990B14" w:rsidRDefault="00000000">
            <w:pPr>
              <w:spacing w:before="20" w:after="20"/>
              <w:jc w:val="both"/>
            </w:pPr>
            <w:r>
              <w:rPr>
                <w:sz w:val="18"/>
                <w:szCs w:val="18"/>
              </w:rPr>
              <w:t>Aplica la identificabilidad, el control y los beneficios futuros.</w:t>
            </w:r>
          </w:p>
        </w:tc>
        <w:tc>
          <w:tcPr>
            <w:tcW w:w="1855" w:type="dxa"/>
            <w:shd w:val="clear" w:color="auto" w:fill="D9E2F3"/>
            <w:vAlign w:val="center"/>
          </w:tcPr>
          <w:p w14:paraId="2AF7557F" w14:textId="77777777" w:rsidR="00990B14" w:rsidRDefault="00000000">
            <w:pPr>
              <w:spacing w:before="20" w:after="20"/>
              <w:jc w:val="both"/>
            </w:pPr>
            <w:r>
              <w:rPr>
                <w:sz w:val="18"/>
                <w:szCs w:val="18"/>
              </w:rPr>
              <w:t>Justifica cada reconocimiento con la NIC 38.</w:t>
            </w:r>
          </w:p>
        </w:tc>
      </w:tr>
      <w:tr w:rsidR="00990B14" w14:paraId="6EA8C4C5" w14:textId="77777777">
        <w:trPr>
          <w:cantSplit/>
          <w:jc w:val="center"/>
        </w:trPr>
        <w:tc>
          <w:tcPr>
            <w:tcW w:w="1780" w:type="dxa"/>
            <w:vMerge/>
            <w:shd w:val="clear" w:color="auto" w:fill="4472C4"/>
            <w:vAlign w:val="center"/>
          </w:tcPr>
          <w:p w14:paraId="6D9C367B" w14:textId="77777777" w:rsidR="00990B14" w:rsidRDefault="00990B14">
            <w:pPr>
              <w:spacing w:before="20" w:after="20"/>
            </w:pPr>
          </w:p>
        </w:tc>
        <w:tc>
          <w:tcPr>
            <w:tcW w:w="1825" w:type="dxa"/>
            <w:shd w:val="clear" w:color="auto" w:fill="D9E2F3"/>
            <w:vAlign w:val="center"/>
          </w:tcPr>
          <w:p w14:paraId="1CE2ED1E" w14:textId="77777777" w:rsidR="00990B14" w:rsidRDefault="00000000">
            <w:pPr>
              <w:spacing w:before="20" w:after="20"/>
              <w:jc w:val="both"/>
            </w:pPr>
            <w:r>
              <w:rPr>
                <w:sz w:val="18"/>
                <w:szCs w:val="18"/>
              </w:rPr>
              <w:t>Claridad de la exposición</w:t>
            </w:r>
          </w:p>
        </w:tc>
        <w:tc>
          <w:tcPr>
            <w:tcW w:w="1825" w:type="dxa"/>
            <w:shd w:val="clear" w:color="auto" w:fill="D9E2F3"/>
            <w:vAlign w:val="center"/>
          </w:tcPr>
          <w:p w14:paraId="48AF690C" w14:textId="77777777" w:rsidR="00990B14" w:rsidRDefault="00000000">
            <w:pPr>
              <w:spacing w:before="20" w:after="20"/>
              <w:jc w:val="both"/>
            </w:pPr>
            <w:r>
              <w:rPr>
                <w:sz w:val="18"/>
                <w:szCs w:val="18"/>
              </w:rPr>
              <w:t>La exposición es confusa.</w:t>
            </w:r>
          </w:p>
        </w:tc>
        <w:tc>
          <w:tcPr>
            <w:tcW w:w="2120" w:type="dxa"/>
            <w:shd w:val="clear" w:color="auto" w:fill="D9E2F3"/>
            <w:vAlign w:val="center"/>
          </w:tcPr>
          <w:p w14:paraId="0C5DC056" w14:textId="77777777" w:rsidR="00990B14" w:rsidRDefault="00000000">
            <w:pPr>
              <w:spacing w:before="20" w:after="20"/>
              <w:jc w:val="both"/>
            </w:pPr>
            <w:r>
              <w:rPr>
                <w:sz w:val="18"/>
                <w:szCs w:val="18"/>
              </w:rPr>
              <w:t>Expone la clasificación con orden.</w:t>
            </w:r>
          </w:p>
        </w:tc>
        <w:tc>
          <w:tcPr>
            <w:tcW w:w="1855" w:type="dxa"/>
            <w:shd w:val="clear" w:color="auto" w:fill="D9E2F3"/>
            <w:vAlign w:val="center"/>
          </w:tcPr>
          <w:p w14:paraId="03A867F5" w14:textId="77777777" w:rsidR="00990B14" w:rsidRDefault="00000000">
            <w:pPr>
              <w:spacing w:before="20" w:after="20"/>
              <w:jc w:val="both"/>
            </w:pPr>
            <w:r>
              <w:rPr>
                <w:sz w:val="18"/>
                <w:szCs w:val="18"/>
              </w:rPr>
              <w:t>Responde con solvencia las preguntas del curso.</w:t>
            </w:r>
          </w:p>
        </w:tc>
      </w:tr>
      <w:tr w:rsidR="00990B14" w14:paraId="0319E3E0" w14:textId="77777777">
        <w:trPr>
          <w:cantSplit/>
          <w:jc w:val="center"/>
        </w:trPr>
        <w:tc>
          <w:tcPr>
            <w:tcW w:w="1780" w:type="dxa"/>
            <w:vMerge/>
            <w:shd w:val="clear" w:color="auto" w:fill="4472C4"/>
            <w:vAlign w:val="center"/>
          </w:tcPr>
          <w:p w14:paraId="5B919E32" w14:textId="77777777" w:rsidR="00990B14" w:rsidRDefault="00990B14">
            <w:pPr>
              <w:spacing w:before="20" w:after="20"/>
            </w:pPr>
          </w:p>
        </w:tc>
        <w:tc>
          <w:tcPr>
            <w:tcW w:w="5770" w:type="dxa"/>
            <w:gridSpan w:val="3"/>
            <w:shd w:val="clear" w:color="auto" w:fill="D9E2F3"/>
            <w:vAlign w:val="center"/>
          </w:tcPr>
          <w:p w14:paraId="7C6EBBE7" w14:textId="77777777" w:rsidR="00990B14" w:rsidRDefault="00000000">
            <w:pPr>
              <w:keepNext/>
              <w:spacing w:before="20" w:after="20"/>
              <w:jc w:val="both"/>
            </w:pPr>
            <w:r>
              <w:rPr>
                <w:b/>
                <w:bCs/>
                <w:i/>
                <w:iCs/>
                <w:sz w:val="18"/>
                <w:szCs w:val="18"/>
              </w:rPr>
              <w:t xml:space="preserve">Producto 22: </w:t>
            </w:r>
            <w:r>
              <w:rPr>
                <w:sz w:val="18"/>
                <w:szCs w:val="18"/>
              </w:rPr>
              <w:t>Cédula de desembolsos activables</w:t>
            </w:r>
          </w:p>
        </w:tc>
        <w:tc>
          <w:tcPr>
            <w:tcW w:w="1855" w:type="dxa"/>
            <w:shd w:val="clear" w:color="auto" w:fill="D9E2F3"/>
            <w:vAlign w:val="center"/>
          </w:tcPr>
          <w:p w14:paraId="3F2B81A8" w14:textId="77777777" w:rsidR="00990B14" w:rsidRDefault="00000000">
            <w:pPr>
              <w:spacing w:before="20" w:after="20"/>
              <w:jc w:val="center"/>
            </w:pPr>
            <w:r>
              <w:rPr>
                <w:b/>
                <w:bCs/>
                <w:sz w:val="18"/>
                <w:szCs w:val="18"/>
              </w:rPr>
              <w:t>2%</w:t>
            </w:r>
          </w:p>
        </w:tc>
      </w:tr>
      <w:tr w:rsidR="00990B14" w14:paraId="0DDEA747" w14:textId="77777777">
        <w:trPr>
          <w:cantSplit/>
          <w:jc w:val="center"/>
        </w:trPr>
        <w:tc>
          <w:tcPr>
            <w:tcW w:w="1780" w:type="dxa"/>
            <w:vMerge/>
            <w:shd w:val="clear" w:color="auto" w:fill="4472C4"/>
            <w:vAlign w:val="center"/>
          </w:tcPr>
          <w:p w14:paraId="1347B3B0" w14:textId="77777777" w:rsidR="00990B14" w:rsidRDefault="00990B14">
            <w:pPr>
              <w:spacing w:before="20" w:after="20"/>
            </w:pPr>
          </w:p>
        </w:tc>
        <w:tc>
          <w:tcPr>
            <w:tcW w:w="1825" w:type="dxa"/>
            <w:shd w:val="clear" w:color="auto" w:fill="4472C4"/>
            <w:vAlign w:val="center"/>
          </w:tcPr>
          <w:p w14:paraId="40C519F7" w14:textId="77777777" w:rsidR="00990B14" w:rsidRDefault="00000000">
            <w:pPr>
              <w:keepNext/>
              <w:spacing w:before="20" w:after="20"/>
              <w:jc w:val="center"/>
            </w:pPr>
            <w:r>
              <w:rPr>
                <w:b/>
                <w:bCs/>
                <w:i/>
                <w:iCs/>
                <w:color w:val="FFFFFF"/>
                <w:sz w:val="18"/>
                <w:szCs w:val="18"/>
              </w:rPr>
              <w:t>Criterio</w:t>
            </w:r>
          </w:p>
        </w:tc>
        <w:tc>
          <w:tcPr>
            <w:tcW w:w="1825" w:type="dxa"/>
            <w:shd w:val="clear" w:color="auto" w:fill="4472C4"/>
            <w:vAlign w:val="center"/>
          </w:tcPr>
          <w:p w14:paraId="6481FDF5" w14:textId="77777777" w:rsidR="00990B14" w:rsidRDefault="00000000">
            <w:pPr>
              <w:keepNext/>
              <w:spacing w:before="20" w:after="20"/>
              <w:jc w:val="center"/>
            </w:pPr>
            <w:r>
              <w:rPr>
                <w:b/>
                <w:bCs/>
                <w:i/>
                <w:iCs/>
                <w:color w:val="FFFFFF"/>
                <w:sz w:val="18"/>
                <w:szCs w:val="18"/>
              </w:rPr>
              <w:t>Insuficiente (1–50)</w:t>
            </w:r>
          </w:p>
        </w:tc>
        <w:tc>
          <w:tcPr>
            <w:tcW w:w="2120" w:type="dxa"/>
            <w:shd w:val="clear" w:color="auto" w:fill="4472C4"/>
            <w:vAlign w:val="center"/>
          </w:tcPr>
          <w:p w14:paraId="69F8890D" w14:textId="77777777" w:rsidR="00990B14" w:rsidRDefault="00000000">
            <w:pPr>
              <w:keepNext/>
              <w:spacing w:before="20" w:after="20"/>
              <w:jc w:val="center"/>
            </w:pPr>
            <w:r>
              <w:rPr>
                <w:b/>
                <w:bCs/>
                <w:i/>
                <w:iCs/>
                <w:color w:val="FFFFFF"/>
                <w:sz w:val="18"/>
                <w:szCs w:val="18"/>
              </w:rPr>
              <w:t>Suficiente (51–80)</w:t>
            </w:r>
          </w:p>
        </w:tc>
        <w:tc>
          <w:tcPr>
            <w:tcW w:w="1855" w:type="dxa"/>
            <w:shd w:val="clear" w:color="auto" w:fill="4472C4"/>
            <w:vAlign w:val="center"/>
          </w:tcPr>
          <w:p w14:paraId="7EAEAAE2" w14:textId="77777777" w:rsidR="00990B14" w:rsidRDefault="00000000">
            <w:pPr>
              <w:keepNext/>
              <w:spacing w:before="20" w:after="20"/>
              <w:jc w:val="center"/>
            </w:pPr>
            <w:r>
              <w:rPr>
                <w:b/>
                <w:bCs/>
                <w:i/>
                <w:iCs/>
                <w:color w:val="FFFFFF"/>
                <w:sz w:val="18"/>
                <w:szCs w:val="18"/>
              </w:rPr>
              <w:t>Destacado (81–100)</w:t>
            </w:r>
          </w:p>
        </w:tc>
      </w:tr>
      <w:tr w:rsidR="00990B14" w14:paraId="0FDFDE4E" w14:textId="77777777">
        <w:trPr>
          <w:cantSplit/>
          <w:jc w:val="center"/>
        </w:trPr>
        <w:tc>
          <w:tcPr>
            <w:tcW w:w="1780" w:type="dxa"/>
            <w:vMerge/>
            <w:shd w:val="clear" w:color="auto" w:fill="4472C4"/>
            <w:vAlign w:val="center"/>
          </w:tcPr>
          <w:p w14:paraId="31C3F5FB" w14:textId="77777777" w:rsidR="00990B14" w:rsidRDefault="00990B14">
            <w:pPr>
              <w:spacing w:before="20" w:after="20"/>
            </w:pPr>
          </w:p>
        </w:tc>
        <w:tc>
          <w:tcPr>
            <w:tcW w:w="1825" w:type="dxa"/>
            <w:shd w:val="clear" w:color="auto" w:fill="D9E2F3"/>
            <w:vAlign w:val="center"/>
          </w:tcPr>
          <w:p w14:paraId="45C077F3" w14:textId="77777777" w:rsidR="00990B14" w:rsidRDefault="00000000">
            <w:pPr>
              <w:spacing w:before="20" w:after="20"/>
              <w:jc w:val="both"/>
            </w:pPr>
            <w:r>
              <w:rPr>
                <w:sz w:val="18"/>
                <w:szCs w:val="18"/>
              </w:rPr>
              <w:t>Fase de investigación</w:t>
            </w:r>
          </w:p>
        </w:tc>
        <w:tc>
          <w:tcPr>
            <w:tcW w:w="1825" w:type="dxa"/>
            <w:shd w:val="clear" w:color="auto" w:fill="D9E2F3"/>
            <w:vAlign w:val="center"/>
          </w:tcPr>
          <w:p w14:paraId="03C66FFC" w14:textId="77777777" w:rsidR="00990B14" w:rsidRDefault="00000000">
            <w:pPr>
              <w:spacing w:before="20" w:after="20"/>
              <w:jc w:val="both"/>
            </w:pPr>
            <w:r>
              <w:rPr>
                <w:sz w:val="18"/>
                <w:szCs w:val="18"/>
              </w:rPr>
              <w:t>Activa desembolsos de investigación.</w:t>
            </w:r>
          </w:p>
        </w:tc>
        <w:tc>
          <w:tcPr>
            <w:tcW w:w="2120" w:type="dxa"/>
            <w:shd w:val="clear" w:color="auto" w:fill="D9E2F3"/>
            <w:vAlign w:val="center"/>
          </w:tcPr>
          <w:p w14:paraId="6EC2CDB1" w14:textId="77777777" w:rsidR="00990B14" w:rsidRDefault="00000000">
            <w:pPr>
              <w:spacing w:before="20" w:after="20"/>
              <w:jc w:val="both"/>
            </w:pPr>
            <w:r>
              <w:rPr>
                <w:sz w:val="18"/>
                <w:szCs w:val="18"/>
              </w:rPr>
              <w:t>Lleva a gasto la fase de investigación.</w:t>
            </w:r>
          </w:p>
        </w:tc>
        <w:tc>
          <w:tcPr>
            <w:tcW w:w="1855" w:type="dxa"/>
            <w:shd w:val="clear" w:color="auto" w:fill="D9E2F3"/>
            <w:vAlign w:val="center"/>
          </w:tcPr>
          <w:p w14:paraId="4259F384" w14:textId="77777777" w:rsidR="00990B14" w:rsidRDefault="00000000">
            <w:pPr>
              <w:spacing w:before="20" w:after="20"/>
              <w:jc w:val="both"/>
            </w:pPr>
            <w:r>
              <w:rPr>
                <w:sz w:val="18"/>
                <w:szCs w:val="18"/>
              </w:rPr>
              <w:t>Explica el fundamento de este tratamiento.</w:t>
            </w:r>
          </w:p>
        </w:tc>
      </w:tr>
      <w:tr w:rsidR="00990B14" w14:paraId="0BF39E73" w14:textId="77777777">
        <w:trPr>
          <w:cantSplit/>
          <w:jc w:val="center"/>
        </w:trPr>
        <w:tc>
          <w:tcPr>
            <w:tcW w:w="1780" w:type="dxa"/>
            <w:vMerge/>
            <w:shd w:val="clear" w:color="auto" w:fill="4472C4"/>
            <w:vAlign w:val="center"/>
          </w:tcPr>
          <w:p w14:paraId="1A601787" w14:textId="77777777" w:rsidR="00990B14" w:rsidRDefault="00990B14">
            <w:pPr>
              <w:spacing w:before="20" w:after="20"/>
            </w:pPr>
          </w:p>
        </w:tc>
        <w:tc>
          <w:tcPr>
            <w:tcW w:w="1825" w:type="dxa"/>
            <w:shd w:val="clear" w:color="auto" w:fill="D9E2F3"/>
            <w:vAlign w:val="center"/>
          </w:tcPr>
          <w:p w14:paraId="73734A91" w14:textId="77777777" w:rsidR="00990B14" w:rsidRDefault="00000000">
            <w:pPr>
              <w:spacing w:before="20" w:after="20"/>
              <w:jc w:val="both"/>
            </w:pPr>
            <w:r>
              <w:rPr>
                <w:sz w:val="18"/>
                <w:szCs w:val="18"/>
              </w:rPr>
              <w:t>Fase de desarrollo</w:t>
            </w:r>
          </w:p>
        </w:tc>
        <w:tc>
          <w:tcPr>
            <w:tcW w:w="1825" w:type="dxa"/>
            <w:shd w:val="clear" w:color="auto" w:fill="D9E2F3"/>
            <w:vAlign w:val="center"/>
          </w:tcPr>
          <w:p w14:paraId="2900832E" w14:textId="77777777" w:rsidR="00990B14" w:rsidRDefault="00000000">
            <w:pPr>
              <w:spacing w:before="20" w:after="20"/>
              <w:jc w:val="both"/>
            </w:pPr>
            <w:r>
              <w:rPr>
                <w:sz w:val="18"/>
                <w:szCs w:val="18"/>
              </w:rPr>
              <w:t>No verifica los requisitos de activación.</w:t>
            </w:r>
          </w:p>
        </w:tc>
        <w:tc>
          <w:tcPr>
            <w:tcW w:w="2120" w:type="dxa"/>
            <w:shd w:val="clear" w:color="auto" w:fill="D9E2F3"/>
            <w:vAlign w:val="center"/>
          </w:tcPr>
          <w:p w14:paraId="13B541C6" w14:textId="77777777" w:rsidR="00990B14" w:rsidRDefault="00000000">
            <w:pPr>
              <w:spacing w:before="20" w:after="20"/>
              <w:jc w:val="both"/>
            </w:pPr>
            <w:r>
              <w:rPr>
                <w:sz w:val="18"/>
                <w:szCs w:val="18"/>
              </w:rPr>
              <w:t>Activa los desembolsos que cumplen los requisitos.</w:t>
            </w:r>
          </w:p>
        </w:tc>
        <w:tc>
          <w:tcPr>
            <w:tcW w:w="1855" w:type="dxa"/>
            <w:shd w:val="clear" w:color="auto" w:fill="D9E2F3"/>
            <w:vAlign w:val="center"/>
          </w:tcPr>
          <w:p w14:paraId="2BA8F60A" w14:textId="77777777" w:rsidR="00990B14" w:rsidRDefault="00000000">
            <w:pPr>
              <w:spacing w:before="20" w:after="20"/>
              <w:jc w:val="both"/>
            </w:pPr>
            <w:r>
              <w:rPr>
                <w:sz w:val="18"/>
                <w:szCs w:val="18"/>
              </w:rPr>
              <w:t>Documenta el cumplimiento de cada requisito.</w:t>
            </w:r>
          </w:p>
        </w:tc>
      </w:tr>
      <w:tr w:rsidR="00990B14" w14:paraId="047C8F7A" w14:textId="77777777">
        <w:trPr>
          <w:cantSplit/>
          <w:jc w:val="center"/>
        </w:trPr>
        <w:tc>
          <w:tcPr>
            <w:tcW w:w="1780" w:type="dxa"/>
            <w:vMerge/>
            <w:shd w:val="clear" w:color="auto" w:fill="4472C4"/>
            <w:vAlign w:val="center"/>
          </w:tcPr>
          <w:p w14:paraId="1C1259D4" w14:textId="77777777" w:rsidR="00990B14" w:rsidRDefault="00990B14">
            <w:pPr>
              <w:spacing w:before="20" w:after="20"/>
            </w:pPr>
          </w:p>
        </w:tc>
        <w:tc>
          <w:tcPr>
            <w:tcW w:w="1825" w:type="dxa"/>
            <w:shd w:val="clear" w:color="auto" w:fill="D9E2F3"/>
            <w:vAlign w:val="center"/>
          </w:tcPr>
          <w:p w14:paraId="070CC866" w14:textId="77777777" w:rsidR="00990B14" w:rsidRDefault="00000000">
            <w:pPr>
              <w:spacing w:before="20" w:after="20"/>
              <w:jc w:val="both"/>
            </w:pPr>
            <w:r>
              <w:rPr>
                <w:sz w:val="18"/>
                <w:szCs w:val="18"/>
              </w:rPr>
              <w:t>Trabajo en equipo</w:t>
            </w:r>
          </w:p>
        </w:tc>
        <w:tc>
          <w:tcPr>
            <w:tcW w:w="1825" w:type="dxa"/>
            <w:shd w:val="clear" w:color="auto" w:fill="D9E2F3"/>
            <w:vAlign w:val="center"/>
          </w:tcPr>
          <w:p w14:paraId="1070B53E" w14:textId="77777777" w:rsidR="00990B14" w:rsidRDefault="00000000">
            <w:pPr>
              <w:spacing w:before="20" w:after="20"/>
              <w:jc w:val="both"/>
            </w:pPr>
            <w:r>
              <w:rPr>
                <w:sz w:val="18"/>
                <w:szCs w:val="18"/>
              </w:rPr>
              <w:t>La participación es desigual.</w:t>
            </w:r>
          </w:p>
        </w:tc>
        <w:tc>
          <w:tcPr>
            <w:tcW w:w="2120" w:type="dxa"/>
            <w:shd w:val="clear" w:color="auto" w:fill="D9E2F3"/>
            <w:vAlign w:val="center"/>
          </w:tcPr>
          <w:p w14:paraId="4EE5CA3D" w14:textId="77777777" w:rsidR="00990B14" w:rsidRDefault="00000000">
            <w:pPr>
              <w:spacing w:before="20" w:after="20"/>
              <w:jc w:val="both"/>
            </w:pPr>
            <w:r>
              <w:rPr>
                <w:sz w:val="18"/>
                <w:szCs w:val="18"/>
              </w:rPr>
              <w:t>Todos los integrantes participan.</w:t>
            </w:r>
          </w:p>
        </w:tc>
        <w:tc>
          <w:tcPr>
            <w:tcW w:w="1855" w:type="dxa"/>
            <w:shd w:val="clear" w:color="auto" w:fill="D9E2F3"/>
            <w:vAlign w:val="center"/>
          </w:tcPr>
          <w:p w14:paraId="608C6145" w14:textId="77777777" w:rsidR="00990B14" w:rsidRDefault="00000000">
            <w:pPr>
              <w:spacing w:before="20" w:after="20"/>
              <w:jc w:val="both"/>
            </w:pPr>
            <w:r>
              <w:rPr>
                <w:sz w:val="18"/>
                <w:szCs w:val="18"/>
              </w:rPr>
              <w:t>El equipo sustenta su análisis ante el curso.</w:t>
            </w:r>
          </w:p>
        </w:tc>
      </w:tr>
      <w:tr w:rsidR="00990B14" w14:paraId="649B466A" w14:textId="77777777">
        <w:trPr>
          <w:cantSplit/>
          <w:jc w:val="center"/>
        </w:trPr>
        <w:tc>
          <w:tcPr>
            <w:tcW w:w="1780" w:type="dxa"/>
            <w:vMerge/>
            <w:shd w:val="clear" w:color="auto" w:fill="4472C4"/>
            <w:vAlign w:val="center"/>
          </w:tcPr>
          <w:p w14:paraId="3998F504" w14:textId="77777777" w:rsidR="00990B14" w:rsidRDefault="00990B14">
            <w:pPr>
              <w:spacing w:before="20" w:after="20"/>
            </w:pPr>
          </w:p>
        </w:tc>
        <w:tc>
          <w:tcPr>
            <w:tcW w:w="5770" w:type="dxa"/>
            <w:gridSpan w:val="3"/>
            <w:shd w:val="clear" w:color="auto" w:fill="D9E2F3"/>
            <w:vAlign w:val="center"/>
          </w:tcPr>
          <w:p w14:paraId="3BFC6F0C" w14:textId="77777777" w:rsidR="00990B14" w:rsidRDefault="00000000">
            <w:pPr>
              <w:keepNext/>
              <w:spacing w:before="20" w:after="20"/>
              <w:jc w:val="both"/>
            </w:pPr>
            <w:r>
              <w:rPr>
                <w:b/>
                <w:bCs/>
                <w:i/>
                <w:iCs/>
                <w:sz w:val="18"/>
                <w:szCs w:val="18"/>
              </w:rPr>
              <w:t xml:space="preserve">Producto 23: </w:t>
            </w:r>
            <w:r>
              <w:rPr>
                <w:sz w:val="18"/>
                <w:szCs w:val="18"/>
              </w:rPr>
              <w:t>Libro diario de intangibles</w:t>
            </w:r>
          </w:p>
        </w:tc>
        <w:tc>
          <w:tcPr>
            <w:tcW w:w="1855" w:type="dxa"/>
            <w:shd w:val="clear" w:color="auto" w:fill="D9E2F3"/>
            <w:vAlign w:val="center"/>
          </w:tcPr>
          <w:p w14:paraId="5E3CFBF8" w14:textId="77777777" w:rsidR="00990B14" w:rsidRDefault="00000000">
            <w:pPr>
              <w:spacing w:before="20" w:after="20"/>
              <w:jc w:val="center"/>
            </w:pPr>
            <w:r>
              <w:rPr>
                <w:b/>
                <w:bCs/>
                <w:sz w:val="18"/>
                <w:szCs w:val="18"/>
              </w:rPr>
              <w:t>1%</w:t>
            </w:r>
          </w:p>
        </w:tc>
      </w:tr>
      <w:tr w:rsidR="00990B14" w14:paraId="039B59C0" w14:textId="77777777">
        <w:trPr>
          <w:cantSplit/>
          <w:jc w:val="center"/>
        </w:trPr>
        <w:tc>
          <w:tcPr>
            <w:tcW w:w="1780" w:type="dxa"/>
            <w:vMerge/>
            <w:shd w:val="clear" w:color="auto" w:fill="4472C4"/>
            <w:vAlign w:val="center"/>
          </w:tcPr>
          <w:p w14:paraId="33E92ADF" w14:textId="77777777" w:rsidR="00990B14" w:rsidRDefault="00990B14">
            <w:pPr>
              <w:spacing w:before="20" w:after="20"/>
            </w:pPr>
          </w:p>
        </w:tc>
        <w:tc>
          <w:tcPr>
            <w:tcW w:w="1825" w:type="dxa"/>
            <w:shd w:val="clear" w:color="auto" w:fill="4472C4"/>
            <w:vAlign w:val="center"/>
          </w:tcPr>
          <w:p w14:paraId="131E891A" w14:textId="77777777" w:rsidR="00990B14" w:rsidRDefault="00000000">
            <w:pPr>
              <w:keepNext/>
              <w:spacing w:before="20" w:after="20"/>
              <w:jc w:val="center"/>
            </w:pPr>
            <w:r>
              <w:rPr>
                <w:b/>
                <w:bCs/>
                <w:i/>
                <w:iCs/>
                <w:color w:val="FFFFFF"/>
                <w:sz w:val="18"/>
                <w:szCs w:val="18"/>
              </w:rPr>
              <w:t>Criterio</w:t>
            </w:r>
          </w:p>
        </w:tc>
        <w:tc>
          <w:tcPr>
            <w:tcW w:w="1825" w:type="dxa"/>
            <w:shd w:val="clear" w:color="auto" w:fill="4472C4"/>
            <w:vAlign w:val="center"/>
          </w:tcPr>
          <w:p w14:paraId="157E66FE" w14:textId="77777777" w:rsidR="00990B14" w:rsidRDefault="00000000">
            <w:pPr>
              <w:keepNext/>
              <w:spacing w:before="20" w:after="20"/>
              <w:jc w:val="center"/>
            </w:pPr>
            <w:r>
              <w:rPr>
                <w:b/>
                <w:bCs/>
                <w:i/>
                <w:iCs/>
                <w:color w:val="FFFFFF"/>
                <w:sz w:val="18"/>
                <w:szCs w:val="18"/>
              </w:rPr>
              <w:t>Insuficiente (1–50)</w:t>
            </w:r>
          </w:p>
        </w:tc>
        <w:tc>
          <w:tcPr>
            <w:tcW w:w="2120" w:type="dxa"/>
            <w:shd w:val="clear" w:color="auto" w:fill="4472C4"/>
            <w:vAlign w:val="center"/>
          </w:tcPr>
          <w:p w14:paraId="2D41C8C2" w14:textId="77777777" w:rsidR="00990B14" w:rsidRDefault="00000000">
            <w:pPr>
              <w:keepNext/>
              <w:spacing w:before="20" w:after="20"/>
              <w:jc w:val="center"/>
            </w:pPr>
            <w:r>
              <w:rPr>
                <w:b/>
                <w:bCs/>
                <w:i/>
                <w:iCs/>
                <w:color w:val="FFFFFF"/>
                <w:sz w:val="18"/>
                <w:szCs w:val="18"/>
              </w:rPr>
              <w:t>Suficiente (51–80)</w:t>
            </w:r>
          </w:p>
        </w:tc>
        <w:tc>
          <w:tcPr>
            <w:tcW w:w="1855" w:type="dxa"/>
            <w:shd w:val="clear" w:color="auto" w:fill="4472C4"/>
            <w:vAlign w:val="center"/>
          </w:tcPr>
          <w:p w14:paraId="4FBF93F1" w14:textId="77777777" w:rsidR="00990B14" w:rsidRDefault="00000000">
            <w:pPr>
              <w:keepNext/>
              <w:spacing w:before="20" w:after="20"/>
              <w:jc w:val="center"/>
            </w:pPr>
            <w:r>
              <w:rPr>
                <w:b/>
                <w:bCs/>
                <w:i/>
                <w:iCs/>
                <w:color w:val="FFFFFF"/>
                <w:sz w:val="18"/>
                <w:szCs w:val="18"/>
              </w:rPr>
              <w:t>Destacado (81–100)</w:t>
            </w:r>
          </w:p>
        </w:tc>
      </w:tr>
      <w:tr w:rsidR="00990B14" w14:paraId="30F00661" w14:textId="77777777">
        <w:trPr>
          <w:cantSplit/>
          <w:jc w:val="center"/>
        </w:trPr>
        <w:tc>
          <w:tcPr>
            <w:tcW w:w="1780" w:type="dxa"/>
            <w:vMerge/>
            <w:shd w:val="clear" w:color="auto" w:fill="4472C4"/>
            <w:vAlign w:val="center"/>
          </w:tcPr>
          <w:p w14:paraId="79CEBC04" w14:textId="77777777" w:rsidR="00990B14" w:rsidRDefault="00990B14">
            <w:pPr>
              <w:spacing w:before="20" w:after="20"/>
            </w:pPr>
          </w:p>
        </w:tc>
        <w:tc>
          <w:tcPr>
            <w:tcW w:w="1825" w:type="dxa"/>
            <w:shd w:val="clear" w:color="auto" w:fill="D9E2F3"/>
            <w:vAlign w:val="center"/>
          </w:tcPr>
          <w:p w14:paraId="0B0FD82C" w14:textId="77777777" w:rsidR="00990B14" w:rsidRDefault="00000000">
            <w:pPr>
              <w:spacing w:before="20" w:after="20"/>
              <w:jc w:val="both"/>
            </w:pPr>
            <w:r>
              <w:rPr>
                <w:sz w:val="18"/>
                <w:szCs w:val="18"/>
              </w:rPr>
              <w:t>Costo de adquisición</w:t>
            </w:r>
          </w:p>
        </w:tc>
        <w:tc>
          <w:tcPr>
            <w:tcW w:w="1825" w:type="dxa"/>
            <w:shd w:val="clear" w:color="auto" w:fill="D9E2F3"/>
            <w:vAlign w:val="center"/>
          </w:tcPr>
          <w:p w14:paraId="79E4C70E" w14:textId="77777777" w:rsidR="00990B14" w:rsidRDefault="00000000">
            <w:pPr>
              <w:spacing w:before="20" w:after="20"/>
              <w:jc w:val="both"/>
            </w:pPr>
            <w:r>
              <w:rPr>
                <w:sz w:val="18"/>
                <w:szCs w:val="18"/>
              </w:rPr>
              <w:t>Omite costos atribuibles.</w:t>
            </w:r>
          </w:p>
        </w:tc>
        <w:tc>
          <w:tcPr>
            <w:tcW w:w="2120" w:type="dxa"/>
            <w:shd w:val="clear" w:color="auto" w:fill="D9E2F3"/>
            <w:vAlign w:val="center"/>
          </w:tcPr>
          <w:p w14:paraId="58B55155" w14:textId="77777777" w:rsidR="00990B14" w:rsidRDefault="00000000">
            <w:pPr>
              <w:spacing w:before="20" w:after="20"/>
              <w:jc w:val="both"/>
            </w:pPr>
            <w:r>
              <w:rPr>
                <w:sz w:val="18"/>
                <w:szCs w:val="18"/>
              </w:rPr>
              <w:t>Determina el costo inicial de cada intangible.</w:t>
            </w:r>
          </w:p>
        </w:tc>
        <w:tc>
          <w:tcPr>
            <w:tcW w:w="1855" w:type="dxa"/>
            <w:shd w:val="clear" w:color="auto" w:fill="D9E2F3"/>
            <w:vAlign w:val="center"/>
          </w:tcPr>
          <w:p w14:paraId="3EFDFD6D" w14:textId="77777777" w:rsidR="00990B14" w:rsidRDefault="00000000">
            <w:pPr>
              <w:spacing w:before="20" w:after="20"/>
              <w:jc w:val="both"/>
            </w:pPr>
            <w:r>
              <w:rPr>
                <w:sz w:val="18"/>
                <w:szCs w:val="18"/>
              </w:rPr>
              <w:t>Distingue los costos atribuibles de los gastos.</w:t>
            </w:r>
          </w:p>
        </w:tc>
      </w:tr>
      <w:tr w:rsidR="00990B14" w14:paraId="59388264" w14:textId="77777777">
        <w:trPr>
          <w:cantSplit/>
          <w:jc w:val="center"/>
        </w:trPr>
        <w:tc>
          <w:tcPr>
            <w:tcW w:w="1780" w:type="dxa"/>
            <w:vMerge/>
            <w:shd w:val="clear" w:color="auto" w:fill="4472C4"/>
            <w:vAlign w:val="center"/>
          </w:tcPr>
          <w:p w14:paraId="03319188" w14:textId="77777777" w:rsidR="00990B14" w:rsidRDefault="00990B14">
            <w:pPr>
              <w:spacing w:before="20" w:after="20"/>
            </w:pPr>
          </w:p>
        </w:tc>
        <w:tc>
          <w:tcPr>
            <w:tcW w:w="1825" w:type="dxa"/>
            <w:shd w:val="clear" w:color="auto" w:fill="D9E2F3"/>
            <w:vAlign w:val="center"/>
          </w:tcPr>
          <w:p w14:paraId="1FA8BD2A" w14:textId="77777777" w:rsidR="00990B14" w:rsidRDefault="00000000">
            <w:pPr>
              <w:spacing w:before="20" w:after="20"/>
              <w:jc w:val="both"/>
            </w:pPr>
            <w:r>
              <w:rPr>
                <w:sz w:val="18"/>
                <w:szCs w:val="18"/>
              </w:rPr>
              <w:t>Asientos</w:t>
            </w:r>
          </w:p>
        </w:tc>
        <w:tc>
          <w:tcPr>
            <w:tcW w:w="1825" w:type="dxa"/>
            <w:shd w:val="clear" w:color="auto" w:fill="D9E2F3"/>
            <w:vAlign w:val="center"/>
          </w:tcPr>
          <w:p w14:paraId="276DB4ED" w14:textId="77777777" w:rsidR="00990B14" w:rsidRDefault="00000000">
            <w:pPr>
              <w:spacing w:before="20" w:after="20"/>
              <w:jc w:val="both"/>
            </w:pPr>
            <w:r>
              <w:rPr>
                <w:sz w:val="18"/>
                <w:szCs w:val="18"/>
              </w:rPr>
              <w:t>Usa cuentas que no corresponden.</w:t>
            </w:r>
          </w:p>
        </w:tc>
        <w:tc>
          <w:tcPr>
            <w:tcW w:w="2120" w:type="dxa"/>
            <w:shd w:val="clear" w:color="auto" w:fill="D9E2F3"/>
            <w:vAlign w:val="center"/>
          </w:tcPr>
          <w:p w14:paraId="36C2A936" w14:textId="77777777" w:rsidR="00990B14" w:rsidRDefault="00000000">
            <w:pPr>
              <w:spacing w:before="20" w:after="20"/>
              <w:jc w:val="both"/>
            </w:pPr>
            <w:r>
              <w:rPr>
                <w:sz w:val="18"/>
                <w:szCs w:val="18"/>
              </w:rPr>
              <w:t>Registra la compra y la amortización.</w:t>
            </w:r>
          </w:p>
        </w:tc>
        <w:tc>
          <w:tcPr>
            <w:tcW w:w="1855" w:type="dxa"/>
            <w:shd w:val="clear" w:color="auto" w:fill="D9E2F3"/>
            <w:vAlign w:val="center"/>
          </w:tcPr>
          <w:p w14:paraId="64E25089" w14:textId="77777777" w:rsidR="00990B14" w:rsidRDefault="00000000">
            <w:pPr>
              <w:spacing w:before="20" w:after="20"/>
              <w:jc w:val="both"/>
            </w:pPr>
            <w:r>
              <w:rPr>
                <w:sz w:val="18"/>
                <w:szCs w:val="18"/>
              </w:rPr>
              <w:t>Explica la naturaleza de cada cuenta.</w:t>
            </w:r>
          </w:p>
        </w:tc>
      </w:tr>
      <w:tr w:rsidR="00990B14" w14:paraId="46D90314" w14:textId="77777777">
        <w:trPr>
          <w:cantSplit/>
          <w:jc w:val="center"/>
        </w:trPr>
        <w:tc>
          <w:tcPr>
            <w:tcW w:w="1780" w:type="dxa"/>
            <w:vMerge/>
            <w:shd w:val="clear" w:color="auto" w:fill="4472C4"/>
            <w:vAlign w:val="center"/>
          </w:tcPr>
          <w:p w14:paraId="67EF225F" w14:textId="77777777" w:rsidR="00990B14" w:rsidRDefault="00990B14">
            <w:pPr>
              <w:spacing w:before="20" w:after="20"/>
            </w:pPr>
          </w:p>
        </w:tc>
        <w:tc>
          <w:tcPr>
            <w:tcW w:w="1825" w:type="dxa"/>
            <w:shd w:val="clear" w:color="auto" w:fill="D9E2F3"/>
            <w:vAlign w:val="center"/>
          </w:tcPr>
          <w:p w14:paraId="5C0693DE" w14:textId="77777777" w:rsidR="00990B14" w:rsidRDefault="00000000">
            <w:pPr>
              <w:spacing w:before="20" w:after="20"/>
              <w:jc w:val="both"/>
            </w:pPr>
            <w:r>
              <w:rPr>
                <w:sz w:val="18"/>
                <w:szCs w:val="18"/>
              </w:rPr>
              <w:t>Intangibles de vida ilimitada</w:t>
            </w:r>
          </w:p>
        </w:tc>
        <w:tc>
          <w:tcPr>
            <w:tcW w:w="1825" w:type="dxa"/>
            <w:shd w:val="clear" w:color="auto" w:fill="D9E2F3"/>
            <w:vAlign w:val="center"/>
          </w:tcPr>
          <w:p w14:paraId="03638112" w14:textId="77777777" w:rsidR="00990B14" w:rsidRDefault="00000000">
            <w:pPr>
              <w:spacing w:before="20" w:after="20"/>
              <w:jc w:val="both"/>
            </w:pPr>
            <w:r>
              <w:rPr>
                <w:sz w:val="18"/>
                <w:szCs w:val="18"/>
              </w:rPr>
              <w:t>Amortiza un intangible de vida ilimitada.</w:t>
            </w:r>
          </w:p>
        </w:tc>
        <w:tc>
          <w:tcPr>
            <w:tcW w:w="2120" w:type="dxa"/>
            <w:shd w:val="clear" w:color="auto" w:fill="D9E2F3"/>
            <w:vAlign w:val="center"/>
          </w:tcPr>
          <w:p w14:paraId="1B5B45B7" w14:textId="77777777" w:rsidR="00990B14" w:rsidRDefault="00000000">
            <w:pPr>
              <w:spacing w:before="20" w:after="20"/>
              <w:jc w:val="both"/>
            </w:pPr>
            <w:r>
              <w:rPr>
                <w:sz w:val="18"/>
                <w:szCs w:val="18"/>
              </w:rPr>
              <w:t>No amortiza y revisa su deterioro.</w:t>
            </w:r>
          </w:p>
        </w:tc>
        <w:tc>
          <w:tcPr>
            <w:tcW w:w="1855" w:type="dxa"/>
            <w:shd w:val="clear" w:color="auto" w:fill="D9E2F3"/>
            <w:vAlign w:val="center"/>
          </w:tcPr>
          <w:p w14:paraId="178E3D79" w14:textId="77777777" w:rsidR="00990B14" w:rsidRDefault="00000000">
            <w:pPr>
              <w:spacing w:before="20" w:after="20"/>
              <w:jc w:val="both"/>
            </w:pPr>
            <w:r>
              <w:rPr>
                <w:sz w:val="18"/>
                <w:szCs w:val="18"/>
              </w:rPr>
              <w:t>Justifica la revisión anual de su vida útil.</w:t>
            </w:r>
          </w:p>
        </w:tc>
      </w:tr>
      <w:tr w:rsidR="00990B14" w14:paraId="4E2ED932" w14:textId="77777777">
        <w:trPr>
          <w:cantSplit/>
          <w:jc w:val="center"/>
        </w:trPr>
        <w:tc>
          <w:tcPr>
            <w:tcW w:w="1780" w:type="dxa"/>
            <w:vMerge/>
            <w:shd w:val="clear" w:color="auto" w:fill="4472C4"/>
            <w:vAlign w:val="center"/>
          </w:tcPr>
          <w:p w14:paraId="0E57F1FB" w14:textId="77777777" w:rsidR="00990B14" w:rsidRDefault="00990B14">
            <w:pPr>
              <w:spacing w:before="20" w:after="20"/>
            </w:pPr>
          </w:p>
        </w:tc>
        <w:tc>
          <w:tcPr>
            <w:tcW w:w="5770" w:type="dxa"/>
            <w:gridSpan w:val="3"/>
            <w:shd w:val="clear" w:color="auto" w:fill="D9E2F3"/>
            <w:vAlign w:val="center"/>
          </w:tcPr>
          <w:p w14:paraId="5EEAEA3F" w14:textId="77777777" w:rsidR="00990B14" w:rsidRDefault="00000000">
            <w:pPr>
              <w:keepNext/>
              <w:spacing w:before="20" w:after="20"/>
              <w:jc w:val="both"/>
            </w:pPr>
            <w:r>
              <w:rPr>
                <w:b/>
                <w:bCs/>
                <w:i/>
                <w:iCs/>
                <w:sz w:val="18"/>
                <w:szCs w:val="18"/>
              </w:rPr>
              <w:t xml:space="preserve">Producto 24: </w:t>
            </w:r>
            <w:r>
              <w:rPr>
                <w:sz w:val="18"/>
                <w:szCs w:val="18"/>
              </w:rPr>
              <w:t>Tabla de amortización de intangibles</w:t>
            </w:r>
          </w:p>
        </w:tc>
        <w:tc>
          <w:tcPr>
            <w:tcW w:w="1855" w:type="dxa"/>
            <w:shd w:val="clear" w:color="auto" w:fill="D9E2F3"/>
            <w:vAlign w:val="center"/>
          </w:tcPr>
          <w:p w14:paraId="75295856" w14:textId="77777777" w:rsidR="00990B14" w:rsidRDefault="00000000">
            <w:pPr>
              <w:spacing w:before="20" w:after="20"/>
              <w:jc w:val="center"/>
            </w:pPr>
            <w:r>
              <w:rPr>
                <w:b/>
                <w:bCs/>
                <w:sz w:val="18"/>
                <w:szCs w:val="18"/>
              </w:rPr>
              <w:t>1%</w:t>
            </w:r>
          </w:p>
        </w:tc>
      </w:tr>
      <w:tr w:rsidR="00990B14" w14:paraId="16E4D4A7" w14:textId="77777777">
        <w:trPr>
          <w:cantSplit/>
          <w:jc w:val="center"/>
        </w:trPr>
        <w:tc>
          <w:tcPr>
            <w:tcW w:w="1780" w:type="dxa"/>
            <w:vMerge/>
            <w:shd w:val="clear" w:color="auto" w:fill="4472C4"/>
            <w:vAlign w:val="center"/>
          </w:tcPr>
          <w:p w14:paraId="764F3A0A" w14:textId="77777777" w:rsidR="00990B14" w:rsidRDefault="00990B14">
            <w:pPr>
              <w:spacing w:before="20" w:after="20"/>
            </w:pPr>
          </w:p>
        </w:tc>
        <w:tc>
          <w:tcPr>
            <w:tcW w:w="1825" w:type="dxa"/>
            <w:shd w:val="clear" w:color="auto" w:fill="4472C4"/>
            <w:vAlign w:val="center"/>
          </w:tcPr>
          <w:p w14:paraId="58727A88" w14:textId="77777777" w:rsidR="00990B14" w:rsidRDefault="00000000">
            <w:pPr>
              <w:keepNext/>
              <w:spacing w:before="20" w:after="20"/>
              <w:jc w:val="center"/>
            </w:pPr>
            <w:r>
              <w:rPr>
                <w:b/>
                <w:bCs/>
                <w:i/>
                <w:iCs/>
                <w:color w:val="FFFFFF"/>
                <w:sz w:val="18"/>
                <w:szCs w:val="18"/>
              </w:rPr>
              <w:t>Criterio</w:t>
            </w:r>
          </w:p>
        </w:tc>
        <w:tc>
          <w:tcPr>
            <w:tcW w:w="1825" w:type="dxa"/>
            <w:shd w:val="clear" w:color="auto" w:fill="4472C4"/>
            <w:vAlign w:val="center"/>
          </w:tcPr>
          <w:p w14:paraId="3AD398A3" w14:textId="77777777" w:rsidR="00990B14" w:rsidRDefault="00000000">
            <w:pPr>
              <w:keepNext/>
              <w:spacing w:before="20" w:after="20"/>
              <w:jc w:val="center"/>
            </w:pPr>
            <w:r>
              <w:rPr>
                <w:b/>
                <w:bCs/>
                <w:i/>
                <w:iCs/>
                <w:color w:val="FFFFFF"/>
                <w:sz w:val="18"/>
                <w:szCs w:val="18"/>
              </w:rPr>
              <w:t>Insuficiente (1–50)</w:t>
            </w:r>
          </w:p>
        </w:tc>
        <w:tc>
          <w:tcPr>
            <w:tcW w:w="2120" w:type="dxa"/>
            <w:shd w:val="clear" w:color="auto" w:fill="4472C4"/>
            <w:vAlign w:val="center"/>
          </w:tcPr>
          <w:p w14:paraId="629367E6" w14:textId="77777777" w:rsidR="00990B14" w:rsidRDefault="00000000">
            <w:pPr>
              <w:keepNext/>
              <w:spacing w:before="20" w:after="20"/>
              <w:jc w:val="center"/>
            </w:pPr>
            <w:r>
              <w:rPr>
                <w:b/>
                <w:bCs/>
                <w:i/>
                <w:iCs/>
                <w:color w:val="FFFFFF"/>
                <w:sz w:val="18"/>
                <w:szCs w:val="18"/>
              </w:rPr>
              <w:t>Suficiente (51–80)</w:t>
            </w:r>
          </w:p>
        </w:tc>
        <w:tc>
          <w:tcPr>
            <w:tcW w:w="1855" w:type="dxa"/>
            <w:shd w:val="clear" w:color="auto" w:fill="4472C4"/>
            <w:vAlign w:val="center"/>
          </w:tcPr>
          <w:p w14:paraId="4C05D5B8" w14:textId="77777777" w:rsidR="00990B14" w:rsidRDefault="00000000">
            <w:pPr>
              <w:keepNext/>
              <w:spacing w:before="20" w:after="20"/>
              <w:jc w:val="center"/>
            </w:pPr>
            <w:r>
              <w:rPr>
                <w:b/>
                <w:bCs/>
                <w:i/>
                <w:iCs/>
                <w:color w:val="FFFFFF"/>
                <w:sz w:val="18"/>
                <w:szCs w:val="18"/>
              </w:rPr>
              <w:t>Destacado (81–100)</w:t>
            </w:r>
          </w:p>
        </w:tc>
      </w:tr>
      <w:tr w:rsidR="00990B14" w14:paraId="55BE1CB3" w14:textId="77777777">
        <w:trPr>
          <w:cantSplit/>
          <w:jc w:val="center"/>
        </w:trPr>
        <w:tc>
          <w:tcPr>
            <w:tcW w:w="1780" w:type="dxa"/>
            <w:vMerge/>
            <w:shd w:val="clear" w:color="auto" w:fill="4472C4"/>
            <w:vAlign w:val="center"/>
          </w:tcPr>
          <w:p w14:paraId="63BED838" w14:textId="77777777" w:rsidR="00990B14" w:rsidRDefault="00990B14">
            <w:pPr>
              <w:spacing w:before="20" w:after="20"/>
            </w:pPr>
          </w:p>
        </w:tc>
        <w:tc>
          <w:tcPr>
            <w:tcW w:w="1825" w:type="dxa"/>
            <w:shd w:val="clear" w:color="auto" w:fill="D9E2F3"/>
            <w:vAlign w:val="center"/>
          </w:tcPr>
          <w:p w14:paraId="2B79B61C" w14:textId="77777777" w:rsidR="00990B14" w:rsidRDefault="00000000">
            <w:pPr>
              <w:spacing w:before="20" w:after="20"/>
              <w:jc w:val="both"/>
            </w:pPr>
            <w:r>
              <w:rPr>
                <w:sz w:val="18"/>
                <w:szCs w:val="18"/>
              </w:rPr>
              <w:t>Vida útil y valor residual</w:t>
            </w:r>
          </w:p>
        </w:tc>
        <w:tc>
          <w:tcPr>
            <w:tcW w:w="1825" w:type="dxa"/>
            <w:shd w:val="clear" w:color="auto" w:fill="D9E2F3"/>
            <w:vAlign w:val="center"/>
          </w:tcPr>
          <w:p w14:paraId="774C1ADF" w14:textId="77777777" w:rsidR="00990B14" w:rsidRDefault="00000000">
            <w:pPr>
              <w:spacing w:before="20" w:after="20"/>
              <w:jc w:val="both"/>
            </w:pPr>
            <w:r>
              <w:rPr>
                <w:sz w:val="18"/>
                <w:szCs w:val="18"/>
              </w:rPr>
              <w:t>Usa una vida útil sin sustento.</w:t>
            </w:r>
          </w:p>
        </w:tc>
        <w:tc>
          <w:tcPr>
            <w:tcW w:w="2120" w:type="dxa"/>
            <w:shd w:val="clear" w:color="auto" w:fill="D9E2F3"/>
            <w:vAlign w:val="center"/>
          </w:tcPr>
          <w:p w14:paraId="3DAFE0E3" w14:textId="77777777" w:rsidR="00990B14" w:rsidRDefault="00000000">
            <w:pPr>
              <w:spacing w:before="20" w:after="20"/>
              <w:jc w:val="both"/>
            </w:pPr>
            <w:r>
              <w:rPr>
                <w:sz w:val="18"/>
                <w:szCs w:val="18"/>
              </w:rPr>
              <w:t>Aplica la vida útil y el valor residual definidos.</w:t>
            </w:r>
          </w:p>
        </w:tc>
        <w:tc>
          <w:tcPr>
            <w:tcW w:w="1855" w:type="dxa"/>
            <w:shd w:val="clear" w:color="auto" w:fill="D9E2F3"/>
            <w:vAlign w:val="center"/>
          </w:tcPr>
          <w:p w14:paraId="1F533251" w14:textId="77777777" w:rsidR="00990B14" w:rsidRDefault="00000000">
            <w:pPr>
              <w:spacing w:before="20" w:after="20"/>
              <w:jc w:val="both"/>
            </w:pPr>
            <w:r>
              <w:rPr>
                <w:sz w:val="18"/>
                <w:szCs w:val="18"/>
              </w:rPr>
              <w:t>Compara la vida útil contable con la tributaria.</w:t>
            </w:r>
          </w:p>
        </w:tc>
      </w:tr>
      <w:tr w:rsidR="00990B14" w14:paraId="4578B200" w14:textId="77777777">
        <w:trPr>
          <w:cantSplit/>
          <w:jc w:val="center"/>
        </w:trPr>
        <w:tc>
          <w:tcPr>
            <w:tcW w:w="1780" w:type="dxa"/>
            <w:vMerge/>
            <w:shd w:val="clear" w:color="auto" w:fill="4472C4"/>
            <w:vAlign w:val="center"/>
          </w:tcPr>
          <w:p w14:paraId="795FDF9B" w14:textId="77777777" w:rsidR="00990B14" w:rsidRDefault="00990B14">
            <w:pPr>
              <w:spacing w:before="20" w:after="20"/>
            </w:pPr>
          </w:p>
        </w:tc>
        <w:tc>
          <w:tcPr>
            <w:tcW w:w="1825" w:type="dxa"/>
            <w:shd w:val="clear" w:color="auto" w:fill="D9E2F3"/>
            <w:vAlign w:val="center"/>
          </w:tcPr>
          <w:p w14:paraId="6E1242AE" w14:textId="77777777" w:rsidR="00990B14" w:rsidRDefault="00000000">
            <w:pPr>
              <w:spacing w:before="20" w:after="20"/>
              <w:jc w:val="both"/>
            </w:pPr>
            <w:r>
              <w:rPr>
                <w:sz w:val="18"/>
                <w:szCs w:val="18"/>
              </w:rPr>
              <w:t>Cálculo</w:t>
            </w:r>
          </w:p>
        </w:tc>
        <w:tc>
          <w:tcPr>
            <w:tcW w:w="1825" w:type="dxa"/>
            <w:shd w:val="clear" w:color="auto" w:fill="D9E2F3"/>
            <w:vAlign w:val="center"/>
          </w:tcPr>
          <w:p w14:paraId="4D94F356" w14:textId="77777777" w:rsidR="00990B14" w:rsidRDefault="00000000">
            <w:pPr>
              <w:spacing w:before="20" w:after="20"/>
              <w:jc w:val="both"/>
            </w:pPr>
            <w:r>
              <w:rPr>
                <w:sz w:val="18"/>
                <w:szCs w:val="18"/>
              </w:rPr>
              <w:t>Calcula mal la cuota de amortización.</w:t>
            </w:r>
          </w:p>
        </w:tc>
        <w:tc>
          <w:tcPr>
            <w:tcW w:w="2120" w:type="dxa"/>
            <w:shd w:val="clear" w:color="auto" w:fill="D9E2F3"/>
            <w:vAlign w:val="center"/>
          </w:tcPr>
          <w:p w14:paraId="66481A42" w14:textId="77777777" w:rsidR="00990B14" w:rsidRDefault="00000000">
            <w:pPr>
              <w:spacing w:before="20" w:after="20"/>
              <w:jc w:val="both"/>
            </w:pPr>
            <w:r>
              <w:rPr>
                <w:sz w:val="18"/>
                <w:szCs w:val="18"/>
              </w:rPr>
              <w:t>Calcula la amortización de cada periodo.</w:t>
            </w:r>
          </w:p>
        </w:tc>
        <w:tc>
          <w:tcPr>
            <w:tcW w:w="1855" w:type="dxa"/>
            <w:shd w:val="clear" w:color="auto" w:fill="D9E2F3"/>
            <w:vAlign w:val="center"/>
          </w:tcPr>
          <w:p w14:paraId="77244504" w14:textId="77777777" w:rsidR="00990B14" w:rsidRDefault="00000000">
            <w:pPr>
              <w:spacing w:before="20" w:after="20"/>
              <w:jc w:val="both"/>
            </w:pPr>
            <w:r>
              <w:rPr>
                <w:sz w:val="18"/>
                <w:szCs w:val="18"/>
              </w:rPr>
              <w:t>Verifica el saldo final con el valor residual.</w:t>
            </w:r>
          </w:p>
        </w:tc>
      </w:tr>
      <w:tr w:rsidR="00990B14" w14:paraId="6EE404B1" w14:textId="77777777">
        <w:trPr>
          <w:cantSplit/>
          <w:jc w:val="center"/>
        </w:trPr>
        <w:tc>
          <w:tcPr>
            <w:tcW w:w="1780" w:type="dxa"/>
            <w:vMerge/>
            <w:shd w:val="clear" w:color="auto" w:fill="4472C4"/>
            <w:vAlign w:val="center"/>
          </w:tcPr>
          <w:p w14:paraId="4251741B" w14:textId="77777777" w:rsidR="00990B14" w:rsidRDefault="00990B14">
            <w:pPr>
              <w:spacing w:before="20" w:after="20"/>
            </w:pPr>
          </w:p>
        </w:tc>
        <w:tc>
          <w:tcPr>
            <w:tcW w:w="1825" w:type="dxa"/>
            <w:shd w:val="clear" w:color="auto" w:fill="D9E2F3"/>
            <w:vAlign w:val="center"/>
          </w:tcPr>
          <w:p w14:paraId="49DFFBEF" w14:textId="77777777" w:rsidR="00990B14" w:rsidRDefault="00000000">
            <w:pPr>
              <w:spacing w:before="20" w:after="20"/>
              <w:jc w:val="both"/>
            </w:pPr>
            <w:r>
              <w:rPr>
                <w:sz w:val="18"/>
                <w:szCs w:val="18"/>
              </w:rPr>
              <w:t>Uso de la hoja de cálculo</w:t>
            </w:r>
          </w:p>
        </w:tc>
        <w:tc>
          <w:tcPr>
            <w:tcW w:w="1825" w:type="dxa"/>
            <w:shd w:val="clear" w:color="auto" w:fill="D9E2F3"/>
            <w:vAlign w:val="center"/>
          </w:tcPr>
          <w:p w14:paraId="30D0EEA5" w14:textId="77777777" w:rsidR="00990B14" w:rsidRDefault="00000000">
            <w:pPr>
              <w:spacing w:before="20" w:after="20"/>
              <w:jc w:val="both"/>
            </w:pPr>
            <w:r>
              <w:rPr>
                <w:sz w:val="18"/>
                <w:szCs w:val="18"/>
              </w:rPr>
              <w:t>No usa fórmulas.</w:t>
            </w:r>
          </w:p>
        </w:tc>
        <w:tc>
          <w:tcPr>
            <w:tcW w:w="2120" w:type="dxa"/>
            <w:shd w:val="clear" w:color="auto" w:fill="D9E2F3"/>
            <w:vAlign w:val="center"/>
          </w:tcPr>
          <w:p w14:paraId="5A5FFC38" w14:textId="77777777" w:rsidR="00990B14" w:rsidRDefault="00000000">
            <w:pPr>
              <w:spacing w:before="20" w:after="20"/>
              <w:jc w:val="both"/>
            </w:pPr>
            <w:r>
              <w:rPr>
                <w:sz w:val="18"/>
                <w:szCs w:val="18"/>
              </w:rPr>
              <w:t>Usa fórmulas en la tabla.</w:t>
            </w:r>
          </w:p>
        </w:tc>
        <w:tc>
          <w:tcPr>
            <w:tcW w:w="1855" w:type="dxa"/>
            <w:shd w:val="clear" w:color="auto" w:fill="D9E2F3"/>
            <w:vAlign w:val="center"/>
          </w:tcPr>
          <w:p w14:paraId="2F5BC6BD" w14:textId="77777777" w:rsidR="00990B14" w:rsidRDefault="00000000">
            <w:pPr>
              <w:spacing w:before="20" w:after="20"/>
              <w:jc w:val="both"/>
            </w:pPr>
            <w:r>
              <w:rPr>
                <w:sz w:val="18"/>
                <w:szCs w:val="18"/>
              </w:rPr>
              <w:t>La tabla admite cambios de supuestos.</w:t>
            </w:r>
          </w:p>
        </w:tc>
      </w:tr>
      <w:tr w:rsidR="00990B14" w14:paraId="64A90AB5" w14:textId="77777777">
        <w:trPr>
          <w:cantSplit/>
          <w:jc w:val="center"/>
        </w:trPr>
        <w:tc>
          <w:tcPr>
            <w:tcW w:w="1780" w:type="dxa"/>
            <w:vMerge/>
            <w:shd w:val="clear" w:color="auto" w:fill="4472C4"/>
            <w:vAlign w:val="center"/>
          </w:tcPr>
          <w:p w14:paraId="3C94F7CE" w14:textId="77777777" w:rsidR="00990B14" w:rsidRDefault="00990B14">
            <w:pPr>
              <w:spacing w:before="20" w:after="20"/>
            </w:pPr>
          </w:p>
        </w:tc>
        <w:tc>
          <w:tcPr>
            <w:tcW w:w="5770" w:type="dxa"/>
            <w:gridSpan w:val="3"/>
            <w:shd w:val="clear" w:color="auto" w:fill="D9E2F3"/>
            <w:vAlign w:val="center"/>
          </w:tcPr>
          <w:p w14:paraId="39F37D44" w14:textId="77777777" w:rsidR="00990B14" w:rsidRDefault="00000000">
            <w:pPr>
              <w:keepNext/>
              <w:spacing w:before="20" w:after="20"/>
              <w:jc w:val="both"/>
            </w:pPr>
            <w:r>
              <w:rPr>
                <w:b/>
                <w:bCs/>
                <w:i/>
                <w:iCs/>
                <w:sz w:val="18"/>
                <w:szCs w:val="18"/>
              </w:rPr>
              <w:t xml:space="preserve">Producto 25: </w:t>
            </w:r>
            <w:r>
              <w:rPr>
                <w:sz w:val="18"/>
                <w:szCs w:val="18"/>
              </w:rPr>
              <w:t>Cuadro de obligaciones a corto plazo</w:t>
            </w:r>
          </w:p>
        </w:tc>
        <w:tc>
          <w:tcPr>
            <w:tcW w:w="1855" w:type="dxa"/>
            <w:shd w:val="clear" w:color="auto" w:fill="D9E2F3"/>
            <w:vAlign w:val="center"/>
          </w:tcPr>
          <w:p w14:paraId="4D1974F7" w14:textId="77777777" w:rsidR="00990B14" w:rsidRDefault="00000000">
            <w:pPr>
              <w:spacing w:before="20" w:after="20"/>
              <w:jc w:val="center"/>
            </w:pPr>
            <w:r>
              <w:rPr>
                <w:b/>
                <w:bCs/>
                <w:sz w:val="18"/>
                <w:szCs w:val="18"/>
              </w:rPr>
              <w:t>3%</w:t>
            </w:r>
          </w:p>
        </w:tc>
      </w:tr>
      <w:tr w:rsidR="00990B14" w14:paraId="22586259" w14:textId="77777777">
        <w:trPr>
          <w:cantSplit/>
          <w:jc w:val="center"/>
        </w:trPr>
        <w:tc>
          <w:tcPr>
            <w:tcW w:w="1780" w:type="dxa"/>
            <w:vMerge/>
            <w:shd w:val="clear" w:color="auto" w:fill="4472C4"/>
            <w:vAlign w:val="center"/>
          </w:tcPr>
          <w:p w14:paraId="440CBFEF" w14:textId="77777777" w:rsidR="00990B14" w:rsidRDefault="00990B14">
            <w:pPr>
              <w:spacing w:before="20" w:after="20"/>
            </w:pPr>
          </w:p>
        </w:tc>
        <w:tc>
          <w:tcPr>
            <w:tcW w:w="1825" w:type="dxa"/>
            <w:shd w:val="clear" w:color="auto" w:fill="4472C4"/>
            <w:vAlign w:val="center"/>
          </w:tcPr>
          <w:p w14:paraId="382C092B" w14:textId="77777777" w:rsidR="00990B14" w:rsidRDefault="00000000">
            <w:pPr>
              <w:keepNext/>
              <w:spacing w:before="20" w:after="20"/>
              <w:jc w:val="center"/>
            </w:pPr>
            <w:r>
              <w:rPr>
                <w:b/>
                <w:bCs/>
                <w:i/>
                <w:iCs/>
                <w:color w:val="FFFFFF"/>
                <w:sz w:val="18"/>
                <w:szCs w:val="18"/>
              </w:rPr>
              <w:t>Criterio</w:t>
            </w:r>
          </w:p>
        </w:tc>
        <w:tc>
          <w:tcPr>
            <w:tcW w:w="1825" w:type="dxa"/>
            <w:shd w:val="clear" w:color="auto" w:fill="4472C4"/>
            <w:vAlign w:val="center"/>
          </w:tcPr>
          <w:p w14:paraId="0C688C31" w14:textId="77777777" w:rsidR="00990B14" w:rsidRDefault="00000000">
            <w:pPr>
              <w:keepNext/>
              <w:spacing w:before="20" w:after="20"/>
              <w:jc w:val="center"/>
            </w:pPr>
            <w:r>
              <w:rPr>
                <w:b/>
                <w:bCs/>
                <w:i/>
                <w:iCs/>
                <w:color w:val="FFFFFF"/>
                <w:sz w:val="18"/>
                <w:szCs w:val="18"/>
              </w:rPr>
              <w:t>Insuficiente (1–50)</w:t>
            </w:r>
          </w:p>
        </w:tc>
        <w:tc>
          <w:tcPr>
            <w:tcW w:w="2120" w:type="dxa"/>
            <w:shd w:val="clear" w:color="auto" w:fill="4472C4"/>
            <w:vAlign w:val="center"/>
          </w:tcPr>
          <w:p w14:paraId="21D6F7EA" w14:textId="77777777" w:rsidR="00990B14" w:rsidRDefault="00000000">
            <w:pPr>
              <w:keepNext/>
              <w:spacing w:before="20" w:after="20"/>
              <w:jc w:val="center"/>
            </w:pPr>
            <w:r>
              <w:rPr>
                <w:b/>
                <w:bCs/>
                <w:i/>
                <w:iCs/>
                <w:color w:val="FFFFFF"/>
                <w:sz w:val="18"/>
                <w:szCs w:val="18"/>
              </w:rPr>
              <w:t>Suficiente (51–80)</w:t>
            </w:r>
          </w:p>
        </w:tc>
        <w:tc>
          <w:tcPr>
            <w:tcW w:w="1855" w:type="dxa"/>
            <w:shd w:val="clear" w:color="auto" w:fill="4472C4"/>
            <w:vAlign w:val="center"/>
          </w:tcPr>
          <w:p w14:paraId="4EF183C1" w14:textId="77777777" w:rsidR="00990B14" w:rsidRDefault="00000000">
            <w:pPr>
              <w:keepNext/>
              <w:spacing w:before="20" w:after="20"/>
              <w:jc w:val="center"/>
            </w:pPr>
            <w:r>
              <w:rPr>
                <w:b/>
                <w:bCs/>
                <w:i/>
                <w:iCs/>
                <w:color w:val="FFFFFF"/>
                <w:sz w:val="18"/>
                <w:szCs w:val="18"/>
              </w:rPr>
              <w:t>Destacado (81–100)</w:t>
            </w:r>
          </w:p>
        </w:tc>
      </w:tr>
      <w:tr w:rsidR="00990B14" w14:paraId="2A946732" w14:textId="77777777">
        <w:trPr>
          <w:cantSplit/>
          <w:jc w:val="center"/>
        </w:trPr>
        <w:tc>
          <w:tcPr>
            <w:tcW w:w="1780" w:type="dxa"/>
            <w:vMerge/>
            <w:shd w:val="clear" w:color="auto" w:fill="4472C4"/>
            <w:vAlign w:val="center"/>
          </w:tcPr>
          <w:p w14:paraId="33C1C501" w14:textId="77777777" w:rsidR="00990B14" w:rsidRDefault="00990B14">
            <w:pPr>
              <w:spacing w:before="20" w:after="20"/>
            </w:pPr>
          </w:p>
        </w:tc>
        <w:tc>
          <w:tcPr>
            <w:tcW w:w="1825" w:type="dxa"/>
            <w:shd w:val="clear" w:color="auto" w:fill="D9E2F3"/>
            <w:vAlign w:val="center"/>
          </w:tcPr>
          <w:p w14:paraId="2BAF7495" w14:textId="77777777" w:rsidR="00990B14" w:rsidRDefault="00000000">
            <w:pPr>
              <w:spacing w:before="20" w:after="20"/>
              <w:jc w:val="both"/>
            </w:pPr>
            <w:r>
              <w:rPr>
                <w:sz w:val="18"/>
                <w:szCs w:val="18"/>
              </w:rPr>
              <w:t>Clasificación</w:t>
            </w:r>
          </w:p>
        </w:tc>
        <w:tc>
          <w:tcPr>
            <w:tcW w:w="1825" w:type="dxa"/>
            <w:shd w:val="clear" w:color="auto" w:fill="D9E2F3"/>
            <w:vAlign w:val="center"/>
          </w:tcPr>
          <w:p w14:paraId="05183AF8" w14:textId="77777777" w:rsidR="00990B14" w:rsidRDefault="00000000">
            <w:pPr>
              <w:spacing w:before="20" w:after="20"/>
              <w:jc w:val="both"/>
            </w:pPr>
            <w:r>
              <w:rPr>
                <w:sz w:val="18"/>
                <w:szCs w:val="18"/>
              </w:rPr>
              <w:t>Clasifica mal las obligaciones.</w:t>
            </w:r>
          </w:p>
        </w:tc>
        <w:tc>
          <w:tcPr>
            <w:tcW w:w="2120" w:type="dxa"/>
            <w:shd w:val="clear" w:color="auto" w:fill="D9E2F3"/>
            <w:vAlign w:val="center"/>
          </w:tcPr>
          <w:p w14:paraId="0D9AF079" w14:textId="77777777" w:rsidR="00990B14" w:rsidRDefault="00000000">
            <w:pPr>
              <w:spacing w:before="20" w:after="20"/>
              <w:jc w:val="both"/>
            </w:pPr>
            <w:r>
              <w:rPr>
                <w:sz w:val="18"/>
                <w:szCs w:val="18"/>
              </w:rPr>
              <w:t>Clasifica las obligaciones por naturaleza, moneda y garantía.</w:t>
            </w:r>
          </w:p>
        </w:tc>
        <w:tc>
          <w:tcPr>
            <w:tcW w:w="1855" w:type="dxa"/>
            <w:shd w:val="clear" w:color="auto" w:fill="D9E2F3"/>
            <w:vAlign w:val="center"/>
          </w:tcPr>
          <w:p w14:paraId="0C08042A" w14:textId="77777777" w:rsidR="00990B14" w:rsidRDefault="00000000">
            <w:pPr>
              <w:spacing w:before="20" w:after="20"/>
              <w:jc w:val="both"/>
            </w:pPr>
            <w:r>
              <w:rPr>
                <w:sz w:val="18"/>
                <w:szCs w:val="18"/>
              </w:rPr>
              <w:t>Relaciona la clasificación con el pasivo corriente.</w:t>
            </w:r>
          </w:p>
        </w:tc>
      </w:tr>
      <w:tr w:rsidR="00990B14" w14:paraId="52BB64D1" w14:textId="77777777">
        <w:trPr>
          <w:cantSplit/>
          <w:jc w:val="center"/>
        </w:trPr>
        <w:tc>
          <w:tcPr>
            <w:tcW w:w="1780" w:type="dxa"/>
            <w:vMerge/>
            <w:shd w:val="clear" w:color="auto" w:fill="4472C4"/>
            <w:vAlign w:val="center"/>
          </w:tcPr>
          <w:p w14:paraId="1A47BBE3" w14:textId="77777777" w:rsidR="00990B14" w:rsidRDefault="00990B14">
            <w:pPr>
              <w:spacing w:before="20" w:after="20"/>
            </w:pPr>
          </w:p>
        </w:tc>
        <w:tc>
          <w:tcPr>
            <w:tcW w:w="1825" w:type="dxa"/>
            <w:shd w:val="clear" w:color="auto" w:fill="D9E2F3"/>
            <w:vAlign w:val="center"/>
          </w:tcPr>
          <w:p w14:paraId="4CFFBB52" w14:textId="77777777" w:rsidR="00990B14" w:rsidRDefault="00000000">
            <w:pPr>
              <w:spacing w:before="20" w:after="20"/>
              <w:jc w:val="both"/>
            </w:pPr>
            <w:r>
              <w:rPr>
                <w:sz w:val="18"/>
                <w:szCs w:val="18"/>
              </w:rPr>
              <w:t>Apropiación y pago</w:t>
            </w:r>
          </w:p>
        </w:tc>
        <w:tc>
          <w:tcPr>
            <w:tcW w:w="1825" w:type="dxa"/>
            <w:shd w:val="clear" w:color="auto" w:fill="D9E2F3"/>
            <w:vAlign w:val="center"/>
          </w:tcPr>
          <w:p w14:paraId="09C21A0D" w14:textId="77777777" w:rsidR="00990B14" w:rsidRDefault="00000000">
            <w:pPr>
              <w:spacing w:before="20" w:after="20"/>
              <w:jc w:val="both"/>
            </w:pPr>
            <w:r>
              <w:rPr>
                <w:sz w:val="18"/>
                <w:szCs w:val="18"/>
              </w:rPr>
              <w:t>Omite obligaciones devengadas.</w:t>
            </w:r>
          </w:p>
        </w:tc>
        <w:tc>
          <w:tcPr>
            <w:tcW w:w="2120" w:type="dxa"/>
            <w:shd w:val="clear" w:color="auto" w:fill="D9E2F3"/>
            <w:vAlign w:val="center"/>
          </w:tcPr>
          <w:p w14:paraId="766E0F5B" w14:textId="77777777" w:rsidR="00990B14" w:rsidRDefault="00000000">
            <w:pPr>
              <w:spacing w:before="20" w:after="20"/>
              <w:jc w:val="both"/>
            </w:pPr>
            <w:r>
              <w:rPr>
                <w:sz w:val="18"/>
                <w:szCs w:val="18"/>
              </w:rPr>
              <w:t>Registra la apropiación y el pago de cada obligación.</w:t>
            </w:r>
          </w:p>
        </w:tc>
        <w:tc>
          <w:tcPr>
            <w:tcW w:w="1855" w:type="dxa"/>
            <w:shd w:val="clear" w:color="auto" w:fill="D9E2F3"/>
            <w:vAlign w:val="center"/>
          </w:tcPr>
          <w:p w14:paraId="774FFD75" w14:textId="77777777" w:rsidR="00990B14" w:rsidRDefault="00000000">
            <w:pPr>
              <w:spacing w:before="20" w:after="20"/>
              <w:jc w:val="both"/>
            </w:pPr>
            <w:r>
              <w:rPr>
                <w:sz w:val="18"/>
                <w:szCs w:val="18"/>
              </w:rPr>
              <w:t>Concilia los saldos con sus documentos.</w:t>
            </w:r>
          </w:p>
        </w:tc>
      </w:tr>
      <w:tr w:rsidR="00990B14" w14:paraId="66E1658E" w14:textId="77777777">
        <w:trPr>
          <w:cantSplit/>
          <w:jc w:val="center"/>
        </w:trPr>
        <w:tc>
          <w:tcPr>
            <w:tcW w:w="1780" w:type="dxa"/>
            <w:vMerge/>
            <w:shd w:val="clear" w:color="auto" w:fill="4472C4"/>
            <w:vAlign w:val="center"/>
          </w:tcPr>
          <w:p w14:paraId="7A1794BE" w14:textId="77777777" w:rsidR="00990B14" w:rsidRDefault="00990B14">
            <w:pPr>
              <w:spacing w:before="20" w:after="20"/>
            </w:pPr>
          </w:p>
        </w:tc>
        <w:tc>
          <w:tcPr>
            <w:tcW w:w="1825" w:type="dxa"/>
            <w:shd w:val="clear" w:color="auto" w:fill="D9E2F3"/>
            <w:vAlign w:val="center"/>
          </w:tcPr>
          <w:p w14:paraId="75B22FA9" w14:textId="77777777" w:rsidR="00990B14" w:rsidRDefault="00000000">
            <w:pPr>
              <w:spacing w:before="20" w:after="20"/>
              <w:jc w:val="both"/>
            </w:pPr>
            <w:r>
              <w:rPr>
                <w:sz w:val="18"/>
                <w:szCs w:val="18"/>
              </w:rPr>
              <w:t>Moneda extranjera</w:t>
            </w:r>
          </w:p>
        </w:tc>
        <w:tc>
          <w:tcPr>
            <w:tcW w:w="1825" w:type="dxa"/>
            <w:shd w:val="clear" w:color="auto" w:fill="D9E2F3"/>
            <w:vAlign w:val="center"/>
          </w:tcPr>
          <w:p w14:paraId="4FDB634D" w14:textId="77777777" w:rsidR="00990B14" w:rsidRDefault="00000000">
            <w:pPr>
              <w:spacing w:before="20" w:after="20"/>
              <w:jc w:val="both"/>
            </w:pPr>
            <w:r>
              <w:rPr>
                <w:sz w:val="18"/>
                <w:szCs w:val="18"/>
              </w:rPr>
              <w:t>No reconoce la diferencia de cambio.</w:t>
            </w:r>
          </w:p>
        </w:tc>
        <w:tc>
          <w:tcPr>
            <w:tcW w:w="2120" w:type="dxa"/>
            <w:shd w:val="clear" w:color="auto" w:fill="D9E2F3"/>
            <w:vAlign w:val="center"/>
          </w:tcPr>
          <w:p w14:paraId="2E7D5305" w14:textId="77777777" w:rsidR="00990B14" w:rsidRDefault="00000000">
            <w:pPr>
              <w:spacing w:before="20" w:after="20"/>
              <w:jc w:val="both"/>
            </w:pPr>
            <w:r>
              <w:rPr>
                <w:sz w:val="18"/>
                <w:szCs w:val="18"/>
              </w:rPr>
              <w:t>Registra la diferencia de cambio de las deudas en divisas.</w:t>
            </w:r>
          </w:p>
        </w:tc>
        <w:tc>
          <w:tcPr>
            <w:tcW w:w="1855" w:type="dxa"/>
            <w:shd w:val="clear" w:color="auto" w:fill="D9E2F3"/>
            <w:vAlign w:val="center"/>
          </w:tcPr>
          <w:p w14:paraId="18E6BCB0" w14:textId="77777777" w:rsidR="00990B14" w:rsidRDefault="00000000">
            <w:pPr>
              <w:spacing w:before="20" w:after="20"/>
              <w:jc w:val="both"/>
            </w:pPr>
            <w:r>
              <w:rPr>
                <w:sz w:val="18"/>
                <w:szCs w:val="18"/>
              </w:rPr>
              <w:t>Explica su efecto en el resultado.</w:t>
            </w:r>
          </w:p>
        </w:tc>
      </w:tr>
      <w:tr w:rsidR="00990B14" w14:paraId="7D7EB65D" w14:textId="77777777">
        <w:trPr>
          <w:cantSplit/>
          <w:jc w:val="center"/>
        </w:trPr>
        <w:tc>
          <w:tcPr>
            <w:tcW w:w="1780" w:type="dxa"/>
            <w:vMerge/>
            <w:shd w:val="clear" w:color="auto" w:fill="4472C4"/>
            <w:vAlign w:val="center"/>
          </w:tcPr>
          <w:p w14:paraId="7001EC93" w14:textId="77777777" w:rsidR="00990B14" w:rsidRDefault="00990B14">
            <w:pPr>
              <w:spacing w:before="20" w:after="20"/>
            </w:pPr>
          </w:p>
        </w:tc>
        <w:tc>
          <w:tcPr>
            <w:tcW w:w="5770" w:type="dxa"/>
            <w:gridSpan w:val="3"/>
            <w:shd w:val="clear" w:color="auto" w:fill="D9E2F3"/>
            <w:vAlign w:val="center"/>
          </w:tcPr>
          <w:p w14:paraId="14DDA423" w14:textId="77777777" w:rsidR="00990B14" w:rsidRDefault="00000000">
            <w:pPr>
              <w:keepNext/>
              <w:spacing w:before="20" w:after="20"/>
              <w:jc w:val="both"/>
            </w:pPr>
            <w:r>
              <w:rPr>
                <w:b/>
                <w:bCs/>
                <w:i/>
                <w:iCs/>
                <w:sz w:val="18"/>
                <w:szCs w:val="18"/>
              </w:rPr>
              <w:t xml:space="preserve">Producto 26: </w:t>
            </w:r>
            <w:r>
              <w:rPr>
                <w:sz w:val="18"/>
                <w:szCs w:val="18"/>
              </w:rPr>
              <w:t>Cédula de ingresos anticipados</w:t>
            </w:r>
          </w:p>
        </w:tc>
        <w:tc>
          <w:tcPr>
            <w:tcW w:w="1855" w:type="dxa"/>
            <w:shd w:val="clear" w:color="auto" w:fill="D9E2F3"/>
            <w:vAlign w:val="center"/>
          </w:tcPr>
          <w:p w14:paraId="15EE9960" w14:textId="77777777" w:rsidR="00990B14" w:rsidRDefault="00000000">
            <w:pPr>
              <w:spacing w:before="20" w:after="20"/>
              <w:jc w:val="center"/>
            </w:pPr>
            <w:r>
              <w:rPr>
                <w:b/>
                <w:bCs/>
                <w:sz w:val="18"/>
                <w:szCs w:val="18"/>
              </w:rPr>
              <w:t>3%</w:t>
            </w:r>
          </w:p>
        </w:tc>
      </w:tr>
      <w:tr w:rsidR="00990B14" w14:paraId="31CD5B62" w14:textId="77777777">
        <w:trPr>
          <w:cantSplit/>
          <w:jc w:val="center"/>
        </w:trPr>
        <w:tc>
          <w:tcPr>
            <w:tcW w:w="1780" w:type="dxa"/>
            <w:vMerge/>
            <w:shd w:val="clear" w:color="auto" w:fill="4472C4"/>
            <w:vAlign w:val="center"/>
          </w:tcPr>
          <w:p w14:paraId="0126FA5C" w14:textId="77777777" w:rsidR="00990B14" w:rsidRDefault="00990B14">
            <w:pPr>
              <w:spacing w:before="20" w:after="20"/>
            </w:pPr>
          </w:p>
        </w:tc>
        <w:tc>
          <w:tcPr>
            <w:tcW w:w="1825" w:type="dxa"/>
            <w:shd w:val="clear" w:color="auto" w:fill="4472C4"/>
            <w:vAlign w:val="center"/>
          </w:tcPr>
          <w:p w14:paraId="4F5F568A" w14:textId="77777777" w:rsidR="00990B14" w:rsidRDefault="00000000">
            <w:pPr>
              <w:keepNext/>
              <w:spacing w:before="20" w:after="20"/>
              <w:jc w:val="center"/>
            </w:pPr>
            <w:r>
              <w:rPr>
                <w:b/>
                <w:bCs/>
                <w:i/>
                <w:iCs/>
                <w:color w:val="FFFFFF"/>
                <w:sz w:val="18"/>
                <w:szCs w:val="18"/>
              </w:rPr>
              <w:t>Criterio</w:t>
            </w:r>
          </w:p>
        </w:tc>
        <w:tc>
          <w:tcPr>
            <w:tcW w:w="1825" w:type="dxa"/>
            <w:shd w:val="clear" w:color="auto" w:fill="4472C4"/>
            <w:vAlign w:val="center"/>
          </w:tcPr>
          <w:p w14:paraId="1787D20A" w14:textId="77777777" w:rsidR="00990B14" w:rsidRDefault="00000000">
            <w:pPr>
              <w:keepNext/>
              <w:spacing w:before="20" w:after="20"/>
              <w:jc w:val="center"/>
            </w:pPr>
            <w:r>
              <w:rPr>
                <w:b/>
                <w:bCs/>
                <w:i/>
                <w:iCs/>
                <w:color w:val="FFFFFF"/>
                <w:sz w:val="18"/>
                <w:szCs w:val="18"/>
              </w:rPr>
              <w:t>Insuficiente (1–50)</w:t>
            </w:r>
          </w:p>
        </w:tc>
        <w:tc>
          <w:tcPr>
            <w:tcW w:w="2120" w:type="dxa"/>
            <w:shd w:val="clear" w:color="auto" w:fill="4472C4"/>
            <w:vAlign w:val="center"/>
          </w:tcPr>
          <w:p w14:paraId="509189C5" w14:textId="77777777" w:rsidR="00990B14" w:rsidRDefault="00000000">
            <w:pPr>
              <w:keepNext/>
              <w:spacing w:before="20" w:after="20"/>
              <w:jc w:val="center"/>
            </w:pPr>
            <w:r>
              <w:rPr>
                <w:b/>
                <w:bCs/>
                <w:i/>
                <w:iCs/>
                <w:color w:val="FFFFFF"/>
                <w:sz w:val="18"/>
                <w:szCs w:val="18"/>
              </w:rPr>
              <w:t>Suficiente (51–80)</w:t>
            </w:r>
          </w:p>
        </w:tc>
        <w:tc>
          <w:tcPr>
            <w:tcW w:w="1855" w:type="dxa"/>
            <w:shd w:val="clear" w:color="auto" w:fill="4472C4"/>
            <w:vAlign w:val="center"/>
          </w:tcPr>
          <w:p w14:paraId="7A5F36FC" w14:textId="77777777" w:rsidR="00990B14" w:rsidRDefault="00000000">
            <w:pPr>
              <w:keepNext/>
              <w:spacing w:before="20" w:after="20"/>
              <w:jc w:val="center"/>
            </w:pPr>
            <w:r>
              <w:rPr>
                <w:b/>
                <w:bCs/>
                <w:i/>
                <w:iCs/>
                <w:color w:val="FFFFFF"/>
                <w:sz w:val="18"/>
                <w:szCs w:val="18"/>
              </w:rPr>
              <w:t>Destacado (81–100)</w:t>
            </w:r>
          </w:p>
        </w:tc>
      </w:tr>
      <w:tr w:rsidR="00990B14" w14:paraId="63F64CAD" w14:textId="77777777">
        <w:trPr>
          <w:cantSplit/>
          <w:jc w:val="center"/>
        </w:trPr>
        <w:tc>
          <w:tcPr>
            <w:tcW w:w="1780" w:type="dxa"/>
            <w:vMerge/>
            <w:shd w:val="clear" w:color="auto" w:fill="4472C4"/>
            <w:vAlign w:val="center"/>
          </w:tcPr>
          <w:p w14:paraId="2E377F91" w14:textId="77777777" w:rsidR="00990B14" w:rsidRDefault="00990B14">
            <w:pPr>
              <w:spacing w:before="20" w:after="20"/>
            </w:pPr>
          </w:p>
        </w:tc>
        <w:tc>
          <w:tcPr>
            <w:tcW w:w="1825" w:type="dxa"/>
            <w:shd w:val="clear" w:color="auto" w:fill="D9E2F3"/>
            <w:vAlign w:val="center"/>
          </w:tcPr>
          <w:p w14:paraId="2225A3A9" w14:textId="77777777" w:rsidR="00990B14" w:rsidRDefault="00000000">
            <w:pPr>
              <w:spacing w:before="20" w:after="20"/>
              <w:jc w:val="both"/>
            </w:pPr>
            <w:r>
              <w:rPr>
                <w:sz w:val="18"/>
                <w:szCs w:val="18"/>
              </w:rPr>
              <w:t>Identificación</w:t>
            </w:r>
          </w:p>
        </w:tc>
        <w:tc>
          <w:tcPr>
            <w:tcW w:w="1825" w:type="dxa"/>
            <w:shd w:val="clear" w:color="auto" w:fill="D9E2F3"/>
            <w:vAlign w:val="center"/>
          </w:tcPr>
          <w:p w14:paraId="190456E6" w14:textId="77777777" w:rsidR="00990B14" w:rsidRDefault="00000000">
            <w:pPr>
              <w:spacing w:before="20" w:after="20"/>
              <w:jc w:val="both"/>
            </w:pPr>
            <w:r>
              <w:rPr>
                <w:sz w:val="18"/>
                <w:szCs w:val="18"/>
              </w:rPr>
              <w:t>Confunde ambas partidas.</w:t>
            </w:r>
          </w:p>
        </w:tc>
        <w:tc>
          <w:tcPr>
            <w:tcW w:w="2120" w:type="dxa"/>
            <w:shd w:val="clear" w:color="auto" w:fill="D9E2F3"/>
            <w:vAlign w:val="center"/>
          </w:tcPr>
          <w:p w14:paraId="56867A7D" w14:textId="77777777" w:rsidR="00990B14" w:rsidRDefault="00000000">
            <w:pPr>
              <w:spacing w:before="20" w:after="20"/>
              <w:jc w:val="both"/>
            </w:pPr>
            <w:r>
              <w:rPr>
                <w:sz w:val="18"/>
                <w:szCs w:val="18"/>
              </w:rPr>
              <w:t>Distingue los ingresos anticipados de los créditos diferidos.</w:t>
            </w:r>
          </w:p>
        </w:tc>
        <w:tc>
          <w:tcPr>
            <w:tcW w:w="1855" w:type="dxa"/>
            <w:shd w:val="clear" w:color="auto" w:fill="D9E2F3"/>
            <w:vAlign w:val="center"/>
          </w:tcPr>
          <w:p w14:paraId="0015EB73" w14:textId="77777777" w:rsidR="00990B14" w:rsidRDefault="00000000">
            <w:pPr>
              <w:spacing w:before="20" w:after="20"/>
              <w:jc w:val="both"/>
            </w:pPr>
            <w:r>
              <w:rPr>
                <w:sz w:val="18"/>
                <w:szCs w:val="18"/>
              </w:rPr>
              <w:t>Explica la obligación de desempeño pendiente.</w:t>
            </w:r>
          </w:p>
        </w:tc>
      </w:tr>
      <w:tr w:rsidR="00990B14" w14:paraId="267E36A8" w14:textId="77777777">
        <w:trPr>
          <w:cantSplit/>
          <w:jc w:val="center"/>
        </w:trPr>
        <w:tc>
          <w:tcPr>
            <w:tcW w:w="1780" w:type="dxa"/>
            <w:vMerge/>
            <w:shd w:val="clear" w:color="auto" w:fill="4472C4"/>
            <w:vAlign w:val="center"/>
          </w:tcPr>
          <w:p w14:paraId="7AE88800" w14:textId="77777777" w:rsidR="00990B14" w:rsidRDefault="00990B14">
            <w:pPr>
              <w:spacing w:before="20" w:after="20"/>
            </w:pPr>
          </w:p>
        </w:tc>
        <w:tc>
          <w:tcPr>
            <w:tcW w:w="1825" w:type="dxa"/>
            <w:shd w:val="clear" w:color="auto" w:fill="D9E2F3"/>
            <w:vAlign w:val="center"/>
          </w:tcPr>
          <w:p w14:paraId="45B658D8" w14:textId="77777777" w:rsidR="00990B14" w:rsidRDefault="00000000">
            <w:pPr>
              <w:spacing w:before="20" w:after="20"/>
              <w:jc w:val="both"/>
            </w:pPr>
            <w:r>
              <w:rPr>
                <w:sz w:val="18"/>
                <w:szCs w:val="18"/>
              </w:rPr>
              <w:t>Registro</w:t>
            </w:r>
          </w:p>
        </w:tc>
        <w:tc>
          <w:tcPr>
            <w:tcW w:w="1825" w:type="dxa"/>
            <w:shd w:val="clear" w:color="auto" w:fill="D9E2F3"/>
            <w:vAlign w:val="center"/>
          </w:tcPr>
          <w:p w14:paraId="7F7B1F38" w14:textId="77777777" w:rsidR="00990B14" w:rsidRDefault="00000000">
            <w:pPr>
              <w:spacing w:before="20" w:after="20"/>
              <w:jc w:val="both"/>
            </w:pPr>
            <w:r>
              <w:rPr>
                <w:sz w:val="18"/>
                <w:szCs w:val="18"/>
              </w:rPr>
              <w:t>Reconoce el ingreso antes de tiempo.</w:t>
            </w:r>
          </w:p>
        </w:tc>
        <w:tc>
          <w:tcPr>
            <w:tcW w:w="2120" w:type="dxa"/>
            <w:shd w:val="clear" w:color="auto" w:fill="D9E2F3"/>
            <w:vAlign w:val="center"/>
          </w:tcPr>
          <w:p w14:paraId="3169B5DC" w14:textId="77777777" w:rsidR="00990B14" w:rsidRDefault="00000000">
            <w:pPr>
              <w:spacing w:before="20" w:after="20"/>
              <w:jc w:val="both"/>
            </w:pPr>
            <w:r>
              <w:rPr>
                <w:sz w:val="18"/>
                <w:szCs w:val="18"/>
              </w:rPr>
              <w:t>Registra el pasivo y su posterior reconocimiento.</w:t>
            </w:r>
          </w:p>
        </w:tc>
        <w:tc>
          <w:tcPr>
            <w:tcW w:w="1855" w:type="dxa"/>
            <w:shd w:val="clear" w:color="auto" w:fill="D9E2F3"/>
            <w:vAlign w:val="center"/>
          </w:tcPr>
          <w:p w14:paraId="3F727EFB" w14:textId="77777777" w:rsidR="00990B14" w:rsidRDefault="00000000">
            <w:pPr>
              <w:spacing w:before="20" w:after="20"/>
              <w:jc w:val="both"/>
            </w:pPr>
            <w:r>
              <w:rPr>
                <w:sz w:val="18"/>
                <w:szCs w:val="18"/>
              </w:rPr>
              <w:t>Verifica el devengamiento al cierre.</w:t>
            </w:r>
          </w:p>
        </w:tc>
      </w:tr>
      <w:tr w:rsidR="00990B14" w14:paraId="1DF610B4" w14:textId="77777777">
        <w:trPr>
          <w:cantSplit/>
          <w:jc w:val="center"/>
        </w:trPr>
        <w:tc>
          <w:tcPr>
            <w:tcW w:w="1780" w:type="dxa"/>
            <w:vMerge/>
            <w:shd w:val="clear" w:color="auto" w:fill="4472C4"/>
            <w:vAlign w:val="center"/>
          </w:tcPr>
          <w:p w14:paraId="53038BD8" w14:textId="77777777" w:rsidR="00990B14" w:rsidRDefault="00990B14">
            <w:pPr>
              <w:spacing w:before="20" w:after="20"/>
            </w:pPr>
          </w:p>
        </w:tc>
        <w:tc>
          <w:tcPr>
            <w:tcW w:w="1825" w:type="dxa"/>
            <w:shd w:val="clear" w:color="auto" w:fill="D9E2F3"/>
            <w:vAlign w:val="center"/>
          </w:tcPr>
          <w:p w14:paraId="4A18BBE1" w14:textId="77777777" w:rsidR="00990B14" w:rsidRDefault="00000000">
            <w:pPr>
              <w:spacing w:before="20" w:after="20"/>
              <w:jc w:val="both"/>
            </w:pPr>
            <w:r>
              <w:rPr>
                <w:sz w:val="18"/>
                <w:szCs w:val="18"/>
              </w:rPr>
              <w:t>Trabajo en equipo</w:t>
            </w:r>
          </w:p>
        </w:tc>
        <w:tc>
          <w:tcPr>
            <w:tcW w:w="1825" w:type="dxa"/>
            <w:shd w:val="clear" w:color="auto" w:fill="D9E2F3"/>
            <w:vAlign w:val="center"/>
          </w:tcPr>
          <w:p w14:paraId="31EC7B7C" w14:textId="77777777" w:rsidR="00990B14" w:rsidRDefault="00000000">
            <w:pPr>
              <w:spacing w:before="20" w:after="20"/>
              <w:jc w:val="both"/>
            </w:pPr>
            <w:r>
              <w:rPr>
                <w:sz w:val="18"/>
                <w:szCs w:val="18"/>
              </w:rPr>
              <w:t>La participación es desigual.</w:t>
            </w:r>
          </w:p>
        </w:tc>
        <w:tc>
          <w:tcPr>
            <w:tcW w:w="2120" w:type="dxa"/>
            <w:shd w:val="clear" w:color="auto" w:fill="D9E2F3"/>
            <w:vAlign w:val="center"/>
          </w:tcPr>
          <w:p w14:paraId="584A083B" w14:textId="77777777" w:rsidR="00990B14" w:rsidRDefault="00000000">
            <w:pPr>
              <w:spacing w:before="20" w:after="20"/>
              <w:jc w:val="both"/>
            </w:pPr>
            <w:r>
              <w:rPr>
                <w:sz w:val="18"/>
                <w:szCs w:val="18"/>
              </w:rPr>
              <w:t>Todos los integrantes participan.</w:t>
            </w:r>
          </w:p>
        </w:tc>
        <w:tc>
          <w:tcPr>
            <w:tcW w:w="1855" w:type="dxa"/>
            <w:shd w:val="clear" w:color="auto" w:fill="D9E2F3"/>
            <w:vAlign w:val="center"/>
          </w:tcPr>
          <w:p w14:paraId="2B2AA483" w14:textId="77777777" w:rsidR="00990B14" w:rsidRDefault="00000000">
            <w:pPr>
              <w:spacing w:before="20" w:after="20"/>
              <w:jc w:val="both"/>
            </w:pPr>
            <w:r>
              <w:rPr>
                <w:sz w:val="18"/>
                <w:szCs w:val="18"/>
              </w:rPr>
              <w:t>El equipo sustenta su cédula ante el curso.</w:t>
            </w:r>
          </w:p>
        </w:tc>
      </w:tr>
      <w:tr w:rsidR="00990B14" w14:paraId="7BDA76C6" w14:textId="77777777">
        <w:trPr>
          <w:cantSplit/>
          <w:jc w:val="center"/>
        </w:trPr>
        <w:tc>
          <w:tcPr>
            <w:tcW w:w="1780" w:type="dxa"/>
            <w:vMerge/>
            <w:shd w:val="clear" w:color="auto" w:fill="4472C4"/>
            <w:vAlign w:val="center"/>
          </w:tcPr>
          <w:p w14:paraId="03EB9E70" w14:textId="77777777" w:rsidR="00990B14" w:rsidRDefault="00990B14">
            <w:pPr>
              <w:spacing w:before="20" w:after="20"/>
            </w:pPr>
          </w:p>
        </w:tc>
        <w:tc>
          <w:tcPr>
            <w:tcW w:w="5770" w:type="dxa"/>
            <w:gridSpan w:val="3"/>
            <w:shd w:val="clear" w:color="auto" w:fill="D9E2F3"/>
            <w:vAlign w:val="center"/>
          </w:tcPr>
          <w:p w14:paraId="0129E863" w14:textId="77777777" w:rsidR="00990B14" w:rsidRDefault="00000000">
            <w:pPr>
              <w:keepNext/>
              <w:spacing w:before="20" w:after="20"/>
              <w:jc w:val="both"/>
            </w:pPr>
            <w:r>
              <w:rPr>
                <w:b/>
                <w:bCs/>
                <w:i/>
                <w:iCs/>
                <w:sz w:val="18"/>
                <w:szCs w:val="18"/>
              </w:rPr>
              <w:t xml:space="preserve">Producto 27: </w:t>
            </w:r>
            <w:r>
              <w:rPr>
                <w:sz w:val="18"/>
                <w:szCs w:val="18"/>
              </w:rPr>
              <w:t>Planilla de sueldos y tributaria</w:t>
            </w:r>
          </w:p>
        </w:tc>
        <w:tc>
          <w:tcPr>
            <w:tcW w:w="1855" w:type="dxa"/>
            <w:shd w:val="clear" w:color="auto" w:fill="D9E2F3"/>
            <w:vAlign w:val="center"/>
          </w:tcPr>
          <w:p w14:paraId="3FC4CC32" w14:textId="77777777" w:rsidR="00990B14" w:rsidRDefault="00000000">
            <w:pPr>
              <w:spacing w:before="20" w:after="20"/>
              <w:jc w:val="center"/>
            </w:pPr>
            <w:r>
              <w:rPr>
                <w:b/>
                <w:bCs/>
                <w:sz w:val="18"/>
                <w:szCs w:val="18"/>
              </w:rPr>
              <w:t>3%</w:t>
            </w:r>
          </w:p>
        </w:tc>
      </w:tr>
      <w:tr w:rsidR="00990B14" w14:paraId="620ECE9D" w14:textId="77777777">
        <w:trPr>
          <w:cantSplit/>
          <w:jc w:val="center"/>
        </w:trPr>
        <w:tc>
          <w:tcPr>
            <w:tcW w:w="1780" w:type="dxa"/>
            <w:vMerge/>
            <w:shd w:val="clear" w:color="auto" w:fill="4472C4"/>
            <w:vAlign w:val="center"/>
          </w:tcPr>
          <w:p w14:paraId="070B82B8" w14:textId="77777777" w:rsidR="00990B14" w:rsidRDefault="00990B14">
            <w:pPr>
              <w:spacing w:before="20" w:after="20"/>
            </w:pPr>
          </w:p>
        </w:tc>
        <w:tc>
          <w:tcPr>
            <w:tcW w:w="1825" w:type="dxa"/>
            <w:shd w:val="clear" w:color="auto" w:fill="4472C4"/>
            <w:vAlign w:val="center"/>
          </w:tcPr>
          <w:p w14:paraId="5FA278D3" w14:textId="77777777" w:rsidR="00990B14" w:rsidRDefault="00000000">
            <w:pPr>
              <w:keepNext/>
              <w:spacing w:before="20" w:after="20"/>
              <w:jc w:val="center"/>
            </w:pPr>
            <w:r>
              <w:rPr>
                <w:b/>
                <w:bCs/>
                <w:i/>
                <w:iCs/>
                <w:color w:val="FFFFFF"/>
                <w:sz w:val="18"/>
                <w:szCs w:val="18"/>
              </w:rPr>
              <w:t>Criterio</w:t>
            </w:r>
          </w:p>
        </w:tc>
        <w:tc>
          <w:tcPr>
            <w:tcW w:w="1825" w:type="dxa"/>
            <w:shd w:val="clear" w:color="auto" w:fill="4472C4"/>
            <w:vAlign w:val="center"/>
          </w:tcPr>
          <w:p w14:paraId="77022864" w14:textId="77777777" w:rsidR="00990B14" w:rsidRDefault="00000000">
            <w:pPr>
              <w:keepNext/>
              <w:spacing w:before="20" w:after="20"/>
              <w:jc w:val="center"/>
            </w:pPr>
            <w:r>
              <w:rPr>
                <w:b/>
                <w:bCs/>
                <w:i/>
                <w:iCs/>
                <w:color w:val="FFFFFF"/>
                <w:sz w:val="18"/>
                <w:szCs w:val="18"/>
              </w:rPr>
              <w:t>Insuficiente (1–50)</w:t>
            </w:r>
          </w:p>
        </w:tc>
        <w:tc>
          <w:tcPr>
            <w:tcW w:w="2120" w:type="dxa"/>
            <w:shd w:val="clear" w:color="auto" w:fill="4472C4"/>
            <w:vAlign w:val="center"/>
          </w:tcPr>
          <w:p w14:paraId="28D47A31" w14:textId="77777777" w:rsidR="00990B14" w:rsidRDefault="00000000">
            <w:pPr>
              <w:keepNext/>
              <w:spacing w:before="20" w:after="20"/>
              <w:jc w:val="center"/>
            </w:pPr>
            <w:r>
              <w:rPr>
                <w:b/>
                <w:bCs/>
                <w:i/>
                <w:iCs/>
                <w:color w:val="FFFFFF"/>
                <w:sz w:val="18"/>
                <w:szCs w:val="18"/>
              </w:rPr>
              <w:t>Suficiente (51–80)</w:t>
            </w:r>
          </w:p>
        </w:tc>
        <w:tc>
          <w:tcPr>
            <w:tcW w:w="1855" w:type="dxa"/>
            <w:shd w:val="clear" w:color="auto" w:fill="4472C4"/>
            <w:vAlign w:val="center"/>
          </w:tcPr>
          <w:p w14:paraId="7A6078FF" w14:textId="77777777" w:rsidR="00990B14" w:rsidRDefault="00000000">
            <w:pPr>
              <w:keepNext/>
              <w:spacing w:before="20" w:after="20"/>
              <w:jc w:val="center"/>
            </w:pPr>
            <w:r>
              <w:rPr>
                <w:b/>
                <w:bCs/>
                <w:i/>
                <w:iCs/>
                <w:color w:val="FFFFFF"/>
                <w:sz w:val="18"/>
                <w:szCs w:val="18"/>
              </w:rPr>
              <w:t>Destacado (81–100)</w:t>
            </w:r>
          </w:p>
        </w:tc>
      </w:tr>
      <w:tr w:rsidR="00990B14" w14:paraId="14A7B53A" w14:textId="77777777">
        <w:trPr>
          <w:cantSplit/>
          <w:jc w:val="center"/>
        </w:trPr>
        <w:tc>
          <w:tcPr>
            <w:tcW w:w="1780" w:type="dxa"/>
            <w:vMerge/>
            <w:shd w:val="clear" w:color="auto" w:fill="4472C4"/>
            <w:vAlign w:val="center"/>
          </w:tcPr>
          <w:p w14:paraId="6D19402A" w14:textId="77777777" w:rsidR="00990B14" w:rsidRDefault="00990B14">
            <w:pPr>
              <w:spacing w:before="20" w:after="20"/>
            </w:pPr>
          </w:p>
        </w:tc>
        <w:tc>
          <w:tcPr>
            <w:tcW w:w="1825" w:type="dxa"/>
            <w:shd w:val="clear" w:color="auto" w:fill="D9E2F3"/>
            <w:vAlign w:val="center"/>
          </w:tcPr>
          <w:p w14:paraId="7CBF7102" w14:textId="77777777" w:rsidR="00990B14" w:rsidRDefault="00000000">
            <w:pPr>
              <w:spacing w:before="20" w:after="20"/>
              <w:jc w:val="both"/>
            </w:pPr>
            <w:r>
              <w:rPr>
                <w:sz w:val="18"/>
                <w:szCs w:val="18"/>
              </w:rPr>
              <w:t>Haberes y descuentos</w:t>
            </w:r>
          </w:p>
        </w:tc>
        <w:tc>
          <w:tcPr>
            <w:tcW w:w="1825" w:type="dxa"/>
            <w:shd w:val="clear" w:color="auto" w:fill="D9E2F3"/>
            <w:vAlign w:val="center"/>
          </w:tcPr>
          <w:p w14:paraId="575F4D57" w14:textId="77777777" w:rsidR="00990B14" w:rsidRDefault="00000000">
            <w:pPr>
              <w:spacing w:before="20" w:after="20"/>
              <w:jc w:val="both"/>
            </w:pPr>
            <w:r>
              <w:rPr>
                <w:sz w:val="18"/>
                <w:szCs w:val="18"/>
              </w:rPr>
              <w:t>Omite bonos o descuentos de ley.</w:t>
            </w:r>
          </w:p>
        </w:tc>
        <w:tc>
          <w:tcPr>
            <w:tcW w:w="2120" w:type="dxa"/>
            <w:shd w:val="clear" w:color="auto" w:fill="D9E2F3"/>
            <w:vAlign w:val="center"/>
          </w:tcPr>
          <w:p w14:paraId="7E26E6EE" w14:textId="77777777" w:rsidR="00990B14" w:rsidRDefault="00000000">
            <w:pPr>
              <w:spacing w:before="20" w:after="20"/>
              <w:jc w:val="both"/>
            </w:pPr>
            <w:r>
              <w:rPr>
                <w:sz w:val="18"/>
                <w:szCs w:val="18"/>
              </w:rPr>
              <w:t>Calcula el total ganado, los descuentos y el líquido pagable.</w:t>
            </w:r>
          </w:p>
        </w:tc>
        <w:tc>
          <w:tcPr>
            <w:tcW w:w="1855" w:type="dxa"/>
            <w:shd w:val="clear" w:color="auto" w:fill="D9E2F3"/>
            <w:vAlign w:val="center"/>
          </w:tcPr>
          <w:p w14:paraId="357640FB" w14:textId="77777777" w:rsidR="00990B14" w:rsidRDefault="00000000">
            <w:pPr>
              <w:spacing w:before="20" w:after="20"/>
              <w:jc w:val="both"/>
            </w:pPr>
            <w:r>
              <w:rPr>
                <w:sz w:val="18"/>
                <w:szCs w:val="18"/>
              </w:rPr>
              <w:t>Verifica los cálculos con un control cruzado.</w:t>
            </w:r>
          </w:p>
        </w:tc>
      </w:tr>
      <w:tr w:rsidR="00990B14" w14:paraId="684D424D" w14:textId="77777777">
        <w:trPr>
          <w:cantSplit/>
          <w:jc w:val="center"/>
        </w:trPr>
        <w:tc>
          <w:tcPr>
            <w:tcW w:w="1780" w:type="dxa"/>
            <w:vMerge/>
            <w:shd w:val="clear" w:color="auto" w:fill="4472C4"/>
            <w:vAlign w:val="center"/>
          </w:tcPr>
          <w:p w14:paraId="00E035F6" w14:textId="77777777" w:rsidR="00990B14" w:rsidRDefault="00990B14">
            <w:pPr>
              <w:spacing w:before="20" w:after="20"/>
            </w:pPr>
          </w:p>
        </w:tc>
        <w:tc>
          <w:tcPr>
            <w:tcW w:w="1825" w:type="dxa"/>
            <w:shd w:val="clear" w:color="auto" w:fill="D9E2F3"/>
            <w:vAlign w:val="center"/>
          </w:tcPr>
          <w:p w14:paraId="3482C136" w14:textId="77777777" w:rsidR="00990B14" w:rsidRDefault="00000000">
            <w:pPr>
              <w:spacing w:before="20" w:after="20"/>
              <w:jc w:val="both"/>
            </w:pPr>
            <w:r>
              <w:rPr>
                <w:sz w:val="18"/>
                <w:szCs w:val="18"/>
              </w:rPr>
              <w:t>Aportes patronales</w:t>
            </w:r>
          </w:p>
        </w:tc>
        <w:tc>
          <w:tcPr>
            <w:tcW w:w="1825" w:type="dxa"/>
            <w:shd w:val="clear" w:color="auto" w:fill="D9E2F3"/>
            <w:vAlign w:val="center"/>
          </w:tcPr>
          <w:p w14:paraId="173AF9DB" w14:textId="77777777" w:rsidR="00990B14" w:rsidRDefault="00000000">
            <w:pPr>
              <w:spacing w:before="20" w:after="20"/>
              <w:jc w:val="both"/>
            </w:pPr>
            <w:r>
              <w:rPr>
                <w:sz w:val="18"/>
                <w:szCs w:val="18"/>
              </w:rPr>
              <w:t>Omite aportes patronales.</w:t>
            </w:r>
          </w:p>
        </w:tc>
        <w:tc>
          <w:tcPr>
            <w:tcW w:w="2120" w:type="dxa"/>
            <w:shd w:val="clear" w:color="auto" w:fill="D9E2F3"/>
            <w:vAlign w:val="center"/>
          </w:tcPr>
          <w:p w14:paraId="4C8FFF3E" w14:textId="77777777" w:rsidR="00990B14" w:rsidRDefault="00000000">
            <w:pPr>
              <w:spacing w:before="20" w:after="20"/>
              <w:jc w:val="both"/>
            </w:pPr>
            <w:r>
              <w:rPr>
                <w:sz w:val="18"/>
                <w:szCs w:val="18"/>
              </w:rPr>
              <w:t>Calcula los aportes del empleador.</w:t>
            </w:r>
          </w:p>
        </w:tc>
        <w:tc>
          <w:tcPr>
            <w:tcW w:w="1855" w:type="dxa"/>
            <w:shd w:val="clear" w:color="auto" w:fill="D9E2F3"/>
            <w:vAlign w:val="center"/>
          </w:tcPr>
          <w:p w14:paraId="4B3FC3F4" w14:textId="77777777" w:rsidR="00990B14" w:rsidRDefault="00000000">
            <w:pPr>
              <w:spacing w:before="20" w:after="20"/>
              <w:jc w:val="both"/>
            </w:pPr>
            <w:r>
              <w:rPr>
                <w:sz w:val="18"/>
                <w:szCs w:val="18"/>
              </w:rPr>
              <w:t>Explica el destino de cada aporte.</w:t>
            </w:r>
          </w:p>
        </w:tc>
      </w:tr>
      <w:tr w:rsidR="00990B14" w14:paraId="735D9EF4" w14:textId="77777777">
        <w:trPr>
          <w:cantSplit/>
          <w:jc w:val="center"/>
        </w:trPr>
        <w:tc>
          <w:tcPr>
            <w:tcW w:w="1780" w:type="dxa"/>
            <w:vMerge/>
            <w:shd w:val="clear" w:color="auto" w:fill="4472C4"/>
            <w:vAlign w:val="center"/>
          </w:tcPr>
          <w:p w14:paraId="76F57BEE" w14:textId="77777777" w:rsidR="00990B14" w:rsidRDefault="00990B14">
            <w:pPr>
              <w:spacing w:before="20" w:after="20"/>
            </w:pPr>
          </w:p>
        </w:tc>
        <w:tc>
          <w:tcPr>
            <w:tcW w:w="1825" w:type="dxa"/>
            <w:shd w:val="clear" w:color="auto" w:fill="D9E2F3"/>
            <w:vAlign w:val="center"/>
          </w:tcPr>
          <w:p w14:paraId="42A0523F" w14:textId="77777777" w:rsidR="00990B14" w:rsidRDefault="00000000">
            <w:pPr>
              <w:spacing w:before="20" w:after="20"/>
              <w:jc w:val="both"/>
            </w:pPr>
            <w:r>
              <w:rPr>
                <w:sz w:val="18"/>
                <w:szCs w:val="18"/>
              </w:rPr>
              <w:t>Registro contable</w:t>
            </w:r>
          </w:p>
        </w:tc>
        <w:tc>
          <w:tcPr>
            <w:tcW w:w="1825" w:type="dxa"/>
            <w:shd w:val="clear" w:color="auto" w:fill="D9E2F3"/>
            <w:vAlign w:val="center"/>
          </w:tcPr>
          <w:p w14:paraId="1B800D3C" w14:textId="77777777" w:rsidR="00990B14" w:rsidRDefault="00000000">
            <w:pPr>
              <w:spacing w:before="20" w:after="20"/>
              <w:jc w:val="both"/>
            </w:pPr>
            <w:r>
              <w:rPr>
                <w:sz w:val="18"/>
                <w:szCs w:val="18"/>
              </w:rPr>
              <w:t>Registra la planilla con errores.</w:t>
            </w:r>
          </w:p>
        </w:tc>
        <w:tc>
          <w:tcPr>
            <w:tcW w:w="2120" w:type="dxa"/>
            <w:shd w:val="clear" w:color="auto" w:fill="D9E2F3"/>
            <w:vAlign w:val="center"/>
          </w:tcPr>
          <w:p w14:paraId="1A88822D" w14:textId="77777777" w:rsidR="00990B14" w:rsidRDefault="00000000">
            <w:pPr>
              <w:spacing w:before="20" w:after="20"/>
              <w:jc w:val="both"/>
            </w:pPr>
            <w:r>
              <w:rPr>
                <w:sz w:val="18"/>
                <w:szCs w:val="18"/>
              </w:rPr>
              <w:t>Registra la planilla y el pago del líquido.</w:t>
            </w:r>
          </w:p>
        </w:tc>
        <w:tc>
          <w:tcPr>
            <w:tcW w:w="1855" w:type="dxa"/>
            <w:shd w:val="clear" w:color="auto" w:fill="D9E2F3"/>
            <w:vAlign w:val="center"/>
          </w:tcPr>
          <w:p w14:paraId="01F6C7DA" w14:textId="77777777" w:rsidR="00990B14" w:rsidRDefault="00000000">
            <w:pPr>
              <w:spacing w:before="20" w:after="20"/>
              <w:jc w:val="both"/>
            </w:pPr>
            <w:r>
              <w:rPr>
                <w:sz w:val="18"/>
                <w:szCs w:val="18"/>
              </w:rPr>
              <w:t>Concilia la planilla con el mayor de sueldos.</w:t>
            </w:r>
          </w:p>
        </w:tc>
      </w:tr>
      <w:tr w:rsidR="00990B14" w14:paraId="3528B6CA" w14:textId="77777777">
        <w:trPr>
          <w:cantSplit/>
          <w:jc w:val="center"/>
        </w:trPr>
        <w:tc>
          <w:tcPr>
            <w:tcW w:w="1780" w:type="dxa"/>
            <w:vMerge/>
            <w:shd w:val="clear" w:color="auto" w:fill="4472C4"/>
            <w:vAlign w:val="center"/>
          </w:tcPr>
          <w:p w14:paraId="69A7EFA6" w14:textId="77777777" w:rsidR="00990B14" w:rsidRDefault="00990B14">
            <w:pPr>
              <w:spacing w:before="20" w:after="20"/>
            </w:pPr>
          </w:p>
        </w:tc>
        <w:tc>
          <w:tcPr>
            <w:tcW w:w="5770" w:type="dxa"/>
            <w:gridSpan w:val="3"/>
            <w:shd w:val="clear" w:color="auto" w:fill="D9E2F3"/>
            <w:vAlign w:val="center"/>
          </w:tcPr>
          <w:p w14:paraId="6AA1B18E" w14:textId="77777777" w:rsidR="00990B14" w:rsidRDefault="00000000">
            <w:pPr>
              <w:keepNext/>
              <w:spacing w:before="20" w:after="20"/>
              <w:jc w:val="both"/>
            </w:pPr>
            <w:r>
              <w:rPr>
                <w:b/>
                <w:bCs/>
                <w:i/>
                <w:iCs/>
                <w:sz w:val="18"/>
                <w:szCs w:val="18"/>
              </w:rPr>
              <w:t xml:space="preserve">Producto 28: </w:t>
            </w:r>
            <w:r>
              <w:rPr>
                <w:sz w:val="18"/>
                <w:szCs w:val="18"/>
              </w:rPr>
              <w:t>Cuadro de previsión de beneficios sociales</w:t>
            </w:r>
          </w:p>
        </w:tc>
        <w:tc>
          <w:tcPr>
            <w:tcW w:w="1855" w:type="dxa"/>
            <w:shd w:val="clear" w:color="auto" w:fill="D9E2F3"/>
            <w:vAlign w:val="center"/>
          </w:tcPr>
          <w:p w14:paraId="58259742" w14:textId="77777777" w:rsidR="00990B14" w:rsidRDefault="00000000">
            <w:pPr>
              <w:spacing w:before="20" w:after="20"/>
              <w:jc w:val="center"/>
            </w:pPr>
            <w:r>
              <w:rPr>
                <w:b/>
                <w:bCs/>
                <w:sz w:val="18"/>
                <w:szCs w:val="18"/>
              </w:rPr>
              <w:t>3%</w:t>
            </w:r>
          </w:p>
        </w:tc>
      </w:tr>
      <w:tr w:rsidR="00990B14" w14:paraId="0B8A9C68" w14:textId="77777777">
        <w:trPr>
          <w:cantSplit/>
          <w:jc w:val="center"/>
        </w:trPr>
        <w:tc>
          <w:tcPr>
            <w:tcW w:w="1780" w:type="dxa"/>
            <w:vMerge/>
            <w:shd w:val="clear" w:color="auto" w:fill="4472C4"/>
            <w:vAlign w:val="center"/>
          </w:tcPr>
          <w:p w14:paraId="75F927DD" w14:textId="77777777" w:rsidR="00990B14" w:rsidRDefault="00990B14">
            <w:pPr>
              <w:spacing w:before="20" w:after="20"/>
            </w:pPr>
          </w:p>
        </w:tc>
        <w:tc>
          <w:tcPr>
            <w:tcW w:w="1825" w:type="dxa"/>
            <w:shd w:val="clear" w:color="auto" w:fill="4472C4"/>
            <w:vAlign w:val="center"/>
          </w:tcPr>
          <w:p w14:paraId="727B4A3C" w14:textId="77777777" w:rsidR="00990B14" w:rsidRDefault="00000000">
            <w:pPr>
              <w:keepNext/>
              <w:spacing w:before="20" w:after="20"/>
              <w:jc w:val="center"/>
            </w:pPr>
            <w:r>
              <w:rPr>
                <w:b/>
                <w:bCs/>
                <w:i/>
                <w:iCs/>
                <w:color w:val="FFFFFF"/>
                <w:sz w:val="18"/>
                <w:szCs w:val="18"/>
              </w:rPr>
              <w:t>Criterio</w:t>
            </w:r>
          </w:p>
        </w:tc>
        <w:tc>
          <w:tcPr>
            <w:tcW w:w="1825" w:type="dxa"/>
            <w:shd w:val="clear" w:color="auto" w:fill="4472C4"/>
            <w:vAlign w:val="center"/>
          </w:tcPr>
          <w:p w14:paraId="7EDBD0DC" w14:textId="77777777" w:rsidR="00990B14" w:rsidRDefault="00000000">
            <w:pPr>
              <w:keepNext/>
              <w:spacing w:before="20" w:after="20"/>
              <w:jc w:val="center"/>
            </w:pPr>
            <w:r>
              <w:rPr>
                <w:b/>
                <w:bCs/>
                <w:i/>
                <w:iCs/>
                <w:color w:val="FFFFFF"/>
                <w:sz w:val="18"/>
                <w:szCs w:val="18"/>
              </w:rPr>
              <w:t>Insuficiente (1–50)</w:t>
            </w:r>
          </w:p>
        </w:tc>
        <w:tc>
          <w:tcPr>
            <w:tcW w:w="2120" w:type="dxa"/>
            <w:shd w:val="clear" w:color="auto" w:fill="4472C4"/>
            <w:vAlign w:val="center"/>
          </w:tcPr>
          <w:p w14:paraId="51E88BDF" w14:textId="77777777" w:rsidR="00990B14" w:rsidRDefault="00000000">
            <w:pPr>
              <w:keepNext/>
              <w:spacing w:before="20" w:after="20"/>
              <w:jc w:val="center"/>
            </w:pPr>
            <w:r>
              <w:rPr>
                <w:b/>
                <w:bCs/>
                <w:i/>
                <w:iCs/>
                <w:color w:val="FFFFFF"/>
                <w:sz w:val="18"/>
                <w:szCs w:val="18"/>
              </w:rPr>
              <w:t>Suficiente (51–80)</w:t>
            </w:r>
          </w:p>
        </w:tc>
        <w:tc>
          <w:tcPr>
            <w:tcW w:w="1855" w:type="dxa"/>
            <w:shd w:val="clear" w:color="auto" w:fill="4472C4"/>
            <w:vAlign w:val="center"/>
          </w:tcPr>
          <w:p w14:paraId="614ABEE7" w14:textId="77777777" w:rsidR="00990B14" w:rsidRDefault="00000000">
            <w:pPr>
              <w:keepNext/>
              <w:spacing w:before="20" w:after="20"/>
              <w:jc w:val="center"/>
            </w:pPr>
            <w:r>
              <w:rPr>
                <w:b/>
                <w:bCs/>
                <w:i/>
                <w:iCs/>
                <w:color w:val="FFFFFF"/>
                <w:sz w:val="18"/>
                <w:szCs w:val="18"/>
              </w:rPr>
              <w:t>Destacado (81–100)</w:t>
            </w:r>
          </w:p>
        </w:tc>
      </w:tr>
      <w:tr w:rsidR="00990B14" w14:paraId="52BE5941" w14:textId="77777777">
        <w:trPr>
          <w:cantSplit/>
          <w:jc w:val="center"/>
        </w:trPr>
        <w:tc>
          <w:tcPr>
            <w:tcW w:w="1780" w:type="dxa"/>
            <w:vMerge/>
            <w:shd w:val="clear" w:color="auto" w:fill="4472C4"/>
            <w:vAlign w:val="center"/>
          </w:tcPr>
          <w:p w14:paraId="5F9EF841" w14:textId="77777777" w:rsidR="00990B14" w:rsidRDefault="00990B14">
            <w:pPr>
              <w:spacing w:before="20" w:after="20"/>
            </w:pPr>
          </w:p>
        </w:tc>
        <w:tc>
          <w:tcPr>
            <w:tcW w:w="1825" w:type="dxa"/>
            <w:shd w:val="clear" w:color="auto" w:fill="D9E2F3"/>
            <w:vAlign w:val="center"/>
          </w:tcPr>
          <w:p w14:paraId="70A6B179" w14:textId="77777777" w:rsidR="00990B14" w:rsidRDefault="00000000">
            <w:pPr>
              <w:spacing w:before="20" w:after="20"/>
              <w:jc w:val="both"/>
            </w:pPr>
            <w:r>
              <w:rPr>
                <w:sz w:val="18"/>
                <w:szCs w:val="18"/>
              </w:rPr>
              <w:t>Aguinaldo</w:t>
            </w:r>
          </w:p>
        </w:tc>
        <w:tc>
          <w:tcPr>
            <w:tcW w:w="1825" w:type="dxa"/>
            <w:shd w:val="clear" w:color="auto" w:fill="D9E2F3"/>
            <w:vAlign w:val="center"/>
          </w:tcPr>
          <w:p w14:paraId="45F36352" w14:textId="77777777" w:rsidR="00990B14" w:rsidRDefault="00000000">
            <w:pPr>
              <w:spacing w:before="20" w:after="20"/>
              <w:jc w:val="both"/>
            </w:pPr>
            <w:r>
              <w:rPr>
                <w:sz w:val="18"/>
                <w:szCs w:val="18"/>
              </w:rPr>
              <w:t>Calcula mal el aguinaldo.</w:t>
            </w:r>
          </w:p>
        </w:tc>
        <w:tc>
          <w:tcPr>
            <w:tcW w:w="2120" w:type="dxa"/>
            <w:shd w:val="clear" w:color="auto" w:fill="D9E2F3"/>
            <w:vAlign w:val="center"/>
          </w:tcPr>
          <w:p w14:paraId="25361E14" w14:textId="77777777" w:rsidR="00990B14" w:rsidRDefault="00000000">
            <w:pPr>
              <w:spacing w:before="20" w:after="20"/>
              <w:jc w:val="both"/>
            </w:pPr>
            <w:r>
              <w:rPr>
                <w:sz w:val="18"/>
                <w:szCs w:val="18"/>
              </w:rPr>
              <w:t>Calcula la previsión mensual del aguinaldo.</w:t>
            </w:r>
          </w:p>
        </w:tc>
        <w:tc>
          <w:tcPr>
            <w:tcW w:w="1855" w:type="dxa"/>
            <w:shd w:val="clear" w:color="auto" w:fill="D9E2F3"/>
            <w:vAlign w:val="center"/>
          </w:tcPr>
          <w:p w14:paraId="282C9E37" w14:textId="77777777" w:rsidR="00990B14" w:rsidRDefault="00000000">
            <w:pPr>
              <w:spacing w:before="20" w:after="20"/>
              <w:jc w:val="both"/>
            </w:pPr>
            <w:r>
              <w:rPr>
                <w:sz w:val="18"/>
                <w:szCs w:val="18"/>
              </w:rPr>
              <w:t>Verifica el cálculo con los días trabajados.</w:t>
            </w:r>
          </w:p>
        </w:tc>
      </w:tr>
      <w:tr w:rsidR="00990B14" w14:paraId="207FF696" w14:textId="77777777">
        <w:trPr>
          <w:cantSplit/>
          <w:jc w:val="center"/>
        </w:trPr>
        <w:tc>
          <w:tcPr>
            <w:tcW w:w="1780" w:type="dxa"/>
            <w:vMerge/>
            <w:shd w:val="clear" w:color="auto" w:fill="4472C4"/>
            <w:vAlign w:val="center"/>
          </w:tcPr>
          <w:p w14:paraId="6B72F212" w14:textId="77777777" w:rsidR="00990B14" w:rsidRDefault="00990B14">
            <w:pPr>
              <w:spacing w:before="20" w:after="20"/>
            </w:pPr>
          </w:p>
        </w:tc>
        <w:tc>
          <w:tcPr>
            <w:tcW w:w="1825" w:type="dxa"/>
            <w:shd w:val="clear" w:color="auto" w:fill="D9E2F3"/>
            <w:vAlign w:val="center"/>
          </w:tcPr>
          <w:p w14:paraId="33BD861D" w14:textId="77777777" w:rsidR="00990B14" w:rsidRDefault="00000000">
            <w:pPr>
              <w:spacing w:before="20" w:after="20"/>
              <w:jc w:val="both"/>
            </w:pPr>
            <w:r>
              <w:rPr>
                <w:sz w:val="18"/>
                <w:szCs w:val="18"/>
              </w:rPr>
              <w:t>Indemnización</w:t>
            </w:r>
          </w:p>
        </w:tc>
        <w:tc>
          <w:tcPr>
            <w:tcW w:w="1825" w:type="dxa"/>
            <w:shd w:val="clear" w:color="auto" w:fill="D9E2F3"/>
            <w:vAlign w:val="center"/>
          </w:tcPr>
          <w:p w14:paraId="08CEDDD5" w14:textId="77777777" w:rsidR="00990B14" w:rsidRDefault="00000000">
            <w:pPr>
              <w:spacing w:before="20" w:after="20"/>
              <w:jc w:val="both"/>
            </w:pPr>
            <w:r>
              <w:rPr>
                <w:sz w:val="18"/>
                <w:szCs w:val="18"/>
              </w:rPr>
              <w:t>Omite el recálculo de la indemnización.</w:t>
            </w:r>
          </w:p>
        </w:tc>
        <w:tc>
          <w:tcPr>
            <w:tcW w:w="2120" w:type="dxa"/>
            <w:shd w:val="clear" w:color="auto" w:fill="D9E2F3"/>
            <w:vAlign w:val="center"/>
          </w:tcPr>
          <w:p w14:paraId="0320D8F3" w14:textId="77777777" w:rsidR="00990B14" w:rsidRDefault="00000000">
            <w:pPr>
              <w:spacing w:before="20" w:after="20"/>
              <w:jc w:val="both"/>
            </w:pPr>
            <w:r>
              <w:rPr>
                <w:sz w:val="18"/>
                <w:szCs w:val="18"/>
              </w:rPr>
              <w:t>Calcula y recalcula la indemnización.</w:t>
            </w:r>
          </w:p>
        </w:tc>
        <w:tc>
          <w:tcPr>
            <w:tcW w:w="1855" w:type="dxa"/>
            <w:shd w:val="clear" w:color="auto" w:fill="D9E2F3"/>
            <w:vAlign w:val="center"/>
          </w:tcPr>
          <w:p w14:paraId="1E2F87F8" w14:textId="77777777" w:rsidR="00990B14" w:rsidRDefault="00000000">
            <w:pPr>
              <w:spacing w:before="20" w:after="20"/>
              <w:jc w:val="both"/>
            </w:pPr>
            <w:r>
              <w:rPr>
                <w:sz w:val="18"/>
                <w:szCs w:val="18"/>
              </w:rPr>
              <w:t>Relaciona la previsión con la NIC 19.</w:t>
            </w:r>
          </w:p>
        </w:tc>
      </w:tr>
      <w:tr w:rsidR="00990B14" w14:paraId="2BEBF7AA" w14:textId="77777777">
        <w:trPr>
          <w:cantSplit/>
          <w:jc w:val="center"/>
        </w:trPr>
        <w:tc>
          <w:tcPr>
            <w:tcW w:w="1780" w:type="dxa"/>
            <w:vMerge/>
            <w:shd w:val="clear" w:color="auto" w:fill="4472C4"/>
            <w:vAlign w:val="center"/>
          </w:tcPr>
          <w:p w14:paraId="68239987" w14:textId="77777777" w:rsidR="00990B14" w:rsidRDefault="00990B14">
            <w:pPr>
              <w:spacing w:before="20" w:after="20"/>
            </w:pPr>
          </w:p>
        </w:tc>
        <w:tc>
          <w:tcPr>
            <w:tcW w:w="1825" w:type="dxa"/>
            <w:shd w:val="clear" w:color="auto" w:fill="D9E2F3"/>
            <w:vAlign w:val="center"/>
          </w:tcPr>
          <w:p w14:paraId="38C5C35C" w14:textId="77777777" w:rsidR="00990B14" w:rsidRDefault="00000000">
            <w:pPr>
              <w:spacing w:before="20" w:after="20"/>
              <w:jc w:val="both"/>
            </w:pPr>
            <w:r>
              <w:rPr>
                <w:sz w:val="18"/>
                <w:szCs w:val="18"/>
              </w:rPr>
              <w:t>Claridad de la exposición</w:t>
            </w:r>
          </w:p>
        </w:tc>
        <w:tc>
          <w:tcPr>
            <w:tcW w:w="1825" w:type="dxa"/>
            <w:shd w:val="clear" w:color="auto" w:fill="D9E2F3"/>
            <w:vAlign w:val="center"/>
          </w:tcPr>
          <w:p w14:paraId="15E468CE" w14:textId="77777777" w:rsidR="00990B14" w:rsidRDefault="00000000">
            <w:pPr>
              <w:spacing w:before="20" w:after="20"/>
              <w:jc w:val="both"/>
            </w:pPr>
            <w:r>
              <w:rPr>
                <w:sz w:val="18"/>
                <w:szCs w:val="18"/>
              </w:rPr>
              <w:t>La exposición es confusa.</w:t>
            </w:r>
          </w:p>
        </w:tc>
        <w:tc>
          <w:tcPr>
            <w:tcW w:w="2120" w:type="dxa"/>
            <w:shd w:val="clear" w:color="auto" w:fill="D9E2F3"/>
            <w:vAlign w:val="center"/>
          </w:tcPr>
          <w:p w14:paraId="76956C24" w14:textId="77777777" w:rsidR="00990B14" w:rsidRDefault="00000000">
            <w:pPr>
              <w:spacing w:before="20" w:after="20"/>
              <w:jc w:val="both"/>
            </w:pPr>
            <w:r>
              <w:rPr>
                <w:sz w:val="18"/>
                <w:szCs w:val="18"/>
              </w:rPr>
              <w:t>Expone el cálculo con orden.</w:t>
            </w:r>
          </w:p>
        </w:tc>
        <w:tc>
          <w:tcPr>
            <w:tcW w:w="1855" w:type="dxa"/>
            <w:shd w:val="clear" w:color="auto" w:fill="D9E2F3"/>
            <w:vAlign w:val="center"/>
          </w:tcPr>
          <w:p w14:paraId="5D62A1F4" w14:textId="77777777" w:rsidR="00990B14" w:rsidRDefault="00000000">
            <w:pPr>
              <w:spacing w:before="20" w:after="20"/>
              <w:jc w:val="both"/>
            </w:pPr>
            <w:r>
              <w:rPr>
                <w:sz w:val="18"/>
                <w:szCs w:val="18"/>
              </w:rPr>
              <w:t>Responde con solvencia las preguntas del curso.</w:t>
            </w:r>
          </w:p>
        </w:tc>
      </w:tr>
      <w:tr w:rsidR="00990B14" w14:paraId="32A47ED2" w14:textId="77777777">
        <w:trPr>
          <w:cantSplit/>
          <w:jc w:val="center"/>
        </w:trPr>
        <w:tc>
          <w:tcPr>
            <w:tcW w:w="1780" w:type="dxa"/>
            <w:vMerge/>
            <w:shd w:val="clear" w:color="auto" w:fill="4472C4"/>
            <w:vAlign w:val="center"/>
          </w:tcPr>
          <w:p w14:paraId="16890F6D" w14:textId="77777777" w:rsidR="00990B14" w:rsidRDefault="00990B14">
            <w:pPr>
              <w:spacing w:before="20" w:after="20"/>
            </w:pPr>
          </w:p>
        </w:tc>
        <w:tc>
          <w:tcPr>
            <w:tcW w:w="5770" w:type="dxa"/>
            <w:gridSpan w:val="3"/>
            <w:shd w:val="clear" w:color="auto" w:fill="D9E2F3"/>
            <w:vAlign w:val="center"/>
          </w:tcPr>
          <w:p w14:paraId="232173D5" w14:textId="77777777" w:rsidR="00990B14" w:rsidRDefault="00000000">
            <w:pPr>
              <w:keepNext/>
              <w:spacing w:before="20" w:after="20"/>
              <w:jc w:val="both"/>
            </w:pPr>
            <w:r>
              <w:rPr>
                <w:b/>
                <w:bCs/>
                <w:i/>
                <w:iCs/>
                <w:sz w:val="18"/>
                <w:szCs w:val="18"/>
              </w:rPr>
              <w:t xml:space="preserve">Producto 29: </w:t>
            </w:r>
            <w:r>
              <w:rPr>
                <w:sz w:val="18"/>
                <w:szCs w:val="18"/>
              </w:rPr>
              <w:t>Cuadro de amortización del préstamo</w:t>
            </w:r>
          </w:p>
        </w:tc>
        <w:tc>
          <w:tcPr>
            <w:tcW w:w="1855" w:type="dxa"/>
            <w:shd w:val="clear" w:color="auto" w:fill="D9E2F3"/>
            <w:vAlign w:val="center"/>
          </w:tcPr>
          <w:p w14:paraId="556584CD" w14:textId="77777777" w:rsidR="00990B14" w:rsidRDefault="00000000">
            <w:pPr>
              <w:spacing w:before="20" w:after="20"/>
              <w:jc w:val="center"/>
            </w:pPr>
            <w:r>
              <w:rPr>
                <w:b/>
                <w:bCs/>
                <w:sz w:val="18"/>
                <w:szCs w:val="18"/>
              </w:rPr>
              <w:t>3%</w:t>
            </w:r>
          </w:p>
        </w:tc>
      </w:tr>
      <w:tr w:rsidR="00990B14" w14:paraId="41C666D1" w14:textId="77777777">
        <w:trPr>
          <w:cantSplit/>
          <w:jc w:val="center"/>
        </w:trPr>
        <w:tc>
          <w:tcPr>
            <w:tcW w:w="1780" w:type="dxa"/>
            <w:vMerge/>
            <w:shd w:val="clear" w:color="auto" w:fill="4472C4"/>
            <w:vAlign w:val="center"/>
          </w:tcPr>
          <w:p w14:paraId="6BA209AA" w14:textId="77777777" w:rsidR="00990B14" w:rsidRDefault="00990B14">
            <w:pPr>
              <w:spacing w:before="20" w:after="20"/>
            </w:pPr>
          </w:p>
        </w:tc>
        <w:tc>
          <w:tcPr>
            <w:tcW w:w="1825" w:type="dxa"/>
            <w:shd w:val="clear" w:color="auto" w:fill="4472C4"/>
            <w:vAlign w:val="center"/>
          </w:tcPr>
          <w:p w14:paraId="4259B49F" w14:textId="77777777" w:rsidR="00990B14" w:rsidRDefault="00000000">
            <w:pPr>
              <w:keepNext/>
              <w:spacing w:before="20" w:after="20"/>
              <w:jc w:val="center"/>
            </w:pPr>
            <w:r>
              <w:rPr>
                <w:b/>
                <w:bCs/>
                <w:i/>
                <w:iCs/>
                <w:color w:val="FFFFFF"/>
                <w:sz w:val="18"/>
                <w:szCs w:val="18"/>
              </w:rPr>
              <w:t>Criterio</w:t>
            </w:r>
          </w:p>
        </w:tc>
        <w:tc>
          <w:tcPr>
            <w:tcW w:w="1825" w:type="dxa"/>
            <w:shd w:val="clear" w:color="auto" w:fill="4472C4"/>
            <w:vAlign w:val="center"/>
          </w:tcPr>
          <w:p w14:paraId="067306F7" w14:textId="77777777" w:rsidR="00990B14" w:rsidRDefault="00000000">
            <w:pPr>
              <w:keepNext/>
              <w:spacing w:before="20" w:after="20"/>
              <w:jc w:val="center"/>
            </w:pPr>
            <w:r>
              <w:rPr>
                <w:b/>
                <w:bCs/>
                <w:i/>
                <w:iCs/>
                <w:color w:val="FFFFFF"/>
                <w:sz w:val="18"/>
                <w:szCs w:val="18"/>
              </w:rPr>
              <w:t>Insuficiente (1–50)</w:t>
            </w:r>
          </w:p>
        </w:tc>
        <w:tc>
          <w:tcPr>
            <w:tcW w:w="2120" w:type="dxa"/>
            <w:shd w:val="clear" w:color="auto" w:fill="4472C4"/>
            <w:vAlign w:val="center"/>
          </w:tcPr>
          <w:p w14:paraId="05DEE4FC" w14:textId="77777777" w:rsidR="00990B14" w:rsidRDefault="00000000">
            <w:pPr>
              <w:keepNext/>
              <w:spacing w:before="20" w:after="20"/>
              <w:jc w:val="center"/>
            </w:pPr>
            <w:r>
              <w:rPr>
                <w:b/>
                <w:bCs/>
                <w:i/>
                <w:iCs/>
                <w:color w:val="FFFFFF"/>
                <w:sz w:val="18"/>
                <w:szCs w:val="18"/>
              </w:rPr>
              <w:t>Suficiente (51–80)</w:t>
            </w:r>
          </w:p>
        </w:tc>
        <w:tc>
          <w:tcPr>
            <w:tcW w:w="1855" w:type="dxa"/>
            <w:shd w:val="clear" w:color="auto" w:fill="4472C4"/>
            <w:vAlign w:val="center"/>
          </w:tcPr>
          <w:p w14:paraId="53035450" w14:textId="77777777" w:rsidR="00990B14" w:rsidRDefault="00000000">
            <w:pPr>
              <w:keepNext/>
              <w:spacing w:before="20" w:after="20"/>
              <w:jc w:val="center"/>
            </w:pPr>
            <w:r>
              <w:rPr>
                <w:b/>
                <w:bCs/>
                <w:i/>
                <w:iCs/>
                <w:color w:val="FFFFFF"/>
                <w:sz w:val="18"/>
                <w:szCs w:val="18"/>
              </w:rPr>
              <w:t>Destacado (81–100)</w:t>
            </w:r>
          </w:p>
        </w:tc>
      </w:tr>
      <w:tr w:rsidR="00990B14" w14:paraId="01F3F15E" w14:textId="77777777">
        <w:trPr>
          <w:cantSplit/>
          <w:jc w:val="center"/>
        </w:trPr>
        <w:tc>
          <w:tcPr>
            <w:tcW w:w="1780" w:type="dxa"/>
            <w:vMerge/>
            <w:shd w:val="clear" w:color="auto" w:fill="4472C4"/>
            <w:vAlign w:val="center"/>
          </w:tcPr>
          <w:p w14:paraId="73632D06" w14:textId="77777777" w:rsidR="00990B14" w:rsidRDefault="00990B14">
            <w:pPr>
              <w:spacing w:before="20" w:after="20"/>
            </w:pPr>
          </w:p>
        </w:tc>
        <w:tc>
          <w:tcPr>
            <w:tcW w:w="1825" w:type="dxa"/>
            <w:shd w:val="clear" w:color="auto" w:fill="D9E2F3"/>
            <w:vAlign w:val="center"/>
          </w:tcPr>
          <w:p w14:paraId="3EC33BDC" w14:textId="77777777" w:rsidR="00990B14" w:rsidRDefault="00000000">
            <w:pPr>
              <w:spacing w:before="20" w:after="20"/>
              <w:jc w:val="both"/>
            </w:pPr>
            <w:r>
              <w:rPr>
                <w:sz w:val="18"/>
                <w:szCs w:val="18"/>
              </w:rPr>
              <w:t>Cuotas</w:t>
            </w:r>
          </w:p>
        </w:tc>
        <w:tc>
          <w:tcPr>
            <w:tcW w:w="1825" w:type="dxa"/>
            <w:shd w:val="clear" w:color="auto" w:fill="D9E2F3"/>
            <w:vAlign w:val="center"/>
          </w:tcPr>
          <w:p w14:paraId="62DC4A5A" w14:textId="77777777" w:rsidR="00990B14" w:rsidRDefault="00000000">
            <w:pPr>
              <w:spacing w:before="20" w:after="20"/>
              <w:jc w:val="both"/>
            </w:pPr>
            <w:r>
              <w:rPr>
                <w:sz w:val="18"/>
                <w:szCs w:val="18"/>
              </w:rPr>
              <w:t>Calcula mal la cuota o el interés.</w:t>
            </w:r>
          </w:p>
        </w:tc>
        <w:tc>
          <w:tcPr>
            <w:tcW w:w="2120" w:type="dxa"/>
            <w:shd w:val="clear" w:color="auto" w:fill="D9E2F3"/>
            <w:vAlign w:val="center"/>
          </w:tcPr>
          <w:p w14:paraId="381D39F5" w14:textId="77777777" w:rsidR="00990B14" w:rsidRDefault="00000000">
            <w:pPr>
              <w:spacing w:before="20" w:after="20"/>
              <w:jc w:val="both"/>
            </w:pPr>
            <w:r>
              <w:rPr>
                <w:sz w:val="18"/>
                <w:szCs w:val="18"/>
              </w:rPr>
              <w:t>Determina el capital, el interés y el saldo de cada cuota.</w:t>
            </w:r>
          </w:p>
        </w:tc>
        <w:tc>
          <w:tcPr>
            <w:tcW w:w="1855" w:type="dxa"/>
            <w:shd w:val="clear" w:color="auto" w:fill="D9E2F3"/>
            <w:vAlign w:val="center"/>
          </w:tcPr>
          <w:p w14:paraId="54454EFC" w14:textId="77777777" w:rsidR="00990B14" w:rsidRDefault="00000000">
            <w:pPr>
              <w:spacing w:before="20" w:after="20"/>
              <w:jc w:val="both"/>
            </w:pPr>
            <w:r>
              <w:rPr>
                <w:sz w:val="18"/>
                <w:szCs w:val="18"/>
              </w:rPr>
              <w:t>Comprueba que el saldo final sea cero.</w:t>
            </w:r>
          </w:p>
        </w:tc>
      </w:tr>
      <w:tr w:rsidR="00990B14" w14:paraId="68653542" w14:textId="77777777">
        <w:trPr>
          <w:cantSplit/>
          <w:jc w:val="center"/>
        </w:trPr>
        <w:tc>
          <w:tcPr>
            <w:tcW w:w="1780" w:type="dxa"/>
            <w:vMerge/>
            <w:shd w:val="clear" w:color="auto" w:fill="4472C4"/>
            <w:vAlign w:val="center"/>
          </w:tcPr>
          <w:p w14:paraId="067F5222" w14:textId="77777777" w:rsidR="00990B14" w:rsidRDefault="00990B14">
            <w:pPr>
              <w:spacing w:before="20" w:after="20"/>
            </w:pPr>
          </w:p>
        </w:tc>
        <w:tc>
          <w:tcPr>
            <w:tcW w:w="1825" w:type="dxa"/>
            <w:shd w:val="clear" w:color="auto" w:fill="D9E2F3"/>
            <w:vAlign w:val="center"/>
          </w:tcPr>
          <w:p w14:paraId="5D7E918F" w14:textId="77777777" w:rsidR="00990B14" w:rsidRDefault="00000000">
            <w:pPr>
              <w:spacing w:before="20" w:after="20"/>
              <w:jc w:val="both"/>
            </w:pPr>
            <w:r>
              <w:rPr>
                <w:sz w:val="18"/>
                <w:szCs w:val="18"/>
              </w:rPr>
              <w:t>Registro contable</w:t>
            </w:r>
          </w:p>
        </w:tc>
        <w:tc>
          <w:tcPr>
            <w:tcW w:w="1825" w:type="dxa"/>
            <w:shd w:val="clear" w:color="auto" w:fill="D9E2F3"/>
            <w:vAlign w:val="center"/>
          </w:tcPr>
          <w:p w14:paraId="5BA2F60D" w14:textId="77777777" w:rsidR="00990B14" w:rsidRDefault="00000000">
            <w:pPr>
              <w:spacing w:before="20" w:after="20"/>
              <w:jc w:val="both"/>
            </w:pPr>
            <w:r>
              <w:rPr>
                <w:sz w:val="18"/>
                <w:szCs w:val="18"/>
              </w:rPr>
              <w:t>Registra la cuota sin separar el interés.</w:t>
            </w:r>
          </w:p>
        </w:tc>
        <w:tc>
          <w:tcPr>
            <w:tcW w:w="2120" w:type="dxa"/>
            <w:shd w:val="clear" w:color="auto" w:fill="D9E2F3"/>
            <w:vAlign w:val="center"/>
          </w:tcPr>
          <w:p w14:paraId="15C63CD9" w14:textId="77777777" w:rsidR="00990B14" w:rsidRDefault="00000000">
            <w:pPr>
              <w:spacing w:before="20" w:after="20"/>
              <w:jc w:val="both"/>
            </w:pPr>
            <w:r>
              <w:rPr>
                <w:sz w:val="18"/>
                <w:szCs w:val="18"/>
              </w:rPr>
              <w:t>Registra el pago de capital e interés.</w:t>
            </w:r>
          </w:p>
        </w:tc>
        <w:tc>
          <w:tcPr>
            <w:tcW w:w="1855" w:type="dxa"/>
            <w:shd w:val="clear" w:color="auto" w:fill="D9E2F3"/>
            <w:vAlign w:val="center"/>
          </w:tcPr>
          <w:p w14:paraId="7119086D" w14:textId="77777777" w:rsidR="00990B14" w:rsidRDefault="00000000">
            <w:pPr>
              <w:spacing w:before="20" w:after="20"/>
              <w:jc w:val="both"/>
            </w:pPr>
            <w:r>
              <w:rPr>
                <w:sz w:val="18"/>
                <w:szCs w:val="18"/>
              </w:rPr>
              <w:t>Clasifica la porción corriente y no corriente.</w:t>
            </w:r>
          </w:p>
        </w:tc>
      </w:tr>
      <w:tr w:rsidR="00990B14" w14:paraId="109C1262" w14:textId="77777777">
        <w:trPr>
          <w:cantSplit/>
          <w:jc w:val="center"/>
        </w:trPr>
        <w:tc>
          <w:tcPr>
            <w:tcW w:w="1780" w:type="dxa"/>
            <w:vMerge/>
            <w:shd w:val="clear" w:color="auto" w:fill="4472C4"/>
            <w:vAlign w:val="center"/>
          </w:tcPr>
          <w:p w14:paraId="0DB901F7" w14:textId="77777777" w:rsidR="00990B14" w:rsidRDefault="00990B14">
            <w:pPr>
              <w:spacing w:before="20" w:after="20"/>
            </w:pPr>
          </w:p>
        </w:tc>
        <w:tc>
          <w:tcPr>
            <w:tcW w:w="1825" w:type="dxa"/>
            <w:shd w:val="clear" w:color="auto" w:fill="D9E2F3"/>
            <w:vAlign w:val="center"/>
          </w:tcPr>
          <w:p w14:paraId="0D8D242B" w14:textId="77777777" w:rsidR="00990B14" w:rsidRDefault="00000000">
            <w:pPr>
              <w:spacing w:before="20" w:after="20"/>
              <w:jc w:val="both"/>
            </w:pPr>
            <w:r>
              <w:rPr>
                <w:sz w:val="18"/>
                <w:szCs w:val="18"/>
              </w:rPr>
              <w:t>Uso de la hoja de cálculo</w:t>
            </w:r>
          </w:p>
        </w:tc>
        <w:tc>
          <w:tcPr>
            <w:tcW w:w="1825" w:type="dxa"/>
            <w:shd w:val="clear" w:color="auto" w:fill="D9E2F3"/>
            <w:vAlign w:val="center"/>
          </w:tcPr>
          <w:p w14:paraId="7AB14B60" w14:textId="77777777" w:rsidR="00990B14" w:rsidRDefault="00000000">
            <w:pPr>
              <w:spacing w:before="20" w:after="20"/>
              <w:jc w:val="both"/>
            </w:pPr>
            <w:r>
              <w:rPr>
                <w:sz w:val="18"/>
                <w:szCs w:val="18"/>
              </w:rPr>
              <w:t>No usa fórmulas.</w:t>
            </w:r>
          </w:p>
        </w:tc>
        <w:tc>
          <w:tcPr>
            <w:tcW w:w="2120" w:type="dxa"/>
            <w:shd w:val="clear" w:color="auto" w:fill="D9E2F3"/>
            <w:vAlign w:val="center"/>
          </w:tcPr>
          <w:p w14:paraId="7EA5A632" w14:textId="77777777" w:rsidR="00990B14" w:rsidRDefault="00000000">
            <w:pPr>
              <w:spacing w:before="20" w:after="20"/>
              <w:jc w:val="both"/>
            </w:pPr>
            <w:r>
              <w:rPr>
                <w:sz w:val="18"/>
                <w:szCs w:val="18"/>
              </w:rPr>
              <w:t>Usa fórmulas financieras.</w:t>
            </w:r>
          </w:p>
        </w:tc>
        <w:tc>
          <w:tcPr>
            <w:tcW w:w="1855" w:type="dxa"/>
            <w:shd w:val="clear" w:color="auto" w:fill="D9E2F3"/>
            <w:vAlign w:val="center"/>
          </w:tcPr>
          <w:p w14:paraId="33E5C3FA" w14:textId="77777777" w:rsidR="00990B14" w:rsidRDefault="00000000">
            <w:pPr>
              <w:spacing w:before="20" w:after="20"/>
              <w:jc w:val="both"/>
            </w:pPr>
            <w:r>
              <w:rPr>
                <w:sz w:val="18"/>
                <w:szCs w:val="18"/>
              </w:rPr>
              <w:t>El cuadro admite cambios de tasa y plazo.</w:t>
            </w:r>
          </w:p>
        </w:tc>
      </w:tr>
      <w:tr w:rsidR="00990B14" w14:paraId="4AF6C1E0" w14:textId="77777777">
        <w:trPr>
          <w:cantSplit/>
          <w:jc w:val="center"/>
        </w:trPr>
        <w:tc>
          <w:tcPr>
            <w:tcW w:w="1780" w:type="dxa"/>
            <w:vMerge/>
            <w:shd w:val="clear" w:color="auto" w:fill="4472C4"/>
            <w:vAlign w:val="center"/>
          </w:tcPr>
          <w:p w14:paraId="4E79F4CB" w14:textId="77777777" w:rsidR="00990B14" w:rsidRDefault="00990B14">
            <w:pPr>
              <w:spacing w:before="20" w:after="20"/>
            </w:pPr>
          </w:p>
        </w:tc>
        <w:tc>
          <w:tcPr>
            <w:tcW w:w="5770" w:type="dxa"/>
            <w:gridSpan w:val="3"/>
            <w:shd w:val="clear" w:color="auto" w:fill="D9E2F3"/>
            <w:vAlign w:val="center"/>
          </w:tcPr>
          <w:p w14:paraId="37B0FC9E" w14:textId="77777777" w:rsidR="00990B14" w:rsidRDefault="00000000">
            <w:pPr>
              <w:keepNext/>
              <w:spacing w:before="20" w:after="20"/>
              <w:jc w:val="both"/>
            </w:pPr>
            <w:r>
              <w:rPr>
                <w:b/>
                <w:bCs/>
                <w:i/>
                <w:iCs/>
                <w:sz w:val="18"/>
                <w:szCs w:val="18"/>
              </w:rPr>
              <w:t xml:space="preserve">Producto 30: </w:t>
            </w:r>
            <w:r>
              <w:rPr>
                <w:sz w:val="18"/>
                <w:szCs w:val="18"/>
              </w:rPr>
              <w:t>Registro de bonos por pagar</w:t>
            </w:r>
          </w:p>
        </w:tc>
        <w:tc>
          <w:tcPr>
            <w:tcW w:w="1855" w:type="dxa"/>
            <w:shd w:val="clear" w:color="auto" w:fill="D9E2F3"/>
            <w:vAlign w:val="center"/>
          </w:tcPr>
          <w:p w14:paraId="1BD81051" w14:textId="77777777" w:rsidR="00990B14" w:rsidRDefault="00000000">
            <w:pPr>
              <w:spacing w:before="20" w:after="20"/>
              <w:jc w:val="center"/>
            </w:pPr>
            <w:r>
              <w:rPr>
                <w:b/>
                <w:bCs/>
                <w:sz w:val="18"/>
                <w:szCs w:val="18"/>
              </w:rPr>
              <w:t>3%</w:t>
            </w:r>
          </w:p>
        </w:tc>
      </w:tr>
      <w:tr w:rsidR="00990B14" w14:paraId="48028C9C" w14:textId="77777777">
        <w:trPr>
          <w:cantSplit/>
          <w:jc w:val="center"/>
        </w:trPr>
        <w:tc>
          <w:tcPr>
            <w:tcW w:w="1780" w:type="dxa"/>
            <w:vMerge/>
            <w:shd w:val="clear" w:color="auto" w:fill="4472C4"/>
            <w:vAlign w:val="center"/>
          </w:tcPr>
          <w:p w14:paraId="77788F08" w14:textId="77777777" w:rsidR="00990B14" w:rsidRDefault="00990B14">
            <w:pPr>
              <w:spacing w:before="20" w:after="20"/>
            </w:pPr>
          </w:p>
        </w:tc>
        <w:tc>
          <w:tcPr>
            <w:tcW w:w="1825" w:type="dxa"/>
            <w:shd w:val="clear" w:color="auto" w:fill="4472C4"/>
            <w:vAlign w:val="center"/>
          </w:tcPr>
          <w:p w14:paraId="67140BE2" w14:textId="77777777" w:rsidR="00990B14" w:rsidRDefault="00000000">
            <w:pPr>
              <w:keepNext/>
              <w:spacing w:before="20" w:after="20"/>
              <w:jc w:val="center"/>
            </w:pPr>
            <w:r>
              <w:rPr>
                <w:b/>
                <w:bCs/>
                <w:i/>
                <w:iCs/>
                <w:color w:val="FFFFFF"/>
                <w:sz w:val="18"/>
                <w:szCs w:val="18"/>
              </w:rPr>
              <w:t>Criterio</w:t>
            </w:r>
          </w:p>
        </w:tc>
        <w:tc>
          <w:tcPr>
            <w:tcW w:w="1825" w:type="dxa"/>
            <w:shd w:val="clear" w:color="auto" w:fill="4472C4"/>
            <w:vAlign w:val="center"/>
          </w:tcPr>
          <w:p w14:paraId="0718BF30" w14:textId="77777777" w:rsidR="00990B14" w:rsidRDefault="00000000">
            <w:pPr>
              <w:keepNext/>
              <w:spacing w:before="20" w:after="20"/>
              <w:jc w:val="center"/>
            </w:pPr>
            <w:r>
              <w:rPr>
                <w:b/>
                <w:bCs/>
                <w:i/>
                <w:iCs/>
                <w:color w:val="FFFFFF"/>
                <w:sz w:val="18"/>
                <w:szCs w:val="18"/>
              </w:rPr>
              <w:t>Insuficiente (1–50)</w:t>
            </w:r>
          </w:p>
        </w:tc>
        <w:tc>
          <w:tcPr>
            <w:tcW w:w="2120" w:type="dxa"/>
            <w:shd w:val="clear" w:color="auto" w:fill="4472C4"/>
            <w:vAlign w:val="center"/>
          </w:tcPr>
          <w:p w14:paraId="5B6B3EFF" w14:textId="77777777" w:rsidR="00990B14" w:rsidRDefault="00000000">
            <w:pPr>
              <w:keepNext/>
              <w:spacing w:before="20" w:after="20"/>
              <w:jc w:val="center"/>
            </w:pPr>
            <w:r>
              <w:rPr>
                <w:b/>
                <w:bCs/>
                <w:i/>
                <w:iCs/>
                <w:color w:val="FFFFFF"/>
                <w:sz w:val="18"/>
                <w:szCs w:val="18"/>
              </w:rPr>
              <w:t>Suficiente (51–80)</w:t>
            </w:r>
          </w:p>
        </w:tc>
        <w:tc>
          <w:tcPr>
            <w:tcW w:w="1855" w:type="dxa"/>
            <w:shd w:val="clear" w:color="auto" w:fill="4472C4"/>
            <w:vAlign w:val="center"/>
          </w:tcPr>
          <w:p w14:paraId="3C5C9D12" w14:textId="77777777" w:rsidR="00990B14" w:rsidRDefault="00000000">
            <w:pPr>
              <w:keepNext/>
              <w:spacing w:before="20" w:after="20"/>
              <w:jc w:val="center"/>
            </w:pPr>
            <w:r>
              <w:rPr>
                <w:b/>
                <w:bCs/>
                <w:i/>
                <w:iCs/>
                <w:color w:val="FFFFFF"/>
                <w:sz w:val="18"/>
                <w:szCs w:val="18"/>
              </w:rPr>
              <w:t>Destacado (81–100)</w:t>
            </w:r>
          </w:p>
        </w:tc>
      </w:tr>
      <w:tr w:rsidR="00990B14" w14:paraId="74615C63" w14:textId="77777777">
        <w:trPr>
          <w:cantSplit/>
          <w:jc w:val="center"/>
        </w:trPr>
        <w:tc>
          <w:tcPr>
            <w:tcW w:w="1780" w:type="dxa"/>
            <w:vMerge/>
            <w:shd w:val="clear" w:color="auto" w:fill="4472C4"/>
            <w:vAlign w:val="center"/>
          </w:tcPr>
          <w:p w14:paraId="24D92B0B" w14:textId="77777777" w:rsidR="00990B14" w:rsidRDefault="00990B14">
            <w:pPr>
              <w:spacing w:before="20" w:after="20"/>
            </w:pPr>
          </w:p>
        </w:tc>
        <w:tc>
          <w:tcPr>
            <w:tcW w:w="1825" w:type="dxa"/>
            <w:shd w:val="clear" w:color="auto" w:fill="D9E2F3"/>
            <w:vAlign w:val="center"/>
          </w:tcPr>
          <w:p w14:paraId="3A550DD4" w14:textId="77777777" w:rsidR="00990B14" w:rsidRDefault="00000000">
            <w:pPr>
              <w:spacing w:before="20" w:after="20"/>
              <w:jc w:val="both"/>
            </w:pPr>
            <w:r>
              <w:rPr>
                <w:sz w:val="18"/>
                <w:szCs w:val="18"/>
              </w:rPr>
              <w:t>Emisión</w:t>
            </w:r>
          </w:p>
        </w:tc>
        <w:tc>
          <w:tcPr>
            <w:tcW w:w="1825" w:type="dxa"/>
            <w:shd w:val="clear" w:color="auto" w:fill="D9E2F3"/>
            <w:vAlign w:val="center"/>
          </w:tcPr>
          <w:p w14:paraId="6C0046C5" w14:textId="77777777" w:rsidR="00990B14" w:rsidRDefault="00000000">
            <w:pPr>
              <w:spacing w:before="20" w:after="20"/>
              <w:jc w:val="both"/>
            </w:pPr>
            <w:r>
              <w:rPr>
                <w:sz w:val="18"/>
                <w:szCs w:val="18"/>
              </w:rPr>
              <w:t>Registra mal la prima o el descuento.</w:t>
            </w:r>
          </w:p>
        </w:tc>
        <w:tc>
          <w:tcPr>
            <w:tcW w:w="2120" w:type="dxa"/>
            <w:shd w:val="clear" w:color="auto" w:fill="D9E2F3"/>
            <w:vAlign w:val="center"/>
          </w:tcPr>
          <w:p w14:paraId="61A7DBB7" w14:textId="77777777" w:rsidR="00990B14" w:rsidRDefault="00000000">
            <w:pPr>
              <w:spacing w:before="20" w:after="20"/>
              <w:jc w:val="both"/>
            </w:pPr>
            <w:r>
              <w:rPr>
                <w:sz w:val="18"/>
                <w:szCs w:val="18"/>
              </w:rPr>
              <w:t>Registra la emisión a la par, sobre y bajo la par.</w:t>
            </w:r>
          </w:p>
        </w:tc>
        <w:tc>
          <w:tcPr>
            <w:tcW w:w="1855" w:type="dxa"/>
            <w:shd w:val="clear" w:color="auto" w:fill="D9E2F3"/>
            <w:vAlign w:val="center"/>
          </w:tcPr>
          <w:p w14:paraId="7FA4E7E6" w14:textId="77777777" w:rsidR="00990B14" w:rsidRDefault="00000000">
            <w:pPr>
              <w:spacing w:before="20" w:after="20"/>
              <w:jc w:val="both"/>
            </w:pPr>
            <w:r>
              <w:rPr>
                <w:sz w:val="18"/>
                <w:szCs w:val="18"/>
              </w:rPr>
              <w:t>Explica el efecto de la tasa de mercado en el precio.</w:t>
            </w:r>
          </w:p>
        </w:tc>
      </w:tr>
      <w:tr w:rsidR="00990B14" w14:paraId="267690F9" w14:textId="77777777">
        <w:trPr>
          <w:cantSplit/>
          <w:jc w:val="center"/>
        </w:trPr>
        <w:tc>
          <w:tcPr>
            <w:tcW w:w="1780" w:type="dxa"/>
            <w:vMerge/>
            <w:shd w:val="clear" w:color="auto" w:fill="4472C4"/>
            <w:vAlign w:val="center"/>
          </w:tcPr>
          <w:p w14:paraId="5622294A" w14:textId="77777777" w:rsidR="00990B14" w:rsidRDefault="00990B14">
            <w:pPr>
              <w:spacing w:before="20" w:after="20"/>
            </w:pPr>
          </w:p>
        </w:tc>
        <w:tc>
          <w:tcPr>
            <w:tcW w:w="1825" w:type="dxa"/>
            <w:shd w:val="clear" w:color="auto" w:fill="D9E2F3"/>
            <w:vAlign w:val="center"/>
          </w:tcPr>
          <w:p w14:paraId="7796E84D" w14:textId="77777777" w:rsidR="00990B14" w:rsidRDefault="00000000">
            <w:pPr>
              <w:spacing w:before="20" w:after="20"/>
              <w:jc w:val="both"/>
            </w:pPr>
            <w:r>
              <w:rPr>
                <w:sz w:val="18"/>
                <w:szCs w:val="18"/>
              </w:rPr>
              <w:t>Interés y diferencial</w:t>
            </w:r>
          </w:p>
        </w:tc>
        <w:tc>
          <w:tcPr>
            <w:tcW w:w="1825" w:type="dxa"/>
            <w:shd w:val="clear" w:color="auto" w:fill="D9E2F3"/>
            <w:vAlign w:val="center"/>
          </w:tcPr>
          <w:p w14:paraId="735ACBCE" w14:textId="77777777" w:rsidR="00990B14" w:rsidRDefault="00000000">
            <w:pPr>
              <w:spacing w:before="20" w:after="20"/>
              <w:jc w:val="both"/>
            </w:pPr>
            <w:r>
              <w:rPr>
                <w:sz w:val="18"/>
                <w:szCs w:val="18"/>
              </w:rPr>
              <w:t>Omite el interés entre fechas.</w:t>
            </w:r>
          </w:p>
        </w:tc>
        <w:tc>
          <w:tcPr>
            <w:tcW w:w="2120" w:type="dxa"/>
            <w:shd w:val="clear" w:color="auto" w:fill="D9E2F3"/>
            <w:vAlign w:val="center"/>
          </w:tcPr>
          <w:p w14:paraId="7D498529" w14:textId="77777777" w:rsidR="00990B14" w:rsidRDefault="00000000">
            <w:pPr>
              <w:spacing w:before="20" w:after="20"/>
              <w:jc w:val="both"/>
            </w:pPr>
            <w:r>
              <w:rPr>
                <w:sz w:val="18"/>
                <w:szCs w:val="18"/>
              </w:rPr>
              <w:t>Registra el interés y la amortización del diferencial.</w:t>
            </w:r>
          </w:p>
        </w:tc>
        <w:tc>
          <w:tcPr>
            <w:tcW w:w="1855" w:type="dxa"/>
            <w:shd w:val="clear" w:color="auto" w:fill="D9E2F3"/>
            <w:vAlign w:val="center"/>
          </w:tcPr>
          <w:p w14:paraId="08866252" w14:textId="77777777" w:rsidR="00990B14" w:rsidRDefault="00000000">
            <w:pPr>
              <w:spacing w:before="20" w:after="20"/>
              <w:jc w:val="both"/>
            </w:pPr>
            <w:r>
              <w:rPr>
                <w:sz w:val="18"/>
                <w:szCs w:val="18"/>
              </w:rPr>
              <w:t>Verifica el saldo con la tabla de amortización.</w:t>
            </w:r>
          </w:p>
        </w:tc>
      </w:tr>
      <w:tr w:rsidR="00990B14" w14:paraId="2BD40110" w14:textId="77777777">
        <w:trPr>
          <w:cantSplit/>
          <w:jc w:val="center"/>
        </w:trPr>
        <w:tc>
          <w:tcPr>
            <w:tcW w:w="1780" w:type="dxa"/>
            <w:vMerge/>
            <w:shd w:val="clear" w:color="auto" w:fill="4472C4"/>
            <w:vAlign w:val="center"/>
          </w:tcPr>
          <w:p w14:paraId="2DA4683D" w14:textId="77777777" w:rsidR="00990B14" w:rsidRDefault="00990B14">
            <w:pPr>
              <w:spacing w:before="20" w:after="20"/>
            </w:pPr>
          </w:p>
        </w:tc>
        <w:tc>
          <w:tcPr>
            <w:tcW w:w="1825" w:type="dxa"/>
            <w:shd w:val="clear" w:color="auto" w:fill="D9E2F3"/>
            <w:vAlign w:val="center"/>
          </w:tcPr>
          <w:p w14:paraId="173FC674" w14:textId="77777777" w:rsidR="00990B14" w:rsidRDefault="00000000">
            <w:pPr>
              <w:spacing w:before="20" w:after="20"/>
              <w:jc w:val="both"/>
            </w:pPr>
            <w:r>
              <w:rPr>
                <w:sz w:val="18"/>
                <w:szCs w:val="18"/>
              </w:rPr>
              <w:t>Recompra y retiro</w:t>
            </w:r>
          </w:p>
        </w:tc>
        <w:tc>
          <w:tcPr>
            <w:tcW w:w="1825" w:type="dxa"/>
            <w:shd w:val="clear" w:color="auto" w:fill="D9E2F3"/>
            <w:vAlign w:val="center"/>
          </w:tcPr>
          <w:p w14:paraId="04ACFEE6" w14:textId="77777777" w:rsidR="00990B14" w:rsidRDefault="00000000">
            <w:pPr>
              <w:spacing w:before="20" w:after="20"/>
              <w:jc w:val="both"/>
            </w:pPr>
            <w:r>
              <w:rPr>
                <w:sz w:val="18"/>
                <w:szCs w:val="18"/>
              </w:rPr>
              <w:t>Determina mal el resultado de la recompra.</w:t>
            </w:r>
          </w:p>
        </w:tc>
        <w:tc>
          <w:tcPr>
            <w:tcW w:w="2120" w:type="dxa"/>
            <w:shd w:val="clear" w:color="auto" w:fill="D9E2F3"/>
            <w:vAlign w:val="center"/>
          </w:tcPr>
          <w:p w14:paraId="7BBB7E37" w14:textId="77777777" w:rsidR="00990B14" w:rsidRDefault="00000000">
            <w:pPr>
              <w:spacing w:before="20" w:after="20"/>
              <w:jc w:val="both"/>
            </w:pPr>
            <w:r>
              <w:rPr>
                <w:sz w:val="18"/>
                <w:szCs w:val="18"/>
              </w:rPr>
              <w:t>Registra la recompra y el retiro.</w:t>
            </w:r>
          </w:p>
        </w:tc>
        <w:tc>
          <w:tcPr>
            <w:tcW w:w="1855" w:type="dxa"/>
            <w:shd w:val="clear" w:color="auto" w:fill="D9E2F3"/>
            <w:vAlign w:val="center"/>
          </w:tcPr>
          <w:p w14:paraId="62E5FAD1" w14:textId="77777777" w:rsidR="00990B14" w:rsidRDefault="00000000">
            <w:pPr>
              <w:spacing w:before="20" w:after="20"/>
              <w:jc w:val="both"/>
            </w:pPr>
            <w:r>
              <w:rPr>
                <w:sz w:val="18"/>
                <w:szCs w:val="18"/>
              </w:rPr>
              <w:t>Explica el uso del fondo de amortización.</w:t>
            </w:r>
          </w:p>
        </w:tc>
      </w:tr>
      <w:tr w:rsidR="00990B14" w14:paraId="51A83BD2" w14:textId="77777777">
        <w:trPr>
          <w:cantSplit/>
          <w:jc w:val="center"/>
        </w:trPr>
        <w:tc>
          <w:tcPr>
            <w:tcW w:w="1780" w:type="dxa"/>
            <w:vMerge/>
            <w:shd w:val="clear" w:color="auto" w:fill="4472C4"/>
            <w:vAlign w:val="center"/>
          </w:tcPr>
          <w:p w14:paraId="7F39942E" w14:textId="77777777" w:rsidR="00990B14" w:rsidRDefault="00990B14">
            <w:pPr>
              <w:spacing w:before="20" w:after="20"/>
            </w:pPr>
          </w:p>
        </w:tc>
        <w:tc>
          <w:tcPr>
            <w:tcW w:w="5770" w:type="dxa"/>
            <w:gridSpan w:val="3"/>
            <w:shd w:val="clear" w:color="auto" w:fill="D9E2F3"/>
            <w:vAlign w:val="center"/>
          </w:tcPr>
          <w:p w14:paraId="5EF6B2F4" w14:textId="77777777" w:rsidR="00990B14" w:rsidRDefault="00000000">
            <w:pPr>
              <w:keepNext/>
              <w:spacing w:before="20" w:after="20"/>
              <w:jc w:val="both"/>
            </w:pPr>
            <w:r>
              <w:rPr>
                <w:b/>
                <w:bCs/>
                <w:i/>
                <w:iCs/>
                <w:sz w:val="18"/>
                <w:szCs w:val="18"/>
              </w:rPr>
              <w:t xml:space="preserve">Producto 31: </w:t>
            </w:r>
            <w:r>
              <w:rPr>
                <w:sz w:val="18"/>
                <w:szCs w:val="18"/>
              </w:rPr>
              <w:t>Cuadro comparativo de arrendamientos</w:t>
            </w:r>
          </w:p>
        </w:tc>
        <w:tc>
          <w:tcPr>
            <w:tcW w:w="1855" w:type="dxa"/>
            <w:shd w:val="clear" w:color="auto" w:fill="D9E2F3"/>
            <w:vAlign w:val="center"/>
          </w:tcPr>
          <w:p w14:paraId="393C196D" w14:textId="77777777" w:rsidR="00990B14" w:rsidRDefault="00000000">
            <w:pPr>
              <w:spacing w:before="20" w:after="20"/>
              <w:jc w:val="center"/>
            </w:pPr>
            <w:r>
              <w:rPr>
                <w:b/>
                <w:bCs/>
                <w:sz w:val="18"/>
                <w:szCs w:val="18"/>
              </w:rPr>
              <w:t>3%</w:t>
            </w:r>
          </w:p>
        </w:tc>
      </w:tr>
      <w:tr w:rsidR="00990B14" w14:paraId="60BA656B" w14:textId="77777777">
        <w:trPr>
          <w:cantSplit/>
          <w:jc w:val="center"/>
        </w:trPr>
        <w:tc>
          <w:tcPr>
            <w:tcW w:w="1780" w:type="dxa"/>
            <w:vMerge/>
            <w:shd w:val="clear" w:color="auto" w:fill="4472C4"/>
            <w:vAlign w:val="center"/>
          </w:tcPr>
          <w:p w14:paraId="3E0BBD3B" w14:textId="77777777" w:rsidR="00990B14" w:rsidRDefault="00990B14">
            <w:pPr>
              <w:spacing w:before="20" w:after="20"/>
            </w:pPr>
          </w:p>
        </w:tc>
        <w:tc>
          <w:tcPr>
            <w:tcW w:w="1825" w:type="dxa"/>
            <w:shd w:val="clear" w:color="auto" w:fill="4472C4"/>
            <w:vAlign w:val="center"/>
          </w:tcPr>
          <w:p w14:paraId="63676762" w14:textId="77777777" w:rsidR="00990B14" w:rsidRDefault="00000000">
            <w:pPr>
              <w:keepNext/>
              <w:spacing w:before="20" w:after="20"/>
              <w:jc w:val="center"/>
            </w:pPr>
            <w:r>
              <w:rPr>
                <w:b/>
                <w:bCs/>
                <w:i/>
                <w:iCs/>
                <w:color w:val="FFFFFF"/>
                <w:sz w:val="18"/>
                <w:szCs w:val="18"/>
              </w:rPr>
              <w:t>Criterio</w:t>
            </w:r>
          </w:p>
        </w:tc>
        <w:tc>
          <w:tcPr>
            <w:tcW w:w="1825" w:type="dxa"/>
            <w:shd w:val="clear" w:color="auto" w:fill="4472C4"/>
            <w:vAlign w:val="center"/>
          </w:tcPr>
          <w:p w14:paraId="10F60A79" w14:textId="77777777" w:rsidR="00990B14" w:rsidRDefault="00000000">
            <w:pPr>
              <w:keepNext/>
              <w:spacing w:before="20" w:after="20"/>
              <w:jc w:val="center"/>
            </w:pPr>
            <w:r>
              <w:rPr>
                <w:b/>
                <w:bCs/>
                <w:i/>
                <w:iCs/>
                <w:color w:val="FFFFFF"/>
                <w:sz w:val="18"/>
                <w:szCs w:val="18"/>
              </w:rPr>
              <w:t>Insuficiente (1–50)</w:t>
            </w:r>
          </w:p>
        </w:tc>
        <w:tc>
          <w:tcPr>
            <w:tcW w:w="2120" w:type="dxa"/>
            <w:shd w:val="clear" w:color="auto" w:fill="4472C4"/>
            <w:vAlign w:val="center"/>
          </w:tcPr>
          <w:p w14:paraId="49FC7EB3" w14:textId="77777777" w:rsidR="00990B14" w:rsidRDefault="00000000">
            <w:pPr>
              <w:keepNext/>
              <w:spacing w:before="20" w:after="20"/>
              <w:jc w:val="center"/>
            </w:pPr>
            <w:r>
              <w:rPr>
                <w:b/>
                <w:bCs/>
                <w:i/>
                <w:iCs/>
                <w:color w:val="FFFFFF"/>
                <w:sz w:val="18"/>
                <w:szCs w:val="18"/>
              </w:rPr>
              <w:t>Suficiente (51–80)</w:t>
            </w:r>
          </w:p>
        </w:tc>
        <w:tc>
          <w:tcPr>
            <w:tcW w:w="1855" w:type="dxa"/>
            <w:shd w:val="clear" w:color="auto" w:fill="4472C4"/>
            <w:vAlign w:val="center"/>
          </w:tcPr>
          <w:p w14:paraId="76958273" w14:textId="77777777" w:rsidR="00990B14" w:rsidRDefault="00000000">
            <w:pPr>
              <w:keepNext/>
              <w:spacing w:before="20" w:after="20"/>
              <w:jc w:val="center"/>
            </w:pPr>
            <w:r>
              <w:rPr>
                <w:b/>
                <w:bCs/>
                <w:i/>
                <w:iCs/>
                <w:color w:val="FFFFFF"/>
                <w:sz w:val="18"/>
                <w:szCs w:val="18"/>
              </w:rPr>
              <w:t>Destacado (81–100)</w:t>
            </w:r>
          </w:p>
        </w:tc>
      </w:tr>
      <w:tr w:rsidR="00990B14" w14:paraId="3D2E2170" w14:textId="77777777">
        <w:trPr>
          <w:cantSplit/>
          <w:jc w:val="center"/>
        </w:trPr>
        <w:tc>
          <w:tcPr>
            <w:tcW w:w="1780" w:type="dxa"/>
            <w:vMerge/>
            <w:shd w:val="clear" w:color="auto" w:fill="4472C4"/>
            <w:vAlign w:val="center"/>
          </w:tcPr>
          <w:p w14:paraId="69D1AC96" w14:textId="77777777" w:rsidR="00990B14" w:rsidRDefault="00990B14">
            <w:pPr>
              <w:spacing w:before="20" w:after="20"/>
            </w:pPr>
          </w:p>
        </w:tc>
        <w:tc>
          <w:tcPr>
            <w:tcW w:w="1825" w:type="dxa"/>
            <w:shd w:val="clear" w:color="auto" w:fill="D9E2F3"/>
            <w:vAlign w:val="center"/>
          </w:tcPr>
          <w:p w14:paraId="2BD6D3DB" w14:textId="77777777" w:rsidR="00990B14" w:rsidRDefault="00000000">
            <w:pPr>
              <w:spacing w:before="20" w:after="20"/>
              <w:jc w:val="both"/>
            </w:pPr>
            <w:r>
              <w:rPr>
                <w:sz w:val="18"/>
                <w:szCs w:val="18"/>
              </w:rPr>
              <w:t>Clasificación</w:t>
            </w:r>
          </w:p>
        </w:tc>
        <w:tc>
          <w:tcPr>
            <w:tcW w:w="1825" w:type="dxa"/>
            <w:shd w:val="clear" w:color="auto" w:fill="D9E2F3"/>
            <w:vAlign w:val="center"/>
          </w:tcPr>
          <w:p w14:paraId="6B8A3878" w14:textId="77777777" w:rsidR="00990B14" w:rsidRDefault="00000000">
            <w:pPr>
              <w:spacing w:before="20" w:after="20"/>
              <w:jc w:val="both"/>
            </w:pPr>
            <w:r>
              <w:rPr>
                <w:sz w:val="18"/>
                <w:szCs w:val="18"/>
              </w:rPr>
              <w:t>Clasifica mal el contrato.</w:t>
            </w:r>
          </w:p>
        </w:tc>
        <w:tc>
          <w:tcPr>
            <w:tcW w:w="2120" w:type="dxa"/>
            <w:shd w:val="clear" w:color="auto" w:fill="D9E2F3"/>
            <w:vAlign w:val="center"/>
          </w:tcPr>
          <w:p w14:paraId="30A55179" w14:textId="77777777" w:rsidR="00990B14" w:rsidRDefault="00000000">
            <w:pPr>
              <w:spacing w:before="20" w:after="20"/>
              <w:jc w:val="both"/>
            </w:pPr>
            <w:r>
              <w:rPr>
                <w:sz w:val="18"/>
                <w:szCs w:val="18"/>
              </w:rPr>
              <w:t>Distingue el arrendamiento financiero del operativo.</w:t>
            </w:r>
          </w:p>
        </w:tc>
        <w:tc>
          <w:tcPr>
            <w:tcW w:w="1855" w:type="dxa"/>
            <w:shd w:val="clear" w:color="auto" w:fill="D9E2F3"/>
            <w:vAlign w:val="center"/>
          </w:tcPr>
          <w:p w14:paraId="51336ECA" w14:textId="77777777" w:rsidR="00990B14" w:rsidRDefault="00000000">
            <w:pPr>
              <w:spacing w:before="20" w:after="20"/>
              <w:jc w:val="both"/>
            </w:pPr>
            <w:r>
              <w:rPr>
                <w:sz w:val="18"/>
                <w:szCs w:val="18"/>
              </w:rPr>
              <w:t>Justifica la clasificación con las cláusulas del contrato.</w:t>
            </w:r>
          </w:p>
        </w:tc>
      </w:tr>
      <w:tr w:rsidR="00990B14" w14:paraId="6764C410" w14:textId="77777777">
        <w:trPr>
          <w:cantSplit/>
          <w:jc w:val="center"/>
        </w:trPr>
        <w:tc>
          <w:tcPr>
            <w:tcW w:w="1780" w:type="dxa"/>
            <w:vMerge/>
            <w:shd w:val="clear" w:color="auto" w:fill="4472C4"/>
            <w:vAlign w:val="center"/>
          </w:tcPr>
          <w:p w14:paraId="2DC5884D" w14:textId="77777777" w:rsidR="00990B14" w:rsidRDefault="00990B14">
            <w:pPr>
              <w:spacing w:before="20" w:after="20"/>
            </w:pPr>
          </w:p>
        </w:tc>
        <w:tc>
          <w:tcPr>
            <w:tcW w:w="1825" w:type="dxa"/>
            <w:shd w:val="clear" w:color="auto" w:fill="D9E2F3"/>
            <w:vAlign w:val="center"/>
          </w:tcPr>
          <w:p w14:paraId="0E0AB7CF" w14:textId="77777777" w:rsidR="00990B14" w:rsidRDefault="00000000">
            <w:pPr>
              <w:spacing w:before="20" w:after="20"/>
              <w:jc w:val="both"/>
            </w:pPr>
            <w:r>
              <w:rPr>
                <w:sz w:val="18"/>
                <w:szCs w:val="18"/>
              </w:rPr>
              <w:t>Registro en ambas partes</w:t>
            </w:r>
          </w:p>
        </w:tc>
        <w:tc>
          <w:tcPr>
            <w:tcW w:w="1825" w:type="dxa"/>
            <w:shd w:val="clear" w:color="auto" w:fill="D9E2F3"/>
            <w:vAlign w:val="center"/>
          </w:tcPr>
          <w:p w14:paraId="4C3A3EC4" w14:textId="77777777" w:rsidR="00990B14" w:rsidRDefault="00000000">
            <w:pPr>
              <w:spacing w:before="20" w:after="20"/>
              <w:jc w:val="both"/>
            </w:pPr>
            <w:r>
              <w:rPr>
                <w:sz w:val="18"/>
                <w:szCs w:val="18"/>
              </w:rPr>
              <w:t>Registra solo una de las partes.</w:t>
            </w:r>
          </w:p>
        </w:tc>
        <w:tc>
          <w:tcPr>
            <w:tcW w:w="2120" w:type="dxa"/>
            <w:shd w:val="clear" w:color="auto" w:fill="D9E2F3"/>
            <w:vAlign w:val="center"/>
          </w:tcPr>
          <w:p w14:paraId="7186B260" w14:textId="77777777" w:rsidR="00990B14" w:rsidRDefault="00000000">
            <w:pPr>
              <w:spacing w:before="20" w:after="20"/>
              <w:jc w:val="both"/>
            </w:pPr>
            <w:r>
              <w:rPr>
                <w:sz w:val="18"/>
                <w:szCs w:val="18"/>
              </w:rPr>
              <w:t>Registra el contrato en el arrendador y en el arrendatario.</w:t>
            </w:r>
          </w:p>
        </w:tc>
        <w:tc>
          <w:tcPr>
            <w:tcW w:w="1855" w:type="dxa"/>
            <w:shd w:val="clear" w:color="auto" w:fill="D9E2F3"/>
            <w:vAlign w:val="center"/>
          </w:tcPr>
          <w:p w14:paraId="57761086" w14:textId="77777777" w:rsidR="00990B14" w:rsidRDefault="00000000">
            <w:pPr>
              <w:spacing w:before="20" w:after="20"/>
              <w:jc w:val="both"/>
            </w:pPr>
            <w:r>
              <w:rPr>
                <w:sz w:val="18"/>
                <w:szCs w:val="18"/>
              </w:rPr>
              <w:t>Explica la naturaleza de cada cuenta.</w:t>
            </w:r>
          </w:p>
        </w:tc>
      </w:tr>
      <w:tr w:rsidR="00990B14" w14:paraId="2E00B6F6" w14:textId="77777777">
        <w:trPr>
          <w:cantSplit/>
          <w:jc w:val="center"/>
        </w:trPr>
        <w:tc>
          <w:tcPr>
            <w:tcW w:w="1780" w:type="dxa"/>
            <w:vMerge/>
            <w:shd w:val="clear" w:color="auto" w:fill="4472C4"/>
            <w:vAlign w:val="center"/>
          </w:tcPr>
          <w:p w14:paraId="1FC27C6C" w14:textId="77777777" w:rsidR="00990B14" w:rsidRDefault="00990B14">
            <w:pPr>
              <w:spacing w:before="20" w:after="20"/>
            </w:pPr>
          </w:p>
        </w:tc>
        <w:tc>
          <w:tcPr>
            <w:tcW w:w="1825" w:type="dxa"/>
            <w:shd w:val="clear" w:color="auto" w:fill="D9E2F3"/>
            <w:vAlign w:val="center"/>
          </w:tcPr>
          <w:p w14:paraId="032BF036" w14:textId="77777777" w:rsidR="00990B14" w:rsidRDefault="00000000">
            <w:pPr>
              <w:spacing w:before="20" w:after="20"/>
              <w:jc w:val="both"/>
            </w:pPr>
            <w:r>
              <w:rPr>
                <w:sz w:val="18"/>
                <w:szCs w:val="18"/>
              </w:rPr>
              <w:t>Trabajo en equipo</w:t>
            </w:r>
          </w:p>
        </w:tc>
        <w:tc>
          <w:tcPr>
            <w:tcW w:w="1825" w:type="dxa"/>
            <w:shd w:val="clear" w:color="auto" w:fill="D9E2F3"/>
            <w:vAlign w:val="center"/>
          </w:tcPr>
          <w:p w14:paraId="47AB0B34" w14:textId="77777777" w:rsidR="00990B14" w:rsidRDefault="00000000">
            <w:pPr>
              <w:spacing w:before="20" w:after="20"/>
              <w:jc w:val="both"/>
            </w:pPr>
            <w:r>
              <w:rPr>
                <w:sz w:val="18"/>
                <w:szCs w:val="18"/>
              </w:rPr>
              <w:t>La participación es desigual.</w:t>
            </w:r>
          </w:p>
        </w:tc>
        <w:tc>
          <w:tcPr>
            <w:tcW w:w="2120" w:type="dxa"/>
            <w:shd w:val="clear" w:color="auto" w:fill="D9E2F3"/>
            <w:vAlign w:val="center"/>
          </w:tcPr>
          <w:p w14:paraId="07D99D97" w14:textId="77777777" w:rsidR="00990B14" w:rsidRDefault="00000000">
            <w:pPr>
              <w:spacing w:before="20" w:after="20"/>
              <w:jc w:val="both"/>
            </w:pPr>
            <w:r>
              <w:rPr>
                <w:sz w:val="18"/>
                <w:szCs w:val="18"/>
              </w:rPr>
              <w:t>Todos los integrantes participan.</w:t>
            </w:r>
          </w:p>
        </w:tc>
        <w:tc>
          <w:tcPr>
            <w:tcW w:w="1855" w:type="dxa"/>
            <w:shd w:val="clear" w:color="auto" w:fill="D9E2F3"/>
            <w:vAlign w:val="center"/>
          </w:tcPr>
          <w:p w14:paraId="427F7037" w14:textId="77777777" w:rsidR="00990B14" w:rsidRDefault="00000000">
            <w:pPr>
              <w:spacing w:before="20" w:after="20"/>
              <w:jc w:val="both"/>
            </w:pPr>
            <w:r>
              <w:rPr>
                <w:sz w:val="18"/>
                <w:szCs w:val="18"/>
              </w:rPr>
              <w:t>El equipo sustenta su análisis ante el curso.</w:t>
            </w:r>
          </w:p>
        </w:tc>
      </w:tr>
      <w:tr w:rsidR="00990B14" w14:paraId="3F3FA51F" w14:textId="77777777">
        <w:trPr>
          <w:cantSplit/>
          <w:jc w:val="center"/>
        </w:trPr>
        <w:tc>
          <w:tcPr>
            <w:tcW w:w="1780" w:type="dxa"/>
            <w:vMerge/>
            <w:shd w:val="clear" w:color="auto" w:fill="4472C4"/>
            <w:vAlign w:val="center"/>
          </w:tcPr>
          <w:p w14:paraId="6C77D20F" w14:textId="77777777" w:rsidR="00990B14" w:rsidRDefault="00990B14">
            <w:pPr>
              <w:spacing w:before="20" w:after="20"/>
            </w:pPr>
          </w:p>
        </w:tc>
        <w:tc>
          <w:tcPr>
            <w:tcW w:w="5770" w:type="dxa"/>
            <w:gridSpan w:val="3"/>
            <w:shd w:val="clear" w:color="auto" w:fill="D9E2F3"/>
            <w:vAlign w:val="center"/>
          </w:tcPr>
          <w:p w14:paraId="4BC2695B" w14:textId="77777777" w:rsidR="00990B14" w:rsidRDefault="00000000">
            <w:pPr>
              <w:keepNext/>
              <w:spacing w:before="20" w:after="20"/>
              <w:jc w:val="both"/>
            </w:pPr>
            <w:r>
              <w:rPr>
                <w:b/>
                <w:bCs/>
                <w:i/>
                <w:iCs/>
                <w:sz w:val="18"/>
                <w:szCs w:val="18"/>
              </w:rPr>
              <w:t xml:space="preserve">Producto 32: </w:t>
            </w:r>
            <w:r>
              <w:rPr>
                <w:sz w:val="18"/>
                <w:szCs w:val="18"/>
              </w:rPr>
              <w:t>Tabla del pasivo por arrendamiento</w:t>
            </w:r>
          </w:p>
        </w:tc>
        <w:tc>
          <w:tcPr>
            <w:tcW w:w="1855" w:type="dxa"/>
            <w:shd w:val="clear" w:color="auto" w:fill="D9E2F3"/>
            <w:vAlign w:val="center"/>
          </w:tcPr>
          <w:p w14:paraId="7C50B513" w14:textId="77777777" w:rsidR="00990B14" w:rsidRDefault="00000000">
            <w:pPr>
              <w:spacing w:before="20" w:after="20"/>
              <w:jc w:val="center"/>
            </w:pPr>
            <w:r>
              <w:rPr>
                <w:b/>
                <w:bCs/>
                <w:sz w:val="18"/>
                <w:szCs w:val="18"/>
              </w:rPr>
              <w:t>3%</w:t>
            </w:r>
          </w:p>
        </w:tc>
      </w:tr>
      <w:tr w:rsidR="00990B14" w14:paraId="57FCE166" w14:textId="77777777">
        <w:trPr>
          <w:cantSplit/>
          <w:jc w:val="center"/>
        </w:trPr>
        <w:tc>
          <w:tcPr>
            <w:tcW w:w="1780" w:type="dxa"/>
            <w:vMerge/>
            <w:shd w:val="clear" w:color="auto" w:fill="4472C4"/>
            <w:vAlign w:val="center"/>
          </w:tcPr>
          <w:p w14:paraId="07AE5CA0" w14:textId="77777777" w:rsidR="00990B14" w:rsidRDefault="00990B14">
            <w:pPr>
              <w:spacing w:before="20" w:after="20"/>
            </w:pPr>
          </w:p>
        </w:tc>
        <w:tc>
          <w:tcPr>
            <w:tcW w:w="1825" w:type="dxa"/>
            <w:shd w:val="clear" w:color="auto" w:fill="4472C4"/>
            <w:vAlign w:val="center"/>
          </w:tcPr>
          <w:p w14:paraId="472408BE" w14:textId="77777777" w:rsidR="00990B14" w:rsidRDefault="00000000">
            <w:pPr>
              <w:keepNext/>
              <w:spacing w:before="20" w:after="20"/>
              <w:jc w:val="center"/>
            </w:pPr>
            <w:r>
              <w:rPr>
                <w:b/>
                <w:bCs/>
                <w:i/>
                <w:iCs/>
                <w:color w:val="FFFFFF"/>
                <w:sz w:val="18"/>
                <w:szCs w:val="18"/>
              </w:rPr>
              <w:t>Criterio</w:t>
            </w:r>
          </w:p>
        </w:tc>
        <w:tc>
          <w:tcPr>
            <w:tcW w:w="1825" w:type="dxa"/>
            <w:shd w:val="clear" w:color="auto" w:fill="4472C4"/>
            <w:vAlign w:val="center"/>
          </w:tcPr>
          <w:p w14:paraId="4C7037B7" w14:textId="77777777" w:rsidR="00990B14" w:rsidRDefault="00000000">
            <w:pPr>
              <w:keepNext/>
              <w:spacing w:before="20" w:after="20"/>
              <w:jc w:val="center"/>
            </w:pPr>
            <w:r>
              <w:rPr>
                <w:b/>
                <w:bCs/>
                <w:i/>
                <w:iCs/>
                <w:color w:val="FFFFFF"/>
                <w:sz w:val="18"/>
                <w:szCs w:val="18"/>
              </w:rPr>
              <w:t>Insuficiente (1–50)</w:t>
            </w:r>
          </w:p>
        </w:tc>
        <w:tc>
          <w:tcPr>
            <w:tcW w:w="2120" w:type="dxa"/>
            <w:shd w:val="clear" w:color="auto" w:fill="4472C4"/>
            <w:vAlign w:val="center"/>
          </w:tcPr>
          <w:p w14:paraId="08164764" w14:textId="77777777" w:rsidR="00990B14" w:rsidRDefault="00000000">
            <w:pPr>
              <w:keepNext/>
              <w:spacing w:before="20" w:after="20"/>
              <w:jc w:val="center"/>
            </w:pPr>
            <w:r>
              <w:rPr>
                <w:b/>
                <w:bCs/>
                <w:i/>
                <w:iCs/>
                <w:color w:val="FFFFFF"/>
                <w:sz w:val="18"/>
                <w:szCs w:val="18"/>
              </w:rPr>
              <w:t>Suficiente (51–80)</w:t>
            </w:r>
          </w:p>
        </w:tc>
        <w:tc>
          <w:tcPr>
            <w:tcW w:w="1855" w:type="dxa"/>
            <w:shd w:val="clear" w:color="auto" w:fill="4472C4"/>
            <w:vAlign w:val="center"/>
          </w:tcPr>
          <w:p w14:paraId="59BD8DFC" w14:textId="77777777" w:rsidR="00990B14" w:rsidRDefault="00000000">
            <w:pPr>
              <w:keepNext/>
              <w:spacing w:before="20" w:after="20"/>
              <w:jc w:val="center"/>
            </w:pPr>
            <w:r>
              <w:rPr>
                <w:b/>
                <w:bCs/>
                <w:i/>
                <w:iCs/>
                <w:color w:val="FFFFFF"/>
                <w:sz w:val="18"/>
                <w:szCs w:val="18"/>
              </w:rPr>
              <w:t>Destacado (81–100)</w:t>
            </w:r>
          </w:p>
        </w:tc>
      </w:tr>
      <w:tr w:rsidR="00990B14" w14:paraId="240DBE9F" w14:textId="77777777">
        <w:trPr>
          <w:cantSplit/>
          <w:jc w:val="center"/>
        </w:trPr>
        <w:tc>
          <w:tcPr>
            <w:tcW w:w="1780" w:type="dxa"/>
            <w:vMerge/>
            <w:shd w:val="clear" w:color="auto" w:fill="4472C4"/>
            <w:vAlign w:val="center"/>
          </w:tcPr>
          <w:p w14:paraId="1B5FF2A1" w14:textId="77777777" w:rsidR="00990B14" w:rsidRDefault="00990B14">
            <w:pPr>
              <w:spacing w:before="20" w:after="20"/>
            </w:pPr>
          </w:p>
        </w:tc>
        <w:tc>
          <w:tcPr>
            <w:tcW w:w="1825" w:type="dxa"/>
            <w:shd w:val="clear" w:color="auto" w:fill="D9E2F3"/>
            <w:vAlign w:val="center"/>
          </w:tcPr>
          <w:p w14:paraId="4AEBC588" w14:textId="77777777" w:rsidR="00990B14" w:rsidRDefault="00000000">
            <w:pPr>
              <w:spacing w:before="20" w:after="20"/>
              <w:jc w:val="both"/>
            </w:pPr>
            <w:r>
              <w:rPr>
                <w:sz w:val="18"/>
                <w:szCs w:val="18"/>
              </w:rPr>
              <w:t>Medición inicial</w:t>
            </w:r>
          </w:p>
        </w:tc>
        <w:tc>
          <w:tcPr>
            <w:tcW w:w="1825" w:type="dxa"/>
            <w:shd w:val="clear" w:color="auto" w:fill="D9E2F3"/>
            <w:vAlign w:val="center"/>
          </w:tcPr>
          <w:p w14:paraId="5205D157" w14:textId="77777777" w:rsidR="00990B14" w:rsidRDefault="00000000">
            <w:pPr>
              <w:spacing w:before="20" w:after="20"/>
              <w:jc w:val="both"/>
            </w:pPr>
            <w:r>
              <w:rPr>
                <w:sz w:val="18"/>
                <w:szCs w:val="18"/>
              </w:rPr>
              <w:t>Descuenta los pagos con una tasa errada.</w:t>
            </w:r>
          </w:p>
        </w:tc>
        <w:tc>
          <w:tcPr>
            <w:tcW w:w="2120" w:type="dxa"/>
            <w:shd w:val="clear" w:color="auto" w:fill="D9E2F3"/>
            <w:vAlign w:val="center"/>
          </w:tcPr>
          <w:p w14:paraId="443CD5C4" w14:textId="77777777" w:rsidR="00990B14" w:rsidRDefault="00000000">
            <w:pPr>
              <w:spacing w:before="20" w:after="20"/>
              <w:jc w:val="both"/>
            </w:pPr>
            <w:r>
              <w:rPr>
                <w:sz w:val="18"/>
                <w:szCs w:val="18"/>
              </w:rPr>
              <w:t>Mide el pasivo al valor presente de los pagos.</w:t>
            </w:r>
          </w:p>
        </w:tc>
        <w:tc>
          <w:tcPr>
            <w:tcW w:w="1855" w:type="dxa"/>
            <w:shd w:val="clear" w:color="auto" w:fill="D9E2F3"/>
            <w:vAlign w:val="center"/>
          </w:tcPr>
          <w:p w14:paraId="6CE18DE7" w14:textId="77777777" w:rsidR="00990B14" w:rsidRDefault="00000000">
            <w:pPr>
              <w:spacing w:before="20" w:after="20"/>
              <w:jc w:val="both"/>
            </w:pPr>
            <w:r>
              <w:rPr>
                <w:sz w:val="18"/>
                <w:szCs w:val="18"/>
              </w:rPr>
              <w:t>Justifica la tasa de descuento usada.</w:t>
            </w:r>
          </w:p>
        </w:tc>
      </w:tr>
      <w:tr w:rsidR="00990B14" w14:paraId="2F8FC7C4" w14:textId="77777777">
        <w:trPr>
          <w:cantSplit/>
          <w:jc w:val="center"/>
        </w:trPr>
        <w:tc>
          <w:tcPr>
            <w:tcW w:w="1780" w:type="dxa"/>
            <w:vMerge/>
            <w:shd w:val="clear" w:color="auto" w:fill="4472C4"/>
            <w:vAlign w:val="center"/>
          </w:tcPr>
          <w:p w14:paraId="3E569C39" w14:textId="77777777" w:rsidR="00990B14" w:rsidRDefault="00990B14">
            <w:pPr>
              <w:spacing w:before="20" w:after="20"/>
            </w:pPr>
          </w:p>
        </w:tc>
        <w:tc>
          <w:tcPr>
            <w:tcW w:w="1825" w:type="dxa"/>
            <w:shd w:val="clear" w:color="auto" w:fill="D9E2F3"/>
            <w:vAlign w:val="center"/>
          </w:tcPr>
          <w:p w14:paraId="1BB414F8" w14:textId="77777777" w:rsidR="00990B14" w:rsidRDefault="00000000">
            <w:pPr>
              <w:spacing w:before="20" w:after="20"/>
              <w:jc w:val="both"/>
            </w:pPr>
            <w:r>
              <w:rPr>
                <w:sz w:val="18"/>
                <w:szCs w:val="18"/>
              </w:rPr>
              <w:t>Medición posterior</w:t>
            </w:r>
          </w:p>
        </w:tc>
        <w:tc>
          <w:tcPr>
            <w:tcW w:w="1825" w:type="dxa"/>
            <w:shd w:val="clear" w:color="auto" w:fill="D9E2F3"/>
            <w:vAlign w:val="center"/>
          </w:tcPr>
          <w:p w14:paraId="669534E6" w14:textId="77777777" w:rsidR="00990B14" w:rsidRDefault="00000000">
            <w:pPr>
              <w:spacing w:before="20" w:after="20"/>
              <w:jc w:val="both"/>
            </w:pPr>
            <w:r>
              <w:rPr>
                <w:sz w:val="18"/>
                <w:szCs w:val="18"/>
              </w:rPr>
              <w:t>Omite el interés del pasivo.</w:t>
            </w:r>
          </w:p>
        </w:tc>
        <w:tc>
          <w:tcPr>
            <w:tcW w:w="2120" w:type="dxa"/>
            <w:shd w:val="clear" w:color="auto" w:fill="D9E2F3"/>
            <w:vAlign w:val="center"/>
          </w:tcPr>
          <w:p w14:paraId="051B4E59" w14:textId="77777777" w:rsidR="00990B14" w:rsidRDefault="00000000">
            <w:pPr>
              <w:spacing w:before="20" w:after="20"/>
              <w:jc w:val="both"/>
            </w:pPr>
            <w:r>
              <w:rPr>
                <w:sz w:val="18"/>
                <w:szCs w:val="18"/>
              </w:rPr>
              <w:t>Registra el interés y la depreciación del activo.</w:t>
            </w:r>
          </w:p>
        </w:tc>
        <w:tc>
          <w:tcPr>
            <w:tcW w:w="1855" w:type="dxa"/>
            <w:shd w:val="clear" w:color="auto" w:fill="D9E2F3"/>
            <w:vAlign w:val="center"/>
          </w:tcPr>
          <w:p w14:paraId="03996A4D" w14:textId="77777777" w:rsidR="00990B14" w:rsidRDefault="00000000">
            <w:pPr>
              <w:spacing w:before="20" w:after="20"/>
              <w:jc w:val="both"/>
            </w:pPr>
            <w:r>
              <w:rPr>
                <w:sz w:val="18"/>
                <w:szCs w:val="18"/>
              </w:rPr>
              <w:t>Verifica el saldo del pasivo al cierre.</w:t>
            </w:r>
          </w:p>
        </w:tc>
      </w:tr>
      <w:tr w:rsidR="00990B14" w14:paraId="15287BA0" w14:textId="77777777">
        <w:trPr>
          <w:cantSplit/>
          <w:jc w:val="center"/>
        </w:trPr>
        <w:tc>
          <w:tcPr>
            <w:tcW w:w="1780" w:type="dxa"/>
            <w:vMerge/>
            <w:shd w:val="clear" w:color="auto" w:fill="4472C4"/>
            <w:vAlign w:val="center"/>
          </w:tcPr>
          <w:p w14:paraId="39EF8218" w14:textId="77777777" w:rsidR="00990B14" w:rsidRDefault="00990B14">
            <w:pPr>
              <w:spacing w:before="20" w:after="20"/>
            </w:pPr>
          </w:p>
        </w:tc>
        <w:tc>
          <w:tcPr>
            <w:tcW w:w="1825" w:type="dxa"/>
            <w:shd w:val="clear" w:color="auto" w:fill="D9E2F3"/>
            <w:vAlign w:val="center"/>
          </w:tcPr>
          <w:p w14:paraId="345EAF08" w14:textId="77777777" w:rsidR="00990B14" w:rsidRDefault="00000000">
            <w:pPr>
              <w:spacing w:before="20" w:after="20"/>
              <w:jc w:val="both"/>
            </w:pPr>
            <w:r>
              <w:rPr>
                <w:sz w:val="18"/>
                <w:szCs w:val="18"/>
              </w:rPr>
              <w:t>Comparación de modelos</w:t>
            </w:r>
          </w:p>
        </w:tc>
        <w:tc>
          <w:tcPr>
            <w:tcW w:w="1825" w:type="dxa"/>
            <w:shd w:val="clear" w:color="auto" w:fill="D9E2F3"/>
            <w:vAlign w:val="center"/>
          </w:tcPr>
          <w:p w14:paraId="2F6D975B" w14:textId="77777777" w:rsidR="00990B14" w:rsidRDefault="00000000">
            <w:pPr>
              <w:spacing w:before="20" w:after="20"/>
              <w:jc w:val="both"/>
            </w:pPr>
            <w:r>
              <w:rPr>
                <w:sz w:val="18"/>
                <w:szCs w:val="18"/>
              </w:rPr>
              <w:t>No compara los modelos.</w:t>
            </w:r>
          </w:p>
        </w:tc>
        <w:tc>
          <w:tcPr>
            <w:tcW w:w="2120" w:type="dxa"/>
            <w:shd w:val="clear" w:color="auto" w:fill="D9E2F3"/>
            <w:vAlign w:val="center"/>
          </w:tcPr>
          <w:p w14:paraId="1A54428C" w14:textId="77777777" w:rsidR="00990B14" w:rsidRDefault="00000000">
            <w:pPr>
              <w:spacing w:before="20" w:after="20"/>
              <w:jc w:val="both"/>
            </w:pPr>
            <w:r>
              <w:rPr>
                <w:sz w:val="18"/>
                <w:szCs w:val="18"/>
              </w:rPr>
              <w:t>Compara la NIIF 16 con el registro tradicional.</w:t>
            </w:r>
          </w:p>
        </w:tc>
        <w:tc>
          <w:tcPr>
            <w:tcW w:w="1855" w:type="dxa"/>
            <w:shd w:val="clear" w:color="auto" w:fill="D9E2F3"/>
            <w:vAlign w:val="center"/>
          </w:tcPr>
          <w:p w14:paraId="2D89A916" w14:textId="77777777" w:rsidR="00990B14" w:rsidRDefault="00000000">
            <w:pPr>
              <w:spacing w:before="20" w:after="20"/>
              <w:jc w:val="both"/>
            </w:pPr>
            <w:r>
              <w:rPr>
                <w:sz w:val="18"/>
                <w:szCs w:val="18"/>
              </w:rPr>
              <w:t>Explica el efecto en los indicadores de endeudamiento.</w:t>
            </w:r>
          </w:p>
        </w:tc>
      </w:tr>
      <w:tr w:rsidR="00990B14" w14:paraId="31DE91B0" w14:textId="77777777">
        <w:trPr>
          <w:cantSplit/>
          <w:jc w:val="center"/>
        </w:trPr>
        <w:tc>
          <w:tcPr>
            <w:tcW w:w="1780" w:type="dxa"/>
            <w:vMerge/>
            <w:shd w:val="clear" w:color="auto" w:fill="4472C4"/>
            <w:vAlign w:val="center"/>
          </w:tcPr>
          <w:p w14:paraId="4D1B594E" w14:textId="77777777" w:rsidR="00990B14" w:rsidRDefault="00990B14">
            <w:pPr>
              <w:spacing w:before="20" w:after="20"/>
            </w:pPr>
          </w:p>
        </w:tc>
        <w:tc>
          <w:tcPr>
            <w:tcW w:w="5770" w:type="dxa"/>
            <w:gridSpan w:val="3"/>
            <w:shd w:val="clear" w:color="auto" w:fill="D9E2F3"/>
            <w:vAlign w:val="center"/>
          </w:tcPr>
          <w:p w14:paraId="2D3DD74F" w14:textId="77777777" w:rsidR="00990B14" w:rsidRDefault="00000000">
            <w:pPr>
              <w:keepNext/>
              <w:spacing w:before="20" w:after="20"/>
              <w:jc w:val="both"/>
            </w:pPr>
            <w:r>
              <w:rPr>
                <w:b/>
                <w:bCs/>
                <w:i/>
                <w:iCs/>
                <w:sz w:val="18"/>
                <w:szCs w:val="18"/>
              </w:rPr>
              <w:t xml:space="preserve">Producto 33: </w:t>
            </w:r>
            <w:r>
              <w:rPr>
                <w:sz w:val="18"/>
                <w:szCs w:val="18"/>
              </w:rPr>
              <w:t>Cuadro de composición del patrimonio</w:t>
            </w:r>
          </w:p>
        </w:tc>
        <w:tc>
          <w:tcPr>
            <w:tcW w:w="1855" w:type="dxa"/>
            <w:shd w:val="clear" w:color="auto" w:fill="D9E2F3"/>
            <w:vAlign w:val="center"/>
          </w:tcPr>
          <w:p w14:paraId="3879C099" w14:textId="77777777" w:rsidR="00990B14" w:rsidRDefault="00000000">
            <w:pPr>
              <w:spacing w:before="20" w:after="20"/>
              <w:jc w:val="center"/>
            </w:pPr>
            <w:r>
              <w:rPr>
                <w:b/>
                <w:bCs/>
                <w:sz w:val="18"/>
                <w:szCs w:val="18"/>
              </w:rPr>
              <w:t>2%</w:t>
            </w:r>
          </w:p>
        </w:tc>
      </w:tr>
      <w:tr w:rsidR="00990B14" w14:paraId="101340D9" w14:textId="77777777">
        <w:trPr>
          <w:cantSplit/>
          <w:jc w:val="center"/>
        </w:trPr>
        <w:tc>
          <w:tcPr>
            <w:tcW w:w="1780" w:type="dxa"/>
            <w:vMerge/>
            <w:shd w:val="clear" w:color="auto" w:fill="4472C4"/>
            <w:vAlign w:val="center"/>
          </w:tcPr>
          <w:p w14:paraId="4287DA30" w14:textId="77777777" w:rsidR="00990B14" w:rsidRDefault="00990B14">
            <w:pPr>
              <w:spacing w:before="20" w:after="20"/>
            </w:pPr>
          </w:p>
        </w:tc>
        <w:tc>
          <w:tcPr>
            <w:tcW w:w="1825" w:type="dxa"/>
            <w:shd w:val="clear" w:color="auto" w:fill="4472C4"/>
            <w:vAlign w:val="center"/>
          </w:tcPr>
          <w:p w14:paraId="70CA47B0" w14:textId="77777777" w:rsidR="00990B14" w:rsidRDefault="00000000">
            <w:pPr>
              <w:keepNext/>
              <w:spacing w:before="20" w:after="20"/>
              <w:jc w:val="center"/>
            </w:pPr>
            <w:r>
              <w:rPr>
                <w:b/>
                <w:bCs/>
                <w:i/>
                <w:iCs/>
                <w:color w:val="FFFFFF"/>
                <w:sz w:val="18"/>
                <w:szCs w:val="18"/>
              </w:rPr>
              <w:t>Criterio</w:t>
            </w:r>
          </w:p>
        </w:tc>
        <w:tc>
          <w:tcPr>
            <w:tcW w:w="1825" w:type="dxa"/>
            <w:shd w:val="clear" w:color="auto" w:fill="4472C4"/>
            <w:vAlign w:val="center"/>
          </w:tcPr>
          <w:p w14:paraId="1B2D2C7E" w14:textId="77777777" w:rsidR="00990B14" w:rsidRDefault="00000000">
            <w:pPr>
              <w:keepNext/>
              <w:spacing w:before="20" w:after="20"/>
              <w:jc w:val="center"/>
            </w:pPr>
            <w:r>
              <w:rPr>
                <w:b/>
                <w:bCs/>
                <w:i/>
                <w:iCs/>
                <w:color w:val="FFFFFF"/>
                <w:sz w:val="18"/>
                <w:szCs w:val="18"/>
              </w:rPr>
              <w:t>Insuficiente (1–50)</w:t>
            </w:r>
          </w:p>
        </w:tc>
        <w:tc>
          <w:tcPr>
            <w:tcW w:w="2120" w:type="dxa"/>
            <w:shd w:val="clear" w:color="auto" w:fill="4472C4"/>
            <w:vAlign w:val="center"/>
          </w:tcPr>
          <w:p w14:paraId="2F109380" w14:textId="77777777" w:rsidR="00990B14" w:rsidRDefault="00000000">
            <w:pPr>
              <w:keepNext/>
              <w:spacing w:before="20" w:after="20"/>
              <w:jc w:val="center"/>
            </w:pPr>
            <w:r>
              <w:rPr>
                <w:b/>
                <w:bCs/>
                <w:i/>
                <w:iCs/>
                <w:color w:val="FFFFFF"/>
                <w:sz w:val="18"/>
                <w:szCs w:val="18"/>
              </w:rPr>
              <w:t>Suficiente (51–80)</w:t>
            </w:r>
          </w:p>
        </w:tc>
        <w:tc>
          <w:tcPr>
            <w:tcW w:w="1855" w:type="dxa"/>
            <w:shd w:val="clear" w:color="auto" w:fill="4472C4"/>
            <w:vAlign w:val="center"/>
          </w:tcPr>
          <w:p w14:paraId="29F7520B" w14:textId="77777777" w:rsidR="00990B14" w:rsidRDefault="00000000">
            <w:pPr>
              <w:keepNext/>
              <w:spacing w:before="20" w:after="20"/>
              <w:jc w:val="center"/>
            </w:pPr>
            <w:r>
              <w:rPr>
                <w:b/>
                <w:bCs/>
                <w:i/>
                <w:iCs/>
                <w:color w:val="FFFFFF"/>
                <w:sz w:val="18"/>
                <w:szCs w:val="18"/>
              </w:rPr>
              <w:t>Destacado (81–100)</w:t>
            </w:r>
          </w:p>
        </w:tc>
      </w:tr>
      <w:tr w:rsidR="00990B14" w14:paraId="1C270B9D" w14:textId="77777777">
        <w:trPr>
          <w:cantSplit/>
          <w:jc w:val="center"/>
        </w:trPr>
        <w:tc>
          <w:tcPr>
            <w:tcW w:w="1780" w:type="dxa"/>
            <w:vMerge/>
            <w:shd w:val="clear" w:color="auto" w:fill="4472C4"/>
            <w:vAlign w:val="center"/>
          </w:tcPr>
          <w:p w14:paraId="4DAB77EF" w14:textId="77777777" w:rsidR="00990B14" w:rsidRDefault="00990B14">
            <w:pPr>
              <w:spacing w:before="20" w:after="20"/>
            </w:pPr>
          </w:p>
        </w:tc>
        <w:tc>
          <w:tcPr>
            <w:tcW w:w="1825" w:type="dxa"/>
            <w:shd w:val="clear" w:color="auto" w:fill="D9E2F3"/>
            <w:vAlign w:val="center"/>
          </w:tcPr>
          <w:p w14:paraId="4624E105" w14:textId="77777777" w:rsidR="00990B14" w:rsidRDefault="00000000">
            <w:pPr>
              <w:spacing w:before="20" w:after="20"/>
              <w:jc w:val="both"/>
            </w:pPr>
            <w:r>
              <w:rPr>
                <w:sz w:val="18"/>
                <w:szCs w:val="18"/>
              </w:rPr>
              <w:t>Capital y resultados</w:t>
            </w:r>
          </w:p>
        </w:tc>
        <w:tc>
          <w:tcPr>
            <w:tcW w:w="1825" w:type="dxa"/>
            <w:shd w:val="clear" w:color="auto" w:fill="D9E2F3"/>
            <w:vAlign w:val="center"/>
          </w:tcPr>
          <w:p w14:paraId="0FD94473" w14:textId="77777777" w:rsidR="00990B14" w:rsidRDefault="00000000">
            <w:pPr>
              <w:spacing w:before="20" w:after="20"/>
              <w:jc w:val="both"/>
            </w:pPr>
            <w:r>
              <w:rPr>
                <w:sz w:val="18"/>
                <w:szCs w:val="18"/>
              </w:rPr>
              <w:t>Confunde capital con resultados.</w:t>
            </w:r>
          </w:p>
        </w:tc>
        <w:tc>
          <w:tcPr>
            <w:tcW w:w="2120" w:type="dxa"/>
            <w:shd w:val="clear" w:color="auto" w:fill="D9E2F3"/>
            <w:vAlign w:val="center"/>
          </w:tcPr>
          <w:p w14:paraId="1D23BC22" w14:textId="77777777" w:rsidR="00990B14" w:rsidRDefault="00000000">
            <w:pPr>
              <w:spacing w:before="20" w:after="20"/>
              <w:jc w:val="both"/>
            </w:pPr>
            <w:r>
              <w:rPr>
                <w:sz w:val="18"/>
                <w:szCs w:val="18"/>
              </w:rPr>
              <w:t>Distingue capital, reservas y resultados acumulados.</w:t>
            </w:r>
          </w:p>
        </w:tc>
        <w:tc>
          <w:tcPr>
            <w:tcW w:w="1855" w:type="dxa"/>
            <w:shd w:val="clear" w:color="auto" w:fill="D9E2F3"/>
            <w:vAlign w:val="center"/>
          </w:tcPr>
          <w:p w14:paraId="7EF51B58" w14:textId="77777777" w:rsidR="00990B14" w:rsidRDefault="00000000">
            <w:pPr>
              <w:spacing w:before="20" w:after="20"/>
              <w:jc w:val="both"/>
            </w:pPr>
            <w:r>
              <w:rPr>
                <w:sz w:val="18"/>
                <w:szCs w:val="18"/>
              </w:rPr>
              <w:t>Explica el origen de cada componente.</w:t>
            </w:r>
          </w:p>
        </w:tc>
      </w:tr>
      <w:tr w:rsidR="00990B14" w14:paraId="42F2F9FB" w14:textId="77777777">
        <w:trPr>
          <w:cantSplit/>
          <w:jc w:val="center"/>
        </w:trPr>
        <w:tc>
          <w:tcPr>
            <w:tcW w:w="1780" w:type="dxa"/>
            <w:vMerge/>
            <w:shd w:val="clear" w:color="auto" w:fill="4472C4"/>
            <w:vAlign w:val="center"/>
          </w:tcPr>
          <w:p w14:paraId="20F53744" w14:textId="77777777" w:rsidR="00990B14" w:rsidRDefault="00990B14">
            <w:pPr>
              <w:spacing w:before="20" w:after="20"/>
            </w:pPr>
          </w:p>
        </w:tc>
        <w:tc>
          <w:tcPr>
            <w:tcW w:w="1825" w:type="dxa"/>
            <w:shd w:val="clear" w:color="auto" w:fill="D9E2F3"/>
            <w:vAlign w:val="center"/>
          </w:tcPr>
          <w:p w14:paraId="7A55EC23" w14:textId="77777777" w:rsidR="00990B14" w:rsidRDefault="00000000">
            <w:pPr>
              <w:spacing w:before="20" w:after="20"/>
              <w:jc w:val="both"/>
            </w:pPr>
            <w:r>
              <w:rPr>
                <w:sz w:val="18"/>
                <w:szCs w:val="18"/>
              </w:rPr>
              <w:t>Reservas</w:t>
            </w:r>
          </w:p>
        </w:tc>
        <w:tc>
          <w:tcPr>
            <w:tcW w:w="1825" w:type="dxa"/>
            <w:shd w:val="clear" w:color="auto" w:fill="D9E2F3"/>
            <w:vAlign w:val="center"/>
          </w:tcPr>
          <w:p w14:paraId="4D510302" w14:textId="77777777" w:rsidR="00990B14" w:rsidRDefault="00000000">
            <w:pPr>
              <w:spacing w:before="20" w:after="20"/>
              <w:jc w:val="both"/>
            </w:pPr>
            <w:r>
              <w:rPr>
                <w:sz w:val="18"/>
                <w:szCs w:val="18"/>
              </w:rPr>
              <w:t>Clasifica mal las reservas.</w:t>
            </w:r>
          </w:p>
        </w:tc>
        <w:tc>
          <w:tcPr>
            <w:tcW w:w="2120" w:type="dxa"/>
            <w:shd w:val="clear" w:color="auto" w:fill="D9E2F3"/>
            <w:vAlign w:val="center"/>
          </w:tcPr>
          <w:p w14:paraId="37ED4D27" w14:textId="77777777" w:rsidR="00990B14" w:rsidRDefault="00000000">
            <w:pPr>
              <w:spacing w:before="20" w:after="20"/>
              <w:jc w:val="both"/>
            </w:pPr>
            <w:r>
              <w:rPr>
                <w:sz w:val="18"/>
                <w:szCs w:val="18"/>
              </w:rPr>
              <w:t>Clasifica las reservas jurídicas, estatutarias y voluntarias.</w:t>
            </w:r>
          </w:p>
        </w:tc>
        <w:tc>
          <w:tcPr>
            <w:tcW w:w="1855" w:type="dxa"/>
            <w:shd w:val="clear" w:color="auto" w:fill="D9E2F3"/>
            <w:vAlign w:val="center"/>
          </w:tcPr>
          <w:p w14:paraId="25B59A73" w14:textId="77777777" w:rsidR="00990B14" w:rsidRDefault="00000000">
            <w:pPr>
              <w:spacing w:before="20" w:after="20"/>
              <w:jc w:val="both"/>
            </w:pPr>
            <w:r>
              <w:rPr>
                <w:sz w:val="18"/>
                <w:szCs w:val="18"/>
              </w:rPr>
              <w:t>Verifica el cálculo de la reserva legal.</w:t>
            </w:r>
          </w:p>
        </w:tc>
      </w:tr>
      <w:tr w:rsidR="00990B14" w14:paraId="0B60DAD8" w14:textId="77777777">
        <w:trPr>
          <w:cantSplit/>
          <w:jc w:val="center"/>
        </w:trPr>
        <w:tc>
          <w:tcPr>
            <w:tcW w:w="1780" w:type="dxa"/>
            <w:vMerge/>
            <w:shd w:val="clear" w:color="auto" w:fill="4472C4"/>
            <w:vAlign w:val="center"/>
          </w:tcPr>
          <w:p w14:paraId="7E6CE19B" w14:textId="77777777" w:rsidR="00990B14" w:rsidRDefault="00990B14">
            <w:pPr>
              <w:spacing w:before="20" w:after="20"/>
            </w:pPr>
          </w:p>
        </w:tc>
        <w:tc>
          <w:tcPr>
            <w:tcW w:w="1825" w:type="dxa"/>
            <w:shd w:val="clear" w:color="auto" w:fill="D9E2F3"/>
            <w:vAlign w:val="center"/>
          </w:tcPr>
          <w:p w14:paraId="3217E5D4" w14:textId="77777777" w:rsidR="00990B14" w:rsidRDefault="00000000">
            <w:pPr>
              <w:spacing w:before="20" w:after="20"/>
              <w:jc w:val="both"/>
            </w:pPr>
            <w:r>
              <w:rPr>
                <w:sz w:val="18"/>
                <w:szCs w:val="18"/>
              </w:rPr>
              <w:t>Cuentas reguladoras</w:t>
            </w:r>
          </w:p>
        </w:tc>
        <w:tc>
          <w:tcPr>
            <w:tcW w:w="1825" w:type="dxa"/>
            <w:shd w:val="clear" w:color="auto" w:fill="D9E2F3"/>
            <w:vAlign w:val="center"/>
          </w:tcPr>
          <w:p w14:paraId="59D8CCDB" w14:textId="77777777" w:rsidR="00990B14" w:rsidRDefault="00000000">
            <w:pPr>
              <w:spacing w:before="20" w:after="20"/>
              <w:jc w:val="both"/>
            </w:pPr>
            <w:r>
              <w:rPr>
                <w:sz w:val="18"/>
                <w:szCs w:val="18"/>
              </w:rPr>
              <w:t>Omite las cuentas reguladoras.</w:t>
            </w:r>
          </w:p>
        </w:tc>
        <w:tc>
          <w:tcPr>
            <w:tcW w:w="2120" w:type="dxa"/>
            <w:shd w:val="clear" w:color="auto" w:fill="D9E2F3"/>
            <w:vAlign w:val="center"/>
          </w:tcPr>
          <w:p w14:paraId="6D37DB67" w14:textId="77777777" w:rsidR="00990B14" w:rsidRDefault="00000000">
            <w:pPr>
              <w:spacing w:before="20" w:after="20"/>
              <w:jc w:val="both"/>
            </w:pPr>
            <w:r>
              <w:rPr>
                <w:sz w:val="18"/>
                <w:szCs w:val="18"/>
              </w:rPr>
              <w:t>Incluye las cuentas reguladoras de patrimonio.</w:t>
            </w:r>
          </w:p>
        </w:tc>
        <w:tc>
          <w:tcPr>
            <w:tcW w:w="1855" w:type="dxa"/>
            <w:shd w:val="clear" w:color="auto" w:fill="D9E2F3"/>
            <w:vAlign w:val="center"/>
          </w:tcPr>
          <w:p w14:paraId="12E8E333" w14:textId="77777777" w:rsidR="00990B14" w:rsidRDefault="00000000">
            <w:pPr>
              <w:spacing w:before="20" w:after="20"/>
              <w:jc w:val="both"/>
            </w:pPr>
            <w:r>
              <w:rPr>
                <w:sz w:val="18"/>
                <w:szCs w:val="18"/>
              </w:rPr>
              <w:t>Explica su efecto en el patrimonio neto.</w:t>
            </w:r>
          </w:p>
        </w:tc>
      </w:tr>
      <w:tr w:rsidR="00990B14" w14:paraId="6D8BA1D0" w14:textId="77777777">
        <w:trPr>
          <w:cantSplit/>
          <w:jc w:val="center"/>
        </w:trPr>
        <w:tc>
          <w:tcPr>
            <w:tcW w:w="1780" w:type="dxa"/>
            <w:vMerge/>
            <w:shd w:val="clear" w:color="auto" w:fill="4472C4"/>
            <w:vAlign w:val="center"/>
          </w:tcPr>
          <w:p w14:paraId="1DB8569B" w14:textId="77777777" w:rsidR="00990B14" w:rsidRDefault="00990B14">
            <w:pPr>
              <w:spacing w:before="20" w:after="20"/>
            </w:pPr>
          </w:p>
        </w:tc>
        <w:tc>
          <w:tcPr>
            <w:tcW w:w="5770" w:type="dxa"/>
            <w:gridSpan w:val="3"/>
            <w:shd w:val="clear" w:color="auto" w:fill="D9E2F3"/>
            <w:vAlign w:val="center"/>
          </w:tcPr>
          <w:p w14:paraId="43DF2C62" w14:textId="77777777" w:rsidR="00990B14" w:rsidRDefault="00000000">
            <w:pPr>
              <w:keepNext/>
              <w:spacing w:before="20" w:after="20"/>
              <w:jc w:val="both"/>
            </w:pPr>
            <w:r>
              <w:rPr>
                <w:b/>
                <w:bCs/>
                <w:i/>
                <w:iCs/>
                <w:sz w:val="18"/>
                <w:szCs w:val="18"/>
              </w:rPr>
              <w:t xml:space="preserve">Producto 34: </w:t>
            </w:r>
            <w:r>
              <w:rPr>
                <w:sz w:val="18"/>
                <w:szCs w:val="18"/>
              </w:rPr>
              <w:t>Estado de cambios en el patrimonio</w:t>
            </w:r>
          </w:p>
        </w:tc>
        <w:tc>
          <w:tcPr>
            <w:tcW w:w="1855" w:type="dxa"/>
            <w:shd w:val="clear" w:color="auto" w:fill="D9E2F3"/>
            <w:vAlign w:val="center"/>
          </w:tcPr>
          <w:p w14:paraId="63B68EA8" w14:textId="77777777" w:rsidR="00990B14" w:rsidRDefault="00000000">
            <w:pPr>
              <w:spacing w:before="20" w:after="20"/>
              <w:jc w:val="center"/>
            </w:pPr>
            <w:r>
              <w:rPr>
                <w:b/>
                <w:bCs/>
                <w:sz w:val="18"/>
                <w:szCs w:val="18"/>
              </w:rPr>
              <w:t>2%</w:t>
            </w:r>
          </w:p>
        </w:tc>
      </w:tr>
      <w:tr w:rsidR="00990B14" w14:paraId="3D1F1438" w14:textId="77777777">
        <w:trPr>
          <w:cantSplit/>
          <w:jc w:val="center"/>
        </w:trPr>
        <w:tc>
          <w:tcPr>
            <w:tcW w:w="1780" w:type="dxa"/>
            <w:vMerge/>
            <w:shd w:val="clear" w:color="auto" w:fill="4472C4"/>
            <w:vAlign w:val="center"/>
          </w:tcPr>
          <w:p w14:paraId="20CBA026" w14:textId="77777777" w:rsidR="00990B14" w:rsidRDefault="00990B14">
            <w:pPr>
              <w:spacing w:before="20" w:after="20"/>
            </w:pPr>
          </w:p>
        </w:tc>
        <w:tc>
          <w:tcPr>
            <w:tcW w:w="1825" w:type="dxa"/>
            <w:shd w:val="clear" w:color="auto" w:fill="4472C4"/>
            <w:vAlign w:val="center"/>
          </w:tcPr>
          <w:p w14:paraId="3ECBA7BF" w14:textId="77777777" w:rsidR="00990B14" w:rsidRDefault="00000000">
            <w:pPr>
              <w:keepNext/>
              <w:spacing w:before="20" w:after="20"/>
              <w:jc w:val="center"/>
            </w:pPr>
            <w:r>
              <w:rPr>
                <w:b/>
                <w:bCs/>
                <w:i/>
                <w:iCs/>
                <w:color w:val="FFFFFF"/>
                <w:sz w:val="18"/>
                <w:szCs w:val="18"/>
              </w:rPr>
              <w:t>Criterio</w:t>
            </w:r>
          </w:p>
        </w:tc>
        <w:tc>
          <w:tcPr>
            <w:tcW w:w="1825" w:type="dxa"/>
            <w:shd w:val="clear" w:color="auto" w:fill="4472C4"/>
            <w:vAlign w:val="center"/>
          </w:tcPr>
          <w:p w14:paraId="25EF3157" w14:textId="77777777" w:rsidR="00990B14" w:rsidRDefault="00000000">
            <w:pPr>
              <w:keepNext/>
              <w:spacing w:before="20" w:after="20"/>
              <w:jc w:val="center"/>
            </w:pPr>
            <w:r>
              <w:rPr>
                <w:b/>
                <w:bCs/>
                <w:i/>
                <w:iCs/>
                <w:color w:val="FFFFFF"/>
                <w:sz w:val="18"/>
                <w:szCs w:val="18"/>
              </w:rPr>
              <w:t>Insuficiente (1–50)</w:t>
            </w:r>
          </w:p>
        </w:tc>
        <w:tc>
          <w:tcPr>
            <w:tcW w:w="2120" w:type="dxa"/>
            <w:shd w:val="clear" w:color="auto" w:fill="4472C4"/>
            <w:vAlign w:val="center"/>
          </w:tcPr>
          <w:p w14:paraId="6444A01C" w14:textId="77777777" w:rsidR="00990B14" w:rsidRDefault="00000000">
            <w:pPr>
              <w:keepNext/>
              <w:spacing w:before="20" w:after="20"/>
              <w:jc w:val="center"/>
            </w:pPr>
            <w:r>
              <w:rPr>
                <w:b/>
                <w:bCs/>
                <w:i/>
                <w:iCs/>
                <w:color w:val="FFFFFF"/>
                <w:sz w:val="18"/>
                <w:szCs w:val="18"/>
              </w:rPr>
              <w:t>Suficiente (51–80)</w:t>
            </w:r>
          </w:p>
        </w:tc>
        <w:tc>
          <w:tcPr>
            <w:tcW w:w="1855" w:type="dxa"/>
            <w:shd w:val="clear" w:color="auto" w:fill="4472C4"/>
            <w:vAlign w:val="center"/>
          </w:tcPr>
          <w:p w14:paraId="37BF3348" w14:textId="77777777" w:rsidR="00990B14" w:rsidRDefault="00000000">
            <w:pPr>
              <w:keepNext/>
              <w:spacing w:before="20" w:after="20"/>
              <w:jc w:val="center"/>
            </w:pPr>
            <w:r>
              <w:rPr>
                <w:b/>
                <w:bCs/>
                <w:i/>
                <w:iCs/>
                <w:color w:val="FFFFFF"/>
                <w:sz w:val="18"/>
                <w:szCs w:val="18"/>
              </w:rPr>
              <w:t>Destacado (81–100)</w:t>
            </w:r>
          </w:p>
        </w:tc>
      </w:tr>
      <w:tr w:rsidR="00990B14" w14:paraId="4A36F649" w14:textId="77777777">
        <w:trPr>
          <w:cantSplit/>
          <w:jc w:val="center"/>
        </w:trPr>
        <w:tc>
          <w:tcPr>
            <w:tcW w:w="1780" w:type="dxa"/>
            <w:vMerge/>
            <w:shd w:val="clear" w:color="auto" w:fill="4472C4"/>
            <w:vAlign w:val="center"/>
          </w:tcPr>
          <w:p w14:paraId="6C57719F" w14:textId="77777777" w:rsidR="00990B14" w:rsidRDefault="00990B14">
            <w:pPr>
              <w:spacing w:before="20" w:after="20"/>
            </w:pPr>
          </w:p>
        </w:tc>
        <w:tc>
          <w:tcPr>
            <w:tcW w:w="1825" w:type="dxa"/>
            <w:shd w:val="clear" w:color="auto" w:fill="D9E2F3"/>
            <w:vAlign w:val="center"/>
          </w:tcPr>
          <w:p w14:paraId="71AED353" w14:textId="77777777" w:rsidR="00990B14" w:rsidRDefault="00000000">
            <w:pPr>
              <w:spacing w:before="20" w:after="20"/>
              <w:jc w:val="both"/>
            </w:pPr>
            <w:r>
              <w:rPr>
                <w:sz w:val="18"/>
                <w:szCs w:val="18"/>
              </w:rPr>
              <w:t>Movimientos</w:t>
            </w:r>
          </w:p>
        </w:tc>
        <w:tc>
          <w:tcPr>
            <w:tcW w:w="1825" w:type="dxa"/>
            <w:shd w:val="clear" w:color="auto" w:fill="D9E2F3"/>
            <w:vAlign w:val="center"/>
          </w:tcPr>
          <w:p w14:paraId="5AEE0D03" w14:textId="77777777" w:rsidR="00990B14" w:rsidRDefault="00000000">
            <w:pPr>
              <w:spacing w:before="20" w:after="20"/>
              <w:jc w:val="both"/>
            </w:pPr>
            <w:r>
              <w:rPr>
                <w:sz w:val="18"/>
                <w:szCs w:val="18"/>
              </w:rPr>
              <w:t>Omite movimientos del periodo.</w:t>
            </w:r>
          </w:p>
        </w:tc>
        <w:tc>
          <w:tcPr>
            <w:tcW w:w="2120" w:type="dxa"/>
            <w:shd w:val="clear" w:color="auto" w:fill="D9E2F3"/>
            <w:vAlign w:val="center"/>
          </w:tcPr>
          <w:p w14:paraId="797621A6" w14:textId="77777777" w:rsidR="00990B14" w:rsidRDefault="00000000">
            <w:pPr>
              <w:spacing w:before="20" w:after="20"/>
              <w:jc w:val="both"/>
            </w:pPr>
            <w:r>
              <w:rPr>
                <w:sz w:val="18"/>
                <w:szCs w:val="18"/>
              </w:rPr>
              <w:t>Presenta todos los movimientos del capital y las reservas.</w:t>
            </w:r>
          </w:p>
        </w:tc>
        <w:tc>
          <w:tcPr>
            <w:tcW w:w="1855" w:type="dxa"/>
            <w:shd w:val="clear" w:color="auto" w:fill="D9E2F3"/>
            <w:vAlign w:val="center"/>
          </w:tcPr>
          <w:p w14:paraId="43F5DD48" w14:textId="77777777" w:rsidR="00990B14" w:rsidRDefault="00000000">
            <w:pPr>
              <w:spacing w:before="20" w:after="20"/>
              <w:jc w:val="both"/>
            </w:pPr>
            <w:r>
              <w:rPr>
                <w:sz w:val="18"/>
                <w:szCs w:val="18"/>
              </w:rPr>
              <w:t>Concilia los saldos finales con el balance.</w:t>
            </w:r>
          </w:p>
        </w:tc>
      </w:tr>
      <w:tr w:rsidR="00990B14" w14:paraId="7E47704C" w14:textId="77777777">
        <w:trPr>
          <w:cantSplit/>
          <w:jc w:val="center"/>
        </w:trPr>
        <w:tc>
          <w:tcPr>
            <w:tcW w:w="1780" w:type="dxa"/>
            <w:vMerge/>
            <w:shd w:val="clear" w:color="auto" w:fill="4472C4"/>
            <w:vAlign w:val="center"/>
          </w:tcPr>
          <w:p w14:paraId="39933446" w14:textId="77777777" w:rsidR="00990B14" w:rsidRDefault="00990B14">
            <w:pPr>
              <w:spacing w:before="20" w:after="20"/>
            </w:pPr>
          </w:p>
        </w:tc>
        <w:tc>
          <w:tcPr>
            <w:tcW w:w="1825" w:type="dxa"/>
            <w:shd w:val="clear" w:color="auto" w:fill="D9E2F3"/>
            <w:vAlign w:val="center"/>
          </w:tcPr>
          <w:p w14:paraId="5F492E88" w14:textId="77777777" w:rsidR="00990B14" w:rsidRDefault="00000000">
            <w:pPr>
              <w:spacing w:before="20" w:after="20"/>
              <w:jc w:val="both"/>
            </w:pPr>
            <w:r>
              <w:rPr>
                <w:sz w:val="18"/>
                <w:szCs w:val="18"/>
              </w:rPr>
              <w:t>Presentación</w:t>
            </w:r>
          </w:p>
        </w:tc>
        <w:tc>
          <w:tcPr>
            <w:tcW w:w="1825" w:type="dxa"/>
            <w:shd w:val="clear" w:color="auto" w:fill="D9E2F3"/>
            <w:vAlign w:val="center"/>
          </w:tcPr>
          <w:p w14:paraId="158AEDBA" w14:textId="77777777" w:rsidR="00990B14" w:rsidRDefault="00000000">
            <w:pPr>
              <w:spacing w:before="20" w:after="20"/>
              <w:jc w:val="both"/>
            </w:pPr>
            <w:r>
              <w:rPr>
                <w:sz w:val="18"/>
                <w:szCs w:val="18"/>
              </w:rPr>
              <w:t>No sigue la estructura de la NIC 1.</w:t>
            </w:r>
          </w:p>
        </w:tc>
        <w:tc>
          <w:tcPr>
            <w:tcW w:w="2120" w:type="dxa"/>
            <w:shd w:val="clear" w:color="auto" w:fill="D9E2F3"/>
            <w:vAlign w:val="center"/>
          </w:tcPr>
          <w:p w14:paraId="0DCEB5A4" w14:textId="77777777" w:rsidR="00990B14" w:rsidRDefault="00000000">
            <w:pPr>
              <w:spacing w:before="20" w:after="20"/>
              <w:jc w:val="both"/>
            </w:pPr>
            <w:r>
              <w:rPr>
                <w:sz w:val="18"/>
                <w:szCs w:val="18"/>
              </w:rPr>
              <w:t>Presenta el estado según la NIC 1.</w:t>
            </w:r>
          </w:p>
        </w:tc>
        <w:tc>
          <w:tcPr>
            <w:tcW w:w="1855" w:type="dxa"/>
            <w:shd w:val="clear" w:color="auto" w:fill="D9E2F3"/>
            <w:vAlign w:val="center"/>
          </w:tcPr>
          <w:p w14:paraId="4E1B097A" w14:textId="77777777" w:rsidR="00990B14" w:rsidRDefault="00000000">
            <w:pPr>
              <w:spacing w:before="20" w:after="20"/>
              <w:jc w:val="both"/>
            </w:pPr>
            <w:r>
              <w:rPr>
                <w:sz w:val="18"/>
                <w:szCs w:val="18"/>
              </w:rPr>
              <w:t>Redacta las notas que lo acompañan.</w:t>
            </w:r>
          </w:p>
        </w:tc>
      </w:tr>
      <w:tr w:rsidR="00990B14" w14:paraId="70CDFE17" w14:textId="77777777">
        <w:trPr>
          <w:cantSplit/>
          <w:jc w:val="center"/>
        </w:trPr>
        <w:tc>
          <w:tcPr>
            <w:tcW w:w="1780" w:type="dxa"/>
            <w:vMerge/>
            <w:shd w:val="clear" w:color="auto" w:fill="4472C4"/>
            <w:vAlign w:val="center"/>
          </w:tcPr>
          <w:p w14:paraId="15AC11CB" w14:textId="77777777" w:rsidR="00990B14" w:rsidRDefault="00990B14">
            <w:pPr>
              <w:spacing w:before="20" w:after="20"/>
            </w:pPr>
          </w:p>
        </w:tc>
        <w:tc>
          <w:tcPr>
            <w:tcW w:w="1825" w:type="dxa"/>
            <w:shd w:val="clear" w:color="auto" w:fill="D9E2F3"/>
            <w:vAlign w:val="center"/>
          </w:tcPr>
          <w:p w14:paraId="053347BB" w14:textId="77777777" w:rsidR="00990B14" w:rsidRDefault="00000000">
            <w:pPr>
              <w:spacing w:before="20" w:after="20"/>
              <w:jc w:val="both"/>
            </w:pPr>
            <w:r>
              <w:rPr>
                <w:sz w:val="18"/>
                <w:szCs w:val="18"/>
              </w:rPr>
              <w:t>Uso de la hoja de cálculo</w:t>
            </w:r>
          </w:p>
        </w:tc>
        <w:tc>
          <w:tcPr>
            <w:tcW w:w="1825" w:type="dxa"/>
            <w:shd w:val="clear" w:color="auto" w:fill="D9E2F3"/>
            <w:vAlign w:val="center"/>
          </w:tcPr>
          <w:p w14:paraId="1B538024" w14:textId="77777777" w:rsidR="00990B14" w:rsidRDefault="00000000">
            <w:pPr>
              <w:spacing w:before="20" w:after="20"/>
              <w:jc w:val="both"/>
            </w:pPr>
            <w:r>
              <w:rPr>
                <w:sz w:val="18"/>
                <w:szCs w:val="18"/>
              </w:rPr>
              <w:t>No usa fórmulas.</w:t>
            </w:r>
          </w:p>
        </w:tc>
        <w:tc>
          <w:tcPr>
            <w:tcW w:w="2120" w:type="dxa"/>
            <w:shd w:val="clear" w:color="auto" w:fill="D9E2F3"/>
            <w:vAlign w:val="center"/>
          </w:tcPr>
          <w:p w14:paraId="6D67A92F" w14:textId="77777777" w:rsidR="00990B14" w:rsidRDefault="00000000">
            <w:pPr>
              <w:spacing w:before="20" w:after="20"/>
              <w:jc w:val="both"/>
            </w:pPr>
            <w:r>
              <w:rPr>
                <w:sz w:val="18"/>
                <w:szCs w:val="18"/>
              </w:rPr>
              <w:t>Usa fórmulas y enlaces entre hojas.</w:t>
            </w:r>
          </w:p>
        </w:tc>
        <w:tc>
          <w:tcPr>
            <w:tcW w:w="1855" w:type="dxa"/>
            <w:shd w:val="clear" w:color="auto" w:fill="D9E2F3"/>
            <w:vAlign w:val="center"/>
          </w:tcPr>
          <w:p w14:paraId="3CD2748C" w14:textId="77777777" w:rsidR="00990B14" w:rsidRDefault="00000000">
            <w:pPr>
              <w:spacing w:before="20" w:after="20"/>
              <w:jc w:val="both"/>
            </w:pPr>
            <w:r>
              <w:rPr>
                <w:sz w:val="18"/>
                <w:szCs w:val="18"/>
              </w:rPr>
              <w:t>El estado se actualiza al cambiar los datos.</w:t>
            </w:r>
          </w:p>
        </w:tc>
      </w:tr>
      <w:tr w:rsidR="00990B14" w14:paraId="0935C430" w14:textId="77777777">
        <w:trPr>
          <w:cantSplit/>
          <w:jc w:val="center"/>
        </w:trPr>
        <w:tc>
          <w:tcPr>
            <w:tcW w:w="1780" w:type="dxa"/>
            <w:vMerge/>
            <w:shd w:val="clear" w:color="auto" w:fill="4472C4"/>
            <w:vAlign w:val="center"/>
          </w:tcPr>
          <w:p w14:paraId="2999B364" w14:textId="77777777" w:rsidR="00990B14" w:rsidRDefault="00990B14">
            <w:pPr>
              <w:spacing w:before="20" w:after="20"/>
            </w:pPr>
          </w:p>
        </w:tc>
        <w:tc>
          <w:tcPr>
            <w:tcW w:w="5770" w:type="dxa"/>
            <w:gridSpan w:val="3"/>
            <w:shd w:val="clear" w:color="auto" w:fill="D9E2F3"/>
            <w:vAlign w:val="center"/>
          </w:tcPr>
          <w:p w14:paraId="0883C0B3" w14:textId="77777777" w:rsidR="00990B14" w:rsidRDefault="00000000">
            <w:pPr>
              <w:keepNext/>
              <w:spacing w:before="20" w:after="20"/>
              <w:jc w:val="both"/>
            </w:pPr>
            <w:r>
              <w:rPr>
                <w:b/>
                <w:bCs/>
                <w:i/>
                <w:iCs/>
                <w:sz w:val="18"/>
                <w:szCs w:val="18"/>
              </w:rPr>
              <w:t xml:space="preserve">Producto 35: </w:t>
            </w:r>
            <w:r>
              <w:rPr>
                <w:sz w:val="18"/>
                <w:szCs w:val="18"/>
              </w:rPr>
              <w:t>Registro de cuentas de orden</w:t>
            </w:r>
          </w:p>
        </w:tc>
        <w:tc>
          <w:tcPr>
            <w:tcW w:w="1855" w:type="dxa"/>
            <w:shd w:val="clear" w:color="auto" w:fill="D9E2F3"/>
            <w:vAlign w:val="center"/>
          </w:tcPr>
          <w:p w14:paraId="41843D70" w14:textId="77777777" w:rsidR="00990B14" w:rsidRDefault="00000000">
            <w:pPr>
              <w:spacing w:before="20" w:after="20"/>
              <w:jc w:val="center"/>
            </w:pPr>
            <w:r>
              <w:rPr>
                <w:b/>
                <w:bCs/>
                <w:sz w:val="18"/>
                <w:szCs w:val="18"/>
              </w:rPr>
              <w:t>2%</w:t>
            </w:r>
          </w:p>
        </w:tc>
      </w:tr>
      <w:tr w:rsidR="00990B14" w14:paraId="7DEF597E" w14:textId="77777777">
        <w:trPr>
          <w:cantSplit/>
          <w:jc w:val="center"/>
        </w:trPr>
        <w:tc>
          <w:tcPr>
            <w:tcW w:w="1780" w:type="dxa"/>
            <w:vMerge/>
            <w:shd w:val="clear" w:color="auto" w:fill="4472C4"/>
            <w:vAlign w:val="center"/>
          </w:tcPr>
          <w:p w14:paraId="6EB41863" w14:textId="77777777" w:rsidR="00990B14" w:rsidRDefault="00990B14">
            <w:pPr>
              <w:spacing w:before="20" w:after="20"/>
            </w:pPr>
          </w:p>
        </w:tc>
        <w:tc>
          <w:tcPr>
            <w:tcW w:w="1825" w:type="dxa"/>
            <w:shd w:val="clear" w:color="auto" w:fill="4472C4"/>
            <w:vAlign w:val="center"/>
          </w:tcPr>
          <w:p w14:paraId="0E187B97" w14:textId="77777777" w:rsidR="00990B14" w:rsidRDefault="00000000">
            <w:pPr>
              <w:keepNext/>
              <w:spacing w:before="20" w:after="20"/>
              <w:jc w:val="center"/>
            </w:pPr>
            <w:r>
              <w:rPr>
                <w:b/>
                <w:bCs/>
                <w:i/>
                <w:iCs/>
                <w:color w:val="FFFFFF"/>
                <w:sz w:val="18"/>
                <w:szCs w:val="18"/>
              </w:rPr>
              <w:t>Criterio</w:t>
            </w:r>
          </w:p>
        </w:tc>
        <w:tc>
          <w:tcPr>
            <w:tcW w:w="1825" w:type="dxa"/>
            <w:shd w:val="clear" w:color="auto" w:fill="4472C4"/>
            <w:vAlign w:val="center"/>
          </w:tcPr>
          <w:p w14:paraId="5C49F970" w14:textId="77777777" w:rsidR="00990B14" w:rsidRDefault="00000000">
            <w:pPr>
              <w:keepNext/>
              <w:spacing w:before="20" w:after="20"/>
              <w:jc w:val="center"/>
            </w:pPr>
            <w:r>
              <w:rPr>
                <w:b/>
                <w:bCs/>
                <w:i/>
                <w:iCs/>
                <w:color w:val="FFFFFF"/>
                <w:sz w:val="18"/>
                <w:szCs w:val="18"/>
              </w:rPr>
              <w:t>Insuficiente (1–50)</w:t>
            </w:r>
          </w:p>
        </w:tc>
        <w:tc>
          <w:tcPr>
            <w:tcW w:w="2120" w:type="dxa"/>
            <w:shd w:val="clear" w:color="auto" w:fill="4472C4"/>
            <w:vAlign w:val="center"/>
          </w:tcPr>
          <w:p w14:paraId="1CF336A0" w14:textId="77777777" w:rsidR="00990B14" w:rsidRDefault="00000000">
            <w:pPr>
              <w:keepNext/>
              <w:spacing w:before="20" w:after="20"/>
              <w:jc w:val="center"/>
            </w:pPr>
            <w:r>
              <w:rPr>
                <w:b/>
                <w:bCs/>
                <w:i/>
                <w:iCs/>
                <w:color w:val="FFFFFF"/>
                <w:sz w:val="18"/>
                <w:szCs w:val="18"/>
              </w:rPr>
              <w:t>Suficiente (51–80)</w:t>
            </w:r>
          </w:p>
        </w:tc>
        <w:tc>
          <w:tcPr>
            <w:tcW w:w="1855" w:type="dxa"/>
            <w:shd w:val="clear" w:color="auto" w:fill="4472C4"/>
            <w:vAlign w:val="center"/>
          </w:tcPr>
          <w:p w14:paraId="3983520C" w14:textId="77777777" w:rsidR="00990B14" w:rsidRDefault="00000000">
            <w:pPr>
              <w:keepNext/>
              <w:spacing w:before="20" w:after="20"/>
              <w:jc w:val="center"/>
            </w:pPr>
            <w:r>
              <w:rPr>
                <w:b/>
                <w:bCs/>
                <w:i/>
                <w:iCs/>
                <w:color w:val="FFFFFF"/>
                <w:sz w:val="18"/>
                <w:szCs w:val="18"/>
              </w:rPr>
              <w:t>Destacado (81–100)</w:t>
            </w:r>
          </w:p>
        </w:tc>
      </w:tr>
      <w:tr w:rsidR="00990B14" w14:paraId="4AEED5CB" w14:textId="77777777">
        <w:trPr>
          <w:cantSplit/>
          <w:jc w:val="center"/>
        </w:trPr>
        <w:tc>
          <w:tcPr>
            <w:tcW w:w="1780" w:type="dxa"/>
            <w:vMerge/>
            <w:shd w:val="clear" w:color="auto" w:fill="4472C4"/>
            <w:vAlign w:val="center"/>
          </w:tcPr>
          <w:p w14:paraId="62492D62" w14:textId="77777777" w:rsidR="00990B14" w:rsidRDefault="00990B14">
            <w:pPr>
              <w:spacing w:before="20" w:after="20"/>
            </w:pPr>
          </w:p>
        </w:tc>
        <w:tc>
          <w:tcPr>
            <w:tcW w:w="1825" w:type="dxa"/>
            <w:shd w:val="clear" w:color="auto" w:fill="D9E2F3"/>
            <w:vAlign w:val="center"/>
          </w:tcPr>
          <w:p w14:paraId="2C5EF71F" w14:textId="77777777" w:rsidR="00990B14" w:rsidRDefault="00000000">
            <w:pPr>
              <w:spacing w:before="20" w:after="20"/>
              <w:jc w:val="both"/>
            </w:pPr>
            <w:r>
              <w:rPr>
                <w:sz w:val="18"/>
                <w:szCs w:val="18"/>
              </w:rPr>
              <w:t>Identificación</w:t>
            </w:r>
          </w:p>
        </w:tc>
        <w:tc>
          <w:tcPr>
            <w:tcW w:w="1825" w:type="dxa"/>
            <w:shd w:val="clear" w:color="auto" w:fill="D9E2F3"/>
            <w:vAlign w:val="center"/>
          </w:tcPr>
          <w:p w14:paraId="523B3707" w14:textId="77777777" w:rsidR="00990B14" w:rsidRDefault="00000000">
            <w:pPr>
              <w:spacing w:before="20" w:after="20"/>
              <w:jc w:val="both"/>
            </w:pPr>
            <w:r>
              <w:rPr>
                <w:sz w:val="18"/>
                <w:szCs w:val="18"/>
              </w:rPr>
              <w:t>Registra en orden partidas patrimoniales.</w:t>
            </w:r>
          </w:p>
        </w:tc>
        <w:tc>
          <w:tcPr>
            <w:tcW w:w="2120" w:type="dxa"/>
            <w:shd w:val="clear" w:color="auto" w:fill="D9E2F3"/>
            <w:vAlign w:val="center"/>
          </w:tcPr>
          <w:p w14:paraId="44BAEE6B" w14:textId="77777777" w:rsidR="00990B14" w:rsidRDefault="00000000">
            <w:pPr>
              <w:spacing w:before="20" w:after="20"/>
              <w:jc w:val="both"/>
            </w:pPr>
            <w:r>
              <w:rPr>
                <w:sz w:val="18"/>
                <w:szCs w:val="18"/>
              </w:rPr>
              <w:t>Identifica las partidas que van a cuentas de orden.</w:t>
            </w:r>
          </w:p>
        </w:tc>
        <w:tc>
          <w:tcPr>
            <w:tcW w:w="1855" w:type="dxa"/>
            <w:shd w:val="clear" w:color="auto" w:fill="D9E2F3"/>
            <w:vAlign w:val="center"/>
          </w:tcPr>
          <w:p w14:paraId="525967C5" w14:textId="77777777" w:rsidR="00990B14" w:rsidRDefault="00000000">
            <w:pPr>
              <w:spacing w:before="20" w:after="20"/>
              <w:jc w:val="both"/>
            </w:pPr>
            <w:r>
              <w:rPr>
                <w:sz w:val="18"/>
                <w:szCs w:val="18"/>
              </w:rPr>
              <w:t>Relaciona cada partida con la NIC 37.</w:t>
            </w:r>
          </w:p>
        </w:tc>
      </w:tr>
      <w:tr w:rsidR="00990B14" w14:paraId="1DF363E2" w14:textId="77777777">
        <w:trPr>
          <w:cantSplit/>
          <w:jc w:val="center"/>
        </w:trPr>
        <w:tc>
          <w:tcPr>
            <w:tcW w:w="1780" w:type="dxa"/>
            <w:vMerge/>
            <w:shd w:val="clear" w:color="auto" w:fill="4472C4"/>
            <w:vAlign w:val="center"/>
          </w:tcPr>
          <w:p w14:paraId="478CB5CC" w14:textId="77777777" w:rsidR="00990B14" w:rsidRDefault="00990B14">
            <w:pPr>
              <w:spacing w:before="20" w:after="20"/>
            </w:pPr>
          </w:p>
        </w:tc>
        <w:tc>
          <w:tcPr>
            <w:tcW w:w="1825" w:type="dxa"/>
            <w:shd w:val="clear" w:color="auto" w:fill="D9E2F3"/>
            <w:vAlign w:val="center"/>
          </w:tcPr>
          <w:p w14:paraId="7C271FE8" w14:textId="77777777" w:rsidR="00990B14" w:rsidRDefault="00000000">
            <w:pPr>
              <w:spacing w:before="20" w:after="20"/>
              <w:jc w:val="both"/>
            </w:pPr>
            <w:r>
              <w:rPr>
                <w:sz w:val="18"/>
                <w:szCs w:val="18"/>
              </w:rPr>
              <w:t>Registro</w:t>
            </w:r>
          </w:p>
        </w:tc>
        <w:tc>
          <w:tcPr>
            <w:tcW w:w="1825" w:type="dxa"/>
            <w:shd w:val="clear" w:color="auto" w:fill="D9E2F3"/>
            <w:vAlign w:val="center"/>
          </w:tcPr>
          <w:p w14:paraId="04000E75" w14:textId="77777777" w:rsidR="00990B14" w:rsidRDefault="00000000">
            <w:pPr>
              <w:spacing w:before="20" w:after="20"/>
              <w:jc w:val="both"/>
            </w:pPr>
            <w:r>
              <w:rPr>
                <w:sz w:val="18"/>
                <w:szCs w:val="18"/>
              </w:rPr>
              <w:t>Desbalancea las cuentas de orden.</w:t>
            </w:r>
          </w:p>
        </w:tc>
        <w:tc>
          <w:tcPr>
            <w:tcW w:w="2120" w:type="dxa"/>
            <w:shd w:val="clear" w:color="auto" w:fill="D9E2F3"/>
            <w:vAlign w:val="center"/>
          </w:tcPr>
          <w:p w14:paraId="113745B2" w14:textId="77777777" w:rsidR="00990B14" w:rsidRDefault="00000000">
            <w:pPr>
              <w:spacing w:before="20" w:after="20"/>
              <w:jc w:val="both"/>
            </w:pPr>
            <w:r>
              <w:rPr>
                <w:sz w:val="18"/>
                <w:szCs w:val="18"/>
              </w:rPr>
              <w:t>Registra cuentas deudoras y acreedoras equilibradas.</w:t>
            </w:r>
          </w:p>
        </w:tc>
        <w:tc>
          <w:tcPr>
            <w:tcW w:w="1855" w:type="dxa"/>
            <w:shd w:val="clear" w:color="auto" w:fill="D9E2F3"/>
            <w:vAlign w:val="center"/>
          </w:tcPr>
          <w:p w14:paraId="10797111" w14:textId="77777777" w:rsidR="00990B14" w:rsidRDefault="00000000">
            <w:pPr>
              <w:spacing w:before="20" w:after="20"/>
              <w:jc w:val="both"/>
            </w:pPr>
            <w:r>
              <w:rPr>
                <w:sz w:val="18"/>
                <w:szCs w:val="18"/>
              </w:rPr>
              <w:t>Explica la reversión al extinguirse la partida.</w:t>
            </w:r>
          </w:p>
        </w:tc>
      </w:tr>
      <w:tr w:rsidR="00990B14" w14:paraId="15509817" w14:textId="77777777">
        <w:trPr>
          <w:cantSplit/>
          <w:jc w:val="center"/>
        </w:trPr>
        <w:tc>
          <w:tcPr>
            <w:tcW w:w="1780" w:type="dxa"/>
            <w:vMerge/>
            <w:shd w:val="clear" w:color="auto" w:fill="4472C4"/>
            <w:vAlign w:val="center"/>
          </w:tcPr>
          <w:p w14:paraId="1D4B8C40" w14:textId="77777777" w:rsidR="00990B14" w:rsidRDefault="00990B14">
            <w:pPr>
              <w:spacing w:before="20" w:after="20"/>
            </w:pPr>
          </w:p>
        </w:tc>
        <w:tc>
          <w:tcPr>
            <w:tcW w:w="1825" w:type="dxa"/>
            <w:shd w:val="clear" w:color="auto" w:fill="D9E2F3"/>
            <w:vAlign w:val="center"/>
          </w:tcPr>
          <w:p w14:paraId="76504119" w14:textId="77777777" w:rsidR="00990B14" w:rsidRDefault="00000000">
            <w:pPr>
              <w:spacing w:before="20" w:after="20"/>
              <w:jc w:val="both"/>
            </w:pPr>
            <w:r>
              <w:rPr>
                <w:sz w:val="18"/>
                <w:szCs w:val="18"/>
              </w:rPr>
              <w:t>Trabajo en equipo</w:t>
            </w:r>
          </w:p>
        </w:tc>
        <w:tc>
          <w:tcPr>
            <w:tcW w:w="1825" w:type="dxa"/>
            <w:shd w:val="clear" w:color="auto" w:fill="D9E2F3"/>
            <w:vAlign w:val="center"/>
          </w:tcPr>
          <w:p w14:paraId="7FDE51B7" w14:textId="77777777" w:rsidR="00990B14" w:rsidRDefault="00000000">
            <w:pPr>
              <w:spacing w:before="20" w:after="20"/>
              <w:jc w:val="both"/>
            </w:pPr>
            <w:r>
              <w:rPr>
                <w:sz w:val="18"/>
                <w:szCs w:val="18"/>
              </w:rPr>
              <w:t>La participación es desigual.</w:t>
            </w:r>
          </w:p>
        </w:tc>
        <w:tc>
          <w:tcPr>
            <w:tcW w:w="2120" w:type="dxa"/>
            <w:shd w:val="clear" w:color="auto" w:fill="D9E2F3"/>
            <w:vAlign w:val="center"/>
          </w:tcPr>
          <w:p w14:paraId="0EF1E094" w14:textId="77777777" w:rsidR="00990B14" w:rsidRDefault="00000000">
            <w:pPr>
              <w:spacing w:before="20" w:after="20"/>
              <w:jc w:val="both"/>
            </w:pPr>
            <w:r>
              <w:rPr>
                <w:sz w:val="18"/>
                <w:szCs w:val="18"/>
              </w:rPr>
              <w:t>Todos los integrantes participan.</w:t>
            </w:r>
          </w:p>
        </w:tc>
        <w:tc>
          <w:tcPr>
            <w:tcW w:w="1855" w:type="dxa"/>
            <w:shd w:val="clear" w:color="auto" w:fill="D9E2F3"/>
            <w:vAlign w:val="center"/>
          </w:tcPr>
          <w:p w14:paraId="7041546C" w14:textId="77777777" w:rsidR="00990B14" w:rsidRDefault="00000000">
            <w:pPr>
              <w:spacing w:before="20" w:after="20"/>
              <w:jc w:val="both"/>
            </w:pPr>
            <w:r>
              <w:rPr>
                <w:sz w:val="18"/>
                <w:szCs w:val="18"/>
              </w:rPr>
              <w:t>El equipo sustenta sus registros ante el curso.</w:t>
            </w:r>
          </w:p>
        </w:tc>
      </w:tr>
      <w:tr w:rsidR="00990B14" w14:paraId="38AE6BEF" w14:textId="77777777">
        <w:trPr>
          <w:cantSplit/>
          <w:jc w:val="center"/>
        </w:trPr>
        <w:tc>
          <w:tcPr>
            <w:tcW w:w="1780" w:type="dxa"/>
            <w:vMerge/>
            <w:shd w:val="clear" w:color="auto" w:fill="4472C4"/>
            <w:vAlign w:val="center"/>
          </w:tcPr>
          <w:p w14:paraId="4FE770B6" w14:textId="77777777" w:rsidR="00990B14" w:rsidRDefault="00990B14">
            <w:pPr>
              <w:spacing w:before="20" w:after="20"/>
            </w:pPr>
          </w:p>
        </w:tc>
        <w:tc>
          <w:tcPr>
            <w:tcW w:w="5770" w:type="dxa"/>
            <w:gridSpan w:val="3"/>
            <w:shd w:val="clear" w:color="auto" w:fill="D9E2F3"/>
            <w:vAlign w:val="center"/>
          </w:tcPr>
          <w:p w14:paraId="7CDBE575" w14:textId="77777777" w:rsidR="00990B14" w:rsidRDefault="00000000">
            <w:pPr>
              <w:keepNext/>
              <w:spacing w:before="20" w:after="20"/>
              <w:jc w:val="both"/>
            </w:pPr>
            <w:r>
              <w:rPr>
                <w:b/>
                <w:bCs/>
                <w:i/>
                <w:iCs/>
                <w:sz w:val="18"/>
                <w:szCs w:val="18"/>
              </w:rPr>
              <w:t xml:space="preserve">Producto 36: </w:t>
            </w:r>
            <w:r>
              <w:rPr>
                <w:sz w:val="18"/>
                <w:szCs w:val="18"/>
              </w:rPr>
              <w:t>Informe del mantenimiento del capital</w:t>
            </w:r>
          </w:p>
        </w:tc>
        <w:tc>
          <w:tcPr>
            <w:tcW w:w="1855" w:type="dxa"/>
            <w:shd w:val="clear" w:color="auto" w:fill="D9E2F3"/>
            <w:vAlign w:val="center"/>
          </w:tcPr>
          <w:p w14:paraId="1AFEB690" w14:textId="77777777" w:rsidR="00990B14" w:rsidRDefault="00000000">
            <w:pPr>
              <w:spacing w:before="20" w:after="20"/>
              <w:jc w:val="center"/>
            </w:pPr>
            <w:r>
              <w:rPr>
                <w:b/>
                <w:bCs/>
                <w:sz w:val="18"/>
                <w:szCs w:val="18"/>
              </w:rPr>
              <w:t>2%</w:t>
            </w:r>
          </w:p>
        </w:tc>
      </w:tr>
      <w:tr w:rsidR="00990B14" w14:paraId="2E26A5A4" w14:textId="77777777">
        <w:trPr>
          <w:cantSplit/>
          <w:jc w:val="center"/>
        </w:trPr>
        <w:tc>
          <w:tcPr>
            <w:tcW w:w="1780" w:type="dxa"/>
            <w:vMerge/>
            <w:shd w:val="clear" w:color="auto" w:fill="4472C4"/>
            <w:vAlign w:val="center"/>
          </w:tcPr>
          <w:p w14:paraId="166F7D74" w14:textId="77777777" w:rsidR="00990B14" w:rsidRDefault="00990B14">
            <w:pPr>
              <w:spacing w:before="20" w:after="20"/>
            </w:pPr>
          </w:p>
        </w:tc>
        <w:tc>
          <w:tcPr>
            <w:tcW w:w="1825" w:type="dxa"/>
            <w:shd w:val="clear" w:color="auto" w:fill="4472C4"/>
            <w:vAlign w:val="center"/>
          </w:tcPr>
          <w:p w14:paraId="4E2C8582" w14:textId="77777777" w:rsidR="00990B14" w:rsidRDefault="00000000">
            <w:pPr>
              <w:keepNext/>
              <w:spacing w:before="20" w:after="20"/>
              <w:jc w:val="center"/>
            </w:pPr>
            <w:r>
              <w:rPr>
                <w:b/>
                <w:bCs/>
                <w:i/>
                <w:iCs/>
                <w:color w:val="FFFFFF"/>
                <w:sz w:val="18"/>
                <w:szCs w:val="18"/>
              </w:rPr>
              <w:t>Criterio</w:t>
            </w:r>
          </w:p>
        </w:tc>
        <w:tc>
          <w:tcPr>
            <w:tcW w:w="1825" w:type="dxa"/>
            <w:shd w:val="clear" w:color="auto" w:fill="4472C4"/>
            <w:vAlign w:val="center"/>
          </w:tcPr>
          <w:p w14:paraId="1D0AB92D" w14:textId="77777777" w:rsidR="00990B14" w:rsidRDefault="00000000">
            <w:pPr>
              <w:keepNext/>
              <w:spacing w:before="20" w:after="20"/>
              <w:jc w:val="center"/>
            </w:pPr>
            <w:r>
              <w:rPr>
                <w:b/>
                <w:bCs/>
                <w:i/>
                <w:iCs/>
                <w:color w:val="FFFFFF"/>
                <w:sz w:val="18"/>
                <w:szCs w:val="18"/>
              </w:rPr>
              <w:t>Insuficiente (1–50)</w:t>
            </w:r>
          </w:p>
        </w:tc>
        <w:tc>
          <w:tcPr>
            <w:tcW w:w="2120" w:type="dxa"/>
            <w:shd w:val="clear" w:color="auto" w:fill="4472C4"/>
            <w:vAlign w:val="center"/>
          </w:tcPr>
          <w:p w14:paraId="3F6EAADF" w14:textId="77777777" w:rsidR="00990B14" w:rsidRDefault="00000000">
            <w:pPr>
              <w:keepNext/>
              <w:spacing w:before="20" w:after="20"/>
              <w:jc w:val="center"/>
            </w:pPr>
            <w:r>
              <w:rPr>
                <w:b/>
                <w:bCs/>
                <w:i/>
                <w:iCs/>
                <w:color w:val="FFFFFF"/>
                <w:sz w:val="18"/>
                <w:szCs w:val="18"/>
              </w:rPr>
              <w:t>Suficiente (51–80)</w:t>
            </w:r>
          </w:p>
        </w:tc>
        <w:tc>
          <w:tcPr>
            <w:tcW w:w="1855" w:type="dxa"/>
            <w:shd w:val="clear" w:color="auto" w:fill="4472C4"/>
            <w:vAlign w:val="center"/>
          </w:tcPr>
          <w:p w14:paraId="139DF758" w14:textId="77777777" w:rsidR="00990B14" w:rsidRDefault="00000000">
            <w:pPr>
              <w:keepNext/>
              <w:spacing w:before="20" w:after="20"/>
              <w:jc w:val="center"/>
            </w:pPr>
            <w:r>
              <w:rPr>
                <w:b/>
                <w:bCs/>
                <w:i/>
                <w:iCs/>
                <w:color w:val="FFFFFF"/>
                <w:sz w:val="18"/>
                <w:szCs w:val="18"/>
              </w:rPr>
              <w:t>Destacado (81–100)</w:t>
            </w:r>
          </w:p>
        </w:tc>
      </w:tr>
      <w:tr w:rsidR="00990B14" w14:paraId="5F573034" w14:textId="77777777">
        <w:trPr>
          <w:cantSplit/>
          <w:jc w:val="center"/>
        </w:trPr>
        <w:tc>
          <w:tcPr>
            <w:tcW w:w="1780" w:type="dxa"/>
            <w:vMerge/>
            <w:shd w:val="clear" w:color="auto" w:fill="4472C4"/>
            <w:vAlign w:val="center"/>
          </w:tcPr>
          <w:p w14:paraId="1BAD40AC" w14:textId="77777777" w:rsidR="00990B14" w:rsidRDefault="00990B14">
            <w:pPr>
              <w:spacing w:before="20" w:after="20"/>
            </w:pPr>
          </w:p>
        </w:tc>
        <w:tc>
          <w:tcPr>
            <w:tcW w:w="1825" w:type="dxa"/>
            <w:shd w:val="clear" w:color="auto" w:fill="D9E2F3"/>
            <w:vAlign w:val="center"/>
          </w:tcPr>
          <w:p w14:paraId="6096D3E2" w14:textId="77777777" w:rsidR="00990B14" w:rsidRDefault="00000000">
            <w:pPr>
              <w:spacing w:before="20" w:after="20"/>
              <w:jc w:val="both"/>
            </w:pPr>
            <w:r>
              <w:rPr>
                <w:sz w:val="18"/>
                <w:szCs w:val="18"/>
              </w:rPr>
              <w:t>Conceptos</w:t>
            </w:r>
          </w:p>
        </w:tc>
        <w:tc>
          <w:tcPr>
            <w:tcW w:w="1825" w:type="dxa"/>
            <w:shd w:val="clear" w:color="auto" w:fill="D9E2F3"/>
            <w:vAlign w:val="center"/>
          </w:tcPr>
          <w:p w14:paraId="154B774C" w14:textId="77777777" w:rsidR="00990B14" w:rsidRDefault="00000000">
            <w:pPr>
              <w:spacing w:before="20" w:after="20"/>
              <w:jc w:val="both"/>
            </w:pPr>
            <w:r>
              <w:rPr>
                <w:sz w:val="18"/>
                <w:szCs w:val="18"/>
              </w:rPr>
              <w:t>Confunde ambos conceptos.</w:t>
            </w:r>
          </w:p>
        </w:tc>
        <w:tc>
          <w:tcPr>
            <w:tcW w:w="2120" w:type="dxa"/>
            <w:shd w:val="clear" w:color="auto" w:fill="D9E2F3"/>
            <w:vAlign w:val="center"/>
          </w:tcPr>
          <w:p w14:paraId="0B2C4B32" w14:textId="77777777" w:rsidR="00990B14" w:rsidRDefault="00000000">
            <w:pPr>
              <w:spacing w:before="20" w:after="20"/>
              <w:jc w:val="both"/>
            </w:pPr>
            <w:r>
              <w:rPr>
                <w:sz w:val="18"/>
                <w:szCs w:val="18"/>
              </w:rPr>
              <w:t>Distingue el capital financiero del operativo.</w:t>
            </w:r>
          </w:p>
        </w:tc>
        <w:tc>
          <w:tcPr>
            <w:tcW w:w="1855" w:type="dxa"/>
            <w:shd w:val="clear" w:color="auto" w:fill="D9E2F3"/>
            <w:vAlign w:val="center"/>
          </w:tcPr>
          <w:p w14:paraId="3D4D7390" w14:textId="77777777" w:rsidR="00990B14" w:rsidRDefault="00000000">
            <w:pPr>
              <w:spacing w:before="20" w:after="20"/>
              <w:jc w:val="both"/>
            </w:pPr>
            <w:r>
              <w:rPr>
                <w:sz w:val="18"/>
                <w:szCs w:val="18"/>
              </w:rPr>
              <w:t>Explica la relación con el Marco Conceptual.</w:t>
            </w:r>
          </w:p>
        </w:tc>
      </w:tr>
      <w:tr w:rsidR="00990B14" w14:paraId="4C705EDC" w14:textId="77777777">
        <w:trPr>
          <w:cantSplit/>
          <w:jc w:val="center"/>
        </w:trPr>
        <w:tc>
          <w:tcPr>
            <w:tcW w:w="1780" w:type="dxa"/>
            <w:vMerge/>
            <w:shd w:val="clear" w:color="auto" w:fill="4472C4"/>
            <w:vAlign w:val="center"/>
          </w:tcPr>
          <w:p w14:paraId="2EE13360" w14:textId="77777777" w:rsidR="00990B14" w:rsidRDefault="00990B14">
            <w:pPr>
              <w:spacing w:before="20" w:after="20"/>
            </w:pPr>
          </w:p>
        </w:tc>
        <w:tc>
          <w:tcPr>
            <w:tcW w:w="1825" w:type="dxa"/>
            <w:shd w:val="clear" w:color="auto" w:fill="D9E2F3"/>
            <w:vAlign w:val="center"/>
          </w:tcPr>
          <w:p w14:paraId="107CC6B7" w14:textId="77777777" w:rsidR="00990B14" w:rsidRDefault="00000000">
            <w:pPr>
              <w:spacing w:before="20" w:after="20"/>
              <w:jc w:val="both"/>
            </w:pPr>
            <w:r>
              <w:rPr>
                <w:sz w:val="18"/>
                <w:szCs w:val="18"/>
              </w:rPr>
              <w:t>Ejemplo numérico</w:t>
            </w:r>
          </w:p>
        </w:tc>
        <w:tc>
          <w:tcPr>
            <w:tcW w:w="1825" w:type="dxa"/>
            <w:shd w:val="clear" w:color="auto" w:fill="D9E2F3"/>
            <w:vAlign w:val="center"/>
          </w:tcPr>
          <w:p w14:paraId="1DE00FFB" w14:textId="77777777" w:rsidR="00990B14" w:rsidRDefault="00000000">
            <w:pPr>
              <w:spacing w:before="20" w:after="20"/>
              <w:jc w:val="both"/>
            </w:pPr>
            <w:r>
              <w:rPr>
                <w:sz w:val="18"/>
                <w:szCs w:val="18"/>
              </w:rPr>
              <w:t>El ejemplo tiene errores.</w:t>
            </w:r>
          </w:p>
        </w:tc>
        <w:tc>
          <w:tcPr>
            <w:tcW w:w="2120" w:type="dxa"/>
            <w:shd w:val="clear" w:color="auto" w:fill="D9E2F3"/>
            <w:vAlign w:val="center"/>
          </w:tcPr>
          <w:p w14:paraId="37D1DE2F" w14:textId="77777777" w:rsidR="00990B14" w:rsidRDefault="00000000">
            <w:pPr>
              <w:spacing w:before="20" w:after="20"/>
              <w:jc w:val="both"/>
            </w:pPr>
            <w:r>
              <w:rPr>
                <w:sz w:val="18"/>
                <w:szCs w:val="18"/>
              </w:rPr>
              <w:t>Desarrolla un ejemplo correcto.</w:t>
            </w:r>
          </w:p>
        </w:tc>
        <w:tc>
          <w:tcPr>
            <w:tcW w:w="1855" w:type="dxa"/>
            <w:shd w:val="clear" w:color="auto" w:fill="D9E2F3"/>
            <w:vAlign w:val="center"/>
          </w:tcPr>
          <w:p w14:paraId="09458E4A" w14:textId="77777777" w:rsidR="00990B14" w:rsidRDefault="00000000">
            <w:pPr>
              <w:spacing w:before="20" w:after="20"/>
              <w:jc w:val="both"/>
            </w:pPr>
            <w:r>
              <w:rPr>
                <w:sz w:val="18"/>
                <w:szCs w:val="18"/>
              </w:rPr>
              <w:t>Analiza el efecto en la utilidad distribuible.</w:t>
            </w:r>
          </w:p>
        </w:tc>
      </w:tr>
      <w:tr w:rsidR="00990B14" w14:paraId="33442E24" w14:textId="77777777">
        <w:trPr>
          <w:cantSplit/>
          <w:jc w:val="center"/>
        </w:trPr>
        <w:tc>
          <w:tcPr>
            <w:tcW w:w="1780" w:type="dxa"/>
            <w:vMerge/>
            <w:shd w:val="clear" w:color="auto" w:fill="4472C4"/>
            <w:vAlign w:val="center"/>
          </w:tcPr>
          <w:p w14:paraId="0DF3FDAF" w14:textId="77777777" w:rsidR="00990B14" w:rsidRDefault="00990B14">
            <w:pPr>
              <w:spacing w:before="20" w:after="20"/>
            </w:pPr>
          </w:p>
        </w:tc>
        <w:tc>
          <w:tcPr>
            <w:tcW w:w="1825" w:type="dxa"/>
            <w:shd w:val="clear" w:color="auto" w:fill="D9E2F3"/>
            <w:vAlign w:val="center"/>
          </w:tcPr>
          <w:p w14:paraId="6457DB4B" w14:textId="77777777" w:rsidR="00990B14" w:rsidRDefault="00000000">
            <w:pPr>
              <w:spacing w:before="20" w:after="20"/>
              <w:jc w:val="both"/>
            </w:pPr>
            <w:r>
              <w:rPr>
                <w:sz w:val="18"/>
                <w:szCs w:val="18"/>
              </w:rPr>
              <w:t>Claridad de la exposición</w:t>
            </w:r>
          </w:p>
        </w:tc>
        <w:tc>
          <w:tcPr>
            <w:tcW w:w="1825" w:type="dxa"/>
            <w:shd w:val="clear" w:color="auto" w:fill="D9E2F3"/>
            <w:vAlign w:val="center"/>
          </w:tcPr>
          <w:p w14:paraId="1984B958" w14:textId="77777777" w:rsidR="00990B14" w:rsidRDefault="00000000">
            <w:pPr>
              <w:spacing w:before="20" w:after="20"/>
              <w:jc w:val="both"/>
            </w:pPr>
            <w:r>
              <w:rPr>
                <w:sz w:val="18"/>
                <w:szCs w:val="18"/>
              </w:rPr>
              <w:t>La exposición es confusa.</w:t>
            </w:r>
          </w:p>
        </w:tc>
        <w:tc>
          <w:tcPr>
            <w:tcW w:w="2120" w:type="dxa"/>
            <w:shd w:val="clear" w:color="auto" w:fill="D9E2F3"/>
            <w:vAlign w:val="center"/>
          </w:tcPr>
          <w:p w14:paraId="13C72A6E" w14:textId="77777777" w:rsidR="00990B14" w:rsidRDefault="00000000">
            <w:pPr>
              <w:spacing w:before="20" w:after="20"/>
              <w:jc w:val="both"/>
            </w:pPr>
            <w:r>
              <w:rPr>
                <w:sz w:val="18"/>
                <w:szCs w:val="18"/>
              </w:rPr>
              <w:t>Expone con orden y claridad.</w:t>
            </w:r>
          </w:p>
        </w:tc>
        <w:tc>
          <w:tcPr>
            <w:tcW w:w="1855" w:type="dxa"/>
            <w:shd w:val="clear" w:color="auto" w:fill="D9E2F3"/>
            <w:vAlign w:val="center"/>
          </w:tcPr>
          <w:p w14:paraId="5AB3800C" w14:textId="77777777" w:rsidR="00990B14" w:rsidRDefault="00000000">
            <w:pPr>
              <w:spacing w:before="20" w:after="20"/>
              <w:jc w:val="both"/>
            </w:pPr>
            <w:r>
              <w:rPr>
                <w:sz w:val="18"/>
                <w:szCs w:val="18"/>
              </w:rPr>
              <w:t>Responde con solvencia las preguntas del curso.</w:t>
            </w:r>
          </w:p>
        </w:tc>
      </w:tr>
      <w:tr w:rsidR="00990B14" w14:paraId="4CCF3073" w14:textId="77777777">
        <w:trPr>
          <w:cantSplit/>
          <w:jc w:val="center"/>
        </w:trPr>
        <w:tc>
          <w:tcPr>
            <w:tcW w:w="1780" w:type="dxa"/>
            <w:vMerge/>
            <w:shd w:val="clear" w:color="auto" w:fill="4472C4"/>
            <w:vAlign w:val="center"/>
          </w:tcPr>
          <w:p w14:paraId="59AAF67D" w14:textId="77777777" w:rsidR="00990B14" w:rsidRDefault="00990B14">
            <w:pPr>
              <w:spacing w:before="20" w:after="20"/>
            </w:pPr>
          </w:p>
        </w:tc>
        <w:tc>
          <w:tcPr>
            <w:tcW w:w="5770" w:type="dxa"/>
            <w:gridSpan w:val="3"/>
            <w:shd w:val="clear" w:color="auto" w:fill="D9E2F3"/>
            <w:vAlign w:val="center"/>
          </w:tcPr>
          <w:p w14:paraId="0EBF0A55" w14:textId="77777777" w:rsidR="00990B14" w:rsidRDefault="00000000">
            <w:pPr>
              <w:keepNext/>
              <w:spacing w:before="20" w:after="20"/>
              <w:jc w:val="both"/>
            </w:pPr>
            <w:r>
              <w:rPr>
                <w:b/>
                <w:bCs/>
                <w:i/>
                <w:iCs/>
                <w:sz w:val="18"/>
                <w:szCs w:val="18"/>
              </w:rPr>
              <w:t xml:space="preserve">Producto 37: </w:t>
            </w:r>
            <w:r>
              <w:rPr>
                <w:sz w:val="18"/>
                <w:szCs w:val="18"/>
              </w:rPr>
              <w:t>Cuadro de clasificación de gastos e ingresos</w:t>
            </w:r>
          </w:p>
        </w:tc>
        <w:tc>
          <w:tcPr>
            <w:tcW w:w="1855" w:type="dxa"/>
            <w:shd w:val="clear" w:color="auto" w:fill="D9E2F3"/>
            <w:vAlign w:val="center"/>
          </w:tcPr>
          <w:p w14:paraId="51FC0817" w14:textId="77777777" w:rsidR="00990B14" w:rsidRDefault="00000000">
            <w:pPr>
              <w:spacing w:before="20" w:after="20"/>
              <w:jc w:val="center"/>
            </w:pPr>
            <w:r>
              <w:rPr>
                <w:b/>
                <w:bCs/>
                <w:sz w:val="18"/>
                <w:szCs w:val="18"/>
              </w:rPr>
              <w:t>2%</w:t>
            </w:r>
          </w:p>
        </w:tc>
      </w:tr>
      <w:tr w:rsidR="00990B14" w14:paraId="4EF3ED0F" w14:textId="77777777">
        <w:trPr>
          <w:cantSplit/>
          <w:jc w:val="center"/>
        </w:trPr>
        <w:tc>
          <w:tcPr>
            <w:tcW w:w="1780" w:type="dxa"/>
            <w:vMerge/>
            <w:shd w:val="clear" w:color="auto" w:fill="4472C4"/>
            <w:vAlign w:val="center"/>
          </w:tcPr>
          <w:p w14:paraId="43827A4D" w14:textId="77777777" w:rsidR="00990B14" w:rsidRDefault="00990B14">
            <w:pPr>
              <w:spacing w:before="20" w:after="20"/>
            </w:pPr>
          </w:p>
        </w:tc>
        <w:tc>
          <w:tcPr>
            <w:tcW w:w="1825" w:type="dxa"/>
            <w:shd w:val="clear" w:color="auto" w:fill="4472C4"/>
            <w:vAlign w:val="center"/>
          </w:tcPr>
          <w:p w14:paraId="7F9AC398" w14:textId="77777777" w:rsidR="00990B14" w:rsidRDefault="00000000">
            <w:pPr>
              <w:keepNext/>
              <w:spacing w:before="20" w:after="20"/>
              <w:jc w:val="center"/>
            </w:pPr>
            <w:r>
              <w:rPr>
                <w:b/>
                <w:bCs/>
                <w:i/>
                <w:iCs/>
                <w:color w:val="FFFFFF"/>
                <w:sz w:val="18"/>
                <w:szCs w:val="18"/>
              </w:rPr>
              <w:t>Criterio</w:t>
            </w:r>
          </w:p>
        </w:tc>
        <w:tc>
          <w:tcPr>
            <w:tcW w:w="1825" w:type="dxa"/>
            <w:shd w:val="clear" w:color="auto" w:fill="4472C4"/>
            <w:vAlign w:val="center"/>
          </w:tcPr>
          <w:p w14:paraId="6F4EA670" w14:textId="77777777" w:rsidR="00990B14" w:rsidRDefault="00000000">
            <w:pPr>
              <w:keepNext/>
              <w:spacing w:before="20" w:after="20"/>
              <w:jc w:val="center"/>
            </w:pPr>
            <w:r>
              <w:rPr>
                <w:b/>
                <w:bCs/>
                <w:i/>
                <w:iCs/>
                <w:color w:val="FFFFFF"/>
                <w:sz w:val="18"/>
                <w:szCs w:val="18"/>
              </w:rPr>
              <w:t>Insuficiente (1–50)</w:t>
            </w:r>
          </w:p>
        </w:tc>
        <w:tc>
          <w:tcPr>
            <w:tcW w:w="2120" w:type="dxa"/>
            <w:shd w:val="clear" w:color="auto" w:fill="4472C4"/>
            <w:vAlign w:val="center"/>
          </w:tcPr>
          <w:p w14:paraId="3753F938" w14:textId="77777777" w:rsidR="00990B14" w:rsidRDefault="00000000">
            <w:pPr>
              <w:keepNext/>
              <w:spacing w:before="20" w:after="20"/>
              <w:jc w:val="center"/>
            </w:pPr>
            <w:r>
              <w:rPr>
                <w:b/>
                <w:bCs/>
                <w:i/>
                <w:iCs/>
                <w:color w:val="FFFFFF"/>
                <w:sz w:val="18"/>
                <w:szCs w:val="18"/>
              </w:rPr>
              <w:t>Suficiente (51–80)</w:t>
            </w:r>
          </w:p>
        </w:tc>
        <w:tc>
          <w:tcPr>
            <w:tcW w:w="1855" w:type="dxa"/>
            <w:shd w:val="clear" w:color="auto" w:fill="4472C4"/>
            <w:vAlign w:val="center"/>
          </w:tcPr>
          <w:p w14:paraId="2B8CADCA" w14:textId="77777777" w:rsidR="00990B14" w:rsidRDefault="00000000">
            <w:pPr>
              <w:keepNext/>
              <w:spacing w:before="20" w:after="20"/>
              <w:jc w:val="center"/>
            </w:pPr>
            <w:r>
              <w:rPr>
                <w:b/>
                <w:bCs/>
                <w:i/>
                <w:iCs/>
                <w:color w:val="FFFFFF"/>
                <w:sz w:val="18"/>
                <w:szCs w:val="18"/>
              </w:rPr>
              <w:t>Destacado (81–100)</w:t>
            </w:r>
          </w:p>
        </w:tc>
      </w:tr>
      <w:tr w:rsidR="00990B14" w14:paraId="59DDBECC" w14:textId="77777777">
        <w:trPr>
          <w:cantSplit/>
          <w:jc w:val="center"/>
        </w:trPr>
        <w:tc>
          <w:tcPr>
            <w:tcW w:w="1780" w:type="dxa"/>
            <w:vMerge/>
            <w:shd w:val="clear" w:color="auto" w:fill="4472C4"/>
            <w:vAlign w:val="center"/>
          </w:tcPr>
          <w:p w14:paraId="7EDA27A5" w14:textId="77777777" w:rsidR="00990B14" w:rsidRDefault="00990B14">
            <w:pPr>
              <w:spacing w:before="20" w:after="20"/>
            </w:pPr>
          </w:p>
        </w:tc>
        <w:tc>
          <w:tcPr>
            <w:tcW w:w="1825" w:type="dxa"/>
            <w:shd w:val="clear" w:color="auto" w:fill="D9E2F3"/>
            <w:vAlign w:val="center"/>
          </w:tcPr>
          <w:p w14:paraId="122FE4EC" w14:textId="77777777" w:rsidR="00990B14" w:rsidRDefault="00000000">
            <w:pPr>
              <w:spacing w:before="20" w:after="20"/>
              <w:jc w:val="both"/>
            </w:pPr>
            <w:r>
              <w:rPr>
                <w:sz w:val="18"/>
                <w:szCs w:val="18"/>
              </w:rPr>
              <w:t>Clasificación por función</w:t>
            </w:r>
          </w:p>
        </w:tc>
        <w:tc>
          <w:tcPr>
            <w:tcW w:w="1825" w:type="dxa"/>
            <w:shd w:val="clear" w:color="auto" w:fill="D9E2F3"/>
            <w:vAlign w:val="center"/>
          </w:tcPr>
          <w:p w14:paraId="526DEE80" w14:textId="77777777" w:rsidR="00990B14" w:rsidRDefault="00000000">
            <w:pPr>
              <w:spacing w:before="20" w:after="20"/>
              <w:jc w:val="both"/>
            </w:pPr>
            <w:r>
              <w:rPr>
                <w:sz w:val="18"/>
                <w:szCs w:val="18"/>
              </w:rPr>
              <w:t>Mezcla gastos de distinta función.</w:t>
            </w:r>
          </w:p>
        </w:tc>
        <w:tc>
          <w:tcPr>
            <w:tcW w:w="2120" w:type="dxa"/>
            <w:shd w:val="clear" w:color="auto" w:fill="D9E2F3"/>
            <w:vAlign w:val="center"/>
          </w:tcPr>
          <w:p w14:paraId="5E638A40" w14:textId="77777777" w:rsidR="00990B14" w:rsidRDefault="00000000">
            <w:pPr>
              <w:spacing w:before="20" w:after="20"/>
              <w:jc w:val="both"/>
            </w:pPr>
            <w:r>
              <w:rPr>
                <w:sz w:val="18"/>
                <w:szCs w:val="18"/>
              </w:rPr>
              <w:t>Clasifica los gastos de operación, administración, venta y financieros.</w:t>
            </w:r>
          </w:p>
        </w:tc>
        <w:tc>
          <w:tcPr>
            <w:tcW w:w="1855" w:type="dxa"/>
            <w:shd w:val="clear" w:color="auto" w:fill="D9E2F3"/>
            <w:vAlign w:val="center"/>
          </w:tcPr>
          <w:p w14:paraId="2BBBACB7" w14:textId="77777777" w:rsidR="00990B14" w:rsidRDefault="00000000">
            <w:pPr>
              <w:spacing w:before="20" w:after="20"/>
              <w:jc w:val="both"/>
            </w:pPr>
            <w:r>
              <w:rPr>
                <w:sz w:val="18"/>
                <w:szCs w:val="18"/>
              </w:rPr>
              <w:t>Relaciona la clasificación con el estado de resultados.</w:t>
            </w:r>
          </w:p>
        </w:tc>
      </w:tr>
      <w:tr w:rsidR="00990B14" w14:paraId="426EC4E2" w14:textId="77777777">
        <w:trPr>
          <w:cantSplit/>
          <w:jc w:val="center"/>
        </w:trPr>
        <w:tc>
          <w:tcPr>
            <w:tcW w:w="1780" w:type="dxa"/>
            <w:vMerge/>
            <w:shd w:val="clear" w:color="auto" w:fill="4472C4"/>
            <w:vAlign w:val="center"/>
          </w:tcPr>
          <w:p w14:paraId="2AED7B8A" w14:textId="77777777" w:rsidR="00990B14" w:rsidRDefault="00990B14">
            <w:pPr>
              <w:spacing w:before="20" w:after="20"/>
            </w:pPr>
          </w:p>
        </w:tc>
        <w:tc>
          <w:tcPr>
            <w:tcW w:w="1825" w:type="dxa"/>
            <w:shd w:val="clear" w:color="auto" w:fill="D9E2F3"/>
            <w:vAlign w:val="center"/>
          </w:tcPr>
          <w:p w14:paraId="73A93865" w14:textId="77777777" w:rsidR="00990B14" w:rsidRDefault="00000000">
            <w:pPr>
              <w:spacing w:before="20" w:after="20"/>
              <w:jc w:val="both"/>
            </w:pPr>
            <w:r>
              <w:rPr>
                <w:sz w:val="18"/>
                <w:szCs w:val="18"/>
              </w:rPr>
              <w:t>Base de registro</w:t>
            </w:r>
          </w:p>
        </w:tc>
        <w:tc>
          <w:tcPr>
            <w:tcW w:w="1825" w:type="dxa"/>
            <w:shd w:val="clear" w:color="auto" w:fill="D9E2F3"/>
            <w:vAlign w:val="center"/>
          </w:tcPr>
          <w:p w14:paraId="3DE55DAC" w14:textId="77777777" w:rsidR="00990B14" w:rsidRDefault="00000000">
            <w:pPr>
              <w:spacing w:before="20" w:after="20"/>
              <w:jc w:val="both"/>
            </w:pPr>
            <w:r>
              <w:rPr>
                <w:sz w:val="18"/>
                <w:szCs w:val="18"/>
              </w:rPr>
              <w:t>Confunde base efectivo y devengado.</w:t>
            </w:r>
          </w:p>
        </w:tc>
        <w:tc>
          <w:tcPr>
            <w:tcW w:w="2120" w:type="dxa"/>
            <w:shd w:val="clear" w:color="auto" w:fill="D9E2F3"/>
            <w:vAlign w:val="center"/>
          </w:tcPr>
          <w:p w14:paraId="23476761" w14:textId="77777777" w:rsidR="00990B14" w:rsidRDefault="00000000">
            <w:pPr>
              <w:spacing w:before="20" w:after="20"/>
              <w:jc w:val="both"/>
            </w:pPr>
            <w:r>
              <w:rPr>
                <w:sz w:val="18"/>
                <w:szCs w:val="18"/>
              </w:rPr>
              <w:t>Registra con base devengado.</w:t>
            </w:r>
          </w:p>
        </w:tc>
        <w:tc>
          <w:tcPr>
            <w:tcW w:w="1855" w:type="dxa"/>
            <w:shd w:val="clear" w:color="auto" w:fill="D9E2F3"/>
            <w:vAlign w:val="center"/>
          </w:tcPr>
          <w:p w14:paraId="0555AA31" w14:textId="77777777" w:rsidR="00990B14" w:rsidRDefault="00000000">
            <w:pPr>
              <w:spacing w:before="20" w:after="20"/>
              <w:jc w:val="both"/>
            </w:pPr>
            <w:r>
              <w:rPr>
                <w:sz w:val="18"/>
                <w:szCs w:val="18"/>
              </w:rPr>
              <w:t>Explica el efecto del corte de operaciones.</w:t>
            </w:r>
          </w:p>
        </w:tc>
      </w:tr>
      <w:tr w:rsidR="00990B14" w14:paraId="103DB308" w14:textId="77777777">
        <w:trPr>
          <w:cantSplit/>
          <w:jc w:val="center"/>
        </w:trPr>
        <w:tc>
          <w:tcPr>
            <w:tcW w:w="1780" w:type="dxa"/>
            <w:vMerge/>
            <w:shd w:val="clear" w:color="auto" w:fill="4472C4"/>
            <w:vAlign w:val="center"/>
          </w:tcPr>
          <w:p w14:paraId="2E83FCF3" w14:textId="77777777" w:rsidR="00990B14" w:rsidRDefault="00990B14">
            <w:pPr>
              <w:spacing w:before="20" w:after="20"/>
            </w:pPr>
          </w:p>
        </w:tc>
        <w:tc>
          <w:tcPr>
            <w:tcW w:w="1825" w:type="dxa"/>
            <w:shd w:val="clear" w:color="auto" w:fill="D9E2F3"/>
            <w:vAlign w:val="center"/>
          </w:tcPr>
          <w:p w14:paraId="188BD0DE" w14:textId="77777777" w:rsidR="00990B14" w:rsidRDefault="00000000">
            <w:pPr>
              <w:spacing w:before="20" w:after="20"/>
              <w:jc w:val="both"/>
            </w:pPr>
            <w:r>
              <w:rPr>
                <w:sz w:val="18"/>
                <w:szCs w:val="18"/>
              </w:rPr>
              <w:t>Respaldo</w:t>
            </w:r>
          </w:p>
        </w:tc>
        <w:tc>
          <w:tcPr>
            <w:tcW w:w="1825" w:type="dxa"/>
            <w:shd w:val="clear" w:color="auto" w:fill="D9E2F3"/>
            <w:vAlign w:val="center"/>
          </w:tcPr>
          <w:p w14:paraId="46D89F47" w14:textId="77777777" w:rsidR="00990B14" w:rsidRDefault="00000000">
            <w:pPr>
              <w:spacing w:before="20" w:after="20"/>
              <w:jc w:val="both"/>
            </w:pPr>
            <w:r>
              <w:rPr>
                <w:sz w:val="18"/>
                <w:szCs w:val="18"/>
              </w:rPr>
              <w:t>Registra sin factura.</w:t>
            </w:r>
          </w:p>
        </w:tc>
        <w:tc>
          <w:tcPr>
            <w:tcW w:w="2120" w:type="dxa"/>
            <w:shd w:val="clear" w:color="auto" w:fill="D9E2F3"/>
            <w:vAlign w:val="center"/>
          </w:tcPr>
          <w:p w14:paraId="7F633D55" w14:textId="77777777" w:rsidR="00990B14" w:rsidRDefault="00000000">
            <w:pPr>
              <w:spacing w:before="20" w:after="20"/>
              <w:jc w:val="both"/>
            </w:pPr>
            <w:r>
              <w:rPr>
                <w:sz w:val="18"/>
                <w:szCs w:val="18"/>
              </w:rPr>
              <w:t>Respalda cada partida con su documento.</w:t>
            </w:r>
          </w:p>
        </w:tc>
        <w:tc>
          <w:tcPr>
            <w:tcW w:w="1855" w:type="dxa"/>
            <w:shd w:val="clear" w:color="auto" w:fill="D9E2F3"/>
            <w:vAlign w:val="center"/>
          </w:tcPr>
          <w:p w14:paraId="1D34DE37" w14:textId="77777777" w:rsidR="00990B14" w:rsidRDefault="00000000">
            <w:pPr>
              <w:spacing w:before="20" w:after="20"/>
              <w:jc w:val="both"/>
            </w:pPr>
            <w:r>
              <w:rPr>
                <w:sz w:val="18"/>
                <w:szCs w:val="18"/>
              </w:rPr>
              <w:t>Señala gastos que no tienen respaldo válido.</w:t>
            </w:r>
          </w:p>
        </w:tc>
      </w:tr>
      <w:tr w:rsidR="00990B14" w14:paraId="52E2A002" w14:textId="77777777">
        <w:trPr>
          <w:cantSplit/>
          <w:jc w:val="center"/>
        </w:trPr>
        <w:tc>
          <w:tcPr>
            <w:tcW w:w="1780" w:type="dxa"/>
            <w:vMerge/>
            <w:shd w:val="clear" w:color="auto" w:fill="4472C4"/>
            <w:vAlign w:val="center"/>
          </w:tcPr>
          <w:p w14:paraId="2A0A0596" w14:textId="77777777" w:rsidR="00990B14" w:rsidRDefault="00990B14">
            <w:pPr>
              <w:spacing w:before="20" w:after="20"/>
            </w:pPr>
          </w:p>
        </w:tc>
        <w:tc>
          <w:tcPr>
            <w:tcW w:w="5770" w:type="dxa"/>
            <w:gridSpan w:val="3"/>
            <w:shd w:val="clear" w:color="auto" w:fill="D9E2F3"/>
            <w:vAlign w:val="center"/>
          </w:tcPr>
          <w:p w14:paraId="5D851080" w14:textId="77777777" w:rsidR="00990B14" w:rsidRDefault="00000000">
            <w:pPr>
              <w:keepNext/>
              <w:spacing w:before="20" w:after="20"/>
              <w:jc w:val="both"/>
            </w:pPr>
            <w:r>
              <w:rPr>
                <w:b/>
                <w:bCs/>
                <w:i/>
                <w:iCs/>
                <w:sz w:val="18"/>
                <w:szCs w:val="18"/>
              </w:rPr>
              <w:t xml:space="preserve">Producto 38: </w:t>
            </w:r>
            <w:r>
              <w:rPr>
                <w:sz w:val="18"/>
                <w:szCs w:val="18"/>
              </w:rPr>
              <w:t>Hoja de reconocimiento de ingresos</w:t>
            </w:r>
          </w:p>
        </w:tc>
        <w:tc>
          <w:tcPr>
            <w:tcW w:w="1855" w:type="dxa"/>
            <w:shd w:val="clear" w:color="auto" w:fill="D9E2F3"/>
            <w:vAlign w:val="center"/>
          </w:tcPr>
          <w:p w14:paraId="54D6E381" w14:textId="77777777" w:rsidR="00990B14" w:rsidRDefault="00000000">
            <w:pPr>
              <w:spacing w:before="20" w:after="20"/>
              <w:jc w:val="center"/>
            </w:pPr>
            <w:r>
              <w:rPr>
                <w:b/>
                <w:bCs/>
                <w:sz w:val="18"/>
                <w:szCs w:val="18"/>
              </w:rPr>
              <w:t>2%</w:t>
            </w:r>
          </w:p>
        </w:tc>
      </w:tr>
      <w:tr w:rsidR="00990B14" w14:paraId="66F26B3C" w14:textId="77777777">
        <w:trPr>
          <w:cantSplit/>
          <w:jc w:val="center"/>
        </w:trPr>
        <w:tc>
          <w:tcPr>
            <w:tcW w:w="1780" w:type="dxa"/>
            <w:vMerge/>
            <w:shd w:val="clear" w:color="auto" w:fill="4472C4"/>
            <w:vAlign w:val="center"/>
          </w:tcPr>
          <w:p w14:paraId="5B2145E4" w14:textId="77777777" w:rsidR="00990B14" w:rsidRDefault="00990B14">
            <w:pPr>
              <w:spacing w:before="20" w:after="20"/>
            </w:pPr>
          </w:p>
        </w:tc>
        <w:tc>
          <w:tcPr>
            <w:tcW w:w="1825" w:type="dxa"/>
            <w:shd w:val="clear" w:color="auto" w:fill="4472C4"/>
            <w:vAlign w:val="center"/>
          </w:tcPr>
          <w:p w14:paraId="26831B83" w14:textId="77777777" w:rsidR="00990B14" w:rsidRDefault="00000000">
            <w:pPr>
              <w:keepNext/>
              <w:spacing w:before="20" w:after="20"/>
              <w:jc w:val="center"/>
            </w:pPr>
            <w:r>
              <w:rPr>
                <w:b/>
                <w:bCs/>
                <w:i/>
                <w:iCs/>
                <w:color w:val="FFFFFF"/>
                <w:sz w:val="18"/>
                <w:szCs w:val="18"/>
              </w:rPr>
              <w:t>Criterio</w:t>
            </w:r>
          </w:p>
        </w:tc>
        <w:tc>
          <w:tcPr>
            <w:tcW w:w="1825" w:type="dxa"/>
            <w:shd w:val="clear" w:color="auto" w:fill="4472C4"/>
            <w:vAlign w:val="center"/>
          </w:tcPr>
          <w:p w14:paraId="0EC348B5" w14:textId="77777777" w:rsidR="00990B14" w:rsidRDefault="00000000">
            <w:pPr>
              <w:keepNext/>
              <w:spacing w:before="20" w:after="20"/>
              <w:jc w:val="center"/>
            </w:pPr>
            <w:r>
              <w:rPr>
                <w:b/>
                <w:bCs/>
                <w:i/>
                <w:iCs/>
                <w:color w:val="FFFFFF"/>
                <w:sz w:val="18"/>
                <w:szCs w:val="18"/>
              </w:rPr>
              <w:t>Insuficiente (1–50)</w:t>
            </w:r>
          </w:p>
        </w:tc>
        <w:tc>
          <w:tcPr>
            <w:tcW w:w="2120" w:type="dxa"/>
            <w:shd w:val="clear" w:color="auto" w:fill="4472C4"/>
            <w:vAlign w:val="center"/>
          </w:tcPr>
          <w:p w14:paraId="74C9129B" w14:textId="77777777" w:rsidR="00990B14" w:rsidRDefault="00000000">
            <w:pPr>
              <w:keepNext/>
              <w:spacing w:before="20" w:after="20"/>
              <w:jc w:val="center"/>
            </w:pPr>
            <w:r>
              <w:rPr>
                <w:b/>
                <w:bCs/>
                <w:i/>
                <w:iCs/>
                <w:color w:val="FFFFFF"/>
                <w:sz w:val="18"/>
                <w:szCs w:val="18"/>
              </w:rPr>
              <w:t>Suficiente (51–80)</w:t>
            </w:r>
          </w:p>
        </w:tc>
        <w:tc>
          <w:tcPr>
            <w:tcW w:w="1855" w:type="dxa"/>
            <w:shd w:val="clear" w:color="auto" w:fill="4472C4"/>
            <w:vAlign w:val="center"/>
          </w:tcPr>
          <w:p w14:paraId="60DBAFC1" w14:textId="77777777" w:rsidR="00990B14" w:rsidRDefault="00000000">
            <w:pPr>
              <w:keepNext/>
              <w:spacing w:before="20" w:after="20"/>
              <w:jc w:val="center"/>
            </w:pPr>
            <w:r>
              <w:rPr>
                <w:b/>
                <w:bCs/>
                <w:i/>
                <w:iCs/>
                <w:color w:val="FFFFFF"/>
                <w:sz w:val="18"/>
                <w:szCs w:val="18"/>
              </w:rPr>
              <w:t>Destacado (81–100)</w:t>
            </w:r>
          </w:p>
        </w:tc>
      </w:tr>
      <w:tr w:rsidR="00990B14" w14:paraId="1B9B6E0B" w14:textId="77777777">
        <w:trPr>
          <w:cantSplit/>
          <w:jc w:val="center"/>
        </w:trPr>
        <w:tc>
          <w:tcPr>
            <w:tcW w:w="1780" w:type="dxa"/>
            <w:vMerge/>
            <w:shd w:val="clear" w:color="auto" w:fill="4472C4"/>
            <w:vAlign w:val="center"/>
          </w:tcPr>
          <w:p w14:paraId="7D08BAC1" w14:textId="77777777" w:rsidR="00990B14" w:rsidRDefault="00990B14">
            <w:pPr>
              <w:spacing w:before="20" w:after="20"/>
            </w:pPr>
          </w:p>
        </w:tc>
        <w:tc>
          <w:tcPr>
            <w:tcW w:w="1825" w:type="dxa"/>
            <w:shd w:val="clear" w:color="auto" w:fill="D9E2F3"/>
            <w:vAlign w:val="center"/>
          </w:tcPr>
          <w:p w14:paraId="52F175C6" w14:textId="77777777" w:rsidR="00990B14" w:rsidRDefault="00000000">
            <w:pPr>
              <w:spacing w:before="20" w:after="20"/>
              <w:jc w:val="both"/>
            </w:pPr>
            <w:r>
              <w:rPr>
                <w:sz w:val="18"/>
                <w:szCs w:val="18"/>
              </w:rPr>
              <w:t>Obligaciones de desempeño</w:t>
            </w:r>
          </w:p>
        </w:tc>
        <w:tc>
          <w:tcPr>
            <w:tcW w:w="1825" w:type="dxa"/>
            <w:shd w:val="clear" w:color="auto" w:fill="D9E2F3"/>
            <w:vAlign w:val="center"/>
          </w:tcPr>
          <w:p w14:paraId="144009EB" w14:textId="77777777" w:rsidR="00990B14" w:rsidRDefault="00000000">
            <w:pPr>
              <w:spacing w:before="20" w:after="20"/>
              <w:jc w:val="both"/>
            </w:pPr>
            <w:r>
              <w:rPr>
                <w:sz w:val="18"/>
                <w:szCs w:val="18"/>
              </w:rPr>
              <w:t>No identifica las obligaciones.</w:t>
            </w:r>
          </w:p>
        </w:tc>
        <w:tc>
          <w:tcPr>
            <w:tcW w:w="2120" w:type="dxa"/>
            <w:shd w:val="clear" w:color="auto" w:fill="D9E2F3"/>
            <w:vAlign w:val="center"/>
          </w:tcPr>
          <w:p w14:paraId="77C93FCE" w14:textId="77777777" w:rsidR="00990B14" w:rsidRDefault="00000000">
            <w:pPr>
              <w:spacing w:before="20" w:after="20"/>
              <w:jc w:val="both"/>
            </w:pPr>
            <w:r>
              <w:rPr>
                <w:sz w:val="18"/>
                <w:szCs w:val="18"/>
              </w:rPr>
              <w:t>Identifica cada obligación de desempeño.</w:t>
            </w:r>
          </w:p>
        </w:tc>
        <w:tc>
          <w:tcPr>
            <w:tcW w:w="1855" w:type="dxa"/>
            <w:shd w:val="clear" w:color="auto" w:fill="D9E2F3"/>
            <w:vAlign w:val="center"/>
          </w:tcPr>
          <w:p w14:paraId="7EA1ADF4" w14:textId="77777777" w:rsidR="00990B14" w:rsidRDefault="00000000">
            <w:pPr>
              <w:spacing w:before="20" w:after="20"/>
              <w:jc w:val="both"/>
            </w:pPr>
            <w:r>
              <w:rPr>
                <w:sz w:val="18"/>
                <w:szCs w:val="18"/>
              </w:rPr>
              <w:t>Justifica si cada bien o servicio es distinto.</w:t>
            </w:r>
          </w:p>
        </w:tc>
      </w:tr>
      <w:tr w:rsidR="00990B14" w14:paraId="762829E4" w14:textId="77777777">
        <w:trPr>
          <w:cantSplit/>
          <w:jc w:val="center"/>
        </w:trPr>
        <w:tc>
          <w:tcPr>
            <w:tcW w:w="1780" w:type="dxa"/>
            <w:vMerge/>
            <w:shd w:val="clear" w:color="auto" w:fill="4472C4"/>
            <w:vAlign w:val="center"/>
          </w:tcPr>
          <w:p w14:paraId="34D94DF9" w14:textId="77777777" w:rsidR="00990B14" w:rsidRDefault="00990B14">
            <w:pPr>
              <w:spacing w:before="20" w:after="20"/>
            </w:pPr>
          </w:p>
        </w:tc>
        <w:tc>
          <w:tcPr>
            <w:tcW w:w="1825" w:type="dxa"/>
            <w:shd w:val="clear" w:color="auto" w:fill="D9E2F3"/>
            <w:vAlign w:val="center"/>
          </w:tcPr>
          <w:p w14:paraId="0F912938" w14:textId="77777777" w:rsidR="00990B14" w:rsidRDefault="00000000">
            <w:pPr>
              <w:spacing w:before="20" w:after="20"/>
              <w:jc w:val="both"/>
            </w:pPr>
            <w:r>
              <w:rPr>
                <w:sz w:val="18"/>
                <w:szCs w:val="18"/>
              </w:rPr>
              <w:t>Asignación del precio</w:t>
            </w:r>
          </w:p>
        </w:tc>
        <w:tc>
          <w:tcPr>
            <w:tcW w:w="1825" w:type="dxa"/>
            <w:shd w:val="clear" w:color="auto" w:fill="D9E2F3"/>
            <w:vAlign w:val="center"/>
          </w:tcPr>
          <w:p w14:paraId="4EE70210" w14:textId="77777777" w:rsidR="00990B14" w:rsidRDefault="00000000">
            <w:pPr>
              <w:spacing w:before="20" w:after="20"/>
              <w:jc w:val="both"/>
            </w:pPr>
            <w:r>
              <w:rPr>
                <w:sz w:val="18"/>
                <w:szCs w:val="18"/>
              </w:rPr>
              <w:t>Asigna el precio sin criterio.</w:t>
            </w:r>
          </w:p>
        </w:tc>
        <w:tc>
          <w:tcPr>
            <w:tcW w:w="2120" w:type="dxa"/>
            <w:shd w:val="clear" w:color="auto" w:fill="D9E2F3"/>
            <w:vAlign w:val="center"/>
          </w:tcPr>
          <w:p w14:paraId="0F470CE9" w14:textId="77777777" w:rsidR="00990B14" w:rsidRDefault="00000000">
            <w:pPr>
              <w:spacing w:before="20" w:after="20"/>
              <w:jc w:val="both"/>
            </w:pPr>
            <w:r>
              <w:rPr>
                <w:sz w:val="18"/>
                <w:szCs w:val="18"/>
              </w:rPr>
              <w:t>Asigna el precio por precios de venta independientes.</w:t>
            </w:r>
          </w:p>
        </w:tc>
        <w:tc>
          <w:tcPr>
            <w:tcW w:w="1855" w:type="dxa"/>
            <w:shd w:val="clear" w:color="auto" w:fill="D9E2F3"/>
            <w:vAlign w:val="center"/>
          </w:tcPr>
          <w:p w14:paraId="33C70C1B" w14:textId="77777777" w:rsidR="00990B14" w:rsidRDefault="00000000">
            <w:pPr>
              <w:spacing w:before="20" w:after="20"/>
              <w:jc w:val="both"/>
            </w:pPr>
            <w:r>
              <w:rPr>
                <w:sz w:val="18"/>
                <w:szCs w:val="18"/>
              </w:rPr>
              <w:t>Verifica que la suma iguale el precio del contrato.</w:t>
            </w:r>
          </w:p>
        </w:tc>
      </w:tr>
      <w:tr w:rsidR="00990B14" w14:paraId="5DD7F1F4" w14:textId="77777777">
        <w:trPr>
          <w:cantSplit/>
          <w:jc w:val="center"/>
        </w:trPr>
        <w:tc>
          <w:tcPr>
            <w:tcW w:w="1780" w:type="dxa"/>
            <w:vMerge/>
            <w:shd w:val="clear" w:color="auto" w:fill="4472C4"/>
            <w:vAlign w:val="center"/>
          </w:tcPr>
          <w:p w14:paraId="7DDC17F8" w14:textId="77777777" w:rsidR="00990B14" w:rsidRDefault="00990B14">
            <w:pPr>
              <w:spacing w:before="20" w:after="20"/>
            </w:pPr>
          </w:p>
        </w:tc>
        <w:tc>
          <w:tcPr>
            <w:tcW w:w="1825" w:type="dxa"/>
            <w:shd w:val="clear" w:color="auto" w:fill="D9E2F3"/>
            <w:vAlign w:val="center"/>
          </w:tcPr>
          <w:p w14:paraId="7F9086F1" w14:textId="77777777" w:rsidR="00990B14" w:rsidRDefault="00000000">
            <w:pPr>
              <w:spacing w:before="20" w:after="20"/>
              <w:jc w:val="both"/>
            </w:pPr>
            <w:r>
              <w:rPr>
                <w:sz w:val="18"/>
                <w:szCs w:val="18"/>
              </w:rPr>
              <w:t>Momento del reconocimiento</w:t>
            </w:r>
          </w:p>
        </w:tc>
        <w:tc>
          <w:tcPr>
            <w:tcW w:w="1825" w:type="dxa"/>
            <w:shd w:val="clear" w:color="auto" w:fill="D9E2F3"/>
            <w:vAlign w:val="center"/>
          </w:tcPr>
          <w:p w14:paraId="6695C382" w14:textId="77777777" w:rsidR="00990B14" w:rsidRDefault="00000000">
            <w:pPr>
              <w:spacing w:before="20" w:after="20"/>
              <w:jc w:val="both"/>
            </w:pPr>
            <w:r>
              <w:rPr>
                <w:sz w:val="18"/>
                <w:szCs w:val="18"/>
              </w:rPr>
              <w:t>Reconoce el ingreso antes de tiempo.</w:t>
            </w:r>
          </w:p>
        </w:tc>
        <w:tc>
          <w:tcPr>
            <w:tcW w:w="2120" w:type="dxa"/>
            <w:shd w:val="clear" w:color="auto" w:fill="D9E2F3"/>
            <w:vAlign w:val="center"/>
          </w:tcPr>
          <w:p w14:paraId="1A7A4B17" w14:textId="77777777" w:rsidR="00990B14" w:rsidRDefault="00000000">
            <w:pPr>
              <w:spacing w:before="20" w:after="20"/>
              <w:jc w:val="both"/>
            </w:pPr>
            <w:r>
              <w:rPr>
                <w:sz w:val="18"/>
                <w:szCs w:val="18"/>
              </w:rPr>
              <w:t>Reconoce el ingreso al transferir el control.</w:t>
            </w:r>
          </w:p>
        </w:tc>
        <w:tc>
          <w:tcPr>
            <w:tcW w:w="1855" w:type="dxa"/>
            <w:shd w:val="clear" w:color="auto" w:fill="D9E2F3"/>
            <w:vAlign w:val="center"/>
          </w:tcPr>
          <w:p w14:paraId="609F644E" w14:textId="77777777" w:rsidR="00990B14" w:rsidRDefault="00000000">
            <w:pPr>
              <w:spacing w:before="20" w:after="20"/>
              <w:jc w:val="both"/>
            </w:pPr>
            <w:r>
              <w:rPr>
                <w:sz w:val="18"/>
                <w:szCs w:val="18"/>
              </w:rPr>
              <w:t>Distingue el reconocimiento en un momento y a lo largo del tiempo.</w:t>
            </w:r>
          </w:p>
        </w:tc>
      </w:tr>
      <w:tr w:rsidR="00990B14" w14:paraId="01F2E5DB" w14:textId="77777777">
        <w:trPr>
          <w:cantSplit/>
          <w:jc w:val="center"/>
        </w:trPr>
        <w:tc>
          <w:tcPr>
            <w:tcW w:w="1780" w:type="dxa"/>
            <w:vMerge/>
            <w:shd w:val="clear" w:color="auto" w:fill="4472C4"/>
            <w:vAlign w:val="center"/>
          </w:tcPr>
          <w:p w14:paraId="406A13E1" w14:textId="77777777" w:rsidR="00990B14" w:rsidRDefault="00990B14">
            <w:pPr>
              <w:spacing w:before="20" w:after="20"/>
            </w:pPr>
          </w:p>
        </w:tc>
        <w:tc>
          <w:tcPr>
            <w:tcW w:w="5770" w:type="dxa"/>
            <w:gridSpan w:val="3"/>
            <w:shd w:val="clear" w:color="auto" w:fill="D9E2F3"/>
            <w:vAlign w:val="center"/>
          </w:tcPr>
          <w:p w14:paraId="40896A57" w14:textId="77777777" w:rsidR="00990B14" w:rsidRDefault="00000000">
            <w:pPr>
              <w:keepNext/>
              <w:spacing w:before="20" w:after="20"/>
              <w:jc w:val="both"/>
            </w:pPr>
            <w:r>
              <w:rPr>
                <w:b/>
                <w:bCs/>
                <w:i/>
                <w:iCs/>
                <w:sz w:val="18"/>
                <w:szCs w:val="18"/>
              </w:rPr>
              <w:t xml:space="preserve">Producto 39: </w:t>
            </w:r>
            <w:r>
              <w:rPr>
                <w:sz w:val="18"/>
                <w:szCs w:val="18"/>
              </w:rPr>
              <w:t>Plan de cuentas codificado</w:t>
            </w:r>
          </w:p>
        </w:tc>
        <w:tc>
          <w:tcPr>
            <w:tcW w:w="1855" w:type="dxa"/>
            <w:shd w:val="clear" w:color="auto" w:fill="D9E2F3"/>
            <w:vAlign w:val="center"/>
          </w:tcPr>
          <w:p w14:paraId="72C17002" w14:textId="77777777" w:rsidR="00990B14" w:rsidRDefault="00000000">
            <w:pPr>
              <w:spacing w:before="20" w:after="20"/>
              <w:jc w:val="center"/>
            </w:pPr>
            <w:r>
              <w:rPr>
                <w:b/>
                <w:bCs/>
                <w:sz w:val="18"/>
                <w:szCs w:val="18"/>
              </w:rPr>
              <w:t>2%</w:t>
            </w:r>
          </w:p>
        </w:tc>
      </w:tr>
      <w:tr w:rsidR="00990B14" w14:paraId="01A85D3A" w14:textId="77777777">
        <w:trPr>
          <w:cantSplit/>
          <w:jc w:val="center"/>
        </w:trPr>
        <w:tc>
          <w:tcPr>
            <w:tcW w:w="1780" w:type="dxa"/>
            <w:vMerge/>
            <w:shd w:val="clear" w:color="auto" w:fill="4472C4"/>
            <w:vAlign w:val="center"/>
          </w:tcPr>
          <w:p w14:paraId="5E68B00A" w14:textId="77777777" w:rsidR="00990B14" w:rsidRDefault="00990B14">
            <w:pPr>
              <w:spacing w:before="20" w:after="20"/>
            </w:pPr>
          </w:p>
        </w:tc>
        <w:tc>
          <w:tcPr>
            <w:tcW w:w="1825" w:type="dxa"/>
            <w:shd w:val="clear" w:color="auto" w:fill="4472C4"/>
            <w:vAlign w:val="center"/>
          </w:tcPr>
          <w:p w14:paraId="71365349" w14:textId="77777777" w:rsidR="00990B14" w:rsidRDefault="00000000">
            <w:pPr>
              <w:keepNext/>
              <w:spacing w:before="20" w:after="20"/>
              <w:jc w:val="center"/>
            </w:pPr>
            <w:r>
              <w:rPr>
                <w:b/>
                <w:bCs/>
                <w:i/>
                <w:iCs/>
                <w:color w:val="FFFFFF"/>
                <w:sz w:val="18"/>
                <w:szCs w:val="18"/>
              </w:rPr>
              <w:t>Criterio</w:t>
            </w:r>
          </w:p>
        </w:tc>
        <w:tc>
          <w:tcPr>
            <w:tcW w:w="1825" w:type="dxa"/>
            <w:shd w:val="clear" w:color="auto" w:fill="4472C4"/>
            <w:vAlign w:val="center"/>
          </w:tcPr>
          <w:p w14:paraId="4C261EB1" w14:textId="77777777" w:rsidR="00990B14" w:rsidRDefault="00000000">
            <w:pPr>
              <w:keepNext/>
              <w:spacing w:before="20" w:after="20"/>
              <w:jc w:val="center"/>
            </w:pPr>
            <w:r>
              <w:rPr>
                <w:b/>
                <w:bCs/>
                <w:i/>
                <w:iCs/>
                <w:color w:val="FFFFFF"/>
                <w:sz w:val="18"/>
                <w:szCs w:val="18"/>
              </w:rPr>
              <w:t>Insuficiente (1–50)</w:t>
            </w:r>
          </w:p>
        </w:tc>
        <w:tc>
          <w:tcPr>
            <w:tcW w:w="2120" w:type="dxa"/>
            <w:shd w:val="clear" w:color="auto" w:fill="4472C4"/>
            <w:vAlign w:val="center"/>
          </w:tcPr>
          <w:p w14:paraId="6D7439D9" w14:textId="77777777" w:rsidR="00990B14" w:rsidRDefault="00000000">
            <w:pPr>
              <w:keepNext/>
              <w:spacing w:before="20" w:after="20"/>
              <w:jc w:val="center"/>
            </w:pPr>
            <w:r>
              <w:rPr>
                <w:b/>
                <w:bCs/>
                <w:i/>
                <w:iCs/>
                <w:color w:val="FFFFFF"/>
                <w:sz w:val="18"/>
                <w:szCs w:val="18"/>
              </w:rPr>
              <w:t>Suficiente (51–80)</w:t>
            </w:r>
          </w:p>
        </w:tc>
        <w:tc>
          <w:tcPr>
            <w:tcW w:w="1855" w:type="dxa"/>
            <w:shd w:val="clear" w:color="auto" w:fill="4472C4"/>
            <w:vAlign w:val="center"/>
          </w:tcPr>
          <w:p w14:paraId="1EDC39F6" w14:textId="77777777" w:rsidR="00990B14" w:rsidRDefault="00000000">
            <w:pPr>
              <w:keepNext/>
              <w:spacing w:before="20" w:after="20"/>
              <w:jc w:val="center"/>
            </w:pPr>
            <w:r>
              <w:rPr>
                <w:b/>
                <w:bCs/>
                <w:i/>
                <w:iCs/>
                <w:color w:val="FFFFFF"/>
                <w:sz w:val="18"/>
                <w:szCs w:val="18"/>
              </w:rPr>
              <w:t>Destacado (81–100)</w:t>
            </w:r>
          </w:p>
        </w:tc>
      </w:tr>
      <w:tr w:rsidR="00990B14" w14:paraId="32C5A1A8" w14:textId="77777777">
        <w:trPr>
          <w:cantSplit/>
          <w:jc w:val="center"/>
        </w:trPr>
        <w:tc>
          <w:tcPr>
            <w:tcW w:w="1780" w:type="dxa"/>
            <w:vMerge/>
            <w:shd w:val="clear" w:color="auto" w:fill="4472C4"/>
            <w:vAlign w:val="center"/>
          </w:tcPr>
          <w:p w14:paraId="330D18CB" w14:textId="77777777" w:rsidR="00990B14" w:rsidRDefault="00990B14">
            <w:pPr>
              <w:spacing w:before="20" w:after="20"/>
            </w:pPr>
          </w:p>
        </w:tc>
        <w:tc>
          <w:tcPr>
            <w:tcW w:w="1825" w:type="dxa"/>
            <w:shd w:val="clear" w:color="auto" w:fill="D9E2F3"/>
            <w:vAlign w:val="center"/>
          </w:tcPr>
          <w:p w14:paraId="187CE95C" w14:textId="77777777" w:rsidR="00990B14" w:rsidRDefault="00000000">
            <w:pPr>
              <w:spacing w:before="20" w:after="20"/>
              <w:jc w:val="both"/>
            </w:pPr>
            <w:r>
              <w:rPr>
                <w:sz w:val="18"/>
                <w:szCs w:val="18"/>
              </w:rPr>
              <w:t>Estructura</w:t>
            </w:r>
          </w:p>
        </w:tc>
        <w:tc>
          <w:tcPr>
            <w:tcW w:w="1825" w:type="dxa"/>
            <w:shd w:val="clear" w:color="auto" w:fill="D9E2F3"/>
            <w:vAlign w:val="center"/>
          </w:tcPr>
          <w:p w14:paraId="0B112396" w14:textId="77777777" w:rsidR="00990B14" w:rsidRDefault="00000000">
            <w:pPr>
              <w:spacing w:before="20" w:after="20"/>
              <w:jc w:val="both"/>
            </w:pPr>
            <w:r>
              <w:rPr>
                <w:sz w:val="18"/>
                <w:szCs w:val="18"/>
              </w:rPr>
              <w:t>Omite grupos de cuentas.</w:t>
            </w:r>
          </w:p>
        </w:tc>
        <w:tc>
          <w:tcPr>
            <w:tcW w:w="2120" w:type="dxa"/>
            <w:shd w:val="clear" w:color="auto" w:fill="D9E2F3"/>
            <w:vAlign w:val="center"/>
          </w:tcPr>
          <w:p w14:paraId="2B8EF351" w14:textId="77777777" w:rsidR="00990B14" w:rsidRDefault="00000000">
            <w:pPr>
              <w:spacing w:before="20" w:after="20"/>
              <w:jc w:val="both"/>
            </w:pPr>
            <w:r>
              <w:rPr>
                <w:sz w:val="18"/>
                <w:szCs w:val="18"/>
              </w:rPr>
              <w:t>Incluye cuentas de balance, de orden y de resultados.</w:t>
            </w:r>
          </w:p>
        </w:tc>
        <w:tc>
          <w:tcPr>
            <w:tcW w:w="1855" w:type="dxa"/>
            <w:shd w:val="clear" w:color="auto" w:fill="D9E2F3"/>
            <w:vAlign w:val="center"/>
          </w:tcPr>
          <w:p w14:paraId="26194700" w14:textId="77777777" w:rsidR="00990B14" w:rsidRDefault="00000000">
            <w:pPr>
              <w:spacing w:before="20" w:after="20"/>
              <w:jc w:val="both"/>
            </w:pPr>
            <w:r>
              <w:rPr>
                <w:sz w:val="18"/>
                <w:szCs w:val="18"/>
              </w:rPr>
              <w:t>Ajusta la estructura al giro de la empresa.</w:t>
            </w:r>
          </w:p>
        </w:tc>
      </w:tr>
      <w:tr w:rsidR="00990B14" w14:paraId="017612C8" w14:textId="77777777">
        <w:trPr>
          <w:cantSplit/>
          <w:jc w:val="center"/>
        </w:trPr>
        <w:tc>
          <w:tcPr>
            <w:tcW w:w="1780" w:type="dxa"/>
            <w:vMerge/>
            <w:shd w:val="clear" w:color="auto" w:fill="4472C4"/>
            <w:vAlign w:val="center"/>
          </w:tcPr>
          <w:p w14:paraId="62D77346" w14:textId="77777777" w:rsidR="00990B14" w:rsidRDefault="00990B14">
            <w:pPr>
              <w:spacing w:before="20" w:after="20"/>
            </w:pPr>
          </w:p>
        </w:tc>
        <w:tc>
          <w:tcPr>
            <w:tcW w:w="1825" w:type="dxa"/>
            <w:shd w:val="clear" w:color="auto" w:fill="D9E2F3"/>
            <w:vAlign w:val="center"/>
          </w:tcPr>
          <w:p w14:paraId="7E6E2053" w14:textId="77777777" w:rsidR="00990B14" w:rsidRDefault="00000000">
            <w:pPr>
              <w:spacing w:before="20" w:after="20"/>
              <w:jc w:val="both"/>
            </w:pPr>
            <w:r>
              <w:rPr>
                <w:sz w:val="18"/>
                <w:szCs w:val="18"/>
              </w:rPr>
              <w:t>Codificación</w:t>
            </w:r>
          </w:p>
        </w:tc>
        <w:tc>
          <w:tcPr>
            <w:tcW w:w="1825" w:type="dxa"/>
            <w:shd w:val="clear" w:color="auto" w:fill="D9E2F3"/>
            <w:vAlign w:val="center"/>
          </w:tcPr>
          <w:p w14:paraId="61DB1B38" w14:textId="77777777" w:rsidR="00990B14" w:rsidRDefault="00000000">
            <w:pPr>
              <w:spacing w:before="20" w:after="20"/>
              <w:jc w:val="both"/>
            </w:pPr>
            <w:r>
              <w:rPr>
                <w:sz w:val="18"/>
                <w:szCs w:val="18"/>
              </w:rPr>
              <w:t>La codificación es incoherente.</w:t>
            </w:r>
          </w:p>
        </w:tc>
        <w:tc>
          <w:tcPr>
            <w:tcW w:w="2120" w:type="dxa"/>
            <w:shd w:val="clear" w:color="auto" w:fill="D9E2F3"/>
            <w:vAlign w:val="center"/>
          </w:tcPr>
          <w:p w14:paraId="2DB011FB" w14:textId="77777777" w:rsidR="00990B14" w:rsidRDefault="00000000">
            <w:pPr>
              <w:spacing w:before="20" w:after="20"/>
              <w:jc w:val="both"/>
            </w:pPr>
            <w:r>
              <w:rPr>
                <w:sz w:val="18"/>
                <w:szCs w:val="18"/>
              </w:rPr>
              <w:t>Codifica por niveles de forma coherente.</w:t>
            </w:r>
          </w:p>
        </w:tc>
        <w:tc>
          <w:tcPr>
            <w:tcW w:w="1855" w:type="dxa"/>
            <w:shd w:val="clear" w:color="auto" w:fill="D9E2F3"/>
            <w:vAlign w:val="center"/>
          </w:tcPr>
          <w:p w14:paraId="56AE8D78" w14:textId="77777777" w:rsidR="00990B14" w:rsidRDefault="00000000">
            <w:pPr>
              <w:spacing w:before="20" w:after="20"/>
              <w:jc w:val="both"/>
            </w:pPr>
            <w:r>
              <w:rPr>
                <w:sz w:val="18"/>
                <w:szCs w:val="18"/>
              </w:rPr>
              <w:t>Deja espacio para cuentas futuras.</w:t>
            </w:r>
          </w:p>
        </w:tc>
      </w:tr>
      <w:tr w:rsidR="00990B14" w14:paraId="4CB990F9" w14:textId="77777777">
        <w:trPr>
          <w:cantSplit/>
          <w:jc w:val="center"/>
        </w:trPr>
        <w:tc>
          <w:tcPr>
            <w:tcW w:w="1780" w:type="dxa"/>
            <w:vMerge/>
            <w:shd w:val="clear" w:color="auto" w:fill="4472C4"/>
            <w:vAlign w:val="center"/>
          </w:tcPr>
          <w:p w14:paraId="29BB427F" w14:textId="77777777" w:rsidR="00990B14" w:rsidRDefault="00990B14">
            <w:pPr>
              <w:spacing w:before="20" w:after="20"/>
            </w:pPr>
          </w:p>
        </w:tc>
        <w:tc>
          <w:tcPr>
            <w:tcW w:w="1825" w:type="dxa"/>
            <w:shd w:val="clear" w:color="auto" w:fill="D9E2F3"/>
            <w:vAlign w:val="center"/>
          </w:tcPr>
          <w:p w14:paraId="0FF2D2B0" w14:textId="77777777" w:rsidR="00990B14" w:rsidRDefault="00000000">
            <w:pPr>
              <w:spacing w:before="20" w:after="20"/>
              <w:jc w:val="both"/>
            </w:pPr>
            <w:r>
              <w:rPr>
                <w:sz w:val="18"/>
                <w:szCs w:val="18"/>
              </w:rPr>
              <w:t>Compatibilidad con la NIC 1</w:t>
            </w:r>
          </w:p>
        </w:tc>
        <w:tc>
          <w:tcPr>
            <w:tcW w:w="1825" w:type="dxa"/>
            <w:shd w:val="clear" w:color="auto" w:fill="D9E2F3"/>
            <w:vAlign w:val="center"/>
          </w:tcPr>
          <w:p w14:paraId="71897307" w14:textId="77777777" w:rsidR="00990B14" w:rsidRDefault="00000000">
            <w:pPr>
              <w:spacing w:before="20" w:after="20"/>
              <w:jc w:val="both"/>
            </w:pPr>
            <w:r>
              <w:rPr>
                <w:sz w:val="18"/>
                <w:szCs w:val="18"/>
              </w:rPr>
              <w:t>No permite preparar los estados.</w:t>
            </w:r>
          </w:p>
        </w:tc>
        <w:tc>
          <w:tcPr>
            <w:tcW w:w="2120" w:type="dxa"/>
            <w:shd w:val="clear" w:color="auto" w:fill="D9E2F3"/>
            <w:vAlign w:val="center"/>
          </w:tcPr>
          <w:p w14:paraId="410EC7DF" w14:textId="77777777" w:rsidR="00990B14" w:rsidRDefault="00000000">
            <w:pPr>
              <w:spacing w:before="20" w:after="20"/>
              <w:jc w:val="both"/>
            </w:pPr>
            <w:r>
              <w:rPr>
                <w:sz w:val="18"/>
                <w:szCs w:val="18"/>
              </w:rPr>
              <w:t>Permite preparar los estados financieros.</w:t>
            </w:r>
          </w:p>
        </w:tc>
        <w:tc>
          <w:tcPr>
            <w:tcW w:w="1855" w:type="dxa"/>
            <w:shd w:val="clear" w:color="auto" w:fill="D9E2F3"/>
            <w:vAlign w:val="center"/>
          </w:tcPr>
          <w:p w14:paraId="6F167CAB" w14:textId="77777777" w:rsidR="00990B14" w:rsidRDefault="00000000">
            <w:pPr>
              <w:spacing w:before="20" w:after="20"/>
              <w:jc w:val="both"/>
            </w:pPr>
            <w:r>
              <w:rPr>
                <w:sz w:val="18"/>
                <w:szCs w:val="18"/>
              </w:rPr>
              <w:t>Distingue partidas corrientes y no corrientes.</w:t>
            </w:r>
          </w:p>
        </w:tc>
      </w:tr>
      <w:tr w:rsidR="00990B14" w14:paraId="0764F22F" w14:textId="77777777">
        <w:trPr>
          <w:cantSplit/>
          <w:jc w:val="center"/>
        </w:trPr>
        <w:tc>
          <w:tcPr>
            <w:tcW w:w="1780" w:type="dxa"/>
            <w:vMerge/>
            <w:shd w:val="clear" w:color="auto" w:fill="4472C4"/>
            <w:vAlign w:val="center"/>
          </w:tcPr>
          <w:p w14:paraId="05FB8D2F" w14:textId="77777777" w:rsidR="00990B14" w:rsidRDefault="00990B14">
            <w:pPr>
              <w:spacing w:before="20" w:after="20"/>
            </w:pPr>
          </w:p>
        </w:tc>
        <w:tc>
          <w:tcPr>
            <w:tcW w:w="5770" w:type="dxa"/>
            <w:gridSpan w:val="3"/>
            <w:shd w:val="clear" w:color="auto" w:fill="D9E2F3"/>
            <w:vAlign w:val="center"/>
          </w:tcPr>
          <w:p w14:paraId="1E63E6B2" w14:textId="77777777" w:rsidR="00990B14" w:rsidRDefault="00000000">
            <w:pPr>
              <w:keepNext/>
              <w:spacing w:before="20" w:after="20"/>
              <w:jc w:val="both"/>
            </w:pPr>
            <w:r>
              <w:rPr>
                <w:b/>
                <w:bCs/>
                <w:i/>
                <w:iCs/>
                <w:sz w:val="18"/>
                <w:szCs w:val="18"/>
              </w:rPr>
              <w:t xml:space="preserve">Producto 40: </w:t>
            </w:r>
            <w:r>
              <w:rPr>
                <w:sz w:val="18"/>
                <w:szCs w:val="18"/>
              </w:rPr>
              <w:t>Manual de cuentas</w:t>
            </w:r>
          </w:p>
        </w:tc>
        <w:tc>
          <w:tcPr>
            <w:tcW w:w="1855" w:type="dxa"/>
            <w:shd w:val="clear" w:color="auto" w:fill="D9E2F3"/>
            <w:vAlign w:val="center"/>
          </w:tcPr>
          <w:p w14:paraId="7995EAFD" w14:textId="77777777" w:rsidR="00990B14" w:rsidRDefault="00000000">
            <w:pPr>
              <w:spacing w:before="20" w:after="20"/>
              <w:jc w:val="center"/>
            </w:pPr>
            <w:r>
              <w:rPr>
                <w:b/>
                <w:bCs/>
                <w:sz w:val="18"/>
                <w:szCs w:val="18"/>
              </w:rPr>
              <w:t>1%</w:t>
            </w:r>
          </w:p>
        </w:tc>
      </w:tr>
      <w:tr w:rsidR="00990B14" w14:paraId="1D277397" w14:textId="77777777">
        <w:trPr>
          <w:cantSplit/>
          <w:jc w:val="center"/>
        </w:trPr>
        <w:tc>
          <w:tcPr>
            <w:tcW w:w="1780" w:type="dxa"/>
            <w:vMerge/>
            <w:shd w:val="clear" w:color="auto" w:fill="4472C4"/>
            <w:vAlign w:val="center"/>
          </w:tcPr>
          <w:p w14:paraId="46ABBBBB" w14:textId="77777777" w:rsidR="00990B14" w:rsidRDefault="00990B14">
            <w:pPr>
              <w:spacing w:before="20" w:after="20"/>
            </w:pPr>
          </w:p>
        </w:tc>
        <w:tc>
          <w:tcPr>
            <w:tcW w:w="1825" w:type="dxa"/>
            <w:shd w:val="clear" w:color="auto" w:fill="4472C4"/>
            <w:vAlign w:val="center"/>
          </w:tcPr>
          <w:p w14:paraId="454DD9C9" w14:textId="77777777" w:rsidR="00990B14" w:rsidRDefault="00000000">
            <w:pPr>
              <w:keepNext/>
              <w:spacing w:before="20" w:after="20"/>
              <w:jc w:val="center"/>
            </w:pPr>
            <w:r>
              <w:rPr>
                <w:b/>
                <w:bCs/>
                <w:i/>
                <w:iCs/>
                <w:color w:val="FFFFFF"/>
                <w:sz w:val="18"/>
                <w:szCs w:val="18"/>
              </w:rPr>
              <w:t>Criterio</w:t>
            </w:r>
          </w:p>
        </w:tc>
        <w:tc>
          <w:tcPr>
            <w:tcW w:w="1825" w:type="dxa"/>
            <w:shd w:val="clear" w:color="auto" w:fill="4472C4"/>
            <w:vAlign w:val="center"/>
          </w:tcPr>
          <w:p w14:paraId="56A8E097" w14:textId="77777777" w:rsidR="00990B14" w:rsidRDefault="00000000">
            <w:pPr>
              <w:keepNext/>
              <w:spacing w:before="20" w:after="20"/>
              <w:jc w:val="center"/>
            </w:pPr>
            <w:r>
              <w:rPr>
                <w:b/>
                <w:bCs/>
                <w:i/>
                <w:iCs/>
                <w:color w:val="FFFFFF"/>
                <w:sz w:val="18"/>
                <w:szCs w:val="18"/>
              </w:rPr>
              <w:t>Insuficiente (1–50)</w:t>
            </w:r>
          </w:p>
        </w:tc>
        <w:tc>
          <w:tcPr>
            <w:tcW w:w="2120" w:type="dxa"/>
            <w:shd w:val="clear" w:color="auto" w:fill="4472C4"/>
            <w:vAlign w:val="center"/>
          </w:tcPr>
          <w:p w14:paraId="27BCE244" w14:textId="77777777" w:rsidR="00990B14" w:rsidRDefault="00000000">
            <w:pPr>
              <w:keepNext/>
              <w:spacing w:before="20" w:after="20"/>
              <w:jc w:val="center"/>
            </w:pPr>
            <w:r>
              <w:rPr>
                <w:b/>
                <w:bCs/>
                <w:i/>
                <w:iCs/>
                <w:color w:val="FFFFFF"/>
                <w:sz w:val="18"/>
                <w:szCs w:val="18"/>
              </w:rPr>
              <w:t>Suficiente (51–80)</w:t>
            </w:r>
          </w:p>
        </w:tc>
        <w:tc>
          <w:tcPr>
            <w:tcW w:w="1855" w:type="dxa"/>
            <w:shd w:val="clear" w:color="auto" w:fill="4472C4"/>
            <w:vAlign w:val="center"/>
          </w:tcPr>
          <w:p w14:paraId="14410347" w14:textId="77777777" w:rsidR="00990B14" w:rsidRDefault="00000000">
            <w:pPr>
              <w:keepNext/>
              <w:spacing w:before="20" w:after="20"/>
              <w:jc w:val="center"/>
            </w:pPr>
            <w:r>
              <w:rPr>
                <w:b/>
                <w:bCs/>
                <w:i/>
                <w:iCs/>
                <w:color w:val="FFFFFF"/>
                <w:sz w:val="18"/>
                <w:szCs w:val="18"/>
              </w:rPr>
              <w:t>Destacado (81–100)</w:t>
            </w:r>
          </w:p>
        </w:tc>
      </w:tr>
      <w:tr w:rsidR="00990B14" w14:paraId="76DF27F3" w14:textId="77777777">
        <w:trPr>
          <w:cantSplit/>
          <w:jc w:val="center"/>
        </w:trPr>
        <w:tc>
          <w:tcPr>
            <w:tcW w:w="1780" w:type="dxa"/>
            <w:vMerge/>
            <w:shd w:val="clear" w:color="auto" w:fill="4472C4"/>
            <w:vAlign w:val="center"/>
          </w:tcPr>
          <w:p w14:paraId="0D8A358F" w14:textId="77777777" w:rsidR="00990B14" w:rsidRDefault="00990B14">
            <w:pPr>
              <w:spacing w:before="20" w:after="20"/>
            </w:pPr>
          </w:p>
        </w:tc>
        <w:tc>
          <w:tcPr>
            <w:tcW w:w="1825" w:type="dxa"/>
            <w:shd w:val="clear" w:color="auto" w:fill="D9E2F3"/>
            <w:vAlign w:val="center"/>
          </w:tcPr>
          <w:p w14:paraId="0A35704A" w14:textId="77777777" w:rsidR="00990B14" w:rsidRDefault="00000000">
            <w:pPr>
              <w:spacing w:before="20" w:after="20"/>
              <w:jc w:val="both"/>
            </w:pPr>
            <w:r>
              <w:rPr>
                <w:sz w:val="18"/>
                <w:szCs w:val="18"/>
              </w:rPr>
              <w:t>Descripción de cuentas</w:t>
            </w:r>
          </w:p>
        </w:tc>
        <w:tc>
          <w:tcPr>
            <w:tcW w:w="1825" w:type="dxa"/>
            <w:shd w:val="clear" w:color="auto" w:fill="D9E2F3"/>
            <w:vAlign w:val="center"/>
          </w:tcPr>
          <w:p w14:paraId="3F218958" w14:textId="77777777" w:rsidR="00990B14" w:rsidRDefault="00000000">
            <w:pPr>
              <w:spacing w:before="20" w:after="20"/>
              <w:jc w:val="both"/>
            </w:pPr>
            <w:r>
              <w:rPr>
                <w:sz w:val="18"/>
                <w:szCs w:val="18"/>
              </w:rPr>
              <w:t>Describe las cuentas de forma vaga.</w:t>
            </w:r>
          </w:p>
        </w:tc>
        <w:tc>
          <w:tcPr>
            <w:tcW w:w="2120" w:type="dxa"/>
            <w:shd w:val="clear" w:color="auto" w:fill="D9E2F3"/>
            <w:vAlign w:val="center"/>
          </w:tcPr>
          <w:p w14:paraId="049ED33C" w14:textId="77777777" w:rsidR="00990B14" w:rsidRDefault="00000000">
            <w:pPr>
              <w:spacing w:before="20" w:after="20"/>
              <w:jc w:val="both"/>
            </w:pPr>
            <w:r>
              <w:rPr>
                <w:sz w:val="18"/>
                <w:szCs w:val="18"/>
              </w:rPr>
              <w:t>Describe cada cuenta con su naturaleza.</w:t>
            </w:r>
          </w:p>
        </w:tc>
        <w:tc>
          <w:tcPr>
            <w:tcW w:w="1855" w:type="dxa"/>
            <w:shd w:val="clear" w:color="auto" w:fill="D9E2F3"/>
            <w:vAlign w:val="center"/>
          </w:tcPr>
          <w:p w14:paraId="5C1A453D" w14:textId="77777777" w:rsidR="00990B14" w:rsidRDefault="00000000">
            <w:pPr>
              <w:spacing w:before="20" w:after="20"/>
              <w:jc w:val="both"/>
            </w:pPr>
            <w:r>
              <w:rPr>
                <w:sz w:val="18"/>
                <w:szCs w:val="18"/>
              </w:rPr>
              <w:t>Incluye ejemplos de uso de cada cuenta.</w:t>
            </w:r>
          </w:p>
        </w:tc>
      </w:tr>
      <w:tr w:rsidR="00990B14" w14:paraId="4BF71DD4" w14:textId="77777777">
        <w:trPr>
          <w:cantSplit/>
          <w:jc w:val="center"/>
        </w:trPr>
        <w:tc>
          <w:tcPr>
            <w:tcW w:w="1780" w:type="dxa"/>
            <w:vMerge/>
            <w:shd w:val="clear" w:color="auto" w:fill="4472C4"/>
            <w:vAlign w:val="center"/>
          </w:tcPr>
          <w:p w14:paraId="6A0C799B" w14:textId="77777777" w:rsidR="00990B14" w:rsidRDefault="00990B14">
            <w:pPr>
              <w:spacing w:before="20" w:after="20"/>
            </w:pPr>
          </w:p>
        </w:tc>
        <w:tc>
          <w:tcPr>
            <w:tcW w:w="1825" w:type="dxa"/>
            <w:shd w:val="clear" w:color="auto" w:fill="D9E2F3"/>
            <w:vAlign w:val="center"/>
          </w:tcPr>
          <w:p w14:paraId="7BA21189" w14:textId="77777777" w:rsidR="00990B14" w:rsidRDefault="00000000">
            <w:pPr>
              <w:spacing w:before="20" w:after="20"/>
              <w:jc w:val="both"/>
            </w:pPr>
            <w:r>
              <w:rPr>
                <w:sz w:val="18"/>
                <w:szCs w:val="18"/>
              </w:rPr>
              <w:t>Movimiento y saldo</w:t>
            </w:r>
          </w:p>
        </w:tc>
        <w:tc>
          <w:tcPr>
            <w:tcW w:w="1825" w:type="dxa"/>
            <w:shd w:val="clear" w:color="auto" w:fill="D9E2F3"/>
            <w:vAlign w:val="center"/>
          </w:tcPr>
          <w:p w14:paraId="1387B9FF" w14:textId="77777777" w:rsidR="00990B14" w:rsidRDefault="00000000">
            <w:pPr>
              <w:spacing w:before="20" w:after="20"/>
              <w:jc w:val="both"/>
            </w:pPr>
            <w:r>
              <w:rPr>
                <w:sz w:val="18"/>
                <w:szCs w:val="18"/>
              </w:rPr>
              <w:t>Omite los cargos o abonos.</w:t>
            </w:r>
          </w:p>
        </w:tc>
        <w:tc>
          <w:tcPr>
            <w:tcW w:w="2120" w:type="dxa"/>
            <w:shd w:val="clear" w:color="auto" w:fill="D9E2F3"/>
            <w:vAlign w:val="center"/>
          </w:tcPr>
          <w:p w14:paraId="58F71D9D" w14:textId="77777777" w:rsidR="00990B14" w:rsidRDefault="00000000">
            <w:pPr>
              <w:spacing w:before="20" w:after="20"/>
              <w:jc w:val="both"/>
            </w:pPr>
            <w:r>
              <w:rPr>
                <w:sz w:val="18"/>
                <w:szCs w:val="18"/>
              </w:rPr>
              <w:t>Indica los cargos, abonos y saldo de cada cuenta.</w:t>
            </w:r>
          </w:p>
        </w:tc>
        <w:tc>
          <w:tcPr>
            <w:tcW w:w="1855" w:type="dxa"/>
            <w:shd w:val="clear" w:color="auto" w:fill="D9E2F3"/>
            <w:vAlign w:val="center"/>
          </w:tcPr>
          <w:p w14:paraId="1B37EFCC" w14:textId="77777777" w:rsidR="00990B14" w:rsidRDefault="00000000">
            <w:pPr>
              <w:spacing w:before="20" w:after="20"/>
              <w:jc w:val="both"/>
            </w:pPr>
            <w:r>
              <w:rPr>
                <w:sz w:val="18"/>
                <w:szCs w:val="18"/>
              </w:rPr>
              <w:t>Señala las cuentas reguladoras relacionadas.</w:t>
            </w:r>
          </w:p>
        </w:tc>
      </w:tr>
      <w:tr w:rsidR="00990B14" w14:paraId="5088D9B5" w14:textId="77777777">
        <w:trPr>
          <w:cantSplit/>
          <w:jc w:val="center"/>
        </w:trPr>
        <w:tc>
          <w:tcPr>
            <w:tcW w:w="1780" w:type="dxa"/>
            <w:vMerge/>
            <w:shd w:val="clear" w:color="auto" w:fill="4472C4"/>
            <w:vAlign w:val="center"/>
          </w:tcPr>
          <w:p w14:paraId="62403B1C" w14:textId="77777777" w:rsidR="00990B14" w:rsidRDefault="00990B14">
            <w:pPr>
              <w:spacing w:before="20" w:after="20"/>
            </w:pPr>
          </w:p>
        </w:tc>
        <w:tc>
          <w:tcPr>
            <w:tcW w:w="1825" w:type="dxa"/>
            <w:shd w:val="clear" w:color="auto" w:fill="D9E2F3"/>
            <w:vAlign w:val="center"/>
          </w:tcPr>
          <w:p w14:paraId="55288CFE" w14:textId="77777777" w:rsidR="00990B14" w:rsidRDefault="00000000">
            <w:pPr>
              <w:spacing w:before="20" w:after="20"/>
              <w:jc w:val="both"/>
            </w:pPr>
            <w:r>
              <w:rPr>
                <w:sz w:val="18"/>
                <w:szCs w:val="18"/>
              </w:rPr>
              <w:t>Sustentación</w:t>
            </w:r>
          </w:p>
        </w:tc>
        <w:tc>
          <w:tcPr>
            <w:tcW w:w="1825" w:type="dxa"/>
            <w:shd w:val="clear" w:color="auto" w:fill="D9E2F3"/>
            <w:vAlign w:val="center"/>
          </w:tcPr>
          <w:p w14:paraId="0FB5D4BA" w14:textId="77777777" w:rsidR="00990B14" w:rsidRDefault="00000000">
            <w:pPr>
              <w:spacing w:before="20" w:after="20"/>
              <w:jc w:val="both"/>
            </w:pPr>
            <w:r>
              <w:rPr>
                <w:sz w:val="18"/>
                <w:szCs w:val="18"/>
              </w:rPr>
              <w:t>La sustentación es confusa.</w:t>
            </w:r>
          </w:p>
        </w:tc>
        <w:tc>
          <w:tcPr>
            <w:tcW w:w="2120" w:type="dxa"/>
            <w:shd w:val="clear" w:color="auto" w:fill="D9E2F3"/>
            <w:vAlign w:val="center"/>
          </w:tcPr>
          <w:p w14:paraId="4DAE9EFD" w14:textId="77777777" w:rsidR="00990B14" w:rsidRDefault="00000000">
            <w:pPr>
              <w:spacing w:before="20" w:after="20"/>
              <w:jc w:val="both"/>
            </w:pPr>
            <w:r>
              <w:rPr>
                <w:sz w:val="18"/>
                <w:szCs w:val="18"/>
              </w:rPr>
              <w:t>Sustenta con orden y claridad.</w:t>
            </w:r>
          </w:p>
        </w:tc>
        <w:tc>
          <w:tcPr>
            <w:tcW w:w="1855" w:type="dxa"/>
            <w:shd w:val="clear" w:color="auto" w:fill="D9E2F3"/>
            <w:vAlign w:val="center"/>
          </w:tcPr>
          <w:p w14:paraId="3F162B53" w14:textId="77777777" w:rsidR="00990B14" w:rsidRDefault="00000000">
            <w:pPr>
              <w:spacing w:before="20" w:after="20"/>
              <w:jc w:val="both"/>
            </w:pPr>
            <w:r>
              <w:rPr>
                <w:sz w:val="18"/>
                <w:szCs w:val="18"/>
              </w:rPr>
              <w:t>Responde con solvencia las preguntas del curso.</w:t>
            </w:r>
          </w:p>
        </w:tc>
      </w:tr>
      <w:tr w:rsidR="00990B14" w14:paraId="2F6A4F33" w14:textId="77777777">
        <w:trPr>
          <w:cantSplit/>
          <w:jc w:val="center"/>
        </w:trPr>
        <w:tc>
          <w:tcPr>
            <w:tcW w:w="7550" w:type="dxa"/>
            <w:gridSpan w:val="4"/>
            <w:shd w:val="clear" w:color="auto" w:fill="4472C4"/>
            <w:vAlign w:val="center"/>
          </w:tcPr>
          <w:p w14:paraId="2D14C454" w14:textId="77777777" w:rsidR="00990B14" w:rsidRDefault="00000000">
            <w:pPr>
              <w:keepNext/>
              <w:spacing w:before="20" w:after="20"/>
              <w:jc w:val="center"/>
            </w:pPr>
            <w:r>
              <w:rPr>
                <w:b/>
                <w:bCs/>
                <w:i/>
                <w:iCs/>
                <w:color w:val="FFFFFF"/>
                <w:sz w:val="18"/>
                <w:szCs w:val="18"/>
              </w:rPr>
              <w:t>TOTAL</w:t>
            </w:r>
          </w:p>
        </w:tc>
        <w:tc>
          <w:tcPr>
            <w:tcW w:w="1855" w:type="dxa"/>
            <w:shd w:val="clear" w:color="auto" w:fill="4472C4"/>
            <w:vAlign w:val="center"/>
          </w:tcPr>
          <w:p w14:paraId="10BCA09D" w14:textId="77777777" w:rsidR="00990B14" w:rsidRDefault="00000000">
            <w:pPr>
              <w:keepNext/>
              <w:spacing w:before="20" w:after="20"/>
              <w:jc w:val="center"/>
            </w:pPr>
            <w:r>
              <w:rPr>
                <w:b/>
                <w:bCs/>
                <w:i/>
                <w:iCs/>
                <w:color w:val="FFFFFF"/>
                <w:sz w:val="18"/>
                <w:szCs w:val="18"/>
              </w:rPr>
              <w:t>100%</w:t>
            </w:r>
          </w:p>
        </w:tc>
      </w:tr>
    </w:tbl>
    <w:p w14:paraId="1C6D18CB"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9405"/>
      </w:tblGrid>
      <w:tr w:rsidR="00990B14" w14:paraId="367E52E5" w14:textId="77777777">
        <w:trPr>
          <w:jc w:val="center"/>
        </w:trPr>
        <w:tc>
          <w:tcPr>
            <w:tcW w:w="9405" w:type="dxa"/>
            <w:shd w:val="clear" w:color="auto" w:fill="D9E2F3"/>
          </w:tcPr>
          <w:p w14:paraId="205CDF3E" w14:textId="77777777" w:rsidR="00990B14" w:rsidRDefault="00000000">
            <w:pPr>
              <w:spacing w:before="40" w:after="40"/>
              <w:jc w:val="both"/>
            </w:pPr>
            <w:r>
              <w:rPr>
                <w:b/>
                <w:bCs/>
                <w:i/>
                <w:iCs/>
                <w:sz w:val="18"/>
                <w:szCs w:val="18"/>
              </w:rPr>
              <w:t>Bibliografía básica:</w:t>
            </w:r>
          </w:p>
          <w:p w14:paraId="25ED098B" w14:textId="77777777" w:rsidR="00990B14" w:rsidRDefault="00000000">
            <w:pPr>
              <w:numPr>
                <w:ilvl w:val="0"/>
                <w:numId w:val="140"/>
              </w:numPr>
              <w:spacing w:after="20"/>
              <w:jc w:val="both"/>
            </w:pPr>
            <w:r>
              <w:rPr>
                <w:sz w:val="18"/>
                <w:szCs w:val="18"/>
              </w:rPr>
              <w:t>Código de Comercio, Decreto Ley N.º 14379, de 25 de febrero de 1977.</w:t>
            </w:r>
          </w:p>
          <w:p w14:paraId="1193DFEF" w14:textId="77777777" w:rsidR="00990B14" w:rsidRDefault="00000000">
            <w:pPr>
              <w:numPr>
                <w:ilvl w:val="0"/>
                <w:numId w:val="140"/>
              </w:numPr>
              <w:spacing w:after="20"/>
              <w:jc w:val="both"/>
            </w:pPr>
            <w:r>
              <w:rPr>
                <w:sz w:val="18"/>
                <w:szCs w:val="18"/>
              </w:rPr>
              <w:t>Código Tributario Boliviano, Ley N.º 2492, de 2 de agosto de 2003.</w:t>
            </w:r>
          </w:p>
          <w:p w14:paraId="71027D68" w14:textId="77777777" w:rsidR="00990B14" w:rsidRDefault="00000000">
            <w:pPr>
              <w:numPr>
                <w:ilvl w:val="0"/>
                <w:numId w:val="140"/>
              </w:numPr>
              <w:spacing w:after="20"/>
              <w:jc w:val="both"/>
            </w:pPr>
            <w:r>
              <w:rPr>
                <w:sz w:val="18"/>
                <w:szCs w:val="18"/>
              </w:rPr>
              <w:t xml:space="preserve">Colegio de Auditores o Contadores Públicos de Bolivia, CAUB – Consejo Técnico Nacional de Auditoría y Contabilidad, CTNAC (2023). </w:t>
            </w:r>
            <w:r>
              <w:rPr>
                <w:i/>
                <w:iCs/>
                <w:sz w:val="18"/>
                <w:szCs w:val="18"/>
              </w:rPr>
              <w:t>Compendio de Normas de Contabilidad y Auditoría</w:t>
            </w:r>
            <w:r>
              <w:rPr>
                <w:sz w:val="18"/>
                <w:szCs w:val="18"/>
              </w:rPr>
              <w:t>. Santa Cruz – Bolivia.</w:t>
            </w:r>
          </w:p>
          <w:p w14:paraId="0791F7B8" w14:textId="77777777" w:rsidR="00990B14" w:rsidRDefault="00000000">
            <w:pPr>
              <w:numPr>
                <w:ilvl w:val="0"/>
                <w:numId w:val="140"/>
              </w:numPr>
              <w:spacing w:after="20"/>
              <w:jc w:val="both"/>
            </w:pPr>
            <w:r>
              <w:rPr>
                <w:sz w:val="18"/>
                <w:szCs w:val="18"/>
              </w:rPr>
              <w:t>Decreto Supremo N.º 24051, Reglamento del Impuesto sobre las Utilidades de las Empresas, de 29 de junio de 1995.</w:t>
            </w:r>
          </w:p>
          <w:p w14:paraId="05D907EB" w14:textId="77777777" w:rsidR="00990B14" w:rsidRDefault="00000000">
            <w:pPr>
              <w:numPr>
                <w:ilvl w:val="0"/>
                <w:numId w:val="140"/>
              </w:numPr>
              <w:spacing w:after="20"/>
              <w:jc w:val="both"/>
            </w:pPr>
            <w:r>
              <w:rPr>
                <w:sz w:val="18"/>
                <w:szCs w:val="18"/>
              </w:rPr>
              <w:t xml:space="preserve">Fundación IFRS – Consejo de Normas Internacionales de Contabilidad, IASB (2023). </w:t>
            </w:r>
            <w:r>
              <w:rPr>
                <w:i/>
                <w:iCs/>
                <w:sz w:val="18"/>
                <w:szCs w:val="18"/>
              </w:rPr>
              <w:t>Normas Internacionales de Información Financiera 2023</w:t>
            </w:r>
            <w:r>
              <w:rPr>
                <w:sz w:val="18"/>
                <w:szCs w:val="18"/>
              </w:rPr>
              <w:t>. Londres.</w:t>
            </w:r>
          </w:p>
          <w:p w14:paraId="72116D14" w14:textId="77777777" w:rsidR="00990B14" w:rsidRDefault="00000000">
            <w:pPr>
              <w:numPr>
                <w:ilvl w:val="0"/>
                <w:numId w:val="140"/>
              </w:numPr>
              <w:spacing w:after="20"/>
              <w:jc w:val="both"/>
            </w:pPr>
            <w:r>
              <w:rPr>
                <w:sz w:val="18"/>
                <w:szCs w:val="18"/>
              </w:rPr>
              <w:t>Ley N.º 065, de Pensiones, de 10 de diciembre de 2010.</w:t>
            </w:r>
          </w:p>
          <w:p w14:paraId="219286A3" w14:textId="77777777" w:rsidR="00990B14" w:rsidRDefault="00000000">
            <w:pPr>
              <w:numPr>
                <w:ilvl w:val="0"/>
                <w:numId w:val="140"/>
              </w:numPr>
              <w:spacing w:after="20"/>
              <w:jc w:val="both"/>
            </w:pPr>
            <w:r>
              <w:rPr>
                <w:sz w:val="18"/>
                <w:szCs w:val="18"/>
              </w:rPr>
              <w:t>Ley N.º 1322, de Derecho de Autor, de 13 de abril de 1992.</w:t>
            </w:r>
          </w:p>
          <w:p w14:paraId="0D43E420" w14:textId="77777777" w:rsidR="00990B14" w:rsidRDefault="00000000">
            <w:pPr>
              <w:numPr>
                <w:ilvl w:val="0"/>
                <w:numId w:val="140"/>
              </w:numPr>
              <w:spacing w:after="20"/>
              <w:jc w:val="both"/>
            </w:pPr>
            <w:r>
              <w:rPr>
                <w:sz w:val="18"/>
                <w:szCs w:val="18"/>
              </w:rPr>
              <w:t>Ley N.º 1606, de 22 de diciembre de 1994, que modifica la Ley N.º 843.</w:t>
            </w:r>
          </w:p>
          <w:p w14:paraId="009348FD" w14:textId="77777777" w:rsidR="00990B14" w:rsidRDefault="00000000">
            <w:pPr>
              <w:numPr>
                <w:ilvl w:val="0"/>
                <w:numId w:val="140"/>
              </w:numPr>
              <w:spacing w:after="20"/>
              <w:jc w:val="both"/>
            </w:pPr>
            <w:r>
              <w:rPr>
                <w:sz w:val="18"/>
                <w:szCs w:val="18"/>
              </w:rPr>
              <w:t>Ley N.º 1834, del Mercado de Valores.</w:t>
            </w:r>
          </w:p>
          <w:p w14:paraId="2D63CF94" w14:textId="77777777" w:rsidR="00990B14" w:rsidRDefault="00000000">
            <w:pPr>
              <w:numPr>
                <w:ilvl w:val="0"/>
                <w:numId w:val="140"/>
              </w:numPr>
              <w:spacing w:after="20"/>
              <w:jc w:val="both"/>
            </w:pPr>
            <w:r>
              <w:rPr>
                <w:sz w:val="18"/>
                <w:szCs w:val="18"/>
              </w:rPr>
              <w:t>Ley N.º 393, de Servicios Financieros, de 21 de agosto de 2013</w:t>
            </w:r>
          </w:p>
          <w:p w14:paraId="691F270C" w14:textId="77777777" w:rsidR="00990B14" w:rsidRDefault="00000000">
            <w:pPr>
              <w:numPr>
                <w:ilvl w:val="0"/>
                <w:numId w:val="140"/>
              </w:numPr>
              <w:spacing w:after="20"/>
              <w:jc w:val="both"/>
            </w:pPr>
            <w:r>
              <w:rPr>
                <w:sz w:val="18"/>
                <w:szCs w:val="18"/>
              </w:rPr>
              <w:t xml:space="preserve">Mendoza, R. (2013). </w:t>
            </w:r>
            <w:r>
              <w:rPr>
                <w:i/>
                <w:iCs/>
                <w:sz w:val="18"/>
                <w:szCs w:val="18"/>
              </w:rPr>
              <w:t>Contabilidad Intermedia</w:t>
            </w:r>
            <w:r>
              <w:rPr>
                <w:sz w:val="18"/>
                <w:szCs w:val="18"/>
              </w:rPr>
              <w:t>.</w:t>
            </w:r>
          </w:p>
          <w:p w14:paraId="6B29EB3C" w14:textId="77777777" w:rsidR="00990B14" w:rsidRDefault="00000000">
            <w:pPr>
              <w:numPr>
                <w:ilvl w:val="0"/>
                <w:numId w:val="140"/>
              </w:numPr>
              <w:spacing w:after="20"/>
              <w:jc w:val="both"/>
            </w:pPr>
            <w:r>
              <w:rPr>
                <w:sz w:val="18"/>
                <w:szCs w:val="18"/>
              </w:rPr>
              <w:t>Resolución CTNAC N.º 01/2012, de 7 de noviembre de 2012, sobre la vigencia de las Normas de Contabilidad Generalmente Aceptadas en Bolivia.</w:t>
            </w:r>
          </w:p>
          <w:p w14:paraId="4232464C" w14:textId="77777777" w:rsidR="00990B14" w:rsidRDefault="00000000">
            <w:pPr>
              <w:numPr>
                <w:ilvl w:val="0"/>
                <w:numId w:val="140"/>
              </w:numPr>
              <w:spacing w:after="20"/>
              <w:jc w:val="both"/>
            </w:pPr>
            <w:r>
              <w:rPr>
                <w:sz w:val="18"/>
                <w:szCs w:val="18"/>
              </w:rPr>
              <w:t>Resolución CTNAC N.º 03/2020, de 8 de diciembre de 2020, sobre la suspensión del ajuste por inflación.</w:t>
            </w:r>
          </w:p>
          <w:p w14:paraId="1DBFA1DC" w14:textId="77777777" w:rsidR="00990B14" w:rsidRDefault="00000000">
            <w:pPr>
              <w:numPr>
                <w:ilvl w:val="0"/>
                <w:numId w:val="140"/>
              </w:numPr>
              <w:spacing w:after="20"/>
              <w:jc w:val="both"/>
            </w:pPr>
            <w:r>
              <w:rPr>
                <w:sz w:val="18"/>
                <w:szCs w:val="18"/>
              </w:rPr>
              <w:t>Resolución Normativa de Directorio N.º 102100000011, Sistema de Facturación, del Servicio de Impuestos Nacionales.</w:t>
            </w:r>
          </w:p>
          <w:p w14:paraId="5BB13D00" w14:textId="77777777" w:rsidR="00990B14" w:rsidRDefault="00000000">
            <w:pPr>
              <w:numPr>
                <w:ilvl w:val="0"/>
                <w:numId w:val="140"/>
              </w:numPr>
              <w:spacing w:after="20"/>
              <w:jc w:val="both"/>
            </w:pPr>
            <w:r>
              <w:rPr>
                <w:sz w:val="18"/>
                <w:szCs w:val="18"/>
              </w:rPr>
              <w:t xml:space="preserve">Terán Gandarillas, G. (2022). </w:t>
            </w:r>
            <w:r>
              <w:rPr>
                <w:i/>
                <w:iCs/>
                <w:sz w:val="18"/>
                <w:szCs w:val="18"/>
              </w:rPr>
              <w:t>Temas de Contabilidad Intermedia</w:t>
            </w:r>
            <w:r>
              <w:rPr>
                <w:sz w:val="18"/>
                <w:szCs w:val="18"/>
              </w:rPr>
              <w:t>. Cochabamba – Bolivia: Ediciones Educación y Cultura.</w:t>
            </w:r>
          </w:p>
          <w:p w14:paraId="397E1F2A" w14:textId="77777777" w:rsidR="00990B14" w:rsidRDefault="00000000">
            <w:pPr>
              <w:numPr>
                <w:ilvl w:val="0"/>
                <w:numId w:val="140"/>
              </w:numPr>
              <w:spacing w:after="20"/>
              <w:jc w:val="both"/>
            </w:pPr>
            <w:r>
              <w:rPr>
                <w:sz w:val="18"/>
                <w:szCs w:val="18"/>
              </w:rPr>
              <w:t>Texto ordenado vigente de la Ley N.º 843, aprobado por el Decreto Supremo N.º 27947 de 20 de diciembre de 2004, y sus Decretos Supremos reglamentarios.</w:t>
            </w:r>
          </w:p>
        </w:tc>
      </w:tr>
      <w:tr w:rsidR="00990B14" w14:paraId="0D3B44B0" w14:textId="77777777">
        <w:trPr>
          <w:jc w:val="center"/>
        </w:trPr>
        <w:tc>
          <w:tcPr>
            <w:tcW w:w="9405" w:type="dxa"/>
            <w:shd w:val="clear" w:color="auto" w:fill="D9E2F3"/>
          </w:tcPr>
          <w:p w14:paraId="273EDD5B" w14:textId="77777777" w:rsidR="00990B14" w:rsidRDefault="00000000">
            <w:pPr>
              <w:spacing w:before="40" w:after="40"/>
              <w:jc w:val="both"/>
            </w:pPr>
            <w:r>
              <w:rPr>
                <w:b/>
                <w:bCs/>
                <w:i/>
                <w:iCs/>
                <w:sz w:val="18"/>
                <w:szCs w:val="18"/>
              </w:rPr>
              <w:t>Bibliografía complementaria:</w:t>
            </w:r>
          </w:p>
          <w:p w14:paraId="31BEAE72" w14:textId="77777777" w:rsidR="00990B14" w:rsidRDefault="00000000">
            <w:pPr>
              <w:numPr>
                <w:ilvl w:val="0"/>
                <w:numId w:val="140"/>
              </w:numPr>
              <w:spacing w:after="20"/>
              <w:jc w:val="both"/>
            </w:pPr>
            <w:r>
              <w:rPr>
                <w:sz w:val="18"/>
                <w:szCs w:val="18"/>
              </w:rPr>
              <w:t xml:space="preserve">Horngren, C. (2012). </w:t>
            </w:r>
            <w:r>
              <w:rPr>
                <w:i/>
                <w:iCs/>
                <w:sz w:val="18"/>
                <w:szCs w:val="18"/>
              </w:rPr>
              <w:t>Contabilidad</w:t>
            </w:r>
            <w:r>
              <w:rPr>
                <w:sz w:val="18"/>
                <w:szCs w:val="18"/>
              </w:rPr>
              <w:t>. McGraw-Hill.</w:t>
            </w:r>
          </w:p>
          <w:p w14:paraId="7B3722B4" w14:textId="77777777" w:rsidR="00990B14" w:rsidRDefault="00000000">
            <w:pPr>
              <w:numPr>
                <w:ilvl w:val="0"/>
                <w:numId w:val="140"/>
              </w:numPr>
              <w:spacing w:after="20"/>
              <w:jc w:val="both"/>
            </w:pPr>
            <w:r>
              <w:rPr>
                <w:sz w:val="18"/>
                <w:szCs w:val="18"/>
              </w:rPr>
              <w:t xml:space="preserve">Warren, C., Reeve, J. y Duchac, J. (2016). </w:t>
            </w:r>
            <w:r>
              <w:rPr>
                <w:i/>
                <w:iCs/>
                <w:sz w:val="18"/>
                <w:szCs w:val="18"/>
              </w:rPr>
              <w:t>Contabilidad financiera</w:t>
            </w:r>
            <w:r>
              <w:rPr>
                <w:sz w:val="18"/>
                <w:szCs w:val="18"/>
              </w:rPr>
              <w:t>. Cengage Learning.</w:t>
            </w:r>
          </w:p>
        </w:tc>
      </w:tr>
    </w:tbl>
    <w:p w14:paraId="35C6B9A1" w14:textId="77777777" w:rsidR="00990B14" w:rsidRDefault="00000000">
      <w:pPr>
        <w:pStyle w:val="TituloPlanAsignatura"/>
        <w:keepNext/>
        <w:pageBreakBefore/>
        <w:spacing w:after="120"/>
        <w:jc w:val="center"/>
        <w:outlineLvl w:val="2"/>
      </w:pPr>
      <w:bookmarkStart w:id="156" w:name="_Toc000000097"/>
      <w:r>
        <w:rPr>
          <w:b/>
          <w:bCs/>
          <w:sz w:val="24"/>
          <w:szCs w:val="24"/>
        </w:rPr>
        <w:t>CPA-202 Contabilidad de Sociedades</w:t>
      </w:r>
      <w:bookmarkEnd w:id="156"/>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249"/>
        <w:gridCol w:w="1100"/>
        <w:gridCol w:w="149"/>
        <w:gridCol w:w="635"/>
        <w:gridCol w:w="615"/>
        <w:gridCol w:w="952"/>
        <w:gridCol w:w="298"/>
        <w:gridCol w:w="1250"/>
        <w:gridCol w:w="20"/>
        <w:gridCol w:w="385"/>
        <w:gridCol w:w="398"/>
        <w:gridCol w:w="447"/>
        <w:gridCol w:w="1907"/>
      </w:tblGrid>
      <w:tr w:rsidR="00990B14" w14:paraId="0B60535B" w14:textId="77777777">
        <w:trPr>
          <w:cantSplit/>
          <w:jc w:val="center"/>
        </w:trPr>
        <w:tc>
          <w:tcPr>
            <w:tcW w:w="2349" w:type="dxa"/>
            <w:gridSpan w:val="2"/>
            <w:shd w:val="clear" w:color="auto" w:fill="4472C4"/>
            <w:vAlign w:val="center"/>
          </w:tcPr>
          <w:p w14:paraId="23CC16FA" w14:textId="77777777" w:rsidR="00990B14" w:rsidRDefault="00000000">
            <w:pPr>
              <w:keepNext/>
              <w:spacing w:before="20" w:after="20"/>
              <w:jc w:val="center"/>
            </w:pPr>
            <w:r>
              <w:rPr>
                <w:b/>
                <w:bCs/>
                <w:i/>
                <w:iCs/>
                <w:color w:val="FFFFFF"/>
                <w:sz w:val="18"/>
                <w:szCs w:val="18"/>
              </w:rPr>
              <w:t>Asignatura</w:t>
            </w:r>
          </w:p>
        </w:tc>
        <w:tc>
          <w:tcPr>
            <w:tcW w:w="2351" w:type="dxa"/>
            <w:gridSpan w:val="4"/>
            <w:shd w:val="clear" w:color="auto" w:fill="4472C4"/>
            <w:vAlign w:val="center"/>
          </w:tcPr>
          <w:p w14:paraId="679A4537" w14:textId="77777777" w:rsidR="00990B14" w:rsidRDefault="00000000">
            <w:pPr>
              <w:keepNext/>
              <w:spacing w:before="20" w:after="20"/>
              <w:jc w:val="center"/>
            </w:pPr>
            <w:r>
              <w:rPr>
                <w:b/>
                <w:bCs/>
                <w:i/>
                <w:iCs/>
                <w:color w:val="FFFFFF"/>
                <w:sz w:val="18"/>
                <w:szCs w:val="18"/>
              </w:rPr>
              <w:t>Sigla</w:t>
            </w:r>
          </w:p>
        </w:tc>
        <w:tc>
          <w:tcPr>
            <w:tcW w:w="2351" w:type="dxa"/>
            <w:gridSpan w:val="5"/>
            <w:shd w:val="clear" w:color="auto" w:fill="4472C4"/>
            <w:vAlign w:val="center"/>
          </w:tcPr>
          <w:p w14:paraId="245E4B5D" w14:textId="77777777" w:rsidR="00990B14" w:rsidRDefault="00000000">
            <w:pPr>
              <w:keepNext/>
              <w:spacing w:before="20" w:after="20"/>
              <w:jc w:val="center"/>
            </w:pPr>
            <w:r>
              <w:rPr>
                <w:b/>
                <w:bCs/>
                <w:i/>
                <w:iCs/>
                <w:color w:val="FFFFFF"/>
                <w:sz w:val="18"/>
                <w:szCs w:val="18"/>
              </w:rPr>
              <w:t>Nivel/Área</w:t>
            </w:r>
          </w:p>
        </w:tc>
        <w:tc>
          <w:tcPr>
            <w:tcW w:w="2354" w:type="dxa"/>
            <w:gridSpan w:val="2"/>
            <w:shd w:val="clear" w:color="auto" w:fill="4472C4"/>
            <w:vAlign w:val="center"/>
          </w:tcPr>
          <w:p w14:paraId="507DF657" w14:textId="77777777" w:rsidR="00990B14" w:rsidRDefault="00000000">
            <w:pPr>
              <w:keepNext/>
              <w:spacing w:before="20" w:after="20"/>
              <w:jc w:val="center"/>
            </w:pPr>
            <w:r>
              <w:rPr>
                <w:b/>
                <w:bCs/>
                <w:i/>
                <w:iCs/>
                <w:color w:val="FFFFFF"/>
                <w:sz w:val="18"/>
                <w:szCs w:val="18"/>
              </w:rPr>
              <w:t>Prerrequisito</w:t>
            </w:r>
          </w:p>
        </w:tc>
      </w:tr>
      <w:tr w:rsidR="00990B14" w14:paraId="1A7CBA30" w14:textId="77777777">
        <w:trPr>
          <w:cantSplit/>
          <w:jc w:val="center"/>
        </w:trPr>
        <w:tc>
          <w:tcPr>
            <w:tcW w:w="2349" w:type="dxa"/>
            <w:gridSpan w:val="2"/>
            <w:shd w:val="clear" w:color="auto" w:fill="D9E2F3"/>
            <w:vAlign w:val="center"/>
          </w:tcPr>
          <w:p w14:paraId="096A852E" w14:textId="77777777" w:rsidR="00990B14" w:rsidRDefault="00000000">
            <w:pPr>
              <w:spacing w:before="20" w:after="20"/>
              <w:jc w:val="center"/>
            </w:pPr>
            <w:r>
              <w:rPr>
                <w:b/>
                <w:bCs/>
                <w:i/>
                <w:iCs/>
                <w:sz w:val="18"/>
                <w:szCs w:val="18"/>
              </w:rPr>
              <w:t>Contabilidad de Sociedades</w:t>
            </w:r>
          </w:p>
        </w:tc>
        <w:tc>
          <w:tcPr>
            <w:tcW w:w="2351" w:type="dxa"/>
            <w:gridSpan w:val="4"/>
            <w:shd w:val="clear" w:color="auto" w:fill="D9E2F3"/>
            <w:vAlign w:val="center"/>
          </w:tcPr>
          <w:p w14:paraId="5683F540" w14:textId="77777777" w:rsidR="00990B14" w:rsidRDefault="00000000">
            <w:pPr>
              <w:spacing w:before="20" w:after="20"/>
              <w:jc w:val="center"/>
            </w:pPr>
            <w:r>
              <w:rPr>
                <w:b/>
                <w:bCs/>
                <w:i/>
                <w:iCs/>
                <w:sz w:val="18"/>
                <w:szCs w:val="18"/>
              </w:rPr>
              <w:t>CPA-202</w:t>
            </w:r>
          </w:p>
        </w:tc>
        <w:tc>
          <w:tcPr>
            <w:tcW w:w="2351" w:type="dxa"/>
            <w:gridSpan w:val="5"/>
            <w:shd w:val="clear" w:color="auto" w:fill="D9E2F3"/>
            <w:vAlign w:val="center"/>
          </w:tcPr>
          <w:p w14:paraId="1F64734A" w14:textId="77777777" w:rsidR="00990B14" w:rsidRDefault="00000000">
            <w:pPr>
              <w:spacing w:before="20" w:after="20"/>
              <w:jc w:val="center"/>
            </w:pPr>
            <w:r>
              <w:rPr>
                <w:b/>
                <w:bCs/>
                <w:i/>
                <w:iCs/>
                <w:sz w:val="18"/>
                <w:szCs w:val="18"/>
              </w:rPr>
              <w:t>Información Financiera</w:t>
            </w:r>
          </w:p>
        </w:tc>
        <w:tc>
          <w:tcPr>
            <w:tcW w:w="2354" w:type="dxa"/>
            <w:gridSpan w:val="2"/>
            <w:shd w:val="clear" w:color="auto" w:fill="D9E2F3"/>
            <w:vAlign w:val="center"/>
          </w:tcPr>
          <w:p w14:paraId="6BA7ABF5" w14:textId="77777777" w:rsidR="00990B14" w:rsidRDefault="00000000">
            <w:pPr>
              <w:spacing w:before="20" w:after="20"/>
              <w:jc w:val="center"/>
            </w:pPr>
            <w:r>
              <w:rPr>
                <w:b/>
                <w:bCs/>
                <w:i/>
                <w:iCs/>
                <w:sz w:val="18"/>
                <w:szCs w:val="18"/>
              </w:rPr>
              <w:t>CPA-101</w:t>
            </w:r>
          </w:p>
        </w:tc>
      </w:tr>
      <w:tr w:rsidR="00990B14" w14:paraId="086F10B2" w14:textId="77777777">
        <w:trPr>
          <w:cantSplit/>
          <w:jc w:val="center"/>
        </w:trPr>
        <w:tc>
          <w:tcPr>
            <w:tcW w:w="7498" w:type="dxa"/>
            <w:gridSpan w:val="12"/>
            <w:shd w:val="clear" w:color="auto" w:fill="4472C4"/>
            <w:vAlign w:val="center"/>
          </w:tcPr>
          <w:p w14:paraId="3DFF715E" w14:textId="77777777" w:rsidR="00990B14" w:rsidRDefault="00000000">
            <w:pPr>
              <w:keepNext/>
              <w:spacing w:before="20" w:after="20"/>
              <w:jc w:val="center"/>
            </w:pPr>
            <w:r>
              <w:rPr>
                <w:b/>
                <w:bCs/>
                <w:i/>
                <w:iCs/>
                <w:color w:val="FFFFFF"/>
                <w:sz w:val="18"/>
                <w:szCs w:val="18"/>
              </w:rPr>
              <w:t>Carga Horaria</w:t>
            </w:r>
          </w:p>
        </w:tc>
        <w:tc>
          <w:tcPr>
            <w:tcW w:w="1907" w:type="dxa"/>
            <w:shd w:val="clear" w:color="auto" w:fill="4472C4"/>
            <w:vAlign w:val="center"/>
          </w:tcPr>
          <w:p w14:paraId="0BAD0A41" w14:textId="77777777" w:rsidR="00990B14" w:rsidRDefault="00000000">
            <w:pPr>
              <w:keepNext/>
              <w:spacing w:before="20" w:after="20"/>
              <w:jc w:val="center"/>
            </w:pPr>
            <w:r>
              <w:rPr>
                <w:b/>
                <w:bCs/>
                <w:i/>
                <w:iCs/>
                <w:color w:val="FFFFFF"/>
                <w:sz w:val="18"/>
                <w:szCs w:val="18"/>
              </w:rPr>
              <w:t>Créditos</w:t>
            </w:r>
          </w:p>
        </w:tc>
      </w:tr>
      <w:tr w:rsidR="00990B14" w14:paraId="30F05F25" w14:textId="77777777">
        <w:trPr>
          <w:cantSplit/>
          <w:jc w:val="center"/>
        </w:trPr>
        <w:tc>
          <w:tcPr>
            <w:tcW w:w="1249" w:type="dxa"/>
            <w:shd w:val="clear" w:color="auto" w:fill="4472C4"/>
            <w:vAlign w:val="center"/>
          </w:tcPr>
          <w:p w14:paraId="27E02F2B" w14:textId="77777777" w:rsidR="00990B14" w:rsidRDefault="00000000">
            <w:pPr>
              <w:keepNext/>
              <w:spacing w:before="20" w:after="20"/>
              <w:jc w:val="center"/>
            </w:pPr>
            <w:r>
              <w:rPr>
                <w:b/>
                <w:bCs/>
                <w:i/>
                <w:iCs/>
                <w:color w:val="FFFFFF"/>
                <w:sz w:val="18"/>
                <w:szCs w:val="18"/>
              </w:rPr>
              <w:t>HP</w:t>
            </w:r>
          </w:p>
        </w:tc>
        <w:tc>
          <w:tcPr>
            <w:tcW w:w="1249" w:type="dxa"/>
            <w:gridSpan w:val="2"/>
            <w:shd w:val="clear" w:color="auto" w:fill="4472C4"/>
            <w:vAlign w:val="center"/>
          </w:tcPr>
          <w:p w14:paraId="5E7E486E" w14:textId="77777777" w:rsidR="00990B14" w:rsidRDefault="00000000">
            <w:pPr>
              <w:keepNext/>
              <w:spacing w:before="20" w:after="20"/>
              <w:jc w:val="center"/>
            </w:pPr>
            <w:r>
              <w:rPr>
                <w:b/>
                <w:bCs/>
                <w:i/>
                <w:iCs/>
                <w:color w:val="FFFFFF"/>
                <w:sz w:val="18"/>
                <w:szCs w:val="18"/>
              </w:rPr>
              <w:t>HAA</w:t>
            </w:r>
          </w:p>
        </w:tc>
        <w:tc>
          <w:tcPr>
            <w:tcW w:w="1250" w:type="dxa"/>
            <w:gridSpan w:val="2"/>
            <w:shd w:val="clear" w:color="auto" w:fill="4472C4"/>
            <w:vAlign w:val="center"/>
          </w:tcPr>
          <w:p w14:paraId="2DAD8C90" w14:textId="77777777" w:rsidR="00990B14" w:rsidRDefault="00000000">
            <w:pPr>
              <w:keepNext/>
              <w:spacing w:before="20" w:after="20"/>
              <w:jc w:val="center"/>
            </w:pPr>
            <w:r>
              <w:rPr>
                <w:b/>
                <w:bCs/>
                <w:i/>
                <w:iCs/>
                <w:color w:val="FFFFFF"/>
                <w:sz w:val="18"/>
                <w:szCs w:val="18"/>
              </w:rPr>
              <w:t>HTG</w:t>
            </w:r>
          </w:p>
        </w:tc>
        <w:tc>
          <w:tcPr>
            <w:tcW w:w="1250" w:type="dxa"/>
            <w:gridSpan w:val="2"/>
            <w:shd w:val="clear" w:color="auto" w:fill="4472C4"/>
            <w:vAlign w:val="center"/>
          </w:tcPr>
          <w:p w14:paraId="75F639AA" w14:textId="77777777" w:rsidR="00990B14" w:rsidRDefault="00000000">
            <w:pPr>
              <w:keepNext/>
              <w:spacing w:before="20" w:after="20"/>
              <w:jc w:val="center"/>
            </w:pPr>
            <w:r>
              <w:rPr>
                <w:b/>
                <w:bCs/>
                <w:i/>
                <w:iCs/>
                <w:color w:val="FFFFFF"/>
                <w:sz w:val="18"/>
                <w:szCs w:val="18"/>
              </w:rPr>
              <w:t>HIP</w:t>
            </w:r>
          </w:p>
        </w:tc>
        <w:tc>
          <w:tcPr>
            <w:tcW w:w="1250" w:type="dxa"/>
            <w:shd w:val="clear" w:color="auto" w:fill="4472C4"/>
            <w:vAlign w:val="center"/>
          </w:tcPr>
          <w:p w14:paraId="020F284C" w14:textId="77777777" w:rsidR="00990B14" w:rsidRDefault="00000000">
            <w:pPr>
              <w:keepNext/>
              <w:spacing w:before="20" w:after="20"/>
              <w:jc w:val="center"/>
            </w:pPr>
            <w:r>
              <w:rPr>
                <w:b/>
                <w:bCs/>
                <w:i/>
                <w:iCs/>
                <w:color w:val="FFFFFF"/>
                <w:sz w:val="18"/>
                <w:szCs w:val="18"/>
              </w:rPr>
              <w:t>HE</w:t>
            </w:r>
          </w:p>
        </w:tc>
        <w:tc>
          <w:tcPr>
            <w:tcW w:w="1250" w:type="dxa"/>
            <w:gridSpan w:val="4"/>
            <w:shd w:val="clear" w:color="auto" w:fill="4472C4"/>
            <w:vAlign w:val="center"/>
          </w:tcPr>
          <w:p w14:paraId="1A8990B4" w14:textId="77777777" w:rsidR="00990B14" w:rsidRDefault="00000000">
            <w:pPr>
              <w:keepNext/>
              <w:spacing w:before="20" w:after="20"/>
              <w:jc w:val="center"/>
            </w:pPr>
            <w:r>
              <w:rPr>
                <w:b/>
                <w:bCs/>
                <w:i/>
                <w:iCs/>
                <w:color w:val="FFFFFF"/>
                <w:sz w:val="18"/>
                <w:szCs w:val="18"/>
              </w:rPr>
              <w:t>TOTAL</w:t>
            </w:r>
          </w:p>
        </w:tc>
        <w:tc>
          <w:tcPr>
            <w:tcW w:w="1907" w:type="dxa"/>
            <w:vMerge w:val="restart"/>
            <w:shd w:val="clear" w:color="auto" w:fill="D9E2F3"/>
            <w:vAlign w:val="center"/>
          </w:tcPr>
          <w:p w14:paraId="2A80F980" w14:textId="77777777" w:rsidR="00990B14" w:rsidRDefault="00000000">
            <w:pPr>
              <w:spacing w:before="20" w:after="20"/>
              <w:jc w:val="center"/>
            </w:pPr>
            <w:r>
              <w:rPr>
                <w:sz w:val="18"/>
                <w:szCs w:val="18"/>
              </w:rPr>
              <w:t>8</w:t>
            </w:r>
          </w:p>
        </w:tc>
      </w:tr>
      <w:tr w:rsidR="00990B14" w14:paraId="67AD1722" w14:textId="77777777">
        <w:trPr>
          <w:cantSplit/>
          <w:jc w:val="center"/>
        </w:trPr>
        <w:tc>
          <w:tcPr>
            <w:tcW w:w="1249" w:type="dxa"/>
            <w:shd w:val="clear" w:color="auto" w:fill="D9E2F3"/>
            <w:vAlign w:val="center"/>
          </w:tcPr>
          <w:p w14:paraId="107ED866" w14:textId="77777777" w:rsidR="00990B14" w:rsidRDefault="00000000">
            <w:pPr>
              <w:spacing w:before="20" w:after="20"/>
              <w:jc w:val="center"/>
            </w:pPr>
            <w:r>
              <w:rPr>
                <w:sz w:val="18"/>
                <w:szCs w:val="18"/>
              </w:rPr>
              <w:t>160</w:t>
            </w:r>
          </w:p>
        </w:tc>
        <w:tc>
          <w:tcPr>
            <w:tcW w:w="1249" w:type="dxa"/>
            <w:gridSpan w:val="2"/>
            <w:shd w:val="clear" w:color="auto" w:fill="D9E2F3"/>
            <w:vAlign w:val="center"/>
          </w:tcPr>
          <w:p w14:paraId="6D407F3E" w14:textId="77777777" w:rsidR="00990B14" w:rsidRDefault="00000000">
            <w:pPr>
              <w:spacing w:before="20" w:after="20"/>
              <w:jc w:val="center"/>
            </w:pPr>
            <w:r>
              <w:rPr>
                <w:sz w:val="18"/>
                <w:szCs w:val="18"/>
              </w:rPr>
              <w:t>20</w:t>
            </w:r>
          </w:p>
        </w:tc>
        <w:tc>
          <w:tcPr>
            <w:tcW w:w="1250" w:type="dxa"/>
            <w:gridSpan w:val="2"/>
            <w:shd w:val="clear" w:color="auto" w:fill="D9E2F3"/>
            <w:vAlign w:val="center"/>
          </w:tcPr>
          <w:p w14:paraId="5E5E6495" w14:textId="77777777" w:rsidR="00990B14" w:rsidRDefault="00000000">
            <w:pPr>
              <w:spacing w:before="20" w:after="20"/>
              <w:jc w:val="center"/>
            </w:pPr>
            <w:r>
              <w:rPr>
                <w:sz w:val="18"/>
                <w:szCs w:val="18"/>
              </w:rPr>
              <w:t>20</w:t>
            </w:r>
          </w:p>
        </w:tc>
        <w:tc>
          <w:tcPr>
            <w:tcW w:w="1250" w:type="dxa"/>
            <w:gridSpan w:val="2"/>
            <w:shd w:val="clear" w:color="auto" w:fill="D9E2F3"/>
            <w:vAlign w:val="center"/>
          </w:tcPr>
          <w:p w14:paraId="66459A18" w14:textId="77777777" w:rsidR="00990B14" w:rsidRDefault="00000000">
            <w:pPr>
              <w:spacing w:before="20" w:after="20"/>
              <w:jc w:val="center"/>
            </w:pPr>
            <w:r>
              <w:rPr>
                <w:sz w:val="18"/>
                <w:szCs w:val="18"/>
              </w:rPr>
              <w:t>20</w:t>
            </w:r>
          </w:p>
        </w:tc>
        <w:tc>
          <w:tcPr>
            <w:tcW w:w="1250" w:type="dxa"/>
            <w:shd w:val="clear" w:color="auto" w:fill="D9E2F3"/>
            <w:vAlign w:val="center"/>
          </w:tcPr>
          <w:p w14:paraId="17356F20" w14:textId="77777777" w:rsidR="00990B14" w:rsidRDefault="00000000">
            <w:pPr>
              <w:spacing w:before="20" w:after="20"/>
              <w:jc w:val="center"/>
            </w:pPr>
            <w:r>
              <w:rPr>
                <w:sz w:val="18"/>
                <w:szCs w:val="18"/>
              </w:rPr>
              <w:t>20</w:t>
            </w:r>
          </w:p>
        </w:tc>
        <w:tc>
          <w:tcPr>
            <w:tcW w:w="1250" w:type="dxa"/>
            <w:gridSpan w:val="4"/>
            <w:shd w:val="clear" w:color="auto" w:fill="D9E2F3"/>
            <w:vAlign w:val="center"/>
          </w:tcPr>
          <w:p w14:paraId="77F4E162" w14:textId="77777777" w:rsidR="00990B14" w:rsidRDefault="00000000">
            <w:pPr>
              <w:spacing w:before="20" w:after="20"/>
              <w:jc w:val="center"/>
            </w:pPr>
            <w:r>
              <w:rPr>
                <w:sz w:val="18"/>
                <w:szCs w:val="18"/>
              </w:rPr>
              <w:t>240</w:t>
            </w:r>
          </w:p>
        </w:tc>
        <w:tc>
          <w:tcPr>
            <w:tcW w:w="1907" w:type="dxa"/>
            <w:vMerge/>
            <w:shd w:val="clear" w:color="auto" w:fill="D9E2F3"/>
            <w:vAlign w:val="center"/>
          </w:tcPr>
          <w:p w14:paraId="087766BD" w14:textId="77777777" w:rsidR="00990B14" w:rsidRDefault="00990B14">
            <w:pPr>
              <w:spacing w:before="20" w:after="20"/>
            </w:pPr>
          </w:p>
        </w:tc>
      </w:tr>
      <w:tr w:rsidR="00990B14" w14:paraId="74B4BEFA" w14:textId="77777777">
        <w:trPr>
          <w:cantSplit/>
          <w:jc w:val="center"/>
        </w:trPr>
        <w:tc>
          <w:tcPr>
            <w:tcW w:w="9405" w:type="dxa"/>
            <w:gridSpan w:val="13"/>
            <w:shd w:val="clear" w:color="auto" w:fill="4472C4"/>
            <w:vAlign w:val="center"/>
          </w:tcPr>
          <w:p w14:paraId="765D4F36" w14:textId="77777777" w:rsidR="00990B14" w:rsidRDefault="00000000">
            <w:pPr>
              <w:keepNext/>
              <w:spacing w:before="20" w:after="20"/>
              <w:jc w:val="center"/>
            </w:pPr>
            <w:r>
              <w:rPr>
                <w:b/>
                <w:bCs/>
                <w:i/>
                <w:iCs/>
                <w:color w:val="FFFFFF"/>
                <w:sz w:val="18"/>
                <w:szCs w:val="18"/>
              </w:rPr>
              <w:t>Unidad de Competencia</w:t>
            </w:r>
          </w:p>
        </w:tc>
      </w:tr>
      <w:tr w:rsidR="00990B14" w14:paraId="4EC05AFA" w14:textId="77777777">
        <w:trPr>
          <w:cantSplit/>
          <w:jc w:val="center"/>
        </w:trPr>
        <w:tc>
          <w:tcPr>
            <w:tcW w:w="9405" w:type="dxa"/>
            <w:gridSpan w:val="13"/>
            <w:shd w:val="clear" w:color="auto" w:fill="D9E2F3"/>
            <w:vAlign w:val="center"/>
          </w:tcPr>
          <w:p w14:paraId="550F8078" w14:textId="77777777" w:rsidR="00990B14" w:rsidRDefault="00000000">
            <w:pPr>
              <w:spacing w:before="20" w:after="20"/>
              <w:jc w:val="both"/>
            </w:pPr>
            <w:r>
              <w:rPr>
                <w:sz w:val="18"/>
                <w:szCs w:val="18"/>
              </w:rPr>
              <w:t>Interpreta, analiza y orienta sobre la aplicación de la legislación comercial para la constitución, desarrollo y modificaciones de capital en las entidades constituidas como sociedades comerciales, procesando la transformación, fusión, liquidación y consolidación con sucursales y casa central, estructurando el tratamiento contable del patrimonio para los diferentes tipos de sociedades comerciales en Bolivia y asesorando a organizaciones sin fines de lucro, con precisión, ética profesional y apego a las disposiciones legales vigentes.</w:t>
            </w:r>
          </w:p>
        </w:tc>
      </w:tr>
      <w:tr w:rsidR="00990B14" w14:paraId="73162FEF" w14:textId="77777777">
        <w:trPr>
          <w:cantSplit/>
          <w:jc w:val="center"/>
        </w:trPr>
        <w:tc>
          <w:tcPr>
            <w:tcW w:w="9405" w:type="dxa"/>
            <w:gridSpan w:val="13"/>
            <w:shd w:val="clear" w:color="auto" w:fill="D9E2F3"/>
            <w:vAlign w:val="center"/>
          </w:tcPr>
          <w:p w14:paraId="446F0B6D" w14:textId="77777777" w:rsidR="00990B14" w:rsidRDefault="00000000">
            <w:pPr>
              <w:spacing w:before="20" w:after="20"/>
              <w:jc w:val="both"/>
            </w:pPr>
            <w:r>
              <w:rPr>
                <w:b/>
                <w:bCs/>
                <w:i/>
                <w:iCs/>
                <w:sz w:val="18"/>
                <w:szCs w:val="18"/>
              </w:rPr>
              <w:t xml:space="preserve">Elemento de competencia 1: </w:t>
            </w:r>
            <w:r>
              <w:rPr>
                <w:sz w:val="18"/>
                <w:szCs w:val="18"/>
              </w:rPr>
              <w:t>Clasifica las sociedades comerciales bolivianas y estructura la composición de su patrimonio, registrando la constitución y los aportes de los socios y preparando el estado de evolución del patrimonio, con ética profesional y apego a la normativa vigente.</w:t>
            </w:r>
          </w:p>
        </w:tc>
      </w:tr>
      <w:tr w:rsidR="00990B14" w14:paraId="693CEF4B" w14:textId="77777777">
        <w:trPr>
          <w:cantSplit/>
          <w:jc w:val="center"/>
        </w:trPr>
        <w:tc>
          <w:tcPr>
            <w:tcW w:w="3133" w:type="dxa"/>
            <w:gridSpan w:val="4"/>
            <w:shd w:val="clear" w:color="auto" w:fill="4472C4"/>
            <w:vAlign w:val="center"/>
          </w:tcPr>
          <w:p w14:paraId="3539CDC6"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0597F8C7"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322FA796" w14:textId="77777777" w:rsidR="00990B14" w:rsidRDefault="00000000">
            <w:pPr>
              <w:keepNext/>
              <w:spacing w:before="20" w:after="20"/>
              <w:jc w:val="center"/>
            </w:pPr>
            <w:r>
              <w:rPr>
                <w:b/>
                <w:bCs/>
                <w:i/>
                <w:iCs/>
                <w:color w:val="FFFFFF"/>
                <w:sz w:val="18"/>
                <w:szCs w:val="18"/>
              </w:rPr>
              <w:t>Evidencias de producto</w:t>
            </w:r>
          </w:p>
        </w:tc>
      </w:tr>
      <w:tr w:rsidR="00990B14" w14:paraId="1887ED48" w14:textId="77777777">
        <w:trPr>
          <w:cantSplit/>
          <w:jc w:val="center"/>
        </w:trPr>
        <w:tc>
          <w:tcPr>
            <w:tcW w:w="3133" w:type="dxa"/>
            <w:gridSpan w:val="4"/>
            <w:vMerge w:val="restart"/>
            <w:shd w:val="clear" w:color="auto" w:fill="D9E2F3"/>
            <w:vAlign w:val="center"/>
          </w:tcPr>
          <w:p w14:paraId="61B50D3A" w14:textId="77777777" w:rsidR="00990B14" w:rsidRDefault="00000000">
            <w:pPr>
              <w:spacing w:before="20" w:after="20"/>
              <w:jc w:val="both"/>
            </w:pPr>
            <w:r>
              <w:rPr>
                <w:sz w:val="18"/>
                <w:szCs w:val="18"/>
              </w:rPr>
              <w:t>1. Clasifica las sociedades comerciales bolivianas y los componentes de su patrimonio, registrando su constitución y los aportes de los socios según las normas contables y disposiciones legales vigentes.</w:t>
            </w:r>
          </w:p>
        </w:tc>
        <w:tc>
          <w:tcPr>
            <w:tcW w:w="3135" w:type="dxa"/>
            <w:gridSpan w:val="5"/>
            <w:shd w:val="clear" w:color="auto" w:fill="D9E2F3"/>
            <w:vAlign w:val="center"/>
          </w:tcPr>
          <w:p w14:paraId="79C94302" w14:textId="77777777" w:rsidR="00990B14" w:rsidRDefault="00000000">
            <w:pPr>
              <w:spacing w:before="20" w:after="20"/>
              <w:jc w:val="both"/>
            </w:pPr>
            <w:r>
              <w:rPr>
                <w:sz w:val="18"/>
                <w:szCs w:val="18"/>
              </w:rPr>
              <w:t>1.1 Elabora en equipo un cuadro de las sociedades comerciales por su responsabilidad, su actividad y el origen de su capital.</w:t>
            </w:r>
          </w:p>
        </w:tc>
        <w:tc>
          <w:tcPr>
            <w:tcW w:w="3137" w:type="dxa"/>
            <w:gridSpan w:val="4"/>
            <w:shd w:val="clear" w:color="auto" w:fill="D9E2F3"/>
            <w:vAlign w:val="center"/>
          </w:tcPr>
          <w:p w14:paraId="391C94DE" w14:textId="77777777" w:rsidR="00990B14" w:rsidRDefault="00000000">
            <w:pPr>
              <w:spacing w:before="20" w:after="20"/>
              <w:jc w:val="both"/>
            </w:pPr>
            <w:r>
              <w:rPr>
                <w:b/>
                <w:bCs/>
                <w:sz w:val="18"/>
                <w:szCs w:val="18"/>
              </w:rPr>
              <w:t xml:space="preserve">Producto 1: </w:t>
            </w:r>
            <w:r>
              <w:rPr>
                <w:sz w:val="18"/>
                <w:szCs w:val="18"/>
              </w:rPr>
              <w:t>Cuadro de clasificación de las sociedades comerciales.</w:t>
            </w:r>
          </w:p>
        </w:tc>
      </w:tr>
      <w:tr w:rsidR="00990B14" w14:paraId="53FDA6E2" w14:textId="77777777">
        <w:trPr>
          <w:cantSplit/>
          <w:jc w:val="center"/>
        </w:trPr>
        <w:tc>
          <w:tcPr>
            <w:tcW w:w="3133" w:type="dxa"/>
            <w:gridSpan w:val="4"/>
            <w:vMerge/>
            <w:shd w:val="clear" w:color="auto" w:fill="D9E2F3"/>
            <w:vAlign w:val="center"/>
          </w:tcPr>
          <w:p w14:paraId="31A69476" w14:textId="77777777" w:rsidR="00990B14" w:rsidRDefault="00990B14">
            <w:pPr>
              <w:spacing w:before="20" w:after="20"/>
            </w:pPr>
          </w:p>
        </w:tc>
        <w:tc>
          <w:tcPr>
            <w:tcW w:w="3135" w:type="dxa"/>
            <w:gridSpan w:val="5"/>
            <w:shd w:val="clear" w:color="auto" w:fill="D9E2F3"/>
            <w:vAlign w:val="center"/>
          </w:tcPr>
          <w:p w14:paraId="5E9A3A46" w14:textId="77777777" w:rsidR="00990B14" w:rsidRDefault="00000000">
            <w:pPr>
              <w:spacing w:before="20" w:after="20"/>
              <w:jc w:val="both"/>
            </w:pPr>
            <w:r>
              <w:rPr>
                <w:sz w:val="18"/>
                <w:szCs w:val="18"/>
              </w:rPr>
              <w:t>1.2 Registra en aula la constitución de una sociedad con sus costos de constitución y la clasificación de los aportes como patrimonio o como pasivo.</w:t>
            </w:r>
          </w:p>
        </w:tc>
        <w:tc>
          <w:tcPr>
            <w:tcW w:w="3137" w:type="dxa"/>
            <w:gridSpan w:val="4"/>
            <w:shd w:val="clear" w:color="auto" w:fill="D9E2F3"/>
            <w:vAlign w:val="center"/>
          </w:tcPr>
          <w:p w14:paraId="5DBA6D3D" w14:textId="77777777" w:rsidR="00990B14" w:rsidRDefault="00000000">
            <w:pPr>
              <w:spacing w:before="20" w:after="20"/>
              <w:jc w:val="both"/>
            </w:pPr>
            <w:r>
              <w:rPr>
                <w:b/>
                <w:bCs/>
                <w:sz w:val="18"/>
                <w:szCs w:val="18"/>
              </w:rPr>
              <w:t xml:space="preserve">Producto 2: </w:t>
            </w:r>
            <w:r>
              <w:rPr>
                <w:sz w:val="18"/>
                <w:szCs w:val="18"/>
              </w:rPr>
              <w:t>Comprobante de diario de la constitución de una sociedad.</w:t>
            </w:r>
          </w:p>
        </w:tc>
      </w:tr>
      <w:tr w:rsidR="00990B14" w14:paraId="174FEFED" w14:textId="77777777">
        <w:trPr>
          <w:cantSplit/>
          <w:jc w:val="center"/>
        </w:trPr>
        <w:tc>
          <w:tcPr>
            <w:tcW w:w="3133" w:type="dxa"/>
            <w:gridSpan w:val="4"/>
            <w:vMerge w:val="restart"/>
            <w:shd w:val="clear" w:color="auto" w:fill="D9E2F3"/>
            <w:vAlign w:val="center"/>
          </w:tcPr>
          <w:p w14:paraId="44F81141" w14:textId="77777777" w:rsidR="00990B14" w:rsidRDefault="00000000">
            <w:pPr>
              <w:spacing w:before="20" w:after="20"/>
              <w:jc w:val="both"/>
            </w:pPr>
            <w:r>
              <w:rPr>
                <w:sz w:val="18"/>
                <w:szCs w:val="18"/>
              </w:rPr>
              <w:t>2. Prepara el estado de evolución del patrimonio de una sociedad, revelando las transacciones con los socios y las partes relacionadas.</w:t>
            </w:r>
          </w:p>
        </w:tc>
        <w:tc>
          <w:tcPr>
            <w:tcW w:w="3135" w:type="dxa"/>
            <w:gridSpan w:val="5"/>
            <w:shd w:val="clear" w:color="auto" w:fill="D9E2F3"/>
            <w:vAlign w:val="center"/>
          </w:tcPr>
          <w:p w14:paraId="7BBACCB1" w14:textId="77777777" w:rsidR="00990B14" w:rsidRDefault="00000000">
            <w:pPr>
              <w:spacing w:before="20" w:after="20"/>
              <w:jc w:val="both"/>
            </w:pPr>
            <w:r>
              <w:rPr>
                <w:sz w:val="18"/>
                <w:szCs w:val="18"/>
              </w:rPr>
              <w:t>2.1 Prepara en el laboratorio de cómputo el estado de evolución del patrimonio de una sociedad comercial.</w:t>
            </w:r>
          </w:p>
        </w:tc>
        <w:tc>
          <w:tcPr>
            <w:tcW w:w="3137" w:type="dxa"/>
            <w:gridSpan w:val="4"/>
            <w:shd w:val="clear" w:color="auto" w:fill="D9E2F3"/>
            <w:vAlign w:val="center"/>
          </w:tcPr>
          <w:p w14:paraId="484B9996" w14:textId="77777777" w:rsidR="00990B14" w:rsidRDefault="00000000">
            <w:pPr>
              <w:spacing w:before="20" w:after="20"/>
              <w:jc w:val="both"/>
            </w:pPr>
            <w:r>
              <w:rPr>
                <w:b/>
                <w:bCs/>
                <w:sz w:val="18"/>
                <w:szCs w:val="18"/>
              </w:rPr>
              <w:t xml:space="preserve">Producto 3: </w:t>
            </w:r>
            <w:r>
              <w:rPr>
                <w:sz w:val="18"/>
                <w:szCs w:val="18"/>
              </w:rPr>
              <w:t>Estado de evolución del patrimonio de una sociedad.</w:t>
            </w:r>
          </w:p>
        </w:tc>
      </w:tr>
      <w:tr w:rsidR="00990B14" w14:paraId="63DFE86F" w14:textId="77777777">
        <w:trPr>
          <w:cantSplit/>
          <w:jc w:val="center"/>
        </w:trPr>
        <w:tc>
          <w:tcPr>
            <w:tcW w:w="3133" w:type="dxa"/>
            <w:gridSpan w:val="4"/>
            <w:vMerge/>
            <w:shd w:val="clear" w:color="auto" w:fill="D9E2F3"/>
            <w:vAlign w:val="center"/>
          </w:tcPr>
          <w:p w14:paraId="70B4282B" w14:textId="77777777" w:rsidR="00990B14" w:rsidRDefault="00990B14">
            <w:pPr>
              <w:spacing w:before="20" w:after="20"/>
            </w:pPr>
          </w:p>
        </w:tc>
        <w:tc>
          <w:tcPr>
            <w:tcW w:w="3135" w:type="dxa"/>
            <w:gridSpan w:val="5"/>
            <w:shd w:val="clear" w:color="auto" w:fill="D9E2F3"/>
            <w:vAlign w:val="center"/>
          </w:tcPr>
          <w:p w14:paraId="4A75E7FD" w14:textId="77777777" w:rsidR="00990B14" w:rsidRDefault="00000000">
            <w:pPr>
              <w:spacing w:before="20" w:after="20"/>
              <w:jc w:val="both"/>
            </w:pPr>
            <w:r>
              <w:rPr>
                <w:sz w:val="18"/>
                <w:szCs w:val="18"/>
              </w:rPr>
              <w:t>2.2 Presenta ante el curso la nota de partes relacionadas y de transacciones con los socios de una sociedad comercial.</w:t>
            </w:r>
          </w:p>
        </w:tc>
        <w:tc>
          <w:tcPr>
            <w:tcW w:w="3137" w:type="dxa"/>
            <w:gridSpan w:val="4"/>
            <w:shd w:val="clear" w:color="auto" w:fill="D9E2F3"/>
            <w:vAlign w:val="center"/>
          </w:tcPr>
          <w:p w14:paraId="2851C42E" w14:textId="77777777" w:rsidR="00990B14" w:rsidRDefault="00000000">
            <w:pPr>
              <w:spacing w:before="20" w:after="20"/>
              <w:jc w:val="both"/>
            </w:pPr>
            <w:r>
              <w:rPr>
                <w:b/>
                <w:bCs/>
                <w:sz w:val="18"/>
                <w:szCs w:val="18"/>
              </w:rPr>
              <w:t xml:space="preserve">Producto 4: </w:t>
            </w:r>
            <w:r>
              <w:rPr>
                <w:sz w:val="18"/>
                <w:szCs w:val="18"/>
              </w:rPr>
              <w:t>Nota de partes relacionadas y transacciones con socios.</w:t>
            </w:r>
          </w:p>
        </w:tc>
      </w:tr>
      <w:tr w:rsidR="00990B14" w14:paraId="27CD3F58" w14:textId="77777777">
        <w:trPr>
          <w:cantSplit/>
          <w:jc w:val="center"/>
        </w:trPr>
        <w:tc>
          <w:tcPr>
            <w:tcW w:w="9405" w:type="dxa"/>
            <w:gridSpan w:val="13"/>
            <w:shd w:val="clear" w:color="auto" w:fill="4472C4"/>
            <w:vAlign w:val="center"/>
          </w:tcPr>
          <w:p w14:paraId="1FE4CE5B" w14:textId="77777777" w:rsidR="00990B14" w:rsidRDefault="00000000">
            <w:pPr>
              <w:keepNext/>
              <w:spacing w:before="20" w:after="20"/>
              <w:jc w:val="center"/>
            </w:pPr>
            <w:r>
              <w:rPr>
                <w:b/>
                <w:bCs/>
                <w:i/>
                <w:iCs/>
                <w:color w:val="FFFFFF"/>
                <w:sz w:val="18"/>
                <w:szCs w:val="18"/>
              </w:rPr>
              <w:t>Evidencias de conocimiento</w:t>
            </w:r>
          </w:p>
        </w:tc>
      </w:tr>
      <w:tr w:rsidR="00990B14" w14:paraId="6D64655A" w14:textId="77777777">
        <w:trPr>
          <w:cantSplit/>
          <w:jc w:val="center"/>
        </w:trPr>
        <w:tc>
          <w:tcPr>
            <w:tcW w:w="2349" w:type="dxa"/>
            <w:gridSpan w:val="2"/>
            <w:shd w:val="clear" w:color="auto" w:fill="4472C4"/>
            <w:vAlign w:val="center"/>
          </w:tcPr>
          <w:p w14:paraId="0803D4FC"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160E7C00" w14:textId="77777777" w:rsidR="00990B14" w:rsidRDefault="00000000">
            <w:pPr>
              <w:keepNext/>
              <w:spacing w:before="20" w:after="20"/>
              <w:jc w:val="both"/>
            </w:pPr>
            <w:r>
              <w:rPr>
                <w:b/>
                <w:bCs/>
                <w:i/>
                <w:iCs/>
                <w:color w:val="FFFFFF"/>
                <w:sz w:val="18"/>
                <w:szCs w:val="18"/>
              </w:rPr>
              <w:t>Contenidos</w:t>
            </w:r>
          </w:p>
          <w:p w14:paraId="44B7C52C"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5913F32A" w14:textId="77777777" w:rsidR="00990B14" w:rsidRDefault="00000000">
            <w:pPr>
              <w:keepNext/>
              <w:spacing w:before="20" w:after="20"/>
              <w:jc w:val="center"/>
            </w:pPr>
            <w:r>
              <w:rPr>
                <w:b/>
                <w:bCs/>
                <w:i/>
                <w:iCs/>
                <w:color w:val="FFFFFF"/>
                <w:sz w:val="18"/>
                <w:szCs w:val="18"/>
              </w:rPr>
              <w:t>Conocimientos circunstanciales</w:t>
            </w:r>
          </w:p>
        </w:tc>
      </w:tr>
      <w:tr w:rsidR="00990B14" w14:paraId="7727BF75" w14:textId="77777777">
        <w:trPr>
          <w:jc w:val="center"/>
        </w:trPr>
        <w:tc>
          <w:tcPr>
            <w:tcW w:w="2349" w:type="dxa"/>
            <w:gridSpan w:val="2"/>
            <w:shd w:val="clear" w:color="auto" w:fill="D9E2F3"/>
          </w:tcPr>
          <w:p w14:paraId="3F911865" w14:textId="77777777" w:rsidR="00990B14" w:rsidRDefault="00000000">
            <w:pPr>
              <w:spacing w:before="20" w:after="40"/>
              <w:jc w:val="both"/>
            </w:pPr>
            <w:r>
              <w:rPr>
                <w:sz w:val="18"/>
                <w:szCs w:val="18"/>
              </w:rPr>
              <w:t>Tema 1: Sociedades comerciales</w:t>
            </w:r>
          </w:p>
          <w:p w14:paraId="3C61A758" w14:textId="77777777" w:rsidR="00990B14" w:rsidRDefault="00000000">
            <w:pPr>
              <w:spacing w:before="20" w:after="40"/>
              <w:jc w:val="both"/>
            </w:pPr>
            <w:r>
              <w:rPr>
                <w:sz w:val="18"/>
                <w:szCs w:val="18"/>
              </w:rPr>
              <w:t>Tema 2: Patrimonio</w:t>
            </w:r>
          </w:p>
          <w:p w14:paraId="095DADD8" w14:textId="77777777" w:rsidR="00990B14" w:rsidRDefault="00000000">
            <w:pPr>
              <w:spacing w:before="20" w:after="40"/>
              <w:jc w:val="both"/>
            </w:pPr>
            <w:r>
              <w:rPr>
                <w:sz w:val="18"/>
                <w:szCs w:val="18"/>
              </w:rPr>
              <w:t>Tema 3: Estado de evolución del patrimonio</w:t>
            </w:r>
          </w:p>
        </w:tc>
        <w:tc>
          <w:tcPr>
            <w:tcW w:w="4304" w:type="dxa"/>
            <w:gridSpan w:val="8"/>
            <w:shd w:val="clear" w:color="auto" w:fill="D9E2F3"/>
          </w:tcPr>
          <w:p w14:paraId="69E2E6E5" w14:textId="77777777" w:rsidR="00990B14" w:rsidRDefault="00000000">
            <w:pPr>
              <w:spacing w:after="40"/>
              <w:jc w:val="both"/>
            </w:pPr>
            <w:r>
              <w:rPr>
                <w:sz w:val="18"/>
                <w:szCs w:val="18"/>
              </w:rPr>
              <w:t>Sociedades comerciales: concepto, objetivo, características y clasificación por la naturaleza de sus componentes, las disposiciones legales, la responsabilidad, la actividad, el sector económico y el origen del capital. (C)</w:t>
            </w:r>
          </w:p>
          <w:p w14:paraId="40C0DE92" w14:textId="77777777" w:rsidR="00990B14" w:rsidRDefault="00000000">
            <w:pPr>
              <w:spacing w:after="40"/>
              <w:jc w:val="both"/>
            </w:pPr>
            <w:r>
              <w:rPr>
                <w:sz w:val="18"/>
                <w:szCs w:val="18"/>
              </w:rPr>
              <w:t>Variabilidad del capital y diferencia entre las sociedades comerciales y las organizaciones sin fines de lucro. (C)</w:t>
            </w:r>
          </w:p>
          <w:p w14:paraId="422758C9" w14:textId="77777777" w:rsidR="00990B14" w:rsidRDefault="00000000">
            <w:pPr>
              <w:spacing w:after="40"/>
              <w:jc w:val="both"/>
            </w:pPr>
            <w:r>
              <w:rPr>
                <w:sz w:val="18"/>
                <w:szCs w:val="18"/>
              </w:rPr>
              <w:t>Aspectos contables, jurídicos y administrativos de las sociedades comerciales; procedimiento de constitución, testimonio de constitución, costos de constitución y naturaleza de la cuenta. (C, P)</w:t>
            </w:r>
          </w:p>
          <w:p w14:paraId="7A85F760" w14:textId="77777777" w:rsidR="00990B14" w:rsidRDefault="00000000">
            <w:pPr>
              <w:spacing w:after="40"/>
              <w:jc w:val="both"/>
            </w:pPr>
            <w:r>
              <w:rPr>
                <w:sz w:val="18"/>
                <w:szCs w:val="18"/>
              </w:rPr>
              <w:t>Costos de constitución: reconocimiento como gasto según la NIC 38 y deducción según el artículo 27 del Decreto Supremo N.º 24051. (P)</w:t>
            </w:r>
          </w:p>
          <w:p w14:paraId="00700E59" w14:textId="77777777" w:rsidR="00990B14" w:rsidRDefault="00000000">
            <w:pPr>
              <w:spacing w:after="40"/>
              <w:jc w:val="both"/>
            </w:pPr>
            <w:r>
              <w:rPr>
                <w:sz w:val="18"/>
                <w:szCs w:val="18"/>
              </w:rPr>
              <w:t>Patrimonio: objetivo, características y conformación; capital: objetivo, características, conformación y denominación. (C)</w:t>
            </w:r>
          </w:p>
          <w:p w14:paraId="65E3122B" w14:textId="77777777" w:rsidR="00990B14" w:rsidRDefault="00000000">
            <w:pPr>
              <w:spacing w:after="40"/>
              <w:jc w:val="both"/>
            </w:pPr>
            <w:r>
              <w:rPr>
                <w:sz w:val="18"/>
                <w:szCs w:val="18"/>
              </w:rPr>
              <w:t>Instrumentos de patrimonio y pasivos financieros según la NIC 32: clasificación de los aportes de los socios. (C)</w:t>
            </w:r>
          </w:p>
          <w:p w14:paraId="533CF169" w14:textId="77777777" w:rsidR="00990B14" w:rsidRDefault="00000000">
            <w:pPr>
              <w:spacing w:after="40"/>
              <w:jc w:val="both"/>
            </w:pPr>
            <w:r>
              <w:rPr>
                <w:sz w:val="18"/>
                <w:szCs w:val="18"/>
              </w:rPr>
              <w:t>Reservas: objetivo, características, fuente y resultados favorables; disposiciones legales y técnicas, entre ellas la reserva legal del Código de Comercio; clasificación en jurídicas, estatutarias, voluntarias y por normas de contabilidad. (C, P)</w:t>
            </w:r>
          </w:p>
          <w:p w14:paraId="64061CC3" w14:textId="77777777" w:rsidR="00990B14" w:rsidRDefault="00000000">
            <w:pPr>
              <w:spacing w:after="40"/>
              <w:jc w:val="both"/>
            </w:pPr>
            <w:r>
              <w:rPr>
                <w:sz w:val="18"/>
                <w:szCs w:val="18"/>
              </w:rPr>
              <w:t>Resultados acumulados: objetivo, características, fuente y conformación, con resultados favorables y desfavorables; otras cuentas de patrimonio y cuentas reguladoras de patrimonio. (C)</w:t>
            </w:r>
          </w:p>
          <w:p w14:paraId="598A59F4" w14:textId="77777777" w:rsidR="00990B14" w:rsidRDefault="00000000">
            <w:pPr>
              <w:spacing w:after="40"/>
              <w:jc w:val="both"/>
            </w:pPr>
            <w:r>
              <w:rPr>
                <w:sz w:val="18"/>
                <w:szCs w:val="18"/>
              </w:rPr>
              <w:t>Concepto y mantenimiento del capital financiero y del capital operativo: mantenimiento, valuación y ajuste, con la suspensión vigente del ajuste por inflación, y su diferencia; naturaleza de las cuentas de patrimonio y su tratamiento contable. (C, P)</w:t>
            </w:r>
          </w:p>
          <w:p w14:paraId="2BA9BBCF" w14:textId="77777777" w:rsidR="00990B14" w:rsidRDefault="00000000">
            <w:pPr>
              <w:spacing w:after="40"/>
              <w:jc w:val="both"/>
            </w:pPr>
            <w:r>
              <w:rPr>
                <w:sz w:val="18"/>
                <w:szCs w:val="18"/>
              </w:rPr>
              <w:t>Estado de evolución del patrimonio, o estado de cambios en el patrimonio según la NIC 1: concepto, objetivo, características, exposición y clasificación. (C)</w:t>
            </w:r>
          </w:p>
          <w:p w14:paraId="2996C9B2" w14:textId="77777777" w:rsidR="00990B14" w:rsidRDefault="00000000">
            <w:pPr>
              <w:spacing w:after="40"/>
              <w:jc w:val="both"/>
            </w:pPr>
            <w:r>
              <w:rPr>
                <w:sz w:val="18"/>
                <w:szCs w:val="18"/>
              </w:rPr>
              <w:t>Naturaleza de las cuentas y metodología de preparación del estado de evolución del patrimonio en hoja de cálculo; casos prácticos. (C, P, T)</w:t>
            </w:r>
          </w:p>
          <w:p w14:paraId="18C46ECF" w14:textId="77777777" w:rsidR="00990B14" w:rsidRDefault="00000000">
            <w:pPr>
              <w:spacing w:after="40"/>
              <w:jc w:val="both"/>
            </w:pPr>
            <w:r>
              <w:rPr>
                <w:sz w:val="18"/>
                <w:szCs w:val="18"/>
              </w:rPr>
              <w:t>Revelación de las partes relacionadas y de las transacciones con los socios según la NIC 24. (C)</w:t>
            </w:r>
          </w:p>
        </w:tc>
        <w:tc>
          <w:tcPr>
            <w:tcW w:w="2752" w:type="dxa"/>
            <w:gridSpan w:val="3"/>
            <w:shd w:val="clear" w:color="auto" w:fill="D9E2F3"/>
          </w:tcPr>
          <w:p w14:paraId="42DBB711" w14:textId="77777777" w:rsidR="00990B14" w:rsidRDefault="00000000">
            <w:pPr>
              <w:numPr>
                <w:ilvl w:val="0"/>
                <w:numId w:val="139"/>
              </w:numPr>
              <w:spacing w:before="10" w:after="10"/>
              <w:jc w:val="both"/>
            </w:pPr>
            <w:r>
              <w:rPr>
                <w:sz w:val="18"/>
                <w:szCs w:val="18"/>
              </w:rPr>
              <w:t>Nociones del trámite notarial de la escritura pública de constitución.</w:t>
            </w:r>
          </w:p>
          <w:p w14:paraId="020AE60A" w14:textId="77777777" w:rsidR="00990B14" w:rsidRDefault="00000000">
            <w:pPr>
              <w:numPr>
                <w:ilvl w:val="0"/>
                <w:numId w:val="139"/>
              </w:numPr>
              <w:spacing w:before="10" w:after="10"/>
              <w:jc w:val="both"/>
            </w:pPr>
            <w:r>
              <w:rPr>
                <w:sz w:val="18"/>
                <w:szCs w:val="18"/>
              </w:rPr>
              <w:t>Nociones de la apertura de la cuenta bancaria de una sociedad en formación.</w:t>
            </w:r>
          </w:p>
        </w:tc>
      </w:tr>
      <w:tr w:rsidR="00990B14" w14:paraId="6373D557" w14:textId="77777777">
        <w:trPr>
          <w:cantSplit/>
          <w:jc w:val="center"/>
        </w:trPr>
        <w:tc>
          <w:tcPr>
            <w:tcW w:w="9405" w:type="dxa"/>
            <w:gridSpan w:val="13"/>
            <w:shd w:val="clear" w:color="auto" w:fill="D9E2F3"/>
            <w:vAlign w:val="center"/>
          </w:tcPr>
          <w:p w14:paraId="4AE8E3B1" w14:textId="77777777" w:rsidR="00990B14" w:rsidRDefault="00000000">
            <w:pPr>
              <w:spacing w:before="20" w:after="20"/>
              <w:jc w:val="both"/>
            </w:pPr>
            <w:r>
              <w:rPr>
                <w:b/>
                <w:bCs/>
                <w:i/>
                <w:iCs/>
                <w:sz w:val="18"/>
                <w:szCs w:val="18"/>
              </w:rPr>
              <w:t xml:space="preserve">Elemento de competencia 2: </w:t>
            </w:r>
            <w:r>
              <w:rPr>
                <w:sz w:val="18"/>
                <w:szCs w:val="18"/>
              </w:rPr>
              <w:t>Aplica el tratamiento contable de los aportes de capital, la distribución de resultados y las modificaciones de capital de una sociedad de responsabilidad limitada boliviana, con precisión y apego a la normativa vigente.</w:t>
            </w:r>
          </w:p>
        </w:tc>
      </w:tr>
      <w:tr w:rsidR="00990B14" w14:paraId="24E51E1B" w14:textId="77777777">
        <w:trPr>
          <w:cantSplit/>
          <w:jc w:val="center"/>
        </w:trPr>
        <w:tc>
          <w:tcPr>
            <w:tcW w:w="3133" w:type="dxa"/>
            <w:gridSpan w:val="4"/>
            <w:shd w:val="clear" w:color="auto" w:fill="4472C4"/>
            <w:vAlign w:val="center"/>
          </w:tcPr>
          <w:p w14:paraId="6DCC54DA"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52E01EC3"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7B090A82" w14:textId="77777777" w:rsidR="00990B14" w:rsidRDefault="00000000">
            <w:pPr>
              <w:keepNext/>
              <w:spacing w:before="20" w:after="20"/>
              <w:jc w:val="center"/>
            </w:pPr>
            <w:r>
              <w:rPr>
                <w:b/>
                <w:bCs/>
                <w:i/>
                <w:iCs/>
                <w:color w:val="FFFFFF"/>
                <w:sz w:val="18"/>
                <w:szCs w:val="18"/>
              </w:rPr>
              <w:t>Evidencias de producto</w:t>
            </w:r>
          </w:p>
        </w:tc>
      </w:tr>
      <w:tr w:rsidR="00990B14" w14:paraId="5EA029E6" w14:textId="77777777">
        <w:trPr>
          <w:cantSplit/>
          <w:jc w:val="center"/>
        </w:trPr>
        <w:tc>
          <w:tcPr>
            <w:tcW w:w="3133" w:type="dxa"/>
            <w:gridSpan w:val="4"/>
            <w:vMerge w:val="restart"/>
            <w:shd w:val="clear" w:color="auto" w:fill="D9E2F3"/>
            <w:vAlign w:val="center"/>
          </w:tcPr>
          <w:p w14:paraId="04C0B579" w14:textId="77777777" w:rsidR="00990B14" w:rsidRDefault="00000000">
            <w:pPr>
              <w:spacing w:before="20" w:after="20"/>
              <w:jc w:val="both"/>
            </w:pPr>
            <w:r>
              <w:rPr>
                <w:sz w:val="18"/>
                <w:szCs w:val="18"/>
              </w:rPr>
              <w:t>1. Registra la composición del capital en función de sus cuotas y la distribución de resultados de una sociedad de responsabilidad limitada, y el efecto sobre las cuentas personales de los socios.</w:t>
            </w:r>
          </w:p>
        </w:tc>
        <w:tc>
          <w:tcPr>
            <w:tcW w:w="3135" w:type="dxa"/>
            <w:gridSpan w:val="5"/>
            <w:shd w:val="clear" w:color="auto" w:fill="D9E2F3"/>
            <w:vAlign w:val="center"/>
          </w:tcPr>
          <w:p w14:paraId="6FFE9741" w14:textId="77777777" w:rsidR="00990B14" w:rsidRDefault="00000000">
            <w:pPr>
              <w:spacing w:before="20" w:after="20"/>
              <w:jc w:val="both"/>
            </w:pPr>
            <w:r>
              <w:rPr>
                <w:sz w:val="18"/>
                <w:szCs w:val="18"/>
              </w:rPr>
              <w:t>1.1 Resuelve en aula la constitución y el registro de las cuotas de capital de una sociedad de responsabilidad limitada.</w:t>
            </w:r>
          </w:p>
        </w:tc>
        <w:tc>
          <w:tcPr>
            <w:tcW w:w="3137" w:type="dxa"/>
            <w:gridSpan w:val="4"/>
            <w:shd w:val="clear" w:color="auto" w:fill="D9E2F3"/>
            <w:vAlign w:val="center"/>
          </w:tcPr>
          <w:p w14:paraId="14FD9094" w14:textId="77777777" w:rsidR="00990B14" w:rsidRDefault="00000000">
            <w:pPr>
              <w:spacing w:before="20" w:after="20"/>
              <w:jc w:val="both"/>
            </w:pPr>
            <w:r>
              <w:rPr>
                <w:b/>
                <w:bCs/>
                <w:sz w:val="18"/>
                <w:szCs w:val="18"/>
              </w:rPr>
              <w:t xml:space="preserve">Producto 5: </w:t>
            </w:r>
            <w:r>
              <w:rPr>
                <w:sz w:val="18"/>
                <w:szCs w:val="18"/>
              </w:rPr>
              <w:t>Registro de constitución y de cuotas de capital de una sociedad de responsabilidad limitada.</w:t>
            </w:r>
          </w:p>
        </w:tc>
      </w:tr>
      <w:tr w:rsidR="00990B14" w14:paraId="621A0227" w14:textId="77777777">
        <w:trPr>
          <w:cantSplit/>
          <w:jc w:val="center"/>
        </w:trPr>
        <w:tc>
          <w:tcPr>
            <w:tcW w:w="3133" w:type="dxa"/>
            <w:gridSpan w:val="4"/>
            <w:vMerge/>
            <w:shd w:val="clear" w:color="auto" w:fill="D9E2F3"/>
            <w:vAlign w:val="center"/>
          </w:tcPr>
          <w:p w14:paraId="417435DF" w14:textId="77777777" w:rsidR="00990B14" w:rsidRDefault="00990B14">
            <w:pPr>
              <w:spacing w:before="20" w:after="20"/>
            </w:pPr>
          </w:p>
        </w:tc>
        <w:tc>
          <w:tcPr>
            <w:tcW w:w="3135" w:type="dxa"/>
            <w:gridSpan w:val="5"/>
            <w:shd w:val="clear" w:color="auto" w:fill="D9E2F3"/>
            <w:vAlign w:val="center"/>
          </w:tcPr>
          <w:p w14:paraId="22437345" w14:textId="77777777" w:rsidR="00990B14" w:rsidRDefault="00000000">
            <w:pPr>
              <w:spacing w:before="20" w:after="20"/>
              <w:jc w:val="both"/>
            </w:pPr>
            <w:r>
              <w:rPr>
                <w:sz w:val="18"/>
                <w:szCs w:val="18"/>
              </w:rPr>
              <w:t>1.2 Elabora en el laboratorio de cómputo el estado de distribución de utilidades de un caso.</w:t>
            </w:r>
          </w:p>
        </w:tc>
        <w:tc>
          <w:tcPr>
            <w:tcW w:w="3137" w:type="dxa"/>
            <w:gridSpan w:val="4"/>
            <w:shd w:val="clear" w:color="auto" w:fill="D9E2F3"/>
            <w:vAlign w:val="center"/>
          </w:tcPr>
          <w:p w14:paraId="10A9EDF1" w14:textId="77777777" w:rsidR="00990B14" w:rsidRDefault="00000000">
            <w:pPr>
              <w:spacing w:before="20" w:after="20"/>
              <w:jc w:val="both"/>
            </w:pPr>
            <w:r>
              <w:rPr>
                <w:b/>
                <w:bCs/>
                <w:sz w:val="18"/>
                <w:szCs w:val="18"/>
              </w:rPr>
              <w:t xml:space="preserve">Producto 6: </w:t>
            </w:r>
            <w:r>
              <w:rPr>
                <w:sz w:val="18"/>
                <w:szCs w:val="18"/>
              </w:rPr>
              <w:t>Estado de distribución de utilidades de una sociedad de responsabilidad limitada.</w:t>
            </w:r>
          </w:p>
        </w:tc>
      </w:tr>
      <w:tr w:rsidR="00990B14" w14:paraId="67541461" w14:textId="77777777">
        <w:trPr>
          <w:cantSplit/>
          <w:jc w:val="center"/>
        </w:trPr>
        <w:tc>
          <w:tcPr>
            <w:tcW w:w="3133" w:type="dxa"/>
            <w:gridSpan w:val="4"/>
            <w:vMerge w:val="restart"/>
            <w:shd w:val="clear" w:color="auto" w:fill="D9E2F3"/>
            <w:vAlign w:val="center"/>
          </w:tcPr>
          <w:p w14:paraId="1AD17693" w14:textId="77777777" w:rsidR="00990B14" w:rsidRDefault="00000000">
            <w:pPr>
              <w:spacing w:before="20" w:after="20"/>
              <w:jc w:val="both"/>
            </w:pPr>
            <w:r>
              <w:rPr>
                <w:sz w:val="18"/>
                <w:szCs w:val="18"/>
              </w:rPr>
              <w:t>2. Registra los aumentos, las disminuciones y la cesión de cuotas de capital de una sociedad de responsabilidad limitada, y su efecto en el registro de socios.</w:t>
            </w:r>
          </w:p>
        </w:tc>
        <w:tc>
          <w:tcPr>
            <w:tcW w:w="3135" w:type="dxa"/>
            <w:gridSpan w:val="5"/>
            <w:shd w:val="clear" w:color="auto" w:fill="D9E2F3"/>
            <w:vAlign w:val="center"/>
          </w:tcPr>
          <w:p w14:paraId="70BEA829" w14:textId="77777777" w:rsidR="00990B14" w:rsidRDefault="00000000">
            <w:pPr>
              <w:spacing w:before="20" w:after="20"/>
              <w:jc w:val="both"/>
            </w:pPr>
            <w:r>
              <w:rPr>
                <w:sz w:val="18"/>
                <w:szCs w:val="18"/>
              </w:rPr>
              <w:t>2.1 Registra en equipo un caso de aumento y disminución de capital por nuevos aportes, retiro de socios y deficiencia en activos.</w:t>
            </w:r>
          </w:p>
        </w:tc>
        <w:tc>
          <w:tcPr>
            <w:tcW w:w="3137" w:type="dxa"/>
            <w:gridSpan w:val="4"/>
            <w:shd w:val="clear" w:color="auto" w:fill="D9E2F3"/>
            <w:vAlign w:val="center"/>
          </w:tcPr>
          <w:p w14:paraId="5D462707" w14:textId="77777777" w:rsidR="00990B14" w:rsidRDefault="00000000">
            <w:pPr>
              <w:spacing w:before="20" w:after="20"/>
              <w:jc w:val="both"/>
            </w:pPr>
            <w:r>
              <w:rPr>
                <w:b/>
                <w:bCs/>
                <w:sz w:val="18"/>
                <w:szCs w:val="18"/>
              </w:rPr>
              <w:t xml:space="preserve">Producto 7: </w:t>
            </w:r>
            <w:r>
              <w:rPr>
                <w:sz w:val="18"/>
                <w:szCs w:val="18"/>
              </w:rPr>
              <w:t>Cuadro de aumentos y disminuciones de capital de una sociedad de responsabilidad limitada.</w:t>
            </w:r>
          </w:p>
        </w:tc>
      </w:tr>
      <w:tr w:rsidR="00990B14" w14:paraId="65569477" w14:textId="77777777">
        <w:trPr>
          <w:cantSplit/>
          <w:jc w:val="center"/>
        </w:trPr>
        <w:tc>
          <w:tcPr>
            <w:tcW w:w="3133" w:type="dxa"/>
            <w:gridSpan w:val="4"/>
            <w:vMerge/>
            <w:shd w:val="clear" w:color="auto" w:fill="D9E2F3"/>
            <w:vAlign w:val="center"/>
          </w:tcPr>
          <w:p w14:paraId="1F9EA91A" w14:textId="77777777" w:rsidR="00990B14" w:rsidRDefault="00990B14">
            <w:pPr>
              <w:spacing w:before="20" w:after="20"/>
            </w:pPr>
          </w:p>
        </w:tc>
        <w:tc>
          <w:tcPr>
            <w:tcW w:w="3135" w:type="dxa"/>
            <w:gridSpan w:val="5"/>
            <w:shd w:val="clear" w:color="auto" w:fill="D9E2F3"/>
            <w:vAlign w:val="center"/>
          </w:tcPr>
          <w:p w14:paraId="24CA1873" w14:textId="77777777" w:rsidR="00990B14" w:rsidRDefault="00000000">
            <w:pPr>
              <w:spacing w:before="20" w:after="20"/>
              <w:jc w:val="both"/>
            </w:pPr>
            <w:r>
              <w:rPr>
                <w:sz w:val="18"/>
                <w:szCs w:val="18"/>
              </w:rPr>
              <w:t>2.2 Explica ante el curso la cesión de cuotas al valor igual, mayor y menor y su efecto en las cuentas de los socios.</w:t>
            </w:r>
          </w:p>
        </w:tc>
        <w:tc>
          <w:tcPr>
            <w:tcW w:w="3137" w:type="dxa"/>
            <w:gridSpan w:val="4"/>
            <w:shd w:val="clear" w:color="auto" w:fill="D9E2F3"/>
            <w:vAlign w:val="center"/>
          </w:tcPr>
          <w:p w14:paraId="7818AA9F" w14:textId="77777777" w:rsidR="00990B14" w:rsidRDefault="00000000">
            <w:pPr>
              <w:spacing w:before="20" w:after="20"/>
              <w:jc w:val="both"/>
            </w:pPr>
            <w:r>
              <w:rPr>
                <w:b/>
                <w:bCs/>
                <w:sz w:val="18"/>
                <w:szCs w:val="18"/>
              </w:rPr>
              <w:t xml:space="preserve">Producto 8: </w:t>
            </w:r>
            <w:r>
              <w:rPr>
                <w:sz w:val="18"/>
                <w:szCs w:val="18"/>
              </w:rPr>
              <w:t>Hoja de cesión de cuotas de capital con su registro contable.</w:t>
            </w:r>
          </w:p>
        </w:tc>
      </w:tr>
      <w:tr w:rsidR="00990B14" w14:paraId="6C5340DD" w14:textId="77777777">
        <w:trPr>
          <w:cantSplit/>
          <w:jc w:val="center"/>
        </w:trPr>
        <w:tc>
          <w:tcPr>
            <w:tcW w:w="9405" w:type="dxa"/>
            <w:gridSpan w:val="13"/>
            <w:shd w:val="clear" w:color="auto" w:fill="4472C4"/>
            <w:vAlign w:val="center"/>
          </w:tcPr>
          <w:p w14:paraId="458A7910" w14:textId="77777777" w:rsidR="00990B14" w:rsidRDefault="00000000">
            <w:pPr>
              <w:keepNext/>
              <w:spacing w:before="20" w:after="20"/>
              <w:jc w:val="center"/>
            </w:pPr>
            <w:r>
              <w:rPr>
                <w:b/>
                <w:bCs/>
                <w:i/>
                <w:iCs/>
                <w:color w:val="FFFFFF"/>
                <w:sz w:val="18"/>
                <w:szCs w:val="18"/>
              </w:rPr>
              <w:t>Evidencias de conocimiento</w:t>
            </w:r>
          </w:p>
        </w:tc>
      </w:tr>
      <w:tr w:rsidR="00990B14" w14:paraId="0DF94191" w14:textId="77777777">
        <w:trPr>
          <w:cantSplit/>
          <w:jc w:val="center"/>
        </w:trPr>
        <w:tc>
          <w:tcPr>
            <w:tcW w:w="2349" w:type="dxa"/>
            <w:gridSpan w:val="2"/>
            <w:shd w:val="clear" w:color="auto" w:fill="4472C4"/>
            <w:vAlign w:val="center"/>
          </w:tcPr>
          <w:p w14:paraId="50EC4742"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13769B40" w14:textId="77777777" w:rsidR="00990B14" w:rsidRDefault="00000000">
            <w:pPr>
              <w:keepNext/>
              <w:spacing w:before="20" w:after="20"/>
              <w:jc w:val="both"/>
            </w:pPr>
            <w:r>
              <w:rPr>
                <w:b/>
                <w:bCs/>
                <w:i/>
                <w:iCs/>
                <w:color w:val="FFFFFF"/>
                <w:sz w:val="18"/>
                <w:szCs w:val="18"/>
              </w:rPr>
              <w:t>Contenidos</w:t>
            </w:r>
          </w:p>
          <w:p w14:paraId="482EABC9"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41810713" w14:textId="77777777" w:rsidR="00990B14" w:rsidRDefault="00000000">
            <w:pPr>
              <w:keepNext/>
              <w:spacing w:before="20" w:after="20"/>
              <w:jc w:val="center"/>
            </w:pPr>
            <w:r>
              <w:rPr>
                <w:b/>
                <w:bCs/>
                <w:i/>
                <w:iCs/>
                <w:color w:val="FFFFFF"/>
                <w:sz w:val="18"/>
                <w:szCs w:val="18"/>
              </w:rPr>
              <w:t>Conocimientos circunstanciales</w:t>
            </w:r>
          </w:p>
        </w:tc>
      </w:tr>
      <w:tr w:rsidR="00990B14" w14:paraId="51740D47" w14:textId="77777777">
        <w:trPr>
          <w:jc w:val="center"/>
        </w:trPr>
        <w:tc>
          <w:tcPr>
            <w:tcW w:w="2349" w:type="dxa"/>
            <w:gridSpan w:val="2"/>
            <w:shd w:val="clear" w:color="auto" w:fill="D9E2F3"/>
          </w:tcPr>
          <w:p w14:paraId="2E550D1A" w14:textId="77777777" w:rsidR="00990B14" w:rsidRDefault="00000000">
            <w:pPr>
              <w:spacing w:before="20" w:after="40"/>
              <w:jc w:val="both"/>
            </w:pPr>
            <w:r>
              <w:rPr>
                <w:sz w:val="18"/>
                <w:szCs w:val="18"/>
              </w:rPr>
              <w:t>Tema 4: Sociedades de responsabilidad limitada (parte 1)</w:t>
            </w:r>
          </w:p>
          <w:p w14:paraId="0FE4657B" w14:textId="77777777" w:rsidR="00990B14" w:rsidRDefault="00000000">
            <w:pPr>
              <w:spacing w:before="20" w:after="40"/>
              <w:jc w:val="both"/>
            </w:pPr>
            <w:r>
              <w:rPr>
                <w:sz w:val="18"/>
                <w:szCs w:val="18"/>
              </w:rPr>
              <w:t>Tema 5: Sociedades de responsabilidad limitada (parte 2)</w:t>
            </w:r>
          </w:p>
          <w:p w14:paraId="4815DAA7" w14:textId="77777777" w:rsidR="00990B14" w:rsidRDefault="00000000">
            <w:pPr>
              <w:spacing w:before="20" w:after="40"/>
              <w:jc w:val="both"/>
            </w:pPr>
            <w:r>
              <w:rPr>
                <w:sz w:val="18"/>
                <w:szCs w:val="18"/>
              </w:rPr>
              <w:t>Tema 6: Sociedades de responsabilidad limitada (parte 3)</w:t>
            </w:r>
          </w:p>
        </w:tc>
        <w:tc>
          <w:tcPr>
            <w:tcW w:w="4304" w:type="dxa"/>
            <w:gridSpan w:val="8"/>
            <w:shd w:val="clear" w:color="auto" w:fill="D9E2F3"/>
          </w:tcPr>
          <w:p w14:paraId="097210A3" w14:textId="77777777" w:rsidR="00990B14" w:rsidRDefault="00000000">
            <w:pPr>
              <w:spacing w:after="40"/>
              <w:jc w:val="both"/>
            </w:pPr>
            <w:r>
              <w:rPr>
                <w:sz w:val="18"/>
                <w:szCs w:val="18"/>
              </w:rPr>
              <w:t>Sociedades de responsabilidad limitada: concepto, características, razón social, constitución y derechos, obligaciones y prohibiciones de los socios. (C)</w:t>
            </w:r>
          </w:p>
          <w:p w14:paraId="77F4FA21" w14:textId="77777777" w:rsidR="00990B14" w:rsidRDefault="00000000">
            <w:pPr>
              <w:spacing w:after="40"/>
              <w:jc w:val="both"/>
            </w:pPr>
            <w:r>
              <w:rPr>
                <w:sz w:val="18"/>
                <w:szCs w:val="18"/>
              </w:rPr>
              <w:t>Administración de la sociedad; capital: conformación, cuotas de capital y su clasificación por naturaleza y por el tiempo. (C)</w:t>
            </w:r>
          </w:p>
          <w:p w14:paraId="0C2CB7AE" w14:textId="77777777" w:rsidR="00990B14" w:rsidRDefault="00000000">
            <w:pPr>
              <w:spacing w:after="40"/>
              <w:jc w:val="both"/>
            </w:pPr>
            <w:r>
              <w:rPr>
                <w:sz w:val="18"/>
                <w:szCs w:val="18"/>
              </w:rPr>
              <w:t>Naturaleza de la cuenta y tratamiento contable de la constitución de la sociedad, con su demostración; cuentas personales de los socios, su naturaleza, su tratamiento contable y su demostración. (C, P)</w:t>
            </w:r>
          </w:p>
          <w:p w14:paraId="2A8F5312" w14:textId="77777777" w:rsidR="00990B14" w:rsidRDefault="00000000">
            <w:pPr>
              <w:spacing w:after="40"/>
              <w:jc w:val="both"/>
            </w:pPr>
            <w:r>
              <w:rPr>
                <w:sz w:val="18"/>
                <w:szCs w:val="18"/>
              </w:rPr>
              <w:t>Cuentas personales de los socios y transacciones con partes relacionadas según la NIC 24. (C)</w:t>
            </w:r>
          </w:p>
          <w:p w14:paraId="5772B09B" w14:textId="77777777" w:rsidR="00990B14" w:rsidRDefault="00000000">
            <w:pPr>
              <w:spacing w:after="40"/>
              <w:jc w:val="both"/>
            </w:pPr>
            <w:r>
              <w:rPr>
                <w:sz w:val="18"/>
                <w:szCs w:val="18"/>
              </w:rPr>
              <w:t>Formas de distribución de resultados y elaboración del estado de distribución de utilidades en hoja de cálculo. (P, T)</w:t>
            </w:r>
          </w:p>
          <w:p w14:paraId="65EE06B1" w14:textId="77777777" w:rsidR="00990B14" w:rsidRDefault="00000000">
            <w:pPr>
              <w:spacing w:after="40"/>
              <w:jc w:val="both"/>
            </w:pPr>
            <w:r>
              <w:rPr>
                <w:sz w:val="18"/>
                <w:szCs w:val="18"/>
              </w:rPr>
              <w:t>Aumentos de capital: clasificación por su naturaleza, su participación y la clase de recursos. (C)</w:t>
            </w:r>
          </w:p>
          <w:p w14:paraId="7783B314" w14:textId="77777777" w:rsidR="00990B14" w:rsidRDefault="00000000">
            <w:pPr>
              <w:spacing w:after="40"/>
              <w:jc w:val="both"/>
            </w:pPr>
            <w:r>
              <w:rPr>
                <w:sz w:val="18"/>
                <w:szCs w:val="18"/>
              </w:rPr>
              <w:t>Tratamiento contable y demostración del aumento de capital por nuevos aportes, por incorporación de nuevos socios y por capitalización de reservas o de utilidades. (P)</w:t>
            </w:r>
          </w:p>
          <w:p w14:paraId="1279ECFF" w14:textId="77777777" w:rsidR="00990B14" w:rsidRDefault="00000000">
            <w:pPr>
              <w:spacing w:after="40"/>
              <w:jc w:val="both"/>
            </w:pPr>
            <w:r>
              <w:rPr>
                <w:sz w:val="18"/>
                <w:szCs w:val="18"/>
              </w:rPr>
              <w:t>Transferencia o cesión de cuotas de capital al valor igual, al valor mayor y al valor menor, con el libro de registro de socios y la inscripción de la transferencia en el Registro de Comercio. (P)</w:t>
            </w:r>
          </w:p>
          <w:p w14:paraId="6A85A74F" w14:textId="77777777" w:rsidR="00990B14" w:rsidRDefault="00000000">
            <w:pPr>
              <w:spacing w:after="40"/>
              <w:jc w:val="both"/>
            </w:pPr>
            <w:r>
              <w:rPr>
                <w:sz w:val="18"/>
                <w:szCs w:val="18"/>
              </w:rPr>
              <w:t>Disminuciones de capital: clasificación en voluntaria y obligada; tratamiento contable y demostración de la disminución por acuerdo de socios y por retiro de socios. (C, P)</w:t>
            </w:r>
          </w:p>
          <w:p w14:paraId="24707624" w14:textId="77777777" w:rsidR="00990B14" w:rsidRDefault="00000000">
            <w:pPr>
              <w:spacing w:after="40"/>
              <w:jc w:val="both"/>
            </w:pPr>
            <w:r>
              <w:rPr>
                <w:sz w:val="18"/>
                <w:szCs w:val="18"/>
              </w:rPr>
              <w:t>Disminución obligada de capital por deficiencia en activos, con su tratamiento contable y su demostración; estados financieros de la sociedad de responsabilidad limitada. (P)</w:t>
            </w:r>
          </w:p>
        </w:tc>
        <w:tc>
          <w:tcPr>
            <w:tcW w:w="2752" w:type="dxa"/>
            <w:gridSpan w:val="3"/>
            <w:shd w:val="clear" w:color="auto" w:fill="D9E2F3"/>
          </w:tcPr>
          <w:p w14:paraId="097100E6" w14:textId="77777777" w:rsidR="00990B14" w:rsidRDefault="00000000">
            <w:pPr>
              <w:numPr>
                <w:ilvl w:val="0"/>
                <w:numId w:val="139"/>
              </w:numPr>
              <w:spacing w:before="10" w:after="10"/>
              <w:jc w:val="both"/>
            </w:pPr>
            <w:r>
              <w:rPr>
                <w:sz w:val="18"/>
                <w:szCs w:val="18"/>
              </w:rPr>
              <w:t>Nociones de la redacción de actas de asamblea de socios.</w:t>
            </w:r>
          </w:p>
          <w:p w14:paraId="4F3C2569" w14:textId="77777777" w:rsidR="00990B14" w:rsidRDefault="00000000">
            <w:pPr>
              <w:numPr>
                <w:ilvl w:val="0"/>
                <w:numId w:val="139"/>
              </w:numPr>
              <w:spacing w:before="10" w:after="10"/>
              <w:jc w:val="both"/>
            </w:pPr>
            <w:r>
              <w:rPr>
                <w:sz w:val="18"/>
                <w:szCs w:val="18"/>
              </w:rPr>
              <w:t>Nociones de la negociación del precio de las cuotas de capital entre socios.</w:t>
            </w:r>
          </w:p>
        </w:tc>
      </w:tr>
      <w:tr w:rsidR="00990B14" w14:paraId="4434D38D" w14:textId="77777777">
        <w:trPr>
          <w:cantSplit/>
          <w:jc w:val="center"/>
        </w:trPr>
        <w:tc>
          <w:tcPr>
            <w:tcW w:w="9405" w:type="dxa"/>
            <w:gridSpan w:val="13"/>
            <w:shd w:val="clear" w:color="auto" w:fill="D9E2F3"/>
            <w:vAlign w:val="center"/>
          </w:tcPr>
          <w:p w14:paraId="6C2E385A" w14:textId="77777777" w:rsidR="00990B14" w:rsidRDefault="00000000">
            <w:pPr>
              <w:spacing w:before="20" w:after="20"/>
              <w:jc w:val="both"/>
            </w:pPr>
            <w:r>
              <w:rPr>
                <w:b/>
                <w:bCs/>
                <w:i/>
                <w:iCs/>
                <w:sz w:val="18"/>
                <w:szCs w:val="18"/>
              </w:rPr>
              <w:t xml:space="preserve">Elemento de competencia 3: </w:t>
            </w:r>
            <w:r>
              <w:rPr>
                <w:sz w:val="18"/>
                <w:szCs w:val="18"/>
              </w:rPr>
              <w:t>Aplica el tratamiento contable de los aportes de capital, la distribución de resultados y las modificaciones de capital de una sociedad colectiva boliviana, reconociendo la responsabilidad solidaria e ilimitada de sus socios, con precisión y apego a la normativa vigente.</w:t>
            </w:r>
          </w:p>
        </w:tc>
      </w:tr>
      <w:tr w:rsidR="00990B14" w14:paraId="3CDBD41C" w14:textId="77777777">
        <w:trPr>
          <w:cantSplit/>
          <w:jc w:val="center"/>
        </w:trPr>
        <w:tc>
          <w:tcPr>
            <w:tcW w:w="3133" w:type="dxa"/>
            <w:gridSpan w:val="4"/>
            <w:shd w:val="clear" w:color="auto" w:fill="4472C4"/>
            <w:vAlign w:val="center"/>
          </w:tcPr>
          <w:p w14:paraId="39A48FA1"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7926F14C"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6603DA55" w14:textId="77777777" w:rsidR="00990B14" w:rsidRDefault="00000000">
            <w:pPr>
              <w:keepNext/>
              <w:spacing w:before="20" w:after="20"/>
              <w:jc w:val="center"/>
            </w:pPr>
            <w:r>
              <w:rPr>
                <w:b/>
                <w:bCs/>
                <w:i/>
                <w:iCs/>
                <w:color w:val="FFFFFF"/>
                <w:sz w:val="18"/>
                <w:szCs w:val="18"/>
              </w:rPr>
              <w:t>Evidencias de producto</w:t>
            </w:r>
          </w:p>
        </w:tc>
      </w:tr>
      <w:tr w:rsidR="00990B14" w14:paraId="60051501" w14:textId="77777777">
        <w:trPr>
          <w:cantSplit/>
          <w:jc w:val="center"/>
        </w:trPr>
        <w:tc>
          <w:tcPr>
            <w:tcW w:w="3133" w:type="dxa"/>
            <w:gridSpan w:val="4"/>
            <w:vMerge w:val="restart"/>
            <w:shd w:val="clear" w:color="auto" w:fill="D9E2F3"/>
            <w:vAlign w:val="center"/>
          </w:tcPr>
          <w:p w14:paraId="5864F8DB" w14:textId="77777777" w:rsidR="00990B14" w:rsidRDefault="00000000">
            <w:pPr>
              <w:spacing w:before="20" w:after="20"/>
              <w:jc w:val="both"/>
            </w:pPr>
            <w:r>
              <w:rPr>
                <w:sz w:val="18"/>
                <w:szCs w:val="18"/>
              </w:rPr>
              <w:t>1. Registra los aportes inmediatos, mediatos y mixtos de los socios de una sociedad colectiva, valuando los bienes aportados.</w:t>
            </w:r>
          </w:p>
        </w:tc>
        <w:tc>
          <w:tcPr>
            <w:tcW w:w="3135" w:type="dxa"/>
            <w:gridSpan w:val="5"/>
            <w:shd w:val="clear" w:color="auto" w:fill="D9E2F3"/>
            <w:vAlign w:val="center"/>
          </w:tcPr>
          <w:p w14:paraId="34ABDCB9" w14:textId="77777777" w:rsidR="00990B14" w:rsidRDefault="00000000">
            <w:pPr>
              <w:spacing w:before="20" w:after="20"/>
              <w:jc w:val="both"/>
            </w:pPr>
            <w:r>
              <w:rPr>
                <w:sz w:val="18"/>
                <w:szCs w:val="18"/>
              </w:rPr>
              <w:t>1.1 Resuelve en aula el registro de los aportes inmediatos, mediatos y mixtos de una sociedad colectiva.</w:t>
            </w:r>
          </w:p>
        </w:tc>
        <w:tc>
          <w:tcPr>
            <w:tcW w:w="3137" w:type="dxa"/>
            <w:gridSpan w:val="4"/>
            <w:shd w:val="clear" w:color="auto" w:fill="D9E2F3"/>
            <w:vAlign w:val="center"/>
          </w:tcPr>
          <w:p w14:paraId="403F8604" w14:textId="77777777" w:rsidR="00990B14" w:rsidRDefault="00000000">
            <w:pPr>
              <w:spacing w:before="20" w:after="20"/>
              <w:jc w:val="both"/>
            </w:pPr>
            <w:r>
              <w:rPr>
                <w:b/>
                <w:bCs/>
                <w:sz w:val="18"/>
                <w:szCs w:val="18"/>
              </w:rPr>
              <w:t xml:space="preserve">Producto 9: </w:t>
            </w:r>
            <w:r>
              <w:rPr>
                <w:sz w:val="18"/>
                <w:szCs w:val="18"/>
              </w:rPr>
              <w:t>Registro de aportes de una sociedad colectiva.</w:t>
            </w:r>
          </w:p>
        </w:tc>
      </w:tr>
      <w:tr w:rsidR="00990B14" w14:paraId="2CBFB16A" w14:textId="77777777">
        <w:trPr>
          <w:cantSplit/>
          <w:jc w:val="center"/>
        </w:trPr>
        <w:tc>
          <w:tcPr>
            <w:tcW w:w="3133" w:type="dxa"/>
            <w:gridSpan w:val="4"/>
            <w:vMerge/>
            <w:shd w:val="clear" w:color="auto" w:fill="D9E2F3"/>
            <w:vAlign w:val="center"/>
          </w:tcPr>
          <w:p w14:paraId="3E03A121" w14:textId="77777777" w:rsidR="00990B14" w:rsidRDefault="00990B14">
            <w:pPr>
              <w:spacing w:before="20" w:after="20"/>
            </w:pPr>
          </w:p>
        </w:tc>
        <w:tc>
          <w:tcPr>
            <w:tcW w:w="3135" w:type="dxa"/>
            <w:gridSpan w:val="5"/>
            <w:shd w:val="clear" w:color="auto" w:fill="D9E2F3"/>
            <w:vAlign w:val="center"/>
          </w:tcPr>
          <w:p w14:paraId="2C4939B1" w14:textId="77777777" w:rsidR="00990B14" w:rsidRDefault="00000000">
            <w:pPr>
              <w:spacing w:before="20" w:after="20"/>
              <w:jc w:val="both"/>
            </w:pPr>
            <w:r>
              <w:rPr>
                <w:sz w:val="18"/>
                <w:szCs w:val="18"/>
              </w:rPr>
              <w:t>1.2 Valúa en equipo los bienes en especie aportados por los socios de un caso.</w:t>
            </w:r>
          </w:p>
        </w:tc>
        <w:tc>
          <w:tcPr>
            <w:tcW w:w="3137" w:type="dxa"/>
            <w:gridSpan w:val="4"/>
            <w:shd w:val="clear" w:color="auto" w:fill="D9E2F3"/>
            <w:vAlign w:val="center"/>
          </w:tcPr>
          <w:p w14:paraId="103718D1" w14:textId="77777777" w:rsidR="00990B14" w:rsidRDefault="00000000">
            <w:pPr>
              <w:spacing w:before="20" w:after="20"/>
              <w:jc w:val="both"/>
            </w:pPr>
            <w:r>
              <w:rPr>
                <w:b/>
                <w:bCs/>
                <w:sz w:val="18"/>
                <w:szCs w:val="18"/>
              </w:rPr>
              <w:t xml:space="preserve">Producto 10: </w:t>
            </w:r>
            <w:r>
              <w:rPr>
                <w:sz w:val="18"/>
                <w:szCs w:val="18"/>
              </w:rPr>
              <w:t>Inventario valorado de los aportes en especie.</w:t>
            </w:r>
          </w:p>
        </w:tc>
      </w:tr>
      <w:tr w:rsidR="00990B14" w14:paraId="31EBC5C0" w14:textId="77777777">
        <w:trPr>
          <w:cantSplit/>
          <w:jc w:val="center"/>
        </w:trPr>
        <w:tc>
          <w:tcPr>
            <w:tcW w:w="3133" w:type="dxa"/>
            <w:gridSpan w:val="4"/>
            <w:vMerge w:val="restart"/>
            <w:shd w:val="clear" w:color="auto" w:fill="D9E2F3"/>
            <w:vAlign w:val="center"/>
          </w:tcPr>
          <w:p w14:paraId="5105FEC8" w14:textId="77777777" w:rsidR="00990B14" w:rsidRDefault="00000000">
            <w:pPr>
              <w:spacing w:before="20" w:after="20"/>
              <w:jc w:val="both"/>
            </w:pPr>
            <w:r>
              <w:rPr>
                <w:sz w:val="18"/>
                <w:szCs w:val="18"/>
              </w:rPr>
              <w:t>2. Determina la distribución de resultados y las modificaciones de capital de una sociedad colectiva, reconociendo la responsabilidad solidaria e ilimitada de sus socios.</w:t>
            </w:r>
          </w:p>
        </w:tc>
        <w:tc>
          <w:tcPr>
            <w:tcW w:w="3135" w:type="dxa"/>
            <w:gridSpan w:val="5"/>
            <w:shd w:val="clear" w:color="auto" w:fill="D9E2F3"/>
            <w:vAlign w:val="center"/>
          </w:tcPr>
          <w:p w14:paraId="6E0C1F3D" w14:textId="77777777" w:rsidR="00990B14" w:rsidRDefault="00000000">
            <w:pPr>
              <w:spacing w:before="20" w:after="20"/>
              <w:jc w:val="both"/>
            </w:pPr>
            <w:r>
              <w:rPr>
                <w:sz w:val="18"/>
                <w:szCs w:val="18"/>
              </w:rPr>
              <w:t>2.1 Calcula en el laboratorio de cómputo la distribución de resultados entre los socios de una sociedad colectiva.</w:t>
            </w:r>
          </w:p>
        </w:tc>
        <w:tc>
          <w:tcPr>
            <w:tcW w:w="3137" w:type="dxa"/>
            <w:gridSpan w:val="4"/>
            <w:shd w:val="clear" w:color="auto" w:fill="D9E2F3"/>
            <w:vAlign w:val="center"/>
          </w:tcPr>
          <w:p w14:paraId="6217462B" w14:textId="77777777" w:rsidR="00990B14" w:rsidRDefault="00000000">
            <w:pPr>
              <w:spacing w:before="20" w:after="20"/>
              <w:jc w:val="both"/>
            </w:pPr>
            <w:r>
              <w:rPr>
                <w:b/>
                <w:bCs/>
                <w:sz w:val="18"/>
                <w:szCs w:val="18"/>
              </w:rPr>
              <w:t xml:space="preserve">Producto 11: </w:t>
            </w:r>
            <w:r>
              <w:rPr>
                <w:sz w:val="18"/>
                <w:szCs w:val="18"/>
              </w:rPr>
              <w:t>Cuadro de distribución de resultados entre los socios de una sociedad colectiva.</w:t>
            </w:r>
          </w:p>
        </w:tc>
      </w:tr>
      <w:tr w:rsidR="00990B14" w14:paraId="722F2A8C" w14:textId="77777777">
        <w:trPr>
          <w:cantSplit/>
          <w:jc w:val="center"/>
        </w:trPr>
        <w:tc>
          <w:tcPr>
            <w:tcW w:w="3133" w:type="dxa"/>
            <w:gridSpan w:val="4"/>
            <w:vMerge/>
            <w:shd w:val="clear" w:color="auto" w:fill="D9E2F3"/>
            <w:vAlign w:val="center"/>
          </w:tcPr>
          <w:p w14:paraId="3D0E2055" w14:textId="77777777" w:rsidR="00990B14" w:rsidRDefault="00990B14">
            <w:pPr>
              <w:spacing w:before="20" w:after="20"/>
            </w:pPr>
          </w:p>
        </w:tc>
        <w:tc>
          <w:tcPr>
            <w:tcW w:w="3135" w:type="dxa"/>
            <w:gridSpan w:val="5"/>
            <w:shd w:val="clear" w:color="auto" w:fill="D9E2F3"/>
            <w:vAlign w:val="center"/>
          </w:tcPr>
          <w:p w14:paraId="61FB1E97" w14:textId="77777777" w:rsidR="00990B14" w:rsidRDefault="00000000">
            <w:pPr>
              <w:spacing w:before="20" w:after="20"/>
              <w:jc w:val="both"/>
            </w:pPr>
            <w:r>
              <w:rPr>
                <w:sz w:val="18"/>
                <w:szCs w:val="18"/>
              </w:rPr>
              <w:t>2.2 Analiza ante el curso un caso de aumento de capital, retiro de un socio y deficiencia en activos de una sociedad colectiva.</w:t>
            </w:r>
          </w:p>
        </w:tc>
        <w:tc>
          <w:tcPr>
            <w:tcW w:w="3137" w:type="dxa"/>
            <w:gridSpan w:val="4"/>
            <w:shd w:val="clear" w:color="auto" w:fill="D9E2F3"/>
            <w:vAlign w:val="center"/>
          </w:tcPr>
          <w:p w14:paraId="79D16C28" w14:textId="77777777" w:rsidR="00990B14" w:rsidRDefault="00000000">
            <w:pPr>
              <w:spacing w:before="20" w:after="20"/>
              <w:jc w:val="both"/>
            </w:pPr>
            <w:r>
              <w:rPr>
                <w:b/>
                <w:bCs/>
                <w:sz w:val="18"/>
                <w:szCs w:val="18"/>
              </w:rPr>
              <w:t xml:space="preserve">Producto 12: </w:t>
            </w:r>
            <w:r>
              <w:rPr>
                <w:sz w:val="18"/>
                <w:szCs w:val="18"/>
              </w:rPr>
              <w:t>Informe de modificaciones de capital de una sociedad colectiva.</w:t>
            </w:r>
          </w:p>
        </w:tc>
      </w:tr>
      <w:tr w:rsidR="00990B14" w14:paraId="4E23FE0C" w14:textId="77777777">
        <w:trPr>
          <w:cantSplit/>
          <w:jc w:val="center"/>
        </w:trPr>
        <w:tc>
          <w:tcPr>
            <w:tcW w:w="9405" w:type="dxa"/>
            <w:gridSpan w:val="13"/>
            <w:shd w:val="clear" w:color="auto" w:fill="4472C4"/>
            <w:vAlign w:val="center"/>
          </w:tcPr>
          <w:p w14:paraId="16802BFB" w14:textId="77777777" w:rsidR="00990B14" w:rsidRDefault="00000000">
            <w:pPr>
              <w:keepNext/>
              <w:spacing w:before="20" w:after="20"/>
              <w:jc w:val="center"/>
            </w:pPr>
            <w:r>
              <w:rPr>
                <w:b/>
                <w:bCs/>
                <w:i/>
                <w:iCs/>
                <w:color w:val="FFFFFF"/>
                <w:sz w:val="18"/>
                <w:szCs w:val="18"/>
              </w:rPr>
              <w:t>Evidencias de conocimiento</w:t>
            </w:r>
          </w:p>
        </w:tc>
      </w:tr>
      <w:tr w:rsidR="00990B14" w14:paraId="33311E80" w14:textId="77777777">
        <w:trPr>
          <w:cantSplit/>
          <w:jc w:val="center"/>
        </w:trPr>
        <w:tc>
          <w:tcPr>
            <w:tcW w:w="2349" w:type="dxa"/>
            <w:gridSpan w:val="2"/>
            <w:shd w:val="clear" w:color="auto" w:fill="4472C4"/>
            <w:vAlign w:val="center"/>
          </w:tcPr>
          <w:p w14:paraId="55D5DF3C"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08E1E894" w14:textId="77777777" w:rsidR="00990B14" w:rsidRDefault="00000000">
            <w:pPr>
              <w:keepNext/>
              <w:spacing w:before="20" w:after="20"/>
              <w:jc w:val="both"/>
            </w:pPr>
            <w:r>
              <w:rPr>
                <w:b/>
                <w:bCs/>
                <w:i/>
                <w:iCs/>
                <w:color w:val="FFFFFF"/>
                <w:sz w:val="18"/>
                <w:szCs w:val="18"/>
              </w:rPr>
              <w:t>Contenidos</w:t>
            </w:r>
          </w:p>
          <w:p w14:paraId="5DA418D5"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7B597D84" w14:textId="77777777" w:rsidR="00990B14" w:rsidRDefault="00000000">
            <w:pPr>
              <w:keepNext/>
              <w:spacing w:before="20" w:after="20"/>
              <w:jc w:val="center"/>
            </w:pPr>
            <w:r>
              <w:rPr>
                <w:b/>
                <w:bCs/>
                <w:i/>
                <w:iCs/>
                <w:color w:val="FFFFFF"/>
                <w:sz w:val="18"/>
                <w:szCs w:val="18"/>
              </w:rPr>
              <w:t>Conocimientos circunstanciales</w:t>
            </w:r>
          </w:p>
        </w:tc>
      </w:tr>
      <w:tr w:rsidR="00990B14" w14:paraId="4E76CBAF" w14:textId="77777777">
        <w:trPr>
          <w:jc w:val="center"/>
        </w:trPr>
        <w:tc>
          <w:tcPr>
            <w:tcW w:w="2349" w:type="dxa"/>
            <w:gridSpan w:val="2"/>
            <w:shd w:val="clear" w:color="auto" w:fill="D9E2F3"/>
          </w:tcPr>
          <w:p w14:paraId="7E6BDD8D" w14:textId="77777777" w:rsidR="00990B14" w:rsidRDefault="00000000">
            <w:pPr>
              <w:spacing w:before="20" w:after="40"/>
              <w:jc w:val="both"/>
            </w:pPr>
            <w:r>
              <w:rPr>
                <w:sz w:val="18"/>
                <w:szCs w:val="18"/>
              </w:rPr>
              <w:t>Tema 7: Sociedades colectivas (parte 1)</w:t>
            </w:r>
          </w:p>
          <w:p w14:paraId="0B1F6E40" w14:textId="77777777" w:rsidR="00990B14" w:rsidRDefault="00000000">
            <w:pPr>
              <w:spacing w:before="20" w:after="40"/>
              <w:jc w:val="both"/>
            </w:pPr>
            <w:r>
              <w:rPr>
                <w:sz w:val="18"/>
                <w:szCs w:val="18"/>
              </w:rPr>
              <w:t>Tema 8: Sociedades colectivas (parte 2)</w:t>
            </w:r>
          </w:p>
          <w:p w14:paraId="4FD542D3" w14:textId="77777777" w:rsidR="00990B14" w:rsidRDefault="00000000">
            <w:pPr>
              <w:spacing w:before="20" w:after="40"/>
              <w:jc w:val="both"/>
            </w:pPr>
            <w:r>
              <w:rPr>
                <w:sz w:val="18"/>
                <w:szCs w:val="18"/>
              </w:rPr>
              <w:t>Tema 9: Sociedades colectivas (parte 3)</w:t>
            </w:r>
          </w:p>
        </w:tc>
        <w:tc>
          <w:tcPr>
            <w:tcW w:w="4304" w:type="dxa"/>
            <w:gridSpan w:val="8"/>
            <w:shd w:val="clear" w:color="auto" w:fill="D9E2F3"/>
          </w:tcPr>
          <w:p w14:paraId="43716D9F" w14:textId="77777777" w:rsidR="00990B14" w:rsidRDefault="00000000">
            <w:pPr>
              <w:spacing w:after="40"/>
              <w:jc w:val="both"/>
            </w:pPr>
            <w:r>
              <w:rPr>
                <w:sz w:val="18"/>
                <w:szCs w:val="18"/>
              </w:rPr>
              <w:t>Sociedades colectivas: concepto, características, razón social, constitución y derechos, obligaciones y prohibiciones de los socios. (C)</w:t>
            </w:r>
          </w:p>
          <w:p w14:paraId="718745D9" w14:textId="77777777" w:rsidR="00990B14" w:rsidRDefault="00000000">
            <w:pPr>
              <w:spacing w:after="40"/>
              <w:jc w:val="both"/>
            </w:pPr>
            <w:r>
              <w:rPr>
                <w:sz w:val="18"/>
                <w:szCs w:val="18"/>
              </w:rPr>
              <w:t>Riesgos de la responsabilidad solidaria e ilimitada de los socios para la sociedad y sus acreedores, con transparencia y ética profesional en su revelación. (C, A)</w:t>
            </w:r>
          </w:p>
          <w:p w14:paraId="6D8F94E8" w14:textId="77777777" w:rsidR="00990B14" w:rsidRDefault="00000000">
            <w:pPr>
              <w:spacing w:after="40"/>
              <w:jc w:val="both"/>
            </w:pPr>
            <w:r>
              <w:rPr>
                <w:sz w:val="18"/>
                <w:szCs w:val="18"/>
              </w:rPr>
              <w:t>Administración de la sociedad; capital y su clasificación por naturaleza y por el tiempo. (C)</w:t>
            </w:r>
          </w:p>
          <w:p w14:paraId="38508AE2" w14:textId="77777777" w:rsidR="00990B14" w:rsidRDefault="00000000">
            <w:pPr>
              <w:spacing w:after="40"/>
              <w:jc w:val="both"/>
            </w:pPr>
            <w:r>
              <w:rPr>
                <w:sz w:val="18"/>
                <w:szCs w:val="18"/>
              </w:rPr>
              <w:t>Naturaleza de la cuenta y tratamiento contable de los aportes inmediatos, los aportes mediatos y los aportes mixtos, con su demostración. (C, P)</w:t>
            </w:r>
          </w:p>
          <w:p w14:paraId="04ECCAA9" w14:textId="77777777" w:rsidR="00990B14" w:rsidRDefault="00000000">
            <w:pPr>
              <w:spacing w:after="40"/>
              <w:jc w:val="both"/>
            </w:pPr>
            <w:r>
              <w:rPr>
                <w:sz w:val="18"/>
                <w:szCs w:val="18"/>
              </w:rPr>
              <w:t>Cuentas personales de los socios y formas de distribución de resultados. (C)</w:t>
            </w:r>
          </w:p>
          <w:p w14:paraId="0B275E9C" w14:textId="77777777" w:rsidR="00990B14" w:rsidRDefault="00000000">
            <w:pPr>
              <w:spacing w:after="40"/>
              <w:jc w:val="both"/>
            </w:pPr>
            <w:r>
              <w:rPr>
                <w:sz w:val="18"/>
                <w:szCs w:val="18"/>
              </w:rPr>
              <w:t>Aumentos de capital: clasificación por su naturaleza, el tiempo, la participación y la clase de recursos. (C)</w:t>
            </w:r>
          </w:p>
          <w:p w14:paraId="00653668" w14:textId="77777777" w:rsidR="00990B14" w:rsidRDefault="00000000">
            <w:pPr>
              <w:spacing w:after="40"/>
              <w:jc w:val="both"/>
            </w:pPr>
            <w:r>
              <w:rPr>
                <w:sz w:val="18"/>
                <w:szCs w:val="18"/>
              </w:rPr>
              <w:t>Tratamiento contable y demostración del aumento de capital por nuevos aportes, por incorporación de nuevos socios y por capitalización de reservas o de utilidades. (P)</w:t>
            </w:r>
          </w:p>
          <w:p w14:paraId="45E4DBF1" w14:textId="77777777" w:rsidR="00990B14" w:rsidRDefault="00000000">
            <w:pPr>
              <w:spacing w:after="40"/>
              <w:jc w:val="both"/>
            </w:pPr>
            <w:r>
              <w:rPr>
                <w:sz w:val="18"/>
                <w:szCs w:val="18"/>
              </w:rPr>
              <w:t>Disminuciones de capital: clasificación en voluntaria y obligada; tratamiento contable y demostración de la disminución por acuerdo de socios y por retiro de socios. (C, P)</w:t>
            </w:r>
          </w:p>
          <w:p w14:paraId="77D6942D" w14:textId="77777777" w:rsidR="00990B14" w:rsidRDefault="00000000">
            <w:pPr>
              <w:spacing w:after="40"/>
              <w:jc w:val="both"/>
            </w:pPr>
            <w:r>
              <w:rPr>
                <w:sz w:val="18"/>
                <w:szCs w:val="18"/>
              </w:rPr>
              <w:t>Disminución obligada de capital por deficiencia en activos, con su tratamiento contable y su demostración; estados financieros de la sociedad colectiva. (P)</w:t>
            </w:r>
          </w:p>
        </w:tc>
        <w:tc>
          <w:tcPr>
            <w:tcW w:w="2752" w:type="dxa"/>
            <w:gridSpan w:val="3"/>
            <w:shd w:val="clear" w:color="auto" w:fill="D9E2F3"/>
          </w:tcPr>
          <w:p w14:paraId="7DFF7296" w14:textId="77777777" w:rsidR="00990B14" w:rsidRDefault="00000000">
            <w:pPr>
              <w:numPr>
                <w:ilvl w:val="0"/>
                <w:numId w:val="139"/>
              </w:numPr>
              <w:spacing w:before="10" w:after="10"/>
              <w:jc w:val="both"/>
            </w:pPr>
            <w:r>
              <w:rPr>
                <w:sz w:val="18"/>
                <w:szCs w:val="18"/>
              </w:rPr>
              <w:t>Nociones del avalúo de bienes muebles e inmuebles aportados en especie.</w:t>
            </w:r>
          </w:p>
          <w:p w14:paraId="4BDBE897" w14:textId="77777777" w:rsidR="00990B14" w:rsidRDefault="00000000">
            <w:pPr>
              <w:numPr>
                <w:ilvl w:val="0"/>
                <w:numId w:val="139"/>
              </w:numPr>
              <w:spacing w:before="10" w:after="10"/>
              <w:jc w:val="both"/>
            </w:pPr>
            <w:r>
              <w:rPr>
                <w:sz w:val="18"/>
                <w:szCs w:val="18"/>
              </w:rPr>
              <w:t>Nociones de la transferencia de bienes registrables a nombre de la sociedad.</w:t>
            </w:r>
          </w:p>
        </w:tc>
      </w:tr>
      <w:tr w:rsidR="00990B14" w14:paraId="0CA07784" w14:textId="77777777">
        <w:trPr>
          <w:cantSplit/>
          <w:jc w:val="center"/>
        </w:trPr>
        <w:tc>
          <w:tcPr>
            <w:tcW w:w="9405" w:type="dxa"/>
            <w:gridSpan w:val="13"/>
            <w:shd w:val="clear" w:color="auto" w:fill="D9E2F3"/>
            <w:vAlign w:val="center"/>
          </w:tcPr>
          <w:p w14:paraId="3E70E8D1" w14:textId="77777777" w:rsidR="00990B14" w:rsidRDefault="00000000">
            <w:pPr>
              <w:spacing w:before="20" w:after="20"/>
              <w:jc w:val="both"/>
            </w:pPr>
            <w:r>
              <w:rPr>
                <w:b/>
                <w:bCs/>
                <w:i/>
                <w:iCs/>
                <w:sz w:val="18"/>
                <w:szCs w:val="18"/>
              </w:rPr>
              <w:t xml:space="preserve">Elemento de competencia 4: </w:t>
            </w:r>
            <w:r>
              <w:rPr>
                <w:sz w:val="18"/>
                <w:szCs w:val="18"/>
              </w:rPr>
              <w:t>Aplica el tratamiento contable de la autorización, la emisión, la suscripción y el pago de acciones, del superávit, de los dividendos en sus diferentes clases y de las modificaciones de capital de una sociedad anónima boliviana, con precisión y apego a la normativa vigente.</w:t>
            </w:r>
          </w:p>
        </w:tc>
      </w:tr>
      <w:tr w:rsidR="00990B14" w14:paraId="03D0D53F" w14:textId="77777777">
        <w:trPr>
          <w:cantSplit/>
          <w:jc w:val="center"/>
        </w:trPr>
        <w:tc>
          <w:tcPr>
            <w:tcW w:w="3133" w:type="dxa"/>
            <w:gridSpan w:val="4"/>
            <w:shd w:val="clear" w:color="auto" w:fill="4472C4"/>
            <w:vAlign w:val="center"/>
          </w:tcPr>
          <w:p w14:paraId="0315B16A"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7243D44B"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2F344892" w14:textId="77777777" w:rsidR="00990B14" w:rsidRDefault="00000000">
            <w:pPr>
              <w:keepNext/>
              <w:spacing w:before="20" w:after="20"/>
              <w:jc w:val="center"/>
            </w:pPr>
            <w:r>
              <w:rPr>
                <w:b/>
                <w:bCs/>
                <w:i/>
                <w:iCs/>
                <w:color w:val="FFFFFF"/>
                <w:sz w:val="18"/>
                <w:szCs w:val="18"/>
              </w:rPr>
              <w:t>Evidencias de producto</w:t>
            </w:r>
          </w:p>
        </w:tc>
      </w:tr>
      <w:tr w:rsidR="00990B14" w14:paraId="776FD21A" w14:textId="77777777">
        <w:trPr>
          <w:cantSplit/>
          <w:jc w:val="center"/>
        </w:trPr>
        <w:tc>
          <w:tcPr>
            <w:tcW w:w="3133" w:type="dxa"/>
            <w:gridSpan w:val="4"/>
            <w:vMerge w:val="restart"/>
            <w:shd w:val="clear" w:color="auto" w:fill="D9E2F3"/>
            <w:vAlign w:val="center"/>
          </w:tcPr>
          <w:p w14:paraId="7D917AF2" w14:textId="77777777" w:rsidR="00990B14" w:rsidRDefault="00000000">
            <w:pPr>
              <w:spacing w:before="20" w:after="20"/>
              <w:jc w:val="both"/>
            </w:pPr>
            <w:r>
              <w:rPr>
                <w:sz w:val="18"/>
                <w:szCs w:val="18"/>
              </w:rPr>
              <w:t>1. Registra la autorización, emisión, suscripción y el pago de acciones de una sociedad anónima en sus tres diferentes formas.</w:t>
            </w:r>
          </w:p>
        </w:tc>
        <w:tc>
          <w:tcPr>
            <w:tcW w:w="3135" w:type="dxa"/>
            <w:gridSpan w:val="5"/>
            <w:shd w:val="clear" w:color="auto" w:fill="D9E2F3"/>
            <w:vAlign w:val="center"/>
          </w:tcPr>
          <w:p w14:paraId="5126846F" w14:textId="77777777" w:rsidR="00990B14" w:rsidRDefault="00000000">
            <w:pPr>
              <w:spacing w:before="20" w:after="20"/>
              <w:jc w:val="both"/>
            </w:pPr>
            <w:r>
              <w:rPr>
                <w:sz w:val="18"/>
                <w:szCs w:val="18"/>
              </w:rPr>
              <w:t>1.1 Resuelve en aula la emisión y el pago de varias clases de acciones sobre y bajo el valor nominal.</w:t>
            </w:r>
          </w:p>
        </w:tc>
        <w:tc>
          <w:tcPr>
            <w:tcW w:w="3137" w:type="dxa"/>
            <w:gridSpan w:val="4"/>
            <w:shd w:val="clear" w:color="auto" w:fill="D9E2F3"/>
            <w:vAlign w:val="center"/>
          </w:tcPr>
          <w:p w14:paraId="4DB36D2A" w14:textId="77777777" w:rsidR="00990B14" w:rsidRDefault="00000000">
            <w:pPr>
              <w:spacing w:before="20" w:after="20"/>
              <w:jc w:val="both"/>
            </w:pPr>
            <w:r>
              <w:rPr>
                <w:b/>
                <w:bCs/>
                <w:sz w:val="18"/>
                <w:szCs w:val="18"/>
              </w:rPr>
              <w:t xml:space="preserve">Producto 13: </w:t>
            </w:r>
            <w:r>
              <w:rPr>
                <w:sz w:val="18"/>
                <w:szCs w:val="18"/>
              </w:rPr>
              <w:t>Registro de emisión, suscripción y pago de acciones.</w:t>
            </w:r>
          </w:p>
        </w:tc>
      </w:tr>
      <w:tr w:rsidR="00990B14" w14:paraId="17B19986" w14:textId="77777777">
        <w:trPr>
          <w:cantSplit/>
          <w:jc w:val="center"/>
        </w:trPr>
        <w:tc>
          <w:tcPr>
            <w:tcW w:w="3133" w:type="dxa"/>
            <w:gridSpan w:val="4"/>
            <w:vMerge/>
            <w:shd w:val="clear" w:color="auto" w:fill="D9E2F3"/>
            <w:vAlign w:val="center"/>
          </w:tcPr>
          <w:p w14:paraId="17DC143A" w14:textId="77777777" w:rsidR="00990B14" w:rsidRDefault="00990B14">
            <w:pPr>
              <w:spacing w:before="20" w:after="20"/>
            </w:pPr>
          </w:p>
        </w:tc>
        <w:tc>
          <w:tcPr>
            <w:tcW w:w="3135" w:type="dxa"/>
            <w:gridSpan w:val="5"/>
            <w:shd w:val="clear" w:color="auto" w:fill="D9E2F3"/>
            <w:vAlign w:val="center"/>
          </w:tcPr>
          <w:p w14:paraId="7100B462" w14:textId="77777777" w:rsidR="00990B14" w:rsidRDefault="00000000">
            <w:pPr>
              <w:spacing w:before="20" w:after="20"/>
              <w:jc w:val="both"/>
            </w:pPr>
            <w:r>
              <w:rPr>
                <w:sz w:val="18"/>
                <w:szCs w:val="18"/>
              </w:rPr>
              <w:t>1.2 Analiza en equipo el incumplimiento en el pago de acciones y las acciones propias adjudicadas de un caso.</w:t>
            </w:r>
          </w:p>
        </w:tc>
        <w:tc>
          <w:tcPr>
            <w:tcW w:w="3137" w:type="dxa"/>
            <w:gridSpan w:val="4"/>
            <w:shd w:val="clear" w:color="auto" w:fill="D9E2F3"/>
            <w:vAlign w:val="center"/>
          </w:tcPr>
          <w:p w14:paraId="43150019" w14:textId="77777777" w:rsidR="00990B14" w:rsidRDefault="00000000">
            <w:pPr>
              <w:spacing w:before="20" w:after="20"/>
              <w:jc w:val="both"/>
            </w:pPr>
            <w:r>
              <w:rPr>
                <w:b/>
                <w:bCs/>
                <w:sz w:val="18"/>
                <w:szCs w:val="18"/>
              </w:rPr>
              <w:t xml:space="preserve">Producto 14: </w:t>
            </w:r>
            <w:r>
              <w:rPr>
                <w:sz w:val="18"/>
                <w:szCs w:val="18"/>
              </w:rPr>
              <w:t>Cuadro de incumplimiento en el pago de acciones y de acciones propias.</w:t>
            </w:r>
          </w:p>
        </w:tc>
      </w:tr>
      <w:tr w:rsidR="00990B14" w14:paraId="555FD652" w14:textId="77777777">
        <w:trPr>
          <w:cantSplit/>
          <w:jc w:val="center"/>
        </w:trPr>
        <w:tc>
          <w:tcPr>
            <w:tcW w:w="3133" w:type="dxa"/>
            <w:gridSpan w:val="4"/>
            <w:vMerge w:val="restart"/>
            <w:shd w:val="clear" w:color="auto" w:fill="D9E2F3"/>
            <w:vAlign w:val="center"/>
          </w:tcPr>
          <w:p w14:paraId="135B6660" w14:textId="77777777" w:rsidR="00990B14" w:rsidRDefault="00000000">
            <w:pPr>
              <w:spacing w:before="20" w:after="20"/>
              <w:jc w:val="both"/>
            </w:pPr>
            <w:r>
              <w:rPr>
                <w:sz w:val="18"/>
                <w:szCs w:val="18"/>
              </w:rPr>
              <w:t>2. Determina el tratamiento contable del superávit (ordinario y extraordinario), la distribución de dividendos en sus diferentes clases y las modificaciones de capital de una sociedad anónima.</w:t>
            </w:r>
          </w:p>
        </w:tc>
        <w:tc>
          <w:tcPr>
            <w:tcW w:w="3135" w:type="dxa"/>
            <w:gridSpan w:val="5"/>
            <w:shd w:val="clear" w:color="auto" w:fill="D9E2F3"/>
            <w:vAlign w:val="center"/>
          </w:tcPr>
          <w:p w14:paraId="3473294C" w14:textId="77777777" w:rsidR="00990B14" w:rsidRDefault="00000000">
            <w:pPr>
              <w:spacing w:before="20" w:after="20"/>
              <w:jc w:val="both"/>
            </w:pPr>
            <w:r>
              <w:rPr>
                <w:sz w:val="18"/>
                <w:szCs w:val="18"/>
              </w:rPr>
              <w:t>2.1 Calcula en el laboratorio de cómputo la distribución de dividendos con varias clases de acciones y el valor patrimonial por acción.</w:t>
            </w:r>
          </w:p>
        </w:tc>
        <w:tc>
          <w:tcPr>
            <w:tcW w:w="3137" w:type="dxa"/>
            <w:gridSpan w:val="4"/>
            <w:shd w:val="clear" w:color="auto" w:fill="D9E2F3"/>
            <w:vAlign w:val="center"/>
          </w:tcPr>
          <w:p w14:paraId="410419D5" w14:textId="77777777" w:rsidR="00990B14" w:rsidRDefault="00000000">
            <w:pPr>
              <w:spacing w:before="20" w:after="20"/>
              <w:jc w:val="both"/>
            </w:pPr>
            <w:r>
              <w:rPr>
                <w:b/>
                <w:bCs/>
                <w:sz w:val="18"/>
                <w:szCs w:val="18"/>
              </w:rPr>
              <w:t xml:space="preserve">Producto 15: </w:t>
            </w:r>
            <w:r>
              <w:rPr>
                <w:sz w:val="18"/>
                <w:szCs w:val="18"/>
              </w:rPr>
              <w:t>Cuadro de distribución de dividendos y valor patrimonial por acción.</w:t>
            </w:r>
          </w:p>
        </w:tc>
      </w:tr>
      <w:tr w:rsidR="00990B14" w14:paraId="2EB63F3B" w14:textId="77777777">
        <w:trPr>
          <w:cantSplit/>
          <w:jc w:val="center"/>
        </w:trPr>
        <w:tc>
          <w:tcPr>
            <w:tcW w:w="3133" w:type="dxa"/>
            <w:gridSpan w:val="4"/>
            <w:vMerge/>
            <w:shd w:val="clear" w:color="auto" w:fill="D9E2F3"/>
            <w:vAlign w:val="center"/>
          </w:tcPr>
          <w:p w14:paraId="58ADEEBD" w14:textId="77777777" w:rsidR="00990B14" w:rsidRDefault="00990B14">
            <w:pPr>
              <w:spacing w:before="20" w:after="20"/>
            </w:pPr>
          </w:p>
        </w:tc>
        <w:tc>
          <w:tcPr>
            <w:tcW w:w="3135" w:type="dxa"/>
            <w:gridSpan w:val="5"/>
            <w:shd w:val="clear" w:color="auto" w:fill="D9E2F3"/>
            <w:vAlign w:val="center"/>
          </w:tcPr>
          <w:p w14:paraId="23ACB888" w14:textId="77777777" w:rsidR="00990B14" w:rsidRDefault="00000000">
            <w:pPr>
              <w:spacing w:before="20" w:after="20"/>
              <w:jc w:val="both"/>
            </w:pPr>
            <w:r>
              <w:rPr>
                <w:sz w:val="18"/>
                <w:szCs w:val="18"/>
              </w:rPr>
              <w:t>2.2 Explica ante el curso el registro del superávit y de los aumentos y disminuciones de capital de una sociedad anónima.</w:t>
            </w:r>
          </w:p>
        </w:tc>
        <w:tc>
          <w:tcPr>
            <w:tcW w:w="3137" w:type="dxa"/>
            <w:gridSpan w:val="4"/>
            <w:shd w:val="clear" w:color="auto" w:fill="D9E2F3"/>
            <w:vAlign w:val="center"/>
          </w:tcPr>
          <w:p w14:paraId="342FF427" w14:textId="77777777" w:rsidR="00990B14" w:rsidRDefault="00000000">
            <w:pPr>
              <w:spacing w:before="20" w:after="20"/>
              <w:jc w:val="both"/>
            </w:pPr>
            <w:r>
              <w:rPr>
                <w:b/>
                <w:bCs/>
                <w:sz w:val="18"/>
                <w:szCs w:val="18"/>
              </w:rPr>
              <w:t xml:space="preserve">Producto 16: </w:t>
            </w:r>
            <w:r>
              <w:rPr>
                <w:sz w:val="18"/>
                <w:szCs w:val="18"/>
              </w:rPr>
              <w:t>Informe del superávit y de las modificaciones de capital de una sociedad anónima.</w:t>
            </w:r>
          </w:p>
        </w:tc>
      </w:tr>
      <w:tr w:rsidR="00990B14" w14:paraId="625DCFAE" w14:textId="77777777">
        <w:trPr>
          <w:cantSplit/>
          <w:jc w:val="center"/>
        </w:trPr>
        <w:tc>
          <w:tcPr>
            <w:tcW w:w="9405" w:type="dxa"/>
            <w:gridSpan w:val="13"/>
            <w:shd w:val="clear" w:color="auto" w:fill="4472C4"/>
            <w:vAlign w:val="center"/>
          </w:tcPr>
          <w:p w14:paraId="20A483B7" w14:textId="77777777" w:rsidR="00990B14" w:rsidRDefault="00000000">
            <w:pPr>
              <w:keepNext/>
              <w:spacing w:before="20" w:after="20"/>
              <w:jc w:val="center"/>
            </w:pPr>
            <w:r>
              <w:rPr>
                <w:b/>
                <w:bCs/>
                <w:i/>
                <w:iCs/>
                <w:color w:val="FFFFFF"/>
                <w:sz w:val="18"/>
                <w:szCs w:val="18"/>
              </w:rPr>
              <w:t>Evidencias de conocimiento</w:t>
            </w:r>
          </w:p>
        </w:tc>
      </w:tr>
      <w:tr w:rsidR="00990B14" w14:paraId="23D280F3" w14:textId="77777777">
        <w:trPr>
          <w:cantSplit/>
          <w:jc w:val="center"/>
        </w:trPr>
        <w:tc>
          <w:tcPr>
            <w:tcW w:w="2349" w:type="dxa"/>
            <w:gridSpan w:val="2"/>
            <w:shd w:val="clear" w:color="auto" w:fill="4472C4"/>
            <w:vAlign w:val="center"/>
          </w:tcPr>
          <w:p w14:paraId="43F53C00"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320B9428" w14:textId="77777777" w:rsidR="00990B14" w:rsidRDefault="00000000">
            <w:pPr>
              <w:keepNext/>
              <w:spacing w:before="20" w:after="20"/>
              <w:jc w:val="both"/>
            </w:pPr>
            <w:r>
              <w:rPr>
                <w:b/>
                <w:bCs/>
                <w:i/>
                <w:iCs/>
                <w:color w:val="FFFFFF"/>
                <w:sz w:val="18"/>
                <w:szCs w:val="18"/>
              </w:rPr>
              <w:t>Contenidos</w:t>
            </w:r>
          </w:p>
          <w:p w14:paraId="013F994D"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7FE8DF7B" w14:textId="77777777" w:rsidR="00990B14" w:rsidRDefault="00000000">
            <w:pPr>
              <w:keepNext/>
              <w:spacing w:before="20" w:after="20"/>
              <w:jc w:val="center"/>
            </w:pPr>
            <w:r>
              <w:rPr>
                <w:b/>
                <w:bCs/>
                <w:i/>
                <w:iCs/>
                <w:color w:val="FFFFFF"/>
                <w:sz w:val="18"/>
                <w:szCs w:val="18"/>
              </w:rPr>
              <w:t>Conocimientos circunstanciales</w:t>
            </w:r>
          </w:p>
        </w:tc>
      </w:tr>
      <w:tr w:rsidR="00990B14" w14:paraId="3282D474" w14:textId="77777777">
        <w:trPr>
          <w:jc w:val="center"/>
        </w:trPr>
        <w:tc>
          <w:tcPr>
            <w:tcW w:w="2349" w:type="dxa"/>
            <w:gridSpan w:val="2"/>
            <w:shd w:val="clear" w:color="auto" w:fill="D9E2F3"/>
          </w:tcPr>
          <w:p w14:paraId="5DA9B4AE" w14:textId="77777777" w:rsidR="00990B14" w:rsidRDefault="00000000">
            <w:pPr>
              <w:spacing w:before="20" w:after="40"/>
              <w:jc w:val="both"/>
            </w:pPr>
            <w:r>
              <w:rPr>
                <w:sz w:val="18"/>
                <w:szCs w:val="18"/>
              </w:rPr>
              <w:t>Tema 10: Sociedades anónimas (parte 1)</w:t>
            </w:r>
          </w:p>
          <w:p w14:paraId="52855F36" w14:textId="77777777" w:rsidR="00990B14" w:rsidRDefault="00000000">
            <w:pPr>
              <w:spacing w:before="20" w:after="40"/>
              <w:jc w:val="both"/>
            </w:pPr>
            <w:r>
              <w:rPr>
                <w:sz w:val="18"/>
                <w:szCs w:val="18"/>
              </w:rPr>
              <w:t>Tema 11: Sociedades anónimas (parte 2)</w:t>
            </w:r>
          </w:p>
          <w:p w14:paraId="61A278F3" w14:textId="77777777" w:rsidR="00990B14" w:rsidRDefault="00000000">
            <w:pPr>
              <w:spacing w:before="20" w:after="40"/>
              <w:jc w:val="both"/>
            </w:pPr>
            <w:r>
              <w:rPr>
                <w:sz w:val="18"/>
                <w:szCs w:val="18"/>
              </w:rPr>
              <w:t>Tema 12: Sociedades anónimas (parte 3)</w:t>
            </w:r>
          </w:p>
          <w:p w14:paraId="3106F66B" w14:textId="77777777" w:rsidR="00990B14" w:rsidRDefault="00000000">
            <w:pPr>
              <w:spacing w:before="20" w:after="40"/>
              <w:jc w:val="both"/>
            </w:pPr>
            <w:r>
              <w:rPr>
                <w:sz w:val="18"/>
                <w:szCs w:val="18"/>
              </w:rPr>
              <w:t>Tema 13: Sociedades anónimas (parte 4)</w:t>
            </w:r>
          </w:p>
          <w:p w14:paraId="73282F2D" w14:textId="77777777" w:rsidR="00990B14" w:rsidRDefault="00000000">
            <w:pPr>
              <w:spacing w:before="20" w:after="40"/>
              <w:jc w:val="both"/>
            </w:pPr>
            <w:r>
              <w:rPr>
                <w:sz w:val="18"/>
                <w:szCs w:val="18"/>
              </w:rPr>
              <w:t>Tema 14: Sociedades anónimas (parte 5)</w:t>
            </w:r>
          </w:p>
        </w:tc>
        <w:tc>
          <w:tcPr>
            <w:tcW w:w="4304" w:type="dxa"/>
            <w:gridSpan w:val="8"/>
            <w:shd w:val="clear" w:color="auto" w:fill="D9E2F3"/>
          </w:tcPr>
          <w:p w14:paraId="67A6B60D" w14:textId="77777777" w:rsidR="00990B14" w:rsidRDefault="00000000">
            <w:pPr>
              <w:spacing w:after="40"/>
              <w:jc w:val="both"/>
            </w:pPr>
            <w:r>
              <w:rPr>
                <w:sz w:val="18"/>
                <w:szCs w:val="18"/>
              </w:rPr>
              <w:t>Sociedades anónimas: concepto, características, denominación y constitución por acto único y por suscripción pública de acciones. (C)</w:t>
            </w:r>
          </w:p>
          <w:p w14:paraId="01A2EF5C" w14:textId="77777777" w:rsidR="00990B14" w:rsidRDefault="00000000">
            <w:pPr>
              <w:spacing w:after="40"/>
              <w:jc w:val="both"/>
            </w:pPr>
            <w:r>
              <w:rPr>
                <w:sz w:val="18"/>
                <w:szCs w:val="18"/>
              </w:rPr>
              <w:t>Derechos, obligaciones y prohibiciones de los accionistas; administración por la junta general de accionistas y el directorio. (C)</w:t>
            </w:r>
          </w:p>
          <w:p w14:paraId="62C55FB5" w14:textId="77777777" w:rsidR="00990B14" w:rsidRDefault="00000000">
            <w:pPr>
              <w:spacing w:after="40"/>
              <w:jc w:val="both"/>
            </w:pPr>
            <w:r>
              <w:rPr>
                <w:sz w:val="18"/>
                <w:szCs w:val="18"/>
              </w:rPr>
              <w:t>Capital: denominación y conformación; acciones: requisitos, valor y sus distintos valores. (C)</w:t>
            </w:r>
          </w:p>
          <w:p w14:paraId="48F580F1" w14:textId="77777777" w:rsidR="00990B14" w:rsidRDefault="00000000">
            <w:pPr>
              <w:spacing w:after="40"/>
              <w:jc w:val="both"/>
            </w:pPr>
            <w:r>
              <w:rPr>
                <w:sz w:val="18"/>
                <w:szCs w:val="18"/>
              </w:rPr>
              <w:t>Clasificación de las acciones por su derecho, su valor, su origen, su transferencia y su liberación. (C)</w:t>
            </w:r>
          </w:p>
          <w:p w14:paraId="0D6068DB" w14:textId="77777777" w:rsidR="00990B14" w:rsidRDefault="00000000">
            <w:pPr>
              <w:spacing w:after="40"/>
              <w:jc w:val="both"/>
            </w:pPr>
            <w:r>
              <w:rPr>
                <w:sz w:val="18"/>
                <w:szCs w:val="18"/>
              </w:rPr>
              <w:t>Acciones preferentes con redención obligatoria y su clasificación como pasivo financiero según la NIC 32. (C)</w:t>
            </w:r>
          </w:p>
          <w:p w14:paraId="46A36217" w14:textId="77777777" w:rsidR="00990B14" w:rsidRDefault="00000000">
            <w:pPr>
              <w:spacing w:after="40"/>
              <w:jc w:val="both"/>
            </w:pPr>
            <w:r>
              <w:rPr>
                <w:sz w:val="18"/>
                <w:szCs w:val="18"/>
              </w:rPr>
              <w:t>Tratamiento contable de la autorización, la emisión, la suscripción y el pago de acciones; naturaleza de las cuentas. (C, P)</w:t>
            </w:r>
          </w:p>
          <w:p w14:paraId="04F6DF9B" w14:textId="77777777" w:rsidR="00990B14" w:rsidRDefault="00000000">
            <w:pPr>
              <w:spacing w:after="40"/>
              <w:jc w:val="both"/>
            </w:pPr>
            <w:r>
              <w:rPr>
                <w:sz w:val="18"/>
                <w:szCs w:val="18"/>
              </w:rPr>
              <w:t>Costos de emisión de acciones y su deducción del patrimonio según la NIC 32. (C, P)</w:t>
            </w:r>
          </w:p>
          <w:p w14:paraId="0DECE938" w14:textId="77777777" w:rsidR="00990B14" w:rsidRDefault="00000000">
            <w:pPr>
              <w:spacing w:after="40"/>
              <w:jc w:val="both"/>
            </w:pPr>
            <w:r>
              <w:rPr>
                <w:sz w:val="18"/>
                <w:szCs w:val="18"/>
              </w:rPr>
              <w:t>Formas de contabilización de acciones: forma clásica, forma segunda y forma directa, para una sola clase de acciones, con su demostración. (C, P)</w:t>
            </w:r>
          </w:p>
          <w:p w14:paraId="54BBCDC1" w14:textId="77777777" w:rsidR="00990B14" w:rsidRDefault="00000000">
            <w:pPr>
              <w:spacing w:after="40"/>
              <w:jc w:val="both"/>
            </w:pPr>
            <w:r>
              <w:rPr>
                <w:sz w:val="18"/>
                <w:szCs w:val="18"/>
              </w:rPr>
              <w:t>Contabilización de varias clases de acciones a valor nominal y contabilización de varias clases de acciones a un valor diferente del nominal, con emisión sobre y bajo el valor nominal, y su demostración. (P)</w:t>
            </w:r>
          </w:p>
          <w:p w14:paraId="43D138BC" w14:textId="77777777" w:rsidR="00990B14" w:rsidRDefault="00000000">
            <w:pPr>
              <w:spacing w:after="40"/>
              <w:jc w:val="both"/>
            </w:pPr>
            <w:r>
              <w:rPr>
                <w:sz w:val="18"/>
                <w:szCs w:val="18"/>
              </w:rPr>
              <w:t>Tratamiento contable del incumplimiento en el pago de acciones: recargo de intereses, liberación de acciones por el anticipo y venta de acciones, con su demostración. (P)</w:t>
            </w:r>
          </w:p>
          <w:p w14:paraId="4C7A530C" w14:textId="77777777" w:rsidR="00990B14" w:rsidRDefault="00000000">
            <w:pPr>
              <w:spacing w:after="40"/>
              <w:jc w:val="both"/>
            </w:pPr>
            <w:r>
              <w:rPr>
                <w:sz w:val="18"/>
                <w:szCs w:val="18"/>
              </w:rPr>
              <w:t>Superávit: fuente y clasificación en superávit de explotación y superávit de capital pagado por los accionistas, por terceros y por revalorización técnica, y superávit por revaluación según la NIC 16; tratamiento contable, naturaleza de las cuentas y demostración. (C, P)</w:t>
            </w:r>
          </w:p>
          <w:p w14:paraId="0BD0C988" w14:textId="77777777" w:rsidR="00990B14" w:rsidRDefault="00000000">
            <w:pPr>
              <w:spacing w:after="40"/>
              <w:jc w:val="both"/>
            </w:pPr>
            <w:r>
              <w:rPr>
                <w:sz w:val="18"/>
                <w:szCs w:val="18"/>
              </w:rPr>
              <w:t>Acciones propias adjudicadas: valuación, naturaleza de la cuenta, tratamiento contable y demostración; deducción del patrimonio según la NIC 32. (C, P)</w:t>
            </w:r>
          </w:p>
          <w:p w14:paraId="63D01589" w14:textId="77777777" w:rsidR="00990B14" w:rsidRDefault="00000000">
            <w:pPr>
              <w:spacing w:after="40"/>
              <w:jc w:val="both"/>
            </w:pPr>
            <w:r>
              <w:rPr>
                <w:sz w:val="18"/>
                <w:szCs w:val="18"/>
              </w:rPr>
              <w:t>Dividendos: fuente y clasificación en dividendos que disminuyen la participación patrimonial, en activos y en pasivos, y dividendos que mantienen la participación patrimonial; declaración y restricción de dividendos, con la protección de los accionistas minoritarios. (C, A)</w:t>
            </w:r>
          </w:p>
          <w:p w14:paraId="40D70C46" w14:textId="77777777" w:rsidR="00990B14" w:rsidRDefault="00000000">
            <w:pPr>
              <w:spacing w:after="40"/>
              <w:jc w:val="both"/>
            </w:pPr>
            <w:r>
              <w:rPr>
                <w:sz w:val="18"/>
                <w:szCs w:val="18"/>
              </w:rPr>
              <w:t>Dividendos según la NIC 10: reconocimiento del pasivo en la fecha de declaración y dividendos propuestos después del periodo sobre el que se informa. (C, P)</w:t>
            </w:r>
          </w:p>
          <w:p w14:paraId="14FEBBAA" w14:textId="77777777" w:rsidR="00990B14" w:rsidRDefault="00000000">
            <w:pPr>
              <w:spacing w:after="40"/>
              <w:jc w:val="both"/>
            </w:pPr>
            <w:r>
              <w:rPr>
                <w:sz w:val="18"/>
                <w:szCs w:val="18"/>
              </w:rPr>
              <w:t>Tratamiento contable de los dividendos en efectivo, en mercaderías, en valores negociables, en bonos y en acciones, incluidas las acciones fraccionarias, con su demostración. (P)</w:t>
            </w:r>
          </w:p>
          <w:p w14:paraId="0B722142" w14:textId="77777777" w:rsidR="00990B14" w:rsidRDefault="00000000">
            <w:pPr>
              <w:spacing w:after="40"/>
              <w:jc w:val="both"/>
            </w:pPr>
            <w:r>
              <w:rPr>
                <w:sz w:val="18"/>
                <w:szCs w:val="18"/>
              </w:rPr>
              <w:t>Formas de distribución de dividendos con una clase y con varias clases de acciones; valor patrimonial por acción, en libros o intrínseco, y participación patrimonial por accionista. (C, P, T)</w:t>
            </w:r>
          </w:p>
          <w:p w14:paraId="347292CE" w14:textId="77777777" w:rsidR="00990B14" w:rsidRDefault="00000000">
            <w:pPr>
              <w:spacing w:after="40"/>
              <w:jc w:val="both"/>
            </w:pPr>
            <w:r>
              <w:rPr>
                <w:sz w:val="18"/>
                <w:szCs w:val="18"/>
              </w:rPr>
              <w:t>Aumentos de capital: clasificación por su naturaleza, el tiempo, la participación y la clase de recursos; tratamiento contable y demostración por nuevos aportes, incorporación de nuevos accionistas, capitalización de reservas o de utilidades y canje de obligaciones. (C, P)</w:t>
            </w:r>
          </w:p>
          <w:p w14:paraId="2A76BAA9" w14:textId="77777777" w:rsidR="00990B14" w:rsidRDefault="00000000">
            <w:pPr>
              <w:spacing w:after="40"/>
              <w:jc w:val="both"/>
            </w:pPr>
            <w:r>
              <w:rPr>
                <w:sz w:val="18"/>
                <w:szCs w:val="18"/>
              </w:rPr>
              <w:t>Transferencia o cesión de acciones y control de la titularidad en el registro de accionistas; disminuciones de capital voluntarias y obligadas, con su tratamiento contable y demostración por acuerdo de accionistas, por retiro de accionistas y por disminución obligada. (P)</w:t>
            </w:r>
          </w:p>
          <w:p w14:paraId="27E3A65C" w14:textId="77777777" w:rsidR="00990B14" w:rsidRDefault="00000000">
            <w:pPr>
              <w:spacing w:after="40"/>
              <w:jc w:val="both"/>
            </w:pPr>
            <w:r>
              <w:rPr>
                <w:sz w:val="18"/>
                <w:szCs w:val="18"/>
              </w:rPr>
              <w:t>Estados financieros de la sociedad anónima. (C)</w:t>
            </w:r>
          </w:p>
        </w:tc>
        <w:tc>
          <w:tcPr>
            <w:tcW w:w="2752" w:type="dxa"/>
            <w:gridSpan w:val="3"/>
            <w:shd w:val="clear" w:color="auto" w:fill="D9E2F3"/>
          </w:tcPr>
          <w:p w14:paraId="6371DD67" w14:textId="77777777" w:rsidR="00990B14" w:rsidRDefault="00000000">
            <w:pPr>
              <w:numPr>
                <w:ilvl w:val="0"/>
                <w:numId w:val="139"/>
              </w:numPr>
              <w:spacing w:before="10" w:after="10"/>
              <w:jc w:val="both"/>
            </w:pPr>
            <w:r>
              <w:rPr>
                <w:sz w:val="18"/>
                <w:szCs w:val="18"/>
              </w:rPr>
              <w:t>Nociones del libro de registro de acciones y de la emisión de títulos accionarios.</w:t>
            </w:r>
          </w:p>
          <w:p w14:paraId="2247AB49" w14:textId="77777777" w:rsidR="00990B14" w:rsidRDefault="00000000">
            <w:pPr>
              <w:numPr>
                <w:ilvl w:val="0"/>
                <w:numId w:val="139"/>
              </w:numPr>
              <w:spacing w:before="10" w:after="10"/>
              <w:jc w:val="both"/>
            </w:pPr>
            <w:r>
              <w:rPr>
                <w:sz w:val="18"/>
                <w:szCs w:val="18"/>
              </w:rPr>
              <w:t>Nociones de la redacción de actas de junta de accionistas y de directorio.</w:t>
            </w:r>
          </w:p>
        </w:tc>
      </w:tr>
      <w:tr w:rsidR="00990B14" w14:paraId="5DCD4A9D" w14:textId="77777777">
        <w:trPr>
          <w:cantSplit/>
          <w:jc w:val="center"/>
        </w:trPr>
        <w:tc>
          <w:tcPr>
            <w:tcW w:w="9405" w:type="dxa"/>
            <w:gridSpan w:val="13"/>
            <w:shd w:val="clear" w:color="auto" w:fill="D9E2F3"/>
            <w:vAlign w:val="center"/>
          </w:tcPr>
          <w:p w14:paraId="601D442D" w14:textId="77777777" w:rsidR="00990B14" w:rsidRDefault="00000000">
            <w:pPr>
              <w:spacing w:before="20" w:after="20"/>
              <w:jc w:val="both"/>
            </w:pPr>
            <w:r>
              <w:rPr>
                <w:b/>
                <w:bCs/>
                <w:i/>
                <w:iCs/>
                <w:sz w:val="18"/>
                <w:szCs w:val="18"/>
              </w:rPr>
              <w:t xml:space="preserve">Elemento de competencia 5: </w:t>
            </w:r>
            <w:r>
              <w:rPr>
                <w:sz w:val="18"/>
                <w:szCs w:val="18"/>
              </w:rPr>
              <w:t>Aplica el tratamiento contable de los aportes de capital según las clases de socios colectivos y comanditarios, la distribución de resultados y las modificaciones de capital de las sociedades en comandita simple y por acciones bolivianas, con precisión y apego a la normativa vigente.</w:t>
            </w:r>
          </w:p>
        </w:tc>
      </w:tr>
      <w:tr w:rsidR="00990B14" w14:paraId="61652722" w14:textId="77777777">
        <w:trPr>
          <w:cantSplit/>
          <w:jc w:val="center"/>
        </w:trPr>
        <w:tc>
          <w:tcPr>
            <w:tcW w:w="3133" w:type="dxa"/>
            <w:gridSpan w:val="4"/>
            <w:shd w:val="clear" w:color="auto" w:fill="4472C4"/>
            <w:vAlign w:val="center"/>
          </w:tcPr>
          <w:p w14:paraId="27B441D4"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494E1EDB"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5502A447" w14:textId="77777777" w:rsidR="00990B14" w:rsidRDefault="00000000">
            <w:pPr>
              <w:keepNext/>
              <w:spacing w:before="20" w:after="20"/>
              <w:jc w:val="center"/>
            </w:pPr>
            <w:r>
              <w:rPr>
                <w:b/>
                <w:bCs/>
                <w:i/>
                <w:iCs/>
                <w:color w:val="FFFFFF"/>
                <w:sz w:val="18"/>
                <w:szCs w:val="18"/>
              </w:rPr>
              <w:t>Evidencias de producto</w:t>
            </w:r>
          </w:p>
        </w:tc>
      </w:tr>
      <w:tr w:rsidR="00990B14" w14:paraId="71816052" w14:textId="77777777">
        <w:trPr>
          <w:cantSplit/>
          <w:jc w:val="center"/>
        </w:trPr>
        <w:tc>
          <w:tcPr>
            <w:tcW w:w="3133" w:type="dxa"/>
            <w:gridSpan w:val="4"/>
            <w:vMerge w:val="restart"/>
            <w:shd w:val="clear" w:color="auto" w:fill="D9E2F3"/>
            <w:vAlign w:val="center"/>
          </w:tcPr>
          <w:p w14:paraId="009B4069" w14:textId="77777777" w:rsidR="00990B14" w:rsidRDefault="00000000">
            <w:pPr>
              <w:spacing w:before="20" w:after="20"/>
              <w:jc w:val="both"/>
            </w:pPr>
            <w:r>
              <w:rPr>
                <w:sz w:val="18"/>
                <w:szCs w:val="18"/>
              </w:rPr>
              <w:t>1. Registra la composición del capital en función de las clases de socios (colectivos y comanditarios) y la distribución de resultados de una sociedad en comandita simple y por acciones bolivianas.</w:t>
            </w:r>
          </w:p>
        </w:tc>
        <w:tc>
          <w:tcPr>
            <w:tcW w:w="3135" w:type="dxa"/>
            <w:gridSpan w:val="5"/>
            <w:shd w:val="clear" w:color="auto" w:fill="D9E2F3"/>
            <w:vAlign w:val="center"/>
          </w:tcPr>
          <w:p w14:paraId="5F02B5B0" w14:textId="77777777" w:rsidR="00990B14" w:rsidRDefault="00000000">
            <w:pPr>
              <w:spacing w:before="20" w:after="20"/>
              <w:jc w:val="both"/>
            </w:pPr>
            <w:r>
              <w:rPr>
                <w:sz w:val="18"/>
                <w:szCs w:val="18"/>
              </w:rPr>
              <w:t>1.1 Resuelve en aula el registro de los aportes de una sociedad en comandita simple.</w:t>
            </w:r>
          </w:p>
        </w:tc>
        <w:tc>
          <w:tcPr>
            <w:tcW w:w="3137" w:type="dxa"/>
            <w:gridSpan w:val="4"/>
            <w:shd w:val="clear" w:color="auto" w:fill="D9E2F3"/>
            <w:vAlign w:val="center"/>
          </w:tcPr>
          <w:p w14:paraId="06010DF7" w14:textId="77777777" w:rsidR="00990B14" w:rsidRDefault="00000000">
            <w:pPr>
              <w:spacing w:before="20" w:after="20"/>
              <w:jc w:val="both"/>
            </w:pPr>
            <w:r>
              <w:rPr>
                <w:b/>
                <w:bCs/>
                <w:sz w:val="18"/>
                <w:szCs w:val="18"/>
              </w:rPr>
              <w:t xml:space="preserve">Producto 17: </w:t>
            </w:r>
            <w:r>
              <w:rPr>
                <w:sz w:val="18"/>
                <w:szCs w:val="18"/>
              </w:rPr>
              <w:t>Registro de aportes de una sociedad en comandita simple.</w:t>
            </w:r>
          </w:p>
        </w:tc>
      </w:tr>
      <w:tr w:rsidR="00990B14" w14:paraId="57A0B6AC" w14:textId="77777777">
        <w:trPr>
          <w:cantSplit/>
          <w:jc w:val="center"/>
        </w:trPr>
        <w:tc>
          <w:tcPr>
            <w:tcW w:w="3133" w:type="dxa"/>
            <w:gridSpan w:val="4"/>
            <w:vMerge/>
            <w:shd w:val="clear" w:color="auto" w:fill="D9E2F3"/>
            <w:vAlign w:val="center"/>
          </w:tcPr>
          <w:p w14:paraId="0B590E59" w14:textId="77777777" w:rsidR="00990B14" w:rsidRDefault="00990B14">
            <w:pPr>
              <w:spacing w:before="20" w:after="20"/>
            </w:pPr>
          </w:p>
        </w:tc>
        <w:tc>
          <w:tcPr>
            <w:tcW w:w="3135" w:type="dxa"/>
            <w:gridSpan w:val="5"/>
            <w:shd w:val="clear" w:color="auto" w:fill="D9E2F3"/>
            <w:vAlign w:val="center"/>
          </w:tcPr>
          <w:p w14:paraId="728816D0" w14:textId="77777777" w:rsidR="00990B14" w:rsidRDefault="00000000">
            <w:pPr>
              <w:spacing w:before="20" w:after="20"/>
              <w:jc w:val="both"/>
            </w:pPr>
            <w:r>
              <w:rPr>
                <w:sz w:val="18"/>
                <w:szCs w:val="18"/>
              </w:rPr>
              <w:t>1.2 Compara en equipo los derechos, las obligaciones y la responsabilidad de los socios comanditados y comanditarios.</w:t>
            </w:r>
          </w:p>
        </w:tc>
        <w:tc>
          <w:tcPr>
            <w:tcW w:w="3137" w:type="dxa"/>
            <w:gridSpan w:val="4"/>
            <w:shd w:val="clear" w:color="auto" w:fill="D9E2F3"/>
            <w:vAlign w:val="center"/>
          </w:tcPr>
          <w:p w14:paraId="69E02963" w14:textId="77777777" w:rsidR="00990B14" w:rsidRDefault="00000000">
            <w:pPr>
              <w:spacing w:before="20" w:after="20"/>
              <w:jc w:val="both"/>
            </w:pPr>
            <w:r>
              <w:rPr>
                <w:b/>
                <w:bCs/>
                <w:sz w:val="18"/>
                <w:szCs w:val="18"/>
              </w:rPr>
              <w:t xml:space="preserve">Producto 18: </w:t>
            </w:r>
            <w:r>
              <w:rPr>
                <w:sz w:val="18"/>
                <w:szCs w:val="18"/>
              </w:rPr>
              <w:t>Cuadro comparativo de socios comanditados y comanditarios.</w:t>
            </w:r>
          </w:p>
        </w:tc>
      </w:tr>
      <w:tr w:rsidR="00990B14" w14:paraId="4B08EFAA" w14:textId="77777777">
        <w:trPr>
          <w:cantSplit/>
          <w:jc w:val="center"/>
        </w:trPr>
        <w:tc>
          <w:tcPr>
            <w:tcW w:w="3133" w:type="dxa"/>
            <w:gridSpan w:val="4"/>
            <w:vMerge w:val="restart"/>
            <w:shd w:val="clear" w:color="auto" w:fill="D9E2F3"/>
            <w:vAlign w:val="center"/>
          </w:tcPr>
          <w:p w14:paraId="4B8CBA0D" w14:textId="77777777" w:rsidR="00990B14" w:rsidRDefault="00000000">
            <w:pPr>
              <w:spacing w:before="20" w:after="20"/>
              <w:jc w:val="both"/>
            </w:pPr>
            <w:r>
              <w:rPr>
                <w:sz w:val="18"/>
                <w:szCs w:val="18"/>
              </w:rPr>
              <w:t>2. Registra los aumentos y las disminuciones de capital y la transferencia de participaciones de capital de una sociedad en comandita simple y por acciones bolivianas.</w:t>
            </w:r>
          </w:p>
        </w:tc>
        <w:tc>
          <w:tcPr>
            <w:tcW w:w="3135" w:type="dxa"/>
            <w:gridSpan w:val="5"/>
            <w:shd w:val="clear" w:color="auto" w:fill="D9E2F3"/>
            <w:vAlign w:val="center"/>
          </w:tcPr>
          <w:p w14:paraId="70CA6F31" w14:textId="77777777" w:rsidR="00990B14" w:rsidRDefault="00000000">
            <w:pPr>
              <w:spacing w:before="20" w:after="20"/>
              <w:jc w:val="both"/>
            </w:pPr>
            <w:r>
              <w:rPr>
                <w:sz w:val="18"/>
                <w:szCs w:val="18"/>
              </w:rPr>
              <w:t>2.1 Registra en el laboratorio de cómputo el aumento y la disminución de capital de una sociedad en comandita por acciones.</w:t>
            </w:r>
          </w:p>
        </w:tc>
        <w:tc>
          <w:tcPr>
            <w:tcW w:w="3137" w:type="dxa"/>
            <w:gridSpan w:val="4"/>
            <w:shd w:val="clear" w:color="auto" w:fill="D9E2F3"/>
            <w:vAlign w:val="center"/>
          </w:tcPr>
          <w:p w14:paraId="2118AF47" w14:textId="77777777" w:rsidR="00990B14" w:rsidRDefault="00000000">
            <w:pPr>
              <w:spacing w:before="20" w:after="20"/>
              <w:jc w:val="both"/>
            </w:pPr>
            <w:r>
              <w:rPr>
                <w:b/>
                <w:bCs/>
                <w:sz w:val="18"/>
                <w:szCs w:val="18"/>
              </w:rPr>
              <w:t xml:space="preserve">Producto 19: </w:t>
            </w:r>
            <w:r>
              <w:rPr>
                <w:sz w:val="18"/>
                <w:szCs w:val="18"/>
              </w:rPr>
              <w:t>Cuadro de modificaciones de capital de una sociedad en comandita por acciones.</w:t>
            </w:r>
          </w:p>
        </w:tc>
      </w:tr>
      <w:tr w:rsidR="00990B14" w14:paraId="3939E699" w14:textId="77777777">
        <w:trPr>
          <w:cantSplit/>
          <w:jc w:val="center"/>
        </w:trPr>
        <w:tc>
          <w:tcPr>
            <w:tcW w:w="3133" w:type="dxa"/>
            <w:gridSpan w:val="4"/>
            <w:vMerge/>
            <w:shd w:val="clear" w:color="auto" w:fill="D9E2F3"/>
            <w:vAlign w:val="center"/>
          </w:tcPr>
          <w:p w14:paraId="30DF216E" w14:textId="77777777" w:rsidR="00990B14" w:rsidRDefault="00990B14">
            <w:pPr>
              <w:spacing w:before="20" w:after="20"/>
            </w:pPr>
          </w:p>
        </w:tc>
        <w:tc>
          <w:tcPr>
            <w:tcW w:w="3135" w:type="dxa"/>
            <w:gridSpan w:val="5"/>
            <w:shd w:val="clear" w:color="auto" w:fill="D9E2F3"/>
            <w:vAlign w:val="center"/>
          </w:tcPr>
          <w:p w14:paraId="7B12362D" w14:textId="77777777" w:rsidR="00990B14" w:rsidRDefault="00000000">
            <w:pPr>
              <w:spacing w:before="20" w:after="20"/>
              <w:jc w:val="both"/>
            </w:pPr>
            <w:r>
              <w:rPr>
                <w:sz w:val="18"/>
                <w:szCs w:val="18"/>
              </w:rPr>
              <w:t>2.2 Explica ante el curso la distribución de resultados entre socios comanditados y comanditarios de un caso.</w:t>
            </w:r>
          </w:p>
        </w:tc>
        <w:tc>
          <w:tcPr>
            <w:tcW w:w="3137" w:type="dxa"/>
            <w:gridSpan w:val="4"/>
            <w:shd w:val="clear" w:color="auto" w:fill="D9E2F3"/>
            <w:vAlign w:val="center"/>
          </w:tcPr>
          <w:p w14:paraId="04B5458D" w14:textId="77777777" w:rsidR="00990B14" w:rsidRDefault="00000000">
            <w:pPr>
              <w:spacing w:before="20" w:after="20"/>
              <w:jc w:val="both"/>
            </w:pPr>
            <w:r>
              <w:rPr>
                <w:b/>
                <w:bCs/>
                <w:sz w:val="18"/>
                <w:szCs w:val="18"/>
              </w:rPr>
              <w:t xml:space="preserve">Producto 20: </w:t>
            </w:r>
            <w:r>
              <w:rPr>
                <w:sz w:val="18"/>
                <w:szCs w:val="18"/>
              </w:rPr>
              <w:t>Informe de distribución de resultados de una sociedad en comandita.</w:t>
            </w:r>
          </w:p>
        </w:tc>
      </w:tr>
      <w:tr w:rsidR="00990B14" w14:paraId="0DB9041C" w14:textId="77777777">
        <w:trPr>
          <w:cantSplit/>
          <w:jc w:val="center"/>
        </w:trPr>
        <w:tc>
          <w:tcPr>
            <w:tcW w:w="9405" w:type="dxa"/>
            <w:gridSpan w:val="13"/>
            <w:shd w:val="clear" w:color="auto" w:fill="4472C4"/>
            <w:vAlign w:val="center"/>
          </w:tcPr>
          <w:p w14:paraId="7D505425" w14:textId="77777777" w:rsidR="00990B14" w:rsidRDefault="00000000">
            <w:pPr>
              <w:keepNext/>
              <w:spacing w:before="20" w:after="20"/>
              <w:jc w:val="center"/>
            </w:pPr>
            <w:r>
              <w:rPr>
                <w:b/>
                <w:bCs/>
                <w:i/>
                <w:iCs/>
                <w:color w:val="FFFFFF"/>
                <w:sz w:val="18"/>
                <w:szCs w:val="18"/>
              </w:rPr>
              <w:t>Evidencias de conocimiento</w:t>
            </w:r>
          </w:p>
        </w:tc>
      </w:tr>
      <w:tr w:rsidR="00990B14" w14:paraId="796F3488" w14:textId="77777777">
        <w:trPr>
          <w:cantSplit/>
          <w:jc w:val="center"/>
        </w:trPr>
        <w:tc>
          <w:tcPr>
            <w:tcW w:w="2349" w:type="dxa"/>
            <w:gridSpan w:val="2"/>
            <w:shd w:val="clear" w:color="auto" w:fill="4472C4"/>
            <w:vAlign w:val="center"/>
          </w:tcPr>
          <w:p w14:paraId="0DDF529C"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4B70D322" w14:textId="77777777" w:rsidR="00990B14" w:rsidRDefault="00000000">
            <w:pPr>
              <w:keepNext/>
              <w:spacing w:before="20" w:after="20"/>
              <w:jc w:val="both"/>
            </w:pPr>
            <w:r>
              <w:rPr>
                <w:b/>
                <w:bCs/>
                <w:i/>
                <w:iCs/>
                <w:color w:val="FFFFFF"/>
                <w:sz w:val="18"/>
                <w:szCs w:val="18"/>
              </w:rPr>
              <w:t>Contenidos</w:t>
            </w:r>
          </w:p>
          <w:p w14:paraId="42609C7D"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0F6038C9" w14:textId="77777777" w:rsidR="00990B14" w:rsidRDefault="00000000">
            <w:pPr>
              <w:keepNext/>
              <w:spacing w:before="20" w:after="20"/>
              <w:jc w:val="center"/>
            </w:pPr>
            <w:r>
              <w:rPr>
                <w:b/>
                <w:bCs/>
                <w:i/>
                <w:iCs/>
                <w:color w:val="FFFFFF"/>
                <w:sz w:val="18"/>
                <w:szCs w:val="18"/>
              </w:rPr>
              <w:t>Conocimientos circunstanciales</w:t>
            </w:r>
          </w:p>
        </w:tc>
      </w:tr>
      <w:tr w:rsidR="00990B14" w14:paraId="5A4934F5" w14:textId="77777777">
        <w:trPr>
          <w:jc w:val="center"/>
        </w:trPr>
        <w:tc>
          <w:tcPr>
            <w:tcW w:w="2349" w:type="dxa"/>
            <w:gridSpan w:val="2"/>
            <w:shd w:val="clear" w:color="auto" w:fill="D9E2F3"/>
          </w:tcPr>
          <w:p w14:paraId="3A3F4A7B" w14:textId="77777777" w:rsidR="00990B14" w:rsidRDefault="00000000">
            <w:pPr>
              <w:spacing w:before="20" w:after="40"/>
              <w:jc w:val="both"/>
            </w:pPr>
            <w:r>
              <w:rPr>
                <w:sz w:val="18"/>
                <w:szCs w:val="18"/>
              </w:rPr>
              <w:t>Tema 15: Sociedades en comandita simple (parte 1)</w:t>
            </w:r>
          </w:p>
          <w:p w14:paraId="29191AF0" w14:textId="77777777" w:rsidR="00990B14" w:rsidRDefault="00000000">
            <w:pPr>
              <w:spacing w:before="20" w:after="40"/>
              <w:jc w:val="both"/>
            </w:pPr>
            <w:r>
              <w:rPr>
                <w:sz w:val="18"/>
                <w:szCs w:val="18"/>
              </w:rPr>
              <w:t>Tema 16: Sociedades en comandita simple (parte 2)</w:t>
            </w:r>
          </w:p>
          <w:p w14:paraId="432B4340" w14:textId="77777777" w:rsidR="00990B14" w:rsidRDefault="00000000">
            <w:pPr>
              <w:spacing w:before="20" w:after="40"/>
              <w:jc w:val="both"/>
            </w:pPr>
            <w:r>
              <w:rPr>
                <w:sz w:val="18"/>
                <w:szCs w:val="18"/>
              </w:rPr>
              <w:t>Tema 17: Sociedades en comandita por acciones (parte 1)</w:t>
            </w:r>
          </w:p>
          <w:p w14:paraId="6DBFD4D3" w14:textId="77777777" w:rsidR="00990B14" w:rsidRDefault="00000000">
            <w:pPr>
              <w:spacing w:before="20" w:after="40"/>
              <w:jc w:val="both"/>
            </w:pPr>
            <w:r>
              <w:rPr>
                <w:sz w:val="18"/>
                <w:szCs w:val="18"/>
              </w:rPr>
              <w:t>Tema 18: Sociedades en comandita por acciones (parte 2)</w:t>
            </w:r>
          </w:p>
        </w:tc>
        <w:tc>
          <w:tcPr>
            <w:tcW w:w="4304" w:type="dxa"/>
            <w:gridSpan w:val="8"/>
            <w:shd w:val="clear" w:color="auto" w:fill="D9E2F3"/>
          </w:tcPr>
          <w:p w14:paraId="7354960A" w14:textId="77777777" w:rsidR="00990B14" w:rsidRDefault="00000000">
            <w:pPr>
              <w:spacing w:after="40"/>
              <w:jc w:val="both"/>
            </w:pPr>
            <w:r>
              <w:rPr>
                <w:sz w:val="18"/>
                <w:szCs w:val="18"/>
              </w:rPr>
              <w:t>Sociedad en comandita simple: introducción, concepto, características, razón social, constitución y derechos, obligaciones y prohibiciones de los socios. (C)</w:t>
            </w:r>
          </w:p>
          <w:p w14:paraId="0F0CF359" w14:textId="77777777" w:rsidR="00990B14" w:rsidRDefault="00000000">
            <w:pPr>
              <w:spacing w:after="40"/>
              <w:jc w:val="both"/>
            </w:pPr>
            <w:r>
              <w:rPr>
                <w:sz w:val="18"/>
                <w:szCs w:val="18"/>
              </w:rPr>
              <w:t>Responsabilidad ilimitada de los socios comanditados y limitada de los comanditarios, y su efecto en el riesgo que asume cada socio. (C, A)</w:t>
            </w:r>
          </w:p>
          <w:p w14:paraId="7EE05E97" w14:textId="77777777" w:rsidR="00990B14" w:rsidRDefault="00000000">
            <w:pPr>
              <w:spacing w:after="40"/>
              <w:jc w:val="both"/>
            </w:pPr>
            <w:r>
              <w:rPr>
                <w:sz w:val="18"/>
                <w:szCs w:val="18"/>
              </w:rPr>
              <w:t>Administración de la sociedad en comandita simple; capital y su clasificación por naturaleza y por el tiempo. (C)</w:t>
            </w:r>
          </w:p>
          <w:p w14:paraId="0099CF14" w14:textId="77777777" w:rsidR="00990B14" w:rsidRDefault="00000000">
            <w:pPr>
              <w:spacing w:after="40"/>
              <w:jc w:val="both"/>
            </w:pPr>
            <w:r>
              <w:rPr>
                <w:sz w:val="18"/>
                <w:szCs w:val="18"/>
              </w:rPr>
              <w:t>Tratamiento contable de los aportes inmediatos, mediatos y mixtos, y de las cuentas personales de los socios comanditados y comanditarios, con su demostración. (P)</w:t>
            </w:r>
          </w:p>
          <w:p w14:paraId="27A9EE6F" w14:textId="77777777" w:rsidR="00990B14" w:rsidRDefault="00000000">
            <w:pPr>
              <w:spacing w:after="40"/>
              <w:jc w:val="both"/>
            </w:pPr>
            <w:r>
              <w:rPr>
                <w:sz w:val="18"/>
                <w:szCs w:val="18"/>
              </w:rPr>
              <w:t>Distribución de resultados con su demostración; aumentos de capital: clasificación por su naturaleza y su participación, tratamiento contable y demostración; disminuciones de capital voluntarias y obligadas, con su tratamiento contable y demostración; estados financieros de la sociedad en comandita simple. (C, P)</w:t>
            </w:r>
          </w:p>
          <w:p w14:paraId="3D2CECB2" w14:textId="77777777" w:rsidR="00990B14" w:rsidRDefault="00000000">
            <w:pPr>
              <w:spacing w:after="40"/>
              <w:jc w:val="both"/>
            </w:pPr>
            <w:r>
              <w:rPr>
                <w:sz w:val="18"/>
                <w:szCs w:val="18"/>
              </w:rPr>
              <w:t>Sociedad en comandita por acciones: introducción, concepto, características, razón social, constitución y derechos, obligaciones y prohibiciones de los socios. (C)</w:t>
            </w:r>
          </w:p>
          <w:p w14:paraId="7F813BDE" w14:textId="77777777" w:rsidR="00990B14" w:rsidRDefault="00000000">
            <w:pPr>
              <w:spacing w:after="40"/>
              <w:jc w:val="both"/>
            </w:pPr>
            <w:r>
              <w:rPr>
                <w:sz w:val="18"/>
                <w:szCs w:val="18"/>
              </w:rPr>
              <w:t>Administración de la sociedad en comandita por acciones; capital, su clasificación por naturaleza y por el tiempo, y su denominación y conformación. (C)</w:t>
            </w:r>
          </w:p>
          <w:p w14:paraId="1BE2BC05" w14:textId="77777777" w:rsidR="00990B14" w:rsidRDefault="00000000">
            <w:pPr>
              <w:spacing w:after="40"/>
              <w:jc w:val="both"/>
            </w:pPr>
            <w:r>
              <w:rPr>
                <w:sz w:val="18"/>
                <w:szCs w:val="18"/>
              </w:rPr>
              <w:t>Tratamiento contable de los aportes inmediatos, mediatos y mixtos, y de las cuentas personales de los socios de la sociedad en comandita por acciones, con su demostración. (P)</w:t>
            </w:r>
          </w:p>
          <w:p w14:paraId="6453D5C5" w14:textId="77777777" w:rsidR="00990B14" w:rsidRDefault="00000000">
            <w:pPr>
              <w:spacing w:after="40"/>
              <w:jc w:val="both"/>
            </w:pPr>
            <w:r>
              <w:rPr>
                <w:sz w:val="18"/>
                <w:szCs w:val="18"/>
              </w:rPr>
              <w:t>Distribución de resultados con su demostración; aumentos de capital y su clasificación; disminuciones de capital; estados financieros de la sociedad en comandita por acciones. (C)</w:t>
            </w:r>
          </w:p>
        </w:tc>
        <w:tc>
          <w:tcPr>
            <w:tcW w:w="2752" w:type="dxa"/>
            <w:gridSpan w:val="3"/>
            <w:shd w:val="clear" w:color="auto" w:fill="D9E2F3"/>
          </w:tcPr>
          <w:p w14:paraId="7F3CCB1E" w14:textId="77777777" w:rsidR="00990B14" w:rsidRDefault="00000000">
            <w:pPr>
              <w:numPr>
                <w:ilvl w:val="0"/>
                <w:numId w:val="139"/>
              </w:numPr>
              <w:spacing w:before="10" w:after="10"/>
              <w:jc w:val="both"/>
            </w:pPr>
            <w:r>
              <w:rPr>
                <w:sz w:val="18"/>
                <w:szCs w:val="18"/>
              </w:rPr>
              <w:t>Nociones de los convenios entre socios gestores e inversionistas en las empresas familiares.</w:t>
            </w:r>
          </w:p>
        </w:tc>
      </w:tr>
      <w:tr w:rsidR="00990B14" w14:paraId="1609EA80" w14:textId="77777777">
        <w:trPr>
          <w:cantSplit/>
          <w:jc w:val="center"/>
        </w:trPr>
        <w:tc>
          <w:tcPr>
            <w:tcW w:w="9405" w:type="dxa"/>
            <w:gridSpan w:val="13"/>
            <w:shd w:val="clear" w:color="auto" w:fill="D9E2F3"/>
            <w:vAlign w:val="center"/>
          </w:tcPr>
          <w:p w14:paraId="45818CF8" w14:textId="77777777" w:rsidR="00990B14" w:rsidRDefault="00000000">
            <w:pPr>
              <w:spacing w:before="20" w:after="20"/>
              <w:jc w:val="both"/>
            </w:pPr>
            <w:r>
              <w:rPr>
                <w:b/>
                <w:bCs/>
                <w:i/>
                <w:iCs/>
                <w:sz w:val="18"/>
                <w:szCs w:val="18"/>
              </w:rPr>
              <w:t xml:space="preserve">Elemento de competencia 6: </w:t>
            </w:r>
            <w:r>
              <w:rPr>
                <w:sz w:val="18"/>
                <w:szCs w:val="18"/>
              </w:rPr>
              <w:t>Aplica el tratamiento contable de las asociaciones accidentales y determina la distribución de sus resultados y su régimen tributario, controlando la rendición de cuentas de la empresa designada, con apego a la normativa vigente.</w:t>
            </w:r>
          </w:p>
        </w:tc>
      </w:tr>
      <w:tr w:rsidR="00990B14" w14:paraId="1B73E8DA" w14:textId="77777777">
        <w:trPr>
          <w:cantSplit/>
          <w:jc w:val="center"/>
        </w:trPr>
        <w:tc>
          <w:tcPr>
            <w:tcW w:w="3133" w:type="dxa"/>
            <w:gridSpan w:val="4"/>
            <w:shd w:val="clear" w:color="auto" w:fill="4472C4"/>
            <w:vAlign w:val="center"/>
          </w:tcPr>
          <w:p w14:paraId="1575F344"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6902251C"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12567FDC" w14:textId="77777777" w:rsidR="00990B14" w:rsidRDefault="00000000">
            <w:pPr>
              <w:keepNext/>
              <w:spacing w:before="20" w:after="20"/>
              <w:jc w:val="center"/>
            </w:pPr>
            <w:r>
              <w:rPr>
                <w:b/>
                <w:bCs/>
                <w:i/>
                <w:iCs/>
                <w:color w:val="FFFFFF"/>
                <w:sz w:val="18"/>
                <w:szCs w:val="18"/>
              </w:rPr>
              <w:t>Evidencias de producto</w:t>
            </w:r>
          </w:p>
        </w:tc>
      </w:tr>
      <w:tr w:rsidR="00990B14" w14:paraId="5573D34D" w14:textId="77777777">
        <w:trPr>
          <w:cantSplit/>
          <w:jc w:val="center"/>
        </w:trPr>
        <w:tc>
          <w:tcPr>
            <w:tcW w:w="3133" w:type="dxa"/>
            <w:gridSpan w:val="4"/>
            <w:vMerge w:val="restart"/>
            <w:shd w:val="clear" w:color="auto" w:fill="D9E2F3"/>
            <w:vAlign w:val="center"/>
          </w:tcPr>
          <w:p w14:paraId="48B8A313" w14:textId="77777777" w:rsidR="00990B14" w:rsidRDefault="00000000">
            <w:pPr>
              <w:spacing w:before="20" w:after="20"/>
              <w:jc w:val="both"/>
            </w:pPr>
            <w:r>
              <w:rPr>
                <w:sz w:val="18"/>
                <w:szCs w:val="18"/>
              </w:rPr>
              <w:t>1. Registra los aportes y las operaciones de una asociación accidental, controlando la rendición de cuentas de la empresa designada.</w:t>
            </w:r>
          </w:p>
        </w:tc>
        <w:tc>
          <w:tcPr>
            <w:tcW w:w="3135" w:type="dxa"/>
            <w:gridSpan w:val="5"/>
            <w:shd w:val="clear" w:color="auto" w:fill="D9E2F3"/>
            <w:vAlign w:val="center"/>
          </w:tcPr>
          <w:p w14:paraId="6E54EC5D" w14:textId="77777777" w:rsidR="00990B14" w:rsidRDefault="00000000">
            <w:pPr>
              <w:spacing w:before="20" w:after="20"/>
              <w:jc w:val="both"/>
            </w:pPr>
            <w:r>
              <w:rPr>
                <w:sz w:val="18"/>
                <w:szCs w:val="18"/>
              </w:rPr>
              <w:t>1.1 Resuelve en aula el registro de los aportes y las operaciones de una asociación accidental.</w:t>
            </w:r>
          </w:p>
        </w:tc>
        <w:tc>
          <w:tcPr>
            <w:tcW w:w="3137" w:type="dxa"/>
            <w:gridSpan w:val="4"/>
            <w:shd w:val="clear" w:color="auto" w:fill="D9E2F3"/>
            <w:vAlign w:val="center"/>
          </w:tcPr>
          <w:p w14:paraId="4AFC8B2B" w14:textId="77777777" w:rsidR="00990B14" w:rsidRDefault="00000000">
            <w:pPr>
              <w:spacing w:before="20" w:after="20"/>
              <w:jc w:val="both"/>
            </w:pPr>
            <w:r>
              <w:rPr>
                <w:b/>
                <w:bCs/>
                <w:sz w:val="18"/>
                <w:szCs w:val="18"/>
              </w:rPr>
              <w:t xml:space="preserve">Producto 21: </w:t>
            </w:r>
            <w:r>
              <w:rPr>
                <w:sz w:val="18"/>
                <w:szCs w:val="18"/>
              </w:rPr>
              <w:t>Registro de operaciones de una asociación accidental.</w:t>
            </w:r>
          </w:p>
        </w:tc>
      </w:tr>
      <w:tr w:rsidR="00990B14" w14:paraId="22355894" w14:textId="77777777">
        <w:trPr>
          <w:cantSplit/>
          <w:jc w:val="center"/>
        </w:trPr>
        <w:tc>
          <w:tcPr>
            <w:tcW w:w="3133" w:type="dxa"/>
            <w:gridSpan w:val="4"/>
            <w:vMerge/>
            <w:shd w:val="clear" w:color="auto" w:fill="D9E2F3"/>
            <w:vAlign w:val="center"/>
          </w:tcPr>
          <w:p w14:paraId="577E1347" w14:textId="77777777" w:rsidR="00990B14" w:rsidRDefault="00990B14">
            <w:pPr>
              <w:spacing w:before="20" w:after="20"/>
            </w:pPr>
          </w:p>
        </w:tc>
        <w:tc>
          <w:tcPr>
            <w:tcW w:w="3135" w:type="dxa"/>
            <w:gridSpan w:val="5"/>
            <w:shd w:val="clear" w:color="auto" w:fill="D9E2F3"/>
            <w:vAlign w:val="center"/>
          </w:tcPr>
          <w:p w14:paraId="1AB670A0" w14:textId="77777777" w:rsidR="00990B14" w:rsidRDefault="00000000">
            <w:pPr>
              <w:spacing w:before="20" w:after="20"/>
              <w:jc w:val="both"/>
            </w:pPr>
            <w:r>
              <w:rPr>
                <w:sz w:val="18"/>
                <w:szCs w:val="18"/>
              </w:rPr>
              <w:t>1.2 Revisa en equipo la rendición de cuentas del gestor de una asociación accidental.</w:t>
            </w:r>
          </w:p>
        </w:tc>
        <w:tc>
          <w:tcPr>
            <w:tcW w:w="3137" w:type="dxa"/>
            <w:gridSpan w:val="4"/>
            <w:shd w:val="clear" w:color="auto" w:fill="D9E2F3"/>
            <w:vAlign w:val="center"/>
          </w:tcPr>
          <w:p w14:paraId="640B57D4" w14:textId="77777777" w:rsidR="00990B14" w:rsidRDefault="00000000">
            <w:pPr>
              <w:spacing w:before="20" w:after="20"/>
              <w:jc w:val="both"/>
            </w:pPr>
            <w:r>
              <w:rPr>
                <w:b/>
                <w:bCs/>
                <w:sz w:val="18"/>
                <w:szCs w:val="18"/>
              </w:rPr>
              <w:t xml:space="preserve">Producto 22: </w:t>
            </w:r>
            <w:r>
              <w:rPr>
                <w:sz w:val="18"/>
                <w:szCs w:val="18"/>
              </w:rPr>
              <w:t>Informe de rendición de cuentas del gestor.</w:t>
            </w:r>
          </w:p>
        </w:tc>
      </w:tr>
      <w:tr w:rsidR="00990B14" w14:paraId="468B74A6" w14:textId="77777777">
        <w:trPr>
          <w:cantSplit/>
          <w:jc w:val="center"/>
        </w:trPr>
        <w:tc>
          <w:tcPr>
            <w:tcW w:w="3133" w:type="dxa"/>
            <w:gridSpan w:val="4"/>
            <w:vMerge w:val="restart"/>
            <w:shd w:val="clear" w:color="auto" w:fill="D9E2F3"/>
            <w:vAlign w:val="center"/>
          </w:tcPr>
          <w:p w14:paraId="7393E334" w14:textId="77777777" w:rsidR="00990B14" w:rsidRDefault="00000000">
            <w:pPr>
              <w:spacing w:before="20" w:after="20"/>
              <w:jc w:val="both"/>
            </w:pPr>
            <w:r>
              <w:rPr>
                <w:sz w:val="18"/>
                <w:szCs w:val="18"/>
              </w:rPr>
              <w:t>2. Determina la distribución de resultados y el régimen tributario de una asociación accidental.</w:t>
            </w:r>
          </w:p>
        </w:tc>
        <w:tc>
          <w:tcPr>
            <w:tcW w:w="3135" w:type="dxa"/>
            <w:gridSpan w:val="5"/>
            <w:shd w:val="clear" w:color="auto" w:fill="D9E2F3"/>
            <w:vAlign w:val="center"/>
          </w:tcPr>
          <w:p w14:paraId="0B804000" w14:textId="77777777" w:rsidR="00990B14" w:rsidRDefault="00000000">
            <w:pPr>
              <w:spacing w:before="20" w:after="20"/>
              <w:jc w:val="both"/>
            </w:pPr>
            <w:r>
              <w:rPr>
                <w:sz w:val="18"/>
                <w:szCs w:val="18"/>
              </w:rPr>
              <w:t>2.1 Calcula en el laboratorio de cómputo la distribución de resultados entre los asociados.</w:t>
            </w:r>
          </w:p>
        </w:tc>
        <w:tc>
          <w:tcPr>
            <w:tcW w:w="3137" w:type="dxa"/>
            <w:gridSpan w:val="4"/>
            <w:shd w:val="clear" w:color="auto" w:fill="D9E2F3"/>
            <w:vAlign w:val="center"/>
          </w:tcPr>
          <w:p w14:paraId="5223E816" w14:textId="77777777" w:rsidR="00990B14" w:rsidRDefault="00000000">
            <w:pPr>
              <w:spacing w:before="20" w:after="20"/>
              <w:jc w:val="both"/>
            </w:pPr>
            <w:r>
              <w:rPr>
                <w:b/>
                <w:bCs/>
                <w:sz w:val="18"/>
                <w:szCs w:val="18"/>
              </w:rPr>
              <w:t xml:space="preserve">Producto 23: </w:t>
            </w:r>
            <w:r>
              <w:rPr>
                <w:sz w:val="18"/>
                <w:szCs w:val="18"/>
              </w:rPr>
              <w:t>Cuadro de distribución de resultados entre asociados.</w:t>
            </w:r>
          </w:p>
        </w:tc>
      </w:tr>
      <w:tr w:rsidR="00990B14" w14:paraId="49A63B3F" w14:textId="77777777">
        <w:trPr>
          <w:cantSplit/>
          <w:jc w:val="center"/>
        </w:trPr>
        <w:tc>
          <w:tcPr>
            <w:tcW w:w="3133" w:type="dxa"/>
            <w:gridSpan w:val="4"/>
            <w:vMerge/>
            <w:shd w:val="clear" w:color="auto" w:fill="D9E2F3"/>
            <w:vAlign w:val="center"/>
          </w:tcPr>
          <w:p w14:paraId="6F06EA48" w14:textId="77777777" w:rsidR="00990B14" w:rsidRDefault="00990B14">
            <w:pPr>
              <w:spacing w:before="20" w:after="20"/>
            </w:pPr>
          </w:p>
        </w:tc>
        <w:tc>
          <w:tcPr>
            <w:tcW w:w="3135" w:type="dxa"/>
            <w:gridSpan w:val="5"/>
            <w:shd w:val="clear" w:color="auto" w:fill="D9E2F3"/>
            <w:vAlign w:val="center"/>
          </w:tcPr>
          <w:p w14:paraId="7756AE29" w14:textId="77777777" w:rsidR="00990B14" w:rsidRDefault="00000000">
            <w:pPr>
              <w:spacing w:before="20" w:after="20"/>
              <w:jc w:val="both"/>
            </w:pPr>
            <w:r>
              <w:rPr>
                <w:sz w:val="18"/>
                <w:szCs w:val="18"/>
              </w:rPr>
              <w:t>2.2 Expone ante el curso el régimen tributario y las obligaciones de una asociación accidental ante el Servicio de Impuestos Nacionales.</w:t>
            </w:r>
          </w:p>
        </w:tc>
        <w:tc>
          <w:tcPr>
            <w:tcW w:w="3137" w:type="dxa"/>
            <w:gridSpan w:val="4"/>
            <w:shd w:val="clear" w:color="auto" w:fill="D9E2F3"/>
            <w:vAlign w:val="center"/>
          </w:tcPr>
          <w:p w14:paraId="53644B36" w14:textId="77777777" w:rsidR="00990B14" w:rsidRDefault="00000000">
            <w:pPr>
              <w:spacing w:before="20" w:after="20"/>
              <w:jc w:val="both"/>
            </w:pPr>
            <w:r>
              <w:rPr>
                <w:b/>
                <w:bCs/>
                <w:sz w:val="18"/>
                <w:szCs w:val="18"/>
              </w:rPr>
              <w:t xml:space="preserve">Producto 24: </w:t>
            </w:r>
            <w:r>
              <w:rPr>
                <w:sz w:val="18"/>
                <w:szCs w:val="18"/>
              </w:rPr>
              <w:t>Ficha del régimen tributario de una asociación accidental.</w:t>
            </w:r>
          </w:p>
        </w:tc>
      </w:tr>
      <w:tr w:rsidR="00990B14" w14:paraId="52FD89FE" w14:textId="77777777">
        <w:trPr>
          <w:cantSplit/>
          <w:jc w:val="center"/>
        </w:trPr>
        <w:tc>
          <w:tcPr>
            <w:tcW w:w="9405" w:type="dxa"/>
            <w:gridSpan w:val="13"/>
            <w:shd w:val="clear" w:color="auto" w:fill="4472C4"/>
            <w:vAlign w:val="center"/>
          </w:tcPr>
          <w:p w14:paraId="093BB78E" w14:textId="77777777" w:rsidR="00990B14" w:rsidRDefault="00000000">
            <w:pPr>
              <w:keepNext/>
              <w:spacing w:before="20" w:after="20"/>
              <w:jc w:val="center"/>
            </w:pPr>
            <w:r>
              <w:rPr>
                <w:b/>
                <w:bCs/>
                <w:i/>
                <w:iCs/>
                <w:color w:val="FFFFFF"/>
                <w:sz w:val="18"/>
                <w:szCs w:val="18"/>
              </w:rPr>
              <w:t>Evidencias de conocimiento</w:t>
            </w:r>
          </w:p>
        </w:tc>
      </w:tr>
      <w:tr w:rsidR="00990B14" w14:paraId="5DD78701" w14:textId="77777777">
        <w:trPr>
          <w:cantSplit/>
          <w:jc w:val="center"/>
        </w:trPr>
        <w:tc>
          <w:tcPr>
            <w:tcW w:w="2349" w:type="dxa"/>
            <w:gridSpan w:val="2"/>
            <w:shd w:val="clear" w:color="auto" w:fill="4472C4"/>
            <w:vAlign w:val="center"/>
          </w:tcPr>
          <w:p w14:paraId="63A3B315"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1A1A165B" w14:textId="77777777" w:rsidR="00990B14" w:rsidRDefault="00000000">
            <w:pPr>
              <w:keepNext/>
              <w:spacing w:before="20" w:after="20"/>
              <w:jc w:val="both"/>
            </w:pPr>
            <w:r>
              <w:rPr>
                <w:b/>
                <w:bCs/>
                <w:i/>
                <w:iCs/>
                <w:color w:val="FFFFFF"/>
                <w:sz w:val="18"/>
                <w:szCs w:val="18"/>
              </w:rPr>
              <w:t>Contenidos</w:t>
            </w:r>
          </w:p>
          <w:p w14:paraId="75D85FD8"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08E1E9EB" w14:textId="77777777" w:rsidR="00990B14" w:rsidRDefault="00000000">
            <w:pPr>
              <w:keepNext/>
              <w:spacing w:before="20" w:after="20"/>
              <w:jc w:val="center"/>
            </w:pPr>
            <w:r>
              <w:rPr>
                <w:b/>
                <w:bCs/>
                <w:i/>
                <w:iCs/>
                <w:color w:val="FFFFFF"/>
                <w:sz w:val="18"/>
                <w:szCs w:val="18"/>
              </w:rPr>
              <w:t>Conocimientos circunstanciales</w:t>
            </w:r>
          </w:p>
        </w:tc>
      </w:tr>
      <w:tr w:rsidR="00990B14" w14:paraId="6DC53F1D" w14:textId="77777777">
        <w:trPr>
          <w:jc w:val="center"/>
        </w:trPr>
        <w:tc>
          <w:tcPr>
            <w:tcW w:w="2349" w:type="dxa"/>
            <w:gridSpan w:val="2"/>
            <w:shd w:val="clear" w:color="auto" w:fill="D9E2F3"/>
          </w:tcPr>
          <w:p w14:paraId="306318C4" w14:textId="77777777" w:rsidR="00990B14" w:rsidRDefault="00000000">
            <w:pPr>
              <w:spacing w:before="20" w:after="40"/>
              <w:jc w:val="both"/>
            </w:pPr>
            <w:r>
              <w:rPr>
                <w:sz w:val="18"/>
                <w:szCs w:val="18"/>
              </w:rPr>
              <w:t>Tema 19: Asociaciones accidentales</w:t>
            </w:r>
          </w:p>
        </w:tc>
        <w:tc>
          <w:tcPr>
            <w:tcW w:w="4304" w:type="dxa"/>
            <w:gridSpan w:val="8"/>
            <w:shd w:val="clear" w:color="auto" w:fill="D9E2F3"/>
          </w:tcPr>
          <w:p w14:paraId="64B9E427" w14:textId="77777777" w:rsidR="00990B14" w:rsidRDefault="00000000">
            <w:pPr>
              <w:spacing w:after="40"/>
              <w:jc w:val="both"/>
            </w:pPr>
            <w:r>
              <w:rPr>
                <w:sz w:val="18"/>
                <w:szCs w:val="18"/>
              </w:rPr>
              <w:t>Asociaciones accidentales: introducción, concepto, características, razón social y constitución. (C)</w:t>
            </w:r>
          </w:p>
          <w:p w14:paraId="4A729AE9" w14:textId="77777777" w:rsidR="00990B14" w:rsidRDefault="00000000">
            <w:pPr>
              <w:spacing w:after="40"/>
              <w:jc w:val="both"/>
            </w:pPr>
            <w:r>
              <w:rPr>
                <w:sz w:val="18"/>
                <w:szCs w:val="18"/>
              </w:rPr>
              <w:t>Derechos, obligaciones y prohibiciones de los asociados; administración de la asociación accidental. (C)</w:t>
            </w:r>
          </w:p>
          <w:p w14:paraId="29ADC851" w14:textId="77777777" w:rsidR="00990B14" w:rsidRDefault="00000000">
            <w:pPr>
              <w:spacing w:after="40"/>
              <w:jc w:val="both"/>
            </w:pPr>
            <w:r>
              <w:rPr>
                <w:sz w:val="18"/>
                <w:szCs w:val="18"/>
              </w:rPr>
              <w:t>Régimen tributario y capital de la asociación accidental. (C)</w:t>
            </w:r>
          </w:p>
          <w:p w14:paraId="0AEAA5F1" w14:textId="77777777" w:rsidR="00990B14" w:rsidRDefault="00000000">
            <w:pPr>
              <w:spacing w:after="40"/>
              <w:jc w:val="both"/>
            </w:pPr>
            <w:r>
              <w:rPr>
                <w:sz w:val="18"/>
                <w:szCs w:val="18"/>
              </w:rPr>
              <w:t>Número de Identificación Tributaria (NIT) de la asociación accidental y sus obligaciones ante el Servicio de Impuestos Nacionales. (C)</w:t>
            </w:r>
          </w:p>
          <w:p w14:paraId="66ECD235" w14:textId="77777777" w:rsidR="00990B14" w:rsidRDefault="00000000">
            <w:pPr>
              <w:spacing w:after="40"/>
              <w:jc w:val="both"/>
            </w:pPr>
            <w:r>
              <w:rPr>
                <w:sz w:val="18"/>
                <w:szCs w:val="18"/>
              </w:rPr>
              <w:t>Tratamiento contable de las operaciones de la asociación accidental. (P)</w:t>
            </w:r>
          </w:p>
          <w:p w14:paraId="26493C48" w14:textId="77777777" w:rsidR="00990B14" w:rsidRDefault="00000000">
            <w:pPr>
              <w:spacing w:after="40"/>
              <w:jc w:val="both"/>
            </w:pPr>
            <w:r>
              <w:rPr>
                <w:sz w:val="18"/>
                <w:szCs w:val="18"/>
              </w:rPr>
              <w:t>Control de los aportes y rendición de cuentas del administrador a los asociados. (C)</w:t>
            </w:r>
          </w:p>
        </w:tc>
        <w:tc>
          <w:tcPr>
            <w:tcW w:w="2752" w:type="dxa"/>
            <w:gridSpan w:val="3"/>
            <w:shd w:val="clear" w:color="auto" w:fill="D9E2F3"/>
          </w:tcPr>
          <w:p w14:paraId="629A67C0" w14:textId="77777777" w:rsidR="00990B14" w:rsidRDefault="00000000">
            <w:pPr>
              <w:numPr>
                <w:ilvl w:val="0"/>
                <w:numId w:val="139"/>
              </w:numPr>
              <w:spacing w:before="10" w:after="10"/>
              <w:jc w:val="both"/>
            </w:pPr>
            <w:r>
              <w:rPr>
                <w:sz w:val="18"/>
                <w:szCs w:val="18"/>
              </w:rPr>
              <w:t>Nociones de los contratos de consorcio para obras y licitaciones públicas.</w:t>
            </w:r>
          </w:p>
          <w:p w14:paraId="588B2989" w14:textId="77777777" w:rsidR="00990B14" w:rsidRDefault="00000000">
            <w:pPr>
              <w:numPr>
                <w:ilvl w:val="0"/>
                <w:numId w:val="139"/>
              </w:numPr>
              <w:spacing w:before="10" w:after="10"/>
              <w:jc w:val="both"/>
            </w:pPr>
            <w:r>
              <w:rPr>
                <w:sz w:val="18"/>
                <w:szCs w:val="18"/>
              </w:rPr>
              <w:t>Nociones de la emisión de facturas por las operaciones de un negocio en común.</w:t>
            </w:r>
          </w:p>
        </w:tc>
      </w:tr>
      <w:tr w:rsidR="00990B14" w14:paraId="51BCCC71" w14:textId="77777777">
        <w:trPr>
          <w:cantSplit/>
          <w:jc w:val="center"/>
        </w:trPr>
        <w:tc>
          <w:tcPr>
            <w:tcW w:w="9405" w:type="dxa"/>
            <w:gridSpan w:val="13"/>
            <w:shd w:val="clear" w:color="auto" w:fill="D9E2F3"/>
            <w:vAlign w:val="center"/>
          </w:tcPr>
          <w:p w14:paraId="43132D47" w14:textId="77777777" w:rsidR="00990B14" w:rsidRDefault="00000000">
            <w:pPr>
              <w:spacing w:before="20" w:after="20"/>
              <w:jc w:val="both"/>
            </w:pPr>
            <w:r>
              <w:rPr>
                <w:b/>
                <w:bCs/>
                <w:i/>
                <w:iCs/>
                <w:sz w:val="18"/>
                <w:szCs w:val="18"/>
              </w:rPr>
              <w:t xml:space="preserve">Elemento de competencia 7: </w:t>
            </w:r>
            <w:r>
              <w:rPr>
                <w:sz w:val="18"/>
                <w:szCs w:val="18"/>
              </w:rPr>
              <w:t>Consolida los estados financieros de la casa central con sucursales, registrando las transacciones en paralelo, conciliando las cuentas recíprocas y aplicando el sistema de contabilidad centralizado, con precisión y apego a la normativa vigente.</w:t>
            </w:r>
          </w:p>
        </w:tc>
      </w:tr>
      <w:tr w:rsidR="00990B14" w14:paraId="25A84CC6" w14:textId="77777777">
        <w:trPr>
          <w:cantSplit/>
          <w:jc w:val="center"/>
        </w:trPr>
        <w:tc>
          <w:tcPr>
            <w:tcW w:w="3133" w:type="dxa"/>
            <w:gridSpan w:val="4"/>
            <w:shd w:val="clear" w:color="auto" w:fill="4472C4"/>
            <w:vAlign w:val="center"/>
          </w:tcPr>
          <w:p w14:paraId="52FBE81C"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25046AF1"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35876130" w14:textId="77777777" w:rsidR="00990B14" w:rsidRDefault="00000000">
            <w:pPr>
              <w:keepNext/>
              <w:spacing w:before="20" w:after="20"/>
              <w:jc w:val="center"/>
            </w:pPr>
            <w:r>
              <w:rPr>
                <w:b/>
                <w:bCs/>
                <w:i/>
                <w:iCs/>
                <w:color w:val="FFFFFF"/>
                <w:sz w:val="18"/>
                <w:szCs w:val="18"/>
              </w:rPr>
              <w:t>Evidencias de producto</w:t>
            </w:r>
          </w:p>
        </w:tc>
      </w:tr>
      <w:tr w:rsidR="00990B14" w14:paraId="75DE5BCD" w14:textId="77777777">
        <w:trPr>
          <w:cantSplit/>
          <w:jc w:val="center"/>
        </w:trPr>
        <w:tc>
          <w:tcPr>
            <w:tcW w:w="3133" w:type="dxa"/>
            <w:gridSpan w:val="4"/>
            <w:vMerge w:val="restart"/>
            <w:shd w:val="clear" w:color="auto" w:fill="D9E2F3"/>
            <w:vAlign w:val="center"/>
          </w:tcPr>
          <w:p w14:paraId="449615B5" w14:textId="77777777" w:rsidR="00990B14" w:rsidRDefault="00000000">
            <w:pPr>
              <w:spacing w:before="20" w:after="20"/>
              <w:jc w:val="both"/>
            </w:pPr>
            <w:r>
              <w:rPr>
                <w:sz w:val="18"/>
                <w:szCs w:val="18"/>
              </w:rPr>
              <w:t>1. Registra las transacciones en paralelo entre la casa central y sucursales, conciliando las cuentas recíprocas.</w:t>
            </w:r>
          </w:p>
        </w:tc>
        <w:tc>
          <w:tcPr>
            <w:tcW w:w="3135" w:type="dxa"/>
            <w:gridSpan w:val="5"/>
            <w:shd w:val="clear" w:color="auto" w:fill="D9E2F3"/>
            <w:vAlign w:val="center"/>
          </w:tcPr>
          <w:p w14:paraId="4CCB890F" w14:textId="77777777" w:rsidR="00990B14" w:rsidRDefault="00000000">
            <w:pPr>
              <w:spacing w:before="20" w:after="20"/>
              <w:jc w:val="both"/>
            </w:pPr>
            <w:r>
              <w:rPr>
                <w:sz w:val="18"/>
                <w:szCs w:val="18"/>
              </w:rPr>
              <w:t>1.1 Registra en aula la habilitación de una sucursal y sus transacciones en paralelo con la casa central.</w:t>
            </w:r>
          </w:p>
        </w:tc>
        <w:tc>
          <w:tcPr>
            <w:tcW w:w="3137" w:type="dxa"/>
            <w:gridSpan w:val="4"/>
            <w:shd w:val="clear" w:color="auto" w:fill="D9E2F3"/>
            <w:vAlign w:val="center"/>
          </w:tcPr>
          <w:p w14:paraId="3755E927" w14:textId="77777777" w:rsidR="00990B14" w:rsidRDefault="00000000">
            <w:pPr>
              <w:spacing w:before="20" w:after="20"/>
              <w:jc w:val="both"/>
            </w:pPr>
            <w:r>
              <w:rPr>
                <w:b/>
                <w:bCs/>
                <w:sz w:val="18"/>
                <w:szCs w:val="18"/>
              </w:rPr>
              <w:t xml:space="preserve">Producto 25: </w:t>
            </w:r>
            <w:r>
              <w:rPr>
                <w:sz w:val="18"/>
                <w:szCs w:val="18"/>
              </w:rPr>
              <w:t>Registro en paralelo de la habilitación de una sucursal.</w:t>
            </w:r>
          </w:p>
        </w:tc>
      </w:tr>
      <w:tr w:rsidR="00990B14" w14:paraId="65E0B099" w14:textId="77777777">
        <w:trPr>
          <w:cantSplit/>
          <w:jc w:val="center"/>
        </w:trPr>
        <w:tc>
          <w:tcPr>
            <w:tcW w:w="3133" w:type="dxa"/>
            <w:gridSpan w:val="4"/>
            <w:vMerge/>
            <w:shd w:val="clear" w:color="auto" w:fill="D9E2F3"/>
            <w:vAlign w:val="center"/>
          </w:tcPr>
          <w:p w14:paraId="6E74B11E" w14:textId="77777777" w:rsidR="00990B14" w:rsidRDefault="00990B14">
            <w:pPr>
              <w:spacing w:before="20" w:after="20"/>
            </w:pPr>
          </w:p>
        </w:tc>
        <w:tc>
          <w:tcPr>
            <w:tcW w:w="3135" w:type="dxa"/>
            <w:gridSpan w:val="5"/>
            <w:shd w:val="clear" w:color="auto" w:fill="D9E2F3"/>
            <w:vAlign w:val="center"/>
          </w:tcPr>
          <w:p w14:paraId="0DBBD09A" w14:textId="77777777" w:rsidR="00990B14" w:rsidRDefault="00000000">
            <w:pPr>
              <w:spacing w:before="20" w:after="20"/>
              <w:jc w:val="both"/>
            </w:pPr>
            <w:r>
              <w:rPr>
                <w:sz w:val="18"/>
                <w:szCs w:val="18"/>
              </w:rPr>
              <w:t>1.2 Concilia en equipo las cuentas recíprocas entre la casa central y una sucursal.</w:t>
            </w:r>
          </w:p>
        </w:tc>
        <w:tc>
          <w:tcPr>
            <w:tcW w:w="3137" w:type="dxa"/>
            <w:gridSpan w:val="4"/>
            <w:shd w:val="clear" w:color="auto" w:fill="D9E2F3"/>
            <w:vAlign w:val="center"/>
          </w:tcPr>
          <w:p w14:paraId="793E4B6E" w14:textId="77777777" w:rsidR="00990B14" w:rsidRDefault="00000000">
            <w:pPr>
              <w:spacing w:before="20" w:after="20"/>
              <w:jc w:val="both"/>
            </w:pPr>
            <w:r>
              <w:rPr>
                <w:b/>
                <w:bCs/>
                <w:sz w:val="18"/>
                <w:szCs w:val="18"/>
              </w:rPr>
              <w:t xml:space="preserve">Producto 26: </w:t>
            </w:r>
            <w:r>
              <w:rPr>
                <w:sz w:val="18"/>
                <w:szCs w:val="18"/>
              </w:rPr>
              <w:t>Conciliación de cuentas recíprocas entre casa central y sucursal.</w:t>
            </w:r>
          </w:p>
        </w:tc>
      </w:tr>
      <w:tr w:rsidR="00990B14" w14:paraId="0262C32F" w14:textId="77777777">
        <w:trPr>
          <w:cantSplit/>
          <w:jc w:val="center"/>
        </w:trPr>
        <w:tc>
          <w:tcPr>
            <w:tcW w:w="3133" w:type="dxa"/>
            <w:gridSpan w:val="4"/>
            <w:vMerge w:val="restart"/>
            <w:shd w:val="clear" w:color="auto" w:fill="D9E2F3"/>
            <w:vAlign w:val="center"/>
          </w:tcPr>
          <w:p w14:paraId="77E3BE50" w14:textId="77777777" w:rsidR="00990B14" w:rsidRDefault="00000000">
            <w:pPr>
              <w:spacing w:before="20" w:after="20"/>
              <w:jc w:val="both"/>
            </w:pPr>
            <w:r>
              <w:rPr>
                <w:sz w:val="18"/>
                <w:szCs w:val="18"/>
              </w:rPr>
              <w:t>2. Consolida los estados financieros de la casa central con sus sucursales con el sistema centralizado, diferenciando este procedimiento de la consolidación de grupos de la NIIF 10.</w:t>
            </w:r>
          </w:p>
        </w:tc>
        <w:tc>
          <w:tcPr>
            <w:tcW w:w="3135" w:type="dxa"/>
            <w:gridSpan w:val="5"/>
            <w:shd w:val="clear" w:color="auto" w:fill="D9E2F3"/>
            <w:vAlign w:val="center"/>
          </w:tcPr>
          <w:p w14:paraId="7708F001" w14:textId="77777777" w:rsidR="00990B14" w:rsidRDefault="00000000">
            <w:pPr>
              <w:spacing w:before="20" w:after="20"/>
              <w:jc w:val="both"/>
            </w:pPr>
            <w:r>
              <w:rPr>
                <w:sz w:val="18"/>
                <w:szCs w:val="18"/>
              </w:rPr>
              <w:t>2.1 Elabora en el laboratorio de cómputo la hoja de consolidación de una casa central con dos sucursales.</w:t>
            </w:r>
          </w:p>
        </w:tc>
        <w:tc>
          <w:tcPr>
            <w:tcW w:w="3137" w:type="dxa"/>
            <w:gridSpan w:val="4"/>
            <w:shd w:val="clear" w:color="auto" w:fill="D9E2F3"/>
            <w:vAlign w:val="center"/>
          </w:tcPr>
          <w:p w14:paraId="2CEC5AC3" w14:textId="77777777" w:rsidR="00990B14" w:rsidRDefault="00000000">
            <w:pPr>
              <w:spacing w:before="20" w:after="20"/>
              <w:jc w:val="both"/>
            </w:pPr>
            <w:r>
              <w:rPr>
                <w:b/>
                <w:bCs/>
                <w:sz w:val="18"/>
                <w:szCs w:val="18"/>
              </w:rPr>
              <w:t xml:space="preserve">Producto 27: </w:t>
            </w:r>
            <w:r>
              <w:rPr>
                <w:sz w:val="18"/>
                <w:szCs w:val="18"/>
              </w:rPr>
              <w:t>Hoja de consolidación de estados financieros de casa central y sucursales.</w:t>
            </w:r>
          </w:p>
        </w:tc>
      </w:tr>
      <w:tr w:rsidR="00990B14" w14:paraId="0BBA87AC" w14:textId="77777777">
        <w:trPr>
          <w:cantSplit/>
          <w:jc w:val="center"/>
        </w:trPr>
        <w:tc>
          <w:tcPr>
            <w:tcW w:w="3133" w:type="dxa"/>
            <w:gridSpan w:val="4"/>
            <w:vMerge/>
            <w:shd w:val="clear" w:color="auto" w:fill="D9E2F3"/>
            <w:vAlign w:val="center"/>
          </w:tcPr>
          <w:p w14:paraId="21E69B79" w14:textId="77777777" w:rsidR="00990B14" w:rsidRDefault="00990B14">
            <w:pPr>
              <w:spacing w:before="20" w:after="20"/>
            </w:pPr>
          </w:p>
        </w:tc>
        <w:tc>
          <w:tcPr>
            <w:tcW w:w="3135" w:type="dxa"/>
            <w:gridSpan w:val="5"/>
            <w:shd w:val="clear" w:color="auto" w:fill="D9E2F3"/>
            <w:vAlign w:val="center"/>
          </w:tcPr>
          <w:p w14:paraId="26E729AF" w14:textId="77777777" w:rsidR="00990B14" w:rsidRDefault="00000000">
            <w:pPr>
              <w:spacing w:before="20" w:after="20"/>
              <w:jc w:val="both"/>
            </w:pPr>
            <w:r>
              <w:rPr>
                <w:sz w:val="18"/>
                <w:szCs w:val="18"/>
              </w:rPr>
              <w:t>2.2 Compara ante el curso el sistema centralizado y el descentralizado y la consolidación de grupos según la NIIF 10.</w:t>
            </w:r>
          </w:p>
        </w:tc>
        <w:tc>
          <w:tcPr>
            <w:tcW w:w="3137" w:type="dxa"/>
            <w:gridSpan w:val="4"/>
            <w:shd w:val="clear" w:color="auto" w:fill="D9E2F3"/>
            <w:vAlign w:val="center"/>
          </w:tcPr>
          <w:p w14:paraId="0D36D5F3" w14:textId="77777777" w:rsidR="00990B14" w:rsidRDefault="00000000">
            <w:pPr>
              <w:spacing w:before="20" w:after="20"/>
              <w:jc w:val="both"/>
            </w:pPr>
            <w:r>
              <w:rPr>
                <w:b/>
                <w:bCs/>
                <w:sz w:val="18"/>
                <w:szCs w:val="18"/>
              </w:rPr>
              <w:t xml:space="preserve">Producto 28: </w:t>
            </w:r>
            <w:r>
              <w:rPr>
                <w:sz w:val="18"/>
                <w:szCs w:val="18"/>
              </w:rPr>
              <w:t>Cuadro comparativo de sistemas de contabilidad y de consolidación.</w:t>
            </w:r>
          </w:p>
        </w:tc>
      </w:tr>
      <w:tr w:rsidR="00990B14" w14:paraId="5490C866" w14:textId="77777777">
        <w:trPr>
          <w:cantSplit/>
          <w:jc w:val="center"/>
        </w:trPr>
        <w:tc>
          <w:tcPr>
            <w:tcW w:w="9405" w:type="dxa"/>
            <w:gridSpan w:val="13"/>
            <w:shd w:val="clear" w:color="auto" w:fill="4472C4"/>
            <w:vAlign w:val="center"/>
          </w:tcPr>
          <w:p w14:paraId="0DF39466" w14:textId="77777777" w:rsidR="00990B14" w:rsidRDefault="00000000">
            <w:pPr>
              <w:keepNext/>
              <w:spacing w:before="20" w:after="20"/>
              <w:jc w:val="center"/>
            </w:pPr>
            <w:r>
              <w:rPr>
                <w:b/>
                <w:bCs/>
                <w:i/>
                <w:iCs/>
                <w:color w:val="FFFFFF"/>
                <w:sz w:val="18"/>
                <w:szCs w:val="18"/>
              </w:rPr>
              <w:t>Evidencias de conocimiento</w:t>
            </w:r>
          </w:p>
        </w:tc>
      </w:tr>
      <w:tr w:rsidR="00990B14" w14:paraId="0B238417" w14:textId="77777777">
        <w:trPr>
          <w:cantSplit/>
          <w:jc w:val="center"/>
        </w:trPr>
        <w:tc>
          <w:tcPr>
            <w:tcW w:w="2349" w:type="dxa"/>
            <w:gridSpan w:val="2"/>
            <w:shd w:val="clear" w:color="auto" w:fill="4472C4"/>
            <w:vAlign w:val="center"/>
          </w:tcPr>
          <w:p w14:paraId="5164C580"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21F98E2D" w14:textId="77777777" w:rsidR="00990B14" w:rsidRDefault="00000000">
            <w:pPr>
              <w:keepNext/>
              <w:spacing w:before="20" w:after="20"/>
              <w:jc w:val="both"/>
            </w:pPr>
            <w:r>
              <w:rPr>
                <w:b/>
                <w:bCs/>
                <w:i/>
                <w:iCs/>
                <w:color w:val="FFFFFF"/>
                <w:sz w:val="18"/>
                <w:szCs w:val="18"/>
              </w:rPr>
              <w:t>Contenidos</w:t>
            </w:r>
          </w:p>
          <w:p w14:paraId="7DD0238B"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34F08B7A" w14:textId="77777777" w:rsidR="00990B14" w:rsidRDefault="00000000">
            <w:pPr>
              <w:keepNext/>
              <w:spacing w:before="20" w:after="20"/>
              <w:jc w:val="center"/>
            </w:pPr>
            <w:r>
              <w:rPr>
                <w:b/>
                <w:bCs/>
                <w:i/>
                <w:iCs/>
                <w:color w:val="FFFFFF"/>
                <w:sz w:val="18"/>
                <w:szCs w:val="18"/>
              </w:rPr>
              <w:t>Conocimientos circunstanciales</w:t>
            </w:r>
          </w:p>
        </w:tc>
      </w:tr>
      <w:tr w:rsidR="00990B14" w14:paraId="77E01276" w14:textId="77777777">
        <w:trPr>
          <w:jc w:val="center"/>
        </w:trPr>
        <w:tc>
          <w:tcPr>
            <w:tcW w:w="2349" w:type="dxa"/>
            <w:gridSpan w:val="2"/>
            <w:shd w:val="clear" w:color="auto" w:fill="D9E2F3"/>
          </w:tcPr>
          <w:p w14:paraId="6C8F25BE" w14:textId="77777777" w:rsidR="00990B14" w:rsidRDefault="00000000">
            <w:pPr>
              <w:spacing w:before="20" w:after="40"/>
              <w:jc w:val="both"/>
            </w:pPr>
            <w:r>
              <w:rPr>
                <w:sz w:val="18"/>
                <w:szCs w:val="18"/>
              </w:rPr>
              <w:t>Tema 20: Agencias, sucursales y casa central (parte 1)</w:t>
            </w:r>
          </w:p>
          <w:p w14:paraId="4AA7DD7D" w14:textId="77777777" w:rsidR="00990B14" w:rsidRDefault="00000000">
            <w:pPr>
              <w:spacing w:before="20" w:after="40"/>
              <w:jc w:val="both"/>
            </w:pPr>
            <w:r>
              <w:rPr>
                <w:sz w:val="18"/>
                <w:szCs w:val="18"/>
              </w:rPr>
              <w:t>Tema 21: Agencias, sucursales y casa central (parte 2)</w:t>
            </w:r>
          </w:p>
          <w:p w14:paraId="24E8DACE" w14:textId="77777777" w:rsidR="00990B14" w:rsidRDefault="00000000">
            <w:pPr>
              <w:spacing w:before="20" w:after="40"/>
              <w:jc w:val="both"/>
            </w:pPr>
            <w:r>
              <w:rPr>
                <w:sz w:val="18"/>
                <w:szCs w:val="18"/>
              </w:rPr>
              <w:t>Tema 22: Agencias, sucursales y casa central (parte 3)</w:t>
            </w:r>
          </w:p>
        </w:tc>
        <w:tc>
          <w:tcPr>
            <w:tcW w:w="4304" w:type="dxa"/>
            <w:gridSpan w:val="8"/>
            <w:shd w:val="clear" w:color="auto" w:fill="D9E2F3"/>
          </w:tcPr>
          <w:p w14:paraId="141ED4E0" w14:textId="77777777" w:rsidR="00990B14" w:rsidRDefault="00000000">
            <w:pPr>
              <w:spacing w:after="40"/>
              <w:jc w:val="both"/>
            </w:pPr>
            <w:r>
              <w:rPr>
                <w:sz w:val="18"/>
                <w:szCs w:val="18"/>
              </w:rPr>
              <w:t>Agencias: concepto, objetivo, características, administración y tratamiento contable. (C, P)</w:t>
            </w:r>
          </w:p>
          <w:p w14:paraId="7DD94626" w14:textId="77777777" w:rsidR="00990B14" w:rsidRDefault="00000000">
            <w:pPr>
              <w:spacing w:after="40"/>
              <w:jc w:val="both"/>
            </w:pPr>
            <w:r>
              <w:rPr>
                <w:sz w:val="18"/>
                <w:szCs w:val="18"/>
              </w:rPr>
              <w:t>Sucursales: concepto, objetivo, características y diferencias entre sucursales y subsidiarias; administración y aportes de capital. (C)</w:t>
            </w:r>
          </w:p>
          <w:p w14:paraId="13652987" w14:textId="77777777" w:rsidR="00990B14" w:rsidRDefault="00000000">
            <w:pPr>
              <w:spacing w:after="40"/>
              <w:jc w:val="both"/>
            </w:pPr>
            <w:r>
              <w:rPr>
                <w:sz w:val="18"/>
                <w:szCs w:val="18"/>
              </w:rPr>
              <w:t>Tratamiento contable de las transacciones en paralelo y las transacciones habituales entre la sucursal y la casa central; naturaleza de las cuentas y demostración. (C, P)</w:t>
            </w:r>
          </w:p>
          <w:p w14:paraId="2AF6CE20" w14:textId="77777777" w:rsidR="00990B14" w:rsidRDefault="00000000">
            <w:pPr>
              <w:spacing w:after="40"/>
              <w:jc w:val="both"/>
            </w:pPr>
            <w:r>
              <w:rPr>
                <w:sz w:val="18"/>
                <w:szCs w:val="18"/>
              </w:rPr>
              <w:t>Habilitación de sucursal, con transacciones en paralelo y transacciones entre sucursales; estados financieros de la sucursal. (C, P)</w:t>
            </w:r>
          </w:p>
          <w:p w14:paraId="594E704C" w14:textId="77777777" w:rsidR="00990B14" w:rsidRDefault="00000000">
            <w:pPr>
              <w:spacing w:after="40"/>
              <w:jc w:val="both"/>
            </w:pPr>
            <w:r>
              <w:rPr>
                <w:sz w:val="18"/>
                <w:szCs w:val="18"/>
              </w:rPr>
              <w:t>Conciliación de las cuentas recíprocas y control de las operaciones entre la casa central y las sucursales. (P)</w:t>
            </w:r>
          </w:p>
          <w:p w14:paraId="3137092C" w14:textId="77777777" w:rsidR="00990B14" w:rsidRDefault="00000000">
            <w:pPr>
              <w:spacing w:after="40"/>
              <w:jc w:val="both"/>
            </w:pPr>
            <w:r>
              <w:rPr>
                <w:sz w:val="18"/>
                <w:szCs w:val="18"/>
              </w:rPr>
              <w:t>Casa central: concepto, objetivo, características y diferencias entre casa central y casa matriz; administración y aportes de capital. (C)</w:t>
            </w:r>
          </w:p>
          <w:p w14:paraId="2767B69A" w14:textId="77777777" w:rsidR="00990B14" w:rsidRDefault="00000000">
            <w:pPr>
              <w:spacing w:after="40"/>
              <w:jc w:val="both"/>
            </w:pPr>
            <w:r>
              <w:rPr>
                <w:sz w:val="18"/>
                <w:szCs w:val="18"/>
              </w:rPr>
              <w:t>Sistema de contabilidad centralizado y sistema de contabilidad descentralizado de la casa central con sus agencias y sucursales. (C)</w:t>
            </w:r>
          </w:p>
          <w:p w14:paraId="50D4EEB6" w14:textId="77777777" w:rsidR="00990B14" w:rsidRDefault="00000000">
            <w:pPr>
              <w:spacing w:after="40"/>
              <w:jc w:val="both"/>
            </w:pPr>
            <w:r>
              <w:rPr>
                <w:sz w:val="18"/>
                <w:szCs w:val="18"/>
              </w:rPr>
              <w:t>Consolidación de estados financieros: procedimiento, estados financieros consolidados y hojas de consolidación en hoja de cálculo, con su demostración. (P, T)</w:t>
            </w:r>
          </w:p>
          <w:p w14:paraId="13D6A1DF" w14:textId="77777777" w:rsidR="00990B14" w:rsidRDefault="00000000">
            <w:pPr>
              <w:spacing w:after="40"/>
              <w:jc w:val="both"/>
            </w:pPr>
            <w:r>
              <w:rPr>
                <w:sz w:val="18"/>
                <w:szCs w:val="18"/>
              </w:rPr>
              <w:t>Estados financieros consolidados de un grupo según la NIIF 10: control, subsidiarias y eliminación de saldos y transacciones intragrupo, y su diferencia con la consolidación de casa central y sucursales. (C)</w:t>
            </w:r>
          </w:p>
          <w:p w14:paraId="2C0CB51D" w14:textId="77777777" w:rsidR="00990B14" w:rsidRDefault="00000000">
            <w:pPr>
              <w:spacing w:after="40"/>
              <w:jc w:val="both"/>
            </w:pPr>
            <w:r>
              <w:rPr>
                <w:sz w:val="18"/>
                <w:szCs w:val="18"/>
              </w:rPr>
              <w:t>Asientos de regularización en la consolidación de estados financieros de la casa central con sus agencias y sucursales. (P)</w:t>
            </w:r>
          </w:p>
        </w:tc>
        <w:tc>
          <w:tcPr>
            <w:tcW w:w="2752" w:type="dxa"/>
            <w:gridSpan w:val="3"/>
            <w:shd w:val="clear" w:color="auto" w:fill="D9E2F3"/>
          </w:tcPr>
          <w:p w14:paraId="7E8CEFD9" w14:textId="77777777" w:rsidR="00990B14" w:rsidRDefault="00000000">
            <w:pPr>
              <w:numPr>
                <w:ilvl w:val="0"/>
                <w:numId w:val="139"/>
              </w:numPr>
              <w:spacing w:before="10" w:after="10"/>
              <w:jc w:val="both"/>
            </w:pPr>
            <w:r>
              <w:rPr>
                <w:sz w:val="18"/>
                <w:szCs w:val="18"/>
              </w:rPr>
              <w:t>Nociones de la organización administrativa de las empresas con sucursales en varios departamentos.</w:t>
            </w:r>
          </w:p>
          <w:p w14:paraId="7FDA619F" w14:textId="77777777" w:rsidR="00990B14" w:rsidRDefault="00000000">
            <w:pPr>
              <w:numPr>
                <w:ilvl w:val="0"/>
                <w:numId w:val="139"/>
              </w:numPr>
              <w:spacing w:before="10" w:after="10"/>
              <w:jc w:val="both"/>
            </w:pPr>
            <w:r>
              <w:rPr>
                <w:sz w:val="18"/>
                <w:szCs w:val="18"/>
              </w:rPr>
              <w:t>Nociones del envío de mercaderías y de la documentación entre la casa central y sus sucursales.</w:t>
            </w:r>
          </w:p>
        </w:tc>
      </w:tr>
      <w:tr w:rsidR="00990B14" w14:paraId="7A145F90" w14:textId="77777777">
        <w:trPr>
          <w:cantSplit/>
          <w:jc w:val="center"/>
        </w:trPr>
        <w:tc>
          <w:tcPr>
            <w:tcW w:w="9405" w:type="dxa"/>
            <w:gridSpan w:val="13"/>
            <w:shd w:val="clear" w:color="auto" w:fill="D9E2F3"/>
            <w:vAlign w:val="center"/>
          </w:tcPr>
          <w:p w14:paraId="6A3122E3" w14:textId="77777777" w:rsidR="00990B14" w:rsidRDefault="00000000">
            <w:pPr>
              <w:spacing w:before="20" w:after="20"/>
              <w:jc w:val="both"/>
            </w:pPr>
            <w:r>
              <w:rPr>
                <w:b/>
                <w:bCs/>
                <w:i/>
                <w:iCs/>
                <w:sz w:val="18"/>
                <w:szCs w:val="18"/>
              </w:rPr>
              <w:t xml:space="preserve">Elemento de competencia 8: </w:t>
            </w:r>
            <w:r>
              <w:rPr>
                <w:sz w:val="18"/>
                <w:szCs w:val="18"/>
              </w:rPr>
              <w:t>Determina el tratamiento contable de la transformación, la fusión y la liquidación de una sociedad comercial boliviana, valuando sus activos y pasivos, con apego a la normativa vigente.</w:t>
            </w:r>
          </w:p>
        </w:tc>
      </w:tr>
      <w:tr w:rsidR="00990B14" w14:paraId="5C063162" w14:textId="77777777">
        <w:trPr>
          <w:cantSplit/>
          <w:jc w:val="center"/>
        </w:trPr>
        <w:tc>
          <w:tcPr>
            <w:tcW w:w="3133" w:type="dxa"/>
            <w:gridSpan w:val="4"/>
            <w:shd w:val="clear" w:color="auto" w:fill="4472C4"/>
            <w:vAlign w:val="center"/>
          </w:tcPr>
          <w:p w14:paraId="7AA3163D"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5D9916F9"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55132F30" w14:textId="77777777" w:rsidR="00990B14" w:rsidRDefault="00000000">
            <w:pPr>
              <w:keepNext/>
              <w:spacing w:before="20" w:after="20"/>
              <w:jc w:val="center"/>
            </w:pPr>
            <w:r>
              <w:rPr>
                <w:b/>
                <w:bCs/>
                <w:i/>
                <w:iCs/>
                <w:color w:val="FFFFFF"/>
                <w:sz w:val="18"/>
                <w:szCs w:val="18"/>
              </w:rPr>
              <w:t>Evidencias de producto</w:t>
            </w:r>
          </w:p>
        </w:tc>
      </w:tr>
      <w:tr w:rsidR="00990B14" w14:paraId="66181ED4" w14:textId="77777777">
        <w:trPr>
          <w:cantSplit/>
          <w:jc w:val="center"/>
        </w:trPr>
        <w:tc>
          <w:tcPr>
            <w:tcW w:w="3133" w:type="dxa"/>
            <w:gridSpan w:val="4"/>
            <w:vMerge w:val="restart"/>
            <w:shd w:val="clear" w:color="auto" w:fill="D9E2F3"/>
            <w:vAlign w:val="center"/>
          </w:tcPr>
          <w:p w14:paraId="74A15A7C" w14:textId="77777777" w:rsidR="00990B14" w:rsidRDefault="00000000">
            <w:pPr>
              <w:spacing w:before="20" w:after="20"/>
              <w:jc w:val="both"/>
            </w:pPr>
            <w:r>
              <w:rPr>
                <w:sz w:val="18"/>
                <w:szCs w:val="18"/>
              </w:rPr>
              <w:t>1. Determina el tratamiento contable en la transformación y la fusión de sociedades comerciales, valuando activos y pasivos por grado de realización, respecto de valores en libros con afectación al patrimonio.</w:t>
            </w:r>
          </w:p>
        </w:tc>
        <w:tc>
          <w:tcPr>
            <w:tcW w:w="3135" w:type="dxa"/>
            <w:gridSpan w:val="5"/>
            <w:shd w:val="clear" w:color="auto" w:fill="D9E2F3"/>
            <w:vAlign w:val="center"/>
          </w:tcPr>
          <w:p w14:paraId="6D1937BD" w14:textId="77777777" w:rsidR="00990B14" w:rsidRDefault="00000000">
            <w:pPr>
              <w:spacing w:before="20" w:after="20"/>
              <w:jc w:val="both"/>
            </w:pPr>
            <w:r>
              <w:rPr>
                <w:sz w:val="18"/>
                <w:szCs w:val="18"/>
              </w:rPr>
              <w:t>1.1 Resuelve en aula la transformación de una sociedad de responsabilidad limitada en sociedad anónima.</w:t>
            </w:r>
          </w:p>
        </w:tc>
        <w:tc>
          <w:tcPr>
            <w:tcW w:w="3137" w:type="dxa"/>
            <w:gridSpan w:val="4"/>
            <w:shd w:val="clear" w:color="auto" w:fill="D9E2F3"/>
            <w:vAlign w:val="center"/>
          </w:tcPr>
          <w:p w14:paraId="7B7C2EB0" w14:textId="77777777" w:rsidR="00990B14" w:rsidRDefault="00000000">
            <w:pPr>
              <w:spacing w:before="20" w:after="20"/>
              <w:jc w:val="both"/>
            </w:pPr>
            <w:r>
              <w:rPr>
                <w:b/>
                <w:bCs/>
                <w:sz w:val="18"/>
                <w:szCs w:val="18"/>
              </w:rPr>
              <w:t xml:space="preserve">Producto 29: </w:t>
            </w:r>
            <w:r>
              <w:rPr>
                <w:sz w:val="18"/>
                <w:szCs w:val="18"/>
              </w:rPr>
              <w:t>Registro de la transformación de una sociedad con su valuación.</w:t>
            </w:r>
          </w:p>
        </w:tc>
      </w:tr>
      <w:tr w:rsidR="00990B14" w14:paraId="6594C52B" w14:textId="77777777">
        <w:trPr>
          <w:cantSplit/>
          <w:jc w:val="center"/>
        </w:trPr>
        <w:tc>
          <w:tcPr>
            <w:tcW w:w="3133" w:type="dxa"/>
            <w:gridSpan w:val="4"/>
            <w:vMerge/>
            <w:shd w:val="clear" w:color="auto" w:fill="D9E2F3"/>
            <w:vAlign w:val="center"/>
          </w:tcPr>
          <w:p w14:paraId="4663A5D3" w14:textId="77777777" w:rsidR="00990B14" w:rsidRDefault="00990B14">
            <w:pPr>
              <w:spacing w:before="20" w:after="20"/>
            </w:pPr>
          </w:p>
        </w:tc>
        <w:tc>
          <w:tcPr>
            <w:tcW w:w="3135" w:type="dxa"/>
            <w:gridSpan w:val="5"/>
            <w:shd w:val="clear" w:color="auto" w:fill="D9E2F3"/>
            <w:vAlign w:val="center"/>
          </w:tcPr>
          <w:p w14:paraId="77DD5E53" w14:textId="77777777" w:rsidR="00990B14" w:rsidRDefault="00000000">
            <w:pPr>
              <w:spacing w:before="20" w:after="20"/>
              <w:jc w:val="both"/>
            </w:pPr>
            <w:r>
              <w:rPr>
                <w:sz w:val="18"/>
                <w:szCs w:val="18"/>
              </w:rPr>
              <w:t>1.2 Registra en equipo una fusión por integración y otra por absorción con sus registros de cierre.</w:t>
            </w:r>
          </w:p>
        </w:tc>
        <w:tc>
          <w:tcPr>
            <w:tcW w:w="3137" w:type="dxa"/>
            <w:gridSpan w:val="4"/>
            <w:shd w:val="clear" w:color="auto" w:fill="D9E2F3"/>
            <w:vAlign w:val="center"/>
          </w:tcPr>
          <w:p w14:paraId="02788BB8" w14:textId="77777777" w:rsidR="00990B14" w:rsidRDefault="00000000">
            <w:pPr>
              <w:spacing w:before="20" w:after="20"/>
              <w:jc w:val="both"/>
            </w:pPr>
            <w:r>
              <w:rPr>
                <w:b/>
                <w:bCs/>
                <w:sz w:val="18"/>
                <w:szCs w:val="18"/>
              </w:rPr>
              <w:t xml:space="preserve">Producto 30: </w:t>
            </w:r>
            <w:r>
              <w:rPr>
                <w:sz w:val="18"/>
                <w:szCs w:val="18"/>
              </w:rPr>
              <w:t>Informe de fusión de sociedades con sus registros de cierre.</w:t>
            </w:r>
          </w:p>
        </w:tc>
      </w:tr>
      <w:tr w:rsidR="00990B14" w14:paraId="1E9CB257" w14:textId="77777777">
        <w:trPr>
          <w:cantSplit/>
          <w:jc w:val="center"/>
        </w:trPr>
        <w:tc>
          <w:tcPr>
            <w:tcW w:w="3133" w:type="dxa"/>
            <w:gridSpan w:val="4"/>
            <w:vMerge w:val="restart"/>
            <w:shd w:val="clear" w:color="auto" w:fill="D9E2F3"/>
            <w:vAlign w:val="center"/>
          </w:tcPr>
          <w:p w14:paraId="175CECBA" w14:textId="77777777" w:rsidR="00990B14" w:rsidRDefault="00000000">
            <w:pPr>
              <w:spacing w:before="20" w:after="20"/>
              <w:jc w:val="both"/>
            </w:pPr>
            <w:r>
              <w:rPr>
                <w:sz w:val="18"/>
                <w:szCs w:val="18"/>
              </w:rPr>
              <w:t>2. Registra la liquidación voluntaria y obligada de una sociedad comercial boliviana, en función de la valuación de activos y gradación de pasivos.</w:t>
            </w:r>
          </w:p>
        </w:tc>
        <w:tc>
          <w:tcPr>
            <w:tcW w:w="3135" w:type="dxa"/>
            <w:gridSpan w:val="5"/>
            <w:shd w:val="clear" w:color="auto" w:fill="D9E2F3"/>
            <w:vAlign w:val="center"/>
          </w:tcPr>
          <w:p w14:paraId="62F2477A" w14:textId="77777777" w:rsidR="00990B14" w:rsidRDefault="00000000">
            <w:pPr>
              <w:spacing w:before="20" w:after="20"/>
              <w:jc w:val="both"/>
            </w:pPr>
            <w:r>
              <w:rPr>
                <w:sz w:val="18"/>
                <w:szCs w:val="18"/>
              </w:rPr>
              <w:t>2.1 Gradúa en el laboratorio de cómputo los pasivos de una sociedad en liquidación.</w:t>
            </w:r>
          </w:p>
        </w:tc>
        <w:tc>
          <w:tcPr>
            <w:tcW w:w="3137" w:type="dxa"/>
            <w:gridSpan w:val="4"/>
            <w:shd w:val="clear" w:color="auto" w:fill="D9E2F3"/>
            <w:vAlign w:val="center"/>
          </w:tcPr>
          <w:p w14:paraId="03ACFE19" w14:textId="77777777" w:rsidR="00990B14" w:rsidRDefault="00000000">
            <w:pPr>
              <w:spacing w:before="20" w:after="20"/>
              <w:jc w:val="both"/>
            </w:pPr>
            <w:r>
              <w:rPr>
                <w:b/>
                <w:bCs/>
                <w:sz w:val="18"/>
                <w:szCs w:val="18"/>
              </w:rPr>
              <w:t xml:space="preserve">Producto 31: </w:t>
            </w:r>
            <w:r>
              <w:rPr>
                <w:sz w:val="18"/>
                <w:szCs w:val="18"/>
              </w:rPr>
              <w:t>Cuadro de gradación de pasivos de una sociedad en liquidación.</w:t>
            </w:r>
          </w:p>
        </w:tc>
      </w:tr>
      <w:tr w:rsidR="00990B14" w14:paraId="47C8708F" w14:textId="77777777">
        <w:trPr>
          <w:cantSplit/>
          <w:jc w:val="center"/>
        </w:trPr>
        <w:tc>
          <w:tcPr>
            <w:tcW w:w="3133" w:type="dxa"/>
            <w:gridSpan w:val="4"/>
            <w:vMerge/>
            <w:shd w:val="clear" w:color="auto" w:fill="D9E2F3"/>
            <w:vAlign w:val="center"/>
          </w:tcPr>
          <w:p w14:paraId="7C72825A" w14:textId="77777777" w:rsidR="00990B14" w:rsidRDefault="00990B14">
            <w:pPr>
              <w:spacing w:before="20" w:after="20"/>
            </w:pPr>
          </w:p>
        </w:tc>
        <w:tc>
          <w:tcPr>
            <w:tcW w:w="3135" w:type="dxa"/>
            <w:gridSpan w:val="5"/>
            <w:shd w:val="clear" w:color="auto" w:fill="D9E2F3"/>
            <w:vAlign w:val="center"/>
          </w:tcPr>
          <w:p w14:paraId="4FFFB33A" w14:textId="77777777" w:rsidR="00990B14" w:rsidRDefault="00000000">
            <w:pPr>
              <w:spacing w:before="20" w:after="20"/>
              <w:jc w:val="both"/>
            </w:pPr>
            <w:r>
              <w:rPr>
                <w:sz w:val="18"/>
                <w:szCs w:val="18"/>
              </w:rPr>
              <w:t>2.2 Expone ante el curso el procedimiento de liquidación y la rendición de cuentas del liquidador de un caso.</w:t>
            </w:r>
          </w:p>
        </w:tc>
        <w:tc>
          <w:tcPr>
            <w:tcW w:w="3137" w:type="dxa"/>
            <w:gridSpan w:val="4"/>
            <w:shd w:val="clear" w:color="auto" w:fill="D9E2F3"/>
            <w:vAlign w:val="center"/>
          </w:tcPr>
          <w:p w14:paraId="1F8B8DB7" w14:textId="77777777" w:rsidR="00990B14" w:rsidRDefault="00000000">
            <w:pPr>
              <w:spacing w:before="20" w:after="20"/>
              <w:jc w:val="both"/>
            </w:pPr>
            <w:r>
              <w:rPr>
                <w:b/>
                <w:bCs/>
                <w:sz w:val="18"/>
                <w:szCs w:val="18"/>
              </w:rPr>
              <w:t xml:space="preserve">Producto 32: </w:t>
            </w:r>
            <w:r>
              <w:rPr>
                <w:sz w:val="18"/>
                <w:szCs w:val="18"/>
              </w:rPr>
              <w:t>Estado de liquidación con la rendición de cuentas del liquidador.</w:t>
            </w:r>
          </w:p>
        </w:tc>
      </w:tr>
      <w:tr w:rsidR="00990B14" w14:paraId="743E91CB" w14:textId="77777777">
        <w:trPr>
          <w:cantSplit/>
          <w:jc w:val="center"/>
        </w:trPr>
        <w:tc>
          <w:tcPr>
            <w:tcW w:w="9405" w:type="dxa"/>
            <w:gridSpan w:val="13"/>
            <w:shd w:val="clear" w:color="auto" w:fill="4472C4"/>
            <w:vAlign w:val="center"/>
          </w:tcPr>
          <w:p w14:paraId="6F92F7EF" w14:textId="77777777" w:rsidR="00990B14" w:rsidRDefault="00000000">
            <w:pPr>
              <w:keepNext/>
              <w:spacing w:before="20" w:after="20"/>
              <w:jc w:val="center"/>
            </w:pPr>
            <w:r>
              <w:rPr>
                <w:b/>
                <w:bCs/>
                <w:i/>
                <w:iCs/>
                <w:color w:val="FFFFFF"/>
                <w:sz w:val="18"/>
                <w:szCs w:val="18"/>
              </w:rPr>
              <w:t>Evidencias de conocimiento</w:t>
            </w:r>
          </w:p>
        </w:tc>
      </w:tr>
      <w:tr w:rsidR="00990B14" w14:paraId="27E92B7C" w14:textId="77777777">
        <w:trPr>
          <w:cantSplit/>
          <w:jc w:val="center"/>
        </w:trPr>
        <w:tc>
          <w:tcPr>
            <w:tcW w:w="2349" w:type="dxa"/>
            <w:gridSpan w:val="2"/>
            <w:shd w:val="clear" w:color="auto" w:fill="4472C4"/>
            <w:vAlign w:val="center"/>
          </w:tcPr>
          <w:p w14:paraId="1F6C1042"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0FB88307" w14:textId="77777777" w:rsidR="00990B14" w:rsidRDefault="00000000">
            <w:pPr>
              <w:keepNext/>
              <w:spacing w:before="20" w:after="20"/>
              <w:jc w:val="both"/>
            </w:pPr>
            <w:r>
              <w:rPr>
                <w:b/>
                <w:bCs/>
                <w:i/>
                <w:iCs/>
                <w:color w:val="FFFFFF"/>
                <w:sz w:val="18"/>
                <w:szCs w:val="18"/>
              </w:rPr>
              <w:t>Contenidos</w:t>
            </w:r>
          </w:p>
          <w:p w14:paraId="34876F39"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4AC2A2B7" w14:textId="77777777" w:rsidR="00990B14" w:rsidRDefault="00000000">
            <w:pPr>
              <w:keepNext/>
              <w:spacing w:before="20" w:after="20"/>
              <w:jc w:val="center"/>
            </w:pPr>
            <w:r>
              <w:rPr>
                <w:b/>
                <w:bCs/>
                <w:i/>
                <w:iCs/>
                <w:color w:val="FFFFFF"/>
                <w:sz w:val="18"/>
                <w:szCs w:val="18"/>
              </w:rPr>
              <w:t>Conocimientos circunstanciales</w:t>
            </w:r>
          </w:p>
        </w:tc>
      </w:tr>
      <w:tr w:rsidR="00990B14" w14:paraId="1008B84F" w14:textId="77777777">
        <w:trPr>
          <w:jc w:val="center"/>
        </w:trPr>
        <w:tc>
          <w:tcPr>
            <w:tcW w:w="2349" w:type="dxa"/>
            <w:gridSpan w:val="2"/>
            <w:shd w:val="clear" w:color="auto" w:fill="D9E2F3"/>
          </w:tcPr>
          <w:p w14:paraId="37360831" w14:textId="77777777" w:rsidR="00990B14" w:rsidRDefault="00000000">
            <w:pPr>
              <w:spacing w:before="20" w:after="40"/>
              <w:jc w:val="both"/>
            </w:pPr>
            <w:r>
              <w:rPr>
                <w:sz w:val="18"/>
                <w:szCs w:val="18"/>
              </w:rPr>
              <w:t>Tema 23: Transformación</w:t>
            </w:r>
          </w:p>
          <w:p w14:paraId="2EE518F8" w14:textId="77777777" w:rsidR="00990B14" w:rsidRDefault="00000000">
            <w:pPr>
              <w:spacing w:before="20" w:after="40"/>
              <w:jc w:val="both"/>
            </w:pPr>
            <w:r>
              <w:rPr>
                <w:sz w:val="18"/>
                <w:szCs w:val="18"/>
              </w:rPr>
              <w:t>Tema 24: Fusión (parte 1)</w:t>
            </w:r>
          </w:p>
          <w:p w14:paraId="25FB9B6A" w14:textId="77777777" w:rsidR="00990B14" w:rsidRDefault="00000000">
            <w:pPr>
              <w:spacing w:before="20" w:after="40"/>
              <w:jc w:val="both"/>
            </w:pPr>
            <w:r>
              <w:rPr>
                <w:sz w:val="18"/>
                <w:szCs w:val="18"/>
              </w:rPr>
              <w:t>Tema 25: Fusión (parte 2)</w:t>
            </w:r>
          </w:p>
          <w:p w14:paraId="408609A0" w14:textId="77777777" w:rsidR="00990B14" w:rsidRDefault="00000000">
            <w:pPr>
              <w:spacing w:before="20" w:after="40"/>
              <w:jc w:val="both"/>
            </w:pPr>
            <w:r>
              <w:rPr>
                <w:sz w:val="18"/>
                <w:szCs w:val="18"/>
              </w:rPr>
              <w:t>Tema 26: Liquidación (parte 1)</w:t>
            </w:r>
          </w:p>
          <w:p w14:paraId="712C09FA" w14:textId="77777777" w:rsidR="00990B14" w:rsidRDefault="00000000">
            <w:pPr>
              <w:spacing w:before="20" w:after="40"/>
              <w:jc w:val="both"/>
            </w:pPr>
            <w:r>
              <w:rPr>
                <w:sz w:val="18"/>
                <w:szCs w:val="18"/>
              </w:rPr>
              <w:t>Tema 27: Liquidación (parte 2)</w:t>
            </w:r>
          </w:p>
        </w:tc>
        <w:tc>
          <w:tcPr>
            <w:tcW w:w="4304" w:type="dxa"/>
            <w:gridSpan w:val="8"/>
            <w:shd w:val="clear" w:color="auto" w:fill="D9E2F3"/>
          </w:tcPr>
          <w:p w14:paraId="4187A745" w14:textId="77777777" w:rsidR="00990B14" w:rsidRDefault="00000000">
            <w:pPr>
              <w:spacing w:after="40"/>
              <w:jc w:val="both"/>
            </w:pPr>
            <w:r>
              <w:rPr>
                <w:sz w:val="18"/>
                <w:szCs w:val="18"/>
              </w:rPr>
              <w:t>Transformación de sociedades: concepto, características, causas, disposiciones legales y clases de transformación. (C)</w:t>
            </w:r>
          </w:p>
          <w:p w14:paraId="0C28C7D4" w14:textId="77777777" w:rsidR="00990B14" w:rsidRDefault="00000000">
            <w:pPr>
              <w:spacing w:after="40"/>
              <w:jc w:val="both"/>
            </w:pPr>
            <w:r>
              <w:rPr>
                <w:sz w:val="18"/>
                <w:szCs w:val="18"/>
              </w:rPr>
              <w:t>Valuación de la transformación al valor en libros y al valor por grado de realización; tratamiento contable, procedimiento y demostración. (P)</w:t>
            </w:r>
          </w:p>
          <w:p w14:paraId="1386C79E" w14:textId="77777777" w:rsidR="00990B14" w:rsidRDefault="00000000">
            <w:pPr>
              <w:spacing w:after="40"/>
              <w:jc w:val="both"/>
            </w:pPr>
            <w:r>
              <w:rPr>
                <w:sz w:val="18"/>
                <w:szCs w:val="18"/>
              </w:rPr>
              <w:t>Fusión de sociedades: concepto, características, causas, disposiciones legales y requisitos preliminares y definitivos. (C)</w:t>
            </w:r>
          </w:p>
          <w:p w14:paraId="34A4A355" w14:textId="77777777" w:rsidR="00990B14" w:rsidRDefault="00000000">
            <w:pPr>
              <w:spacing w:after="40"/>
              <w:jc w:val="both"/>
            </w:pPr>
            <w:r>
              <w:rPr>
                <w:sz w:val="18"/>
                <w:szCs w:val="18"/>
              </w:rPr>
              <w:t>Clases y formas de fusión: fusión por integración y fusión por absorción o incorporación; valuación y procedimiento de cada una, con su demostración. (P)</w:t>
            </w:r>
          </w:p>
          <w:p w14:paraId="2B1AD0CB" w14:textId="77777777" w:rsidR="00990B14" w:rsidRDefault="00000000">
            <w:pPr>
              <w:spacing w:after="40"/>
              <w:jc w:val="both"/>
            </w:pPr>
            <w:r>
              <w:rPr>
                <w:sz w:val="18"/>
                <w:szCs w:val="18"/>
              </w:rPr>
              <w:t>Tratamiento contable de la fusión por integración, con sus registros contables y sus registros de cierre, y su demostración. (P)</w:t>
            </w:r>
          </w:p>
          <w:p w14:paraId="3EC8B837" w14:textId="77777777" w:rsidR="00990B14" w:rsidRDefault="00000000">
            <w:pPr>
              <w:spacing w:after="40"/>
              <w:jc w:val="both"/>
            </w:pPr>
            <w:r>
              <w:rPr>
                <w:sz w:val="18"/>
                <w:szCs w:val="18"/>
              </w:rPr>
              <w:t>Combinaciones de negocios según la NIIF 3: método de adquisición, valor razonable y plusvalía, y su diferencia con la valuación al valor en libros. (C)</w:t>
            </w:r>
          </w:p>
          <w:p w14:paraId="354FDFDC" w14:textId="77777777" w:rsidR="00990B14" w:rsidRDefault="00000000">
            <w:pPr>
              <w:spacing w:after="40"/>
              <w:jc w:val="both"/>
            </w:pPr>
            <w:r>
              <w:rPr>
                <w:sz w:val="18"/>
                <w:szCs w:val="18"/>
              </w:rPr>
              <w:t>Liquidación de sociedades: introducción, concepto, características, causas y disposiciones legales. (C)</w:t>
            </w:r>
          </w:p>
          <w:p w14:paraId="544BD882" w14:textId="77777777" w:rsidR="00990B14" w:rsidRDefault="00000000">
            <w:pPr>
              <w:spacing w:after="40"/>
              <w:jc w:val="both"/>
            </w:pPr>
            <w:r>
              <w:rPr>
                <w:sz w:val="18"/>
                <w:szCs w:val="18"/>
              </w:rPr>
              <w:t>Clases de liquidación voluntaria y obligada, sus diferencias y la deficiencia en activos. (C)</w:t>
            </w:r>
          </w:p>
          <w:p w14:paraId="7CBDC80B" w14:textId="77777777" w:rsidR="00990B14" w:rsidRDefault="00000000">
            <w:pPr>
              <w:spacing w:after="40"/>
              <w:jc w:val="both"/>
            </w:pPr>
            <w:r>
              <w:rPr>
                <w:sz w:val="18"/>
                <w:szCs w:val="18"/>
              </w:rPr>
              <w:t>Hipótesis de empresa en marcha y base de liquidación en la preparación de estados financieros según la NIC 1. (P)</w:t>
            </w:r>
          </w:p>
          <w:p w14:paraId="17B03F84" w14:textId="77777777" w:rsidR="00990B14" w:rsidRDefault="00000000">
            <w:pPr>
              <w:spacing w:after="40"/>
              <w:jc w:val="both"/>
            </w:pPr>
            <w:r>
              <w:rPr>
                <w:sz w:val="18"/>
                <w:szCs w:val="18"/>
              </w:rPr>
              <w:t>Gradación de pasivos en obligaciones laborales, tributarias, de dominio, hipotecarias, documentarias, comunes y con inversionistas; concurso de acreedores. (C)</w:t>
            </w:r>
          </w:p>
          <w:p w14:paraId="5F81659F" w14:textId="77777777" w:rsidR="00990B14" w:rsidRDefault="00000000">
            <w:pPr>
              <w:spacing w:after="40"/>
              <w:jc w:val="both"/>
            </w:pPr>
            <w:r>
              <w:rPr>
                <w:sz w:val="18"/>
                <w:szCs w:val="18"/>
              </w:rPr>
              <w:t>Personas encargadas de la liquidación y procedimiento de la liquidación voluntaria y de la liquidación obligada, con su demostración. (P)</w:t>
            </w:r>
          </w:p>
          <w:p w14:paraId="02246739" w14:textId="77777777" w:rsidR="00990B14" w:rsidRDefault="00000000">
            <w:pPr>
              <w:spacing w:after="40"/>
              <w:jc w:val="both"/>
            </w:pPr>
            <w:r>
              <w:rPr>
                <w:sz w:val="18"/>
                <w:szCs w:val="18"/>
              </w:rPr>
              <w:t>Control del proceso de liquidación: inventario, rendición de cuentas del liquidador y conciliación de los pasivos graduados. (P)</w:t>
            </w:r>
          </w:p>
          <w:p w14:paraId="49989CBF" w14:textId="77777777" w:rsidR="00990B14" w:rsidRDefault="00000000">
            <w:pPr>
              <w:spacing w:after="40"/>
              <w:jc w:val="both"/>
            </w:pPr>
            <w:r>
              <w:rPr>
                <w:sz w:val="18"/>
                <w:szCs w:val="18"/>
              </w:rPr>
              <w:t>Naturaleza de las cuentas y tratamiento contable de la liquidación voluntaria y de la liquidación obligada, con su demostración. (C, P)</w:t>
            </w:r>
          </w:p>
        </w:tc>
        <w:tc>
          <w:tcPr>
            <w:tcW w:w="2752" w:type="dxa"/>
            <w:gridSpan w:val="3"/>
            <w:shd w:val="clear" w:color="auto" w:fill="D9E2F3"/>
          </w:tcPr>
          <w:p w14:paraId="7EC21737" w14:textId="77777777" w:rsidR="00990B14" w:rsidRDefault="00000000">
            <w:pPr>
              <w:numPr>
                <w:ilvl w:val="0"/>
                <w:numId w:val="139"/>
              </w:numPr>
              <w:spacing w:before="10" w:after="10"/>
              <w:jc w:val="both"/>
            </w:pPr>
            <w:r>
              <w:rPr>
                <w:sz w:val="18"/>
                <w:szCs w:val="18"/>
              </w:rPr>
              <w:t>Nociones del inventario y del avalúo de bienes en un proceso de liquidación.</w:t>
            </w:r>
          </w:p>
          <w:p w14:paraId="770182ED" w14:textId="77777777" w:rsidR="00990B14" w:rsidRDefault="00000000">
            <w:pPr>
              <w:numPr>
                <w:ilvl w:val="0"/>
                <w:numId w:val="139"/>
              </w:numPr>
              <w:spacing w:before="10" w:after="10"/>
              <w:jc w:val="both"/>
            </w:pPr>
            <w:r>
              <w:rPr>
                <w:sz w:val="18"/>
                <w:szCs w:val="18"/>
              </w:rPr>
              <w:t>Nociones de la publicación de los acuerdos de fusión y de liquidación.</w:t>
            </w:r>
          </w:p>
        </w:tc>
      </w:tr>
      <w:tr w:rsidR="00990B14" w14:paraId="67A598F2" w14:textId="77777777">
        <w:trPr>
          <w:cantSplit/>
          <w:jc w:val="center"/>
        </w:trPr>
        <w:tc>
          <w:tcPr>
            <w:tcW w:w="9405" w:type="dxa"/>
            <w:gridSpan w:val="13"/>
            <w:shd w:val="clear" w:color="auto" w:fill="D9E2F3"/>
            <w:vAlign w:val="center"/>
          </w:tcPr>
          <w:p w14:paraId="39936C11" w14:textId="77777777" w:rsidR="00990B14" w:rsidRDefault="00000000">
            <w:pPr>
              <w:spacing w:before="20" w:after="20"/>
              <w:jc w:val="both"/>
            </w:pPr>
            <w:r>
              <w:rPr>
                <w:b/>
                <w:bCs/>
                <w:i/>
                <w:iCs/>
                <w:sz w:val="18"/>
                <w:szCs w:val="18"/>
              </w:rPr>
              <w:t xml:space="preserve">Elemento de competencia 9: </w:t>
            </w:r>
            <w:r>
              <w:rPr>
                <w:sz w:val="18"/>
                <w:szCs w:val="18"/>
              </w:rPr>
              <w:t>Aplica el tratamiento contable de las organizaciones sin fines de lucro, clasificando sus activos netos según las restricciones de los donantes y estructurando su plan de cuentas, con base en los pronunciamientos del Consejo de Normas de Contabilidad Financiera de Estados Unidos y con transparencia.</w:t>
            </w:r>
          </w:p>
        </w:tc>
      </w:tr>
      <w:tr w:rsidR="00990B14" w14:paraId="63376450" w14:textId="77777777">
        <w:trPr>
          <w:cantSplit/>
          <w:jc w:val="center"/>
        </w:trPr>
        <w:tc>
          <w:tcPr>
            <w:tcW w:w="3133" w:type="dxa"/>
            <w:gridSpan w:val="4"/>
            <w:shd w:val="clear" w:color="auto" w:fill="4472C4"/>
            <w:vAlign w:val="center"/>
          </w:tcPr>
          <w:p w14:paraId="56E974C6"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5531A93E"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6D369D24" w14:textId="77777777" w:rsidR="00990B14" w:rsidRDefault="00000000">
            <w:pPr>
              <w:keepNext/>
              <w:spacing w:before="20" w:after="20"/>
              <w:jc w:val="center"/>
            </w:pPr>
            <w:r>
              <w:rPr>
                <w:b/>
                <w:bCs/>
                <w:i/>
                <w:iCs/>
                <w:color w:val="FFFFFF"/>
                <w:sz w:val="18"/>
                <w:szCs w:val="18"/>
              </w:rPr>
              <w:t>Evidencias de producto</w:t>
            </w:r>
          </w:p>
        </w:tc>
      </w:tr>
      <w:tr w:rsidR="00990B14" w14:paraId="2FFD0BCF" w14:textId="77777777">
        <w:trPr>
          <w:cantSplit/>
          <w:jc w:val="center"/>
        </w:trPr>
        <w:tc>
          <w:tcPr>
            <w:tcW w:w="3133" w:type="dxa"/>
            <w:gridSpan w:val="4"/>
            <w:vMerge w:val="restart"/>
            <w:shd w:val="clear" w:color="auto" w:fill="D9E2F3"/>
            <w:vAlign w:val="center"/>
          </w:tcPr>
          <w:p w14:paraId="5F10432D" w14:textId="77777777" w:rsidR="00990B14" w:rsidRDefault="00000000">
            <w:pPr>
              <w:spacing w:before="20" w:after="20"/>
              <w:jc w:val="both"/>
            </w:pPr>
            <w:r>
              <w:rPr>
                <w:sz w:val="18"/>
                <w:szCs w:val="18"/>
              </w:rPr>
              <w:t>1. Registra las operaciones de una organización sin fines de lucro, clasificando sus activos netos según las restricciones de los donantes.</w:t>
            </w:r>
          </w:p>
        </w:tc>
        <w:tc>
          <w:tcPr>
            <w:tcW w:w="3135" w:type="dxa"/>
            <w:gridSpan w:val="5"/>
            <w:shd w:val="clear" w:color="auto" w:fill="D9E2F3"/>
            <w:vAlign w:val="center"/>
          </w:tcPr>
          <w:p w14:paraId="0DEE07B1" w14:textId="77777777" w:rsidR="00990B14" w:rsidRDefault="00000000">
            <w:pPr>
              <w:spacing w:before="20" w:after="20"/>
              <w:jc w:val="both"/>
            </w:pPr>
            <w:r>
              <w:rPr>
                <w:sz w:val="18"/>
                <w:szCs w:val="18"/>
              </w:rPr>
              <w:t>1.1 Resuelve en aula el registro de donaciones restringidas y no restringidas de una fundación.</w:t>
            </w:r>
          </w:p>
        </w:tc>
        <w:tc>
          <w:tcPr>
            <w:tcW w:w="3137" w:type="dxa"/>
            <w:gridSpan w:val="4"/>
            <w:shd w:val="clear" w:color="auto" w:fill="D9E2F3"/>
            <w:vAlign w:val="center"/>
          </w:tcPr>
          <w:p w14:paraId="7FA9CBD1" w14:textId="77777777" w:rsidR="00990B14" w:rsidRDefault="00000000">
            <w:pPr>
              <w:spacing w:before="20" w:after="20"/>
              <w:jc w:val="both"/>
            </w:pPr>
            <w:r>
              <w:rPr>
                <w:b/>
                <w:bCs/>
                <w:sz w:val="18"/>
                <w:szCs w:val="18"/>
              </w:rPr>
              <w:t xml:space="preserve">Producto 33: </w:t>
            </w:r>
            <w:r>
              <w:rPr>
                <w:sz w:val="18"/>
                <w:szCs w:val="18"/>
              </w:rPr>
              <w:t>Registro de donaciones y de activos netos de una organización sin fines de lucro.</w:t>
            </w:r>
          </w:p>
        </w:tc>
      </w:tr>
      <w:tr w:rsidR="00990B14" w14:paraId="15D7D672" w14:textId="77777777">
        <w:trPr>
          <w:cantSplit/>
          <w:jc w:val="center"/>
        </w:trPr>
        <w:tc>
          <w:tcPr>
            <w:tcW w:w="3133" w:type="dxa"/>
            <w:gridSpan w:val="4"/>
            <w:vMerge/>
            <w:shd w:val="clear" w:color="auto" w:fill="D9E2F3"/>
            <w:vAlign w:val="center"/>
          </w:tcPr>
          <w:p w14:paraId="19BAD9D8" w14:textId="77777777" w:rsidR="00990B14" w:rsidRDefault="00990B14">
            <w:pPr>
              <w:spacing w:before="20" w:after="20"/>
            </w:pPr>
          </w:p>
        </w:tc>
        <w:tc>
          <w:tcPr>
            <w:tcW w:w="3135" w:type="dxa"/>
            <w:gridSpan w:val="5"/>
            <w:shd w:val="clear" w:color="auto" w:fill="D9E2F3"/>
            <w:vAlign w:val="center"/>
          </w:tcPr>
          <w:p w14:paraId="3043FE8C" w14:textId="77777777" w:rsidR="00990B14" w:rsidRDefault="00000000">
            <w:pPr>
              <w:spacing w:before="20" w:after="20"/>
              <w:jc w:val="both"/>
            </w:pPr>
            <w:r>
              <w:rPr>
                <w:sz w:val="18"/>
                <w:szCs w:val="18"/>
              </w:rPr>
              <w:t>1.2 Prepara en equipo el estado de situación financiera, el estado de actividades y el estado de movimiento del efectivo de una organización sin fines de lucro.</w:t>
            </w:r>
          </w:p>
        </w:tc>
        <w:tc>
          <w:tcPr>
            <w:tcW w:w="3137" w:type="dxa"/>
            <w:gridSpan w:val="4"/>
            <w:shd w:val="clear" w:color="auto" w:fill="D9E2F3"/>
            <w:vAlign w:val="center"/>
          </w:tcPr>
          <w:p w14:paraId="3B891AD9" w14:textId="77777777" w:rsidR="00990B14" w:rsidRDefault="00000000">
            <w:pPr>
              <w:spacing w:before="20" w:after="20"/>
              <w:jc w:val="both"/>
            </w:pPr>
            <w:r>
              <w:rPr>
                <w:b/>
                <w:bCs/>
                <w:sz w:val="18"/>
                <w:szCs w:val="18"/>
              </w:rPr>
              <w:t xml:space="preserve">Producto 34: </w:t>
            </w:r>
            <w:r>
              <w:rPr>
                <w:sz w:val="18"/>
                <w:szCs w:val="18"/>
              </w:rPr>
              <w:t>Estados financieros de una organización sin fines de lucro.</w:t>
            </w:r>
          </w:p>
        </w:tc>
      </w:tr>
      <w:tr w:rsidR="00990B14" w14:paraId="545BA688" w14:textId="77777777">
        <w:trPr>
          <w:cantSplit/>
          <w:jc w:val="center"/>
        </w:trPr>
        <w:tc>
          <w:tcPr>
            <w:tcW w:w="3133" w:type="dxa"/>
            <w:gridSpan w:val="4"/>
            <w:vMerge w:val="restart"/>
            <w:shd w:val="clear" w:color="auto" w:fill="D9E2F3"/>
            <w:vAlign w:val="center"/>
          </w:tcPr>
          <w:p w14:paraId="144A7E33" w14:textId="77777777" w:rsidR="00990B14" w:rsidRDefault="00000000">
            <w:pPr>
              <w:spacing w:before="20" w:after="20"/>
              <w:jc w:val="both"/>
            </w:pPr>
            <w:r>
              <w:rPr>
                <w:sz w:val="18"/>
                <w:szCs w:val="18"/>
              </w:rPr>
              <w:t>2. Estructura el sistema de contabilidad para una organización sin fines de lucro, apropiando partidas específicas inherentes a la restricción impuesta por el donante.</w:t>
            </w:r>
          </w:p>
        </w:tc>
        <w:tc>
          <w:tcPr>
            <w:tcW w:w="3135" w:type="dxa"/>
            <w:gridSpan w:val="5"/>
            <w:shd w:val="clear" w:color="auto" w:fill="D9E2F3"/>
            <w:vAlign w:val="center"/>
          </w:tcPr>
          <w:p w14:paraId="08D83981" w14:textId="77777777" w:rsidR="00990B14" w:rsidRDefault="00000000">
            <w:pPr>
              <w:spacing w:before="20" w:after="20"/>
              <w:jc w:val="both"/>
            </w:pPr>
            <w:r>
              <w:rPr>
                <w:sz w:val="18"/>
                <w:szCs w:val="18"/>
              </w:rPr>
              <w:t>2.1 Diseña en el laboratorio de cómputo el plan de cuentas codificado de una organización sin fines de lucro.</w:t>
            </w:r>
          </w:p>
        </w:tc>
        <w:tc>
          <w:tcPr>
            <w:tcW w:w="3137" w:type="dxa"/>
            <w:gridSpan w:val="4"/>
            <w:shd w:val="clear" w:color="auto" w:fill="D9E2F3"/>
            <w:vAlign w:val="center"/>
          </w:tcPr>
          <w:p w14:paraId="6A22CE92" w14:textId="77777777" w:rsidR="00990B14" w:rsidRDefault="00000000">
            <w:pPr>
              <w:spacing w:before="20" w:after="20"/>
              <w:jc w:val="both"/>
            </w:pPr>
            <w:r>
              <w:rPr>
                <w:b/>
                <w:bCs/>
                <w:sz w:val="18"/>
                <w:szCs w:val="18"/>
              </w:rPr>
              <w:t xml:space="preserve">Producto 35: </w:t>
            </w:r>
            <w:r>
              <w:rPr>
                <w:sz w:val="18"/>
                <w:szCs w:val="18"/>
              </w:rPr>
              <w:t>Plan de cuentas codificado de una organización sin fines de lucro.</w:t>
            </w:r>
          </w:p>
        </w:tc>
      </w:tr>
      <w:tr w:rsidR="00990B14" w14:paraId="76933F07" w14:textId="77777777">
        <w:trPr>
          <w:cantSplit/>
          <w:jc w:val="center"/>
        </w:trPr>
        <w:tc>
          <w:tcPr>
            <w:tcW w:w="3133" w:type="dxa"/>
            <w:gridSpan w:val="4"/>
            <w:vMerge/>
            <w:shd w:val="clear" w:color="auto" w:fill="D9E2F3"/>
            <w:vAlign w:val="center"/>
          </w:tcPr>
          <w:p w14:paraId="5B109409" w14:textId="77777777" w:rsidR="00990B14" w:rsidRDefault="00990B14">
            <w:pPr>
              <w:spacing w:before="20" w:after="20"/>
            </w:pPr>
          </w:p>
        </w:tc>
        <w:tc>
          <w:tcPr>
            <w:tcW w:w="3135" w:type="dxa"/>
            <w:gridSpan w:val="5"/>
            <w:shd w:val="clear" w:color="auto" w:fill="D9E2F3"/>
            <w:vAlign w:val="center"/>
          </w:tcPr>
          <w:p w14:paraId="260BF4F0" w14:textId="77777777" w:rsidR="00990B14" w:rsidRDefault="00000000">
            <w:pPr>
              <w:spacing w:before="20" w:after="20"/>
              <w:jc w:val="both"/>
            </w:pPr>
            <w:r>
              <w:rPr>
                <w:sz w:val="18"/>
                <w:szCs w:val="18"/>
              </w:rPr>
              <w:t>2.2 Presenta ante el curso un informe financiero de rendición de cuentas a un financiador.</w:t>
            </w:r>
          </w:p>
        </w:tc>
        <w:tc>
          <w:tcPr>
            <w:tcW w:w="3137" w:type="dxa"/>
            <w:gridSpan w:val="4"/>
            <w:shd w:val="clear" w:color="auto" w:fill="D9E2F3"/>
            <w:vAlign w:val="center"/>
          </w:tcPr>
          <w:p w14:paraId="33C06298" w14:textId="77777777" w:rsidR="00990B14" w:rsidRDefault="00000000">
            <w:pPr>
              <w:spacing w:before="20" w:after="20"/>
              <w:jc w:val="both"/>
            </w:pPr>
            <w:r>
              <w:rPr>
                <w:b/>
                <w:bCs/>
                <w:sz w:val="18"/>
                <w:szCs w:val="18"/>
              </w:rPr>
              <w:t xml:space="preserve">Producto 36: </w:t>
            </w:r>
            <w:r>
              <w:rPr>
                <w:sz w:val="18"/>
                <w:szCs w:val="18"/>
              </w:rPr>
              <w:t>Informe financiero por proyecto para el donante.</w:t>
            </w:r>
          </w:p>
        </w:tc>
      </w:tr>
      <w:tr w:rsidR="00990B14" w14:paraId="51CCEAEE" w14:textId="77777777">
        <w:trPr>
          <w:cantSplit/>
          <w:jc w:val="center"/>
        </w:trPr>
        <w:tc>
          <w:tcPr>
            <w:tcW w:w="9405" w:type="dxa"/>
            <w:gridSpan w:val="13"/>
            <w:shd w:val="clear" w:color="auto" w:fill="4472C4"/>
            <w:vAlign w:val="center"/>
          </w:tcPr>
          <w:p w14:paraId="09E5D945" w14:textId="77777777" w:rsidR="00990B14" w:rsidRDefault="00000000">
            <w:pPr>
              <w:keepNext/>
              <w:spacing w:before="20" w:after="20"/>
              <w:jc w:val="center"/>
            </w:pPr>
            <w:r>
              <w:rPr>
                <w:b/>
                <w:bCs/>
                <w:i/>
                <w:iCs/>
                <w:color w:val="FFFFFF"/>
                <w:sz w:val="18"/>
                <w:szCs w:val="18"/>
              </w:rPr>
              <w:t>Evidencias de conocimiento</w:t>
            </w:r>
          </w:p>
        </w:tc>
      </w:tr>
      <w:tr w:rsidR="00990B14" w14:paraId="4462B678" w14:textId="77777777">
        <w:trPr>
          <w:cantSplit/>
          <w:jc w:val="center"/>
        </w:trPr>
        <w:tc>
          <w:tcPr>
            <w:tcW w:w="2349" w:type="dxa"/>
            <w:gridSpan w:val="2"/>
            <w:shd w:val="clear" w:color="auto" w:fill="4472C4"/>
            <w:vAlign w:val="center"/>
          </w:tcPr>
          <w:p w14:paraId="3D5D9583"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4A3D8F64" w14:textId="77777777" w:rsidR="00990B14" w:rsidRDefault="00000000">
            <w:pPr>
              <w:keepNext/>
              <w:spacing w:before="20" w:after="20"/>
              <w:jc w:val="both"/>
            </w:pPr>
            <w:r>
              <w:rPr>
                <w:b/>
                <w:bCs/>
                <w:i/>
                <w:iCs/>
                <w:color w:val="FFFFFF"/>
                <w:sz w:val="18"/>
                <w:szCs w:val="18"/>
              </w:rPr>
              <w:t>Contenidos</w:t>
            </w:r>
          </w:p>
          <w:p w14:paraId="36B2D023"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04E79C45" w14:textId="77777777" w:rsidR="00990B14" w:rsidRDefault="00000000">
            <w:pPr>
              <w:keepNext/>
              <w:spacing w:before="20" w:after="20"/>
              <w:jc w:val="center"/>
            </w:pPr>
            <w:r>
              <w:rPr>
                <w:b/>
                <w:bCs/>
                <w:i/>
                <w:iCs/>
                <w:color w:val="FFFFFF"/>
                <w:sz w:val="18"/>
                <w:szCs w:val="18"/>
              </w:rPr>
              <w:t>Conocimientos circunstanciales</w:t>
            </w:r>
          </w:p>
        </w:tc>
      </w:tr>
      <w:tr w:rsidR="00990B14" w14:paraId="385ACF33" w14:textId="77777777">
        <w:trPr>
          <w:jc w:val="center"/>
        </w:trPr>
        <w:tc>
          <w:tcPr>
            <w:tcW w:w="2349" w:type="dxa"/>
            <w:gridSpan w:val="2"/>
            <w:shd w:val="clear" w:color="auto" w:fill="D9E2F3"/>
          </w:tcPr>
          <w:p w14:paraId="19FEE44D" w14:textId="77777777" w:rsidR="00990B14" w:rsidRDefault="00000000">
            <w:pPr>
              <w:spacing w:before="20" w:after="40"/>
              <w:jc w:val="both"/>
            </w:pPr>
            <w:r>
              <w:rPr>
                <w:sz w:val="18"/>
                <w:szCs w:val="18"/>
              </w:rPr>
              <w:t>Tema 28: Organizaciones sin fines de lucro (parte 1)</w:t>
            </w:r>
          </w:p>
          <w:p w14:paraId="6289151E" w14:textId="77777777" w:rsidR="00990B14" w:rsidRDefault="00000000">
            <w:pPr>
              <w:spacing w:before="20" w:after="40"/>
              <w:jc w:val="both"/>
            </w:pPr>
            <w:r>
              <w:rPr>
                <w:sz w:val="18"/>
                <w:szCs w:val="18"/>
              </w:rPr>
              <w:t>Tema 29: Organizaciones sin fines de lucro (parte 2)</w:t>
            </w:r>
          </w:p>
          <w:p w14:paraId="3FFC141D" w14:textId="77777777" w:rsidR="00990B14" w:rsidRDefault="00000000">
            <w:pPr>
              <w:spacing w:before="20" w:after="40"/>
              <w:jc w:val="both"/>
            </w:pPr>
            <w:r>
              <w:rPr>
                <w:sz w:val="18"/>
                <w:szCs w:val="18"/>
              </w:rPr>
              <w:t>Tema 30: Plan de cuentas</w:t>
            </w:r>
          </w:p>
        </w:tc>
        <w:tc>
          <w:tcPr>
            <w:tcW w:w="4304" w:type="dxa"/>
            <w:gridSpan w:val="8"/>
            <w:shd w:val="clear" w:color="auto" w:fill="D9E2F3"/>
          </w:tcPr>
          <w:p w14:paraId="449C6BCF" w14:textId="77777777" w:rsidR="00990B14" w:rsidRDefault="00000000">
            <w:pPr>
              <w:spacing w:after="40"/>
              <w:jc w:val="both"/>
            </w:pPr>
            <w:r>
              <w:rPr>
                <w:sz w:val="18"/>
                <w:szCs w:val="18"/>
              </w:rPr>
              <w:t>Organizaciones sin fines de lucro: introducción, concepto, población meta elegida, objetivo, características, constitución, disolución y administración. (C)</w:t>
            </w:r>
          </w:p>
          <w:p w14:paraId="3FE0C4C8" w14:textId="77777777" w:rsidR="00990B14" w:rsidRDefault="00000000">
            <w:pPr>
              <w:spacing w:after="40"/>
              <w:jc w:val="both"/>
            </w:pPr>
            <w:r>
              <w:rPr>
                <w:sz w:val="18"/>
                <w:szCs w:val="18"/>
              </w:rPr>
              <w:t>Recursos y régimen fiscal de las organizaciones sin fines de lucro, con la presentación anual de estados financieros al Servicio de Impuestos Nacionales. (C)</w:t>
            </w:r>
          </w:p>
          <w:p w14:paraId="2CEA0BAB" w14:textId="77777777" w:rsidR="00990B14" w:rsidRDefault="00000000">
            <w:pPr>
              <w:spacing w:after="40"/>
              <w:jc w:val="both"/>
            </w:pPr>
            <w:r>
              <w:rPr>
                <w:sz w:val="18"/>
                <w:szCs w:val="18"/>
              </w:rPr>
              <w:t>Normas de contabilidad aplicables: clasificación, ausencia de normas específicas, jerarquía de los principios de contabilidad generalmente aceptados, con las NIIF como norma supletoria según la Resolución CTNAC N.º 01/2012, y su aplicación a las organizaciones sin fines de lucro. (C, P)</w:t>
            </w:r>
          </w:p>
          <w:p w14:paraId="29CE5EE3" w14:textId="77777777" w:rsidR="00990B14" w:rsidRDefault="00000000">
            <w:pPr>
              <w:spacing w:after="40"/>
              <w:jc w:val="both"/>
            </w:pPr>
            <w:r>
              <w:rPr>
                <w:sz w:val="18"/>
                <w:szCs w:val="18"/>
              </w:rPr>
              <w:t>Estados financieros de las organizaciones sin fines de lucro según el pronunciamiento FAS-117, Estados financieros de organizaciones sin ánimo de lucro: propósito de los estados financieros. (C)</w:t>
            </w:r>
          </w:p>
          <w:p w14:paraId="6D1AF40B" w14:textId="77777777" w:rsidR="00990B14" w:rsidRDefault="00000000">
            <w:pPr>
              <w:spacing w:after="40"/>
              <w:jc w:val="both"/>
            </w:pPr>
            <w:r>
              <w:rPr>
                <w:sz w:val="18"/>
                <w:szCs w:val="18"/>
              </w:rPr>
              <w:t>Estado de situación financiera: objetivo, características y clasificación de los activos netos en no restringidos, restringidos temporalmente y restringidos permanentemente. (C)</w:t>
            </w:r>
          </w:p>
          <w:p w14:paraId="3E113212" w14:textId="77777777" w:rsidR="00990B14" w:rsidRDefault="00000000">
            <w:pPr>
              <w:spacing w:after="40"/>
              <w:jc w:val="both"/>
            </w:pPr>
            <w:r>
              <w:rPr>
                <w:sz w:val="18"/>
                <w:szCs w:val="18"/>
              </w:rPr>
              <w:t>Actualización del FAS-117 en la norma ASC 958 del FASB: activos netos sin restricciones y con restricciones de los donantes. (C)</w:t>
            </w:r>
          </w:p>
          <w:p w14:paraId="34BAC1EB" w14:textId="77777777" w:rsidR="00990B14" w:rsidRDefault="00000000">
            <w:pPr>
              <w:spacing w:after="40"/>
              <w:jc w:val="both"/>
            </w:pPr>
            <w:r>
              <w:rPr>
                <w:sz w:val="18"/>
                <w:szCs w:val="18"/>
              </w:rPr>
              <w:t>Estado de actividades: objetivo, características, clasificación, naturaleza de las cuentas e ingresos; estado de movimiento del efectivo. (C)</w:t>
            </w:r>
          </w:p>
          <w:p w14:paraId="7BAE24FE" w14:textId="77777777" w:rsidR="00990B14" w:rsidRDefault="00000000">
            <w:pPr>
              <w:spacing w:after="40"/>
              <w:jc w:val="both"/>
            </w:pPr>
            <w:r>
              <w:rPr>
                <w:sz w:val="18"/>
                <w:szCs w:val="18"/>
              </w:rPr>
              <w:t>Tratamiento contable y naturaleza de las cuentas de las organizaciones sin fines de lucro, con su demostración; registros y estados financieros: estado de situación, estado de actividades y estado de movimiento del efectivo. (C, P)</w:t>
            </w:r>
          </w:p>
          <w:p w14:paraId="62CE0F32" w14:textId="77777777" w:rsidR="00990B14" w:rsidRDefault="00000000">
            <w:pPr>
              <w:spacing w:after="40"/>
              <w:jc w:val="both"/>
            </w:pPr>
            <w:r>
              <w:rPr>
                <w:sz w:val="18"/>
                <w:szCs w:val="18"/>
              </w:rPr>
              <w:t>Rendición de cuentas a los donantes y control del uso de los fondos restringidos. (C)</w:t>
            </w:r>
          </w:p>
          <w:p w14:paraId="1629D2CC" w14:textId="77777777" w:rsidR="00990B14" w:rsidRDefault="00000000">
            <w:pPr>
              <w:spacing w:after="40"/>
              <w:jc w:val="both"/>
            </w:pPr>
            <w:r>
              <w:rPr>
                <w:sz w:val="18"/>
                <w:szCs w:val="18"/>
              </w:rPr>
              <w:t>Plan de cuentas codificado para su uso en un sistema contable: concepto, objetivo, características y estructura. (C, T)</w:t>
            </w:r>
          </w:p>
          <w:p w14:paraId="5D88A995" w14:textId="77777777" w:rsidR="00990B14" w:rsidRDefault="00000000">
            <w:pPr>
              <w:spacing w:after="40"/>
              <w:jc w:val="both"/>
            </w:pPr>
            <w:r>
              <w:rPr>
                <w:sz w:val="18"/>
                <w:szCs w:val="18"/>
              </w:rPr>
              <w:t>Cuentas de balance: cuentas de activo, de pasivo, de patrimonio y sus cuentas reguladoras; cuentas de orden deudoras y acreedoras. (C)</w:t>
            </w:r>
          </w:p>
          <w:p w14:paraId="5EDEB249" w14:textId="77777777" w:rsidR="00990B14" w:rsidRDefault="00000000">
            <w:pPr>
              <w:spacing w:after="40"/>
              <w:jc w:val="both"/>
            </w:pPr>
            <w:r>
              <w:rPr>
                <w:sz w:val="18"/>
                <w:szCs w:val="18"/>
              </w:rPr>
              <w:t>Cuentas de resultados: cuentas de costo, de gasto, de ingreso y otras cuentas de resultados. (C)</w:t>
            </w:r>
          </w:p>
        </w:tc>
        <w:tc>
          <w:tcPr>
            <w:tcW w:w="2752" w:type="dxa"/>
            <w:gridSpan w:val="3"/>
            <w:shd w:val="clear" w:color="auto" w:fill="D9E2F3"/>
          </w:tcPr>
          <w:p w14:paraId="206A8FB6" w14:textId="77777777" w:rsidR="00990B14" w:rsidRDefault="00000000">
            <w:pPr>
              <w:numPr>
                <w:ilvl w:val="0"/>
                <w:numId w:val="139"/>
              </w:numPr>
              <w:spacing w:before="10" w:after="10"/>
              <w:jc w:val="both"/>
            </w:pPr>
            <w:r>
              <w:rPr>
                <w:sz w:val="18"/>
                <w:szCs w:val="18"/>
              </w:rPr>
              <w:t>Nociones de los convenios de financiamiento con donantes y de sus requisitos de rendición de cuentas.</w:t>
            </w:r>
          </w:p>
          <w:p w14:paraId="3317EFE4" w14:textId="77777777" w:rsidR="00990B14" w:rsidRDefault="00000000">
            <w:pPr>
              <w:numPr>
                <w:ilvl w:val="0"/>
                <w:numId w:val="139"/>
              </w:numPr>
              <w:spacing w:before="10" w:after="10"/>
              <w:jc w:val="both"/>
            </w:pPr>
            <w:r>
              <w:rPr>
                <w:sz w:val="18"/>
                <w:szCs w:val="18"/>
              </w:rPr>
              <w:t>Nociones de la gestión de proyectos sociales por fuente de financiamiento.</w:t>
            </w:r>
          </w:p>
        </w:tc>
      </w:tr>
    </w:tbl>
    <w:p w14:paraId="0ECBBB69"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805"/>
        <w:gridCol w:w="1805"/>
        <w:gridCol w:w="1805"/>
        <w:gridCol w:w="1700"/>
        <w:gridCol w:w="2290"/>
      </w:tblGrid>
      <w:tr w:rsidR="00990B14" w14:paraId="39B2A307" w14:textId="77777777">
        <w:trPr>
          <w:cantSplit/>
          <w:jc w:val="center"/>
        </w:trPr>
        <w:tc>
          <w:tcPr>
            <w:tcW w:w="9405" w:type="dxa"/>
            <w:gridSpan w:val="5"/>
            <w:shd w:val="clear" w:color="auto" w:fill="4472C4"/>
            <w:vAlign w:val="center"/>
          </w:tcPr>
          <w:p w14:paraId="38E1637E" w14:textId="77777777" w:rsidR="00990B14" w:rsidRDefault="00000000">
            <w:pPr>
              <w:keepNext/>
              <w:spacing w:before="20" w:after="20"/>
              <w:jc w:val="center"/>
            </w:pPr>
            <w:r>
              <w:rPr>
                <w:b/>
                <w:bCs/>
                <w:i/>
                <w:iCs/>
                <w:color w:val="FFFFFF"/>
                <w:sz w:val="18"/>
                <w:szCs w:val="18"/>
              </w:rPr>
              <w:t>Actividades</w:t>
            </w:r>
          </w:p>
        </w:tc>
      </w:tr>
      <w:tr w:rsidR="00990B14" w14:paraId="661DC952" w14:textId="77777777">
        <w:trPr>
          <w:cantSplit/>
          <w:jc w:val="center"/>
        </w:trPr>
        <w:tc>
          <w:tcPr>
            <w:tcW w:w="1805" w:type="dxa"/>
            <w:shd w:val="clear" w:color="auto" w:fill="4472C4"/>
            <w:vAlign w:val="center"/>
          </w:tcPr>
          <w:p w14:paraId="15251D9C" w14:textId="77777777" w:rsidR="00990B14" w:rsidRDefault="00000000">
            <w:pPr>
              <w:keepNext/>
              <w:spacing w:before="20" w:after="20"/>
              <w:jc w:val="center"/>
            </w:pPr>
            <w:r>
              <w:rPr>
                <w:b/>
                <w:bCs/>
                <w:i/>
                <w:iCs/>
                <w:color w:val="FFFFFF"/>
                <w:sz w:val="18"/>
                <w:szCs w:val="18"/>
              </w:rPr>
              <w:t>En clase</w:t>
            </w:r>
          </w:p>
        </w:tc>
        <w:tc>
          <w:tcPr>
            <w:tcW w:w="1805" w:type="dxa"/>
            <w:shd w:val="clear" w:color="auto" w:fill="4472C4"/>
            <w:vAlign w:val="center"/>
          </w:tcPr>
          <w:p w14:paraId="4BEDA9E3" w14:textId="77777777" w:rsidR="00990B14" w:rsidRDefault="00000000">
            <w:pPr>
              <w:keepNext/>
              <w:spacing w:before="20" w:after="20"/>
              <w:jc w:val="center"/>
            </w:pPr>
            <w:r>
              <w:rPr>
                <w:b/>
                <w:bCs/>
                <w:i/>
                <w:iCs/>
                <w:color w:val="FFFFFF"/>
                <w:sz w:val="18"/>
                <w:szCs w:val="18"/>
              </w:rPr>
              <w:t>Autónomas</w:t>
            </w:r>
          </w:p>
        </w:tc>
        <w:tc>
          <w:tcPr>
            <w:tcW w:w="1805" w:type="dxa"/>
            <w:shd w:val="clear" w:color="auto" w:fill="4472C4"/>
            <w:vAlign w:val="center"/>
          </w:tcPr>
          <w:p w14:paraId="779B367D" w14:textId="77777777" w:rsidR="00990B14" w:rsidRDefault="00000000">
            <w:pPr>
              <w:keepNext/>
              <w:spacing w:before="20" w:after="20"/>
              <w:jc w:val="center"/>
            </w:pPr>
            <w:r>
              <w:rPr>
                <w:b/>
                <w:bCs/>
                <w:i/>
                <w:iCs/>
                <w:color w:val="FFFFFF"/>
                <w:sz w:val="18"/>
                <w:szCs w:val="18"/>
              </w:rPr>
              <w:t>B-Learning</w:t>
            </w:r>
          </w:p>
        </w:tc>
        <w:tc>
          <w:tcPr>
            <w:tcW w:w="1700" w:type="dxa"/>
            <w:shd w:val="clear" w:color="auto" w:fill="4472C4"/>
            <w:vAlign w:val="center"/>
          </w:tcPr>
          <w:p w14:paraId="18864F20" w14:textId="77777777" w:rsidR="00990B14" w:rsidRDefault="00000000">
            <w:pPr>
              <w:keepNext/>
              <w:spacing w:before="20" w:after="20"/>
              <w:jc w:val="center"/>
            </w:pPr>
            <w:r>
              <w:rPr>
                <w:b/>
                <w:bCs/>
                <w:i/>
                <w:iCs/>
                <w:color w:val="FFFFFF"/>
                <w:sz w:val="18"/>
                <w:szCs w:val="18"/>
              </w:rPr>
              <w:t>Taller</w:t>
            </w:r>
          </w:p>
        </w:tc>
        <w:tc>
          <w:tcPr>
            <w:tcW w:w="2290" w:type="dxa"/>
            <w:shd w:val="clear" w:color="auto" w:fill="4472C4"/>
            <w:vAlign w:val="center"/>
          </w:tcPr>
          <w:p w14:paraId="73963FE2" w14:textId="77777777" w:rsidR="00990B14" w:rsidRDefault="00000000">
            <w:pPr>
              <w:keepNext/>
              <w:spacing w:before="20" w:after="20"/>
              <w:jc w:val="center"/>
            </w:pPr>
            <w:r>
              <w:rPr>
                <w:b/>
                <w:bCs/>
                <w:i/>
                <w:iCs/>
                <w:color w:val="FFFFFF"/>
                <w:sz w:val="18"/>
                <w:szCs w:val="18"/>
              </w:rPr>
              <w:t>Investigación/Práctica</w:t>
            </w:r>
          </w:p>
        </w:tc>
      </w:tr>
      <w:tr w:rsidR="00990B14" w14:paraId="5B3FC9B9" w14:textId="77777777">
        <w:trPr>
          <w:jc w:val="center"/>
        </w:trPr>
        <w:tc>
          <w:tcPr>
            <w:tcW w:w="1805" w:type="dxa"/>
            <w:shd w:val="clear" w:color="auto" w:fill="D9E2F3"/>
          </w:tcPr>
          <w:p w14:paraId="1FC13152" w14:textId="77777777" w:rsidR="00990B14" w:rsidRDefault="00000000">
            <w:pPr>
              <w:numPr>
                <w:ilvl w:val="0"/>
                <w:numId w:val="139"/>
              </w:numPr>
              <w:spacing w:before="10" w:after="10"/>
              <w:jc w:val="both"/>
            </w:pPr>
            <w:r>
              <w:rPr>
                <w:sz w:val="18"/>
                <w:szCs w:val="18"/>
              </w:rPr>
              <w:t>Exposición dialogada del régimen contable de cada tipo societario.</w:t>
            </w:r>
          </w:p>
          <w:p w14:paraId="518DEB28" w14:textId="77777777" w:rsidR="00990B14" w:rsidRDefault="00000000">
            <w:pPr>
              <w:numPr>
                <w:ilvl w:val="0"/>
                <w:numId w:val="139"/>
              </w:numPr>
              <w:spacing w:before="10" w:after="10"/>
              <w:jc w:val="both"/>
            </w:pPr>
            <w:r>
              <w:rPr>
                <w:sz w:val="18"/>
                <w:szCs w:val="18"/>
              </w:rPr>
              <w:t>Resolución guiada de casos de constitución, aumento y disminución de capital.</w:t>
            </w:r>
          </w:p>
          <w:p w14:paraId="4C834B9A" w14:textId="77777777" w:rsidR="00990B14" w:rsidRDefault="00000000">
            <w:pPr>
              <w:numPr>
                <w:ilvl w:val="0"/>
                <w:numId w:val="139"/>
              </w:numPr>
              <w:spacing w:before="10" w:after="10"/>
              <w:jc w:val="both"/>
            </w:pPr>
            <w:r>
              <w:rPr>
                <w:sz w:val="18"/>
                <w:szCs w:val="18"/>
              </w:rPr>
              <w:t>Demostración en hoja de cálculo de la distribución de dividendos y de la hoja de consolidación.</w:t>
            </w:r>
          </w:p>
          <w:p w14:paraId="63F82644" w14:textId="77777777" w:rsidR="00990B14" w:rsidRDefault="00000000">
            <w:pPr>
              <w:numPr>
                <w:ilvl w:val="0"/>
                <w:numId w:val="139"/>
              </w:numPr>
              <w:spacing w:before="10" w:after="10"/>
              <w:jc w:val="both"/>
            </w:pPr>
            <w:r>
              <w:rPr>
                <w:sz w:val="18"/>
                <w:szCs w:val="18"/>
              </w:rPr>
              <w:t>Análisis de casos de transformación, fusión y liquidación de sociedades bolivianas.</w:t>
            </w:r>
          </w:p>
          <w:p w14:paraId="41E0D7F1" w14:textId="77777777" w:rsidR="00990B14" w:rsidRDefault="00000000">
            <w:pPr>
              <w:numPr>
                <w:ilvl w:val="0"/>
                <w:numId w:val="139"/>
              </w:numPr>
              <w:spacing w:before="10" w:after="10"/>
              <w:jc w:val="both"/>
            </w:pPr>
            <w:r>
              <w:rPr>
                <w:sz w:val="18"/>
                <w:szCs w:val="18"/>
              </w:rPr>
              <w:t>Preguntas de comprensión sobre las diferencias entre las sociedades de personas y de capital.</w:t>
            </w:r>
          </w:p>
        </w:tc>
        <w:tc>
          <w:tcPr>
            <w:tcW w:w="1805" w:type="dxa"/>
            <w:shd w:val="clear" w:color="auto" w:fill="D9E2F3"/>
          </w:tcPr>
          <w:p w14:paraId="69C91F33" w14:textId="77777777" w:rsidR="00990B14" w:rsidRDefault="00000000">
            <w:pPr>
              <w:numPr>
                <w:ilvl w:val="0"/>
                <w:numId w:val="139"/>
              </w:numPr>
              <w:spacing w:before="10" w:after="10"/>
              <w:jc w:val="both"/>
            </w:pPr>
            <w:r>
              <w:rPr>
                <w:sz w:val="18"/>
                <w:szCs w:val="18"/>
              </w:rPr>
              <w:t>Resolución de ejercicios de constitución y modificación de capital al cierre de cada tema.</w:t>
            </w:r>
          </w:p>
          <w:p w14:paraId="63BEE1E2" w14:textId="77777777" w:rsidR="00990B14" w:rsidRDefault="00000000">
            <w:pPr>
              <w:numPr>
                <w:ilvl w:val="0"/>
                <w:numId w:val="139"/>
              </w:numPr>
              <w:spacing w:before="10" w:after="10"/>
              <w:jc w:val="both"/>
            </w:pPr>
            <w:r>
              <w:rPr>
                <w:sz w:val="18"/>
                <w:szCs w:val="18"/>
              </w:rPr>
              <w:t>Lectura de las normas de contabilidad generalmente aceptadas en Bolivia, aplicables y de las disposiciones del Código de Comercio sobre cada tipo societario.</w:t>
            </w:r>
          </w:p>
          <w:p w14:paraId="2CEC8CB2" w14:textId="77777777" w:rsidR="00990B14" w:rsidRDefault="00000000">
            <w:pPr>
              <w:numPr>
                <w:ilvl w:val="0"/>
                <w:numId w:val="139"/>
              </w:numPr>
              <w:spacing w:before="10" w:after="10"/>
              <w:jc w:val="both"/>
            </w:pPr>
            <w:r>
              <w:rPr>
                <w:sz w:val="18"/>
                <w:szCs w:val="18"/>
              </w:rPr>
              <w:t>Desarrollo progresivo de un caso práctico integral de una sociedad boliviana.</w:t>
            </w:r>
          </w:p>
          <w:p w14:paraId="09DE4A3B" w14:textId="77777777" w:rsidR="00990B14" w:rsidRDefault="00000000">
            <w:pPr>
              <w:numPr>
                <w:ilvl w:val="0"/>
                <w:numId w:val="139"/>
              </w:numPr>
              <w:spacing w:before="10" w:after="10"/>
              <w:jc w:val="both"/>
            </w:pPr>
            <w:r>
              <w:rPr>
                <w:sz w:val="18"/>
                <w:szCs w:val="18"/>
              </w:rPr>
              <w:t>Contraste de asientos y cálculos con herramientas de inteligencia artificial generativa, verificando sus resultados con la norma vigente y asumiendo la responsabilidad profesional sobre lo que se firma.</w:t>
            </w:r>
          </w:p>
          <w:p w14:paraId="2FD26A70" w14:textId="77777777" w:rsidR="00990B14" w:rsidRDefault="00000000">
            <w:pPr>
              <w:numPr>
                <w:ilvl w:val="0"/>
                <w:numId w:val="139"/>
              </w:numPr>
              <w:spacing w:before="10" w:after="10"/>
              <w:jc w:val="both"/>
            </w:pPr>
            <w:r>
              <w:rPr>
                <w:sz w:val="18"/>
                <w:szCs w:val="18"/>
              </w:rPr>
              <w:t>Lectura comparada de la NIC 1 y de la NIIF 18, que la reemplaza para los períodos que empiezan desde 2027 según el Consejo de Normas Internacionales de Contabilidad, sujeta a confirmar su adopción en Bolivia.</w:t>
            </w:r>
          </w:p>
        </w:tc>
        <w:tc>
          <w:tcPr>
            <w:tcW w:w="1805" w:type="dxa"/>
            <w:shd w:val="clear" w:color="auto" w:fill="D9E2F3"/>
          </w:tcPr>
          <w:p w14:paraId="364A1C96" w14:textId="77777777" w:rsidR="00990B14" w:rsidRDefault="00000000">
            <w:pPr>
              <w:numPr>
                <w:ilvl w:val="0"/>
                <w:numId w:val="139"/>
              </w:numPr>
              <w:spacing w:before="10" w:after="10"/>
              <w:jc w:val="both"/>
            </w:pPr>
            <w:r>
              <w:rPr>
                <w:sz w:val="18"/>
                <w:szCs w:val="18"/>
              </w:rPr>
              <w:t>Cuestionarios de comprensión en la plataforma Moodle UMSA.</w:t>
            </w:r>
          </w:p>
          <w:p w14:paraId="54376E6C" w14:textId="77777777" w:rsidR="00990B14" w:rsidRDefault="00000000">
            <w:pPr>
              <w:numPr>
                <w:ilvl w:val="0"/>
                <w:numId w:val="139"/>
              </w:numPr>
              <w:spacing w:before="10" w:after="10"/>
              <w:jc w:val="both"/>
            </w:pPr>
            <w:r>
              <w:rPr>
                <w:sz w:val="18"/>
                <w:szCs w:val="18"/>
              </w:rPr>
              <w:t>Foros de consulta sobre el tratamiento contable de cada tipo de sociedad.</w:t>
            </w:r>
          </w:p>
          <w:p w14:paraId="6D940D75" w14:textId="77777777" w:rsidR="00990B14" w:rsidRDefault="00000000">
            <w:pPr>
              <w:numPr>
                <w:ilvl w:val="0"/>
                <w:numId w:val="139"/>
              </w:numPr>
              <w:spacing w:before="10" w:after="10"/>
              <w:jc w:val="both"/>
            </w:pPr>
            <w:r>
              <w:rPr>
                <w:sz w:val="18"/>
                <w:szCs w:val="18"/>
              </w:rPr>
              <w:t>Videotutoriales de registro de acciones, dividendos y consolidación de estados financieros en hoja de cálculo.</w:t>
            </w:r>
          </w:p>
        </w:tc>
        <w:tc>
          <w:tcPr>
            <w:tcW w:w="1700" w:type="dxa"/>
            <w:shd w:val="clear" w:color="auto" w:fill="D9E2F3"/>
          </w:tcPr>
          <w:p w14:paraId="63D534BE" w14:textId="77777777" w:rsidR="00990B14" w:rsidRDefault="00000000">
            <w:pPr>
              <w:numPr>
                <w:ilvl w:val="0"/>
                <w:numId w:val="139"/>
              </w:numPr>
              <w:spacing w:before="10" w:after="10"/>
              <w:jc w:val="both"/>
            </w:pPr>
            <w:r>
              <w:rPr>
                <w:sz w:val="18"/>
                <w:szCs w:val="18"/>
              </w:rPr>
              <w:t>Resolución colaborativa de casos de constitución, aumento y disminución de capital.</w:t>
            </w:r>
          </w:p>
          <w:p w14:paraId="055544F4" w14:textId="77777777" w:rsidR="00990B14" w:rsidRDefault="00000000">
            <w:pPr>
              <w:numPr>
                <w:ilvl w:val="0"/>
                <w:numId w:val="139"/>
              </w:numPr>
              <w:spacing w:before="10" w:after="10"/>
              <w:jc w:val="both"/>
            </w:pPr>
            <w:r>
              <w:rPr>
                <w:sz w:val="18"/>
                <w:szCs w:val="18"/>
              </w:rPr>
              <w:t>Elaboración guiada de la consolidación de estados financieros de una casa central con sus sucursales en hoja de cálculo.</w:t>
            </w:r>
          </w:p>
          <w:p w14:paraId="3342F5A5" w14:textId="77777777" w:rsidR="00990B14" w:rsidRDefault="00000000">
            <w:pPr>
              <w:numPr>
                <w:ilvl w:val="0"/>
                <w:numId w:val="139"/>
              </w:numPr>
              <w:spacing w:before="10" w:after="10"/>
              <w:jc w:val="both"/>
            </w:pPr>
            <w:r>
              <w:rPr>
                <w:sz w:val="18"/>
                <w:szCs w:val="18"/>
              </w:rPr>
              <w:t>Revisión cruzada de casos de fusión y liquidación entre equipos.</w:t>
            </w:r>
          </w:p>
          <w:p w14:paraId="2AD68CD7" w14:textId="77777777" w:rsidR="00990B14" w:rsidRDefault="00000000">
            <w:pPr>
              <w:numPr>
                <w:ilvl w:val="0"/>
                <w:numId w:val="139"/>
              </w:numPr>
              <w:spacing w:before="10" w:after="10"/>
              <w:jc w:val="both"/>
            </w:pPr>
            <w:r>
              <w:rPr>
                <w:sz w:val="18"/>
                <w:szCs w:val="18"/>
              </w:rPr>
              <w:t>Elaboración en equipo de los productos con rúbrica, con coevaluación entre integrantes sobre participación y cumplimiento de plazos.</w:t>
            </w:r>
          </w:p>
          <w:p w14:paraId="03E5DC0A" w14:textId="77777777" w:rsidR="00990B14" w:rsidRDefault="00000000">
            <w:pPr>
              <w:numPr>
                <w:ilvl w:val="0"/>
                <w:numId w:val="139"/>
              </w:numPr>
              <w:spacing w:before="10" w:after="10"/>
              <w:jc w:val="both"/>
            </w:pPr>
            <w:r>
              <w:rPr>
                <w:sz w:val="18"/>
                <w:szCs w:val="18"/>
              </w:rPr>
              <w:t>Simulación de asesoría societaria: recomendación fundamentada del tipo de sociedad más conveniente para un emprendimiento boliviano, con sus efectos contables y de riesgo.</w:t>
            </w:r>
          </w:p>
        </w:tc>
        <w:tc>
          <w:tcPr>
            <w:tcW w:w="2290" w:type="dxa"/>
            <w:shd w:val="clear" w:color="auto" w:fill="D9E2F3"/>
          </w:tcPr>
          <w:p w14:paraId="24372D7F" w14:textId="77777777" w:rsidR="00990B14" w:rsidRDefault="00000000">
            <w:pPr>
              <w:numPr>
                <w:ilvl w:val="0"/>
                <w:numId w:val="139"/>
              </w:numPr>
              <w:spacing w:before="10" w:after="10"/>
              <w:jc w:val="both"/>
            </w:pPr>
            <w:r>
              <w:rPr>
                <w:sz w:val="18"/>
                <w:szCs w:val="18"/>
              </w:rPr>
              <w:t>Análisis de estatutos y escrituras de constitución de sociedades bolivianas.</w:t>
            </w:r>
          </w:p>
          <w:p w14:paraId="73D92E03" w14:textId="77777777" w:rsidR="00990B14" w:rsidRDefault="00000000">
            <w:pPr>
              <w:numPr>
                <w:ilvl w:val="0"/>
                <w:numId w:val="139"/>
              </w:numPr>
              <w:spacing w:before="10" w:after="10"/>
              <w:jc w:val="both"/>
            </w:pPr>
            <w:r>
              <w:rPr>
                <w:sz w:val="18"/>
                <w:szCs w:val="18"/>
              </w:rPr>
              <w:t>Revisión de procesos de fusión o liquidación de empresas bolivianas.</w:t>
            </w:r>
          </w:p>
          <w:p w14:paraId="6DC710DD" w14:textId="77777777" w:rsidR="00990B14" w:rsidRDefault="00000000">
            <w:pPr>
              <w:numPr>
                <w:ilvl w:val="0"/>
                <w:numId w:val="139"/>
              </w:numPr>
              <w:spacing w:before="10" w:after="10"/>
              <w:jc w:val="both"/>
            </w:pPr>
            <w:r>
              <w:rPr>
                <w:sz w:val="18"/>
                <w:szCs w:val="18"/>
              </w:rPr>
              <w:t>Comparación del tratamiento contable entre distintos tipos societarios.</w:t>
            </w:r>
          </w:p>
          <w:p w14:paraId="08DEDE28" w14:textId="77777777" w:rsidR="00990B14" w:rsidRDefault="00000000">
            <w:pPr>
              <w:numPr>
                <w:ilvl w:val="0"/>
                <w:numId w:val="139"/>
              </w:numPr>
              <w:spacing w:before="10" w:after="10"/>
              <w:jc w:val="both"/>
            </w:pPr>
            <w:r>
              <w:rPr>
                <w:sz w:val="18"/>
                <w:szCs w:val="18"/>
              </w:rPr>
              <w:t>Extensión universitaria: asistencia contable a una organización social o fundación de La Paz en el registro de sus donaciones y la rendición de cuentas a sus financiadores.</w:t>
            </w:r>
          </w:p>
          <w:p w14:paraId="68FD5F59" w14:textId="77777777" w:rsidR="00990B14" w:rsidRDefault="00000000">
            <w:pPr>
              <w:numPr>
                <w:ilvl w:val="0"/>
                <w:numId w:val="139"/>
              </w:numPr>
              <w:spacing w:before="10" w:after="10"/>
              <w:jc w:val="both"/>
            </w:pPr>
            <w:r>
              <w:rPr>
                <w:sz w:val="18"/>
                <w:szCs w:val="18"/>
              </w:rPr>
              <w:t>Análisis del gobierno corporativo y de la información de sostenibilidad de la memoria anual de una sociedad anónima boliviana.</w:t>
            </w:r>
          </w:p>
        </w:tc>
      </w:tr>
    </w:tbl>
    <w:p w14:paraId="392AA9BB"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772"/>
        <w:gridCol w:w="1854"/>
        <w:gridCol w:w="1910"/>
        <w:gridCol w:w="2015"/>
        <w:gridCol w:w="1854"/>
      </w:tblGrid>
      <w:tr w:rsidR="00990B14" w14:paraId="26F7B995" w14:textId="77777777">
        <w:trPr>
          <w:jc w:val="center"/>
        </w:trPr>
        <w:tc>
          <w:tcPr>
            <w:tcW w:w="1772" w:type="dxa"/>
            <w:shd w:val="clear" w:color="auto" w:fill="4472C4"/>
            <w:vAlign w:val="center"/>
          </w:tcPr>
          <w:p w14:paraId="34BE3783" w14:textId="77777777" w:rsidR="00990B14" w:rsidRDefault="00000000">
            <w:pPr>
              <w:spacing w:before="20" w:after="20"/>
              <w:jc w:val="center"/>
            </w:pPr>
            <w:r>
              <w:rPr>
                <w:b/>
                <w:bCs/>
                <w:i/>
                <w:iCs/>
                <w:color w:val="FFFFFF"/>
                <w:sz w:val="18"/>
                <w:szCs w:val="18"/>
              </w:rPr>
              <w:t>Estrategias de aprendizaje y enseñanza</w:t>
            </w:r>
          </w:p>
        </w:tc>
        <w:tc>
          <w:tcPr>
            <w:tcW w:w="7633" w:type="dxa"/>
            <w:gridSpan w:val="4"/>
            <w:shd w:val="clear" w:color="auto" w:fill="D9E2F3"/>
            <w:vAlign w:val="center"/>
          </w:tcPr>
          <w:p w14:paraId="0064687F" w14:textId="77777777" w:rsidR="00990B14" w:rsidRDefault="00000000">
            <w:pPr>
              <w:numPr>
                <w:ilvl w:val="0"/>
                <w:numId w:val="140"/>
              </w:numPr>
              <w:spacing w:before="10" w:after="10"/>
              <w:jc w:val="both"/>
            </w:pPr>
            <w:r>
              <w:rPr>
                <w:sz w:val="18"/>
                <w:szCs w:val="18"/>
              </w:rPr>
              <w:t>Aprendizaje basado en problemas con casos de sociedades comerciales bolivianas.</w:t>
            </w:r>
          </w:p>
          <w:p w14:paraId="270983B0" w14:textId="77777777" w:rsidR="00990B14" w:rsidRDefault="00000000">
            <w:pPr>
              <w:numPr>
                <w:ilvl w:val="0"/>
                <w:numId w:val="140"/>
              </w:numPr>
              <w:spacing w:before="10" w:after="10"/>
              <w:jc w:val="both"/>
            </w:pPr>
            <w:r>
              <w:rPr>
                <w:sz w:val="18"/>
                <w:szCs w:val="18"/>
              </w:rPr>
              <w:t>Resolución guiada de ejercicios en orden de dificultad creciente por tipo societario.</w:t>
            </w:r>
          </w:p>
          <w:p w14:paraId="330DCF95" w14:textId="77777777" w:rsidR="00990B14" w:rsidRDefault="00000000">
            <w:pPr>
              <w:numPr>
                <w:ilvl w:val="0"/>
                <w:numId w:val="140"/>
              </w:numPr>
              <w:spacing w:before="10" w:after="10"/>
              <w:jc w:val="both"/>
            </w:pPr>
            <w:r>
              <w:rPr>
                <w:sz w:val="18"/>
                <w:szCs w:val="18"/>
              </w:rPr>
              <w:t>Caso práctico integral que recorre la constitución, la operación y la disolución de una sociedad.</w:t>
            </w:r>
          </w:p>
          <w:p w14:paraId="33E1446C" w14:textId="77777777" w:rsidR="00990B14" w:rsidRDefault="00000000">
            <w:pPr>
              <w:numPr>
                <w:ilvl w:val="0"/>
                <w:numId w:val="140"/>
              </w:numPr>
              <w:spacing w:before="10" w:after="10"/>
              <w:jc w:val="both"/>
            </w:pPr>
            <w:r>
              <w:rPr>
                <w:sz w:val="18"/>
                <w:szCs w:val="18"/>
              </w:rPr>
              <w:t>Estudio de casos de fusión, transformación y liquidación de empresas, con identificación de sus riesgos y controles.</w:t>
            </w:r>
          </w:p>
          <w:p w14:paraId="640AAD09" w14:textId="77777777" w:rsidR="00990B14" w:rsidRDefault="00000000">
            <w:pPr>
              <w:numPr>
                <w:ilvl w:val="0"/>
                <w:numId w:val="140"/>
              </w:numPr>
              <w:spacing w:before="10" w:after="10"/>
              <w:jc w:val="both"/>
            </w:pPr>
            <w:r>
              <w:rPr>
                <w:sz w:val="18"/>
                <w:szCs w:val="18"/>
              </w:rPr>
              <w:t>Trabajo colaborativo en equipos de registro y consolidación.</w:t>
            </w:r>
          </w:p>
          <w:p w14:paraId="089D2F41" w14:textId="77777777" w:rsidR="00990B14" w:rsidRDefault="00000000">
            <w:pPr>
              <w:numPr>
                <w:ilvl w:val="0"/>
                <w:numId w:val="140"/>
              </w:numPr>
              <w:spacing w:before="10" w:after="10"/>
              <w:jc w:val="both"/>
            </w:pPr>
            <w:r>
              <w:rPr>
                <w:sz w:val="18"/>
                <w:szCs w:val="18"/>
              </w:rPr>
              <w:t>Clase invertida para los contenidos normativos y legales de cada tipo societario.</w:t>
            </w:r>
          </w:p>
          <w:p w14:paraId="112A8331" w14:textId="77777777" w:rsidR="00990B14" w:rsidRDefault="00000000">
            <w:pPr>
              <w:numPr>
                <w:ilvl w:val="0"/>
                <w:numId w:val="140"/>
              </w:numPr>
              <w:spacing w:before="10" w:after="10"/>
              <w:jc w:val="both"/>
            </w:pPr>
            <w:r>
              <w:rPr>
                <w:sz w:val="18"/>
                <w:szCs w:val="18"/>
              </w:rPr>
              <w:t>Uso crítico de herramientas digitales y de inteligencia artificial generativa, con verificación de sus resultados y reserva de la información de las empresas estudiadas.</w:t>
            </w:r>
          </w:p>
        </w:tc>
      </w:tr>
      <w:tr w:rsidR="00990B14" w14:paraId="7D3DE633" w14:textId="77777777">
        <w:trPr>
          <w:jc w:val="center"/>
        </w:trPr>
        <w:tc>
          <w:tcPr>
            <w:tcW w:w="1772" w:type="dxa"/>
            <w:shd w:val="clear" w:color="auto" w:fill="4472C4"/>
            <w:vAlign w:val="center"/>
          </w:tcPr>
          <w:p w14:paraId="08974740" w14:textId="77777777" w:rsidR="00990B14" w:rsidRDefault="00000000">
            <w:pPr>
              <w:spacing w:before="20" w:after="20"/>
              <w:jc w:val="center"/>
            </w:pPr>
            <w:r>
              <w:rPr>
                <w:b/>
                <w:bCs/>
                <w:i/>
                <w:iCs/>
                <w:color w:val="FFFFFF"/>
                <w:sz w:val="18"/>
                <w:szCs w:val="18"/>
              </w:rPr>
              <w:t>Recursos para el aprendizaje</w:t>
            </w:r>
          </w:p>
        </w:tc>
        <w:tc>
          <w:tcPr>
            <w:tcW w:w="7633" w:type="dxa"/>
            <w:gridSpan w:val="4"/>
            <w:shd w:val="clear" w:color="auto" w:fill="D9E2F3"/>
            <w:vAlign w:val="center"/>
          </w:tcPr>
          <w:p w14:paraId="2E95059E" w14:textId="77777777" w:rsidR="00990B14" w:rsidRDefault="00000000">
            <w:pPr>
              <w:numPr>
                <w:ilvl w:val="0"/>
                <w:numId w:val="140"/>
              </w:numPr>
              <w:spacing w:before="10" w:after="10"/>
              <w:jc w:val="both"/>
            </w:pPr>
            <w:r>
              <w:rPr>
                <w:sz w:val="18"/>
                <w:szCs w:val="18"/>
              </w:rPr>
              <w:t>Plataforma Moodle UMSA.</w:t>
            </w:r>
          </w:p>
          <w:p w14:paraId="26054E0D" w14:textId="77777777" w:rsidR="00990B14" w:rsidRDefault="00000000">
            <w:pPr>
              <w:numPr>
                <w:ilvl w:val="0"/>
                <w:numId w:val="140"/>
              </w:numPr>
              <w:spacing w:before="10" w:after="10"/>
              <w:jc w:val="both"/>
            </w:pPr>
            <w:r>
              <w:rPr>
                <w:sz w:val="18"/>
                <w:szCs w:val="18"/>
              </w:rPr>
              <w:t>Hoja de cálculo y sistemas contables de uso académico.</w:t>
            </w:r>
          </w:p>
          <w:p w14:paraId="348FFF6C" w14:textId="77777777" w:rsidR="00990B14" w:rsidRDefault="00000000">
            <w:pPr>
              <w:numPr>
                <w:ilvl w:val="0"/>
                <w:numId w:val="140"/>
              </w:numPr>
              <w:spacing w:before="10" w:after="10"/>
              <w:jc w:val="both"/>
            </w:pPr>
            <w:r>
              <w:rPr>
                <w:sz w:val="18"/>
                <w:szCs w:val="18"/>
              </w:rPr>
              <w:t>Modelos de escritura de constitución y formularios de registro societario.</w:t>
            </w:r>
          </w:p>
          <w:p w14:paraId="13469CA4" w14:textId="77777777" w:rsidR="00990B14" w:rsidRDefault="00000000">
            <w:pPr>
              <w:numPr>
                <w:ilvl w:val="0"/>
                <w:numId w:val="140"/>
              </w:numPr>
              <w:spacing w:before="10" w:after="10"/>
              <w:jc w:val="both"/>
            </w:pPr>
            <w:r>
              <w:rPr>
                <w:sz w:val="18"/>
                <w:szCs w:val="18"/>
              </w:rPr>
              <w:t>Guía de trámites del Registro de Comercio del Servicio Plurinacional de Registro de Comercio y formularios del Servicio de Impuestos Nacionales.</w:t>
            </w:r>
          </w:p>
          <w:p w14:paraId="16F40138" w14:textId="77777777" w:rsidR="00990B14" w:rsidRDefault="00000000">
            <w:pPr>
              <w:numPr>
                <w:ilvl w:val="0"/>
                <w:numId w:val="140"/>
              </w:numPr>
              <w:spacing w:before="10" w:after="10"/>
              <w:jc w:val="both"/>
            </w:pPr>
            <w:r>
              <w:rPr>
                <w:sz w:val="18"/>
                <w:szCs w:val="18"/>
              </w:rPr>
              <w:t>Compendio de Normas de Contabilidad y Auditoría del Colegio de Auditores o Contadores Públicos de Bolivia y Normas Internacionales de Información Financiera.</w:t>
            </w:r>
          </w:p>
          <w:p w14:paraId="29DF7951" w14:textId="77777777" w:rsidR="00990B14" w:rsidRDefault="00000000">
            <w:pPr>
              <w:numPr>
                <w:ilvl w:val="0"/>
                <w:numId w:val="140"/>
              </w:numPr>
              <w:spacing w:before="10" w:after="10"/>
              <w:jc w:val="both"/>
            </w:pPr>
            <w:r>
              <w:rPr>
                <w:sz w:val="18"/>
                <w:szCs w:val="18"/>
              </w:rPr>
              <w:t>Guías de ejercicios y casos elaborados por la cátedra.</w:t>
            </w:r>
          </w:p>
        </w:tc>
      </w:tr>
      <w:tr w:rsidR="00990B14" w14:paraId="36D36A4D" w14:textId="77777777">
        <w:trPr>
          <w:jc w:val="center"/>
        </w:trPr>
        <w:tc>
          <w:tcPr>
            <w:tcW w:w="1772" w:type="dxa"/>
            <w:shd w:val="clear" w:color="auto" w:fill="4472C4"/>
            <w:vAlign w:val="center"/>
          </w:tcPr>
          <w:p w14:paraId="4AB52132" w14:textId="77777777" w:rsidR="00990B14" w:rsidRDefault="00000000">
            <w:pPr>
              <w:spacing w:before="20" w:after="20"/>
              <w:jc w:val="center"/>
            </w:pPr>
            <w:r>
              <w:rPr>
                <w:b/>
                <w:bCs/>
                <w:i/>
                <w:iCs/>
                <w:color w:val="FFFFFF"/>
                <w:sz w:val="18"/>
                <w:szCs w:val="18"/>
              </w:rPr>
              <w:t>Estrategias de evaluación</w:t>
            </w:r>
          </w:p>
        </w:tc>
        <w:tc>
          <w:tcPr>
            <w:tcW w:w="7633" w:type="dxa"/>
            <w:gridSpan w:val="4"/>
            <w:shd w:val="clear" w:color="auto" w:fill="D9E2F3"/>
            <w:vAlign w:val="center"/>
          </w:tcPr>
          <w:p w14:paraId="21C75FF2" w14:textId="77777777" w:rsidR="00990B14" w:rsidRDefault="00000000">
            <w:pPr>
              <w:numPr>
                <w:ilvl w:val="0"/>
                <w:numId w:val="140"/>
              </w:numPr>
              <w:spacing w:before="10" w:after="10"/>
              <w:jc w:val="both"/>
            </w:pPr>
            <w:r>
              <w:rPr>
                <w:sz w:val="18"/>
                <w:szCs w:val="18"/>
              </w:rPr>
              <w:t>Evaluación diagnóstica: prueba inicial sobre la conformación del patrimonio y las cuentas de capital de la asignatura CPA-101 Contabilidad Básica.</w:t>
            </w:r>
          </w:p>
          <w:p w14:paraId="78B88627" w14:textId="77777777" w:rsidR="00990B14" w:rsidRDefault="00000000">
            <w:pPr>
              <w:numPr>
                <w:ilvl w:val="0"/>
                <w:numId w:val="140"/>
              </w:numPr>
              <w:spacing w:before="10" w:after="10"/>
              <w:jc w:val="both"/>
            </w:pPr>
            <w:r>
              <w:rPr>
                <w:sz w:val="18"/>
                <w:szCs w:val="18"/>
              </w:rPr>
              <w:t>Evaluación formativa: preguntas de comprensión y desarrollo de ejercicios prácticos en el aula, con retroalimentación continua, autoevaluación y coevaluación.</w:t>
            </w:r>
          </w:p>
          <w:p w14:paraId="59FF6BB2" w14:textId="77777777" w:rsidR="00990B14" w:rsidRDefault="00000000">
            <w:pPr>
              <w:numPr>
                <w:ilvl w:val="0"/>
                <w:numId w:val="140"/>
              </w:numPr>
              <w:spacing w:before="10" w:after="10"/>
              <w:jc w:val="both"/>
            </w:pPr>
            <w:r>
              <w:rPr>
                <w:sz w:val="18"/>
                <w:szCs w:val="18"/>
              </w:rPr>
              <w:t>Evaluación sumativa: controles de lectura, evaluación de casos prácticos, trabajos de investigación y desarrollo, exámenes parciales y examen final, aplicados como instrumentos para evaluar los productos con sus rúbricas; la asistencia se registra y no suma puntaje.</w:t>
            </w:r>
          </w:p>
        </w:tc>
      </w:tr>
      <w:tr w:rsidR="00990B14" w14:paraId="24D99B18" w14:textId="77777777">
        <w:trPr>
          <w:jc w:val="center"/>
        </w:trPr>
        <w:tc>
          <w:tcPr>
            <w:tcW w:w="1772" w:type="dxa"/>
            <w:shd w:val="clear" w:color="auto" w:fill="4472C4"/>
            <w:vAlign w:val="center"/>
          </w:tcPr>
          <w:p w14:paraId="67A1CF42" w14:textId="77777777" w:rsidR="00990B14" w:rsidRDefault="00000000">
            <w:pPr>
              <w:spacing w:before="20" w:after="20"/>
              <w:jc w:val="center"/>
            </w:pPr>
            <w:r>
              <w:rPr>
                <w:b/>
                <w:bCs/>
                <w:i/>
                <w:iCs/>
                <w:color w:val="FFFFFF"/>
                <w:sz w:val="18"/>
                <w:szCs w:val="18"/>
              </w:rPr>
              <w:t>Criterios de calificación</w:t>
            </w:r>
          </w:p>
        </w:tc>
        <w:tc>
          <w:tcPr>
            <w:tcW w:w="7633" w:type="dxa"/>
            <w:gridSpan w:val="4"/>
            <w:shd w:val="clear" w:color="auto" w:fill="D9E2F3"/>
            <w:vAlign w:val="center"/>
          </w:tcPr>
          <w:p w14:paraId="4598F529" w14:textId="77777777" w:rsidR="00990B14" w:rsidRDefault="00000000">
            <w:pPr>
              <w:numPr>
                <w:ilvl w:val="0"/>
                <w:numId w:val="140"/>
              </w:numPr>
              <w:spacing w:before="10" w:after="10"/>
              <w:jc w:val="both"/>
            </w:pPr>
            <w:r>
              <w:rPr>
                <w:sz w:val="18"/>
                <w:szCs w:val="18"/>
              </w:rPr>
              <w:t>Nota mínima de aprobación: 51/100.</w:t>
            </w:r>
          </w:p>
          <w:p w14:paraId="18020C19" w14:textId="77777777" w:rsidR="00990B14" w:rsidRDefault="00000000">
            <w:pPr>
              <w:numPr>
                <w:ilvl w:val="0"/>
                <w:numId w:val="140"/>
              </w:numPr>
              <w:spacing w:before="10" w:after="10"/>
              <w:jc w:val="both"/>
            </w:pPr>
            <w:r>
              <w:rPr>
                <w:sz w:val="18"/>
                <w:szCs w:val="18"/>
              </w:rPr>
              <w:t>Evaluación periódica al finalizar cada tema, basada en evidencias de conocimiento, desempeño y producto.</w:t>
            </w:r>
          </w:p>
          <w:p w14:paraId="2196EBA2" w14:textId="77777777" w:rsidR="00990B14" w:rsidRDefault="00000000">
            <w:pPr>
              <w:numPr>
                <w:ilvl w:val="0"/>
                <w:numId w:val="140"/>
              </w:numPr>
              <w:spacing w:before="10" w:after="10"/>
              <w:jc w:val="both"/>
            </w:pPr>
            <w:r>
              <w:rPr>
                <w:sz w:val="18"/>
                <w:szCs w:val="18"/>
              </w:rPr>
              <w:t>Cada evidencia de producto se evalúa con su propia rúbrica de tres niveles: Insuficiente, Suficiente y Destacado.</w:t>
            </w:r>
          </w:p>
          <w:p w14:paraId="35DA6372" w14:textId="77777777" w:rsidR="00990B14" w:rsidRDefault="00000000">
            <w:pPr>
              <w:numPr>
                <w:ilvl w:val="0"/>
                <w:numId w:val="140"/>
              </w:numPr>
              <w:spacing w:before="10" w:after="10"/>
              <w:jc w:val="both"/>
            </w:pPr>
            <w:r>
              <w:rPr>
                <w:sz w:val="18"/>
                <w:szCs w:val="18"/>
              </w:rPr>
              <w:t>La calificación de cada elemento de competencia suma las calificaciones de sus evidencias de producto.</w:t>
            </w:r>
          </w:p>
          <w:p w14:paraId="1625CBBB" w14:textId="77777777" w:rsidR="00990B14" w:rsidRDefault="00000000">
            <w:pPr>
              <w:numPr>
                <w:ilvl w:val="0"/>
                <w:numId w:val="140"/>
              </w:numPr>
              <w:spacing w:before="10" w:after="10"/>
              <w:jc w:val="both"/>
            </w:pPr>
            <w:r>
              <w:rPr>
                <w:sz w:val="18"/>
                <w:szCs w:val="18"/>
              </w:rPr>
              <w:t>La nota de cada producto es el promedio de sus tres criterios y se pondera con el peso asignado; la nota final es la suma de los pesos obtenidos, con un total de 100 %.</w:t>
            </w:r>
          </w:p>
          <w:p w14:paraId="43058B11" w14:textId="77777777" w:rsidR="00990B14" w:rsidRDefault="00000000">
            <w:pPr>
              <w:numPr>
                <w:ilvl w:val="0"/>
                <w:numId w:val="140"/>
              </w:numPr>
              <w:spacing w:before="10" w:after="10"/>
              <w:jc w:val="both"/>
            </w:pPr>
            <w:r>
              <w:rPr>
                <w:sz w:val="18"/>
                <w:szCs w:val="18"/>
              </w:rPr>
              <w:t>Cada elemento de competencia exige al menos el 51 % de la suma de los pesos de sus productos; si no lo alcanza, se recuperan los productos con nivel Insuficiente antes del cierre de la gestión.</w:t>
            </w:r>
          </w:p>
          <w:p w14:paraId="46B4E59D" w14:textId="77777777" w:rsidR="00990B14" w:rsidRDefault="00000000">
            <w:pPr>
              <w:numPr>
                <w:ilvl w:val="0"/>
                <w:numId w:val="140"/>
              </w:numPr>
              <w:spacing w:before="10" w:after="10"/>
              <w:jc w:val="both"/>
            </w:pPr>
            <w:r>
              <w:rPr>
                <w:sz w:val="18"/>
                <w:szCs w:val="18"/>
              </w:rPr>
              <w:t>En los productos de equipo, la coevaluación individual de participación y cumplimiento de plazos se promedia con el criterio «Trabajo en equipo» de la rúbrica.</w:t>
            </w:r>
          </w:p>
        </w:tc>
      </w:tr>
      <w:tr w:rsidR="00990B14" w14:paraId="1AED00F6" w14:textId="77777777">
        <w:trPr>
          <w:cantSplit/>
          <w:jc w:val="center"/>
        </w:trPr>
        <w:tc>
          <w:tcPr>
            <w:tcW w:w="1772" w:type="dxa"/>
            <w:vMerge w:val="restart"/>
            <w:shd w:val="clear" w:color="auto" w:fill="4472C4"/>
            <w:vAlign w:val="center"/>
          </w:tcPr>
          <w:p w14:paraId="4B1FA024" w14:textId="77777777" w:rsidR="00990B14" w:rsidRDefault="00000000">
            <w:pPr>
              <w:spacing w:before="20" w:after="20"/>
              <w:jc w:val="center"/>
            </w:pPr>
            <w:r>
              <w:rPr>
                <w:b/>
                <w:bCs/>
                <w:i/>
                <w:iCs/>
                <w:color w:val="FFFFFF"/>
                <w:sz w:val="18"/>
                <w:szCs w:val="18"/>
              </w:rPr>
              <w:t>Niveles de logro y distribución de la calificación</w:t>
            </w:r>
          </w:p>
        </w:tc>
        <w:tc>
          <w:tcPr>
            <w:tcW w:w="5779" w:type="dxa"/>
            <w:gridSpan w:val="3"/>
            <w:shd w:val="clear" w:color="auto" w:fill="D9E2F3"/>
            <w:vAlign w:val="center"/>
          </w:tcPr>
          <w:p w14:paraId="174F564E" w14:textId="77777777" w:rsidR="00990B14" w:rsidRDefault="00000000">
            <w:pPr>
              <w:keepNext/>
              <w:spacing w:before="20" w:after="20"/>
              <w:jc w:val="both"/>
            </w:pPr>
            <w:r>
              <w:rPr>
                <w:b/>
                <w:bCs/>
                <w:i/>
                <w:iCs/>
                <w:sz w:val="18"/>
                <w:szCs w:val="18"/>
              </w:rPr>
              <w:t xml:space="preserve">Producto 1: </w:t>
            </w:r>
            <w:r>
              <w:rPr>
                <w:sz w:val="18"/>
                <w:szCs w:val="18"/>
              </w:rPr>
              <w:t>Cuadro de clasificación de las sociedades comerciales</w:t>
            </w:r>
          </w:p>
        </w:tc>
        <w:tc>
          <w:tcPr>
            <w:tcW w:w="1854" w:type="dxa"/>
            <w:shd w:val="clear" w:color="auto" w:fill="D9E2F3"/>
            <w:vAlign w:val="center"/>
          </w:tcPr>
          <w:p w14:paraId="59AE9DEA" w14:textId="77777777" w:rsidR="00990B14" w:rsidRDefault="00000000">
            <w:pPr>
              <w:spacing w:before="20" w:after="20"/>
              <w:jc w:val="center"/>
            </w:pPr>
            <w:r>
              <w:rPr>
                <w:b/>
                <w:bCs/>
                <w:sz w:val="18"/>
                <w:szCs w:val="18"/>
              </w:rPr>
              <w:t>2%</w:t>
            </w:r>
          </w:p>
        </w:tc>
      </w:tr>
      <w:tr w:rsidR="00990B14" w14:paraId="0049ED5D" w14:textId="77777777">
        <w:trPr>
          <w:cantSplit/>
          <w:jc w:val="center"/>
        </w:trPr>
        <w:tc>
          <w:tcPr>
            <w:tcW w:w="1772" w:type="dxa"/>
            <w:vMerge/>
            <w:shd w:val="clear" w:color="auto" w:fill="4472C4"/>
            <w:vAlign w:val="center"/>
          </w:tcPr>
          <w:p w14:paraId="114AA6E0" w14:textId="77777777" w:rsidR="00990B14" w:rsidRDefault="00990B14">
            <w:pPr>
              <w:spacing w:before="20" w:after="20"/>
            </w:pPr>
          </w:p>
        </w:tc>
        <w:tc>
          <w:tcPr>
            <w:tcW w:w="1854" w:type="dxa"/>
            <w:shd w:val="clear" w:color="auto" w:fill="4472C4"/>
            <w:vAlign w:val="center"/>
          </w:tcPr>
          <w:p w14:paraId="77F09A1E"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64555A52"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3976EB82" w14:textId="77777777" w:rsidR="00990B14" w:rsidRDefault="00000000">
            <w:pPr>
              <w:keepNext/>
              <w:spacing w:before="20" w:after="20"/>
              <w:jc w:val="center"/>
            </w:pPr>
            <w:r>
              <w:rPr>
                <w:b/>
                <w:bCs/>
                <w:i/>
                <w:iCs/>
                <w:color w:val="FFFFFF"/>
                <w:sz w:val="18"/>
                <w:szCs w:val="18"/>
              </w:rPr>
              <w:t>Suficiente (51–80)</w:t>
            </w:r>
          </w:p>
        </w:tc>
        <w:tc>
          <w:tcPr>
            <w:tcW w:w="1854" w:type="dxa"/>
            <w:shd w:val="clear" w:color="auto" w:fill="4472C4"/>
            <w:vAlign w:val="center"/>
          </w:tcPr>
          <w:p w14:paraId="2235AD66" w14:textId="77777777" w:rsidR="00990B14" w:rsidRDefault="00000000">
            <w:pPr>
              <w:keepNext/>
              <w:spacing w:before="20" w:after="20"/>
              <w:jc w:val="center"/>
            </w:pPr>
            <w:r>
              <w:rPr>
                <w:b/>
                <w:bCs/>
                <w:i/>
                <w:iCs/>
                <w:color w:val="FFFFFF"/>
                <w:sz w:val="18"/>
                <w:szCs w:val="18"/>
              </w:rPr>
              <w:t>Destacado (81–100)</w:t>
            </w:r>
          </w:p>
        </w:tc>
      </w:tr>
      <w:tr w:rsidR="00990B14" w14:paraId="5D351A72" w14:textId="77777777">
        <w:trPr>
          <w:cantSplit/>
          <w:jc w:val="center"/>
        </w:trPr>
        <w:tc>
          <w:tcPr>
            <w:tcW w:w="1772" w:type="dxa"/>
            <w:vMerge/>
            <w:shd w:val="clear" w:color="auto" w:fill="4472C4"/>
            <w:vAlign w:val="center"/>
          </w:tcPr>
          <w:p w14:paraId="2F23AAF4" w14:textId="77777777" w:rsidR="00990B14" w:rsidRDefault="00990B14">
            <w:pPr>
              <w:spacing w:before="20" w:after="20"/>
            </w:pPr>
          </w:p>
        </w:tc>
        <w:tc>
          <w:tcPr>
            <w:tcW w:w="1854" w:type="dxa"/>
            <w:shd w:val="clear" w:color="auto" w:fill="D9E2F3"/>
            <w:vAlign w:val="center"/>
          </w:tcPr>
          <w:p w14:paraId="066225E4" w14:textId="77777777" w:rsidR="00990B14" w:rsidRDefault="00000000">
            <w:pPr>
              <w:spacing w:before="20" w:after="20"/>
              <w:jc w:val="both"/>
            </w:pPr>
            <w:r>
              <w:rPr>
                <w:sz w:val="18"/>
                <w:szCs w:val="18"/>
              </w:rPr>
              <w:t>Criterios de clasificación</w:t>
            </w:r>
          </w:p>
        </w:tc>
        <w:tc>
          <w:tcPr>
            <w:tcW w:w="1910" w:type="dxa"/>
            <w:shd w:val="clear" w:color="auto" w:fill="D9E2F3"/>
            <w:vAlign w:val="center"/>
          </w:tcPr>
          <w:p w14:paraId="7E54561E" w14:textId="77777777" w:rsidR="00990B14" w:rsidRDefault="00000000">
            <w:pPr>
              <w:spacing w:before="20" w:after="20"/>
              <w:jc w:val="both"/>
            </w:pPr>
            <w:r>
              <w:rPr>
                <w:sz w:val="18"/>
                <w:szCs w:val="18"/>
              </w:rPr>
              <w:t>Omite criterios de clasificación.</w:t>
            </w:r>
          </w:p>
        </w:tc>
        <w:tc>
          <w:tcPr>
            <w:tcW w:w="2015" w:type="dxa"/>
            <w:shd w:val="clear" w:color="auto" w:fill="D9E2F3"/>
            <w:vAlign w:val="center"/>
          </w:tcPr>
          <w:p w14:paraId="0478C93E" w14:textId="77777777" w:rsidR="00990B14" w:rsidRDefault="00000000">
            <w:pPr>
              <w:spacing w:before="20" w:after="20"/>
              <w:jc w:val="both"/>
            </w:pPr>
            <w:r>
              <w:rPr>
                <w:sz w:val="18"/>
                <w:szCs w:val="18"/>
              </w:rPr>
              <w:t>Clasifica las sociedades por cada criterio.</w:t>
            </w:r>
          </w:p>
        </w:tc>
        <w:tc>
          <w:tcPr>
            <w:tcW w:w="1854" w:type="dxa"/>
            <w:shd w:val="clear" w:color="auto" w:fill="D9E2F3"/>
            <w:vAlign w:val="center"/>
          </w:tcPr>
          <w:p w14:paraId="28CD0B3E" w14:textId="77777777" w:rsidR="00990B14" w:rsidRDefault="00000000">
            <w:pPr>
              <w:spacing w:before="20" w:after="20"/>
              <w:jc w:val="both"/>
            </w:pPr>
            <w:r>
              <w:rPr>
                <w:sz w:val="18"/>
                <w:szCs w:val="18"/>
              </w:rPr>
              <w:t>Justifica la clasificación con una sociedad boliviana de cada tipo.</w:t>
            </w:r>
          </w:p>
        </w:tc>
      </w:tr>
      <w:tr w:rsidR="00990B14" w14:paraId="376AB9F3" w14:textId="77777777">
        <w:trPr>
          <w:cantSplit/>
          <w:jc w:val="center"/>
        </w:trPr>
        <w:tc>
          <w:tcPr>
            <w:tcW w:w="1772" w:type="dxa"/>
            <w:vMerge/>
            <w:shd w:val="clear" w:color="auto" w:fill="4472C4"/>
            <w:vAlign w:val="center"/>
          </w:tcPr>
          <w:p w14:paraId="594467D8" w14:textId="77777777" w:rsidR="00990B14" w:rsidRDefault="00990B14">
            <w:pPr>
              <w:spacing w:before="20" w:after="20"/>
            </w:pPr>
          </w:p>
        </w:tc>
        <w:tc>
          <w:tcPr>
            <w:tcW w:w="1854" w:type="dxa"/>
            <w:shd w:val="clear" w:color="auto" w:fill="D9E2F3"/>
            <w:vAlign w:val="center"/>
          </w:tcPr>
          <w:p w14:paraId="3050C0E8" w14:textId="77777777" w:rsidR="00990B14" w:rsidRDefault="00000000">
            <w:pPr>
              <w:spacing w:before="20" w:after="20"/>
              <w:jc w:val="both"/>
            </w:pPr>
            <w:r>
              <w:rPr>
                <w:sz w:val="18"/>
                <w:szCs w:val="18"/>
              </w:rPr>
              <w:t>Responsabilidad de los socios</w:t>
            </w:r>
          </w:p>
        </w:tc>
        <w:tc>
          <w:tcPr>
            <w:tcW w:w="1910" w:type="dxa"/>
            <w:shd w:val="clear" w:color="auto" w:fill="D9E2F3"/>
            <w:vAlign w:val="center"/>
          </w:tcPr>
          <w:p w14:paraId="25054C4A" w14:textId="77777777" w:rsidR="00990B14" w:rsidRDefault="00000000">
            <w:pPr>
              <w:spacing w:before="20" w:after="20"/>
              <w:jc w:val="both"/>
            </w:pPr>
            <w:r>
              <w:rPr>
                <w:sz w:val="18"/>
                <w:szCs w:val="18"/>
              </w:rPr>
              <w:t>Confunde la responsabilidad de los socios.</w:t>
            </w:r>
          </w:p>
        </w:tc>
        <w:tc>
          <w:tcPr>
            <w:tcW w:w="2015" w:type="dxa"/>
            <w:shd w:val="clear" w:color="auto" w:fill="D9E2F3"/>
            <w:vAlign w:val="center"/>
          </w:tcPr>
          <w:p w14:paraId="574C7BB6" w14:textId="77777777" w:rsidR="00990B14" w:rsidRDefault="00000000">
            <w:pPr>
              <w:spacing w:before="20" w:after="20"/>
              <w:jc w:val="both"/>
            </w:pPr>
            <w:r>
              <w:rPr>
                <w:sz w:val="18"/>
                <w:szCs w:val="18"/>
              </w:rPr>
              <w:t>Indica la responsabilidad que asume cada tipo de socio.</w:t>
            </w:r>
          </w:p>
        </w:tc>
        <w:tc>
          <w:tcPr>
            <w:tcW w:w="1854" w:type="dxa"/>
            <w:shd w:val="clear" w:color="auto" w:fill="D9E2F3"/>
            <w:vAlign w:val="center"/>
          </w:tcPr>
          <w:p w14:paraId="2C32E43D" w14:textId="77777777" w:rsidR="00990B14" w:rsidRDefault="00000000">
            <w:pPr>
              <w:spacing w:before="20" w:after="20"/>
              <w:jc w:val="both"/>
            </w:pPr>
            <w:r>
              <w:rPr>
                <w:sz w:val="18"/>
                <w:szCs w:val="18"/>
              </w:rPr>
              <w:t>Explica su efecto en el riesgo de los acreedores.</w:t>
            </w:r>
          </w:p>
        </w:tc>
      </w:tr>
      <w:tr w:rsidR="00990B14" w14:paraId="24DC98AB" w14:textId="77777777">
        <w:trPr>
          <w:cantSplit/>
          <w:jc w:val="center"/>
        </w:trPr>
        <w:tc>
          <w:tcPr>
            <w:tcW w:w="1772" w:type="dxa"/>
            <w:vMerge/>
            <w:shd w:val="clear" w:color="auto" w:fill="4472C4"/>
            <w:vAlign w:val="center"/>
          </w:tcPr>
          <w:p w14:paraId="146C6530" w14:textId="77777777" w:rsidR="00990B14" w:rsidRDefault="00990B14">
            <w:pPr>
              <w:spacing w:before="20" w:after="20"/>
            </w:pPr>
          </w:p>
        </w:tc>
        <w:tc>
          <w:tcPr>
            <w:tcW w:w="1854" w:type="dxa"/>
            <w:shd w:val="clear" w:color="auto" w:fill="D9E2F3"/>
            <w:vAlign w:val="center"/>
          </w:tcPr>
          <w:p w14:paraId="1D72A7F9" w14:textId="77777777" w:rsidR="00990B14" w:rsidRDefault="00000000">
            <w:pPr>
              <w:spacing w:before="20" w:after="20"/>
              <w:jc w:val="both"/>
            </w:pPr>
            <w:r>
              <w:rPr>
                <w:sz w:val="18"/>
                <w:szCs w:val="18"/>
              </w:rPr>
              <w:t>Trabajo en equipo</w:t>
            </w:r>
          </w:p>
        </w:tc>
        <w:tc>
          <w:tcPr>
            <w:tcW w:w="1910" w:type="dxa"/>
            <w:shd w:val="clear" w:color="auto" w:fill="D9E2F3"/>
            <w:vAlign w:val="center"/>
          </w:tcPr>
          <w:p w14:paraId="52A2C483" w14:textId="77777777" w:rsidR="00990B14" w:rsidRDefault="00000000">
            <w:pPr>
              <w:spacing w:before="20" w:after="20"/>
              <w:jc w:val="both"/>
            </w:pPr>
            <w:r>
              <w:rPr>
                <w:sz w:val="18"/>
                <w:szCs w:val="18"/>
              </w:rPr>
              <w:t>La participación es desigual.</w:t>
            </w:r>
          </w:p>
        </w:tc>
        <w:tc>
          <w:tcPr>
            <w:tcW w:w="2015" w:type="dxa"/>
            <w:shd w:val="clear" w:color="auto" w:fill="D9E2F3"/>
            <w:vAlign w:val="center"/>
          </w:tcPr>
          <w:p w14:paraId="4959B340" w14:textId="77777777" w:rsidR="00990B14" w:rsidRDefault="00000000">
            <w:pPr>
              <w:spacing w:before="20" w:after="20"/>
              <w:jc w:val="both"/>
            </w:pPr>
            <w:r>
              <w:rPr>
                <w:sz w:val="18"/>
                <w:szCs w:val="18"/>
              </w:rPr>
              <w:t>Todos los integrantes participan.</w:t>
            </w:r>
          </w:p>
        </w:tc>
        <w:tc>
          <w:tcPr>
            <w:tcW w:w="1854" w:type="dxa"/>
            <w:shd w:val="clear" w:color="auto" w:fill="D9E2F3"/>
            <w:vAlign w:val="center"/>
          </w:tcPr>
          <w:p w14:paraId="113E7A0A" w14:textId="77777777" w:rsidR="00990B14" w:rsidRDefault="00000000">
            <w:pPr>
              <w:spacing w:before="20" w:after="20"/>
              <w:jc w:val="both"/>
            </w:pPr>
            <w:r>
              <w:rPr>
                <w:sz w:val="18"/>
                <w:szCs w:val="18"/>
              </w:rPr>
              <w:t>El equipo sustenta su trabajo ante el curso.</w:t>
            </w:r>
          </w:p>
        </w:tc>
      </w:tr>
      <w:tr w:rsidR="00990B14" w14:paraId="0566D1DE" w14:textId="77777777">
        <w:trPr>
          <w:cantSplit/>
          <w:jc w:val="center"/>
        </w:trPr>
        <w:tc>
          <w:tcPr>
            <w:tcW w:w="1772" w:type="dxa"/>
            <w:vMerge/>
            <w:shd w:val="clear" w:color="auto" w:fill="4472C4"/>
            <w:vAlign w:val="center"/>
          </w:tcPr>
          <w:p w14:paraId="3DD99317" w14:textId="77777777" w:rsidR="00990B14" w:rsidRDefault="00990B14">
            <w:pPr>
              <w:spacing w:before="20" w:after="20"/>
            </w:pPr>
          </w:p>
        </w:tc>
        <w:tc>
          <w:tcPr>
            <w:tcW w:w="5779" w:type="dxa"/>
            <w:gridSpan w:val="3"/>
            <w:shd w:val="clear" w:color="auto" w:fill="D9E2F3"/>
            <w:vAlign w:val="center"/>
          </w:tcPr>
          <w:p w14:paraId="5EECB152" w14:textId="77777777" w:rsidR="00990B14" w:rsidRDefault="00000000">
            <w:pPr>
              <w:keepNext/>
              <w:spacing w:before="20" w:after="20"/>
              <w:jc w:val="both"/>
            </w:pPr>
            <w:r>
              <w:rPr>
                <w:b/>
                <w:bCs/>
                <w:i/>
                <w:iCs/>
                <w:sz w:val="18"/>
                <w:szCs w:val="18"/>
              </w:rPr>
              <w:t xml:space="preserve">Producto 2: </w:t>
            </w:r>
            <w:r>
              <w:rPr>
                <w:sz w:val="18"/>
                <w:szCs w:val="18"/>
              </w:rPr>
              <w:t>Comprobante de diario de la constitución de una sociedad</w:t>
            </w:r>
          </w:p>
        </w:tc>
        <w:tc>
          <w:tcPr>
            <w:tcW w:w="1854" w:type="dxa"/>
            <w:shd w:val="clear" w:color="auto" w:fill="D9E2F3"/>
            <w:vAlign w:val="center"/>
          </w:tcPr>
          <w:p w14:paraId="395B7A12" w14:textId="77777777" w:rsidR="00990B14" w:rsidRDefault="00000000">
            <w:pPr>
              <w:spacing w:before="20" w:after="20"/>
              <w:jc w:val="center"/>
            </w:pPr>
            <w:r>
              <w:rPr>
                <w:b/>
                <w:bCs/>
                <w:sz w:val="18"/>
                <w:szCs w:val="18"/>
              </w:rPr>
              <w:t>2%</w:t>
            </w:r>
          </w:p>
        </w:tc>
      </w:tr>
      <w:tr w:rsidR="00990B14" w14:paraId="516935EC" w14:textId="77777777">
        <w:trPr>
          <w:cantSplit/>
          <w:jc w:val="center"/>
        </w:trPr>
        <w:tc>
          <w:tcPr>
            <w:tcW w:w="1772" w:type="dxa"/>
            <w:vMerge/>
            <w:shd w:val="clear" w:color="auto" w:fill="4472C4"/>
            <w:vAlign w:val="center"/>
          </w:tcPr>
          <w:p w14:paraId="548DF682" w14:textId="77777777" w:rsidR="00990B14" w:rsidRDefault="00990B14">
            <w:pPr>
              <w:spacing w:before="20" w:after="20"/>
            </w:pPr>
          </w:p>
        </w:tc>
        <w:tc>
          <w:tcPr>
            <w:tcW w:w="1854" w:type="dxa"/>
            <w:shd w:val="clear" w:color="auto" w:fill="4472C4"/>
            <w:vAlign w:val="center"/>
          </w:tcPr>
          <w:p w14:paraId="6536B04B"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7E1609A1"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2E7C6445" w14:textId="77777777" w:rsidR="00990B14" w:rsidRDefault="00000000">
            <w:pPr>
              <w:keepNext/>
              <w:spacing w:before="20" w:after="20"/>
              <w:jc w:val="center"/>
            </w:pPr>
            <w:r>
              <w:rPr>
                <w:b/>
                <w:bCs/>
                <w:i/>
                <w:iCs/>
                <w:color w:val="FFFFFF"/>
                <w:sz w:val="18"/>
                <w:szCs w:val="18"/>
              </w:rPr>
              <w:t>Suficiente (51–80)</w:t>
            </w:r>
          </w:p>
        </w:tc>
        <w:tc>
          <w:tcPr>
            <w:tcW w:w="1854" w:type="dxa"/>
            <w:shd w:val="clear" w:color="auto" w:fill="4472C4"/>
            <w:vAlign w:val="center"/>
          </w:tcPr>
          <w:p w14:paraId="751F6B6D" w14:textId="77777777" w:rsidR="00990B14" w:rsidRDefault="00000000">
            <w:pPr>
              <w:keepNext/>
              <w:spacing w:before="20" w:after="20"/>
              <w:jc w:val="center"/>
            </w:pPr>
            <w:r>
              <w:rPr>
                <w:b/>
                <w:bCs/>
                <w:i/>
                <w:iCs/>
                <w:color w:val="FFFFFF"/>
                <w:sz w:val="18"/>
                <w:szCs w:val="18"/>
              </w:rPr>
              <w:t>Destacado (81–100)</w:t>
            </w:r>
          </w:p>
        </w:tc>
      </w:tr>
      <w:tr w:rsidR="00990B14" w14:paraId="2B848865" w14:textId="77777777">
        <w:trPr>
          <w:cantSplit/>
          <w:jc w:val="center"/>
        </w:trPr>
        <w:tc>
          <w:tcPr>
            <w:tcW w:w="1772" w:type="dxa"/>
            <w:vMerge/>
            <w:shd w:val="clear" w:color="auto" w:fill="4472C4"/>
            <w:vAlign w:val="center"/>
          </w:tcPr>
          <w:p w14:paraId="4C468C5B" w14:textId="77777777" w:rsidR="00990B14" w:rsidRDefault="00990B14">
            <w:pPr>
              <w:spacing w:before="20" w:after="20"/>
            </w:pPr>
          </w:p>
        </w:tc>
        <w:tc>
          <w:tcPr>
            <w:tcW w:w="1854" w:type="dxa"/>
            <w:shd w:val="clear" w:color="auto" w:fill="D9E2F3"/>
            <w:vAlign w:val="center"/>
          </w:tcPr>
          <w:p w14:paraId="49834EEF" w14:textId="77777777" w:rsidR="00990B14" w:rsidRDefault="00000000">
            <w:pPr>
              <w:spacing w:before="20" w:after="20"/>
              <w:jc w:val="both"/>
            </w:pPr>
            <w:r>
              <w:rPr>
                <w:sz w:val="18"/>
                <w:szCs w:val="18"/>
              </w:rPr>
              <w:t>Aportes de los socios</w:t>
            </w:r>
          </w:p>
        </w:tc>
        <w:tc>
          <w:tcPr>
            <w:tcW w:w="1910" w:type="dxa"/>
            <w:shd w:val="clear" w:color="auto" w:fill="D9E2F3"/>
            <w:vAlign w:val="center"/>
          </w:tcPr>
          <w:p w14:paraId="4D77F26D" w14:textId="77777777" w:rsidR="00990B14" w:rsidRDefault="00000000">
            <w:pPr>
              <w:spacing w:before="20" w:after="20"/>
              <w:jc w:val="both"/>
            </w:pPr>
            <w:r>
              <w:rPr>
                <w:sz w:val="18"/>
                <w:szCs w:val="18"/>
              </w:rPr>
              <w:t>Registra como pagados aportes que solo están suscritos.</w:t>
            </w:r>
          </w:p>
        </w:tc>
        <w:tc>
          <w:tcPr>
            <w:tcW w:w="2015" w:type="dxa"/>
            <w:shd w:val="clear" w:color="auto" w:fill="D9E2F3"/>
            <w:vAlign w:val="center"/>
          </w:tcPr>
          <w:p w14:paraId="0D9C2401" w14:textId="77777777" w:rsidR="00990B14" w:rsidRDefault="00000000">
            <w:pPr>
              <w:spacing w:before="20" w:after="20"/>
              <w:jc w:val="both"/>
            </w:pPr>
            <w:r>
              <w:rPr>
                <w:sz w:val="18"/>
                <w:szCs w:val="18"/>
              </w:rPr>
              <w:t>Registra los aportes suscritos y pagados.</w:t>
            </w:r>
          </w:p>
        </w:tc>
        <w:tc>
          <w:tcPr>
            <w:tcW w:w="1854" w:type="dxa"/>
            <w:shd w:val="clear" w:color="auto" w:fill="D9E2F3"/>
            <w:vAlign w:val="center"/>
          </w:tcPr>
          <w:p w14:paraId="3A1DFD20" w14:textId="77777777" w:rsidR="00990B14" w:rsidRDefault="00000000">
            <w:pPr>
              <w:spacing w:before="20" w:after="20"/>
              <w:jc w:val="both"/>
            </w:pPr>
            <w:r>
              <w:rPr>
                <w:sz w:val="18"/>
                <w:szCs w:val="18"/>
              </w:rPr>
              <w:t>Clasifica los aportes según la NIC 32.</w:t>
            </w:r>
          </w:p>
        </w:tc>
      </w:tr>
      <w:tr w:rsidR="00990B14" w14:paraId="05C7D55C" w14:textId="77777777">
        <w:trPr>
          <w:cantSplit/>
          <w:jc w:val="center"/>
        </w:trPr>
        <w:tc>
          <w:tcPr>
            <w:tcW w:w="1772" w:type="dxa"/>
            <w:vMerge/>
            <w:shd w:val="clear" w:color="auto" w:fill="4472C4"/>
            <w:vAlign w:val="center"/>
          </w:tcPr>
          <w:p w14:paraId="16716761" w14:textId="77777777" w:rsidR="00990B14" w:rsidRDefault="00990B14">
            <w:pPr>
              <w:spacing w:before="20" w:after="20"/>
            </w:pPr>
          </w:p>
        </w:tc>
        <w:tc>
          <w:tcPr>
            <w:tcW w:w="1854" w:type="dxa"/>
            <w:shd w:val="clear" w:color="auto" w:fill="D9E2F3"/>
            <w:vAlign w:val="center"/>
          </w:tcPr>
          <w:p w14:paraId="1797C22B" w14:textId="77777777" w:rsidR="00990B14" w:rsidRDefault="00000000">
            <w:pPr>
              <w:spacing w:before="20" w:after="20"/>
              <w:jc w:val="both"/>
            </w:pPr>
            <w:r>
              <w:rPr>
                <w:sz w:val="18"/>
                <w:szCs w:val="18"/>
              </w:rPr>
              <w:t>Costos de constitución</w:t>
            </w:r>
          </w:p>
        </w:tc>
        <w:tc>
          <w:tcPr>
            <w:tcW w:w="1910" w:type="dxa"/>
            <w:shd w:val="clear" w:color="auto" w:fill="D9E2F3"/>
            <w:vAlign w:val="center"/>
          </w:tcPr>
          <w:p w14:paraId="34009B80" w14:textId="77777777" w:rsidR="00990B14" w:rsidRDefault="00000000">
            <w:pPr>
              <w:spacing w:before="20" w:after="20"/>
              <w:jc w:val="both"/>
            </w:pPr>
            <w:r>
              <w:rPr>
                <w:sz w:val="18"/>
                <w:szCs w:val="18"/>
              </w:rPr>
              <w:t>Activa los costos de constitución.</w:t>
            </w:r>
          </w:p>
        </w:tc>
        <w:tc>
          <w:tcPr>
            <w:tcW w:w="2015" w:type="dxa"/>
            <w:shd w:val="clear" w:color="auto" w:fill="D9E2F3"/>
            <w:vAlign w:val="center"/>
          </w:tcPr>
          <w:p w14:paraId="165A59F7" w14:textId="77777777" w:rsidR="00990B14" w:rsidRDefault="00000000">
            <w:pPr>
              <w:spacing w:before="20" w:after="20"/>
              <w:jc w:val="both"/>
            </w:pPr>
            <w:r>
              <w:rPr>
                <w:sz w:val="18"/>
                <w:szCs w:val="18"/>
              </w:rPr>
              <w:t>Reconoce los costos de constitución como gasto.</w:t>
            </w:r>
          </w:p>
        </w:tc>
        <w:tc>
          <w:tcPr>
            <w:tcW w:w="1854" w:type="dxa"/>
            <w:shd w:val="clear" w:color="auto" w:fill="D9E2F3"/>
            <w:vAlign w:val="center"/>
          </w:tcPr>
          <w:p w14:paraId="233A11C1" w14:textId="77777777" w:rsidR="00990B14" w:rsidRDefault="00000000">
            <w:pPr>
              <w:spacing w:before="20" w:after="20"/>
              <w:jc w:val="both"/>
            </w:pPr>
            <w:r>
              <w:rPr>
                <w:sz w:val="18"/>
                <w:szCs w:val="18"/>
              </w:rPr>
              <w:t>Compara el tratamiento contable con el tributario.</w:t>
            </w:r>
          </w:p>
        </w:tc>
      </w:tr>
      <w:tr w:rsidR="00990B14" w14:paraId="717F850F" w14:textId="77777777">
        <w:trPr>
          <w:cantSplit/>
          <w:jc w:val="center"/>
        </w:trPr>
        <w:tc>
          <w:tcPr>
            <w:tcW w:w="1772" w:type="dxa"/>
            <w:vMerge/>
            <w:shd w:val="clear" w:color="auto" w:fill="4472C4"/>
            <w:vAlign w:val="center"/>
          </w:tcPr>
          <w:p w14:paraId="5E50DF65" w14:textId="77777777" w:rsidR="00990B14" w:rsidRDefault="00990B14">
            <w:pPr>
              <w:spacing w:before="20" w:after="20"/>
            </w:pPr>
          </w:p>
        </w:tc>
        <w:tc>
          <w:tcPr>
            <w:tcW w:w="1854" w:type="dxa"/>
            <w:shd w:val="clear" w:color="auto" w:fill="D9E2F3"/>
            <w:vAlign w:val="center"/>
          </w:tcPr>
          <w:p w14:paraId="5F970FA3" w14:textId="77777777" w:rsidR="00990B14" w:rsidRDefault="00000000">
            <w:pPr>
              <w:spacing w:before="20" w:after="20"/>
              <w:jc w:val="both"/>
            </w:pPr>
            <w:r>
              <w:rPr>
                <w:sz w:val="18"/>
                <w:szCs w:val="18"/>
              </w:rPr>
              <w:t>Formalidad del comprobante</w:t>
            </w:r>
          </w:p>
        </w:tc>
        <w:tc>
          <w:tcPr>
            <w:tcW w:w="1910" w:type="dxa"/>
            <w:shd w:val="clear" w:color="auto" w:fill="D9E2F3"/>
            <w:vAlign w:val="center"/>
          </w:tcPr>
          <w:p w14:paraId="413FDA46" w14:textId="77777777" w:rsidR="00990B14" w:rsidRDefault="00000000">
            <w:pPr>
              <w:spacing w:before="20" w:after="20"/>
              <w:jc w:val="both"/>
            </w:pPr>
            <w:r>
              <w:rPr>
                <w:sz w:val="18"/>
                <w:szCs w:val="18"/>
              </w:rPr>
              <w:t>El comprobante está incompleto.</w:t>
            </w:r>
          </w:p>
        </w:tc>
        <w:tc>
          <w:tcPr>
            <w:tcW w:w="2015" w:type="dxa"/>
            <w:shd w:val="clear" w:color="auto" w:fill="D9E2F3"/>
            <w:vAlign w:val="center"/>
          </w:tcPr>
          <w:p w14:paraId="49A58526" w14:textId="77777777" w:rsidR="00990B14" w:rsidRDefault="00000000">
            <w:pPr>
              <w:spacing w:before="20" w:after="20"/>
              <w:jc w:val="both"/>
            </w:pPr>
            <w:r>
              <w:rPr>
                <w:sz w:val="18"/>
                <w:szCs w:val="18"/>
              </w:rPr>
              <w:t>El comprobante cumple sus formalidades.</w:t>
            </w:r>
          </w:p>
        </w:tc>
        <w:tc>
          <w:tcPr>
            <w:tcW w:w="1854" w:type="dxa"/>
            <w:shd w:val="clear" w:color="auto" w:fill="D9E2F3"/>
            <w:vAlign w:val="center"/>
          </w:tcPr>
          <w:p w14:paraId="6DF1D4D9" w14:textId="77777777" w:rsidR="00990B14" w:rsidRDefault="00000000">
            <w:pPr>
              <w:spacing w:before="20" w:after="20"/>
              <w:jc w:val="both"/>
            </w:pPr>
            <w:r>
              <w:rPr>
                <w:sz w:val="18"/>
                <w:szCs w:val="18"/>
              </w:rPr>
              <w:t>Verifica el respaldo de cada aporte.</w:t>
            </w:r>
          </w:p>
        </w:tc>
      </w:tr>
      <w:tr w:rsidR="00990B14" w14:paraId="2CC841C9" w14:textId="77777777">
        <w:trPr>
          <w:cantSplit/>
          <w:jc w:val="center"/>
        </w:trPr>
        <w:tc>
          <w:tcPr>
            <w:tcW w:w="1772" w:type="dxa"/>
            <w:vMerge/>
            <w:shd w:val="clear" w:color="auto" w:fill="4472C4"/>
            <w:vAlign w:val="center"/>
          </w:tcPr>
          <w:p w14:paraId="442096F2" w14:textId="77777777" w:rsidR="00990B14" w:rsidRDefault="00990B14">
            <w:pPr>
              <w:spacing w:before="20" w:after="20"/>
            </w:pPr>
          </w:p>
        </w:tc>
        <w:tc>
          <w:tcPr>
            <w:tcW w:w="5779" w:type="dxa"/>
            <w:gridSpan w:val="3"/>
            <w:shd w:val="clear" w:color="auto" w:fill="D9E2F3"/>
            <w:vAlign w:val="center"/>
          </w:tcPr>
          <w:p w14:paraId="314B9D8D" w14:textId="77777777" w:rsidR="00990B14" w:rsidRDefault="00000000">
            <w:pPr>
              <w:keepNext/>
              <w:spacing w:before="20" w:after="20"/>
              <w:jc w:val="both"/>
            </w:pPr>
            <w:r>
              <w:rPr>
                <w:b/>
                <w:bCs/>
                <w:i/>
                <w:iCs/>
                <w:sz w:val="18"/>
                <w:szCs w:val="18"/>
              </w:rPr>
              <w:t xml:space="preserve">Producto 3: </w:t>
            </w:r>
            <w:r>
              <w:rPr>
                <w:sz w:val="18"/>
                <w:szCs w:val="18"/>
              </w:rPr>
              <w:t>Estado de evolución del patrimonio de una sociedad</w:t>
            </w:r>
          </w:p>
        </w:tc>
        <w:tc>
          <w:tcPr>
            <w:tcW w:w="1854" w:type="dxa"/>
            <w:shd w:val="clear" w:color="auto" w:fill="D9E2F3"/>
            <w:vAlign w:val="center"/>
          </w:tcPr>
          <w:p w14:paraId="3CE809AF" w14:textId="77777777" w:rsidR="00990B14" w:rsidRDefault="00000000">
            <w:pPr>
              <w:spacing w:before="20" w:after="20"/>
              <w:jc w:val="center"/>
            </w:pPr>
            <w:r>
              <w:rPr>
                <w:b/>
                <w:bCs/>
                <w:sz w:val="18"/>
                <w:szCs w:val="18"/>
              </w:rPr>
              <w:t>2%</w:t>
            </w:r>
          </w:p>
        </w:tc>
      </w:tr>
      <w:tr w:rsidR="00990B14" w14:paraId="07D11BF4" w14:textId="77777777">
        <w:trPr>
          <w:cantSplit/>
          <w:jc w:val="center"/>
        </w:trPr>
        <w:tc>
          <w:tcPr>
            <w:tcW w:w="1772" w:type="dxa"/>
            <w:vMerge/>
            <w:shd w:val="clear" w:color="auto" w:fill="4472C4"/>
            <w:vAlign w:val="center"/>
          </w:tcPr>
          <w:p w14:paraId="1990933D" w14:textId="77777777" w:rsidR="00990B14" w:rsidRDefault="00990B14">
            <w:pPr>
              <w:spacing w:before="20" w:after="20"/>
            </w:pPr>
          </w:p>
        </w:tc>
        <w:tc>
          <w:tcPr>
            <w:tcW w:w="1854" w:type="dxa"/>
            <w:shd w:val="clear" w:color="auto" w:fill="4472C4"/>
            <w:vAlign w:val="center"/>
          </w:tcPr>
          <w:p w14:paraId="5A6D4F1E"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2E812870"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2BF911CD" w14:textId="77777777" w:rsidR="00990B14" w:rsidRDefault="00000000">
            <w:pPr>
              <w:keepNext/>
              <w:spacing w:before="20" w:after="20"/>
              <w:jc w:val="center"/>
            </w:pPr>
            <w:r>
              <w:rPr>
                <w:b/>
                <w:bCs/>
                <w:i/>
                <w:iCs/>
                <w:color w:val="FFFFFF"/>
                <w:sz w:val="18"/>
                <w:szCs w:val="18"/>
              </w:rPr>
              <w:t>Suficiente (51–80)</w:t>
            </w:r>
          </w:p>
        </w:tc>
        <w:tc>
          <w:tcPr>
            <w:tcW w:w="1854" w:type="dxa"/>
            <w:shd w:val="clear" w:color="auto" w:fill="4472C4"/>
            <w:vAlign w:val="center"/>
          </w:tcPr>
          <w:p w14:paraId="0D2CB965" w14:textId="77777777" w:rsidR="00990B14" w:rsidRDefault="00000000">
            <w:pPr>
              <w:keepNext/>
              <w:spacing w:before="20" w:after="20"/>
              <w:jc w:val="center"/>
            </w:pPr>
            <w:r>
              <w:rPr>
                <w:b/>
                <w:bCs/>
                <w:i/>
                <w:iCs/>
                <w:color w:val="FFFFFF"/>
                <w:sz w:val="18"/>
                <w:szCs w:val="18"/>
              </w:rPr>
              <w:t>Destacado (81–100)</w:t>
            </w:r>
          </w:p>
        </w:tc>
      </w:tr>
      <w:tr w:rsidR="00990B14" w14:paraId="7D61EC22" w14:textId="77777777">
        <w:trPr>
          <w:cantSplit/>
          <w:jc w:val="center"/>
        </w:trPr>
        <w:tc>
          <w:tcPr>
            <w:tcW w:w="1772" w:type="dxa"/>
            <w:vMerge/>
            <w:shd w:val="clear" w:color="auto" w:fill="4472C4"/>
            <w:vAlign w:val="center"/>
          </w:tcPr>
          <w:p w14:paraId="7C2A2552" w14:textId="77777777" w:rsidR="00990B14" w:rsidRDefault="00990B14">
            <w:pPr>
              <w:spacing w:before="20" w:after="20"/>
            </w:pPr>
          </w:p>
        </w:tc>
        <w:tc>
          <w:tcPr>
            <w:tcW w:w="1854" w:type="dxa"/>
            <w:shd w:val="clear" w:color="auto" w:fill="D9E2F3"/>
            <w:vAlign w:val="center"/>
          </w:tcPr>
          <w:p w14:paraId="77E6B824" w14:textId="77777777" w:rsidR="00990B14" w:rsidRDefault="00000000">
            <w:pPr>
              <w:spacing w:before="20" w:after="20"/>
              <w:jc w:val="both"/>
            </w:pPr>
            <w:r>
              <w:rPr>
                <w:sz w:val="18"/>
                <w:szCs w:val="18"/>
              </w:rPr>
              <w:t>Movimientos del patrimonio</w:t>
            </w:r>
          </w:p>
        </w:tc>
        <w:tc>
          <w:tcPr>
            <w:tcW w:w="1910" w:type="dxa"/>
            <w:shd w:val="clear" w:color="auto" w:fill="D9E2F3"/>
            <w:vAlign w:val="center"/>
          </w:tcPr>
          <w:p w14:paraId="693338EF" w14:textId="77777777" w:rsidR="00990B14" w:rsidRDefault="00000000">
            <w:pPr>
              <w:spacing w:before="20" w:after="20"/>
              <w:jc w:val="both"/>
            </w:pPr>
            <w:r>
              <w:rPr>
                <w:sz w:val="18"/>
                <w:szCs w:val="18"/>
              </w:rPr>
              <w:t>Omite movimientos del periodo.</w:t>
            </w:r>
          </w:p>
        </w:tc>
        <w:tc>
          <w:tcPr>
            <w:tcW w:w="2015" w:type="dxa"/>
            <w:shd w:val="clear" w:color="auto" w:fill="D9E2F3"/>
            <w:vAlign w:val="center"/>
          </w:tcPr>
          <w:p w14:paraId="6D1C0C67" w14:textId="77777777" w:rsidR="00990B14" w:rsidRDefault="00000000">
            <w:pPr>
              <w:spacing w:before="20" w:after="20"/>
              <w:jc w:val="both"/>
            </w:pPr>
            <w:r>
              <w:rPr>
                <w:sz w:val="18"/>
                <w:szCs w:val="18"/>
              </w:rPr>
              <w:t>Presenta los movimientos del capital, las reservas y los resultados.</w:t>
            </w:r>
          </w:p>
        </w:tc>
        <w:tc>
          <w:tcPr>
            <w:tcW w:w="1854" w:type="dxa"/>
            <w:shd w:val="clear" w:color="auto" w:fill="D9E2F3"/>
            <w:vAlign w:val="center"/>
          </w:tcPr>
          <w:p w14:paraId="6814B49D" w14:textId="77777777" w:rsidR="00990B14" w:rsidRDefault="00000000">
            <w:pPr>
              <w:spacing w:before="20" w:after="20"/>
              <w:jc w:val="both"/>
            </w:pPr>
            <w:r>
              <w:rPr>
                <w:sz w:val="18"/>
                <w:szCs w:val="18"/>
              </w:rPr>
              <w:t>Concilia los saldos finales con el balance.</w:t>
            </w:r>
          </w:p>
        </w:tc>
      </w:tr>
      <w:tr w:rsidR="00990B14" w14:paraId="7AFD1592" w14:textId="77777777">
        <w:trPr>
          <w:cantSplit/>
          <w:jc w:val="center"/>
        </w:trPr>
        <w:tc>
          <w:tcPr>
            <w:tcW w:w="1772" w:type="dxa"/>
            <w:vMerge/>
            <w:shd w:val="clear" w:color="auto" w:fill="4472C4"/>
            <w:vAlign w:val="center"/>
          </w:tcPr>
          <w:p w14:paraId="30ACD348" w14:textId="77777777" w:rsidR="00990B14" w:rsidRDefault="00990B14">
            <w:pPr>
              <w:spacing w:before="20" w:after="20"/>
            </w:pPr>
          </w:p>
        </w:tc>
        <w:tc>
          <w:tcPr>
            <w:tcW w:w="1854" w:type="dxa"/>
            <w:shd w:val="clear" w:color="auto" w:fill="D9E2F3"/>
            <w:vAlign w:val="center"/>
          </w:tcPr>
          <w:p w14:paraId="71323F9A" w14:textId="77777777" w:rsidR="00990B14" w:rsidRDefault="00000000">
            <w:pPr>
              <w:spacing w:before="20" w:after="20"/>
              <w:jc w:val="both"/>
            </w:pPr>
            <w:r>
              <w:rPr>
                <w:sz w:val="18"/>
                <w:szCs w:val="18"/>
              </w:rPr>
              <w:t>Reserva legal</w:t>
            </w:r>
          </w:p>
        </w:tc>
        <w:tc>
          <w:tcPr>
            <w:tcW w:w="1910" w:type="dxa"/>
            <w:shd w:val="clear" w:color="auto" w:fill="D9E2F3"/>
            <w:vAlign w:val="center"/>
          </w:tcPr>
          <w:p w14:paraId="2FBEFDF8" w14:textId="77777777" w:rsidR="00990B14" w:rsidRDefault="00000000">
            <w:pPr>
              <w:spacing w:before="20" w:after="20"/>
              <w:jc w:val="both"/>
            </w:pPr>
            <w:r>
              <w:rPr>
                <w:sz w:val="18"/>
                <w:szCs w:val="18"/>
              </w:rPr>
              <w:t>No constituye la reserva legal.</w:t>
            </w:r>
          </w:p>
        </w:tc>
        <w:tc>
          <w:tcPr>
            <w:tcW w:w="2015" w:type="dxa"/>
            <w:shd w:val="clear" w:color="auto" w:fill="D9E2F3"/>
            <w:vAlign w:val="center"/>
          </w:tcPr>
          <w:p w14:paraId="4D21D2DB" w14:textId="77777777" w:rsidR="00990B14" w:rsidRDefault="00000000">
            <w:pPr>
              <w:spacing w:before="20" w:after="20"/>
              <w:jc w:val="both"/>
            </w:pPr>
            <w:r>
              <w:rPr>
                <w:sz w:val="18"/>
                <w:szCs w:val="18"/>
              </w:rPr>
              <w:t>Calcula y registra la reserva legal.</w:t>
            </w:r>
          </w:p>
        </w:tc>
        <w:tc>
          <w:tcPr>
            <w:tcW w:w="1854" w:type="dxa"/>
            <w:shd w:val="clear" w:color="auto" w:fill="D9E2F3"/>
            <w:vAlign w:val="center"/>
          </w:tcPr>
          <w:p w14:paraId="25A30B81" w14:textId="77777777" w:rsidR="00990B14" w:rsidRDefault="00000000">
            <w:pPr>
              <w:spacing w:before="20" w:after="20"/>
              <w:jc w:val="both"/>
            </w:pPr>
            <w:r>
              <w:rPr>
                <w:sz w:val="18"/>
                <w:szCs w:val="18"/>
              </w:rPr>
              <w:t>Verifica el límite de la reserva sobre el capital pagado.</w:t>
            </w:r>
          </w:p>
        </w:tc>
      </w:tr>
      <w:tr w:rsidR="00990B14" w14:paraId="421BECF6" w14:textId="77777777">
        <w:trPr>
          <w:cantSplit/>
          <w:jc w:val="center"/>
        </w:trPr>
        <w:tc>
          <w:tcPr>
            <w:tcW w:w="1772" w:type="dxa"/>
            <w:vMerge/>
            <w:shd w:val="clear" w:color="auto" w:fill="4472C4"/>
            <w:vAlign w:val="center"/>
          </w:tcPr>
          <w:p w14:paraId="5A318DB4" w14:textId="77777777" w:rsidR="00990B14" w:rsidRDefault="00990B14">
            <w:pPr>
              <w:spacing w:before="20" w:after="20"/>
            </w:pPr>
          </w:p>
        </w:tc>
        <w:tc>
          <w:tcPr>
            <w:tcW w:w="1854" w:type="dxa"/>
            <w:shd w:val="clear" w:color="auto" w:fill="D9E2F3"/>
            <w:vAlign w:val="center"/>
          </w:tcPr>
          <w:p w14:paraId="3A162269" w14:textId="77777777" w:rsidR="00990B14" w:rsidRDefault="00000000">
            <w:pPr>
              <w:spacing w:before="20" w:after="20"/>
              <w:jc w:val="both"/>
            </w:pPr>
            <w:r>
              <w:rPr>
                <w:sz w:val="18"/>
                <w:szCs w:val="18"/>
              </w:rPr>
              <w:t>Hoja de cálculo</w:t>
            </w:r>
          </w:p>
        </w:tc>
        <w:tc>
          <w:tcPr>
            <w:tcW w:w="1910" w:type="dxa"/>
            <w:shd w:val="clear" w:color="auto" w:fill="D9E2F3"/>
            <w:vAlign w:val="center"/>
          </w:tcPr>
          <w:p w14:paraId="7E32DED2" w14:textId="77777777" w:rsidR="00990B14" w:rsidRDefault="00000000">
            <w:pPr>
              <w:spacing w:before="20" w:after="20"/>
              <w:jc w:val="both"/>
            </w:pPr>
            <w:r>
              <w:rPr>
                <w:sz w:val="18"/>
                <w:szCs w:val="18"/>
              </w:rPr>
              <w:t>No usa fórmulas.</w:t>
            </w:r>
          </w:p>
        </w:tc>
        <w:tc>
          <w:tcPr>
            <w:tcW w:w="2015" w:type="dxa"/>
            <w:shd w:val="clear" w:color="auto" w:fill="D9E2F3"/>
            <w:vAlign w:val="center"/>
          </w:tcPr>
          <w:p w14:paraId="009B25D7" w14:textId="77777777" w:rsidR="00990B14" w:rsidRDefault="00000000">
            <w:pPr>
              <w:spacing w:before="20" w:after="20"/>
              <w:jc w:val="both"/>
            </w:pPr>
            <w:r>
              <w:rPr>
                <w:sz w:val="18"/>
                <w:szCs w:val="18"/>
              </w:rPr>
              <w:t>Usa fórmulas y enlaces entre hojas.</w:t>
            </w:r>
          </w:p>
        </w:tc>
        <w:tc>
          <w:tcPr>
            <w:tcW w:w="1854" w:type="dxa"/>
            <w:shd w:val="clear" w:color="auto" w:fill="D9E2F3"/>
            <w:vAlign w:val="center"/>
          </w:tcPr>
          <w:p w14:paraId="5B074CD8" w14:textId="77777777" w:rsidR="00990B14" w:rsidRDefault="00000000">
            <w:pPr>
              <w:spacing w:before="20" w:after="20"/>
              <w:jc w:val="both"/>
            </w:pPr>
            <w:r>
              <w:rPr>
                <w:sz w:val="18"/>
                <w:szCs w:val="18"/>
              </w:rPr>
              <w:t>Verifica que el estado se actualice al cambiar los datos.</w:t>
            </w:r>
          </w:p>
        </w:tc>
      </w:tr>
      <w:tr w:rsidR="00990B14" w14:paraId="622923C4" w14:textId="77777777">
        <w:trPr>
          <w:cantSplit/>
          <w:jc w:val="center"/>
        </w:trPr>
        <w:tc>
          <w:tcPr>
            <w:tcW w:w="1772" w:type="dxa"/>
            <w:vMerge/>
            <w:shd w:val="clear" w:color="auto" w:fill="4472C4"/>
            <w:vAlign w:val="center"/>
          </w:tcPr>
          <w:p w14:paraId="445E6D49" w14:textId="77777777" w:rsidR="00990B14" w:rsidRDefault="00990B14">
            <w:pPr>
              <w:spacing w:before="20" w:after="20"/>
            </w:pPr>
          </w:p>
        </w:tc>
        <w:tc>
          <w:tcPr>
            <w:tcW w:w="5779" w:type="dxa"/>
            <w:gridSpan w:val="3"/>
            <w:shd w:val="clear" w:color="auto" w:fill="D9E2F3"/>
            <w:vAlign w:val="center"/>
          </w:tcPr>
          <w:p w14:paraId="75937424" w14:textId="77777777" w:rsidR="00990B14" w:rsidRDefault="00000000">
            <w:pPr>
              <w:keepNext/>
              <w:spacing w:before="20" w:after="20"/>
              <w:jc w:val="both"/>
            </w:pPr>
            <w:r>
              <w:rPr>
                <w:b/>
                <w:bCs/>
                <w:i/>
                <w:iCs/>
                <w:sz w:val="18"/>
                <w:szCs w:val="18"/>
              </w:rPr>
              <w:t xml:space="preserve">Producto 4: </w:t>
            </w:r>
            <w:r>
              <w:rPr>
                <w:sz w:val="18"/>
                <w:szCs w:val="18"/>
              </w:rPr>
              <w:t>Nota de partes relacionadas y transacciones con socios</w:t>
            </w:r>
          </w:p>
        </w:tc>
        <w:tc>
          <w:tcPr>
            <w:tcW w:w="1854" w:type="dxa"/>
            <w:shd w:val="clear" w:color="auto" w:fill="D9E2F3"/>
            <w:vAlign w:val="center"/>
          </w:tcPr>
          <w:p w14:paraId="34DB7520" w14:textId="77777777" w:rsidR="00990B14" w:rsidRDefault="00000000">
            <w:pPr>
              <w:spacing w:before="20" w:after="20"/>
              <w:jc w:val="center"/>
            </w:pPr>
            <w:r>
              <w:rPr>
                <w:b/>
                <w:bCs/>
                <w:sz w:val="18"/>
                <w:szCs w:val="18"/>
              </w:rPr>
              <w:t>2%</w:t>
            </w:r>
          </w:p>
        </w:tc>
      </w:tr>
      <w:tr w:rsidR="00990B14" w14:paraId="3200744F" w14:textId="77777777">
        <w:trPr>
          <w:cantSplit/>
          <w:jc w:val="center"/>
        </w:trPr>
        <w:tc>
          <w:tcPr>
            <w:tcW w:w="1772" w:type="dxa"/>
            <w:vMerge/>
            <w:shd w:val="clear" w:color="auto" w:fill="4472C4"/>
            <w:vAlign w:val="center"/>
          </w:tcPr>
          <w:p w14:paraId="5F4DF98E" w14:textId="77777777" w:rsidR="00990B14" w:rsidRDefault="00990B14">
            <w:pPr>
              <w:spacing w:before="20" w:after="20"/>
            </w:pPr>
          </w:p>
        </w:tc>
        <w:tc>
          <w:tcPr>
            <w:tcW w:w="1854" w:type="dxa"/>
            <w:shd w:val="clear" w:color="auto" w:fill="4472C4"/>
            <w:vAlign w:val="center"/>
          </w:tcPr>
          <w:p w14:paraId="4D6BB73E"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3861ACA0"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16284D92" w14:textId="77777777" w:rsidR="00990B14" w:rsidRDefault="00000000">
            <w:pPr>
              <w:keepNext/>
              <w:spacing w:before="20" w:after="20"/>
              <w:jc w:val="center"/>
            </w:pPr>
            <w:r>
              <w:rPr>
                <w:b/>
                <w:bCs/>
                <w:i/>
                <w:iCs/>
                <w:color w:val="FFFFFF"/>
                <w:sz w:val="18"/>
                <w:szCs w:val="18"/>
              </w:rPr>
              <w:t>Suficiente (51–80)</w:t>
            </w:r>
          </w:p>
        </w:tc>
        <w:tc>
          <w:tcPr>
            <w:tcW w:w="1854" w:type="dxa"/>
            <w:shd w:val="clear" w:color="auto" w:fill="4472C4"/>
            <w:vAlign w:val="center"/>
          </w:tcPr>
          <w:p w14:paraId="23348C8B" w14:textId="77777777" w:rsidR="00990B14" w:rsidRDefault="00000000">
            <w:pPr>
              <w:keepNext/>
              <w:spacing w:before="20" w:after="20"/>
              <w:jc w:val="center"/>
            </w:pPr>
            <w:r>
              <w:rPr>
                <w:b/>
                <w:bCs/>
                <w:i/>
                <w:iCs/>
                <w:color w:val="FFFFFF"/>
                <w:sz w:val="18"/>
                <w:szCs w:val="18"/>
              </w:rPr>
              <w:t>Destacado (81–100)</w:t>
            </w:r>
          </w:p>
        </w:tc>
      </w:tr>
      <w:tr w:rsidR="00990B14" w14:paraId="0B229D1C" w14:textId="77777777">
        <w:trPr>
          <w:cantSplit/>
          <w:jc w:val="center"/>
        </w:trPr>
        <w:tc>
          <w:tcPr>
            <w:tcW w:w="1772" w:type="dxa"/>
            <w:vMerge/>
            <w:shd w:val="clear" w:color="auto" w:fill="4472C4"/>
            <w:vAlign w:val="center"/>
          </w:tcPr>
          <w:p w14:paraId="567ABCEF" w14:textId="77777777" w:rsidR="00990B14" w:rsidRDefault="00990B14">
            <w:pPr>
              <w:spacing w:before="20" w:after="20"/>
            </w:pPr>
          </w:p>
        </w:tc>
        <w:tc>
          <w:tcPr>
            <w:tcW w:w="1854" w:type="dxa"/>
            <w:shd w:val="clear" w:color="auto" w:fill="D9E2F3"/>
            <w:vAlign w:val="center"/>
          </w:tcPr>
          <w:p w14:paraId="3DAF0C8B" w14:textId="77777777" w:rsidR="00990B14" w:rsidRDefault="00000000">
            <w:pPr>
              <w:spacing w:before="20" w:after="20"/>
              <w:jc w:val="both"/>
            </w:pPr>
            <w:r>
              <w:rPr>
                <w:sz w:val="18"/>
                <w:szCs w:val="18"/>
              </w:rPr>
              <w:t>Identificación de partes</w:t>
            </w:r>
          </w:p>
        </w:tc>
        <w:tc>
          <w:tcPr>
            <w:tcW w:w="1910" w:type="dxa"/>
            <w:shd w:val="clear" w:color="auto" w:fill="D9E2F3"/>
            <w:vAlign w:val="center"/>
          </w:tcPr>
          <w:p w14:paraId="7F8103AA" w14:textId="77777777" w:rsidR="00990B14" w:rsidRDefault="00000000">
            <w:pPr>
              <w:spacing w:before="20" w:after="20"/>
              <w:jc w:val="both"/>
            </w:pPr>
            <w:r>
              <w:rPr>
                <w:sz w:val="18"/>
                <w:szCs w:val="18"/>
              </w:rPr>
              <w:t>No identifica a las partes relacionadas.</w:t>
            </w:r>
          </w:p>
        </w:tc>
        <w:tc>
          <w:tcPr>
            <w:tcW w:w="2015" w:type="dxa"/>
            <w:shd w:val="clear" w:color="auto" w:fill="D9E2F3"/>
            <w:vAlign w:val="center"/>
          </w:tcPr>
          <w:p w14:paraId="1376826D" w14:textId="77777777" w:rsidR="00990B14" w:rsidRDefault="00000000">
            <w:pPr>
              <w:spacing w:before="20" w:after="20"/>
              <w:jc w:val="both"/>
            </w:pPr>
            <w:r>
              <w:rPr>
                <w:sz w:val="18"/>
                <w:szCs w:val="18"/>
              </w:rPr>
              <w:t>Identifica a las partes relacionadas según la NIC 24.</w:t>
            </w:r>
          </w:p>
        </w:tc>
        <w:tc>
          <w:tcPr>
            <w:tcW w:w="1854" w:type="dxa"/>
            <w:shd w:val="clear" w:color="auto" w:fill="D9E2F3"/>
            <w:vAlign w:val="center"/>
          </w:tcPr>
          <w:p w14:paraId="44765834" w14:textId="77777777" w:rsidR="00990B14" w:rsidRDefault="00000000">
            <w:pPr>
              <w:spacing w:before="20" w:after="20"/>
              <w:jc w:val="both"/>
            </w:pPr>
            <w:r>
              <w:rPr>
                <w:sz w:val="18"/>
                <w:szCs w:val="18"/>
              </w:rPr>
              <w:t>Explica la relación de control o influencia.</w:t>
            </w:r>
          </w:p>
        </w:tc>
      </w:tr>
      <w:tr w:rsidR="00990B14" w14:paraId="3A1B0748" w14:textId="77777777">
        <w:trPr>
          <w:cantSplit/>
          <w:jc w:val="center"/>
        </w:trPr>
        <w:tc>
          <w:tcPr>
            <w:tcW w:w="1772" w:type="dxa"/>
            <w:vMerge/>
            <w:shd w:val="clear" w:color="auto" w:fill="4472C4"/>
            <w:vAlign w:val="center"/>
          </w:tcPr>
          <w:p w14:paraId="49F1E2F5" w14:textId="77777777" w:rsidR="00990B14" w:rsidRDefault="00990B14">
            <w:pPr>
              <w:spacing w:before="20" w:after="20"/>
            </w:pPr>
          </w:p>
        </w:tc>
        <w:tc>
          <w:tcPr>
            <w:tcW w:w="1854" w:type="dxa"/>
            <w:shd w:val="clear" w:color="auto" w:fill="D9E2F3"/>
            <w:vAlign w:val="center"/>
          </w:tcPr>
          <w:p w14:paraId="5F9CBC26" w14:textId="77777777" w:rsidR="00990B14" w:rsidRDefault="00000000">
            <w:pPr>
              <w:spacing w:before="20" w:after="20"/>
              <w:jc w:val="both"/>
            </w:pPr>
            <w:r>
              <w:rPr>
                <w:sz w:val="18"/>
                <w:szCs w:val="18"/>
              </w:rPr>
              <w:t>Contenido de la nota</w:t>
            </w:r>
          </w:p>
        </w:tc>
        <w:tc>
          <w:tcPr>
            <w:tcW w:w="1910" w:type="dxa"/>
            <w:shd w:val="clear" w:color="auto" w:fill="D9E2F3"/>
            <w:vAlign w:val="center"/>
          </w:tcPr>
          <w:p w14:paraId="1AEAF445" w14:textId="77777777" w:rsidR="00990B14" w:rsidRDefault="00000000">
            <w:pPr>
              <w:spacing w:before="20" w:after="20"/>
              <w:jc w:val="both"/>
            </w:pPr>
            <w:r>
              <w:rPr>
                <w:sz w:val="18"/>
                <w:szCs w:val="18"/>
              </w:rPr>
              <w:t>La nota omite saldos o transacciones.</w:t>
            </w:r>
          </w:p>
        </w:tc>
        <w:tc>
          <w:tcPr>
            <w:tcW w:w="2015" w:type="dxa"/>
            <w:shd w:val="clear" w:color="auto" w:fill="D9E2F3"/>
            <w:vAlign w:val="center"/>
          </w:tcPr>
          <w:p w14:paraId="42A9B536" w14:textId="77777777" w:rsidR="00990B14" w:rsidRDefault="00000000">
            <w:pPr>
              <w:spacing w:before="20" w:after="20"/>
              <w:jc w:val="both"/>
            </w:pPr>
            <w:r>
              <w:rPr>
                <w:sz w:val="18"/>
                <w:szCs w:val="18"/>
              </w:rPr>
              <w:t>Revela los saldos y las transacciones con socios.</w:t>
            </w:r>
          </w:p>
        </w:tc>
        <w:tc>
          <w:tcPr>
            <w:tcW w:w="1854" w:type="dxa"/>
            <w:shd w:val="clear" w:color="auto" w:fill="D9E2F3"/>
            <w:vAlign w:val="center"/>
          </w:tcPr>
          <w:p w14:paraId="0399B0A9" w14:textId="77777777" w:rsidR="00990B14" w:rsidRDefault="00000000">
            <w:pPr>
              <w:spacing w:before="20" w:after="20"/>
              <w:jc w:val="both"/>
            </w:pPr>
            <w:r>
              <w:rPr>
                <w:sz w:val="18"/>
                <w:szCs w:val="18"/>
              </w:rPr>
              <w:t>Señala riesgos de transacciones no habituales.</w:t>
            </w:r>
          </w:p>
        </w:tc>
      </w:tr>
      <w:tr w:rsidR="00990B14" w14:paraId="01A5B5DA" w14:textId="77777777">
        <w:trPr>
          <w:cantSplit/>
          <w:jc w:val="center"/>
        </w:trPr>
        <w:tc>
          <w:tcPr>
            <w:tcW w:w="1772" w:type="dxa"/>
            <w:vMerge/>
            <w:shd w:val="clear" w:color="auto" w:fill="4472C4"/>
            <w:vAlign w:val="center"/>
          </w:tcPr>
          <w:p w14:paraId="39F31E5D" w14:textId="77777777" w:rsidR="00990B14" w:rsidRDefault="00990B14">
            <w:pPr>
              <w:spacing w:before="20" w:after="20"/>
            </w:pPr>
          </w:p>
        </w:tc>
        <w:tc>
          <w:tcPr>
            <w:tcW w:w="1854" w:type="dxa"/>
            <w:shd w:val="clear" w:color="auto" w:fill="D9E2F3"/>
            <w:vAlign w:val="center"/>
          </w:tcPr>
          <w:p w14:paraId="3EE09B05" w14:textId="77777777" w:rsidR="00990B14" w:rsidRDefault="00000000">
            <w:pPr>
              <w:spacing w:before="20" w:after="20"/>
              <w:jc w:val="both"/>
            </w:pPr>
            <w:r>
              <w:rPr>
                <w:sz w:val="18"/>
                <w:szCs w:val="18"/>
              </w:rPr>
              <w:t>Claridad de la exposición</w:t>
            </w:r>
          </w:p>
        </w:tc>
        <w:tc>
          <w:tcPr>
            <w:tcW w:w="1910" w:type="dxa"/>
            <w:shd w:val="clear" w:color="auto" w:fill="D9E2F3"/>
            <w:vAlign w:val="center"/>
          </w:tcPr>
          <w:p w14:paraId="49A7E25C" w14:textId="77777777" w:rsidR="00990B14" w:rsidRDefault="00000000">
            <w:pPr>
              <w:spacing w:before="20" w:after="20"/>
              <w:jc w:val="both"/>
            </w:pPr>
            <w:r>
              <w:rPr>
                <w:sz w:val="18"/>
                <w:szCs w:val="18"/>
              </w:rPr>
              <w:t>La exposición es confusa.</w:t>
            </w:r>
          </w:p>
        </w:tc>
        <w:tc>
          <w:tcPr>
            <w:tcW w:w="2015" w:type="dxa"/>
            <w:shd w:val="clear" w:color="auto" w:fill="D9E2F3"/>
            <w:vAlign w:val="center"/>
          </w:tcPr>
          <w:p w14:paraId="48A3D191" w14:textId="77777777" w:rsidR="00990B14" w:rsidRDefault="00000000">
            <w:pPr>
              <w:spacing w:before="20" w:after="20"/>
              <w:jc w:val="both"/>
            </w:pPr>
            <w:r>
              <w:rPr>
                <w:sz w:val="18"/>
                <w:szCs w:val="18"/>
              </w:rPr>
              <w:t>Expone con orden y claridad.</w:t>
            </w:r>
          </w:p>
        </w:tc>
        <w:tc>
          <w:tcPr>
            <w:tcW w:w="1854" w:type="dxa"/>
            <w:shd w:val="clear" w:color="auto" w:fill="D9E2F3"/>
            <w:vAlign w:val="center"/>
          </w:tcPr>
          <w:p w14:paraId="4FAB81F7" w14:textId="77777777" w:rsidR="00990B14" w:rsidRDefault="00000000">
            <w:pPr>
              <w:spacing w:before="20" w:after="20"/>
              <w:jc w:val="both"/>
            </w:pPr>
            <w:r>
              <w:rPr>
                <w:sz w:val="18"/>
                <w:szCs w:val="18"/>
              </w:rPr>
              <w:t>Responde con solvencia las preguntas del curso.</w:t>
            </w:r>
          </w:p>
        </w:tc>
      </w:tr>
      <w:tr w:rsidR="00990B14" w14:paraId="521529DC" w14:textId="77777777">
        <w:trPr>
          <w:cantSplit/>
          <w:jc w:val="center"/>
        </w:trPr>
        <w:tc>
          <w:tcPr>
            <w:tcW w:w="1772" w:type="dxa"/>
            <w:vMerge/>
            <w:shd w:val="clear" w:color="auto" w:fill="4472C4"/>
            <w:vAlign w:val="center"/>
          </w:tcPr>
          <w:p w14:paraId="4D3E2CDC" w14:textId="77777777" w:rsidR="00990B14" w:rsidRDefault="00990B14">
            <w:pPr>
              <w:spacing w:before="20" w:after="20"/>
            </w:pPr>
          </w:p>
        </w:tc>
        <w:tc>
          <w:tcPr>
            <w:tcW w:w="5779" w:type="dxa"/>
            <w:gridSpan w:val="3"/>
            <w:shd w:val="clear" w:color="auto" w:fill="D9E2F3"/>
            <w:vAlign w:val="center"/>
          </w:tcPr>
          <w:p w14:paraId="654BC465" w14:textId="77777777" w:rsidR="00990B14" w:rsidRDefault="00000000">
            <w:pPr>
              <w:keepNext/>
              <w:spacing w:before="20" w:after="20"/>
              <w:jc w:val="both"/>
            </w:pPr>
            <w:r>
              <w:rPr>
                <w:b/>
                <w:bCs/>
                <w:i/>
                <w:iCs/>
                <w:sz w:val="18"/>
                <w:szCs w:val="18"/>
              </w:rPr>
              <w:t xml:space="preserve">Producto 5: </w:t>
            </w:r>
            <w:r>
              <w:rPr>
                <w:sz w:val="18"/>
                <w:szCs w:val="18"/>
              </w:rPr>
              <w:t>Registro de constitución y de cuotas de capital de una sociedad de responsabilidad limitada</w:t>
            </w:r>
          </w:p>
        </w:tc>
        <w:tc>
          <w:tcPr>
            <w:tcW w:w="1854" w:type="dxa"/>
            <w:shd w:val="clear" w:color="auto" w:fill="D9E2F3"/>
            <w:vAlign w:val="center"/>
          </w:tcPr>
          <w:p w14:paraId="26BA3F25" w14:textId="77777777" w:rsidR="00990B14" w:rsidRDefault="00000000">
            <w:pPr>
              <w:spacing w:before="20" w:after="20"/>
              <w:jc w:val="center"/>
            </w:pPr>
            <w:r>
              <w:rPr>
                <w:b/>
                <w:bCs/>
                <w:sz w:val="18"/>
                <w:szCs w:val="18"/>
              </w:rPr>
              <w:t>3%</w:t>
            </w:r>
          </w:p>
        </w:tc>
      </w:tr>
      <w:tr w:rsidR="00990B14" w14:paraId="11ADAC5A" w14:textId="77777777">
        <w:trPr>
          <w:cantSplit/>
          <w:jc w:val="center"/>
        </w:trPr>
        <w:tc>
          <w:tcPr>
            <w:tcW w:w="1772" w:type="dxa"/>
            <w:vMerge/>
            <w:shd w:val="clear" w:color="auto" w:fill="4472C4"/>
            <w:vAlign w:val="center"/>
          </w:tcPr>
          <w:p w14:paraId="10F3B856" w14:textId="77777777" w:rsidR="00990B14" w:rsidRDefault="00990B14">
            <w:pPr>
              <w:spacing w:before="20" w:after="20"/>
            </w:pPr>
          </w:p>
        </w:tc>
        <w:tc>
          <w:tcPr>
            <w:tcW w:w="1854" w:type="dxa"/>
            <w:shd w:val="clear" w:color="auto" w:fill="4472C4"/>
            <w:vAlign w:val="center"/>
          </w:tcPr>
          <w:p w14:paraId="70F385CB"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4960B2AF"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1DB3B9D2" w14:textId="77777777" w:rsidR="00990B14" w:rsidRDefault="00000000">
            <w:pPr>
              <w:keepNext/>
              <w:spacing w:before="20" w:after="20"/>
              <w:jc w:val="center"/>
            </w:pPr>
            <w:r>
              <w:rPr>
                <w:b/>
                <w:bCs/>
                <w:i/>
                <w:iCs/>
                <w:color w:val="FFFFFF"/>
                <w:sz w:val="18"/>
                <w:szCs w:val="18"/>
              </w:rPr>
              <w:t>Suficiente (51–80)</w:t>
            </w:r>
          </w:p>
        </w:tc>
        <w:tc>
          <w:tcPr>
            <w:tcW w:w="1854" w:type="dxa"/>
            <w:shd w:val="clear" w:color="auto" w:fill="4472C4"/>
            <w:vAlign w:val="center"/>
          </w:tcPr>
          <w:p w14:paraId="12EC6364" w14:textId="77777777" w:rsidR="00990B14" w:rsidRDefault="00000000">
            <w:pPr>
              <w:keepNext/>
              <w:spacing w:before="20" w:after="20"/>
              <w:jc w:val="center"/>
            </w:pPr>
            <w:r>
              <w:rPr>
                <w:b/>
                <w:bCs/>
                <w:i/>
                <w:iCs/>
                <w:color w:val="FFFFFF"/>
                <w:sz w:val="18"/>
                <w:szCs w:val="18"/>
              </w:rPr>
              <w:t>Destacado (81–100)</w:t>
            </w:r>
          </w:p>
        </w:tc>
      </w:tr>
      <w:tr w:rsidR="00990B14" w14:paraId="62581DA9" w14:textId="77777777">
        <w:trPr>
          <w:cantSplit/>
          <w:jc w:val="center"/>
        </w:trPr>
        <w:tc>
          <w:tcPr>
            <w:tcW w:w="1772" w:type="dxa"/>
            <w:vMerge/>
            <w:shd w:val="clear" w:color="auto" w:fill="4472C4"/>
            <w:vAlign w:val="center"/>
          </w:tcPr>
          <w:p w14:paraId="4EB9B4F0" w14:textId="77777777" w:rsidR="00990B14" w:rsidRDefault="00990B14">
            <w:pPr>
              <w:spacing w:before="20" w:after="20"/>
            </w:pPr>
          </w:p>
        </w:tc>
        <w:tc>
          <w:tcPr>
            <w:tcW w:w="1854" w:type="dxa"/>
            <w:shd w:val="clear" w:color="auto" w:fill="D9E2F3"/>
            <w:vAlign w:val="center"/>
          </w:tcPr>
          <w:p w14:paraId="455F3686" w14:textId="77777777" w:rsidR="00990B14" w:rsidRDefault="00000000">
            <w:pPr>
              <w:spacing w:before="20" w:after="20"/>
              <w:jc w:val="both"/>
            </w:pPr>
            <w:r>
              <w:rPr>
                <w:sz w:val="18"/>
                <w:szCs w:val="18"/>
              </w:rPr>
              <w:t>Cuotas de capital</w:t>
            </w:r>
          </w:p>
        </w:tc>
        <w:tc>
          <w:tcPr>
            <w:tcW w:w="1910" w:type="dxa"/>
            <w:shd w:val="clear" w:color="auto" w:fill="D9E2F3"/>
            <w:vAlign w:val="center"/>
          </w:tcPr>
          <w:p w14:paraId="70BB9CA0" w14:textId="77777777" w:rsidR="00990B14" w:rsidRDefault="00000000">
            <w:pPr>
              <w:spacing w:before="20" w:after="20"/>
              <w:jc w:val="both"/>
            </w:pPr>
            <w:r>
              <w:rPr>
                <w:sz w:val="18"/>
                <w:szCs w:val="18"/>
              </w:rPr>
              <w:t>Registra las cuotas sin distinguir las suscritas de las pagadas.</w:t>
            </w:r>
          </w:p>
        </w:tc>
        <w:tc>
          <w:tcPr>
            <w:tcW w:w="2015" w:type="dxa"/>
            <w:shd w:val="clear" w:color="auto" w:fill="D9E2F3"/>
            <w:vAlign w:val="center"/>
          </w:tcPr>
          <w:p w14:paraId="6874A02E" w14:textId="77777777" w:rsidR="00990B14" w:rsidRDefault="00000000">
            <w:pPr>
              <w:spacing w:before="20" w:after="20"/>
              <w:jc w:val="both"/>
            </w:pPr>
            <w:r>
              <w:rPr>
                <w:sz w:val="18"/>
                <w:szCs w:val="18"/>
              </w:rPr>
              <w:t>Registra las cuotas suscritas y pagadas por socio.</w:t>
            </w:r>
          </w:p>
        </w:tc>
        <w:tc>
          <w:tcPr>
            <w:tcW w:w="1854" w:type="dxa"/>
            <w:shd w:val="clear" w:color="auto" w:fill="D9E2F3"/>
            <w:vAlign w:val="center"/>
          </w:tcPr>
          <w:p w14:paraId="5D3200DE" w14:textId="77777777" w:rsidR="00990B14" w:rsidRDefault="00000000">
            <w:pPr>
              <w:spacing w:before="20" w:after="20"/>
              <w:jc w:val="both"/>
            </w:pPr>
            <w:r>
              <w:rPr>
                <w:sz w:val="18"/>
                <w:szCs w:val="18"/>
              </w:rPr>
              <w:t>Demuestra la igualdad del capital con las cuotas.</w:t>
            </w:r>
          </w:p>
        </w:tc>
      </w:tr>
      <w:tr w:rsidR="00990B14" w14:paraId="084050C2" w14:textId="77777777">
        <w:trPr>
          <w:cantSplit/>
          <w:jc w:val="center"/>
        </w:trPr>
        <w:tc>
          <w:tcPr>
            <w:tcW w:w="1772" w:type="dxa"/>
            <w:vMerge/>
            <w:shd w:val="clear" w:color="auto" w:fill="4472C4"/>
            <w:vAlign w:val="center"/>
          </w:tcPr>
          <w:p w14:paraId="6976D481" w14:textId="77777777" w:rsidR="00990B14" w:rsidRDefault="00990B14">
            <w:pPr>
              <w:spacing w:before="20" w:after="20"/>
            </w:pPr>
          </w:p>
        </w:tc>
        <w:tc>
          <w:tcPr>
            <w:tcW w:w="1854" w:type="dxa"/>
            <w:shd w:val="clear" w:color="auto" w:fill="D9E2F3"/>
            <w:vAlign w:val="center"/>
          </w:tcPr>
          <w:p w14:paraId="0EC33939" w14:textId="77777777" w:rsidR="00990B14" w:rsidRDefault="00000000">
            <w:pPr>
              <w:spacing w:before="20" w:after="20"/>
              <w:jc w:val="both"/>
            </w:pPr>
            <w:r>
              <w:rPr>
                <w:sz w:val="18"/>
                <w:szCs w:val="18"/>
              </w:rPr>
              <w:t>Cuentas personales</w:t>
            </w:r>
          </w:p>
        </w:tc>
        <w:tc>
          <w:tcPr>
            <w:tcW w:w="1910" w:type="dxa"/>
            <w:shd w:val="clear" w:color="auto" w:fill="D9E2F3"/>
            <w:vAlign w:val="center"/>
          </w:tcPr>
          <w:p w14:paraId="727709CF" w14:textId="77777777" w:rsidR="00990B14" w:rsidRDefault="00000000">
            <w:pPr>
              <w:spacing w:before="20" w:after="20"/>
              <w:jc w:val="both"/>
            </w:pPr>
            <w:r>
              <w:rPr>
                <w:sz w:val="18"/>
                <w:szCs w:val="18"/>
              </w:rPr>
              <w:t>Mezcla cuentas personales con el capital.</w:t>
            </w:r>
          </w:p>
        </w:tc>
        <w:tc>
          <w:tcPr>
            <w:tcW w:w="2015" w:type="dxa"/>
            <w:shd w:val="clear" w:color="auto" w:fill="D9E2F3"/>
            <w:vAlign w:val="center"/>
          </w:tcPr>
          <w:p w14:paraId="5BC03CB0" w14:textId="77777777" w:rsidR="00990B14" w:rsidRDefault="00000000">
            <w:pPr>
              <w:spacing w:before="20" w:after="20"/>
              <w:jc w:val="both"/>
            </w:pPr>
            <w:r>
              <w:rPr>
                <w:sz w:val="18"/>
                <w:szCs w:val="18"/>
              </w:rPr>
              <w:t>Registra las cuentas personales de los socios.</w:t>
            </w:r>
          </w:p>
        </w:tc>
        <w:tc>
          <w:tcPr>
            <w:tcW w:w="1854" w:type="dxa"/>
            <w:shd w:val="clear" w:color="auto" w:fill="D9E2F3"/>
            <w:vAlign w:val="center"/>
          </w:tcPr>
          <w:p w14:paraId="78E51AC1" w14:textId="77777777" w:rsidR="00990B14" w:rsidRDefault="00000000">
            <w:pPr>
              <w:spacing w:before="20" w:after="20"/>
              <w:jc w:val="both"/>
            </w:pPr>
            <w:r>
              <w:rPr>
                <w:sz w:val="18"/>
                <w:szCs w:val="18"/>
              </w:rPr>
              <w:t>Explica la naturaleza de cada cuenta personal.</w:t>
            </w:r>
          </w:p>
        </w:tc>
      </w:tr>
      <w:tr w:rsidR="00990B14" w14:paraId="5DF3B803" w14:textId="77777777">
        <w:trPr>
          <w:cantSplit/>
          <w:jc w:val="center"/>
        </w:trPr>
        <w:tc>
          <w:tcPr>
            <w:tcW w:w="1772" w:type="dxa"/>
            <w:vMerge/>
            <w:shd w:val="clear" w:color="auto" w:fill="4472C4"/>
            <w:vAlign w:val="center"/>
          </w:tcPr>
          <w:p w14:paraId="2666D2A8" w14:textId="77777777" w:rsidR="00990B14" w:rsidRDefault="00990B14">
            <w:pPr>
              <w:spacing w:before="20" w:after="20"/>
            </w:pPr>
          </w:p>
        </w:tc>
        <w:tc>
          <w:tcPr>
            <w:tcW w:w="1854" w:type="dxa"/>
            <w:shd w:val="clear" w:color="auto" w:fill="D9E2F3"/>
            <w:vAlign w:val="center"/>
          </w:tcPr>
          <w:p w14:paraId="51AC4901" w14:textId="77777777" w:rsidR="00990B14" w:rsidRDefault="00000000">
            <w:pPr>
              <w:spacing w:before="20" w:after="20"/>
              <w:jc w:val="both"/>
            </w:pPr>
            <w:r>
              <w:rPr>
                <w:sz w:val="18"/>
                <w:szCs w:val="18"/>
              </w:rPr>
              <w:t>Demostración de saldos</w:t>
            </w:r>
          </w:p>
        </w:tc>
        <w:tc>
          <w:tcPr>
            <w:tcW w:w="1910" w:type="dxa"/>
            <w:shd w:val="clear" w:color="auto" w:fill="D9E2F3"/>
            <w:vAlign w:val="center"/>
          </w:tcPr>
          <w:p w14:paraId="59797A43" w14:textId="77777777" w:rsidR="00990B14" w:rsidRDefault="00000000">
            <w:pPr>
              <w:spacing w:before="20" w:after="20"/>
              <w:jc w:val="both"/>
            </w:pPr>
            <w:r>
              <w:rPr>
                <w:sz w:val="18"/>
                <w:szCs w:val="18"/>
              </w:rPr>
              <w:t>No demuestra los saldos.</w:t>
            </w:r>
          </w:p>
        </w:tc>
        <w:tc>
          <w:tcPr>
            <w:tcW w:w="2015" w:type="dxa"/>
            <w:shd w:val="clear" w:color="auto" w:fill="D9E2F3"/>
            <w:vAlign w:val="center"/>
          </w:tcPr>
          <w:p w14:paraId="24544072" w14:textId="77777777" w:rsidR="00990B14" w:rsidRDefault="00000000">
            <w:pPr>
              <w:spacing w:before="20" w:after="20"/>
              <w:jc w:val="both"/>
            </w:pPr>
            <w:r>
              <w:rPr>
                <w:sz w:val="18"/>
                <w:szCs w:val="18"/>
              </w:rPr>
              <w:t>Demuestra los saldos de las cuentas.</w:t>
            </w:r>
          </w:p>
        </w:tc>
        <w:tc>
          <w:tcPr>
            <w:tcW w:w="1854" w:type="dxa"/>
            <w:shd w:val="clear" w:color="auto" w:fill="D9E2F3"/>
            <w:vAlign w:val="center"/>
          </w:tcPr>
          <w:p w14:paraId="4F3922AA" w14:textId="77777777" w:rsidR="00990B14" w:rsidRDefault="00000000">
            <w:pPr>
              <w:spacing w:before="20" w:after="20"/>
              <w:jc w:val="both"/>
            </w:pPr>
            <w:r>
              <w:rPr>
                <w:sz w:val="18"/>
                <w:szCs w:val="18"/>
              </w:rPr>
              <w:t>Verifica los saldos con el libro de registro de socios.</w:t>
            </w:r>
          </w:p>
        </w:tc>
      </w:tr>
      <w:tr w:rsidR="00990B14" w14:paraId="501287E6" w14:textId="77777777">
        <w:trPr>
          <w:cantSplit/>
          <w:jc w:val="center"/>
        </w:trPr>
        <w:tc>
          <w:tcPr>
            <w:tcW w:w="1772" w:type="dxa"/>
            <w:vMerge/>
            <w:shd w:val="clear" w:color="auto" w:fill="4472C4"/>
            <w:vAlign w:val="center"/>
          </w:tcPr>
          <w:p w14:paraId="69E72646" w14:textId="77777777" w:rsidR="00990B14" w:rsidRDefault="00990B14">
            <w:pPr>
              <w:spacing w:before="20" w:after="20"/>
            </w:pPr>
          </w:p>
        </w:tc>
        <w:tc>
          <w:tcPr>
            <w:tcW w:w="5779" w:type="dxa"/>
            <w:gridSpan w:val="3"/>
            <w:shd w:val="clear" w:color="auto" w:fill="D9E2F3"/>
            <w:vAlign w:val="center"/>
          </w:tcPr>
          <w:p w14:paraId="63B44DCE" w14:textId="77777777" w:rsidR="00990B14" w:rsidRDefault="00000000">
            <w:pPr>
              <w:keepNext/>
              <w:spacing w:before="20" w:after="20"/>
              <w:jc w:val="both"/>
            </w:pPr>
            <w:r>
              <w:rPr>
                <w:b/>
                <w:bCs/>
                <w:i/>
                <w:iCs/>
                <w:sz w:val="18"/>
                <w:szCs w:val="18"/>
              </w:rPr>
              <w:t xml:space="preserve">Producto 6: </w:t>
            </w:r>
            <w:r>
              <w:rPr>
                <w:sz w:val="18"/>
                <w:szCs w:val="18"/>
              </w:rPr>
              <w:t>Estado de distribución de utilidades de una sociedad de responsabilidad limitada</w:t>
            </w:r>
          </w:p>
        </w:tc>
        <w:tc>
          <w:tcPr>
            <w:tcW w:w="1854" w:type="dxa"/>
            <w:shd w:val="clear" w:color="auto" w:fill="D9E2F3"/>
            <w:vAlign w:val="center"/>
          </w:tcPr>
          <w:p w14:paraId="1719B3C7" w14:textId="77777777" w:rsidR="00990B14" w:rsidRDefault="00000000">
            <w:pPr>
              <w:spacing w:before="20" w:after="20"/>
              <w:jc w:val="center"/>
            </w:pPr>
            <w:r>
              <w:rPr>
                <w:b/>
                <w:bCs/>
                <w:sz w:val="18"/>
                <w:szCs w:val="18"/>
              </w:rPr>
              <w:t>3%</w:t>
            </w:r>
          </w:p>
        </w:tc>
      </w:tr>
      <w:tr w:rsidR="00990B14" w14:paraId="6E170D71" w14:textId="77777777">
        <w:trPr>
          <w:cantSplit/>
          <w:jc w:val="center"/>
        </w:trPr>
        <w:tc>
          <w:tcPr>
            <w:tcW w:w="1772" w:type="dxa"/>
            <w:vMerge/>
            <w:shd w:val="clear" w:color="auto" w:fill="4472C4"/>
            <w:vAlign w:val="center"/>
          </w:tcPr>
          <w:p w14:paraId="71F45BA4" w14:textId="77777777" w:rsidR="00990B14" w:rsidRDefault="00990B14">
            <w:pPr>
              <w:spacing w:before="20" w:after="20"/>
            </w:pPr>
          </w:p>
        </w:tc>
        <w:tc>
          <w:tcPr>
            <w:tcW w:w="1854" w:type="dxa"/>
            <w:shd w:val="clear" w:color="auto" w:fill="4472C4"/>
            <w:vAlign w:val="center"/>
          </w:tcPr>
          <w:p w14:paraId="466CA1A8"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50828644"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3A65CF8C" w14:textId="77777777" w:rsidR="00990B14" w:rsidRDefault="00000000">
            <w:pPr>
              <w:keepNext/>
              <w:spacing w:before="20" w:after="20"/>
              <w:jc w:val="center"/>
            </w:pPr>
            <w:r>
              <w:rPr>
                <w:b/>
                <w:bCs/>
                <w:i/>
                <w:iCs/>
                <w:color w:val="FFFFFF"/>
                <w:sz w:val="18"/>
                <w:szCs w:val="18"/>
              </w:rPr>
              <w:t>Suficiente (51–80)</w:t>
            </w:r>
          </w:p>
        </w:tc>
        <w:tc>
          <w:tcPr>
            <w:tcW w:w="1854" w:type="dxa"/>
            <w:shd w:val="clear" w:color="auto" w:fill="4472C4"/>
            <w:vAlign w:val="center"/>
          </w:tcPr>
          <w:p w14:paraId="6ED7F676" w14:textId="77777777" w:rsidR="00990B14" w:rsidRDefault="00000000">
            <w:pPr>
              <w:keepNext/>
              <w:spacing w:before="20" w:after="20"/>
              <w:jc w:val="center"/>
            </w:pPr>
            <w:r>
              <w:rPr>
                <w:b/>
                <w:bCs/>
                <w:i/>
                <w:iCs/>
                <w:color w:val="FFFFFF"/>
                <w:sz w:val="18"/>
                <w:szCs w:val="18"/>
              </w:rPr>
              <w:t>Destacado (81–100)</w:t>
            </w:r>
          </w:p>
        </w:tc>
      </w:tr>
      <w:tr w:rsidR="00990B14" w14:paraId="37148725" w14:textId="77777777">
        <w:trPr>
          <w:cantSplit/>
          <w:jc w:val="center"/>
        </w:trPr>
        <w:tc>
          <w:tcPr>
            <w:tcW w:w="1772" w:type="dxa"/>
            <w:vMerge/>
            <w:shd w:val="clear" w:color="auto" w:fill="4472C4"/>
            <w:vAlign w:val="center"/>
          </w:tcPr>
          <w:p w14:paraId="056B9C91" w14:textId="77777777" w:rsidR="00990B14" w:rsidRDefault="00990B14">
            <w:pPr>
              <w:spacing w:before="20" w:after="20"/>
            </w:pPr>
          </w:p>
        </w:tc>
        <w:tc>
          <w:tcPr>
            <w:tcW w:w="1854" w:type="dxa"/>
            <w:shd w:val="clear" w:color="auto" w:fill="D9E2F3"/>
            <w:vAlign w:val="center"/>
          </w:tcPr>
          <w:p w14:paraId="0C622B8A" w14:textId="77777777" w:rsidR="00990B14" w:rsidRDefault="00000000">
            <w:pPr>
              <w:spacing w:before="20" w:after="20"/>
              <w:jc w:val="both"/>
            </w:pPr>
            <w:r>
              <w:rPr>
                <w:sz w:val="18"/>
                <w:szCs w:val="18"/>
              </w:rPr>
              <w:t>Base distribuible</w:t>
            </w:r>
          </w:p>
        </w:tc>
        <w:tc>
          <w:tcPr>
            <w:tcW w:w="1910" w:type="dxa"/>
            <w:shd w:val="clear" w:color="auto" w:fill="D9E2F3"/>
            <w:vAlign w:val="center"/>
          </w:tcPr>
          <w:p w14:paraId="2D2CFDD6" w14:textId="77777777" w:rsidR="00990B14" w:rsidRDefault="00000000">
            <w:pPr>
              <w:spacing w:before="20" w:after="20"/>
              <w:jc w:val="both"/>
            </w:pPr>
            <w:r>
              <w:rPr>
                <w:sz w:val="18"/>
                <w:szCs w:val="18"/>
              </w:rPr>
              <w:t>Distribuye utilidades no líquidas.</w:t>
            </w:r>
          </w:p>
        </w:tc>
        <w:tc>
          <w:tcPr>
            <w:tcW w:w="2015" w:type="dxa"/>
            <w:shd w:val="clear" w:color="auto" w:fill="D9E2F3"/>
            <w:vAlign w:val="center"/>
          </w:tcPr>
          <w:p w14:paraId="3212D721" w14:textId="77777777" w:rsidR="00990B14" w:rsidRDefault="00000000">
            <w:pPr>
              <w:spacing w:before="20" w:after="20"/>
              <w:jc w:val="both"/>
            </w:pPr>
            <w:r>
              <w:rPr>
                <w:sz w:val="18"/>
                <w:szCs w:val="18"/>
              </w:rPr>
              <w:t>Determina la utilidad líquida y realizada.</w:t>
            </w:r>
          </w:p>
        </w:tc>
        <w:tc>
          <w:tcPr>
            <w:tcW w:w="1854" w:type="dxa"/>
            <w:shd w:val="clear" w:color="auto" w:fill="D9E2F3"/>
            <w:vAlign w:val="center"/>
          </w:tcPr>
          <w:p w14:paraId="17D3E568" w14:textId="77777777" w:rsidR="00990B14" w:rsidRDefault="00000000">
            <w:pPr>
              <w:spacing w:before="20" w:after="20"/>
              <w:jc w:val="both"/>
            </w:pPr>
            <w:r>
              <w:rPr>
                <w:sz w:val="18"/>
                <w:szCs w:val="18"/>
              </w:rPr>
              <w:t>Descuenta pérdidas de gestiones anteriores.</w:t>
            </w:r>
          </w:p>
        </w:tc>
      </w:tr>
      <w:tr w:rsidR="00990B14" w14:paraId="7E669320" w14:textId="77777777">
        <w:trPr>
          <w:cantSplit/>
          <w:jc w:val="center"/>
        </w:trPr>
        <w:tc>
          <w:tcPr>
            <w:tcW w:w="1772" w:type="dxa"/>
            <w:vMerge/>
            <w:shd w:val="clear" w:color="auto" w:fill="4472C4"/>
            <w:vAlign w:val="center"/>
          </w:tcPr>
          <w:p w14:paraId="29917168" w14:textId="77777777" w:rsidR="00990B14" w:rsidRDefault="00990B14">
            <w:pPr>
              <w:spacing w:before="20" w:after="20"/>
            </w:pPr>
          </w:p>
        </w:tc>
        <w:tc>
          <w:tcPr>
            <w:tcW w:w="1854" w:type="dxa"/>
            <w:shd w:val="clear" w:color="auto" w:fill="D9E2F3"/>
            <w:vAlign w:val="center"/>
          </w:tcPr>
          <w:p w14:paraId="4BB869E3" w14:textId="77777777" w:rsidR="00990B14" w:rsidRDefault="00000000">
            <w:pPr>
              <w:spacing w:before="20" w:after="20"/>
              <w:jc w:val="both"/>
            </w:pPr>
            <w:r>
              <w:rPr>
                <w:sz w:val="18"/>
                <w:szCs w:val="18"/>
              </w:rPr>
              <w:t>Reserva legal y distribución</w:t>
            </w:r>
          </w:p>
        </w:tc>
        <w:tc>
          <w:tcPr>
            <w:tcW w:w="1910" w:type="dxa"/>
            <w:shd w:val="clear" w:color="auto" w:fill="D9E2F3"/>
            <w:vAlign w:val="center"/>
          </w:tcPr>
          <w:p w14:paraId="7CC311C3" w14:textId="77777777" w:rsidR="00990B14" w:rsidRDefault="00000000">
            <w:pPr>
              <w:spacing w:before="20" w:after="20"/>
              <w:jc w:val="both"/>
            </w:pPr>
            <w:r>
              <w:rPr>
                <w:sz w:val="18"/>
                <w:szCs w:val="18"/>
              </w:rPr>
              <w:t>Omite la reserva legal.</w:t>
            </w:r>
          </w:p>
        </w:tc>
        <w:tc>
          <w:tcPr>
            <w:tcW w:w="2015" w:type="dxa"/>
            <w:shd w:val="clear" w:color="auto" w:fill="D9E2F3"/>
            <w:vAlign w:val="center"/>
          </w:tcPr>
          <w:p w14:paraId="628D600C" w14:textId="77777777" w:rsidR="00990B14" w:rsidRDefault="00000000">
            <w:pPr>
              <w:spacing w:before="20" w:after="20"/>
              <w:jc w:val="both"/>
            </w:pPr>
            <w:r>
              <w:rPr>
                <w:sz w:val="18"/>
                <w:szCs w:val="18"/>
              </w:rPr>
              <w:t>Constituye la reserva y distribuye según las cuotas.</w:t>
            </w:r>
          </w:p>
        </w:tc>
        <w:tc>
          <w:tcPr>
            <w:tcW w:w="1854" w:type="dxa"/>
            <w:shd w:val="clear" w:color="auto" w:fill="D9E2F3"/>
            <w:vAlign w:val="center"/>
          </w:tcPr>
          <w:p w14:paraId="64AA9016" w14:textId="77777777" w:rsidR="00990B14" w:rsidRDefault="00000000">
            <w:pPr>
              <w:spacing w:before="20" w:after="20"/>
              <w:jc w:val="both"/>
            </w:pPr>
            <w:r>
              <w:rPr>
                <w:sz w:val="18"/>
                <w:szCs w:val="18"/>
              </w:rPr>
              <w:t>Aplica las cláusulas especiales del contrato social.</w:t>
            </w:r>
          </w:p>
        </w:tc>
      </w:tr>
      <w:tr w:rsidR="00990B14" w14:paraId="3A8FCDAE" w14:textId="77777777">
        <w:trPr>
          <w:cantSplit/>
          <w:jc w:val="center"/>
        </w:trPr>
        <w:tc>
          <w:tcPr>
            <w:tcW w:w="1772" w:type="dxa"/>
            <w:vMerge/>
            <w:shd w:val="clear" w:color="auto" w:fill="4472C4"/>
            <w:vAlign w:val="center"/>
          </w:tcPr>
          <w:p w14:paraId="40272B7C" w14:textId="77777777" w:rsidR="00990B14" w:rsidRDefault="00990B14">
            <w:pPr>
              <w:spacing w:before="20" w:after="20"/>
            </w:pPr>
          </w:p>
        </w:tc>
        <w:tc>
          <w:tcPr>
            <w:tcW w:w="1854" w:type="dxa"/>
            <w:shd w:val="clear" w:color="auto" w:fill="D9E2F3"/>
            <w:vAlign w:val="center"/>
          </w:tcPr>
          <w:p w14:paraId="39BC0D70" w14:textId="77777777" w:rsidR="00990B14" w:rsidRDefault="00000000">
            <w:pPr>
              <w:spacing w:before="20" w:after="20"/>
              <w:jc w:val="both"/>
            </w:pPr>
            <w:r>
              <w:rPr>
                <w:sz w:val="18"/>
                <w:szCs w:val="18"/>
              </w:rPr>
              <w:t>Hoja de cálculo</w:t>
            </w:r>
          </w:p>
        </w:tc>
        <w:tc>
          <w:tcPr>
            <w:tcW w:w="1910" w:type="dxa"/>
            <w:shd w:val="clear" w:color="auto" w:fill="D9E2F3"/>
            <w:vAlign w:val="center"/>
          </w:tcPr>
          <w:p w14:paraId="7E5C4FE9" w14:textId="77777777" w:rsidR="00990B14" w:rsidRDefault="00000000">
            <w:pPr>
              <w:spacing w:before="20" w:after="20"/>
              <w:jc w:val="both"/>
            </w:pPr>
            <w:r>
              <w:rPr>
                <w:sz w:val="18"/>
                <w:szCs w:val="18"/>
              </w:rPr>
              <w:t>No usa fórmulas.</w:t>
            </w:r>
          </w:p>
        </w:tc>
        <w:tc>
          <w:tcPr>
            <w:tcW w:w="2015" w:type="dxa"/>
            <w:shd w:val="clear" w:color="auto" w:fill="D9E2F3"/>
            <w:vAlign w:val="center"/>
          </w:tcPr>
          <w:p w14:paraId="36728FC3" w14:textId="77777777" w:rsidR="00990B14" w:rsidRDefault="00000000">
            <w:pPr>
              <w:spacing w:before="20" w:after="20"/>
              <w:jc w:val="both"/>
            </w:pPr>
            <w:r>
              <w:rPr>
                <w:sz w:val="18"/>
                <w:szCs w:val="18"/>
              </w:rPr>
              <w:t>Usa fórmulas en la distribución.</w:t>
            </w:r>
          </w:p>
        </w:tc>
        <w:tc>
          <w:tcPr>
            <w:tcW w:w="1854" w:type="dxa"/>
            <w:shd w:val="clear" w:color="auto" w:fill="D9E2F3"/>
            <w:vAlign w:val="center"/>
          </w:tcPr>
          <w:p w14:paraId="6401F7E4" w14:textId="77777777" w:rsidR="00990B14" w:rsidRDefault="00000000">
            <w:pPr>
              <w:spacing w:before="20" w:after="20"/>
              <w:jc w:val="both"/>
            </w:pPr>
            <w:r>
              <w:rPr>
                <w:sz w:val="18"/>
                <w:szCs w:val="18"/>
              </w:rPr>
              <w:t>Verifica que el cuadro admita cambios en las cuotas.</w:t>
            </w:r>
          </w:p>
        </w:tc>
      </w:tr>
      <w:tr w:rsidR="00990B14" w14:paraId="702AE84E" w14:textId="77777777">
        <w:trPr>
          <w:cantSplit/>
          <w:jc w:val="center"/>
        </w:trPr>
        <w:tc>
          <w:tcPr>
            <w:tcW w:w="1772" w:type="dxa"/>
            <w:vMerge/>
            <w:shd w:val="clear" w:color="auto" w:fill="4472C4"/>
            <w:vAlign w:val="center"/>
          </w:tcPr>
          <w:p w14:paraId="39D25C9C" w14:textId="77777777" w:rsidR="00990B14" w:rsidRDefault="00990B14">
            <w:pPr>
              <w:spacing w:before="20" w:after="20"/>
            </w:pPr>
          </w:p>
        </w:tc>
        <w:tc>
          <w:tcPr>
            <w:tcW w:w="5779" w:type="dxa"/>
            <w:gridSpan w:val="3"/>
            <w:shd w:val="clear" w:color="auto" w:fill="D9E2F3"/>
            <w:vAlign w:val="center"/>
          </w:tcPr>
          <w:p w14:paraId="5637A2B0" w14:textId="77777777" w:rsidR="00990B14" w:rsidRDefault="00000000">
            <w:pPr>
              <w:keepNext/>
              <w:spacing w:before="20" w:after="20"/>
              <w:jc w:val="both"/>
            </w:pPr>
            <w:r>
              <w:rPr>
                <w:b/>
                <w:bCs/>
                <w:i/>
                <w:iCs/>
                <w:sz w:val="18"/>
                <w:szCs w:val="18"/>
              </w:rPr>
              <w:t xml:space="preserve">Producto 7: </w:t>
            </w:r>
            <w:r>
              <w:rPr>
                <w:sz w:val="18"/>
                <w:szCs w:val="18"/>
              </w:rPr>
              <w:t>Cuadro de aumentos y disminuciones de capital de una sociedad de responsabilidad limitada</w:t>
            </w:r>
          </w:p>
        </w:tc>
        <w:tc>
          <w:tcPr>
            <w:tcW w:w="1854" w:type="dxa"/>
            <w:shd w:val="clear" w:color="auto" w:fill="D9E2F3"/>
            <w:vAlign w:val="center"/>
          </w:tcPr>
          <w:p w14:paraId="2F6927DC" w14:textId="77777777" w:rsidR="00990B14" w:rsidRDefault="00000000">
            <w:pPr>
              <w:spacing w:before="20" w:after="20"/>
              <w:jc w:val="center"/>
            </w:pPr>
            <w:r>
              <w:rPr>
                <w:b/>
                <w:bCs/>
                <w:sz w:val="18"/>
                <w:szCs w:val="18"/>
              </w:rPr>
              <w:t>2%</w:t>
            </w:r>
          </w:p>
        </w:tc>
      </w:tr>
      <w:tr w:rsidR="00990B14" w14:paraId="0833147F" w14:textId="77777777">
        <w:trPr>
          <w:cantSplit/>
          <w:jc w:val="center"/>
        </w:trPr>
        <w:tc>
          <w:tcPr>
            <w:tcW w:w="1772" w:type="dxa"/>
            <w:vMerge/>
            <w:shd w:val="clear" w:color="auto" w:fill="4472C4"/>
            <w:vAlign w:val="center"/>
          </w:tcPr>
          <w:p w14:paraId="391ED9D2" w14:textId="77777777" w:rsidR="00990B14" w:rsidRDefault="00990B14">
            <w:pPr>
              <w:spacing w:before="20" w:after="20"/>
            </w:pPr>
          </w:p>
        </w:tc>
        <w:tc>
          <w:tcPr>
            <w:tcW w:w="1854" w:type="dxa"/>
            <w:shd w:val="clear" w:color="auto" w:fill="4472C4"/>
            <w:vAlign w:val="center"/>
          </w:tcPr>
          <w:p w14:paraId="6F970CE7"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10D6DBED"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1DBFDD0E" w14:textId="77777777" w:rsidR="00990B14" w:rsidRDefault="00000000">
            <w:pPr>
              <w:keepNext/>
              <w:spacing w:before="20" w:after="20"/>
              <w:jc w:val="center"/>
            </w:pPr>
            <w:r>
              <w:rPr>
                <w:b/>
                <w:bCs/>
                <w:i/>
                <w:iCs/>
                <w:color w:val="FFFFFF"/>
                <w:sz w:val="18"/>
                <w:szCs w:val="18"/>
              </w:rPr>
              <w:t>Suficiente (51–80)</w:t>
            </w:r>
          </w:p>
        </w:tc>
        <w:tc>
          <w:tcPr>
            <w:tcW w:w="1854" w:type="dxa"/>
            <w:shd w:val="clear" w:color="auto" w:fill="4472C4"/>
            <w:vAlign w:val="center"/>
          </w:tcPr>
          <w:p w14:paraId="64902046" w14:textId="77777777" w:rsidR="00990B14" w:rsidRDefault="00000000">
            <w:pPr>
              <w:keepNext/>
              <w:spacing w:before="20" w:after="20"/>
              <w:jc w:val="center"/>
            </w:pPr>
            <w:r>
              <w:rPr>
                <w:b/>
                <w:bCs/>
                <w:i/>
                <w:iCs/>
                <w:color w:val="FFFFFF"/>
                <w:sz w:val="18"/>
                <w:szCs w:val="18"/>
              </w:rPr>
              <w:t>Destacado (81–100)</w:t>
            </w:r>
          </w:p>
        </w:tc>
      </w:tr>
      <w:tr w:rsidR="00990B14" w14:paraId="562AFA39" w14:textId="77777777">
        <w:trPr>
          <w:cantSplit/>
          <w:jc w:val="center"/>
        </w:trPr>
        <w:tc>
          <w:tcPr>
            <w:tcW w:w="1772" w:type="dxa"/>
            <w:vMerge/>
            <w:shd w:val="clear" w:color="auto" w:fill="4472C4"/>
            <w:vAlign w:val="center"/>
          </w:tcPr>
          <w:p w14:paraId="2AA5F14E" w14:textId="77777777" w:rsidR="00990B14" w:rsidRDefault="00990B14">
            <w:pPr>
              <w:spacing w:before="20" w:after="20"/>
            </w:pPr>
          </w:p>
        </w:tc>
        <w:tc>
          <w:tcPr>
            <w:tcW w:w="1854" w:type="dxa"/>
            <w:shd w:val="clear" w:color="auto" w:fill="D9E2F3"/>
            <w:vAlign w:val="center"/>
          </w:tcPr>
          <w:p w14:paraId="3B26F469" w14:textId="77777777" w:rsidR="00990B14" w:rsidRDefault="00000000">
            <w:pPr>
              <w:spacing w:before="20" w:after="20"/>
              <w:jc w:val="both"/>
            </w:pPr>
            <w:r>
              <w:rPr>
                <w:sz w:val="18"/>
                <w:szCs w:val="18"/>
              </w:rPr>
              <w:t>Aumentos de capital</w:t>
            </w:r>
          </w:p>
        </w:tc>
        <w:tc>
          <w:tcPr>
            <w:tcW w:w="1910" w:type="dxa"/>
            <w:shd w:val="clear" w:color="auto" w:fill="D9E2F3"/>
            <w:vAlign w:val="center"/>
          </w:tcPr>
          <w:p w14:paraId="607B2706" w14:textId="77777777" w:rsidR="00990B14" w:rsidRDefault="00000000">
            <w:pPr>
              <w:spacing w:before="20" w:after="20"/>
              <w:jc w:val="both"/>
            </w:pPr>
            <w:r>
              <w:rPr>
                <w:sz w:val="18"/>
                <w:szCs w:val="18"/>
              </w:rPr>
              <w:t>Confunde el aporte nuevo con la capitalización de reservas.</w:t>
            </w:r>
          </w:p>
        </w:tc>
        <w:tc>
          <w:tcPr>
            <w:tcW w:w="2015" w:type="dxa"/>
            <w:shd w:val="clear" w:color="auto" w:fill="D9E2F3"/>
            <w:vAlign w:val="center"/>
          </w:tcPr>
          <w:p w14:paraId="6F950AF0" w14:textId="77777777" w:rsidR="00990B14" w:rsidRDefault="00000000">
            <w:pPr>
              <w:spacing w:before="20" w:after="20"/>
              <w:jc w:val="both"/>
            </w:pPr>
            <w:r>
              <w:rPr>
                <w:sz w:val="18"/>
                <w:szCs w:val="18"/>
              </w:rPr>
              <w:t>Registra aumentos por aportes y capitalizaciones.</w:t>
            </w:r>
          </w:p>
        </w:tc>
        <w:tc>
          <w:tcPr>
            <w:tcW w:w="1854" w:type="dxa"/>
            <w:shd w:val="clear" w:color="auto" w:fill="D9E2F3"/>
            <w:vAlign w:val="center"/>
          </w:tcPr>
          <w:p w14:paraId="43D17965" w14:textId="77777777" w:rsidR="00990B14" w:rsidRDefault="00000000">
            <w:pPr>
              <w:spacing w:before="20" w:after="20"/>
              <w:jc w:val="both"/>
            </w:pPr>
            <w:r>
              <w:rPr>
                <w:sz w:val="18"/>
                <w:szCs w:val="18"/>
              </w:rPr>
              <w:t>Explica el efecto en la participación de cada socio.</w:t>
            </w:r>
          </w:p>
        </w:tc>
      </w:tr>
      <w:tr w:rsidR="00990B14" w14:paraId="1B523099" w14:textId="77777777">
        <w:trPr>
          <w:cantSplit/>
          <w:jc w:val="center"/>
        </w:trPr>
        <w:tc>
          <w:tcPr>
            <w:tcW w:w="1772" w:type="dxa"/>
            <w:vMerge/>
            <w:shd w:val="clear" w:color="auto" w:fill="4472C4"/>
            <w:vAlign w:val="center"/>
          </w:tcPr>
          <w:p w14:paraId="49CE3113" w14:textId="77777777" w:rsidR="00990B14" w:rsidRDefault="00990B14">
            <w:pPr>
              <w:spacing w:before="20" w:after="20"/>
            </w:pPr>
          </w:p>
        </w:tc>
        <w:tc>
          <w:tcPr>
            <w:tcW w:w="1854" w:type="dxa"/>
            <w:shd w:val="clear" w:color="auto" w:fill="D9E2F3"/>
            <w:vAlign w:val="center"/>
          </w:tcPr>
          <w:p w14:paraId="063D93FA" w14:textId="77777777" w:rsidR="00990B14" w:rsidRDefault="00000000">
            <w:pPr>
              <w:spacing w:before="20" w:after="20"/>
              <w:jc w:val="both"/>
            </w:pPr>
            <w:r>
              <w:rPr>
                <w:sz w:val="18"/>
                <w:szCs w:val="18"/>
              </w:rPr>
              <w:t>Disminuciones de capital</w:t>
            </w:r>
          </w:p>
        </w:tc>
        <w:tc>
          <w:tcPr>
            <w:tcW w:w="1910" w:type="dxa"/>
            <w:shd w:val="clear" w:color="auto" w:fill="D9E2F3"/>
            <w:vAlign w:val="center"/>
          </w:tcPr>
          <w:p w14:paraId="03628AC8" w14:textId="77777777" w:rsidR="00990B14" w:rsidRDefault="00000000">
            <w:pPr>
              <w:spacing w:before="20" w:after="20"/>
              <w:jc w:val="both"/>
            </w:pPr>
            <w:r>
              <w:rPr>
                <w:sz w:val="18"/>
                <w:szCs w:val="18"/>
              </w:rPr>
              <w:t>Confunde disminución voluntaria y obligada.</w:t>
            </w:r>
          </w:p>
        </w:tc>
        <w:tc>
          <w:tcPr>
            <w:tcW w:w="2015" w:type="dxa"/>
            <w:shd w:val="clear" w:color="auto" w:fill="D9E2F3"/>
            <w:vAlign w:val="center"/>
          </w:tcPr>
          <w:p w14:paraId="7672CD88" w14:textId="77777777" w:rsidR="00990B14" w:rsidRDefault="00000000">
            <w:pPr>
              <w:spacing w:before="20" w:after="20"/>
              <w:jc w:val="both"/>
            </w:pPr>
            <w:r>
              <w:rPr>
                <w:sz w:val="18"/>
                <w:szCs w:val="18"/>
              </w:rPr>
              <w:t>Registra las disminuciones voluntarias y obligadas.</w:t>
            </w:r>
          </w:p>
        </w:tc>
        <w:tc>
          <w:tcPr>
            <w:tcW w:w="1854" w:type="dxa"/>
            <w:shd w:val="clear" w:color="auto" w:fill="D9E2F3"/>
            <w:vAlign w:val="center"/>
          </w:tcPr>
          <w:p w14:paraId="2D43C10F" w14:textId="77777777" w:rsidR="00990B14" w:rsidRDefault="00000000">
            <w:pPr>
              <w:spacing w:before="20" w:after="20"/>
              <w:jc w:val="both"/>
            </w:pPr>
            <w:r>
              <w:rPr>
                <w:sz w:val="18"/>
                <w:szCs w:val="18"/>
              </w:rPr>
              <w:t>Verifica la protección de los acreedores.</w:t>
            </w:r>
          </w:p>
        </w:tc>
      </w:tr>
      <w:tr w:rsidR="00990B14" w14:paraId="453F69BC" w14:textId="77777777">
        <w:trPr>
          <w:cantSplit/>
          <w:jc w:val="center"/>
        </w:trPr>
        <w:tc>
          <w:tcPr>
            <w:tcW w:w="1772" w:type="dxa"/>
            <w:vMerge/>
            <w:shd w:val="clear" w:color="auto" w:fill="4472C4"/>
            <w:vAlign w:val="center"/>
          </w:tcPr>
          <w:p w14:paraId="3B1F1062" w14:textId="77777777" w:rsidR="00990B14" w:rsidRDefault="00990B14">
            <w:pPr>
              <w:spacing w:before="20" w:after="20"/>
            </w:pPr>
          </w:p>
        </w:tc>
        <w:tc>
          <w:tcPr>
            <w:tcW w:w="1854" w:type="dxa"/>
            <w:shd w:val="clear" w:color="auto" w:fill="D9E2F3"/>
            <w:vAlign w:val="center"/>
          </w:tcPr>
          <w:p w14:paraId="31C45F49" w14:textId="77777777" w:rsidR="00990B14" w:rsidRDefault="00000000">
            <w:pPr>
              <w:spacing w:before="20" w:after="20"/>
              <w:jc w:val="both"/>
            </w:pPr>
            <w:r>
              <w:rPr>
                <w:sz w:val="18"/>
                <w:szCs w:val="18"/>
              </w:rPr>
              <w:t>Trabajo en equipo</w:t>
            </w:r>
          </w:p>
        </w:tc>
        <w:tc>
          <w:tcPr>
            <w:tcW w:w="1910" w:type="dxa"/>
            <w:shd w:val="clear" w:color="auto" w:fill="D9E2F3"/>
            <w:vAlign w:val="center"/>
          </w:tcPr>
          <w:p w14:paraId="55884BA2" w14:textId="77777777" w:rsidR="00990B14" w:rsidRDefault="00000000">
            <w:pPr>
              <w:spacing w:before="20" w:after="20"/>
              <w:jc w:val="both"/>
            </w:pPr>
            <w:r>
              <w:rPr>
                <w:sz w:val="18"/>
                <w:szCs w:val="18"/>
              </w:rPr>
              <w:t>La participación es desigual.</w:t>
            </w:r>
          </w:p>
        </w:tc>
        <w:tc>
          <w:tcPr>
            <w:tcW w:w="2015" w:type="dxa"/>
            <w:shd w:val="clear" w:color="auto" w:fill="D9E2F3"/>
            <w:vAlign w:val="center"/>
          </w:tcPr>
          <w:p w14:paraId="68CA7711" w14:textId="77777777" w:rsidR="00990B14" w:rsidRDefault="00000000">
            <w:pPr>
              <w:spacing w:before="20" w:after="20"/>
              <w:jc w:val="both"/>
            </w:pPr>
            <w:r>
              <w:rPr>
                <w:sz w:val="18"/>
                <w:szCs w:val="18"/>
              </w:rPr>
              <w:t>Todos los integrantes participan.</w:t>
            </w:r>
          </w:p>
        </w:tc>
        <w:tc>
          <w:tcPr>
            <w:tcW w:w="1854" w:type="dxa"/>
            <w:shd w:val="clear" w:color="auto" w:fill="D9E2F3"/>
            <w:vAlign w:val="center"/>
          </w:tcPr>
          <w:p w14:paraId="3A46B2A0" w14:textId="77777777" w:rsidR="00990B14" w:rsidRDefault="00000000">
            <w:pPr>
              <w:spacing w:before="20" w:after="20"/>
              <w:jc w:val="both"/>
            </w:pPr>
            <w:r>
              <w:rPr>
                <w:sz w:val="18"/>
                <w:szCs w:val="18"/>
              </w:rPr>
              <w:t>El equipo sustenta su trabajo ante el curso.</w:t>
            </w:r>
          </w:p>
        </w:tc>
      </w:tr>
      <w:tr w:rsidR="00990B14" w14:paraId="199560B9" w14:textId="77777777">
        <w:trPr>
          <w:cantSplit/>
          <w:jc w:val="center"/>
        </w:trPr>
        <w:tc>
          <w:tcPr>
            <w:tcW w:w="1772" w:type="dxa"/>
            <w:vMerge/>
            <w:shd w:val="clear" w:color="auto" w:fill="4472C4"/>
            <w:vAlign w:val="center"/>
          </w:tcPr>
          <w:p w14:paraId="2CC82152" w14:textId="77777777" w:rsidR="00990B14" w:rsidRDefault="00990B14">
            <w:pPr>
              <w:spacing w:before="20" w:after="20"/>
            </w:pPr>
          </w:p>
        </w:tc>
        <w:tc>
          <w:tcPr>
            <w:tcW w:w="5779" w:type="dxa"/>
            <w:gridSpan w:val="3"/>
            <w:shd w:val="clear" w:color="auto" w:fill="D9E2F3"/>
            <w:vAlign w:val="center"/>
          </w:tcPr>
          <w:p w14:paraId="14B32055" w14:textId="77777777" w:rsidR="00990B14" w:rsidRDefault="00000000">
            <w:pPr>
              <w:keepNext/>
              <w:spacing w:before="20" w:after="20"/>
              <w:jc w:val="both"/>
            </w:pPr>
            <w:r>
              <w:rPr>
                <w:b/>
                <w:bCs/>
                <w:i/>
                <w:iCs/>
                <w:sz w:val="18"/>
                <w:szCs w:val="18"/>
              </w:rPr>
              <w:t xml:space="preserve">Producto 8: </w:t>
            </w:r>
            <w:r>
              <w:rPr>
                <w:sz w:val="18"/>
                <w:szCs w:val="18"/>
              </w:rPr>
              <w:t>Hoja de cesión de cuotas de capital con su registro contable</w:t>
            </w:r>
          </w:p>
        </w:tc>
        <w:tc>
          <w:tcPr>
            <w:tcW w:w="1854" w:type="dxa"/>
            <w:shd w:val="clear" w:color="auto" w:fill="D9E2F3"/>
            <w:vAlign w:val="center"/>
          </w:tcPr>
          <w:p w14:paraId="36EC12AE" w14:textId="77777777" w:rsidR="00990B14" w:rsidRDefault="00000000">
            <w:pPr>
              <w:spacing w:before="20" w:after="20"/>
              <w:jc w:val="center"/>
            </w:pPr>
            <w:r>
              <w:rPr>
                <w:b/>
                <w:bCs/>
                <w:sz w:val="18"/>
                <w:szCs w:val="18"/>
              </w:rPr>
              <w:t>2%</w:t>
            </w:r>
          </w:p>
        </w:tc>
      </w:tr>
      <w:tr w:rsidR="00990B14" w14:paraId="684F3E23" w14:textId="77777777">
        <w:trPr>
          <w:cantSplit/>
          <w:jc w:val="center"/>
        </w:trPr>
        <w:tc>
          <w:tcPr>
            <w:tcW w:w="1772" w:type="dxa"/>
            <w:vMerge/>
            <w:shd w:val="clear" w:color="auto" w:fill="4472C4"/>
            <w:vAlign w:val="center"/>
          </w:tcPr>
          <w:p w14:paraId="12AC65F0" w14:textId="77777777" w:rsidR="00990B14" w:rsidRDefault="00990B14">
            <w:pPr>
              <w:spacing w:before="20" w:after="20"/>
            </w:pPr>
          </w:p>
        </w:tc>
        <w:tc>
          <w:tcPr>
            <w:tcW w:w="1854" w:type="dxa"/>
            <w:shd w:val="clear" w:color="auto" w:fill="4472C4"/>
            <w:vAlign w:val="center"/>
          </w:tcPr>
          <w:p w14:paraId="7ACF5BA9"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7FFC5A6D"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0F260781" w14:textId="77777777" w:rsidR="00990B14" w:rsidRDefault="00000000">
            <w:pPr>
              <w:keepNext/>
              <w:spacing w:before="20" w:after="20"/>
              <w:jc w:val="center"/>
            </w:pPr>
            <w:r>
              <w:rPr>
                <w:b/>
                <w:bCs/>
                <w:i/>
                <w:iCs/>
                <w:color w:val="FFFFFF"/>
                <w:sz w:val="18"/>
                <w:szCs w:val="18"/>
              </w:rPr>
              <w:t>Suficiente (51–80)</w:t>
            </w:r>
          </w:p>
        </w:tc>
        <w:tc>
          <w:tcPr>
            <w:tcW w:w="1854" w:type="dxa"/>
            <w:shd w:val="clear" w:color="auto" w:fill="4472C4"/>
            <w:vAlign w:val="center"/>
          </w:tcPr>
          <w:p w14:paraId="40FA95BD" w14:textId="77777777" w:rsidR="00990B14" w:rsidRDefault="00000000">
            <w:pPr>
              <w:keepNext/>
              <w:spacing w:before="20" w:after="20"/>
              <w:jc w:val="center"/>
            </w:pPr>
            <w:r>
              <w:rPr>
                <w:b/>
                <w:bCs/>
                <w:i/>
                <w:iCs/>
                <w:color w:val="FFFFFF"/>
                <w:sz w:val="18"/>
                <w:szCs w:val="18"/>
              </w:rPr>
              <w:t>Destacado (81–100)</w:t>
            </w:r>
          </w:p>
        </w:tc>
      </w:tr>
      <w:tr w:rsidR="00990B14" w14:paraId="7E6BBA14" w14:textId="77777777">
        <w:trPr>
          <w:cantSplit/>
          <w:jc w:val="center"/>
        </w:trPr>
        <w:tc>
          <w:tcPr>
            <w:tcW w:w="1772" w:type="dxa"/>
            <w:vMerge/>
            <w:shd w:val="clear" w:color="auto" w:fill="4472C4"/>
            <w:vAlign w:val="center"/>
          </w:tcPr>
          <w:p w14:paraId="430FB3AF" w14:textId="77777777" w:rsidR="00990B14" w:rsidRDefault="00990B14">
            <w:pPr>
              <w:spacing w:before="20" w:after="20"/>
            </w:pPr>
          </w:p>
        </w:tc>
        <w:tc>
          <w:tcPr>
            <w:tcW w:w="1854" w:type="dxa"/>
            <w:shd w:val="clear" w:color="auto" w:fill="D9E2F3"/>
            <w:vAlign w:val="center"/>
          </w:tcPr>
          <w:p w14:paraId="4C6D1ACA" w14:textId="77777777" w:rsidR="00990B14" w:rsidRDefault="00000000">
            <w:pPr>
              <w:spacing w:before="20" w:after="20"/>
              <w:jc w:val="both"/>
            </w:pPr>
            <w:r>
              <w:rPr>
                <w:sz w:val="18"/>
                <w:szCs w:val="18"/>
              </w:rPr>
              <w:t>Valor de cesión</w:t>
            </w:r>
          </w:p>
        </w:tc>
        <w:tc>
          <w:tcPr>
            <w:tcW w:w="1910" w:type="dxa"/>
            <w:shd w:val="clear" w:color="auto" w:fill="D9E2F3"/>
            <w:vAlign w:val="center"/>
          </w:tcPr>
          <w:p w14:paraId="10A98589" w14:textId="77777777" w:rsidR="00990B14" w:rsidRDefault="00000000">
            <w:pPr>
              <w:spacing w:before="20" w:after="20"/>
              <w:jc w:val="both"/>
            </w:pPr>
            <w:r>
              <w:rPr>
                <w:sz w:val="18"/>
                <w:szCs w:val="18"/>
              </w:rPr>
              <w:t>Confunde el valor nominal con el de cesión.</w:t>
            </w:r>
          </w:p>
        </w:tc>
        <w:tc>
          <w:tcPr>
            <w:tcW w:w="2015" w:type="dxa"/>
            <w:shd w:val="clear" w:color="auto" w:fill="D9E2F3"/>
            <w:vAlign w:val="center"/>
          </w:tcPr>
          <w:p w14:paraId="52749D8E" w14:textId="77777777" w:rsidR="00990B14" w:rsidRDefault="00000000">
            <w:pPr>
              <w:spacing w:before="20" w:after="20"/>
              <w:jc w:val="both"/>
            </w:pPr>
            <w:r>
              <w:rPr>
                <w:sz w:val="18"/>
                <w:szCs w:val="18"/>
              </w:rPr>
              <w:t>Distingue la cesión al valor igual, mayor y menor.</w:t>
            </w:r>
          </w:p>
        </w:tc>
        <w:tc>
          <w:tcPr>
            <w:tcW w:w="1854" w:type="dxa"/>
            <w:shd w:val="clear" w:color="auto" w:fill="D9E2F3"/>
            <w:vAlign w:val="center"/>
          </w:tcPr>
          <w:p w14:paraId="5ECD20AF" w14:textId="77777777" w:rsidR="00990B14" w:rsidRDefault="00000000">
            <w:pPr>
              <w:spacing w:before="20" w:after="20"/>
              <w:jc w:val="both"/>
            </w:pPr>
            <w:r>
              <w:rPr>
                <w:sz w:val="18"/>
                <w:szCs w:val="18"/>
              </w:rPr>
              <w:t>Explica quién reconoce la diferencia.</w:t>
            </w:r>
          </w:p>
        </w:tc>
      </w:tr>
      <w:tr w:rsidR="00990B14" w14:paraId="050A32AA" w14:textId="77777777">
        <w:trPr>
          <w:cantSplit/>
          <w:jc w:val="center"/>
        </w:trPr>
        <w:tc>
          <w:tcPr>
            <w:tcW w:w="1772" w:type="dxa"/>
            <w:vMerge/>
            <w:shd w:val="clear" w:color="auto" w:fill="4472C4"/>
            <w:vAlign w:val="center"/>
          </w:tcPr>
          <w:p w14:paraId="05CE8FAC" w14:textId="77777777" w:rsidR="00990B14" w:rsidRDefault="00990B14">
            <w:pPr>
              <w:spacing w:before="20" w:after="20"/>
            </w:pPr>
          </w:p>
        </w:tc>
        <w:tc>
          <w:tcPr>
            <w:tcW w:w="1854" w:type="dxa"/>
            <w:shd w:val="clear" w:color="auto" w:fill="D9E2F3"/>
            <w:vAlign w:val="center"/>
          </w:tcPr>
          <w:p w14:paraId="606A7D71" w14:textId="77777777" w:rsidR="00990B14" w:rsidRDefault="00000000">
            <w:pPr>
              <w:spacing w:before="20" w:after="20"/>
              <w:jc w:val="both"/>
            </w:pPr>
            <w:r>
              <w:rPr>
                <w:sz w:val="18"/>
                <w:szCs w:val="18"/>
              </w:rPr>
              <w:t>Registro contable</w:t>
            </w:r>
          </w:p>
        </w:tc>
        <w:tc>
          <w:tcPr>
            <w:tcW w:w="1910" w:type="dxa"/>
            <w:shd w:val="clear" w:color="auto" w:fill="D9E2F3"/>
            <w:vAlign w:val="center"/>
          </w:tcPr>
          <w:p w14:paraId="705B4E96" w14:textId="77777777" w:rsidR="00990B14" w:rsidRDefault="00000000">
            <w:pPr>
              <w:spacing w:before="20" w:after="20"/>
              <w:jc w:val="both"/>
            </w:pPr>
            <w:r>
              <w:rPr>
                <w:sz w:val="18"/>
                <w:szCs w:val="18"/>
              </w:rPr>
              <w:t>Registra en la sociedad la diferencia de la cesión, que corresponde a los socios.</w:t>
            </w:r>
          </w:p>
        </w:tc>
        <w:tc>
          <w:tcPr>
            <w:tcW w:w="2015" w:type="dxa"/>
            <w:shd w:val="clear" w:color="auto" w:fill="D9E2F3"/>
            <w:vAlign w:val="center"/>
          </w:tcPr>
          <w:p w14:paraId="79E2B7F7" w14:textId="77777777" w:rsidR="00990B14" w:rsidRDefault="00000000">
            <w:pPr>
              <w:spacing w:before="20" w:after="20"/>
              <w:jc w:val="both"/>
            </w:pPr>
            <w:r>
              <w:rPr>
                <w:sz w:val="18"/>
                <w:szCs w:val="18"/>
              </w:rPr>
              <w:t>Registra la cesión en la sociedad.</w:t>
            </w:r>
          </w:p>
        </w:tc>
        <w:tc>
          <w:tcPr>
            <w:tcW w:w="1854" w:type="dxa"/>
            <w:shd w:val="clear" w:color="auto" w:fill="D9E2F3"/>
            <w:vAlign w:val="center"/>
          </w:tcPr>
          <w:p w14:paraId="09B87918" w14:textId="77777777" w:rsidR="00990B14" w:rsidRDefault="00000000">
            <w:pPr>
              <w:spacing w:before="20" w:after="20"/>
              <w:jc w:val="both"/>
            </w:pPr>
            <w:r>
              <w:rPr>
                <w:sz w:val="18"/>
                <w:szCs w:val="18"/>
              </w:rPr>
              <w:t>Verifica la actualización del libro de registro de socios.</w:t>
            </w:r>
          </w:p>
        </w:tc>
      </w:tr>
      <w:tr w:rsidR="00990B14" w14:paraId="7358B85D" w14:textId="77777777">
        <w:trPr>
          <w:cantSplit/>
          <w:jc w:val="center"/>
        </w:trPr>
        <w:tc>
          <w:tcPr>
            <w:tcW w:w="1772" w:type="dxa"/>
            <w:vMerge/>
            <w:shd w:val="clear" w:color="auto" w:fill="4472C4"/>
            <w:vAlign w:val="center"/>
          </w:tcPr>
          <w:p w14:paraId="734645EC" w14:textId="77777777" w:rsidR="00990B14" w:rsidRDefault="00990B14">
            <w:pPr>
              <w:spacing w:before="20" w:after="20"/>
            </w:pPr>
          </w:p>
        </w:tc>
        <w:tc>
          <w:tcPr>
            <w:tcW w:w="1854" w:type="dxa"/>
            <w:shd w:val="clear" w:color="auto" w:fill="D9E2F3"/>
            <w:vAlign w:val="center"/>
          </w:tcPr>
          <w:p w14:paraId="69F56857" w14:textId="77777777" w:rsidR="00990B14" w:rsidRDefault="00000000">
            <w:pPr>
              <w:spacing w:before="20" w:after="20"/>
              <w:jc w:val="both"/>
            </w:pPr>
            <w:r>
              <w:rPr>
                <w:sz w:val="18"/>
                <w:szCs w:val="18"/>
              </w:rPr>
              <w:t>Claridad de la exposición</w:t>
            </w:r>
          </w:p>
        </w:tc>
        <w:tc>
          <w:tcPr>
            <w:tcW w:w="1910" w:type="dxa"/>
            <w:shd w:val="clear" w:color="auto" w:fill="D9E2F3"/>
            <w:vAlign w:val="center"/>
          </w:tcPr>
          <w:p w14:paraId="06B0CA52" w14:textId="77777777" w:rsidR="00990B14" w:rsidRDefault="00000000">
            <w:pPr>
              <w:spacing w:before="20" w:after="20"/>
              <w:jc w:val="both"/>
            </w:pPr>
            <w:r>
              <w:rPr>
                <w:sz w:val="18"/>
                <w:szCs w:val="18"/>
              </w:rPr>
              <w:t>La exposición es confusa.</w:t>
            </w:r>
          </w:p>
        </w:tc>
        <w:tc>
          <w:tcPr>
            <w:tcW w:w="2015" w:type="dxa"/>
            <w:shd w:val="clear" w:color="auto" w:fill="D9E2F3"/>
            <w:vAlign w:val="center"/>
          </w:tcPr>
          <w:p w14:paraId="474E50CE" w14:textId="77777777" w:rsidR="00990B14" w:rsidRDefault="00000000">
            <w:pPr>
              <w:spacing w:before="20" w:after="20"/>
              <w:jc w:val="both"/>
            </w:pPr>
            <w:r>
              <w:rPr>
                <w:sz w:val="18"/>
                <w:szCs w:val="18"/>
              </w:rPr>
              <w:t>Expone con orden y claridad.</w:t>
            </w:r>
          </w:p>
        </w:tc>
        <w:tc>
          <w:tcPr>
            <w:tcW w:w="1854" w:type="dxa"/>
            <w:shd w:val="clear" w:color="auto" w:fill="D9E2F3"/>
            <w:vAlign w:val="center"/>
          </w:tcPr>
          <w:p w14:paraId="227EBE56" w14:textId="77777777" w:rsidR="00990B14" w:rsidRDefault="00000000">
            <w:pPr>
              <w:spacing w:before="20" w:after="20"/>
              <w:jc w:val="both"/>
            </w:pPr>
            <w:r>
              <w:rPr>
                <w:sz w:val="18"/>
                <w:szCs w:val="18"/>
              </w:rPr>
              <w:t>Responde con solvencia las preguntas del curso.</w:t>
            </w:r>
          </w:p>
        </w:tc>
      </w:tr>
      <w:tr w:rsidR="00990B14" w14:paraId="21D721F8" w14:textId="77777777">
        <w:trPr>
          <w:cantSplit/>
          <w:jc w:val="center"/>
        </w:trPr>
        <w:tc>
          <w:tcPr>
            <w:tcW w:w="1772" w:type="dxa"/>
            <w:vMerge/>
            <w:shd w:val="clear" w:color="auto" w:fill="4472C4"/>
            <w:vAlign w:val="center"/>
          </w:tcPr>
          <w:p w14:paraId="2DA5C0CC" w14:textId="77777777" w:rsidR="00990B14" w:rsidRDefault="00990B14">
            <w:pPr>
              <w:spacing w:before="20" w:after="20"/>
            </w:pPr>
          </w:p>
        </w:tc>
        <w:tc>
          <w:tcPr>
            <w:tcW w:w="5779" w:type="dxa"/>
            <w:gridSpan w:val="3"/>
            <w:shd w:val="clear" w:color="auto" w:fill="D9E2F3"/>
            <w:vAlign w:val="center"/>
          </w:tcPr>
          <w:p w14:paraId="4AE21312" w14:textId="77777777" w:rsidR="00990B14" w:rsidRDefault="00000000">
            <w:pPr>
              <w:keepNext/>
              <w:spacing w:before="20" w:after="20"/>
              <w:jc w:val="both"/>
            </w:pPr>
            <w:r>
              <w:rPr>
                <w:b/>
                <w:bCs/>
                <w:i/>
                <w:iCs/>
                <w:sz w:val="18"/>
                <w:szCs w:val="18"/>
              </w:rPr>
              <w:t xml:space="preserve">Producto 9: </w:t>
            </w:r>
            <w:r>
              <w:rPr>
                <w:sz w:val="18"/>
                <w:szCs w:val="18"/>
              </w:rPr>
              <w:t>Registro de aportes de una sociedad colectiva</w:t>
            </w:r>
          </w:p>
        </w:tc>
        <w:tc>
          <w:tcPr>
            <w:tcW w:w="1854" w:type="dxa"/>
            <w:shd w:val="clear" w:color="auto" w:fill="D9E2F3"/>
            <w:vAlign w:val="center"/>
          </w:tcPr>
          <w:p w14:paraId="5E0285E2" w14:textId="77777777" w:rsidR="00990B14" w:rsidRDefault="00000000">
            <w:pPr>
              <w:spacing w:before="20" w:after="20"/>
              <w:jc w:val="center"/>
            </w:pPr>
            <w:r>
              <w:rPr>
                <w:b/>
                <w:bCs/>
                <w:sz w:val="18"/>
                <w:szCs w:val="18"/>
              </w:rPr>
              <w:t>2%</w:t>
            </w:r>
          </w:p>
        </w:tc>
      </w:tr>
      <w:tr w:rsidR="00990B14" w14:paraId="77614B3D" w14:textId="77777777">
        <w:trPr>
          <w:cantSplit/>
          <w:jc w:val="center"/>
        </w:trPr>
        <w:tc>
          <w:tcPr>
            <w:tcW w:w="1772" w:type="dxa"/>
            <w:vMerge/>
            <w:shd w:val="clear" w:color="auto" w:fill="4472C4"/>
            <w:vAlign w:val="center"/>
          </w:tcPr>
          <w:p w14:paraId="553EEC07" w14:textId="77777777" w:rsidR="00990B14" w:rsidRDefault="00990B14">
            <w:pPr>
              <w:spacing w:before="20" w:after="20"/>
            </w:pPr>
          </w:p>
        </w:tc>
        <w:tc>
          <w:tcPr>
            <w:tcW w:w="1854" w:type="dxa"/>
            <w:shd w:val="clear" w:color="auto" w:fill="4472C4"/>
            <w:vAlign w:val="center"/>
          </w:tcPr>
          <w:p w14:paraId="69F1A693"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76905407"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19F48FB3" w14:textId="77777777" w:rsidR="00990B14" w:rsidRDefault="00000000">
            <w:pPr>
              <w:keepNext/>
              <w:spacing w:before="20" w:after="20"/>
              <w:jc w:val="center"/>
            </w:pPr>
            <w:r>
              <w:rPr>
                <w:b/>
                <w:bCs/>
                <w:i/>
                <w:iCs/>
                <w:color w:val="FFFFFF"/>
                <w:sz w:val="18"/>
                <w:szCs w:val="18"/>
              </w:rPr>
              <w:t>Suficiente (51–80)</w:t>
            </w:r>
          </w:p>
        </w:tc>
        <w:tc>
          <w:tcPr>
            <w:tcW w:w="1854" w:type="dxa"/>
            <w:shd w:val="clear" w:color="auto" w:fill="4472C4"/>
            <w:vAlign w:val="center"/>
          </w:tcPr>
          <w:p w14:paraId="563982F1" w14:textId="77777777" w:rsidR="00990B14" w:rsidRDefault="00000000">
            <w:pPr>
              <w:keepNext/>
              <w:spacing w:before="20" w:after="20"/>
              <w:jc w:val="center"/>
            </w:pPr>
            <w:r>
              <w:rPr>
                <w:b/>
                <w:bCs/>
                <w:i/>
                <w:iCs/>
                <w:color w:val="FFFFFF"/>
                <w:sz w:val="18"/>
                <w:szCs w:val="18"/>
              </w:rPr>
              <w:t>Destacado (81–100)</w:t>
            </w:r>
          </w:p>
        </w:tc>
      </w:tr>
      <w:tr w:rsidR="00990B14" w14:paraId="0B00C78B" w14:textId="77777777">
        <w:trPr>
          <w:cantSplit/>
          <w:jc w:val="center"/>
        </w:trPr>
        <w:tc>
          <w:tcPr>
            <w:tcW w:w="1772" w:type="dxa"/>
            <w:vMerge/>
            <w:shd w:val="clear" w:color="auto" w:fill="4472C4"/>
            <w:vAlign w:val="center"/>
          </w:tcPr>
          <w:p w14:paraId="6A904E61" w14:textId="77777777" w:rsidR="00990B14" w:rsidRDefault="00990B14">
            <w:pPr>
              <w:spacing w:before="20" w:after="20"/>
            </w:pPr>
          </w:p>
        </w:tc>
        <w:tc>
          <w:tcPr>
            <w:tcW w:w="1854" w:type="dxa"/>
            <w:shd w:val="clear" w:color="auto" w:fill="D9E2F3"/>
            <w:vAlign w:val="center"/>
          </w:tcPr>
          <w:p w14:paraId="3D1BDCBE" w14:textId="77777777" w:rsidR="00990B14" w:rsidRDefault="00000000">
            <w:pPr>
              <w:spacing w:before="20" w:after="20"/>
              <w:jc w:val="both"/>
            </w:pPr>
            <w:r>
              <w:rPr>
                <w:sz w:val="18"/>
                <w:szCs w:val="18"/>
              </w:rPr>
              <w:t>Clases de aportes</w:t>
            </w:r>
          </w:p>
        </w:tc>
        <w:tc>
          <w:tcPr>
            <w:tcW w:w="1910" w:type="dxa"/>
            <w:shd w:val="clear" w:color="auto" w:fill="D9E2F3"/>
            <w:vAlign w:val="center"/>
          </w:tcPr>
          <w:p w14:paraId="70F04860" w14:textId="77777777" w:rsidR="00990B14" w:rsidRDefault="00000000">
            <w:pPr>
              <w:spacing w:before="20" w:after="20"/>
              <w:jc w:val="both"/>
            </w:pPr>
            <w:r>
              <w:rPr>
                <w:sz w:val="18"/>
                <w:szCs w:val="18"/>
              </w:rPr>
              <w:t>Confunde las clases de aportes.</w:t>
            </w:r>
          </w:p>
        </w:tc>
        <w:tc>
          <w:tcPr>
            <w:tcW w:w="2015" w:type="dxa"/>
            <w:shd w:val="clear" w:color="auto" w:fill="D9E2F3"/>
            <w:vAlign w:val="center"/>
          </w:tcPr>
          <w:p w14:paraId="4D158588" w14:textId="77777777" w:rsidR="00990B14" w:rsidRDefault="00000000">
            <w:pPr>
              <w:spacing w:before="20" w:after="20"/>
              <w:jc w:val="both"/>
            </w:pPr>
            <w:r>
              <w:rPr>
                <w:sz w:val="18"/>
                <w:szCs w:val="18"/>
              </w:rPr>
              <w:t>Distingue los aportes inmediatos, mediatos y mixtos.</w:t>
            </w:r>
          </w:p>
        </w:tc>
        <w:tc>
          <w:tcPr>
            <w:tcW w:w="1854" w:type="dxa"/>
            <w:shd w:val="clear" w:color="auto" w:fill="D9E2F3"/>
            <w:vAlign w:val="center"/>
          </w:tcPr>
          <w:p w14:paraId="4DB09995" w14:textId="77777777" w:rsidR="00990B14" w:rsidRDefault="00000000">
            <w:pPr>
              <w:spacing w:before="20" w:after="20"/>
              <w:jc w:val="both"/>
            </w:pPr>
            <w:r>
              <w:rPr>
                <w:sz w:val="18"/>
                <w:szCs w:val="18"/>
              </w:rPr>
              <w:t>Explica el efecto de cada clase en el capital pagado.</w:t>
            </w:r>
          </w:p>
        </w:tc>
      </w:tr>
      <w:tr w:rsidR="00990B14" w14:paraId="1C195BE4" w14:textId="77777777">
        <w:trPr>
          <w:cantSplit/>
          <w:jc w:val="center"/>
        </w:trPr>
        <w:tc>
          <w:tcPr>
            <w:tcW w:w="1772" w:type="dxa"/>
            <w:vMerge/>
            <w:shd w:val="clear" w:color="auto" w:fill="4472C4"/>
            <w:vAlign w:val="center"/>
          </w:tcPr>
          <w:p w14:paraId="37F3CDE1" w14:textId="77777777" w:rsidR="00990B14" w:rsidRDefault="00990B14">
            <w:pPr>
              <w:spacing w:before="20" w:after="20"/>
            </w:pPr>
          </w:p>
        </w:tc>
        <w:tc>
          <w:tcPr>
            <w:tcW w:w="1854" w:type="dxa"/>
            <w:shd w:val="clear" w:color="auto" w:fill="D9E2F3"/>
            <w:vAlign w:val="center"/>
          </w:tcPr>
          <w:p w14:paraId="1F2DF4ED" w14:textId="77777777" w:rsidR="00990B14" w:rsidRDefault="00000000">
            <w:pPr>
              <w:spacing w:before="20" w:after="20"/>
              <w:jc w:val="both"/>
            </w:pPr>
            <w:r>
              <w:rPr>
                <w:sz w:val="18"/>
                <w:szCs w:val="18"/>
              </w:rPr>
              <w:t>Registro de aportes</w:t>
            </w:r>
          </w:p>
        </w:tc>
        <w:tc>
          <w:tcPr>
            <w:tcW w:w="1910" w:type="dxa"/>
            <w:shd w:val="clear" w:color="auto" w:fill="D9E2F3"/>
            <w:vAlign w:val="center"/>
          </w:tcPr>
          <w:p w14:paraId="4119E6D0" w14:textId="77777777" w:rsidR="00990B14" w:rsidRDefault="00000000">
            <w:pPr>
              <w:spacing w:before="20" w:after="20"/>
              <w:jc w:val="both"/>
            </w:pPr>
            <w:r>
              <w:rPr>
                <w:sz w:val="18"/>
                <w:szCs w:val="18"/>
              </w:rPr>
              <w:t>Registra como pagados los aportes mediatos.</w:t>
            </w:r>
          </w:p>
        </w:tc>
        <w:tc>
          <w:tcPr>
            <w:tcW w:w="2015" w:type="dxa"/>
            <w:shd w:val="clear" w:color="auto" w:fill="D9E2F3"/>
            <w:vAlign w:val="center"/>
          </w:tcPr>
          <w:p w14:paraId="19B894AE" w14:textId="77777777" w:rsidR="00990B14" w:rsidRDefault="00000000">
            <w:pPr>
              <w:spacing w:before="20" w:after="20"/>
              <w:jc w:val="both"/>
            </w:pPr>
            <w:r>
              <w:rPr>
                <w:sz w:val="18"/>
                <w:szCs w:val="18"/>
              </w:rPr>
              <w:t>Registra cada aporte con su cuenta.</w:t>
            </w:r>
          </w:p>
        </w:tc>
        <w:tc>
          <w:tcPr>
            <w:tcW w:w="1854" w:type="dxa"/>
            <w:shd w:val="clear" w:color="auto" w:fill="D9E2F3"/>
            <w:vAlign w:val="center"/>
          </w:tcPr>
          <w:p w14:paraId="592C85E4" w14:textId="77777777" w:rsidR="00990B14" w:rsidRDefault="00000000">
            <w:pPr>
              <w:spacing w:before="20" w:after="20"/>
              <w:jc w:val="both"/>
            </w:pPr>
            <w:r>
              <w:rPr>
                <w:sz w:val="18"/>
                <w:szCs w:val="18"/>
              </w:rPr>
              <w:t>Demuestra los saldos por socio.</w:t>
            </w:r>
          </w:p>
        </w:tc>
      </w:tr>
      <w:tr w:rsidR="00990B14" w14:paraId="2D78A2D7" w14:textId="77777777">
        <w:trPr>
          <w:cantSplit/>
          <w:jc w:val="center"/>
        </w:trPr>
        <w:tc>
          <w:tcPr>
            <w:tcW w:w="1772" w:type="dxa"/>
            <w:vMerge/>
            <w:shd w:val="clear" w:color="auto" w:fill="4472C4"/>
            <w:vAlign w:val="center"/>
          </w:tcPr>
          <w:p w14:paraId="13E6E810" w14:textId="77777777" w:rsidR="00990B14" w:rsidRDefault="00990B14">
            <w:pPr>
              <w:spacing w:before="20" w:after="20"/>
            </w:pPr>
          </w:p>
        </w:tc>
        <w:tc>
          <w:tcPr>
            <w:tcW w:w="1854" w:type="dxa"/>
            <w:shd w:val="clear" w:color="auto" w:fill="D9E2F3"/>
            <w:vAlign w:val="center"/>
          </w:tcPr>
          <w:p w14:paraId="1C616410" w14:textId="77777777" w:rsidR="00990B14" w:rsidRDefault="00000000">
            <w:pPr>
              <w:spacing w:before="20" w:after="20"/>
              <w:jc w:val="both"/>
            </w:pPr>
            <w:r>
              <w:rPr>
                <w:sz w:val="18"/>
                <w:szCs w:val="18"/>
              </w:rPr>
              <w:t>Cuentas personales</w:t>
            </w:r>
          </w:p>
        </w:tc>
        <w:tc>
          <w:tcPr>
            <w:tcW w:w="1910" w:type="dxa"/>
            <w:shd w:val="clear" w:color="auto" w:fill="D9E2F3"/>
            <w:vAlign w:val="center"/>
          </w:tcPr>
          <w:p w14:paraId="5F4880C5" w14:textId="77777777" w:rsidR="00990B14" w:rsidRDefault="00000000">
            <w:pPr>
              <w:spacing w:before="20" w:after="20"/>
              <w:jc w:val="both"/>
            </w:pPr>
            <w:r>
              <w:rPr>
                <w:sz w:val="18"/>
                <w:szCs w:val="18"/>
              </w:rPr>
              <w:t>Omite las cuentas personales.</w:t>
            </w:r>
          </w:p>
        </w:tc>
        <w:tc>
          <w:tcPr>
            <w:tcW w:w="2015" w:type="dxa"/>
            <w:shd w:val="clear" w:color="auto" w:fill="D9E2F3"/>
            <w:vAlign w:val="center"/>
          </w:tcPr>
          <w:p w14:paraId="7B80DFED" w14:textId="77777777" w:rsidR="00990B14" w:rsidRDefault="00000000">
            <w:pPr>
              <w:spacing w:before="20" w:after="20"/>
              <w:jc w:val="both"/>
            </w:pPr>
            <w:r>
              <w:rPr>
                <w:sz w:val="18"/>
                <w:szCs w:val="18"/>
              </w:rPr>
              <w:t>Registra las cuentas personales de los socios.</w:t>
            </w:r>
          </w:p>
        </w:tc>
        <w:tc>
          <w:tcPr>
            <w:tcW w:w="1854" w:type="dxa"/>
            <w:shd w:val="clear" w:color="auto" w:fill="D9E2F3"/>
            <w:vAlign w:val="center"/>
          </w:tcPr>
          <w:p w14:paraId="1A1B898D" w14:textId="77777777" w:rsidR="00990B14" w:rsidRDefault="00000000">
            <w:pPr>
              <w:spacing w:before="20" w:after="20"/>
              <w:jc w:val="both"/>
            </w:pPr>
            <w:r>
              <w:rPr>
                <w:sz w:val="18"/>
                <w:szCs w:val="18"/>
              </w:rPr>
              <w:t>Concilia las cuentas personales con el capital.</w:t>
            </w:r>
          </w:p>
        </w:tc>
      </w:tr>
      <w:tr w:rsidR="00990B14" w14:paraId="462771DA" w14:textId="77777777">
        <w:trPr>
          <w:cantSplit/>
          <w:jc w:val="center"/>
        </w:trPr>
        <w:tc>
          <w:tcPr>
            <w:tcW w:w="1772" w:type="dxa"/>
            <w:vMerge/>
            <w:shd w:val="clear" w:color="auto" w:fill="4472C4"/>
            <w:vAlign w:val="center"/>
          </w:tcPr>
          <w:p w14:paraId="080BE9ED" w14:textId="77777777" w:rsidR="00990B14" w:rsidRDefault="00990B14">
            <w:pPr>
              <w:spacing w:before="20" w:after="20"/>
            </w:pPr>
          </w:p>
        </w:tc>
        <w:tc>
          <w:tcPr>
            <w:tcW w:w="5779" w:type="dxa"/>
            <w:gridSpan w:val="3"/>
            <w:shd w:val="clear" w:color="auto" w:fill="D9E2F3"/>
            <w:vAlign w:val="center"/>
          </w:tcPr>
          <w:p w14:paraId="4C19D814" w14:textId="77777777" w:rsidR="00990B14" w:rsidRDefault="00000000">
            <w:pPr>
              <w:keepNext/>
              <w:spacing w:before="20" w:after="20"/>
              <w:jc w:val="both"/>
            </w:pPr>
            <w:r>
              <w:rPr>
                <w:b/>
                <w:bCs/>
                <w:i/>
                <w:iCs/>
                <w:sz w:val="18"/>
                <w:szCs w:val="18"/>
              </w:rPr>
              <w:t xml:space="preserve">Producto 10: </w:t>
            </w:r>
            <w:r>
              <w:rPr>
                <w:sz w:val="18"/>
                <w:szCs w:val="18"/>
              </w:rPr>
              <w:t>Inventario valorado de los aportes en especie</w:t>
            </w:r>
          </w:p>
        </w:tc>
        <w:tc>
          <w:tcPr>
            <w:tcW w:w="1854" w:type="dxa"/>
            <w:shd w:val="clear" w:color="auto" w:fill="D9E2F3"/>
            <w:vAlign w:val="center"/>
          </w:tcPr>
          <w:p w14:paraId="16834CD6" w14:textId="77777777" w:rsidR="00990B14" w:rsidRDefault="00000000">
            <w:pPr>
              <w:spacing w:before="20" w:after="20"/>
              <w:jc w:val="center"/>
            </w:pPr>
            <w:r>
              <w:rPr>
                <w:b/>
                <w:bCs/>
                <w:sz w:val="18"/>
                <w:szCs w:val="18"/>
              </w:rPr>
              <w:t>2%</w:t>
            </w:r>
          </w:p>
        </w:tc>
      </w:tr>
      <w:tr w:rsidR="00990B14" w14:paraId="660BF935" w14:textId="77777777">
        <w:trPr>
          <w:cantSplit/>
          <w:jc w:val="center"/>
        </w:trPr>
        <w:tc>
          <w:tcPr>
            <w:tcW w:w="1772" w:type="dxa"/>
            <w:vMerge/>
            <w:shd w:val="clear" w:color="auto" w:fill="4472C4"/>
            <w:vAlign w:val="center"/>
          </w:tcPr>
          <w:p w14:paraId="7247964D" w14:textId="77777777" w:rsidR="00990B14" w:rsidRDefault="00990B14">
            <w:pPr>
              <w:spacing w:before="20" w:after="20"/>
            </w:pPr>
          </w:p>
        </w:tc>
        <w:tc>
          <w:tcPr>
            <w:tcW w:w="1854" w:type="dxa"/>
            <w:shd w:val="clear" w:color="auto" w:fill="4472C4"/>
            <w:vAlign w:val="center"/>
          </w:tcPr>
          <w:p w14:paraId="3F5E0D92"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163B6EC9"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0115D935" w14:textId="77777777" w:rsidR="00990B14" w:rsidRDefault="00000000">
            <w:pPr>
              <w:keepNext/>
              <w:spacing w:before="20" w:after="20"/>
              <w:jc w:val="center"/>
            </w:pPr>
            <w:r>
              <w:rPr>
                <w:b/>
                <w:bCs/>
                <w:i/>
                <w:iCs/>
                <w:color w:val="FFFFFF"/>
                <w:sz w:val="18"/>
                <w:szCs w:val="18"/>
              </w:rPr>
              <w:t>Suficiente (51–80)</w:t>
            </w:r>
          </w:p>
        </w:tc>
        <w:tc>
          <w:tcPr>
            <w:tcW w:w="1854" w:type="dxa"/>
            <w:shd w:val="clear" w:color="auto" w:fill="4472C4"/>
            <w:vAlign w:val="center"/>
          </w:tcPr>
          <w:p w14:paraId="3E3A84F8" w14:textId="77777777" w:rsidR="00990B14" w:rsidRDefault="00000000">
            <w:pPr>
              <w:keepNext/>
              <w:spacing w:before="20" w:after="20"/>
              <w:jc w:val="center"/>
            </w:pPr>
            <w:r>
              <w:rPr>
                <w:b/>
                <w:bCs/>
                <w:i/>
                <w:iCs/>
                <w:color w:val="FFFFFF"/>
                <w:sz w:val="18"/>
                <w:szCs w:val="18"/>
              </w:rPr>
              <w:t>Destacado (81–100)</w:t>
            </w:r>
          </w:p>
        </w:tc>
      </w:tr>
      <w:tr w:rsidR="00990B14" w14:paraId="14667E1A" w14:textId="77777777">
        <w:trPr>
          <w:cantSplit/>
          <w:jc w:val="center"/>
        </w:trPr>
        <w:tc>
          <w:tcPr>
            <w:tcW w:w="1772" w:type="dxa"/>
            <w:vMerge/>
            <w:shd w:val="clear" w:color="auto" w:fill="4472C4"/>
            <w:vAlign w:val="center"/>
          </w:tcPr>
          <w:p w14:paraId="746446C2" w14:textId="77777777" w:rsidR="00990B14" w:rsidRDefault="00990B14">
            <w:pPr>
              <w:spacing w:before="20" w:after="20"/>
            </w:pPr>
          </w:p>
        </w:tc>
        <w:tc>
          <w:tcPr>
            <w:tcW w:w="1854" w:type="dxa"/>
            <w:shd w:val="clear" w:color="auto" w:fill="D9E2F3"/>
            <w:vAlign w:val="center"/>
          </w:tcPr>
          <w:p w14:paraId="45FB7EE1" w14:textId="77777777" w:rsidR="00990B14" w:rsidRDefault="00000000">
            <w:pPr>
              <w:spacing w:before="20" w:after="20"/>
              <w:jc w:val="both"/>
            </w:pPr>
            <w:r>
              <w:rPr>
                <w:sz w:val="18"/>
                <w:szCs w:val="18"/>
              </w:rPr>
              <w:t>Identificación de bienes</w:t>
            </w:r>
          </w:p>
        </w:tc>
        <w:tc>
          <w:tcPr>
            <w:tcW w:w="1910" w:type="dxa"/>
            <w:shd w:val="clear" w:color="auto" w:fill="D9E2F3"/>
            <w:vAlign w:val="center"/>
          </w:tcPr>
          <w:p w14:paraId="5C3F680F" w14:textId="77777777" w:rsidR="00990B14" w:rsidRDefault="00000000">
            <w:pPr>
              <w:spacing w:before="20" w:after="20"/>
              <w:jc w:val="both"/>
            </w:pPr>
            <w:r>
              <w:rPr>
                <w:sz w:val="18"/>
                <w:szCs w:val="18"/>
              </w:rPr>
              <w:t>Omite bienes aportados.</w:t>
            </w:r>
          </w:p>
        </w:tc>
        <w:tc>
          <w:tcPr>
            <w:tcW w:w="2015" w:type="dxa"/>
            <w:shd w:val="clear" w:color="auto" w:fill="D9E2F3"/>
            <w:vAlign w:val="center"/>
          </w:tcPr>
          <w:p w14:paraId="0787FDFD" w14:textId="77777777" w:rsidR="00990B14" w:rsidRDefault="00000000">
            <w:pPr>
              <w:spacing w:before="20" w:after="20"/>
              <w:jc w:val="both"/>
            </w:pPr>
            <w:r>
              <w:rPr>
                <w:sz w:val="18"/>
                <w:szCs w:val="18"/>
              </w:rPr>
              <w:t>Detalla cada bien aportado y su estado.</w:t>
            </w:r>
          </w:p>
        </w:tc>
        <w:tc>
          <w:tcPr>
            <w:tcW w:w="1854" w:type="dxa"/>
            <w:shd w:val="clear" w:color="auto" w:fill="D9E2F3"/>
            <w:vAlign w:val="center"/>
          </w:tcPr>
          <w:p w14:paraId="07279407" w14:textId="77777777" w:rsidR="00990B14" w:rsidRDefault="00000000">
            <w:pPr>
              <w:spacing w:before="20" w:after="20"/>
              <w:jc w:val="both"/>
            </w:pPr>
            <w:r>
              <w:rPr>
                <w:sz w:val="18"/>
                <w:szCs w:val="18"/>
              </w:rPr>
              <w:t>Respalda cada bien con su documento de propiedad.</w:t>
            </w:r>
          </w:p>
        </w:tc>
      </w:tr>
      <w:tr w:rsidR="00990B14" w14:paraId="0C4BB09C" w14:textId="77777777">
        <w:trPr>
          <w:cantSplit/>
          <w:jc w:val="center"/>
        </w:trPr>
        <w:tc>
          <w:tcPr>
            <w:tcW w:w="1772" w:type="dxa"/>
            <w:vMerge/>
            <w:shd w:val="clear" w:color="auto" w:fill="4472C4"/>
            <w:vAlign w:val="center"/>
          </w:tcPr>
          <w:p w14:paraId="3B006FB5" w14:textId="77777777" w:rsidR="00990B14" w:rsidRDefault="00990B14">
            <w:pPr>
              <w:spacing w:before="20" w:after="20"/>
            </w:pPr>
          </w:p>
        </w:tc>
        <w:tc>
          <w:tcPr>
            <w:tcW w:w="1854" w:type="dxa"/>
            <w:shd w:val="clear" w:color="auto" w:fill="D9E2F3"/>
            <w:vAlign w:val="center"/>
          </w:tcPr>
          <w:p w14:paraId="1ACA3871" w14:textId="77777777" w:rsidR="00990B14" w:rsidRDefault="00000000">
            <w:pPr>
              <w:spacing w:before="20" w:after="20"/>
              <w:jc w:val="both"/>
            </w:pPr>
            <w:r>
              <w:rPr>
                <w:sz w:val="18"/>
                <w:szCs w:val="18"/>
              </w:rPr>
              <w:t>Valuación de bienes</w:t>
            </w:r>
          </w:p>
        </w:tc>
        <w:tc>
          <w:tcPr>
            <w:tcW w:w="1910" w:type="dxa"/>
            <w:shd w:val="clear" w:color="auto" w:fill="D9E2F3"/>
            <w:vAlign w:val="center"/>
          </w:tcPr>
          <w:p w14:paraId="5AE3F7AE" w14:textId="77777777" w:rsidR="00990B14" w:rsidRDefault="00000000">
            <w:pPr>
              <w:spacing w:before="20" w:after="20"/>
              <w:jc w:val="both"/>
            </w:pPr>
            <w:r>
              <w:rPr>
                <w:sz w:val="18"/>
                <w:szCs w:val="18"/>
              </w:rPr>
              <w:t>Valora sin criterio.</w:t>
            </w:r>
          </w:p>
        </w:tc>
        <w:tc>
          <w:tcPr>
            <w:tcW w:w="2015" w:type="dxa"/>
            <w:shd w:val="clear" w:color="auto" w:fill="D9E2F3"/>
            <w:vAlign w:val="center"/>
          </w:tcPr>
          <w:p w14:paraId="76A1A3A0" w14:textId="77777777" w:rsidR="00990B14" w:rsidRDefault="00000000">
            <w:pPr>
              <w:spacing w:before="20" w:after="20"/>
              <w:jc w:val="both"/>
            </w:pPr>
            <w:r>
              <w:rPr>
                <w:sz w:val="18"/>
                <w:szCs w:val="18"/>
              </w:rPr>
              <w:t>Asigna un valor sustentado a cada bien.</w:t>
            </w:r>
          </w:p>
        </w:tc>
        <w:tc>
          <w:tcPr>
            <w:tcW w:w="1854" w:type="dxa"/>
            <w:shd w:val="clear" w:color="auto" w:fill="D9E2F3"/>
            <w:vAlign w:val="center"/>
          </w:tcPr>
          <w:p w14:paraId="320F3407" w14:textId="77777777" w:rsidR="00990B14" w:rsidRDefault="00000000">
            <w:pPr>
              <w:spacing w:before="20" w:after="20"/>
              <w:jc w:val="both"/>
            </w:pPr>
            <w:r>
              <w:rPr>
                <w:sz w:val="18"/>
                <w:szCs w:val="18"/>
              </w:rPr>
              <w:t>Compara el valor asignado con el de mercado.</w:t>
            </w:r>
          </w:p>
        </w:tc>
      </w:tr>
      <w:tr w:rsidR="00990B14" w14:paraId="4CB136D5" w14:textId="77777777">
        <w:trPr>
          <w:cantSplit/>
          <w:jc w:val="center"/>
        </w:trPr>
        <w:tc>
          <w:tcPr>
            <w:tcW w:w="1772" w:type="dxa"/>
            <w:vMerge/>
            <w:shd w:val="clear" w:color="auto" w:fill="4472C4"/>
            <w:vAlign w:val="center"/>
          </w:tcPr>
          <w:p w14:paraId="4EC30FC3" w14:textId="77777777" w:rsidR="00990B14" w:rsidRDefault="00990B14">
            <w:pPr>
              <w:spacing w:before="20" w:after="20"/>
            </w:pPr>
          </w:p>
        </w:tc>
        <w:tc>
          <w:tcPr>
            <w:tcW w:w="1854" w:type="dxa"/>
            <w:shd w:val="clear" w:color="auto" w:fill="D9E2F3"/>
            <w:vAlign w:val="center"/>
          </w:tcPr>
          <w:p w14:paraId="2C40836F" w14:textId="77777777" w:rsidR="00990B14" w:rsidRDefault="00000000">
            <w:pPr>
              <w:spacing w:before="20" w:after="20"/>
              <w:jc w:val="both"/>
            </w:pPr>
            <w:r>
              <w:rPr>
                <w:sz w:val="18"/>
                <w:szCs w:val="18"/>
              </w:rPr>
              <w:t>Trabajo en equipo</w:t>
            </w:r>
          </w:p>
        </w:tc>
        <w:tc>
          <w:tcPr>
            <w:tcW w:w="1910" w:type="dxa"/>
            <w:shd w:val="clear" w:color="auto" w:fill="D9E2F3"/>
            <w:vAlign w:val="center"/>
          </w:tcPr>
          <w:p w14:paraId="41FEF9C3" w14:textId="77777777" w:rsidR="00990B14" w:rsidRDefault="00000000">
            <w:pPr>
              <w:spacing w:before="20" w:after="20"/>
              <w:jc w:val="both"/>
            </w:pPr>
            <w:r>
              <w:rPr>
                <w:sz w:val="18"/>
                <w:szCs w:val="18"/>
              </w:rPr>
              <w:t>La participación es desigual.</w:t>
            </w:r>
          </w:p>
        </w:tc>
        <w:tc>
          <w:tcPr>
            <w:tcW w:w="2015" w:type="dxa"/>
            <w:shd w:val="clear" w:color="auto" w:fill="D9E2F3"/>
            <w:vAlign w:val="center"/>
          </w:tcPr>
          <w:p w14:paraId="6DC08FC5" w14:textId="77777777" w:rsidR="00990B14" w:rsidRDefault="00000000">
            <w:pPr>
              <w:spacing w:before="20" w:after="20"/>
              <w:jc w:val="both"/>
            </w:pPr>
            <w:r>
              <w:rPr>
                <w:sz w:val="18"/>
                <w:szCs w:val="18"/>
              </w:rPr>
              <w:t>Todos los integrantes participan.</w:t>
            </w:r>
          </w:p>
        </w:tc>
        <w:tc>
          <w:tcPr>
            <w:tcW w:w="1854" w:type="dxa"/>
            <w:shd w:val="clear" w:color="auto" w:fill="D9E2F3"/>
            <w:vAlign w:val="center"/>
          </w:tcPr>
          <w:p w14:paraId="0F5861EB" w14:textId="77777777" w:rsidR="00990B14" w:rsidRDefault="00000000">
            <w:pPr>
              <w:spacing w:before="20" w:after="20"/>
              <w:jc w:val="both"/>
            </w:pPr>
            <w:r>
              <w:rPr>
                <w:sz w:val="18"/>
                <w:szCs w:val="18"/>
              </w:rPr>
              <w:t>El equipo sustenta su trabajo ante el curso.</w:t>
            </w:r>
          </w:p>
        </w:tc>
      </w:tr>
      <w:tr w:rsidR="00990B14" w14:paraId="714667A8" w14:textId="77777777">
        <w:trPr>
          <w:cantSplit/>
          <w:jc w:val="center"/>
        </w:trPr>
        <w:tc>
          <w:tcPr>
            <w:tcW w:w="1772" w:type="dxa"/>
            <w:vMerge/>
            <w:shd w:val="clear" w:color="auto" w:fill="4472C4"/>
            <w:vAlign w:val="center"/>
          </w:tcPr>
          <w:p w14:paraId="459167A4" w14:textId="77777777" w:rsidR="00990B14" w:rsidRDefault="00990B14">
            <w:pPr>
              <w:spacing w:before="20" w:after="20"/>
            </w:pPr>
          </w:p>
        </w:tc>
        <w:tc>
          <w:tcPr>
            <w:tcW w:w="5779" w:type="dxa"/>
            <w:gridSpan w:val="3"/>
            <w:shd w:val="clear" w:color="auto" w:fill="D9E2F3"/>
            <w:vAlign w:val="center"/>
          </w:tcPr>
          <w:p w14:paraId="7641C562" w14:textId="77777777" w:rsidR="00990B14" w:rsidRDefault="00000000">
            <w:pPr>
              <w:keepNext/>
              <w:spacing w:before="20" w:after="20"/>
              <w:jc w:val="both"/>
            </w:pPr>
            <w:r>
              <w:rPr>
                <w:b/>
                <w:bCs/>
                <w:i/>
                <w:iCs/>
                <w:sz w:val="18"/>
                <w:szCs w:val="18"/>
              </w:rPr>
              <w:t xml:space="preserve">Producto 11: </w:t>
            </w:r>
            <w:r>
              <w:rPr>
                <w:sz w:val="18"/>
                <w:szCs w:val="18"/>
              </w:rPr>
              <w:t>Cuadro de distribución de resultados entre los socios de una sociedad colectiva</w:t>
            </w:r>
          </w:p>
        </w:tc>
        <w:tc>
          <w:tcPr>
            <w:tcW w:w="1854" w:type="dxa"/>
            <w:shd w:val="clear" w:color="auto" w:fill="D9E2F3"/>
            <w:vAlign w:val="center"/>
          </w:tcPr>
          <w:p w14:paraId="543E3364" w14:textId="77777777" w:rsidR="00990B14" w:rsidRDefault="00000000">
            <w:pPr>
              <w:spacing w:before="20" w:after="20"/>
              <w:jc w:val="center"/>
            </w:pPr>
            <w:r>
              <w:rPr>
                <w:b/>
                <w:bCs/>
                <w:sz w:val="18"/>
                <w:szCs w:val="18"/>
              </w:rPr>
              <w:t>2%</w:t>
            </w:r>
          </w:p>
        </w:tc>
      </w:tr>
      <w:tr w:rsidR="00990B14" w14:paraId="6F56D5CE" w14:textId="77777777">
        <w:trPr>
          <w:cantSplit/>
          <w:jc w:val="center"/>
        </w:trPr>
        <w:tc>
          <w:tcPr>
            <w:tcW w:w="1772" w:type="dxa"/>
            <w:vMerge/>
            <w:shd w:val="clear" w:color="auto" w:fill="4472C4"/>
            <w:vAlign w:val="center"/>
          </w:tcPr>
          <w:p w14:paraId="35037A30" w14:textId="77777777" w:rsidR="00990B14" w:rsidRDefault="00990B14">
            <w:pPr>
              <w:spacing w:before="20" w:after="20"/>
            </w:pPr>
          </w:p>
        </w:tc>
        <w:tc>
          <w:tcPr>
            <w:tcW w:w="1854" w:type="dxa"/>
            <w:shd w:val="clear" w:color="auto" w:fill="4472C4"/>
            <w:vAlign w:val="center"/>
          </w:tcPr>
          <w:p w14:paraId="61735B7A"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21894192"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29A5473F" w14:textId="77777777" w:rsidR="00990B14" w:rsidRDefault="00000000">
            <w:pPr>
              <w:keepNext/>
              <w:spacing w:before="20" w:after="20"/>
              <w:jc w:val="center"/>
            </w:pPr>
            <w:r>
              <w:rPr>
                <w:b/>
                <w:bCs/>
                <w:i/>
                <w:iCs/>
                <w:color w:val="FFFFFF"/>
                <w:sz w:val="18"/>
                <w:szCs w:val="18"/>
              </w:rPr>
              <w:t>Suficiente (51–80)</w:t>
            </w:r>
          </w:p>
        </w:tc>
        <w:tc>
          <w:tcPr>
            <w:tcW w:w="1854" w:type="dxa"/>
            <w:shd w:val="clear" w:color="auto" w:fill="4472C4"/>
            <w:vAlign w:val="center"/>
          </w:tcPr>
          <w:p w14:paraId="44AB011F" w14:textId="77777777" w:rsidR="00990B14" w:rsidRDefault="00000000">
            <w:pPr>
              <w:keepNext/>
              <w:spacing w:before="20" w:after="20"/>
              <w:jc w:val="center"/>
            </w:pPr>
            <w:r>
              <w:rPr>
                <w:b/>
                <w:bCs/>
                <w:i/>
                <w:iCs/>
                <w:color w:val="FFFFFF"/>
                <w:sz w:val="18"/>
                <w:szCs w:val="18"/>
              </w:rPr>
              <w:t>Destacado (81–100)</w:t>
            </w:r>
          </w:p>
        </w:tc>
      </w:tr>
      <w:tr w:rsidR="00990B14" w14:paraId="4BADE283" w14:textId="77777777">
        <w:trPr>
          <w:cantSplit/>
          <w:jc w:val="center"/>
        </w:trPr>
        <w:tc>
          <w:tcPr>
            <w:tcW w:w="1772" w:type="dxa"/>
            <w:vMerge/>
            <w:shd w:val="clear" w:color="auto" w:fill="4472C4"/>
            <w:vAlign w:val="center"/>
          </w:tcPr>
          <w:p w14:paraId="71552DFA" w14:textId="77777777" w:rsidR="00990B14" w:rsidRDefault="00990B14">
            <w:pPr>
              <w:spacing w:before="20" w:after="20"/>
            </w:pPr>
          </w:p>
        </w:tc>
        <w:tc>
          <w:tcPr>
            <w:tcW w:w="1854" w:type="dxa"/>
            <w:shd w:val="clear" w:color="auto" w:fill="D9E2F3"/>
            <w:vAlign w:val="center"/>
          </w:tcPr>
          <w:p w14:paraId="6BD1D09F" w14:textId="77777777" w:rsidR="00990B14" w:rsidRDefault="00000000">
            <w:pPr>
              <w:spacing w:before="20" w:after="20"/>
              <w:jc w:val="both"/>
            </w:pPr>
            <w:r>
              <w:rPr>
                <w:sz w:val="18"/>
                <w:szCs w:val="18"/>
              </w:rPr>
              <w:t>Formas de distribución</w:t>
            </w:r>
          </w:p>
        </w:tc>
        <w:tc>
          <w:tcPr>
            <w:tcW w:w="1910" w:type="dxa"/>
            <w:shd w:val="clear" w:color="auto" w:fill="D9E2F3"/>
            <w:vAlign w:val="center"/>
          </w:tcPr>
          <w:p w14:paraId="6B3D46E4" w14:textId="77777777" w:rsidR="00990B14" w:rsidRDefault="00000000">
            <w:pPr>
              <w:spacing w:before="20" w:after="20"/>
              <w:jc w:val="both"/>
            </w:pPr>
            <w:r>
              <w:rPr>
                <w:sz w:val="18"/>
                <w:szCs w:val="18"/>
              </w:rPr>
              <w:t>Aplica una forma no pactada.</w:t>
            </w:r>
          </w:p>
        </w:tc>
        <w:tc>
          <w:tcPr>
            <w:tcW w:w="2015" w:type="dxa"/>
            <w:shd w:val="clear" w:color="auto" w:fill="D9E2F3"/>
            <w:vAlign w:val="center"/>
          </w:tcPr>
          <w:p w14:paraId="28D57EA8" w14:textId="77777777" w:rsidR="00990B14" w:rsidRDefault="00000000">
            <w:pPr>
              <w:spacing w:before="20" w:after="20"/>
              <w:jc w:val="both"/>
            </w:pPr>
            <w:r>
              <w:rPr>
                <w:sz w:val="18"/>
                <w:szCs w:val="18"/>
              </w:rPr>
              <w:t>Distribuye según el contrato o el aporte.</w:t>
            </w:r>
          </w:p>
        </w:tc>
        <w:tc>
          <w:tcPr>
            <w:tcW w:w="1854" w:type="dxa"/>
            <w:shd w:val="clear" w:color="auto" w:fill="D9E2F3"/>
            <w:vAlign w:val="center"/>
          </w:tcPr>
          <w:p w14:paraId="2168C72E" w14:textId="77777777" w:rsidR="00990B14" w:rsidRDefault="00000000">
            <w:pPr>
              <w:spacing w:before="20" w:after="20"/>
              <w:jc w:val="both"/>
            </w:pPr>
            <w:r>
              <w:rPr>
                <w:sz w:val="18"/>
                <w:szCs w:val="18"/>
              </w:rPr>
              <w:t>Compara el efecto de distintas formas de distribución.</w:t>
            </w:r>
          </w:p>
        </w:tc>
      </w:tr>
      <w:tr w:rsidR="00990B14" w14:paraId="4C9A768B" w14:textId="77777777">
        <w:trPr>
          <w:cantSplit/>
          <w:jc w:val="center"/>
        </w:trPr>
        <w:tc>
          <w:tcPr>
            <w:tcW w:w="1772" w:type="dxa"/>
            <w:vMerge/>
            <w:shd w:val="clear" w:color="auto" w:fill="4472C4"/>
            <w:vAlign w:val="center"/>
          </w:tcPr>
          <w:p w14:paraId="68D79B45" w14:textId="77777777" w:rsidR="00990B14" w:rsidRDefault="00990B14">
            <w:pPr>
              <w:spacing w:before="20" w:after="20"/>
            </w:pPr>
          </w:p>
        </w:tc>
        <w:tc>
          <w:tcPr>
            <w:tcW w:w="1854" w:type="dxa"/>
            <w:shd w:val="clear" w:color="auto" w:fill="D9E2F3"/>
            <w:vAlign w:val="center"/>
          </w:tcPr>
          <w:p w14:paraId="326CA48C" w14:textId="77777777" w:rsidR="00990B14" w:rsidRDefault="00000000">
            <w:pPr>
              <w:spacing w:before="20" w:after="20"/>
              <w:jc w:val="both"/>
            </w:pPr>
            <w:r>
              <w:rPr>
                <w:sz w:val="18"/>
                <w:szCs w:val="18"/>
              </w:rPr>
              <w:t>Tratamiento de pérdidas</w:t>
            </w:r>
          </w:p>
        </w:tc>
        <w:tc>
          <w:tcPr>
            <w:tcW w:w="1910" w:type="dxa"/>
            <w:shd w:val="clear" w:color="auto" w:fill="D9E2F3"/>
            <w:vAlign w:val="center"/>
          </w:tcPr>
          <w:p w14:paraId="0CF159B7" w14:textId="77777777" w:rsidR="00990B14" w:rsidRDefault="00000000">
            <w:pPr>
              <w:spacing w:before="20" w:after="20"/>
              <w:jc w:val="both"/>
            </w:pPr>
            <w:r>
              <w:rPr>
                <w:sz w:val="18"/>
                <w:szCs w:val="18"/>
              </w:rPr>
              <w:t>No trata las pérdidas.</w:t>
            </w:r>
          </w:p>
        </w:tc>
        <w:tc>
          <w:tcPr>
            <w:tcW w:w="2015" w:type="dxa"/>
            <w:shd w:val="clear" w:color="auto" w:fill="D9E2F3"/>
            <w:vAlign w:val="center"/>
          </w:tcPr>
          <w:p w14:paraId="220B8691" w14:textId="77777777" w:rsidR="00990B14" w:rsidRDefault="00000000">
            <w:pPr>
              <w:spacing w:before="20" w:after="20"/>
              <w:jc w:val="both"/>
            </w:pPr>
            <w:r>
              <w:rPr>
                <w:sz w:val="18"/>
                <w:szCs w:val="18"/>
              </w:rPr>
              <w:t>Distribuye las pérdidas entre los socios.</w:t>
            </w:r>
          </w:p>
        </w:tc>
        <w:tc>
          <w:tcPr>
            <w:tcW w:w="1854" w:type="dxa"/>
            <w:shd w:val="clear" w:color="auto" w:fill="D9E2F3"/>
            <w:vAlign w:val="center"/>
          </w:tcPr>
          <w:p w14:paraId="2F362E49" w14:textId="77777777" w:rsidR="00990B14" w:rsidRDefault="00000000">
            <w:pPr>
              <w:spacing w:before="20" w:after="20"/>
              <w:jc w:val="both"/>
            </w:pPr>
            <w:r>
              <w:rPr>
                <w:sz w:val="18"/>
                <w:szCs w:val="18"/>
              </w:rPr>
              <w:t>Explica la responsabilidad ilimitada ante las pérdidas.</w:t>
            </w:r>
          </w:p>
        </w:tc>
      </w:tr>
      <w:tr w:rsidR="00990B14" w14:paraId="3361FCFF" w14:textId="77777777">
        <w:trPr>
          <w:cantSplit/>
          <w:jc w:val="center"/>
        </w:trPr>
        <w:tc>
          <w:tcPr>
            <w:tcW w:w="1772" w:type="dxa"/>
            <w:vMerge/>
            <w:shd w:val="clear" w:color="auto" w:fill="4472C4"/>
            <w:vAlign w:val="center"/>
          </w:tcPr>
          <w:p w14:paraId="5CC28C09" w14:textId="77777777" w:rsidR="00990B14" w:rsidRDefault="00990B14">
            <w:pPr>
              <w:spacing w:before="20" w:after="20"/>
            </w:pPr>
          </w:p>
        </w:tc>
        <w:tc>
          <w:tcPr>
            <w:tcW w:w="1854" w:type="dxa"/>
            <w:shd w:val="clear" w:color="auto" w:fill="D9E2F3"/>
            <w:vAlign w:val="center"/>
          </w:tcPr>
          <w:p w14:paraId="2E83116F" w14:textId="77777777" w:rsidR="00990B14" w:rsidRDefault="00000000">
            <w:pPr>
              <w:spacing w:before="20" w:after="20"/>
              <w:jc w:val="both"/>
            </w:pPr>
            <w:r>
              <w:rPr>
                <w:sz w:val="18"/>
                <w:szCs w:val="18"/>
              </w:rPr>
              <w:t>Hoja de cálculo</w:t>
            </w:r>
          </w:p>
        </w:tc>
        <w:tc>
          <w:tcPr>
            <w:tcW w:w="1910" w:type="dxa"/>
            <w:shd w:val="clear" w:color="auto" w:fill="D9E2F3"/>
            <w:vAlign w:val="center"/>
          </w:tcPr>
          <w:p w14:paraId="754092D5" w14:textId="77777777" w:rsidR="00990B14" w:rsidRDefault="00000000">
            <w:pPr>
              <w:spacing w:before="20" w:after="20"/>
              <w:jc w:val="both"/>
            </w:pPr>
            <w:r>
              <w:rPr>
                <w:sz w:val="18"/>
                <w:szCs w:val="18"/>
              </w:rPr>
              <w:t>No usa fórmulas.</w:t>
            </w:r>
          </w:p>
        </w:tc>
        <w:tc>
          <w:tcPr>
            <w:tcW w:w="2015" w:type="dxa"/>
            <w:shd w:val="clear" w:color="auto" w:fill="D9E2F3"/>
            <w:vAlign w:val="center"/>
          </w:tcPr>
          <w:p w14:paraId="494DE878" w14:textId="77777777" w:rsidR="00990B14" w:rsidRDefault="00000000">
            <w:pPr>
              <w:spacing w:before="20" w:after="20"/>
              <w:jc w:val="both"/>
            </w:pPr>
            <w:r>
              <w:rPr>
                <w:sz w:val="18"/>
                <w:szCs w:val="18"/>
              </w:rPr>
              <w:t>Usa fórmulas en el cuadro.</w:t>
            </w:r>
          </w:p>
        </w:tc>
        <w:tc>
          <w:tcPr>
            <w:tcW w:w="1854" w:type="dxa"/>
            <w:shd w:val="clear" w:color="auto" w:fill="D9E2F3"/>
            <w:vAlign w:val="center"/>
          </w:tcPr>
          <w:p w14:paraId="4CDC1D6F" w14:textId="77777777" w:rsidR="00990B14" w:rsidRDefault="00000000">
            <w:pPr>
              <w:spacing w:before="20" w:after="20"/>
              <w:jc w:val="both"/>
            </w:pPr>
            <w:r>
              <w:rPr>
                <w:sz w:val="18"/>
                <w:szCs w:val="18"/>
              </w:rPr>
              <w:t>Verifica que el cuadro admita cambios de porcentajes.</w:t>
            </w:r>
          </w:p>
        </w:tc>
      </w:tr>
      <w:tr w:rsidR="00990B14" w14:paraId="5B32B8C4" w14:textId="77777777">
        <w:trPr>
          <w:cantSplit/>
          <w:jc w:val="center"/>
        </w:trPr>
        <w:tc>
          <w:tcPr>
            <w:tcW w:w="1772" w:type="dxa"/>
            <w:vMerge/>
            <w:shd w:val="clear" w:color="auto" w:fill="4472C4"/>
            <w:vAlign w:val="center"/>
          </w:tcPr>
          <w:p w14:paraId="51339C07" w14:textId="77777777" w:rsidR="00990B14" w:rsidRDefault="00990B14">
            <w:pPr>
              <w:spacing w:before="20" w:after="20"/>
            </w:pPr>
          </w:p>
        </w:tc>
        <w:tc>
          <w:tcPr>
            <w:tcW w:w="5779" w:type="dxa"/>
            <w:gridSpan w:val="3"/>
            <w:shd w:val="clear" w:color="auto" w:fill="D9E2F3"/>
            <w:vAlign w:val="center"/>
          </w:tcPr>
          <w:p w14:paraId="43F586C5" w14:textId="77777777" w:rsidR="00990B14" w:rsidRDefault="00000000">
            <w:pPr>
              <w:keepNext/>
              <w:spacing w:before="20" w:after="20"/>
              <w:jc w:val="both"/>
            </w:pPr>
            <w:r>
              <w:rPr>
                <w:b/>
                <w:bCs/>
                <w:i/>
                <w:iCs/>
                <w:sz w:val="18"/>
                <w:szCs w:val="18"/>
              </w:rPr>
              <w:t xml:space="preserve">Producto 12: </w:t>
            </w:r>
            <w:r>
              <w:rPr>
                <w:sz w:val="18"/>
                <w:szCs w:val="18"/>
              </w:rPr>
              <w:t>Informe de modificaciones de capital de una sociedad colectiva</w:t>
            </w:r>
          </w:p>
        </w:tc>
        <w:tc>
          <w:tcPr>
            <w:tcW w:w="1854" w:type="dxa"/>
            <w:shd w:val="clear" w:color="auto" w:fill="D9E2F3"/>
            <w:vAlign w:val="center"/>
          </w:tcPr>
          <w:p w14:paraId="3D3FFF52" w14:textId="77777777" w:rsidR="00990B14" w:rsidRDefault="00000000">
            <w:pPr>
              <w:spacing w:before="20" w:after="20"/>
              <w:jc w:val="center"/>
            </w:pPr>
            <w:r>
              <w:rPr>
                <w:b/>
                <w:bCs/>
                <w:sz w:val="18"/>
                <w:szCs w:val="18"/>
              </w:rPr>
              <w:t>2%</w:t>
            </w:r>
          </w:p>
        </w:tc>
      </w:tr>
      <w:tr w:rsidR="00990B14" w14:paraId="60D16178" w14:textId="77777777">
        <w:trPr>
          <w:cantSplit/>
          <w:jc w:val="center"/>
        </w:trPr>
        <w:tc>
          <w:tcPr>
            <w:tcW w:w="1772" w:type="dxa"/>
            <w:vMerge/>
            <w:shd w:val="clear" w:color="auto" w:fill="4472C4"/>
            <w:vAlign w:val="center"/>
          </w:tcPr>
          <w:p w14:paraId="43E71816" w14:textId="77777777" w:rsidR="00990B14" w:rsidRDefault="00990B14">
            <w:pPr>
              <w:spacing w:before="20" w:after="20"/>
            </w:pPr>
          </w:p>
        </w:tc>
        <w:tc>
          <w:tcPr>
            <w:tcW w:w="1854" w:type="dxa"/>
            <w:shd w:val="clear" w:color="auto" w:fill="4472C4"/>
            <w:vAlign w:val="center"/>
          </w:tcPr>
          <w:p w14:paraId="1393D884"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29E5EF3C"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75179BDF" w14:textId="77777777" w:rsidR="00990B14" w:rsidRDefault="00000000">
            <w:pPr>
              <w:keepNext/>
              <w:spacing w:before="20" w:after="20"/>
              <w:jc w:val="center"/>
            </w:pPr>
            <w:r>
              <w:rPr>
                <w:b/>
                <w:bCs/>
                <w:i/>
                <w:iCs/>
                <w:color w:val="FFFFFF"/>
                <w:sz w:val="18"/>
                <w:szCs w:val="18"/>
              </w:rPr>
              <w:t>Suficiente (51–80)</w:t>
            </w:r>
          </w:p>
        </w:tc>
        <w:tc>
          <w:tcPr>
            <w:tcW w:w="1854" w:type="dxa"/>
            <w:shd w:val="clear" w:color="auto" w:fill="4472C4"/>
            <w:vAlign w:val="center"/>
          </w:tcPr>
          <w:p w14:paraId="25C3BA5E" w14:textId="77777777" w:rsidR="00990B14" w:rsidRDefault="00000000">
            <w:pPr>
              <w:keepNext/>
              <w:spacing w:before="20" w:after="20"/>
              <w:jc w:val="center"/>
            </w:pPr>
            <w:r>
              <w:rPr>
                <w:b/>
                <w:bCs/>
                <w:i/>
                <w:iCs/>
                <w:color w:val="FFFFFF"/>
                <w:sz w:val="18"/>
                <w:szCs w:val="18"/>
              </w:rPr>
              <w:t>Destacado (81–100)</w:t>
            </w:r>
          </w:p>
        </w:tc>
      </w:tr>
      <w:tr w:rsidR="00990B14" w14:paraId="56E15321" w14:textId="77777777">
        <w:trPr>
          <w:cantSplit/>
          <w:jc w:val="center"/>
        </w:trPr>
        <w:tc>
          <w:tcPr>
            <w:tcW w:w="1772" w:type="dxa"/>
            <w:vMerge/>
            <w:shd w:val="clear" w:color="auto" w:fill="4472C4"/>
            <w:vAlign w:val="center"/>
          </w:tcPr>
          <w:p w14:paraId="5B9510B5" w14:textId="77777777" w:rsidR="00990B14" w:rsidRDefault="00990B14">
            <w:pPr>
              <w:spacing w:before="20" w:after="20"/>
            </w:pPr>
          </w:p>
        </w:tc>
        <w:tc>
          <w:tcPr>
            <w:tcW w:w="1854" w:type="dxa"/>
            <w:shd w:val="clear" w:color="auto" w:fill="D9E2F3"/>
            <w:vAlign w:val="center"/>
          </w:tcPr>
          <w:p w14:paraId="00AEE0FA" w14:textId="77777777" w:rsidR="00990B14" w:rsidRDefault="00000000">
            <w:pPr>
              <w:spacing w:before="20" w:after="20"/>
              <w:jc w:val="both"/>
            </w:pPr>
            <w:r>
              <w:rPr>
                <w:sz w:val="18"/>
                <w:szCs w:val="18"/>
              </w:rPr>
              <w:t>Aumento de capital</w:t>
            </w:r>
          </w:p>
        </w:tc>
        <w:tc>
          <w:tcPr>
            <w:tcW w:w="1910" w:type="dxa"/>
            <w:shd w:val="clear" w:color="auto" w:fill="D9E2F3"/>
            <w:vAlign w:val="center"/>
          </w:tcPr>
          <w:p w14:paraId="4FF9758A" w14:textId="77777777" w:rsidR="00990B14" w:rsidRDefault="00000000">
            <w:pPr>
              <w:spacing w:before="20" w:after="20"/>
              <w:jc w:val="both"/>
            </w:pPr>
            <w:r>
              <w:rPr>
                <w:sz w:val="18"/>
                <w:szCs w:val="18"/>
              </w:rPr>
              <w:t>Confunde el aumento por aportes con la capitalización de utilidades.</w:t>
            </w:r>
          </w:p>
        </w:tc>
        <w:tc>
          <w:tcPr>
            <w:tcW w:w="2015" w:type="dxa"/>
            <w:shd w:val="clear" w:color="auto" w:fill="D9E2F3"/>
            <w:vAlign w:val="center"/>
          </w:tcPr>
          <w:p w14:paraId="301F1B1B" w14:textId="77777777" w:rsidR="00990B14" w:rsidRDefault="00000000">
            <w:pPr>
              <w:spacing w:before="20" w:after="20"/>
              <w:jc w:val="both"/>
            </w:pPr>
            <w:r>
              <w:rPr>
                <w:sz w:val="18"/>
                <w:szCs w:val="18"/>
              </w:rPr>
              <w:t>Registra el aumento por aportes o capitalización.</w:t>
            </w:r>
          </w:p>
        </w:tc>
        <w:tc>
          <w:tcPr>
            <w:tcW w:w="1854" w:type="dxa"/>
            <w:shd w:val="clear" w:color="auto" w:fill="D9E2F3"/>
            <w:vAlign w:val="center"/>
          </w:tcPr>
          <w:p w14:paraId="345FB64C" w14:textId="77777777" w:rsidR="00990B14" w:rsidRDefault="00000000">
            <w:pPr>
              <w:spacing w:before="20" w:after="20"/>
              <w:jc w:val="both"/>
            </w:pPr>
            <w:r>
              <w:rPr>
                <w:sz w:val="18"/>
                <w:szCs w:val="18"/>
              </w:rPr>
              <w:t>Explica el efecto en la razón social.</w:t>
            </w:r>
          </w:p>
        </w:tc>
      </w:tr>
      <w:tr w:rsidR="00990B14" w14:paraId="0AE21556" w14:textId="77777777">
        <w:trPr>
          <w:cantSplit/>
          <w:jc w:val="center"/>
        </w:trPr>
        <w:tc>
          <w:tcPr>
            <w:tcW w:w="1772" w:type="dxa"/>
            <w:vMerge/>
            <w:shd w:val="clear" w:color="auto" w:fill="4472C4"/>
            <w:vAlign w:val="center"/>
          </w:tcPr>
          <w:p w14:paraId="1D3F0ACF" w14:textId="77777777" w:rsidR="00990B14" w:rsidRDefault="00990B14">
            <w:pPr>
              <w:spacing w:before="20" w:after="20"/>
            </w:pPr>
          </w:p>
        </w:tc>
        <w:tc>
          <w:tcPr>
            <w:tcW w:w="1854" w:type="dxa"/>
            <w:shd w:val="clear" w:color="auto" w:fill="D9E2F3"/>
            <w:vAlign w:val="center"/>
          </w:tcPr>
          <w:p w14:paraId="168E574E" w14:textId="77777777" w:rsidR="00990B14" w:rsidRDefault="00000000">
            <w:pPr>
              <w:spacing w:before="20" w:after="20"/>
              <w:jc w:val="both"/>
            </w:pPr>
            <w:r>
              <w:rPr>
                <w:sz w:val="18"/>
                <w:szCs w:val="18"/>
              </w:rPr>
              <w:t>Retiro y deficiencia</w:t>
            </w:r>
          </w:p>
        </w:tc>
        <w:tc>
          <w:tcPr>
            <w:tcW w:w="1910" w:type="dxa"/>
            <w:shd w:val="clear" w:color="auto" w:fill="D9E2F3"/>
            <w:vAlign w:val="center"/>
          </w:tcPr>
          <w:p w14:paraId="6DB81656" w14:textId="77777777" w:rsidR="00990B14" w:rsidRDefault="00000000">
            <w:pPr>
              <w:spacing w:before="20" w:after="20"/>
              <w:jc w:val="both"/>
            </w:pPr>
            <w:r>
              <w:rPr>
                <w:sz w:val="18"/>
                <w:szCs w:val="18"/>
              </w:rPr>
              <w:t>Liquida mal la cuota del socio que se retira.</w:t>
            </w:r>
          </w:p>
        </w:tc>
        <w:tc>
          <w:tcPr>
            <w:tcW w:w="2015" w:type="dxa"/>
            <w:shd w:val="clear" w:color="auto" w:fill="D9E2F3"/>
            <w:vAlign w:val="center"/>
          </w:tcPr>
          <w:p w14:paraId="4A3DDAA0" w14:textId="77777777" w:rsidR="00990B14" w:rsidRDefault="00000000">
            <w:pPr>
              <w:spacing w:before="20" w:after="20"/>
              <w:jc w:val="both"/>
            </w:pPr>
            <w:r>
              <w:rPr>
                <w:sz w:val="18"/>
                <w:szCs w:val="18"/>
              </w:rPr>
              <w:t>Registra el retiro y la disminución obligada.</w:t>
            </w:r>
          </w:p>
        </w:tc>
        <w:tc>
          <w:tcPr>
            <w:tcW w:w="1854" w:type="dxa"/>
            <w:shd w:val="clear" w:color="auto" w:fill="D9E2F3"/>
            <w:vAlign w:val="center"/>
          </w:tcPr>
          <w:p w14:paraId="41F90FDB" w14:textId="77777777" w:rsidR="00990B14" w:rsidRDefault="00000000">
            <w:pPr>
              <w:spacing w:before="20" w:after="20"/>
              <w:jc w:val="both"/>
            </w:pPr>
            <w:r>
              <w:rPr>
                <w:sz w:val="18"/>
                <w:szCs w:val="18"/>
              </w:rPr>
              <w:t>Explica la responsabilidad del socio frente a terceros.</w:t>
            </w:r>
          </w:p>
        </w:tc>
      </w:tr>
      <w:tr w:rsidR="00990B14" w14:paraId="5ACFCD55" w14:textId="77777777">
        <w:trPr>
          <w:cantSplit/>
          <w:jc w:val="center"/>
        </w:trPr>
        <w:tc>
          <w:tcPr>
            <w:tcW w:w="1772" w:type="dxa"/>
            <w:vMerge/>
            <w:shd w:val="clear" w:color="auto" w:fill="4472C4"/>
            <w:vAlign w:val="center"/>
          </w:tcPr>
          <w:p w14:paraId="1E593061" w14:textId="77777777" w:rsidR="00990B14" w:rsidRDefault="00990B14">
            <w:pPr>
              <w:spacing w:before="20" w:after="20"/>
            </w:pPr>
          </w:p>
        </w:tc>
        <w:tc>
          <w:tcPr>
            <w:tcW w:w="1854" w:type="dxa"/>
            <w:shd w:val="clear" w:color="auto" w:fill="D9E2F3"/>
            <w:vAlign w:val="center"/>
          </w:tcPr>
          <w:p w14:paraId="5EA1AC30" w14:textId="77777777" w:rsidR="00990B14" w:rsidRDefault="00000000">
            <w:pPr>
              <w:spacing w:before="20" w:after="20"/>
              <w:jc w:val="both"/>
            </w:pPr>
            <w:r>
              <w:rPr>
                <w:sz w:val="18"/>
                <w:szCs w:val="18"/>
              </w:rPr>
              <w:t>Transparencia profesional</w:t>
            </w:r>
          </w:p>
        </w:tc>
        <w:tc>
          <w:tcPr>
            <w:tcW w:w="1910" w:type="dxa"/>
            <w:shd w:val="clear" w:color="auto" w:fill="D9E2F3"/>
            <w:vAlign w:val="center"/>
          </w:tcPr>
          <w:p w14:paraId="7B579B0E" w14:textId="77777777" w:rsidR="00990B14" w:rsidRDefault="00000000">
            <w:pPr>
              <w:spacing w:before="20" w:after="20"/>
              <w:jc w:val="both"/>
            </w:pPr>
            <w:r>
              <w:rPr>
                <w:sz w:val="18"/>
                <w:szCs w:val="18"/>
              </w:rPr>
              <w:t>Omite los riesgos de la responsabilidad ilimitada de los socios.</w:t>
            </w:r>
          </w:p>
        </w:tc>
        <w:tc>
          <w:tcPr>
            <w:tcW w:w="2015" w:type="dxa"/>
            <w:shd w:val="clear" w:color="auto" w:fill="D9E2F3"/>
            <w:vAlign w:val="center"/>
          </w:tcPr>
          <w:p w14:paraId="6AE45E52" w14:textId="77777777" w:rsidR="00990B14" w:rsidRDefault="00000000">
            <w:pPr>
              <w:spacing w:before="20" w:after="20"/>
              <w:jc w:val="both"/>
            </w:pPr>
            <w:r>
              <w:rPr>
                <w:sz w:val="18"/>
                <w:szCs w:val="18"/>
              </w:rPr>
              <w:t>Revela con objetividad y transparencia los riesgos de la responsabilidad solidaria.</w:t>
            </w:r>
          </w:p>
        </w:tc>
        <w:tc>
          <w:tcPr>
            <w:tcW w:w="1854" w:type="dxa"/>
            <w:shd w:val="clear" w:color="auto" w:fill="D9E2F3"/>
            <w:vAlign w:val="center"/>
          </w:tcPr>
          <w:p w14:paraId="560361E7" w14:textId="77777777" w:rsidR="00990B14" w:rsidRDefault="00000000">
            <w:pPr>
              <w:spacing w:before="20" w:after="20"/>
              <w:jc w:val="both"/>
            </w:pPr>
            <w:r>
              <w:rPr>
                <w:sz w:val="18"/>
                <w:szCs w:val="18"/>
              </w:rPr>
              <w:t>Justifica con ética profesional la información que revela a los acreedores.</w:t>
            </w:r>
          </w:p>
        </w:tc>
      </w:tr>
      <w:tr w:rsidR="00990B14" w14:paraId="7CF7C00E" w14:textId="77777777">
        <w:trPr>
          <w:cantSplit/>
          <w:jc w:val="center"/>
        </w:trPr>
        <w:tc>
          <w:tcPr>
            <w:tcW w:w="1772" w:type="dxa"/>
            <w:vMerge/>
            <w:shd w:val="clear" w:color="auto" w:fill="4472C4"/>
            <w:vAlign w:val="center"/>
          </w:tcPr>
          <w:p w14:paraId="71051DBA" w14:textId="77777777" w:rsidR="00990B14" w:rsidRDefault="00990B14">
            <w:pPr>
              <w:spacing w:before="20" w:after="20"/>
            </w:pPr>
          </w:p>
        </w:tc>
        <w:tc>
          <w:tcPr>
            <w:tcW w:w="5779" w:type="dxa"/>
            <w:gridSpan w:val="3"/>
            <w:shd w:val="clear" w:color="auto" w:fill="D9E2F3"/>
            <w:vAlign w:val="center"/>
          </w:tcPr>
          <w:p w14:paraId="6C525F54" w14:textId="77777777" w:rsidR="00990B14" w:rsidRDefault="00000000">
            <w:pPr>
              <w:keepNext/>
              <w:spacing w:before="20" w:after="20"/>
              <w:jc w:val="both"/>
            </w:pPr>
            <w:r>
              <w:rPr>
                <w:b/>
                <w:bCs/>
                <w:i/>
                <w:iCs/>
                <w:sz w:val="18"/>
                <w:szCs w:val="18"/>
              </w:rPr>
              <w:t xml:space="preserve">Producto 13: </w:t>
            </w:r>
            <w:r>
              <w:rPr>
                <w:sz w:val="18"/>
                <w:szCs w:val="18"/>
              </w:rPr>
              <w:t>Registro de emisión, suscripción y pago de acciones</w:t>
            </w:r>
          </w:p>
        </w:tc>
        <w:tc>
          <w:tcPr>
            <w:tcW w:w="1854" w:type="dxa"/>
            <w:shd w:val="clear" w:color="auto" w:fill="D9E2F3"/>
            <w:vAlign w:val="center"/>
          </w:tcPr>
          <w:p w14:paraId="2F2015F9" w14:textId="77777777" w:rsidR="00990B14" w:rsidRDefault="00000000">
            <w:pPr>
              <w:spacing w:before="20" w:after="20"/>
              <w:jc w:val="center"/>
            </w:pPr>
            <w:r>
              <w:rPr>
                <w:b/>
                <w:bCs/>
                <w:sz w:val="18"/>
                <w:szCs w:val="18"/>
              </w:rPr>
              <w:t>5%</w:t>
            </w:r>
          </w:p>
        </w:tc>
      </w:tr>
      <w:tr w:rsidR="00990B14" w14:paraId="2213DF48" w14:textId="77777777">
        <w:trPr>
          <w:cantSplit/>
          <w:jc w:val="center"/>
        </w:trPr>
        <w:tc>
          <w:tcPr>
            <w:tcW w:w="1772" w:type="dxa"/>
            <w:vMerge/>
            <w:shd w:val="clear" w:color="auto" w:fill="4472C4"/>
            <w:vAlign w:val="center"/>
          </w:tcPr>
          <w:p w14:paraId="478FC7AE" w14:textId="77777777" w:rsidR="00990B14" w:rsidRDefault="00990B14">
            <w:pPr>
              <w:spacing w:before="20" w:after="20"/>
            </w:pPr>
          </w:p>
        </w:tc>
        <w:tc>
          <w:tcPr>
            <w:tcW w:w="1854" w:type="dxa"/>
            <w:shd w:val="clear" w:color="auto" w:fill="4472C4"/>
            <w:vAlign w:val="center"/>
          </w:tcPr>
          <w:p w14:paraId="71EC3BF2"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0EC495AC"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26AEAA8C" w14:textId="77777777" w:rsidR="00990B14" w:rsidRDefault="00000000">
            <w:pPr>
              <w:keepNext/>
              <w:spacing w:before="20" w:after="20"/>
              <w:jc w:val="center"/>
            </w:pPr>
            <w:r>
              <w:rPr>
                <w:b/>
                <w:bCs/>
                <w:i/>
                <w:iCs/>
                <w:color w:val="FFFFFF"/>
                <w:sz w:val="18"/>
                <w:szCs w:val="18"/>
              </w:rPr>
              <w:t>Suficiente (51–80)</w:t>
            </w:r>
          </w:p>
        </w:tc>
        <w:tc>
          <w:tcPr>
            <w:tcW w:w="1854" w:type="dxa"/>
            <w:shd w:val="clear" w:color="auto" w:fill="4472C4"/>
            <w:vAlign w:val="center"/>
          </w:tcPr>
          <w:p w14:paraId="15D18624" w14:textId="77777777" w:rsidR="00990B14" w:rsidRDefault="00000000">
            <w:pPr>
              <w:keepNext/>
              <w:spacing w:before="20" w:after="20"/>
              <w:jc w:val="center"/>
            </w:pPr>
            <w:r>
              <w:rPr>
                <w:b/>
                <w:bCs/>
                <w:i/>
                <w:iCs/>
                <w:color w:val="FFFFFF"/>
                <w:sz w:val="18"/>
                <w:szCs w:val="18"/>
              </w:rPr>
              <w:t>Destacado (81–100)</w:t>
            </w:r>
          </w:p>
        </w:tc>
      </w:tr>
      <w:tr w:rsidR="00990B14" w14:paraId="0CE6E64B" w14:textId="77777777">
        <w:trPr>
          <w:cantSplit/>
          <w:jc w:val="center"/>
        </w:trPr>
        <w:tc>
          <w:tcPr>
            <w:tcW w:w="1772" w:type="dxa"/>
            <w:vMerge/>
            <w:shd w:val="clear" w:color="auto" w:fill="4472C4"/>
            <w:vAlign w:val="center"/>
          </w:tcPr>
          <w:p w14:paraId="6F699C94" w14:textId="77777777" w:rsidR="00990B14" w:rsidRDefault="00990B14">
            <w:pPr>
              <w:spacing w:before="20" w:after="20"/>
            </w:pPr>
          </w:p>
        </w:tc>
        <w:tc>
          <w:tcPr>
            <w:tcW w:w="1854" w:type="dxa"/>
            <w:shd w:val="clear" w:color="auto" w:fill="D9E2F3"/>
            <w:vAlign w:val="center"/>
          </w:tcPr>
          <w:p w14:paraId="41A8C849" w14:textId="77777777" w:rsidR="00990B14" w:rsidRDefault="00000000">
            <w:pPr>
              <w:spacing w:before="20" w:after="20"/>
              <w:jc w:val="both"/>
            </w:pPr>
            <w:r>
              <w:rPr>
                <w:sz w:val="18"/>
                <w:szCs w:val="18"/>
              </w:rPr>
              <w:t>Formas de contabilización</w:t>
            </w:r>
          </w:p>
        </w:tc>
        <w:tc>
          <w:tcPr>
            <w:tcW w:w="1910" w:type="dxa"/>
            <w:shd w:val="clear" w:color="auto" w:fill="D9E2F3"/>
            <w:vAlign w:val="center"/>
          </w:tcPr>
          <w:p w14:paraId="03186F5E" w14:textId="77777777" w:rsidR="00990B14" w:rsidRDefault="00000000">
            <w:pPr>
              <w:spacing w:before="20" w:after="20"/>
              <w:jc w:val="both"/>
            </w:pPr>
            <w:r>
              <w:rPr>
                <w:sz w:val="18"/>
                <w:szCs w:val="18"/>
              </w:rPr>
              <w:t>Mezcla las formas de contabilización.</w:t>
            </w:r>
          </w:p>
        </w:tc>
        <w:tc>
          <w:tcPr>
            <w:tcW w:w="2015" w:type="dxa"/>
            <w:shd w:val="clear" w:color="auto" w:fill="D9E2F3"/>
            <w:vAlign w:val="center"/>
          </w:tcPr>
          <w:p w14:paraId="5B750A44" w14:textId="77777777" w:rsidR="00990B14" w:rsidRDefault="00000000">
            <w:pPr>
              <w:spacing w:before="20" w:after="20"/>
              <w:jc w:val="both"/>
            </w:pPr>
            <w:r>
              <w:rPr>
                <w:sz w:val="18"/>
                <w:szCs w:val="18"/>
              </w:rPr>
              <w:t>Aplica la forma clásica, la segunda y la directa.</w:t>
            </w:r>
          </w:p>
        </w:tc>
        <w:tc>
          <w:tcPr>
            <w:tcW w:w="1854" w:type="dxa"/>
            <w:shd w:val="clear" w:color="auto" w:fill="D9E2F3"/>
            <w:vAlign w:val="center"/>
          </w:tcPr>
          <w:p w14:paraId="3417B77C" w14:textId="77777777" w:rsidR="00990B14" w:rsidRDefault="00000000">
            <w:pPr>
              <w:spacing w:before="20" w:after="20"/>
              <w:jc w:val="both"/>
            </w:pPr>
            <w:r>
              <w:rPr>
                <w:sz w:val="18"/>
                <w:szCs w:val="18"/>
              </w:rPr>
              <w:t>Compara la información que da cada forma.</w:t>
            </w:r>
          </w:p>
        </w:tc>
      </w:tr>
      <w:tr w:rsidR="00990B14" w14:paraId="5F7347FF" w14:textId="77777777">
        <w:trPr>
          <w:cantSplit/>
          <w:jc w:val="center"/>
        </w:trPr>
        <w:tc>
          <w:tcPr>
            <w:tcW w:w="1772" w:type="dxa"/>
            <w:vMerge/>
            <w:shd w:val="clear" w:color="auto" w:fill="4472C4"/>
            <w:vAlign w:val="center"/>
          </w:tcPr>
          <w:p w14:paraId="111D8159" w14:textId="77777777" w:rsidR="00990B14" w:rsidRDefault="00990B14">
            <w:pPr>
              <w:spacing w:before="20" w:after="20"/>
            </w:pPr>
          </w:p>
        </w:tc>
        <w:tc>
          <w:tcPr>
            <w:tcW w:w="1854" w:type="dxa"/>
            <w:shd w:val="clear" w:color="auto" w:fill="D9E2F3"/>
            <w:vAlign w:val="center"/>
          </w:tcPr>
          <w:p w14:paraId="33F7EC5B" w14:textId="77777777" w:rsidR="00990B14" w:rsidRDefault="00000000">
            <w:pPr>
              <w:spacing w:before="20" w:after="20"/>
              <w:jc w:val="both"/>
            </w:pPr>
            <w:r>
              <w:rPr>
                <w:sz w:val="18"/>
                <w:szCs w:val="18"/>
              </w:rPr>
              <w:t>Primas y descuentos</w:t>
            </w:r>
          </w:p>
        </w:tc>
        <w:tc>
          <w:tcPr>
            <w:tcW w:w="1910" w:type="dxa"/>
            <w:shd w:val="clear" w:color="auto" w:fill="D9E2F3"/>
            <w:vAlign w:val="center"/>
          </w:tcPr>
          <w:p w14:paraId="49331B4D" w14:textId="77777777" w:rsidR="00990B14" w:rsidRDefault="00000000">
            <w:pPr>
              <w:spacing w:before="20" w:after="20"/>
              <w:jc w:val="both"/>
            </w:pPr>
            <w:r>
              <w:rPr>
                <w:sz w:val="18"/>
                <w:szCs w:val="18"/>
              </w:rPr>
              <w:t>Omite la prima o el descuento.</w:t>
            </w:r>
          </w:p>
        </w:tc>
        <w:tc>
          <w:tcPr>
            <w:tcW w:w="2015" w:type="dxa"/>
            <w:shd w:val="clear" w:color="auto" w:fill="D9E2F3"/>
            <w:vAlign w:val="center"/>
          </w:tcPr>
          <w:p w14:paraId="48AB344F" w14:textId="77777777" w:rsidR="00990B14" w:rsidRDefault="00000000">
            <w:pPr>
              <w:spacing w:before="20" w:after="20"/>
              <w:jc w:val="both"/>
            </w:pPr>
            <w:r>
              <w:rPr>
                <w:sz w:val="18"/>
                <w:szCs w:val="18"/>
              </w:rPr>
              <w:t>Registra la emisión sobre y bajo el valor nominal.</w:t>
            </w:r>
          </w:p>
        </w:tc>
        <w:tc>
          <w:tcPr>
            <w:tcW w:w="1854" w:type="dxa"/>
            <w:shd w:val="clear" w:color="auto" w:fill="D9E2F3"/>
            <w:vAlign w:val="center"/>
          </w:tcPr>
          <w:p w14:paraId="6B02A4A5" w14:textId="77777777" w:rsidR="00990B14" w:rsidRDefault="00000000">
            <w:pPr>
              <w:spacing w:before="20" w:after="20"/>
              <w:jc w:val="both"/>
            </w:pPr>
            <w:r>
              <w:rPr>
                <w:sz w:val="18"/>
                <w:szCs w:val="18"/>
              </w:rPr>
              <w:t>Explica el destino de la prima de emisión.</w:t>
            </w:r>
          </w:p>
        </w:tc>
      </w:tr>
      <w:tr w:rsidR="00990B14" w14:paraId="1E8D701A" w14:textId="77777777">
        <w:trPr>
          <w:cantSplit/>
          <w:jc w:val="center"/>
        </w:trPr>
        <w:tc>
          <w:tcPr>
            <w:tcW w:w="1772" w:type="dxa"/>
            <w:vMerge/>
            <w:shd w:val="clear" w:color="auto" w:fill="4472C4"/>
            <w:vAlign w:val="center"/>
          </w:tcPr>
          <w:p w14:paraId="649DFDCA" w14:textId="77777777" w:rsidR="00990B14" w:rsidRDefault="00990B14">
            <w:pPr>
              <w:spacing w:before="20" w:after="20"/>
            </w:pPr>
          </w:p>
        </w:tc>
        <w:tc>
          <w:tcPr>
            <w:tcW w:w="1854" w:type="dxa"/>
            <w:shd w:val="clear" w:color="auto" w:fill="D9E2F3"/>
            <w:vAlign w:val="center"/>
          </w:tcPr>
          <w:p w14:paraId="1C1E2DC3" w14:textId="77777777" w:rsidR="00990B14" w:rsidRDefault="00000000">
            <w:pPr>
              <w:spacing w:before="20" w:after="20"/>
              <w:jc w:val="both"/>
            </w:pPr>
            <w:r>
              <w:rPr>
                <w:sz w:val="18"/>
                <w:szCs w:val="18"/>
              </w:rPr>
              <w:t>Clasificación de acciones</w:t>
            </w:r>
          </w:p>
        </w:tc>
        <w:tc>
          <w:tcPr>
            <w:tcW w:w="1910" w:type="dxa"/>
            <w:shd w:val="clear" w:color="auto" w:fill="D9E2F3"/>
            <w:vAlign w:val="center"/>
          </w:tcPr>
          <w:p w14:paraId="4CCE6396" w14:textId="77777777" w:rsidR="00990B14" w:rsidRDefault="00000000">
            <w:pPr>
              <w:spacing w:before="20" w:after="20"/>
              <w:jc w:val="both"/>
            </w:pPr>
            <w:r>
              <w:rPr>
                <w:sz w:val="18"/>
                <w:szCs w:val="18"/>
              </w:rPr>
              <w:t>Clasifica todas las acciones como patrimonio.</w:t>
            </w:r>
          </w:p>
        </w:tc>
        <w:tc>
          <w:tcPr>
            <w:tcW w:w="2015" w:type="dxa"/>
            <w:shd w:val="clear" w:color="auto" w:fill="D9E2F3"/>
            <w:vAlign w:val="center"/>
          </w:tcPr>
          <w:p w14:paraId="24CF51DA" w14:textId="77777777" w:rsidR="00990B14" w:rsidRDefault="00000000">
            <w:pPr>
              <w:spacing w:before="20" w:after="20"/>
              <w:jc w:val="both"/>
            </w:pPr>
            <w:r>
              <w:rPr>
                <w:sz w:val="18"/>
                <w:szCs w:val="18"/>
              </w:rPr>
              <w:t>Clasifica las acciones preferentes redimibles como pasivo.</w:t>
            </w:r>
          </w:p>
        </w:tc>
        <w:tc>
          <w:tcPr>
            <w:tcW w:w="1854" w:type="dxa"/>
            <w:shd w:val="clear" w:color="auto" w:fill="D9E2F3"/>
            <w:vAlign w:val="center"/>
          </w:tcPr>
          <w:p w14:paraId="4083E24D" w14:textId="77777777" w:rsidR="00990B14" w:rsidRDefault="00000000">
            <w:pPr>
              <w:spacing w:before="20" w:after="20"/>
              <w:jc w:val="both"/>
            </w:pPr>
            <w:r>
              <w:rPr>
                <w:sz w:val="18"/>
                <w:szCs w:val="18"/>
              </w:rPr>
              <w:t>Justifica la clasificación con la NIC 32.</w:t>
            </w:r>
          </w:p>
        </w:tc>
      </w:tr>
      <w:tr w:rsidR="00990B14" w14:paraId="647CC0FB" w14:textId="77777777">
        <w:trPr>
          <w:cantSplit/>
          <w:jc w:val="center"/>
        </w:trPr>
        <w:tc>
          <w:tcPr>
            <w:tcW w:w="1772" w:type="dxa"/>
            <w:vMerge/>
            <w:shd w:val="clear" w:color="auto" w:fill="4472C4"/>
            <w:vAlign w:val="center"/>
          </w:tcPr>
          <w:p w14:paraId="33125DE7" w14:textId="77777777" w:rsidR="00990B14" w:rsidRDefault="00990B14">
            <w:pPr>
              <w:spacing w:before="20" w:after="20"/>
            </w:pPr>
          </w:p>
        </w:tc>
        <w:tc>
          <w:tcPr>
            <w:tcW w:w="5779" w:type="dxa"/>
            <w:gridSpan w:val="3"/>
            <w:shd w:val="clear" w:color="auto" w:fill="D9E2F3"/>
            <w:vAlign w:val="center"/>
          </w:tcPr>
          <w:p w14:paraId="62A93331" w14:textId="77777777" w:rsidR="00990B14" w:rsidRDefault="00000000">
            <w:pPr>
              <w:keepNext/>
              <w:spacing w:before="20" w:after="20"/>
              <w:jc w:val="both"/>
            </w:pPr>
            <w:r>
              <w:rPr>
                <w:b/>
                <w:bCs/>
                <w:i/>
                <w:iCs/>
                <w:sz w:val="18"/>
                <w:szCs w:val="18"/>
              </w:rPr>
              <w:t xml:space="preserve">Producto 14: </w:t>
            </w:r>
            <w:r>
              <w:rPr>
                <w:sz w:val="18"/>
                <w:szCs w:val="18"/>
              </w:rPr>
              <w:t>Cuadro de incumplimiento en el pago de acciones y de acciones propias</w:t>
            </w:r>
          </w:p>
        </w:tc>
        <w:tc>
          <w:tcPr>
            <w:tcW w:w="1854" w:type="dxa"/>
            <w:shd w:val="clear" w:color="auto" w:fill="D9E2F3"/>
            <w:vAlign w:val="center"/>
          </w:tcPr>
          <w:p w14:paraId="101DDB8F" w14:textId="77777777" w:rsidR="00990B14" w:rsidRDefault="00000000">
            <w:pPr>
              <w:spacing w:before="20" w:after="20"/>
              <w:jc w:val="center"/>
            </w:pPr>
            <w:r>
              <w:rPr>
                <w:b/>
                <w:bCs/>
                <w:sz w:val="18"/>
                <w:szCs w:val="18"/>
              </w:rPr>
              <w:t>5%</w:t>
            </w:r>
          </w:p>
        </w:tc>
      </w:tr>
      <w:tr w:rsidR="00990B14" w14:paraId="10E3B507" w14:textId="77777777">
        <w:trPr>
          <w:cantSplit/>
          <w:jc w:val="center"/>
        </w:trPr>
        <w:tc>
          <w:tcPr>
            <w:tcW w:w="1772" w:type="dxa"/>
            <w:vMerge/>
            <w:shd w:val="clear" w:color="auto" w:fill="4472C4"/>
            <w:vAlign w:val="center"/>
          </w:tcPr>
          <w:p w14:paraId="21045AB1" w14:textId="77777777" w:rsidR="00990B14" w:rsidRDefault="00990B14">
            <w:pPr>
              <w:spacing w:before="20" w:after="20"/>
            </w:pPr>
          </w:p>
        </w:tc>
        <w:tc>
          <w:tcPr>
            <w:tcW w:w="1854" w:type="dxa"/>
            <w:shd w:val="clear" w:color="auto" w:fill="4472C4"/>
            <w:vAlign w:val="center"/>
          </w:tcPr>
          <w:p w14:paraId="3F17F54B"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152A128B"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0A161F3D" w14:textId="77777777" w:rsidR="00990B14" w:rsidRDefault="00000000">
            <w:pPr>
              <w:keepNext/>
              <w:spacing w:before="20" w:after="20"/>
              <w:jc w:val="center"/>
            </w:pPr>
            <w:r>
              <w:rPr>
                <w:b/>
                <w:bCs/>
                <w:i/>
                <w:iCs/>
                <w:color w:val="FFFFFF"/>
                <w:sz w:val="18"/>
                <w:szCs w:val="18"/>
              </w:rPr>
              <w:t>Suficiente (51–80)</w:t>
            </w:r>
          </w:p>
        </w:tc>
        <w:tc>
          <w:tcPr>
            <w:tcW w:w="1854" w:type="dxa"/>
            <w:shd w:val="clear" w:color="auto" w:fill="4472C4"/>
            <w:vAlign w:val="center"/>
          </w:tcPr>
          <w:p w14:paraId="0DB9183E" w14:textId="77777777" w:rsidR="00990B14" w:rsidRDefault="00000000">
            <w:pPr>
              <w:keepNext/>
              <w:spacing w:before="20" w:after="20"/>
              <w:jc w:val="center"/>
            </w:pPr>
            <w:r>
              <w:rPr>
                <w:b/>
                <w:bCs/>
                <w:i/>
                <w:iCs/>
                <w:color w:val="FFFFFF"/>
                <w:sz w:val="18"/>
                <w:szCs w:val="18"/>
              </w:rPr>
              <w:t>Destacado (81–100)</w:t>
            </w:r>
          </w:p>
        </w:tc>
      </w:tr>
      <w:tr w:rsidR="00990B14" w14:paraId="23E20C51" w14:textId="77777777">
        <w:trPr>
          <w:cantSplit/>
          <w:jc w:val="center"/>
        </w:trPr>
        <w:tc>
          <w:tcPr>
            <w:tcW w:w="1772" w:type="dxa"/>
            <w:vMerge/>
            <w:shd w:val="clear" w:color="auto" w:fill="4472C4"/>
            <w:vAlign w:val="center"/>
          </w:tcPr>
          <w:p w14:paraId="0AA4915B" w14:textId="77777777" w:rsidR="00990B14" w:rsidRDefault="00990B14">
            <w:pPr>
              <w:spacing w:before="20" w:after="20"/>
            </w:pPr>
          </w:p>
        </w:tc>
        <w:tc>
          <w:tcPr>
            <w:tcW w:w="1854" w:type="dxa"/>
            <w:shd w:val="clear" w:color="auto" w:fill="D9E2F3"/>
            <w:vAlign w:val="center"/>
          </w:tcPr>
          <w:p w14:paraId="6669124B" w14:textId="77777777" w:rsidR="00990B14" w:rsidRDefault="00000000">
            <w:pPr>
              <w:spacing w:before="20" w:after="20"/>
              <w:jc w:val="both"/>
            </w:pPr>
            <w:r>
              <w:rPr>
                <w:sz w:val="18"/>
                <w:szCs w:val="18"/>
              </w:rPr>
              <w:t>Incumplimiento de pago</w:t>
            </w:r>
          </w:p>
        </w:tc>
        <w:tc>
          <w:tcPr>
            <w:tcW w:w="1910" w:type="dxa"/>
            <w:shd w:val="clear" w:color="auto" w:fill="D9E2F3"/>
            <w:vAlign w:val="center"/>
          </w:tcPr>
          <w:p w14:paraId="67EFB6F6" w14:textId="77777777" w:rsidR="00990B14" w:rsidRDefault="00000000">
            <w:pPr>
              <w:spacing w:before="20" w:after="20"/>
              <w:jc w:val="both"/>
            </w:pPr>
            <w:r>
              <w:rPr>
                <w:sz w:val="18"/>
                <w:szCs w:val="18"/>
              </w:rPr>
              <w:t>No registra el recargo de intereses.</w:t>
            </w:r>
          </w:p>
        </w:tc>
        <w:tc>
          <w:tcPr>
            <w:tcW w:w="2015" w:type="dxa"/>
            <w:shd w:val="clear" w:color="auto" w:fill="D9E2F3"/>
            <w:vAlign w:val="center"/>
          </w:tcPr>
          <w:p w14:paraId="724AF4E6" w14:textId="77777777" w:rsidR="00990B14" w:rsidRDefault="00000000">
            <w:pPr>
              <w:spacing w:before="20" w:after="20"/>
              <w:jc w:val="both"/>
            </w:pPr>
            <w:r>
              <w:rPr>
                <w:sz w:val="18"/>
                <w:szCs w:val="18"/>
              </w:rPr>
              <w:t>Registra el recargo, la liberación y la venta de acciones.</w:t>
            </w:r>
          </w:p>
        </w:tc>
        <w:tc>
          <w:tcPr>
            <w:tcW w:w="1854" w:type="dxa"/>
            <w:shd w:val="clear" w:color="auto" w:fill="D9E2F3"/>
            <w:vAlign w:val="center"/>
          </w:tcPr>
          <w:p w14:paraId="40A20D39" w14:textId="77777777" w:rsidR="00990B14" w:rsidRDefault="00000000">
            <w:pPr>
              <w:spacing w:before="20" w:after="20"/>
              <w:jc w:val="both"/>
            </w:pPr>
            <w:r>
              <w:rPr>
                <w:sz w:val="18"/>
                <w:szCs w:val="18"/>
              </w:rPr>
              <w:t>Explica la alternativa más favorable para la sociedad.</w:t>
            </w:r>
          </w:p>
        </w:tc>
      </w:tr>
      <w:tr w:rsidR="00990B14" w14:paraId="3A010765" w14:textId="77777777">
        <w:trPr>
          <w:cantSplit/>
          <w:jc w:val="center"/>
        </w:trPr>
        <w:tc>
          <w:tcPr>
            <w:tcW w:w="1772" w:type="dxa"/>
            <w:vMerge/>
            <w:shd w:val="clear" w:color="auto" w:fill="4472C4"/>
            <w:vAlign w:val="center"/>
          </w:tcPr>
          <w:p w14:paraId="31FF3347" w14:textId="77777777" w:rsidR="00990B14" w:rsidRDefault="00990B14">
            <w:pPr>
              <w:spacing w:before="20" w:after="20"/>
            </w:pPr>
          </w:p>
        </w:tc>
        <w:tc>
          <w:tcPr>
            <w:tcW w:w="1854" w:type="dxa"/>
            <w:shd w:val="clear" w:color="auto" w:fill="D9E2F3"/>
            <w:vAlign w:val="center"/>
          </w:tcPr>
          <w:p w14:paraId="265EF8F2" w14:textId="77777777" w:rsidR="00990B14" w:rsidRDefault="00000000">
            <w:pPr>
              <w:spacing w:before="20" w:after="20"/>
              <w:jc w:val="both"/>
            </w:pPr>
            <w:r>
              <w:rPr>
                <w:sz w:val="18"/>
                <w:szCs w:val="18"/>
              </w:rPr>
              <w:t>Acciones propias</w:t>
            </w:r>
          </w:p>
        </w:tc>
        <w:tc>
          <w:tcPr>
            <w:tcW w:w="1910" w:type="dxa"/>
            <w:shd w:val="clear" w:color="auto" w:fill="D9E2F3"/>
            <w:vAlign w:val="center"/>
          </w:tcPr>
          <w:p w14:paraId="248120B3" w14:textId="77777777" w:rsidR="00990B14" w:rsidRDefault="00000000">
            <w:pPr>
              <w:spacing w:before="20" w:after="20"/>
              <w:jc w:val="both"/>
            </w:pPr>
            <w:r>
              <w:rPr>
                <w:sz w:val="18"/>
                <w:szCs w:val="18"/>
              </w:rPr>
              <w:t>Registra las acciones propias como activo.</w:t>
            </w:r>
          </w:p>
        </w:tc>
        <w:tc>
          <w:tcPr>
            <w:tcW w:w="2015" w:type="dxa"/>
            <w:shd w:val="clear" w:color="auto" w:fill="D9E2F3"/>
            <w:vAlign w:val="center"/>
          </w:tcPr>
          <w:p w14:paraId="08D04321" w14:textId="77777777" w:rsidR="00990B14" w:rsidRDefault="00000000">
            <w:pPr>
              <w:spacing w:before="20" w:after="20"/>
              <w:jc w:val="both"/>
            </w:pPr>
            <w:r>
              <w:rPr>
                <w:sz w:val="18"/>
                <w:szCs w:val="18"/>
              </w:rPr>
              <w:t>Deduce las acciones propias del patrimonio.</w:t>
            </w:r>
          </w:p>
        </w:tc>
        <w:tc>
          <w:tcPr>
            <w:tcW w:w="1854" w:type="dxa"/>
            <w:shd w:val="clear" w:color="auto" w:fill="D9E2F3"/>
            <w:vAlign w:val="center"/>
          </w:tcPr>
          <w:p w14:paraId="38AC0322" w14:textId="77777777" w:rsidR="00990B14" w:rsidRDefault="00000000">
            <w:pPr>
              <w:spacing w:before="20" w:after="20"/>
              <w:jc w:val="both"/>
            </w:pPr>
            <w:r>
              <w:rPr>
                <w:sz w:val="18"/>
                <w:szCs w:val="18"/>
              </w:rPr>
              <w:t>Explica su efecto en el valor por acción.</w:t>
            </w:r>
          </w:p>
        </w:tc>
      </w:tr>
      <w:tr w:rsidR="00990B14" w14:paraId="75E7BA52" w14:textId="77777777">
        <w:trPr>
          <w:cantSplit/>
          <w:jc w:val="center"/>
        </w:trPr>
        <w:tc>
          <w:tcPr>
            <w:tcW w:w="1772" w:type="dxa"/>
            <w:vMerge/>
            <w:shd w:val="clear" w:color="auto" w:fill="4472C4"/>
            <w:vAlign w:val="center"/>
          </w:tcPr>
          <w:p w14:paraId="54857193" w14:textId="77777777" w:rsidR="00990B14" w:rsidRDefault="00990B14">
            <w:pPr>
              <w:spacing w:before="20" w:after="20"/>
            </w:pPr>
          </w:p>
        </w:tc>
        <w:tc>
          <w:tcPr>
            <w:tcW w:w="1854" w:type="dxa"/>
            <w:shd w:val="clear" w:color="auto" w:fill="D9E2F3"/>
            <w:vAlign w:val="center"/>
          </w:tcPr>
          <w:p w14:paraId="1E6303F9" w14:textId="77777777" w:rsidR="00990B14" w:rsidRDefault="00000000">
            <w:pPr>
              <w:spacing w:before="20" w:after="20"/>
              <w:jc w:val="both"/>
            </w:pPr>
            <w:r>
              <w:rPr>
                <w:sz w:val="18"/>
                <w:szCs w:val="18"/>
              </w:rPr>
              <w:t>Trabajo en equipo</w:t>
            </w:r>
          </w:p>
        </w:tc>
        <w:tc>
          <w:tcPr>
            <w:tcW w:w="1910" w:type="dxa"/>
            <w:shd w:val="clear" w:color="auto" w:fill="D9E2F3"/>
            <w:vAlign w:val="center"/>
          </w:tcPr>
          <w:p w14:paraId="579C2CB1" w14:textId="77777777" w:rsidR="00990B14" w:rsidRDefault="00000000">
            <w:pPr>
              <w:spacing w:before="20" w:after="20"/>
              <w:jc w:val="both"/>
            </w:pPr>
            <w:r>
              <w:rPr>
                <w:sz w:val="18"/>
                <w:szCs w:val="18"/>
              </w:rPr>
              <w:t>La participación es desigual.</w:t>
            </w:r>
          </w:p>
        </w:tc>
        <w:tc>
          <w:tcPr>
            <w:tcW w:w="2015" w:type="dxa"/>
            <w:shd w:val="clear" w:color="auto" w:fill="D9E2F3"/>
            <w:vAlign w:val="center"/>
          </w:tcPr>
          <w:p w14:paraId="1D6B55D9" w14:textId="77777777" w:rsidR="00990B14" w:rsidRDefault="00000000">
            <w:pPr>
              <w:spacing w:before="20" w:after="20"/>
              <w:jc w:val="both"/>
            </w:pPr>
            <w:r>
              <w:rPr>
                <w:sz w:val="18"/>
                <w:szCs w:val="18"/>
              </w:rPr>
              <w:t>Todos los integrantes participan.</w:t>
            </w:r>
          </w:p>
        </w:tc>
        <w:tc>
          <w:tcPr>
            <w:tcW w:w="1854" w:type="dxa"/>
            <w:shd w:val="clear" w:color="auto" w:fill="D9E2F3"/>
            <w:vAlign w:val="center"/>
          </w:tcPr>
          <w:p w14:paraId="39C92D9D" w14:textId="77777777" w:rsidR="00990B14" w:rsidRDefault="00000000">
            <w:pPr>
              <w:spacing w:before="20" w:after="20"/>
              <w:jc w:val="both"/>
            </w:pPr>
            <w:r>
              <w:rPr>
                <w:sz w:val="18"/>
                <w:szCs w:val="18"/>
              </w:rPr>
              <w:t>El equipo sustenta su trabajo ante el curso.</w:t>
            </w:r>
          </w:p>
        </w:tc>
      </w:tr>
      <w:tr w:rsidR="00990B14" w14:paraId="72113AC9" w14:textId="77777777">
        <w:trPr>
          <w:cantSplit/>
          <w:jc w:val="center"/>
        </w:trPr>
        <w:tc>
          <w:tcPr>
            <w:tcW w:w="1772" w:type="dxa"/>
            <w:vMerge/>
            <w:shd w:val="clear" w:color="auto" w:fill="4472C4"/>
            <w:vAlign w:val="center"/>
          </w:tcPr>
          <w:p w14:paraId="55E3D745" w14:textId="77777777" w:rsidR="00990B14" w:rsidRDefault="00990B14">
            <w:pPr>
              <w:spacing w:before="20" w:after="20"/>
            </w:pPr>
          </w:p>
        </w:tc>
        <w:tc>
          <w:tcPr>
            <w:tcW w:w="5779" w:type="dxa"/>
            <w:gridSpan w:val="3"/>
            <w:shd w:val="clear" w:color="auto" w:fill="D9E2F3"/>
            <w:vAlign w:val="center"/>
          </w:tcPr>
          <w:p w14:paraId="20C65918" w14:textId="77777777" w:rsidR="00990B14" w:rsidRDefault="00000000">
            <w:pPr>
              <w:keepNext/>
              <w:spacing w:before="20" w:after="20"/>
              <w:jc w:val="both"/>
            </w:pPr>
            <w:r>
              <w:rPr>
                <w:b/>
                <w:bCs/>
                <w:i/>
                <w:iCs/>
                <w:sz w:val="18"/>
                <w:szCs w:val="18"/>
              </w:rPr>
              <w:t xml:space="preserve">Producto 15: </w:t>
            </w:r>
            <w:r>
              <w:rPr>
                <w:sz w:val="18"/>
                <w:szCs w:val="18"/>
              </w:rPr>
              <w:t>Cuadro de distribución de dividendos y valor patrimonial por acción</w:t>
            </w:r>
          </w:p>
        </w:tc>
        <w:tc>
          <w:tcPr>
            <w:tcW w:w="1854" w:type="dxa"/>
            <w:shd w:val="clear" w:color="auto" w:fill="D9E2F3"/>
            <w:vAlign w:val="center"/>
          </w:tcPr>
          <w:p w14:paraId="7454BE30" w14:textId="77777777" w:rsidR="00990B14" w:rsidRDefault="00000000">
            <w:pPr>
              <w:spacing w:before="20" w:after="20"/>
              <w:jc w:val="center"/>
            </w:pPr>
            <w:r>
              <w:rPr>
                <w:b/>
                <w:bCs/>
                <w:sz w:val="18"/>
                <w:szCs w:val="18"/>
              </w:rPr>
              <w:t>5%</w:t>
            </w:r>
          </w:p>
        </w:tc>
      </w:tr>
      <w:tr w:rsidR="00990B14" w14:paraId="65595806" w14:textId="77777777">
        <w:trPr>
          <w:cantSplit/>
          <w:jc w:val="center"/>
        </w:trPr>
        <w:tc>
          <w:tcPr>
            <w:tcW w:w="1772" w:type="dxa"/>
            <w:vMerge/>
            <w:shd w:val="clear" w:color="auto" w:fill="4472C4"/>
            <w:vAlign w:val="center"/>
          </w:tcPr>
          <w:p w14:paraId="1A091AE5" w14:textId="77777777" w:rsidR="00990B14" w:rsidRDefault="00990B14">
            <w:pPr>
              <w:spacing w:before="20" w:after="20"/>
            </w:pPr>
          </w:p>
        </w:tc>
        <w:tc>
          <w:tcPr>
            <w:tcW w:w="1854" w:type="dxa"/>
            <w:shd w:val="clear" w:color="auto" w:fill="4472C4"/>
            <w:vAlign w:val="center"/>
          </w:tcPr>
          <w:p w14:paraId="6A598FFE"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08F5E416"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5C3BC72E" w14:textId="77777777" w:rsidR="00990B14" w:rsidRDefault="00000000">
            <w:pPr>
              <w:keepNext/>
              <w:spacing w:before="20" w:after="20"/>
              <w:jc w:val="center"/>
            </w:pPr>
            <w:r>
              <w:rPr>
                <w:b/>
                <w:bCs/>
                <w:i/>
                <w:iCs/>
                <w:color w:val="FFFFFF"/>
                <w:sz w:val="18"/>
                <w:szCs w:val="18"/>
              </w:rPr>
              <w:t>Suficiente (51–80)</w:t>
            </w:r>
          </w:p>
        </w:tc>
        <w:tc>
          <w:tcPr>
            <w:tcW w:w="1854" w:type="dxa"/>
            <w:shd w:val="clear" w:color="auto" w:fill="4472C4"/>
            <w:vAlign w:val="center"/>
          </w:tcPr>
          <w:p w14:paraId="7C550979" w14:textId="77777777" w:rsidR="00990B14" w:rsidRDefault="00000000">
            <w:pPr>
              <w:keepNext/>
              <w:spacing w:before="20" w:after="20"/>
              <w:jc w:val="center"/>
            </w:pPr>
            <w:r>
              <w:rPr>
                <w:b/>
                <w:bCs/>
                <w:i/>
                <w:iCs/>
                <w:color w:val="FFFFFF"/>
                <w:sz w:val="18"/>
                <w:szCs w:val="18"/>
              </w:rPr>
              <w:t>Destacado (81–100)</w:t>
            </w:r>
          </w:p>
        </w:tc>
      </w:tr>
      <w:tr w:rsidR="00990B14" w14:paraId="23B8CEC6" w14:textId="77777777">
        <w:trPr>
          <w:cantSplit/>
          <w:jc w:val="center"/>
        </w:trPr>
        <w:tc>
          <w:tcPr>
            <w:tcW w:w="1772" w:type="dxa"/>
            <w:vMerge/>
            <w:shd w:val="clear" w:color="auto" w:fill="4472C4"/>
            <w:vAlign w:val="center"/>
          </w:tcPr>
          <w:p w14:paraId="2F92BBC4" w14:textId="77777777" w:rsidR="00990B14" w:rsidRDefault="00990B14">
            <w:pPr>
              <w:spacing w:before="20" w:after="20"/>
            </w:pPr>
          </w:p>
        </w:tc>
        <w:tc>
          <w:tcPr>
            <w:tcW w:w="1854" w:type="dxa"/>
            <w:shd w:val="clear" w:color="auto" w:fill="D9E2F3"/>
            <w:vAlign w:val="center"/>
          </w:tcPr>
          <w:p w14:paraId="2B3A2306" w14:textId="77777777" w:rsidR="00990B14" w:rsidRDefault="00000000">
            <w:pPr>
              <w:spacing w:before="20" w:after="20"/>
              <w:jc w:val="both"/>
            </w:pPr>
            <w:r>
              <w:rPr>
                <w:sz w:val="18"/>
                <w:szCs w:val="18"/>
              </w:rPr>
              <w:t>Clases de dividendos</w:t>
            </w:r>
          </w:p>
        </w:tc>
        <w:tc>
          <w:tcPr>
            <w:tcW w:w="1910" w:type="dxa"/>
            <w:shd w:val="clear" w:color="auto" w:fill="D9E2F3"/>
            <w:vAlign w:val="center"/>
          </w:tcPr>
          <w:p w14:paraId="705E6855" w14:textId="77777777" w:rsidR="00990B14" w:rsidRDefault="00000000">
            <w:pPr>
              <w:spacing w:before="20" w:after="20"/>
              <w:jc w:val="both"/>
            </w:pPr>
            <w:r>
              <w:rPr>
                <w:sz w:val="18"/>
                <w:szCs w:val="18"/>
              </w:rPr>
              <w:t>Confunde las clases de dividendos.</w:t>
            </w:r>
          </w:p>
        </w:tc>
        <w:tc>
          <w:tcPr>
            <w:tcW w:w="2015" w:type="dxa"/>
            <w:shd w:val="clear" w:color="auto" w:fill="D9E2F3"/>
            <w:vAlign w:val="center"/>
          </w:tcPr>
          <w:p w14:paraId="70D565D5" w14:textId="77777777" w:rsidR="00990B14" w:rsidRDefault="00000000">
            <w:pPr>
              <w:spacing w:before="20" w:after="20"/>
              <w:jc w:val="both"/>
            </w:pPr>
            <w:r>
              <w:rPr>
                <w:sz w:val="18"/>
                <w:szCs w:val="18"/>
              </w:rPr>
              <w:t>Registra dividendos en efectivo, en especie y en acciones.</w:t>
            </w:r>
          </w:p>
        </w:tc>
        <w:tc>
          <w:tcPr>
            <w:tcW w:w="1854" w:type="dxa"/>
            <w:shd w:val="clear" w:color="auto" w:fill="D9E2F3"/>
            <w:vAlign w:val="center"/>
          </w:tcPr>
          <w:p w14:paraId="45B09E61" w14:textId="77777777" w:rsidR="00990B14" w:rsidRDefault="00000000">
            <w:pPr>
              <w:spacing w:before="20" w:after="20"/>
              <w:jc w:val="both"/>
            </w:pPr>
            <w:r>
              <w:rPr>
                <w:sz w:val="18"/>
                <w:szCs w:val="18"/>
              </w:rPr>
              <w:t>Justifica el tratamiento de las acciones fraccionarias.</w:t>
            </w:r>
          </w:p>
        </w:tc>
      </w:tr>
      <w:tr w:rsidR="00990B14" w14:paraId="3DCBF6F0" w14:textId="77777777">
        <w:trPr>
          <w:cantSplit/>
          <w:jc w:val="center"/>
        </w:trPr>
        <w:tc>
          <w:tcPr>
            <w:tcW w:w="1772" w:type="dxa"/>
            <w:vMerge/>
            <w:shd w:val="clear" w:color="auto" w:fill="4472C4"/>
            <w:vAlign w:val="center"/>
          </w:tcPr>
          <w:p w14:paraId="03E14C1D" w14:textId="77777777" w:rsidR="00990B14" w:rsidRDefault="00990B14">
            <w:pPr>
              <w:spacing w:before="20" w:after="20"/>
            </w:pPr>
          </w:p>
        </w:tc>
        <w:tc>
          <w:tcPr>
            <w:tcW w:w="1854" w:type="dxa"/>
            <w:shd w:val="clear" w:color="auto" w:fill="D9E2F3"/>
            <w:vAlign w:val="center"/>
          </w:tcPr>
          <w:p w14:paraId="7531A144" w14:textId="77777777" w:rsidR="00990B14" w:rsidRDefault="00000000">
            <w:pPr>
              <w:spacing w:before="20" w:after="20"/>
              <w:jc w:val="both"/>
            </w:pPr>
            <w:r>
              <w:rPr>
                <w:sz w:val="18"/>
                <w:szCs w:val="18"/>
              </w:rPr>
              <w:t>Derechos preferentes</w:t>
            </w:r>
          </w:p>
        </w:tc>
        <w:tc>
          <w:tcPr>
            <w:tcW w:w="1910" w:type="dxa"/>
            <w:shd w:val="clear" w:color="auto" w:fill="D9E2F3"/>
            <w:vAlign w:val="center"/>
          </w:tcPr>
          <w:p w14:paraId="0C049868" w14:textId="77777777" w:rsidR="00990B14" w:rsidRDefault="00000000">
            <w:pPr>
              <w:spacing w:before="20" w:after="20"/>
              <w:jc w:val="both"/>
            </w:pPr>
            <w:r>
              <w:rPr>
                <w:sz w:val="18"/>
                <w:szCs w:val="18"/>
              </w:rPr>
              <w:t>Ignora los derechos preferentes.</w:t>
            </w:r>
          </w:p>
        </w:tc>
        <w:tc>
          <w:tcPr>
            <w:tcW w:w="2015" w:type="dxa"/>
            <w:shd w:val="clear" w:color="auto" w:fill="D9E2F3"/>
            <w:vAlign w:val="center"/>
          </w:tcPr>
          <w:p w14:paraId="27577412" w14:textId="77777777" w:rsidR="00990B14" w:rsidRDefault="00000000">
            <w:pPr>
              <w:spacing w:before="20" w:after="20"/>
              <w:jc w:val="both"/>
            </w:pPr>
            <w:r>
              <w:rPr>
                <w:sz w:val="18"/>
                <w:szCs w:val="18"/>
              </w:rPr>
              <w:t>Distribuye según los derechos de cada clase.</w:t>
            </w:r>
          </w:p>
        </w:tc>
        <w:tc>
          <w:tcPr>
            <w:tcW w:w="1854" w:type="dxa"/>
            <w:shd w:val="clear" w:color="auto" w:fill="D9E2F3"/>
            <w:vAlign w:val="center"/>
          </w:tcPr>
          <w:p w14:paraId="610CA968" w14:textId="77777777" w:rsidR="00990B14" w:rsidRDefault="00000000">
            <w:pPr>
              <w:spacing w:before="20" w:after="20"/>
              <w:jc w:val="both"/>
            </w:pPr>
            <w:r>
              <w:rPr>
                <w:sz w:val="18"/>
                <w:szCs w:val="18"/>
              </w:rPr>
              <w:t>Verifica la legalidad de la distribución y la protección de los accionistas minoritarios.</w:t>
            </w:r>
          </w:p>
        </w:tc>
      </w:tr>
      <w:tr w:rsidR="00990B14" w14:paraId="2F36C284" w14:textId="77777777">
        <w:trPr>
          <w:cantSplit/>
          <w:jc w:val="center"/>
        </w:trPr>
        <w:tc>
          <w:tcPr>
            <w:tcW w:w="1772" w:type="dxa"/>
            <w:vMerge/>
            <w:shd w:val="clear" w:color="auto" w:fill="4472C4"/>
            <w:vAlign w:val="center"/>
          </w:tcPr>
          <w:p w14:paraId="54CD2E34" w14:textId="77777777" w:rsidR="00990B14" w:rsidRDefault="00990B14">
            <w:pPr>
              <w:spacing w:before="20" w:after="20"/>
            </w:pPr>
          </w:p>
        </w:tc>
        <w:tc>
          <w:tcPr>
            <w:tcW w:w="1854" w:type="dxa"/>
            <w:shd w:val="clear" w:color="auto" w:fill="D9E2F3"/>
            <w:vAlign w:val="center"/>
          </w:tcPr>
          <w:p w14:paraId="5E7252A3" w14:textId="77777777" w:rsidR="00990B14" w:rsidRDefault="00000000">
            <w:pPr>
              <w:spacing w:before="20" w:after="20"/>
              <w:jc w:val="both"/>
            </w:pPr>
            <w:r>
              <w:rPr>
                <w:sz w:val="18"/>
                <w:szCs w:val="18"/>
              </w:rPr>
              <w:t>Valor patrimonial</w:t>
            </w:r>
          </w:p>
        </w:tc>
        <w:tc>
          <w:tcPr>
            <w:tcW w:w="1910" w:type="dxa"/>
            <w:shd w:val="clear" w:color="auto" w:fill="D9E2F3"/>
            <w:vAlign w:val="center"/>
          </w:tcPr>
          <w:p w14:paraId="62D91792" w14:textId="77777777" w:rsidR="00990B14" w:rsidRDefault="00000000">
            <w:pPr>
              <w:spacing w:before="20" w:after="20"/>
              <w:jc w:val="both"/>
            </w:pPr>
            <w:r>
              <w:rPr>
                <w:sz w:val="18"/>
                <w:szCs w:val="18"/>
              </w:rPr>
              <w:t>Calcula mal el valor por acción.</w:t>
            </w:r>
          </w:p>
        </w:tc>
        <w:tc>
          <w:tcPr>
            <w:tcW w:w="2015" w:type="dxa"/>
            <w:shd w:val="clear" w:color="auto" w:fill="D9E2F3"/>
            <w:vAlign w:val="center"/>
          </w:tcPr>
          <w:p w14:paraId="3D6A2C82" w14:textId="77777777" w:rsidR="00990B14" w:rsidRDefault="00000000">
            <w:pPr>
              <w:spacing w:before="20" w:after="20"/>
              <w:jc w:val="both"/>
            </w:pPr>
            <w:r>
              <w:rPr>
                <w:sz w:val="18"/>
                <w:szCs w:val="18"/>
              </w:rPr>
              <w:t>Calcula en hoja de cálculo el valor patrimonial por acción.</w:t>
            </w:r>
          </w:p>
        </w:tc>
        <w:tc>
          <w:tcPr>
            <w:tcW w:w="1854" w:type="dxa"/>
            <w:shd w:val="clear" w:color="auto" w:fill="D9E2F3"/>
            <w:vAlign w:val="center"/>
          </w:tcPr>
          <w:p w14:paraId="2D3A435B" w14:textId="77777777" w:rsidR="00990B14" w:rsidRDefault="00000000">
            <w:pPr>
              <w:spacing w:before="20" w:after="20"/>
              <w:jc w:val="both"/>
            </w:pPr>
            <w:r>
              <w:rPr>
                <w:sz w:val="18"/>
                <w:szCs w:val="18"/>
              </w:rPr>
              <w:t>Analiza la participación de cada accionista.</w:t>
            </w:r>
          </w:p>
        </w:tc>
      </w:tr>
      <w:tr w:rsidR="00990B14" w14:paraId="3955A9DD" w14:textId="77777777">
        <w:trPr>
          <w:cantSplit/>
          <w:jc w:val="center"/>
        </w:trPr>
        <w:tc>
          <w:tcPr>
            <w:tcW w:w="1772" w:type="dxa"/>
            <w:vMerge/>
            <w:shd w:val="clear" w:color="auto" w:fill="4472C4"/>
            <w:vAlign w:val="center"/>
          </w:tcPr>
          <w:p w14:paraId="62D10E3A" w14:textId="77777777" w:rsidR="00990B14" w:rsidRDefault="00990B14">
            <w:pPr>
              <w:spacing w:before="20" w:after="20"/>
            </w:pPr>
          </w:p>
        </w:tc>
        <w:tc>
          <w:tcPr>
            <w:tcW w:w="5779" w:type="dxa"/>
            <w:gridSpan w:val="3"/>
            <w:shd w:val="clear" w:color="auto" w:fill="D9E2F3"/>
            <w:vAlign w:val="center"/>
          </w:tcPr>
          <w:p w14:paraId="091BC3D4" w14:textId="77777777" w:rsidR="00990B14" w:rsidRDefault="00000000">
            <w:pPr>
              <w:keepNext/>
              <w:spacing w:before="20" w:after="20"/>
              <w:jc w:val="both"/>
            </w:pPr>
            <w:r>
              <w:rPr>
                <w:b/>
                <w:bCs/>
                <w:i/>
                <w:iCs/>
                <w:sz w:val="18"/>
                <w:szCs w:val="18"/>
              </w:rPr>
              <w:t xml:space="preserve">Producto 16: </w:t>
            </w:r>
            <w:r>
              <w:rPr>
                <w:sz w:val="18"/>
                <w:szCs w:val="18"/>
              </w:rPr>
              <w:t>Informe del superávit y de las modificaciones de capital de una sociedad anónima</w:t>
            </w:r>
          </w:p>
        </w:tc>
        <w:tc>
          <w:tcPr>
            <w:tcW w:w="1854" w:type="dxa"/>
            <w:shd w:val="clear" w:color="auto" w:fill="D9E2F3"/>
            <w:vAlign w:val="center"/>
          </w:tcPr>
          <w:p w14:paraId="0934600E" w14:textId="77777777" w:rsidR="00990B14" w:rsidRDefault="00000000">
            <w:pPr>
              <w:spacing w:before="20" w:after="20"/>
              <w:jc w:val="center"/>
            </w:pPr>
            <w:r>
              <w:rPr>
                <w:b/>
                <w:bCs/>
                <w:sz w:val="18"/>
                <w:szCs w:val="18"/>
              </w:rPr>
              <w:t>5%</w:t>
            </w:r>
          </w:p>
        </w:tc>
      </w:tr>
      <w:tr w:rsidR="00990B14" w14:paraId="794ADCBF" w14:textId="77777777">
        <w:trPr>
          <w:cantSplit/>
          <w:jc w:val="center"/>
        </w:trPr>
        <w:tc>
          <w:tcPr>
            <w:tcW w:w="1772" w:type="dxa"/>
            <w:vMerge/>
            <w:shd w:val="clear" w:color="auto" w:fill="4472C4"/>
            <w:vAlign w:val="center"/>
          </w:tcPr>
          <w:p w14:paraId="266266A4" w14:textId="77777777" w:rsidR="00990B14" w:rsidRDefault="00990B14">
            <w:pPr>
              <w:spacing w:before="20" w:after="20"/>
            </w:pPr>
          </w:p>
        </w:tc>
        <w:tc>
          <w:tcPr>
            <w:tcW w:w="1854" w:type="dxa"/>
            <w:shd w:val="clear" w:color="auto" w:fill="4472C4"/>
            <w:vAlign w:val="center"/>
          </w:tcPr>
          <w:p w14:paraId="280875E0"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679ED31C"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5315D6FA" w14:textId="77777777" w:rsidR="00990B14" w:rsidRDefault="00000000">
            <w:pPr>
              <w:keepNext/>
              <w:spacing w:before="20" w:after="20"/>
              <w:jc w:val="center"/>
            </w:pPr>
            <w:r>
              <w:rPr>
                <w:b/>
                <w:bCs/>
                <w:i/>
                <w:iCs/>
                <w:color w:val="FFFFFF"/>
                <w:sz w:val="18"/>
                <w:szCs w:val="18"/>
              </w:rPr>
              <w:t>Suficiente (51–80)</w:t>
            </w:r>
          </w:p>
        </w:tc>
        <w:tc>
          <w:tcPr>
            <w:tcW w:w="1854" w:type="dxa"/>
            <w:shd w:val="clear" w:color="auto" w:fill="4472C4"/>
            <w:vAlign w:val="center"/>
          </w:tcPr>
          <w:p w14:paraId="07E50DB0" w14:textId="77777777" w:rsidR="00990B14" w:rsidRDefault="00000000">
            <w:pPr>
              <w:keepNext/>
              <w:spacing w:before="20" w:after="20"/>
              <w:jc w:val="center"/>
            </w:pPr>
            <w:r>
              <w:rPr>
                <w:b/>
                <w:bCs/>
                <w:i/>
                <w:iCs/>
                <w:color w:val="FFFFFF"/>
                <w:sz w:val="18"/>
                <w:szCs w:val="18"/>
              </w:rPr>
              <w:t>Destacado (81–100)</w:t>
            </w:r>
          </w:p>
        </w:tc>
      </w:tr>
      <w:tr w:rsidR="00990B14" w14:paraId="44F4C045" w14:textId="77777777">
        <w:trPr>
          <w:cantSplit/>
          <w:jc w:val="center"/>
        </w:trPr>
        <w:tc>
          <w:tcPr>
            <w:tcW w:w="1772" w:type="dxa"/>
            <w:vMerge/>
            <w:shd w:val="clear" w:color="auto" w:fill="4472C4"/>
            <w:vAlign w:val="center"/>
          </w:tcPr>
          <w:p w14:paraId="480373FD" w14:textId="77777777" w:rsidR="00990B14" w:rsidRDefault="00990B14">
            <w:pPr>
              <w:spacing w:before="20" w:after="20"/>
            </w:pPr>
          </w:p>
        </w:tc>
        <w:tc>
          <w:tcPr>
            <w:tcW w:w="1854" w:type="dxa"/>
            <w:shd w:val="clear" w:color="auto" w:fill="D9E2F3"/>
            <w:vAlign w:val="center"/>
          </w:tcPr>
          <w:p w14:paraId="47857A44" w14:textId="77777777" w:rsidR="00990B14" w:rsidRDefault="00000000">
            <w:pPr>
              <w:spacing w:before="20" w:after="20"/>
              <w:jc w:val="both"/>
            </w:pPr>
            <w:r>
              <w:rPr>
                <w:sz w:val="18"/>
                <w:szCs w:val="18"/>
              </w:rPr>
              <w:t>Clases de superávit</w:t>
            </w:r>
          </w:p>
        </w:tc>
        <w:tc>
          <w:tcPr>
            <w:tcW w:w="1910" w:type="dxa"/>
            <w:shd w:val="clear" w:color="auto" w:fill="D9E2F3"/>
            <w:vAlign w:val="center"/>
          </w:tcPr>
          <w:p w14:paraId="66B055DF" w14:textId="77777777" w:rsidR="00990B14" w:rsidRDefault="00000000">
            <w:pPr>
              <w:spacing w:before="20" w:after="20"/>
              <w:jc w:val="both"/>
            </w:pPr>
            <w:r>
              <w:rPr>
                <w:sz w:val="18"/>
                <w:szCs w:val="18"/>
              </w:rPr>
              <w:t>Confunde el superávit de explotación y de capital.</w:t>
            </w:r>
          </w:p>
        </w:tc>
        <w:tc>
          <w:tcPr>
            <w:tcW w:w="2015" w:type="dxa"/>
            <w:shd w:val="clear" w:color="auto" w:fill="D9E2F3"/>
            <w:vAlign w:val="center"/>
          </w:tcPr>
          <w:p w14:paraId="15DB3DAE" w14:textId="77777777" w:rsidR="00990B14" w:rsidRDefault="00000000">
            <w:pPr>
              <w:spacing w:before="20" w:after="20"/>
              <w:jc w:val="both"/>
            </w:pPr>
            <w:r>
              <w:rPr>
                <w:sz w:val="18"/>
                <w:szCs w:val="18"/>
              </w:rPr>
              <w:t>Clasifica y registra cada clase de superávit.</w:t>
            </w:r>
          </w:p>
        </w:tc>
        <w:tc>
          <w:tcPr>
            <w:tcW w:w="1854" w:type="dxa"/>
            <w:shd w:val="clear" w:color="auto" w:fill="D9E2F3"/>
            <w:vAlign w:val="center"/>
          </w:tcPr>
          <w:p w14:paraId="16DA04BF" w14:textId="77777777" w:rsidR="00990B14" w:rsidRDefault="00000000">
            <w:pPr>
              <w:spacing w:before="20" w:after="20"/>
              <w:jc w:val="both"/>
            </w:pPr>
            <w:r>
              <w:rPr>
                <w:sz w:val="18"/>
                <w:szCs w:val="18"/>
              </w:rPr>
              <w:t>Relaciona el superávit por revaluación con la NIC 16.</w:t>
            </w:r>
          </w:p>
        </w:tc>
      </w:tr>
      <w:tr w:rsidR="00990B14" w14:paraId="588FB054" w14:textId="77777777">
        <w:trPr>
          <w:cantSplit/>
          <w:jc w:val="center"/>
        </w:trPr>
        <w:tc>
          <w:tcPr>
            <w:tcW w:w="1772" w:type="dxa"/>
            <w:vMerge/>
            <w:shd w:val="clear" w:color="auto" w:fill="4472C4"/>
            <w:vAlign w:val="center"/>
          </w:tcPr>
          <w:p w14:paraId="7C80E956" w14:textId="77777777" w:rsidR="00990B14" w:rsidRDefault="00990B14">
            <w:pPr>
              <w:spacing w:before="20" w:after="20"/>
            </w:pPr>
          </w:p>
        </w:tc>
        <w:tc>
          <w:tcPr>
            <w:tcW w:w="1854" w:type="dxa"/>
            <w:shd w:val="clear" w:color="auto" w:fill="D9E2F3"/>
            <w:vAlign w:val="center"/>
          </w:tcPr>
          <w:p w14:paraId="78847303" w14:textId="77777777" w:rsidR="00990B14" w:rsidRDefault="00000000">
            <w:pPr>
              <w:spacing w:before="20" w:after="20"/>
              <w:jc w:val="both"/>
            </w:pPr>
            <w:r>
              <w:rPr>
                <w:sz w:val="18"/>
                <w:szCs w:val="18"/>
              </w:rPr>
              <w:t>Modificaciones de capital</w:t>
            </w:r>
          </w:p>
        </w:tc>
        <w:tc>
          <w:tcPr>
            <w:tcW w:w="1910" w:type="dxa"/>
            <w:shd w:val="clear" w:color="auto" w:fill="D9E2F3"/>
            <w:vAlign w:val="center"/>
          </w:tcPr>
          <w:p w14:paraId="0C3D3427" w14:textId="77777777" w:rsidR="00990B14" w:rsidRDefault="00000000">
            <w:pPr>
              <w:spacing w:before="20" w:after="20"/>
              <w:jc w:val="both"/>
            </w:pPr>
            <w:r>
              <w:rPr>
                <w:sz w:val="18"/>
                <w:szCs w:val="18"/>
              </w:rPr>
              <w:t>Registra mal los aumentos o las disminuciones.</w:t>
            </w:r>
          </w:p>
        </w:tc>
        <w:tc>
          <w:tcPr>
            <w:tcW w:w="2015" w:type="dxa"/>
            <w:shd w:val="clear" w:color="auto" w:fill="D9E2F3"/>
            <w:vAlign w:val="center"/>
          </w:tcPr>
          <w:p w14:paraId="23066B9A" w14:textId="77777777" w:rsidR="00990B14" w:rsidRDefault="00000000">
            <w:pPr>
              <w:spacing w:before="20" w:after="20"/>
              <w:jc w:val="both"/>
            </w:pPr>
            <w:r>
              <w:rPr>
                <w:sz w:val="18"/>
                <w:szCs w:val="18"/>
              </w:rPr>
              <w:t>Registra aumentos y disminuciones de capital.</w:t>
            </w:r>
          </w:p>
        </w:tc>
        <w:tc>
          <w:tcPr>
            <w:tcW w:w="1854" w:type="dxa"/>
            <w:shd w:val="clear" w:color="auto" w:fill="D9E2F3"/>
            <w:vAlign w:val="center"/>
          </w:tcPr>
          <w:p w14:paraId="485AA599" w14:textId="77777777" w:rsidR="00990B14" w:rsidRDefault="00000000">
            <w:pPr>
              <w:spacing w:before="20" w:after="20"/>
              <w:jc w:val="both"/>
            </w:pPr>
            <w:r>
              <w:rPr>
                <w:sz w:val="18"/>
                <w:szCs w:val="18"/>
              </w:rPr>
              <w:t>Explica la protección de los accionistas minoritarios.</w:t>
            </w:r>
          </w:p>
        </w:tc>
      </w:tr>
      <w:tr w:rsidR="00990B14" w14:paraId="0B0EBA1D" w14:textId="77777777">
        <w:trPr>
          <w:cantSplit/>
          <w:jc w:val="center"/>
        </w:trPr>
        <w:tc>
          <w:tcPr>
            <w:tcW w:w="1772" w:type="dxa"/>
            <w:vMerge/>
            <w:shd w:val="clear" w:color="auto" w:fill="4472C4"/>
            <w:vAlign w:val="center"/>
          </w:tcPr>
          <w:p w14:paraId="1B6C66E0" w14:textId="77777777" w:rsidR="00990B14" w:rsidRDefault="00990B14">
            <w:pPr>
              <w:spacing w:before="20" w:after="20"/>
            </w:pPr>
          </w:p>
        </w:tc>
        <w:tc>
          <w:tcPr>
            <w:tcW w:w="1854" w:type="dxa"/>
            <w:shd w:val="clear" w:color="auto" w:fill="D9E2F3"/>
            <w:vAlign w:val="center"/>
          </w:tcPr>
          <w:p w14:paraId="28B3697B" w14:textId="77777777" w:rsidR="00990B14" w:rsidRDefault="00000000">
            <w:pPr>
              <w:spacing w:before="20" w:after="20"/>
              <w:jc w:val="both"/>
            </w:pPr>
            <w:r>
              <w:rPr>
                <w:sz w:val="18"/>
                <w:szCs w:val="18"/>
              </w:rPr>
              <w:t>Claridad de la exposición</w:t>
            </w:r>
          </w:p>
        </w:tc>
        <w:tc>
          <w:tcPr>
            <w:tcW w:w="1910" w:type="dxa"/>
            <w:shd w:val="clear" w:color="auto" w:fill="D9E2F3"/>
            <w:vAlign w:val="center"/>
          </w:tcPr>
          <w:p w14:paraId="05E25FD1" w14:textId="77777777" w:rsidR="00990B14" w:rsidRDefault="00000000">
            <w:pPr>
              <w:spacing w:before="20" w:after="20"/>
              <w:jc w:val="both"/>
            </w:pPr>
            <w:r>
              <w:rPr>
                <w:sz w:val="18"/>
                <w:szCs w:val="18"/>
              </w:rPr>
              <w:t>La exposición es confusa.</w:t>
            </w:r>
          </w:p>
        </w:tc>
        <w:tc>
          <w:tcPr>
            <w:tcW w:w="2015" w:type="dxa"/>
            <w:shd w:val="clear" w:color="auto" w:fill="D9E2F3"/>
            <w:vAlign w:val="center"/>
          </w:tcPr>
          <w:p w14:paraId="58827704" w14:textId="77777777" w:rsidR="00990B14" w:rsidRDefault="00000000">
            <w:pPr>
              <w:spacing w:before="20" w:after="20"/>
              <w:jc w:val="both"/>
            </w:pPr>
            <w:r>
              <w:rPr>
                <w:sz w:val="18"/>
                <w:szCs w:val="18"/>
              </w:rPr>
              <w:t>Expone con orden y claridad.</w:t>
            </w:r>
          </w:p>
        </w:tc>
        <w:tc>
          <w:tcPr>
            <w:tcW w:w="1854" w:type="dxa"/>
            <w:shd w:val="clear" w:color="auto" w:fill="D9E2F3"/>
            <w:vAlign w:val="center"/>
          </w:tcPr>
          <w:p w14:paraId="201CC718" w14:textId="77777777" w:rsidR="00990B14" w:rsidRDefault="00000000">
            <w:pPr>
              <w:spacing w:before="20" w:after="20"/>
              <w:jc w:val="both"/>
            </w:pPr>
            <w:r>
              <w:rPr>
                <w:sz w:val="18"/>
                <w:szCs w:val="18"/>
              </w:rPr>
              <w:t>Responde con solvencia las preguntas del curso.</w:t>
            </w:r>
          </w:p>
        </w:tc>
      </w:tr>
      <w:tr w:rsidR="00990B14" w14:paraId="461AE678" w14:textId="77777777">
        <w:trPr>
          <w:cantSplit/>
          <w:jc w:val="center"/>
        </w:trPr>
        <w:tc>
          <w:tcPr>
            <w:tcW w:w="1772" w:type="dxa"/>
            <w:vMerge/>
            <w:shd w:val="clear" w:color="auto" w:fill="4472C4"/>
            <w:vAlign w:val="center"/>
          </w:tcPr>
          <w:p w14:paraId="4F06AE92" w14:textId="77777777" w:rsidR="00990B14" w:rsidRDefault="00990B14">
            <w:pPr>
              <w:spacing w:before="20" w:after="20"/>
            </w:pPr>
          </w:p>
        </w:tc>
        <w:tc>
          <w:tcPr>
            <w:tcW w:w="5779" w:type="dxa"/>
            <w:gridSpan w:val="3"/>
            <w:shd w:val="clear" w:color="auto" w:fill="D9E2F3"/>
            <w:vAlign w:val="center"/>
          </w:tcPr>
          <w:p w14:paraId="4E63EE2E" w14:textId="77777777" w:rsidR="00990B14" w:rsidRDefault="00000000">
            <w:pPr>
              <w:keepNext/>
              <w:spacing w:before="20" w:after="20"/>
              <w:jc w:val="both"/>
            </w:pPr>
            <w:r>
              <w:rPr>
                <w:b/>
                <w:bCs/>
                <w:i/>
                <w:iCs/>
                <w:sz w:val="18"/>
                <w:szCs w:val="18"/>
              </w:rPr>
              <w:t xml:space="preserve">Producto 17: </w:t>
            </w:r>
            <w:r>
              <w:rPr>
                <w:sz w:val="18"/>
                <w:szCs w:val="18"/>
              </w:rPr>
              <w:t>Registro de aportes de una sociedad en comandita simple</w:t>
            </w:r>
          </w:p>
        </w:tc>
        <w:tc>
          <w:tcPr>
            <w:tcW w:w="1854" w:type="dxa"/>
            <w:shd w:val="clear" w:color="auto" w:fill="D9E2F3"/>
            <w:vAlign w:val="center"/>
          </w:tcPr>
          <w:p w14:paraId="6AB53E10" w14:textId="77777777" w:rsidR="00990B14" w:rsidRDefault="00000000">
            <w:pPr>
              <w:spacing w:before="20" w:after="20"/>
              <w:jc w:val="center"/>
            </w:pPr>
            <w:r>
              <w:rPr>
                <w:b/>
                <w:bCs/>
                <w:sz w:val="18"/>
                <w:szCs w:val="18"/>
              </w:rPr>
              <w:t>3%</w:t>
            </w:r>
          </w:p>
        </w:tc>
      </w:tr>
      <w:tr w:rsidR="00990B14" w14:paraId="1E4BD798" w14:textId="77777777">
        <w:trPr>
          <w:cantSplit/>
          <w:jc w:val="center"/>
        </w:trPr>
        <w:tc>
          <w:tcPr>
            <w:tcW w:w="1772" w:type="dxa"/>
            <w:vMerge/>
            <w:shd w:val="clear" w:color="auto" w:fill="4472C4"/>
            <w:vAlign w:val="center"/>
          </w:tcPr>
          <w:p w14:paraId="110870B3" w14:textId="77777777" w:rsidR="00990B14" w:rsidRDefault="00990B14">
            <w:pPr>
              <w:spacing w:before="20" w:after="20"/>
            </w:pPr>
          </w:p>
        </w:tc>
        <w:tc>
          <w:tcPr>
            <w:tcW w:w="1854" w:type="dxa"/>
            <w:shd w:val="clear" w:color="auto" w:fill="4472C4"/>
            <w:vAlign w:val="center"/>
          </w:tcPr>
          <w:p w14:paraId="0BD8341C"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0053C8AE"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294658A9" w14:textId="77777777" w:rsidR="00990B14" w:rsidRDefault="00000000">
            <w:pPr>
              <w:keepNext/>
              <w:spacing w:before="20" w:after="20"/>
              <w:jc w:val="center"/>
            </w:pPr>
            <w:r>
              <w:rPr>
                <w:b/>
                <w:bCs/>
                <w:i/>
                <w:iCs/>
                <w:color w:val="FFFFFF"/>
                <w:sz w:val="18"/>
                <w:szCs w:val="18"/>
              </w:rPr>
              <w:t>Suficiente (51–80)</w:t>
            </w:r>
          </w:p>
        </w:tc>
        <w:tc>
          <w:tcPr>
            <w:tcW w:w="1854" w:type="dxa"/>
            <w:shd w:val="clear" w:color="auto" w:fill="4472C4"/>
            <w:vAlign w:val="center"/>
          </w:tcPr>
          <w:p w14:paraId="0AC40DA3" w14:textId="77777777" w:rsidR="00990B14" w:rsidRDefault="00000000">
            <w:pPr>
              <w:keepNext/>
              <w:spacing w:before="20" w:after="20"/>
              <w:jc w:val="center"/>
            </w:pPr>
            <w:r>
              <w:rPr>
                <w:b/>
                <w:bCs/>
                <w:i/>
                <w:iCs/>
                <w:color w:val="FFFFFF"/>
                <w:sz w:val="18"/>
                <w:szCs w:val="18"/>
              </w:rPr>
              <w:t>Destacado (81–100)</w:t>
            </w:r>
          </w:p>
        </w:tc>
      </w:tr>
      <w:tr w:rsidR="00990B14" w14:paraId="70CB1634" w14:textId="77777777">
        <w:trPr>
          <w:cantSplit/>
          <w:jc w:val="center"/>
        </w:trPr>
        <w:tc>
          <w:tcPr>
            <w:tcW w:w="1772" w:type="dxa"/>
            <w:vMerge/>
            <w:shd w:val="clear" w:color="auto" w:fill="4472C4"/>
            <w:vAlign w:val="center"/>
          </w:tcPr>
          <w:p w14:paraId="5E9AB098" w14:textId="77777777" w:rsidR="00990B14" w:rsidRDefault="00990B14">
            <w:pPr>
              <w:spacing w:before="20" w:after="20"/>
            </w:pPr>
          </w:p>
        </w:tc>
        <w:tc>
          <w:tcPr>
            <w:tcW w:w="1854" w:type="dxa"/>
            <w:shd w:val="clear" w:color="auto" w:fill="D9E2F3"/>
            <w:vAlign w:val="center"/>
          </w:tcPr>
          <w:p w14:paraId="6F7590E8" w14:textId="77777777" w:rsidR="00990B14" w:rsidRDefault="00000000">
            <w:pPr>
              <w:spacing w:before="20" w:after="20"/>
              <w:jc w:val="both"/>
            </w:pPr>
            <w:r>
              <w:rPr>
                <w:sz w:val="18"/>
                <w:szCs w:val="18"/>
              </w:rPr>
              <w:t>Aportes por socio</w:t>
            </w:r>
          </w:p>
        </w:tc>
        <w:tc>
          <w:tcPr>
            <w:tcW w:w="1910" w:type="dxa"/>
            <w:shd w:val="clear" w:color="auto" w:fill="D9E2F3"/>
            <w:vAlign w:val="center"/>
          </w:tcPr>
          <w:p w14:paraId="0C44FE62" w14:textId="77777777" w:rsidR="00990B14" w:rsidRDefault="00000000">
            <w:pPr>
              <w:spacing w:before="20" w:after="20"/>
              <w:jc w:val="both"/>
            </w:pPr>
            <w:r>
              <w:rPr>
                <w:sz w:val="18"/>
                <w:szCs w:val="18"/>
              </w:rPr>
              <w:t>Mezcla los aportes de ambas clases de socios.</w:t>
            </w:r>
          </w:p>
        </w:tc>
        <w:tc>
          <w:tcPr>
            <w:tcW w:w="2015" w:type="dxa"/>
            <w:shd w:val="clear" w:color="auto" w:fill="D9E2F3"/>
            <w:vAlign w:val="center"/>
          </w:tcPr>
          <w:p w14:paraId="4DDFB0DF" w14:textId="77777777" w:rsidR="00990B14" w:rsidRDefault="00000000">
            <w:pPr>
              <w:spacing w:before="20" w:after="20"/>
              <w:jc w:val="both"/>
            </w:pPr>
            <w:r>
              <w:rPr>
                <w:sz w:val="18"/>
                <w:szCs w:val="18"/>
              </w:rPr>
              <w:t>Registra los aportes de comanditados y comanditarios.</w:t>
            </w:r>
          </w:p>
        </w:tc>
        <w:tc>
          <w:tcPr>
            <w:tcW w:w="1854" w:type="dxa"/>
            <w:shd w:val="clear" w:color="auto" w:fill="D9E2F3"/>
            <w:vAlign w:val="center"/>
          </w:tcPr>
          <w:p w14:paraId="1991287E" w14:textId="77777777" w:rsidR="00990B14" w:rsidRDefault="00000000">
            <w:pPr>
              <w:spacing w:before="20" w:after="20"/>
              <w:jc w:val="both"/>
            </w:pPr>
            <w:r>
              <w:rPr>
                <w:sz w:val="18"/>
                <w:szCs w:val="18"/>
              </w:rPr>
              <w:t>Demuestra el capital por clase de socio.</w:t>
            </w:r>
          </w:p>
        </w:tc>
      </w:tr>
      <w:tr w:rsidR="00990B14" w14:paraId="149B28C3" w14:textId="77777777">
        <w:trPr>
          <w:cantSplit/>
          <w:jc w:val="center"/>
        </w:trPr>
        <w:tc>
          <w:tcPr>
            <w:tcW w:w="1772" w:type="dxa"/>
            <w:vMerge/>
            <w:shd w:val="clear" w:color="auto" w:fill="4472C4"/>
            <w:vAlign w:val="center"/>
          </w:tcPr>
          <w:p w14:paraId="3A1FBE14" w14:textId="77777777" w:rsidR="00990B14" w:rsidRDefault="00990B14">
            <w:pPr>
              <w:spacing w:before="20" w:after="20"/>
            </w:pPr>
          </w:p>
        </w:tc>
        <w:tc>
          <w:tcPr>
            <w:tcW w:w="1854" w:type="dxa"/>
            <w:shd w:val="clear" w:color="auto" w:fill="D9E2F3"/>
            <w:vAlign w:val="center"/>
          </w:tcPr>
          <w:p w14:paraId="6ECBE266" w14:textId="77777777" w:rsidR="00990B14" w:rsidRDefault="00000000">
            <w:pPr>
              <w:spacing w:before="20" w:after="20"/>
              <w:jc w:val="both"/>
            </w:pPr>
            <w:r>
              <w:rPr>
                <w:sz w:val="18"/>
                <w:szCs w:val="18"/>
              </w:rPr>
              <w:t>Clases de aportes</w:t>
            </w:r>
          </w:p>
        </w:tc>
        <w:tc>
          <w:tcPr>
            <w:tcW w:w="1910" w:type="dxa"/>
            <w:shd w:val="clear" w:color="auto" w:fill="D9E2F3"/>
            <w:vAlign w:val="center"/>
          </w:tcPr>
          <w:p w14:paraId="1EB95ACB" w14:textId="77777777" w:rsidR="00990B14" w:rsidRDefault="00000000">
            <w:pPr>
              <w:spacing w:before="20" w:after="20"/>
              <w:jc w:val="both"/>
            </w:pPr>
            <w:r>
              <w:rPr>
                <w:sz w:val="18"/>
                <w:szCs w:val="18"/>
              </w:rPr>
              <w:t>Confunde aportes inmediatos y mediatos.</w:t>
            </w:r>
          </w:p>
        </w:tc>
        <w:tc>
          <w:tcPr>
            <w:tcW w:w="2015" w:type="dxa"/>
            <w:shd w:val="clear" w:color="auto" w:fill="D9E2F3"/>
            <w:vAlign w:val="center"/>
          </w:tcPr>
          <w:p w14:paraId="47DCDB69" w14:textId="77777777" w:rsidR="00990B14" w:rsidRDefault="00000000">
            <w:pPr>
              <w:spacing w:before="20" w:after="20"/>
              <w:jc w:val="both"/>
            </w:pPr>
            <w:r>
              <w:rPr>
                <w:sz w:val="18"/>
                <w:szCs w:val="18"/>
              </w:rPr>
              <w:t>Registra los aportes inmediatos, mediatos y mixtos.</w:t>
            </w:r>
          </w:p>
        </w:tc>
        <w:tc>
          <w:tcPr>
            <w:tcW w:w="1854" w:type="dxa"/>
            <w:shd w:val="clear" w:color="auto" w:fill="D9E2F3"/>
            <w:vAlign w:val="center"/>
          </w:tcPr>
          <w:p w14:paraId="7EDA37C9" w14:textId="77777777" w:rsidR="00990B14" w:rsidRDefault="00000000">
            <w:pPr>
              <w:spacing w:before="20" w:after="20"/>
              <w:jc w:val="both"/>
            </w:pPr>
            <w:r>
              <w:rPr>
                <w:sz w:val="18"/>
                <w:szCs w:val="18"/>
              </w:rPr>
              <w:t>Verifica el capital pagado.</w:t>
            </w:r>
          </w:p>
        </w:tc>
      </w:tr>
      <w:tr w:rsidR="00990B14" w14:paraId="4E03C8AF" w14:textId="77777777">
        <w:trPr>
          <w:cantSplit/>
          <w:jc w:val="center"/>
        </w:trPr>
        <w:tc>
          <w:tcPr>
            <w:tcW w:w="1772" w:type="dxa"/>
            <w:vMerge/>
            <w:shd w:val="clear" w:color="auto" w:fill="4472C4"/>
            <w:vAlign w:val="center"/>
          </w:tcPr>
          <w:p w14:paraId="1F77755E" w14:textId="77777777" w:rsidR="00990B14" w:rsidRDefault="00990B14">
            <w:pPr>
              <w:spacing w:before="20" w:after="20"/>
            </w:pPr>
          </w:p>
        </w:tc>
        <w:tc>
          <w:tcPr>
            <w:tcW w:w="1854" w:type="dxa"/>
            <w:shd w:val="clear" w:color="auto" w:fill="D9E2F3"/>
            <w:vAlign w:val="center"/>
          </w:tcPr>
          <w:p w14:paraId="44DE5749" w14:textId="77777777" w:rsidR="00990B14" w:rsidRDefault="00000000">
            <w:pPr>
              <w:spacing w:before="20" w:after="20"/>
              <w:jc w:val="both"/>
            </w:pPr>
            <w:r>
              <w:rPr>
                <w:sz w:val="18"/>
                <w:szCs w:val="18"/>
              </w:rPr>
              <w:t>Cuentas personales</w:t>
            </w:r>
          </w:p>
        </w:tc>
        <w:tc>
          <w:tcPr>
            <w:tcW w:w="1910" w:type="dxa"/>
            <w:shd w:val="clear" w:color="auto" w:fill="D9E2F3"/>
            <w:vAlign w:val="center"/>
          </w:tcPr>
          <w:p w14:paraId="20C777F1" w14:textId="77777777" w:rsidR="00990B14" w:rsidRDefault="00000000">
            <w:pPr>
              <w:spacing w:before="20" w:after="20"/>
              <w:jc w:val="both"/>
            </w:pPr>
            <w:r>
              <w:rPr>
                <w:sz w:val="18"/>
                <w:szCs w:val="18"/>
              </w:rPr>
              <w:t>Omite las cuentas personales.</w:t>
            </w:r>
          </w:p>
        </w:tc>
        <w:tc>
          <w:tcPr>
            <w:tcW w:w="2015" w:type="dxa"/>
            <w:shd w:val="clear" w:color="auto" w:fill="D9E2F3"/>
            <w:vAlign w:val="center"/>
          </w:tcPr>
          <w:p w14:paraId="1F512C06" w14:textId="77777777" w:rsidR="00990B14" w:rsidRDefault="00000000">
            <w:pPr>
              <w:spacing w:before="20" w:after="20"/>
              <w:jc w:val="both"/>
            </w:pPr>
            <w:r>
              <w:rPr>
                <w:sz w:val="18"/>
                <w:szCs w:val="18"/>
              </w:rPr>
              <w:t>Registra las cuentas personales de cada socio.</w:t>
            </w:r>
          </w:p>
        </w:tc>
        <w:tc>
          <w:tcPr>
            <w:tcW w:w="1854" w:type="dxa"/>
            <w:shd w:val="clear" w:color="auto" w:fill="D9E2F3"/>
            <w:vAlign w:val="center"/>
          </w:tcPr>
          <w:p w14:paraId="0812A2FF" w14:textId="77777777" w:rsidR="00990B14" w:rsidRDefault="00000000">
            <w:pPr>
              <w:spacing w:before="20" w:after="20"/>
              <w:jc w:val="both"/>
            </w:pPr>
            <w:r>
              <w:rPr>
                <w:sz w:val="18"/>
                <w:szCs w:val="18"/>
              </w:rPr>
              <w:t>Explica su naturaleza.</w:t>
            </w:r>
          </w:p>
        </w:tc>
      </w:tr>
      <w:tr w:rsidR="00990B14" w14:paraId="33C27DE1" w14:textId="77777777">
        <w:trPr>
          <w:cantSplit/>
          <w:jc w:val="center"/>
        </w:trPr>
        <w:tc>
          <w:tcPr>
            <w:tcW w:w="1772" w:type="dxa"/>
            <w:vMerge/>
            <w:shd w:val="clear" w:color="auto" w:fill="4472C4"/>
            <w:vAlign w:val="center"/>
          </w:tcPr>
          <w:p w14:paraId="0236B652" w14:textId="77777777" w:rsidR="00990B14" w:rsidRDefault="00990B14">
            <w:pPr>
              <w:spacing w:before="20" w:after="20"/>
            </w:pPr>
          </w:p>
        </w:tc>
        <w:tc>
          <w:tcPr>
            <w:tcW w:w="5779" w:type="dxa"/>
            <w:gridSpan w:val="3"/>
            <w:shd w:val="clear" w:color="auto" w:fill="D9E2F3"/>
            <w:vAlign w:val="center"/>
          </w:tcPr>
          <w:p w14:paraId="07FD2BFA" w14:textId="77777777" w:rsidR="00990B14" w:rsidRDefault="00000000">
            <w:pPr>
              <w:keepNext/>
              <w:spacing w:before="20" w:after="20"/>
              <w:jc w:val="both"/>
            </w:pPr>
            <w:r>
              <w:rPr>
                <w:b/>
                <w:bCs/>
                <w:i/>
                <w:iCs/>
                <w:sz w:val="18"/>
                <w:szCs w:val="18"/>
              </w:rPr>
              <w:t xml:space="preserve">Producto 18: </w:t>
            </w:r>
            <w:r>
              <w:rPr>
                <w:sz w:val="18"/>
                <w:szCs w:val="18"/>
              </w:rPr>
              <w:t>Cuadro comparativo de socios comanditados y comanditarios</w:t>
            </w:r>
          </w:p>
        </w:tc>
        <w:tc>
          <w:tcPr>
            <w:tcW w:w="1854" w:type="dxa"/>
            <w:shd w:val="clear" w:color="auto" w:fill="D9E2F3"/>
            <w:vAlign w:val="center"/>
          </w:tcPr>
          <w:p w14:paraId="168CD48A" w14:textId="77777777" w:rsidR="00990B14" w:rsidRDefault="00000000">
            <w:pPr>
              <w:spacing w:before="20" w:after="20"/>
              <w:jc w:val="center"/>
            </w:pPr>
            <w:r>
              <w:rPr>
                <w:b/>
                <w:bCs/>
                <w:sz w:val="18"/>
                <w:szCs w:val="18"/>
              </w:rPr>
              <w:t>3%</w:t>
            </w:r>
          </w:p>
        </w:tc>
      </w:tr>
      <w:tr w:rsidR="00990B14" w14:paraId="24B0EEC5" w14:textId="77777777">
        <w:trPr>
          <w:cantSplit/>
          <w:jc w:val="center"/>
        </w:trPr>
        <w:tc>
          <w:tcPr>
            <w:tcW w:w="1772" w:type="dxa"/>
            <w:vMerge/>
            <w:shd w:val="clear" w:color="auto" w:fill="4472C4"/>
            <w:vAlign w:val="center"/>
          </w:tcPr>
          <w:p w14:paraId="4763DD78" w14:textId="77777777" w:rsidR="00990B14" w:rsidRDefault="00990B14">
            <w:pPr>
              <w:spacing w:before="20" w:after="20"/>
            </w:pPr>
          </w:p>
        </w:tc>
        <w:tc>
          <w:tcPr>
            <w:tcW w:w="1854" w:type="dxa"/>
            <w:shd w:val="clear" w:color="auto" w:fill="4472C4"/>
            <w:vAlign w:val="center"/>
          </w:tcPr>
          <w:p w14:paraId="5D3413AE"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31E3DC85"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0D8F99C9" w14:textId="77777777" w:rsidR="00990B14" w:rsidRDefault="00000000">
            <w:pPr>
              <w:keepNext/>
              <w:spacing w:before="20" w:after="20"/>
              <w:jc w:val="center"/>
            </w:pPr>
            <w:r>
              <w:rPr>
                <w:b/>
                <w:bCs/>
                <w:i/>
                <w:iCs/>
                <w:color w:val="FFFFFF"/>
                <w:sz w:val="18"/>
                <w:szCs w:val="18"/>
              </w:rPr>
              <w:t>Suficiente (51–80)</w:t>
            </w:r>
          </w:p>
        </w:tc>
        <w:tc>
          <w:tcPr>
            <w:tcW w:w="1854" w:type="dxa"/>
            <w:shd w:val="clear" w:color="auto" w:fill="4472C4"/>
            <w:vAlign w:val="center"/>
          </w:tcPr>
          <w:p w14:paraId="590B61B9" w14:textId="77777777" w:rsidR="00990B14" w:rsidRDefault="00000000">
            <w:pPr>
              <w:keepNext/>
              <w:spacing w:before="20" w:after="20"/>
              <w:jc w:val="center"/>
            </w:pPr>
            <w:r>
              <w:rPr>
                <w:b/>
                <w:bCs/>
                <w:i/>
                <w:iCs/>
                <w:color w:val="FFFFFF"/>
                <w:sz w:val="18"/>
                <w:szCs w:val="18"/>
              </w:rPr>
              <w:t>Destacado (81–100)</w:t>
            </w:r>
          </w:p>
        </w:tc>
      </w:tr>
      <w:tr w:rsidR="00990B14" w14:paraId="2F98EFD3" w14:textId="77777777">
        <w:trPr>
          <w:cantSplit/>
          <w:jc w:val="center"/>
        </w:trPr>
        <w:tc>
          <w:tcPr>
            <w:tcW w:w="1772" w:type="dxa"/>
            <w:vMerge/>
            <w:shd w:val="clear" w:color="auto" w:fill="4472C4"/>
            <w:vAlign w:val="center"/>
          </w:tcPr>
          <w:p w14:paraId="32C4B902" w14:textId="77777777" w:rsidR="00990B14" w:rsidRDefault="00990B14">
            <w:pPr>
              <w:spacing w:before="20" w:after="20"/>
            </w:pPr>
          </w:p>
        </w:tc>
        <w:tc>
          <w:tcPr>
            <w:tcW w:w="1854" w:type="dxa"/>
            <w:shd w:val="clear" w:color="auto" w:fill="D9E2F3"/>
            <w:vAlign w:val="center"/>
          </w:tcPr>
          <w:p w14:paraId="3FFA5978" w14:textId="77777777" w:rsidR="00990B14" w:rsidRDefault="00000000">
            <w:pPr>
              <w:spacing w:before="20" w:after="20"/>
              <w:jc w:val="both"/>
            </w:pPr>
            <w:r>
              <w:rPr>
                <w:sz w:val="18"/>
                <w:szCs w:val="18"/>
              </w:rPr>
              <w:t>Responsabilidad de socios</w:t>
            </w:r>
          </w:p>
        </w:tc>
        <w:tc>
          <w:tcPr>
            <w:tcW w:w="1910" w:type="dxa"/>
            <w:shd w:val="clear" w:color="auto" w:fill="D9E2F3"/>
            <w:vAlign w:val="center"/>
          </w:tcPr>
          <w:p w14:paraId="02471EF9" w14:textId="77777777" w:rsidR="00990B14" w:rsidRDefault="00000000">
            <w:pPr>
              <w:spacing w:before="20" w:after="20"/>
              <w:jc w:val="both"/>
            </w:pPr>
            <w:r>
              <w:rPr>
                <w:sz w:val="18"/>
                <w:szCs w:val="18"/>
              </w:rPr>
              <w:t>Confunde la responsabilidad de los socios.</w:t>
            </w:r>
          </w:p>
        </w:tc>
        <w:tc>
          <w:tcPr>
            <w:tcW w:w="2015" w:type="dxa"/>
            <w:shd w:val="clear" w:color="auto" w:fill="D9E2F3"/>
            <w:vAlign w:val="center"/>
          </w:tcPr>
          <w:p w14:paraId="7D7BE9C8" w14:textId="77777777" w:rsidR="00990B14" w:rsidRDefault="00000000">
            <w:pPr>
              <w:spacing w:before="20" w:after="20"/>
              <w:jc w:val="both"/>
            </w:pPr>
            <w:r>
              <w:rPr>
                <w:sz w:val="18"/>
                <w:szCs w:val="18"/>
              </w:rPr>
              <w:t>Distingue la responsabilidad ilimitada de la limitada.</w:t>
            </w:r>
          </w:p>
        </w:tc>
        <w:tc>
          <w:tcPr>
            <w:tcW w:w="1854" w:type="dxa"/>
            <w:shd w:val="clear" w:color="auto" w:fill="D9E2F3"/>
            <w:vAlign w:val="center"/>
          </w:tcPr>
          <w:p w14:paraId="15C487C3" w14:textId="77777777" w:rsidR="00990B14" w:rsidRDefault="00000000">
            <w:pPr>
              <w:spacing w:before="20" w:after="20"/>
              <w:jc w:val="both"/>
            </w:pPr>
            <w:r>
              <w:rPr>
                <w:sz w:val="18"/>
                <w:szCs w:val="18"/>
              </w:rPr>
              <w:t>Explica el riesgo que asume cada socio.</w:t>
            </w:r>
          </w:p>
        </w:tc>
      </w:tr>
      <w:tr w:rsidR="00990B14" w14:paraId="0FAEEFB7" w14:textId="77777777">
        <w:trPr>
          <w:cantSplit/>
          <w:jc w:val="center"/>
        </w:trPr>
        <w:tc>
          <w:tcPr>
            <w:tcW w:w="1772" w:type="dxa"/>
            <w:vMerge/>
            <w:shd w:val="clear" w:color="auto" w:fill="4472C4"/>
            <w:vAlign w:val="center"/>
          </w:tcPr>
          <w:p w14:paraId="19353D08" w14:textId="77777777" w:rsidR="00990B14" w:rsidRDefault="00990B14">
            <w:pPr>
              <w:spacing w:before="20" w:after="20"/>
            </w:pPr>
          </w:p>
        </w:tc>
        <w:tc>
          <w:tcPr>
            <w:tcW w:w="1854" w:type="dxa"/>
            <w:shd w:val="clear" w:color="auto" w:fill="D9E2F3"/>
            <w:vAlign w:val="center"/>
          </w:tcPr>
          <w:p w14:paraId="2A732B68" w14:textId="77777777" w:rsidR="00990B14" w:rsidRDefault="00000000">
            <w:pPr>
              <w:spacing w:before="20" w:after="20"/>
              <w:jc w:val="both"/>
            </w:pPr>
            <w:r>
              <w:rPr>
                <w:sz w:val="18"/>
                <w:szCs w:val="18"/>
              </w:rPr>
              <w:t>Administración de la sociedad</w:t>
            </w:r>
          </w:p>
        </w:tc>
        <w:tc>
          <w:tcPr>
            <w:tcW w:w="1910" w:type="dxa"/>
            <w:shd w:val="clear" w:color="auto" w:fill="D9E2F3"/>
            <w:vAlign w:val="center"/>
          </w:tcPr>
          <w:p w14:paraId="1F5503E8" w14:textId="77777777" w:rsidR="00990B14" w:rsidRDefault="00000000">
            <w:pPr>
              <w:spacing w:before="20" w:after="20"/>
              <w:jc w:val="both"/>
            </w:pPr>
            <w:r>
              <w:rPr>
                <w:sz w:val="18"/>
                <w:szCs w:val="18"/>
              </w:rPr>
              <w:t>No distingue quién administra.</w:t>
            </w:r>
          </w:p>
        </w:tc>
        <w:tc>
          <w:tcPr>
            <w:tcW w:w="2015" w:type="dxa"/>
            <w:shd w:val="clear" w:color="auto" w:fill="D9E2F3"/>
            <w:vAlign w:val="center"/>
          </w:tcPr>
          <w:p w14:paraId="1B83ADEE" w14:textId="77777777" w:rsidR="00990B14" w:rsidRDefault="00000000">
            <w:pPr>
              <w:spacing w:before="20" w:after="20"/>
              <w:jc w:val="both"/>
            </w:pPr>
            <w:r>
              <w:rPr>
                <w:sz w:val="18"/>
                <w:szCs w:val="18"/>
              </w:rPr>
              <w:t>Indica quién puede administrar la sociedad.</w:t>
            </w:r>
          </w:p>
        </w:tc>
        <w:tc>
          <w:tcPr>
            <w:tcW w:w="1854" w:type="dxa"/>
            <w:shd w:val="clear" w:color="auto" w:fill="D9E2F3"/>
            <w:vAlign w:val="center"/>
          </w:tcPr>
          <w:p w14:paraId="25B4445A" w14:textId="77777777" w:rsidR="00990B14" w:rsidRDefault="00000000">
            <w:pPr>
              <w:spacing w:before="20" w:after="20"/>
              <w:jc w:val="both"/>
            </w:pPr>
            <w:r>
              <w:rPr>
                <w:sz w:val="18"/>
                <w:szCs w:val="18"/>
              </w:rPr>
              <w:t>Explica la consecuencia de que un comanditario administre.</w:t>
            </w:r>
          </w:p>
        </w:tc>
      </w:tr>
      <w:tr w:rsidR="00990B14" w14:paraId="72A2A853" w14:textId="77777777">
        <w:trPr>
          <w:cantSplit/>
          <w:jc w:val="center"/>
        </w:trPr>
        <w:tc>
          <w:tcPr>
            <w:tcW w:w="1772" w:type="dxa"/>
            <w:vMerge/>
            <w:shd w:val="clear" w:color="auto" w:fill="4472C4"/>
            <w:vAlign w:val="center"/>
          </w:tcPr>
          <w:p w14:paraId="452EE9BD" w14:textId="77777777" w:rsidR="00990B14" w:rsidRDefault="00990B14">
            <w:pPr>
              <w:spacing w:before="20" w:after="20"/>
            </w:pPr>
          </w:p>
        </w:tc>
        <w:tc>
          <w:tcPr>
            <w:tcW w:w="1854" w:type="dxa"/>
            <w:shd w:val="clear" w:color="auto" w:fill="D9E2F3"/>
            <w:vAlign w:val="center"/>
          </w:tcPr>
          <w:p w14:paraId="33C9E295" w14:textId="77777777" w:rsidR="00990B14" w:rsidRDefault="00000000">
            <w:pPr>
              <w:spacing w:before="20" w:after="20"/>
              <w:jc w:val="both"/>
            </w:pPr>
            <w:r>
              <w:rPr>
                <w:sz w:val="18"/>
                <w:szCs w:val="18"/>
              </w:rPr>
              <w:t>Trabajo en equipo</w:t>
            </w:r>
          </w:p>
        </w:tc>
        <w:tc>
          <w:tcPr>
            <w:tcW w:w="1910" w:type="dxa"/>
            <w:shd w:val="clear" w:color="auto" w:fill="D9E2F3"/>
            <w:vAlign w:val="center"/>
          </w:tcPr>
          <w:p w14:paraId="63064FAF" w14:textId="77777777" w:rsidR="00990B14" w:rsidRDefault="00000000">
            <w:pPr>
              <w:spacing w:before="20" w:after="20"/>
              <w:jc w:val="both"/>
            </w:pPr>
            <w:r>
              <w:rPr>
                <w:sz w:val="18"/>
                <w:szCs w:val="18"/>
              </w:rPr>
              <w:t>La participación es desigual.</w:t>
            </w:r>
          </w:p>
        </w:tc>
        <w:tc>
          <w:tcPr>
            <w:tcW w:w="2015" w:type="dxa"/>
            <w:shd w:val="clear" w:color="auto" w:fill="D9E2F3"/>
            <w:vAlign w:val="center"/>
          </w:tcPr>
          <w:p w14:paraId="042BD973" w14:textId="77777777" w:rsidR="00990B14" w:rsidRDefault="00000000">
            <w:pPr>
              <w:spacing w:before="20" w:after="20"/>
              <w:jc w:val="both"/>
            </w:pPr>
            <w:r>
              <w:rPr>
                <w:sz w:val="18"/>
                <w:szCs w:val="18"/>
              </w:rPr>
              <w:t>Todos los integrantes participan.</w:t>
            </w:r>
          </w:p>
        </w:tc>
        <w:tc>
          <w:tcPr>
            <w:tcW w:w="1854" w:type="dxa"/>
            <w:shd w:val="clear" w:color="auto" w:fill="D9E2F3"/>
            <w:vAlign w:val="center"/>
          </w:tcPr>
          <w:p w14:paraId="2141C155" w14:textId="77777777" w:rsidR="00990B14" w:rsidRDefault="00000000">
            <w:pPr>
              <w:spacing w:before="20" w:after="20"/>
              <w:jc w:val="both"/>
            </w:pPr>
            <w:r>
              <w:rPr>
                <w:sz w:val="18"/>
                <w:szCs w:val="18"/>
              </w:rPr>
              <w:t>El equipo sustenta su trabajo ante el curso.</w:t>
            </w:r>
          </w:p>
        </w:tc>
      </w:tr>
      <w:tr w:rsidR="00990B14" w14:paraId="2D85039D" w14:textId="77777777">
        <w:trPr>
          <w:cantSplit/>
          <w:jc w:val="center"/>
        </w:trPr>
        <w:tc>
          <w:tcPr>
            <w:tcW w:w="1772" w:type="dxa"/>
            <w:vMerge/>
            <w:shd w:val="clear" w:color="auto" w:fill="4472C4"/>
            <w:vAlign w:val="center"/>
          </w:tcPr>
          <w:p w14:paraId="65207F2C" w14:textId="77777777" w:rsidR="00990B14" w:rsidRDefault="00990B14">
            <w:pPr>
              <w:spacing w:before="20" w:after="20"/>
            </w:pPr>
          </w:p>
        </w:tc>
        <w:tc>
          <w:tcPr>
            <w:tcW w:w="5779" w:type="dxa"/>
            <w:gridSpan w:val="3"/>
            <w:shd w:val="clear" w:color="auto" w:fill="D9E2F3"/>
            <w:vAlign w:val="center"/>
          </w:tcPr>
          <w:p w14:paraId="2ABBA11D" w14:textId="77777777" w:rsidR="00990B14" w:rsidRDefault="00000000">
            <w:pPr>
              <w:keepNext/>
              <w:spacing w:before="20" w:after="20"/>
              <w:jc w:val="both"/>
            </w:pPr>
            <w:r>
              <w:rPr>
                <w:b/>
                <w:bCs/>
                <w:i/>
                <w:iCs/>
                <w:sz w:val="18"/>
                <w:szCs w:val="18"/>
              </w:rPr>
              <w:t xml:space="preserve">Producto 19: </w:t>
            </w:r>
            <w:r>
              <w:rPr>
                <w:sz w:val="18"/>
                <w:szCs w:val="18"/>
              </w:rPr>
              <w:t>Cuadro de modificaciones de capital de una sociedad en comandita por acciones</w:t>
            </w:r>
          </w:p>
        </w:tc>
        <w:tc>
          <w:tcPr>
            <w:tcW w:w="1854" w:type="dxa"/>
            <w:shd w:val="clear" w:color="auto" w:fill="D9E2F3"/>
            <w:vAlign w:val="center"/>
          </w:tcPr>
          <w:p w14:paraId="7B209F1D" w14:textId="77777777" w:rsidR="00990B14" w:rsidRDefault="00000000">
            <w:pPr>
              <w:spacing w:before="20" w:after="20"/>
              <w:jc w:val="center"/>
            </w:pPr>
            <w:r>
              <w:rPr>
                <w:b/>
                <w:bCs/>
                <w:sz w:val="18"/>
                <w:szCs w:val="18"/>
              </w:rPr>
              <w:t>2%</w:t>
            </w:r>
          </w:p>
        </w:tc>
      </w:tr>
      <w:tr w:rsidR="00990B14" w14:paraId="41D9DEE0" w14:textId="77777777">
        <w:trPr>
          <w:cantSplit/>
          <w:jc w:val="center"/>
        </w:trPr>
        <w:tc>
          <w:tcPr>
            <w:tcW w:w="1772" w:type="dxa"/>
            <w:vMerge/>
            <w:shd w:val="clear" w:color="auto" w:fill="4472C4"/>
            <w:vAlign w:val="center"/>
          </w:tcPr>
          <w:p w14:paraId="62E85D0C" w14:textId="77777777" w:rsidR="00990B14" w:rsidRDefault="00990B14">
            <w:pPr>
              <w:spacing w:before="20" w:after="20"/>
            </w:pPr>
          </w:p>
        </w:tc>
        <w:tc>
          <w:tcPr>
            <w:tcW w:w="1854" w:type="dxa"/>
            <w:shd w:val="clear" w:color="auto" w:fill="4472C4"/>
            <w:vAlign w:val="center"/>
          </w:tcPr>
          <w:p w14:paraId="07468C59"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3882F6E4"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13466A63" w14:textId="77777777" w:rsidR="00990B14" w:rsidRDefault="00000000">
            <w:pPr>
              <w:keepNext/>
              <w:spacing w:before="20" w:after="20"/>
              <w:jc w:val="center"/>
            </w:pPr>
            <w:r>
              <w:rPr>
                <w:b/>
                <w:bCs/>
                <w:i/>
                <w:iCs/>
                <w:color w:val="FFFFFF"/>
                <w:sz w:val="18"/>
                <w:szCs w:val="18"/>
              </w:rPr>
              <w:t>Suficiente (51–80)</w:t>
            </w:r>
          </w:p>
        </w:tc>
        <w:tc>
          <w:tcPr>
            <w:tcW w:w="1854" w:type="dxa"/>
            <w:shd w:val="clear" w:color="auto" w:fill="4472C4"/>
            <w:vAlign w:val="center"/>
          </w:tcPr>
          <w:p w14:paraId="0F6C1E7A" w14:textId="77777777" w:rsidR="00990B14" w:rsidRDefault="00000000">
            <w:pPr>
              <w:keepNext/>
              <w:spacing w:before="20" w:after="20"/>
              <w:jc w:val="center"/>
            </w:pPr>
            <w:r>
              <w:rPr>
                <w:b/>
                <w:bCs/>
                <w:i/>
                <w:iCs/>
                <w:color w:val="FFFFFF"/>
                <w:sz w:val="18"/>
                <w:szCs w:val="18"/>
              </w:rPr>
              <w:t>Destacado (81–100)</w:t>
            </w:r>
          </w:p>
        </w:tc>
      </w:tr>
      <w:tr w:rsidR="00990B14" w14:paraId="4062A626" w14:textId="77777777">
        <w:trPr>
          <w:cantSplit/>
          <w:jc w:val="center"/>
        </w:trPr>
        <w:tc>
          <w:tcPr>
            <w:tcW w:w="1772" w:type="dxa"/>
            <w:vMerge/>
            <w:shd w:val="clear" w:color="auto" w:fill="4472C4"/>
            <w:vAlign w:val="center"/>
          </w:tcPr>
          <w:p w14:paraId="5E4805D3" w14:textId="77777777" w:rsidR="00990B14" w:rsidRDefault="00990B14">
            <w:pPr>
              <w:spacing w:before="20" w:after="20"/>
            </w:pPr>
          </w:p>
        </w:tc>
        <w:tc>
          <w:tcPr>
            <w:tcW w:w="1854" w:type="dxa"/>
            <w:shd w:val="clear" w:color="auto" w:fill="D9E2F3"/>
            <w:vAlign w:val="center"/>
          </w:tcPr>
          <w:p w14:paraId="0C145050" w14:textId="77777777" w:rsidR="00990B14" w:rsidRDefault="00000000">
            <w:pPr>
              <w:spacing w:before="20" w:after="20"/>
              <w:jc w:val="both"/>
            </w:pPr>
            <w:r>
              <w:rPr>
                <w:sz w:val="18"/>
                <w:szCs w:val="18"/>
              </w:rPr>
              <w:t>Aumentos de capital</w:t>
            </w:r>
          </w:p>
        </w:tc>
        <w:tc>
          <w:tcPr>
            <w:tcW w:w="1910" w:type="dxa"/>
            <w:shd w:val="clear" w:color="auto" w:fill="D9E2F3"/>
            <w:vAlign w:val="center"/>
          </w:tcPr>
          <w:p w14:paraId="0259CCAE" w14:textId="77777777" w:rsidR="00990B14" w:rsidRDefault="00000000">
            <w:pPr>
              <w:spacing w:before="20" w:after="20"/>
              <w:jc w:val="both"/>
            </w:pPr>
            <w:r>
              <w:rPr>
                <w:sz w:val="18"/>
                <w:szCs w:val="18"/>
              </w:rPr>
              <w:t>Confunde el aumento por aportes con la capitalización de utilidades.</w:t>
            </w:r>
          </w:p>
        </w:tc>
        <w:tc>
          <w:tcPr>
            <w:tcW w:w="2015" w:type="dxa"/>
            <w:shd w:val="clear" w:color="auto" w:fill="D9E2F3"/>
            <w:vAlign w:val="center"/>
          </w:tcPr>
          <w:p w14:paraId="4A0DEADB" w14:textId="77777777" w:rsidR="00990B14" w:rsidRDefault="00000000">
            <w:pPr>
              <w:spacing w:before="20" w:after="20"/>
              <w:jc w:val="both"/>
            </w:pPr>
            <w:r>
              <w:rPr>
                <w:sz w:val="18"/>
                <w:szCs w:val="18"/>
              </w:rPr>
              <w:t>Registra los aumentos por clase de socio.</w:t>
            </w:r>
          </w:p>
        </w:tc>
        <w:tc>
          <w:tcPr>
            <w:tcW w:w="1854" w:type="dxa"/>
            <w:shd w:val="clear" w:color="auto" w:fill="D9E2F3"/>
            <w:vAlign w:val="center"/>
          </w:tcPr>
          <w:p w14:paraId="12F79D85" w14:textId="77777777" w:rsidR="00990B14" w:rsidRDefault="00000000">
            <w:pPr>
              <w:spacing w:before="20" w:after="20"/>
              <w:jc w:val="both"/>
            </w:pPr>
            <w:r>
              <w:rPr>
                <w:sz w:val="18"/>
                <w:szCs w:val="18"/>
              </w:rPr>
              <w:t>Explica el efecto en la participación.</w:t>
            </w:r>
          </w:p>
        </w:tc>
      </w:tr>
      <w:tr w:rsidR="00990B14" w14:paraId="2D37F047" w14:textId="77777777">
        <w:trPr>
          <w:cantSplit/>
          <w:jc w:val="center"/>
        </w:trPr>
        <w:tc>
          <w:tcPr>
            <w:tcW w:w="1772" w:type="dxa"/>
            <w:vMerge/>
            <w:shd w:val="clear" w:color="auto" w:fill="4472C4"/>
            <w:vAlign w:val="center"/>
          </w:tcPr>
          <w:p w14:paraId="238CC770" w14:textId="77777777" w:rsidR="00990B14" w:rsidRDefault="00990B14">
            <w:pPr>
              <w:spacing w:before="20" w:after="20"/>
            </w:pPr>
          </w:p>
        </w:tc>
        <w:tc>
          <w:tcPr>
            <w:tcW w:w="1854" w:type="dxa"/>
            <w:shd w:val="clear" w:color="auto" w:fill="D9E2F3"/>
            <w:vAlign w:val="center"/>
          </w:tcPr>
          <w:p w14:paraId="6ACBE00A" w14:textId="77777777" w:rsidR="00990B14" w:rsidRDefault="00000000">
            <w:pPr>
              <w:spacing w:before="20" w:after="20"/>
              <w:jc w:val="both"/>
            </w:pPr>
            <w:r>
              <w:rPr>
                <w:sz w:val="18"/>
                <w:szCs w:val="18"/>
              </w:rPr>
              <w:t>Disminuciones de capital</w:t>
            </w:r>
          </w:p>
        </w:tc>
        <w:tc>
          <w:tcPr>
            <w:tcW w:w="1910" w:type="dxa"/>
            <w:shd w:val="clear" w:color="auto" w:fill="D9E2F3"/>
            <w:vAlign w:val="center"/>
          </w:tcPr>
          <w:p w14:paraId="2A5EBCFF" w14:textId="77777777" w:rsidR="00990B14" w:rsidRDefault="00000000">
            <w:pPr>
              <w:spacing w:before="20" w:after="20"/>
              <w:jc w:val="both"/>
            </w:pPr>
            <w:r>
              <w:rPr>
                <w:sz w:val="18"/>
                <w:szCs w:val="18"/>
              </w:rPr>
              <w:t>Confunde la disminución voluntaria con la obligada.</w:t>
            </w:r>
          </w:p>
        </w:tc>
        <w:tc>
          <w:tcPr>
            <w:tcW w:w="2015" w:type="dxa"/>
            <w:shd w:val="clear" w:color="auto" w:fill="D9E2F3"/>
            <w:vAlign w:val="center"/>
          </w:tcPr>
          <w:p w14:paraId="0F8542B4" w14:textId="77777777" w:rsidR="00990B14" w:rsidRDefault="00000000">
            <w:pPr>
              <w:spacing w:before="20" w:after="20"/>
              <w:jc w:val="both"/>
            </w:pPr>
            <w:r>
              <w:rPr>
                <w:sz w:val="18"/>
                <w:szCs w:val="18"/>
              </w:rPr>
              <w:t>Registra las disminuciones voluntarias y obligadas.</w:t>
            </w:r>
          </w:p>
        </w:tc>
        <w:tc>
          <w:tcPr>
            <w:tcW w:w="1854" w:type="dxa"/>
            <w:shd w:val="clear" w:color="auto" w:fill="D9E2F3"/>
            <w:vAlign w:val="center"/>
          </w:tcPr>
          <w:p w14:paraId="065CB27C" w14:textId="77777777" w:rsidR="00990B14" w:rsidRDefault="00000000">
            <w:pPr>
              <w:spacing w:before="20" w:after="20"/>
              <w:jc w:val="both"/>
            </w:pPr>
            <w:r>
              <w:rPr>
                <w:sz w:val="18"/>
                <w:szCs w:val="18"/>
              </w:rPr>
              <w:t>Verifica la protección de los acreedores.</w:t>
            </w:r>
          </w:p>
        </w:tc>
      </w:tr>
      <w:tr w:rsidR="00990B14" w14:paraId="668612B2" w14:textId="77777777">
        <w:trPr>
          <w:cantSplit/>
          <w:jc w:val="center"/>
        </w:trPr>
        <w:tc>
          <w:tcPr>
            <w:tcW w:w="1772" w:type="dxa"/>
            <w:vMerge/>
            <w:shd w:val="clear" w:color="auto" w:fill="4472C4"/>
            <w:vAlign w:val="center"/>
          </w:tcPr>
          <w:p w14:paraId="5609943B" w14:textId="77777777" w:rsidR="00990B14" w:rsidRDefault="00990B14">
            <w:pPr>
              <w:spacing w:before="20" w:after="20"/>
            </w:pPr>
          </w:p>
        </w:tc>
        <w:tc>
          <w:tcPr>
            <w:tcW w:w="1854" w:type="dxa"/>
            <w:shd w:val="clear" w:color="auto" w:fill="D9E2F3"/>
            <w:vAlign w:val="center"/>
          </w:tcPr>
          <w:p w14:paraId="48887D5D" w14:textId="77777777" w:rsidR="00990B14" w:rsidRDefault="00000000">
            <w:pPr>
              <w:spacing w:before="20" w:after="20"/>
              <w:jc w:val="both"/>
            </w:pPr>
            <w:r>
              <w:rPr>
                <w:sz w:val="18"/>
                <w:szCs w:val="18"/>
              </w:rPr>
              <w:t>Hoja de cálculo</w:t>
            </w:r>
          </w:p>
        </w:tc>
        <w:tc>
          <w:tcPr>
            <w:tcW w:w="1910" w:type="dxa"/>
            <w:shd w:val="clear" w:color="auto" w:fill="D9E2F3"/>
            <w:vAlign w:val="center"/>
          </w:tcPr>
          <w:p w14:paraId="373E4223" w14:textId="77777777" w:rsidR="00990B14" w:rsidRDefault="00000000">
            <w:pPr>
              <w:spacing w:before="20" w:after="20"/>
              <w:jc w:val="both"/>
            </w:pPr>
            <w:r>
              <w:rPr>
                <w:sz w:val="18"/>
                <w:szCs w:val="18"/>
              </w:rPr>
              <w:t>No usa fórmulas.</w:t>
            </w:r>
          </w:p>
        </w:tc>
        <w:tc>
          <w:tcPr>
            <w:tcW w:w="2015" w:type="dxa"/>
            <w:shd w:val="clear" w:color="auto" w:fill="D9E2F3"/>
            <w:vAlign w:val="center"/>
          </w:tcPr>
          <w:p w14:paraId="6A7BFB06" w14:textId="77777777" w:rsidR="00990B14" w:rsidRDefault="00000000">
            <w:pPr>
              <w:spacing w:before="20" w:after="20"/>
              <w:jc w:val="both"/>
            </w:pPr>
            <w:r>
              <w:rPr>
                <w:sz w:val="18"/>
                <w:szCs w:val="18"/>
              </w:rPr>
              <w:t>Usa fórmulas en el cuadro.</w:t>
            </w:r>
          </w:p>
        </w:tc>
        <w:tc>
          <w:tcPr>
            <w:tcW w:w="1854" w:type="dxa"/>
            <w:shd w:val="clear" w:color="auto" w:fill="D9E2F3"/>
            <w:vAlign w:val="center"/>
          </w:tcPr>
          <w:p w14:paraId="315A0BDE" w14:textId="77777777" w:rsidR="00990B14" w:rsidRDefault="00000000">
            <w:pPr>
              <w:spacing w:before="20" w:after="20"/>
              <w:jc w:val="both"/>
            </w:pPr>
            <w:r>
              <w:rPr>
                <w:sz w:val="18"/>
                <w:szCs w:val="18"/>
              </w:rPr>
              <w:t>Verifica que el cuadro admita cambios de datos.</w:t>
            </w:r>
          </w:p>
        </w:tc>
      </w:tr>
      <w:tr w:rsidR="00990B14" w14:paraId="3556879D" w14:textId="77777777">
        <w:trPr>
          <w:cantSplit/>
          <w:jc w:val="center"/>
        </w:trPr>
        <w:tc>
          <w:tcPr>
            <w:tcW w:w="1772" w:type="dxa"/>
            <w:vMerge/>
            <w:shd w:val="clear" w:color="auto" w:fill="4472C4"/>
            <w:vAlign w:val="center"/>
          </w:tcPr>
          <w:p w14:paraId="408828B5" w14:textId="77777777" w:rsidR="00990B14" w:rsidRDefault="00990B14">
            <w:pPr>
              <w:spacing w:before="20" w:after="20"/>
            </w:pPr>
          </w:p>
        </w:tc>
        <w:tc>
          <w:tcPr>
            <w:tcW w:w="5779" w:type="dxa"/>
            <w:gridSpan w:val="3"/>
            <w:shd w:val="clear" w:color="auto" w:fill="D9E2F3"/>
            <w:vAlign w:val="center"/>
          </w:tcPr>
          <w:p w14:paraId="428E6CC3" w14:textId="77777777" w:rsidR="00990B14" w:rsidRDefault="00000000">
            <w:pPr>
              <w:keepNext/>
              <w:spacing w:before="20" w:after="20"/>
              <w:jc w:val="both"/>
            </w:pPr>
            <w:r>
              <w:rPr>
                <w:b/>
                <w:bCs/>
                <w:i/>
                <w:iCs/>
                <w:sz w:val="18"/>
                <w:szCs w:val="18"/>
              </w:rPr>
              <w:t xml:space="preserve">Producto 20: </w:t>
            </w:r>
            <w:r>
              <w:rPr>
                <w:sz w:val="18"/>
                <w:szCs w:val="18"/>
              </w:rPr>
              <w:t>Informe de distribución de resultados de una sociedad en comandita</w:t>
            </w:r>
          </w:p>
        </w:tc>
        <w:tc>
          <w:tcPr>
            <w:tcW w:w="1854" w:type="dxa"/>
            <w:shd w:val="clear" w:color="auto" w:fill="D9E2F3"/>
            <w:vAlign w:val="center"/>
          </w:tcPr>
          <w:p w14:paraId="6CEF59D7" w14:textId="77777777" w:rsidR="00990B14" w:rsidRDefault="00000000">
            <w:pPr>
              <w:spacing w:before="20" w:after="20"/>
              <w:jc w:val="center"/>
            </w:pPr>
            <w:r>
              <w:rPr>
                <w:b/>
                <w:bCs/>
                <w:sz w:val="18"/>
                <w:szCs w:val="18"/>
              </w:rPr>
              <w:t>2%</w:t>
            </w:r>
          </w:p>
        </w:tc>
      </w:tr>
      <w:tr w:rsidR="00990B14" w14:paraId="505F3C21" w14:textId="77777777">
        <w:trPr>
          <w:cantSplit/>
          <w:jc w:val="center"/>
        </w:trPr>
        <w:tc>
          <w:tcPr>
            <w:tcW w:w="1772" w:type="dxa"/>
            <w:vMerge/>
            <w:shd w:val="clear" w:color="auto" w:fill="4472C4"/>
            <w:vAlign w:val="center"/>
          </w:tcPr>
          <w:p w14:paraId="539D6B46" w14:textId="77777777" w:rsidR="00990B14" w:rsidRDefault="00990B14">
            <w:pPr>
              <w:spacing w:before="20" w:after="20"/>
            </w:pPr>
          </w:p>
        </w:tc>
        <w:tc>
          <w:tcPr>
            <w:tcW w:w="1854" w:type="dxa"/>
            <w:shd w:val="clear" w:color="auto" w:fill="4472C4"/>
            <w:vAlign w:val="center"/>
          </w:tcPr>
          <w:p w14:paraId="59294315"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1EFF50A0"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43C4D55A" w14:textId="77777777" w:rsidR="00990B14" w:rsidRDefault="00000000">
            <w:pPr>
              <w:keepNext/>
              <w:spacing w:before="20" w:after="20"/>
              <w:jc w:val="center"/>
            </w:pPr>
            <w:r>
              <w:rPr>
                <w:b/>
                <w:bCs/>
                <w:i/>
                <w:iCs/>
                <w:color w:val="FFFFFF"/>
                <w:sz w:val="18"/>
                <w:szCs w:val="18"/>
              </w:rPr>
              <w:t>Suficiente (51–80)</w:t>
            </w:r>
          </w:p>
        </w:tc>
        <w:tc>
          <w:tcPr>
            <w:tcW w:w="1854" w:type="dxa"/>
            <w:shd w:val="clear" w:color="auto" w:fill="4472C4"/>
            <w:vAlign w:val="center"/>
          </w:tcPr>
          <w:p w14:paraId="7139C59E" w14:textId="77777777" w:rsidR="00990B14" w:rsidRDefault="00000000">
            <w:pPr>
              <w:keepNext/>
              <w:spacing w:before="20" w:after="20"/>
              <w:jc w:val="center"/>
            </w:pPr>
            <w:r>
              <w:rPr>
                <w:b/>
                <w:bCs/>
                <w:i/>
                <w:iCs/>
                <w:color w:val="FFFFFF"/>
                <w:sz w:val="18"/>
                <w:szCs w:val="18"/>
              </w:rPr>
              <w:t>Destacado (81–100)</w:t>
            </w:r>
          </w:p>
        </w:tc>
      </w:tr>
      <w:tr w:rsidR="00990B14" w14:paraId="5FB7A668" w14:textId="77777777">
        <w:trPr>
          <w:cantSplit/>
          <w:jc w:val="center"/>
        </w:trPr>
        <w:tc>
          <w:tcPr>
            <w:tcW w:w="1772" w:type="dxa"/>
            <w:vMerge/>
            <w:shd w:val="clear" w:color="auto" w:fill="4472C4"/>
            <w:vAlign w:val="center"/>
          </w:tcPr>
          <w:p w14:paraId="70929008" w14:textId="77777777" w:rsidR="00990B14" w:rsidRDefault="00990B14">
            <w:pPr>
              <w:spacing w:before="20" w:after="20"/>
            </w:pPr>
          </w:p>
        </w:tc>
        <w:tc>
          <w:tcPr>
            <w:tcW w:w="1854" w:type="dxa"/>
            <w:shd w:val="clear" w:color="auto" w:fill="D9E2F3"/>
            <w:vAlign w:val="center"/>
          </w:tcPr>
          <w:p w14:paraId="41AC7F23" w14:textId="77777777" w:rsidR="00990B14" w:rsidRDefault="00000000">
            <w:pPr>
              <w:spacing w:before="20" w:after="20"/>
              <w:jc w:val="both"/>
            </w:pPr>
            <w:r>
              <w:rPr>
                <w:sz w:val="18"/>
                <w:szCs w:val="18"/>
              </w:rPr>
              <w:t>Distribución de resultados</w:t>
            </w:r>
          </w:p>
        </w:tc>
        <w:tc>
          <w:tcPr>
            <w:tcW w:w="1910" w:type="dxa"/>
            <w:shd w:val="clear" w:color="auto" w:fill="D9E2F3"/>
            <w:vAlign w:val="center"/>
          </w:tcPr>
          <w:p w14:paraId="119641DA" w14:textId="77777777" w:rsidR="00990B14" w:rsidRDefault="00000000">
            <w:pPr>
              <w:spacing w:before="20" w:after="20"/>
              <w:jc w:val="both"/>
            </w:pPr>
            <w:r>
              <w:rPr>
                <w:sz w:val="18"/>
                <w:szCs w:val="18"/>
              </w:rPr>
              <w:t>Distribuye sin considerar el contrato.</w:t>
            </w:r>
          </w:p>
        </w:tc>
        <w:tc>
          <w:tcPr>
            <w:tcW w:w="2015" w:type="dxa"/>
            <w:shd w:val="clear" w:color="auto" w:fill="D9E2F3"/>
            <w:vAlign w:val="center"/>
          </w:tcPr>
          <w:p w14:paraId="4C68FD65" w14:textId="77777777" w:rsidR="00990B14" w:rsidRDefault="00000000">
            <w:pPr>
              <w:spacing w:before="20" w:after="20"/>
              <w:jc w:val="both"/>
            </w:pPr>
            <w:r>
              <w:rPr>
                <w:sz w:val="18"/>
                <w:szCs w:val="18"/>
              </w:rPr>
              <w:t>Distribuye los resultados según el contrato.</w:t>
            </w:r>
          </w:p>
        </w:tc>
        <w:tc>
          <w:tcPr>
            <w:tcW w:w="1854" w:type="dxa"/>
            <w:shd w:val="clear" w:color="auto" w:fill="D9E2F3"/>
            <w:vAlign w:val="center"/>
          </w:tcPr>
          <w:p w14:paraId="72CDE42E" w14:textId="77777777" w:rsidR="00990B14" w:rsidRDefault="00000000">
            <w:pPr>
              <w:spacing w:before="20" w:after="20"/>
              <w:jc w:val="both"/>
            </w:pPr>
            <w:r>
              <w:rPr>
                <w:sz w:val="18"/>
                <w:szCs w:val="18"/>
              </w:rPr>
              <w:t>Compara con la distribución de otros tipos societarios.</w:t>
            </w:r>
          </w:p>
        </w:tc>
      </w:tr>
      <w:tr w:rsidR="00990B14" w14:paraId="138ED0F3" w14:textId="77777777">
        <w:trPr>
          <w:cantSplit/>
          <w:jc w:val="center"/>
        </w:trPr>
        <w:tc>
          <w:tcPr>
            <w:tcW w:w="1772" w:type="dxa"/>
            <w:vMerge/>
            <w:shd w:val="clear" w:color="auto" w:fill="4472C4"/>
            <w:vAlign w:val="center"/>
          </w:tcPr>
          <w:p w14:paraId="2377BAA0" w14:textId="77777777" w:rsidR="00990B14" w:rsidRDefault="00990B14">
            <w:pPr>
              <w:spacing w:before="20" w:after="20"/>
            </w:pPr>
          </w:p>
        </w:tc>
        <w:tc>
          <w:tcPr>
            <w:tcW w:w="1854" w:type="dxa"/>
            <w:shd w:val="clear" w:color="auto" w:fill="D9E2F3"/>
            <w:vAlign w:val="center"/>
          </w:tcPr>
          <w:p w14:paraId="433F539B" w14:textId="77777777" w:rsidR="00990B14" w:rsidRDefault="00000000">
            <w:pPr>
              <w:spacing w:before="20" w:after="20"/>
              <w:jc w:val="both"/>
            </w:pPr>
            <w:r>
              <w:rPr>
                <w:sz w:val="18"/>
                <w:szCs w:val="18"/>
              </w:rPr>
              <w:t>Asignación de pérdidas</w:t>
            </w:r>
          </w:p>
        </w:tc>
        <w:tc>
          <w:tcPr>
            <w:tcW w:w="1910" w:type="dxa"/>
            <w:shd w:val="clear" w:color="auto" w:fill="D9E2F3"/>
            <w:vAlign w:val="center"/>
          </w:tcPr>
          <w:p w14:paraId="6F774616" w14:textId="77777777" w:rsidR="00990B14" w:rsidRDefault="00000000">
            <w:pPr>
              <w:spacing w:before="20" w:after="20"/>
              <w:jc w:val="both"/>
            </w:pPr>
            <w:r>
              <w:rPr>
                <w:sz w:val="18"/>
                <w:szCs w:val="18"/>
              </w:rPr>
              <w:t>No trata las pérdidas.</w:t>
            </w:r>
          </w:p>
        </w:tc>
        <w:tc>
          <w:tcPr>
            <w:tcW w:w="2015" w:type="dxa"/>
            <w:shd w:val="clear" w:color="auto" w:fill="D9E2F3"/>
            <w:vAlign w:val="center"/>
          </w:tcPr>
          <w:p w14:paraId="4DC89F98" w14:textId="77777777" w:rsidR="00990B14" w:rsidRDefault="00000000">
            <w:pPr>
              <w:spacing w:before="20" w:after="20"/>
              <w:jc w:val="both"/>
            </w:pPr>
            <w:r>
              <w:rPr>
                <w:sz w:val="18"/>
                <w:szCs w:val="18"/>
              </w:rPr>
              <w:t>Asigna las pérdidas según la responsabilidad.</w:t>
            </w:r>
          </w:p>
        </w:tc>
        <w:tc>
          <w:tcPr>
            <w:tcW w:w="1854" w:type="dxa"/>
            <w:shd w:val="clear" w:color="auto" w:fill="D9E2F3"/>
            <w:vAlign w:val="center"/>
          </w:tcPr>
          <w:p w14:paraId="249F6FC0" w14:textId="77777777" w:rsidR="00990B14" w:rsidRDefault="00000000">
            <w:pPr>
              <w:spacing w:before="20" w:after="20"/>
              <w:jc w:val="both"/>
            </w:pPr>
            <w:r>
              <w:rPr>
                <w:sz w:val="18"/>
                <w:szCs w:val="18"/>
              </w:rPr>
              <w:t>Explica el límite de pérdida del comanditario.</w:t>
            </w:r>
          </w:p>
        </w:tc>
      </w:tr>
      <w:tr w:rsidR="00990B14" w14:paraId="36F163A4" w14:textId="77777777">
        <w:trPr>
          <w:cantSplit/>
          <w:jc w:val="center"/>
        </w:trPr>
        <w:tc>
          <w:tcPr>
            <w:tcW w:w="1772" w:type="dxa"/>
            <w:vMerge/>
            <w:shd w:val="clear" w:color="auto" w:fill="4472C4"/>
            <w:vAlign w:val="center"/>
          </w:tcPr>
          <w:p w14:paraId="68F2B698" w14:textId="77777777" w:rsidR="00990B14" w:rsidRDefault="00990B14">
            <w:pPr>
              <w:spacing w:before="20" w:after="20"/>
            </w:pPr>
          </w:p>
        </w:tc>
        <w:tc>
          <w:tcPr>
            <w:tcW w:w="1854" w:type="dxa"/>
            <w:shd w:val="clear" w:color="auto" w:fill="D9E2F3"/>
            <w:vAlign w:val="center"/>
          </w:tcPr>
          <w:p w14:paraId="4253C786" w14:textId="77777777" w:rsidR="00990B14" w:rsidRDefault="00000000">
            <w:pPr>
              <w:spacing w:before="20" w:after="20"/>
              <w:jc w:val="both"/>
            </w:pPr>
            <w:r>
              <w:rPr>
                <w:sz w:val="18"/>
                <w:szCs w:val="18"/>
              </w:rPr>
              <w:t>Claridad de la exposición</w:t>
            </w:r>
          </w:p>
        </w:tc>
        <w:tc>
          <w:tcPr>
            <w:tcW w:w="1910" w:type="dxa"/>
            <w:shd w:val="clear" w:color="auto" w:fill="D9E2F3"/>
            <w:vAlign w:val="center"/>
          </w:tcPr>
          <w:p w14:paraId="231A4582" w14:textId="77777777" w:rsidR="00990B14" w:rsidRDefault="00000000">
            <w:pPr>
              <w:spacing w:before="20" w:after="20"/>
              <w:jc w:val="both"/>
            </w:pPr>
            <w:r>
              <w:rPr>
                <w:sz w:val="18"/>
                <w:szCs w:val="18"/>
              </w:rPr>
              <w:t>La exposición es confusa.</w:t>
            </w:r>
          </w:p>
        </w:tc>
        <w:tc>
          <w:tcPr>
            <w:tcW w:w="2015" w:type="dxa"/>
            <w:shd w:val="clear" w:color="auto" w:fill="D9E2F3"/>
            <w:vAlign w:val="center"/>
          </w:tcPr>
          <w:p w14:paraId="41E9604C" w14:textId="77777777" w:rsidR="00990B14" w:rsidRDefault="00000000">
            <w:pPr>
              <w:spacing w:before="20" w:after="20"/>
              <w:jc w:val="both"/>
            </w:pPr>
            <w:r>
              <w:rPr>
                <w:sz w:val="18"/>
                <w:szCs w:val="18"/>
              </w:rPr>
              <w:t>Expone con orden y claridad.</w:t>
            </w:r>
          </w:p>
        </w:tc>
        <w:tc>
          <w:tcPr>
            <w:tcW w:w="1854" w:type="dxa"/>
            <w:shd w:val="clear" w:color="auto" w:fill="D9E2F3"/>
            <w:vAlign w:val="center"/>
          </w:tcPr>
          <w:p w14:paraId="312015CF" w14:textId="77777777" w:rsidR="00990B14" w:rsidRDefault="00000000">
            <w:pPr>
              <w:spacing w:before="20" w:after="20"/>
              <w:jc w:val="both"/>
            </w:pPr>
            <w:r>
              <w:rPr>
                <w:sz w:val="18"/>
                <w:szCs w:val="18"/>
              </w:rPr>
              <w:t>Responde con solvencia las preguntas del curso.</w:t>
            </w:r>
          </w:p>
        </w:tc>
      </w:tr>
      <w:tr w:rsidR="00990B14" w14:paraId="4C230403" w14:textId="77777777">
        <w:trPr>
          <w:cantSplit/>
          <w:jc w:val="center"/>
        </w:trPr>
        <w:tc>
          <w:tcPr>
            <w:tcW w:w="1772" w:type="dxa"/>
            <w:vMerge/>
            <w:shd w:val="clear" w:color="auto" w:fill="4472C4"/>
            <w:vAlign w:val="center"/>
          </w:tcPr>
          <w:p w14:paraId="65886251" w14:textId="77777777" w:rsidR="00990B14" w:rsidRDefault="00990B14">
            <w:pPr>
              <w:spacing w:before="20" w:after="20"/>
            </w:pPr>
          </w:p>
        </w:tc>
        <w:tc>
          <w:tcPr>
            <w:tcW w:w="5779" w:type="dxa"/>
            <w:gridSpan w:val="3"/>
            <w:shd w:val="clear" w:color="auto" w:fill="D9E2F3"/>
            <w:vAlign w:val="center"/>
          </w:tcPr>
          <w:p w14:paraId="3C30B22A" w14:textId="77777777" w:rsidR="00990B14" w:rsidRDefault="00000000">
            <w:pPr>
              <w:keepNext/>
              <w:spacing w:before="20" w:after="20"/>
              <w:jc w:val="both"/>
            </w:pPr>
            <w:r>
              <w:rPr>
                <w:b/>
                <w:bCs/>
                <w:i/>
                <w:iCs/>
                <w:sz w:val="18"/>
                <w:szCs w:val="18"/>
              </w:rPr>
              <w:t xml:space="preserve">Producto 21: </w:t>
            </w:r>
            <w:r>
              <w:rPr>
                <w:sz w:val="18"/>
                <w:szCs w:val="18"/>
              </w:rPr>
              <w:t>Registro de operaciones de una asociación accidental</w:t>
            </w:r>
          </w:p>
        </w:tc>
        <w:tc>
          <w:tcPr>
            <w:tcW w:w="1854" w:type="dxa"/>
            <w:shd w:val="clear" w:color="auto" w:fill="D9E2F3"/>
            <w:vAlign w:val="center"/>
          </w:tcPr>
          <w:p w14:paraId="332FCEF3" w14:textId="77777777" w:rsidR="00990B14" w:rsidRDefault="00000000">
            <w:pPr>
              <w:spacing w:before="20" w:after="20"/>
              <w:jc w:val="center"/>
            </w:pPr>
            <w:r>
              <w:rPr>
                <w:b/>
                <w:bCs/>
                <w:sz w:val="18"/>
                <w:szCs w:val="18"/>
              </w:rPr>
              <w:t>2%</w:t>
            </w:r>
          </w:p>
        </w:tc>
      </w:tr>
      <w:tr w:rsidR="00990B14" w14:paraId="4BBE2804" w14:textId="77777777">
        <w:trPr>
          <w:cantSplit/>
          <w:jc w:val="center"/>
        </w:trPr>
        <w:tc>
          <w:tcPr>
            <w:tcW w:w="1772" w:type="dxa"/>
            <w:vMerge/>
            <w:shd w:val="clear" w:color="auto" w:fill="4472C4"/>
            <w:vAlign w:val="center"/>
          </w:tcPr>
          <w:p w14:paraId="765DC8B8" w14:textId="77777777" w:rsidR="00990B14" w:rsidRDefault="00990B14">
            <w:pPr>
              <w:spacing w:before="20" w:after="20"/>
            </w:pPr>
          </w:p>
        </w:tc>
        <w:tc>
          <w:tcPr>
            <w:tcW w:w="1854" w:type="dxa"/>
            <w:shd w:val="clear" w:color="auto" w:fill="4472C4"/>
            <w:vAlign w:val="center"/>
          </w:tcPr>
          <w:p w14:paraId="06EA2EB0"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610DC285"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67EC4513" w14:textId="77777777" w:rsidR="00990B14" w:rsidRDefault="00000000">
            <w:pPr>
              <w:keepNext/>
              <w:spacing w:before="20" w:after="20"/>
              <w:jc w:val="center"/>
            </w:pPr>
            <w:r>
              <w:rPr>
                <w:b/>
                <w:bCs/>
                <w:i/>
                <w:iCs/>
                <w:color w:val="FFFFFF"/>
                <w:sz w:val="18"/>
                <w:szCs w:val="18"/>
              </w:rPr>
              <w:t>Suficiente (51–80)</w:t>
            </w:r>
          </w:p>
        </w:tc>
        <w:tc>
          <w:tcPr>
            <w:tcW w:w="1854" w:type="dxa"/>
            <w:shd w:val="clear" w:color="auto" w:fill="4472C4"/>
            <w:vAlign w:val="center"/>
          </w:tcPr>
          <w:p w14:paraId="6E22E528" w14:textId="77777777" w:rsidR="00990B14" w:rsidRDefault="00000000">
            <w:pPr>
              <w:keepNext/>
              <w:spacing w:before="20" w:after="20"/>
              <w:jc w:val="center"/>
            </w:pPr>
            <w:r>
              <w:rPr>
                <w:b/>
                <w:bCs/>
                <w:i/>
                <w:iCs/>
                <w:color w:val="FFFFFF"/>
                <w:sz w:val="18"/>
                <w:szCs w:val="18"/>
              </w:rPr>
              <w:t>Destacado (81–100)</w:t>
            </w:r>
          </w:p>
        </w:tc>
      </w:tr>
      <w:tr w:rsidR="00990B14" w14:paraId="2F8121B2" w14:textId="77777777">
        <w:trPr>
          <w:cantSplit/>
          <w:jc w:val="center"/>
        </w:trPr>
        <w:tc>
          <w:tcPr>
            <w:tcW w:w="1772" w:type="dxa"/>
            <w:vMerge/>
            <w:shd w:val="clear" w:color="auto" w:fill="4472C4"/>
            <w:vAlign w:val="center"/>
          </w:tcPr>
          <w:p w14:paraId="5911FE4A" w14:textId="77777777" w:rsidR="00990B14" w:rsidRDefault="00990B14">
            <w:pPr>
              <w:spacing w:before="20" w:after="20"/>
            </w:pPr>
          </w:p>
        </w:tc>
        <w:tc>
          <w:tcPr>
            <w:tcW w:w="1854" w:type="dxa"/>
            <w:shd w:val="clear" w:color="auto" w:fill="D9E2F3"/>
            <w:vAlign w:val="center"/>
          </w:tcPr>
          <w:p w14:paraId="225538BF" w14:textId="77777777" w:rsidR="00990B14" w:rsidRDefault="00000000">
            <w:pPr>
              <w:spacing w:before="20" w:after="20"/>
              <w:jc w:val="both"/>
            </w:pPr>
            <w:r>
              <w:rPr>
                <w:sz w:val="18"/>
                <w:szCs w:val="18"/>
              </w:rPr>
              <w:t>Aportes de asociados</w:t>
            </w:r>
          </w:p>
        </w:tc>
        <w:tc>
          <w:tcPr>
            <w:tcW w:w="1910" w:type="dxa"/>
            <w:shd w:val="clear" w:color="auto" w:fill="D9E2F3"/>
            <w:vAlign w:val="center"/>
          </w:tcPr>
          <w:p w14:paraId="3A6EC563" w14:textId="77777777" w:rsidR="00990B14" w:rsidRDefault="00000000">
            <w:pPr>
              <w:spacing w:before="20" w:after="20"/>
              <w:jc w:val="both"/>
            </w:pPr>
            <w:r>
              <w:rPr>
                <w:sz w:val="18"/>
                <w:szCs w:val="18"/>
              </w:rPr>
              <w:t>Registra los aportes sin identificar al asociado que los realiza.</w:t>
            </w:r>
          </w:p>
        </w:tc>
        <w:tc>
          <w:tcPr>
            <w:tcW w:w="2015" w:type="dxa"/>
            <w:shd w:val="clear" w:color="auto" w:fill="D9E2F3"/>
            <w:vAlign w:val="center"/>
          </w:tcPr>
          <w:p w14:paraId="4697442D" w14:textId="77777777" w:rsidR="00990B14" w:rsidRDefault="00000000">
            <w:pPr>
              <w:spacing w:before="20" w:after="20"/>
              <w:jc w:val="both"/>
            </w:pPr>
            <w:r>
              <w:rPr>
                <w:sz w:val="18"/>
                <w:szCs w:val="18"/>
              </w:rPr>
              <w:t>Registra los aportes de cada asociado.</w:t>
            </w:r>
          </w:p>
        </w:tc>
        <w:tc>
          <w:tcPr>
            <w:tcW w:w="1854" w:type="dxa"/>
            <w:shd w:val="clear" w:color="auto" w:fill="D9E2F3"/>
            <w:vAlign w:val="center"/>
          </w:tcPr>
          <w:p w14:paraId="341F4AB0" w14:textId="77777777" w:rsidR="00990B14" w:rsidRDefault="00000000">
            <w:pPr>
              <w:spacing w:before="20" w:after="20"/>
              <w:jc w:val="both"/>
            </w:pPr>
            <w:r>
              <w:rPr>
                <w:sz w:val="18"/>
                <w:szCs w:val="18"/>
              </w:rPr>
              <w:t>Analiza los bienes aportados en uso y en propiedad.</w:t>
            </w:r>
          </w:p>
        </w:tc>
      </w:tr>
      <w:tr w:rsidR="00990B14" w14:paraId="33CABAF5" w14:textId="77777777">
        <w:trPr>
          <w:cantSplit/>
          <w:jc w:val="center"/>
        </w:trPr>
        <w:tc>
          <w:tcPr>
            <w:tcW w:w="1772" w:type="dxa"/>
            <w:vMerge/>
            <w:shd w:val="clear" w:color="auto" w:fill="4472C4"/>
            <w:vAlign w:val="center"/>
          </w:tcPr>
          <w:p w14:paraId="07F688C0" w14:textId="77777777" w:rsidR="00990B14" w:rsidRDefault="00990B14">
            <w:pPr>
              <w:spacing w:before="20" w:after="20"/>
            </w:pPr>
          </w:p>
        </w:tc>
        <w:tc>
          <w:tcPr>
            <w:tcW w:w="1854" w:type="dxa"/>
            <w:shd w:val="clear" w:color="auto" w:fill="D9E2F3"/>
            <w:vAlign w:val="center"/>
          </w:tcPr>
          <w:p w14:paraId="17E8F47C" w14:textId="77777777" w:rsidR="00990B14" w:rsidRDefault="00000000">
            <w:pPr>
              <w:spacing w:before="20" w:after="20"/>
              <w:jc w:val="both"/>
            </w:pPr>
            <w:r>
              <w:rPr>
                <w:sz w:val="18"/>
                <w:szCs w:val="18"/>
              </w:rPr>
              <w:t>Operaciones del negocio</w:t>
            </w:r>
          </w:p>
        </w:tc>
        <w:tc>
          <w:tcPr>
            <w:tcW w:w="1910" w:type="dxa"/>
            <w:shd w:val="clear" w:color="auto" w:fill="D9E2F3"/>
            <w:vAlign w:val="center"/>
          </w:tcPr>
          <w:p w14:paraId="5EF7FE81" w14:textId="77777777" w:rsidR="00990B14" w:rsidRDefault="00000000">
            <w:pPr>
              <w:spacing w:before="20" w:after="20"/>
              <w:jc w:val="both"/>
            </w:pPr>
            <w:r>
              <w:rPr>
                <w:sz w:val="18"/>
                <w:szCs w:val="18"/>
              </w:rPr>
              <w:t>Omite operaciones del negocio.</w:t>
            </w:r>
          </w:p>
        </w:tc>
        <w:tc>
          <w:tcPr>
            <w:tcW w:w="2015" w:type="dxa"/>
            <w:shd w:val="clear" w:color="auto" w:fill="D9E2F3"/>
            <w:vAlign w:val="center"/>
          </w:tcPr>
          <w:p w14:paraId="6AEB8350" w14:textId="77777777" w:rsidR="00990B14" w:rsidRDefault="00000000">
            <w:pPr>
              <w:spacing w:before="20" w:after="20"/>
              <w:jc w:val="both"/>
            </w:pPr>
            <w:r>
              <w:rPr>
                <w:sz w:val="18"/>
                <w:szCs w:val="18"/>
              </w:rPr>
              <w:t>Registra las operaciones del negocio común.</w:t>
            </w:r>
          </w:p>
        </w:tc>
        <w:tc>
          <w:tcPr>
            <w:tcW w:w="1854" w:type="dxa"/>
            <w:shd w:val="clear" w:color="auto" w:fill="D9E2F3"/>
            <w:vAlign w:val="center"/>
          </w:tcPr>
          <w:p w14:paraId="681975D8" w14:textId="77777777" w:rsidR="00990B14" w:rsidRDefault="00000000">
            <w:pPr>
              <w:spacing w:before="20" w:after="20"/>
              <w:jc w:val="both"/>
            </w:pPr>
            <w:r>
              <w:rPr>
                <w:sz w:val="18"/>
                <w:szCs w:val="18"/>
              </w:rPr>
              <w:t>Separa las operaciones propias del gestor.</w:t>
            </w:r>
          </w:p>
        </w:tc>
      </w:tr>
      <w:tr w:rsidR="00990B14" w14:paraId="1B928803" w14:textId="77777777">
        <w:trPr>
          <w:cantSplit/>
          <w:jc w:val="center"/>
        </w:trPr>
        <w:tc>
          <w:tcPr>
            <w:tcW w:w="1772" w:type="dxa"/>
            <w:vMerge/>
            <w:shd w:val="clear" w:color="auto" w:fill="4472C4"/>
            <w:vAlign w:val="center"/>
          </w:tcPr>
          <w:p w14:paraId="03731A88" w14:textId="77777777" w:rsidR="00990B14" w:rsidRDefault="00990B14">
            <w:pPr>
              <w:spacing w:before="20" w:after="20"/>
            </w:pPr>
          </w:p>
        </w:tc>
        <w:tc>
          <w:tcPr>
            <w:tcW w:w="1854" w:type="dxa"/>
            <w:shd w:val="clear" w:color="auto" w:fill="D9E2F3"/>
            <w:vAlign w:val="center"/>
          </w:tcPr>
          <w:p w14:paraId="71CD787E" w14:textId="77777777" w:rsidR="00990B14" w:rsidRDefault="00000000">
            <w:pPr>
              <w:spacing w:before="20" w:after="20"/>
              <w:jc w:val="both"/>
            </w:pPr>
            <w:r>
              <w:rPr>
                <w:sz w:val="18"/>
                <w:szCs w:val="18"/>
              </w:rPr>
              <w:t>Demostración de saldos</w:t>
            </w:r>
          </w:p>
        </w:tc>
        <w:tc>
          <w:tcPr>
            <w:tcW w:w="1910" w:type="dxa"/>
            <w:shd w:val="clear" w:color="auto" w:fill="D9E2F3"/>
            <w:vAlign w:val="center"/>
          </w:tcPr>
          <w:p w14:paraId="7294769A" w14:textId="77777777" w:rsidR="00990B14" w:rsidRDefault="00000000">
            <w:pPr>
              <w:spacing w:before="20" w:after="20"/>
              <w:jc w:val="both"/>
            </w:pPr>
            <w:r>
              <w:rPr>
                <w:sz w:val="18"/>
                <w:szCs w:val="18"/>
              </w:rPr>
              <w:t>No demuestra los saldos.</w:t>
            </w:r>
          </w:p>
        </w:tc>
        <w:tc>
          <w:tcPr>
            <w:tcW w:w="2015" w:type="dxa"/>
            <w:shd w:val="clear" w:color="auto" w:fill="D9E2F3"/>
            <w:vAlign w:val="center"/>
          </w:tcPr>
          <w:p w14:paraId="4496E376" w14:textId="77777777" w:rsidR="00990B14" w:rsidRDefault="00000000">
            <w:pPr>
              <w:spacing w:before="20" w:after="20"/>
              <w:jc w:val="both"/>
            </w:pPr>
            <w:r>
              <w:rPr>
                <w:sz w:val="18"/>
                <w:szCs w:val="18"/>
              </w:rPr>
              <w:t>Demuestra los saldos de las cuentas.</w:t>
            </w:r>
          </w:p>
        </w:tc>
        <w:tc>
          <w:tcPr>
            <w:tcW w:w="1854" w:type="dxa"/>
            <w:shd w:val="clear" w:color="auto" w:fill="D9E2F3"/>
            <w:vAlign w:val="center"/>
          </w:tcPr>
          <w:p w14:paraId="6BA106E6" w14:textId="77777777" w:rsidR="00990B14" w:rsidRDefault="00000000">
            <w:pPr>
              <w:spacing w:before="20" w:after="20"/>
              <w:jc w:val="both"/>
            </w:pPr>
            <w:r>
              <w:rPr>
                <w:sz w:val="18"/>
                <w:szCs w:val="18"/>
              </w:rPr>
              <w:t>Verifica los saldos con los documentos.</w:t>
            </w:r>
          </w:p>
        </w:tc>
      </w:tr>
      <w:tr w:rsidR="00990B14" w14:paraId="2C2952FF" w14:textId="77777777">
        <w:trPr>
          <w:cantSplit/>
          <w:jc w:val="center"/>
        </w:trPr>
        <w:tc>
          <w:tcPr>
            <w:tcW w:w="1772" w:type="dxa"/>
            <w:vMerge/>
            <w:shd w:val="clear" w:color="auto" w:fill="4472C4"/>
            <w:vAlign w:val="center"/>
          </w:tcPr>
          <w:p w14:paraId="5F78A8A4" w14:textId="77777777" w:rsidR="00990B14" w:rsidRDefault="00990B14">
            <w:pPr>
              <w:spacing w:before="20" w:after="20"/>
            </w:pPr>
          </w:p>
        </w:tc>
        <w:tc>
          <w:tcPr>
            <w:tcW w:w="5779" w:type="dxa"/>
            <w:gridSpan w:val="3"/>
            <w:shd w:val="clear" w:color="auto" w:fill="D9E2F3"/>
            <w:vAlign w:val="center"/>
          </w:tcPr>
          <w:p w14:paraId="32EA7558" w14:textId="77777777" w:rsidR="00990B14" w:rsidRDefault="00000000">
            <w:pPr>
              <w:keepNext/>
              <w:spacing w:before="20" w:after="20"/>
              <w:jc w:val="both"/>
            </w:pPr>
            <w:r>
              <w:rPr>
                <w:b/>
                <w:bCs/>
                <w:i/>
                <w:iCs/>
                <w:sz w:val="18"/>
                <w:szCs w:val="18"/>
              </w:rPr>
              <w:t xml:space="preserve">Producto 22: </w:t>
            </w:r>
            <w:r>
              <w:rPr>
                <w:sz w:val="18"/>
                <w:szCs w:val="18"/>
              </w:rPr>
              <w:t>Informe de rendición de cuentas del gestor</w:t>
            </w:r>
          </w:p>
        </w:tc>
        <w:tc>
          <w:tcPr>
            <w:tcW w:w="1854" w:type="dxa"/>
            <w:shd w:val="clear" w:color="auto" w:fill="D9E2F3"/>
            <w:vAlign w:val="center"/>
          </w:tcPr>
          <w:p w14:paraId="67A47BAC" w14:textId="77777777" w:rsidR="00990B14" w:rsidRDefault="00000000">
            <w:pPr>
              <w:spacing w:before="20" w:after="20"/>
              <w:jc w:val="center"/>
            </w:pPr>
            <w:r>
              <w:rPr>
                <w:b/>
                <w:bCs/>
                <w:sz w:val="18"/>
                <w:szCs w:val="18"/>
              </w:rPr>
              <w:t>2%</w:t>
            </w:r>
          </w:p>
        </w:tc>
      </w:tr>
      <w:tr w:rsidR="00990B14" w14:paraId="63AD68CF" w14:textId="77777777">
        <w:trPr>
          <w:cantSplit/>
          <w:jc w:val="center"/>
        </w:trPr>
        <w:tc>
          <w:tcPr>
            <w:tcW w:w="1772" w:type="dxa"/>
            <w:vMerge/>
            <w:shd w:val="clear" w:color="auto" w:fill="4472C4"/>
            <w:vAlign w:val="center"/>
          </w:tcPr>
          <w:p w14:paraId="4861CE7D" w14:textId="77777777" w:rsidR="00990B14" w:rsidRDefault="00990B14">
            <w:pPr>
              <w:spacing w:before="20" w:after="20"/>
            </w:pPr>
          </w:p>
        </w:tc>
        <w:tc>
          <w:tcPr>
            <w:tcW w:w="1854" w:type="dxa"/>
            <w:shd w:val="clear" w:color="auto" w:fill="4472C4"/>
            <w:vAlign w:val="center"/>
          </w:tcPr>
          <w:p w14:paraId="6B3B60AF"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5FF8FA28"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6DA1AF9D" w14:textId="77777777" w:rsidR="00990B14" w:rsidRDefault="00000000">
            <w:pPr>
              <w:keepNext/>
              <w:spacing w:before="20" w:after="20"/>
              <w:jc w:val="center"/>
            </w:pPr>
            <w:r>
              <w:rPr>
                <w:b/>
                <w:bCs/>
                <w:i/>
                <w:iCs/>
                <w:color w:val="FFFFFF"/>
                <w:sz w:val="18"/>
                <w:szCs w:val="18"/>
              </w:rPr>
              <w:t>Suficiente (51–80)</w:t>
            </w:r>
          </w:p>
        </w:tc>
        <w:tc>
          <w:tcPr>
            <w:tcW w:w="1854" w:type="dxa"/>
            <w:shd w:val="clear" w:color="auto" w:fill="4472C4"/>
            <w:vAlign w:val="center"/>
          </w:tcPr>
          <w:p w14:paraId="6EDB0721" w14:textId="77777777" w:rsidR="00990B14" w:rsidRDefault="00000000">
            <w:pPr>
              <w:keepNext/>
              <w:spacing w:before="20" w:after="20"/>
              <w:jc w:val="center"/>
            </w:pPr>
            <w:r>
              <w:rPr>
                <w:b/>
                <w:bCs/>
                <w:i/>
                <w:iCs/>
                <w:color w:val="FFFFFF"/>
                <w:sz w:val="18"/>
                <w:szCs w:val="18"/>
              </w:rPr>
              <w:t>Destacado (81–100)</w:t>
            </w:r>
          </w:p>
        </w:tc>
      </w:tr>
      <w:tr w:rsidR="00990B14" w14:paraId="764B2AEC" w14:textId="77777777">
        <w:trPr>
          <w:cantSplit/>
          <w:jc w:val="center"/>
        </w:trPr>
        <w:tc>
          <w:tcPr>
            <w:tcW w:w="1772" w:type="dxa"/>
            <w:vMerge/>
            <w:shd w:val="clear" w:color="auto" w:fill="4472C4"/>
            <w:vAlign w:val="center"/>
          </w:tcPr>
          <w:p w14:paraId="0E9AB5BA" w14:textId="77777777" w:rsidR="00990B14" w:rsidRDefault="00990B14">
            <w:pPr>
              <w:spacing w:before="20" w:after="20"/>
            </w:pPr>
          </w:p>
        </w:tc>
        <w:tc>
          <w:tcPr>
            <w:tcW w:w="1854" w:type="dxa"/>
            <w:shd w:val="clear" w:color="auto" w:fill="D9E2F3"/>
            <w:vAlign w:val="center"/>
          </w:tcPr>
          <w:p w14:paraId="603A62F5" w14:textId="77777777" w:rsidR="00990B14" w:rsidRDefault="00000000">
            <w:pPr>
              <w:spacing w:before="20" w:after="20"/>
              <w:jc w:val="both"/>
            </w:pPr>
            <w:r>
              <w:rPr>
                <w:sz w:val="18"/>
                <w:szCs w:val="18"/>
              </w:rPr>
              <w:t>Respaldo documental</w:t>
            </w:r>
          </w:p>
        </w:tc>
        <w:tc>
          <w:tcPr>
            <w:tcW w:w="1910" w:type="dxa"/>
            <w:shd w:val="clear" w:color="auto" w:fill="D9E2F3"/>
            <w:vAlign w:val="center"/>
          </w:tcPr>
          <w:p w14:paraId="3AF3284C" w14:textId="77777777" w:rsidR="00990B14" w:rsidRDefault="00000000">
            <w:pPr>
              <w:spacing w:before="20" w:after="20"/>
              <w:jc w:val="both"/>
            </w:pPr>
            <w:r>
              <w:rPr>
                <w:sz w:val="18"/>
                <w:szCs w:val="18"/>
              </w:rPr>
              <w:t>No revisa los respaldos.</w:t>
            </w:r>
          </w:p>
        </w:tc>
        <w:tc>
          <w:tcPr>
            <w:tcW w:w="2015" w:type="dxa"/>
            <w:shd w:val="clear" w:color="auto" w:fill="D9E2F3"/>
            <w:vAlign w:val="center"/>
          </w:tcPr>
          <w:p w14:paraId="1D5DB68A" w14:textId="77777777" w:rsidR="00990B14" w:rsidRDefault="00000000">
            <w:pPr>
              <w:spacing w:before="20" w:after="20"/>
              <w:jc w:val="both"/>
            </w:pPr>
            <w:r>
              <w:rPr>
                <w:sz w:val="18"/>
                <w:szCs w:val="18"/>
              </w:rPr>
              <w:t>Verifica los respaldos de las operaciones.</w:t>
            </w:r>
          </w:p>
        </w:tc>
        <w:tc>
          <w:tcPr>
            <w:tcW w:w="1854" w:type="dxa"/>
            <w:shd w:val="clear" w:color="auto" w:fill="D9E2F3"/>
            <w:vAlign w:val="center"/>
          </w:tcPr>
          <w:p w14:paraId="2F309830" w14:textId="77777777" w:rsidR="00990B14" w:rsidRDefault="00000000">
            <w:pPr>
              <w:spacing w:before="20" w:after="20"/>
              <w:jc w:val="both"/>
            </w:pPr>
            <w:r>
              <w:rPr>
                <w:sz w:val="18"/>
                <w:szCs w:val="18"/>
              </w:rPr>
              <w:t>Señala gastos sin respaldo suficiente.</w:t>
            </w:r>
          </w:p>
        </w:tc>
      </w:tr>
      <w:tr w:rsidR="00990B14" w14:paraId="2D022F5A" w14:textId="77777777">
        <w:trPr>
          <w:cantSplit/>
          <w:jc w:val="center"/>
        </w:trPr>
        <w:tc>
          <w:tcPr>
            <w:tcW w:w="1772" w:type="dxa"/>
            <w:vMerge/>
            <w:shd w:val="clear" w:color="auto" w:fill="4472C4"/>
            <w:vAlign w:val="center"/>
          </w:tcPr>
          <w:p w14:paraId="3CBA967F" w14:textId="77777777" w:rsidR="00990B14" w:rsidRDefault="00990B14">
            <w:pPr>
              <w:spacing w:before="20" w:after="20"/>
            </w:pPr>
          </w:p>
        </w:tc>
        <w:tc>
          <w:tcPr>
            <w:tcW w:w="1854" w:type="dxa"/>
            <w:shd w:val="clear" w:color="auto" w:fill="D9E2F3"/>
            <w:vAlign w:val="center"/>
          </w:tcPr>
          <w:p w14:paraId="5D2C5C3A" w14:textId="77777777" w:rsidR="00990B14" w:rsidRDefault="00000000">
            <w:pPr>
              <w:spacing w:before="20" w:after="20"/>
              <w:jc w:val="both"/>
            </w:pPr>
            <w:r>
              <w:rPr>
                <w:sz w:val="18"/>
                <w:szCs w:val="18"/>
              </w:rPr>
              <w:t>Conciliación de saldos</w:t>
            </w:r>
          </w:p>
        </w:tc>
        <w:tc>
          <w:tcPr>
            <w:tcW w:w="1910" w:type="dxa"/>
            <w:shd w:val="clear" w:color="auto" w:fill="D9E2F3"/>
            <w:vAlign w:val="center"/>
          </w:tcPr>
          <w:p w14:paraId="09DB11F6" w14:textId="77777777" w:rsidR="00990B14" w:rsidRDefault="00000000">
            <w:pPr>
              <w:spacing w:before="20" w:after="20"/>
              <w:jc w:val="both"/>
            </w:pPr>
            <w:r>
              <w:rPr>
                <w:sz w:val="18"/>
                <w:szCs w:val="18"/>
              </w:rPr>
              <w:t>No concilia los saldos.</w:t>
            </w:r>
          </w:p>
        </w:tc>
        <w:tc>
          <w:tcPr>
            <w:tcW w:w="2015" w:type="dxa"/>
            <w:shd w:val="clear" w:color="auto" w:fill="D9E2F3"/>
            <w:vAlign w:val="center"/>
          </w:tcPr>
          <w:p w14:paraId="344CCBA1" w14:textId="77777777" w:rsidR="00990B14" w:rsidRDefault="00000000">
            <w:pPr>
              <w:spacing w:before="20" w:after="20"/>
              <w:jc w:val="both"/>
            </w:pPr>
            <w:r>
              <w:rPr>
                <w:sz w:val="18"/>
                <w:szCs w:val="18"/>
              </w:rPr>
              <w:t>Concilia los aportes con las operaciones.</w:t>
            </w:r>
          </w:p>
        </w:tc>
        <w:tc>
          <w:tcPr>
            <w:tcW w:w="1854" w:type="dxa"/>
            <w:shd w:val="clear" w:color="auto" w:fill="D9E2F3"/>
            <w:vAlign w:val="center"/>
          </w:tcPr>
          <w:p w14:paraId="012CC159" w14:textId="77777777" w:rsidR="00990B14" w:rsidRDefault="00000000">
            <w:pPr>
              <w:spacing w:before="20" w:after="20"/>
              <w:jc w:val="both"/>
            </w:pPr>
            <w:r>
              <w:rPr>
                <w:sz w:val="18"/>
                <w:szCs w:val="18"/>
              </w:rPr>
              <w:t>Explica las diferencias encontradas.</w:t>
            </w:r>
          </w:p>
        </w:tc>
      </w:tr>
      <w:tr w:rsidR="00990B14" w14:paraId="7870DF4F" w14:textId="77777777">
        <w:trPr>
          <w:cantSplit/>
          <w:jc w:val="center"/>
        </w:trPr>
        <w:tc>
          <w:tcPr>
            <w:tcW w:w="1772" w:type="dxa"/>
            <w:vMerge/>
            <w:shd w:val="clear" w:color="auto" w:fill="4472C4"/>
            <w:vAlign w:val="center"/>
          </w:tcPr>
          <w:p w14:paraId="47DF5621" w14:textId="77777777" w:rsidR="00990B14" w:rsidRDefault="00990B14">
            <w:pPr>
              <w:spacing w:before="20" w:after="20"/>
            </w:pPr>
          </w:p>
        </w:tc>
        <w:tc>
          <w:tcPr>
            <w:tcW w:w="1854" w:type="dxa"/>
            <w:shd w:val="clear" w:color="auto" w:fill="D9E2F3"/>
            <w:vAlign w:val="center"/>
          </w:tcPr>
          <w:p w14:paraId="5DF80B70" w14:textId="77777777" w:rsidR="00990B14" w:rsidRDefault="00000000">
            <w:pPr>
              <w:spacing w:before="20" w:after="20"/>
              <w:jc w:val="both"/>
            </w:pPr>
            <w:r>
              <w:rPr>
                <w:sz w:val="18"/>
                <w:szCs w:val="18"/>
              </w:rPr>
              <w:t>Trabajo en equipo</w:t>
            </w:r>
          </w:p>
        </w:tc>
        <w:tc>
          <w:tcPr>
            <w:tcW w:w="1910" w:type="dxa"/>
            <w:shd w:val="clear" w:color="auto" w:fill="D9E2F3"/>
            <w:vAlign w:val="center"/>
          </w:tcPr>
          <w:p w14:paraId="0FDBA8F3" w14:textId="77777777" w:rsidR="00990B14" w:rsidRDefault="00000000">
            <w:pPr>
              <w:spacing w:before="20" w:after="20"/>
              <w:jc w:val="both"/>
            </w:pPr>
            <w:r>
              <w:rPr>
                <w:sz w:val="18"/>
                <w:szCs w:val="18"/>
              </w:rPr>
              <w:t>La participación es desigual.</w:t>
            </w:r>
          </w:p>
        </w:tc>
        <w:tc>
          <w:tcPr>
            <w:tcW w:w="2015" w:type="dxa"/>
            <w:shd w:val="clear" w:color="auto" w:fill="D9E2F3"/>
            <w:vAlign w:val="center"/>
          </w:tcPr>
          <w:p w14:paraId="78ED1CE9" w14:textId="77777777" w:rsidR="00990B14" w:rsidRDefault="00000000">
            <w:pPr>
              <w:spacing w:before="20" w:after="20"/>
              <w:jc w:val="both"/>
            </w:pPr>
            <w:r>
              <w:rPr>
                <w:sz w:val="18"/>
                <w:szCs w:val="18"/>
              </w:rPr>
              <w:t>Todos los integrantes participan.</w:t>
            </w:r>
          </w:p>
        </w:tc>
        <w:tc>
          <w:tcPr>
            <w:tcW w:w="1854" w:type="dxa"/>
            <w:shd w:val="clear" w:color="auto" w:fill="D9E2F3"/>
            <w:vAlign w:val="center"/>
          </w:tcPr>
          <w:p w14:paraId="3B7AFE0C" w14:textId="77777777" w:rsidR="00990B14" w:rsidRDefault="00000000">
            <w:pPr>
              <w:spacing w:before="20" w:after="20"/>
              <w:jc w:val="both"/>
            </w:pPr>
            <w:r>
              <w:rPr>
                <w:sz w:val="18"/>
                <w:szCs w:val="18"/>
              </w:rPr>
              <w:t>El equipo sustenta su trabajo ante el curso.</w:t>
            </w:r>
          </w:p>
        </w:tc>
      </w:tr>
      <w:tr w:rsidR="00990B14" w14:paraId="33E9C9A6" w14:textId="77777777">
        <w:trPr>
          <w:cantSplit/>
          <w:jc w:val="center"/>
        </w:trPr>
        <w:tc>
          <w:tcPr>
            <w:tcW w:w="1772" w:type="dxa"/>
            <w:vMerge/>
            <w:shd w:val="clear" w:color="auto" w:fill="4472C4"/>
            <w:vAlign w:val="center"/>
          </w:tcPr>
          <w:p w14:paraId="1D33C872" w14:textId="77777777" w:rsidR="00990B14" w:rsidRDefault="00990B14">
            <w:pPr>
              <w:spacing w:before="20" w:after="20"/>
            </w:pPr>
          </w:p>
        </w:tc>
        <w:tc>
          <w:tcPr>
            <w:tcW w:w="5779" w:type="dxa"/>
            <w:gridSpan w:val="3"/>
            <w:shd w:val="clear" w:color="auto" w:fill="D9E2F3"/>
            <w:vAlign w:val="center"/>
          </w:tcPr>
          <w:p w14:paraId="669D82DF" w14:textId="77777777" w:rsidR="00990B14" w:rsidRDefault="00000000">
            <w:pPr>
              <w:keepNext/>
              <w:spacing w:before="20" w:after="20"/>
              <w:jc w:val="both"/>
            </w:pPr>
            <w:r>
              <w:rPr>
                <w:b/>
                <w:bCs/>
                <w:i/>
                <w:iCs/>
                <w:sz w:val="18"/>
                <w:szCs w:val="18"/>
              </w:rPr>
              <w:t xml:space="preserve">Producto 23: </w:t>
            </w:r>
            <w:r>
              <w:rPr>
                <w:sz w:val="18"/>
                <w:szCs w:val="18"/>
              </w:rPr>
              <w:t>Cuadro de distribución de resultados entre asociados</w:t>
            </w:r>
          </w:p>
        </w:tc>
        <w:tc>
          <w:tcPr>
            <w:tcW w:w="1854" w:type="dxa"/>
            <w:shd w:val="clear" w:color="auto" w:fill="D9E2F3"/>
            <w:vAlign w:val="center"/>
          </w:tcPr>
          <w:p w14:paraId="43B28D76" w14:textId="77777777" w:rsidR="00990B14" w:rsidRDefault="00000000">
            <w:pPr>
              <w:spacing w:before="20" w:after="20"/>
              <w:jc w:val="center"/>
            </w:pPr>
            <w:r>
              <w:rPr>
                <w:b/>
                <w:bCs/>
                <w:sz w:val="18"/>
                <w:szCs w:val="18"/>
              </w:rPr>
              <w:t>1%</w:t>
            </w:r>
          </w:p>
        </w:tc>
      </w:tr>
      <w:tr w:rsidR="00990B14" w14:paraId="00AD732B" w14:textId="77777777">
        <w:trPr>
          <w:cantSplit/>
          <w:jc w:val="center"/>
        </w:trPr>
        <w:tc>
          <w:tcPr>
            <w:tcW w:w="1772" w:type="dxa"/>
            <w:vMerge/>
            <w:shd w:val="clear" w:color="auto" w:fill="4472C4"/>
            <w:vAlign w:val="center"/>
          </w:tcPr>
          <w:p w14:paraId="2AE9C0B8" w14:textId="77777777" w:rsidR="00990B14" w:rsidRDefault="00990B14">
            <w:pPr>
              <w:spacing w:before="20" w:after="20"/>
            </w:pPr>
          </w:p>
        </w:tc>
        <w:tc>
          <w:tcPr>
            <w:tcW w:w="1854" w:type="dxa"/>
            <w:shd w:val="clear" w:color="auto" w:fill="4472C4"/>
            <w:vAlign w:val="center"/>
          </w:tcPr>
          <w:p w14:paraId="64931D65"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7ADBA1A0"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56D47394" w14:textId="77777777" w:rsidR="00990B14" w:rsidRDefault="00000000">
            <w:pPr>
              <w:keepNext/>
              <w:spacing w:before="20" w:after="20"/>
              <w:jc w:val="center"/>
            </w:pPr>
            <w:r>
              <w:rPr>
                <w:b/>
                <w:bCs/>
                <w:i/>
                <w:iCs/>
                <w:color w:val="FFFFFF"/>
                <w:sz w:val="18"/>
                <w:szCs w:val="18"/>
              </w:rPr>
              <w:t>Suficiente (51–80)</w:t>
            </w:r>
          </w:p>
        </w:tc>
        <w:tc>
          <w:tcPr>
            <w:tcW w:w="1854" w:type="dxa"/>
            <w:shd w:val="clear" w:color="auto" w:fill="4472C4"/>
            <w:vAlign w:val="center"/>
          </w:tcPr>
          <w:p w14:paraId="2F62E9BB" w14:textId="77777777" w:rsidR="00990B14" w:rsidRDefault="00000000">
            <w:pPr>
              <w:keepNext/>
              <w:spacing w:before="20" w:after="20"/>
              <w:jc w:val="center"/>
            </w:pPr>
            <w:r>
              <w:rPr>
                <w:b/>
                <w:bCs/>
                <w:i/>
                <w:iCs/>
                <w:color w:val="FFFFFF"/>
                <w:sz w:val="18"/>
                <w:szCs w:val="18"/>
              </w:rPr>
              <w:t>Destacado (81–100)</w:t>
            </w:r>
          </w:p>
        </w:tc>
      </w:tr>
      <w:tr w:rsidR="00990B14" w14:paraId="39B99286" w14:textId="77777777">
        <w:trPr>
          <w:cantSplit/>
          <w:jc w:val="center"/>
        </w:trPr>
        <w:tc>
          <w:tcPr>
            <w:tcW w:w="1772" w:type="dxa"/>
            <w:vMerge/>
            <w:shd w:val="clear" w:color="auto" w:fill="4472C4"/>
            <w:vAlign w:val="center"/>
          </w:tcPr>
          <w:p w14:paraId="1927EFFF" w14:textId="77777777" w:rsidR="00990B14" w:rsidRDefault="00990B14">
            <w:pPr>
              <w:spacing w:before="20" w:after="20"/>
            </w:pPr>
          </w:p>
        </w:tc>
        <w:tc>
          <w:tcPr>
            <w:tcW w:w="1854" w:type="dxa"/>
            <w:shd w:val="clear" w:color="auto" w:fill="D9E2F3"/>
            <w:vAlign w:val="center"/>
          </w:tcPr>
          <w:p w14:paraId="2C2EC608" w14:textId="77777777" w:rsidR="00990B14" w:rsidRDefault="00000000">
            <w:pPr>
              <w:spacing w:before="20" w:after="20"/>
              <w:jc w:val="both"/>
            </w:pPr>
            <w:r>
              <w:rPr>
                <w:sz w:val="18"/>
                <w:szCs w:val="18"/>
              </w:rPr>
              <w:t>Resultado del negocio</w:t>
            </w:r>
          </w:p>
        </w:tc>
        <w:tc>
          <w:tcPr>
            <w:tcW w:w="1910" w:type="dxa"/>
            <w:shd w:val="clear" w:color="auto" w:fill="D9E2F3"/>
            <w:vAlign w:val="center"/>
          </w:tcPr>
          <w:p w14:paraId="196FEF52" w14:textId="77777777" w:rsidR="00990B14" w:rsidRDefault="00000000">
            <w:pPr>
              <w:spacing w:before="20" w:after="20"/>
              <w:jc w:val="both"/>
            </w:pPr>
            <w:r>
              <w:rPr>
                <w:sz w:val="18"/>
                <w:szCs w:val="18"/>
              </w:rPr>
              <w:t>Calcula mal el resultado.</w:t>
            </w:r>
          </w:p>
        </w:tc>
        <w:tc>
          <w:tcPr>
            <w:tcW w:w="2015" w:type="dxa"/>
            <w:shd w:val="clear" w:color="auto" w:fill="D9E2F3"/>
            <w:vAlign w:val="center"/>
          </w:tcPr>
          <w:p w14:paraId="763CE6C7" w14:textId="77777777" w:rsidR="00990B14" w:rsidRDefault="00000000">
            <w:pPr>
              <w:spacing w:before="20" w:after="20"/>
              <w:jc w:val="both"/>
            </w:pPr>
            <w:r>
              <w:rPr>
                <w:sz w:val="18"/>
                <w:szCs w:val="18"/>
              </w:rPr>
              <w:t>Determina el resultado del negocio común.</w:t>
            </w:r>
          </w:p>
        </w:tc>
        <w:tc>
          <w:tcPr>
            <w:tcW w:w="1854" w:type="dxa"/>
            <w:shd w:val="clear" w:color="auto" w:fill="D9E2F3"/>
            <w:vAlign w:val="center"/>
          </w:tcPr>
          <w:p w14:paraId="196E5B84" w14:textId="77777777" w:rsidR="00990B14" w:rsidRDefault="00000000">
            <w:pPr>
              <w:spacing w:before="20" w:after="20"/>
              <w:jc w:val="both"/>
            </w:pPr>
            <w:r>
              <w:rPr>
                <w:sz w:val="18"/>
                <w:szCs w:val="18"/>
              </w:rPr>
              <w:t>Verifica el resultado con las operaciones registradas.</w:t>
            </w:r>
          </w:p>
        </w:tc>
      </w:tr>
      <w:tr w:rsidR="00990B14" w14:paraId="0F51FDAC" w14:textId="77777777">
        <w:trPr>
          <w:cantSplit/>
          <w:jc w:val="center"/>
        </w:trPr>
        <w:tc>
          <w:tcPr>
            <w:tcW w:w="1772" w:type="dxa"/>
            <w:vMerge/>
            <w:shd w:val="clear" w:color="auto" w:fill="4472C4"/>
            <w:vAlign w:val="center"/>
          </w:tcPr>
          <w:p w14:paraId="1F36E1AB" w14:textId="77777777" w:rsidR="00990B14" w:rsidRDefault="00990B14">
            <w:pPr>
              <w:spacing w:before="20" w:after="20"/>
            </w:pPr>
          </w:p>
        </w:tc>
        <w:tc>
          <w:tcPr>
            <w:tcW w:w="1854" w:type="dxa"/>
            <w:shd w:val="clear" w:color="auto" w:fill="D9E2F3"/>
            <w:vAlign w:val="center"/>
          </w:tcPr>
          <w:p w14:paraId="177C1F6F" w14:textId="77777777" w:rsidR="00990B14" w:rsidRDefault="00000000">
            <w:pPr>
              <w:spacing w:before="20" w:after="20"/>
              <w:jc w:val="both"/>
            </w:pPr>
            <w:r>
              <w:rPr>
                <w:sz w:val="18"/>
                <w:szCs w:val="18"/>
              </w:rPr>
              <w:t>Distribución entre asociados</w:t>
            </w:r>
          </w:p>
        </w:tc>
        <w:tc>
          <w:tcPr>
            <w:tcW w:w="1910" w:type="dxa"/>
            <w:shd w:val="clear" w:color="auto" w:fill="D9E2F3"/>
            <w:vAlign w:val="center"/>
          </w:tcPr>
          <w:p w14:paraId="0FCEB5A7" w14:textId="77777777" w:rsidR="00990B14" w:rsidRDefault="00000000">
            <w:pPr>
              <w:spacing w:before="20" w:after="20"/>
              <w:jc w:val="both"/>
            </w:pPr>
            <w:r>
              <w:rPr>
                <w:sz w:val="18"/>
                <w:szCs w:val="18"/>
              </w:rPr>
              <w:t>Distribuye sin criterio.</w:t>
            </w:r>
          </w:p>
        </w:tc>
        <w:tc>
          <w:tcPr>
            <w:tcW w:w="2015" w:type="dxa"/>
            <w:shd w:val="clear" w:color="auto" w:fill="D9E2F3"/>
            <w:vAlign w:val="center"/>
          </w:tcPr>
          <w:p w14:paraId="081B705C" w14:textId="77777777" w:rsidR="00990B14" w:rsidRDefault="00000000">
            <w:pPr>
              <w:spacing w:before="20" w:after="20"/>
              <w:jc w:val="both"/>
            </w:pPr>
            <w:r>
              <w:rPr>
                <w:sz w:val="18"/>
                <w:szCs w:val="18"/>
              </w:rPr>
              <w:t>Distribuye según el contrato.</w:t>
            </w:r>
          </w:p>
        </w:tc>
        <w:tc>
          <w:tcPr>
            <w:tcW w:w="1854" w:type="dxa"/>
            <w:shd w:val="clear" w:color="auto" w:fill="D9E2F3"/>
            <w:vAlign w:val="center"/>
          </w:tcPr>
          <w:p w14:paraId="1FB21EBD" w14:textId="77777777" w:rsidR="00990B14" w:rsidRDefault="00000000">
            <w:pPr>
              <w:spacing w:before="20" w:after="20"/>
              <w:jc w:val="both"/>
            </w:pPr>
            <w:r>
              <w:rPr>
                <w:sz w:val="18"/>
                <w:szCs w:val="18"/>
              </w:rPr>
              <w:t>Justifica la liquidación final del negocio.</w:t>
            </w:r>
          </w:p>
        </w:tc>
      </w:tr>
      <w:tr w:rsidR="00990B14" w14:paraId="5148A41A" w14:textId="77777777">
        <w:trPr>
          <w:cantSplit/>
          <w:jc w:val="center"/>
        </w:trPr>
        <w:tc>
          <w:tcPr>
            <w:tcW w:w="1772" w:type="dxa"/>
            <w:vMerge/>
            <w:shd w:val="clear" w:color="auto" w:fill="4472C4"/>
            <w:vAlign w:val="center"/>
          </w:tcPr>
          <w:p w14:paraId="577D6E20" w14:textId="77777777" w:rsidR="00990B14" w:rsidRDefault="00990B14">
            <w:pPr>
              <w:spacing w:before="20" w:after="20"/>
            </w:pPr>
          </w:p>
        </w:tc>
        <w:tc>
          <w:tcPr>
            <w:tcW w:w="1854" w:type="dxa"/>
            <w:shd w:val="clear" w:color="auto" w:fill="D9E2F3"/>
            <w:vAlign w:val="center"/>
          </w:tcPr>
          <w:p w14:paraId="01F695C6" w14:textId="77777777" w:rsidR="00990B14" w:rsidRDefault="00000000">
            <w:pPr>
              <w:spacing w:before="20" w:after="20"/>
              <w:jc w:val="both"/>
            </w:pPr>
            <w:r>
              <w:rPr>
                <w:sz w:val="18"/>
                <w:szCs w:val="18"/>
              </w:rPr>
              <w:t>Hoja de cálculo</w:t>
            </w:r>
          </w:p>
        </w:tc>
        <w:tc>
          <w:tcPr>
            <w:tcW w:w="1910" w:type="dxa"/>
            <w:shd w:val="clear" w:color="auto" w:fill="D9E2F3"/>
            <w:vAlign w:val="center"/>
          </w:tcPr>
          <w:p w14:paraId="6BDC7FBB" w14:textId="77777777" w:rsidR="00990B14" w:rsidRDefault="00000000">
            <w:pPr>
              <w:spacing w:before="20" w:after="20"/>
              <w:jc w:val="both"/>
            </w:pPr>
            <w:r>
              <w:rPr>
                <w:sz w:val="18"/>
                <w:szCs w:val="18"/>
              </w:rPr>
              <w:t>No usa fórmulas.</w:t>
            </w:r>
          </w:p>
        </w:tc>
        <w:tc>
          <w:tcPr>
            <w:tcW w:w="2015" w:type="dxa"/>
            <w:shd w:val="clear" w:color="auto" w:fill="D9E2F3"/>
            <w:vAlign w:val="center"/>
          </w:tcPr>
          <w:p w14:paraId="051D08A0" w14:textId="77777777" w:rsidR="00990B14" w:rsidRDefault="00000000">
            <w:pPr>
              <w:spacing w:before="20" w:after="20"/>
              <w:jc w:val="both"/>
            </w:pPr>
            <w:r>
              <w:rPr>
                <w:sz w:val="18"/>
                <w:szCs w:val="18"/>
              </w:rPr>
              <w:t>Usa fórmulas en el cuadro.</w:t>
            </w:r>
          </w:p>
        </w:tc>
        <w:tc>
          <w:tcPr>
            <w:tcW w:w="1854" w:type="dxa"/>
            <w:shd w:val="clear" w:color="auto" w:fill="D9E2F3"/>
            <w:vAlign w:val="center"/>
          </w:tcPr>
          <w:p w14:paraId="45E08484" w14:textId="77777777" w:rsidR="00990B14" w:rsidRDefault="00000000">
            <w:pPr>
              <w:spacing w:before="20" w:after="20"/>
              <w:jc w:val="both"/>
            </w:pPr>
            <w:r>
              <w:rPr>
                <w:sz w:val="18"/>
                <w:szCs w:val="18"/>
              </w:rPr>
              <w:t>Verifica que el cuadro admita cambios de datos.</w:t>
            </w:r>
          </w:p>
        </w:tc>
      </w:tr>
      <w:tr w:rsidR="00990B14" w14:paraId="49BBF5E8" w14:textId="77777777">
        <w:trPr>
          <w:cantSplit/>
          <w:jc w:val="center"/>
        </w:trPr>
        <w:tc>
          <w:tcPr>
            <w:tcW w:w="1772" w:type="dxa"/>
            <w:vMerge/>
            <w:shd w:val="clear" w:color="auto" w:fill="4472C4"/>
            <w:vAlign w:val="center"/>
          </w:tcPr>
          <w:p w14:paraId="6ACC65B7" w14:textId="77777777" w:rsidR="00990B14" w:rsidRDefault="00990B14">
            <w:pPr>
              <w:spacing w:before="20" w:after="20"/>
            </w:pPr>
          </w:p>
        </w:tc>
        <w:tc>
          <w:tcPr>
            <w:tcW w:w="5779" w:type="dxa"/>
            <w:gridSpan w:val="3"/>
            <w:shd w:val="clear" w:color="auto" w:fill="D9E2F3"/>
            <w:vAlign w:val="center"/>
          </w:tcPr>
          <w:p w14:paraId="3E670961" w14:textId="77777777" w:rsidR="00990B14" w:rsidRDefault="00000000">
            <w:pPr>
              <w:keepNext/>
              <w:spacing w:before="20" w:after="20"/>
              <w:jc w:val="both"/>
            </w:pPr>
            <w:r>
              <w:rPr>
                <w:b/>
                <w:bCs/>
                <w:i/>
                <w:iCs/>
                <w:sz w:val="18"/>
                <w:szCs w:val="18"/>
              </w:rPr>
              <w:t xml:space="preserve">Producto 24: </w:t>
            </w:r>
            <w:r>
              <w:rPr>
                <w:sz w:val="18"/>
                <w:szCs w:val="18"/>
              </w:rPr>
              <w:t>Ficha del régimen tributario de una asociación accidental</w:t>
            </w:r>
          </w:p>
        </w:tc>
        <w:tc>
          <w:tcPr>
            <w:tcW w:w="1854" w:type="dxa"/>
            <w:shd w:val="clear" w:color="auto" w:fill="D9E2F3"/>
            <w:vAlign w:val="center"/>
          </w:tcPr>
          <w:p w14:paraId="11DF974C" w14:textId="77777777" w:rsidR="00990B14" w:rsidRDefault="00000000">
            <w:pPr>
              <w:spacing w:before="20" w:after="20"/>
              <w:jc w:val="center"/>
            </w:pPr>
            <w:r>
              <w:rPr>
                <w:b/>
                <w:bCs/>
                <w:sz w:val="18"/>
                <w:szCs w:val="18"/>
              </w:rPr>
              <w:t>1%</w:t>
            </w:r>
          </w:p>
        </w:tc>
      </w:tr>
      <w:tr w:rsidR="00990B14" w14:paraId="6827A07B" w14:textId="77777777">
        <w:trPr>
          <w:cantSplit/>
          <w:jc w:val="center"/>
        </w:trPr>
        <w:tc>
          <w:tcPr>
            <w:tcW w:w="1772" w:type="dxa"/>
            <w:vMerge/>
            <w:shd w:val="clear" w:color="auto" w:fill="4472C4"/>
            <w:vAlign w:val="center"/>
          </w:tcPr>
          <w:p w14:paraId="4AD5A111" w14:textId="77777777" w:rsidR="00990B14" w:rsidRDefault="00990B14">
            <w:pPr>
              <w:spacing w:before="20" w:after="20"/>
            </w:pPr>
          </w:p>
        </w:tc>
        <w:tc>
          <w:tcPr>
            <w:tcW w:w="1854" w:type="dxa"/>
            <w:shd w:val="clear" w:color="auto" w:fill="4472C4"/>
            <w:vAlign w:val="center"/>
          </w:tcPr>
          <w:p w14:paraId="0090F693"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5450205F"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20F6B47B" w14:textId="77777777" w:rsidR="00990B14" w:rsidRDefault="00000000">
            <w:pPr>
              <w:keepNext/>
              <w:spacing w:before="20" w:after="20"/>
              <w:jc w:val="center"/>
            </w:pPr>
            <w:r>
              <w:rPr>
                <w:b/>
                <w:bCs/>
                <w:i/>
                <w:iCs/>
                <w:color w:val="FFFFFF"/>
                <w:sz w:val="18"/>
                <w:szCs w:val="18"/>
              </w:rPr>
              <w:t>Suficiente (51–80)</w:t>
            </w:r>
          </w:p>
        </w:tc>
        <w:tc>
          <w:tcPr>
            <w:tcW w:w="1854" w:type="dxa"/>
            <w:shd w:val="clear" w:color="auto" w:fill="4472C4"/>
            <w:vAlign w:val="center"/>
          </w:tcPr>
          <w:p w14:paraId="33769B11" w14:textId="77777777" w:rsidR="00990B14" w:rsidRDefault="00000000">
            <w:pPr>
              <w:keepNext/>
              <w:spacing w:before="20" w:after="20"/>
              <w:jc w:val="center"/>
            </w:pPr>
            <w:r>
              <w:rPr>
                <w:b/>
                <w:bCs/>
                <w:i/>
                <w:iCs/>
                <w:color w:val="FFFFFF"/>
                <w:sz w:val="18"/>
                <w:szCs w:val="18"/>
              </w:rPr>
              <w:t>Destacado (81–100)</w:t>
            </w:r>
          </w:p>
        </w:tc>
      </w:tr>
      <w:tr w:rsidR="00990B14" w14:paraId="19A54B51" w14:textId="77777777">
        <w:trPr>
          <w:cantSplit/>
          <w:jc w:val="center"/>
        </w:trPr>
        <w:tc>
          <w:tcPr>
            <w:tcW w:w="1772" w:type="dxa"/>
            <w:vMerge/>
            <w:shd w:val="clear" w:color="auto" w:fill="4472C4"/>
            <w:vAlign w:val="center"/>
          </w:tcPr>
          <w:p w14:paraId="53448F8F" w14:textId="77777777" w:rsidR="00990B14" w:rsidRDefault="00990B14">
            <w:pPr>
              <w:spacing w:before="20" w:after="20"/>
            </w:pPr>
          </w:p>
        </w:tc>
        <w:tc>
          <w:tcPr>
            <w:tcW w:w="1854" w:type="dxa"/>
            <w:shd w:val="clear" w:color="auto" w:fill="D9E2F3"/>
            <w:vAlign w:val="center"/>
          </w:tcPr>
          <w:p w14:paraId="08444AFA" w14:textId="77777777" w:rsidR="00990B14" w:rsidRDefault="00000000">
            <w:pPr>
              <w:spacing w:before="20" w:after="20"/>
              <w:jc w:val="both"/>
            </w:pPr>
            <w:r>
              <w:rPr>
                <w:sz w:val="18"/>
                <w:szCs w:val="18"/>
              </w:rPr>
              <w:t>Número de Identificación Tributaria</w:t>
            </w:r>
          </w:p>
        </w:tc>
        <w:tc>
          <w:tcPr>
            <w:tcW w:w="1910" w:type="dxa"/>
            <w:shd w:val="clear" w:color="auto" w:fill="D9E2F3"/>
            <w:vAlign w:val="center"/>
          </w:tcPr>
          <w:p w14:paraId="3EFD0D1F" w14:textId="77777777" w:rsidR="00990B14" w:rsidRDefault="00000000">
            <w:pPr>
              <w:spacing w:before="20" w:after="20"/>
              <w:jc w:val="both"/>
            </w:pPr>
            <w:r>
              <w:rPr>
                <w:sz w:val="18"/>
                <w:szCs w:val="18"/>
              </w:rPr>
              <w:t>No explica la inscripción.</w:t>
            </w:r>
          </w:p>
        </w:tc>
        <w:tc>
          <w:tcPr>
            <w:tcW w:w="2015" w:type="dxa"/>
            <w:shd w:val="clear" w:color="auto" w:fill="D9E2F3"/>
            <w:vAlign w:val="center"/>
          </w:tcPr>
          <w:p w14:paraId="0CED2FDD" w14:textId="77777777" w:rsidR="00990B14" w:rsidRDefault="00000000">
            <w:pPr>
              <w:spacing w:before="20" w:after="20"/>
              <w:jc w:val="both"/>
            </w:pPr>
            <w:r>
              <w:rPr>
                <w:sz w:val="18"/>
                <w:szCs w:val="18"/>
              </w:rPr>
              <w:t>Describe el trámite del Número de Identificación Tributaria.</w:t>
            </w:r>
          </w:p>
        </w:tc>
        <w:tc>
          <w:tcPr>
            <w:tcW w:w="1854" w:type="dxa"/>
            <w:shd w:val="clear" w:color="auto" w:fill="D9E2F3"/>
            <w:vAlign w:val="center"/>
          </w:tcPr>
          <w:p w14:paraId="0251DD59" w14:textId="77777777" w:rsidR="00990B14" w:rsidRDefault="00000000">
            <w:pPr>
              <w:spacing w:before="20" w:after="20"/>
              <w:jc w:val="both"/>
            </w:pPr>
            <w:r>
              <w:rPr>
                <w:sz w:val="18"/>
                <w:szCs w:val="18"/>
              </w:rPr>
              <w:t>Justifica quién responde por las obligaciones.</w:t>
            </w:r>
          </w:p>
        </w:tc>
      </w:tr>
      <w:tr w:rsidR="00990B14" w14:paraId="5892854C" w14:textId="77777777">
        <w:trPr>
          <w:cantSplit/>
          <w:jc w:val="center"/>
        </w:trPr>
        <w:tc>
          <w:tcPr>
            <w:tcW w:w="1772" w:type="dxa"/>
            <w:vMerge/>
            <w:shd w:val="clear" w:color="auto" w:fill="4472C4"/>
            <w:vAlign w:val="center"/>
          </w:tcPr>
          <w:p w14:paraId="75472DCE" w14:textId="77777777" w:rsidR="00990B14" w:rsidRDefault="00990B14">
            <w:pPr>
              <w:spacing w:before="20" w:after="20"/>
            </w:pPr>
          </w:p>
        </w:tc>
        <w:tc>
          <w:tcPr>
            <w:tcW w:w="1854" w:type="dxa"/>
            <w:shd w:val="clear" w:color="auto" w:fill="D9E2F3"/>
            <w:vAlign w:val="center"/>
          </w:tcPr>
          <w:p w14:paraId="46B51E56" w14:textId="77777777" w:rsidR="00990B14" w:rsidRDefault="00000000">
            <w:pPr>
              <w:spacing w:before="20" w:after="20"/>
              <w:jc w:val="both"/>
            </w:pPr>
            <w:r>
              <w:rPr>
                <w:sz w:val="18"/>
                <w:szCs w:val="18"/>
              </w:rPr>
              <w:t>Obligaciones tributarias</w:t>
            </w:r>
          </w:p>
        </w:tc>
        <w:tc>
          <w:tcPr>
            <w:tcW w:w="1910" w:type="dxa"/>
            <w:shd w:val="clear" w:color="auto" w:fill="D9E2F3"/>
            <w:vAlign w:val="center"/>
          </w:tcPr>
          <w:p w14:paraId="2D59B5AA" w14:textId="77777777" w:rsidR="00990B14" w:rsidRDefault="00000000">
            <w:pPr>
              <w:spacing w:before="20" w:after="20"/>
              <w:jc w:val="both"/>
            </w:pPr>
            <w:r>
              <w:rPr>
                <w:sz w:val="18"/>
                <w:szCs w:val="18"/>
              </w:rPr>
              <w:t>Omite impuestos aplicables.</w:t>
            </w:r>
          </w:p>
        </w:tc>
        <w:tc>
          <w:tcPr>
            <w:tcW w:w="2015" w:type="dxa"/>
            <w:shd w:val="clear" w:color="auto" w:fill="D9E2F3"/>
            <w:vAlign w:val="center"/>
          </w:tcPr>
          <w:p w14:paraId="659B0E3A" w14:textId="77777777" w:rsidR="00990B14" w:rsidRDefault="00000000">
            <w:pPr>
              <w:spacing w:before="20" w:after="20"/>
              <w:jc w:val="both"/>
            </w:pPr>
            <w:r>
              <w:rPr>
                <w:sz w:val="18"/>
                <w:szCs w:val="18"/>
              </w:rPr>
              <w:t>Identifica los impuestos de la asociación.</w:t>
            </w:r>
          </w:p>
        </w:tc>
        <w:tc>
          <w:tcPr>
            <w:tcW w:w="1854" w:type="dxa"/>
            <w:shd w:val="clear" w:color="auto" w:fill="D9E2F3"/>
            <w:vAlign w:val="center"/>
          </w:tcPr>
          <w:p w14:paraId="087DAE40" w14:textId="77777777" w:rsidR="00990B14" w:rsidRDefault="00000000">
            <w:pPr>
              <w:spacing w:before="20" w:after="20"/>
              <w:jc w:val="both"/>
            </w:pPr>
            <w:r>
              <w:rPr>
                <w:sz w:val="18"/>
                <w:szCs w:val="18"/>
              </w:rPr>
              <w:t>Compara su régimen con el de una sociedad.</w:t>
            </w:r>
          </w:p>
        </w:tc>
      </w:tr>
      <w:tr w:rsidR="00990B14" w14:paraId="3592EDB9" w14:textId="77777777">
        <w:trPr>
          <w:cantSplit/>
          <w:jc w:val="center"/>
        </w:trPr>
        <w:tc>
          <w:tcPr>
            <w:tcW w:w="1772" w:type="dxa"/>
            <w:vMerge/>
            <w:shd w:val="clear" w:color="auto" w:fill="4472C4"/>
            <w:vAlign w:val="center"/>
          </w:tcPr>
          <w:p w14:paraId="0810895B" w14:textId="77777777" w:rsidR="00990B14" w:rsidRDefault="00990B14">
            <w:pPr>
              <w:spacing w:before="20" w:after="20"/>
            </w:pPr>
          </w:p>
        </w:tc>
        <w:tc>
          <w:tcPr>
            <w:tcW w:w="1854" w:type="dxa"/>
            <w:shd w:val="clear" w:color="auto" w:fill="D9E2F3"/>
            <w:vAlign w:val="center"/>
          </w:tcPr>
          <w:p w14:paraId="7D722C3D" w14:textId="77777777" w:rsidR="00990B14" w:rsidRDefault="00000000">
            <w:pPr>
              <w:spacing w:before="20" w:after="20"/>
              <w:jc w:val="both"/>
            </w:pPr>
            <w:r>
              <w:rPr>
                <w:sz w:val="18"/>
                <w:szCs w:val="18"/>
              </w:rPr>
              <w:t>Claridad de la exposición</w:t>
            </w:r>
          </w:p>
        </w:tc>
        <w:tc>
          <w:tcPr>
            <w:tcW w:w="1910" w:type="dxa"/>
            <w:shd w:val="clear" w:color="auto" w:fill="D9E2F3"/>
            <w:vAlign w:val="center"/>
          </w:tcPr>
          <w:p w14:paraId="20182B9B" w14:textId="77777777" w:rsidR="00990B14" w:rsidRDefault="00000000">
            <w:pPr>
              <w:spacing w:before="20" w:after="20"/>
              <w:jc w:val="both"/>
            </w:pPr>
            <w:r>
              <w:rPr>
                <w:sz w:val="18"/>
                <w:szCs w:val="18"/>
              </w:rPr>
              <w:t>La exposición es confusa.</w:t>
            </w:r>
          </w:p>
        </w:tc>
        <w:tc>
          <w:tcPr>
            <w:tcW w:w="2015" w:type="dxa"/>
            <w:shd w:val="clear" w:color="auto" w:fill="D9E2F3"/>
            <w:vAlign w:val="center"/>
          </w:tcPr>
          <w:p w14:paraId="5A4D8E22" w14:textId="77777777" w:rsidR="00990B14" w:rsidRDefault="00000000">
            <w:pPr>
              <w:spacing w:before="20" w:after="20"/>
              <w:jc w:val="both"/>
            </w:pPr>
            <w:r>
              <w:rPr>
                <w:sz w:val="18"/>
                <w:szCs w:val="18"/>
              </w:rPr>
              <w:t>Expone con orden y claridad.</w:t>
            </w:r>
          </w:p>
        </w:tc>
        <w:tc>
          <w:tcPr>
            <w:tcW w:w="1854" w:type="dxa"/>
            <w:shd w:val="clear" w:color="auto" w:fill="D9E2F3"/>
            <w:vAlign w:val="center"/>
          </w:tcPr>
          <w:p w14:paraId="6C528A5C" w14:textId="77777777" w:rsidR="00990B14" w:rsidRDefault="00000000">
            <w:pPr>
              <w:spacing w:before="20" w:after="20"/>
              <w:jc w:val="both"/>
            </w:pPr>
            <w:r>
              <w:rPr>
                <w:sz w:val="18"/>
                <w:szCs w:val="18"/>
              </w:rPr>
              <w:t>Responde con solvencia las preguntas del curso.</w:t>
            </w:r>
          </w:p>
        </w:tc>
      </w:tr>
      <w:tr w:rsidR="00990B14" w14:paraId="7AF7EADB" w14:textId="77777777">
        <w:trPr>
          <w:cantSplit/>
          <w:jc w:val="center"/>
        </w:trPr>
        <w:tc>
          <w:tcPr>
            <w:tcW w:w="1772" w:type="dxa"/>
            <w:vMerge/>
            <w:shd w:val="clear" w:color="auto" w:fill="4472C4"/>
            <w:vAlign w:val="center"/>
          </w:tcPr>
          <w:p w14:paraId="60B6A740" w14:textId="77777777" w:rsidR="00990B14" w:rsidRDefault="00990B14">
            <w:pPr>
              <w:spacing w:before="20" w:after="20"/>
            </w:pPr>
          </w:p>
        </w:tc>
        <w:tc>
          <w:tcPr>
            <w:tcW w:w="5779" w:type="dxa"/>
            <w:gridSpan w:val="3"/>
            <w:shd w:val="clear" w:color="auto" w:fill="D9E2F3"/>
            <w:vAlign w:val="center"/>
          </w:tcPr>
          <w:p w14:paraId="5A3B224F" w14:textId="77777777" w:rsidR="00990B14" w:rsidRDefault="00000000">
            <w:pPr>
              <w:keepNext/>
              <w:spacing w:before="20" w:after="20"/>
              <w:jc w:val="both"/>
            </w:pPr>
            <w:r>
              <w:rPr>
                <w:b/>
                <w:bCs/>
                <w:i/>
                <w:iCs/>
                <w:sz w:val="18"/>
                <w:szCs w:val="18"/>
              </w:rPr>
              <w:t xml:space="preserve">Producto 25: </w:t>
            </w:r>
            <w:r>
              <w:rPr>
                <w:sz w:val="18"/>
                <w:szCs w:val="18"/>
              </w:rPr>
              <w:t>Registro en paralelo de la habilitación de una sucursal</w:t>
            </w:r>
          </w:p>
        </w:tc>
        <w:tc>
          <w:tcPr>
            <w:tcW w:w="1854" w:type="dxa"/>
            <w:shd w:val="clear" w:color="auto" w:fill="D9E2F3"/>
            <w:vAlign w:val="center"/>
          </w:tcPr>
          <w:p w14:paraId="29A0054C" w14:textId="77777777" w:rsidR="00990B14" w:rsidRDefault="00000000">
            <w:pPr>
              <w:spacing w:before="20" w:after="20"/>
              <w:jc w:val="center"/>
            </w:pPr>
            <w:r>
              <w:rPr>
                <w:b/>
                <w:bCs/>
                <w:sz w:val="18"/>
                <w:szCs w:val="18"/>
              </w:rPr>
              <w:t>3%</w:t>
            </w:r>
          </w:p>
        </w:tc>
      </w:tr>
      <w:tr w:rsidR="00990B14" w14:paraId="63360342" w14:textId="77777777">
        <w:trPr>
          <w:cantSplit/>
          <w:jc w:val="center"/>
        </w:trPr>
        <w:tc>
          <w:tcPr>
            <w:tcW w:w="1772" w:type="dxa"/>
            <w:vMerge/>
            <w:shd w:val="clear" w:color="auto" w:fill="4472C4"/>
            <w:vAlign w:val="center"/>
          </w:tcPr>
          <w:p w14:paraId="13F9C0E2" w14:textId="77777777" w:rsidR="00990B14" w:rsidRDefault="00990B14">
            <w:pPr>
              <w:spacing w:before="20" w:after="20"/>
            </w:pPr>
          </w:p>
        </w:tc>
        <w:tc>
          <w:tcPr>
            <w:tcW w:w="1854" w:type="dxa"/>
            <w:shd w:val="clear" w:color="auto" w:fill="4472C4"/>
            <w:vAlign w:val="center"/>
          </w:tcPr>
          <w:p w14:paraId="6F69522D"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36826B67"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445F2D5A" w14:textId="77777777" w:rsidR="00990B14" w:rsidRDefault="00000000">
            <w:pPr>
              <w:keepNext/>
              <w:spacing w:before="20" w:after="20"/>
              <w:jc w:val="center"/>
            </w:pPr>
            <w:r>
              <w:rPr>
                <w:b/>
                <w:bCs/>
                <w:i/>
                <w:iCs/>
                <w:color w:val="FFFFFF"/>
                <w:sz w:val="18"/>
                <w:szCs w:val="18"/>
              </w:rPr>
              <w:t>Suficiente (51–80)</w:t>
            </w:r>
          </w:p>
        </w:tc>
        <w:tc>
          <w:tcPr>
            <w:tcW w:w="1854" w:type="dxa"/>
            <w:shd w:val="clear" w:color="auto" w:fill="4472C4"/>
            <w:vAlign w:val="center"/>
          </w:tcPr>
          <w:p w14:paraId="125BB4DB" w14:textId="77777777" w:rsidR="00990B14" w:rsidRDefault="00000000">
            <w:pPr>
              <w:keepNext/>
              <w:spacing w:before="20" w:after="20"/>
              <w:jc w:val="center"/>
            </w:pPr>
            <w:r>
              <w:rPr>
                <w:b/>
                <w:bCs/>
                <w:i/>
                <w:iCs/>
                <w:color w:val="FFFFFF"/>
                <w:sz w:val="18"/>
                <w:szCs w:val="18"/>
              </w:rPr>
              <w:t>Destacado (81–100)</w:t>
            </w:r>
          </w:p>
        </w:tc>
      </w:tr>
      <w:tr w:rsidR="00990B14" w14:paraId="2D79D030" w14:textId="77777777">
        <w:trPr>
          <w:cantSplit/>
          <w:jc w:val="center"/>
        </w:trPr>
        <w:tc>
          <w:tcPr>
            <w:tcW w:w="1772" w:type="dxa"/>
            <w:vMerge/>
            <w:shd w:val="clear" w:color="auto" w:fill="4472C4"/>
            <w:vAlign w:val="center"/>
          </w:tcPr>
          <w:p w14:paraId="2A27E2AE" w14:textId="77777777" w:rsidR="00990B14" w:rsidRDefault="00990B14">
            <w:pPr>
              <w:spacing w:before="20" w:after="20"/>
            </w:pPr>
          </w:p>
        </w:tc>
        <w:tc>
          <w:tcPr>
            <w:tcW w:w="1854" w:type="dxa"/>
            <w:shd w:val="clear" w:color="auto" w:fill="D9E2F3"/>
            <w:vAlign w:val="center"/>
          </w:tcPr>
          <w:p w14:paraId="572FEFAC" w14:textId="77777777" w:rsidR="00990B14" w:rsidRDefault="00000000">
            <w:pPr>
              <w:spacing w:before="20" w:after="20"/>
              <w:jc w:val="both"/>
            </w:pPr>
            <w:r>
              <w:rPr>
                <w:sz w:val="18"/>
                <w:szCs w:val="18"/>
              </w:rPr>
              <w:t>Habilitación de sucursal</w:t>
            </w:r>
          </w:p>
        </w:tc>
        <w:tc>
          <w:tcPr>
            <w:tcW w:w="1910" w:type="dxa"/>
            <w:shd w:val="clear" w:color="auto" w:fill="D9E2F3"/>
            <w:vAlign w:val="center"/>
          </w:tcPr>
          <w:p w14:paraId="650A77BE" w14:textId="77777777" w:rsidR="00990B14" w:rsidRDefault="00000000">
            <w:pPr>
              <w:spacing w:before="20" w:after="20"/>
              <w:jc w:val="both"/>
            </w:pPr>
            <w:r>
              <w:rPr>
                <w:sz w:val="18"/>
                <w:szCs w:val="18"/>
              </w:rPr>
              <w:t>Registra la habilitación solo en el libro de la casa central.</w:t>
            </w:r>
          </w:p>
        </w:tc>
        <w:tc>
          <w:tcPr>
            <w:tcW w:w="2015" w:type="dxa"/>
            <w:shd w:val="clear" w:color="auto" w:fill="D9E2F3"/>
            <w:vAlign w:val="center"/>
          </w:tcPr>
          <w:p w14:paraId="5DA0A131" w14:textId="77777777" w:rsidR="00990B14" w:rsidRDefault="00000000">
            <w:pPr>
              <w:spacing w:before="20" w:after="20"/>
              <w:jc w:val="both"/>
            </w:pPr>
            <w:r>
              <w:rPr>
                <w:sz w:val="18"/>
                <w:szCs w:val="18"/>
              </w:rPr>
              <w:t>Registra la habilitación en ambos libros.</w:t>
            </w:r>
          </w:p>
        </w:tc>
        <w:tc>
          <w:tcPr>
            <w:tcW w:w="1854" w:type="dxa"/>
            <w:shd w:val="clear" w:color="auto" w:fill="D9E2F3"/>
            <w:vAlign w:val="center"/>
          </w:tcPr>
          <w:p w14:paraId="7654C797" w14:textId="77777777" w:rsidR="00990B14" w:rsidRDefault="00000000">
            <w:pPr>
              <w:spacing w:before="20" w:after="20"/>
              <w:jc w:val="both"/>
            </w:pPr>
            <w:r>
              <w:rPr>
                <w:sz w:val="18"/>
                <w:szCs w:val="18"/>
              </w:rPr>
              <w:t>Explica la naturaleza de las cuentas recíprocas.</w:t>
            </w:r>
          </w:p>
        </w:tc>
      </w:tr>
      <w:tr w:rsidR="00990B14" w14:paraId="32914F29" w14:textId="77777777">
        <w:trPr>
          <w:cantSplit/>
          <w:jc w:val="center"/>
        </w:trPr>
        <w:tc>
          <w:tcPr>
            <w:tcW w:w="1772" w:type="dxa"/>
            <w:vMerge/>
            <w:shd w:val="clear" w:color="auto" w:fill="4472C4"/>
            <w:vAlign w:val="center"/>
          </w:tcPr>
          <w:p w14:paraId="35347D4E" w14:textId="77777777" w:rsidR="00990B14" w:rsidRDefault="00990B14">
            <w:pPr>
              <w:spacing w:before="20" w:after="20"/>
            </w:pPr>
          </w:p>
        </w:tc>
        <w:tc>
          <w:tcPr>
            <w:tcW w:w="1854" w:type="dxa"/>
            <w:shd w:val="clear" w:color="auto" w:fill="D9E2F3"/>
            <w:vAlign w:val="center"/>
          </w:tcPr>
          <w:p w14:paraId="39B7F832" w14:textId="77777777" w:rsidR="00990B14" w:rsidRDefault="00000000">
            <w:pPr>
              <w:spacing w:before="20" w:after="20"/>
              <w:jc w:val="both"/>
            </w:pPr>
            <w:r>
              <w:rPr>
                <w:sz w:val="18"/>
                <w:szCs w:val="18"/>
              </w:rPr>
              <w:t>Transacciones habituales</w:t>
            </w:r>
          </w:p>
        </w:tc>
        <w:tc>
          <w:tcPr>
            <w:tcW w:w="1910" w:type="dxa"/>
            <w:shd w:val="clear" w:color="auto" w:fill="D9E2F3"/>
            <w:vAlign w:val="center"/>
          </w:tcPr>
          <w:p w14:paraId="61B96E5A" w14:textId="77777777" w:rsidR="00990B14" w:rsidRDefault="00000000">
            <w:pPr>
              <w:spacing w:before="20" w:after="20"/>
              <w:jc w:val="both"/>
            </w:pPr>
            <w:r>
              <w:rPr>
                <w:sz w:val="18"/>
                <w:szCs w:val="18"/>
              </w:rPr>
              <w:t>Registra una sola de las partes.</w:t>
            </w:r>
          </w:p>
        </w:tc>
        <w:tc>
          <w:tcPr>
            <w:tcW w:w="2015" w:type="dxa"/>
            <w:shd w:val="clear" w:color="auto" w:fill="D9E2F3"/>
            <w:vAlign w:val="center"/>
          </w:tcPr>
          <w:p w14:paraId="21CB6AE2" w14:textId="77777777" w:rsidR="00990B14" w:rsidRDefault="00000000">
            <w:pPr>
              <w:spacing w:before="20" w:after="20"/>
              <w:jc w:val="both"/>
            </w:pPr>
            <w:r>
              <w:rPr>
                <w:sz w:val="18"/>
                <w:szCs w:val="18"/>
              </w:rPr>
              <w:t>Registra en paralelo cada transacción.</w:t>
            </w:r>
          </w:p>
        </w:tc>
        <w:tc>
          <w:tcPr>
            <w:tcW w:w="1854" w:type="dxa"/>
            <w:shd w:val="clear" w:color="auto" w:fill="D9E2F3"/>
            <w:vAlign w:val="center"/>
          </w:tcPr>
          <w:p w14:paraId="13D02111" w14:textId="77777777" w:rsidR="00990B14" w:rsidRDefault="00000000">
            <w:pPr>
              <w:spacing w:before="20" w:after="20"/>
              <w:jc w:val="both"/>
            </w:pPr>
            <w:r>
              <w:rPr>
                <w:sz w:val="18"/>
                <w:szCs w:val="18"/>
              </w:rPr>
              <w:t>Verifica que las cuentas recíprocas igualen.</w:t>
            </w:r>
          </w:p>
        </w:tc>
      </w:tr>
      <w:tr w:rsidR="00990B14" w14:paraId="75120AB4" w14:textId="77777777">
        <w:trPr>
          <w:cantSplit/>
          <w:jc w:val="center"/>
        </w:trPr>
        <w:tc>
          <w:tcPr>
            <w:tcW w:w="1772" w:type="dxa"/>
            <w:vMerge/>
            <w:shd w:val="clear" w:color="auto" w:fill="4472C4"/>
            <w:vAlign w:val="center"/>
          </w:tcPr>
          <w:p w14:paraId="0B96A466" w14:textId="77777777" w:rsidR="00990B14" w:rsidRDefault="00990B14">
            <w:pPr>
              <w:spacing w:before="20" w:after="20"/>
            </w:pPr>
          </w:p>
        </w:tc>
        <w:tc>
          <w:tcPr>
            <w:tcW w:w="1854" w:type="dxa"/>
            <w:shd w:val="clear" w:color="auto" w:fill="D9E2F3"/>
            <w:vAlign w:val="center"/>
          </w:tcPr>
          <w:p w14:paraId="2D2DA1FD" w14:textId="77777777" w:rsidR="00990B14" w:rsidRDefault="00000000">
            <w:pPr>
              <w:spacing w:before="20" w:after="20"/>
              <w:jc w:val="both"/>
            </w:pPr>
            <w:r>
              <w:rPr>
                <w:sz w:val="18"/>
                <w:szCs w:val="18"/>
              </w:rPr>
              <w:t>Transacciones entre sucursales</w:t>
            </w:r>
          </w:p>
        </w:tc>
        <w:tc>
          <w:tcPr>
            <w:tcW w:w="1910" w:type="dxa"/>
            <w:shd w:val="clear" w:color="auto" w:fill="D9E2F3"/>
            <w:vAlign w:val="center"/>
          </w:tcPr>
          <w:p w14:paraId="4AAC44F2" w14:textId="77777777" w:rsidR="00990B14" w:rsidRDefault="00000000">
            <w:pPr>
              <w:spacing w:before="20" w:after="20"/>
              <w:jc w:val="both"/>
            </w:pPr>
            <w:r>
              <w:rPr>
                <w:sz w:val="18"/>
                <w:szCs w:val="18"/>
              </w:rPr>
              <w:t>Omite las transacciones entre sucursales.</w:t>
            </w:r>
          </w:p>
        </w:tc>
        <w:tc>
          <w:tcPr>
            <w:tcW w:w="2015" w:type="dxa"/>
            <w:shd w:val="clear" w:color="auto" w:fill="D9E2F3"/>
            <w:vAlign w:val="center"/>
          </w:tcPr>
          <w:p w14:paraId="4DDDD02E" w14:textId="77777777" w:rsidR="00990B14" w:rsidRDefault="00000000">
            <w:pPr>
              <w:spacing w:before="20" w:after="20"/>
              <w:jc w:val="both"/>
            </w:pPr>
            <w:r>
              <w:rPr>
                <w:sz w:val="18"/>
                <w:szCs w:val="18"/>
              </w:rPr>
              <w:t>Registra las transacciones entre sucursales.</w:t>
            </w:r>
          </w:p>
        </w:tc>
        <w:tc>
          <w:tcPr>
            <w:tcW w:w="1854" w:type="dxa"/>
            <w:shd w:val="clear" w:color="auto" w:fill="D9E2F3"/>
            <w:vAlign w:val="center"/>
          </w:tcPr>
          <w:p w14:paraId="51884D80" w14:textId="77777777" w:rsidR="00990B14" w:rsidRDefault="00000000">
            <w:pPr>
              <w:spacing w:before="20" w:after="20"/>
              <w:jc w:val="both"/>
            </w:pPr>
            <w:r>
              <w:rPr>
                <w:sz w:val="18"/>
                <w:szCs w:val="18"/>
              </w:rPr>
              <w:t>Explica su efecto en la casa central.</w:t>
            </w:r>
          </w:p>
        </w:tc>
      </w:tr>
      <w:tr w:rsidR="00990B14" w14:paraId="1BC0FABE" w14:textId="77777777">
        <w:trPr>
          <w:cantSplit/>
          <w:jc w:val="center"/>
        </w:trPr>
        <w:tc>
          <w:tcPr>
            <w:tcW w:w="1772" w:type="dxa"/>
            <w:vMerge/>
            <w:shd w:val="clear" w:color="auto" w:fill="4472C4"/>
            <w:vAlign w:val="center"/>
          </w:tcPr>
          <w:p w14:paraId="5031881C" w14:textId="77777777" w:rsidR="00990B14" w:rsidRDefault="00990B14">
            <w:pPr>
              <w:spacing w:before="20" w:after="20"/>
            </w:pPr>
          </w:p>
        </w:tc>
        <w:tc>
          <w:tcPr>
            <w:tcW w:w="5779" w:type="dxa"/>
            <w:gridSpan w:val="3"/>
            <w:shd w:val="clear" w:color="auto" w:fill="D9E2F3"/>
            <w:vAlign w:val="center"/>
          </w:tcPr>
          <w:p w14:paraId="173F8998" w14:textId="77777777" w:rsidR="00990B14" w:rsidRDefault="00000000">
            <w:pPr>
              <w:keepNext/>
              <w:spacing w:before="20" w:after="20"/>
              <w:jc w:val="both"/>
            </w:pPr>
            <w:r>
              <w:rPr>
                <w:b/>
                <w:bCs/>
                <w:i/>
                <w:iCs/>
                <w:sz w:val="18"/>
                <w:szCs w:val="18"/>
              </w:rPr>
              <w:t xml:space="preserve">Producto 26: </w:t>
            </w:r>
            <w:r>
              <w:rPr>
                <w:sz w:val="18"/>
                <w:szCs w:val="18"/>
              </w:rPr>
              <w:t>Conciliación de cuentas recíprocas entre casa central y sucursal</w:t>
            </w:r>
          </w:p>
        </w:tc>
        <w:tc>
          <w:tcPr>
            <w:tcW w:w="1854" w:type="dxa"/>
            <w:shd w:val="clear" w:color="auto" w:fill="D9E2F3"/>
            <w:vAlign w:val="center"/>
          </w:tcPr>
          <w:p w14:paraId="7B8E4383" w14:textId="77777777" w:rsidR="00990B14" w:rsidRDefault="00000000">
            <w:pPr>
              <w:spacing w:before="20" w:after="20"/>
              <w:jc w:val="center"/>
            </w:pPr>
            <w:r>
              <w:rPr>
                <w:b/>
                <w:bCs/>
                <w:sz w:val="18"/>
                <w:szCs w:val="18"/>
              </w:rPr>
              <w:t>3%</w:t>
            </w:r>
          </w:p>
        </w:tc>
      </w:tr>
      <w:tr w:rsidR="00990B14" w14:paraId="79CECABB" w14:textId="77777777">
        <w:trPr>
          <w:cantSplit/>
          <w:jc w:val="center"/>
        </w:trPr>
        <w:tc>
          <w:tcPr>
            <w:tcW w:w="1772" w:type="dxa"/>
            <w:vMerge/>
            <w:shd w:val="clear" w:color="auto" w:fill="4472C4"/>
            <w:vAlign w:val="center"/>
          </w:tcPr>
          <w:p w14:paraId="55601221" w14:textId="77777777" w:rsidR="00990B14" w:rsidRDefault="00990B14">
            <w:pPr>
              <w:spacing w:before="20" w:after="20"/>
            </w:pPr>
          </w:p>
        </w:tc>
        <w:tc>
          <w:tcPr>
            <w:tcW w:w="1854" w:type="dxa"/>
            <w:shd w:val="clear" w:color="auto" w:fill="4472C4"/>
            <w:vAlign w:val="center"/>
          </w:tcPr>
          <w:p w14:paraId="61A46449"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7AA83EB9"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237B493A" w14:textId="77777777" w:rsidR="00990B14" w:rsidRDefault="00000000">
            <w:pPr>
              <w:keepNext/>
              <w:spacing w:before="20" w:after="20"/>
              <w:jc w:val="center"/>
            </w:pPr>
            <w:r>
              <w:rPr>
                <w:b/>
                <w:bCs/>
                <w:i/>
                <w:iCs/>
                <w:color w:val="FFFFFF"/>
                <w:sz w:val="18"/>
                <w:szCs w:val="18"/>
              </w:rPr>
              <w:t>Suficiente (51–80)</w:t>
            </w:r>
          </w:p>
        </w:tc>
        <w:tc>
          <w:tcPr>
            <w:tcW w:w="1854" w:type="dxa"/>
            <w:shd w:val="clear" w:color="auto" w:fill="4472C4"/>
            <w:vAlign w:val="center"/>
          </w:tcPr>
          <w:p w14:paraId="4BB50006" w14:textId="77777777" w:rsidR="00990B14" w:rsidRDefault="00000000">
            <w:pPr>
              <w:keepNext/>
              <w:spacing w:before="20" w:after="20"/>
              <w:jc w:val="center"/>
            </w:pPr>
            <w:r>
              <w:rPr>
                <w:b/>
                <w:bCs/>
                <w:i/>
                <w:iCs/>
                <w:color w:val="FFFFFF"/>
                <w:sz w:val="18"/>
                <w:szCs w:val="18"/>
              </w:rPr>
              <w:t>Destacado (81–100)</w:t>
            </w:r>
          </w:p>
        </w:tc>
      </w:tr>
      <w:tr w:rsidR="00990B14" w14:paraId="12D90631" w14:textId="77777777">
        <w:trPr>
          <w:cantSplit/>
          <w:jc w:val="center"/>
        </w:trPr>
        <w:tc>
          <w:tcPr>
            <w:tcW w:w="1772" w:type="dxa"/>
            <w:vMerge/>
            <w:shd w:val="clear" w:color="auto" w:fill="4472C4"/>
            <w:vAlign w:val="center"/>
          </w:tcPr>
          <w:p w14:paraId="0D445F00" w14:textId="77777777" w:rsidR="00990B14" w:rsidRDefault="00990B14">
            <w:pPr>
              <w:spacing w:before="20" w:after="20"/>
            </w:pPr>
          </w:p>
        </w:tc>
        <w:tc>
          <w:tcPr>
            <w:tcW w:w="1854" w:type="dxa"/>
            <w:shd w:val="clear" w:color="auto" w:fill="D9E2F3"/>
            <w:vAlign w:val="center"/>
          </w:tcPr>
          <w:p w14:paraId="12FD283E" w14:textId="77777777" w:rsidR="00990B14" w:rsidRDefault="00000000">
            <w:pPr>
              <w:spacing w:before="20" w:after="20"/>
              <w:jc w:val="both"/>
            </w:pPr>
            <w:r>
              <w:rPr>
                <w:sz w:val="18"/>
                <w:szCs w:val="18"/>
              </w:rPr>
              <w:t>Partidas en tránsito</w:t>
            </w:r>
          </w:p>
        </w:tc>
        <w:tc>
          <w:tcPr>
            <w:tcW w:w="1910" w:type="dxa"/>
            <w:shd w:val="clear" w:color="auto" w:fill="D9E2F3"/>
            <w:vAlign w:val="center"/>
          </w:tcPr>
          <w:p w14:paraId="14FD9091" w14:textId="77777777" w:rsidR="00990B14" w:rsidRDefault="00000000">
            <w:pPr>
              <w:spacing w:before="20" w:after="20"/>
              <w:jc w:val="both"/>
            </w:pPr>
            <w:r>
              <w:rPr>
                <w:sz w:val="18"/>
                <w:szCs w:val="18"/>
              </w:rPr>
              <w:t>No identifica partidas en tránsito.</w:t>
            </w:r>
          </w:p>
        </w:tc>
        <w:tc>
          <w:tcPr>
            <w:tcW w:w="2015" w:type="dxa"/>
            <w:shd w:val="clear" w:color="auto" w:fill="D9E2F3"/>
            <w:vAlign w:val="center"/>
          </w:tcPr>
          <w:p w14:paraId="5E9FCD6F" w14:textId="77777777" w:rsidR="00990B14" w:rsidRDefault="00000000">
            <w:pPr>
              <w:spacing w:before="20" w:after="20"/>
              <w:jc w:val="both"/>
            </w:pPr>
            <w:r>
              <w:rPr>
                <w:sz w:val="18"/>
                <w:szCs w:val="18"/>
              </w:rPr>
              <w:t>Identifica las remesas y los envíos en tránsito.</w:t>
            </w:r>
          </w:p>
        </w:tc>
        <w:tc>
          <w:tcPr>
            <w:tcW w:w="1854" w:type="dxa"/>
            <w:shd w:val="clear" w:color="auto" w:fill="D9E2F3"/>
            <w:vAlign w:val="center"/>
          </w:tcPr>
          <w:p w14:paraId="33991575" w14:textId="77777777" w:rsidR="00990B14" w:rsidRDefault="00000000">
            <w:pPr>
              <w:spacing w:before="20" w:after="20"/>
              <w:jc w:val="both"/>
            </w:pPr>
            <w:r>
              <w:rPr>
                <w:sz w:val="18"/>
                <w:szCs w:val="18"/>
              </w:rPr>
              <w:t>Explica el origen de cada diferencia.</w:t>
            </w:r>
          </w:p>
        </w:tc>
      </w:tr>
      <w:tr w:rsidR="00990B14" w14:paraId="5415357D" w14:textId="77777777">
        <w:trPr>
          <w:cantSplit/>
          <w:jc w:val="center"/>
        </w:trPr>
        <w:tc>
          <w:tcPr>
            <w:tcW w:w="1772" w:type="dxa"/>
            <w:vMerge/>
            <w:shd w:val="clear" w:color="auto" w:fill="4472C4"/>
            <w:vAlign w:val="center"/>
          </w:tcPr>
          <w:p w14:paraId="2ACF53BA" w14:textId="77777777" w:rsidR="00990B14" w:rsidRDefault="00990B14">
            <w:pPr>
              <w:spacing w:before="20" w:after="20"/>
            </w:pPr>
          </w:p>
        </w:tc>
        <w:tc>
          <w:tcPr>
            <w:tcW w:w="1854" w:type="dxa"/>
            <w:shd w:val="clear" w:color="auto" w:fill="D9E2F3"/>
            <w:vAlign w:val="center"/>
          </w:tcPr>
          <w:p w14:paraId="6ECBDCCF" w14:textId="77777777" w:rsidR="00990B14" w:rsidRDefault="00000000">
            <w:pPr>
              <w:spacing w:before="20" w:after="20"/>
              <w:jc w:val="both"/>
            </w:pPr>
            <w:r>
              <w:rPr>
                <w:sz w:val="18"/>
                <w:szCs w:val="18"/>
              </w:rPr>
              <w:t>Ajustes de conciliación</w:t>
            </w:r>
          </w:p>
        </w:tc>
        <w:tc>
          <w:tcPr>
            <w:tcW w:w="1910" w:type="dxa"/>
            <w:shd w:val="clear" w:color="auto" w:fill="D9E2F3"/>
            <w:vAlign w:val="center"/>
          </w:tcPr>
          <w:p w14:paraId="1DE2F407" w14:textId="77777777" w:rsidR="00990B14" w:rsidRDefault="00000000">
            <w:pPr>
              <w:spacing w:before="20" w:after="20"/>
              <w:jc w:val="both"/>
            </w:pPr>
            <w:r>
              <w:rPr>
                <w:sz w:val="18"/>
                <w:szCs w:val="18"/>
              </w:rPr>
              <w:t>Ajusta en el libro que no corresponde.</w:t>
            </w:r>
          </w:p>
        </w:tc>
        <w:tc>
          <w:tcPr>
            <w:tcW w:w="2015" w:type="dxa"/>
            <w:shd w:val="clear" w:color="auto" w:fill="D9E2F3"/>
            <w:vAlign w:val="center"/>
          </w:tcPr>
          <w:p w14:paraId="26B869B7" w14:textId="77777777" w:rsidR="00990B14" w:rsidRDefault="00000000">
            <w:pPr>
              <w:spacing w:before="20" w:after="20"/>
              <w:jc w:val="both"/>
            </w:pPr>
            <w:r>
              <w:rPr>
                <w:sz w:val="18"/>
                <w:szCs w:val="18"/>
              </w:rPr>
              <w:t>Registra los ajustes en el libro que corresponde.</w:t>
            </w:r>
          </w:p>
        </w:tc>
        <w:tc>
          <w:tcPr>
            <w:tcW w:w="1854" w:type="dxa"/>
            <w:shd w:val="clear" w:color="auto" w:fill="D9E2F3"/>
            <w:vAlign w:val="center"/>
          </w:tcPr>
          <w:p w14:paraId="0BBC5BAA" w14:textId="77777777" w:rsidR="00990B14" w:rsidRDefault="00000000">
            <w:pPr>
              <w:spacing w:before="20" w:after="20"/>
              <w:jc w:val="both"/>
            </w:pPr>
            <w:r>
              <w:rPr>
                <w:sz w:val="18"/>
                <w:szCs w:val="18"/>
              </w:rPr>
              <w:t>Verifica la igualdad de saldos después del ajuste.</w:t>
            </w:r>
          </w:p>
        </w:tc>
      </w:tr>
      <w:tr w:rsidR="00990B14" w14:paraId="78B71C33" w14:textId="77777777">
        <w:trPr>
          <w:cantSplit/>
          <w:jc w:val="center"/>
        </w:trPr>
        <w:tc>
          <w:tcPr>
            <w:tcW w:w="1772" w:type="dxa"/>
            <w:vMerge/>
            <w:shd w:val="clear" w:color="auto" w:fill="4472C4"/>
            <w:vAlign w:val="center"/>
          </w:tcPr>
          <w:p w14:paraId="4CB1E71C" w14:textId="77777777" w:rsidR="00990B14" w:rsidRDefault="00990B14">
            <w:pPr>
              <w:spacing w:before="20" w:after="20"/>
            </w:pPr>
          </w:p>
        </w:tc>
        <w:tc>
          <w:tcPr>
            <w:tcW w:w="1854" w:type="dxa"/>
            <w:shd w:val="clear" w:color="auto" w:fill="D9E2F3"/>
            <w:vAlign w:val="center"/>
          </w:tcPr>
          <w:p w14:paraId="5FFBE9D2" w14:textId="77777777" w:rsidR="00990B14" w:rsidRDefault="00000000">
            <w:pPr>
              <w:spacing w:before="20" w:after="20"/>
              <w:jc w:val="both"/>
            </w:pPr>
            <w:r>
              <w:rPr>
                <w:sz w:val="18"/>
                <w:szCs w:val="18"/>
              </w:rPr>
              <w:t>Trabajo en equipo</w:t>
            </w:r>
          </w:p>
        </w:tc>
        <w:tc>
          <w:tcPr>
            <w:tcW w:w="1910" w:type="dxa"/>
            <w:shd w:val="clear" w:color="auto" w:fill="D9E2F3"/>
            <w:vAlign w:val="center"/>
          </w:tcPr>
          <w:p w14:paraId="5E461686" w14:textId="77777777" w:rsidR="00990B14" w:rsidRDefault="00000000">
            <w:pPr>
              <w:spacing w:before="20" w:after="20"/>
              <w:jc w:val="both"/>
            </w:pPr>
            <w:r>
              <w:rPr>
                <w:sz w:val="18"/>
                <w:szCs w:val="18"/>
              </w:rPr>
              <w:t>La participación es desigual.</w:t>
            </w:r>
          </w:p>
        </w:tc>
        <w:tc>
          <w:tcPr>
            <w:tcW w:w="2015" w:type="dxa"/>
            <w:shd w:val="clear" w:color="auto" w:fill="D9E2F3"/>
            <w:vAlign w:val="center"/>
          </w:tcPr>
          <w:p w14:paraId="41DAE879" w14:textId="77777777" w:rsidR="00990B14" w:rsidRDefault="00000000">
            <w:pPr>
              <w:spacing w:before="20" w:after="20"/>
              <w:jc w:val="both"/>
            </w:pPr>
            <w:r>
              <w:rPr>
                <w:sz w:val="18"/>
                <w:szCs w:val="18"/>
              </w:rPr>
              <w:t>Todos los integrantes participan.</w:t>
            </w:r>
          </w:p>
        </w:tc>
        <w:tc>
          <w:tcPr>
            <w:tcW w:w="1854" w:type="dxa"/>
            <w:shd w:val="clear" w:color="auto" w:fill="D9E2F3"/>
            <w:vAlign w:val="center"/>
          </w:tcPr>
          <w:p w14:paraId="061542FA" w14:textId="77777777" w:rsidR="00990B14" w:rsidRDefault="00000000">
            <w:pPr>
              <w:spacing w:before="20" w:after="20"/>
              <w:jc w:val="both"/>
            </w:pPr>
            <w:r>
              <w:rPr>
                <w:sz w:val="18"/>
                <w:szCs w:val="18"/>
              </w:rPr>
              <w:t>El equipo sustenta su trabajo ante el curso.</w:t>
            </w:r>
          </w:p>
        </w:tc>
      </w:tr>
      <w:tr w:rsidR="00990B14" w14:paraId="3DA57CAD" w14:textId="77777777">
        <w:trPr>
          <w:cantSplit/>
          <w:jc w:val="center"/>
        </w:trPr>
        <w:tc>
          <w:tcPr>
            <w:tcW w:w="1772" w:type="dxa"/>
            <w:vMerge/>
            <w:shd w:val="clear" w:color="auto" w:fill="4472C4"/>
            <w:vAlign w:val="center"/>
          </w:tcPr>
          <w:p w14:paraId="23C1D740" w14:textId="77777777" w:rsidR="00990B14" w:rsidRDefault="00990B14">
            <w:pPr>
              <w:spacing w:before="20" w:after="20"/>
            </w:pPr>
          </w:p>
        </w:tc>
        <w:tc>
          <w:tcPr>
            <w:tcW w:w="5779" w:type="dxa"/>
            <w:gridSpan w:val="3"/>
            <w:shd w:val="clear" w:color="auto" w:fill="D9E2F3"/>
            <w:vAlign w:val="center"/>
          </w:tcPr>
          <w:p w14:paraId="5E6B7C81" w14:textId="77777777" w:rsidR="00990B14" w:rsidRDefault="00000000">
            <w:pPr>
              <w:keepNext/>
              <w:spacing w:before="20" w:after="20"/>
              <w:jc w:val="both"/>
            </w:pPr>
            <w:r>
              <w:rPr>
                <w:b/>
                <w:bCs/>
                <w:i/>
                <w:iCs/>
                <w:sz w:val="18"/>
                <w:szCs w:val="18"/>
              </w:rPr>
              <w:t xml:space="preserve">Producto 27: </w:t>
            </w:r>
            <w:r>
              <w:rPr>
                <w:sz w:val="18"/>
                <w:szCs w:val="18"/>
              </w:rPr>
              <w:t>Hoja de consolidación de estados financieros de casa central y sucursales</w:t>
            </w:r>
          </w:p>
        </w:tc>
        <w:tc>
          <w:tcPr>
            <w:tcW w:w="1854" w:type="dxa"/>
            <w:shd w:val="clear" w:color="auto" w:fill="D9E2F3"/>
            <w:vAlign w:val="center"/>
          </w:tcPr>
          <w:p w14:paraId="5C943AED" w14:textId="77777777" w:rsidR="00990B14" w:rsidRDefault="00000000">
            <w:pPr>
              <w:spacing w:before="20" w:after="20"/>
              <w:jc w:val="center"/>
            </w:pPr>
            <w:r>
              <w:rPr>
                <w:b/>
                <w:bCs/>
                <w:sz w:val="18"/>
                <w:szCs w:val="18"/>
              </w:rPr>
              <w:t>3%</w:t>
            </w:r>
          </w:p>
        </w:tc>
      </w:tr>
      <w:tr w:rsidR="00990B14" w14:paraId="3F6870D0" w14:textId="77777777">
        <w:trPr>
          <w:cantSplit/>
          <w:jc w:val="center"/>
        </w:trPr>
        <w:tc>
          <w:tcPr>
            <w:tcW w:w="1772" w:type="dxa"/>
            <w:vMerge/>
            <w:shd w:val="clear" w:color="auto" w:fill="4472C4"/>
            <w:vAlign w:val="center"/>
          </w:tcPr>
          <w:p w14:paraId="10ACC5E1" w14:textId="77777777" w:rsidR="00990B14" w:rsidRDefault="00990B14">
            <w:pPr>
              <w:spacing w:before="20" w:after="20"/>
            </w:pPr>
          </w:p>
        </w:tc>
        <w:tc>
          <w:tcPr>
            <w:tcW w:w="1854" w:type="dxa"/>
            <w:shd w:val="clear" w:color="auto" w:fill="4472C4"/>
            <w:vAlign w:val="center"/>
          </w:tcPr>
          <w:p w14:paraId="4F2FF1B9"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7D592DC1"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613D465D" w14:textId="77777777" w:rsidR="00990B14" w:rsidRDefault="00000000">
            <w:pPr>
              <w:keepNext/>
              <w:spacing w:before="20" w:after="20"/>
              <w:jc w:val="center"/>
            </w:pPr>
            <w:r>
              <w:rPr>
                <w:b/>
                <w:bCs/>
                <w:i/>
                <w:iCs/>
                <w:color w:val="FFFFFF"/>
                <w:sz w:val="18"/>
                <w:szCs w:val="18"/>
              </w:rPr>
              <w:t>Suficiente (51–80)</w:t>
            </w:r>
          </w:p>
        </w:tc>
        <w:tc>
          <w:tcPr>
            <w:tcW w:w="1854" w:type="dxa"/>
            <w:shd w:val="clear" w:color="auto" w:fill="4472C4"/>
            <w:vAlign w:val="center"/>
          </w:tcPr>
          <w:p w14:paraId="06C1445E" w14:textId="77777777" w:rsidR="00990B14" w:rsidRDefault="00000000">
            <w:pPr>
              <w:keepNext/>
              <w:spacing w:before="20" w:after="20"/>
              <w:jc w:val="center"/>
            </w:pPr>
            <w:r>
              <w:rPr>
                <w:b/>
                <w:bCs/>
                <w:i/>
                <w:iCs/>
                <w:color w:val="FFFFFF"/>
                <w:sz w:val="18"/>
                <w:szCs w:val="18"/>
              </w:rPr>
              <w:t>Destacado (81–100)</w:t>
            </w:r>
          </w:p>
        </w:tc>
      </w:tr>
      <w:tr w:rsidR="00990B14" w14:paraId="3EA35C59" w14:textId="77777777">
        <w:trPr>
          <w:cantSplit/>
          <w:jc w:val="center"/>
        </w:trPr>
        <w:tc>
          <w:tcPr>
            <w:tcW w:w="1772" w:type="dxa"/>
            <w:vMerge/>
            <w:shd w:val="clear" w:color="auto" w:fill="4472C4"/>
            <w:vAlign w:val="center"/>
          </w:tcPr>
          <w:p w14:paraId="24BCAAEA" w14:textId="77777777" w:rsidR="00990B14" w:rsidRDefault="00990B14">
            <w:pPr>
              <w:spacing w:before="20" w:after="20"/>
            </w:pPr>
          </w:p>
        </w:tc>
        <w:tc>
          <w:tcPr>
            <w:tcW w:w="1854" w:type="dxa"/>
            <w:shd w:val="clear" w:color="auto" w:fill="D9E2F3"/>
            <w:vAlign w:val="center"/>
          </w:tcPr>
          <w:p w14:paraId="74F59431" w14:textId="77777777" w:rsidR="00990B14" w:rsidRDefault="00000000">
            <w:pPr>
              <w:spacing w:before="20" w:after="20"/>
              <w:jc w:val="both"/>
            </w:pPr>
            <w:r>
              <w:rPr>
                <w:sz w:val="18"/>
                <w:szCs w:val="18"/>
              </w:rPr>
              <w:t>Eliminación de saldos</w:t>
            </w:r>
          </w:p>
        </w:tc>
        <w:tc>
          <w:tcPr>
            <w:tcW w:w="1910" w:type="dxa"/>
            <w:shd w:val="clear" w:color="auto" w:fill="D9E2F3"/>
            <w:vAlign w:val="center"/>
          </w:tcPr>
          <w:p w14:paraId="0C431D0E" w14:textId="77777777" w:rsidR="00990B14" w:rsidRDefault="00000000">
            <w:pPr>
              <w:spacing w:before="20" w:after="20"/>
              <w:jc w:val="both"/>
            </w:pPr>
            <w:r>
              <w:rPr>
                <w:sz w:val="18"/>
                <w:szCs w:val="18"/>
              </w:rPr>
              <w:t>No elimina las cuentas recíprocas.</w:t>
            </w:r>
          </w:p>
        </w:tc>
        <w:tc>
          <w:tcPr>
            <w:tcW w:w="2015" w:type="dxa"/>
            <w:shd w:val="clear" w:color="auto" w:fill="D9E2F3"/>
            <w:vAlign w:val="center"/>
          </w:tcPr>
          <w:p w14:paraId="05BE624E" w14:textId="77777777" w:rsidR="00990B14" w:rsidRDefault="00000000">
            <w:pPr>
              <w:spacing w:before="20" w:after="20"/>
              <w:jc w:val="both"/>
            </w:pPr>
            <w:r>
              <w:rPr>
                <w:sz w:val="18"/>
                <w:szCs w:val="18"/>
              </w:rPr>
              <w:t>Elimina las cuentas recíprocas.</w:t>
            </w:r>
          </w:p>
        </w:tc>
        <w:tc>
          <w:tcPr>
            <w:tcW w:w="1854" w:type="dxa"/>
            <w:shd w:val="clear" w:color="auto" w:fill="D9E2F3"/>
            <w:vAlign w:val="center"/>
          </w:tcPr>
          <w:p w14:paraId="73CDF0FF" w14:textId="77777777" w:rsidR="00990B14" w:rsidRDefault="00000000">
            <w:pPr>
              <w:spacing w:before="20" w:after="20"/>
              <w:jc w:val="both"/>
            </w:pPr>
            <w:r>
              <w:rPr>
                <w:sz w:val="18"/>
                <w:szCs w:val="18"/>
              </w:rPr>
              <w:t>Elimina la utilidad no realizada entre unidades.</w:t>
            </w:r>
          </w:p>
        </w:tc>
      </w:tr>
      <w:tr w:rsidR="00990B14" w14:paraId="4816F086" w14:textId="77777777">
        <w:trPr>
          <w:cantSplit/>
          <w:jc w:val="center"/>
        </w:trPr>
        <w:tc>
          <w:tcPr>
            <w:tcW w:w="1772" w:type="dxa"/>
            <w:vMerge/>
            <w:shd w:val="clear" w:color="auto" w:fill="4472C4"/>
            <w:vAlign w:val="center"/>
          </w:tcPr>
          <w:p w14:paraId="1C1AA9F6" w14:textId="77777777" w:rsidR="00990B14" w:rsidRDefault="00990B14">
            <w:pPr>
              <w:spacing w:before="20" w:after="20"/>
            </w:pPr>
          </w:p>
        </w:tc>
        <w:tc>
          <w:tcPr>
            <w:tcW w:w="1854" w:type="dxa"/>
            <w:shd w:val="clear" w:color="auto" w:fill="D9E2F3"/>
            <w:vAlign w:val="center"/>
          </w:tcPr>
          <w:p w14:paraId="45F6FDDC" w14:textId="77777777" w:rsidR="00990B14" w:rsidRDefault="00000000">
            <w:pPr>
              <w:spacing w:before="20" w:after="20"/>
              <w:jc w:val="both"/>
            </w:pPr>
            <w:r>
              <w:rPr>
                <w:sz w:val="18"/>
                <w:szCs w:val="18"/>
              </w:rPr>
              <w:t>Asientos de regularización</w:t>
            </w:r>
          </w:p>
        </w:tc>
        <w:tc>
          <w:tcPr>
            <w:tcW w:w="1910" w:type="dxa"/>
            <w:shd w:val="clear" w:color="auto" w:fill="D9E2F3"/>
            <w:vAlign w:val="center"/>
          </w:tcPr>
          <w:p w14:paraId="2F75C34E" w14:textId="77777777" w:rsidR="00990B14" w:rsidRDefault="00000000">
            <w:pPr>
              <w:spacing w:before="20" w:after="20"/>
              <w:jc w:val="both"/>
            </w:pPr>
            <w:r>
              <w:rPr>
                <w:sz w:val="18"/>
                <w:szCs w:val="18"/>
              </w:rPr>
              <w:t>Omite asientos de regularización.</w:t>
            </w:r>
          </w:p>
        </w:tc>
        <w:tc>
          <w:tcPr>
            <w:tcW w:w="2015" w:type="dxa"/>
            <w:shd w:val="clear" w:color="auto" w:fill="D9E2F3"/>
            <w:vAlign w:val="center"/>
          </w:tcPr>
          <w:p w14:paraId="53D24DC5" w14:textId="77777777" w:rsidR="00990B14" w:rsidRDefault="00000000">
            <w:pPr>
              <w:spacing w:before="20" w:after="20"/>
              <w:jc w:val="both"/>
            </w:pPr>
            <w:r>
              <w:rPr>
                <w:sz w:val="18"/>
                <w:szCs w:val="18"/>
              </w:rPr>
              <w:t>Registra los asientos de regularización.</w:t>
            </w:r>
          </w:p>
        </w:tc>
        <w:tc>
          <w:tcPr>
            <w:tcW w:w="1854" w:type="dxa"/>
            <w:shd w:val="clear" w:color="auto" w:fill="D9E2F3"/>
            <w:vAlign w:val="center"/>
          </w:tcPr>
          <w:p w14:paraId="45FE4E84" w14:textId="77777777" w:rsidR="00990B14" w:rsidRDefault="00000000">
            <w:pPr>
              <w:spacing w:before="20" w:after="20"/>
              <w:jc w:val="both"/>
            </w:pPr>
            <w:r>
              <w:rPr>
                <w:sz w:val="18"/>
                <w:szCs w:val="18"/>
              </w:rPr>
              <w:t>Verifica los saldos consolidados.</w:t>
            </w:r>
          </w:p>
        </w:tc>
      </w:tr>
      <w:tr w:rsidR="00990B14" w14:paraId="2B46C5FB" w14:textId="77777777">
        <w:trPr>
          <w:cantSplit/>
          <w:jc w:val="center"/>
        </w:trPr>
        <w:tc>
          <w:tcPr>
            <w:tcW w:w="1772" w:type="dxa"/>
            <w:vMerge/>
            <w:shd w:val="clear" w:color="auto" w:fill="4472C4"/>
            <w:vAlign w:val="center"/>
          </w:tcPr>
          <w:p w14:paraId="331624F7" w14:textId="77777777" w:rsidR="00990B14" w:rsidRDefault="00990B14">
            <w:pPr>
              <w:spacing w:before="20" w:after="20"/>
            </w:pPr>
          </w:p>
        </w:tc>
        <w:tc>
          <w:tcPr>
            <w:tcW w:w="1854" w:type="dxa"/>
            <w:shd w:val="clear" w:color="auto" w:fill="D9E2F3"/>
            <w:vAlign w:val="center"/>
          </w:tcPr>
          <w:p w14:paraId="7394DADD" w14:textId="77777777" w:rsidR="00990B14" w:rsidRDefault="00000000">
            <w:pPr>
              <w:spacing w:before="20" w:after="20"/>
              <w:jc w:val="both"/>
            </w:pPr>
            <w:r>
              <w:rPr>
                <w:sz w:val="18"/>
                <w:szCs w:val="18"/>
              </w:rPr>
              <w:t>Hoja de cálculo</w:t>
            </w:r>
          </w:p>
        </w:tc>
        <w:tc>
          <w:tcPr>
            <w:tcW w:w="1910" w:type="dxa"/>
            <w:shd w:val="clear" w:color="auto" w:fill="D9E2F3"/>
            <w:vAlign w:val="center"/>
          </w:tcPr>
          <w:p w14:paraId="309D46E6" w14:textId="77777777" w:rsidR="00990B14" w:rsidRDefault="00000000">
            <w:pPr>
              <w:spacing w:before="20" w:after="20"/>
              <w:jc w:val="both"/>
            </w:pPr>
            <w:r>
              <w:rPr>
                <w:sz w:val="18"/>
                <w:szCs w:val="18"/>
              </w:rPr>
              <w:t>No usa fórmulas.</w:t>
            </w:r>
          </w:p>
        </w:tc>
        <w:tc>
          <w:tcPr>
            <w:tcW w:w="2015" w:type="dxa"/>
            <w:shd w:val="clear" w:color="auto" w:fill="D9E2F3"/>
            <w:vAlign w:val="center"/>
          </w:tcPr>
          <w:p w14:paraId="1CB5ADB7" w14:textId="77777777" w:rsidR="00990B14" w:rsidRDefault="00000000">
            <w:pPr>
              <w:spacing w:before="20" w:after="20"/>
              <w:jc w:val="both"/>
            </w:pPr>
            <w:r>
              <w:rPr>
                <w:sz w:val="18"/>
                <w:szCs w:val="18"/>
              </w:rPr>
              <w:t>Usa fórmulas y enlaces entre hojas.</w:t>
            </w:r>
          </w:p>
        </w:tc>
        <w:tc>
          <w:tcPr>
            <w:tcW w:w="1854" w:type="dxa"/>
            <w:shd w:val="clear" w:color="auto" w:fill="D9E2F3"/>
            <w:vAlign w:val="center"/>
          </w:tcPr>
          <w:p w14:paraId="00D5F5E3" w14:textId="77777777" w:rsidR="00990B14" w:rsidRDefault="00000000">
            <w:pPr>
              <w:spacing w:before="20" w:after="20"/>
              <w:jc w:val="both"/>
            </w:pPr>
            <w:r>
              <w:rPr>
                <w:sz w:val="18"/>
                <w:szCs w:val="18"/>
              </w:rPr>
              <w:t>Verifica que la hoja admita más sucursales.</w:t>
            </w:r>
          </w:p>
        </w:tc>
      </w:tr>
      <w:tr w:rsidR="00990B14" w14:paraId="38A692CF" w14:textId="77777777">
        <w:trPr>
          <w:cantSplit/>
          <w:jc w:val="center"/>
        </w:trPr>
        <w:tc>
          <w:tcPr>
            <w:tcW w:w="1772" w:type="dxa"/>
            <w:vMerge/>
            <w:shd w:val="clear" w:color="auto" w:fill="4472C4"/>
            <w:vAlign w:val="center"/>
          </w:tcPr>
          <w:p w14:paraId="5525F0B8" w14:textId="77777777" w:rsidR="00990B14" w:rsidRDefault="00990B14">
            <w:pPr>
              <w:spacing w:before="20" w:after="20"/>
            </w:pPr>
          </w:p>
        </w:tc>
        <w:tc>
          <w:tcPr>
            <w:tcW w:w="5779" w:type="dxa"/>
            <w:gridSpan w:val="3"/>
            <w:shd w:val="clear" w:color="auto" w:fill="D9E2F3"/>
            <w:vAlign w:val="center"/>
          </w:tcPr>
          <w:p w14:paraId="2B90B393" w14:textId="77777777" w:rsidR="00990B14" w:rsidRDefault="00000000">
            <w:pPr>
              <w:keepNext/>
              <w:spacing w:before="20" w:after="20"/>
              <w:jc w:val="both"/>
            </w:pPr>
            <w:r>
              <w:rPr>
                <w:b/>
                <w:bCs/>
                <w:i/>
                <w:iCs/>
                <w:sz w:val="18"/>
                <w:szCs w:val="18"/>
              </w:rPr>
              <w:t xml:space="preserve">Producto 28: </w:t>
            </w:r>
            <w:r>
              <w:rPr>
                <w:sz w:val="18"/>
                <w:szCs w:val="18"/>
              </w:rPr>
              <w:t>Cuadro comparativo de sistemas de contabilidad y de consolidación</w:t>
            </w:r>
          </w:p>
        </w:tc>
        <w:tc>
          <w:tcPr>
            <w:tcW w:w="1854" w:type="dxa"/>
            <w:shd w:val="clear" w:color="auto" w:fill="D9E2F3"/>
            <w:vAlign w:val="center"/>
          </w:tcPr>
          <w:p w14:paraId="6945DFC6" w14:textId="77777777" w:rsidR="00990B14" w:rsidRDefault="00000000">
            <w:pPr>
              <w:spacing w:before="20" w:after="20"/>
              <w:jc w:val="center"/>
            </w:pPr>
            <w:r>
              <w:rPr>
                <w:b/>
                <w:bCs/>
                <w:sz w:val="18"/>
                <w:szCs w:val="18"/>
              </w:rPr>
              <w:t>3%</w:t>
            </w:r>
          </w:p>
        </w:tc>
      </w:tr>
      <w:tr w:rsidR="00990B14" w14:paraId="7A6C082E" w14:textId="77777777">
        <w:trPr>
          <w:cantSplit/>
          <w:jc w:val="center"/>
        </w:trPr>
        <w:tc>
          <w:tcPr>
            <w:tcW w:w="1772" w:type="dxa"/>
            <w:vMerge/>
            <w:shd w:val="clear" w:color="auto" w:fill="4472C4"/>
            <w:vAlign w:val="center"/>
          </w:tcPr>
          <w:p w14:paraId="695AEDE8" w14:textId="77777777" w:rsidR="00990B14" w:rsidRDefault="00990B14">
            <w:pPr>
              <w:spacing w:before="20" w:after="20"/>
            </w:pPr>
          </w:p>
        </w:tc>
        <w:tc>
          <w:tcPr>
            <w:tcW w:w="1854" w:type="dxa"/>
            <w:shd w:val="clear" w:color="auto" w:fill="4472C4"/>
            <w:vAlign w:val="center"/>
          </w:tcPr>
          <w:p w14:paraId="6065CDE6"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3C98CA9E"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4CA1F5FA" w14:textId="77777777" w:rsidR="00990B14" w:rsidRDefault="00000000">
            <w:pPr>
              <w:keepNext/>
              <w:spacing w:before="20" w:after="20"/>
              <w:jc w:val="center"/>
            </w:pPr>
            <w:r>
              <w:rPr>
                <w:b/>
                <w:bCs/>
                <w:i/>
                <w:iCs/>
                <w:color w:val="FFFFFF"/>
                <w:sz w:val="18"/>
                <w:szCs w:val="18"/>
              </w:rPr>
              <w:t>Suficiente (51–80)</w:t>
            </w:r>
          </w:p>
        </w:tc>
        <w:tc>
          <w:tcPr>
            <w:tcW w:w="1854" w:type="dxa"/>
            <w:shd w:val="clear" w:color="auto" w:fill="4472C4"/>
            <w:vAlign w:val="center"/>
          </w:tcPr>
          <w:p w14:paraId="7C6644D8" w14:textId="77777777" w:rsidR="00990B14" w:rsidRDefault="00000000">
            <w:pPr>
              <w:keepNext/>
              <w:spacing w:before="20" w:after="20"/>
              <w:jc w:val="center"/>
            </w:pPr>
            <w:r>
              <w:rPr>
                <w:b/>
                <w:bCs/>
                <w:i/>
                <w:iCs/>
                <w:color w:val="FFFFFF"/>
                <w:sz w:val="18"/>
                <w:szCs w:val="18"/>
              </w:rPr>
              <w:t>Destacado (81–100)</w:t>
            </w:r>
          </w:p>
        </w:tc>
      </w:tr>
      <w:tr w:rsidR="00990B14" w14:paraId="32969FB2" w14:textId="77777777">
        <w:trPr>
          <w:cantSplit/>
          <w:jc w:val="center"/>
        </w:trPr>
        <w:tc>
          <w:tcPr>
            <w:tcW w:w="1772" w:type="dxa"/>
            <w:vMerge/>
            <w:shd w:val="clear" w:color="auto" w:fill="4472C4"/>
            <w:vAlign w:val="center"/>
          </w:tcPr>
          <w:p w14:paraId="1D82B457" w14:textId="77777777" w:rsidR="00990B14" w:rsidRDefault="00990B14">
            <w:pPr>
              <w:spacing w:before="20" w:after="20"/>
            </w:pPr>
          </w:p>
        </w:tc>
        <w:tc>
          <w:tcPr>
            <w:tcW w:w="1854" w:type="dxa"/>
            <w:shd w:val="clear" w:color="auto" w:fill="D9E2F3"/>
            <w:vAlign w:val="center"/>
          </w:tcPr>
          <w:p w14:paraId="3A4D292D" w14:textId="77777777" w:rsidR="00990B14" w:rsidRDefault="00000000">
            <w:pPr>
              <w:spacing w:before="20" w:after="20"/>
              <w:jc w:val="both"/>
            </w:pPr>
            <w:r>
              <w:rPr>
                <w:sz w:val="18"/>
                <w:szCs w:val="18"/>
              </w:rPr>
              <w:t>Sistemas de contabilidad</w:t>
            </w:r>
          </w:p>
        </w:tc>
        <w:tc>
          <w:tcPr>
            <w:tcW w:w="1910" w:type="dxa"/>
            <w:shd w:val="clear" w:color="auto" w:fill="D9E2F3"/>
            <w:vAlign w:val="center"/>
          </w:tcPr>
          <w:p w14:paraId="3D316656" w14:textId="77777777" w:rsidR="00990B14" w:rsidRDefault="00000000">
            <w:pPr>
              <w:spacing w:before="20" w:after="20"/>
              <w:jc w:val="both"/>
            </w:pPr>
            <w:r>
              <w:rPr>
                <w:sz w:val="18"/>
                <w:szCs w:val="18"/>
              </w:rPr>
              <w:t>Confunde ambos sistemas.</w:t>
            </w:r>
          </w:p>
        </w:tc>
        <w:tc>
          <w:tcPr>
            <w:tcW w:w="2015" w:type="dxa"/>
            <w:shd w:val="clear" w:color="auto" w:fill="D9E2F3"/>
            <w:vAlign w:val="center"/>
          </w:tcPr>
          <w:p w14:paraId="2B2FB38E" w14:textId="77777777" w:rsidR="00990B14" w:rsidRDefault="00000000">
            <w:pPr>
              <w:spacing w:before="20" w:after="20"/>
              <w:jc w:val="both"/>
            </w:pPr>
            <w:r>
              <w:rPr>
                <w:sz w:val="18"/>
                <w:szCs w:val="18"/>
              </w:rPr>
              <w:t>Distingue el sistema centralizado del descentralizado.</w:t>
            </w:r>
          </w:p>
        </w:tc>
        <w:tc>
          <w:tcPr>
            <w:tcW w:w="1854" w:type="dxa"/>
            <w:shd w:val="clear" w:color="auto" w:fill="D9E2F3"/>
            <w:vAlign w:val="center"/>
          </w:tcPr>
          <w:p w14:paraId="60081EE8" w14:textId="77777777" w:rsidR="00990B14" w:rsidRDefault="00000000">
            <w:pPr>
              <w:spacing w:before="20" w:after="20"/>
              <w:jc w:val="both"/>
            </w:pPr>
            <w:r>
              <w:rPr>
                <w:sz w:val="18"/>
                <w:szCs w:val="18"/>
              </w:rPr>
              <w:t>Recomienda un sistema según el tamaño de la empresa.</w:t>
            </w:r>
          </w:p>
        </w:tc>
      </w:tr>
      <w:tr w:rsidR="00990B14" w14:paraId="2DCE63A7" w14:textId="77777777">
        <w:trPr>
          <w:cantSplit/>
          <w:jc w:val="center"/>
        </w:trPr>
        <w:tc>
          <w:tcPr>
            <w:tcW w:w="1772" w:type="dxa"/>
            <w:vMerge/>
            <w:shd w:val="clear" w:color="auto" w:fill="4472C4"/>
            <w:vAlign w:val="center"/>
          </w:tcPr>
          <w:p w14:paraId="57793B57" w14:textId="77777777" w:rsidR="00990B14" w:rsidRDefault="00990B14">
            <w:pPr>
              <w:spacing w:before="20" w:after="20"/>
            </w:pPr>
          </w:p>
        </w:tc>
        <w:tc>
          <w:tcPr>
            <w:tcW w:w="1854" w:type="dxa"/>
            <w:shd w:val="clear" w:color="auto" w:fill="D9E2F3"/>
            <w:vAlign w:val="center"/>
          </w:tcPr>
          <w:p w14:paraId="60E663FA" w14:textId="77777777" w:rsidR="00990B14" w:rsidRDefault="00000000">
            <w:pPr>
              <w:spacing w:before="20" w:after="20"/>
              <w:jc w:val="both"/>
            </w:pPr>
            <w:r>
              <w:rPr>
                <w:sz w:val="18"/>
                <w:szCs w:val="18"/>
              </w:rPr>
              <w:t>Sucursal y subsidiaria</w:t>
            </w:r>
          </w:p>
        </w:tc>
        <w:tc>
          <w:tcPr>
            <w:tcW w:w="1910" w:type="dxa"/>
            <w:shd w:val="clear" w:color="auto" w:fill="D9E2F3"/>
            <w:vAlign w:val="center"/>
          </w:tcPr>
          <w:p w14:paraId="019652D4" w14:textId="77777777" w:rsidR="00990B14" w:rsidRDefault="00000000">
            <w:pPr>
              <w:spacing w:before="20" w:after="20"/>
              <w:jc w:val="both"/>
            </w:pPr>
            <w:r>
              <w:rPr>
                <w:sz w:val="18"/>
                <w:szCs w:val="18"/>
              </w:rPr>
              <w:t>Confunde sucursal con subsidiaria.</w:t>
            </w:r>
          </w:p>
        </w:tc>
        <w:tc>
          <w:tcPr>
            <w:tcW w:w="2015" w:type="dxa"/>
            <w:shd w:val="clear" w:color="auto" w:fill="D9E2F3"/>
            <w:vAlign w:val="center"/>
          </w:tcPr>
          <w:p w14:paraId="7EF43CCB" w14:textId="77777777" w:rsidR="00990B14" w:rsidRDefault="00000000">
            <w:pPr>
              <w:spacing w:before="20" w:after="20"/>
              <w:jc w:val="both"/>
            </w:pPr>
            <w:r>
              <w:rPr>
                <w:sz w:val="18"/>
                <w:szCs w:val="18"/>
              </w:rPr>
              <w:t>Distingue la consolidación de sucursales de la de grupos.</w:t>
            </w:r>
          </w:p>
        </w:tc>
        <w:tc>
          <w:tcPr>
            <w:tcW w:w="1854" w:type="dxa"/>
            <w:shd w:val="clear" w:color="auto" w:fill="D9E2F3"/>
            <w:vAlign w:val="center"/>
          </w:tcPr>
          <w:p w14:paraId="7ACD3746" w14:textId="77777777" w:rsidR="00990B14" w:rsidRDefault="00000000">
            <w:pPr>
              <w:spacing w:before="20" w:after="20"/>
              <w:jc w:val="both"/>
            </w:pPr>
            <w:r>
              <w:rPr>
                <w:sz w:val="18"/>
                <w:szCs w:val="18"/>
              </w:rPr>
              <w:t>Explica el concepto de control de la NIIF 10.</w:t>
            </w:r>
          </w:p>
        </w:tc>
      </w:tr>
      <w:tr w:rsidR="00990B14" w14:paraId="54DE87CC" w14:textId="77777777">
        <w:trPr>
          <w:cantSplit/>
          <w:jc w:val="center"/>
        </w:trPr>
        <w:tc>
          <w:tcPr>
            <w:tcW w:w="1772" w:type="dxa"/>
            <w:vMerge/>
            <w:shd w:val="clear" w:color="auto" w:fill="4472C4"/>
            <w:vAlign w:val="center"/>
          </w:tcPr>
          <w:p w14:paraId="61D1D4CF" w14:textId="77777777" w:rsidR="00990B14" w:rsidRDefault="00990B14">
            <w:pPr>
              <w:spacing w:before="20" w:after="20"/>
            </w:pPr>
          </w:p>
        </w:tc>
        <w:tc>
          <w:tcPr>
            <w:tcW w:w="1854" w:type="dxa"/>
            <w:shd w:val="clear" w:color="auto" w:fill="D9E2F3"/>
            <w:vAlign w:val="center"/>
          </w:tcPr>
          <w:p w14:paraId="49DDEC8E" w14:textId="77777777" w:rsidR="00990B14" w:rsidRDefault="00000000">
            <w:pPr>
              <w:spacing w:before="20" w:after="20"/>
              <w:jc w:val="both"/>
            </w:pPr>
            <w:r>
              <w:rPr>
                <w:sz w:val="18"/>
                <w:szCs w:val="18"/>
              </w:rPr>
              <w:t>Claridad de la exposición</w:t>
            </w:r>
          </w:p>
        </w:tc>
        <w:tc>
          <w:tcPr>
            <w:tcW w:w="1910" w:type="dxa"/>
            <w:shd w:val="clear" w:color="auto" w:fill="D9E2F3"/>
            <w:vAlign w:val="center"/>
          </w:tcPr>
          <w:p w14:paraId="61C8D7E1" w14:textId="77777777" w:rsidR="00990B14" w:rsidRDefault="00000000">
            <w:pPr>
              <w:spacing w:before="20" w:after="20"/>
              <w:jc w:val="both"/>
            </w:pPr>
            <w:r>
              <w:rPr>
                <w:sz w:val="18"/>
                <w:szCs w:val="18"/>
              </w:rPr>
              <w:t>La exposición es confusa.</w:t>
            </w:r>
          </w:p>
        </w:tc>
        <w:tc>
          <w:tcPr>
            <w:tcW w:w="2015" w:type="dxa"/>
            <w:shd w:val="clear" w:color="auto" w:fill="D9E2F3"/>
            <w:vAlign w:val="center"/>
          </w:tcPr>
          <w:p w14:paraId="710EB9D6" w14:textId="77777777" w:rsidR="00990B14" w:rsidRDefault="00000000">
            <w:pPr>
              <w:spacing w:before="20" w:after="20"/>
              <w:jc w:val="both"/>
            </w:pPr>
            <w:r>
              <w:rPr>
                <w:sz w:val="18"/>
                <w:szCs w:val="18"/>
              </w:rPr>
              <w:t>Expone con orden y claridad.</w:t>
            </w:r>
          </w:p>
        </w:tc>
        <w:tc>
          <w:tcPr>
            <w:tcW w:w="1854" w:type="dxa"/>
            <w:shd w:val="clear" w:color="auto" w:fill="D9E2F3"/>
            <w:vAlign w:val="center"/>
          </w:tcPr>
          <w:p w14:paraId="5CFC448C" w14:textId="77777777" w:rsidR="00990B14" w:rsidRDefault="00000000">
            <w:pPr>
              <w:spacing w:before="20" w:after="20"/>
              <w:jc w:val="both"/>
            </w:pPr>
            <w:r>
              <w:rPr>
                <w:sz w:val="18"/>
                <w:szCs w:val="18"/>
              </w:rPr>
              <w:t>Responde con solvencia las preguntas del curso.</w:t>
            </w:r>
          </w:p>
        </w:tc>
      </w:tr>
      <w:tr w:rsidR="00990B14" w14:paraId="5B5AB547" w14:textId="77777777">
        <w:trPr>
          <w:cantSplit/>
          <w:jc w:val="center"/>
        </w:trPr>
        <w:tc>
          <w:tcPr>
            <w:tcW w:w="1772" w:type="dxa"/>
            <w:vMerge/>
            <w:shd w:val="clear" w:color="auto" w:fill="4472C4"/>
            <w:vAlign w:val="center"/>
          </w:tcPr>
          <w:p w14:paraId="780C8E3F" w14:textId="77777777" w:rsidR="00990B14" w:rsidRDefault="00990B14">
            <w:pPr>
              <w:spacing w:before="20" w:after="20"/>
            </w:pPr>
          </w:p>
        </w:tc>
        <w:tc>
          <w:tcPr>
            <w:tcW w:w="5779" w:type="dxa"/>
            <w:gridSpan w:val="3"/>
            <w:shd w:val="clear" w:color="auto" w:fill="D9E2F3"/>
            <w:vAlign w:val="center"/>
          </w:tcPr>
          <w:p w14:paraId="14BA11BB" w14:textId="77777777" w:rsidR="00990B14" w:rsidRDefault="00000000">
            <w:pPr>
              <w:keepNext/>
              <w:spacing w:before="20" w:after="20"/>
              <w:jc w:val="both"/>
            </w:pPr>
            <w:r>
              <w:rPr>
                <w:b/>
                <w:bCs/>
                <w:i/>
                <w:iCs/>
                <w:sz w:val="18"/>
                <w:szCs w:val="18"/>
              </w:rPr>
              <w:t xml:space="preserve">Producto 29: </w:t>
            </w:r>
            <w:r>
              <w:rPr>
                <w:sz w:val="18"/>
                <w:szCs w:val="18"/>
              </w:rPr>
              <w:t>Registro de la transformación de una sociedad con su valuación</w:t>
            </w:r>
          </w:p>
        </w:tc>
        <w:tc>
          <w:tcPr>
            <w:tcW w:w="1854" w:type="dxa"/>
            <w:shd w:val="clear" w:color="auto" w:fill="D9E2F3"/>
            <w:vAlign w:val="center"/>
          </w:tcPr>
          <w:p w14:paraId="4146FCBD" w14:textId="77777777" w:rsidR="00990B14" w:rsidRDefault="00000000">
            <w:pPr>
              <w:spacing w:before="20" w:after="20"/>
              <w:jc w:val="center"/>
            </w:pPr>
            <w:r>
              <w:rPr>
                <w:b/>
                <w:bCs/>
                <w:sz w:val="18"/>
                <w:szCs w:val="18"/>
              </w:rPr>
              <w:t>4%</w:t>
            </w:r>
          </w:p>
        </w:tc>
      </w:tr>
      <w:tr w:rsidR="00990B14" w14:paraId="7B9ADD1B" w14:textId="77777777">
        <w:trPr>
          <w:cantSplit/>
          <w:jc w:val="center"/>
        </w:trPr>
        <w:tc>
          <w:tcPr>
            <w:tcW w:w="1772" w:type="dxa"/>
            <w:vMerge/>
            <w:shd w:val="clear" w:color="auto" w:fill="4472C4"/>
            <w:vAlign w:val="center"/>
          </w:tcPr>
          <w:p w14:paraId="41E93DBC" w14:textId="77777777" w:rsidR="00990B14" w:rsidRDefault="00990B14">
            <w:pPr>
              <w:spacing w:before="20" w:after="20"/>
            </w:pPr>
          </w:p>
        </w:tc>
        <w:tc>
          <w:tcPr>
            <w:tcW w:w="1854" w:type="dxa"/>
            <w:shd w:val="clear" w:color="auto" w:fill="4472C4"/>
            <w:vAlign w:val="center"/>
          </w:tcPr>
          <w:p w14:paraId="2BF22014"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02C55D63"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689C4254" w14:textId="77777777" w:rsidR="00990B14" w:rsidRDefault="00000000">
            <w:pPr>
              <w:keepNext/>
              <w:spacing w:before="20" w:after="20"/>
              <w:jc w:val="center"/>
            </w:pPr>
            <w:r>
              <w:rPr>
                <w:b/>
                <w:bCs/>
                <w:i/>
                <w:iCs/>
                <w:color w:val="FFFFFF"/>
                <w:sz w:val="18"/>
                <w:szCs w:val="18"/>
              </w:rPr>
              <w:t>Suficiente (51–80)</w:t>
            </w:r>
          </w:p>
        </w:tc>
        <w:tc>
          <w:tcPr>
            <w:tcW w:w="1854" w:type="dxa"/>
            <w:shd w:val="clear" w:color="auto" w:fill="4472C4"/>
            <w:vAlign w:val="center"/>
          </w:tcPr>
          <w:p w14:paraId="4DA98688" w14:textId="77777777" w:rsidR="00990B14" w:rsidRDefault="00000000">
            <w:pPr>
              <w:keepNext/>
              <w:spacing w:before="20" w:after="20"/>
              <w:jc w:val="center"/>
            </w:pPr>
            <w:r>
              <w:rPr>
                <w:b/>
                <w:bCs/>
                <w:i/>
                <w:iCs/>
                <w:color w:val="FFFFFF"/>
                <w:sz w:val="18"/>
                <w:szCs w:val="18"/>
              </w:rPr>
              <w:t>Destacado (81–100)</w:t>
            </w:r>
          </w:p>
        </w:tc>
      </w:tr>
      <w:tr w:rsidR="00990B14" w14:paraId="1D5CB695" w14:textId="77777777">
        <w:trPr>
          <w:cantSplit/>
          <w:jc w:val="center"/>
        </w:trPr>
        <w:tc>
          <w:tcPr>
            <w:tcW w:w="1772" w:type="dxa"/>
            <w:vMerge/>
            <w:shd w:val="clear" w:color="auto" w:fill="4472C4"/>
            <w:vAlign w:val="center"/>
          </w:tcPr>
          <w:p w14:paraId="7F213C81" w14:textId="77777777" w:rsidR="00990B14" w:rsidRDefault="00990B14">
            <w:pPr>
              <w:spacing w:before="20" w:after="20"/>
            </w:pPr>
          </w:p>
        </w:tc>
        <w:tc>
          <w:tcPr>
            <w:tcW w:w="1854" w:type="dxa"/>
            <w:shd w:val="clear" w:color="auto" w:fill="D9E2F3"/>
            <w:vAlign w:val="center"/>
          </w:tcPr>
          <w:p w14:paraId="391B300D" w14:textId="77777777" w:rsidR="00990B14" w:rsidRDefault="00000000">
            <w:pPr>
              <w:spacing w:before="20" w:after="20"/>
              <w:jc w:val="both"/>
            </w:pPr>
            <w:r>
              <w:rPr>
                <w:sz w:val="18"/>
                <w:szCs w:val="18"/>
              </w:rPr>
              <w:t>Valuación del patrimonio</w:t>
            </w:r>
          </w:p>
        </w:tc>
        <w:tc>
          <w:tcPr>
            <w:tcW w:w="1910" w:type="dxa"/>
            <w:shd w:val="clear" w:color="auto" w:fill="D9E2F3"/>
            <w:vAlign w:val="center"/>
          </w:tcPr>
          <w:p w14:paraId="630F410E" w14:textId="77777777" w:rsidR="00990B14" w:rsidRDefault="00000000">
            <w:pPr>
              <w:spacing w:before="20" w:after="20"/>
              <w:jc w:val="both"/>
            </w:pPr>
            <w:r>
              <w:rPr>
                <w:sz w:val="18"/>
                <w:szCs w:val="18"/>
              </w:rPr>
              <w:t>Valora sin criterio.</w:t>
            </w:r>
          </w:p>
        </w:tc>
        <w:tc>
          <w:tcPr>
            <w:tcW w:w="2015" w:type="dxa"/>
            <w:shd w:val="clear" w:color="auto" w:fill="D9E2F3"/>
            <w:vAlign w:val="center"/>
          </w:tcPr>
          <w:p w14:paraId="5B3FAA39" w14:textId="77777777" w:rsidR="00990B14" w:rsidRDefault="00000000">
            <w:pPr>
              <w:spacing w:before="20" w:after="20"/>
              <w:jc w:val="both"/>
            </w:pPr>
            <w:r>
              <w:rPr>
                <w:sz w:val="18"/>
                <w:szCs w:val="18"/>
              </w:rPr>
              <w:t>Valora al valor en libros y por grado de realización.</w:t>
            </w:r>
          </w:p>
        </w:tc>
        <w:tc>
          <w:tcPr>
            <w:tcW w:w="1854" w:type="dxa"/>
            <w:shd w:val="clear" w:color="auto" w:fill="D9E2F3"/>
            <w:vAlign w:val="center"/>
          </w:tcPr>
          <w:p w14:paraId="34723B61" w14:textId="77777777" w:rsidR="00990B14" w:rsidRDefault="00000000">
            <w:pPr>
              <w:spacing w:before="20" w:after="20"/>
              <w:jc w:val="both"/>
            </w:pPr>
            <w:r>
              <w:rPr>
                <w:sz w:val="18"/>
                <w:szCs w:val="18"/>
              </w:rPr>
              <w:t>Compara el efecto de ambos criterios.</w:t>
            </w:r>
          </w:p>
        </w:tc>
      </w:tr>
      <w:tr w:rsidR="00990B14" w14:paraId="047EBD68" w14:textId="77777777">
        <w:trPr>
          <w:cantSplit/>
          <w:jc w:val="center"/>
        </w:trPr>
        <w:tc>
          <w:tcPr>
            <w:tcW w:w="1772" w:type="dxa"/>
            <w:vMerge/>
            <w:shd w:val="clear" w:color="auto" w:fill="4472C4"/>
            <w:vAlign w:val="center"/>
          </w:tcPr>
          <w:p w14:paraId="08D52A67" w14:textId="77777777" w:rsidR="00990B14" w:rsidRDefault="00990B14">
            <w:pPr>
              <w:spacing w:before="20" w:after="20"/>
            </w:pPr>
          </w:p>
        </w:tc>
        <w:tc>
          <w:tcPr>
            <w:tcW w:w="1854" w:type="dxa"/>
            <w:shd w:val="clear" w:color="auto" w:fill="D9E2F3"/>
            <w:vAlign w:val="center"/>
          </w:tcPr>
          <w:p w14:paraId="74C874B3" w14:textId="77777777" w:rsidR="00990B14" w:rsidRDefault="00000000">
            <w:pPr>
              <w:spacing w:before="20" w:after="20"/>
              <w:jc w:val="both"/>
            </w:pPr>
            <w:r>
              <w:rPr>
                <w:sz w:val="18"/>
                <w:szCs w:val="18"/>
              </w:rPr>
              <w:t>Registro contable</w:t>
            </w:r>
          </w:p>
        </w:tc>
        <w:tc>
          <w:tcPr>
            <w:tcW w:w="1910" w:type="dxa"/>
            <w:shd w:val="clear" w:color="auto" w:fill="D9E2F3"/>
            <w:vAlign w:val="center"/>
          </w:tcPr>
          <w:p w14:paraId="4931FB93" w14:textId="77777777" w:rsidR="00990B14" w:rsidRDefault="00000000">
            <w:pPr>
              <w:spacing w:before="20" w:after="20"/>
              <w:jc w:val="both"/>
            </w:pPr>
            <w:r>
              <w:rPr>
                <w:sz w:val="18"/>
                <w:szCs w:val="18"/>
              </w:rPr>
              <w:t>Omite la reclasificación del patrimonio al nuevo tipo societario.</w:t>
            </w:r>
          </w:p>
        </w:tc>
        <w:tc>
          <w:tcPr>
            <w:tcW w:w="2015" w:type="dxa"/>
            <w:shd w:val="clear" w:color="auto" w:fill="D9E2F3"/>
            <w:vAlign w:val="center"/>
          </w:tcPr>
          <w:p w14:paraId="1D8D1CAF" w14:textId="77777777" w:rsidR="00990B14" w:rsidRDefault="00000000">
            <w:pPr>
              <w:spacing w:before="20" w:after="20"/>
              <w:jc w:val="both"/>
            </w:pPr>
            <w:r>
              <w:rPr>
                <w:sz w:val="18"/>
                <w:szCs w:val="18"/>
              </w:rPr>
              <w:t>Registra la transformación con su demostración.</w:t>
            </w:r>
          </w:p>
        </w:tc>
        <w:tc>
          <w:tcPr>
            <w:tcW w:w="1854" w:type="dxa"/>
            <w:shd w:val="clear" w:color="auto" w:fill="D9E2F3"/>
            <w:vAlign w:val="center"/>
          </w:tcPr>
          <w:p w14:paraId="499216BA" w14:textId="77777777" w:rsidR="00990B14" w:rsidRDefault="00000000">
            <w:pPr>
              <w:spacing w:before="20" w:after="20"/>
              <w:jc w:val="both"/>
            </w:pPr>
            <w:r>
              <w:rPr>
                <w:sz w:val="18"/>
                <w:szCs w:val="18"/>
              </w:rPr>
              <w:t>Verifica la continuidad de los derechos de los socios.</w:t>
            </w:r>
          </w:p>
        </w:tc>
      </w:tr>
      <w:tr w:rsidR="00990B14" w14:paraId="7D414DDA" w14:textId="77777777">
        <w:trPr>
          <w:cantSplit/>
          <w:jc w:val="center"/>
        </w:trPr>
        <w:tc>
          <w:tcPr>
            <w:tcW w:w="1772" w:type="dxa"/>
            <w:vMerge/>
            <w:shd w:val="clear" w:color="auto" w:fill="4472C4"/>
            <w:vAlign w:val="center"/>
          </w:tcPr>
          <w:p w14:paraId="0D34FE79" w14:textId="77777777" w:rsidR="00990B14" w:rsidRDefault="00990B14">
            <w:pPr>
              <w:spacing w:before="20" w:after="20"/>
            </w:pPr>
          </w:p>
        </w:tc>
        <w:tc>
          <w:tcPr>
            <w:tcW w:w="1854" w:type="dxa"/>
            <w:shd w:val="clear" w:color="auto" w:fill="D9E2F3"/>
            <w:vAlign w:val="center"/>
          </w:tcPr>
          <w:p w14:paraId="45132A91" w14:textId="77777777" w:rsidR="00990B14" w:rsidRDefault="00000000">
            <w:pPr>
              <w:spacing w:before="20" w:after="20"/>
              <w:jc w:val="both"/>
            </w:pPr>
            <w:r>
              <w:rPr>
                <w:sz w:val="18"/>
                <w:szCs w:val="18"/>
              </w:rPr>
              <w:t>Procedimiento legal</w:t>
            </w:r>
          </w:p>
        </w:tc>
        <w:tc>
          <w:tcPr>
            <w:tcW w:w="1910" w:type="dxa"/>
            <w:shd w:val="clear" w:color="auto" w:fill="D9E2F3"/>
            <w:vAlign w:val="center"/>
          </w:tcPr>
          <w:p w14:paraId="0B54E8E0" w14:textId="77777777" w:rsidR="00990B14" w:rsidRDefault="00000000">
            <w:pPr>
              <w:spacing w:before="20" w:after="20"/>
              <w:jc w:val="both"/>
            </w:pPr>
            <w:r>
              <w:rPr>
                <w:sz w:val="18"/>
                <w:szCs w:val="18"/>
              </w:rPr>
              <w:t>Omite pasos del procedimiento.</w:t>
            </w:r>
          </w:p>
        </w:tc>
        <w:tc>
          <w:tcPr>
            <w:tcW w:w="2015" w:type="dxa"/>
            <w:shd w:val="clear" w:color="auto" w:fill="D9E2F3"/>
            <w:vAlign w:val="center"/>
          </w:tcPr>
          <w:p w14:paraId="537697F0" w14:textId="77777777" w:rsidR="00990B14" w:rsidRDefault="00000000">
            <w:pPr>
              <w:spacing w:before="20" w:after="20"/>
              <w:jc w:val="both"/>
            </w:pPr>
            <w:r>
              <w:rPr>
                <w:sz w:val="18"/>
                <w:szCs w:val="18"/>
              </w:rPr>
              <w:t>Sigue el procedimiento completo.</w:t>
            </w:r>
          </w:p>
        </w:tc>
        <w:tc>
          <w:tcPr>
            <w:tcW w:w="1854" w:type="dxa"/>
            <w:shd w:val="clear" w:color="auto" w:fill="D9E2F3"/>
            <w:vAlign w:val="center"/>
          </w:tcPr>
          <w:p w14:paraId="07AFC5BB" w14:textId="77777777" w:rsidR="00990B14" w:rsidRDefault="00000000">
            <w:pPr>
              <w:spacing w:before="20" w:after="20"/>
              <w:jc w:val="both"/>
            </w:pPr>
            <w:r>
              <w:rPr>
                <w:sz w:val="18"/>
                <w:szCs w:val="18"/>
              </w:rPr>
              <w:t>Explica los requisitos legales de cada paso.</w:t>
            </w:r>
          </w:p>
        </w:tc>
      </w:tr>
      <w:tr w:rsidR="00990B14" w14:paraId="32190065" w14:textId="77777777">
        <w:trPr>
          <w:cantSplit/>
          <w:jc w:val="center"/>
        </w:trPr>
        <w:tc>
          <w:tcPr>
            <w:tcW w:w="1772" w:type="dxa"/>
            <w:vMerge/>
            <w:shd w:val="clear" w:color="auto" w:fill="4472C4"/>
            <w:vAlign w:val="center"/>
          </w:tcPr>
          <w:p w14:paraId="4D54A9DE" w14:textId="77777777" w:rsidR="00990B14" w:rsidRDefault="00990B14">
            <w:pPr>
              <w:spacing w:before="20" w:after="20"/>
            </w:pPr>
          </w:p>
        </w:tc>
        <w:tc>
          <w:tcPr>
            <w:tcW w:w="5779" w:type="dxa"/>
            <w:gridSpan w:val="3"/>
            <w:shd w:val="clear" w:color="auto" w:fill="D9E2F3"/>
            <w:vAlign w:val="center"/>
          </w:tcPr>
          <w:p w14:paraId="44058549" w14:textId="77777777" w:rsidR="00990B14" w:rsidRDefault="00000000">
            <w:pPr>
              <w:keepNext/>
              <w:spacing w:before="20" w:after="20"/>
              <w:jc w:val="both"/>
            </w:pPr>
            <w:r>
              <w:rPr>
                <w:b/>
                <w:bCs/>
                <w:i/>
                <w:iCs/>
                <w:sz w:val="18"/>
                <w:szCs w:val="18"/>
              </w:rPr>
              <w:t xml:space="preserve">Producto 30: </w:t>
            </w:r>
            <w:r>
              <w:rPr>
                <w:sz w:val="18"/>
                <w:szCs w:val="18"/>
              </w:rPr>
              <w:t>Informe de fusión de sociedades con sus registros de cierre</w:t>
            </w:r>
          </w:p>
        </w:tc>
        <w:tc>
          <w:tcPr>
            <w:tcW w:w="1854" w:type="dxa"/>
            <w:shd w:val="clear" w:color="auto" w:fill="D9E2F3"/>
            <w:vAlign w:val="center"/>
          </w:tcPr>
          <w:p w14:paraId="22D720FB" w14:textId="77777777" w:rsidR="00990B14" w:rsidRDefault="00000000">
            <w:pPr>
              <w:spacing w:before="20" w:after="20"/>
              <w:jc w:val="center"/>
            </w:pPr>
            <w:r>
              <w:rPr>
                <w:b/>
                <w:bCs/>
                <w:sz w:val="18"/>
                <w:szCs w:val="18"/>
              </w:rPr>
              <w:t>4%</w:t>
            </w:r>
          </w:p>
        </w:tc>
      </w:tr>
      <w:tr w:rsidR="00990B14" w14:paraId="7E9E792F" w14:textId="77777777">
        <w:trPr>
          <w:cantSplit/>
          <w:jc w:val="center"/>
        </w:trPr>
        <w:tc>
          <w:tcPr>
            <w:tcW w:w="1772" w:type="dxa"/>
            <w:vMerge/>
            <w:shd w:val="clear" w:color="auto" w:fill="4472C4"/>
            <w:vAlign w:val="center"/>
          </w:tcPr>
          <w:p w14:paraId="0430F9E9" w14:textId="77777777" w:rsidR="00990B14" w:rsidRDefault="00990B14">
            <w:pPr>
              <w:spacing w:before="20" w:after="20"/>
            </w:pPr>
          </w:p>
        </w:tc>
        <w:tc>
          <w:tcPr>
            <w:tcW w:w="1854" w:type="dxa"/>
            <w:shd w:val="clear" w:color="auto" w:fill="4472C4"/>
            <w:vAlign w:val="center"/>
          </w:tcPr>
          <w:p w14:paraId="65F0239A"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4892C17B"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41157329" w14:textId="77777777" w:rsidR="00990B14" w:rsidRDefault="00000000">
            <w:pPr>
              <w:keepNext/>
              <w:spacing w:before="20" w:after="20"/>
              <w:jc w:val="center"/>
            </w:pPr>
            <w:r>
              <w:rPr>
                <w:b/>
                <w:bCs/>
                <w:i/>
                <w:iCs/>
                <w:color w:val="FFFFFF"/>
                <w:sz w:val="18"/>
                <w:szCs w:val="18"/>
              </w:rPr>
              <w:t>Suficiente (51–80)</w:t>
            </w:r>
          </w:p>
        </w:tc>
        <w:tc>
          <w:tcPr>
            <w:tcW w:w="1854" w:type="dxa"/>
            <w:shd w:val="clear" w:color="auto" w:fill="4472C4"/>
            <w:vAlign w:val="center"/>
          </w:tcPr>
          <w:p w14:paraId="6EEFBFD0" w14:textId="77777777" w:rsidR="00990B14" w:rsidRDefault="00000000">
            <w:pPr>
              <w:keepNext/>
              <w:spacing w:before="20" w:after="20"/>
              <w:jc w:val="center"/>
            </w:pPr>
            <w:r>
              <w:rPr>
                <w:b/>
                <w:bCs/>
                <w:i/>
                <w:iCs/>
                <w:color w:val="FFFFFF"/>
                <w:sz w:val="18"/>
                <w:szCs w:val="18"/>
              </w:rPr>
              <w:t>Destacado (81–100)</w:t>
            </w:r>
          </w:p>
        </w:tc>
      </w:tr>
      <w:tr w:rsidR="00990B14" w14:paraId="10D1272E" w14:textId="77777777">
        <w:trPr>
          <w:cantSplit/>
          <w:jc w:val="center"/>
        </w:trPr>
        <w:tc>
          <w:tcPr>
            <w:tcW w:w="1772" w:type="dxa"/>
            <w:vMerge/>
            <w:shd w:val="clear" w:color="auto" w:fill="4472C4"/>
            <w:vAlign w:val="center"/>
          </w:tcPr>
          <w:p w14:paraId="209BEC33" w14:textId="77777777" w:rsidR="00990B14" w:rsidRDefault="00990B14">
            <w:pPr>
              <w:spacing w:before="20" w:after="20"/>
            </w:pPr>
          </w:p>
        </w:tc>
        <w:tc>
          <w:tcPr>
            <w:tcW w:w="1854" w:type="dxa"/>
            <w:shd w:val="clear" w:color="auto" w:fill="D9E2F3"/>
            <w:vAlign w:val="center"/>
          </w:tcPr>
          <w:p w14:paraId="18C11834" w14:textId="77777777" w:rsidR="00990B14" w:rsidRDefault="00000000">
            <w:pPr>
              <w:spacing w:before="20" w:after="20"/>
              <w:jc w:val="both"/>
            </w:pPr>
            <w:r>
              <w:rPr>
                <w:sz w:val="18"/>
                <w:szCs w:val="18"/>
              </w:rPr>
              <w:t>Clases de fusión</w:t>
            </w:r>
          </w:p>
        </w:tc>
        <w:tc>
          <w:tcPr>
            <w:tcW w:w="1910" w:type="dxa"/>
            <w:shd w:val="clear" w:color="auto" w:fill="D9E2F3"/>
            <w:vAlign w:val="center"/>
          </w:tcPr>
          <w:p w14:paraId="42CA34CB" w14:textId="77777777" w:rsidR="00990B14" w:rsidRDefault="00000000">
            <w:pPr>
              <w:spacing w:before="20" w:after="20"/>
              <w:jc w:val="both"/>
            </w:pPr>
            <w:r>
              <w:rPr>
                <w:sz w:val="18"/>
                <w:szCs w:val="18"/>
              </w:rPr>
              <w:t>Confunde la integración con la absorción.</w:t>
            </w:r>
          </w:p>
        </w:tc>
        <w:tc>
          <w:tcPr>
            <w:tcW w:w="2015" w:type="dxa"/>
            <w:shd w:val="clear" w:color="auto" w:fill="D9E2F3"/>
            <w:vAlign w:val="center"/>
          </w:tcPr>
          <w:p w14:paraId="62582889" w14:textId="77777777" w:rsidR="00990B14" w:rsidRDefault="00000000">
            <w:pPr>
              <w:spacing w:before="20" w:after="20"/>
              <w:jc w:val="both"/>
            </w:pPr>
            <w:r>
              <w:rPr>
                <w:sz w:val="18"/>
                <w:szCs w:val="18"/>
              </w:rPr>
              <w:t>Distingue y registra cada clase de fusión.</w:t>
            </w:r>
          </w:p>
        </w:tc>
        <w:tc>
          <w:tcPr>
            <w:tcW w:w="1854" w:type="dxa"/>
            <w:shd w:val="clear" w:color="auto" w:fill="D9E2F3"/>
            <w:vAlign w:val="center"/>
          </w:tcPr>
          <w:p w14:paraId="6B17F2F9" w14:textId="77777777" w:rsidR="00990B14" w:rsidRDefault="00000000">
            <w:pPr>
              <w:spacing w:before="20" w:after="20"/>
              <w:jc w:val="both"/>
            </w:pPr>
            <w:r>
              <w:rPr>
                <w:sz w:val="18"/>
                <w:szCs w:val="18"/>
              </w:rPr>
              <w:t>Explica sus efectos en los socios.</w:t>
            </w:r>
          </w:p>
        </w:tc>
      </w:tr>
      <w:tr w:rsidR="00990B14" w14:paraId="3D0B2D7F" w14:textId="77777777">
        <w:trPr>
          <w:cantSplit/>
          <w:jc w:val="center"/>
        </w:trPr>
        <w:tc>
          <w:tcPr>
            <w:tcW w:w="1772" w:type="dxa"/>
            <w:vMerge/>
            <w:shd w:val="clear" w:color="auto" w:fill="4472C4"/>
            <w:vAlign w:val="center"/>
          </w:tcPr>
          <w:p w14:paraId="42D8D8C4" w14:textId="77777777" w:rsidR="00990B14" w:rsidRDefault="00990B14">
            <w:pPr>
              <w:spacing w:before="20" w:after="20"/>
            </w:pPr>
          </w:p>
        </w:tc>
        <w:tc>
          <w:tcPr>
            <w:tcW w:w="1854" w:type="dxa"/>
            <w:shd w:val="clear" w:color="auto" w:fill="D9E2F3"/>
            <w:vAlign w:val="center"/>
          </w:tcPr>
          <w:p w14:paraId="1400B4DE" w14:textId="77777777" w:rsidR="00990B14" w:rsidRDefault="00000000">
            <w:pPr>
              <w:spacing w:before="20" w:after="20"/>
              <w:jc w:val="both"/>
            </w:pPr>
            <w:r>
              <w:rPr>
                <w:sz w:val="18"/>
                <w:szCs w:val="18"/>
              </w:rPr>
              <w:t>Registros de cierre</w:t>
            </w:r>
          </w:p>
        </w:tc>
        <w:tc>
          <w:tcPr>
            <w:tcW w:w="1910" w:type="dxa"/>
            <w:shd w:val="clear" w:color="auto" w:fill="D9E2F3"/>
            <w:vAlign w:val="center"/>
          </w:tcPr>
          <w:p w14:paraId="7A275E12" w14:textId="77777777" w:rsidR="00990B14" w:rsidRDefault="00000000">
            <w:pPr>
              <w:spacing w:before="20" w:after="20"/>
              <w:jc w:val="both"/>
            </w:pPr>
            <w:r>
              <w:rPr>
                <w:sz w:val="18"/>
                <w:szCs w:val="18"/>
              </w:rPr>
              <w:t>Omite los registros de cierre.</w:t>
            </w:r>
          </w:p>
        </w:tc>
        <w:tc>
          <w:tcPr>
            <w:tcW w:w="2015" w:type="dxa"/>
            <w:shd w:val="clear" w:color="auto" w:fill="D9E2F3"/>
            <w:vAlign w:val="center"/>
          </w:tcPr>
          <w:p w14:paraId="5350C5EF" w14:textId="77777777" w:rsidR="00990B14" w:rsidRDefault="00000000">
            <w:pPr>
              <w:spacing w:before="20" w:after="20"/>
              <w:jc w:val="both"/>
            </w:pPr>
            <w:r>
              <w:rPr>
                <w:sz w:val="18"/>
                <w:szCs w:val="18"/>
              </w:rPr>
              <w:t>Registra el cierre de las sociedades absorbidas.</w:t>
            </w:r>
          </w:p>
        </w:tc>
        <w:tc>
          <w:tcPr>
            <w:tcW w:w="1854" w:type="dxa"/>
            <w:shd w:val="clear" w:color="auto" w:fill="D9E2F3"/>
            <w:vAlign w:val="center"/>
          </w:tcPr>
          <w:p w14:paraId="5CC64328" w14:textId="77777777" w:rsidR="00990B14" w:rsidRDefault="00000000">
            <w:pPr>
              <w:spacing w:before="20" w:after="20"/>
              <w:jc w:val="both"/>
            </w:pPr>
            <w:r>
              <w:rPr>
                <w:sz w:val="18"/>
                <w:szCs w:val="18"/>
              </w:rPr>
              <w:t>Contrasta el valor en libros con el método de adquisición.</w:t>
            </w:r>
          </w:p>
        </w:tc>
      </w:tr>
      <w:tr w:rsidR="00990B14" w14:paraId="72055E6C" w14:textId="77777777">
        <w:trPr>
          <w:cantSplit/>
          <w:jc w:val="center"/>
        </w:trPr>
        <w:tc>
          <w:tcPr>
            <w:tcW w:w="1772" w:type="dxa"/>
            <w:vMerge/>
            <w:shd w:val="clear" w:color="auto" w:fill="4472C4"/>
            <w:vAlign w:val="center"/>
          </w:tcPr>
          <w:p w14:paraId="70DD446A" w14:textId="77777777" w:rsidR="00990B14" w:rsidRDefault="00990B14">
            <w:pPr>
              <w:spacing w:before="20" w:after="20"/>
            </w:pPr>
          </w:p>
        </w:tc>
        <w:tc>
          <w:tcPr>
            <w:tcW w:w="1854" w:type="dxa"/>
            <w:shd w:val="clear" w:color="auto" w:fill="D9E2F3"/>
            <w:vAlign w:val="center"/>
          </w:tcPr>
          <w:p w14:paraId="73968A32" w14:textId="77777777" w:rsidR="00990B14" w:rsidRDefault="00000000">
            <w:pPr>
              <w:spacing w:before="20" w:after="20"/>
              <w:jc w:val="both"/>
            </w:pPr>
            <w:r>
              <w:rPr>
                <w:sz w:val="18"/>
                <w:szCs w:val="18"/>
              </w:rPr>
              <w:t>Trabajo en equipo</w:t>
            </w:r>
          </w:p>
        </w:tc>
        <w:tc>
          <w:tcPr>
            <w:tcW w:w="1910" w:type="dxa"/>
            <w:shd w:val="clear" w:color="auto" w:fill="D9E2F3"/>
            <w:vAlign w:val="center"/>
          </w:tcPr>
          <w:p w14:paraId="71408B62" w14:textId="77777777" w:rsidR="00990B14" w:rsidRDefault="00000000">
            <w:pPr>
              <w:spacing w:before="20" w:after="20"/>
              <w:jc w:val="both"/>
            </w:pPr>
            <w:r>
              <w:rPr>
                <w:sz w:val="18"/>
                <w:szCs w:val="18"/>
              </w:rPr>
              <w:t>La participación es desigual.</w:t>
            </w:r>
          </w:p>
        </w:tc>
        <w:tc>
          <w:tcPr>
            <w:tcW w:w="2015" w:type="dxa"/>
            <w:shd w:val="clear" w:color="auto" w:fill="D9E2F3"/>
            <w:vAlign w:val="center"/>
          </w:tcPr>
          <w:p w14:paraId="54302C1B" w14:textId="77777777" w:rsidR="00990B14" w:rsidRDefault="00000000">
            <w:pPr>
              <w:spacing w:before="20" w:after="20"/>
              <w:jc w:val="both"/>
            </w:pPr>
            <w:r>
              <w:rPr>
                <w:sz w:val="18"/>
                <w:szCs w:val="18"/>
              </w:rPr>
              <w:t>Todos los integrantes participan.</w:t>
            </w:r>
          </w:p>
        </w:tc>
        <w:tc>
          <w:tcPr>
            <w:tcW w:w="1854" w:type="dxa"/>
            <w:shd w:val="clear" w:color="auto" w:fill="D9E2F3"/>
            <w:vAlign w:val="center"/>
          </w:tcPr>
          <w:p w14:paraId="5718EB3D" w14:textId="77777777" w:rsidR="00990B14" w:rsidRDefault="00000000">
            <w:pPr>
              <w:spacing w:before="20" w:after="20"/>
              <w:jc w:val="both"/>
            </w:pPr>
            <w:r>
              <w:rPr>
                <w:sz w:val="18"/>
                <w:szCs w:val="18"/>
              </w:rPr>
              <w:t>El equipo sustenta su trabajo ante el curso.</w:t>
            </w:r>
          </w:p>
        </w:tc>
      </w:tr>
      <w:tr w:rsidR="00990B14" w14:paraId="6B56A199" w14:textId="77777777">
        <w:trPr>
          <w:cantSplit/>
          <w:jc w:val="center"/>
        </w:trPr>
        <w:tc>
          <w:tcPr>
            <w:tcW w:w="1772" w:type="dxa"/>
            <w:vMerge/>
            <w:shd w:val="clear" w:color="auto" w:fill="4472C4"/>
            <w:vAlign w:val="center"/>
          </w:tcPr>
          <w:p w14:paraId="53043837" w14:textId="77777777" w:rsidR="00990B14" w:rsidRDefault="00990B14">
            <w:pPr>
              <w:spacing w:before="20" w:after="20"/>
            </w:pPr>
          </w:p>
        </w:tc>
        <w:tc>
          <w:tcPr>
            <w:tcW w:w="5779" w:type="dxa"/>
            <w:gridSpan w:val="3"/>
            <w:shd w:val="clear" w:color="auto" w:fill="D9E2F3"/>
            <w:vAlign w:val="center"/>
          </w:tcPr>
          <w:p w14:paraId="63ED6DDF" w14:textId="77777777" w:rsidR="00990B14" w:rsidRDefault="00000000">
            <w:pPr>
              <w:keepNext/>
              <w:spacing w:before="20" w:after="20"/>
              <w:jc w:val="both"/>
            </w:pPr>
            <w:r>
              <w:rPr>
                <w:b/>
                <w:bCs/>
                <w:i/>
                <w:iCs/>
                <w:sz w:val="18"/>
                <w:szCs w:val="18"/>
              </w:rPr>
              <w:t xml:space="preserve">Producto 31: </w:t>
            </w:r>
            <w:r>
              <w:rPr>
                <w:sz w:val="18"/>
                <w:szCs w:val="18"/>
              </w:rPr>
              <w:t>Cuadro de gradación de pasivos de una sociedad en liquidación</w:t>
            </w:r>
          </w:p>
        </w:tc>
        <w:tc>
          <w:tcPr>
            <w:tcW w:w="1854" w:type="dxa"/>
            <w:shd w:val="clear" w:color="auto" w:fill="D9E2F3"/>
            <w:vAlign w:val="center"/>
          </w:tcPr>
          <w:p w14:paraId="269CE053" w14:textId="77777777" w:rsidR="00990B14" w:rsidRDefault="00000000">
            <w:pPr>
              <w:spacing w:before="20" w:after="20"/>
              <w:jc w:val="center"/>
            </w:pPr>
            <w:r>
              <w:rPr>
                <w:b/>
                <w:bCs/>
                <w:sz w:val="18"/>
                <w:szCs w:val="18"/>
              </w:rPr>
              <w:t>4%</w:t>
            </w:r>
          </w:p>
        </w:tc>
      </w:tr>
      <w:tr w:rsidR="00990B14" w14:paraId="01D7EFB2" w14:textId="77777777">
        <w:trPr>
          <w:cantSplit/>
          <w:jc w:val="center"/>
        </w:trPr>
        <w:tc>
          <w:tcPr>
            <w:tcW w:w="1772" w:type="dxa"/>
            <w:vMerge/>
            <w:shd w:val="clear" w:color="auto" w:fill="4472C4"/>
            <w:vAlign w:val="center"/>
          </w:tcPr>
          <w:p w14:paraId="7582556D" w14:textId="77777777" w:rsidR="00990B14" w:rsidRDefault="00990B14">
            <w:pPr>
              <w:spacing w:before="20" w:after="20"/>
            </w:pPr>
          </w:p>
        </w:tc>
        <w:tc>
          <w:tcPr>
            <w:tcW w:w="1854" w:type="dxa"/>
            <w:shd w:val="clear" w:color="auto" w:fill="4472C4"/>
            <w:vAlign w:val="center"/>
          </w:tcPr>
          <w:p w14:paraId="241437B3"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36A9A6AB"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256BC364" w14:textId="77777777" w:rsidR="00990B14" w:rsidRDefault="00000000">
            <w:pPr>
              <w:keepNext/>
              <w:spacing w:before="20" w:after="20"/>
              <w:jc w:val="center"/>
            </w:pPr>
            <w:r>
              <w:rPr>
                <w:b/>
                <w:bCs/>
                <w:i/>
                <w:iCs/>
                <w:color w:val="FFFFFF"/>
                <w:sz w:val="18"/>
                <w:szCs w:val="18"/>
              </w:rPr>
              <w:t>Suficiente (51–80)</w:t>
            </w:r>
          </w:p>
        </w:tc>
        <w:tc>
          <w:tcPr>
            <w:tcW w:w="1854" w:type="dxa"/>
            <w:shd w:val="clear" w:color="auto" w:fill="4472C4"/>
            <w:vAlign w:val="center"/>
          </w:tcPr>
          <w:p w14:paraId="3233A1EE" w14:textId="77777777" w:rsidR="00990B14" w:rsidRDefault="00000000">
            <w:pPr>
              <w:keepNext/>
              <w:spacing w:before="20" w:after="20"/>
              <w:jc w:val="center"/>
            </w:pPr>
            <w:r>
              <w:rPr>
                <w:b/>
                <w:bCs/>
                <w:i/>
                <w:iCs/>
                <w:color w:val="FFFFFF"/>
                <w:sz w:val="18"/>
                <w:szCs w:val="18"/>
              </w:rPr>
              <w:t>Destacado (81–100)</w:t>
            </w:r>
          </w:p>
        </w:tc>
      </w:tr>
      <w:tr w:rsidR="00990B14" w14:paraId="5E9A69E3" w14:textId="77777777">
        <w:trPr>
          <w:cantSplit/>
          <w:jc w:val="center"/>
        </w:trPr>
        <w:tc>
          <w:tcPr>
            <w:tcW w:w="1772" w:type="dxa"/>
            <w:vMerge/>
            <w:shd w:val="clear" w:color="auto" w:fill="4472C4"/>
            <w:vAlign w:val="center"/>
          </w:tcPr>
          <w:p w14:paraId="54133709" w14:textId="77777777" w:rsidR="00990B14" w:rsidRDefault="00990B14">
            <w:pPr>
              <w:spacing w:before="20" w:after="20"/>
            </w:pPr>
          </w:p>
        </w:tc>
        <w:tc>
          <w:tcPr>
            <w:tcW w:w="1854" w:type="dxa"/>
            <w:shd w:val="clear" w:color="auto" w:fill="D9E2F3"/>
            <w:vAlign w:val="center"/>
          </w:tcPr>
          <w:p w14:paraId="00333708" w14:textId="77777777" w:rsidR="00990B14" w:rsidRDefault="00000000">
            <w:pPr>
              <w:spacing w:before="20" w:after="20"/>
              <w:jc w:val="both"/>
            </w:pPr>
            <w:r>
              <w:rPr>
                <w:sz w:val="18"/>
                <w:szCs w:val="18"/>
              </w:rPr>
              <w:t>Orden de prelación</w:t>
            </w:r>
          </w:p>
        </w:tc>
        <w:tc>
          <w:tcPr>
            <w:tcW w:w="1910" w:type="dxa"/>
            <w:shd w:val="clear" w:color="auto" w:fill="D9E2F3"/>
            <w:vAlign w:val="center"/>
          </w:tcPr>
          <w:p w14:paraId="47D2E175" w14:textId="77777777" w:rsidR="00990B14" w:rsidRDefault="00000000">
            <w:pPr>
              <w:spacing w:before="20" w:after="20"/>
              <w:jc w:val="both"/>
            </w:pPr>
            <w:r>
              <w:rPr>
                <w:sz w:val="18"/>
                <w:szCs w:val="18"/>
              </w:rPr>
              <w:t>Ordena mal los pasivos.</w:t>
            </w:r>
          </w:p>
        </w:tc>
        <w:tc>
          <w:tcPr>
            <w:tcW w:w="2015" w:type="dxa"/>
            <w:shd w:val="clear" w:color="auto" w:fill="D9E2F3"/>
            <w:vAlign w:val="center"/>
          </w:tcPr>
          <w:p w14:paraId="00201E26" w14:textId="77777777" w:rsidR="00990B14" w:rsidRDefault="00000000">
            <w:pPr>
              <w:spacing w:before="20" w:after="20"/>
              <w:jc w:val="both"/>
            </w:pPr>
            <w:r>
              <w:rPr>
                <w:sz w:val="18"/>
                <w:szCs w:val="18"/>
              </w:rPr>
              <w:t>Gradúa los pasivos según su naturaleza.</w:t>
            </w:r>
          </w:p>
        </w:tc>
        <w:tc>
          <w:tcPr>
            <w:tcW w:w="1854" w:type="dxa"/>
            <w:shd w:val="clear" w:color="auto" w:fill="D9E2F3"/>
            <w:vAlign w:val="center"/>
          </w:tcPr>
          <w:p w14:paraId="6B315518" w14:textId="77777777" w:rsidR="00990B14" w:rsidRDefault="00000000">
            <w:pPr>
              <w:spacing w:before="20" w:after="20"/>
              <w:jc w:val="both"/>
            </w:pPr>
            <w:r>
              <w:rPr>
                <w:sz w:val="18"/>
                <w:szCs w:val="18"/>
              </w:rPr>
              <w:t>Justifica la prelación de cada obligación.</w:t>
            </w:r>
          </w:p>
        </w:tc>
      </w:tr>
      <w:tr w:rsidR="00990B14" w14:paraId="05548030" w14:textId="77777777">
        <w:trPr>
          <w:cantSplit/>
          <w:jc w:val="center"/>
        </w:trPr>
        <w:tc>
          <w:tcPr>
            <w:tcW w:w="1772" w:type="dxa"/>
            <w:vMerge/>
            <w:shd w:val="clear" w:color="auto" w:fill="4472C4"/>
            <w:vAlign w:val="center"/>
          </w:tcPr>
          <w:p w14:paraId="64DD0E8B" w14:textId="77777777" w:rsidR="00990B14" w:rsidRDefault="00990B14">
            <w:pPr>
              <w:spacing w:before="20" w:after="20"/>
            </w:pPr>
          </w:p>
        </w:tc>
        <w:tc>
          <w:tcPr>
            <w:tcW w:w="1854" w:type="dxa"/>
            <w:shd w:val="clear" w:color="auto" w:fill="D9E2F3"/>
            <w:vAlign w:val="center"/>
          </w:tcPr>
          <w:p w14:paraId="0F83C59D" w14:textId="77777777" w:rsidR="00990B14" w:rsidRDefault="00000000">
            <w:pPr>
              <w:spacing w:before="20" w:after="20"/>
              <w:jc w:val="both"/>
            </w:pPr>
            <w:r>
              <w:rPr>
                <w:sz w:val="18"/>
                <w:szCs w:val="18"/>
              </w:rPr>
              <w:t>Distribución del activo</w:t>
            </w:r>
          </w:p>
        </w:tc>
        <w:tc>
          <w:tcPr>
            <w:tcW w:w="1910" w:type="dxa"/>
            <w:shd w:val="clear" w:color="auto" w:fill="D9E2F3"/>
            <w:vAlign w:val="center"/>
          </w:tcPr>
          <w:p w14:paraId="4D40C6B7" w14:textId="77777777" w:rsidR="00990B14" w:rsidRDefault="00000000">
            <w:pPr>
              <w:spacing w:before="20" w:after="20"/>
              <w:jc w:val="both"/>
            </w:pPr>
            <w:r>
              <w:rPr>
                <w:sz w:val="18"/>
                <w:szCs w:val="18"/>
              </w:rPr>
              <w:t>Distribuye mal el activo realizado.</w:t>
            </w:r>
          </w:p>
        </w:tc>
        <w:tc>
          <w:tcPr>
            <w:tcW w:w="2015" w:type="dxa"/>
            <w:shd w:val="clear" w:color="auto" w:fill="D9E2F3"/>
            <w:vAlign w:val="center"/>
          </w:tcPr>
          <w:p w14:paraId="49143A8A" w14:textId="77777777" w:rsidR="00990B14" w:rsidRDefault="00000000">
            <w:pPr>
              <w:spacing w:before="20" w:after="20"/>
              <w:jc w:val="both"/>
            </w:pPr>
            <w:r>
              <w:rPr>
                <w:sz w:val="18"/>
                <w:szCs w:val="18"/>
              </w:rPr>
              <w:t>Asigna el activo realizado según la gradación.</w:t>
            </w:r>
          </w:p>
        </w:tc>
        <w:tc>
          <w:tcPr>
            <w:tcW w:w="1854" w:type="dxa"/>
            <w:shd w:val="clear" w:color="auto" w:fill="D9E2F3"/>
            <w:vAlign w:val="center"/>
          </w:tcPr>
          <w:p w14:paraId="281694BB" w14:textId="77777777" w:rsidR="00990B14" w:rsidRDefault="00000000">
            <w:pPr>
              <w:spacing w:before="20" w:after="20"/>
              <w:jc w:val="both"/>
            </w:pPr>
            <w:r>
              <w:rPr>
                <w:sz w:val="18"/>
                <w:szCs w:val="18"/>
              </w:rPr>
              <w:t>Calcula el porcentaje que recibe cada acreedor común.</w:t>
            </w:r>
          </w:p>
        </w:tc>
      </w:tr>
      <w:tr w:rsidR="00990B14" w14:paraId="62CBC71A" w14:textId="77777777">
        <w:trPr>
          <w:cantSplit/>
          <w:jc w:val="center"/>
        </w:trPr>
        <w:tc>
          <w:tcPr>
            <w:tcW w:w="1772" w:type="dxa"/>
            <w:vMerge/>
            <w:shd w:val="clear" w:color="auto" w:fill="4472C4"/>
            <w:vAlign w:val="center"/>
          </w:tcPr>
          <w:p w14:paraId="15C65209" w14:textId="77777777" w:rsidR="00990B14" w:rsidRDefault="00990B14">
            <w:pPr>
              <w:spacing w:before="20" w:after="20"/>
            </w:pPr>
          </w:p>
        </w:tc>
        <w:tc>
          <w:tcPr>
            <w:tcW w:w="1854" w:type="dxa"/>
            <w:shd w:val="clear" w:color="auto" w:fill="D9E2F3"/>
            <w:vAlign w:val="center"/>
          </w:tcPr>
          <w:p w14:paraId="7445D744" w14:textId="77777777" w:rsidR="00990B14" w:rsidRDefault="00000000">
            <w:pPr>
              <w:spacing w:before="20" w:after="20"/>
              <w:jc w:val="both"/>
            </w:pPr>
            <w:r>
              <w:rPr>
                <w:sz w:val="18"/>
                <w:szCs w:val="18"/>
              </w:rPr>
              <w:t>Hoja de cálculo</w:t>
            </w:r>
          </w:p>
        </w:tc>
        <w:tc>
          <w:tcPr>
            <w:tcW w:w="1910" w:type="dxa"/>
            <w:shd w:val="clear" w:color="auto" w:fill="D9E2F3"/>
            <w:vAlign w:val="center"/>
          </w:tcPr>
          <w:p w14:paraId="36604E27" w14:textId="77777777" w:rsidR="00990B14" w:rsidRDefault="00000000">
            <w:pPr>
              <w:spacing w:before="20" w:after="20"/>
              <w:jc w:val="both"/>
            </w:pPr>
            <w:r>
              <w:rPr>
                <w:sz w:val="18"/>
                <w:szCs w:val="18"/>
              </w:rPr>
              <w:t>No usa fórmulas.</w:t>
            </w:r>
          </w:p>
        </w:tc>
        <w:tc>
          <w:tcPr>
            <w:tcW w:w="2015" w:type="dxa"/>
            <w:shd w:val="clear" w:color="auto" w:fill="D9E2F3"/>
            <w:vAlign w:val="center"/>
          </w:tcPr>
          <w:p w14:paraId="27A31126" w14:textId="77777777" w:rsidR="00990B14" w:rsidRDefault="00000000">
            <w:pPr>
              <w:spacing w:before="20" w:after="20"/>
              <w:jc w:val="both"/>
            </w:pPr>
            <w:r>
              <w:rPr>
                <w:sz w:val="18"/>
                <w:szCs w:val="18"/>
              </w:rPr>
              <w:t>Usa fórmulas en el cuadro.</w:t>
            </w:r>
          </w:p>
        </w:tc>
        <w:tc>
          <w:tcPr>
            <w:tcW w:w="1854" w:type="dxa"/>
            <w:shd w:val="clear" w:color="auto" w:fill="D9E2F3"/>
            <w:vAlign w:val="center"/>
          </w:tcPr>
          <w:p w14:paraId="35D5B69F" w14:textId="77777777" w:rsidR="00990B14" w:rsidRDefault="00000000">
            <w:pPr>
              <w:spacing w:before="20" w:after="20"/>
              <w:jc w:val="both"/>
            </w:pPr>
            <w:r>
              <w:rPr>
                <w:sz w:val="18"/>
                <w:szCs w:val="18"/>
              </w:rPr>
              <w:t>Verifica que el cuadro admita cambios en el activo realizado.</w:t>
            </w:r>
          </w:p>
        </w:tc>
      </w:tr>
      <w:tr w:rsidR="00990B14" w14:paraId="6A2E0348" w14:textId="77777777">
        <w:trPr>
          <w:cantSplit/>
          <w:jc w:val="center"/>
        </w:trPr>
        <w:tc>
          <w:tcPr>
            <w:tcW w:w="1772" w:type="dxa"/>
            <w:vMerge/>
            <w:shd w:val="clear" w:color="auto" w:fill="4472C4"/>
            <w:vAlign w:val="center"/>
          </w:tcPr>
          <w:p w14:paraId="3EA22C61" w14:textId="77777777" w:rsidR="00990B14" w:rsidRDefault="00990B14">
            <w:pPr>
              <w:spacing w:before="20" w:after="20"/>
            </w:pPr>
          </w:p>
        </w:tc>
        <w:tc>
          <w:tcPr>
            <w:tcW w:w="5779" w:type="dxa"/>
            <w:gridSpan w:val="3"/>
            <w:shd w:val="clear" w:color="auto" w:fill="D9E2F3"/>
            <w:vAlign w:val="center"/>
          </w:tcPr>
          <w:p w14:paraId="6E8D4958" w14:textId="77777777" w:rsidR="00990B14" w:rsidRDefault="00000000">
            <w:pPr>
              <w:keepNext/>
              <w:spacing w:before="20" w:after="20"/>
              <w:jc w:val="both"/>
            </w:pPr>
            <w:r>
              <w:rPr>
                <w:b/>
                <w:bCs/>
                <w:i/>
                <w:iCs/>
                <w:sz w:val="18"/>
                <w:szCs w:val="18"/>
              </w:rPr>
              <w:t xml:space="preserve">Producto 32: </w:t>
            </w:r>
            <w:r>
              <w:rPr>
                <w:sz w:val="18"/>
                <w:szCs w:val="18"/>
              </w:rPr>
              <w:t>Estado de liquidación con la rendición de cuentas del liquidador</w:t>
            </w:r>
          </w:p>
        </w:tc>
        <w:tc>
          <w:tcPr>
            <w:tcW w:w="1854" w:type="dxa"/>
            <w:shd w:val="clear" w:color="auto" w:fill="D9E2F3"/>
            <w:vAlign w:val="center"/>
          </w:tcPr>
          <w:p w14:paraId="3D43B971" w14:textId="77777777" w:rsidR="00990B14" w:rsidRDefault="00000000">
            <w:pPr>
              <w:spacing w:before="20" w:after="20"/>
              <w:jc w:val="center"/>
            </w:pPr>
            <w:r>
              <w:rPr>
                <w:b/>
                <w:bCs/>
                <w:sz w:val="18"/>
                <w:szCs w:val="18"/>
              </w:rPr>
              <w:t>4%</w:t>
            </w:r>
          </w:p>
        </w:tc>
      </w:tr>
      <w:tr w:rsidR="00990B14" w14:paraId="4E8B39E1" w14:textId="77777777">
        <w:trPr>
          <w:cantSplit/>
          <w:jc w:val="center"/>
        </w:trPr>
        <w:tc>
          <w:tcPr>
            <w:tcW w:w="1772" w:type="dxa"/>
            <w:vMerge/>
            <w:shd w:val="clear" w:color="auto" w:fill="4472C4"/>
            <w:vAlign w:val="center"/>
          </w:tcPr>
          <w:p w14:paraId="0240DC31" w14:textId="77777777" w:rsidR="00990B14" w:rsidRDefault="00990B14">
            <w:pPr>
              <w:spacing w:before="20" w:after="20"/>
            </w:pPr>
          </w:p>
        </w:tc>
        <w:tc>
          <w:tcPr>
            <w:tcW w:w="1854" w:type="dxa"/>
            <w:shd w:val="clear" w:color="auto" w:fill="4472C4"/>
            <w:vAlign w:val="center"/>
          </w:tcPr>
          <w:p w14:paraId="0D4C0105"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37CFDFA8"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3CC3FB66" w14:textId="77777777" w:rsidR="00990B14" w:rsidRDefault="00000000">
            <w:pPr>
              <w:keepNext/>
              <w:spacing w:before="20" w:after="20"/>
              <w:jc w:val="center"/>
            </w:pPr>
            <w:r>
              <w:rPr>
                <w:b/>
                <w:bCs/>
                <w:i/>
                <w:iCs/>
                <w:color w:val="FFFFFF"/>
                <w:sz w:val="18"/>
                <w:szCs w:val="18"/>
              </w:rPr>
              <w:t>Suficiente (51–80)</w:t>
            </w:r>
          </w:p>
        </w:tc>
        <w:tc>
          <w:tcPr>
            <w:tcW w:w="1854" w:type="dxa"/>
            <w:shd w:val="clear" w:color="auto" w:fill="4472C4"/>
            <w:vAlign w:val="center"/>
          </w:tcPr>
          <w:p w14:paraId="45905EA2" w14:textId="77777777" w:rsidR="00990B14" w:rsidRDefault="00000000">
            <w:pPr>
              <w:keepNext/>
              <w:spacing w:before="20" w:after="20"/>
              <w:jc w:val="center"/>
            </w:pPr>
            <w:r>
              <w:rPr>
                <w:b/>
                <w:bCs/>
                <w:i/>
                <w:iCs/>
                <w:color w:val="FFFFFF"/>
                <w:sz w:val="18"/>
                <w:szCs w:val="18"/>
              </w:rPr>
              <w:t>Destacado (81–100)</w:t>
            </w:r>
          </w:p>
        </w:tc>
      </w:tr>
      <w:tr w:rsidR="00990B14" w14:paraId="0FF5651F" w14:textId="77777777">
        <w:trPr>
          <w:cantSplit/>
          <w:jc w:val="center"/>
        </w:trPr>
        <w:tc>
          <w:tcPr>
            <w:tcW w:w="1772" w:type="dxa"/>
            <w:vMerge/>
            <w:shd w:val="clear" w:color="auto" w:fill="4472C4"/>
            <w:vAlign w:val="center"/>
          </w:tcPr>
          <w:p w14:paraId="4E383C16" w14:textId="77777777" w:rsidR="00990B14" w:rsidRDefault="00990B14">
            <w:pPr>
              <w:spacing w:before="20" w:after="20"/>
            </w:pPr>
          </w:p>
        </w:tc>
        <w:tc>
          <w:tcPr>
            <w:tcW w:w="1854" w:type="dxa"/>
            <w:shd w:val="clear" w:color="auto" w:fill="D9E2F3"/>
            <w:vAlign w:val="center"/>
          </w:tcPr>
          <w:p w14:paraId="5E65FF8B" w14:textId="77777777" w:rsidR="00990B14" w:rsidRDefault="00000000">
            <w:pPr>
              <w:spacing w:before="20" w:after="20"/>
              <w:jc w:val="both"/>
            </w:pPr>
            <w:r>
              <w:rPr>
                <w:sz w:val="18"/>
                <w:szCs w:val="18"/>
              </w:rPr>
              <w:t>Clase de liquidación</w:t>
            </w:r>
          </w:p>
        </w:tc>
        <w:tc>
          <w:tcPr>
            <w:tcW w:w="1910" w:type="dxa"/>
            <w:shd w:val="clear" w:color="auto" w:fill="D9E2F3"/>
            <w:vAlign w:val="center"/>
          </w:tcPr>
          <w:p w14:paraId="0A095263" w14:textId="77777777" w:rsidR="00990B14" w:rsidRDefault="00000000">
            <w:pPr>
              <w:spacing w:before="20" w:after="20"/>
              <w:jc w:val="both"/>
            </w:pPr>
            <w:r>
              <w:rPr>
                <w:sz w:val="18"/>
                <w:szCs w:val="18"/>
              </w:rPr>
              <w:t>Confunde la liquidación voluntaria y la obligada.</w:t>
            </w:r>
          </w:p>
        </w:tc>
        <w:tc>
          <w:tcPr>
            <w:tcW w:w="2015" w:type="dxa"/>
            <w:shd w:val="clear" w:color="auto" w:fill="D9E2F3"/>
            <w:vAlign w:val="center"/>
          </w:tcPr>
          <w:p w14:paraId="22AA601B" w14:textId="77777777" w:rsidR="00990B14" w:rsidRDefault="00000000">
            <w:pPr>
              <w:spacing w:before="20" w:after="20"/>
              <w:jc w:val="both"/>
            </w:pPr>
            <w:r>
              <w:rPr>
                <w:sz w:val="18"/>
                <w:szCs w:val="18"/>
              </w:rPr>
              <w:t>Distingue ambas clases de liquidación.</w:t>
            </w:r>
          </w:p>
        </w:tc>
        <w:tc>
          <w:tcPr>
            <w:tcW w:w="1854" w:type="dxa"/>
            <w:shd w:val="clear" w:color="auto" w:fill="D9E2F3"/>
            <w:vAlign w:val="center"/>
          </w:tcPr>
          <w:p w14:paraId="7D35B1DD" w14:textId="77777777" w:rsidR="00990B14" w:rsidRDefault="00000000">
            <w:pPr>
              <w:spacing w:before="20" w:after="20"/>
              <w:jc w:val="both"/>
            </w:pPr>
            <w:r>
              <w:rPr>
                <w:sz w:val="18"/>
                <w:szCs w:val="18"/>
              </w:rPr>
              <w:t>Explica la deficiencia en activos.</w:t>
            </w:r>
          </w:p>
        </w:tc>
      </w:tr>
      <w:tr w:rsidR="00990B14" w14:paraId="48F9D023" w14:textId="77777777">
        <w:trPr>
          <w:cantSplit/>
          <w:jc w:val="center"/>
        </w:trPr>
        <w:tc>
          <w:tcPr>
            <w:tcW w:w="1772" w:type="dxa"/>
            <w:vMerge/>
            <w:shd w:val="clear" w:color="auto" w:fill="4472C4"/>
            <w:vAlign w:val="center"/>
          </w:tcPr>
          <w:p w14:paraId="54351739" w14:textId="77777777" w:rsidR="00990B14" w:rsidRDefault="00990B14">
            <w:pPr>
              <w:spacing w:before="20" w:after="20"/>
            </w:pPr>
          </w:p>
        </w:tc>
        <w:tc>
          <w:tcPr>
            <w:tcW w:w="1854" w:type="dxa"/>
            <w:shd w:val="clear" w:color="auto" w:fill="D9E2F3"/>
            <w:vAlign w:val="center"/>
          </w:tcPr>
          <w:p w14:paraId="13C8D20E" w14:textId="77777777" w:rsidR="00990B14" w:rsidRDefault="00000000">
            <w:pPr>
              <w:spacing w:before="20" w:after="20"/>
              <w:jc w:val="both"/>
            </w:pPr>
            <w:r>
              <w:rPr>
                <w:sz w:val="18"/>
                <w:szCs w:val="18"/>
              </w:rPr>
              <w:t>Registro contable</w:t>
            </w:r>
          </w:p>
        </w:tc>
        <w:tc>
          <w:tcPr>
            <w:tcW w:w="1910" w:type="dxa"/>
            <w:shd w:val="clear" w:color="auto" w:fill="D9E2F3"/>
            <w:vAlign w:val="center"/>
          </w:tcPr>
          <w:p w14:paraId="1A2F2F97" w14:textId="77777777" w:rsidR="00990B14" w:rsidRDefault="00000000">
            <w:pPr>
              <w:spacing w:before="20" w:after="20"/>
              <w:jc w:val="both"/>
            </w:pPr>
            <w:r>
              <w:rPr>
                <w:sz w:val="18"/>
                <w:szCs w:val="18"/>
              </w:rPr>
              <w:t>Registra mal la realización del activo.</w:t>
            </w:r>
          </w:p>
        </w:tc>
        <w:tc>
          <w:tcPr>
            <w:tcW w:w="2015" w:type="dxa"/>
            <w:shd w:val="clear" w:color="auto" w:fill="D9E2F3"/>
            <w:vAlign w:val="center"/>
          </w:tcPr>
          <w:p w14:paraId="1F4178CB" w14:textId="77777777" w:rsidR="00990B14" w:rsidRDefault="00000000">
            <w:pPr>
              <w:spacing w:before="20" w:after="20"/>
              <w:jc w:val="both"/>
            </w:pPr>
            <w:r>
              <w:rPr>
                <w:sz w:val="18"/>
                <w:szCs w:val="18"/>
              </w:rPr>
              <w:t>Registra la realización, el pago y el reparto final.</w:t>
            </w:r>
          </w:p>
        </w:tc>
        <w:tc>
          <w:tcPr>
            <w:tcW w:w="1854" w:type="dxa"/>
            <w:shd w:val="clear" w:color="auto" w:fill="D9E2F3"/>
            <w:vAlign w:val="center"/>
          </w:tcPr>
          <w:p w14:paraId="2DC3BB6B" w14:textId="77777777" w:rsidR="00990B14" w:rsidRDefault="00000000">
            <w:pPr>
              <w:spacing w:before="20" w:after="20"/>
              <w:jc w:val="both"/>
            </w:pPr>
            <w:r>
              <w:rPr>
                <w:sz w:val="18"/>
                <w:szCs w:val="18"/>
              </w:rPr>
              <w:t>Verifica la rendición de cuentas del liquidador.</w:t>
            </w:r>
          </w:p>
        </w:tc>
      </w:tr>
      <w:tr w:rsidR="00990B14" w14:paraId="29769FC7" w14:textId="77777777">
        <w:trPr>
          <w:cantSplit/>
          <w:jc w:val="center"/>
        </w:trPr>
        <w:tc>
          <w:tcPr>
            <w:tcW w:w="1772" w:type="dxa"/>
            <w:vMerge/>
            <w:shd w:val="clear" w:color="auto" w:fill="4472C4"/>
            <w:vAlign w:val="center"/>
          </w:tcPr>
          <w:p w14:paraId="32B2A782" w14:textId="77777777" w:rsidR="00990B14" w:rsidRDefault="00990B14">
            <w:pPr>
              <w:spacing w:before="20" w:after="20"/>
            </w:pPr>
          </w:p>
        </w:tc>
        <w:tc>
          <w:tcPr>
            <w:tcW w:w="1854" w:type="dxa"/>
            <w:shd w:val="clear" w:color="auto" w:fill="D9E2F3"/>
            <w:vAlign w:val="center"/>
          </w:tcPr>
          <w:p w14:paraId="0AD0E312" w14:textId="77777777" w:rsidR="00990B14" w:rsidRDefault="00000000">
            <w:pPr>
              <w:spacing w:before="20" w:after="20"/>
              <w:jc w:val="both"/>
            </w:pPr>
            <w:r>
              <w:rPr>
                <w:sz w:val="18"/>
                <w:szCs w:val="18"/>
              </w:rPr>
              <w:t>Claridad de la exposición</w:t>
            </w:r>
          </w:p>
        </w:tc>
        <w:tc>
          <w:tcPr>
            <w:tcW w:w="1910" w:type="dxa"/>
            <w:shd w:val="clear" w:color="auto" w:fill="D9E2F3"/>
            <w:vAlign w:val="center"/>
          </w:tcPr>
          <w:p w14:paraId="0AA3EFE6" w14:textId="77777777" w:rsidR="00990B14" w:rsidRDefault="00000000">
            <w:pPr>
              <w:spacing w:before="20" w:after="20"/>
              <w:jc w:val="both"/>
            </w:pPr>
            <w:r>
              <w:rPr>
                <w:sz w:val="18"/>
                <w:szCs w:val="18"/>
              </w:rPr>
              <w:t>La exposición es confusa.</w:t>
            </w:r>
          </w:p>
        </w:tc>
        <w:tc>
          <w:tcPr>
            <w:tcW w:w="2015" w:type="dxa"/>
            <w:shd w:val="clear" w:color="auto" w:fill="D9E2F3"/>
            <w:vAlign w:val="center"/>
          </w:tcPr>
          <w:p w14:paraId="4E371389" w14:textId="77777777" w:rsidR="00990B14" w:rsidRDefault="00000000">
            <w:pPr>
              <w:spacing w:before="20" w:after="20"/>
              <w:jc w:val="both"/>
            </w:pPr>
            <w:r>
              <w:rPr>
                <w:sz w:val="18"/>
                <w:szCs w:val="18"/>
              </w:rPr>
              <w:t>Expone con orden y claridad.</w:t>
            </w:r>
          </w:p>
        </w:tc>
        <w:tc>
          <w:tcPr>
            <w:tcW w:w="1854" w:type="dxa"/>
            <w:shd w:val="clear" w:color="auto" w:fill="D9E2F3"/>
            <w:vAlign w:val="center"/>
          </w:tcPr>
          <w:p w14:paraId="31F54576" w14:textId="77777777" w:rsidR="00990B14" w:rsidRDefault="00000000">
            <w:pPr>
              <w:spacing w:before="20" w:after="20"/>
              <w:jc w:val="both"/>
            </w:pPr>
            <w:r>
              <w:rPr>
                <w:sz w:val="18"/>
                <w:szCs w:val="18"/>
              </w:rPr>
              <w:t>Responde con solvencia las preguntas del curso.</w:t>
            </w:r>
          </w:p>
        </w:tc>
      </w:tr>
      <w:tr w:rsidR="00990B14" w14:paraId="5403C35B" w14:textId="77777777">
        <w:trPr>
          <w:cantSplit/>
          <w:jc w:val="center"/>
        </w:trPr>
        <w:tc>
          <w:tcPr>
            <w:tcW w:w="1772" w:type="dxa"/>
            <w:vMerge/>
            <w:shd w:val="clear" w:color="auto" w:fill="4472C4"/>
            <w:vAlign w:val="center"/>
          </w:tcPr>
          <w:p w14:paraId="46DC5BF3" w14:textId="77777777" w:rsidR="00990B14" w:rsidRDefault="00990B14">
            <w:pPr>
              <w:spacing w:before="20" w:after="20"/>
            </w:pPr>
          </w:p>
        </w:tc>
        <w:tc>
          <w:tcPr>
            <w:tcW w:w="5779" w:type="dxa"/>
            <w:gridSpan w:val="3"/>
            <w:shd w:val="clear" w:color="auto" w:fill="D9E2F3"/>
            <w:vAlign w:val="center"/>
          </w:tcPr>
          <w:p w14:paraId="0EC05E22" w14:textId="77777777" w:rsidR="00990B14" w:rsidRDefault="00000000">
            <w:pPr>
              <w:keepNext/>
              <w:spacing w:before="20" w:after="20"/>
              <w:jc w:val="both"/>
            </w:pPr>
            <w:r>
              <w:rPr>
                <w:b/>
                <w:bCs/>
                <w:i/>
                <w:iCs/>
                <w:sz w:val="18"/>
                <w:szCs w:val="18"/>
              </w:rPr>
              <w:t xml:space="preserve">Producto 33: </w:t>
            </w:r>
            <w:r>
              <w:rPr>
                <w:sz w:val="18"/>
                <w:szCs w:val="18"/>
              </w:rPr>
              <w:t>Registro de donaciones y de activos netos de una organización sin fines de lucro</w:t>
            </w:r>
          </w:p>
        </w:tc>
        <w:tc>
          <w:tcPr>
            <w:tcW w:w="1854" w:type="dxa"/>
            <w:shd w:val="clear" w:color="auto" w:fill="D9E2F3"/>
            <w:vAlign w:val="center"/>
          </w:tcPr>
          <w:p w14:paraId="04E80490" w14:textId="77777777" w:rsidR="00990B14" w:rsidRDefault="00000000">
            <w:pPr>
              <w:spacing w:before="20" w:after="20"/>
              <w:jc w:val="center"/>
            </w:pPr>
            <w:r>
              <w:rPr>
                <w:b/>
                <w:bCs/>
                <w:sz w:val="18"/>
                <w:szCs w:val="18"/>
              </w:rPr>
              <w:t>3%</w:t>
            </w:r>
          </w:p>
        </w:tc>
      </w:tr>
      <w:tr w:rsidR="00990B14" w14:paraId="7FE64E92" w14:textId="77777777">
        <w:trPr>
          <w:cantSplit/>
          <w:jc w:val="center"/>
        </w:trPr>
        <w:tc>
          <w:tcPr>
            <w:tcW w:w="1772" w:type="dxa"/>
            <w:vMerge/>
            <w:shd w:val="clear" w:color="auto" w:fill="4472C4"/>
            <w:vAlign w:val="center"/>
          </w:tcPr>
          <w:p w14:paraId="2F6A58FE" w14:textId="77777777" w:rsidR="00990B14" w:rsidRDefault="00990B14">
            <w:pPr>
              <w:spacing w:before="20" w:after="20"/>
            </w:pPr>
          </w:p>
        </w:tc>
        <w:tc>
          <w:tcPr>
            <w:tcW w:w="1854" w:type="dxa"/>
            <w:shd w:val="clear" w:color="auto" w:fill="4472C4"/>
            <w:vAlign w:val="center"/>
          </w:tcPr>
          <w:p w14:paraId="1DE4E76F"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718F5B06"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23A3DCE2" w14:textId="77777777" w:rsidR="00990B14" w:rsidRDefault="00000000">
            <w:pPr>
              <w:keepNext/>
              <w:spacing w:before="20" w:after="20"/>
              <w:jc w:val="center"/>
            </w:pPr>
            <w:r>
              <w:rPr>
                <w:b/>
                <w:bCs/>
                <w:i/>
                <w:iCs/>
                <w:color w:val="FFFFFF"/>
                <w:sz w:val="18"/>
                <w:szCs w:val="18"/>
              </w:rPr>
              <w:t>Suficiente (51–80)</w:t>
            </w:r>
          </w:p>
        </w:tc>
        <w:tc>
          <w:tcPr>
            <w:tcW w:w="1854" w:type="dxa"/>
            <w:shd w:val="clear" w:color="auto" w:fill="4472C4"/>
            <w:vAlign w:val="center"/>
          </w:tcPr>
          <w:p w14:paraId="605D8C90" w14:textId="77777777" w:rsidR="00990B14" w:rsidRDefault="00000000">
            <w:pPr>
              <w:keepNext/>
              <w:spacing w:before="20" w:after="20"/>
              <w:jc w:val="center"/>
            </w:pPr>
            <w:r>
              <w:rPr>
                <w:b/>
                <w:bCs/>
                <w:i/>
                <w:iCs/>
                <w:color w:val="FFFFFF"/>
                <w:sz w:val="18"/>
                <w:szCs w:val="18"/>
              </w:rPr>
              <w:t>Destacado (81–100)</w:t>
            </w:r>
          </w:p>
        </w:tc>
      </w:tr>
      <w:tr w:rsidR="00990B14" w14:paraId="443EF668" w14:textId="77777777">
        <w:trPr>
          <w:cantSplit/>
          <w:jc w:val="center"/>
        </w:trPr>
        <w:tc>
          <w:tcPr>
            <w:tcW w:w="1772" w:type="dxa"/>
            <w:vMerge/>
            <w:shd w:val="clear" w:color="auto" w:fill="4472C4"/>
            <w:vAlign w:val="center"/>
          </w:tcPr>
          <w:p w14:paraId="41612436" w14:textId="77777777" w:rsidR="00990B14" w:rsidRDefault="00990B14">
            <w:pPr>
              <w:spacing w:before="20" w:after="20"/>
            </w:pPr>
          </w:p>
        </w:tc>
        <w:tc>
          <w:tcPr>
            <w:tcW w:w="1854" w:type="dxa"/>
            <w:shd w:val="clear" w:color="auto" w:fill="D9E2F3"/>
            <w:vAlign w:val="center"/>
          </w:tcPr>
          <w:p w14:paraId="46B6F81E" w14:textId="77777777" w:rsidR="00990B14" w:rsidRDefault="00000000">
            <w:pPr>
              <w:spacing w:before="20" w:after="20"/>
              <w:jc w:val="both"/>
            </w:pPr>
            <w:r>
              <w:rPr>
                <w:sz w:val="18"/>
                <w:szCs w:val="18"/>
              </w:rPr>
              <w:t>Clasificación de activos netos</w:t>
            </w:r>
          </w:p>
        </w:tc>
        <w:tc>
          <w:tcPr>
            <w:tcW w:w="1910" w:type="dxa"/>
            <w:shd w:val="clear" w:color="auto" w:fill="D9E2F3"/>
            <w:vAlign w:val="center"/>
          </w:tcPr>
          <w:p w14:paraId="74598231" w14:textId="77777777" w:rsidR="00990B14" w:rsidRDefault="00000000">
            <w:pPr>
              <w:spacing w:before="20" w:after="20"/>
              <w:jc w:val="both"/>
            </w:pPr>
            <w:r>
              <w:rPr>
                <w:sz w:val="18"/>
                <w:szCs w:val="18"/>
              </w:rPr>
              <w:t>Clasifica mal las restricciones.</w:t>
            </w:r>
          </w:p>
        </w:tc>
        <w:tc>
          <w:tcPr>
            <w:tcW w:w="2015" w:type="dxa"/>
            <w:shd w:val="clear" w:color="auto" w:fill="D9E2F3"/>
            <w:vAlign w:val="center"/>
          </w:tcPr>
          <w:p w14:paraId="28E49633" w14:textId="77777777" w:rsidR="00990B14" w:rsidRDefault="00000000">
            <w:pPr>
              <w:spacing w:before="20" w:after="20"/>
              <w:jc w:val="both"/>
            </w:pPr>
            <w:r>
              <w:rPr>
                <w:sz w:val="18"/>
                <w:szCs w:val="18"/>
              </w:rPr>
              <w:t>Clasifica los activos netos según la restricción.</w:t>
            </w:r>
          </w:p>
        </w:tc>
        <w:tc>
          <w:tcPr>
            <w:tcW w:w="1854" w:type="dxa"/>
            <w:shd w:val="clear" w:color="auto" w:fill="D9E2F3"/>
            <w:vAlign w:val="center"/>
          </w:tcPr>
          <w:p w14:paraId="6462FADE" w14:textId="77777777" w:rsidR="00990B14" w:rsidRDefault="00000000">
            <w:pPr>
              <w:spacing w:before="20" w:after="20"/>
              <w:jc w:val="both"/>
            </w:pPr>
            <w:r>
              <w:rPr>
                <w:sz w:val="18"/>
                <w:szCs w:val="18"/>
              </w:rPr>
              <w:t>Explica la liberación de restricciones.</w:t>
            </w:r>
          </w:p>
        </w:tc>
      </w:tr>
      <w:tr w:rsidR="00990B14" w14:paraId="01BC2066" w14:textId="77777777">
        <w:trPr>
          <w:cantSplit/>
          <w:jc w:val="center"/>
        </w:trPr>
        <w:tc>
          <w:tcPr>
            <w:tcW w:w="1772" w:type="dxa"/>
            <w:vMerge/>
            <w:shd w:val="clear" w:color="auto" w:fill="4472C4"/>
            <w:vAlign w:val="center"/>
          </w:tcPr>
          <w:p w14:paraId="3E7FD2DE" w14:textId="77777777" w:rsidR="00990B14" w:rsidRDefault="00990B14">
            <w:pPr>
              <w:spacing w:before="20" w:after="20"/>
            </w:pPr>
          </w:p>
        </w:tc>
        <w:tc>
          <w:tcPr>
            <w:tcW w:w="1854" w:type="dxa"/>
            <w:shd w:val="clear" w:color="auto" w:fill="D9E2F3"/>
            <w:vAlign w:val="center"/>
          </w:tcPr>
          <w:p w14:paraId="48C95561" w14:textId="77777777" w:rsidR="00990B14" w:rsidRDefault="00000000">
            <w:pPr>
              <w:spacing w:before="20" w:after="20"/>
              <w:jc w:val="both"/>
            </w:pPr>
            <w:r>
              <w:rPr>
                <w:sz w:val="18"/>
                <w:szCs w:val="18"/>
              </w:rPr>
              <w:t>Registro de donaciones</w:t>
            </w:r>
          </w:p>
        </w:tc>
        <w:tc>
          <w:tcPr>
            <w:tcW w:w="1910" w:type="dxa"/>
            <w:shd w:val="clear" w:color="auto" w:fill="D9E2F3"/>
            <w:vAlign w:val="center"/>
          </w:tcPr>
          <w:p w14:paraId="6EDD560F" w14:textId="77777777" w:rsidR="00990B14" w:rsidRDefault="00000000">
            <w:pPr>
              <w:spacing w:before="20" w:after="20"/>
              <w:jc w:val="both"/>
            </w:pPr>
            <w:r>
              <w:rPr>
                <w:sz w:val="18"/>
                <w:szCs w:val="18"/>
              </w:rPr>
              <w:t>Registra las donaciones como pasivo.</w:t>
            </w:r>
          </w:p>
        </w:tc>
        <w:tc>
          <w:tcPr>
            <w:tcW w:w="2015" w:type="dxa"/>
            <w:shd w:val="clear" w:color="auto" w:fill="D9E2F3"/>
            <w:vAlign w:val="center"/>
          </w:tcPr>
          <w:p w14:paraId="3C3B65E6" w14:textId="77777777" w:rsidR="00990B14" w:rsidRDefault="00000000">
            <w:pPr>
              <w:spacing w:before="20" w:after="20"/>
              <w:jc w:val="both"/>
            </w:pPr>
            <w:r>
              <w:rPr>
                <w:sz w:val="18"/>
                <w:szCs w:val="18"/>
              </w:rPr>
              <w:t>Registra las donaciones como ingreso.</w:t>
            </w:r>
          </w:p>
        </w:tc>
        <w:tc>
          <w:tcPr>
            <w:tcW w:w="1854" w:type="dxa"/>
            <w:shd w:val="clear" w:color="auto" w:fill="D9E2F3"/>
            <w:vAlign w:val="center"/>
          </w:tcPr>
          <w:p w14:paraId="4DC10A7C" w14:textId="77777777" w:rsidR="00990B14" w:rsidRDefault="00000000">
            <w:pPr>
              <w:spacing w:before="20" w:after="20"/>
              <w:jc w:val="both"/>
            </w:pPr>
            <w:r>
              <w:rPr>
                <w:sz w:val="18"/>
                <w:szCs w:val="18"/>
              </w:rPr>
              <w:t>Distingue donaciones en efectivo y en especie.</w:t>
            </w:r>
          </w:p>
        </w:tc>
      </w:tr>
      <w:tr w:rsidR="00990B14" w14:paraId="4923ACA3" w14:textId="77777777">
        <w:trPr>
          <w:cantSplit/>
          <w:jc w:val="center"/>
        </w:trPr>
        <w:tc>
          <w:tcPr>
            <w:tcW w:w="1772" w:type="dxa"/>
            <w:vMerge/>
            <w:shd w:val="clear" w:color="auto" w:fill="4472C4"/>
            <w:vAlign w:val="center"/>
          </w:tcPr>
          <w:p w14:paraId="2933AB5E" w14:textId="77777777" w:rsidR="00990B14" w:rsidRDefault="00990B14">
            <w:pPr>
              <w:spacing w:before="20" w:after="20"/>
            </w:pPr>
          </w:p>
        </w:tc>
        <w:tc>
          <w:tcPr>
            <w:tcW w:w="1854" w:type="dxa"/>
            <w:shd w:val="clear" w:color="auto" w:fill="D9E2F3"/>
            <w:vAlign w:val="center"/>
          </w:tcPr>
          <w:p w14:paraId="3E420579" w14:textId="77777777" w:rsidR="00990B14" w:rsidRDefault="00000000">
            <w:pPr>
              <w:spacing w:before="20" w:after="20"/>
              <w:jc w:val="both"/>
            </w:pPr>
            <w:r>
              <w:rPr>
                <w:sz w:val="18"/>
                <w:szCs w:val="18"/>
              </w:rPr>
              <w:t>Demostración de saldos</w:t>
            </w:r>
          </w:p>
        </w:tc>
        <w:tc>
          <w:tcPr>
            <w:tcW w:w="1910" w:type="dxa"/>
            <w:shd w:val="clear" w:color="auto" w:fill="D9E2F3"/>
            <w:vAlign w:val="center"/>
          </w:tcPr>
          <w:p w14:paraId="05D8D903" w14:textId="77777777" w:rsidR="00990B14" w:rsidRDefault="00000000">
            <w:pPr>
              <w:spacing w:before="20" w:after="20"/>
              <w:jc w:val="both"/>
            </w:pPr>
            <w:r>
              <w:rPr>
                <w:sz w:val="18"/>
                <w:szCs w:val="18"/>
              </w:rPr>
              <w:t>No demuestra los saldos.</w:t>
            </w:r>
          </w:p>
        </w:tc>
        <w:tc>
          <w:tcPr>
            <w:tcW w:w="2015" w:type="dxa"/>
            <w:shd w:val="clear" w:color="auto" w:fill="D9E2F3"/>
            <w:vAlign w:val="center"/>
          </w:tcPr>
          <w:p w14:paraId="6B0A0AB3" w14:textId="77777777" w:rsidR="00990B14" w:rsidRDefault="00000000">
            <w:pPr>
              <w:spacing w:before="20" w:after="20"/>
              <w:jc w:val="both"/>
            </w:pPr>
            <w:r>
              <w:rPr>
                <w:sz w:val="18"/>
                <w:szCs w:val="18"/>
              </w:rPr>
              <w:t>Demuestra los saldos por clase de activo neto.</w:t>
            </w:r>
          </w:p>
        </w:tc>
        <w:tc>
          <w:tcPr>
            <w:tcW w:w="1854" w:type="dxa"/>
            <w:shd w:val="clear" w:color="auto" w:fill="D9E2F3"/>
            <w:vAlign w:val="center"/>
          </w:tcPr>
          <w:p w14:paraId="7B496138" w14:textId="77777777" w:rsidR="00990B14" w:rsidRDefault="00000000">
            <w:pPr>
              <w:spacing w:before="20" w:after="20"/>
              <w:jc w:val="both"/>
            </w:pPr>
            <w:r>
              <w:rPr>
                <w:sz w:val="18"/>
                <w:szCs w:val="18"/>
              </w:rPr>
              <w:t>Verifica los saldos con los convenios.</w:t>
            </w:r>
          </w:p>
        </w:tc>
      </w:tr>
      <w:tr w:rsidR="00990B14" w14:paraId="1C39188D" w14:textId="77777777">
        <w:trPr>
          <w:cantSplit/>
          <w:jc w:val="center"/>
        </w:trPr>
        <w:tc>
          <w:tcPr>
            <w:tcW w:w="1772" w:type="dxa"/>
            <w:vMerge/>
            <w:shd w:val="clear" w:color="auto" w:fill="4472C4"/>
            <w:vAlign w:val="center"/>
          </w:tcPr>
          <w:p w14:paraId="78A2B676" w14:textId="77777777" w:rsidR="00990B14" w:rsidRDefault="00990B14">
            <w:pPr>
              <w:spacing w:before="20" w:after="20"/>
            </w:pPr>
          </w:p>
        </w:tc>
        <w:tc>
          <w:tcPr>
            <w:tcW w:w="5779" w:type="dxa"/>
            <w:gridSpan w:val="3"/>
            <w:shd w:val="clear" w:color="auto" w:fill="D9E2F3"/>
            <w:vAlign w:val="center"/>
          </w:tcPr>
          <w:p w14:paraId="153ED77D" w14:textId="77777777" w:rsidR="00990B14" w:rsidRDefault="00000000">
            <w:pPr>
              <w:keepNext/>
              <w:spacing w:before="20" w:after="20"/>
              <w:jc w:val="both"/>
            </w:pPr>
            <w:r>
              <w:rPr>
                <w:b/>
                <w:bCs/>
                <w:i/>
                <w:iCs/>
                <w:sz w:val="18"/>
                <w:szCs w:val="18"/>
              </w:rPr>
              <w:t xml:space="preserve">Producto 34: </w:t>
            </w:r>
            <w:r>
              <w:rPr>
                <w:sz w:val="18"/>
                <w:szCs w:val="18"/>
              </w:rPr>
              <w:t>Estados financieros de una organización sin fines de lucro</w:t>
            </w:r>
          </w:p>
        </w:tc>
        <w:tc>
          <w:tcPr>
            <w:tcW w:w="1854" w:type="dxa"/>
            <w:shd w:val="clear" w:color="auto" w:fill="D9E2F3"/>
            <w:vAlign w:val="center"/>
          </w:tcPr>
          <w:p w14:paraId="26DD8B63" w14:textId="77777777" w:rsidR="00990B14" w:rsidRDefault="00000000">
            <w:pPr>
              <w:spacing w:before="20" w:after="20"/>
              <w:jc w:val="center"/>
            </w:pPr>
            <w:r>
              <w:rPr>
                <w:b/>
                <w:bCs/>
                <w:sz w:val="18"/>
                <w:szCs w:val="18"/>
              </w:rPr>
              <w:t>3%</w:t>
            </w:r>
          </w:p>
        </w:tc>
      </w:tr>
      <w:tr w:rsidR="00990B14" w14:paraId="1168CC3C" w14:textId="77777777">
        <w:trPr>
          <w:cantSplit/>
          <w:jc w:val="center"/>
        </w:trPr>
        <w:tc>
          <w:tcPr>
            <w:tcW w:w="1772" w:type="dxa"/>
            <w:vMerge/>
            <w:shd w:val="clear" w:color="auto" w:fill="4472C4"/>
            <w:vAlign w:val="center"/>
          </w:tcPr>
          <w:p w14:paraId="556FACEB" w14:textId="77777777" w:rsidR="00990B14" w:rsidRDefault="00990B14">
            <w:pPr>
              <w:spacing w:before="20" w:after="20"/>
            </w:pPr>
          </w:p>
        </w:tc>
        <w:tc>
          <w:tcPr>
            <w:tcW w:w="1854" w:type="dxa"/>
            <w:shd w:val="clear" w:color="auto" w:fill="4472C4"/>
            <w:vAlign w:val="center"/>
          </w:tcPr>
          <w:p w14:paraId="38498917"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781D0966"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0CFE8A4A" w14:textId="77777777" w:rsidR="00990B14" w:rsidRDefault="00000000">
            <w:pPr>
              <w:keepNext/>
              <w:spacing w:before="20" w:after="20"/>
              <w:jc w:val="center"/>
            </w:pPr>
            <w:r>
              <w:rPr>
                <w:b/>
                <w:bCs/>
                <w:i/>
                <w:iCs/>
                <w:color w:val="FFFFFF"/>
                <w:sz w:val="18"/>
                <w:szCs w:val="18"/>
              </w:rPr>
              <w:t>Suficiente (51–80)</w:t>
            </w:r>
          </w:p>
        </w:tc>
        <w:tc>
          <w:tcPr>
            <w:tcW w:w="1854" w:type="dxa"/>
            <w:shd w:val="clear" w:color="auto" w:fill="4472C4"/>
            <w:vAlign w:val="center"/>
          </w:tcPr>
          <w:p w14:paraId="1C0BF2A8" w14:textId="77777777" w:rsidR="00990B14" w:rsidRDefault="00000000">
            <w:pPr>
              <w:keepNext/>
              <w:spacing w:before="20" w:after="20"/>
              <w:jc w:val="center"/>
            </w:pPr>
            <w:r>
              <w:rPr>
                <w:b/>
                <w:bCs/>
                <w:i/>
                <w:iCs/>
                <w:color w:val="FFFFFF"/>
                <w:sz w:val="18"/>
                <w:szCs w:val="18"/>
              </w:rPr>
              <w:t>Destacado (81–100)</w:t>
            </w:r>
          </w:p>
        </w:tc>
      </w:tr>
      <w:tr w:rsidR="00990B14" w14:paraId="5FFFB27E" w14:textId="77777777">
        <w:trPr>
          <w:cantSplit/>
          <w:jc w:val="center"/>
        </w:trPr>
        <w:tc>
          <w:tcPr>
            <w:tcW w:w="1772" w:type="dxa"/>
            <w:vMerge/>
            <w:shd w:val="clear" w:color="auto" w:fill="4472C4"/>
            <w:vAlign w:val="center"/>
          </w:tcPr>
          <w:p w14:paraId="7C6FCBEC" w14:textId="77777777" w:rsidR="00990B14" w:rsidRDefault="00990B14">
            <w:pPr>
              <w:spacing w:before="20" w:after="20"/>
            </w:pPr>
          </w:p>
        </w:tc>
        <w:tc>
          <w:tcPr>
            <w:tcW w:w="1854" w:type="dxa"/>
            <w:shd w:val="clear" w:color="auto" w:fill="D9E2F3"/>
            <w:vAlign w:val="center"/>
          </w:tcPr>
          <w:p w14:paraId="67EF0A6D" w14:textId="77777777" w:rsidR="00990B14" w:rsidRDefault="00000000">
            <w:pPr>
              <w:spacing w:before="20" w:after="20"/>
              <w:jc w:val="both"/>
            </w:pPr>
            <w:r>
              <w:rPr>
                <w:sz w:val="18"/>
                <w:szCs w:val="18"/>
              </w:rPr>
              <w:t>Estado de situación</w:t>
            </w:r>
          </w:p>
        </w:tc>
        <w:tc>
          <w:tcPr>
            <w:tcW w:w="1910" w:type="dxa"/>
            <w:shd w:val="clear" w:color="auto" w:fill="D9E2F3"/>
            <w:vAlign w:val="center"/>
          </w:tcPr>
          <w:p w14:paraId="586FF4CD" w14:textId="77777777" w:rsidR="00990B14" w:rsidRDefault="00000000">
            <w:pPr>
              <w:spacing w:before="20" w:after="20"/>
              <w:jc w:val="both"/>
            </w:pPr>
            <w:r>
              <w:rPr>
                <w:sz w:val="18"/>
                <w:szCs w:val="18"/>
              </w:rPr>
              <w:t>Omite la clasificación de activos netos.</w:t>
            </w:r>
          </w:p>
        </w:tc>
        <w:tc>
          <w:tcPr>
            <w:tcW w:w="2015" w:type="dxa"/>
            <w:shd w:val="clear" w:color="auto" w:fill="D9E2F3"/>
            <w:vAlign w:val="center"/>
          </w:tcPr>
          <w:p w14:paraId="5A0F4A51" w14:textId="77777777" w:rsidR="00990B14" w:rsidRDefault="00000000">
            <w:pPr>
              <w:spacing w:before="20" w:after="20"/>
              <w:jc w:val="both"/>
            </w:pPr>
            <w:r>
              <w:rPr>
                <w:sz w:val="18"/>
                <w:szCs w:val="18"/>
              </w:rPr>
              <w:t>Presenta los activos netos clasificados.</w:t>
            </w:r>
          </w:p>
        </w:tc>
        <w:tc>
          <w:tcPr>
            <w:tcW w:w="1854" w:type="dxa"/>
            <w:shd w:val="clear" w:color="auto" w:fill="D9E2F3"/>
            <w:vAlign w:val="center"/>
          </w:tcPr>
          <w:p w14:paraId="17A2EA35" w14:textId="77777777" w:rsidR="00990B14" w:rsidRDefault="00000000">
            <w:pPr>
              <w:spacing w:before="20" w:after="20"/>
              <w:jc w:val="both"/>
            </w:pPr>
            <w:r>
              <w:rPr>
                <w:sz w:val="18"/>
                <w:szCs w:val="18"/>
              </w:rPr>
              <w:t>Relaciona la presentación con la norma ASC 958.</w:t>
            </w:r>
          </w:p>
        </w:tc>
      </w:tr>
      <w:tr w:rsidR="00990B14" w14:paraId="68BBB929" w14:textId="77777777">
        <w:trPr>
          <w:cantSplit/>
          <w:jc w:val="center"/>
        </w:trPr>
        <w:tc>
          <w:tcPr>
            <w:tcW w:w="1772" w:type="dxa"/>
            <w:vMerge/>
            <w:shd w:val="clear" w:color="auto" w:fill="4472C4"/>
            <w:vAlign w:val="center"/>
          </w:tcPr>
          <w:p w14:paraId="6F6F714C" w14:textId="77777777" w:rsidR="00990B14" w:rsidRDefault="00990B14">
            <w:pPr>
              <w:spacing w:before="20" w:after="20"/>
            </w:pPr>
          </w:p>
        </w:tc>
        <w:tc>
          <w:tcPr>
            <w:tcW w:w="1854" w:type="dxa"/>
            <w:shd w:val="clear" w:color="auto" w:fill="D9E2F3"/>
            <w:vAlign w:val="center"/>
          </w:tcPr>
          <w:p w14:paraId="215A7589" w14:textId="77777777" w:rsidR="00990B14" w:rsidRDefault="00000000">
            <w:pPr>
              <w:spacing w:before="20" w:after="20"/>
              <w:jc w:val="both"/>
            </w:pPr>
            <w:r>
              <w:rPr>
                <w:sz w:val="18"/>
                <w:szCs w:val="18"/>
              </w:rPr>
              <w:t>Estado de actividades</w:t>
            </w:r>
          </w:p>
        </w:tc>
        <w:tc>
          <w:tcPr>
            <w:tcW w:w="1910" w:type="dxa"/>
            <w:shd w:val="clear" w:color="auto" w:fill="D9E2F3"/>
            <w:vAlign w:val="center"/>
          </w:tcPr>
          <w:p w14:paraId="265BC53D" w14:textId="77777777" w:rsidR="00990B14" w:rsidRDefault="00000000">
            <w:pPr>
              <w:spacing w:before="20" w:after="20"/>
              <w:jc w:val="both"/>
            </w:pPr>
            <w:r>
              <w:rPr>
                <w:sz w:val="18"/>
                <w:szCs w:val="18"/>
              </w:rPr>
              <w:t>Mezcla ingresos restringidos y no restringidos.</w:t>
            </w:r>
          </w:p>
        </w:tc>
        <w:tc>
          <w:tcPr>
            <w:tcW w:w="2015" w:type="dxa"/>
            <w:shd w:val="clear" w:color="auto" w:fill="D9E2F3"/>
            <w:vAlign w:val="center"/>
          </w:tcPr>
          <w:p w14:paraId="29AA7F0B" w14:textId="77777777" w:rsidR="00990B14" w:rsidRDefault="00000000">
            <w:pPr>
              <w:spacing w:before="20" w:after="20"/>
              <w:jc w:val="both"/>
            </w:pPr>
            <w:r>
              <w:rPr>
                <w:sz w:val="18"/>
                <w:szCs w:val="18"/>
              </w:rPr>
              <w:t>Presenta ingresos y gastos por clase.</w:t>
            </w:r>
          </w:p>
        </w:tc>
        <w:tc>
          <w:tcPr>
            <w:tcW w:w="1854" w:type="dxa"/>
            <w:shd w:val="clear" w:color="auto" w:fill="D9E2F3"/>
            <w:vAlign w:val="center"/>
          </w:tcPr>
          <w:p w14:paraId="0CD88039" w14:textId="77777777" w:rsidR="00990B14" w:rsidRDefault="00000000">
            <w:pPr>
              <w:spacing w:before="20" w:after="20"/>
              <w:jc w:val="both"/>
            </w:pPr>
            <w:r>
              <w:rPr>
                <w:sz w:val="18"/>
                <w:szCs w:val="18"/>
              </w:rPr>
              <w:t>Analiza el uso de los recursos.</w:t>
            </w:r>
          </w:p>
        </w:tc>
      </w:tr>
      <w:tr w:rsidR="00990B14" w14:paraId="7CAB807C" w14:textId="77777777">
        <w:trPr>
          <w:cantSplit/>
          <w:jc w:val="center"/>
        </w:trPr>
        <w:tc>
          <w:tcPr>
            <w:tcW w:w="1772" w:type="dxa"/>
            <w:vMerge/>
            <w:shd w:val="clear" w:color="auto" w:fill="4472C4"/>
            <w:vAlign w:val="center"/>
          </w:tcPr>
          <w:p w14:paraId="04BB4B6A" w14:textId="77777777" w:rsidR="00990B14" w:rsidRDefault="00990B14">
            <w:pPr>
              <w:spacing w:before="20" w:after="20"/>
            </w:pPr>
          </w:p>
        </w:tc>
        <w:tc>
          <w:tcPr>
            <w:tcW w:w="1854" w:type="dxa"/>
            <w:shd w:val="clear" w:color="auto" w:fill="D9E2F3"/>
            <w:vAlign w:val="center"/>
          </w:tcPr>
          <w:p w14:paraId="2048DC1B" w14:textId="77777777" w:rsidR="00990B14" w:rsidRDefault="00000000">
            <w:pPr>
              <w:spacing w:before="20" w:after="20"/>
              <w:jc w:val="both"/>
            </w:pPr>
            <w:r>
              <w:rPr>
                <w:sz w:val="18"/>
                <w:szCs w:val="18"/>
              </w:rPr>
              <w:t>Trabajo en equipo</w:t>
            </w:r>
          </w:p>
        </w:tc>
        <w:tc>
          <w:tcPr>
            <w:tcW w:w="1910" w:type="dxa"/>
            <w:shd w:val="clear" w:color="auto" w:fill="D9E2F3"/>
            <w:vAlign w:val="center"/>
          </w:tcPr>
          <w:p w14:paraId="2630ACEF" w14:textId="77777777" w:rsidR="00990B14" w:rsidRDefault="00000000">
            <w:pPr>
              <w:spacing w:before="20" w:after="20"/>
              <w:jc w:val="both"/>
            </w:pPr>
            <w:r>
              <w:rPr>
                <w:sz w:val="18"/>
                <w:szCs w:val="18"/>
              </w:rPr>
              <w:t>La participación es desigual.</w:t>
            </w:r>
          </w:p>
        </w:tc>
        <w:tc>
          <w:tcPr>
            <w:tcW w:w="2015" w:type="dxa"/>
            <w:shd w:val="clear" w:color="auto" w:fill="D9E2F3"/>
            <w:vAlign w:val="center"/>
          </w:tcPr>
          <w:p w14:paraId="34671E59" w14:textId="77777777" w:rsidR="00990B14" w:rsidRDefault="00000000">
            <w:pPr>
              <w:spacing w:before="20" w:after="20"/>
              <w:jc w:val="both"/>
            </w:pPr>
            <w:r>
              <w:rPr>
                <w:sz w:val="18"/>
                <w:szCs w:val="18"/>
              </w:rPr>
              <w:t>Todos los integrantes participan.</w:t>
            </w:r>
          </w:p>
        </w:tc>
        <w:tc>
          <w:tcPr>
            <w:tcW w:w="1854" w:type="dxa"/>
            <w:shd w:val="clear" w:color="auto" w:fill="D9E2F3"/>
            <w:vAlign w:val="center"/>
          </w:tcPr>
          <w:p w14:paraId="730407C8" w14:textId="77777777" w:rsidR="00990B14" w:rsidRDefault="00000000">
            <w:pPr>
              <w:spacing w:before="20" w:after="20"/>
              <w:jc w:val="both"/>
            </w:pPr>
            <w:r>
              <w:rPr>
                <w:sz w:val="18"/>
                <w:szCs w:val="18"/>
              </w:rPr>
              <w:t>El equipo sustenta su trabajo ante el curso.</w:t>
            </w:r>
          </w:p>
        </w:tc>
      </w:tr>
      <w:tr w:rsidR="00990B14" w14:paraId="3E81A800" w14:textId="77777777">
        <w:trPr>
          <w:cantSplit/>
          <w:jc w:val="center"/>
        </w:trPr>
        <w:tc>
          <w:tcPr>
            <w:tcW w:w="1772" w:type="dxa"/>
            <w:vMerge/>
            <w:shd w:val="clear" w:color="auto" w:fill="4472C4"/>
            <w:vAlign w:val="center"/>
          </w:tcPr>
          <w:p w14:paraId="5A6D0690" w14:textId="77777777" w:rsidR="00990B14" w:rsidRDefault="00990B14">
            <w:pPr>
              <w:spacing w:before="20" w:after="20"/>
            </w:pPr>
          </w:p>
        </w:tc>
        <w:tc>
          <w:tcPr>
            <w:tcW w:w="5779" w:type="dxa"/>
            <w:gridSpan w:val="3"/>
            <w:shd w:val="clear" w:color="auto" w:fill="D9E2F3"/>
            <w:vAlign w:val="center"/>
          </w:tcPr>
          <w:p w14:paraId="23A1A359" w14:textId="77777777" w:rsidR="00990B14" w:rsidRDefault="00000000">
            <w:pPr>
              <w:keepNext/>
              <w:spacing w:before="20" w:after="20"/>
              <w:jc w:val="both"/>
            </w:pPr>
            <w:r>
              <w:rPr>
                <w:b/>
                <w:bCs/>
                <w:i/>
                <w:iCs/>
                <w:sz w:val="18"/>
                <w:szCs w:val="18"/>
              </w:rPr>
              <w:t xml:space="preserve">Producto 35: </w:t>
            </w:r>
            <w:r>
              <w:rPr>
                <w:sz w:val="18"/>
                <w:szCs w:val="18"/>
              </w:rPr>
              <w:t>Plan de cuentas codificado de una organización sin fines de lucro</w:t>
            </w:r>
          </w:p>
        </w:tc>
        <w:tc>
          <w:tcPr>
            <w:tcW w:w="1854" w:type="dxa"/>
            <w:shd w:val="clear" w:color="auto" w:fill="D9E2F3"/>
            <w:vAlign w:val="center"/>
          </w:tcPr>
          <w:p w14:paraId="0B04496E" w14:textId="77777777" w:rsidR="00990B14" w:rsidRDefault="00000000">
            <w:pPr>
              <w:spacing w:before="20" w:after="20"/>
              <w:jc w:val="center"/>
            </w:pPr>
            <w:r>
              <w:rPr>
                <w:b/>
                <w:bCs/>
                <w:sz w:val="18"/>
                <w:szCs w:val="18"/>
              </w:rPr>
              <w:t>2%</w:t>
            </w:r>
          </w:p>
        </w:tc>
      </w:tr>
      <w:tr w:rsidR="00990B14" w14:paraId="3460E153" w14:textId="77777777">
        <w:trPr>
          <w:cantSplit/>
          <w:jc w:val="center"/>
        </w:trPr>
        <w:tc>
          <w:tcPr>
            <w:tcW w:w="1772" w:type="dxa"/>
            <w:vMerge/>
            <w:shd w:val="clear" w:color="auto" w:fill="4472C4"/>
            <w:vAlign w:val="center"/>
          </w:tcPr>
          <w:p w14:paraId="0F16D3D5" w14:textId="77777777" w:rsidR="00990B14" w:rsidRDefault="00990B14">
            <w:pPr>
              <w:spacing w:before="20" w:after="20"/>
            </w:pPr>
          </w:p>
        </w:tc>
        <w:tc>
          <w:tcPr>
            <w:tcW w:w="1854" w:type="dxa"/>
            <w:shd w:val="clear" w:color="auto" w:fill="4472C4"/>
            <w:vAlign w:val="center"/>
          </w:tcPr>
          <w:p w14:paraId="79C93EF5"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38814021"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51860708" w14:textId="77777777" w:rsidR="00990B14" w:rsidRDefault="00000000">
            <w:pPr>
              <w:keepNext/>
              <w:spacing w:before="20" w:after="20"/>
              <w:jc w:val="center"/>
            </w:pPr>
            <w:r>
              <w:rPr>
                <w:b/>
                <w:bCs/>
                <w:i/>
                <w:iCs/>
                <w:color w:val="FFFFFF"/>
                <w:sz w:val="18"/>
                <w:szCs w:val="18"/>
              </w:rPr>
              <w:t>Suficiente (51–80)</w:t>
            </w:r>
          </w:p>
        </w:tc>
        <w:tc>
          <w:tcPr>
            <w:tcW w:w="1854" w:type="dxa"/>
            <w:shd w:val="clear" w:color="auto" w:fill="4472C4"/>
            <w:vAlign w:val="center"/>
          </w:tcPr>
          <w:p w14:paraId="1DC89DF7" w14:textId="77777777" w:rsidR="00990B14" w:rsidRDefault="00000000">
            <w:pPr>
              <w:keepNext/>
              <w:spacing w:before="20" w:after="20"/>
              <w:jc w:val="center"/>
            </w:pPr>
            <w:r>
              <w:rPr>
                <w:b/>
                <w:bCs/>
                <w:i/>
                <w:iCs/>
                <w:color w:val="FFFFFF"/>
                <w:sz w:val="18"/>
                <w:szCs w:val="18"/>
              </w:rPr>
              <w:t>Destacado (81–100)</w:t>
            </w:r>
          </w:p>
        </w:tc>
      </w:tr>
      <w:tr w:rsidR="00990B14" w14:paraId="7ECDA1B0" w14:textId="77777777">
        <w:trPr>
          <w:cantSplit/>
          <w:jc w:val="center"/>
        </w:trPr>
        <w:tc>
          <w:tcPr>
            <w:tcW w:w="1772" w:type="dxa"/>
            <w:vMerge/>
            <w:shd w:val="clear" w:color="auto" w:fill="4472C4"/>
            <w:vAlign w:val="center"/>
          </w:tcPr>
          <w:p w14:paraId="03B109C5" w14:textId="77777777" w:rsidR="00990B14" w:rsidRDefault="00990B14">
            <w:pPr>
              <w:spacing w:before="20" w:after="20"/>
            </w:pPr>
          </w:p>
        </w:tc>
        <w:tc>
          <w:tcPr>
            <w:tcW w:w="1854" w:type="dxa"/>
            <w:shd w:val="clear" w:color="auto" w:fill="D9E2F3"/>
            <w:vAlign w:val="center"/>
          </w:tcPr>
          <w:p w14:paraId="39D06B29" w14:textId="77777777" w:rsidR="00990B14" w:rsidRDefault="00000000">
            <w:pPr>
              <w:spacing w:before="20" w:after="20"/>
              <w:jc w:val="both"/>
            </w:pPr>
            <w:r>
              <w:rPr>
                <w:sz w:val="18"/>
                <w:szCs w:val="18"/>
              </w:rPr>
              <w:t>Estructura del plan</w:t>
            </w:r>
          </w:p>
        </w:tc>
        <w:tc>
          <w:tcPr>
            <w:tcW w:w="1910" w:type="dxa"/>
            <w:shd w:val="clear" w:color="auto" w:fill="D9E2F3"/>
            <w:vAlign w:val="center"/>
          </w:tcPr>
          <w:p w14:paraId="0BABDE43" w14:textId="77777777" w:rsidR="00990B14" w:rsidRDefault="00000000">
            <w:pPr>
              <w:spacing w:before="20" w:after="20"/>
              <w:jc w:val="both"/>
            </w:pPr>
            <w:r>
              <w:rPr>
                <w:sz w:val="18"/>
                <w:szCs w:val="18"/>
              </w:rPr>
              <w:t>Omite grupos de cuentas.</w:t>
            </w:r>
          </w:p>
        </w:tc>
        <w:tc>
          <w:tcPr>
            <w:tcW w:w="2015" w:type="dxa"/>
            <w:shd w:val="clear" w:color="auto" w:fill="D9E2F3"/>
            <w:vAlign w:val="center"/>
          </w:tcPr>
          <w:p w14:paraId="5B7A6610" w14:textId="77777777" w:rsidR="00990B14" w:rsidRDefault="00000000">
            <w:pPr>
              <w:spacing w:before="20" w:after="20"/>
              <w:jc w:val="both"/>
            </w:pPr>
            <w:r>
              <w:rPr>
                <w:sz w:val="18"/>
                <w:szCs w:val="18"/>
              </w:rPr>
              <w:t>Incluye cuentas de balance, de orden y de resultados.</w:t>
            </w:r>
          </w:p>
        </w:tc>
        <w:tc>
          <w:tcPr>
            <w:tcW w:w="1854" w:type="dxa"/>
            <w:shd w:val="clear" w:color="auto" w:fill="D9E2F3"/>
            <w:vAlign w:val="center"/>
          </w:tcPr>
          <w:p w14:paraId="01AA56B9" w14:textId="77777777" w:rsidR="00990B14" w:rsidRDefault="00000000">
            <w:pPr>
              <w:spacing w:before="20" w:after="20"/>
              <w:jc w:val="both"/>
            </w:pPr>
            <w:r>
              <w:rPr>
                <w:sz w:val="18"/>
                <w:szCs w:val="18"/>
              </w:rPr>
              <w:t>Propone cuentas adaptadas a los fondos restringidos.</w:t>
            </w:r>
          </w:p>
        </w:tc>
      </w:tr>
      <w:tr w:rsidR="00990B14" w14:paraId="14895FA1" w14:textId="77777777">
        <w:trPr>
          <w:cantSplit/>
          <w:jc w:val="center"/>
        </w:trPr>
        <w:tc>
          <w:tcPr>
            <w:tcW w:w="1772" w:type="dxa"/>
            <w:vMerge/>
            <w:shd w:val="clear" w:color="auto" w:fill="4472C4"/>
            <w:vAlign w:val="center"/>
          </w:tcPr>
          <w:p w14:paraId="31C0DCC4" w14:textId="77777777" w:rsidR="00990B14" w:rsidRDefault="00990B14">
            <w:pPr>
              <w:spacing w:before="20" w:after="20"/>
            </w:pPr>
          </w:p>
        </w:tc>
        <w:tc>
          <w:tcPr>
            <w:tcW w:w="1854" w:type="dxa"/>
            <w:shd w:val="clear" w:color="auto" w:fill="D9E2F3"/>
            <w:vAlign w:val="center"/>
          </w:tcPr>
          <w:p w14:paraId="4EE22BEF" w14:textId="77777777" w:rsidR="00990B14" w:rsidRDefault="00000000">
            <w:pPr>
              <w:spacing w:before="20" w:after="20"/>
              <w:jc w:val="both"/>
            </w:pPr>
            <w:r>
              <w:rPr>
                <w:sz w:val="18"/>
                <w:szCs w:val="18"/>
              </w:rPr>
              <w:t>Codificación por niveles</w:t>
            </w:r>
          </w:p>
        </w:tc>
        <w:tc>
          <w:tcPr>
            <w:tcW w:w="1910" w:type="dxa"/>
            <w:shd w:val="clear" w:color="auto" w:fill="D9E2F3"/>
            <w:vAlign w:val="center"/>
          </w:tcPr>
          <w:p w14:paraId="55BC5CC5" w14:textId="77777777" w:rsidR="00990B14" w:rsidRDefault="00000000">
            <w:pPr>
              <w:spacing w:before="20" w:after="20"/>
              <w:jc w:val="both"/>
            </w:pPr>
            <w:r>
              <w:rPr>
                <w:sz w:val="18"/>
                <w:szCs w:val="18"/>
              </w:rPr>
              <w:t>La codificación es incoherente.</w:t>
            </w:r>
          </w:p>
        </w:tc>
        <w:tc>
          <w:tcPr>
            <w:tcW w:w="2015" w:type="dxa"/>
            <w:shd w:val="clear" w:color="auto" w:fill="D9E2F3"/>
            <w:vAlign w:val="center"/>
          </w:tcPr>
          <w:p w14:paraId="363FCF74" w14:textId="77777777" w:rsidR="00990B14" w:rsidRDefault="00000000">
            <w:pPr>
              <w:spacing w:before="20" w:after="20"/>
              <w:jc w:val="both"/>
            </w:pPr>
            <w:r>
              <w:rPr>
                <w:sz w:val="18"/>
                <w:szCs w:val="18"/>
              </w:rPr>
              <w:t>Codifica por niveles de forma coherente.</w:t>
            </w:r>
          </w:p>
        </w:tc>
        <w:tc>
          <w:tcPr>
            <w:tcW w:w="1854" w:type="dxa"/>
            <w:shd w:val="clear" w:color="auto" w:fill="D9E2F3"/>
            <w:vAlign w:val="center"/>
          </w:tcPr>
          <w:p w14:paraId="49065F78" w14:textId="77777777" w:rsidR="00990B14" w:rsidRDefault="00000000">
            <w:pPr>
              <w:spacing w:before="20" w:after="20"/>
              <w:jc w:val="both"/>
            </w:pPr>
            <w:r>
              <w:rPr>
                <w:sz w:val="18"/>
                <w:szCs w:val="18"/>
              </w:rPr>
              <w:t>Verifica que el plan permita el control por proyecto.</w:t>
            </w:r>
          </w:p>
        </w:tc>
      </w:tr>
      <w:tr w:rsidR="00990B14" w14:paraId="55D63A1D" w14:textId="77777777">
        <w:trPr>
          <w:cantSplit/>
          <w:jc w:val="center"/>
        </w:trPr>
        <w:tc>
          <w:tcPr>
            <w:tcW w:w="1772" w:type="dxa"/>
            <w:vMerge/>
            <w:shd w:val="clear" w:color="auto" w:fill="4472C4"/>
            <w:vAlign w:val="center"/>
          </w:tcPr>
          <w:p w14:paraId="75265F94" w14:textId="77777777" w:rsidR="00990B14" w:rsidRDefault="00990B14">
            <w:pPr>
              <w:spacing w:before="20" w:after="20"/>
            </w:pPr>
          </w:p>
        </w:tc>
        <w:tc>
          <w:tcPr>
            <w:tcW w:w="1854" w:type="dxa"/>
            <w:shd w:val="clear" w:color="auto" w:fill="D9E2F3"/>
            <w:vAlign w:val="center"/>
          </w:tcPr>
          <w:p w14:paraId="5C2DA487" w14:textId="77777777" w:rsidR="00990B14" w:rsidRDefault="00000000">
            <w:pPr>
              <w:spacing w:before="20" w:after="20"/>
              <w:jc w:val="both"/>
            </w:pPr>
            <w:r>
              <w:rPr>
                <w:sz w:val="18"/>
                <w:szCs w:val="18"/>
              </w:rPr>
              <w:t>Hoja de cálculo</w:t>
            </w:r>
          </w:p>
        </w:tc>
        <w:tc>
          <w:tcPr>
            <w:tcW w:w="1910" w:type="dxa"/>
            <w:shd w:val="clear" w:color="auto" w:fill="D9E2F3"/>
            <w:vAlign w:val="center"/>
          </w:tcPr>
          <w:p w14:paraId="5E0DC14F" w14:textId="77777777" w:rsidR="00990B14" w:rsidRDefault="00000000">
            <w:pPr>
              <w:spacing w:before="20" w:after="20"/>
              <w:jc w:val="both"/>
            </w:pPr>
            <w:r>
              <w:rPr>
                <w:sz w:val="18"/>
                <w:szCs w:val="18"/>
              </w:rPr>
              <w:t>No organiza el plan en la hoja.</w:t>
            </w:r>
          </w:p>
        </w:tc>
        <w:tc>
          <w:tcPr>
            <w:tcW w:w="2015" w:type="dxa"/>
            <w:shd w:val="clear" w:color="auto" w:fill="D9E2F3"/>
            <w:vAlign w:val="center"/>
          </w:tcPr>
          <w:p w14:paraId="50BDCD9D" w14:textId="77777777" w:rsidR="00990B14" w:rsidRDefault="00000000">
            <w:pPr>
              <w:spacing w:before="20" w:after="20"/>
              <w:jc w:val="both"/>
            </w:pPr>
            <w:r>
              <w:rPr>
                <w:sz w:val="18"/>
                <w:szCs w:val="18"/>
              </w:rPr>
              <w:t>Organiza el plan en hoja de cálculo.</w:t>
            </w:r>
          </w:p>
        </w:tc>
        <w:tc>
          <w:tcPr>
            <w:tcW w:w="1854" w:type="dxa"/>
            <w:shd w:val="clear" w:color="auto" w:fill="D9E2F3"/>
            <w:vAlign w:val="center"/>
          </w:tcPr>
          <w:p w14:paraId="1C85D8AE" w14:textId="77777777" w:rsidR="00990B14" w:rsidRDefault="00000000">
            <w:pPr>
              <w:spacing w:before="20" w:after="20"/>
              <w:jc w:val="both"/>
            </w:pPr>
            <w:r>
              <w:rPr>
                <w:sz w:val="18"/>
                <w:szCs w:val="18"/>
              </w:rPr>
              <w:t>Verifica que el plan sea importable a un sistema contable.</w:t>
            </w:r>
          </w:p>
        </w:tc>
      </w:tr>
      <w:tr w:rsidR="00990B14" w14:paraId="0122FAE1" w14:textId="77777777">
        <w:trPr>
          <w:cantSplit/>
          <w:jc w:val="center"/>
        </w:trPr>
        <w:tc>
          <w:tcPr>
            <w:tcW w:w="1772" w:type="dxa"/>
            <w:vMerge/>
            <w:shd w:val="clear" w:color="auto" w:fill="4472C4"/>
            <w:vAlign w:val="center"/>
          </w:tcPr>
          <w:p w14:paraId="16805F80" w14:textId="77777777" w:rsidR="00990B14" w:rsidRDefault="00990B14">
            <w:pPr>
              <w:spacing w:before="20" w:after="20"/>
            </w:pPr>
          </w:p>
        </w:tc>
        <w:tc>
          <w:tcPr>
            <w:tcW w:w="5779" w:type="dxa"/>
            <w:gridSpan w:val="3"/>
            <w:shd w:val="clear" w:color="auto" w:fill="D9E2F3"/>
            <w:vAlign w:val="center"/>
          </w:tcPr>
          <w:p w14:paraId="55DC79BB" w14:textId="77777777" w:rsidR="00990B14" w:rsidRDefault="00000000">
            <w:pPr>
              <w:keepNext/>
              <w:spacing w:before="20" w:after="20"/>
              <w:jc w:val="both"/>
            </w:pPr>
            <w:r>
              <w:rPr>
                <w:b/>
                <w:bCs/>
                <w:i/>
                <w:iCs/>
                <w:sz w:val="18"/>
                <w:szCs w:val="18"/>
              </w:rPr>
              <w:t xml:space="preserve">Producto 36: </w:t>
            </w:r>
            <w:r>
              <w:rPr>
                <w:sz w:val="18"/>
                <w:szCs w:val="18"/>
              </w:rPr>
              <w:t>Informe financiero por proyecto para el donante</w:t>
            </w:r>
          </w:p>
        </w:tc>
        <w:tc>
          <w:tcPr>
            <w:tcW w:w="1854" w:type="dxa"/>
            <w:shd w:val="clear" w:color="auto" w:fill="D9E2F3"/>
            <w:vAlign w:val="center"/>
          </w:tcPr>
          <w:p w14:paraId="0636D8AC" w14:textId="77777777" w:rsidR="00990B14" w:rsidRDefault="00000000">
            <w:pPr>
              <w:spacing w:before="20" w:after="20"/>
              <w:jc w:val="center"/>
            </w:pPr>
            <w:r>
              <w:rPr>
                <w:b/>
                <w:bCs/>
                <w:sz w:val="18"/>
                <w:szCs w:val="18"/>
              </w:rPr>
              <w:t>2%</w:t>
            </w:r>
          </w:p>
        </w:tc>
      </w:tr>
      <w:tr w:rsidR="00990B14" w14:paraId="18E3CAD3" w14:textId="77777777">
        <w:trPr>
          <w:cantSplit/>
          <w:jc w:val="center"/>
        </w:trPr>
        <w:tc>
          <w:tcPr>
            <w:tcW w:w="1772" w:type="dxa"/>
            <w:vMerge/>
            <w:shd w:val="clear" w:color="auto" w:fill="4472C4"/>
            <w:vAlign w:val="center"/>
          </w:tcPr>
          <w:p w14:paraId="35FF4CA6" w14:textId="77777777" w:rsidR="00990B14" w:rsidRDefault="00990B14">
            <w:pPr>
              <w:spacing w:before="20" w:after="20"/>
            </w:pPr>
          </w:p>
        </w:tc>
        <w:tc>
          <w:tcPr>
            <w:tcW w:w="1854" w:type="dxa"/>
            <w:shd w:val="clear" w:color="auto" w:fill="4472C4"/>
            <w:vAlign w:val="center"/>
          </w:tcPr>
          <w:p w14:paraId="1E2C5E04"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271F7900"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7D71BBA7" w14:textId="77777777" w:rsidR="00990B14" w:rsidRDefault="00000000">
            <w:pPr>
              <w:keepNext/>
              <w:spacing w:before="20" w:after="20"/>
              <w:jc w:val="center"/>
            </w:pPr>
            <w:r>
              <w:rPr>
                <w:b/>
                <w:bCs/>
                <w:i/>
                <w:iCs/>
                <w:color w:val="FFFFFF"/>
                <w:sz w:val="18"/>
                <w:szCs w:val="18"/>
              </w:rPr>
              <w:t>Suficiente (51–80)</w:t>
            </w:r>
          </w:p>
        </w:tc>
        <w:tc>
          <w:tcPr>
            <w:tcW w:w="1854" w:type="dxa"/>
            <w:shd w:val="clear" w:color="auto" w:fill="4472C4"/>
            <w:vAlign w:val="center"/>
          </w:tcPr>
          <w:p w14:paraId="0F3900E3" w14:textId="77777777" w:rsidR="00990B14" w:rsidRDefault="00000000">
            <w:pPr>
              <w:keepNext/>
              <w:spacing w:before="20" w:after="20"/>
              <w:jc w:val="center"/>
            </w:pPr>
            <w:r>
              <w:rPr>
                <w:b/>
                <w:bCs/>
                <w:i/>
                <w:iCs/>
                <w:color w:val="FFFFFF"/>
                <w:sz w:val="18"/>
                <w:szCs w:val="18"/>
              </w:rPr>
              <w:t>Destacado (81–100)</w:t>
            </w:r>
          </w:p>
        </w:tc>
      </w:tr>
      <w:tr w:rsidR="00990B14" w14:paraId="55B8AFCC" w14:textId="77777777">
        <w:trPr>
          <w:cantSplit/>
          <w:jc w:val="center"/>
        </w:trPr>
        <w:tc>
          <w:tcPr>
            <w:tcW w:w="1772" w:type="dxa"/>
            <w:vMerge/>
            <w:shd w:val="clear" w:color="auto" w:fill="4472C4"/>
            <w:vAlign w:val="center"/>
          </w:tcPr>
          <w:p w14:paraId="75E8C9A1" w14:textId="77777777" w:rsidR="00990B14" w:rsidRDefault="00990B14">
            <w:pPr>
              <w:spacing w:before="20" w:after="20"/>
            </w:pPr>
          </w:p>
        </w:tc>
        <w:tc>
          <w:tcPr>
            <w:tcW w:w="1854" w:type="dxa"/>
            <w:shd w:val="clear" w:color="auto" w:fill="D9E2F3"/>
            <w:vAlign w:val="center"/>
          </w:tcPr>
          <w:p w14:paraId="7E8C228A" w14:textId="77777777" w:rsidR="00990B14" w:rsidRDefault="00000000">
            <w:pPr>
              <w:spacing w:before="20" w:after="20"/>
              <w:jc w:val="both"/>
            </w:pPr>
            <w:r>
              <w:rPr>
                <w:sz w:val="18"/>
                <w:szCs w:val="18"/>
              </w:rPr>
              <w:t>Ejecución de fondos</w:t>
            </w:r>
          </w:p>
        </w:tc>
        <w:tc>
          <w:tcPr>
            <w:tcW w:w="1910" w:type="dxa"/>
            <w:shd w:val="clear" w:color="auto" w:fill="D9E2F3"/>
            <w:vAlign w:val="center"/>
          </w:tcPr>
          <w:p w14:paraId="61160E7A" w14:textId="77777777" w:rsidR="00990B14" w:rsidRDefault="00000000">
            <w:pPr>
              <w:spacing w:before="20" w:after="20"/>
              <w:jc w:val="both"/>
            </w:pPr>
            <w:r>
              <w:rPr>
                <w:sz w:val="18"/>
                <w:szCs w:val="18"/>
              </w:rPr>
              <w:t>No compara lo ejecutado con lo presupuestado.</w:t>
            </w:r>
          </w:p>
        </w:tc>
        <w:tc>
          <w:tcPr>
            <w:tcW w:w="2015" w:type="dxa"/>
            <w:shd w:val="clear" w:color="auto" w:fill="D9E2F3"/>
            <w:vAlign w:val="center"/>
          </w:tcPr>
          <w:p w14:paraId="26365263" w14:textId="77777777" w:rsidR="00990B14" w:rsidRDefault="00000000">
            <w:pPr>
              <w:spacing w:before="20" w:after="20"/>
              <w:jc w:val="both"/>
            </w:pPr>
            <w:r>
              <w:rPr>
                <w:sz w:val="18"/>
                <w:szCs w:val="18"/>
              </w:rPr>
              <w:t>Presenta la ejecución por fuente de financiamiento.</w:t>
            </w:r>
          </w:p>
        </w:tc>
        <w:tc>
          <w:tcPr>
            <w:tcW w:w="1854" w:type="dxa"/>
            <w:shd w:val="clear" w:color="auto" w:fill="D9E2F3"/>
            <w:vAlign w:val="center"/>
          </w:tcPr>
          <w:p w14:paraId="0D03614E" w14:textId="77777777" w:rsidR="00990B14" w:rsidRDefault="00000000">
            <w:pPr>
              <w:spacing w:before="20" w:after="20"/>
              <w:jc w:val="both"/>
            </w:pPr>
            <w:r>
              <w:rPr>
                <w:sz w:val="18"/>
                <w:szCs w:val="18"/>
              </w:rPr>
              <w:t>Explica las desviaciones de la ejecución.</w:t>
            </w:r>
          </w:p>
        </w:tc>
      </w:tr>
      <w:tr w:rsidR="00990B14" w14:paraId="01C9DB74" w14:textId="77777777">
        <w:trPr>
          <w:cantSplit/>
          <w:jc w:val="center"/>
        </w:trPr>
        <w:tc>
          <w:tcPr>
            <w:tcW w:w="1772" w:type="dxa"/>
            <w:vMerge/>
            <w:shd w:val="clear" w:color="auto" w:fill="4472C4"/>
            <w:vAlign w:val="center"/>
          </w:tcPr>
          <w:p w14:paraId="293D035F" w14:textId="77777777" w:rsidR="00990B14" w:rsidRDefault="00990B14">
            <w:pPr>
              <w:spacing w:before="20" w:after="20"/>
            </w:pPr>
          </w:p>
        </w:tc>
        <w:tc>
          <w:tcPr>
            <w:tcW w:w="1854" w:type="dxa"/>
            <w:shd w:val="clear" w:color="auto" w:fill="D9E2F3"/>
            <w:vAlign w:val="center"/>
          </w:tcPr>
          <w:p w14:paraId="24B71A52" w14:textId="77777777" w:rsidR="00990B14" w:rsidRDefault="00000000">
            <w:pPr>
              <w:spacing w:before="20" w:after="20"/>
              <w:jc w:val="both"/>
            </w:pPr>
            <w:r>
              <w:rPr>
                <w:sz w:val="18"/>
                <w:szCs w:val="18"/>
              </w:rPr>
              <w:t>Fondos restringidos</w:t>
            </w:r>
          </w:p>
        </w:tc>
        <w:tc>
          <w:tcPr>
            <w:tcW w:w="1910" w:type="dxa"/>
            <w:shd w:val="clear" w:color="auto" w:fill="D9E2F3"/>
            <w:vAlign w:val="center"/>
          </w:tcPr>
          <w:p w14:paraId="1F798838" w14:textId="77777777" w:rsidR="00990B14" w:rsidRDefault="00000000">
            <w:pPr>
              <w:spacing w:before="20" w:after="20"/>
              <w:jc w:val="both"/>
            </w:pPr>
            <w:r>
              <w:rPr>
                <w:sz w:val="18"/>
                <w:szCs w:val="18"/>
              </w:rPr>
              <w:t>Usa fondos en fines distintos.</w:t>
            </w:r>
          </w:p>
        </w:tc>
        <w:tc>
          <w:tcPr>
            <w:tcW w:w="2015" w:type="dxa"/>
            <w:shd w:val="clear" w:color="auto" w:fill="D9E2F3"/>
            <w:vAlign w:val="center"/>
          </w:tcPr>
          <w:p w14:paraId="146B8A50" w14:textId="77777777" w:rsidR="00990B14" w:rsidRDefault="00000000">
            <w:pPr>
              <w:spacing w:before="20" w:after="20"/>
              <w:jc w:val="both"/>
            </w:pPr>
            <w:r>
              <w:rPr>
                <w:sz w:val="18"/>
                <w:szCs w:val="18"/>
              </w:rPr>
              <w:t>Controla el uso de los fondos restringidos.</w:t>
            </w:r>
          </w:p>
        </w:tc>
        <w:tc>
          <w:tcPr>
            <w:tcW w:w="1854" w:type="dxa"/>
            <w:shd w:val="clear" w:color="auto" w:fill="D9E2F3"/>
            <w:vAlign w:val="center"/>
          </w:tcPr>
          <w:p w14:paraId="7CA5DADA" w14:textId="77777777" w:rsidR="00990B14" w:rsidRDefault="00000000">
            <w:pPr>
              <w:spacing w:before="20" w:after="20"/>
              <w:jc w:val="both"/>
            </w:pPr>
            <w:r>
              <w:rPr>
                <w:sz w:val="18"/>
                <w:szCs w:val="18"/>
              </w:rPr>
              <w:t>Analiza los saldos por ejecutar.</w:t>
            </w:r>
          </w:p>
        </w:tc>
      </w:tr>
      <w:tr w:rsidR="00990B14" w14:paraId="673C5437" w14:textId="77777777">
        <w:trPr>
          <w:cantSplit/>
          <w:jc w:val="center"/>
        </w:trPr>
        <w:tc>
          <w:tcPr>
            <w:tcW w:w="1772" w:type="dxa"/>
            <w:vMerge/>
            <w:shd w:val="clear" w:color="auto" w:fill="4472C4"/>
            <w:vAlign w:val="center"/>
          </w:tcPr>
          <w:p w14:paraId="37F4A72A" w14:textId="77777777" w:rsidR="00990B14" w:rsidRDefault="00990B14">
            <w:pPr>
              <w:spacing w:before="20" w:after="20"/>
            </w:pPr>
          </w:p>
        </w:tc>
        <w:tc>
          <w:tcPr>
            <w:tcW w:w="1854" w:type="dxa"/>
            <w:shd w:val="clear" w:color="auto" w:fill="D9E2F3"/>
            <w:vAlign w:val="center"/>
          </w:tcPr>
          <w:p w14:paraId="3FBDCEAD" w14:textId="77777777" w:rsidR="00990B14" w:rsidRDefault="00000000">
            <w:pPr>
              <w:spacing w:before="20" w:after="20"/>
              <w:jc w:val="both"/>
            </w:pPr>
            <w:r>
              <w:rPr>
                <w:sz w:val="18"/>
                <w:szCs w:val="18"/>
              </w:rPr>
              <w:t>Claridad de la exposición</w:t>
            </w:r>
          </w:p>
        </w:tc>
        <w:tc>
          <w:tcPr>
            <w:tcW w:w="1910" w:type="dxa"/>
            <w:shd w:val="clear" w:color="auto" w:fill="D9E2F3"/>
            <w:vAlign w:val="center"/>
          </w:tcPr>
          <w:p w14:paraId="6FAE9A36" w14:textId="77777777" w:rsidR="00990B14" w:rsidRDefault="00000000">
            <w:pPr>
              <w:spacing w:before="20" w:after="20"/>
              <w:jc w:val="both"/>
            </w:pPr>
            <w:r>
              <w:rPr>
                <w:sz w:val="18"/>
                <w:szCs w:val="18"/>
              </w:rPr>
              <w:t>La exposición es confusa.</w:t>
            </w:r>
          </w:p>
        </w:tc>
        <w:tc>
          <w:tcPr>
            <w:tcW w:w="2015" w:type="dxa"/>
            <w:shd w:val="clear" w:color="auto" w:fill="D9E2F3"/>
            <w:vAlign w:val="center"/>
          </w:tcPr>
          <w:p w14:paraId="185F01E1" w14:textId="77777777" w:rsidR="00990B14" w:rsidRDefault="00000000">
            <w:pPr>
              <w:spacing w:before="20" w:after="20"/>
              <w:jc w:val="both"/>
            </w:pPr>
            <w:r>
              <w:rPr>
                <w:sz w:val="18"/>
                <w:szCs w:val="18"/>
              </w:rPr>
              <w:t>Expone con orden y claridad.</w:t>
            </w:r>
          </w:p>
        </w:tc>
        <w:tc>
          <w:tcPr>
            <w:tcW w:w="1854" w:type="dxa"/>
            <w:shd w:val="clear" w:color="auto" w:fill="D9E2F3"/>
            <w:vAlign w:val="center"/>
          </w:tcPr>
          <w:p w14:paraId="0FD7DCBF" w14:textId="77777777" w:rsidR="00990B14" w:rsidRDefault="00000000">
            <w:pPr>
              <w:spacing w:before="20" w:after="20"/>
              <w:jc w:val="both"/>
            </w:pPr>
            <w:r>
              <w:rPr>
                <w:sz w:val="18"/>
                <w:szCs w:val="18"/>
              </w:rPr>
              <w:t>Responde con solvencia las preguntas del curso.</w:t>
            </w:r>
          </w:p>
        </w:tc>
      </w:tr>
      <w:tr w:rsidR="00990B14" w14:paraId="439367B5" w14:textId="77777777">
        <w:trPr>
          <w:cantSplit/>
          <w:jc w:val="center"/>
        </w:trPr>
        <w:tc>
          <w:tcPr>
            <w:tcW w:w="7551" w:type="dxa"/>
            <w:gridSpan w:val="4"/>
            <w:shd w:val="clear" w:color="auto" w:fill="4472C4"/>
            <w:vAlign w:val="center"/>
          </w:tcPr>
          <w:p w14:paraId="1077B11A" w14:textId="77777777" w:rsidR="00990B14" w:rsidRDefault="00000000">
            <w:pPr>
              <w:keepNext/>
              <w:spacing w:before="20" w:after="20"/>
              <w:jc w:val="center"/>
            </w:pPr>
            <w:r>
              <w:rPr>
                <w:b/>
                <w:bCs/>
                <w:i/>
                <w:iCs/>
                <w:color w:val="FFFFFF"/>
                <w:sz w:val="18"/>
                <w:szCs w:val="18"/>
              </w:rPr>
              <w:t>TOTAL</w:t>
            </w:r>
          </w:p>
        </w:tc>
        <w:tc>
          <w:tcPr>
            <w:tcW w:w="1854" w:type="dxa"/>
            <w:shd w:val="clear" w:color="auto" w:fill="4472C4"/>
            <w:vAlign w:val="center"/>
          </w:tcPr>
          <w:p w14:paraId="5AD1F43B" w14:textId="77777777" w:rsidR="00990B14" w:rsidRDefault="00000000">
            <w:pPr>
              <w:keepNext/>
              <w:spacing w:before="20" w:after="20"/>
              <w:jc w:val="center"/>
            </w:pPr>
            <w:r>
              <w:rPr>
                <w:b/>
                <w:bCs/>
                <w:i/>
                <w:iCs/>
                <w:color w:val="FFFFFF"/>
                <w:sz w:val="18"/>
                <w:szCs w:val="18"/>
              </w:rPr>
              <w:t>100%</w:t>
            </w:r>
          </w:p>
        </w:tc>
      </w:tr>
    </w:tbl>
    <w:p w14:paraId="08FE504B"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9405"/>
      </w:tblGrid>
      <w:tr w:rsidR="00990B14" w14:paraId="5809DC2D" w14:textId="77777777">
        <w:trPr>
          <w:jc w:val="center"/>
        </w:trPr>
        <w:tc>
          <w:tcPr>
            <w:tcW w:w="9405" w:type="dxa"/>
            <w:shd w:val="clear" w:color="auto" w:fill="D9E2F3"/>
          </w:tcPr>
          <w:p w14:paraId="1F5AEFF1" w14:textId="77777777" w:rsidR="00990B14" w:rsidRDefault="00000000">
            <w:pPr>
              <w:spacing w:before="40" w:after="40"/>
              <w:jc w:val="both"/>
            </w:pPr>
            <w:r>
              <w:rPr>
                <w:b/>
                <w:bCs/>
                <w:i/>
                <w:iCs/>
                <w:sz w:val="18"/>
                <w:szCs w:val="18"/>
              </w:rPr>
              <w:t>Bibliografía básica:</w:t>
            </w:r>
          </w:p>
          <w:p w14:paraId="7EB3A7D8" w14:textId="77777777" w:rsidR="00990B14" w:rsidRDefault="00000000">
            <w:pPr>
              <w:numPr>
                <w:ilvl w:val="0"/>
                <w:numId w:val="140"/>
              </w:numPr>
              <w:spacing w:after="20"/>
              <w:jc w:val="both"/>
            </w:pPr>
            <w:r>
              <w:rPr>
                <w:sz w:val="18"/>
                <w:szCs w:val="18"/>
              </w:rPr>
              <w:t>Código de Comercio, Decreto Ley N.º 14379, de 25 de febrero de 1977.</w:t>
            </w:r>
          </w:p>
          <w:p w14:paraId="4D3B0B9E" w14:textId="77777777" w:rsidR="00990B14" w:rsidRDefault="00000000">
            <w:pPr>
              <w:numPr>
                <w:ilvl w:val="0"/>
                <w:numId w:val="140"/>
              </w:numPr>
              <w:spacing w:after="20"/>
              <w:jc w:val="both"/>
            </w:pPr>
            <w:r>
              <w:rPr>
                <w:sz w:val="18"/>
                <w:szCs w:val="18"/>
              </w:rPr>
              <w:t xml:space="preserve">Colegio de Auditores o Contadores Públicos de Bolivia, CAUB – Consejo Técnico Nacional de Auditoría y Contabilidad, CTNAC (2023). </w:t>
            </w:r>
            <w:r>
              <w:rPr>
                <w:i/>
                <w:iCs/>
                <w:sz w:val="18"/>
                <w:szCs w:val="18"/>
              </w:rPr>
              <w:t>Compendio de Normas de Contabilidad y Auditoría</w:t>
            </w:r>
            <w:r>
              <w:rPr>
                <w:sz w:val="18"/>
                <w:szCs w:val="18"/>
              </w:rPr>
              <w:t>. Santa Cruz – Bolivia.</w:t>
            </w:r>
          </w:p>
          <w:p w14:paraId="6D3999DE" w14:textId="77777777" w:rsidR="00990B14" w:rsidRDefault="00000000">
            <w:pPr>
              <w:numPr>
                <w:ilvl w:val="0"/>
                <w:numId w:val="140"/>
              </w:numPr>
              <w:spacing w:after="20"/>
              <w:jc w:val="both"/>
            </w:pPr>
            <w:r>
              <w:rPr>
                <w:sz w:val="18"/>
                <w:szCs w:val="18"/>
              </w:rPr>
              <w:t xml:space="preserve">Fundación IFRS – Consejo de Normas Internacionales de Contabilidad, IASB (2023). </w:t>
            </w:r>
            <w:r>
              <w:rPr>
                <w:i/>
                <w:iCs/>
                <w:sz w:val="18"/>
                <w:szCs w:val="18"/>
              </w:rPr>
              <w:t>Normas Internacionales de Información Financiera 2023</w:t>
            </w:r>
            <w:r>
              <w:rPr>
                <w:sz w:val="18"/>
                <w:szCs w:val="18"/>
              </w:rPr>
              <w:t>. Londres.</w:t>
            </w:r>
          </w:p>
          <w:p w14:paraId="55D0C1F3" w14:textId="77777777" w:rsidR="00990B14" w:rsidRDefault="00000000">
            <w:pPr>
              <w:numPr>
                <w:ilvl w:val="0"/>
                <w:numId w:val="140"/>
              </w:numPr>
              <w:spacing w:after="20"/>
              <w:jc w:val="both"/>
            </w:pPr>
            <w:r>
              <w:rPr>
                <w:sz w:val="18"/>
                <w:szCs w:val="18"/>
              </w:rPr>
              <w:t>Ley N.º 1606, de 22 de diciembre de 1994, que modifica la Ley N.º 843.</w:t>
            </w:r>
          </w:p>
          <w:p w14:paraId="44AD5B1F" w14:textId="77777777" w:rsidR="00990B14" w:rsidRDefault="00000000">
            <w:pPr>
              <w:numPr>
                <w:ilvl w:val="0"/>
                <w:numId w:val="140"/>
              </w:numPr>
              <w:spacing w:after="20"/>
              <w:jc w:val="both"/>
            </w:pPr>
            <w:r>
              <w:rPr>
                <w:sz w:val="18"/>
                <w:szCs w:val="18"/>
              </w:rPr>
              <w:t xml:space="preserve">Terán Gandarillas, Gonzalo J. (2022). </w:t>
            </w:r>
            <w:r>
              <w:rPr>
                <w:i/>
                <w:iCs/>
                <w:sz w:val="18"/>
                <w:szCs w:val="18"/>
              </w:rPr>
              <w:t>Temas de Contabilidad de Sociedades</w:t>
            </w:r>
            <w:r>
              <w:rPr>
                <w:sz w:val="18"/>
                <w:szCs w:val="18"/>
              </w:rPr>
              <w:t>. 4ta. edición. Cochabamba – Bolivia: Editorial Educación y Cultura.</w:t>
            </w:r>
          </w:p>
          <w:p w14:paraId="498D97EB" w14:textId="77777777" w:rsidR="00990B14" w:rsidRDefault="00000000">
            <w:pPr>
              <w:numPr>
                <w:ilvl w:val="0"/>
                <w:numId w:val="140"/>
              </w:numPr>
              <w:spacing w:after="20"/>
              <w:jc w:val="both"/>
            </w:pPr>
            <w:r>
              <w:rPr>
                <w:sz w:val="18"/>
                <w:szCs w:val="18"/>
              </w:rPr>
              <w:t>Texto ordenado vigente de la Ley N.º 843, aprobado por el Decreto Supremo N.º 27947 de 20 de diciembre de 2004, y sus Decretos Supremos reglamentarios.</w:t>
            </w:r>
          </w:p>
        </w:tc>
      </w:tr>
      <w:tr w:rsidR="00990B14" w14:paraId="6A4BCD4E" w14:textId="77777777">
        <w:trPr>
          <w:jc w:val="center"/>
        </w:trPr>
        <w:tc>
          <w:tcPr>
            <w:tcW w:w="9405" w:type="dxa"/>
            <w:shd w:val="clear" w:color="auto" w:fill="D9E2F3"/>
          </w:tcPr>
          <w:p w14:paraId="0D5080F8" w14:textId="77777777" w:rsidR="00990B14" w:rsidRDefault="00000000">
            <w:pPr>
              <w:spacing w:before="40" w:after="40"/>
              <w:jc w:val="both"/>
            </w:pPr>
            <w:r>
              <w:rPr>
                <w:b/>
                <w:bCs/>
                <w:i/>
                <w:iCs/>
                <w:sz w:val="18"/>
                <w:szCs w:val="18"/>
              </w:rPr>
              <w:t>Bibliografía complementaria:</w:t>
            </w:r>
          </w:p>
          <w:p w14:paraId="64705CAB" w14:textId="77777777" w:rsidR="00990B14" w:rsidRDefault="00000000">
            <w:pPr>
              <w:numPr>
                <w:ilvl w:val="0"/>
                <w:numId w:val="140"/>
              </w:numPr>
              <w:spacing w:after="20"/>
              <w:jc w:val="both"/>
            </w:pPr>
            <w:r>
              <w:rPr>
                <w:sz w:val="18"/>
                <w:szCs w:val="18"/>
              </w:rPr>
              <w:t>Decreto Supremo N.º 24051, Reglamento del Impuesto sobre las Utilidades de las Empresas, de 29 de junio de 1995.</w:t>
            </w:r>
          </w:p>
          <w:p w14:paraId="459FFD43" w14:textId="77777777" w:rsidR="00990B14" w:rsidRDefault="00000000">
            <w:pPr>
              <w:numPr>
                <w:ilvl w:val="0"/>
                <w:numId w:val="140"/>
              </w:numPr>
              <w:spacing w:after="20"/>
              <w:jc w:val="both"/>
            </w:pPr>
            <w:r w:rsidRPr="00BD34F7">
              <w:rPr>
                <w:sz w:val="18"/>
                <w:szCs w:val="18"/>
                <w:lang w:val="en-US"/>
              </w:rPr>
              <w:t xml:space="preserve">Financial Accounting Standards Board, FASB (2016). Accounting Standards Update No. 2016-14, Not-for-Profit Entities (Topic 958): Presentation of Financial Statements of Not-for-Profit Entities. </w:t>
            </w:r>
            <w:r>
              <w:rPr>
                <w:sz w:val="18"/>
                <w:szCs w:val="18"/>
              </w:rPr>
              <w:t>Norwalk, Connecticut: FASB.</w:t>
            </w:r>
          </w:p>
          <w:p w14:paraId="25C3D7D2" w14:textId="77777777" w:rsidR="00990B14" w:rsidRDefault="00000000">
            <w:pPr>
              <w:numPr>
                <w:ilvl w:val="0"/>
                <w:numId w:val="140"/>
              </w:numPr>
              <w:spacing w:after="20"/>
              <w:jc w:val="both"/>
            </w:pPr>
            <w:r>
              <w:rPr>
                <w:sz w:val="18"/>
                <w:szCs w:val="18"/>
              </w:rPr>
              <w:t>Ley N.º 1834, del Mercado de Valores.</w:t>
            </w:r>
          </w:p>
          <w:p w14:paraId="653B5D04" w14:textId="77777777" w:rsidR="00990B14" w:rsidRDefault="00000000">
            <w:pPr>
              <w:numPr>
                <w:ilvl w:val="0"/>
                <w:numId w:val="140"/>
              </w:numPr>
              <w:spacing w:after="20"/>
              <w:jc w:val="both"/>
            </w:pPr>
            <w:r>
              <w:rPr>
                <w:sz w:val="18"/>
                <w:szCs w:val="18"/>
              </w:rPr>
              <w:t>Ley N.º 351, de Otorgación de Personalidades Jurídicas, de 19 de marzo de 2013.</w:t>
            </w:r>
          </w:p>
          <w:p w14:paraId="316C5877" w14:textId="77777777" w:rsidR="00990B14" w:rsidRDefault="00000000">
            <w:pPr>
              <w:numPr>
                <w:ilvl w:val="0"/>
                <w:numId w:val="140"/>
              </w:numPr>
              <w:spacing w:after="20"/>
              <w:jc w:val="both"/>
            </w:pPr>
            <w:r>
              <w:rPr>
                <w:sz w:val="18"/>
                <w:szCs w:val="18"/>
              </w:rPr>
              <w:t>Ley N.º 393, de Servicios Financieros, de 21 de agosto de 2013.</w:t>
            </w:r>
          </w:p>
          <w:p w14:paraId="248AAA4B" w14:textId="77777777" w:rsidR="00990B14" w:rsidRDefault="00000000">
            <w:pPr>
              <w:numPr>
                <w:ilvl w:val="0"/>
                <w:numId w:val="140"/>
              </w:numPr>
              <w:spacing w:after="20"/>
              <w:jc w:val="both"/>
            </w:pPr>
            <w:r>
              <w:rPr>
                <w:sz w:val="18"/>
                <w:szCs w:val="18"/>
              </w:rPr>
              <w:t>Resolución CTNAC N.º 01/2012, de 7 de noviembre de 2012, sobre la vigencia de las Normas de Contabilidad Generalmente Aceptadas en Bolivia.</w:t>
            </w:r>
          </w:p>
          <w:p w14:paraId="76B3C9A6" w14:textId="77777777" w:rsidR="00990B14" w:rsidRDefault="00000000">
            <w:pPr>
              <w:numPr>
                <w:ilvl w:val="0"/>
                <w:numId w:val="140"/>
              </w:numPr>
              <w:spacing w:after="20"/>
              <w:jc w:val="both"/>
            </w:pPr>
            <w:r>
              <w:rPr>
                <w:sz w:val="18"/>
                <w:szCs w:val="18"/>
              </w:rPr>
              <w:t>Resolución CTNAC N.º 03/2020, de 8 de diciembre de 2020, sobre la suspensión del ajuste por inflación.</w:t>
            </w:r>
          </w:p>
        </w:tc>
      </w:tr>
    </w:tbl>
    <w:p w14:paraId="791007AB" w14:textId="77777777" w:rsidR="00990B14" w:rsidRDefault="00000000">
      <w:pPr>
        <w:pStyle w:val="TituloPlanAsignatura"/>
        <w:keepNext/>
        <w:pageBreakBefore/>
        <w:spacing w:after="120"/>
        <w:jc w:val="center"/>
        <w:outlineLvl w:val="2"/>
      </w:pPr>
      <w:bookmarkStart w:id="157" w:name="_Toc000000098"/>
      <w:r>
        <w:rPr>
          <w:b/>
          <w:bCs/>
          <w:sz w:val="24"/>
          <w:szCs w:val="24"/>
        </w:rPr>
        <w:t>CPA-203 Contabilidad de Tributos</w:t>
      </w:r>
      <w:bookmarkEnd w:id="157"/>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249"/>
        <w:gridCol w:w="1100"/>
        <w:gridCol w:w="149"/>
        <w:gridCol w:w="635"/>
        <w:gridCol w:w="615"/>
        <w:gridCol w:w="952"/>
        <w:gridCol w:w="298"/>
        <w:gridCol w:w="1250"/>
        <w:gridCol w:w="20"/>
        <w:gridCol w:w="385"/>
        <w:gridCol w:w="398"/>
        <w:gridCol w:w="447"/>
        <w:gridCol w:w="1907"/>
      </w:tblGrid>
      <w:tr w:rsidR="00990B14" w14:paraId="35F0AA59" w14:textId="77777777">
        <w:trPr>
          <w:cantSplit/>
          <w:jc w:val="center"/>
        </w:trPr>
        <w:tc>
          <w:tcPr>
            <w:tcW w:w="2349" w:type="dxa"/>
            <w:gridSpan w:val="2"/>
            <w:shd w:val="clear" w:color="auto" w:fill="4472C4"/>
            <w:vAlign w:val="center"/>
          </w:tcPr>
          <w:p w14:paraId="77031F42" w14:textId="77777777" w:rsidR="00990B14" w:rsidRDefault="00000000">
            <w:pPr>
              <w:keepNext/>
              <w:spacing w:before="20" w:after="20"/>
              <w:jc w:val="center"/>
            </w:pPr>
            <w:r>
              <w:rPr>
                <w:b/>
                <w:bCs/>
                <w:i/>
                <w:iCs/>
                <w:color w:val="FFFFFF"/>
                <w:sz w:val="18"/>
                <w:szCs w:val="18"/>
              </w:rPr>
              <w:t>Asignatura</w:t>
            </w:r>
          </w:p>
        </w:tc>
        <w:tc>
          <w:tcPr>
            <w:tcW w:w="2351" w:type="dxa"/>
            <w:gridSpan w:val="4"/>
            <w:shd w:val="clear" w:color="auto" w:fill="4472C4"/>
            <w:vAlign w:val="center"/>
          </w:tcPr>
          <w:p w14:paraId="4DD315CC" w14:textId="77777777" w:rsidR="00990B14" w:rsidRDefault="00000000">
            <w:pPr>
              <w:keepNext/>
              <w:spacing w:before="20" w:after="20"/>
              <w:jc w:val="center"/>
            </w:pPr>
            <w:r>
              <w:rPr>
                <w:b/>
                <w:bCs/>
                <w:i/>
                <w:iCs/>
                <w:color w:val="FFFFFF"/>
                <w:sz w:val="18"/>
                <w:szCs w:val="18"/>
              </w:rPr>
              <w:t>Sigla</w:t>
            </w:r>
          </w:p>
        </w:tc>
        <w:tc>
          <w:tcPr>
            <w:tcW w:w="2351" w:type="dxa"/>
            <w:gridSpan w:val="5"/>
            <w:shd w:val="clear" w:color="auto" w:fill="4472C4"/>
            <w:vAlign w:val="center"/>
          </w:tcPr>
          <w:p w14:paraId="35F7FF76" w14:textId="77777777" w:rsidR="00990B14" w:rsidRDefault="00000000">
            <w:pPr>
              <w:keepNext/>
              <w:spacing w:before="20" w:after="20"/>
              <w:jc w:val="center"/>
            </w:pPr>
            <w:r>
              <w:rPr>
                <w:b/>
                <w:bCs/>
                <w:i/>
                <w:iCs/>
                <w:color w:val="FFFFFF"/>
                <w:sz w:val="18"/>
                <w:szCs w:val="18"/>
              </w:rPr>
              <w:t>Nivel/Área</w:t>
            </w:r>
          </w:p>
        </w:tc>
        <w:tc>
          <w:tcPr>
            <w:tcW w:w="2354" w:type="dxa"/>
            <w:gridSpan w:val="2"/>
            <w:shd w:val="clear" w:color="auto" w:fill="4472C4"/>
            <w:vAlign w:val="center"/>
          </w:tcPr>
          <w:p w14:paraId="06102F3B" w14:textId="77777777" w:rsidR="00990B14" w:rsidRDefault="00000000">
            <w:pPr>
              <w:keepNext/>
              <w:spacing w:before="20" w:after="20"/>
              <w:jc w:val="center"/>
            </w:pPr>
            <w:r>
              <w:rPr>
                <w:b/>
                <w:bCs/>
                <w:i/>
                <w:iCs/>
                <w:color w:val="FFFFFF"/>
                <w:sz w:val="18"/>
                <w:szCs w:val="18"/>
              </w:rPr>
              <w:t>Prerrequisito</w:t>
            </w:r>
          </w:p>
        </w:tc>
      </w:tr>
      <w:tr w:rsidR="00990B14" w14:paraId="5F090E12" w14:textId="77777777">
        <w:trPr>
          <w:cantSplit/>
          <w:jc w:val="center"/>
        </w:trPr>
        <w:tc>
          <w:tcPr>
            <w:tcW w:w="2349" w:type="dxa"/>
            <w:gridSpan w:val="2"/>
            <w:shd w:val="clear" w:color="auto" w:fill="D9E2F3"/>
            <w:vAlign w:val="center"/>
          </w:tcPr>
          <w:p w14:paraId="6CC3EFD9" w14:textId="77777777" w:rsidR="00990B14" w:rsidRDefault="00000000">
            <w:pPr>
              <w:spacing w:before="20" w:after="20"/>
              <w:jc w:val="center"/>
            </w:pPr>
            <w:r>
              <w:rPr>
                <w:b/>
                <w:bCs/>
                <w:i/>
                <w:iCs/>
                <w:sz w:val="18"/>
                <w:szCs w:val="18"/>
              </w:rPr>
              <w:t>Contabilidad de Tributos</w:t>
            </w:r>
          </w:p>
        </w:tc>
        <w:tc>
          <w:tcPr>
            <w:tcW w:w="2351" w:type="dxa"/>
            <w:gridSpan w:val="4"/>
            <w:shd w:val="clear" w:color="auto" w:fill="D9E2F3"/>
            <w:vAlign w:val="center"/>
          </w:tcPr>
          <w:p w14:paraId="33D537AB" w14:textId="77777777" w:rsidR="00990B14" w:rsidRDefault="00000000">
            <w:pPr>
              <w:spacing w:before="20" w:after="20"/>
              <w:jc w:val="center"/>
            </w:pPr>
            <w:r>
              <w:rPr>
                <w:b/>
                <w:bCs/>
                <w:i/>
                <w:iCs/>
                <w:sz w:val="18"/>
                <w:szCs w:val="18"/>
              </w:rPr>
              <w:t>CPA-203</w:t>
            </w:r>
          </w:p>
        </w:tc>
        <w:tc>
          <w:tcPr>
            <w:tcW w:w="2351" w:type="dxa"/>
            <w:gridSpan w:val="5"/>
            <w:shd w:val="clear" w:color="auto" w:fill="D9E2F3"/>
            <w:vAlign w:val="center"/>
          </w:tcPr>
          <w:p w14:paraId="15C55AE3" w14:textId="77777777" w:rsidR="00990B14" w:rsidRDefault="00000000">
            <w:pPr>
              <w:spacing w:before="20" w:after="20"/>
              <w:jc w:val="center"/>
            </w:pPr>
            <w:r>
              <w:rPr>
                <w:b/>
                <w:bCs/>
                <w:i/>
                <w:iCs/>
                <w:sz w:val="18"/>
                <w:szCs w:val="18"/>
              </w:rPr>
              <w:t>Información Financiera</w:t>
            </w:r>
          </w:p>
        </w:tc>
        <w:tc>
          <w:tcPr>
            <w:tcW w:w="2354" w:type="dxa"/>
            <w:gridSpan w:val="2"/>
            <w:shd w:val="clear" w:color="auto" w:fill="D9E2F3"/>
            <w:vAlign w:val="center"/>
          </w:tcPr>
          <w:p w14:paraId="4F3C800B" w14:textId="77777777" w:rsidR="00990B14" w:rsidRDefault="00000000">
            <w:pPr>
              <w:spacing w:before="20" w:after="20"/>
              <w:jc w:val="center"/>
            </w:pPr>
            <w:r>
              <w:rPr>
                <w:b/>
                <w:bCs/>
                <w:i/>
                <w:iCs/>
                <w:sz w:val="18"/>
                <w:szCs w:val="18"/>
              </w:rPr>
              <w:t>CPA-101</w:t>
            </w:r>
          </w:p>
        </w:tc>
      </w:tr>
      <w:tr w:rsidR="00990B14" w14:paraId="113EF162" w14:textId="77777777">
        <w:trPr>
          <w:cantSplit/>
          <w:jc w:val="center"/>
        </w:trPr>
        <w:tc>
          <w:tcPr>
            <w:tcW w:w="7498" w:type="dxa"/>
            <w:gridSpan w:val="12"/>
            <w:shd w:val="clear" w:color="auto" w:fill="4472C4"/>
            <w:vAlign w:val="center"/>
          </w:tcPr>
          <w:p w14:paraId="796DADD7" w14:textId="77777777" w:rsidR="00990B14" w:rsidRDefault="00000000">
            <w:pPr>
              <w:keepNext/>
              <w:spacing w:before="20" w:after="20"/>
              <w:jc w:val="center"/>
            </w:pPr>
            <w:r>
              <w:rPr>
                <w:b/>
                <w:bCs/>
                <w:i/>
                <w:iCs/>
                <w:color w:val="FFFFFF"/>
                <w:sz w:val="18"/>
                <w:szCs w:val="18"/>
              </w:rPr>
              <w:t>Carga Horaria</w:t>
            </w:r>
          </w:p>
        </w:tc>
        <w:tc>
          <w:tcPr>
            <w:tcW w:w="1907" w:type="dxa"/>
            <w:shd w:val="clear" w:color="auto" w:fill="4472C4"/>
            <w:vAlign w:val="center"/>
          </w:tcPr>
          <w:p w14:paraId="7FB3011F" w14:textId="77777777" w:rsidR="00990B14" w:rsidRDefault="00000000">
            <w:pPr>
              <w:keepNext/>
              <w:spacing w:before="20" w:after="20"/>
              <w:jc w:val="center"/>
            </w:pPr>
            <w:r>
              <w:rPr>
                <w:b/>
                <w:bCs/>
                <w:i/>
                <w:iCs/>
                <w:color w:val="FFFFFF"/>
                <w:sz w:val="18"/>
                <w:szCs w:val="18"/>
              </w:rPr>
              <w:t>Créditos</w:t>
            </w:r>
          </w:p>
        </w:tc>
      </w:tr>
      <w:tr w:rsidR="00990B14" w14:paraId="3587058E" w14:textId="77777777">
        <w:trPr>
          <w:cantSplit/>
          <w:jc w:val="center"/>
        </w:trPr>
        <w:tc>
          <w:tcPr>
            <w:tcW w:w="1249" w:type="dxa"/>
            <w:shd w:val="clear" w:color="auto" w:fill="4472C4"/>
            <w:vAlign w:val="center"/>
          </w:tcPr>
          <w:p w14:paraId="36BEFE77" w14:textId="77777777" w:rsidR="00990B14" w:rsidRDefault="00000000">
            <w:pPr>
              <w:keepNext/>
              <w:spacing w:before="20" w:after="20"/>
              <w:jc w:val="center"/>
            </w:pPr>
            <w:r>
              <w:rPr>
                <w:b/>
                <w:bCs/>
                <w:i/>
                <w:iCs/>
                <w:color w:val="FFFFFF"/>
                <w:sz w:val="18"/>
                <w:szCs w:val="18"/>
              </w:rPr>
              <w:t>HP</w:t>
            </w:r>
          </w:p>
        </w:tc>
        <w:tc>
          <w:tcPr>
            <w:tcW w:w="1249" w:type="dxa"/>
            <w:gridSpan w:val="2"/>
            <w:shd w:val="clear" w:color="auto" w:fill="4472C4"/>
            <w:vAlign w:val="center"/>
          </w:tcPr>
          <w:p w14:paraId="5834E81B" w14:textId="77777777" w:rsidR="00990B14" w:rsidRDefault="00000000">
            <w:pPr>
              <w:keepNext/>
              <w:spacing w:before="20" w:after="20"/>
              <w:jc w:val="center"/>
            </w:pPr>
            <w:r>
              <w:rPr>
                <w:b/>
                <w:bCs/>
                <w:i/>
                <w:iCs/>
                <w:color w:val="FFFFFF"/>
                <w:sz w:val="18"/>
                <w:szCs w:val="18"/>
              </w:rPr>
              <w:t>HAA</w:t>
            </w:r>
          </w:p>
        </w:tc>
        <w:tc>
          <w:tcPr>
            <w:tcW w:w="1250" w:type="dxa"/>
            <w:gridSpan w:val="2"/>
            <w:shd w:val="clear" w:color="auto" w:fill="4472C4"/>
            <w:vAlign w:val="center"/>
          </w:tcPr>
          <w:p w14:paraId="00B93B97" w14:textId="77777777" w:rsidR="00990B14" w:rsidRDefault="00000000">
            <w:pPr>
              <w:keepNext/>
              <w:spacing w:before="20" w:after="20"/>
              <w:jc w:val="center"/>
            </w:pPr>
            <w:r>
              <w:rPr>
                <w:b/>
                <w:bCs/>
                <w:i/>
                <w:iCs/>
                <w:color w:val="FFFFFF"/>
                <w:sz w:val="18"/>
                <w:szCs w:val="18"/>
              </w:rPr>
              <w:t>HTG</w:t>
            </w:r>
          </w:p>
        </w:tc>
        <w:tc>
          <w:tcPr>
            <w:tcW w:w="1250" w:type="dxa"/>
            <w:gridSpan w:val="2"/>
            <w:shd w:val="clear" w:color="auto" w:fill="4472C4"/>
            <w:vAlign w:val="center"/>
          </w:tcPr>
          <w:p w14:paraId="5D2FB2EC" w14:textId="77777777" w:rsidR="00990B14" w:rsidRDefault="00000000">
            <w:pPr>
              <w:keepNext/>
              <w:spacing w:before="20" w:after="20"/>
              <w:jc w:val="center"/>
            </w:pPr>
            <w:r>
              <w:rPr>
                <w:b/>
                <w:bCs/>
                <w:i/>
                <w:iCs/>
                <w:color w:val="FFFFFF"/>
                <w:sz w:val="18"/>
                <w:szCs w:val="18"/>
              </w:rPr>
              <w:t>HIP</w:t>
            </w:r>
          </w:p>
        </w:tc>
        <w:tc>
          <w:tcPr>
            <w:tcW w:w="1250" w:type="dxa"/>
            <w:shd w:val="clear" w:color="auto" w:fill="4472C4"/>
            <w:vAlign w:val="center"/>
          </w:tcPr>
          <w:p w14:paraId="09EFE1E1" w14:textId="77777777" w:rsidR="00990B14" w:rsidRDefault="00000000">
            <w:pPr>
              <w:keepNext/>
              <w:spacing w:before="20" w:after="20"/>
              <w:jc w:val="center"/>
            </w:pPr>
            <w:r>
              <w:rPr>
                <w:b/>
                <w:bCs/>
                <w:i/>
                <w:iCs/>
                <w:color w:val="FFFFFF"/>
                <w:sz w:val="18"/>
                <w:szCs w:val="18"/>
              </w:rPr>
              <w:t>HE</w:t>
            </w:r>
          </w:p>
        </w:tc>
        <w:tc>
          <w:tcPr>
            <w:tcW w:w="1250" w:type="dxa"/>
            <w:gridSpan w:val="4"/>
            <w:shd w:val="clear" w:color="auto" w:fill="4472C4"/>
            <w:vAlign w:val="center"/>
          </w:tcPr>
          <w:p w14:paraId="52B92105" w14:textId="77777777" w:rsidR="00990B14" w:rsidRDefault="00000000">
            <w:pPr>
              <w:keepNext/>
              <w:spacing w:before="20" w:after="20"/>
              <w:jc w:val="center"/>
            </w:pPr>
            <w:r>
              <w:rPr>
                <w:b/>
                <w:bCs/>
                <w:i/>
                <w:iCs/>
                <w:color w:val="FFFFFF"/>
                <w:sz w:val="18"/>
                <w:szCs w:val="18"/>
              </w:rPr>
              <w:t>TOTAL</w:t>
            </w:r>
          </w:p>
        </w:tc>
        <w:tc>
          <w:tcPr>
            <w:tcW w:w="1907" w:type="dxa"/>
            <w:vMerge w:val="restart"/>
            <w:shd w:val="clear" w:color="auto" w:fill="D9E2F3"/>
            <w:vAlign w:val="center"/>
          </w:tcPr>
          <w:p w14:paraId="2334A412" w14:textId="77777777" w:rsidR="00990B14" w:rsidRDefault="00000000">
            <w:pPr>
              <w:spacing w:before="20" w:after="20"/>
              <w:jc w:val="center"/>
            </w:pPr>
            <w:r>
              <w:rPr>
                <w:sz w:val="18"/>
                <w:szCs w:val="18"/>
              </w:rPr>
              <w:t>8</w:t>
            </w:r>
          </w:p>
        </w:tc>
      </w:tr>
      <w:tr w:rsidR="00990B14" w14:paraId="17694C8C" w14:textId="77777777">
        <w:trPr>
          <w:cantSplit/>
          <w:jc w:val="center"/>
        </w:trPr>
        <w:tc>
          <w:tcPr>
            <w:tcW w:w="1249" w:type="dxa"/>
            <w:shd w:val="clear" w:color="auto" w:fill="D9E2F3"/>
            <w:vAlign w:val="center"/>
          </w:tcPr>
          <w:p w14:paraId="17ECE936" w14:textId="77777777" w:rsidR="00990B14" w:rsidRDefault="00000000">
            <w:pPr>
              <w:spacing w:before="20" w:after="20"/>
              <w:jc w:val="center"/>
            </w:pPr>
            <w:r>
              <w:rPr>
                <w:sz w:val="18"/>
                <w:szCs w:val="18"/>
              </w:rPr>
              <w:t>160</w:t>
            </w:r>
          </w:p>
        </w:tc>
        <w:tc>
          <w:tcPr>
            <w:tcW w:w="1249" w:type="dxa"/>
            <w:gridSpan w:val="2"/>
            <w:shd w:val="clear" w:color="auto" w:fill="D9E2F3"/>
            <w:vAlign w:val="center"/>
          </w:tcPr>
          <w:p w14:paraId="76BB812C" w14:textId="77777777" w:rsidR="00990B14" w:rsidRDefault="00000000">
            <w:pPr>
              <w:spacing w:before="20" w:after="20"/>
              <w:jc w:val="center"/>
            </w:pPr>
            <w:r>
              <w:rPr>
                <w:sz w:val="18"/>
                <w:szCs w:val="18"/>
              </w:rPr>
              <w:t>20</w:t>
            </w:r>
          </w:p>
        </w:tc>
        <w:tc>
          <w:tcPr>
            <w:tcW w:w="1250" w:type="dxa"/>
            <w:gridSpan w:val="2"/>
            <w:shd w:val="clear" w:color="auto" w:fill="D9E2F3"/>
            <w:vAlign w:val="center"/>
          </w:tcPr>
          <w:p w14:paraId="12577CE8" w14:textId="77777777" w:rsidR="00990B14" w:rsidRDefault="00000000">
            <w:pPr>
              <w:spacing w:before="20" w:after="20"/>
              <w:jc w:val="center"/>
            </w:pPr>
            <w:r>
              <w:rPr>
                <w:sz w:val="18"/>
                <w:szCs w:val="18"/>
              </w:rPr>
              <w:t>15</w:t>
            </w:r>
          </w:p>
        </w:tc>
        <w:tc>
          <w:tcPr>
            <w:tcW w:w="1250" w:type="dxa"/>
            <w:gridSpan w:val="2"/>
            <w:shd w:val="clear" w:color="auto" w:fill="D9E2F3"/>
            <w:vAlign w:val="center"/>
          </w:tcPr>
          <w:p w14:paraId="415F96F0" w14:textId="77777777" w:rsidR="00990B14" w:rsidRDefault="00000000">
            <w:pPr>
              <w:spacing w:before="20" w:after="20"/>
              <w:jc w:val="center"/>
            </w:pPr>
            <w:r>
              <w:rPr>
                <w:sz w:val="18"/>
                <w:szCs w:val="18"/>
              </w:rPr>
              <w:t>30</w:t>
            </w:r>
          </w:p>
        </w:tc>
        <w:tc>
          <w:tcPr>
            <w:tcW w:w="1250" w:type="dxa"/>
            <w:shd w:val="clear" w:color="auto" w:fill="D9E2F3"/>
            <w:vAlign w:val="center"/>
          </w:tcPr>
          <w:p w14:paraId="0B2E5A0B" w14:textId="77777777" w:rsidR="00990B14" w:rsidRDefault="00000000">
            <w:pPr>
              <w:spacing w:before="20" w:after="20"/>
              <w:jc w:val="center"/>
            </w:pPr>
            <w:r>
              <w:rPr>
                <w:sz w:val="18"/>
                <w:szCs w:val="18"/>
              </w:rPr>
              <w:t>15</w:t>
            </w:r>
          </w:p>
        </w:tc>
        <w:tc>
          <w:tcPr>
            <w:tcW w:w="1250" w:type="dxa"/>
            <w:gridSpan w:val="4"/>
            <w:shd w:val="clear" w:color="auto" w:fill="D9E2F3"/>
            <w:vAlign w:val="center"/>
          </w:tcPr>
          <w:p w14:paraId="0C411E35" w14:textId="77777777" w:rsidR="00990B14" w:rsidRDefault="00000000">
            <w:pPr>
              <w:spacing w:before="20" w:after="20"/>
              <w:jc w:val="center"/>
            </w:pPr>
            <w:r>
              <w:rPr>
                <w:sz w:val="18"/>
                <w:szCs w:val="18"/>
              </w:rPr>
              <w:t>240</w:t>
            </w:r>
          </w:p>
        </w:tc>
        <w:tc>
          <w:tcPr>
            <w:tcW w:w="1907" w:type="dxa"/>
            <w:vMerge/>
            <w:shd w:val="clear" w:color="auto" w:fill="D9E2F3"/>
            <w:vAlign w:val="center"/>
          </w:tcPr>
          <w:p w14:paraId="3930924C" w14:textId="77777777" w:rsidR="00990B14" w:rsidRDefault="00990B14">
            <w:pPr>
              <w:spacing w:before="20" w:after="20"/>
            </w:pPr>
          </w:p>
        </w:tc>
      </w:tr>
      <w:tr w:rsidR="00990B14" w14:paraId="49BEADBB" w14:textId="77777777">
        <w:trPr>
          <w:cantSplit/>
          <w:jc w:val="center"/>
        </w:trPr>
        <w:tc>
          <w:tcPr>
            <w:tcW w:w="9405" w:type="dxa"/>
            <w:gridSpan w:val="13"/>
            <w:shd w:val="clear" w:color="auto" w:fill="4472C4"/>
            <w:vAlign w:val="center"/>
          </w:tcPr>
          <w:p w14:paraId="3DAA4FA8" w14:textId="77777777" w:rsidR="00990B14" w:rsidRDefault="00000000">
            <w:pPr>
              <w:keepNext/>
              <w:spacing w:before="20" w:after="20"/>
              <w:jc w:val="center"/>
            </w:pPr>
            <w:r>
              <w:rPr>
                <w:b/>
                <w:bCs/>
                <w:i/>
                <w:iCs/>
                <w:color w:val="FFFFFF"/>
                <w:sz w:val="18"/>
                <w:szCs w:val="18"/>
              </w:rPr>
              <w:t>Unidad de Competencia</w:t>
            </w:r>
          </w:p>
        </w:tc>
      </w:tr>
      <w:tr w:rsidR="00990B14" w14:paraId="4BA01DAD" w14:textId="77777777">
        <w:trPr>
          <w:cantSplit/>
          <w:jc w:val="center"/>
        </w:trPr>
        <w:tc>
          <w:tcPr>
            <w:tcW w:w="9405" w:type="dxa"/>
            <w:gridSpan w:val="13"/>
            <w:shd w:val="clear" w:color="auto" w:fill="D9E2F3"/>
            <w:vAlign w:val="center"/>
          </w:tcPr>
          <w:p w14:paraId="331BC6A3" w14:textId="77777777" w:rsidR="00990B14" w:rsidRDefault="00000000">
            <w:pPr>
              <w:spacing w:before="20" w:after="20"/>
              <w:jc w:val="both"/>
            </w:pPr>
            <w:r>
              <w:rPr>
                <w:sz w:val="18"/>
                <w:szCs w:val="18"/>
              </w:rPr>
              <w:t>Interpreta y aplica el Código Tributario Boliviano (Ley N.º 2492), Sistema Tributario Boliviano (Ley N.º 843) y demás disposiciones vigentes; liquida los tributos de dominio nacional, departamental y municipal; determina y concilia el resultado contable con el resultado fiscal; utiliza las plataformas virtuales de la Administración Tributaria; y controla el cumplimiento de las obligaciones tributarias, con rigor técnico, ética profesional y apego a las disposiciones legales.</w:t>
            </w:r>
          </w:p>
        </w:tc>
      </w:tr>
      <w:tr w:rsidR="00990B14" w14:paraId="736A7CFA" w14:textId="77777777">
        <w:trPr>
          <w:cantSplit/>
          <w:jc w:val="center"/>
        </w:trPr>
        <w:tc>
          <w:tcPr>
            <w:tcW w:w="9405" w:type="dxa"/>
            <w:gridSpan w:val="13"/>
            <w:shd w:val="clear" w:color="auto" w:fill="D9E2F3"/>
            <w:vAlign w:val="center"/>
          </w:tcPr>
          <w:p w14:paraId="589F541B" w14:textId="77777777" w:rsidR="00990B14" w:rsidRDefault="00000000">
            <w:pPr>
              <w:spacing w:before="20" w:after="20"/>
              <w:jc w:val="both"/>
            </w:pPr>
            <w:r>
              <w:rPr>
                <w:b/>
                <w:bCs/>
                <w:i/>
                <w:iCs/>
                <w:sz w:val="18"/>
                <w:szCs w:val="18"/>
              </w:rPr>
              <w:t xml:space="preserve">Elemento de competencia 1: </w:t>
            </w:r>
            <w:r>
              <w:rPr>
                <w:sz w:val="18"/>
                <w:szCs w:val="18"/>
              </w:rPr>
              <w:t>Determina el régimen tributario y el empadronamiento de un contribuyente boliviano, aplicando el marco normativo del Código Tributario Boliviano Ley N.º 2492, Ley N.º 843 y demás disposiciones legales, operando las plataformas virtuales de la Administración Tributaria con responsabilidad ética, resguardo de credenciales y prevención de ilícitos.</w:t>
            </w:r>
          </w:p>
        </w:tc>
      </w:tr>
      <w:tr w:rsidR="00990B14" w14:paraId="708F666B" w14:textId="77777777">
        <w:trPr>
          <w:cantSplit/>
          <w:jc w:val="center"/>
        </w:trPr>
        <w:tc>
          <w:tcPr>
            <w:tcW w:w="3133" w:type="dxa"/>
            <w:gridSpan w:val="4"/>
            <w:shd w:val="clear" w:color="auto" w:fill="4472C4"/>
            <w:vAlign w:val="center"/>
          </w:tcPr>
          <w:p w14:paraId="5749759C"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3831C600"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6885D027" w14:textId="77777777" w:rsidR="00990B14" w:rsidRDefault="00000000">
            <w:pPr>
              <w:keepNext/>
              <w:spacing w:before="20" w:after="20"/>
              <w:jc w:val="center"/>
            </w:pPr>
            <w:r>
              <w:rPr>
                <w:b/>
                <w:bCs/>
                <w:i/>
                <w:iCs/>
                <w:color w:val="FFFFFF"/>
                <w:sz w:val="18"/>
                <w:szCs w:val="18"/>
              </w:rPr>
              <w:t>Evidencias de producto</w:t>
            </w:r>
          </w:p>
        </w:tc>
      </w:tr>
      <w:tr w:rsidR="00990B14" w14:paraId="2F70DDAA" w14:textId="77777777">
        <w:trPr>
          <w:cantSplit/>
          <w:jc w:val="center"/>
        </w:trPr>
        <w:tc>
          <w:tcPr>
            <w:tcW w:w="3133" w:type="dxa"/>
            <w:gridSpan w:val="4"/>
            <w:vMerge w:val="restart"/>
            <w:shd w:val="clear" w:color="auto" w:fill="D9E2F3"/>
            <w:vAlign w:val="center"/>
          </w:tcPr>
          <w:p w14:paraId="4859198C" w14:textId="77777777" w:rsidR="00990B14" w:rsidRDefault="00000000">
            <w:pPr>
              <w:spacing w:before="20" w:after="20"/>
              <w:jc w:val="both"/>
            </w:pPr>
            <w:r>
              <w:rPr>
                <w:sz w:val="18"/>
                <w:szCs w:val="18"/>
              </w:rPr>
              <w:t>1. Determina la obligación tributaria y el régimen de un contribuyente boliviano, aplicando el Código Tributario y la Ley N.º 843 y demás normativas, con responsabilidad ética.</w:t>
            </w:r>
          </w:p>
        </w:tc>
        <w:tc>
          <w:tcPr>
            <w:tcW w:w="3135" w:type="dxa"/>
            <w:gridSpan w:val="5"/>
            <w:shd w:val="clear" w:color="auto" w:fill="D9E2F3"/>
            <w:vAlign w:val="center"/>
          </w:tcPr>
          <w:p w14:paraId="1D35E14F" w14:textId="77777777" w:rsidR="00990B14" w:rsidRDefault="00000000">
            <w:pPr>
              <w:spacing w:before="20" w:after="20"/>
              <w:jc w:val="both"/>
            </w:pPr>
            <w:r>
              <w:rPr>
                <w:sz w:val="18"/>
                <w:szCs w:val="18"/>
              </w:rPr>
              <w:t>1.1 Clasifica a los contribuyentes de distintos casos en el régimen general o especial.</w:t>
            </w:r>
          </w:p>
        </w:tc>
        <w:tc>
          <w:tcPr>
            <w:tcW w:w="3137" w:type="dxa"/>
            <w:gridSpan w:val="4"/>
            <w:shd w:val="clear" w:color="auto" w:fill="D9E2F3"/>
            <w:vAlign w:val="center"/>
          </w:tcPr>
          <w:p w14:paraId="3711582F" w14:textId="77777777" w:rsidR="00990B14" w:rsidRDefault="00000000">
            <w:pPr>
              <w:spacing w:before="20" w:after="20"/>
              <w:jc w:val="both"/>
            </w:pPr>
            <w:r>
              <w:rPr>
                <w:b/>
                <w:bCs/>
                <w:sz w:val="18"/>
                <w:szCs w:val="18"/>
              </w:rPr>
              <w:t xml:space="preserve">Producto 1: </w:t>
            </w:r>
            <w:r>
              <w:rPr>
                <w:sz w:val="18"/>
                <w:szCs w:val="18"/>
              </w:rPr>
              <w:t>Cuadro de clasificación de los regímenes tributarios.</w:t>
            </w:r>
          </w:p>
        </w:tc>
      </w:tr>
      <w:tr w:rsidR="00990B14" w14:paraId="08E3396E" w14:textId="77777777">
        <w:trPr>
          <w:cantSplit/>
          <w:jc w:val="center"/>
        </w:trPr>
        <w:tc>
          <w:tcPr>
            <w:tcW w:w="3133" w:type="dxa"/>
            <w:gridSpan w:val="4"/>
            <w:vMerge/>
            <w:shd w:val="clear" w:color="auto" w:fill="D9E2F3"/>
            <w:vAlign w:val="center"/>
          </w:tcPr>
          <w:p w14:paraId="17F48D64" w14:textId="77777777" w:rsidR="00990B14" w:rsidRDefault="00990B14">
            <w:pPr>
              <w:spacing w:before="20" w:after="20"/>
            </w:pPr>
          </w:p>
        </w:tc>
        <w:tc>
          <w:tcPr>
            <w:tcW w:w="3135" w:type="dxa"/>
            <w:gridSpan w:val="5"/>
            <w:shd w:val="clear" w:color="auto" w:fill="D9E2F3"/>
            <w:vAlign w:val="center"/>
          </w:tcPr>
          <w:p w14:paraId="1BE0E582" w14:textId="77777777" w:rsidR="00990B14" w:rsidRDefault="00000000">
            <w:pPr>
              <w:spacing w:before="20" w:after="20"/>
              <w:jc w:val="both"/>
            </w:pPr>
            <w:r>
              <w:rPr>
                <w:sz w:val="18"/>
                <w:szCs w:val="18"/>
              </w:rPr>
              <w:t>1.2 Elabora en equipo el calendario de vencimientos y el cuadro de impuestos de un contribuyente según su actividad.</w:t>
            </w:r>
          </w:p>
        </w:tc>
        <w:tc>
          <w:tcPr>
            <w:tcW w:w="3137" w:type="dxa"/>
            <w:gridSpan w:val="4"/>
            <w:shd w:val="clear" w:color="auto" w:fill="D9E2F3"/>
            <w:vAlign w:val="center"/>
          </w:tcPr>
          <w:p w14:paraId="1DD17E33" w14:textId="77777777" w:rsidR="00990B14" w:rsidRDefault="00000000">
            <w:pPr>
              <w:spacing w:before="20" w:after="20"/>
              <w:jc w:val="both"/>
            </w:pPr>
            <w:r>
              <w:rPr>
                <w:b/>
                <w:bCs/>
                <w:sz w:val="18"/>
                <w:szCs w:val="18"/>
              </w:rPr>
              <w:t xml:space="preserve">Producto 2: </w:t>
            </w:r>
            <w:r>
              <w:rPr>
                <w:sz w:val="18"/>
                <w:szCs w:val="18"/>
              </w:rPr>
              <w:t>Calendario de obligaciones tributarias de un contribuyente.</w:t>
            </w:r>
          </w:p>
        </w:tc>
      </w:tr>
      <w:tr w:rsidR="00990B14" w14:paraId="15661D92" w14:textId="77777777">
        <w:trPr>
          <w:cantSplit/>
          <w:jc w:val="center"/>
        </w:trPr>
        <w:tc>
          <w:tcPr>
            <w:tcW w:w="3133" w:type="dxa"/>
            <w:gridSpan w:val="4"/>
            <w:vMerge w:val="restart"/>
            <w:shd w:val="clear" w:color="auto" w:fill="D9E2F3"/>
            <w:vAlign w:val="center"/>
          </w:tcPr>
          <w:p w14:paraId="101EEEB5" w14:textId="77777777" w:rsidR="00990B14" w:rsidRDefault="00000000">
            <w:pPr>
              <w:spacing w:before="20" w:after="20"/>
              <w:jc w:val="both"/>
            </w:pPr>
            <w:r>
              <w:rPr>
                <w:sz w:val="18"/>
                <w:szCs w:val="18"/>
              </w:rPr>
              <w:t>2. Empadrona a un contribuyente y gestiona sus obligaciones en las plataformas virtuales de la Administración Tributaria, resguardando sus credenciales de acceso.</w:t>
            </w:r>
          </w:p>
        </w:tc>
        <w:tc>
          <w:tcPr>
            <w:tcW w:w="3135" w:type="dxa"/>
            <w:gridSpan w:val="5"/>
            <w:shd w:val="clear" w:color="auto" w:fill="D9E2F3"/>
            <w:vAlign w:val="center"/>
          </w:tcPr>
          <w:p w14:paraId="0DB83CA5" w14:textId="77777777" w:rsidR="00990B14" w:rsidRDefault="00000000">
            <w:pPr>
              <w:spacing w:before="20" w:after="20"/>
              <w:jc w:val="both"/>
            </w:pPr>
            <w:r>
              <w:rPr>
                <w:sz w:val="18"/>
                <w:szCs w:val="18"/>
              </w:rPr>
              <w:t>2.1 Simula en el laboratorio de cómputo el empadronamiento de un contribuyente y el llenado de los formularios de un régimen especial.</w:t>
            </w:r>
          </w:p>
        </w:tc>
        <w:tc>
          <w:tcPr>
            <w:tcW w:w="3137" w:type="dxa"/>
            <w:gridSpan w:val="4"/>
            <w:shd w:val="clear" w:color="auto" w:fill="D9E2F3"/>
            <w:vAlign w:val="center"/>
          </w:tcPr>
          <w:p w14:paraId="6FFB43D4" w14:textId="77777777" w:rsidR="00990B14" w:rsidRDefault="00000000">
            <w:pPr>
              <w:spacing w:before="20" w:after="20"/>
              <w:jc w:val="both"/>
            </w:pPr>
            <w:r>
              <w:rPr>
                <w:b/>
                <w:bCs/>
                <w:sz w:val="18"/>
                <w:szCs w:val="18"/>
              </w:rPr>
              <w:t xml:space="preserve">Producto 3: </w:t>
            </w:r>
            <w:r>
              <w:rPr>
                <w:sz w:val="18"/>
                <w:szCs w:val="18"/>
              </w:rPr>
              <w:t>Formulario de inscripción y declaraciones de un régimen especial.</w:t>
            </w:r>
          </w:p>
        </w:tc>
      </w:tr>
      <w:tr w:rsidR="00990B14" w14:paraId="0BA75557" w14:textId="77777777">
        <w:trPr>
          <w:cantSplit/>
          <w:jc w:val="center"/>
        </w:trPr>
        <w:tc>
          <w:tcPr>
            <w:tcW w:w="3133" w:type="dxa"/>
            <w:gridSpan w:val="4"/>
            <w:vMerge/>
            <w:shd w:val="clear" w:color="auto" w:fill="D9E2F3"/>
            <w:vAlign w:val="center"/>
          </w:tcPr>
          <w:p w14:paraId="09891FC4" w14:textId="77777777" w:rsidR="00990B14" w:rsidRDefault="00990B14">
            <w:pPr>
              <w:spacing w:before="20" w:after="20"/>
            </w:pPr>
          </w:p>
        </w:tc>
        <w:tc>
          <w:tcPr>
            <w:tcW w:w="3135" w:type="dxa"/>
            <w:gridSpan w:val="5"/>
            <w:shd w:val="clear" w:color="auto" w:fill="D9E2F3"/>
            <w:vAlign w:val="center"/>
          </w:tcPr>
          <w:p w14:paraId="6C945EBE" w14:textId="77777777" w:rsidR="00990B14" w:rsidRDefault="00000000">
            <w:pPr>
              <w:spacing w:before="20" w:after="20"/>
              <w:jc w:val="both"/>
            </w:pPr>
            <w:r>
              <w:rPr>
                <w:sz w:val="18"/>
                <w:szCs w:val="18"/>
              </w:rPr>
              <w:t>2.2 Demuestra ante el curso la consulta de notificaciones, deudas y certificados de un contribuyente en las plataformas virtuales.</w:t>
            </w:r>
          </w:p>
        </w:tc>
        <w:tc>
          <w:tcPr>
            <w:tcW w:w="3137" w:type="dxa"/>
            <w:gridSpan w:val="4"/>
            <w:shd w:val="clear" w:color="auto" w:fill="D9E2F3"/>
            <w:vAlign w:val="center"/>
          </w:tcPr>
          <w:p w14:paraId="1303963D" w14:textId="77777777" w:rsidR="00990B14" w:rsidRDefault="00000000">
            <w:pPr>
              <w:spacing w:before="20" w:after="20"/>
              <w:jc w:val="both"/>
            </w:pPr>
            <w:r>
              <w:rPr>
                <w:b/>
                <w:bCs/>
                <w:sz w:val="18"/>
                <w:szCs w:val="18"/>
              </w:rPr>
              <w:t xml:space="preserve">Producto 4: </w:t>
            </w:r>
            <w:r>
              <w:rPr>
                <w:sz w:val="18"/>
                <w:szCs w:val="18"/>
              </w:rPr>
              <w:t>Informe de consulta en las plataformas de la Administración Tributaria</w:t>
            </w:r>
          </w:p>
        </w:tc>
      </w:tr>
      <w:tr w:rsidR="00990B14" w14:paraId="60F3794A" w14:textId="77777777">
        <w:trPr>
          <w:cantSplit/>
          <w:jc w:val="center"/>
        </w:trPr>
        <w:tc>
          <w:tcPr>
            <w:tcW w:w="9405" w:type="dxa"/>
            <w:gridSpan w:val="13"/>
            <w:shd w:val="clear" w:color="auto" w:fill="4472C4"/>
            <w:vAlign w:val="center"/>
          </w:tcPr>
          <w:p w14:paraId="2D81A068" w14:textId="77777777" w:rsidR="00990B14" w:rsidRDefault="00000000">
            <w:pPr>
              <w:keepNext/>
              <w:spacing w:before="20" w:after="20"/>
              <w:jc w:val="center"/>
            </w:pPr>
            <w:r>
              <w:rPr>
                <w:b/>
                <w:bCs/>
                <w:i/>
                <w:iCs/>
                <w:color w:val="FFFFFF"/>
                <w:sz w:val="18"/>
                <w:szCs w:val="18"/>
              </w:rPr>
              <w:t>Evidencias de conocimiento</w:t>
            </w:r>
          </w:p>
        </w:tc>
      </w:tr>
      <w:tr w:rsidR="00990B14" w14:paraId="209F36FB" w14:textId="77777777">
        <w:trPr>
          <w:cantSplit/>
          <w:jc w:val="center"/>
        </w:trPr>
        <w:tc>
          <w:tcPr>
            <w:tcW w:w="2349" w:type="dxa"/>
            <w:gridSpan w:val="2"/>
            <w:shd w:val="clear" w:color="auto" w:fill="4472C4"/>
            <w:vAlign w:val="center"/>
          </w:tcPr>
          <w:p w14:paraId="7780FEF8"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2AC2704C" w14:textId="77777777" w:rsidR="00990B14" w:rsidRDefault="00000000">
            <w:pPr>
              <w:keepNext/>
              <w:spacing w:before="20" w:after="20"/>
              <w:jc w:val="both"/>
            </w:pPr>
            <w:r>
              <w:rPr>
                <w:b/>
                <w:bCs/>
                <w:i/>
                <w:iCs/>
                <w:color w:val="FFFFFF"/>
                <w:sz w:val="18"/>
                <w:szCs w:val="18"/>
              </w:rPr>
              <w:t>Contenidos</w:t>
            </w:r>
          </w:p>
          <w:p w14:paraId="005AE55C"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3A1DB46B" w14:textId="77777777" w:rsidR="00990B14" w:rsidRDefault="00000000">
            <w:pPr>
              <w:keepNext/>
              <w:spacing w:before="20" w:after="20"/>
              <w:jc w:val="center"/>
            </w:pPr>
            <w:r>
              <w:rPr>
                <w:b/>
                <w:bCs/>
                <w:i/>
                <w:iCs/>
                <w:color w:val="FFFFFF"/>
                <w:sz w:val="18"/>
                <w:szCs w:val="18"/>
              </w:rPr>
              <w:t>Conocimientos circunstanciales</w:t>
            </w:r>
          </w:p>
        </w:tc>
      </w:tr>
      <w:tr w:rsidR="00990B14" w14:paraId="6BFA5EB3" w14:textId="77777777">
        <w:trPr>
          <w:jc w:val="center"/>
        </w:trPr>
        <w:tc>
          <w:tcPr>
            <w:tcW w:w="2349" w:type="dxa"/>
            <w:gridSpan w:val="2"/>
            <w:shd w:val="clear" w:color="auto" w:fill="D9E2F3"/>
          </w:tcPr>
          <w:p w14:paraId="170CEF56" w14:textId="77777777" w:rsidR="00990B14" w:rsidRDefault="00000000">
            <w:pPr>
              <w:spacing w:before="20" w:after="40"/>
              <w:jc w:val="both"/>
            </w:pPr>
            <w:r>
              <w:rPr>
                <w:sz w:val="18"/>
                <w:szCs w:val="18"/>
              </w:rPr>
              <w:t>Tema 1: Generalidades de los tributos en Bolivia</w:t>
            </w:r>
          </w:p>
          <w:p w14:paraId="664679E7" w14:textId="77777777" w:rsidR="00990B14" w:rsidRDefault="00000000">
            <w:pPr>
              <w:spacing w:before="20" w:after="40"/>
              <w:jc w:val="both"/>
            </w:pPr>
            <w:r>
              <w:rPr>
                <w:sz w:val="18"/>
                <w:szCs w:val="18"/>
              </w:rPr>
              <w:t>Tema 2: Plataformas virtuales (de la Administración Tributaria)</w:t>
            </w:r>
          </w:p>
          <w:p w14:paraId="38BF6D95" w14:textId="77777777" w:rsidR="00990B14" w:rsidRDefault="00000000">
            <w:pPr>
              <w:spacing w:before="20" w:after="40"/>
              <w:jc w:val="both"/>
            </w:pPr>
            <w:r>
              <w:rPr>
                <w:sz w:val="18"/>
                <w:szCs w:val="18"/>
              </w:rPr>
              <w:t>Tema 3: Empadronamiento y regímenes tributarios</w:t>
            </w:r>
          </w:p>
        </w:tc>
        <w:tc>
          <w:tcPr>
            <w:tcW w:w="4304" w:type="dxa"/>
            <w:gridSpan w:val="8"/>
            <w:shd w:val="clear" w:color="auto" w:fill="D9E2F3"/>
          </w:tcPr>
          <w:p w14:paraId="22DBBEBA" w14:textId="77777777" w:rsidR="00990B14" w:rsidRDefault="00000000">
            <w:pPr>
              <w:spacing w:after="40"/>
              <w:jc w:val="both"/>
            </w:pPr>
            <w:r>
              <w:rPr>
                <w:sz w:val="18"/>
                <w:szCs w:val="18"/>
              </w:rPr>
              <w:t>Antecedentes de los tributos en Bolivia, conceptos y clasificación de los tributos. (C)</w:t>
            </w:r>
          </w:p>
          <w:p w14:paraId="6330B7FD" w14:textId="77777777" w:rsidR="00990B14" w:rsidRDefault="00000000">
            <w:pPr>
              <w:spacing w:after="40"/>
              <w:jc w:val="both"/>
            </w:pPr>
            <w:r>
              <w:rPr>
                <w:sz w:val="18"/>
                <w:szCs w:val="18"/>
              </w:rPr>
              <w:t>Código Tributario Boliviano, Ley N.º 2492, sus modificaciones y decretos reglamentarios. (C)</w:t>
            </w:r>
          </w:p>
          <w:p w14:paraId="5F0F5D9E" w14:textId="77777777" w:rsidR="00990B14" w:rsidRDefault="00000000">
            <w:pPr>
              <w:spacing w:after="40"/>
              <w:jc w:val="both"/>
            </w:pPr>
            <w:r>
              <w:rPr>
                <w:sz w:val="18"/>
                <w:szCs w:val="18"/>
              </w:rPr>
              <w:t>Obligación tributaria: sujetos de la relación tributaria y objeto de la obligación tributaria. (C)</w:t>
            </w:r>
          </w:p>
          <w:p w14:paraId="6B876823" w14:textId="77777777" w:rsidR="00990B14" w:rsidRDefault="00000000">
            <w:pPr>
              <w:spacing w:after="40"/>
              <w:jc w:val="both"/>
            </w:pPr>
            <w:r>
              <w:rPr>
                <w:sz w:val="18"/>
                <w:szCs w:val="18"/>
              </w:rPr>
              <w:t>Ilícitos tributarios y procedimientos ante la Administración Tributaria; comparación con otros sistemas tributarios. (C, P)</w:t>
            </w:r>
          </w:p>
          <w:p w14:paraId="44B2FC94" w14:textId="77777777" w:rsidR="00990B14" w:rsidRDefault="00000000">
            <w:pPr>
              <w:spacing w:after="40"/>
              <w:jc w:val="both"/>
            </w:pPr>
            <w:r>
              <w:rPr>
                <w:sz w:val="18"/>
                <w:szCs w:val="18"/>
              </w:rPr>
              <w:t>Responsabilidad ética del contador público en el cumplimiento de las obligaciones tributarias y en la prevención de los ilícitos tributarios. (C, A)</w:t>
            </w:r>
          </w:p>
          <w:p w14:paraId="219088F8" w14:textId="77777777" w:rsidR="00990B14" w:rsidRDefault="00000000">
            <w:pPr>
              <w:spacing w:after="40"/>
              <w:jc w:val="both"/>
            </w:pPr>
            <w:r>
              <w:rPr>
                <w:sz w:val="18"/>
                <w:szCs w:val="18"/>
              </w:rPr>
              <w:t>Prescripción de las facultades de la Administración Tributaria según los artículos 59 y 60 del Código Tributario Boliviano, modificados por la Ley N.º 1733. (C)</w:t>
            </w:r>
          </w:p>
          <w:p w14:paraId="40E34558" w14:textId="77777777" w:rsidR="00990B14" w:rsidRDefault="00000000">
            <w:pPr>
              <w:spacing w:after="40"/>
              <w:jc w:val="both"/>
            </w:pPr>
            <w:r>
              <w:rPr>
                <w:sz w:val="18"/>
                <w:szCs w:val="18"/>
              </w:rPr>
              <w:t>Conceptos y definiciones de la Ley N.º 843. (C)</w:t>
            </w:r>
          </w:p>
          <w:p w14:paraId="69E82419" w14:textId="77777777" w:rsidR="00990B14" w:rsidRDefault="00000000">
            <w:pPr>
              <w:spacing w:after="40"/>
              <w:jc w:val="both"/>
            </w:pPr>
            <w:r>
              <w:rPr>
                <w:sz w:val="18"/>
                <w:szCs w:val="18"/>
              </w:rPr>
              <w:t>Manejo de las plataformas virtuales del Servicio de Impuestos Nacionales y del Registro Único para la Administración Tributaria Municipal: consultas, controles, notificaciones, certificaciones y liquidaciones, con la seguridad de las credenciales de acceso y de la información tributaria. (P, T)</w:t>
            </w:r>
          </w:p>
          <w:p w14:paraId="09BDB8D7" w14:textId="77777777" w:rsidR="00990B14" w:rsidRDefault="00000000">
            <w:pPr>
              <w:spacing w:after="40"/>
              <w:jc w:val="both"/>
            </w:pPr>
            <w:r>
              <w:rPr>
                <w:sz w:val="18"/>
                <w:szCs w:val="18"/>
              </w:rPr>
              <w:t>Empadronamiento: creación, características en el Registro Nacional de Contribuyentes, para la obtención del Número de Identificación Tributaria. (C, T)</w:t>
            </w:r>
          </w:p>
          <w:p w14:paraId="4E68B6D8" w14:textId="77777777" w:rsidR="00990B14" w:rsidRDefault="00000000">
            <w:pPr>
              <w:spacing w:after="40"/>
              <w:jc w:val="both"/>
            </w:pPr>
            <w:r>
              <w:rPr>
                <w:sz w:val="18"/>
                <w:szCs w:val="18"/>
              </w:rPr>
              <w:t>Regímenes especiales: Régimen Tributario Simplificado, Sistema Tributario Integrado y Régimen Agropecuario Unificado, con sus requisitos y condiciones generales. (C)</w:t>
            </w:r>
          </w:p>
          <w:p w14:paraId="223B52CA" w14:textId="77777777" w:rsidR="00990B14" w:rsidRDefault="00000000">
            <w:pPr>
              <w:spacing w:after="40"/>
              <w:jc w:val="both"/>
            </w:pPr>
            <w:r>
              <w:rPr>
                <w:sz w:val="18"/>
                <w:szCs w:val="18"/>
              </w:rPr>
              <w:t>Prácticas de llenado de formularios de los regímenes especiales. (C)</w:t>
            </w:r>
          </w:p>
          <w:p w14:paraId="58E3CC73" w14:textId="77777777" w:rsidR="00990B14" w:rsidRDefault="00000000">
            <w:pPr>
              <w:spacing w:after="40"/>
              <w:jc w:val="both"/>
            </w:pPr>
            <w:r>
              <w:rPr>
                <w:sz w:val="18"/>
                <w:szCs w:val="18"/>
              </w:rPr>
              <w:t>Régimen General: Pricos, Gracos y resto de contribuyentes (sujetos pasivos); impuestos vigentes y cuadro de impuestos; altas y bajas de impuestos según el tipo de contribuyente. (C)</w:t>
            </w:r>
          </w:p>
          <w:p w14:paraId="3627330A" w14:textId="77777777" w:rsidR="00990B14" w:rsidRDefault="00000000">
            <w:pPr>
              <w:spacing w:after="40"/>
              <w:jc w:val="both"/>
            </w:pPr>
            <w:r>
              <w:rPr>
                <w:sz w:val="18"/>
                <w:szCs w:val="18"/>
              </w:rPr>
              <w:t>Calendario de vencimientos tributarios y control de los riesgos de incumplimiento de los deberes formales del contribuyente. (C)</w:t>
            </w:r>
          </w:p>
          <w:p w14:paraId="18DDE99E" w14:textId="77777777" w:rsidR="00990B14" w:rsidRDefault="00000000">
            <w:pPr>
              <w:spacing w:after="40"/>
              <w:jc w:val="both"/>
            </w:pPr>
            <w:r>
              <w:rPr>
                <w:sz w:val="18"/>
                <w:szCs w:val="18"/>
              </w:rPr>
              <w:t>Impuestos por pagar, impuestos por recuperar y gasto por impuestos en la información financiera de la entidad. (C)</w:t>
            </w:r>
          </w:p>
        </w:tc>
        <w:tc>
          <w:tcPr>
            <w:tcW w:w="2752" w:type="dxa"/>
            <w:gridSpan w:val="3"/>
            <w:shd w:val="clear" w:color="auto" w:fill="D9E2F3"/>
          </w:tcPr>
          <w:p w14:paraId="145803DB" w14:textId="77777777" w:rsidR="00990B14" w:rsidRDefault="00000000">
            <w:pPr>
              <w:numPr>
                <w:ilvl w:val="0"/>
                <w:numId w:val="139"/>
              </w:numPr>
              <w:spacing w:before="10" w:after="10"/>
              <w:jc w:val="both"/>
            </w:pPr>
            <w:r>
              <w:rPr>
                <w:sz w:val="18"/>
                <w:szCs w:val="18"/>
              </w:rPr>
              <w:t>Nociones de la georreferenciación del domicilio fiscal y de sus requisitos documentales.</w:t>
            </w:r>
          </w:p>
          <w:p w14:paraId="0F98978B" w14:textId="77777777" w:rsidR="00990B14" w:rsidRDefault="00000000">
            <w:pPr>
              <w:numPr>
                <w:ilvl w:val="0"/>
                <w:numId w:val="139"/>
              </w:numPr>
              <w:spacing w:before="10" w:after="10"/>
              <w:jc w:val="both"/>
            </w:pPr>
            <w:r>
              <w:rPr>
                <w:sz w:val="18"/>
                <w:szCs w:val="18"/>
              </w:rPr>
              <w:t>Nociones de la organización del archivo de la documentación tributaria de la entidad.</w:t>
            </w:r>
          </w:p>
        </w:tc>
      </w:tr>
      <w:tr w:rsidR="00990B14" w14:paraId="1F9783B0" w14:textId="77777777">
        <w:trPr>
          <w:cantSplit/>
          <w:jc w:val="center"/>
        </w:trPr>
        <w:tc>
          <w:tcPr>
            <w:tcW w:w="9405" w:type="dxa"/>
            <w:gridSpan w:val="13"/>
            <w:shd w:val="clear" w:color="auto" w:fill="D9E2F3"/>
            <w:vAlign w:val="center"/>
          </w:tcPr>
          <w:p w14:paraId="7F0FE37F" w14:textId="77777777" w:rsidR="00990B14" w:rsidRDefault="00000000">
            <w:pPr>
              <w:spacing w:before="20" w:after="20"/>
              <w:jc w:val="both"/>
            </w:pPr>
            <w:r>
              <w:rPr>
                <w:b/>
                <w:bCs/>
                <w:i/>
                <w:iCs/>
                <w:sz w:val="18"/>
                <w:szCs w:val="18"/>
              </w:rPr>
              <w:t xml:space="preserve">Elemento de competencia 2: </w:t>
            </w:r>
            <w:r>
              <w:rPr>
                <w:sz w:val="18"/>
                <w:szCs w:val="18"/>
              </w:rPr>
              <w:t>Liquida los impuestos de dominio nacional (Impuesto al Valor Agregado, Impuesto a las Transacciones, Régimen Complementario del Impuesto al Valor Agregado, Impuesto sobre las Utilidades de las Empresas, retenciones y demás impuestos) de un periodo, conforme a la Ley N.º 843 y a la normativa tributaria vigente.</w:t>
            </w:r>
          </w:p>
        </w:tc>
      </w:tr>
      <w:tr w:rsidR="00990B14" w14:paraId="215C6155" w14:textId="77777777">
        <w:trPr>
          <w:cantSplit/>
          <w:jc w:val="center"/>
        </w:trPr>
        <w:tc>
          <w:tcPr>
            <w:tcW w:w="3133" w:type="dxa"/>
            <w:gridSpan w:val="4"/>
            <w:shd w:val="clear" w:color="auto" w:fill="4472C4"/>
            <w:vAlign w:val="center"/>
          </w:tcPr>
          <w:p w14:paraId="12A3B6DB"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2DAAA0B7"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05E445F4" w14:textId="77777777" w:rsidR="00990B14" w:rsidRDefault="00000000">
            <w:pPr>
              <w:keepNext/>
              <w:spacing w:before="20" w:after="20"/>
              <w:jc w:val="center"/>
            </w:pPr>
            <w:r>
              <w:rPr>
                <w:b/>
                <w:bCs/>
                <w:i/>
                <w:iCs/>
                <w:color w:val="FFFFFF"/>
                <w:sz w:val="18"/>
                <w:szCs w:val="18"/>
              </w:rPr>
              <w:t>Evidencias de producto</w:t>
            </w:r>
          </w:p>
        </w:tc>
      </w:tr>
      <w:tr w:rsidR="00990B14" w14:paraId="3E1DFF57" w14:textId="77777777">
        <w:trPr>
          <w:cantSplit/>
          <w:jc w:val="center"/>
        </w:trPr>
        <w:tc>
          <w:tcPr>
            <w:tcW w:w="3133" w:type="dxa"/>
            <w:gridSpan w:val="4"/>
            <w:vMerge w:val="restart"/>
            <w:shd w:val="clear" w:color="auto" w:fill="D9E2F3"/>
            <w:vAlign w:val="center"/>
          </w:tcPr>
          <w:p w14:paraId="700EBC7D" w14:textId="77777777" w:rsidR="00990B14" w:rsidRDefault="00000000">
            <w:pPr>
              <w:spacing w:before="20" w:after="20"/>
              <w:jc w:val="both"/>
            </w:pPr>
            <w:r>
              <w:rPr>
                <w:sz w:val="18"/>
                <w:szCs w:val="18"/>
              </w:rPr>
              <w:t>1. Liquida el Impuesto al Valor Agregado, el Impuesto a las Transacciones y los demás impuestos de dominio nacional de un periodo, conciliando el crédito fiscal con el Registro de Compras y Ventas y con el libro mayor.</w:t>
            </w:r>
          </w:p>
        </w:tc>
        <w:tc>
          <w:tcPr>
            <w:tcW w:w="3135" w:type="dxa"/>
            <w:gridSpan w:val="5"/>
            <w:shd w:val="clear" w:color="auto" w:fill="D9E2F3"/>
            <w:vAlign w:val="center"/>
          </w:tcPr>
          <w:p w14:paraId="0061F39C" w14:textId="77777777" w:rsidR="00990B14" w:rsidRDefault="00000000">
            <w:pPr>
              <w:spacing w:before="20" w:after="20"/>
              <w:jc w:val="both"/>
            </w:pPr>
            <w:r>
              <w:rPr>
                <w:sz w:val="18"/>
                <w:szCs w:val="18"/>
              </w:rPr>
              <w:t>1.1 Liquida en el laboratorio de cómputo el IVA y el IT de un mes a partir del Registro de Compras y Ventas.</w:t>
            </w:r>
          </w:p>
        </w:tc>
        <w:tc>
          <w:tcPr>
            <w:tcW w:w="3137" w:type="dxa"/>
            <w:gridSpan w:val="4"/>
            <w:shd w:val="clear" w:color="auto" w:fill="D9E2F3"/>
            <w:vAlign w:val="center"/>
          </w:tcPr>
          <w:p w14:paraId="48CB663D" w14:textId="77777777" w:rsidR="00990B14" w:rsidRDefault="00000000">
            <w:pPr>
              <w:spacing w:before="20" w:after="20"/>
              <w:jc w:val="both"/>
            </w:pPr>
            <w:r>
              <w:rPr>
                <w:b/>
                <w:bCs/>
                <w:sz w:val="18"/>
                <w:szCs w:val="18"/>
              </w:rPr>
              <w:t xml:space="preserve">Producto 5: </w:t>
            </w:r>
            <w:r>
              <w:rPr>
                <w:sz w:val="18"/>
                <w:szCs w:val="18"/>
              </w:rPr>
              <w:t>Declaraciones juradas del IVA y del IT de un periodo.</w:t>
            </w:r>
          </w:p>
        </w:tc>
      </w:tr>
      <w:tr w:rsidR="00990B14" w14:paraId="06BE1459" w14:textId="77777777">
        <w:trPr>
          <w:cantSplit/>
          <w:jc w:val="center"/>
        </w:trPr>
        <w:tc>
          <w:tcPr>
            <w:tcW w:w="3133" w:type="dxa"/>
            <w:gridSpan w:val="4"/>
            <w:vMerge/>
            <w:shd w:val="clear" w:color="auto" w:fill="D9E2F3"/>
            <w:vAlign w:val="center"/>
          </w:tcPr>
          <w:p w14:paraId="1FD971EB" w14:textId="77777777" w:rsidR="00990B14" w:rsidRDefault="00990B14">
            <w:pPr>
              <w:spacing w:before="20" w:after="20"/>
            </w:pPr>
          </w:p>
        </w:tc>
        <w:tc>
          <w:tcPr>
            <w:tcW w:w="3135" w:type="dxa"/>
            <w:gridSpan w:val="5"/>
            <w:shd w:val="clear" w:color="auto" w:fill="D9E2F3"/>
            <w:vAlign w:val="center"/>
          </w:tcPr>
          <w:p w14:paraId="73F3F885" w14:textId="77777777" w:rsidR="00990B14" w:rsidRDefault="00000000">
            <w:pPr>
              <w:spacing w:before="20" w:after="20"/>
              <w:jc w:val="both"/>
            </w:pPr>
            <w:r>
              <w:rPr>
                <w:sz w:val="18"/>
                <w:szCs w:val="18"/>
              </w:rPr>
              <w:t>1.2 Resuelve en aula casos de IVA en exportaciones, devoluciones, notas de crédito-débito y proporcionalidad, y del Impuesto a los Consumos Específicos.</w:t>
            </w:r>
          </w:p>
        </w:tc>
        <w:tc>
          <w:tcPr>
            <w:tcW w:w="3137" w:type="dxa"/>
            <w:gridSpan w:val="4"/>
            <w:shd w:val="clear" w:color="auto" w:fill="D9E2F3"/>
            <w:vAlign w:val="center"/>
          </w:tcPr>
          <w:p w14:paraId="7191F056" w14:textId="77777777" w:rsidR="00990B14" w:rsidRDefault="00000000">
            <w:pPr>
              <w:spacing w:before="20" w:after="20"/>
              <w:jc w:val="both"/>
            </w:pPr>
            <w:r>
              <w:rPr>
                <w:b/>
                <w:bCs/>
                <w:sz w:val="18"/>
                <w:szCs w:val="18"/>
              </w:rPr>
              <w:t xml:space="preserve">Producto 6: </w:t>
            </w:r>
            <w:r>
              <w:rPr>
                <w:sz w:val="18"/>
                <w:szCs w:val="18"/>
              </w:rPr>
              <w:t>Cuadro de casos especiales del IVA y del ICE.</w:t>
            </w:r>
          </w:p>
        </w:tc>
      </w:tr>
      <w:tr w:rsidR="00990B14" w14:paraId="456B7566" w14:textId="77777777">
        <w:trPr>
          <w:cantSplit/>
          <w:jc w:val="center"/>
        </w:trPr>
        <w:tc>
          <w:tcPr>
            <w:tcW w:w="3133" w:type="dxa"/>
            <w:gridSpan w:val="4"/>
            <w:vMerge w:val="restart"/>
            <w:shd w:val="clear" w:color="auto" w:fill="D9E2F3"/>
            <w:vAlign w:val="center"/>
          </w:tcPr>
          <w:p w14:paraId="451F4C9C" w14:textId="77777777" w:rsidR="00990B14" w:rsidRDefault="00000000">
            <w:pPr>
              <w:spacing w:before="20" w:after="20"/>
              <w:jc w:val="both"/>
            </w:pPr>
            <w:r>
              <w:rPr>
                <w:sz w:val="18"/>
                <w:szCs w:val="18"/>
              </w:rPr>
              <w:t>2. Determina el Régimen Complementario al IVA, las retenciones y el Impuesto sobre las Utilidades de las Empresas, conciliando el resultado contable con el resultado fiscal.</w:t>
            </w:r>
          </w:p>
        </w:tc>
        <w:tc>
          <w:tcPr>
            <w:tcW w:w="3135" w:type="dxa"/>
            <w:gridSpan w:val="5"/>
            <w:shd w:val="clear" w:color="auto" w:fill="D9E2F3"/>
            <w:vAlign w:val="center"/>
          </w:tcPr>
          <w:p w14:paraId="5CCAD1F0" w14:textId="77777777" w:rsidR="00990B14" w:rsidRDefault="00000000">
            <w:pPr>
              <w:spacing w:before="20" w:after="20"/>
              <w:jc w:val="both"/>
            </w:pPr>
            <w:r>
              <w:rPr>
                <w:sz w:val="18"/>
                <w:szCs w:val="18"/>
              </w:rPr>
              <w:t>2.1 Elabora en equipo la planilla tributaria del RC-IVA y el cuadro de retenciones del IT, el IUE y el RC-IVA de un caso.</w:t>
            </w:r>
          </w:p>
        </w:tc>
        <w:tc>
          <w:tcPr>
            <w:tcW w:w="3137" w:type="dxa"/>
            <w:gridSpan w:val="4"/>
            <w:shd w:val="clear" w:color="auto" w:fill="D9E2F3"/>
            <w:vAlign w:val="center"/>
          </w:tcPr>
          <w:p w14:paraId="6BE4D926" w14:textId="77777777" w:rsidR="00990B14" w:rsidRDefault="00000000">
            <w:pPr>
              <w:spacing w:before="20" w:after="20"/>
              <w:jc w:val="both"/>
            </w:pPr>
            <w:r>
              <w:rPr>
                <w:b/>
                <w:bCs/>
                <w:sz w:val="18"/>
                <w:szCs w:val="18"/>
              </w:rPr>
              <w:t xml:space="preserve">Producto 7: </w:t>
            </w:r>
            <w:r>
              <w:rPr>
                <w:sz w:val="18"/>
                <w:szCs w:val="18"/>
              </w:rPr>
              <w:t>Planilla tributaria del RC-IVA con el cuadro de retenciones.</w:t>
            </w:r>
          </w:p>
        </w:tc>
      </w:tr>
      <w:tr w:rsidR="00990B14" w14:paraId="0C09A19F" w14:textId="77777777">
        <w:trPr>
          <w:cantSplit/>
          <w:jc w:val="center"/>
        </w:trPr>
        <w:tc>
          <w:tcPr>
            <w:tcW w:w="3133" w:type="dxa"/>
            <w:gridSpan w:val="4"/>
            <w:vMerge/>
            <w:shd w:val="clear" w:color="auto" w:fill="D9E2F3"/>
            <w:vAlign w:val="center"/>
          </w:tcPr>
          <w:p w14:paraId="4683A7CA" w14:textId="77777777" w:rsidR="00990B14" w:rsidRDefault="00990B14">
            <w:pPr>
              <w:spacing w:before="20" w:after="20"/>
            </w:pPr>
          </w:p>
        </w:tc>
        <w:tc>
          <w:tcPr>
            <w:tcW w:w="3135" w:type="dxa"/>
            <w:gridSpan w:val="5"/>
            <w:shd w:val="clear" w:color="auto" w:fill="D9E2F3"/>
            <w:vAlign w:val="center"/>
          </w:tcPr>
          <w:p w14:paraId="43C8D323" w14:textId="77777777" w:rsidR="00990B14" w:rsidRDefault="00000000">
            <w:pPr>
              <w:spacing w:before="20" w:after="20"/>
              <w:jc w:val="both"/>
            </w:pPr>
            <w:r>
              <w:rPr>
                <w:sz w:val="18"/>
                <w:szCs w:val="18"/>
              </w:rPr>
              <w:t>2.2 Determina en el laboratorio de cómputo el resultado fiscal y el IUE de una empresa, conciliándolo con su resultado contable.</w:t>
            </w:r>
          </w:p>
        </w:tc>
        <w:tc>
          <w:tcPr>
            <w:tcW w:w="3137" w:type="dxa"/>
            <w:gridSpan w:val="4"/>
            <w:shd w:val="clear" w:color="auto" w:fill="D9E2F3"/>
            <w:vAlign w:val="center"/>
          </w:tcPr>
          <w:p w14:paraId="0A58CEFE" w14:textId="77777777" w:rsidR="00990B14" w:rsidRDefault="00000000">
            <w:pPr>
              <w:spacing w:before="20" w:after="20"/>
              <w:jc w:val="both"/>
            </w:pPr>
            <w:r>
              <w:rPr>
                <w:b/>
                <w:bCs/>
                <w:sz w:val="18"/>
                <w:szCs w:val="18"/>
              </w:rPr>
              <w:t xml:space="preserve">Producto 8: </w:t>
            </w:r>
            <w:r>
              <w:rPr>
                <w:sz w:val="18"/>
                <w:szCs w:val="18"/>
              </w:rPr>
              <w:t>Conciliación del resultado contable con el resultado fiscal y liquidación del IUE.</w:t>
            </w:r>
          </w:p>
        </w:tc>
      </w:tr>
      <w:tr w:rsidR="00990B14" w14:paraId="11027326" w14:textId="77777777">
        <w:trPr>
          <w:cantSplit/>
          <w:jc w:val="center"/>
        </w:trPr>
        <w:tc>
          <w:tcPr>
            <w:tcW w:w="9405" w:type="dxa"/>
            <w:gridSpan w:val="13"/>
            <w:shd w:val="clear" w:color="auto" w:fill="4472C4"/>
            <w:vAlign w:val="center"/>
          </w:tcPr>
          <w:p w14:paraId="6889FED7" w14:textId="77777777" w:rsidR="00990B14" w:rsidRDefault="00000000">
            <w:pPr>
              <w:keepNext/>
              <w:spacing w:before="20" w:after="20"/>
              <w:jc w:val="center"/>
            </w:pPr>
            <w:r>
              <w:rPr>
                <w:b/>
                <w:bCs/>
                <w:i/>
                <w:iCs/>
                <w:color w:val="FFFFFF"/>
                <w:sz w:val="18"/>
                <w:szCs w:val="18"/>
              </w:rPr>
              <w:t>Evidencias de conocimiento</w:t>
            </w:r>
          </w:p>
        </w:tc>
      </w:tr>
      <w:tr w:rsidR="00990B14" w14:paraId="3699F715" w14:textId="77777777">
        <w:trPr>
          <w:cantSplit/>
          <w:jc w:val="center"/>
        </w:trPr>
        <w:tc>
          <w:tcPr>
            <w:tcW w:w="2349" w:type="dxa"/>
            <w:gridSpan w:val="2"/>
            <w:shd w:val="clear" w:color="auto" w:fill="4472C4"/>
            <w:vAlign w:val="center"/>
          </w:tcPr>
          <w:p w14:paraId="260821A4"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20FF6A32" w14:textId="77777777" w:rsidR="00990B14" w:rsidRDefault="00000000">
            <w:pPr>
              <w:keepNext/>
              <w:spacing w:before="20" w:after="20"/>
              <w:jc w:val="both"/>
            </w:pPr>
            <w:r>
              <w:rPr>
                <w:b/>
                <w:bCs/>
                <w:i/>
                <w:iCs/>
                <w:color w:val="FFFFFF"/>
                <w:sz w:val="18"/>
                <w:szCs w:val="18"/>
              </w:rPr>
              <w:t>Contenidos</w:t>
            </w:r>
          </w:p>
          <w:p w14:paraId="0199BCEF"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01F1DC38" w14:textId="77777777" w:rsidR="00990B14" w:rsidRDefault="00000000">
            <w:pPr>
              <w:keepNext/>
              <w:spacing w:before="20" w:after="20"/>
              <w:jc w:val="center"/>
            </w:pPr>
            <w:r>
              <w:rPr>
                <w:b/>
                <w:bCs/>
                <w:i/>
                <w:iCs/>
                <w:color w:val="FFFFFF"/>
                <w:sz w:val="18"/>
                <w:szCs w:val="18"/>
              </w:rPr>
              <w:t>Conocimientos circunstanciales</w:t>
            </w:r>
          </w:p>
        </w:tc>
      </w:tr>
      <w:tr w:rsidR="00990B14" w14:paraId="7D65C617" w14:textId="77777777">
        <w:trPr>
          <w:jc w:val="center"/>
        </w:trPr>
        <w:tc>
          <w:tcPr>
            <w:tcW w:w="2349" w:type="dxa"/>
            <w:gridSpan w:val="2"/>
            <w:shd w:val="clear" w:color="auto" w:fill="D9E2F3"/>
          </w:tcPr>
          <w:p w14:paraId="4BA8C272" w14:textId="77777777" w:rsidR="00990B14" w:rsidRDefault="00000000">
            <w:pPr>
              <w:spacing w:before="20" w:after="40"/>
              <w:jc w:val="both"/>
            </w:pPr>
            <w:r>
              <w:rPr>
                <w:sz w:val="18"/>
                <w:szCs w:val="18"/>
              </w:rPr>
              <w:t>Tema 4: Impuesto al Valor Agregado.</w:t>
            </w:r>
          </w:p>
          <w:p w14:paraId="24386A87" w14:textId="77777777" w:rsidR="00990B14" w:rsidRDefault="00000000">
            <w:pPr>
              <w:spacing w:before="20" w:after="40"/>
              <w:jc w:val="both"/>
            </w:pPr>
            <w:r>
              <w:rPr>
                <w:sz w:val="18"/>
                <w:szCs w:val="18"/>
              </w:rPr>
              <w:t>Tema 5: Impuesto a las Transacciones</w:t>
            </w:r>
          </w:p>
          <w:p w14:paraId="235B9217" w14:textId="77777777" w:rsidR="00990B14" w:rsidRDefault="00000000">
            <w:pPr>
              <w:spacing w:before="20" w:after="40"/>
              <w:jc w:val="both"/>
            </w:pPr>
            <w:r>
              <w:rPr>
                <w:sz w:val="18"/>
                <w:szCs w:val="18"/>
              </w:rPr>
              <w:t>Tema 6: Régimen Complementario al Impuesto al Valor Agregado</w:t>
            </w:r>
          </w:p>
          <w:p w14:paraId="0B00360E" w14:textId="77777777" w:rsidR="00990B14" w:rsidRDefault="00000000">
            <w:pPr>
              <w:spacing w:before="20" w:after="40"/>
              <w:jc w:val="both"/>
            </w:pPr>
            <w:r>
              <w:rPr>
                <w:sz w:val="18"/>
                <w:szCs w:val="18"/>
              </w:rPr>
              <w:t>Tema 7: Impuesto sobre las Utilidades de las Empresas.</w:t>
            </w:r>
          </w:p>
          <w:p w14:paraId="22266552" w14:textId="77777777" w:rsidR="00990B14" w:rsidRDefault="00000000">
            <w:pPr>
              <w:spacing w:before="20" w:after="40"/>
              <w:jc w:val="both"/>
            </w:pPr>
            <w:r>
              <w:rPr>
                <w:sz w:val="18"/>
                <w:szCs w:val="18"/>
              </w:rPr>
              <w:t>Tema 8: Retenciones</w:t>
            </w:r>
          </w:p>
          <w:p w14:paraId="3609B10A" w14:textId="77777777" w:rsidR="00990B14" w:rsidRDefault="00000000">
            <w:pPr>
              <w:spacing w:before="20" w:after="40"/>
              <w:jc w:val="both"/>
            </w:pPr>
            <w:r>
              <w:rPr>
                <w:sz w:val="18"/>
                <w:szCs w:val="18"/>
              </w:rPr>
              <w:t>Tema 9: Otros impuestos</w:t>
            </w:r>
          </w:p>
        </w:tc>
        <w:tc>
          <w:tcPr>
            <w:tcW w:w="4304" w:type="dxa"/>
            <w:gridSpan w:val="8"/>
            <w:shd w:val="clear" w:color="auto" w:fill="D9E2F3"/>
          </w:tcPr>
          <w:p w14:paraId="2CD99397" w14:textId="77777777" w:rsidR="00990B14" w:rsidRDefault="00000000">
            <w:pPr>
              <w:spacing w:after="40"/>
              <w:jc w:val="both"/>
            </w:pPr>
            <w:r>
              <w:rPr>
                <w:sz w:val="18"/>
                <w:szCs w:val="18"/>
              </w:rPr>
              <w:t>Impuesto al Valor Agregado: aspectos doctrinales, Ley N.º 843, sus modificaciones, decretos reglamentarios, resoluciones normativas de directorio y demás disposiciones vigentes; efecto de recuperación y regresividad del IVA; objeto, sujetos pasivos, perfeccionamiento del hecho generador, conceptos excluidos y exenciones. (C)</w:t>
            </w:r>
          </w:p>
          <w:p w14:paraId="31FFE238" w14:textId="77777777" w:rsidR="00990B14" w:rsidRDefault="00000000">
            <w:pPr>
              <w:spacing w:after="40"/>
              <w:jc w:val="both"/>
            </w:pPr>
            <w:r>
              <w:rPr>
                <w:sz w:val="18"/>
                <w:szCs w:val="18"/>
              </w:rPr>
              <w:t>Determinación del IVA en las importaciones y en las obligaciones del sector público. (C)</w:t>
            </w:r>
          </w:p>
          <w:p w14:paraId="40965A6E" w14:textId="77777777" w:rsidR="00990B14" w:rsidRDefault="00000000">
            <w:pPr>
              <w:spacing w:after="40"/>
              <w:jc w:val="both"/>
            </w:pPr>
            <w:r>
              <w:rPr>
                <w:sz w:val="18"/>
                <w:szCs w:val="18"/>
              </w:rPr>
              <w:t>Base imponible del IVA según el artículo 5 de la Ley N.º 843. (C)</w:t>
            </w:r>
          </w:p>
          <w:p w14:paraId="631810DD" w14:textId="77777777" w:rsidR="00990B14" w:rsidRDefault="00000000">
            <w:pPr>
              <w:spacing w:after="40"/>
              <w:jc w:val="both"/>
            </w:pPr>
            <w:r>
              <w:rPr>
                <w:sz w:val="18"/>
                <w:szCs w:val="18"/>
              </w:rPr>
              <w:t>Tratamiento contable del IVA, la declaración jurada con el formulario vigente, el débito y el crédito fiscal, su compensación y el saldo a favor del Fisco o del contribuyente; conciliación del crédito fiscal con el registro de compras y ventas y con el libro mayor. (P)</w:t>
            </w:r>
          </w:p>
          <w:p w14:paraId="2D4BE57F" w14:textId="77777777" w:rsidR="00990B14" w:rsidRDefault="00000000">
            <w:pPr>
              <w:spacing w:after="40"/>
              <w:jc w:val="both"/>
            </w:pPr>
            <w:r>
              <w:rPr>
                <w:sz w:val="18"/>
                <w:szCs w:val="18"/>
              </w:rPr>
              <w:t>Registro de compras y ventas en medio digital, sistemas de facturación y facturación electrónica en línea, servicios de realización continua y arrendamiento financiero en el IVA. (P, T)</w:t>
            </w:r>
          </w:p>
          <w:p w14:paraId="53B0129A" w14:textId="77777777" w:rsidR="00990B14" w:rsidRDefault="00000000">
            <w:pPr>
              <w:spacing w:after="40"/>
              <w:jc w:val="both"/>
            </w:pPr>
            <w:r>
              <w:rPr>
                <w:sz w:val="18"/>
                <w:szCs w:val="18"/>
              </w:rPr>
              <w:t>IVA en los servicios de construcción y los anticipos, y en las operaciones de comisionistas y consignatarios. (C)</w:t>
            </w:r>
          </w:p>
          <w:p w14:paraId="24C67324" w14:textId="77777777" w:rsidR="00990B14" w:rsidRDefault="00000000">
            <w:pPr>
              <w:spacing w:after="40"/>
              <w:jc w:val="both"/>
            </w:pPr>
            <w:r>
              <w:rPr>
                <w:sz w:val="18"/>
                <w:szCs w:val="18"/>
              </w:rPr>
              <w:t>Tratamiento de las exportaciones y la devolución impositiva con el formulario vigente, la exportación de servicios turísticos y el Régimen de Tasa Cero. (C)</w:t>
            </w:r>
          </w:p>
          <w:p w14:paraId="6C3BF3B5" w14:textId="77777777" w:rsidR="00990B14" w:rsidRDefault="00000000">
            <w:pPr>
              <w:spacing w:after="40"/>
              <w:jc w:val="both"/>
            </w:pPr>
            <w:r>
              <w:rPr>
                <w:sz w:val="18"/>
                <w:szCs w:val="18"/>
              </w:rPr>
              <w:t>Proporcionalidad en el IVA; devoluciones, rescisiones y descuentos; notas de crédito-débito y notas de conciliación. (P)</w:t>
            </w:r>
          </w:p>
          <w:p w14:paraId="53015978" w14:textId="77777777" w:rsidR="00990B14" w:rsidRDefault="00000000">
            <w:pPr>
              <w:spacing w:after="40"/>
              <w:jc w:val="both"/>
            </w:pPr>
            <w:r>
              <w:rPr>
                <w:sz w:val="18"/>
                <w:szCs w:val="18"/>
              </w:rPr>
              <w:t>Reintegro del IVA en donaciones y entregas a título gratuito; tratamiento en la reorganización de empresas y los aportes de capital. (C)</w:t>
            </w:r>
          </w:p>
          <w:p w14:paraId="75D22E07" w14:textId="77777777" w:rsidR="00990B14" w:rsidRDefault="00000000">
            <w:pPr>
              <w:spacing w:after="40"/>
              <w:jc w:val="both"/>
            </w:pPr>
            <w:r>
              <w:rPr>
                <w:sz w:val="18"/>
                <w:szCs w:val="18"/>
              </w:rPr>
              <w:t>Tratamiento del IVA en zonas francas, en la venta de pasajes aéreos, en la venta de combustibles y en el sector financiero; ejercicios prácticos con el formulario vigente. (P)</w:t>
            </w:r>
          </w:p>
          <w:p w14:paraId="1B3CAFCA" w14:textId="77777777" w:rsidR="00990B14" w:rsidRDefault="00000000">
            <w:pPr>
              <w:spacing w:after="40"/>
              <w:jc w:val="both"/>
            </w:pPr>
            <w:r>
              <w:rPr>
                <w:sz w:val="18"/>
                <w:szCs w:val="18"/>
              </w:rPr>
              <w:t>Deuda Tributaria, características, tributo omitido, mantenimiento de valor, intereses, sanciones e incumplimiento a deberes formales. (C, P)</w:t>
            </w:r>
          </w:p>
          <w:p w14:paraId="0230ABEF" w14:textId="77777777" w:rsidR="00990B14" w:rsidRDefault="00000000">
            <w:pPr>
              <w:spacing w:after="40"/>
              <w:jc w:val="both"/>
            </w:pPr>
            <w:r>
              <w:rPr>
                <w:sz w:val="18"/>
                <w:szCs w:val="18"/>
              </w:rPr>
              <w:t>Impuesto a las Transacciones: aspectos doctrinales, Ley N.º 843, sus modificaciones y decretos reglamentarios; objeto, sujetos pasivos, hecho generador, exclusiones, exenciones, alícuota, base imponible y formulario vigente. (C)</w:t>
            </w:r>
          </w:p>
          <w:p w14:paraId="2040913F" w14:textId="77777777" w:rsidR="00990B14" w:rsidRDefault="00000000">
            <w:pPr>
              <w:spacing w:after="40"/>
              <w:jc w:val="both"/>
            </w:pPr>
            <w:r>
              <w:rPr>
                <w:sz w:val="18"/>
                <w:szCs w:val="18"/>
              </w:rPr>
              <w:t>Actos a título gratuito y oneroso; el IT y el Impuesto Municipal a las Transferencias en la transferencia de inmuebles y vehículos automotores; permutas, rescisiones y desistimientos; el IT en la transferencia de bienes sujetos a registro; aplicaciones y ejercicios. (P)</w:t>
            </w:r>
          </w:p>
          <w:p w14:paraId="6810D1D0" w14:textId="77777777" w:rsidR="00990B14" w:rsidRDefault="00000000">
            <w:pPr>
              <w:spacing w:after="40"/>
              <w:jc w:val="both"/>
            </w:pPr>
            <w:r>
              <w:rPr>
                <w:sz w:val="18"/>
                <w:szCs w:val="18"/>
              </w:rPr>
              <w:t>Régimen Complementario al Impuesto al Valor Agregado: aspectos doctrinales, Ley N.º 843, sus modificaciones y decretos reglamentarios; principio de fuente, objeto y sujetos pasivos: contribuyente directo y contribuyente indirecto o personal dependiente. (C)</w:t>
            </w:r>
          </w:p>
          <w:p w14:paraId="684E04AF" w14:textId="77777777" w:rsidR="00990B14" w:rsidRDefault="00000000">
            <w:pPr>
              <w:spacing w:after="40"/>
              <w:jc w:val="both"/>
            </w:pPr>
            <w:r>
              <w:rPr>
                <w:sz w:val="18"/>
                <w:szCs w:val="18"/>
              </w:rPr>
              <w:t>Elaboración de la planilla de sueldos y salarios, planilla tributaria del RC-IVA y planilla de aportes patronales y beneficios sociales de los agentes de información, el tratamiento de los viáticos, los ingresos no comprendidos en el objeto del impuesto y los contratos anticréticos; formularios vigentes, aplicaciones y ejercicios. (P, A)</w:t>
            </w:r>
          </w:p>
          <w:p w14:paraId="14168B8A" w14:textId="77777777" w:rsidR="00990B14" w:rsidRDefault="00000000">
            <w:pPr>
              <w:spacing w:after="40"/>
              <w:jc w:val="both"/>
            </w:pPr>
            <w:r>
              <w:rPr>
                <w:sz w:val="18"/>
                <w:szCs w:val="18"/>
              </w:rPr>
              <w:t>Retenciones del Impuesto a las Transacciones, del Impuesto sobre las Utilidades de las Empresas y del Régimen Complementario al IVA: aspectos doctrinales, Ley N.º 843, sus modificaciones y decretos reglamentarios; formularios vigentes, aplicaciones y ejercicios. (P)</w:t>
            </w:r>
          </w:p>
          <w:p w14:paraId="3FF3D811" w14:textId="77777777" w:rsidR="00990B14" w:rsidRDefault="00000000">
            <w:pPr>
              <w:spacing w:after="40"/>
              <w:jc w:val="both"/>
            </w:pPr>
            <w:r>
              <w:rPr>
                <w:sz w:val="18"/>
                <w:szCs w:val="18"/>
              </w:rPr>
              <w:t>Control de las retenciones practicadas: respaldo documental, plazo de pago y conciliación con los registros contables. (P)</w:t>
            </w:r>
          </w:p>
          <w:p w14:paraId="08B4E117" w14:textId="77777777" w:rsidR="00990B14" w:rsidRDefault="00000000">
            <w:pPr>
              <w:spacing w:after="40"/>
              <w:jc w:val="both"/>
            </w:pPr>
            <w:r>
              <w:rPr>
                <w:sz w:val="18"/>
                <w:szCs w:val="18"/>
              </w:rPr>
              <w:t>Impuesto sobre las Utilidades de las Empresas: aspectos doctrinales, Ley N.º 843, sus modificaciones y decretos reglamentarios; principio de fuente y de renta mundial, objeto, sujetos pasivos, hecho generador, exclusiones, exenciones, alícuota, base imponible y formulario vigente. (C)</w:t>
            </w:r>
          </w:p>
          <w:p w14:paraId="1E2BEBD3" w14:textId="77777777" w:rsidR="00990B14" w:rsidRDefault="00000000">
            <w:pPr>
              <w:spacing w:after="40"/>
              <w:jc w:val="both"/>
            </w:pPr>
            <w:r>
              <w:rPr>
                <w:sz w:val="18"/>
                <w:szCs w:val="18"/>
              </w:rPr>
              <w:t>Sujetos obligados a llevar registros contables y sujetos no obligados a presentar registros contables de los estados financieros como base imponible del impuesto, su base de preparación para propósito general y para la determinación del IUE. (P)</w:t>
            </w:r>
          </w:p>
          <w:p w14:paraId="1602C789" w14:textId="77777777" w:rsidR="00990B14" w:rsidRDefault="00000000">
            <w:pPr>
              <w:spacing w:after="40"/>
              <w:jc w:val="both"/>
            </w:pPr>
            <w:r>
              <w:rPr>
                <w:sz w:val="18"/>
                <w:szCs w:val="18"/>
              </w:rPr>
              <w:t>Reconocimiento de las normas técnicas de contabilidad por la normativa tributaria y presentación de la información financiera a la Administración Tributaria con los aplicativos informáticos. (C, P, T)</w:t>
            </w:r>
          </w:p>
          <w:p w14:paraId="03AD89FF" w14:textId="77777777" w:rsidR="00990B14" w:rsidRDefault="00000000">
            <w:pPr>
              <w:spacing w:after="40"/>
              <w:jc w:val="both"/>
            </w:pPr>
            <w:r>
              <w:rPr>
                <w:sz w:val="18"/>
                <w:szCs w:val="18"/>
              </w:rPr>
              <w:t>Determinación del resultado fiscal: gastos deducibles y no deducibles, ingresos gravados y no gravados, exenciones, memoria anual y entidades exentas del impuesto; formularios vigentes, aplicaciones y ejercicios. (P)</w:t>
            </w:r>
          </w:p>
          <w:p w14:paraId="3393AA18" w14:textId="77777777" w:rsidR="00990B14" w:rsidRDefault="00000000">
            <w:pPr>
              <w:spacing w:after="40"/>
              <w:jc w:val="both"/>
            </w:pPr>
            <w:r>
              <w:rPr>
                <w:sz w:val="18"/>
                <w:szCs w:val="18"/>
              </w:rPr>
              <w:t>Conciliación del resultado contable con el resultado fiscal en hoja de cálculo, y reconocimiento del impuesto a las ganancias corriente según la NIC 12. (P, T)</w:t>
            </w:r>
          </w:p>
          <w:p w14:paraId="42F125DF" w14:textId="77777777" w:rsidR="00990B14" w:rsidRDefault="00000000">
            <w:pPr>
              <w:spacing w:after="40"/>
              <w:jc w:val="both"/>
            </w:pPr>
            <w:r>
              <w:rPr>
                <w:sz w:val="18"/>
                <w:szCs w:val="18"/>
              </w:rPr>
              <w:t>Depreciación de los activos fijos con los porcentajes del anexo del artículo 22 del Decreto Supremo N.º 24051 y su diferencia con la depreciación según la NIC 16. (C)</w:t>
            </w:r>
          </w:p>
          <w:p w14:paraId="3846BCF8" w14:textId="77777777" w:rsidR="00990B14" w:rsidRDefault="00000000">
            <w:pPr>
              <w:spacing w:after="40"/>
              <w:jc w:val="both"/>
            </w:pPr>
            <w:r>
              <w:rPr>
                <w:sz w:val="18"/>
                <w:szCs w:val="18"/>
              </w:rPr>
              <w:t>Compensación de pérdidas, el IUE en el transporte interdepartamental y los pagos a sujetos pasivos de regímenes especiales; formularios vigentes, aplicaciones y ejercicios. (P)</w:t>
            </w:r>
          </w:p>
          <w:p w14:paraId="0CCC5196" w14:textId="77777777" w:rsidR="00990B14" w:rsidRDefault="00000000">
            <w:pPr>
              <w:spacing w:after="40"/>
              <w:jc w:val="both"/>
            </w:pPr>
            <w:r>
              <w:rPr>
                <w:sz w:val="18"/>
                <w:szCs w:val="18"/>
              </w:rPr>
              <w:t>Retenciones a beneficiarios del exterior, actividades parcialmente realizadas en el país y compensación del IUE con el Impuesto a las Transacciones; formularios vigentes, aplicaciones y ejercicios. (P)</w:t>
            </w:r>
          </w:p>
          <w:p w14:paraId="156292A7" w14:textId="77777777" w:rsidR="00990B14" w:rsidRDefault="00000000">
            <w:pPr>
              <w:spacing w:after="40"/>
              <w:jc w:val="both"/>
            </w:pPr>
            <w:r>
              <w:rPr>
                <w:sz w:val="18"/>
                <w:szCs w:val="18"/>
              </w:rPr>
              <w:t>Otros impuestos de dominio nacional: objeto, sujeto y liquidación del Impuesto a los Consumos Específicos y formularios vigentes. (C)</w:t>
            </w:r>
          </w:p>
          <w:p w14:paraId="01A0DC20" w14:textId="77777777" w:rsidR="00990B14" w:rsidRDefault="00000000">
            <w:pPr>
              <w:spacing w:after="40"/>
              <w:jc w:val="both"/>
            </w:pPr>
            <w:r>
              <w:rPr>
                <w:sz w:val="18"/>
                <w:szCs w:val="18"/>
              </w:rPr>
              <w:t>Objeto y sujeto del Impuesto Directo a los Hidrocarburos, del Impuesto Especial a los Hidrocarburos y sus Derivados, del Impuesto a las Salidas Aéreas al Exterior y del Impuesto a la Participación en Juego. (C)</w:t>
            </w:r>
          </w:p>
          <w:p w14:paraId="132967BB" w14:textId="77777777" w:rsidR="00990B14" w:rsidRDefault="00000000">
            <w:pPr>
              <w:spacing w:after="40"/>
              <w:jc w:val="both"/>
            </w:pPr>
            <w:r>
              <w:rPr>
                <w:sz w:val="18"/>
                <w:szCs w:val="18"/>
              </w:rPr>
              <w:t>Análisis crítico del efecto de los impuestos de dominio nacional en el consumo, en la inversión y en el cumplimiento tributario. (P)</w:t>
            </w:r>
          </w:p>
        </w:tc>
        <w:tc>
          <w:tcPr>
            <w:tcW w:w="2752" w:type="dxa"/>
            <w:gridSpan w:val="3"/>
            <w:shd w:val="clear" w:color="auto" w:fill="D9E2F3"/>
          </w:tcPr>
          <w:p w14:paraId="367D3BF0" w14:textId="77777777" w:rsidR="00990B14" w:rsidRDefault="00000000">
            <w:pPr>
              <w:numPr>
                <w:ilvl w:val="0"/>
                <w:numId w:val="139"/>
              </w:numPr>
              <w:spacing w:before="10" w:after="10"/>
              <w:jc w:val="both"/>
            </w:pPr>
            <w:r>
              <w:rPr>
                <w:sz w:val="18"/>
                <w:szCs w:val="18"/>
              </w:rPr>
              <w:t>Nociones de la bancarización de las transacciones como respaldo del crédito fiscal.</w:t>
            </w:r>
          </w:p>
          <w:p w14:paraId="7D7144B5" w14:textId="77777777" w:rsidR="00990B14" w:rsidRDefault="00000000">
            <w:pPr>
              <w:numPr>
                <w:ilvl w:val="0"/>
                <w:numId w:val="139"/>
              </w:numPr>
              <w:spacing w:before="10" w:after="10"/>
              <w:jc w:val="both"/>
            </w:pPr>
            <w:r>
              <w:rPr>
                <w:sz w:val="18"/>
                <w:szCs w:val="18"/>
              </w:rPr>
              <w:t>Nociones del archivo y la conservación de facturas y comprobantes por periodo fiscal.</w:t>
            </w:r>
          </w:p>
        </w:tc>
      </w:tr>
      <w:tr w:rsidR="00990B14" w14:paraId="34321348" w14:textId="77777777">
        <w:trPr>
          <w:cantSplit/>
          <w:jc w:val="center"/>
        </w:trPr>
        <w:tc>
          <w:tcPr>
            <w:tcW w:w="9405" w:type="dxa"/>
            <w:gridSpan w:val="13"/>
            <w:shd w:val="clear" w:color="auto" w:fill="D9E2F3"/>
            <w:vAlign w:val="center"/>
          </w:tcPr>
          <w:p w14:paraId="446D67C0" w14:textId="77777777" w:rsidR="00990B14" w:rsidRDefault="00000000">
            <w:pPr>
              <w:spacing w:before="20" w:after="20"/>
              <w:jc w:val="both"/>
            </w:pPr>
            <w:r>
              <w:rPr>
                <w:b/>
                <w:bCs/>
                <w:i/>
                <w:iCs/>
                <w:sz w:val="18"/>
                <w:szCs w:val="18"/>
              </w:rPr>
              <w:t xml:space="preserve">Elemento de competencia 3: </w:t>
            </w:r>
            <w:r>
              <w:rPr>
                <w:sz w:val="18"/>
                <w:szCs w:val="18"/>
              </w:rPr>
              <w:t>Liquida el Impuesto a la Transmisión Gratuita de Bienes (ITGB) en sucesiones hereditarias y donaciones, determinando su objeto y su sujeto conforme a la normativa departamental y verificando su respaldo documental.</w:t>
            </w:r>
          </w:p>
        </w:tc>
      </w:tr>
      <w:tr w:rsidR="00990B14" w14:paraId="26B35A26" w14:textId="77777777">
        <w:trPr>
          <w:cantSplit/>
          <w:jc w:val="center"/>
        </w:trPr>
        <w:tc>
          <w:tcPr>
            <w:tcW w:w="3133" w:type="dxa"/>
            <w:gridSpan w:val="4"/>
            <w:shd w:val="clear" w:color="auto" w:fill="4472C4"/>
            <w:vAlign w:val="center"/>
          </w:tcPr>
          <w:p w14:paraId="001A8588"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148153C1"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4076C012" w14:textId="77777777" w:rsidR="00990B14" w:rsidRDefault="00000000">
            <w:pPr>
              <w:keepNext/>
              <w:spacing w:before="20" w:after="20"/>
              <w:jc w:val="center"/>
            </w:pPr>
            <w:r>
              <w:rPr>
                <w:b/>
                <w:bCs/>
                <w:i/>
                <w:iCs/>
                <w:color w:val="FFFFFF"/>
                <w:sz w:val="18"/>
                <w:szCs w:val="18"/>
              </w:rPr>
              <w:t>Evidencias de producto</w:t>
            </w:r>
          </w:p>
        </w:tc>
      </w:tr>
      <w:tr w:rsidR="00990B14" w14:paraId="53D65AFE" w14:textId="77777777">
        <w:trPr>
          <w:cantSplit/>
          <w:jc w:val="center"/>
        </w:trPr>
        <w:tc>
          <w:tcPr>
            <w:tcW w:w="3133" w:type="dxa"/>
            <w:gridSpan w:val="4"/>
            <w:vMerge w:val="restart"/>
            <w:shd w:val="clear" w:color="auto" w:fill="D9E2F3"/>
            <w:vAlign w:val="center"/>
          </w:tcPr>
          <w:p w14:paraId="4996272A" w14:textId="77777777" w:rsidR="00990B14" w:rsidRDefault="00000000">
            <w:pPr>
              <w:spacing w:before="20" w:after="20"/>
              <w:jc w:val="both"/>
            </w:pPr>
            <w:r>
              <w:rPr>
                <w:sz w:val="18"/>
                <w:szCs w:val="18"/>
              </w:rPr>
              <w:t>1. Determina el objeto, el sujeto y la base imponible del Impuesto a la Transmisión Gratuita de Bienes en sucesiones hereditarias y donaciones.</w:t>
            </w:r>
          </w:p>
        </w:tc>
        <w:tc>
          <w:tcPr>
            <w:tcW w:w="3135" w:type="dxa"/>
            <w:gridSpan w:val="5"/>
            <w:shd w:val="clear" w:color="auto" w:fill="D9E2F3"/>
            <w:vAlign w:val="center"/>
          </w:tcPr>
          <w:p w14:paraId="20695B6A" w14:textId="77777777" w:rsidR="00990B14" w:rsidRDefault="00000000">
            <w:pPr>
              <w:spacing w:before="20" w:after="20"/>
              <w:jc w:val="both"/>
            </w:pPr>
            <w:r>
              <w:rPr>
                <w:sz w:val="18"/>
                <w:szCs w:val="18"/>
              </w:rPr>
              <w:t>1.1 Identifica en aula el hecho generador y el sujeto pasivo en casos de sucesión y de donación.</w:t>
            </w:r>
          </w:p>
        </w:tc>
        <w:tc>
          <w:tcPr>
            <w:tcW w:w="3137" w:type="dxa"/>
            <w:gridSpan w:val="4"/>
            <w:shd w:val="clear" w:color="auto" w:fill="D9E2F3"/>
            <w:vAlign w:val="center"/>
          </w:tcPr>
          <w:p w14:paraId="04E4AD3B" w14:textId="77777777" w:rsidR="00990B14" w:rsidRDefault="00000000">
            <w:pPr>
              <w:spacing w:before="20" w:after="20"/>
              <w:jc w:val="both"/>
            </w:pPr>
            <w:r>
              <w:rPr>
                <w:b/>
                <w:bCs/>
                <w:sz w:val="18"/>
                <w:szCs w:val="18"/>
              </w:rPr>
              <w:t xml:space="preserve">Producto 9: </w:t>
            </w:r>
            <w:r>
              <w:rPr>
                <w:sz w:val="18"/>
                <w:szCs w:val="18"/>
              </w:rPr>
              <w:t>Cuadro de hechos generadores y sujetos pasivos del ITGB.</w:t>
            </w:r>
          </w:p>
        </w:tc>
      </w:tr>
      <w:tr w:rsidR="00990B14" w14:paraId="096A8203" w14:textId="77777777">
        <w:trPr>
          <w:cantSplit/>
          <w:jc w:val="center"/>
        </w:trPr>
        <w:tc>
          <w:tcPr>
            <w:tcW w:w="3133" w:type="dxa"/>
            <w:gridSpan w:val="4"/>
            <w:vMerge/>
            <w:shd w:val="clear" w:color="auto" w:fill="D9E2F3"/>
            <w:vAlign w:val="center"/>
          </w:tcPr>
          <w:p w14:paraId="616DA2B4" w14:textId="77777777" w:rsidR="00990B14" w:rsidRDefault="00990B14">
            <w:pPr>
              <w:spacing w:before="20" w:after="20"/>
            </w:pPr>
          </w:p>
        </w:tc>
        <w:tc>
          <w:tcPr>
            <w:tcW w:w="3135" w:type="dxa"/>
            <w:gridSpan w:val="5"/>
            <w:shd w:val="clear" w:color="auto" w:fill="D9E2F3"/>
            <w:vAlign w:val="center"/>
          </w:tcPr>
          <w:p w14:paraId="4607CAD4" w14:textId="77777777" w:rsidR="00990B14" w:rsidRDefault="00000000">
            <w:pPr>
              <w:spacing w:before="20" w:after="20"/>
              <w:jc w:val="both"/>
            </w:pPr>
            <w:r>
              <w:rPr>
                <w:sz w:val="18"/>
                <w:szCs w:val="18"/>
              </w:rPr>
              <w:t>1.2 Valúa en equipo los bienes muebles e inmuebles transmitidos en un caso de sucesión.</w:t>
            </w:r>
          </w:p>
        </w:tc>
        <w:tc>
          <w:tcPr>
            <w:tcW w:w="3137" w:type="dxa"/>
            <w:gridSpan w:val="4"/>
            <w:shd w:val="clear" w:color="auto" w:fill="D9E2F3"/>
            <w:vAlign w:val="center"/>
          </w:tcPr>
          <w:p w14:paraId="33FCEF06" w14:textId="77777777" w:rsidR="00990B14" w:rsidRDefault="00000000">
            <w:pPr>
              <w:spacing w:before="20" w:after="20"/>
              <w:jc w:val="both"/>
            </w:pPr>
            <w:r>
              <w:rPr>
                <w:b/>
                <w:bCs/>
                <w:sz w:val="18"/>
                <w:szCs w:val="18"/>
              </w:rPr>
              <w:t xml:space="preserve">Producto 10: </w:t>
            </w:r>
            <w:r>
              <w:rPr>
                <w:sz w:val="18"/>
                <w:szCs w:val="18"/>
              </w:rPr>
              <w:t>Cédula de valuación de los bienes transmitidos.</w:t>
            </w:r>
          </w:p>
        </w:tc>
      </w:tr>
      <w:tr w:rsidR="00990B14" w14:paraId="2BFE6005" w14:textId="77777777">
        <w:trPr>
          <w:cantSplit/>
          <w:jc w:val="center"/>
        </w:trPr>
        <w:tc>
          <w:tcPr>
            <w:tcW w:w="3133" w:type="dxa"/>
            <w:gridSpan w:val="4"/>
            <w:vMerge w:val="restart"/>
            <w:shd w:val="clear" w:color="auto" w:fill="D9E2F3"/>
            <w:vAlign w:val="center"/>
          </w:tcPr>
          <w:p w14:paraId="560A75D8" w14:textId="77777777" w:rsidR="00990B14" w:rsidRDefault="00000000">
            <w:pPr>
              <w:spacing w:before="20" w:after="20"/>
              <w:jc w:val="both"/>
            </w:pPr>
            <w:r>
              <w:rPr>
                <w:sz w:val="18"/>
                <w:szCs w:val="18"/>
              </w:rPr>
              <w:t>2. Liquida el Impuesto a la Transmisión Gratuita de Bienes de un caso boliviano, verificando su documentación de respaldo, su declaración y su pago ante la administración departamental.</w:t>
            </w:r>
          </w:p>
        </w:tc>
        <w:tc>
          <w:tcPr>
            <w:tcW w:w="3135" w:type="dxa"/>
            <w:gridSpan w:val="5"/>
            <w:shd w:val="clear" w:color="auto" w:fill="D9E2F3"/>
            <w:vAlign w:val="center"/>
          </w:tcPr>
          <w:p w14:paraId="6A57C79E" w14:textId="77777777" w:rsidR="00990B14" w:rsidRDefault="00000000">
            <w:pPr>
              <w:spacing w:before="20" w:after="20"/>
              <w:jc w:val="both"/>
            </w:pPr>
            <w:r>
              <w:rPr>
                <w:sz w:val="18"/>
                <w:szCs w:val="18"/>
              </w:rPr>
              <w:t>2.1 Liquida en el laboratorio de cómputo el impuesto de una herencia con varios herederos.</w:t>
            </w:r>
          </w:p>
        </w:tc>
        <w:tc>
          <w:tcPr>
            <w:tcW w:w="3137" w:type="dxa"/>
            <w:gridSpan w:val="4"/>
            <w:shd w:val="clear" w:color="auto" w:fill="D9E2F3"/>
            <w:vAlign w:val="center"/>
          </w:tcPr>
          <w:p w14:paraId="4491E4AB" w14:textId="77777777" w:rsidR="00990B14" w:rsidRDefault="00000000">
            <w:pPr>
              <w:spacing w:before="20" w:after="20"/>
              <w:jc w:val="both"/>
            </w:pPr>
            <w:r>
              <w:rPr>
                <w:b/>
                <w:bCs/>
                <w:sz w:val="18"/>
                <w:szCs w:val="18"/>
              </w:rPr>
              <w:t xml:space="preserve">Producto 11: </w:t>
            </w:r>
            <w:r>
              <w:rPr>
                <w:sz w:val="18"/>
                <w:szCs w:val="18"/>
              </w:rPr>
              <w:t>Liquidación del ITGB por heredero.</w:t>
            </w:r>
          </w:p>
        </w:tc>
      </w:tr>
      <w:tr w:rsidR="00990B14" w14:paraId="637AAE76" w14:textId="77777777">
        <w:trPr>
          <w:cantSplit/>
          <w:jc w:val="center"/>
        </w:trPr>
        <w:tc>
          <w:tcPr>
            <w:tcW w:w="3133" w:type="dxa"/>
            <w:gridSpan w:val="4"/>
            <w:vMerge/>
            <w:shd w:val="clear" w:color="auto" w:fill="D9E2F3"/>
            <w:vAlign w:val="center"/>
          </w:tcPr>
          <w:p w14:paraId="58B668DF" w14:textId="77777777" w:rsidR="00990B14" w:rsidRDefault="00990B14">
            <w:pPr>
              <w:spacing w:before="20" w:after="20"/>
            </w:pPr>
          </w:p>
        </w:tc>
        <w:tc>
          <w:tcPr>
            <w:tcW w:w="3135" w:type="dxa"/>
            <w:gridSpan w:val="5"/>
            <w:shd w:val="clear" w:color="auto" w:fill="D9E2F3"/>
            <w:vAlign w:val="center"/>
          </w:tcPr>
          <w:p w14:paraId="68E210AB" w14:textId="77777777" w:rsidR="00990B14" w:rsidRDefault="00000000">
            <w:pPr>
              <w:spacing w:before="20" w:after="20"/>
              <w:jc w:val="both"/>
            </w:pPr>
            <w:r>
              <w:rPr>
                <w:sz w:val="18"/>
                <w:szCs w:val="18"/>
              </w:rPr>
              <w:t>2.2 Explica ante el curso el procedimiento de declaración y pago del impuesto ante la administración departamental.</w:t>
            </w:r>
          </w:p>
        </w:tc>
        <w:tc>
          <w:tcPr>
            <w:tcW w:w="3137" w:type="dxa"/>
            <w:gridSpan w:val="4"/>
            <w:shd w:val="clear" w:color="auto" w:fill="D9E2F3"/>
            <w:vAlign w:val="center"/>
          </w:tcPr>
          <w:p w14:paraId="43A67246" w14:textId="77777777" w:rsidR="00990B14" w:rsidRDefault="00000000">
            <w:pPr>
              <w:spacing w:before="20" w:after="20"/>
              <w:jc w:val="both"/>
            </w:pPr>
            <w:r>
              <w:rPr>
                <w:b/>
                <w:bCs/>
                <w:sz w:val="18"/>
                <w:szCs w:val="18"/>
              </w:rPr>
              <w:t xml:space="preserve">Producto 12: </w:t>
            </w:r>
            <w:r>
              <w:rPr>
                <w:sz w:val="18"/>
                <w:szCs w:val="18"/>
              </w:rPr>
              <w:t>Lista de verificación de la documentación de respaldo del ITGB.</w:t>
            </w:r>
          </w:p>
        </w:tc>
      </w:tr>
      <w:tr w:rsidR="00990B14" w14:paraId="7E576A7D" w14:textId="77777777">
        <w:trPr>
          <w:cantSplit/>
          <w:jc w:val="center"/>
        </w:trPr>
        <w:tc>
          <w:tcPr>
            <w:tcW w:w="9405" w:type="dxa"/>
            <w:gridSpan w:val="13"/>
            <w:shd w:val="clear" w:color="auto" w:fill="4472C4"/>
            <w:vAlign w:val="center"/>
          </w:tcPr>
          <w:p w14:paraId="7483C632" w14:textId="77777777" w:rsidR="00990B14" w:rsidRDefault="00000000">
            <w:pPr>
              <w:keepNext/>
              <w:spacing w:before="20" w:after="20"/>
              <w:jc w:val="center"/>
            </w:pPr>
            <w:r>
              <w:rPr>
                <w:b/>
                <w:bCs/>
                <w:i/>
                <w:iCs/>
                <w:color w:val="FFFFFF"/>
                <w:sz w:val="18"/>
                <w:szCs w:val="18"/>
              </w:rPr>
              <w:t>Evidencias de conocimiento</w:t>
            </w:r>
          </w:p>
        </w:tc>
      </w:tr>
      <w:tr w:rsidR="00990B14" w14:paraId="7A9F1011" w14:textId="77777777">
        <w:trPr>
          <w:cantSplit/>
          <w:jc w:val="center"/>
        </w:trPr>
        <w:tc>
          <w:tcPr>
            <w:tcW w:w="2349" w:type="dxa"/>
            <w:gridSpan w:val="2"/>
            <w:shd w:val="clear" w:color="auto" w:fill="4472C4"/>
            <w:vAlign w:val="center"/>
          </w:tcPr>
          <w:p w14:paraId="7A9D4733"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7EC1713A" w14:textId="77777777" w:rsidR="00990B14" w:rsidRDefault="00000000">
            <w:pPr>
              <w:keepNext/>
              <w:spacing w:before="20" w:after="20"/>
              <w:jc w:val="both"/>
            </w:pPr>
            <w:r>
              <w:rPr>
                <w:b/>
                <w:bCs/>
                <w:i/>
                <w:iCs/>
                <w:color w:val="FFFFFF"/>
                <w:sz w:val="18"/>
                <w:szCs w:val="18"/>
              </w:rPr>
              <w:t>Contenidos</w:t>
            </w:r>
          </w:p>
          <w:p w14:paraId="5E21A818"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4C3A7B75" w14:textId="77777777" w:rsidR="00990B14" w:rsidRDefault="00000000">
            <w:pPr>
              <w:keepNext/>
              <w:spacing w:before="20" w:after="20"/>
              <w:jc w:val="center"/>
            </w:pPr>
            <w:r>
              <w:rPr>
                <w:b/>
                <w:bCs/>
                <w:i/>
                <w:iCs/>
                <w:color w:val="FFFFFF"/>
                <w:sz w:val="18"/>
                <w:szCs w:val="18"/>
              </w:rPr>
              <w:t>Conocimientos circunstanciales</w:t>
            </w:r>
          </w:p>
        </w:tc>
      </w:tr>
      <w:tr w:rsidR="00990B14" w14:paraId="4255257C" w14:textId="77777777">
        <w:trPr>
          <w:jc w:val="center"/>
        </w:trPr>
        <w:tc>
          <w:tcPr>
            <w:tcW w:w="2349" w:type="dxa"/>
            <w:gridSpan w:val="2"/>
            <w:shd w:val="clear" w:color="auto" w:fill="D9E2F3"/>
          </w:tcPr>
          <w:p w14:paraId="433850D7" w14:textId="77777777" w:rsidR="00990B14" w:rsidRDefault="00000000">
            <w:pPr>
              <w:spacing w:before="20" w:after="40"/>
              <w:jc w:val="both"/>
            </w:pPr>
            <w:r>
              <w:rPr>
                <w:sz w:val="18"/>
                <w:szCs w:val="18"/>
              </w:rPr>
              <w:t>Tema 10: Impuesto a la Transmisión Gratuita de Bienes</w:t>
            </w:r>
          </w:p>
        </w:tc>
        <w:tc>
          <w:tcPr>
            <w:tcW w:w="4304" w:type="dxa"/>
            <w:gridSpan w:val="8"/>
            <w:shd w:val="clear" w:color="auto" w:fill="D9E2F3"/>
          </w:tcPr>
          <w:p w14:paraId="62821AE6" w14:textId="77777777" w:rsidR="00990B14" w:rsidRDefault="00000000">
            <w:pPr>
              <w:spacing w:after="40"/>
              <w:jc w:val="both"/>
            </w:pPr>
            <w:r>
              <w:rPr>
                <w:sz w:val="18"/>
                <w:szCs w:val="18"/>
              </w:rPr>
              <w:t>Impuesto a la Transmisión Gratuita de Bienes, ITGB: objeto y sujeto del impuesto. (C)</w:t>
            </w:r>
          </w:p>
          <w:p w14:paraId="344EDEBE" w14:textId="77777777" w:rsidR="00990B14" w:rsidRDefault="00000000">
            <w:pPr>
              <w:spacing w:after="40"/>
              <w:jc w:val="both"/>
            </w:pPr>
            <w:r>
              <w:rPr>
                <w:sz w:val="18"/>
                <w:szCs w:val="18"/>
              </w:rPr>
              <w:t>Sucesión hereditaria y donaciones de bienes inmuebles y muebles como hechos generadores del impuesto. (C)</w:t>
            </w:r>
          </w:p>
          <w:p w14:paraId="50C3FC29" w14:textId="77777777" w:rsidR="00990B14" w:rsidRDefault="00000000">
            <w:pPr>
              <w:spacing w:after="40"/>
              <w:jc w:val="both"/>
            </w:pPr>
            <w:r>
              <w:rPr>
                <w:sz w:val="18"/>
                <w:szCs w:val="18"/>
              </w:rPr>
              <w:t>Base imponible y valuación de los bienes transmitidos. (C)</w:t>
            </w:r>
          </w:p>
          <w:p w14:paraId="09AD8245" w14:textId="77777777" w:rsidR="00990B14" w:rsidRDefault="00000000">
            <w:pPr>
              <w:spacing w:after="40"/>
              <w:jc w:val="both"/>
            </w:pPr>
            <w:r>
              <w:rPr>
                <w:sz w:val="18"/>
                <w:szCs w:val="18"/>
              </w:rPr>
              <w:t>Liquidación del Impuesto a la Transmisión Gratuita de Bienes. (C)</w:t>
            </w:r>
          </w:p>
          <w:p w14:paraId="606B4E95" w14:textId="77777777" w:rsidR="00990B14" w:rsidRDefault="00000000">
            <w:pPr>
              <w:spacing w:after="40"/>
              <w:jc w:val="both"/>
            </w:pPr>
            <w:r>
              <w:rPr>
                <w:sz w:val="18"/>
                <w:szCs w:val="18"/>
              </w:rPr>
              <w:t>Documentación de respaldo, declaración y pago del impuesto ante la administración departamental. (P)</w:t>
            </w:r>
          </w:p>
        </w:tc>
        <w:tc>
          <w:tcPr>
            <w:tcW w:w="2752" w:type="dxa"/>
            <w:gridSpan w:val="3"/>
            <w:shd w:val="clear" w:color="auto" w:fill="D9E2F3"/>
          </w:tcPr>
          <w:p w14:paraId="0FB288D7" w14:textId="77777777" w:rsidR="00990B14" w:rsidRDefault="00000000">
            <w:pPr>
              <w:numPr>
                <w:ilvl w:val="0"/>
                <w:numId w:val="139"/>
              </w:numPr>
              <w:spacing w:before="10" w:after="10"/>
              <w:jc w:val="both"/>
            </w:pPr>
            <w:r>
              <w:rPr>
                <w:sz w:val="18"/>
                <w:szCs w:val="18"/>
              </w:rPr>
              <w:t>Nociones del régimen sucesorio del Código Civil y de la declaratoria de herederos.</w:t>
            </w:r>
          </w:p>
          <w:p w14:paraId="4F386A5C" w14:textId="77777777" w:rsidR="00990B14" w:rsidRDefault="00000000">
            <w:pPr>
              <w:numPr>
                <w:ilvl w:val="0"/>
                <w:numId w:val="139"/>
              </w:numPr>
              <w:spacing w:before="10" w:after="10"/>
              <w:jc w:val="both"/>
            </w:pPr>
            <w:r>
              <w:rPr>
                <w:sz w:val="18"/>
                <w:szCs w:val="18"/>
              </w:rPr>
              <w:t>Nociones de la donación y del anticipo de legítima en el Código Civil.</w:t>
            </w:r>
          </w:p>
        </w:tc>
      </w:tr>
      <w:tr w:rsidR="00990B14" w14:paraId="2E018327" w14:textId="77777777">
        <w:trPr>
          <w:cantSplit/>
          <w:jc w:val="center"/>
        </w:trPr>
        <w:tc>
          <w:tcPr>
            <w:tcW w:w="9405" w:type="dxa"/>
            <w:gridSpan w:val="13"/>
            <w:shd w:val="clear" w:color="auto" w:fill="D9E2F3"/>
            <w:vAlign w:val="center"/>
          </w:tcPr>
          <w:p w14:paraId="578BEC9F" w14:textId="77777777" w:rsidR="00990B14" w:rsidRDefault="00000000">
            <w:pPr>
              <w:spacing w:before="20" w:after="20"/>
              <w:jc w:val="both"/>
            </w:pPr>
            <w:r>
              <w:rPr>
                <w:b/>
                <w:bCs/>
                <w:i/>
                <w:iCs/>
                <w:sz w:val="18"/>
                <w:szCs w:val="18"/>
              </w:rPr>
              <w:t xml:space="preserve">Elemento de competencia 4: </w:t>
            </w:r>
            <w:r>
              <w:rPr>
                <w:sz w:val="18"/>
                <w:szCs w:val="18"/>
              </w:rPr>
              <w:t>Liquida los impuestos municipales a la propiedad y transferencias de inmuebles y vehículos, y las tasas y patentes aplicables a una actividad económica en la plataforma de la Administración Tributaria.</w:t>
            </w:r>
          </w:p>
        </w:tc>
      </w:tr>
      <w:tr w:rsidR="00990B14" w14:paraId="05775C41" w14:textId="77777777">
        <w:trPr>
          <w:cantSplit/>
          <w:jc w:val="center"/>
        </w:trPr>
        <w:tc>
          <w:tcPr>
            <w:tcW w:w="3133" w:type="dxa"/>
            <w:gridSpan w:val="4"/>
            <w:shd w:val="clear" w:color="auto" w:fill="4472C4"/>
            <w:vAlign w:val="center"/>
          </w:tcPr>
          <w:p w14:paraId="0B113E85"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2F983581"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7D4970BF" w14:textId="77777777" w:rsidR="00990B14" w:rsidRDefault="00000000">
            <w:pPr>
              <w:keepNext/>
              <w:spacing w:before="20" w:after="20"/>
              <w:jc w:val="center"/>
            </w:pPr>
            <w:r>
              <w:rPr>
                <w:b/>
                <w:bCs/>
                <w:i/>
                <w:iCs/>
                <w:color w:val="FFFFFF"/>
                <w:sz w:val="18"/>
                <w:szCs w:val="18"/>
              </w:rPr>
              <w:t>Evidencias de producto</w:t>
            </w:r>
          </w:p>
        </w:tc>
      </w:tr>
      <w:tr w:rsidR="00990B14" w14:paraId="5E503755" w14:textId="77777777">
        <w:trPr>
          <w:cantSplit/>
          <w:jc w:val="center"/>
        </w:trPr>
        <w:tc>
          <w:tcPr>
            <w:tcW w:w="3133" w:type="dxa"/>
            <w:gridSpan w:val="4"/>
            <w:vMerge w:val="restart"/>
            <w:shd w:val="clear" w:color="auto" w:fill="D9E2F3"/>
            <w:vAlign w:val="center"/>
          </w:tcPr>
          <w:p w14:paraId="4F1AEFAC" w14:textId="77777777" w:rsidR="00990B14" w:rsidRDefault="00000000">
            <w:pPr>
              <w:spacing w:before="20" w:after="20"/>
              <w:jc w:val="both"/>
            </w:pPr>
            <w:r>
              <w:rPr>
                <w:sz w:val="18"/>
                <w:szCs w:val="18"/>
              </w:rPr>
              <w:t>1. Liquida los impuestos municipales a la propiedad de bienes inmuebles y de vehículos automotores, conciliando su base imponible con el valor en libros de los bienes de la entidad.</w:t>
            </w:r>
          </w:p>
        </w:tc>
        <w:tc>
          <w:tcPr>
            <w:tcW w:w="3135" w:type="dxa"/>
            <w:gridSpan w:val="5"/>
            <w:shd w:val="clear" w:color="auto" w:fill="D9E2F3"/>
            <w:vAlign w:val="center"/>
          </w:tcPr>
          <w:p w14:paraId="57696CF4" w14:textId="77777777" w:rsidR="00990B14" w:rsidRDefault="00000000">
            <w:pPr>
              <w:spacing w:before="20" w:after="20"/>
              <w:jc w:val="both"/>
            </w:pPr>
            <w:r>
              <w:rPr>
                <w:sz w:val="18"/>
                <w:szCs w:val="18"/>
              </w:rPr>
              <w:t>1.1 Liquida en el laboratorio de cómputo el IMPBI y el IMPVA de un caso en la plataforma del RUAT.</w:t>
            </w:r>
          </w:p>
        </w:tc>
        <w:tc>
          <w:tcPr>
            <w:tcW w:w="3137" w:type="dxa"/>
            <w:gridSpan w:val="4"/>
            <w:shd w:val="clear" w:color="auto" w:fill="D9E2F3"/>
            <w:vAlign w:val="center"/>
          </w:tcPr>
          <w:p w14:paraId="0285B3D2" w14:textId="77777777" w:rsidR="00990B14" w:rsidRDefault="00000000">
            <w:pPr>
              <w:spacing w:before="20" w:after="20"/>
              <w:jc w:val="both"/>
            </w:pPr>
            <w:r>
              <w:rPr>
                <w:b/>
                <w:bCs/>
                <w:sz w:val="18"/>
                <w:szCs w:val="18"/>
              </w:rPr>
              <w:t xml:space="preserve">Producto 13: </w:t>
            </w:r>
            <w:r>
              <w:rPr>
                <w:sz w:val="18"/>
                <w:szCs w:val="18"/>
              </w:rPr>
              <w:t>Liquidación del IMPBI y del IMPVA de un caso.</w:t>
            </w:r>
          </w:p>
        </w:tc>
      </w:tr>
      <w:tr w:rsidR="00990B14" w14:paraId="517EEAA8" w14:textId="77777777">
        <w:trPr>
          <w:cantSplit/>
          <w:jc w:val="center"/>
        </w:trPr>
        <w:tc>
          <w:tcPr>
            <w:tcW w:w="3133" w:type="dxa"/>
            <w:gridSpan w:val="4"/>
            <w:vMerge/>
            <w:shd w:val="clear" w:color="auto" w:fill="D9E2F3"/>
            <w:vAlign w:val="center"/>
          </w:tcPr>
          <w:p w14:paraId="4667B2FD" w14:textId="77777777" w:rsidR="00990B14" w:rsidRDefault="00990B14">
            <w:pPr>
              <w:spacing w:before="20" w:after="20"/>
            </w:pPr>
          </w:p>
        </w:tc>
        <w:tc>
          <w:tcPr>
            <w:tcW w:w="3135" w:type="dxa"/>
            <w:gridSpan w:val="5"/>
            <w:shd w:val="clear" w:color="auto" w:fill="D9E2F3"/>
            <w:vAlign w:val="center"/>
          </w:tcPr>
          <w:p w14:paraId="134A6F1A" w14:textId="77777777" w:rsidR="00990B14" w:rsidRDefault="00000000">
            <w:pPr>
              <w:spacing w:before="20" w:after="20"/>
              <w:jc w:val="both"/>
            </w:pPr>
            <w:r>
              <w:rPr>
                <w:sz w:val="18"/>
                <w:szCs w:val="18"/>
              </w:rPr>
              <w:t>1.2 Concilia en equipo el valor en libros de los inmuebles y vehículos de una entidad con su base imponible municipal.</w:t>
            </w:r>
          </w:p>
        </w:tc>
        <w:tc>
          <w:tcPr>
            <w:tcW w:w="3137" w:type="dxa"/>
            <w:gridSpan w:val="4"/>
            <w:shd w:val="clear" w:color="auto" w:fill="D9E2F3"/>
            <w:vAlign w:val="center"/>
          </w:tcPr>
          <w:p w14:paraId="2994EE18" w14:textId="77777777" w:rsidR="00990B14" w:rsidRDefault="00000000">
            <w:pPr>
              <w:spacing w:before="20" w:after="20"/>
              <w:jc w:val="both"/>
            </w:pPr>
            <w:r>
              <w:rPr>
                <w:b/>
                <w:bCs/>
                <w:sz w:val="18"/>
                <w:szCs w:val="18"/>
              </w:rPr>
              <w:t xml:space="preserve">Producto 14: </w:t>
            </w:r>
            <w:r>
              <w:rPr>
                <w:sz w:val="18"/>
                <w:szCs w:val="18"/>
              </w:rPr>
              <w:t>Cuadro de conciliación del valor en libros con la base imponible municipal.</w:t>
            </w:r>
          </w:p>
        </w:tc>
      </w:tr>
      <w:tr w:rsidR="00990B14" w14:paraId="337942C7" w14:textId="77777777">
        <w:trPr>
          <w:cantSplit/>
          <w:jc w:val="center"/>
        </w:trPr>
        <w:tc>
          <w:tcPr>
            <w:tcW w:w="3133" w:type="dxa"/>
            <w:gridSpan w:val="4"/>
            <w:vMerge w:val="restart"/>
            <w:shd w:val="clear" w:color="auto" w:fill="D9E2F3"/>
            <w:vAlign w:val="center"/>
          </w:tcPr>
          <w:p w14:paraId="0CFD0401" w14:textId="77777777" w:rsidR="00990B14" w:rsidRDefault="00000000">
            <w:pPr>
              <w:spacing w:before="20" w:after="20"/>
              <w:jc w:val="both"/>
            </w:pPr>
            <w:r>
              <w:rPr>
                <w:sz w:val="18"/>
                <w:szCs w:val="18"/>
              </w:rPr>
              <w:t>2. Determina el Impuesto Municipal a la Transferencia Onerosa y las tasas y patentes municipales aplicables a una actividad económica.</w:t>
            </w:r>
          </w:p>
        </w:tc>
        <w:tc>
          <w:tcPr>
            <w:tcW w:w="3135" w:type="dxa"/>
            <w:gridSpan w:val="5"/>
            <w:shd w:val="clear" w:color="auto" w:fill="D9E2F3"/>
            <w:vAlign w:val="center"/>
          </w:tcPr>
          <w:p w14:paraId="618F4D17" w14:textId="77777777" w:rsidR="00990B14" w:rsidRDefault="00000000">
            <w:pPr>
              <w:spacing w:before="20" w:after="20"/>
              <w:jc w:val="both"/>
            </w:pPr>
            <w:r>
              <w:rPr>
                <w:sz w:val="18"/>
                <w:szCs w:val="18"/>
              </w:rPr>
              <w:t>2.1 Resuelve en aula la liquidación del IMTO en la venta de un inmueble y de un vehículo por no comerciantes.</w:t>
            </w:r>
          </w:p>
        </w:tc>
        <w:tc>
          <w:tcPr>
            <w:tcW w:w="3137" w:type="dxa"/>
            <w:gridSpan w:val="4"/>
            <w:shd w:val="clear" w:color="auto" w:fill="D9E2F3"/>
            <w:vAlign w:val="center"/>
          </w:tcPr>
          <w:p w14:paraId="518D4412" w14:textId="77777777" w:rsidR="00990B14" w:rsidRDefault="00000000">
            <w:pPr>
              <w:spacing w:before="20" w:after="20"/>
              <w:jc w:val="both"/>
            </w:pPr>
            <w:r>
              <w:rPr>
                <w:b/>
                <w:bCs/>
                <w:sz w:val="18"/>
                <w:szCs w:val="18"/>
              </w:rPr>
              <w:t xml:space="preserve">Producto 15: </w:t>
            </w:r>
            <w:r>
              <w:rPr>
                <w:sz w:val="18"/>
                <w:szCs w:val="18"/>
              </w:rPr>
              <w:t>Liquidación del IMTO de una transferencia.</w:t>
            </w:r>
          </w:p>
        </w:tc>
      </w:tr>
      <w:tr w:rsidR="00990B14" w14:paraId="17F3D0B3" w14:textId="77777777">
        <w:trPr>
          <w:cantSplit/>
          <w:jc w:val="center"/>
        </w:trPr>
        <w:tc>
          <w:tcPr>
            <w:tcW w:w="3133" w:type="dxa"/>
            <w:gridSpan w:val="4"/>
            <w:vMerge/>
            <w:shd w:val="clear" w:color="auto" w:fill="D9E2F3"/>
            <w:vAlign w:val="center"/>
          </w:tcPr>
          <w:p w14:paraId="4E0396C5" w14:textId="77777777" w:rsidR="00990B14" w:rsidRDefault="00990B14">
            <w:pPr>
              <w:spacing w:before="20" w:after="20"/>
            </w:pPr>
          </w:p>
        </w:tc>
        <w:tc>
          <w:tcPr>
            <w:tcW w:w="3135" w:type="dxa"/>
            <w:gridSpan w:val="5"/>
            <w:shd w:val="clear" w:color="auto" w:fill="D9E2F3"/>
            <w:vAlign w:val="center"/>
          </w:tcPr>
          <w:p w14:paraId="7ABBF288" w14:textId="77777777" w:rsidR="00990B14" w:rsidRDefault="00000000">
            <w:pPr>
              <w:spacing w:before="20" w:after="20"/>
              <w:jc w:val="both"/>
            </w:pPr>
            <w:r>
              <w:rPr>
                <w:sz w:val="18"/>
                <w:szCs w:val="18"/>
              </w:rPr>
              <w:t>2.2 Expone ante el curso las tasas y patentes municipales de una actividad económica de su municipio.</w:t>
            </w:r>
          </w:p>
        </w:tc>
        <w:tc>
          <w:tcPr>
            <w:tcW w:w="3137" w:type="dxa"/>
            <w:gridSpan w:val="4"/>
            <w:shd w:val="clear" w:color="auto" w:fill="D9E2F3"/>
            <w:vAlign w:val="center"/>
          </w:tcPr>
          <w:p w14:paraId="17544BFC" w14:textId="77777777" w:rsidR="00990B14" w:rsidRDefault="00000000">
            <w:pPr>
              <w:spacing w:before="20" w:after="20"/>
              <w:jc w:val="both"/>
            </w:pPr>
            <w:r>
              <w:rPr>
                <w:b/>
                <w:bCs/>
                <w:sz w:val="18"/>
                <w:szCs w:val="18"/>
              </w:rPr>
              <w:t xml:space="preserve">Producto 16: </w:t>
            </w:r>
            <w:r>
              <w:rPr>
                <w:sz w:val="18"/>
                <w:szCs w:val="18"/>
              </w:rPr>
              <w:t>Informe de tasas y patentes municipales.</w:t>
            </w:r>
          </w:p>
        </w:tc>
      </w:tr>
      <w:tr w:rsidR="00990B14" w14:paraId="57F626A9" w14:textId="77777777">
        <w:trPr>
          <w:cantSplit/>
          <w:jc w:val="center"/>
        </w:trPr>
        <w:tc>
          <w:tcPr>
            <w:tcW w:w="9405" w:type="dxa"/>
            <w:gridSpan w:val="13"/>
            <w:shd w:val="clear" w:color="auto" w:fill="4472C4"/>
            <w:vAlign w:val="center"/>
          </w:tcPr>
          <w:p w14:paraId="7F9A27CF" w14:textId="77777777" w:rsidR="00990B14" w:rsidRDefault="00000000">
            <w:pPr>
              <w:keepNext/>
              <w:spacing w:before="20" w:after="20"/>
              <w:jc w:val="center"/>
            </w:pPr>
            <w:r>
              <w:rPr>
                <w:b/>
                <w:bCs/>
                <w:i/>
                <w:iCs/>
                <w:color w:val="FFFFFF"/>
                <w:sz w:val="18"/>
                <w:szCs w:val="18"/>
              </w:rPr>
              <w:t>Evidencias de conocimiento</w:t>
            </w:r>
          </w:p>
        </w:tc>
      </w:tr>
      <w:tr w:rsidR="00990B14" w14:paraId="678745E4" w14:textId="77777777">
        <w:trPr>
          <w:cantSplit/>
          <w:jc w:val="center"/>
        </w:trPr>
        <w:tc>
          <w:tcPr>
            <w:tcW w:w="2349" w:type="dxa"/>
            <w:gridSpan w:val="2"/>
            <w:shd w:val="clear" w:color="auto" w:fill="4472C4"/>
            <w:vAlign w:val="center"/>
          </w:tcPr>
          <w:p w14:paraId="193601FB"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47F6B2D4" w14:textId="77777777" w:rsidR="00990B14" w:rsidRDefault="00000000">
            <w:pPr>
              <w:keepNext/>
              <w:spacing w:before="20" w:after="20"/>
              <w:jc w:val="both"/>
            </w:pPr>
            <w:r>
              <w:rPr>
                <w:b/>
                <w:bCs/>
                <w:i/>
                <w:iCs/>
                <w:color w:val="FFFFFF"/>
                <w:sz w:val="18"/>
                <w:szCs w:val="18"/>
              </w:rPr>
              <w:t>Contenidos</w:t>
            </w:r>
          </w:p>
          <w:p w14:paraId="5E375524"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0BCA3606" w14:textId="77777777" w:rsidR="00990B14" w:rsidRDefault="00000000">
            <w:pPr>
              <w:keepNext/>
              <w:spacing w:before="20" w:after="20"/>
              <w:jc w:val="center"/>
            </w:pPr>
            <w:r>
              <w:rPr>
                <w:b/>
                <w:bCs/>
                <w:i/>
                <w:iCs/>
                <w:color w:val="FFFFFF"/>
                <w:sz w:val="18"/>
                <w:szCs w:val="18"/>
              </w:rPr>
              <w:t>Conocimientos circunstanciales</w:t>
            </w:r>
          </w:p>
        </w:tc>
      </w:tr>
      <w:tr w:rsidR="00990B14" w14:paraId="110F685F" w14:textId="77777777">
        <w:trPr>
          <w:jc w:val="center"/>
        </w:trPr>
        <w:tc>
          <w:tcPr>
            <w:tcW w:w="2349" w:type="dxa"/>
            <w:gridSpan w:val="2"/>
            <w:shd w:val="clear" w:color="auto" w:fill="D9E2F3"/>
          </w:tcPr>
          <w:p w14:paraId="4B912121" w14:textId="77777777" w:rsidR="00990B14" w:rsidRDefault="00000000">
            <w:pPr>
              <w:spacing w:before="20" w:after="40"/>
              <w:jc w:val="both"/>
            </w:pPr>
            <w:r>
              <w:rPr>
                <w:sz w:val="18"/>
                <w:szCs w:val="18"/>
              </w:rPr>
              <w:t>Tema 11: Impuestos municipales.</w:t>
            </w:r>
          </w:p>
        </w:tc>
        <w:tc>
          <w:tcPr>
            <w:tcW w:w="4304" w:type="dxa"/>
            <w:gridSpan w:val="8"/>
            <w:shd w:val="clear" w:color="auto" w:fill="D9E2F3"/>
          </w:tcPr>
          <w:p w14:paraId="19B0DF02" w14:textId="77777777" w:rsidR="00990B14" w:rsidRDefault="00000000">
            <w:pPr>
              <w:spacing w:after="40"/>
              <w:jc w:val="both"/>
            </w:pPr>
            <w:r>
              <w:rPr>
                <w:sz w:val="18"/>
                <w:szCs w:val="18"/>
              </w:rPr>
              <w:t>Impuesto Municipal a la Propiedad de Bienes Inmuebles, IMPBI: objeto y sujeto del impuesto. (C)</w:t>
            </w:r>
          </w:p>
          <w:p w14:paraId="31681869" w14:textId="77777777" w:rsidR="00990B14" w:rsidRDefault="00000000">
            <w:pPr>
              <w:spacing w:after="40"/>
              <w:jc w:val="both"/>
            </w:pPr>
            <w:r>
              <w:rPr>
                <w:sz w:val="18"/>
                <w:szCs w:val="18"/>
              </w:rPr>
              <w:t>Impuesto Municipal a la Propiedad de Vehículos Automotores Terrestres, IMPVA: objeto y sujeto del impuesto. (C)</w:t>
            </w:r>
          </w:p>
          <w:p w14:paraId="017D2EF8" w14:textId="77777777" w:rsidR="00990B14" w:rsidRDefault="00000000">
            <w:pPr>
              <w:spacing w:after="40"/>
              <w:jc w:val="both"/>
            </w:pPr>
            <w:r>
              <w:rPr>
                <w:sz w:val="18"/>
                <w:szCs w:val="18"/>
              </w:rPr>
              <w:t>Impuesto Municipal a la Transferencia Onerosa de Inmuebles y Vehículos, IMTO: objeto, sujeto y liquidación del impuesto. (C)</w:t>
            </w:r>
          </w:p>
          <w:p w14:paraId="3A7F83C3" w14:textId="77777777" w:rsidR="00990B14" w:rsidRDefault="00000000">
            <w:pPr>
              <w:spacing w:after="40"/>
              <w:jc w:val="both"/>
            </w:pPr>
            <w:r>
              <w:rPr>
                <w:sz w:val="18"/>
                <w:szCs w:val="18"/>
              </w:rPr>
              <w:t>Consulta y liquidación de los impuestos municipales en la plataforma virtual del RUAT. (C, T)</w:t>
            </w:r>
          </w:p>
          <w:p w14:paraId="48EE9500" w14:textId="77777777" w:rsidR="00990B14" w:rsidRDefault="00000000">
            <w:pPr>
              <w:spacing w:after="40"/>
              <w:jc w:val="both"/>
            </w:pPr>
            <w:r>
              <w:rPr>
                <w:sz w:val="18"/>
                <w:szCs w:val="18"/>
              </w:rPr>
              <w:t>Diferencia entre el valor en libros de inmuebles y vehículos según la NIC 16 y la base imponible determinada para el impuesto municipal. (C)</w:t>
            </w:r>
          </w:p>
          <w:p w14:paraId="03D6F90B" w14:textId="77777777" w:rsidR="00990B14" w:rsidRDefault="00000000">
            <w:pPr>
              <w:spacing w:after="40"/>
              <w:jc w:val="both"/>
            </w:pPr>
            <w:r>
              <w:rPr>
                <w:sz w:val="18"/>
                <w:szCs w:val="18"/>
              </w:rPr>
              <w:t>Tasas y patentes municipales: objeto, sujeto y liquidación. (C)</w:t>
            </w:r>
          </w:p>
        </w:tc>
        <w:tc>
          <w:tcPr>
            <w:tcW w:w="2752" w:type="dxa"/>
            <w:gridSpan w:val="3"/>
            <w:shd w:val="clear" w:color="auto" w:fill="D9E2F3"/>
          </w:tcPr>
          <w:p w14:paraId="691CDEE1" w14:textId="77777777" w:rsidR="00990B14" w:rsidRDefault="00000000">
            <w:pPr>
              <w:numPr>
                <w:ilvl w:val="0"/>
                <w:numId w:val="139"/>
              </w:numPr>
              <w:spacing w:before="10" w:after="10"/>
              <w:jc w:val="both"/>
            </w:pPr>
            <w:r>
              <w:rPr>
                <w:sz w:val="18"/>
                <w:szCs w:val="18"/>
              </w:rPr>
              <w:t>Nociones del catastro urbano y de la zonificación de los inmuebles.</w:t>
            </w:r>
          </w:p>
          <w:p w14:paraId="139F4D4F" w14:textId="77777777" w:rsidR="00990B14" w:rsidRDefault="00000000">
            <w:pPr>
              <w:numPr>
                <w:ilvl w:val="0"/>
                <w:numId w:val="139"/>
              </w:numPr>
              <w:spacing w:before="10" w:after="10"/>
              <w:jc w:val="both"/>
            </w:pPr>
            <w:r>
              <w:rPr>
                <w:sz w:val="18"/>
                <w:szCs w:val="18"/>
              </w:rPr>
              <w:t>Nociones del registro de la propiedad de inmuebles en Derechos Reales.</w:t>
            </w:r>
          </w:p>
          <w:p w14:paraId="616594EE" w14:textId="77777777" w:rsidR="00990B14" w:rsidRDefault="00000000">
            <w:pPr>
              <w:numPr>
                <w:ilvl w:val="0"/>
                <w:numId w:val="139"/>
              </w:numPr>
              <w:spacing w:before="10" w:after="10"/>
              <w:jc w:val="both"/>
            </w:pPr>
            <w:r>
              <w:rPr>
                <w:sz w:val="18"/>
                <w:szCs w:val="18"/>
              </w:rPr>
              <w:t>Nociones de las características técnicas de los vehículos que determinan su base imponible.</w:t>
            </w:r>
          </w:p>
        </w:tc>
      </w:tr>
    </w:tbl>
    <w:p w14:paraId="1723CC4C"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700"/>
        <w:gridCol w:w="1700"/>
        <w:gridCol w:w="1805"/>
        <w:gridCol w:w="1805"/>
        <w:gridCol w:w="2395"/>
      </w:tblGrid>
      <w:tr w:rsidR="00990B14" w14:paraId="5302E3E3" w14:textId="77777777">
        <w:trPr>
          <w:cantSplit/>
          <w:jc w:val="center"/>
        </w:trPr>
        <w:tc>
          <w:tcPr>
            <w:tcW w:w="9405" w:type="dxa"/>
            <w:gridSpan w:val="5"/>
            <w:shd w:val="clear" w:color="auto" w:fill="4472C4"/>
            <w:vAlign w:val="center"/>
          </w:tcPr>
          <w:p w14:paraId="53613389" w14:textId="77777777" w:rsidR="00990B14" w:rsidRDefault="00000000">
            <w:pPr>
              <w:keepNext/>
              <w:spacing w:before="20" w:after="20"/>
              <w:jc w:val="center"/>
            </w:pPr>
            <w:r>
              <w:rPr>
                <w:b/>
                <w:bCs/>
                <w:i/>
                <w:iCs/>
                <w:color w:val="FFFFFF"/>
                <w:sz w:val="18"/>
                <w:szCs w:val="18"/>
              </w:rPr>
              <w:t>Actividades</w:t>
            </w:r>
          </w:p>
        </w:tc>
      </w:tr>
      <w:tr w:rsidR="00990B14" w14:paraId="030B35D4" w14:textId="77777777">
        <w:trPr>
          <w:cantSplit/>
          <w:jc w:val="center"/>
        </w:trPr>
        <w:tc>
          <w:tcPr>
            <w:tcW w:w="1700" w:type="dxa"/>
            <w:shd w:val="clear" w:color="auto" w:fill="4472C4"/>
            <w:vAlign w:val="center"/>
          </w:tcPr>
          <w:p w14:paraId="30ED627E" w14:textId="77777777" w:rsidR="00990B14" w:rsidRDefault="00000000">
            <w:pPr>
              <w:keepNext/>
              <w:spacing w:before="20" w:after="20"/>
              <w:jc w:val="center"/>
            </w:pPr>
            <w:r>
              <w:rPr>
                <w:b/>
                <w:bCs/>
                <w:i/>
                <w:iCs/>
                <w:color w:val="FFFFFF"/>
                <w:sz w:val="18"/>
                <w:szCs w:val="18"/>
              </w:rPr>
              <w:t>En clase</w:t>
            </w:r>
          </w:p>
        </w:tc>
        <w:tc>
          <w:tcPr>
            <w:tcW w:w="1700" w:type="dxa"/>
            <w:shd w:val="clear" w:color="auto" w:fill="4472C4"/>
            <w:vAlign w:val="center"/>
          </w:tcPr>
          <w:p w14:paraId="1DE84C40" w14:textId="77777777" w:rsidR="00990B14" w:rsidRDefault="00000000">
            <w:pPr>
              <w:keepNext/>
              <w:spacing w:before="20" w:after="20"/>
              <w:jc w:val="center"/>
            </w:pPr>
            <w:r>
              <w:rPr>
                <w:b/>
                <w:bCs/>
                <w:i/>
                <w:iCs/>
                <w:color w:val="FFFFFF"/>
                <w:sz w:val="18"/>
                <w:szCs w:val="18"/>
              </w:rPr>
              <w:t>Autónomas</w:t>
            </w:r>
          </w:p>
        </w:tc>
        <w:tc>
          <w:tcPr>
            <w:tcW w:w="1805" w:type="dxa"/>
            <w:shd w:val="clear" w:color="auto" w:fill="4472C4"/>
            <w:vAlign w:val="center"/>
          </w:tcPr>
          <w:p w14:paraId="73C1E9DF" w14:textId="77777777" w:rsidR="00990B14" w:rsidRDefault="00000000">
            <w:pPr>
              <w:keepNext/>
              <w:spacing w:before="20" w:after="20"/>
              <w:jc w:val="center"/>
            </w:pPr>
            <w:r>
              <w:rPr>
                <w:b/>
                <w:bCs/>
                <w:i/>
                <w:iCs/>
                <w:color w:val="FFFFFF"/>
                <w:sz w:val="18"/>
                <w:szCs w:val="18"/>
              </w:rPr>
              <w:t>B-Learning</w:t>
            </w:r>
          </w:p>
        </w:tc>
        <w:tc>
          <w:tcPr>
            <w:tcW w:w="1805" w:type="dxa"/>
            <w:shd w:val="clear" w:color="auto" w:fill="4472C4"/>
            <w:vAlign w:val="center"/>
          </w:tcPr>
          <w:p w14:paraId="7135F9CF" w14:textId="77777777" w:rsidR="00990B14" w:rsidRDefault="00000000">
            <w:pPr>
              <w:keepNext/>
              <w:spacing w:before="20" w:after="20"/>
              <w:jc w:val="center"/>
            </w:pPr>
            <w:r>
              <w:rPr>
                <w:b/>
                <w:bCs/>
                <w:i/>
                <w:iCs/>
                <w:color w:val="FFFFFF"/>
                <w:sz w:val="18"/>
                <w:szCs w:val="18"/>
              </w:rPr>
              <w:t>Taller</w:t>
            </w:r>
          </w:p>
        </w:tc>
        <w:tc>
          <w:tcPr>
            <w:tcW w:w="2395" w:type="dxa"/>
            <w:shd w:val="clear" w:color="auto" w:fill="4472C4"/>
            <w:vAlign w:val="center"/>
          </w:tcPr>
          <w:p w14:paraId="3EBD6652" w14:textId="77777777" w:rsidR="00990B14" w:rsidRDefault="00000000">
            <w:pPr>
              <w:keepNext/>
              <w:spacing w:before="20" w:after="20"/>
              <w:jc w:val="center"/>
            </w:pPr>
            <w:r>
              <w:rPr>
                <w:b/>
                <w:bCs/>
                <w:i/>
                <w:iCs/>
                <w:color w:val="FFFFFF"/>
                <w:sz w:val="18"/>
                <w:szCs w:val="18"/>
              </w:rPr>
              <w:t>Investigación/Práctica</w:t>
            </w:r>
          </w:p>
        </w:tc>
      </w:tr>
      <w:tr w:rsidR="00990B14" w14:paraId="5D8BD9AF" w14:textId="77777777">
        <w:trPr>
          <w:jc w:val="center"/>
        </w:trPr>
        <w:tc>
          <w:tcPr>
            <w:tcW w:w="1700" w:type="dxa"/>
            <w:shd w:val="clear" w:color="auto" w:fill="D9E2F3"/>
          </w:tcPr>
          <w:p w14:paraId="601CB7EB" w14:textId="77777777" w:rsidR="00990B14" w:rsidRDefault="00000000">
            <w:pPr>
              <w:numPr>
                <w:ilvl w:val="0"/>
                <w:numId w:val="139"/>
              </w:numPr>
              <w:spacing w:before="10" w:after="10"/>
              <w:jc w:val="both"/>
            </w:pPr>
            <w:r>
              <w:rPr>
                <w:sz w:val="18"/>
                <w:szCs w:val="18"/>
              </w:rPr>
              <w:t>Exposición dialogada del hecho generador, el sujeto y la base imponible de cada impuesto.</w:t>
            </w:r>
          </w:p>
          <w:p w14:paraId="48C88B2A" w14:textId="77777777" w:rsidR="00990B14" w:rsidRDefault="00000000">
            <w:pPr>
              <w:numPr>
                <w:ilvl w:val="0"/>
                <w:numId w:val="139"/>
              </w:numPr>
              <w:spacing w:before="10" w:after="10"/>
              <w:jc w:val="both"/>
            </w:pPr>
            <w:r>
              <w:rPr>
                <w:sz w:val="18"/>
                <w:szCs w:val="18"/>
              </w:rPr>
              <w:t>Resolución guiada de liquidaciones con los formularios vigentes.</w:t>
            </w:r>
          </w:p>
          <w:p w14:paraId="508F9E1A" w14:textId="77777777" w:rsidR="00990B14" w:rsidRDefault="00000000">
            <w:pPr>
              <w:numPr>
                <w:ilvl w:val="0"/>
                <w:numId w:val="139"/>
              </w:numPr>
              <w:spacing w:before="10" w:after="10"/>
              <w:jc w:val="both"/>
            </w:pPr>
            <w:r>
              <w:rPr>
                <w:sz w:val="18"/>
                <w:szCs w:val="18"/>
              </w:rPr>
              <w:t>Demostración en las plataformas virtuales de la Administración Tributaria.</w:t>
            </w:r>
          </w:p>
          <w:p w14:paraId="30B12F1A" w14:textId="77777777" w:rsidR="00990B14" w:rsidRDefault="00000000">
            <w:pPr>
              <w:numPr>
                <w:ilvl w:val="0"/>
                <w:numId w:val="139"/>
              </w:numPr>
              <w:spacing w:before="10" w:after="10"/>
              <w:jc w:val="both"/>
            </w:pPr>
            <w:r>
              <w:rPr>
                <w:sz w:val="18"/>
                <w:szCs w:val="18"/>
              </w:rPr>
              <w:t>Análisis de casos de conciliación del resultado contable con el resultado fiscal.</w:t>
            </w:r>
          </w:p>
          <w:p w14:paraId="1868C241" w14:textId="77777777" w:rsidR="00990B14" w:rsidRDefault="00000000">
            <w:pPr>
              <w:numPr>
                <w:ilvl w:val="0"/>
                <w:numId w:val="139"/>
              </w:numPr>
              <w:spacing w:before="10" w:after="10"/>
              <w:jc w:val="both"/>
            </w:pPr>
            <w:r>
              <w:rPr>
                <w:sz w:val="18"/>
                <w:szCs w:val="18"/>
              </w:rPr>
              <w:t>Preguntas de comprensión sobre las modificaciones recientes de la normativa tributaria.</w:t>
            </w:r>
          </w:p>
        </w:tc>
        <w:tc>
          <w:tcPr>
            <w:tcW w:w="1700" w:type="dxa"/>
            <w:shd w:val="clear" w:color="auto" w:fill="D9E2F3"/>
          </w:tcPr>
          <w:p w14:paraId="05F0E7DF" w14:textId="77777777" w:rsidR="00990B14" w:rsidRDefault="00000000">
            <w:pPr>
              <w:numPr>
                <w:ilvl w:val="0"/>
                <w:numId w:val="139"/>
              </w:numPr>
              <w:spacing w:before="10" w:after="10"/>
              <w:jc w:val="both"/>
            </w:pPr>
            <w:r>
              <w:rPr>
                <w:sz w:val="18"/>
                <w:szCs w:val="18"/>
              </w:rPr>
              <w:t>Resolución de ejercicios de liquidación de impuestos al cierre de cada tema.</w:t>
            </w:r>
          </w:p>
          <w:p w14:paraId="05FC0898" w14:textId="77777777" w:rsidR="00990B14" w:rsidRDefault="00000000">
            <w:pPr>
              <w:numPr>
                <w:ilvl w:val="0"/>
                <w:numId w:val="139"/>
              </w:numPr>
              <w:spacing w:before="10" w:after="10"/>
              <w:jc w:val="both"/>
            </w:pPr>
            <w:r>
              <w:rPr>
                <w:sz w:val="18"/>
                <w:szCs w:val="18"/>
              </w:rPr>
              <w:t>Lectura de las normas tributarias y sus decretos reglamentarios vigentes.</w:t>
            </w:r>
          </w:p>
          <w:p w14:paraId="30E253A3" w14:textId="77777777" w:rsidR="00990B14" w:rsidRDefault="00000000">
            <w:pPr>
              <w:numPr>
                <w:ilvl w:val="0"/>
                <w:numId w:val="139"/>
              </w:numPr>
              <w:spacing w:before="10" w:after="10"/>
              <w:jc w:val="both"/>
            </w:pPr>
            <w:r>
              <w:rPr>
                <w:sz w:val="18"/>
                <w:szCs w:val="18"/>
              </w:rPr>
              <w:t>Desarrollo progresivo, en hoja de cálculo, de un caso práctico integral de liquidación de tributos de una entidad boliviana.</w:t>
            </w:r>
          </w:p>
        </w:tc>
        <w:tc>
          <w:tcPr>
            <w:tcW w:w="1805" w:type="dxa"/>
            <w:shd w:val="clear" w:color="auto" w:fill="D9E2F3"/>
          </w:tcPr>
          <w:p w14:paraId="75AF5254" w14:textId="77777777" w:rsidR="00990B14" w:rsidRDefault="00000000">
            <w:pPr>
              <w:numPr>
                <w:ilvl w:val="0"/>
                <w:numId w:val="139"/>
              </w:numPr>
              <w:spacing w:before="10" w:after="10"/>
              <w:jc w:val="both"/>
            </w:pPr>
            <w:r>
              <w:rPr>
                <w:sz w:val="18"/>
                <w:szCs w:val="18"/>
              </w:rPr>
              <w:t>Cuestionarios de comprensión en la plataforma Moodle UMSA.</w:t>
            </w:r>
          </w:p>
          <w:p w14:paraId="61F6509B" w14:textId="77777777" w:rsidR="00990B14" w:rsidRDefault="00000000">
            <w:pPr>
              <w:numPr>
                <w:ilvl w:val="0"/>
                <w:numId w:val="139"/>
              </w:numPr>
              <w:spacing w:before="10" w:after="10"/>
              <w:jc w:val="both"/>
            </w:pPr>
            <w:r>
              <w:rPr>
                <w:sz w:val="18"/>
                <w:szCs w:val="18"/>
              </w:rPr>
              <w:t>Foros de consulta sobre la liquidación de cada impuesto.</w:t>
            </w:r>
          </w:p>
          <w:p w14:paraId="417F4052" w14:textId="77777777" w:rsidR="00990B14" w:rsidRDefault="00000000">
            <w:pPr>
              <w:numPr>
                <w:ilvl w:val="0"/>
                <w:numId w:val="139"/>
              </w:numPr>
              <w:spacing w:before="10" w:after="10"/>
              <w:jc w:val="both"/>
            </w:pPr>
            <w:r>
              <w:rPr>
                <w:sz w:val="18"/>
                <w:szCs w:val="18"/>
              </w:rPr>
              <w:t>Videotutoriales de manejo de las plataformas virtuales de la Administración Tributaria</w:t>
            </w:r>
          </w:p>
        </w:tc>
        <w:tc>
          <w:tcPr>
            <w:tcW w:w="1805" w:type="dxa"/>
            <w:shd w:val="clear" w:color="auto" w:fill="D9E2F3"/>
          </w:tcPr>
          <w:p w14:paraId="49D366DA" w14:textId="77777777" w:rsidR="00990B14" w:rsidRDefault="00000000">
            <w:pPr>
              <w:numPr>
                <w:ilvl w:val="0"/>
                <w:numId w:val="139"/>
              </w:numPr>
              <w:spacing w:before="10" w:after="10"/>
              <w:jc w:val="both"/>
            </w:pPr>
            <w:r>
              <w:rPr>
                <w:sz w:val="18"/>
                <w:szCs w:val="18"/>
              </w:rPr>
              <w:t>Resolución colaborativa de declaraciones juradas del IVA, el IT y el RC-IVA.</w:t>
            </w:r>
          </w:p>
          <w:p w14:paraId="4E1D8399" w14:textId="77777777" w:rsidR="00990B14" w:rsidRDefault="00000000">
            <w:pPr>
              <w:numPr>
                <w:ilvl w:val="0"/>
                <w:numId w:val="139"/>
              </w:numPr>
              <w:spacing w:before="10" w:after="10"/>
              <w:jc w:val="both"/>
            </w:pPr>
            <w:r>
              <w:rPr>
                <w:sz w:val="18"/>
                <w:szCs w:val="18"/>
              </w:rPr>
              <w:t>Elaboración guiada de la determinación del resultado fiscal y el IUE.</w:t>
            </w:r>
          </w:p>
          <w:p w14:paraId="5D4E6C95" w14:textId="77777777" w:rsidR="00990B14" w:rsidRDefault="00000000">
            <w:pPr>
              <w:numPr>
                <w:ilvl w:val="0"/>
                <w:numId w:val="139"/>
              </w:numPr>
              <w:spacing w:before="10" w:after="10"/>
              <w:jc w:val="both"/>
            </w:pPr>
            <w:r>
              <w:rPr>
                <w:sz w:val="18"/>
                <w:szCs w:val="18"/>
              </w:rPr>
              <w:t>Revisión cruzada de la liquidación de tributos nacionales, departamentales y municipales entre equipos, con la conciliación de sus registros contables.</w:t>
            </w:r>
          </w:p>
        </w:tc>
        <w:tc>
          <w:tcPr>
            <w:tcW w:w="2395" w:type="dxa"/>
            <w:shd w:val="clear" w:color="auto" w:fill="D9E2F3"/>
          </w:tcPr>
          <w:p w14:paraId="24A86E77" w14:textId="77777777" w:rsidR="00990B14" w:rsidRDefault="00000000">
            <w:pPr>
              <w:numPr>
                <w:ilvl w:val="0"/>
                <w:numId w:val="139"/>
              </w:numPr>
              <w:spacing w:before="10" w:after="10"/>
              <w:jc w:val="both"/>
            </w:pPr>
            <w:r>
              <w:rPr>
                <w:sz w:val="18"/>
                <w:szCs w:val="18"/>
              </w:rPr>
              <w:t>Revisión de formularios y aplicativos vigentes del Servicio de Impuestos Nacionales.</w:t>
            </w:r>
          </w:p>
          <w:p w14:paraId="6CA29901" w14:textId="77777777" w:rsidR="00990B14" w:rsidRDefault="00000000">
            <w:pPr>
              <w:numPr>
                <w:ilvl w:val="0"/>
                <w:numId w:val="139"/>
              </w:numPr>
              <w:spacing w:before="10" w:after="10"/>
              <w:jc w:val="both"/>
            </w:pPr>
            <w:r>
              <w:rPr>
                <w:sz w:val="18"/>
                <w:szCs w:val="18"/>
              </w:rPr>
              <w:t>Análisis de resoluciones normativas de directorio relacionadas con cada impuesto.</w:t>
            </w:r>
          </w:p>
          <w:p w14:paraId="34D4AA09" w14:textId="77777777" w:rsidR="00990B14" w:rsidRDefault="00000000">
            <w:pPr>
              <w:numPr>
                <w:ilvl w:val="0"/>
                <w:numId w:val="139"/>
              </w:numPr>
              <w:spacing w:before="10" w:after="10"/>
              <w:jc w:val="both"/>
            </w:pPr>
            <w:r>
              <w:rPr>
                <w:sz w:val="18"/>
                <w:szCs w:val="18"/>
              </w:rPr>
              <w:t>Comparación del IVA y del impuesto sobre las utilidades de las empresas en Bolivia con los de otros países de la región, con un glosario de términos tributarios en inglés.</w:t>
            </w:r>
          </w:p>
        </w:tc>
      </w:tr>
    </w:tbl>
    <w:p w14:paraId="592AF42D"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829"/>
        <w:gridCol w:w="1910"/>
        <w:gridCol w:w="1846"/>
        <w:gridCol w:w="1910"/>
        <w:gridCol w:w="1910"/>
      </w:tblGrid>
      <w:tr w:rsidR="00990B14" w14:paraId="3839B764" w14:textId="77777777">
        <w:trPr>
          <w:jc w:val="center"/>
        </w:trPr>
        <w:tc>
          <w:tcPr>
            <w:tcW w:w="1829" w:type="dxa"/>
            <w:shd w:val="clear" w:color="auto" w:fill="4472C4"/>
            <w:vAlign w:val="center"/>
          </w:tcPr>
          <w:p w14:paraId="5FE647E0" w14:textId="77777777" w:rsidR="00990B14" w:rsidRDefault="00000000">
            <w:pPr>
              <w:spacing w:before="20" w:after="20"/>
              <w:jc w:val="center"/>
            </w:pPr>
            <w:r>
              <w:rPr>
                <w:b/>
                <w:bCs/>
                <w:i/>
                <w:iCs/>
                <w:color w:val="FFFFFF"/>
                <w:sz w:val="18"/>
                <w:szCs w:val="18"/>
              </w:rPr>
              <w:t>Estrategias de aprendizaje y enseñanza</w:t>
            </w:r>
          </w:p>
        </w:tc>
        <w:tc>
          <w:tcPr>
            <w:tcW w:w="7576" w:type="dxa"/>
            <w:gridSpan w:val="4"/>
            <w:shd w:val="clear" w:color="auto" w:fill="D9E2F3"/>
            <w:vAlign w:val="center"/>
          </w:tcPr>
          <w:p w14:paraId="20603AF0" w14:textId="77777777" w:rsidR="00990B14" w:rsidRDefault="00000000">
            <w:pPr>
              <w:numPr>
                <w:ilvl w:val="0"/>
                <w:numId w:val="140"/>
              </w:numPr>
              <w:spacing w:before="10" w:after="10"/>
              <w:jc w:val="both"/>
            </w:pPr>
            <w:r>
              <w:rPr>
                <w:sz w:val="18"/>
                <w:szCs w:val="18"/>
              </w:rPr>
              <w:t>Aprendizaje basado en problemas con casos tributarios de contribuyentes bolivianos.</w:t>
            </w:r>
          </w:p>
          <w:p w14:paraId="26C1C582" w14:textId="77777777" w:rsidR="00990B14" w:rsidRDefault="00000000">
            <w:pPr>
              <w:numPr>
                <w:ilvl w:val="0"/>
                <w:numId w:val="140"/>
              </w:numPr>
              <w:spacing w:before="10" w:after="10"/>
              <w:jc w:val="both"/>
            </w:pPr>
            <w:r>
              <w:rPr>
                <w:sz w:val="18"/>
                <w:szCs w:val="18"/>
              </w:rPr>
              <w:t>Resolución guiada de ejercicios en orden de dificultad creciente por impuesto.</w:t>
            </w:r>
          </w:p>
          <w:p w14:paraId="72C2C82B" w14:textId="77777777" w:rsidR="00990B14" w:rsidRDefault="00000000">
            <w:pPr>
              <w:numPr>
                <w:ilvl w:val="0"/>
                <w:numId w:val="140"/>
              </w:numPr>
              <w:spacing w:before="10" w:after="10"/>
              <w:jc w:val="both"/>
            </w:pPr>
            <w:r>
              <w:rPr>
                <w:sz w:val="18"/>
                <w:szCs w:val="18"/>
              </w:rPr>
              <w:t>Caso práctico integral que recorre la liquidación de los tributos de dominio nacional, departamental y municipal.</w:t>
            </w:r>
          </w:p>
          <w:p w14:paraId="3585FF73" w14:textId="77777777" w:rsidR="00990B14" w:rsidRDefault="00000000">
            <w:pPr>
              <w:numPr>
                <w:ilvl w:val="0"/>
                <w:numId w:val="140"/>
              </w:numPr>
              <w:spacing w:before="10" w:after="10"/>
              <w:jc w:val="both"/>
            </w:pPr>
            <w:r>
              <w:rPr>
                <w:sz w:val="18"/>
                <w:szCs w:val="18"/>
              </w:rPr>
              <w:t>Estudio de casos de fiscalización y procedimientos ante la Administración Tributaria.</w:t>
            </w:r>
          </w:p>
          <w:p w14:paraId="70A5B2EB" w14:textId="77777777" w:rsidR="00990B14" w:rsidRDefault="00000000">
            <w:pPr>
              <w:numPr>
                <w:ilvl w:val="0"/>
                <w:numId w:val="140"/>
              </w:numPr>
              <w:spacing w:before="10" w:after="10"/>
              <w:jc w:val="both"/>
            </w:pPr>
            <w:r>
              <w:rPr>
                <w:sz w:val="18"/>
                <w:szCs w:val="18"/>
              </w:rPr>
              <w:t>Trabajo colaborativo en equipos de liquidación y llenado de formularios.</w:t>
            </w:r>
          </w:p>
          <w:p w14:paraId="1FCDE0E7" w14:textId="77777777" w:rsidR="00990B14" w:rsidRDefault="00000000">
            <w:pPr>
              <w:numPr>
                <w:ilvl w:val="0"/>
                <w:numId w:val="140"/>
              </w:numPr>
              <w:spacing w:before="10" w:after="10"/>
              <w:jc w:val="both"/>
            </w:pPr>
            <w:r>
              <w:rPr>
                <w:sz w:val="18"/>
                <w:szCs w:val="18"/>
              </w:rPr>
              <w:t>Clase invertida para los contenidos normativos de cada impuesto.</w:t>
            </w:r>
          </w:p>
        </w:tc>
      </w:tr>
      <w:tr w:rsidR="00990B14" w14:paraId="7F71ACF8" w14:textId="77777777">
        <w:trPr>
          <w:jc w:val="center"/>
        </w:trPr>
        <w:tc>
          <w:tcPr>
            <w:tcW w:w="1829" w:type="dxa"/>
            <w:shd w:val="clear" w:color="auto" w:fill="4472C4"/>
            <w:vAlign w:val="center"/>
          </w:tcPr>
          <w:p w14:paraId="193D3705" w14:textId="77777777" w:rsidR="00990B14" w:rsidRDefault="00000000">
            <w:pPr>
              <w:spacing w:before="20" w:after="20"/>
              <w:jc w:val="center"/>
            </w:pPr>
            <w:r>
              <w:rPr>
                <w:b/>
                <w:bCs/>
                <w:i/>
                <w:iCs/>
                <w:color w:val="FFFFFF"/>
                <w:sz w:val="18"/>
                <w:szCs w:val="18"/>
              </w:rPr>
              <w:t>Recursos para el aprendizaje</w:t>
            </w:r>
          </w:p>
        </w:tc>
        <w:tc>
          <w:tcPr>
            <w:tcW w:w="7576" w:type="dxa"/>
            <w:gridSpan w:val="4"/>
            <w:shd w:val="clear" w:color="auto" w:fill="D9E2F3"/>
            <w:vAlign w:val="center"/>
          </w:tcPr>
          <w:p w14:paraId="5C747D6D" w14:textId="77777777" w:rsidR="00990B14" w:rsidRDefault="00000000">
            <w:pPr>
              <w:numPr>
                <w:ilvl w:val="0"/>
                <w:numId w:val="140"/>
              </w:numPr>
              <w:spacing w:before="10" w:after="10"/>
              <w:jc w:val="both"/>
            </w:pPr>
            <w:r>
              <w:rPr>
                <w:sz w:val="18"/>
                <w:szCs w:val="18"/>
              </w:rPr>
              <w:t>Plataforma Moodle UMSA.</w:t>
            </w:r>
          </w:p>
          <w:p w14:paraId="7BFCAACA" w14:textId="77777777" w:rsidR="00990B14" w:rsidRDefault="00000000">
            <w:pPr>
              <w:numPr>
                <w:ilvl w:val="0"/>
                <w:numId w:val="140"/>
              </w:numPr>
              <w:spacing w:before="10" w:after="10"/>
              <w:jc w:val="both"/>
            </w:pPr>
            <w:r>
              <w:rPr>
                <w:sz w:val="18"/>
                <w:szCs w:val="18"/>
              </w:rPr>
              <w:t>Plataformas virtuales de la Administración Tributaria.</w:t>
            </w:r>
          </w:p>
          <w:p w14:paraId="273112AD" w14:textId="77777777" w:rsidR="00990B14" w:rsidRDefault="00000000">
            <w:pPr>
              <w:numPr>
                <w:ilvl w:val="0"/>
                <w:numId w:val="140"/>
              </w:numPr>
              <w:spacing w:before="10" w:after="10"/>
              <w:jc w:val="both"/>
            </w:pPr>
            <w:r>
              <w:rPr>
                <w:sz w:val="18"/>
                <w:szCs w:val="18"/>
              </w:rPr>
              <w:t>Formularios vigentes de cada impuesto y guías de llenado.</w:t>
            </w:r>
          </w:p>
          <w:p w14:paraId="20A6441A" w14:textId="77777777" w:rsidR="00990B14" w:rsidRDefault="00000000">
            <w:pPr>
              <w:numPr>
                <w:ilvl w:val="0"/>
                <w:numId w:val="140"/>
              </w:numPr>
              <w:spacing w:before="10" w:after="10"/>
              <w:jc w:val="both"/>
            </w:pPr>
            <w:r>
              <w:rPr>
                <w:sz w:val="18"/>
                <w:szCs w:val="18"/>
              </w:rPr>
              <w:t>Compendio de Normas de Contabilidad y Auditoría del CAUB y Normas Internacionales de Información Financiera.</w:t>
            </w:r>
          </w:p>
          <w:p w14:paraId="258F5757" w14:textId="77777777" w:rsidR="00990B14" w:rsidRDefault="00000000">
            <w:pPr>
              <w:numPr>
                <w:ilvl w:val="0"/>
                <w:numId w:val="140"/>
              </w:numPr>
              <w:spacing w:before="10" w:after="10"/>
              <w:jc w:val="both"/>
            </w:pPr>
            <w:r>
              <w:rPr>
                <w:sz w:val="18"/>
                <w:szCs w:val="18"/>
              </w:rPr>
              <w:t>Guías de ejercicios y casos elaborados por la cátedra.</w:t>
            </w:r>
          </w:p>
          <w:p w14:paraId="0716596F" w14:textId="77777777" w:rsidR="00990B14" w:rsidRDefault="00000000">
            <w:pPr>
              <w:numPr>
                <w:ilvl w:val="0"/>
                <w:numId w:val="140"/>
              </w:numPr>
              <w:spacing w:before="10" w:after="10"/>
              <w:jc w:val="both"/>
            </w:pPr>
            <w:r>
              <w:rPr>
                <w:sz w:val="18"/>
                <w:szCs w:val="18"/>
              </w:rPr>
              <w:t>Hojas de cálculo para la liquidación de impuestos y la conciliación del resultado contable con el resultado fiscal.</w:t>
            </w:r>
          </w:p>
        </w:tc>
      </w:tr>
      <w:tr w:rsidR="00990B14" w14:paraId="2E3D8548" w14:textId="77777777">
        <w:trPr>
          <w:jc w:val="center"/>
        </w:trPr>
        <w:tc>
          <w:tcPr>
            <w:tcW w:w="1829" w:type="dxa"/>
            <w:shd w:val="clear" w:color="auto" w:fill="4472C4"/>
            <w:vAlign w:val="center"/>
          </w:tcPr>
          <w:p w14:paraId="4705A865" w14:textId="77777777" w:rsidR="00990B14" w:rsidRDefault="00000000">
            <w:pPr>
              <w:spacing w:before="20" w:after="20"/>
              <w:jc w:val="center"/>
            </w:pPr>
            <w:r>
              <w:rPr>
                <w:b/>
                <w:bCs/>
                <w:i/>
                <w:iCs/>
                <w:color w:val="FFFFFF"/>
                <w:sz w:val="18"/>
                <w:szCs w:val="18"/>
              </w:rPr>
              <w:t>Estrategias de evaluación</w:t>
            </w:r>
          </w:p>
        </w:tc>
        <w:tc>
          <w:tcPr>
            <w:tcW w:w="7576" w:type="dxa"/>
            <w:gridSpan w:val="4"/>
            <w:shd w:val="clear" w:color="auto" w:fill="D9E2F3"/>
            <w:vAlign w:val="center"/>
          </w:tcPr>
          <w:p w14:paraId="3F19FFBC" w14:textId="77777777" w:rsidR="00990B14" w:rsidRDefault="00000000">
            <w:pPr>
              <w:numPr>
                <w:ilvl w:val="0"/>
                <w:numId w:val="140"/>
              </w:numPr>
              <w:spacing w:before="10" w:after="10"/>
              <w:jc w:val="both"/>
            </w:pPr>
            <w:r>
              <w:rPr>
                <w:sz w:val="18"/>
                <w:szCs w:val="18"/>
              </w:rPr>
              <w:t>Evaluación diagnóstica: prueba inicial sobre la teoría de las cuentas y los estados financieros de la asignatura CPA-101 Contabilidad Básica.</w:t>
            </w:r>
          </w:p>
          <w:p w14:paraId="6374AF5A" w14:textId="77777777" w:rsidR="00990B14" w:rsidRDefault="00000000">
            <w:pPr>
              <w:numPr>
                <w:ilvl w:val="0"/>
                <w:numId w:val="140"/>
              </w:numPr>
              <w:spacing w:before="10" w:after="10"/>
              <w:jc w:val="both"/>
            </w:pPr>
            <w:r>
              <w:rPr>
                <w:sz w:val="18"/>
                <w:szCs w:val="18"/>
              </w:rPr>
              <w:t>Evaluación formativa: preguntas de comprensión y desarrollo de ejercicios prácticos en el aula, con retroalimentación continua, autoevaluación y coevaluación.</w:t>
            </w:r>
          </w:p>
          <w:p w14:paraId="0E780AA8" w14:textId="77777777" w:rsidR="00990B14" w:rsidRDefault="00000000">
            <w:pPr>
              <w:numPr>
                <w:ilvl w:val="0"/>
                <w:numId w:val="140"/>
              </w:numPr>
              <w:spacing w:before="10" w:after="10"/>
              <w:jc w:val="both"/>
            </w:pPr>
            <w:r>
              <w:rPr>
                <w:sz w:val="18"/>
                <w:szCs w:val="18"/>
              </w:rPr>
              <w:t>Evaluación sumativa: controles de lectura y asistencia, evaluación de casos prácticos, trabajos de investigación y desarrollo, exámenes parciales y examen final.</w:t>
            </w:r>
          </w:p>
        </w:tc>
      </w:tr>
      <w:tr w:rsidR="00990B14" w14:paraId="59682CA8" w14:textId="77777777">
        <w:trPr>
          <w:jc w:val="center"/>
        </w:trPr>
        <w:tc>
          <w:tcPr>
            <w:tcW w:w="1829" w:type="dxa"/>
            <w:shd w:val="clear" w:color="auto" w:fill="4472C4"/>
            <w:vAlign w:val="center"/>
          </w:tcPr>
          <w:p w14:paraId="092EE21E" w14:textId="77777777" w:rsidR="00990B14" w:rsidRDefault="00000000">
            <w:pPr>
              <w:spacing w:before="20" w:after="20"/>
              <w:jc w:val="center"/>
            </w:pPr>
            <w:r>
              <w:rPr>
                <w:b/>
                <w:bCs/>
                <w:i/>
                <w:iCs/>
                <w:color w:val="FFFFFF"/>
                <w:sz w:val="18"/>
                <w:szCs w:val="18"/>
              </w:rPr>
              <w:t>Criterios de calificación</w:t>
            </w:r>
          </w:p>
        </w:tc>
        <w:tc>
          <w:tcPr>
            <w:tcW w:w="7576" w:type="dxa"/>
            <w:gridSpan w:val="4"/>
            <w:shd w:val="clear" w:color="auto" w:fill="D9E2F3"/>
            <w:vAlign w:val="center"/>
          </w:tcPr>
          <w:p w14:paraId="66A54CE6" w14:textId="77777777" w:rsidR="00990B14" w:rsidRDefault="00000000">
            <w:pPr>
              <w:numPr>
                <w:ilvl w:val="0"/>
                <w:numId w:val="140"/>
              </w:numPr>
              <w:spacing w:before="10" w:after="10"/>
              <w:jc w:val="both"/>
            </w:pPr>
            <w:r>
              <w:rPr>
                <w:sz w:val="18"/>
                <w:szCs w:val="18"/>
              </w:rPr>
              <w:t>Nota mínima de aprobación: 51/100.</w:t>
            </w:r>
          </w:p>
          <w:p w14:paraId="6E83EFA4" w14:textId="77777777" w:rsidR="00990B14" w:rsidRDefault="00000000">
            <w:pPr>
              <w:numPr>
                <w:ilvl w:val="0"/>
                <w:numId w:val="140"/>
              </w:numPr>
              <w:spacing w:before="10" w:after="10"/>
              <w:jc w:val="both"/>
            </w:pPr>
            <w:r>
              <w:rPr>
                <w:sz w:val="18"/>
                <w:szCs w:val="18"/>
              </w:rPr>
              <w:t>Evaluación periódica al finalizar cada tema, basada en evidencias de conocimiento, desempeño y producto.</w:t>
            </w:r>
          </w:p>
          <w:p w14:paraId="568D497B" w14:textId="77777777" w:rsidR="00990B14" w:rsidRDefault="00000000">
            <w:pPr>
              <w:numPr>
                <w:ilvl w:val="0"/>
                <w:numId w:val="140"/>
              </w:numPr>
              <w:spacing w:before="10" w:after="10"/>
              <w:jc w:val="both"/>
            </w:pPr>
            <w:r>
              <w:rPr>
                <w:sz w:val="18"/>
                <w:szCs w:val="18"/>
              </w:rPr>
              <w:t>Cada evidencia de producto se evalúa con su propia rúbrica de tres niveles: Insuficiente, Suficiente y Destacado.</w:t>
            </w:r>
          </w:p>
          <w:p w14:paraId="0548EAE6" w14:textId="77777777" w:rsidR="00990B14" w:rsidRDefault="00000000">
            <w:pPr>
              <w:numPr>
                <w:ilvl w:val="0"/>
                <w:numId w:val="140"/>
              </w:numPr>
              <w:spacing w:before="10" w:after="10"/>
              <w:jc w:val="both"/>
            </w:pPr>
            <w:r>
              <w:rPr>
                <w:sz w:val="18"/>
                <w:szCs w:val="18"/>
              </w:rPr>
              <w:t>La calificación de cada elemento de competencia suma las calificaciones de sus evidencias de producto.</w:t>
            </w:r>
          </w:p>
        </w:tc>
      </w:tr>
      <w:tr w:rsidR="00990B14" w14:paraId="4C5B1562" w14:textId="77777777">
        <w:trPr>
          <w:cantSplit/>
          <w:jc w:val="center"/>
        </w:trPr>
        <w:tc>
          <w:tcPr>
            <w:tcW w:w="1829" w:type="dxa"/>
            <w:vMerge w:val="restart"/>
            <w:shd w:val="clear" w:color="auto" w:fill="4472C4"/>
            <w:vAlign w:val="center"/>
          </w:tcPr>
          <w:p w14:paraId="0C85FE3A" w14:textId="77777777" w:rsidR="00990B14" w:rsidRDefault="00000000">
            <w:pPr>
              <w:spacing w:before="20" w:after="20"/>
              <w:jc w:val="center"/>
            </w:pPr>
            <w:r>
              <w:rPr>
                <w:b/>
                <w:bCs/>
                <w:i/>
                <w:iCs/>
                <w:color w:val="FFFFFF"/>
                <w:sz w:val="18"/>
                <w:szCs w:val="18"/>
              </w:rPr>
              <w:t>Niveles de logro y distribución de la calificación</w:t>
            </w:r>
          </w:p>
        </w:tc>
        <w:tc>
          <w:tcPr>
            <w:tcW w:w="5666" w:type="dxa"/>
            <w:gridSpan w:val="3"/>
            <w:shd w:val="clear" w:color="auto" w:fill="D9E2F3"/>
            <w:vAlign w:val="center"/>
          </w:tcPr>
          <w:p w14:paraId="0B76BEB5" w14:textId="77777777" w:rsidR="00990B14" w:rsidRDefault="00000000">
            <w:pPr>
              <w:keepNext/>
              <w:spacing w:before="20" w:after="20"/>
              <w:jc w:val="both"/>
            </w:pPr>
            <w:r>
              <w:rPr>
                <w:b/>
                <w:bCs/>
                <w:i/>
                <w:iCs/>
                <w:sz w:val="18"/>
                <w:szCs w:val="18"/>
              </w:rPr>
              <w:t xml:space="preserve">Producto 1: </w:t>
            </w:r>
            <w:r>
              <w:rPr>
                <w:sz w:val="18"/>
                <w:szCs w:val="18"/>
              </w:rPr>
              <w:t>Cuadro de regímenes tributarios</w:t>
            </w:r>
          </w:p>
        </w:tc>
        <w:tc>
          <w:tcPr>
            <w:tcW w:w="1910" w:type="dxa"/>
            <w:shd w:val="clear" w:color="auto" w:fill="D9E2F3"/>
            <w:vAlign w:val="center"/>
          </w:tcPr>
          <w:p w14:paraId="657ECBBE" w14:textId="77777777" w:rsidR="00990B14" w:rsidRDefault="00000000">
            <w:pPr>
              <w:spacing w:before="20" w:after="20"/>
              <w:jc w:val="center"/>
            </w:pPr>
            <w:r>
              <w:rPr>
                <w:b/>
                <w:bCs/>
                <w:sz w:val="18"/>
                <w:szCs w:val="18"/>
              </w:rPr>
              <w:t>4%</w:t>
            </w:r>
          </w:p>
        </w:tc>
      </w:tr>
      <w:tr w:rsidR="00990B14" w14:paraId="1BDB9E17" w14:textId="77777777">
        <w:trPr>
          <w:cantSplit/>
          <w:jc w:val="center"/>
        </w:trPr>
        <w:tc>
          <w:tcPr>
            <w:tcW w:w="1829" w:type="dxa"/>
            <w:vMerge/>
            <w:shd w:val="clear" w:color="auto" w:fill="4472C4"/>
            <w:vAlign w:val="center"/>
          </w:tcPr>
          <w:p w14:paraId="5D5036E1" w14:textId="77777777" w:rsidR="00990B14" w:rsidRDefault="00990B14">
            <w:pPr>
              <w:spacing w:before="20" w:after="20"/>
            </w:pPr>
          </w:p>
        </w:tc>
        <w:tc>
          <w:tcPr>
            <w:tcW w:w="1910" w:type="dxa"/>
            <w:shd w:val="clear" w:color="auto" w:fill="4472C4"/>
            <w:vAlign w:val="center"/>
          </w:tcPr>
          <w:p w14:paraId="69562D41" w14:textId="77777777" w:rsidR="00990B14" w:rsidRDefault="00000000">
            <w:pPr>
              <w:keepNext/>
              <w:spacing w:before="20" w:after="20"/>
              <w:jc w:val="center"/>
            </w:pPr>
            <w:r>
              <w:rPr>
                <w:b/>
                <w:bCs/>
                <w:i/>
                <w:iCs/>
                <w:color w:val="FFFFFF"/>
                <w:sz w:val="18"/>
                <w:szCs w:val="18"/>
              </w:rPr>
              <w:t>Criterio</w:t>
            </w:r>
          </w:p>
        </w:tc>
        <w:tc>
          <w:tcPr>
            <w:tcW w:w="1846" w:type="dxa"/>
            <w:shd w:val="clear" w:color="auto" w:fill="4472C4"/>
            <w:vAlign w:val="center"/>
          </w:tcPr>
          <w:p w14:paraId="2A12F673"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34855978"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7AC61334" w14:textId="77777777" w:rsidR="00990B14" w:rsidRDefault="00000000">
            <w:pPr>
              <w:keepNext/>
              <w:spacing w:before="20" w:after="20"/>
              <w:jc w:val="center"/>
            </w:pPr>
            <w:r>
              <w:rPr>
                <w:b/>
                <w:bCs/>
                <w:i/>
                <w:iCs/>
                <w:color w:val="FFFFFF"/>
                <w:sz w:val="18"/>
                <w:szCs w:val="18"/>
              </w:rPr>
              <w:t>Destacado (81–100)</w:t>
            </w:r>
          </w:p>
        </w:tc>
      </w:tr>
      <w:tr w:rsidR="00990B14" w14:paraId="2CCE835A" w14:textId="77777777">
        <w:trPr>
          <w:cantSplit/>
          <w:jc w:val="center"/>
        </w:trPr>
        <w:tc>
          <w:tcPr>
            <w:tcW w:w="1829" w:type="dxa"/>
            <w:vMerge/>
            <w:shd w:val="clear" w:color="auto" w:fill="4472C4"/>
            <w:vAlign w:val="center"/>
          </w:tcPr>
          <w:p w14:paraId="534C96EB" w14:textId="77777777" w:rsidR="00990B14" w:rsidRDefault="00990B14">
            <w:pPr>
              <w:spacing w:before="20" w:after="20"/>
            </w:pPr>
          </w:p>
        </w:tc>
        <w:tc>
          <w:tcPr>
            <w:tcW w:w="1910" w:type="dxa"/>
            <w:shd w:val="clear" w:color="auto" w:fill="D9E2F3"/>
            <w:vAlign w:val="center"/>
          </w:tcPr>
          <w:p w14:paraId="3C46A8E9" w14:textId="77777777" w:rsidR="00990B14" w:rsidRDefault="00000000">
            <w:pPr>
              <w:spacing w:before="20" w:after="20"/>
              <w:jc w:val="both"/>
            </w:pPr>
            <w:r>
              <w:rPr>
                <w:sz w:val="18"/>
                <w:szCs w:val="18"/>
              </w:rPr>
              <w:t>Régimen general</w:t>
            </w:r>
          </w:p>
        </w:tc>
        <w:tc>
          <w:tcPr>
            <w:tcW w:w="1846" w:type="dxa"/>
            <w:shd w:val="clear" w:color="auto" w:fill="D9E2F3"/>
            <w:vAlign w:val="center"/>
          </w:tcPr>
          <w:p w14:paraId="7DCACFED" w14:textId="77777777" w:rsidR="00990B14" w:rsidRDefault="00000000">
            <w:pPr>
              <w:spacing w:before="20" w:after="20"/>
              <w:jc w:val="both"/>
            </w:pPr>
            <w:r>
              <w:rPr>
                <w:sz w:val="18"/>
                <w:szCs w:val="18"/>
              </w:rPr>
              <w:t>Confunde las categorías del régimen general.</w:t>
            </w:r>
          </w:p>
        </w:tc>
        <w:tc>
          <w:tcPr>
            <w:tcW w:w="1910" w:type="dxa"/>
            <w:shd w:val="clear" w:color="auto" w:fill="D9E2F3"/>
            <w:vAlign w:val="center"/>
          </w:tcPr>
          <w:p w14:paraId="6897BCC4" w14:textId="77777777" w:rsidR="00990B14" w:rsidRDefault="00000000">
            <w:pPr>
              <w:spacing w:before="20" w:after="20"/>
              <w:jc w:val="both"/>
            </w:pPr>
            <w:r>
              <w:rPr>
                <w:sz w:val="18"/>
                <w:szCs w:val="18"/>
              </w:rPr>
              <w:t>Distingue a Pricos, Gracos y resto de contribuyentes.</w:t>
            </w:r>
          </w:p>
        </w:tc>
        <w:tc>
          <w:tcPr>
            <w:tcW w:w="1910" w:type="dxa"/>
            <w:shd w:val="clear" w:color="auto" w:fill="D9E2F3"/>
            <w:vAlign w:val="center"/>
          </w:tcPr>
          <w:p w14:paraId="2031AD35" w14:textId="77777777" w:rsidR="00990B14" w:rsidRDefault="00000000">
            <w:pPr>
              <w:spacing w:before="20" w:after="20"/>
              <w:jc w:val="both"/>
            </w:pPr>
            <w:r>
              <w:rPr>
                <w:sz w:val="18"/>
                <w:szCs w:val="18"/>
              </w:rPr>
              <w:t>Explica las obligaciones adicionales de cada categoría.</w:t>
            </w:r>
          </w:p>
        </w:tc>
      </w:tr>
      <w:tr w:rsidR="00990B14" w14:paraId="37608B18" w14:textId="77777777">
        <w:trPr>
          <w:cantSplit/>
          <w:jc w:val="center"/>
        </w:trPr>
        <w:tc>
          <w:tcPr>
            <w:tcW w:w="1829" w:type="dxa"/>
            <w:vMerge/>
            <w:shd w:val="clear" w:color="auto" w:fill="4472C4"/>
            <w:vAlign w:val="center"/>
          </w:tcPr>
          <w:p w14:paraId="0991D6E9" w14:textId="77777777" w:rsidR="00990B14" w:rsidRDefault="00990B14">
            <w:pPr>
              <w:spacing w:before="20" w:after="20"/>
            </w:pPr>
          </w:p>
        </w:tc>
        <w:tc>
          <w:tcPr>
            <w:tcW w:w="1910" w:type="dxa"/>
            <w:shd w:val="clear" w:color="auto" w:fill="D9E2F3"/>
            <w:vAlign w:val="center"/>
          </w:tcPr>
          <w:p w14:paraId="3AEE5980" w14:textId="77777777" w:rsidR="00990B14" w:rsidRDefault="00000000">
            <w:pPr>
              <w:spacing w:before="20" w:after="20"/>
              <w:jc w:val="both"/>
            </w:pPr>
            <w:r>
              <w:rPr>
                <w:sz w:val="18"/>
                <w:szCs w:val="18"/>
              </w:rPr>
              <w:t>Regímenes especiales</w:t>
            </w:r>
          </w:p>
        </w:tc>
        <w:tc>
          <w:tcPr>
            <w:tcW w:w="1846" w:type="dxa"/>
            <w:shd w:val="clear" w:color="auto" w:fill="D9E2F3"/>
            <w:vAlign w:val="center"/>
          </w:tcPr>
          <w:p w14:paraId="64EC4775" w14:textId="77777777" w:rsidR="00990B14" w:rsidRDefault="00000000">
            <w:pPr>
              <w:spacing w:before="20" w:after="20"/>
              <w:jc w:val="both"/>
            </w:pPr>
            <w:r>
              <w:rPr>
                <w:sz w:val="18"/>
                <w:szCs w:val="18"/>
              </w:rPr>
              <w:t>Asigna un régimen sin verificar requisitos.</w:t>
            </w:r>
          </w:p>
        </w:tc>
        <w:tc>
          <w:tcPr>
            <w:tcW w:w="1910" w:type="dxa"/>
            <w:shd w:val="clear" w:color="auto" w:fill="D9E2F3"/>
            <w:vAlign w:val="center"/>
          </w:tcPr>
          <w:p w14:paraId="577E4A0A" w14:textId="77777777" w:rsidR="00990B14" w:rsidRDefault="00000000">
            <w:pPr>
              <w:spacing w:before="20" w:after="20"/>
              <w:jc w:val="both"/>
            </w:pPr>
            <w:r>
              <w:rPr>
                <w:sz w:val="18"/>
                <w:szCs w:val="18"/>
              </w:rPr>
              <w:t>Clasifica según los requisitos de cada régimen especial.</w:t>
            </w:r>
          </w:p>
        </w:tc>
        <w:tc>
          <w:tcPr>
            <w:tcW w:w="1910" w:type="dxa"/>
            <w:shd w:val="clear" w:color="auto" w:fill="D9E2F3"/>
            <w:vAlign w:val="center"/>
          </w:tcPr>
          <w:p w14:paraId="22EB491C" w14:textId="77777777" w:rsidR="00990B14" w:rsidRDefault="00000000">
            <w:pPr>
              <w:spacing w:before="20" w:after="20"/>
              <w:jc w:val="both"/>
            </w:pPr>
            <w:r>
              <w:rPr>
                <w:sz w:val="18"/>
                <w:szCs w:val="18"/>
              </w:rPr>
              <w:t>Señala cuándo el contribuyente debe pasar al régimen general.</w:t>
            </w:r>
          </w:p>
        </w:tc>
      </w:tr>
      <w:tr w:rsidR="00990B14" w14:paraId="493B60D6" w14:textId="77777777">
        <w:trPr>
          <w:cantSplit/>
          <w:jc w:val="center"/>
        </w:trPr>
        <w:tc>
          <w:tcPr>
            <w:tcW w:w="1829" w:type="dxa"/>
            <w:vMerge/>
            <w:shd w:val="clear" w:color="auto" w:fill="4472C4"/>
            <w:vAlign w:val="center"/>
          </w:tcPr>
          <w:p w14:paraId="0DC4DBFB" w14:textId="77777777" w:rsidR="00990B14" w:rsidRDefault="00990B14">
            <w:pPr>
              <w:spacing w:before="20" w:after="20"/>
            </w:pPr>
          </w:p>
        </w:tc>
        <w:tc>
          <w:tcPr>
            <w:tcW w:w="1910" w:type="dxa"/>
            <w:shd w:val="clear" w:color="auto" w:fill="D9E2F3"/>
            <w:vAlign w:val="center"/>
          </w:tcPr>
          <w:p w14:paraId="5437F1DE" w14:textId="77777777" w:rsidR="00990B14" w:rsidRDefault="00000000">
            <w:pPr>
              <w:spacing w:before="20" w:after="20"/>
              <w:jc w:val="both"/>
            </w:pPr>
            <w:r>
              <w:rPr>
                <w:sz w:val="18"/>
                <w:szCs w:val="18"/>
              </w:rPr>
              <w:t>Impuestos asociados</w:t>
            </w:r>
          </w:p>
        </w:tc>
        <w:tc>
          <w:tcPr>
            <w:tcW w:w="1846" w:type="dxa"/>
            <w:shd w:val="clear" w:color="auto" w:fill="D9E2F3"/>
            <w:vAlign w:val="center"/>
          </w:tcPr>
          <w:p w14:paraId="0146A8A5" w14:textId="77777777" w:rsidR="00990B14" w:rsidRDefault="00000000">
            <w:pPr>
              <w:spacing w:before="20" w:after="20"/>
              <w:jc w:val="both"/>
            </w:pPr>
            <w:r>
              <w:rPr>
                <w:sz w:val="18"/>
                <w:szCs w:val="18"/>
              </w:rPr>
              <w:t>Omite impuestos del contribuyente.</w:t>
            </w:r>
          </w:p>
        </w:tc>
        <w:tc>
          <w:tcPr>
            <w:tcW w:w="1910" w:type="dxa"/>
            <w:shd w:val="clear" w:color="auto" w:fill="D9E2F3"/>
            <w:vAlign w:val="center"/>
          </w:tcPr>
          <w:p w14:paraId="0EC07100" w14:textId="77777777" w:rsidR="00990B14" w:rsidRDefault="00000000">
            <w:pPr>
              <w:spacing w:before="20" w:after="20"/>
              <w:jc w:val="both"/>
            </w:pPr>
            <w:r>
              <w:rPr>
                <w:sz w:val="18"/>
                <w:szCs w:val="18"/>
              </w:rPr>
              <w:t>Asigna los impuestos que corresponden a cada caso.</w:t>
            </w:r>
          </w:p>
        </w:tc>
        <w:tc>
          <w:tcPr>
            <w:tcW w:w="1910" w:type="dxa"/>
            <w:shd w:val="clear" w:color="auto" w:fill="D9E2F3"/>
            <w:vAlign w:val="center"/>
          </w:tcPr>
          <w:p w14:paraId="07BBC32E" w14:textId="77777777" w:rsidR="00990B14" w:rsidRDefault="00000000">
            <w:pPr>
              <w:spacing w:before="20" w:after="20"/>
              <w:jc w:val="both"/>
            </w:pPr>
            <w:r>
              <w:rPr>
                <w:sz w:val="18"/>
                <w:szCs w:val="18"/>
              </w:rPr>
              <w:t>Justifica las altas y bajas de impuestos.</w:t>
            </w:r>
          </w:p>
        </w:tc>
      </w:tr>
      <w:tr w:rsidR="00990B14" w14:paraId="13687EAC" w14:textId="77777777">
        <w:trPr>
          <w:cantSplit/>
          <w:jc w:val="center"/>
        </w:trPr>
        <w:tc>
          <w:tcPr>
            <w:tcW w:w="1829" w:type="dxa"/>
            <w:vMerge/>
            <w:shd w:val="clear" w:color="auto" w:fill="4472C4"/>
            <w:vAlign w:val="center"/>
          </w:tcPr>
          <w:p w14:paraId="05FEDEE1" w14:textId="77777777" w:rsidR="00990B14" w:rsidRDefault="00990B14">
            <w:pPr>
              <w:spacing w:before="20" w:after="20"/>
            </w:pPr>
          </w:p>
        </w:tc>
        <w:tc>
          <w:tcPr>
            <w:tcW w:w="5666" w:type="dxa"/>
            <w:gridSpan w:val="3"/>
            <w:shd w:val="clear" w:color="auto" w:fill="D9E2F3"/>
            <w:vAlign w:val="center"/>
          </w:tcPr>
          <w:p w14:paraId="1DB9138A" w14:textId="77777777" w:rsidR="00990B14" w:rsidRDefault="00000000">
            <w:pPr>
              <w:keepNext/>
              <w:spacing w:before="20" w:after="20"/>
              <w:jc w:val="both"/>
            </w:pPr>
            <w:r>
              <w:rPr>
                <w:b/>
                <w:bCs/>
                <w:i/>
                <w:iCs/>
                <w:sz w:val="18"/>
                <w:szCs w:val="18"/>
              </w:rPr>
              <w:t xml:space="preserve">Producto 2: </w:t>
            </w:r>
            <w:r>
              <w:rPr>
                <w:sz w:val="18"/>
                <w:szCs w:val="18"/>
              </w:rPr>
              <w:t>Calendario de obligaciones tributarias</w:t>
            </w:r>
          </w:p>
        </w:tc>
        <w:tc>
          <w:tcPr>
            <w:tcW w:w="1910" w:type="dxa"/>
            <w:shd w:val="clear" w:color="auto" w:fill="D9E2F3"/>
            <w:vAlign w:val="center"/>
          </w:tcPr>
          <w:p w14:paraId="602F58A4" w14:textId="77777777" w:rsidR="00990B14" w:rsidRDefault="00000000">
            <w:pPr>
              <w:spacing w:before="20" w:after="20"/>
              <w:jc w:val="center"/>
            </w:pPr>
            <w:r>
              <w:rPr>
                <w:b/>
                <w:bCs/>
                <w:sz w:val="18"/>
                <w:szCs w:val="18"/>
              </w:rPr>
              <w:t>4%</w:t>
            </w:r>
          </w:p>
        </w:tc>
      </w:tr>
      <w:tr w:rsidR="00990B14" w14:paraId="5E53D3BF" w14:textId="77777777">
        <w:trPr>
          <w:cantSplit/>
          <w:jc w:val="center"/>
        </w:trPr>
        <w:tc>
          <w:tcPr>
            <w:tcW w:w="1829" w:type="dxa"/>
            <w:vMerge/>
            <w:shd w:val="clear" w:color="auto" w:fill="4472C4"/>
            <w:vAlign w:val="center"/>
          </w:tcPr>
          <w:p w14:paraId="2AD03FF6" w14:textId="77777777" w:rsidR="00990B14" w:rsidRDefault="00990B14">
            <w:pPr>
              <w:spacing w:before="20" w:after="20"/>
            </w:pPr>
          </w:p>
        </w:tc>
        <w:tc>
          <w:tcPr>
            <w:tcW w:w="1910" w:type="dxa"/>
            <w:shd w:val="clear" w:color="auto" w:fill="4472C4"/>
            <w:vAlign w:val="center"/>
          </w:tcPr>
          <w:p w14:paraId="1232920B" w14:textId="77777777" w:rsidR="00990B14" w:rsidRDefault="00000000">
            <w:pPr>
              <w:keepNext/>
              <w:spacing w:before="20" w:after="20"/>
              <w:jc w:val="center"/>
            </w:pPr>
            <w:r>
              <w:rPr>
                <w:b/>
                <w:bCs/>
                <w:i/>
                <w:iCs/>
                <w:color w:val="FFFFFF"/>
                <w:sz w:val="18"/>
                <w:szCs w:val="18"/>
              </w:rPr>
              <w:t>Criterio</w:t>
            </w:r>
          </w:p>
        </w:tc>
        <w:tc>
          <w:tcPr>
            <w:tcW w:w="1846" w:type="dxa"/>
            <w:shd w:val="clear" w:color="auto" w:fill="4472C4"/>
            <w:vAlign w:val="center"/>
          </w:tcPr>
          <w:p w14:paraId="39196306"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1DF8AB68"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67D48088" w14:textId="77777777" w:rsidR="00990B14" w:rsidRDefault="00000000">
            <w:pPr>
              <w:keepNext/>
              <w:spacing w:before="20" w:after="20"/>
              <w:jc w:val="center"/>
            </w:pPr>
            <w:r>
              <w:rPr>
                <w:b/>
                <w:bCs/>
                <w:i/>
                <w:iCs/>
                <w:color w:val="FFFFFF"/>
                <w:sz w:val="18"/>
                <w:szCs w:val="18"/>
              </w:rPr>
              <w:t>Destacado (81–100)</w:t>
            </w:r>
          </w:p>
        </w:tc>
      </w:tr>
      <w:tr w:rsidR="00990B14" w14:paraId="20D26C34" w14:textId="77777777">
        <w:trPr>
          <w:cantSplit/>
          <w:jc w:val="center"/>
        </w:trPr>
        <w:tc>
          <w:tcPr>
            <w:tcW w:w="1829" w:type="dxa"/>
            <w:vMerge/>
            <w:shd w:val="clear" w:color="auto" w:fill="4472C4"/>
            <w:vAlign w:val="center"/>
          </w:tcPr>
          <w:p w14:paraId="50EF2745" w14:textId="77777777" w:rsidR="00990B14" w:rsidRDefault="00990B14">
            <w:pPr>
              <w:spacing w:before="20" w:after="20"/>
            </w:pPr>
          </w:p>
        </w:tc>
        <w:tc>
          <w:tcPr>
            <w:tcW w:w="1910" w:type="dxa"/>
            <w:shd w:val="clear" w:color="auto" w:fill="D9E2F3"/>
            <w:vAlign w:val="center"/>
          </w:tcPr>
          <w:p w14:paraId="01C25697" w14:textId="77777777" w:rsidR="00990B14" w:rsidRDefault="00000000">
            <w:pPr>
              <w:spacing w:before="20" w:after="20"/>
              <w:jc w:val="both"/>
            </w:pPr>
            <w:r>
              <w:rPr>
                <w:sz w:val="18"/>
                <w:szCs w:val="18"/>
              </w:rPr>
              <w:t>Vencimientos</w:t>
            </w:r>
          </w:p>
        </w:tc>
        <w:tc>
          <w:tcPr>
            <w:tcW w:w="1846" w:type="dxa"/>
            <w:shd w:val="clear" w:color="auto" w:fill="D9E2F3"/>
            <w:vAlign w:val="center"/>
          </w:tcPr>
          <w:p w14:paraId="17808E23" w14:textId="77777777" w:rsidR="00990B14" w:rsidRDefault="00000000">
            <w:pPr>
              <w:spacing w:before="20" w:after="20"/>
              <w:jc w:val="both"/>
            </w:pPr>
            <w:r>
              <w:rPr>
                <w:sz w:val="18"/>
                <w:szCs w:val="18"/>
              </w:rPr>
              <w:t>Las fechas no corresponden al número de NIT.</w:t>
            </w:r>
          </w:p>
        </w:tc>
        <w:tc>
          <w:tcPr>
            <w:tcW w:w="1910" w:type="dxa"/>
            <w:shd w:val="clear" w:color="auto" w:fill="D9E2F3"/>
            <w:vAlign w:val="center"/>
          </w:tcPr>
          <w:p w14:paraId="39D99FCC" w14:textId="77777777" w:rsidR="00990B14" w:rsidRDefault="00000000">
            <w:pPr>
              <w:spacing w:before="20" w:after="20"/>
              <w:jc w:val="both"/>
            </w:pPr>
            <w:r>
              <w:rPr>
                <w:sz w:val="18"/>
                <w:szCs w:val="18"/>
              </w:rPr>
              <w:t>Fija los vencimientos según el número de NIT.</w:t>
            </w:r>
          </w:p>
        </w:tc>
        <w:tc>
          <w:tcPr>
            <w:tcW w:w="1910" w:type="dxa"/>
            <w:shd w:val="clear" w:color="auto" w:fill="D9E2F3"/>
            <w:vAlign w:val="center"/>
          </w:tcPr>
          <w:p w14:paraId="6CD41FBC" w14:textId="77777777" w:rsidR="00990B14" w:rsidRDefault="00000000">
            <w:pPr>
              <w:spacing w:before="20" w:after="20"/>
              <w:jc w:val="both"/>
            </w:pPr>
            <w:r>
              <w:rPr>
                <w:sz w:val="18"/>
                <w:szCs w:val="18"/>
              </w:rPr>
              <w:t>Prevé alertas antes de cada vencimiento.</w:t>
            </w:r>
          </w:p>
        </w:tc>
      </w:tr>
      <w:tr w:rsidR="00990B14" w14:paraId="694D27DB" w14:textId="77777777">
        <w:trPr>
          <w:cantSplit/>
          <w:jc w:val="center"/>
        </w:trPr>
        <w:tc>
          <w:tcPr>
            <w:tcW w:w="1829" w:type="dxa"/>
            <w:vMerge/>
            <w:shd w:val="clear" w:color="auto" w:fill="4472C4"/>
            <w:vAlign w:val="center"/>
          </w:tcPr>
          <w:p w14:paraId="438DD8F0" w14:textId="77777777" w:rsidR="00990B14" w:rsidRDefault="00990B14">
            <w:pPr>
              <w:spacing w:before="20" w:after="20"/>
            </w:pPr>
          </w:p>
        </w:tc>
        <w:tc>
          <w:tcPr>
            <w:tcW w:w="1910" w:type="dxa"/>
            <w:shd w:val="clear" w:color="auto" w:fill="D9E2F3"/>
            <w:vAlign w:val="center"/>
          </w:tcPr>
          <w:p w14:paraId="33C8450E" w14:textId="77777777" w:rsidR="00990B14" w:rsidRDefault="00000000">
            <w:pPr>
              <w:spacing w:before="20" w:after="20"/>
              <w:jc w:val="both"/>
            </w:pPr>
            <w:r>
              <w:rPr>
                <w:sz w:val="18"/>
                <w:szCs w:val="18"/>
              </w:rPr>
              <w:t>Deberes formales</w:t>
            </w:r>
          </w:p>
        </w:tc>
        <w:tc>
          <w:tcPr>
            <w:tcW w:w="1846" w:type="dxa"/>
            <w:shd w:val="clear" w:color="auto" w:fill="D9E2F3"/>
            <w:vAlign w:val="center"/>
          </w:tcPr>
          <w:p w14:paraId="250E0A12" w14:textId="77777777" w:rsidR="00990B14" w:rsidRDefault="00000000">
            <w:pPr>
              <w:spacing w:before="20" w:after="20"/>
              <w:jc w:val="both"/>
            </w:pPr>
            <w:r>
              <w:rPr>
                <w:sz w:val="18"/>
                <w:szCs w:val="18"/>
              </w:rPr>
              <w:t>Omite deberes formales.</w:t>
            </w:r>
          </w:p>
        </w:tc>
        <w:tc>
          <w:tcPr>
            <w:tcW w:w="1910" w:type="dxa"/>
            <w:shd w:val="clear" w:color="auto" w:fill="D9E2F3"/>
            <w:vAlign w:val="center"/>
          </w:tcPr>
          <w:p w14:paraId="26A5222B" w14:textId="77777777" w:rsidR="00990B14" w:rsidRDefault="00000000">
            <w:pPr>
              <w:spacing w:before="20" w:after="20"/>
              <w:jc w:val="both"/>
            </w:pPr>
            <w:r>
              <w:rPr>
                <w:sz w:val="18"/>
                <w:szCs w:val="18"/>
              </w:rPr>
              <w:t>Incluye declaraciones y deberes formales.</w:t>
            </w:r>
          </w:p>
        </w:tc>
        <w:tc>
          <w:tcPr>
            <w:tcW w:w="1910" w:type="dxa"/>
            <w:shd w:val="clear" w:color="auto" w:fill="D9E2F3"/>
            <w:vAlign w:val="center"/>
          </w:tcPr>
          <w:p w14:paraId="281C85FE" w14:textId="77777777" w:rsidR="00990B14" w:rsidRDefault="00000000">
            <w:pPr>
              <w:spacing w:before="20" w:after="20"/>
              <w:jc w:val="both"/>
            </w:pPr>
            <w:r>
              <w:rPr>
                <w:sz w:val="18"/>
                <w:szCs w:val="18"/>
              </w:rPr>
              <w:t>Señala la sanción por incumplir cada deber.</w:t>
            </w:r>
          </w:p>
        </w:tc>
      </w:tr>
      <w:tr w:rsidR="00990B14" w14:paraId="64E7EEA8" w14:textId="77777777">
        <w:trPr>
          <w:cantSplit/>
          <w:jc w:val="center"/>
        </w:trPr>
        <w:tc>
          <w:tcPr>
            <w:tcW w:w="1829" w:type="dxa"/>
            <w:vMerge/>
            <w:shd w:val="clear" w:color="auto" w:fill="4472C4"/>
            <w:vAlign w:val="center"/>
          </w:tcPr>
          <w:p w14:paraId="4FFEDA71" w14:textId="77777777" w:rsidR="00990B14" w:rsidRDefault="00990B14">
            <w:pPr>
              <w:spacing w:before="20" w:after="20"/>
            </w:pPr>
          </w:p>
        </w:tc>
        <w:tc>
          <w:tcPr>
            <w:tcW w:w="1910" w:type="dxa"/>
            <w:shd w:val="clear" w:color="auto" w:fill="D9E2F3"/>
            <w:vAlign w:val="center"/>
          </w:tcPr>
          <w:p w14:paraId="7F0F11BD" w14:textId="77777777" w:rsidR="00990B14" w:rsidRDefault="00000000">
            <w:pPr>
              <w:spacing w:before="20" w:after="20"/>
              <w:jc w:val="both"/>
            </w:pPr>
            <w:r>
              <w:rPr>
                <w:sz w:val="18"/>
                <w:szCs w:val="18"/>
              </w:rPr>
              <w:t>Trabajo en equipo</w:t>
            </w:r>
          </w:p>
        </w:tc>
        <w:tc>
          <w:tcPr>
            <w:tcW w:w="1846" w:type="dxa"/>
            <w:shd w:val="clear" w:color="auto" w:fill="D9E2F3"/>
            <w:vAlign w:val="center"/>
          </w:tcPr>
          <w:p w14:paraId="0028870F" w14:textId="77777777" w:rsidR="00990B14" w:rsidRDefault="00000000">
            <w:pPr>
              <w:spacing w:before="20" w:after="20"/>
              <w:jc w:val="both"/>
            </w:pPr>
            <w:r>
              <w:rPr>
                <w:sz w:val="18"/>
                <w:szCs w:val="18"/>
              </w:rPr>
              <w:t>La participación es desigual.</w:t>
            </w:r>
          </w:p>
        </w:tc>
        <w:tc>
          <w:tcPr>
            <w:tcW w:w="1910" w:type="dxa"/>
            <w:shd w:val="clear" w:color="auto" w:fill="D9E2F3"/>
            <w:vAlign w:val="center"/>
          </w:tcPr>
          <w:p w14:paraId="2DD2069E" w14:textId="77777777" w:rsidR="00990B14" w:rsidRDefault="00000000">
            <w:pPr>
              <w:spacing w:before="20" w:after="20"/>
              <w:jc w:val="both"/>
            </w:pPr>
            <w:r>
              <w:rPr>
                <w:sz w:val="18"/>
                <w:szCs w:val="18"/>
              </w:rPr>
              <w:t>Todos los integrantes participan.</w:t>
            </w:r>
          </w:p>
        </w:tc>
        <w:tc>
          <w:tcPr>
            <w:tcW w:w="1910" w:type="dxa"/>
            <w:shd w:val="clear" w:color="auto" w:fill="D9E2F3"/>
            <w:vAlign w:val="center"/>
          </w:tcPr>
          <w:p w14:paraId="6D54AFC4" w14:textId="77777777" w:rsidR="00990B14" w:rsidRDefault="00000000">
            <w:pPr>
              <w:spacing w:before="20" w:after="20"/>
              <w:jc w:val="both"/>
            </w:pPr>
            <w:r>
              <w:rPr>
                <w:sz w:val="18"/>
                <w:szCs w:val="18"/>
              </w:rPr>
              <w:t>El equipo sustenta su trabajo ante el curso.</w:t>
            </w:r>
          </w:p>
        </w:tc>
      </w:tr>
      <w:tr w:rsidR="00990B14" w14:paraId="4D1B4D5B" w14:textId="77777777">
        <w:trPr>
          <w:cantSplit/>
          <w:jc w:val="center"/>
        </w:trPr>
        <w:tc>
          <w:tcPr>
            <w:tcW w:w="1829" w:type="dxa"/>
            <w:vMerge/>
            <w:shd w:val="clear" w:color="auto" w:fill="4472C4"/>
            <w:vAlign w:val="center"/>
          </w:tcPr>
          <w:p w14:paraId="30BB97FF" w14:textId="77777777" w:rsidR="00990B14" w:rsidRDefault="00990B14">
            <w:pPr>
              <w:spacing w:before="20" w:after="20"/>
            </w:pPr>
          </w:p>
        </w:tc>
        <w:tc>
          <w:tcPr>
            <w:tcW w:w="5666" w:type="dxa"/>
            <w:gridSpan w:val="3"/>
            <w:shd w:val="clear" w:color="auto" w:fill="D9E2F3"/>
            <w:vAlign w:val="center"/>
          </w:tcPr>
          <w:p w14:paraId="27C2D9DF" w14:textId="77777777" w:rsidR="00990B14" w:rsidRDefault="00000000">
            <w:pPr>
              <w:keepNext/>
              <w:spacing w:before="20" w:after="20"/>
              <w:jc w:val="both"/>
            </w:pPr>
            <w:r>
              <w:rPr>
                <w:b/>
                <w:bCs/>
                <w:i/>
                <w:iCs/>
                <w:sz w:val="18"/>
                <w:szCs w:val="18"/>
              </w:rPr>
              <w:t xml:space="preserve">Producto 3: </w:t>
            </w:r>
            <w:r>
              <w:rPr>
                <w:sz w:val="18"/>
                <w:szCs w:val="18"/>
              </w:rPr>
              <w:t>Formulario de inscripción</w:t>
            </w:r>
          </w:p>
        </w:tc>
        <w:tc>
          <w:tcPr>
            <w:tcW w:w="1910" w:type="dxa"/>
            <w:shd w:val="clear" w:color="auto" w:fill="D9E2F3"/>
            <w:vAlign w:val="center"/>
          </w:tcPr>
          <w:p w14:paraId="792CF761" w14:textId="77777777" w:rsidR="00990B14" w:rsidRDefault="00000000">
            <w:pPr>
              <w:spacing w:before="20" w:after="20"/>
              <w:jc w:val="center"/>
            </w:pPr>
            <w:r>
              <w:rPr>
                <w:b/>
                <w:bCs/>
                <w:sz w:val="18"/>
                <w:szCs w:val="18"/>
              </w:rPr>
              <w:t>4%</w:t>
            </w:r>
          </w:p>
        </w:tc>
      </w:tr>
      <w:tr w:rsidR="00990B14" w14:paraId="3D3F5F79" w14:textId="77777777">
        <w:trPr>
          <w:cantSplit/>
          <w:jc w:val="center"/>
        </w:trPr>
        <w:tc>
          <w:tcPr>
            <w:tcW w:w="1829" w:type="dxa"/>
            <w:vMerge/>
            <w:shd w:val="clear" w:color="auto" w:fill="4472C4"/>
            <w:vAlign w:val="center"/>
          </w:tcPr>
          <w:p w14:paraId="2B73857C" w14:textId="77777777" w:rsidR="00990B14" w:rsidRDefault="00990B14">
            <w:pPr>
              <w:spacing w:before="20" w:after="20"/>
            </w:pPr>
          </w:p>
        </w:tc>
        <w:tc>
          <w:tcPr>
            <w:tcW w:w="1910" w:type="dxa"/>
            <w:shd w:val="clear" w:color="auto" w:fill="4472C4"/>
            <w:vAlign w:val="center"/>
          </w:tcPr>
          <w:p w14:paraId="09D4AF55" w14:textId="77777777" w:rsidR="00990B14" w:rsidRDefault="00000000">
            <w:pPr>
              <w:keepNext/>
              <w:spacing w:before="20" w:after="20"/>
              <w:jc w:val="center"/>
            </w:pPr>
            <w:r>
              <w:rPr>
                <w:b/>
                <w:bCs/>
                <w:i/>
                <w:iCs/>
                <w:color w:val="FFFFFF"/>
                <w:sz w:val="18"/>
                <w:szCs w:val="18"/>
              </w:rPr>
              <w:t>Criterio</w:t>
            </w:r>
          </w:p>
        </w:tc>
        <w:tc>
          <w:tcPr>
            <w:tcW w:w="1846" w:type="dxa"/>
            <w:shd w:val="clear" w:color="auto" w:fill="4472C4"/>
            <w:vAlign w:val="center"/>
          </w:tcPr>
          <w:p w14:paraId="3F56F5B8"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061D6346"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30761639" w14:textId="77777777" w:rsidR="00990B14" w:rsidRDefault="00000000">
            <w:pPr>
              <w:keepNext/>
              <w:spacing w:before="20" w:after="20"/>
              <w:jc w:val="center"/>
            </w:pPr>
            <w:r>
              <w:rPr>
                <w:b/>
                <w:bCs/>
                <w:i/>
                <w:iCs/>
                <w:color w:val="FFFFFF"/>
                <w:sz w:val="18"/>
                <w:szCs w:val="18"/>
              </w:rPr>
              <w:t>Destacado (81–100)</w:t>
            </w:r>
          </w:p>
        </w:tc>
      </w:tr>
      <w:tr w:rsidR="00990B14" w14:paraId="337EA196" w14:textId="77777777">
        <w:trPr>
          <w:cantSplit/>
          <w:jc w:val="center"/>
        </w:trPr>
        <w:tc>
          <w:tcPr>
            <w:tcW w:w="1829" w:type="dxa"/>
            <w:vMerge/>
            <w:shd w:val="clear" w:color="auto" w:fill="4472C4"/>
            <w:vAlign w:val="center"/>
          </w:tcPr>
          <w:p w14:paraId="433E8BD5" w14:textId="77777777" w:rsidR="00990B14" w:rsidRDefault="00990B14">
            <w:pPr>
              <w:spacing w:before="20" w:after="20"/>
            </w:pPr>
          </w:p>
        </w:tc>
        <w:tc>
          <w:tcPr>
            <w:tcW w:w="1910" w:type="dxa"/>
            <w:shd w:val="clear" w:color="auto" w:fill="D9E2F3"/>
            <w:vAlign w:val="center"/>
          </w:tcPr>
          <w:p w14:paraId="51875347" w14:textId="77777777" w:rsidR="00990B14" w:rsidRDefault="00000000">
            <w:pPr>
              <w:spacing w:before="20" w:after="20"/>
              <w:jc w:val="both"/>
            </w:pPr>
            <w:r>
              <w:rPr>
                <w:sz w:val="18"/>
                <w:szCs w:val="18"/>
              </w:rPr>
              <w:t>Datos del Registro Nacional de Contribuyentes</w:t>
            </w:r>
          </w:p>
        </w:tc>
        <w:tc>
          <w:tcPr>
            <w:tcW w:w="1846" w:type="dxa"/>
            <w:shd w:val="clear" w:color="auto" w:fill="D9E2F3"/>
            <w:vAlign w:val="center"/>
          </w:tcPr>
          <w:p w14:paraId="4F92B005" w14:textId="77777777" w:rsidR="00990B14" w:rsidRDefault="00000000">
            <w:pPr>
              <w:spacing w:before="20" w:after="20"/>
              <w:jc w:val="both"/>
            </w:pPr>
            <w:r>
              <w:rPr>
                <w:sz w:val="18"/>
                <w:szCs w:val="18"/>
              </w:rPr>
              <w:t>Registra datos incompletos.</w:t>
            </w:r>
          </w:p>
        </w:tc>
        <w:tc>
          <w:tcPr>
            <w:tcW w:w="1910" w:type="dxa"/>
            <w:shd w:val="clear" w:color="auto" w:fill="D9E2F3"/>
            <w:vAlign w:val="center"/>
          </w:tcPr>
          <w:p w14:paraId="497798DE" w14:textId="77777777" w:rsidR="00990B14" w:rsidRDefault="00000000">
            <w:pPr>
              <w:spacing w:before="20" w:after="20"/>
              <w:jc w:val="both"/>
            </w:pPr>
            <w:r>
              <w:rPr>
                <w:sz w:val="18"/>
                <w:szCs w:val="18"/>
              </w:rPr>
              <w:t>Completa los datos exigidos por el Registro Nacional de Contribuyentes.</w:t>
            </w:r>
          </w:p>
        </w:tc>
        <w:tc>
          <w:tcPr>
            <w:tcW w:w="1910" w:type="dxa"/>
            <w:shd w:val="clear" w:color="auto" w:fill="D9E2F3"/>
            <w:vAlign w:val="center"/>
          </w:tcPr>
          <w:p w14:paraId="0C304974" w14:textId="77777777" w:rsidR="00990B14" w:rsidRDefault="00000000">
            <w:pPr>
              <w:spacing w:before="20" w:after="20"/>
              <w:jc w:val="both"/>
            </w:pPr>
            <w:r>
              <w:rPr>
                <w:sz w:val="18"/>
                <w:szCs w:val="18"/>
              </w:rPr>
              <w:t>Verifica la coherencia de la actividad declarada.</w:t>
            </w:r>
          </w:p>
        </w:tc>
      </w:tr>
      <w:tr w:rsidR="00990B14" w14:paraId="0370501E" w14:textId="77777777">
        <w:trPr>
          <w:cantSplit/>
          <w:jc w:val="center"/>
        </w:trPr>
        <w:tc>
          <w:tcPr>
            <w:tcW w:w="1829" w:type="dxa"/>
            <w:vMerge/>
            <w:shd w:val="clear" w:color="auto" w:fill="4472C4"/>
            <w:vAlign w:val="center"/>
          </w:tcPr>
          <w:p w14:paraId="1C09C50C" w14:textId="77777777" w:rsidR="00990B14" w:rsidRDefault="00990B14">
            <w:pPr>
              <w:spacing w:before="20" w:after="20"/>
            </w:pPr>
          </w:p>
        </w:tc>
        <w:tc>
          <w:tcPr>
            <w:tcW w:w="1910" w:type="dxa"/>
            <w:shd w:val="clear" w:color="auto" w:fill="D9E2F3"/>
            <w:vAlign w:val="center"/>
          </w:tcPr>
          <w:p w14:paraId="3DD910C3" w14:textId="77777777" w:rsidR="00990B14" w:rsidRDefault="00000000">
            <w:pPr>
              <w:spacing w:before="20" w:after="20"/>
              <w:jc w:val="both"/>
            </w:pPr>
            <w:r>
              <w:rPr>
                <w:sz w:val="18"/>
                <w:szCs w:val="18"/>
              </w:rPr>
              <w:t>Llenado de formularios</w:t>
            </w:r>
          </w:p>
        </w:tc>
        <w:tc>
          <w:tcPr>
            <w:tcW w:w="1846" w:type="dxa"/>
            <w:shd w:val="clear" w:color="auto" w:fill="D9E2F3"/>
            <w:vAlign w:val="center"/>
          </w:tcPr>
          <w:p w14:paraId="4B64D38B" w14:textId="77777777" w:rsidR="00990B14" w:rsidRDefault="00000000">
            <w:pPr>
              <w:spacing w:before="20" w:after="20"/>
              <w:jc w:val="both"/>
            </w:pPr>
            <w:r>
              <w:rPr>
                <w:sz w:val="18"/>
                <w:szCs w:val="18"/>
              </w:rPr>
              <w:t>Llena los formularios con errores.</w:t>
            </w:r>
          </w:p>
        </w:tc>
        <w:tc>
          <w:tcPr>
            <w:tcW w:w="1910" w:type="dxa"/>
            <w:shd w:val="clear" w:color="auto" w:fill="D9E2F3"/>
            <w:vAlign w:val="center"/>
          </w:tcPr>
          <w:p w14:paraId="76145901" w14:textId="77777777" w:rsidR="00990B14" w:rsidRDefault="00000000">
            <w:pPr>
              <w:spacing w:before="20" w:after="20"/>
              <w:jc w:val="both"/>
            </w:pPr>
            <w:r>
              <w:rPr>
                <w:sz w:val="18"/>
                <w:szCs w:val="18"/>
              </w:rPr>
              <w:t>Llena correctamente los formularios del régimen.</w:t>
            </w:r>
          </w:p>
        </w:tc>
        <w:tc>
          <w:tcPr>
            <w:tcW w:w="1910" w:type="dxa"/>
            <w:shd w:val="clear" w:color="auto" w:fill="D9E2F3"/>
            <w:vAlign w:val="center"/>
          </w:tcPr>
          <w:p w14:paraId="05A76F95" w14:textId="77777777" w:rsidR="00990B14" w:rsidRDefault="00000000">
            <w:pPr>
              <w:spacing w:before="20" w:after="20"/>
              <w:jc w:val="both"/>
            </w:pPr>
            <w:r>
              <w:rPr>
                <w:sz w:val="18"/>
                <w:szCs w:val="18"/>
              </w:rPr>
              <w:t>Explica el origen de cada casilla.</w:t>
            </w:r>
          </w:p>
        </w:tc>
      </w:tr>
      <w:tr w:rsidR="00990B14" w14:paraId="1297BBC3" w14:textId="77777777">
        <w:trPr>
          <w:cantSplit/>
          <w:jc w:val="center"/>
        </w:trPr>
        <w:tc>
          <w:tcPr>
            <w:tcW w:w="1829" w:type="dxa"/>
            <w:vMerge/>
            <w:shd w:val="clear" w:color="auto" w:fill="4472C4"/>
            <w:vAlign w:val="center"/>
          </w:tcPr>
          <w:p w14:paraId="06BE5017" w14:textId="77777777" w:rsidR="00990B14" w:rsidRDefault="00990B14">
            <w:pPr>
              <w:spacing w:before="20" w:after="20"/>
            </w:pPr>
          </w:p>
        </w:tc>
        <w:tc>
          <w:tcPr>
            <w:tcW w:w="1910" w:type="dxa"/>
            <w:shd w:val="clear" w:color="auto" w:fill="D9E2F3"/>
            <w:vAlign w:val="center"/>
          </w:tcPr>
          <w:p w14:paraId="4E1336E1" w14:textId="77777777" w:rsidR="00990B14" w:rsidRDefault="00000000">
            <w:pPr>
              <w:spacing w:before="20" w:after="20"/>
              <w:jc w:val="both"/>
            </w:pPr>
            <w:r>
              <w:rPr>
                <w:sz w:val="18"/>
                <w:szCs w:val="18"/>
              </w:rPr>
              <w:t>Seguridad de la información</w:t>
            </w:r>
          </w:p>
        </w:tc>
        <w:tc>
          <w:tcPr>
            <w:tcW w:w="1846" w:type="dxa"/>
            <w:shd w:val="clear" w:color="auto" w:fill="D9E2F3"/>
            <w:vAlign w:val="center"/>
          </w:tcPr>
          <w:p w14:paraId="522D3C3D" w14:textId="77777777" w:rsidR="00990B14" w:rsidRDefault="00000000">
            <w:pPr>
              <w:spacing w:before="20" w:after="20"/>
              <w:jc w:val="both"/>
            </w:pPr>
            <w:r>
              <w:rPr>
                <w:sz w:val="18"/>
                <w:szCs w:val="18"/>
              </w:rPr>
              <w:t>Expone credenciales o datos.</w:t>
            </w:r>
          </w:p>
        </w:tc>
        <w:tc>
          <w:tcPr>
            <w:tcW w:w="1910" w:type="dxa"/>
            <w:shd w:val="clear" w:color="auto" w:fill="D9E2F3"/>
            <w:vAlign w:val="center"/>
          </w:tcPr>
          <w:p w14:paraId="2C6CDC95" w14:textId="77777777" w:rsidR="00990B14" w:rsidRDefault="00000000">
            <w:pPr>
              <w:spacing w:before="20" w:after="20"/>
              <w:jc w:val="both"/>
            </w:pPr>
            <w:r>
              <w:rPr>
                <w:sz w:val="18"/>
                <w:szCs w:val="18"/>
              </w:rPr>
              <w:t>Resguarda las credenciales de acceso.</w:t>
            </w:r>
          </w:p>
        </w:tc>
        <w:tc>
          <w:tcPr>
            <w:tcW w:w="1910" w:type="dxa"/>
            <w:shd w:val="clear" w:color="auto" w:fill="D9E2F3"/>
            <w:vAlign w:val="center"/>
          </w:tcPr>
          <w:p w14:paraId="67571399" w14:textId="77777777" w:rsidR="00990B14" w:rsidRDefault="00000000">
            <w:pPr>
              <w:spacing w:before="20" w:after="20"/>
              <w:jc w:val="both"/>
            </w:pPr>
            <w:r>
              <w:rPr>
                <w:sz w:val="18"/>
                <w:szCs w:val="18"/>
              </w:rPr>
              <w:t>Sugiere buenas prácticas de seguridad.</w:t>
            </w:r>
          </w:p>
        </w:tc>
      </w:tr>
      <w:tr w:rsidR="00990B14" w14:paraId="14ACE88E" w14:textId="77777777">
        <w:trPr>
          <w:cantSplit/>
          <w:jc w:val="center"/>
        </w:trPr>
        <w:tc>
          <w:tcPr>
            <w:tcW w:w="1829" w:type="dxa"/>
            <w:vMerge/>
            <w:shd w:val="clear" w:color="auto" w:fill="4472C4"/>
            <w:vAlign w:val="center"/>
          </w:tcPr>
          <w:p w14:paraId="620ADFE2" w14:textId="77777777" w:rsidR="00990B14" w:rsidRDefault="00990B14">
            <w:pPr>
              <w:spacing w:before="20" w:after="20"/>
            </w:pPr>
          </w:p>
        </w:tc>
        <w:tc>
          <w:tcPr>
            <w:tcW w:w="5666" w:type="dxa"/>
            <w:gridSpan w:val="3"/>
            <w:shd w:val="clear" w:color="auto" w:fill="D9E2F3"/>
            <w:vAlign w:val="center"/>
          </w:tcPr>
          <w:p w14:paraId="563BDC35" w14:textId="77777777" w:rsidR="00990B14" w:rsidRDefault="00000000">
            <w:pPr>
              <w:keepNext/>
              <w:spacing w:before="20" w:after="20"/>
              <w:jc w:val="both"/>
            </w:pPr>
            <w:r>
              <w:rPr>
                <w:b/>
                <w:bCs/>
                <w:i/>
                <w:iCs/>
                <w:sz w:val="18"/>
                <w:szCs w:val="18"/>
              </w:rPr>
              <w:t xml:space="preserve">Producto 4: </w:t>
            </w:r>
            <w:r>
              <w:rPr>
                <w:sz w:val="18"/>
                <w:szCs w:val="18"/>
              </w:rPr>
              <w:t>Informe de consulta en plataformas</w:t>
            </w:r>
          </w:p>
        </w:tc>
        <w:tc>
          <w:tcPr>
            <w:tcW w:w="1910" w:type="dxa"/>
            <w:shd w:val="clear" w:color="auto" w:fill="D9E2F3"/>
            <w:vAlign w:val="center"/>
          </w:tcPr>
          <w:p w14:paraId="517BC7CD" w14:textId="77777777" w:rsidR="00990B14" w:rsidRDefault="00000000">
            <w:pPr>
              <w:spacing w:before="20" w:after="20"/>
              <w:jc w:val="center"/>
            </w:pPr>
            <w:r>
              <w:rPr>
                <w:b/>
                <w:bCs/>
                <w:sz w:val="18"/>
                <w:szCs w:val="18"/>
              </w:rPr>
              <w:t>3%</w:t>
            </w:r>
          </w:p>
        </w:tc>
      </w:tr>
      <w:tr w:rsidR="00990B14" w14:paraId="59CB1002" w14:textId="77777777">
        <w:trPr>
          <w:cantSplit/>
          <w:jc w:val="center"/>
        </w:trPr>
        <w:tc>
          <w:tcPr>
            <w:tcW w:w="1829" w:type="dxa"/>
            <w:vMerge/>
            <w:shd w:val="clear" w:color="auto" w:fill="4472C4"/>
            <w:vAlign w:val="center"/>
          </w:tcPr>
          <w:p w14:paraId="48624456" w14:textId="77777777" w:rsidR="00990B14" w:rsidRDefault="00990B14">
            <w:pPr>
              <w:spacing w:before="20" w:after="20"/>
            </w:pPr>
          </w:p>
        </w:tc>
        <w:tc>
          <w:tcPr>
            <w:tcW w:w="1910" w:type="dxa"/>
            <w:shd w:val="clear" w:color="auto" w:fill="4472C4"/>
            <w:vAlign w:val="center"/>
          </w:tcPr>
          <w:p w14:paraId="7CE46C48" w14:textId="77777777" w:rsidR="00990B14" w:rsidRDefault="00000000">
            <w:pPr>
              <w:keepNext/>
              <w:spacing w:before="20" w:after="20"/>
              <w:jc w:val="center"/>
            </w:pPr>
            <w:r>
              <w:rPr>
                <w:b/>
                <w:bCs/>
                <w:i/>
                <w:iCs/>
                <w:color w:val="FFFFFF"/>
                <w:sz w:val="18"/>
                <w:szCs w:val="18"/>
              </w:rPr>
              <w:t>Criterio</w:t>
            </w:r>
          </w:p>
        </w:tc>
        <w:tc>
          <w:tcPr>
            <w:tcW w:w="1846" w:type="dxa"/>
            <w:shd w:val="clear" w:color="auto" w:fill="4472C4"/>
            <w:vAlign w:val="center"/>
          </w:tcPr>
          <w:p w14:paraId="621B0C93"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42BE5E82"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1C3C8BC7" w14:textId="77777777" w:rsidR="00990B14" w:rsidRDefault="00000000">
            <w:pPr>
              <w:keepNext/>
              <w:spacing w:before="20" w:after="20"/>
              <w:jc w:val="center"/>
            </w:pPr>
            <w:r>
              <w:rPr>
                <w:b/>
                <w:bCs/>
                <w:i/>
                <w:iCs/>
                <w:color w:val="FFFFFF"/>
                <w:sz w:val="18"/>
                <w:szCs w:val="18"/>
              </w:rPr>
              <w:t>Destacado (81–100)</w:t>
            </w:r>
          </w:p>
        </w:tc>
      </w:tr>
      <w:tr w:rsidR="00990B14" w14:paraId="790826A6" w14:textId="77777777">
        <w:trPr>
          <w:cantSplit/>
          <w:jc w:val="center"/>
        </w:trPr>
        <w:tc>
          <w:tcPr>
            <w:tcW w:w="1829" w:type="dxa"/>
            <w:vMerge/>
            <w:shd w:val="clear" w:color="auto" w:fill="4472C4"/>
            <w:vAlign w:val="center"/>
          </w:tcPr>
          <w:p w14:paraId="5E31F7D6" w14:textId="77777777" w:rsidR="00990B14" w:rsidRDefault="00990B14">
            <w:pPr>
              <w:spacing w:before="20" w:after="20"/>
            </w:pPr>
          </w:p>
        </w:tc>
        <w:tc>
          <w:tcPr>
            <w:tcW w:w="1910" w:type="dxa"/>
            <w:shd w:val="clear" w:color="auto" w:fill="D9E2F3"/>
            <w:vAlign w:val="center"/>
          </w:tcPr>
          <w:p w14:paraId="3DFDC826" w14:textId="77777777" w:rsidR="00990B14" w:rsidRDefault="00000000">
            <w:pPr>
              <w:spacing w:before="20" w:after="20"/>
              <w:jc w:val="both"/>
            </w:pPr>
            <w:r>
              <w:rPr>
                <w:sz w:val="18"/>
                <w:szCs w:val="18"/>
              </w:rPr>
              <w:t>Consultas</w:t>
            </w:r>
          </w:p>
        </w:tc>
        <w:tc>
          <w:tcPr>
            <w:tcW w:w="1846" w:type="dxa"/>
            <w:shd w:val="clear" w:color="auto" w:fill="D9E2F3"/>
            <w:vAlign w:val="center"/>
          </w:tcPr>
          <w:p w14:paraId="4BF439DD" w14:textId="77777777" w:rsidR="00990B14" w:rsidRDefault="00000000">
            <w:pPr>
              <w:spacing w:before="20" w:after="20"/>
              <w:jc w:val="both"/>
            </w:pPr>
            <w:r>
              <w:rPr>
                <w:sz w:val="18"/>
                <w:szCs w:val="18"/>
              </w:rPr>
              <w:t>No ubica la información solicitada.</w:t>
            </w:r>
          </w:p>
        </w:tc>
        <w:tc>
          <w:tcPr>
            <w:tcW w:w="1910" w:type="dxa"/>
            <w:shd w:val="clear" w:color="auto" w:fill="D9E2F3"/>
            <w:vAlign w:val="center"/>
          </w:tcPr>
          <w:p w14:paraId="735CA7E0" w14:textId="77777777" w:rsidR="00990B14" w:rsidRDefault="00000000">
            <w:pPr>
              <w:spacing w:before="20" w:after="20"/>
              <w:jc w:val="both"/>
            </w:pPr>
            <w:r>
              <w:rPr>
                <w:sz w:val="18"/>
                <w:szCs w:val="18"/>
              </w:rPr>
              <w:t>Obtiene notificaciones, deudas y certificados.</w:t>
            </w:r>
          </w:p>
        </w:tc>
        <w:tc>
          <w:tcPr>
            <w:tcW w:w="1910" w:type="dxa"/>
            <w:shd w:val="clear" w:color="auto" w:fill="D9E2F3"/>
            <w:vAlign w:val="center"/>
          </w:tcPr>
          <w:p w14:paraId="44A13F5A" w14:textId="77777777" w:rsidR="00990B14" w:rsidRDefault="00000000">
            <w:pPr>
              <w:spacing w:before="20" w:after="20"/>
              <w:jc w:val="both"/>
            </w:pPr>
            <w:r>
              <w:rPr>
                <w:sz w:val="18"/>
                <w:szCs w:val="18"/>
              </w:rPr>
              <w:t>Interpreta el efecto de cada notificación.</w:t>
            </w:r>
          </w:p>
        </w:tc>
      </w:tr>
      <w:tr w:rsidR="00990B14" w14:paraId="7DEE5238" w14:textId="77777777">
        <w:trPr>
          <w:cantSplit/>
          <w:jc w:val="center"/>
        </w:trPr>
        <w:tc>
          <w:tcPr>
            <w:tcW w:w="1829" w:type="dxa"/>
            <w:vMerge/>
            <w:shd w:val="clear" w:color="auto" w:fill="4472C4"/>
            <w:vAlign w:val="center"/>
          </w:tcPr>
          <w:p w14:paraId="48BFAF08" w14:textId="77777777" w:rsidR="00990B14" w:rsidRDefault="00990B14">
            <w:pPr>
              <w:spacing w:before="20" w:after="20"/>
            </w:pPr>
          </w:p>
        </w:tc>
        <w:tc>
          <w:tcPr>
            <w:tcW w:w="1910" w:type="dxa"/>
            <w:shd w:val="clear" w:color="auto" w:fill="D9E2F3"/>
            <w:vAlign w:val="center"/>
          </w:tcPr>
          <w:p w14:paraId="7CAAA224" w14:textId="77777777" w:rsidR="00990B14" w:rsidRDefault="00000000">
            <w:pPr>
              <w:spacing w:before="20" w:after="20"/>
              <w:jc w:val="both"/>
            </w:pPr>
            <w:r>
              <w:rPr>
                <w:sz w:val="18"/>
                <w:szCs w:val="18"/>
              </w:rPr>
              <w:t>Prescripción</w:t>
            </w:r>
          </w:p>
        </w:tc>
        <w:tc>
          <w:tcPr>
            <w:tcW w:w="1846" w:type="dxa"/>
            <w:shd w:val="clear" w:color="auto" w:fill="D9E2F3"/>
            <w:vAlign w:val="center"/>
          </w:tcPr>
          <w:p w14:paraId="391B2FEC" w14:textId="77777777" w:rsidR="00990B14" w:rsidRDefault="00000000">
            <w:pPr>
              <w:spacing w:before="20" w:after="20"/>
              <w:jc w:val="both"/>
            </w:pPr>
            <w:r>
              <w:rPr>
                <w:sz w:val="18"/>
                <w:szCs w:val="18"/>
              </w:rPr>
              <w:t>Ignora los plazos de prescripción.</w:t>
            </w:r>
          </w:p>
        </w:tc>
        <w:tc>
          <w:tcPr>
            <w:tcW w:w="1910" w:type="dxa"/>
            <w:shd w:val="clear" w:color="auto" w:fill="D9E2F3"/>
            <w:vAlign w:val="center"/>
          </w:tcPr>
          <w:p w14:paraId="630A397D" w14:textId="77777777" w:rsidR="00990B14" w:rsidRDefault="00000000">
            <w:pPr>
              <w:spacing w:before="20" w:after="20"/>
              <w:jc w:val="both"/>
            </w:pPr>
            <w:r>
              <w:rPr>
                <w:sz w:val="18"/>
                <w:szCs w:val="18"/>
              </w:rPr>
              <w:t>Identifica las deudas prescritas y vigentes.</w:t>
            </w:r>
          </w:p>
        </w:tc>
        <w:tc>
          <w:tcPr>
            <w:tcW w:w="1910" w:type="dxa"/>
            <w:shd w:val="clear" w:color="auto" w:fill="D9E2F3"/>
            <w:vAlign w:val="center"/>
          </w:tcPr>
          <w:p w14:paraId="1A4C5890" w14:textId="77777777" w:rsidR="00990B14" w:rsidRDefault="00000000">
            <w:pPr>
              <w:spacing w:before="20" w:after="20"/>
              <w:jc w:val="both"/>
            </w:pPr>
            <w:r>
              <w:rPr>
                <w:sz w:val="18"/>
                <w:szCs w:val="18"/>
              </w:rPr>
              <w:t>Explica el cómputo de la prescripción.</w:t>
            </w:r>
          </w:p>
        </w:tc>
      </w:tr>
      <w:tr w:rsidR="00990B14" w14:paraId="6DCE08F7" w14:textId="77777777">
        <w:trPr>
          <w:cantSplit/>
          <w:jc w:val="center"/>
        </w:trPr>
        <w:tc>
          <w:tcPr>
            <w:tcW w:w="1829" w:type="dxa"/>
            <w:vMerge/>
            <w:shd w:val="clear" w:color="auto" w:fill="4472C4"/>
            <w:vAlign w:val="center"/>
          </w:tcPr>
          <w:p w14:paraId="3AD51A3E" w14:textId="77777777" w:rsidR="00990B14" w:rsidRDefault="00990B14">
            <w:pPr>
              <w:spacing w:before="20" w:after="20"/>
            </w:pPr>
          </w:p>
        </w:tc>
        <w:tc>
          <w:tcPr>
            <w:tcW w:w="1910" w:type="dxa"/>
            <w:shd w:val="clear" w:color="auto" w:fill="D9E2F3"/>
            <w:vAlign w:val="center"/>
          </w:tcPr>
          <w:p w14:paraId="1C5C8595" w14:textId="77777777" w:rsidR="00990B14" w:rsidRDefault="00000000">
            <w:pPr>
              <w:spacing w:before="20" w:after="20"/>
              <w:jc w:val="both"/>
            </w:pPr>
            <w:r>
              <w:rPr>
                <w:sz w:val="18"/>
                <w:szCs w:val="18"/>
              </w:rPr>
              <w:t>Claridad de la exposición</w:t>
            </w:r>
          </w:p>
        </w:tc>
        <w:tc>
          <w:tcPr>
            <w:tcW w:w="1846" w:type="dxa"/>
            <w:shd w:val="clear" w:color="auto" w:fill="D9E2F3"/>
            <w:vAlign w:val="center"/>
          </w:tcPr>
          <w:p w14:paraId="247D5C6E" w14:textId="77777777" w:rsidR="00990B14" w:rsidRDefault="00000000">
            <w:pPr>
              <w:spacing w:before="20" w:after="20"/>
              <w:jc w:val="both"/>
            </w:pPr>
            <w:r>
              <w:rPr>
                <w:sz w:val="18"/>
                <w:szCs w:val="18"/>
              </w:rPr>
              <w:t>La exposición es confusa.</w:t>
            </w:r>
          </w:p>
        </w:tc>
        <w:tc>
          <w:tcPr>
            <w:tcW w:w="1910" w:type="dxa"/>
            <w:shd w:val="clear" w:color="auto" w:fill="D9E2F3"/>
            <w:vAlign w:val="center"/>
          </w:tcPr>
          <w:p w14:paraId="784F9D62" w14:textId="77777777" w:rsidR="00990B14" w:rsidRDefault="00000000">
            <w:pPr>
              <w:spacing w:before="20" w:after="20"/>
              <w:jc w:val="both"/>
            </w:pPr>
            <w:r>
              <w:rPr>
                <w:sz w:val="18"/>
                <w:szCs w:val="18"/>
              </w:rPr>
              <w:t>Expone con orden y claridad.</w:t>
            </w:r>
          </w:p>
        </w:tc>
        <w:tc>
          <w:tcPr>
            <w:tcW w:w="1910" w:type="dxa"/>
            <w:shd w:val="clear" w:color="auto" w:fill="D9E2F3"/>
            <w:vAlign w:val="center"/>
          </w:tcPr>
          <w:p w14:paraId="2155A600" w14:textId="77777777" w:rsidR="00990B14" w:rsidRDefault="00000000">
            <w:pPr>
              <w:spacing w:before="20" w:after="20"/>
              <w:jc w:val="both"/>
            </w:pPr>
            <w:r>
              <w:rPr>
                <w:sz w:val="18"/>
                <w:szCs w:val="18"/>
              </w:rPr>
              <w:t>Responde con solvencia las preguntas del curso.</w:t>
            </w:r>
          </w:p>
        </w:tc>
      </w:tr>
      <w:tr w:rsidR="00990B14" w14:paraId="77BC8DFA" w14:textId="77777777">
        <w:trPr>
          <w:cantSplit/>
          <w:jc w:val="center"/>
        </w:trPr>
        <w:tc>
          <w:tcPr>
            <w:tcW w:w="1829" w:type="dxa"/>
            <w:vMerge/>
            <w:shd w:val="clear" w:color="auto" w:fill="4472C4"/>
            <w:vAlign w:val="center"/>
          </w:tcPr>
          <w:p w14:paraId="143AEA10" w14:textId="77777777" w:rsidR="00990B14" w:rsidRDefault="00990B14">
            <w:pPr>
              <w:spacing w:before="20" w:after="20"/>
            </w:pPr>
          </w:p>
        </w:tc>
        <w:tc>
          <w:tcPr>
            <w:tcW w:w="5666" w:type="dxa"/>
            <w:gridSpan w:val="3"/>
            <w:shd w:val="clear" w:color="auto" w:fill="D9E2F3"/>
            <w:vAlign w:val="center"/>
          </w:tcPr>
          <w:p w14:paraId="333224E1" w14:textId="77777777" w:rsidR="00990B14" w:rsidRDefault="00000000">
            <w:pPr>
              <w:keepNext/>
              <w:spacing w:before="20" w:after="20"/>
              <w:jc w:val="both"/>
            </w:pPr>
            <w:r>
              <w:rPr>
                <w:b/>
                <w:bCs/>
                <w:i/>
                <w:iCs/>
                <w:sz w:val="18"/>
                <w:szCs w:val="18"/>
              </w:rPr>
              <w:t xml:space="preserve">Producto 5: </w:t>
            </w:r>
            <w:r>
              <w:rPr>
                <w:sz w:val="18"/>
                <w:szCs w:val="18"/>
              </w:rPr>
              <w:t>Declaraciones juradas del IVA y del IT</w:t>
            </w:r>
          </w:p>
        </w:tc>
        <w:tc>
          <w:tcPr>
            <w:tcW w:w="1910" w:type="dxa"/>
            <w:shd w:val="clear" w:color="auto" w:fill="D9E2F3"/>
            <w:vAlign w:val="center"/>
          </w:tcPr>
          <w:p w14:paraId="25BDA701" w14:textId="77777777" w:rsidR="00990B14" w:rsidRDefault="00000000">
            <w:pPr>
              <w:spacing w:before="20" w:after="20"/>
              <w:jc w:val="center"/>
            </w:pPr>
            <w:r>
              <w:rPr>
                <w:b/>
                <w:bCs/>
                <w:sz w:val="18"/>
                <w:szCs w:val="18"/>
              </w:rPr>
              <w:t>14%</w:t>
            </w:r>
          </w:p>
        </w:tc>
      </w:tr>
      <w:tr w:rsidR="00990B14" w14:paraId="08C14417" w14:textId="77777777">
        <w:trPr>
          <w:cantSplit/>
          <w:jc w:val="center"/>
        </w:trPr>
        <w:tc>
          <w:tcPr>
            <w:tcW w:w="1829" w:type="dxa"/>
            <w:vMerge/>
            <w:shd w:val="clear" w:color="auto" w:fill="4472C4"/>
            <w:vAlign w:val="center"/>
          </w:tcPr>
          <w:p w14:paraId="179FAE01" w14:textId="77777777" w:rsidR="00990B14" w:rsidRDefault="00990B14">
            <w:pPr>
              <w:spacing w:before="20" w:after="20"/>
            </w:pPr>
          </w:p>
        </w:tc>
        <w:tc>
          <w:tcPr>
            <w:tcW w:w="1910" w:type="dxa"/>
            <w:shd w:val="clear" w:color="auto" w:fill="4472C4"/>
            <w:vAlign w:val="center"/>
          </w:tcPr>
          <w:p w14:paraId="63E30B57" w14:textId="77777777" w:rsidR="00990B14" w:rsidRDefault="00000000">
            <w:pPr>
              <w:keepNext/>
              <w:spacing w:before="20" w:after="20"/>
              <w:jc w:val="center"/>
            </w:pPr>
            <w:r>
              <w:rPr>
                <w:b/>
                <w:bCs/>
                <w:i/>
                <w:iCs/>
                <w:color w:val="FFFFFF"/>
                <w:sz w:val="18"/>
                <w:szCs w:val="18"/>
              </w:rPr>
              <w:t>Criterio</w:t>
            </w:r>
          </w:p>
        </w:tc>
        <w:tc>
          <w:tcPr>
            <w:tcW w:w="1846" w:type="dxa"/>
            <w:shd w:val="clear" w:color="auto" w:fill="4472C4"/>
            <w:vAlign w:val="center"/>
          </w:tcPr>
          <w:p w14:paraId="1837048A"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11B5E63F"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0A4EB6A3" w14:textId="77777777" w:rsidR="00990B14" w:rsidRDefault="00000000">
            <w:pPr>
              <w:keepNext/>
              <w:spacing w:before="20" w:after="20"/>
              <w:jc w:val="center"/>
            </w:pPr>
            <w:r>
              <w:rPr>
                <w:b/>
                <w:bCs/>
                <w:i/>
                <w:iCs/>
                <w:color w:val="FFFFFF"/>
                <w:sz w:val="18"/>
                <w:szCs w:val="18"/>
              </w:rPr>
              <w:t>Destacado (81–100)</w:t>
            </w:r>
          </w:p>
        </w:tc>
      </w:tr>
      <w:tr w:rsidR="00990B14" w14:paraId="48B952DB" w14:textId="77777777">
        <w:trPr>
          <w:cantSplit/>
          <w:jc w:val="center"/>
        </w:trPr>
        <w:tc>
          <w:tcPr>
            <w:tcW w:w="1829" w:type="dxa"/>
            <w:vMerge/>
            <w:shd w:val="clear" w:color="auto" w:fill="4472C4"/>
            <w:vAlign w:val="center"/>
          </w:tcPr>
          <w:p w14:paraId="795DD4A8" w14:textId="77777777" w:rsidR="00990B14" w:rsidRDefault="00990B14">
            <w:pPr>
              <w:spacing w:before="20" w:after="20"/>
            </w:pPr>
          </w:p>
        </w:tc>
        <w:tc>
          <w:tcPr>
            <w:tcW w:w="1910" w:type="dxa"/>
            <w:shd w:val="clear" w:color="auto" w:fill="D9E2F3"/>
            <w:vAlign w:val="center"/>
          </w:tcPr>
          <w:p w14:paraId="1FB43AFA" w14:textId="77777777" w:rsidR="00990B14" w:rsidRDefault="00000000">
            <w:pPr>
              <w:spacing w:before="20" w:after="20"/>
              <w:jc w:val="both"/>
            </w:pPr>
            <w:r>
              <w:rPr>
                <w:sz w:val="18"/>
                <w:szCs w:val="18"/>
              </w:rPr>
              <w:t>Débito y crédito fiscal</w:t>
            </w:r>
          </w:p>
        </w:tc>
        <w:tc>
          <w:tcPr>
            <w:tcW w:w="1846" w:type="dxa"/>
            <w:shd w:val="clear" w:color="auto" w:fill="D9E2F3"/>
            <w:vAlign w:val="center"/>
          </w:tcPr>
          <w:p w14:paraId="60474BBB" w14:textId="77777777" w:rsidR="00990B14" w:rsidRDefault="00000000">
            <w:pPr>
              <w:spacing w:before="20" w:after="20"/>
              <w:jc w:val="both"/>
            </w:pPr>
            <w:r>
              <w:rPr>
                <w:sz w:val="18"/>
                <w:szCs w:val="18"/>
              </w:rPr>
              <w:t>Calcula mal el débito o el crédito.</w:t>
            </w:r>
          </w:p>
        </w:tc>
        <w:tc>
          <w:tcPr>
            <w:tcW w:w="1910" w:type="dxa"/>
            <w:shd w:val="clear" w:color="auto" w:fill="D9E2F3"/>
            <w:vAlign w:val="center"/>
          </w:tcPr>
          <w:p w14:paraId="2A3126A4" w14:textId="77777777" w:rsidR="00990B14" w:rsidRDefault="00000000">
            <w:pPr>
              <w:spacing w:before="20" w:after="20"/>
              <w:jc w:val="both"/>
            </w:pPr>
            <w:r>
              <w:rPr>
                <w:sz w:val="18"/>
                <w:szCs w:val="18"/>
              </w:rPr>
              <w:t>Determina el débito y el crédito fiscal del periodo.</w:t>
            </w:r>
          </w:p>
        </w:tc>
        <w:tc>
          <w:tcPr>
            <w:tcW w:w="1910" w:type="dxa"/>
            <w:shd w:val="clear" w:color="auto" w:fill="D9E2F3"/>
            <w:vAlign w:val="center"/>
          </w:tcPr>
          <w:p w14:paraId="3AA43606" w14:textId="77777777" w:rsidR="00990B14" w:rsidRDefault="00000000">
            <w:pPr>
              <w:spacing w:before="20" w:after="20"/>
              <w:jc w:val="both"/>
            </w:pPr>
            <w:r>
              <w:rPr>
                <w:sz w:val="18"/>
                <w:szCs w:val="18"/>
              </w:rPr>
              <w:t>Concilia el crédito fiscal con el libro mayor.</w:t>
            </w:r>
          </w:p>
        </w:tc>
      </w:tr>
      <w:tr w:rsidR="00990B14" w14:paraId="13D66FCC" w14:textId="77777777">
        <w:trPr>
          <w:cantSplit/>
          <w:jc w:val="center"/>
        </w:trPr>
        <w:tc>
          <w:tcPr>
            <w:tcW w:w="1829" w:type="dxa"/>
            <w:vMerge/>
            <w:shd w:val="clear" w:color="auto" w:fill="4472C4"/>
            <w:vAlign w:val="center"/>
          </w:tcPr>
          <w:p w14:paraId="08AC6AC3" w14:textId="77777777" w:rsidR="00990B14" w:rsidRDefault="00990B14">
            <w:pPr>
              <w:spacing w:before="20" w:after="20"/>
            </w:pPr>
          </w:p>
        </w:tc>
        <w:tc>
          <w:tcPr>
            <w:tcW w:w="1910" w:type="dxa"/>
            <w:shd w:val="clear" w:color="auto" w:fill="D9E2F3"/>
            <w:vAlign w:val="center"/>
          </w:tcPr>
          <w:p w14:paraId="59886E17" w14:textId="77777777" w:rsidR="00990B14" w:rsidRDefault="00000000">
            <w:pPr>
              <w:spacing w:before="20" w:after="20"/>
              <w:jc w:val="both"/>
            </w:pPr>
            <w:r>
              <w:rPr>
                <w:sz w:val="18"/>
                <w:szCs w:val="18"/>
              </w:rPr>
              <w:t>Impuesto a las Transacciones</w:t>
            </w:r>
          </w:p>
        </w:tc>
        <w:tc>
          <w:tcPr>
            <w:tcW w:w="1846" w:type="dxa"/>
            <w:shd w:val="clear" w:color="auto" w:fill="D9E2F3"/>
            <w:vAlign w:val="center"/>
          </w:tcPr>
          <w:p w14:paraId="61F44B7C" w14:textId="77777777" w:rsidR="00990B14" w:rsidRDefault="00000000">
            <w:pPr>
              <w:spacing w:before="20" w:after="20"/>
              <w:jc w:val="both"/>
            </w:pPr>
            <w:r>
              <w:rPr>
                <w:sz w:val="18"/>
                <w:szCs w:val="18"/>
              </w:rPr>
              <w:t>Aplica mal la base imponible.</w:t>
            </w:r>
          </w:p>
        </w:tc>
        <w:tc>
          <w:tcPr>
            <w:tcW w:w="1910" w:type="dxa"/>
            <w:shd w:val="clear" w:color="auto" w:fill="D9E2F3"/>
            <w:vAlign w:val="center"/>
          </w:tcPr>
          <w:p w14:paraId="7400B9CC" w14:textId="77777777" w:rsidR="00990B14" w:rsidRDefault="00000000">
            <w:pPr>
              <w:spacing w:before="20" w:after="20"/>
              <w:jc w:val="both"/>
            </w:pPr>
            <w:r>
              <w:rPr>
                <w:sz w:val="18"/>
                <w:szCs w:val="18"/>
              </w:rPr>
              <w:t>Liquida el IT del periodo.</w:t>
            </w:r>
          </w:p>
        </w:tc>
        <w:tc>
          <w:tcPr>
            <w:tcW w:w="1910" w:type="dxa"/>
            <w:shd w:val="clear" w:color="auto" w:fill="D9E2F3"/>
            <w:vAlign w:val="center"/>
          </w:tcPr>
          <w:p w14:paraId="5AE4BA93" w14:textId="77777777" w:rsidR="00990B14" w:rsidRDefault="00000000">
            <w:pPr>
              <w:spacing w:before="20" w:after="20"/>
              <w:jc w:val="both"/>
            </w:pPr>
            <w:r>
              <w:rPr>
                <w:sz w:val="18"/>
                <w:szCs w:val="18"/>
              </w:rPr>
              <w:t>Compensa el IT con el IUE cuando corresponde.</w:t>
            </w:r>
          </w:p>
        </w:tc>
      </w:tr>
      <w:tr w:rsidR="00990B14" w14:paraId="02E22233" w14:textId="77777777">
        <w:trPr>
          <w:cantSplit/>
          <w:jc w:val="center"/>
        </w:trPr>
        <w:tc>
          <w:tcPr>
            <w:tcW w:w="1829" w:type="dxa"/>
            <w:vMerge/>
            <w:shd w:val="clear" w:color="auto" w:fill="4472C4"/>
            <w:vAlign w:val="center"/>
          </w:tcPr>
          <w:p w14:paraId="248BA925" w14:textId="77777777" w:rsidR="00990B14" w:rsidRDefault="00990B14">
            <w:pPr>
              <w:spacing w:before="20" w:after="20"/>
            </w:pPr>
          </w:p>
        </w:tc>
        <w:tc>
          <w:tcPr>
            <w:tcW w:w="1910" w:type="dxa"/>
            <w:shd w:val="clear" w:color="auto" w:fill="D9E2F3"/>
            <w:vAlign w:val="center"/>
          </w:tcPr>
          <w:p w14:paraId="1CE4C796" w14:textId="77777777" w:rsidR="00990B14" w:rsidRDefault="00000000">
            <w:pPr>
              <w:spacing w:before="20" w:after="20"/>
              <w:jc w:val="both"/>
            </w:pPr>
            <w:r>
              <w:rPr>
                <w:sz w:val="18"/>
                <w:szCs w:val="18"/>
              </w:rPr>
              <w:t>Registro contable</w:t>
            </w:r>
          </w:p>
        </w:tc>
        <w:tc>
          <w:tcPr>
            <w:tcW w:w="1846" w:type="dxa"/>
            <w:shd w:val="clear" w:color="auto" w:fill="D9E2F3"/>
            <w:vAlign w:val="center"/>
          </w:tcPr>
          <w:p w14:paraId="0FC9827D" w14:textId="77777777" w:rsidR="00990B14" w:rsidRDefault="00000000">
            <w:pPr>
              <w:spacing w:before="20" w:after="20"/>
              <w:jc w:val="both"/>
            </w:pPr>
            <w:r>
              <w:rPr>
                <w:sz w:val="18"/>
                <w:szCs w:val="18"/>
              </w:rPr>
              <w:t>Omite el asiento de liquidación.</w:t>
            </w:r>
          </w:p>
        </w:tc>
        <w:tc>
          <w:tcPr>
            <w:tcW w:w="1910" w:type="dxa"/>
            <w:shd w:val="clear" w:color="auto" w:fill="D9E2F3"/>
            <w:vAlign w:val="center"/>
          </w:tcPr>
          <w:p w14:paraId="409FA357" w14:textId="77777777" w:rsidR="00990B14" w:rsidRDefault="00000000">
            <w:pPr>
              <w:spacing w:before="20" w:after="20"/>
              <w:jc w:val="both"/>
            </w:pPr>
            <w:r>
              <w:rPr>
                <w:sz w:val="18"/>
                <w:szCs w:val="18"/>
              </w:rPr>
              <w:t>Registra la liquidación y el pago.</w:t>
            </w:r>
          </w:p>
        </w:tc>
        <w:tc>
          <w:tcPr>
            <w:tcW w:w="1910" w:type="dxa"/>
            <w:shd w:val="clear" w:color="auto" w:fill="D9E2F3"/>
            <w:vAlign w:val="center"/>
          </w:tcPr>
          <w:p w14:paraId="474A27B5" w14:textId="77777777" w:rsidR="00990B14" w:rsidRDefault="00000000">
            <w:pPr>
              <w:spacing w:before="20" w:after="20"/>
              <w:jc w:val="both"/>
            </w:pPr>
            <w:r>
              <w:rPr>
                <w:sz w:val="18"/>
                <w:szCs w:val="18"/>
              </w:rPr>
              <w:t>Verifica el saldo a favor arrastrado.</w:t>
            </w:r>
          </w:p>
        </w:tc>
      </w:tr>
      <w:tr w:rsidR="00990B14" w14:paraId="4604E348" w14:textId="77777777">
        <w:trPr>
          <w:cantSplit/>
          <w:jc w:val="center"/>
        </w:trPr>
        <w:tc>
          <w:tcPr>
            <w:tcW w:w="1829" w:type="dxa"/>
            <w:vMerge/>
            <w:shd w:val="clear" w:color="auto" w:fill="4472C4"/>
            <w:vAlign w:val="center"/>
          </w:tcPr>
          <w:p w14:paraId="3846B108" w14:textId="77777777" w:rsidR="00990B14" w:rsidRDefault="00990B14">
            <w:pPr>
              <w:spacing w:before="20" w:after="20"/>
            </w:pPr>
          </w:p>
        </w:tc>
        <w:tc>
          <w:tcPr>
            <w:tcW w:w="5666" w:type="dxa"/>
            <w:gridSpan w:val="3"/>
            <w:shd w:val="clear" w:color="auto" w:fill="D9E2F3"/>
            <w:vAlign w:val="center"/>
          </w:tcPr>
          <w:p w14:paraId="0B0243B9" w14:textId="77777777" w:rsidR="00990B14" w:rsidRDefault="00000000">
            <w:pPr>
              <w:keepNext/>
              <w:spacing w:before="20" w:after="20"/>
              <w:jc w:val="both"/>
            </w:pPr>
            <w:r>
              <w:rPr>
                <w:b/>
                <w:bCs/>
                <w:i/>
                <w:iCs/>
                <w:sz w:val="18"/>
                <w:szCs w:val="18"/>
              </w:rPr>
              <w:t xml:space="preserve">Producto 6: </w:t>
            </w:r>
            <w:r>
              <w:rPr>
                <w:sz w:val="18"/>
                <w:szCs w:val="18"/>
              </w:rPr>
              <w:t>Cuadro de casos especiales del IVA</w:t>
            </w:r>
          </w:p>
        </w:tc>
        <w:tc>
          <w:tcPr>
            <w:tcW w:w="1910" w:type="dxa"/>
            <w:shd w:val="clear" w:color="auto" w:fill="D9E2F3"/>
            <w:vAlign w:val="center"/>
          </w:tcPr>
          <w:p w14:paraId="70ECC315" w14:textId="77777777" w:rsidR="00990B14" w:rsidRDefault="00000000">
            <w:pPr>
              <w:spacing w:before="20" w:after="20"/>
              <w:jc w:val="center"/>
            </w:pPr>
            <w:r>
              <w:rPr>
                <w:b/>
                <w:bCs/>
                <w:sz w:val="18"/>
                <w:szCs w:val="18"/>
              </w:rPr>
              <w:t>14%</w:t>
            </w:r>
          </w:p>
        </w:tc>
      </w:tr>
      <w:tr w:rsidR="00990B14" w14:paraId="448E5A44" w14:textId="77777777">
        <w:trPr>
          <w:cantSplit/>
          <w:jc w:val="center"/>
        </w:trPr>
        <w:tc>
          <w:tcPr>
            <w:tcW w:w="1829" w:type="dxa"/>
            <w:vMerge/>
            <w:shd w:val="clear" w:color="auto" w:fill="4472C4"/>
            <w:vAlign w:val="center"/>
          </w:tcPr>
          <w:p w14:paraId="4490154D" w14:textId="77777777" w:rsidR="00990B14" w:rsidRDefault="00990B14">
            <w:pPr>
              <w:spacing w:before="20" w:after="20"/>
            </w:pPr>
          </w:p>
        </w:tc>
        <w:tc>
          <w:tcPr>
            <w:tcW w:w="1910" w:type="dxa"/>
            <w:shd w:val="clear" w:color="auto" w:fill="4472C4"/>
            <w:vAlign w:val="center"/>
          </w:tcPr>
          <w:p w14:paraId="668E0423" w14:textId="77777777" w:rsidR="00990B14" w:rsidRDefault="00000000">
            <w:pPr>
              <w:keepNext/>
              <w:spacing w:before="20" w:after="20"/>
              <w:jc w:val="center"/>
            </w:pPr>
            <w:r>
              <w:rPr>
                <w:b/>
                <w:bCs/>
                <w:i/>
                <w:iCs/>
                <w:color w:val="FFFFFF"/>
                <w:sz w:val="18"/>
                <w:szCs w:val="18"/>
              </w:rPr>
              <w:t>Criterio</w:t>
            </w:r>
          </w:p>
        </w:tc>
        <w:tc>
          <w:tcPr>
            <w:tcW w:w="1846" w:type="dxa"/>
            <w:shd w:val="clear" w:color="auto" w:fill="4472C4"/>
            <w:vAlign w:val="center"/>
          </w:tcPr>
          <w:p w14:paraId="71419265"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7B9A2B2B"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647701D6" w14:textId="77777777" w:rsidR="00990B14" w:rsidRDefault="00000000">
            <w:pPr>
              <w:keepNext/>
              <w:spacing w:before="20" w:after="20"/>
              <w:jc w:val="center"/>
            </w:pPr>
            <w:r>
              <w:rPr>
                <w:b/>
                <w:bCs/>
                <w:i/>
                <w:iCs/>
                <w:color w:val="FFFFFF"/>
                <w:sz w:val="18"/>
                <w:szCs w:val="18"/>
              </w:rPr>
              <w:t>Destacado (81–100)</w:t>
            </w:r>
          </w:p>
        </w:tc>
      </w:tr>
      <w:tr w:rsidR="00990B14" w14:paraId="613B533F" w14:textId="77777777">
        <w:trPr>
          <w:cantSplit/>
          <w:jc w:val="center"/>
        </w:trPr>
        <w:tc>
          <w:tcPr>
            <w:tcW w:w="1829" w:type="dxa"/>
            <w:vMerge/>
            <w:shd w:val="clear" w:color="auto" w:fill="4472C4"/>
            <w:vAlign w:val="center"/>
          </w:tcPr>
          <w:p w14:paraId="2429AF48" w14:textId="77777777" w:rsidR="00990B14" w:rsidRDefault="00990B14">
            <w:pPr>
              <w:spacing w:before="20" w:after="20"/>
            </w:pPr>
          </w:p>
        </w:tc>
        <w:tc>
          <w:tcPr>
            <w:tcW w:w="1910" w:type="dxa"/>
            <w:shd w:val="clear" w:color="auto" w:fill="D9E2F3"/>
            <w:vAlign w:val="center"/>
          </w:tcPr>
          <w:p w14:paraId="6E36290E" w14:textId="77777777" w:rsidR="00990B14" w:rsidRDefault="00000000">
            <w:pPr>
              <w:spacing w:before="20" w:after="20"/>
              <w:jc w:val="both"/>
            </w:pPr>
            <w:r>
              <w:rPr>
                <w:sz w:val="18"/>
                <w:szCs w:val="18"/>
              </w:rPr>
              <w:t>Casos del IVA</w:t>
            </w:r>
          </w:p>
        </w:tc>
        <w:tc>
          <w:tcPr>
            <w:tcW w:w="1846" w:type="dxa"/>
            <w:shd w:val="clear" w:color="auto" w:fill="D9E2F3"/>
            <w:vAlign w:val="center"/>
          </w:tcPr>
          <w:p w14:paraId="2ED1FE5D" w14:textId="77777777" w:rsidR="00990B14" w:rsidRDefault="00000000">
            <w:pPr>
              <w:spacing w:before="20" w:after="20"/>
              <w:jc w:val="both"/>
            </w:pPr>
            <w:r>
              <w:rPr>
                <w:sz w:val="18"/>
                <w:szCs w:val="18"/>
              </w:rPr>
              <w:t>Trata mal las exportaciones o devoluciones.</w:t>
            </w:r>
          </w:p>
        </w:tc>
        <w:tc>
          <w:tcPr>
            <w:tcW w:w="1910" w:type="dxa"/>
            <w:shd w:val="clear" w:color="auto" w:fill="D9E2F3"/>
            <w:vAlign w:val="center"/>
          </w:tcPr>
          <w:p w14:paraId="49180E6D" w14:textId="77777777" w:rsidR="00990B14" w:rsidRDefault="00000000">
            <w:pPr>
              <w:spacing w:before="20" w:after="20"/>
              <w:jc w:val="both"/>
            </w:pPr>
            <w:r>
              <w:rPr>
                <w:sz w:val="18"/>
                <w:szCs w:val="18"/>
              </w:rPr>
              <w:t>Resuelve cada caso según la norma.</w:t>
            </w:r>
          </w:p>
        </w:tc>
        <w:tc>
          <w:tcPr>
            <w:tcW w:w="1910" w:type="dxa"/>
            <w:shd w:val="clear" w:color="auto" w:fill="D9E2F3"/>
            <w:vAlign w:val="center"/>
          </w:tcPr>
          <w:p w14:paraId="3AEE40DE" w14:textId="77777777" w:rsidR="00990B14" w:rsidRDefault="00000000">
            <w:pPr>
              <w:spacing w:before="20" w:after="20"/>
              <w:jc w:val="both"/>
            </w:pPr>
            <w:r>
              <w:rPr>
                <w:sz w:val="18"/>
                <w:szCs w:val="18"/>
              </w:rPr>
              <w:t>Explica el fundamento de cada tratamiento.</w:t>
            </w:r>
          </w:p>
        </w:tc>
      </w:tr>
      <w:tr w:rsidR="00990B14" w14:paraId="7C301B27" w14:textId="77777777">
        <w:trPr>
          <w:cantSplit/>
          <w:jc w:val="center"/>
        </w:trPr>
        <w:tc>
          <w:tcPr>
            <w:tcW w:w="1829" w:type="dxa"/>
            <w:vMerge/>
            <w:shd w:val="clear" w:color="auto" w:fill="4472C4"/>
            <w:vAlign w:val="center"/>
          </w:tcPr>
          <w:p w14:paraId="3BF5867B" w14:textId="77777777" w:rsidR="00990B14" w:rsidRDefault="00990B14">
            <w:pPr>
              <w:spacing w:before="20" w:after="20"/>
            </w:pPr>
          </w:p>
        </w:tc>
        <w:tc>
          <w:tcPr>
            <w:tcW w:w="1910" w:type="dxa"/>
            <w:shd w:val="clear" w:color="auto" w:fill="D9E2F3"/>
            <w:vAlign w:val="center"/>
          </w:tcPr>
          <w:p w14:paraId="5534FA6B" w14:textId="77777777" w:rsidR="00990B14" w:rsidRDefault="00000000">
            <w:pPr>
              <w:spacing w:before="20" w:after="20"/>
              <w:jc w:val="both"/>
            </w:pPr>
            <w:r>
              <w:rPr>
                <w:sz w:val="18"/>
                <w:szCs w:val="18"/>
              </w:rPr>
              <w:t>Proporcionalidad</w:t>
            </w:r>
          </w:p>
        </w:tc>
        <w:tc>
          <w:tcPr>
            <w:tcW w:w="1846" w:type="dxa"/>
            <w:shd w:val="clear" w:color="auto" w:fill="D9E2F3"/>
            <w:vAlign w:val="center"/>
          </w:tcPr>
          <w:p w14:paraId="6C77BDA0" w14:textId="77777777" w:rsidR="00990B14" w:rsidRDefault="00000000">
            <w:pPr>
              <w:spacing w:before="20" w:after="20"/>
              <w:jc w:val="both"/>
            </w:pPr>
            <w:r>
              <w:rPr>
                <w:sz w:val="18"/>
                <w:szCs w:val="18"/>
              </w:rPr>
              <w:t>Computa todo el crédito fiscal.</w:t>
            </w:r>
          </w:p>
        </w:tc>
        <w:tc>
          <w:tcPr>
            <w:tcW w:w="1910" w:type="dxa"/>
            <w:shd w:val="clear" w:color="auto" w:fill="D9E2F3"/>
            <w:vAlign w:val="center"/>
          </w:tcPr>
          <w:p w14:paraId="48B28C66" w14:textId="77777777" w:rsidR="00990B14" w:rsidRDefault="00000000">
            <w:pPr>
              <w:spacing w:before="20" w:after="20"/>
              <w:jc w:val="both"/>
            </w:pPr>
            <w:r>
              <w:rPr>
                <w:sz w:val="18"/>
                <w:szCs w:val="18"/>
              </w:rPr>
              <w:t>Aplica la proporcionalidad del crédito fiscal.</w:t>
            </w:r>
          </w:p>
        </w:tc>
        <w:tc>
          <w:tcPr>
            <w:tcW w:w="1910" w:type="dxa"/>
            <w:shd w:val="clear" w:color="auto" w:fill="D9E2F3"/>
            <w:vAlign w:val="center"/>
          </w:tcPr>
          <w:p w14:paraId="04C106D7" w14:textId="77777777" w:rsidR="00990B14" w:rsidRDefault="00000000">
            <w:pPr>
              <w:spacing w:before="20" w:after="20"/>
              <w:jc w:val="both"/>
            </w:pPr>
            <w:r>
              <w:rPr>
                <w:sz w:val="18"/>
                <w:szCs w:val="18"/>
              </w:rPr>
              <w:t>Verifica el efecto en el saldo a pagar.</w:t>
            </w:r>
          </w:p>
        </w:tc>
      </w:tr>
      <w:tr w:rsidR="00990B14" w14:paraId="070C326A" w14:textId="77777777">
        <w:trPr>
          <w:cantSplit/>
          <w:jc w:val="center"/>
        </w:trPr>
        <w:tc>
          <w:tcPr>
            <w:tcW w:w="1829" w:type="dxa"/>
            <w:vMerge/>
            <w:shd w:val="clear" w:color="auto" w:fill="4472C4"/>
            <w:vAlign w:val="center"/>
          </w:tcPr>
          <w:p w14:paraId="5C8E9815" w14:textId="77777777" w:rsidR="00990B14" w:rsidRDefault="00990B14">
            <w:pPr>
              <w:spacing w:before="20" w:after="20"/>
            </w:pPr>
          </w:p>
        </w:tc>
        <w:tc>
          <w:tcPr>
            <w:tcW w:w="1910" w:type="dxa"/>
            <w:shd w:val="clear" w:color="auto" w:fill="D9E2F3"/>
            <w:vAlign w:val="center"/>
          </w:tcPr>
          <w:p w14:paraId="656D53A4" w14:textId="77777777" w:rsidR="00990B14" w:rsidRDefault="00000000">
            <w:pPr>
              <w:spacing w:before="20" w:after="20"/>
              <w:jc w:val="both"/>
            </w:pPr>
            <w:r>
              <w:rPr>
                <w:sz w:val="18"/>
                <w:szCs w:val="18"/>
              </w:rPr>
              <w:t>Impuesto a los Consumos Específicos</w:t>
            </w:r>
          </w:p>
        </w:tc>
        <w:tc>
          <w:tcPr>
            <w:tcW w:w="1846" w:type="dxa"/>
            <w:shd w:val="clear" w:color="auto" w:fill="D9E2F3"/>
            <w:vAlign w:val="center"/>
          </w:tcPr>
          <w:p w14:paraId="2E2E97A4" w14:textId="77777777" w:rsidR="00990B14" w:rsidRDefault="00000000">
            <w:pPr>
              <w:spacing w:before="20" w:after="20"/>
              <w:jc w:val="both"/>
            </w:pPr>
            <w:r>
              <w:rPr>
                <w:sz w:val="18"/>
                <w:szCs w:val="18"/>
              </w:rPr>
              <w:t>Liquida mal el ICE.</w:t>
            </w:r>
          </w:p>
        </w:tc>
        <w:tc>
          <w:tcPr>
            <w:tcW w:w="1910" w:type="dxa"/>
            <w:shd w:val="clear" w:color="auto" w:fill="D9E2F3"/>
            <w:vAlign w:val="center"/>
          </w:tcPr>
          <w:p w14:paraId="4C7C38FB" w14:textId="77777777" w:rsidR="00990B14" w:rsidRDefault="00000000">
            <w:pPr>
              <w:spacing w:before="20" w:after="20"/>
              <w:jc w:val="both"/>
            </w:pPr>
            <w:r>
              <w:rPr>
                <w:sz w:val="18"/>
                <w:szCs w:val="18"/>
              </w:rPr>
              <w:t>Liquida el ICE de un producto gravado.</w:t>
            </w:r>
          </w:p>
        </w:tc>
        <w:tc>
          <w:tcPr>
            <w:tcW w:w="1910" w:type="dxa"/>
            <w:shd w:val="clear" w:color="auto" w:fill="D9E2F3"/>
            <w:vAlign w:val="center"/>
          </w:tcPr>
          <w:p w14:paraId="54A2DD2F" w14:textId="77777777" w:rsidR="00990B14" w:rsidRDefault="00000000">
            <w:pPr>
              <w:spacing w:before="20" w:after="20"/>
              <w:jc w:val="both"/>
            </w:pPr>
            <w:r>
              <w:rPr>
                <w:sz w:val="18"/>
                <w:szCs w:val="18"/>
              </w:rPr>
              <w:t>Explica su efecto en el precio y el consumo.</w:t>
            </w:r>
          </w:p>
        </w:tc>
      </w:tr>
      <w:tr w:rsidR="00990B14" w14:paraId="77B44ABF" w14:textId="77777777">
        <w:trPr>
          <w:cantSplit/>
          <w:jc w:val="center"/>
        </w:trPr>
        <w:tc>
          <w:tcPr>
            <w:tcW w:w="1829" w:type="dxa"/>
            <w:vMerge/>
            <w:shd w:val="clear" w:color="auto" w:fill="4472C4"/>
            <w:vAlign w:val="center"/>
          </w:tcPr>
          <w:p w14:paraId="79F6B3EB" w14:textId="77777777" w:rsidR="00990B14" w:rsidRDefault="00990B14">
            <w:pPr>
              <w:spacing w:before="20" w:after="20"/>
            </w:pPr>
          </w:p>
        </w:tc>
        <w:tc>
          <w:tcPr>
            <w:tcW w:w="5666" w:type="dxa"/>
            <w:gridSpan w:val="3"/>
            <w:shd w:val="clear" w:color="auto" w:fill="D9E2F3"/>
            <w:vAlign w:val="center"/>
          </w:tcPr>
          <w:p w14:paraId="08612D0B" w14:textId="77777777" w:rsidR="00990B14" w:rsidRDefault="00000000">
            <w:pPr>
              <w:keepNext/>
              <w:spacing w:before="20" w:after="20"/>
              <w:jc w:val="both"/>
            </w:pPr>
            <w:r>
              <w:rPr>
                <w:b/>
                <w:bCs/>
                <w:i/>
                <w:iCs/>
                <w:sz w:val="18"/>
                <w:szCs w:val="18"/>
              </w:rPr>
              <w:t xml:space="preserve">Producto 7: </w:t>
            </w:r>
            <w:r>
              <w:rPr>
                <w:sz w:val="18"/>
                <w:szCs w:val="18"/>
              </w:rPr>
              <w:t>Planilla: Sueldos y salarios, tributaria, aportes patronales y beneficios sociales, y retenciones.</w:t>
            </w:r>
          </w:p>
        </w:tc>
        <w:tc>
          <w:tcPr>
            <w:tcW w:w="1910" w:type="dxa"/>
            <w:shd w:val="clear" w:color="auto" w:fill="D9E2F3"/>
            <w:vAlign w:val="center"/>
          </w:tcPr>
          <w:p w14:paraId="1309BD6A" w14:textId="77777777" w:rsidR="00990B14" w:rsidRDefault="00000000">
            <w:pPr>
              <w:spacing w:before="20" w:after="20"/>
              <w:jc w:val="center"/>
            </w:pPr>
            <w:r>
              <w:rPr>
                <w:b/>
                <w:bCs/>
                <w:sz w:val="18"/>
                <w:szCs w:val="18"/>
              </w:rPr>
              <w:t>14%</w:t>
            </w:r>
          </w:p>
        </w:tc>
      </w:tr>
      <w:tr w:rsidR="00990B14" w14:paraId="376D7242" w14:textId="77777777">
        <w:trPr>
          <w:cantSplit/>
          <w:jc w:val="center"/>
        </w:trPr>
        <w:tc>
          <w:tcPr>
            <w:tcW w:w="1829" w:type="dxa"/>
            <w:vMerge/>
            <w:shd w:val="clear" w:color="auto" w:fill="4472C4"/>
            <w:vAlign w:val="center"/>
          </w:tcPr>
          <w:p w14:paraId="5AA466EA" w14:textId="77777777" w:rsidR="00990B14" w:rsidRDefault="00990B14">
            <w:pPr>
              <w:spacing w:before="20" w:after="20"/>
            </w:pPr>
          </w:p>
        </w:tc>
        <w:tc>
          <w:tcPr>
            <w:tcW w:w="1910" w:type="dxa"/>
            <w:shd w:val="clear" w:color="auto" w:fill="4472C4"/>
            <w:vAlign w:val="center"/>
          </w:tcPr>
          <w:p w14:paraId="700CFDA4" w14:textId="77777777" w:rsidR="00990B14" w:rsidRDefault="00000000">
            <w:pPr>
              <w:keepNext/>
              <w:spacing w:before="20" w:after="20"/>
              <w:jc w:val="center"/>
            </w:pPr>
            <w:r>
              <w:rPr>
                <w:b/>
                <w:bCs/>
                <w:i/>
                <w:iCs/>
                <w:color w:val="FFFFFF"/>
                <w:sz w:val="18"/>
                <w:szCs w:val="18"/>
              </w:rPr>
              <w:t>Criterio</w:t>
            </w:r>
          </w:p>
        </w:tc>
        <w:tc>
          <w:tcPr>
            <w:tcW w:w="1846" w:type="dxa"/>
            <w:shd w:val="clear" w:color="auto" w:fill="4472C4"/>
            <w:vAlign w:val="center"/>
          </w:tcPr>
          <w:p w14:paraId="3D6B663A"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5C3D9D67"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42CC6C8F" w14:textId="77777777" w:rsidR="00990B14" w:rsidRDefault="00000000">
            <w:pPr>
              <w:keepNext/>
              <w:spacing w:before="20" w:after="20"/>
              <w:jc w:val="center"/>
            </w:pPr>
            <w:r>
              <w:rPr>
                <w:b/>
                <w:bCs/>
                <w:i/>
                <w:iCs/>
                <w:color w:val="FFFFFF"/>
                <w:sz w:val="18"/>
                <w:szCs w:val="18"/>
              </w:rPr>
              <w:t>Destacado (81–100)</w:t>
            </w:r>
          </w:p>
        </w:tc>
      </w:tr>
      <w:tr w:rsidR="00990B14" w14:paraId="02DFB309" w14:textId="77777777">
        <w:trPr>
          <w:cantSplit/>
          <w:jc w:val="center"/>
        </w:trPr>
        <w:tc>
          <w:tcPr>
            <w:tcW w:w="1829" w:type="dxa"/>
            <w:vMerge/>
            <w:shd w:val="clear" w:color="auto" w:fill="4472C4"/>
            <w:vAlign w:val="center"/>
          </w:tcPr>
          <w:p w14:paraId="7CC50C50" w14:textId="77777777" w:rsidR="00990B14" w:rsidRDefault="00990B14">
            <w:pPr>
              <w:spacing w:before="20" w:after="20"/>
            </w:pPr>
          </w:p>
        </w:tc>
        <w:tc>
          <w:tcPr>
            <w:tcW w:w="1910" w:type="dxa"/>
            <w:shd w:val="clear" w:color="auto" w:fill="D9E2F3"/>
            <w:vAlign w:val="center"/>
          </w:tcPr>
          <w:p w14:paraId="2E765E10" w14:textId="77777777" w:rsidR="00990B14" w:rsidRDefault="00000000">
            <w:pPr>
              <w:spacing w:before="20" w:after="20"/>
              <w:jc w:val="both"/>
            </w:pPr>
            <w:r>
              <w:rPr>
                <w:sz w:val="18"/>
                <w:szCs w:val="18"/>
              </w:rPr>
              <w:t>Planilla del RC-IVA</w:t>
            </w:r>
          </w:p>
        </w:tc>
        <w:tc>
          <w:tcPr>
            <w:tcW w:w="1846" w:type="dxa"/>
            <w:shd w:val="clear" w:color="auto" w:fill="D9E2F3"/>
            <w:vAlign w:val="center"/>
          </w:tcPr>
          <w:p w14:paraId="0E034F2D" w14:textId="77777777" w:rsidR="00990B14" w:rsidRDefault="00000000">
            <w:pPr>
              <w:spacing w:before="20" w:after="20"/>
              <w:jc w:val="both"/>
            </w:pPr>
            <w:r>
              <w:rPr>
                <w:sz w:val="18"/>
                <w:szCs w:val="18"/>
              </w:rPr>
              <w:t>Omite el crédito fiscal del dependiente.</w:t>
            </w:r>
          </w:p>
        </w:tc>
        <w:tc>
          <w:tcPr>
            <w:tcW w:w="1910" w:type="dxa"/>
            <w:shd w:val="clear" w:color="auto" w:fill="D9E2F3"/>
            <w:vAlign w:val="center"/>
          </w:tcPr>
          <w:p w14:paraId="30013024" w14:textId="77777777" w:rsidR="00990B14" w:rsidRDefault="00000000">
            <w:pPr>
              <w:spacing w:before="20" w:after="20"/>
              <w:jc w:val="both"/>
            </w:pPr>
            <w:r>
              <w:rPr>
                <w:sz w:val="18"/>
                <w:szCs w:val="18"/>
              </w:rPr>
              <w:t>Calcula el impuesto de cada dependiente.</w:t>
            </w:r>
          </w:p>
        </w:tc>
        <w:tc>
          <w:tcPr>
            <w:tcW w:w="1910" w:type="dxa"/>
            <w:shd w:val="clear" w:color="auto" w:fill="D9E2F3"/>
            <w:vAlign w:val="center"/>
          </w:tcPr>
          <w:p w14:paraId="38A090CC" w14:textId="77777777" w:rsidR="00990B14" w:rsidRDefault="00000000">
            <w:pPr>
              <w:spacing w:before="20" w:after="20"/>
              <w:jc w:val="both"/>
            </w:pPr>
            <w:r>
              <w:rPr>
                <w:sz w:val="18"/>
                <w:szCs w:val="18"/>
              </w:rPr>
              <w:t>Verifica el saldo a favor de cada dependiente (cuando corresponda).</w:t>
            </w:r>
          </w:p>
        </w:tc>
      </w:tr>
      <w:tr w:rsidR="00990B14" w14:paraId="43828EB7" w14:textId="77777777">
        <w:trPr>
          <w:cantSplit/>
          <w:jc w:val="center"/>
        </w:trPr>
        <w:tc>
          <w:tcPr>
            <w:tcW w:w="1829" w:type="dxa"/>
            <w:vMerge/>
            <w:shd w:val="clear" w:color="auto" w:fill="4472C4"/>
            <w:vAlign w:val="center"/>
          </w:tcPr>
          <w:p w14:paraId="5AE41A56" w14:textId="77777777" w:rsidR="00990B14" w:rsidRDefault="00990B14">
            <w:pPr>
              <w:spacing w:before="20" w:after="20"/>
            </w:pPr>
          </w:p>
        </w:tc>
        <w:tc>
          <w:tcPr>
            <w:tcW w:w="1910" w:type="dxa"/>
            <w:shd w:val="clear" w:color="auto" w:fill="D9E2F3"/>
            <w:vAlign w:val="center"/>
          </w:tcPr>
          <w:p w14:paraId="7BD34CAD" w14:textId="77777777" w:rsidR="00990B14" w:rsidRDefault="00000000">
            <w:pPr>
              <w:spacing w:before="20" w:after="20"/>
              <w:jc w:val="both"/>
            </w:pPr>
            <w:r>
              <w:rPr>
                <w:sz w:val="18"/>
                <w:szCs w:val="18"/>
              </w:rPr>
              <w:t>Retenciones</w:t>
            </w:r>
          </w:p>
        </w:tc>
        <w:tc>
          <w:tcPr>
            <w:tcW w:w="1846" w:type="dxa"/>
            <w:shd w:val="clear" w:color="auto" w:fill="D9E2F3"/>
            <w:vAlign w:val="center"/>
          </w:tcPr>
          <w:p w14:paraId="74318E38" w14:textId="77777777" w:rsidR="00990B14" w:rsidRDefault="00000000">
            <w:pPr>
              <w:spacing w:before="20" w:after="20"/>
              <w:jc w:val="both"/>
            </w:pPr>
            <w:r>
              <w:rPr>
                <w:sz w:val="18"/>
                <w:szCs w:val="18"/>
              </w:rPr>
              <w:t>Retiene con alícuotas erradas.</w:t>
            </w:r>
          </w:p>
        </w:tc>
        <w:tc>
          <w:tcPr>
            <w:tcW w:w="1910" w:type="dxa"/>
            <w:shd w:val="clear" w:color="auto" w:fill="D9E2F3"/>
            <w:vAlign w:val="center"/>
          </w:tcPr>
          <w:p w14:paraId="2C29E079" w14:textId="77777777" w:rsidR="00990B14" w:rsidRDefault="00000000">
            <w:pPr>
              <w:spacing w:before="20" w:after="20"/>
              <w:jc w:val="both"/>
            </w:pPr>
            <w:r>
              <w:rPr>
                <w:sz w:val="18"/>
                <w:szCs w:val="18"/>
              </w:rPr>
              <w:t>Calcula las retenciones del IT, el IUE y el RC-IVA.</w:t>
            </w:r>
          </w:p>
        </w:tc>
        <w:tc>
          <w:tcPr>
            <w:tcW w:w="1910" w:type="dxa"/>
            <w:shd w:val="clear" w:color="auto" w:fill="D9E2F3"/>
            <w:vAlign w:val="center"/>
          </w:tcPr>
          <w:p w14:paraId="5D954B9C" w14:textId="77777777" w:rsidR="00990B14" w:rsidRDefault="00000000">
            <w:pPr>
              <w:spacing w:before="20" w:after="20"/>
              <w:jc w:val="both"/>
            </w:pPr>
            <w:r>
              <w:rPr>
                <w:sz w:val="18"/>
                <w:szCs w:val="18"/>
              </w:rPr>
              <w:t>Concilia las retenciones con los registros contables.</w:t>
            </w:r>
          </w:p>
        </w:tc>
      </w:tr>
      <w:tr w:rsidR="00990B14" w14:paraId="19BBBE30" w14:textId="77777777">
        <w:trPr>
          <w:cantSplit/>
          <w:jc w:val="center"/>
        </w:trPr>
        <w:tc>
          <w:tcPr>
            <w:tcW w:w="1829" w:type="dxa"/>
            <w:vMerge/>
            <w:shd w:val="clear" w:color="auto" w:fill="4472C4"/>
            <w:vAlign w:val="center"/>
          </w:tcPr>
          <w:p w14:paraId="02A9E3AB" w14:textId="77777777" w:rsidR="00990B14" w:rsidRDefault="00990B14">
            <w:pPr>
              <w:spacing w:before="20" w:after="20"/>
            </w:pPr>
          </w:p>
        </w:tc>
        <w:tc>
          <w:tcPr>
            <w:tcW w:w="1910" w:type="dxa"/>
            <w:shd w:val="clear" w:color="auto" w:fill="D9E2F3"/>
            <w:vAlign w:val="center"/>
          </w:tcPr>
          <w:p w14:paraId="4A8FBAC9" w14:textId="77777777" w:rsidR="00990B14" w:rsidRDefault="00000000">
            <w:pPr>
              <w:spacing w:before="20" w:after="20"/>
              <w:jc w:val="both"/>
            </w:pPr>
            <w:r>
              <w:rPr>
                <w:sz w:val="18"/>
                <w:szCs w:val="18"/>
              </w:rPr>
              <w:t>Trabajo en equipo</w:t>
            </w:r>
          </w:p>
        </w:tc>
        <w:tc>
          <w:tcPr>
            <w:tcW w:w="1846" w:type="dxa"/>
            <w:shd w:val="clear" w:color="auto" w:fill="D9E2F3"/>
            <w:vAlign w:val="center"/>
          </w:tcPr>
          <w:p w14:paraId="06FD9C8C" w14:textId="77777777" w:rsidR="00990B14" w:rsidRDefault="00000000">
            <w:pPr>
              <w:spacing w:before="20" w:after="20"/>
              <w:jc w:val="both"/>
            </w:pPr>
            <w:r>
              <w:rPr>
                <w:sz w:val="18"/>
                <w:szCs w:val="18"/>
              </w:rPr>
              <w:t>La participación es desigual.</w:t>
            </w:r>
          </w:p>
        </w:tc>
        <w:tc>
          <w:tcPr>
            <w:tcW w:w="1910" w:type="dxa"/>
            <w:shd w:val="clear" w:color="auto" w:fill="D9E2F3"/>
            <w:vAlign w:val="center"/>
          </w:tcPr>
          <w:p w14:paraId="4A6B6413" w14:textId="77777777" w:rsidR="00990B14" w:rsidRDefault="00000000">
            <w:pPr>
              <w:spacing w:before="20" w:after="20"/>
              <w:jc w:val="both"/>
            </w:pPr>
            <w:r>
              <w:rPr>
                <w:sz w:val="18"/>
                <w:szCs w:val="18"/>
              </w:rPr>
              <w:t>Todos los integrantes participan.</w:t>
            </w:r>
          </w:p>
        </w:tc>
        <w:tc>
          <w:tcPr>
            <w:tcW w:w="1910" w:type="dxa"/>
            <w:shd w:val="clear" w:color="auto" w:fill="D9E2F3"/>
            <w:vAlign w:val="center"/>
          </w:tcPr>
          <w:p w14:paraId="14EB161B" w14:textId="77777777" w:rsidR="00990B14" w:rsidRDefault="00000000">
            <w:pPr>
              <w:spacing w:before="20" w:after="20"/>
              <w:jc w:val="both"/>
            </w:pPr>
            <w:r>
              <w:rPr>
                <w:sz w:val="18"/>
                <w:szCs w:val="18"/>
              </w:rPr>
              <w:t>El equipo sustenta su trabajo ante el curso.</w:t>
            </w:r>
          </w:p>
        </w:tc>
      </w:tr>
      <w:tr w:rsidR="00990B14" w14:paraId="20EC4EBA" w14:textId="77777777">
        <w:trPr>
          <w:cantSplit/>
          <w:jc w:val="center"/>
        </w:trPr>
        <w:tc>
          <w:tcPr>
            <w:tcW w:w="1829" w:type="dxa"/>
            <w:vMerge/>
            <w:shd w:val="clear" w:color="auto" w:fill="4472C4"/>
            <w:vAlign w:val="center"/>
          </w:tcPr>
          <w:p w14:paraId="527BE9A3" w14:textId="77777777" w:rsidR="00990B14" w:rsidRDefault="00990B14">
            <w:pPr>
              <w:spacing w:before="20" w:after="20"/>
            </w:pPr>
          </w:p>
        </w:tc>
        <w:tc>
          <w:tcPr>
            <w:tcW w:w="5666" w:type="dxa"/>
            <w:gridSpan w:val="3"/>
            <w:shd w:val="clear" w:color="auto" w:fill="D9E2F3"/>
            <w:vAlign w:val="center"/>
          </w:tcPr>
          <w:p w14:paraId="76BF06E0" w14:textId="77777777" w:rsidR="00990B14" w:rsidRDefault="00000000">
            <w:pPr>
              <w:keepNext/>
              <w:spacing w:before="20" w:after="20"/>
              <w:jc w:val="both"/>
            </w:pPr>
            <w:r>
              <w:rPr>
                <w:b/>
                <w:bCs/>
                <w:i/>
                <w:iCs/>
                <w:sz w:val="18"/>
                <w:szCs w:val="18"/>
              </w:rPr>
              <w:t xml:space="preserve">Producto 8: </w:t>
            </w:r>
            <w:r>
              <w:rPr>
                <w:sz w:val="18"/>
                <w:szCs w:val="18"/>
              </w:rPr>
              <w:t>Conciliación tributaria del IUE</w:t>
            </w:r>
          </w:p>
        </w:tc>
        <w:tc>
          <w:tcPr>
            <w:tcW w:w="1910" w:type="dxa"/>
            <w:shd w:val="clear" w:color="auto" w:fill="D9E2F3"/>
            <w:vAlign w:val="center"/>
          </w:tcPr>
          <w:p w14:paraId="1977B876" w14:textId="77777777" w:rsidR="00990B14" w:rsidRDefault="00000000">
            <w:pPr>
              <w:spacing w:before="20" w:after="20"/>
              <w:jc w:val="center"/>
            </w:pPr>
            <w:r>
              <w:rPr>
                <w:b/>
                <w:bCs/>
                <w:sz w:val="18"/>
                <w:szCs w:val="18"/>
              </w:rPr>
              <w:t>13%</w:t>
            </w:r>
          </w:p>
        </w:tc>
      </w:tr>
      <w:tr w:rsidR="00990B14" w14:paraId="09C83112" w14:textId="77777777">
        <w:trPr>
          <w:cantSplit/>
          <w:jc w:val="center"/>
        </w:trPr>
        <w:tc>
          <w:tcPr>
            <w:tcW w:w="1829" w:type="dxa"/>
            <w:vMerge/>
            <w:shd w:val="clear" w:color="auto" w:fill="4472C4"/>
            <w:vAlign w:val="center"/>
          </w:tcPr>
          <w:p w14:paraId="2494F077" w14:textId="77777777" w:rsidR="00990B14" w:rsidRDefault="00990B14">
            <w:pPr>
              <w:spacing w:before="20" w:after="20"/>
            </w:pPr>
          </w:p>
        </w:tc>
        <w:tc>
          <w:tcPr>
            <w:tcW w:w="1910" w:type="dxa"/>
            <w:shd w:val="clear" w:color="auto" w:fill="4472C4"/>
            <w:vAlign w:val="center"/>
          </w:tcPr>
          <w:p w14:paraId="00D9D63B" w14:textId="77777777" w:rsidR="00990B14" w:rsidRDefault="00000000">
            <w:pPr>
              <w:keepNext/>
              <w:spacing w:before="20" w:after="20"/>
              <w:jc w:val="center"/>
            </w:pPr>
            <w:r>
              <w:rPr>
                <w:b/>
                <w:bCs/>
                <w:i/>
                <w:iCs/>
                <w:color w:val="FFFFFF"/>
                <w:sz w:val="18"/>
                <w:szCs w:val="18"/>
              </w:rPr>
              <w:t>Criterio</w:t>
            </w:r>
          </w:p>
        </w:tc>
        <w:tc>
          <w:tcPr>
            <w:tcW w:w="1846" w:type="dxa"/>
            <w:shd w:val="clear" w:color="auto" w:fill="4472C4"/>
            <w:vAlign w:val="center"/>
          </w:tcPr>
          <w:p w14:paraId="3FFC5679"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4E8E2CE9"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3F5DBA7D" w14:textId="77777777" w:rsidR="00990B14" w:rsidRDefault="00000000">
            <w:pPr>
              <w:keepNext/>
              <w:spacing w:before="20" w:after="20"/>
              <w:jc w:val="center"/>
            </w:pPr>
            <w:r>
              <w:rPr>
                <w:b/>
                <w:bCs/>
                <w:i/>
                <w:iCs/>
                <w:color w:val="FFFFFF"/>
                <w:sz w:val="18"/>
                <w:szCs w:val="18"/>
              </w:rPr>
              <w:t>Destacado (81–100)</w:t>
            </w:r>
          </w:p>
        </w:tc>
      </w:tr>
      <w:tr w:rsidR="00990B14" w14:paraId="2026F179" w14:textId="77777777">
        <w:trPr>
          <w:cantSplit/>
          <w:jc w:val="center"/>
        </w:trPr>
        <w:tc>
          <w:tcPr>
            <w:tcW w:w="1829" w:type="dxa"/>
            <w:vMerge/>
            <w:shd w:val="clear" w:color="auto" w:fill="4472C4"/>
            <w:vAlign w:val="center"/>
          </w:tcPr>
          <w:p w14:paraId="600F22FB" w14:textId="77777777" w:rsidR="00990B14" w:rsidRDefault="00990B14">
            <w:pPr>
              <w:spacing w:before="20" w:after="20"/>
            </w:pPr>
          </w:p>
        </w:tc>
        <w:tc>
          <w:tcPr>
            <w:tcW w:w="1910" w:type="dxa"/>
            <w:shd w:val="clear" w:color="auto" w:fill="D9E2F3"/>
            <w:vAlign w:val="center"/>
          </w:tcPr>
          <w:p w14:paraId="3FBDCDCD" w14:textId="77777777" w:rsidR="00990B14" w:rsidRDefault="00000000">
            <w:pPr>
              <w:spacing w:before="20" w:after="20"/>
              <w:jc w:val="both"/>
            </w:pPr>
            <w:r>
              <w:rPr>
                <w:sz w:val="18"/>
                <w:szCs w:val="18"/>
              </w:rPr>
              <w:t>Gastos no deducibles</w:t>
            </w:r>
          </w:p>
        </w:tc>
        <w:tc>
          <w:tcPr>
            <w:tcW w:w="1846" w:type="dxa"/>
            <w:shd w:val="clear" w:color="auto" w:fill="D9E2F3"/>
            <w:vAlign w:val="center"/>
          </w:tcPr>
          <w:p w14:paraId="6F8D0A69" w14:textId="77777777" w:rsidR="00990B14" w:rsidRDefault="00000000">
            <w:pPr>
              <w:spacing w:before="20" w:after="20"/>
              <w:jc w:val="both"/>
            </w:pPr>
            <w:r>
              <w:rPr>
                <w:sz w:val="18"/>
                <w:szCs w:val="18"/>
              </w:rPr>
              <w:t>No identifica gastos no deducibles.</w:t>
            </w:r>
          </w:p>
        </w:tc>
        <w:tc>
          <w:tcPr>
            <w:tcW w:w="1910" w:type="dxa"/>
            <w:shd w:val="clear" w:color="auto" w:fill="D9E2F3"/>
            <w:vAlign w:val="center"/>
          </w:tcPr>
          <w:p w14:paraId="10D54F4A" w14:textId="77777777" w:rsidR="00990B14" w:rsidRDefault="00000000">
            <w:pPr>
              <w:spacing w:before="20" w:after="20"/>
              <w:jc w:val="both"/>
            </w:pPr>
            <w:r>
              <w:rPr>
                <w:sz w:val="18"/>
                <w:szCs w:val="18"/>
              </w:rPr>
              <w:t>Ajusta los gastos no deducibles e ingresos no gravados.</w:t>
            </w:r>
          </w:p>
        </w:tc>
        <w:tc>
          <w:tcPr>
            <w:tcW w:w="1910" w:type="dxa"/>
            <w:shd w:val="clear" w:color="auto" w:fill="D9E2F3"/>
            <w:vAlign w:val="center"/>
          </w:tcPr>
          <w:p w14:paraId="624F8825" w14:textId="77777777" w:rsidR="00990B14" w:rsidRDefault="00000000">
            <w:pPr>
              <w:spacing w:before="20" w:after="20"/>
              <w:jc w:val="both"/>
            </w:pPr>
            <w:r>
              <w:rPr>
                <w:sz w:val="18"/>
                <w:szCs w:val="18"/>
              </w:rPr>
              <w:t>Explica la norma que sustenta cada ajuste.</w:t>
            </w:r>
          </w:p>
        </w:tc>
      </w:tr>
      <w:tr w:rsidR="00990B14" w14:paraId="14F61EE2" w14:textId="77777777">
        <w:trPr>
          <w:cantSplit/>
          <w:jc w:val="center"/>
        </w:trPr>
        <w:tc>
          <w:tcPr>
            <w:tcW w:w="1829" w:type="dxa"/>
            <w:vMerge/>
            <w:shd w:val="clear" w:color="auto" w:fill="4472C4"/>
            <w:vAlign w:val="center"/>
          </w:tcPr>
          <w:p w14:paraId="110A765E" w14:textId="77777777" w:rsidR="00990B14" w:rsidRDefault="00990B14">
            <w:pPr>
              <w:spacing w:before="20" w:after="20"/>
            </w:pPr>
          </w:p>
        </w:tc>
        <w:tc>
          <w:tcPr>
            <w:tcW w:w="1910" w:type="dxa"/>
            <w:shd w:val="clear" w:color="auto" w:fill="D9E2F3"/>
            <w:vAlign w:val="center"/>
          </w:tcPr>
          <w:p w14:paraId="596BAB98" w14:textId="77777777" w:rsidR="00990B14" w:rsidRDefault="00000000">
            <w:pPr>
              <w:spacing w:before="20" w:after="20"/>
              <w:jc w:val="both"/>
            </w:pPr>
            <w:r>
              <w:rPr>
                <w:sz w:val="18"/>
                <w:szCs w:val="18"/>
              </w:rPr>
              <w:t>Depreciación tributaria</w:t>
            </w:r>
          </w:p>
        </w:tc>
        <w:tc>
          <w:tcPr>
            <w:tcW w:w="1846" w:type="dxa"/>
            <w:shd w:val="clear" w:color="auto" w:fill="D9E2F3"/>
            <w:vAlign w:val="center"/>
          </w:tcPr>
          <w:p w14:paraId="12A2CFF2" w14:textId="77777777" w:rsidR="00990B14" w:rsidRDefault="00000000">
            <w:pPr>
              <w:spacing w:before="20" w:after="20"/>
              <w:jc w:val="both"/>
            </w:pPr>
            <w:r>
              <w:rPr>
                <w:sz w:val="18"/>
                <w:szCs w:val="18"/>
              </w:rPr>
              <w:t>Usa la depreciación contable.</w:t>
            </w:r>
          </w:p>
        </w:tc>
        <w:tc>
          <w:tcPr>
            <w:tcW w:w="1910" w:type="dxa"/>
            <w:shd w:val="clear" w:color="auto" w:fill="D9E2F3"/>
            <w:vAlign w:val="center"/>
          </w:tcPr>
          <w:p w14:paraId="0B1035B5" w14:textId="77777777" w:rsidR="00990B14" w:rsidRDefault="00000000">
            <w:pPr>
              <w:spacing w:before="20" w:after="20"/>
              <w:jc w:val="both"/>
            </w:pPr>
            <w:r>
              <w:rPr>
                <w:sz w:val="18"/>
                <w:szCs w:val="18"/>
              </w:rPr>
              <w:t>Aplica los porcentajes del reglamento del IUE.</w:t>
            </w:r>
          </w:p>
        </w:tc>
        <w:tc>
          <w:tcPr>
            <w:tcW w:w="1910" w:type="dxa"/>
            <w:shd w:val="clear" w:color="auto" w:fill="D9E2F3"/>
            <w:vAlign w:val="center"/>
          </w:tcPr>
          <w:p w14:paraId="07E91C7A" w14:textId="77777777" w:rsidR="00990B14" w:rsidRDefault="00000000">
            <w:pPr>
              <w:spacing w:before="20" w:after="20"/>
              <w:jc w:val="both"/>
            </w:pPr>
            <w:r>
              <w:rPr>
                <w:sz w:val="18"/>
                <w:szCs w:val="18"/>
              </w:rPr>
              <w:t>Explica la diferencia con la NIC 16 y la NIC 12.</w:t>
            </w:r>
          </w:p>
        </w:tc>
      </w:tr>
      <w:tr w:rsidR="00990B14" w14:paraId="2CCFC2AE" w14:textId="77777777">
        <w:trPr>
          <w:cantSplit/>
          <w:jc w:val="center"/>
        </w:trPr>
        <w:tc>
          <w:tcPr>
            <w:tcW w:w="1829" w:type="dxa"/>
            <w:vMerge/>
            <w:shd w:val="clear" w:color="auto" w:fill="4472C4"/>
            <w:vAlign w:val="center"/>
          </w:tcPr>
          <w:p w14:paraId="410B7E2C" w14:textId="77777777" w:rsidR="00990B14" w:rsidRDefault="00990B14">
            <w:pPr>
              <w:spacing w:before="20" w:after="20"/>
            </w:pPr>
          </w:p>
        </w:tc>
        <w:tc>
          <w:tcPr>
            <w:tcW w:w="1910" w:type="dxa"/>
            <w:shd w:val="clear" w:color="auto" w:fill="D9E2F3"/>
            <w:vAlign w:val="center"/>
          </w:tcPr>
          <w:p w14:paraId="70F42F0E" w14:textId="77777777" w:rsidR="00990B14" w:rsidRDefault="00000000">
            <w:pPr>
              <w:spacing w:before="20" w:after="20"/>
              <w:jc w:val="both"/>
            </w:pPr>
            <w:r>
              <w:rPr>
                <w:sz w:val="18"/>
                <w:szCs w:val="18"/>
              </w:rPr>
              <w:t>Liquidación del IUE</w:t>
            </w:r>
          </w:p>
        </w:tc>
        <w:tc>
          <w:tcPr>
            <w:tcW w:w="1846" w:type="dxa"/>
            <w:shd w:val="clear" w:color="auto" w:fill="D9E2F3"/>
            <w:vAlign w:val="center"/>
          </w:tcPr>
          <w:p w14:paraId="62BE1A74" w14:textId="77777777" w:rsidR="00990B14" w:rsidRDefault="00000000">
            <w:pPr>
              <w:spacing w:before="20" w:after="20"/>
              <w:jc w:val="both"/>
            </w:pPr>
            <w:r>
              <w:rPr>
                <w:sz w:val="18"/>
                <w:szCs w:val="18"/>
              </w:rPr>
              <w:t>Calcula mal el impuesto.</w:t>
            </w:r>
          </w:p>
        </w:tc>
        <w:tc>
          <w:tcPr>
            <w:tcW w:w="1910" w:type="dxa"/>
            <w:shd w:val="clear" w:color="auto" w:fill="D9E2F3"/>
            <w:vAlign w:val="center"/>
          </w:tcPr>
          <w:p w14:paraId="3209C369" w14:textId="77777777" w:rsidR="00990B14" w:rsidRDefault="00000000">
            <w:pPr>
              <w:spacing w:before="20" w:after="20"/>
              <w:jc w:val="both"/>
            </w:pPr>
            <w:r>
              <w:rPr>
                <w:sz w:val="18"/>
                <w:szCs w:val="18"/>
              </w:rPr>
              <w:t>Liquida el IUE con el formulario vigente.</w:t>
            </w:r>
          </w:p>
        </w:tc>
        <w:tc>
          <w:tcPr>
            <w:tcW w:w="1910" w:type="dxa"/>
            <w:shd w:val="clear" w:color="auto" w:fill="D9E2F3"/>
            <w:vAlign w:val="center"/>
          </w:tcPr>
          <w:p w14:paraId="3B9A62DE" w14:textId="77777777" w:rsidR="00990B14" w:rsidRDefault="00000000">
            <w:pPr>
              <w:spacing w:before="20" w:after="20"/>
              <w:jc w:val="both"/>
            </w:pPr>
            <w:r>
              <w:rPr>
                <w:sz w:val="18"/>
                <w:szCs w:val="18"/>
              </w:rPr>
              <w:t>Compensa pérdidas de gestiones anteriores.</w:t>
            </w:r>
          </w:p>
        </w:tc>
      </w:tr>
      <w:tr w:rsidR="00990B14" w14:paraId="54B6A1EE" w14:textId="77777777">
        <w:trPr>
          <w:cantSplit/>
          <w:jc w:val="center"/>
        </w:trPr>
        <w:tc>
          <w:tcPr>
            <w:tcW w:w="1829" w:type="dxa"/>
            <w:vMerge/>
            <w:shd w:val="clear" w:color="auto" w:fill="4472C4"/>
            <w:vAlign w:val="center"/>
          </w:tcPr>
          <w:p w14:paraId="396C537F" w14:textId="77777777" w:rsidR="00990B14" w:rsidRDefault="00990B14">
            <w:pPr>
              <w:spacing w:before="20" w:after="20"/>
            </w:pPr>
          </w:p>
        </w:tc>
        <w:tc>
          <w:tcPr>
            <w:tcW w:w="5666" w:type="dxa"/>
            <w:gridSpan w:val="3"/>
            <w:shd w:val="clear" w:color="auto" w:fill="D9E2F3"/>
            <w:vAlign w:val="center"/>
          </w:tcPr>
          <w:p w14:paraId="0BCBF127" w14:textId="77777777" w:rsidR="00990B14" w:rsidRDefault="00000000">
            <w:pPr>
              <w:keepNext/>
              <w:spacing w:before="20" w:after="20"/>
              <w:jc w:val="both"/>
            </w:pPr>
            <w:r>
              <w:rPr>
                <w:b/>
                <w:bCs/>
                <w:i/>
                <w:iCs/>
                <w:sz w:val="18"/>
                <w:szCs w:val="18"/>
              </w:rPr>
              <w:t xml:space="preserve">Producto 9: </w:t>
            </w:r>
            <w:r>
              <w:rPr>
                <w:sz w:val="18"/>
                <w:szCs w:val="18"/>
              </w:rPr>
              <w:t>Cuadro de hechos generadores del ITGB</w:t>
            </w:r>
          </w:p>
        </w:tc>
        <w:tc>
          <w:tcPr>
            <w:tcW w:w="1910" w:type="dxa"/>
            <w:shd w:val="clear" w:color="auto" w:fill="D9E2F3"/>
            <w:vAlign w:val="center"/>
          </w:tcPr>
          <w:p w14:paraId="29EF199F" w14:textId="77777777" w:rsidR="00990B14" w:rsidRDefault="00000000">
            <w:pPr>
              <w:spacing w:before="20" w:after="20"/>
              <w:jc w:val="center"/>
            </w:pPr>
            <w:r>
              <w:rPr>
                <w:b/>
                <w:bCs/>
                <w:sz w:val="18"/>
                <w:szCs w:val="18"/>
              </w:rPr>
              <w:t>3%</w:t>
            </w:r>
          </w:p>
        </w:tc>
      </w:tr>
      <w:tr w:rsidR="00990B14" w14:paraId="25C03625" w14:textId="77777777">
        <w:trPr>
          <w:cantSplit/>
          <w:jc w:val="center"/>
        </w:trPr>
        <w:tc>
          <w:tcPr>
            <w:tcW w:w="1829" w:type="dxa"/>
            <w:vMerge/>
            <w:shd w:val="clear" w:color="auto" w:fill="4472C4"/>
            <w:vAlign w:val="center"/>
          </w:tcPr>
          <w:p w14:paraId="7D6F1800" w14:textId="77777777" w:rsidR="00990B14" w:rsidRDefault="00990B14">
            <w:pPr>
              <w:spacing w:before="20" w:after="20"/>
            </w:pPr>
          </w:p>
        </w:tc>
        <w:tc>
          <w:tcPr>
            <w:tcW w:w="1910" w:type="dxa"/>
            <w:shd w:val="clear" w:color="auto" w:fill="4472C4"/>
            <w:vAlign w:val="center"/>
          </w:tcPr>
          <w:p w14:paraId="29F8B176" w14:textId="77777777" w:rsidR="00990B14" w:rsidRDefault="00000000">
            <w:pPr>
              <w:keepNext/>
              <w:spacing w:before="20" w:after="20"/>
              <w:jc w:val="center"/>
            </w:pPr>
            <w:r>
              <w:rPr>
                <w:b/>
                <w:bCs/>
                <w:i/>
                <w:iCs/>
                <w:color w:val="FFFFFF"/>
                <w:sz w:val="18"/>
                <w:szCs w:val="18"/>
              </w:rPr>
              <w:t>Criterio</w:t>
            </w:r>
          </w:p>
        </w:tc>
        <w:tc>
          <w:tcPr>
            <w:tcW w:w="1846" w:type="dxa"/>
            <w:shd w:val="clear" w:color="auto" w:fill="4472C4"/>
            <w:vAlign w:val="center"/>
          </w:tcPr>
          <w:p w14:paraId="44BCC047"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1829376A"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003FAC43" w14:textId="77777777" w:rsidR="00990B14" w:rsidRDefault="00000000">
            <w:pPr>
              <w:keepNext/>
              <w:spacing w:before="20" w:after="20"/>
              <w:jc w:val="center"/>
            </w:pPr>
            <w:r>
              <w:rPr>
                <w:b/>
                <w:bCs/>
                <w:i/>
                <w:iCs/>
                <w:color w:val="FFFFFF"/>
                <w:sz w:val="18"/>
                <w:szCs w:val="18"/>
              </w:rPr>
              <w:t>Destacado (81–100)</w:t>
            </w:r>
          </w:p>
        </w:tc>
      </w:tr>
      <w:tr w:rsidR="00990B14" w14:paraId="0B897933" w14:textId="77777777">
        <w:trPr>
          <w:cantSplit/>
          <w:jc w:val="center"/>
        </w:trPr>
        <w:tc>
          <w:tcPr>
            <w:tcW w:w="1829" w:type="dxa"/>
            <w:vMerge/>
            <w:shd w:val="clear" w:color="auto" w:fill="4472C4"/>
            <w:vAlign w:val="center"/>
          </w:tcPr>
          <w:p w14:paraId="59E9FEEF" w14:textId="77777777" w:rsidR="00990B14" w:rsidRDefault="00990B14">
            <w:pPr>
              <w:spacing w:before="20" w:after="20"/>
            </w:pPr>
          </w:p>
        </w:tc>
        <w:tc>
          <w:tcPr>
            <w:tcW w:w="1910" w:type="dxa"/>
            <w:shd w:val="clear" w:color="auto" w:fill="D9E2F3"/>
            <w:vAlign w:val="center"/>
          </w:tcPr>
          <w:p w14:paraId="00E608B8" w14:textId="77777777" w:rsidR="00990B14" w:rsidRDefault="00000000">
            <w:pPr>
              <w:spacing w:before="20" w:after="20"/>
              <w:jc w:val="both"/>
            </w:pPr>
            <w:r>
              <w:rPr>
                <w:sz w:val="18"/>
                <w:szCs w:val="18"/>
              </w:rPr>
              <w:t>Hecho generador</w:t>
            </w:r>
          </w:p>
        </w:tc>
        <w:tc>
          <w:tcPr>
            <w:tcW w:w="1846" w:type="dxa"/>
            <w:shd w:val="clear" w:color="auto" w:fill="D9E2F3"/>
            <w:vAlign w:val="center"/>
          </w:tcPr>
          <w:p w14:paraId="13E931EB" w14:textId="77777777" w:rsidR="00990B14" w:rsidRDefault="00000000">
            <w:pPr>
              <w:spacing w:before="20" w:after="20"/>
              <w:jc w:val="both"/>
            </w:pPr>
            <w:r>
              <w:rPr>
                <w:sz w:val="18"/>
                <w:szCs w:val="18"/>
              </w:rPr>
              <w:t>Confunde sucesión con donación.</w:t>
            </w:r>
          </w:p>
        </w:tc>
        <w:tc>
          <w:tcPr>
            <w:tcW w:w="1910" w:type="dxa"/>
            <w:shd w:val="clear" w:color="auto" w:fill="D9E2F3"/>
            <w:vAlign w:val="center"/>
          </w:tcPr>
          <w:p w14:paraId="742CCB40" w14:textId="77777777" w:rsidR="00990B14" w:rsidRDefault="00000000">
            <w:pPr>
              <w:spacing w:before="20" w:after="20"/>
              <w:jc w:val="both"/>
            </w:pPr>
            <w:r>
              <w:rPr>
                <w:sz w:val="18"/>
                <w:szCs w:val="18"/>
              </w:rPr>
              <w:t>Identifica el hecho generador de cada caso.</w:t>
            </w:r>
          </w:p>
        </w:tc>
        <w:tc>
          <w:tcPr>
            <w:tcW w:w="1910" w:type="dxa"/>
            <w:shd w:val="clear" w:color="auto" w:fill="D9E2F3"/>
            <w:vAlign w:val="center"/>
          </w:tcPr>
          <w:p w14:paraId="757E5B82" w14:textId="77777777" w:rsidR="00990B14" w:rsidRDefault="00000000">
            <w:pPr>
              <w:spacing w:before="20" w:after="20"/>
              <w:jc w:val="both"/>
            </w:pPr>
            <w:r>
              <w:rPr>
                <w:sz w:val="18"/>
                <w:szCs w:val="18"/>
              </w:rPr>
              <w:t>Explica el momento en que nace la obligación.</w:t>
            </w:r>
          </w:p>
        </w:tc>
      </w:tr>
      <w:tr w:rsidR="00990B14" w14:paraId="53A28C5E" w14:textId="77777777">
        <w:trPr>
          <w:cantSplit/>
          <w:jc w:val="center"/>
        </w:trPr>
        <w:tc>
          <w:tcPr>
            <w:tcW w:w="1829" w:type="dxa"/>
            <w:vMerge/>
            <w:shd w:val="clear" w:color="auto" w:fill="4472C4"/>
            <w:vAlign w:val="center"/>
          </w:tcPr>
          <w:p w14:paraId="33FB4D74" w14:textId="77777777" w:rsidR="00990B14" w:rsidRDefault="00990B14">
            <w:pPr>
              <w:spacing w:before="20" w:after="20"/>
            </w:pPr>
          </w:p>
        </w:tc>
        <w:tc>
          <w:tcPr>
            <w:tcW w:w="1910" w:type="dxa"/>
            <w:shd w:val="clear" w:color="auto" w:fill="D9E2F3"/>
            <w:vAlign w:val="center"/>
          </w:tcPr>
          <w:p w14:paraId="4AD73042" w14:textId="77777777" w:rsidR="00990B14" w:rsidRDefault="00000000">
            <w:pPr>
              <w:spacing w:before="20" w:after="20"/>
              <w:jc w:val="both"/>
            </w:pPr>
            <w:r>
              <w:rPr>
                <w:sz w:val="18"/>
                <w:szCs w:val="18"/>
              </w:rPr>
              <w:t>Sujeto pasivo</w:t>
            </w:r>
          </w:p>
        </w:tc>
        <w:tc>
          <w:tcPr>
            <w:tcW w:w="1846" w:type="dxa"/>
            <w:shd w:val="clear" w:color="auto" w:fill="D9E2F3"/>
            <w:vAlign w:val="center"/>
          </w:tcPr>
          <w:p w14:paraId="3C633B01" w14:textId="77777777" w:rsidR="00990B14" w:rsidRDefault="00000000">
            <w:pPr>
              <w:spacing w:before="20" w:after="20"/>
              <w:jc w:val="both"/>
            </w:pPr>
            <w:r>
              <w:rPr>
                <w:sz w:val="18"/>
                <w:szCs w:val="18"/>
              </w:rPr>
              <w:t>Asigna mal al sujeto pasivo.</w:t>
            </w:r>
          </w:p>
        </w:tc>
        <w:tc>
          <w:tcPr>
            <w:tcW w:w="1910" w:type="dxa"/>
            <w:shd w:val="clear" w:color="auto" w:fill="D9E2F3"/>
            <w:vAlign w:val="center"/>
          </w:tcPr>
          <w:p w14:paraId="45DB65D6" w14:textId="77777777" w:rsidR="00990B14" w:rsidRDefault="00000000">
            <w:pPr>
              <w:spacing w:before="20" w:after="20"/>
              <w:jc w:val="both"/>
            </w:pPr>
            <w:r>
              <w:rPr>
                <w:sz w:val="18"/>
                <w:szCs w:val="18"/>
              </w:rPr>
              <w:t>Identifica al sujeto pasivo de cada caso.</w:t>
            </w:r>
          </w:p>
        </w:tc>
        <w:tc>
          <w:tcPr>
            <w:tcW w:w="1910" w:type="dxa"/>
            <w:shd w:val="clear" w:color="auto" w:fill="D9E2F3"/>
            <w:vAlign w:val="center"/>
          </w:tcPr>
          <w:p w14:paraId="0CDE9FBB" w14:textId="77777777" w:rsidR="00990B14" w:rsidRDefault="00000000">
            <w:pPr>
              <w:spacing w:before="20" w:after="20"/>
              <w:jc w:val="both"/>
            </w:pPr>
            <w:r>
              <w:rPr>
                <w:sz w:val="18"/>
                <w:szCs w:val="18"/>
              </w:rPr>
              <w:t>Distingue el grado de parentesco del beneficiario.</w:t>
            </w:r>
          </w:p>
        </w:tc>
      </w:tr>
      <w:tr w:rsidR="00990B14" w14:paraId="12975F67" w14:textId="77777777">
        <w:trPr>
          <w:cantSplit/>
          <w:jc w:val="center"/>
        </w:trPr>
        <w:tc>
          <w:tcPr>
            <w:tcW w:w="1829" w:type="dxa"/>
            <w:vMerge/>
            <w:shd w:val="clear" w:color="auto" w:fill="4472C4"/>
            <w:vAlign w:val="center"/>
          </w:tcPr>
          <w:p w14:paraId="1DEFDE46" w14:textId="77777777" w:rsidR="00990B14" w:rsidRDefault="00990B14">
            <w:pPr>
              <w:spacing w:before="20" w:after="20"/>
            </w:pPr>
          </w:p>
        </w:tc>
        <w:tc>
          <w:tcPr>
            <w:tcW w:w="1910" w:type="dxa"/>
            <w:shd w:val="clear" w:color="auto" w:fill="D9E2F3"/>
            <w:vAlign w:val="center"/>
          </w:tcPr>
          <w:p w14:paraId="162EDB08" w14:textId="77777777" w:rsidR="00990B14" w:rsidRDefault="00000000">
            <w:pPr>
              <w:spacing w:before="20" w:after="20"/>
              <w:jc w:val="both"/>
            </w:pPr>
            <w:r>
              <w:rPr>
                <w:sz w:val="18"/>
                <w:szCs w:val="18"/>
              </w:rPr>
              <w:t>Exenciones</w:t>
            </w:r>
          </w:p>
        </w:tc>
        <w:tc>
          <w:tcPr>
            <w:tcW w:w="1846" w:type="dxa"/>
            <w:shd w:val="clear" w:color="auto" w:fill="D9E2F3"/>
            <w:vAlign w:val="center"/>
          </w:tcPr>
          <w:p w14:paraId="1E956CD8" w14:textId="77777777" w:rsidR="00990B14" w:rsidRDefault="00000000">
            <w:pPr>
              <w:spacing w:before="20" w:after="20"/>
              <w:jc w:val="both"/>
            </w:pPr>
            <w:r>
              <w:rPr>
                <w:sz w:val="18"/>
                <w:szCs w:val="18"/>
              </w:rPr>
              <w:t>Ignora las exenciones.</w:t>
            </w:r>
          </w:p>
        </w:tc>
        <w:tc>
          <w:tcPr>
            <w:tcW w:w="1910" w:type="dxa"/>
            <w:shd w:val="clear" w:color="auto" w:fill="D9E2F3"/>
            <w:vAlign w:val="center"/>
          </w:tcPr>
          <w:p w14:paraId="657D5104" w14:textId="77777777" w:rsidR="00990B14" w:rsidRDefault="00000000">
            <w:pPr>
              <w:spacing w:before="20" w:after="20"/>
              <w:jc w:val="both"/>
            </w:pPr>
            <w:r>
              <w:rPr>
                <w:sz w:val="18"/>
                <w:szCs w:val="18"/>
              </w:rPr>
              <w:t>Identifica las transmisiones exentas.</w:t>
            </w:r>
          </w:p>
        </w:tc>
        <w:tc>
          <w:tcPr>
            <w:tcW w:w="1910" w:type="dxa"/>
            <w:shd w:val="clear" w:color="auto" w:fill="D9E2F3"/>
            <w:vAlign w:val="center"/>
          </w:tcPr>
          <w:p w14:paraId="1399E949" w14:textId="77777777" w:rsidR="00990B14" w:rsidRDefault="00000000">
            <w:pPr>
              <w:spacing w:before="20" w:after="20"/>
              <w:jc w:val="both"/>
            </w:pPr>
            <w:r>
              <w:rPr>
                <w:sz w:val="18"/>
                <w:szCs w:val="18"/>
              </w:rPr>
              <w:t>Justifica cada exención con la norma.</w:t>
            </w:r>
          </w:p>
        </w:tc>
      </w:tr>
      <w:tr w:rsidR="00990B14" w14:paraId="71710B35" w14:textId="77777777">
        <w:trPr>
          <w:cantSplit/>
          <w:jc w:val="center"/>
        </w:trPr>
        <w:tc>
          <w:tcPr>
            <w:tcW w:w="1829" w:type="dxa"/>
            <w:vMerge/>
            <w:shd w:val="clear" w:color="auto" w:fill="4472C4"/>
            <w:vAlign w:val="center"/>
          </w:tcPr>
          <w:p w14:paraId="5433A9A4" w14:textId="77777777" w:rsidR="00990B14" w:rsidRDefault="00990B14">
            <w:pPr>
              <w:spacing w:before="20" w:after="20"/>
            </w:pPr>
          </w:p>
        </w:tc>
        <w:tc>
          <w:tcPr>
            <w:tcW w:w="5666" w:type="dxa"/>
            <w:gridSpan w:val="3"/>
            <w:shd w:val="clear" w:color="auto" w:fill="D9E2F3"/>
            <w:vAlign w:val="center"/>
          </w:tcPr>
          <w:p w14:paraId="5CFFCD65" w14:textId="77777777" w:rsidR="00990B14" w:rsidRDefault="00000000">
            <w:pPr>
              <w:keepNext/>
              <w:spacing w:before="20" w:after="20"/>
              <w:jc w:val="both"/>
            </w:pPr>
            <w:r>
              <w:rPr>
                <w:b/>
                <w:bCs/>
                <w:i/>
                <w:iCs/>
                <w:sz w:val="18"/>
                <w:szCs w:val="18"/>
              </w:rPr>
              <w:t xml:space="preserve">Producto 10: </w:t>
            </w:r>
            <w:r>
              <w:rPr>
                <w:sz w:val="18"/>
                <w:szCs w:val="18"/>
              </w:rPr>
              <w:t>Cédula de valuación de bienes</w:t>
            </w:r>
          </w:p>
        </w:tc>
        <w:tc>
          <w:tcPr>
            <w:tcW w:w="1910" w:type="dxa"/>
            <w:shd w:val="clear" w:color="auto" w:fill="D9E2F3"/>
            <w:vAlign w:val="center"/>
          </w:tcPr>
          <w:p w14:paraId="5C778D35" w14:textId="77777777" w:rsidR="00990B14" w:rsidRDefault="00000000">
            <w:pPr>
              <w:spacing w:before="20" w:after="20"/>
              <w:jc w:val="center"/>
            </w:pPr>
            <w:r>
              <w:rPr>
                <w:b/>
                <w:bCs/>
                <w:sz w:val="18"/>
                <w:szCs w:val="18"/>
              </w:rPr>
              <w:t>3%</w:t>
            </w:r>
          </w:p>
        </w:tc>
      </w:tr>
      <w:tr w:rsidR="00990B14" w14:paraId="06FC14A3" w14:textId="77777777">
        <w:trPr>
          <w:cantSplit/>
          <w:jc w:val="center"/>
        </w:trPr>
        <w:tc>
          <w:tcPr>
            <w:tcW w:w="1829" w:type="dxa"/>
            <w:vMerge/>
            <w:shd w:val="clear" w:color="auto" w:fill="4472C4"/>
            <w:vAlign w:val="center"/>
          </w:tcPr>
          <w:p w14:paraId="18C7F21B" w14:textId="77777777" w:rsidR="00990B14" w:rsidRDefault="00990B14">
            <w:pPr>
              <w:spacing w:before="20" w:after="20"/>
            </w:pPr>
          </w:p>
        </w:tc>
        <w:tc>
          <w:tcPr>
            <w:tcW w:w="1910" w:type="dxa"/>
            <w:shd w:val="clear" w:color="auto" w:fill="4472C4"/>
            <w:vAlign w:val="center"/>
          </w:tcPr>
          <w:p w14:paraId="499FC768" w14:textId="77777777" w:rsidR="00990B14" w:rsidRDefault="00000000">
            <w:pPr>
              <w:keepNext/>
              <w:spacing w:before="20" w:after="20"/>
              <w:jc w:val="center"/>
            </w:pPr>
            <w:r>
              <w:rPr>
                <w:b/>
                <w:bCs/>
                <w:i/>
                <w:iCs/>
                <w:color w:val="FFFFFF"/>
                <w:sz w:val="18"/>
                <w:szCs w:val="18"/>
              </w:rPr>
              <w:t>Criterio</w:t>
            </w:r>
          </w:p>
        </w:tc>
        <w:tc>
          <w:tcPr>
            <w:tcW w:w="1846" w:type="dxa"/>
            <w:shd w:val="clear" w:color="auto" w:fill="4472C4"/>
            <w:vAlign w:val="center"/>
          </w:tcPr>
          <w:p w14:paraId="11B1B335"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6934A43C"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238D838A" w14:textId="77777777" w:rsidR="00990B14" w:rsidRDefault="00000000">
            <w:pPr>
              <w:keepNext/>
              <w:spacing w:before="20" w:after="20"/>
              <w:jc w:val="center"/>
            </w:pPr>
            <w:r>
              <w:rPr>
                <w:b/>
                <w:bCs/>
                <w:i/>
                <w:iCs/>
                <w:color w:val="FFFFFF"/>
                <w:sz w:val="18"/>
                <w:szCs w:val="18"/>
              </w:rPr>
              <w:t>Destacado (81–100)</w:t>
            </w:r>
          </w:p>
        </w:tc>
      </w:tr>
      <w:tr w:rsidR="00990B14" w14:paraId="3A569D07" w14:textId="77777777">
        <w:trPr>
          <w:cantSplit/>
          <w:jc w:val="center"/>
        </w:trPr>
        <w:tc>
          <w:tcPr>
            <w:tcW w:w="1829" w:type="dxa"/>
            <w:vMerge/>
            <w:shd w:val="clear" w:color="auto" w:fill="4472C4"/>
            <w:vAlign w:val="center"/>
          </w:tcPr>
          <w:p w14:paraId="0FB059FB" w14:textId="77777777" w:rsidR="00990B14" w:rsidRDefault="00990B14">
            <w:pPr>
              <w:spacing w:before="20" w:after="20"/>
            </w:pPr>
          </w:p>
        </w:tc>
        <w:tc>
          <w:tcPr>
            <w:tcW w:w="1910" w:type="dxa"/>
            <w:shd w:val="clear" w:color="auto" w:fill="D9E2F3"/>
            <w:vAlign w:val="center"/>
          </w:tcPr>
          <w:p w14:paraId="7B789E77" w14:textId="77777777" w:rsidR="00990B14" w:rsidRDefault="00000000">
            <w:pPr>
              <w:spacing w:before="20" w:after="20"/>
              <w:jc w:val="both"/>
            </w:pPr>
            <w:r>
              <w:rPr>
                <w:sz w:val="18"/>
                <w:szCs w:val="18"/>
              </w:rPr>
              <w:t>Inventario de bienes</w:t>
            </w:r>
          </w:p>
        </w:tc>
        <w:tc>
          <w:tcPr>
            <w:tcW w:w="1846" w:type="dxa"/>
            <w:shd w:val="clear" w:color="auto" w:fill="D9E2F3"/>
            <w:vAlign w:val="center"/>
          </w:tcPr>
          <w:p w14:paraId="5D64227B" w14:textId="77777777" w:rsidR="00990B14" w:rsidRDefault="00000000">
            <w:pPr>
              <w:spacing w:before="20" w:after="20"/>
              <w:jc w:val="both"/>
            </w:pPr>
            <w:r>
              <w:rPr>
                <w:sz w:val="18"/>
                <w:szCs w:val="18"/>
              </w:rPr>
              <w:t>Omite bienes de la masa hereditaria.</w:t>
            </w:r>
          </w:p>
        </w:tc>
        <w:tc>
          <w:tcPr>
            <w:tcW w:w="1910" w:type="dxa"/>
            <w:shd w:val="clear" w:color="auto" w:fill="D9E2F3"/>
            <w:vAlign w:val="center"/>
          </w:tcPr>
          <w:p w14:paraId="658BAE36" w14:textId="77777777" w:rsidR="00990B14" w:rsidRDefault="00000000">
            <w:pPr>
              <w:spacing w:before="20" w:after="20"/>
              <w:jc w:val="both"/>
            </w:pPr>
            <w:r>
              <w:rPr>
                <w:sz w:val="18"/>
                <w:szCs w:val="18"/>
              </w:rPr>
              <w:t>Detalla los bienes transmitidos.</w:t>
            </w:r>
          </w:p>
        </w:tc>
        <w:tc>
          <w:tcPr>
            <w:tcW w:w="1910" w:type="dxa"/>
            <w:shd w:val="clear" w:color="auto" w:fill="D9E2F3"/>
            <w:vAlign w:val="center"/>
          </w:tcPr>
          <w:p w14:paraId="3AA72C2D" w14:textId="77777777" w:rsidR="00990B14" w:rsidRDefault="00000000">
            <w:pPr>
              <w:spacing w:before="20" w:after="20"/>
              <w:jc w:val="both"/>
            </w:pPr>
            <w:r>
              <w:rPr>
                <w:sz w:val="18"/>
                <w:szCs w:val="18"/>
              </w:rPr>
              <w:t>Respalda cada bien con su documento.</w:t>
            </w:r>
          </w:p>
        </w:tc>
      </w:tr>
      <w:tr w:rsidR="00990B14" w14:paraId="2F2F1329" w14:textId="77777777">
        <w:trPr>
          <w:cantSplit/>
          <w:jc w:val="center"/>
        </w:trPr>
        <w:tc>
          <w:tcPr>
            <w:tcW w:w="1829" w:type="dxa"/>
            <w:vMerge/>
            <w:shd w:val="clear" w:color="auto" w:fill="4472C4"/>
            <w:vAlign w:val="center"/>
          </w:tcPr>
          <w:p w14:paraId="27D2F7DA" w14:textId="77777777" w:rsidR="00990B14" w:rsidRDefault="00990B14">
            <w:pPr>
              <w:spacing w:before="20" w:after="20"/>
            </w:pPr>
          </w:p>
        </w:tc>
        <w:tc>
          <w:tcPr>
            <w:tcW w:w="1910" w:type="dxa"/>
            <w:shd w:val="clear" w:color="auto" w:fill="D9E2F3"/>
            <w:vAlign w:val="center"/>
          </w:tcPr>
          <w:p w14:paraId="637B25A8" w14:textId="77777777" w:rsidR="00990B14" w:rsidRDefault="00000000">
            <w:pPr>
              <w:spacing w:before="20" w:after="20"/>
              <w:jc w:val="both"/>
            </w:pPr>
            <w:r>
              <w:rPr>
                <w:sz w:val="18"/>
                <w:szCs w:val="18"/>
              </w:rPr>
              <w:t>Valuación</w:t>
            </w:r>
          </w:p>
        </w:tc>
        <w:tc>
          <w:tcPr>
            <w:tcW w:w="1846" w:type="dxa"/>
            <w:shd w:val="clear" w:color="auto" w:fill="D9E2F3"/>
            <w:vAlign w:val="center"/>
          </w:tcPr>
          <w:p w14:paraId="06609878" w14:textId="77777777" w:rsidR="00990B14" w:rsidRDefault="00000000">
            <w:pPr>
              <w:spacing w:before="20" w:after="20"/>
              <w:jc w:val="both"/>
            </w:pPr>
            <w:r>
              <w:rPr>
                <w:sz w:val="18"/>
                <w:szCs w:val="18"/>
              </w:rPr>
              <w:t>Valora sin criterio.</w:t>
            </w:r>
          </w:p>
        </w:tc>
        <w:tc>
          <w:tcPr>
            <w:tcW w:w="1910" w:type="dxa"/>
            <w:shd w:val="clear" w:color="auto" w:fill="D9E2F3"/>
            <w:vAlign w:val="center"/>
          </w:tcPr>
          <w:p w14:paraId="42C5DF6D" w14:textId="77777777" w:rsidR="00990B14" w:rsidRDefault="00000000">
            <w:pPr>
              <w:spacing w:before="20" w:after="20"/>
              <w:jc w:val="both"/>
            </w:pPr>
            <w:r>
              <w:rPr>
                <w:sz w:val="18"/>
                <w:szCs w:val="18"/>
              </w:rPr>
              <w:t>Aplica el criterio de valuación de la norma.</w:t>
            </w:r>
          </w:p>
        </w:tc>
        <w:tc>
          <w:tcPr>
            <w:tcW w:w="1910" w:type="dxa"/>
            <w:shd w:val="clear" w:color="auto" w:fill="D9E2F3"/>
            <w:vAlign w:val="center"/>
          </w:tcPr>
          <w:p w14:paraId="3C193C67" w14:textId="77777777" w:rsidR="00990B14" w:rsidRDefault="00000000">
            <w:pPr>
              <w:spacing w:before="20" w:after="20"/>
              <w:jc w:val="both"/>
            </w:pPr>
            <w:r>
              <w:rPr>
                <w:sz w:val="18"/>
                <w:szCs w:val="18"/>
              </w:rPr>
              <w:t>Compara el valor fiscal con el de mercado.</w:t>
            </w:r>
          </w:p>
        </w:tc>
      </w:tr>
      <w:tr w:rsidR="00990B14" w14:paraId="35B6B75E" w14:textId="77777777">
        <w:trPr>
          <w:cantSplit/>
          <w:jc w:val="center"/>
        </w:trPr>
        <w:tc>
          <w:tcPr>
            <w:tcW w:w="1829" w:type="dxa"/>
            <w:vMerge/>
            <w:shd w:val="clear" w:color="auto" w:fill="4472C4"/>
            <w:vAlign w:val="center"/>
          </w:tcPr>
          <w:p w14:paraId="3BFEDA45" w14:textId="77777777" w:rsidR="00990B14" w:rsidRDefault="00990B14">
            <w:pPr>
              <w:spacing w:before="20" w:after="20"/>
            </w:pPr>
          </w:p>
        </w:tc>
        <w:tc>
          <w:tcPr>
            <w:tcW w:w="1910" w:type="dxa"/>
            <w:shd w:val="clear" w:color="auto" w:fill="D9E2F3"/>
            <w:vAlign w:val="center"/>
          </w:tcPr>
          <w:p w14:paraId="3B0862C2" w14:textId="77777777" w:rsidR="00990B14" w:rsidRDefault="00000000">
            <w:pPr>
              <w:spacing w:before="20" w:after="20"/>
              <w:jc w:val="both"/>
            </w:pPr>
            <w:r>
              <w:rPr>
                <w:sz w:val="18"/>
                <w:szCs w:val="18"/>
              </w:rPr>
              <w:t>Trabajo en equipo</w:t>
            </w:r>
          </w:p>
        </w:tc>
        <w:tc>
          <w:tcPr>
            <w:tcW w:w="1846" w:type="dxa"/>
            <w:shd w:val="clear" w:color="auto" w:fill="D9E2F3"/>
            <w:vAlign w:val="center"/>
          </w:tcPr>
          <w:p w14:paraId="4BC17036" w14:textId="77777777" w:rsidR="00990B14" w:rsidRDefault="00000000">
            <w:pPr>
              <w:spacing w:before="20" w:after="20"/>
              <w:jc w:val="both"/>
            </w:pPr>
            <w:r>
              <w:rPr>
                <w:sz w:val="18"/>
                <w:szCs w:val="18"/>
              </w:rPr>
              <w:t>La participación es desigual.</w:t>
            </w:r>
          </w:p>
        </w:tc>
        <w:tc>
          <w:tcPr>
            <w:tcW w:w="1910" w:type="dxa"/>
            <w:shd w:val="clear" w:color="auto" w:fill="D9E2F3"/>
            <w:vAlign w:val="center"/>
          </w:tcPr>
          <w:p w14:paraId="56FAA93F" w14:textId="77777777" w:rsidR="00990B14" w:rsidRDefault="00000000">
            <w:pPr>
              <w:spacing w:before="20" w:after="20"/>
              <w:jc w:val="both"/>
            </w:pPr>
            <w:r>
              <w:rPr>
                <w:sz w:val="18"/>
                <w:szCs w:val="18"/>
              </w:rPr>
              <w:t>Todos los integrantes participan.</w:t>
            </w:r>
          </w:p>
        </w:tc>
        <w:tc>
          <w:tcPr>
            <w:tcW w:w="1910" w:type="dxa"/>
            <w:shd w:val="clear" w:color="auto" w:fill="D9E2F3"/>
            <w:vAlign w:val="center"/>
          </w:tcPr>
          <w:p w14:paraId="693BC9B9" w14:textId="77777777" w:rsidR="00990B14" w:rsidRDefault="00000000">
            <w:pPr>
              <w:spacing w:before="20" w:after="20"/>
              <w:jc w:val="both"/>
            </w:pPr>
            <w:r>
              <w:rPr>
                <w:sz w:val="18"/>
                <w:szCs w:val="18"/>
              </w:rPr>
              <w:t>El equipo sustenta su trabajo ante el curso.</w:t>
            </w:r>
          </w:p>
        </w:tc>
      </w:tr>
      <w:tr w:rsidR="00990B14" w14:paraId="6BB2ECBC" w14:textId="77777777">
        <w:trPr>
          <w:cantSplit/>
          <w:jc w:val="center"/>
        </w:trPr>
        <w:tc>
          <w:tcPr>
            <w:tcW w:w="1829" w:type="dxa"/>
            <w:vMerge/>
            <w:shd w:val="clear" w:color="auto" w:fill="4472C4"/>
            <w:vAlign w:val="center"/>
          </w:tcPr>
          <w:p w14:paraId="3DA55FF9" w14:textId="77777777" w:rsidR="00990B14" w:rsidRDefault="00990B14">
            <w:pPr>
              <w:spacing w:before="20" w:after="20"/>
            </w:pPr>
          </w:p>
        </w:tc>
        <w:tc>
          <w:tcPr>
            <w:tcW w:w="5666" w:type="dxa"/>
            <w:gridSpan w:val="3"/>
            <w:shd w:val="clear" w:color="auto" w:fill="D9E2F3"/>
            <w:vAlign w:val="center"/>
          </w:tcPr>
          <w:p w14:paraId="0C5FB099" w14:textId="77777777" w:rsidR="00990B14" w:rsidRDefault="00000000">
            <w:pPr>
              <w:keepNext/>
              <w:spacing w:before="20" w:after="20"/>
              <w:jc w:val="both"/>
            </w:pPr>
            <w:r>
              <w:rPr>
                <w:b/>
                <w:bCs/>
                <w:i/>
                <w:iCs/>
                <w:sz w:val="18"/>
                <w:szCs w:val="18"/>
              </w:rPr>
              <w:t xml:space="preserve">Producto 11: </w:t>
            </w:r>
            <w:r>
              <w:rPr>
                <w:sz w:val="18"/>
                <w:szCs w:val="18"/>
              </w:rPr>
              <w:t>Liquidación del ITGB</w:t>
            </w:r>
          </w:p>
        </w:tc>
        <w:tc>
          <w:tcPr>
            <w:tcW w:w="1910" w:type="dxa"/>
            <w:shd w:val="clear" w:color="auto" w:fill="D9E2F3"/>
            <w:vAlign w:val="center"/>
          </w:tcPr>
          <w:p w14:paraId="4E068897" w14:textId="77777777" w:rsidR="00990B14" w:rsidRDefault="00000000">
            <w:pPr>
              <w:spacing w:before="20" w:after="20"/>
              <w:jc w:val="center"/>
            </w:pPr>
            <w:r>
              <w:rPr>
                <w:b/>
                <w:bCs/>
                <w:sz w:val="18"/>
                <w:szCs w:val="18"/>
              </w:rPr>
              <w:t>2%</w:t>
            </w:r>
          </w:p>
        </w:tc>
      </w:tr>
      <w:tr w:rsidR="00990B14" w14:paraId="13D26054" w14:textId="77777777">
        <w:trPr>
          <w:cantSplit/>
          <w:jc w:val="center"/>
        </w:trPr>
        <w:tc>
          <w:tcPr>
            <w:tcW w:w="1829" w:type="dxa"/>
            <w:vMerge/>
            <w:shd w:val="clear" w:color="auto" w:fill="4472C4"/>
            <w:vAlign w:val="center"/>
          </w:tcPr>
          <w:p w14:paraId="4A30C702" w14:textId="77777777" w:rsidR="00990B14" w:rsidRDefault="00990B14">
            <w:pPr>
              <w:spacing w:before="20" w:after="20"/>
            </w:pPr>
          </w:p>
        </w:tc>
        <w:tc>
          <w:tcPr>
            <w:tcW w:w="1910" w:type="dxa"/>
            <w:shd w:val="clear" w:color="auto" w:fill="4472C4"/>
            <w:vAlign w:val="center"/>
          </w:tcPr>
          <w:p w14:paraId="4C4F61FB" w14:textId="77777777" w:rsidR="00990B14" w:rsidRDefault="00000000">
            <w:pPr>
              <w:keepNext/>
              <w:spacing w:before="20" w:after="20"/>
              <w:jc w:val="center"/>
            </w:pPr>
            <w:r>
              <w:rPr>
                <w:b/>
                <w:bCs/>
                <w:i/>
                <w:iCs/>
                <w:color w:val="FFFFFF"/>
                <w:sz w:val="18"/>
                <w:szCs w:val="18"/>
              </w:rPr>
              <w:t>Criterio</w:t>
            </w:r>
          </w:p>
        </w:tc>
        <w:tc>
          <w:tcPr>
            <w:tcW w:w="1846" w:type="dxa"/>
            <w:shd w:val="clear" w:color="auto" w:fill="4472C4"/>
            <w:vAlign w:val="center"/>
          </w:tcPr>
          <w:p w14:paraId="1C6EB440"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5E05BB76"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1CF59142" w14:textId="77777777" w:rsidR="00990B14" w:rsidRDefault="00000000">
            <w:pPr>
              <w:keepNext/>
              <w:spacing w:before="20" w:after="20"/>
              <w:jc w:val="center"/>
            </w:pPr>
            <w:r>
              <w:rPr>
                <w:b/>
                <w:bCs/>
                <w:i/>
                <w:iCs/>
                <w:color w:val="FFFFFF"/>
                <w:sz w:val="18"/>
                <w:szCs w:val="18"/>
              </w:rPr>
              <w:t>Destacado (81–100)</w:t>
            </w:r>
          </w:p>
        </w:tc>
      </w:tr>
      <w:tr w:rsidR="00990B14" w14:paraId="4D653108" w14:textId="77777777">
        <w:trPr>
          <w:cantSplit/>
          <w:jc w:val="center"/>
        </w:trPr>
        <w:tc>
          <w:tcPr>
            <w:tcW w:w="1829" w:type="dxa"/>
            <w:vMerge/>
            <w:shd w:val="clear" w:color="auto" w:fill="4472C4"/>
            <w:vAlign w:val="center"/>
          </w:tcPr>
          <w:p w14:paraId="08C637B5" w14:textId="77777777" w:rsidR="00990B14" w:rsidRDefault="00990B14">
            <w:pPr>
              <w:spacing w:before="20" w:after="20"/>
            </w:pPr>
          </w:p>
        </w:tc>
        <w:tc>
          <w:tcPr>
            <w:tcW w:w="1910" w:type="dxa"/>
            <w:shd w:val="clear" w:color="auto" w:fill="D9E2F3"/>
            <w:vAlign w:val="center"/>
          </w:tcPr>
          <w:p w14:paraId="3753CF48" w14:textId="77777777" w:rsidR="00990B14" w:rsidRDefault="00000000">
            <w:pPr>
              <w:spacing w:before="20" w:after="20"/>
              <w:jc w:val="both"/>
            </w:pPr>
            <w:r>
              <w:rPr>
                <w:sz w:val="18"/>
                <w:szCs w:val="18"/>
              </w:rPr>
              <w:t>Base imponible</w:t>
            </w:r>
          </w:p>
        </w:tc>
        <w:tc>
          <w:tcPr>
            <w:tcW w:w="1846" w:type="dxa"/>
            <w:shd w:val="clear" w:color="auto" w:fill="D9E2F3"/>
            <w:vAlign w:val="center"/>
          </w:tcPr>
          <w:p w14:paraId="2543BD4C" w14:textId="77777777" w:rsidR="00990B14" w:rsidRDefault="00000000">
            <w:pPr>
              <w:spacing w:before="20" w:after="20"/>
              <w:jc w:val="both"/>
            </w:pPr>
            <w:r>
              <w:rPr>
                <w:sz w:val="18"/>
                <w:szCs w:val="18"/>
              </w:rPr>
              <w:t>Determina mal la base de cada heredero.</w:t>
            </w:r>
          </w:p>
        </w:tc>
        <w:tc>
          <w:tcPr>
            <w:tcW w:w="1910" w:type="dxa"/>
            <w:shd w:val="clear" w:color="auto" w:fill="D9E2F3"/>
            <w:vAlign w:val="center"/>
          </w:tcPr>
          <w:p w14:paraId="32C1D2AB" w14:textId="77777777" w:rsidR="00990B14" w:rsidRDefault="00000000">
            <w:pPr>
              <w:spacing w:before="20" w:after="20"/>
              <w:jc w:val="both"/>
            </w:pPr>
            <w:r>
              <w:rPr>
                <w:sz w:val="18"/>
                <w:szCs w:val="18"/>
              </w:rPr>
              <w:t>Determina la base imponible por heredero.</w:t>
            </w:r>
          </w:p>
        </w:tc>
        <w:tc>
          <w:tcPr>
            <w:tcW w:w="1910" w:type="dxa"/>
            <w:shd w:val="clear" w:color="auto" w:fill="D9E2F3"/>
            <w:vAlign w:val="center"/>
          </w:tcPr>
          <w:p w14:paraId="50BBBD97" w14:textId="77777777" w:rsidR="00990B14" w:rsidRDefault="00000000">
            <w:pPr>
              <w:spacing w:before="20" w:after="20"/>
              <w:jc w:val="both"/>
            </w:pPr>
            <w:r>
              <w:rPr>
                <w:sz w:val="18"/>
                <w:szCs w:val="18"/>
              </w:rPr>
              <w:t>Verifica la suma con la masa hereditaria.</w:t>
            </w:r>
          </w:p>
        </w:tc>
      </w:tr>
      <w:tr w:rsidR="00990B14" w14:paraId="5F9E9FFE" w14:textId="77777777">
        <w:trPr>
          <w:cantSplit/>
          <w:jc w:val="center"/>
        </w:trPr>
        <w:tc>
          <w:tcPr>
            <w:tcW w:w="1829" w:type="dxa"/>
            <w:vMerge/>
            <w:shd w:val="clear" w:color="auto" w:fill="4472C4"/>
            <w:vAlign w:val="center"/>
          </w:tcPr>
          <w:p w14:paraId="3E16DE51" w14:textId="77777777" w:rsidR="00990B14" w:rsidRDefault="00990B14">
            <w:pPr>
              <w:spacing w:before="20" w:after="20"/>
            </w:pPr>
          </w:p>
        </w:tc>
        <w:tc>
          <w:tcPr>
            <w:tcW w:w="1910" w:type="dxa"/>
            <w:shd w:val="clear" w:color="auto" w:fill="D9E2F3"/>
            <w:vAlign w:val="center"/>
          </w:tcPr>
          <w:p w14:paraId="0E5B9E2C" w14:textId="77777777" w:rsidR="00990B14" w:rsidRDefault="00000000">
            <w:pPr>
              <w:spacing w:before="20" w:after="20"/>
              <w:jc w:val="both"/>
            </w:pPr>
            <w:r>
              <w:rPr>
                <w:sz w:val="18"/>
                <w:szCs w:val="18"/>
              </w:rPr>
              <w:t>Alícuota</w:t>
            </w:r>
          </w:p>
        </w:tc>
        <w:tc>
          <w:tcPr>
            <w:tcW w:w="1846" w:type="dxa"/>
            <w:shd w:val="clear" w:color="auto" w:fill="D9E2F3"/>
            <w:vAlign w:val="center"/>
          </w:tcPr>
          <w:p w14:paraId="6BCFC22B" w14:textId="77777777" w:rsidR="00990B14" w:rsidRDefault="00000000">
            <w:pPr>
              <w:spacing w:before="20" w:after="20"/>
              <w:jc w:val="both"/>
            </w:pPr>
            <w:r>
              <w:rPr>
                <w:sz w:val="18"/>
                <w:szCs w:val="18"/>
              </w:rPr>
              <w:t>Aplica una alícuota errada.</w:t>
            </w:r>
          </w:p>
        </w:tc>
        <w:tc>
          <w:tcPr>
            <w:tcW w:w="1910" w:type="dxa"/>
            <w:shd w:val="clear" w:color="auto" w:fill="D9E2F3"/>
            <w:vAlign w:val="center"/>
          </w:tcPr>
          <w:p w14:paraId="1C58D0B4" w14:textId="77777777" w:rsidR="00990B14" w:rsidRDefault="00000000">
            <w:pPr>
              <w:spacing w:before="20" w:after="20"/>
              <w:jc w:val="both"/>
            </w:pPr>
            <w:r>
              <w:rPr>
                <w:sz w:val="18"/>
                <w:szCs w:val="18"/>
              </w:rPr>
              <w:t>Aplica la alícuota según el parentesco.</w:t>
            </w:r>
          </w:p>
        </w:tc>
        <w:tc>
          <w:tcPr>
            <w:tcW w:w="1910" w:type="dxa"/>
            <w:shd w:val="clear" w:color="auto" w:fill="D9E2F3"/>
            <w:vAlign w:val="center"/>
          </w:tcPr>
          <w:p w14:paraId="164B3E38" w14:textId="77777777" w:rsidR="00990B14" w:rsidRDefault="00000000">
            <w:pPr>
              <w:spacing w:before="20" w:after="20"/>
              <w:jc w:val="both"/>
            </w:pPr>
            <w:r>
              <w:rPr>
                <w:sz w:val="18"/>
                <w:szCs w:val="18"/>
              </w:rPr>
              <w:t>Explica la diferencia de alícuotas.</w:t>
            </w:r>
          </w:p>
        </w:tc>
      </w:tr>
      <w:tr w:rsidR="00990B14" w14:paraId="29FED63C" w14:textId="77777777">
        <w:trPr>
          <w:cantSplit/>
          <w:jc w:val="center"/>
        </w:trPr>
        <w:tc>
          <w:tcPr>
            <w:tcW w:w="1829" w:type="dxa"/>
            <w:vMerge/>
            <w:shd w:val="clear" w:color="auto" w:fill="4472C4"/>
            <w:vAlign w:val="center"/>
          </w:tcPr>
          <w:p w14:paraId="636CAF35" w14:textId="77777777" w:rsidR="00990B14" w:rsidRDefault="00990B14">
            <w:pPr>
              <w:spacing w:before="20" w:after="20"/>
            </w:pPr>
          </w:p>
        </w:tc>
        <w:tc>
          <w:tcPr>
            <w:tcW w:w="1910" w:type="dxa"/>
            <w:shd w:val="clear" w:color="auto" w:fill="D9E2F3"/>
            <w:vAlign w:val="center"/>
          </w:tcPr>
          <w:p w14:paraId="5B8A7F96" w14:textId="77777777" w:rsidR="00990B14" w:rsidRDefault="00000000">
            <w:pPr>
              <w:spacing w:before="20" w:after="20"/>
              <w:jc w:val="both"/>
            </w:pPr>
            <w:r>
              <w:rPr>
                <w:sz w:val="18"/>
                <w:szCs w:val="18"/>
              </w:rPr>
              <w:t>Uso de la hoja de cálculo</w:t>
            </w:r>
          </w:p>
        </w:tc>
        <w:tc>
          <w:tcPr>
            <w:tcW w:w="1846" w:type="dxa"/>
            <w:shd w:val="clear" w:color="auto" w:fill="D9E2F3"/>
            <w:vAlign w:val="center"/>
          </w:tcPr>
          <w:p w14:paraId="6B4D7694" w14:textId="77777777" w:rsidR="00990B14" w:rsidRDefault="00000000">
            <w:pPr>
              <w:spacing w:before="20" w:after="20"/>
              <w:jc w:val="both"/>
            </w:pPr>
            <w:r>
              <w:rPr>
                <w:sz w:val="18"/>
                <w:szCs w:val="18"/>
              </w:rPr>
              <w:t>No usa fórmulas.</w:t>
            </w:r>
          </w:p>
        </w:tc>
        <w:tc>
          <w:tcPr>
            <w:tcW w:w="1910" w:type="dxa"/>
            <w:shd w:val="clear" w:color="auto" w:fill="D9E2F3"/>
            <w:vAlign w:val="center"/>
          </w:tcPr>
          <w:p w14:paraId="15CB0AD9" w14:textId="77777777" w:rsidR="00990B14" w:rsidRDefault="00000000">
            <w:pPr>
              <w:spacing w:before="20" w:after="20"/>
              <w:jc w:val="both"/>
            </w:pPr>
            <w:r>
              <w:rPr>
                <w:sz w:val="18"/>
                <w:szCs w:val="18"/>
              </w:rPr>
              <w:t>Usa fórmulas en la liquidación.</w:t>
            </w:r>
          </w:p>
        </w:tc>
        <w:tc>
          <w:tcPr>
            <w:tcW w:w="1910" w:type="dxa"/>
            <w:shd w:val="clear" w:color="auto" w:fill="D9E2F3"/>
            <w:vAlign w:val="center"/>
          </w:tcPr>
          <w:p w14:paraId="296BDCB5" w14:textId="77777777" w:rsidR="00990B14" w:rsidRDefault="00000000">
            <w:pPr>
              <w:spacing w:before="20" w:after="20"/>
              <w:jc w:val="both"/>
            </w:pPr>
            <w:r>
              <w:rPr>
                <w:sz w:val="18"/>
                <w:szCs w:val="18"/>
              </w:rPr>
              <w:t>La hoja admite más herederos.</w:t>
            </w:r>
          </w:p>
        </w:tc>
      </w:tr>
      <w:tr w:rsidR="00990B14" w14:paraId="68017138" w14:textId="77777777">
        <w:trPr>
          <w:cantSplit/>
          <w:jc w:val="center"/>
        </w:trPr>
        <w:tc>
          <w:tcPr>
            <w:tcW w:w="1829" w:type="dxa"/>
            <w:vMerge/>
            <w:shd w:val="clear" w:color="auto" w:fill="4472C4"/>
            <w:vAlign w:val="center"/>
          </w:tcPr>
          <w:p w14:paraId="306D8467" w14:textId="77777777" w:rsidR="00990B14" w:rsidRDefault="00990B14">
            <w:pPr>
              <w:spacing w:before="20" w:after="20"/>
            </w:pPr>
          </w:p>
        </w:tc>
        <w:tc>
          <w:tcPr>
            <w:tcW w:w="5666" w:type="dxa"/>
            <w:gridSpan w:val="3"/>
            <w:shd w:val="clear" w:color="auto" w:fill="D9E2F3"/>
            <w:vAlign w:val="center"/>
          </w:tcPr>
          <w:p w14:paraId="747D3DA1" w14:textId="77777777" w:rsidR="00990B14" w:rsidRDefault="00000000">
            <w:pPr>
              <w:keepNext/>
              <w:spacing w:before="20" w:after="20"/>
              <w:jc w:val="both"/>
            </w:pPr>
            <w:r>
              <w:rPr>
                <w:b/>
                <w:bCs/>
                <w:i/>
                <w:iCs/>
                <w:sz w:val="18"/>
                <w:szCs w:val="18"/>
              </w:rPr>
              <w:t xml:space="preserve">Producto 12: </w:t>
            </w:r>
            <w:r>
              <w:rPr>
                <w:sz w:val="18"/>
                <w:szCs w:val="18"/>
              </w:rPr>
              <w:t>Lista de verificación del ITGB</w:t>
            </w:r>
          </w:p>
        </w:tc>
        <w:tc>
          <w:tcPr>
            <w:tcW w:w="1910" w:type="dxa"/>
            <w:shd w:val="clear" w:color="auto" w:fill="D9E2F3"/>
            <w:vAlign w:val="center"/>
          </w:tcPr>
          <w:p w14:paraId="03B23E01" w14:textId="77777777" w:rsidR="00990B14" w:rsidRDefault="00000000">
            <w:pPr>
              <w:spacing w:before="20" w:after="20"/>
              <w:jc w:val="center"/>
            </w:pPr>
            <w:r>
              <w:rPr>
                <w:b/>
                <w:bCs/>
                <w:sz w:val="18"/>
                <w:szCs w:val="18"/>
              </w:rPr>
              <w:t>2%</w:t>
            </w:r>
          </w:p>
        </w:tc>
      </w:tr>
      <w:tr w:rsidR="00990B14" w14:paraId="1B554394" w14:textId="77777777">
        <w:trPr>
          <w:cantSplit/>
          <w:jc w:val="center"/>
        </w:trPr>
        <w:tc>
          <w:tcPr>
            <w:tcW w:w="1829" w:type="dxa"/>
            <w:vMerge/>
            <w:shd w:val="clear" w:color="auto" w:fill="4472C4"/>
            <w:vAlign w:val="center"/>
          </w:tcPr>
          <w:p w14:paraId="1A616EC7" w14:textId="77777777" w:rsidR="00990B14" w:rsidRDefault="00990B14">
            <w:pPr>
              <w:spacing w:before="20" w:after="20"/>
            </w:pPr>
          </w:p>
        </w:tc>
        <w:tc>
          <w:tcPr>
            <w:tcW w:w="1910" w:type="dxa"/>
            <w:shd w:val="clear" w:color="auto" w:fill="4472C4"/>
            <w:vAlign w:val="center"/>
          </w:tcPr>
          <w:p w14:paraId="26E37E51" w14:textId="77777777" w:rsidR="00990B14" w:rsidRDefault="00000000">
            <w:pPr>
              <w:keepNext/>
              <w:spacing w:before="20" w:after="20"/>
              <w:jc w:val="center"/>
            </w:pPr>
            <w:r>
              <w:rPr>
                <w:b/>
                <w:bCs/>
                <w:i/>
                <w:iCs/>
                <w:color w:val="FFFFFF"/>
                <w:sz w:val="18"/>
                <w:szCs w:val="18"/>
              </w:rPr>
              <w:t>Criterio</w:t>
            </w:r>
          </w:p>
        </w:tc>
        <w:tc>
          <w:tcPr>
            <w:tcW w:w="1846" w:type="dxa"/>
            <w:shd w:val="clear" w:color="auto" w:fill="4472C4"/>
            <w:vAlign w:val="center"/>
          </w:tcPr>
          <w:p w14:paraId="0071C1D8"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27263BD6"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00D23559" w14:textId="77777777" w:rsidR="00990B14" w:rsidRDefault="00000000">
            <w:pPr>
              <w:keepNext/>
              <w:spacing w:before="20" w:after="20"/>
              <w:jc w:val="center"/>
            </w:pPr>
            <w:r>
              <w:rPr>
                <w:b/>
                <w:bCs/>
                <w:i/>
                <w:iCs/>
                <w:color w:val="FFFFFF"/>
                <w:sz w:val="18"/>
                <w:szCs w:val="18"/>
              </w:rPr>
              <w:t>Destacado (81–100)</w:t>
            </w:r>
          </w:p>
        </w:tc>
      </w:tr>
      <w:tr w:rsidR="00990B14" w14:paraId="09993AB3" w14:textId="77777777">
        <w:trPr>
          <w:cantSplit/>
          <w:jc w:val="center"/>
        </w:trPr>
        <w:tc>
          <w:tcPr>
            <w:tcW w:w="1829" w:type="dxa"/>
            <w:vMerge/>
            <w:shd w:val="clear" w:color="auto" w:fill="4472C4"/>
            <w:vAlign w:val="center"/>
          </w:tcPr>
          <w:p w14:paraId="310E555A" w14:textId="77777777" w:rsidR="00990B14" w:rsidRDefault="00990B14">
            <w:pPr>
              <w:spacing w:before="20" w:after="20"/>
            </w:pPr>
          </w:p>
        </w:tc>
        <w:tc>
          <w:tcPr>
            <w:tcW w:w="1910" w:type="dxa"/>
            <w:shd w:val="clear" w:color="auto" w:fill="D9E2F3"/>
            <w:vAlign w:val="center"/>
          </w:tcPr>
          <w:p w14:paraId="0DED3D75" w14:textId="77777777" w:rsidR="00990B14" w:rsidRDefault="00000000">
            <w:pPr>
              <w:spacing w:before="20" w:after="20"/>
              <w:jc w:val="both"/>
            </w:pPr>
            <w:r>
              <w:rPr>
                <w:sz w:val="18"/>
                <w:szCs w:val="18"/>
              </w:rPr>
              <w:t>Documentación</w:t>
            </w:r>
          </w:p>
        </w:tc>
        <w:tc>
          <w:tcPr>
            <w:tcW w:w="1846" w:type="dxa"/>
            <w:shd w:val="clear" w:color="auto" w:fill="D9E2F3"/>
            <w:vAlign w:val="center"/>
          </w:tcPr>
          <w:p w14:paraId="615B6A39" w14:textId="77777777" w:rsidR="00990B14" w:rsidRDefault="00000000">
            <w:pPr>
              <w:spacing w:before="20" w:after="20"/>
              <w:jc w:val="both"/>
            </w:pPr>
            <w:r>
              <w:rPr>
                <w:sz w:val="18"/>
                <w:szCs w:val="18"/>
              </w:rPr>
              <w:t>Omite documentos exigidos.</w:t>
            </w:r>
          </w:p>
        </w:tc>
        <w:tc>
          <w:tcPr>
            <w:tcW w:w="1910" w:type="dxa"/>
            <w:shd w:val="clear" w:color="auto" w:fill="D9E2F3"/>
            <w:vAlign w:val="center"/>
          </w:tcPr>
          <w:p w14:paraId="0B06F9CE" w14:textId="77777777" w:rsidR="00990B14" w:rsidRDefault="00000000">
            <w:pPr>
              <w:spacing w:before="20" w:after="20"/>
              <w:jc w:val="both"/>
            </w:pPr>
            <w:r>
              <w:rPr>
                <w:sz w:val="18"/>
                <w:szCs w:val="18"/>
              </w:rPr>
              <w:t>Detalla los documentos de respaldo.</w:t>
            </w:r>
          </w:p>
        </w:tc>
        <w:tc>
          <w:tcPr>
            <w:tcW w:w="1910" w:type="dxa"/>
            <w:shd w:val="clear" w:color="auto" w:fill="D9E2F3"/>
            <w:vAlign w:val="center"/>
          </w:tcPr>
          <w:p w14:paraId="25AA194C" w14:textId="77777777" w:rsidR="00990B14" w:rsidRDefault="00000000">
            <w:pPr>
              <w:spacing w:before="20" w:after="20"/>
              <w:jc w:val="both"/>
            </w:pPr>
            <w:r>
              <w:rPr>
                <w:sz w:val="18"/>
                <w:szCs w:val="18"/>
              </w:rPr>
              <w:t>Indica la fuente de cada documento.</w:t>
            </w:r>
          </w:p>
        </w:tc>
      </w:tr>
      <w:tr w:rsidR="00990B14" w14:paraId="3FD69483" w14:textId="77777777">
        <w:trPr>
          <w:cantSplit/>
          <w:jc w:val="center"/>
        </w:trPr>
        <w:tc>
          <w:tcPr>
            <w:tcW w:w="1829" w:type="dxa"/>
            <w:vMerge/>
            <w:shd w:val="clear" w:color="auto" w:fill="4472C4"/>
            <w:vAlign w:val="center"/>
          </w:tcPr>
          <w:p w14:paraId="566DA072" w14:textId="77777777" w:rsidR="00990B14" w:rsidRDefault="00990B14">
            <w:pPr>
              <w:spacing w:before="20" w:after="20"/>
            </w:pPr>
          </w:p>
        </w:tc>
        <w:tc>
          <w:tcPr>
            <w:tcW w:w="1910" w:type="dxa"/>
            <w:shd w:val="clear" w:color="auto" w:fill="D9E2F3"/>
            <w:vAlign w:val="center"/>
          </w:tcPr>
          <w:p w14:paraId="46B110D4" w14:textId="77777777" w:rsidR="00990B14" w:rsidRDefault="00000000">
            <w:pPr>
              <w:spacing w:before="20" w:after="20"/>
              <w:jc w:val="both"/>
            </w:pPr>
            <w:r>
              <w:rPr>
                <w:sz w:val="18"/>
                <w:szCs w:val="18"/>
              </w:rPr>
              <w:t>Procedimiento</w:t>
            </w:r>
          </w:p>
        </w:tc>
        <w:tc>
          <w:tcPr>
            <w:tcW w:w="1846" w:type="dxa"/>
            <w:shd w:val="clear" w:color="auto" w:fill="D9E2F3"/>
            <w:vAlign w:val="center"/>
          </w:tcPr>
          <w:p w14:paraId="11DF5F93" w14:textId="77777777" w:rsidR="00990B14" w:rsidRDefault="00000000">
            <w:pPr>
              <w:spacing w:before="20" w:after="20"/>
              <w:jc w:val="both"/>
            </w:pPr>
            <w:r>
              <w:rPr>
                <w:sz w:val="18"/>
                <w:szCs w:val="18"/>
              </w:rPr>
              <w:t>Omite pasos del trámite.</w:t>
            </w:r>
          </w:p>
        </w:tc>
        <w:tc>
          <w:tcPr>
            <w:tcW w:w="1910" w:type="dxa"/>
            <w:shd w:val="clear" w:color="auto" w:fill="D9E2F3"/>
            <w:vAlign w:val="center"/>
          </w:tcPr>
          <w:p w14:paraId="4162339D" w14:textId="77777777" w:rsidR="00990B14" w:rsidRDefault="00000000">
            <w:pPr>
              <w:spacing w:before="20" w:after="20"/>
              <w:jc w:val="both"/>
            </w:pPr>
            <w:r>
              <w:rPr>
                <w:sz w:val="18"/>
                <w:szCs w:val="18"/>
              </w:rPr>
              <w:t>Describe la declaración y el pago.</w:t>
            </w:r>
          </w:p>
        </w:tc>
        <w:tc>
          <w:tcPr>
            <w:tcW w:w="1910" w:type="dxa"/>
            <w:shd w:val="clear" w:color="auto" w:fill="D9E2F3"/>
            <w:vAlign w:val="center"/>
          </w:tcPr>
          <w:p w14:paraId="6F62E420" w14:textId="77777777" w:rsidR="00990B14" w:rsidRDefault="00000000">
            <w:pPr>
              <w:spacing w:before="20" w:after="20"/>
              <w:jc w:val="both"/>
            </w:pPr>
            <w:r>
              <w:rPr>
                <w:sz w:val="18"/>
                <w:szCs w:val="18"/>
              </w:rPr>
              <w:t>Señala los plazos y las sanciones por incumplimiento.</w:t>
            </w:r>
          </w:p>
        </w:tc>
      </w:tr>
      <w:tr w:rsidR="00990B14" w14:paraId="298B8CB4" w14:textId="77777777">
        <w:trPr>
          <w:cantSplit/>
          <w:jc w:val="center"/>
        </w:trPr>
        <w:tc>
          <w:tcPr>
            <w:tcW w:w="1829" w:type="dxa"/>
            <w:vMerge/>
            <w:shd w:val="clear" w:color="auto" w:fill="4472C4"/>
            <w:vAlign w:val="center"/>
          </w:tcPr>
          <w:p w14:paraId="260C4D38" w14:textId="77777777" w:rsidR="00990B14" w:rsidRDefault="00990B14">
            <w:pPr>
              <w:spacing w:before="20" w:after="20"/>
            </w:pPr>
          </w:p>
        </w:tc>
        <w:tc>
          <w:tcPr>
            <w:tcW w:w="1910" w:type="dxa"/>
            <w:shd w:val="clear" w:color="auto" w:fill="D9E2F3"/>
            <w:vAlign w:val="center"/>
          </w:tcPr>
          <w:p w14:paraId="40FB18D6" w14:textId="77777777" w:rsidR="00990B14" w:rsidRDefault="00000000">
            <w:pPr>
              <w:spacing w:before="20" w:after="20"/>
              <w:jc w:val="both"/>
            </w:pPr>
            <w:r>
              <w:rPr>
                <w:sz w:val="18"/>
                <w:szCs w:val="18"/>
              </w:rPr>
              <w:t>Claridad de la exposición</w:t>
            </w:r>
          </w:p>
        </w:tc>
        <w:tc>
          <w:tcPr>
            <w:tcW w:w="1846" w:type="dxa"/>
            <w:shd w:val="clear" w:color="auto" w:fill="D9E2F3"/>
            <w:vAlign w:val="center"/>
          </w:tcPr>
          <w:p w14:paraId="7BF4AC1F" w14:textId="77777777" w:rsidR="00990B14" w:rsidRDefault="00000000">
            <w:pPr>
              <w:spacing w:before="20" w:after="20"/>
              <w:jc w:val="both"/>
            </w:pPr>
            <w:r>
              <w:rPr>
                <w:sz w:val="18"/>
                <w:szCs w:val="18"/>
              </w:rPr>
              <w:t>La exposición es confusa.</w:t>
            </w:r>
          </w:p>
        </w:tc>
        <w:tc>
          <w:tcPr>
            <w:tcW w:w="1910" w:type="dxa"/>
            <w:shd w:val="clear" w:color="auto" w:fill="D9E2F3"/>
            <w:vAlign w:val="center"/>
          </w:tcPr>
          <w:p w14:paraId="747C0E0E" w14:textId="77777777" w:rsidR="00990B14" w:rsidRDefault="00000000">
            <w:pPr>
              <w:spacing w:before="20" w:after="20"/>
              <w:jc w:val="both"/>
            </w:pPr>
            <w:r>
              <w:rPr>
                <w:sz w:val="18"/>
                <w:szCs w:val="18"/>
              </w:rPr>
              <w:t>Expone con orden y claridad.</w:t>
            </w:r>
          </w:p>
        </w:tc>
        <w:tc>
          <w:tcPr>
            <w:tcW w:w="1910" w:type="dxa"/>
            <w:shd w:val="clear" w:color="auto" w:fill="D9E2F3"/>
            <w:vAlign w:val="center"/>
          </w:tcPr>
          <w:p w14:paraId="56342566" w14:textId="77777777" w:rsidR="00990B14" w:rsidRDefault="00000000">
            <w:pPr>
              <w:spacing w:before="20" w:after="20"/>
              <w:jc w:val="both"/>
            </w:pPr>
            <w:r>
              <w:rPr>
                <w:sz w:val="18"/>
                <w:szCs w:val="18"/>
              </w:rPr>
              <w:t>Responde con solvencia las preguntas del curso.</w:t>
            </w:r>
          </w:p>
        </w:tc>
      </w:tr>
      <w:tr w:rsidR="00990B14" w14:paraId="1E986C3C" w14:textId="77777777">
        <w:trPr>
          <w:cantSplit/>
          <w:jc w:val="center"/>
        </w:trPr>
        <w:tc>
          <w:tcPr>
            <w:tcW w:w="1829" w:type="dxa"/>
            <w:vMerge/>
            <w:shd w:val="clear" w:color="auto" w:fill="4472C4"/>
            <w:vAlign w:val="center"/>
          </w:tcPr>
          <w:p w14:paraId="69A19647" w14:textId="77777777" w:rsidR="00990B14" w:rsidRDefault="00990B14">
            <w:pPr>
              <w:spacing w:before="20" w:after="20"/>
            </w:pPr>
          </w:p>
        </w:tc>
        <w:tc>
          <w:tcPr>
            <w:tcW w:w="5666" w:type="dxa"/>
            <w:gridSpan w:val="3"/>
            <w:shd w:val="clear" w:color="auto" w:fill="D9E2F3"/>
            <w:vAlign w:val="center"/>
          </w:tcPr>
          <w:p w14:paraId="770F072B" w14:textId="77777777" w:rsidR="00990B14" w:rsidRDefault="00000000">
            <w:pPr>
              <w:keepNext/>
              <w:spacing w:before="20" w:after="20"/>
              <w:jc w:val="both"/>
            </w:pPr>
            <w:r>
              <w:rPr>
                <w:b/>
                <w:bCs/>
                <w:i/>
                <w:iCs/>
                <w:sz w:val="18"/>
                <w:szCs w:val="18"/>
              </w:rPr>
              <w:t xml:space="preserve">Producto 13: </w:t>
            </w:r>
            <w:r>
              <w:rPr>
                <w:sz w:val="18"/>
                <w:szCs w:val="18"/>
              </w:rPr>
              <w:t>Liquidación del IMPBI y del IMPVA</w:t>
            </w:r>
          </w:p>
        </w:tc>
        <w:tc>
          <w:tcPr>
            <w:tcW w:w="1910" w:type="dxa"/>
            <w:shd w:val="clear" w:color="auto" w:fill="D9E2F3"/>
            <w:vAlign w:val="center"/>
          </w:tcPr>
          <w:p w14:paraId="1692F39C" w14:textId="77777777" w:rsidR="00990B14" w:rsidRDefault="00000000">
            <w:pPr>
              <w:spacing w:before="20" w:after="20"/>
              <w:jc w:val="center"/>
            </w:pPr>
            <w:r>
              <w:rPr>
                <w:b/>
                <w:bCs/>
                <w:sz w:val="18"/>
                <w:szCs w:val="18"/>
              </w:rPr>
              <w:t>5%</w:t>
            </w:r>
          </w:p>
        </w:tc>
      </w:tr>
      <w:tr w:rsidR="00990B14" w14:paraId="33FBF22C" w14:textId="77777777">
        <w:trPr>
          <w:cantSplit/>
          <w:jc w:val="center"/>
        </w:trPr>
        <w:tc>
          <w:tcPr>
            <w:tcW w:w="1829" w:type="dxa"/>
            <w:vMerge/>
            <w:shd w:val="clear" w:color="auto" w:fill="4472C4"/>
            <w:vAlign w:val="center"/>
          </w:tcPr>
          <w:p w14:paraId="587CF4FD" w14:textId="77777777" w:rsidR="00990B14" w:rsidRDefault="00990B14">
            <w:pPr>
              <w:spacing w:before="20" w:after="20"/>
            </w:pPr>
          </w:p>
        </w:tc>
        <w:tc>
          <w:tcPr>
            <w:tcW w:w="1910" w:type="dxa"/>
            <w:shd w:val="clear" w:color="auto" w:fill="4472C4"/>
            <w:vAlign w:val="center"/>
          </w:tcPr>
          <w:p w14:paraId="4CCF7AC8" w14:textId="77777777" w:rsidR="00990B14" w:rsidRDefault="00000000">
            <w:pPr>
              <w:keepNext/>
              <w:spacing w:before="20" w:after="20"/>
              <w:jc w:val="center"/>
            </w:pPr>
            <w:r>
              <w:rPr>
                <w:b/>
                <w:bCs/>
                <w:i/>
                <w:iCs/>
                <w:color w:val="FFFFFF"/>
                <w:sz w:val="18"/>
                <w:szCs w:val="18"/>
              </w:rPr>
              <w:t>Criterio</w:t>
            </w:r>
          </w:p>
        </w:tc>
        <w:tc>
          <w:tcPr>
            <w:tcW w:w="1846" w:type="dxa"/>
            <w:shd w:val="clear" w:color="auto" w:fill="4472C4"/>
            <w:vAlign w:val="center"/>
          </w:tcPr>
          <w:p w14:paraId="4EA62193"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5662D2DA"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283FD5DB" w14:textId="77777777" w:rsidR="00990B14" w:rsidRDefault="00000000">
            <w:pPr>
              <w:keepNext/>
              <w:spacing w:before="20" w:after="20"/>
              <w:jc w:val="center"/>
            </w:pPr>
            <w:r>
              <w:rPr>
                <w:b/>
                <w:bCs/>
                <w:i/>
                <w:iCs/>
                <w:color w:val="FFFFFF"/>
                <w:sz w:val="18"/>
                <w:szCs w:val="18"/>
              </w:rPr>
              <w:t>Destacado (81–100)</w:t>
            </w:r>
          </w:p>
        </w:tc>
      </w:tr>
      <w:tr w:rsidR="00990B14" w14:paraId="7C226825" w14:textId="77777777">
        <w:trPr>
          <w:cantSplit/>
          <w:jc w:val="center"/>
        </w:trPr>
        <w:tc>
          <w:tcPr>
            <w:tcW w:w="1829" w:type="dxa"/>
            <w:vMerge/>
            <w:shd w:val="clear" w:color="auto" w:fill="4472C4"/>
            <w:vAlign w:val="center"/>
          </w:tcPr>
          <w:p w14:paraId="638663FD" w14:textId="77777777" w:rsidR="00990B14" w:rsidRDefault="00990B14">
            <w:pPr>
              <w:spacing w:before="20" w:after="20"/>
            </w:pPr>
          </w:p>
        </w:tc>
        <w:tc>
          <w:tcPr>
            <w:tcW w:w="1910" w:type="dxa"/>
            <w:shd w:val="clear" w:color="auto" w:fill="D9E2F3"/>
            <w:vAlign w:val="center"/>
          </w:tcPr>
          <w:p w14:paraId="35B6D13B" w14:textId="77777777" w:rsidR="00990B14" w:rsidRDefault="00000000">
            <w:pPr>
              <w:spacing w:before="20" w:after="20"/>
              <w:jc w:val="both"/>
            </w:pPr>
            <w:r>
              <w:rPr>
                <w:sz w:val="18"/>
                <w:szCs w:val="18"/>
              </w:rPr>
              <w:t>Base imponible</w:t>
            </w:r>
          </w:p>
        </w:tc>
        <w:tc>
          <w:tcPr>
            <w:tcW w:w="1846" w:type="dxa"/>
            <w:shd w:val="clear" w:color="auto" w:fill="D9E2F3"/>
            <w:vAlign w:val="center"/>
          </w:tcPr>
          <w:p w14:paraId="418582A0" w14:textId="77777777" w:rsidR="00990B14" w:rsidRDefault="00000000">
            <w:pPr>
              <w:spacing w:before="20" w:after="20"/>
              <w:jc w:val="both"/>
            </w:pPr>
            <w:r>
              <w:rPr>
                <w:sz w:val="18"/>
                <w:szCs w:val="18"/>
              </w:rPr>
              <w:t>Usa datos técnicos errados.</w:t>
            </w:r>
          </w:p>
        </w:tc>
        <w:tc>
          <w:tcPr>
            <w:tcW w:w="1910" w:type="dxa"/>
            <w:shd w:val="clear" w:color="auto" w:fill="D9E2F3"/>
            <w:vAlign w:val="center"/>
          </w:tcPr>
          <w:p w14:paraId="39F104D3" w14:textId="77777777" w:rsidR="00990B14" w:rsidRDefault="00000000">
            <w:pPr>
              <w:spacing w:before="20" w:after="20"/>
              <w:jc w:val="both"/>
            </w:pPr>
            <w:r>
              <w:rPr>
                <w:sz w:val="18"/>
                <w:szCs w:val="18"/>
              </w:rPr>
              <w:t>Determina la base imponible de cada bien.</w:t>
            </w:r>
          </w:p>
        </w:tc>
        <w:tc>
          <w:tcPr>
            <w:tcW w:w="1910" w:type="dxa"/>
            <w:shd w:val="clear" w:color="auto" w:fill="D9E2F3"/>
            <w:vAlign w:val="center"/>
          </w:tcPr>
          <w:p w14:paraId="6E52DE2D" w14:textId="77777777" w:rsidR="00990B14" w:rsidRDefault="00000000">
            <w:pPr>
              <w:spacing w:before="20" w:after="20"/>
              <w:jc w:val="both"/>
            </w:pPr>
            <w:r>
              <w:rPr>
                <w:sz w:val="18"/>
                <w:szCs w:val="18"/>
              </w:rPr>
              <w:t>Verifica los datos técnicos registrados.</w:t>
            </w:r>
          </w:p>
        </w:tc>
      </w:tr>
      <w:tr w:rsidR="00990B14" w14:paraId="390D8BB5" w14:textId="77777777">
        <w:trPr>
          <w:cantSplit/>
          <w:jc w:val="center"/>
        </w:trPr>
        <w:tc>
          <w:tcPr>
            <w:tcW w:w="1829" w:type="dxa"/>
            <w:vMerge/>
            <w:shd w:val="clear" w:color="auto" w:fill="4472C4"/>
            <w:vAlign w:val="center"/>
          </w:tcPr>
          <w:p w14:paraId="4F0240C3" w14:textId="77777777" w:rsidR="00990B14" w:rsidRDefault="00990B14">
            <w:pPr>
              <w:spacing w:before="20" w:after="20"/>
            </w:pPr>
          </w:p>
        </w:tc>
        <w:tc>
          <w:tcPr>
            <w:tcW w:w="1910" w:type="dxa"/>
            <w:shd w:val="clear" w:color="auto" w:fill="D9E2F3"/>
            <w:vAlign w:val="center"/>
          </w:tcPr>
          <w:p w14:paraId="247B5348" w14:textId="77777777" w:rsidR="00990B14" w:rsidRDefault="00000000">
            <w:pPr>
              <w:spacing w:before="20" w:after="20"/>
              <w:jc w:val="both"/>
            </w:pPr>
            <w:r>
              <w:rPr>
                <w:sz w:val="18"/>
                <w:szCs w:val="18"/>
              </w:rPr>
              <w:t>Liquidación</w:t>
            </w:r>
          </w:p>
        </w:tc>
        <w:tc>
          <w:tcPr>
            <w:tcW w:w="1846" w:type="dxa"/>
            <w:shd w:val="clear" w:color="auto" w:fill="D9E2F3"/>
            <w:vAlign w:val="center"/>
          </w:tcPr>
          <w:p w14:paraId="2A36ADDA" w14:textId="77777777" w:rsidR="00990B14" w:rsidRDefault="00000000">
            <w:pPr>
              <w:spacing w:before="20" w:after="20"/>
              <w:jc w:val="both"/>
            </w:pPr>
            <w:r>
              <w:rPr>
                <w:sz w:val="18"/>
                <w:szCs w:val="18"/>
              </w:rPr>
              <w:t>Calcula mal el impuesto.</w:t>
            </w:r>
          </w:p>
        </w:tc>
        <w:tc>
          <w:tcPr>
            <w:tcW w:w="1910" w:type="dxa"/>
            <w:shd w:val="clear" w:color="auto" w:fill="D9E2F3"/>
            <w:vAlign w:val="center"/>
          </w:tcPr>
          <w:p w14:paraId="0EB83C9F" w14:textId="77777777" w:rsidR="00990B14" w:rsidRDefault="00000000">
            <w:pPr>
              <w:spacing w:before="20" w:after="20"/>
              <w:jc w:val="both"/>
            </w:pPr>
            <w:r>
              <w:rPr>
                <w:sz w:val="18"/>
                <w:szCs w:val="18"/>
              </w:rPr>
              <w:t>Liquida el impuesto con la escala vigente.</w:t>
            </w:r>
          </w:p>
        </w:tc>
        <w:tc>
          <w:tcPr>
            <w:tcW w:w="1910" w:type="dxa"/>
            <w:shd w:val="clear" w:color="auto" w:fill="D9E2F3"/>
            <w:vAlign w:val="center"/>
          </w:tcPr>
          <w:p w14:paraId="4CFA4A9F" w14:textId="77777777" w:rsidR="00990B14" w:rsidRDefault="00000000">
            <w:pPr>
              <w:spacing w:before="20" w:after="20"/>
              <w:jc w:val="both"/>
            </w:pPr>
            <w:r>
              <w:rPr>
                <w:sz w:val="18"/>
                <w:szCs w:val="18"/>
              </w:rPr>
              <w:t>Aplica descuentos o exenciones que corresponden.</w:t>
            </w:r>
          </w:p>
        </w:tc>
      </w:tr>
      <w:tr w:rsidR="00990B14" w14:paraId="15A10621" w14:textId="77777777">
        <w:trPr>
          <w:cantSplit/>
          <w:jc w:val="center"/>
        </w:trPr>
        <w:tc>
          <w:tcPr>
            <w:tcW w:w="1829" w:type="dxa"/>
            <w:vMerge/>
            <w:shd w:val="clear" w:color="auto" w:fill="4472C4"/>
            <w:vAlign w:val="center"/>
          </w:tcPr>
          <w:p w14:paraId="57B55F57" w14:textId="77777777" w:rsidR="00990B14" w:rsidRDefault="00990B14">
            <w:pPr>
              <w:spacing w:before="20" w:after="20"/>
            </w:pPr>
          </w:p>
        </w:tc>
        <w:tc>
          <w:tcPr>
            <w:tcW w:w="1910" w:type="dxa"/>
            <w:shd w:val="clear" w:color="auto" w:fill="D9E2F3"/>
            <w:vAlign w:val="center"/>
          </w:tcPr>
          <w:p w14:paraId="64177C79" w14:textId="77777777" w:rsidR="00990B14" w:rsidRDefault="00000000">
            <w:pPr>
              <w:spacing w:before="20" w:after="20"/>
              <w:jc w:val="both"/>
            </w:pPr>
            <w:r>
              <w:rPr>
                <w:sz w:val="18"/>
                <w:szCs w:val="18"/>
              </w:rPr>
              <w:t>Uso de la plataforma</w:t>
            </w:r>
          </w:p>
        </w:tc>
        <w:tc>
          <w:tcPr>
            <w:tcW w:w="1846" w:type="dxa"/>
            <w:shd w:val="clear" w:color="auto" w:fill="D9E2F3"/>
            <w:vAlign w:val="center"/>
          </w:tcPr>
          <w:p w14:paraId="740F0F10" w14:textId="77777777" w:rsidR="00990B14" w:rsidRDefault="00000000">
            <w:pPr>
              <w:spacing w:before="20" w:after="20"/>
              <w:jc w:val="both"/>
            </w:pPr>
            <w:r>
              <w:rPr>
                <w:sz w:val="18"/>
                <w:szCs w:val="18"/>
              </w:rPr>
              <w:t>No completa la consulta.</w:t>
            </w:r>
          </w:p>
        </w:tc>
        <w:tc>
          <w:tcPr>
            <w:tcW w:w="1910" w:type="dxa"/>
            <w:shd w:val="clear" w:color="auto" w:fill="D9E2F3"/>
            <w:vAlign w:val="center"/>
          </w:tcPr>
          <w:p w14:paraId="00C1C23E" w14:textId="77777777" w:rsidR="00990B14" w:rsidRDefault="00000000">
            <w:pPr>
              <w:spacing w:before="20" w:after="20"/>
              <w:jc w:val="both"/>
            </w:pPr>
            <w:r>
              <w:rPr>
                <w:sz w:val="18"/>
                <w:szCs w:val="18"/>
              </w:rPr>
              <w:t>Obtiene la liquidación en la plataforma.</w:t>
            </w:r>
          </w:p>
        </w:tc>
        <w:tc>
          <w:tcPr>
            <w:tcW w:w="1910" w:type="dxa"/>
            <w:shd w:val="clear" w:color="auto" w:fill="D9E2F3"/>
            <w:vAlign w:val="center"/>
          </w:tcPr>
          <w:p w14:paraId="24456784" w14:textId="77777777" w:rsidR="00990B14" w:rsidRDefault="00000000">
            <w:pPr>
              <w:spacing w:before="20" w:after="20"/>
              <w:jc w:val="both"/>
            </w:pPr>
            <w:r>
              <w:rPr>
                <w:sz w:val="18"/>
                <w:szCs w:val="18"/>
              </w:rPr>
              <w:t>Contrasta el cálculo propio con el del sistema.</w:t>
            </w:r>
          </w:p>
        </w:tc>
      </w:tr>
      <w:tr w:rsidR="00990B14" w14:paraId="082B34C8" w14:textId="77777777">
        <w:trPr>
          <w:cantSplit/>
          <w:jc w:val="center"/>
        </w:trPr>
        <w:tc>
          <w:tcPr>
            <w:tcW w:w="1829" w:type="dxa"/>
            <w:vMerge/>
            <w:shd w:val="clear" w:color="auto" w:fill="4472C4"/>
            <w:vAlign w:val="center"/>
          </w:tcPr>
          <w:p w14:paraId="5D74D06E" w14:textId="77777777" w:rsidR="00990B14" w:rsidRDefault="00990B14">
            <w:pPr>
              <w:spacing w:before="20" w:after="20"/>
            </w:pPr>
          </w:p>
        </w:tc>
        <w:tc>
          <w:tcPr>
            <w:tcW w:w="5666" w:type="dxa"/>
            <w:gridSpan w:val="3"/>
            <w:shd w:val="clear" w:color="auto" w:fill="D9E2F3"/>
            <w:vAlign w:val="center"/>
          </w:tcPr>
          <w:p w14:paraId="656CE323" w14:textId="77777777" w:rsidR="00990B14" w:rsidRDefault="00000000">
            <w:pPr>
              <w:keepNext/>
              <w:spacing w:before="20" w:after="20"/>
              <w:jc w:val="both"/>
            </w:pPr>
            <w:r>
              <w:rPr>
                <w:b/>
                <w:bCs/>
                <w:i/>
                <w:iCs/>
                <w:sz w:val="18"/>
                <w:szCs w:val="18"/>
              </w:rPr>
              <w:t xml:space="preserve">Producto 14: </w:t>
            </w:r>
            <w:r>
              <w:rPr>
                <w:sz w:val="18"/>
                <w:szCs w:val="18"/>
              </w:rPr>
              <w:t>Cuadro de conciliación municipal</w:t>
            </w:r>
          </w:p>
        </w:tc>
        <w:tc>
          <w:tcPr>
            <w:tcW w:w="1910" w:type="dxa"/>
            <w:shd w:val="clear" w:color="auto" w:fill="D9E2F3"/>
            <w:vAlign w:val="center"/>
          </w:tcPr>
          <w:p w14:paraId="1D52AFB3" w14:textId="77777777" w:rsidR="00990B14" w:rsidRDefault="00000000">
            <w:pPr>
              <w:spacing w:before="20" w:after="20"/>
              <w:jc w:val="center"/>
            </w:pPr>
            <w:r>
              <w:rPr>
                <w:b/>
                <w:bCs/>
                <w:sz w:val="18"/>
                <w:szCs w:val="18"/>
              </w:rPr>
              <w:t>5%</w:t>
            </w:r>
          </w:p>
        </w:tc>
      </w:tr>
      <w:tr w:rsidR="00990B14" w14:paraId="0D93DE46" w14:textId="77777777">
        <w:trPr>
          <w:cantSplit/>
          <w:jc w:val="center"/>
        </w:trPr>
        <w:tc>
          <w:tcPr>
            <w:tcW w:w="1829" w:type="dxa"/>
            <w:vMerge/>
            <w:shd w:val="clear" w:color="auto" w:fill="4472C4"/>
            <w:vAlign w:val="center"/>
          </w:tcPr>
          <w:p w14:paraId="7C948C75" w14:textId="77777777" w:rsidR="00990B14" w:rsidRDefault="00990B14">
            <w:pPr>
              <w:spacing w:before="20" w:after="20"/>
            </w:pPr>
          </w:p>
        </w:tc>
        <w:tc>
          <w:tcPr>
            <w:tcW w:w="1910" w:type="dxa"/>
            <w:shd w:val="clear" w:color="auto" w:fill="4472C4"/>
            <w:vAlign w:val="center"/>
          </w:tcPr>
          <w:p w14:paraId="69DD605C" w14:textId="77777777" w:rsidR="00990B14" w:rsidRDefault="00000000">
            <w:pPr>
              <w:keepNext/>
              <w:spacing w:before="20" w:after="20"/>
              <w:jc w:val="center"/>
            </w:pPr>
            <w:r>
              <w:rPr>
                <w:b/>
                <w:bCs/>
                <w:i/>
                <w:iCs/>
                <w:color w:val="FFFFFF"/>
                <w:sz w:val="18"/>
                <w:szCs w:val="18"/>
              </w:rPr>
              <w:t>Criterio</w:t>
            </w:r>
          </w:p>
        </w:tc>
        <w:tc>
          <w:tcPr>
            <w:tcW w:w="1846" w:type="dxa"/>
            <w:shd w:val="clear" w:color="auto" w:fill="4472C4"/>
            <w:vAlign w:val="center"/>
          </w:tcPr>
          <w:p w14:paraId="6CC68D00"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181C2234"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0A58D945" w14:textId="77777777" w:rsidR="00990B14" w:rsidRDefault="00000000">
            <w:pPr>
              <w:keepNext/>
              <w:spacing w:before="20" w:after="20"/>
              <w:jc w:val="center"/>
            </w:pPr>
            <w:r>
              <w:rPr>
                <w:b/>
                <w:bCs/>
                <w:i/>
                <w:iCs/>
                <w:color w:val="FFFFFF"/>
                <w:sz w:val="18"/>
                <w:szCs w:val="18"/>
              </w:rPr>
              <w:t>Destacado (81–100)</w:t>
            </w:r>
          </w:p>
        </w:tc>
      </w:tr>
      <w:tr w:rsidR="00990B14" w14:paraId="5FBB0A32" w14:textId="77777777">
        <w:trPr>
          <w:cantSplit/>
          <w:jc w:val="center"/>
        </w:trPr>
        <w:tc>
          <w:tcPr>
            <w:tcW w:w="1829" w:type="dxa"/>
            <w:vMerge/>
            <w:shd w:val="clear" w:color="auto" w:fill="4472C4"/>
            <w:vAlign w:val="center"/>
          </w:tcPr>
          <w:p w14:paraId="7CC2CB5D" w14:textId="77777777" w:rsidR="00990B14" w:rsidRDefault="00990B14">
            <w:pPr>
              <w:spacing w:before="20" w:after="20"/>
            </w:pPr>
          </w:p>
        </w:tc>
        <w:tc>
          <w:tcPr>
            <w:tcW w:w="1910" w:type="dxa"/>
            <w:shd w:val="clear" w:color="auto" w:fill="D9E2F3"/>
            <w:vAlign w:val="center"/>
          </w:tcPr>
          <w:p w14:paraId="5800A7DE" w14:textId="77777777" w:rsidR="00990B14" w:rsidRDefault="00000000">
            <w:pPr>
              <w:spacing w:before="20" w:after="20"/>
              <w:jc w:val="both"/>
            </w:pPr>
            <w:r>
              <w:rPr>
                <w:sz w:val="18"/>
                <w:szCs w:val="18"/>
              </w:rPr>
              <w:t>Valor en libros</w:t>
            </w:r>
          </w:p>
        </w:tc>
        <w:tc>
          <w:tcPr>
            <w:tcW w:w="1846" w:type="dxa"/>
            <w:shd w:val="clear" w:color="auto" w:fill="D9E2F3"/>
            <w:vAlign w:val="center"/>
          </w:tcPr>
          <w:p w14:paraId="2C34DDDF" w14:textId="77777777" w:rsidR="00990B14" w:rsidRDefault="00000000">
            <w:pPr>
              <w:spacing w:before="20" w:after="20"/>
              <w:jc w:val="both"/>
            </w:pPr>
            <w:r>
              <w:rPr>
                <w:sz w:val="18"/>
                <w:szCs w:val="18"/>
              </w:rPr>
              <w:t>Omite la depreciación acumulada.</w:t>
            </w:r>
          </w:p>
        </w:tc>
        <w:tc>
          <w:tcPr>
            <w:tcW w:w="1910" w:type="dxa"/>
            <w:shd w:val="clear" w:color="auto" w:fill="D9E2F3"/>
            <w:vAlign w:val="center"/>
          </w:tcPr>
          <w:p w14:paraId="03306EE9" w14:textId="77777777" w:rsidR="00990B14" w:rsidRDefault="00000000">
            <w:pPr>
              <w:spacing w:before="20" w:after="20"/>
              <w:jc w:val="both"/>
            </w:pPr>
            <w:r>
              <w:rPr>
                <w:sz w:val="18"/>
                <w:szCs w:val="18"/>
              </w:rPr>
              <w:t>Presenta el valor en libros de cada bien.</w:t>
            </w:r>
          </w:p>
        </w:tc>
        <w:tc>
          <w:tcPr>
            <w:tcW w:w="1910" w:type="dxa"/>
            <w:shd w:val="clear" w:color="auto" w:fill="D9E2F3"/>
            <w:vAlign w:val="center"/>
          </w:tcPr>
          <w:p w14:paraId="741B8B47" w14:textId="77777777" w:rsidR="00990B14" w:rsidRDefault="00000000">
            <w:pPr>
              <w:spacing w:before="20" w:after="20"/>
              <w:jc w:val="both"/>
            </w:pPr>
            <w:r>
              <w:rPr>
                <w:sz w:val="18"/>
                <w:szCs w:val="18"/>
              </w:rPr>
              <w:t>Relaciona el valor con la NIC 16.</w:t>
            </w:r>
          </w:p>
        </w:tc>
      </w:tr>
      <w:tr w:rsidR="00990B14" w14:paraId="6B37AF34" w14:textId="77777777">
        <w:trPr>
          <w:cantSplit/>
          <w:jc w:val="center"/>
        </w:trPr>
        <w:tc>
          <w:tcPr>
            <w:tcW w:w="1829" w:type="dxa"/>
            <w:vMerge/>
            <w:shd w:val="clear" w:color="auto" w:fill="4472C4"/>
            <w:vAlign w:val="center"/>
          </w:tcPr>
          <w:p w14:paraId="25830432" w14:textId="77777777" w:rsidR="00990B14" w:rsidRDefault="00990B14">
            <w:pPr>
              <w:spacing w:before="20" w:after="20"/>
            </w:pPr>
          </w:p>
        </w:tc>
        <w:tc>
          <w:tcPr>
            <w:tcW w:w="1910" w:type="dxa"/>
            <w:shd w:val="clear" w:color="auto" w:fill="D9E2F3"/>
            <w:vAlign w:val="center"/>
          </w:tcPr>
          <w:p w14:paraId="2E44B873" w14:textId="77777777" w:rsidR="00990B14" w:rsidRDefault="00000000">
            <w:pPr>
              <w:spacing w:before="20" w:after="20"/>
              <w:jc w:val="both"/>
            </w:pPr>
            <w:r>
              <w:rPr>
                <w:sz w:val="18"/>
                <w:szCs w:val="18"/>
              </w:rPr>
              <w:t>Diferencias</w:t>
            </w:r>
          </w:p>
        </w:tc>
        <w:tc>
          <w:tcPr>
            <w:tcW w:w="1846" w:type="dxa"/>
            <w:shd w:val="clear" w:color="auto" w:fill="D9E2F3"/>
            <w:vAlign w:val="center"/>
          </w:tcPr>
          <w:p w14:paraId="1D64D5CB" w14:textId="77777777" w:rsidR="00990B14" w:rsidRDefault="00000000">
            <w:pPr>
              <w:spacing w:before="20" w:after="20"/>
              <w:jc w:val="both"/>
            </w:pPr>
            <w:r>
              <w:rPr>
                <w:sz w:val="18"/>
                <w:szCs w:val="18"/>
              </w:rPr>
              <w:t>No explica las diferencias.</w:t>
            </w:r>
          </w:p>
        </w:tc>
        <w:tc>
          <w:tcPr>
            <w:tcW w:w="1910" w:type="dxa"/>
            <w:shd w:val="clear" w:color="auto" w:fill="D9E2F3"/>
            <w:vAlign w:val="center"/>
          </w:tcPr>
          <w:p w14:paraId="406A8132" w14:textId="77777777" w:rsidR="00990B14" w:rsidRDefault="00000000">
            <w:pPr>
              <w:spacing w:before="20" w:after="20"/>
              <w:jc w:val="both"/>
            </w:pPr>
            <w:r>
              <w:rPr>
                <w:sz w:val="18"/>
                <w:szCs w:val="18"/>
              </w:rPr>
              <w:t>Identifica las diferencias con la base imponible.</w:t>
            </w:r>
          </w:p>
        </w:tc>
        <w:tc>
          <w:tcPr>
            <w:tcW w:w="1910" w:type="dxa"/>
            <w:shd w:val="clear" w:color="auto" w:fill="D9E2F3"/>
            <w:vAlign w:val="center"/>
          </w:tcPr>
          <w:p w14:paraId="50EB3AB2" w14:textId="77777777" w:rsidR="00990B14" w:rsidRDefault="00000000">
            <w:pPr>
              <w:spacing w:before="20" w:after="20"/>
              <w:jc w:val="both"/>
            </w:pPr>
            <w:r>
              <w:rPr>
                <w:sz w:val="18"/>
                <w:szCs w:val="18"/>
              </w:rPr>
              <w:t>Explica su origen técnico y normativo.</w:t>
            </w:r>
          </w:p>
        </w:tc>
      </w:tr>
      <w:tr w:rsidR="00990B14" w14:paraId="0B5F1A05" w14:textId="77777777">
        <w:trPr>
          <w:cantSplit/>
          <w:jc w:val="center"/>
        </w:trPr>
        <w:tc>
          <w:tcPr>
            <w:tcW w:w="1829" w:type="dxa"/>
            <w:vMerge/>
            <w:shd w:val="clear" w:color="auto" w:fill="4472C4"/>
            <w:vAlign w:val="center"/>
          </w:tcPr>
          <w:p w14:paraId="52495759" w14:textId="77777777" w:rsidR="00990B14" w:rsidRDefault="00990B14">
            <w:pPr>
              <w:spacing w:before="20" w:after="20"/>
            </w:pPr>
          </w:p>
        </w:tc>
        <w:tc>
          <w:tcPr>
            <w:tcW w:w="1910" w:type="dxa"/>
            <w:shd w:val="clear" w:color="auto" w:fill="D9E2F3"/>
            <w:vAlign w:val="center"/>
          </w:tcPr>
          <w:p w14:paraId="62A8DC1A" w14:textId="77777777" w:rsidR="00990B14" w:rsidRDefault="00000000">
            <w:pPr>
              <w:spacing w:before="20" w:after="20"/>
              <w:jc w:val="both"/>
            </w:pPr>
            <w:r>
              <w:rPr>
                <w:sz w:val="18"/>
                <w:szCs w:val="18"/>
              </w:rPr>
              <w:t>Trabajo en equipo</w:t>
            </w:r>
          </w:p>
        </w:tc>
        <w:tc>
          <w:tcPr>
            <w:tcW w:w="1846" w:type="dxa"/>
            <w:shd w:val="clear" w:color="auto" w:fill="D9E2F3"/>
            <w:vAlign w:val="center"/>
          </w:tcPr>
          <w:p w14:paraId="0310CB6F" w14:textId="77777777" w:rsidR="00990B14" w:rsidRDefault="00000000">
            <w:pPr>
              <w:spacing w:before="20" w:after="20"/>
              <w:jc w:val="both"/>
            </w:pPr>
            <w:r>
              <w:rPr>
                <w:sz w:val="18"/>
                <w:szCs w:val="18"/>
              </w:rPr>
              <w:t>La participación es desigual.</w:t>
            </w:r>
          </w:p>
        </w:tc>
        <w:tc>
          <w:tcPr>
            <w:tcW w:w="1910" w:type="dxa"/>
            <w:shd w:val="clear" w:color="auto" w:fill="D9E2F3"/>
            <w:vAlign w:val="center"/>
          </w:tcPr>
          <w:p w14:paraId="365909B6" w14:textId="77777777" w:rsidR="00990B14" w:rsidRDefault="00000000">
            <w:pPr>
              <w:spacing w:before="20" w:after="20"/>
              <w:jc w:val="both"/>
            </w:pPr>
            <w:r>
              <w:rPr>
                <w:sz w:val="18"/>
                <w:szCs w:val="18"/>
              </w:rPr>
              <w:t>Todos los integrantes participan.</w:t>
            </w:r>
          </w:p>
        </w:tc>
        <w:tc>
          <w:tcPr>
            <w:tcW w:w="1910" w:type="dxa"/>
            <w:shd w:val="clear" w:color="auto" w:fill="D9E2F3"/>
            <w:vAlign w:val="center"/>
          </w:tcPr>
          <w:p w14:paraId="10D6614A" w14:textId="77777777" w:rsidR="00990B14" w:rsidRDefault="00000000">
            <w:pPr>
              <w:spacing w:before="20" w:after="20"/>
              <w:jc w:val="both"/>
            </w:pPr>
            <w:r>
              <w:rPr>
                <w:sz w:val="18"/>
                <w:szCs w:val="18"/>
              </w:rPr>
              <w:t>El equipo sustenta su trabajo ante el curso.</w:t>
            </w:r>
          </w:p>
        </w:tc>
      </w:tr>
      <w:tr w:rsidR="00990B14" w14:paraId="50D0CFC3" w14:textId="77777777">
        <w:trPr>
          <w:cantSplit/>
          <w:jc w:val="center"/>
        </w:trPr>
        <w:tc>
          <w:tcPr>
            <w:tcW w:w="1829" w:type="dxa"/>
            <w:vMerge/>
            <w:shd w:val="clear" w:color="auto" w:fill="4472C4"/>
            <w:vAlign w:val="center"/>
          </w:tcPr>
          <w:p w14:paraId="5A75E5E4" w14:textId="77777777" w:rsidR="00990B14" w:rsidRDefault="00990B14">
            <w:pPr>
              <w:spacing w:before="20" w:after="20"/>
            </w:pPr>
          </w:p>
        </w:tc>
        <w:tc>
          <w:tcPr>
            <w:tcW w:w="5666" w:type="dxa"/>
            <w:gridSpan w:val="3"/>
            <w:shd w:val="clear" w:color="auto" w:fill="D9E2F3"/>
            <w:vAlign w:val="center"/>
          </w:tcPr>
          <w:p w14:paraId="78013EE1" w14:textId="77777777" w:rsidR="00990B14" w:rsidRDefault="00000000">
            <w:pPr>
              <w:keepNext/>
              <w:spacing w:before="20" w:after="20"/>
              <w:jc w:val="both"/>
            </w:pPr>
            <w:r>
              <w:rPr>
                <w:b/>
                <w:bCs/>
                <w:i/>
                <w:iCs/>
                <w:sz w:val="18"/>
                <w:szCs w:val="18"/>
              </w:rPr>
              <w:t xml:space="preserve">Producto 15: </w:t>
            </w:r>
            <w:r>
              <w:rPr>
                <w:sz w:val="18"/>
                <w:szCs w:val="18"/>
              </w:rPr>
              <w:t>Liquidación del IMTO</w:t>
            </w:r>
          </w:p>
        </w:tc>
        <w:tc>
          <w:tcPr>
            <w:tcW w:w="1910" w:type="dxa"/>
            <w:shd w:val="clear" w:color="auto" w:fill="D9E2F3"/>
            <w:vAlign w:val="center"/>
          </w:tcPr>
          <w:p w14:paraId="62D642E2" w14:textId="77777777" w:rsidR="00990B14" w:rsidRDefault="00000000">
            <w:pPr>
              <w:spacing w:before="20" w:after="20"/>
              <w:jc w:val="center"/>
            </w:pPr>
            <w:r>
              <w:rPr>
                <w:b/>
                <w:bCs/>
                <w:sz w:val="18"/>
                <w:szCs w:val="18"/>
              </w:rPr>
              <w:t>5%</w:t>
            </w:r>
          </w:p>
        </w:tc>
      </w:tr>
      <w:tr w:rsidR="00990B14" w14:paraId="7C8C4674" w14:textId="77777777">
        <w:trPr>
          <w:cantSplit/>
          <w:jc w:val="center"/>
        </w:trPr>
        <w:tc>
          <w:tcPr>
            <w:tcW w:w="1829" w:type="dxa"/>
            <w:vMerge/>
            <w:shd w:val="clear" w:color="auto" w:fill="4472C4"/>
            <w:vAlign w:val="center"/>
          </w:tcPr>
          <w:p w14:paraId="75BF48BF" w14:textId="77777777" w:rsidR="00990B14" w:rsidRDefault="00990B14">
            <w:pPr>
              <w:spacing w:before="20" w:after="20"/>
            </w:pPr>
          </w:p>
        </w:tc>
        <w:tc>
          <w:tcPr>
            <w:tcW w:w="1910" w:type="dxa"/>
            <w:shd w:val="clear" w:color="auto" w:fill="4472C4"/>
            <w:vAlign w:val="center"/>
          </w:tcPr>
          <w:p w14:paraId="4656D095" w14:textId="77777777" w:rsidR="00990B14" w:rsidRDefault="00000000">
            <w:pPr>
              <w:keepNext/>
              <w:spacing w:before="20" w:after="20"/>
              <w:jc w:val="center"/>
            </w:pPr>
            <w:r>
              <w:rPr>
                <w:b/>
                <w:bCs/>
                <w:i/>
                <w:iCs/>
                <w:color w:val="FFFFFF"/>
                <w:sz w:val="18"/>
                <w:szCs w:val="18"/>
              </w:rPr>
              <w:t>Criterio</w:t>
            </w:r>
          </w:p>
        </w:tc>
        <w:tc>
          <w:tcPr>
            <w:tcW w:w="1846" w:type="dxa"/>
            <w:shd w:val="clear" w:color="auto" w:fill="4472C4"/>
            <w:vAlign w:val="center"/>
          </w:tcPr>
          <w:p w14:paraId="0B8CAE16"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2EFF402F"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114E1BC6" w14:textId="77777777" w:rsidR="00990B14" w:rsidRDefault="00000000">
            <w:pPr>
              <w:keepNext/>
              <w:spacing w:before="20" w:after="20"/>
              <w:jc w:val="center"/>
            </w:pPr>
            <w:r>
              <w:rPr>
                <w:b/>
                <w:bCs/>
                <w:i/>
                <w:iCs/>
                <w:color w:val="FFFFFF"/>
                <w:sz w:val="18"/>
                <w:szCs w:val="18"/>
              </w:rPr>
              <w:t>Destacado (81–100)</w:t>
            </w:r>
          </w:p>
        </w:tc>
      </w:tr>
      <w:tr w:rsidR="00990B14" w14:paraId="12E5D95B" w14:textId="77777777">
        <w:trPr>
          <w:cantSplit/>
          <w:jc w:val="center"/>
        </w:trPr>
        <w:tc>
          <w:tcPr>
            <w:tcW w:w="1829" w:type="dxa"/>
            <w:vMerge/>
            <w:shd w:val="clear" w:color="auto" w:fill="4472C4"/>
            <w:vAlign w:val="center"/>
          </w:tcPr>
          <w:p w14:paraId="2C77D3F1" w14:textId="77777777" w:rsidR="00990B14" w:rsidRDefault="00990B14">
            <w:pPr>
              <w:spacing w:before="20" w:after="20"/>
            </w:pPr>
          </w:p>
        </w:tc>
        <w:tc>
          <w:tcPr>
            <w:tcW w:w="1910" w:type="dxa"/>
            <w:shd w:val="clear" w:color="auto" w:fill="D9E2F3"/>
            <w:vAlign w:val="center"/>
          </w:tcPr>
          <w:p w14:paraId="0C0A8B83" w14:textId="77777777" w:rsidR="00990B14" w:rsidRDefault="00000000">
            <w:pPr>
              <w:spacing w:before="20" w:after="20"/>
              <w:jc w:val="both"/>
            </w:pPr>
            <w:r>
              <w:rPr>
                <w:sz w:val="18"/>
                <w:szCs w:val="18"/>
              </w:rPr>
              <w:t>Hecho generador</w:t>
            </w:r>
          </w:p>
        </w:tc>
        <w:tc>
          <w:tcPr>
            <w:tcW w:w="1846" w:type="dxa"/>
            <w:shd w:val="clear" w:color="auto" w:fill="D9E2F3"/>
            <w:vAlign w:val="center"/>
          </w:tcPr>
          <w:p w14:paraId="0B96D498" w14:textId="77777777" w:rsidR="00990B14" w:rsidRDefault="00000000">
            <w:pPr>
              <w:spacing w:before="20" w:after="20"/>
              <w:jc w:val="both"/>
            </w:pPr>
            <w:r>
              <w:rPr>
                <w:sz w:val="18"/>
                <w:szCs w:val="18"/>
              </w:rPr>
              <w:t>Aplica el IMTO a un comerciante habitual.</w:t>
            </w:r>
          </w:p>
        </w:tc>
        <w:tc>
          <w:tcPr>
            <w:tcW w:w="1910" w:type="dxa"/>
            <w:shd w:val="clear" w:color="auto" w:fill="D9E2F3"/>
            <w:vAlign w:val="center"/>
          </w:tcPr>
          <w:p w14:paraId="346680F2" w14:textId="77777777" w:rsidR="00990B14" w:rsidRDefault="00000000">
            <w:pPr>
              <w:spacing w:before="20" w:after="20"/>
              <w:jc w:val="both"/>
            </w:pPr>
            <w:r>
              <w:rPr>
                <w:sz w:val="18"/>
                <w:szCs w:val="18"/>
              </w:rPr>
              <w:t>Identifica las transferencias gravadas por el IMTO.</w:t>
            </w:r>
          </w:p>
        </w:tc>
        <w:tc>
          <w:tcPr>
            <w:tcW w:w="1910" w:type="dxa"/>
            <w:shd w:val="clear" w:color="auto" w:fill="D9E2F3"/>
            <w:vAlign w:val="center"/>
          </w:tcPr>
          <w:p w14:paraId="5B6D8074" w14:textId="77777777" w:rsidR="00990B14" w:rsidRDefault="00000000">
            <w:pPr>
              <w:spacing w:before="20" w:after="20"/>
              <w:jc w:val="both"/>
            </w:pPr>
            <w:r>
              <w:rPr>
                <w:sz w:val="18"/>
                <w:szCs w:val="18"/>
              </w:rPr>
              <w:t>Distingue el IMTO del IT.</w:t>
            </w:r>
          </w:p>
        </w:tc>
      </w:tr>
      <w:tr w:rsidR="00990B14" w14:paraId="522E702D" w14:textId="77777777">
        <w:trPr>
          <w:cantSplit/>
          <w:jc w:val="center"/>
        </w:trPr>
        <w:tc>
          <w:tcPr>
            <w:tcW w:w="1829" w:type="dxa"/>
            <w:vMerge/>
            <w:shd w:val="clear" w:color="auto" w:fill="4472C4"/>
            <w:vAlign w:val="center"/>
          </w:tcPr>
          <w:p w14:paraId="16D02B2A" w14:textId="77777777" w:rsidR="00990B14" w:rsidRDefault="00990B14">
            <w:pPr>
              <w:spacing w:before="20" w:after="20"/>
            </w:pPr>
          </w:p>
        </w:tc>
        <w:tc>
          <w:tcPr>
            <w:tcW w:w="1910" w:type="dxa"/>
            <w:shd w:val="clear" w:color="auto" w:fill="D9E2F3"/>
            <w:vAlign w:val="center"/>
          </w:tcPr>
          <w:p w14:paraId="4B149916" w14:textId="77777777" w:rsidR="00990B14" w:rsidRDefault="00000000">
            <w:pPr>
              <w:spacing w:before="20" w:after="20"/>
              <w:jc w:val="both"/>
            </w:pPr>
            <w:r>
              <w:rPr>
                <w:sz w:val="18"/>
                <w:szCs w:val="18"/>
              </w:rPr>
              <w:t>Base imponible</w:t>
            </w:r>
          </w:p>
        </w:tc>
        <w:tc>
          <w:tcPr>
            <w:tcW w:w="1846" w:type="dxa"/>
            <w:shd w:val="clear" w:color="auto" w:fill="D9E2F3"/>
            <w:vAlign w:val="center"/>
          </w:tcPr>
          <w:p w14:paraId="7041CEFC" w14:textId="77777777" w:rsidR="00990B14" w:rsidRDefault="00000000">
            <w:pPr>
              <w:spacing w:before="20" w:after="20"/>
              <w:jc w:val="both"/>
            </w:pPr>
            <w:r>
              <w:rPr>
                <w:sz w:val="18"/>
                <w:szCs w:val="18"/>
              </w:rPr>
              <w:t>Determina mal la base.</w:t>
            </w:r>
          </w:p>
        </w:tc>
        <w:tc>
          <w:tcPr>
            <w:tcW w:w="1910" w:type="dxa"/>
            <w:shd w:val="clear" w:color="auto" w:fill="D9E2F3"/>
            <w:vAlign w:val="center"/>
          </w:tcPr>
          <w:p w14:paraId="27AE8C44" w14:textId="77777777" w:rsidR="00990B14" w:rsidRDefault="00000000">
            <w:pPr>
              <w:spacing w:before="20" w:after="20"/>
              <w:jc w:val="both"/>
            </w:pPr>
            <w:r>
              <w:rPr>
                <w:sz w:val="18"/>
                <w:szCs w:val="18"/>
              </w:rPr>
              <w:t>Determina la base imponible de la transferencia.</w:t>
            </w:r>
          </w:p>
        </w:tc>
        <w:tc>
          <w:tcPr>
            <w:tcW w:w="1910" w:type="dxa"/>
            <w:shd w:val="clear" w:color="auto" w:fill="D9E2F3"/>
            <w:vAlign w:val="center"/>
          </w:tcPr>
          <w:p w14:paraId="6E47C3C6" w14:textId="77777777" w:rsidR="00990B14" w:rsidRDefault="00000000">
            <w:pPr>
              <w:spacing w:before="20" w:after="20"/>
              <w:jc w:val="both"/>
            </w:pPr>
            <w:r>
              <w:rPr>
                <w:sz w:val="18"/>
                <w:szCs w:val="18"/>
              </w:rPr>
              <w:t>Verifica la base con el valor de la minuta.</w:t>
            </w:r>
          </w:p>
        </w:tc>
      </w:tr>
      <w:tr w:rsidR="00990B14" w14:paraId="22DE154E" w14:textId="77777777">
        <w:trPr>
          <w:cantSplit/>
          <w:jc w:val="center"/>
        </w:trPr>
        <w:tc>
          <w:tcPr>
            <w:tcW w:w="1829" w:type="dxa"/>
            <w:vMerge/>
            <w:shd w:val="clear" w:color="auto" w:fill="4472C4"/>
            <w:vAlign w:val="center"/>
          </w:tcPr>
          <w:p w14:paraId="5A9241E4" w14:textId="77777777" w:rsidR="00990B14" w:rsidRDefault="00990B14">
            <w:pPr>
              <w:spacing w:before="20" w:after="20"/>
            </w:pPr>
          </w:p>
        </w:tc>
        <w:tc>
          <w:tcPr>
            <w:tcW w:w="1910" w:type="dxa"/>
            <w:shd w:val="clear" w:color="auto" w:fill="D9E2F3"/>
            <w:vAlign w:val="center"/>
          </w:tcPr>
          <w:p w14:paraId="37F6B5F9" w14:textId="77777777" w:rsidR="00990B14" w:rsidRDefault="00000000">
            <w:pPr>
              <w:spacing w:before="20" w:after="20"/>
              <w:jc w:val="both"/>
            </w:pPr>
            <w:r>
              <w:rPr>
                <w:sz w:val="18"/>
                <w:szCs w:val="18"/>
              </w:rPr>
              <w:t>Liquidación</w:t>
            </w:r>
          </w:p>
        </w:tc>
        <w:tc>
          <w:tcPr>
            <w:tcW w:w="1846" w:type="dxa"/>
            <w:shd w:val="clear" w:color="auto" w:fill="D9E2F3"/>
            <w:vAlign w:val="center"/>
          </w:tcPr>
          <w:p w14:paraId="0EAFEBC0" w14:textId="77777777" w:rsidR="00990B14" w:rsidRDefault="00000000">
            <w:pPr>
              <w:spacing w:before="20" w:after="20"/>
              <w:jc w:val="both"/>
            </w:pPr>
            <w:r>
              <w:rPr>
                <w:sz w:val="18"/>
                <w:szCs w:val="18"/>
              </w:rPr>
              <w:t>Calcula mal el impuesto.</w:t>
            </w:r>
          </w:p>
        </w:tc>
        <w:tc>
          <w:tcPr>
            <w:tcW w:w="1910" w:type="dxa"/>
            <w:shd w:val="clear" w:color="auto" w:fill="D9E2F3"/>
            <w:vAlign w:val="center"/>
          </w:tcPr>
          <w:p w14:paraId="0DF3D382" w14:textId="77777777" w:rsidR="00990B14" w:rsidRDefault="00000000">
            <w:pPr>
              <w:spacing w:before="20" w:after="20"/>
              <w:jc w:val="both"/>
            </w:pPr>
            <w:r>
              <w:rPr>
                <w:sz w:val="18"/>
                <w:szCs w:val="18"/>
              </w:rPr>
              <w:t>Liquida el impuesto con la alícuota vigente.</w:t>
            </w:r>
          </w:p>
        </w:tc>
        <w:tc>
          <w:tcPr>
            <w:tcW w:w="1910" w:type="dxa"/>
            <w:shd w:val="clear" w:color="auto" w:fill="D9E2F3"/>
            <w:vAlign w:val="center"/>
          </w:tcPr>
          <w:p w14:paraId="5E05E2E3" w14:textId="77777777" w:rsidR="00990B14" w:rsidRDefault="00000000">
            <w:pPr>
              <w:spacing w:before="20" w:after="20"/>
              <w:jc w:val="both"/>
            </w:pPr>
            <w:r>
              <w:rPr>
                <w:sz w:val="18"/>
                <w:szCs w:val="18"/>
              </w:rPr>
              <w:t>Explica el plazo y la forma de pago.</w:t>
            </w:r>
          </w:p>
        </w:tc>
      </w:tr>
      <w:tr w:rsidR="00990B14" w14:paraId="6C58FC2D" w14:textId="77777777">
        <w:trPr>
          <w:cantSplit/>
          <w:jc w:val="center"/>
        </w:trPr>
        <w:tc>
          <w:tcPr>
            <w:tcW w:w="1829" w:type="dxa"/>
            <w:vMerge/>
            <w:shd w:val="clear" w:color="auto" w:fill="4472C4"/>
            <w:vAlign w:val="center"/>
          </w:tcPr>
          <w:p w14:paraId="3CE407F6" w14:textId="77777777" w:rsidR="00990B14" w:rsidRDefault="00990B14">
            <w:pPr>
              <w:spacing w:before="20" w:after="20"/>
            </w:pPr>
          </w:p>
        </w:tc>
        <w:tc>
          <w:tcPr>
            <w:tcW w:w="5666" w:type="dxa"/>
            <w:gridSpan w:val="3"/>
            <w:shd w:val="clear" w:color="auto" w:fill="D9E2F3"/>
            <w:vAlign w:val="center"/>
          </w:tcPr>
          <w:p w14:paraId="13122BCE" w14:textId="77777777" w:rsidR="00990B14" w:rsidRDefault="00000000">
            <w:pPr>
              <w:keepNext/>
              <w:spacing w:before="20" w:after="20"/>
              <w:jc w:val="both"/>
            </w:pPr>
            <w:r>
              <w:rPr>
                <w:b/>
                <w:bCs/>
                <w:i/>
                <w:iCs/>
                <w:sz w:val="18"/>
                <w:szCs w:val="18"/>
              </w:rPr>
              <w:t xml:space="preserve">Producto 16: </w:t>
            </w:r>
            <w:r>
              <w:rPr>
                <w:sz w:val="18"/>
                <w:szCs w:val="18"/>
              </w:rPr>
              <w:t>Informe de tasas y patentes</w:t>
            </w:r>
          </w:p>
        </w:tc>
        <w:tc>
          <w:tcPr>
            <w:tcW w:w="1910" w:type="dxa"/>
            <w:shd w:val="clear" w:color="auto" w:fill="D9E2F3"/>
            <w:vAlign w:val="center"/>
          </w:tcPr>
          <w:p w14:paraId="3B274398" w14:textId="77777777" w:rsidR="00990B14" w:rsidRDefault="00000000">
            <w:pPr>
              <w:spacing w:before="20" w:after="20"/>
              <w:jc w:val="center"/>
            </w:pPr>
            <w:r>
              <w:rPr>
                <w:b/>
                <w:bCs/>
                <w:sz w:val="18"/>
                <w:szCs w:val="18"/>
              </w:rPr>
              <w:t>5%</w:t>
            </w:r>
          </w:p>
        </w:tc>
      </w:tr>
      <w:tr w:rsidR="00990B14" w14:paraId="55F09193" w14:textId="77777777">
        <w:trPr>
          <w:cantSplit/>
          <w:jc w:val="center"/>
        </w:trPr>
        <w:tc>
          <w:tcPr>
            <w:tcW w:w="1829" w:type="dxa"/>
            <w:vMerge/>
            <w:shd w:val="clear" w:color="auto" w:fill="4472C4"/>
            <w:vAlign w:val="center"/>
          </w:tcPr>
          <w:p w14:paraId="2CCF4202" w14:textId="77777777" w:rsidR="00990B14" w:rsidRDefault="00990B14">
            <w:pPr>
              <w:spacing w:before="20" w:after="20"/>
            </w:pPr>
          </w:p>
        </w:tc>
        <w:tc>
          <w:tcPr>
            <w:tcW w:w="1910" w:type="dxa"/>
            <w:shd w:val="clear" w:color="auto" w:fill="4472C4"/>
            <w:vAlign w:val="center"/>
          </w:tcPr>
          <w:p w14:paraId="262423B7" w14:textId="77777777" w:rsidR="00990B14" w:rsidRDefault="00000000">
            <w:pPr>
              <w:keepNext/>
              <w:spacing w:before="20" w:after="20"/>
              <w:jc w:val="center"/>
            </w:pPr>
            <w:r>
              <w:rPr>
                <w:b/>
                <w:bCs/>
                <w:i/>
                <w:iCs/>
                <w:color w:val="FFFFFF"/>
                <w:sz w:val="18"/>
                <w:szCs w:val="18"/>
              </w:rPr>
              <w:t>Criterio</w:t>
            </w:r>
          </w:p>
        </w:tc>
        <w:tc>
          <w:tcPr>
            <w:tcW w:w="1846" w:type="dxa"/>
            <w:shd w:val="clear" w:color="auto" w:fill="4472C4"/>
            <w:vAlign w:val="center"/>
          </w:tcPr>
          <w:p w14:paraId="537AE6EA"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2CF98B21"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7C5B4EF2" w14:textId="77777777" w:rsidR="00990B14" w:rsidRDefault="00000000">
            <w:pPr>
              <w:keepNext/>
              <w:spacing w:before="20" w:after="20"/>
              <w:jc w:val="center"/>
            </w:pPr>
            <w:r>
              <w:rPr>
                <w:b/>
                <w:bCs/>
                <w:i/>
                <w:iCs/>
                <w:color w:val="FFFFFF"/>
                <w:sz w:val="18"/>
                <w:szCs w:val="18"/>
              </w:rPr>
              <w:t>Destacado (81–100)</w:t>
            </w:r>
          </w:p>
        </w:tc>
      </w:tr>
      <w:tr w:rsidR="00990B14" w14:paraId="0049267A" w14:textId="77777777">
        <w:trPr>
          <w:cantSplit/>
          <w:jc w:val="center"/>
        </w:trPr>
        <w:tc>
          <w:tcPr>
            <w:tcW w:w="1829" w:type="dxa"/>
            <w:vMerge/>
            <w:shd w:val="clear" w:color="auto" w:fill="4472C4"/>
            <w:vAlign w:val="center"/>
          </w:tcPr>
          <w:p w14:paraId="090D9164" w14:textId="77777777" w:rsidR="00990B14" w:rsidRDefault="00990B14">
            <w:pPr>
              <w:spacing w:before="20" w:after="20"/>
            </w:pPr>
          </w:p>
        </w:tc>
        <w:tc>
          <w:tcPr>
            <w:tcW w:w="1910" w:type="dxa"/>
            <w:shd w:val="clear" w:color="auto" w:fill="D9E2F3"/>
            <w:vAlign w:val="center"/>
          </w:tcPr>
          <w:p w14:paraId="688F6CC3" w14:textId="77777777" w:rsidR="00990B14" w:rsidRDefault="00000000">
            <w:pPr>
              <w:spacing w:before="20" w:after="20"/>
              <w:jc w:val="both"/>
            </w:pPr>
            <w:r>
              <w:rPr>
                <w:sz w:val="18"/>
                <w:szCs w:val="18"/>
              </w:rPr>
              <w:t>Tasas y patentes</w:t>
            </w:r>
          </w:p>
        </w:tc>
        <w:tc>
          <w:tcPr>
            <w:tcW w:w="1846" w:type="dxa"/>
            <w:shd w:val="clear" w:color="auto" w:fill="D9E2F3"/>
            <w:vAlign w:val="center"/>
          </w:tcPr>
          <w:p w14:paraId="614C60F6" w14:textId="77777777" w:rsidR="00990B14" w:rsidRDefault="00000000">
            <w:pPr>
              <w:spacing w:before="20" w:after="20"/>
              <w:jc w:val="both"/>
            </w:pPr>
            <w:r>
              <w:rPr>
                <w:sz w:val="18"/>
                <w:szCs w:val="18"/>
              </w:rPr>
              <w:t>Confunde tasa con patente.</w:t>
            </w:r>
          </w:p>
        </w:tc>
        <w:tc>
          <w:tcPr>
            <w:tcW w:w="1910" w:type="dxa"/>
            <w:shd w:val="clear" w:color="auto" w:fill="D9E2F3"/>
            <w:vAlign w:val="center"/>
          </w:tcPr>
          <w:p w14:paraId="4A309B54" w14:textId="77777777" w:rsidR="00990B14" w:rsidRDefault="00000000">
            <w:pPr>
              <w:spacing w:before="20" w:after="20"/>
              <w:jc w:val="both"/>
            </w:pPr>
            <w:r>
              <w:rPr>
                <w:sz w:val="18"/>
                <w:szCs w:val="18"/>
              </w:rPr>
              <w:t>Distingue las tasas de las patentes.</w:t>
            </w:r>
          </w:p>
        </w:tc>
        <w:tc>
          <w:tcPr>
            <w:tcW w:w="1910" w:type="dxa"/>
            <w:shd w:val="clear" w:color="auto" w:fill="D9E2F3"/>
            <w:vAlign w:val="center"/>
          </w:tcPr>
          <w:p w14:paraId="45C3B6D0" w14:textId="77777777" w:rsidR="00990B14" w:rsidRDefault="00000000">
            <w:pPr>
              <w:spacing w:before="20" w:after="20"/>
              <w:jc w:val="both"/>
            </w:pPr>
            <w:r>
              <w:rPr>
                <w:sz w:val="18"/>
                <w:szCs w:val="18"/>
              </w:rPr>
              <w:t>Explica la contraprestación de cada tasa.</w:t>
            </w:r>
          </w:p>
        </w:tc>
      </w:tr>
      <w:tr w:rsidR="00990B14" w14:paraId="428BA0FD" w14:textId="77777777">
        <w:trPr>
          <w:cantSplit/>
          <w:jc w:val="center"/>
        </w:trPr>
        <w:tc>
          <w:tcPr>
            <w:tcW w:w="1829" w:type="dxa"/>
            <w:vMerge/>
            <w:shd w:val="clear" w:color="auto" w:fill="4472C4"/>
            <w:vAlign w:val="center"/>
          </w:tcPr>
          <w:p w14:paraId="1155D2CA" w14:textId="77777777" w:rsidR="00990B14" w:rsidRDefault="00990B14">
            <w:pPr>
              <w:spacing w:before="20" w:after="20"/>
            </w:pPr>
          </w:p>
        </w:tc>
        <w:tc>
          <w:tcPr>
            <w:tcW w:w="1910" w:type="dxa"/>
            <w:shd w:val="clear" w:color="auto" w:fill="D9E2F3"/>
            <w:vAlign w:val="center"/>
          </w:tcPr>
          <w:p w14:paraId="24845944" w14:textId="77777777" w:rsidR="00990B14" w:rsidRDefault="00000000">
            <w:pPr>
              <w:spacing w:before="20" w:after="20"/>
              <w:jc w:val="both"/>
            </w:pPr>
            <w:r>
              <w:rPr>
                <w:sz w:val="18"/>
                <w:szCs w:val="18"/>
              </w:rPr>
              <w:t>Liquidación</w:t>
            </w:r>
          </w:p>
        </w:tc>
        <w:tc>
          <w:tcPr>
            <w:tcW w:w="1846" w:type="dxa"/>
            <w:shd w:val="clear" w:color="auto" w:fill="D9E2F3"/>
            <w:vAlign w:val="center"/>
          </w:tcPr>
          <w:p w14:paraId="04614B4C" w14:textId="77777777" w:rsidR="00990B14" w:rsidRDefault="00000000">
            <w:pPr>
              <w:spacing w:before="20" w:after="20"/>
              <w:jc w:val="both"/>
            </w:pPr>
            <w:r>
              <w:rPr>
                <w:sz w:val="18"/>
                <w:szCs w:val="18"/>
              </w:rPr>
              <w:t>Omite cargos aplicables.</w:t>
            </w:r>
          </w:p>
        </w:tc>
        <w:tc>
          <w:tcPr>
            <w:tcW w:w="1910" w:type="dxa"/>
            <w:shd w:val="clear" w:color="auto" w:fill="D9E2F3"/>
            <w:vAlign w:val="center"/>
          </w:tcPr>
          <w:p w14:paraId="23925424" w14:textId="77777777" w:rsidR="00990B14" w:rsidRDefault="00000000">
            <w:pPr>
              <w:spacing w:before="20" w:after="20"/>
              <w:jc w:val="both"/>
            </w:pPr>
            <w:r>
              <w:rPr>
                <w:sz w:val="18"/>
                <w:szCs w:val="18"/>
              </w:rPr>
              <w:t>Liquida las tasas y patentes de la actividad.</w:t>
            </w:r>
          </w:p>
        </w:tc>
        <w:tc>
          <w:tcPr>
            <w:tcW w:w="1910" w:type="dxa"/>
            <w:shd w:val="clear" w:color="auto" w:fill="D9E2F3"/>
            <w:vAlign w:val="center"/>
          </w:tcPr>
          <w:p w14:paraId="3FB29F07" w14:textId="77777777" w:rsidR="00990B14" w:rsidRDefault="00000000">
            <w:pPr>
              <w:spacing w:before="20" w:after="20"/>
              <w:jc w:val="both"/>
            </w:pPr>
            <w:r>
              <w:rPr>
                <w:sz w:val="18"/>
                <w:szCs w:val="18"/>
              </w:rPr>
              <w:t>Compara cargos entre municipios.</w:t>
            </w:r>
          </w:p>
        </w:tc>
      </w:tr>
      <w:tr w:rsidR="00990B14" w14:paraId="225D296B" w14:textId="77777777">
        <w:trPr>
          <w:cantSplit/>
          <w:jc w:val="center"/>
        </w:trPr>
        <w:tc>
          <w:tcPr>
            <w:tcW w:w="1829" w:type="dxa"/>
            <w:vMerge/>
            <w:shd w:val="clear" w:color="auto" w:fill="4472C4"/>
            <w:vAlign w:val="center"/>
          </w:tcPr>
          <w:p w14:paraId="01ABF4C3" w14:textId="77777777" w:rsidR="00990B14" w:rsidRDefault="00990B14">
            <w:pPr>
              <w:spacing w:before="20" w:after="20"/>
            </w:pPr>
          </w:p>
        </w:tc>
        <w:tc>
          <w:tcPr>
            <w:tcW w:w="1910" w:type="dxa"/>
            <w:shd w:val="clear" w:color="auto" w:fill="D9E2F3"/>
            <w:vAlign w:val="center"/>
          </w:tcPr>
          <w:p w14:paraId="3CD99111" w14:textId="77777777" w:rsidR="00990B14" w:rsidRDefault="00000000">
            <w:pPr>
              <w:spacing w:before="20" w:after="20"/>
              <w:jc w:val="both"/>
            </w:pPr>
            <w:r>
              <w:rPr>
                <w:sz w:val="18"/>
                <w:szCs w:val="18"/>
              </w:rPr>
              <w:t>Claridad de la exposición</w:t>
            </w:r>
          </w:p>
        </w:tc>
        <w:tc>
          <w:tcPr>
            <w:tcW w:w="1846" w:type="dxa"/>
            <w:shd w:val="clear" w:color="auto" w:fill="D9E2F3"/>
            <w:vAlign w:val="center"/>
          </w:tcPr>
          <w:p w14:paraId="019F03D0" w14:textId="77777777" w:rsidR="00990B14" w:rsidRDefault="00000000">
            <w:pPr>
              <w:spacing w:before="20" w:after="20"/>
              <w:jc w:val="both"/>
            </w:pPr>
            <w:r>
              <w:rPr>
                <w:sz w:val="18"/>
                <w:szCs w:val="18"/>
              </w:rPr>
              <w:t>La exposición es confusa.</w:t>
            </w:r>
          </w:p>
        </w:tc>
        <w:tc>
          <w:tcPr>
            <w:tcW w:w="1910" w:type="dxa"/>
            <w:shd w:val="clear" w:color="auto" w:fill="D9E2F3"/>
            <w:vAlign w:val="center"/>
          </w:tcPr>
          <w:p w14:paraId="4C61E361" w14:textId="77777777" w:rsidR="00990B14" w:rsidRDefault="00000000">
            <w:pPr>
              <w:spacing w:before="20" w:after="20"/>
              <w:jc w:val="both"/>
            </w:pPr>
            <w:r>
              <w:rPr>
                <w:sz w:val="18"/>
                <w:szCs w:val="18"/>
              </w:rPr>
              <w:t>Expone con orden y claridad.</w:t>
            </w:r>
          </w:p>
        </w:tc>
        <w:tc>
          <w:tcPr>
            <w:tcW w:w="1910" w:type="dxa"/>
            <w:shd w:val="clear" w:color="auto" w:fill="D9E2F3"/>
            <w:vAlign w:val="center"/>
          </w:tcPr>
          <w:p w14:paraId="625CEF82" w14:textId="77777777" w:rsidR="00990B14" w:rsidRDefault="00000000">
            <w:pPr>
              <w:spacing w:before="20" w:after="20"/>
              <w:jc w:val="both"/>
            </w:pPr>
            <w:r>
              <w:rPr>
                <w:sz w:val="18"/>
                <w:szCs w:val="18"/>
              </w:rPr>
              <w:t>Responde con solvencia las preguntas del curso.</w:t>
            </w:r>
          </w:p>
        </w:tc>
      </w:tr>
      <w:tr w:rsidR="00990B14" w14:paraId="56ACEFA8" w14:textId="77777777">
        <w:trPr>
          <w:cantSplit/>
          <w:jc w:val="center"/>
        </w:trPr>
        <w:tc>
          <w:tcPr>
            <w:tcW w:w="7495" w:type="dxa"/>
            <w:gridSpan w:val="4"/>
            <w:shd w:val="clear" w:color="auto" w:fill="4472C4"/>
            <w:vAlign w:val="center"/>
          </w:tcPr>
          <w:p w14:paraId="6B0AA384" w14:textId="77777777" w:rsidR="00990B14" w:rsidRDefault="00000000">
            <w:pPr>
              <w:keepNext/>
              <w:spacing w:before="20" w:after="20"/>
              <w:jc w:val="center"/>
            </w:pPr>
            <w:r>
              <w:rPr>
                <w:b/>
                <w:bCs/>
                <w:i/>
                <w:iCs/>
                <w:color w:val="FFFFFF"/>
                <w:sz w:val="18"/>
                <w:szCs w:val="18"/>
              </w:rPr>
              <w:t>TOTAL</w:t>
            </w:r>
          </w:p>
        </w:tc>
        <w:tc>
          <w:tcPr>
            <w:tcW w:w="1910" w:type="dxa"/>
            <w:shd w:val="clear" w:color="auto" w:fill="4472C4"/>
            <w:vAlign w:val="center"/>
          </w:tcPr>
          <w:p w14:paraId="12300142" w14:textId="77777777" w:rsidR="00990B14" w:rsidRDefault="00000000">
            <w:pPr>
              <w:keepNext/>
              <w:spacing w:before="20" w:after="20"/>
              <w:jc w:val="center"/>
            </w:pPr>
            <w:r>
              <w:rPr>
                <w:b/>
                <w:bCs/>
                <w:i/>
                <w:iCs/>
                <w:color w:val="FFFFFF"/>
                <w:sz w:val="18"/>
                <w:szCs w:val="18"/>
              </w:rPr>
              <w:t>100%</w:t>
            </w:r>
          </w:p>
        </w:tc>
      </w:tr>
    </w:tbl>
    <w:p w14:paraId="4372E017"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9405"/>
      </w:tblGrid>
      <w:tr w:rsidR="00990B14" w14:paraId="7B7E6839" w14:textId="77777777">
        <w:trPr>
          <w:jc w:val="center"/>
        </w:trPr>
        <w:tc>
          <w:tcPr>
            <w:tcW w:w="9405" w:type="dxa"/>
            <w:shd w:val="clear" w:color="auto" w:fill="D9E2F3"/>
          </w:tcPr>
          <w:p w14:paraId="290BA6F4" w14:textId="77777777" w:rsidR="00990B14" w:rsidRDefault="00000000">
            <w:pPr>
              <w:spacing w:before="40" w:after="40"/>
              <w:jc w:val="both"/>
            </w:pPr>
            <w:r>
              <w:rPr>
                <w:b/>
                <w:bCs/>
                <w:i/>
                <w:iCs/>
                <w:sz w:val="18"/>
                <w:szCs w:val="18"/>
              </w:rPr>
              <w:t>Bibliografía básica:</w:t>
            </w:r>
          </w:p>
          <w:p w14:paraId="3F1094E4" w14:textId="77777777" w:rsidR="00990B14" w:rsidRDefault="00000000">
            <w:pPr>
              <w:numPr>
                <w:ilvl w:val="0"/>
                <w:numId w:val="140"/>
              </w:numPr>
              <w:spacing w:after="20"/>
              <w:jc w:val="both"/>
            </w:pPr>
            <w:r>
              <w:rPr>
                <w:sz w:val="18"/>
                <w:szCs w:val="18"/>
              </w:rPr>
              <w:t xml:space="preserve">Ancalle Choque, D. (2026). </w:t>
            </w:r>
            <w:r>
              <w:rPr>
                <w:i/>
                <w:iCs/>
                <w:sz w:val="18"/>
                <w:szCs w:val="18"/>
              </w:rPr>
              <w:t>Contabilidad Tributaria</w:t>
            </w:r>
            <w:r>
              <w:rPr>
                <w:sz w:val="18"/>
                <w:szCs w:val="18"/>
              </w:rPr>
              <w:t>. 2.ª ed. Servicios Gráficos TIGRE.</w:t>
            </w:r>
          </w:p>
          <w:p w14:paraId="7A2CB5C8" w14:textId="77777777" w:rsidR="00990B14" w:rsidRDefault="00000000">
            <w:pPr>
              <w:numPr>
                <w:ilvl w:val="0"/>
                <w:numId w:val="140"/>
              </w:numPr>
              <w:spacing w:after="20"/>
              <w:jc w:val="both"/>
            </w:pPr>
            <w:r>
              <w:rPr>
                <w:sz w:val="18"/>
                <w:szCs w:val="18"/>
              </w:rPr>
              <w:t xml:space="preserve">Catalán Mollinedo, T. O. (2019). </w:t>
            </w:r>
            <w:r>
              <w:rPr>
                <w:i/>
                <w:iCs/>
                <w:sz w:val="18"/>
                <w:szCs w:val="18"/>
              </w:rPr>
              <w:t>Enfoque de Auditoría Tributaria</w:t>
            </w:r>
            <w:r>
              <w:rPr>
                <w:sz w:val="18"/>
                <w:szCs w:val="18"/>
              </w:rPr>
              <w:t>. 1.ª ed. Offspring Gráfica.</w:t>
            </w:r>
          </w:p>
          <w:p w14:paraId="2046BA63" w14:textId="77777777" w:rsidR="00990B14" w:rsidRDefault="00000000">
            <w:pPr>
              <w:numPr>
                <w:ilvl w:val="0"/>
                <w:numId w:val="140"/>
              </w:numPr>
              <w:spacing w:after="20"/>
              <w:jc w:val="both"/>
            </w:pPr>
            <w:r>
              <w:rPr>
                <w:sz w:val="18"/>
                <w:szCs w:val="18"/>
              </w:rPr>
              <w:t xml:space="preserve">Mamani Mamani, Á. R. (2023). </w:t>
            </w:r>
            <w:r>
              <w:rPr>
                <w:i/>
                <w:iCs/>
                <w:sz w:val="18"/>
                <w:szCs w:val="18"/>
              </w:rPr>
              <w:t>Contabilidad de Impuestos Nacionales</w:t>
            </w:r>
            <w:r>
              <w:rPr>
                <w:sz w:val="18"/>
                <w:szCs w:val="18"/>
              </w:rPr>
              <w:t>. 1.ª ed. Artes.</w:t>
            </w:r>
          </w:p>
          <w:p w14:paraId="54691DD6" w14:textId="77777777" w:rsidR="00990B14" w:rsidRDefault="00000000">
            <w:pPr>
              <w:numPr>
                <w:ilvl w:val="0"/>
                <w:numId w:val="140"/>
              </w:numPr>
              <w:spacing w:after="20"/>
              <w:jc w:val="both"/>
            </w:pPr>
            <w:r>
              <w:rPr>
                <w:sz w:val="18"/>
                <w:szCs w:val="18"/>
              </w:rPr>
              <w:t xml:space="preserve">Servicio de Impuestos Nacionales (2026). </w:t>
            </w:r>
            <w:r>
              <w:rPr>
                <w:i/>
                <w:iCs/>
                <w:sz w:val="18"/>
                <w:szCs w:val="18"/>
              </w:rPr>
              <w:t>Ley 843 y Decretos Reglamentarios. Texto ordenado, complementado y actualizado</w:t>
            </w:r>
            <w:r>
              <w:rPr>
                <w:sz w:val="18"/>
                <w:szCs w:val="18"/>
              </w:rPr>
              <w:t>. Departamento de Servicio al Contribuyente, Libros Digitales.</w:t>
            </w:r>
          </w:p>
          <w:p w14:paraId="5FAA8B95" w14:textId="77777777" w:rsidR="00990B14" w:rsidRDefault="00000000">
            <w:pPr>
              <w:numPr>
                <w:ilvl w:val="0"/>
                <w:numId w:val="140"/>
              </w:numPr>
              <w:spacing w:after="20"/>
              <w:jc w:val="both"/>
            </w:pPr>
            <w:r>
              <w:rPr>
                <w:sz w:val="18"/>
                <w:szCs w:val="18"/>
              </w:rPr>
              <w:t xml:space="preserve">Servicio de Impuestos Nacionales (2026). </w:t>
            </w:r>
            <w:r>
              <w:rPr>
                <w:i/>
                <w:iCs/>
                <w:sz w:val="18"/>
                <w:szCs w:val="18"/>
              </w:rPr>
              <w:t>Ley 2492 Código Tributario Boliviano y Decretos Reglamentarios. Texto ordenado, complementado y actualizado</w:t>
            </w:r>
            <w:r>
              <w:rPr>
                <w:sz w:val="18"/>
                <w:szCs w:val="18"/>
              </w:rPr>
              <w:t>. Departamento de Servicio al Contribuyente, Libros Digitales.</w:t>
            </w:r>
          </w:p>
          <w:p w14:paraId="2CB9C219" w14:textId="77777777" w:rsidR="00990B14" w:rsidRDefault="00000000">
            <w:pPr>
              <w:numPr>
                <w:ilvl w:val="0"/>
                <w:numId w:val="140"/>
              </w:numPr>
              <w:spacing w:after="20"/>
              <w:jc w:val="both"/>
            </w:pPr>
            <w:r>
              <w:rPr>
                <w:sz w:val="18"/>
                <w:szCs w:val="18"/>
              </w:rPr>
              <w:t>Sitio web de la Aduana Nacional de Bolivia: www.aduana.gob.bo</w:t>
            </w:r>
          </w:p>
          <w:p w14:paraId="6D58134B" w14:textId="77777777" w:rsidR="00990B14" w:rsidRDefault="00000000">
            <w:pPr>
              <w:numPr>
                <w:ilvl w:val="0"/>
                <w:numId w:val="140"/>
              </w:numPr>
              <w:spacing w:after="20"/>
              <w:jc w:val="both"/>
            </w:pPr>
            <w:r>
              <w:rPr>
                <w:sz w:val="18"/>
                <w:szCs w:val="18"/>
              </w:rPr>
              <w:t>Sitio web de la Autoridad de Impugnación Tributaria: www.ait.gob.bo</w:t>
            </w:r>
          </w:p>
          <w:p w14:paraId="66E918C2" w14:textId="77777777" w:rsidR="00990B14" w:rsidRDefault="00000000">
            <w:pPr>
              <w:numPr>
                <w:ilvl w:val="0"/>
                <w:numId w:val="140"/>
              </w:numPr>
              <w:spacing w:after="20"/>
              <w:jc w:val="both"/>
            </w:pPr>
            <w:r>
              <w:rPr>
                <w:sz w:val="18"/>
                <w:szCs w:val="18"/>
              </w:rPr>
              <w:t>Sitio web del Registro Único para la Administración Tributaria Municipal: www.ruat.gob.bo</w:t>
            </w:r>
          </w:p>
          <w:p w14:paraId="1767B5B4" w14:textId="77777777" w:rsidR="00990B14" w:rsidRDefault="00000000">
            <w:pPr>
              <w:numPr>
                <w:ilvl w:val="0"/>
                <w:numId w:val="140"/>
              </w:numPr>
              <w:spacing w:after="20"/>
              <w:jc w:val="both"/>
            </w:pPr>
            <w:r>
              <w:rPr>
                <w:sz w:val="18"/>
                <w:szCs w:val="18"/>
              </w:rPr>
              <w:t>Sitio web del Servicio de Impuestos Nacionales: www.impuestos.gob.bo</w:t>
            </w:r>
          </w:p>
          <w:p w14:paraId="00B26B19" w14:textId="77777777" w:rsidR="00990B14" w:rsidRDefault="00000000">
            <w:pPr>
              <w:numPr>
                <w:ilvl w:val="0"/>
                <w:numId w:val="140"/>
              </w:numPr>
              <w:spacing w:after="20"/>
              <w:jc w:val="both"/>
            </w:pPr>
            <w:r>
              <w:rPr>
                <w:sz w:val="18"/>
                <w:szCs w:val="18"/>
              </w:rPr>
              <w:t xml:space="preserve">Torrico Quinteros, A. E. (2018). </w:t>
            </w:r>
            <w:r>
              <w:rPr>
                <w:i/>
                <w:iCs/>
                <w:sz w:val="18"/>
                <w:szCs w:val="18"/>
              </w:rPr>
              <w:t>Estados Financieros y la Información Tributaria Complementaria</w:t>
            </w:r>
            <w:r>
              <w:rPr>
                <w:sz w:val="18"/>
                <w:szCs w:val="18"/>
              </w:rPr>
              <w:t>. 1.ª ed.</w:t>
            </w:r>
          </w:p>
          <w:p w14:paraId="57C3541B" w14:textId="77777777" w:rsidR="00990B14" w:rsidRDefault="00000000">
            <w:pPr>
              <w:numPr>
                <w:ilvl w:val="0"/>
                <w:numId w:val="140"/>
              </w:numPr>
              <w:spacing w:after="20"/>
              <w:jc w:val="both"/>
            </w:pPr>
            <w:r>
              <w:rPr>
                <w:sz w:val="18"/>
                <w:szCs w:val="18"/>
              </w:rPr>
              <w:t xml:space="preserve">Valdez Montoya, J. (2025). </w:t>
            </w:r>
            <w:r>
              <w:rPr>
                <w:i/>
                <w:iCs/>
                <w:sz w:val="18"/>
                <w:szCs w:val="18"/>
              </w:rPr>
              <w:t>En la profundidad de nuestro Sistema Tributario</w:t>
            </w:r>
            <w:r>
              <w:rPr>
                <w:sz w:val="18"/>
                <w:szCs w:val="18"/>
              </w:rPr>
              <w:t>. Artes Gráficas Sagitario S.R.L.</w:t>
            </w:r>
          </w:p>
        </w:tc>
      </w:tr>
      <w:tr w:rsidR="00990B14" w14:paraId="4243AC5B" w14:textId="77777777">
        <w:trPr>
          <w:jc w:val="center"/>
        </w:trPr>
        <w:tc>
          <w:tcPr>
            <w:tcW w:w="9405" w:type="dxa"/>
            <w:shd w:val="clear" w:color="auto" w:fill="D9E2F3"/>
          </w:tcPr>
          <w:p w14:paraId="3B7144E6" w14:textId="77777777" w:rsidR="00990B14" w:rsidRDefault="00000000">
            <w:pPr>
              <w:spacing w:before="40" w:after="40"/>
              <w:jc w:val="both"/>
            </w:pPr>
            <w:r>
              <w:rPr>
                <w:b/>
                <w:bCs/>
                <w:i/>
                <w:iCs/>
                <w:sz w:val="18"/>
                <w:szCs w:val="18"/>
              </w:rPr>
              <w:t>Bibliografía complementaria:</w:t>
            </w:r>
          </w:p>
          <w:p w14:paraId="036CFE81" w14:textId="77777777" w:rsidR="00990B14" w:rsidRDefault="00000000">
            <w:pPr>
              <w:numPr>
                <w:ilvl w:val="0"/>
                <w:numId w:val="140"/>
              </w:numPr>
              <w:spacing w:after="20"/>
              <w:jc w:val="both"/>
            </w:pPr>
            <w:r>
              <w:rPr>
                <w:sz w:val="18"/>
                <w:szCs w:val="18"/>
              </w:rPr>
              <w:t xml:space="preserve">Colegio de Auditores o Contadores Públicos de Bolivia, CAUB – Consejo Técnico Nacional de Auditoría y Contabilidad, CTNAC (2023). </w:t>
            </w:r>
            <w:r>
              <w:rPr>
                <w:i/>
                <w:iCs/>
                <w:sz w:val="18"/>
                <w:szCs w:val="18"/>
              </w:rPr>
              <w:t>Compendio de Normas de Contabilidad y Auditoría</w:t>
            </w:r>
            <w:r>
              <w:rPr>
                <w:sz w:val="18"/>
                <w:szCs w:val="18"/>
              </w:rPr>
              <w:t>. Santa Cruz – Bolivia.</w:t>
            </w:r>
          </w:p>
          <w:p w14:paraId="076C5144" w14:textId="77777777" w:rsidR="00990B14" w:rsidRDefault="00000000">
            <w:pPr>
              <w:numPr>
                <w:ilvl w:val="0"/>
                <w:numId w:val="140"/>
              </w:numPr>
              <w:spacing w:after="20"/>
              <w:jc w:val="both"/>
            </w:pPr>
            <w:r>
              <w:rPr>
                <w:sz w:val="18"/>
                <w:szCs w:val="18"/>
              </w:rPr>
              <w:t xml:space="preserve">Consejo de Normas Internacionales de Contabilidad, IASB. </w:t>
            </w:r>
            <w:r>
              <w:rPr>
                <w:i/>
                <w:iCs/>
                <w:sz w:val="18"/>
                <w:szCs w:val="18"/>
              </w:rPr>
              <w:t>NIC 12 Impuesto a las Ganancias</w:t>
            </w:r>
            <w:r>
              <w:rPr>
                <w:sz w:val="18"/>
                <w:szCs w:val="18"/>
              </w:rPr>
              <w:t>.</w:t>
            </w:r>
          </w:p>
          <w:p w14:paraId="61764C3B" w14:textId="77777777" w:rsidR="00990B14" w:rsidRDefault="00000000">
            <w:pPr>
              <w:numPr>
                <w:ilvl w:val="0"/>
                <w:numId w:val="140"/>
              </w:numPr>
              <w:spacing w:after="20"/>
              <w:jc w:val="both"/>
            </w:pPr>
            <w:r>
              <w:rPr>
                <w:sz w:val="18"/>
                <w:szCs w:val="18"/>
              </w:rPr>
              <w:t xml:space="preserve">Consejo de Normas Internacionales de Contabilidad, IASB. </w:t>
            </w:r>
            <w:r>
              <w:rPr>
                <w:i/>
                <w:iCs/>
                <w:sz w:val="18"/>
                <w:szCs w:val="18"/>
              </w:rPr>
              <w:t>NIC 16 Propiedades, Planta y Equipo</w:t>
            </w:r>
            <w:r>
              <w:rPr>
                <w:sz w:val="18"/>
                <w:szCs w:val="18"/>
              </w:rPr>
              <w:t>.</w:t>
            </w:r>
          </w:p>
          <w:p w14:paraId="12576BEC" w14:textId="77777777" w:rsidR="00990B14" w:rsidRDefault="00000000">
            <w:pPr>
              <w:numPr>
                <w:ilvl w:val="0"/>
                <w:numId w:val="140"/>
              </w:numPr>
              <w:spacing w:after="20"/>
              <w:jc w:val="both"/>
            </w:pPr>
            <w:r>
              <w:rPr>
                <w:i/>
                <w:iCs/>
                <w:sz w:val="18"/>
                <w:szCs w:val="18"/>
              </w:rPr>
              <w:t>Constitución Política del Estado</w:t>
            </w:r>
            <w:r>
              <w:rPr>
                <w:sz w:val="18"/>
                <w:szCs w:val="18"/>
              </w:rPr>
              <w:t>. Gaceta Oficial de Bolivia.</w:t>
            </w:r>
          </w:p>
          <w:p w14:paraId="3ED3F335" w14:textId="77777777" w:rsidR="00990B14" w:rsidRDefault="00000000">
            <w:pPr>
              <w:numPr>
                <w:ilvl w:val="0"/>
                <w:numId w:val="140"/>
              </w:numPr>
              <w:spacing w:after="20"/>
              <w:jc w:val="both"/>
            </w:pPr>
            <w:r>
              <w:rPr>
                <w:sz w:val="18"/>
                <w:szCs w:val="18"/>
              </w:rPr>
              <w:t xml:space="preserve">Fundación IFRS – Consejo de Normas Internacionales de Contabilidad, IASB (2023). </w:t>
            </w:r>
            <w:r>
              <w:rPr>
                <w:i/>
                <w:iCs/>
                <w:sz w:val="18"/>
                <w:szCs w:val="18"/>
              </w:rPr>
              <w:t>Normas Internacionales de Información Financiera 2023</w:t>
            </w:r>
            <w:r>
              <w:rPr>
                <w:sz w:val="18"/>
                <w:szCs w:val="18"/>
              </w:rPr>
              <w:t>. Londres.</w:t>
            </w:r>
          </w:p>
          <w:p w14:paraId="6426141D" w14:textId="77777777" w:rsidR="00990B14" w:rsidRDefault="00000000">
            <w:pPr>
              <w:numPr>
                <w:ilvl w:val="0"/>
                <w:numId w:val="140"/>
              </w:numPr>
              <w:spacing w:after="20"/>
              <w:jc w:val="both"/>
            </w:pPr>
            <w:r>
              <w:rPr>
                <w:sz w:val="18"/>
                <w:szCs w:val="18"/>
              </w:rPr>
              <w:t xml:space="preserve">García Canseco, O. (2007). </w:t>
            </w:r>
            <w:r>
              <w:rPr>
                <w:i/>
                <w:iCs/>
                <w:sz w:val="18"/>
                <w:szCs w:val="18"/>
              </w:rPr>
              <w:t>Derecho Tributario, Doctrina y Legislación Tributaria</w:t>
            </w:r>
            <w:r>
              <w:rPr>
                <w:sz w:val="18"/>
                <w:szCs w:val="18"/>
              </w:rPr>
              <w:t>. 1.ª ed. Producciones Gráficas C&amp;M S.R.L.</w:t>
            </w:r>
          </w:p>
          <w:p w14:paraId="23DE90E7" w14:textId="77777777" w:rsidR="00990B14" w:rsidRDefault="00000000">
            <w:pPr>
              <w:numPr>
                <w:ilvl w:val="0"/>
                <w:numId w:val="140"/>
              </w:numPr>
              <w:spacing w:after="20"/>
              <w:jc w:val="both"/>
            </w:pPr>
            <w:r>
              <w:rPr>
                <w:sz w:val="18"/>
                <w:szCs w:val="18"/>
              </w:rPr>
              <w:t xml:space="preserve">Gonzales Alanes, C. E. (2022). </w:t>
            </w:r>
            <w:r>
              <w:rPr>
                <w:i/>
                <w:iCs/>
                <w:sz w:val="18"/>
                <w:szCs w:val="18"/>
              </w:rPr>
              <w:t>Marco Normativo para la preparación de la Información Financiera en Bolivia</w:t>
            </w:r>
            <w:r>
              <w:rPr>
                <w:sz w:val="18"/>
                <w:szCs w:val="18"/>
              </w:rPr>
              <w:t>. 5.ª ed. Alanes Art.</w:t>
            </w:r>
          </w:p>
          <w:p w14:paraId="2C69A4C4" w14:textId="77777777" w:rsidR="00990B14" w:rsidRDefault="00000000">
            <w:pPr>
              <w:numPr>
                <w:ilvl w:val="0"/>
                <w:numId w:val="140"/>
              </w:numPr>
              <w:spacing w:after="20"/>
              <w:jc w:val="both"/>
            </w:pPr>
            <w:r>
              <w:rPr>
                <w:sz w:val="18"/>
                <w:szCs w:val="18"/>
              </w:rPr>
              <w:t>Ley N.º 154, de Clasificación y Definición de Impuestos y de Regulación para la Creación y/o Modificación de Impuestos de Dominio de los Gobiernos Autónomos. Gaceta Oficial de Bolivia.</w:t>
            </w:r>
          </w:p>
          <w:p w14:paraId="6BE2CB8B" w14:textId="77777777" w:rsidR="00990B14" w:rsidRDefault="00000000">
            <w:pPr>
              <w:numPr>
                <w:ilvl w:val="0"/>
                <w:numId w:val="140"/>
              </w:numPr>
              <w:spacing w:after="20"/>
              <w:jc w:val="both"/>
            </w:pPr>
            <w:r>
              <w:rPr>
                <w:sz w:val="18"/>
                <w:szCs w:val="18"/>
              </w:rPr>
              <w:t>Ley N.º 291, de 22 de septiembre de 2012. Gaceta Oficial de Bolivia.</w:t>
            </w:r>
          </w:p>
          <w:p w14:paraId="76A77340" w14:textId="77777777" w:rsidR="00990B14" w:rsidRDefault="00000000">
            <w:pPr>
              <w:numPr>
                <w:ilvl w:val="0"/>
                <w:numId w:val="140"/>
              </w:numPr>
              <w:spacing w:after="20"/>
              <w:jc w:val="both"/>
            </w:pPr>
            <w:r>
              <w:rPr>
                <w:sz w:val="18"/>
                <w:szCs w:val="18"/>
              </w:rPr>
              <w:t>Ley N.º 317, de 11 de diciembre de 2012. Gaceta Oficial de Bolivia.</w:t>
            </w:r>
          </w:p>
          <w:p w14:paraId="10FD63DA" w14:textId="77777777" w:rsidR="00990B14" w:rsidRDefault="00000000">
            <w:pPr>
              <w:numPr>
                <w:ilvl w:val="0"/>
                <w:numId w:val="140"/>
              </w:numPr>
              <w:spacing w:after="20"/>
              <w:jc w:val="both"/>
            </w:pPr>
            <w:r>
              <w:rPr>
                <w:sz w:val="18"/>
                <w:szCs w:val="18"/>
              </w:rPr>
              <w:t>Ley N.º 812, de 30 de junio de 2016, y decretos reglamentarios. Gaceta Oficial de Bolivia.</w:t>
            </w:r>
          </w:p>
          <w:p w14:paraId="63EC5093" w14:textId="77777777" w:rsidR="00990B14" w:rsidRDefault="00000000">
            <w:pPr>
              <w:numPr>
                <w:ilvl w:val="0"/>
                <w:numId w:val="140"/>
              </w:numPr>
              <w:spacing w:after="20"/>
              <w:jc w:val="both"/>
            </w:pPr>
            <w:r>
              <w:rPr>
                <w:sz w:val="18"/>
                <w:szCs w:val="18"/>
              </w:rPr>
              <w:t>Ley N.º 1448, de 25 de julio de 2022, y decretos reglamentarios. Gaceta Oficial de Bolivia.</w:t>
            </w:r>
          </w:p>
          <w:p w14:paraId="7BDC01F2" w14:textId="77777777" w:rsidR="00990B14" w:rsidRDefault="00000000">
            <w:pPr>
              <w:numPr>
                <w:ilvl w:val="0"/>
                <w:numId w:val="140"/>
              </w:numPr>
              <w:spacing w:after="20"/>
              <w:jc w:val="both"/>
            </w:pPr>
            <w:r>
              <w:rPr>
                <w:sz w:val="18"/>
                <w:szCs w:val="18"/>
              </w:rPr>
              <w:t xml:space="preserve">Terán Gandarillas, G. J. (2022). </w:t>
            </w:r>
            <w:r>
              <w:rPr>
                <w:i/>
                <w:iCs/>
                <w:sz w:val="18"/>
                <w:szCs w:val="18"/>
              </w:rPr>
              <w:t>Temas de Contabilidad Básica</w:t>
            </w:r>
            <w:r>
              <w:rPr>
                <w:sz w:val="18"/>
                <w:szCs w:val="18"/>
              </w:rPr>
              <w:t>. 11.ª ed. Editorial Educación y Cultura.</w:t>
            </w:r>
          </w:p>
        </w:tc>
      </w:tr>
    </w:tbl>
    <w:p w14:paraId="3937FA3F" w14:textId="77777777" w:rsidR="00990B14" w:rsidRDefault="00000000">
      <w:pPr>
        <w:pStyle w:val="TituloPlanAsignatura"/>
        <w:keepNext/>
        <w:pageBreakBefore/>
        <w:spacing w:after="120"/>
        <w:jc w:val="center"/>
        <w:outlineLvl w:val="2"/>
      </w:pPr>
      <w:bookmarkStart w:id="158" w:name="_Toc000000099"/>
      <w:r>
        <w:rPr>
          <w:b/>
          <w:bCs/>
          <w:sz w:val="24"/>
          <w:szCs w:val="24"/>
        </w:rPr>
        <w:t>CPA-204 Métodos y Técnicas de Investigación</w:t>
      </w:r>
      <w:bookmarkEnd w:id="158"/>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249"/>
        <w:gridCol w:w="1100"/>
        <w:gridCol w:w="149"/>
        <w:gridCol w:w="635"/>
        <w:gridCol w:w="615"/>
        <w:gridCol w:w="952"/>
        <w:gridCol w:w="298"/>
        <w:gridCol w:w="1250"/>
        <w:gridCol w:w="20"/>
        <w:gridCol w:w="385"/>
        <w:gridCol w:w="398"/>
        <w:gridCol w:w="447"/>
        <w:gridCol w:w="1907"/>
      </w:tblGrid>
      <w:tr w:rsidR="00990B14" w14:paraId="1A7AFE41" w14:textId="77777777">
        <w:trPr>
          <w:cantSplit/>
          <w:jc w:val="center"/>
        </w:trPr>
        <w:tc>
          <w:tcPr>
            <w:tcW w:w="2349" w:type="dxa"/>
            <w:gridSpan w:val="2"/>
            <w:shd w:val="clear" w:color="auto" w:fill="4472C4"/>
            <w:vAlign w:val="center"/>
          </w:tcPr>
          <w:p w14:paraId="33881EE6" w14:textId="77777777" w:rsidR="00990B14" w:rsidRDefault="00000000">
            <w:pPr>
              <w:keepNext/>
              <w:spacing w:before="20" w:after="20"/>
              <w:jc w:val="center"/>
            </w:pPr>
            <w:r>
              <w:rPr>
                <w:b/>
                <w:bCs/>
                <w:i/>
                <w:iCs/>
                <w:color w:val="FFFFFF"/>
                <w:sz w:val="18"/>
                <w:szCs w:val="18"/>
              </w:rPr>
              <w:t>Asignatura</w:t>
            </w:r>
          </w:p>
        </w:tc>
        <w:tc>
          <w:tcPr>
            <w:tcW w:w="2351" w:type="dxa"/>
            <w:gridSpan w:val="4"/>
            <w:shd w:val="clear" w:color="auto" w:fill="4472C4"/>
            <w:vAlign w:val="center"/>
          </w:tcPr>
          <w:p w14:paraId="0816397F" w14:textId="77777777" w:rsidR="00990B14" w:rsidRDefault="00000000">
            <w:pPr>
              <w:keepNext/>
              <w:spacing w:before="20" w:after="20"/>
              <w:jc w:val="center"/>
            </w:pPr>
            <w:r>
              <w:rPr>
                <w:b/>
                <w:bCs/>
                <w:i/>
                <w:iCs/>
                <w:color w:val="FFFFFF"/>
                <w:sz w:val="18"/>
                <w:szCs w:val="18"/>
              </w:rPr>
              <w:t>Sigla</w:t>
            </w:r>
          </w:p>
        </w:tc>
        <w:tc>
          <w:tcPr>
            <w:tcW w:w="2351" w:type="dxa"/>
            <w:gridSpan w:val="5"/>
            <w:shd w:val="clear" w:color="auto" w:fill="4472C4"/>
            <w:vAlign w:val="center"/>
          </w:tcPr>
          <w:p w14:paraId="57A86BBE" w14:textId="77777777" w:rsidR="00990B14" w:rsidRDefault="00000000">
            <w:pPr>
              <w:keepNext/>
              <w:spacing w:before="20" w:after="20"/>
              <w:jc w:val="center"/>
            </w:pPr>
            <w:r>
              <w:rPr>
                <w:b/>
                <w:bCs/>
                <w:i/>
                <w:iCs/>
                <w:color w:val="FFFFFF"/>
                <w:sz w:val="18"/>
                <w:szCs w:val="18"/>
              </w:rPr>
              <w:t>Nivel/Área</w:t>
            </w:r>
          </w:p>
        </w:tc>
        <w:tc>
          <w:tcPr>
            <w:tcW w:w="2354" w:type="dxa"/>
            <w:gridSpan w:val="2"/>
            <w:shd w:val="clear" w:color="auto" w:fill="4472C4"/>
            <w:vAlign w:val="center"/>
          </w:tcPr>
          <w:p w14:paraId="733A311C" w14:textId="77777777" w:rsidR="00990B14" w:rsidRDefault="00000000">
            <w:pPr>
              <w:keepNext/>
              <w:spacing w:before="20" w:after="20"/>
              <w:jc w:val="center"/>
            </w:pPr>
            <w:r>
              <w:rPr>
                <w:b/>
                <w:bCs/>
                <w:i/>
                <w:iCs/>
                <w:color w:val="FFFFFF"/>
                <w:sz w:val="18"/>
                <w:szCs w:val="18"/>
              </w:rPr>
              <w:t>Prerrequisito</w:t>
            </w:r>
          </w:p>
        </w:tc>
      </w:tr>
      <w:tr w:rsidR="00990B14" w14:paraId="4693C910" w14:textId="77777777">
        <w:trPr>
          <w:cantSplit/>
          <w:jc w:val="center"/>
        </w:trPr>
        <w:tc>
          <w:tcPr>
            <w:tcW w:w="2349" w:type="dxa"/>
            <w:gridSpan w:val="2"/>
            <w:shd w:val="clear" w:color="auto" w:fill="D9E2F3"/>
            <w:vAlign w:val="center"/>
          </w:tcPr>
          <w:p w14:paraId="7B78B97C" w14:textId="77777777" w:rsidR="00990B14" w:rsidRDefault="00000000">
            <w:pPr>
              <w:spacing w:before="20" w:after="20"/>
              <w:jc w:val="center"/>
            </w:pPr>
            <w:r>
              <w:rPr>
                <w:b/>
                <w:bCs/>
                <w:i/>
                <w:iCs/>
                <w:sz w:val="18"/>
                <w:szCs w:val="18"/>
              </w:rPr>
              <w:t>Métodos y Técnicas de Investigación</w:t>
            </w:r>
          </w:p>
        </w:tc>
        <w:tc>
          <w:tcPr>
            <w:tcW w:w="2351" w:type="dxa"/>
            <w:gridSpan w:val="4"/>
            <w:shd w:val="clear" w:color="auto" w:fill="D9E2F3"/>
            <w:vAlign w:val="center"/>
          </w:tcPr>
          <w:p w14:paraId="6170BAE3" w14:textId="77777777" w:rsidR="00990B14" w:rsidRDefault="00000000">
            <w:pPr>
              <w:spacing w:before="20" w:after="20"/>
              <w:jc w:val="center"/>
            </w:pPr>
            <w:r>
              <w:rPr>
                <w:b/>
                <w:bCs/>
                <w:i/>
                <w:iCs/>
                <w:sz w:val="18"/>
                <w:szCs w:val="18"/>
              </w:rPr>
              <w:t>CPA-204</w:t>
            </w:r>
          </w:p>
        </w:tc>
        <w:tc>
          <w:tcPr>
            <w:tcW w:w="2351" w:type="dxa"/>
            <w:gridSpan w:val="5"/>
            <w:shd w:val="clear" w:color="auto" w:fill="D9E2F3"/>
            <w:vAlign w:val="center"/>
          </w:tcPr>
          <w:p w14:paraId="3CBE8596" w14:textId="77777777" w:rsidR="00990B14" w:rsidRDefault="00000000">
            <w:pPr>
              <w:spacing w:before="20" w:after="20"/>
              <w:jc w:val="center"/>
            </w:pPr>
            <w:r>
              <w:rPr>
                <w:b/>
                <w:bCs/>
                <w:i/>
                <w:iCs/>
                <w:sz w:val="18"/>
                <w:szCs w:val="18"/>
              </w:rPr>
              <w:t>Información Financiera</w:t>
            </w:r>
          </w:p>
        </w:tc>
        <w:tc>
          <w:tcPr>
            <w:tcW w:w="2354" w:type="dxa"/>
            <w:gridSpan w:val="2"/>
            <w:shd w:val="clear" w:color="auto" w:fill="D9E2F3"/>
            <w:vAlign w:val="center"/>
          </w:tcPr>
          <w:p w14:paraId="74178D47" w14:textId="77777777" w:rsidR="00990B14" w:rsidRDefault="00000000">
            <w:pPr>
              <w:spacing w:before="20" w:after="20"/>
              <w:jc w:val="center"/>
            </w:pPr>
            <w:r>
              <w:rPr>
                <w:b/>
                <w:bCs/>
                <w:i/>
                <w:iCs/>
                <w:sz w:val="18"/>
                <w:szCs w:val="18"/>
              </w:rPr>
              <w:t>CPA-101</w:t>
            </w:r>
          </w:p>
        </w:tc>
      </w:tr>
      <w:tr w:rsidR="00990B14" w14:paraId="56DFD889" w14:textId="77777777">
        <w:trPr>
          <w:cantSplit/>
          <w:jc w:val="center"/>
        </w:trPr>
        <w:tc>
          <w:tcPr>
            <w:tcW w:w="7498" w:type="dxa"/>
            <w:gridSpan w:val="12"/>
            <w:shd w:val="clear" w:color="auto" w:fill="4472C4"/>
            <w:vAlign w:val="center"/>
          </w:tcPr>
          <w:p w14:paraId="2E9556C9" w14:textId="77777777" w:rsidR="00990B14" w:rsidRDefault="00000000">
            <w:pPr>
              <w:keepNext/>
              <w:spacing w:before="20" w:after="20"/>
              <w:jc w:val="center"/>
            </w:pPr>
            <w:r>
              <w:rPr>
                <w:b/>
                <w:bCs/>
                <w:i/>
                <w:iCs/>
                <w:color w:val="FFFFFF"/>
                <w:sz w:val="18"/>
                <w:szCs w:val="18"/>
              </w:rPr>
              <w:t>Carga Horaria</w:t>
            </w:r>
          </w:p>
        </w:tc>
        <w:tc>
          <w:tcPr>
            <w:tcW w:w="1907" w:type="dxa"/>
            <w:shd w:val="clear" w:color="auto" w:fill="4472C4"/>
            <w:vAlign w:val="center"/>
          </w:tcPr>
          <w:p w14:paraId="322F2D0B" w14:textId="77777777" w:rsidR="00990B14" w:rsidRDefault="00000000">
            <w:pPr>
              <w:keepNext/>
              <w:spacing w:before="20" w:after="20"/>
              <w:jc w:val="center"/>
            </w:pPr>
            <w:r>
              <w:rPr>
                <w:b/>
                <w:bCs/>
                <w:i/>
                <w:iCs/>
                <w:color w:val="FFFFFF"/>
                <w:sz w:val="18"/>
                <w:szCs w:val="18"/>
              </w:rPr>
              <w:t>Créditos</w:t>
            </w:r>
          </w:p>
        </w:tc>
      </w:tr>
      <w:tr w:rsidR="00990B14" w14:paraId="5AB91BD1" w14:textId="77777777">
        <w:trPr>
          <w:cantSplit/>
          <w:jc w:val="center"/>
        </w:trPr>
        <w:tc>
          <w:tcPr>
            <w:tcW w:w="1249" w:type="dxa"/>
            <w:shd w:val="clear" w:color="auto" w:fill="4472C4"/>
            <w:vAlign w:val="center"/>
          </w:tcPr>
          <w:p w14:paraId="6482DBEE" w14:textId="77777777" w:rsidR="00990B14" w:rsidRDefault="00000000">
            <w:pPr>
              <w:keepNext/>
              <w:spacing w:before="20" w:after="20"/>
              <w:jc w:val="center"/>
            </w:pPr>
            <w:r>
              <w:rPr>
                <w:b/>
                <w:bCs/>
                <w:i/>
                <w:iCs/>
                <w:color w:val="FFFFFF"/>
                <w:sz w:val="18"/>
                <w:szCs w:val="18"/>
              </w:rPr>
              <w:t>HP</w:t>
            </w:r>
          </w:p>
        </w:tc>
        <w:tc>
          <w:tcPr>
            <w:tcW w:w="1249" w:type="dxa"/>
            <w:gridSpan w:val="2"/>
            <w:shd w:val="clear" w:color="auto" w:fill="4472C4"/>
            <w:vAlign w:val="center"/>
          </w:tcPr>
          <w:p w14:paraId="0B3C2357" w14:textId="77777777" w:rsidR="00990B14" w:rsidRDefault="00000000">
            <w:pPr>
              <w:keepNext/>
              <w:spacing w:before="20" w:after="20"/>
              <w:jc w:val="center"/>
            </w:pPr>
            <w:r>
              <w:rPr>
                <w:b/>
                <w:bCs/>
                <w:i/>
                <w:iCs/>
                <w:color w:val="FFFFFF"/>
                <w:sz w:val="18"/>
                <w:szCs w:val="18"/>
              </w:rPr>
              <w:t>HAA</w:t>
            </w:r>
          </w:p>
        </w:tc>
        <w:tc>
          <w:tcPr>
            <w:tcW w:w="1250" w:type="dxa"/>
            <w:gridSpan w:val="2"/>
            <w:shd w:val="clear" w:color="auto" w:fill="4472C4"/>
            <w:vAlign w:val="center"/>
          </w:tcPr>
          <w:p w14:paraId="1D2466F9" w14:textId="77777777" w:rsidR="00990B14" w:rsidRDefault="00000000">
            <w:pPr>
              <w:keepNext/>
              <w:spacing w:before="20" w:after="20"/>
              <w:jc w:val="center"/>
            </w:pPr>
            <w:r>
              <w:rPr>
                <w:b/>
                <w:bCs/>
                <w:i/>
                <w:iCs/>
                <w:color w:val="FFFFFF"/>
                <w:sz w:val="18"/>
                <w:szCs w:val="18"/>
              </w:rPr>
              <w:t>HTG</w:t>
            </w:r>
          </w:p>
        </w:tc>
        <w:tc>
          <w:tcPr>
            <w:tcW w:w="1250" w:type="dxa"/>
            <w:gridSpan w:val="2"/>
            <w:shd w:val="clear" w:color="auto" w:fill="4472C4"/>
            <w:vAlign w:val="center"/>
          </w:tcPr>
          <w:p w14:paraId="188F11EF" w14:textId="77777777" w:rsidR="00990B14" w:rsidRDefault="00000000">
            <w:pPr>
              <w:keepNext/>
              <w:spacing w:before="20" w:after="20"/>
              <w:jc w:val="center"/>
            </w:pPr>
            <w:r>
              <w:rPr>
                <w:b/>
                <w:bCs/>
                <w:i/>
                <w:iCs/>
                <w:color w:val="FFFFFF"/>
                <w:sz w:val="18"/>
                <w:szCs w:val="18"/>
              </w:rPr>
              <w:t>HIP</w:t>
            </w:r>
          </w:p>
        </w:tc>
        <w:tc>
          <w:tcPr>
            <w:tcW w:w="1250" w:type="dxa"/>
            <w:shd w:val="clear" w:color="auto" w:fill="4472C4"/>
            <w:vAlign w:val="center"/>
          </w:tcPr>
          <w:p w14:paraId="43AFCF7F" w14:textId="77777777" w:rsidR="00990B14" w:rsidRDefault="00000000">
            <w:pPr>
              <w:keepNext/>
              <w:spacing w:before="20" w:after="20"/>
              <w:jc w:val="center"/>
            </w:pPr>
            <w:r>
              <w:rPr>
                <w:b/>
                <w:bCs/>
                <w:i/>
                <w:iCs/>
                <w:color w:val="FFFFFF"/>
                <w:sz w:val="18"/>
                <w:szCs w:val="18"/>
              </w:rPr>
              <w:t>HE</w:t>
            </w:r>
          </w:p>
        </w:tc>
        <w:tc>
          <w:tcPr>
            <w:tcW w:w="1250" w:type="dxa"/>
            <w:gridSpan w:val="4"/>
            <w:shd w:val="clear" w:color="auto" w:fill="4472C4"/>
            <w:vAlign w:val="center"/>
          </w:tcPr>
          <w:p w14:paraId="4AB81487" w14:textId="77777777" w:rsidR="00990B14" w:rsidRDefault="00000000">
            <w:pPr>
              <w:keepNext/>
              <w:spacing w:before="20" w:after="20"/>
              <w:jc w:val="center"/>
            </w:pPr>
            <w:r>
              <w:rPr>
                <w:b/>
                <w:bCs/>
                <w:i/>
                <w:iCs/>
                <w:color w:val="FFFFFF"/>
                <w:sz w:val="18"/>
                <w:szCs w:val="18"/>
              </w:rPr>
              <w:t>TOTAL</w:t>
            </w:r>
          </w:p>
        </w:tc>
        <w:tc>
          <w:tcPr>
            <w:tcW w:w="1907" w:type="dxa"/>
            <w:vMerge w:val="restart"/>
            <w:shd w:val="clear" w:color="auto" w:fill="D9E2F3"/>
            <w:vAlign w:val="center"/>
          </w:tcPr>
          <w:p w14:paraId="12F84D45" w14:textId="77777777" w:rsidR="00990B14" w:rsidRDefault="00000000">
            <w:pPr>
              <w:spacing w:before="20" w:after="20"/>
              <w:jc w:val="center"/>
            </w:pPr>
            <w:r>
              <w:rPr>
                <w:sz w:val="18"/>
                <w:szCs w:val="18"/>
              </w:rPr>
              <w:t>4</w:t>
            </w:r>
          </w:p>
        </w:tc>
      </w:tr>
      <w:tr w:rsidR="00990B14" w14:paraId="7D491D56" w14:textId="77777777">
        <w:trPr>
          <w:cantSplit/>
          <w:jc w:val="center"/>
        </w:trPr>
        <w:tc>
          <w:tcPr>
            <w:tcW w:w="1249" w:type="dxa"/>
            <w:shd w:val="clear" w:color="auto" w:fill="D9E2F3"/>
            <w:vAlign w:val="center"/>
          </w:tcPr>
          <w:p w14:paraId="0A6D1345" w14:textId="77777777" w:rsidR="00990B14" w:rsidRDefault="00000000">
            <w:pPr>
              <w:spacing w:before="20" w:after="20"/>
              <w:jc w:val="center"/>
            </w:pPr>
            <w:r>
              <w:rPr>
                <w:sz w:val="18"/>
                <w:szCs w:val="18"/>
              </w:rPr>
              <w:t>80</w:t>
            </w:r>
          </w:p>
        </w:tc>
        <w:tc>
          <w:tcPr>
            <w:tcW w:w="1249" w:type="dxa"/>
            <w:gridSpan w:val="2"/>
            <w:shd w:val="clear" w:color="auto" w:fill="D9E2F3"/>
            <w:vAlign w:val="center"/>
          </w:tcPr>
          <w:p w14:paraId="1588F897" w14:textId="77777777" w:rsidR="00990B14" w:rsidRDefault="00000000">
            <w:pPr>
              <w:spacing w:before="20" w:after="20"/>
              <w:jc w:val="center"/>
            </w:pPr>
            <w:r>
              <w:rPr>
                <w:sz w:val="18"/>
                <w:szCs w:val="18"/>
              </w:rPr>
              <w:t>10</w:t>
            </w:r>
          </w:p>
        </w:tc>
        <w:tc>
          <w:tcPr>
            <w:tcW w:w="1250" w:type="dxa"/>
            <w:gridSpan w:val="2"/>
            <w:shd w:val="clear" w:color="auto" w:fill="D9E2F3"/>
            <w:vAlign w:val="center"/>
          </w:tcPr>
          <w:p w14:paraId="42B56703" w14:textId="77777777" w:rsidR="00990B14" w:rsidRDefault="00000000">
            <w:pPr>
              <w:spacing w:before="20" w:after="20"/>
              <w:jc w:val="center"/>
            </w:pPr>
            <w:r>
              <w:rPr>
                <w:sz w:val="18"/>
                <w:szCs w:val="18"/>
              </w:rPr>
              <w:t>10</w:t>
            </w:r>
          </w:p>
        </w:tc>
        <w:tc>
          <w:tcPr>
            <w:tcW w:w="1250" w:type="dxa"/>
            <w:gridSpan w:val="2"/>
            <w:shd w:val="clear" w:color="auto" w:fill="D9E2F3"/>
            <w:vAlign w:val="center"/>
          </w:tcPr>
          <w:p w14:paraId="443DB3BC" w14:textId="77777777" w:rsidR="00990B14" w:rsidRDefault="00000000">
            <w:pPr>
              <w:spacing w:before="20" w:after="20"/>
              <w:jc w:val="center"/>
            </w:pPr>
            <w:r>
              <w:rPr>
                <w:sz w:val="18"/>
                <w:szCs w:val="18"/>
              </w:rPr>
              <w:t>10</w:t>
            </w:r>
          </w:p>
        </w:tc>
        <w:tc>
          <w:tcPr>
            <w:tcW w:w="1250" w:type="dxa"/>
            <w:shd w:val="clear" w:color="auto" w:fill="D9E2F3"/>
            <w:vAlign w:val="center"/>
          </w:tcPr>
          <w:p w14:paraId="0E24FE61" w14:textId="77777777" w:rsidR="00990B14" w:rsidRDefault="00000000">
            <w:pPr>
              <w:spacing w:before="20" w:after="20"/>
              <w:jc w:val="center"/>
            </w:pPr>
            <w:r>
              <w:rPr>
                <w:sz w:val="18"/>
                <w:szCs w:val="18"/>
              </w:rPr>
              <w:t>10</w:t>
            </w:r>
          </w:p>
        </w:tc>
        <w:tc>
          <w:tcPr>
            <w:tcW w:w="1250" w:type="dxa"/>
            <w:gridSpan w:val="4"/>
            <w:shd w:val="clear" w:color="auto" w:fill="D9E2F3"/>
            <w:vAlign w:val="center"/>
          </w:tcPr>
          <w:p w14:paraId="3C3F82DD" w14:textId="77777777" w:rsidR="00990B14" w:rsidRDefault="00000000">
            <w:pPr>
              <w:spacing w:before="20" w:after="20"/>
              <w:jc w:val="center"/>
            </w:pPr>
            <w:r>
              <w:rPr>
                <w:sz w:val="18"/>
                <w:szCs w:val="18"/>
              </w:rPr>
              <w:t>120</w:t>
            </w:r>
          </w:p>
        </w:tc>
        <w:tc>
          <w:tcPr>
            <w:tcW w:w="1907" w:type="dxa"/>
            <w:vMerge/>
            <w:shd w:val="clear" w:color="auto" w:fill="D9E2F3"/>
            <w:vAlign w:val="center"/>
          </w:tcPr>
          <w:p w14:paraId="6B8C37E4" w14:textId="77777777" w:rsidR="00990B14" w:rsidRDefault="00990B14">
            <w:pPr>
              <w:spacing w:before="20" w:after="20"/>
            </w:pPr>
          </w:p>
        </w:tc>
      </w:tr>
      <w:tr w:rsidR="00990B14" w14:paraId="456A35C9" w14:textId="77777777">
        <w:trPr>
          <w:cantSplit/>
          <w:jc w:val="center"/>
        </w:trPr>
        <w:tc>
          <w:tcPr>
            <w:tcW w:w="9405" w:type="dxa"/>
            <w:gridSpan w:val="13"/>
            <w:shd w:val="clear" w:color="auto" w:fill="4472C4"/>
            <w:vAlign w:val="center"/>
          </w:tcPr>
          <w:p w14:paraId="78F761A7" w14:textId="77777777" w:rsidR="00990B14" w:rsidRDefault="00000000">
            <w:pPr>
              <w:keepNext/>
              <w:spacing w:before="20" w:after="20"/>
              <w:jc w:val="center"/>
            </w:pPr>
            <w:r>
              <w:rPr>
                <w:b/>
                <w:bCs/>
                <w:i/>
                <w:iCs/>
                <w:color w:val="FFFFFF"/>
                <w:sz w:val="18"/>
                <w:szCs w:val="18"/>
              </w:rPr>
              <w:t>Unidad de Competencia</w:t>
            </w:r>
          </w:p>
        </w:tc>
      </w:tr>
      <w:tr w:rsidR="00990B14" w14:paraId="4D0D9664" w14:textId="77777777">
        <w:trPr>
          <w:cantSplit/>
          <w:jc w:val="center"/>
        </w:trPr>
        <w:tc>
          <w:tcPr>
            <w:tcW w:w="9405" w:type="dxa"/>
            <w:gridSpan w:val="13"/>
            <w:shd w:val="clear" w:color="auto" w:fill="D9E2F3"/>
            <w:vAlign w:val="center"/>
          </w:tcPr>
          <w:p w14:paraId="169E2C13" w14:textId="77777777" w:rsidR="00990B14" w:rsidRDefault="00000000">
            <w:pPr>
              <w:spacing w:before="20" w:after="20"/>
              <w:jc w:val="both"/>
            </w:pPr>
            <w:r>
              <w:rPr>
                <w:sz w:val="18"/>
                <w:szCs w:val="18"/>
              </w:rPr>
              <w:t>Diseña un proyecto de investigación en el campo de las ciencias económicas y financieras, explicando los fundamentos del método científico, planteando el problema y los objetivos, formulando el marco teórico y la hipótesis, aplicando herramientas digitales en la búsqueda bibliográfica, y en el análisis estadístico de la información a recolectar y los resultados a presentar, con pensamiento crítico, rigor metodológico, ética en la investigación y uso responsable de la inteligencia artificial.</w:t>
            </w:r>
          </w:p>
        </w:tc>
      </w:tr>
      <w:tr w:rsidR="00990B14" w14:paraId="05F29798" w14:textId="77777777">
        <w:trPr>
          <w:cantSplit/>
          <w:jc w:val="center"/>
        </w:trPr>
        <w:tc>
          <w:tcPr>
            <w:tcW w:w="9405" w:type="dxa"/>
            <w:gridSpan w:val="13"/>
            <w:shd w:val="clear" w:color="auto" w:fill="D9E2F3"/>
            <w:vAlign w:val="center"/>
          </w:tcPr>
          <w:p w14:paraId="1D4F4ABB" w14:textId="77777777" w:rsidR="00990B14" w:rsidRDefault="00000000">
            <w:pPr>
              <w:spacing w:before="20" w:after="20"/>
              <w:jc w:val="both"/>
            </w:pPr>
            <w:r>
              <w:rPr>
                <w:b/>
                <w:bCs/>
                <w:i/>
                <w:iCs/>
                <w:sz w:val="18"/>
                <w:szCs w:val="18"/>
              </w:rPr>
              <w:t xml:space="preserve">Elemento de competencia 1: </w:t>
            </w:r>
            <w:r>
              <w:rPr>
                <w:sz w:val="18"/>
                <w:szCs w:val="18"/>
              </w:rPr>
              <w:t>Explica los fundamentos de la ciencia y el método científico, diferenciando los enfoques cuantitativo y cualitativo de la investigación.</w:t>
            </w:r>
          </w:p>
        </w:tc>
      </w:tr>
      <w:tr w:rsidR="00990B14" w14:paraId="3F81869A" w14:textId="77777777">
        <w:trPr>
          <w:cantSplit/>
          <w:jc w:val="center"/>
        </w:trPr>
        <w:tc>
          <w:tcPr>
            <w:tcW w:w="3133" w:type="dxa"/>
            <w:gridSpan w:val="4"/>
            <w:shd w:val="clear" w:color="auto" w:fill="4472C4"/>
            <w:vAlign w:val="center"/>
          </w:tcPr>
          <w:p w14:paraId="46AE4369"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265CFEE5"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58AB524F" w14:textId="77777777" w:rsidR="00990B14" w:rsidRDefault="00000000">
            <w:pPr>
              <w:keepNext/>
              <w:spacing w:before="20" w:after="20"/>
              <w:jc w:val="center"/>
            </w:pPr>
            <w:r>
              <w:rPr>
                <w:b/>
                <w:bCs/>
                <w:i/>
                <w:iCs/>
                <w:color w:val="FFFFFF"/>
                <w:sz w:val="18"/>
                <w:szCs w:val="18"/>
              </w:rPr>
              <w:t>Evidencias de producto</w:t>
            </w:r>
          </w:p>
        </w:tc>
      </w:tr>
      <w:tr w:rsidR="00990B14" w14:paraId="42BE51C5" w14:textId="77777777">
        <w:trPr>
          <w:cantSplit/>
          <w:jc w:val="center"/>
        </w:trPr>
        <w:tc>
          <w:tcPr>
            <w:tcW w:w="3133" w:type="dxa"/>
            <w:gridSpan w:val="4"/>
            <w:vMerge w:val="restart"/>
            <w:shd w:val="clear" w:color="auto" w:fill="D9E2F3"/>
            <w:vAlign w:val="center"/>
          </w:tcPr>
          <w:p w14:paraId="67159CFB" w14:textId="77777777" w:rsidR="00990B14" w:rsidRDefault="00000000">
            <w:pPr>
              <w:spacing w:before="20" w:after="20"/>
              <w:jc w:val="both"/>
            </w:pPr>
            <w:r>
              <w:rPr>
                <w:sz w:val="18"/>
                <w:szCs w:val="18"/>
              </w:rPr>
              <w:t>1. Explica los conceptos de ciencia, conocimiento científico y método científico, identificando las fuentes de una idea de investigación y los principios éticos que la rigen.</w:t>
            </w:r>
          </w:p>
        </w:tc>
        <w:tc>
          <w:tcPr>
            <w:tcW w:w="3135" w:type="dxa"/>
            <w:gridSpan w:val="5"/>
            <w:shd w:val="clear" w:color="auto" w:fill="D9E2F3"/>
            <w:vAlign w:val="center"/>
          </w:tcPr>
          <w:p w14:paraId="43343D9F" w14:textId="77777777" w:rsidR="00990B14" w:rsidRDefault="00000000">
            <w:pPr>
              <w:spacing w:before="20" w:after="20"/>
              <w:jc w:val="both"/>
            </w:pPr>
            <w:r>
              <w:rPr>
                <w:sz w:val="18"/>
                <w:szCs w:val="18"/>
              </w:rPr>
              <w:t>1.1 Expone ante el curso una idea de investigación derivada de un problema real de una entidad boliviana, con su propuesta preliminar.</w:t>
            </w:r>
          </w:p>
        </w:tc>
        <w:tc>
          <w:tcPr>
            <w:tcW w:w="3137" w:type="dxa"/>
            <w:gridSpan w:val="4"/>
            <w:shd w:val="clear" w:color="auto" w:fill="D9E2F3"/>
            <w:vAlign w:val="center"/>
          </w:tcPr>
          <w:p w14:paraId="462CE0F1" w14:textId="77777777" w:rsidR="00990B14" w:rsidRDefault="00000000">
            <w:pPr>
              <w:spacing w:before="20" w:after="20"/>
              <w:jc w:val="both"/>
            </w:pPr>
            <w:r>
              <w:rPr>
                <w:b/>
                <w:bCs/>
                <w:sz w:val="18"/>
                <w:szCs w:val="18"/>
              </w:rPr>
              <w:t xml:space="preserve">Producto 1: </w:t>
            </w:r>
            <w:r>
              <w:rPr>
                <w:sz w:val="18"/>
                <w:szCs w:val="18"/>
              </w:rPr>
              <w:t>Propuesta preliminar de investigación con una idea propia.</w:t>
            </w:r>
          </w:p>
        </w:tc>
      </w:tr>
      <w:tr w:rsidR="00990B14" w14:paraId="4043CAAA" w14:textId="77777777">
        <w:trPr>
          <w:cantSplit/>
          <w:jc w:val="center"/>
        </w:trPr>
        <w:tc>
          <w:tcPr>
            <w:tcW w:w="3133" w:type="dxa"/>
            <w:gridSpan w:val="4"/>
            <w:vMerge/>
            <w:shd w:val="clear" w:color="auto" w:fill="D9E2F3"/>
            <w:vAlign w:val="center"/>
          </w:tcPr>
          <w:p w14:paraId="1A53D2B4" w14:textId="77777777" w:rsidR="00990B14" w:rsidRDefault="00990B14">
            <w:pPr>
              <w:spacing w:before="20" w:after="20"/>
            </w:pPr>
          </w:p>
        </w:tc>
        <w:tc>
          <w:tcPr>
            <w:tcW w:w="3135" w:type="dxa"/>
            <w:gridSpan w:val="5"/>
            <w:shd w:val="clear" w:color="auto" w:fill="D9E2F3"/>
            <w:vAlign w:val="center"/>
          </w:tcPr>
          <w:p w14:paraId="1CC6F898" w14:textId="77777777" w:rsidR="00990B14" w:rsidRDefault="00000000">
            <w:pPr>
              <w:spacing w:before="20" w:after="20"/>
              <w:jc w:val="both"/>
            </w:pPr>
            <w:r>
              <w:rPr>
                <w:sz w:val="18"/>
                <w:szCs w:val="18"/>
              </w:rPr>
              <w:t>1.2 Identifica en el aula los principios éticos vulnerados en casos de plagio, de falta de confidencialidad y de ausencia de consentimiento.</w:t>
            </w:r>
          </w:p>
        </w:tc>
        <w:tc>
          <w:tcPr>
            <w:tcW w:w="3137" w:type="dxa"/>
            <w:gridSpan w:val="4"/>
            <w:shd w:val="clear" w:color="auto" w:fill="D9E2F3"/>
            <w:vAlign w:val="center"/>
          </w:tcPr>
          <w:p w14:paraId="183B9159" w14:textId="77777777" w:rsidR="00990B14" w:rsidRDefault="00000000">
            <w:pPr>
              <w:spacing w:before="20" w:after="20"/>
              <w:jc w:val="both"/>
            </w:pPr>
            <w:r>
              <w:rPr>
                <w:b/>
                <w:bCs/>
                <w:sz w:val="18"/>
                <w:szCs w:val="18"/>
              </w:rPr>
              <w:t xml:space="preserve">Producto 2: </w:t>
            </w:r>
            <w:r>
              <w:rPr>
                <w:sz w:val="18"/>
                <w:szCs w:val="18"/>
              </w:rPr>
              <w:t>Ficha de análisis ético de casos de investigación.</w:t>
            </w:r>
          </w:p>
        </w:tc>
      </w:tr>
      <w:tr w:rsidR="00990B14" w14:paraId="5C08C77A" w14:textId="77777777">
        <w:trPr>
          <w:cantSplit/>
          <w:jc w:val="center"/>
        </w:trPr>
        <w:tc>
          <w:tcPr>
            <w:tcW w:w="3133" w:type="dxa"/>
            <w:gridSpan w:val="4"/>
            <w:vMerge w:val="restart"/>
            <w:shd w:val="clear" w:color="auto" w:fill="D9E2F3"/>
            <w:vAlign w:val="center"/>
          </w:tcPr>
          <w:p w14:paraId="03C2B29B" w14:textId="77777777" w:rsidR="00990B14" w:rsidRDefault="00000000">
            <w:pPr>
              <w:spacing w:before="20" w:after="20"/>
              <w:jc w:val="both"/>
            </w:pPr>
            <w:r>
              <w:rPr>
                <w:sz w:val="18"/>
                <w:szCs w:val="18"/>
              </w:rPr>
              <w:t>2. Diferencia los enfoques cuantitativo, cualitativo y mixto de la investigación, reconociendo las bondades de cada uno según el tipo de problema.</w:t>
            </w:r>
          </w:p>
        </w:tc>
        <w:tc>
          <w:tcPr>
            <w:tcW w:w="3135" w:type="dxa"/>
            <w:gridSpan w:val="5"/>
            <w:shd w:val="clear" w:color="auto" w:fill="D9E2F3"/>
            <w:vAlign w:val="center"/>
          </w:tcPr>
          <w:p w14:paraId="5F4A856D" w14:textId="77777777" w:rsidR="00990B14" w:rsidRDefault="00000000">
            <w:pPr>
              <w:spacing w:before="20" w:after="20"/>
              <w:jc w:val="both"/>
            </w:pPr>
            <w:r>
              <w:rPr>
                <w:sz w:val="18"/>
                <w:szCs w:val="18"/>
              </w:rPr>
              <w:t>2.1 Analiza en equipo un ejemplo de investigación cuantitativa, uno cualitativo y otro mixto del campo económico y financiero.</w:t>
            </w:r>
          </w:p>
        </w:tc>
        <w:tc>
          <w:tcPr>
            <w:tcW w:w="3137" w:type="dxa"/>
            <w:gridSpan w:val="4"/>
            <w:shd w:val="clear" w:color="auto" w:fill="D9E2F3"/>
            <w:vAlign w:val="center"/>
          </w:tcPr>
          <w:p w14:paraId="48ED8B60" w14:textId="77777777" w:rsidR="00990B14" w:rsidRDefault="00000000">
            <w:pPr>
              <w:spacing w:before="20" w:after="20"/>
              <w:jc w:val="both"/>
            </w:pPr>
            <w:r>
              <w:rPr>
                <w:b/>
                <w:bCs/>
                <w:sz w:val="18"/>
                <w:szCs w:val="18"/>
              </w:rPr>
              <w:t xml:space="preserve">Producto 3: </w:t>
            </w:r>
            <w:r>
              <w:rPr>
                <w:sz w:val="18"/>
                <w:szCs w:val="18"/>
              </w:rPr>
              <w:t>Cuadro comparativo de los enfoques cuantitativo, cualitativo y mixto.</w:t>
            </w:r>
          </w:p>
        </w:tc>
      </w:tr>
      <w:tr w:rsidR="00990B14" w14:paraId="52004508" w14:textId="77777777">
        <w:trPr>
          <w:cantSplit/>
          <w:jc w:val="center"/>
        </w:trPr>
        <w:tc>
          <w:tcPr>
            <w:tcW w:w="3133" w:type="dxa"/>
            <w:gridSpan w:val="4"/>
            <w:vMerge/>
            <w:shd w:val="clear" w:color="auto" w:fill="D9E2F3"/>
            <w:vAlign w:val="center"/>
          </w:tcPr>
          <w:p w14:paraId="57D978D9" w14:textId="77777777" w:rsidR="00990B14" w:rsidRDefault="00990B14">
            <w:pPr>
              <w:spacing w:before="20" w:after="20"/>
            </w:pPr>
          </w:p>
        </w:tc>
        <w:tc>
          <w:tcPr>
            <w:tcW w:w="3135" w:type="dxa"/>
            <w:gridSpan w:val="5"/>
            <w:shd w:val="clear" w:color="auto" w:fill="D9E2F3"/>
            <w:vAlign w:val="center"/>
          </w:tcPr>
          <w:p w14:paraId="4CFDFB64" w14:textId="77777777" w:rsidR="00990B14" w:rsidRDefault="00000000">
            <w:pPr>
              <w:spacing w:before="20" w:after="20"/>
              <w:jc w:val="both"/>
            </w:pPr>
            <w:r>
              <w:rPr>
                <w:sz w:val="18"/>
                <w:szCs w:val="18"/>
              </w:rPr>
              <w:t>2.2 Selecciona en aula el enfoque pertinente para un conjunto de problemas de investigación contable y financiera.</w:t>
            </w:r>
          </w:p>
        </w:tc>
        <w:tc>
          <w:tcPr>
            <w:tcW w:w="3137" w:type="dxa"/>
            <w:gridSpan w:val="4"/>
            <w:shd w:val="clear" w:color="auto" w:fill="D9E2F3"/>
            <w:vAlign w:val="center"/>
          </w:tcPr>
          <w:p w14:paraId="46A20E02" w14:textId="77777777" w:rsidR="00990B14" w:rsidRDefault="00000000">
            <w:pPr>
              <w:spacing w:before="20" w:after="20"/>
              <w:jc w:val="both"/>
            </w:pPr>
            <w:r>
              <w:rPr>
                <w:b/>
                <w:bCs/>
                <w:sz w:val="18"/>
                <w:szCs w:val="18"/>
              </w:rPr>
              <w:t xml:space="preserve">Producto 4: </w:t>
            </w:r>
            <w:r>
              <w:rPr>
                <w:sz w:val="18"/>
                <w:szCs w:val="18"/>
              </w:rPr>
              <w:t>Matriz de selección del enfoque de investigación.</w:t>
            </w:r>
          </w:p>
        </w:tc>
      </w:tr>
      <w:tr w:rsidR="00990B14" w14:paraId="16FEE55F" w14:textId="77777777">
        <w:trPr>
          <w:cantSplit/>
          <w:jc w:val="center"/>
        </w:trPr>
        <w:tc>
          <w:tcPr>
            <w:tcW w:w="9405" w:type="dxa"/>
            <w:gridSpan w:val="13"/>
            <w:shd w:val="clear" w:color="auto" w:fill="4472C4"/>
            <w:vAlign w:val="center"/>
          </w:tcPr>
          <w:p w14:paraId="6F6529BB" w14:textId="77777777" w:rsidR="00990B14" w:rsidRDefault="00000000">
            <w:pPr>
              <w:keepNext/>
              <w:spacing w:before="20" w:after="20"/>
              <w:jc w:val="center"/>
            </w:pPr>
            <w:r>
              <w:rPr>
                <w:b/>
                <w:bCs/>
                <w:i/>
                <w:iCs/>
                <w:color w:val="FFFFFF"/>
                <w:sz w:val="18"/>
                <w:szCs w:val="18"/>
              </w:rPr>
              <w:t>Evidencias de conocimiento</w:t>
            </w:r>
          </w:p>
        </w:tc>
      </w:tr>
      <w:tr w:rsidR="00990B14" w14:paraId="5752E759" w14:textId="77777777">
        <w:trPr>
          <w:cantSplit/>
          <w:jc w:val="center"/>
        </w:trPr>
        <w:tc>
          <w:tcPr>
            <w:tcW w:w="2349" w:type="dxa"/>
            <w:gridSpan w:val="2"/>
            <w:shd w:val="clear" w:color="auto" w:fill="4472C4"/>
            <w:vAlign w:val="center"/>
          </w:tcPr>
          <w:p w14:paraId="4BB2197F"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0A88E885" w14:textId="77777777" w:rsidR="00990B14" w:rsidRDefault="00000000">
            <w:pPr>
              <w:keepNext/>
              <w:spacing w:before="20" w:after="20"/>
              <w:jc w:val="both"/>
            </w:pPr>
            <w:r>
              <w:rPr>
                <w:b/>
                <w:bCs/>
                <w:i/>
                <w:iCs/>
                <w:color w:val="FFFFFF"/>
                <w:sz w:val="18"/>
                <w:szCs w:val="18"/>
              </w:rPr>
              <w:t>Contenidos</w:t>
            </w:r>
          </w:p>
          <w:p w14:paraId="414CDF74"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3D253444" w14:textId="77777777" w:rsidR="00990B14" w:rsidRDefault="00000000">
            <w:pPr>
              <w:keepNext/>
              <w:spacing w:before="20" w:after="20"/>
              <w:jc w:val="center"/>
            </w:pPr>
            <w:r>
              <w:rPr>
                <w:b/>
                <w:bCs/>
                <w:i/>
                <w:iCs/>
                <w:color w:val="FFFFFF"/>
                <w:sz w:val="18"/>
                <w:szCs w:val="18"/>
              </w:rPr>
              <w:t>Conocimientos circunstanciales</w:t>
            </w:r>
          </w:p>
        </w:tc>
      </w:tr>
      <w:tr w:rsidR="00990B14" w14:paraId="5794B103" w14:textId="77777777">
        <w:trPr>
          <w:jc w:val="center"/>
        </w:trPr>
        <w:tc>
          <w:tcPr>
            <w:tcW w:w="2349" w:type="dxa"/>
            <w:gridSpan w:val="2"/>
            <w:shd w:val="clear" w:color="auto" w:fill="D9E2F3"/>
          </w:tcPr>
          <w:p w14:paraId="22822896" w14:textId="77777777" w:rsidR="00990B14" w:rsidRDefault="00000000">
            <w:pPr>
              <w:spacing w:before="20" w:after="40"/>
              <w:jc w:val="both"/>
            </w:pPr>
            <w:r>
              <w:rPr>
                <w:sz w:val="18"/>
                <w:szCs w:val="18"/>
              </w:rPr>
              <w:t>Tema 1: Introducción a la investigación</w:t>
            </w:r>
          </w:p>
          <w:p w14:paraId="765BC181" w14:textId="77777777" w:rsidR="00990B14" w:rsidRDefault="00000000">
            <w:pPr>
              <w:spacing w:before="20" w:after="40"/>
              <w:jc w:val="both"/>
            </w:pPr>
            <w:r>
              <w:rPr>
                <w:sz w:val="18"/>
                <w:szCs w:val="18"/>
              </w:rPr>
              <w:t xml:space="preserve">Tema 2: Los enfoques de la investigación cualitativa, cuantitativa </w:t>
            </w:r>
            <w:r>
              <w:rPr>
                <w:b/>
                <w:bCs/>
                <w:sz w:val="18"/>
                <w:szCs w:val="18"/>
              </w:rPr>
              <w:t>y mixta</w:t>
            </w:r>
            <w:r>
              <w:rPr>
                <w:sz w:val="18"/>
                <w:szCs w:val="18"/>
              </w:rPr>
              <w:t>.</w:t>
            </w:r>
          </w:p>
        </w:tc>
        <w:tc>
          <w:tcPr>
            <w:tcW w:w="4304" w:type="dxa"/>
            <w:gridSpan w:val="8"/>
            <w:shd w:val="clear" w:color="auto" w:fill="D9E2F3"/>
          </w:tcPr>
          <w:p w14:paraId="391B68DA" w14:textId="77777777" w:rsidR="00990B14" w:rsidRDefault="00000000">
            <w:pPr>
              <w:spacing w:after="40"/>
              <w:jc w:val="both"/>
            </w:pPr>
            <w:r>
              <w:rPr>
                <w:sz w:val="18"/>
                <w:szCs w:val="18"/>
              </w:rPr>
              <w:t>Conceptos básicos de la investigación: ciencia, conocimiento científico y método científico. (C)</w:t>
            </w:r>
          </w:p>
          <w:p w14:paraId="6B9237C1" w14:textId="77777777" w:rsidR="00990B14" w:rsidRDefault="00000000">
            <w:pPr>
              <w:spacing w:after="40"/>
              <w:jc w:val="both"/>
            </w:pPr>
            <w:r>
              <w:rPr>
                <w:sz w:val="18"/>
                <w:szCs w:val="18"/>
              </w:rPr>
              <w:t>Fuentes de ideas para una investigación y criterios para generar ideas de investigación, incluidos los problemas contables, financieros, tributarios y de sostenibilidad de las entidades bolivianas. (C)</w:t>
            </w:r>
          </w:p>
          <w:p w14:paraId="6371C8AB" w14:textId="77777777" w:rsidR="00990B14" w:rsidRDefault="00000000">
            <w:pPr>
              <w:spacing w:after="40"/>
              <w:jc w:val="both"/>
            </w:pPr>
            <w:r>
              <w:rPr>
                <w:sz w:val="18"/>
                <w:szCs w:val="18"/>
              </w:rPr>
              <w:t>Estructura de una propuesta de investigación; ética en la investigación. (C, A)</w:t>
            </w:r>
          </w:p>
          <w:p w14:paraId="1F2C3525" w14:textId="77777777" w:rsidR="00990B14" w:rsidRDefault="00000000">
            <w:pPr>
              <w:spacing w:after="40"/>
              <w:jc w:val="both"/>
            </w:pPr>
            <w:r>
              <w:rPr>
                <w:sz w:val="18"/>
                <w:szCs w:val="18"/>
              </w:rPr>
              <w:t>Principios éticos de la investigación: honestidad académica, confidencialidad de la información y consentimiento informado de los participantes. (C, A)</w:t>
            </w:r>
          </w:p>
          <w:p w14:paraId="7DFF8AEE" w14:textId="77777777" w:rsidR="00990B14" w:rsidRDefault="00000000">
            <w:pPr>
              <w:spacing w:after="40"/>
              <w:jc w:val="both"/>
            </w:pPr>
            <w:r>
              <w:rPr>
                <w:sz w:val="18"/>
                <w:szCs w:val="18"/>
              </w:rPr>
              <w:t>Enfoques de investigación cuantitativa, cualitativa y mixta: características de cada uno. (C)</w:t>
            </w:r>
          </w:p>
          <w:p w14:paraId="4F81B908" w14:textId="77777777" w:rsidR="00990B14" w:rsidRDefault="00000000">
            <w:pPr>
              <w:spacing w:after="40"/>
              <w:jc w:val="both"/>
            </w:pPr>
            <w:r>
              <w:rPr>
                <w:sz w:val="18"/>
                <w:szCs w:val="18"/>
              </w:rPr>
              <w:t>Bondades de los enfoques cuantitativo y cualitativo en una investigación. (C)</w:t>
            </w:r>
          </w:p>
          <w:p w14:paraId="3EA44963" w14:textId="77777777" w:rsidR="00990B14" w:rsidRDefault="00000000">
            <w:pPr>
              <w:spacing w:after="40"/>
              <w:jc w:val="both"/>
            </w:pPr>
            <w:r>
              <w:rPr>
                <w:sz w:val="18"/>
                <w:szCs w:val="18"/>
              </w:rPr>
              <w:t>Proceso de investigación con el enfoque cuantitativo, cualitativo y mixto y con el enfoque cualitativo, con ejemplos de cada uno. (C)</w:t>
            </w:r>
          </w:p>
        </w:tc>
        <w:tc>
          <w:tcPr>
            <w:tcW w:w="2752" w:type="dxa"/>
            <w:gridSpan w:val="3"/>
            <w:shd w:val="clear" w:color="auto" w:fill="D9E2F3"/>
          </w:tcPr>
          <w:p w14:paraId="3FA040DE" w14:textId="77777777" w:rsidR="00990B14" w:rsidRDefault="00000000">
            <w:pPr>
              <w:numPr>
                <w:ilvl w:val="0"/>
                <w:numId w:val="139"/>
              </w:numPr>
              <w:spacing w:before="10" w:after="10"/>
              <w:jc w:val="both"/>
            </w:pPr>
            <w:r>
              <w:rPr>
                <w:sz w:val="18"/>
                <w:szCs w:val="18"/>
              </w:rPr>
              <w:t>Nociones de epistemología y de los tipos de conocimiento.</w:t>
            </w:r>
          </w:p>
          <w:p w14:paraId="01E55FB1" w14:textId="77777777" w:rsidR="00990B14" w:rsidRDefault="00000000">
            <w:pPr>
              <w:numPr>
                <w:ilvl w:val="0"/>
                <w:numId w:val="139"/>
              </w:numPr>
              <w:spacing w:before="10" w:after="10"/>
              <w:jc w:val="both"/>
            </w:pPr>
            <w:r>
              <w:rPr>
                <w:sz w:val="18"/>
                <w:szCs w:val="18"/>
              </w:rPr>
              <w:t>Nociones de lógica inductiva y deductiva aplicadas al razonamiento científico.</w:t>
            </w:r>
          </w:p>
        </w:tc>
      </w:tr>
      <w:tr w:rsidR="00990B14" w14:paraId="0345D64B" w14:textId="77777777">
        <w:trPr>
          <w:cantSplit/>
          <w:jc w:val="center"/>
        </w:trPr>
        <w:tc>
          <w:tcPr>
            <w:tcW w:w="9405" w:type="dxa"/>
            <w:gridSpan w:val="13"/>
            <w:shd w:val="clear" w:color="auto" w:fill="D9E2F3"/>
            <w:vAlign w:val="center"/>
          </w:tcPr>
          <w:p w14:paraId="7E57A445" w14:textId="77777777" w:rsidR="00990B14" w:rsidRDefault="00000000">
            <w:pPr>
              <w:spacing w:before="20" w:after="20"/>
              <w:jc w:val="both"/>
            </w:pPr>
            <w:r>
              <w:rPr>
                <w:b/>
                <w:bCs/>
                <w:i/>
                <w:iCs/>
                <w:sz w:val="18"/>
                <w:szCs w:val="18"/>
              </w:rPr>
              <w:t xml:space="preserve">Elemento de competencia 2: </w:t>
            </w:r>
            <w:r>
              <w:rPr>
                <w:sz w:val="18"/>
                <w:szCs w:val="18"/>
              </w:rPr>
              <w:t>Plantea el problema y los objetivos de una investigación, aplicando las técnicas de apoyo bibliográfico y de redacción técnico-científica.</w:t>
            </w:r>
          </w:p>
        </w:tc>
      </w:tr>
      <w:tr w:rsidR="00990B14" w14:paraId="38055E36" w14:textId="77777777">
        <w:trPr>
          <w:cantSplit/>
          <w:jc w:val="center"/>
        </w:trPr>
        <w:tc>
          <w:tcPr>
            <w:tcW w:w="3133" w:type="dxa"/>
            <w:gridSpan w:val="4"/>
            <w:shd w:val="clear" w:color="auto" w:fill="4472C4"/>
            <w:vAlign w:val="center"/>
          </w:tcPr>
          <w:p w14:paraId="293AAC07"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4AE64589"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7F068410" w14:textId="77777777" w:rsidR="00990B14" w:rsidRDefault="00000000">
            <w:pPr>
              <w:keepNext/>
              <w:spacing w:before="20" w:after="20"/>
              <w:jc w:val="center"/>
            </w:pPr>
            <w:r>
              <w:rPr>
                <w:b/>
                <w:bCs/>
                <w:i/>
                <w:iCs/>
                <w:color w:val="FFFFFF"/>
                <w:sz w:val="18"/>
                <w:szCs w:val="18"/>
              </w:rPr>
              <w:t>Evidencias de producto</w:t>
            </w:r>
          </w:p>
        </w:tc>
      </w:tr>
      <w:tr w:rsidR="00990B14" w14:paraId="1CE5D4D5" w14:textId="77777777">
        <w:trPr>
          <w:cantSplit/>
          <w:jc w:val="center"/>
        </w:trPr>
        <w:tc>
          <w:tcPr>
            <w:tcW w:w="3133" w:type="dxa"/>
            <w:gridSpan w:val="4"/>
            <w:vMerge w:val="restart"/>
            <w:shd w:val="clear" w:color="auto" w:fill="D9E2F3"/>
            <w:vAlign w:val="center"/>
          </w:tcPr>
          <w:p w14:paraId="40FC15F5" w14:textId="77777777" w:rsidR="00990B14" w:rsidRDefault="00000000">
            <w:pPr>
              <w:spacing w:before="20" w:after="20"/>
              <w:jc w:val="both"/>
            </w:pPr>
            <w:r>
              <w:rPr>
                <w:sz w:val="18"/>
                <w:szCs w:val="18"/>
              </w:rPr>
              <w:t>1. Aplica las normas de redacción técnico-científica y de citación, organizando las referencias con un gestor bibliográfico y verificando los resultados de las herramientas de inteligencia artificial.</w:t>
            </w:r>
          </w:p>
        </w:tc>
        <w:tc>
          <w:tcPr>
            <w:tcW w:w="3135" w:type="dxa"/>
            <w:gridSpan w:val="5"/>
            <w:shd w:val="clear" w:color="auto" w:fill="D9E2F3"/>
            <w:vAlign w:val="center"/>
          </w:tcPr>
          <w:p w14:paraId="21E337C4" w14:textId="77777777" w:rsidR="00990B14" w:rsidRDefault="00000000">
            <w:pPr>
              <w:spacing w:before="20" w:after="20"/>
              <w:jc w:val="both"/>
            </w:pPr>
            <w:r>
              <w:rPr>
                <w:sz w:val="18"/>
                <w:szCs w:val="18"/>
              </w:rPr>
              <w:t>1.1 Organiza en el laboratorio de cómputo las referencias de una investigación con un gestor bibliográfico.</w:t>
            </w:r>
          </w:p>
        </w:tc>
        <w:tc>
          <w:tcPr>
            <w:tcW w:w="3137" w:type="dxa"/>
            <w:gridSpan w:val="4"/>
            <w:shd w:val="clear" w:color="auto" w:fill="D9E2F3"/>
            <w:vAlign w:val="center"/>
          </w:tcPr>
          <w:p w14:paraId="24DF12ED" w14:textId="77777777" w:rsidR="00990B14" w:rsidRDefault="00000000">
            <w:pPr>
              <w:spacing w:before="20" w:after="20"/>
              <w:jc w:val="both"/>
            </w:pPr>
            <w:r>
              <w:rPr>
                <w:b/>
                <w:bCs/>
                <w:sz w:val="18"/>
                <w:szCs w:val="18"/>
              </w:rPr>
              <w:t xml:space="preserve">Producto 5: </w:t>
            </w:r>
            <w:r>
              <w:rPr>
                <w:sz w:val="18"/>
                <w:szCs w:val="18"/>
              </w:rPr>
              <w:t>Base de referencias bibliográficas organizada en un gestor bibliográfico.</w:t>
            </w:r>
          </w:p>
        </w:tc>
      </w:tr>
      <w:tr w:rsidR="00990B14" w14:paraId="1421B28B" w14:textId="77777777">
        <w:trPr>
          <w:cantSplit/>
          <w:jc w:val="center"/>
        </w:trPr>
        <w:tc>
          <w:tcPr>
            <w:tcW w:w="3133" w:type="dxa"/>
            <w:gridSpan w:val="4"/>
            <w:vMerge/>
            <w:shd w:val="clear" w:color="auto" w:fill="D9E2F3"/>
            <w:vAlign w:val="center"/>
          </w:tcPr>
          <w:p w14:paraId="3822B4D7" w14:textId="77777777" w:rsidR="00990B14" w:rsidRDefault="00990B14">
            <w:pPr>
              <w:spacing w:before="20" w:after="20"/>
            </w:pPr>
          </w:p>
        </w:tc>
        <w:tc>
          <w:tcPr>
            <w:tcW w:w="3135" w:type="dxa"/>
            <w:gridSpan w:val="5"/>
            <w:shd w:val="clear" w:color="auto" w:fill="D9E2F3"/>
            <w:vAlign w:val="center"/>
          </w:tcPr>
          <w:p w14:paraId="26805E32" w14:textId="77777777" w:rsidR="00990B14" w:rsidRDefault="00000000">
            <w:pPr>
              <w:spacing w:before="20" w:after="20"/>
              <w:jc w:val="both"/>
            </w:pPr>
            <w:r>
              <w:rPr>
                <w:sz w:val="18"/>
                <w:szCs w:val="18"/>
              </w:rPr>
              <w:t>1.2 Registra en equipo el uso de herramientas de inteligencia artificial en la búsqueda bibliográfica, con la verificación de sus resultados.</w:t>
            </w:r>
          </w:p>
        </w:tc>
        <w:tc>
          <w:tcPr>
            <w:tcW w:w="3137" w:type="dxa"/>
            <w:gridSpan w:val="4"/>
            <w:shd w:val="clear" w:color="auto" w:fill="D9E2F3"/>
            <w:vAlign w:val="center"/>
          </w:tcPr>
          <w:p w14:paraId="25AA5F96" w14:textId="77777777" w:rsidR="00990B14" w:rsidRDefault="00000000">
            <w:pPr>
              <w:spacing w:before="20" w:after="20"/>
              <w:jc w:val="both"/>
            </w:pPr>
            <w:r>
              <w:rPr>
                <w:b/>
                <w:bCs/>
                <w:sz w:val="18"/>
                <w:szCs w:val="18"/>
              </w:rPr>
              <w:t xml:space="preserve">Producto 6: </w:t>
            </w:r>
            <w:r>
              <w:rPr>
                <w:sz w:val="18"/>
                <w:szCs w:val="18"/>
              </w:rPr>
              <w:t>Registro del uso de herramientas de inteligencia artificial con la verificación de sus resultados.</w:t>
            </w:r>
          </w:p>
        </w:tc>
      </w:tr>
      <w:tr w:rsidR="00990B14" w14:paraId="0440FBBC" w14:textId="77777777">
        <w:trPr>
          <w:cantSplit/>
          <w:jc w:val="center"/>
        </w:trPr>
        <w:tc>
          <w:tcPr>
            <w:tcW w:w="3133" w:type="dxa"/>
            <w:gridSpan w:val="4"/>
            <w:vMerge w:val="restart"/>
            <w:shd w:val="clear" w:color="auto" w:fill="D9E2F3"/>
            <w:vAlign w:val="center"/>
          </w:tcPr>
          <w:p w14:paraId="6BCB490C" w14:textId="77777777" w:rsidR="00990B14" w:rsidRDefault="00000000">
            <w:pPr>
              <w:spacing w:before="20" w:after="20"/>
              <w:jc w:val="both"/>
            </w:pPr>
            <w:r>
              <w:rPr>
                <w:sz w:val="18"/>
                <w:szCs w:val="18"/>
              </w:rPr>
              <w:t>2. Plantea el problema de investigación con sus preguntas, sus objetivos, su justificación y su delimitación, comprobando la consistencia entre el problema y los objetivos.</w:t>
            </w:r>
          </w:p>
        </w:tc>
        <w:tc>
          <w:tcPr>
            <w:tcW w:w="3135" w:type="dxa"/>
            <w:gridSpan w:val="5"/>
            <w:shd w:val="clear" w:color="auto" w:fill="D9E2F3"/>
            <w:vAlign w:val="center"/>
          </w:tcPr>
          <w:p w14:paraId="70BE474B" w14:textId="77777777" w:rsidR="00990B14" w:rsidRDefault="00000000">
            <w:pPr>
              <w:spacing w:before="20" w:after="20"/>
              <w:jc w:val="both"/>
            </w:pPr>
            <w:r>
              <w:rPr>
                <w:sz w:val="18"/>
                <w:szCs w:val="18"/>
              </w:rPr>
              <w:t>2.1 Plantea en aula el problema y las preguntas de una investigación propia vinculada a una línea de investigación de la Carrera.</w:t>
            </w:r>
          </w:p>
        </w:tc>
        <w:tc>
          <w:tcPr>
            <w:tcW w:w="3137" w:type="dxa"/>
            <w:gridSpan w:val="4"/>
            <w:shd w:val="clear" w:color="auto" w:fill="D9E2F3"/>
            <w:vAlign w:val="center"/>
          </w:tcPr>
          <w:p w14:paraId="4EC204DA" w14:textId="77777777" w:rsidR="00990B14" w:rsidRDefault="00000000">
            <w:pPr>
              <w:spacing w:before="20" w:after="20"/>
              <w:jc w:val="both"/>
            </w:pPr>
            <w:r>
              <w:rPr>
                <w:b/>
                <w:bCs/>
                <w:sz w:val="18"/>
                <w:szCs w:val="18"/>
              </w:rPr>
              <w:t xml:space="preserve">Producto 7: </w:t>
            </w:r>
            <w:r>
              <w:rPr>
                <w:sz w:val="18"/>
                <w:szCs w:val="18"/>
              </w:rPr>
              <w:t>Planteamiento del problema con sus preguntas, justificación y delimitación.</w:t>
            </w:r>
          </w:p>
        </w:tc>
      </w:tr>
      <w:tr w:rsidR="00990B14" w14:paraId="29D08755" w14:textId="77777777">
        <w:trPr>
          <w:cantSplit/>
          <w:jc w:val="center"/>
        </w:trPr>
        <w:tc>
          <w:tcPr>
            <w:tcW w:w="3133" w:type="dxa"/>
            <w:gridSpan w:val="4"/>
            <w:vMerge/>
            <w:shd w:val="clear" w:color="auto" w:fill="D9E2F3"/>
            <w:vAlign w:val="center"/>
          </w:tcPr>
          <w:p w14:paraId="4C061B49" w14:textId="77777777" w:rsidR="00990B14" w:rsidRDefault="00990B14">
            <w:pPr>
              <w:spacing w:before="20" w:after="20"/>
            </w:pPr>
          </w:p>
        </w:tc>
        <w:tc>
          <w:tcPr>
            <w:tcW w:w="3135" w:type="dxa"/>
            <w:gridSpan w:val="5"/>
            <w:shd w:val="clear" w:color="auto" w:fill="D9E2F3"/>
            <w:vAlign w:val="center"/>
          </w:tcPr>
          <w:p w14:paraId="21519E02" w14:textId="77777777" w:rsidR="00990B14" w:rsidRDefault="00000000">
            <w:pPr>
              <w:spacing w:before="20" w:after="20"/>
              <w:jc w:val="both"/>
            </w:pPr>
            <w:r>
              <w:rPr>
                <w:sz w:val="18"/>
                <w:szCs w:val="18"/>
              </w:rPr>
              <w:t>2.2 Formula individualmente los objetivos general y específicos de la investigación, revisando en equipo su coherencia con el problema planteado.</w:t>
            </w:r>
          </w:p>
        </w:tc>
        <w:tc>
          <w:tcPr>
            <w:tcW w:w="3137" w:type="dxa"/>
            <w:gridSpan w:val="4"/>
            <w:shd w:val="clear" w:color="auto" w:fill="D9E2F3"/>
            <w:vAlign w:val="center"/>
          </w:tcPr>
          <w:p w14:paraId="53276813" w14:textId="77777777" w:rsidR="00990B14" w:rsidRDefault="00000000">
            <w:pPr>
              <w:spacing w:before="20" w:after="20"/>
              <w:jc w:val="both"/>
            </w:pPr>
            <w:r>
              <w:rPr>
                <w:b/>
                <w:bCs/>
                <w:sz w:val="18"/>
                <w:szCs w:val="18"/>
              </w:rPr>
              <w:t xml:space="preserve">Producto 8: </w:t>
            </w:r>
            <w:r>
              <w:rPr>
                <w:sz w:val="18"/>
                <w:szCs w:val="18"/>
              </w:rPr>
              <w:t>Matriz de consistencia entre el problema, las preguntas y los objetivos.</w:t>
            </w:r>
          </w:p>
        </w:tc>
      </w:tr>
      <w:tr w:rsidR="00990B14" w14:paraId="3D1AAFAF" w14:textId="77777777">
        <w:trPr>
          <w:cantSplit/>
          <w:jc w:val="center"/>
        </w:trPr>
        <w:tc>
          <w:tcPr>
            <w:tcW w:w="9405" w:type="dxa"/>
            <w:gridSpan w:val="13"/>
            <w:shd w:val="clear" w:color="auto" w:fill="4472C4"/>
            <w:vAlign w:val="center"/>
          </w:tcPr>
          <w:p w14:paraId="3FE486F8" w14:textId="77777777" w:rsidR="00990B14" w:rsidRDefault="00000000">
            <w:pPr>
              <w:keepNext/>
              <w:spacing w:before="20" w:after="20"/>
              <w:jc w:val="center"/>
            </w:pPr>
            <w:r>
              <w:rPr>
                <w:b/>
                <w:bCs/>
                <w:i/>
                <w:iCs/>
                <w:color w:val="FFFFFF"/>
                <w:sz w:val="18"/>
                <w:szCs w:val="18"/>
              </w:rPr>
              <w:t>Evidencias de conocimiento</w:t>
            </w:r>
          </w:p>
        </w:tc>
      </w:tr>
      <w:tr w:rsidR="00990B14" w14:paraId="2D345C13" w14:textId="77777777">
        <w:trPr>
          <w:cantSplit/>
          <w:jc w:val="center"/>
        </w:trPr>
        <w:tc>
          <w:tcPr>
            <w:tcW w:w="2349" w:type="dxa"/>
            <w:gridSpan w:val="2"/>
            <w:shd w:val="clear" w:color="auto" w:fill="4472C4"/>
            <w:vAlign w:val="center"/>
          </w:tcPr>
          <w:p w14:paraId="43D2B360"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05384BCF" w14:textId="77777777" w:rsidR="00990B14" w:rsidRDefault="00000000">
            <w:pPr>
              <w:keepNext/>
              <w:spacing w:before="20" w:after="20"/>
              <w:jc w:val="both"/>
            </w:pPr>
            <w:r>
              <w:rPr>
                <w:b/>
                <w:bCs/>
                <w:i/>
                <w:iCs/>
                <w:color w:val="FFFFFF"/>
                <w:sz w:val="18"/>
                <w:szCs w:val="18"/>
              </w:rPr>
              <w:t>Contenidos</w:t>
            </w:r>
          </w:p>
          <w:p w14:paraId="5BC1072F"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173D7EC0" w14:textId="77777777" w:rsidR="00990B14" w:rsidRDefault="00000000">
            <w:pPr>
              <w:keepNext/>
              <w:spacing w:before="20" w:after="20"/>
              <w:jc w:val="center"/>
            </w:pPr>
            <w:r>
              <w:rPr>
                <w:b/>
                <w:bCs/>
                <w:i/>
                <w:iCs/>
                <w:color w:val="FFFFFF"/>
                <w:sz w:val="18"/>
                <w:szCs w:val="18"/>
              </w:rPr>
              <w:t>Conocimientos circunstanciales</w:t>
            </w:r>
          </w:p>
        </w:tc>
      </w:tr>
      <w:tr w:rsidR="00990B14" w14:paraId="07E94F66" w14:textId="77777777">
        <w:trPr>
          <w:jc w:val="center"/>
        </w:trPr>
        <w:tc>
          <w:tcPr>
            <w:tcW w:w="2349" w:type="dxa"/>
            <w:gridSpan w:val="2"/>
            <w:shd w:val="clear" w:color="auto" w:fill="D9E2F3"/>
          </w:tcPr>
          <w:p w14:paraId="4CBD13F4" w14:textId="77777777" w:rsidR="00990B14" w:rsidRDefault="00000000">
            <w:pPr>
              <w:spacing w:before="20" w:after="40"/>
              <w:jc w:val="both"/>
            </w:pPr>
            <w:r>
              <w:rPr>
                <w:sz w:val="18"/>
                <w:szCs w:val="18"/>
              </w:rPr>
              <w:t>Tema 3: Técnicas de apoyo a la investigación</w:t>
            </w:r>
          </w:p>
          <w:p w14:paraId="0CB34352" w14:textId="77777777" w:rsidR="00990B14" w:rsidRDefault="00000000">
            <w:pPr>
              <w:spacing w:before="20" w:after="40"/>
              <w:jc w:val="both"/>
            </w:pPr>
            <w:r>
              <w:rPr>
                <w:sz w:val="18"/>
                <w:szCs w:val="18"/>
              </w:rPr>
              <w:t>Tema 4: Planteamiento del problema y los objetivos de investigación</w:t>
            </w:r>
          </w:p>
        </w:tc>
        <w:tc>
          <w:tcPr>
            <w:tcW w:w="4304" w:type="dxa"/>
            <w:gridSpan w:val="8"/>
            <w:shd w:val="clear" w:color="auto" w:fill="D9E2F3"/>
          </w:tcPr>
          <w:p w14:paraId="542A65CC" w14:textId="77777777" w:rsidR="00990B14" w:rsidRDefault="00000000">
            <w:pPr>
              <w:spacing w:after="40"/>
              <w:jc w:val="both"/>
            </w:pPr>
            <w:r>
              <w:rPr>
                <w:sz w:val="18"/>
                <w:szCs w:val="18"/>
              </w:rPr>
              <w:t>Redacción técnico-científica y su aplicación en los trabajos de investigación, con un sistema normalizado de citas y referencias APA. (C, P)</w:t>
            </w:r>
          </w:p>
          <w:p w14:paraId="7990281C" w14:textId="77777777" w:rsidR="00990B14" w:rsidRDefault="00000000">
            <w:pPr>
              <w:spacing w:after="40"/>
              <w:jc w:val="both"/>
            </w:pPr>
            <w:r>
              <w:rPr>
                <w:sz w:val="18"/>
                <w:szCs w:val="18"/>
              </w:rPr>
              <w:t>Gestores bibliográficos Word, Zotero y Mendeley para la organización de referencias. (C)</w:t>
            </w:r>
          </w:p>
          <w:p w14:paraId="2A5FB4AE" w14:textId="77777777" w:rsidR="00990B14" w:rsidRDefault="00000000">
            <w:pPr>
              <w:spacing w:after="40"/>
              <w:jc w:val="both"/>
            </w:pPr>
            <w:r>
              <w:rPr>
                <w:sz w:val="18"/>
                <w:szCs w:val="18"/>
              </w:rPr>
              <w:t>Búsqueda de literatura en repositorios y bases de datos académicas, incluido el Repositorio Institucional de la UMSA. (C)</w:t>
            </w:r>
          </w:p>
          <w:p w14:paraId="34A35074" w14:textId="77777777" w:rsidR="00990B14" w:rsidRDefault="00000000">
            <w:pPr>
              <w:spacing w:after="40"/>
              <w:jc w:val="both"/>
            </w:pPr>
            <w:r>
              <w:rPr>
                <w:sz w:val="18"/>
                <w:szCs w:val="18"/>
              </w:rPr>
              <w:t>Lectura y resúmenes de artículos científicos en inglés para la revisión de literatura. (C)</w:t>
            </w:r>
          </w:p>
          <w:p w14:paraId="7852326D" w14:textId="77777777" w:rsidR="00990B14" w:rsidRDefault="00000000">
            <w:pPr>
              <w:spacing w:after="40"/>
              <w:jc w:val="both"/>
            </w:pPr>
            <w:r>
              <w:rPr>
                <w:sz w:val="18"/>
                <w:szCs w:val="18"/>
              </w:rPr>
              <w:t>Aplicaciones de la inteligencia artificial en la investigación: búsqueda bibliográfica, redacción preliminar, detección de plagio y plagio IA. (C, T)</w:t>
            </w:r>
          </w:p>
          <w:p w14:paraId="046579F6" w14:textId="77777777" w:rsidR="00990B14" w:rsidRDefault="00000000">
            <w:pPr>
              <w:spacing w:after="40"/>
              <w:jc w:val="both"/>
            </w:pPr>
            <w:r>
              <w:rPr>
                <w:sz w:val="18"/>
                <w:szCs w:val="18"/>
              </w:rPr>
              <w:t>Uso responsable de la inteligencia artificial en la investigación: verificación de sus resultados, declaración de su uso y respeto de la autoría, según la Recomendación sobre la ética de la inteligencia artificial de la UNESCO. (P, A, T)</w:t>
            </w:r>
          </w:p>
          <w:p w14:paraId="4404774F" w14:textId="77777777" w:rsidR="00990B14" w:rsidRDefault="00000000">
            <w:pPr>
              <w:spacing w:after="40"/>
              <w:jc w:val="both"/>
            </w:pPr>
            <w:r>
              <w:rPr>
                <w:sz w:val="18"/>
                <w:szCs w:val="18"/>
              </w:rPr>
              <w:t>Evaluación crítica de las fuentes de información: autoría, actualidad, pertinencia y sesgos. (P)</w:t>
            </w:r>
          </w:p>
          <w:p w14:paraId="7A61DA3A" w14:textId="77777777" w:rsidR="00990B14" w:rsidRDefault="00000000">
            <w:pPr>
              <w:spacing w:after="40"/>
              <w:jc w:val="both"/>
            </w:pPr>
            <w:r>
              <w:rPr>
                <w:sz w:val="18"/>
                <w:szCs w:val="18"/>
              </w:rPr>
              <w:t>Plagio y derecho de autor: cita de obras ajenas con mención de la fuente y del autor, según la Ley N.º 1322. (C)</w:t>
            </w:r>
          </w:p>
          <w:p w14:paraId="16FDDCAF" w14:textId="77777777" w:rsidR="00990B14" w:rsidRDefault="00000000">
            <w:pPr>
              <w:spacing w:after="40"/>
              <w:jc w:val="both"/>
            </w:pPr>
            <w:r>
              <w:rPr>
                <w:sz w:val="18"/>
                <w:szCs w:val="18"/>
              </w:rPr>
              <w:t>Criterios para plantear el problema de investigación y formular las preguntas de investigación. (C)</w:t>
            </w:r>
          </w:p>
          <w:p w14:paraId="2407D18F" w14:textId="77777777" w:rsidR="00990B14" w:rsidRDefault="00000000">
            <w:pPr>
              <w:spacing w:after="40"/>
              <w:jc w:val="both"/>
            </w:pPr>
            <w:r>
              <w:rPr>
                <w:sz w:val="18"/>
                <w:szCs w:val="18"/>
              </w:rPr>
              <w:t>Objetivos de la investigación: general y específicos; justificación y delimitación de la investigación. (C)</w:t>
            </w:r>
          </w:p>
          <w:p w14:paraId="5AFF2653" w14:textId="77777777" w:rsidR="00990B14" w:rsidRDefault="00000000">
            <w:pPr>
              <w:spacing w:after="40"/>
              <w:jc w:val="both"/>
            </w:pPr>
            <w:r>
              <w:rPr>
                <w:sz w:val="18"/>
                <w:szCs w:val="18"/>
              </w:rPr>
              <w:t>Criterios para evaluar la consistencia entre el problema y los objetivos de investigación. (C)</w:t>
            </w:r>
          </w:p>
          <w:p w14:paraId="096E3405" w14:textId="77777777" w:rsidR="00990B14" w:rsidRDefault="00000000">
            <w:pPr>
              <w:spacing w:after="40"/>
              <w:jc w:val="both"/>
            </w:pPr>
            <w:r>
              <w:rPr>
                <w:sz w:val="18"/>
                <w:szCs w:val="18"/>
              </w:rPr>
              <w:t>Líneas de investigación de la Carrera en contabilidad, tributación, finanzas y aseguramiento, y continuidad del proyecto de investigación hacia las modalidades de graduación con investigación. (C)</w:t>
            </w:r>
          </w:p>
        </w:tc>
        <w:tc>
          <w:tcPr>
            <w:tcW w:w="2752" w:type="dxa"/>
            <w:gridSpan w:val="3"/>
            <w:shd w:val="clear" w:color="auto" w:fill="D9E2F3"/>
          </w:tcPr>
          <w:p w14:paraId="63CE4C93" w14:textId="77777777" w:rsidR="00990B14" w:rsidRDefault="00000000">
            <w:pPr>
              <w:numPr>
                <w:ilvl w:val="0"/>
                <w:numId w:val="139"/>
              </w:numPr>
              <w:spacing w:before="10" w:after="10"/>
              <w:jc w:val="both"/>
            </w:pPr>
            <w:r>
              <w:rPr>
                <w:sz w:val="18"/>
                <w:szCs w:val="18"/>
              </w:rPr>
              <w:t>Normas de ortografía, puntuación y estilo del español académico. Normas de redacción técnica (lógica, semántica y gramática)</w:t>
            </w:r>
          </w:p>
          <w:p w14:paraId="7C5C9C68" w14:textId="77777777" w:rsidR="00990B14" w:rsidRDefault="00000000">
            <w:pPr>
              <w:numPr>
                <w:ilvl w:val="0"/>
                <w:numId w:val="139"/>
              </w:numPr>
              <w:spacing w:before="10" w:after="10"/>
              <w:jc w:val="both"/>
            </w:pPr>
            <w:r>
              <w:rPr>
                <w:sz w:val="18"/>
                <w:szCs w:val="18"/>
              </w:rPr>
              <w:t>Nociones de búsqueda avanzada con operadores booleanos en catálogos y bases académicas.</w:t>
            </w:r>
          </w:p>
        </w:tc>
      </w:tr>
      <w:tr w:rsidR="00990B14" w14:paraId="03F631E8" w14:textId="77777777">
        <w:trPr>
          <w:cantSplit/>
          <w:jc w:val="center"/>
        </w:trPr>
        <w:tc>
          <w:tcPr>
            <w:tcW w:w="9405" w:type="dxa"/>
            <w:gridSpan w:val="13"/>
            <w:shd w:val="clear" w:color="auto" w:fill="D9E2F3"/>
            <w:vAlign w:val="center"/>
          </w:tcPr>
          <w:p w14:paraId="1C97BB39" w14:textId="77777777" w:rsidR="00990B14" w:rsidRDefault="00000000">
            <w:pPr>
              <w:spacing w:before="20" w:after="20"/>
              <w:jc w:val="both"/>
            </w:pPr>
            <w:r>
              <w:rPr>
                <w:b/>
                <w:bCs/>
                <w:i/>
                <w:iCs/>
                <w:sz w:val="18"/>
                <w:szCs w:val="18"/>
              </w:rPr>
              <w:t xml:space="preserve">Elemento de competencia 3: </w:t>
            </w:r>
            <w:r>
              <w:rPr>
                <w:sz w:val="18"/>
                <w:szCs w:val="18"/>
              </w:rPr>
              <w:t>Formula la hipótesis de una investigación, construyendo el marco teórico y definiendo el tipo de estudio conforme a la clasificación de Dankhe.</w:t>
            </w:r>
          </w:p>
        </w:tc>
      </w:tr>
      <w:tr w:rsidR="00990B14" w14:paraId="2F721B64" w14:textId="77777777">
        <w:trPr>
          <w:cantSplit/>
          <w:jc w:val="center"/>
        </w:trPr>
        <w:tc>
          <w:tcPr>
            <w:tcW w:w="3133" w:type="dxa"/>
            <w:gridSpan w:val="4"/>
            <w:shd w:val="clear" w:color="auto" w:fill="4472C4"/>
            <w:vAlign w:val="center"/>
          </w:tcPr>
          <w:p w14:paraId="16E54D9A"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75DEC8E3"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7ECD924A" w14:textId="77777777" w:rsidR="00990B14" w:rsidRDefault="00000000">
            <w:pPr>
              <w:keepNext/>
              <w:spacing w:before="20" w:after="20"/>
              <w:jc w:val="center"/>
            </w:pPr>
            <w:r>
              <w:rPr>
                <w:b/>
                <w:bCs/>
                <w:i/>
                <w:iCs/>
                <w:color w:val="FFFFFF"/>
                <w:sz w:val="18"/>
                <w:szCs w:val="18"/>
              </w:rPr>
              <w:t>Evidencias de producto</w:t>
            </w:r>
          </w:p>
        </w:tc>
      </w:tr>
      <w:tr w:rsidR="00990B14" w14:paraId="111D8BD2" w14:textId="77777777">
        <w:trPr>
          <w:cantSplit/>
          <w:jc w:val="center"/>
        </w:trPr>
        <w:tc>
          <w:tcPr>
            <w:tcW w:w="3133" w:type="dxa"/>
            <w:gridSpan w:val="4"/>
            <w:vMerge w:val="restart"/>
            <w:shd w:val="clear" w:color="auto" w:fill="D9E2F3"/>
            <w:vAlign w:val="center"/>
          </w:tcPr>
          <w:p w14:paraId="4791A491" w14:textId="77777777" w:rsidR="00990B14" w:rsidRDefault="00000000">
            <w:pPr>
              <w:spacing w:before="20" w:after="20"/>
              <w:jc w:val="both"/>
            </w:pPr>
            <w:r>
              <w:rPr>
                <w:sz w:val="18"/>
                <w:szCs w:val="18"/>
              </w:rPr>
              <w:t>1. Construye el marco teórico de una investigación a partir de la revisión de literatura, definiendo el tipo de estudio según la clasificación de Dankhe.</w:t>
            </w:r>
          </w:p>
        </w:tc>
        <w:tc>
          <w:tcPr>
            <w:tcW w:w="3135" w:type="dxa"/>
            <w:gridSpan w:val="5"/>
            <w:shd w:val="clear" w:color="auto" w:fill="D9E2F3"/>
            <w:vAlign w:val="center"/>
          </w:tcPr>
          <w:p w14:paraId="39633554" w14:textId="77777777" w:rsidR="00990B14" w:rsidRDefault="00000000">
            <w:pPr>
              <w:spacing w:before="20" w:after="20"/>
              <w:jc w:val="both"/>
            </w:pPr>
            <w:r>
              <w:rPr>
                <w:sz w:val="18"/>
                <w:szCs w:val="18"/>
              </w:rPr>
              <w:t>1.1 Construye en aula el marco teórico de una investigación propia con su revisión de literatura y su marco normativo.</w:t>
            </w:r>
          </w:p>
        </w:tc>
        <w:tc>
          <w:tcPr>
            <w:tcW w:w="3137" w:type="dxa"/>
            <w:gridSpan w:val="4"/>
            <w:shd w:val="clear" w:color="auto" w:fill="D9E2F3"/>
            <w:vAlign w:val="center"/>
          </w:tcPr>
          <w:p w14:paraId="2E01AB83" w14:textId="77777777" w:rsidR="00990B14" w:rsidRDefault="00000000">
            <w:pPr>
              <w:spacing w:before="20" w:after="20"/>
              <w:jc w:val="both"/>
            </w:pPr>
            <w:r>
              <w:rPr>
                <w:b/>
                <w:bCs/>
                <w:sz w:val="18"/>
                <w:szCs w:val="18"/>
              </w:rPr>
              <w:t xml:space="preserve">Producto 9: </w:t>
            </w:r>
            <w:r>
              <w:rPr>
                <w:sz w:val="18"/>
                <w:szCs w:val="18"/>
              </w:rPr>
              <w:t>Marco teórico de una investigación con su revisión de literatura.</w:t>
            </w:r>
          </w:p>
        </w:tc>
      </w:tr>
      <w:tr w:rsidR="00990B14" w14:paraId="4ADD979F" w14:textId="77777777">
        <w:trPr>
          <w:cantSplit/>
          <w:jc w:val="center"/>
        </w:trPr>
        <w:tc>
          <w:tcPr>
            <w:tcW w:w="3133" w:type="dxa"/>
            <w:gridSpan w:val="4"/>
            <w:vMerge/>
            <w:shd w:val="clear" w:color="auto" w:fill="D9E2F3"/>
            <w:vAlign w:val="center"/>
          </w:tcPr>
          <w:p w14:paraId="3589B8DA" w14:textId="77777777" w:rsidR="00990B14" w:rsidRDefault="00990B14">
            <w:pPr>
              <w:spacing w:before="20" w:after="20"/>
            </w:pPr>
          </w:p>
        </w:tc>
        <w:tc>
          <w:tcPr>
            <w:tcW w:w="3135" w:type="dxa"/>
            <w:gridSpan w:val="5"/>
            <w:shd w:val="clear" w:color="auto" w:fill="D9E2F3"/>
            <w:vAlign w:val="center"/>
          </w:tcPr>
          <w:p w14:paraId="7F855A8F" w14:textId="77777777" w:rsidR="00990B14" w:rsidRDefault="00000000">
            <w:pPr>
              <w:spacing w:before="20" w:after="20"/>
              <w:jc w:val="both"/>
            </w:pPr>
            <w:r>
              <w:rPr>
                <w:sz w:val="18"/>
                <w:szCs w:val="18"/>
              </w:rPr>
              <w:t>1.2 Clasifica en equipo un conjunto de tesis del Repositorio Institucional de la UMSA en estudios exploratorios, descriptivos, correlacionales o explicativos.</w:t>
            </w:r>
          </w:p>
        </w:tc>
        <w:tc>
          <w:tcPr>
            <w:tcW w:w="3137" w:type="dxa"/>
            <w:gridSpan w:val="4"/>
            <w:shd w:val="clear" w:color="auto" w:fill="D9E2F3"/>
            <w:vAlign w:val="center"/>
          </w:tcPr>
          <w:p w14:paraId="39F01836" w14:textId="77777777" w:rsidR="00990B14" w:rsidRDefault="00000000">
            <w:pPr>
              <w:spacing w:before="20" w:after="20"/>
              <w:jc w:val="both"/>
            </w:pPr>
            <w:r>
              <w:rPr>
                <w:b/>
                <w:bCs/>
                <w:sz w:val="18"/>
                <w:szCs w:val="18"/>
              </w:rPr>
              <w:t xml:space="preserve">Producto 10: </w:t>
            </w:r>
            <w:r>
              <w:rPr>
                <w:sz w:val="18"/>
                <w:szCs w:val="18"/>
              </w:rPr>
              <w:t>Cuadro de clasificación de tipos de estudios según la tipología de Dankhe.</w:t>
            </w:r>
          </w:p>
        </w:tc>
      </w:tr>
      <w:tr w:rsidR="00990B14" w14:paraId="2611808C" w14:textId="77777777">
        <w:trPr>
          <w:cantSplit/>
          <w:jc w:val="center"/>
        </w:trPr>
        <w:tc>
          <w:tcPr>
            <w:tcW w:w="3133" w:type="dxa"/>
            <w:gridSpan w:val="4"/>
            <w:vMerge w:val="restart"/>
            <w:shd w:val="clear" w:color="auto" w:fill="D9E2F3"/>
            <w:vAlign w:val="center"/>
          </w:tcPr>
          <w:p w14:paraId="320E9DF5" w14:textId="77777777" w:rsidR="00990B14" w:rsidRDefault="00000000">
            <w:pPr>
              <w:spacing w:before="20" w:after="20"/>
              <w:jc w:val="both"/>
            </w:pPr>
            <w:r>
              <w:rPr>
                <w:sz w:val="18"/>
                <w:szCs w:val="18"/>
              </w:rPr>
              <w:t>2. Formula la hipótesis de investigación, la hipótesis nula y la alternativa, operacionalizando sus variables en indicadores medibles del campo contable o financiero y, explica el procedimiento en caso de ausencia de hipótesis.</w:t>
            </w:r>
          </w:p>
        </w:tc>
        <w:tc>
          <w:tcPr>
            <w:tcW w:w="3135" w:type="dxa"/>
            <w:gridSpan w:val="5"/>
            <w:shd w:val="clear" w:color="auto" w:fill="D9E2F3"/>
            <w:vAlign w:val="center"/>
          </w:tcPr>
          <w:p w14:paraId="75CE88C2" w14:textId="77777777" w:rsidR="00990B14" w:rsidRDefault="00000000">
            <w:pPr>
              <w:spacing w:before="20" w:after="20"/>
              <w:jc w:val="both"/>
            </w:pPr>
            <w:r>
              <w:rPr>
                <w:sz w:val="18"/>
                <w:szCs w:val="18"/>
              </w:rPr>
              <w:t>2.1 Formula individualmente y evalúa en equipo la hipótesis de investigación, la hipótesis nula y la hipótesis alternativa de un estudio.</w:t>
            </w:r>
          </w:p>
        </w:tc>
        <w:tc>
          <w:tcPr>
            <w:tcW w:w="3137" w:type="dxa"/>
            <w:gridSpan w:val="4"/>
            <w:shd w:val="clear" w:color="auto" w:fill="D9E2F3"/>
            <w:vAlign w:val="center"/>
          </w:tcPr>
          <w:p w14:paraId="0F6162A1" w14:textId="77777777" w:rsidR="00990B14" w:rsidRDefault="00000000">
            <w:pPr>
              <w:spacing w:before="20" w:after="20"/>
              <w:jc w:val="both"/>
            </w:pPr>
            <w:r>
              <w:rPr>
                <w:b/>
                <w:bCs/>
                <w:sz w:val="18"/>
                <w:szCs w:val="18"/>
              </w:rPr>
              <w:t xml:space="preserve">Producto 11: </w:t>
            </w:r>
            <w:r>
              <w:rPr>
                <w:sz w:val="18"/>
                <w:szCs w:val="18"/>
              </w:rPr>
              <w:t>Hipótesis de investigación con su hipótesis nula y su hipótesis alternativa (si corresponde).</w:t>
            </w:r>
          </w:p>
        </w:tc>
      </w:tr>
      <w:tr w:rsidR="00990B14" w14:paraId="05FE19DD" w14:textId="77777777">
        <w:trPr>
          <w:cantSplit/>
          <w:jc w:val="center"/>
        </w:trPr>
        <w:tc>
          <w:tcPr>
            <w:tcW w:w="3133" w:type="dxa"/>
            <w:gridSpan w:val="4"/>
            <w:vMerge/>
            <w:shd w:val="clear" w:color="auto" w:fill="D9E2F3"/>
            <w:vAlign w:val="center"/>
          </w:tcPr>
          <w:p w14:paraId="087D4E55" w14:textId="77777777" w:rsidR="00990B14" w:rsidRDefault="00990B14">
            <w:pPr>
              <w:spacing w:before="20" w:after="20"/>
            </w:pPr>
          </w:p>
        </w:tc>
        <w:tc>
          <w:tcPr>
            <w:tcW w:w="3135" w:type="dxa"/>
            <w:gridSpan w:val="5"/>
            <w:shd w:val="clear" w:color="auto" w:fill="D9E2F3"/>
            <w:vAlign w:val="center"/>
          </w:tcPr>
          <w:p w14:paraId="4A32D3B1" w14:textId="77777777" w:rsidR="00990B14" w:rsidRDefault="00000000">
            <w:pPr>
              <w:spacing w:before="20" w:after="20"/>
              <w:jc w:val="both"/>
            </w:pPr>
            <w:r>
              <w:rPr>
                <w:sz w:val="18"/>
                <w:szCs w:val="18"/>
              </w:rPr>
              <w:t>2.2 Desagrega en aula las variables de su hipótesis en dimensiones e indicadores medibles.</w:t>
            </w:r>
          </w:p>
        </w:tc>
        <w:tc>
          <w:tcPr>
            <w:tcW w:w="3137" w:type="dxa"/>
            <w:gridSpan w:val="4"/>
            <w:shd w:val="clear" w:color="auto" w:fill="D9E2F3"/>
            <w:vAlign w:val="center"/>
          </w:tcPr>
          <w:p w14:paraId="1AF00BB7" w14:textId="77777777" w:rsidR="00990B14" w:rsidRDefault="00000000">
            <w:pPr>
              <w:spacing w:before="20" w:after="20"/>
              <w:jc w:val="both"/>
            </w:pPr>
            <w:r>
              <w:rPr>
                <w:b/>
                <w:bCs/>
                <w:sz w:val="18"/>
                <w:szCs w:val="18"/>
              </w:rPr>
              <w:t xml:space="preserve">Producto 12: </w:t>
            </w:r>
            <w:r>
              <w:rPr>
                <w:sz w:val="18"/>
                <w:szCs w:val="18"/>
              </w:rPr>
              <w:t>Matriz de operacionalización de variables.</w:t>
            </w:r>
          </w:p>
        </w:tc>
      </w:tr>
      <w:tr w:rsidR="00990B14" w14:paraId="3E4C9BAC" w14:textId="77777777">
        <w:trPr>
          <w:cantSplit/>
          <w:jc w:val="center"/>
        </w:trPr>
        <w:tc>
          <w:tcPr>
            <w:tcW w:w="9405" w:type="dxa"/>
            <w:gridSpan w:val="13"/>
            <w:shd w:val="clear" w:color="auto" w:fill="4472C4"/>
            <w:vAlign w:val="center"/>
          </w:tcPr>
          <w:p w14:paraId="0032F779" w14:textId="77777777" w:rsidR="00990B14" w:rsidRDefault="00000000">
            <w:pPr>
              <w:keepNext/>
              <w:spacing w:before="20" w:after="20"/>
              <w:jc w:val="center"/>
            </w:pPr>
            <w:r>
              <w:rPr>
                <w:b/>
                <w:bCs/>
                <w:i/>
                <w:iCs/>
                <w:color w:val="FFFFFF"/>
                <w:sz w:val="18"/>
                <w:szCs w:val="18"/>
              </w:rPr>
              <w:t>Evidencias de conocimiento</w:t>
            </w:r>
          </w:p>
        </w:tc>
      </w:tr>
      <w:tr w:rsidR="00990B14" w14:paraId="03E88AAB" w14:textId="77777777">
        <w:trPr>
          <w:cantSplit/>
          <w:jc w:val="center"/>
        </w:trPr>
        <w:tc>
          <w:tcPr>
            <w:tcW w:w="2349" w:type="dxa"/>
            <w:gridSpan w:val="2"/>
            <w:shd w:val="clear" w:color="auto" w:fill="4472C4"/>
            <w:vAlign w:val="center"/>
          </w:tcPr>
          <w:p w14:paraId="1BFCF09A"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51A70103" w14:textId="77777777" w:rsidR="00990B14" w:rsidRDefault="00000000">
            <w:pPr>
              <w:keepNext/>
              <w:spacing w:before="20" w:after="20"/>
              <w:jc w:val="both"/>
            </w:pPr>
            <w:r>
              <w:rPr>
                <w:b/>
                <w:bCs/>
                <w:i/>
                <w:iCs/>
                <w:color w:val="FFFFFF"/>
                <w:sz w:val="18"/>
                <w:szCs w:val="18"/>
              </w:rPr>
              <w:t>Contenidos</w:t>
            </w:r>
          </w:p>
          <w:p w14:paraId="0EDEAB5B"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0F607EAE" w14:textId="77777777" w:rsidR="00990B14" w:rsidRDefault="00000000">
            <w:pPr>
              <w:keepNext/>
              <w:spacing w:before="20" w:after="20"/>
              <w:jc w:val="center"/>
            </w:pPr>
            <w:r>
              <w:rPr>
                <w:b/>
                <w:bCs/>
                <w:i/>
                <w:iCs/>
                <w:color w:val="FFFFFF"/>
                <w:sz w:val="18"/>
                <w:szCs w:val="18"/>
              </w:rPr>
              <w:t>Conocimientos circunstanciales</w:t>
            </w:r>
          </w:p>
        </w:tc>
      </w:tr>
      <w:tr w:rsidR="00990B14" w14:paraId="5339ABDD" w14:textId="77777777">
        <w:trPr>
          <w:jc w:val="center"/>
        </w:trPr>
        <w:tc>
          <w:tcPr>
            <w:tcW w:w="2349" w:type="dxa"/>
            <w:gridSpan w:val="2"/>
            <w:shd w:val="clear" w:color="auto" w:fill="D9E2F3"/>
          </w:tcPr>
          <w:p w14:paraId="0B1C711B" w14:textId="77777777" w:rsidR="00990B14" w:rsidRDefault="00000000">
            <w:pPr>
              <w:spacing w:before="20" w:after="40"/>
              <w:jc w:val="both"/>
            </w:pPr>
            <w:r>
              <w:rPr>
                <w:sz w:val="18"/>
                <w:szCs w:val="18"/>
              </w:rPr>
              <w:t xml:space="preserve">Tema 5: Marco teórico </w:t>
            </w:r>
            <w:r>
              <w:rPr>
                <w:b/>
                <w:bCs/>
                <w:sz w:val="18"/>
                <w:szCs w:val="18"/>
              </w:rPr>
              <w:t>y estado del arte</w:t>
            </w:r>
          </w:p>
          <w:p w14:paraId="5D2BC803" w14:textId="77777777" w:rsidR="00990B14" w:rsidRDefault="00000000">
            <w:pPr>
              <w:spacing w:before="20" w:after="40"/>
              <w:jc w:val="both"/>
            </w:pPr>
            <w:r>
              <w:rPr>
                <w:sz w:val="18"/>
                <w:szCs w:val="18"/>
              </w:rPr>
              <w:t>Tema 6: Definición del tipo de investigación</w:t>
            </w:r>
          </w:p>
          <w:p w14:paraId="73A5058F" w14:textId="77777777" w:rsidR="00990B14" w:rsidRDefault="00000000">
            <w:pPr>
              <w:spacing w:before="20" w:after="40"/>
              <w:jc w:val="both"/>
            </w:pPr>
            <w:r>
              <w:rPr>
                <w:sz w:val="18"/>
                <w:szCs w:val="18"/>
              </w:rPr>
              <w:t>Tema 7: Formulación de la hipótesis</w:t>
            </w:r>
          </w:p>
        </w:tc>
        <w:tc>
          <w:tcPr>
            <w:tcW w:w="4304" w:type="dxa"/>
            <w:gridSpan w:val="8"/>
            <w:shd w:val="clear" w:color="auto" w:fill="D9E2F3"/>
          </w:tcPr>
          <w:p w14:paraId="1CD3436D" w14:textId="77777777" w:rsidR="00990B14" w:rsidRDefault="00000000">
            <w:pPr>
              <w:spacing w:after="40"/>
              <w:jc w:val="both"/>
            </w:pPr>
            <w:r>
              <w:rPr>
                <w:sz w:val="18"/>
                <w:szCs w:val="18"/>
              </w:rPr>
              <w:t>Antecedentes del problema de investigación y funciones del marco teórico y del estado del arte. (C)</w:t>
            </w:r>
          </w:p>
          <w:p w14:paraId="6FCE6577" w14:textId="77777777" w:rsidR="00990B14" w:rsidRDefault="00000000">
            <w:pPr>
              <w:spacing w:after="40"/>
              <w:jc w:val="both"/>
            </w:pPr>
            <w:r>
              <w:rPr>
                <w:sz w:val="18"/>
                <w:szCs w:val="18"/>
              </w:rPr>
              <w:t>Etapas del marco teórico: revisión de literatura y construcción del marco teórico. (C)</w:t>
            </w:r>
          </w:p>
          <w:p w14:paraId="5C178143" w14:textId="77777777" w:rsidR="00990B14" w:rsidRDefault="00000000">
            <w:pPr>
              <w:spacing w:after="40"/>
              <w:jc w:val="both"/>
            </w:pPr>
            <w:r>
              <w:rPr>
                <w:sz w:val="18"/>
                <w:szCs w:val="18"/>
              </w:rPr>
              <w:t>Marco normativo y conceptual de la información financiera como parte del marco teórico de una investigación contable. (C)</w:t>
            </w:r>
          </w:p>
          <w:p w14:paraId="0CC6CB13" w14:textId="77777777" w:rsidR="00990B14" w:rsidRDefault="00000000">
            <w:pPr>
              <w:spacing w:after="40"/>
              <w:jc w:val="both"/>
            </w:pPr>
            <w:r>
              <w:rPr>
                <w:sz w:val="18"/>
                <w:szCs w:val="18"/>
              </w:rPr>
              <w:t>Clasificación de Dankhe de los tipos de estudio: exploratorios, descriptivos, correlacionales y explicativos. (C)</w:t>
            </w:r>
          </w:p>
          <w:p w14:paraId="41694250" w14:textId="77777777" w:rsidR="00990B14" w:rsidRDefault="00000000">
            <w:pPr>
              <w:spacing w:after="40"/>
              <w:jc w:val="both"/>
            </w:pPr>
            <w:r>
              <w:rPr>
                <w:sz w:val="18"/>
                <w:szCs w:val="18"/>
              </w:rPr>
              <w:t>Formulación de la hipótesis: concepto y características de una hipótesis. (C, P)</w:t>
            </w:r>
          </w:p>
          <w:p w14:paraId="7E21C98E" w14:textId="77777777" w:rsidR="00990B14" w:rsidRDefault="00000000">
            <w:pPr>
              <w:spacing w:after="40"/>
              <w:jc w:val="both"/>
            </w:pPr>
            <w:r>
              <w:rPr>
                <w:sz w:val="18"/>
                <w:szCs w:val="18"/>
              </w:rPr>
              <w:t>Tipos de hipótesis: de investigación, nula, alternativa y estadísticas. (C)</w:t>
            </w:r>
          </w:p>
          <w:p w14:paraId="713E4C43" w14:textId="77777777" w:rsidR="00990B14" w:rsidRDefault="00000000">
            <w:pPr>
              <w:spacing w:after="40"/>
              <w:jc w:val="both"/>
            </w:pPr>
            <w:r>
              <w:rPr>
                <w:sz w:val="18"/>
                <w:szCs w:val="18"/>
              </w:rPr>
              <w:t>Las variables de una investigación y las relaciones entre la hipótesis, el problema y los objetivos de investigación. (C)</w:t>
            </w:r>
          </w:p>
          <w:p w14:paraId="7E0093F5" w14:textId="77777777" w:rsidR="00990B14" w:rsidRDefault="00000000">
            <w:pPr>
              <w:spacing w:after="40"/>
              <w:jc w:val="both"/>
            </w:pPr>
            <w:r>
              <w:rPr>
                <w:sz w:val="18"/>
                <w:szCs w:val="18"/>
              </w:rPr>
              <w:t>Operacionalización de las variables en indicadores medibles del campo contable y financiero. (C)</w:t>
            </w:r>
          </w:p>
        </w:tc>
        <w:tc>
          <w:tcPr>
            <w:tcW w:w="2752" w:type="dxa"/>
            <w:gridSpan w:val="3"/>
            <w:shd w:val="clear" w:color="auto" w:fill="D9E2F3"/>
          </w:tcPr>
          <w:p w14:paraId="77391450" w14:textId="77777777" w:rsidR="00990B14" w:rsidRDefault="00000000">
            <w:pPr>
              <w:numPr>
                <w:ilvl w:val="0"/>
                <w:numId w:val="139"/>
              </w:numPr>
              <w:spacing w:before="10" w:after="10"/>
              <w:jc w:val="both"/>
            </w:pPr>
            <w:r>
              <w:rPr>
                <w:sz w:val="18"/>
                <w:szCs w:val="18"/>
              </w:rPr>
              <w:t>Nociones de los paradigmas positivista e interpretativo de las ciencias sociales.</w:t>
            </w:r>
          </w:p>
          <w:p w14:paraId="63CD3A12" w14:textId="77777777" w:rsidR="00990B14" w:rsidRDefault="00000000">
            <w:pPr>
              <w:numPr>
                <w:ilvl w:val="0"/>
                <w:numId w:val="139"/>
              </w:numPr>
              <w:spacing w:before="10" w:after="10"/>
              <w:jc w:val="both"/>
            </w:pPr>
            <w:r>
              <w:rPr>
                <w:sz w:val="18"/>
                <w:szCs w:val="18"/>
              </w:rPr>
              <w:t>Nociones de lectura e interpretación de textos normativos como fuente del marco teórico.</w:t>
            </w:r>
          </w:p>
        </w:tc>
      </w:tr>
      <w:tr w:rsidR="00990B14" w14:paraId="50E0F85A" w14:textId="77777777">
        <w:trPr>
          <w:cantSplit/>
          <w:jc w:val="center"/>
        </w:trPr>
        <w:tc>
          <w:tcPr>
            <w:tcW w:w="9405" w:type="dxa"/>
            <w:gridSpan w:val="13"/>
            <w:shd w:val="clear" w:color="auto" w:fill="D9E2F3"/>
            <w:vAlign w:val="center"/>
          </w:tcPr>
          <w:p w14:paraId="668329A1" w14:textId="77777777" w:rsidR="00990B14" w:rsidRDefault="00000000">
            <w:pPr>
              <w:spacing w:before="20" w:after="20"/>
              <w:jc w:val="both"/>
            </w:pPr>
            <w:r>
              <w:rPr>
                <w:b/>
                <w:bCs/>
                <w:i/>
                <w:iCs/>
                <w:sz w:val="18"/>
                <w:szCs w:val="18"/>
              </w:rPr>
              <w:t xml:space="preserve">Elemento de competencia 4: </w:t>
            </w:r>
            <w:r>
              <w:rPr>
                <w:sz w:val="18"/>
                <w:szCs w:val="18"/>
              </w:rPr>
              <w:t>Diseña los instrumentos de recolección de información de una investigación, la aplicación de la estadística descriptiva y la presentación de los resultados.</w:t>
            </w:r>
          </w:p>
        </w:tc>
      </w:tr>
      <w:tr w:rsidR="00990B14" w14:paraId="3C1E6BAC" w14:textId="77777777">
        <w:trPr>
          <w:cantSplit/>
          <w:jc w:val="center"/>
        </w:trPr>
        <w:tc>
          <w:tcPr>
            <w:tcW w:w="3133" w:type="dxa"/>
            <w:gridSpan w:val="4"/>
            <w:shd w:val="clear" w:color="auto" w:fill="4472C4"/>
            <w:vAlign w:val="center"/>
          </w:tcPr>
          <w:p w14:paraId="61A47FFE"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7ECF114E"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68D7DBF6" w14:textId="77777777" w:rsidR="00990B14" w:rsidRDefault="00000000">
            <w:pPr>
              <w:keepNext/>
              <w:spacing w:before="20" w:after="20"/>
              <w:jc w:val="center"/>
            </w:pPr>
            <w:r>
              <w:rPr>
                <w:b/>
                <w:bCs/>
                <w:i/>
                <w:iCs/>
                <w:color w:val="FFFFFF"/>
                <w:sz w:val="18"/>
                <w:szCs w:val="18"/>
              </w:rPr>
              <w:t>Evidencias de producto</w:t>
            </w:r>
          </w:p>
        </w:tc>
      </w:tr>
      <w:tr w:rsidR="00990B14" w14:paraId="2E927756" w14:textId="77777777">
        <w:trPr>
          <w:cantSplit/>
          <w:jc w:val="center"/>
        </w:trPr>
        <w:tc>
          <w:tcPr>
            <w:tcW w:w="3133" w:type="dxa"/>
            <w:gridSpan w:val="4"/>
            <w:vMerge w:val="restart"/>
            <w:shd w:val="clear" w:color="auto" w:fill="D9E2F3"/>
            <w:vAlign w:val="center"/>
          </w:tcPr>
          <w:p w14:paraId="76157043" w14:textId="77777777" w:rsidR="00990B14" w:rsidRDefault="00000000">
            <w:pPr>
              <w:spacing w:before="20" w:after="20"/>
              <w:jc w:val="both"/>
            </w:pPr>
            <w:r>
              <w:rPr>
                <w:sz w:val="18"/>
                <w:szCs w:val="18"/>
              </w:rPr>
              <w:t>1. Diseña el instrumento de recolección de información pertinente al problema, verificando su validez y su confiabilidad y el análisis de los datos con estadística descriptiva.</w:t>
            </w:r>
          </w:p>
        </w:tc>
        <w:tc>
          <w:tcPr>
            <w:tcW w:w="3135" w:type="dxa"/>
            <w:gridSpan w:val="5"/>
            <w:shd w:val="clear" w:color="auto" w:fill="D9E2F3"/>
            <w:vAlign w:val="center"/>
          </w:tcPr>
          <w:p w14:paraId="2F809ED2" w14:textId="77777777" w:rsidR="00990B14" w:rsidRDefault="00000000">
            <w:pPr>
              <w:spacing w:before="20" w:after="20"/>
              <w:jc w:val="both"/>
            </w:pPr>
            <w:r>
              <w:rPr>
                <w:sz w:val="18"/>
                <w:szCs w:val="18"/>
              </w:rPr>
              <w:t>1.1 Diseña individualmente y evalúa en equipo un instrumento de recolección de información con su prueba piloto y su consentimiento informado.</w:t>
            </w:r>
          </w:p>
        </w:tc>
        <w:tc>
          <w:tcPr>
            <w:tcW w:w="3137" w:type="dxa"/>
            <w:gridSpan w:val="4"/>
            <w:shd w:val="clear" w:color="auto" w:fill="D9E2F3"/>
            <w:vAlign w:val="center"/>
          </w:tcPr>
          <w:p w14:paraId="7459A817" w14:textId="77777777" w:rsidR="00990B14" w:rsidRDefault="00000000">
            <w:pPr>
              <w:spacing w:before="20" w:after="20"/>
              <w:jc w:val="both"/>
            </w:pPr>
            <w:r>
              <w:rPr>
                <w:b/>
                <w:bCs/>
                <w:sz w:val="18"/>
                <w:szCs w:val="18"/>
              </w:rPr>
              <w:t xml:space="preserve">Producto 13: </w:t>
            </w:r>
            <w:r>
              <w:rPr>
                <w:sz w:val="18"/>
                <w:szCs w:val="18"/>
              </w:rPr>
              <w:t>Instrumento de recolección de información con su prueba piloto.</w:t>
            </w:r>
          </w:p>
        </w:tc>
      </w:tr>
      <w:tr w:rsidR="00990B14" w14:paraId="7995B993" w14:textId="77777777">
        <w:trPr>
          <w:cantSplit/>
          <w:jc w:val="center"/>
        </w:trPr>
        <w:tc>
          <w:tcPr>
            <w:tcW w:w="3133" w:type="dxa"/>
            <w:gridSpan w:val="4"/>
            <w:vMerge/>
            <w:shd w:val="clear" w:color="auto" w:fill="D9E2F3"/>
            <w:vAlign w:val="center"/>
          </w:tcPr>
          <w:p w14:paraId="43F8F72F" w14:textId="77777777" w:rsidR="00990B14" w:rsidRDefault="00990B14">
            <w:pPr>
              <w:spacing w:before="20" w:after="20"/>
            </w:pPr>
          </w:p>
        </w:tc>
        <w:tc>
          <w:tcPr>
            <w:tcW w:w="3135" w:type="dxa"/>
            <w:gridSpan w:val="5"/>
            <w:shd w:val="clear" w:color="auto" w:fill="D9E2F3"/>
            <w:vAlign w:val="center"/>
          </w:tcPr>
          <w:p w14:paraId="412F90DA" w14:textId="77777777" w:rsidR="00990B14" w:rsidRDefault="00000000">
            <w:pPr>
              <w:spacing w:before="20" w:after="20"/>
              <w:jc w:val="both"/>
            </w:pPr>
            <w:r>
              <w:rPr>
                <w:sz w:val="18"/>
                <w:szCs w:val="18"/>
              </w:rPr>
              <w:t>1.2 Procesa en el laboratorio de cómputo datos hipotéticos recolectados con medidas de tendencia central y de dispersión, tablas y gráficos en hoja de cálculo.</w:t>
            </w:r>
          </w:p>
        </w:tc>
        <w:tc>
          <w:tcPr>
            <w:tcW w:w="3137" w:type="dxa"/>
            <w:gridSpan w:val="4"/>
            <w:shd w:val="clear" w:color="auto" w:fill="D9E2F3"/>
            <w:vAlign w:val="center"/>
          </w:tcPr>
          <w:p w14:paraId="58D4DFAC" w14:textId="77777777" w:rsidR="00990B14" w:rsidRDefault="00000000">
            <w:pPr>
              <w:spacing w:before="20" w:after="20"/>
              <w:jc w:val="both"/>
            </w:pPr>
            <w:r>
              <w:rPr>
                <w:b/>
                <w:bCs/>
                <w:sz w:val="18"/>
                <w:szCs w:val="18"/>
              </w:rPr>
              <w:t xml:space="preserve">Producto 14: </w:t>
            </w:r>
            <w:r>
              <w:rPr>
                <w:sz w:val="18"/>
                <w:szCs w:val="18"/>
              </w:rPr>
              <w:t>Tablas y gráficos del análisis descriptivo de datos hipotéticos.</w:t>
            </w:r>
          </w:p>
        </w:tc>
      </w:tr>
      <w:tr w:rsidR="00990B14" w14:paraId="12F830D1" w14:textId="77777777">
        <w:trPr>
          <w:cantSplit/>
          <w:jc w:val="center"/>
        </w:trPr>
        <w:tc>
          <w:tcPr>
            <w:tcW w:w="3133" w:type="dxa"/>
            <w:gridSpan w:val="4"/>
            <w:vMerge w:val="restart"/>
            <w:shd w:val="clear" w:color="auto" w:fill="D9E2F3"/>
            <w:vAlign w:val="center"/>
          </w:tcPr>
          <w:p w14:paraId="7FFD3269" w14:textId="77777777" w:rsidR="00990B14" w:rsidRDefault="00000000">
            <w:pPr>
              <w:spacing w:before="20" w:after="20"/>
              <w:jc w:val="both"/>
            </w:pPr>
            <w:r>
              <w:rPr>
                <w:sz w:val="18"/>
                <w:szCs w:val="18"/>
              </w:rPr>
              <w:t>2. Elabora el informe final de la propuesta de investigación con un resumen en inglés, sustentando oralmente sus resultados ante un público.</w:t>
            </w:r>
          </w:p>
        </w:tc>
        <w:tc>
          <w:tcPr>
            <w:tcW w:w="3135" w:type="dxa"/>
            <w:gridSpan w:val="5"/>
            <w:shd w:val="clear" w:color="auto" w:fill="D9E2F3"/>
            <w:vAlign w:val="center"/>
          </w:tcPr>
          <w:p w14:paraId="2F83E9A5" w14:textId="77777777" w:rsidR="00990B14" w:rsidRDefault="00000000">
            <w:pPr>
              <w:spacing w:before="20" w:after="20"/>
              <w:jc w:val="both"/>
            </w:pPr>
            <w:r>
              <w:rPr>
                <w:sz w:val="18"/>
                <w:szCs w:val="18"/>
              </w:rPr>
              <w:t>2.1 Redacta individualmente y evalúa en equipo el informe final de la propuesta de investigación.</w:t>
            </w:r>
          </w:p>
        </w:tc>
        <w:tc>
          <w:tcPr>
            <w:tcW w:w="3137" w:type="dxa"/>
            <w:gridSpan w:val="4"/>
            <w:shd w:val="clear" w:color="auto" w:fill="D9E2F3"/>
            <w:vAlign w:val="center"/>
          </w:tcPr>
          <w:p w14:paraId="72A73063" w14:textId="77777777" w:rsidR="00990B14" w:rsidRDefault="00000000">
            <w:pPr>
              <w:spacing w:before="20" w:after="20"/>
              <w:jc w:val="both"/>
            </w:pPr>
            <w:r>
              <w:rPr>
                <w:b/>
                <w:bCs/>
                <w:sz w:val="18"/>
                <w:szCs w:val="18"/>
              </w:rPr>
              <w:t xml:space="preserve">Producto 15: </w:t>
            </w:r>
            <w:r>
              <w:rPr>
                <w:sz w:val="18"/>
                <w:szCs w:val="18"/>
              </w:rPr>
              <w:t>Informe final de una propuesta de investigación.</w:t>
            </w:r>
          </w:p>
        </w:tc>
      </w:tr>
      <w:tr w:rsidR="00990B14" w14:paraId="09A9C120" w14:textId="77777777">
        <w:trPr>
          <w:cantSplit/>
          <w:jc w:val="center"/>
        </w:trPr>
        <w:tc>
          <w:tcPr>
            <w:tcW w:w="3133" w:type="dxa"/>
            <w:gridSpan w:val="4"/>
            <w:vMerge/>
            <w:shd w:val="clear" w:color="auto" w:fill="D9E2F3"/>
            <w:vAlign w:val="center"/>
          </w:tcPr>
          <w:p w14:paraId="5675764D" w14:textId="77777777" w:rsidR="00990B14" w:rsidRDefault="00990B14">
            <w:pPr>
              <w:spacing w:before="20" w:after="20"/>
            </w:pPr>
          </w:p>
        </w:tc>
        <w:tc>
          <w:tcPr>
            <w:tcW w:w="3135" w:type="dxa"/>
            <w:gridSpan w:val="5"/>
            <w:shd w:val="clear" w:color="auto" w:fill="D9E2F3"/>
            <w:vAlign w:val="center"/>
          </w:tcPr>
          <w:p w14:paraId="73484089" w14:textId="77777777" w:rsidR="00990B14" w:rsidRDefault="00000000">
            <w:pPr>
              <w:spacing w:before="20" w:after="20"/>
              <w:jc w:val="both"/>
            </w:pPr>
            <w:r>
              <w:rPr>
                <w:sz w:val="18"/>
                <w:szCs w:val="18"/>
              </w:rPr>
              <w:t>2.2 Sustenta ante el curso la propuesta o perfil de investigación.</w:t>
            </w:r>
          </w:p>
        </w:tc>
        <w:tc>
          <w:tcPr>
            <w:tcW w:w="3137" w:type="dxa"/>
            <w:gridSpan w:val="4"/>
            <w:shd w:val="clear" w:color="auto" w:fill="D9E2F3"/>
            <w:vAlign w:val="center"/>
          </w:tcPr>
          <w:p w14:paraId="35E0BC6F" w14:textId="77777777" w:rsidR="00990B14" w:rsidRDefault="00000000">
            <w:pPr>
              <w:spacing w:before="20" w:after="20"/>
              <w:jc w:val="both"/>
            </w:pPr>
            <w:r>
              <w:rPr>
                <w:b/>
                <w:bCs/>
                <w:sz w:val="18"/>
                <w:szCs w:val="18"/>
              </w:rPr>
              <w:t xml:space="preserve">Producto 16: </w:t>
            </w:r>
            <w:r>
              <w:rPr>
                <w:sz w:val="18"/>
                <w:szCs w:val="18"/>
              </w:rPr>
              <w:t>Presentación de diapositivas de la sustentación del perfil.</w:t>
            </w:r>
          </w:p>
        </w:tc>
      </w:tr>
      <w:tr w:rsidR="00990B14" w14:paraId="7064D620" w14:textId="77777777">
        <w:trPr>
          <w:cantSplit/>
          <w:jc w:val="center"/>
        </w:trPr>
        <w:tc>
          <w:tcPr>
            <w:tcW w:w="9405" w:type="dxa"/>
            <w:gridSpan w:val="13"/>
            <w:shd w:val="clear" w:color="auto" w:fill="4472C4"/>
            <w:vAlign w:val="center"/>
          </w:tcPr>
          <w:p w14:paraId="50629116" w14:textId="77777777" w:rsidR="00990B14" w:rsidRDefault="00000000">
            <w:pPr>
              <w:keepNext/>
              <w:spacing w:before="20" w:after="20"/>
              <w:jc w:val="center"/>
            </w:pPr>
            <w:r>
              <w:rPr>
                <w:b/>
                <w:bCs/>
                <w:i/>
                <w:iCs/>
                <w:color w:val="FFFFFF"/>
                <w:sz w:val="18"/>
                <w:szCs w:val="18"/>
              </w:rPr>
              <w:t>Evidencias de conocimiento</w:t>
            </w:r>
          </w:p>
        </w:tc>
      </w:tr>
      <w:tr w:rsidR="00990B14" w14:paraId="4F7F703A" w14:textId="77777777">
        <w:trPr>
          <w:cantSplit/>
          <w:jc w:val="center"/>
        </w:trPr>
        <w:tc>
          <w:tcPr>
            <w:tcW w:w="2349" w:type="dxa"/>
            <w:gridSpan w:val="2"/>
            <w:shd w:val="clear" w:color="auto" w:fill="4472C4"/>
            <w:vAlign w:val="center"/>
          </w:tcPr>
          <w:p w14:paraId="6777815C"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6EAA8A73" w14:textId="77777777" w:rsidR="00990B14" w:rsidRDefault="00000000">
            <w:pPr>
              <w:keepNext/>
              <w:spacing w:before="20" w:after="20"/>
              <w:jc w:val="both"/>
            </w:pPr>
            <w:r>
              <w:rPr>
                <w:b/>
                <w:bCs/>
                <w:i/>
                <w:iCs/>
                <w:color w:val="FFFFFF"/>
                <w:sz w:val="18"/>
                <w:szCs w:val="18"/>
              </w:rPr>
              <w:t>Contenidos</w:t>
            </w:r>
          </w:p>
          <w:p w14:paraId="1F8E4A6D"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30C9F9C3" w14:textId="77777777" w:rsidR="00990B14" w:rsidRDefault="00000000">
            <w:pPr>
              <w:keepNext/>
              <w:spacing w:before="20" w:after="20"/>
              <w:jc w:val="center"/>
            </w:pPr>
            <w:r>
              <w:rPr>
                <w:b/>
                <w:bCs/>
                <w:i/>
                <w:iCs/>
                <w:color w:val="FFFFFF"/>
                <w:sz w:val="18"/>
                <w:szCs w:val="18"/>
              </w:rPr>
              <w:t>Conocimientos circunstanciales</w:t>
            </w:r>
          </w:p>
        </w:tc>
      </w:tr>
      <w:tr w:rsidR="00990B14" w14:paraId="05C693E0" w14:textId="77777777">
        <w:trPr>
          <w:jc w:val="center"/>
        </w:trPr>
        <w:tc>
          <w:tcPr>
            <w:tcW w:w="2349" w:type="dxa"/>
            <w:gridSpan w:val="2"/>
            <w:shd w:val="clear" w:color="auto" w:fill="D9E2F3"/>
          </w:tcPr>
          <w:p w14:paraId="6701385C" w14:textId="77777777" w:rsidR="00990B14" w:rsidRDefault="00000000">
            <w:pPr>
              <w:spacing w:before="20" w:after="40"/>
              <w:jc w:val="both"/>
            </w:pPr>
            <w:r>
              <w:rPr>
                <w:sz w:val="18"/>
                <w:szCs w:val="18"/>
              </w:rPr>
              <w:t>Tema 8: Recolección de información y análisis descriptivo de datos</w:t>
            </w:r>
          </w:p>
          <w:p w14:paraId="34DC12B7" w14:textId="77777777" w:rsidR="00990B14" w:rsidRDefault="00000000">
            <w:pPr>
              <w:spacing w:before="20" w:after="40"/>
              <w:jc w:val="both"/>
            </w:pPr>
            <w:r>
              <w:rPr>
                <w:sz w:val="18"/>
                <w:szCs w:val="18"/>
              </w:rPr>
              <w:t xml:space="preserve">Tema 9: Presentación y técnicas de exposición del informe de </w:t>
            </w:r>
            <w:r>
              <w:rPr>
                <w:b/>
                <w:bCs/>
                <w:sz w:val="18"/>
                <w:szCs w:val="18"/>
              </w:rPr>
              <w:t>una propuesta de</w:t>
            </w:r>
            <w:r>
              <w:rPr>
                <w:sz w:val="18"/>
                <w:szCs w:val="18"/>
              </w:rPr>
              <w:t xml:space="preserve"> investigación.</w:t>
            </w:r>
          </w:p>
        </w:tc>
        <w:tc>
          <w:tcPr>
            <w:tcW w:w="4304" w:type="dxa"/>
            <w:gridSpan w:val="8"/>
            <w:shd w:val="clear" w:color="auto" w:fill="D9E2F3"/>
          </w:tcPr>
          <w:p w14:paraId="79C6C288" w14:textId="77777777" w:rsidR="00990B14" w:rsidRDefault="00000000">
            <w:pPr>
              <w:spacing w:after="40"/>
              <w:jc w:val="both"/>
            </w:pPr>
            <w:r>
              <w:rPr>
                <w:sz w:val="18"/>
                <w:szCs w:val="18"/>
              </w:rPr>
              <w:t>Técnicas e instrumentos de recolección de información: observación, encuesta, entrevista, sondeo y grupos focales. (P)</w:t>
            </w:r>
          </w:p>
          <w:p w14:paraId="5921C341" w14:textId="77777777" w:rsidR="00990B14" w:rsidRDefault="00000000">
            <w:pPr>
              <w:spacing w:after="40"/>
              <w:jc w:val="both"/>
            </w:pPr>
            <w:r>
              <w:rPr>
                <w:sz w:val="18"/>
                <w:szCs w:val="18"/>
              </w:rPr>
              <w:t>Diseño de encuestas con formularios en línea y consentimiento informado de los participantes. (P, T)</w:t>
            </w:r>
          </w:p>
          <w:p w14:paraId="7F4C8B85" w14:textId="77777777" w:rsidR="00990B14" w:rsidRDefault="00000000">
            <w:pPr>
              <w:spacing w:after="40"/>
              <w:jc w:val="both"/>
            </w:pPr>
            <w:r>
              <w:rPr>
                <w:sz w:val="18"/>
                <w:szCs w:val="18"/>
              </w:rPr>
              <w:t>Validez y confiabilidad de los instrumentos de recolección, y prueba piloto. (C)</w:t>
            </w:r>
          </w:p>
          <w:p w14:paraId="369177A3" w14:textId="77777777" w:rsidR="00990B14" w:rsidRDefault="00000000">
            <w:pPr>
              <w:spacing w:after="40"/>
              <w:jc w:val="both"/>
            </w:pPr>
            <w:r>
              <w:rPr>
                <w:sz w:val="18"/>
                <w:szCs w:val="18"/>
              </w:rPr>
              <w:t>Datos de fuente secundaria y aplicación de la estadística descriptiva en el análisis de datos: medidas de tendencia central y de dispersión, tablas y gráficos en hoja de cálculo. (P, T)</w:t>
            </w:r>
          </w:p>
          <w:p w14:paraId="05A767AF" w14:textId="77777777" w:rsidR="00990B14" w:rsidRDefault="00000000">
            <w:pPr>
              <w:spacing w:after="40"/>
              <w:jc w:val="both"/>
            </w:pPr>
            <w:r>
              <w:rPr>
                <w:sz w:val="18"/>
                <w:szCs w:val="18"/>
              </w:rPr>
              <w:t>Fuentes secundarias de información económica y financiera en Bolivia: Instituto Nacional de Estadística, Banco Central de Bolivia y Autoridad de Supervisión del Sistema Financiero. (C)</w:t>
            </w:r>
          </w:p>
          <w:p w14:paraId="02415249" w14:textId="77777777" w:rsidR="00990B14" w:rsidRDefault="00000000">
            <w:pPr>
              <w:spacing w:after="40"/>
              <w:jc w:val="both"/>
            </w:pPr>
            <w:r>
              <w:rPr>
                <w:sz w:val="18"/>
                <w:szCs w:val="18"/>
              </w:rPr>
              <w:t>Confidencialidad de la información recolectada y resguardo de los datos de la investigación. (C, A)</w:t>
            </w:r>
          </w:p>
          <w:p w14:paraId="1EFE665B" w14:textId="77777777" w:rsidR="00990B14" w:rsidRDefault="00000000">
            <w:pPr>
              <w:spacing w:after="40"/>
              <w:jc w:val="both"/>
            </w:pPr>
            <w:r>
              <w:rPr>
                <w:sz w:val="18"/>
                <w:szCs w:val="18"/>
              </w:rPr>
              <w:t>El reporte de la propuesta de investigación y su contenido. (C)</w:t>
            </w:r>
          </w:p>
          <w:p w14:paraId="20A96E81" w14:textId="77777777" w:rsidR="00990B14" w:rsidRDefault="00000000">
            <w:pPr>
              <w:spacing w:after="40"/>
              <w:jc w:val="both"/>
            </w:pPr>
            <w:r>
              <w:rPr>
                <w:sz w:val="18"/>
                <w:szCs w:val="18"/>
              </w:rPr>
              <w:t>La exposición magistral y la discusión de grupos como técnicas de presentación de resultados. (P)</w:t>
            </w:r>
          </w:p>
          <w:p w14:paraId="1F01133F" w14:textId="77777777" w:rsidR="00990B14" w:rsidRDefault="00000000">
            <w:pPr>
              <w:spacing w:after="40"/>
              <w:jc w:val="both"/>
            </w:pPr>
            <w:r>
              <w:rPr>
                <w:sz w:val="18"/>
                <w:szCs w:val="18"/>
              </w:rPr>
              <w:t>Técnicas e instrumentos de exposición y sustentación oral de una propuesta de investigación. (P)</w:t>
            </w:r>
          </w:p>
        </w:tc>
        <w:tc>
          <w:tcPr>
            <w:tcW w:w="2752" w:type="dxa"/>
            <w:gridSpan w:val="3"/>
            <w:shd w:val="clear" w:color="auto" w:fill="D9E2F3"/>
          </w:tcPr>
          <w:p w14:paraId="074C1D33" w14:textId="77777777" w:rsidR="00990B14" w:rsidRDefault="00000000">
            <w:pPr>
              <w:numPr>
                <w:ilvl w:val="0"/>
                <w:numId w:val="139"/>
              </w:numPr>
              <w:spacing w:before="10" w:after="10"/>
              <w:jc w:val="both"/>
            </w:pPr>
            <w:r>
              <w:rPr>
                <w:sz w:val="18"/>
                <w:szCs w:val="18"/>
              </w:rPr>
              <w:t>Técnicas de oratoria y de comunicación no verbal ante un auditorio.</w:t>
            </w:r>
          </w:p>
          <w:p w14:paraId="0E08E1AE" w14:textId="77777777" w:rsidR="00990B14" w:rsidRDefault="00000000">
            <w:pPr>
              <w:numPr>
                <w:ilvl w:val="0"/>
                <w:numId w:val="139"/>
              </w:numPr>
              <w:spacing w:before="10" w:after="10"/>
              <w:jc w:val="both"/>
            </w:pPr>
            <w:r>
              <w:rPr>
                <w:sz w:val="18"/>
                <w:szCs w:val="18"/>
              </w:rPr>
              <w:t>Nociones de transcripción y codificación de entrevistas.</w:t>
            </w:r>
          </w:p>
        </w:tc>
      </w:tr>
    </w:tbl>
    <w:p w14:paraId="2E23ACAD"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716"/>
        <w:gridCol w:w="1716"/>
        <w:gridCol w:w="1812"/>
        <w:gridCol w:w="1621"/>
        <w:gridCol w:w="2540"/>
      </w:tblGrid>
      <w:tr w:rsidR="00990B14" w14:paraId="1C62F9D6" w14:textId="77777777">
        <w:trPr>
          <w:cantSplit/>
          <w:jc w:val="center"/>
        </w:trPr>
        <w:tc>
          <w:tcPr>
            <w:tcW w:w="9405" w:type="dxa"/>
            <w:gridSpan w:val="5"/>
            <w:shd w:val="clear" w:color="auto" w:fill="4472C4"/>
            <w:vAlign w:val="center"/>
          </w:tcPr>
          <w:p w14:paraId="29A43A72" w14:textId="77777777" w:rsidR="00990B14" w:rsidRDefault="00000000">
            <w:pPr>
              <w:keepNext/>
              <w:spacing w:before="20" w:after="20"/>
              <w:jc w:val="center"/>
            </w:pPr>
            <w:r>
              <w:rPr>
                <w:b/>
                <w:bCs/>
                <w:i/>
                <w:iCs/>
                <w:color w:val="FFFFFF"/>
                <w:sz w:val="18"/>
                <w:szCs w:val="18"/>
              </w:rPr>
              <w:t>Actividades</w:t>
            </w:r>
          </w:p>
        </w:tc>
      </w:tr>
      <w:tr w:rsidR="00990B14" w14:paraId="3C41A861" w14:textId="77777777">
        <w:trPr>
          <w:cantSplit/>
          <w:jc w:val="center"/>
        </w:trPr>
        <w:tc>
          <w:tcPr>
            <w:tcW w:w="1716" w:type="dxa"/>
            <w:shd w:val="clear" w:color="auto" w:fill="4472C4"/>
            <w:vAlign w:val="center"/>
          </w:tcPr>
          <w:p w14:paraId="1C175917" w14:textId="77777777" w:rsidR="00990B14" w:rsidRDefault="00000000">
            <w:pPr>
              <w:keepNext/>
              <w:spacing w:before="20" w:after="20"/>
              <w:jc w:val="center"/>
            </w:pPr>
            <w:r>
              <w:rPr>
                <w:b/>
                <w:bCs/>
                <w:i/>
                <w:iCs/>
                <w:color w:val="FFFFFF"/>
                <w:sz w:val="18"/>
                <w:szCs w:val="18"/>
              </w:rPr>
              <w:t>En clase</w:t>
            </w:r>
          </w:p>
        </w:tc>
        <w:tc>
          <w:tcPr>
            <w:tcW w:w="1716" w:type="dxa"/>
            <w:shd w:val="clear" w:color="auto" w:fill="4472C4"/>
            <w:vAlign w:val="center"/>
          </w:tcPr>
          <w:p w14:paraId="46C192BC" w14:textId="77777777" w:rsidR="00990B14" w:rsidRDefault="00000000">
            <w:pPr>
              <w:keepNext/>
              <w:spacing w:before="20" w:after="20"/>
              <w:jc w:val="center"/>
            </w:pPr>
            <w:r>
              <w:rPr>
                <w:b/>
                <w:bCs/>
                <w:i/>
                <w:iCs/>
                <w:color w:val="FFFFFF"/>
                <w:sz w:val="18"/>
                <w:szCs w:val="18"/>
              </w:rPr>
              <w:t>Autónomas</w:t>
            </w:r>
          </w:p>
        </w:tc>
        <w:tc>
          <w:tcPr>
            <w:tcW w:w="1812" w:type="dxa"/>
            <w:shd w:val="clear" w:color="auto" w:fill="4472C4"/>
            <w:vAlign w:val="center"/>
          </w:tcPr>
          <w:p w14:paraId="0B2705CD" w14:textId="77777777" w:rsidR="00990B14" w:rsidRDefault="00000000">
            <w:pPr>
              <w:keepNext/>
              <w:spacing w:before="20" w:after="20"/>
              <w:jc w:val="center"/>
            </w:pPr>
            <w:r>
              <w:rPr>
                <w:b/>
                <w:bCs/>
                <w:i/>
                <w:iCs/>
                <w:color w:val="FFFFFF"/>
                <w:sz w:val="18"/>
                <w:szCs w:val="18"/>
              </w:rPr>
              <w:t>B-Learning</w:t>
            </w:r>
          </w:p>
        </w:tc>
        <w:tc>
          <w:tcPr>
            <w:tcW w:w="1621" w:type="dxa"/>
            <w:shd w:val="clear" w:color="auto" w:fill="4472C4"/>
            <w:vAlign w:val="center"/>
          </w:tcPr>
          <w:p w14:paraId="7316323B" w14:textId="77777777" w:rsidR="00990B14" w:rsidRDefault="00000000">
            <w:pPr>
              <w:keepNext/>
              <w:spacing w:before="20" w:after="20"/>
              <w:jc w:val="center"/>
            </w:pPr>
            <w:r>
              <w:rPr>
                <w:b/>
                <w:bCs/>
                <w:i/>
                <w:iCs/>
                <w:color w:val="FFFFFF"/>
                <w:sz w:val="18"/>
                <w:szCs w:val="18"/>
              </w:rPr>
              <w:t>Taller</w:t>
            </w:r>
          </w:p>
        </w:tc>
        <w:tc>
          <w:tcPr>
            <w:tcW w:w="2540" w:type="dxa"/>
            <w:shd w:val="clear" w:color="auto" w:fill="4472C4"/>
            <w:vAlign w:val="center"/>
          </w:tcPr>
          <w:p w14:paraId="3591FA72" w14:textId="77777777" w:rsidR="00990B14" w:rsidRDefault="00000000">
            <w:pPr>
              <w:keepNext/>
              <w:spacing w:before="20" w:after="20"/>
              <w:jc w:val="center"/>
            </w:pPr>
            <w:r>
              <w:rPr>
                <w:b/>
                <w:bCs/>
                <w:i/>
                <w:iCs/>
                <w:color w:val="FFFFFF"/>
                <w:sz w:val="18"/>
                <w:szCs w:val="18"/>
              </w:rPr>
              <w:t>Investigación/Práctica</w:t>
            </w:r>
          </w:p>
        </w:tc>
      </w:tr>
      <w:tr w:rsidR="00990B14" w14:paraId="1812D125" w14:textId="77777777">
        <w:trPr>
          <w:jc w:val="center"/>
        </w:trPr>
        <w:tc>
          <w:tcPr>
            <w:tcW w:w="1716" w:type="dxa"/>
            <w:shd w:val="clear" w:color="auto" w:fill="D9E2F3"/>
          </w:tcPr>
          <w:p w14:paraId="3DE55739" w14:textId="77777777" w:rsidR="00990B14" w:rsidRDefault="00000000">
            <w:pPr>
              <w:numPr>
                <w:ilvl w:val="0"/>
                <w:numId w:val="139"/>
              </w:numPr>
              <w:spacing w:before="10" w:after="10"/>
              <w:jc w:val="both"/>
            </w:pPr>
            <w:r>
              <w:rPr>
                <w:sz w:val="18"/>
                <w:szCs w:val="18"/>
              </w:rPr>
              <w:t>Exposición dialogada de los fundamentos del método científico y de los enfoques de investigación.</w:t>
            </w:r>
          </w:p>
          <w:p w14:paraId="224FF236" w14:textId="77777777" w:rsidR="00990B14" w:rsidRDefault="00000000">
            <w:pPr>
              <w:numPr>
                <w:ilvl w:val="0"/>
                <w:numId w:val="139"/>
              </w:numPr>
              <w:spacing w:before="10" w:after="10"/>
              <w:jc w:val="both"/>
            </w:pPr>
            <w:r>
              <w:rPr>
                <w:sz w:val="18"/>
                <w:szCs w:val="18"/>
              </w:rPr>
              <w:t>Resolución guiada del planteamiento del problema y de los objetivos.</w:t>
            </w:r>
          </w:p>
          <w:p w14:paraId="700BC68C" w14:textId="77777777" w:rsidR="00990B14" w:rsidRDefault="00000000">
            <w:pPr>
              <w:numPr>
                <w:ilvl w:val="0"/>
                <w:numId w:val="139"/>
              </w:numPr>
              <w:spacing w:before="10" w:after="10"/>
              <w:jc w:val="both"/>
            </w:pPr>
            <w:r>
              <w:rPr>
                <w:sz w:val="18"/>
                <w:szCs w:val="18"/>
              </w:rPr>
              <w:t>Análisis de tesis de la Carrera para reconocer su tipo de estudio, su hipótesis y sus variables.</w:t>
            </w:r>
          </w:p>
          <w:p w14:paraId="0ECCED43" w14:textId="77777777" w:rsidR="00990B14" w:rsidRDefault="00000000">
            <w:pPr>
              <w:numPr>
                <w:ilvl w:val="0"/>
                <w:numId w:val="139"/>
              </w:numPr>
              <w:spacing w:before="10" w:after="10"/>
              <w:jc w:val="both"/>
            </w:pPr>
            <w:r>
              <w:rPr>
                <w:sz w:val="18"/>
                <w:szCs w:val="18"/>
              </w:rPr>
              <w:t>Demostración del manejo de un gestor bibliográfico y de la búsqueda en bases académicas.</w:t>
            </w:r>
          </w:p>
          <w:p w14:paraId="66B6D551" w14:textId="77777777" w:rsidR="00990B14" w:rsidRDefault="00000000">
            <w:pPr>
              <w:numPr>
                <w:ilvl w:val="0"/>
                <w:numId w:val="139"/>
              </w:numPr>
              <w:spacing w:before="10" w:after="10"/>
              <w:jc w:val="both"/>
            </w:pPr>
            <w:r>
              <w:rPr>
                <w:sz w:val="18"/>
                <w:szCs w:val="18"/>
              </w:rPr>
              <w:t>Revisión en plenaria de los avances del proyecto de investigación de cada equipo.</w:t>
            </w:r>
          </w:p>
        </w:tc>
        <w:tc>
          <w:tcPr>
            <w:tcW w:w="1716" w:type="dxa"/>
            <w:shd w:val="clear" w:color="auto" w:fill="D9E2F3"/>
          </w:tcPr>
          <w:p w14:paraId="0F226430" w14:textId="77777777" w:rsidR="00990B14" w:rsidRDefault="00000000">
            <w:pPr>
              <w:numPr>
                <w:ilvl w:val="0"/>
                <w:numId w:val="139"/>
              </w:numPr>
              <w:spacing w:before="10" w:after="10"/>
              <w:jc w:val="both"/>
            </w:pPr>
            <w:r>
              <w:rPr>
                <w:sz w:val="18"/>
                <w:szCs w:val="18"/>
              </w:rPr>
              <w:t>Lectura de artículos y trabajos de investigación del campo económico y financiero, incluidos artículos en inglés.</w:t>
            </w:r>
          </w:p>
          <w:p w14:paraId="356A3E29" w14:textId="77777777" w:rsidR="00990B14" w:rsidRDefault="00000000">
            <w:pPr>
              <w:numPr>
                <w:ilvl w:val="0"/>
                <w:numId w:val="139"/>
              </w:numPr>
              <w:spacing w:before="10" w:after="10"/>
              <w:jc w:val="both"/>
            </w:pPr>
            <w:r>
              <w:rPr>
                <w:sz w:val="18"/>
                <w:szCs w:val="18"/>
              </w:rPr>
              <w:t>Redacción progresiva de las secciones de un proyecto de investigación, con el registro de las fuentes y del uso de herramientas de inteligencia artificial.</w:t>
            </w:r>
          </w:p>
          <w:p w14:paraId="47DF71A0" w14:textId="77777777" w:rsidR="00990B14" w:rsidRDefault="00000000">
            <w:pPr>
              <w:numPr>
                <w:ilvl w:val="0"/>
                <w:numId w:val="139"/>
              </w:numPr>
              <w:spacing w:before="10" w:after="10"/>
              <w:jc w:val="both"/>
            </w:pPr>
            <w:r>
              <w:rPr>
                <w:sz w:val="18"/>
                <w:szCs w:val="18"/>
              </w:rPr>
              <w:t>Búsqueda y organización de referencias bibliográficas con un gestor bibliográfico.</w:t>
            </w:r>
          </w:p>
        </w:tc>
        <w:tc>
          <w:tcPr>
            <w:tcW w:w="1812" w:type="dxa"/>
            <w:shd w:val="clear" w:color="auto" w:fill="D9E2F3"/>
          </w:tcPr>
          <w:p w14:paraId="6216F2F2" w14:textId="77777777" w:rsidR="00990B14" w:rsidRDefault="00000000">
            <w:pPr>
              <w:numPr>
                <w:ilvl w:val="0"/>
                <w:numId w:val="139"/>
              </w:numPr>
              <w:spacing w:before="10" w:after="10"/>
              <w:jc w:val="both"/>
            </w:pPr>
            <w:r>
              <w:rPr>
                <w:sz w:val="18"/>
                <w:szCs w:val="18"/>
              </w:rPr>
              <w:t>Cuestionarios de comprensión en la plataforma Moodle UMSA.</w:t>
            </w:r>
          </w:p>
          <w:p w14:paraId="2573165E" w14:textId="77777777" w:rsidR="00990B14" w:rsidRDefault="00000000">
            <w:pPr>
              <w:numPr>
                <w:ilvl w:val="0"/>
                <w:numId w:val="139"/>
              </w:numPr>
              <w:spacing w:before="10" w:after="10"/>
              <w:jc w:val="both"/>
            </w:pPr>
            <w:r>
              <w:rPr>
                <w:sz w:val="18"/>
                <w:szCs w:val="18"/>
              </w:rPr>
              <w:t>Foros de consulta sobre el planteamiento del problema y la formulación de hipótesis.</w:t>
            </w:r>
          </w:p>
          <w:p w14:paraId="4B2DCF91" w14:textId="77777777" w:rsidR="00990B14" w:rsidRDefault="00000000">
            <w:pPr>
              <w:numPr>
                <w:ilvl w:val="0"/>
                <w:numId w:val="139"/>
              </w:numPr>
              <w:spacing w:before="10" w:after="10"/>
              <w:jc w:val="both"/>
            </w:pPr>
            <w:r>
              <w:rPr>
                <w:sz w:val="18"/>
                <w:szCs w:val="18"/>
              </w:rPr>
              <w:t>Videotutoriales de manejo de gestores bibliográficos y herramientas de inteligencia artificial.</w:t>
            </w:r>
          </w:p>
        </w:tc>
        <w:tc>
          <w:tcPr>
            <w:tcW w:w="1621" w:type="dxa"/>
            <w:shd w:val="clear" w:color="auto" w:fill="D9E2F3"/>
          </w:tcPr>
          <w:p w14:paraId="3780C917" w14:textId="77777777" w:rsidR="00990B14" w:rsidRDefault="00000000">
            <w:pPr>
              <w:numPr>
                <w:ilvl w:val="0"/>
                <w:numId w:val="139"/>
              </w:numPr>
              <w:spacing w:before="10" w:after="10"/>
              <w:jc w:val="both"/>
            </w:pPr>
            <w:r>
              <w:rPr>
                <w:sz w:val="18"/>
                <w:szCs w:val="18"/>
              </w:rPr>
              <w:t>Resolución colaborativa de ejercicios de planteamiento del problema y objetivos.</w:t>
            </w:r>
          </w:p>
          <w:p w14:paraId="62AF41E8" w14:textId="77777777" w:rsidR="00990B14" w:rsidRDefault="00000000">
            <w:pPr>
              <w:numPr>
                <w:ilvl w:val="0"/>
                <w:numId w:val="139"/>
              </w:numPr>
              <w:spacing w:before="10" w:after="10"/>
              <w:jc w:val="both"/>
            </w:pPr>
            <w:r>
              <w:rPr>
                <w:sz w:val="18"/>
                <w:szCs w:val="18"/>
              </w:rPr>
              <w:t>Elaboración guiada del marco teórico y la hipótesis de un caso.</w:t>
            </w:r>
          </w:p>
          <w:p w14:paraId="78805737" w14:textId="77777777" w:rsidR="00990B14" w:rsidRDefault="00000000">
            <w:pPr>
              <w:numPr>
                <w:ilvl w:val="0"/>
                <w:numId w:val="139"/>
              </w:numPr>
              <w:spacing w:before="10" w:after="10"/>
              <w:jc w:val="both"/>
            </w:pPr>
            <w:r>
              <w:rPr>
                <w:sz w:val="18"/>
                <w:szCs w:val="18"/>
              </w:rPr>
              <w:t>Revisión cruzada de instrumentos de recolección de información entre equipos.</w:t>
            </w:r>
          </w:p>
        </w:tc>
        <w:tc>
          <w:tcPr>
            <w:tcW w:w="2540" w:type="dxa"/>
            <w:shd w:val="clear" w:color="auto" w:fill="D9E2F3"/>
          </w:tcPr>
          <w:p w14:paraId="6E9ED56F" w14:textId="77777777" w:rsidR="00990B14" w:rsidRDefault="00000000">
            <w:pPr>
              <w:numPr>
                <w:ilvl w:val="0"/>
                <w:numId w:val="139"/>
              </w:numPr>
              <w:spacing w:before="10" w:after="10"/>
              <w:jc w:val="both"/>
            </w:pPr>
            <w:r>
              <w:rPr>
                <w:sz w:val="18"/>
                <w:szCs w:val="18"/>
              </w:rPr>
              <w:t>Revisión de tesis y trabajos de grado de la Carrera de Contaduría Pública en el Repositorio Institucional de la UMSA.</w:t>
            </w:r>
          </w:p>
          <w:p w14:paraId="5E6EF849" w14:textId="77777777" w:rsidR="00990B14" w:rsidRDefault="00000000">
            <w:pPr>
              <w:numPr>
                <w:ilvl w:val="0"/>
                <w:numId w:val="139"/>
              </w:numPr>
              <w:spacing w:before="10" w:after="10"/>
              <w:jc w:val="both"/>
            </w:pPr>
            <w:r>
              <w:rPr>
                <w:sz w:val="18"/>
                <w:szCs w:val="18"/>
              </w:rPr>
              <w:t>Análisis de artículos científicos del campo económico y financiero.</w:t>
            </w:r>
          </w:p>
          <w:p w14:paraId="6237F730" w14:textId="77777777" w:rsidR="00990B14" w:rsidRDefault="00000000">
            <w:pPr>
              <w:numPr>
                <w:ilvl w:val="0"/>
                <w:numId w:val="139"/>
              </w:numPr>
              <w:spacing w:before="10" w:after="10"/>
              <w:jc w:val="both"/>
            </w:pPr>
            <w:r>
              <w:rPr>
                <w:sz w:val="18"/>
                <w:szCs w:val="18"/>
              </w:rPr>
              <w:t>Comparación de instrumentos de recolección de información entre distintos estudios.</w:t>
            </w:r>
          </w:p>
        </w:tc>
      </w:tr>
    </w:tbl>
    <w:p w14:paraId="24EE30B7"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809"/>
        <w:gridCol w:w="1860"/>
        <w:gridCol w:w="1860"/>
        <w:gridCol w:w="2015"/>
        <w:gridCol w:w="1861"/>
      </w:tblGrid>
      <w:tr w:rsidR="00990B14" w14:paraId="6DCF1E47" w14:textId="77777777">
        <w:trPr>
          <w:jc w:val="center"/>
        </w:trPr>
        <w:tc>
          <w:tcPr>
            <w:tcW w:w="1809" w:type="dxa"/>
            <w:shd w:val="clear" w:color="auto" w:fill="4472C4"/>
            <w:vAlign w:val="center"/>
          </w:tcPr>
          <w:p w14:paraId="60CF9FC4" w14:textId="77777777" w:rsidR="00990B14" w:rsidRDefault="00000000">
            <w:pPr>
              <w:spacing w:before="20" w:after="20"/>
              <w:jc w:val="center"/>
            </w:pPr>
            <w:r>
              <w:rPr>
                <w:b/>
                <w:bCs/>
                <w:i/>
                <w:iCs/>
                <w:color w:val="FFFFFF"/>
                <w:sz w:val="18"/>
                <w:szCs w:val="18"/>
              </w:rPr>
              <w:t>Estrategias de aprendizaje y enseñanza</w:t>
            </w:r>
          </w:p>
        </w:tc>
        <w:tc>
          <w:tcPr>
            <w:tcW w:w="7596" w:type="dxa"/>
            <w:gridSpan w:val="4"/>
            <w:shd w:val="clear" w:color="auto" w:fill="D9E2F3"/>
            <w:vAlign w:val="center"/>
          </w:tcPr>
          <w:p w14:paraId="18310064" w14:textId="77777777" w:rsidR="00990B14" w:rsidRDefault="00000000">
            <w:pPr>
              <w:numPr>
                <w:ilvl w:val="0"/>
                <w:numId w:val="140"/>
              </w:numPr>
              <w:spacing w:before="10" w:after="10"/>
              <w:jc w:val="both"/>
            </w:pPr>
            <w:r>
              <w:rPr>
                <w:sz w:val="18"/>
                <w:szCs w:val="18"/>
              </w:rPr>
              <w:t xml:space="preserve">Aprendizaje basado en proyectos con el desarrollo de una </w:t>
            </w:r>
            <w:r>
              <w:rPr>
                <w:b/>
                <w:bCs/>
                <w:sz w:val="18"/>
                <w:szCs w:val="18"/>
              </w:rPr>
              <w:t>propuesta de</w:t>
            </w:r>
            <w:r>
              <w:rPr>
                <w:sz w:val="18"/>
                <w:szCs w:val="18"/>
              </w:rPr>
              <w:t xml:space="preserve"> investigación propia.</w:t>
            </w:r>
          </w:p>
          <w:p w14:paraId="2AE8BC2B" w14:textId="77777777" w:rsidR="00990B14" w:rsidRDefault="00000000">
            <w:pPr>
              <w:numPr>
                <w:ilvl w:val="0"/>
                <w:numId w:val="140"/>
              </w:numPr>
              <w:spacing w:before="10" w:after="10"/>
              <w:jc w:val="both"/>
            </w:pPr>
            <w:r>
              <w:rPr>
                <w:sz w:val="18"/>
                <w:szCs w:val="18"/>
              </w:rPr>
              <w:t>Resolución guiada de ejercicios en orden de dificultad creciente por etapa de la investigación.</w:t>
            </w:r>
          </w:p>
          <w:p w14:paraId="3D878E2B" w14:textId="77777777" w:rsidR="00990B14" w:rsidRDefault="00000000">
            <w:pPr>
              <w:numPr>
                <w:ilvl w:val="0"/>
                <w:numId w:val="140"/>
              </w:numPr>
              <w:spacing w:before="10" w:after="10"/>
              <w:jc w:val="both"/>
            </w:pPr>
            <w:r>
              <w:rPr>
                <w:sz w:val="18"/>
                <w:szCs w:val="18"/>
              </w:rPr>
              <w:t>Caso práctico integral que recorre desde el planteamiento del problema hasta la presentación de resultados.</w:t>
            </w:r>
          </w:p>
          <w:p w14:paraId="1465EB94" w14:textId="77777777" w:rsidR="00990B14" w:rsidRDefault="00000000">
            <w:pPr>
              <w:numPr>
                <w:ilvl w:val="0"/>
                <w:numId w:val="140"/>
              </w:numPr>
              <w:spacing w:before="10" w:after="10"/>
              <w:jc w:val="both"/>
            </w:pPr>
            <w:r>
              <w:rPr>
                <w:sz w:val="18"/>
                <w:szCs w:val="18"/>
              </w:rPr>
              <w:t>Estudio de investigaciones publicadas en el campo económico y financiero boliviano.</w:t>
            </w:r>
          </w:p>
          <w:p w14:paraId="250B4C15" w14:textId="77777777" w:rsidR="00990B14" w:rsidRDefault="00000000">
            <w:pPr>
              <w:numPr>
                <w:ilvl w:val="0"/>
                <w:numId w:val="140"/>
              </w:numPr>
              <w:spacing w:before="10" w:after="10"/>
              <w:jc w:val="both"/>
            </w:pPr>
            <w:r>
              <w:rPr>
                <w:sz w:val="18"/>
                <w:szCs w:val="18"/>
              </w:rPr>
              <w:t>Trabajo colaborativo en equipos de investigación.</w:t>
            </w:r>
          </w:p>
          <w:p w14:paraId="3D7287C3" w14:textId="77777777" w:rsidR="00990B14" w:rsidRDefault="00000000">
            <w:pPr>
              <w:numPr>
                <w:ilvl w:val="0"/>
                <w:numId w:val="140"/>
              </w:numPr>
              <w:spacing w:before="10" w:after="10"/>
              <w:jc w:val="both"/>
            </w:pPr>
            <w:r>
              <w:rPr>
                <w:sz w:val="18"/>
                <w:szCs w:val="18"/>
              </w:rPr>
              <w:t>Clase invertida para los contenidos teóricos de cada etapa metodológica.</w:t>
            </w:r>
          </w:p>
        </w:tc>
      </w:tr>
      <w:tr w:rsidR="00990B14" w14:paraId="18CEB789" w14:textId="77777777">
        <w:trPr>
          <w:jc w:val="center"/>
        </w:trPr>
        <w:tc>
          <w:tcPr>
            <w:tcW w:w="1809" w:type="dxa"/>
            <w:shd w:val="clear" w:color="auto" w:fill="4472C4"/>
            <w:vAlign w:val="center"/>
          </w:tcPr>
          <w:p w14:paraId="3DC96CD9" w14:textId="77777777" w:rsidR="00990B14" w:rsidRDefault="00000000">
            <w:pPr>
              <w:spacing w:before="20" w:after="20"/>
              <w:jc w:val="center"/>
            </w:pPr>
            <w:r>
              <w:rPr>
                <w:b/>
                <w:bCs/>
                <w:i/>
                <w:iCs/>
                <w:color w:val="FFFFFF"/>
                <w:sz w:val="18"/>
                <w:szCs w:val="18"/>
              </w:rPr>
              <w:t>Recursos para el aprendizaje</w:t>
            </w:r>
          </w:p>
        </w:tc>
        <w:tc>
          <w:tcPr>
            <w:tcW w:w="7596" w:type="dxa"/>
            <w:gridSpan w:val="4"/>
            <w:shd w:val="clear" w:color="auto" w:fill="D9E2F3"/>
            <w:vAlign w:val="center"/>
          </w:tcPr>
          <w:p w14:paraId="73619FC3" w14:textId="77777777" w:rsidR="00990B14" w:rsidRDefault="00000000">
            <w:pPr>
              <w:numPr>
                <w:ilvl w:val="0"/>
                <w:numId w:val="140"/>
              </w:numPr>
              <w:spacing w:before="10" w:after="10"/>
              <w:jc w:val="both"/>
            </w:pPr>
            <w:r>
              <w:rPr>
                <w:sz w:val="18"/>
                <w:szCs w:val="18"/>
              </w:rPr>
              <w:t xml:space="preserve">Plataforma Moodle </w:t>
            </w:r>
            <w:r>
              <w:rPr>
                <w:b/>
                <w:bCs/>
                <w:sz w:val="18"/>
                <w:szCs w:val="18"/>
              </w:rPr>
              <w:t>y Teams</w:t>
            </w:r>
            <w:r>
              <w:rPr>
                <w:sz w:val="18"/>
                <w:szCs w:val="18"/>
              </w:rPr>
              <w:t xml:space="preserve"> UMSA.</w:t>
            </w:r>
          </w:p>
          <w:p w14:paraId="033B015E" w14:textId="77777777" w:rsidR="00990B14" w:rsidRDefault="00000000">
            <w:pPr>
              <w:numPr>
                <w:ilvl w:val="0"/>
                <w:numId w:val="140"/>
              </w:numPr>
              <w:spacing w:before="10" w:after="10"/>
              <w:jc w:val="both"/>
            </w:pPr>
            <w:r>
              <w:rPr>
                <w:sz w:val="18"/>
                <w:szCs w:val="18"/>
              </w:rPr>
              <w:t xml:space="preserve">Gestores bibliográficos Zotero, Mendeley </w:t>
            </w:r>
            <w:r>
              <w:rPr>
                <w:b/>
                <w:bCs/>
                <w:sz w:val="18"/>
                <w:szCs w:val="18"/>
              </w:rPr>
              <w:t>y Word.</w:t>
            </w:r>
          </w:p>
          <w:p w14:paraId="09B01AA4" w14:textId="77777777" w:rsidR="00990B14" w:rsidRDefault="00000000">
            <w:pPr>
              <w:numPr>
                <w:ilvl w:val="0"/>
                <w:numId w:val="140"/>
              </w:numPr>
              <w:spacing w:before="10" w:after="10"/>
              <w:jc w:val="both"/>
            </w:pPr>
            <w:r>
              <w:rPr>
                <w:sz w:val="18"/>
                <w:szCs w:val="18"/>
              </w:rPr>
              <w:t xml:space="preserve">Herramientas de inteligencia artificial para búsqueda bibliográfica y detección de plagio y </w:t>
            </w:r>
            <w:r>
              <w:rPr>
                <w:b/>
                <w:bCs/>
                <w:sz w:val="18"/>
                <w:szCs w:val="18"/>
              </w:rPr>
              <w:t>plagio IA.</w:t>
            </w:r>
          </w:p>
          <w:p w14:paraId="43FAAE7E" w14:textId="77777777" w:rsidR="00990B14" w:rsidRDefault="00000000">
            <w:pPr>
              <w:numPr>
                <w:ilvl w:val="0"/>
                <w:numId w:val="140"/>
              </w:numPr>
              <w:spacing w:before="10" w:after="10"/>
              <w:jc w:val="both"/>
            </w:pPr>
            <w:r>
              <w:rPr>
                <w:sz w:val="18"/>
                <w:szCs w:val="18"/>
              </w:rPr>
              <w:t>Repositorio institucional de tesis y trabajos de investigación de la UMSA.</w:t>
            </w:r>
          </w:p>
          <w:p w14:paraId="0304E8FE" w14:textId="77777777" w:rsidR="00990B14" w:rsidRDefault="00000000">
            <w:pPr>
              <w:numPr>
                <w:ilvl w:val="0"/>
                <w:numId w:val="140"/>
              </w:numPr>
              <w:spacing w:before="10" w:after="10"/>
              <w:jc w:val="both"/>
            </w:pPr>
            <w:r>
              <w:rPr>
                <w:sz w:val="18"/>
                <w:szCs w:val="18"/>
              </w:rPr>
              <w:t>Guías de ejercicios y casos elaborados por la cátedra.</w:t>
            </w:r>
          </w:p>
          <w:p w14:paraId="6E6AF891" w14:textId="77777777" w:rsidR="00990B14" w:rsidRDefault="00000000">
            <w:pPr>
              <w:numPr>
                <w:ilvl w:val="0"/>
                <w:numId w:val="140"/>
              </w:numPr>
              <w:spacing w:before="10" w:after="10"/>
              <w:jc w:val="both"/>
            </w:pPr>
            <w:r>
              <w:rPr>
                <w:sz w:val="18"/>
                <w:szCs w:val="18"/>
              </w:rPr>
              <w:t>Hojas de cálculo y formularios en línea para la aplicación de encuestas y el análisis descriptivo de datos.</w:t>
            </w:r>
          </w:p>
        </w:tc>
      </w:tr>
      <w:tr w:rsidR="00990B14" w14:paraId="6D56241A" w14:textId="77777777">
        <w:trPr>
          <w:jc w:val="center"/>
        </w:trPr>
        <w:tc>
          <w:tcPr>
            <w:tcW w:w="1809" w:type="dxa"/>
            <w:shd w:val="clear" w:color="auto" w:fill="4472C4"/>
            <w:vAlign w:val="center"/>
          </w:tcPr>
          <w:p w14:paraId="4D63B9B1" w14:textId="77777777" w:rsidR="00990B14" w:rsidRDefault="00000000">
            <w:pPr>
              <w:spacing w:before="20" w:after="20"/>
              <w:jc w:val="center"/>
            </w:pPr>
            <w:r>
              <w:rPr>
                <w:b/>
                <w:bCs/>
                <w:i/>
                <w:iCs/>
                <w:color w:val="FFFFFF"/>
                <w:sz w:val="18"/>
                <w:szCs w:val="18"/>
              </w:rPr>
              <w:t>Estrategias de evaluación</w:t>
            </w:r>
          </w:p>
        </w:tc>
        <w:tc>
          <w:tcPr>
            <w:tcW w:w="7596" w:type="dxa"/>
            <w:gridSpan w:val="4"/>
            <w:shd w:val="clear" w:color="auto" w:fill="D9E2F3"/>
            <w:vAlign w:val="center"/>
          </w:tcPr>
          <w:p w14:paraId="05D79A9D" w14:textId="77777777" w:rsidR="00990B14" w:rsidRDefault="00000000">
            <w:pPr>
              <w:numPr>
                <w:ilvl w:val="0"/>
                <w:numId w:val="140"/>
              </w:numPr>
              <w:spacing w:before="10" w:after="10"/>
              <w:jc w:val="both"/>
            </w:pPr>
            <w:r>
              <w:rPr>
                <w:sz w:val="18"/>
                <w:szCs w:val="18"/>
              </w:rPr>
              <w:t>Evaluación diagnóstica: prueba inicial sobre nociones de ciencia, conocimiento e investigación previas a la asignatura.</w:t>
            </w:r>
          </w:p>
          <w:p w14:paraId="3B532E4F" w14:textId="77777777" w:rsidR="00990B14" w:rsidRDefault="00000000">
            <w:pPr>
              <w:numPr>
                <w:ilvl w:val="0"/>
                <w:numId w:val="140"/>
              </w:numPr>
              <w:spacing w:before="10" w:after="10"/>
              <w:jc w:val="both"/>
            </w:pPr>
            <w:r>
              <w:rPr>
                <w:sz w:val="18"/>
                <w:szCs w:val="18"/>
              </w:rPr>
              <w:t>Evaluación formativa: preguntas de comprensión y desarrollo de ejercicios prácticos en el aula, con retroalimentación continua, autoevaluación y coevaluación.</w:t>
            </w:r>
          </w:p>
          <w:p w14:paraId="01246C29" w14:textId="77777777" w:rsidR="00990B14" w:rsidRDefault="00000000">
            <w:pPr>
              <w:numPr>
                <w:ilvl w:val="0"/>
                <w:numId w:val="140"/>
              </w:numPr>
              <w:spacing w:before="10" w:after="10"/>
              <w:jc w:val="both"/>
            </w:pPr>
            <w:r>
              <w:rPr>
                <w:sz w:val="18"/>
                <w:szCs w:val="18"/>
              </w:rPr>
              <w:t xml:space="preserve">Evaluación sumativa: controles de lectura, </w:t>
            </w:r>
            <w:r>
              <w:rPr>
                <w:b/>
                <w:bCs/>
                <w:sz w:val="18"/>
                <w:szCs w:val="18"/>
              </w:rPr>
              <w:t>participación,</w:t>
            </w:r>
            <w:r>
              <w:rPr>
                <w:sz w:val="18"/>
                <w:szCs w:val="18"/>
              </w:rPr>
              <w:t xml:space="preserve"> evaluación de casos prácticos, trabajos de investigación y desarrollo, exámenes parciales y examen final.</w:t>
            </w:r>
          </w:p>
        </w:tc>
      </w:tr>
      <w:tr w:rsidR="00990B14" w14:paraId="06EA64F0" w14:textId="77777777">
        <w:trPr>
          <w:jc w:val="center"/>
        </w:trPr>
        <w:tc>
          <w:tcPr>
            <w:tcW w:w="1809" w:type="dxa"/>
            <w:shd w:val="clear" w:color="auto" w:fill="4472C4"/>
            <w:vAlign w:val="center"/>
          </w:tcPr>
          <w:p w14:paraId="1CB3F707" w14:textId="77777777" w:rsidR="00990B14" w:rsidRDefault="00000000">
            <w:pPr>
              <w:spacing w:before="20" w:after="20"/>
              <w:jc w:val="center"/>
            </w:pPr>
            <w:r>
              <w:rPr>
                <w:b/>
                <w:bCs/>
                <w:i/>
                <w:iCs/>
                <w:color w:val="FFFFFF"/>
                <w:sz w:val="18"/>
                <w:szCs w:val="18"/>
              </w:rPr>
              <w:t>Criterios de calificación</w:t>
            </w:r>
          </w:p>
        </w:tc>
        <w:tc>
          <w:tcPr>
            <w:tcW w:w="7596" w:type="dxa"/>
            <w:gridSpan w:val="4"/>
            <w:shd w:val="clear" w:color="auto" w:fill="D9E2F3"/>
            <w:vAlign w:val="center"/>
          </w:tcPr>
          <w:p w14:paraId="3F18970B" w14:textId="77777777" w:rsidR="00990B14" w:rsidRDefault="00000000">
            <w:pPr>
              <w:numPr>
                <w:ilvl w:val="0"/>
                <w:numId w:val="140"/>
              </w:numPr>
              <w:spacing w:before="10" w:after="10"/>
              <w:jc w:val="both"/>
            </w:pPr>
            <w:r>
              <w:rPr>
                <w:sz w:val="18"/>
                <w:szCs w:val="18"/>
              </w:rPr>
              <w:t>Nota mínima de aprobación: 51/100.</w:t>
            </w:r>
          </w:p>
          <w:p w14:paraId="2D67501F" w14:textId="77777777" w:rsidR="00990B14" w:rsidRDefault="00000000">
            <w:pPr>
              <w:numPr>
                <w:ilvl w:val="0"/>
                <w:numId w:val="140"/>
              </w:numPr>
              <w:spacing w:before="10" w:after="10"/>
              <w:jc w:val="both"/>
            </w:pPr>
            <w:r>
              <w:rPr>
                <w:sz w:val="18"/>
                <w:szCs w:val="18"/>
              </w:rPr>
              <w:t>Evaluación periódica al finalizar cada tema, basada en evidencias de conocimiento, desempeño y producto.</w:t>
            </w:r>
          </w:p>
          <w:p w14:paraId="6F7987E8" w14:textId="77777777" w:rsidR="00990B14" w:rsidRDefault="00000000">
            <w:pPr>
              <w:numPr>
                <w:ilvl w:val="0"/>
                <w:numId w:val="140"/>
              </w:numPr>
              <w:spacing w:before="10" w:after="10"/>
              <w:jc w:val="both"/>
            </w:pPr>
            <w:r>
              <w:rPr>
                <w:sz w:val="18"/>
                <w:szCs w:val="18"/>
              </w:rPr>
              <w:t>Cada evidencia de producto se evalúa con su propia rúbrica de tres niveles: Insuficiente, Suficiente y Destacado.</w:t>
            </w:r>
          </w:p>
          <w:p w14:paraId="245FB689" w14:textId="77777777" w:rsidR="00990B14" w:rsidRDefault="00000000">
            <w:pPr>
              <w:numPr>
                <w:ilvl w:val="0"/>
                <w:numId w:val="140"/>
              </w:numPr>
              <w:spacing w:before="10" w:after="10"/>
              <w:jc w:val="both"/>
            </w:pPr>
            <w:r>
              <w:rPr>
                <w:sz w:val="18"/>
                <w:szCs w:val="18"/>
              </w:rPr>
              <w:t>La calificación de cada elemento de competencia suma las calificaciones de sus evidencias de producto.</w:t>
            </w:r>
          </w:p>
        </w:tc>
      </w:tr>
      <w:tr w:rsidR="00990B14" w14:paraId="48F2C1B2" w14:textId="77777777">
        <w:trPr>
          <w:cantSplit/>
          <w:jc w:val="center"/>
        </w:trPr>
        <w:tc>
          <w:tcPr>
            <w:tcW w:w="1809" w:type="dxa"/>
            <w:vMerge w:val="restart"/>
            <w:shd w:val="clear" w:color="auto" w:fill="4472C4"/>
            <w:vAlign w:val="center"/>
          </w:tcPr>
          <w:p w14:paraId="692F0362" w14:textId="77777777" w:rsidR="00990B14" w:rsidRDefault="00000000">
            <w:pPr>
              <w:spacing w:before="20" w:after="20"/>
              <w:jc w:val="center"/>
            </w:pPr>
            <w:r>
              <w:rPr>
                <w:b/>
                <w:bCs/>
                <w:i/>
                <w:iCs/>
                <w:color w:val="FFFFFF"/>
                <w:sz w:val="18"/>
                <w:szCs w:val="18"/>
              </w:rPr>
              <w:t>Niveles de logro y distribución de la calificación</w:t>
            </w:r>
          </w:p>
        </w:tc>
        <w:tc>
          <w:tcPr>
            <w:tcW w:w="5735" w:type="dxa"/>
            <w:gridSpan w:val="3"/>
            <w:shd w:val="clear" w:color="auto" w:fill="D9E2F3"/>
            <w:vAlign w:val="center"/>
          </w:tcPr>
          <w:p w14:paraId="4BA1A948" w14:textId="77777777" w:rsidR="00990B14" w:rsidRDefault="00000000">
            <w:pPr>
              <w:keepNext/>
              <w:spacing w:before="20" w:after="20"/>
              <w:jc w:val="both"/>
            </w:pPr>
            <w:r>
              <w:rPr>
                <w:b/>
                <w:bCs/>
                <w:i/>
                <w:iCs/>
                <w:sz w:val="18"/>
                <w:szCs w:val="18"/>
              </w:rPr>
              <w:t xml:space="preserve">Producto 1: </w:t>
            </w:r>
            <w:r>
              <w:rPr>
                <w:sz w:val="18"/>
                <w:szCs w:val="18"/>
              </w:rPr>
              <w:t>Propuesta preliminar de investigación</w:t>
            </w:r>
          </w:p>
        </w:tc>
        <w:tc>
          <w:tcPr>
            <w:tcW w:w="1861" w:type="dxa"/>
            <w:shd w:val="clear" w:color="auto" w:fill="D9E2F3"/>
            <w:vAlign w:val="center"/>
          </w:tcPr>
          <w:p w14:paraId="13E81177" w14:textId="77777777" w:rsidR="00990B14" w:rsidRDefault="00000000">
            <w:pPr>
              <w:spacing w:before="20" w:after="20"/>
              <w:jc w:val="center"/>
            </w:pPr>
            <w:r>
              <w:rPr>
                <w:b/>
                <w:bCs/>
                <w:sz w:val="18"/>
                <w:szCs w:val="18"/>
              </w:rPr>
              <w:t>8%</w:t>
            </w:r>
          </w:p>
        </w:tc>
      </w:tr>
      <w:tr w:rsidR="00990B14" w14:paraId="0F2AEFA4" w14:textId="77777777">
        <w:trPr>
          <w:cantSplit/>
          <w:jc w:val="center"/>
        </w:trPr>
        <w:tc>
          <w:tcPr>
            <w:tcW w:w="1809" w:type="dxa"/>
            <w:vMerge/>
            <w:shd w:val="clear" w:color="auto" w:fill="4472C4"/>
            <w:vAlign w:val="center"/>
          </w:tcPr>
          <w:p w14:paraId="23FD9DBC" w14:textId="77777777" w:rsidR="00990B14" w:rsidRDefault="00990B14">
            <w:pPr>
              <w:spacing w:before="20" w:after="20"/>
            </w:pPr>
          </w:p>
        </w:tc>
        <w:tc>
          <w:tcPr>
            <w:tcW w:w="1860" w:type="dxa"/>
            <w:shd w:val="clear" w:color="auto" w:fill="4472C4"/>
            <w:vAlign w:val="center"/>
          </w:tcPr>
          <w:p w14:paraId="5399077E" w14:textId="77777777" w:rsidR="00990B14" w:rsidRDefault="00000000">
            <w:pPr>
              <w:keepNext/>
              <w:spacing w:before="20" w:after="20"/>
              <w:jc w:val="center"/>
            </w:pPr>
            <w:r>
              <w:rPr>
                <w:b/>
                <w:bCs/>
                <w:i/>
                <w:iCs/>
                <w:color w:val="FFFFFF"/>
                <w:sz w:val="18"/>
                <w:szCs w:val="18"/>
              </w:rPr>
              <w:t>Criterio</w:t>
            </w:r>
          </w:p>
        </w:tc>
        <w:tc>
          <w:tcPr>
            <w:tcW w:w="1860" w:type="dxa"/>
            <w:shd w:val="clear" w:color="auto" w:fill="4472C4"/>
            <w:vAlign w:val="center"/>
          </w:tcPr>
          <w:p w14:paraId="30C15094"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033D1583" w14:textId="77777777" w:rsidR="00990B14" w:rsidRDefault="00000000">
            <w:pPr>
              <w:keepNext/>
              <w:spacing w:before="20" w:after="20"/>
              <w:jc w:val="center"/>
            </w:pPr>
            <w:r>
              <w:rPr>
                <w:b/>
                <w:bCs/>
                <w:i/>
                <w:iCs/>
                <w:color w:val="FFFFFF"/>
                <w:sz w:val="18"/>
                <w:szCs w:val="18"/>
              </w:rPr>
              <w:t>Suficiente (51–80)</w:t>
            </w:r>
          </w:p>
        </w:tc>
        <w:tc>
          <w:tcPr>
            <w:tcW w:w="1861" w:type="dxa"/>
            <w:shd w:val="clear" w:color="auto" w:fill="4472C4"/>
            <w:vAlign w:val="center"/>
          </w:tcPr>
          <w:p w14:paraId="596EEA9A" w14:textId="77777777" w:rsidR="00990B14" w:rsidRDefault="00000000">
            <w:pPr>
              <w:keepNext/>
              <w:spacing w:before="20" w:after="20"/>
              <w:jc w:val="center"/>
            </w:pPr>
            <w:r>
              <w:rPr>
                <w:b/>
                <w:bCs/>
                <w:i/>
                <w:iCs/>
                <w:color w:val="FFFFFF"/>
                <w:sz w:val="18"/>
                <w:szCs w:val="18"/>
              </w:rPr>
              <w:t>Destacado (81–100)</w:t>
            </w:r>
          </w:p>
        </w:tc>
      </w:tr>
      <w:tr w:rsidR="00990B14" w14:paraId="1A9F6903" w14:textId="77777777">
        <w:trPr>
          <w:cantSplit/>
          <w:jc w:val="center"/>
        </w:trPr>
        <w:tc>
          <w:tcPr>
            <w:tcW w:w="1809" w:type="dxa"/>
            <w:vMerge/>
            <w:shd w:val="clear" w:color="auto" w:fill="4472C4"/>
            <w:vAlign w:val="center"/>
          </w:tcPr>
          <w:p w14:paraId="7D381AF3" w14:textId="77777777" w:rsidR="00990B14" w:rsidRDefault="00990B14">
            <w:pPr>
              <w:spacing w:before="20" w:after="20"/>
            </w:pPr>
          </w:p>
        </w:tc>
        <w:tc>
          <w:tcPr>
            <w:tcW w:w="1860" w:type="dxa"/>
            <w:shd w:val="clear" w:color="auto" w:fill="D9E2F3"/>
            <w:vAlign w:val="center"/>
          </w:tcPr>
          <w:p w14:paraId="6C6EDB34" w14:textId="77777777" w:rsidR="00990B14" w:rsidRDefault="00000000">
            <w:pPr>
              <w:spacing w:before="20" w:after="20"/>
              <w:jc w:val="both"/>
            </w:pPr>
            <w:r>
              <w:rPr>
                <w:sz w:val="18"/>
                <w:szCs w:val="18"/>
              </w:rPr>
              <w:t>Origen de la idea</w:t>
            </w:r>
          </w:p>
        </w:tc>
        <w:tc>
          <w:tcPr>
            <w:tcW w:w="1860" w:type="dxa"/>
            <w:shd w:val="clear" w:color="auto" w:fill="D9E2F3"/>
            <w:vAlign w:val="center"/>
          </w:tcPr>
          <w:p w14:paraId="73DC4EB3" w14:textId="77777777" w:rsidR="00990B14" w:rsidRDefault="00000000">
            <w:pPr>
              <w:spacing w:before="20" w:after="20"/>
              <w:jc w:val="both"/>
            </w:pPr>
            <w:r>
              <w:rPr>
                <w:sz w:val="18"/>
                <w:szCs w:val="18"/>
              </w:rPr>
              <w:t>La idea no parte de un problema real.</w:t>
            </w:r>
          </w:p>
        </w:tc>
        <w:tc>
          <w:tcPr>
            <w:tcW w:w="2015" w:type="dxa"/>
            <w:shd w:val="clear" w:color="auto" w:fill="D9E2F3"/>
            <w:vAlign w:val="center"/>
          </w:tcPr>
          <w:p w14:paraId="65C4301F" w14:textId="77777777" w:rsidR="00990B14" w:rsidRDefault="00000000">
            <w:pPr>
              <w:spacing w:before="20" w:after="20"/>
              <w:jc w:val="both"/>
            </w:pPr>
            <w:r>
              <w:rPr>
                <w:sz w:val="18"/>
                <w:szCs w:val="18"/>
              </w:rPr>
              <w:t>La idea parte de un problema real de una entidad boliviana.</w:t>
            </w:r>
          </w:p>
        </w:tc>
        <w:tc>
          <w:tcPr>
            <w:tcW w:w="1861" w:type="dxa"/>
            <w:shd w:val="clear" w:color="auto" w:fill="D9E2F3"/>
            <w:vAlign w:val="center"/>
          </w:tcPr>
          <w:p w14:paraId="32770249" w14:textId="77777777" w:rsidR="00990B14" w:rsidRDefault="00000000">
            <w:pPr>
              <w:spacing w:before="20" w:after="20"/>
              <w:jc w:val="both"/>
            </w:pPr>
            <w:r>
              <w:rPr>
                <w:sz w:val="18"/>
                <w:szCs w:val="18"/>
              </w:rPr>
              <w:t>Justifica la relevancia de la idea para el campo contable.</w:t>
            </w:r>
          </w:p>
        </w:tc>
      </w:tr>
      <w:tr w:rsidR="00990B14" w14:paraId="7827BCED" w14:textId="77777777">
        <w:trPr>
          <w:cantSplit/>
          <w:jc w:val="center"/>
        </w:trPr>
        <w:tc>
          <w:tcPr>
            <w:tcW w:w="1809" w:type="dxa"/>
            <w:vMerge/>
            <w:shd w:val="clear" w:color="auto" w:fill="4472C4"/>
            <w:vAlign w:val="center"/>
          </w:tcPr>
          <w:p w14:paraId="708C5E4C" w14:textId="77777777" w:rsidR="00990B14" w:rsidRDefault="00990B14">
            <w:pPr>
              <w:spacing w:before="20" w:after="20"/>
            </w:pPr>
          </w:p>
        </w:tc>
        <w:tc>
          <w:tcPr>
            <w:tcW w:w="1860" w:type="dxa"/>
            <w:shd w:val="clear" w:color="auto" w:fill="D9E2F3"/>
            <w:vAlign w:val="center"/>
          </w:tcPr>
          <w:p w14:paraId="540A6B04" w14:textId="77777777" w:rsidR="00990B14" w:rsidRDefault="00000000">
            <w:pPr>
              <w:spacing w:before="20" w:after="20"/>
              <w:jc w:val="both"/>
            </w:pPr>
            <w:r>
              <w:rPr>
                <w:sz w:val="18"/>
                <w:szCs w:val="18"/>
              </w:rPr>
              <w:t>Estructura de la propuesta</w:t>
            </w:r>
          </w:p>
        </w:tc>
        <w:tc>
          <w:tcPr>
            <w:tcW w:w="1860" w:type="dxa"/>
            <w:shd w:val="clear" w:color="auto" w:fill="D9E2F3"/>
            <w:vAlign w:val="center"/>
          </w:tcPr>
          <w:p w14:paraId="2EB85763" w14:textId="77777777" w:rsidR="00990B14" w:rsidRDefault="00000000">
            <w:pPr>
              <w:spacing w:before="20" w:after="20"/>
              <w:jc w:val="both"/>
            </w:pPr>
            <w:r>
              <w:rPr>
                <w:sz w:val="18"/>
                <w:szCs w:val="18"/>
              </w:rPr>
              <w:t>Omite partes de la estructura.</w:t>
            </w:r>
          </w:p>
        </w:tc>
        <w:tc>
          <w:tcPr>
            <w:tcW w:w="2015" w:type="dxa"/>
            <w:shd w:val="clear" w:color="auto" w:fill="D9E2F3"/>
            <w:vAlign w:val="center"/>
          </w:tcPr>
          <w:p w14:paraId="70FD501F" w14:textId="77777777" w:rsidR="00990B14" w:rsidRDefault="00000000">
            <w:pPr>
              <w:spacing w:before="20" w:after="20"/>
              <w:jc w:val="both"/>
            </w:pPr>
            <w:r>
              <w:rPr>
                <w:sz w:val="18"/>
                <w:szCs w:val="18"/>
              </w:rPr>
              <w:t>Presenta todas las partes de la propuesta.</w:t>
            </w:r>
          </w:p>
        </w:tc>
        <w:tc>
          <w:tcPr>
            <w:tcW w:w="1861" w:type="dxa"/>
            <w:shd w:val="clear" w:color="auto" w:fill="D9E2F3"/>
            <w:vAlign w:val="center"/>
          </w:tcPr>
          <w:p w14:paraId="40F7A953" w14:textId="77777777" w:rsidR="00990B14" w:rsidRDefault="00000000">
            <w:pPr>
              <w:spacing w:before="20" w:after="20"/>
              <w:jc w:val="both"/>
            </w:pPr>
            <w:r>
              <w:rPr>
                <w:sz w:val="18"/>
                <w:szCs w:val="18"/>
              </w:rPr>
              <w:t>Relaciona cada parte con las etapas del método científico.</w:t>
            </w:r>
          </w:p>
        </w:tc>
      </w:tr>
      <w:tr w:rsidR="00990B14" w14:paraId="64EB1BC7" w14:textId="77777777">
        <w:trPr>
          <w:cantSplit/>
          <w:jc w:val="center"/>
        </w:trPr>
        <w:tc>
          <w:tcPr>
            <w:tcW w:w="1809" w:type="dxa"/>
            <w:vMerge/>
            <w:shd w:val="clear" w:color="auto" w:fill="4472C4"/>
            <w:vAlign w:val="center"/>
          </w:tcPr>
          <w:p w14:paraId="2787BFE4" w14:textId="77777777" w:rsidR="00990B14" w:rsidRDefault="00990B14">
            <w:pPr>
              <w:spacing w:before="20" w:after="20"/>
            </w:pPr>
          </w:p>
        </w:tc>
        <w:tc>
          <w:tcPr>
            <w:tcW w:w="1860" w:type="dxa"/>
            <w:shd w:val="clear" w:color="auto" w:fill="D9E2F3"/>
            <w:vAlign w:val="center"/>
          </w:tcPr>
          <w:p w14:paraId="1DD967F8" w14:textId="77777777" w:rsidR="00990B14" w:rsidRDefault="00000000">
            <w:pPr>
              <w:spacing w:before="20" w:after="20"/>
              <w:jc w:val="both"/>
            </w:pPr>
            <w:r>
              <w:rPr>
                <w:sz w:val="18"/>
                <w:szCs w:val="18"/>
              </w:rPr>
              <w:t>Claridad de la exposición</w:t>
            </w:r>
          </w:p>
        </w:tc>
        <w:tc>
          <w:tcPr>
            <w:tcW w:w="1860" w:type="dxa"/>
            <w:shd w:val="clear" w:color="auto" w:fill="D9E2F3"/>
            <w:vAlign w:val="center"/>
          </w:tcPr>
          <w:p w14:paraId="38765C47" w14:textId="77777777" w:rsidR="00990B14" w:rsidRDefault="00000000">
            <w:pPr>
              <w:spacing w:before="20" w:after="20"/>
              <w:jc w:val="both"/>
            </w:pPr>
            <w:r>
              <w:rPr>
                <w:sz w:val="18"/>
                <w:szCs w:val="18"/>
              </w:rPr>
              <w:t>La exposición es confusa.</w:t>
            </w:r>
          </w:p>
        </w:tc>
        <w:tc>
          <w:tcPr>
            <w:tcW w:w="2015" w:type="dxa"/>
            <w:shd w:val="clear" w:color="auto" w:fill="D9E2F3"/>
            <w:vAlign w:val="center"/>
          </w:tcPr>
          <w:p w14:paraId="2FBED8B3" w14:textId="77777777" w:rsidR="00990B14" w:rsidRDefault="00000000">
            <w:pPr>
              <w:spacing w:before="20" w:after="20"/>
              <w:jc w:val="both"/>
            </w:pPr>
            <w:r>
              <w:rPr>
                <w:sz w:val="18"/>
                <w:szCs w:val="18"/>
              </w:rPr>
              <w:t>Expone la idea con claridad y orden.</w:t>
            </w:r>
          </w:p>
        </w:tc>
        <w:tc>
          <w:tcPr>
            <w:tcW w:w="1861" w:type="dxa"/>
            <w:shd w:val="clear" w:color="auto" w:fill="D9E2F3"/>
            <w:vAlign w:val="center"/>
          </w:tcPr>
          <w:p w14:paraId="478C1AC0" w14:textId="77777777" w:rsidR="00990B14" w:rsidRDefault="00000000">
            <w:pPr>
              <w:spacing w:before="20" w:after="20"/>
              <w:jc w:val="both"/>
            </w:pPr>
            <w:r>
              <w:rPr>
                <w:sz w:val="18"/>
                <w:szCs w:val="18"/>
              </w:rPr>
              <w:t>Responde con solvencia las preguntas del curso.</w:t>
            </w:r>
          </w:p>
        </w:tc>
      </w:tr>
      <w:tr w:rsidR="00990B14" w14:paraId="4423D629" w14:textId="77777777">
        <w:trPr>
          <w:cantSplit/>
          <w:jc w:val="center"/>
        </w:trPr>
        <w:tc>
          <w:tcPr>
            <w:tcW w:w="1809" w:type="dxa"/>
            <w:vMerge/>
            <w:shd w:val="clear" w:color="auto" w:fill="4472C4"/>
            <w:vAlign w:val="center"/>
          </w:tcPr>
          <w:p w14:paraId="2A958DF1" w14:textId="77777777" w:rsidR="00990B14" w:rsidRDefault="00990B14">
            <w:pPr>
              <w:spacing w:before="20" w:after="20"/>
            </w:pPr>
          </w:p>
        </w:tc>
        <w:tc>
          <w:tcPr>
            <w:tcW w:w="5735" w:type="dxa"/>
            <w:gridSpan w:val="3"/>
            <w:shd w:val="clear" w:color="auto" w:fill="D9E2F3"/>
            <w:vAlign w:val="center"/>
          </w:tcPr>
          <w:p w14:paraId="46731890" w14:textId="77777777" w:rsidR="00990B14" w:rsidRDefault="00000000">
            <w:pPr>
              <w:keepNext/>
              <w:spacing w:before="20" w:after="20"/>
              <w:jc w:val="both"/>
            </w:pPr>
            <w:r>
              <w:rPr>
                <w:b/>
                <w:bCs/>
                <w:i/>
                <w:iCs/>
                <w:sz w:val="18"/>
                <w:szCs w:val="18"/>
              </w:rPr>
              <w:t xml:space="preserve">Producto 2: </w:t>
            </w:r>
            <w:r>
              <w:rPr>
                <w:sz w:val="18"/>
                <w:szCs w:val="18"/>
              </w:rPr>
              <w:t>Ficha de análisis ético</w:t>
            </w:r>
          </w:p>
        </w:tc>
        <w:tc>
          <w:tcPr>
            <w:tcW w:w="1861" w:type="dxa"/>
            <w:shd w:val="clear" w:color="auto" w:fill="D9E2F3"/>
            <w:vAlign w:val="center"/>
          </w:tcPr>
          <w:p w14:paraId="48822720" w14:textId="77777777" w:rsidR="00990B14" w:rsidRDefault="00000000">
            <w:pPr>
              <w:spacing w:before="20" w:after="20"/>
              <w:jc w:val="center"/>
            </w:pPr>
            <w:r>
              <w:rPr>
                <w:b/>
                <w:bCs/>
                <w:sz w:val="18"/>
                <w:szCs w:val="18"/>
              </w:rPr>
              <w:t>5%</w:t>
            </w:r>
          </w:p>
        </w:tc>
      </w:tr>
      <w:tr w:rsidR="00990B14" w14:paraId="18AF1F9C" w14:textId="77777777">
        <w:trPr>
          <w:cantSplit/>
          <w:jc w:val="center"/>
        </w:trPr>
        <w:tc>
          <w:tcPr>
            <w:tcW w:w="1809" w:type="dxa"/>
            <w:vMerge/>
            <w:shd w:val="clear" w:color="auto" w:fill="4472C4"/>
            <w:vAlign w:val="center"/>
          </w:tcPr>
          <w:p w14:paraId="2DDBAD13" w14:textId="77777777" w:rsidR="00990B14" w:rsidRDefault="00990B14">
            <w:pPr>
              <w:spacing w:before="20" w:after="20"/>
            </w:pPr>
          </w:p>
        </w:tc>
        <w:tc>
          <w:tcPr>
            <w:tcW w:w="1860" w:type="dxa"/>
            <w:shd w:val="clear" w:color="auto" w:fill="4472C4"/>
            <w:vAlign w:val="center"/>
          </w:tcPr>
          <w:p w14:paraId="5F8B84FF" w14:textId="77777777" w:rsidR="00990B14" w:rsidRDefault="00000000">
            <w:pPr>
              <w:keepNext/>
              <w:spacing w:before="20" w:after="20"/>
              <w:jc w:val="center"/>
            </w:pPr>
            <w:r>
              <w:rPr>
                <w:b/>
                <w:bCs/>
                <w:i/>
                <w:iCs/>
                <w:color w:val="FFFFFF"/>
                <w:sz w:val="18"/>
                <w:szCs w:val="18"/>
              </w:rPr>
              <w:t>Criterio</w:t>
            </w:r>
          </w:p>
        </w:tc>
        <w:tc>
          <w:tcPr>
            <w:tcW w:w="1860" w:type="dxa"/>
            <w:shd w:val="clear" w:color="auto" w:fill="4472C4"/>
            <w:vAlign w:val="center"/>
          </w:tcPr>
          <w:p w14:paraId="067A1557"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149150E6" w14:textId="77777777" w:rsidR="00990B14" w:rsidRDefault="00000000">
            <w:pPr>
              <w:keepNext/>
              <w:spacing w:before="20" w:after="20"/>
              <w:jc w:val="center"/>
            </w:pPr>
            <w:r>
              <w:rPr>
                <w:b/>
                <w:bCs/>
                <w:i/>
                <w:iCs/>
                <w:color w:val="FFFFFF"/>
                <w:sz w:val="18"/>
                <w:szCs w:val="18"/>
              </w:rPr>
              <w:t>Suficiente (51–80)</w:t>
            </w:r>
          </w:p>
        </w:tc>
        <w:tc>
          <w:tcPr>
            <w:tcW w:w="1861" w:type="dxa"/>
            <w:shd w:val="clear" w:color="auto" w:fill="4472C4"/>
            <w:vAlign w:val="center"/>
          </w:tcPr>
          <w:p w14:paraId="25D93410" w14:textId="77777777" w:rsidR="00990B14" w:rsidRDefault="00000000">
            <w:pPr>
              <w:keepNext/>
              <w:spacing w:before="20" w:after="20"/>
              <w:jc w:val="center"/>
            </w:pPr>
            <w:r>
              <w:rPr>
                <w:b/>
                <w:bCs/>
                <w:i/>
                <w:iCs/>
                <w:color w:val="FFFFFF"/>
                <w:sz w:val="18"/>
                <w:szCs w:val="18"/>
              </w:rPr>
              <w:t>Destacado (81–100)</w:t>
            </w:r>
          </w:p>
        </w:tc>
      </w:tr>
      <w:tr w:rsidR="00990B14" w14:paraId="0547AB38" w14:textId="77777777">
        <w:trPr>
          <w:cantSplit/>
          <w:jc w:val="center"/>
        </w:trPr>
        <w:tc>
          <w:tcPr>
            <w:tcW w:w="1809" w:type="dxa"/>
            <w:vMerge/>
            <w:shd w:val="clear" w:color="auto" w:fill="4472C4"/>
            <w:vAlign w:val="center"/>
          </w:tcPr>
          <w:p w14:paraId="115C5654" w14:textId="77777777" w:rsidR="00990B14" w:rsidRDefault="00990B14">
            <w:pPr>
              <w:spacing w:before="20" w:after="20"/>
            </w:pPr>
          </w:p>
        </w:tc>
        <w:tc>
          <w:tcPr>
            <w:tcW w:w="1860" w:type="dxa"/>
            <w:shd w:val="clear" w:color="auto" w:fill="D9E2F3"/>
            <w:vAlign w:val="center"/>
          </w:tcPr>
          <w:p w14:paraId="1E687FE7" w14:textId="77777777" w:rsidR="00990B14" w:rsidRDefault="00000000">
            <w:pPr>
              <w:spacing w:before="20" w:after="20"/>
              <w:jc w:val="both"/>
            </w:pPr>
            <w:r>
              <w:rPr>
                <w:sz w:val="18"/>
                <w:szCs w:val="18"/>
              </w:rPr>
              <w:t>Principio vulnerado</w:t>
            </w:r>
          </w:p>
        </w:tc>
        <w:tc>
          <w:tcPr>
            <w:tcW w:w="1860" w:type="dxa"/>
            <w:shd w:val="clear" w:color="auto" w:fill="D9E2F3"/>
            <w:vAlign w:val="center"/>
          </w:tcPr>
          <w:p w14:paraId="29FF7AEA" w14:textId="77777777" w:rsidR="00990B14" w:rsidRDefault="00000000">
            <w:pPr>
              <w:spacing w:before="20" w:after="20"/>
              <w:jc w:val="both"/>
            </w:pPr>
            <w:r>
              <w:rPr>
                <w:sz w:val="18"/>
                <w:szCs w:val="18"/>
              </w:rPr>
              <w:t>No reconoce el principio vulnerado.</w:t>
            </w:r>
          </w:p>
        </w:tc>
        <w:tc>
          <w:tcPr>
            <w:tcW w:w="2015" w:type="dxa"/>
            <w:shd w:val="clear" w:color="auto" w:fill="D9E2F3"/>
            <w:vAlign w:val="center"/>
          </w:tcPr>
          <w:p w14:paraId="491B2D1D" w14:textId="77777777" w:rsidR="00990B14" w:rsidRDefault="00000000">
            <w:pPr>
              <w:spacing w:before="20" w:after="20"/>
              <w:jc w:val="both"/>
            </w:pPr>
            <w:r>
              <w:rPr>
                <w:sz w:val="18"/>
                <w:szCs w:val="18"/>
              </w:rPr>
              <w:t>Identifica el principio ético vulnerado en cada caso.</w:t>
            </w:r>
          </w:p>
        </w:tc>
        <w:tc>
          <w:tcPr>
            <w:tcW w:w="1861" w:type="dxa"/>
            <w:shd w:val="clear" w:color="auto" w:fill="D9E2F3"/>
            <w:vAlign w:val="center"/>
          </w:tcPr>
          <w:p w14:paraId="329E7DAA" w14:textId="77777777" w:rsidR="00990B14" w:rsidRDefault="00000000">
            <w:pPr>
              <w:spacing w:before="20" w:after="20"/>
              <w:jc w:val="both"/>
            </w:pPr>
            <w:r>
              <w:rPr>
                <w:sz w:val="18"/>
                <w:szCs w:val="18"/>
              </w:rPr>
              <w:t>Explica las consecuencias académicas y legales de la falta.</w:t>
            </w:r>
          </w:p>
        </w:tc>
      </w:tr>
      <w:tr w:rsidR="00990B14" w14:paraId="55BF9F5B" w14:textId="77777777">
        <w:trPr>
          <w:cantSplit/>
          <w:jc w:val="center"/>
        </w:trPr>
        <w:tc>
          <w:tcPr>
            <w:tcW w:w="1809" w:type="dxa"/>
            <w:vMerge/>
            <w:shd w:val="clear" w:color="auto" w:fill="4472C4"/>
            <w:vAlign w:val="center"/>
          </w:tcPr>
          <w:p w14:paraId="29802942" w14:textId="77777777" w:rsidR="00990B14" w:rsidRDefault="00990B14">
            <w:pPr>
              <w:spacing w:before="20" w:after="20"/>
            </w:pPr>
          </w:p>
        </w:tc>
        <w:tc>
          <w:tcPr>
            <w:tcW w:w="1860" w:type="dxa"/>
            <w:shd w:val="clear" w:color="auto" w:fill="D9E2F3"/>
            <w:vAlign w:val="center"/>
          </w:tcPr>
          <w:p w14:paraId="34BB9F5F" w14:textId="77777777" w:rsidR="00990B14" w:rsidRDefault="00000000">
            <w:pPr>
              <w:spacing w:before="20" w:after="20"/>
              <w:jc w:val="both"/>
            </w:pPr>
            <w:r>
              <w:rPr>
                <w:sz w:val="18"/>
                <w:szCs w:val="18"/>
              </w:rPr>
              <w:t>Fundamentación</w:t>
            </w:r>
          </w:p>
        </w:tc>
        <w:tc>
          <w:tcPr>
            <w:tcW w:w="1860" w:type="dxa"/>
            <w:shd w:val="clear" w:color="auto" w:fill="D9E2F3"/>
            <w:vAlign w:val="center"/>
          </w:tcPr>
          <w:p w14:paraId="1CDDC38D" w14:textId="77777777" w:rsidR="00990B14" w:rsidRDefault="00000000">
            <w:pPr>
              <w:spacing w:before="20" w:after="20"/>
              <w:jc w:val="both"/>
            </w:pPr>
            <w:r>
              <w:rPr>
                <w:sz w:val="18"/>
                <w:szCs w:val="18"/>
              </w:rPr>
              <w:t>La respuesta carece de fundamento.</w:t>
            </w:r>
          </w:p>
        </w:tc>
        <w:tc>
          <w:tcPr>
            <w:tcW w:w="2015" w:type="dxa"/>
            <w:shd w:val="clear" w:color="auto" w:fill="D9E2F3"/>
            <w:vAlign w:val="center"/>
          </w:tcPr>
          <w:p w14:paraId="02A3A901" w14:textId="77777777" w:rsidR="00990B14" w:rsidRDefault="00000000">
            <w:pPr>
              <w:spacing w:before="20" w:after="20"/>
              <w:jc w:val="both"/>
            </w:pPr>
            <w:r>
              <w:rPr>
                <w:sz w:val="18"/>
                <w:szCs w:val="18"/>
              </w:rPr>
              <w:t>Fundamenta su respuesta en los principios de la investigación.</w:t>
            </w:r>
          </w:p>
        </w:tc>
        <w:tc>
          <w:tcPr>
            <w:tcW w:w="1861" w:type="dxa"/>
            <w:shd w:val="clear" w:color="auto" w:fill="D9E2F3"/>
            <w:vAlign w:val="center"/>
          </w:tcPr>
          <w:p w14:paraId="5B97485B" w14:textId="77777777" w:rsidR="00990B14" w:rsidRDefault="00000000">
            <w:pPr>
              <w:spacing w:before="20" w:after="20"/>
              <w:jc w:val="both"/>
            </w:pPr>
            <w:r>
              <w:rPr>
                <w:sz w:val="18"/>
                <w:szCs w:val="18"/>
              </w:rPr>
              <w:t>Cita la norma o el código de ética aplicable.</w:t>
            </w:r>
          </w:p>
        </w:tc>
      </w:tr>
      <w:tr w:rsidR="00990B14" w14:paraId="73A5B38D" w14:textId="77777777">
        <w:trPr>
          <w:cantSplit/>
          <w:jc w:val="center"/>
        </w:trPr>
        <w:tc>
          <w:tcPr>
            <w:tcW w:w="1809" w:type="dxa"/>
            <w:vMerge/>
            <w:shd w:val="clear" w:color="auto" w:fill="4472C4"/>
            <w:vAlign w:val="center"/>
          </w:tcPr>
          <w:p w14:paraId="33513DCD" w14:textId="77777777" w:rsidR="00990B14" w:rsidRDefault="00990B14">
            <w:pPr>
              <w:spacing w:before="20" w:after="20"/>
            </w:pPr>
          </w:p>
        </w:tc>
        <w:tc>
          <w:tcPr>
            <w:tcW w:w="1860" w:type="dxa"/>
            <w:shd w:val="clear" w:color="auto" w:fill="D9E2F3"/>
            <w:vAlign w:val="center"/>
          </w:tcPr>
          <w:p w14:paraId="4EBCAFD9" w14:textId="77777777" w:rsidR="00990B14" w:rsidRDefault="00000000">
            <w:pPr>
              <w:spacing w:before="20" w:after="20"/>
              <w:jc w:val="both"/>
            </w:pPr>
            <w:r>
              <w:rPr>
                <w:sz w:val="18"/>
                <w:szCs w:val="18"/>
              </w:rPr>
              <w:t>Propuesta de corrección</w:t>
            </w:r>
          </w:p>
        </w:tc>
        <w:tc>
          <w:tcPr>
            <w:tcW w:w="1860" w:type="dxa"/>
            <w:shd w:val="clear" w:color="auto" w:fill="D9E2F3"/>
            <w:vAlign w:val="center"/>
          </w:tcPr>
          <w:p w14:paraId="37B2F186" w14:textId="77777777" w:rsidR="00990B14" w:rsidRDefault="00000000">
            <w:pPr>
              <w:spacing w:before="20" w:after="20"/>
              <w:jc w:val="both"/>
            </w:pPr>
            <w:r>
              <w:rPr>
                <w:sz w:val="18"/>
                <w:szCs w:val="18"/>
              </w:rPr>
              <w:t>No plantea una corrección.</w:t>
            </w:r>
          </w:p>
        </w:tc>
        <w:tc>
          <w:tcPr>
            <w:tcW w:w="2015" w:type="dxa"/>
            <w:shd w:val="clear" w:color="auto" w:fill="D9E2F3"/>
            <w:vAlign w:val="center"/>
          </w:tcPr>
          <w:p w14:paraId="66E8656A" w14:textId="77777777" w:rsidR="00990B14" w:rsidRDefault="00000000">
            <w:pPr>
              <w:spacing w:before="20" w:after="20"/>
              <w:jc w:val="both"/>
            </w:pPr>
            <w:r>
              <w:rPr>
                <w:sz w:val="18"/>
                <w:szCs w:val="18"/>
              </w:rPr>
              <w:t>Plantea una corrección para cada caso.</w:t>
            </w:r>
          </w:p>
        </w:tc>
        <w:tc>
          <w:tcPr>
            <w:tcW w:w="1861" w:type="dxa"/>
            <w:shd w:val="clear" w:color="auto" w:fill="D9E2F3"/>
            <w:vAlign w:val="center"/>
          </w:tcPr>
          <w:p w14:paraId="7C877523" w14:textId="77777777" w:rsidR="00990B14" w:rsidRDefault="00000000">
            <w:pPr>
              <w:spacing w:before="20" w:after="20"/>
              <w:jc w:val="both"/>
            </w:pPr>
            <w:r>
              <w:rPr>
                <w:sz w:val="18"/>
                <w:szCs w:val="18"/>
              </w:rPr>
              <w:t>Propone medidas preventivas para su propio proyecto.</w:t>
            </w:r>
          </w:p>
        </w:tc>
      </w:tr>
      <w:tr w:rsidR="00990B14" w14:paraId="64F1C4F7" w14:textId="77777777">
        <w:trPr>
          <w:cantSplit/>
          <w:jc w:val="center"/>
        </w:trPr>
        <w:tc>
          <w:tcPr>
            <w:tcW w:w="1809" w:type="dxa"/>
            <w:vMerge/>
            <w:shd w:val="clear" w:color="auto" w:fill="4472C4"/>
            <w:vAlign w:val="center"/>
          </w:tcPr>
          <w:p w14:paraId="36E62188" w14:textId="77777777" w:rsidR="00990B14" w:rsidRDefault="00990B14">
            <w:pPr>
              <w:spacing w:before="20" w:after="20"/>
            </w:pPr>
          </w:p>
        </w:tc>
        <w:tc>
          <w:tcPr>
            <w:tcW w:w="5735" w:type="dxa"/>
            <w:gridSpan w:val="3"/>
            <w:shd w:val="clear" w:color="auto" w:fill="D9E2F3"/>
            <w:vAlign w:val="center"/>
          </w:tcPr>
          <w:p w14:paraId="35A13B3E" w14:textId="77777777" w:rsidR="00990B14" w:rsidRDefault="00000000">
            <w:pPr>
              <w:keepNext/>
              <w:spacing w:before="20" w:after="20"/>
              <w:jc w:val="both"/>
            </w:pPr>
            <w:r>
              <w:rPr>
                <w:b/>
                <w:bCs/>
                <w:i/>
                <w:iCs/>
                <w:sz w:val="18"/>
                <w:szCs w:val="18"/>
              </w:rPr>
              <w:t xml:space="preserve">Producto 3: </w:t>
            </w:r>
            <w:r>
              <w:rPr>
                <w:sz w:val="18"/>
                <w:szCs w:val="18"/>
              </w:rPr>
              <w:t>Cuadro comparativo de los enfoques</w:t>
            </w:r>
          </w:p>
        </w:tc>
        <w:tc>
          <w:tcPr>
            <w:tcW w:w="1861" w:type="dxa"/>
            <w:shd w:val="clear" w:color="auto" w:fill="D9E2F3"/>
            <w:vAlign w:val="center"/>
          </w:tcPr>
          <w:p w14:paraId="056A9564" w14:textId="77777777" w:rsidR="00990B14" w:rsidRDefault="00000000">
            <w:pPr>
              <w:spacing w:before="20" w:after="20"/>
              <w:jc w:val="center"/>
            </w:pPr>
            <w:r>
              <w:rPr>
                <w:b/>
                <w:bCs/>
                <w:sz w:val="18"/>
                <w:szCs w:val="18"/>
              </w:rPr>
              <w:t>5%</w:t>
            </w:r>
          </w:p>
        </w:tc>
      </w:tr>
      <w:tr w:rsidR="00990B14" w14:paraId="2D5213D5" w14:textId="77777777">
        <w:trPr>
          <w:cantSplit/>
          <w:jc w:val="center"/>
        </w:trPr>
        <w:tc>
          <w:tcPr>
            <w:tcW w:w="1809" w:type="dxa"/>
            <w:vMerge/>
            <w:shd w:val="clear" w:color="auto" w:fill="4472C4"/>
            <w:vAlign w:val="center"/>
          </w:tcPr>
          <w:p w14:paraId="2A1E14F1" w14:textId="77777777" w:rsidR="00990B14" w:rsidRDefault="00990B14">
            <w:pPr>
              <w:spacing w:before="20" w:after="20"/>
            </w:pPr>
          </w:p>
        </w:tc>
        <w:tc>
          <w:tcPr>
            <w:tcW w:w="1860" w:type="dxa"/>
            <w:shd w:val="clear" w:color="auto" w:fill="4472C4"/>
            <w:vAlign w:val="center"/>
          </w:tcPr>
          <w:p w14:paraId="5F1639E4" w14:textId="77777777" w:rsidR="00990B14" w:rsidRDefault="00000000">
            <w:pPr>
              <w:keepNext/>
              <w:spacing w:before="20" w:after="20"/>
              <w:jc w:val="center"/>
            </w:pPr>
            <w:r>
              <w:rPr>
                <w:b/>
                <w:bCs/>
                <w:i/>
                <w:iCs/>
                <w:color w:val="FFFFFF"/>
                <w:sz w:val="18"/>
                <w:szCs w:val="18"/>
              </w:rPr>
              <w:t>Criterio</w:t>
            </w:r>
          </w:p>
        </w:tc>
        <w:tc>
          <w:tcPr>
            <w:tcW w:w="1860" w:type="dxa"/>
            <w:shd w:val="clear" w:color="auto" w:fill="4472C4"/>
            <w:vAlign w:val="center"/>
          </w:tcPr>
          <w:p w14:paraId="72B7BF95"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0E3DBC94" w14:textId="77777777" w:rsidR="00990B14" w:rsidRDefault="00000000">
            <w:pPr>
              <w:keepNext/>
              <w:spacing w:before="20" w:after="20"/>
              <w:jc w:val="center"/>
            </w:pPr>
            <w:r>
              <w:rPr>
                <w:b/>
                <w:bCs/>
                <w:i/>
                <w:iCs/>
                <w:color w:val="FFFFFF"/>
                <w:sz w:val="18"/>
                <w:szCs w:val="18"/>
              </w:rPr>
              <w:t>Suficiente (51–80)</w:t>
            </w:r>
          </w:p>
        </w:tc>
        <w:tc>
          <w:tcPr>
            <w:tcW w:w="1861" w:type="dxa"/>
            <w:shd w:val="clear" w:color="auto" w:fill="4472C4"/>
            <w:vAlign w:val="center"/>
          </w:tcPr>
          <w:p w14:paraId="71784092" w14:textId="77777777" w:rsidR="00990B14" w:rsidRDefault="00000000">
            <w:pPr>
              <w:keepNext/>
              <w:spacing w:before="20" w:after="20"/>
              <w:jc w:val="center"/>
            </w:pPr>
            <w:r>
              <w:rPr>
                <w:b/>
                <w:bCs/>
                <w:i/>
                <w:iCs/>
                <w:color w:val="FFFFFF"/>
                <w:sz w:val="18"/>
                <w:szCs w:val="18"/>
              </w:rPr>
              <w:t>Destacado (81–100)</w:t>
            </w:r>
          </w:p>
        </w:tc>
      </w:tr>
      <w:tr w:rsidR="00990B14" w14:paraId="5FD4B58B" w14:textId="77777777">
        <w:trPr>
          <w:cantSplit/>
          <w:jc w:val="center"/>
        </w:trPr>
        <w:tc>
          <w:tcPr>
            <w:tcW w:w="1809" w:type="dxa"/>
            <w:vMerge/>
            <w:shd w:val="clear" w:color="auto" w:fill="4472C4"/>
            <w:vAlign w:val="center"/>
          </w:tcPr>
          <w:p w14:paraId="40CF9058" w14:textId="77777777" w:rsidR="00990B14" w:rsidRDefault="00990B14">
            <w:pPr>
              <w:spacing w:before="20" w:after="20"/>
            </w:pPr>
          </w:p>
        </w:tc>
        <w:tc>
          <w:tcPr>
            <w:tcW w:w="1860" w:type="dxa"/>
            <w:shd w:val="clear" w:color="auto" w:fill="D9E2F3"/>
            <w:vAlign w:val="center"/>
          </w:tcPr>
          <w:p w14:paraId="75E1621F" w14:textId="77777777" w:rsidR="00990B14" w:rsidRDefault="00000000">
            <w:pPr>
              <w:spacing w:before="20" w:after="20"/>
              <w:jc w:val="both"/>
            </w:pPr>
            <w:r>
              <w:rPr>
                <w:sz w:val="18"/>
                <w:szCs w:val="18"/>
              </w:rPr>
              <w:t>Características de cada enfoque</w:t>
            </w:r>
          </w:p>
        </w:tc>
        <w:tc>
          <w:tcPr>
            <w:tcW w:w="1860" w:type="dxa"/>
            <w:shd w:val="clear" w:color="auto" w:fill="D9E2F3"/>
            <w:vAlign w:val="center"/>
          </w:tcPr>
          <w:p w14:paraId="627E3D84" w14:textId="77777777" w:rsidR="00990B14" w:rsidRDefault="00000000">
            <w:pPr>
              <w:spacing w:before="20" w:after="20"/>
              <w:jc w:val="both"/>
            </w:pPr>
            <w:r>
              <w:rPr>
                <w:sz w:val="18"/>
                <w:szCs w:val="18"/>
              </w:rPr>
              <w:t>Confunde las características de los tres enfoques.</w:t>
            </w:r>
          </w:p>
        </w:tc>
        <w:tc>
          <w:tcPr>
            <w:tcW w:w="2015" w:type="dxa"/>
            <w:shd w:val="clear" w:color="auto" w:fill="D9E2F3"/>
            <w:vAlign w:val="center"/>
          </w:tcPr>
          <w:p w14:paraId="200ACD58" w14:textId="77777777" w:rsidR="00990B14" w:rsidRDefault="00000000">
            <w:pPr>
              <w:spacing w:before="20" w:after="20"/>
              <w:jc w:val="both"/>
            </w:pPr>
            <w:r>
              <w:rPr>
                <w:sz w:val="18"/>
                <w:szCs w:val="18"/>
              </w:rPr>
              <w:t>Describe correctamente las características de cada enfoque.</w:t>
            </w:r>
          </w:p>
        </w:tc>
        <w:tc>
          <w:tcPr>
            <w:tcW w:w="1861" w:type="dxa"/>
            <w:shd w:val="clear" w:color="auto" w:fill="D9E2F3"/>
            <w:vAlign w:val="center"/>
          </w:tcPr>
          <w:p w14:paraId="59745B05" w14:textId="77777777" w:rsidR="00990B14" w:rsidRDefault="00000000">
            <w:pPr>
              <w:spacing w:before="20" w:after="20"/>
              <w:jc w:val="both"/>
            </w:pPr>
            <w:r>
              <w:rPr>
                <w:sz w:val="18"/>
                <w:szCs w:val="18"/>
              </w:rPr>
              <w:t>Ilustra cada característica con los ejemplos analizados.</w:t>
            </w:r>
          </w:p>
        </w:tc>
      </w:tr>
      <w:tr w:rsidR="00990B14" w14:paraId="05256B6D" w14:textId="77777777">
        <w:trPr>
          <w:cantSplit/>
          <w:jc w:val="center"/>
        </w:trPr>
        <w:tc>
          <w:tcPr>
            <w:tcW w:w="1809" w:type="dxa"/>
            <w:vMerge/>
            <w:shd w:val="clear" w:color="auto" w:fill="4472C4"/>
            <w:vAlign w:val="center"/>
          </w:tcPr>
          <w:p w14:paraId="7E457075" w14:textId="77777777" w:rsidR="00990B14" w:rsidRDefault="00990B14">
            <w:pPr>
              <w:spacing w:before="20" w:after="20"/>
            </w:pPr>
          </w:p>
        </w:tc>
        <w:tc>
          <w:tcPr>
            <w:tcW w:w="1860" w:type="dxa"/>
            <w:shd w:val="clear" w:color="auto" w:fill="D9E2F3"/>
            <w:vAlign w:val="center"/>
          </w:tcPr>
          <w:p w14:paraId="48F825F9" w14:textId="77777777" w:rsidR="00990B14" w:rsidRDefault="00000000">
            <w:pPr>
              <w:spacing w:before="20" w:after="20"/>
              <w:jc w:val="both"/>
            </w:pPr>
            <w:r>
              <w:rPr>
                <w:sz w:val="18"/>
                <w:szCs w:val="18"/>
              </w:rPr>
              <w:t>Proceso de investigación</w:t>
            </w:r>
          </w:p>
        </w:tc>
        <w:tc>
          <w:tcPr>
            <w:tcW w:w="1860" w:type="dxa"/>
            <w:shd w:val="clear" w:color="auto" w:fill="D9E2F3"/>
            <w:vAlign w:val="center"/>
          </w:tcPr>
          <w:p w14:paraId="72D5A9D4" w14:textId="77777777" w:rsidR="00990B14" w:rsidRDefault="00000000">
            <w:pPr>
              <w:spacing w:before="20" w:after="20"/>
              <w:jc w:val="both"/>
            </w:pPr>
            <w:r>
              <w:rPr>
                <w:sz w:val="18"/>
                <w:szCs w:val="18"/>
              </w:rPr>
              <w:t>Omite etapas del proceso.</w:t>
            </w:r>
          </w:p>
        </w:tc>
        <w:tc>
          <w:tcPr>
            <w:tcW w:w="2015" w:type="dxa"/>
            <w:shd w:val="clear" w:color="auto" w:fill="D9E2F3"/>
            <w:vAlign w:val="center"/>
          </w:tcPr>
          <w:p w14:paraId="09E12B32" w14:textId="77777777" w:rsidR="00990B14" w:rsidRDefault="00000000">
            <w:pPr>
              <w:spacing w:before="20" w:after="20"/>
              <w:jc w:val="both"/>
            </w:pPr>
            <w:r>
              <w:rPr>
                <w:sz w:val="18"/>
                <w:szCs w:val="18"/>
              </w:rPr>
              <w:t>Señala las etapas del proceso en cada enfoque.</w:t>
            </w:r>
          </w:p>
        </w:tc>
        <w:tc>
          <w:tcPr>
            <w:tcW w:w="1861" w:type="dxa"/>
            <w:shd w:val="clear" w:color="auto" w:fill="D9E2F3"/>
            <w:vAlign w:val="center"/>
          </w:tcPr>
          <w:p w14:paraId="1E42D656" w14:textId="77777777" w:rsidR="00990B14" w:rsidRDefault="00000000">
            <w:pPr>
              <w:spacing w:before="20" w:after="20"/>
              <w:jc w:val="both"/>
            </w:pPr>
            <w:r>
              <w:rPr>
                <w:sz w:val="18"/>
                <w:szCs w:val="18"/>
              </w:rPr>
              <w:t>Explica las diferencias en el tratamiento de los datos.</w:t>
            </w:r>
          </w:p>
        </w:tc>
      </w:tr>
      <w:tr w:rsidR="00990B14" w14:paraId="527AFCC1" w14:textId="77777777">
        <w:trPr>
          <w:cantSplit/>
          <w:jc w:val="center"/>
        </w:trPr>
        <w:tc>
          <w:tcPr>
            <w:tcW w:w="1809" w:type="dxa"/>
            <w:vMerge/>
            <w:shd w:val="clear" w:color="auto" w:fill="4472C4"/>
            <w:vAlign w:val="center"/>
          </w:tcPr>
          <w:p w14:paraId="0796E155" w14:textId="77777777" w:rsidR="00990B14" w:rsidRDefault="00990B14">
            <w:pPr>
              <w:spacing w:before="20" w:after="20"/>
            </w:pPr>
          </w:p>
        </w:tc>
        <w:tc>
          <w:tcPr>
            <w:tcW w:w="1860" w:type="dxa"/>
            <w:shd w:val="clear" w:color="auto" w:fill="D9E2F3"/>
            <w:vAlign w:val="center"/>
          </w:tcPr>
          <w:p w14:paraId="424F3E37" w14:textId="77777777" w:rsidR="00990B14" w:rsidRDefault="00000000">
            <w:pPr>
              <w:spacing w:before="20" w:after="20"/>
              <w:jc w:val="both"/>
            </w:pPr>
            <w:r>
              <w:rPr>
                <w:sz w:val="18"/>
                <w:szCs w:val="18"/>
              </w:rPr>
              <w:t>Trabajo en equipo</w:t>
            </w:r>
          </w:p>
        </w:tc>
        <w:tc>
          <w:tcPr>
            <w:tcW w:w="1860" w:type="dxa"/>
            <w:shd w:val="clear" w:color="auto" w:fill="D9E2F3"/>
            <w:vAlign w:val="center"/>
          </w:tcPr>
          <w:p w14:paraId="751290A1" w14:textId="77777777" w:rsidR="00990B14" w:rsidRDefault="00000000">
            <w:pPr>
              <w:spacing w:before="20" w:after="20"/>
              <w:jc w:val="both"/>
            </w:pPr>
            <w:r>
              <w:rPr>
                <w:sz w:val="18"/>
                <w:szCs w:val="18"/>
              </w:rPr>
              <w:t>La participación de los integrantes es desigual.</w:t>
            </w:r>
          </w:p>
        </w:tc>
        <w:tc>
          <w:tcPr>
            <w:tcW w:w="2015" w:type="dxa"/>
            <w:shd w:val="clear" w:color="auto" w:fill="D9E2F3"/>
            <w:vAlign w:val="center"/>
          </w:tcPr>
          <w:p w14:paraId="644369B8" w14:textId="77777777" w:rsidR="00990B14" w:rsidRDefault="00000000">
            <w:pPr>
              <w:spacing w:before="20" w:after="20"/>
              <w:jc w:val="both"/>
            </w:pPr>
            <w:r>
              <w:rPr>
                <w:sz w:val="18"/>
                <w:szCs w:val="18"/>
              </w:rPr>
              <w:t>Todos los integrantes aportan al trabajo.</w:t>
            </w:r>
          </w:p>
        </w:tc>
        <w:tc>
          <w:tcPr>
            <w:tcW w:w="1861" w:type="dxa"/>
            <w:shd w:val="clear" w:color="auto" w:fill="D9E2F3"/>
            <w:vAlign w:val="center"/>
          </w:tcPr>
          <w:p w14:paraId="093BB427" w14:textId="77777777" w:rsidR="00990B14" w:rsidRDefault="00000000">
            <w:pPr>
              <w:spacing w:before="20" w:after="20"/>
              <w:jc w:val="both"/>
            </w:pPr>
            <w:r>
              <w:rPr>
                <w:sz w:val="18"/>
                <w:szCs w:val="18"/>
              </w:rPr>
              <w:t>Se sustenta las conclusiones ante el curso.</w:t>
            </w:r>
          </w:p>
        </w:tc>
      </w:tr>
      <w:tr w:rsidR="00990B14" w14:paraId="343090FB" w14:textId="77777777">
        <w:trPr>
          <w:cantSplit/>
          <w:jc w:val="center"/>
        </w:trPr>
        <w:tc>
          <w:tcPr>
            <w:tcW w:w="1809" w:type="dxa"/>
            <w:vMerge/>
            <w:shd w:val="clear" w:color="auto" w:fill="4472C4"/>
            <w:vAlign w:val="center"/>
          </w:tcPr>
          <w:p w14:paraId="533F67FB" w14:textId="77777777" w:rsidR="00990B14" w:rsidRDefault="00990B14">
            <w:pPr>
              <w:spacing w:before="20" w:after="20"/>
            </w:pPr>
          </w:p>
        </w:tc>
        <w:tc>
          <w:tcPr>
            <w:tcW w:w="5735" w:type="dxa"/>
            <w:gridSpan w:val="3"/>
            <w:shd w:val="clear" w:color="auto" w:fill="D9E2F3"/>
            <w:vAlign w:val="center"/>
          </w:tcPr>
          <w:p w14:paraId="4284E94A" w14:textId="77777777" w:rsidR="00990B14" w:rsidRDefault="00000000">
            <w:pPr>
              <w:keepNext/>
              <w:spacing w:before="20" w:after="20"/>
              <w:jc w:val="both"/>
            </w:pPr>
            <w:r>
              <w:rPr>
                <w:b/>
                <w:bCs/>
                <w:i/>
                <w:iCs/>
                <w:sz w:val="18"/>
                <w:szCs w:val="18"/>
              </w:rPr>
              <w:t xml:space="preserve">Producto 4: </w:t>
            </w:r>
            <w:r>
              <w:rPr>
                <w:sz w:val="18"/>
                <w:szCs w:val="18"/>
              </w:rPr>
              <w:t>Matriz de selección del enfoque</w:t>
            </w:r>
          </w:p>
        </w:tc>
        <w:tc>
          <w:tcPr>
            <w:tcW w:w="1861" w:type="dxa"/>
            <w:shd w:val="clear" w:color="auto" w:fill="D9E2F3"/>
            <w:vAlign w:val="center"/>
          </w:tcPr>
          <w:p w14:paraId="7FF6A54E" w14:textId="77777777" w:rsidR="00990B14" w:rsidRDefault="00000000">
            <w:pPr>
              <w:spacing w:before="20" w:after="20"/>
              <w:jc w:val="center"/>
            </w:pPr>
            <w:r>
              <w:rPr>
                <w:b/>
                <w:bCs/>
                <w:sz w:val="18"/>
                <w:szCs w:val="18"/>
              </w:rPr>
              <w:t>5%</w:t>
            </w:r>
          </w:p>
        </w:tc>
      </w:tr>
      <w:tr w:rsidR="00990B14" w14:paraId="7C679266" w14:textId="77777777">
        <w:trPr>
          <w:cantSplit/>
          <w:jc w:val="center"/>
        </w:trPr>
        <w:tc>
          <w:tcPr>
            <w:tcW w:w="1809" w:type="dxa"/>
            <w:vMerge/>
            <w:shd w:val="clear" w:color="auto" w:fill="4472C4"/>
            <w:vAlign w:val="center"/>
          </w:tcPr>
          <w:p w14:paraId="4636B989" w14:textId="77777777" w:rsidR="00990B14" w:rsidRDefault="00990B14">
            <w:pPr>
              <w:spacing w:before="20" w:after="20"/>
            </w:pPr>
          </w:p>
        </w:tc>
        <w:tc>
          <w:tcPr>
            <w:tcW w:w="1860" w:type="dxa"/>
            <w:shd w:val="clear" w:color="auto" w:fill="4472C4"/>
            <w:vAlign w:val="center"/>
          </w:tcPr>
          <w:p w14:paraId="3C789A21" w14:textId="77777777" w:rsidR="00990B14" w:rsidRDefault="00000000">
            <w:pPr>
              <w:keepNext/>
              <w:spacing w:before="20" w:after="20"/>
              <w:jc w:val="center"/>
            </w:pPr>
            <w:r>
              <w:rPr>
                <w:b/>
                <w:bCs/>
                <w:i/>
                <w:iCs/>
                <w:color w:val="FFFFFF"/>
                <w:sz w:val="18"/>
                <w:szCs w:val="18"/>
              </w:rPr>
              <w:t>Criterio</w:t>
            </w:r>
          </w:p>
        </w:tc>
        <w:tc>
          <w:tcPr>
            <w:tcW w:w="1860" w:type="dxa"/>
            <w:shd w:val="clear" w:color="auto" w:fill="4472C4"/>
            <w:vAlign w:val="center"/>
          </w:tcPr>
          <w:p w14:paraId="79BDCA43"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01056A39" w14:textId="77777777" w:rsidR="00990B14" w:rsidRDefault="00000000">
            <w:pPr>
              <w:keepNext/>
              <w:spacing w:before="20" w:after="20"/>
              <w:jc w:val="center"/>
            </w:pPr>
            <w:r>
              <w:rPr>
                <w:b/>
                <w:bCs/>
                <w:i/>
                <w:iCs/>
                <w:color w:val="FFFFFF"/>
                <w:sz w:val="18"/>
                <w:szCs w:val="18"/>
              </w:rPr>
              <w:t>Suficiente (51–80)</w:t>
            </w:r>
          </w:p>
        </w:tc>
        <w:tc>
          <w:tcPr>
            <w:tcW w:w="1861" w:type="dxa"/>
            <w:shd w:val="clear" w:color="auto" w:fill="4472C4"/>
            <w:vAlign w:val="center"/>
          </w:tcPr>
          <w:p w14:paraId="47C8C62D" w14:textId="77777777" w:rsidR="00990B14" w:rsidRDefault="00000000">
            <w:pPr>
              <w:keepNext/>
              <w:spacing w:before="20" w:after="20"/>
              <w:jc w:val="center"/>
            </w:pPr>
            <w:r>
              <w:rPr>
                <w:b/>
                <w:bCs/>
                <w:i/>
                <w:iCs/>
                <w:color w:val="FFFFFF"/>
                <w:sz w:val="18"/>
                <w:szCs w:val="18"/>
              </w:rPr>
              <w:t>Destacado (81–100)</w:t>
            </w:r>
          </w:p>
        </w:tc>
      </w:tr>
      <w:tr w:rsidR="00990B14" w14:paraId="167C35EC" w14:textId="77777777">
        <w:trPr>
          <w:cantSplit/>
          <w:jc w:val="center"/>
        </w:trPr>
        <w:tc>
          <w:tcPr>
            <w:tcW w:w="1809" w:type="dxa"/>
            <w:vMerge/>
            <w:shd w:val="clear" w:color="auto" w:fill="4472C4"/>
            <w:vAlign w:val="center"/>
          </w:tcPr>
          <w:p w14:paraId="2C68477F" w14:textId="77777777" w:rsidR="00990B14" w:rsidRDefault="00990B14">
            <w:pPr>
              <w:spacing w:before="20" w:after="20"/>
            </w:pPr>
          </w:p>
        </w:tc>
        <w:tc>
          <w:tcPr>
            <w:tcW w:w="1860" w:type="dxa"/>
            <w:shd w:val="clear" w:color="auto" w:fill="D9E2F3"/>
            <w:vAlign w:val="center"/>
          </w:tcPr>
          <w:p w14:paraId="378B911A" w14:textId="77777777" w:rsidR="00990B14" w:rsidRDefault="00000000">
            <w:pPr>
              <w:spacing w:before="20" w:after="20"/>
              <w:jc w:val="both"/>
            </w:pPr>
            <w:r>
              <w:rPr>
                <w:sz w:val="18"/>
                <w:szCs w:val="18"/>
              </w:rPr>
              <w:t>Pertinencia del enfoque</w:t>
            </w:r>
          </w:p>
        </w:tc>
        <w:tc>
          <w:tcPr>
            <w:tcW w:w="1860" w:type="dxa"/>
            <w:shd w:val="clear" w:color="auto" w:fill="D9E2F3"/>
            <w:vAlign w:val="center"/>
          </w:tcPr>
          <w:p w14:paraId="004A749B" w14:textId="77777777" w:rsidR="00990B14" w:rsidRDefault="00000000">
            <w:pPr>
              <w:spacing w:before="20" w:after="20"/>
              <w:jc w:val="both"/>
            </w:pPr>
            <w:r>
              <w:rPr>
                <w:sz w:val="18"/>
                <w:szCs w:val="18"/>
              </w:rPr>
              <w:t>Elige un enfoque que no corresponde al problema.</w:t>
            </w:r>
          </w:p>
        </w:tc>
        <w:tc>
          <w:tcPr>
            <w:tcW w:w="2015" w:type="dxa"/>
            <w:shd w:val="clear" w:color="auto" w:fill="D9E2F3"/>
            <w:vAlign w:val="center"/>
          </w:tcPr>
          <w:p w14:paraId="43680FD6" w14:textId="77777777" w:rsidR="00990B14" w:rsidRDefault="00000000">
            <w:pPr>
              <w:spacing w:before="20" w:after="20"/>
              <w:jc w:val="both"/>
            </w:pPr>
            <w:r>
              <w:rPr>
                <w:sz w:val="18"/>
                <w:szCs w:val="18"/>
              </w:rPr>
              <w:t>Elige el enfoque adecuado para cada problema.</w:t>
            </w:r>
          </w:p>
        </w:tc>
        <w:tc>
          <w:tcPr>
            <w:tcW w:w="1861" w:type="dxa"/>
            <w:shd w:val="clear" w:color="auto" w:fill="D9E2F3"/>
            <w:vAlign w:val="center"/>
          </w:tcPr>
          <w:p w14:paraId="0A34610F" w14:textId="77777777" w:rsidR="00990B14" w:rsidRDefault="00000000">
            <w:pPr>
              <w:spacing w:before="20" w:after="20"/>
              <w:jc w:val="both"/>
            </w:pPr>
            <w:r>
              <w:rPr>
                <w:sz w:val="18"/>
                <w:szCs w:val="18"/>
              </w:rPr>
              <w:t>Considera la posibilidad de un enfoque mixto.</w:t>
            </w:r>
          </w:p>
        </w:tc>
      </w:tr>
      <w:tr w:rsidR="00990B14" w14:paraId="7D84329D" w14:textId="77777777">
        <w:trPr>
          <w:cantSplit/>
          <w:jc w:val="center"/>
        </w:trPr>
        <w:tc>
          <w:tcPr>
            <w:tcW w:w="1809" w:type="dxa"/>
            <w:vMerge/>
            <w:shd w:val="clear" w:color="auto" w:fill="4472C4"/>
            <w:vAlign w:val="center"/>
          </w:tcPr>
          <w:p w14:paraId="362D5E6D" w14:textId="77777777" w:rsidR="00990B14" w:rsidRDefault="00990B14">
            <w:pPr>
              <w:spacing w:before="20" w:after="20"/>
            </w:pPr>
          </w:p>
        </w:tc>
        <w:tc>
          <w:tcPr>
            <w:tcW w:w="1860" w:type="dxa"/>
            <w:shd w:val="clear" w:color="auto" w:fill="D9E2F3"/>
            <w:vAlign w:val="center"/>
          </w:tcPr>
          <w:p w14:paraId="058C3E36" w14:textId="77777777" w:rsidR="00990B14" w:rsidRDefault="00000000">
            <w:pPr>
              <w:spacing w:before="20" w:after="20"/>
              <w:jc w:val="both"/>
            </w:pPr>
            <w:r>
              <w:rPr>
                <w:sz w:val="18"/>
                <w:szCs w:val="18"/>
              </w:rPr>
              <w:t>Justificación</w:t>
            </w:r>
          </w:p>
        </w:tc>
        <w:tc>
          <w:tcPr>
            <w:tcW w:w="1860" w:type="dxa"/>
            <w:shd w:val="clear" w:color="auto" w:fill="D9E2F3"/>
            <w:vAlign w:val="center"/>
          </w:tcPr>
          <w:p w14:paraId="703B6373" w14:textId="77777777" w:rsidR="00990B14" w:rsidRDefault="00000000">
            <w:pPr>
              <w:spacing w:before="20" w:after="20"/>
              <w:jc w:val="both"/>
            </w:pPr>
            <w:r>
              <w:rPr>
                <w:sz w:val="18"/>
                <w:szCs w:val="18"/>
              </w:rPr>
              <w:t>No justifica la elección.</w:t>
            </w:r>
          </w:p>
        </w:tc>
        <w:tc>
          <w:tcPr>
            <w:tcW w:w="2015" w:type="dxa"/>
            <w:shd w:val="clear" w:color="auto" w:fill="D9E2F3"/>
            <w:vAlign w:val="center"/>
          </w:tcPr>
          <w:p w14:paraId="316317B5" w14:textId="77777777" w:rsidR="00990B14" w:rsidRDefault="00000000">
            <w:pPr>
              <w:spacing w:before="20" w:after="20"/>
              <w:jc w:val="both"/>
            </w:pPr>
            <w:r>
              <w:rPr>
                <w:sz w:val="18"/>
                <w:szCs w:val="18"/>
              </w:rPr>
              <w:t>Justifica la elección con las bondades del enfoque.</w:t>
            </w:r>
          </w:p>
        </w:tc>
        <w:tc>
          <w:tcPr>
            <w:tcW w:w="1861" w:type="dxa"/>
            <w:shd w:val="clear" w:color="auto" w:fill="D9E2F3"/>
            <w:vAlign w:val="center"/>
          </w:tcPr>
          <w:p w14:paraId="41914801" w14:textId="77777777" w:rsidR="00990B14" w:rsidRDefault="00000000">
            <w:pPr>
              <w:spacing w:before="20" w:after="20"/>
              <w:jc w:val="both"/>
            </w:pPr>
            <w:r>
              <w:rPr>
                <w:sz w:val="18"/>
                <w:szCs w:val="18"/>
              </w:rPr>
              <w:t>Señala las limitaciones del enfoque elegido.</w:t>
            </w:r>
          </w:p>
        </w:tc>
      </w:tr>
      <w:tr w:rsidR="00990B14" w14:paraId="7C4E6229" w14:textId="77777777">
        <w:trPr>
          <w:cantSplit/>
          <w:jc w:val="center"/>
        </w:trPr>
        <w:tc>
          <w:tcPr>
            <w:tcW w:w="1809" w:type="dxa"/>
            <w:vMerge/>
            <w:shd w:val="clear" w:color="auto" w:fill="4472C4"/>
            <w:vAlign w:val="center"/>
          </w:tcPr>
          <w:p w14:paraId="5396B296" w14:textId="77777777" w:rsidR="00990B14" w:rsidRDefault="00990B14">
            <w:pPr>
              <w:spacing w:before="20" w:after="20"/>
            </w:pPr>
          </w:p>
        </w:tc>
        <w:tc>
          <w:tcPr>
            <w:tcW w:w="1860" w:type="dxa"/>
            <w:shd w:val="clear" w:color="auto" w:fill="D9E2F3"/>
            <w:vAlign w:val="center"/>
          </w:tcPr>
          <w:p w14:paraId="574E0094" w14:textId="77777777" w:rsidR="00990B14" w:rsidRDefault="00000000">
            <w:pPr>
              <w:spacing w:before="20" w:after="20"/>
              <w:jc w:val="both"/>
            </w:pPr>
            <w:r>
              <w:rPr>
                <w:sz w:val="18"/>
                <w:szCs w:val="18"/>
              </w:rPr>
              <w:t>Presentación</w:t>
            </w:r>
          </w:p>
        </w:tc>
        <w:tc>
          <w:tcPr>
            <w:tcW w:w="1860" w:type="dxa"/>
            <w:shd w:val="clear" w:color="auto" w:fill="D9E2F3"/>
            <w:vAlign w:val="center"/>
          </w:tcPr>
          <w:p w14:paraId="667910AB" w14:textId="77777777" w:rsidR="00990B14" w:rsidRDefault="00000000">
            <w:pPr>
              <w:spacing w:before="20" w:after="20"/>
              <w:jc w:val="both"/>
            </w:pPr>
            <w:r>
              <w:rPr>
                <w:sz w:val="18"/>
                <w:szCs w:val="18"/>
              </w:rPr>
              <w:t>La matriz está incompleta.</w:t>
            </w:r>
          </w:p>
        </w:tc>
        <w:tc>
          <w:tcPr>
            <w:tcW w:w="2015" w:type="dxa"/>
            <w:shd w:val="clear" w:color="auto" w:fill="D9E2F3"/>
            <w:vAlign w:val="center"/>
          </w:tcPr>
          <w:p w14:paraId="4D816755" w14:textId="77777777" w:rsidR="00990B14" w:rsidRDefault="00000000">
            <w:pPr>
              <w:spacing w:before="20" w:after="20"/>
              <w:jc w:val="both"/>
            </w:pPr>
            <w:r>
              <w:rPr>
                <w:sz w:val="18"/>
                <w:szCs w:val="18"/>
              </w:rPr>
              <w:t>La matriz es clara y completa.</w:t>
            </w:r>
          </w:p>
        </w:tc>
        <w:tc>
          <w:tcPr>
            <w:tcW w:w="1861" w:type="dxa"/>
            <w:shd w:val="clear" w:color="auto" w:fill="D9E2F3"/>
            <w:vAlign w:val="center"/>
          </w:tcPr>
          <w:p w14:paraId="78660157" w14:textId="77777777" w:rsidR="00990B14" w:rsidRDefault="00000000">
            <w:pPr>
              <w:spacing w:before="20" w:after="20"/>
              <w:jc w:val="both"/>
            </w:pPr>
            <w:r>
              <w:rPr>
                <w:sz w:val="18"/>
                <w:szCs w:val="18"/>
              </w:rPr>
              <w:t>La matriz indica la fuente de cada problema.</w:t>
            </w:r>
          </w:p>
        </w:tc>
      </w:tr>
      <w:tr w:rsidR="00990B14" w14:paraId="27B217E9" w14:textId="77777777">
        <w:trPr>
          <w:cantSplit/>
          <w:jc w:val="center"/>
        </w:trPr>
        <w:tc>
          <w:tcPr>
            <w:tcW w:w="1809" w:type="dxa"/>
            <w:vMerge/>
            <w:shd w:val="clear" w:color="auto" w:fill="4472C4"/>
            <w:vAlign w:val="center"/>
          </w:tcPr>
          <w:p w14:paraId="6618ACF6" w14:textId="77777777" w:rsidR="00990B14" w:rsidRDefault="00990B14">
            <w:pPr>
              <w:spacing w:before="20" w:after="20"/>
            </w:pPr>
          </w:p>
        </w:tc>
        <w:tc>
          <w:tcPr>
            <w:tcW w:w="5735" w:type="dxa"/>
            <w:gridSpan w:val="3"/>
            <w:shd w:val="clear" w:color="auto" w:fill="D9E2F3"/>
            <w:vAlign w:val="center"/>
          </w:tcPr>
          <w:p w14:paraId="5BB05320" w14:textId="77777777" w:rsidR="00990B14" w:rsidRDefault="00000000">
            <w:pPr>
              <w:keepNext/>
              <w:spacing w:before="20" w:after="20"/>
              <w:jc w:val="both"/>
            </w:pPr>
            <w:r>
              <w:rPr>
                <w:b/>
                <w:bCs/>
                <w:i/>
                <w:iCs/>
                <w:sz w:val="18"/>
                <w:szCs w:val="18"/>
              </w:rPr>
              <w:t xml:space="preserve">Producto 5: </w:t>
            </w:r>
            <w:r>
              <w:rPr>
                <w:sz w:val="18"/>
                <w:szCs w:val="18"/>
              </w:rPr>
              <w:t>Base de referencias bibliográficas</w:t>
            </w:r>
          </w:p>
        </w:tc>
        <w:tc>
          <w:tcPr>
            <w:tcW w:w="1861" w:type="dxa"/>
            <w:shd w:val="clear" w:color="auto" w:fill="D9E2F3"/>
            <w:vAlign w:val="center"/>
          </w:tcPr>
          <w:p w14:paraId="1671D2D6" w14:textId="77777777" w:rsidR="00990B14" w:rsidRDefault="00000000">
            <w:pPr>
              <w:spacing w:before="20" w:after="20"/>
              <w:jc w:val="center"/>
            </w:pPr>
            <w:r>
              <w:rPr>
                <w:b/>
                <w:bCs/>
                <w:sz w:val="18"/>
                <w:szCs w:val="18"/>
              </w:rPr>
              <w:t>5%</w:t>
            </w:r>
          </w:p>
        </w:tc>
      </w:tr>
      <w:tr w:rsidR="00990B14" w14:paraId="095F66EA" w14:textId="77777777">
        <w:trPr>
          <w:cantSplit/>
          <w:jc w:val="center"/>
        </w:trPr>
        <w:tc>
          <w:tcPr>
            <w:tcW w:w="1809" w:type="dxa"/>
            <w:vMerge/>
            <w:shd w:val="clear" w:color="auto" w:fill="4472C4"/>
            <w:vAlign w:val="center"/>
          </w:tcPr>
          <w:p w14:paraId="764C1A03" w14:textId="77777777" w:rsidR="00990B14" w:rsidRDefault="00990B14">
            <w:pPr>
              <w:spacing w:before="20" w:after="20"/>
            </w:pPr>
          </w:p>
        </w:tc>
        <w:tc>
          <w:tcPr>
            <w:tcW w:w="1860" w:type="dxa"/>
            <w:shd w:val="clear" w:color="auto" w:fill="4472C4"/>
            <w:vAlign w:val="center"/>
          </w:tcPr>
          <w:p w14:paraId="608ED328" w14:textId="77777777" w:rsidR="00990B14" w:rsidRDefault="00000000">
            <w:pPr>
              <w:keepNext/>
              <w:spacing w:before="20" w:after="20"/>
              <w:jc w:val="center"/>
            </w:pPr>
            <w:r>
              <w:rPr>
                <w:b/>
                <w:bCs/>
                <w:i/>
                <w:iCs/>
                <w:color w:val="FFFFFF"/>
                <w:sz w:val="18"/>
                <w:szCs w:val="18"/>
              </w:rPr>
              <w:t>Criterio</w:t>
            </w:r>
          </w:p>
        </w:tc>
        <w:tc>
          <w:tcPr>
            <w:tcW w:w="1860" w:type="dxa"/>
            <w:shd w:val="clear" w:color="auto" w:fill="4472C4"/>
            <w:vAlign w:val="center"/>
          </w:tcPr>
          <w:p w14:paraId="62479F4A"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70B6BA17" w14:textId="77777777" w:rsidR="00990B14" w:rsidRDefault="00000000">
            <w:pPr>
              <w:keepNext/>
              <w:spacing w:before="20" w:after="20"/>
              <w:jc w:val="center"/>
            </w:pPr>
            <w:r>
              <w:rPr>
                <w:b/>
                <w:bCs/>
                <w:i/>
                <w:iCs/>
                <w:color w:val="FFFFFF"/>
                <w:sz w:val="18"/>
                <w:szCs w:val="18"/>
              </w:rPr>
              <w:t>Suficiente (51–80)</w:t>
            </w:r>
          </w:p>
        </w:tc>
        <w:tc>
          <w:tcPr>
            <w:tcW w:w="1861" w:type="dxa"/>
            <w:shd w:val="clear" w:color="auto" w:fill="4472C4"/>
            <w:vAlign w:val="center"/>
          </w:tcPr>
          <w:p w14:paraId="2D0DE6E3" w14:textId="77777777" w:rsidR="00990B14" w:rsidRDefault="00000000">
            <w:pPr>
              <w:keepNext/>
              <w:spacing w:before="20" w:after="20"/>
              <w:jc w:val="center"/>
            </w:pPr>
            <w:r>
              <w:rPr>
                <w:b/>
                <w:bCs/>
                <w:i/>
                <w:iCs/>
                <w:color w:val="FFFFFF"/>
                <w:sz w:val="18"/>
                <w:szCs w:val="18"/>
              </w:rPr>
              <w:t>Destacado (81–100)</w:t>
            </w:r>
          </w:p>
        </w:tc>
      </w:tr>
      <w:tr w:rsidR="00990B14" w14:paraId="6CD3F0BD" w14:textId="77777777">
        <w:trPr>
          <w:cantSplit/>
          <w:jc w:val="center"/>
        </w:trPr>
        <w:tc>
          <w:tcPr>
            <w:tcW w:w="1809" w:type="dxa"/>
            <w:vMerge/>
            <w:shd w:val="clear" w:color="auto" w:fill="4472C4"/>
            <w:vAlign w:val="center"/>
          </w:tcPr>
          <w:p w14:paraId="2BFBC752" w14:textId="77777777" w:rsidR="00990B14" w:rsidRDefault="00990B14">
            <w:pPr>
              <w:spacing w:before="20" w:after="20"/>
            </w:pPr>
          </w:p>
        </w:tc>
        <w:tc>
          <w:tcPr>
            <w:tcW w:w="1860" w:type="dxa"/>
            <w:shd w:val="clear" w:color="auto" w:fill="D9E2F3"/>
            <w:vAlign w:val="center"/>
          </w:tcPr>
          <w:p w14:paraId="751A63FC" w14:textId="77777777" w:rsidR="00990B14" w:rsidRDefault="00000000">
            <w:pPr>
              <w:spacing w:before="20" w:after="20"/>
              <w:jc w:val="both"/>
            </w:pPr>
            <w:r>
              <w:rPr>
                <w:sz w:val="18"/>
                <w:szCs w:val="18"/>
              </w:rPr>
              <w:t>Selección de fuentes</w:t>
            </w:r>
          </w:p>
        </w:tc>
        <w:tc>
          <w:tcPr>
            <w:tcW w:w="1860" w:type="dxa"/>
            <w:shd w:val="clear" w:color="auto" w:fill="D9E2F3"/>
            <w:vAlign w:val="center"/>
          </w:tcPr>
          <w:p w14:paraId="107ABA87" w14:textId="77777777" w:rsidR="00990B14" w:rsidRDefault="00000000">
            <w:pPr>
              <w:spacing w:before="20" w:after="20"/>
              <w:jc w:val="both"/>
            </w:pPr>
            <w:r>
              <w:rPr>
                <w:sz w:val="18"/>
                <w:szCs w:val="18"/>
              </w:rPr>
              <w:t>Incluye fuentes sin respaldo académico.</w:t>
            </w:r>
          </w:p>
        </w:tc>
        <w:tc>
          <w:tcPr>
            <w:tcW w:w="2015" w:type="dxa"/>
            <w:shd w:val="clear" w:color="auto" w:fill="D9E2F3"/>
            <w:vAlign w:val="center"/>
          </w:tcPr>
          <w:p w14:paraId="4F5289CF" w14:textId="77777777" w:rsidR="00990B14" w:rsidRDefault="00000000">
            <w:pPr>
              <w:spacing w:before="20" w:after="20"/>
              <w:jc w:val="both"/>
            </w:pPr>
            <w:r>
              <w:rPr>
                <w:sz w:val="18"/>
                <w:szCs w:val="18"/>
              </w:rPr>
              <w:t>Incluye fuentes pertinentes y actuales.</w:t>
            </w:r>
          </w:p>
        </w:tc>
        <w:tc>
          <w:tcPr>
            <w:tcW w:w="1861" w:type="dxa"/>
            <w:shd w:val="clear" w:color="auto" w:fill="D9E2F3"/>
            <w:vAlign w:val="center"/>
          </w:tcPr>
          <w:p w14:paraId="2C7DAFF4" w14:textId="77777777" w:rsidR="00990B14" w:rsidRDefault="00000000">
            <w:pPr>
              <w:spacing w:before="20" w:after="20"/>
              <w:jc w:val="both"/>
            </w:pPr>
            <w:r>
              <w:rPr>
                <w:sz w:val="18"/>
                <w:szCs w:val="18"/>
              </w:rPr>
              <w:t>Evalúa la autoría, la actualidad y los sesgos de cada fuente.</w:t>
            </w:r>
          </w:p>
        </w:tc>
      </w:tr>
      <w:tr w:rsidR="00990B14" w14:paraId="039A1F01" w14:textId="77777777">
        <w:trPr>
          <w:cantSplit/>
          <w:jc w:val="center"/>
        </w:trPr>
        <w:tc>
          <w:tcPr>
            <w:tcW w:w="1809" w:type="dxa"/>
            <w:vMerge/>
            <w:shd w:val="clear" w:color="auto" w:fill="4472C4"/>
            <w:vAlign w:val="center"/>
          </w:tcPr>
          <w:p w14:paraId="19C77F58" w14:textId="77777777" w:rsidR="00990B14" w:rsidRDefault="00990B14">
            <w:pPr>
              <w:spacing w:before="20" w:after="20"/>
            </w:pPr>
          </w:p>
        </w:tc>
        <w:tc>
          <w:tcPr>
            <w:tcW w:w="1860" w:type="dxa"/>
            <w:shd w:val="clear" w:color="auto" w:fill="D9E2F3"/>
            <w:vAlign w:val="center"/>
          </w:tcPr>
          <w:p w14:paraId="156D100A" w14:textId="77777777" w:rsidR="00990B14" w:rsidRDefault="00000000">
            <w:pPr>
              <w:spacing w:before="20" w:after="20"/>
              <w:jc w:val="both"/>
            </w:pPr>
            <w:r>
              <w:rPr>
                <w:sz w:val="18"/>
                <w:szCs w:val="18"/>
              </w:rPr>
              <w:t>Formato de las referencias</w:t>
            </w:r>
          </w:p>
        </w:tc>
        <w:tc>
          <w:tcPr>
            <w:tcW w:w="1860" w:type="dxa"/>
            <w:shd w:val="clear" w:color="auto" w:fill="D9E2F3"/>
            <w:vAlign w:val="center"/>
          </w:tcPr>
          <w:p w14:paraId="140D0489" w14:textId="77777777" w:rsidR="00990B14" w:rsidRDefault="00000000">
            <w:pPr>
              <w:spacing w:before="20" w:after="20"/>
              <w:jc w:val="both"/>
            </w:pPr>
            <w:r>
              <w:rPr>
                <w:sz w:val="18"/>
                <w:szCs w:val="18"/>
              </w:rPr>
              <w:t>Las referencias no siguen un sistema normalizado.</w:t>
            </w:r>
          </w:p>
        </w:tc>
        <w:tc>
          <w:tcPr>
            <w:tcW w:w="2015" w:type="dxa"/>
            <w:shd w:val="clear" w:color="auto" w:fill="D9E2F3"/>
            <w:vAlign w:val="center"/>
          </w:tcPr>
          <w:p w14:paraId="5273B863" w14:textId="77777777" w:rsidR="00990B14" w:rsidRDefault="00000000">
            <w:pPr>
              <w:spacing w:before="20" w:after="20"/>
              <w:jc w:val="both"/>
            </w:pPr>
            <w:r>
              <w:rPr>
                <w:sz w:val="18"/>
                <w:szCs w:val="18"/>
              </w:rPr>
              <w:t>Las referencias siguen las normas APA.</w:t>
            </w:r>
          </w:p>
        </w:tc>
        <w:tc>
          <w:tcPr>
            <w:tcW w:w="1861" w:type="dxa"/>
            <w:shd w:val="clear" w:color="auto" w:fill="D9E2F3"/>
            <w:vAlign w:val="center"/>
          </w:tcPr>
          <w:p w14:paraId="3C7585C8" w14:textId="77777777" w:rsidR="00990B14" w:rsidRDefault="00000000">
            <w:pPr>
              <w:spacing w:before="20" w:after="20"/>
              <w:jc w:val="both"/>
            </w:pPr>
            <w:r>
              <w:rPr>
                <w:sz w:val="18"/>
                <w:szCs w:val="18"/>
              </w:rPr>
              <w:t>Integra las citas en el texto sin errores de formato.</w:t>
            </w:r>
          </w:p>
        </w:tc>
      </w:tr>
      <w:tr w:rsidR="00990B14" w14:paraId="0ED5A662" w14:textId="77777777">
        <w:trPr>
          <w:cantSplit/>
          <w:jc w:val="center"/>
        </w:trPr>
        <w:tc>
          <w:tcPr>
            <w:tcW w:w="1809" w:type="dxa"/>
            <w:vMerge/>
            <w:shd w:val="clear" w:color="auto" w:fill="4472C4"/>
            <w:vAlign w:val="center"/>
          </w:tcPr>
          <w:p w14:paraId="4AA41891" w14:textId="77777777" w:rsidR="00990B14" w:rsidRDefault="00990B14">
            <w:pPr>
              <w:spacing w:before="20" w:after="20"/>
            </w:pPr>
          </w:p>
        </w:tc>
        <w:tc>
          <w:tcPr>
            <w:tcW w:w="1860" w:type="dxa"/>
            <w:shd w:val="clear" w:color="auto" w:fill="D9E2F3"/>
            <w:vAlign w:val="center"/>
          </w:tcPr>
          <w:p w14:paraId="144F5D27" w14:textId="77777777" w:rsidR="00990B14" w:rsidRDefault="00000000">
            <w:pPr>
              <w:spacing w:before="20" w:after="20"/>
              <w:jc w:val="both"/>
            </w:pPr>
            <w:r>
              <w:rPr>
                <w:sz w:val="18"/>
                <w:szCs w:val="18"/>
              </w:rPr>
              <w:t>Uso del gestor</w:t>
            </w:r>
          </w:p>
        </w:tc>
        <w:tc>
          <w:tcPr>
            <w:tcW w:w="1860" w:type="dxa"/>
            <w:shd w:val="clear" w:color="auto" w:fill="D9E2F3"/>
            <w:vAlign w:val="center"/>
          </w:tcPr>
          <w:p w14:paraId="43B558EA" w14:textId="77777777" w:rsidR="00990B14" w:rsidRDefault="00000000">
            <w:pPr>
              <w:spacing w:before="20" w:after="20"/>
              <w:jc w:val="both"/>
            </w:pPr>
            <w:r>
              <w:rPr>
                <w:sz w:val="18"/>
                <w:szCs w:val="18"/>
              </w:rPr>
              <w:t>No usa el gestor bibliográfico.</w:t>
            </w:r>
          </w:p>
        </w:tc>
        <w:tc>
          <w:tcPr>
            <w:tcW w:w="2015" w:type="dxa"/>
            <w:shd w:val="clear" w:color="auto" w:fill="D9E2F3"/>
            <w:vAlign w:val="center"/>
          </w:tcPr>
          <w:p w14:paraId="1F20E83E" w14:textId="77777777" w:rsidR="00990B14" w:rsidRDefault="00000000">
            <w:pPr>
              <w:spacing w:before="20" w:after="20"/>
              <w:jc w:val="both"/>
            </w:pPr>
            <w:r>
              <w:rPr>
                <w:sz w:val="18"/>
                <w:szCs w:val="18"/>
              </w:rPr>
              <w:t>Organiza las referencias en carpetas y etiquetas.</w:t>
            </w:r>
          </w:p>
        </w:tc>
        <w:tc>
          <w:tcPr>
            <w:tcW w:w="1861" w:type="dxa"/>
            <w:shd w:val="clear" w:color="auto" w:fill="D9E2F3"/>
            <w:vAlign w:val="center"/>
          </w:tcPr>
          <w:p w14:paraId="4C7A6731" w14:textId="77777777" w:rsidR="00990B14" w:rsidRDefault="00000000">
            <w:pPr>
              <w:spacing w:before="20" w:after="20"/>
              <w:jc w:val="both"/>
            </w:pPr>
            <w:r>
              <w:rPr>
                <w:sz w:val="18"/>
                <w:szCs w:val="18"/>
              </w:rPr>
              <w:t>Comparte la base con su equipo y la mantiene actualizada.</w:t>
            </w:r>
          </w:p>
        </w:tc>
      </w:tr>
      <w:tr w:rsidR="00990B14" w14:paraId="52EC8A8F" w14:textId="77777777">
        <w:trPr>
          <w:cantSplit/>
          <w:jc w:val="center"/>
        </w:trPr>
        <w:tc>
          <w:tcPr>
            <w:tcW w:w="1809" w:type="dxa"/>
            <w:vMerge/>
            <w:shd w:val="clear" w:color="auto" w:fill="4472C4"/>
            <w:vAlign w:val="center"/>
          </w:tcPr>
          <w:p w14:paraId="355CC070" w14:textId="77777777" w:rsidR="00990B14" w:rsidRDefault="00990B14">
            <w:pPr>
              <w:spacing w:before="20" w:after="20"/>
            </w:pPr>
          </w:p>
        </w:tc>
        <w:tc>
          <w:tcPr>
            <w:tcW w:w="5735" w:type="dxa"/>
            <w:gridSpan w:val="3"/>
            <w:shd w:val="clear" w:color="auto" w:fill="D9E2F3"/>
            <w:vAlign w:val="center"/>
          </w:tcPr>
          <w:p w14:paraId="424F636D" w14:textId="77777777" w:rsidR="00990B14" w:rsidRDefault="00000000">
            <w:pPr>
              <w:keepNext/>
              <w:spacing w:before="20" w:after="20"/>
              <w:jc w:val="both"/>
            </w:pPr>
            <w:r>
              <w:rPr>
                <w:b/>
                <w:bCs/>
                <w:i/>
                <w:iCs/>
                <w:sz w:val="18"/>
                <w:szCs w:val="18"/>
              </w:rPr>
              <w:t xml:space="preserve">Producto 6: </w:t>
            </w:r>
            <w:r>
              <w:rPr>
                <w:sz w:val="18"/>
                <w:szCs w:val="18"/>
              </w:rPr>
              <w:t>Registro del uso de inteligencia artificial</w:t>
            </w:r>
          </w:p>
        </w:tc>
        <w:tc>
          <w:tcPr>
            <w:tcW w:w="1861" w:type="dxa"/>
            <w:shd w:val="clear" w:color="auto" w:fill="D9E2F3"/>
            <w:vAlign w:val="center"/>
          </w:tcPr>
          <w:p w14:paraId="7AA62529" w14:textId="77777777" w:rsidR="00990B14" w:rsidRDefault="00000000">
            <w:pPr>
              <w:spacing w:before="20" w:after="20"/>
              <w:jc w:val="center"/>
            </w:pPr>
            <w:r>
              <w:rPr>
                <w:b/>
                <w:bCs/>
                <w:sz w:val="18"/>
                <w:szCs w:val="18"/>
              </w:rPr>
              <w:t>5%</w:t>
            </w:r>
          </w:p>
        </w:tc>
      </w:tr>
      <w:tr w:rsidR="00990B14" w14:paraId="23C9ABCF" w14:textId="77777777">
        <w:trPr>
          <w:cantSplit/>
          <w:jc w:val="center"/>
        </w:trPr>
        <w:tc>
          <w:tcPr>
            <w:tcW w:w="1809" w:type="dxa"/>
            <w:vMerge/>
            <w:shd w:val="clear" w:color="auto" w:fill="4472C4"/>
            <w:vAlign w:val="center"/>
          </w:tcPr>
          <w:p w14:paraId="578C62BE" w14:textId="77777777" w:rsidR="00990B14" w:rsidRDefault="00990B14">
            <w:pPr>
              <w:spacing w:before="20" w:after="20"/>
            </w:pPr>
          </w:p>
        </w:tc>
        <w:tc>
          <w:tcPr>
            <w:tcW w:w="1860" w:type="dxa"/>
            <w:shd w:val="clear" w:color="auto" w:fill="4472C4"/>
            <w:vAlign w:val="center"/>
          </w:tcPr>
          <w:p w14:paraId="3FB50836" w14:textId="77777777" w:rsidR="00990B14" w:rsidRDefault="00000000">
            <w:pPr>
              <w:keepNext/>
              <w:spacing w:before="20" w:after="20"/>
              <w:jc w:val="center"/>
            </w:pPr>
            <w:r>
              <w:rPr>
                <w:b/>
                <w:bCs/>
                <w:i/>
                <w:iCs/>
                <w:color w:val="FFFFFF"/>
                <w:sz w:val="18"/>
                <w:szCs w:val="18"/>
              </w:rPr>
              <w:t>Criterio</w:t>
            </w:r>
          </w:p>
        </w:tc>
        <w:tc>
          <w:tcPr>
            <w:tcW w:w="1860" w:type="dxa"/>
            <w:shd w:val="clear" w:color="auto" w:fill="4472C4"/>
            <w:vAlign w:val="center"/>
          </w:tcPr>
          <w:p w14:paraId="1F08DCC1"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3209A97D" w14:textId="77777777" w:rsidR="00990B14" w:rsidRDefault="00000000">
            <w:pPr>
              <w:keepNext/>
              <w:spacing w:before="20" w:after="20"/>
              <w:jc w:val="center"/>
            </w:pPr>
            <w:r>
              <w:rPr>
                <w:b/>
                <w:bCs/>
                <w:i/>
                <w:iCs/>
                <w:color w:val="FFFFFF"/>
                <w:sz w:val="18"/>
                <w:szCs w:val="18"/>
              </w:rPr>
              <w:t>Suficiente (51–80)</w:t>
            </w:r>
          </w:p>
        </w:tc>
        <w:tc>
          <w:tcPr>
            <w:tcW w:w="1861" w:type="dxa"/>
            <w:shd w:val="clear" w:color="auto" w:fill="4472C4"/>
            <w:vAlign w:val="center"/>
          </w:tcPr>
          <w:p w14:paraId="37B7DDED" w14:textId="77777777" w:rsidR="00990B14" w:rsidRDefault="00000000">
            <w:pPr>
              <w:keepNext/>
              <w:spacing w:before="20" w:after="20"/>
              <w:jc w:val="center"/>
            </w:pPr>
            <w:r>
              <w:rPr>
                <w:b/>
                <w:bCs/>
                <w:i/>
                <w:iCs/>
                <w:color w:val="FFFFFF"/>
                <w:sz w:val="18"/>
                <w:szCs w:val="18"/>
              </w:rPr>
              <w:t>Destacado (81–100)</w:t>
            </w:r>
          </w:p>
        </w:tc>
      </w:tr>
      <w:tr w:rsidR="00990B14" w14:paraId="3D1C1FCC" w14:textId="77777777">
        <w:trPr>
          <w:cantSplit/>
          <w:jc w:val="center"/>
        </w:trPr>
        <w:tc>
          <w:tcPr>
            <w:tcW w:w="1809" w:type="dxa"/>
            <w:vMerge/>
            <w:shd w:val="clear" w:color="auto" w:fill="4472C4"/>
            <w:vAlign w:val="center"/>
          </w:tcPr>
          <w:p w14:paraId="0AD0EE75" w14:textId="77777777" w:rsidR="00990B14" w:rsidRDefault="00990B14">
            <w:pPr>
              <w:spacing w:before="20" w:after="20"/>
            </w:pPr>
          </w:p>
        </w:tc>
        <w:tc>
          <w:tcPr>
            <w:tcW w:w="1860" w:type="dxa"/>
            <w:shd w:val="clear" w:color="auto" w:fill="D9E2F3"/>
            <w:vAlign w:val="center"/>
          </w:tcPr>
          <w:p w14:paraId="0C58B235" w14:textId="77777777" w:rsidR="00990B14" w:rsidRDefault="00000000">
            <w:pPr>
              <w:spacing w:before="20" w:after="20"/>
              <w:jc w:val="both"/>
            </w:pPr>
            <w:r>
              <w:rPr>
                <w:sz w:val="18"/>
                <w:szCs w:val="18"/>
              </w:rPr>
              <w:t>Declaración del uso</w:t>
            </w:r>
          </w:p>
        </w:tc>
        <w:tc>
          <w:tcPr>
            <w:tcW w:w="1860" w:type="dxa"/>
            <w:shd w:val="clear" w:color="auto" w:fill="D9E2F3"/>
            <w:vAlign w:val="center"/>
          </w:tcPr>
          <w:p w14:paraId="41B95B78" w14:textId="77777777" w:rsidR="00990B14" w:rsidRDefault="00000000">
            <w:pPr>
              <w:spacing w:before="20" w:after="20"/>
              <w:jc w:val="both"/>
            </w:pPr>
            <w:r>
              <w:rPr>
                <w:sz w:val="18"/>
                <w:szCs w:val="18"/>
              </w:rPr>
              <w:t>No declara las herramientas usadas.</w:t>
            </w:r>
          </w:p>
        </w:tc>
        <w:tc>
          <w:tcPr>
            <w:tcW w:w="2015" w:type="dxa"/>
            <w:shd w:val="clear" w:color="auto" w:fill="D9E2F3"/>
            <w:vAlign w:val="center"/>
          </w:tcPr>
          <w:p w14:paraId="7EF6D79E" w14:textId="77777777" w:rsidR="00990B14" w:rsidRDefault="00000000">
            <w:pPr>
              <w:spacing w:before="20" w:after="20"/>
              <w:jc w:val="both"/>
            </w:pPr>
            <w:r>
              <w:rPr>
                <w:sz w:val="18"/>
                <w:szCs w:val="18"/>
              </w:rPr>
              <w:t>Declara cada herramienta y su propósito.</w:t>
            </w:r>
          </w:p>
        </w:tc>
        <w:tc>
          <w:tcPr>
            <w:tcW w:w="1861" w:type="dxa"/>
            <w:shd w:val="clear" w:color="auto" w:fill="D9E2F3"/>
            <w:vAlign w:val="center"/>
          </w:tcPr>
          <w:p w14:paraId="5EBABE1C" w14:textId="77777777" w:rsidR="00990B14" w:rsidRDefault="00000000">
            <w:pPr>
              <w:spacing w:before="20" w:after="20"/>
              <w:jc w:val="both"/>
            </w:pPr>
            <w:r>
              <w:rPr>
                <w:sz w:val="18"/>
                <w:szCs w:val="18"/>
              </w:rPr>
              <w:t>Explica el aporte y el límite de cada herramienta.</w:t>
            </w:r>
          </w:p>
        </w:tc>
      </w:tr>
      <w:tr w:rsidR="00990B14" w14:paraId="2BF8A72A" w14:textId="77777777">
        <w:trPr>
          <w:cantSplit/>
          <w:jc w:val="center"/>
        </w:trPr>
        <w:tc>
          <w:tcPr>
            <w:tcW w:w="1809" w:type="dxa"/>
            <w:vMerge/>
            <w:shd w:val="clear" w:color="auto" w:fill="4472C4"/>
            <w:vAlign w:val="center"/>
          </w:tcPr>
          <w:p w14:paraId="7AFCB6F6" w14:textId="77777777" w:rsidR="00990B14" w:rsidRDefault="00990B14">
            <w:pPr>
              <w:spacing w:before="20" w:after="20"/>
            </w:pPr>
          </w:p>
        </w:tc>
        <w:tc>
          <w:tcPr>
            <w:tcW w:w="1860" w:type="dxa"/>
            <w:shd w:val="clear" w:color="auto" w:fill="D9E2F3"/>
            <w:vAlign w:val="center"/>
          </w:tcPr>
          <w:p w14:paraId="4C04041C" w14:textId="77777777" w:rsidR="00990B14" w:rsidRDefault="00000000">
            <w:pPr>
              <w:spacing w:before="20" w:after="20"/>
              <w:jc w:val="both"/>
            </w:pPr>
            <w:r>
              <w:rPr>
                <w:sz w:val="18"/>
                <w:szCs w:val="18"/>
              </w:rPr>
              <w:t>Verificación de resultados</w:t>
            </w:r>
          </w:p>
        </w:tc>
        <w:tc>
          <w:tcPr>
            <w:tcW w:w="1860" w:type="dxa"/>
            <w:shd w:val="clear" w:color="auto" w:fill="D9E2F3"/>
            <w:vAlign w:val="center"/>
          </w:tcPr>
          <w:p w14:paraId="511E930B" w14:textId="77777777" w:rsidR="00990B14" w:rsidRDefault="00000000">
            <w:pPr>
              <w:spacing w:before="20" w:after="20"/>
              <w:jc w:val="both"/>
            </w:pPr>
            <w:r>
              <w:rPr>
                <w:sz w:val="18"/>
                <w:szCs w:val="18"/>
              </w:rPr>
              <w:t>Acepta los resultados sin verificarlos.</w:t>
            </w:r>
          </w:p>
        </w:tc>
        <w:tc>
          <w:tcPr>
            <w:tcW w:w="2015" w:type="dxa"/>
            <w:shd w:val="clear" w:color="auto" w:fill="D9E2F3"/>
            <w:vAlign w:val="center"/>
          </w:tcPr>
          <w:p w14:paraId="1CFBE3EA" w14:textId="77777777" w:rsidR="00990B14" w:rsidRDefault="00000000">
            <w:pPr>
              <w:spacing w:before="20" w:after="20"/>
              <w:jc w:val="both"/>
            </w:pPr>
            <w:r>
              <w:rPr>
                <w:sz w:val="18"/>
                <w:szCs w:val="18"/>
              </w:rPr>
              <w:t>Contrasta los resultados con las fuentes originales.</w:t>
            </w:r>
          </w:p>
        </w:tc>
        <w:tc>
          <w:tcPr>
            <w:tcW w:w="1861" w:type="dxa"/>
            <w:shd w:val="clear" w:color="auto" w:fill="D9E2F3"/>
            <w:vAlign w:val="center"/>
          </w:tcPr>
          <w:p w14:paraId="06635676" w14:textId="77777777" w:rsidR="00990B14" w:rsidRDefault="00000000">
            <w:pPr>
              <w:spacing w:before="20" w:after="20"/>
              <w:jc w:val="both"/>
            </w:pPr>
            <w:r>
              <w:rPr>
                <w:sz w:val="18"/>
                <w:szCs w:val="18"/>
              </w:rPr>
              <w:t>Detecta y corrige referencias inexistentes o erróneas.</w:t>
            </w:r>
          </w:p>
        </w:tc>
      </w:tr>
      <w:tr w:rsidR="00990B14" w14:paraId="15C0E8CA" w14:textId="77777777">
        <w:trPr>
          <w:cantSplit/>
          <w:jc w:val="center"/>
        </w:trPr>
        <w:tc>
          <w:tcPr>
            <w:tcW w:w="1809" w:type="dxa"/>
            <w:vMerge/>
            <w:shd w:val="clear" w:color="auto" w:fill="4472C4"/>
            <w:vAlign w:val="center"/>
          </w:tcPr>
          <w:p w14:paraId="7D31B5DE" w14:textId="77777777" w:rsidR="00990B14" w:rsidRDefault="00990B14">
            <w:pPr>
              <w:spacing w:before="20" w:after="20"/>
            </w:pPr>
          </w:p>
        </w:tc>
        <w:tc>
          <w:tcPr>
            <w:tcW w:w="1860" w:type="dxa"/>
            <w:shd w:val="clear" w:color="auto" w:fill="D9E2F3"/>
            <w:vAlign w:val="center"/>
          </w:tcPr>
          <w:p w14:paraId="771B0E04" w14:textId="77777777" w:rsidR="00990B14" w:rsidRDefault="00000000">
            <w:pPr>
              <w:spacing w:before="20" w:after="20"/>
              <w:jc w:val="both"/>
            </w:pPr>
            <w:r>
              <w:rPr>
                <w:sz w:val="18"/>
                <w:szCs w:val="18"/>
              </w:rPr>
              <w:t>Ética y autoría</w:t>
            </w:r>
          </w:p>
        </w:tc>
        <w:tc>
          <w:tcPr>
            <w:tcW w:w="1860" w:type="dxa"/>
            <w:shd w:val="clear" w:color="auto" w:fill="D9E2F3"/>
            <w:vAlign w:val="center"/>
          </w:tcPr>
          <w:p w14:paraId="63F59FC5" w14:textId="77777777" w:rsidR="00990B14" w:rsidRDefault="00000000">
            <w:pPr>
              <w:spacing w:before="20" w:after="20"/>
              <w:jc w:val="both"/>
            </w:pPr>
            <w:r>
              <w:rPr>
                <w:sz w:val="18"/>
                <w:szCs w:val="18"/>
              </w:rPr>
              <w:t>Presenta como propio un texto generado.</w:t>
            </w:r>
          </w:p>
        </w:tc>
        <w:tc>
          <w:tcPr>
            <w:tcW w:w="2015" w:type="dxa"/>
            <w:shd w:val="clear" w:color="auto" w:fill="D9E2F3"/>
            <w:vAlign w:val="center"/>
          </w:tcPr>
          <w:p w14:paraId="60FF2D32" w14:textId="77777777" w:rsidR="00990B14" w:rsidRDefault="00000000">
            <w:pPr>
              <w:spacing w:before="20" w:after="20"/>
              <w:jc w:val="both"/>
            </w:pPr>
            <w:r>
              <w:rPr>
                <w:sz w:val="18"/>
                <w:szCs w:val="18"/>
              </w:rPr>
              <w:t>Respeta la autoría y cita las fuentes.</w:t>
            </w:r>
          </w:p>
        </w:tc>
        <w:tc>
          <w:tcPr>
            <w:tcW w:w="1861" w:type="dxa"/>
            <w:shd w:val="clear" w:color="auto" w:fill="D9E2F3"/>
            <w:vAlign w:val="center"/>
          </w:tcPr>
          <w:p w14:paraId="3875AED5" w14:textId="77777777" w:rsidR="00990B14" w:rsidRDefault="00000000">
            <w:pPr>
              <w:spacing w:before="20" w:after="20"/>
              <w:jc w:val="both"/>
            </w:pPr>
            <w:r>
              <w:rPr>
                <w:sz w:val="18"/>
                <w:szCs w:val="18"/>
              </w:rPr>
              <w:t>Aplica la recomendación de la UNESCO sobre la ética de la inteligencia artificial.</w:t>
            </w:r>
          </w:p>
        </w:tc>
      </w:tr>
      <w:tr w:rsidR="00990B14" w14:paraId="6C65FACB" w14:textId="77777777">
        <w:trPr>
          <w:cantSplit/>
          <w:jc w:val="center"/>
        </w:trPr>
        <w:tc>
          <w:tcPr>
            <w:tcW w:w="1809" w:type="dxa"/>
            <w:vMerge/>
            <w:shd w:val="clear" w:color="auto" w:fill="4472C4"/>
            <w:vAlign w:val="center"/>
          </w:tcPr>
          <w:p w14:paraId="24AF44D5" w14:textId="77777777" w:rsidR="00990B14" w:rsidRDefault="00990B14">
            <w:pPr>
              <w:spacing w:before="20" w:after="20"/>
            </w:pPr>
          </w:p>
        </w:tc>
        <w:tc>
          <w:tcPr>
            <w:tcW w:w="5735" w:type="dxa"/>
            <w:gridSpan w:val="3"/>
            <w:shd w:val="clear" w:color="auto" w:fill="D9E2F3"/>
            <w:vAlign w:val="center"/>
          </w:tcPr>
          <w:p w14:paraId="72F062BD" w14:textId="77777777" w:rsidR="00990B14" w:rsidRDefault="00000000">
            <w:pPr>
              <w:keepNext/>
              <w:spacing w:before="20" w:after="20"/>
              <w:jc w:val="both"/>
            </w:pPr>
            <w:r>
              <w:rPr>
                <w:b/>
                <w:bCs/>
                <w:i/>
                <w:iCs/>
                <w:sz w:val="18"/>
                <w:szCs w:val="18"/>
              </w:rPr>
              <w:t xml:space="preserve">Producto 7: </w:t>
            </w:r>
            <w:r>
              <w:rPr>
                <w:sz w:val="18"/>
                <w:szCs w:val="18"/>
              </w:rPr>
              <w:t>Planteamiento del problema</w:t>
            </w:r>
          </w:p>
        </w:tc>
        <w:tc>
          <w:tcPr>
            <w:tcW w:w="1861" w:type="dxa"/>
            <w:shd w:val="clear" w:color="auto" w:fill="D9E2F3"/>
            <w:vAlign w:val="center"/>
          </w:tcPr>
          <w:p w14:paraId="0B08D1D1" w14:textId="77777777" w:rsidR="00990B14" w:rsidRDefault="00000000">
            <w:pPr>
              <w:spacing w:before="20" w:after="20"/>
              <w:jc w:val="center"/>
            </w:pPr>
            <w:r>
              <w:rPr>
                <w:b/>
                <w:bCs/>
                <w:sz w:val="18"/>
                <w:szCs w:val="18"/>
              </w:rPr>
              <w:t>8%</w:t>
            </w:r>
          </w:p>
        </w:tc>
      </w:tr>
      <w:tr w:rsidR="00990B14" w14:paraId="00942458" w14:textId="77777777">
        <w:trPr>
          <w:cantSplit/>
          <w:jc w:val="center"/>
        </w:trPr>
        <w:tc>
          <w:tcPr>
            <w:tcW w:w="1809" w:type="dxa"/>
            <w:vMerge/>
            <w:shd w:val="clear" w:color="auto" w:fill="4472C4"/>
            <w:vAlign w:val="center"/>
          </w:tcPr>
          <w:p w14:paraId="1F531C9C" w14:textId="77777777" w:rsidR="00990B14" w:rsidRDefault="00990B14">
            <w:pPr>
              <w:spacing w:before="20" w:after="20"/>
            </w:pPr>
          </w:p>
        </w:tc>
        <w:tc>
          <w:tcPr>
            <w:tcW w:w="1860" w:type="dxa"/>
            <w:shd w:val="clear" w:color="auto" w:fill="4472C4"/>
            <w:vAlign w:val="center"/>
          </w:tcPr>
          <w:p w14:paraId="527D3EA6" w14:textId="77777777" w:rsidR="00990B14" w:rsidRDefault="00000000">
            <w:pPr>
              <w:keepNext/>
              <w:spacing w:before="20" w:after="20"/>
              <w:jc w:val="center"/>
            </w:pPr>
            <w:r>
              <w:rPr>
                <w:b/>
                <w:bCs/>
                <w:i/>
                <w:iCs/>
                <w:color w:val="FFFFFF"/>
                <w:sz w:val="18"/>
                <w:szCs w:val="18"/>
              </w:rPr>
              <w:t>Criterio</w:t>
            </w:r>
          </w:p>
        </w:tc>
        <w:tc>
          <w:tcPr>
            <w:tcW w:w="1860" w:type="dxa"/>
            <w:shd w:val="clear" w:color="auto" w:fill="4472C4"/>
            <w:vAlign w:val="center"/>
          </w:tcPr>
          <w:p w14:paraId="29D94611"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0F61B2E6" w14:textId="77777777" w:rsidR="00990B14" w:rsidRDefault="00000000">
            <w:pPr>
              <w:keepNext/>
              <w:spacing w:before="20" w:after="20"/>
              <w:jc w:val="center"/>
            </w:pPr>
            <w:r>
              <w:rPr>
                <w:b/>
                <w:bCs/>
                <w:i/>
                <w:iCs/>
                <w:color w:val="FFFFFF"/>
                <w:sz w:val="18"/>
                <w:szCs w:val="18"/>
              </w:rPr>
              <w:t>Suficiente (51–80)</w:t>
            </w:r>
          </w:p>
        </w:tc>
        <w:tc>
          <w:tcPr>
            <w:tcW w:w="1861" w:type="dxa"/>
            <w:shd w:val="clear" w:color="auto" w:fill="4472C4"/>
            <w:vAlign w:val="center"/>
          </w:tcPr>
          <w:p w14:paraId="3218E84A" w14:textId="77777777" w:rsidR="00990B14" w:rsidRDefault="00000000">
            <w:pPr>
              <w:keepNext/>
              <w:spacing w:before="20" w:after="20"/>
              <w:jc w:val="center"/>
            </w:pPr>
            <w:r>
              <w:rPr>
                <w:b/>
                <w:bCs/>
                <w:i/>
                <w:iCs/>
                <w:color w:val="FFFFFF"/>
                <w:sz w:val="18"/>
                <w:szCs w:val="18"/>
              </w:rPr>
              <w:t>Destacado (81–100)</w:t>
            </w:r>
          </w:p>
        </w:tc>
      </w:tr>
      <w:tr w:rsidR="00990B14" w14:paraId="2D561137" w14:textId="77777777">
        <w:trPr>
          <w:cantSplit/>
          <w:jc w:val="center"/>
        </w:trPr>
        <w:tc>
          <w:tcPr>
            <w:tcW w:w="1809" w:type="dxa"/>
            <w:vMerge/>
            <w:shd w:val="clear" w:color="auto" w:fill="4472C4"/>
            <w:vAlign w:val="center"/>
          </w:tcPr>
          <w:p w14:paraId="4E43060E" w14:textId="77777777" w:rsidR="00990B14" w:rsidRDefault="00990B14">
            <w:pPr>
              <w:spacing w:before="20" w:after="20"/>
            </w:pPr>
          </w:p>
        </w:tc>
        <w:tc>
          <w:tcPr>
            <w:tcW w:w="1860" w:type="dxa"/>
            <w:shd w:val="clear" w:color="auto" w:fill="D9E2F3"/>
            <w:vAlign w:val="center"/>
          </w:tcPr>
          <w:p w14:paraId="7C4C28DD" w14:textId="77777777" w:rsidR="00990B14" w:rsidRDefault="00000000">
            <w:pPr>
              <w:spacing w:before="20" w:after="20"/>
              <w:jc w:val="both"/>
            </w:pPr>
            <w:r>
              <w:rPr>
                <w:sz w:val="18"/>
                <w:szCs w:val="18"/>
              </w:rPr>
              <w:t>Descripción del problema</w:t>
            </w:r>
          </w:p>
        </w:tc>
        <w:tc>
          <w:tcPr>
            <w:tcW w:w="1860" w:type="dxa"/>
            <w:shd w:val="clear" w:color="auto" w:fill="D9E2F3"/>
            <w:vAlign w:val="center"/>
          </w:tcPr>
          <w:p w14:paraId="10C8B387" w14:textId="77777777" w:rsidR="00990B14" w:rsidRDefault="00000000">
            <w:pPr>
              <w:spacing w:before="20" w:after="20"/>
              <w:jc w:val="both"/>
            </w:pPr>
            <w:r>
              <w:rPr>
                <w:sz w:val="18"/>
                <w:szCs w:val="18"/>
              </w:rPr>
              <w:t>El problema es vago o no es investigable.</w:t>
            </w:r>
          </w:p>
        </w:tc>
        <w:tc>
          <w:tcPr>
            <w:tcW w:w="2015" w:type="dxa"/>
            <w:shd w:val="clear" w:color="auto" w:fill="D9E2F3"/>
            <w:vAlign w:val="center"/>
          </w:tcPr>
          <w:p w14:paraId="7E9C04A7" w14:textId="77777777" w:rsidR="00990B14" w:rsidRDefault="00000000">
            <w:pPr>
              <w:spacing w:before="20" w:after="20"/>
              <w:jc w:val="both"/>
            </w:pPr>
            <w:r>
              <w:rPr>
                <w:sz w:val="18"/>
                <w:szCs w:val="18"/>
              </w:rPr>
              <w:t>Describe un problema concreto y delimitado.</w:t>
            </w:r>
          </w:p>
        </w:tc>
        <w:tc>
          <w:tcPr>
            <w:tcW w:w="1861" w:type="dxa"/>
            <w:shd w:val="clear" w:color="auto" w:fill="D9E2F3"/>
            <w:vAlign w:val="center"/>
          </w:tcPr>
          <w:p w14:paraId="426B66DD" w14:textId="77777777" w:rsidR="00990B14" w:rsidRDefault="00000000">
            <w:pPr>
              <w:spacing w:before="20" w:after="20"/>
              <w:jc w:val="both"/>
            </w:pPr>
            <w:r>
              <w:rPr>
                <w:sz w:val="18"/>
                <w:szCs w:val="18"/>
              </w:rPr>
              <w:t>Sustenta el problema con datos o antecedentes.</w:t>
            </w:r>
          </w:p>
        </w:tc>
      </w:tr>
      <w:tr w:rsidR="00990B14" w14:paraId="54D2B83B" w14:textId="77777777">
        <w:trPr>
          <w:cantSplit/>
          <w:jc w:val="center"/>
        </w:trPr>
        <w:tc>
          <w:tcPr>
            <w:tcW w:w="1809" w:type="dxa"/>
            <w:vMerge/>
            <w:shd w:val="clear" w:color="auto" w:fill="4472C4"/>
            <w:vAlign w:val="center"/>
          </w:tcPr>
          <w:p w14:paraId="59DF3828" w14:textId="77777777" w:rsidR="00990B14" w:rsidRDefault="00990B14">
            <w:pPr>
              <w:spacing w:before="20" w:after="20"/>
            </w:pPr>
          </w:p>
        </w:tc>
        <w:tc>
          <w:tcPr>
            <w:tcW w:w="1860" w:type="dxa"/>
            <w:shd w:val="clear" w:color="auto" w:fill="D9E2F3"/>
            <w:vAlign w:val="center"/>
          </w:tcPr>
          <w:p w14:paraId="637A33D1" w14:textId="77777777" w:rsidR="00990B14" w:rsidRDefault="00000000">
            <w:pPr>
              <w:spacing w:before="20" w:after="20"/>
              <w:jc w:val="both"/>
            </w:pPr>
            <w:r>
              <w:rPr>
                <w:sz w:val="18"/>
                <w:szCs w:val="18"/>
              </w:rPr>
              <w:t>Preguntas de investigación</w:t>
            </w:r>
          </w:p>
        </w:tc>
        <w:tc>
          <w:tcPr>
            <w:tcW w:w="1860" w:type="dxa"/>
            <w:shd w:val="clear" w:color="auto" w:fill="D9E2F3"/>
            <w:vAlign w:val="center"/>
          </w:tcPr>
          <w:p w14:paraId="6222B83C" w14:textId="77777777" w:rsidR="00990B14" w:rsidRDefault="00000000">
            <w:pPr>
              <w:spacing w:before="20" w:after="20"/>
              <w:jc w:val="both"/>
            </w:pPr>
            <w:r>
              <w:rPr>
                <w:sz w:val="18"/>
                <w:szCs w:val="18"/>
              </w:rPr>
              <w:t>Las preguntas no derivan del problema.</w:t>
            </w:r>
          </w:p>
        </w:tc>
        <w:tc>
          <w:tcPr>
            <w:tcW w:w="2015" w:type="dxa"/>
            <w:shd w:val="clear" w:color="auto" w:fill="D9E2F3"/>
            <w:vAlign w:val="center"/>
          </w:tcPr>
          <w:p w14:paraId="6902B16F" w14:textId="77777777" w:rsidR="00990B14" w:rsidRDefault="00000000">
            <w:pPr>
              <w:spacing w:before="20" w:after="20"/>
              <w:jc w:val="both"/>
            </w:pPr>
            <w:r>
              <w:rPr>
                <w:sz w:val="18"/>
                <w:szCs w:val="18"/>
              </w:rPr>
              <w:t>Formula preguntas claras derivadas del problema.</w:t>
            </w:r>
          </w:p>
        </w:tc>
        <w:tc>
          <w:tcPr>
            <w:tcW w:w="1861" w:type="dxa"/>
            <w:shd w:val="clear" w:color="auto" w:fill="D9E2F3"/>
            <w:vAlign w:val="center"/>
          </w:tcPr>
          <w:p w14:paraId="275DCEC9" w14:textId="77777777" w:rsidR="00990B14" w:rsidRDefault="00000000">
            <w:pPr>
              <w:spacing w:before="20" w:after="20"/>
              <w:jc w:val="both"/>
            </w:pPr>
            <w:r>
              <w:rPr>
                <w:sz w:val="18"/>
                <w:szCs w:val="18"/>
              </w:rPr>
              <w:t>Jerarquiza las preguntas en general y específicas.</w:t>
            </w:r>
          </w:p>
        </w:tc>
      </w:tr>
      <w:tr w:rsidR="00990B14" w14:paraId="524D4D15" w14:textId="77777777">
        <w:trPr>
          <w:cantSplit/>
          <w:jc w:val="center"/>
        </w:trPr>
        <w:tc>
          <w:tcPr>
            <w:tcW w:w="1809" w:type="dxa"/>
            <w:vMerge/>
            <w:shd w:val="clear" w:color="auto" w:fill="4472C4"/>
            <w:vAlign w:val="center"/>
          </w:tcPr>
          <w:p w14:paraId="32F286A7" w14:textId="77777777" w:rsidR="00990B14" w:rsidRDefault="00990B14">
            <w:pPr>
              <w:spacing w:before="20" w:after="20"/>
            </w:pPr>
          </w:p>
        </w:tc>
        <w:tc>
          <w:tcPr>
            <w:tcW w:w="1860" w:type="dxa"/>
            <w:shd w:val="clear" w:color="auto" w:fill="D9E2F3"/>
            <w:vAlign w:val="center"/>
          </w:tcPr>
          <w:p w14:paraId="1D2478A1" w14:textId="77777777" w:rsidR="00990B14" w:rsidRDefault="00000000">
            <w:pPr>
              <w:spacing w:before="20" w:after="20"/>
              <w:jc w:val="both"/>
            </w:pPr>
            <w:r>
              <w:rPr>
                <w:sz w:val="18"/>
                <w:szCs w:val="18"/>
              </w:rPr>
              <w:t>Justificación y delimitación</w:t>
            </w:r>
          </w:p>
        </w:tc>
        <w:tc>
          <w:tcPr>
            <w:tcW w:w="1860" w:type="dxa"/>
            <w:shd w:val="clear" w:color="auto" w:fill="D9E2F3"/>
            <w:vAlign w:val="center"/>
          </w:tcPr>
          <w:p w14:paraId="1B3488AA" w14:textId="77777777" w:rsidR="00990B14" w:rsidRDefault="00000000">
            <w:pPr>
              <w:spacing w:before="20" w:after="20"/>
              <w:jc w:val="both"/>
            </w:pPr>
            <w:r>
              <w:rPr>
                <w:sz w:val="18"/>
                <w:szCs w:val="18"/>
              </w:rPr>
              <w:t>Omite la justificación o la delimitación.</w:t>
            </w:r>
          </w:p>
        </w:tc>
        <w:tc>
          <w:tcPr>
            <w:tcW w:w="2015" w:type="dxa"/>
            <w:shd w:val="clear" w:color="auto" w:fill="D9E2F3"/>
            <w:vAlign w:val="center"/>
          </w:tcPr>
          <w:p w14:paraId="496BA2DF" w14:textId="77777777" w:rsidR="00990B14" w:rsidRDefault="00000000">
            <w:pPr>
              <w:spacing w:before="20" w:after="20"/>
              <w:jc w:val="both"/>
            </w:pPr>
            <w:r>
              <w:rPr>
                <w:sz w:val="18"/>
                <w:szCs w:val="18"/>
              </w:rPr>
              <w:t>Justifica y delimita el estudio en tiempo, espacio y tema.</w:t>
            </w:r>
          </w:p>
        </w:tc>
        <w:tc>
          <w:tcPr>
            <w:tcW w:w="1861" w:type="dxa"/>
            <w:shd w:val="clear" w:color="auto" w:fill="D9E2F3"/>
            <w:vAlign w:val="center"/>
          </w:tcPr>
          <w:p w14:paraId="415418EF" w14:textId="77777777" w:rsidR="00990B14" w:rsidRDefault="00000000">
            <w:pPr>
              <w:spacing w:before="20" w:after="20"/>
              <w:jc w:val="both"/>
            </w:pPr>
            <w:r>
              <w:rPr>
                <w:sz w:val="18"/>
                <w:szCs w:val="18"/>
              </w:rPr>
              <w:t>Relaciona la justificación con una línea de investigación de la Carrera.</w:t>
            </w:r>
          </w:p>
        </w:tc>
      </w:tr>
      <w:tr w:rsidR="00990B14" w14:paraId="1984D72A" w14:textId="77777777">
        <w:trPr>
          <w:cantSplit/>
          <w:jc w:val="center"/>
        </w:trPr>
        <w:tc>
          <w:tcPr>
            <w:tcW w:w="1809" w:type="dxa"/>
            <w:vMerge/>
            <w:shd w:val="clear" w:color="auto" w:fill="4472C4"/>
            <w:vAlign w:val="center"/>
          </w:tcPr>
          <w:p w14:paraId="7A930AAC" w14:textId="77777777" w:rsidR="00990B14" w:rsidRDefault="00990B14">
            <w:pPr>
              <w:spacing w:before="20" w:after="20"/>
            </w:pPr>
          </w:p>
        </w:tc>
        <w:tc>
          <w:tcPr>
            <w:tcW w:w="5735" w:type="dxa"/>
            <w:gridSpan w:val="3"/>
            <w:shd w:val="clear" w:color="auto" w:fill="D9E2F3"/>
            <w:vAlign w:val="center"/>
          </w:tcPr>
          <w:p w14:paraId="760D65D6" w14:textId="77777777" w:rsidR="00990B14" w:rsidRDefault="00000000">
            <w:pPr>
              <w:keepNext/>
              <w:spacing w:before="20" w:after="20"/>
              <w:jc w:val="both"/>
            </w:pPr>
            <w:r>
              <w:rPr>
                <w:b/>
                <w:bCs/>
                <w:i/>
                <w:iCs/>
                <w:sz w:val="18"/>
                <w:szCs w:val="18"/>
              </w:rPr>
              <w:t xml:space="preserve">Producto 8: </w:t>
            </w:r>
            <w:r>
              <w:rPr>
                <w:sz w:val="18"/>
                <w:szCs w:val="18"/>
              </w:rPr>
              <w:t>Matriz de consistencia</w:t>
            </w:r>
          </w:p>
        </w:tc>
        <w:tc>
          <w:tcPr>
            <w:tcW w:w="1861" w:type="dxa"/>
            <w:shd w:val="clear" w:color="auto" w:fill="D9E2F3"/>
            <w:vAlign w:val="center"/>
          </w:tcPr>
          <w:p w14:paraId="7B08BE98" w14:textId="77777777" w:rsidR="00990B14" w:rsidRDefault="00000000">
            <w:pPr>
              <w:spacing w:before="20" w:after="20"/>
              <w:jc w:val="center"/>
            </w:pPr>
            <w:r>
              <w:rPr>
                <w:b/>
                <w:bCs/>
                <w:sz w:val="18"/>
                <w:szCs w:val="18"/>
              </w:rPr>
              <w:t>5%</w:t>
            </w:r>
          </w:p>
        </w:tc>
      </w:tr>
      <w:tr w:rsidR="00990B14" w14:paraId="22BEAEC8" w14:textId="77777777">
        <w:trPr>
          <w:cantSplit/>
          <w:jc w:val="center"/>
        </w:trPr>
        <w:tc>
          <w:tcPr>
            <w:tcW w:w="1809" w:type="dxa"/>
            <w:vMerge/>
            <w:shd w:val="clear" w:color="auto" w:fill="4472C4"/>
            <w:vAlign w:val="center"/>
          </w:tcPr>
          <w:p w14:paraId="183F292C" w14:textId="77777777" w:rsidR="00990B14" w:rsidRDefault="00990B14">
            <w:pPr>
              <w:spacing w:before="20" w:after="20"/>
            </w:pPr>
          </w:p>
        </w:tc>
        <w:tc>
          <w:tcPr>
            <w:tcW w:w="1860" w:type="dxa"/>
            <w:shd w:val="clear" w:color="auto" w:fill="4472C4"/>
            <w:vAlign w:val="center"/>
          </w:tcPr>
          <w:p w14:paraId="4A1B3854" w14:textId="77777777" w:rsidR="00990B14" w:rsidRDefault="00000000">
            <w:pPr>
              <w:keepNext/>
              <w:spacing w:before="20" w:after="20"/>
              <w:jc w:val="center"/>
            </w:pPr>
            <w:r>
              <w:rPr>
                <w:b/>
                <w:bCs/>
                <w:i/>
                <w:iCs/>
                <w:color w:val="FFFFFF"/>
                <w:sz w:val="18"/>
                <w:szCs w:val="18"/>
              </w:rPr>
              <w:t>Criterio</w:t>
            </w:r>
          </w:p>
        </w:tc>
        <w:tc>
          <w:tcPr>
            <w:tcW w:w="1860" w:type="dxa"/>
            <w:shd w:val="clear" w:color="auto" w:fill="4472C4"/>
            <w:vAlign w:val="center"/>
          </w:tcPr>
          <w:p w14:paraId="114CC2F7"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48E0260B" w14:textId="77777777" w:rsidR="00990B14" w:rsidRDefault="00000000">
            <w:pPr>
              <w:keepNext/>
              <w:spacing w:before="20" w:after="20"/>
              <w:jc w:val="center"/>
            </w:pPr>
            <w:r>
              <w:rPr>
                <w:b/>
                <w:bCs/>
                <w:i/>
                <w:iCs/>
                <w:color w:val="FFFFFF"/>
                <w:sz w:val="18"/>
                <w:szCs w:val="18"/>
              </w:rPr>
              <w:t>Suficiente (51–80)</w:t>
            </w:r>
          </w:p>
        </w:tc>
        <w:tc>
          <w:tcPr>
            <w:tcW w:w="1861" w:type="dxa"/>
            <w:shd w:val="clear" w:color="auto" w:fill="4472C4"/>
            <w:vAlign w:val="center"/>
          </w:tcPr>
          <w:p w14:paraId="5A204332" w14:textId="77777777" w:rsidR="00990B14" w:rsidRDefault="00000000">
            <w:pPr>
              <w:keepNext/>
              <w:spacing w:before="20" w:after="20"/>
              <w:jc w:val="center"/>
            </w:pPr>
            <w:r>
              <w:rPr>
                <w:b/>
                <w:bCs/>
                <w:i/>
                <w:iCs/>
                <w:color w:val="FFFFFF"/>
                <w:sz w:val="18"/>
                <w:szCs w:val="18"/>
              </w:rPr>
              <w:t>Destacado (81–100)</w:t>
            </w:r>
          </w:p>
        </w:tc>
      </w:tr>
      <w:tr w:rsidR="00990B14" w14:paraId="44E9AEE1" w14:textId="77777777">
        <w:trPr>
          <w:cantSplit/>
          <w:jc w:val="center"/>
        </w:trPr>
        <w:tc>
          <w:tcPr>
            <w:tcW w:w="1809" w:type="dxa"/>
            <w:vMerge/>
            <w:shd w:val="clear" w:color="auto" w:fill="4472C4"/>
            <w:vAlign w:val="center"/>
          </w:tcPr>
          <w:p w14:paraId="0843EB6D" w14:textId="77777777" w:rsidR="00990B14" w:rsidRDefault="00990B14">
            <w:pPr>
              <w:spacing w:before="20" w:after="20"/>
            </w:pPr>
          </w:p>
        </w:tc>
        <w:tc>
          <w:tcPr>
            <w:tcW w:w="1860" w:type="dxa"/>
            <w:shd w:val="clear" w:color="auto" w:fill="D9E2F3"/>
            <w:vAlign w:val="center"/>
          </w:tcPr>
          <w:p w14:paraId="30AB73FD" w14:textId="77777777" w:rsidR="00990B14" w:rsidRDefault="00000000">
            <w:pPr>
              <w:spacing w:before="20" w:after="20"/>
              <w:jc w:val="both"/>
            </w:pPr>
            <w:r>
              <w:rPr>
                <w:sz w:val="18"/>
                <w:szCs w:val="18"/>
              </w:rPr>
              <w:t>Redacción de objetivos</w:t>
            </w:r>
          </w:p>
        </w:tc>
        <w:tc>
          <w:tcPr>
            <w:tcW w:w="1860" w:type="dxa"/>
            <w:shd w:val="clear" w:color="auto" w:fill="D9E2F3"/>
            <w:vAlign w:val="center"/>
          </w:tcPr>
          <w:p w14:paraId="3C8D7E03" w14:textId="77777777" w:rsidR="00990B14" w:rsidRDefault="00000000">
            <w:pPr>
              <w:spacing w:before="20" w:after="20"/>
              <w:jc w:val="both"/>
            </w:pPr>
            <w:r>
              <w:rPr>
                <w:sz w:val="18"/>
                <w:szCs w:val="18"/>
              </w:rPr>
              <w:t>Los objetivos no inician con un verbo medible.</w:t>
            </w:r>
          </w:p>
        </w:tc>
        <w:tc>
          <w:tcPr>
            <w:tcW w:w="2015" w:type="dxa"/>
            <w:shd w:val="clear" w:color="auto" w:fill="D9E2F3"/>
            <w:vAlign w:val="center"/>
          </w:tcPr>
          <w:p w14:paraId="1B280F69" w14:textId="77777777" w:rsidR="00990B14" w:rsidRDefault="00000000">
            <w:pPr>
              <w:spacing w:before="20" w:after="20"/>
              <w:jc w:val="both"/>
            </w:pPr>
            <w:r>
              <w:rPr>
                <w:sz w:val="18"/>
                <w:szCs w:val="18"/>
              </w:rPr>
              <w:t>Redacta objetivos claros con verbos medibles.</w:t>
            </w:r>
          </w:p>
        </w:tc>
        <w:tc>
          <w:tcPr>
            <w:tcW w:w="1861" w:type="dxa"/>
            <w:shd w:val="clear" w:color="auto" w:fill="D9E2F3"/>
            <w:vAlign w:val="center"/>
          </w:tcPr>
          <w:p w14:paraId="6AE3EC35" w14:textId="77777777" w:rsidR="00990B14" w:rsidRDefault="00000000">
            <w:pPr>
              <w:spacing w:before="20" w:after="20"/>
              <w:jc w:val="both"/>
            </w:pPr>
            <w:r>
              <w:rPr>
                <w:sz w:val="18"/>
                <w:szCs w:val="18"/>
              </w:rPr>
              <w:t>Ordena los objetivos específicos según el proceso de la investigación.</w:t>
            </w:r>
          </w:p>
        </w:tc>
      </w:tr>
      <w:tr w:rsidR="00990B14" w14:paraId="50B3D16B" w14:textId="77777777">
        <w:trPr>
          <w:cantSplit/>
          <w:jc w:val="center"/>
        </w:trPr>
        <w:tc>
          <w:tcPr>
            <w:tcW w:w="1809" w:type="dxa"/>
            <w:vMerge/>
            <w:shd w:val="clear" w:color="auto" w:fill="4472C4"/>
            <w:vAlign w:val="center"/>
          </w:tcPr>
          <w:p w14:paraId="53E6D0DE" w14:textId="77777777" w:rsidR="00990B14" w:rsidRDefault="00990B14">
            <w:pPr>
              <w:spacing w:before="20" w:after="20"/>
            </w:pPr>
          </w:p>
        </w:tc>
        <w:tc>
          <w:tcPr>
            <w:tcW w:w="1860" w:type="dxa"/>
            <w:shd w:val="clear" w:color="auto" w:fill="D9E2F3"/>
            <w:vAlign w:val="center"/>
          </w:tcPr>
          <w:p w14:paraId="58E7BA66" w14:textId="77777777" w:rsidR="00990B14" w:rsidRDefault="00000000">
            <w:pPr>
              <w:spacing w:before="20" w:after="20"/>
              <w:jc w:val="both"/>
            </w:pPr>
            <w:r>
              <w:rPr>
                <w:sz w:val="18"/>
                <w:szCs w:val="18"/>
              </w:rPr>
              <w:t>Coherencia</w:t>
            </w:r>
          </w:p>
        </w:tc>
        <w:tc>
          <w:tcPr>
            <w:tcW w:w="1860" w:type="dxa"/>
            <w:shd w:val="clear" w:color="auto" w:fill="D9E2F3"/>
            <w:vAlign w:val="center"/>
          </w:tcPr>
          <w:p w14:paraId="4CE6CE85" w14:textId="77777777" w:rsidR="00990B14" w:rsidRDefault="00000000">
            <w:pPr>
              <w:spacing w:before="20" w:after="20"/>
              <w:jc w:val="both"/>
            </w:pPr>
            <w:r>
              <w:rPr>
                <w:sz w:val="18"/>
                <w:szCs w:val="18"/>
              </w:rPr>
              <w:t>Los objetivos no responden a las preguntas.</w:t>
            </w:r>
          </w:p>
        </w:tc>
        <w:tc>
          <w:tcPr>
            <w:tcW w:w="2015" w:type="dxa"/>
            <w:shd w:val="clear" w:color="auto" w:fill="D9E2F3"/>
            <w:vAlign w:val="center"/>
          </w:tcPr>
          <w:p w14:paraId="4D8D9AA2" w14:textId="77777777" w:rsidR="00990B14" w:rsidRDefault="00000000">
            <w:pPr>
              <w:spacing w:before="20" w:after="20"/>
              <w:jc w:val="both"/>
            </w:pPr>
            <w:r>
              <w:rPr>
                <w:sz w:val="18"/>
                <w:szCs w:val="18"/>
              </w:rPr>
              <w:t>Cada objetivo responde a una pregunta de investigación.</w:t>
            </w:r>
          </w:p>
        </w:tc>
        <w:tc>
          <w:tcPr>
            <w:tcW w:w="1861" w:type="dxa"/>
            <w:shd w:val="clear" w:color="auto" w:fill="D9E2F3"/>
            <w:vAlign w:val="center"/>
          </w:tcPr>
          <w:p w14:paraId="4C721C48" w14:textId="77777777" w:rsidR="00990B14" w:rsidRDefault="00000000">
            <w:pPr>
              <w:spacing w:before="20" w:after="20"/>
              <w:jc w:val="both"/>
            </w:pPr>
            <w:r>
              <w:rPr>
                <w:sz w:val="18"/>
                <w:szCs w:val="18"/>
              </w:rPr>
              <w:t>Detecta y corrige las incoherencias de la matriz.</w:t>
            </w:r>
          </w:p>
        </w:tc>
      </w:tr>
      <w:tr w:rsidR="00990B14" w14:paraId="0C66CB16" w14:textId="77777777">
        <w:trPr>
          <w:cantSplit/>
          <w:jc w:val="center"/>
        </w:trPr>
        <w:tc>
          <w:tcPr>
            <w:tcW w:w="1809" w:type="dxa"/>
            <w:vMerge/>
            <w:shd w:val="clear" w:color="auto" w:fill="4472C4"/>
            <w:vAlign w:val="center"/>
          </w:tcPr>
          <w:p w14:paraId="1D75D8DB" w14:textId="77777777" w:rsidR="00990B14" w:rsidRDefault="00990B14">
            <w:pPr>
              <w:spacing w:before="20" w:after="20"/>
            </w:pPr>
          </w:p>
        </w:tc>
        <w:tc>
          <w:tcPr>
            <w:tcW w:w="1860" w:type="dxa"/>
            <w:shd w:val="clear" w:color="auto" w:fill="D9E2F3"/>
            <w:vAlign w:val="center"/>
          </w:tcPr>
          <w:p w14:paraId="4D0CFB03" w14:textId="77777777" w:rsidR="00990B14" w:rsidRDefault="00000000">
            <w:pPr>
              <w:spacing w:before="20" w:after="20"/>
              <w:jc w:val="both"/>
            </w:pPr>
            <w:r>
              <w:rPr>
                <w:sz w:val="18"/>
                <w:szCs w:val="18"/>
              </w:rPr>
              <w:t>Trabajo en equipo</w:t>
            </w:r>
          </w:p>
        </w:tc>
        <w:tc>
          <w:tcPr>
            <w:tcW w:w="1860" w:type="dxa"/>
            <w:shd w:val="clear" w:color="auto" w:fill="D9E2F3"/>
            <w:vAlign w:val="center"/>
          </w:tcPr>
          <w:p w14:paraId="06067770" w14:textId="77777777" w:rsidR="00990B14" w:rsidRDefault="00000000">
            <w:pPr>
              <w:spacing w:before="20" w:after="20"/>
              <w:jc w:val="both"/>
            </w:pPr>
            <w:r>
              <w:rPr>
                <w:sz w:val="18"/>
                <w:szCs w:val="18"/>
              </w:rPr>
              <w:t>La participación de los integrantes es desigual.</w:t>
            </w:r>
          </w:p>
        </w:tc>
        <w:tc>
          <w:tcPr>
            <w:tcW w:w="2015" w:type="dxa"/>
            <w:shd w:val="clear" w:color="auto" w:fill="D9E2F3"/>
            <w:vAlign w:val="center"/>
          </w:tcPr>
          <w:p w14:paraId="4120B2E5" w14:textId="77777777" w:rsidR="00990B14" w:rsidRDefault="00000000">
            <w:pPr>
              <w:spacing w:before="20" w:after="20"/>
              <w:jc w:val="both"/>
            </w:pPr>
            <w:r>
              <w:rPr>
                <w:sz w:val="18"/>
                <w:szCs w:val="18"/>
              </w:rPr>
              <w:t>Todos los integrantes aportan al trabajo.</w:t>
            </w:r>
          </w:p>
        </w:tc>
        <w:tc>
          <w:tcPr>
            <w:tcW w:w="1861" w:type="dxa"/>
            <w:shd w:val="clear" w:color="auto" w:fill="D9E2F3"/>
            <w:vAlign w:val="center"/>
          </w:tcPr>
          <w:p w14:paraId="1E7BBF4E" w14:textId="77777777" w:rsidR="00990B14" w:rsidRDefault="00000000">
            <w:pPr>
              <w:spacing w:before="20" w:after="20"/>
              <w:jc w:val="both"/>
            </w:pPr>
            <w:r>
              <w:rPr>
                <w:sz w:val="18"/>
                <w:szCs w:val="18"/>
              </w:rPr>
              <w:t>El equipo defiende la matriz en la revisión cruzada.</w:t>
            </w:r>
          </w:p>
        </w:tc>
      </w:tr>
      <w:tr w:rsidR="00990B14" w14:paraId="560A428B" w14:textId="77777777">
        <w:trPr>
          <w:cantSplit/>
          <w:jc w:val="center"/>
        </w:trPr>
        <w:tc>
          <w:tcPr>
            <w:tcW w:w="1809" w:type="dxa"/>
            <w:vMerge/>
            <w:shd w:val="clear" w:color="auto" w:fill="4472C4"/>
            <w:vAlign w:val="center"/>
          </w:tcPr>
          <w:p w14:paraId="5E89C3DC" w14:textId="77777777" w:rsidR="00990B14" w:rsidRDefault="00990B14">
            <w:pPr>
              <w:spacing w:before="20" w:after="20"/>
            </w:pPr>
          </w:p>
        </w:tc>
        <w:tc>
          <w:tcPr>
            <w:tcW w:w="5735" w:type="dxa"/>
            <w:gridSpan w:val="3"/>
            <w:shd w:val="clear" w:color="auto" w:fill="D9E2F3"/>
            <w:vAlign w:val="center"/>
          </w:tcPr>
          <w:p w14:paraId="662BC9F4" w14:textId="77777777" w:rsidR="00990B14" w:rsidRDefault="00000000">
            <w:pPr>
              <w:keepNext/>
              <w:spacing w:before="20" w:after="20"/>
              <w:jc w:val="both"/>
            </w:pPr>
            <w:r>
              <w:rPr>
                <w:b/>
                <w:bCs/>
                <w:i/>
                <w:iCs/>
                <w:sz w:val="18"/>
                <w:szCs w:val="18"/>
              </w:rPr>
              <w:t xml:space="preserve">Producto 9: </w:t>
            </w:r>
            <w:r>
              <w:rPr>
                <w:sz w:val="18"/>
                <w:szCs w:val="18"/>
              </w:rPr>
              <w:t>Marco teórico</w:t>
            </w:r>
          </w:p>
        </w:tc>
        <w:tc>
          <w:tcPr>
            <w:tcW w:w="1861" w:type="dxa"/>
            <w:shd w:val="clear" w:color="auto" w:fill="D9E2F3"/>
            <w:vAlign w:val="center"/>
          </w:tcPr>
          <w:p w14:paraId="38EF7939" w14:textId="77777777" w:rsidR="00990B14" w:rsidRDefault="00000000">
            <w:pPr>
              <w:spacing w:before="20" w:after="20"/>
              <w:jc w:val="center"/>
            </w:pPr>
            <w:r>
              <w:rPr>
                <w:b/>
                <w:bCs/>
                <w:sz w:val="18"/>
                <w:szCs w:val="18"/>
              </w:rPr>
              <w:t>8%</w:t>
            </w:r>
          </w:p>
        </w:tc>
      </w:tr>
      <w:tr w:rsidR="00990B14" w14:paraId="7771177F" w14:textId="77777777">
        <w:trPr>
          <w:cantSplit/>
          <w:jc w:val="center"/>
        </w:trPr>
        <w:tc>
          <w:tcPr>
            <w:tcW w:w="1809" w:type="dxa"/>
            <w:vMerge/>
            <w:shd w:val="clear" w:color="auto" w:fill="4472C4"/>
            <w:vAlign w:val="center"/>
          </w:tcPr>
          <w:p w14:paraId="62A7A93C" w14:textId="77777777" w:rsidR="00990B14" w:rsidRDefault="00990B14">
            <w:pPr>
              <w:spacing w:before="20" w:after="20"/>
            </w:pPr>
          </w:p>
        </w:tc>
        <w:tc>
          <w:tcPr>
            <w:tcW w:w="1860" w:type="dxa"/>
            <w:shd w:val="clear" w:color="auto" w:fill="4472C4"/>
            <w:vAlign w:val="center"/>
          </w:tcPr>
          <w:p w14:paraId="55143B5C" w14:textId="77777777" w:rsidR="00990B14" w:rsidRDefault="00000000">
            <w:pPr>
              <w:keepNext/>
              <w:spacing w:before="20" w:after="20"/>
              <w:jc w:val="center"/>
            </w:pPr>
            <w:r>
              <w:rPr>
                <w:b/>
                <w:bCs/>
                <w:i/>
                <w:iCs/>
                <w:color w:val="FFFFFF"/>
                <w:sz w:val="18"/>
                <w:szCs w:val="18"/>
              </w:rPr>
              <w:t>Criterio</w:t>
            </w:r>
          </w:p>
        </w:tc>
        <w:tc>
          <w:tcPr>
            <w:tcW w:w="1860" w:type="dxa"/>
            <w:shd w:val="clear" w:color="auto" w:fill="4472C4"/>
            <w:vAlign w:val="center"/>
          </w:tcPr>
          <w:p w14:paraId="04362D17"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2D6C77B7" w14:textId="77777777" w:rsidR="00990B14" w:rsidRDefault="00000000">
            <w:pPr>
              <w:keepNext/>
              <w:spacing w:before="20" w:after="20"/>
              <w:jc w:val="center"/>
            </w:pPr>
            <w:r>
              <w:rPr>
                <w:b/>
                <w:bCs/>
                <w:i/>
                <w:iCs/>
                <w:color w:val="FFFFFF"/>
                <w:sz w:val="18"/>
                <w:szCs w:val="18"/>
              </w:rPr>
              <w:t>Suficiente (51–80)</w:t>
            </w:r>
          </w:p>
        </w:tc>
        <w:tc>
          <w:tcPr>
            <w:tcW w:w="1861" w:type="dxa"/>
            <w:shd w:val="clear" w:color="auto" w:fill="4472C4"/>
            <w:vAlign w:val="center"/>
          </w:tcPr>
          <w:p w14:paraId="35396F56" w14:textId="77777777" w:rsidR="00990B14" w:rsidRDefault="00000000">
            <w:pPr>
              <w:keepNext/>
              <w:spacing w:before="20" w:after="20"/>
              <w:jc w:val="center"/>
            </w:pPr>
            <w:r>
              <w:rPr>
                <w:b/>
                <w:bCs/>
                <w:i/>
                <w:iCs/>
                <w:color w:val="FFFFFF"/>
                <w:sz w:val="18"/>
                <w:szCs w:val="18"/>
              </w:rPr>
              <w:t>Destacado (81–100)</w:t>
            </w:r>
          </w:p>
        </w:tc>
      </w:tr>
      <w:tr w:rsidR="00990B14" w14:paraId="697ED0F4" w14:textId="77777777">
        <w:trPr>
          <w:cantSplit/>
          <w:jc w:val="center"/>
        </w:trPr>
        <w:tc>
          <w:tcPr>
            <w:tcW w:w="1809" w:type="dxa"/>
            <w:vMerge/>
            <w:shd w:val="clear" w:color="auto" w:fill="4472C4"/>
            <w:vAlign w:val="center"/>
          </w:tcPr>
          <w:p w14:paraId="489F5A7F" w14:textId="77777777" w:rsidR="00990B14" w:rsidRDefault="00990B14">
            <w:pPr>
              <w:spacing w:before="20" w:after="20"/>
            </w:pPr>
          </w:p>
        </w:tc>
        <w:tc>
          <w:tcPr>
            <w:tcW w:w="1860" w:type="dxa"/>
            <w:shd w:val="clear" w:color="auto" w:fill="D9E2F3"/>
            <w:vAlign w:val="center"/>
          </w:tcPr>
          <w:p w14:paraId="245FA19D" w14:textId="77777777" w:rsidR="00990B14" w:rsidRDefault="00000000">
            <w:pPr>
              <w:spacing w:before="20" w:after="20"/>
              <w:jc w:val="both"/>
            </w:pPr>
            <w:r>
              <w:rPr>
                <w:sz w:val="18"/>
                <w:szCs w:val="18"/>
              </w:rPr>
              <w:t>Revisión de literatura</w:t>
            </w:r>
          </w:p>
        </w:tc>
        <w:tc>
          <w:tcPr>
            <w:tcW w:w="1860" w:type="dxa"/>
            <w:shd w:val="clear" w:color="auto" w:fill="D9E2F3"/>
            <w:vAlign w:val="center"/>
          </w:tcPr>
          <w:p w14:paraId="03C7D7F5" w14:textId="77777777" w:rsidR="00990B14" w:rsidRDefault="00000000">
            <w:pPr>
              <w:spacing w:before="20" w:after="20"/>
              <w:jc w:val="both"/>
            </w:pPr>
            <w:r>
              <w:rPr>
                <w:sz w:val="18"/>
                <w:szCs w:val="18"/>
              </w:rPr>
              <w:t>Usa pocas fuentes o fuentes poco pertinentes.</w:t>
            </w:r>
          </w:p>
        </w:tc>
        <w:tc>
          <w:tcPr>
            <w:tcW w:w="2015" w:type="dxa"/>
            <w:shd w:val="clear" w:color="auto" w:fill="D9E2F3"/>
            <w:vAlign w:val="center"/>
          </w:tcPr>
          <w:p w14:paraId="24B49644" w14:textId="77777777" w:rsidR="00990B14" w:rsidRDefault="00000000">
            <w:pPr>
              <w:spacing w:before="20" w:after="20"/>
              <w:jc w:val="both"/>
            </w:pPr>
            <w:r>
              <w:rPr>
                <w:sz w:val="18"/>
                <w:szCs w:val="18"/>
              </w:rPr>
              <w:t>Revisa fuentes pertinentes y actuales.</w:t>
            </w:r>
          </w:p>
        </w:tc>
        <w:tc>
          <w:tcPr>
            <w:tcW w:w="1861" w:type="dxa"/>
            <w:shd w:val="clear" w:color="auto" w:fill="D9E2F3"/>
            <w:vAlign w:val="center"/>
          </w:tcPr>
          <w:p w14:paraId="3EF57463" w14:textId="77777777" w:rsidR="00990B14" w:rsidRDefault="00000000">
            <w:pPr>
              <w:spacing w:before="20" w:after="20"/>
              <w:jc w:val="both"/>
            </w:pPr>
            <w:r>
              <w:rPr>
                <w:sz w:val="18"/>
                <w:szCs w:val="18"/>
              </w:rPr>
              <w:t>Sintetiza y contrasta los aportes de los autores.</w:t>
            </w:r>
          </w:p>
        </w:tc>
      </w:tr>
      <w:tr w:rsidR="00990B14" w14:paraId="4ECB656D" w14:textId="77777777">
        <w:trPr>
          <w:cantSplit/>
          <w:jc w:val="center"/>
        </w:trPr>
        <w:tc>
          <w:tcPr>
            <w:tcW w:w="1809" w:type="dxa"/>
            <w:vMerge/>
            <w:shd w:val="clear" w:color="auto" w:fill="4472C4"/>
            <w:vAlign w:val="center"/>
          </w:tcPr>
          <w:p w14:paraId="41231C6C" w14:textId="77777777" w:rsidR="00990B14" w:rsidRDefault="00990B14">
            <w:pPr>
              <w:spacing w:before="20" w:after="20"/>
            </w:pPr>
          </w:p>
        </w:tc>
        <w:tc>
          <w:tcPr>
            <w:tcW w:w="1860" w:type="dxa"/>
            <w:shd w:val="clear" w:color="auto" w:fill="D9E2F3"/>
            <w:vAlign w:val="center"/>
          </w:tcPr>
          <w:p w14:paraId="7B0637C4" w14:textId="77777777" w:rsidR="00990B14" w:rsidRDefault="00000000">
            <w:pPr>
              <w:spacing w:before="20" w:after="20"/>
              <w:jc w:val="both"/>
            </w:pPr>
            <w:r>
              <w:rPr>
                <w:sz w:val="18"/>
                <w:szCs w:val="18"/>
              </w:rPr>
              <w:t>Marco normativo y conceptual</w:t>
            </w:r>
          </w:p>
        </w:tc>
        <w:tc>
          <w:tcPr>
            <w:tcW w:w="1860" w:type="dxa"/>
            <w:shd w:val="clear" w:color="auto" w:fill="D9E2F3"/>
            <w:vAlign w:val="center"/>
          </w:tcPr>
          <w:p w14:paraId="389666EB" w14:textId="77777777" w:rsidR="00990B14" w:rsidRDefault="00000000">
            <w:pPr>
              <w:spacing w:before="20" w:after="20"/>
              <w:jc w:val="both"/>
            </w:pPr>
            <w:r>
              <w:rPr>
                <w:sz w:val="18"/>
                <w:szCs w:val="18"/>
              </w:rPr>
              <w:t>Omite el marco normativo aplicable.</w:t>
            </w:r>
          </w:p>
        </w:tc>
        <w:tc>
          <w:tcPr>
            <w:tcW w:w="2015" w:type="dxa"/>
            <w:shd w:val="clear" w:color="auto" w:fill="D9E2F3"/>
            <w:vAlign w:val="center"/>
          </w:tcPr>
          <w:p w14:paraId="7CF72401" w14:textId="77777777" w:rsidR="00990B14" w:rsidRDefault="00000000">
            <w:pPr>
              <w:spacing w:before="20" w:after="20"/>
              <w:jc w:val="both"/>
            </w:pPr>
            <w:r>
              <w:rPr>
                <w:sz w:val="18"/>
                <w:szCs w:val="18"/>
              </w:rPr>
              <w:t>Incluye el marco normativo y conceptual del tema.</w:t>
            </w:r>
          </w:p>
        </w:tc>
        <w:tc>
          <w:tcPr>
            <w:tcW w:w="1861" w:type="dxa"/>
            <w:shd w:val="clear" w:color="auto" w:fill="D9E2F3"/>
            <w:vAlign w:val="center"/>
          </w:tcPr>
          <w:p w14:paraId="302D2403" w14:textId="77777777" w:rsidR="00990B14" w:rsidRDefault="00000000">
            <w:pPr>
              <w:spacing w:before="20" w:after="20"/>
              <w:jc w:val="both"/>
            </w:pPr>
            <w:r>
              <w:rPr>
                <w:sz w:val="18"/>
                <w:szCs w:val="18"/>
              </w:rPr>
              <w:t>Relaciona la norma con el problema planteado.</w:t>
            </w:r>
          </w:p>
        </w:tc>
      </w:tr>
      <w:tr w:rsidR="00990B14" w14:paraId="7C4038F4" w14:textId="77777777">
        <w:trPr>
          <w:cantSplit/>
          <w:jc w:val="center"/>
        </w:trPr>
        <w:tc>
          <w:tcPr>
            <w:tcW w:w="1809" w:type="dxa"/>
            <w:vMerge/>
            <w:shd w:val="clear" w:color="auto" w:fill="4472C4"/>
            <w:vAlign w:val="center"/>
          </w:tcPr>
          <w:p w14:paraId="6BFED45F" w14:textId="77777777" w:rsidR="00990B14" w:rsidRDefault="00990B14">
            <w:pPr>
              <w:spacing w:before="20" w:after="20"/>
            </w:pPr>
          </w:p>
        </w:tc>
        <w:tc>
          <w:tcPr>
            <w:tcW w:w="1860" w:type="dxa"/>
            <w:shd w:val="clear" w:color="auto" w:fill="D9E2F3"/>
            <w:vAlign w:val="center"/>
          </w:tcPr>
          <w:p w14:paraId="2A262F2F" w14:textId="77777777" w:rsidR="00990B14" w:rsidRDefault="00000000">
            <w:pPr>
              <w:spacing w:before="20" w:after="20"/>
              <w:jc w:val="both"/>
            </w:pPr>
            <w:r>
              <w:rPr>
                <w:sz w:val="18"/>
                <w:szCs w:val="18"/>
              </w:rPr>
              <w:t>Citación</w:t>
            </w:r>
          </w:p>
        </w:tc>
        <w:tc>
          <w:tcPr>
            <w:tcW w:w="1860" w:type="dxa"/>
            <w:shd w:val="clear" w:color="auto" w:fill="D9E2F3"/>
            <w:vAlign w:val="center"/>
          </w:tcPr>
          <w:p w14:paraId="15ECDC7E" w14:textId="77777777" w:rsidR="00990B14" w:rsidRDefault="00000000">
            <w:pPr>
              <w:spacing w:before="20" w:after="20"/>
              <w:jc w:val="both"/>
            </w:pPr>
            <w:r>
              <w:rPr>
                <w:sz w:val="18"/>
                <w:szCs w:val="18"/>
              </w:rPr>
              <w:t>Presenta ideas ajenas sin cita.</w:t>
            </w:r>
          </w:p>
        </w:tc>
        <w:tc>
          <w:tcPr>
            <w:tcW w:w="2015" w:type="dxa"/>
            <w:shd w:val="clear" w:color="auto" w:fill="D9E2F3"/>
            <w:vAlign w:val="center"/>
          </w:tcPr>
          <w:p w14:paraId="3AD38D03" w14:textId="77777777" w:rsidR="00990B14" w:rsidRDefault="00000000">
            <w:pPr>
              <w:spacing w:before="20" w:after="20"/>
              <w:jc w:val="both"/>
            </w:pPr>
            <w:r>
              <w:rPr>
                <w:sz w:val="18"/>
                <w:szCs w:val="18"/>
              </w:rPr>
              <w:t>Cita correctamente las fuentes.</w:t>
            </w:r>
          </w:p>
        </w:tc>
        <w:tc>
          <w:tcPr>
            <w:tcW w:w="1861" w:type="dxa"/>
            <w:shd w:val="clear" w:color="auto" w:fill="D9E2F3"/>
            <w:vAlign w:val="center"/>
          </w:tcPr>
          <w:p w14:paraId="60D5919E" w14:textId="77777777" w:rsidR="00990B14" w:rsidRDefault="00000000">
            <w:pPr>
              <w:spacing w:before="20" w:after="20"/>
              <w:jc w:val="both"/>
            </w:pPr>
            <w:r>
              <w:rPr>
                <w:sz w:val="18"/>
                <w:szCs w:val="18"/>
              </w:rPr>
              <w:t>Integra las citas con redacción propia.</w:t>
            </w:r>
          </w:p>
        </w:tc>
      </w:tr>
      <w:tr w:rsidR="00990B14" w14:paraId="53BEE9A3" w14:textId="77777777">
        <w:trPr>
          <w:cantSplit/>
          <w:jc w:val="center"/>
        </w:trPr>
        <w:tc>
          <w:tcPr>
            <w:tcW w:w="1809" w:type="dxa"/>
            <w:vMerge/>
            <w:shd w:val="clear" w:color="auto" w:fill="4472C4"/>
            <w:vAlign w:val="center"/>
          </w:tcPr>
          <w:p w14:paraId="46D5F1AF" w14:textId="77777777" w:rsidR="00990B14" w:rsidRDefault="00990B14">
            <w:pPr>
              <w:spacing w:before="20" w:after="20"/>
            </w:pPr>
          </w:p>
        </w:tc>
        <w:tc>
          <w:tcPr>
            <w:tcW w:w="5735" w:type="dxa"/>
            <w:gridSpan w:val="3"/>
            <w:shd w:val="clear" w:color="auto" w:fill="D9E2F3"/>
            <w:vAlign w:val="center"/>
          </w:tcPr>
          <w:p w14:paraId="18A5A8F5" w14:textId="77777777" w:rsidR="00990B14" w:rsidRDefault="00000000">
            <w:pPr>
              <w:keepNext/>
              <w:spacing w:before="20" w:after="20"/>
              <w:jc w:val="both"/>
            </w:pPr>
            <w:r>
              <w:rPr>
                <w:b/>
                <w:bCs/>
                <w:i/>
                <w:iCs/>
                <w:sz w:val="18"/>
                <w:szCs w:val="18"/>
              </w:rPr>
              <w:t xml:space="preserve">Producto 10: </w:t>
            </w:r>
            <w:r>
              <w:rPr>
                <w:sz w:val="18"/>
                <w:szCs w:val="18"/>
              </w:rPr>
              <w:t>Cuadro de clasificación de tipos de estudios</w:t>
            </w:r>
          </w:p>
        </w:tc>
        <w:tc>
          <w:tcPr>
            <w:tcW w:w="1861" w:type="dxa"/>
            <w:shd w:val="clear" w:color="auto" w:fill="D9E2F3"/>
            <w:vAlign w:val="center"/>
          </w:tcPr>
          <w:p w14:paraId="264F8570" w14:textId="77777777" w:rsidR="00990B14" w:rsidRDefault="00000000">
            <w:pPr>
              <w:spacing w:before="20" w:after="20"/>
              <w:jc w:val="center"/>
            </w:pPr>
            <w:r>
              <w:rPr>
                <w:b/>
                <w:bCs/>
                <w:sz w:val="18"/>
                <w:szCs w:val="18"/>
              </w:rPr>
              <w:t>5%</w:t>
            </w:r>
          </w:p>
        </w:tc>
      </w:tr>
      <w:tr w:rsidR="00990B14" w14:paraId="21C679AE" w14:textId="77777777">
        <w:trPr>
          <w:cantSplit/>
          <w:jc w:val="center"/>
        </w:trPr>
        <w:tc>
          <w:tcPr>
            <w:tcW w:w="1809" w:type="dxa"/>
            <w:vMerge/>
            <w:shd w:val="clear" w:color="auto" w:fill="4472C4"/>
            <w:vAlign w:val="center"/>
          </w:tcPr>
          <w:p w14:paraId="5E15E4C9" w14:textId="77777777" w:rsidR="00990B14" w:rsidRDefault="00990B14">
            <w:pPr>
              <w:spacing w:before="20" w:after="20"/>
            </w:pPr>
          </w:p>
        </w:tc>
        <w:tc>
          <w:tcPr>
            <w:tcW w:w="1860" w:type="dxa"/>
            <w:shd w:val="clear" w:color="auto" w:fill="4472C4"/>
            <w:vAlign w:val="center"/>
          </w:tcPr>
          <w:p w14:paraId="08F6D34E" w14:textId="77777777" w:rsidR="00990B14" w:rsidRDefault="00000000">
            <w:pPr>
              <w:keepNext/>
              <w:spacing w:before="20" w:after="20"/>
              <w:jc w:val="center"/>
            </w:pPr>
            <w:r>
              <w:rPr>
                <w:b/>
                <w:bCs/>
                <w:i/>
                <w:iCs/>
                <w:color w:val="FFFFFF"/>
                <w:sz w:val="18"/>
                <w:szCs w:val="18"/>
              </w:rPr>
              <w:t>Criterio</w:t>
            </w:r>
          </w:p>
        </w:tc>
        <w:tc>
          <w:tcPr>
            <w:tcW w:w="1860" w:type="dxa"/>
            <w:shd w:val="clear" w:color="auto" w:fill="4472C4"/>
            <w:vAlign w:val="center"/>
          </w:tcPr>
          <w:p w14:paraId="00151A7A"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44A56435" w14:textId="77777777" w:rsidR="00990B14" w:rsidRDefault="00000000">
            <w:pPr>
              <w:keepNext/>
              <w:spacing w:before="20" w:after="20"/>
              <w:jc w:val="center"/>
            </w:pPr>
            <w:r>
              <w:rPr>
                <w:b/>
                <w:bCs/>
                <w:i/>
                <w:iCs/>
                <w:color w:val="FFFFFF"/>
                <w:sz w:val="18"/>
                <w:szCs w:val="18"/>
              </w:rPr>
              <w:t>Suficiente (51–80)</w:t>
            </w:r>
          </w:p>
        </w:tc>
        <w:tc>
          <w:tcPr>
            <w:tcW w:w="1861" w:type="dxa"/>
            <w:shd w:val="clear" w:color="auto" w:fill="4472C4"/>
            <w:vAlign w:val="center"/>
          </w:tcPr>
          <w:p w14:paraId="18020D57" w14:textId="77777777" w:rsidR="00990B14" w:rsidRDefault="00000000">
            <w:pPr>
              <w:keepNext/>
              <w:spacing w:before="20" w:after="20"/>
              <w:jc w:val="center"/>
            </w:pPr>
            <w:r>
              <w:rPr>
                <w:b/>
                <w:bCs/>
                <w:i/>
                <w:iCs/>
                <w:color w:val="FFFFFF"/>
                <w:sz w:val="18"/>
                <w:szCs w:val="18"/>
              </w:rPr>
              <w:t>Destacado (81–100)</w:t>
            </w:r>
          </w:p>
        </w:tc>
      </w:tr>
      <w:tr w:rsidR="00990B14" w14:paraId="60F58794" w14:textId="77777777">
        <w:trPr>
          <w:cantSplit/>
          <w:jc w:val="center"/>
        </w:trPr>
        <w:tc>
          <w:tcPr>
            <w:tcW w:w="1809" w:type="dxa"/>
            <w:vMerge/>
            <w:shd w:val="clear" w:color="auto" w:fill="4472C4"/>
            <w:vAlign w:val="center"/>
          </w:tcPr>
          <w:p w14:paraId="5636CF18" w14:textId="77777777" w:rsidR="00990B14" w:rsidRDefault="00990B14">
            <w:pPr>
              <w:spacing w:before="20" w:after="20"/>
            </w:pPr>
          </w:p>
        </w:tc>
        <w:tc>
          <w:tcPr>
            <w:tcW w:w="1860" w:type="dxa"/>
            <w:shd w:val="clear" w:color="auto" w:fill="D9E2F3"/>
            <w:vAlign w:val="center"/>
          </w:tcPr>
          <w:p w14:paraId="0FB39F1E" w14:textId="77777777" w:rsidR="00990B14" w:rsidRDefault="00000000">
            <w:pPr>
              <w:spacing w:before="20" w:after="20"/>
              <w:jc w:val="both"/>
            </w:pPr>
            <w:r>
              <w:rPr>
                <w:sz w:val="18"/>
                <w:szCs w:val="18"/>
              </w:rPr>
              <w:t>Clasificación</w:t>
            </w:r>
          </w:p>
        </w:tc>
        <w:tc>
          <w:tcPr>
            <w:tcW w:w="1860" w:type="dxa"/>
            <w:shd w:val="clear" w:color="auto" w:fill="D9E2F3"/>
            <w:vAlign w:val="center"/>
          </w:tcPr>
          <w:p w14:paraId="78EBFBBD" w14:textId="77777777" w:rsidR="00990B14" w:rsidRDefault="00000000">
            <w:pPr>
              <w:spacing w:before="20" w:after="20"/>
              <w:jc w:val="both"/>
            </w:pPr>
            <w:r>
              <w:rPr>
                <w:sz w:val="18"/>
                <w:szCs w:val="18"/>
              </w:rPr>
              <w:t>Clasifica erróneamente los estudios.</w:t>
            </w:r>
          </w:p>
        </w:tc>
        <w:tc>
          <w:tcPr>
            <w:tcW w:w="2015" w:type="dxa"/>
            <w:shd w:val="clear" w:color="auto" w:fill="D9E2F3"/>
            <w:vAlign w:val="center"/>
          </w:tcPr>
          <w:p w14:paraId="10258A8F" w14:textId="77777777" w:rsidR="00990B14" w:rsidRDefault="00000000">
            <w:pPr>
              <w:spacing w:before="20" w:after="20"/>
              <w:jc w:val="both"/>
            </w:pPr>
            <w:r>
              <w:rPr>
                <w:sz w:val="18"/>
                <w:szCs w:val="18"/>
              </w:rPr>
              <w:t>Clasifica correctamente cada estudio.</w:t>
            </w:r>
          </w:p>
        </w:tc>
        <w:tc>
          <w:tcPr>
            <w:tcW w:w="1861" w:type="dxa"/>
            <w:shd w:val="clear" w:color="auto" w:fill="D9E2F3"/>
            <w:vAlign w:val="center"/>
          </w:tcPr>
          <w:p w14:paraId="0B413E09" w14:textId="77777777" w:rsidR="00990B14" w:rsidRDefault="00000000">
            <w:pPr>
              <w:spacing w:before="20" w:after="20"/>
              <w:jc w:val="both"/>
            </w:pPr>
            <w:r>
              <w:rPr>
                <w:sz w:val="18"/>
                <w:szCs w:val="18"/>
              </w:rPr>
              <w:t>Identifica los estudios que combinan más de un alcance.</w:t>
            </w:r>
          </w:p>
        </w:tc>
      </w:tr>
      <w:tr w:rsidR="00990B14" w14:paraId="7930B5E1" w14:textId="77777777">
        <w:trPr>
          <w:cantSplit/>
          <w:jc w:val="center"/>
        </w:trPr>
        <w:tc>
          <w:tcPr>
            <w:tcW w:w="1809" w:type="dxa"/>
            <w:vMerge/>
            <w:shd w:val="clear" w:color="auto" w:fill="4472C4"/>
            <w:vAlign w:val="center"/>
          </w:tcPr>
          <w:p w14:paraId="465F2E54" w14:textId="77777777" w:rsidR="00990B14" w:rsidRDefault="00990B14">
            <w:pPr>
              <w:spacing w:before="20" w:after="20"/>
            </w:pPr>
          </w:p>
        </w:tc>
        <w:tc>
          <w:tcPr>
            <w:tcW w:w="1860" w:type="dxa"/>
            <w:shd w:val="clear" w:color="auto" w:fill="D9E2F3"/>
            <w:vAlign w:val="center"/>
          </w:tcPr>
          <w:p w14:paraId="4C812621" w14:textId="77777777" w:rsidR="00990B14" w:rsidRDefault="00000000">
            <w:pPr>
              <w:spacing w:before="20" w:after="20"/>
              <w:jc w:val="both"/>
            </w:pPr>
            <w:r>
              <w:rPr>
                <w:sz w:val="18"/>
                <w:szCs w:val="18"/>
              </w:rPr>
              <w:t>Justificación</w:t>
            </w:r>
          </w:p>
        </w:tc>
        <w:tc>
          <w:tcPr>
            <w:tcW w:w="1860" w:type="dxa"/>
            <w:shd w:val="clear" w:color="auto" w:fill="D9E2F3"/>
            <w:vAlign w:val="center"/>
          </w:tcPr>
          <w:p w14:paraId="11A0A31F" w14:textId="77777777" w:rsidR="00990B14" w:rsidRDefault="00000000">
            <w:pPr>
              <w:spacing w:before="20" w:after="20"/>
              <w:jc w:val="both"/>
            </w:pPr>
            <w:r>
              <w:rPr>
                <w:sz w:val="18"/>
                <w:szCs w:val="18"/>
              </w:rPr>
              <w:t>No justifica la clasificación.</w:t>
            </w:r>
          </w:p>
        </w:tc>
        <w:tc>
          <w:tcPr>
            <w:tcW w:w="2015" w:type="dxa"/>
            <w:shd w:val="clear" w:color="auto" w:fill="D9E2F3"/>
            <w:vAlign w:val="center"/>
          </w:tcPr>
          <w:p w14:paraId="5A9E9BA6" w14:textId="77777777" w:rsidR="00990B14" w:rsidRDefault="00000000">
            <w:pPr>
              <w:spacing w:before="20" w:after="20"/>
              <w:jc w:val="both"/>
            </w:pPr>
            <w:r>
              <w:rPr>
                <w:sz w:val="18"/>
                <w:szCs w:val="18"/>
              </w:rPr>
              <w:t>Justifica la clasificación con el alcance del estudio.</w:t>
            </w:r>
          </w:p>
        </w:tc>
        <w:tc>
          <w:tcPr>
            <w:tcW w:w="1861" w:type="dxa"/>
            <w:shd w:val="clear" w:color="auto" w:fill="D9E2F3"/>
            <w:vAlign w:val="center"/>
          </w:tcPr>
          <w:p w14:paraId="11C622C6" w14:textId="77777777" w:rsidR="00990B14" w:rsidRDefault="00000000">
            <w:pPr>
              <w:spacing w:before="20" w:after="20"/>
              <w:jc w:val="both"/>
            </w:pPr>
            <w:r>
              <w:rPr>
                <w:sz w:val="18"/>
                <w:szCs w:val="18"/>
              </w:rPr>
              <w:t>Relaciona el tipo de estudio con su hipótesis.</w:t>
            </w:r>
          </w:p>
        </w:tc>
      </w:tr>
      <w:tr w:rsidR="00990B14" w14:paraId="39133383" w14:textId="77777777">
        <w:trPr>
          <w:cantSplit/>
          <w:jc w:val="center"/>
        </w:trPr>
        <w:tc>
          <w:tcPr>
            <w:tcW w:w="1809" w:type="dxa"/>
            <w:vMerge/>
            <w:shd w:val="clear" w:color="auto" w:fill="4472C4"/>
            <w:vAlign w:val="center"/>
          </w:tcPr>
          <w:p w14:paraId="5CBE8288" w14:textId="77777777" w:rsidR="00990B14" w:rsidRDefault="00990B14">
            <w:pPr>
              <w:spacing w:before="20" w:after="20"/>
            </w:pPr>
          </w:p>
        </w:tc>
        <w:tc>
          <w:tcPr>
            <w:tcW w:w="1860" w:type="dxa"/>
            <w:shd w:val="clear" w:color="auto" w:fill="D9E2F3"/>
            <w:vAlign w:val="center"/>
          </w:tcPr>
          <w:p w14:paraId="13A276BF" w14:textId="77777777" w:rsidR="00990B14" w:rsidRDefault="00000000">
            <w:pPr>
              <w:spacing w:before="20" w:after="20"/>
              <w:jc w:val="both"/>
            </w:pPr>
            <w:r>
              <w:rPr>
                <w:sz w:val="18"/>
                <w:szCs w:val="18"/>
              </w:rPr>
              <w:t>Trabajo en equipo</w:t>
            </w:r>
          </w:p>
        </w:tc>
        <w:tc>
          <w:tcPr>
            <w:tcW w:w="1860" w:type="dxa"/>
            <w:shd w:val="clear" w:color="auto" w:fill="D9E2F3"/>
            <w:vAlign w:val="center"/>
          </w:tcPr>
          <w:p w14:paraId="5AB240F9" w14:textId="77777777" w:rsidR="00990B14" w:rsidRDefault="00000000">
            <w:pPr>
              <w:spacing w:before="20" w:after="20"/>
              <w:jc w:val="both"/>
            </w:pPr>
            <w:r>
              <w:rPr>
                <w:sz w:val="18"/>
                <w:szCs w:val="18"/>
              </w:rPr>
              <w:t>La participación de los integrantes es desigual.</w:t>
            </w:r>
          </w:p>
        </w:tc>
        <w:tc>
          <w:tcPr>
            <w:tcW w:w="2015" w:type="dxa"/>
            <w:shd w:val="clear" w:color="auto" w:fill="D9E2F3"/>
            <w:vAlign w:val="center"/>
          </w:tcPr>
          <w:p w14:paraId="03736428" w14:textId="77777777" w:rsidR="00990B14" w:rsidRDefault="00000000">
            <w:pPr>
              <w:spacing w:before="20" w:after="20"/>
              <w:jc w:val="both"/>
            </w:pPr>
            <w:r>
              <w:rPr>
                <w:sz w:val="18"/>
                <w:szCs w:val="18"/>
              </w:rPr>
              <w:t>Todos los integrantes aportan al trabajo.</w:t>
            </w:r>
          </w:p>
        </w:tc>
        <w:tc>
          <w:tcPr>
            <w:tcW w:w="1861" w:type="dxa"/>
            <w:shd w:val="clear" w:color="auto" w:fill="D9E2F3"/>
            <w:vAlign w:val="center"/>
          </w:tcPr>
          <w:p w14:paraId="7CD601E2" w14:textId="77777777" w:rsidR="00990B14" w:rsidRDefault="00000000">
            <w:pPr>
              <w:spacing w:before="20" w:after="20"/>
              <w:jc w:val="both"/>
            </w:pPr>
            <w:r>
              <w:rPr>
                <w:sz w:val="18"/>
                <w:szCs w:val="18"/>
              </w:rPr>
              <w:t>El equipo expone sus hallazgos ante el curso.</w:t>
            </w:r>
          </w:p>
        </w:tc>
      </w:tr>
      <w:tr w:rsidR="00990B14" w14:paraId="2898ED35" w14:textId="77777777">
        <w:trPr>
          <w:cantSplit/>
          <w:jc w:val="center"/>
        </w:trPr>
        <w:tc>
          <w:tcPr>
            <w:tcW w:w="1809" w:type="dxa"/>
            <w:vMerge/>
            <w:shd w:val="clear" w:color="auto" w:fill="4472C4"/>
            <w:vAlign w:val="center"/>
          </w:tcPr>
          <w:p w14:paraId="30ABFE89" w14:textId="77777777" w:rsidR="00990B14" w:rsidRDefault="00990B14">
            <w:pPr>
              <w:spacing w:before="20" w:after="20"/>
            </w:pPr>
          </w:p>
        </w:tc>
        <w:tc>
          <w:tcPr>
            <w:tcW w:w="5735" w:type="dxa"/>
            <w:gridSpan w:val="3"/>
            <w:shd w:val="clear" w:color="auto" w:fill="D9E2F3"/>
            <w:vAlign w:val="center"/>
          </w:tcPr>
          <w:p w14:paraId="51508E5B" w14:textId="77777777" w:rsidR="00990B14" w:rsidRDefault="00000000">
            <w:pPr>
              <w:keepNext/>
              <w:spacing w:before="20" w:after="20"/>
              <w:jc w:val="both"/>
            </w:pPr>
            <w:r>
              <w:rPr>
                <w:b/>
                <w:bCs/>
                <w:i/>
                <w:iCs/>
                <w:sz w:val="18"/>
                <w:szCs w:val="18"/>
              </w:rPr>
              <w:t xml:space="preserve">Producto 11: </w:t>
            </w:r>
            <w:r>
              <w:rPr>
                <w:sz w:val="18"/>
                <w:szCs w:val="18"/>
              </w:rPr>
              <w:t>Hipótesis de investigación (si corresponde)</w:t>
            </w:r>
          </w:p>
        </w:tc>
        <w:tc>
          <w:tcPr>
            <w:tcW w:w="1861" w:type="dxa"/>
            <w:shd w:val="clear" w:color="auto" w:fill="D9E2F3"/>
            <w:vAlign w:val="center"/>
          </w:tcPr>
          <w:p w14:paraId="1A7228EE" w14:textId="77777777" w:rsidR="00990B14" w:rsidRDefault="00000000">
            <w:pPr>
              <w:spacing w:before="20" w:after="20"/>
              <w:jc w:val="center"/>
            </w:pPr>
            <w:r>
              <w:rPr>
                <w:b/>
                <w:bCs/>
                <w:sz w:val="18"/>
                <w:szCs w:val="18"/>
              </w:rPr>
              <w:t>8%</w:t>
            </w:r>
          </w:p>
        </w:tc>
      </w:tr>
      <w:tr w:rsidR="00990B14" w14:paraId="36214BAB" w14:textId="77777777">
        <w:trPr>
          <w:cantSplit/>
          <w:jc w:val="center"/>
        </w:trPr>
        <w:tc>
          <w:tcPr>
            <w:tcW w:w="1809" w:type="dxa"/>
            <w:vMerge/>
            <w:shd w:val="clear" w:color="auto" w:fill="4472C4"/>
            <w:vAlign w:val="center"/>
          </w:tcPr>
          <w:p w14:paraId="0DD0CD51" w14:textId="77777777" w:rsidR="00990B14" w:rsidRDefault="00990B14">
            <w:pPr>
              <w:spacing w:before="20" w:after="20"/>
            </w:pPr>
          </w:p>
        </w:tc>
        <w:tc>
          <w:tcPr>
            <w:tcW w:w="1860" w:type="dxa"/>
            <w:shd w:val="clear" w:color="auto" w:fill="4472C4"/>
            <w:vAlign w:val="center"/>
          </w:tcPr>
          <w:p w14:paraId="1E6165B5" w14:textId="77777777" w:rsidR="00990B14" w:rsidRDefault="00000000">
            <w:pPr>
              <w:keepNext/>
              <w:spacing w:before="20" w:after="20"/>
              <w:jc w:val="center"/>
            </w:pPr>
            <w:r>
              <w:rPr>
                <w:b/>
                <w:bCs/>
                <w:i/>
                <w:iCs/>
                <w:color w:val="FFFFFF"/>
                <w:sz w:val="18"/>
                <w:szCs w:val="18"/>
              </w:rPr>
              <w:t>Criterio</w:t>
            </w:r>
          </w:p>
        </w:tc>
        <w:tc>
          <w:tcPr>
            <w:tcW w:w="1860" w:type="dxa"/>
            <w:shd w:val="clear" w:color="auto" w:fill="4472C4"/>
            <w:vAlign w:val="center"/>
          </w:tcPr>
          <w:p w14:paraId="19879CF5"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029D326F" w14:textId="77777777" w:rsidR="00990B14" w:rsidRDefault="00000000">
            <w:pPr>
              <w:keepNext/>
              <w:spacing w:before="20" w:after="20"/>
              <w:jc w:val="center"/>
            </w:pPr>
            <w:r>
              <w:rPr>
                <w:b/>
                <w:bCs/>
                <w:i/>
                <w:iCs/>
                <w:color w:val="FFFFFF"/>
                <w:sz w:val="18"/>
                <w:szCs w:val="18"/>
              </w:rPr>
              <w:t>Suficiente (51–80)</w:t>
            </w:r>
          </w:p>
        </w:tc>
        <w:tc>
          <w:tcPr>
            <w:tcW w:w="1861" w:type="dxa"/>
            <w:shd w:val="clear" w:color="auto" w:fill="4472C4"/>
            <w:vAlign w:val="center"/>
          </w:tcPr>
          <w:p w14:paraId="63A46E1D" w14:textId="77777777" w:rsidR="00990B14" w:rsidRDefault="00000000">
            <w:pPr>
              <w:keepNext/>
              <w:spacing w:before="20" w:after="20"/>
              <w:jc w:val="center"/>
            </w:pPr>
            <w:r>
              <w:rPr>
                <w:b/>
                <w:bCs/>
                <w:i/>
                <w:iCs/>
                <w:color w:val="FFFFFF"/>
                <w:sz w:val="18"/>
                <w:szCs w:val="18"/>
              </w:rPr>
              <w:t>Destacado (81–100)</w:t>
            </w:r>
          </w:p>
        </w:tc>
      </w:tr>
      <w:tr w:rsidR="00990B14" w14:paraId="258DBEA6" w14:textId="77777777">
        <w:trPr>
          <w:cantSplit/>
          <w:jc w:val="center"/>
        </w:trPr>
        <w:tc>
          <w:tcPr>
            <w:tcW w:w="1809" w:type="dxa"/>
            <w:vMerge/>
            <w:shd w:val="clear" w:color="auto" w:fill="4472C4"/>
            <w:vAlign w:val="center"/>
          </w:tcPr>
          <w:p w14:paraId="3660B6A3" w14:textId="77777777" w:rsidR="00990B14" w:rsidRDefault="00990B14">
            <w:pPr>
              <w:spacing w:before="20" w:after="20"/>
            </w:pPr>
          </w:p>
        </w:tc>
        <w:tc>
          <w:tcPr>
            <w:tcW w:w="1860" w:type="dxa"/>
            <w:shd w:val="clear" w:color="auto" w:fill="D9E2F3"/>
            <w:vAlign w:val="center"/>
          </w:tcPr>
          <w:p w14:paraId="374B6B0D" w14:textId="77777777" w:rsidR="00990B14" w:rsidRDefault="00000000">
            <w:pPr>
              <w:spacing w:before="20" w:after="20"/>
              <w:jc w:val="both"/>
            </w:pPr>
            <w:r>
              <w:rPr>
                <w:sz w:val="18"/>
                <w:szCs w:val="18"/>
              </w:rPr>
              <w:t>Redacción de la hipótesis</w:t>
            </w:r>
          </w:p>
        </w:tc>
        <w:tc>
          <w:tcPr>
            <w:tcW w:w="1860" w:type="dxa"/>
            <w:shd w:val="clear" w:color="auto" w:fill="D9E2F3"/>
            <w:vAlign w:val="center"/>
          </w:tcPr>
          <w:p w14:paraId="63569169" w14:textId="77777777" w:rsidR="00990B14" w:rsidRDefault="00000000">
            <w:pPr>
              <w:spacing w:before="20" w:after="20"/>
              <w:jc w:val="both"/>
            </w:pPr>
            <w:r>
              <w:rPr>
                <w:sz w:val="18"/>
                <w:szCs w:val="18"/>
              </w:rPr>
              <w:t>La hipótesis no es verificable.</w:t>
            </w:r>
          </w:p>
        </w:tc>
        <w:tc>
          <w:tcPr>
            <w:tcW w:w="2015" w:type="dxa"/>
            <w:shd w:val="clear" w:color="auto" w:fill="D9E2F3"/>
            <w:vAlign w:val="center"/>
          </w:tcPr>
          <w:p w14:paraId="0B15521F" w14:textId="77777777" w:rsidR="00990B14" w:rsidRDefault="00000000">
            <w:pPr>
              <w:spacing w:before="20" w:after="20"/>
              <w:jc w:val="both"/>
            </w:pPr>
            <w:r>
              <w:rPr>
                <w:sz w:val="18"/>
                <w:szCs w:val="18"/>
              </w:rPr>
              <w:t>Redacta una hipótesis clara y verificable.</w:t>
            </w:r>
          </w:p>
        </w:tc>
        <w:tc>
          <w:tcPr>
            <w:tcW w:w="1861" w:type="dxa"/>
            <w:shd w:val="clear" w:color="auto" w:fill="D9E2F3"/>
            <w:vAlign w:val="center"/>
          </w:tcPr>
          <w:p w14:paraId="4BFC3518" w14:textId="77777777" w:rsidR="00990B14" w:rsidRDefault="00000000">
            <w:pPr>
              <w:spacing w:before="20" w:after="20"/>
              <w:jc w:val="both"/>
            </w:pPr>
            <w:r>
              <w:rPr>
                <w:sz w:val="18"/>
                <w:szCs w:val="18"/>
              </w:rPr>
              <w:t>Precisa la relación esperada entre las variables.</w:t>
            </w:r>
          </w:p>
        </w:tc>
      </w:tr>
      <w:tr w:rsidR="00990B14" w14:paraId="5DD7D812" w14:textId="77777777">
        <w:trPr>
          <w:cantSplit/>
          <w:jc w:val="center"/>
        </w:trPr>
        <w:tc>
          <w:tcPr>
            <w:tcW w:w="1809" w:type="dxa"/>
            <w:vMerge/>
            <w:shd w:val="clear" w:color="auto" w:fill="4472C4"/>
            <w:vAlign w:val="center"/>
          </w:tcPr>
          <w:p w14:paraId="49D7B37B" w14:textId="77777777" w:rsidR="00990B14" w:rsidRDefault="00990B14">
            <w:pPr>
              <w:spacing w:before="20" w:after="20"/>
            </w:pPr>
          </w:p>
        </w:tc>
        <w:tc>
          <w:tcPr>
            <w:tcW w:w="1860" w:type="dxa"/>
            <w:shd w:val="clear" w:color="auto" w:fill="D9E2F3"/>
            <w:vAlign w:val="center"/>
          </w:tcPr>
          <w:p w14:paraId="730D52F7" w14:textId="77777777" w:rsidR="00990B14" w:rsidRDefault="00000000">
            <w:pPr>
              <w:spacing w:before="20" w:after="20"/>
              <w:jc w:val="both"/>
            </w:pPr>
            <w:r>
              <w:rPr>
                <w:sz w:val="18"/>
                <w:szCs w:val="18"/>
              </w:rPr>
              <w:t>Tipos de hipótesis</w:t>
            </w:r>
          </w:p>
        </w:tc>
        <w:tc>
          <w:tcPr>
            <w:tcW w:w="1860" w:type="dxa"/>
            <w:shd w:val="clear" w:color="auto" w:fill="D9E2F3"/>
            <w:vAlign w:val="center"/>
          </w:tcPr>
          <w:p w14:paraId="6134D367" w14:textId="77777777" w:rsidR="00990B14" w:rsidRDefault="00000000">
            <w:pPr>
              <w:spacing w:before="20" w:after="20"/>
              <w:jc w:val="both"/>
            </w:pPr>
            <w:r>
              <w:rPr>
                <w:sz w:val="18"/>
                <w:szCs w:val="18"/>
              </w:rPr>
              <w:t>Confunde la hipótesis nula y la alternativa.</w:t>
            </w:r>
          </w:p>
        </w:tc>
        <w:tc>
          <w:tcPr>
            <w:tcW w:w="2015" w:type="dxa"/>
            <w:shd w:val="clear" w:color="auto" w:fill="D9E2F3"/>
            <w:vAlign w:val="center"/>
          </w:tcPr>
          <w:p w14:paraId="429EF20E" w14:textId="77777777" w:rsidR="00990B14" w:rsidRDefault="00000000">
            <w:pPr>
              <w:spacing w:before="20" w:after="20"/>
              <w:jc w:val="both"/>
            </w:pPr>
            <w:r>
              <w:rPr>
                <w:sz w:val="18"/>
                <w:szCs w:val="18"/>
              </w:rPr>
              <w:t>Formula correctamente la hipótesis nula y la alternativa.</w:t>
            </w:r>
          </w:p>
        </w:tc>
        <w:tc>
          <w:tcPr>
            <w:tcW w:w="1861" w:type="dxa"/>
            <w:shd w:val="clear" w:color="auto" w:fill="D9E2F3"/>
            <w:vAlign w:val="center"/>
          </w:tcPr>
          <w:p w14:paraId="66B8E28B" w14:textId="77777777" w:rsidR="00990B14" w:rsidRDefault="00000000">
            <w:pPr>
              <w:spacing w:before="20" w:after="20"/>
              <w:jc w:val="both"/>
            </w:pPr>
            <w:r>
              <w:rPr>
                <w:sz w:val="18"/>
                <w:szCs w:val="18"/>
              </w:rPr>
              <w:t>Explica el papel de cada una en la contrastación.</w:t>
            </w:r>
          </w:p>
        </w:tc>
      </w:tr>
      <w:tr w:rsidR="00990B14" w14:paraId="18EBECDD" w14:textId="77777777">
        <w:trPr>
          <w:cantSplit/>
          <w:jc w:val="center"/>
        </w:trPr>
        <w:tc>
          <w:tcPr>
            <w:tcW w:w="1809" w:type="dxa"/>
            <w:vMerge/>
            <w:shd w:val="clear" w:color="auto" w:fill="4472C4"/>
            <w:vAlign w:val="center"/>
          </w:tcPr>
          <w:p w14:paraId="3C8901C2" w14:textId="77777777" w:rsidR="00990B14" w:rsidRDefault="00990B14">
            <w:pPr>
              <w:spacing w:before="20" w:after="20"/>
            </w:pPr>
          </w:p>
        </w:tc>
        <w:tc>
          <w:tcPr>
            <w:tcW w:w="1860" w:type="dxa"/>
            <w:shd w:val="clear" w:color="auto" w:fill="D9E2F3"/>
            <w:vAlign w:val="center"/>
          </w:tcPr>
          <w:p w14:paraId="6F15336F" w14:textId="77777777" w:rsidR="00990B14" w:rsidRDefault="00000000">
            <w:pPr>
              <w:spacing w:before="20" w:after="20"/>
              <w:jc w:val="both"/>
            </w:pPr>
            <w:r>
              <w:rPr>
                <w:sz w:val="18"/>
                <w:szCs w:val="18"/>
              </w:rPr>
              <w:t>Relación con el problema</w:t>
            </w:r>
          </w:p>
        </w:tc>
        <w:tc>
          <w:tcPr>
            <w:tcW w:w="1860" w:type="dxa"/>
            <w:shd w:val="clear" w:color="auto" w:fill="D9E2F3"/>
            <w:vAlign w:val="center"/>
          </w:tcPr>
          <w:p w14:paraId="1B631FDD" w14:textId="77777777" w:rsidR="00990B14" w:rsidRDefault="00000000">
            <w:pPr>
              <w:spacing w:before="20" w:after="20"/>
              <w:jc w:val="both"/>
            </w:pPr>
            <w:r>
              <w:rPr>
                <w:sz w:val="18"/>
                <w:szCs w:val="18"/>
              </w:rPr>
              <w:t>La hipótesis no responde al problema.</w:t>
            </w:r>
          </w:p>
        </w:tc>
        <w:tc>
          <w:tcPr>
            <w:tcW w:w="2015" w:type="dxa"/>
            <w:shd w:val="clear" w:color="auto" w:fill="D9E2F3"/>
            <w:vAlign w:val="center"/>
          </w:tcPr>
          <w:p w14:paraId="44CA228C" w14:textId="77777777" w:rsidR="00990B14" w:rsidRDefault="00000000">
            <w:pPr>
              <w:spacing w:before="20" w:after="20"/>
              <w:jc w:val="both"/>
            </w:pPr>
            <w:r>
              <w:rPr>
                <w:sz w:val="18"/>
                <w:szCs w:val="18"/>
              </w:rPr>
              <w:t>La hipótesis responde al problema y a los objetivos.</w:t>
            </w:r>
          </w:p>
        </w:tc>
        <w:tc>
          <w:tcPr>
            <w:tcW w:w="1861" w:type="dxa"/>
            <w:shd w:val="clear" w:color="auto" w:fill="D9E2F3"/>
            <w:vAlign w:val="center"/>
          </w:tcPr>
          <w:p w14:paraId="199C36B8" w14:textId="77777777" w:rsidR="00990B14" w:rsidRDefault="00000000">
            <w:pPr>
              <w:spacing w:before="20" w:after="20"/>
              <w:jc w:val="both"/>
            </w:pPr>
            <w:r>
              <w:rPr>
                <w:sz w:val="18"/>
                <w:szCs w:val="18"/>
              </w:rPr>
              <w:t>Justifica la hipótesis con el marco teórico.</w:t>
            </w:r>
          </w:p>
        </w:tc>
      </w:tr>
      <w:tr w:rsidR="00990B14" w14:paraId="38A69BB6" w14:textId="77777777">
        <w:trPr>
          <w:cantSplit/>
          <w:jc w:val="center"/>
        </w:trPr>
        <w:tc>
          <w:tcPr>
            <w:tcW w:w="1809" w:type="dxa"/>
            <w:vMerge/>
            <w:shd w:val="clear" w:color="auto" w:fill="4472C4"/>
            <w:vAlign w:val="center"/>
          </w:tcPr>
          <w:p w14:paraId="2DEAA0B8" w14:textId="77777777" w:rsidR="00990B14" w:rsidRDefault="00990B14">
            <w:pPr>
              <w:spacing w:before="20" w:after="20"/>
            </w:pPr>
          </w:p>
        </w:tc>
        <w:tc>
          <w:tcPr>
            <w:tcW w:w="5735" w:type="dxa"/>
            <w:gridSpan w:val="3"/>
            <w:shd w:val="clear" w:color="auto" w:fill="D9E2F3"/>
            <w:vAlign w:val="center"/>
          </w:tcPr>
          <w:p w14:paraId="1D2482CB" w14:textId="77777777" w:rsidR="00990B14" w:rsidRDefault="00000000">
            <w:pPr>
              <w:keepNext/>
              <w:spacing w:before="20" w:after="20"/>
              <w:jc w:val="both"/>
            </w:pPr>
            <w:r>
              <w:rPr>
                <w:b/>
                <w:bCs/>
                <w:i/>
                <w:iCs/>
                <w:sz w:val="18"/>
                <w:szCs w:val="18"/>
              </w:rPr>
              <w:t xml:space="preserve">Producto 12: </w:t>
            </w:r>
            <w:r>
              <w:rPr>
                <w:sz w:val="18"/>
                <w:szCs w:val="18"/>
              </w:rPr>
              <w:t>Matriz de operacionalización</w:t>
            </w:r>
          </w:p>
        </w:tc>
        <w:tc>
          <w:tcPr>
            <w:tcW w:w="1861" w:type="dxa"/>
            <w:shd w:val="clear" w:color="auto" w:fill="D9E2F3"/>
            <w:vAlign w:val="center"/>
          </w:tcPr>
          <w:p w14:paraId="1CBA7852" w14:textId="77777777" w:rsidR="00990B14" w:rsidRDefault="00000000">
            <w:pPr>
              <w:spacing w:before="20" w:after="20"/>
              <w:jc w:val="center"/>
            </w:pPr>
            <w:r>
              <w:rPr>
                <w:b/>
                <w:bCs/>
                <w:sz w:val="18"/>
                <w:szCs w:val="18"/>
              </w:rPr>
              <w:t>5%</w:t>
            </w:r>
          </w:p>
        </w:tc>
      </w:tr>
      <w:tr w:rsidR="00990B14" w14:paraId="22AB692C" w14:textId="77777777">
        <w:trPr>
          <w:cantSplit/>
          <w:jc w:val="center"/>
        </w:trPr>
        <w:tc>
          <w:tcPr>
            <w:tcW w:w="1809" w:type="dxa"/>
            <w:vMerge/>
            <w:shd w:val="clear" w:color="auto" w:fill="4472C4"/>
            <w:vAlign w:val="center"/>
          </w:tcPr>
          <w:p w14:paraId="6AB05840" w14:textId="77777777" w:rsidR="00990B14" w:rsidRDefault="00990B14">
            <w:pPr>
              <w:spacing w:before="20" w:after="20"/>
            </w:pPr>
          </w:p>
        </w:tc>
        <w:tc>
          <w:tcPr>
            <w:tcW w:w="1860" w:type="dxa"/>
            <w:shd w:val="clear" w:color="auto" w:fill="4472C4"/>
            <w:vAlign w:val="center"/>
          </w:tcPr>
          <w:p w14:paraId="0A3685DD" w14:textId="77777777" w:rsidR="00990B14" w:rsidRDefault="00000000">
            <w:pPr>
              <w:keepNext/>
              <w:spacing w:before="20" w:after="20"/>
              <w:jc w:val="center"/>
            </w:pPr>
            <w:r>
              <w:rPr>
                <w:b/>
                <w:bCs/>
                <w:i/>
                <w:iCs/>
                <w:color w:val="FFFFFF"/>
                <w:sz w:val="18"/>
                <w:szCs w:val="18"/>
              </w:rPr>
              <w:t>Criterio</w:t>
            </w:r>
          </w:p>
        </w:tc>
        <w:tc>
          <w:tcPr>
            <w:tcW w:w="1860" w:type="dxa"/>
            <w:shd w:val="clear" w:color="auto" w:fill="4472C4"/>
            <w:vAlign w:val="center"/>
          </w:tcPr>
          <w:p w14:paraId="68BA375D"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4AEAE0F2" w14:textId="77777777" w:rsidR="00990B14" w:rsidRDefault="00000000">
            <w:pPr>
              <w:keepNext/>
              <w:spacing w:before="20" w:after="20"/>
              <w:jc w:val="center"/>
            </w:pPr>
            <w:r>
              <w:rPr>
                <w:b/>
                <w:bCs/>
                <w:i/>
                <w:iCs/>
                <w:color w:val="FFFFFF"/>
                <w:sz w:val="18"/>
                <w:szCs w:val="18"/>
              </w:rPr>
              <w:t>Suficiente (51–80)</w:t>
            </w:r>
          </w:p>
        </w:tc>
        <w:tc>
          <w:tcPr>
            <w:tcW w:w="1861" w:type="dxa"/>
            <w:shd w:val="clear" w:color="auto" w:fill="4472C4"/>
            <w:vAlign w:val="center"/>
          </w:tcPr>
          <w:p w14:paraId="2FC48EEA" w14:textId="77777777" w:rsidR="00990B14" w:rsidRDefault="00000000">
            <w:pPr>
              <w:keepNext/>
              <w:spacing w:before="20" w:after="20"/>
              <w:jc w:val="center"/>
            </w:pPr>
            <w:r>
              <w:rPr>
                <w:b/>
                <w:bCs/>
                <w:i/>
                <w:iCs/>
                <w:color w:val="FFFFFF"/>
                <w:sz w:val="18"/>
                <w:szCs w:val="18"/>
              </w:rPr>
              <w:t>Destacado (81–100)</w:t>
            </w:r>
          </w:p>
        </w:tc>
      </w:tr>
      <w:tr w:rsidR="00990B14" w14:paraId="5662BCA1" w14:textId="77777777">
        <w:trPr>
          <w:cantSplit/>
          <w:jc w:val="center"/>
        </w:trPr>
        <w:tc>
          <w:tcPr>
            <w:tcW w:w="1809" w:type="dxa"/>
            <w:vMerge/>
            <w:shd w:val="clear" w:color="auto" w:fill="4472C4"/>
            <w:vAlign w:val="center"/>
          </w:tcPr>
          <w:p w14:paraId="24EE7F5F" w14:textId="77777777" w:rsidR="00990B14" w:rsidRDefault="00990B14">
            <w:pPr>
              <w:spacing w:before="20" w:after="20"/>
            </w:pPr>
          </w:p>
        </w:tc>
        <w:tc>
          <w:tcPr>
            <w:tcW w:w="1860" w:type="dxa"/>
            <w:shd w:val="clear" w:color="auto" w:fill="D9E2F3"/>
            <w:vAlign w:val="center"/>
          </w:tcPr>
          <w:p w14:paraId="6C9936CD" w14:textId="77777777" w:rsidR="00990B14" w:rsidRDefault="00000000">
            <w:pPr>
              <w:spacing w:before="20" w:after="20"/>
              <w:jc w:val="both"/>
            </w:pPr>
            <w:r>
              <w:rPr>
                <w:sz w:val="18"/>
                <w:szCs w:val="18"/>
              </w:rPr>
              <w:t>Identificación de variables</w:t>
            </w:r>
          </w:p>
        </w:tc>
        <w:tc>
          <w:tcPr>
            <w:tcW w:w="1860" w:type="dxa"/>
            <w:shd w:val="clear" w:color="auto" w:fill="D9E2F3"/>
            <w:vAlign w:val="center"/>
          </w:tcPr>
          <w:p w14:paraId="4CD847C4" w14:textId="77777777" w:rsidR="00990B14" w:rsidRDefault="00000000">
            <w:pPr>
              <w:spacing w:before="20" w:after="20"/>
              <w:jc w:val="both"/>
            </w:pPr>
            <w:r>
              <w:rPr>
                <w:sz w:val="18"/>
                <w:szCs w:val="18"/>
              </w:rPr>
              <w:t>No distingue las variables.</w:t>
            </w:r>
          </w:p>
        </w:tc>
        <w:tc>
          <w:tcPr>
            <w:tcW w:w="2015" w:type="dxa"/>
            <w:shd w:val="clear" w:color="auto" w:fill="D9E2F3"/>
            <w:vAlign w:val="center"/>
          </w:tcPr>
          <w:p w14:paraId="2045F642" w14:textId="77777777" w:rsidR="00990B14" w:rsidRDefault="00000000">
            <w:pPr>
              <w:spacing w:before="20" w:after="20"/>
              <w:jc w:val="both"/>
            </w:pPr>
            <w:r>
              <w:rPr>
                <w:sz w:val="18"/>
                <w:szCs w:val="18"/>
              </w:rPr>
              <w:t>Identifica la variable independiente y la dependiente.</w:t>
            </w:r>
          </w:p>
        </w:tc>
        <w:tc>
          <w:tcPr>
            <w:tcW w:w="1861" w:type="dxa"/>
            <w:shd w:val="clear" w:color="auto" w:fill="D9E2F3"/>
            <w:vAlign w:val="center"/>
          </w:tcPr>
          <w:p w14:paraId="37050377" w14:textId="77777777" w:rsidR="00990B14" w:rsidRDefault="00000000">
            <w:pPr>
              <w:spacing w:before="20" w:after="20"/>
              <w:jc w:val="both"/>
            </w:pPr>
            <w:r>
              <w:rPr>
                <w:sz w:val="18"/>
                <w:szCs w:val="18"/>
              </w:rPr>
              <w:t>Reconoce las variables intervinientes.</w:t>
            </w:r>
          </w:p>
        </w:tc>
      </w:tr>
      <w:tr w:rsidR="00990B14" w14:paraId="64174052" w14:textId="77777777">
        <w:trPr>
          <w:cantSplit/>
          <w:jc w:val="center"/>
        </w:trPr>
        <w:tc>
          <w:tcPr>
            <w:tcW w:w="1809" w:type="dxa"/>
            <w:vMerge/>
            <w:shd w:val="clear" w:color="auto" w:fill="4472C4"/>
            <w:vAlign w:val="center"/>
          </w:tcPr>
          <w:p w14:paraId="24EB4282" w14:textId="77777777" w:rsidR="00990B14" w:rsidRDefault="00990B14">
            <w:pPr>
              <w:spacing w:before="20" w:after="20"/>
            </w:pPr>
          </w:p>
        </w:tc>
        <w:tc>
          <w:tcPr>
            <w:tcW w:w="1860" w:type="dxa"/>
            <w:shd w:val="clear" w:color="auto" w:fill="D9E2F3"/>
            <w:vAlign w:val="center"/>
          </w:tcPr>
          <w:p w14:paraId="70633CC8" w14:textId="77777777" w:rsidR="00990B14" w:rsidRDefault="00000000">
            <w:pPr>
              <w:spacing w:before="20" w:after="20"/>
              <w:jc w:val="both"/>
            </w:pPr>
            <w:r>
              <w:rPr>
                <w:sz w:val="18"/>
                <w:szCs w:val="18"/>
              </w:rPr>
              <w:t>Indicadores</w:t>
            </w:r>
          </w:p>
        </w:tc>
        <w:tc>
          <w:tcPr>
            <w:tcW w:w="1860" w:type="dxa"/>
            <w:shd w:val="clear" w:color="auto" w:fill="D9E2F3"/>
            <w:vAlign w:val="center"/>
          </w:tcPr>
          <w:p w14:paraId="2A1FB068" w14:textId="77777777" w:rsidR="00990B14" w:rsidRDefault="00000000">
            <w:pPr>
              <w:spacing w:before="20" w:after="20"/>
              <w:jc w:val="both"/>
            </w:pPr>
            <w:r>
              <w:rPr>
                <w:sz w:val="18"/>
                <w:szCs w:val="18"/>
              </w:rPr>
              <w:t>Los indicadores no son medibles.</w:t>
            </w:r>
          </w:p>
        </w:tc>
        <w:tc>
          <w:tcPr>
            <w:tcW w:w="2015" w:type="dxa"/>
            <w:shd w:val="clear" w:color="auto" w:fill="D9E2F3"/>
            <w:vAlign w:val="center"/>
          </w:tcPr>
          <w:p w14:paraId="1CBF410D" w14:textId="77777777" w:rsidR="00990B14" w:rsidRDefault="00000000">
            <w:pPr>
              <w:spacing w:before="20" w:after="20"/>
              <w:jc w:val="both"/>
            </w:pPr>
            <w:r>
              <w:rPr>
                <w:sz w:val="18"/>
                <w:szCs w:val="18"/>
              </w:rPr>
              <w:t>Define indicadores medibles para cada dimensión.</w:t>
            </w:r>
          </w:p>
        </w:tc>
        <w:tc>
          <w:tcPr>
            <w:tcW w:w="1861" w:type="dxa"/>
            <w:shd w:val="clear" w:color="auto" w:fill="D9E2F3"/>
            <w:vAlign w:val="center"/>
          </w:tcPr>
          <w:p w14:paraId="702F5D32" w14:textId="77777777" w:rsidR="00990B14" w:rsidRDefault="00000000">
            <w:pPr>
              <w:spacing w:before="20" w:after="20"/>
              <w:jc w:val="both"/>
            </w:pPr>
            <w:r>
              <w:rPr>
                <w:sz w:val="18"/>
                <w:szCs w:val="18"/>
              </w:rPr>
              <w:t>Señala la fuente de datos de cada indicador.</w:t>
            </w:r>
          </w:p>
        </w:tc>
      </w:tr>
      <w:tr w:rsidR="00990B14" w14:paraId="6EB8D48D" w14:textId="77777777">
        <w:trPr>
          <w:cantSplit/>
          <w:jc w:val="center"/>
        </w:trPr>
        <w:tc>
          <w:tcPr>
            <w:tcW w:w="1809" w:type="dxa"/>
            <w:vMerge/>
            <w:shd w:val="clear" w:color="auto" w:fill="4472C4"/>
            <w:vAlign w:val="center"/>
          </w:tcPr>
          <w:p w14:paraId="6B0B7F0D" w14:textId="77777777" w:rsidR="00990B14" w:rsidRDefault="00990B14">
            <w:pPr>
              <w:spacing w:before="20" w:after="20"/>
            </w:pPr>
          </w:p>
        </w:tc>
        <w:tc>
          <w:tcPr>
            <w:tcW w:w="1860" w:type="dxa"/>
            <w:shd w:val="clear" w:color="auto" w:fill="D9E2F3"/>
            <w:vAlign w:val="center"/>
          </w:tcPr>
          <w:p w14:paraId="3315F9D4" w14:textId="77777777" w:rsidR="00990B14" w:rsidRDefault="00000000">
            <w:pPr>
              <w:spacing w:before="20" w:after="20"/>
              <w:jc w:val="both"/>
            </w:pPr>
            <w:r>
              <w:rPr>
                <w:sz w:val="18"/>
                <w:szCs w:val="18"/>
              </w:rPr>
              <w:t>Presentación</w:t>
            </w:r>
          </w:p>
        </w:tc>
        <w:tc>
          <w:tcPr>
            <w:tcW w:w="1860" w:type="dxa"/>
            <w:shd w:val="clear" w:color="auto" w:fill="D9E2F3"/>
            <w:vAlign w:val="center"/>
          </w:tcPr>
          <w:p w14:paraId="6D1E0744" w14:textId="77777777" w:rsidR="00990B14" w:rsidRDefault="00000000">
            <w:pPr>
              <w:spacing w:before="20" w:after="20"/>
              <w:jc w:val="both"/>
            </w:pPr>
            <w:r>
              <w:rPr>
                <w:sz w:val="18"/>
                <w:szCs w:val="18"/>
              </w:rPr>
              <w:t>La matriz está incompleta.</w:t>
            </w:r>
          </w:p>
        </w:tc>
        <w:tc>
          <w:tcPr>
            <w:tcW w:w="2015" w:type="dxa"/>
            <w:shd w:val="clear" w:color="auto" w:fill="D9E2F3"/>
            <w:vAlign w:val="center"/>
          </w:tcPr>
          <w:p w14:paraId="34099FF5" w14:textId="77777777" w:rsidR="00990B14" w:rsidRDefault="00000000">
            <w:pPr>
              <w:spacing w:before="20" w:after="20"/>
              <w:jc w:val="both"/>
            </w:pPr>
            <w:r>
              <w:rPr>
                <w:sz w:val="18"/>
                <w:szCs w:val="18"/>
              </w:rPr>
              <w:t>La matriz es clara y completa.</w:t>
            </w:r>
          </w:p>
        </w:tc>
        <w:tc>
          <w:tcPr>
            <w:tcW w:w="1861" w:type="dxa"/>
            <w:shd w:val="clear" w:color="auto" w:fill="D9E2F3"/>
            <w:vAlign w:val="center"/>
          </w:tcPr>
          <w:p w14:paraId="704A5557" w14:textId="77777777" w:rsidR="00990B14" w:rsidRDefault="00000000">
            <w:pPr>
              <w:spacing w:before="20" w:after="20"/>
              <w:jc w:val="both"/>
            </w:pPr>
            <w:r>
              <w:rPr>
                <w:sz w:val="18"/>
                <w:szCs w:val="18"/>
              </w:rPr>
              <w:t>La matriz orienta el diseño del instrumento.</w:t>
            </w:r>
          </w:p>
        </w:tc>
      </w:tr>
      <w:tr w:rsidR="00990B14" w14:paraId="596A7866" w14:textId="77777777">
        <w:trPr>
          <w:cantSplit/>
          <w:jc w:val="center"/>
        </w:trPr>
        <w:tc>
          <w:tcPr>
            <w:tcW w:w="1809" w:type="dxa"/>
            <w:vMerge/>
            <w:shd w:val="clear" w:color="auto" w:fill="4472C4"/>
            <w:vAlign w:val="center"/>
          </w:tcPr>
          <w:p w14:paraId="43BF1F6E" w14:textId="77777777" w:rsidR="00990B14" w:rsidRDefault="00990B14">
            <w:pPr>
              <w:spacing w:before="20" w:after="20"/>
            </w:pPr>
          </w:p>
        </w:tc>
        <w:tc>
          <w:tcPr>
            <w:tcW w:w="5735" w:type="dxa"/>
            <w:gridSpan w:val="3"/>
            <w:shd w:val="clear" w:color="auto" w:fill="D9E2F3"/>
            <w:vAlign w:val="center"/>
          </w:tcPr>
          <w:p w14:paraId="1625A2B2" w14:textId="77777777" w:rsidR="00990B14" w:rsidRDefault="00000000">
            <w:pPr>
              <w:keepNext/>
              <w:spacing w:before="20" w:after="20"/>
              <w:jc w:val="both"/>
            </w:pPr>
            <w:r>
              <w:rPr>
                <w:b/>
                <w:bCs/>
                <w:i/>
                <w:iCs/>
                <w:sz w:val="18"/>
                <w:szCs w:val="18"/>
              </w:rPr>
              <w:t xml:space="preserve">Producto 13: </w:t>
            </w:r>
            <w:r>
              <w:rPr>
                <w:sz w:val="18"/>
                <w:szCs w:val="18"/>
              </w:rPr>
              <w:t>Instrumento de recolección</w:t>
            </w:r>
          </w:p>
        </w:tc>
        <w:tc>
          <w:tcPr>
            <w:tcW w:w="1861" w:type="dxa"/>
            <w:shd w:val="clear" w:color="auto" w:fill="D9E2F3"/>
            <w:vAlign w:val="center"/>
          </w:tcPr>
          <w:p w14:paraId="3CDF3113" w14:textId="77777777" w:rsidR="00990B14" w:rsidRDefault="00000000">
            <w:pPr>
              <w:spacing w:before="20" w:after="20"/>
              <w:jc w:val="center"/>
            </w:pPr>
            <w:r>
              <w:rPr>
                <w:b/>
                <w:bCs/>
                <w:sz w:val="18"/>
                <w:szCs w:val="18"/>
              </w:rPr>
              <w:t>5%</w:t>
            </w:r>
          </w:p>
        </w:tc>
      </w:tr>
      <w:tr w:rsidR="00990B14" w14:paraId="73552671" w14:textId="77777777">
        <w:trPr>
          <w:cantSplit/>
          <w:jc w:val="center"/>
        </w:trPr>
        <w:tc>
          <w:tcPr>
            <w:tcW w:w="1809" w:type="dxa"/>
            <w:vMerge/>
            <w:shd w:val="clear" w:color="auto" w:fill="4472C4"/>
            <w:vAlign w:val="center"/>
          </w:tcPr>
          <w:p w14:paraId="6499BA5E" w14:textId="77777777" w:rsidR="00990B14" w:rsidRDefault="00990B14">
            <w:pPr>
              <w:spacing w:before="20" w:after="20"/>
            </w:pPr>
          </w:p>
        </w:tc>
        <w:tc>
          <w:tcPr>
            <w:tcW w:w="1860" w:type="dxa"/>
            <w:shd w:val="clear" w:color="auto" w:fill="4472C4"/>
            <w:vAlign w:val="center"/>
          </w:tcPr>
          <w:p w14:paraId="788F95C4" w14:textId="77777777" w:rsidR="00990B14" w:rsidRDefault="00000000">
            <w:pPr>
              <w:keepNext/>
              <w:spacing w:before="20" w:after="20"/>
              <w:jc w:val="center"/>
            </w:pPr>
            <w:r>
              <w:rPr>
                <w:b/>
                <w:bCs/>
                <w:i/>
                <w:iCs/>
                <w:color w:val="FFFFFF"/>
                <w:sz w:val="18"/>
                <w:szCs w:val="18"/>
              </w:rPr>
              <w:t>Criterio</w:t>
            </w:r>
          </w:p>
        </w:tc>
        <w:tc>
          <w:tcPr>
            <w:tcW w:w="1860" w:type="dxa"/>
            <w:shd w:val="clear" w:color="auto" w:fill="4472C4"/>
            <w:vAlign w:val="center"/>
          </w:tcPr>
          <w:p w14:paraId="37717671"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16D998CE" w14:textId="77777777" w:rsidR="00990B14" w:rsidRDefault="00000000">
            <w:pPr>
              <w:keepNext/>
              <w:spacing w:before="20" w:after="20"/>
              <w:jc w:val="center"/>
            </w:pPr>
            <w:r>
              <w:rPr>
                <w:b/>
                <w:bCs/>
                <w:i/>
                <w:iCs/>
                <w:color w:val="FFFFFF"/>
                <w:sz w:val="18"/>
                <w:szCs w:val="18"/>
              </w:rPr>
              <w:t>Suficiente (51–80)</w:t>
            </w:r>
          </w:p>
        </w:tc>
        <w:tc>
          <w:tcPr>
            <w:tcW w:w="1861" w:type="dxa"/>
            <w:shd w:val="clear" w:color="auto" w:fill="4472C4"/>
            <w:vAlign w:val="center"/>
          </w:tcPr>
          <w:p w14:paraId="34C7E2D0" w14:textId="77777777" w:rsidR="00990B14" w:rsidRDefault="00000000">
            <w:pPr>
              <w:keepNext/>
              <w:spacing w:before="20" w:after="20"/>
              <w:jc w:val="center"/>
            </w:pPr>
            <w:r>
              <w:rPr>
                <w:b/>
                <w:bCs/>
                <w:i/>
                <w:iCs/>
                <w:color w:val="FFFFFF"/>
                <w:sz w:val="18"/>
                <w:szCs w:val="18"/>
              </w:rPr>
              <w:t>Destacado (81–100)</w:t>
            </w:r>
          </w:p>
        </w:tc>
      </w:tr>
      <w:tr w:rsidR="00990B14" w14:paraId="2EC86ED4" w14:textId="77777777">
        <w:trPr>
          <w:cantSplit/>
          <w:jc w:val="center"/>
        </w:trPr>
        <w:tc>
          <w:tcPr>
            <w:tcW w:w="1809" w:type="dxa"/>
            <w:vMerge/>
            <w:shd w:val="clear" w:color="auto" w:fill="4472C4"/>
            <w:vAlign w:val="center"/>
          </w:tcPr>
          <w:p w14:paraId="24B0B7EF" w14:textId="77777777" w:rsidR="00990B14" w:rsidRDefault="00990B14">
            <w:pPr>
              <w:spacing w:before="20" w:after="20"/>
            </w:pPr>
          </w:p>
        </w:tc>
        <w:tc>
          <w:tcPr>
            <w:tcW w:w="1860" w:type="dxa"/>
            <w:shd w:val="clear" w:color="auto" w:fill="D9E2F3"/>
            <w:vAlign w:val="center"/>
          </w:tcPr>
          <w:p w14:paraId="2A8D2178" w14:textId="77777777" w:rsidR="00990B14" w:rsidRDefault="00000000">
            <w:pPr>
              <w:spacing w:before="20" w:after="20"/>
              <w:jc w:val="both"/>
            </w:pPr>
            <w:r>
              <w:rPr>
                <w:sz w:val="18"/>
                <w:szCs w:val="18"/>
              </w:rPr>
              <w:t>Pertinencia de la técnica</w:t>
            </w:r>
          </w:p>
        </w:tc>
        <w:tc>
          <w:tcPr>
            <w:tcW w:w="1860" w:type="dxa"/>
            <w:shd w:val="clear" w:color="auto" w:fill="D9E2F3"/>
            <w:vAlign w:val="center"/>
          </w:tcPr>
          <w:p w14:paraId="0349C3AD" w14:textId="77777777" w:rsidR="00990B14" w:rsidRDefault="00000000">
            <w:pPr>
              <w:spacing w:before="20" w:after="20"/>
              <w:jc w:val="both"/>
            </w:pPr>
            <w:r>
              <w:rPr>
                <w:sz w:val="18"/>
                <w:szCs w:val="18"/>
              </w:rPr>
              <w:t>La técnica no corresponde al problema.</w:t>
            </w:r>
          </w:p>
        </w:tc>
        <w:tc>
          <w:tcPr>
            <w:tcW w:w="2015" w:type="dxa"/>
            <w:shd w:val="clear" w:color="auto" w:fill="D9E2F3"/>
            <w:vAlign w:val="center"/>
          </w:tcPr>
          <w:p w14:paraId="3FE47779" w14:textId="77777777" w:rsidR="00990B14" w:rsidRDefault="00000000">
            <w:pPr>
              <w:spacing w:before="20" w:after="20"/>
              <w:jc w:val="both"/>
            </w:pPr>
            <w:r>
              <w:rPr>
                <w:sz w:val="18"/>
                <w:szCs w:val="18"/>
              </w:rPr>
              <w:t>Selecciona la técnica pertinente al problema.</w:t>
            </w:r>
          </w:p>
        </w:tc>
        <w:tc>
          <w:tcPr>
            <w:tcW w:w="1861" w:type="dxa"/>
            <w:shd w:val="clear" w:color="auto" w:fill="D9E2F3"/>
            <w:vAlign w:val="center"/>
          </w:tcPr>
          <w:p w14:paraId="3AC83C92" w14:textId="77777777" w:rsidR="00990B14" w:rsidRDefault="00000000">
            <w:pPr>
              <w:spacing w:before="20" w:after="20"/>
              <w:jc w:val="both"/>
            </w:pPr>
            <w:r>
              <w:rPr>
                <w:sz w:val="18"/>
                <w:szCs w:val="18"/>
              </w:rPr>
              <w:t>Justifica la técnica frente a otras alternativas.</w:t>
            </w:r>
          </w:p>
        </w:tc>
      </w:tr>
      <w:tr w:rsidR="00990B14" w14:paraId="34E4D261" w14:textId="77777777">
        <w:trPr>
          <w:cantSplit/>
          <w:jc w:val="center"/>
        </w:trPr>
        <w:tc>
          <w:tcPr>
            <w:tcW w:w="1809" w:type="dxa"/>
            <w:vMerge/>
            <w:shd w:val="clear" w:color="auto" w:fill="4472C4"/>
            <w:vAlign w:val="center"/>
          </w:tcPr>
          <w:p w14:paraId="5A5080EC" w14:textId="77777777" w:rsidR="00990B14" w:rsidRDefault="00990B14">
            <w:pPr>
              <w:spacing w:before="20" w:after="20"/>
            </w:pPr>
          </w:p>
        </w:tc>
        <w:tc>
          <w:tcPr>
            <w:tcW w:w="1860" w:type="dxa"/>
            <w:shd w:val="clear" w:color="auto" w:fill="D9E2F3"/>
            <w:vAlign w:val="center"/>
          </w:tcPr>
          <w:p w14:paraId="5D6EC9A1" w14:textId="77777777" w:rsidR="00990B14" w:rsidRDefault="00000000">
            <w:pPr>
              <w:spacing w:before="20" w:after="20"/>
              <w:jc w:val="both"/>
            </w:pPr>
            <w:r>
              <w:rPr>
                <w:sz w:val="18"/>
                <w:szCs w:val="18"/>
              </w:rPr>
              <w:t>Diseño de los ítems</w:t>
            </w:r>
          </w:p>
        </w:tc>
        <w:tc>
          <w:tcPr>
            <w:tcW w:w="1860" w:type="dxa"/>
            <w:shd w:val="clear" w:color="auto" w:fill="D9E2F3"/>
            <w:vAlign w:val="center"/>
          </w:tcPr>
          <w:p w14:paraId="7E3A14E7" w14:textId="77777777" w:rsidR="00990B14" w:rsidRDefault="00000000">
            <w:pPr>
              <w:spacing w:before="20" w:after="20"/>
              <w:jc w:val="both"/>
            </w:pPr>
            <w:r>
              <w:rPr>
                <w:sz w:val="18"/>
                <w:szCs w:val="18"/>
              </w:rPr>
              <w:t>Los ítems son ambiguos o no miden los indicadores.</w:t>
            </w:r>
          </w:p>
        </w:tc>
        <w:tc>
          <w:tcPr>
            <w:tcW w:w="2015" w:type="dxa"/>
            <w:shd w:val="clear" w:color="auto" w:fill="D9E2F3"/>
            <w:vAlign w:val="center"/>
          </w:tcPr>
          <w:p w14:paraId="1540E5F2" w14:textId="77777777" w:rsidR="00990B14" w:rsidRDefault="00000000">
            <w:pPr>
              <w:spacing w:before="20" w:after="20"/>
              <w:jc w:val="both"/>
            </w:pPr>
            <w:r>
              <w:rPr>
                <w:sz w:val="18"/>
                <w:szCs w:val="18"/>
              </w:rPr>
              <w:t>Los ítems son claros y miden los indicadores.</w:t>
            </w:r>
          </w:p>
        </w:tc>
        <w:tc>
          <w:tcPr>
            <w:tcW w:w="1861" w:type="dxa"/>
            <w:shd w:val="clear" w:color="auto" w:fill="D9E2F3"/>
            <w:vAlign w:val="center"/>
          </w:tcPr>
          <w:p w14:paraId="75C22A7C" w14:textId="77777777" w:rsidR="00990B14" w:rsidRDefault="00000000">
            <w:pPr>
              <w:spacing w:before="20" w:after="20"/>
              <w:jc w:val="both"/>
            </w:pPr>
            <w:r>
              <w:rPr>
                <w:sz w:val="18"/>
                <w:szCs w:val="18"/>
              </w:rPr>
              <w:t>Ajusta los ítems según los resultados de la prueba piloto.</w:t>
            </w:r>
          </w:p>
        </w:tc>
      </w:tr>
      <w:tr w:rsidR="00990B14" w14:paraId="69D7C944" w14:textId="77777777">
        <w:trPr>
          <w:cantSplit/>
          <w:jc w:val="center"/>
        </w:trPr>
        <w:tc>
          <w:tcPr>
            <w:tcW w:w="1809" w:type="dxa"/>
            <w:vMerge/>
            <w:shd w:val="clear" w:color="auto" w:fill="4472C4"/>
            <w:vAlign w:val="center"/>
          </w:tcPr>
          <w:p w14:paraId="4967AC7A" w14:textId="77777777" w:rsidR="00990B14" w:rsidRDefault="00990B14">
            <w:pPr>
              <w:spacing w:before="20" w:after="20"/>
            </w:pPr>
          </w:p>
        </w:tc>
        <w:tc>
          <w:tcPr>
            <w:tcW w:w="1860" w:type="dxa"/>
            <w:shd w:val="clear" w:color="auto" w:fill="D9E2F3"/>
            <w:vAlign w:val="center"/>
          </w:tcPr>
          <w:p w14:paraId="2950AAF9" w14:textId="77777777" w:rsidR="00990B14" w:rsidRDefault="00000000">
            <w:pPr>
              <w:spacing w:before="20" w:after="20"/>
              <w:jc w:val="both"/>
            </w:pPr>
            <w:r>
              <w:rPr>
                <w:sz w:val="18"/>
                <w:szCs w:val="18"/>
              </w:rPr>
              <w:t>Ética de la recolección</w:t>
            </w:r>
          </w:p>
        </w:tc>
        <w:tc>
          <w:tcPr>
            <w:tcW w:w="1860" w:type="dxa"/>
            <w:shd w:val="clear" w:color="auto" w:fill="D9E2F3"/>
            <w:vAlign w:val="center"/>
          </w:tcPr>
          <w:p w14:paraId="16BBE674" w14:textId="77777777" w:rsidR="00990B14" w:rsidRDefault="00000000">
            <w:pPr>
              <w:spacing w:before="20" w:after="20"/>
              <w:jc w:val="both"/>
            </w:pPr>
            <w:r>
              <w:rPr>
                <w:sz w:val="18"/>
                <w:szCs w:val="18"/>
              </w:rPr>
              <w:t>Omite el consentimiento informado.</w:t>
            </w:r>
          </w:p>
        </w:tc>
        <w:tc>
          <w:tcPr>
            <w:tcW w:w="2015" w:type="dxa"/>
            <w:shd w:val="clear" w:color="auto" w:fill="D9E2F3"/>
            <w:vAlign w:val="center"/>
          </w:tcPr>
          <w:p w14:paraId="4184BB5E" w14:textId="77777777" w:rsidR="00990B14" w:rsidRDefault="00000000">
            <w:pPr>
              <w:spacing w:before="20" w:after="20"/>
              <w:jc w:val="both"/>
            </w:pPr>
            <w:r>
              <w:rPr>
                <w:sz w:val="18"/>
                <w:szCs w:val="18"/>
              </w:rPr>
              <w:t>Incluye el consentimiento y resguarda la confidencialidad.</w:t>
            </w:r>
          </w:p>
        </w:tc>
        <w:tc>
          <w:tcPr>
            <w:tcW w:w="1861" w:type="dxa"/>
            <w:shd w:val="clear" w:color="auto" w:fill="D9E2F3"/>
            <w:vAlign w:val="center"/>
          </w:tcPr>
          <w:p w14:paraId="1C14ED14" w14:textId="77777777" w:rsidR="00990B14" w:rsidRDefault="00000000">
            <w:pPr>
              <w:spacing w:before="20" w:after="20"/>
              <w:jc w:val="both"/>
            </w:pPr>
            <w:r>
              <w:rPr>
                <w:sz w:val="18"/>
                <w:szCs w:val="18"/>
              </w:rPr>
              <w:t>Prevé la custodia y el resguardo de los datos.</w:t>
            </w:r>
          </w:p>
        </w:tc>
      </w:tr>
      <w:tr w:rsidR="00990B14" w14:paraId="287F53A4" w14:textId="77777777">
        <w:trPr>
          <w:cantSplit/>
          <w:jc w:val="center"/>
        </w:trPr>
        <w:tc>
          <w:tcPr>
            <w:tcW w:w="1809" w:type="dxa"/>
            <w:vMerge/>
            <w:shd w:val="clear" w:color="auto" w:fill="4472C4"/>
            <w:vAlign w:val="center"/>
          </w:tcPr>
          <w:p w14:paraId="16512DF7" w14:textId="77777777" w:rsidR="00990B14" w:rsidRDefault="00990B14">
            <w:pPr>
              <w:spacing w:before="20" w:after="20"/>
            </w:pPr>
          </w:p>
        </w:tc>
        <w:tc>
          <w:tcPr>
            <w:tcW w:w="5735" w:type="dxa"/>
            <w:gridSpan w:val="3"/>
            <w:shd w:val="clear" w:color="auto" w:fill="D9E2F3"/>
            <w:vAlign w:val="center"/>
          </w:tcPr>
          <w:p w14:paraId="435D24A9" w14:textId="77777777" w:rsidR="00990B14" w:rsidRDefault="00000000">
            <w:pPr>
              <w:keepNext/>
              <w:spacing w:before="20" w:after="20"/>
              <w:jc w:val="both"/>
            </w:pPr>
            <w:r>
              <w:rPr>
                <w:b/>
                <w:bCs/>
                <w:i/>
                <w:iCs/>
                <w:sz w:val="18"/>
                <w:szCs w:val="18"/>
              </w:rPr>
              <w:t xml:space="preserve">Producto 14: </w:t>
            </w:r>
            <w:r>
              <w:rPr>
                <w:sz w:val="18"/>
                <w:szCs w:val="18"/>
              </w:rPr>
              <w:t>Análisis descriptivo de los datos</w:t>
            </w:r>
          </w:p>
        </w:tc>
        <w:tc>
          <w:tcPr>
            <w:tcW w:w="1861" w:type="dxa"/>
            <w:shd w:val="clear" w:color="auto" w:fill="D9E2F3"/>
            <w:vAlign w:val="center"/>
          </w:tcPr>
          <w:p w14:paraId="67544F9E" w14:textId="77777777" w:rsidR="00990B14" w:rsidRDefault="00000000">
            <w:pPr>
              <w:spacing w:before="20" w:after="20"/>
              <w:jc w:val="center"/>
            </w:pPr>
            <w:r>
              <w:rPr>
                <w:b/>
                <w:bCs/>
                <w:sz w:val="18"/>
                <w:szCs w:val="18"/>
              </w:rPr>
              <w:t>5%</w:t>
            </w:r>
          </w:p>
        </w:tc>
      </w:tr>
      <w:tr w:rsidR="00990B14" w14:paraId="59BCBC90" w14:textId="77777777">
        <w:trPr>
          <w:cantSplit/>
          <w:jc w:val="center"/>
        </w:trPr>
        <w:tc>
          <w:tcPr>
            <w:tcW w:w="1809" w:type="dxa"/>
            <w:vMerge/>
            <w:shd w:val="clear" w:color="auto" w:fill="4472C4"/>
            <w:vAlign w:val="center"/>
          </w:tcPr>
          <w:p w14:paraId="37B87BFE" w14:textId="77777777" w:rsidR="00990B14" w:rsidRDefault="00990B14">
            <w:pPr>
              <w:spacing w:before="20" w:after="20"/>
            </w:pPr>
          </w:p>
        </w:tc>
        <w:tc>
          <w:tcPr>
            <w:tcW w:w="1860" w:type="dxa"/>
            <w:shd w:val="clear" w:color="auto" w:fill="4472C4"/>
            <w:vAlign w:val="center"/>
          </w:tcPr>
          <w:p w14:paraId="3B7988B4" w14:textId="77777777" w:rsidR="00990B14" w:rsidRDefault="00000000">
            <w:pPr>
              <w:keepNext/>
              <w:spacing w:before="20" w:after="20"/>
              <w:jc w:val="center"/>
            </w:pPr>
            <w:r>
              <w:rPr>
                <w:b/>
                <w:bCs/>
                <w:i/>
                <w:iCs/>
                <w:color w:val="FFFFFF"/>
                <w:sz w:val="18"/>
                <w:szCs w:val="18"/>
              </w:rPr>
              <w:t>Criterio</w:t>
            </w:r>
          </w:p>
        </w:tc>
        <w:tc>
          <w:tcPr>
            <w:tcW w:w="1860" w:type="dxa"/>
            <w:shd w:val="clear" w:color="auto" w:fill="4472C4"/>
            <w:vAlign w:val="center"/>
          </w:tcPr>
          <w:p w14:paraId="407E3B88"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45BE9797" w14:textId="77777777" w:rsidR="00990B14" w:rsidRDefault="00000000">
            <w:pPr>
              <w:keepNext/>
              <w:spacing w:before="20" w:after="20"/>
              <w:jc w:val="center"/>
            </w:pPr>
            <w:r>
              <w:rPr>
                <w:b/>
                <w:bCs/>
                <w:i/>
                <w:iCs/>
                <w:color w:val="FFFFFF"/>
                <w:sz w:val="18"/>
                <w:szCs w:val="18"/>
              </w:rPr>
              <w:t>Suficiente (51–80)</w:t>
            </w:r>
          </w:p>
        </w:tc>
        <w:tc>
          <w:tcPr>
            <w:tcW w:w="1861" w:type="dxa"/>
            <w:shd w:val="clear" w:color="auto" w:fill="4472C4"/>
            <w:vAlign w:val="center"/>
          </w:tcPr>
          <w:p w14:paraId="3BCA44C3" w14:textId="77777777" w:rsidR="00990B14" w:rsidRDefault="00000000">
            <w:pPr>
              <w:keepNext/>
              <w:spacing w:before="20" w:after="20"/>
              <w:jc w:val="center"/>
            </w:pPr>
            <w:r>
              <w:rPr>
                <w:b/>
                <w:bCs/>
                <w:i/>
                <w:iCs/>
                <w:color w:val="FFFFFF"/>
                <w:sz w:val="18"/>
                <w:szCs w:val="18"/>
              </w:rPr>
              <w:t>Destacado (81–100)</w:t>
            </w:r>
          </w:p>
        </w:tc>
      </w:tr>
      <w:tr w:rsidR="00990B14" w14:paraId="49247A63" w14:textId="77777777">
        <w:trPr>
          <w:cantSplit/>
          <w:jc w:val="center"/>
        </w:trPr>
        <w:tc>
          <w:tcPr>
            <w:tcW w:w="1809" w:type="dxa"/>
            <w:vMerge/>
            <w:shd w:val="clear" w:color="auto" w:fill="4472C4"/>
            <w:vAlign w:val="center"/>
          </w:tcPr>
          <w:p w14:paraId="389AC458" w14:textId="77777777" w:rsidR="00990B14" w:rsidRDefault="00990B14">
            <w:pPr>
              <w:spacing w:before="20" w:after="20"/>
            </w:pPr>
          </w:p>
        </w:tc>
        <w:tc>
          <w:tcPr>
            <w:tcW w:w="1860" w:type="dxa"/>
            <w:shd w:val="clear" w:color="auto" w:fill="D9E2F3"/>
            <w:vAlign w:val="center"/>
          </w:tcPr>
          <w:p w14:paraId="246B2A41" w14:textId="77777777" w:rsidR="00990B14" w:rsidRDefault="00000000">
            <w:pPr>
              <w:spacing w:before="20" w:after="20"/>
              <w:jc w:val="both"/>
            </w:pPr>
            <w:r>
              <w:rPr>
                <w:sz w:val="18"/>
                <w:szCs w:val="18"/>
              </w:rPr>
              <w:t>Medidas estadísticas</w:t>
            </w:r>
          </w:p>
        </w:tc>
        <w:tc>
          <w:tcPr>
            <w:tcW w:w="1860" w:type="dxa"/>
            <w:shd w:val="clear" w:color="auto" w:fill="D9E2F3"/>
            <w:vAlign w:val="center"/>
          </w:tcPr>
          <w:p w14:paraId="3E40C1A0" w14:textId="77777777" w:rsidR="00990B14" w:rsidRDefault="00000000">
            <w:pPr>
              <w:spacing w:before="20" w:after="20"/>
              <w:jc w:val="both"/>
            </w:pPr>
            <w:r>
              <w:rPr>
                <w:sz w:val="18"/>
                <w:szCs w:val="18"/>
              </w:rPr>
              <w:t>Calcula las medidas con errores.</w:t>
            </w:r>
          </w:p>
        </w:tc>
        <w:tc>
          <w:tcPr>
            <w:tcW w:w="2015" w:type="dxa"/>
            <w:shd w:val="clear" w:color="auto" w:fill="D9E2F3"/>
            <w:vAlign w:val="center"/>
          </w:tcPr>
          <w:p w14:paraId="5550F1F0" w14:textId="77777777" w:rsidR="00990B14" w:rsidRDefault="00000000">
            <w:pPr>
              <w:spacing w:before="20" w:after="20"/>
              <w:jc w:val="both"/>
            </w:pPr>
            <w:r>
              <w:rPr>
                <w:sz w:val="18"/>
                <w:szCs w:val="18"/>
              </w:rPr>
              <w:t>Calcula correctamente las medidas de tendencia central y de dispersión.</w:t>
            </w:r>
          </w:p>
        </w:tc>
        <w:tc>
          <w:tcPr>
            <w:tcW w:w="1861" w:type="dxa"/>
            <w:shd w:val="clear" w:color="auto" w:fill="D9E2F3"/>
            <w:vAlign w:val="center"/>
          </w:tcPr>
          <w:p w14:paraId="1D5E63B9" w14:textId="77777777" w:rsidR="00990B14" w:rsidRDefault="00000000">
            <w:pPr>
              <w:spacing w:before="20" w:after="20"/>
              <w:jc w:val="both"/>
            </w:pPr>
            <w:r>
              <w:rPr>
                <w:sz w:val="18"/>
                <w:szCs w:val="18"/>
              </w:rPr>
              <w:t>Interpreta las medidas en relación con la hipótesis.</w:t>
            </w:r>
          </w:p>
        </w:tc>
      </w:tr>
      <w:tr w:rsidR="00990B14" w14:paraId="3B22ACE6" w14:textId="77777777">
        <w:trPr>
          <w:cantSplit/>
          <w:jc w:val="center"/>
        </w:trPr>
        <w:tc>
          <w:tcPr>
            <w:tcW w:w="1809" w:type="dxa"/>
            <w:vMerge/>
            <w:shd w:val="clear" w:color="auto" w:fill="4472C4"/>
            <w:vAlign w:val="center"/>
          </w:tcPr>
          <w:p w14:paraId="1777FB10" w14:textId="77777777" w:rsidR="00990B14" w:rsidRDefault="00990B14">
            <w:pPr>
              <w:spacing w:before="20" w:after="20"/>
            </w:pPr>
          </w:p>
        </w:tc>
        <w:tc>
          <w:tcPr>
            <w:tcW w:w="1860" w:type="dxa"/>
            <w:shd w:val="clear" w:color="auto" w:fill="D9E2F3"/>
            <w:vAlign w:val="center"/>
          </w:tcPr>
          <w:p w14:paraId="70E75925" w14:textId="77777777" w:rsidR="00990B14" w:rsidRDefault="00000000">
            <w:pPr>
              <w:spacing w:before="20" w:after="20"/>
              <w:jc w:val="both"/>
            </w:pPr>
            <w:r>
              <w:rPr>
                <w:sz w:val="18"/>
                <w:szCs w:val="18"/>
              </w:rPr>
              <w:t>Tablas y gráficos</w:t>
            </w:r>
          </w:p>
        </w:tc>
        <w:tc>
          <w:tcPr>
            <w:tcW w:w="1860" w:type="dxa"/>
            <w:shd w:val="clear" w:color="auto" w:fill="D9E2F3"/>
            <w:vAlign w:val="center"/>
          </w:tcPr>
          <w:p w14:paraId="7653D374" w14:textId="77777777" w:rsidR="00990B14" w:rsidRDefault="00000000">
            <w:pPr>
              <w:spacing w:before="20" w:after="20"/>
              <w:jc w:val="both"/>
            </w:pPr>
            <w:r>
              <w:rPr>
                <w:sz w:val="18"/>
                <w:szCs w:val="18"/>
              </w:rPr>
              <w:t>Los gráficos no corresponden al tipo de dato.</w:t>
            </w:r>
          </w:p>
        </w:tc>
        <w:tc>
          <w:tcPr>
            <w:tcW w:w="2015" w:type="dxa"/>
            <w:shd w:val="clear" w:color="auto" w:fill="D9E2F3"/>
            <w:vAlign w:val="center"/>
          </w:tcPr>
          <w:p w14:paraId="08E40274" w14:textId="77777777" w:rsidR="00990B14" w:rsidRDefault="00000000">
            <w:pPr>
              <w:spacing w:before="20" w:after="20"/>
              <w:jc w:val="both"/>
            </w:pPr>
            <w:r>
              <w:rPr>
                <w:sz w:val="18"/>
                <w:szCs w:val="18"/>
              </w:rPr>
              <w:t>Presenta tablas y gráficos adecuados y rotulados.</w:t>
            </w:r>
          </w:p>
        </w:tc>
        <w:tc>
          <w:tcPr>
            <w:tcW w:w="1861" w:type="dxa"/>
            <w:shd w:val="clear" w:color="auto" w:fill="D9E2F3"/>
            <w:vAlign w:val="center"/>
          </w:tcPr>
          <w:p w14:paraId="2E3ED29D" w14:textId="77777777" w:rsidR="00990B14" w:rsidRDefault="00000000">
            <w:pPr>
              <w:spacing w:before="20" w:after="20"/>
              <w:jc w:val="both"/>
            </w:pPr>
            <w:r>
              <w:rPr>
                <w:sz w:val="18"/>
                <w:szCs w:val="18"/>
              </w:rPr>
              <w:t>Elige el gráfico que mejor comunica cada hallazgo.</w:t>
            </w:r>
          </w:p>
        </w:tc>
      </w:tr>
      <w:tr w:rsidR="00990B14" w14:paraId="5E9BFC4A" w14:textId="77777777">
        <w:trPr>
          <w:cantSplit/>
          <w:jc w:val="center"/>
        </w:trPr>
        <w:tc>
          <w:tcPr>
            <w:tcW w:w="1809" w:type="dxa"/>
            <w:vMerge/>
            <w:shd w:val="clear" w:color="auto" w:fill="4472C4"/>
            <w:vAlign w:val="center"/>
          </w:tcPr>
          <w:p w14:paraId="3C4FC18E" w14:textId="77777777" w:rsidR="00990B14" w:rsidRDefault="00990B14">
            <w:pPr>
              <w:spacing w:before="20" w:after="20"/>
            </w:pPr>
          </w:p>
        </w:tc>
        <w:tc>
          <w:tcPr>
            <w:tcW w:w="1860" w:type="dxa"/>
            <w:shd w:val="clear" w:color="auto" w:fill="D9E2F3"/>
            <w:vAlign w:val="center"/>
          </w:tcPr>
          <w:p w14:paraId="5AC141CC" w14:textId="77777777" w:rsidR="00990B14" w:rsidRDefault="00000000">
            <w:pPr>
              <w:spacing w:before="20" w:after="20"/>
              <w:jc w:val="both"/>
            </w:pPr>
            <w:r>
              <w:rPr>
                <w:sz w:val="18"/>
                <w:szCs w:val="18"/>
              </w:rPr>
              <w:t>Fuentes secundarias</w:t>
            </w:r>
          </w:p>
        </w:tc>
        <w:tc>
          <w:tcPr>
            <w:tcW w:w="1860" w:type="dxa"/>
            <w:shd w:val="clear" w:color="auto" w:fill="D9E2F3"/>
            <w:vAlign w:val="center"/>
          </w:tcPr>
          <w:p w14:paraId="43060773" w14:textId="77777777" w:rsidR="00990B14" w:rsidRDefault="00000000">
            <w:pPr>
              <w:spacing w:before="20" w:after="20"/>
              <w:jc w:val="both"/>
            </w:pPr>
            <w:r>
              <w:rPr>
                <w:sz w:val="18"/>
                <w:szCs w:val="18"/>
              </w:rPr>
              <w:t>No usa datos de fuente secundaria.</w:t>
            </w:r>
          </w:p>
        </w:tc>
        <w:tc>
          <w:tcPr>
            <w:tcW w:w="2015" w:type="dxa"/>
            <w:shd w:val="clear" w:color="auto" w:fill="D9E2F3"/>
            <w:vAlign w:val="center"/>
          </w:tcPr>
          <w:p w14:paraId="5958A689" w14:textId="77777777" w:rsidR="00990B14" w:rsidRDefault="00000000">
            <w:pPr>
              <w:spacing w:before="20" w:after="20"/>
              <w:jc w:val="both"/>
            </w:pPr>
            <w:r>
              <w:rPr>
                <w:sz w:val="18"/>
                <w:szCs w:val="18"/>
              </w:rPr>
              <w:t>Integra datos del INE, del BCB o de la ASFI.</w:t>
            </w:r>
          </w:p>
        </w:tc>
        <w:tc>
          <w:tcPr>
            <w:tcW w:w="1861" w:type="dxa"/>
            <w:shd w:val="clear" w:color="auto" w:fill="D9E2F3"/>
            <w:vAlign w:val="center"/>
          </w:tcPr>
          <w:p w14:paraId="38F9B4DB" w14:textId="77777777" w:rsidR="00990B14" w:rsidRDefault="00000000">
            <w:pPr>
              <w:spacing w:before="20" w:after="20"/>
              <w:jc w:val="both"/>
            </w:pPr>
            <w:r>
              <w:rPr>
                <w:sz w:val="18"/>
                <w:szCs w:val="18"/>
              </w:rPr>
              <w:t>Contrasta los datos primarios con los secundarios.</w:t>
            </w:r>
          </w:p>
        </w:tc>
      </w:tr>
      <w:tr w:rsidR="00990B14" w14:paraId="3D7863F4" w14:textId="77777777">
        <w:trPr>
          <w:cantSplit/>
          <w:jc w:val="center"/>
        </w:trPr>
        <w:tc>
          <w:tcPr>
            <w:tcW w:w="1809" w:type="dxa"/>
            <w:vMerge/>
            <w:shd w:val="clear" w:color="auto" w:fill="4472C4"/>
            <w:vAlign w:val="center"/>
          </w:tcPr>
          <w:p w14:paraId="212A8EB5" w14:textId="77777777" w:rsidR="00990B14" w:rsidRDefault="00990B14">
            <w:pPr>
              <w:spacing w:before="20" w:after="20"/>
            </w:pPr>
          </w:p>
        </w:tc>
        <w:tc>
          <w:tcPr>
            <w:tcW w:w="5735" w:type="dxa"/>
            <w:gridSpan w:val="3"/>
            <w:shd w:val="clear" w:color="auto" w:fill="D9E2F3"/>
            <w:vAlign w:val="center"/>
          </w:tcPr>
          <w:p w14:paraId="78B177D6" w14:textId="77777777" w:rsidR="00990B14" w:rsidRDefault="00000000">
            <w:pPr>
              <w:keepNext/>
              <w:spacing w:before="20" w:after="20"/>
              <w:jc w:val="both"/>
            </w:pPr>
            <w:r>
              <w:rPr>
                <w:b/>
                <w:bCs/>
                <w:i/>
                <w:iCs/>
                <w:sz w:val="18"/>
                <w:szCs w:val="18"/>
              </w:rPr>
              <w:t xml:space="preserve">Producto 15: </w:t>
            </w:r>
            <w:r>
              <w:rPr>
                <w:sz w:val="18"/>
                <w:szCs w:val="18"/>
              </w:rPr>
              <w:t>Informe final de investigación</w:t>
            </w:r>
          </w:p>
        </w:tc>
        <w:tc>
          <w:tcPr>
            <w:tcW w:w="1861" w:type="dxa"/>
            <w:shd w:val="clear" w:color="auto" w:fill="D9E2F3"/>
            <w:vAlign w:val="center"/>
          </w:tcPr>
          <w:p w14:paraId="4B4F54E3" w14:textId="77777777" w:rsidR="00990B14" w:rsidRDefault="00000000">
            <w:pPr>
              <w:spacing w:before="20" w:after="20"/>
              <w:jc w:val="center"/>
            </w:pPr>
            <w:r>
              <w:rPr>
                <w:b/>
                <w:bCs/>
                <w:sz w:val="18"/>
                <w:szCs w:val="18"/>
              </w:rPr>
              <w:t>12%</w:t>
            </w:r>
          </w:p>
        </w:tc>
      </w:tr>
      <w:tr w:rsidR="00990B14" w14:paraId="4AC28543" w14:textId="77777777">
        <w:trPr>
          <w:cantSplit/>
          <w:jc w:val="center"/>
        </w:trPr>
        <w:tc>
          <w:tcPr>
            <w:tcW w:w="1809" w:type="dxa"/>
            <w:vMerge/>
            <w:shd w:val="clear" w:color="auto" w:fill="4472C4"/>
            <w:vAlign w:val="center"/>
          </w:tcPr>
          <w:p w14:paraId="4E9F5929" w14:textId="77777777" w:rsidR="00990B14" w:rsidRDefault="00990B14">
            <w:pPr>
              <w:spacing w:before="20" w:after="20"/>
            </w:pPr>
          </w:p>
        </w:tc>
        <w:tc>
          <w:tcPr>
            <w:tcW w:w="1860" w:type="dxa"/>
            <w:shd w:val="clear" w:color="auto" w:fill="4472C4"/>
            <w:vAlign w:val="center"/>
          </w:tcPr>
          <w:p w14:paraId="522C6BB6" w14:textId="77777777" w:rsidR="00990B14" w:rsidRDefault="00000000">
            <w:pPr>
              <w:keepNext/>
              <w:spacing w:before="20" w:after="20"/>
              <w:jc w:val="center"/>
            </w:pPr>
            <w:r>
              <w:rPr>
                <w:b/>
                <w:bCs/>
                <w:i/>
                <w:iCs/>
                <w:color w:val="FFFFFF"/>
                <w:sz w:val="18"/>
                <w:szCs w:val="18"/>
              </w:rPr>
              <w:t>Criterio</w:t>
            </w:r>
          </w:p>
        </w:tc>
        <w:tc>
          <w:tcPr>
            <w:tcW w:w="1860" w:type="dxa"/>
            <w:shd w:val="clear" w:color="auto" w:fill="4472C4"/>
            <w:vAlign w:val="center"/>
          </w:tcPr>
          <w:p w14:paraId="0D2CFB96"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11BC7480" w14:textId="77777777" w:rsidR="00990B14" w:rsidRDefault="00000000">
            <w:pPr>
              <w:keepNext/>
              <w:spacing w:before="20" w:after="20"/>
              <w:jc w:val="center"/>
            </w:pPr>
            <w:r>
              <w:rPr>
                <w:b/>
                <w:bCs/>
                <w:i/>
                <w:iCs/>
                <w:color w:val="FFFFFF"/>
                <w:sz w:val="18"/>
                <w:szCs w:val="18"/>
              </w:rPr>
              <w:t>Suficiente (51–80)</w:t>
            </w:r>
          </w:p>
        </w:tc>
        <w:tc>
          <w:tcPr>
            <w:tcW w:w="1861" w:type="dxa"/>
            <w:shd w:val="clear" w:color="auto" w:fill="4472C4"/>
            <w:vAlign w:val="center"/>
          </w:tcPr>
          <w:p w14:paraId="05CDFF29" w14:textId="77777777" w:rsidR="00990B14" w:rsidRDefault="00000000">
            <w:pPr>
              <w:keepNext/>
              <w:spacing w:before="20" w:after="20"/>
              <w:jc w:val="center"/>
            </w:pPr>
            <w:r>
              <w:rPr>
                <w:b/>
                <w:bCs/>
                <w:i/>
                <w:iCs/>
                <w:color w:val="FFFFFF"/>
                <w:sz w:val="18"/>
                <w:szCs w:val="18"/>
              </w:rPr>
              <w:t>Destacado (81–100)</w:t>
            </w:r>
          </w:p>
        </w:tc>
      </w:tr>
      <w:tr w:rsidR="00990B14" w14:paraId="401C58E9" w14:textId="77777777">
        <w:trPr>
          <w:cantSplit/>
          <w:jc w:val="center"/>
        </w:trPr>
        <w:tc>
          <w:tcPr>
            <w:tcW w:w="1809" w:type="dxa"/>
            <w:vMerge/>
            <w:shd w:val="clear" w:color="auto" w:fill="4472C4"/>
            <w:vAlign w:val="center"/>
          </w:tcPr>
          <w:p w14:paraId="237F2C1D" w14:textId="77777777" w:rsidR="00990B14" w:rsidRDefault="00990B14">
            <w:pPr>
              <w:spacing w:before="20" w:after="20"/>
            </w:pPr>
          </w:p>
        </w:tc>
        <w:tc>
          <w:tcPr>
            <w:tcW w:w="1860" w:type="dxa"/>
            <w:shd w:val="clear" w:color="auto" w:fill="D9E2F3"/>
            <w:vAlign w:val="center"/>
          </w:tcPr>
          <w:p w14:paraId="60CC2708" w14:textId="77777777" w:rsidR="00990B14" w:rsidRDefault="00000000">
            <w:pPr>
              <w:spacing w:before="20" w:after="20"/>
              <w:jc w:val="both"/>
            </w:pPr>
            <w:r>
              <w:rPr>
                <w:sz w:val="18"/>
                <w:szCs w:val="18"/>
              </w:rPr>
              <w:t>Estructura del informe</w:t>
            </w:r>
          </w:p>
        </w:tc>
        <w:tc>
          <w:tcPr>
            <w:tcW w:w="1860" w:type="dxa"/>
            <w:shd w:val="clear" w:color="auto" w:fill="D9E2F3"/>
            <w:vAlign w:val="center"/>
          </w:tcPr>
          <w:p w14:paraId="13023739" w14:textId="77777777" w:rsidR="00990B14" w:rsidRDefault="00000000">
            <w:pPr>
              <w:spacing w:before="20" w:after="20"/>
              <w:jc w:val="both"/>
            </w:pPr>
            <w:r>
              <w:rPr>
                <w:sz w:val="18"/>
                <w:szCs w:val="18"/>
              </w:rPr>
              <w:t>Omite secciones del informe.</w:t>
            </w:r>
          </w:p>
        </w:tc>
        <w:tc>
          <w:tcPr>
            <w:tcW w:w="2015" w:type="dxa"/>
            <w:shd w:val="clear" w:color="auto" w:fill="D9E2F3"/>
            <w:vAlign w:val="center"/>
          </w:tcPr>
          <w:p w14:paraId="570D4CF6" w14:textId="77777777" w:rsidR="00990B14" w:rsidRDefault="00000000">
            <w:pPr>
              <w:spacing w:before="20" w:after="20"/>
              <w:jc w:val="both"/>
            </w:pPr>
            <w:r>
              <w:rPr>
                <w:sz w:val="18"/>
                <w:szCs w:val="18"/>
              </w:rPr>
              <w:t>Presenta todas las secciones del informe.</w:t>
            </w:r>
          </w:p>
        </w:tc>
        <w:tc>
          <w:tcPr>
            <w:tcW w:w="1861" w:type="dxa"/>
            <w:shd w:val="clear" w:color="auto" w:fill="D9E2F3"/>
            <w:vAlign w:val="center"/>
          </w:tcPr>
          <w:p w14:paraId="344E6F9B" w14:textId="77777777" w:rsidR="00990B14" w:rsidRDefault="00000000">
            <w:pPr>
              <w:spacing w:before="20" w:after="20"/>
              <w:jc w:val="both"/>
            </w:pPr>
            <w:r>
              <w:rPr>
                <w:sz w:val="18"/>
                <w:szCs w:val="18"/>
              </w:rPr>
              <w:t>Articula las secciones con coherencia.</w:t>
            </w:r>
          </w:p>
        </w:tc>
      </w:tr>
      <w:tr w:rsidR="00990B14" w14:paraId="644C3164" w14:textId="77777777">
        <w:trPr>
          <w:cantSplit/>
          <w:jc w:val="center"/>
        </w:trPr>
        <w:tc>
          <w:tcPr>
            <w:tcW w:w="1809" w:type="dxa"/>
            <w:vMerge/>
            <w:shd w:val="clear" w:color="auto" w:fill="4472C4"/>
            <w:vAlign w:val="center"/>
          </w:tcPr>
          <w:p w14:paraId="1A8BC70D" w14:textId="77777777" w:rsidR="00990B14" w:rsidRDefault="00990B14">
            <w:pPr>
              <w:spacing w:before="20" w:after="20"/>
            </w:pPr>
          </w:p>
        </w:tc>
        <w:tc>
          <w:tcPr>
            <w:tcW w:w="1860" w:type="dxa"/>
            <w:shd w:val="clear" w:color="auto" w:fill="D9E2F3"/>
            <w:vAlign w:val="center"/>
          </w:tcPr>
          <w:p w14:paraId="7F60007B" w14:textId="77777777" w:rsidR="00990B14" w:rsidRDefault="00000000">
            <w:pPr>
              <w:spacing w:before="20" w:after="20"/>
              <w:jc w:val="both"/>
            </w:pPr>
            <w:r>
              <w:rPr>
                <w:sz w:val="18"/>
                <w:szCs w:val="18"/>
              </w:rPr>
              <w:t>Resultados y conclusiones</w:t>
            </w:r>
          </w:p>
        </w:tc>
        <w:tc>
          <w:tcPr>
            <w:tcW w:w="1860" w:type="dxa"/>
            <w:shd w:val="clear" w:color="auto" w:fill="D9E2F3"/>
            <w:vAlign w:val="center"/>
          </w:tcPr>
          <w:p w14:paraId="20FF68D2" w14:textId="77777777" w:rsidR="00990B14" w:rsidRDefault="00000000">
            <w:pPr>
              <w:spacing w:before="20" w:after="20"/>
              <w:jc w:val="both"/>
            </w:pPr>
            <w:r>
              <w:rPr>
                <w:sz w:val="18"/>
                <w:szCs w:val="18"/>
              </w:rPr>
              <w:t>Las conclusiones no se apoyan en los datos.</w:t>
            </w:r>
          </w:p>
        </w:tc>
        <w:tc>
          <w:tcPr>
            <w:tcW w:w="2015" w:type="dxa"/>
            <w:shd w:val="clear" w:color="auto" w:fill="D9E2F3"/>
            <w:vAlign w:val="center"/>
          </w:tcPr>
          <w:p w14:paraId="0164F6C4" w14:textId="77777777" w:rsidR="00990B14" w:rsidRDefault="00000000">
            <w:pPr>
              <w:spacing w:before="20" w:after="20"/>
              <w:jc w:val="both"/>
            </w:pPr>
            <w:r>
              <w:rPr>
                <w:sz w:val="18"/>
                <w:szCs w:val="18"/>
              </w:rPr>
              <w:t>Las conclusiones responden a los objetivos.</w:t>
            </w:r>
          </w:p>
        </w:tc>
        <w:tc>
          <w:tcPr>
            <w:tcW w:w="1861" w:type="dxa"/>
            <w:shd w:val="clear" w:color="auto" w:fill="D9E2F3"/>
            <w:vAlign w:val="center"/>
          </w:tcPr>
          <w:p w14:paraId="195B72B4" w14:textId="77777777" w:rsidR="00990B14" w:rsidRDefault="00000000">
            <w:pPr>
              <w:spacing w:before="20" w:after="20"/>
              <w:jc w:val="both"/>
            </w:pPr>
            <w:r>
              <w:rPr>
                <w:sz w:val="18"/>
                <w:szCs w:val="18"/>
              </w:rPr>
              <w:t>Señala las limitaciones y las futuras líneas de investigación.</w:t>
            </w:r>
          </w:p>
        </w:tc>
      </w:tr>
      <w:tr w:rsidR="00990B14" w14:paraId="2BDE0D0F" w14:textId="77777777">
        <w:trPr>
          <w:cantSplit/>
          <w:jc w:val="center"/>
        </w:trPr>
        <w:tc>
          <w:tcPr>
            <w:tcW w:w="1809" w:type="dxa"/>
            <w:vMerge/>
            <w:shd w:val="clear" w:color="auto" w:fill="4472C4"/>
            <w:vAlign w:val="center"/>
          </w:tcPr>
          <w:p w14:paraId="5A0FB20A" w14:textId="77777777" w:rsidR="00990B14" w:rsidRDefault="00990B14">
            <w:pPr>
              <w:spacing w:before="20" w:after="20"/>
            </w:pPr>
          </w:p>
        </w:tc>
        <w:tc>
          <w:tcPr>
            <w:tcW w:w="1860" w:type="dxa"/>
            <w:shd w:val="clear" w:color="auto" w:fill="D9E2F3"/>
            <w:vAlign w:val="center"/>
          </w:tcPr>
          <w:p w14:paraId="272E1096" w14:textId="77777777" w:rsidR="00990B14" w:rsidRDefault="00000000">
            <w:pPr>
              <w:spacing w:before="20" w:after="20"/>
              <w:jc w:val="both"/>
            </w:pPr>
            <w:r>
              <w:rPr>
                <w:sz w:val="18"/>
                <w:szCs w:val="18"/>
              </w:rPr>
              <w:t>Resumen de la propuesta en inglés</w:t>
            </w:r>
          </w:p>
        </w:tc>
        <w:tc>
          <w:tcPr>
            <w:tcW w:w="1860" w:type="dxa"/>
            <w:shd w:val="clear" w:color="auto" w:fill="D9E2F3"/>
            <w:vAlign w:val="center"/>
          </w:tcPr>
          <w:p w14:paraId="2D3F1400" w14:textId="77777777" w:rsidR="00990B14" w:rsidRDefault="00000000">
            <w:pPr>
              <w:spacing w:before="20" w:after="20"/>
              <w:jc w:val="both"/>
            </w:pPr>
            <w:r>
              <w:rPr>
                <w:sz w:val="18"/>
                <w:szCs w:val="18"/>
              </w:rPr>
              <w:t>El resumen de la propuesta tiene errores graves.</w:t>
            </w:r>
          </w:p>
        </w:tc>
        <w:tc>
          <w:tcPr>
            <w:tcW w:w="2015" w:type="dxa"/>
            <w:shd w:val="clear" w:color="auto" w:fill="D9E2F3"/>
            <w:vAlign w:val="center"/>
          </w:tcPr>
          <w:p w14:paraId="67EEFEBE" w14:textId="77777777" w:rsidR="00990B14" w:rsidRDefault="00000000">
            <w:pPr>
              <w:spacing w:before="20" w:after="20"/>
              <w:jc w:val="both"/>
            </w:pPr>
            <w:r>
              <w:rPr>
                <w:sz w:val="18"/>
                <w:szCs w:val="18"/>
              </w:rPr>
              <w:t>El resumen de la propuesta es objeto de corrección.</w:t>
            </w:r>
          </w:p>
        </w:tc>
        <w:tc>
          <w:tcPr>
            <w:tcW w:w="1861" w:type="dxa"/>
            <w:shd w:val="clear" w:color="auto" w:fill="D9E2F3"/>
            <w:vAlign w:val="center"/>
          </w:tcPr>
          <w:p w14:paraId="56AFA872" w14:textId="77777777" w:rsidR="00990B14" w:rsidRDefault="00000000">
            <w:pPr>
              <w:spacing w:before="20" w:after="20"/>
              <w:jc w:val="both"/>
            </w:pPr>
            <w:r>
              <w:rPr>
                <w:sz w:val="18"/>
                <w:szCs w:val="18"/>
              </w:rPr>
              <w:t>Incluye palabras clave en ambos idiomas.</w:t>
            </w:r>
          </w:p>
        </w:tc>
      </w:tr>
      <w:tr w:rsidR="00990B14" w14:paraId="687B2D9B" w14:textId="77777777">
        <w:trPr>
          <w:cantSplit/>
          <w:jc w:val="center"/>
        </w:trPr>
        <w:tc>
          <w:tcPr>
            <w:tcW w:w="1809" w:type="dxa"/>
            <w:vMerge/>
            <w:shd w:val="clear" w:color="auto" w:fill="4472C4"/>
            <w:vAlign w:val="center"/>
          </w:tcPr>
          <w:p w14:paraId="00A7C4A8" w14:textId="77777777" w:rsidR="00990B14" w:rsidRDefault="00990B14">
            <w:pPr>
              <w:spacing w:before="20" w:after="20"/>
            </w:pPr>
          </w:p>
        </w:tc>
        <w:tc>
          <w:tcPr>
            <w:tcW w:w="5735" w:type="dxa"/>
            <w:gridSpan w:val="3"/>
            <w:shd w:val="clear" w:color="auto" w:fill="D9E2F3"/>
            <w:vAlign w:val="center"/>
          </w:tcPr>
          <w:p w14:paraId="3F300A18" w14:textId="77777777" w:rsidR="00990B14" w:rsidRDefault="00000000">
            <w:pPr>
              <w:keepNext/>
              <w:spacing w:before="20" w:after="20"/>
              <w:jc w:val="both"/>
            </w:pPr>
            <w:r>
              <w:rPr>
                <w:b/>
                <w:bCs/>
                <w:i/>
                <w:iCs/>
                <w:sz w:val="18"/>
                <w:szCs w:val="18"/>
              </w:rPr>
              <w:t xml:space="preserve">Producto 16: </w:t>
            </w:r>
            <w:r>
              <w:rPr>
                <w:sz w:val="18"/>
                <w:szCs w:val="18"/>
              </w:rPr>
              <w:t>Sustentación de resultados</w:t>
            </w:r>
          </w:p>
        </w:tc>
        <w:tc>
          <w:tcPr>
            <w:tcW w:w="1861" w:type="dxa"/>
            <w:shd w:val="clear" w:color="auto" w:fill="D9E2F3"/>
            <w:vAlign w:val="center"/>
          </w:tcPr>
          <w:p w14:paraId="310002E1" w14:textId="77777777" w:rsidR="00990B14" w:rsidRDefault="00000000">
            <w:pPr>
              <w:spacing w:before="20" w:after="20"/>
              <w:jc w:val="center"/>
            </w:pPr>
            <w:r>
              <w:rPr>
                <w:b/>
                <w:bCs/>
                <w:sz w:val="18"/>
                <w:szCs w:val="18"/>
              </w:rPr>
              <w:t>6%</w:t>
            </w:r>
          </w:p>
        </w:tc>
      </w:tr>
      <w:tr w:rsidR="00990B14" w14:paraId="70BD6BEA" w14:textId="77777777">
        <w:trPr>
          <w:cantSplit/>
          <w:jc w:val="center"/>
        </w:trPr>
        <w:tc>
          <w:tcPr>
            <w:tcW w:w="1809" w:type="dxa"/>
            <w:vMerge/>
            <w:shd w:val="clear" w:color="auto" w:fill="4472C4"/>
            <w:vAlign w:val="center"/>
          </w:tcPr>
          <w:p w14:paraId="5891722B" w14:textId="77777777" w:rsidR="00990B14" w:rsidRDefault="00990B14">
            <w:pPr>
              <w:spacing w:before="20" w:after="20"/>
            </w:pPr>
          </w:p>
        </w:tc>
        <w:tc>
          <w:tcPr>
            <w:tcW w:w="1860" w:type="dxa"/>
            <w:shd w:val="clear" w:color="auto" w:fill="4472C4"/>
            <w:vAlign w:val="center"/>
          </w:tcPr>
          <w:p w14:paraId="5ED5B3CF" w14:textId="77777777" w:rsidR="00990B14" w:rsidRDefault="00000000">
            <w:pPr>
              <w:keepNext/>
              <w:spacing w:before="20" w:after="20"/>
              <w:jc w:val="center"/>
            </w:pPr>
            <w:r>
              <w:rPr>
                <w:b/>
                <w:bCs/>
                <w:i/>
                <w:iCs/>
                <w:color w:val="FFFFFF"/>
                <w:sz w:val="18"/>
                <w:szCs w:val="18"/>
              </w:rPr>
              <w:t>Criterio</w:t>
            </w:r>
          </w:p>
        </w:tc>
        <w:tc>
          <w:tcPr>
            <w:tcW w:w="1860" w:type="dxa"/>
            <w:shd w:val="clear" w:color="auto" w:fill="4472C4"/>
            <w:vAlign w:val="center"/>
          </w:tcPr>
          <w:p w14:paraId="47600462"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49950AED" w14:textId="77777777" w:rsidR="00990B14" w:rsidRDefault="00000000">
            <w:pPr>
              <w:keepNext/>
              <w:spacing w:before="20" w:after="20"/>
              <w:jc w:val="center"/>
            </w:pPr>
            <w:r>
              <w:rPr>
                <w:b/>
                <w:bCs/>
                <w:i/>
                <w:iCs/>
                <w:color w:val="FFFFFF"/>
                <w:sz w:val="18"/>
                <w:szCs w:val="18"/>
              </w:rPr>
              <w:t>Suficiente (51–80)</w:t>
            </w:r>
          </w:p>
        </w:tc>
        <w:tc>
          <w:tcPr>
            <w:tcW w:w="1861" w:type="dxa"/>
            <w:shd w:val="clear" w:color="auto" w:fill="4472C4"/>
            <w:vAlign w:val="center"/>
          </w:tcPr>
          <w:p w14:paraId="75D11271" w14:textId="77777777" w:rsidR="00990B14" w:rsidRDefault="00000000">
            <w:pPr>
              <w:keepNext/>
              <w:spacing w:before="20" w:after="20"/>
              <w:jc w:val="center"/>
            </w:pPr>
            <w:r>
              <w:rPr>
                <w:b/>
                <w:bCs/>
                <w:i/>
                <w:iCs/>
                <w:color w:val="FFFFFF"/>
                <w:sz w:val="18"/>
                <w:szCs w:val="18"/>
              </w:rPr>
              <w:t>Destacado (81–100)</w:t>
            </w:r>
          </w:p>
        </w:tc>
      </w:tr>
      <w:tr w:rsidR="00990B14" w14:paraId="26372E61" w14:textId="77777777">
        <w:trPr>
          <w:cantSplit/>
          <w:jc w:val="center"/>
        </w:trPr>
        <w:tc>
          <w:tcPr>
            <w:tcW w:w="1809" w:type="dxa"/>
            <w:vMerge/>
            <w:shd w:val="clear" w:color="auto" w:fill="4472C4"/>
            <w:vAlign w:val="center"/>
          </w:tcPr>
          <w:p w14:paraId="2DE1DB62" w14:textId="77777777" w:rsidR="00990B14" w:rsidRDefault="00990B14">
            <w:pPr>
              <w:spacing w:before="20" w:after="20"/>
            </w:pPr>
          </w:p>
        </w:tc>
        <w:tc>
          <w:tcPr>
            <w:tcW w:w="1860" w:type="dxa"/>
            <w:shd w:val="clear" w:color="auto" w:fill="D9E2F3"/>
            <w:vAlign w:val="center"/>
          </w:tcPr>
          <w:p w14:paraId="4CA9FD51" w14:textId="77777777" w:rsidR="00990B14" w:rsidRDefault="00000000">
            <w:pPr>
              <w:spacing w:before="20" w:after="20"/>
              <w:jc w:val="both"/>
            </w:pPr>
            <w:r>
              <w:rPr>
                <w:sz w:val="18"/>
                <w:szCs w:val="18"/>
              </w:rPr>
              <w:t>Dominio del tema</w:t>
            </w:r>
          </w:p>
        </w:tc>
        <w:tc>
          <w:tcPr>
            <w:tcW w:w="1860" w:type="dxa"/>
            <w:shd w:val="clear" w:color="auto" w:fill="D9E2F3"/>
            <w:vAlign w:val="center"/>
          </w:tcPr>
          <w:p w14:paraId="3067E78A" w14:textId="77777777" w:rsidR="00990B14" w:rsidRDefault="00000000">
            <w:pPr>
              <w:spacing w:before="20" w:after="20"/>
              <w:jc w:val="both"/>
            </w:pPr>
            <w:r>
              <w:rPr>
                <w:sz w:val="18"/>
                <w:szCs w:val="18"/>
              </w:rPr>
              <w:t>Lee las diapositivas sin explicar.</w:t>
            </w:r>
          </w:p>
        </w:tc>
        <w:tc>
          <w:tcPr>
            <w:tcW w:w="2015" w:type="dxa"/>
            <w:shd w:val="clear" w:color="auto" w:fill="D9E2F3"/>
            <w:vAlign w:val="center"/>
          </w:tcPr>
          <w:p w14:paraId="1D2A6E2E" w14:textId="77777777" w:rsidR="00990B14" w:rsidRDefault="00000000">
            <w:pPr>
              <w:spacing w:before="20" w:after="20"/>
              <w:jc w:val="both"/>
            </w:pPr>
            <w:r>
              <w:rPr>
                <w:sz w:val="18"/>
                <w:szCs w:val="18"/>
              </w:rPr>
              <w:t>Explica con seguridad los resultados.</w:t>
            </w:r>
          </w:p>
        </w:tc>
        <w:tc>
          <w:tcPr>
            <w:tcW w:w="1861" w:type="dxa"/>
            <w:shd w:val="clear" w:color="auto" w:fill="D9E2F3"/>
            <w:vAlign w:val="center"/>
          </w:tcPr>
          <w:p w14:paraId="7FD19467" w14:textId="77777777" w:rsidR="00990B14" w:rsidRDefault="00000000">
            <w:pPr>
              <w:spacing w:before="20" w:after="20"/>
              <w:jc w:val="both"/>
            </w:pPr>
            <w:r>
              <w:rPr>
                <w:sz w:val="18"/>
                <w:szCs w:val="18"/>
              </w:rPr>
              <w:t>Responde con fundamento las preguntas del curso.</w:t>
            </w:r>
          </w:p>
        </w:tc>
      </w:tr>
      <w:tr w:rsidR="00990B14" w14:paraId="677CFADE" w14:textId="77777777">
        <w:trPr>
          <w:cantSplit/>
          <w:jc w:val="center"/>
        </w:trPr>
        <w:tc>
          <w:tcPr>
            <w:tcW w:w="1809" w:type="dxa"/>
            <w:vMerge/>
            <w:shd w:val="clear" w:color="auto" w:fill="4472C4"/>
            <w:vAlign w:val="center"/>
          </w:tcPr>
          <w:p w14:paraId="2DFAF590" w14:textId="77777777" w:rsidR="00990B14" w:rsidRDefault="00990B14">
            <w:pPr>
              <w:spacing w:before="20" w:after="20"/>
            </w:pPr>
          </w:p>
        </w:tc>
        <w:tc>
          <w:tcPr>
            <w:tcW w:w="1860" w:type="dxa"/>
            <w:shd w:val="clear" w:color="auto" w:fill="D9E2F3"/>
            <w:vAlign w:val="center"/>
          </w:tcPr>
          <w:p w14:paraId="0FAB633E" w14:textId="77777777" w:rsidR="00990B14" w:rsidRDefault="00000000">
            <w:pPr>
              <w:spacing w:before="20" w:after="20"/>
              <w:jc w:val="both"/>
            </w:pPr>
            <w:r>
              <w:rPr>
                <w:sz w:val="18"/>
                <w:szCs w:val="18"/>
              </w:rPr>
              <w:t>Recursos visuales</w:t>
            </w:r>
          </w:p>
        </w:tc>
        <w:tc>
          <w:tcPr>
            <w:tcW w:w="1860" w:type="dxa"/>
            <w:shd w:val="clear" w:color="auto" w:fill="D9E2F3"/>
            <w:vAlign w:val="center"/>
          </w:tcPr>
          <w:p w14:paraId="3D0AF167" w14:textId="77777777" w:rsidR="00990B14" w:rsidRDefault="00000000">
            <w:pPr>
              <w:spacing w:before="20" w:after="20"/>
              <w:jc w:val="both"/>
            </w:pPr>
            <w:r>
              <w:rPr>
                <w:sz w:val="18"/>
                <w:szCs w:val="18"/>
              </w:rPr>
              <w:t>Las diapositivas están recargadas de texto.</w:t>
            </w:r>
          </w:p>
        </w:tc>
        <w:tc>
          <w:tcPr>
            <w:tcW w:w="2015" w:type="dxa"/>
            <w:shd w:val="clear" w:color="auto" w:fill="D9E2F3"/>
            <w:vAlign w:val="center"/>
          </w:tcPr>
          <w:p w14:paraId="67DBD8E1" w14:textId="77777777" w:rsidR="00990B14" w:rsidRDefault="00000000">
            <w:pPr>
              <w:spacing w:before="20" w:after="20"/>
              <w:jc w:val="both"/>
            </w:pPr>
            <w:r>
              <w:rPr>
                <w:sz w:val="18"/>
                <w:szCs w:val="18"/>
              </w:rPr>
              <w:t>Las diapositivas son claras y legibles.</w:t>
            </w:r>
          </w:p>
        </w:tc>
        <w:tc>
          <w:tcPr>
            <w:tcW w:w="1861" w:type="dxa"/>
            <w:shd w:val="clear" w:color="auto" w:fill="D9E2F3"/>
            <w:vAlign w:val="center"/>
          </w:tcPr>
          <w:p w14:paraId="781C0F1E" w14:textId="77777777" w:rsidR="00990B14" w:rsidRDefault="00000000">
            <w:pPr>
              <w:spacing w:before="20" w:after="20"/>
              <w:jc w:val="both"/>
            </w:pPr>
            <w:r>
              <w:rPr>
                <w:sz w:val="18"/>
                <w:szCs w:val="18"/>
              </w:rPr>
              <w:t>Usa gráficos que sintetizan la propuesta.</w:t>
            </w:r>
          </w:p>
        </w:tc>
      </w:tr>
      <w:tr w:rsidR="00990B14" w14:paraId="0BB99EDC" w14:textId="77777777">
        <w:trPr>
          <w:cantSplit/>
          <w:jc w:val="center"/>
        </w:trPr>
        <w:tc>
          <w:tcPr>
            <w:tcW w:w="1809" w:type="dxa"/>
            <w:vMerge/>
            <w:shd w:val="clear" w:color="auto" w:fill="4472C4"/>
            <w:vAlign w:val="center"/>
          </w:tcPr>
          <w:p w14:paraId="40B0F1FC" w14:textId="77777777" w:rsidR="00990B14" w:rsidRDefault="00990B14">
            <w:pPr>
              <w:spacing w:before="20" w:after="20"/>
            </w:pPr>
          </w:p>
        </w:tc>
        <w:tc>
          <w:tcPr>
            <w:tcW w:w="1860" w:type="dxa"/>
            <w:shd w:val="clear" w:color="auto" w:fill="D9E2F3"/>
            <w:vAlign w:val="center"/>
          </w:tcPr>
          <w:p w14:paraId="5F403A7E" w14:textId="77777777" w:rsidR="00990B14" w:rsidRDefault="00000000">
            <w:pPr>
              <w:spacing w:before="20" w:after="20"/>
              <w:jc w:val="both"/>
            </w:pPr>
            <w:r>
              <w:rPr>
                <w:sz w:val="18"/>
                <w:szCs w:val="18"/>
              </w:rPr>
              <w:t>Manejo del tiempo</w:t>
            </w:r>
          </w:p>
        </w:tc>
        <w:tc>
          <w:tcPr>
            <w:tcW w:w="1860" w:type="dxa"/>
            <w:shd w:val="clear" w:color="auto" w:fill="D9E2F3"/>
            <w:vAlign w:val="center"/>
          </w:tcPr>
          <w:p w14:paraId="3E10EDD5" w14:textId="77777777" w:rsidR="00990B14" w:rsidRDefault="00000000">
            <w:pPr>
              <w:spacing w:before="20" w:after="20"/>
              <w:jc w:val="both"/>
            </w:pPr>
            <w:r>
              <w:rPr>
                <w:sz w:val="18"/>
                <w:szCs w:val="18"/>
              </w:rPr>
              <w:t>Excede el tiempo asignado.</w:t>
            </w:r>
          </w:p>
        </w:tc>
        <w:tc>
          <w:tcPr>
            <w:tcW w:w="2015" w:type="dxa"/>
            <w:shd w:val="clear" w:color="auto" w:fill="D9E2F3"/>
            <w:vAlign w:val="center"/>
          </w:tcPr>
          <w:p w14:paraId="2A80DA19" w14:textId="77777777" w:rsidR="00990B14" w:rsidRDefault="00000000">
            <w:pPr>
              <w:spacing w:before="20" w:after="20"/>
              <w:jc w:val="both"/>
            </w:pPr>
            <w:r>
              <w:rPr>
                <w:sz w:val="18"/>
                <w:szCs w:val="18"/>
              </w:rPr>
              <w:t>Respeta el tiempo asignado.</w:t>
            </w:r>
          </w:p>
        </w:tc>
        <w:tc>
          <w:tcPr>
            <w:tcW w:w="1861" w:type="dxa"/>
            <w:shd w:val="clear" w:color="auto" w:fill="D9E2F3"/>
            <w:vAlign w:val="center"/>
          </w:tcPr>
          <w:p w14:paraId="2C3BC321" w14:textId="77777777" w:rsidR="00990B14" w:rsidRDefault="00000000">
            <w:pPr>
              <w:spacing w:before="20" w:after="20"/>
              <w:jc w:val="both"/>
            </w:pPr>
            <w:r>
              <w:rPr>
                <w:sz w:val="18"/>
                <w:szCs w:val="18"/>
              </w:rPr>
              <w:t>Distribuye el tiempo según la importancia de cada parte.</w:t>
            </w:r>
          </w:p>
        </w:tc>
      </w:tr>
      <w:tr w:rsidR="00990B14" w14:paraId="0DF26EFF" w14:textId="77777777">
        <w:trPr>
          <w:cantSplit/>
          <w:jc w:val="center"/>
        </w:trPr>
        <w:tc>
          <w:tcPr>
            <w:tcW w:w="7544" w:type="dxa"/>
            <w:gridSpan w:val="4"/>
            <w:shd w:val="clear" w:color="auto" w:fill="4472C4"/>
            <w:vAlign w:val="center"/>
          </w:tcPr>
          <w:p w14:paraId="6B10178A" w14:textId="77777777" w:rsidR="00990B14" w:rsidRDefault="00000000">
            <w:pPr>
              <w:keepNext/>
              <w:spacing w:before="20" w:after="20"/>
              <w:jc w:val="center"/>
            </w:pPr>
            <w:r>
              <w:rPr>
                <w:b/>
                <w:bCs/>
                <w:i/>
                <w:iCs/>
                <w:color w:val="FFFFFF"/>
                <w:sz w:val="18"/>
                <w:szCs w:val="18"/>
              </w:rPr>
              <w:t>TOTAL</w:t>
            </w:r>
          </w:p>
        </w:tc>
        <w:tc>
          <w:tcPr>
            <w:tcW w:w="1861" w:type="dxa"/>
            <w:shd w:val="clear" w:color="auto" w:fill="4472C4"/>
            <w:vAlign w:val="center"/>
          </w:tcPr>
          <w:p w14:paraId="6363FD1F" w14:textId="77777777" w:rsidR="00990B14" w:rsidRDefault="00000000">
            <w:pPr>
              <w:keepNext/>
              <w:spacing w:before="20" w:after="20"/>
              <w:jc w:val="center"/>
            </w:pPr>
            <w:r>
              <w:rPr>
                <w:b/>
                <w:bCs/>
                <w:i/>
                <w:iCs/>
                <w:color w:val="FFFFFF"/>
                <w:sz w:val="18"/>
                <w:szCs w:val="18"/>
              </w:rPr>
              <w:t>100%</w:t>
            </w:r>
          </w:p>
        </w:tc>
      </w:tr>
    </w:tbl>
    <w:p w14:paraId="2898F339"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9405"/>
      </w:tblGrid>
      <w:tr w:rsidR="00990B14" w14:paraId="060B6126" w14:textId="77777777">
        <w:trPr>
          <w:jc w:val="center"/>
        </w:trPr>
        <w:tc>
          <w:tcPr>
            <w:tcW w:w="9405" w:type="dxa"/>
            <w:shd w:val="clear" w:color="auto" w:fill="D9E2F3"/>
          </w:tcPr>
          <w:p w14:paraId="0EB7893B" w14:textId="77777777" w:rsidR="00990B14" w:rsidRDefault="00000000">
            <w:pPr>
              <w:spacing w:before="40" w:after="40"/>
              <w:jc w:val="both"/>
            </w:pPr>
            <w:r>
              <w:rPr>
                <w:b/>
                <w:bCs/>
                <w:i/>
                <w:iCs/>
                <w:sz w:val="18"/>
                <w:szCs w:val="18"/>
              </w:rPr>
              <w:t>Bibliografía básica:</w:t>
            </w:r>
          </w:p>
          <w:p w14:paraId="321866C3" w14:textId="77777777" w:rsidR="00990B14" w:rsidRDefault="00000000">
            <w:pPr>
              <w:numPr>
                <w:ilvl w:val="0"/>
                <w:numId w:val="140"/>
              </w:numPr>
              <w:spacing w:after="20"/>
              <w:jc w:val="both"/>
            </w:pPr>
            <w:r>
              <w:rPr>
                <w:sz w:val="18"/>
                <w:szCs w:val="18"/>
              </w:rPr>
              <w:t xml:space="preserve">Céspedes Estévez, J. (2025). </w:t>
            </w:r>
            <w:r>
              <w:rPr>
                <w:i/>
                <w:iCs/>
                <w:sz w:val="18"/>
                <w:szCs w:val="18"/>
              </w:rPr>
              <w:t>Métodos y Técnicas de Investigación: Texto programado de Enseñanza</w:t>
            </w:r>
            <w:r>
              <w:rPr>
                <w:sz w:val="18"/>
                <w:szCs w:val="18"/>
              </w:rPr>
              <w:t>. 2da. Edición. Carrera Contaduría Pública, Universidad Mayor de San Andrés. La Paz, Bolivia.</w:t>
            </w:r>
          </w:p>
          <w:p w14:paraId="6D2B27DF" w14:textId="77777777" w:rsidR="00990B14" w:rsidRDefault="00000000">
            <w:pPr>
              <w:numPr>
                <w:ilvl w:val="0"/>
                <w:numId w:val="140"/>
              </w:numPr>
              <w:spacing w:after="20"/>
              <w:jc w:val="both"/>
            </w:pPr>
            <w:r>
              <w:rPr>
                <w:sz w:val="18"/>
                <w:szCs w:val="18"/>
              </w:rPr>
              <w:t xml:space="preserve">Hernández Sampieri, R. y Mendoza Torres, C. P. (2018). </w:t>
            </w:r>
            <w:r>
              <w:rPr>
                <w:i/>
                <w:iCs/>
                <w:sz w:val="18"/>
                <w:szCs w:val="18"/>
              </w:rPr>
              <w:t>Metodología de la investigación: las rutas cuantitativa, cualitativa y mixta</w:t>
            </w:r>
            <w:r>
              <w:rPr>
                <w:sz w:val="18"/>
                <w:szCs w:val="18"/>
              </w:rPr>
              <w:t>. México: McGraw-Hill Interamericana.</w:t>
            </w:r>
          </w:p>
          <w:p w14:paraId="2BA57878" w14:textId="77777777" w:rsidR="00990B14" w:rsidRDefault="00000000">
            <w:pPr>
              <w:numPr>
                <w:ilvl w:val="0"/>
                <w:numId w:val="140"/>
              </w:numPr>
              <w:spacing w:after="20"/>
              <w:jc w:val="both"/>
            </w:pPr>
            <w:r>
              <w:rPr>
                <w:sz w:val="18"/>
                <w:szCs w:val="18"/>
              </w:rPr>
              <w:t xml:space="preserve">Universidad Mayor de San Andrés, UMSA (2011). </w:t>
            </w:r>
            <w:r>
              <w:rPr>
                <w:i/>
                <w:iCs/>
                <w:sz w:val="18"/>
                <w:szCs w:val="18"/>
              </w:rPr>
              <w:t>Manual de presentación de trabajos finales de las diferentes modalidades de graduación</w:t>
            </w:r>
            <w:r>
              <w:rPr>
                <w:sz w:val="18"/>
                <w:szCs w:val="18"/>
              </w:rPr>
              <w:t>. Resolución HCU N.º 118/2011, de 4 de mayo de 2011.</w:t>
            </w:r>
          </w:p>
        </w:tc>
      </w:tr>
      <w:tr w:rsidR="00990B14" w14:paraId="1054EFEC" w14:textId="77777777">
        <w:trPr>
          <w:jc w:val="center"/>
        </w:trPr>
        <w:tc>
          <w:tcPr>
            <w:tcW w:w="9405" w:type="dxa"/>
            <w:shd w:val="clear" w:color="auto" w:fill="D9E2F3"/>
          </w:tcPr>
          <w:p w14:paraId="7D9AA234" w14:textId="77777777" w:rsidR="00990B14" w:rsidRDefault="00000000">
            <w:pPr>
              <w:spacing w:before="40" w:after="40"/>
              <w:jc w:val="both"/>
            </w:pPr>
            <w:r>
              <w:rPr>
                <w:b/>
                <w:bCs/>
                <w:i/>
                <w:iCs/>
                <w:sz w:val="18"/>
                <w:szCs w:val="18"/>
              </w:rPr>
              <w:t>Bibliografía complementaria:</w:t>
            </w:r>
          </w:p>
          <w:p w14:paraId="304D95F5" w14:textId="77777777" w:rsidR="00990B14" w:rsidRDefault="00000000">
            <w:pPr>
              <w:numPr>
                <w:ilvl w:val="0"/>
                <w:numId w:val="140"/>
              </w:numPr>
              <w:spacing w:after="20"/>
              <w:jc w:val="both"/>
            </w:pPr>
            <w:r>
              <w:rPr>
                <w:sz w:val="18"/>
                <w:szCs w:val="18"/>
              </w:rPr>
              <w:t xml:space="preserve">Aguirre, V. (2014). </w:t>
            </w:r>
            <w:r>
              <w:rPr>
                <w:i/>
                <w:iCs/>
                <w:sz w:val="18"/>
                <w:szCs w:val="18"/>
              </w:rPr>
              <w:t>Apuntes de métodos y técnicas de investigación</w:t>
            </w:r>
            <w:r>
              <w:rPr>
                <w:sz w:val="18"/>
                <w:szCs w:val="18"/>
              </w:rPr>
              <w:t>. La Paz.</w:t>
            </w:r>
          </w:p>
          <w:p w14:paraId="2B7EB597" w14:textId="77777777" w:rsidR="00990B14" w:rsidRDefault="00000000">
            <w:pPr>
              <w:numPr>
                <w:ilvl w:val="0"/>
                <w:numId w:val="140"/>
              </w:numPr>
              <w:spacing w:after="20"/>
              <w:jc w:val="both"/>
            </w:pPr>
            <w:r w:rsidRPr="00BD34F7">
              <w:rPr>
                <w:sz w:val="18"/>
                <w:szCs w:val="18"/>
                <w:lang w:val="en-US"/>
              </w:rPr>
              <w:t xml:space="preserve">American Psychological Association (2020). </w:t>
            </w:r>
            <w:r w:rsidRPr="00BD34F7">
              <w:rPr>
                <w:i/>
                <w:iCs/>
                <w:sz w:val="18"/>
                <w:szCs w:val="18"/>
                <w:lang w:val="en-US"/>
              </w:rPr>
              <w:t>Publication Manual of the American Psychological Association</w:t>
            </w:r>
            <w:r w:rsidRPr="00BD34F7">
              <w:rPr>
                <w:sz w:val="18"/>
                <w:szCs w:val="18"/>
                <w:lang w:val="en-US"/>
              </w:rPr>
              <w:t xml:space="preserve">. </w:t>
            </w:r>
            <w:r>
              <w:rPr>
                <w:sz w:val="18"/>
                <w:szCs w:val="18"/>
              </w:rPr>
              <w:t>7th edition. Washington, DC: American Psychological Association.</w:t>
            </w:r>
          </w:p>
          <w:p w14:paraId="370936AD" w14:textId="77777777" w:rsidR="00990B14" w:rsidRDefault="00000000">
            <w:pPr>
              <w:numPr>
                <w:ilvl w:val="0"/>
                <w:numId w:val="140"/>
              </w:numPr>
              <w:spacing w:after="20"/>
              <w:jc w:val="both"/>
            </w:pPr>
            <w:r>
              <w:rPr>
                <w:sz w:val="18"/>
                <w:szCs w:val="18"/>
              </w:rPr>
              <w:t xml:space="preserve">Barragán, R. (Coord.), Salman, T., Aillón, V., Sanjinés, J., Langer, J., Córdova, J. y Rojas, R. (2007). </w:t>
            </w:r>
            <w:r>
              <w:rPr>
                <w:i/>
                <w:iCs/>
                <w:sz w:val="18"/>
                <w:szCs w:val="18"/>
              </w:rPr>
              <w:t>Guía para la formulación y ejecución de proyectos de investigación</w:t>
            </w:r>
            <w:r>
              <w:rPr>
                <w:sz w:val="18"/>
                <w:szCs w:val="18"/>
              </w:rPr>
              <w:t>. PIEB.</w:t>
            </w:r>
          </w:p>
          <w:p w14:paraId="778355FF" w14:textId="77777777" w:rsidR="00990B14" w:rsidRDefault="00000000">
            <w:pPr>
              <w:numPr>
                <w:ilvl w:val="0"/>
                <w:numId w:val="140"/>
              </w:numPr>
              <w:spacing w:after="20"/>
              <w:jc w:val="both"/>
            </w:pPr>
            <w:r>
              <w:rPr>
                <w:sz w:val="18"/>
                <w:szCs w:val="18"/>
              </w:rPr>
              <w:t>Constitución Política del Estado, artículo 130, Acción de Protección de Privacidad. Gaceta Oficial de Bolivia.</w:t>
            </w:r>
          </w:p>
          <w:p w14:paraId="04871EF6" w14:textId="77777777" w:rsidR="00990B14" w:rsidRDefault="00000000">
            <w:pPr>
              <w:numPr>
                <w:ilvl w:val="0"/>
                <w:numId w:val="140"/>
              </w:numPr>
              <w:spacing w:after="20"/>
              <w:jc w:val="both"/>
            </w:pPr>
            <w:r>
              <w:rPr>
                <w:sz w:val="18"/>
                <w:szCs w:val="18"/>
              </w:rPr>
              <w:t xml:space="preserve">Espejo, J. (2015). </w:t>
            </w:r>
            <w:r>
              <w:rPr>
                <w:i/>
                <w:iCs/>
                <w:sz w:val="18"/>
                <w:szCs w:val="18"/>
              </w:rPr>
              <w:t>Curso de métodos y técnicas de investigación</w:t>
            </w:r>
            <w:r>
              <w:rPr>
                <w:sz w:val="18"/>
                <w:szCs w:val="18"/>
              </w:rPr>
              <w:t>. La Paz, Bolivia: Imprenta Marcotz.</w:t>
            </w:r>
          </w:p>
          <w:p w14:paraId="4EBB78A4" w14:textId="77777777" w:rsidR="00990B14" w:rsidRDefault="00000000">
            <w:pPr>
              <w:numPr>
                <w:ilvl w:val="0"/>
                <w:numId w:val="140"/>
              </w:numPr>
              <w:spacing w:after="20"/>
              <w:jc w:val="both"/>
            </w:pPr>
            <w:r>
              <w:rPr>
                <w:sz w:val="18"/>
                <w:szCs w:val="18"/>
              </w:rPr>
              <w:t xml:space="preserve">Hernández Sampieri, R., Fernández Collado, C. y Baptista, L. (1991). </w:t>
            </w:r>
            <w:r>
              <w:rPr>
                <w:i/>
                <w:iCs/>
                <w:sz w:val="18"/>
                <w:szCs w:val="18"/>
              </w:rPr>
              <w:t>Metodología de la Investigación</w:t>
            </w:r>
            <w:r>
              <w:rPr>
                <w:sz w:val="18"/>
                <w:szCs w:val="18"/>
              </w:rPr>
              <w:t>. México: McGraw Hill.</w:t>
            </w:r>
          </w:p>
          <w:p w14:paraId="09100B0A" w14:textId="77777777" w:rsidR="00990B14" w:rsidRDefault="00000000">
            <w:pPr>
              <w:numPr>
                <w:ilvl w:val="0"/>
                <w:numId w:val="140"/>
              </w:numPr>
              <w:spacing w:after="20"/>
              <w:jc w:val="both"/>
            </w:pPr>
            <w:r>
              <w:rPr>
                <w:sz w:val="18"/>
                <w:szCs w:val="18"/>
              </w:rPr>
              <w:t xml:space="preserve">Ketele, J. M. y Roegiers, X. (2000). </w:t>
            </w:r>
            <w:r>
              <w:rPr>
                <w:i/>
                <w:iCs/>
                <w:sz w:val="18"/>
                <w:szCs w:val="18"/>
              </w:rPr>
              <w:t>Metodología de la Recogida de Información</w:t>
            </w:r>
            <w:r>
              <w:rPr>
                <w:sz w:val="18"/>
                <w:szCs w:val="18"/>
              </w:rPr>
              <w:t>. 2da edición. Madrid, España: Editorial La Muralla.</w:t>
            </w:r>
          </w:p>
          <w:p w14:paraId="478441D8" w14:textId="77777777" w:rsidR="00990B14" w:rsidRDefault="00000000">
            <w:pPr>
              <w:numPr>
                <w:ilvl w:val="0"/>
                <w:numId w:val="140"/>
              </w:numPr>
              <w:spacing w:after="20"/>
              <w:jc w:val="both"/>
            </w:pPr>
            <w:r>
              <w:rPr>
                <w:sz w:val="18"/>
                <w:szCs w:val="18"/>
              </w:rPr>
              <w:t>Ley N.º 1322, de 13 de abril de 1992, de Derecho de Autor. Gaceta Oficial de Bolivia.</w:t>
            </w:r>
          </w:p>
          <w:p w14:paraId="37DED2B0" w14:textId="77777777" w:rsidR="00990B14" w:rsidRDefault="00000000">
            <w:pPr>
              <w:numPr>
                <w:ilvl w:val="0"/>
                <w:numId w:val="140"/>
              </w:numPr>
              <w:spacing w:after="20"/>
              <w:jc w:val="both"/>
            </w:pPr>
            <w:r>
              <w:rPr>
                <w:sz w:val="18"/>
                <w:szCs w:val="18"/>
              </w:rPr>
              <w:t xml:space="preserve">Méndez Álvarez, C. E. (2011). </w:t>
            </w:r>
            <w:r>
              <w:rPr>
                <w:i/>
                <w:iCs/>
                <w:sz w:val="18"/>
                <w:szCs w:val="18"/>
              </w:rPr>
              <w:t>Metodología: Diseño y Desarrollo del Proceso de Investigación con Énfasis en Ciencias Empresariales</w:t>
            </w:r>
            <w:r>
              <w:rPr>
                <w:sz w:val="18"/>
                <w:szCs w:val="18"/>
              </w:rPr>
              <w:t>. 4ta edición. México: Limusa.</w:t>
            </w:r>
          </w:p>
          <w:p w14:paraId="7A456DE5" w14:textId="77777777" w:rsidR="00990B14" w:rsidRDefault="00000000">
            <w:pPr>
              <w:numPr>
                <w:ilvl w:val="0"/>
                <w:numId w:val="140"/>
              </w:numPr>
              <w:spacing w:after="20"/>
              <w:jc w:val="both"/>
            </w:pPr>
            <w:r w:rsidRPr="00BD34F7">
              <w:rPr>
                <w:sz w:val="18"/>
                <w:szCs w:val="18"/>
                <w:lang w:val="en-US"/>
              </w:rPr>
              <w:t xml:space="preserve">OECD/Eurostat (2018). </w:t>
            </w:r>
            <w:r w:rsidRPr="00BD34F7">
              <w:rPr>
                <w:i/>
                <w:iCs/>
                <w:sz w:val="18"/>
                <w:szCs w:val="18"/>
                <w:lang w:val="en-US"/>
              </w:rPr>
              <w:t>Oslo Manual 2018: Guidelines for Collecting, Reporting and Using Data on Innovation</w:t>
            </w:r>
            <w:r w:rsidRPr="00BD34F7">
              <w:rPr>
                <w:sz w:val="18"/>
                <w:szCs w:val="18"/>
                <w:lang w:val="en-US"/>
              </w:rPr>
              <w:t xml:space="preserve">. </w:t>
            </w:r>
            <w:r>
              <w:rPr>
                <w:sz w:val="18"/>
                <w:szCs w:val="18"/>
              </w:rPr>
              <w:t>4th edition. Paris/Eurostat, Luxembourg: OECD Publishing.</w:t>
            </w:r>
          </w:p>
          <w:p w14:paraId="5495E0BA" w14:textId="77777777" w:rsidR="00990B14" w:rsidRDefault="00000000">
            <w:pPr>
              <w:numPr>
                <w:ilvl w:val="0"/>
                <w:numId w:val="140"/>
              </w:numPr>
              <w:spacing w:after="20"/>
              <w:jc w:val="both"/>
            </w:pPr>
            <w:r>
              <w:rPr>
                <w:sz w:val="18"/>
                <w:szCs w:val="18"/>
              </w:rPr>
              <w:t xml:space="preserve">Pino Gatuzzo, R. (2018). </w:t>
            </w:r>
            <w:r>
              <w:rPr>
                <w:i/>
                <w:iCs/>
                <w:sz w:val="18"/>
                <w:szCs w:val="18"/>
              </w:rPr>
              <w:t>Metodología de la investigación: Elaboración de diseños para contrastar hipótesis</w:t>
            </w:r>
            <w:r>
              <w:rPr>
                <w:sz w:val="18"/>
                <w:szCs w:val="18"/>
              </w:rPr>
              <w:t>. Lima, Perú: Editorial San Marcos.</w:t>
            </w:r>
          </w:p>
          <w:p w14:paraId="14DB2733" w14:textId="77777777" w:rsidR="00990B14" w:rsidRDefault="00000000">
            <w:pPr>
              <w:numPr>
                <w:ilvl w:val="0"/>
                <w:numId w:val="140"/>
              </w:numPr>
              <w:spacing w:after="20"/>
              <w:jc w:val="both"/>
            </w:pPr>
            <w:r>
              <w:rPr>
                <w:sz w:val="18"/>
                <w:szCs w:val="18"/>
              </w:rPr>
              <w:t>Sitio web de la Autoridad de Supervisión del Sistema Financiero: www.asfi.gob.bo.</w:t>
            </w:r>
          </w:p>
          <w:p w14:paraId="367B8B05" w14:textId="77777777" w:rsidR="00990B14" w:rsidRDefault="00000000">
            <w:pPr>
              <w:numPr>
                <w:ilvl w:val="0"/>
                <w:numId w:val="140"/>
              </w:numPr>
              <w:spacing w:after="20"/>
              <w:jc w:val="both"/>
            </w:pPr>
            <w:r>
              <w:rPr>
                <w:sz w:val="18"/>
                <w:szCs w:val="18"/>
              </w:rPr>
              <w:t>Sitio web del Instituto Nacional de Estadística: www.ine.gob.bo.</w:t>
            </w:r>
          </w:p>
          <w:p w14:paraId="3C912133" w14:textId="77777777" w:rsidR="00990B14" w:rsidRDefault="00000000">
            <w:pPr>
              <w:numPr>
                <w:ilvl w:val="0"/>
                <w:numId w:val="140"/>
              </w:numPr>
              <w:spacing w:after="20"/>
              <w:jc w:val="both"/>
            </w:pPr>
            <w:r>
              <w:rPr>
                <w:sz w:val="18"/>
                <w:szCs w:val="18"/>
              </w:rPr>
              <w:t>Sitio web del Repositorio Institucional de la UMSA: repositorio.umsa.bo.</w:t>
            </w:r>
          </w:p>
          <w:p w14:paraId="26B367F6" w14:textId="77777777" w:rsidR="00990B14" w:rsidRDefault="00000000">
            <w:pPr>
              <w:numPr>
                <w:ilvl w:val="0"/>
                <w:numId w:val="140"/>
              </w:numPr>
              <w:spacing w:after="20"/>
              <w:jc w:val="both"/>
            </w:pPr>
            <w:r>
              <w:rPr>
                <w:sz w:val="18"/>
                <w:szCs w:val="18"/>
              </w:rPr>
              <w:t xml:space="preserve">Tamayo y Tamayo, M. (2014). </w:t>
            </w:r>
            <w:r>
              <w:rPr>
                <w:i/>
                <w:iCs/>
                <w:sz w:val="18"/>
                <w:szCs w:val="18"/>
              </w:rPr>
              <w:t>El Proceso de la Investigación Científica</w:t>
            </w:r>
            <w:r>
              <w:rPr>
                <w:sz w:val="18"/>
                <w:szCs w:val="18"/>
              </w:rPr>
              <w:t>. 6ta edición. México: Limusa-Noriega Editores.</w:t>
            </w:r>
          </w:p>
          <w:p w14:paraId="4BA81851" w14:textId="77777777" w:rsidR="00990B14" w:rsidRDefault="00000000">
            <w:pPr>
              <w:numPr>
                <w:ilvl w:val="0"/>
                <w:numId w:val="140"/>
              </w:numPr>
              <w:spacing w:after="20"/>
              <w:jc w:val="both"/>
            </w:pPr>
            <w:r>
              <w:rPr>
                <w:sz w:val="18"/>
                <w:szCs w:val="18"/>
              </w:rPr>
              <w:t xml:space="preserve">UNESCO (2021). </w:t>
            </w:r>
            <w:r>
              <w:rPr>
                <w:i/>
                <w:iCs/>
                <w:sz w:val="18"/>
                <w:szCs w:val="18"/>
              </w:rPr>
              <w:t>Recomendación sobre la ética de la inteligencia artificial</w:t>
            </w:r>
            <w:r>
              <w:rPr>
                <w:sz w:val="18"/>
                <w:szCs w:val="18"/>
              </w:rPr>
              <w:t>. París: UNESCO.</w:t>
            </w:r>
          </w:p>
          <w:p w14:paraId="0AB9AE00" w14:textId="77777777" w:rsidR="00990B14" w:rsidRDefault="00000000">
            <w:pPr>
              <w:numPr>
                <w:ilvl w:val="0"/>
                <w:numId w:val="140"/>
              </w:numPr>
              <w:spacing w:after="20"/>
              <w:jc w:val="both"/>
            </w:pPr>
            <w:r w:rsidRPr="00BD34F7">
              <w:rPr>
                <w:sz w:val="18"/>
                <w:szCs w:val="18"/>
                <w:lang w:val="en-US"/>
              </w:rPr>
              <w:t xml:space="preserve">Yapu, M. (Coord.), Arnold, D., Spedding, A. y Pereira, R. (2005). </w:t>
            </w:r>
            <w:r>
              <w:rPr>
                <w:i/>
                <w:iCs/>
                <w:sz w:val="18"/>
                <w:szCs w:val="18"/>
              </w:rPr>
              <w:t>Investigaciones cualitativas y cuantitativas en ciencias sociales y humanas</w:t>
            </w:r>
            <w:r>
              <w:rPr>
                <w:sz w:val="18"/>
                <w:szCs w:val="18"/>
              </w:rPr>
              <w:t>. PIEB.</w:t>
            </w:r>
          </w:p>
        </w:tc>
      </w:tr>
    </w:tbl>
    <w:p w14:paraId="2584F3DF" w14:textId="77777777" w:rsidR="00990B14" w:rsidRDefault="00000000">
      <w:pPr>
        <w:pStyle w:val="TituloPlanAsignatura"/>
        <w:keepNext/>
        <w:pageBreakBefore/>
        <w:spacing w:after="120"/>
        <w:jc w:val="center"/>
        <w:outlineLvl w:val="2"/>
      </w:pPr>
      <w:bookmarkStart w:id="159" w:name="_Toc000000100"/>
      <w:r>
        <w:rPr>
          <w:b/>
          <w:bCs/>
          <w:sz w:val="24"/>
          <w:szCs w:val="24"/>
        </w:rPr>
        <w:t>ADM-201 Administración de Sistemas Gerenciales</w:t>
      </w:r>
      <w:bookmarkEnd w:id="159"/>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249"/>
        <w:gridCol w:w="1100"/>
        <w:gridCol w:w="149"/>
        <w:gridCol w:w="635"/>
        <w:gridCol w:w="615"/>
        <w:gridCol w:w="952"/>
        <w:gridCol w:w="298"/>
        <w:gridCol w:w="1250"/>
        <w:gridCol w:w="20"/>
        <w:gridCol w:w="385"/>
        <w:gridCol w:w="398"/>
        <w:gridCol w:w="447"/>
        <w:gridCol w:w="1907"/>
      </w:tblGrid>
      <w:tr w:rsidR="00990B14" w14:paraId="7BB85639" w14:textId="77777777">
        <w:trPr>
          <w:cantSplit/>
          <w:jc w:val="center"/>
        </w:trPr>
        <w:tc>
          <w:tcPr>
            <w:tcW w:w="2349" w:type="dxa"/>
            <w:gridSpan w:val="2"/>
            <w:shd w:val="clear" w:color="auto" w:fill="4472C4"/>
            <w:vAlign w:val="center"/>
          </w:tcPr>
          <w:p w14:paraId="788C8242" w14:textId="77777777" w:rsidR="00990B14" w:rsidRDefault="00000000">
            <w:pPr>
              <w:keepNext/>
              <w:spacing w:before="20" w:after="20"/>
              <w:jc w:val="center"/>
            </w:pPr>
            <w:r>
              <w:rPr>
                <w:b/>
                <w:bCs/>
                <w:i/>
                <w:iCs/>
                <w:color w:val="FFFFFF"/>
                <w:sz w:val="18"/>
                <w:szCs w:val="18"/>
              </w:rPr>
              <w:t>Asignatura</w:t>
            </w:r>
          </w:p>
        </w:tc>
        <w:tc>
          <w:tcPr>
            <w:tcW w:w="2351" w:type="dxa"/>
            <w:gridSpan w:val="4"/>
            <w:shd w:val="clear" w:color="auto" w:fill="4472C4"/>
            <w:vAlign w:val="center"/>
          </w:tcPr>
          <w:p w14:paraId="416E0C6C" w14:textId="77777777" w:rsidR="00990B14" w:rsidRDefault="00000000">
            <w:pPr>
              <w:keepNext/>
              <w:spacing w:before="20" w:after="20"/>
              <w:jc w:val="center"/>
            </w:pPr>
            <w:r>
              <w:rPr>
                <w:b/>
                <w:bCs/>
                <w:i/>
                <w:iCs/>
                <w:color w:val="FFFFFF"/>
                <w:sz w:val="18"/>
                <w:szCs w:val="18"/>
              </w:rPr>
              <w:t>Sigla</w:t>
            </w:r>
          </w:p>
        </w:tc>
        <w:tc>
          <w:tcPr>
            <w:tcW w:w="2351" w:type="dxa"/>
            <w:gridSpan w:val="5"/>
            <w:shd w:val="clear" w:color="auto" w:fill="4472C4"/>
            <w:vAlign w:val="center"/>
          </w:tcPr>
          <w:p w14:paraId="35DF5B2F" w14:textId="77777777" w:rsidR="00990B14" w:rsidRDefault="00000000">
            <w:pPr>
              <w:keepNext/>
              <w:spacing w:before="20" w:after="20"/>
              <w:jc w:val="center"/>
            </w:pPr>
            <w:r>
              <w:rPr>
                <w:b/>
                <w:bCs/>
                <w:i/>
                <w:iCs/>
                <w:color w:val="FFFFFF"/>
                <w:sz w:val="18"/>
                <w:szCs w:val="18"/>
              </w:rPr>
              <w:t>Nivel/Área</w:t>
            </w:r>
          </w:p>
        </w:tc>
        <w:tc>
          <w:tcPr>
            <w:tcW w:w="2354" w:type="dxa"/>
            <w:gridSpan w:val="2"/>
            <w:shd w:val="clear" w:color="auto" w:fill="4472C4"/>
            <w:vAlign w:val="center"/>
          </w:tcPr>
          <w:p w14:paraId="54B9ECA5" w14:textId="77777777" w:rsidR="00990B14" w:rsidRDefault="00000000">
            <w:pPr>
              <w:keepNext/>
              <w:spacing w:before="20" w:after="20"/>
              <w:jc w:val="center"/>
            </w:pPr>
            <w:r>
              <w:rPr>
                <w:b/>
                <w:bCs/>
                <w:i/>
                <w:iCs/>
                <w:color w:val="FFFFFF"/>
                <w:sz w:val="18"/>
                <w:szCs w:val="18"/>
              </w:rPr>
              <w:t>Prerrequisito</w:t>
            </w:r>
          </w:p>
        </w:tc>
      </w:tr>
      <w:tr w:rsidR="00990B14" w14:paraId="15DF2B31" w14:textId="77777777">
        <w:trPr>
          <w:cantSplit/>
          <w:jc w:val="center"/>
        </w:trPr>
        <w:tc>
          <w:tcPr>
            <w:tcW w:w="2349" w:type="dxa"/>
            <w:gridSpan w:val="2"/>
            <w:shd w:val="clear" w:color="auto" w:fill="D9E2F3"/>
            <w:vAlign w:val="center"/>
          </w:tcPr>
          <w:p w14:paraId="69D0B234" w14:textId="77777777" w:rsidR="00990B14" w:rsidRDefault="00000000">
            <w:pPr>
              <w:spacing w:before="20" w:after="20"/>
              <w:jc w:val="center"/>
            </w:pPr>
            <w:r>
              <w:rPr>
                <w:b/>
                <w:bCs/>
                <w:i/>
                <w:iCs/>
                <w:sz w:val="18"/>
                <w:szCs w:val="18"/>
              </w:rPr>
              <w:t>Administración de Sistemas Gerenciales</w:t>
            </w:r>
          </w:p>
        </w:tc>
        <w:tc>
          <w:tcPr>
            <w:tcW w:w="2351" w:type="dxa"/>
            <w:gridSpan w:val="4"/>
            <w:shd w:val="clear" w:color="auto" w:fill="D9E2F3"/>
            <w:vAlign w:val="center"/>
          </w:tcPr>
          <w:p w14:paraId="06516B82" w14:textId="77777777" w:rsidR="00990B14" w:rsidRDefault="00000000">
            <w:pPr>
              <w:spacing w:before="20" w:after="20"/>
              <w:jc w:val="center"/>
            </w:pPr>
            <w:r>
              <w:rPr>
                <w:b/>
                <w:bCs/>
                <w:i/>
                <w:iCs/>
                <w:sz w:val="18"/>
                <w:szCs w:val="18"/>
              </w:rPr>
              <w:t>ADM-201</w:t>
            </w:r>
          </w:p>
        </w:tc>
        <w:tc>
          <w:tcPr>
            <w:tcW w:w="2351" w:type="dxa"/>
            <w:gridSpan w:val="5"/>
            <w:shd w:val="clear" w:color="auto" w:fill="D9E2F3"/>
            <w:vAlign w:val="center"/>
          </w:tcPr>
          <w:p w14:paraId="7C95FBF1" w14:textId="77777777" w:rsidR="00990B14" w:rsidRDefault="00000000">
            <w:pPr>
              <w:spacing w:before="20" w:after="20"/>
              <w:jc w:val="center"/>
            </w:pPr>
            <w:r>
              <w:rPr>
                <w:b/>
                <w:bCs/>
                <w:i/>
                <w:iCs/>
                <w:sz w:val="18"/>
                <w:szCs w:val="18"/>
              </w:rPr>
              <w:t>Administración</w:t>
            </w:r>
          </w:p>
        </w:tc>
        <w:tc>
          <w:tcPr>
            <w:tcW w:w="2354" w:type="dxa"/>
            <w:gridSpan w:val="2"/>
            <w:shd w:val="clear" w:color="auto" w:fill="D9E2F3"/>
            <w:vAlign w:val="center"/>
          </w:tcPr>
          <w:p w14:paraId="20EF42B7" w14:textId="77777777" w:rsidR="00990B14" w:rsidRDefault="00000000">
            <w:pPr>
              <w:spacing w:before="20" w:after="20"/>
              <w:jc w:val="center"/>
            </w:pPr>
            <w:r>
              <w:rPr>
                <w:b/>
                <w:bCs/>
                <w:i/>
                <w:iCs/>
                <w:sz w:val="18"/>
                <w:szCs w:val="18"/>
              </w:rPr>
              <w:t>ADM-101</w:t>
            </w:r>
          </w:p>
        </w:tc>
      </w:tr>
      <w:tr w:rsidR="00990B14" w14:paraId="674F3405" w14:textId="77777777">
        <w:trPr>
          <w:cantSplit/>
          <w:jc w:val="center"/>
        </w:trPr>
        <w:tc>
          <w:tcPr>
            <w:tcW w:w="7498" w:type="dxa"/>
            <w:gridSpan w:val="12"/>
            <w:shd w:val="clear" w:color="auto" w:fill="4472C4"/>
            <w:vAlign w:val="center"/>
          </w:tcPr>
          <w:p w14:paraId="2D88BFEF" w14:textId="77777777" w:rsidR="00990B14" w:rsidRDefault="00000000">
            <w:pPr>
              <w:keepNext/>
              <w:spacing w:before="20" w:after="20"/>
              <w:jc w:val="center"/>
            </w:pPr>
            <w:r>
              <w:rPr>
                <w:b/>
                <w:bCs/>
                <w:i/>
                <w:iCs/>
                <w:color w:val="FFFFFF"/>
                <w:sz w:val="18"/>
                <w:szCs w:val="18"/>
              </w:rPr>
              <w:t>Carga Horaria</w:t>
            </w:r>
          </w:p>
        </w:tc>
        <w:tc>
          <w:tcPr>
            <w:tcW w:w="1907" w:type="dxa"/>
            <w:shd w:val="clear" w:color="auto" w:fill="4472C4"/>
            <w:vAlign w:val="center"/>
          </w:tcPr>
          <w:p w14:paraId="7237F216" w14:textId="77777777" w:rsidR="00990B14" w:rsidRDefault="00000000">
            <w:pPr>
              <w:keepNext/>
              <w:spacing w:before="20" w:after="20"/>
              <w:jc w:val="center"/>
            </w:pPr>
            <w:r>
              <w:rPr>
                <w:b/>
                <w:bCs/>
                <w:i/>
                <w:iCs/>
                <w:color w:val="FFFFFF"/>
                <w:sz w:val="18"/>
                <w:szCs w:val="18"/>
              </w:rPr>
              <w:t>Créditos</w:t>
            </w:r>
          </w:p>
        </w:tc>
      </w:tr>
      <w:tr w:rsidR="00990B14" w14:paraId="75915B93" w14:textId="77777777">
        <w:trPr>
          <w:cantSplit/>
          <w:jc w:val="center"/>
        </w:trPr>
        <w:tc>
          <w:tcPr>
            <w:tcW w:w="1249" w:type="dxa"/>
            <w:shd w:val="clear" w:color="auto" w:fill="4472C4"/>
            <w:vAlign w:val="center"/>
          </w:tcPr>
          <w:p w14:paraId="648B91BC" w14:textId="77777777" w:rsidR="00990B14" w:rsidRDefault="00000000">
            <w:pPr>
              <w:keepNext/>
              <w:spacing w:before="20" w:after="20"/>
              <w:jc w:val="center"/>
            </w:pPr>
            <w:r>
              <w:rPr>
                <w:b/>
                <w:bCs/>
                <w:i/>
                <w:iCs/>
                <w:color w:val="FFFFFF"/>
                <w:sz w:val="18"/>
                <w:szCs w:val="18"/>
              </w:rPr>
              <w:t>HP</w:t>
            </w:r>
          </w:p>
        </w:tc>
        <w:tc>
          <w:tcPr>
            <w:tcW w:w="1249" w:type="dxa"/>
            <w:gridSpan w:val="2"/>
            <w:shd w:val="clear" w:color="auto" w:fill="4472C4"/>
            <w:vAlign w:val="center"/>
          </w:tcPr>
          <w:p w14:paraId="5962C50B" w14:textId="77777777" w:rsidR="00990B14" w:rsidRDefault="00000000">
            <w:pPr>
              <w:keepNext/>
              <w:spacing w:before="20" w:after="20"/>
              <w:jc w:val="center"/>
            </w:pPr>
            <w:r>
              <w:rPr>
                <w:b/>
                <w:bCs/>
                <w:i/>
                <w:iCs/>
                <w:color w:val="FFFFFF"/>
                <w:sz w:val="18"/>
                <w:szCs w:val="18"/>
              </w:rPr>
              <w:t>HAA</w:t>
            </w:r>
          </w:p>
        </w:tc>
        <w:tc>
          <w:tcPr>
            <w:tcW w:w="1250" w:type="dxa"/>
            <w:gridSpan w:val="2"/>
            <w:shd w:val="clear" w:color="auto" w:fill="4472C4"/>
            <w:vAlign w:val="center"/>
          </w:tcPr>
          <w:p w14:paraId="3D2E187A" w14:textId="77777777" w:rsidR="00990B14" w:rsidRDefault="00000000">
            <w:pPr>
              <w:keepNext/>
              <w:spacing w:before="20" w:after="20"/>
              <w:jc w:val="center"/>
            </w:pPr>
            <w:r>
              <w:rPr>
                <w:b/>
                <w:bCs/>
                <w:i/>
                <w:iCs/>
                <w:color w:val="FFFFFF"/>
                <w:sz w:val="18"/>
                <w:szCs w:val="18"/>
              </w:rPr>
              <w:t>HTG</w:t>
            </w:r>
          </w:p>
        </w:tc>
        <w:tc>
          <w:tcPr>
            <w:tcW w:w="1250" w:type="dxa"/>
            <w:gridSpan w:val="2"/>
            <w:shd w:val="clear" w:color="auto" w:fill="4472C4"/>
            <w:vAlign w:val="center"/>
          </w:tcPr>
          <w:p w14:paraId="2C6DE639" w14:textId="77777777" w:rsidR="00990B14" w:rsidRDefault="00000000">
            <w:pPr>
              <w:keepNext/>
              <w:spacing w:before="20" w:after="20"/>
              <w:jc w:val="center"/>
            </w:pPr>
            <w:r>
              <w:rPr>
                <w:b/>
                <w:bCs/>
                <w:i/>
                <w:iCs/>
                <w:color w:val="FFFFFF"/>
                <w:sz w:val="18"/>
                <w:szCs w:val="18"/>
              </w:rPr>
              <w:t>HIP</w:t>
            </w:r>
          </w:p>
        </w:tc>
        <w:tc>
          <w:tcPr>
            <w:tcW w:w="1250" w:type="dxa"/>
            <w:shd w:val="clear" w:color="auto" w:fill="4472C4"/>
            <w:vAlign w:val="center"/>
          </w:tcPr>
          <w:p w14:paraId="0F25F3C0" w14:textId="77777777" w:rsidR="00990B14" w:rsidRDefault="00000000">
            <w:pPr>
              <w:keepNext/>
              <w:spacing w:before="20" w:after="20"/>
              <w:jc w:val="center"/>
            </w:pPr>
            <w:r>
              <w:rPr>
                <w:b/>
                <w:bCs/>
                <w:i/>
                <w:iCs/>
                <w:color w:val="FFFFFF"/>
                <w:sz w:val="18"/>
                <w:szCs w:val="18"/>
              </w:rPr>
              <w:t>HE</w:t>
            </w:r>
          </w:p>
        </w:tc>
        <w:tc>
          <w:tcPr>
            <w:tcW w:w="1250" w:type="dxa"/>
            <w:gridSpan w:val="4"/>
            <w:shd w:val="clear" w:color="auto" w:fill="4472C4"/>
            <w:vAlign w:val="center"/>
          </w:tcPr>
          <w:p w14:paraId="3E04B476" w14:textId="77777777" w:rsidR="00990B14" w:rsidRDefault="00000000">
            <w:pPr>
              <w:keepNext/>
              <w:spacing w:before="20" w:after="20"/>
              <w:jc w:val="center"/>
            </w:pPr>
            <w:r>
              <w:rPr>
                <w:b/>
                <w:bCs/>
                <w:i/>
                <w:iCs/>
                <w:color w:val="FFFFFF"/>
                <w:sz w:val="18"/>
                <w:szCs w:val="18"/>
              </w:rPr>
              <w:t>TOTAL</w:t>
            </w:r>
          </w:p>
        </w:tc>
        <w:tc>
          <w:tcPr>
            <w:tcW w:w="1907" w:type="dxa"/>
            <w:vMerge w:val="restart"/>
            <w:shd w:val="clear" w:color="auto" w:fill="D9E2F3"/>
            <w:vAlign w:val="center"/>
          </w:tcPr>
          <w:p w14:paraId="558BF70C" w14:textId="77777777" w:rsidR="00990B14" w:rsidRDefault="00000000">
            <w:pPr>
              <w:spacing w:before="20" w:after="20"/>
              <w:jc w:val="center"/>
            </w:pPr>
            <w:r>
              <w:rPr>
                <w:sz w:val="18"/>
                <w:szCs w:val="18"/>
              </w:rPr>
              <w:t>8</w:t>
            </w:r>
          </w:p>
        </w:tc>
      </w:tr>
      <w:tr w:rsidR="00990B14" w14:paraId="58145AD1" w14:textId="77777777">
        <w:trPr>
          <w:cantSplit/>
          <w:jc w:val="center"/>
        </w:trPr>
        <w:tc>
          <w:tcPr>
            <w:tcW w:w="1249" w:type="dxa"/>
            <w:shd w:val="clear" w:color="auto" w:fill="D9E2F3"/>
            <w:vAlign w:val="center"/>
          </w:tcPr>
          <w:p w14:paraId="64731CE6" w14:textId="77777777" w:rsidR="00990B14" w:rsidRDefault="00000000">
            <w:pPr>
              <w:spacing w:before="20" w:after="20"/>
              <w:jc w:val="center"/>
            </w:pPr>
            <w:r>
              <w:rPr>
                <w:sz w:val="18"/>
                <w:szCs w:val="18"/>
              </w:rPr>
              <w:t>160</w:t>
            </w:r>
          </w:p>
        </w:tc>
        <w:tc>
          <w:tcPr>
            <w:tcW w:w="1249" w:type="dxa"/>
            <w:gridSpan w:val="2"/>
            <w:shd w:val="clear" w:color="auto" w:fill="D9E2F3"/>
            <w:vAlign w:val="center"/>
          </w:tcPr>
          <w:p w14:paraId="2F287F31" w14:textId="77777777" w:rsidR="00990B14" w:rsidRDefault="00000000">
            <w:pPr>
              <w:spacing w:before="20" w:after="20"/>
              <w:jc w:val="center"/>
            </w:pPr>
            <w:r>
              <w:rPr>
                <w:sz w:val="18"/>
                <w:szCs w:val="18"/>
              </w:rPr>
              <w:t>20</w:t>
            </w:r>
          </w:p>
        </w:tc>
        <w:tc>
          <w:tcPr>
            <w:tcW w:w="1250" w:type="dxa"/>
            <w:gridSpan w:val="2"/>
            <w:shd w:val="clear" w:color="auto" w:fill="D9E2F3"/>
            <w:vAlign w:val="center"/>
          </w:tcPr>
          <w:p w14:paraId="3FA45A43" w14:textId="77777777" w:rsidR="00990B14" w:rsidRDefault="00000000">
            <w:pPr>
              <w:spacing w:before="20" w:after="20"/>
              <w:jc w:val="center"/>
            </w:pPr>
            <w:r>
              <w:rPr>
                <w:sz w:val="18"/>
                <w:szCs w:val="18"/>
              </w:rPr>
              <w:t>20</w:t>
            </w:r>
          </w:p>
        </w:tc>
        <w:tc>
          <w:tcPr>
            <w:tcW w:w="1250" w:type="dxa"/>
            <w:gridSpan w:val="2"/>
            <w:shd w:val="clear" w:color="auto" w:fill="D9E2F3"/>
            <w:vAlign w:val="center"/>
          </w:tcPr>
          <w:p w14:paraId="1F277F8E" w14:textId="77777777" w:rsidR="00990B14" w:rsidRDefault="00000000">
            <w:pPr>
              <w:spacing w:before="20" w:after="20"/>
              <w:jc w:val="center"/>
            </w:pPr>
            <w:r>
              <w:rPr>
                <w:sz w:val="18"/>
                <w:szCs w:val="18"/>
              </w:rPr>
              <w:t>20</w:t>
            </w:r>
          </w:p>
        </w:tc>
        <w:tc>
          <w:tcPr>
            <w:tcW w:w="1250" w:type="dxa"/>
            <w:shd w:val="clear" w:color="auto" w:fill="D9E2F3"/>
            <w:vAlign w:val="center"/>
          </w:tcPr>
          <w:p w14:paraId="49551B70" w14:textId="77777777" w:rsidR="00990B14" w:rsidRDefault="00000000">
            <w:pPr>
              <w:spacing w:before="20" w:after="20"/>
              <w:jc w:val="center"/>
            </w:pPr>
            <w:r>
              <w:rPr>
                <w:sz w:val="18"/>
                <w:szCs w:val="18"/>
              </w:rPr>
              <w:t>20</w:t>
            </w:r>
          </w:p>
        </w:tc>
        <w:tc>
          <w:tcPr>
            <w:tcW w:w="1250" w:type="dxa"/>
            <w:gridSpan w:val="4"/>
            <w:shd w:val="clear" w:color="auto" w:fill="D9E2F3"/>
            <w:vAlign w:val="center"/>
          </w:tcPr>
          <w:p w14:paraId="610A8202" w14:textId="77777777" w:rsidR="00990B14" w:rsidRDefault="00000000">
            <w:pPr>
              <w:spacing w:before="20" w:after="20"/>
              <w:jc w:val="center"/>
            </w:pPr>
            <w:r>
              <w:rPr>
                <w:sz w:val="18"/>
                <w:szCs w:val="18"/>
              </w:rPr>
              <w:t>240</w:t>
            </w:r>
          </w:p>
        </w:tc>
        <w:tc>
          <w:tcPr>
            <w:tcW w:w="1907" w:type="dxa"/>
            <w:vMerge/>
            <w:shd w:val="clear" w:color="auto" w:fill="D9E2F3"/>
            <w:vAlign w:val="center"/>
          </w:tcPr>
          <w:p w14:paraId="6B2A7D43" w14:textId="77777777" w:rsidR="00990B14" w:rsidRDefault="00990B14">
            <w:pPr>
              <w:spacing w:before="20" w:after="20"/>
            </w:pPr>
          </w:p>
        </w:tc>
      </w:tr>
      <w:tr w:rsidR="00990B14" w14:paraId="5C2443F6" w14:textId="77777777">
        <w:trPr>
          <w:cantSplit/>
          <w:jc w:val="center"/>
        </w:trPr>
        <w:tc>
          <w:tcPr>
            <w:tcW w:w="9405" w:type="dxa"/>
            <w:gridSpan w:val="13"/>
            <w:shd w:val="clear" w:color="auto" w:fill="4472C4"/>
            <w:vAlign w:val="center"/>
          </w:tcPr>
          <w:p w14:paraId="1FECD7EC" w14:textId="77777777" w:rsidR="00990B14" w:rsidRDefault="00000000">
            <w:pPr>
              <w:keepNext/>
              <w:spacing w:before="20" w:after="20"/>
              <w:jc w:val="center"/>
            </w:pPr>
            <w:r>
              <w:rPr>
                <w:b/>
                <w:bCs/>
                <w:i/>
                <w:iCs/>
                <w:color w:val="FFFFFF"/>
                <w:sz w:val="18"/>
                <w:szCs w:val="18"/>
              </w:rPr>
              <w:t>Unidad de Competencia</w:t>
            </w:r>
          </w:p>
        </w:tc>
      </w:tr>
      <w:tr w:rsidR="00990B14" w14:paraId="7A5A409C" w14:textId="77777777">
        <w:trPr>
          <w:cantSplit/>
          <w:jc w:val="center"/>
        </w:trPr>
        <w:tc>
          <w:tcPr>
            <w:tcW w:w="9405" w:type="dxa"/>
            <w:gridSpan w:val="13"/>
            <w:shd w:val="clear" w:color="auto" w:fill="D9E2F3"/>
            <w:vAlign w:val="center"/>
          </w:tcPr>
          <w:p w14:paraId="76501C4A" w14:textId="77777777" w:rsidR="00990B14" w:rsidRDefault="00000000">
            <w:pPr>
              <w:spacing w:before="20" w:after="20"/>
              <w:jc w:val="both"/>
            </w:pPr>
            <w:r>
              <w:rPr>
                <w:sz w:val="18"/>
                <w:szCs w:val="18"/>
              </w:rPr>
              <w:t>Comprende las organizaciones públicas y privadas bajo el enfoque sistémico de la administración, analizando el sistema de toma de decisiones y el sistema de información, aplicando los sistemas de planificación, de organización, de integración de recursos, de dirección y de control, evaluando los riesgos y el control interno de cada sistema, utilizando herramientas digitales en la gestión de la información y adaptando los modelos gerenciales a la gestión de las organizaciones, con liderazgo, pensamiento crítico, ética y eficiencia en el uso de los recursos.</w:t>
            </w:r>
          </w:p>
        </w:tc>
      </w:tr>
      <w:tr w:rsidR="00990B14" w14:paraId="4E969092" w14:textId="77777777">
        <w:trPr>
          <w:cantSplit/>
          <w:jc w:val="center"/>
        </w:trPr>
        <w:tc>
          <w:tcPr>
            <w:tcW w:w="9405" w:type="dxa"/>
            <w:gridSpan w:val="13"/>
            <w:shd w:val="clear" w:color="auto" w:fill="D9E2F3"/>
            <w:vAlign w:val="center"/>
          </w:tcPr>
          <w:p w14:paraId="736D9914" w14:textId="77777777" w:rsidR="00990B14" w:rsidRDefault="00000000">
            <w:pPr>
              <w:spacing w:before="20" w:after="20"/>
              <w:jc w:val="both"/>
            </w:pPr>
            <w:r>
              <w:rPr>
                <w:b/>
                <w:bCs/>
                <w:i/>
                <w:iCs/>
                <w:sz w:val="18"/>
                <w:szCs w:val="18"/>
              </w:rPr>
              <w:t xml:space="preserve">Elemento de competencia 1: </w:t>
            </w:r>
            <w:r>
              <w:rPr>
                <w:sz w:val="18"/>
                <w:szCs w:val="18"/>
              </w:rPr>
              <w:t>Analiza la organización como un sistema, aplicando la teoría de sistemas y describiendo sus componentes, sus subsistemas, el cumplimiento de las funciones gerenciales y la gestión de sus riesgos con criterios de sostenibilidad.</w:t>
            </w:r>
          </w:p>
        </w:tc>
      </w:tr>
      <w:tr w:rsidR="00990B14" w14:paraId="14A0694C" w14:textId="77777777">
        <w:trPr>
          <w:cantSplit/>
          <w:jc w:val="center"/>
        </w:trPr>
        <w:tc>
          <w:tcPr>
            <w:tcW w:w="3133" w:type="dxa"/>
            <w:gridSpan w:val="4"/>
            <w:shd w:val="clear" w:color="auto" w:fill="4472C4"/>
            <w:vAlign w:val="center"/>
          </w:tcPr>
          <w:p w14:paraId="01351812"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6CE914A5"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44CA014B" w14:textId="77777777" w:rsidR="00990B14" w:rsidRDefault="00000000">
            <w:pPr>
              <w:keepNext/>
              <w:spacing w:before="20" w:after="20"/>
              <w:jc w:val="center"/>
            </w:pPr>
            <w:r>
              <w:rPr>
                <w:b/>
                <w:bCs/>
                <w:i/>
                <w:iCs/>
                <w:color w:val="FFFFFF"/>
                <w:sz w:val="18"/>
                <w:szCs w:val="18"/>
              </w:rPr>
              <w:t>Evidencias de producto</w:t>
            </w:r>
          </w:p>
        </w:tc>
      </w:tr>
      <w:tr w:rsidR="00990B14" w14:paraId="694EC986" w14:textId="77777777">
        <w:trPr>
          <w:cantSplit/>
          <w:jc w:val="center"/>
        </w:trPr>
        <w:tc>
          <w:tcPr>
            <w:tcW w:w="3133" w:type="dxa"/>
            <w:gridSpan w:val="4"/>
            <w:vMerge w:val="restart"/>
            <w:shd w:val="clear" w:color="auto" w:fill="D9E2F3"/>
            <w:vAlign w:val="center"/>
          </w:tcPr>
          <w:p w14:paraId="68F45449" w14:textId="77777777" w:rsidR="00990B14" w:rsidRDefault="00000000">
            <w:pPr>
              <w:spacing w:before="20" w:after="20"/>
              <w:jc w:val="both"/>
            </w:pPr>
            <w:r>
              <w:rPr>
                <w:sz w:val="18"/>
                <w:szCs w:val="18"/>
              </w:rPr>
              <w:t>1. Describe la organización como un sistema, identificando sus funciones, sus características y sus subsistemas de insumo, proceso, producto y retroalimentación.</w:t>
            </w:r>
          </w:p>
        </w:tc>
        <w:tc>
          <w:tcPr>
            <w:tcW w:w="3135" w:type="dxa"/>
            <w:gridSpan w:val="5"/>
            <w:shd w:val="clear" w:color="auto" w:fill="D9E2F3"/>
            <w:vAlign w:val="center"/>
          </w:tcPr>
          <w:p w14:paraId="00525FE5" w14:textId="77777777" w:rsidR="00990B14" w:rsidRDefault="00000000">
            <w:pPr>
              <w:spacing w:before="20" w:after="20"/>
              <w:jc w:val="both"/>
            </w:pPr>
            <w:r>
              <w:rPr>
                <w:sz w:val="18"/>
                <w:szCs w:val="18"/>
              </w:rPr>
              <w:t>1.1 Exposición analítica del enfoque sistémico: Demostración oral y visual donde explica, mediante la defensa de un caso real o simulado, cómo interactúan las distintas áreas de una organización bajo la teoría general de sistemas (TGS), argumentando la sinergia y la interdependencia.</w:t>
            </w:r>
          </w:p>
        </w:tc>
        <w:tc>
          <w:tcPr>
            <w:tcW w:w="3137" w:type="dxa"/>
            <w:gridSpan w:val="4"/>
            <w:shd w:val="clear" w:color="auto" w:fill="D9E2F3"/>
            <w:vAlign w:val="center"/>
          </w:tcPr>
          <w:p w14:paraId="733592D4" w14:textId="77777777" w:rsidR="00990B14" w:rsidRDefault="00000000">
            <w:pPr>
              <w:spacing w:before="20" w:after="20"/>
              <w:jc w:val="both"/>
            </w:pPr>
            <w:r>
              <w:rPr>
                <w:b/>
                <w:bCs/>
                <w:sz w:val="18"/>
                <w:szCs w:val="18"/>
              </w:rPr>
              <w:t xml:space="preserve">Producto 1: </w:t>
            </w:r>
            <w:r>
              <w:rPr>
                <w:sz w:val="18"/>
                <w:szCs w:val="18"/>
              </w:rPr>
              <w:t>Informe de Diagnóstico Sistémico: Documento escrito que desglosa a la organización seleccionada como un sistema abierto, detallando su misión, sus características principales, sus funciones clave y la delimitación de sus subsistemas internos.</w:t>
            </w:r>
          </w:p>
        </w:tc>
      </w:tr>
      <w:tr w:rsidR="00990B14" w14:paraId="16D38A82" w14:textId="77777777">
        <w:trPr>
          <w:cantSplit/>
          <w:jc w:val="center"/>
        </w:trPr>
        <w:tc>
          <w:tcPr>
            <w:tcW w:w="3133" w:type="dxa"/>
            <w:gridSpan w:val="4"/>
            <w:vMerge/>
            <w:shd w:val="clear" w:color="auto" w:fill="D9E2F3"/>
            <w:vAlign w:val="center"/>
          </w:tcPr>
          <w:p w14:paraId="0E96014F" w14:textId="77777777" w:rsidR="00990B14" w:rsidRDefault="00990B14">
            <w:pPr>
              <w:spacing w:before="20" w:after="20"/>
            </w:pPr>
          </w:p>
        </w:tc>
        <w:tc>
          <w:tcPr>
            <w:tcW w:w="3135" w:type="dxa"/>
            <w:gridSpan w:val="5"/>
            <w:shd w:val="clear" w:color="auto" w:fill="D9E2F3"/>
            <w:vAlign w:val="center"/>
          </w:tcPr>
          <w:p w14:paraId="2BBCEF32" w14:textId="77777777" w:rsidR="00990B14" w:rsidRDefault="00000000">
            <w:pPr>
              <w:spacing w:before="20" w:after="20"/>
              <w:jc w:val="both"/>
            </w:pPr>
            <w:r>
              <w:rPr>
                <w:sz w:val="18"/>
                <w:szCs w:val="18"/>
              </w:rPr>
              <w:t>1.2 Taller de mapeo de flujos y retroalimentación: Demostración práctica en la que el alumno rastrea y explica en tiempo real cómo fluyen los recursos (insumos), cómo se transforman (proceso), qué valor se entrega al cliente (producto) y cómo se capturan las señales del entorno (retroalimentación) dentro de una organización.</w:t>
            </w:r>
          </w:p>
        </w:tc>
        <w:tc>
          <w:tcPr>
            <w:tcW w:w="3137" w:type="dxa"/>
            <w:gridSpan w:val="4"/>
            <w:shd w:val="clear" w:color="auto" w:fill="D9E2F3"/>
            <w:vAlign w:val="center"/>
          </w:tcPr>
          <w:p w14:paraId="0A310D2F" w14:textId="77777777" w:rsidR="00990B14" w:rsidRDefault="00000000">
            <w:pPr>
              <w:spacing w:before="20" w:after="20"/>
              <w:jc w:val="both"/>
            </w:pPr>
            <w:r>
              <w:rPr>
                <w:b/>
                <w:bCs/>
                <w:sz w:val="18"/>
                <w:szCs w:val="18"/>
              </w:rPr>
              <w:t xml:space="preserve">Producto 2: </w:t>
            </w:r>
            <w:r>
              <w:rPr>
                <w:sz w:val="18"/>
                <w:szCs w:val="18"/>
              </w:rPr>
              <w:t>Diagrama de Flujo del Sistema de Gestión (Entrada–Proceso–Salida–Retroalimentación): Representación gráfica o mapa de procesos integral que ilustra de forma visual el ciclo completo de insumos, operaciones de transformación, productos/servicios generados y los mecanismos de retroalimentación implementados.</w:t>
            </w:r>
          </w:p>
        </w:tc>
      </w:tr>
      <w:tr w:rsidR="00990B14" w14:paraId="55277C2B" w14:textId="77777777">
        <w:trPr>
          <w:cantSplit/>
          <w:jc w:val="center"/>
        </w:trPr>
        <w:tc>
          <w:tcPr>
            <w:tcW w:w="3133" w:type="dxa"/>
            <w:gridSpan w:val="4"/>
            <w:vMerge w:val="restart"/>
            <w:shd w:val="clear" w:color="auto" w:fill="D9E2F3"/>
            <w:vAlign w:val="center"/>
          </w:tcPr>
          <w:p w14:paraId="4C756D2D" w14:textId="77777777" w:rsidR="00990B14" w:rsidRDefault="00000000">
            <w:pPr>
              <w:spacing w:before="20" w:after="20"/>
              <w:jc w:val="both"/>
            </w:pPr>
            <w:r>
              <w:rPr>
                <w:sz w:val="18"/>
                <w:szCs w:val="18"/>
              </w:rPr>
              <w:t>2. Aplica el marco normativo del nivel gerencial en las organizaciones y evalúa los riesgos del sistema de gestión organizacional, considerando sus dimensiones de sostenibilidad.</w:t>
            </w:r>
          </w:p>
        </w:tc>
        <w:tc>
          <w:tcPr>
            <w:tcW w:w="3135" w:type="dxa"/>
            <w:gridSpan w:val="5"/>
            <w:shd w:val="clear" w:color="auto" w:fill="D9E2F3"/>
            <w:vAlign w:val="center"/>
          </w:tcPr>
          <w:p w14:paraId="4FEA29EB" w14:textId="77777777" w:rsidR="00990B14" w:rsidRDefault="00000000">
            <w:pPr>
              <w:spacing w:before="20" w:after="20"/>
              <w:jc w:val="both"/>
            </w:pPr>
            <w:r>
              <w:rPr>
                <w:sz w:val="18"/>
                <w:szCs w:val="18"/>
              </w:rPr>
              <w:t>2.1 Verificación del cumplimiento de las funciones gerenciales: Demostración práctica en la que evalúa y comprueba de forma metódica si el equipo directivo o la gerencia de una organización simulada o de caso real cumple rigurosamente con sus funciones esenciales.</w:t>
            </w:r>
          </w:p>
        </w:tc>
        <w:tc>
          <w:tcPr>
            <w:tcW w:w="3137" w:type="dxa"/>
            <w:gridSpan w:val="4"/>
            <w:shd w:val="clear" w:color="auto" w:fill="D9E2F3"/>
            <w:vAlign w:val="center"/>
          </w:tcPr>
          <w:p w14:paraId="6556FCA7" w14:textId="77777777" w:rsidR="00990B14" w:rsidRDefault="00000000">
            <w:pPr>
              <w:spacing w:before="20" w:after="20"/>
              <w:jc w:val="both"/>
            </w:pPr>
            <w:r>
              <w:rPr>
                <w:b/>
                <w:bCs/>
                <w:sz w:val="18"/>
                <w:szCs w:val="18"/>
              </w:rPr>
              <w:t xml:space="preserve">Producto 3: </w:t>
            </w:r>
            <w:r>
              <w:rPr>
                <w:sz w:val="18"/>
                <w:szCs w:val="18"/>
              </w:rPr>
              <w:t>Informe de Verificación del Cumplimiento Gerencial:Informe estructurado derivado de la verificación gerencial, que relaciona las normativas aplicables al nivel directivo con las políticas internas de la organización, identificando áreas de riesgo y su grado de cumplimiento.</w:t>
            </w:r>
          </w:p>
        </w:tc>
      </w:tr>
      <w:tr w:rsidR="00990B14" w14:paraId="6CBC06F3" w14:textId="77777777">
        <w:trPr>
          <w:cantSplit/>
          <w:jc w:val="center"/>
        </w:trPr>
        <w:tc>
          <w:tcPr>
            <w:tcW w:w="3133" w:type="dxa"/>
            <w:gridSpan w:val="4"/>
            <w:vMerge/>
            <w:shd w:val="clear" w:color="auto" w:fill="D9E2F3"/>
            <w:vAlign w:val="center"/>
          </w:tcPr>
          <w:p w14:paraId="66D34DDE" w14:textId="77777777" w:rsidR="00990B14" w:rsidRDefault="00990B14">
            <w:pPr>
              <w:spacing w:before="20" w:after="20"/>
            </w:pPr>
          </w:p>
        </w:tc>
        <w:tc>
          <w:tcPr>
            <w:tcW w:w="3135" w:type="dxa"/>
            <w:gridSpan w:val="5"/>
            <w:shd w:val="clear" w:color="auto" w:fill="D9E2F3"/>
            <w:vAlign w:val="center"/>
          </w:tcPr>
          <w:p w14:paraId="535F2C18" w14:textId="77777777" w:rsidR="00990B14" w:rsidRDefault="00000000">
            <w:pPr>
              <w:spacing w:before="20" w:after="20"/>
              <w:jc w:val="both"/>
            </w:pPr>
            <w:r>
              <w:rPr>
                <w:sz w:val="18"/>
                <w:szCs w:val="18"/>
              </w:rPr>
              <w:t>2.2 Foro de análisis de riesgos y sostenibilidad: Presentación y defensa de propuestas de mitigación de riesgos organizacionales.</w:t>
            </w:r>
          </w:p>
        </w:tc>
        <w:tc>
          <w:tcPr>
            <w:tcW w:w="3137" w:type="dxa"/>
            <w:gridSpan w:val="4"/>
            <w:shd w:val="clear" w:color="auto" w:fill="D9E2F3"/>
            <w:vAlign w:val="center"/>
          </w:tcPr>
          <w:p w14:paraId="052B6485" w14:textId="77777777" w:rsidR="00990B14" w:rsidRDefault="00000000">
            <w:pPr>
              <w:spacing w:before="20" w:after="20"/>
              <w:jc w:val="both"/>
            </w:pPr>
            <w:r>
              <w:rPr>
                <w:b/>
                <w:bCs/>
                <w:sz w:val="18"/>
                <w:szCs w:val="18"/>
              </w:rPr>
              <w:t xml:space="preserve">Producto 4: </w:t>
            </w:r>
            <w:r>
              <w:rPr>
                <w:sz w:val="18"/>
                <w:szCs w:val="18"/>
              </w:rPr>
              <w:t>Informe de Gestión de Riesgos y Sostenibilidad Organizacional: Informe estratégico que detalla la identificación de riesgos del sistema de gestión, acompañado de un plan de mitigación alineado con los pilares de la sostenibilidad</w:t>
            </w:r>
          </w:p>
        </w:tc>
      </w:tr>
      <w:tr w:rsidR="00990B14" w14:paraId="7851214B" w14:textId="77777777">
        <w:trPr>
          <w:cantSplit/>
          <w:jc w:val="center"/>
        </w:trPr>
        <w:tc>
          <w:tcPr>
            <w:tcW w:w="9405" w:type="dxa"/>
            <w:gridSpan w:val="13"/>
            <w:shd w:val="clear" w:color="auto" w:fill="4472C4"/>
            <w:vAlign w:val="center"/>
          </w:tcPr>
          <w:p w14:paraId="046380CE" w14:textId="77777777" w:rsidR="00990B14" w:rsidRDefault="00000000">
            <w:pPr>
              <w:keepNext/>
              <w:spacing w:before="20" w:after="20"/>
              <w:jc w:val="center"/>
            </w:pPr>
            <w:r>
              <w:rPr>
                <w:b/>
                <w:bCs/>
                <w:i/>
                <w:iCs/>
                <w:color w:val="FFFFFF"/>
                <w:sz w:val="18"/>
                <w:szCs w:val="18"/>
              </w:rPr>
              <w:t>Evidencias de conocimiento</w:t>
            </w:r>
          </w:p>
        </w:tc>
      </w:tr>
      <w:tr w:rsidR="00990B14" w14:paraId="22B98ED6" w14:textId="77777777">
        <w:trPr>
          <w:cantSplit/>
          <w:jc w:val="center"/>
        </w:trPr>
        <w:tc>
          <w:tcPr>
            <w:tcW w:w="2349" w:type="dxa"/>
            <w:gridSpan w:val="2"/>
            <w:shd w:val="clear" w:color="auto" w:fill="4472C4"/>
            <w:vAlign w:val="center"/>
          </w:tcPr>
          <w:p w14:paraId="5B773EDE"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08B3B7F9" w14:textId="77777777" w:rsidR="00990B14" w:rsidRDefault="00000000">
            <w:pPr>
              <w:keepNext/>
              <w:spacing w:before="20" w:after="20"/>
              <w:jc w:val="both"/>
            </w:pPr>
            <w:r>
              <w:rPr>
                <w:b/>
                <w:bCs/>
                <w:i/>
                <w:iCs/>
                <w:color w:val="FFFFFF"/>
                <w:sz w:val="18"/>
                <w:szCs w:val="18"/>
              </w:rPr>
              <w:t>Contenidos</w:t>
            </w:r>
          </w:p>
          <w:p w14:paraId="71A57F74"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75178796" w14:textId="77777777" w:rsidR="00990B14" w:rsidRDefault="00000000">
            <w:pPr>
              <w:keepNext/>
              <w:spacing w:before="20" w:after="20"/>
              <w:jc w:val="center"/>
            </w:pPr>
            <w:r>
              <w:rPr>
                <w:b/>
                <w:bCs/>
                <w:i/>
                <w:iCs/>
                <w:color w:val="FFFFFF"/>
                <w:sz w:val="18"/>
                <w:szCs w:val="18"/>
              </w:rPr>
              <w:t>Conocimientos circunstanciales</w:t>
            </w:r>
          </w:p>
        </w:tc>
      </w:tr>
      <w:tr w:rsidR="00990B14" w14:paraId="2F02A6BF" w14:textId="77777777">
        <w:trPr>
          <w:jc w:val="center"/>
        </w:trPr>
        <w:tc>
          <w:tcPr>
            <w:tcW w:w="2349" w:type="dxa"/>
            <w:gridSpan w:val="2"/>
            <w:shd w:val="clear" w:color="auto" w:fill="D9E2F3"/>
          </w:tcPr>
          <w:p w14:paraId="43A97FA2" w14:textId="77777777" w:rsidR="00990B14" w:rsidRDefault="00000000">
            <w:pPr>
              <w:spacing w:before="20" w:after="40"/>
              <w:jc w:val="both"/>
            </w:pPr>
            <w:r>
              <w:rPr>
                <w:sz w:val="18"/>
                <w:szCs w:val="18"/>
              </w:rPr>
              <w:t>Tema 1: La Administración y los Sistemas</w:t>
            </w:r>
          </w:p>
          <w:p w14:paraId="58924629" w14:textId="77777777" w:rsidR="00990B14" w:rsidRDefault="00000000">
            <w:pPr>
              <w:spacing w:before="20" w:after="40"/>
              <w:jc w:val="both"/>
            </w:pPr>
            <w:r>
              <w:rPr>
                <w:sz w:val="18"/>
                <w:szCs w:val="18"/>
              </w:rPr>
              <w:t>Tema 2: Funciones Administrativas</w:t>
            </w:r>
          </w:p>
          <w:p w14:paraId="7E9A8AB4" w14:textId="77777777" w:rsidR="00990B14" w:rsidRDefault="00000000">
            <w:pPr>
              <w:spacing w:before="20" w:after="40"/>
              <w:jc w:val="both"/>
            </w:pPr>
            <w:r>
              <w:rPr>
                <w:sz w:val="18"/>
                <w:szCs w:val="18"/>
              </w:rPr>
              <w:t>Tema 3: Proceso Administrativo</w:t>
            </w:r>
          </w:p>
        </w:tc>
        <w:tc>
          <w:tcPr>
            <w:tcW w:w="4304" w:type="dxa"/>
            <w:gridSpan w:val="8"/>
            <w:shd w:val="clear" w:color="auto" w:fill="D9E2F3"/>
          </w:tcPr>
          <w:p w14:paraId="09C8063E" w14:textId="77777777" w:rsidR="00990B14" w:rsidRDefault="00000000">
            <w:pPr>
              <w:spacing w:after="40"/>
              <w:jc w:val="both"/>
            </w:pPr>
            <w:r>
              <w:rPr>
                <w:sz w:val="18"/>
                <w:szCs w:val="18"/>
              </w:rPr>
              <w:t>1.1. Teoría de sistemas – los sistemas. (C)</w:t>
            </w:r>
          </w:p>
          <w:p w14:paraId="59A42CE6" w14:textId="77777777" w:rsidR="00990B14" w:rsidRDefault="00000000">
            <w:pPr>
              <w:spacing w:after="40"/>
              <w:jc w:val="both"/>
            </w:pPr>
            <w:r>
              <w:rPr>
                <w:sz w:val="18"/>
                <w:szCs w:val="18"/>
              </w:rPr>
              <w:t>1.2. Constitución de los sistemas. (C)</w:t>
            </w:r>
          </w:p>
          <w:p w14:paraId="0A5B4C20" w14:textId="77777777" w:rsidR="00990B14" w:rsidRDefault="00000000">
            <w:pPr>
              <w:spacing w:after="40"/>
              <w:jc w:val="both"/>
            </w:pPr>
            <w:r>
              <w:rPr>
                <w:sz w:val="18"/>
                <w:szCs w:val="18"/>
              </w:rPr>
              <w:t>1.3. Los sistemas en la organización. (C)</w:t>
            </w:r>
          </w:p>
          <w:p w14:paraId="6B840F8F" w14:textId="77777777" w:rsidR="00990B14" w:rsidRDefault="00000000">
            <w:pPr>
              <w:spacing w:after="40"/>
              <w:jc w:val="both"/>
            </w:pPr>
            <w:r>
              <w:rPr>
                <w:sz w:val="18"/>
                <w:szCs w:val="18"/>
              </w:rPr>
              <w:t>1.4. Fines y objetos. (C)</w:t>
            </w:r>
          </w:p>
          <w:p w14:paraId="4455DA09" w14:textId="77777777" w:rsidR="00990B14" w:rsidRDefault="00000000">
            <w:pPr>
              <w:spacing w:after="40"/>
              <w:jc w:val="both"/>
            </w:pPr>
            <w:r>
              <w:rPr>
                <w:sz w:val="18"/>
                <w:szCs w:val="18"/>
              </w:rPr>
              <w:t>2.1. Función técnica o de producción. (C)</w:t>
            </w:r>
          </w:p>
          <w:p w14:paraId="2C9A5321" w14:textId="77777777" w:rsidR="00990B14" w:rsidRDefault="00000000">
            <w:pPr>
              <w:spacing w:after="40"/>
              <w:jc w:val="both"/>
            </w:pPr>
            <w:r>
              <w:rPr>
                <w:sz w:val="18"/>
                <w:szCs w:val="18"/>
              </w:rPr>
              <w:t>2.2. Función de Recursos Humanos. (C)</w:t>
            </w:r>
          </w:p>
          <w:p w14:paraId="3773D3E2" w14:textId="77777777" w:rsidR="00990B14" w:rsidRDefault="00000000">
            <w:pPr>
              <w:spacing w:after="40"/>
              <w:jc w:val="both"/>
            </w:pPr>
            <w:r>
              <w:rPr>
                <w:sz w:val="18"/>
                <w:szCs w:val="18"/>
              </w:rPr>
              <w:t>2.3. Función Comercial. (C)</w:t>
            </w:r>
          </w:p>
          <w:p w14:paraId="71945619" w14:textId="77777777" w:rsidR="00990B14" w:rsidRDefault="00000000">
            <w:pPr>
              <w:spacing w:after="40"/>
              <w:jc w:val="both"/>
            </w:pPr>
            <w:r>
              <w:rPr>
                <w:sz w:val="18"/>
                <w:szCs w:val="18"/>
              </w:rPr>
              <w:t>2.4. Función Contable - Finanzas. (C)</w:t>
            </w:r>
          </w:p>
          <w:p w14:paraId="62B7E47B" w14:textId="77777777" w:rsidR="00990B14" w:rsidRDefault="00000000">
            <w:pPr>
              <w:spacing w:before="60" w:after="20"/>
              <w:jc w:val="both"/>
            </w:pPr>
            <w:r>
              <w:rPr>
                <w:b/>
                <w:bCs/>
                <w:sz w:val="18"/>
                <w:szCs w:val="18"/>
              </w:rPr>
              <w:t>3.1. Fase mecánica (Estructural)</w:t>
            </w:r>
          </w:p>
          <w:p w14:paraId="43C53600" w14:textId="77777777" w:rsidR="00990B14" w:rsidRDefault="00000000">
            <w:pPr>
              <w:spacing w:after="40"/>
              <w:jc w:val="both"/>
            </w:pPr>
            <w:r>
              <w:rPr>
                <w:sz w:val="18"/>
                <w:szCs w:val="18"/>
              </w:rPr>
              <w:t>3.1.1. Concepto, importancia y principios de la planeación. (C)</w:t>
            </w:r>
          </w:p>
          <w:p w14:paraId="7FB56661" w14:textId="77777777" w:rsidR="00990B14" w:rsidRDefault="00000000">
            <w:pPr>
              <w:spacing w:after="40"/>
              <w:jc w:val="both"/>
            </w:pPr>
            <w:r>
              <w:rPr>
                <w:sz w:val="18"/>
                <w:szCs w:val="18"/>
              </w:rPr>
              <w:t>3.1.2. Concepto, importancia y principios de la organización. (C)</w:t>
            </w:r>
          </w:p>
          <w:p w14:paraId="6D2582E8" w14:textId="77777777" w:rsidR="00990B14" w:rsidRDefault="00000000">
            <w:pPr>
              <w:spacing w:after="40"/>
              <w:jc w:val="both"/>
            </w:pPr>
            <w:r>
              <w:rPr>
                <w:sz w:val="18"/>
                <w:szCs w:val="18"/>
              </w:rPr>
              <w:t>3.1.3. Modelos de departamentalización y diseño de estructuras. (C, P)</w:t>
            </w:r>
          </w:p>
          <w:p w14:paraId="531BFF3B" w14:textId="77777777" w:rsidR="00990B14" w:rsidRDefault="00000000">
            <w:pPr>
              <w:spacing w:before="60" w:after="20"/>
              <w:jc w:val="both"/>
            </w:pPr>
            <w:r>
              <w:rPr>
                <w:b/>
                <w:bCs/>
                <w:sz w:val="18"/>
                <w:szCs w:val="18"/>
              </w:rPr>
              <w:t>3.2. Fase dinámica (Operativa)</w:t>
            </w:r>
          </w:p>
          <w:p w14:paraId="741B6B7F" w14:textId="77777777" w:rsidR="00990B14" w:rsidRDefault="00000000">
            <w:pPr>
              <w:spacing w:after="40"/>
              <w:jc w:val="both"/>
            </w:pPr>
            <w:r>
              <w:rPr>
                <w:sz w:val="18"/>
                <w:szCs w:val="18"/>
              </w:rPr>
              <w:t>3.2.1. Concepto, importancia y principios de la dirección (liderazgo y motivación). (C)</w:t>
            </w:r>
          </w:p>
          <w:p w14:paraId="5AF7EB02" w14:textId="77777777" w:rsidR="00990B14" w:rsidRDefault="00000000">
            <w:pPr>
              <w:spacing w:after="40"/>
              <w:jc w:val="both"/>
            </w:pPr>
            <w:r>
              <w:rPr>
                <w:sz w:val="18"/>
                <w:szCs w:val="18"/>
              </w:rPr>
              <w:t>3.2.2. La comunicación efectiva y la toma de decisiones gerenciales. (C, P)</w:t>
            </w:r>
          </w:p>
          <w:p w14:paraId="73FF9FF0" w14:textId="77777777" w:rsidR="00990B14" w:rsidRDefault="00000000">
            <w:pPr>
              <w:spacing w:after="40"/>
              <w:jc w:val="both"/>
            </w:pPr>
            <w:r>
              <w:rPr>
                <w:sz w:val="18"/>
                <w:szCs w:val="18"/>
              </w:rPr>
              <w:t>3.2.3. Concepto, importancia y principios del control administrativo. (C)</w:t>
            </w:r>
          </w:p>
        </w:tc>
        <w:tc>
          <w:tcPr>
            <w:tcW w:w="2752" w:type="dxa"/>
            <w:gridSpan w:val="3"/>
            <w:shd w:val="clear" w:color="auto" w:fill="D9E2F3"/>
          </w:tcPr>
          <w:p w14:paraId="30A7AFD4" w14:textId="77777777" w:rsidR="00990B14" w:rsidRDefault="00000000">
            <w:pPr>
              <w:numPr>
                <w:ilvl w:val="0"/>
                <w:numId w:val="139"/>
              </w:numPr>
              <w:spacing w:before="10" w:after="10"/>
              <w:jc w:val="both"/>
            </w:pPr>
            <w:r>
              <w:rPr>
                <w:sz w:val="18"/>
                <w:szCs w:val="18"/>
              </w:rPr>
              <w:t>Apropiación de la teoría general de sistemas.</w:t>
            </w:r>
          </w:p>
          <w:p w14:paraId="2C111263" w14:textId="77777777" w:rsidR="00990B14" w:rsidRDefault="00000000">
            <w:pPr>
              <w:numPr>
                <w:ilvl w:val="0"/>
                <w:numId w:val="139"/>
              </w:numPr>
              <w:spacing w:before="10" w:after="10"/>
              <w:jc w:val="both"/>
            </w:pPr>
            <w:r>
              <w:rPr>
                <w:sz w:val="18"/>
                <w:szCs w:val="18"/>
              </w:rPr>
              <w:t>Fundamentos comunicacionales y TICs.</w:t>
            </w:r>
          </w:p>
          <w:p w14:paraId="25FB268D" w14:textId="77777777" w:rsidR="00990B14" w:rsidRDefault="00000000">
            <w:pPr>
              <w:numPr>
                <w:ilvl w:val="0"/>
                <w:numId w:val="139"/>
              </w:numPr>
              <w:spacing w:before="10" w:after="10"/>
              <w:jc w:val="both"/>
            </w:pPr>
            <w:r>
              <w:rPr>
                <w:sz w:val="18"/>
                <w:szCs w:val="18"/>
              </w:rPr>
              <w:t>Diseño básico de modelo de negocios.</w:t>
            </w:r>
          </w:p>
        </w:tc>
      </w:tr>
      <w:tr w:rsidR="00990B14" w14:paraId="566BC883" w14:textId="77777777">
        <w:trPr>
          <w:cantSplit/>
          <w:jc w:val="center"/>
        </w:trPr>
        <w:tc>
          <w:tcPr>
            <w:tcW w:w="9405" w:type="dxa"/>
            <w:gridSpan w:val="13"/>
            <w:shd w:val="clear" w:color="auto" w:fill="D9E2F3"/>
            <w:vAlign w:val="center"/>
          </w:tcPr>
          <w:p w14:paraId="13C3B7B8" w14:textId="77777777" w:rsidR="00990B14" w:rsidRDefault="00000000">
            <w:pPr>
              <w:spacing w:before="20" w:after="20"/>
              <w:jc w:val="both"/>
            </w:pPr>
            <w:r>
              <w:rPr>
                <w:b/>
                <w:bCs/>
                <w:i/>
                <w:iCs/>
                <w:sz w:val="18"/>
                <w:szCs w:val="18"/>
              </w:rPr>
              <w:t xml:space="preserve">Elemento de competencia 2: </w:t>
            </w:r>
            <w:r>
              <w:rPr>
                <w:sz w:val="18"/>
                <w:szCs w:val="18"/>
              </w:rPr>
              <w:t>Analiza el sistema de toma de decisiones de una organización, describiendo su ciclo, sus principios y sus subsistemas de insumo, proceso, producto y retroalimentación.</w:t>
            </w:r>
          </w:p>
        </w:tc>
      </w:tr>
      <w:tr w:rsidR="00990B14" w14:paraId="08A8C404" w14:textId="77777777">
        <w:trPr>
          <w:cantSplit/>
          <w:jc w:val="center"/>
        </w:trPr>
        <w:tc>
          <w:tcPr>
            <w:tcW w:w="3133" w:type="dxa"/>
            <w:gridSpan w:val="4"/>
            <w:shd w:val="clear" w:color="auto" w:fill="4472C4"/>
            <w:vAlign w:val="center"/>
          </w:tcPr>
          <w:p w14:paraId="7FF82C0B"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6EBE95C2"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208425BF" w14:textId="77777777" w:rsidR="00990B14" w:rsidRDefault="00000000">
            <w:pPr>
              <w:keepNext/>
              <w:spacing w:before="20" w:after="20"/>
              <w:jc w:val="center"/>
            </w:pPr>
            <w:r>
              <w:rPr>
                <w:b/>
                <w:bCs/>
                <w:i/>
                <w:iCs/>
                <w:color w:val="FFFFFF"/>
                <w:sz w:val="18"/>
                <w:szCs w:val="18"/>
              </w:rPr>
              <w:t>Evidencias de producto</w:t>
            </w:r>
          </w:p>
        </w:tc>
      </w:tr>
      <w:tr w:rsidR="00990B14" w14:paraId="484BCFDD" w14:textId="77777777">
        <w:trPr>
          <w:cantSplit/>
          <w:jc w:val="center"/>
        </w:trPr>
        <w:tc>
          <w:tcPr>
            <w:tcW w:w="3133" w:type="dxa"/>
            <w:gridSpan w:val="4"/>
            <w:vMerge w:val="restart"/>
            <w:shd w:val="clear" w:color="auto" w:fill="D9E2F3"/>
            <w:vAlign w:val="center"/>
          </w:tcPr>
          <w:p w14:paraId="4D7486B3" w14:textId="77777777" w:rsidR="00990B14" w:rsidRDefault="00000000">
            <w:pPr>
              <w:spacing w:before="20" w:after="20"/>
              <w:jc w:val="both"/>
            </w:pPr>
            <w:r>
              <w:rPr>
                <w:sz w:val="18"/>
                <w:szCs w:val="18"/>
              </w:rPr>
              <w:t>1. Describe el sistema de toma de decisiones de una organización, identificando su ciclo, sus principios, sus subsistemas y su control interno.</w:t>
            </w:r>
          </w:p>
        </w:tc>
        <w:tc>
          <w:tcPr>
            <w:tcW w:w="3135" w:type="dxa"/>
            <w:gridSpan w:val="5"/>
            <w:shd w:val="clear" w:color="auto" w:fill="D9E2F3"/>
            <w:vAlign w:val="center"/>
          </w:tcPr>
          <w:p w14:paraId="0A60522E" w14:textId="77777777" w:rsidR="00990B14" w:rsidRDefault="00000000">
            <w:pPr>
              <w:spacing w:before="20" w:after="20"/>
              <w:jc w:val="both"/>
            </w:pPr>
            <w:r>
              <w:rPr>
                <w:sz w:val="18"/>
                <w:szCs w:val="18"/>
              </w:rPr>
              <w:t>1.1 Simulación y exposición del ciclo de decisiones: Demostración práctica donde expone y argumenta, a través de una simulación controlada, real o simulada, cada una de las fases del ciclo de toma de decisiones (identificación del problema, alternativas, selección e implementación), evidenciando el cumplimiento de sus principios rectores.</w:t>
            </w:r>
          </w:p>
        </w:tc>
        <w:tc>
          <w:tcPr>
            <w:tcW w:w="3137" w:type="dxa"/>
            <w:gridSpan w:val="4"/>
            <w:shd w:val="clear" w:color="auto" w:fill="D9E2F3"/>
            <w:vAlign w:val="center"/>
          </w:tcPr>
          <w:p w14:paraId="2C3D5753" w14:textId="77777777" w:rsidR="00990B14" w:rsidRDefault="00000000">
            <w:pPr>
              <w:spacing w:before="20" w:after="20"/>
              <w:jc w:val="both"/>
            </w:pPr>
            <w:r>
              <w:rPr>
                <w:b/>
                <w:bCs/>
                <w:sz w:val="18"/>
                <w:szCs w:val="18"/>
              </w:rPr>
              <w:t xml:space="preserve">Producto 5: </w:t>
            </w:r>
            <w:r>
              <w:rPr>
                <w:sz w:val="18"/>
                <w:szCs w:val="18"/>
              </w:rPr>
              <w:t>Informe de Mapeo del Sistema de Decisiones: descripción que detalla paso a paso el ciclo de toma de decisiones de la organización analizada, identificando los subsistemas involucrados y los principios aplicados en cada nivel jerárquico.</w:t>
            </w:r>
          </w:p>
        </w:tc>
      </w:tr>
      <w:tr w:rsidR="00990B14" w14:paraId="50FF3628" w14:textId="77777777">
        <w:trPr>
          <w:cantSplit/>
          <w:jc w:val="center"/>
        </w:trPr>
        <w:tc>
          <w:tcPr>
            <w:tcW w:w="3133" w:type="dxa"/>
            <w:gridSpan w:val="4"/>
            <w:vMerge/>
            <w:shd w:val="clear" w:color="auto" w:fill="D9E2F3"/>
            <w:vAlign w:val="center"/>
          </w:tcPr>
          <w:p w14:paraId="1F721A6B" w14:textId="77777777" w:rsidR="00990B14" w:rsidRDefault="00990B14">
            <w:pPr>
              <w:spacing w:before="20" w:after="20"/>
            </w:pPr>
          </w:p>
        </w:tc>
        <w:tc>
          <w:tcPr>
            <w:tcW w:w="3135" w:type="dxa"/>
            <w:gridSpan w:val="5"/>
            <w:shd w:val="clear" w:color="auto" w:fill="D9E2F3"/>
            <w:vAlign w:val="center"/>
          </w:tcPr>
          <w:p w14:paraId="776C3922" w14:textId="77777777" w:rsidR="00990B14" w:rsidRDefault="00000000">
            <w:pPr>
              <w:spacing w:before="20" w:after="20"/>
              <w:jc w:val="both"/>
            </w:pPr>
            <w:r>
              <w:rPr>
                <w:sz w:val="18"/>
                <w:szCs w:val="18"/>
              </w:rPr>
              <w:t>1.2 Evaluación de subsistemas de control: Demostración en la que el alumno analiza de forma crítica los mecanismos de supervisión, flujos de información y salvaguardas que operan dentro de los subsistemas de una organización para verificar cómo se mitigan los errores o desviaciones en las organizaciones.</w:t>
            </w:r>
          </w:p>
        </w:tc>
        <w:tc>
          <w:tcPr>
            <w:tcW w:w="3137" w:type="dxa"/>
            <w:gridSpan w:val="4"/>
            <w:shd w:val="clear" w:color="auto" w:fill="D9E2F3"/>
            <w:vAlign w:val="center"/>
          </w:tcPr>
          <w:p w14:paraId="0DD8CB62" w14:textId="77777777" w:rsidR="00990B14" w:rsidRDefault="00000000">
            <w:pPr>
              <w:spacing w:before="20" w:after="20"/>
              <w:jc w:val="both"/>
            </w:pPr>
            <w:r>
              <w:rPr>
                <w:b/>
                <w:bCs/>
                <w:sz w:val="18"/>
                <w:szCs w:val="18"/>
              </w:rPr>
              <w:t xml:space="preserve">Producto 6: </w:t>
            </w:r>
            <w:r>
              <w:rPr>
                <w:sz w:val="18"/>
                <w:szCs w:val="18"/>
              </w:rPr>
              <w:t>Mapa o Diagrama Decisional: Representación gráfica (flujograma o matriz de control) que ilustra los puntos críticos de control, los canales de retroalimentación y las restricciones normativas dentro del sistema de decisiones de la entidad.</w:t>
            </w:r>
          </w:p>
        </w:tc>
      </w:tr>
      <w:tr w:rsidR="00990B14" w14:paraId="0436A3EC" w14:textId="77777777">
        <w:trPr>
          <w:cantSplit/>
          <w:jc w:val="center"/>
        </w:trPr>
        <w:tc>
          <w:tcPr>
            <w:tcW w:w="3133" w:type="dxa"/>
            <w:gridSpan w:val="4"/>
            <w:vMerge w:val="restart"/>
            <w:shd w:val="clear" w:color="auto" w:fill="D9E2F3"/>
            <w:vAlign w:val="center"/>
          </w:tcPr>
          <w:p w14:paraId="69CD8847" w14:textId="77777777" w:rsidR="00990B14" w:rsidRDefault="00000000">
            <w:pPr>
              <w:spacing w:before="20" w:after="20"/>
              <w:jc w:val="both"/>
            </w:pPr>
            <w:r>
              <w:rPr>
                <w:sz w:val="18"/>
                <w:szCs w:val="18"/>
              </w:rPr>
              <w:t>2. Aplica las técnicas e instrumentos del sistema gerencial, considerando el riesgo, la ética y la información que respalda la decisión.</w:t>
            </w:r>
          </w:p>
        </w:tc>
        <w:tc>
          <w:tcPr>
            <w:tcW w:w="3135" w:type="dxa"/>
            <w:gridSpan w:val="5"/>
            <w:shd w:val="clear" w:color="auto" w:fill="D9E2F3"/>
            <w:vAlign w:val="center"/>
          </w:tcPr>
          <w:p w14:paraId="0CF1ED47" w14:textId="77777777" w:rsidR="00990B14" w:rsidRDefault="00000000">
            <w:pPr>
              <w:spacing w:before="20" w:after="20"/>
              <w:jc w:val="both"/>
            </w:pPr>
            <w:r>
              <w:rPr>
                <w:sz w:val="18"/>
                <w:szCs w:val="18"/>
              </w:rPr>
              <w:t>2.1 Resolución de casos: Demostración práctica donde utiliza herramientas cuantitativas y cualitativas de gestión (árboles de decisión, matrices de pago o análisis multicriterio) para resolver una problemática gerencial compleja bajo condiciones de incertidumbre.</w:t>
            </w:r>
          </w:p>
        </w:tc>
        <w:tc>
          <w:tcPr>
            <w:tcW w:w="3137" w:type="dxa"/>
            <w:gridSpan w:val="4"/>
            <w:shd w:val="clear" w:color="auto" w:fill="D9E2F3"/>
            <w:vAlign w:val="center"/>
          </w:tcPr>
          <w:p w14:paraId="38287C55" w14:textId="77777777" w:rsidR="00990B14" w:rsidRDefault="00000000">
            <w:pPr>
              <w:spacing w:before="20" w:after="20"/>
              <w:jc w:val="both"/>
            </w:pPr>
            <w:r>
              <w:rPr>
                <w:b/>
                <w:bCs/>
                <w:sz w:val="18"/>
                <w:szCs w:val="18"/>
              </w:rPr>
              <w:t xml:space="preserve">Producto 7: </w:t>
            </w:r>
            <w:r>
              <w:rPr>
                <w:sz w:val="18"/>
                <w:szCs w:val="18"/>
              </w:rPr>
              <w:t>Informe Técnico de Aplicación de Instrumentos Gerenciales: Documento técnico y gráfico que integra el organigrama oficial de la entidad, el Manual de Organización y Funciones (MOF) con perfiles de puesto, jerarquías y responsabilidades, y el Manual de Procesos con flujogramas normalizados que describen secuencialmente los procesos clave y evidencian la articulación operativa de la estructura.</w:t>
            </w:r>
          </w:p>
        </w:tc>
      </w:tr>
      <w:tr w:rsidR="00990B14" w14:paraId="6974A4D1" w14:textId="77777777">
        <w:trPr>
          <w:cantSplit/>
          <w:jc w:val="center"/>
        </w:trPr>
        <w:tc>
          <w:tcPr>
            <w:tcW w:w="3133" w:type="dxa"/>
            <w:gridSpan w:val="4"/>
            <w:vMerge/>
            <w:shd w:val="clear" w:color="auto" w:fill="D9E2F3"/>
            <w:vAlign w:val="center"/>
          </w:tcPr>
          <w:p w14:paraId="3F3B3C72" w14:textId="77777777" w:rsidR="00990B14" w:rsidRDefault="00990B14">
            <w:pPr>
              <w:spacing w:before="20" w:after="20"/>
            </w:pPr>
          </w:p>
        </w:tc>
        <w:tc>
          <w:tcPr>
            <w:tcW w:w="3135" w:type="dxa"/>
            <w:gridSpan w:val="5"/>
            <w:shd w:val="clear" w:color="auto" w:fill="D9E2F3"/>
            <w:vAlign w:val="center"/>
          </w:tcPr>
          <w:p w14:paraId="5E8AC597" w14:textId="77777777" w:rsidR="00990B14" w:rsidRDefault="00000000">
            <w:pPr>
              <w:spacing w:before="20" w:after="20"/>
              <w:jc w:val="both"/>
            </w:pPr>
            <w:r>
              <w:rPr>
                <w:sz w:val="18"/>
                <w:szCs w:val="18"/>
              </w:rPr>
              <w:t>2.2 Simulación y evaluación: Simulación de una toma de decisiones donde el alumno defiende y argumenta una propuesta de solución gerencial, demostrando el uso riguroso de fuentes de información fidedignas, la ponderación del riesgo asociado y la justificación bajo criterios éticos corporativos.</w:t>
            </w:r>
          </w:p>
        </w:tc>
        <w:tc>
          <w:tcPr>
            <w:tcW w:w="3137" w:type="dxa"/>
            <w:gridSpan w:val="4"/>
            <w:shd w:val="clear" w:color="auto" w:fill="D9E2F3"/>
            <w:vAlign w:val="center"/>
          </w:tcPr>
          <w:p w14:paraId="0CCB2C71" w14:textId="77777777" w:rsidR="00990B14" w:rsidRDefault="00000000">
            <w:pPr>
              <w:spacing w:before="20" w:after="20"/>
              <w:jc w:val="both"/>
            </w:pPr>
            <w:r>
              <w:rPr>
                <w:b/>
                <w:bCs/>
                <w:sz w:val="18"/>
                <w:szCs w:val="18"/>
              </w:rPr>
              <w:t xml:space="preserve">Producto 8: </w:t>
            </w:r>
            <w:r>
              <w:rPr>
                <w:sz w:val="18"/>
                <w:szCs w:val="18"/>
              </w:rPr>
              <w:t>Acta de Decisión Gerencial con Enfoque Ético y de Riesgos: Documento ejecutivo formal que resume la decisión tomada, acompañada de un análisis de impacto de riesgos, la evaluación de las fuentes de información utilizadas y una declaración de cumplimiento de los principios éticos que respaldan la resolución del caso.</w:t>
            </w:r>
          </w:p>
        </w:tc>
      </w:tr>
      <w:tr w:rsidR="00990B14" w14:paraId="54426EAF" w14:textId="77777777">
        <w:trPr>
          <w:cantSplit/>
          <w:jc w:val="center"/>
        </w:trPr>
        <w:tc>
          <w:tcPr>
            <w:tcW w:w="9405" w:type="dxa"/>
            <w:gridSpan w:val="13"/>
            <w:shd w:val="clear" w:color="auto" w:fill="4472C4"/>
            <w:vAlign w:val="center"/>
          </w:tcPr>
          <w:p w14:paraId="3AE3E7DA" w14:textId="77777777" w:rsidR="00990B14" w:rsidRDefault="00000000">
            <w:pPr>
              <w:keepNext/>
              <w:spacing w:before="20" w:after="20"/>
              <w:jc w:val="center"/>
            </w:pPr>
            <w:r>
              <w:rPr>
                <w:b/>
                <w:bCs/>
                <w:i/>
                <w:iCs/>
                <w:color w:val="FFFFFF"/>
                <w:sz w:val="18"/>
                <w:szCs w:val="18"/>
              </w:rPr>
              <w:t>Evidencias de conocimiento</w:t>
            </w:r>
          </w:p>
        </w:tc>
      </w:tr>
      <w:tr w:rsidR="00990B14" w14:paraId="0111951A" w14:textId="77777777">
        <w:trPr>
          <w:cantSplit/>
          <w:jc w:val="center"/>
        </w:trPr>
        <w:tc>
          <w:tcPr>
            <w:tcW w:w="2349" w:type="dxa"/>
            <w:gridSpan w:val="2"/>
            <w:shd w:val="clear" w:color="auto" w:fill="4472C4"/>
            <w:vAlign w:val="center"/>
          </w:tcPr>
          <w:p w14:paraId="139D1D46"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0D78B6E9" w14:textId="77777777" w:rsidR="00990B14" w:rsidRDefault="00000000">
            <w:pPr>
              <w:keepNext/>
              <w:spacing w:before="20" w:after="20"/>
              <w:jc w:val="both"/>
            </w:pPr>
            <w:r>
              <w:rPr>
                <w:b/>
                <w:bCs/>
                <w:i/>
                <w:iCs/>
                <w:color w:val="FFFFFF"/>
                <w:sz w:val="18"/>
                <w:szCs w:val="18"/>
              </w:rPr>
              <w:t>Contenidos</w:t>
            </w:r>
          </w:p>
          <w:p w14:paraId="6B0DD020"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0BF64068" w14:textId="77777777" w:rsidR="00990B14" w:rsidRDefault="00000000">
            <w:pPr>
              <w:keepNext/>
              <w:spacing w:before="20" w:after="20"/>
              <w:jc w:val="center"/>
            </w:pPr>
            <w:r>
              <w:rPr>
                <w:b/>
                <w:bCs/>
                <w:i/>
                <w:iCs/>
                <w:color w:val="FFFFFF"/>
                <w:sz w:val="18"/>
                <w:szCs w:val="18"/>
              </w:rPr>
              <w:t>Conocimientos circunstanciales</w:t>
            </w:r>
          </w:p>
        </w:tc>
      </w:tr>
      <w:tr w:rsidR="00990B14" w14:paraId="5F28834C" w14:textId="77777777">
        <w:trPr>
          <w:jc w:val="center"/>
        </w:trPr>
        <w:tc>
          <w:tcPr>
            <w:tcW w:w="2349" w:type="dxa"/>
            <w:gridSpan w:val="2"/>
            <w:shd w:val="clear" w:color="auto" w:fill="D9E2F3"/>
          </w:tcPr>
          <w:p w14:paraId="1A91A638" w14:textId="77777777" w:rsidR="00990B14" w:rsidRDefault="00000000">
            <w:pPr>
              <w:spacing w:before="20" w:after="40"/>
              <w:jc w:val="both"/>
            </w:pPr>
            <w:r>
              <w:rPr>
                <w:sz w:val="18"/>
                <w:szCs w:val="18"/>
              </w:rPr>
              <w:t>Tema 4: Sistema de Planificación</w:t>
            </w:r>
          </w:p>
          <w:p w14:paraId="60A2666B" w14:textId="77777777" w:rsidR="00990B14" w:rsidRDefault="00000000">
            <w:pPr>
              <w:spacing w:before="20" w:after="40"/>
              <w:jc w:val="both"/>
            </w:pPr>
            <w:r>
              <w:rPr>
                <w:sz w:val="18"/>
                <w:szCs w:val="18"/>
              </w:rPr>
              <w:t>Tema 5: Sistema de Organización</w:t>
            </w:r>
          </w:p>
          <w:p w14:paraId="5140056D" w14:textId="77777777" w:rsidR="00990B14" w:rsidRDefault="00000000">
            <w:pPr>
              <w:spacing w:before="20" w:after="40"/>
              <w:jc w:val="both"/>
            </w:pPr>
            <w:r>
              <w:rPr>
                <w:sz w:val="18"/>
                <w:szCs w:val="18"/>
              </w:rPr>
              <w:t>Tema 6: Sistema de Integración de Recursos</w:t>
            </w:r>
          </w:p>
          <w:p w14:paraId="201D13FF" w14:textId="77777777" w:rsidR="00990B14" w:rsidRDefault="00000000">
            <w:pPr>
              <w:spacing w:before="20" w:after="40"/>
              <w:jc w:val="both"/>
            </w:pPr>
            <w:r>
              <w:rPr>
                <w:sz w:val="18"/>
                <w:szCs w:val="18"/>
              </w:rPr>
              <w:t>Tema 7: Sistema de Dirección</w:t>
            </w:r>
          </w:p>
          <w:p w14:paraId="1694D89C" w14:textId="77777777" w:rsidR="00990B14" w:rsidRDefault="00000000">
            <w:pPr>
              <w:spacing w:before="20" w:after="40"/>
              <w:jc w:val="both"/>
            </w:pPr>
            <w:r>
              <w:rPr>
                <w:sz w:val="18"/>
                <w:szCs w:val="18"/>
              </w:rPr>
              <w:t>Tema 8: Sistema de Control</w:t>
            </w:r>
          </w:p>
        </w:tc>
        <w:tc>
          <w:tcPr>
            <w:tcW w:w="4304" w:type="dxa"/>
            <w:gridSpan w:val="8"/>
            <w:shd w:val="clear" w:color="auto" w:fill="D9E2F3"/>
          </w:tcPr>
          <w:p w14:paraId="67468A46" w14:textId="77777777" w:rsidR="00990B14" w:rsidRDefault="00000000">
            <w:pPr>
              <w:spacing w:before="60" w:after="20"/>
              <w:jc w:val="both"/>
            </w:pPr>
            <w:r>
              <w:rPr>
                <w:b/>
                <w:bCs/>
                <w:sz w:val="18"/>
                <w:szCs w:val="18"/>
              </w:rPr>
              <w:t>4.1. Diagnóstico y análisis estratégico</w:t>
            </w:r>
          </w:p>
          <w:p w14:paraId="183382B6" w14:textId="77777777" w:rsidR="00990B14" w:rsidRDefault="00000000">
            <w:pPr>
              <w:spacing w:after="40"/>
              <w:jc w:val="both"/>
            </w:pPr>
            <w:r>
              <w:rPr>
                <w:sz w:val="18"/>
                <w:szCs w:val="18"/>
              </w:rPr>
              <w:t>4.1.1. Análisis del entorno externo (Macroentorno y Microentorno: FODA, PESTEL). (C, P)</w:t>
            </w:r>
          </w:p>
          <w:p w14:paraId="0B2A4D72" w14:textId="77777777" w:rsidR="00990B14" w:rsidRDefault="00000000">
            <w:pPr>
              <w:spacing w:after="40"/>
              <w:jc w:val="both"/>
            </w:pPr>
            <w:r>
              <w:rPr>
                <w:sz w:val="18"/>
                <w:szCs w:val="18"/>
              </w:rPr>
              <w:t>4.1.2. Análisis de los recursos y capacidades internas de la organización. (C, P)</w:t>
            </w:r>
          </w:p>
          <w:p w14:paraId="70E9D345" w14:textId="77777777" w:rsidR="00990B14" w:rsidRDefault="00000000">
            <w:pPr>
              <w:spacing w:before="60" w:after="20"/>
              <w:jc w:val="both"/>
            </w:pPr>
            <w:r>
              <w:rPr>
                <w:b/>
                <w:bCs/>
                <w:sz w:val="18"/>
                <w:szCs w:val="18"/>
              </w:rPr>
              <w:t>4.2. Formulación y despliegue del plan</w:t>
            </w:r>
          </w:p>
          <w:p w14:paraId="555AFB7F" w14:textId="77777777" w:rsidR="00990B14" w:rsidRDefault="00000000">
            <w:pPr>
              <w:spacing w:after="40"/>
              <w:jc w:val="both"/>
            </w:pPr>
            <w:r>
              <w:rPr>
                <w:sz w:val="18"/>
                <w:szCs w:val="18"/>
              </w:rPr>
              <w:t>4.2.1. Definición de la filosofía organizacional (Misión, Visión y Valores). (C, P)</w:t>
            </w:r>
          </w:p>
          <w:p w14:paraId="1E6F13AD" w14:textId="77777777" w:rsidR="00990B14" w:rsidRDefault="00000000">
            <w:pPr>
              <w:spacing w:after="40"/>
              <w:jc w:val="both"/>
            </w:pPr>
            <w:r>
              <w:rPr>
                <w:sz w:val="18"/>
                <w:szCs w:val="18"/>
              </w:rPr>
              <w:t>4.2.2. Establecimiento de objetivos estratégicos, tácticos y operativos (Metodología SMART). (C, P)</w:t>
            </w:r>
          </w:p>
          <w:p w14:paraId="265293D7" w14:textId="77777777" w:rsidR="00990B14" w:rsidRDefault="00000000">
            <w:pPr>
              <w:spacing w:after="40"/>
              <w:jc w:val="both"/>
            </w:pPr>
            <w:r>
              <w:rPr>
                <w:sz w:val="18"/>
                <w:szCs w:val="18"/>
              </w:rPr>
              <w:t>4.2.3. Diseño de planes de acción, cronogramas y asignación de recursos. (C, P)</w:t>
            </w:r>
          </w:p>
          <w:p w14:paraId="48FE573A" w14:textId="77777777" w:rsidR="00990B14" w:rsidRDefault="00000000">
            <w:pPr>
              <w:spacing w:before="60" w:after="20"/>
              <w:jc w:val="both"/>
            </w:pPr>
            <w:r>
              <w:rPr>
                <w:b/>
                <w:bCs/>
                <w:sz w:val="18"/>
                <w:szCs w:val="18"/>
              </w:rPr>
              <w:t>4.3. Control de gestión y mitigación de riesgos</w:t>
            </w:r>
          </w:p>
          <w:p w14:paraId="606527C8" w14:textId="77777777" w:rsidR="00990B14" w:rsidRDefault="00000000">
            <w:pPr>
              <w:spacing w:after="40"/>
              <w:jc w:val="both"/>
            </w:pPr>
            <w:r>
              <w:rPr>
                <w:sz w:val="18"/>
                <w:szCs w:val="18"/>
              </w:rPr>
              <w:t>4.3.1. Herramientas de control de gestión e indicadores de desempeño (KPIs / Cuadro de Mando Integral). (C, P, T)</w:t>
            </w:r>
          </w:p>
          <w:p w14:paraId="23B40A16" w14:textId="77777777" w:rsidR="00990B14" w:rsidRDefault="00000000">
            <w:pPr>
              <w:spacing w:after="40"/>
              <w:jc w:val="both"/>
            </w:pPr>
            <w:r>
              <w:rPr>
                <w:sz w:val="18"/>
                <w:szCs w:val="18"/>
              </w:rPr>
              <w:t>4.3.2. Identificación y evaluación de riesgos en el sistema de planificación. (C, P)</w:t>
            </w:r>
          </w:p>
          <w:p w14:paraId="4CF3AD15" w14:textId="77777777" w:rsidR="00990B14" w:rsidRDefault="00000000">
            <w:pPr>
              <w:spacing w:after="40"/>
              <w:jc w:val="both"/>
            </w:pPr>
            <w:r>
              <w:rPr>
                <w:sz w:val="18"/>
                <w:szCs w:val="18"/>
              </w:rPr>
              <w:t>4.3.3. Acciones correctivas y seguimiento del cumplimiento organizacional. (C, P)</w:t>
            </w:r>
          </w:p>
          <w:p w14:paraId="3B43D638" w14:textId="77777777" w:rsidR="00990B14" w:rsidRDefault="00000000">
            <w:pPr>
              <w:spacing w:after="40"/>
              <w:jc w:val="both"/>
            </w:pPr>
            <w:r>
              <w:rPr>
                <w:sz w:val="18"/>
                <w:szCs w:val="18"/>
              </w:rPr>
              <w:t>5.1. Fundamentos y principios de la organización 5.1.1. Concepto, importancia y evolución del diseño organizacional. (C)</w:t>
            </w:r>
          </w:p>
          <w:p w14:paraId="347E0925" w14:textId="77777777" w:rsidR="00990B14" w:rsidRDefault="00000000">
            <w:pPr>
              <w:spacing w:after="40"/>
              <w:jc w:val="both"/>
            </w:pPr>
            <w:r>
              <w:rPr>
                <w:sz w:val="18"/>
                <w:szCs w:val="18"/>
              </w:rPr>
              <w:t>5.1.2. Principios de la organización (división del trabajo, unidad de mando, autoridad y responsabilidad). (C)</w:t>
            </w:r>
          </w:p>
          <w:p w14:paraId="6231B25F" w14:textId="77777777" w:rsidR="00990B14" w:rsidRDefault="00000000">
            <w:pPr>
              <w:spacing w:before="60" w:after="20"/>
              <w:jc w:val="both"/>
            </w:pPr>
            <w:r>
              <w:rPr>
                <w:b/>
                <w:bCs/>
                <w:sz w:val="18"/>
                <w:szCs w:val="18"/>
              </w:rPr>
              <w:t>5.2. Estructuras organizacionales</w:t>
            </w:r>
          </w:p>
          <w:p w14:paraId="2794CFDD" w14:textId="77777777" w:rsidR="00990B14" w:rsidRDefault="00000000">
            <w:pPr>
              <w:spacing w:after="40"/>
              <w:jc w:val="both"/>
            </w:pPr>
            <w:r>
              <w:rPr>
                <w:sz w:val="18"/>
                <w:szCs w:val="18"/>
              </w:rPr>
              <w:t>5.2.1. Tipos de estructuras (funcional, divisional, matricial y por proyectos). (C)</w:t>
            </w:r>
          </w:p>
          <w:p w14:paraId="12F7139A" w14:textId="77777777" w:rsidR="00990B14" w:rsidRDefault="00000000">
            <w:pPr>
              <w:spacing w:after="40"/>
              <w:jc w:val="both"/>
            </w:pPr>
            <w:r>
              <w:rPr>
                <w:sz w:val="18"/>
                <w:szCs w:val="18"/>
              </w:rPr>
              <w:t>5.2.2. Diseño de organigramas, tramos de control y líneas de autoridad. (P, T)</w:t>
            </w:r>
          </w:p>
          <w:p w14:paraId="2BB7A4E8" w14:textId="77777777" w:rsidR="00990B14" w:rsidRDefault="00000000">
            <w:pPr>
              <w:spacing w:after="40"/>
              <w:jc w:val="both"/>
            </w:pPr>
            <w:r>
              <w:rPr>
                <w:sz w:val="18"/>
                <w:szCs w:val="18"/>
              </w:rPr>
              <w:t>5.3. Formalización y normalización en la organización 5.3.1. Manuales administrativos (Manual de Organización y Funciones - MOF, Manual de Procedimientos). (C, P)</w:t>
            </w:r>
          </w:p>
          <w:p w14:paraId="3F3E2755" w14:textId="77777777" w:rsidR="00990B14" w:rsidRDefault="00000000">
            <w:pPr>
              <w:spacing w:after="40"/>
              <w:jc w:val="both"/>
            </w:pPr>
            <w:r>
              <w:rPr>
                <w:sz w:val="18"/>
                <w:szCs w:val="18"/>
              </w:rPr>
              <w:t>5.3.2. Descripción y análisis de puestos de trabajo. (C, P)</w:t>
            </w:r>
          </w:p>
          <w:p w14:paraId="4E77B38E" w14:textId="77777777" w:rsidR="00990B14" w:rsidRDefault="00000000">
            <w:pPr>
              <w:spacing w:before="60" w:after="20"/>
              <w:jc w:val="both"/>
            </w:pPr>
            <w:r>
              <w:rPr>
                <w:b/>
                <w:bCs/>
                <w:sz w:val="18"/>
                <w:szCs w:val="18"/>
              </w:rPr>
              <w:t>6.1. La integración como etapa administrativa</w:t>
            </w:r>
          </w:p>
          <w:p w14:paraId="613039F5" w14:textId="77777777" w:rsidR="00990B14" w:rsidRDefault="00000000">
            <w:pPr>
              <w:spacing w:after="40"/>
              <w:jc w:val="both"/>
            </w:pPr>
            <w:r>
              <w:rPr>
                <w:sz w:val="18"/>
                <w:szCs w:val="18"/>
              </w:rPr>
              <w:t>6.1.1. Concepto, importancia y reglas de la integración de recursos. (C)</w:t>
            </w:r>
          </w:p>
          <w:p w14:paraId="122C5103" w14:textId="77777777" w:rsidR="00990B14" w:rsidRDefault="00000000">
            <w:pPr>
              <w:spacing w:after="40"/>
              <w:jc w:val="both"/>
            </w:pPr>
            <w:r>
              <w:rPr>
                <w:sz w:val="18"/>
                <w:szCs w:val="18"/>
              </w:rPr>
              <w:t>6.1.2. Relación y sinergia entre los recursos humanos, materiales, financieros y tecnológicos. (C)</w:t>
            </w:r>
          </w:p>
          <w:p w14:paraId="492C8DDF" w14:textId="77777777" w:rsidR="00990B14" w:rsidRDefault="00000000">
            <w:pPr>
              <w:spacing w:after="40"/>
              <w:jc w:val="both"/>
            </w:pPr>
            <w:r>
              <w:rPr>
                <w:sz w:val="18"/>
                <w:szCs w:val="18"/>
              </w:rPr>
              <w:t>6.2. Integración de recursos humanos y materiales 6.2.1. Reclutamiento, selección, inducción y desarrollo del talento humano. (C, P)</w:t>
            </w:r>
          </w:p>
          <w:p w14:paraId="4D4B7D2D" w14:textId="77777777" w:rsidR="00990B14" w:rsidRDefault="00000000">
            <w:pPr>
              <w:spacing w:after="40"/>
              <w:jc w:val="both"/>
            </w:pPr>
            <w:r>
              <w:rPr>
                <w:sz w:val="18"/>
                <w:szCs w:val="18"/>
              </w:rPr>
              <w:t>6.2.2. Gestión de abastecimiento, infraestructura y equipamiento técnico. (C, P)</w:t>
            </w:r>
          </w:p>
          <w:p w14:paraId="640E0707" w14:textId="77777777" w:rsidR="00990B14" w:rsidRDefault="00000000">
            <w:pPr>
              <w:spacing w:after="40"/>
              <w:jc w:val="both"/>
            </w:pPr>
            <w:r>
              <w:rPr>
                <w:sz w:val="18"/>
                <w:szCs w:val="18"/>
              </w:rPr>
              <w:t>6.3. Integración de recursos financieros y tecnológicos 6.3.1. Asignación de presupuestos y gestión de fuentes de financiamiento. (C, P)</w:t>
            </w:r>
          </w:p>
          <w:p w14:paraId="09309607" w14:textId="77777777" w:rsidR="00990B14" w:rsidRDefault="00000000">
            <w:pPr>
              <w:spacing w:after="40"/>
              <w:jc w:val="both"/>
            </w:pPr>
            <w:r>
              <w:rPr>
                <w:sz w:val="18"/>
                <w:szCs w:val="18"/>
              </w:rPr>
              <w:t>6.3.2. Incorporación de sistemas de información y tecnología en la operación. (C)</w:t>
            </w:r>
          </w:p>
          <w:p w14:paraId="27F82F09" w14:textId="77777777" w:rsidR="00990B14" w:rsidRDefault="00000000">
            <w:pPr>
              <w:spacing w:before="60" w:after="20"/>
              <w:jc w:val="both"/>
            </w:pPr>
            <w:r>
              <w:rPr>
                <w:b/>
                <w:bCs/>
                <w:sz w:val="18"/>
                <w:szCs w:val="18"/>
              </w:rPr>
              <w:t>7.1. Naturaleza y fundamentos de la dirección</w:t>
            </w:r>
          </w:p>
          <w:p w14:paraId="7731315A" w14:textId="77777777" w:rsidR="00990B14" w:rsidRDefault="00000000">
            <w:pPr>
              <w:spacing w:after="40"/>
              <w:jc w:val="both"/>
            </w:pPr>
            <w:r>
              <w:rPr>
                <w:sz w:val="18"/>
                <w:szCs w:val="18"/>
              </w:rPr>
              <w:t>7.1.1. Concepto, importancia y principios de la función directiva. (C)</w:t>
            </w:r>
          </w:p>
          <w:p w14:paraId="353F35AB" w14:textId="77777777" w:rsidR="00990B14" w:rsidRDefault="00000000">
            <w:pPr>
              <w:spacing w:after="40"/>
              <w:jc w:val="both"/>
            </w:pPr>
            <w:r>
              <w:rPr>
                <w:sz w:val="18"/>
                <w:szCs w:val="18"/>
              </w:rPr>
              <w:t>7.1.2. Autoridad, poder, influencia y responsabilidad en el ejercicio gerencial. (C, A)</w:t>
            </w:r>
          </w:p>
          <w:p w14:paraId="54FAB138" w14:textId="77777777" w:rsidR="00990B14" w:rsidRDefault="00000000">
            <w:pPr>
              <w:spacing w:after="40"/>
              <w:jc w:val="both"/>
            </w:pPr>
            <w:r>
              <w:rPr>
                <w:sz w:val="18"/>
                <w:szCs w:val="18"/>
              </w:rPr>
              <w:t>7.2. Liderazgo y motivación en las organizaciones 7.2.1. Estilos de liderazgo contemporáneos y liderazgo ético. (C, A)</w:t>
            </w:r>
          </w:p>
          <w:p w14:paraId="306D91DA" w14:textId="77777777" w:rsidR="00990B14" w:rsidRDefault="00000000">
            <w:pPr>
              <w:spacing w:after="40"/>
              <w:jc w:val="both"/>
            </w:pPr>
            <w:r>
              <w:rPr>
                <w:sz w:val="18"/>
                <w:szCs w:val="18"/>
              </w:rPr>
              <w:t>7.2.2. Teorías de la motivación y su aplicación en la gestión de equipos. (C, P)</w:t>
            </w:r>
          </w:p>
          <w:p w14:paraId="7681303C" w14:textId="77777777" w:rsidR="00990B14" w:rsidRDefault="00000000">
            <w:pPr>
              <w:spacing w:after="40"/>
              <w:jc w:val="both"/>
            </w:pPr>
            <w:r>
              <w:rPr>
                <w:sz w:val="18"/>
                <w:szCs w:val="18"/>
              </w:rPr>
              <w:t>7.3. Comunicación y toma de decisiones directivas 7.3.1. Canales, barreras y flujos de la comunicación efectiva (formal e informal). (C, P)</w:t>
            </w:r>
          </w:p>
          <w:p w14:paraId="5524580B" w14:textId="77777777" w:rsidR="00990B14" w:rsidRDefault="00000000">
            <w:pPr>
              <w:spacing w:after="40"/>
              <w:jc w:val="both"/>
            </w:pPr>
            <w:r>
              <w:rPr>
                <w:sz w:val="18"/>
                <w:szCs w:val="18"/>
              </w:rPr>
              <w:t>7.3.2. El proceso de toma de decisiones bajo incertidumbre, riesgo y criterios éticos. (C, P, A)</w:t>
            </w:r>
          </w:p>
          <w:p w14:paraId="6E528DB6" w14:textId="77777777" w:rsidR="00990B14" w:rsidRDefault="00000000">
            <w:pPr>
              <w:spacing w:before="60" w:after="20"/>
              <w:jc w:val="both"/>
            </w:pPr>
            <w:r>
              <w:rPr>
                <w:b/>
                <w:bCs/>
                <w:sz w:val="18"/>
                <w:szCs w:val="18"/>
              </w:rPr>
              <w:t>8.1. Fundamentos del control administrativo</w:t>
            </w:r>
          </w:p>
          <w:p w14:paraId="701378A6" w14:textId="77777777" w:rsidR="00990B14" w:rsidRDefault="00000000">
            <w:pPr>
              <w:spacing w:after="40"/>
              <w:jc w:val="both"/>
            </w:pPr>
            <w:r>
              <w:rPr>
                <w:sz w:val="18"/>
                <w:szCs w:val="18"/>
              </w:rPr>
              <w:t>8.1.1. Concepto, importancia, propósito y principios del control. (C)</w:t>
            </w:r>
          </w:p>
          <w:p w14:paraId="36086A1F" w14:textId="77777777" w:rsidR="00990B14" w:rsidRDefault="00000000">
            <w:pPr>
              <w:spacing w:after="40"/>
              <w:jc w:val="both"/>
            </w:pPr>
            <w:r>
              <w:rPr>
                <w:sz w:val="18"/>
                <w:szCs w:val="18"/>
              </w:rPr>
              <w:t>8.1.2. El ciclo del control: establecimiento de estándares, medición y corrección. (C, P)</w:t>
            </w:r>
          </w:p>
          <w:p w14:paraId="7BDBFDCD" w14:textId="77777777" w:rsidR="00990B14" w:rsidRDefault="00000000">
            <w:pPr>
              <w:spacing w:before="60" w:after="20"/>
              <w:jc w:val="both"/>
            </w:pPr>
            <w:r>
              <w:rPr>
                <w:b/>
                <w:bCs/>
                <w:sz w:val="18"/>
                <w:szCs w:val="18"/>
              </w:rPr>
              <w:t>8.2. Tipos y momentos del control</w:t>
            </w:r>
          </w:p>
          <w:p w14:paraId="41A499CF" w14:textId="77777777" w:rsidR="00990B14" w:rsidRDefault="00000000">
            <w:pPr>
              <w:spacing w:after="40"/>
              <w:jc w:val="both"/>
            </w:pPr>
            <w:r>
              <w:rPr>
                <w:sz w:val="18"/>
                <w:szCs w:val="18"/>
              </w:rPr>
              <w:t>8.2.1. Control preventivo, concurrente y posterior (feedback). (C)</w:t>
            </w:r>
          </w:p>
          <w:p w14:paraId="62AD693F" w14:textId="77777777" w:rsidR="00990B14" w:rsidRDefault="00000000">
            <w:pPr>
              <w:spacing w:after="40"/>
              <w:jc w:val="both"/>
            </w:pPr>
            <w:r>
              <w:rPr>
                <w:sz w:val="18"/>
                <w:szCs w:val="18"/>
              </w:rPr>
              <w:t>8.2.2. Control interno institucional y sistemas de auditoría. (C)</w:t>
            </w:r>
          </w:p>
          <w:p w14:paraId="31AB87EE" w14:textId="77777777" w:rsidR="00990B14" w:rsidRDefault="00000000">
            <w:pPr>
              <w:spacing w:before="60" w:after="20"/>
              <w:jc w:val="both"/>
            </w:pPr>
            <w:r>
              <w:rPr>
                <w:b/>
                <w:bCs/>
                <w:sz w:val="18"/>
                <w:szCs w:val="18"/>
              </w:rPr>
              <w:t>8.3. Herramientas e indicadores de gestión</w:t>
            </w:r>
          </w:p>
          <w:p w14:paraId="1C8A7A79" w14:textId="77777777" w:rsidR="00990B14" w:rsidRDefault="00000000">
            <w:pPr>
              <w:spacing w:after="40"/>
              <w:jc w:val="both"/>
            </w:pPr>
            <w:r>
              <w:rPr>
                <w:sz w:val="18"/>
                <w:szCs w:val="18"/>
              </w:rPr>
              <w:t>8.3.1. Cuadro de Mando Integral (Balanced Scorecard) e indicadores clave (KPIs). (C, P, T)</w:t>
            </w:r>
          </w:p>
          <w:p w14:paraId="0789329A" w14:textId="77777777" w:rsidR="00990B14" w:rsidRDefault="00000000">
            <w:pPr>
              <w:spacing w:after="40"/>
              <w:jc w:val="both"/>
            </w:pPr>
            <w:r>
              <w:rPr>
                <w:sz w:val="18"/>
                <w:szCs w:val="18"/>
              </w:rPr>
              <w:t>8.3.2. Desviaciones, acciones correctivas y control de riesgos operativos. (C, P)</w:t>
            </w:r>
          </w:p>
        </w:tc>
        <w:tc>
          <w:tcPr>
            <w:tcW w:w="2752" w:type="dxa"/>
            <w:gridSpan w:val="3"/>
            <w:shd w:val="clear" w:color="auto" w:fill="D9E2F3"/>
          </w:tcPr>
          <w:p w14:paraId="3566EBBA" w14:textId="77777777" w:rsidR="00990B14" w:rsidRDefault="00000000">
            <w:pPr>
              <w:numPr>
                <w:ilvl w:val="0"/>
                <w:numId w:val="139"/>
              </w:numPr>
              <w:spacing w:before="10" w:after="10"/>
              <w:jc w:val="both"/>
            </w:pPr>
            <w:r>
              <w:rPr>
                <w:sz w:val="18"/>
                <w:szCs w:val="18"/>
              </w:rPr>
              <w:t>Talleres de planificación participativa y gestión por resultados en el sector público y privado.</w:t>
            </w:r>
          </w:p>
          <w:p w14:paraId="486E17BC" w14:textId="77777777" w:rsidR="00990B14" w:rsidRDefault="00000000">
            <w:pPr>
              <w:numPr>
                <w:ilvl w:val="0"/>
                <w:numId w:val="139"/>
              </w:numPr>
              <w:spacing w:before="10" w:after="10"/>
              <w:jc w:val="both"/>
            </w:pPr>
            <w:r>
              <w:rPr>
                <w:sz w:val="18"/>
                <w:szCs w:val="18"/>
              </w:rPr>
              <w:t>Metodología de decisión grupal: lluvia de ideas, técnica Delphi y grupo nominal.</w:t>
            </w:r>
          </w:p>
          <w:p w14:paraId="429166FB" w14:textId="77777777" w:rsidR="00990B14" w:rsidRDefault="00000000">
            <w:pPr>
              <w:numPr>
                <w:ilvl w:val="0"/>
                <w:numId w:val="139"/>
              </w:numPr>
              <w:spacing w:before="10" w:after="10"/>
              <w:jc w:val="both"/>
            </w:pPr>
            <w:r>
              <w:rPr>
                <w:sz w:val="18"/>
                <w:szCs w:val="18"/>
              </w:rPr>
              <w:t>Habilidades de motivación, liderazgo, empoderamiento.</w:t>
            </w:r>
          </w:p>
        </w:tc>
      </w:tr>
      <w:tr w:rsidR="00990B14" w14:paraId="6C00E919" w14:textId="77777777">
        <w:trPr>
          <w:cantSplit/>
          <w:jc w:val="center"/>
        </w:trPr>
        <w:tc>
          <w:tcPr>
            <w:tcW w:w="9405" w:type="dxa"/>
            <w:gridSpan w:val="13"/>
            <w:shd w:val="clear" w:color="auto" w:fill="D9E2F3"/>
            <w:vAlign w:val="center"/>
          </w:tcPr>
          <w:p w14:paraId="3041EBD4" w14:textId="77777777" w:rsidR="00990B14" w:rsidRDefault="00000000">
            <w:pPr>
              <w:spacing w:before="20" w:after="20"/>
              <w:jc w:val="both"/>
            </w:pPr>
            <w:r>
              <w:rPr>
                <w:b/>
                <w:bCs/>
                <w:i/>
                <w:iCs/>
                <w:sz w:val="18"/>
                <w:szCs w:val="18"/>
              </w:rPr>
              <w:t xml:space="preserve">Elemento de competencia 3: </w:t>
            </w:r>
            <w:r>
              <w:rPr>
                <w:sz w:val="18"/>
                <w:szCs w:val="18"/>
              </w:rPr>
              <w:t>Aplica los sistemas operativos, de información, gerenciales modernos y de administración y control gubernamental de una entidad, describiendo su ciclo, sus principios y su control interno.</w:t>
            </w:r>
          </w:p>
        </w:tc>
      </w:tr>
      <w:tr w:rsidR="00990B14" w14:paraId="2666EC0B" w14:textId="77777777">
        <w:trPr>
          <w:cantSplit/>
          <w:jc w:val="center"/>
        </w:trPr>
        <w:tc>
          <w:tcPr>
            <w:tcW w:w="3133" w:type="dxa"/>
            <w:gridSpan w:val="4"/>
            <w:shd w:val="clear" w:color="auto" w:fill="4472C4"/>
            <w:vAlign w:val="center"/>
          </w:tcPr>
          <w:p w14:paraId="79FB500D"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393AF92F"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267660A9" w14:textId="77777777" w:rsidR="00990B14" w:rsidRDefault="00000000">
            <w:pPr>
              <w:keepNext/>
              <w:spacing w:before="20" w:after="20"/>
              <w:jc w:val="center"/>
            </w:pPr>
            <w:r>
              <w:rPr>
                <w:b/>
                <w:bCs/>
                <w:i/>
                <w:iCs/>
                <w:color w:val="FFFFFF"/>
                <w:sz w:val="18"/>
                <w:szCs w:val="18"/>
              </w:rPr>
              <w:t>Evidencias de producto</w:t>
            </w:r>
          </w:p>
        </w:tc>
      </w:tr>
      <w:tr w:rsidR="00990B14" w14:paraId="5DF49037" w14:textId="77777777">
        <w:trPr>
          <w:cantSplit/>
          <w:jc w:val="center"/>
        </w:trPr>
        <w:tc>
          <w:tcPr>
            <w:tcW w:w="3133" w:type="dxa"/>
            <w:gridSpan w:val="4"/>
            <w:vMerge w:val="restart"/>
            <w:shd w:val="clear" w:color="auto" w:fill="D9E2F3"/>
            <w:vAlign w:val="center"/>
          </w:tcPr>
          <w:p w14:paraId="557A21C2" w14:textId="77777777" w:rsidR="00990B14" w:rsidRDefault="00000000">
            <w:pPr>
              <w:spacing w:before="20" w:after="20"/>
              <w:jc w:val="both"/>
            </w:pPr>
            <w:r>
              <w:rPr>
                <w:sz w:val="18"/>
                <w:szCs w:val="18"/>
              </w:rPr>
              <w:t>1. Aplica el ciclo y las técnicas del sistema operativo a una entidad, articulando sus objetivos con indicadores de desempeño y con los Objetivos de Desarrollo Sostenible.</w:t>
            </w:r>
          </w:p>
        </w:tc>
        <w:tc>
          <w:tcPr>
            <w:tcW w:w="3135" w:type="dxa"/>
            <w:gridSpan w:val="5"/>
            <w:shd w:val="clear" w:color="auto" w:fill="D9E2F3"/>
            <w:vAlign w:val="center"/>
          </w:tcPr>
          <w:p w14:paraId="496DFF6B" w14:textId="77777777" w:rsidR="00990B14" w:rsidRDefault="00000000">
            <w:pPr>
              <w:spacing w:before="20" w:after="20"/>
              <w:jc w:val="both"/>
            </w:pPr>
            <w:r>
              <w:rPr>
                <w:sz w:val="18"/>
                <w:szCs w:val="18"/>
              </w:rPr>
              <w:t>1.1 Simulación de taller de formulación y alineación estratégica: Demostración práctica donde, en equipo, recorren las fases del ciclo administrativo de un caso organizacional o social, argumentando la conexión lógica entre los objetivos estratégicos y las metas globales.</w:t>
            </w:r>
          </w:p>
        </w:tc>
        <w:tc>
          <w:tcPr>
            <w:tcW w:w="3137" w:type="dxa"/>
            <w:gridSpan w:val="4"/>
            <w:shd w:val="clear" w:color="auto" w:fill="D9E2F3"/>
            <w:vAlign w:val="center"/>
          </w:tcPr>
          <w:p w14:paraId="1BEC93F3" w14:textId="77777777" w:rsidR="00990B14" w:rsidRDefault="00000000">
            <w:pPr>
              <w:spacing w:before="20" w:after="20"/>
              <w:jc w:val="both"/>
            </w:pPr>
            <w:r>
              <w:rPr>
                <w:b/>
                <w:bCs/>
                <w:sz w:val="18"/>
                <w:szCs w:val="18"/>
              </w:rPr>
              <w:t xml:space="preserve">Producto 9: </w:t>
            </w:r>
            <w:r>
              <w:rPr>
                <w:sz w:val="18"/>
                <w:szCs w:val="18"/>
              </w:rPr>
              <w:t>Plan Estratégico y operativo: Documento formal que contiene el análisis estratégico, la formulación de objetivos.</w:t>
            </w:r>
          </w:p>
        </w:tc>
      </w:tr>
      <w:tr w:rsidR="00990B14" w14:paraId="3D1F0EB9" w14:textId="77777777">
        <w:trPr>
          <w:cantSplit/>
          <w:jc w:val="center"/>
        </w:trPr>
        <w:tc>
          <w:tcPr>
            <w:tcW w:w="3133" w:type="dxa"/>
            <w:gridSpan w:val="4"/>
            <w:vMerge/>
            <w:shd w:val="clear" w:color="auto" w:fill="D9E2F3"/>
            <w:vAlign w:val="center"/>
          </w:tcPr>
          <w:p w14:paraId="0A4D7E00" w14:textId="77777777" w:rsidR="00990B14" w:rsidRDefault="00990B14">
            <w:pPr>
              <w:spacing w:before="20" w:after="20"/>
            </w:pPr>
          </w:p>
        </w:tc>
        <w:tc>
          <w:tcPr>
            <w:tcW w:w="3135" w:type="dxa"/>
            <w:gridSpan w:val="5"/>
            <w:shd w:val="clear" w:color="auto" w:fill="D9E2F3"/>
            <w:vAlign w:val="center"/>
          </w:tcPr>
          <w:p w14:paraId="59E78EAE" w14:textId="77777777" w:rsidR="00990B14" w:rsidRDefault="00000000">
            <w:pPr>
              <w:spacing w:before="20" w:after="20"/>
              <w:jc w:val="both"/>
            </w:pPr>
            <w:r>
              <w:rPr>
                <w:sz w:val="18"/>
                <w:szCs w:val="18"/>
              </w:rPr>
              <w:t>1.2 Sustentación de la matriz de indicadores y control de gestión: Exposición oral y defensa ante un comité simulado de evaluación, donde el alumno demuestra cómo se monitorean y evalúan los objetivos planteados mediante el uso de indicadores de desempeño (KPIs).</w:t>
            </w:r>
          </w:p>
        </w:tc>
        <w:tc>
          <w:tcPr>
            <w:tcW w:w="3137" w:type="dxa"/>
            <w:gridSpan w:val="4"/>
            <w:shd w:val="clear" w:color="auto" w:fill="D9E2F3"/>
            <w:vAlign w:val="center"/>
          </w:tcPr>
          <w:p w14:paraId="23598A65" w14:textId="77777777" w:rsidR="00990B14" w:rsidRDefault="00000000">
            <w:pPr>
              <w:spacing w:before="20" w:after="20"/>
              <w:jc w:val="both"/>
            </w:pPr>
            <w:r>
              <w:rPr>
                <w:b/>
                <w:bCs/>
                <w:sz w:val="18"/>
                <w:szCs w:val="18"/>
              </w:rPr>
              <w:t xml:space="preserve">Producto 10: </w:t>
            </w:r>
            <w:r>
              <w:rPr>
                <w:sz w:val="18"/>
                <w:szCs w:val="18"/>
              </w:rPr>
              <w:t>Tablero de Control de Gestión e Indicadores de Desempeño (KPIs): Documento técnico o matriz estructurada que detalla los indicadores cuantitativos y cualitativos, las metas temporales, las fuentes de verificación y los umbrales de control para medir el cumplimiento del plan, incorporando indicadores operativos y de control de calidad.</w:t>
            </w:r>
          </w:p>
        </w:tc>
      </w:tr>
      <w:tr w:rsidR="00990B14" w14:paraId="6A79309C" w14:textId="77777777">
        <w:trPr>
          <w:cantSplit/>
          <w:jc w:val="center"/>
        </w:trPr>
        <w:tc>
          <w:tcPr>
            <w:tcW w:w="3133" w:type="dxa"/>
            <w:gridSpan w:val="4"/>
            <w:vMerge w:val="restart"/>
            <w:shd w:val="clear" w:color="auto" w:fill="D9E2F3"/>
            <w:vAlign w:val="center"/>
          </w:tcPr>
          <w:p w14:paraId="6B84945D" w14:textId="77777777" w:rsidR="00990B14" w:rsidRDefault="00000000">
            <w:pPr>
              <w:spacing w:before="20" w:after="20"/>
              <w:jc w:val="both"/>
            </w:pPr>
            <w:r>
              <w:rPr>
                <w:sz w:val="18"/>
                <w:szCs w:val="18"/>
              </w:rPr>
              <w:t>2. Aplica los sistemas de información, gerenciales modernos y de administración y control gubernamental, diseñando la estructura y los procesos de una organización.</w:t>
            </w:r>
          </w:p>
        </w:tc>
        <w:tc>
          <w:tcPr>
            <w:tcW w:w="3135" w:type="dxa"/>
            <w:gridSpan w:val="5"/>
            <w:shd w:val="clear" w:color="auto" w:fill="D9E2F3"/>
            <w:vAlign w:val="center"/>
          </w:tcPr>
          <w:p w14:paraId="583CA6B9" w14:textId="77777777" w:rsidR="00990B14" w:rsidRDefault="00000000">
            <w:pPr>
              <w:spacing w:before="20" w:after="20"/>
              <w:jc w:val="both"/>
            </w:pPr>
            <w:r>
              <w:rPr>
                <w:sz w:val="18"/>
                <w:szCs w:val="18"/>
              </w:rPr>
              <w:t>2.1 Taller de evaluación de sistemas de información y gerenciales modernos: Demostración práctica donde el estudiante evalúa los sistemas de información gerencial (SIG, TPS, DSS, EIS, ERP, CRM, gobernanza de TI, seguridad de datos e IA) y analiza modelos de gestión modernos, tendencias, innovación, sostenibilidad, RSE y criterios ESG.</w:t>
            </w:r>
          </w:p>
        </w:tc>
        <w:tc>
          <w:tcPr>
            <w:tcW w:w="3137" w:type="dxa"/>
            <w:gridSpan w:val="4"/>
            <w:shd w:val="clear" w:color="auto" w:fill="D9E2F3"/>
            <w:vAlign w:val="center"/>
          </w:tcPr>
          <w:p w14:paraId="29D4F9A0" w14:textId="77777777" w:rsidR="00990B14" w:rsidRDefault="00000000">
            <w:pPr>
              <w:spacing w:before="20" w:after="20"/>
              <w:jc w:val="both"/>
            </w:pPr>
            <w:r>
              <w:rPr>
                <w:b/>
                <w:bCs/>
                <w:sz w:val="18"/>
                <w:szCs w:val="18"/>
              </w:rPr>
              <w:t xml:space="preserve">Producto 11: </w:t>
            </w:r>
            <w:r>
              <w:rPr>
                <w:sz w:val="18"/>
                <w:szCs w:val="18"/>
              </w:rPr>
              <w:t>Informe de Evaluación de Sistemas de Información y Gerenciales Modernos: Documento analítico que describe los componentes del SIG, las tipologías de sistemas, las tecnologías integrales, las políticas de seguridad y gobernanza de TI, el uso de la inteligencia artificial como herramienta de decisión, y analiza modelos de gestión modernos, tendencias, innovación, sostenibilidad, RSE y criterios ESG.</w:t>
            </w:r>
          </w:p>
        </w:tc>
      </w:tr>
      <w:tr w:rsidR="00990B14" w14:paraId="31E2D66E" w14:textId="77777777">
        <w:trPr>
          <w:cantSplit/>
          <w:jc w:val="center"/>
        </w:trPr>
        <w:tc>
          <w:tcPr>
            <w:tcW w:w="3133" w:type="dxa"/>
            <w:gridSpan w:val="4"/>
            <w:vMerge/>
            <w:shd w:val="clear" w:color="auto" w:fill="D9E2F3"/>
            <w:vAlign w:val="center"/>
          </w:tcPr>
          <w:p w14:paraId="464AC76F" w14:textId="77777777" w:rsidR="00990B14" w:rsidRDefault="00990B14">
            <w:pPr>
              <w:spacing w:before="20" w:after="20"/>
            </w:pPr>
          </w:p>
        </w:tc>
        <w:tc>
          <w:tcPr>
            <w:tcW w:w="3135" w:type="dxa"/>
            <w:gridSpan w:val="5"/>
            <w:shd w:val="clear" w:color="auto" w:fill="D9E2F3"/>
            <w:vAlign w:val="center"/>
          </w:tcPr>
          <w:p w14:paraId="3DD1C358" w14:textId="77777777" w:rsidR="00990B14" w:rsidRDefault="00000000">
            <w:pPr>
              <w:spacing w:before="20" w:after="20"/>
              <w:jc w:val="both"/>
            </w:pPr>
            <w:r>
              <w:rPr>
                <w:sz w:val="18"/>
                <w:szCs w:val="18"/>
              </w:rPr>
              <w:t>2.2 Simulación de control gubernamental: Demostración práctica donde el estudiante aplica los sistemas de administración y control gubernamental, identificando el control previo, interno y posterior, y analizando casos de responsabilidad por la función pública, auditoría y rendición de cuentas.</w:t>
            </w:r>
          </w:p>
        </w:tc>
        <w:tc>
          <w:tcPr>
            <w:tcW w:w="3137" w:type="dxa"/>
            <w:gridSpan w:val="4"/>
            <w:shd w:val="clear" w:color="auto" w:fill="D9E2F3"/>
            <w:vAlign w:val="center"/>
          </w:tcPr>
          <w:p w14:paraId="333FCE87" w14:textId="77777777" w:rsidR="00990B14" w:rsidRDefault="00000000">
            <w:pPr>
              <w:spacing w:before="20" w:after="20"/>
              <w:jc w:val="both"/>
            </w:pPr>
            <w:r>
              <w:rPr>
                <w:b/>
                <w:bCs/>
                <w:sz w:val="18"/>
                <w:szCs w:val="18"/>
              </w:rPr>
              <w:t xml:space="preserve">Producto 12: </w:t>
            </w:r>
            <w:r>
              <w:rPr>
                <w:sz w:val="18"/>
                <w:szCs w:val="18"/>
              </w:rPr>
              <w:t>Informe de Administración y Control Gubernamental: Documento técnico que describe los sistemas de planificación, programación presupuestaria, tesorería, contratación estatal y control gubernamental, con énfasis en la auditoría y la rendición de cuentas.</w:t>
            </w:r>
          </w:p>
        </w:tc>
      </w:tr>
      <w:tr w:rsidR="00990B14" w14:paraId="17EEE62C" w14:textId="77777777">
        <w:trPr>
          <w:cantSplit/>
          <w:jc w:val="center"/>
        </w:trPr>
        <w:tc>
          <w:tcPr>
            <w:tcW w:w="9405" w:type="dxa"/>
            <w:gridSpan w:val="13"/>
            <w:shd w:val="clear" w:color="auto" w:fill="4472C4"/>
            <w:vAlign w:val="center"/>
          </w:tcPr>
          <w:p w14:paraId="6648F514" w14:textId="77777777" w:rsidR="00990B14" w:rsidRDefault="00000000">
            <w:pPr>
              <w:keepNext/>
              <w:spacing w:before="20" w:after="20"/>
              <w:jc w:val="center"/>
            </w:pPr>
            <w:r>
              <w:rPr>
                <w:b/>
                <w:bCs/>
                <w:i/>
                <w:iCs/>
                <w:color w:val="FFFFFF"/>
                <w:sz w:val="18"/>
                <w:szCs w:val="18"/>
              </w:rPr>
              <w:t>Evidencias de conocimiento</w:t>
            </w:r>
          </w:p>
        </w:tc>
      </w:tr>
      <w:tr w:rsidR="00990B14" w14:paraId="0F51C7F1" w14:textId="77777777">
        <w:trPr>
          <w:cantSplit/>
          <w:jc w:val="center"/>
        </w:trPr>
        <w:tc>
          <w:tcPr>
            <w:tcW w:w="2349" w:type="dxa"/>
            <w:gridSpan w:val="2"/>
            <w:shd w:val="clear" w:color="auto" w:fill="4472C4"/>
            <w:vAlign w:val="center"/>
          </w:tcPr>
          <w:p w14:paraId="4300DAA9"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12D15379" w14:textId="77777777" w:rsidR="00990B14" w:rsidRDefault="00000000">
            <w:pPr>
              <w:keepNext/>
              <w:spacing w:before="20" w:after="20"/>
              <w:jc w:val="both"/>
            </w:pPr>
            <w:r>
              <w:rPr>
                <w:b/>
                <w:bCs/>
                <w:i/>
                <w:iCs/>
                <w:color w:val="FFFFFF"/>
                <w:sz w:val="18"/>
                <w:szCs w:val="18"/>
              </w:rPr>
              <w:t>Contenidos</w:t>
            </w:r>
          </w:p>
          <w:p w14:paraId="037C06C7"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481CAE26" w14:textId="77777777" w:rsidR="00990B14" w:rsidRDefault="00000000">
            <w:pPr>
              <w:keepNext/>
              <w:spacing w:before="20" w:after="20"/>
              <w:jc w:val="center"/>
            </w:pPr>
            <w:r>
              <w:rPr>
                <w:b/>
                <w:bCs/>
                <w:i/>
                <w:iCs/>
                <w:color w:val="FFFFFF"/>
                <w:sz w:val="18"/>
                <w:szCs w:val="18"/>
              </w:rPr>
              <w:t>Conocimientos circunstanciales</w:t>
            </w:r>
          </w:p>
        </w:tc>
      </w:tr>
      <w:tr w:rsidR="00990B14" w14:paraId="2536E88E" w14:textId="77777777">
        <w:trPr>
          <w:jc w:val="center"/>
        </w:trPr>
        <w:tc>
          <w:tcPr>
            <w:tcW w:w="2349" w:type="dxa"/>
            <w:gridSpan w:val="2"/>
            <w:shd w:val="clear" w:color="auto" w:fill="D9E2F3"/>
          </w:tcPr>
          <w:p w14:paraId="4F701DC0" w14:textId="77777777" w:rsidR="00990B14" w:rsidRDefault="00000000">
            <w:pPr>
              <w:spacing w:before="20" w:after="40"/>
              <w:jc w:val="both"/>
            </w:pPr>
            <w:r>
              <w:rPr>
                <w:sz w:val="18"/>
                <w:szCs w:val="18"/>
              </w:rPr>
              <w:t>9. Sistemas Operativos</w:t>
            </w:r>
          </w:p>
          <w:p w14:paraId="1B32273E" w14:textId="77777777" w:rsidR="00990B14" w:rsidRDefault="00000000">
            <w:pPr>
              <w:spacing w:before="20" w:after="40"/>
              <w:jc w:val="both"/>
            </w:pPr>
            <w:r>
              <w:rPr>
                <w:sz w:val="18"/>
                <w:szCs w:val="18"/>
              </w:rPr>
              <w:t>10. Sistemas de Información 11. Sistemas Gerenciales Modernos</w:t>
            </w:r>
          </w:p>
          <w:p w14:paraId="6E183CDA" w14:textId="77777777" w:rsidR="00990B14" w:rsidRDefault="00000000">
            <w:pPr>
              <w:spacing w:before="20" w:after="40"/>
              <w:jc w:val="both"/>
            </w:pPr>
            <w:r>
              <w:rPr>
                <w:sz w:val="18"/>
                <w:szCs w:val="18"/>
              </w:rPr>
              <w:t>12. Sistemas de Administración y Control Gubernamentales</w:t>
            </w:r>
          </w:p>
        </w:tc>
        <w:tc>
          <w:tcPr>
            <w:tcW w:w="4304" w:type="dxa"/>
            <w:gridSpan w:val="8"/>
            <w:shd w:val="clear" w:color="auto" w:fill="D9E2F3"/>
          </w:tcPr>
          <w:p w14:paraId="32E37467" w14:textId="77777777" w:rsidR="00990B14" w:rsidRDefault="00000000">
            <w:pPr>
              <w:spacing w:after="40"/>
              <w:jc w:val="both"/>
            </w:pPr>
            <w:r>
              <w:rPr>
                <w:sz w:val="18"/>
                <w:szCs w:val="18"/>
              </w:rPr>
              <w:t>9.1. Fundamentos de las operaciones organizacionales 9.1.1. Concepto, importancia y objetivos del subsistema de operaciones. (C)</w:t>
            </w:r>
          </w:p>
          <w:p w14:paraId="5AF55AF9" w14:textId="77777777" w:rsidR="00990B14" w:rsidRDefault="00000000">
            <w:pPr>
              <w:spacing w:after="40"/>
              <w:jc w:val="both"/>
            </w:pPr>
            <w:r>
              <w:rPr>
                <w:sz w:val="18"/>
                <w:szCs w:val="18"/>
              </w:rPr>
              <w:t>9.1.2. Estrategia de operaciones y su alineación con la competitividad corporativa. (C)</w:t>
            </w:r>
          </w:p>
          <w:p w14:paraId="11AFEE35" w14:textId="77777777" w:rsidR="00990B14" w:rsidRDefault="00000000">
            <w:pPr>
              <w:spacing w:before="60" w:after="20"/>
              <w:jc w:val="both"/>
            </w:pPr>
            <w:r>
              <w:rPr>
                <w:b/>
                <w:bCs/>
                <w:sz w:val="18"/>
                <w:szCs w:val="18"/>
              </w:rPr>
              <w:t>9.2. Diseño y gestión de procesos operativos</w:t>
            </w:r>
          </w:p>
          <w:p w14:paraId="25522260" w14:textId="77777777" w:rsidR="00990B14" w:rsidRDefault="00000000">
            <w:pPr>
              <w:spacing w:after="40"/>
              <w:jc w:val="both"/>
            </w:pPr>
            <w:r>
              <w:rPr>
                <w:sz w:val="18"/>
                <w:szCs w:val="18"/>
              </w:rPr>
              <w:t>9.2.1. Diseño de productos, servicios y selección de procesos productivos. (C, P)</w:t>
            </w:r>
          </w:p>
          <w:p w14:paraId="5AFD7C6A" w14:textId="77777777" w:rsidR="00990B14" w:rsidRDefault="00000000">
            <w:pPr>
              <w:spacing w:after="40"/>
              <w:jc w:val="both"/>
            </w:pPr>
            <w:r>
              <w:rPr>
                <w:sz w:val="18"/>
                <w:szCs w:val="18"/>
              </w:rPr>
              <w:t>9.2.2. Gestión de la capacidad, localización y distribución en planta. (C, P)</w:t>
            </w:r>
          </w:p>
          <w:p w14:paraId="499AC98C" w14:textId="77777777" w:rsidR="00990B14" w:rsidRDefault="00000000">
            <w:pPr>
              <w:spacing w:before="60" w:after="20"/>
              <w:jc w:val="both"/>
            </w:pPr>
            <w:r>
              <w:rPr>
                <w:b/>
                <w:bCs/>
                <w:sz w:val="18"/>
                <w:szCs w:val="18"/>
              </w:rPr>
              <w:t>9.3. Gestión de la cadena de suministro y calidad</w:t>
            </w:r>
          </w:p>
          <w:p w14:paraId="5232CDEF" w14:textId="77777777" w:rsidR="00990B14" w:rsidRDefault="00000000">
            <w:pPr>
              <w:spacing w:after="40"/>
              <w:jc w:val="both"/>
            </w:pPr>
            <w:r>
              <w:rPr>
                <w:sz w:val="18"/>
                <w:szCs w:val="18"/>
              </w:rPr>
              <w:t>9.3.1. Gestión de inventarios, compras y abastecimiento. (C, P)</w:t>
            </w:r>
          </w:p>
          <w:p w14:paraId="02132E02" w14:textId="77777777" w:rsidR="00990B14" w:rsidRDefault="00000000">
            <w:pPr>
              <w:spacing w:after="40"/>
              <w:jc w:val="both"/>
            </w:pPr>
            <w:r>
              <w:rPr>
                <w:sz w:val="18"/>
                <w:szCs w:val="18"/>
              </w:rPr>
              <w:t>9.3.2. Control de calidad, mejora continua y herramientas de optimización operativa. (C, P)</w:t>
            </w:r>
          </w:p>
          <w:p w14:paraId="34D8B095" w14:textId="77777777" w:rsidR="00990B14" w:rsidRDefault="00000000">
            <w:pPr>
              <w:spacing w:before="60" w:after="20"/>
              <w:jc w:val="both"/>
            </w:pPr>
            <w:r>
              <w:rPr>
                <w:b/>
                <w:bCs/>
                <w:sz w:val="18"/>
                <w:szCs w:val="18"/>
              </w:rPr>
              <w:t>10.1. Introducción a los sistemas de información en la gestión</w:t>
            </w:r>
          </w:p>
          <w:p w14:paraId="77FB2443" w14:textId="77777777" w:rsidR="00990B14" w:rsidRDefault="00000000">
            <w:pPr>
              <w:spacing w:after="40"/>
              <w:jc w:val="both"/>
            </w:pPr>
            <w:r>
              <w:rPr>
                <w:sz w:val="18"/>
                <w:szCs w:val="18"/>
              </w:rPr>
              <w:t>10.1.1. Concepto, evolución e importancia de la información en la toma de decisiones. (C)</w:t>
            </w:r>
          </w:p>
          <w:p w14:paraId="78AB10E7" w14:textId="77777777" w:rsidR="00990B14" w:rsidRDefault="00000000">
            <w:pPr>
              <w:spacing w:after="40"/>
              <w:jc w:val="both"/>
            </w:pPr>
            <w:r>
              <w:rPr>
                <w:sz w:val="18"/>
                <w:szCs w:val="18"/>
              </w:rPr>
              <w:t>10.1.2. Arquitectura y componentes de un Sistema de Información Gerencial (SIG). (C)</w:t>
            </w:r>
          </w:p>
          <w:p w14:paraId="55B463C7" w14:textId="77777777" w:rsidR="00990B14" w:rsidRDefault="00000000">
            <w:pPr>
              <w:spacing w:before="60" w:after="20"/>
              <w:jc w:val="both"/>
            </w:pPr>
            <w:r>
              <w:rPr>
                <w:b/>
                <w:bCs/>
                <w:sz w:val="18"/>
                <w:szCs w:val="18"/>
              </w:rPr>
              <w:t>10.2. Tipologías de sistemas de información</w:t>
            </w:r>
          </w:p>
          <w:p w14:paraId="0464BEDC" w14:textId="77777777" w:rsidR="00990B14" w:rsidRDefault="00000000">
            <w:pPr>
              <w:spacing w:after="40"/>
              <w:jc w:val="both"/>
            </w:pPr>
            <w:r>
              <w:rPr>
                <w:sz w:val="18"/>
                <w:szCs w:val="18"/>
              </w:rPr>
              <w:t>10.2.1. Sistemas de procesamiento de transacciones (TPS) y sistemas de automatización de oficinas. (C)</w:t>
            </w:r>
          </w:p>
          <w:p w14:paraId="27FAB12D" w14:textId="77777777" w:rsidR="00990B14" w:rsidRDefault="00000000">
            <w:pPr>
              <w:spacing w:after="40"/>
              <w:jc w:val="both"/>
            </w:pPr>
            <w:r>
              <w:rPr>
                <w:sz w:val="18"/>
                <w:szCs w:val="18"/>
              </w:rPr>
              <w:t>10.2.2. Sistemas de soporte a decisiones (DSS) y sistemas de información ejecutiva (EIS). (C)</w:t>
            </w:r>
          </w:p>
          <w:p w14:paraId="576BC81D" w14:textId="77777777" w:rsidR="00990B14" w:rsidRDefault="00000000">
            <w:pPr>
              <w:spacing w:before="60" w:after="20"/>
              <w:jc w:val="both"/>
            </w:pPr>
            <w:r>
              <w:rPr>
                <w:b/>
                <w:bCs/>
                <w:sz w:val="18"/>
                <w:szCs w:val="18"/>
              </w:rPr>
              <w:t>10.3. Tecnologías integrales y seguridad de la información</w:t>
            </w:r>
          </w:p>
          <w:p w14:paraId="5CE8E649" w14:textId="77777777" w:rsidR="00990B14" w:rsidRDefault="00000000">
            <w:pPr>
              <w:spacing w:after="40"/>
              <w:jc w:val="both"/>
            </w:pPr>
            <w:r>
              <w:rPr>
                <w:sz w:val="18"/>
                <w:szCs w:val="18"/>
              </w:rPr>
              <w:t>10.3.1. Sistemas de planificación de recursos empresariales (ERP) y gestión de relaciones con clientes (CRM): cómo se usan para operar la organización, gestionar clientes y mejorar la toma de decisiones. (C, P, T)</w:t>
            </w:r>
          </w:p>
          <w:p w14:paraId="6DD771FB" w14:textId="77777777" w:rsidR="00990B14" w:rsidRDefault="00000000">
            <w:pPr>
              <w:spacing w:after="40"/>
              <w:jc w:val="both"/>
            </w:pPr>
            <w:r>
              <w:rPr>
                <w:sz w:val="18"/>
                <w:szCs w:val="18"/>
              </w:rPr>
              <w:t>10.3.2. Gobernanza de TI, seguridad de datos y protección de la información corporativa. (C, A)</w:t>
            </w:r>
          </w:p>
          <w:p w14:paraId="7D3CA6DC" w14:textId="77777777" w:rsidR="00990B14" w:rsidRDefault="00000000">
            <w:pPr>
              <w:spacing w:after="40"/>
              <w:jc w:val="both"/>
            </w:pPr>
            <w:r>
              <w:rPr>
                <w:sz w:val="18"/>
                <w:szCs w:val="18"/>
              </w:rPr>
              <w:t>10.3.3. Análisis y uso de la inteligencia artificial como herramienta clave para la gestión empresarial contemporánea y la toma de decisiones. (C, P, T)</w:t>
            </w:r>
          </w:p>
          <w:p w14:paraId="1ADA4FB8" w14:textId="77777777" w:rsidR="00990B14" w:rsidRDefault="00000000">
            <w:pPr>
              <w:spacing w:before="60" w:after="20"/>
              <w:jc w:val="both"/>
            </w:pPr>
            <w:r>
              <w:rPr>
                <w:b/>
                <w:bCs/>
                <w:sz w:val="18"/>
                <w:szCs w:val="18"/>
              </w:rPr>
              <w:t>11.1. Evolución y contexto de la gerencia contemporánea</w:t>
            </w:r>
          </w:p>
          <w:p w14:paraId="4430FAD1" w14:textId="77777777" w:rsidR="00990B14" w:rsidRDefault="00000000">
            <w:pPr>
              <w:spacing w:after="40"/>
              <w:jc w:val="both"/>
            </w:pPr>
            <w:r>
              <w:rPr>
                <w:sz w:val="18"/>
                <w:szCs w:val="18"/>
              </w:rPr>
              <w:t>11.1.1. Desafíos del entorno globalizado, dinámico y competitivo actual. (C)</w:t>
            </w:r>
          </w:p>
          <w:p w14:paraId="26130DE0" w14:textId="77777777" w:rsidR="00990B14" w:rsidRDefault="00000000">
            <w:pPr>
              <w:spacing w:after="40"/>
              <w:jc w:val="both"/>
            </w:pPr>
            <w:r>
              <w:rPr>
                <w:sz w:val="18"/>
                <w:szCs w:val="18"/>
              </w:rPr>
              <w:t>11.1.2. Del enfoque tradicional al enfoque ágil y adaptativo en la gestión. (C)</w:t>
            </w:r>
          </w:p>
          <w:p w14:paraId="44081E12" w14:textId="77777777" w:rsidR="00990B14" w:rsidRDefault="00000000">
            <w:pPr>
              <w:spacing w:before="60" w:after="20"/>
              <w:jc w:val="both"/>
            </w:pPr>
            <w:r>
              <w:rPr>
                <w:b/>
                <w:bCs/>
                <w:sz w:val="18"/>
                <w:szCs w:val="18"/>
              </w:rPr>
              <w:t>11.2. Modelos de gestión y control avanzado</w:t>
            </w:r>
          </w:p>
          <w:p w14:paraId="06766E43" w14:textId="77777777" w:rsidR="00990B14" w:rsidRDefault="00000000">
            <w:pPr>
              <w:spacing w:after="40"/>
              <w:jc w:val="both"/>
            </w:pPr>
            <w:r>
              <w:rPr>
                <w:sz w:val="18"/>
                <w:szCs w:val="18"/>
              </w:rPr>
              <w:t>11.2.1. Dirección por Objetivos (MBO) y gestión basada en valor. (C)</w:t>
            </w:r>
          </w:p>
          <w:p w14:paraId="0870AC07" w14:textId="77777777" w:rsidR="00990B14" w:rsidRDefault="00000000">
            <w:pPr>
              <w:spacing w:after="40"/>
              <w:jc w:val="both"/>
            </w:pPr>
            <w:r>
              <w:rPr>
                <w:sz w:val="18"/>
                <w:szCs w:val="18"/>
              </w:rPr>
              <w:t>11.2.2. Cuadro de Mando Integral (Balanced Scorecard) como sistema de gestión estratégica. (C)</w:t>
            </w:r>
          </w:p>
          <w:p w14:paraId="6584380C" w14:textId="77777777" w:rsidR="00990B14" w:rsidRDefault="00000000">
            <w:pPr>
              <w:spacing w:before="60" w:after="20"/>
              <w:jc w:val="both"/>
            </w:pPr>
            <w:r>
              <w:rPr>
                <w:b/>
                <w:bCs/>
                <w:sz w:val="18"/>
                <w:szCs w:val="18"/>
              </w:rPr>
              <w:t>11.3. Tendencias e innovación directiva</w:t>
            </w:r>
          </w:p>
          <w:p w14:paraId="1C670458" w14:textId="77777777" w:rsidR="00990B14" w:rsidRDefault="00000000">
            <w:pPr>
              <w:spacing w:after="40"/>
              <w:jc w:val="both"/>
            </w:pPr>
            <w:r>
              <w:rPr>
                <w:sz w:val="18"/>
                <w:szCs w:val="18"/>
              </w:rPr>
              <w:t>11.3.1. Gestión del cambio organizacional e innovación disruptiva. (C)</w:t>
            </w:r>
          </w:p>
          <w:p w14:paraId="371E7198" w14:textId="77777777" w:rsidR="00990B14" w:rsidRDefault="00000000">
            <w:pPr>
              <w:spacing w:after="40"/>
              <w:jc w:val="both"/>
            </w:pPr>
            <w:r>
              <w:rPr>
                <w:sz w:val="18"/>
                <w:szCs w:val="18"/>
              </w:rPr>
              <w:t>11.3.2. Sostenibilidad, responsabilidad social empresarial (RSE) y criterios ESG en la alta dirección. (C, A)</w:t>
            </w:r>
          </w:p>
          <w:p w14:paraId="25F8B4F4" w14:textId="77777777" w:rsidR="00990B14" w:rsidRDefault="00000000">
            <w:pPr>
              <w:spacing w:before="60" w:after="20"/>
              <w:jc w:val="both"/>
            </w:pPr>
            <w:r>
              <w:rPr>
                <w:b/>
                <w:bCs/>
                <w:sz w:val="18"/>
                <w:szCs w:val="18"/>
              </w:rPr>
              <w:t>12.1. Fundamentos de la administración pública y gobernanza</w:t>
            </w:r>
          </w:p>
          <w:p w14:paraId="5142BB39" w14:textId="77777777" w:rsidR="00990B14" w:rsidRDefault="00000000">
            <w:pPr>
              <w:spacing w:after="40"/>
              <w:jc w:val="both"/>
            </w:pPr>
            <w:r>
              <w:rPr>
                <w:sz w:val="18"/>
                <w:szCs w:val="18"/>
              </w:rPr>
              <w:t>12.1.1. El Estado, la gestión pública y el marco de la administración gubernamental. (C)</w:t>
            </w:r>
          </w:p>
          <w:p w14:paraId="08155799" w14:textId="77777777" w:rsidR="00990B14" w:rsidRDefault="00000000">
            <w:pPr>
              <w:spacing w:after="40"/>
              <w:jc w:val="both"/>
            </w:pPr>
            <w:r>
              <w:rPr>
                <w:sz w:val="18"/>
                <w:szCs w:val="18"/>
              </w:rPr>
              <w:t>12.1.2. Principios de legalidad, transparencia, eficacia y eficiencia en el sector público. (C, A)</w:t>
            </w:r>
          </w:p>
          <w:p w14:paraId="35CE2C8C" w14:textId="77777777" w:rsidR="00990B14" w:rsidRDefault="00000000">
            <w:pPr>
              <w:spacing w:before="60" w:after="20"/>
              <w:jc w:val="both"/>
            </w:pPr>
            <w:r>
              <w:rPr>
                <w:b/>
                <w:bCs/>
                <w:sz w:val="18"/>
                <w:szCs w:val="18"/>
              </w:rPr>
              <w:t>12.2. Sistemas de administración y control fiscal/gubernamental</w:t>
            </w:r>
          </w:p>
          <w:p w14:paraId="418FD7E4" w14:textId="77777777" w:rsidR="00990B14" w:rsidRDefault="00000000">
            <w:pPr>
              <w:spacing w:after="40"/>
              <w:jc w:val="both"/>
            </w:pPr>
            <w:r>
              <w:rPr>
                <w:sz w:val="18"/>
                <w:szCs w:val="18"/>
              </w:rPr>
              <w:t>12.2.1. Sistemas de planificación, programación presupuestaria y tesorería pública. (C)</w:t>
            </w:r>
          </w:p>
          <w:p w14:paraId="465A2849" w14:textId="77777777" w:rsidR="00990B14" w:rsidRDefault="00000000">
            <w:pPr>
              <w:spacing w:after="40"/>
              <w:jc w:val="both"/>
            </w:pPr>
            <w:r>
              <w:rPr>
                <w:sz w:val="18"/>
                <w:szCs w:val="18"/>
              </w:rPr>
              <w:t>12.2.2. Sistemas de contratación estatal, administración de bienes y recursos humanos del Estado. (C)</w:t>
            </w:r>
          </w:p>
          <w:p w14:paraId="0BC845ED" w14:textId="77777777" w:rsidR="00990B14" w:rsidRDefault="00000000">
            <w:pPr>
              <w:spacing w:before="60" w:after="20"/>
              <w:jc w:val="both"/>
            </w:pPr>
            <w:r>
              <w:rPr>
                <w:b/>
                <w:bCs/>
                <w:sz w:val="18"/>
                <w:szCs w:val="18"/>
              </w:rPr>
              <w:t>12.3. Control gubernamental, auditoría y responsabilidad</w:t>
            </w:r>
          </w:p>
          <w:p w14:paraId="1D2F3A90" w14:textId="77777777" w:rsidR="00990B14" w:rsidRDefault="00000000">
            <w:pPr>
              <w:spacing w:after="40"/>
              <w:jc w:val="both"/>
            </w:pPr>
            <w:r>
              <w:rPr>
                <w:sz w:val="18"/>
                <w:szCs w:val="18"/>
              </w:rPr>
              <w:t>12.3.1. El sistema de control gubernamental (Control previo, interno y posterior). (C)</w:t>
            </w:r>
          </w:p>
          <w:p w14:paraId="37E67942" w14:textId="77777777" w:rsidR="00990B14" w:rsidRDefault="00000000">
            <w:pPr>
              <w:spacing w:after="40"/>
              <w:jc w:val="both"/>
            </w:pPr>
            <w:r>
              <w:rPr>
                <w:sz w:val="18"/>
                <w:szCs w:val="18"/>
              </w:rPr>
              <w:t>12.3.2. Responsabilidad por la función pública, fiscalización y rendición de cuentas. (C, A)</w:t>
            </w:r>
          </w:p>
        </w:tc>
        <w:tc>
          <w:tcPr>
            <w:tcW w:w="2752" w:type="dxa"/>
            <w:gridSpan w:val="3"/>
            <w:shd w:val="clear" w:color="auto" w:fill="D9E2F3"/>
          </w:tcPr>
          <w:p w14:paraId="1FC6B5BD" w14:textId="77777777" w:rsidR="00990B14" w:rsidRDefault="00000000">
            <w:pPr>
              <w:numPr>
                <w:ilvl w:val="0"/>
                <w:numId w:val="139"/>
              </w:numPr>
              <w:spacing w:before="10" w:after="10"/>
              <w:jc w:val="both"/>
            </w:pPr>
            <w:r>
              <w:rPr>
                <w:sz w:val="18"/>
                <w:szCs w:val="18"/>
              </w:rPr>
              <w:t>Aplicación de los sistemas gerenciales en organizaciones bolivianas, considerando la Ley N.º 1178, la realidad organizacional, los recursos y las necesidades de gestión.</w:t>
            </w:r>
          </w:p>
        </w:tc>
      </w:tr>
    </w:tbl>
    <w:p w14:paraId="468461B5"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700"/>
        <w:gridCol w:w="2015"/>
        <w:gridCol w:w="1805"/>
        <w:gridCol w:w="1910"/>
        <w:gridCol w:w="1975"/>
      </w:tblGrid>
      <w:tr w:rsidR="00990B14" w14:paraId="609F31B7" w14:textId="77777777">
        <w:trPr>
          <w:cantSplit/>
          <w:jc w:val="center"/>
        </w:trPr>
        <w:tc>
          <w:tcPr>
            <w:tcW w:w="9405" w:type="dxa"/>
            <w:gridSpan w:val="5"/>
            <w:shd w:val="clear" w:color="auto" w:fill="4472C4"/>
            <w:vAlign w:val="center"/>
          </w:tcPr>
          <w:p w14:paraId="5FA53997" w14:textId="77777777" w:rsidR="00990B14" w:rsidRDefault="00000000">
            <w:pPr>
              <w:keepNext/>
              <w:spacing w:before="20" w:after="20"/>
              <w:jc w:val="center"/>
            </w:pPr>
            <w:r>
              <w:rPr>
                <w:b/>
                <w:bCs/>
                <w:i/>
                <w:iCs/>
                <w:color w:val="FFFFFF"/>
                <w:sz w:val="18"/>
                <w:szCs w:val="18"/>
              </w:rPr>
              <w:t>Actividades</w:t>
            </w:r>
          </w:p>
        </w:tc>
      </w:tr>
      <w:tr w:rsidR="00990B14" w14:paraId="0CC994CD" w14:textId="77777777">
        <w:trPr>
          <w:cantSplit/>
          <w:jc w:val="center"/>
        </w:trPr>
        <w:tc>
          <w:tcPr>
            <w:tcW w:w="1700" w:type="dxa"/>
            <w:shd w:val="clear" w:color="auto" w:fill="4472C4"/>
            <w:vAlign w:val="center"/>
          </w:tcPr>
          <w:p w14:paraId="56432DD8" w14:textId="77777777" w:rsidR="00990B14" w:rsidRDefault="00000000">
            <w:pPr>
              <w:keepNext/>
              <w:spacing w:before="20" w:after="20"/>
              <w:jc w:val="center"/>
            </w:pPr>
            <w:r>
              <w:rPr>
                <w:b/>
                <w:bCs/>
                <w:i/>
                <w:iCs/>
                <w:color w:val="FFFFFF"/>
                <w:sz w:val="18"/>
                <w:szCs w:val="18"/>
              </w:rPr>
              <w:t>En clase</w:t>
            </w:r>
          </w:p>
        </w:tc>
        <w:tc>
          <w:tcPr>
            <w:tcW w:w="2015" w:type="dxa"/>
            <w:shd w:val="clear" w:color="auto" w:fill="4472C4"/>
            <w:vAlign w:val="center"/>
          </w:tcPr>
          <w:p w14:paraId="6A4294AD" w14:textId="77777777" w:rsidR="00990B14" w:rsidRDefault="00000000">
            <w:pPr>
              <w:keepNext/>
              <w:spacing w:before="20" w:after="20"/>
              <w:jc w:val="center"/>
            </w:pPr>
            <w:r>
              <w:rPr>
                <w:b/>
                <w:bCs/>
                <w:i/>
                <w:iCs/>
                <w:color w:val="FFFFFF"/>
                <w:sz w:val="18"/>
                <w:szCs w:val="18"/>
              </w:rPr>
              <w:t>Autónomas</w:t>
            </w:r>
          </w:p>
        </w:tc>
        <w:tc>
          <w:tcPr>
            <w:tcW w:w="1805" w:type="dxa"/>
            <w:shd w:val="clear" w:color="auto" w:fill="4472C4"/>
            <w:vAlign w:val="center"/>
          </w:tcPr>
          <w:p w14:paraId="174EAF8E" w14:textId="77777777" w:rsidR="00990B14" w:rsidRDefault="00000000">
            <w:pPr>
              <w:keepNext/>
              <w:spacing w:before="20" w:after="20"/>
              <w:jc w:val="center"/>
            </w:pPr>
            <w:r>
              <w:rPr>
                <w:b/>
                <w:bCs/>
                <w:i/>
                <w:iCs/>
                <w:color w:val="FFFFFF"/>
                <w:sz w:val="18"/>
                <w:szCs w:val="18"/>
              </w:rPr>
              <w:t>B-Learning</w:t>
            </w:r>
          </w:p>
        </w:tc>
        <w:tc>
          <w:tcPr>
            <w:tcW w:w="1910" w:type="dxa"/>
            <w:shd w:val="clear" w:color="auto" w:fill="4472C4"/>
            <w:vAlign w:val="center"/>
          </w:tcPr>
          <w:p w14:paraId="40B193FB" w14:textId="77777777" w:rsidR="00990B14" w:rsidRDefault="00000000">
            <w:pPr>
              <w:keepNext/>
              <w:spacing w:before="20" w:after="20"/>
              <w:jc w:val="center"/>
            </w:pPr>
            <w:r>
              <w:rPr>
                <w:b/>
                <w:bCs/>
                <w:i/>
                <w:iCs/>
                <w:color w:val="FFFFFF"/>
                <w:sz w:val="18"/>
                <w:szCs w:val="18"/>
              </w:rPr>
              <w:t>Taller</w:t>
            </w:r>
          </w:p>
        </w:tc>
        <w:tc>
          <w:tcPr>
            <w:tcW w:w="1975" w:type="dxa"/>
            <w:shd w:val="clear" w:color="auto" w:fill="4472C4"/>
            <w:vAlign w:val="center"/>
          </w:tcPr>
          <w:p w14:paraId="7786E344" w14:textId="77777777" w:rsidR="00990B14" w:rsidRDefault="00000000">
            <w:pPr>
              <w:keepNext/>
              <w:spacing w:before="20" w:after="20"/>
              <w:jc w:val="center"/>
            </w:pPr>
            <w:r>
              <w:rPr>
                <w:b/>
                <w:bCs/>
                <w:i/>
                <w:iCs/>
                <w:color w:val="FFFFFF"/>
                <w:sz w:val="18"/>
                <w:szCs w:val="18"/>
              </w:rPr>
              <w:t>Investigación/Práctica</w:t>
            </w:r>
          </w:p>
        </w:tc>
      </w:tr>
      <w:tr w:rsidR="00990B14" w14:paraId="072B1148" w14:textId="77777777">
        <w:trPr>
          <w:jc w:val="center"/>
        </w:trPr>
        <w:tc>
          <w:tcPr>
            <w:tcW w:w="1700" w:type="dxa"/>
            <w:shd w:val="clear" w:color="auto" w:fill="D9E2F3"/>
          </w:tcPr>
          <w:p w14:paraId="2C5E41EF" w14:textId="77777777" w:rsidR="00990B14" w:rsidRDefault="00000000">
            <w:pPr>
              <w:numPr>
                <w:ilvl w:val="0"/>
                <w:numId w:val="139"/>
              </w:numPr>
              <w:spacing w:before="10" w:after="10"/>
              <w:jc w:val="both"/>
            </w:pPr>
            <w:r>
              <w:rPr>
                <w:sz w:val="18"/>
                <w:szCs w:val="18"/>
              </w:rPr>
              <w:t>Exposición dialogada del enfoque sistémico y de los subsistemas de cada sistema gerencial. Resolución guiada de casos de toma de decisiones y de planificación.</w:t>
            </w:r>
          </w:p>
          <w:p w14:paraId="37142FE9" w14:textId="77777777" w:rsidR="00990B14" w:rsidRDefault="00000000">
            <w:pPr>
              <w:numPr>
                <w:ilvl w:val="0"/>
                <w:numId w:val="139"/>
              </w:numPr>
              <w:spacing w:before="10" w:after="10"/>
              <w:jc w:val="both"/>
            </w:pPr>
            <w:r>
              <w:rPr>
                <w:sz w:val="18"/>
                <w:szCs w:val="18"/>
              </w:rPr>
              <w:t>Demostración de organigramas, flujogramas y tableros de indicadores.</w:t>
            </w:r>
          </w:p>
        </w:tc>
        <w:tc>
          <w:tcPr>
            <w:tcW w:w="2015" w:type="dxa"/>
            <w:shd w:val="clear" w:color="auto" w:fill="D9E2F3"/>
          </w:tcPr>
          <w:p w14:paraId="1C7EDF6E" w14:textId="77777777" w:rsidR="00990B14" w:rsidRDefault="00000000">
            <w:pPr>
              <w:numPr>
                <w:ilvl w:val="0"/>
                <w:numId w:val="139"/>
              </w:numPr>
              <w:spacing w:before="10" w:after="10"/>
              <w:jc w:val="both"/>
            </w:pPr>
            <w:r>
              <w:rPr>
                <w:sz w:val="18"/>
                <w:szCs w:val="18"/>
              </w:rPr>
              <w:t>Lectura de las normas básicas de cada sistema administrativo al cierre de cada tema.</w:t>
            </w:r>
          </w:p>
          <w:p w14:paraId="4A4E3403" w14:textId="77777777" w:rsidR="00990B14" w:rsidRDefault="00000000">
            <w:pPr>
              <w:numPr>
                <w:ilvl w:val="0"/>
                <w:numId w:val="139"/>
              </w:numPr>
              <w:spacing w:before="10" w:after="10"/>
              <w:jc w:val="both"/>
            </w:pPr>
            <w:r>
              <w:rPr>
                <w:sz w:val="18"/>
                <w:szCs w:val="18"/>
              </w:rPr>
              <w:t>Elaboración de esquemas de los subsistemas de insumo, proceso, producto y retroalimentación de cada sistema.</w:t>
            </w:r>
          </w:p>
          <w:p w14:paraId="352E21A5" w14:textId="77777777" w:rsidR="00990B14" w:rsidRDefault="00000000">
            <w:pPr>
              <w:numPr>
                <w:ilvl w:val="0"/>
                <w:numId w:val="139"/>
              </w:numPr>
              <w:spacing w:before="10" w:after="10"/>
              <w:jc w:val="both"/>
            </w:pPr>
            <w:r>
              <w:rPr>
                <w:sz w:val="18"/>
                <w:szCs w:val="18"/>
              </w:rPr>
              <w:t>Desarrollo progresivo del análisis sistémico de una organización real, con la identificación de sus riesgos y controles internos.</w:t>
            </w:r>
          </w:p>
        </w:tc>
        <w:tc>
          <w:tcPr>
            <w:tcW w:w="1805" w:type="dxa"/>
            <w:shd w:val="clear" w:color="auto" w:fill="D9E2F3"/>
          </w:tcPr>
          <w:p w14:paraId="45CD8684" w14:textId="77777777" w:rsidR="00990B14" w:rsidRDefault="00000000">
            <w:pPr>
              <w:numPr>
                <w:ilvl w:val="0"/>
                <w:numId w:val="139"/>
              </w:numPr>
              <w:spacing w:before="10" w:after="10"/>
              <w:jc w:val="both"/>
            </w:pPr>
            <w:r>
              <w:rPr>
                <w:sz w:val="18"/>
                <w:szCs w:val="18"/>
              </w:rPr>
              <w:t>Cuestionarios de comprensión en las plataformas.</w:t>
            </w:r>
          </w:p>
          <w:p w14:paraId="78AE4C0B" w14:textId="77777777" w:rsidR="00990B14" w:rsidRDefault="00000000">
            <w:pPr>
              <w:numPr>
                <w:ilvl w:val="0"/>
                <w:numId w:val="139"/>
              </w:numPr>
              <w:spacing w:before="10" w:after="10"/>
              <w:jc w:val="both"/>
            </w:pPr>
            <w:r>
              <w:rPr>
                <w:sz w:val="18"/>
                <w:szCs w:val="18"/>
              </w:rPr>
              <w:t>Foros de consulta sobre la aplicación de cada sistema gerencial.</w:t>
            </w:r>
          </w:p>
          <w:p w14:paraId="51A836E2" w14:textId="77777777" w:rsidR="00990B14" w:rsidRDefault="00000000">
            <w:pPr>
              <w:numPr>
                <w:ilvl w:val="0"/>
                <w:numId w:val="139"/>
              </w:numPr>
              <w:spacing w:before="10" w:after="10"/>
              <w:jc w:val="both"/>
            </w:pPr>
            <w:r>
              <w:rPr>
                <w:sz w:val="18"/>
                <w:szCs w:val="18"/>
              </w:rPr>
              <w:t>Videotutoriales de modelos gerenciales contemporáneos y de herramientas digitales de organigramas y flujogramas.</w:t>
            </w:r>
          </w:p>
        </w:tc>
        <w:tc>
          <w:tcPr>
            <w:tcW w:w="1910" w:type="dxa"/>
            <w:shd w:val="clear" w:color="auto" w:fill="D9E2F3"/>
          </w:tcPr>
          <w:p w14:paraId="3D4E63BA" w14:textId="77777777" w:rsidR="00990B14" w:rsidRDefault="00000000">
            <w:pPr>
              <w:numPr>
                <w:ilvl w:val="0"/>
                <w:numId w:val="139"/>
              </w:numPr>
              <w:spacing w:before="10" w:after="10"/>
              <w:jc w:val="both"/>
            </w:pPr>
            <w:r>
              <w:rPr>
                <w:sz w:val="18"/>
                <w:szCs w:val="18"/>
              </w:rPr>
              <w:t>Resolución colaborativa de casos de toma de decisiones y planificación.</w:t>
            </w:r>
          </w:p>
          <w:p w14:paraId="0354B86E" w14:textId="77777777" w:rsidR="00990B14" w:rsidRDefault="00000000">
            <w:pPr>
              <w:numPr>
                <w:ilvl w:val="0"/>
                <w:numId w:val="139"/>
              </w:numPr>
              <w:spacing w:before="10" w:after="10"/>
              <w:jc w:val="both"/>
            </w:pPr>
            <w:r>
              <w:rPr>
                <w:sz w:val="18"/>
                <w:szCs w:val="18"/>
              </w:rPr>
              <w:t>Simulación de casos organizacionales para aplicar conceptos teóricos y defender propuestas de solución gerencial.</w:t>
            </w:r>
          </w:p>
          <w:p w14:paraId="64340FFA" w14:textId="77777777" w:rsidR="00990B14" w:rsidRDefault="00000000">
            <w:pPr>
              <w:numPr>
                <w:ilvl w:val="0"/>
                <w:numId w:val="139"/>
              </w:numPr>
              <w:spacing w:before="10" w:after="10"/>
              <w:jc w:val="both"/>
            </w:pPr>
            <w:r>
              <w:rPr>
                <w:sz w:val="18"/>
                <w:szCs w:val="18"/>
              </w:rPr>
              <w:t>Análisis de sistemas gerenciales en organizaciones bolivianas, considerando su realidad, recursos y necesidades de gestión.</w:t>
            </w:r>
          </w:p>
          <w:p w14:paraId="3C55D69E" w14:textId="77777777" w:rsidR="00990B14" w:rsidRDefault="00000000">
            <w:pPr>
              <w:numPr>
                <w:ilvl w:val="0"/>
                <w:numId w:val="139"/>
              </w:numPr>
              <w:spacing w:before="10" w:after="10"/>
              <w:jc w:val="both"/>
            </w:pPr>
            <w:r>
              <w:rPr>
                <w:sz w:val="18"/>
                <w:szCs w:val="18"/>
              </w:rPr>
              <w:t>Elaboración guiada, con herramientas digitales, del organigrama, el flujograma y el sistema de control de una entidad.</w:t>
            </w:r>
          </w:p>
          <w:p w14:paraId="4417525A" w14:textId="77777777" w:rsidR="00990B14" w:rsidRDefault="00000000">
            <w:pPr>
              <w:numPr>
                <w:ilvl w:val="0"/>
                <w:numId w:val="139"/>
              </w:numPr>
              <w:spacing w:before="10" w:after="10"/>
              <w:jc w:val="both"/>
            </w:pPr>
            <w:r>
              <w:rPr>
                <w:sz w:val="18"/>
                <w:szCs w:val="18"/>
              </w:rPr>
              <w:t>Revisión cruzada del análisis sistémico de distintas entidades entre equipos.</w:t>
            </w:r>
          </w:p>
        </w:tc>
        <w:tc>
          <w:tcPr>
            <w:tcW w:w="1975" w:type="dxa"/>
            <w:shd w:val="clear" w:color="auto" w:fill="D9E2F3"/>
          </w:tcPr>
          <w:p w14:paraId="4DBF1033" w14:textId="77777777" w:rsidR="00990B14" w:rsidRDefault="00000000">
            <w:pPr>
              <w:numPr>
                <w:ilvl w:val="0"/>
                <w:numId w:val="139"/>
              </w:numPr>
              <w:spacing w:before="10" w:after="10"/>
              <w:jc w:val="both"/>
            </w:pPr>
            <w:r>
              <w:rPr>
                <w:sz w:val="18"/>
                <w:szCs w:val="18"/>
              </w:rPr>
              <w:t>Análisis de la estructura organizacional de organizaciones públicas y privadas.</w:t>
            </w:r>
          </w:p>
          <w:p w14:paraId="35DD55A3" w14:textId="77777777" w:rsidR="00990B14" w:rsidRDefault="00000000">
            <w:pPr>
              <w:numPr>
                <w:ilvl w:val="0"/>
                <w:numId w:val="139"/>
              </w:numPr>
              <w:spacing w:before="10" w:after="10"/>
              <w:jc w:val="both"/>
            </w:pPr>
            <w:r>
              <w:rPr>
                <w:sz w:val="18"/>
                <w:szCs w:val="18"/>
              </w:rPr>
              <w:t>Comparación de modelos gerenciales aplicados en distintos sectores económicos.</w:t>
            </w:r>
          </w:p>
        </w:tc>
      </w:tr>
    </w:tbl>
    <w:p w14:paraId="1A429A13"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490"/>
        <w:gridCol w:w="2015"/>
        <w:gridCol w:w="2120"/>
        <w:gridCol w:w="1903"/>
        <w:gridCol w:w="1877"/>
      </w:tblGrid>
      <w:tr w:rsidR="00990B14" w14:paraId="3925A5D1" w14:textId="77777777">
        <w:trPr>
          <w:jc w:val="center"/>
        </w:trPr>
        <w:tc>
          <w:tcPr>
            <w:tcW w:w="1490" w:type="dxa"/>
            <w:shd w:val="clear" w:color="auto" w:fill="4472C4"/>
            <w:vAlign w:val="center"/>
          </w:tcPr>
          <w:p w14:paraId="081D971C" w14:textId="77777777" w:rsidR="00990B14" w:rsidRDefault="00000000">
            <w:pPr>
              <w:spacing w:before="20" w:after="20"/>
              <w:jc w:val="center"/>
            </w:pPr>
            <w:r>
              <w:rPr>
                <w:b/>
                <w:bCs/>
                <w:i/>
                <w:iCs/>
                <w:color w:val="FFFFFF"/>
                <w:sz w:val="18"/>
                <w:szCs w:val="18"/>
              </w:rPr>
              <w:t>Estrategias de aprendizaje y enseñanza</w:t>
            </w:r>
          </w:p>
        </w:tc>
        <w:tc>
          <w:tcPr>
            <w:tcW w:w="7915" w:type="dxa"/>
            <w:gridSpan w:val="4"/>
            <w:shd w:val="clear" w:color="auto" w:fill="D9E2F3"/>
            <w:vAlign w:val="center"/>
          </w:tcPr>
          <w:p w14:paraId="723AB63B" w14:textId="77777777" w:rsidR="00990B14" w:rsidRDefault="00000000">
            <w:pPr>
              <w:numPr>
                <w:ilvl w:val="0"/>
                <w:numId w:val="140"/>
              </w:numPr>
              <w:spacing w:before="10" w:after="10"/>
              <w:jc w:val="both"/>
            </w:pPr>
            <w:r>
              <w:rPr>
                <w:sz w:val="18"/>
                <w:szCs w:val="18"/>
              </w:rPr>
              <w:t>Aprendizaje basado en problemas con casos de gestión de organizaciones.</w:t>
            </w:r>
          </w:p>
          <w:p w14:paraId="516DE3F4" w14:textId="77777777" w:rsidR="00990B14" w:rsidRDefault="00000000">
            <w:pPr>
              <w:numPr>
                <w:ilvl w:val="0"/>
                <w:numId w:val="140"/>
              </w:numPr>
              <w:spacing w:before="10" w:after="10"/>
              <w:jc w:val="both"/>
            </w:pPr>
            <w:r>
              <w:rPr>
                <w:sz w:val="18"/>
                <w:szCs w:val="18"/>
              </w:rPr>
              <w:t>Resolución guiada de ejercicios en orden de dificultad creciente por sistema administrativo.</w:t>
            </w:r>
          </w:p>
          <w:p w14:paraId="7FCEDE7B" w14:textId="77777777" w:rsidR="00990B14" w:rsidRDefault="00000000">
            <w:pPr>
              <w:numPr>
                <w:ilvl w:val="0"/>
                <w:numId w:val="140"/>
              </w:numPr>
              <w:spacing w:before="10" w:after="10"/>
              <w:jc w:val="both"/>
            </w:pPr>
            <w:r>
              <w:rPr>
                <w:sz w:val="18"/>
                <w:szCs w:val="18"/>
              </w:rPr>
              <w:t>Caso práctico integral que recorre el análisis sistémico completo de una entidad.</w:t>
            </w:r>
          </w:p>
          <w:p w14:paraId="3E3A0287" w14:textId="77777777" w:rsidR="00990B14" w:rsidRDefault="00000000">
            <w:pPr>
              <w:numPr>
                <w:ilvl w:val="0"/>
                <w:numId w:val="140"/>
              </w:numPr>
              <w:spacing w:before="10" w:after="10"/>
              <w:jc w:val="both"/>
            </w:pPr>
            <w:r>
              <w:rPr>
                <w:sz w:val="18"/>
                <w:szCs w:val="18"/>
              </w:rPr>
              <w:t>Simulaciones controladas de casos empresariales para aplicar la teoría a la práctica.</w:t>
            </w:r>
          </w:p>
          <w:p w14:paraId="527FD9F8" w14:textId="77777777" w:rsidR="00990B14" w:rsidRDefault="00000000">
            <w:pPr>
              <w:numPr>
                <w:ilvl w:val="0"/>
                <w:numId w:val="140"/>
              </w:numPr>
              <w:spacing w:before="10" w:after="10"/>
              <w:jc w:val="both"/>
            </w:pPr>
            <w:r>
              <w:rPr>
                <w:sz w:val="18"/>
                <w:szCs w:val="18"/>
              </w:rPr>
              <w:t>Demostración guiada del uso de la inteligencia artificial y de los sistemas de Planificación de Recursos Empresariales y de Gestión de Relaciones con Clientes en un caso empresarial.</w:t>
            </w:r>
          </w:p>
          <w:p w14:paraId="0DD9F2A3" w14:textId="77777777" w:rsidR="00990B14" w:rsidRDefault="00000000">
            <w:pPr>
              <w:numPr>
                <w:ilvl w:val="0"/>
                <w:numId w:val="140"/>
              </w:numPr>
              <w:spacing w:before="10" w:after="10"/>
              <w:jc w:val="both"/>
            </w:pPr>
            <w:r>
              <w:rPr>
                <w:sz w:val="18"/>
                <w:szCs w:val="18"/>
              </w:rPr>
              <w:t>Estudio de casos de aplicación de modelos gerenciales en organizaciones.</w:t>
            </w:r>
          </w:p>
          <w:p w14:paraId="7D3E0E22" w14:textId="77777777" w:rsidR="00990B14" w:rsidRDefault="00000000">
            <w:pPr>
              <w:numPr>
                <w:ilvl w:val="0"/>
                <w:numId w:val="140"/>
              </w:numPr>
              <w:spacing w:before="10" w:after="10"/>
              <w:jc w:val="both"/>
            </w:pPr>
            <w:r>
              <w:rPr>
                <w:sz w:val="18"/>
                <w:szCs w:val="18"/>
              </w:rPr>
              <w:t>Trabajo colaborativo en equipos de análisis organizacional.</w:t>
            </w:r>
          </w:p>
          <w:p w14:paraId="50B13406" w14:textId="77777777" w:rsidR="00990B14" w:rsidRDefault="00000000">
            <w:pPr>
              <w:numPr>
                <w:ilvl w:val="0"/>
                <w:numId w:val="140"/>
              </w:numPr>
              <w:spacing w:before="10" w:after="10"/>
              <w:jc w:val="both"/>
            </w:pPr>
            <w:r>
              <w:rPr>
                <w:sz w:val="18"/>
                <w:szCs w:val="18"/>
              </w:rPr>
              <w:t>Clase invertida para los contenidos teóricos de cada sistema gerencial.</w:t>
            </w:r>
          </w:p>
        </w:tc>
      </w:tr>
      <w:tr w:rsidR="00990B14" w14:paraId="159B70A6" w14:textId="77777777">
        <w:trPr>
          <w:jc w:val="center"/>
        </w:trPr>
        <w:tc>
          <w:tcPr>
            <w:tcW w:w="1490" w:type="dxa"/>
            <w:shd w:val="clear" w:color="auto" w:fill="4472C4"/>
            <w:vAlign w:val="center"/>
          </w:tcPr>
          <w:p w14:paraId="74572262" w14:textId="77777777" w:rsidR="00990B14" w:rsidRDefault="00000000">
            <w:pPr>
              <w:spacing w:before="20" w:after="20"/>
              <w:jc w:val="center"/>
            </w:pPr>
            <w:r>
              <w:rPr>
                <w:b/>
                <w:bCs/>
                <w:i/>
                <w:iCs/>
                <w:color w:val="FFFFFF"/>
                <w:sz w:val="18"/>
                <w:szCs w:val="18"/>
              </w:rPr>
              <w:t>Recursos para el aprendizaje</w:t>
            </w:r>
          </w:p>
        </w:tc>
        <w:tc>
          <w:tcPr>
            <w:tcW w:w="7915" w:type="dxa"/>
            <w:gridSpan w:val="4"/>
            <w:shd w:val="clear" w:color="auto" w:fill="D9E2F3"/>
            <w:vAlign w:val="center"/>
          </w:tcPr>
          <w:p w14:paraId="4DCEF32D" w14:textId="77777777" w:rsidR="00990B14" w:rsidRDefault="00000000">
            <w:pPr>
              <w:numPr>
                <w:ilvl w:val="0"/>
                <w:numId w:val="140"/>
              </w:numPr>
              <w:spacing w:before="10" w:after="10"/>
              <w:jc w:val="both"/>
            </w:pPr>
            <w:r>
              <w:rPr>
                <w:sz w:val="18"/>
                <w:szCs w:val="18"/>
              </w:rPr>
              <w:t>Plataformas.</w:t>
            </w:r>
          </w:p>
          <w:p w14:paraId="1753DCA4" w14:textId="77777777" w:rsidR="00990B14" w:rsidRDefault="00000000">
            <w:pPr>
              <w:numPr>
                <w:ilvl w:val="0"/>
                <w:numId w:val="140"/>
              </w:numPr>
              <w:spacing w:before="10" w:after="10"/>
              <w:jc w:val="both"/>
            </w:pPr>
            <w:r>
              <w:rPr>
                <w:sz w:val="18"/>
                <w:szCs w:val="18"/>
              </w:rPr>
              <w:t>Organigramas y manuales de organización de organizaciones públicas y privadas.</w:t>
            </w:r>
          </w:p>
          <w:p w14:paraId="07444A83" w14:textId="77777777" w:rsidR="00990B14" w:rsidRDefault="00000000">
            <w:pPr>
              <w:numPr>
                <w:ilvl w:val="0"/>
                <w:numId w:val="140"/>
              </w:numPr>
              <w:spacing w:before="10" w:after="10"/>
              <w:jc w:val="both"/>
            </w:pPr>
            <w:r>
              <w:rPr>
                <w:sz w:val="18"/>
                <w:szCs w:val="18"/>
              </w:rPr>
              <w:t>Guías de ejercicios y casos elaborados por la cátedra.</w:t>
            </w:r>
          </w:p>
          <w:p w14:paraId="61EB2947" w14:textId="77777777" w:rsidR="00990B14" w:rsidRDefault="00000000">
            <w:pPr>
              <w:numPr>
                <w:ilvl w:val="0"/>
                <w:numId w:val="140"/>
              </w:numPr>
              <w:spacing w:before="10" w:after="10"/>
              <w:jc w:val="both"/>
            </w:pPr>
            <w:r>
              <w:rPr>
                <w:sz w:val="18"/>
                <w:szCs w:val="18"/>
              </w:rPr>
              <w:t>Bibliografía especializada en administración y gerencia. También autores actualizados, y artículos científicos recientes de 2022 a 2025 sobre sistemas gerenciales.</w:t>
            </w:r>
          </w:p>
        </w:tc>
      </w:tr>
      <w:tr w:rsidR="00990B14" w14:paraId="09741CA4" w14:textId="77777777">
        <w:trPr>
          <w:jc w:val="center"/>
        </w:trPr>
        <w:tc>
          <w:tcPr>
            <w:tcW w:w="1490" w:type="dxa"/>
            <w:shd w:val="clear" w:color="auto" w:fill="4472C4"/>
            <w:vAlign w:val="center"/>
          </w:tcPr>
          <w:p w14:paraId="073D3A58" w14:textId="77777777" w:rsidR="00990B14" w:rsidRDefault="00000000">
            <w:pPr>
              <w:spacing w:before="20" w:after="20"/>
              <w:jc w:val="center"/>
            </w:pPr>
            <w:r>
              <w:rPr>
                <w:b/>
                <w:bCs/>
                <w:i/>
                <w:iCs/>
                <w:color w:val="FFFFFF"/>
                <w:sz w:val="18"/>
                <w:szCs w:val="18"/>
              </w:rPr>
              <w:t>Estrategias de evaluación</w:t>
            </w:r>
          </w:p>
        </w:tc>
        <w:tc>
          <w:tcPr>
            <w:tcW w:w="7915" w:type="dxa"/>
            <w:gridSpan w:val="4"/>
            <w:shd w:val="clear" w:color="auto" w:fill="D9E2F3"/>
            <w:vAlign w:val="center"/>
          </w:tcPr>
          <w:p w14:paraId="52F3F19F" w14:textId="77777777" w:rsidR="00990B14" w:rsidRDefault="00000000">
            <w:pPr>
              <w:numPr>
                <w:ilvl w:val="0"/>
                <w:numId w:val="140"/>
              </w:numPr>
              <w:spacing w:before="10" w:after="10"/>
              <w:jc w:val="both"/>
            </w:pPr>
            <w:r>
              <w:rPr>
                <w:sz w:val="18"/>
                <w:szCs w:val="18"/>
              </w:rPr>
              <w:t>Evaluación diagnóstica: prueba inicial sobre los fundamentos de la administración general de la asignatura ADM-101 Administración General.</w:t>
            </w:r>
          </w:p>
          <w:p w14:paraId="73894EAE" w14:textId="77777777" w:rsidR="00990B14" w:rsidRDefault="00000000">
            <w:pPr>
              <w:numPr>
                <w:ilvl w:val="0"/>
                <w:numId w:val="140"/>
              </w:numPr>
              <w:spacing w:before="10" w:after="10"/>
              <w:jc w:val="both"/>
            </w:pPr>
            <w:r>
              <w:rPr>
                <w:sz w:val="18"/>
                <w:szCs w:val="18"/>
              </w:rPr>
              <w:t>Evaluación formativa: preguntas de comprensión y desarrollo de ejercicios prácticos en el aula, con retroalimentación continua, autoevaluación y coevaluación.</w:t>
            </w:r>
          </w:p>
          <w:p w14:paraId="759C54F4" w14:textId="77777777" w:rsidR="00990B14" w:rsidRDefault="00000000">
            <w:pPr>
              <w:numPr>
                <w:ilvl w:val="0"/>
                <w:numId w:val="140"/>
              </w:numPr>
              <w:spacing w:before="10" w:after="10"/>
              <w:jc w:val="both"/>
            </w:pPr>
            <w:r>
              <w:rPr>
                <w:sz w:val="18"/>
                <w:szCs w:val="18"/>
              </w:rPr>
              <w:t>Evaluación sumativa: controles de lectura, ensayos, asistencia, evaluación de casos prácticos, trabajos de investigación y desarrollo, exámenes parciales y examen final.</w:t>
            </w:r>
          </w:p>
        </w:tc>
      </w:tr>
      <w:tr w:rsidR="00990B14" w14:paraId="70578B47" w14:textId="77777777">
        <w:trPr>
          <w:jc w:val="center"/>
        </w:trPr>
        <w:tc>
          <w:tcPr>
            <w:tcW w:w="1490" w:type="dxa"/>
            <w:shd w:val="clear" w:color="auto" w:fill="4472C4"/>
            <w:vAlign w:val="center"/>
          </w:tcPr>
          <w:p w14:paraId="467B66C4" w14:textId="77777777" w:rsidR="00990B14" w:rsidRDefault="00000000">
            <w:pPr>
              <w:spacing w:before="20" w:after="20"/>
              <w:jc w:val="center"/>
            </w:pPr>
            <w:r>
              <w:rPr>
                <w:b/>
                <w:bCs/>
                <w:i/>
                <w:iCs/>
                <w:color w:val="FFFFFF"/>
                <w:sz w:val="18"/>
                <w:szCs w:val="18"/>
              </w:rPr>
              <w:t>Criterios de calificación</w:t>
            </w:r>
          </w:p>
        </w:tc>
        <w:tc>
          <w:tcPr>
            <w:tcW w:w="7915" w:type="dxa"/>
            <w:gridSpan w:val="4"/>
            <w:shd w:val="clear" w:color="auto" w:fill="D9E2F3"/>
            <w:vAlign w:val="center"/>
          </w:tcPr>
          <w:p w14:paraId="072246F9" w14:textId="77777777" w:rsidR="00990B14" w:rsidRDefault="00000000">
            <w:pPr>
              <w:numPr>
                <w:ilvl w:val="0"/>
                <w:numId w:val="140"/>
              </w:numPr>
              <w:spacing w:before="10" w:after="10"/>
              <w:jc w:val="both"/>
            </w:pPr>
            <w:r>
              <w:rPr>
                <w:sz w:val="18"/>
                <w:szCs w:val="18"/>
              </w:rPr>
              <w:t>Nota mínima de aprobación: 51/100.</w:t>
            </w:r>
          </w:p>
          <w:p w14:paraId="490962CC" w14:textId="77777777" w:rsidR="00990B14" w:rsidRDefault="00000000">
            <w:pPr>
              <w:numPr>
                <w:ilvl w:val="0"/>
                <w:numId w:val="140"/>
              </w:numPr>
              <w:spacing w:before="10" w:after="10"/>
              <w:jc w:val="both"/>
            </w:pPr>
            <w:r>
              <w:rPr>
                <w:sz w:val="18"/>
                <w:szCs w:val="18"/>
              </w:rPr>
              <w:t>Evaluación periódica al finalizar cada tema, basada en evidencias de conocimiento, desempeño y producto.</w:t>
            </w:r>
          </w:p>
          <w:p w14:paraId="082009A0" w14:textId="77777777" w:rsidR="00990B14" w:rsidRDefault="00000000">
            <w:pPr>
              <w:numPr>
                <w:ilvl w:val="0"/>
                <w:numId w:val="140"/>
              </w:numPr>
              <w:spacing w:before="10" w:after="10"/>
              <w:jc w:val="both"/>
            </w:pPr>
            <w:r>
              <w:rPr>
                <w:sz w:val="18"/>
                <w:szCs w:val="18"/>
              </w:rPr>
              <w:t>Cada evidencia de producto se evalúa con su propia rúbrica de tres niveles: Insuficiente, Suficiente y Destacado.</w:t>
            </w:r>
          </w:p>
          <w:p w14:paraId="501DE69D" w14:textId="77777777" w:rsidR="00990B14" w:rsidRDefault="00000000">
            <w:pPr>
              <w:numPr>
                <w:ilvl w:val="0"/>
                <w:numId w:val="140"/>
              </w:numPr>
              <w:spacing w:before="10" w:after="10"/>
              <w:jc w:val="both"/>
            </w:pPr>
            <w:r>
              <w:rPr>
                <w:sz w:val="18"/>
                <w:szCs w:val="18"/>
              </w:rPr>
              <w:t>La calificación de cada elemento de competencia suma las calificaciones de sus evidencias de producto.</w:t>
            </w:r>
          </w:p>
          <w:p w14:paraId="2624E450" w14:textId="77777777" w:rsidR="00990B14" w:rsidRDefault="00000000">
            <w:pPr>
              <w:numPr>
                <w:ilvl w:val="0"/>
                <w:numId w:val="140"/>
              </w:numPr>
              <w:spacing w:before="10" w:after="10"/>
              <w:jc w:val="both"/>
            </w:pPr>
            <w:r>
              <w:rPr>
                <w:b/>
                <w:bCs/>
                <w:sz w:val="18"/>
                <w:szCs w:val="18"/>
              </w:rPr>
              <w:t>Regla de cálculo:</w:t>
            </w:r>
            <w:r>
              <w:rPr>
                <w:sz w:val="18"/>
                <w:szCs w:val="18"/>
              </w:rPr>
              <w:t xml:space="preserve"> para cada producto, se asigna una nota de 1 a 100 conforme a sus tres criterios (con el mismo peso entre criterios, salvo instrucción de cátedra); aporte final = nota del producto × porcentaje asignado ÷ 100. La suma de los 12 aportes es la nota final sobre 100.</w:t>
            </w:r>
          </w:p>
        </w:tc>
      </w:tr>
      <w:tr w:rsidR="00990B14" w14:paraId="28E6C093" w14:textId="77777777">
        <w:trPr>
          <w:cantSplit/>
          <w:jc w:val="center"/>
        </w:trPr>
        <w:tc>
          <w:tcPr>
            <w:tcW w:w="1490" w:type="dxa"/>
            <w:vMerge w:val="restart"/>
            <w:shd w:val="clear" w:color="auto" w:fill="4472C4"/>
            <w:vAlign w:val="center"/>
          </w:tcPr>
          <w:p w14:paraId="6987282A" w14:textId="77777777" w:rsidR="00990B14" w:rsidRDefault="00000000">
            <w:pPr>
              <w:spacing w:before="20" w:after="20"/>
              <w:jc w:val="center"/>
            </w:pPr>
            <w:r>
              <w:rPr>
                <w:b/>
                <w:bCs/>
                <w:i/>
                <w:iCs/>
                <w:color w:val="FFFFFF"/>
                <w:sz w:val="18"/>
                <w:szCs w:val="18"/>
              </w:rPr>
              <w:t>Niveles de logro y distribución de la calificación</w:t>
            </w:r>
          </w:p>
        </w:tc>
        <w:tc>
          <w:tcPr>
            <w:tcW w:w="6038" w:type="dxa"/>
            <w:gridSpan w:val="3"/>
            <w:shd w:val="clear" w:color="auto" w:fill="D9E2F3"/>
            <w:vAlign w:val="center"/>
          </w:tcPr>
          <w:p w14:paraId="011CB964" w14:textId="77777777" w:rsidR="00990B14" w:rsidRDefault="00000000">
            <w:pPr>
              <w:keepNext/>
              <w:spacing w:before="20" w:after="20"/>
              <w:jc w:val="both"/>
            </w:pPr>
            <w:r>
              <w:rPr>
                <w:b/>
                <w:bCs/>
                <w:i/>
                <w:iCs/>
                <w:sz w:val="18"/>
                <w:szCs w:val="18"/>
              </w:rPr>
              <w:t xml:space="preserve">Producto 1: </w:t>
            </w:r>
            <w:r>
              <w:rPr>
                <w:sz w:val="18"/>
                <w:szCs w:val="18"/>
              </w:rPr>
              <w:t>Informe de Diagnóstico Sistémico</w:t>
            </w:r>
          </w:p>
        </w:tc>
        <w:tc>
          <w:tcPr>
            <w:tcW w:w="1877" w:type="dxa"/>
            <w:shd w:val="clear" w:color="auto" w:fill="D9E2F3"/>
            <w:vAlign w:val="center"/>
          </w:tcPr>
          <w:p w14:paraId="4600D48B" w14:textId="77777777" w:rsidR="00990B14" w:rsidRDefault="00000000">
            <w:pPr>
              <w:spacing w:before="20" w:after="20"/>
              <w:jc w:val="center"/>
            </w:pPr>
            <w:r>
              <w:rPr>
                <w:b/>
                <w:bCs/>
                <w:sz w:val="18"/>
                <w:szCs w:val="18"/>
              </w:rPr>
              <w:t>10%</w:t>
            </w:r>
          </w:p>
        </w:tc>
      </w:tr>
      <w:tr w:rsidR="00990B14" w14:paraId="6872ECAD" w14:textId="77777777">
        <w:trPr>
          <w:cantSplit/>
          <w:jc w:val="center"/>
        </w:trPr>
        <w:tc>
          <w:tcPr>
            <w:tcW w:w="1490" w:type="dxa"/>
            <w:vMerge/>
            <w:shd w:val="clear" w:color="auto" w:fill="4472C4"/>
            <w:vAlign w:val="center"/>
          </w:tcPr>
          <w:p w14:paraId="377691CF" w14:textId="77777777" w:rsidR="00990B14" w:rsidRDefault="00990B14">
            <w:pPr>
              <w:spacing w:before="20" w:after="20"/>
            </w:pPr>
          </w:p>
        </w:tc>
        <w:tc>
          <w:tcPr>
            <w:tcW w:w="2015" w:type="dxa"/>
            <w:shd w:val="clear" w:color="auto" w:fill="4472C4"/>
            <w:vAlign w:val="center"/>
          </w:tcPr>
          <w:p w14:paraId="5AC473D6" w14:textId="77777777" w:rsidR="00990B14" w:rsidRDefault="00000000">
            <w:pPr>
              <w:keepNext/>
              <w:spacing w:before="20" w:after="20"/>
              <w:jc w:val="center"/>
            </w:pPr>
            <w:r>
              <w:rPr>
                <w:b/>
                <w:bCs/>
                <w:i/>
                <w:iCs/>
                <w:color w:val="FFFFFF"/>
                <w:sz w:val="18"/>
                <w:szCs w:val="18"/>
              </w:rPr>
              <w:t>Criterio</w:t>
            </w:r>
          </w:p>
        </w:tc>
        <w:tc>
          <w:tcPr>
            <w:tcW w:w="2120" w:type="dxa"/>
            <w:shd w:val="clear" w:color="auto" w:fill="4472C4"/>
            <w:vAlign w:val="center"/>
          </w:tcPr>
          <w:p w14:paraId="3D9CB714" w14:textId="77777777" w:rsidR="00990B14" w:rsidRDefault="00000000">
            <w:pPr>
              <w:keepNext/>
              <w:spacing w:before="20" w:after="20"/>
              <w:jc w:val="center"/>
            </w:pPr>
            <w:r>
              <w:rPr>
                <w:b/>
                <w:bCs/>
                <w:i/>
                <w:iCs/>
                <w:color w:val="FFFFFF"/>
                <w:sz w:val="18"/>
                <w:szCs w:val="18"/>
              </w:rPr>
              <w:t>Insuficiente (1–50)</w:t>
            </w:r>
          </w:p>
        </w:tc>
        <w:tc>
          <w:tcPr>
            <w:tcW w:w="1903" w:type="dxa"/>
            <w:shd w:val="clear" w:color="auto" w:fill="4472C4"/>
            <w:vAlign w:val="center"/>
          </w:tcPr>
          <w:p w14:paraId="4028480B"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6460964D" w14:textId="77777777" w:rsidR="00990B14" w:rsidRDefault="00000000">
            <w:pPr>
              <w:keepNext/>
              <w:spacing w:before="20" w:after="20"/>
              <w:jc w:val="center"/>
            </w:pPr>
            <w:r>
              <w:rPr>
                <w:b/>
                <w:bCs/>
                <w:i/>
                <w:iCs/>
                <w:color w:val="FFFFFF"/>
                <w:sz w:val="18"/>
                <w:szCs w:val="18"/>
              </w:rPr>
              <w:t>Destacado (81–100)</w:t>
            </w:r>
          </w:p>
        </w:tc>
      </w:tr>
      <w:tr w:rsidR="00990B14" w14:paraId="7E54EBF4" w14:textId="77777777">
        <w:trPr>
          <w:cantSplit/>
          <w:jc w:val="center"/>
        </w:trPr>
        <w:tc>
          <w:tcPr>
            <w:tcW w:w="1490" w:type="dxa"/>
            <w:vMerge/>
            <w:shd w:val="clear" w:color="auto" w:fill="4472C4"/>
            <w:vAlign w:val="center"/>
          </w:tcPr>
          <w:p w14:paraId="1BEE877C" w14:textId="77777777" w:rsidR="00990B14" w:rsidRDefault="00990B14">
            <w:pPr>
              <w:spacing w:before="20" w:after="20"/>
            </w:pPr>
          </w:p>
        </w:tc>
        <w:tc>
          <w:tcPr>
            <w:tcW w:w="2015" w:type="dxa"/>
            <w:shd w:val="clear" w:color="auto" w:fill="D9E2F3"/>
            <w:vAlign w:val="center"/>
          </w:tcPr>
          <w:p w14:paraId="28D06356" w14:textId="77777777" w:rsidR="00990B14" w:rsidRDefault="00000000">
            <w:pPr>
              <w:spacing w:before="20" w:after="20"/>
              <w:jc w:val="both"/>
            </w:pPr>
            <w:r>
              <w:rPr>
                <w:sz w:val="18"/>
                <w:szCs w:val="18"/>
              </w:rPr>
              <w:t>Comprensión del sistema abierto</w:t>
            </w:r>
          </w:p>
        </w:tc>
        <w:tc>
          <w:tcPr>
            <w:tcW w:w="2120" w:type="dxa"/>
            <w:shd w:val="clear" w:color="auto" w:fill="D9E2F3"/>
            <w:vAlign w:val="center"/>
          </w:tcPr>
          <w:p w14:paraId="5D7F9210" w14:textId="77777777" w:rsidR="00990B14" w:rsidRDefault="00000000">
            <w:pPr>
              <w:spacing w:before="20" w:after="20"/>
              <w:jc w:val="both"/>
            </w:pPr>
            <w:r>
              <w:rPr>
                <w:sz w:val="18"/>
                <w:szCs w:val="18"/>
              </w:rPr>
              <w:t>Describe la organización de manera aislada y omite su misión, funciones o relación con el entorno.</w:t>
            </w:r>
          </w:p>
        </w:tc>
        <w:tc>
          <w:tcPr>
            <w:tcW w:w="1903" w:type="dxa"/>
            <w:shd w:val="clear" w:color="auto" w:fill="D9E2F3"/>
            <w:vAlign w:val="center"/>
          </w:tcPr>
          <w:p w14:paraId="02135605" w14:textId="77777777" w:rsidR="00990B14" w:rsidRDefault="00000000">
            <w:pPr>
              <w:spacing w:before="20" w:after="20"/>
              <w:jc w:val="both"/>
            </w:pPr>
            <w:r>
              <w:rPr>
                <w:sz w:val="18"/>
                <w:szCs w:val="18"/>
              </w:rPr>
              <w:t>Explica su misión, características, funciones esenciales y relación básica con el entorno.</w:t>
            </w:r>
          </w:p>
        </w:tc>
        <w:tc>
          <w:tcPr>
            <w:tcW w:w="1877" w:type="dxa"/>
            <w:shd w:val="clear" w:color="auto" w:fill="D9E2F3"/>
            <w:vAlign w:val="center"/>
          </w:tcPr>
          <w:p w14:paraId="3AD7A800" w14:textId="77777777" w:rsidR="00990B14" w:rsidRDefault="00000000">
            <w:pPr>
              <w:spacing w:before="20" w:after="20"/>
              <w:jc w:val="both"/>
            </w:pPr>
            <w:r>
              <w:rPr>
                <w:sz w:val="18"/>
                <w:szCs w:val="18"/>
              </w:rPr>
              <w:t>Analiza, con ejemplos del caso, la interacción con el entorno y la sinergia entre sus funciones.</w:t>
            </w:r>
          </w:p>
        </w:tc>
      </w:tr>
      <w:tr w:rsidR="00990B14" w14:paraId="5CE2575F" w14:textId="77777777">
        <w:trPr>
          <w:cantSplit/>
          <w:jc w:val="center"/>
        </w:trPr>
        <w:tc>
          <w:tcPr>
            <w:tcW w:w="1490" w:type="dxa"/>
            <w:vMerge/>
            <w:shd w:val="clear" w:color="auto" w:fill="4472C4"/>
            <w:vAlign w:val="center"/>
          </w:tcPr>
          <w:p w14:paraId="1AECEC53" w14:textId="77777777" w:rsidR="00990B14" w:rsidRDefault="00990B14">
            <w:pPr>
              <w:spacing w:before="20" w:after="20"/>
            </w:pPr>
          </w:p>
        </w:tc>
        <w:tc>
          <w:tcPr>
            <w:tcW w:w="2015" w:type="dxa"/>
            <w:shd w:val="clear" w:color="auto" w:fill="D9E2F3"/>
            <w:vAlign w:val="center"/>
          </w:tcPr>
          <w:p w14:paraId="0E32E939" w14:textId="77777777" w:rsidR="00990B14" w:rsidRDefault="00000000">
            <w:pPr>
              <w:spacing w:before="20" w:after="20"/>
              <w:jc w:val="both"/>
            </w:pPr>
            <w:r>
              <w:rPr>
                <w:sz w:val="18"/>
                <w:szCs w:val="18"/>
              </w:rPr>
              <w:t>Identificación de subsistemas</w:t>
            </w:r>
          </w:p>
        </w:tc>
        <w:tc>
          <w:tcPr>
            <w:tcW w:w="2120" w:type="dxa"/>
            <w:shd w:val="clear" w:color="auto" w:fill="D9E2F3"/>
            <w:vAlign w:val="center"/>
          </w:tcPr>
          <w:p w14:paraId="5229E49B" w14:textId="77777777" w:rsidR="00990B14" w:rsidRDefault="00000000">
            <w:pPr>
              <w:spacing w:before="20" w:after="20"/>
              <w:jc w:val="both"/>
            </w:pPr>
            <w:r>
              <w:rPr>
                <w:sz w:val="18"/>
                <w:szCs w:val="18"/>
              </w:rPr>
              <w:t>No distingue las áreas y subsistemas, o los confunde.</w:t>
            </w:r>
          </w:p>
        </w:tc>
        <w:tc>
          <w:tcPr>
            <w:tcW w:w="1903" w:type="dxa"/>
            <w:shd w:val="clear" w:color="auto" w:fill="D9E2F3"/>
            <w:vAlign w:val="center"/>
          </w:tcPr>
          <w:p w14:paraId="2C33F14A" w14:textId="77777777" w:rsidR="00990B14" w:rsidRDefault="00000000">
            <w:pPr>
              <w:spacing w:before="20" w:after="20"/>
              <w:jc w:val="both"/>
            </w:pPr>
            <w:r>
              <w:rPr>
                <w:sz w:val="18"/>
                <w:szCs w:val="18"/>
              </w:rPr>
              <w:t>Identifica y delimita los principales subsistemas internos y sus funciones.</w:t>
            </w:r>
          </w:p>
        </w:tc>
        <w:tc>
          <w:tcPr>
            <w:tcW w:w="1877" w:type="dxa"/>
            <w:shd w:val="clear" w:color="auto" w:fill="D9E2F3"/>
            <w:vAlign w:val="center"/>
          </w:tcPr>
          <w:p w14:paraId="5FBC7BB2" w14:textId="77777777" w:rsidR="00990B14" w:rsidRDefault="00000000">
            <w:pPr>
              <w:spacing w:before="20" w:after="20"/>
              <w:jc w:val="both"/>
            </w:pPr>
            <w:r>
              <w:rPr>
                <w:sz w:val="18"/>
                <w:szCs w:val="18"/>
              </w:rPr>
              <w:t>Demuestra cómo se relacionan e influyen entre sí los subsistemas y sus flujos de trabajo.</w:t>
            </w:r>
          </w:p>
        </w:tc>
      </w:tr>
      <w:tr w:rsidR="00990B14" w14:paraId="7557A7DC" w14:textId="77777777">
        <w:trPr>
          <w:cantSplit/>
          <w:jc w:val="center"/>
        </w:trPr>
        <w:tc>
          <w:tcPr>
            <w:tcW w:w="1490" w:type="dxa"/>
            <w:vMerge/>
            <w:shd w:val="clear" w:color="auto" w:fill="4472C4"/>
            <w:vAlign w:val="center"/>
          </w:tcPr>
          <w:p w14:paraId="723EAD14" w14:textId="77777777" w:rsidR="00990B14" w:rsidRDefault="00990B14">
            <w:pPr>
              <w:spacing w:before="20" w:after="20"/>
            </w:pPr>
          </w:p>
        </w:tc>
        <w:tc>
          <w:tcPr>
            <w:tcW w:w="2015" w:type="dxa"/>
            <w:shd w:val="clear" w:color="auto" w:fill="D9E2F3"/>
            <w:vAlign w:val="center"/>
          </w:tcPr>
          <w:p w14:paraId="6982C2BD" w14:textId="77777777" w:rsidR="00990B14" w:rsidRDefault="00000000">
            <w:pPr>
              <w:spacing w:before="20" w:after="20"/>
              <w:jc w:val="both"/>
            </w:pPr>
            <w:r>
              <w:rPr>
                <w:sz w:val="18"/>
                <w:szCs w:val="18"/>
              </w:rPr>
              <w:t>Diagnóstico y sustento</w:t>
            </w:r>
          </w:p>
        </w:tc>
        <w:tc>
          <w:tcPr>
            <w:tcW w:w="2120" w:type="dxa"/>
            <w:shd w:val="clear" w:color="auto" w:fill="D9E2F3"/>
            <w:vAlign w:val="center"/>
          </w:tcPr>
          <w:p w14:paraId="5875AAD8" w14:textId="77777777" w:rsidR="00990B14" w:rsidRDefault="00000000">
            <w:pPr>
              <w:spacing w:before="20" w:after="20"/>
              <w:jc w:val="both"/>
            </w:pPr>
            <w:r>
              <w:rPr>
                <w:sz w:val="18"/>
                <w:szCs w:val="18"/>
              </w:rPr>
              <w:t>Presenta información fragmentada, sin vincularla con la organización seleccionada.</w:t>
            </w:r>
          </w:p>
        </w:tc>
        <w:tc>
          <w:tcPr>
            <w:tcW w:w="1903" w:type="dxa"/>
            <w:shd w:val="clear" w:color="auto" w:fill="D9E2F3"/>
            <w:vAlign w:val="center"/>
          </w:tcPr>
          <w:p w14:paraId="352806AC" w14:textId="77777777" w:rsidR="00990B14" w:rsidRDefault="00000000">
            <w:pPr>
              <w:spacing w:before="20" w:after="20"/>
              <w:jc w:val="both"/>
            </w:pPr>
            <w:r>
              <w:rPr>
                <w:sz w:val="18"/>
                <w:szCs w:val="18"/>
              </w:rPr>
              <w:t>Organiza el informe con información pertinente y conclusiones consistentes con el caso.</w:t>
            </w:r>
          </w:p>
        </w:tc>
        <w:tc>
          <w:tcPr>
            <w:tcW w:w="1877" w:type="dxa"/>
            <w:shd w:val="clear" w:color="auto" w:fill="D9E2F3"/>
            <w:vAlign w:val="center"/>
          </w:tcPr>
          <w:p w14:paraId="5B94C508" w14:textId="77777777" w:rsidR="00990B14" w:rsidRDefault="00000000">
            <w:pPr>
              <w:spacing w:before="20" w:after="20"/>
              <w:jc w:val="both"/>
            </w:pPr>
            <w:r>
              <w:rPr>
                <w:sz w:val="18"/>
                <w:szCs w:val="18"/>
              </w:rPr>
              <w:t>Sustenta el diagnóstico en datos o ejemplos verificables e identifica oportunidades de mejora sistémica.</w:t>
            </w:r>
          </w:p>
        </w:tc>
      </w:tr>
      <w:tr w:rsidR="00990B14" w14:paraId="19CBED57" w14:textId="77777777">
        <w:trPr>
          <w:cantSplit/>
          <w:jc w:val="center"/>
        </w:trPr>
        <w:tc>
          <w:tcPr>
            <w:tcW w:w="1490" w:type="dxa"/>
            <w:vMerge/>
            <w:shd w:val="clear" w:color="auto" w:fill="4472C4"/>
            <w:vAlign w:val="center"/>
          </w:tcPr>
          <w:p w14:paraId="3ECF889A" w14:textId="77777777" w:rsidR="00990B14" w:rsidRDefault="00990B14">
            <w:pPr>
              <w:spacing w:before="20" w:after="20"/>
            </w:pPr>
          </w:p>
        </w:tc>
        <w:tc>
          <w:tcPr>
            <w:tcW w:w="6038" w:type="dxa"/>
            <w:gridSpan w:val="3"/>
            <w:shd w:val="clear" w:color="auto" w:fill="D9E2F3"/>
            <w:vAlign w:val="center"/>
          </w:tcPr>
          <w:p w14:paraId="3AB84227" w14:textId="77777777" w:rsidR="00990B14" w:rsidRDefault="00000000">
            <w:pPr>
              <w:keepNext/>
              <w:spacing w:before="20" w:after="20"/>
              <w:jc w:val="both"/>
            </w:pPr>
            <w:r>
              <w:rPr>
                <w:b/>
                <w:bCs/>
                <w:i/>
                <w:iCs/>
                <w:sz w:val="18"/>
                <w:szCs w:val="18"/>
              </w:rPr>
              <w:t xml:space="preserve">Producto 2: </w:t>
            </w:r>
            <w:r>
              <w:rPr>
                <w:sz w:val="18"/>
                <w:szCs w:val="18"/>
              </w:rPr>
              <w:t>Diagrama de Flujo del Sistema de Gestión (Entrada–Proceso–Salida–Retroalimentación)</w:t>
            </w:r>
          </w:p>
        </w:tc>
        <w:tc>
          <w:tcPr>
            <w:tcW w:w="1877" w:type="dxa"/>
            <w:shd w:val="clear" w:color="auto" w:fill="D9E2F3"/>
            <w:vAlign w:val="center"/>
          </w:tcPr>
          <w:p w14:paraId="49CEB393" w14:textId="77777777" w:rsidR="00990B14" w:rsidRDefault="00000000">
            <w:pPr>
              <w:spacing w:before="20" w:after="20"/>
              <w:jc w:val="center"/>
            </w:pPr>
            <w:r>
              <w:rPr>
                <w:b/>
                <w:bCs/>
                <w:sz w:val="18"/>
                <w:szCs w:val="18"/>
              </w:rPr>
              <w:t>10%</w:t>
            </w:r>
          </w:p>
        </w:tc>
      </w:tr>
      <w:tr w:rsidR="00990B14" w14:paraId="1F2820F5" w14:textId="77777777">
        <w:trPr>
          <w:cantSplit/>
          <w:jc w:val="center"/>
        </w:trPr>
        <w:tc>
          <w:tcPr>
            <w:tcW w:w="1490" w:type="dxa"/>
            <w:vMerge/>
            <w:shd w:val="clear" w:color="auto" w:fill="4472C4"/>
            <w:vAlign w:val="center"/>
          </w:tcPr>
          <w:p w14:paraId="3F5CDB67" w14:textId="77777777" w:rsidR="00990B14" w:rsidRDefault="00990B14">
            <w:pPr>
              <w:spacing w:before="20" w:after="20"/>
            </w:pPr>
          </w:p>
        </w:tc>
        <w:tc>
          <w:tcPr>
            <w:tcW w:w="2015" w:type="dxa"/>
            <w:shd w:val="clear" w:color="auto" w:fill="4472C4"/>
            <w:vAlign w:val="center"/>
          </w:tcPr>
          <w:p w14:paraId="6859CC1E" w14:textId="77777777" w:rsidR="00990B14" w:rsidRDefault="00000000">
            <w:pPr>
              <w:keepNext/>
              <w:spacing w:before="20" w:after="20"/>
              <w:jc w:val="center"/>
            </w:pPr>
            <w:r>
              <w:rPr>
                <w:b/>
                <w:bCs/>
                <w:i/>
                <w:iCs/>
                <w:color w:val="FFFFFF"/>
                <w:sz w:val="18"/>
                <w:szCs w:val="18"/>
              </w:rPr>
              <w:t>Criterio</w:t>
            </w:r>
          </w:p>
        </w:tc>
        <w:tc>
          <w:tcPr>
            <w:tcW w:w="2120" w:type="dxa"/>
            <w:shd w:val="clear" w:color="auto" w:fill="4472C4"/>
            <w:vAlign w:val="center"/>
          </w:tcPr>
          <w:p w14:paraId="57F88299" w14:textId="77777777" w:rsidR="00990B14" w:rsidRDefault="00000000">
            <w:pPr>
              <w:keepNext/>
              <w:spacing w:before="20" w:after="20"/>
              <w:jc w:val="center"/>
            </w:pPr>
            <w:r>
              <w:rPr>
                <w:b/>
                <w:bCs/>
                <w:i/>
                <w:iCs/>
                <w:color w:val="FFFFFF"/>
                <w:sz w:val="18"/>
                <w:szCs w:val="18"/>
              </w:rPr>
              <w:t>Insuficiente (1–50)</w:t>
            </w:r>
          </w:p>
        </w:tc>
        <w:tc>
          <w:tcPr>
            <w:tcW w:w="1903" w:type="dxa"/>
            <w:shd w:val="clear" w:color="auto" w:fill="4472C4"/>
            <w:vAlign w:val="center"/>
          </w:tcPr>
          <w:p w14:paraId="73B71067"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50FD440A" w14:textId="77777777" w:rsidR="00990B14" w:rsidRDefault="00000000">
            <w:pPr>
              <w:keepNext/>
              <w:spacing w:before="20" w:after="20"/>
              <w:jc w:val="center"/>
            </w:pPr>
            <w:r>
              <w:rPr>
                <w:b/>
                <w:bCs/>
                <w:i/>
                <w:iCs/>
                <w:color w:val="FFFFFF"/>
                <w:sz w:val="18"/>
                <w:szCs w:val="18"/>
              </w:rPr>
              <w:t>Destacado (81–100)</w:t>
            </w:r>
          </w:p>
        </w:tc>
      </w:tr>
      <w:tr w:rsidR="00990B14" w14:paraId="2E9ED139" w14:textId="77777777">
        <w:trPr>
          <w:cantSplit/>
          <w:jc w:val="center"/>
        </w:trPr>
        <w:tc>
          <w:tcPr>
            <w:tcW w:w="1490" w:type="dxa"/>
            <w:vMerge/>
            <w:shd w:val="clear" w:color="auto" w:fill="4472C4"/>
            <w:vAlign w:val="center"/>
          </w:tcPr>
          <w:p w14:paraId="61850B01" w14:textId="77777777" w:rsidR="00990B14" w:rsidRDefault="00990B14">
            <w:pPr>
              <w:spacing w:before="20" w:after="20"/>
            </w:pPr>
          </w:p>
        </w:tc>
        <w:tc>
          <w:tcPr>
            <w:tcW w:w="2015" w:type="dxa"/>
            <w:shd w:val="clear" w:color="auto" w:fill="D9E2F3"/>
            <w:vAlign w:val="center"/>
          </w:tcPr>
          <w:p w14:paraId="48040173" w14:textId="77777777" w:rsidR="00990B14" w:rsidRDefault="00000000">
            <w:pPr>
              <w:spacing w:before="20" w:after="20"/>
              <w:jc w:val="both"/>
            </w:pPr>
            <w:r>
              <w:rPr>
                <w:sz w:val="18"/>
                <w:szCs w:val="18"/>
              </w:rPr>
              <w:t>Componentes del sistema</w:t>
            </w:r>
          </w:p>
        </w:tc>
        <w:tc>
          <w:tcPr>
            <w:tcW w:w="2120" w:type="dxa"/>
            <w:shd w:val="clear" w:color="auto" w:fill="D9E2F3"/>
            <w:vAlign w:val="center"/>
          </w:tcPr>
          <w:p w14:paraId="5CB87BAE" w14:textId="77777777" w:rsidR="00990B14" w:rsidRDefault="00000000">
            <w:pPr>
              <w:spacing w:before="20" w:after="20"/>
              <w:jc w:val="both"/>
            </w:pPr>
            <w:r>
              <w:rPr>
                <w:sz w:val="18"/>
                <w:szCs w:val="18"/>
              </w:rPr>
              <w:t>Omite entradas, procesos, salidas o retroalimentación, o los representa incorrectamente.</w:t>
            </w:r>
          </w:p>
        </w:tc>
        <w:tc>
          <w:tcPr>
            <w:tcW w:w="1903" w:type="dxa"/>
            <w:shd w:val="clear" w:color="auto" w:fill="D9E2F3"/>
            <w:vAlign w:val="center"/>
          </w:tcPr>
          <w:p w14:paraId="2C6DB96C" w14:textId="77777777" w:rsidR="00990B14" w:rsidRDefault="00000000">
            <w:pPr>
              <w:spacing w:before="20" w:after="20"/>
              <w:jc w:val="both"/>
            </w:pPr>
            <w:r>
              <w:rPr>
                <w:sz w:val="18"/>
                <w:szCs w:val="18"/>
              </w:rPr>
              <w:t>Representa las entradas, la transformación, los productos o servicios y la retroalimentación.</w:t>
            </w:r>
          </w:p>
        </w:tc>
        <w:tc>
          <w:tcPr>
            <w:tcW w:w="1877" w:type="dxa"/>
            <w:shd w:val="clear" w:color="auto" w:fill="D9E2F3"/>
            <w:vAlign w:val="center"/>
          </w:tcPr>
          <w:p w14:paraId="086F3DB4" w14:textId="77777777" w:rsidR="00990B14" w:rsidRDefault="00000000">
            <w:pPr>
              <w:spacing w:before="20" w:after="20"/>
              <w:jc w:val="both"/>
            </w:pPr>
            <w:r>
              <w:rPr>
                <w:sz w:val="18"/>
                <w:szCs w:val="18"/>
              </w:rPr>
              <w:t>Detalla las conexiones entre etapas y refleja cómo se transforma cada insumo en resultados concretos.</w:t>
            </w:r>
          </w:p>
        </w:tc>
      </w:tr>
      <w:tr w:rsidR="00990B14" w14:paraId="7C69C158" w14:textId="77777777">
        <w:trPr>
          <w:cantSplit/>
          <w:jc w:val="center"/>
        </w:trPr>
        <w:tc>
          <w:tcPr>
            <w:tcW w:w="1490" w:type="dxa"/>
            <w:vMerge/>
            <w:shd w:val="clear" w:color="auto" w:fill="4472C4"/>
            <w:vAlign w:val="center"/>
          </w:tcPr>
          <w:p w14:paraId="1DCD3F57" w14:textId="77777777" w:rsidR="00990B14" w:rsidRDefault="00990B14">
            <w:pPr>
              <w:spacing w:before="20" w:after="20"/>
            </w:pPr>
          </w:p>
        </w:tc>
        <w:tc>
          <w:tcPr>
            <w:tcW w:w="2015" w:type="dxa"/>
            <w:shd w:val="clear" w:color="auto" w:fill="D9E2F3"/>
            <w:vAlign w:val="center"/>
          </w:tcPr>
          <w:p w14:paraId="6603B8F5" w14:textId="77777777" w:rsidR="00990B14" w:rsidRDefault="00000000">
            <w:pPr>
              <w:spacing w:before="20" w:after="20"/>
              <w:jc w:val="both"/>
            </w:pPr>
            <w:r>
              <w:rPr>
                <w:sz w:val="18"/>
                <w:szCs w:val="18"/>
              </w:rPr>
              <w:t>Secuencia y relaciones</w:t>
            </w:r>
          </w:p>
        </w:tc>
        <w:tc>
          <w:tcPr>
            <w:tcW w:w="2120" w:type="dxa"/>
            <w:shd w:val="clear" w:color="auto" w:fill="D9E2F3"/>
            <w:vAlign w:val="center"/>
          </w:tcPr>
          <w:p w14:paraId="37DB6C5E" w14:textId="77777777" w:rsidR="00990B14" w:rsidRDefault="00000000">
            <w:pPr>
              <w:spacing w:before="20" w:after="20"/>
              <w:jc w:val="both"/>
            </w:pPr>
            <w:r>
              <w:rPr>
                <w:sz w:val="18"/>
                <w:szCs w:val="18"/>
              </w:rPr>
              <w:t>El flujo es desordenado, presenta saltos lógicos o carece de conexiones.</w:t>
            </w:r>
          </w:p>
        </w:tc>
        <w:tc>
          <w:tcPr>
            <w:tcW w:w="1903" w:type="dxa"/>
            <w:shd w:val="clear" w:color="auto" w:fill="D9E2F3"/>
            <w:vAlign w:val="center"/>
          </w:tcPr>
          <w:p w14:paraId="77D9120F" w14:textId="77777777" w:rsidR="00990B14" w:rsidRDefault="00000000">
            <w:pPr>
              <w:spacing w:before="20" w:after="20"/>
              <w:jc w:val="both"/>
            </w:pPr>
            <w:r>
              <w:rPr>
                <w:sz w:val="18"/>
                <w:szCs w:val="18"/>
              </w:rPr>
              <w:t>Muestra una secuencia lógica de actividades y flujos de recursos e información.</w:t>
            </w:r>
          </w:p>
        </w:tc>
        <w:tc>
          <w:tcPr>
            <w:tcW w:w="1877" w:type="dxa"/>
            <w:shd w:val="clear" w:color="auto" w:fill="D9E2F3"/>
            <w:vAlign w:val="center"/>
          </w:tcPr>
          <w:p w14:paraId="5D96C754" w14:textId="77777777" w:rsidR="00990B14" w:rsidRDefault="00000000">
            <w:pPr>
              <w:spacing w:before="20" w:after="20"/>
              <w:jc w:val="both"/>
            </w:pPr>
            <w:r>
              <w:rPr>
                <w:sz w:val="18"/>
                <w:szCs w:val="18"/>
              </w:rPr>
              <w:t>Identifica responsables, decisiones e interacciones relevantes entre áreas, sin perder claridad.</w:t>
            </w:r>
          </w:p>
        </w:tc>
      </w:tr>
      <w:tr w:rsidR="00990B14" w14:paraId="31A2CFC8" w14:textId="77777777">
        <w:trPr>
          <w:cantSplit/>
          <w:jc w:val="center"/>
        </w:trPr>
        <w:tc>
          <w:tcPr>
            <w:tcW w:w="1490" w:type="dxa"/>
            <w:vMerge/>
            <w:shd w:val="clear" w:color="auto" w:fill="4472C4"/>
            <w:vAlign w:val="center"/>
          </w:tcPr>
          <w:p w14:paraId="002B5963" w14:textId="77777777" w:rsidR="00990B14" w:rsidRDefault="00990B14">
            <w:pPr>
              <w:spacing w:before="20" w:after="20"/>
            </w:pPr>
          </w:p>
        </w:tc>
        <w:tc>
          <w:tcPr>
            <w:tcW w:w="2015" w:type="dxa"/>
            <w:shd w:val="clear" w:color="auto" w:fill="D9E2F3"/>
            <w:vAlign w:val="center"/>
          </w:tcPr>
          <w:p w14:paraId="1A10EDBB" w14:textId="77777777" w:rsidR="00990B14" w:rsidRDefault="00000000">
            <w:pPr>
              <w:spacing w:before="20" w:after="20"/>
              <w:jc w:val="both"/>
            </w:pPr>
            <w:r>
              <w:rPr>
                <w:sz w:val="18"/>
                <w:szCs w:val="18"/>
              </w:rPr>
              <w:t>Retroalimentación y calidad visual</w:t>
            </w:r>
          </w:p>
        </w:tc>
        <w:tc>
          <w:tcPr>
            <w:tcW w:w="2120" w:type="dxa"/>
            <w:shd w:val="clear" w:color="auto" w:fill="D9E2F3"/>
            <w:vAlign w:val="center"/>
          </w:tcPr>
          <w:p w14:paraId="167CCC58" w14:textId="77777777" w:rsidR="00990B14" w:rsidRDefault="00000000">
            <w:pPr>
              <w:spacing w:before="20" w:after="20"/>
              <w:jc w:val="both"/>
            </w:pPr>
            <w:r>
              <w:rPr>
                <w:sz w:val="18"/>
                <w:szCs w:val="18"/>
              </w:rPr>
              <w:t>No representa mecanismos de retroalimentación o el diagrama es difícil de leer.</w:t>
            </w:r>
          </w:p>
        </w:tc>
        <w:tc>
          <w:tcPr>
            <w:tcW w:w="1903" w:type="dxa"/>
            <w:shd w:val="clear" w:color="auto" w:fill="D9E2F3"/>
            <w:vAlign w:val="center"/>
          </w:tcPr>
          <w:p w14:paraId="4CB810A9" w14:textId="77777777" w:rsidR="00990B14" w:rsidRDefault="00000000">
            <w:pPr>
              <w:spacing w:before="20" w:after="20"/>
              <w:jc w:val="both"/>
            </w:pPr>
            <w:r>
              <w:rPr>
                <w:sz w:val="18"/>
                <w:szCs w:val="18"/>
              </w:rPr>
              <w:t>Identifica el retorno de información al sistema y utiliza símbolos comprensibles.</w:t>
            </w:r>
          </w:p>
        </w:tc>
        <w:tc>
          <w:tcPr>
            <w:tcW w:w="1877" w:type="dxa"/>
            <w:shd w:val="clear" w:color="auto" w:fill="D9E2F3"/>
            <w:vAlign w:val="center"/>
          </w:tcPr>
          <w:p w14:paraId="4C63F45F" w14:textId="77777777" w:rsidR="00990B14" w:rsidRDefault="00000000">
            <w:pPr>
              <w:spacing w:before="20" w:after="20"/>
              <w:jc w:val="both"/>
            </w:pPr>
            <w:r>
              <w:rPr>
                <w:sz w:val="18"/>
                <w:szCs w:val="18"/>
              </w:rPr>
              <w:t>Explica cómo la retroalimentación permite corregir desviaciones e incorpora controles del caso.</w:t>
            </w:r>
          </w:p>
        </w:tc>
      </w:tr>
      <w:tr w:rsidR="00990B14" w14:paraId="6F1943DB" w14:textId="77777777">
        <w:trPr>
          <w:cantSplit/>
          <w:jc w:val="center"/>
        </w:trPr>
        <w:tc>
          <w:tcPr>
            <w:tcW w:w="1490" w:type="dxa"/>
            <w:vMerge/>
            <w:shd w:val="clear" w:color="auto" w:fill="4472C4"/>
            <w:vAlign w:val="center"/>
          </w:tcPr>
          <w:p w14:paraId="4E09FB61" w14:textId="77777777" w:rsidR="00990B14" w:rsidRDefault="00990B14">
            <w:pPr>
              <w:spacing w:before="20" w:after="20"/>
            </w:pPr>
          </w:p>
        </w:tc>
        <w:tc>
          <w:tcPr>
            <w:tcW w:w="6038" w:type="dxa"/>
            <w:gridSpan w:val="3"/>
            <w:shd w:val="clear" w:color="auto" w:fill="D9E2F3"/>
            <w:vAlign w:val="center"/>
          </w:tcPr>
          <w:p w14:paraId="6FFD9C44" w14:textId="77777777" w:rsidR="00990B14" w:rsidRDefault="00000000">
            <w:pPr>
              <w:keepNext/>
              <w:spacing w:before="20" w:after="20"/>
              <w:jc w:val="both"/>
            </w:pPr>
            <w:r>
              <w:rPr>
                <w:b/>
                <w:bCs/>
                <w:i/>
                <w:iCs/>
                <w:sz w:val="18"/>
                <w:szCs w:val="18"/>
              </w:rPr>
              <w:t xml:space="preserve">Producto 3: </w:t>
            </w:r>
            <w:r>
              <w:rPr>
                <w:sz w:val="18"/>
                <w:szCs w:val="18"/>
              </w:rPr>
              <w:t>Informe de Verificación del Cumplimiento Gerencial</w:t>
            </w:r>
          </w:p>
        </w:tc>
        <w:tc>
          <w:tcPr>
            <w:tcW w:w="1877" w:type="dxa"/>
            <w:shd w:val="clear" w:color="auto" w:fill="D9E2F3"/>
            <w:vAlign w:val="center"/>
          </w:tcPr>
          <w:p w14:paraId="6F60C959" w14:textId="77777777" w:rsidR="00990B14" w:rsidRDefault="00000000">
            <w:pPr>
              <w:spacing w:before="20" w:after="20"/>
              <w:jc w:val="center"/>
            </w:pPr>
            <w:r>
              <w:rPr>
                <w:b/>
                <w:bCs/>
                <w:sz w:val="18"/>
                <w:szCs w:val="18"/>
              </w:rPr>
              <w:t>10%</w:t>
            </w:r>
          </w:p>
        </w:tc>
      </w:tr>
      <w:tr w:rsidR="00990B14" w14:paraId="3B433218" w14:textId="77777777">
        <w:trPr>
          <w:cantSplit/>
          <w:jc w:val="center"/>
        </w:trPr>
        <w:tc>
          <w:tcPr>
            <w:tcW w:w="1490" w:type="dxa"/>
            <w:vMerge/>
            <w:shd w:val="clear" w:color="auto" w:fill="4472C4"/>
            <w:vAlign w:val="center"/>
          </w:tcPr>
          <w:p w14:paraId="374D1162" w14:textId="77777777" w:rsidR="00990B14" w:rsidRDefault="00990B14">
            <w:pPr>
              <w:spacing w:before="20" w:after="20"/>
            </w:pPr>
          </w:p>
        </w:tc>
        <w:tc>
          <w:tcPr>
            <w:tcW w:w="2015" w:type="dxa"/>
            <w:shd w:val="clear" w:color="auto" w:fill="4472C4"/>
            <w:vAlign w:val="center"/>
          </w:tcPr>
          <w:p w14:paraId="22A0BAF0" w14:textId="77777777" w:rsidR="00990B14" w:rsidRDefault="00000000">
            <w:pPr>
              <w:keepNext/>
              <w:spacing w:before="20" w:after="20"/>
              <w:jc w:val="center"/>
            </w:pPr>
            <w:r>
              <w:rPr>
                <w:b/>
                <w:bCs/>
                <w:i/>
                <w:iCs/>
                <w:color w:val="FFFFFF"/>
                <w:sz w:val="18"/>
                <w:szCs w:val="18"/>
              </w:rPr>
              <w:t>Criterio</w:t>
            </w:r>
          </w:p>
        </w:tc>
        <w:tc>
          <w:tcPr>
            <w:tcW w:w="2120" w:type="dxa"/>
            <w:shd w:val="clear" w:color="auto" w:fill="4472C4"/>
            <w:vAlign w:val="center"/>
          </w:tcPr>
          <w:p w14:paraId="0B3056F7" w14:textId="77777777" w:rsidR="00990B14" w:rsidRDefault="00000000">
            <w:pPr>
              <w:keepNext/>
              <w:spacing w:before="20" w:after="20"/>
              <w:jc w:val="center"/>
            </w:pPr>
            <w:r>
              <w:rPr>
                <w:b/>
                <w:bCs/>
                <w:i/>
                <w:iCs/>
                <w:color w:val="FFFFFF"/>
                <w:sz w:val="18"/>
                <w:szCs w:val="18"/>
              </w:rPr>
              <w:t>Insuficiente (1–50)</w:t>
            </w:r>
          </w:p>
        </w:tc>
        <w:tc>
          <w:tcPr>
            <w:tcW w:w="1903" w:type="dxa"/>
            <w:shd w:val="clear" w:color="auto" w:fill="4472C4"/>
            <w:vAlign w:val="center"/>
          </w:tcPr>
          <w:p w14:paraId="58850A09"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02DEDFFA" w14:textId="77777777" w:rsidR="00990B14" w:rsidRDefault="00000000">
            <w:pPr>
              <w:keepNext/>
              <w:spacing w:before="20" w:after="20"/>
              <w:jc w:val="center"/>
            </w:pPr>
            <w:r>
              <w:rPr>
                <w:b/>
                <w:bCs/>
                <w:i/>
                <w:iCs/>
                <w:color w:val="FFFFFF"/>
                <w:sz w:val="18"/>
                <w:szCs w:val="18"/>
              </w:rPr>
              <w:t>Destacado (81–100)</w:t>
            </w:r>
          </w:p>
        </w:tc>
      </w:tr>
      <w:tr w:rsidR="00990B14" w14:paraId="5ABE84D5" w14:textId="77777777">
        <w:trPr>
          <w:cantSplit/>
          <w:jc w:val="center"/>
        </w:trPr>
        <w:tc>
          <w:tcPr>
            <w:tcW w:w="1490" w:type="dxa"/>
            <w:vMerge/>
            <w:shd w:val="clear" w:color="auto" w:fill="4472C4"/>
            <w:vAlign w:val="center"/>
          </w:tcPr>
          <w:p w14:paraId="1BE58602" w14:textId="77777777" w:rsidR="00990B14" w:rsidRDefault="00990B14">
            <w:pPr>
              <w:spacing w:before="20" w:after="20"/>
            </w:pPr>
          </w:p>
        </w:tc>
        <w:tc>
          <w:tcPr>
            <w:tcW w:w="2015" w:type="dxa"/>
            <w:shd w:val="clear" w:color="auto" w:fill="D9E2F3"/>
            <w:vAlign w:val="center"/>
          </w:tcPr>
          <w:p w14:paraId="4F52C98D" w14:textId="77777777" w:rsidR="00990B14" w:rsidRDefault="00000000">
            <w:pPr>
              <w:spacing w:before="20" w:after="20"/>
              <w:jc w:val="both"/>
            </w:pPr>
            <w:r>
              <w:rPr>
                <w:sz w:val="18"/>
                <w:szCs w:val="18"/>
              </w:rPr>
              <w:t>Marco normativo y políticas</w:t>
            </w:r>
          </w:p>
        </w:tc>
        <w:tc>
          <w:tcPr>
            <w:tcW w:w="2120" w:type="dxa"/>
            <w:shd w:val="clear" w:color="auto" w:fill="D9E2F3"/>
            <w:vAlign w:val="center"/>
          </w:tcPr>
          <w:p w14:paraId="360B035C" w14:textId="77777777" w:rsidR="00990B14" w:rsidRDefault="00000000">
            <w:pPr>
              <w:spacing w:before="20" w:after="20"/>
              <w:jc w:val="both"/>
            </w:pPr>
            <w:r>
              <w:rPr>
                <w:sz w:val="18"/>
                <w:szCs w:val="18"/>
              </w:rPr>
              <w:t>No identifica las normas o políticas aplicables a la función gerencial.</w:t>
            </w:r>
          </w:p>
        </w:tc>
        <w:tc>
          <w:tcPr>
            <w:tcW w:w="1903" w:type="dxa"/>
            <w:shd w:val="clear" w:color="auto" w:fill="D9E2F3"/>
            <w:vAlign w:val="center"/>
          </w:tcPr>
          <w:p w14:paraId="5F8CB1CB" w14:textId="77777777" w:rsidR="00990B14" w:rsidRDefault="00000000">
            <w:pPr>
              <w:spacing w:before="20" w:after="20"/>
              <w:jc w:val="both"/>
            </w:pPr>
            <w:r>
              <w:rPr>
                <w:sz w:val="18"/>
                <w:szCs w:val="18"/>
              </w:rPr>
              <w:t>Relaciona las disposiciones aplicables con las políticas y responsabilidades de la gerencia.</w:t>
            </w:r>
          </w:p>
        </w:tc>
        <w:tc>
          <w:tcPr>
            <w:tcW w:w="1877" w:type="dxa"/>
            <w:shd w:val="clear" w:color="auto" w:fill="D9E2F3"/>
            <w:vAlign w:val="center"/>
          </w:tcPr>
          <w:p w14:paraId="338D9CA0" w14:textId="77777777" w:rsidR="00990B14" w:rsidRDefault="00000000">
            <w:pPr>
              <w:spacing w:before="20" w:after="20"/>
              <w:jc w:val="both"/>
            </w:pPr>
            <w:r>
              <w:rPr>
                <w:sz w:val="18"/>
                <w:szCs w:val="18"/>
              </w:rPr>
              <w:t>Contrasta las exigencias identificadas y justifica su pertinencia para el caso analizado.</w:t>
            </w:r>
          </w:p>
        </w:tc>
      </w:tr>
      <w:tr w:rsidR="00990B14" w14:paraId="5FFE0168" w14:textId="77777777">
        <w:trPr>
          <w:cantSplit/>
          <w:jc w:val="center"/>
        </w:trPr>
        <w:tc>
          <w:tcPr>
            <w:tcW w:w="1490" w:type="dxa"/>
            <w:vMerge/>
            <w:shd w:val="clear" w:color="auto" w:fill="4472C4"/>
            <w:vAlign w:val="center"/>
          </w:tcPr>
          <w:p w14:paraId="59FACFFF" w14:textId="77777777" w:rsidR="00990B14" w:rsidRDefault="00990B14">
            <w:pPr>
              <w:spacing w:before="20" w:after="20"/>
            </w:pPr>
          </w:p>
        </w:tc>
        <w:tc>
          <w:tcPr>
            <w:tcW w:w="2015" w:type="dxa"/>
            <w:shd w:val="clear" w:color="auto" w:fill="D9E2F3"/>
            <w:vAlign w:val="center"/>
          </w:tcPr>
          <w:p w14:paraId="060A43B4" w14:textId="77777777" w:rsidR="00990B14" w:rsidRDefault="00000000">
            <w:pPr>
              <w:spacing w:before="20" w:after="20"/>
              <w:jc w:val="both"/>
            </w:pPr>
            <w:r>
              <w:rPr>
                <w:sz w:val="18"/>
                <w:szCs w:val="18"/>
              </w:rPr>
              <w:t>Evaluación del cumplimiento</w:t>
            </w:r>
          </w:p>
        </w:tc>
        <w:tc>
          <w:tcPr>
            <w:tcW w:w="2120" w:type="dxa"/>
            <w:shd w:val="clear" w:color="auto" w:fill="D9E2F3"/>
            <w:vAlign w:val="center"/>
          </w:tcPr>
          <w:p w14:paraId="52D4109A" w14:textId="77777777" w:rsidR="00990B14" w:rsidRDefault="00000000">
            <w:pPr>
              <w:spacing w:before="20" w:after="20"/>
              <w:jc w:val="both"/>
            </w:pPr>
            <w:r>
              <w:rPr>
                <w:sz w:val="18"/>
                <w:szCs w:val="18"/>
              </w:rPr>
              <w:t>Presenta afirmaciones sin pruebas o no verifica las funciones directivas.</w:t>
            </w:r>
          </w:p>
        </w:tc>
        <w:tc>
          <w:tcPr>
            <w:tcW w:w="1903" w:type="dxa"/>
            <w:shd w:val="clear" w:color="auto" w:fill="D9E2F3"/>
            <w:vAlign w:val="center"/>
          </w:tcPr>
          <w:p w14:paraId="2C8DD756" w14:textId="77777777" w:rsidR="00990B14" w:rsidRDefault="00000000">
            <w:pPr>
              <w:spacing w:before="20" w:after="20"/>
              <w:jc w:val="both"/>
            </w:pPr>
            <w:r>
              <w:rPr>
                <w:sz w:val="18"/>
                <w:szCs w:val="18"/>
              </w:rPr>
              <w:t>Revisa las funciones gerenciales e identifica el grado de cumplimiento con evidencia pertinente.</w:t>
            </w:r>
          </w:p>
        </w:tc>
        <w:tc>
          <w:tcPr>
            <w:tcW w:w="1877" w:type="dxa"/>
            <w:shd w:val="clear" w:color="auto" w:fill="D9E2F3"/>
            <w:vAlign w:val="center"/>
          </w:tcPr>
          <w:p w14:paraId="588ACD97" w14:textId="77777777" w:rsidR="00990B14" w:rsidRDefault="00000000">
            <w:pPr>
              <w:spacing w:before="20" w:after="20"/>
              <w:jc w:val="both"/>
            </w:pPr>
            <w:r>
              <w:rPr>
                <w:sz w:val="18"/>
                <w:szCs w:val="18"/>
              </w:rPr>
              <w:t>Determina brechas concretas de cumplimiento y explica sus posibles causas e implicaciones.</w:t>
            </w:r>
          </w:p>
        </w:tc>
      </w:tr>
      <w:tr w:rsidR="00990B14" w14:paraId="50EFD0E5" w14:textId="77777777">
        <w:trPr>
          <w:cantSplit/>
          <w:jc w:val="center"/>
        </w:trPr>
        <w:tc>
          <w:tcPr>
            <w:tcW w:w="1490" w:type="dxa"/>
            <w:vMerge/>
            <w:shd w:val="clear" w:color="auto" w:fill="4472C4"/>
            <w:vAlign w:val="center"/>
          </w:tcPr>
          <w:p w14:paraId="2E88CDAC" w14:textId="77777777" w:rsidR="00990B14" w:rsidRDefault="00990B14">
            <w:pPr>
              <w:spacing w:before="20" w:after="20"/>
            </w:pPr>
          </w:p>
        </w:tc>
        <w:tc>
          <w:tcPr>
            <w:tcW w:w="2015" w:type="dxa"/>
            <w:shd w:val="clear" w:color="auto" w:fill="D9E2F3"/>
            <w:vAlign w:val="center"/>
          </w:tcPr>
          <w:p w14:paraId="5146FF9F" w14:textId="77777777" w:rsidR="00990B14" w:rsidRDefault="00000000">
            <w:pPr>
              <w:spacing w:before="20" w:after="20"/>
              <w:jc w:val="both"/>
            </w:pPr>
            <w:r>
              <w:rPr>
                <w:sz w:val="18"/>
                <w:szCs w:val="18"/>
              </w:rPr>
              <w:t>Riesgos y conclusiones</w:t>
            </w:r>
          </w:p>
        </w:tc>
        <w:tc>
          <w:tcPr>
            <w:tcW w:w="2120" w:type="dxa"/>
            <w:shd w:val="clear" w:color="auto" w:fill="D9E2F3"/>
            <w:vAlign w:val="center"/>
          </w:tcPr>
          <w:p w14:paraId="2BC9632F" w14:textId="77777777" w:rsidR="00990B14" w:rsidRDefault="00000000">
            <w:pPr>
              <w:spacing w:before="20" w:after="20"/>
              <w:jc w:val="both"/>
            </w:pPr>
            <w:r>
              <w:rPr>
                <w:sz w:val="18"/>
                <w:szCs w:val="18"/>
              </w:rPr>
              <w:t>No identifica incumplimientos ni sus riesgos, o redacta conclusiones inconexas.</w:t>
            </w:r>
          </w:p>
        </w:tc>
        <w:tc>
          <w:tcPr>
            <w:tcW w:w="1903" w:type="dxa"/>
            <w:shd w:val="clear" w:color="auto" w:fill="D9E2F3"/>
            <w:vAlign w:val="center"/>
          </w:tcPr>
          <w:p w14:paraId="67EED58B" w14:textId="77777777" w:rsidR="00990B14" w:rsidRDefault="00000000">
            <w:pPr>
              <w:spacing w:before="20" w:after="20"/>
              <w:jc w:val="both"/>
            </w:pPr>
            <w:r>
              <w:rPr>
                <w:sz w:val="18"/>
                <w:szCs w:val="18"/>
              </w:rPr>
              <w:t>Resume hallazgos, riesgos y conclusiones coherentes con la verificación realizada.</w:t>
            </w:r>
          </w:p>
        </w:tc>
        <w:tc>
          <w:tcPr>
            <w:tcW w:w="1877" w:type="dxa"/>
            <w:shd w:val="clear" w:color="auto" w:fill="D9E2F3"/>
            <w:vAlign w:val="center"/>
          </w:tcPr>
          <w:p w14:paraId="50831CAC" w14:textId="77777777" w:rsidR="00990B14" w:rsidRDefault="00000000">
            <w:pPr>
              <w:spacing w:before="20" w:after="20"/>
              <w:jc w:val="both"/>
            </w:pPr>
            <w:r>
              <w:rPr>
                <w:sz w:val="18"/>
                <w:szCs w:val="18"/>
              </w:rPr>
              <w:t>Prioriza los riesgos y plantea acciones correctivas viables y vinculadas con cada hallazgo.</w:t>
            </w:r>
          </w:p>
        </w:tc>
      </w:tr>
      <w:tr w:rsidR="00990B14" w14:paraId="3F82D4F8" w14:textId="77777777">
        <w:trPr>
          <w:cantSplit/>
          <w:jc w:val="center"/>
        </w:trPr>
        <w:tc>
          <w:tcPr>
            <w:tcW w:w="1490" w:type="dxa"/>
            <w:vMerge/>
            <w:shd w:val="clear" w:color="auto" w:fill="4472C4"/>
            <w:vAlign w:val="center"/>
          </w:tcPr>
          <w:p w14:paraId="1B2DB5F0" w14:textId="77777777" w:rsidR="00990B14" w:rsidRDefault="00990B14">
            <w:pPr>
              <w:spacing w:before="20" w:after="20"/>
            </w:pPr>
          </w:p>
        </w:tc>
        <w:tc>
          <w:tcPr>
            <w:tcW w:w="6038" w:type="dxa"/>
            <w:gridSpan w:val="3"/>
            <w:shd w:val="clear" w:color="auto" w:fill="D9E2F3"/>
            <w:vAlign w:val="center"/>
          </w:tcPr>
          <w:p w14:paraId="43A97C5F" w14:textId="77777777" w:rsidR="00990B14" w:rsidRDefault="00000000">
            <w:pPr>
              <w:keepNext/>
              <w:spacing w:before="20" w:after="20"/>
              <w:jc w:val="both"/>
            </w:pPr>
            <w:r>
              <w:rPr>
                <w:b/>
                <w:bCs/>
                <w:i/>
                <w:iCs/>
                <w:sz w:val="18"/>
                <w:szCs w:val="18"/>
              </w:rPr>
              <w:t xml:space="preserve">Producto 4: </w:t>
            </w:r>
            <w:r>
              <w:rPr>
                <w:sz w:val="18"/>
                <w:szCs w:val="18"/>
              </w:rPr>
              <w:t>Informe de Gestión de Riesgos y Sostenibilidad Organizacional</w:t>
            </w:r>
          </w:p>
        </w:tc>
        <w:tc>
          <w:tcPr>
            <w:tcW w:w="1877" w:type="dxa"/>
            <w:shd w:val="clear" w:color="auto" w:fill="D9E2F3"/>
            <w:vAlign w:val="center"/>
          </w:tcPr>
          <w:p w14:paraId="58152D97" w14:textId="77777777" w:rsidR="00990B14" w:rsidRDefault="00000000">
            <w:pPr>
              <w:spacing w:before="20" w:after="20"/>
              <w:jc w:val="center"/>
            </w:pPr>
            <w:r>
              <w:rPr>
                <w:b/>
                <w:bCs/>
                <w:sz w:val="18"/>
                <w:szCs w:val="18"/>
              </w:rPr>
              <w:t>8%</w:t>
            </w:r>
          </w:p>
        </w:tc>
      </w:tr>
      <w:tr w:rsidR="00990B14" w14:paraId="2B751741" w14:textId="77777777">
        <w:trPr>
          <w:cantSplit/>
          <w:jc w:val="center"/>
        </w:trPr>
        <w:tc>
          <w:tcPr>
            <w:tcW w:w="1490" w:type="dxa"/>
            <w:vMerge/>
            <w:shd w:val="clear" w:color="auto" w:fill="4472C4"/>
            <w:vAlign w:val="center"/>
          </w:tcPr>
          <w:p w14:paraId="19310324" w14:textId="77777777" w:rsidR="00990B14" w:rsidRDefault="00990B14">
            <w:pPr>
              <w:spacing w:before="20" w:after="20"/>
            </w:pPr>
          </w:p>
        </w:tc>
        <w:tc>
          <w:tcPr>
            <w:tcW w:w="2015" w:type="dxa"/>
            <w:shd w:val="clear" w:color="auto" w:fill="4472C4"/>
            <w:vAlign w:val="center"/>
          </w:tcPr>
          <w:p w14:paraId="085235C7" w14:textId="77777777" w:rsidR="00990B14" w:rsidRDefault="00000000">
            <w:pPr>
              <w:keepNext/>
              <w:spacing w:before="20" w:after="20"/>
              <w:jc w:val="center"/>
            </w:pPr>
            <w:r>
              <w:rPr>
                <w:b/>
                <w:bCs/>
                <w:i/>
                <w:iCs/>
                <w:color w:val="FFFFFF"/>
                <w:sz w:val="18"/>
                <w:szCs w:val="18"/>
              </w:rPr>
              <w:t>Criterio</w:t>
            </w:r>
          </w:p>
        </w:tc>
        <w:tc>
          <w:tcPr>
            <w:tcW w:w="2120" w:type="dxa"/>
            <w:shd w:val="clear" w:color="auto" w:fill="4472C4"/>
            <w:vAlign w:val="center"/>
          </w:tcPr>
          <w:p w14:paraId="54E5C186" w14:textId="77777777" w:rsidR="00990B14" w:rsidRDefault="00000000">
            <w:pPr>
              <w:keepNext/>
              <w:spacing w:before="20" w:after="20"/>
              <w:jc w:val="center"/>
            </w:pPr>
            <w:r>
              <w:rPr>
                <w:b/>
                <w:bCs/>
                <w:i/>
                <w:iCs/>
                <w:color w:val="FFFFFF"/>
                <w:sz w:val="18"/>
                <w:szCs w:val="18"/>
              </w:rPr>
              <w:t>Insuficiente (1–50)</w:t>
            </w:r>
          </w:p>
        </w:tc>
        <w:tc>
          <w:tcPr>
            <w:tcW w:w="1903" w:type="dxa"/>
            <w:shd w:val="clear" w:color="auto" w:fill="4472C4"/>
            <w:vAlign w:val="center"/>
          </w:tcPr>
          <w:p w14:paraId="0D3E0E4B"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20B71A35" w14:textId="77777777" w:rsidR="00990B14" w:rsidRDefault="00000000">
            <w:pPr>
              <w:keepNext/>
              <w:spacing w:before="20" w:after="20"/>
              <w:jc w:val="center"/>
            </w:pPr>
            <w:r>
              <w:rPr>
                <w:b/>
                <w:bCs/>
                <w:i/>
                <w:iCs/>
                <w:color w:val="FFFFFF"/>
                <w:sz w:val="18"/>
                <w:szCs w:val="18"/>
              </w:rPr>
              <w:t>Destacado (81–100)</w:t>
            </w:r>
          </w:p>
        </w:tc>
      </w:tr>
      <w:tr w:rsidR="00990B14" w14:paraId="3D727197" w14:textId="77777777">
        <w:trPr>
          <w:cantSplit/>
          <w:jc w:val="center"/>
        </w:trPr>
        <w:tc>
          <w:tcPr>
            <w:tcW w:w="1490" w:type="dxa"/>
            <w:vMerge/>
            <w:shd w:val="clear" w:color="auto" w:fill="4472C4"/>
            <w:vAlign w:val="center"/>
          </w:tcPr>
          <w:p w14:paraId="4609F4B3" w14:textId="77777777" w:rsidR="00990B14" w:rsidRDefault="00990B14">
            <w:pPr>
              <w:spacing w:before="20" w:after="20"/>
            </w:pPr>
          </w:p>
        </w:tc>
        <w:tc>
          <w:tcPr>
            <w:tcW w:w="2015" w:type="dxa"/>
            <w:shd w:val="clear" w:color="auto" w:fill="D9E2F3"/>
            <w:vAlign w:val="center"/>
          </w:tcPr>
          <w:p w14:paraId="06FD59F0" w14:textId="77777777" w:rsidR="00990B14" w:rsidRDefault="00000000">
            <w:pPr>
              <w:spacing w:before="20" w:after="20"/>
              <w:jc w:val="both"/>
            </w:pPr>
            <w:r>
              <w:rPr>
                <w:sz w:val="18"/>
                <w:szCs w:val="18"/>
              </w:rPr>
              <w:t>Identificación y valoración de riesgos</w:t>
            </w:r>
          </w:p>
        </w:tc>
        <w:tc>
          <w:tcPr>
            <w:tcW w:w="2120" w:type="dxa"/>
            <w:shd w:val="clear" w:color="auto" w:fill="D9E2F3"/>
            <w:vAlign w:val="center"/>
          </w:tcPr>
          <w:p w14:paraId="406FF6AC" w14:textId="77777777" w:rsidR="00990B14" w:rsidRDefault="00000000">
            <w:pPr>
              <w:spacing w:before="20" w:after="20"/>
              <w:jc w:val="both"/>
            </w:pPr>
            <w:r>
              <w:rPr>
                <w:sz w:val="18"/>
                <w:szCs w:val="18"/>
              </w:rPr>
              <w:t>Enumera riesgos sin relacionarlos con el sistema de gestión ni valorar sus efectos.</w:t>
            </w:r>
          </w:p>
        </w:tc>
        <w:tc>
          <w:tcPr>
            <w:tcW w:w="1903" w:type="dxa"/>
            <w:shd w:val="clear" w:color="auto" w:fill="D9E2F3"/>
            <w:vAlign w:val="center"/>
          </w:tcPr>
          <w:p w14:paraId="2256FDF3" w14:textId="77777777" w:rsidR="00990B14" w:rsidRDefault="00000000">
            <w:pPr>
              <w:spacing w:before="20" w:after="20"/>
              <w:jc w:val="both"/>
            </w:pPr>
            <w:r>
              <w:rPr>
                <w:sz w:val="18"/>
                <w:szCs w:val="18"/>
              </w:rPr>
              <w:t>Identifica riesgos relevantes y estima su probabilidad e impacto para la organización.</w:t>
            </w:r>
          </w:p>
        </w:tc>
        <w:tc>
          <w:tcPr>
            <w:tcW w:w="1877" w:type="dxa"/>
            <w:shd w:val="clear" w:color="auto" w:fill="D9E2F3"/>
            <w:vAlign w:val="center"/>
          </w:tcPr>
          <w:p w14:paraId="7E592878" w14:textId="77777777" w:rsidR="00990B14" w:rsidRDefault="00000000">
            <w:pPr>
              <w:spacing w:before="20" w:after="20"/>
              <w:jc w:val="both"/>
            </w:pPr>
            <w:r>
              <w:rPr>
                <w:sz w:val="18"/>
                <w:szCs w:val="18"/>
              </w:rPr>
              <w:t>Jerarquiza riesgos con criterios explícitos y fundamenta cuáles requieren atención prioritaria.</w:t>
            </w:r>
          </w:p>
        </w:tc>
      </w:tr>
      <w:tr w:rsidR="00990B14" w14:paraId="6B6141A2" w14:textId="77777777">
        <w:trPr>
          <w:cantSplit/>
          <w:jc w:val="center"/>
        </w:trPr>
        <w:tc>
          <w:tcPr>
            <w:tcW w:w="1490" w:type="dxa"/>
            <w:vMerge/>
            <w:shd w:val="clear" w:color="auto" w:fill="4472C4"/>
            <w:vAlign w:val="center"/>
          </w:tcPr>
          <w:p w14:paraId="6A7C7A35" w14:textId="77777777" w:rsidR="00990B14" w:rsidRDefault="00990B14">
            <w:pPr>
              <w:spacing w:before="20" w:after="20"/>
            </w:pPr>
          </w:p>
        </w:tc>
        <w:tc>
          <w:tcPr>
            <w:tcW w:w="2015" w:type="dxa"/>
            <w:shd w:val="clear" w:color="auto" w:fill="D9E2F3"/>
            <w:vAlign w:val="center"/>
          </w:tcPr>
          <w:p w14:paraId="4469209D" w14:textId="77777777" w:rsidR="00990B14" w:rsidRDefault="00000000">
            <w:pPr>
              <w:spacing w:before="20" w:after="20"/>
              <w:jc w:val="both"/>
            </w:pPr>
            <w:r>
              <w:rPr>
                <w:sz w:val="18"/>
                <w:szCs w:val="18"/>
              </w:rPr>
              <w:t>Plan de mitigación</w:t>
            </w:r>
          </w:p>
        </w:tc>
        <w:tc>
          <w:tcPr>
            <w:tcW w:w="2120" w:type="dxa"/>
            <w:shd w:val="clear" w:color="auto" w:fill="D9E2F3"/>
            <w:vAlign w:val="center"/>
          </w:tcPr>
          <w:p w14:paraId="10150D51" w14:textId="77777777" w:rsidR="00990B14" w:rsidRDefault="00000000">
            <w:pPr>
              <w:spacing w:before="20" w:after="20"/>
              <w:jc w:val="both"/>
            </w:pPr>
            <w:r>
              <w:rPr>
                <w:sz w:val="18"/>
                <w:szCs w:val="18"/>
              </w:rPr>
              <w:t>No propone acciones o presenta medidas genéricas sin relación con los riesgos.</w:t>
            </w:r>
          </w:p>
        </w:tc>
        <w:tc>
          <w:tcPr>
            <w:tcW w:w="1903" w:type="dxa"/>
            <w:shd w:val="clear" w:color="auto" w:fill="D9E2F3"/>
            <w:vAlign w:val="center"/>
          </w:tcPr>
          <w:p w14:paraId="12AC8D95" w14:textId="77777777" w:rsidR="00990B14" w:rsidRDefault="00000000">
            <w:pPr>
              <w:spacing w:before="20" w:after="20"/>
              <w:jc w:val="both"/>
            </w:pPr>
            <w:r>
              <w:rPr>
                <w:sz w:val="18"/>
                <w:szCs w:val="18"/>
              </w:rPr>
              <w:t>Propone acciones de mitigación acordes con los riesgos detectados.</w:t>
            </w:r>
          </w:p>
        </w:tc>
        <w:tc>
          <w:tcPr>
            <w:tcW w:w="1877" w:type="dxa"/>
            <w:shd w:val="clear" w:color="auto" w:fill="D9E2F3"/>
            <w:vAlign w:val="center"/>
          </w:tcPr>
          <w:p w14:paraId="00C0469A" w14:textId="77777777" w:rsidR="00990B14" w:rsidRDefault="00000000">
            <w:pPr>
              <w:spacing w:before="20" w:after="20"/>
              <w:jc w:val="both"/>
            </w:pPr>
            <w:r>
              <w:rPr>
                <w:sz w:val="18"/>
                <w:szCs w:val="18"/>
              </w:rPr>
              <w:t>Define responsables, plazos y mecanismos de seguimiento para las medidas priorizadas.</w:t>
            </w:r>
          </w:p>
        </w:tc>
      </w:tr>
      <w:tr w:rsidR="00990B14" w14:paraId="566DBF2A" w14:textId="77777777">
        <w:trPr>
          <w:cantSplit/>
          <w:jc w:val="center"/>
        </w:trPr>
        <w:tc>
          <w:tcPr>
            <w:tcW w:w="1490" w:type="dxa"/>
            <w:vMerge/>
            <w:shd w:val="clear" w:color="auto" w:fill="4472C4"/>
            <w:vAlign w:val="center"/>
          </w:tcPr>
          <w:p w14:paraId="0D1FCCD5" w14:textId="77777777" w:rsidR="00990B14" w:rsidRDefault="00990B14">
            <w:pPr>
              <w:spacing w:before="20" w:after="20"/>
            </w:pPr>
          </w:p>
        </w:tc>
        <w:tc>
          <w:tcPr>
            <w:tcW w:w="2015" w:type="dxa"/>
            <w:shd w:val="clear" w:color="auto" w:fill="D9E2F3"/>
            <w:vAlign w:val="center"/>
          </w:tcPr>
          <w:p w14:paraId="1801B277" w14:textId="77777777" w:rsidR="00990B14" w:rsidRDefault="00000000">
            <w:pPr>
              <w:spacing w:before="20" w:after="20"/>
              <w:jc w:val="both"/>
            </w:pPr>
            <w:r>
              <w:rPr>
                <w:sz w:val="18"/>
                <w:szCs w:val="18"/>
              </w:rPr>
              <w:t>Dimensiones de sostenibilidad</w:t>
            </w:r>
          </w:p>
        </w:tc>
        <w:tc>
          <w:tcPr>
            <w:tcW w:w="2120" w:type="dxa"/>
            <w:shd w:val="clear" w:color="auto" w:fill="D9E2F3"/>
            <w:vAlign w:val="center"/>
          </w:tcPr>
          <w:p w14:paraId="142843B8" w14:textId="77777777" w:rsidR="00990B14" w:rsidRDefault="00000000">
            <w:pPr>
              <w:spacing w:before="20" w:after="20"/>
              <w:jc w:val="both"/>
            </w:pPr>
            <w:r>
              <w:rPr>
                <w:sz w:val="18"/>
                <w:szCs w:val="18"/>
              </w:rPr>
              <w:t>Omite la sostenibilidad o menciona sus dimensiones sin vincularlas con la gestión.</w:t>
            </w:r>
          </w:p>
        </w:tc>
        <w:tc>
          <w:tcPr>
            <w:tcW w:w="1903" w:type="dxa"/>
            <w:shd w:val="clear" w:color="auto" w:fill="D9E2F3"/>
            <w:vAlign w:val="center"/>
          </w:tcPr>
          <w:p w14:paraId="67BA9E11" w14:textId="77777777" w:rsidR="00990B14" w:rsidRDefault="00000000">
            <w:pPr>
              <w:spacing w:before="20" w:after="20"/>
              <w:jc w:val="both"/>
            </w:pPr>
            <w:r>
              <w:rPr>
                <w:sz w:val="18"/>
                <w:szCs w:val="18"/>
              </w:rPr>
              <w:t>Relaciona la mitigación con las dimensiones económica, social y ambiental.</w:t>
            </w:r>
          </w:p>
        </w:tc>
        <w:tc>
          <w:tcPr>
            <w:tcW w:w="1877" w:type="dxa"/>
            <w:shd w:val="clear" w:color="auto" w:fill="D9E2F3"/>
            <w:vAlign w:val="center"/>
          </w:tcPr>
          <w:p w14:paraId="7D4EE32A" w14:textId="77777777" w:rsidR="00990B14" w:rsidRDefault="00000000">
            <w:pPr>
              <w:spacing w:before="20" w:after="20"/>
              <w:jc w:val="both"/>
            </w:pPr>
            <w:r>
              <w:rPr>
                <w:sz w:val="18"/>
                <w:szCs w:val="18"/>
              </w:rPr>
              <w:t>Justifica medidas integradas y propone indicadores para valorar su efecto sostenible.</w:t>
            </w:r>
          </w:p>
        </w:tc>
      </w:tr>
      <w:tr w:rsidR="00990B14" w14:paraId="5294D700" w14:textId="77777777">
        <w:trPr>
          <w:cantSplit/>
          <w:jc w:val="center"/>
        </w:trPr>
        <w:tc>
          <w:tcPr>
            <w:tcW w:w="1490" w:type="dxa"/>
            <w:vMerge/>
            <w:shd w:val="clear" w:color="auto" w:fill="4472C4"/>
            <w:vAlign w:val="center"/>
          </w:tcPr>
          <w:p w14:paraId="4B4B804E" w14:textId="77777777" w:rsidR="00990B14" w:rsidRDefault="00990B14">
            <w:pPr>
              <w:spacing w:before="20" w:after="20"/>
            </w:pPr>
          </w:p>
        </w:tc>
        <w:tc>
          <w:tcPr>
            <w:tcW w:w="6038" w:type="dxa"/>
            <w:gridSpan w:val="3"/>
            <w:shd w:val="clear" w:color="auto" w:fill="D9E2F3"/>
            <w:vAlign w:val="center"/>
          </w:tcPr>
          <w:p w14:paraId="2A860635" w14:textId="77777777" w:rsidR="00990B14" w:rsidRDefault="00000000">
            <w:pPr>
              <w:keepNext/>
              <w:spacing w:before="20" w:after="20"/>
              <w:jc w:val="both"/>
            </w:pPr>
            <w:r>
              <w:rPr>
                <w:b/>
                <w:bCs/>
                <w:i/>
                <w:iCs/>
                <w:sz w:val="18"/>
                <w:szCs w:val="18"/>
              </w:rPr>
              <w:t xml:space="preserve">Producto 5: </w:t>
            </w:r>
            <w:r>
              <w:rPr>
                <w:sz w:val="18"/>
                <w:szCs w:val="18"/>
              </w:rPr>
              <w:t>Informe de Mapeo del Sistema de Decisiones</w:t>
            </w:r>
          </w:p>
        </w:tc>
        <w:tc>
          <w:tcPr>
            <w:tcW w:w="1877" w:type="dxa"/>
            <w:shd w:val="clear" w:color="auto" w:fill="D9E2F3"/>
            <w:vAlign w:val="center"/>
          </w:tcPr>
          <w:p w14:paraId="72A8D8DF" w14:textId="77777777" w:rsidR="00990B14" w:rsidRDefault="00000000">
            <w:pPr>
              <w:spacing w:before="20" w:after="20"/>
              <w:jc w:val="center"/>
            </w:pPr>
            <w:r>
              <w:rPr>
                <w:b/>
                <w:bCs/>
                <w:sz w:val="18"/>
                <w:szCs w:val="18"/>
              </w:rPr>
              <w:t>8%</w:t>
            </w:r>
          </w:p>
        </w:tc>
      </w:tr>
      <w:tr w:rsidR="00990B14" w14:paraId="249CF955" w14:textId="77777777">
        <w:trPr>
          <w:cantSplit/>
          <w:jc w:val="center"/>
        </w:trPr>
        <w:tc>
          <w:tcPr>
            <w:tcW w:w="1490" w:type="dxa"/>
            <w:vMerge/>
            <w:shd w:val="clear" w:color="auto" w:fill="4472C4"/>
            <w:vAlign w:val="center"/>
          </w:tcPr>
          <w:p w14:paraId="3308FBBC" w14:textId="77777777" w:rsidR="00990B14" w:rsidRDefault="00990B14">
            <w:pPr>
              <w:spacing w:before="20" w:after="20"/>
            </w:pPr>
          </w:p>
        </w:tc>
        <w:tc>
          <w:tcPr>
            <w:tcW w:w="2015" w:type="dxa"/>
            <w:shd w:val="clear" w:color="auto" w:fill="4472C4"/>
            <w:vAlign w:val="center"/>
          </w:tcPr>
          <w:p w14:paraId="7AAE21E0" w14:textId="77777777" w:rsidR="00990B14" w:rsidRDefault="00000000">
            <w:pPr>
              <w:keepNext/>
              <w:spacing w:before="20" w:after="20"/>
              <w:jc w:val="center"/>
            </w:pPr>
            <w:r>
              <w:rPr>
                <w:b/>
                <w:bCs/>
                <w:i/>
                <w:iCs/>
                <w:color w:val="FFFFFF"/>
                <w:sz w:val="18"/>
                <w:szCs w:val="18"/>
              </w:rPr>
              <w:t>Criterio</w:t>
            </w:r>
          </w:p>
        </w:tc>
        <w:tc>
          <w:tcPr>
            <w:tcW w:w="2120" w:type="dxa"/>
            <w:shd w:val="clear" w:color="auto" w:fill="4472C4"/>
            <w:vAlign w:val="center"/>
          </w:tcPr>
          <w:p w14:paraId="055692A1" w14:textId="77777777" w:rsidR="00990B14" w:rsidRDefault="00000000">
            <w:pPr>
              <w:keepNext/>
              <w:spacing w:before="20" w:after="20"/>
              <w:jc w:val="center"/>
            </w:pPr>
            <w:r>
              <w:rPr>
                <w:b/>
                <w:bCs/>
                <w:i/>
                <w:iCs/>
                <w:color w:val="FFFFFF"/>
                <w:sz w:val="18"/>
                <w:szCs w:val="18"/>
              </w:rPr>
              <w:t>Insuficiente (1–50)</w:t>
            </w:r>
          </w:p>
        </w:tc>
        <w:tc>
          <w:tcPr>
            <w:tcW w:w="1903" w:type="dxa"/>
            <w:shd w:val="clear" w:color="auto" w:fill="4472C4"/>
            <w:vAlign w:val="center"/>
          </w:tcPr>
          <w:p w14:paraId="6543CE87"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7556F90A" w14:textId="77777777" w:rsidR="00990B14" w:rsidRDefault="00000000">
            <w:pPr>
              <w:keepNext/>
              <w:spacing w:before="20" w:after="20"/>
              <w:jc w:val="center"/>
            </w:pPr>
            <w:r>
              <w:rPr>
                <w:b/>
                <w:bCs/>
                <w:i/>
                <w:iCs/>
                <w:color w:val="FFFFFF"/>
                <w:sz w:val="18"/>
                <w:szCs w:val="18"/>
              </w:rPr>
              <w:t>Destacado (81–100)</w:t>
            </w:r>
          </w:p>
        </w:tc>
      </w:tr>
      <w:tr w:rsidR="00990B14" w14:paraId="22861D52" w14:textId="77777777">
        <w:trPr>
          <w:cantSplit/>
          <w:jc w:val="center"/>
        </w:trPr>
        <w:tc>
          <w:tcPr>
            <w:tcW w:w="1490" w:type="dxa"/>
            <w:vMerge/>
            <w:shd w:val="clear" w:color="auto" w:fill="4472C4"/>
            <w:vAlign w:val="center"/>
          </w:tcPr>
          <w:p w14:paraId="3515FFBB" w14:textId="77777777" w:rsidR="00990B14" w:rsidRDefault="00990B14">
            <w:pPr>
              <w:spacing w:before="20" w:after="20"/>
            </w:pPr>
          </w:p>
        </w:tc>
        <w:tc>
          <w:tcPr>
            <w:tcW w:w="2015" w:type="dxa"/>
            <w:shd w:val="clear" w:color="auto" w:fill="D9E2F3"/>
            <w:vAlign w:val="center"/>
          </w:tcPr>
          <w:p w14:paraId="28007836" w14:textId="77777777" w:rsidR="00990B14" w:rsidRDefault="00000000">
            <w:pPr>
              <w:spacing w:before="20" w:after="20"/>
              <w:jc w:val="both"/>
            </w:pPr>
            <w:r>
              <w:rPr>
                <w:sz w:val="18"/>
                <w:szCs w:val="18"/>
              </w:rPr>
              <w:t>Fases del ciclo decisional</w:t>
            </w:r>
          </w:p>
        </w:tc>
        <w:tc>
          <w:tcPr>
            <w:tcW w:w="2120" w:type="dxa"/>
            <w:shd w:val="clear" w:color="auto" w:fill="D9E2F3"/>
            <w:vAlign w:val="center"/>
          </w:tcPr>
          <w:p w14:paraId="351069D6" w14:textId="77777777" w:rsidR="00990B14" w:rsidRDefault="00000000">
            <w:pPr>
              <w:spacing w:before="20" w:after="20"/>
              <w:jc w:val="both"/>
            </w:pPr>
            <w:r>
              <w:rPr>
                <w:sz w:val="18"/>
                <w:szCs w:val="18"/>
              </w:rPr>
              <w:t>Describe decisiones aisladas y omite fases importantes del ciclo.</w:t>
            </w:r>
          </w:p>
        </w:tc>
        <w:tc>
          <w:tcPr>
            <w:tcW w:w="1903" w:type="dxa"/>
            <w:shd w:val="clear" w:color="auto" w:fill="D9E2F3"/>
            <w:vAlign w:val="center"/>
          </w:tcPr>
          <w:p w14:paraId="51B915C0" w14:textId="77777777" w:rsidR="00990B14" w:rsidRDefault="00000000">
            <w:pPr>
              <w:spacing w:before="20" w:after="20"/>
              <w:jc w:val="both"/>
            </w:pPr>
            <w:r>
              <w:rPr>
                <w:sz w:val="18"/>
                <w:szCs w:val="18"/>
              </w:rPr>
              <w:t>Explica la identificación del problema, las alternativas, la selección y la implementación.</w:t>
            </w:r>
          </w:p>
        </w:tc>
        <w:tc>
          <w:tcPr>
            <w:tcW w:w="1877" w:type="dxa"/>
            <w:shd w:val="clear" w:color="auto" w:fill="D9E2F3"/>
            <w:vAlign w:val="center"/>
          </w:tcPr>
          <w:p w14:paraId="44844CE1" w14:textId="77777777" w:rsidR="00990B14" w:rsidRDefault="00000000">
            <w:pPr>
              <w:spacing w:before="20" w:after="20"/>
              <w:jc w:val="both"/>
            </w:pPr>
            <w:r>
              <w:rPr>
                <w:sz w:val="18"/>
                <w:szCs w:val="18"/>
              </w:rPr>
              <w:t>Relaciona las fases y muestra cómo la evaluación de resultados retroalimenta nuevas decisiones.</w:t>
            </w:r>
          </w:p>
        </w:tc>
      </w:tr>
      <w:tr w:rsidR="00990B14" w14:paraId="47894412" w14:textId="77777777">
        <w:trPr>
          <w:cantSplit/>
          <w:jc w:val="center"/>
        </w:trPr>
        <w:tc>
          <w:tcPr>
            <w:tcW w:w="1490" w:type="dxa"/>
            <w:vMerge/>
            <w:shd w:val="clear" w:color="auto" w:fill="4472C4"/>
            <w:vAlign w:val="center"/>
          </w:tcPr>
          <w:p w14:paraId="0E1F9481" w14:textId="77777777" w:rsidR="00990B14" w:rsidRDefault="00990B14">
            <w:pPr>
              <w:spacing w:before="20" w:after="20"/>
            </w:pPr>
          </w:p>
        </w:tc>
        <w:tc>
          <w:tcPr>
            <w:tcW w:w="2015" w:type="dxa"/>
            <w:shd w:val="clear" w:color="auto" w:fill="D9E2F3"/>
            <w:vAlign w:val="center"/>
          </w:tcPr>
          <w:p w14:paraId="6C90D7CD" w14:textId="77777777" w:rsidR="00990B14" w:rsidRDefault="00000000">
            <w:pPr>
              <w:spacing w:before="20" w:after="20"/>
              <w:jc w:val="both"/>
            </w:pPr>
            <w:r>
              <w:rPr>
                <w:sz w:val="18"/>
                <w:szCs w:val="18"/>
              </w:rPr>
              <w:t>Subsistemas y niveles jerárquicos</w:t>
            </w:r>
          </w:p>
        </w:tc>
        <w:tc>
          <w:tcPr>
            <w:tcW w:w="2120" w:type="dxa"/>
            <w:shd w:val="clear" w:color="auto" w:fill="D9E2F3"/>
            <w:vAlign w:val="center"/>
          </w:tcPr>
          <w:p w14:paraId="0BB3C37E" w14:textId="77777777" w:rsidR="00990B14" w:rsidRDefault="00000000">
            <w:pPr>
              <w:spacing w:before="20" w:after="20"/>
              <w:jc w:val="both"/>
            </w:pPr>
            <w:r>
              <w:rPr>
                <w:sz w:val="18"/>
                <w:szCs w:val="18"/>
              </w:rPr>
              <w:t>No identifica participantes, insumos de información ni niveles decisorios.</w:t>
            </w:r>
          </w:p>
        </w:tc>
        <w:tc>
          <w:tcPr>
            <w:tcW w:w="1903" w:type="dxa"/>
            <w:shd w:val="clear" w:color="auto" w:fill="D9E2F3"/>
            <w:vAlign w:val="center"/>
          </w:tcPr>
          <w:p w14:paraId="0A5F8188" w14:textId="77777777" w:rsidR="00990B14" w:rsidRDefault="00000000">
            <w:pPr>
              <w:spacing w:before="20" w:after="20"/>
              <w:jc w:val="both"/>
            </w:pPr>
            <w:r>
              <w:rPr>
                <w:sz w:val="18"/>
                <w:szCs w:val="18"/>
              </w:rPr>
              <w:t>Distingue los subsistemas involucrados y sus funciones por nivel jerárquico.</w:t>
            </w:r>
          </w:p>
        </w:tc>
        <w:tc>
          <w:tcPr>
            <w:tcW w:w="1877" w:type="dxa"/>
            <w:shd w:val="clear" w:color="auto" w:fill="D9E2F3"/>
            <w:vAlign w:val="center"/>
          </w:tcPr>
          <w:p w14:paraId="0CF90032" w14:textId="77777777" w:rsidR="00990B14" w:rsidRDefault="00000000">
            <w:pPr>
              <w:spacing w:before="20" w:after="20"/>
              <w:jc w:val="both"/>
            </w:pPr>
            <w:r>
              <w:rPr>
                <w:sz w:val="18"/>
                <w:szCs w:val="18"/>
              </w:rPr>
              <w:t>Explica la coordinación entre niveles y el recorrido de la información necesaria para decidir.</w:t>
            </w:r>
          </w:p>
        </w:tc>
      </w:tr>
      <w:tr w:rsidR="00990B14" w14:paraId="52458180" w14:textId="77777777">
        <w:trPr>
          <w:cantSplit/>
          <w:jc w:val="center"/>
        </w:trPr>
        <w:tc>
          <w:tcPr>
            <w:tcW w:w="1490" w:type="dxa"/>
            <w:vMerge/>
            <w:shd w:val="clear" w:color="auto" w:fill="4472C4"/>
            <w:vAlign w:val="center"/>
          </w:tcPr>
          <w:p w14:paraId="7805526F" w14:textId="77777777" w:rsidR="00990B14" w:rsidRDefault="00990B14">
            <w:pPr>
              <w:spacing w:before="20" w:after="20"/>
            </w:pPr>
          </w:p>
        </w:tc>
        <w:tc>
          <w:tcPr>
            <w:tcW w:w="2015" w:type="dxa"/>
            <w:shd w:val="clear" w:color="auto" w:fill="D9E2F3"/>
            <w:vAlign w:val="center"/>
          </w:tcPr>
          <w:p w14:paraId="7F385BBD" w14:textId="77777777" w:rsidR="00990B14" w:rsidRDefault="00000000">
            <w:pPr>
              <w:spacing w:before="20" w:after="20"/>
              <w:jc w:val="both"/>
            </w:pPr>
            <w:r>
              <w:rPr>
                <w:sz w:val="18"/>
                <w:szCs w:val="18"/>
              </w:rPr>
              <w:t>Principios y análisis del caso</w:t>
            </w:r>
          </w:p>
        </w:tc>
        <w:tc>
          <w:tcPr>
            <w:tcW w:w="2120" w:type="dxa"/>
            <w:shd w:val="clear" w:color="auto" w:fill="D9E2F3"/>
            <w:vAlign w:val="center"/>
          </w:tcPr>
          <w:p w14:paraId="302465C3" w14:textId="77777777" w:rsidR="00990B14" w:rsidRDefault="00000000">
            <w:pPr>
              <w:spacing w:before="20" w:after="20"/>
              <w:jc w:val="both"/>
            </w:pPr>
            <w:r>
              <w:rPr>
                <w:sz w:val="18"/>
                <w:szCs w:val="18"/>
              </w:rPr>
              <w:t>Presenta conceptos sin aplicar principios al caso estudiado.</w:t>
            </w:r>
          </w:p>
        </w:tc>
        <w:tc>
          <w:tcPr>
            <w:tcW w:w="1903" w:type="dxa"/>
            <w:shd w:val="clear" w:color="auto" w:fill="D9E2F3"/>
            <w:vAlign w:val="center"/>
          </w:tcPr>
          <w:p w14:paraId="7F60A64E" w14:textId="77777777" w:rsidR="00990B14" w:rsidRDefault="00000000">
            <w:pPr>
              <w:spacing w:before="20" w:after="20"/>
              <w:jc w:val="both"/>
            </w:pPr>
            <w:r>
              <w:rPr>
                <w:sz w:val="18"/>
                <w:szCs w:val="18"/>
              </w:rPr>
              <w:t>Identifica los principios de decisión y los vincula con las fases analizadas.</w:t>
            </w:r>
          </w:p>
        </w:tc>
        <w:tc>
          <w:tcPr>
            <w:tcW w:w="1877" w:type="dxa"/>
            <w:shd w:val="clear" w:color="auto" w:fill="D9E2F3"/>
            <w:vAlign w:val="center"/>
          </w:tcPr>
          <w:p w14:paraId="39D8EE94" w14:textId="77777777" w:rsidR="00990B14" w:rsidRDefault="00000000">
            <w:pPr>
              <w:spacing w:before="20" w:after="20"/>
              <w:jc w:val="both"/>
            </w:pPr>
            <w:r>
              <w:rPr>
                <w:sz w:val="18"/>
                <w:szCs w:val="18"/>
              </w:rPr>
              <w:t>Sustenta la secuencia decisional con ejemplos del caso y detecta posibles debilidades.</w:t>
            </w:r>
          </w:p>
        </w:tc>
      </w:tr>
      <w:tr w:rsidR="00990B14" w14:paraId="2224F66E" w14:textId="77777777">
        <w:trPr>
          <w:cantSplit/>
          <w:jc w:val="center"/>
        </w:trPr>
        <w:tc>
          <w:tcPr>
            <w:tcW w:w="1490" w:type="dxa"/>
            <w:vMerge/>
            <w:shd w:val="clear" w:color="auto" w:fill="4472C4"/>
            <w:vAlign w:val="center"/>
          </w:tcPr>
          <w:p w14:paraId="4F85EE41" w14:textId="77777777" w:rsidR="00990B14" w:rsidRDefault="00990B14">
            <w:pPr>
              <w:spacing w:before="20" w:after="20"/>
            </w:pPr>
          </w:p>
        </w:tc>
        <w:tc>
          <w:tcPr>
            <w:tcW w:w="6038" w:type="dxa"/>
            <w:gridSpan w:val="3"/>
            <w:shd w:val="clear" w:color="auto" w:fill="D9E2F3"/>
            <w:vAlign w:val="center"/>
          </w:tcPr>
          <w:p w14:paraId="60121CE3" w14:textId="77777777" w:rsidR="00990B14" w:rsidRDefault="00000000">
            <w:pPr>
              <w:keepNext/>
              <w:spacing w:before="20" w:after="20"/>
              <w:jc w:val="both"/>
            </w:pPr>
            <w:r>
              <w:rPr>
                <w:b/>
                <w:bCs/>
                <w:i/>
                <w:iCs/>
                <w:sz w:val="18"/>
                <w:szCs w:val="18"/>
              </w:rPr>
              <w:t xml:space="preserve">Producto 6: </w:t>
            </w:r>
            <w:r>
              <w:rPr>
                <w:sz w:val="18"/>
                <w:szCs w:val="18"/>
              </w:rPr>
              <w:t>Mapa o Diagrama Decisional</w:t>
            </w:r>
          </w:p>
        </w:tc>
        <w:tc>
          <w:tcPr>
            <w:tcW w:w="1877" w:type="dxa"/>
            <w:shd w:val="clear" w:color="auto" w:fill="D9E2F3"/>
            <w:vAlign w:val="center"/>
          </w:tcPr>
          <w:p w14:paraId="31EB122C" w14:textId="77777777" w:rsidR="00990B14" w:rsidRDefault="00000000">
            <w:pPr>
              <w:spacing w:before="20" w:after="20"/>
              <w:jc w:val="center"/>
            </w:pPr>
            <w:r>
              <w:rPr>
                <w:b/>
                <w:bCs/>
                <w:sz w:val="18"/>
                <w:szCs w:val="18"/>
              </w:rPr>
              <w:t>7%</w:t>
            </w:r>
          </w:p>
        </w:tc>
      </w:tr>
      <w:tr w:rsidR="00990B14" w14:paraId="5A699EB1" w14:textId="77777777">
        <w:trPr>
          <w:cantSplit/>
          <w:jc w:val="center"/>
        </w:trPr>
        <w:tc>
          <w:tcPr>
            <w:tcW w:w="1490" w:type="dxa"/>
            <w:vMerge/>
            <w:shd w:val="clear" w:color="auto" w:fill="4472C4"/>
            <w:vAlign w:val="center"/>
          </w:tcPr>
          <w:p w14:paraId="7F0EA8A2" w14:textId="77777777" w:rsidR="00990B14" w:rsidRDefault="00990B14">
            <w:pPr>
              <w:spacing w:before="20" w:after="20"/>
            </w:pPr>
          </w:p>
        </w:tc>
        <w:tc>
          <w:tcPr>
            <w:tcW w:w="2015" w:type="dxa"/>
            <w:shd w:val="clear" w:color="auto" w:fill="4472C4"/>
            <w:vAlign w:val="center"/>
          </w:tcPr>
          <w:p w14:paraId="70684469" w14:textId="77777777" w:rsidR="00990B14" w:rsidRDefault="00000000">
            <w:pPr>
              <w:keepNext/>
              <w:spacing w:before="20" w:after="20"/>
              <w:jc w:val="center"/>
            </w:pPr>
            <w:r>
              <w:rPr>
                <w:b/>
                <w:bCs/>
                <w:i/>
                <w:iCs/>
                <w:color w:val="FFFFFF"/>
                <w:sz w:val="18"/>
                <w:szCs w:val="18"/>
              </w:rPr>
              <w:t>Criterio</w:t>
            </w:r>
          </w:p>
        </w:tc>
        <w:tc>
          <w:tcPr>
            <w:tcW w:w="2120" w:type="dxa"/>
            <w:shd w:val="clear" w:color="auto" w:fill="4472C4"/>
            <w:vAlign w:val="center"/>
          </w:tcPr>
          <w:p w14:paraId="6B157032" w14:textId="77777777" w:rsidR="00990B14" w:rsidRDefault="00000000">
            <w:pPr>
              <w:keepNext/>
              <w:spacing w:before="20" w:after="20"/>
              <w:jc w:val="center"/>
            </w:pPr>
            <w:r>
              <w:rPr>
                <w:b/>
                <w:bCs/>
                <w:i/>
                <w:iCs/>
                <w:color w:val="FFFFFF"/>
                <w:sz w:val="18"/>
                <w:szCs w:val="18"/>
              </w:rPr>
              <w:t>Insuficiente (1–50)</w:t>
            </w:r>
          </w:p>
        </w:tc>
        <w:tc>
          <w:tcPr>
            <w:tcW w:w="1903" w:type="dxa"/>
            <w:shd w:val="clear" w:color="auto" w:fill="4472C4"/>
            <w:vAlign w:val="center"/>
          </w:tcPr>
          <w:p w14:paraId="307E1857"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707883EA" w14:textId="77777777" w:rsidR="00990B14" w:rsidRDefault="00000000">
            <w:pPr>
              <w:keepNext/>
              <w:spacing w:before="20" w:after="20"/>
              <w:jc w:val="center"/>
            </w:pPr>
            <w:r>
              <w:rPr>
                <w:b/>
                <w:bCs/>
                <w:i/>
                <w:iCs/>
                <w:color w:val="FFFFFF"/>
                <w:sz w:val="18"/>
                <w:szCs w:val="18"/>
              </w:rPr>
              <w:t>Destacado (81–100)</w:t>
            </w:r>
          </w:p>
        </w:tc>
      </w:tr>
      <w:tr w:rsidR="00990B14" w14:paraId="359301E7" w14:textId="77777777">
        <w:trPr>
          <w:cantSplit/>
          <w:jc w:val="center"/>
        </w:trPr>
        <w:tc>
          <w:tcPr>
            <w:tcW w:w="1490" w:type="dxa"/>
            <w:vMerge/>
            <w:shd w:val="clear" w:color="auto" w:fill="4472C4"/>
            <w:vAlign w:val="center"/>
          </w:tcPr>
          <w:p w14:paraId="20F9E1B7" w14:textId="77777777" w:rsidR="00990B14" w:rsidRDefault="00990B14">
            <w:pPr>
              <w:spacing w:before="20" w:after="20"/>
            </w:pPr>
          </w:p>
        </w:tc>
        <w:tc>
          <w:tcPr>
            <w:tcW w:w="2015" w:type="dxa"/>
            <w:shd w:val="clear" w:color="auto" w:fill="D9E2F3"/>
            <w:vAlign w:val="center"/>
          </w:tcPr>
          <w:p w14:paraId="2D54F529" w14:textId="77777777" w:rsidR="00990B14" w:rsidRDefault="00000000">
            <w:pPr>
              <w:spacing w:before="20" w:after="20"/>
              <w:jc w:val="both"/>
            </w:pPr>
            <w:r>
              <w:rPr>
                <w:sz w:val="18"/>
                <w:szCs w:val="18"/>
              </w:rPr>
              <w:t>Secuencia decisional</w:t>
            </w:r>
          </w:p>
        </w:tc>
        <w:tc>
          <w:tcPr>
            <w:tcW w:w="2120" w:type="dxa"/>
            <w:shd w:val="clear" w:color="auto" w:fill="D9E2F3"/>
            <w:vAlign w:val="center"/>
          </w:tcPr>
          <w:p w14:paraId="2F4DEAE8" w14:textId="77777777" w:rsidR="00990B14" w:rsidRDefault="00000000">
            <w:pPr>
              <w:spacing w:before="20" w:after="20"/>
              <w:jc w:val="both"/>
            </w:pPr>
            <w:r>
              <w:rPr>
                <w:sz w:val="18"/>
                <w:szCs w:val="18"/>
              </w:rPr>
              <w:t>El mapa es incompleto o no muestra claramente cómo se toma una decisión.</w:t>
            </w:r>
          </w:p>
        </w:tc>
        <w:tc>
          <w:tcPr>
            <w:tcW w:w="1903" w:type="dxa"/>
            <w:shd w:val="clear" w:color="auto" w:fill="D9E2F3"/>
            <w:vAlign w:val="center"/>
          </w:tcPr>
          <w:p w14:paraId="5B3984EC" w14:textId="77777777" w:rsidR="00990B14" w:rsidRDefault="00000000">
            <w:pPr>
              <w:spacing w:before="20" w:after="20"/>
              <w:jc w:val="both"/>
            </w:pPr>
            <w:r>
              <w:rPr>
                <w:sz w:val="18"/>
                <w:szCs w:val="18"/>
              </w:rPr>
              <w:t>Representa etapas, actores, alternativas y decisiones con una secuencia comprensible.</w:t>
            </w:r>
          </w:p>
        </w:tc>
        <w:tc>
          <w:tcPr>
            <w:tcW w:w="1877" w:type="dxa"/>
            <w:shd w:val="clear" w:color="auto" w:fill="D9E2F3"/>
            <w:vAlign w:val="center"/>
          </w:tcPr>
          <w:p w14:paraId="48AD25E1" w14:textId="77777777" w:rsidR="00990B14" w:rsidRDefault="00000000">
            <w:pPr>
              <w:spacing w:before="20" w:after="20"/>
              <w:jc w:val="both"/>
            </w:pPr>
            <w:r>
              <w:rPr>
                <w:sz w:val="18"/>
                <w:szCs w:val="18"/>
              </w:rPr>
              <w:t>Muestra rutas alternativas y distingue con precisión decisiones, actividades y responsables.</w:t>
            </w:r>
          </w:p>
        </w:tc>
      </w:tr>
      <w:tr w:rsidR="00990B14" w14:paraId="4C6FC74F" w14:textId="77777777">
        <w:trPr>
          <w:cantSplit/>
          <w:jc w:val="center"/>
        </w:trPr>
        <w:tc>
          <w:tcPr>
            <w:tcW w:w="1490" w:type="dxa"/>
            <w:vMerge/>
            <w:shd w:val="clear" w:color="auto" w:fill="4472C4"/>
            <w:vAlign w:val="center"/>
          </w:tcPr>
          <w:p w14:paraId="63BCDA99" w14:textId="77777777" w:rsidR="00990B14" w:rsidRDefault="00990B14">
            <w:pPr>
              <w:spacing w:before="20" w:after="20"/>
            </w:pPr>
          </w:p>
        </w:tc>
        <w:tc>
          <w:tcPr>
            <w:tcW w:w="2015" w:type="dxa"/>
            <w:shd w:val="clear" w:color="auto" w:fill="D9E2F3"/>
            <w:vAlign w:val="center"/>
          </w:tcPr>
          <w:p w14:paraId="5F1B1E0F" w14:textId="77777777" w:rsidR="00990B14" w:rsidRDefault="00000000">
            <w:pPr>
              <w:spacing w:before="20" w:after="20"/>
              <w:jc w:val="both"/>
            </w:pPr>
            <w:r>
              <w:rPr>
                <w:sz w:val="18"/>
                <w:szCs w:val="18"/>
              </w:rPr>
              <w:t>Controles y restricciones</w:t>
            </w:r>
          </w:p>
        </w:tc>
        <w:tc>
          <w:tcPr>
            <w:tcW w:w="2120" w:type="dxa"/>
            <w:shd w:val="clear" w:color="auto" w:fill="D9E2F3"/>
            <w:vAlign w:val="center"/>
          </w:tcPr>
          <w:p w14:paraId="2E5D16AB" w14:textId="77777777" w:rsidR="00990B14" w:rsidRDefault="00000000">
            <w:pPr>
              <w:spacing w:before="20" w:after="20"/>
              <w:jc w:val="both"/>
            </w:pPr>
            <w:r>
              <w:rPr>
                <w:sz w:val="18"/>
                <w:szCs w:val="18"/>
              </w:rPr>
              <w:t>Omite puntos de control, validaciones o restricciones aplicables.</w:t>
            </w:r>
          </w:p>
        </w:tc>
        <w:tc>
          <w:tcPr>
            <w:tcW w:w="1903" w:type="dxa"/>
            <w:shd w:val="clear" w:color="auto" w:fill="D9E2F3"/>
            <w:vAlign w:val="center"/>
          </w:tcPr>
          <w:p w14:paraId="443B6334" w14:textId="77777777" w:rsidR="00990B14" w:rsidRDefault="00000000">
            <w:pPr>
              <w:spacing w:before="20" w:after="20"/>
              <w:jc w:val="both"/>
            </w:pPr>
            <w:r>
              <w:rPr>
                <w:sz w:val="18"/>
                <w:szCs w:val="18"/>
              </w:rPr>
              <w:t>Ubica puntos críticos de control y restricciones normativas o internas pertinentes.</w:t>
            </w:r>
          </w:p>
        </w:tc>
        <w:tc>
          <w:tcPr>
            <w:tcW w:w="1877" w:type="dxa"/>
            <w:shd w:val="clear" w:color="auto" w:fill="D9E2F3"/>
            <w:vAlign w:val="center"/>
          </w:tcPr>
          <w:p w14:paraId="3559ADDD" w14:textId="77777777" w:rsidR="00990B14" w:rsidRDefault="00000000">
            <w:pPr>
              <w:spacing w:before="20" w:after="20"/>
              <w:jc w:val="both"/>
            </w:pPr>
            <w:r>
              <w:rPr>
                <w:sz w:val="18"/>
                <w:szCs w:val="18"/>
              </w:rPr>
              <w:t>Identifica riesgos de omisión de controles y explica la función de cada salvaguarda.</w:t>
            </w:r>
          </w:p>
        </w:tc>
      </w:tr>
      <w:tr w:rsidR="00990B14" w14:paraId="2D42C08B" w14:textId="77777777">
        <w:trPr>
          <w:cantSplit/>
          <w:jc w:val="center"/>
        </w:trPr>
        <w:tc>
          <w:tcPr>
            <w:tcW w:w="1490" w:type="dxa"/>
            <w:vMerge/>
            <w:shd w:val="clear" w:color="auto" w:fill="4472C4"/>
            <w:vAlign w:val="center"/>
          </w:tcPr>
          <w:p w14:paraId="773DFB3C" w14:textId="77777777" w:rsidR="00990B14" w:rsidRDefault="00990B14">
            <w:pPr>
              <w:spacing w:before="20" w:after="20"/>
            </w:pPr>
          </w:p>
        </w:tc>
        <w:tc>
          <w:tcPr>
            <w:tcW w:w="2015" w:type="dxa"/>
            <w:shd w:val="clear" w:color="auto" w:fill="D9E2F3"/>
            <w:vAlign w:val="center"/>
          </w:tcPr>
          <w:p w14:paraId="1FDC2F53" w14:textId="77777777" w:rsidR="00990B14" w:rsidRDefault="00000000">
            <w:pPr>
              <w:spacing w:before="20" w:after="20"/>
              <w:jc w:val="both"/>
            </w:pPr>
            <w:r>
              <w:rPr>
                <w:sz w:val="18"/>
                <w:szCs w:val="18"/>
              </w:rPr>
              <w:t>Retroalimentación y presentación</w:t>
            </w:r>
          </w:p>
        </w:tc>
        <w:tc>
          <w:tcPr>
            <w:tcW w:w="2120" w:type="dxa"/>
            <w:shd w:val="clear" w:color="auto" w:fill="D9E2F3"/>
            <w:vAlign w:val="center"/>
          </w:tcPr>
          <w:p w14:paraId="5D1046D0" w14:textId="77777777" w:rsidR="00990B14" w:rsidRDefault="00000000">
            <w:pPr>
              <w:spacing w:before="20" w:after="20"/>
              <w:jc w:val="both"/>
            </w:pPr>
            <w:r>
              <w:rPr>
                <w:sz w:val="18"/>
                <w:szCs w:val="18"/>
              </w:rPr>
              <w:t>No incorpora retornos de información o el diagrama resulta confuso.</w:t>
            </w:r>
          </w:p>
        </w:tc>
        <w:tc>
          <w:tcPr>
            <w:tcW w:w="1903" w:type="dxa"/>
            <w:shd w:val="clear" w:color="auto" w:fill="D9E2F3"/>
            <w:vAlign w:val="center"/>
          </w:tcPr>
          <w:p w14:paraId="5479743A" w14:textId="77777777" w:rsidR="00990B14" w:rsidRDefault="00000000">
            <w:pPr>
              <w:spacing w:before="20" w:after="20"/>
              <w:jc w:val="both"/>
            </w:pPr>
            <w:r>
              <w:rPr>
                <w:sz w:val="18"/>
                <w:szCs w:val="18"/>
              </w:rPr>
              <w:t>Representa canales de retroalimentación mediante símbolos y conexiones claros.</w:t>
            </w:r>
          </w:p>
        </w:tc>
        <w:tc>
          <w:tcPr>
            <w:tcW w:w="1877" w:type="dxa"/>
            <w:shd w:val="clear" w:color="auto" w:fill="D9E2F3"/>
            <w:vAlign w:val="center"/>
          </w:tcPr>
          <w:p w14:paraId="526CA6AB" w14:textId="77777777" w:rsidR="00990B14" w:rsidRDefault="00000000">
            <w:pPr>
              <w:spacing w:before="20" w:after="20"/>
              <w:jc w:val="both"/>
            </w:pPr>
            <w:r>
              <w:rPr>
                <w:sz w:val="18"/>
                <w:szCs w:val="18"/>
              </w:rPr>
              <w:t>Relaciona la retroalimentación con la corrección de decisiones y presenta una notación consistente.</w:t>
            </w:r>
          </w:p>
        </w:tc>
      </w:tr>
      <w:tr w:rsidR="00990B14" w14:paraId="6BDFFEBE" w14:textId="77777777">
        <w:trPr>
          <w:cantSplit/>
          <w:jc w:val="center"/>
        </w:trPr>
        <w:tc>
          <w:tcPr>
            <w:tcW w:w="1490" w:type="dxa"/>
            <w:vMerge/>
            <w:shd w:val="clear" w:color="auto" w:fill="4472C4"/>
            <w:vAlign w:val="center"/>
          </w:tcPr>
          <w:p w14:paraId="74E166D7" w14:textId="77777777" w:rsidR="00990B14" w:rsidRDefault="00990B14">
            <w:pPr>
              <w:spacing w:before="20" w:after="20"/>
            </w:pPr>
          </w:p>
        </w:tc>
        <w:tc>
          <w:tcPr>
            <w:tcW w:w="6038" w:type="dxa"/>
            <w:gridSpan w:val="3"/>
            <w:shd w:val="clear" w:color="auto" w:fill="D9E2F3"/>
            <w:vAlign w:val="center"/>
          </w:tcPr>
          <w:p w14:paraId="063337DA" w14:textId="77777777" w:rsidR="00990B14" w:rsidRDefault="00000000">
            <w:pPr>
              <w:keepNext/>
              <w:spacing w:before="20" w:after="20"/>
              <w:jc w:val="both"/>
            </w:pPr>
            <w:r>
              <w:rPr>
                <w:b/>
                <w:bCs/>
                <w:i/>
                <w:iCs/>
                <w:sz w:val="18"/>
                <w:szCs w:val="18"/>
              </w:rPr>
              <w:t xml:space="preserve">Producto 7: </w:t>
            </w:r>
            <w:r>
              <w:rPr>
                <w:sz w:val="18"/>
                <w:szCs w:val="18"/>
              </w:rPr>
              <w:t>Informe Técnico de Aplicación de Instrumentos Gerenciales</w:t>
            </w:r>
          </w:p>
        </w:tc>
        <w:tc>
          <w:tcPr>
            <w:tcW w:w="1877" w:type="dxa"/>
            <w:shd w:val="clear" w:color="auto" w:fill="D9E2F3"/>
            <w:vAlign w:val="center"/>
          </w:tcPr>
          <w:p w14:paraId="75F24F7A" w14:textId="77777777" w:rsidR="00990B14" w:rsidRDefault="00000000">
            <w:pPr>
              <w:spacing w:before="20" w:after="20"/>
              <w:jc w:val="center"/>
            </w:pPr>
            <w:r>
              <w:rPr>
                <w:b/>
                <w:bCs/>
                <w:sz w:val="18"/>
                <w:szCs w:val="18"/>
              </w:rPr>
              <w:t>5%</w:t>
            </w:r>
          </w:p>
        </w:tc>
      </w:tr>
      <w:tr w:rsidR="00990B14" w14:paraId="6999FC06" w14:textId="77777777">
        <w:trPr>
          <w:cantSplit/>
          <w:jc w:val="center"/>
        </w:trPr>
        <w:tc>
          <w:tcPr>
            <w:tcW w:w="1490" w:type="dxa"/>
            <w:vMerge/>
            <w:shd w:val="clear" w:color="auto" w:fill="4472C4"/>
            <w:vAlign w:val="center"/>
          </w:tcPr>
          <w:p w14:paraId="0B3CAFF2" w14:textId="77777777" w:rsidR="00990B14" w:rsidRDefault="00990B14">
            <w:pPr>
              <w:spacing w:before="20" w:after="20"/>
            </w:pPr>
          </w:p>
        </w:tc>
        <w:tc>
          <w:tcPr>
            <w:tcW w:w="2015" w:type="dxa"/>
            <w:shd w:val="clear" w:color="auto" w:fill="4472C4"/>
            <w:vAlign w:val="center"/>
          </w:tcPr>
          <w:p w14:paraId="32368033" w14:textId="77777777" w:rsidR="00990B14" w:rsidRDefault="00000000">
            <w:pPr>
              <w:keepNext/>
              <w:spacing w:before="20" w:after="20"/>
              <w:jc w:val="center"/>
            </w:pPr>
            <w:r>
              <w:rPr>
                <w:b/>
                <w:bCs/>
                <w:i/>
                <w:iCs/>
                <w:color w:val="FFFFFF"/>
                <w:sz w:val="18"/>
                <w:szCs w:val="18"/>
              </w:rPr>
              <w:t>Criterio</w:t>
            </w:r>
          </w:p>
        </w:tc>
        <w:tc>
          <w:tcPr>
            <w:tcW w:w="2120" w:type="dxa"/>
            <w:shd w:val="clear" w:color="auto" w:fill="4472C4"/>
            <w:vAlign w:val="center"/>
          </w:tcPr>
          <w:p w14:paraId="6FE10196" w14:textId="77777777" w:rsidR="00990B14" w:rsidRDefault="00000000">
            <w:pPr>
              <w:keepNext/>
              <w:spacing w:before="20" w:after="20"/>
              <w:jc w:val="center"/>
            </w:pPr>
            <w:r>
              <w:rPr>
                <w:b/>
                <w:bCs/>
                <w:i/>
                <w:iCs/>
                <w:color w:val="FFFFFF"/>
                <w:sz w:val="18"/>
                <w:szCs w:val="18"/>
              </w:rPr>
              <w:t>Insuficiente (1–50)</w:t>
            </w:r>
          </w:p>
        </w:tc>
        <w:tc>
          <w:tcPr>
            <w:tcW w:w="1903" w:type="dxa"/>
            <w:shd w:val="clear" w:color="auto" w:fill="4472C4"/>
            <w:vAlign w:val="center"/>
          </w:tcPr>
          <w:p w14:paraId="2606C843"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6D3D740D" w14:textId="77777777" w:rsidR="00990B14" w:rsidRDefault="00000000">
            <w:pPr>
              <w:keepNext/>
              <w:spacing w:before="20" w:after="20"/>
              <w:jc w:val="center"/>
            </w:pPr>
            <w:r>
              <w:rPr>
                <w:b/>
                <w:bCs/>
                <w:i/>
                <w:iCs/>
                <w:color w:val="FFFFFF"/>
                <w:sz w:val="18"/>
                <w:szCs w:val="18"/>
              </w:rPr>
              <w:t>Destacado (81–100)</w:t>
            </w:r>
          </w:p>
        </w:tc>
      </w:tr>
      <w:tr w:rsidR="00990B14" w14:paraId="59875DF0" w14:textId="77777777">
        <w:trPr>
          <w:cantSplit/>
          <w:jc w:val="center"/>
        </w:trPr>
        <w:tc>
          <w:tcPr>
            <w:tcW w:w="1490" w:type="dxa"/>
            <w:vMerge/>
            <w:shd w:val="clear" w:color="auto" w:fill="4472C4"/>
            <w:vAlign w:val="center"/>
          </w:tcPr>
          <w:p w14:paraId="53666232" w14:textId="77777777" w:rsidR="00990B14" w:rsidRDefault="00990B14">
            <w:pPr>
              <w:spacing w:before="20" w:after="20"/>
            </w:pPr>
          </w:p>
        </w:tc>
        <w:tc>
          <w:tcPr>
            <w:tcW w:w="2015" w:type="dxa"/>
            <w:shd w:val="clear" w:color="auto" w:fill="D9E2F3"/>
            <w:vAlign w:val="center"/>
          </w:tcPr>
          <w:p w14:paraId="19D20736" w14:textId="77777777" w:rsidR="00990B14" w:rsidRDefault="00000000">
            <w:pPr>
              <w:spacing w:before="20" w:after="20"/>
              <w:jc w:val="both"/>
            </w:pPr>
            <w:r>
              <w:rPr>
                <w:sz w:val="18"/>
                <w:szCs w:val="18"/>
              </w:rPr>
              <w:t>Selección de herramientas</w:t>
            </w:r>
          </w:p>
        </w:tc>
        <w:tc>
          <w:tcPr>
            <w:tcW w:w="2120" w:type="dxa"/>
            <w:shd w:val="clear" w:color="auto" w:fill="D9E2F3"/>
            <w:vAlign w:val="center"/>
          </w:tcPr>
          <w:p w14:paraId="296B5D70" w14:textId="77777777" w:rsidR="00990B14" w:rsidRDefault="00000000">
            <w:pPr>
              <w:spacing w:before="20" w:after="20"/>
              <w:jc w:val="both"/>
            </w:pPr>
            <w:r>
              <w:rPr>
                <w:sz w:val="18"/>
                <w:szCs w:val="18"/>
              </w:rPr>
              <w:t>Selecciona técnicas que no corresponden al problema o no explica su elección.</w:t>
            </w:r>
          </w:p>
        </w:tc>
        <w:tc>
          <w:tcPr>
            <w:tcW w:w="1903" w:type="dxa"/>
            <w:shd w:val="clear" w:color="auto" w:fill="D9E2F3"/>
            <w:vAlign w:val="center"/>
          </w:tcPr>
          <w:p w14:paraId="16EC5BB8" w14:textId="77777777" w:rsidR="00990B14" w:rsidRDefault="00000000">
            <w:pPr>
              <w:spacing w:before="20" w:after="20"/>
              <w:jc w:val="both"/>
            </w:pPr>
            <w:r>
              <w:rPr>
                <w:sz w:val="18"/>
                <w:szCs w:val="18"/>
              </w:rPr>
              <w:t>Elige instrumentos apropiados para analizar el caso (matriz, árbol u otra técnica).</w:t>
            </w:r>
          </w:p>
        </w:tc>
        <w:tc>
          <w:tcPr>
            <w:tcW w:w="1877" w:type="dxa"/>
            <w:shd w:val="clear" w:color="auto" w:fill="D9E2F3"/>
            <w:vAlign w:val="center"/>
          </w:tcPr>
          <w:p w14:paraId="04876702" w14:textId="77777777" w:rsidR="00990B14" w:rsidRDefault="00000000">
            <w:pPr>
              <w:spacing w:before="20" w:after="20"/>
              <w:jc w:val="both"/>
            </w:pPr>
            <w:r>
              <w:rPr>
                <w:sz w:val="18"/>
                <w:szCs w:val="18"/>
              </w:rPr>
              <w:t>Compara técnicas pertinentes y justifica cuál responde mejor a las condiciones del problema.</w:t>
            </w:r>
          </w:p>
        </w:tc>
      </w:tr>
      <w:tr w:rsidR="00990B14" w14:paraId="79D1E50E" w14:textId="77777777">
        <w:trPr>
          <w:cantSplit/>
          <w:jc w:val="center"/>
        </w:trPr>
        <w:tc>
          <w:tcPr>
            <w:tcW w:w="1490" w:type="dxa"/>
            <w:vMerge/>
            <w:shd w:val="clear" w:color="auto" w:fill="4472C4"/>
            <w:vAlign w:val="center"/>
          </w:tcPr>
          <w:p w14:paraId="392BB274" w14:textId="77777777" w:rsidR="00990B14" w:rsidRDefault="00990B14">
            <w:pPr>
              <w:spacing w:before="20" w:after="20"/>
            </w:pPr>
          </w:p>
        </w:tc>
        <w:tc>
          <w:tcPr>
            <w:tcW w:w="2015" w:type="dxa"/>
            <w:shd w:val="clear" w:color="auto" w:fill="D9E2F3"/>
            <w:vAlign w:val="center"/>
          </w:tcPr>
          <w:p w14:paraId="5C69E60E" w14:textId="77777777" w:rsidR="00990B14" w:rsidRDefault="00000000">
            <w:pPr>
              <w:spacing w:before="20" w:after="20"/>
              <w:jc w:val="both"/>
            </w:pPr>
            <w:r>
              <w:rPr>
                <w:sz w:val="18"/>
                <w:szCs w:val="18"/>
              </w:rPr>
              <w:t>Desarrollo técnico</w:t>
            </w:r>
          </w:p>
        </w:tc>
        <w:tc>
          <w:tcPr>
            <w:tcW w:w="2120" w:type="dxa"/>
            <w:shd w:val="clear" w:color="auto" w:fill="D9E2F3"/>
            <w:vAlign w:val="center"/>
          </w:tcPr>
          <w:p w14:paraId="65AB7FB9" w14:textId="77777777" w:rsidR="00990B14" w:rsidRDefault="00000000">
            <w:pPr>
              <w:spacing w:before="20" w:after="20"/>
              <w:jc w:val="both"/>
            </w:pPr>
            <w:r>
              <w:rPr>
                <w:sz w:val="18"/>
                <w:szCs w:val="18"/>
              </w:rPr>
              <w:t>Omite cálculos, matrices o pasos esenciales, o aparecen errores que alteran el resultado.</w:t>
            </w:r>
          </w:p>
        </w:tc>
        <w:tc>
          <w:tcPr>
            <w:tcW w:w="1903" w:type="dxa"/>
            <w:shd w:val="clear" w:color="auto" w:fill="D9E2F3"/>
            <w:vAlign w:val="center"/>
          </w:tcPr>
          <w:p w14:paraId="7F4FD7D6" w14:textId="77777777" w:rsidR="00990B14" w:rsidRDefault="00000000">
            <w:pPr>
              <w:spacing w:before="20" w:after="20"/>
              <w:jc w:val="both"/>
            </w:pPr>
            <w:r>
              <w:rPr>
                <w:sz w:val="18"/>
                <w:szCs w:val="18"/>
              </w:rPr>
              <w:t>Desarrolla correctamente cálculos, matrices o modelos con supuestos explícitos.</w:t>
            </w:r>
          </w:p>
        </w:tc>
        <w:tc>
          <w:tcPr>
            <w:tcW w:w="1877" w:type="dxa"/>
            <w:shd w:val="clear" w:color="auto" w:fill="D9E2F3"/>
            <w:vAlign w:val="center"/>
          </w:tcPr>
          <w:p w14:paraId="351821B5" w14:textId="77777777" w:rsidR="00990B14" w:rsidRDefault="00000000">
            <w:pPr>
              <w:spacing w:before="20" w:after="20"/>
              <w:jc w:val="both"/>
            </w:pPr>
            <w:r>
              <w:rPr>
                <w:sz w:val="18"/>
                <w:szCs w:val="18"/>
              </w:rPr>
              <w:t>Comprueba resultados y explica su sensibilidad ante supuestos o escenarios alternativos.</w:t>
            </w:r>
          </w:p>
        </w:tc>
      </w:tr>
      <w:tr w:rsidR="00990B14" w14:paraId="65AFF8F2" w14:textId="77777777">
        <w:trPr>
          <w:cantSplit/>
          <w:jc w:val="center"/>
        </w:trPr>
        <w:tc>
          <w:tcPr>
            <w:tcW w:w="1490" w:type="dxa"/>
            <w:vMerge/>
            <w:shd w:val="clear" w:color="auto" w:fill="4472C4"/>
            <w:vAlign w:val="center"/>
          </w:tcPr>
          <w:p w14:paraId="044D5528" w14:textId="77777777" w:rsidR="00990B14" w:rsidRDefault="00990B14">
            <w:pPr>
              <w:spacing w:before="20" w:after="20"/>
            </w:pPr>
          </w:p>
        </w:tc>
        <w:tc>
          <w:tcPr>
            <w:tcW w:w="2015" w:type="dxa"/>
            <w:shd w:val="clear" w:color="auto" w:fill="D9E2F3"/>
            <w:vAlign w:val="center"/>
          </w:tcPr>
          <w:p w14:paraId="25C897CE" w14:textId="77777777" w:rsidR="00990B14" w:rsidRDefault="00000000">
            <w:pPr>
              <w:spacing w:before="20" w:after="20"/>
              <w:jc w:val="both"/>
            </w:pPr>
            <w:r>
              <w:rPr>
                <w:sz w:val="18"/>
                <w:szCs w:val="18"/>
              </w:rPr>
              <w:t>Respaldo y conclusión</w:t>
            </w:r>
          </w:p>
        </w:tc>
        <w:tc>
          <w:tcPr>
            <w:tcW w:w="2120" w:type="dxa"/>
            <w:shd w:val="clear" w:color="auto" w:fill="D9E2F3"/>
            <w:vAlign w:val="center"/>
          </w:tcPr>
          <w:p w14:paraId="1B747D20" w14:textId="77777777" w:rsidR="00990B14" w:rsidRDefault="00000000">
            <w:pPr>
              <w:spacing w:before="20" w:after="20"/>
              <w:jc w:val="both"/>
            </w:pPr>
            <w:r>
              <w:rPr>
                <w:sz w:val="18"/>
                <w:szCs w:val="18"/>
              </w:rPr>
              <w:t>Utiliza datos no identificados y emite una recomendación sin sustento.</w:t>
            </w:r>
          </w:p>
        </w:tc>
        <w:tc>
          <w:tcPr>
            <w:tcW w:w="1903" w:type="dxa"/>
            <w:shd w:val="clear" w:color="auto" w:fill="D9E2F3"/>
            <w:vAlign w:val="center"/>
          </w:tcPr>
          <w:p w14:paraId="5EF0EC72" w14:textId="77777777" w:rsidR="00990B14" w:rsidRDefault="00000000">
            <w:pPr>
              <w:spacing w:before="20" w:after="20"/>
              <w:jc w:val="both"/>
            </w:pPr>
            <w:r>
              <w:rPr>
                <w:sz w:val="18"/>
                <w:szCs w:val="18"/>
              </w:rPr>
              <w:t>Emplea información de respaldo y concluye según los resultados obtenidos.</w:t>
            </w:r>
          </w:p>
        </w:tc>
        <w:tc>
          <w:tcPr>
            <w:tcW w:w="1877" w:type="dxa"/>
            <w:shd w:val="clear" w:color="auto" w:fill="D9E2F3"/>
            <w:vAlign w:val="center"/>
          </w:tcPr>
          <w:p w14:paraId="5BABB79D" w14:textId="77777777" w:rsidR="00990B14" w:rsidRDefault="00000000">
            <w:pPr>
              <w:spacing w:before="20" w:after="20"/>
              <w:jc w:val="both"/>
            </w:pPr>
            <w:r>
              <w:rPr>
                <w:sz w:val="18"/>
                <w:szCs w:val="18"/>
              </w:rPr>
              <w:t>Contrasta las fuentes y justifica la decisión considerando incertidumbre y consecuencias.</w:t>
            </w:r>
          </w:p>
        </w:tc>
      </w:tr>
      <w:tr w:rsidR="00990B14" w14:paraId="5E245BBE" w14:textId="77777777">
        <w:trPr>
          <w:cantSplit/>
          <w:jc w:val="center"/>
        </w:trPr>
        <w:tc>
          <w:tcPr>
            <w:tcW w:w="1490" w:type="dxa"/>
            <w:vMerge/>
            <w:shd w:val="clear" w:color="auto" w:fill="4472C4"/>
            <w:vAlign w:val="center"/>
          </w:tcPr>
          <w:p w14:paraId="2AEE3FDF" w14:textId="77777777" w:rsidR="00990B14" w:rsidRDefault="00990B14">
            <w:pPr>
              <w:spacing w:before="20" w:after="20"/>
            </w:pPr>
          </w:p>
        </w:tc>
        <w:tc>
          <w:tcPr>
            <w:tcW w:w="6038" w:type="dxa"/>
            <w:gridSpan w:val="3"/>
            <w:shd w:val="clear" w:color="auto" w:fill="D9E2F3"/>
            <w:vAlign w:val="center"/>
          </w:tcPr>
          <w:p w14:paraId="11150D54" w14:textId="77777777" w:rsidR="00990B14" w:rsidRDefault="00000000">
            <w:pPr>
              <w:keepNext/>
              <w:spacing w:before="20" w:after="20"/>
              <w:jc w:val="both"/>
            </w:pPr>
            <w:r>
              <w:rPr>
                <w:b/>
                <w:bCs/>
                <w:i/>
                <w:iCs/>
                <w:sz w:val="18"/>
                <w:szCs w:val="18"/>
              </w:rPr>
              <w:t xml:space="preserve">Producto 8: </w:t>
            </w:r>
            <w:r>
              <w:rPr>
                <w:sz w:val="18"/>
                <w:szCs w:val="18"/>
              </w:rPr>
              <w:t>Acta de Decisión Gerencial con Enfoque Ético y de Riesgos</w:t>
            </w:r>
          </w:p>
        </w:tc>
        <w:tc>
          <w:tcPr>
            <w:tcW w:w="1877" w:type="dxa"/>
            <w:shd w:val="clear" w:color="auto" w:fill="D9E2F3"/>
            <w:vAlign w:val="center"/>
          </w:tcPr>
          <w:p w14:paraId="6FAD15A5" w14:textId="77777777" w:rsidR="00990B14" w:rsidRDefault="00000000">
            <w:pPr>
              <w:spacing w:before="20" w:after="20"/>
              <w:jc w:val="center"/>
            </w:pPr>
            <w:r>
              <w:rPr>
                <w:b/>
                <w:bCs/>
                <w:sz w:val="18"/>
                <w:szCs w:val="18"/>
              </w:rPr>
              <w:t>5%</w:t>
            </w:r>
          </w:p>
        </w:tc>
      </w:tr>
      <w:tr w:rsidR="00990B14" w14:paraId="5EB34300" w14:textId="77777777">
        <w:trPr>
          <w:cantSplit/>
          <w:jc w:val="center"/>
        </w:trPr>
        <w:tc>
          <w:tcPr>
            <w:tcW w:w="1490" w:type="dxa"/>
            <w:vMerge/>
            <w:shd w:val="clear" w:color="auto" w:fill="4472C4"/>
            <w:vAlign w:val="center"/>
          </w:tcPr>
          <w:p w14:paraId="33E06B28" w14:textId="77777777" w:rsidR="00990B14" w:rsidRDefault="00990B14">
            <w:pPr>
              <w:spacing w:before="20" w:after="20"/>
            </w:pPr>
          </w:p>
        </w:tc>
        <w:tc>
          <w:tcPr>
            <w:tcW w:w="2015" w:type="dxa"/>
            <w:shd w:val="clear" w:color="auto" w:fill="4472C4"/>
            <w:vAlign w:val="center"/>
          </w:tcPr>
          <w:p w14:paraId="437B9CEC" w14:textId="77777777" w:rsidR="00990B14" w:rsidRDefault="00000000">
            <w:pPr>
              <w:keepNext/>
              <w:spacing w:before="20" w:after="20"/>
              <w:jc w:val="center"/>
            </w:pPr>
            <w:r>
              <w:rPr>
                <w:b/>
                <w:bCs/>
                <w:i/>
                <w:iCs/>
                <w:color w:val="FFFFFF"/>
                <w:sz w:val="18"/>
                <w:szCs w:val="18"/>
              </w:rPr>
              <w:t>Criterio</w:t>
            </w:r>
          </w:p>
        </w:tc>
        <w:tc>
          <w:tcPr>
            <w:tcW w:w="2120" w:type="dxa"/>
            <w:shd w:val="clear" w:color="auto" w:fill="4472C4"/>
            <w:vAlign w:val="center"/>
          </w:tcPr>
          <w:p w14:paraId="783FD6D5" w14:textId="77777777" w:rsidR="00990B14" w:rsidRDefault="00000000">
            <w:pPr>
              <w:keepNext/>
              <w:spacing w:before="20" w:after="20"/>
              <w:jc w:val="center"/>
            </w:pPr>
            <w:r>
              <w:rPr>
                <w:b/>
                <w:bCs/>
                <w:i/>
                <w:iCs/>
                <w:color w:val="FFFFFF"/>
                <w:sz w:val="18"/>
                <w:szCs w:val="18"/>
              </w:rPr>
              <w:t>Insuficiente (1–50)</w:t>
            </w:r>
          </w:p>
        </w:tc>
        <w:tc>
          <w:tcPr>
            <w:tcW w:w="1903" w:type="dxa"/>
            <w:shd w:val="clear" w:color="auto" w:fill="4472C4"/>
            <w:vAlign w:val="center"/>
          </w:tcPr>
          <w:p w14:paraId="4421A60F"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59EC70E1" w14:textId="77777777" w:rsidR="00990B14" w:rsidRDefault="00000000">
            <w:pPr>
              <w:keepNext/>
              <w:spacing w:before="20" w:after="20"/>
              <w:jc w:val="center"/>
            </w:pPr>
            <w:r>
              <w:rPr>
                <w:b/>
                <w:bCs/>
                <w:i/>
                <w:iCs/>
                <w:color w:val="FFFFFF"/>
                <w:sz w:val="18"/>
                <w:szCs w:val="18"/>
              </w:rPr>
              <w:t>Destacado (81–100)</w:t>
            </w:r>
          </w:p>
        </w:tc>
      </w:tr>
      <w:tr w:rsidR="00990B14" w14:paraId="3510B260" w14:textId="77777777">
        <w:trPr>
          <w:cantSplit/>
          <w:jc w:val="center"/>
        </w:trPr>
        <w:tc>
          <w:tcPr>
            <w:tcW w:w="1490" w:type="dxa"/>
            <w:vMerge/>
            <w:shd w:val="clear" w:color="auto" w:fill="4472C4"/>
            <w:vAlign w:val="center"/>
          </w:tcPr>
          <w:p w14:paraId="1E1E39FC" w14:textId="77777777" w:rsidR="00990B14" w:rsidRDefault="00990B14">
            <w:pPr>
              <w:spacing w:before="20" w:after="20"/>
            </w:pPr>
          </w:p>
        </w:tc>
        <w:tc>
          <w:tcPr>
            <w:tcW w:w="2015" w:type="dxa"/>
            <w:shd w:val="clear" w:color="auto" w:fill="D9E2F3"/>
            <w:vAlign w:val="center"/>
          </w:tcPr>
          <w:p w14:paraId="08A32A01" w14:textId="77777777" w:rsidR="00990B14" w:rsidRDefault="00000000">
            <w:pPr>
              <w:spacing w:before="20" w:after="20"/>
              <w:jc w:val="both"/>
            </w:pPr>
            <w:r>
              <w:rPr>
                <w:sz w:val="18"/>
                <w:szCs w:val="18"/>
              </w:rPr>
              <w:t>Formalización de la decisión</w:t>
            </w:r>
          </w:p>
        </w:tc>
        <w:tc>
          <w:tcPr>
            <w:tcW w:w="2120" w:type="dxa"/>
            <w:shd w:val="clear" w:color="auto" w:fill="D9E2F3"/>
            <w:vAlign w:val="center"/>
          </w:tcPr>
          <w:p w14:paraId="768F1757" w14:textId="77777777" w:rsidR="00990B14" w:rsidRDefault="00000000">
            <w:pPr>
              <w:spacing w:before="20" w:after="20"/>
              <w:jc w:val="both"/>
            </w:pPr>
            <w:r>
              <w:rPr>
                <w:sz w:val="18"/>
                <w:szCs w:val="18"/>
              </w:rPr>
              <w:t>No deja constancia clara de la decisión o carece de sus fundamentos básicos.</w:t>
            </w:r>
          </w:p>
        </w:tc>
        <w:tc>
          <w:tcPr>
            <w:tcW w:w="1903" w:type="dxa"/>
            <w:shd w:val="clear" w:color="auto" w:fill="D9E2F3"/>
            <w:vAlign w:val="center"/>
          </w:tcPr>
          <w:p w14:paraId="6A7F6089" w14:textId="77777777" w:rsidR="00990B14" w:rsidRDefault="00000000">
            <w:pPr>
              <w:spacing w:before="20" w:after="20"/>
              <w:jc w:val="both"/>
            </w:pPr>
            <w:r>
              <w:rPr>
                <w:sz w:val="18"/>
                <w:szCs w:val="18"/>
              </w:rPr>
              <w:t>Registra el asunto, la alternativa elegida, la justificación y los acuerdos del comité.</w:t>
            </w:r>
          </w:p>
        </w:tc>
        <w:tc>
          <w:tcPr>
            <w:tcW w:w="1877" w:type="dxa"/>
            <w:shd w:val="clear" w:color="auto" w:fill="D9E2F3"/>
            <w:vAlign w:val="center"/>
          </w:tcPr>
          <w:p w14:paraId="33A75265" w14:textId="77777777" w:rsidR="00990B14" w:rsidRDefault="00000000">
            <w:pPr>
              <w:spacing w:before="20" w:after="20"/>
              <w:jc w:val="both"/>
            </w:pPr>
            <w:r>
              <w:rPr>
                <w:sz w:val="18"/>
                <w:szCs w:val="18"/>
              </w:rPr>
              <w:t>Define compromisos, responsables y condiciones para ejecutar y revisar la decisión.</w:t>
            </w:r>
          </w:p>
        </w:tc>
      </w:tr>
      <w:tr w:rsidR="00990B14" w14:paraId="2B9F01FB" w14:textId="77777777">
        <w:trPr>
          <w:cantSplit/>
          <w:jc w:val="center"/>
        </w:trPr>
        <w:tc>
          <w:tcPr>
            <w:tcW w:w="1490" w:type="dxa"/>
            <w:vMerge/>
            <w:shd w:val="clear" w:color="auto" w:fill="4472C4"/>
            <w:vAlign w:val="center"/>
          </w:tcPr>
          <w:p w14:paraId="5C97E3DE" w14:textId="77777777" w:rsidR="00990B14" w:rsidRDefault="00990B14">
            <w:pPr>
              <w:spacing w:before="20" w:after="20"/>
            </w:pPr>
          </w:p>
        </w:tc>
        <w:tc>
          <w:tcPr>
            <w:tcW w:w="2015" w:type="dxa"/>
            <w:shd w:val="clear" w:color="auto" w:fill="D9E2F3"/>
            <w:vAlign w:val="center"/>
          </w:tcPr>
          <w:p w14:paraId="4A0D9111" w14:textId="77777777" w:rsidR="00990B14" w:rsidRDefault="00000000">
            <w:pPr>
              <w:spacing w:before="20" w:after="20"/>
              <w:jc w:val="both"/>
            </w:pPr>
            <w:r>
              <w:rPr>
                <w:sz w:val="18"/>
                <w:szCs w:val="18"/>
              </w:rPr>
              <w:t>Análisis de riesgos y fuentes</w:t>
            </w:r>
          </w:p>
        </w:tc>
        <w:tc>
          <w:tcPr>
            <w:tcW w:w="2120" w:type="dxa"/>
            <w:shd w:val="clear" w:color="auto" w:fill="D9E2F3"/>
            <w:vAlign w:val="center"/>
          </w:tcPr>
          <w:p w14:paraId="058315B7" w14:textId="77777777" w:rsidR="00990B14" w:rsidRDefault="00000000">
            <w:pPr>
              <w:spacing w:before="20" w:after="20"/>
              <w:jc w:val="both"/>
            </w:pPr>
            <w:r>
              <w:rPr>
                <w:sz w:val="18"/>
                <w:szCs w:val="18"/>
              </w:rPr>
              <w:t>Omite riesgos relevantes o no identifica las fuentes utilizadas.</w:t>
            </w:r>
          </w:p>
        </w:tc>
        <w:tc>
          <w:tcPr>
            <w:tcW w:w="1903" w:type="dxa"/>
            <w:shd w:val="clear" w:color="auto" w:fill="D9E2F3"/>
            <w:vAlign w:val="center"/>
          </w:tcPr>
          <w:p w14:paraId="10E4CD79" w14:textId="77777777" w:rsidR="00990B14" w:rsidRDefault="00000000">
            <w:pPr>
              <w:spacing w:before="20" w:after="20"/>
              <w:jc w:val="both"/>
            </w:pPr>
            <w:r>
              <w:rPr>
                <w:sz w:val="18"/>
                <w:szCs w:val="18"/>
              </w:rPr>
              <w:t>Expone riesgos asociados y señala las fuentes de información que respaldan la resolución.</w:t>
            </w:r>
          </w:p>
        </w:tc>
        <w:tc>
          <w:tcPr>
            <w:tcW w:w="1877" w:type="dxa"/>
            <w:shd w:val="clear" w:color="auto" w:fill="D9E2F3"/>
            <w:vAlign w:val="center"/>
          </w:tcPr>
          <w:p w14:paraId="34AB5314" w14:textId="77777777" w:rsidR="00990B14" w:rsidRDefault="00000000">
            <w:pPr>
              <w:spacing w:before="20" w:after="20"/>
              <w:jc w:val="both"/>
            </w:pPr>
            <w:r>
              <w:rPr>
                <w:sz w:val="18"/>
                <w:szCs w:val="18"/>
              </w:rPr>
              <w:t>Contrasta fuentes, valora los riesgos y establece medidas para controlar sus efectos.</w:t>
            </w:r>
          </w:p>
        </w:tc>
      </w:tr>
      <w:tr w:rsidR="00990B14" w14:paraId="357DBED2" w14:textId="77777777">
        <w:trPr>
          <w:cantSplit/>
          <w:jc w:val="center"/>
        </w:trPr>
        <w:tc>
          <w:tcPr>
            <w:tcW w:w="1490" w:type="dxa"/>
            <w:vMerge/>
            <w:shd w:val="clear" w:color="auto" w:fill="4472C4"/>
            <w:vAlign w:val="center"/>
          </w:tcPr>
          <w:p w14:paraId="0E1BBA40" w14:textId="77777777" w:rsidR="00990B14" w:rsidRDefault="00990B14">
            <w:pPr>
              <w:spacing w:before="20" w:after="20"/>
            </w:pPr>
          </w:p>
        </w:tc>
        <w:tc>
          <w:tcPr>
            <w:tcW w:w="2015" w:type="dxa"/>
            <w:shd w:val="clear" w:color="auto" w:fill="D9E2F3"/>
            <w:vAlign w:val="center"/>
          </w:tcPr>
          <w:p w14:paraId="58C4E857" w14:textId="77777777" w:rsidR="00990B14" w:rsidRDefault="00000000">
            <w:pPr>
              <w:spacing w:before="20" w:after="20"/>
              <w:jc w:val="both"/>
            </w:pPr>
            <w:r>
              <w:rPr>
                <w:sz w:val="18"/>
                <w:szCs w:val="18"/>
              </w:rPr>
              <w:t>Ética y argumentación</w:t>
            </w:r>
          </w:p>
        </w:tc>
        <w:tc>
          <w:tcPr>
            <w:tcW w:w="2120" w:type="dxa"/>
            <w:shd w:val="clear" w:color="auto" w:fill="D9E2F3"/>
            <w:vAlign w:val="center"/>
          </w:tcPr>
          <w:p w14:paraId="15122933" w14:textId="77777777" w:rsidR="00990B14" w:rsidRDefault="00000000">
            <w:pPr>
              <w:spacing w:before="20" w:after="20"/>
              <w:jc w:val="both"/>
            </w:pPr>
            <w:r>
              <w:rPr>
                <w:sz w:val="18"/>
                <w:szCs w:val="18"/>
              </w:rPr>
              <w:t>No aborda posibles conflictos de intereses ni principios éticos.</w:t>
            </w:r>
          </w:p>
        </w:tc>
        <w:tc>
          <w:tcPr>
            <w:tcW w:w="1903" w:type="dxa"/>
            <w:shd w:val="clear" w:color="auto" w:fill="D9E2F3"/>
            <w:vAlign w:val="center"/>
          </w:tcPr>
          <w:p w14:paraId="74C349F6" w14:textId="77777777" w:rsidR="00990B14" w:rsidRDefault="00000000">
            <w:pPr>
              <w:spacing w:before="20" w:after="20"/>
              <w:jc w:val="both"/>
            </w:pPr>
            <w:r>
              <w:rPr>
                <w:sz w:val="18"/>
                <w:szCs w:val="18"/>
              </w:rPr>
              <w:t>Explica el cumplimiento de principios éticos y la responsabilidad por la decisión.</w:t>
            </w:r>
          </w:p>
        </w:tc>
        <w:tc>
          <w:tcPr>
            <w:tcW w:w="1877" w:type="dxa"/>
            <w:shd w:val="clear" w:color="auto" w:fill="D9E2F3"/>
            <w:vAlign w:val="center"/>
          </w:tcPr>
          <w:p w14:paraId="02F96AAA" w14:textId="77777777" w:rsidR="00990B14" w:rsidRDefault="00000000">
            <w:pPr>
              <w:spacing w:before="20" w:after="20"/>
              <w:jc w:val="both"/>
            </w:pPr>
            <w:r>
              <w:rPr>
                <w:sz w:val="18"/>
                <w:szCs w:val="18"/>
              </w:rPr>
              <w:t>Fundamenta el juicio ético frente a alternativas y deja constancia de medidas de transparencia.</w:t>
            </w:r>
          </w:p>
        </w:tc>
      </w:tr>
      <w:tr w:rsidR="00990B14" w14:paraId="24117BDE" w14:textId="77777777">
        <w:trPr>
          <w:cantSplit/>
          <w:jc w:val="center"/>
        </w:trPr>
        <w:tc>
          <w:tcPr>
            <w:tcW w:w="1490" w:type="dxa"/>
            <w:vMerge/>
            <w:shd w:val="clear" w:color="auto" w:fill="4472C4"/>
            <w:vAlign w:val="center"/>
          </w:tcPr>
          <w:p w14:paraId="340E4793" w14:textId="77777777" w:rsidR="00990B14" w:rsidRDefault="00990B14">
            <w:pPr>
              <w:spacing w:before="20" w:after="20"/>
            </w:pPr>
          </w:p>
        </w:tc>
        <w:tc>
          <w:tcPr>
            <w:tcW w:w="6038" w:type="dxa"/>
            <w:gridSpan w:val="3"/>
            <w:shd w:val="clear" w:color="auto" w:fill="D9E2F3"/>
            <w:vAlign w:val="center"/>
          </w:tcPr>
          <w:p w14:paraId="22DC8F3F" w14:textId="77777777" w:rsidR="00990B14" w:rsidRDefault="00000000">
            <w:pPr>
              <w:keepNext/>
              <w:spacing w:before="20" w:after="20"/>
              <w:jc w:val="both"/>
            </w:pPr>
            <w:r>
              <w:rPr>
                <w:b/>
                <w:bCs/>
                <w:i/>
                <w:iCs/>
                <w:sz w:val="18"/>
                <w:szCs w:val="18"/>
              </w:rPr>
              <w:t xml:space="preserve">Producto 9: </w:t>
            </w:r>
            <w:r>
              <w:rPr>
                <w:sz w:val="18"/>
                <w:szCs w:val="18"/>
              </w:rPr>
              <w:t>Plan Estratégico y Operativo</w:t>
            </w:r>
          </w:p>
        </w:tc>
        <w:tc>
          <w:tcPr>
            <w:tcW w:w="1877" w:type="dxa"/>
            <w:shd w:val="clear" w:color="auto" w:fill="D9E2F3"/>
            <w:vAlign w:val="center"/>
          </w:tcPr>
          <w:p w14:paraId="02702A40" w14:textId="77777777" w:rsidR="00990B14" w:rsidRDefault="00000000">
            <w:pPr>
              <w:spacing w:before="20" w:after="20"/>
              <w:jc w:val="center"/>
            </w:pPr>
            <w:r>
              <w:rPr>
                <w:b/>
                <w:bCs/>
                <w:sz w:val="18"/>
                <w:szCs w:val="18"/>
              </w:rPr>
              <w:t>10%</w:t>
            </w:r>
          </w:p>
        </w:tc>
      </w:tr>
      <w:tr w:rsidR="00990B14" w14:paraId="0E2849F1" w14:textId="77777777">
        <w:trPr>
          <w:cantSplit/>
          <w:jc w:val="center"/>
        </w:trPr>
        <w:tc>
          <w:tcPr>
            <w:tcW w:w="1490" w:type="dxa"/>
            <w:vMerge/>
            <w:shd w:val="clear" w:color="auto" w:fill="4472C4"/>
            <w:vAlign w:val="center"/>
          </w:tcPr>
          <w:p w14:paraId="4DC9CA58" w14:textId="77777777" w:rsidR="00990B14" w:rsidRDefault="00990B14">
            <w:pPr>
              <w:spacing w:before="20" w:after="20"/>
            </w:pPr>
          </w:p>
        </w:tc>
        <w:tc>
          <w:tcPr>
            <w:tcW w:w="2015" w:type="dxa"/>
            <w:shd w:val="clear" w:color="auto" w:fill="4472C4"/>
            <w:vAlign w:val="center"/>
          </w:tcPr>
          <w:p w14:paraId="51646284" w14:textId="77777777" w:rsidR="00990B14" w:rsidRDefault="00000000">
            <w:pPr>
              <w:keepNext/>
              <w:spacing w:before="20" w:after="20"/>
              <w:jc w:val="center"/>
            </w:pPr>
            <w:r>
              <w:rPr>
                <w:b/>
                <w:bCs/>
                <w:i/>
                <w:iCs/>
                <w:color w:val="FFFFFF"/>
                <w:sz w:val="18"/>
                <w:szCs w:val="18"/>
              </w:rPr>
              <w:t>Criterio</w:t>
            </w:r>
          </w:p>
        </w:tc>
        <w:tc>
          <w:tcPr>
            <w:tcW w:w="2120" w:type="dxa"/>
            <w:shd w:val="clear" w:color="auto" w:fill="4472C4"/>
            <w:vAlign w:val="center"/>
          </w:tcPr>
          <w:p w14:paraId="132445E9" w14:textId="77777777" w:rsidR="00990B14" w:rsidRDefault="00000000">
            <w:pPr>
              <w:keepNext/>
              <w:spacing w:before="20" w:after="20"/>
              <w:jc w:val="center"/>
            </w:pPr>
            <w:r>
              <w:rPr>
                <w:b/>
                <w:bCs/>
                <w:i/>
                <w:iCs/>
                <w:color w:val="FFFFFF"/>
                <w:sz w:val="18"/>
                <w:szCs w:val="18"/>
              </w:rPr>
              <w:t>Insuficiente (1–50)</w:t>
            </w:r>
          </w:p>
        </w:tc>
        <w:tc>
          <w:tcPr>
            <w:tcW w:w="1903" w:type="dxa"/>
            <w:shd w:val="clear" w:color="auto" w:fill="4472C4"/>
            <w:vAlign w:val="center"/>
          </w:tcPr>
          <w:p w14:paraId="719ABAF5"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58033580" w14:textId="77777777" w:rsidR="00990B14" w:rsidRDefault="00000000">
            <w:pPr>
              <w:keepNext/>
              <w:spacing w:before="20" w:after="20"/>
              <w:jc w:val="center"/>
            </w:pPr>
            <w:r>
              <w:rPr>
                <w:b/>
                <w:bCs/>
                <w:i/>
                <w:iCs/>
                <w:color w:val="FFFFFF"/>
                <w:sz w:val="18"/>
                <w:szCs w:val="18"/>
              </w:rPr>
              <w:t>Destacado (81–100)</w:t>
            </w:r>
          </w:p>
        </w:tc>
      </w:tr>
      <w:tr w:rsidR="00990B14" w14:paraId="1031E2FB" w14:textId="77777777">
        <w:trPr>
          <w:cantSplit/>
          <w:jc w:val="center"/>
        </w:trPr>
        <w:tc>
          <w:tcPr>
            <w:tcW w:w="1490" w:type="dxa"/>
            <w:vMerge/>
            <w:shd w:val="clear" w:color="auto" w:fill="4472C4"/>
            <w:vAlign w:val="center"/>
          </w:tcPr>
          <w:p w14:paraId="3AA95F3E" w14:textId="77777777" w:rsidR="00990B14" w:rsidRDefault="00990B14">
            <w:pPr>
              <w:spacing w:before="20" w:after="20"/>
            </w:pPr>
          </w:p>
        </w:tc>
        <w:tc>
          <w:tcPr>
            <w:tcW w:w="2015" w:type="dxa"/>
            <w:shd w:val="clear" w:color="auto" w:fill="D9E2F3"/>
            <w:vAlign w:val="center"/>
          </w:tcPr>
          <w:p w14:paraId="0EB7AC50" w14:textId="77777777" w:rsidR="00990B14" w:rsidRDefault="00000000">
            <w:pPr>
              <w:spacing w:before="20" w:after="20"/>
              <w:jc w:val="both"/>
            </w:pPr>
            <w:r>
              <w:rPr>
                <w:sz w:val="18"/>
                <w:szCs w:val="18"/>
              </w:rPr>
              <w:t>Diagnóstico estratégico</w:t>
            </w:r>
          </w:p>
        </w:tc>
        <w:tc>
          <w:tcPr>
            <w:tcW w:w="2120" w:type="dxa"/>
            <w:shd w:val="clear" w:color="auto" w:fill="D9E2F3"/>
            <w:vAlign w:val="center"/>
          </w:tcPr>
          <w:p w14:paraId="375A23EC" w14:textId="77777777" w:rsidR="00990B14" w:rsidRDefault="00000000">
            <w:pPr>
              <w:spacing w:before="20" w:after="20"/>
              <w:jc w:val="both"/>
            </w:pPr>
            <w:r>
              <w:rPr>
                <w:sz w:val="18"/>
                <w:szCs w:val="18"/>
              </w:rPr>
              <w:t>No presenta diagnóstico o confunde los factores internos y externos.</w:t>
            </w:r>
          </w:p>
        </w:tc>
        <w:tc>
          <w:tcPr>
            <w:tcW w:w="1903" w:type="dxa"/>
            <w:shd w:val="clear" w:color="auto" w:fill="D9E2F3"/>
            <w:vAlign w:val="center"/>
          </w:tcPr>
          <w:p w14:paraId="1820EAAE" w14:textId="77777777" w:rsidR="00990B14" w:rsidRDefault="00000000">
            <w:pPr>
              <w:spacing w:before="20" w:after="20"/>
              <w:jc w:val="both"/>
            </w:pPr>
            <w:r>
              <w:rPr>
                <w:sz w:val="18"/>
                <w:szCs w:val="18"/>
              </w:rPr>
              <w:t>Describe la situación de la entidad mediante un diagnóstico interno y externo pertinente.</w:t>
            </w:r>
          </w:p>
        </w:tc>
        <w:tc>
          <w:tcPr>
            <w:tcW w:w="1877" w:type="dxa"/>
            <w:shd w:val="clear" w:color="auto" w:fill="D9E2F3"/>
            <w:vAlign w:val="center"/>
          </w:tcPr>
          <w:p w14:paraId="41D7D5CD" w14:textId="77777777" w:rsidR="00990B14" w:rsidRDefault="00000000">
            <w:pPr>
              <w:spacing w:before="20" w:after="20"/>
              <w:jc w:val="both"/>
            </w:pPr>
            <w:r>
              <w:rPr>
                <w:sz w:val="18"/>
                <w:szCs w:val="18"/>
              </w:rPr>
              <w:t>Prioriza factores estratégicos y sustenta su influencia en las decisiones del plan.</w:t>
            </w:r>
          </w:p>
        </w:tc>
      </w:tr>
      <w:tr w:rsidR="00990B14" w14:paraId="2F492963" w14:textId="77777777">
        <w:trPr>
          <w:cantSplit/>
          <w:jc w:val="center"/>
        </w:trPr>
        <w:tc>
          <w:tcPr>
            <w:tcW w:w="1490" w:type="dxa"/>
            <w:vMerge/>
            <w:shd w:val="clear" w:color="auto" w:fill="4472C4"/>
            <w:vAlign w:val="center"/>
          </w:tcPr>
          <w:p w14:paraId="64DD71ED" w14:textId="77777777" w:rsidR="00990B14" w:rsidRDefault="00990B14">
            <w:pPr>
              <w:spacing w:before="20" w:after="20"/>
            </w:pPr>
          </w:p>
        </w:tc>
        <w:tc>
          <w:tcPr>
            <w:tcW w:w="2015" w:type="dxa"/>
            <w:shd w:val="clear" w:color="auto" w:fill="D9E2F3"/>
            <w:vAlign w:val="center"/>
          </w:tcPr>
          <w:p w14:paraId="1E687A86" w14:textId="77777777" w:rsidR="00990B14" w:rsidRDefault="00000000">
            <w:pPr>
              <w:spacing w:before="20" w:after="20"/>
              <w:jc w:val="both"/>
            </w:pPr>
            <w:r>
              <w:rPr>
                <w:sz w:val="18"/>
                <w:szCs w:val="18"/>
              </w:rPr>
              <w:t>Objetivos SMART</w:t>
            </w:r>
          </w:p>
        </w:tc>
        <w:tc>
          <w:tcPr>
            <w:tcW w:w="2120" w:type="dxa"/>
            <w:shd w:val="clear" w:color="auto" w:fill="D9E2F3"/>
            <w:vAlign w:val="center"/>
          </w:tcPr>
          <w:p w14:paraId="29312FF6" w14:textId="77777777" w:rsidR="00990B14" w:rsidRDefault="00000000">
            <w:pPr>
              <w:spacing w:before="20" w:after="20"/>
              <w:jc w:val="both"/>
            </w:pPr>
            <w:r>
              <w:rPr>
                <w:sz w:val="18"/>
                <w:szCs w:val="18"/>
              </w:rPr>
              <w:t>Formula objetivos vagos, sin indicadores, plazos o relación con el diagnóstico.</w:t>
            </w:r>
          </w:p>
        </w:tc>
        <w:tc>
          <w:tcPr>
            <w:tcW w:w="1903" w:type="dxa"/>
            <w:shd w:val="clear" w:color="auto" w:fill="D9E2F3"/>
            <w:vAlign w:val="center"/>
          </w:tcPr>
          <w:p w14:paraId="5F09BC91" w14:textId="77777777" w:rsidR="00990B14" w:rsidRDefault="00000000">
            <w:pPr>
              <w:spacing w:before="20" w:after="20"/>
              <w:jc w:val="both"/>
            </w:pPr>
            <w:r>
              <w:rPr>
                <w:sz w:val="18"/>
                <w:szCs w:val="18"/>
              </w:rPr>
              <w:t>Establece objetivos específicos, medibles, alcanzables, relevantes y temporales.</w:t>
            </w:r>
          </w:p>
        </w:tc>
        <w:tc>
          <w:tcPr>
            <w:tcW w:w="1877" w:type="dxa"/>
            <w:shd w:val="clear" w:color="auto" w:fill="D9E2F3"/>
            <w:vAlign w:val="center"/>
          </w:tcPr>
          <w:p w14:paraId="1393FC77" w14:textId="77777777" w:rsidR="00990B14" w:rsidRDefault="00000000">
            <w:pPr>
              <w:spacing w:before="20" w:after="20"/>
              <w:jc w:val="both"/>
            </w:pPr>
            <w:r>
              <w:rPr>
                <w:sz w:val="18"/>
                <w:szCs w:val="18"/>
              </w:rPr>
              <w:t>Articula los objetivos de distintos niveles y demuestra su coherencia con misión y visión.</w:t>
            </w:r>
          </w:p>
        </w:tc>
      </w:tr>
      <w:tr w:rsidR="00990B14" w14:paraId="5B34286C" w14:textId="77777777">
        <w:trPr>
          <w:cantSplit/>
          <w:jc w:val="center"/>
        </w:trPr>
        <w:tc>
          <w:tcPr>
            <w:tcW w:w="1490" w:type="dxa"/>
            <w:vMerge/>
            <w:shd w:val="clear" w:color="auto" w:fill="4472C4"/>
            <w:vAlign w:val="center"/>
          </w:tcPr>
          <w:p w14:paraId="24C591BC" w14:textId="77777777" w:rsidR="00990B14" w:rsidRDefault="00990B14">
            <w:pPr>
              <w:spacing w:before="20" w:after="20"/>
            </w:pPr>
          </w:p>
        </w:tc>
        <w:tc>
          <w:tcPr>
            <w:tcW w:w="2015" w:type="dxa"/>
            <w:shd w:val="clear" w:color="auto" w:fill="D9E2F3"/>
            <w:vAlign w:val="center"/>
          </w:tcPr>
          <w:p w14:paraId="4A7499CF" w14:textId="77777777" w:rsidR="00990B14" w:rsidRDefault="00000000">
            <w:pPr>
              <w:spacing w:before="20" w:after="20"/>
              <w:jc w:val="both"/>
            </w:pPr>
            <w:r>
              <w:rPr>
                <w:sz w:val="18"/>
                <w:szCs w:val="18"/>
              </w:rPr>
              <w:t>Despliegue del plan</w:t>
            </w:r>
          </w:p>
        </w:tc>
        <w:tc>
          <w:tcPr>
            <w:tcW w:w="2120" w:type="dxa"/>
            <w:shd w:val="clear" w:color="auto" w:fill="D9E2F3"/>
            <w:vAlign w:val="center"/>
          </w:tcPr>
          <w:p w14:paraId="763D8319" w14:textId="77777777" w:rsidR="00990B14" w:rsidRDefault="00000000">
            <w:pPr>
              <w:spacing w:before="20" w:after="20"/>
              <w:jc w:val="both"/>
            </w:pPr>
            <w:r>
              <w:rPr>
                <w:sz w:val="18"/>
                <w:szCs w:val="18"/>
              </w:rPr>
              <w:t>Omite las acciones necesarias para concretar los objetivos.</w:t>
            </w:r>
          </w:p>
        </w:tc>
        <w:tc>
          <w:tcPr>
            <w:tcW w:w="1903" w:type="dxa"/>
            <w:shd w:val="clear" w:color="auto" w:fill="D9E2F3"/>
            <w:vAlign w:val="center"/>
          </w:tcPr>
          <w:p w14:paraId="30DB3B50" w14:textId="77777777" w:rsidR="00990B14" w:rsidRDefault="00000000">
            <w:pPr>
              <w:spacing w:before="20" w:after="20"/>
              <w:jc w:val="both"/>
            </w:pPr>
            <w:r>
              <w:rPr>
                <w:sz w:val="18"/>
                <w:szCs w:val="18"/>
              </w:rPr>
              <w:t>Detalla acciones, responsables, recursos y plazos para ejecutar el plan.</w:t>
            </w:r>
          </w:p>
        </w:tc>
        <w:tc>
          <w:tcPr>
            <w:tcW w:w="1877" w:type="dxa"/>
            <w:shd w:val="clear" w:color="auto" w:fill="D9E2F3"/>
            <w:vAlign w:val="center"/>
          </w:tcPr>
          <w:p w14:paraId="657F2ED2" w14:textId="77777777" w:rsidR="00990B14" w:rsidRDefault="00000000">
            <w:pPr>
              <w:spacing w:before="20" w:after="20"/>
              <w:jc w:val="both"/>
            </w:pPr>
            <w:r>
              <w:rPr>
                <w:sz w:val="18"/>
                <w:szCs w:val="18"/>
              </w:rPr>
              <w:t>Incorpora hitos, riesgos de ejecución y mecanismos de seguimiento coherentes con las metas.</w:t>
            </w:r>
          </w:p>
        </w:tc>
      </w:tr>
      <w:tr w:rsidR="00990B14" w14:paraId="5A7ED0AD" w14:textId="77777777">
        <w:trPr>
          <w:cantSplit/>
          <w:jc w:val="center"/>
        </w:trPr>
        <w:tc>
          <w:tcPr>
            <w:tcW w:w="1490" w:type="dxa"/>
            <w:vMerge/>
            <w:shd w:val="clear" w:color="auto" w:fill="4472C4"/>
            <w:vAlign w:val="center"/>
          </w:tcPr>
          <w:p w14:paraId="7AFF93EB" w14:textId="77777777" w:rsidR="00990B14" w:rsidRDefault="00990B14">
            <w:pPr>
              <w:spacing w:before="20" w:after="20"/>
            </w:pPr>
          </w:p>
        </w:tc>
        <w:tc>
          <w:tcPr>
            <w:tcW w:w="6038" w:type="dxa"/>
            <w:gridSpan w:val="3"/>
            <w:shd w:val="clear" w:color="auto" w:fill="D9E2F3"/>
            <w:vAlign w:val="center"/>
          </w:tcPr>
          <w:p w14:paraId="39DA92A9" w14:textId="77777777" w:rsidR="00990B14" w:rsidRDefault="00000000">
            <w:pPr>
              <w:keepNext/>
              <w:spacing w:before="20" w:after="20"/>
              <w:jc w:val="both"/>
            </w:pPr>
            <w:r>
              <w:rPr>
                <w:b/>
                <w:bCs/>
                <w:i/>
                <w:iCs/>
                <w:sz w:val="18"/>
                <w:szCs w:val="18"/>
              </w:rPr>
              <w:t xml:space="preserve">Producto 10: </w:t>
            </w:r>
            <w:r>
              <w:rPr>
                <w:sz w:val="18"/>
                <w:szCs w:val="18"/>
              </w:rPr>
              <w:t>Tablero de Control de Gestión e Indicadores de Desempeño (KPIs)</w:t>
            </w:r>
          </w:p>
        </w:tc>
        <w:tc>
          <w:tcPr>
            <w:tcW w:w="1877" w:type="dxa"/>
            <w:shd w:val="clear" w:color="auto" w:fill="D9E2F3"/>
            <w:vAlign w:val="center"/>
          </w:tcPr>
          <w:p w14:paraId="113933A4" w14:textId="77777777" w:rsidR="00990B14" w:rsidRDefault="00000000">
            <w:pPr>
              <w:spacing w:before="20" w:after="20"/>
              <w:jc w:val="center"/>
            </w:pPr>
            <w:r>
              <w:rPr>
                <w:b/>
                <w:bCs/>
                <w:sz w:val="18"/>
                <w:szCs w:val="18"/>
              </w:rPr>
              <w:t>10%</w:t>
            </w:r>
          </w:p>
        </w:tc>
      </w:tr>
      <w:tr w:rsidR="00990B14" w14:paraId="12BCCD06" w14:textId="77777777">
        <w:trPr>
          <w:cantSplit/>
          <w:jc w:val="center"/>
        </w:trPr>
        <w:tc>
          <w:tcPr>
            <w:tcW w:w="1490" w:type="dxa"/>
            <w:vMerge/>
            <w:shd w:val="clear" w:color="auto" w:fill="4472C4"/>
            <w:vAlign w:val="center"/>
          </w:tcPr>
          <w:p w14:paraId="4E185C3B" w14:textId="77777777" w:rsidR="00990B14" w:rsidRDefault="00990B14">
            <w:pPr>
              <w:spacing w:before="20" w:after="20"/>
            </w:pPr>
          </w:p>
        </w:tc>
        <w:tc>
          <w:tcPr>
            <w:tcW w:w="2015" w:type="dxa"/>
            <w:shd w:val="clear" w:color="auto" w:fill="4472C4"/>
            <w:vAlign w:val="center"/>
          </w:tcPr>
          <w:p w14:paraId="1797260B" w14:textId="77777777" w:rsidR="00990B14" w:rsidRDefault="00000000">
            <w:pPr>
              <w:keepNext/>
              <w:spacing w:before="20" w:after="20"/>
              <w:jc w:val="center"/>
            </w:pPr>
            <w:r>
              <w:rPr>
                <w:b/>
                <w:bCs/>
                <w:i/>
                <w:iCs/>
                <w:color w:val="FFFFFF"/>
                <w:sz w:val="18"/>
                <w:szCs w:val="18"/>
              </w:rPr>
              <w:t>Criterio</w:t>
            </w:r>
          </w:p>
        </w:tc>
        <w:tc>
          <w:tcPr>
            <w:tcW w:w="2120" w:type="dxa"/>
            <w:shd w:val="clear" w:color="auto" w:fill="4472C4"/>
            <w:vAlign w:val="center"/>
          </w:tcPr>
          <w:p w14:paraId="1C9B28F9" w14:textId="77777777" w:rsidR="00990B14" w:rsidRDefault="00000000">
            <w:pPr>
              <w:keepNext/>
              <w:spacing w:before="20" w:after="20"/>
              <w:jc w:val="center"/>
            </w:pPr>
            <w:r>
              <w:rPr>
                <w:b/>
                <w:bCs/>
                <w:i/>
                <w:iCs/>
                <w:color w:val="FFFFFF"/>
                <w:sz w:val="18"/>
                <w:szCs w:val="18"/>
              </w:rPr>
              <w:t>Insuficiente (1–50)</w:t>
            </w:r>
          </w:p>
        </w:tc>
        <w:tc>
          <w:tcPr>
            <w:tcW w:w="1903" w:type="dxa"/>
            <w:shd w:val="clear" w:color="auto" w:fill="4472C4"/>
            <w:vAlign w:val="center"/>
          </w:tcPr>
          <w:p w14:paraId="077F9C0C"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459225B1" w14:textId="77777777" w:rsidR="00990B14" w:rsidRDefault="00000000">
            <w:pPr>
              <w:keepNext/>
              <w:spacing w:before="20" w:after="20"/>
              <w:jc w:val="center"/>
            </w:pPr>
            <w:r>
              <w:rPr>
                <w:b/>
                <w:bCs/>
                <w:i/>
                <w:iCs/>
                <w:color w:val="FFFFFF"/>
                <w:sz w:val="18"/>
                <w:szCs w:val="18"/>
              </w:rPr>
              <w:t>Destacado (81–100)</w:t>
            </w:r>
          </w:p>
        </w:tc>
      </w:tr>
      <w:tr w:rsidR="00990B14" w14:paraId="454E7690" w14:textId="77777777">
        <w:trPr>
          <w:cantSplit/>
          <w:jc w:val="center"/>
        </w:trPr>
        <w:tc>
          <w:tcPr>
            <w:tcW w:w="1490" w:type="dxa"/>
            <w:vMerge/>
            <w:shd w:val="clear" w:color="auto" w:fill="4472C4"/>
            <w:vAlign w:val="center"/>
          </w:tcPr>
          <w:p w14:paraId="70120ADC" w14:textId="77777777" w:rsidR="00990B14" w:rsidRDefault="00990B14">
            <w:pPr>
              <w:spacing w:before="20" w:after="20"/>
            </w:pPr>
          </w:p>
        </w:tc>
        <w:tc>
          <w:tcPr>
            <w:tcW w:w="2015" w:type="dxa"/>
            <w:shd w:val="clear" w:color="auto" w:fill="D9E2F3"/>
            <w:vAlign w:val="center"/>
          </w:tcPr>
          <w:p w14:paraId="7F379626" w14:textId="77777777" w:rsidR="00990B14" w:rsidRDefault="00000000">
            <w:pPr>
              <w:spacing w:before="20" w:after="20"/>
              <w:jc w:val="both"/>
            </w:pPr>
            <w:r>
              <w:rPr>
                <w:sz w:val="18"/>
                <w:szCs w:val="18"/>
              </w:rPr>
              <w:t>Definición de indicadores</w:t>
            </w:r>
          </w:p>
        </w:tc>
        <w:tc>
          <w:tcPr>
            <w:tcW w:w="2120" w:type="dxa"/>
            <w:shd w:val="clear" w:color="auto" w:fill="D9E2F3"/>
            <w:vAlign w:val="center"/>
          </w:tcPr>
          <w:p w14:paraId="1288364E" w14:textId="77777777" w:rsidR="00990B14" w:rsidRDefault="00000000">
            <w:pPr>
              <w:spacing w:before="20" w:after="20"/>
              <w:jc w:val="both"/>
            </w:pPr>
            <w:r>
              <w:rPr>
                <w:sz w:val="18"/>
                <w:szCs w:val="18"/>
              </w:rPr>
              <w:t>Plantea indicadores sin relación con objetivos o sin unidad de medida.</w:t>
            </w:r>
          </w:p>
        </w:tc>
        <w:tc>
          <w:tcPr>
            <w:tcW w:w="1903" w:type="dxa"/>
            <w:shd w:val="clear" w:color="auto" w:fill="D9E2F3"/>
            <w:vAlign w:val="center"/>
          </w:tcPr>
          <w:p w14:paraId="0E98039D" w14:textId="77777777" w:rsidR="00990B14" w:rsidRDefault="00000000">
            <w:pPr>
              <w:spacing w:before="20" w:after="20"/>
              <w:jc w:val="both"/>
            </w:pPr>
            <w:r>
              <w:rPr>
                <w:sz w:val="18"/>
                <w:szCs w:val="18"/>
              </w:rPr>
              <w:t>Define KPIs pertinentes, con método de cálculo o criterio de medición comprensible.</w:t>
            </w:r>
          </w:p>
        </w:tc>
        <w:tc>
          <w:tcPr>
            <w:tcW w:w="1877" w:type="dxa"/>
            <w:shd w:val="clear" w:color="auto" w:fill="D9E2F3"/>
            <w:vAlign w:val="center"/>
          </w:tcPr>
          <w:p w14:paraId="78CF5721" w14:textId="77777777" w:rsidR="00990B14" w:rsidRDefault="00000000">
            <w:pPr>
              <w:spacing w:before="20" w:after="20"/>
              <w:jc w:val="both"/>
            </w:pPr>
            <w:r>
              <w:rPr>
                <w:sz w:val="18"/>
                <w:szCs w:val="18"/>
              </w:rPr>
              <w:t>Combina indicadores de resultados y de gestión, justificando su utilidad para decidir.</w:t>
            </w:r>
          </w:p>
        </w:tc>
      </w:tr>
      <w:tr w:rsidR="00990B14" w14:paraId="2DDDA02F" w14:textId="77777777">
        <w:trPr>
          <w:cantSplit/>
          <w:jc w:val="center"/>
        </w:trPr>
        <w:tc>
          <w:tcPr>
            <w:tcW w:w="1490" w:type="dxa"/>
            <w:vMerge/>
            <w:shd w:val="clear" w:color="auto" w:fill="4472C4"/>
            <w:vAlign w:val="center"/>
          </w:tcPr>
          <w:p w14:paraId="6E27499A" w14:textId="77777777" w:rsidR="00990B14" w:rsidRDefault="00990B14">
            <w:pPr>
              <w:spacing w:before="20" w:after="20"/>
            </w:pPr>
          </w:p>
        </w:tc>
        <w:tc>
          <w:tcPr>
            <w:tcW w:w="2015" w:type="dxa"/>
            <w:shd w:val="clear" w:color="auto" w:fill="D9E2F3"/>
            <w:vAlign w:val="center"/>
          </w:tcPr>
          <w:p w14:paraId="743F8A3C" w14:textId="77777777" w:rsidR="00990B14" w:rsidRDefault="00000000">
            <w:pPr>
              <w:spacing w:before="20" w:after="20"/>
              <w:jc w:val="both"/>
            </w:pPr>
            <w:r>
              <w:rPr>
                <w:sz w:val="18"/>
                <w:szCs w:val="18"/>
              </w:rPr>
              <w:t>Metas y evidencias</w:t>
            </w:r>
          </w:p>
        </w:tc>
        <w:tc>
          <w:tcPr>
            <w:tcW w:w="2120" w:type="dxa"/>
            <w:shd w:val="clear" w:color="auto" w:fill="D9E2F3"/>
            <w:vAlign w:val="center"/>
          </w:tcPr>
          <w:p w14:paraId="44A71236" w14:textId="77777777" w:rsidR="00990B14" w:rsidRDefault="00000000">
            <w:pPr>
              <w:spacing w:before="20" w:after="20"/>
              <w:jc w:val="both"/>
            </w:pPr>
            <w:r>
              <w:rPr>
                <w:sz w:val="18"/>
                <w:szCs w:val="18"/>
              </w:rPr>
              <w:t>No establece metas temporales o fuentes para comprobar los resultados.</w:t>
            </w:r>
          </w:p>
        </w:tc>
        <w:tc>
          <w:tcPr>
            <w:tcW w:w="1903" w:type="dxa"/>
            <w:shd w:val="clear" w:color="auto" w:fill="D9E2F3"/>
            <w:vAlign w:val="center"/>
          </w:tcPr>
          <w:p w14:paraId="5872898B" w14:textId="77777777" w:rsidR="00990B14" w:rsidRDefault="00000000">
            <w:pPr>
              <w:spacing w:before="20" w:after="20"/>
              <w:jc w:val="both"/>
            </w:pPr>
            <w:r>
              <w:rPr>
                <w:sz w:val="18"/>
                <w:szCs w:val="18"/>
              </w:rPr>
              <w:t>Especifica metas, periodos de medición y fuentes de verificación de cada indicador.</w:t>
            </w:r>
          </w:p>
        </w:tc>
        <w:tc>
          <w:tcPr>
            <w:tcW w:w="1877" w:type="dxa"/>
            <w:shd w:val="clear" w:color="auto" w:fill="D9E2F3"/>
            <w:vAlign w:val="center"/>
          </w:tcPr>
          <w:p w14:paraId="3D1370DD" w14:textId="77777777" w:rsidR="00990B14" w:rsidRDefault="00000000">
            <w:pPr>
              <w:spacing w:before="20" w:after="20"/>
              <w:jc w:val="both"/>
            </w:pPr>
            <w:r>
              <w:rPr>
                <w:sz w:val="18"/>
                <w:szCs w:val="18"/>
              </w:rPr>
              <w:t>Valida la trazabilidad de los datos y compara metas y resultados con criterios consistentes.</w:t>
            </w:r>
          </w:p>
        </w:tc>
      </w:tr>
      <w:tr w:rsidR="00990B14" w14:paraId="211AE300" w14:textId="77777777">
        <w:trPr>
          <w:cantSplit/>
          <w:jc w:val="center"/>
        </w:trPr>
        <w:tc>
          <w:tcPr>
            <w:tcW w:w="1490" w:type="dxa"/>
            <w:vMerge/>
            <w:shd w:val="clear" w:color="auto" w:fill="4472C4"/>
            <w:vAlign w:val="center"/>
          </w:tcPr>
          <w:p w14:paraId="2A56F302" w14:textId="77777777" w:rsidR="00990B14" w:rsidRDefault="00990B14">
            <w:pPr>
              <w:spacing w:before="20" w:after="20"/>
            </w:pPr>
          </w:p>
        </w:tc>
        <w:tc>
          <w:tcPr>
            <w:tcW w:w="2015" w:type="dxa"/>
            <w:shd w:val="clear" w:color="auto" w:fill="D9E2F3"/>
            <w:vAlign w:val="center"/>
          </w:tcPr>
          <w:p w14:paraId="64B55596" w14:textId="77777777" w:rsidR="00990B14" w:rsidRDefault="00000000">
            <w:pPr>
              <w:spacing w:before="20" w:after="20"/>
              <w:jc w:val="both"/>
            </w:pPr>
            <w:r>
              <w:rPr>
                <w:sz w:val="18"/>
                <w:szCs w:val="18"/>
              </w:rPr>
              <w:t>Umbrales y seguimiento</w:t>
            </w:r>
          </w:p>
        </w:tc>
        <w:tc>
          <w:tcPr>
            <w:tcW w:w="2120" w:type="dxa"/>
            <w:shd w:val="clear" w:color="auto" w:fill="D9E2F3"/>
            <w:vAlign w:val="center"/>
          </w:tcPr>
          <w:p w14:paraId="1BA14EBC" w14:textId="77777777" w:rsidR="00990B14" w:rsidRDefault="00000000">
            <w:pPr>
              <w:spacing w:before="20" w:after="20"/>
              <w:jc w:val="both"/>
            </w:pPr>
            <w:r>
              <w:rPr>
                <w:sz w:val="18"/>
                <w:szCs w:val="18"/>
              </w:rPr>
              <w:t>No define alertas ni permite reconocer desviaciones.</w:t>
            </w:r>
          </w:p>
        </w:tc>
        <w:tc>
          <w:tcPr>
            <w:tcW w:w="1903" w:type="dxa"/>
            <w:shd w:val="clear" w:color="auto" w:fill="D9E2F3"/>
            <w:vAlign w:val="center"/>
          </w:tcPr>
          <w:p w14:paraId="165643B6" w14:textId="77777777" w:rsidR="00990B14" w:rsidRDefault="00000000">
            <w:pPr>
              <w:spacing w:before="20" w:after="20"/>
              <w:jc w:val="both"/>
            </w:pPr>
            <w:r>
              <w:rPr>
                <w:sz w:val="18"/>
                <w:szCs w:val="18"/>
              </w:rPr>
              <w:t>Presenta umbrales de control y permite identificar el cumplimiento de las metas.</w:t>
            </w:r>
          </w:p>
        </w:tc>
        <w:tc>
          <w:tcPr>
            <w:tcW w:w="1877" w:type="dxa"/>
            <w:shd w:val="clear" w:color="auto" w:fill="D9E2F3"/>
            <w:vAlign w:val="center"/>
          </w:tcPr>
          <w:p w14:paraId="0670668D" w14:textId="77777777" w:rsidR="00990B14" w:rsidRDefault="00000000">
            <w:pPr>
              <w:spacing w:before="20" w:after="20"/>
              <w:jc w:val="both"/>
            </w:pPr>
            <w:r>
              <w:rPr>
                <w:sz w:val="18"/>
                <w:szCs w:val="18"/>
              </w:rPr>
              <w:t>Vincula las alertas con acciones correctivas y facilita el seguimiento gerencial.</w:t>
            </w:r>
          </w:p>
        </w:tc>
      </w:tr>
      <w:tr w:rsidR="00990B14" w14:paraId="0AE0C550" w14:textId="77777777">
        <w:trPr>
          <w:cantSplit/>
          <w:jc w:val="center"/>
        </w:trPr>
        <w:tc>
          <w:tcPr>
            <w:tcW w:w="1490" w:type="dxa"/>
            <w:vMerge/>
            <w:shd w:val="clear" w:color="auto" w:fill="4472C4"/>
            <w:vAlign w:val="center"/>
          </w:tcPr>
          <w:p w14:paraId="1F833E2F" w14:textId="77777777" w:rsidR="00990B14" w:rsidRDefault="00990B14">
            <w:pPr>
              <w:spacing w:before="20" w:after="20"/>
            </w:pPr>
          </w:p>
        </w:tc>
        <w:tc>
          <w:tcPr>
            <w:tcW w:w="6038" w:type="dxa"/>
            <w:gridSpan w:val="3"/>
            <w:shd w:val="clear" w:color="auto" w:fill="D9E2F3"/>
            <w:vAlign w:val="center"/>
          </w:tcPr>
          <w:p w14:paraId="08F559FC" w14:textId="77777777" w:rsidR="00990B14" w:rsidRDefault="00000000">
            <w:pPr>
              <w:keepNext/>
              <w:spacing w:before="20" w:after="20"/>
              <w:jc w:val="both"/>
            </w:pPr>
            <w:r>
              <w:rPr>
                <w:b/>
                <w:bCs/>
                <w:i/>
                <w:iCs/>
                <w:sz w:val="18"/>
                <w:szCs w:val="18"/>
              </w:rPr>
              <w:t xml:space="preserve">Producto 11: </w:t>
            </w:r>
            <w:r>
              <w:rPr>
                <w:sz w:val="18"/>
                <w:szCs w:val="18"/>
              </w:rPr>
              <w:t>Informe de Evaluación de Sistemas de Información y Gerenciales Modernos</w:t>
            </w:r>
          </w:p>
        </w:tc>
        <w:tc>
          <w:tcPr>
            <w:tcW w:w="1877" w:type="dxa"/>
            <w:shd w:val="clear" w:color="auto" w:fill="D9E2F3"/>
            <w:vAlign w:val="center"/>
          </w:tcPr>
          <w:p w14:paraId="4789C1E8" w14:textId="77777777" w:rsidR="00990B14" w:rsidRDefault="00000000">
            <w:pPr>
              <w:spacing w:before="20" w:after="20"/>
              <w:jc w:val="center"/>
            </w:pPr>
            <w:r>
              <w:rPr>
                <w:b/>
                <w:bCs/>
                <w:sz w:val="18"/>
                <w:szCs w:val="18"/>
              </w:rPr>
              <w:t>10%</w:t>
            </w:r>
          </w:p>
        </w:tc>
      </w:tr>
      <w:tr w:rsidR="00990B14" w14:paraId="253BE37C" w14:textId="77777777">
        <w:trPr>
          <w:cantSplit/>
          <w:jc w:val="center"/>
        </w:trPr>
        <w:tc>
          <w:tcPr>
            <w:tcW w:w="1490" w:type="dxa"/>
            <w:vMerge/>
            <w:shd w:val="clear" w:color="auto" w:fill="4472C4"/>
            <w:vAlign w:val="center"/>
          </w:tcPr>
          <w:p w14:paraId="6BFE5458" w14:textId="77777777" w:rsidR="00990B14" w:rsidRDefault="00990B14">
            <w:pPr>
              <w:spacing w:before="20" w:after="20"/>
            </w:pPr>
          </w:p>
        </w:tc>
        <w:tc>
          <w:tcPr>
            <w:tcW w:w="2015" w:type="dxa"/>
            <w:shd w:val="clear" w:color="auto" w:fill="4472C4"/>
            <w:vAlign w:val="center"/>
          </w:tcPr>
          <w:p w14:paraId="16F69C59" w14:textId="77777777" w:rsidR="00990B14" w:rsidRDefault="00000000">
            <w:pPr>
              <w:keepNext/>
              <w:spacing w:before="20" w:after="20"/>
              <w:jc w:val="center"/>
            </w:pPr>
            <w:r>
              <w:rPr>
                <w:b/>
                <w:bCs/>
                <w:i/>
                <w:iCs/>
                <w:color w:val="FFFFFF"/>
                <w:sz w:val="18"/>
                <w:szCs w:val="18"/>
              </w:rPr>
              <w:t>Criterio</w:t>
            </w:r>
          </w:p>
        </w:tc>
        <w:tc>
          <w:tcPr>
            <w:tcW w:w="2120" w:type="dxa"/>
            <w:shd w:val="clear" w:color="auto" w:fill="4472C4"/>
            <w:vAlign w:val="center"/>
          </w:tcPr>
          <w:p w14:paraId="0DD8B6DC" w14:textId="77777777" w:rsidR="00990B14" w:rsidRDefault="00000000">
            <w:pPr>
              <w:keepNext/>
              <w:spacing w:before="20" w:after="20"/>
              <w:jc w:val="center"/>
            </w:pPr>
            <w:r>
              <w:rPr>
                <w:b/>
                <w:bCs/>
                <w:i/>
                <w:iCs/>
                <w:color w:val="FFFFFF"/>
                <w:sz w:val="18"/>
                <w:szCs w:val="18"/>
              </w:rPr>
              <w:t>Insuficiente (1–50)</w:t>
            </w:r>
          </w:p>
        </w:tc>
        <w:tc>
          <w:tcPr>
            <w:tcW w:w="1903" w:type="dxa"/>
            <w:shd w:val="clear" w:color="auto" w:fill="4472C4"/>
            <w:vAlign w:val="center"/>
          </w:tcPr>
          <w:p w14:paraId="4DEBD60F"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6B7FE9DE" w14:textId="77777777" w:rsidR="00990B14" w:rsidRDefault="00000000">
            <w:pPr>
              <w:keepNext/>
              <w:spacing w:before="20" w:after="20"/>
              <w:jc w:val="center"/>
            </w:pPr>
            <w:r>
              <w:rPr>
                <w:b/>
                <w:bCs/>
                <w:i/>
                <w:iCs/>
                <w:color w:val="FFFFFF"/>
                <w:sz w:val="18"/>
                <w:szCs w:val="18"/>
              </w:rPr>
              <w:t>Destacado (81–100)</w:t>
            </w:r>
          </w:p>
        </w:tc>
      </w:tr>
      <w:tr w:rsidR="00990B14" w14:paraId="541F211C" w14:textId="77777777">
        <w:trPr>
          <w:cantSplit/>
          <w:jc w:val="center"/>
        </w:trPr>
        <w:tc>
          <w:tcPr>
            <w:tcW w:w="1490" w:type="dxa"/>
            <w:vMerge/>
            <w:shd w:val="clear" w:color="auto" w:fill="4472C4"/>
            <w:vAlign w:val="center"/>
          </w:tcPr>
          <w:p w14:paraId="0592CD03" w14:textId="77777777" w:rsidR="00990B14" w:rsidRDefault="00990B14">
            <w:pPr>
              <w:spacing w:before="20" w:after="20"/>
            </w:pPr>
          </w:p>
        </w:tc>
        <w:tc>
          <w:tcPr>
            <w:tcW w:w="2015" w:type="dxa"/>
            <w:shd w:val="clear" w:color="auto" w:fill="D9E2F3"/>
            <w:vAlign w:val="center"/>
          </w:tcPr>
          <w:p w14:paraId="6BCFB212" w14:textId="77777777" w:rsidR="00990B14" w:rsidRDefault="00000000">
            <w:pPr>
              <w:spacing w:before="20" w:after="20"/>
              <w:jc w:val="both"/>
            </w:pPr>
            <w:r>
              <w:rPr>
                <w:sz w:val="18"/>
                <w:szCs w:val="18"/>
              </w:rPr>
              <w:t>Organigrama y estructura</w:t>
            </w:r>
          </w:p>
        </w:tc>
        <w:tc>
          <w:tcPr>
            <w:tcW w:w="2120" w:type="dxa"/>
            <w:shd w:val="clear" w:color="auto" w:fill="D9E2F3"/>
            <w:vAlign w:val="center"/>
          </w:tcPr>
          <w:p w14:paraId="19EF4F68" w14:textId="77777777" w:rsidR="00990B14" w:rsidRDefault="00000000">
            <w:pPr>
              <w:spacing w:before="20" w:after="20"/>
              <w:jc w:val="both"/>
            </w:pPr>
            <w:r>
              <w:rPr>
                <w:sz w:val="18"/>
                <w:szCs w:val="18"/>
              </w:rPr>
              <w:t>Presenta relaciones jerárquicas incoherentes u omite unidades importantes.</w:t>
            </w:r>
          </w:p>
        </w:tc>
        <w:tc>
          <w:tcPr>
            <w:tcW w:w="1903" w:type="dxa"/>
            <w:shd w:val="clear" w:color="auto" w:fill="D9E2F3"/>
            <w:vAlign w:val="center"/>
          </w:tcPr>
          <w:p w14:paraId="0CC60DCB" w14:textId="77777777" w:rsidR="00990B14" w:rsidRDefault="00000000">
            <w:pPr>
              <w:spacing w:before="20" w:after="20"/>
              <w:jc w:val="both"/>
            </w:pPr>
            <w:r>
              <w:rPr>
                <w:sz w:val="18"/>
                <w:szCs w:val="18"/>
              </w:rPr>
              <w:t>Representa las unidades, niveles de autoridad y relaciones de dependencia de la entidad.</w:t>
            </w:r>
          </w:p>
        </w:tc>
        <w:tc>
          <w:tcPr>
            <w:tcW w:w="1877" w:type="dxa"/>
            <w:shd w:val="clear" w:color="auto" w:fill="D9E2F3"/>
            <w:vAlign w:val="center"/>
          </w:tcPr>
          <w:p w14:paraId="250BE363" w14:textId="77777777" w:rsidR="00990B14" w:rsidRDefault="00000000">
            <w:pPr>
              <w:spacing w:before="20" w:after="20"/>
              <w:jc w:val="both"/>
            </w:pPr>
            <w:r>
              <w:rPr>
                <w:sz w:val="18"/>
                <w:szCs w:val="18"/>
              </w:rPr>
              <w:t>Justifica la departamentalización y detecta posibles duplicaciones o vacíos de autoridad.</w:t>
            </w:r>
          </w:p>
        </w:tc>
      </w:tr>
      <w:tr w:rsidR="00990B14" w14:paraId="79450691" w14:textId="77777777">
        <w:trPr>
          <w:cantSplit/>
          <w:jc w:val="center"/>
        </w:trPr>
        <w:tc>
          <w:tcPr>
            <w:tcW w:w="1490" w:type="dxa"/>
            <w:vMerge/>
            <w:shd w:val="clear" w:color="auto" w:fill="4472C4"/>
            <w:vAlign w:val="center"/>
          </w:tcPr>
          <w:p w14:paraId="49460856" w14:textId="77777777" w:rsidR="00990B14" w:rsidRDefault="00990B14">
            <w:pPr>
              <w:spacing w:before="20" w:after="20"/>
            </w:pPr>
          </w:p>
        </w:tc>
        <w:tc>
          <w:tcPr>
            <w:tcW w:w="2015" w:type="dxa"/>
            <w:shd w:val="clear" w:color="auto" w:fill="D9E2F3"/>
            <w:vAlign w:val="center"/>
          </w:tcPr>
          <w:p w14:paraId="1EBAAAEE" w14:textId="77777777" w:rsidR="00990B14" w:rsidRDefault="00000000">
            <w:pPr>
              <w:spacing w:before="20" w:after="20"/>
              <w:jc w:val="both"/>
            </w:pPr>
            <w:r>
              <w:rPr>
                <w:sz w:val="18"/>
                <w:szCs w:val="18"/>
              </w:rPr>
              <w:t>Manual de Organización y Funciones</w:t>
            </w:r>
          </w:p>
        </w:tc>
        <w:tc>
          <w:tcPr>
            <w:tcW w:w="2120" w:type="dxa"/>
            <w:shd w:val="clear" w:color="auto" w:fill="D9E2F3"/>
            <w:vAlign w:val="center"/>
          </w:tcPr>
          <w:p w14:paraId="7A3C1E36" w14:textId="77777777" w:rsidR="00990B14" w:rsidRDefault="00000000">
            <w:pPr>
              <w:spacing w:before="20" w:after="20"/>
              <w:jc w:val="both"/>
            </w:pPr>
            <w:r>
              <w:rPr>
                <w:sz w:val="18"/>
                <w:szCs w:val="18"/>
              </w:rPr>
              <w:t>No incluye perfiles o describe funciones ambiguas e incompletas.</w:t>
            </w:r>
          </w:p>
        </w:tc>
        <w:tc>
          <w:tcPr>
            <w:tcW w:w="1903" w:type="dxa"/>
            <w:shd w:val="clear" w:color="auto" w:fill="D9E2F3"/>
            <w:vAlign w:val="center"/>
          </w:tcPr>
          <w:p w14:paraId="6F5FEED5" w14:textId="77777777" w:rsidR="00990B14" w:rsidRDefault="00000000">
            <w:pPr>
              <w:spacing w:before="20" w:after="20"/>
              <w:jc w:val="both"/>
            </w:pPr>
            <w:r>
              <w:rPr>
                <w:sz w:val="18"/>
                <w:szCs w:val="18"/>
              </w:rPr>
              <w:t>Define los puestos, funciones, responsabilidades y dependencias del organigrama.</w:t>
            </w:r>
          </w:p>
        </w:tc>
        <w:tc>
          <w:tcPr>
            <w:tcW w:w="1877" w:type="dxa"/>
            <w:shd w:val="clear" w:color="auto" w:fill="D9E2F3"/>
            <w:vAlign w:val="center"/>
          </w:tcPr>
          <w:p w14:paraId="4E5A4CE7" w14:textId="77777777" w:rsidR="00990B14" w:rsidRDefault="00000000">
            <w:pPr>
              <w:spacing w:before="20" w:after="20"/>
              <w:jc w:val="both"/>
            </w:pPr>
            <w:r>
              <w:rPr>
                <w:sz w:val="18"/>
                <w:szCs w:val="18"/>
              </w:rPr>
              <w:t>Delimita responsabilidades para evitar superposiciones y facilita la coordinación entre áreas.</w:t>
            </w:r>
          </w:p>
        </w:tc>
      </w:tr>
      <w:tr w:rsidR="00990B14" w14:paraId="6E6729BE" w14:textId="77777777">
        <w:trPr>
          <w:cantSplit/>
          <w:jc w:val="center"/>
        </w:trPr>
        <w:tc>
          <w:tcPr>
            <w:tcW w:w="1490" w:type="dxa"/>
            <w:vMerge/>
            <w:shd w:val="clear" w:color="auto" w:fill="4472C4"/>
            <w:vAlign w:val="center"/>
          </w:tcPr>
          <w:p w14:paraId="6819E1E8" w14:textId="77777777" w:rsidR="00990B14" w:rsidRDefault="00990B14">
            <w:pPr>
              <w:spacing w:before="20" w:after="20"/>
            </w:pPr>
          </w:p>
        </w:tc>
        <w:tc>
          <w:tcPr>
            <w:tcW w:w="2015" w:type="dxa"/>
            <w:shd w:val="clear" w:color="auto" w:fill="D9E2F3"/>
            <w:vAlign w:val="center"/>
          </w:tcPr>
          <w:p w14:paraId="43FC7D96" w14:textId="77777777" w:rsidR="00990B14" w:rsidRDefault="00000000">
            <w:pPr>
              <w:spacing w:before="20" w:after="20"/>
              <w:jc w:val="both"/>
            </w:pPr>
            <w:r>
              <w:rPr>
                <w:sz w:val="18"/>
                <w:szCs w:val="18"/>
              </w:rPr>
              <w:t>Coherencia del expediente</w:t>
            </w:r>
          </w:p>
        </w:tc>
        <w:tc>
          <w:tcPr>
            <w:tcW w:w="2120" w:type="dxa"/>
            <w:shd w:val="clear" w:color="auto" w:fill="D9E2F3"/>
            <w:vAlign w:val="center"/>
          </w:tcPr>
          <w:p w14:paraId="486ACA72" w14:textId="77777777" w:rsidR="00990B14" w:rsidRDefault="00000000">
            <w:pPr>
              <w:spacing w:before="20" w:after="20"/>
              <w:jc w:val="both"/>
            </w:pPr>
            <w:r>
              <w:rPr>
                <w:sz w:val="18"/>
                <w:szCs w:val="18"/>
              </w:rPr>
              <w:t>Se contradicen o no corresponden al caso.</w:t>
            </w:r>
          </w:p>
        </w:tc>
        <w:tc>
          <w:tcPr>
            <w:tcW w:w="1903" w:type="dxa"/>
            <w:shd w:val="clear" w:color="auto" w:fill="D9E2F3"/>
            <w:vAlign w:val="center"/>
          </w:tcPr>
          <w:p w14:paraId="43E540EB" w14:textId="77777777" w:rsidR="00990B14" w:rsidRDefault="00000000">
            <w:pPr>
              <w:spacing w:before="20" w:after="20"/>
              <w:jc w:val="both"/>
            </w:pPr>
            <w:r>
              <w:rPr>
                <w:sz w:val="18"/>
                <w:szCs w:val="18"/>
              </w:rPr>
              <w:t>Mantiene consistencia entre perfiles y características de la entidad.</w:t>
            </w:r>
          </w:p>
        </w:tc>
        <w:tc>
          <w:tcPr>
            <w:tcW w:w="1877" w:type="dxa"/>
            <w:shd w:val="clear" w:color="auto" w:fill="D9E2F3"/>
            <w:vAlign w:val="center"/>
          </w:tcPr>
          <w:p w14:paraId="4CF8587A" w14:textId="77777777" w:rsidR="00990B14" w:rsidRDefault="00000000">
            <w:pPr>
              <w:spacing w:before="20" w:after="20"/>
              <w:jc w:val="both"/>
            </w:pPr>
            <w:r>
              <w:rPr>
                <w:sz w:val="18"/>
                <w:szCs w:val="18"/>
              </w:rPr>
              <w:t>Incluye pautas de implementación y explica cómo el diseño contribuye al control interno.</w:t>
            </w:r>
          </w:p>
        </w:tc>
      </w:tr>
      <w:tr w:rsidR="00990B14" w14:paraId="2EE2F9B4" w14:textId="77777777">
        <w:trPr>
          <w:cantSplit/>
          <w:jc w:val="center"/>
        </w:trPr>
        <w:tc>
          <w:tcPr>
            <w:tcW w:w="1490" w:type="dxa"/>
            <w:vMerge/>
            <w:shd w:val="clear" w:color="auto" w:fill="4472C4"/>
            <w:vAlign w:val="center"/>
          </w:tcPr>
          <w:p w14:paraId="06B94DAC" w14:textId="77777777" w:rsidR="00990B14" w:rsidRDefault="00990B14">
            <w:pPr>
              <w:spacing w:before="20" w:after="20"/>
            </w:pPr>
          </w:p>
        </w:tc>
        <w:tc>
          <w:tcPr>
            <w:tcW w:w="6038" w:type="dxa"/>
            <w:gridSpan w:val="3"/>
            <w:shd w:val="clear" w:color="auto" w:fill="D9E2F3"/>
            <w:vAlign w:val="center"/>
          </w:tcPr>
          <w:p w14:paraId="0DE5657A" w14:textId="77777777" w:rsidR="00990B14" w:rsidRDefault="00000000">
            <w:pPr>
              <w:keepNext/>
              <w:spacing w:before="20" w:after="20"/>
              <w:jc w:val="both"/>
            </w:pPr>
            <w:r>
              <w:rPr>
                <w:b/>
                <w:bCs/>
                <w:i/>
                <w:iCs/>
                <w:sz w:val="18"/>
                <w:szCs w:val="18"/>
              </w:rPr>
              <w:t xml:space="preserve">Producto 12: </w:t>
            </w:r>
            <w:r>
              <w:rPr>
                <w:sz w:val="18"/>
                <w:szCs w:val="18"/>
              </w:rPr>
              <w:t>Informe de Administración y Control Gubernamental</w:t>
            </w:r>
          </w:p>
        </w:tc>
        <w:tc>
          <w:tcPr>
            <w:tcW w:w="1877" w:type="dxa"/>
            <w:shd w:val="clear" w:color="auto" w:fill="D9E2F3"/>
            <w:vAlign w:val="center"/>
          </w:tcPr>
          <w:p w14:paraId="3472B052" w14:textId="77777777" w:rsidR="00990B14" w:rsidRDefault="00000000">
            <w:pPr>
              <w:spacing w:before="20" w:after="20"/>
              <w:jc w:val="center"/>
            </w:pPr>
            <w:r>
              <w:rPr>
                <w:b/>
                <w:bCs/>
                <w:sz w:val="18"/>
                <w:szCs w:val="18"/>
              </w:rPr>
              <w:t>7%</w:t>
            </w:r>
          </w:p>
        </w:tc>
      </w:tr>
      <w:tr w:rsidR="00990B14" w14:paraId="648EED65" w14:textId="77777777">
        <w:trPr>
          <w:cantSplit/>
          <w:jc w:val="center"/>
        </w:trPr>
        <w:tc>
          <w:tcPr>
            <w:tcW w:w="1490" w:type="dxa"/>
            <w:vMerge/>
            <w:shd w:val="clear" w:color="auto" w:fill="4472C4"/>
            <w:vAlign w:val="center"/>
          </w:tcPr>
          <w:p w14:paraId="549245E8" w14:textId="77777777" w:rsidR="00990B14" w:rsidRDefault="00990B14">
            <w:pPr>
              <w:spacing w:before="20" w:after="20"/>
            </w:pPr>
          </w:p>
        </w:tc>
        <w:tc>
          <w:tcPr>
            <w:tcW w:w="2015" w:type="dxa"/>
            <w:shd w:val="clear" w:color="auto" w:fill="4472C4"/>
            <w:vAlign w:val="center"/>
          </w:tcPr>
          <w:p w14:paraId="0A90B51E" w14:textId="77777777" w:rsidR="00990B14" w:rsidRDefault="00000000">
            <w:pPr>
              <w:keepNext/>
              <w:spacing w:before="20" w:after="20"/>
              <w:jc w:val="center"/>
            </w:pPr>
            <w:r>
              <w:rPr>
                <w:b/>
                <w:bCs/>
                <w:i/>
                <w:iCs/>
                <w:color w:val="FFFFFF"/>
                <w:sz w:val="18"/>
                <w:szCs w:val="18"/>
              </w:rPr>
              <w:t>Criterio</w:t>
            </w:r>
          </w:p>
        </w:tc>
        <w:tc>
          <w:tcPr>
            <w:tcW w:w="2120" w:type="dxa"/>
            <w:shd w:val="clear" w:color="auto" w:fill="4472C4"/>
            <w:vAlign w:val="center"/>
          </w:tcPr>
          <w:p w14:paraId="6C80FF96" w14:textId="77777777" w:rsidR="00990B14" w:rsidRDefault="00000000">
            <w:pPr>
              <w:keepNext/>
              <w:spacing w:before="20" w:after="20"/>
              <w:jc w:val="center"/>
            </w:pPr>
            <w:r>
              <w:rPr>
                <w:b/>
                <w:bCs/>
                <w:i/>
                <w:iCs/>
                <w:color w:val="FFFFFF"/>
                <w:sz w:val="18"/>
                <w:szCs w:val="18"/>
              </w:rPr>
              <w:t>Insuficiente (1–50)</w:t>
            </w:r>
          </w:p>
        </w:tc>
        <w:tc>
          <w:tcPr>
            <w:tcW w:w="1903" w:type="dxa"/>
            <w:shd w:val="clear" w:color="auto" w:fill="4472C4"/>
            <w:vAlign w:val="center"/>
          </w:tcPr>
          <w:p w14:paraId="2BDA0678"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6636EF80" w14:textId="77777777" w:rsidR="00990B14" w:rsidRDefault="00000000">
            <w:pPr>
              <w:keepNext/>
              <w:spacing w:before="20" w:after="20"/>
              <w:jc w:val="center"/>
            </w:pPr>
            <w:r>
              <w:rPr>
                <w:b/>
                <w:bCs/>
                <w:i/>
                <w:iCs/>
                <w:color w:val="FFFFFF"/>
                <w:sz w:val="18"/>
                <w:szCs w:val="18"/>
              </w:rPr>
              <w:t>Destacado (81–100)</w:t>
            </w:r>
          </w:p>
        </w:tc>
      </w:tr>
      <w:tr w:rsidR="00990B14" w14:paraId="24FF72DC" w14:textId="77777777">
        <w:trPr>
          <w:cantSplit/>
          <w:jc w:val="center"/>
        </w:trPr>
        <w:tc>
          <w:tcPr>
            <w:tcW w:w="1490" w:type="dxa"/>
            <w:vMerge/>
            <w:shd w:val="clear" w:color="auto" w:fill="4472C4"/>
            <w:vAlign w:val="center"/>
          </w:tcPr>
          <w:p w14:paraId="5A362B1C" w14:textId="77777777" w:rsidR="00990B14" w:rsidRDefault="00990B14">
            <w:pPr>
              <w:spacing w:before="20" w:after="20"/>
            </w:pPr>
          </w:p>
        </w:tc>
        <w:tc>
          <w:tcPr>
            <w:tcW w:w="2015" w:type="dxa"/>
            <w:shd w:val="clear" w:color="auto" w:fill="D9E2F3"/>
            <w:vAlign w:val="center"/>
          </w:tcPr>
          <w:p w14:paraId="6B20AED4" w14:textId="77777777" w:rsidR="00990B14" w:rsidRDefault="00000000">
            <w:pPr>
              <w:spacing w:before="20" w:after="20"/>
              <w:jc w:val="both"/>
            </w:pPr>
            <w:r>
              <w:rPr>
                <w:sz w:val="18"/>
                <w:szCs w:val="18"/>
              </w:rPr>
              <w:t>Descripción de procesos</w:t>
            </w:r>
          </w:p>
        </w:tc>
        <w:tc>
          <w:tcPr>
            <w:tcW w:w="2120" w:type="dxa"/>
            <w:shd w:val="clear" w:color="auto" w:fill="D9E2F3"/>
            <w:vAlign w:val="center"/>
          </w:tcPr>
          <w:p w14:paraId="5FDFFD2A" w14:textId="77777777" w:rsidR="00990B14" w:rsidRDefault="00000000">
            <w:pPr>
              <w:spacing w:before="20" w:after="20"/>
              <w:jc w:val="both"/>
            </w:pPr>
            <w:r>
              <w:rPr>
                <w:sz w:val="18"/>
                <w:szCs w:val="18"/>
              </w:rPr>
              <w:t>No delimita los procesos ni identifica sus actividades esenciales.</w:t>
            </w:r>
          </w:p>
        </w:tc>
        <w:tc>
          <w:tcPr>
            <w:tcW w:w="1903" w:type="dxa"/>
            <w:shd w:val="clear" w:color="auto" w:fill="D9E2F3"/>
            <w:vAlign w:val="center"/>
          </w:tcPr>
          <w:p w14:paraId="2F0021BB" w14:textId="77777777" w:rsidR="00990B14" w:rsidRDefault="00000000">
            <w:pPr>
              <w:spacing w:before="20" w:after="20"/>
              <w:jc w:val="both"/>
            </w:pPr>
            <w:r>
              <w:rPr>
                <w:sz w:val="18"/>
                <w:szCs w:val="18"/>
              </w:rPr>
              <w:t>Describe objetivo, entradas, actividades, salidas y responsables de los procesos clave.</w:t>
            </w:r>
          </w:p>
        </w:tc>
        <w:tc>
          <w:tcPr>
            <w:tcW w:w="1877" w:type="dxa"/>
            <w:shd w:val="clear" w:color="auto" w:fill="D9E2F3"/>
            <w:vAlign w:val="center"/>
          </w:tcPr>
          <w:p w14:paraId="331AC4DF" w14:textId="77777777" w:rsidR="00990B14" w:rsidRDefault="00000000">
            <w:pPr>
              <w:spacing w:before="20" w:after="20"/>
              <w:jc w:val="both"/>
            </w:pPr>
            <w:r>
              <w:rPr>
                <w:sz w:val="18"/>
                <w:szCs w:val="18"/>
              </w:rPr>
              <w:t>Relaciona los procesos con sus usuarios, controles y puntos de coordinación.</w:t>
            </w:r>
          </w:p>
        </w:tc>
      </w:tr>
      <w:tr w:rsidR="00990B14" w14:paraId="57528324" w14:textId="77777777">
        <w:trPr>
          <w:cantSplit/>
          <w:jc w:val="center"/>
        </w:trPr>
        <w:tc>
          <w:tcPr>
            <w:tcW w:w="1490" w:type="dxa"/>
            <w:vMerge/>
            <w:shd w:val="clear" w:color="auto" w:fill="4472C4"/>
            <w:vAlign w:val="center"/>
          </w:tcPr>
          <w:p w14:paraId="76E61F36" w14:textId="77777777" w:rsidR="00990B14" w:rsidRDefault="00990B14">
            <w:pPr>
              <w:spacing w:before="20" w:after="20"/>
            </w:pPr>
          </w:p>
        </w:tc>
        <w:tc>
          <w:tcPr>
            <w:tcW w:w="2015" w:type="dxa"/>
            <w:shd w:val="clear" w:color="auto" w:fill="D9E2F3"/>
            <w:vAlign w:val="center"/>
          </w:tcPr>
          <w:p w14:paraId="75484AC8" w14:textId="77777777" w:rsidR="00990B14" w:rsidRDefault="00000000">
            <w:pPr>
              <w:spacing w:before="20" w:after="20"/>
              <w:jc w:val="both"/>
            </w:pPr>
            <w:r>
              <w:rPr>
                <w:sz w:val="18"/>
                <w:szCs w:val="18"/>
              </w:rPr>
              <w:t>Flujogramas normalizados</w:t>
            </w:r>
          </w:p>
        </w:tc>
        <w:tc>
          <w:tcPr>
            <w:tcW w:w="2120" w:type="dxa"/>
            <w:shd w:val="clear" w:color="auto" w:fill="D9E2F3"/>
            <w:vAlign w:val="center"/>
          </w:tcPr>
          <w:p w14:paraId="7169D7B5" w14:textId="77777777" w:rsidR="00990B14" w:rsidRDefault="00000000">
            <w:pPr>
              <w:spacing w:before="20" w:after="20"/>
              <w:jc w:val="both"/>
            </w:pPr>
            <w:r>
              <w:rPr>
                <w:sz w:val="18"/>
                <w:szCs w:val="18"/>
              </w:rPr>
              <w:t>Los flujos son incompletos, confusos o contradicen la descripción escrita.</w:t>
            </w:r>
          </w:p>
        </w:tc>
        <w:tc>
          <w:tcPr>
            <w:tcW w:w="1903" w:type="dxa"/>
            <w:shd w:val="clear" w:color="auto" w:fill="D9E2F3"/>
            <w:vAlign w:val="center"/>
          </w:tcPr>
          <w:p w14:paraId="0485411B" w14:textId="77777777" w:rsidR="00990B14" w:rsidRDefault="00000000">
            <w:pPr>
              <w:spacing w:before="20" w:after="20"/>
              <w:jc w:val="both"/>
            </w:pPr>
            <w:r>
              <w:rPr>
                <w:sz w:val="18"/>
                <w:szCs w:val="18"/>
              </w:rPr>
              <w:t>Representa la secuencia de actividades y decisiones mediante símbolos consistentes.</w:t>
            </w:r>
          </w:p>
        </w:tc>
        <w:tc>
          <w:tcPr>
            <w:tcW w:w="1877" w:type="dxa"/>
            <w:shd w:val="clear" w:color="auto" w:fill="D9E2F3"/>
            <w:vAlign w:val="center"/>
          </w:tcPr>
          <w:p w14:paraId="071F5026" w14:textId="77777777" w:rsidR="00990B14" w:rsidRDefault="00000000">
            <w:pPr>
              <w:spacing w:before="20" w:after="20"/>
              <w:jc w:val="both"/>
            </w:pPr>
            <w:r>
              <w:rPr>
                <w:sz w:val="18"/>
                <w:szCs w:val="18"/>
              </w:rPr>
              <w:t>Incorpora controles, excepciones y responsabilidades manteniendo concordancia con el manual.</w:t>
            </w:r>
          </w:p>
        </w:tc>
      </w:tr>
      <w:tr w:rsidR="00990B14" w14:paraId="7291D8EC" w14:textId="77777777">
        <w:trPr>
          <w:cantSplit/>
          <w:jc w:val="center"/>
        </w:trPr>
        <w:tc>
          <w:tcPr>
            <w:tcW w:w="1490" w:type="dxa"/>
            <w:vMerge/>
            <w:shd w:val="clear" w:color="auto" w:fill="4472C4"/>
            <w:vAlign w:val="center"/>
          </w:tcPr>
          <w:p w14:paraId="137DE4E8" w14:textId="77777777" w:rsidR="00990B14" w:rsidRDefault="00990B14">
            <w:pPr>
              <w:spacing w:before="20" w:after="20"/>
            </w:pPr>
          </w:p>
        </w:tc>
        <w:tc>
          <w:tcPr>
            <w:tcW w:w="2015" w:type="dxa"/>
            <w:shd w:val="clear" w:color="auto" w:fill="D9E2F3"/>
            <w:vAlign w:val="center"/>
          </w:tcPr>
          <w:p w14:paraId="5FC3502D" w14:textId="77777777" w:rsidR="00990B14" w:rsidRDefault="00000000">
            <w:pPr>
              <w:spacing w:before="20" w:after="20"/>
              <w:jc w:val="both"/>
            </w:pPr>
            <w:r>
              <w:rPr>
                <w:sz w:val="18"/>
                <w:szCs w:val="18"/>
              </w:rPr>
              <w:t>Articulación y mejora</w:t>
            </w:r>
          </w:p>
        </w:tc>
        <w:tc>
          <w:tcPr>
            <w:tcW w:w="2120" w:type="dxa"/>
            <w:shd w:val="clear" w:color="auto" w:fill="D9E2F3"/>
            <w:vAlign w:val="center"/>
          </w:tcPr>
          <w:p w14:paraId="62E7BB84" w14:textId="77777777" w:rsidR="00990B14" w:rsidRDefault="00000000">
            <w:pPr>
              <w:spacing w:before="20" w:after="20"/>
              <w:jc w:val="both"/>
            </w:pPr>
            <w:r>
              <w:rPr>
                <w:sz w:val="18"/>
                <w:szCs w:val="18"/>
              </w:rPr>
              <w:t>No identifica problemas operativos o plantea mejoras desconectadas.</w:t>
            </w:r>
          </w:p>
        </w:tc>
        <w:tc>
          <w:tcPr>
            <w:tcW w:w="1903" w:type="dxa"/>
            <w:shd w:val="clear" w:color="auto" w:fill="D9E2F3"/>
            <w:vAlign w:val="center"/>
          </w:tcPr>
          <w:p w14:paraId="6F11A9BE" w14:textId="77777777" w:rsidR="00990B14" w:rsidRDefault="00000000">
            <w:pPr>
              <w:spacing w:before="20" w:after="20"/>
              <w:jc w:val="both"/>
            </w:pPr>
            <w:r>
              <w:rPr>
                <w:sz w:val="18"/>
                <w:szCs w:val="18"/>
              </w:rPr>
              <w:t>Reconoce cuellos de botella y propone ajustes coherentes con los procesos descritos.</w:t>
            </w:r>
          </w:p>
        </w:tc>
        <w:tc>
          <w:tcPr>
            <w:tcW w:w="1877" w:type="dxa"/>
            <w:shd w:val="clear" w:color="auto" w:fill="D9E2F3"/>
            <w:vAlign w:val="center"/>
          </w:tcPr>
          <w:p w14:paraId="13A9C25B" w14:textId="77777777" w:rsidR="00990B14" w:rsidRDefault="00000000">
            <w:pPr>
              <w:spacing w:before="20" w:after="20"/>
              <w:jc w:val="both"/>
            </w:pPr>
            <w:r>
              <w:rPr>
                <w:sz w:val="18"/>
                <w:szCs w:val="18"/>
              </w:rPr>
              <w:t>Justifica mejoras viables y define criterios para evaluar reducción de tiempos o errores.</w:t>
            </w:r>
          </w:p>
        </w:tc>
      </w:tr>
      <w:tr w:rsidR="00990B14" w14:paraId="3C452CBA" w14:textId="77777777">
        <w:trPr>
          <w:cantSplit/>
          <w:jc w:val="center"/>
        </w:trPr>
        <w:tc>
          <w:tcPr>
            <w:tcW w:w="7528" w:type="dxa"/>
            <w:gridSpan w:val="4"/>
            <w:shd w:val="clear" w:color="auto" w:fill="4472C4"/>
            <w:vAlign w:val="center"/>
          </w:tcPr>
          <w:p w14:paraId="603BDAF5" w14:textId="77777777" w:rsidR="00990B14" w:rsidRDefault="00000000">
            <w:pPr>
              <w:keepNext/>
              <w:spacing w:before="20" w:after="20"/>
              <w:jc w:val="center"/>
            </w:pPr>
            <w:r>
              <w:rPr>
                <w:b/>
                <w:bCs/>
                <w:i/>
                <w:iCs/>
                <w:color w:val="FFFFFF"/>
                <w:sz w:val="18"/>
                <w:szCs w:val="18"/>
              </w:rPr>
              <w:t>TOTAL</w:t>
            </w:r>
          </w:p>
        </w:tc>
        <w:tc>
          <w:tcPr>
            <w:tcW w:w="1877" w:type="dxa"/>
            <w:shd w:val="clear" w:color="auto" w:fill="4472C4"/>
            <w:vAlign w:val="center"/>
          </w:tcPr>
          <w:p w14:paraId="734BC157" w14:textId="77777777" w:rsidR="00990B14" w:rsidRDefault="00000000">
            <w:pPr>
              <w:keepNext/>
              <w:spacing w:before="20" w:after="20"/>
              <w:jc w:val="center"/>
            </w:pPr>
            <w:r>
              <w:rPr>
                <w:b/>
                <w:bCs/>
                <w:i/>
                <w:iCs/>
                <w:color w:val="FFFFFF"/>
                <w:sz w:val="18"/>
                <w:szCs w:val="18"/>
              </w:rPr>
              <w:t>100%</w:t>
            </w:r>
          </w:p>
        </w:tc>
      </w:tr>
    </w:tbl>
    <w:p w14:paraId="44D1BACE"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9405"/>
      </w:tblGrid>
      <w:tr w:rsidR="00990B14" w14:paraId="0AB2A1EA" w14:textId="77777777">
        <w:trPr>
          <w:jc w:val="center"/>
        </w:trPr>
        <w:tc>
          <w:tcPr>
            <w:tcW w:w="9405" w:type="dxa"/>
            <w:shd w:val="clear" w:color="auto" w:fill="D9E2F3"/>
          </w:tcPr>
          <w:p w14:paraId="3CF84581" w14:textId="77777777" w:rsidR="00990B14" w:rsidRDefault="00000000">
            <w:pPr>
              <w:spacing w:before="40" w:after="40"/>
              <w:jc w:val="both"/>
            </w:pPr>
            <w:r>
              <w:rPr>
                <w:b/>
                <w:bCs/>
                <w:i/>
                <w:iCs/>
                <w:sz w:val="18"/>
                <w:szCs w:val="18"/>
              </w:rPr>
              <w:t>Bibliografía básica:</w:t>
            </w:r>
          </w:p>
          <w:p w14:paraId="1B8F4972" w14:textId="77777777" w:rsidR="00990B14" w:rsidRDefault="00000000">
            <w:pPr>
              <w:numPr>
                <w:ilvl w:val="0"/>
                <w:numId w:val="140"/>
              </w:numPr>
              <w:spacing w:after="20"/>
              <w:jc w:val="both"/>
            </w:pPr>
            <w:r>
              <w:rPr>
                <w:sz w:val="18"/>
                <w:szCs w:val="18"/>
              </w:rPr>
              <w:t xml:space="preserve">Aliendre España, F. (s.f.). </w:t>
            </w:r>
            <w:r>
              <w:rPr>
                <w:i/>
                <w:iCs/>
                <w:sz w:val="18"/>
                <w:szCs w:val="18"/>
              </w:rPr>
              <w:t>SAFCO, Gestión para resultados</w:t>
            </w:r>
            <w:r>
              <w:rPr>
                <w:sz w:val="18"/>
                <w:szCs w:val="18"/>
              </w:rPr>
              <w:t>.</w:t>
            </w:r>
          </w:p>
          <w:p w14:paraId="63015D40" w14:textId="77777777" w:rsidR="00990B14" w:rsidRDefault="00000000">
            <w:pPr>
              <w:numPr>
                <w:ilvl w:val="0"/>
                <w:numId w:val="140"/>
              </w:numPr>
              <w:spacing w:after="20"/>
              <w:jc w:val="both"/>
            </w:pPr>
            <w:r>
              <w:rPr>
                <w:sz w:val="18"/>
                <w:szCs w:val="18"/>
              </w:rPr>
              <w:t xml:space="preserve">Anderson, H. (s.f.). </w:t>
            </w:r>
            <w:r>
              <w:rPr>
                <w:i/>
                <w:iCs/>
                <w:sz w:val="18"/>
                <w:szCs w:val="18"/>
              </w:rPr>
              <w:t>Organización y Métodos</w:t>
            </w:r>
            <w:r>
              <w:rPr>
                <w:sz w:val="18"/>
                <w:szCs w:val="18"/>
              </w:rPr>
              <w:t>.</w:t>
            </w:r>
          </w:p>
          <w:p w14:paraId="46633AFD" w14:textId="77777777" w:rsidR="00990B14" w:rsidRDefault="00000000">
            <w:pPr>
              <w:numPr>
                <w:ilvl w:val="0"/>
                <w:numId w:val="140"/>
              </w:numPr>
              <w:spacing w:after="20"/>
              <w:jc w:val="both"/>
            </w:pPr>
            <w:r>
              <w:rPr>
                <w:sz w:val="18"/>
                <w:szCs w:val="18"/>
              </w:rPr>
              <w:t>Artículos científicos recientes (2022 a 2025) sobre sistemas gerenciales, tomados de revistas científicas.</w:t>
            </w:r>
          </w:p>
          <w:p w14:paraId="67DAD479" w14:textId="77777777" w:rsidR="00990B14" w:rsidRDefault="00000000">
            <w:pPr>
              <w:numPr>
                <w:ilvl w:val="0"/>
                <w:numId w:val="140"/>
              </w:numPr>
              <w:spacing w:after="20"/>
              <w:jc w:val="both"/>
            </w:pPr>
            <w:r w:rsidRPr="00BD34F7">
              <w:rPr>
                <w:sz w:val="18"/>
                <w:szCs w:val="18"/>
                <w:lang w:val="en-US"/>
              </w:rPr>
              <w:t xml:space="preserve">Committee of Sponsoring Organizations of the Treadway Commission, COSO (2013). </w:t>
            </w:r>
            <w:r>
              <w:rPr>
                <w:i/>
                <w:iCs/>
                <w:sz w:val="18"/>
                <w:szCs w:val="18"/>
              </w:rPr>
              <w:t>Internal Control – Integrated</w:t>
            </w:r>
            <w:r>
              <w:rPr>
                <w:sz w:val="18"/>
                <w:szCs w:val="18"/>
              </w:rPr>
              <w:t xml:space="preserve"> </w:t>
            </w:r>
            <w:r>
              <w:rPr>
                <w:i/>
                <w:iCs/>
                <w:sz w:val="18"/>
                <w:szCs w:val="18"/>
              </w:rPr>
              <w:t>Framework</w:t>
            </w:r>
            <w:r>
              <w:rPr>
                <w:sz w:val="18"/>
                <w:szCs w:val="18"/>
              </w:rPr>
              <w:t>.</w:t>
            </w:r>
          </w:p>
          <w:p w14:paraId="51161A9F" w14:textId="77777777" w:rsidR="00990B14" w:rsidRDefault="00000000">
            <w:pPr>
              <w:numPr>
                <w:ilvl w:val="0"/>
                <w:numId w:val="140"/>
              </w:numPr>
              <w:spacing w:after="20"/>
              <w:jc w:val="both"/>
            </w:pPr>
            <w:r>
              <w:rPr>
                <w:sz w:val="18"/>
                <w:szCs w:val="18"/>
              </w:rPr>
              <w:t>Contraloría General del Estado. Principios, Normas Generales y Básicas de Control Interno Gubernamental, Resolución CGR-1/070/2000.</w:t>
            </w:r>
          </w:p>
          <w:p w14:paraId="5808187B" w14:textId="77777777" w:rsidR="00990B14" w:rsidRDefault="00000000">
            <w:pPr>
              <w:numPr>
                <w:ilvl w:val="0"/>
                <w:numId w:val="140"/>
              </w:numPr>
              <w:spacing w:after="20"/>
              <w:jc w:val="both"/>
            </w:pPr>
            <w:r>
              <w:rPr>
                <w:i/>
                <w:iCs/>
                <w:sz w:val="18"/>
                <w:szCs w:val="18"/>
              </w:rPr>
              <w:t>Koontz, Harold; Heinz y Cannice, Mark, administración una perspectiva global.</w:t>
            </w:r>
          </w:p>
          <w:p w14:paraId="49A014E7" w14:textId="77777777" w:rsidR="00990B14" w:rsidRDefault="00000000">
            <w:pPr>
              <w:numPr>
                <w:ilvl w:val="0"/>
                <w:numId w:val="140"/>
              </w:numPr>
              <w:spacing w:after="20"/>
              <w:jc w:val="both"/>
            </w:pPr>
            <w:r w:rsidRPr="00BD34F7">
              <w:rPr>
                <w:i/>
                <w:iCs/>
                <w:sz w:val="18"/>
                <w:szCs w:val="18"/>
                <w:lang w:val="en-US"/>
              </w:rPr>
              <w:t xml:space="preserve">Laudon, K. C. y Laudon, J. P. (2024). Management Information Systems: Managing the Digital Firm. </w:t>
            </w:r>
            <w:r>
              <w:rPr>
                <w:i/>
                <w:iCs/>
                <w:sz w:val="18"/>
                <w:szCs w:val="18"/>
              </w:rPr>
              <w:t>Pearson.</w:t>
            </w:r>
          </w:p>
          <w:p w14:paraId="1D4EC32D" w14:textId="77777777" w:rsidR="00990B14" w:rsidRDefault="00000000">
            <w:pPr>
              <w:numPr>
                <w:ilvl w:val="0"/>
                <w:numId w:val="140"/>
              </w:numPr>
              <w:spacing w:after="20"/>
              <w:jc w:val="both"/>
            </w:pPr>
            <w:r>
              <w:rPr>
                <w:sz w:val="18"/>
                <w:szCs w:val="18"/>
              </w:rPr>
              <w:t>Ley N.º 1178, de Administración y Control Gubernamentales, de 20 de julio de 1990.</w:t>
            </w:r>
          </w:p>
          <w:p w14:paraId="71A26658" w14:textId="77777777" w:rsidR="00990B14" w:rsidRDefault="00000000">
            <w:pPr>
              <w:numPr>
                <w:ilvl w:val="0"/>
                <w:numId w:val="140"/>
              </w:numPr>
              <w:spacing w:after="20"/>
              <w:jc w:val="both"/>
            </w:pPr>
            <w:r>
              <w:rPr>
                <w:sz w:val="18"/>
                <w:szCs w:val="18"/>
              </w:rPr>
              <w:t>Ley N.º 777, del Sistema de Planificación Integral del Estado, de 21 de enero de 2016.</w:t>
            </w:r>
          </w:p>
          <w:p w14:paraId="7E3D255E" w14:textId="77777777" w:rsidR="00990B14" w:rsidRDefault="00000000">
            <w:pPr>
              <w:numPr>
                <w:ilvl w:val="0"/>
                <w:numId w:val="140"/>
              </w:numPr>
              <w:spacing w:after="20"/>
              <w:jc w:val="both"/>
            </w:pPr>
            <w:r w:rsidRPr="00BD34F7">
              <w:rPr>
                <w:i/>
                <w:iCs/>
                <w:sz w:val="18"/>
                <w:szCs w:val="18"/>
                <w:lang w:val="en-US"/>
              </w:rPr>
              <w:t xml:space="preserve">Pearlson, K. E., Saunders, C. S. y Galletta, D. F. (2020). Managing and Using Information Systems: A Strategic Approach. </w:t>
            </w:r>
            <w:r>
              <w:rPr>
                <w:i/>
                <w:iCs/>
                <w:sz w:val="18"/>
                <w:szCs w:val="18"/>
              </w:rPr>
              <w:t>Wiley.</w:t>
            </w:r>
          </w:p>
          <w:p w14:paraId="0ACF7A77" w14:textId="77777777" w:rsidR="00990B14" w:rsidRDefault="00000000">
            <w:pPr>
              <w:numPr>
                <w:ilvl w:val="0"/>
                <w:numId w:val="140"/>
              </w:numPr>
              <w:spacing w:after="20"/>
              <w:jc w:val="both"/>
            </w:pPr>
            <w:r w:rsidRPr="00BD34F7">
              <w:rPr>
                <w:i/>
                <w:iCs/>
                <w:sz w:val="18"/>
                <w:szCs w:val="18"/>
                <w:lang w:val="en-US"/>
              </w:rPr>
              <w:t xml:space="preserve">Robbin, Stephen P y Coulter, mary. </w:t>
            </w:r>
            <w:r>
              <w:rPr>
                <w:i/>
                <w:iCs/>
                <w:sz w:val="18"/>
                <w:szCs w:val="18"/>
              </w:rPr>
              <w:t>Administración gerencial.</w:t>
            </w:r>
          </w:p>
          <w:p w14:paraId="5499EFAF" w14:textId="77777777" w:rsidR="00990B14" w:rsidRDefault="00000000">
            <w:pPr>
              <w:numPr>
                <w:ilvl w:val="0"/>
                <w:numId w:val="140"/>
              </w:numPr>
              <w:spacing w:after="20"/>
              <w:jc w:val="both"/>
            </w:pPr>
            <w:r>
              <w:rPr>
                <w:sz w:val="18"/>
                <w:szCs w:val="18"/>
              </w:rPr>
              <w:t xml:space="preserve">Rodríguez Valencia, J. (s.f.). </w:t>
            </w:r>
            <w:r>
              <w:rPr>
                <w:i/>
                <w:iCs/>
                <w:sz w:val="18"/>
                <w:szCs w:val="18"/>
              </w:rPr>
              <w:t>Estudio de Sistemas y Procedimientos Administrativos</w:t>
            </w:r>
            <w:r>
              <w:rPr>
                <w:sz w:val="18"/>
                <w:szCs w:val="18"/>
              </w:rPr>
              <w:t>.</w:t>
            </w:r>
          </w:p>
          <w:p w14:paraId="308CFF37" w14:textId="77777777" w:rsidR="00990B14" w:rsidRDefault="00000000">
            <w:pPr>
              <w:numPr>
                <w:ilvl w:val="0"/>
                <w:numId w:val="140"/>
              </w:numPr>
              <w:spacing w:after="20"/>
              <w:jc w:val="both"/>
            </w:pPr>
            <w:r>
              <w:rPr>
                <w:sz w:val="18"/>
                <w:szCs w:val="18"/>
              </w:rPr>
              <w:t xml:space="preserve">Rodríguez Valencia, J. (s.f.). </w:t>
            </w:r>
            <w:r>
              <w:rPr>
                <w:i/>
                <w:iCs/>
                <w:sz w:val="18"/>
                <w:szCs w:val="18"/>
              </w:rPr>
              <w:t>Introducción a la Administración con enfoque de Sistemas</w:t>
            </w:r>
            <w:r>
              <w:rPr>
                <w:sz w:val="18"/>
                <w:szCs w:val="18"/>
              </w:rPr>
              <w:t>.</w:t>
            </w:r>
          </w:p>
          <w:p w14:paraId="2C27B760" w14:textId="77777777" w:rsidR="00990B14" w:rsidRDefault="00000000">
            <w:pPr>
              <w:numPr>
                <w:ilvl w:val="0"/>
                <w:numId w:val="140"/>
              </w:numPr>
              <w:spacing w:after="20"/>
              <w:jc w:val="both"/>
            </w:pPr>
            <w:r>
              <w:rPr>
                <w:i/>
                <w:iCs/>
                <w:sz w:val="18"/>
                <w:szCs w:val="18"/>
              </w:rPr>
              <w:t xml:space="preserve">Valacich, J. y Schneider, C. (2022). </w:t>
            </w:r>
            <w:r w:rsidRPr="00BD34F7">
              <w:rPr>
                <w:i/>
                <w:iCs/>
                <w:sz w:val="18"/>
                <w:szCs w:val="18"/>
                <w:lang w:val="en-US"/>
              </w:rPr>
              <w:t xml:space="preserve">Information Systems Today: Managing in the Digital World. </w:t>
            </w:r>
            <w:r>
              <w:rPr>
                <w:i/>
                <w:iCs/>
                <w:sz w:val="18"/>
                <w:szCs w:val="18"/>
              </w:rPr>
              <w:t>Pearson.</w:t>
            </w:r>
            <w:r>
              <w:rPr>
                <w:sz w:val="18"/>
                <w:szCs w:val="18"/>
              </w:rPr>
              <w:t xml:space="preserve"> Aliaga Calderón, C. (s.f.). </w:t>
            </w:r>
            <w:r>
              <w:rPr>
                <w:i/>
                <w:iCs/>
                <w:sz w:val="18"/>
                <w:szCs w:val="18"/>
              </w:rPr>
              <w:t>Fundamentos de Gestión Pública</w:t>
            </w:r>
            <w:r>
              <w:rPr>
                <w:sz w:val="18"/>
                <w:szCs w:val="18"/>
              </w:rPr>
              <w:t>.</w:t>
            </w:r>
          </w:p>
        </w:tc>
      </w:tr>
      <w:tr w:rsidR="00990B14" w14:paraId="696471B6" w14:textId="77777777">
        <w:trPr>
          <w:jc w:val="center"/>
        </w:trPr>
        <w:tc>
          <w:tcPr>
            <w:tcW w:w="9405" w:type="dxa"/>
            <w:shd w:val="clear" w:color="auto" w:fill="D9E2F3"/>
          </w:tcPr>
          <w:p w14:paraId="01FA3ECA" w14:textId="77777777" w:rsidR="00990B14" w:rsidRDefault="00000000">
            <w:pPr>
              <w:spacing w:before="40" w:after="40"/>
              <w:jc w:val="both"/>
            </w:pPr>
            <w:r>
              <w:rPr>
                <w:b/>
                <w:bCs/>
                <w:i/>
                <w:iCs/>
                <w:sz w:val="18"/>
                <w:szCs w:val="18"/>
              </w:rPr>
              <w:t>Bibliografía complementaria:</w:t>
            </w:r>
          </w:p>
          <w:p w14:paraId="7847885F" w14:textId="77777777" w:rsidR="00990B14" w:rsidRDefault="00000000">
            <w:pPr>
              <w:numPr>
                <w:ilvl w:val="0"/>
                <w:numId w:val="140"/>
              </w:numPr>
              <w:spacing w:after="20"/>
              <w:jc w:val="both"/>
            </w:pPr>
            <w:r w:rsidRPr="00BD34F7">
              <w:rPr>
                <w:sz w:val="18"/>
                <w:szCs w:val="18"/>
                <w:lang w:val="en-US"/>
              </w:rPr>
              <w:t xml:space="preserve">D'Alessio Ipinza, F. (s.f.). </w:t>
            </w:r>
            <w:r>
              <w:rPr>
                <w:i/>
                <w:iCs/>
                <w:sz w:val="18"/>
                <w:szCs w:val="18"/>
              </w:rPr>
              <w:t>El proceso estratégico, un enfoque de gerencia</w:t>
            </w:r>
            <w:r>
              <w:rPr>
                <w:sz w:val="18"/>
                <w:szCs w:val="18"/>
              </w:rPr>
              <w:t>.</w:t>
            </w:r>
          </w:p>
          <w:p w14:paraId="6B479F2B" w14:textId="77777777" w:rsidR="00990B14" w:rsidRDefault="00000000">
            <w:pPr>
              <w:numPr>
                <w:ilvl w:val="0"/>
                <w:numId w:val="140"/>
              </w:numPr>
              <w:spacing w:after="20"/>
              <w:jc w:val="both"/>
            </w:pPr>
            <w:r>
              <w:rPr>
                <w:sz w:val="18"/>
                <w:szCs w:val="18"/>
              </w:rPr>
              <w:t xml:space="preserve">Drucker, P. (s.f.). </w:t>
            </w:r>
            <w:r>
              <w:rPr>
                <w:i/>
                <w:iCs/>
                <w:sz w:val="18"/>
                <w:szCs w:val="18"/>
              </w:rPr>
              <w:t>Gerencia científica</w:t>
            </w:r>
            <w:r>
              <w:rPr>
                <w:sz w:val="18"/>
                <w:szCs w:val="18"/>
              </w:rPr>
              <w:t>.</w:t>
            </w:r>
          </w:p>
          <w:p w14:paraId="35B232BA" w14:textId="77777777" w:rsidR="00990B14" w:rsidRDefault="00000000">
            <w:pPr>
              <w:numPr>
                <w:ilvl w:val="0"/>
                <w:numId w:val="140"/>
              </w:numPr>
              <w:spacing w:after="20"/>
              <w:jc w:val="both"/>
            </w:pPr>
            <w:r>
              <w:rPr>
                <w:sz w:val="18"/>
                <w:szCs w:val="18"/>
              </w:rPr>
              <w:t xml:space="preserve">Kaplan, R. S. y Norton, D. P. (1996). </w:t>
            </w:r>
            <w:r w:rsidRPr="00BD34F7">
              <w:rPr>
                <w:i/>
                <w:iCs/>
                <w:sz w:val="18"/>
                <w:szCs w:val="18"/>
                <w:lang w:val="en-US"/>
              </w:rPr>
              <w:t>The Balanced Scorecard: Translating Strategy into Action</w:t>
            </w:r>
            <w:r w:rsidRPr="00BD34F7">
              <w:rPr>
                <w:sz w:val="18"/>
                <w:szCs w:val="18"/>
                <w:lang w:val="en-US"/>
              </w:rPr>
              <w:t xml:space="preserve">. </w:t>
            </w:r>
            <w:r>
              <w:rPr>
                <w:sz w:val="18"/>
                <w:szCs w:val="18"/>
              </w:rPr>
              <w:t>Boston: Harvard Business School Press.</w:t>
            </w:r>
          </w:p>
          <w:p w14:paraId="1050D806" w14:textId="77777777" w:rsidR="00990B14" w:rsidRPr="00BD34F7" w:rsidRDefault="00000000">
            <w:pPr>
              <w:numPr>
                <w:ilvl w:val="0"/>
                <w:numId w:val="140"/>
              </w:numPr>
              <w:spacing w:after="20"/>
              <w:jc w:val="both"/>
              <w:rPr>
                <w:lang w:val="en-US"/>
              </w:rPr>
            </w:pPr>
            <w:r>
              <w:rPr>
                <w:sz w:val="18"/>
                <w:szCs w:val="18"/>
              </w:rPr>
              <w:t xml:space="preserve">Kim, W. C. y Mauborgne, R. (2005). </w:t>
            </w:r>
            <w:r w:rsidRPr="00BD34F7">
              <w:rPr>
                <w:i/>
                <w:iCs/>
                <w:sz w:val="18"/>
                <w:szCs w:val="18"/>
                <w:lang w:val="en-US"/>
              </w:rPr>
              <w:t>Blue Ocean Strategy</w:t>
            </w:r>
            <w:r w:rsidRPr="00BD34F7">
              <w:rPr>
                <w:sz w:val="18"/>
                <w:szCs w:val="18"/>
                <w:lang w:val="en-US"/>
              </w:rPr>
              <w:t>. Boston: Harvard Business School Press.</w:t>
            </w:r>
          </w:p>
          <w:p w14:paraId="087C187A" w14:textId="77777777" w:rsidR="00990B14" w:rsidRDefault="00000000">
            <w:pPr>
              <w:numPr>
                <w:ilvl w:val="0"/>
                <w:numId w:val="140"/>
              </w:numPr>
              <w:spacing w:after="20"/>
              <w:jc w:val="both"/>
            </w:pPr>
            <w:r>
              <w:rPr>
                <w:sz w:val="18"/>
                <w:szCs w:val="18"/>
              </w:rPr>
              <w:t xml:space="preserve">Klein, H. (s.f.). </w:t>
            </w:r>
            <w:r>
              <w:rPr>
                <w:i/>
                <w:iCs/>
                <w:sz w:val="18"/>
                <w:szCs w:val="18"/>
              </w:rPr>
              <w:t>Circuitos administrativos</w:t>
            </w:r>
            <w:r>
              <w:rPr>
                <w:sz w:val="18"/>
                <w:szCs w:val="18"/>
              </w:rPr>
              <w:t>.</w:t>
            </w:r>
          </w:p>
          <w:p w14:paraId="1BC3BFF0" w14:textId="77777777" w:rsidR="00990B14" w:rsidRDefault="00000000">
            <w:pPr>
              <w:numPr>
                <w:ilvl w:val="0"/>
                <w:numId w:val="140"/>
              </w:numPr>
              <w:spacing w:after="20"/>
              <w:jc w:val="both"/>
            </w:pPr>
            <w:r w:rsidRPr="00BD34F7">
              <w:rPr>
                <w:sz w:val="18"/>
                <w:szCs w:val="18"/>
                <w:lang w:val="en-US"/>
              </w:rPr>
              <w:t xml:space="preserve">Koontz y O'Donnell (s.f.). </w:t>
            </w:r>
            <w:r>
              <w:rPr>
                <w:i/>
                <w:iCs/>
                <w:sz w:val="18"/>
                <w:szCs w:val="18"/>
              </w:rPr>
              <w:t>Curso de Administración Moderna</w:t>
            </w:r>
            <w:r>
              <w:rPr>
                <w:sz w:val="18"/>
                <w:szCs w:val="18"/>
              </w:rPr>
              <w:t>.</w:t>
            </w:r>
          </w:p>
          <w:p w14:paraId="3FA715D5" w14:textId="77777777" w:rsidR="00990B14" w:rsidRDefault="00000000">
            <w:pPr>
              <w:numPr>
                <w:ilvl w:val="0"/>
                <w:numId w:val="140"/>
              </w:numPr>
              <w:spacing w:after="20"/>
              <w:jc w:val="both"/>
            </w:pPr>
            <w:r>
              <w:rPr>
                <w:sz w:val="18"/>
                <w:szCs w:val="18"/>
              </w:rPr>
              <w:t xml:space="preserve">Lazzati, S. (s.f.). </w:t>
            </w:r>
            <w:r>
              <w:rPr>
                <w:i/>
                <w:iCs/>
                <w:sz w:val="18"/>
                <w:szCs w:val="18"/>
              </w:rPr>
              <w:t>El gerente estratégico y líder del cambio</w:t>
            </w:r>
            <w:r>
              <w:rPr>
                <w:sz w:val="18"/>
                <w:szCs w:val="18"/>
              </w:rPr>
              <w:t>.</w:t>
            </w:r>
          </w:p>
          <w:p w14:paraId="07FD5656" w14:textId="77777777" w:rsidR="00990B14" w:rsidRDefault="00000000">
            <w:pPr>
              <w:numPr>
                <w:ilvl w:val="0"/>
                <w:numId w:val="140"/>
              </w:numPr>
              <w:spacing w:after="20"/>
              <w:jc w:val="both"/>
            </w:pPr>
            <w:r>
              <w:rPr>
                <w:sz w:val="18"/>
                <w:szCs w:val="18"/>
              </w:rPr>
              <w:t>Ley N.º 974, de 4 de septiembre de 2017, de Unidades de Transparencia y Lucha Contra la Corrupción.</w:t>
            </w:r>
          </w:p>
          <w:p w14:paraId="1CE5DF6F" w14:textId="77777777" w:rsidR="00990B14" w:rsidRDefault="00000000">
            <w:pPr>
              <w:numPr>
                <w:ilvl w:val="0"/>
                <w:numId w:val="140"/>
              </w:numPr>
              <w:spacing w:after="20"/>
              <w:jc w:val="both"/>
            </w:pPr>
            <w:r>
              <w:rPr>
                <w:sz w:val="18"/>
                <w:szCs w:val="18"/>
              </w:rPr>
              <w:t xml:space="preserve">Louffat, E. (s.f.). </w:t>
            </w:r>
            <w:r>
              <w:rPr>
                <w:i/>
                <w:iCs/>
                <w:sz w:val="18"/>
                <w:szCs w:val="18"/>
              </w:rPr>
              <w:t>Administración: Fundamentos del Proceso Administrativo</w:t>
            </w:r>
            <w:r>
              <w:rPr>
                <w:sz w:val="18"/>
                <w:szCs w:val="18"/>
              </w:rPr>
              <w:t>.</w:t>
            </w:r>
          </w:p>
          <w:p w14:paraId="39B97606" w14:textId="77777777" w:rsidR="00990B14" w:rsidRDefault="00000000">
            <w:pPr>
              <w:numPr>
                <w:ilvl w:val="0"/>
                <w:numId w:val="140"/>
              </w:numPr>
              <w:spacing w:after="20"/>
              <w:jc w:val="both"/>
            </w:pPr>
            <w:r>
              <w:rPr>
                <w:sz w:val="18"/>
                <w:szCs w:val="18"/>
              </w:rPr>
              <w:t xml:space="preserve">March, J. y Simon, H. (s.f.). </w:t>
            </w:r>
            <w:r>
              <w:rPr>
                <w:i/>
                <w:iCs/>
                <w:sz w:val="18"/>
                <w:szCs w:val="18"/>
              </w:rPr>
              <w:t>Teoría de la organización</w:t>
            </w:r>
            <w:r>
              <w:rPr>
                <w:sz w:val="18"/>
                <w:szCs w:val="18"/>
              </w:rPr>
              <w:t>.</w:t>
            </w:r>
          </w:p>
          <w:p w14:paraId="1AF18FB6" w14:textId="77777777" w:rsidR="00990B14" w:rsidRDefault="00000000">
            <w:pPr>
              <w:numPr>
                <w:ilvl w:val="0"/>
                <w:numId w:val="140"/>
              </w:numPr>
              <w:spacing w:after="20"/>
              <w:jc w:val="both"/>
            </w:pPr>
            <w:r>
              <w:rPr>
                <w:sz w:val="18"/>
                <w:szCs w:val="18"/>
              </w:rPr>
              <w:t xml:space="preserve">Münch y García Martínez (s.f.). </w:t>
            </w:r>
            <w:r>
              <w:rPr>
                <w:i/>
                <w:iCs/>
                <w:sz w:val="18"/>
                <w:szCs w:val="18"/>
              </w:rPr>
              <w:t>Fundamentos de Administración</w:t>
            </w:r>
            <w:r>
              <w:rPr>
                <w:sz w:val="18"/>
                <w:szCs w:val="18"/>
              </w:rPr>
              <w:t>.</w:t>
            </w:r>
          </w:p>
          <w:p w14:paraId="4022F031" w14:textId="77777777" w:rsidR="00990B14" w:rsidRDefault="00000000">
            <w:pPr>
              <w:numPr>
                <w:ilvl w:val="0"/>
                <w:numId w:val="140"/>
              </w:numPr>
              <w:spacing w:after="20"/>
              <w:jc w:val="both"/>
            </w:pPr>
            <w:r>
              <w:rPr>
                <w:sz w:val="18"/>
                <w:szCs w:val="18"/>
              </w:rPr>
              <w:t xml:space="preserve">Normas Básicas del Sistema de Organización Administrativa, Resolución Suprema N.º 217055, de 20 de mayo de 1997. Odiorne, G. S. (s.f.). </w:t>
            </w:r>
            <w:r>
              <w:rPr>
                <w:i/>
                <w:iCs/>
                <w:sz w:val="18"/>
                <w:szCs w:val="18"/>
              </w:rPr>
              <w:t>Administración por objetivos</w:t>
            </w:r>
            <w:r>
              <w:rPr>
                <w:sz w:val="18"/>
                <w:szCs w:val="18"/>
              </w:rPr>
              <w:t>.</w:t>
            </w:r>
          </w:p>
          <w:p w14:paraId="17654EB0" w14:textId="77777777" w:rsidR="00990B14" w:rsidRDefault="00000000">
            <w:pPr>
              <w:numPr>
                <w:ilvl w:val="0"/>
                <w:numId w:val="140"/>
              </w:numPr>
              <w:spacing w:after="20"/>
              <w:jc w:val="both"/>
            </w:pPr>
            <w:r>
              <w:rPr>
                <w:sz w:val="18"/>
                <w:szCs w:val="18"/>
              </w:rPr>
              <w:t xml:space="preserve">Organización Internacional de Normalización, ISO (2018). </w:t>
            </w:r>
            <w:r>
              <w:rPr>
                <w:i/>
                <w:iCs/>
                <w:sz w:val="18"/>
                <w:szCs w:val="18"/>
              </w:rPr>
              <w:t>ISO 31000:2018 Gestión del riesgo: directrices</w:t>
            </w:r>
            <w:r>
              <w:rPr>
                <w:sz w:val="18"/>
                <w:szCs w:val="18"/>
              </w:rPr>
              <w:t>. Ginebra. Páginas de internet.</w:t>
            </w:r>
          </w:p>
          <w:p w14:paraId="248862F9" w14:textId="77777777" w:rsidR="00990B14" w:rsidRDefault="00000000">
            <w:pPr>
              <w:numPr>
                <w:ilvl w:val="0"/>
                <w:numId w:val="140"/>
              </w:numPr>
              <w:spacing w:after="20"/>
              <w:jc w:val="both"/>
            </w:pPr>
            <w:r>
              <w:rPr>
                <w:sz w:val="18"/>
                <w:szCs w:val="18"/>
              </w:rPr>
              <w:t xml:space="preserve">Pozo Navarro, F. (s.f.). </w:t>
            </w:r>
            <w:r>
              <w:rPr>
                <w:i/>
                <w:iCs/>
                <w:sz w:val="18"/>
                <w:szCs w:val="18"/>
              </w:rPr>
              <w:t>Dirección por sistemas</w:t>
            </w:r>
            <w:r>
              <w:rPr>
                <w:sz w:val="18"/>
                <w:szCs w:val="18"/>
              </w:rPr>
              <w:t>.</w:t>
            </w:r>
          </w:p>
          <w:p w14:paraId="1F49A44E" w14:textId="77777777" w:rsidR="00990B14" w:rsidRDefault="00000000">
            <w:pPr>
              <w:numPr>
                <w:ilvl w:val="0"/>
                <w:numId w:val="140"/>
              </w:numPr>
              <w:spacing w:after="20"/>
              <w:jc w:val="both"/>
            </w:pPr>
            <w:r>
              <w:rPr>
                <w:sz w:val="18"/>
                <w:szCs w:val="18"/>
              </w:rPr>
              <w:t xml:space="preserve">Prieto Herrera, J. (s.f.). </w:t>
            </w:r>
            <w:r>
              <w:rPr>
                <w:i/>
                <w:iCs/>
                <w:sz w:val="18"/>
                <w:szCs w:val="18"/>
              </w:rPr>
              <w:t>Gerencia Proactiva</w:t>
            </w:r>
            <w:r>
              <w:rPr>
                <w:sz w:val="18"/>
                <w:szCs w:val="18"/>
              </w:rPr>
              <w:t>.</w:t>
            </w:r>
          </w:p>
          <w:p w14:paraId="67310080" w14:textId="77777777" w:rsidR="00990B14" w:rsidRDefault="00000000">
            <w:pPr>
              <w:numPr>
                <w:ilvl w:val="0"/>
                <w:numId w:val="140"/>
              </w:numPr>
              <w:spacing w:after="20"/>
              <w:jc w:val="both"/>
            </w:pPr>
            <w:r>
              <w:rPr>
                <w:sz w:val="18"/>
                <w:szCs w:val="18"/>
              </w:rPr>
              <w:t xml:space="preserve">Rodríguez, M. (s.f.). </w:t>
            </w:r>
            <w:r>
              <w:rPr>
                <w:i/>
                <w:iCs/>
                <w:sz w:val="18"/>
                <w:szCs w:val="18"/>
              </w:rPr>
              <w:t>Planificación Estratégica</w:t>
            </w:r>
            <w:r>
              <w:rPr>
                <w:sz w:val="18"/>
                <w:szCs w:val="18"/>
              </w:rPr>
              <w:t>.</w:t>
            </w:r>
          </w:p>
          <w:p w14:paraId="5DED293B" w14:textId="77777777" w:rsidR="00990B14" w:rsidRDefault="00000000">
            <w:pPr>
              <w:numPr>
                <w:ilvl w:val="0"/>
                <w:numId w:val="140"/>
              </w:numPr>
              <w:spacing w:after="20"/>
              <w:jc w:val="both"/>
            </w:pPr>
            <w:r w:rsidRPr="00BD34F7">
              <w:rPr>
                <w:sz w:val="18"/>
                <w:szCs w:val="18"/>
                <w:lang w:val="en-US"/>
              </w:rPr>
              <w:t xml:space="preserve">Saroka, R. H. (s.f.). </w:t>
            </w:r>
            <w:r>
              <w:rPr>
                <w:i/>
                <w:iCs/>
                <w:sz w:val="18"/>
                <w:szCs w:val="18"/>
              </w:rPr>
              <w:t>Organigramas</w:t>
            </w:r>
            <w:r>
              <w:rPr>
                <w:sz w:val="18"/>
                <w:szCs w:val="18"/>
              </w:rPr>
              <w:t>.</w:t>
            </w:r>
          </w:p>
          <w:p w14:paraId="6E53AA80" w14:textId="77777777" w:rsidR="00990B14" w:rsidRDefault="00000000">
            <w:pPr>
              <w:numPr>
                <w:ilvl w:val="0"/>
                <w:numId w:val="140"/>
              </w:numPr>
              <w:spacing w:after="20"/>
              <w:jc w:val="both"/>
            </w:pPr>
            <w:r>
              <w:rPr>
                <w:sz w:val="18"/>
                <w:szCs w:val="18"/>
              </w:rPr>
              <w:t>Sitio web de la Contraloría General del Estado: www.contraloria.gob.bo.</w:t>
            </w:r>
          </w:p>
          <w:p w14:paraId="1AC0EA30" w14:textId="77777777" w:rsidR="00990B14" w:rsidRDefault="00000000">
            <w:pPr>
              <w:numPr>
                <w:ilvl w:val="0"/>
                <w:numId w:val="140"/>
              </w:numPr>
              <w:spacing w:after="20"/>
              <w:jc w:val="both"/>
            </w:pPr>
            <w:r>
              <w:rPr>
                <w:sz w:val="18"/>
                <w:szCs w:val="18"/>
              </w:rPr>
              <w:t>Sitio web del Ministerio de Planificación del Desarrollo: www.planificacion.gob.bo.</w:t>
            </w:r>
          </w:p>
          <w:p w14:paraId="75E4E650" w14:textId="77777777" w:rsidR="00990B14" w:rsidRDefault="00000000">
            <w:pPr>
              <w:numPr>
                <w:ilvl w:val="0"/>
                <w:numId w:val="140"/>
              </w:numPr>
              <w:spacing w:after="20"/>
              <w:jc w:val="both"/>
            </w:pPr>
            <w:r>
              <w:rPr>
                <w:sz w:val="18"/>
                <w:szCs w:val="18"/>
              </w:rPr>
              <w:t>Sitio web del Sistema de Gestión Pública: portal.sigep.gob.bo.</w:t>
            </w:r>
          </w:p>
        </w:tc>
      </w:tr>
    </w:tbl>
    <w:p w14:paraId="4D6B4DA0" w14:textId="77777777" w:rsidR="00990B14" w:rsidRDefault="00000000">
      <w:pPr>
        <w:pStyle w:val="TituloPlanAsignatura"/>
        <w:keepNext/>
        <w:pageBreakBefore/>
        <w:spacing w:after="120"/>
        <w:jc w:val="center"/>
        <w:outlineLvl w:val="2"/>
      </w:pPr>
      <w:bookmarkStart w:id="160" w:name="_Toc000000101"/>
      <w:r>
        <w:rPr>
          <w:b/>
          <w:bCs/>
          <w:sz w:val="24"/>
          <w:szCs w:val="24"/>
        </w:rPr>
        <w:t>DER-201 Derecho Tributario y Legislación Aduanera</w:t>
      </w:r>
      <w:bookmarkEnd w:id="160"/>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249"/>
        <w:gridCol w:w="1100"/>
        <w:gridCol w:w="149"/>
        <w:gridCol w:w="635"/>
        <w:gridCol w:w="615"/>
        <w:gridCol w:w="952"/>
        <w:gridCol w:w="298"/>
        <w:gridCol w:w="1250"/>
        <w:gridCol w:w="20"/>
        <w:gridCol w:w="385"/>
        <w:gridCol w:w="398"/>
        <w:gridCol w:w="447"/>
        <w:gridCol w:w="1907"/>
      </w:tblGrid>
      <w:tr w:rsidR="00990B14" w14:paraId="50487307" w14:textId="77777777">
        <w:trPr>
          <w:cantSplit/>
          <w:jc w:val="center"/>
        </w:trPr>
        <w:tc>
          <w:tcPr>
            <w:tcW w:w="2349" w:type="dxa"/>
            <w:gridSpan w:val="2"/>
            <w:shd w:val="clear" w:color="auto" w:fill="4472C4"/>
            <w:vAlign w:val="center"/>
          </w:tcPr>
          <w:p w14:paraId="288DCC4B" w14:textId="77777777" w:rsidR="00990B14" w:rsidRDefault="00000000">
            <w:pPr>
              <w:keepNext/>
              <w:spacing w:before="20" w:after="20"/>
              <w:jc w:val="center"/>
            </w:pPr>
            <w:r>
              <w:rPr>
                <w:b/>
                <w:bCs/>
                <w:i/>
                <w:iCs/>
                <w:color w:val="FFFFFF"/>
                <w:sz w:val="18"/>
                <w:szCs w:val="18"/>
              </w:rPr>
              <w:t>Asignatura</w:t>
            </w:r>
          </w:p>
        </w:tc>
        <w:tc>
          <w:tcPr>
            <w:tcW w:w="2351" w:type="dxa"/>
            <w:gridSpan w:val="4"/>
            <w:shd w:val="clear" w:color="auto" w:fill="4472C4"/>
            <w:vAlign w:val="center"/>
          </w:tcPr>
          <w:p w14:paraId="62E31290" w14:textId="77777777" w:rsidR="00990B14" w:rsidRDefault="00000000">
            <w:pPr>
              <w:keepNext/>
              <w:spacing w:before="20" w:after="20"/>
              <w:jc w:val="center"/>
            </w:pPr>
            <w:r>
              <w:rPr>
                <w:b/>
                <w:bCs/>
                <w:i/>
                <w:iCs/>
                <w:color w:val="FFFFFF"/>
                <w:sz w:val="18"/>
                <w:szCs w:val="18"/>
              </w:rPr>
              <w:t>Sigla</w:t>
            </w:r>
          </w:p>
        </w:tc>
        <w:tc>
          <w:tcPr>
            <w:tcW w:w="2351" w:type="dxa"/>
            <w:gridSpan w:val="5"/>
            <w:shd w:val="clear" w:color="auto" w:fill="4472C4"/>
            <w:vAlign w:val="center"/>
          </w:tcPr>
          <w:p w14:paraId="3C4C1CCB" w14:textId="77777777" w:rsidR="00990B14" w:rsidRDefault="00000000">
            <w:pPr>
              <w:keepNext/>
              <w:spacing w:before="20" w:after="20"/>
              <w:jc w:val="center"/>
            </w:pPr>
            <w:r>
              <w:rPr>
                <w:b/>
                <w:bCs/>
                <w:i/>
                <w:iCs/>
                <w:color w:val="FFFFFF"/>
                <w:sz w:val="18"/>
                <w:szCs w:val="18"/>
              </w:rPr>
              <w:t>Nivel/Área</w:t>
            </w:r>
          </w:p>
        </w:tc>
        <w:tc>
          <w:tcPr>
            <w:tcW w:w="2354" w:type="dxa"/>
            <w:gridSpan w:val="2"/>
            <w:shd w:val="clear" w:color="auto" w:fill="4472C4"/>
            <w:vAlign w:val="center"/>
          </w:tcPr>
          <w:p w14:paraId="4EF96299" w14:textId="77777777" w:rsidR="00990B14" w:rsidRDefault="00000000">
            <w:pPr>
              <w:keepNext/>
              <w:spacing w:before="20" w:after="20"/>
              <w:jc w:val="center"/>
            </w:pPr>
            <w:r>
              <w:rPr>
                <w:b/>
                <w:bCs/>
                <w:i/>
                <w:iCs/>
                <w:color w:val="FFFFFF"/>
                <w:sz w:val="18"/>
                <w:szCs w:val="18"/>
              </w:rPr>
              <w:t>Prerrequisito</w:t>
            </w:r>
          </w:p>
        </w:tc>
      </w:tr>
      <w:tr w:rsidR="00990B14" w14:paraId="7130E100" w14:textId="77777777">
        <w:trPr>
          <w:cantSplit/>
          <w:jc w:val="center"/>
        </w:trPr>
        <w:tc>
          <w:tcPr>
            <w:tcW w:w="2349" w:type="dxa"/>
            <w:gridSpan w:val="2"/>
            <w:shd w:val="clear" w:color="auto" w:fill="D9E2F3"/>
            <w:vAlign w:val="center"/>
          </w:tcPr>
          <w:p w14:paraId="0671BF85" w14:textId="77777777" w:rsidR="00990B14" w:rsidRDefault="00000000">
            <w:pPr>
              <w:spacing w:before="20" w:after="20"/>
              <w:jc w:val="center"/>
            </w:pPr>
            <w:r>
              <w:rPr>
                <w:b/>
                <w:bCs/>
                <w:i/>
                <w:iCs/>
                <w:sz w:val="18"/>
                <w:szCs w:val="18"/>
              </w:rPr>
              <w:t>Derecho Tributario y Legislación Aduanera</w:t>
            </w:r>
          </w:p>
        </w:tc>
        <w:tc>
          <w:tcPr>
            <w:tcW w:w="2351" w:type="dxa"/>
            <w:gridSpan w:val="4"/>
            <w:shd w:val="clear" w:color="auto" w:fill="D9E2F3"/>
            <w:vAlign w:val="center"/>
          </w:tcPr>
          <w:p w14:paraId="54CCFAFA" w14:textId="77777777" w:rsidR="00990B14" w:rsidRDefault="00000000">
            <w:pPr>
              <w:spacing w:before="20" w:after="20"/>
              <w:jc w:val="center"/>
            </w:pPr>
            <w:r>
              <w:rPr>
                <w:b/>
                <w:bCs/>
                <w:i/>
                <w:iCs/>
                <w:sz w:val="18"/>
                <w:szCs w:val="18"/>
              </w:rPr>
              <w:t>DER-201</w:t>
            </w:r>
          </w:p>
        </w:tc>
        <w:tc>
          <w:tcPr>
            <w:tcW w:w="2351" w:type="dxa"/>
            <w:gridSpan w:val="5"/>
            <w:shd w:val="clear" w:color="auto" w:fill="D9E2F3"/>
            <w:vAlign w:val="center"/>
          </w:tcPr>
          <w:p w14:paraId="56C5225C" w14:textId="77777777" w:rsidR="00990B14" w:rsidRDefault="00000000">
            <w:pPr>
              <w:spacing w:before="20" w:after="20"/>
              <w:jc w:val="center"/>
            </w:pPr>
            <w:r>
              <w:rPr>
                <w:b/>
                <w:bCs/>
                <w:i/>
                <w:iCs/>
                <w:sz w:val="18"/>
                <w:szCs w:val="18"/>
              </w:rPr>
              <w:t>Derecho</w:t>
            </w:r>
          </w:p>
        </w:tc>
        <w:tc>
          <w:tcPr>
            <w:tcW w:w="2354" w:type="dxa"/>
            <w:gridSpan w:val="2"/>
            <w:shd w:val="clear" w:color="auto" w:fill="D9E2F3"/>
            <w:vAlign w:val="center"/>
          </w:tcPr>
          <w:p w14:paraId="63C3FF95" w14:textId="77777777" w:rsidR="00990B14" w:rsidRDefault="00000000">
            <w:pPr>
              <w:spacing w:before="20" w:after="20"/>
              <w:jc w:val="center"/>
            </w:pPr>
            <w:r>
              <w:rPr>
                <w:b/>
                <w:bCs/>
                <w:i/>
                <w:iCs/>
                <w:sz w:val="18"/>
                <w:szCs w:val="18"/>
              </w:rPr>
              <w:t>DER-101, DER-102</w:t>
            </w:r>
          </w:p>
        </w:tc>
      </w:tr>
      <w:tr w:rsidR="00990B14" w14:paraId="4D961BE9" w14:textId="77777777">
        <w:trPr>
          <w:cantSplit/>
          <w:jc w:val="center"/>
        </w:trPr>
        <w:tc>
          <w:tcPr>
            <w:tcW w:w="7498" w:type="dxa"/>
            <w:gridSpan w:val="12"/>
            <w:shd w:val="clear" w:color="auto" w:fill="4472C4"/>
            <w:vAlign w:val="center"/>
          </w:tcPr>
          <w:p w14:paraId="7B34B016" w14:textId="77777777" w:rsidR="00990B14" w:rsidRDefault="00000000">
            <w:pPr>
              <w:keepNext/>
              <w:spacing w:before="20" w:after="20"/>
              <w:jc w:val="center"/>
            </w:pPr>
            <w:r>
              <w:rPr>
                <w:b/>
                <w:bCs/>
                <w:i/>
                <w:iCs/>
                <w:color w:val="FFFFFF"/>
                <w:sz w:val="18"/>
                <w:szCs w:val="18"/>
              </w:rPr>
              <w:t>Carga Horaria</w:t>
            </w:r>
          </w:p>
        </w:tc>
        <w:tc>
          <w:tcPr>
            <w:tcW w:w="1907" w:type="dxa"/>
            <w:shd w:val="clear" w:color="auto" w:fill="4472C4"/>
            <w:vAlign w:val="center"/>
          </w:tcPr>
          <w:p w14:paraId="2F543C32" w14:textId="77777777" w:rsidR="00990B14" w:rsidRDefault="00000000">
            <w:pPr>
              <w:keepNext/>
              <w:spacing w:before="20" w:after="20"/>
              <w:jc w:val="center"/>
            </w:pPr>
            <w:r>
              <w:rPr>
                <w:b/>
                <w:bCs/>
                <w:i/>
                <w:iCs/>
                <w:color w:val="FFFFFF"/>
                <w:sz w:val="18"/>
                <w:szCs w:val="18"/>
              </w:rPr>
              <w:t>Créditos</w:t>
            </w:r>
          </w:p>
        </w:tc>
      </w:tr>
      <w:tr w:rsidR="00990B14" w14:paraId="474C9F17" w14:textId="77777777">
        <w:trPr>
          <w:cantSplit/>
          <w:jc w:val="center"/>
        </w:trPr>
        <w:tc>
          <w:tcPr>
            <w:tcW w:w="1249" w:type="dxa"/>
            <w:shd w:val="clear" w:color="auto" w:fill="4472C4"/>
            <w:vAlign w:val="center"/>
          </w:tcPr>
          <w:p w14:paraId="12B99A01" w14:textId="77777777" w:rsidR="00990B14" w:rsidRDefault="00000000">
            <w:pPr>
              <w:keepNext/>
              <w:spacing w:before="20" w:after="20"/>
              <w:jc w:val="center"/>
            </w:pPr>
            <w:r>
              <w:rPr>
                <w:b/>
                <w:bCs/>
                <w:i/>
                <w:iCs/>
                <w:color w:val="FFFFFF"/>
                <w:sz w:val="18"/>
                <w:szCs w:val="18"/>
              </w:rPr>
              <w:t>HP</w:t>
            </w:r>
          </w:p>
        </w:tc>
        <w:tc>
          <w:tcPr>
            <w:tcW w:w="1249" w:type="dxa"/>
            <w:gridSpan w:val="2"/>
            <w:shd w:val="clear" w:color="auto" w:fill="4472C4"/>
            <w:vAlign w:val="center"/>
          </w:tcPr>
          <w:p w14:paraId="7555E277" w14:textId="77777777" w:rsidR="00990B14" w:rsidRDefault="00000000">
            <w:pPr>
              <w:keepNext/>
              <w:spacing w:before="20" w:after="20"/>
              <w:jc w:val="center"/>
            </w:pPr>
            <w:r>
              <w:rPr>
                <w:b/>
                <w:bCs/>
                <w:i/>
                <w:iCs/>
                <w:color w:val="FFFFFF"/>
                <w:sz w:val="18"/>
                <w:szCs w:val="18"/>
              </w:rPr>
              <w:t>HAA</w:t>
            </w:r>
          </w:p>
        </w:tc>
        <w:tc>
          <w:tcPr>
            <w:tcW w:w="1250" w:type="dxa"/>
            <w:gridSpan w:val="2"/>
            <w:shd w:val="clear" w:color="auto" w:fill="4472C4"/>
            <w:vAlign w:val="center"/>
          </w:tcPr>
          <w:p w14:paraId="7ADDE1B8" w14:textId="77777777" w:rsidR="00990B14" w:rsidRDefault="00000000">
            <w:pPr>
              <w:keepNext/>
              <w:spacing w:before="20" w:after="20"/>
              <w:jc w:val="center"/>
            </w:pPr>
            <w:r>
              <w:rPr>
                <w:b/>
                <w:bCs/>
                <w:i/>
                <w:iCs/>
                <w:color w:val="FFFFFF"/>
                <w:sz w:val="18"/>
                <w:szCs w:val="18"/>
              </w:rPr>
              <w:t>HTG</w:t>
            </w:r>
          </w:p>
        </w:tc>
        <w:tc>
          <w:tcPr>
            <w:tcW w:w="1250" w:type="dxa"/>
            <w:gridSpan w:val="2"/>
            <w:shd w:val="clear" w:color="auto" w:fill="4472C4"/>
            <w:vAlign w:val="center"/>
          </w:tcPr>
          <w:p w14:paraId="2D293EAA" w14:textId="77777777" w:rsidR="00990B14" w:rsidRDefault="00000000">
            <w:pPr>
              <w:keepNext/>
              <w:spacing w:before="20" w:after="20"/>
              <w:jc w:val="center"/>
            </w:pPr>
            <w:r>
              <w:rPr>
                <w:b/>
                <w:bCs/>
                <w:i/>
                <w:iCs/>
                <w:color w:val="FFFFFF"/>
                <w:sz w:val="18"/>
                <w:szCs w:val="18"/>
              </w:rPr>
              <w:t>HIP</w:t>
            </w:r>
          </w:p>
        </w:tc>
        <w:tc>
          <w:tcPr>
            <w:tcW w:w="1250" w:type="dxa"/>
            <w:shd w:val="clear" w:color="auto" w:fill="4472C4"/>
            <w:vAlign w:val="center"/>
          </w:tcPr>
          <w:p w14:paraId="2255CC1D" w14:textId="77777777" w:rsidR="00990B14" w:rsidRDefault="00000000">
            <w:pPr>
              <w:keepNext/>
              <w:spacing w:before="20" w:after="20"/>
              <w:jc w:val="center"/>
            </w:pPr>
            <w:r>
              <w:rPr>
                <w:b/>
                <w:bCs/>
                <w:i/>
                <w:iCs/>
                <w:color w:val="FFFFFF"/>
                <w:sz w:val="18"/>
                <w:szCs w:val="18"/>
              </w:rPr>
              <w:t>HE</w:t>
            </w:r>
          </w:p>
        </w:tc>
        <w:tc>
          <w:tcPr>
            <w:tcW w:w="1250" w:type="dxa"/>
            <w:gridSpan w:val="4"/>
            <w:shd w:val="clear" w:color="auto" w:fill="4472C4"/>
            <w:vAlign w:val="center"/>
          </w:tcPr>
          <w:p w14:paraId="50842B88" w14:textId="77777777" w:rsidR="00990B14" w:rsidRDefault="00000000">
            <w:pPr>
              <w:keepNext/>
              <w:spacing w:before="20" w:after="20"/>
              <w:jc w:val="center"/>
            </w:pPr>
            <w:r>
              <w:rPr>
                <w:b/>
                <w:bCs/>
                <w:i/>
                <w:iCs/>
                <w:color w:val="FFFFFF"/>
                <w:sz w:val="18"/>
                <w:szCs w:val="18"/>
              </w:rPr>
              <w:t>TOTAL</w:t>
            </w:r>
          </w:p>
        </w:tc>
        <w:tc>
          <w:tcPr>
            <w:tcW w:w="1907" w:type="dxa"/>
            <w:vMerge w:val="restart"/>
            <w:shd w:val="clear" w:color="auto" w:fill="D9E2F3"/>
            <w:vAlign w:val="center"/>
          </w:tcPr>
          <w:p w14:paraId="7986E6AE" w14:textId="77777777" w:rsidR="00990B14" w:rsidRDefault="00000000">
            <w:pPr>
              <w:spacing w:before="20" w:after="20"/>
              <w:jc w:val="center"/>
            </w:pPr>
            <w:r>
              <w:rPr>
                <w:sz w:val="18"/>
                <w:szCs w:val="18"/>
              </w:rPr>
              <w:t>8</w:t>
            </w:r>
          </w:p>
        </w:tc>
      </w:tr>
      <w:tr w:rsidR="00990B14" w14:paraId="6E07EFD1" w14:textId="77777777">
        <w:trPr>
          <w:cantSplit/>
          <w:jc w:val="center"/>
        </w:trPr>
        <w:tc>
          <w:tcPr>
            <w:tcW w:w="1249" w:type="dxa"/>
            <w:shd w:val="clear" w:color="auto" w:fill="D9E2F3"/>
            <w:vAlign w:val="center"/>
          </w:tcPr>
          <w:p w14:paraId="61801530" w14:textId="77777777" w:rsidR="00990B14" w:rsidRDefault="00000000">
            <w:pPr>
              <w:spacing w:before="20" w:after="20"/>
              <w:jc w:val="center"/>
            </w:pPr>
            <w:r>
              <w:rPr>
                <w:sz w:val="18"/>
                <w:szCs w:val="18"/>
              </w:rPr>
              <w:t>160</w:t>
            </w:r>
          </w:p>
        </w:tc>
        <w:tc>
          <w:tcPr>
            <w:tcW w:w="1249" w:type="dxa"/>
            <w:gridSpan w:val="2"/>
            <w:shd w:val="clear" w:color="auto" w:fill="D9E2F3"/>
            <w:vAlign w:val="center"/>
          </w:tcPr>
          <w:p w14:paraId="09B9B87E" w14:textId="77777777" w:rsidR="00990B14" w:rsidRDefault="00000000">
            <w:pPr>
              <w:spacing w:before="20" w:after="20"/>
              <w:jc w:val="center"/>
            </w:pPr>
            <w:r>
              <w:rPr>
                <w:sz w:val="18"/>
                <w:szCs w:val="18"/>
              </w:rPr>
              <w:t>16</w:t>
            </w:r>
          </w:p>
        </w:tc>
        <w:tc>
          <w:tcPr>
            <w:tcW w:w="1250" w:type="dxa"/>
            <w:gridSpan w:val="2"/>
            <w:shd w:val="clear" w:color="auto" w:fill="D9E2F3"/>
            <w:vAlign w:val="center"/>
          </w:tcPr>
          <w:p w14:paraId="34E77C63" w14:textId="77777777" w:rsidR="00990B14" w:rsidRDefault="00000000">
            <w:pPr>
              <w:spacing w:before="20" w:after="20"/>
              <w:jc w:val="center"/>
            </w:pPr>
            <w:r>
              <w:rPr>
                <w:sz w:val="18"/>
                <w:szCs w:val="18"/>
              </w:rPr>
              <w:t>16</w:t>
            </w:r>
          </w:p>
        </w:tc>
        <w:tc>
          <w:tcPr>
            <w:tcW w:w="1250" w:type="dxa"/>
            <w:gridSpan w:val="2"/>
            <w:shd w:val="clear" w:color="auto" w:fill="D9E2F3"/>
            <w:vAlign w:val="center"/>
          </w:tcPr>
          <w:p w14:paraId="2F9BA7CD" w14:textId="77777777" w:rsidR="00990B14" w:rsidRDefault="00000000">
            <w:pPr>
              <w:spacing w:before="20" w:after="20"/>
              <w:jc w:val="center"/>
            </w:pPr>
            <w:r>
              <w:rPr>
                <w:sz w:val="18"/>
                <w:szCs w:val="18"/>
              </w:rPr>
              <w:t>32</w:t>
            </w:r>
          </w:p>
        </w:tc>
        <w:tc>
          <w:tcPr>
            <w:tcW w:w="1250" w:type="dxa"/>
            <w:shd w:val="clear" w:color="auto" w:fill="D9E2F3"/>
            <w:vAlign w:val="center"/>
          </w:tcPr>
          <w:p w14:paraId="0181220B" w14:textId="77777777" w:rsidR="00990B14" w:rsidRDefault="00000000">
            <w:pPr>
              <w:spacing w:before="20" w:after="20"/>
              <w:jc w:val="center"/>
            </w:pPr>
            <w:r>
              <w:rPr>
                <w:sz w:val="18"/>
                <w:szCs w:val="18"/>
              </w:rPr>
              <w:t>16</w:t>
            </w:r>
          </w:p>
        </w:tc>
        <w:tc>
          <w:tcPr>
            <w:tcW w:w="1250" w:type="dxa"/>
            <w:gridSpan w:val="4"/>
            <w:shd w:val="clear" w:color="auto" w:fill="D9E2F3"/>
            <w:vAlign w:val="center"/>
          </w:tcPr>
          <w:p w14:paraId="5203A6CF" w14:textId="77777777" w:rsidR="00990B14" w:rsidRDefault="00000000">
            <w:pPr>
              <w:spacing w:before="20" w:after="20"/>
              <w:jc w:val="center"/>
            </w:pPr>
            <w:r>
              <w:rPr>
                <w:sz w:val="18"/>
                <w:szCs w:val="18"/>
              </w:rPr>
              <w:t>240</w:t>
            </w:r>
          </w:p>
        </w:tc>
        <w:tc>
          <w:tcPr>
            <w:tcW w:w="1907" w:type="dxa"/>
            <w:vMerge/>
            <w:shd w:val="clear" w:color="auto" w:fill="D9E2F3"/>
            <w:vAlign w:val="center"/>
          </w:tcPr>
          <w:p w14:paraId="7123307C" w14:textId="77777777" w:rsidR="00990B14" w:rsidRDefault="00990B14">
            <w:pPr>
              <w:spacing w:before="20" w:after="20"/>
            </w:pPr>
          </w:p>
        </w:tc>
      </w:tr>
      <w:tr w:rsidR="00990B14" w14:paraId="1E197F58" w14:textId="77777777">
        <w:trPr>
          <w:cantSplit/>
          <w:jc w:val="center"/>
        </w:trPr>
        <w:tc>
          <w:tcPr>
            <w:tcW w:w="9405" w:type="dxa"/>
            <w:gridSpan w:val="13"/>
            <w:shd w:val="clear" w:color="auto" w:fill="4472C4"/>
            <w:vAlign w:val="center"/>
          </w:tcPr>
          <w:p w14:paraId="41881EFC" w14:textId="77777777" w:rsidR="00990B14" w:rsidRDefault="00000000">
            <w:pPr>
              <w:keepNext/>
              <w:spacing w:before="20" w:after="20"/>
              <w:jc w:val="center"/>
            </w:pPr>
            <w:r>
              <w:rPr>
                <w:b/>
                <w:bCs/>
                <w:i/>
                <w:iCs/>
                <w:color w:val="FFFFFF"/>
                <w:sz w:val="18"/>
                <w:szCs w:val="18"/>
              </w:rPr>
              <w:t>Unidad de Competencia</w:t>
            </w:r>
          </w:p>
        </w:tc>
      </w:tr>
      <w:tr w:rsidR="00990B14" w14:paraId="00DF7683" w14:textId="77777777">
        <w:trPr>
          <w:cantSplit/>
          <w:jc w:val="center"/>
        </w:trPr>
        <w:tc>
          <w:tcPr>
            <w:tcW w:w="9405" w:type="dxa"/>
            <w:gridSpan w:val="13"/>
            <w:shd w:val="clear" w:color="auto" w:fill="D9E2F3"/>
            <w:vAlign w:val="center"/>
          </w:tcPr>
          <w:p w14:paraId="5337059F" w14:textId="77777777" w:rsidR="00990B14" w:rsidRDefault="00000000">
            <w:pPr>
              <w:spacing w:before="20" w:after="20"/>
              <w:jc w:val="both"/>
            </w:pPr>
            <w:r>
              <w:rPr>
                <w:sz w:val="18"/>
                <w:szCs w:val="18"/>
              </w:rPr>
              <w:t>Aplica el ordenamiento jurídico tributario y aduanero que rige las relaciones entre el Estado y el contribuyente, mediante la fundamentación de los principios constitucionales, la determinación de la obligación tributaria, la aplicación de procedimientos determinativos, regímenes sancionatorios e impugnaciones, y el análisis de la doble imposición internacional con apoyo en herramientas digitales y fuentes oficiales, para garantizar el correcto cumplimiento fiscal, la certidumbre jurídica y la gestión de riesgos en la organización, con pensamiento crítico, ética profesional y estricto apego a las disposiciones legales vigentes.</w:t>
            </w:r>
          </w:p>
        </w:tc>
      </w:tr>
      <w:tr w:rsidR="00990B14" w14:paraId="76F7F998" w14:textId="77777777">
        <w:trPr>
          <w:cantSplit/>
          <w:jc w:val="center"/>
        </w:trPr>
        <w:tc>
          <w:tcPr>
            <w:tcW w:w="9405" w:type="dxa"/>
            <w:gridSpan w:val="13"/>
            <w:shd w:val="clear" w:color="auto" w:fill="D9E2F3"/>
            <w:vAlign w:val="center"/>
          </w:tcPr>
          <w:p w14:paraId="17D23996" w14:textId="77777777" w:rsidR="00990B14" w:rsidRDefault="00000000">
            <w:pPr>
              <w:spacing w:before="20" w:after="20"/>
              <w:jc w:val="both"/>
            </w:pPr>
            <w:r>
              <w:rPr>
                <w:b/>
                <w:bCs/>
                <w:i/>
                <w:iCs/>
                <w:sz w:val="18"/>
                <w:szCs w:val="18"/>
              </w:rPr>
              <w:t xml:space="preserve">Elemento de competencia 1: </w:t>
            </w:r>
            <w:r>
              <w:rPr>
                <w:sz w:val="18"/>
                <w:szCs w:val="18"/>
              </w:rPr>
              <w:t>Fundamenta los principios constitucionales y la potestad tributaria del Estado boliviano, interpretando las normas tributarias para su aplicación en el ejercicio profesional del contador público.</w:t>
            </w:r>
          </w:p>
        </w:tc>
      </w:tr>
      <w:tr w:rsidR="00990B14" w14:paraId="5B29C0AC" w14:textId="77777777">
        <w:trPr>
          <w:cantSplit/>
          <w:jc w:val="center"/>
        </w:trPr>
        <w:tc>
          <w:tcPr>
            <w:tcW w:w="3133" w:type="dxa"/>
            <w:gridSpan w:val="4"/>
            <w:shd w:val="clear" w:color="auto" w:fill="4472C4"/>
            <w:vAlign w:val="center"/>
          </w:tcPr>
          <w:p w14:paraId="222F3A36"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08D900C3"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07FEF5D6" w14:textId="77777777" w:rsidR="00990B14" w:rsidRDefault="00000000">
            <w:pPr>
              <w:keepNext/>
              <w:spacing w:before="20" w:after="20"/>
              <w:jc w:val="center"/>
            </w:pPr>
            <w:r>
              <w:rPr>
                <w:b/>
                <w:bCs/>
                <w:i/>
                <w:iCs/>
                <w:color w:val="FFFFFF"/>
                <w:sz w:val="18"/>
                <w:szCs w:val="18"/>
              </w:rPr>
              <w:t>Evidencias de producto</w:t>
            </w:r>
          </w:p>
        </w:tc>
      </w:tr>
      <w:tr w:rsidR="00990B14" w14:paraId="14B448FC" w14:textId="77777777">
        <w:trPr>
          <w:cantSplit/>
          <w:jc w:val="center"/>
        </w:trPr>
        <w:tc>
          <w:tcPr>
            <w:tcW w:w="3133" w:type="dxa"/>
            <w:gridSpan w:val="4"/>
            <w:vMerge w:val="restart"/>
            <w:shd w:val="clear" w:color="auto" w:fill="D9E2F3"/>
            <w:vAlign w:val="center"/>
          </w:tcPr>
          <w:p w14:paraId="6BD16D95" w14:textId="77777777" w:rsidR="00990B14" w:rsidRDefault="00000000">
            <w:pPr>
              <w:spacing w:before="20" w:after="20"/>
              <w:jc w:val="both"/>
            </w:pPr>
            <w:r>
              <w:rPr>
                <w:sz w:val="18"/>
                <w:szCs w:val="18"/>
              </w:rPr>
              <w:t>1. Explica los fundamentos del derecho tributario e interpreta las normas tributarias con los métodos de interpretación, determinando sus efectos en el tiempo y en el espacio con consulta de fuentes oficiales.</w:t>
            </w:r>
          </w:p>
        </w:tc>
        <w:tc>
          <w:tcPr>
            <w:tcW w:w="3135" w:type="dxa"/>
            <w:gridSpan w:val="5"/>
            <w:shd w:val="clear" w:color="auto" w:fill="D9E2F3"/>
            <w:vAlign w:val="center"/>
          </w:tcPr>
          <w:p w14:paraId="5C65EAEF" w14:textId="77777777" w:rsidR="00990B14" w:rsidRDefault="00000000">
            <w:pPr>
              <w:spacing w:before="20" w:after="20"/>
              <w:jc w:val="both"/>
            </w:pPr>
            <w:r>
              <w:rPr>
                <w:sz w:val="18"/>
                <w:szCs w:val="18"/>
              </w:rPr>
              <w:t>1.1 Expone en aula la sistemática, las fuentes del derecho tributario y la actividad financiera del Estado boliviano.</w:t>
            </w:r>
          </w:p>
        </w:tc>
        <w:tc>
          <w:tcPr>
            <w:tcW w:w="3137" w:type="dxa"/>
            <w:gridSpan w:val="4"/>
            <w:shd w:val="clear" w:color="auto" w:fill="D9E2F3"/>
            <w:vAlign w:val="center"/>
          </w:tcPr>
          <w:p w14:paraId="4CF2ABC3" w14:textId="77777777" w:rsidR="00990B14" w:rsidRDefault="00000000">
            <w:pPr>
              <w:spacing w:before="20" w:after="20"/>
              <w:jc w:val="both"/>
            </w:pPr>
            <w:r>
              <w:rPr>
                <w:b/>
                <w:bCs/>
                <w:sz w:val="18"/>
                <w:szCs w:val="18"/>
              </w:rPr>
              <w:t xml:space="preserve">Producto 1: </w:t>
            </w:r>
            <w:r>
              <w:rPr>
                <w:sz w:val="18"/>
                <w:szCs w:val="18"/>
              </w:rPr>
              <w:t>Esquema de la actividad financiera del Estado, cuadro de clasificación y fuentes del Derecho Tributario</w:t>
            </w:r>
          </w:p>
        </w:tc>
      </w:tr>
      <w:tr w:rsidR="00990B14" w14:paraId="71938382" w14:textId="77777777">
        <w:trPr>
          <w:cantSplit/>
          <w:jc w:val="center"/>
        </w:trPr>
        <w:tc>
          <w:tcPr>
            <w:tcW w:w="3133" w:type="dxa"/>
            <w:gridSpan w:val="4"/>
            <w:vMerge/>
            <w:shd w:val="clear" w:color="auto" w:fill="D9E2F3"/>
            <w:vAlign w:val="center"/>
          </w:tcPr>
          <w:p w14:paraId="6360A9A9" w14:textId="77777777" w:rsidR="00990B14" w:rsidRDefault="00990B14">
            <w:pPr>
              <w:spacing w:before="20" w:after="20"/>
            </w:pPr>
          </w:p>
        </w:tc>
        <w:tc>
          <w:tcPr>
            <w:tcW w:w="3135" w:type="dxa"/>
            <w:gridSpan w:val="5"/>
            <w:shd w:val="clear" w:color="auto" w:fill="D9E2F3"/>
            <w:vAlign w:val="center"/>
          </w:tcPr>
          <w:p w14:paraId="0E59A87E" w14:textId="77777777" w:rsidR="00990B14" w:rsidRDefault="00000000">
            <w:pPr>
              <w:spacing w:before="20" w:after="20"/>
              <w:jc w:val="both"/>
            </w:pPr>
            <w:r>
              <w:rPr>
                <w:sz w:val="18"/>
                <w:szCs w:val="18"/>
              </w:rPr>
              <w:t>1.2 Interpreta en equipo una norma tributaria y una exención con los métodos de interpretación, y determina la vigencia y aplicación en el tiempo de la norma tributaria.</w:t>
            </w:r>
          </w:p>
        </w:tc>
        <w:tc>
          <w:tcPr>
            <w:tcW w:w="3137" w:type="dxa"/>
            <w:gridSpan w:val="4"/>
            <w:shd w:val="clear" w:color="auto" w:fill="D9E2F3"/>
            <w:vAlign w:val="center"/>
          </w:tcPr>
          <w:p w14:paraId="20A19310" w14:textId="77777777" w:rsidR="00990B14" w:rsidRDefault="00000000">
            <w:pPr>
              <w:spacing w:before="20" w:after="20"/>
              <w:jc w:val="both"/>
            </w:pPr>
            <w:r>
              <w:rPr>
                <w:b/>
                <w:bCs/>
                <w:sz w:val="18"/>
                <w:szCs w:val="18"/>
              </w:rPr>
              <w:t xml:space="preserve">Producto 2: </w:t>
            </w:r>
            <w:r>
              <w:rPr>
                <w:sz w:val="18"/>
                <w:szCs w:val="18"/>
              </w:rPr>
              <w:t>Informe de interpretación y de vigencia de una norma tributaria.</w:t>
            </w:r>
          </w:p>
        </w:tc>
      </w:tr>
      <w:tr w:rsidR="00990B14" w14:paraId="5BE867DE" w14:textId="77777777">
        <w:trPr>
          <w:cantSplit/>
          <w:jc w:val="center"/>
        </w:trPr>
        <w:tc>
          <w:tcPr>
            <w:tcW w:w="3133" w:type="dxa"/>
            <w:gridSpan w:val="4"/>
            <w:vMerge w:val="restart"/>
            <w:shd w:val="clear" w:color="auto" w:fill="D9E2F3"/>
            <w:vAlign w:val="center"/>
          </w:tcPr>
          <w:p w14:paraId="432902FE" w14:textId="77777777" w:rsidR="00990B14" w:rsidRDefault="00000000">
            <w:pPr>
              <w:spacing w:before="20" w:after="20"/>
              <w:jc w:val="both"/>
            </w:pPr>
            <w:r>
              <w:rPr>
                <w:sz w:val="18"/>
                <w:szCs w:val="18"/>
              </w:rPr>
              <w:t>2. Fundamenta la potestad tributaria de los niveles del Estado boliviano y aplica los principios constitucionales a casos concretos, evaluando con pensamiento crítico un tributo vigente.</w:t>
            </w:r>
          </w:p>
        </w:tc>
        <w:tc>
          <w:tcPr>
            <w:tcW w:w="3135" w:type="dxa"/>
            <w:gridSpan w:val="5"/>
            <w:shd w:val="clear" w:color="auto" w:fill="D9E2F3"/>
            <w:vAlign w:val="center"/>
          </w:tcPr>
          <w:p w14:paraId="1764B25A" w14:textId="77777777" w:rsidR="00990B14" w:rsidRDefault="00000000">
            <w:pPr>
              <w:spacing w:before="20" w:after="20"/>
              <w:jc w:val="both"/>
            </w:pPr>
            <w:r>
              <w:rPr>
                <w:sz w:val="18"/>
                <w:szCs w:val="18"/>
              </w:rPr>
              <w:t>2.1 Fundamenta en aula la potestad tributaria de un gobierno autónomo y clasifica en equipo los impuestos de dominio nacional, departamental y municipal.</w:t>
            </w:r>
          </w:p>
        </w:tc>
        <w:tc>
          <w:tcPr>
            <w:tcW w:w="3137" w:type="dxa"/>
            <w:gridSpan w:val="4"/>
            <w:shd w:val="clear" w:color="auto" w:fill="D9E2F3"/>
            <w:vAlign w:val="center"/>
          </w:tcPr>
          <w:p w14:paraId="0D1AE5A3" w14:textId="77777777" w:rsidR="00990B14" w:rsidRDefault="00000000">
            <w:pPr>
              <w:spacing w:before="20" w:after="20"/>
              <w:jc w:val="both"/>
            </w:pPr>
            <w:r>
              <w:rPr>
                <w:b/>
                <w:bCs/>
                <w:sz w:val="18"/>
                <w:szCs w:val="18"/>
              </w:rPr>
              <w:t xml:space="preserve">Producto 3: </w:t>
            </w:r>
            <w:r>
              <w:rPr>
                <w:sz w:val="18"/>
                <w:szCs w:val="18"/>
              </w:rPr>
              <w:t>Cuadro de potestad y competencias tributarias por nivel de autonomía.</w:t>
            </w:r>
          </w:p>
        </w:tc>
      </w:tr>
      <w:tr w:rsidR="00990B14" w14:paraId="72791C5E" w14:textId="77777777">
        <w:trPr>
          <w:cantSplit/>
          <w:jc w:val="center"/>
        </w:trPr>
        <w:tc>
          <w:tcPr>
            <w:tcW w:w="3133" w:type="dxa"/>
            <w:gridSpan w:val="4"/>
            <w:vMerge/>
            <w:shd w:val="clear" w:color="auto" w:fill="D9E2F3"/>
            <w:vAlign w:val="center"/>
          </w:tcPr>
          <w:p w14:paraId="7DE59EB0" w14:textId="77777777" w:rsidR="00990B14" w:rsidRDefault="00990B14">
            <w:pPr>
              <w:spacing w:before="20" w:after="20"/>
            </w:pPr>
          </w:p>
        </w:tc>
        <w:tc>
          <w:tcPr>
            <w:tcW w:w="3135" w:type="dxa"/>
            <w:gridSpan w:val="5"/>
            <w:shd w:val="clear" w:color="auto" w:fill="D9E2F3"/>
            <w:vAlign w:val="center"/>
          </w:tcPr>
          <w:p w14:paraId="6D05CD7B" w14:textId="77777777" w:rsidR="00990B14" w:rsidRDefault="00000000">
            <w:pPr>
              <w:spacing w:before="20" w:after="20"/>
              <w:jc w:val="both"/>
            </w:pPr>
            <w:r>
              <w:rPr>
                <w:sz w:val="18"/>
                <w:szCs w:val="18"/>
              </w:rPr>
              <w:t>2.2 Analiza en equipo un caso tributario a la luz de los principios constitucionales y debate ante el curso la adecuación de un tributo vigente a los principios de la política fiscal.</w:t>
            </w:r>
          </w:p>
        </w:tc>
        <w:tc>
          <w:tcPr>
            <w:tcW w:w="3137" w:type="dxa"/>
            <w:gridSpan w:val="4"/>
            <w:shd w:val="clear" w:color="auto" w:fill="D9E2F3"/>
            <w:vAlign w:val="center"/>
          </w:tcPr>
          <w:p w14:paraId="12A8D827" w14:textId="77777777" w:rsidR="00990B14" w:rsidRDefault="00000000">
            <w:pPr>
              <w:spacing w:before="20" w:after="20"/>
              <w:jc w:val="both"/>
            </w:pPr>
            <w:r>
              <w:rPr>
                <w:b/>
                <w:bCs/>
                <w:sz w:val="18"/>
                <w:szCs w:val="18"/>
              </w:rPr>
              <w:t xml:space="preserve">Producto 4: </w:t>
            </w:r>
            <w:r>
              <w:rPr>
                <w:sz w:val="18"/>
                <w:szCs w:val="18"/>
              </w:rPr>
              <w:t>Informe crítico de aplicación de los principios constitucionales a un tributo vigente.</w:t>
            </w:r>
          </w:p>
        </w:tc>
      </w:tr>
      <w:tr w:rsidR="00990B14" w14:paraId="2668BA58" w14:textId="77777777">
        <w:trPr>
          <w:cantSplit/>
          <w:jc w:val="center"/>
        </w:trPr>
        <w:tc>
          <w:tcPr>
            <w:tcW w:w="9405" w:type="dxa"/>
            <w:gridSpan w:val="13"/>
            <w:shd w:val="clear" w:color="auto" w:fill="4472C4"/>
            <w:vAlign w:val="center"/>
          </w:tcPr>
          <w:p w14:paraId="2B4237F0" w14:textId="77777777" w:rsidR="00990B14" w:rsidRDefault="00000000">
            <w:pPr>
              <w:keepNext/>
              <w:spacing w:before="20" w:after="20"/>
              <w:jc w:val="center"/>
            </w:pPr>
            <w:r>
              <w:rPr>
                <w:b/>
                <w:bCs/>
                <w:i/>
                <w:iCs/>
                <w:color w:val="FFFFFF"/>
                <w:sz w:val="18"/>
                <w:szCs w:val="18"/>
              </w:rPr>
              <w:t>Evidencias de conocimiento</w:t>
            </w:r>
          </w:p>
        </w:tc>
      </w:tr>
      <w:tr w:rsidR="00990B14" w14:paraId="17B24D91" w14:textId="77777777">
        <w:trPr>
          <w:cantSplit/>
          <w:jc w:val="center"/>
        </w:trPr>
        <w:tc>
          <w:tcPr>
            <w:tcW w:w="2349" w:type="dxa"/>
            <w:gridSpan w:val="2"/>
            <w:shd w:val="clear" w:color="auto" w:fill="4472C4"/>
            <w:vAlign w:val="center"/>
          </w:tcPr>
          <w:p w14:paraId="1AC198BD"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100D4B2D" w14:textId="77777777" w:rsidR="00990B14" w:rsidRDefault="00000000">
            <w:pPr>
              <w:keepNext/>
              <w:spacing w:before="20" w:after="20"/>
              <w:jc w:val="both"/>
            </w:pPr>
            <w:r>
              <w:rPr>
                <w:b/>
                <w:bCs/>
                <w:i/>
                <w:iCs/>
                <w:color w:val="FFFFFF"/>
                <w:sz w:val="18"/>
                <w:szCs w:val="18"/>
              </w:rPr>
              <w:t>Contenidos</w:t>
            </w:r>
          </w:p>
          <w:p w14:paraId="6909BFE2"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36132655" w14:textId="77777777" w:rsidR="00990B14" w:rsidRDefault="00000000">
            <w:pPr>
              <w:keepNext/>
              <w:spacing w:before="20" w:after="20"/>
              <w:jc w:val="center"/>
            </w:pPr>
            <w:r>
              <w:rPr>
                <w:b/>
                <w:bCs/>
                <w:i/>
                <w:iCs/>
                <w:color w:val="FFFFFF"/>
                <w:sz w:val="18"/>
                <w:szCs w:val="18"/>
              </w:rPr>
              <w:t>Conocimientos circunstanciales</w:t>
            </w:r>
          </w:p>
        </w:tc>
      </w:tr>
      <w:tr w:rsidR="00990B14" w14:paraId="29FA2233" w14:textId="77777777">
        <w:trPr>
          <w:jc w:val="center"/>
        </w:trPr>
        <w:tc>
          <w:tcPr>
            <w:tcW w:w="2349" w:type="dxa"/>
            <w:gridSpan w:val="2"/>
            <w:shd w:val="clear" w:color="auto" w:fill="D9E2F3"/>
          </w:tcPr>
          <w:p w14:paraId="2E56807B" w14:textId="77777777" w:rsidR="00990B14" w:rsidRDefault="00000000">
            <w:pPr>
              <w:spacing w:before="20" w:after="40"/>
              <w:jc w:val="both"/>
            </w:pPr>
            <w:r>
              <w:rPr>
                <w:sz w:val="18"/>
                <w:szCs w:val="18"/>
              </w:rPr>
              <w:t>Tema 1: Derecho tributario</w:t>
            </w:r>
          </w:p>
          <w:p w14:paraId="478BA921" w14:textId="77777777" w:rsidR="00990B14" w:rsidRDefault="00000000">
            <w:pPr>
              <w:spacing w:before="20" w:after="40"/>
              <w:jc w:val="both"/>
            </w:pPr>
            <w:r>
              <w:rPr>
                <w:sz w:val="18"/>
                <w:szCs w:val="18"/>
              </w:rPr>
              <w:t>Tema 2: Interpretación de las normas tributarias y sus efectos en el tiempo y en el espacio</w:t>
            </w:r>
          </w:p>
          <w:p w14:paraId="53E4248A" w14:textId="77777777" w:rsidR="00990B14" w:rsidRDefault="00000000">
            <w:pPr>
              <w:spacing w:before="20" w:after="40"/>
              <w:jc w:val="both"/>
            </w:pPr>
            <w:r>
              <w:rPr>
                <w:sz w:val="18"/>
                <w:szCs w:val="18"/>
              </w:rPr>
              <w:t>Tema 3: Derecho Tributario Constitucional</w:t>
            </w:r>
          </w:p>
        </w:tc>
        <w:tc>
          <w:tcPr>
            <w:tcW w:w="4304" w:type="dxa"/>
            <w:gridSpan w:val="8"/>
            <w:shd w:val="clear" w:color="auto" w:fill="D9E2F3"/>
          </w:tcPr>
          <w:p w14:paraId="725A9BE5" w14:textId="77777777" w:rsidR="00990B14" w:rsidRDefault="00000000">
            <w:pPr>
              <w:spacing w:after="40"/>
              <w:jc w:val="both"/>
            </w:pPr>
            <w:r>
              <w:rPr>
                <w:sz w:val="18"/>
                <w:szCs w:val="18"/>
              </w:rPr>
              <w:t>Actividad financiera del Estado. (C)</w:t>
            </w:r>
          </w:p>
          <w:p w14:paraId="191B9143" w14:textId="77777777" w:rsidR="00990B14" w:rsidRDefault="00000000">
            <w:pPr>
              <w:spacing w:after="40"/>
              <w:jc w:val="both"/>
            </w:pPr>
            <w:r>
              <w:rPr>
                <w:sz w:val="18"/>
                <w:szCs w:val="18"/>
              </w:rPr>
              <w:t>Derecho tributario: concepto, desarrollo y autonomía del derecho tributario. (C)</w:t>
            </w:r>
          </w:p>
          <w:p w14:paraId="51A06E90" w14:textId="77777777" w:rsidR="00990B14" w:rsidRDefault="00000000">
            <w:pPr>
              <w:spacing w:after="40"/>
              <w:jc w:val="both"/>
            </w:pPr>
            <w:r>
              <w:rPr>
                <w:sz w:val="18"/>
                <w:szCs w:val="18"/>
              </w:rPr>
              <w:t>Sistemática del derecho tributario: parte general y parte especial; clasificación y fuentes del derecho tributario. (C)</w:t>
            </w:r>
          </w:p>
          <w:p w14:paraId="12BE5F22" w14:textId="77777777" w:rsidR="00990B14" w:rsidRDefault="00000000">
            <w:pPr>
              <w:spacing w:after="40"/>
              <w:jc w:val="both"/>
            </w:pPr>
            <w:r>
              <w:rPr>
                <w:sz w:val="18"/>
                <w:szCs w:val="18"/>
              </w:rPr>
              <w:t>Interpretación de las normas tributarias: clases y métodos de interpretación. (C)</w:t>
            </w:r>
          </w:p>
          <w:p w14:paraId="2C546682" w14:textId="77777777" w:rsidR="00990B14" w:rsidRDefault="00000000">
            <w:pPr>
              <w:spacing w:after="40"/>
              <w:jc w:val="both"/>
            </w:pPr>
            <w:r>
              <w:rPr>
                <w:sz w:val="18"/>
                <w:szCs w:val="18"/>
              </w:rPr>
              <w:t>Interpretación de las exenciones tributarias. (C)</w:t>
            </w:r>
          </w:p>
          <w:p w14:paraId="3CED43D2" w14:textId="77777777" w:rsidR="00990B14" w:rsidRDefault="00000000">
            <w:pPr>
              <w:spacing w:after="40"/>
              <w:jc w:val="both"/>
            </w:pPr>
            <w:r>
              <w:rPr>
                <w:sz w:val="18"/>
                <w:szCs w:val="18"/>
              </w:rPr>
              <w:t>Efectos de las normas tributarias en el tiempo y en el espacio: retroactividad e irretroactividad. (C, P)</w:t>
            </w:r>
          </w:p>
          <w:p w14:paraId="754FAAC6" w14:textId="77777777" w:rsidR="00990B14" w:rsidRDefault="00000000">
            <w:pPr>
              <w:spacing w:after="40"/>
              <w:jc w:val="both"/>
            </w:pPr>
            <w:r>
              <w:rPr>
                <w:sz w:val="18"/>
                <w:szCs w:val="18"/>
              </w:rPr>
              <w:t>Concepto, características y contenido del derecho Tributario Constitucional. (C)</w:t>
            </w:r>
          </w:p>
          <w:p w14:paraId="0C5765D2" w14:textId="77777777" w:rsidR="00990B14" w:rsidRDefault="00000000">
            <w:pPr>
              <w:spacing w:after="40"/>
              <w:jc w:val="both"/>
            </w:pPr>
            <w:r>
              <w:rPr>
                <w:sz w:val="18"/>
                <w:szCs w:val="18"/>
              </w:rPr>
              <w:t>Potestad tributaria: concepto y características. (C)</w:t>
            </w:r>
          </w:p>
          <w:p w14:paraId="0FE9CE62" w14:textId="77777777" w:rsidR="00990B14" w:rsidRDefault="00000000">
            <w:pPr>
              <w:spacing w:after="40"/>
              <w:jc w:val="both"/>
            </w:pPr>
            <w:r>
              <w:rPr>
                <w:sz w:val="18"/>
                <w:szCs w:val="18"/>
              </w:rPr>
              <w:t>Clasificación de la potestad tributaria: potestad tributaria originaria y potestad tributaria derivada o delegada. (C)</w:t>
            </w:r>
          </w:p>
          <w:p w14:paraId="179F35B5" w14:textId="77777777" w:rsidR="00990B14" w:rsidRDefault="00000000">
            <w:pPr>
              <w:spacing w:after="40"/>
              <w:jc w:val="both"/>
            </w:pPr>
            <w:r>
              <w:rPr>
                <w:sz w:val="18"/>
                <w:szCs w:val="18"/>
              </w:rPr>
              <w:t>Organización territorial del Estado, autonomías y competencias tributarias. (C)</w:t>
            </w:r>
          </w:p>
          <w:p w14:paraId="51DC2BC2" w14:textId="77777777" w:rsidR="00990B14" w:rsidRDefault="00000000">
            <w:pPr>
              <w:spacing w:after="40"/>
              <w:jc w:val="both"/>
            </w:pPr>
            <w:r>
              <w:rPr>
                <w:sz w:val="18"/>
                <w:szCs w:val="18"/>
              </w:rPr>
              <w:t>Principios constitucionales del derecho tributario: concepto; principio de capacidad económica y/o contributiva, principio de igualdad y principio de progresividad. (C)</w:t>
            </w:r>
          </w:p>
          <w:p w14:paraId="06878480" w14:textId="77777777" w:rsidR="00990B14" w:rsidRDefault="00000000">
            <w:pPr>
              <w:spacing w:after="40"/>
              <w:jc w:val="both"/>
            </w:pPr>
            <w:r>
              <w:rPr>
                <w:sz w:val="18"/>
                <w:szCs w:val="18"/>
              </w:rPr>
              <w:t>Principio de proporcionalidad, principio de transparencia y principio de universalidad o generalidad. (C, A)</w:t>
            </w:r>
          </w:p>
          <w:p w14:paraId="17F2DFDE" w14:textId="77777777" w:rsidR="00990B14" w:rsidRDefault="00000000">
            <w:pPr>
              <w:spacing w:after="40"/>
              <w:jc w:val="both"/>
            </w:pPr>
            <w:r>
              <w:rPr>
                <w:sz w:val="18"/>
                <w:szCs w:val="18"/>
              </w:rPr>
              <w:t>Principio de legalidad, principio de control, principio de sencillez administrativa y principio de capacidad recaudatoria. (C)</w:t>
            </w:r>
          </w:p>
          <w:p w14:paraId="5B83186B" w14:textId="77777777" w:rsidR="00990B14" w:rsidRDefault="00000000">
            <w:pPr>
              <w:spacing w:after="40"/>
              <w:jc w:val="both"/>
            </w:pPr>
            <w:r>
              <w:rPr>
                <w:sz w:val="18"/>
                <w:szCs w:val="18"/>
              </w:rPr>
              <w:t>Análisis crítico de un tributo vigente a la luz de los principios constitucionales de la política fiscal. (C, P)</w:t>
            </w:r>
          </w:p>
        </w:tc>
        <w:tc>
          <w:tcPr>
            <w:tcW w:w="2752" w:type="dxa"/>
            <w:gridSpan w:val="3"/>
            <w:shd w:val="clear" w:color="auto" w:fill="D9E2F3"/>
          </w:tcPr>
          <w:p w14:paraId="4F4CB9BB" w14:textId="77777777" w:rsidR="00990B14" w:rsidRDefault="00000000">
            <w:pPr>
              <w:numPr>
                <w:ilvl w:val="0"/>
                <w:numId w:val="139"/>
              </w:numPr>
              <w:spacing w:before="10" w:after="10"/>
              <w:jc w:val="both"/>
            </w:pPr>
            <w:r>
              <w:rPr>
                <w:sz w:val="18"/>
                <w:szCs w:val="18"/>
              </w:rPr>
              <w:t>Nociones de técnica legislativa y de la estructura formal de las leyes y decretos.</w:t>
            </w:r>
          </w:p>
          <w:p w14:paraId="4D7E143F" w14:textId="77777777" w:rsidR="00990B14" w:rsidRDefault="00000000">
            <w:pPr>
              <w:numPr>
                <w:ilvl w:val="0"/>
                <w:numId w:val="139"/>
              </w:numPr>
              <w:spacing w:before="10" w:after="10"/>
              <w:jc w:val="both"/>
            </w:pPr>
            <w:r>
              <w:rPr>
                <w:sz w:val="18"/>
                <w:szCs w:val="18"/>
              </w:rPr>
              <w:t>Nociones de la jerarquía del ordenamiento jurídico boliviano.</w:t>
            </w:r>
          </w:p>
          <w:p w14:paraId="78DBA281" w14:textId="77777777" w:rsidR="00990B14" w:rsidRDefault="00000000">
            <w:pPr>
              <w:numPr>
                <w:ilvl w:val="0"/>
                <w:numId w:val="139"/>
              </w:numPr>
              <w:spacing w:before="10" w:after="10"/>
              <w:jc w:val="both"/>
            </w:pPr>
            <w:r>
              <w:rPr>
                <w:sz w:val="18"/>
                <w:szCs w:val="18"/>
              </w:rPr>
              <w:t>Nociones del proceso legislativo de creación de leyes en los distintos niveles de gobierno.</w:t>
            </w:r>
          </w:p>
          <w:p w14:paraId="1CF6251A" w14:textId="77777777" w:rsidR="00990B14" w:rsidRDefault="00000000">
            <w:pPr>
              <w:numPr>
                <w:ilvl w:val="0"/>
                <w:numId w:val="139"/>
              </w:numPr>
              <w:spacing w:before="10" w:after="10"/>
              <w:jc w:val="both"/>
            </w:pPr>
            <w:r>
              <w:rPr>
                <w:sz w:val="18"/>
                <w:szCs w:val="18"/>
              </w:rPr>
              <w:t>Nociones de control de constitucionalidad de las normas tributarias.</w:t>
            </w:r>
          </w:p>
        </w:tc>
      </w:tr>
      <w:tr w:rsidR="00990B14" w14:paraId="78AB97BE" w14:textId="77777777">
        <w:trPr>
          <w:cantSplit/>
          <w:jc w:val="center"/>
        </w:trPr>
        <w:tc>
          <w:tcPr>
            <w:tcW w:w="9405" w:type="dxa"/>
            <w:gridSpan w:val="13"/>
            <w:shd w:val="clear" w:color="auto" w:fill="D9E2F3"/>
            <w:vAlign w:val="center"/>
          </w:tcPr>
          <w:p w14:paraId="7BFECA80" w14:textId="77777777" w:rsidR="00990B14" w:rsidRDefault="00000000">
            <w:pPr>
              <w:spacing w:before="20" w:after="20"/>
              <w:jc w:val="both"/>
            </w:pPr>
            <w:r>
              <w:rPr>
                <w:b/>
                <w:bCs/>
                <w:i/>
                <w:iCs/>
                <w:sz w:val="18"/>
                <w:szCs w:val="18"/>
              </w:rPr>
              <w:t xml:space="preserve">Elemento de competencia 2: </w:t>
            </w:r>
            <w:r>
              <w:rPr>
                <w:sz w:val="18"/>
                <w:szCs w:val="18"/>
              </w:rPr>
              <w:t>Determina la obligación tributaria y su extinción, aplicando los procedimientos determinativos de la Administración Tributaria y gestionando los riesgos de una fiscalización.</w:t>
            </w:r>
          </w:p>
        </w:tc>
      </w:tr>
      <w:tr w:rsidR="00990B14" w14:paraId="5CBFAC6E" w14:textId="77777777">
        <w:trPr>
          <w:cantSplit/>
          <w:jc w:val="center"/>
        </w:trPr>
        <w:tc>
          <w:tcPr>
            <w:tcW w:w="3133" w:type="dxa"/>
            <w:gridSpan w:val="4"/>
            <w:shd w:val="clear" w:color="auto" w:fill="4472C4"/>
            <w:vAlign w:val="center"/>
          </w:tcPr>
          <w:p w14:paraId="69E94EFB"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3687CFDF"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133E6BF1" w14:textId="77777777" w:rsidR="00990B14" w:rsidRDefault="00000000">
            <w:pPr>
              <w:keepNext/>
              <w:spacing w:before="20" w:after="20"/>
              <w:jc w:val="center"/>
            </w:pPr>
            <w:r>
              <w:rPr>
                <w:b/>
                <w:bCs/>
                <w:i/>
                <w:iCs/>
                <w:color w:val="FFFFFF"/>
                <w:sz w:val="18"/>
                <w:szCs w:val="18"/>
              </w:rPr>
              <w:t>Evidencias de producto</w:t>
            </w:r>
          </w:p>
        </w:tc>
      </w:tr>
      <w:tr w:rsidR="00990B14" w14:paraId="66DD73B3" w14:textId="77777777">
        <w:trPr>
          <w:cantSplit/>
          <w:jc w:val="center"/>
        </w:trPr>
        <w:tc>
          <w:tcPr>
            <w:tcW w:w="3133" w:type="dxa"/>
            <w:gridSpan w:val="4"/>
            <w:vMerge w:val="restart"/>
            <w:shd w:val="clear" w:color="auto" w:fill="D9E2F3"/>
            <w:vAlign w:val="center"/>
          </w:tcPr>
          <w:p w14:paraId="4046D46C" w14:textId="77777777" w:rsidR="00990B14" w:rsidRDefault="00000000">
            <w:pPr>
              <w:spacing w:before="20" w:after="20"/>
              <w:jc w:val="both"/>
            </w:pPr>
            <w:r>
              <w:rPr>
                <w:sz w:val="18"/>
                <w:szCs w:val="18"/>
              </w:rPr>
              <w:t>1. Determina la obligación tributaria, clasificando los tributos e identificando el hecho imponible, los sujetos, la base imponible y la alícuota, y estableciendo su forma de extinción.</w:t>
            </w:r>
          </w:p>
        </w:tc>
        <w:tc>
          <w:tcPr>
            <w:tcW w:w="3135" w:type="dxa"/>
            <w:gridSpan w:val="5"/>
            <w:shd w:val="clear" w:color="auto" w:fill="D9E2F3"/>
            <w:vAlign w:val="center"/>
          </w:tcPr>
          <w:p w14:paraId="7850129D" w14:textId="77777777" w:rsidR="00990B14" w:rsidRDefault="00000000">
            <w:pPr>
              <w:spacing w:before="20" w:after="20"/>
              <w:jc w:val="both"/>
            </w:pPr>
            <w:r>
              <w:rPr>
                <w:sz w:val="18"/>
                <w:szCs w:val="18"/>
              </w:rPr>
              <w:t>1.1 Clasifica en aula los tributos e identifica en equipo las obligaciones principales, accesorias y formales.</w:t>
            </w:r>
          </w:p>
        </w:tc>
        <w:tc>
          <w:tcPr>
            <w:tcW w:w="3137" w:type="dxa"/>
            <w:gridSpan w:val="4"/>
            <w:shd w:val="clear" w:color="auto" w:fill="D9E2F3"/>
            <w:vAlign w:val="center"/>
          </w:tcPr>
          <w:p w14:paraId="32E71A01" w14:textId="77777777" w:rsidR="00990B14" w:rsidRDefault="00000000">
            <w:pPr>
              <w:spacing w:before="20" w:after="20"/>
              <w:jc w:val="both"/>
            </w:pPr>
            <w:r>
              <w:rPr>
                <w:b/>
                <w:bCs/>
                <w:sz w:val="18"/>
                <w:szCs w:val="18"/>
              </w:rPr>
              <w:t xml:space="preserve">Producto 5: </w:t>
            </w:r>
            <w:r>
              <w:rPr>
                <w:sz w:val="18"/>
                <w:szCs w:val="18"/>
              </w:rPr>
              <w:t>Cuadro de clasificación de tributos y matriz de obligaciones tributarias del contribuyente.</w:t>
            </w:r>
          </w:p>
        </w:tc>
      </w:tr>
      <w:tr w:rsidR="00990B14" w14:paraId="79224A87" w14:textId="77777777">
        <w:trPr>
          <w:cantSplit/>
          <w:jc w:val="center"/>
        </w:trPr>
        <w:tc>
          <w:tcPr>
            <w:tcW w:w="3133" w:type="dxa"/>
            <w:gridSpan w:val="4"/>
            <w:vMerge/>
            <w:shd w:val="clear" w:color="auto" w:fill="D9E2F3"/>
            <w:vAlign w:val="center"/>
          </w:tcPr>
          <w:p w14:paraId="58AC83FA" w14:textId="77777777" w:rsidR="00990B14" w:rsidRDefault="00990B14">
            <w:pPr>
              <w:spacing w:before="20" w:after="20"/>
            </w:pPr>
          </w:p>
        </w:tc>
        <w:tc>
          <w:tcPr>
            <w:tcW w:w="3135" w:type="dxa"/>
            <w:gridSpan w:val="5"/>
            <w:shd w:val="clear" w:color="auto" w:fill="D9E2F3"/>
            <w:vAlign w:val="center"/>
          </w:tcPr>
          <w:p w14:paraId="6D4FE183" w14:textId="77777777" w:rsidR="00990B14" w:rsidRDefault="00000000">
            <w:pPr>
              <w:spacing w:before="20" w:after="20"/>
              <w:jc w:val="both"/>
            </w:pPr>
            <w:r>
              <w:rPr>
                <w:sz w:val="18"/>
                <w:szCs w:val="18"/>
              </w:rPr>
              <w:t>1.2 Resuelve en aula un caso de extinción por pago, compensación o confusión y calcula en equipo el plazo de prescripción.</w:t>
            </w:r>
          </w:p>
        </w:tc>
        <w:tc>
          <w:tcPr>
            <w:tcW w:w="3137" w:type="dxa"/>
            <w:gridSpan w:val="4"/>
            <w:shd w:val="clear" w:color="auto" w:fill="D9E2F3"/>
            <w:vAlign w:val="center"/>
          </w:tcPr>
          <w:p w14:paraId="2C8B5AAC" w14:textId="77777777" w:rsidR="00990B14" w:rsidRDefault="00000000">
            <w:pPr>
              <w:spacing w:before="20" w:after="20"/>
              <w:jc w:val="both"/>
            </w:pPr>
            <w:r>
              <w:rPr>
                <w:b/>
                <w:bCs/>
                <w:sz w:val="18"/>
                <w:szCs w:val="18"/>
              </w:rPr>
              <w:t xml:space="preserve">Producto 6: </w:t>
            </w:r>
            <w:r>
              <w:rPr>
                <w:sz w:val="18"/>
                <w:szCs w:val="18"/>
              </w:rPr>
              <w:t>Informe de extinción de la obligación tributaria.</w:t>
            </w:r>
          </w:p>
        </w:tc>
      </w:tr>
      <w:tr w:rsidR="00990B14" w14:paraId="3B8E3EDE" w14:textId="77777777">
        <w:trPr>
          <w:cantSplit/>
          <w:jc w:val="center"/>
        </w:trPr>
        <w:tc>
          <w:tcPr>
            <w:tcW w:w="3133" w:type="dxa"/>
            <w:gridSpan w:val="4"/>
            <w:vMerge w:val="restart"/>
            <w:shd w:val="clear" w:color="auto" w:fill="D9E2F3"/>
            <w:vAlign w:val="center"/>
          </w:tcPr>
          <w:p w14:paraId="33921946" w14:textId="77777777" w:rsidR="00990B14" w:rsidRDefault="00000000">
            <w:pPr>
              <w:spacing w:before="20" w:after="20"/>
              <w:jc w:val="both"/>
            </w:pPr>
            <w:r>
              <w:rPr>
                <w:sz w:val="18"/>
                <w:szCs w:val="18"/>
              </w:rPr>
              <w:t>2. Aplica el procedimiento de determinación desde la vista de cargo hasta la resolución determinativa, describiendo las facultades de la Administración Tributaria y evaluando los riesgos tributarios del contribuyente ante una fiscalización.</w:t>
            </w:r>
          </w:p>
        </w:tc>
        <w:tc>
          <w:tcPr>
            <w:tcW w:w="3135" w:type="dxa"/>
            <w:gridSpan w:val="5"/>
            <w:shd w:val="clear" w:color="auto" w:fill="D9E2F3"/>
            <w:vAlign w:val="center"/>
          </w:tcPr>
          <w:p w14:paraId="06E07291" w14:textId="77777777" w:rsidR="00990B14" w:rsidRDefault="00000000">
            <w:pPr>
              <w:spacing w:before="20" w:after="20"/>
              <w:jc w:val="both"/>
            </w:pPr>
            <w:r>
              <w:rPr>
                <w:sz w:val="18"/>
                <w:szCs w:val="18"/>
              </w:rPr>
              <w:t>2.1 Describe en aula las facultades de la Administración Tributaria y los derechos del sujeto pasivo, y aplica en equipo los métodos de base cierta y base presunta para determinar la base imponible.</w:t>
            </w:r>
          </w:p>
        </w:tc>
        <w:tc>
          <w:tcPr>
            <w:tcW w:w="3137" w:type="dxa"/>
            <w:gridSpan w:val="4"/>
            <w:shd w:val="clear" w:color="auto" w:fill="D9E2F3"/>
            <w:vAlign w:val="center"/>
          </w:tcPr>
          <w:p w14:paraId="6B97D9DF" w14:textId="77777777" w:rsidR="00990B14" w:rsidRDefault="00000000">
            <w:pPr>
              <w:spacing w:before="20" w:after="20"/>
              <w:jc w:val="both"/>
            </w:pPr>
            <w:r>
              <w:rPr>
                <w:b/>
                <w:bCs/>
                <w:sz w:val="18"/>
                <w:szCs w:val="18"/>
              </w:rPr>
              <w:t xml:space="preserve">Producto 7: </w:t>
            </w:r>
            <w:r>
              <w:rPr>
                <w:sz w:val="18"/>
                <w:szCs w:val="18"/>
              </w:rPr>
              <w:t>Cuadro de facultades de la Administración Tributaria y condiciones para la aplicación de los métodos de determinación.</w:t>
            </w:r>
          </w:p>
        </w:tc>
      </w:tr>
      <w:tr w:rsidR="00990B14" w14:paraId="51AA0829" w14:textId="77777777">
        <w:trPr>
          <w:cantSplit/>
          <w:jc w:val="center"/>
        </w:trPr>
        <w:tc>
          <w:tcPr>
            <w:tcW w:w="3133" w:type="dxa"/>
            <w:gridSpan w:val="4"/>
            <w:vMerge/>
            <w:shd w:val="clear" w:color="auto" w:fill="D9E2F3"/>
            <w:vAlign w:val="center"/>
          </w:tcPr>
          <w:p w14:paraId="5B0E920E" w14:textId="77777777" w:rsidR="00990B14" w:rsidRDefault="00990B14">
            <w:pPr>
              <w:spacing w:before="20" w:after="20"/>
            </w:pPr>
          </w:p>
        </w:tc>
        <w:tc>
          <w:tcPr>
            <w:tcW w:w="3135" w:type="dxa"/>
            <w:gridSpan w:val="5"/>
            <w:shd w:val="clear" w:color="auto" w:fill="D9E2F3"/>
            <w:vAlign w:val="center"/>
          </w:tcPr>
          <w:p w14:paraId="590600E5" w14:textId="77777777" w:rsidR="00990B14" w:rsidRDefault="00000000">
            <w:pPr>
              <w:spacing w:before="20" w:after="20"/>
              <w:jc w:val="both"/>
            </w:pPr>
            <w:r>
              <w:rPr>
                <w:sz w:val="18"/>
                <w:szCs w:val="18"/>
              </w:rPr>
              <w:t>2.2 Resuelve en aula un caso de procedimiento de determinación con sus medios de prueba y medidas precautorias.</w:t>
            </w:r>
          </w:p>
        </w:tc>
        <w:tc>
          <w:tcPr>
            <w:tcW w:w="3137" w:type="dxa"/>
            <w:gridSpan w:val="4"/>
            <w:shd w:val="clear" w:color="auto" w:fill="D9E2F3"/>
            <w:vAlign w:val="center"/>
          </w:tcPr>
          <w:p w14:paraId="565D3AEA" w14:textId="77777777" w:rsidR="00990B14" w:rsidRDefault="00000000">
            <w:pPr>
              <w:spacing w:before="20" w:after="20"/>
              <w:jc w:val="both"/>
            </w:pPr>
            <w:r>
              <w:rPr>
                <w:b/>
                <w:bCs/>
                <w:sz w:val="18"/>
                <w:szCs w:val="18"/>
              </w:rPr>
              <w:t xml:space="preserve">Producto 8: </w:t>
            </w:r>
            <w:r>
              <w:rPr>
                <w:sz w:val="18"/>
                <w:szCs w:val="18"/>
              </w:rPr>
              <w:t>Informe del procedimiento de determinación de una entidad ante una fiscalización.</w:t>
            </w:r>
          </w:p>
        </w:tc>
      </w:tr>
      <w:tr w:rsidR="00990B14" w14:paraId="6267BDBE" w14:textId="77777777">
        <w:trPr>
          <w:cantSplit/>
          <w:jc w:val="center"/>
        </w:trPr>
        <w:tc>
          <w:tcPr>
            <w:tcW w:w="9405" w:type="dxa"/>
            <w:gridSpan w:val="13"/>
            <w:shd w:val="clear" w:color="auto" w:fill="4472C4"/>
            <w:vAlign w:val="center"/>
          </w:tcPr>
          <w:p w14:paraId="0307EEFB" w14:textId="77777777" w:rsidR="00990B14" w:rsidRDefault="00000000">
            <w:pPr>
              <w:keepNext/>
              <w:spacing w:before="20" w:after="20"/>
              <w:jc w:val="center"/>
            </w:pPr>
            <w:r>
              <w:rPr>
                <w:b/>
                <w:bCs/>
                <w:i/>
                <w:iCs/>
                <w:color w:val="FFFFFF"/>
                <w:sz w:val="18"/>
                <w:szCs w:val="18"/>
              </w:rPr>
              <w:t>Evidencias de conocimiento</w:t>
            </w:r>
          </w:p>
        </w:tc>
      </w:tr>
      <w:tr w:rsidR="00990B14" w14:paraId="6A2C0FEB" w14:textId="77777777">
        <w:trPr>
          <w:cantSplit/>
          <w:jc w:val="center"/>
        </w:trPr>
        <w:tc>
          <w:tcPr>
            <w:tcW w:w="2349" w:type="dxa"/>
            <w:gridSpan w:val="2"/>
            <w:shd w:val="clear" w:color="auto" w:fill="4472C4"/>
            <w:vAlign w:val="center"/>
          </w:tcPr>
          <w:p w14:paraId="40E70275"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79562A93" w14:textId="77777777" w:rsidR="00990B14" w:rsidRDefault="00000000">
            <w:pPr>
              <w:keepNext/>
              <w:spacing w:before="20" w:after="20"/>
              <w:jc w:val="both"/>
            </w:pPr>
            <w:r>
              <w:rPr>
                <w:b/>
                <w:bCs/>
                <w:i/>
                <w:iCs/>
                <w:color w:val="FFFFFF"/>
                <w:sz w:val="18"/>
                <w:szCs w:val="18"/>
              </w:rPr>
              <w:t>Contenidos</w:t>
            </w:r>
          </w:p>
          <w:p w14:paraId="79AC5511"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63485D31" w14:textId="77777777" w:rsidR="00990B14" w:rsidRDefault="00000000">
            <w:pPr>
              <w:keepNext/>
              <w:spacing w:before="20" w:after="20"/>
              <w:jc w:val="center"/>
            </w:pPr>
            <w:r>
              <w:rPr>
                <w:b/>
                <w:bCs/>
                <w:i/>
                <w:iCs/>
                <w:color w:val="FFFFFF"/>
                <w:sz w:val="18"/>
                <w:szCs w:val="18"/>
              </w:rPr>
              <w:t>Conocimientos circunstanciales</w:t>
            </w:r>
          </w:p>
        </w:tc>
      </w:tr>
      <w:tr w:rsidR="00990B14" w14:paraId="2A3580BD" w14:textId="77777777">
        <w:trPr>
          <w:jc w:val="center"/>
        </w:trPr>
        <w:tc>
          <w:tcPr>
            <w:tcW w:w="2349" w:type="dxa"/>
            <w:gridSpan w:val="2"/>
            <w:shd w:val="clear" w:color="auto" w:fill="D9E2F3"/>
          </w:tcPr>
          <w:p w14:paraId="376B9286" w14:textId="77777777" w:rsidR="00990B14" w:rsidRDefault="00000000">
            <w:pPr>
              <w:spacing w:before="20" w:after="40"/>
              <w:jc w:val="both"/>
            </w:pPr>
            <w:r>
              <w:rPr>
                <w:sz w:val="18"/>
                <w:szCs w:val="18"/>
              </w:rPr>
              <w:t>Tema 4: Derecho Tributario Material</w:t>
            </w:r>
          </w:p>
          <w:p w14:paraId="34E0E497" w14:textId="77777777" w:rsidR="00990B14" w:rsidRDefault="00000000">
            <w:pPr>
              <w:spacing w:before="20" w:after="40"/>
              <w:jc w:val="both"/>
            </w:pPr>
            <w:r>
              <w:rPr>
                <w:sz w:val="18"/>
                <w:szCs w:val="18"/>
              </w:rPr>
              <w:t>Tema 5: Obligación tributaria</w:t>
            </w:r>
          </w:p>
          <w:p w14:paraId="32AE3A64" w14:textId="77777777" w:rsidR="00990B14" w:rsidRDefault="00000000">
            <w:pPr>
              <w:spacing w:before="20" w:after="40"/>
              <w:jc w:val="both"/>
            </w:pPr>
            <w:r>
              <w:rPr>
                <w:sz w:val="18"/>
                <w:szCs w:val="18"/>
              </w:rPr>
              <w:t>Tema 6: Extinción de la obligación tributaria</w:t>
            </w:r>
          </w:p>
          <w:p w14:paraId="6102D762" w14:textId="77777777" w:rsidR="00990B14" w:rsidRDefault="00000000">
            <w:pPr>
              <w:spacing w:before="20" w:after="40"/>
              <w:jc w:val="both"/>
            </w:pPr>
            <w:r>
              <w:rPr>
                <w:sz w:val="18"/>
                <w:szCs w:val="18"/>
              </w:rPr>
              <w:t>Tema 7: Derecho Tributario Formal o Administrativo</w:t>
            </w:r>
          </w:p>
          <w:p w14:paraId="450DA843" w14:textId="77777777" w:rsidR="00990B14" w:rsidRDefault="00000000">
            <w:pPr>
              <w:spacing w:before="20" w:after="40"/>
              <w:jc w:val="both"/>
            </w:pPr>
            <w:r>
              <w:rPr>
                <w:sz w:val="18"/>
                <w:szCs w:val="18"/>
              </w:rPr>
              <w:t>Tema 8: Procedimiento de determinación de la obligación tributaria por la administración</w:t>
            </w:r>
          </w:p>
        </w:tc>
        <w:tc>
          <w:tcPr>
            <w:tcW w:w="4304" w:type="dxa"/>
            <w:gridSpan w:val="8"/>
            <w:shd w:val="clear" w:color="auto" w:fill="D9E2F3"/>
          </w:tcPr>
          <w:p w14:paraId="37FCEE21" w14:textId="77777777" w:rsidR="00990B14" w:rsidRDefault="00000000">
            <w:pPr>
              <w:spacing w:after="40"/>
              <w:jc w:val="both"/>
            </w:pPr>
            <w:r>
              <w:rPr>
                <w:sz w:val="18"/>
                <w:szCs w:val="18"/>
              </w:rPr>
              <w:t>Concepto del Derecho Tributario Material. (C)</w:t>
            </w:r>
          </w:p>
          <w:p w14:paraId="7D482F04" w14:textId="77777777" w:rsidR="00990B14" w:rsidRDefault="00000000">
            <w:pPr>
              <w:spacing w:after="40"/>
              <w:jc w:val="both"/>
            </w:pPr>
            <w:r>
              <w:rPr>
                <w:sz w:val="18"/>
                <w:szCs w:val="18"/>
              </w:rPr>
              <w:t>Los tributos: concepto, características y clasificación adoptada por el Código Tributario Boliviano. (C)</w:t>
            </w:r>
          </w:p>
          <w:p w14:paraId="5540B426" w14:textId="77777777" w:rsidR="00990B14" w:rsidRDefault="00000000">
            <w:pPr>
              <w:spacing w:after="40"/>
              <w:jc w:val="both"/>
            </w:pPr>
            <w:r>
              <w:rPr>
                <w:sz w:val="18"/>
                <w:szCs w:val="18"/>
              </w:rPr>
              <w:t>Impuestos, tasas, contribuciones especiales y patentes municipales. (C)</w:t>
            </w:r>
          </w:p>
          <w:p w14:paraId="2E4BEDD9" w14:textId="77777777" w:rsidR="00990B14" w:rsidRDefault="00000000">
            <w:pPr>
              <w:spacing w:after="40"/>
              <w:jc w:val="both"/>
            </w:pPr>
            <w:r>
              <w:rPr>
                <w:sz w:val="18"/>
                <w:szCs w:val="18"/>
              </w:rPr>
              <w:t>Obligación tributaria: relación jurídico tributaria, la obligación tributaria principal, sus características y su nacimiento. (C)</w:t>
            </w:r>
          </w:p>
          <w:p w14:paraId="31F061B8" w14:textId="77777777" w:rsidR="00990B14" w:rsidRDefault="00000000">
            <w:pPr>
              <w:spacing w:after="40"/>
              <w:jc w:val="both"/>
            </w:pPr>
            <w:r>
              <w:rPr>
                <w:sz w:val="18"/>
                <w:szCs w:val="18"/>
              </w:rPr>
              <w:t>Elementos de la obligación tributaria: hecho imponible, sujetos, base gravable o imponible y alícuota. (C)</w:t>
            </w:r>
          </w:p>
          <w:p w14:paraId="6DE1990C" w14:textId="77777777" w:rsidR="00990B14" w:rsidRDefault="00000000">
            <w:pPr>
              <w:spacing w:after="40"/>
              <w:jc w:val="both"/>
            </w:pPr>
            <w:r>
              <w:rPr>
                <w:sz w:val="18"/>
                <w:szCs w:val="18"/>
              </w:rPr>
              <w:t>Objeto de la obligación y objeto del tributo; obligaciones tributarias accesorias y formales; garantía de la obligación tributaria. (C)</w:t>
            </w:r>
          </w:p>
          <w:p w14:paraId="02B94CF6" w14:textId="77777777" w:rsidR="00990B14" w:rsidRDefault="00000000">
            <w:pPr>
              <w:spacing w:after="40"/>
              <w:jc w:val="both"/>
            </w:pPr>
            <w:r>
              <w:rPr>
                <w:sz w:val="18"/>
                <w:szCs w:val="18"/>
              </w:rPr>
              <w:t>Formas de extinción de la obligación tributaria: pago, compensación, confusión, condonación y prescripción. (C)</w:t>
            </w:r>
          </w:p>
          <w:p w14:paraId="19CA268D" w14:textId="77777777" w:rsidR="00990B14" w:rsidRDefault="00000000">
            <w:pPr>
              <w:spacing w:after="40"/>
              <w:jc w:val="both"/>
            </w:pPr>
            <w:r>
              <w:rPr>
                <w:sz w:val="18"/>
                <w:szCs w:val="18"/>
              </w:rPr>
              <w:t>Concepto del Derecho Tributario Formal. (C)</w:t>
            </w:r>
          </w:p>
          <w:p w14:paraId="7B35B701" w14:textId="77777777" w:rsidR="00990B14" w:rsidRDefault="00000000">
            <w:pPr>
              <w:spacing w:after="40"/>
              <w:jc w:val="both"/>
            </w:pPr>
            <w:r>
              <w:rPr>
                <w:sz w:val="18"/>
                <w:szCs w:val="18"/>
              </w:rPr>
              <w:t>La Administración Tributaria y sus facultades; derechos y deberes del sujeto pasivo y de los terceros responsables. (C)</w:t>
            </w:r>
          </w:p>
          <w:p w14:paraId="56BA92A7" w14:textId="77777777" w:rsidR="00990B14" w:rsidRDefault="00000000">
            <w:pPr>
              <w:spacing w:after="40"/>
              <w:jc w:val="both"/>
            </w:pPr>
            <w:r>
              <w:rPr>
                <w:sz w:val="18"/>
                <w:szCs w:val="18"/>
              </w:rPr>
              <w:t>Determinación de la obligación tributaria: naturaleza jurídica y formas de determinación por el sujeto pasivo, por la Administración Tributaria y mixta. (C, P)</w:t>
            </w:r>
          </w:p>
          <w:p w14:paraId="4E990315" w14:textId="77777777" w:rsidR="00990B14" w:rsidRDefault="00000000">
            <w:pPr>
              <w:spacing w:after="40"/>
              <w:jc w:val="both"/>
            </w:pPr>
            <w:r>
              <w:rPr>
                <w:sz w:val="18"/>
                <w:szCs w:val="18"/>
              </w:rPr>
              <w:t>Métodos para determinar la base imponible. (P)</w:t>
            </w:r>
          </w:p>
          <w:p w14:paraId="5F18247A" w14:textId="77777777" w:rsidR="00990B14" w:rsidRDefault="00000000">
            <w:pPr>
              <w:spacing w:after="40"/>
              <w:jc w:val="both"/>
            </w:pPr>
            <w:r>
              <w:rPr>
                <w:sz w:val="18"/>
                <w:szCs w:val="18"/>
              </w:rPr>
              <w:t>Procedimiento de determinación. Vista de cargo y resolución determinativa. (P)</w:t>
            </w:r>
          </w:p>
          <w:p w14:paraId="3C3C5315" w14:textId="77777777" w:rsidR="00990B14" w:rsidRDefault="00000000">
            <w:pPr>
              <w:spacing w:after="40"/>
              <w:jc w:val="both"/>
            </w:pPr>
            <w:r>
              <w:rPr>
                <w:sz w:val="18"/>
                <w:szCs w:val="18"/>
              </w:rPr>
              <w:t>Procedimiento determinativo en casos especiales y procedimiento de fiscalización. (P)</w:t>
            </w:r>
          </w:p>
          <w:p w14:paraId="714C22A5" w14:textId="77777777" w:rsidR="00990B14" w:rsidRDefault="00000000">
            <w:pPr>
              <w:spacing w:after="40"/>
              <w:jc w:val="both"/>
            </w:pPr>
            <w:r>
              <w:rPr>
                <w:sz w:val="18"/>
                <w:szCs w:val="18"/>
              </w:rPr>
              <w:t>Medidas precautorias y otros procedimientos administrativos. (P)</w:t>
            </w:r>
          </w:p>
        </w:tc>
        <w:tc>
          <w:tcPr>
            <w:tcW w:w="2752" w:type="dxa"/>
            <w:gridSpan w:val="3"/>
            <w:shd w:val="clear" w:color="auto" w:fill="D9E2F3"/>
          </w:tcPr>
          <w:p w14:paraId="10DA01DD" w14:textId="77777777" w:rsidR="00990B14" w:rsidRDefault="00000000">
            <w:pPr>
              <w:numPr>
                <w:ilvl w:val="0"/>
                <w:numId w:val="139"/>
              </w:numPr>
              <w:spacing w:before="10" w:after="10"/>
              <w:jc w:val="both"/>
            </w:pPr>
            <w:r>
              <w:rPr>
                <w:sz w:val="18"/>
                <w:szCs w:val="18"/>
              </w:rPr>
              <w:t>Nociones de la teoría general de las obligaciones del derecho civil.</w:t>
            </w:r>
          </w:p>
          <w:p w14:paraId="168640BF" w14:textId="77777777" w:rsidR="00990B14" w:rsidRDefault="00000000">
            <w:pPr>
              <w:numPr>
                <w:ilvl w:val="0"/>
                <w:numId w:val="139"/>
              </w:numPr>
              <w:spacing w:before="10" w:after="10"/>
              <w:jc w:val="both"/>
            </w:pPr>
            <w:r>
              <w:rPr>
                <w:sz w:val="18"/>
                <w:szCs w:val="18"/>
              </w:rPr>
              <w:t>Nociones de los elementos y de la validez del acto administrativo.</w:t>
            </w:r>
          </w:p>
          <w:p w14:paraId="376EA179" w14:textId="77777777" w:rsidR="00990B14" w:rsidRDefault="00000000">
            <w:pPr>
              <w:numPr>
                <w:ilvl w:val="0"/>
                <w:numId w:val="139"/>
              </w:numPr>
              <w:spacing w:before="10" w:after="10"/>
              <w:jc w:val="both"/>
            </w:pPr>
            <w:r>
              <w:rPr>
                <w:sz w:val="18"/>
                <w:szCs w:val="18"/>
              </w:rPr>
              <w:t>Nociones de la valoración de la prueba documental en los procedimientos administrativos.</w:t>
            </w:r>
          </w:p>
        </w:tc>
      </w:tr>
      <w:tr w:rsidR="00990B14" w14:paraId="395AD975" w14:textId="77777777">
        <w:trPr>
          <w:cantSplit/>
          <w:jc w:val="center"/>
        </w:trPr>
        <w:tc>
          <w:tcPr>
            <w:tcW w:w="9405" w:type="dxa"/>
            <w:gridSpan w:val="13"/>
            <w:shd w:val="clear" w:color="auto" w:fill="D9E2F3"/>
            <w:vAlign w:val="center"/>
          </w:tcPr>
          <w:p w14:paraId="6198AE12" w14:textId="77777777" w:rsidR="00990B14" w:rsidRDefault="00000000">
            <w:pPr>
              <w:spacing w:before="20" w:after="20"/>
              <w:jc w:val="both"/>
            </w:pPr>
            <w:r>
              <w:rPr>
                <w:b/>
                <w:bCs/>
                <w:i/>
                <w:iCs/>
                <w:sz w:val="18"/>
                <w:szCs w:val="18"/>
              </w:rPr>
              <w:t xml:space="preserve">Elemento de competencia 3: </w:t>
            </w:r>
            <w:r>
              <w:rPr>
                <w:sz w:val="18"/>
                <w:szCs w:val="18"/>
              </w:rPr>
              <w:t>Aplica el régimen sancionatorio por ilícitos tributarios y fundamenta la impugnación de los actos de la Administración Tributaria, con los recursos de alzada y jerárquico, con ética profesional.</w:t>
            </w:r>
          </w:p>
        </w:tc>
      </w:tr>
      <w:tr w:rsidR="00990B14" w14:paraId="05C8047D" w14:textId="77777777">
        <w:trPr>
          <w:cantSplit/>
          <w:jc w:val="center"/>
        </w:trPr>
        <w:tc>
          <w:tcPr>
            <w:tcW w:w="3133" w:type="dxa"/>
            <w:gridSpan w:val="4"/>
            <w:shd w:val="clear" w:color="auto" w:fill="4472C4"/>
            <w:vAlign w:val="center"/>
          </w:tcPr>
          <w:p w14:paraId="6D552D13"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77AF2E5B"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16924E06" w14:textId="77777777" w:rsidR="00990B14" w:rsidRDefault="00000000">
            <w:pPr>
              <w:keepNext/>
              <w:spacing w:before="20" w:after="20"/>
              <w:jc w:val="center"/>
            </w:pPr>
            <w:r>
              <w:rPr>
                <w:b/>
                <w:bCs/>
                <w:i/>
                <w:iCs/>
                <w:color w:val="FFFFFF"/>
                <w:sz w:val="18"/>
                <w:szCs w:val="18"/>
              </w:rPr>
              <w:t>Evidencias de producto</w:t>
            </w:r>
          </w:p>
        </w:tc>
      </w:tr>
      <w:tr w:rsidR="00990B14" w14:paraId="05A56F70" w14:textId="77777777">
        <w:trPr>
          <w:cantSplit/>
          <w:jc w:val="center"/>
        </w:trPr>
        <w:tc>
          <w:tcPr>
            <w:tcW w:w="3133" w:type="dxa"/>
            <w:gridSpan w:val="4"/>
            <w:vMerge w:val="restart"/>
            <w:shd w:val="clear" w:color="auto" w:fill="D9E2F3"/>
            <w:vAlign w:val="center"/>
          </w:tcPr>
          <w:p w14:paraId="6560EDC0" w14:textId="77777777" w:rsidR="00990B14" w:rsidRDefault="00000000">
            <w:pPr>
              <w:spacing w:before="20" w:after="20"/>
              <w:jc w:val="both"/>
            </w:pPr>
            <w:r>
              <w:rPr>
                <w:sz w:val="18"/>
                <w:szCs w:val="18"/>
              </w:rPr>
              <w:t>1. Clasifica los ilícitos tributarios en contravenciones y delitos.</w:t>
            </w:r>
          </w:p>
        </w:tc>
        <w:tc>
          <w:tcPr>
            <w:tcW w:w="3135" w:type="dxa"/>
            <w:gridSpan w:val="5"/>
            <w:shd w:val="clear" w:color="auto" w:fill="D9E2F3"/>
            <w:vAlign w:val="center"/>
          </w:tcPr>
          <w:p w14:paraId="528DBD62" w14:textId="77777777" w:rsidR="00990B14" w:rsidRDefault="00000000">
            <w:pPr>
              <w:spacing w:before="20" w:after="20"/>
              <w:jc w:val="both"/>
            </w:pPr>
            <w:r>
              <w:rPr>
                <w:sz w:val="18"/>
                <w:szCs w:val="18"/>
              </w:rPr>
              <w:t>1.1 Describe las contravenciones y delitos tributarios.</w:t>
            </w:r>
          </w:p>
        </w:tc>
        <w:tc>
          <w:tcPr>
            <w:tcW w:w="3137" w:type="dxa"/>
            <w:gridSpan w:val="4"/>
            <w:shd w:val="clear" w:color="auto" w:fill="D9E2F3"/>
            <w:vAlign w:val="center"/>
          </w:tcPr>
          <w:p w14:paraId="22A74241" w14:textId="77777777" w:rsidR="00990B14" w:rsidRDefault="00000000">
            <w:pPr>
              <w:spacing w:before="20" w:after="20"/>
              <w:jc w:val="both"/>
            </w:pPr>
            <w:r>
              <w:rPr>
                <w:b/>
                <w:bCs/>
                <w:sz w:val="18"/>
                <w:szCs w:val="18"/>
              </w:rPr>
              <w:t xml:space="preserve">Producto 9: </w:t>
            </w:r>
            <w:r>
              <w:rPr>
                <w:sz w:val="18"/>
                <w:szCs w:val="18"/>
              </w:rPr>
              <w:t>Cuadro descriptivo de las contravenciones y delitos.</w:t>
            </w:r>
          </w:p>
        </w:tc>
      </w:tr>
      <w:tr w:rsidR="00990B14" w14:paraId="6147C8E0" w14:textId="77777777">
        <w:trPr>
          <w:cantSplit/>
          <w:jc w:val="center"/>
        </w:trPr>
        <w:tc>
          <w:tcPr>
            <w:tcW w:w="3133" w:type="dxa"/>
            <w:gridSpan w:val="4"/>
            <w:vMerge/>
            <w:shd w:val="clear" w:color="auto" w:fill="D9E2F3"/>
            <w:vAlign w:val="center"/>
          </w:tcPr>
          <w:p w14:paraId="36B0DB87" w14:textId="77777777" w:rsidR="00990B14" w:rsidRDefault="00990B14">
            <w:pPr>
              <w:spacing w:before="20" w:after="20"/>
            </w:pPr>
          </w:p>
        </w:tc>
        <w:tc>
          <w:tcPr>
            <w:tcW w:w="3135" w:type="dxa"/>
            <w:gridSpan w:val="5"/>
            <w:shd w:val="clear" w:color="auto" w:fill="D9E2F3"/>
            <w:vAlign w:val="center"/>
          </w:tcPr>
          <w:p w14:paraId="39E29A97" w14:textId="77777777" w:rsidR="00990B14" w:rsidRDefault="00000000">
            <w:pPr>
              <w:spacing w:before="20" w:after="20"/>
              <w:jc w:val="both"/>
            </w:pPr>
            <w:r>
              <w:rPr>
                <w:sz w:val="18"/>
                <w:szCs w:val="18"/>
              </w:rPr>
              <w:t>1.2 Compara en equipo un caso de contravención y uno de delito tributario.</w:t>
            </w:r>
          </w:p>
        </w:tc>
        <w:tc>
          <w:tcPr>
            <w:tcW w:w="3137" w:type="dxa"/>
            <w:gridSpan w:val="4"/>
            <w:shd w:val="clear" w:color="auto" w:fill="D9E2F3"/>
            <w:vAlign w:val="center"/>
          </w:tcPr>
          <w:p w14:paraId="455176CF" w14:textId="77777777" w:rsidR="00990B14" w:rsidRDefault="00000000">
            <w:pPr>
              <w:spacing w:before="20" w:after="20"/>
              <w:jc w:val="both"/>
            </w:pPr>
            <w:r>
              <w:rPr>
                <w:b/>
                <w:bCs/>
                <w:sz w:val="18"/>
                <w:szCs w:val="18"/>
              </w:rPr>
              <w:t xml:space="preserve">Producto 10: </w:t>
            </w:r>
            <w:r>
              <w:rPr>
                <w:sz w:val="18"/>
                <w:szCs w:val="18"/>
              </w:rPr>
              <w:t>Informe de la comparación de contravenciones y delitos.</w:t>
            </w:r>
          </w:p>
        </w:tc>
      </w:tr>
      <w:tr w:rsidR="00990B14" w14:paraId="16799651" w14:textId="77777777">
        <w:trPr>
          <w:cantSplit/>
          <w:jc w:val="center"/>
        </w:trPr>
        <w:tc>
          <w:tcPr>
            <w:tcW w:w="3133" w:type="dxa"/>
            <w:gridSpan w:val="4"/>
            <w:vMerge w:val="restart"/>
            <w:shd w:val="clear" w:color="auto" w:fill="D9E2F3"/>
            <w:vAlign w:val="center"/>
          </w:tcPr>
          <w:p w14:paraId="19F225E0" w14:textId="77777777" w:rsidR="00990B14" w:rsidRDefault="00000000">
            <w:pPr>
              <w:spacing w:before="20" w:after="20"/>
              <w:jc w:val="both"/>
            </w:pPr>
            <w:r>
              <w:rPr>
                <w:sz w:val="18"/>
                <w:szCs w:val="18"/>
              </w:rPr>
              <w:t>2. Fundamenta la impugnación de los actos de la Administración Tributaria, diferenciando las vías de impugnación.</w:t>
            </w:r>
          </w:p>
        </w:tc>
        <w:tc>
          <w:tcPr>
            <w:tcW w:w="3135" w:type="dxa"/>
            <w:gridSpan w:val="5"/>
            <w:shd w:val="clear" w:color="auto" w:fill="D9E2F3"/>
            <w:vAlign w:val="center"/>
          </w:tcPr>
          <w:p w14:paraId="79A3B672" w14:textId="77777777" w:rsidR="00990B14" w:rsidRDefault="00000000">
            <w:pPr>
              <w:spacing w:before="20" w:after="20"/>
              <w:jc w:val="both"/>
            </w:pPr>
            <w:r>
              <w:rPr>
                <w:sz w:val="18"/>
                <w:szCs w:val="18"/>
              </w:rPr>
              <w:t>2.1 Describe en equipo el proceso de impugnación y los procesos contenciosos tributario y administrativo.</w:t>
            </w:r>
          </w:p>
        </w:tc>
        <w:tc>
          <w:tcPr>
            <w:tcW w:w="3137" w:type="dxa"/>
            <w:gridSpan w:val="4"/>
            <w:shd w:val="clear" w:color="auto" w:fill="D9E2F3"/>
            <w:vAlign w:val="center"/>
          </w:tcPr>
          <w:p w14:paraId="189B3CD6" w14:textId="77777777" w:rsidR="00990B14" w:rsidRDefault="00000000">
            <w:pPr>
              <w:spacing w:before="20" w:after="20"/>
              <w:jc w:val="both"/>
            </w:pPr>
            <w:r>
              <w:rPr>
                <w:b/>
                <w:bCs/>
                <w:sz w:val="18"/>
                <w:szCs w:val="18"/>
              </w:rPr>
              <w:t xml:space="preserve">Producto 11: </w:t>
            </w:r>
            <w:r>
              <w:rPr>
                <w:sz w:val="18"/>
                <w:szCs w:val="18"/>
              </w:rPr>
              <w:t>Esquema del proceso de impugnación.</w:t>
            </w:r>
          </w:p>
        </w:tc>
      </w:tr>
      <w:tr w:rsidR="00990B14" w14:paraId="28BA9A83" w14:textId="77777777">
        <w:trPr>
          <w:cantSplit/>
          <w:jc w:val="center"/>
        </w:trPr>
        <w:tc>
          <w:tcPr>
            <w:tcW w:w="3133" w:type="dxa"/>
            <w:gridSpan w:val="4"/>
            <w:vMerge/>
            <w:shd w:val="clear" w:color="auto" w:fill="D9E2F3"/>
            <w:vAlign w:val="center"/>
          </w:tcPr>
          <w:p w14:paraId="51885A38" w14:textId="77777777" w:rsidR="00990B14" w:rsidRDefault="00990B14">
            <w:pPr>
              <w:spacing w:before="20" w:after="20"/>
            </w:pPr>
          </w:p>
        </w:tc>
        <w:tc>
          <w:tcPr>
            <w:tcW w:w="3135" w:type="dxa"/>
            <w:gridSpan w:val="5"/>
            <w:shd w:val="clear" w:color="auto" w:fill="D9E2F3"/>
            <w:vAlign w:val="center"/>
          </w:tcPr>
          <w:p w14:paraId="76FA0A68" w14:textId="77777777" w:rsidR="00990B14" w:rsidRDefault="00000000">
            <w:pPr>
              <w:spacing w:before="20" w:after="20"/>
              <w:jc w:val="both"/>
            </w:pPr>
            <w:r>
              <w:rPr>
                <w:sz w:val="18"/>
                <w:szCs w:val="18"/>
              </w:rPr>
              <w:t>2.2 Analiza en aula una resolución de la Autoridad de Impugnación Tributaria como precedente administrativo.</w:t>
            </w:r>
          </w:p>
        </w:tc>
        <w:tc>
          <w:tcPr>
            <w:tcW w:w="3137" w:type="dxa"/>
            <w:gridSpan w:val="4"/>
            <w:shd w:val="clear" w:color="auto" w:fill="D9E2F3"/>
            <w:vAlign w:val="center"/>
          </w:tcPr>
          <w:p w14:paraId="716E1F7B" w14:textId="77777777" w:rsidR="00990B14" w:rsidRDefault="00000000">
            <w:pPr>
              <w:spacing w:before="20" w:after="20"/>
              <w:jc w:val="both"/>
            </w:pPr>
            <w:r>
              <w:rPr>
                <w:b/>
                <w:bCs/>
                <w:sz w:val="18"/>
                <w:szCs w:val="18"/>
              </w:rPr>
              <w:t xml:space="preserve">Producto 12: </w:t>
            </w:r>
            <w:r>
              <w:rPr>
                <w:sz w:val="18"/>
                <w:szCs w:val="18"/>
              </w:rPr>
              <w:t>Ficha de análisis de una resolución de la Autoridad de Impugnación Tributaria.</w:t>
            </w:r>
          </w:p>
        </w:tc>
      </w:tr>
      <w:tr w:rsidR="00990B14" w14:paraId="674DA116" w14:textId="77777777">
        <w:trPr>
          <w:cantSplit/>
          <w:jc w:val="center"/>
        </w:trPr>
        <w:tc>
          <w:tcPr>
            <w:tcW w:w="9405" w:type="dxa"/>
            <w:gridSpan w:val="13"/>
            <w:shd w:val="clear" w:color="auto" w:fill="4472C4"/>
            <w:vAlign w:val="center"/>
          </w:tcPr>
          <w:p w14:paraId="19C64B90" w14:textId="77777777" w:rsidR="00990B14" w:rsidRDefault="00000000">
            <w:pPr>
              <w:keepNext/>
              <w:spacing w:before="20" w:after="20"/>
              <w:jc w:val="center"/>
            </w:pPr>
            <w:r>
              <w:rPr>
                <w:b/>
                <w:bCs/>
                <w:i/>
                <w:iCs/>
                <w:color w:val="FFFFFF"/>
                <w:sz w:val="18"/>
                <w:szCs w:val="18"/>
              </w:rPr>
              <w:t>Evidencias de conocimiento</w:t>
            </w:r>
          </w:p>
        </w:tc>
      </w:tr>
      <w:tr w:rsidR="00990B14" w14:paraId="1A9FD22E" w14:textId="77777777">
        <w:trPr>
          <w:cantSplit/>
          <w:jc w:val="center"/>
        </w:trPr>
        <w:tc>
          <w:tcPr>
            <w:tcW w:w="2349" w:type="dxa"/>
            <w:gridSpan w:val="2"/>
            <w:shd w:val="clear" w:color="auto" w:fill="4472C4"/>
            <w:vAlign w:val="center"/>
          </w:tcPr>
          <w:p w14:paraId="2829B7AA"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6377B319" w14:textId="77777777" w:rsidR="00990B14" w:rsidRDefault="00000000">
            <w:pPr>
              <w:keepNext/>
              <w:spacing w:before="20" w:after="20"/>
              <w:jc w:val="both"/>
            </w:pPr>
            <w:r>
              <w:rPr>
                <w:b/>
                <w:bCs/>
                <w:i/>
                <w:iCs/>
                <w:color w:val="FFFFFF"/>
                <w:sz w:val="18"/>
                <w:szCs w:val="18"/>
              </w:rPr>
              <w:t>Contenidos</w:t>
            </w:r>
          </w:p>
          <w:p w14:paraId="021EA4B8"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6CA1EA21" w14:textId="77777777" w:rsidR="00990B14" w:rsidRDefault="00000000">
            <w:pPr>
              <w:keepNext/>
              <w:spacing w:before="20" w:after="20"/>
              <w:jc w:val="center"/>
            </w:pPr>
            <w:r>
              <w:rPr>
                <w:b/>
                <w:bCs/>
                <w:i/>
                <w:iCs/>
                <w:color w:val="FFFFFF"/>
                <w:sz w:val="18"/>
                <w:szCs w:val="18"/>
              </w:rPr>
              <w:t>Conocimientos circunstanciales</w:t>
            </w:r>
          </w:p>
        </w:tc>
      </w:tr>
      <w:tr w:rsidR="00990B14" w14:paraId="3498D047" w14:textId="77777777">
        <w:trPr>
          <w:jc w:val="center"/>
        </w:trPr>
        <w:tc>
          <w:tcPr>
            <w:tcW w:w="2349" w:type="dxa"/>
            <w:gridSpan w:val="2"/>
            <w:shd w:val="clear" w:color="auto" w:fill="D9E2F3"/>
          </w:tcPr>
          <w:p w14:paraId="004EDF32" w14:textId="77777777" w:rsidR="00990B14" w:rsidRDefault="00000000">
            <w:pPr>
              <w:spacing w:before="20" w:after="40"/>
              <w:jc w:val="both"/>
            </w:pPr>
            <w:r>
              <w:rPr>
                <w:sz w:val="18"/>
                <w:szCs w:val="18"/>
              </w:rPr>
              <w:t>Tema 9: Derecho Tributario Penal</w:t>
            </w:r>
          </w:p>
          <w:p w14:paraId="6CD52248" w14:textId="77777777" w:rsidR="00990B14" w:rsidRDefault="00000000">
            <w:pPr>
              <w:spacing w:before="20" w:after="40"/>
              <w:jc w:val="both"/>
            </w:pPr>
            <w:r>
              <w:rPr>
                <w:sz w:val="18"/>
                <w:szCs w:val="18"/>
              </w:rPr>
              <w:t>Tema 10: Contravenciones tributarias</w:t>
            </w:r>
          </w:p>
          <w:p w14:paraId="479108F0" w14:textId="77777777" w:rsidR="00990B14" w:rsidRDefault="00000000">
            <w:pPr>
              <w:spacing w:before="20" w:after="40"/>
              <w:jc w:val="both"/>
            </w:pPr>
            <w:r>
              <w:rPr>
                <w:sz w:val="18"/>
                <w:szCs w:val="18"/>
              </w:rPr>
              <w:t>Tema 11: Delitos tributarios</w:t>
            </w:r>
          </w:p>
          <w:p w14:paraId="2210ACE4" w14:textId="77777777" w:rsidR="00990B14" w:rsidRDefault="00000000">
            <w:pPr>
              <w:spacing w:before="20" w:after="40"/>
              <w:jc w:val="both"/>
            </w:pPr>
            <w:r>
              <w:rPr>
                <w:sz w:val="18"/>
                <w:szCs w:val="18"/>
              </w:rPr>
              <w:t>Tema 12: Derecho Tributario Procesal</w:t>
            </w:r>
          </w:p>
        </w:tc>
        <w:tc>
          <w:tcPr>
            <w:tcW w:w="4304" w:type="dxa"/>
            <w:gridSpan w:val="8"/>
            <w:shd w:val="clear" w:color="auto" w:fill="D9E2F3"/>
          </w:tcPr>
          <w:p w14:paraId="74C5682A" w14:textId="77777777" w:rsidR="00990B14" w:rsidRDefault="00000000">
            <w:pPr>
              <w:spacing w:after="40"/>
              <w:jc w:val="both"/>
            </w:pPr>
            <w:r>
              <w:rPr>
                <w:sz w:val="18"/>
                <w:szCs w:val="18"/>
              </w:rPr>
              <w:t>Concepto de Derecho Tributario Penal. (C)</w:t>
            </w:r>
          </w:p>
          <w:p w14:paraId="5439FC15" w14:textId="77777777" w:rsidR="00990B14" w:rsidRDefault="00000000">
            <w:pPr>
              <w:spacing w:after="40"/>
              <w:jc w:val="both"/>
            </w:pPr>
            <w:r>
              <w:rPr>
                <w:sz w:val="18"/>
                <w:szCs w:val="18"/>
              </w:rPr>
              <w:t>Ilícitos tributarios: concepto y sanciones por su comisión. (C)</w:t>
            </w:r>
          </w:p>
          <w:p w14:paraId="4F888FF7" w14:textId="77777777" w:rsidR="00990B14" w:rsidRDefault="00000000">
            <w:pPr>
              <w:spacing w:after="40"/>
              <w:jc w:val="both"/>
            </w:pPr>
            <w:r>
              <w:rPr>
                <w:sz w:val="18"/>
                <w:szCs w:val="18"/>
              </w:rPr>
              <w:t>Contravenciones tributarias: concepto y clasificación. (C)</w:t>
            </w:r>
          </w:p>
          <w:p w14:paraId="4507C482" w14:textId="77777777" w:rsidR="00990B14" w:rsidRDefault="00000000">
            <w:pPr>
              <w:spacing w:after="40"/>
              <w:jc w:val="both"/>
            </w:pPr>
            <w:r>
              <w:rPr>
                <w:sz w:val="18"/>
                <w:szCs w:val="18"/>
              </w:rPr>
              <w:t>Sanciones administrativas por incumplimiento del pago de tributos: intereses moratorios, mantenimiento de valor de la deuda tributaria, multa y clausura. (C)</w:t>
            </w:r>
          </w:p>
          <w:p w14:paraId="560A7788" w14:textId="77777777" w:rsidR="00990B14" w:rsidRDefault="00000000">
            <w:pPr>
              <w:spacing w:after="40"/>
              <w:jc w:val="both"/>
            </w:pPr>
            <w:r>
              <w:rPr>
                <w:sz w:val="18"/>
                <w:szCs w:val="18"/>
              </w:rPr>
              <w:t>Reducción de sanciones y arrepentimiento eficaz. (C)</w:t>
            </w:r>
          </w:p>
          <w:p w14:paraId="6A98811C" w14:textId="77777777" w:rsidR="00990B14" w:rsidRDefault="00000000">
            <w:pPr>
              <w:spacing w:after="40"/>
              <w:jc w:val="both"/>
            </w:pPr>
            <w:r>
              <w:rPr>
                <w:sz w:val="18"/>
                <w:szCs w:val="18"/>
              </w:rPr>
              <w:t>Clases de contravenciones: omisión de inscripción en los registros tributarios, no emisión de factura, nota fiscal o documento equivalente, omisión de pago, contrabando contravencional e incumplimiento de deberes formales. (P)</w:t>
            </w:r>
          </w:p>
          <w:p w14:paraId="779DEDCE" w14:textId="77777777" w:rsidR="00990B14" w:rsidRDefault="00000000">
            <w:pPr>
              <w:spacing w:after="40"/>
              <w:jc w:val="both"/>
            </w:pPr>
            <w:r>
              <w:rPr>
                <w:sz w:val="18"/>
                <w:szCs w:val="18"/>
              </w:rPr>
              <w:t>Delitos tributarios: concepto y clasificación; defraudación tributaria y defraudación aduanera. Instigación pública a no pagar tributos, violación de precintos y otros controles tributarios y contrabando. (C)</w:t>
            </w:r>
          </w:p>
          <w:p w14:paraId="00B8E17D" w14:textId="77777777" w:rsidR="00990B14" w:rsidRDefault="00000000">
            <w:pPr>
              <w:spacing w:after="40"/>
              <w:jc w:val="both"/>
            </w:pPr>
            <w:r>
              <w:rPr>
                <w:sz w:val="18"/>
                <w:szCs w:val="18"/>
              </w:rPr>
              <w:t>Concepto de Derecho Tributario Procesal. (C)</w:t>
            </w:r>
          </w:p>
          <w:p w14:paraId="4FAF3062" w14:textId="77777777" w:rsidR="00990B14" w:rsidRDefault="00000000">
            <w:pPr>
              <w:spacing w:after="40"/>
              <w:jc w:val="both"/>
            </w:pPr>
            <w:r>
              <w:rPr>
                <w:sz w:val="18"/>
                <w:szCs w:val="18"/>
              </w:rPr>
              <w:t>Proceso y procedimiento tributario; impugnación de los actos de la Administración Tributaria. (P)</w:t>
            </w:r>
          </w:p>
          <w:p w14:paraId="0EDFED62" w14:textId="77777777" w:rsidR="00990B14" w:rsidRDefault="00000000">
            <w:pPr>
              <w:spacing w:after="40"/>
              <w:jc w:val="both"/>
            </w:pPr>
            <w:r>
              <w:rPr>
                <w:sz w:val="18"/>
                <w:szCs w:val="18"/>
              </w:rPr>
              <w:t>Recurso de alzada y recurso jerárquico. (C)</w:t>
            </w:r>
          </w:p>
          <w:p w14:paraId="3FA27602" w14:textId="77777777" w:rsidR="00990B14" w:rsidRDefault="00000000">
            <w:pPr>
              <w:spacing w:after="40"/>
              <w:jc w:val="both"/>
            </w:pPr>
            <w:r>
              <w:rPr>
                <w:sz w:val="18"/>
                <w:szCs w:val="18"/>
              </w:rPr>
              <w:t>Proceso contencioso administrativo y proceso contencioso tributario. (C)</w:t>
            </w:r>
          </w:p>
          <w:p w14:paraId="56960769" w14:textId="77777777" w:rsidR="00990B14" w:rsidRDefault="00000000">
            <w:pPr>
              <w:spacing w:after="40"/>
              <w:jc w:val="both"/>
            </w:pPr>
            <w:r>
              <w:rPr>
                <w:sz w:val="18"/>
                <w:szCs w:val="18"/>
              </w:rPr>
              <w:t>Ejecución tributaria. (P)</w:t>
            </w:r>
          </w:p>
          <w:p w14:paraId="54A73B6F" w14:textId="77777777" w:rsidR="00990B14" w:rsidRDefault="00000000">
            <w:pPr>
              <w:spacing w:after="40"/>
              <w:jc w:val="both"/>
            </w:pPr>
            <w:r>
              <w:rPr>
                <w:sz w:val="18"/>
                <w:szCs w:val="18"/>
              </w:rPr>
              <w:t>Análisis crítico de las resoluciones de la Autoridad de Impugnación Tributaria como precedente administrativo. (P)</w:t>
            </w:r>
          </w:p>
        </w:tc>
        <w:tc>
          <w:tcPr>
            <w:tcW w:w="2752" w:type="dxa"/>
            <w:gridSpan w:val="3"/>
            <w:shd w:val="clear" w:color="auto" w:fill="D9E2F3"/>
          </w:tcPr>
          <w:p w14:paraId="2E9FE791" w14:textId="77777777" w:rsidR="00990B14" w:rsidRDefault="00000000">
            <w:pPr>
              <w:numPr>
                <w:ilvl w:val="0"/>
                <w:numId w:val="139"/>
              </w:numPr>
              <w:spacing w:before="10" w:after="10"/>
              <w:jc w:val="both"/>
            </w:pPr>
            <w:r>
              <w:rPr>
                <w:sz w:val="18"/>
                <w:szCs w:val="18"/>
              </w:rPr>
              <w:t>Nociones de la teoría del delito y de los elementos del tipo penal.</w:t>
            </w:r>
          </w:p>
          <w:p w14:paraId="47838223" w14:textId="77777777" w:rsidR="00990B14" w:rsidRDefault="00000000">
            <w:pPr>
              <w:numPr>
                <w:ilvl w:val="0"/>
                <w:numId w:val="139"/>
              </w:numPr>
              <w:spacing w:before="10" w:after="10"/>
              <w:jc w:val="both"/>
            </w:pPr>
            <w:r>
              <w:rPr>
                <w:sz w:val="18"/>
                <w:szCs w:val="18"/>
              </w:rPr>
              <w:t>Nociones de las etapas del proceso penal boliviano.</w:t>
            </w:r>
          </w:p>
          <w:p w14:paraId="1B24581A" w14:textId="77777777" w:rsidR="00990B14" w:rsidRDefault="00000000">
            <w:pPr>
              <w:numPr>
                <w:ilvl w:val="0"/>
                <w:numId w:val="139"/>
              </w:numPr>
              <w:spacing w:before="10" w:after="10"/>
              <w:jc w:val="both"/>
            </w:pPr>
            <w:r>
              <w:rPr>
                <w:sz w:val="18"/>
                <w:szCs w:val="18"/>
              </w:rPr>
              <w:t>Nociones de derecho procesal y del cómputo de los plazos procesales.</w:t>
            </w:r>
          </w:p>
          <w:p w14:paraId="5C5499B0" w14:textId="77777777" w:rsidR="00990B14" w:rsidRDefault="00000000">
            <w:pPr>
              <w:numPr>
                <w:ilvl w:val="0"/>
                <w:numId w:val="139"/>
              </w:numPr>
              <w:spacing w:before="10" w:after="10"/>
              <w:jc w:val="both"/>
            </w:pPr>
            <w:r>
              <w:rPr>
                <w:sz w:val="18"/>
                <w:szCs w:val="18"/>
              </w:rPr>
              <w:t>Nociones de redacción de memoriales y escritos ante autoridades administrativas y judiciales.</w:t>
            </w:r>
          </w:p>
        </w:tc>
      </w:tr>
      <w:tr w:rsidR="00990B14" w14:paraId="397117EF" w14:textId="77777777">
        <w:trPr>
          <w:cantSplit/>
          <w:jc w:val="center"/>
        </w:trPr>
        <w:tc>
          <w:tcPr>
            <w:tcW w:w="9405" w:type="dxa"/>
            <w:gridSpan w:val="13"/>
            <w:shd w:val="clear" w:color="auto" w:fill="D9E2F3"/>
            <w:vAlign w:val="center"/>
          </w:tcPr>
          <w:p w14:paraId="657AF760" w14:textId="77777777" w:rsidR="00990B14" w:rsidRDefault="00000000">
            <w:pPr>
              <w:spacing w:before="20" w:after="20"/>
              <w:jc w:val="both"/>
            </w:pPr>
            <w:r>
              <w:rPr>
                <w:b/>
                <w:bCs/>
                <w:i/>
                <w:iCs/>
                <w:sz w:val="18"/>
                <w:szCs w:val="18"/>
              </w:rPr>
              <w:t xml:space="preserve">Elemento de competencia 4: </w:t>
            </w:r>
            <w:r>
              <w:rPr>
                <w:sz w:val="18"/>
                <w:szCs w:val="18"/>
              </w:rPr>
              <w:t>Analiza la doble imposición internacional de un contribuyente, aplicando los criterios de sujeción y los métodos para evitarla.</w:t>
            </w:r>
          </w:p>
        </w:tc>
      </w:tr>
      <w:tr w:rsidR="00990B14" w14:paraId="15C2ECEC" w14:textId="77777777">
        <w:trPr>
          <w:cantSplit/>
          <w:jc w:val="center"/>
        </w:trPr>
        <w:tc>
          <w:tcPr>
            <w:tcW w:w="3133" w:type="dxa"/>
            <w:gridSpan w:val="4"/>
            <w:shd w:val="clear" w:color="auto" w:fill="4472C4"/>
            <w:vAlign w:val="center"/>
          </w:tcPr>
          <w:p w14:paraId="42B0018B"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7538038A"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00ECC15E" w14:textId="77777777" w:rsidR="00990B14" w:rsidRDefault="00000000">
            <w:pPr>
              <w:keepNext/>
              <w:spacing w:before="20" w:after="20"/>
              <w:jc w:val="center"/>
            </w:pPr>
            <w:r>
              <w:rPr>
                <w:b/>
                <w:bCs/>
                <w:i/>
                <w:iCs/>
                <w:color w:val="FFFFFF"/>
                <w:sz w:val="18"/>
                <w:szCs w:val="18"/>
              </w:rPr>
              <w:t>Evidencias de producto</w:t>
            </w:r>
          </w:p>
        </w:tc>
      </w:tr>
      <w:tr w:rsidR="00990B14" w14:paraId="3F407057" w14:textId="77777777">
        <w:trPr>
          <w:cantSplit/>
          <w:jc w:val="center"/>
        </w:trPr>
        <w:tc>
          <w:tcPr>
            <w:tcW w:w="3133" w:type="dxa"/>
            <w:gridSpan w:val="4"/>
            <w:vMerge w:val="restart"/>
            <w:shd w:val="clear" w:color="auto" w:fill="D9E2F3"/>
            <w:vAlign w:val="center"/>
          </w:tcPr>
          <w:p w14:paraId="7207CEEF" w14:textId="77777777" w:rsidR="00990B14" w:rsidRDefault="00000000">
            <w:pPr>
              <w:spacing w:before="20" w:after="20"/>
              <w:jc w:val="both"/>
            </w:pPr>
            <w:r>
              <w:rPr>
                <w:sz w:val="18"/>
                <w:szCs w:val="18"/>
              </w:rPr>
              <w:t>1. Analiza la doble imposición internacional de un contribuyente, aplicando los criterios de sujeción y la noción de establecimiento permanente.</w:t>
            </w:r>
          </w:p>
        </w:tc>
        <w:tc>
          <w:tcPr>
            <w:tcW w:w="3135" w:type="dxa"/>
            <w:gridSpan w:val="5"/>
            <w:shd w:val="clear" w:color="auto" w:fill="D9E2F3"/>
            <w:vAlign w:val="center"/>
          </w:tcPr>
          <w:p w14:paraId="309A8AD1" w14:textId="77777777" w:rsidR="00990B14" w:rsidRDefault="00000000">
            <w:pPr>
              <w:spacing w:before="20" w:after="20"/>
              <w:jc w:val="both"/>
            </w:pPr>
            <w:r>
              <w:rPr>
                <w:sz w:val="18"/>
                <w:szCs w:val="18"/>
              </w:rPr>
              <w:t>1.1 Analiza en aula un caso de doble imposición internacional.</w:t>
            </w:r>
          </w:p>
        </w:tc>
        <w:tc>
          <w:tcPr>
            <w:tcW w:w="3137" w:type="dxa"/>
            <w:gridSpan w:val="4"/>
            <w:shd w:val="clear" w:color="auto" w:fill="D9E2F3"/>
            <w:vAlign w:val="center"/>
          </w:tcPr>
          <w:p w14:paraId="33CC4A05" w14:textId="77777777" w:rsidR="00990B14" w:rsidRDefault="00000000">
            <w:pPr>
              <w:spacing w:before="20" w:after="20"/>
              <w:jc w:val="both"/>
            </w:pPr>
            <w:r>
              <w:rPr>
                <w:b/>
                <w:bCs/>
                <w:sz w:val="18"/>
                <w:szCs w:val="18"/>
              </w:rPr>
              <w:t xml:space="preserve">Producto 13: </w:t>
            </w:r>
            <w:r>
              <w:rPr>
                <w:sz w:val="18"/>
                <w:szCs w:val="18"/>
              </w:rPr>
              <w:t>Informe de un caso de doble imposición internacional.</w:t>
            </w:r>
          </w:p>
        </w:tc>
      </w:tr>
      <w:tr w:rsidR="00990B14" w14:paraId="55DAD222" w14:textId="77777777">
        <w:trPr>
          <w:cantSplit/>
          <w:jc w:val="center"/>
        </w:trPr>
        <w:tc>
          <w:tcPr>
            <w:tcW w:w="3133" w:type="dxa"/>
            <w:gridSpan w:val="4"/>
            <w:vMerge/>
            <w:shd w:val="clear" w:color="auto" w:fill="D9E2F3"/>
            <w:vAlign w:val="center"/>
          </w:tcPr>
          <w:p w14:paraId="2622A13C" w14:textId="77777777" w:rsidR="00990B14" w:rsidRDefault="00990B14">
            <w:pPr>
              <w:spacing w:before="20" w:after="20"/>
            </w:pPr>
          </w:p>
        </w:tc>
        <w:tc>
          <w:tcPr>
            <w:tcW w:w="3135" w:type="dxa"/>
            <w:gridSpan w:val="5"/>
            <w:shd w:val="clear" w:color="auto" w:fill="D9E2F3"/>
            <w:vAlign w:val="center"/>
          </w:tcPr>
          <w:p w14:paraId="1990364B" w14:textId="77777777" w:rsidR="00990B14" w:rsidRDefault="00000000">
            <w:pPr>
              <w:spacing w:before="20" w:after="20"/>
              <w:jc w:val="both"/>
            </w:pPr>
            <w:r>
              <w:rPr>
                <w:sz w:val="18"/>
                <w:szCs w:val="18"/>
              </w:rPr>
              <w:t>1.2 Explica ante el curso las nociones de precios de transferencia y de erosión de la base imponible en empresas con operaciones vinculadas.</w:t>
            </w:r>
          </w:p>
        </w:tc>
        <w:tc>
          <w:tcPr>
            <w:tcW w:w="3137" w:type="dxa"/>
            <w:gridSpan w:val="4"/>
            <w:shd w:val="clear" w:color="auto" w:fill="D9E2F3"/>
            <w:vAlign w:val="center"/>
          </w:tcPr>
          <w:p w14:paraId="4C7F9743" w14:textId="77777777" w:rsidR="00990B14" w:rsidRDefault="00000000">
            <w:pPr>
              <w:spacing w:before="20" w:after="20"/>
              <w:jc w:val="both"/>
            </w:pPr>
            <w:r>
              <w:rPr>
                <w:b/>
                <w:bCs/>
                <w:sz w:val="18"/>
                <w:szCs w:val="18"/>
              </w:rPr>
              <w:t xml:space="preserve">Producto 14: </w:t>
            </w:r>
            <w:r>
              <w:rPr>
                <w:sz w:val="18"/>
                <w:szCs w:val="18"/>
              </w:rPr>
              <w:t>Esquema de los riesgos de erosión de la base imponible y de precios de transferencia.</w:t>
            </w:r>
          </w:p>
        </w:tc>
      </w:tr>
      <w:tr w:rsidR="00990B14" w14:paraId="148ABD9D" w14:textId="77777777">
        <w:trPr>
          <w:cantSplit/>
          <w:jc w:val="center"/>
        </w:trPr>
        <w:tc>
          <w:tcPr>
            <w:tcW w:w="3133" w:type="dxa"/>
            <w:gridSpan w:val="4"/>
            <w:vMerge w:val="restart"/>
            <w:shd w:val="clear" w:color="auto" w:fill="D9E2F3"/>
            <w:vAlign w:val="center"/>
          </w:tcPr>
          <w:p w14:paraId="46BC58AA" w14:textId="77777777" w:rsidR="00990B14" w:rsidRDefault="00000000">
            <w:pPr>
              <w:spacing w:before="20" w:after="20"/>
              <w:jc w:val="both"/>
            </w:pPr>
            <w:r>
              <w:rPr>
                <w:sz w:val="18"/>
                <w:szCs w:val="18"/>
              </w:rPr>
              <w:t>2. Aplica los métodos unilaterales y bilaterales para evitar la doble imposición, evaluando el efecto de un convenio sobre la carga tributaria de una operación internacional.</w:t>
            </w:r>
          </w:p>
        </w:tc>
        <w:tc>
          <w:tcPr>
            <w:tcW w:w="3135" w:type="dxa"/>
            <w:gridSpan w:val="5"/>
            <w:shd w:val="clear" w:color="auto" w:fill="D9E2F3"/>
            <w:vAlign w:val="center"/>
          </w:tcPr>
          <w:p w14:paraId="42A24454" w14:textId="77777777" w:rsidR="00990B14" w:rsidRDefault="00000000">
            <w:pPr>
              <w:spacing w:before="20" w:after="20"/>
              <w:jc w:val="both"/>
            </w:pPr>
            <w:r>
              <w:rPr>
                <w:sz w:val="18"/>
                <w:szCs w:val="18"/>
              </w:rPr>
              <w:t>2.1 Resuelve en equipo un caso con los métodos de exención y de imputación para evitar la doble imposición.</w:t>
            </w:r>
          </w:p>
        </w:tc>
        <w:tc>
          <w:tcPr>
            <w:tcW w:w="3137" w:type="dxa"/>
            <w:gridSpan w:val="4"/>
            <w:shd w:val="clear" w:color="auto" w:fill="D9E2F3"/>
            <w:vAlign w:val="center"/>
          </w:tcPr>
          <w:p w14:paraId="66242ACC" w14:textId="77777777" w:rsidR="00990B14" w:rsidRDefault="00000000">
            <w:pPr>
              <w:spacing w:before="20" w:after="20"/>
              <w:jc w:val="both"/>
            </w:pPr>
            <w:r>
              <w:rPr>
                <w:b/>
                <w:bCs/>
                <w:sz w:val="18"/>
                <w:szCs w:val="18"/>
              </w:rPr>
              <w:t xml:space="preserve">Producto 15: </w:t>
            </w:r>
            <w:r>
              <w:rPr>
                <w:sz w:val="18"/>
                <w:szCs w:val="18"/>
              </w:rPr>
              <w:t>Informe sobre la aplicación de los métodos para evitar la doble imposición.</w:t>
            </w:r>
          </w:p>
        </w:tc>
      </w:tr>
      <w:tr w:rsidR="00990B14" w14:paraId="1AB8EB35" w14:textId="77777777">
        <w:trPr>
          <w:cantSplit/>
          <w:jc w:val="center"/>
        </w:trPr>
        <w:tc>
          <w:tcPr>
            <w:tcW w:w="3133" w:type="dxa"/>
            <w:gridSpan w:val="4"/>
            <w:vMerge/>
            <w:shd w:val="clear" w:color="auto" w:fill="D9E2F3"/>
            <w:vAlign w:val="center"/>
          </w:tcPr>
          <w:p w14:paraId="2998D9EC" w14:textId="77777777" w:rsidR="00990B14" w:rsidRDefault="00990B14">
            <w:pPr>
              <w:spacing w:before="20" w:after="20"/>
            </w:pPr>
          </w:p>
        </w:tc>
        <w:tc>
          <w:tcPr>
            <w:tcW w:w="3135" w:type="dxa"/>
            <w:gridSpan w:val="5"/>
            <w:shd w:val="clear" w:color="auto" w:fill="D9E2F3"/>
            <w:vAlign w:val="center"/>
          </w:tcPr>
          <w:p w14:paraId="67ECFAD0" w14:textId="77777777" w:rsidR="00990B14" w:rsidRDefault="00000000">
            <w:pPr>
              <w:spacing w:before="20" w:after="20"/>
              <w:jc w:val="both"/>
            </w:pPr>
            <w:r>
              <w:rPr>
                <w:sz w:val="18"/>
                <w:szCs w:val="18"/>
              </w:rPr>
              <w:t>2.2 Compara en aula el modelo de convenio de la OCDE, el modelo de Naciones Unidas y la Decisión 578 de la Comunidad Andina.</w:t>
            </w:r>
          </w:p>
        </w:tc>
        <w:tc>
          <w:tcPr>
            <w:tcW w:w="3137" w:type="dxa"/>
            <w:gridSpan w:val="4"/>
            <w:shd w:val="clear" w:color="auto" w:fill="D9E2F3"/>
            <w:vAlign w:val="center"/>
          </w:tcPr>
          <w:p w14:paraId="095EF3BA" w14:textId="77777777" w:rsidR="00990B14" w:rsidRDefault="00000000">
            <w:pPr>
              <w:spacing w:before="20" w:after="20"/>
              <w:jc w:val="both"/>
            </w:pPr>
            <w:r>
              <w:rPr>
                <w:b/>
                <w:bCs/>
                <w:sz w:val="18"/>
                <w:szCs w:val="18"/>
              </w:rPr>
              <w:t xml:space="preserve">Producto 16: </w:t>
            </w:r>
            <w:r>
              <w:rPr>
                <w:sz w:val="18"/>
                <w:szCs w:val="18"/>
              </w:rPr>
              <w:t>Cuadro comparativo de los modelos de convenios de doble imposición.</w:t>
            </w:r>
          </w:p>
        </w:tc>
      </w:tr>
      <w:tr w:rsidR="00990B14" w14:paraId="59E35542" w14:textId="77777777">
        <w:trPr>
          <w:cantSplit/>
          <w:jc w:val="center"/>
        </w:trPr>
        <w:tc>
          <w:tcPr>
            <w:tcW w:w="9405" w:type="dxa"/>
            <w:gridSpan w:val="13"/>
            <w:shd w:val="clear" w:color="auto" w:fill="4472C4"/>
            <w:vAlign w:val="center"/>
          </w:tcPr>
          <w:p w14:paraId="4324126A" w14:textId="77777777" w:rsidR="00990B14" w:rsidRDefault="00000000">
            <w:pPr>
              <w:keepNext/>
              <w:spacing w:before="20" w:after="20"/>
              <w:jc w:val="center"/>
            </w:pPr>
            <w:r>
              <w:rPr>
                <w:b/>
                <w:bCs/>
                <w:i/>
                <w:iCs/>
                <w:color w:val="FFFFFF"/>
                <w:sz w:val="18"/>
                <w:szCs w:val="18"/>
              </w:rPr>
              <w:t>Evidencias de conocimiento</w:t>
            </w:r>
          </w:p>
        </w:tc>
      </w:tr>
      <w:tr w:rsidR="00990B14" w14:paraId="2F22AFE5" w14:textId="77777777">
        <w:trPr>
          <w:cantSplit/>
          <w:jc w:val="center"/>
        </w:trPr>
        <w:tc>
          <w:tcPr>
            <w:tcW w:w="2349" w:type="dxa"/>
            <w:gridSpan w:val="2"/>
            <w:shd w:val="clear" w:color="auto" w:fill="4472C4"/>
            <w:vAlign w:val="center"/>
          </w:tcPr>
          <w:p w14:paraId="014A9C46"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2659CDFF" w14:textId="77777777" w:rsidR="00990B14" w:rsidRDefault="00000000">
            <w:pPr>
              <w:keepNext/>
              <w:spacing w:before="20" w:after="20"/>
              <w:jc w:val="both"/>
            </w:pPr>
            <w:r>
              <w:rPr>
                <w:b/>
                <w:bCs/>
                <w:i/>
                <w:iCs/>
                <w:color w:val="FFFFFF"/>
                <w:sz w:val="18"/>
                <w:szCs w:val="18"/>
              </w:rPr>
              <w:t>Contenidos</w:t>
            </w:r>
          </w:p>
          <w:p w14:paraId="5E407BB0"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6AD6024A" w14:textId="77777777" w:rsidR="00990B14" w:rsidRDefault="00000000">
            <w:pPr>
              <w:keepNext/>
              <w:spacing w:before="20" w:after="20"/>
              <w:jc w:val="center"/>
            </w:pPr>
            <w:r>
              <w:rPr>
                <w:b/>
                <w:bCs/>
                <w:i/>
                <w:iCs/>
                <w:color w:val="FFFFFF"/>
                <w:sz w:val="18"/>
                <w:szCs w:val="18"/>
              </w:rPr>
              <w:t>Conocimientos circunstanciales</w:t>
            </w:r>
          </w:p>
        </w:tc>
      </w:tr>
      <w:tr w:rsidR="00990B14" w14:paraId="4E30898B" w14:textId="77777777">
        <w:trPr>
          <w:jc w:val="center"/>
        </w:trPr>
        <w:tc>
          <w:tcPr>
            <w:tcW w:w="2349" w:type="dxa"/>
            <w:gridSpan w:val="2"/>
            <w:shd w:val="clear" w:color="auto" w:fill="D9E2F3"/>
          </w:tcPr>
          <w:p w14:paraId="60C2A3F4" w14:textId="77777777" w:rsidR="00990B14" w:rsidRDefault="00000000">
            <w:pPr>
              <w:spacing w:before="20" w:after="40"/>
              <w:jc w:val="both"/>
            </w:pPr>
            <w:r>
              <w:rPr>
                <w:sz w:val="18"/>
                <w:szCs w:val="18"/>
              </w:rPr>
              <w:t>Tema 13: Derecho Tributario Internacional</w:t>
            </w:r>
          </w:p>
        </w:tc>
        <w:tc>
          <w:tcPr>
            <w:tcW w:w="4304" w:type="dxa"/>
            <w:gridSpan w:val="8"/>
            <w:shd w:val="clear" w:color="auto" w:fill="D9E2F3"/>
          </w:tcPr>
          <w:p w14:paraId="2618B796" w14:textId="77777777" w:rsidR="00990B14" w:rsidRDefault="00000000">
            <w:pPr>
              <w:spacing w:after="40"/>
              <w:jc w:val="both"/>
            </w:pPr>
            <w:r>
              <w:rPr>
                <w:sz w:val="18"/>
                <w:szCs w:val="18"/>
              </w:rPr>
              <w:t>Concepto, contenido y fuentes del derecho tributario internacional. (C)</w:t>
            </w:r>
          </w:p>
          <w:p w14:paraId="1D47B735" w14:textId="77777777" w:rsidR="00990B14" w:rsidRDefault="00000000">
            <w:pPr>
              <w:spacing w:after="40"/>
              <w:jc w:val="both"/>
            </w:pPr>
            <w:r>
              <w:rPr>
                <w:sz w:val="18"/>
                <w:szCs w:val="18"/>
              </w:rPr>
              <w:t>Doble imposición internacional: concepto y criterios de sujeción de residencia o renta mundial, de nacionalidad y fuente. (C)</w:t>
            </w:r>
          </w:p>
          <w:p w14:paraId="634C2B31" w14:textId="77777777" w:rsidR="00990B14" w:rsidRDefault="00000000">
            <w:pPr>
              <w:spacing w:after="40"/>
              <w:jc w:val="both"/>
            </w:pPr>
            <w:r>
              <w:rPr>
                <w:sz w:val="18"/>
                <w:szCs w:val="18"/>
              </w:rPr>
              <w:t>Clases de doble imposición internacional. (C)</w:t>
            </w:r>
          </w:p>
          <w:p w14:paraId="7C21E6D1" w14:textId="77777777" w:rsidR="00990B14" w:rsidRDefault="00000000">
            <w:pPr>
              <w:spacing w:after="40"/>
              <w:jc w:val="both"/>
            </w:pPr>
            <w:r>
              <w:rPr>
                <w:sz w:val="18"/>
                <w:szCs w:val="18"/>
              </w:rPr>
              <w:t>Métodos unilaterales y métodos bilaterales para evitar la doble imposición. (C)</w:t>
            </w:r>
          </w:p>
          <w:p w14:paraId="3BA0CEF8" w14:textId="77777777" w:rsidR="00990B14" w:rsidRDefault="00000000">
            <w:pPr>
              <w:spacing w:after="40"/>
              <w:jc w:val="both"/>
            </w:pPr>
            <w:r>
              <w:rPr>
                <w:sz w:val="18"/>
                <w:szCs w:val="18"/>
              </w:rPr>
              <w:t>Convenios de doble imposición y sus principales modelos: modelo de la Organización para la Cooperación y el Desarrollo Económicos, Naciones Unidas y Comunidad Andina de Naciones. (C)</w:t>
            </w:r>
          </w:p>
          <w:p w14:paraId="2330E16D" w14:textId="77777777" w:rsidR="00990B14" w:rsidRDefault="00000000">
            <w:pPr>
              <w:spacing w:after="40"/>
              <w:jc w:val="both"/>
            </w:pPr>
            <w:r>
              <w:rPr>
                <w:sz w:val="18"/>
                <w:szCs w:val="18"/>
              </w:rPr>
              <w:t>Erosión de la base imponible y traslado de beneficios, y precios de transferencia. (C)</w:t>
            </w:r>
          </w:p>
        </w:tc>
        <w:tc>
          <w:tcPr>
            <w:tcW w:w="2752" w:type="dxa"/>
            <w:gridSpan w:val="3"/>
            <w:shd w:val="clear" w:color="auto" w:fill="D9E2F3"/>
          </w:tcPr>
          <w:p w14:paraId="2544EA91" w14:textId="77777777" w:rsidR="00990B14" w:rsidRDefault="00000000">
            <w:pPr>
              <w:numPr>
                <w:ilvl w:val="0"/>
                <w:numId w:val="139"/>
              </w:numPr>
              <w:spacing w:before="10" w:after="10"/>
              <w:jc w:val="both"/>
            </w:pPr>
            <w:r>
              <w:rPr>
                <w:sz w:val="18"/>
                <w:szCs w:val="18"/>
              </w:rPr>
              <w:t>Nociones de derecho internacional público y de la celebración de tratados.</w:t>
            </w:r>
          </w:p>
          <w:p w14:paraId="5FE77997" w14:textId="77777777" w:rsidR="00990B14" w:rsidRDefault="00000000">
            <w:pPr>
              <w:numPr>
                <w:ilvl w:val="0"/>
                <w:numId w:val="139"/>
              </w:numPr>
              <w:spacing w:before="10" w:after="10"/>
              <w:jc w:val="both"/>
            </w:pPr>
            <w:r>
              <w:rPr>
                <w:sz w:val="18"/>
                <w:szCs w:val="18"/>
              </w:rPr>
              <w:t>Nociones de la organización de los grupos empresariales multinacionales.</w:t>
            </w:r>
          </w:p>
        </w:tc>
      </w:tr>
      <w:tr w:rsidR="00990B14" w14:paraId="69055DE9" w14:textId="77777777">
        <w:trPr>
          <w:cantSplit/>
          <w:jc w:val="center"/>
        </w:trPr>
        <w:tc>
          <w:tcPr>
            <w:tcW w:w="9405" w:type="dxa"/>
            <w:gridSpan w:val="13"/>
            <w:shd w:val="clear" w:color="auto" w:fill="D9E2F3"/>
            <w:vAlign w:val="center"/>
          </w:tcPr>
          <w:p w14:paraId="371984B8" w14:textId="77777777" w:rsidR="00990B14" w:rsidRDefault="00000000">
            <w:pPr>
              <w:spacing w:before="20" w:after="20"/>
              <w:jc w:val="both"/>
            </w:pPr>
            <w:r>
              <w:rPr>
                <w:b/>
                <w:bCs/>
                <w:i/>
                <w:iCs/>
                <w:sz w:val="18"/>
                <w:szCs w:val="18"/>
              </w:rPr>
              <w:t xml:space="preserve">Elemento de competencia 5: </w:t>
            </w:r>
            <w:r>
              <w:rPr>
                <w:sz w:val="18"/>
                <w:szCs w:val="18"/>
              </w:rPr>
              <w:t>Describe la obligación tributaria aduanera, aplicando el régimen aduanero general y los regímenes aduaneros especiales.</w:t>
            </w:r>
          </w:p>
        </w:tc>
      </w:tr>
      <w:tr w:rsidR="00990B14" w14:paraId="67BF85EA" w14:textId="77777777">
        <w:trPr>
          <w:cantSplit/>
          <w:jc w:val="center"/>
        </w:trPr>
        <w:tc>
          <w:tcPr>
            <w:tcW w:w="3133" w:type="dxa"/>
            <w:gridSpan w:val="4"/>
            <w:shd w:val="clear" w:color="auto" w:fill="4472C4"/>
            <w:vAlign w:val="center"/>
          </w:tcPr>
          <w:p w14:paraId="0DF09009"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60D25B52"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01063F85" w14:textId="77777777" w:rsidR="00990B14" w:rsidRDefault="00000000">
            <w:pPr>
              <w:keepNext/>
              <w:spacing w:before="20" w:after="20"/>
              <w:jc w:val="center"/>
            </w:pPr>
            <w:r>
              <w:rPr>
                <w:b/>
                <w:bCs/>
                <w:i/>
                <w:iCs/>
                <w:color w:val="FFFFFF"/>
                <w:sz w:val="18"/>
                <w:szCs w:val="18"/>
              </w:rPr>
              <w:t>Evidencias de producto</w:t>
            </w:r>
          </w:p>
        </w:tc>
      </w:tr>
      <w:tr w:rsidR="00990B14" w14:paraId="347F4D3C" w14:textId="77777777">
        <w:trPr>
          <w:cantSplit/>
          <w:jc w:val="center"/>
        </w:trPr>
        <w:tc>
          <w:tcPr>
            <w:tcW w:w="3133" w:type="dxa"/>
            <w:gridSpan w:val="4"/>
            <w:vMerge w:val="restart"/>
            <w:shd w:val="clear" w:color="auto" w:fill="D9E2F3"/>
            <w:vAlign w:val="center"/>
          </w:tcPr>
          <w:p w14:paraId="39814F7B" w14:textId="77777777" w:rsidR="00990B14" w:rsidRDefault="00000000">
            <w:pPr>
              <w:spacing w:before="20" w:after="20"/>
              <w:jc w:val="both"/>
            </w:pPr>
            <w:r>
              <w:rPr>
                <w:sz w:val="18"/>
                <w:szCs w:val="18"/>
              </w:rPr>
              <w:t>1. Determina la obligación tributaria aduanera.</w:t>
            </w:r>
          </w:p>
        </w:tc>
        <w:tc>
          <w:tcPr>
            <w:tcW w:w="3135" w:type="dxa"/>
            <w:gridSpan w:val="5"/>
            <w:shd w:val="clear" w:color="auto" w:fill="D9E2F3"/>
            <w:vAlign w:val="center"/>
          </w:tcPr>
          <w:p w14:paraId="30D2EF16" w14:textId="77777777" w:rsidR="00990B14" w:rsidRDefault="00000000">
            <w:pPr>
              <w:spacing w:before="20" w:after="20"/>
              <w:jc w:val="both"/>
            </w:pPr>
            <w:r>
              <w:rPr>
                <w:sz w:val="18"/>
                <w:szCs w:val="18"/>
              </w:rPr>
              <w:t>1.1 Describe en aula las obligaciones tributarias aduaneras.</w:t>
            </w:r>
          </w:p>
        </w:tc>
        <w:tc>
          <w:tcPr>
            <w:tcW w:w="3137" w:type="dxa"/>
            <w:gridSpan w:val="4"/>
            <w:shd w:val="clear" w:color="auto" w:fill="D9E2F3"/>
            <w:vAlign w:val="center"/>
          </w:tcPr>
          <w:p w14:paraId="272AEAD2" w14:textId="77777777" w:rsidR="00990B14" w:rsidRDefault="00000000">
            <w:pPr>
              <w:spacing w:before="20" w:after="20"/>
              <w:jc w:val="both"/>
            </w:pPr>
            <w:r>
              <w:rPr>
                <w:b/>
                <w:bCs/>
                <w:sz w:val="18"/>
                <w:szCs w:val="18"/>
              </w:rPr>
              <w:t xml:space="preserve">Producto 17: </w:t>
            </w:r>
            <w:r>
              <w:rPr>
                <w:sz w:val="18"/>
                <w:szCs w:val="18"/>
              </w:rPr>
              <w:t>Cuadro de obligaciones tributarias aduaneras.</w:t>
            </w:r>
          </w:p>
        </w:tc>
      </w:tr>
      <w:tr w:rsidR="00990B14" w14:paraId="01F3DEB2" w14:textId="77777777">
        <w:trPr>
          <w:cantSplit/>
          <w:jc w:val="center"/>
        </w:trPr>
        <w:tc>
          <w:tcPr>
            <w:tcW w:w="3133" w:type="dxa"/>
            <w:gridSpan w:val="4"/>
            <w:vMerge/>
            <w:shd w:val="clear" w:color="auto" w:fill="D9E2F3"/>
            <w:vAlign w:val="center"/>
          </w:tcPr>
          <w:p w14:paraId="12C2D390" w14:textId="77777777" w:rsidR="00990B14" w:rsidRDefault="00990B14">
            <w:pPr>
              <w:spacing w:before="20" w:after="20"/>
            </w:pPr>
          </w:p>
        </w:tc>
        <w:tc>
          <w:tcPr>
            <w:tcW w:w="3135" w:type="dxa"/>
            <w:gridSpan w:val="5"/>
            <w:shd w:val="clear" w:color="auto" w:fill="D9E2F3"/>
            <w:vAlign w:val="center"/>
          </w:tcPr>
          <w:p w14:paraId="573AE9D8" w14:textId="77777777" w:rsidR="00990B14" w:rsidRDefault="00000000">
            <w:pPr>
              <w:spacing w:before="20" w:after="20"/>
              <w:jc w:val="both"/>
            </w:pPr>
            <w:r>
              <w:rPr>
                <w:sz w:val="18"/>
                <w:szCs w:val="18"/>
              </w:rPr>
              <w:t>1.2 Analiza la valoración aduanera y la duda razonable.</w:t>
            </w:r>
          </w:p>
        </w:tc>
        <w:tc>
          <w:tcPr>
            <w:tcW w:w="3137" w:type="dxa"/>
            <w:gridSpan w:val="4"/>
            <w:shd w:val="clear" w:color="auto" w:fill="D9E2F3"/>
            <w:vAlign w:val="center"/>
          </w:tcPr>
          <w:p w14:paraId="0A29D598" w14:textId="77777777" w:rsidR="00990B14" w:rsidRDefault="00000000">
            <w:pPr>
              <w:spacing w:before="20" w:after="20"/>
              <w:jc w:val="both"/>
            </w:pPr>
            <w:r>
              <w:rPr>
                <w:b/>
                <w:bCs/>
                <w:sz w:val="18"/>
                <w:szCs w:val="18"/>
              </w:rPr>
              <w:t xml:space="preserve">Producto 18: </w:t>
            </w:r>
            <w:r>
              <w:rPr>
                <w:sz w:val="18"/>
                <w:szCs w:val="18"/>
              </w:rPr>
              <w:t>Informe del análisis de valor en aduanas.</w:t>
            </w:r>
          </w:p>
        </w:tc>
      </w:tr>
      <w:tr w:rsidR="00990B14" w14:paraId="61A30C17" w14:textId="77777777">
        <w:trPr>
          <w:cantSplit/>
          <w:jc w:val="center"/>
        </w:trPr>
        <w:tc>
          <w:tcPr>
            <w:tcW w:w="3133" w:type="dxa"/>
            <w:gridSpan w:val="4"/>
            <w:vMerge w:val="restart"/>
            <w:shd w:val="clear" w:color="auto" w:fill="D9E2F3"/>
            <w:vAlign w:val="center"/>
          </w:tcPr>
          <w:p w14:paraId="03B3082B" w14:textId="77777777" w:rsidR="00990B14" w:rsidRDefault="00000000">
            <w:pPr>
              <w:spacing w:before="20" w:after="20"/>
              <w:jc w:val="both"/>
            </w:pPr>
            <w:r>
              <w:rPr>
                <w:sz w:val="18"/>
                <w:szCs w:val="18"/>
              </w:rPr>
              <w:t>2. Aplica el régimen aduanero general y los regímenes aduaneros especiales a casos de importación y exportación, evaluando los riesgos aduaneros del operador.</w:t>
            </w:r>
          </w:p>
        </w:tc>
        <w:tc>
          <w:tcPr>
            <w:tcW w:w="3135" w:type="dxa"/>
            <w:gridSpan w:val="5"/>
            <w:shd w:val="clear" w:color="auto" w:fill="D9E2F3"/>
            <w:vAlign w:val="center"/>
          </w:tcPr>
          <w:p w14:paraId="064D0144" w14:textId="77777777" w:rsidR="00990B14" w:rsidRDefault="00000000">
            <w:pPr>
              <w:spacing w:before="20" w:after="20"/>
              <w:jc w:val="both"/>
            </w:pPr>
            <w:r>
              <w:rPr>
                <w:sz w:val="18"/>
                <w:szCs w:val="18"/>
              </w:rPr>
              <w:t>2.1 Desarrolla en equipo el procedimiento de importación o de exportación definitiva de una mercancía con sus declaraciones.</w:t>
            </w:r>
          </w:p>
        </w:tc>
        <w:tc>
          <w:tcPr>
            <w:tcW w:w="3137" w:type="dxa"/>
            <w:gridSpan w:val="4"/>
            <w:shd w:val="clear" w:color="auto" w:fill="D9E2F3"/>
            <w:vAlign w:val="center"/>
          </w:tcPr>
          <w:p w14:paraId="5336352E" w14:textId="77777777" w:rsidR="00990B14" w:rsidRDefault="00000000">
            <w:pPr>
              <w:spacing w:before="20" w:after="20"/>
              <w:jc w:val="both"/>
            </w:pPr>
            <w:r>
              <w:rPr>
                <w:b/>
                <w:bCs/>
                <w:sz w:val="18"/>
                <w:szCs w:val="18"/>
              </w:rPr>
              <w:t xml:space="preserve">Producto 19: </w:t>
            </w:r>
            <w:r>
              <w:rPr>
                <w:sz w:val="18"/>
                <w:szCs w:val="18"/>
              </w:rPr>
              <w:t>Declaración de importación o de exportación de un caso práctico.</w:t>
            </w:r>
          </w:p>
        </w:tc>
      </w:tr>
      <w:tr w:rsidR="00990B14" w14:paraId="212B0539" w14:textId="77777777">
        <w:trPr>
          <w:cantSplit/>
          <w:jc w:val="center"/>
        </w:trPr>
        <w:tc>
          <w:tcPr>
            <w:tcW w:w="3133" w:type="dxa"/>
            <w:gridSpan w:val="4"/>
            <w:vMerge/>
            <w:shd w:val="clear" w:color="auto" w:fill="D9E2F3"/>
            <w:vAlign w:val="center"/>
          </w:tcPr>
          <w:p w14:paraId="4713B442" w14:textId="77777777" w:rsidR="00990B14" w:rsidRDefault="00990B14">
            <w:pPr>
              <w:spacing w:before="20" w:after="20"/>
            </w:pPr>
          </w:p>
        </w:tc>
        <w:tc>
          <w:tcPr>
            <w:tcW w:w="3135" w:type="dxa"/>
            <w:gridSpan w:val="5"/>
            <w:shd w:val="clear" w:color="auto" w:fill="D9E2F3"/>
            <w:vAlign w:val="center"/>
          </w:tcPr>
          <w:p w14:paraId="59F72303" w14:textId="77777777" w:rsidR="00990B14" w:rsidRDefault="00000000">
            <w:pPr>
              <w:spacing w:before="20" w:after="20"/>
              <w:jc w:val="both"/>
            </w:pPr>
            <w:r>
              <w:rPr>
                <w:sz w:val="18"/>
                <w:szCs w:val="18"/>
              </w:rPr>
              <w:t>2.2 Analiza ante el curso un régimen aduanero especial aplicado a una empresa boliviana.</w:t>
            </w:r>
          </w:p>
        </w:tc>
        <w:tc>
          <w:tcPr>
            <w:tcW w:w="3137" w:type="dxa"/>
            <w:gridSpan w:val="4"/>
            <w:shd w:val="clear" w:color="auto" w:fill="D9E2F3"/>
            <w:vAlign w:val="center"/>
          </w:tcPr>
          <w:p w14:paraId="79071E86" w14:textId="77777777" w:rsidR="00990B14" w:rsidRDefault="00000000">
            <w:pPr>
              <w:spacing w:before="20" w:after="20"/>
              <w:jc w:val="both"/>
            </w:pPr>
            <w:r>
              <w:rPr>
                <w:b/>
                <w:bCs/>
                <w:sz w:val="18"/>
                <w:szCs w:val="18"/>
              </w:rPr>
              <w:t xml:space="preserve">Producto 20: </w:t>
            </w:r>
            <w:r>
              <w:rPr>
                <w:sz w:val="18"/>
                <w:szCs w:val="18"/>
              </w:rPr>
              <w:t>Informe de aplicación de un régimen aduanero especial.</w:t>
            </w:r>
          </w:p>
        </w:tc>
      </w:tr>
      <w:tr w:rsidR="00990B14" w14:paraId="2662571A" w14:textId="77777777">
        <w:trPr>
          <w:cantSplit/>
          <w:jc w:val="center"/>
        </w:trPr>
        <w:tc>
          <w:tcPr>
            <w:tcW w:w="9405" w:type="dxa"/>
            <w:gridSpan w:val="13"/>
            <w:shd w:val="clear" w:color="auto" w:fill="4472C4"/>
            <w:vAlign w:val="center"/>
          </w:tcPr>
          <w:p w14:paraId="0A743001" w14:textId="77777777" w:rsidR="00990B14" w:rsidRDefault="00000000">
            <w:pPr>
              <w:keepNext/>
              <w:spacing w:before="20" w:after="20"/>
              <w:jc w:val="center"/>
            </w:pPr>
            <w:r>
              <w:rPr>
                <w:b/>
                <w:bCs/>
                <w:i/>
                <w:iCs/>
                <w:color w:val="FFFFFF"/>
                <w:sz w:val="18"/>
                <w:szCs w:val="18"/>
              </w:rPr>
              <w:t>Evidencias de conocimiento</w:t>
            </w:r>
          </w:p>
        </w:tc>
      </w:tr>
      <w:tr w:rsidR="00990B14" w14:paraId="6A6A777C" w14:textId="77777777">
        <w:trPr>
          <w:cantSplit/>
          <w:jc w:val="center"/>
        </w:trPr>
        <w:tc>
          <w:tcPr>
            <w:tcW w:w="2349" w:type="dxa"/>
            <w:gridSpan w:val="2"/>
            <w:shd w:val="clear" w:color="auto" w:fill="4472C4"/>
            <w:vAlign w:val="center"/>
          </w:tcPr>
          <w:p w14:paraId="25B457E3"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129C7855" w14:textId="77777777" w:rsidR="00990B14" w:rsidRDefault="00000000">
            <w:pPr>
              <w:keepNext/>
              <w:spacing w:before="20" w:after="20"/>
              <w:jc w:val="both"/>
            </w:pPr>
            <w:r>
              <w:rPr>
                <w:b/>
                <w:bCs/>
                <w:i/>
                <w:iCs/>
                <w:color w:val="FFFFFF"/>
                <w:sz w:val="18"/>
                <w:szCs w:val="18"/>
              </w:rPr>
              <w:t>Contenidos</w:t>
            </w:r>
          </w:p>
          <w:p w14:paraId="17C118B1"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65DD0089" w14:textId="77777777" w:rsidR="00990B14" w:rsidRDefault="00000000">
            <w:pPr>
              <w:keepNext/>
              <w:spacing w:before="20" w:after="20"/>
              <w:jc w:val="center"/>
            </w:pPr>
            <w:r>
              <w:rPr>
                <w:b/>
                <w:bCs/>
                <w:i/>
                <w:iCs/>
                <w:color w:val="FFFFFF"/>
                <w:sz w:val="18"/>
                <w:szCs w:val="18"/>
              </w:rPr>
              <w:t>Conocimientos circunstanciales</w:t>
            </w:r>
          </w:p>
        </w:tc>
      </w:tr>
      <w:tr w:rsidR="00990B14" w14:paraId="6E0F4C35" w14:textId="77777777">
        <w:trPr>
          <w:jc w:val="center"/>
        </w:trPr>
        <w:tc>
          <w:tcPr>
            <w:tcW w:w="2349" w:type="dxa"/>
            <w:gridSpan w:val="2"/>
            <w:shd w:val="clear" w:color="auto" w:fill="D9E2F3"/>
          </w:tcPr>
          <w:p w14:paraId="1176C995" w14:textId="77777777" w:rsidR="00990B14" w:rsidRDefault="00000000">
            <w:pPr>
              <w:spacing w:before="20" w:after="40"/>
              <w:jc w:val="both"/>
            </w:pPr>
            <w:r>
              <w:rPr>
                <w:sz w:val="18"/>
                <w:szCs w:val="18"/>
              </w:rPr>
              <w:t>Tema 14: Nociones generales de derecho aduanero</w:t>
            </w:r>
          </w:p>
          <w:p w14:paraId="1520246F" w14:textId="77777777" w:rsidR="00990B14" w:rsidRDefault="00000000">
            <w:pPr>
              <w:spacing w:before="20" w:after="40"/>
              <w:jc w:val="both"/>
            </w:pPr>
            <w:r>
              <w:rPr>
                <w:sz w:val="18"/>
                <w:szCs w:val="18"/>
              </w:rPr>
              <w:t>Tema 15: Obligación tributaria aduanera</w:t>
            </w:r>
          </w:p>
          <w:p w14:paraId="0D227EDC" w14:textId="77777777" w:rsidR="00990B14" w:rsidRDefault="00000000">
            <w:pPr>
              <w:spacing w:before="20" w:after="40"/>
              <w:jc w:val="both"/>
            </w:pPr>
            <w:r>
              <w:rPr>
                <w:sz w:val="18"/>
                <w:szCs w:val="18"/>
              </w:rPr>
              <w:t>Tema 16: Régimen aduanero general</w:t>
            </w:r>
          </w:p>
          <w:p w14:paraId="7F696ACD" w14:textId="77777777" w:rsidR="00990B14" w:rsidRDefault="00000000">
            <w:pPr>
              <w:spacing w:before="20" w:after="40"/>
              <w:jc w:val="both"/>
            </w:pPr>
            <w:r>
              <w:rPr>
                <w:sz w:val="18"/>
                <w:szCs w:val="18"/>
              </w:rPr>
              <w:t>Tema 17: Regímenes aduaneros de importación y exportación</w:t>
            </w:r>
          </w:p>
          <w:p w14:paraId="0A33331C" w14:textId="77777777" w:rsidR="00990B14" w:rsidRDefault="00000000">
            <w:pPr>
              <w:spacing w:before="20" w:after="40"/>
              <w:jc w:val="both"/>
            </w:pPr>
            <w:r>
              <w:rPr>
                <w:sz w:val="18"/>
                <w:szCs w:val="18"/>
              </w:rPr>
              <w:t>Tema 18: Regímenes aduaneros especiales</w:t>
            </w:r>
          </w:p>
        </w:tc>
        <w:tc>
          <w:tcPr>
            <w:tcW w:w="4304" w:type="dxa"/>
            <w:gridSpan w:val="8"/>
            <w:shd w:val="clear" w:color="auto" w:fill="D9E2F3"/>
          </w:tcPr>
          <w:p w14:paraId="693C7DBB" w14:textId="77777777" w:rsidR="00990B14" w:rsidRDefault="00000000">
            <w:pPr>
              <w:spacing w:after="40"/>
              <w:jc w:val="both"/>
            </w:pPr>
            <w:r>
              <w:rPr>
                <w:sz w:val="18"/>
                <w:szCs w:val="18"/>
              </w:rPr>
              <w:t>Derecho aduanero: concepto, características y contenido; la Aduana y las funciones de la Aduana Nacional. (C)</w:t>
            </w:r>
          </w:p>
          <w:p w14:paraId="50B0507D" w14:textId="77777777" w:rsidR="00990B14" w:rsidRDefault="00000000">
            <w:pPr>
              <w:spacing w:after="40"/>
              <w:jc w:val="both"/>
            </w:pPr>
            <w:r>
              <w:rPr>
                <w:sz w:val="18"/>
                <w:szCs w:val="18"/>
              </w:rPr>
              <w:t>Administración aduanera y auxiliares de la función pública aduanera. (C)</w:t>
            </w:r>
          </w:p>
          <w:p w14:paraId="170CB849" w14:textId="77777777" w:rsidR="00990B14" w:rsidRDefault="00000000">
            <w:pPr>
              <w:spacing w:after="40"/>
              <w:jc w:val="both"/>
            </w:pPr>
            <w:r>
              <w:rPr>
                <w:sz w:val="18"/>
                <w:szCs w:val="18"/>
              </w:rPr>
              <w:t>Obligación tributaria aduanera: relación jurídico tributaria aduanera, hecho generador, base gravable y métodos de valoración; duda razonable. (P)</w:t>
            </w:r>
          </w:p>
          <w:p w14:paraId="5E067912" w14:textId="77777777" w:rsidR="00990B14" w:rsidRDefault="00000000">
            <w:pPr>
              <w:spacing w:after="40"/>
              <w:jc w:val="both"/>
            </w:pPr>
            <w:r>
              <w:rPr>
                <w:sz w:val="18"/>
                <w:szCs w:val="18"/>
              </w:rPr>
              <w:t>Tarifa o alícuota y clases de obligaciones aduaneras; sujetos de las obligaciones aduaneras. (C)</w:t>
            </w:r>
          </w:p>
          <w:p w14:paraId="395F9C5A" w14:textId="77777777" w:rsidR="00990B14" w:rsidRDefault="00000000">
            <w:pPr>
              <w:spacing w:after="40"/>
              <w:jc w:val="both"/>
            </w:pPr>
            <w:r>
              <w:rPr>
                <w:sz w:val="18"/>
                <w:szCs w:val="18"/>
              </w:rPr>
              <w:t>Tributos aduaneros: Gravamen Arancelario, Impuesto al Valor Agregado e Impuesto al Consumo Específico; determinación de la obligación tributaria aduanera. (P)</w:t>
            </w:r>
          </w:p>
          <w:p w14:paraId="23FE095B" w14:textId="77777777" w:rsidR="00990B14" w:rsidRDefault="00000000">
            <w:pPr>
              <w:spacing w:after="40"/>
              <w:jc w:val="both"/>
            </w:pPr>
            <w:r>
              <w:rPr>
                <w:sz w:val="18"/>
                <w:szCs w:val="18"/>
              </w:rPr>
              <w:t>El transportador internacional y las formalidades aduaneras previas a la entrega de mercadería; entrega de mercancías ante la administración aduanera. (C)</w:t>
            </w:r>
          </w:p>
          <w:p w14:paraId="63B9A7AC" w14:textId="77777777" w:rsidR="00990B14" w:rsidRDefault="00000000">
            <w:pPr>
              <w:spacing w:after="40"/>
              <w:jc w:val="both"/>
            </w:pPr>
            <w:r>
              <w:rPr>
                <w:sz w:val="18"/>
                <w:szCs w:val="18"/>
              </w:rPr>
              <w:t>Ingreso y salida de los medios y unidades de transporte de uso comercial; despacho aduanero y sus modalidades: general, anticipado, inmediato, parcial, de menor cuantía y de destinos especiales. (C)</w:t>
            </w:r>
          </w:p>
          <w:p w14:paraId="6462537D" w14:textId="77777777" w:rsidR="00990B14" w:rsidRDefault="00000000">
            <w:pPr>
              <w:spacing w:after="40"/>
              <w:jc w:val="both"/>
            </w:pPr>
            <w:r>
              <w:rPr>
                <w:sz w:val="18"/>
                <w:szCs w:val="18"/>
              </w:rPr>
              <w:t>Despacho aduanero de importación por cuenta propia. (C)</w:t>
            </w:r>
          </w:p>
          <w:p w14:paraId="2B29D2BB" w14:textId="77777777" w:rsidR="00990B14" w:rsidRDefault="00000000">
            <w:pPr>
              <w:spacing w:after="40"/>
              <w:jc w:val="both"/>
            </w:pPr>
            <w:r>
              <w:rPr>
                <w:sz w:val="18"/>
                <w:szCs w:val="18"/>
              </w:rPr>
              <w:t>La importación y la importación para el consumo; procedimiento de importación de mercancías con la Declaración de Adquisición de Mercancía y la Declaración de Importación de Mercancía. (P)</w:t>
            </w:r>
          </w:p>
          <w:p w14:paraId="7E860E1F" w14:textId="77777777" w:rsidR="00990B14" w:rsidRDefault="00000000">
            <w:pPr>
              <w:spacing w:after="40"/>
              <w:jc w:val="both"/>
            </w:pPr>
            <w:r>
              <w:rPr>
                <w:sz w:val="18"/>
                <w:szCs w:val="18"/>
              </w:rPr>
              <w:t>Causales de rechazo y aceptación de la declaración de mercancías; autorización del levante de mercancías. (C)</w:t>
            </w:r>
          </w:p>
          <w:p w14:paraId="77D8B252" w14:textId="77777777" w:rsidR="00990B14" w:rsidRDefault="00000000">
            <w:pPr>
              <w:spacing w:after="40"/>
              <w:jc w:val="both"/>
            </w:pPr>
            <w:r>
              <w:rPr>
                <w:sz w:val="18"/>
                <w:szCs w:val="18"/>
              </w:rPr>
              <w:t>Exportación definitiva; Declaración de Exportación y requisitos para el despacho de exportación definitiva. (C)</w:t>
            </w:r>
          </w:p>
          <w:p w14:paraId="4F3DE5C1" w14:textId="77777777" w:rsidR="00990B14" w:rsidRDefault="00000000">
            <w:pPr>
              <w:spacing w:after="40"/>
              <w:jc w:val="both"/>
            </w:pPr>
            <w:r>
              <w:rPr>
                <w:sz w:val="18"/>
                <w:szCs w:val="18"/>
              </w:rPr>
              <w:t>Regímenes aduaneros especiales: tránsito aduanero, transbordo y depósito de aduana. (C)</w:t>
            </w:r>
          </w:p>
          <w:p w14:paraId="14A40198" w14:textId="77777777" w:rsidR="00990B14" w:rsidRDefault="00000000">
            <w:pPr>
              <w:spacing w:after="40"/>
              <w:jc w:val="both"/>
            </w:pPr>
            <w:r>
              <w:rPr>
                <w:sz w:val="18"/>
                <w:szCs w:val="18"/>
              </w:rPr>
              <w:t>Admisión temporal para reexportación de mercancías en el mismo estado y admisión temporal para perfeccionamiento activo (RITEX). (C)</w:t>
            </w:r>
          </w:p>
          <w:p w14:paraId="72DDEDF2" w14:textId="77777777" w:rsidR="00990B14" w:rsidRDefault="00000000">
            <w:pPr>
              <w:spacing w:after="40"/>
              <w:jc w:val="both"/>
            </w:pPr>
            <w:r>
              <w:rPr>
                <w:sz w:val="18"/>
                <w:szCs w:val="18"/>
              </w:rPr>
              <w:t>Régimen de reposición de mercancías en franquicia arancelaria y exportación temporal para perfeccionamiento pasivo. (C)</w:t>
            </w:r>
          </w:p>
          <w:p w14:paraId="46FE52ED" w14:textId="77777777" w:rsidR="00990B14" w:rsidRDefault="00000000">
            <w:pPr>
              <w:spacing w:after="40"/>
              <w:jc w:val="both"/>
            </w:pPr>
            <w:r>
              <w:rPr>
                <w:sz w:val="18"/>
                <w:szCs w:val="18"/>
              </w:rPr>
              <w:t>Admisión temporal de mercancías para ferias y exposiciones internacionales, destinos aduaneros especiales o de excepción y zonas francas. (C)</w:t>
            </w:r>
          </w:p>
        </w:tc>
        <w:tc>
          <w:tcPr>
            <w:tcW w:w="2752" w:type="dxa"/>
            <w:gridSpan w:val="3"/>
            <w:shd w:val="clear" w:color="auto" w:fill="D9E2F3"/>
          </w:tcPr>
          <w:p w14:paraId="25C02B3C" w14:textId="77777777" w:rsidR="00990B14" w:rsidRDefault="00000000">
            <w:pPr>
              <w:numPr>
                <w:ilvl w:val="0"/>
                <w:numId w:val="139"/>
              </w:numPr>
              <w:spacing w:before="10" w:after="10"/>
              <w:jc w:val="both"/>
            </w:pPr>
            <w:r>
              <w:rPr>
                <w:sz w:val="18"/>
                <w:szCs w:val="18"/>
              </w:rPr>
              <w:t>Nociones del Sistema Armonizado de Designación y Codificación de Mercancías.</w:t>
            </w:r>
          </w:p>
          <w:p w14:paraId="58476E2B" w14:textId="77777777" w:rsidR="00990B14" w:rsidRDefault="00000000">
            <w:pPr>
              <w:numPr>
                <w:ilvl w:val="0"/>
                <w:numId w:val="139"/>
              </w:numPr>
              <w:spacing w:before="10" w:after="10"/>
              <w:jc w:val="both"/>
            </w:pPr>
            <w:r>
              <w:rPr>
                <w:sz w:val="18"/>
                <w:szCs w:val="18"/>
              </w:rPr>
              <w:t>Nociones de transporte internacional de mercancías y de los corredores de exportación de Bolivia.</w:t>
            </w:r>
          </w:p>
          <w:p w14:paraId="475A4B80" w14:textId="77777777" w:rsidR="00990B14" w:rsidRDefault="00000000">
            <w:pPr>
              <w:numPr>
                <w:ilvl w:val="0"/>
                <w:numId w:val="139"/>
              </w:numPr>
              <w:spacing w:before="10" w:after="10"/>
              <w:jc w:val="both"/>
            </w:pPr>
            <w:r>
              <w:rPr>
                <w:sz w:val="18"/>
                <w:szCs w:val="18"/>
              </w:rPr>
              <w:t>Nociones de los documentos del comercio exterior y de las cartas de crédito.</w:t>
            </w:r>
          </w:p>
        </w:tc>
      </w:tr>
    </w:tbl>
    <w:p w14:paraId="5BEB7DDF"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595"/>
        <w:gridCol w:w="1805"/>
        <w:gridCol w:w="1805"/>
        <w:gridCol w:w="1805"/>
        <w:gridCol w:w="2395"/>
      </w:tblGrid>
      <w:tr w:rsidR="00990B14" w14:paraId="234DD55A" w14:textId="77777777">
        <w:trPr>
          <w:cantSplit/>
          <w:jc w:val="center"/>
        </w:trPr>
        <w:tc>
          <w:tcPr>
            <w:tcW w:w="9405" w:type="dxa"/>
            <w:gridSpan w:val="5"/>
            <w:shd w:val="clear" w:color="auto" w:fill="4472C4"/>
            <w:vAlign w:val="center"/>
          </w:tcPr>
          <w:p w14:paraId="7448AE26" w14:textId="77777777" w:rsidR="00990B14" w:rsidRDefault="00000000">
            <w:pPr>
              <w:keepNext/>
              <w:spacing w:before="20" w:after="20"/>
              <w:jc w:val="center"/>
            </w:pPr>
            <w:r>
              <w:rPr>
                <w:b/>
                <w:bCs/>
                <w:i/>
                <w:iCs/>
                <w:color w:val="FFFFFF"/>
                <w:sz w:val="18"/>
                <w:szCs w:val="18"/>
              </w:rPr>
              <w:t>Actividades</w:t>
            </w:r>
          </w:p>
        </w:tc>
      </w:tr>
      <w:tr w:rsidR="00990B14" w14:paraId="5A76FA17" w14:textId="77777777">
        <w:trPr>
          <w:cantSplit/>
          <w:jc w:val="center"/>
        </w:trPr>
        <w:tc>
          <w:tcPr>
            <w:tcW w:w="1595" w:type="dxa"/>
            <w:shd w:val="clear" w:color="auto" w:fill="4472C4"/>
            <w:vAlign w:val="center"/>
          </w:tcPr>
          <w:p w14:paraId="7BFEA6BF" w14:textId="77777777" w:rsidR="00990B14" w:rsidRDefault="00000000">
            <w:pPr>
              <w:keepNext/>
              <w:spacing w:before="20" w:after="20"/>
              <w:jc w:val="center"/>
            </w:pPr>
            <w:r>
              <w:rPr>
                <w:b/>
                <w:bCs/>
                <w:i/>
                <w:iCs/>
                <w:color w:val="FFFFFF"/>
                <w:sz w:val="18"/>
                <w:szCs w:val="18"/>
              </w:rPr>
              <w:t>En clase</w:t>
            </w:r>
          </w:p>
        </w:tc>
        <w:tc>
          <w:tcPr>
            <w:tcW w:w="1805" w:type="dxa"/>
            <w:shd w:val="clear" w:color="auto" w:fill="4472C4"/>
            <w:vAlign w:val="center"/>
          </w:tcPr>
          <w:p w14:paraId="734FF168" w14:textId="77777777" w:rsidR="00990B14" w:rsidRDefault="00000000">
            <w:pPr>
              <w:keepNext/>
              <w:spacing w:before="20" w:after="20"/>
              <w:jc w:val="center"/>
            </w:pPr>
            <w:r>
              <w:rPr>
                <w:b/>
                <w:bCs/>
                <w:i/>
                <w:iCs/>
                <w:color w:val="FFFFFF"/>
                <w:sz w:val="18"/>
                <w:szCs w:val="18"/>
              </w:rPr>
              <w:t>Autónomas</w:t>
            </w:r>
          </w:p>
        </w:tc>
        <w:tc>
          <w:tcPr>
            <w:tcW w:w="1805" w:type="dxa"/>
            <w:shd w:val="clear" w:color="auto" w:fill="4472C4"/>
            <w:vAlign w:val="center"/>
          </w:tcPr>
          <w:p w14:paraId="5CED2515" w14:textId="77777777" w:rsidR="00990B14" w:rsidRDefault="00000000">
            <w:pPr>
              <w:keepNext/>
              <w:spacing w:before="20" w:after="20"/>
              <w:jc w:val="center"/>
            </w:pPr>
            <w:r>
              <w:rPr>
                <w:b/>
                <w:bCs/>
                <w:i/>
                <w:iCs/>
                <w:color w:val="FFFFFF"/>
                <w:sz w:val="18"/>
                <w:szCs w:val="18"/>
              </w:rPr>
              <w:t>B-Learning</w:t>
            </w:r>
          </w:p>
        </w:tc>
        <w:tc>
          <w:tcPr>
            <w:tcW w:w="1805" w:type="dxa"/>
            <w:shd w:val="clear" w:color="auto" w:fill="4472C4"/>
            <w:vAlign w:val="center"/>
          </w:tcPr>
          <w:p w14:paraId="10B46BAD" w14:textId="77777777" w:rsidR="00990B14" w:rsidRDefault="00000000">
            <w:pPr>
              <w:keepNext/>
              <w:spacing w:before="20" w:after="20"/>
              <w:jc w:val="center"/>
            </w:pPr>
            <w:r>
              <w:rPr>
                <w:b/>
                <w:bCs/>
                <w:i/>
                <w:iCs/>
                <w:color w:val="FFFFFF"/>
                <w:sz w:val="18"/>
                <w:szCs w:val="18"/>
              </w:rPr>
              <w:t>Taller</w:t>
            </w:r>
          </w:p>
        </w:tc>
        <w:tc>
          <w:tcPr>
            <w:tcW w:w="2395" w:type="dxa"/>
            <w:shd w:val="clear" w:color="auto" w:fill="4472C4"/>
            <w:vAlign w:val="center"/>
          </w:tcPr>
          <w:p w14:paraId="7493858A" w14:textId="77777777" w:rsidR="00990B14" w:rsidRDefault="00000000">
            <w:pPr>
              <w:keepNext/>
              <w:spacing w:before="20" w:after="20"/>
              <w:jc w:val="center"/>
            </w:pPr>
            <w:r>
              <w:rPr>
                <w:b/>
                <w:bCs/>
                <w:i/>
                <w:iCs/>
                <w:color w:val="FFFFFF"/>
                <w:sz w:val="18"/>
                <w:szCs w:val="18"/>
              </w:rPr>
              <w:t>Investigación/Práctica</w:t>
            </w:r>
          </w:p>
        </w:tc>
      </w:tr>
      <w:tr w:rsidR="00990B14" w14:paraId="01CCDFAA" w14:textId="77777777">
        <w:trPr>
          <w:jc w:val="center"/>
        </w:trPr>
        <w:tc>
          <w:tcPr>
            <w:tcW w:w="1595" w:type="dxa"/>
            <w:shd w:val="clear" w:color="auto" w:fill="D9E2F3"/>
          </w:tcPr>
          <w:p w14:paraId="2165210B" w14:textId="77777777" w:rsidR="00990B14" w:rsidRDefault="00000000">
            <w:pPr>
              <w:numPr>
                <w:ilvl w:val="0"/>
                <w:numId w:val="139"/>
              </w:numPr>
              <w:spacing w:before="10" w:after="10"/>
              <w:jc w:val="both"/>
            </w:pPr>
            <w:r>
              <w:rPr>
                <w:sz w:val="18"/>
                <w:szCs w:val="18"/>
              </w:rPr>
              <w:t>Exposición dialogada de los institutos del derecho tributario y aduanero.</w:t>
            </w:r>
          </w:p>
          <w:p w14:paraId="3FB170EC" w14:textId="77777777" w:rsidR="00990B14" w:rsidRDefault="00000000">
            <w:pPr>
              <w:numPr>
                <w:ilvl w:val="0"/>
                <w:numId w:val="139"/>
              </w:numPr>
              <w:spacing w:before="10" w:after="10"/>
              <w:jc w:val="both"/>
            </w:pPr>
            <w:r>
              <w:rPr>
                <w:sz w:val="18"/>
                <w:szCs w:val="18"/>
              </w:rPr>
              <w:t>Lectura comentada de artículos del Código Tributario Boliviano y de la Ley General de Aduanas.</w:t>
            </w:r>
          </w:p>
          <w:p w14:paraId="1545E3FB" w14:textId="77777777" w:rsidR="00990B14" w:rsidRDefault="00000000">
            <w:pPr>
              <w:numPr>
                <w:ilvl w:val="0"/>
                <w:numId w:val="139"/>
              </w:numPr>
              <w:spacing w:before="10" w:after="10"/>
              <w:jc w:val="both"/>
            </w:pPr>
            <w:r>
              <w:rPr>
                <w:sz w:val="18"/>
                <w:szCs w:val="18"/>
              </w:rPr>
              <w:t>Resolución guiada de casos de obligación tributaria, prescripción, sanciones y liquidación aduanera.</w:t>
            </w:r>
          </w:p>
          <w:p w14:paraId="3547CA48" w14:textId="77777777" w:rsidR="00990B14" w:rsidRDefault="00000000">
            <w:pPr>
              <w:numPr>
                <w:ilvl w:val="0"/>
                <w:numId w:val="139"/>
              </w:numPr>
              <w:spacing w:before="10" w:after="10"/>
              <w:jc w:val="both"/>
            </w:pPr>
            <w:r>
              <w:rPr>
                <w:sz w:val="18"/>
                <w:szCs w:val="18"/>
              </w:rPr>
              <w:t>Análisis de casos de impugnación con resoluciones de la Autoridad de Impugnación Tributaria.</w:t>
            </w:r>
          </w:p>
          <w:p w14:paraId="1E280B8B" w14:textId="77777777" w:rsidR="00990B14" w:rsidRDefault="00000000">
            <w:pPr>
              <w:numPr>
                <w:ilvl w:val="0"/>
                <w:numId w:val="139"/>
              </w:numPr>
              <w:spacing w:before="10" w:after="10"/>
              <w:jc w:val="both"/>
            </w:pPr>
            <w:r>
              <w:rPr>
                <w:sz w:val="18"/>
                <w:szCs w:val="18"/>
              </w:rPr>
              <w:t>Preguntas de comprensión sobre potestad tributaria y doble imposición al cierre de cada tema.</w:t>
            </w:r>
          </w:p>
        </w:tc>
        <w:tc>
          <w:tcPr>
            <w:tcW w:w="1805" w:type="dxa"/>
            <w:shd w:val="clear" w:color="auto" w:fill="D9E2F3"/>
          </w:tcPr>
          <w:p w14:paraId="014F8FBE" w14:textId="77777777" w:rsidR="00990B14" w:rsidRDefault="00000000">
            <w:pPr>
              <w:numPr>
                <w:ilvl w:val="0"/>
                <w:numId w:val="139"/>
              </w:numPr>
              <w:spacing w:before="10" w:after="10"/>
              <w:jc w:val="both"/>
            </w:pPr>
            <w:r>
              <w:rPr>
                <w:sz w:val="18"/>
                <w:szCs w:val="18"/>
              </w:rPr>
              <w:t>Lectura de la normativa tributaria y aduanera vigente, en textos actualizados de fuentes oficiales, al cierre de cada tema.</w:t>
            </w:r>
          </w:p>
          <w:p w14:paraId="644A20FF" w14:textId="77777777" w:rsidR="00990B14" w:rsidRDefault="00000000">
            <w:pPr>
              <w:numPr>
                <w:ilvl w:val="0"/>
                <w:numId w:val="139"/>
              </w:numPr>
              <w:spacing w:before="10" w:after="10"/>
              <w:jc w:val="both"/>
            </w:pPr>
            <w:r>
              <w:rPr>
                <w:sz w:val="18"/>
                <w:szCs w:val="18"/>
              </w:rPr>
              <w:t>Redacción de esquemas y cuadros comparativos de cada instituto jurídico tributario.</w:t>
            </w:r>
          </w:p>
          <w:p w14:paraId="0AE0C097" w14:textId="77777777" w:rsidR="00990B14" w:rsidRDefault="00000000">
            <w:pPr>
              <w:numPr>
                <w:ilvl w:val="0"/>
                <w:numId w:val="139"/>
              </w:numPr>
              <w:spacing w:before="10" w:after="10"/>
              <w:jc w:val="both"/>
            </w:pPr>
            <w:r>
              <w:rPr>
                <w:sz w:val="18"/>
                <w:szCs w:val="18"/>
              </w:rPr>
              <w:t>Desarrollo progresivo del análisis jurídico de un caso tributario o aduanero real, con la identificación de sus riesgos de incumplimiento.</w:t>
            </w:r>
          </w:p>
        </w:tc>
        <w:tc>
          <w:tcPr>
            <w:tcW w:w="1805" w:type="dxa"/>
            <w:shd w:val="clear" w:color="auto" w:fill="D9E2F3"/>
          </w:tcPr>
          <w:p w14:paraId="6B4919A6" w14:textId="77777777" w:rsidR="00990B14" w:rsidRDefault="00000000">
            <w:pPr>
              <w:numPr>
                <w:ilvl w:val="0"/>
                <w:numId w:val="139"/>
              </w:numPr>
              <w:spacing w:before="10" w:after="10"/>
              <w:jc w:val="both"/>
            </w:pPr>
            <w:r>
              <w:rPr>
                <w:sz w:val="18"/>
                <w:szCs w:val="18"/>
              </w:rPr>
              <w:t>Cuestionarios de comprensión en la plataforma Moodle UMSA.</w:t>
            </w:r>
          </w:p>
          <w:p w14:paraId="6E69E95E" w14:textId="77777777" w:rsidR="00990B14" w:rsidRDefault="00000000">
            <w:pPr>
              <w:numPr>
                <w:ilvl w:val="0"/>
                <w:numId w:val="139"/>
              </w:numPr>
              <w:spacing w:before="10" w:after="10"/>
              <w:jc w:val="both"/>
            </w:pPr>
            <w:r>
              <w:rPr>
                <w:sz w:val="18"/>
                <w:szCs w:val="18"/>
              </w:rPr>
              <w:t>Foros de consulta sobre la interpretación de normas tributarias y aduaneras.</w:t>
            </w:r>
          </w:p>
          <w:p w14:paraId="702AA2EC" w14:textId="77777777" w:rsidR="00990B14" w:rsidRDefault="00000000">
            <w:pPr>
              <w:numPr>
                <w:ilvl w:val="0"/>
                <w:numId w:val="139"/>
              </w:numPr>
              <w:spacing w:before="10" w:after="10"/>
              <w:jc w:val="both"/>
            </w:pPr>
            <w:r>
              <w:rPr>
                <w:sz w:val="18"/>
                <w:szCs w:val="18"/>
              </w:rPr>
              <w:t>Videotutoriales de trámites digitales ante el Servicio de Impuestos Nacionales y la Aduana Nacional, incluida la Ventanilla Única de Comercio Exterior.</w:t>
            </w:r>
          </w:p>
        </w:tc>
        <w:tc>
          <w:tcPr>
            <w:tcW w:w="1805" w:type="dxa"/>
            <w:shd w:val="clear" w:color="auto" w:fill="D9E2F3"/>
          </w:tcPr>
          <w:p w14:paraId="2EB9279B" w14:textId="77777777" w:rsidR="00990B14" w:rsidRDefault="00000000">
            <w:pPr>
              <w:numPr>
                <w:ilvl w:val="0"/>
                <w:numId w:val="139"/>
              </w:numPr>
              <w:spacing w:before="10" w:after="10"/>
              <w:jc w:val="both"/>
            </w:pPr>
            <w:r>
              <w:rPr>
                <w:sz w:val="18"/>
                <w:szCs w:val="18"/>
              </w:rPr>
              <w:t>Resolución colaborativa de casos de determinación de la obligación tributaria.</w:t>
            </w:r>
          </w:p>
          <w:p w14:paraId="10312021" w14:textId="77777777" w:rsidR="00990B14" w:rsidRDefault="00000000">
            <w:pPr>
              <w:numPr>
                <w:ilvl w:val="0"/>
                <w:numId w:val="139"/>
              </w:numPr>
              <w:spacing w:before="10" w:after="10"/>
              <w:jc w:val="both"/>
            </w:pPr>
            <w:r>
              <w:rPr>
                <w:sz w:val="18"/>
                <w:szCs w:val="18"/>
              </w:rPr>
              <w:t>Análisis de un recurso de alzada o jerárquico.</w:t>
            </w:r>
          </w:p>
          <w:p w14:paraId="47AA5C04" w14:textId="77777777" w:rsidR="00990B14" w:rsidRDefault="00000000">
            <w:pPr>
              <w:numPr>
                <w:ilvl w:val="0"/>
                <w:numId w:val="139"/>
              </w:numPr>
              <w:spacing w:before="10" w:after="10"/>
              <w:jc w:val="both"/>
            </w:pPr>
            <w:r>
              <w:rPr>
                <w:sz w:val="18"/>
                <w:szCs w:val="18"/>
              </w:rPr>
              <w:t>Revisión cruzada de casos de contrabando y contravenciones aduaneras entre equipos.</w:t>
            </w:r>
          </w:p>
        </w:tc>
        <w:tc>
          <w:tcPr>
            <w:tcW w:w="2395" w:type="dxa"/>
            <w:shd w:val="clear" w:color="auto" w:fill="D9E2F3"/>
          </w:tcPr>
          <w:p w14:paraId="6D98F0F9" w14:textId="77777777" w:rsidR="00990B14" w:rsidRDefault="00000000">
            <w:pPr>
              <w:numPr>
                <w:ilvl w:val="0"/>
                <w:numId w:val="139"/>
              </w:numPr>
              <w:spacing w:before="10" w:after="10"/>
              <w:jc w:val="both"/>
            </w:pPr>
            <w:r>
              <w:rPr>
                <w:sz w:val="18"/>
                <w:szCs w:val="18"/>
              </w:rPr>
              <w:t>Análisis de resoluciones del Servicio de Impuestos Nacionales y de la Autoridad de Impugnación Tributaria.</w:t>
            </w:r>
          </w:p>
          <w:p w14:paraId="1F617366" w14:textId="77777777" w:rsidR="00990B14" w:rsidRDefault="00000000">
            <w:pPr>
              <w:numPr>
                <w:ilvl w:val="0"/>
                <w:numId w:val="139"/>
              </w:numPr>
              <w:spacing w:before="10" w:after="10"/>
              <w:jc w:val="both"/>
            </w:pPr>
            <w:r>
              <w:rPr>
                <w:sz w:val="18"/>
                <w:szCs w:val="18"/>
              </w:rPr>
              <w:t>Revisión de sentencias sobre delitos tributarios y aduaneros.</w:t>
            </w:r>
          </w:p>
          <w:p w14:paraId="7894DC1B" w14:textId="77777777" w:rsidR="00990B14" w:rsidRDefault="00000000">
            <w:pPr>
              <w:numPr>
                <w:ilvl w:val="0"/>
                <w:numId w:val="139"/>
              </w:numPr>
              <w:spacing w:before="10" w:after="10"/>
              <w:jc w:val="both"/>
            </w:pPr>
            <w:r>
              <w:rPr>
                <w:sz w:val="18"/>
                <w:szCs w:val="18"/>
              </w:rPr>
              <w:t>Comparación de convenios de doble imposición suscritos por Bolivia.</w:t>
            </w:r>
          </w:p>
        </w:tc>
      </w:tr>
    </w:tbl>
    <w:p w14:paraId="2BAD26F2"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724"/>
        <w:gridCol w:w="1846"/>
        <w:gridCol w:w="1910"/>
        <w:gridCol w:w="1910"/>
        <w:gridCol w:w="2015"/>
      </w:tblGrid>
      <w:tr w:rsidR="00990B14" w14:paraId="63007B0D" w14:textId="77777777">
        <w:trPr>
          <w:jc w:val="center"/>
        </w:trPr>
        <w:tc>
          <w:tcPr>
            <w:tcW w:w="1724" w:type="dxa"/>
            <w:shd w:val="clear" w:color="auto" w:fill="4472C4"/>
            <w:vAlign w:val="center"/>
          </w:tcPr>
          <w:p w14:paraId="2CBBCF82" w14:textId="77777777" w:rsidR="00990B14" w:rsidRDefault="00000000">
            <w:pPr>
              <w:spacing w:before="20" w:after="20"/>
              <w:jc w:val="center"/>
            </w:pPr>
            <w:r>
              <w:rPr>
                <w:b/>
                <w:bCs/>
                <w:i/>
                <w:iCs/>
                <w:color w:val="FFFFFF"/>
                <w:sz w:val="18"/>
                <w:szCs w:val="18"/>
              </w:rPr>
              <w:t>Estrategias de aprendizaje y enseñanza</w:t>
            </w:r>
          </w:p>
        </w:tc>
        <w:tc>
          <w:tcPr>
            <w:tcW w:w="7681" w:type="dxa"/>
            <w:gridSpan w:val="4"/>
            <w:shd w:val="clear" w:color="auto" w:fill="D9E2F3"/>
            <w:vAlign w:val="center"/>
          </w:tcPr>
          <w:p w14:paraId="3C14848B" w14:textId="77777777" w:rsidR="00990B14" w:rsidRDefault="00000000">
            <w:pPr>
              <w:numPr>
                <w:ilvl w:val="0"/>
                <w:numId w:val="140"/>
              </w:numPr>
              <w:spacing w:before="10" w:after="10"/>
              <w:jc w:val="both"/>
            </w:pPr>
            <w:r>
              <w:rPr>
                <w:sz w:val="18"/>
                <w:szCs w:val="18"/>
              </w:rPr>
              <w:t>Aprendizaje basado en resolución de casos tributarios y aduaneros bolivianos.</w:t>
            </w:r>
          </w:p>
          <w:p w14:paraId="7A2DABEC" w14:textId="77777777" w:rsidR="00990B14" w:rsidRDefault="00000000">
            <w:pPr>
              <w:numPr>
                <w:ilvl w:val="0"/>
                <w:numId w:val="140"/>
              </w:numPr>
              <w:spacing w:before="10" w:after="10"/>
              <w:jc w:val="both"/>
            </w:pPr>
            <w:r>
              <w:rPr>
                <w:sz w:val="18"/>
                <w:szCs w:val="18"/>
              </w:rPr>
              <w:t>Resolución guiada de ejercicios en orden de dificultad creciente por instituto jurídico.</w:t>
            </w:r>
          </w:p>
          <w:p w14:paraId="45297E5C" w14:textId="77777777" w:rsidR="00990B14" w:rsidRDefault="00000000">
            <w:pPr>
              <w:numPr>
                <w:ilvl w:val="0"/>
                <w:numId w:val="140"/>
              </w:numPr>
              <w:spacing w:before="10" w:after="10"/>
              <w:jc w:val="both"/>
            </w:pPr>
            <w:r>
              <w:rPr>
                <w:sz w:val="18"/>
                <w:szCs w:val="18"/>
              </w:rPr>
              <w:t>Caso práctico integral que recorre desde el nacimiento hasta la extinción de la obligación tributaria.</w:t>
            </w:r>
          </w:p>
          <w:p w14:paraId="63E1728D" w14:textId="77777777" w:rsidR="00990B14" w:rsidRDefault="00000000">
            <w:pPr>
              <w:numPr>
                <w:ilvl w:val="0"/>
                <w:numId w:val="140"/>
              </w:numPr>
              <w:spacing w:before="10" w:after="10"/>
              <w:jc w:val="both"/>
            </w:pPr>
            <w:r>
              <w:rPr>
                <w:sz w:val="18"/>
                <w:szCs w:val="18"/>
              </w:rPr>
              <w:t>Estudio de casos de impugnación, contravenciones y delitos tributarios.</w:t>
            </w:r>
          </w:p>
          <w:p w14:paraId="5AF470F9" w14:textId="77777777" w:rsidR="00990B14" w:rsidRDefault="00000000">
            <w:pPr>
              <w:numPr>
                <w:ilvl w:val="0"/>
                <w:numId w:val="140"/>
              </w:numPr>
              <w:spacing w:before="10" w:after="10"/>
              <w:jc w:val="both"/>
            </w:pPr>
            <w:r>
              <w:rPr>
                <w:sz w:val="18"/>
                <w:szCs w:val="18"/>
              </w:rPr>
              <w:t>Trabajo colaborativo en equipos de análisis normativo.</w:t>
            </w:r>
          </w:p>
          <w:p w14:paraId="6E9EF3EB" w14:textId="77777777" w:rsidR="00990B14" w:rsidRDefault="00000000">
            <w:pPr>
              <w:numPr>
                <w:ilvl w:val="0"/>
                <w:numId w:val="140"/>
              </w:numPr>
              <w:spacing w:before="10" w:after="10"/>
              <w:jc w:val="both"/>
            </w:pPr>
            <w:r>
              <w:rPr>
                <w:sz w:val="18"/>
                <w:szCs w:val="18"/>
              </w:rPr>
              <w:t>Clase invertida para los contenidos doctrinales de cada instituto jurídico.</w:t>
            </w:r>
          </w:p>
        </w:tc>
      </w:tr>
      <w:tr w:rsidR="00990B14" w14:paraId="2FF57D5C" w14:textId="77777777">
        <w:trPr>
          <w:jc w:val="center"/>
        </w:trPr>
        <w:tc>
          <w:tcPr>
            <w:tcW w:w="1724" w:type="dxa"/>
            <w:shd w:val="clear" w:color="auto" w:fill="4472C4"/>
            <w:vAlign w:val="center"/>
          </w:tcPr>
          <w:p w14:paraId="247D8528" w14:textId="77777777" w:rsidR="00990B14" w:rsidRDefault="00000000">
            <w:pPr>
              <w:spacing w:before="20" w:after="20"/>
              <w:jc w:val="center"/>
            </w:pPr>
            <w:r>
              <w:rPr>
                <w:b/>
                <w:bCs/>
                <w:i/>
                <w:iCs/>
                <w:color w:val="FFFFFF"/>
                <w:sz w:val="18"/>
                <w:szCs w:val="18"/>
              </w:rPr>
              <w:t>Recursos para el aprendizaje</w:t>
            </w:r>
          </w:p>
        </w:tc>
        <w:tc>
          <w:tcPr>
            <w:tcW w:w="7681" w:type="dxa"/>
            <w:gridSpan w:val="4"/>
            <w:shd w:val="clear" w:color="auto" w:fill="D9E2F3"/>
            <w:vAlign w:val="center"/>
          </w:tcPr>
          <w:p w14:paraId="7E6A046D" w14:textId="77777777" w:rsidR="00990B14" w:rsidRDefault="00000000">
            <w:pPr>
              <w:numPr>
                <w:ilvl w:val="0"/>
                <w:numId w:val="140"/>
              </w:numPr>
              <w:spacing w:before="10" w:after="10"/>
              <w:jc w:val="both"/>
            </w:pPr>
            <w:r>
              <w:rPr>
                <w:sz w:val="18"/>
                <w:szCs w:val="18"/>
              </w:rPr>
              <w:t>Plataforma Moodle UMSA.</w:t>
            </w:r>
          </w:p>
          <w:p w14:paraId="4438D2F1" w14:textId="77777777" w:rsidR="00990B14" w:rsidRDefault="00000000">
            <w:pPr>
              <w:numPr>
                <w:ilvl w:val="0"/>
                <w:numId w:val="140"/>
              </w:numPr>
              <w:spacing w:before="10" w:after="10"/>
              <w:jc w:val="both"/>
            </w:pPr>
            <w:r>
              <w:rPr>
                <w:sz w:val="18"/>
                <w:szCs w:val="18"/>
              </w:rPr>
              <w:t>Textos normativos del Código Tributario, la Ley N.º 843 y la Ley General de Aduanas.</w:t>
            </w:r>
          </w:p>
          <w:p w14:paraId="53013F71" w14:textId="77777777" w:rsidR="00990B14" w:rsidRDefault="00000000">
            <w:pPr>
              <w:numPr>
                <w:ilvl w:val="0"/>
                <w:numId w:val="140"/>
              </w:numPr>
              <w:spacing w:before="10" w:after="10"/>
              <w:jc w:val="both"/>
            </w:pPr>
            <w:r>
              <w:rPr>
                <w:sz w:val="18"/>
                <w:szCs w:val="18"/>
              </w:rPr>
              <w:t>Cartillas informativas del Servicio de Impuestos Nacionales y de la Aduana Nacional.</w:t>
            </w:r>
          </w:p>
          <w:p w14:paraId="71EBAE5C" w14:textId="77777777" w:rsidR="00990B14" w:rsidRDefault="00000000">
            <w:pPr>
              <w:numPr>
                <w:ilvl w:val="0"/>
                <w:numId w:val="140"/>
              </w:numPr>
              <w:spacing w:before="10" w:after="10"/>
              <w:jc w:val="both"/>
            </w:pPr>
            <w:r>
              <w:rPr>
                <w:sz w:val="18"/>
                <w:szCs w:val="18"/>
              </w:rPr>
              <w:t>Guía de recursos de la Autoridad de Impugnación Tributaria.</w:t>
            </w:r>
          </w:p>
          <w:p w14:paraId="798CF73B" w14:textId="77777777" w:rsidR="00990B14" w:rsidRDefault="00000000">
            <w:pPr>
              <w:numPr>
                <w:ilvl w:val="0"/>
                <w:numId w:val="140"/>
              </w:numPr>
              <w:spacing w:before="10" w:after="10"/>
              <w:jc w:val="both"/>
            </w:pPr>
            <w:r>
              <w:rPr>
                <w:sz w:val="18"/>
                <w:szCs w:val="18"/>
              </w:rPr>
              <w:t>Arancel Aduanero de Importaciones 2026.</w:t>
            </w:r>
          </w:p>
        </w:tc>
      </w:tr>
      <w:tr w:rsidR="00990B14" w14:paraId="3AE9DBA1" w14:textId="77777777">
        <w:trPr>
          <w:jc w:val="center"/>
        </w:trPr>
        <w:tc>
          <w:tcPr>
            <w:tcW w:w="1724" w:type="dxa"/>
            <w:shd w:val="clear" w:color="auto" w:fill="4472C4"/>
            <w:vAlign w:val="center"/>
          </w:tcPr>
          <w:p w14:paraId="77D6EDB0" w14:textId="77777777" w:rsidR="00990B14" w:rsidRDefault="00000000">
            <w:pPr>
              <w:spacing w:before="20" w:after="20"/>
              <w:jc w:val="center"/>
            </w:pPr>
            <w:r>
              <w:rPr>
                <w:b/>
                <w:bCs/>
                <w:i/>
                <w:iCs/>
                <w:color w:val="FFFFFF"/>
                <w:sz w:val="18"/>
                <w:szCs w:val="18"/>
              </w:rPr>
              <w:t>Estrategias de evaluación</w:t>
            </w:r>
          </w:p>
        </w:tc>
        <w:tc>
          <w:tcPr>
            <w:tcW w:w="7681" w:type="dxa"/>
            <w:gridSpan w:val="4"/>
            <w:shd w:val="clear" w:color="auto" w:fill="D9E2F3"/>
            <w:vAlign w:val="center"/>
          </w:tcPr>
          <w:p w14:paraId="0B696CC8" w14:textId="77777777" w:rsidR="00990B14" w:rsidRDefault="00000000">
            <w:pPr>
              <w:numPr>
                <w:ilvl w:val="0"/>
                <w:numId w:val="140"/>
              </w:numPr>
              <w:spacing w:before="10" w:after="10"/>
              <w:jc w:val="both"/>
            </w:pPr>
            <w:r>
              <w:rPr>
                <w:sz w:val="18"/>
                <w:szCs w:val="18"/>
              </w:rPr>
              <w:t>Evaluación diagnóstica: prueba inicial sobre nociones de derecho comercial y derecho laboral de las asignaturas DER-101 y DER-102.</w:t>
            </w:r>
          </w:p>
          <w:p w14:paraId="667EE13D" w14:textId="77777777" w:rsidR="00990B14" w:rsidRDefault="00000000">
            <w:pPr>
              <w:numPr>
                <w:ilvl w:val="0"/>
                <w:numId w:val="140"/>
              </w:numPr>
              <w:spacing w:before="10" w:after="10"/>
              <w:jc w:val="both"/>
            </w:pPr>
            <w:r>
              <w:rPr>
                <w:sz w:val="18"/>
                <w:szCs w:val="18"/>
              </w:rPr>
              <w:t>Evaluación formativa: preguntas de comprensión y desarrollo de ejercicios prácticos en aula, con retroalimentación continua, autoevaluación y coevaluación.</w:t>
            </w:r>
          </w:p>
          <w:p w14:paraId="2C93BDEC" w14:textId="77777777" w:rsidR="00990B14" w:rsidRDefault="00000000">
            <w:pPr>
              <w:numPr>
                <w:ilvl w:val="0"/>
                <w:numId w:val="140"/>
              </w:numPr>
              <w:spacing w:before="10" w:after="10"/>
              <w:jc w:val="both"/>
            </w:pPr>
            <w:r>
              <w:rPr>
                <w:sz w:val="18"/>
                <w:szCs w:val="18"/>
              </w:rPr>
              <w:t>Evaluación sumativa: controles de lectura y asistencia, evaluación de casos prácticos, trabajos de investigación y desarrollo, exámenes parciales y examen final.</w:t>
            </w:r>
          </w:p>
        </w:tc>
      </w:tr>
      <w:tr w:rsidR="00990B14" w14:paraId="0826DC69" w14:textId="77777777">
        <w:trPr>
          <w:jc w:val="center"/>
        </w:trPr>
        <w:tc>
          <w:tcPr>
            <w:tcW w:w="1724" w:type="dxa"/>
            <w:shd w:val="clear" w:color="auto" w:fill="4472C4"/>
            <w:vAlign w:val="center"/>
          </w:tcPr>
          <w:p w14:paraId="389B819C" w14:textId="77777777" w:rsidR="00990B14" w:rsidRDefault="00000000">
            <w:pPr>
              <w:spacing w:before="20" w:after="20"/>
              <w:jc w:val="center"/>
            </w:pPr>
            <w:r>
              <w:rPr>
                <w:b/>
                <w:bCs/>
                <w:i/>
                <w:iCs/>
                <w:color w:val="FFFFFF"/>
                <w:sz w:val="18"/>
                <w:szCs w:val="18"/>
              </w:rPr>
              <w:t>Criterios de calificación</w:t>
            </w:r>
          </w:p>
        </w:tc>
        <w:tc>
          <w:tcPr>
            <w:tcW w:w="7681" w:type="dxa"/>
            <w:gridSpan w:val="4"/>
            <w:shd w:val="clear" w:color="auto" w:fill="D9E2F3"/>
            <w:vAlign w:val="center"/>
          </w:tcPr>
          <w:p w14:paraId="40C81A82" w14:textId="77777777" w:rsidR="00990B14" w:rsidRDefault="00000000">
            <w:pPr>
              <w:numPr>
                <w:ilvl w:val="0"/>
                <w:numId w:val="140"/>
              </w:numPr>
              <w:spacing w:before="10" w:after="10"/>
              <w:jc w:val="both"/>
            </w:pPr>
            <w:r>
              <w:rPr>
                <w:sz w:val="18"/>
                <w:szCs w:val="18"/>
              </w:rPr>
              <w:t>Nota mínima de aprobación: 51/100.</w:t>
            </w:r>
          </w:p>
          <w:p w14:paraId="57ADC916" w14:textId="77777777" w:rsidR="00990B14" w:rsidRDefault="00000000">
            <w:pPr>
              <w:numPr>
                <w:ilvl w:val="0"/>
                <w:numId w:val="140"/>
              </w:numPr>
              <w:spacing w:before="10" w:after="10"/>
              <w:jc w:val="both"/>
            </w:pPr>
            <w:r>
              <w:rPr>
                <w:sz w:val="18"/>
                <w:szCs w:val="18"/>
              </w:rPr>
              <w:t>Evaluación periódica al finalizar cada tema, basada en evidencias de conocimiento, desempeño y producto.</w:t>
            </w:r>
          </w:p>
          <w:p w14:paraId="4108455B" w14:textId="77777777" w:rsidR="00990B14" w:rsidRDefault="00000000">
            <w:pPr>
              <w:numPr>
                <w:ilvl w:val="0"/>
                <w:numId w:val="140"/>
              </w:numPr>
              <w:spacing w:before="10" w:after="10"/>
              <w:jc w:val="both"/>
            </w:pPr>
            <w:r>
              <w:rPr>
                <w:sz w:val="18"/>
                <w:szCs w:val="18"/>
              </w:rPr>
              <w:t>Cada evidencia de producto se evalúa con su propia rúbrica de tres niveles: Insuficiente, Suficiente y Destacado.</w:t>
            </w:r>
          </w:p>
          <w:p w14:paraId="75599144" w14:textId="77777777" w:rsidR="00990B14" w:rsidRDefault="00000000">
            <w:pPr>
              <w:numPr>
                <w:ilvl w:val="0"/>
                <w:numId w:val="140"/>
              </w:numPr>
              <w:spacing w:before="10" w:after="10"/>
              <w:jc w:val="both"/>
            </w:pPr>
            <w:r>
              <w:rPr>
                <w:sz w:val="18"/>
                <w:szCs w:val="18"/>
              </w:rPr>
              <w:t>La calificación de cada elemento de competencia suma las calificaciones de sus evidencias de producto.</w:t>
            </w:r>
          </w:p>
        </w:tc>
      </w:tr>
      <w:tr w:rsidR="00990B14" w14:paraId="5B134DED" w14:textId="77777777">
        <w:trPr>
          <w:cantSplit/>
          <w:jc w:val="center"/>
        </w:trPr>
        <w:tc>
          <w:tcPr>
            <w:tcW w:w="1724" w:type="dxa"/>
            <w:vMerge w:val="restart"/>
            <w:shd w:val="clear" w:color="auto" w:fill="4472C4"/>
            <w:vAlign w:val="center"/>
          </w:tcPr>
          <w:p w14:paraId="55E2619D" w14:textId="77777777" w:rsidR="00990B14" w:rsidRDefault="00000000">
            <w:pPr>
              <w:spacing w:before="20" w:after="20"/>
              <w:jc w:val="center"/>
            </w:pPr>
            <w:r>
              <w:rPr>
                <w:b/>
                <w:bCs/>
                <w:i/>
                <w:iCs/>
                <w:color w:val="FFFFFF"/>
                <w:sz w:val="18"/>
                <w:szCs w:val="18"/>
              </w:rPr>
              <w:t>Niveles de logro y distribución de la calificación</w:t>
            </w:r>
          </w:p>
        </w:tc>
        <w:tc>
          <w:tcPr>
            <w:tcW w:w="5666" w:type="dxa"/>
            <w:gridSpan w:val="3"/>
            <w:shd w:val="clear" w:color="auto" w:fill="D9E2F3"/>
            <w:vAlign w:val="center"/>
          </w:tcPr>
          <w:p w14:paraId="68C7AA16" w14:textId="77777777" w:rsidR="00990B14" w:rsidRDefault="00000000">
            <w:pPr>
              <w:keepNext/>
              <w:spacing w:before="20" w:after="20"/>
              <w:jc w:val="both"/>
            </w:pPr>
            <w:r>
              <w:rPr>
                <w:b/>
                <w:bCs/>
                <w:i/>
                <w:iCs/>
                <w:sz w:val="18"/>
                <w:szCs w:val="18"/>
              </w:rPr>
              <w:t xml:space="preserve">Producto 1: </w:t>
            </w:r>
            <w:r>
              <w:rPr>
                <w:sz w:val="18"/>
                <w:szCs w:val="18"/>
              </w:rPr>
              <w:t>Esquema de la actividad financiera del Estado, cuadro de clasificación y fuentes del Derecho Tributario</w:t>
            </w:r>
          </w:p>
        </w:tc>
        <w:tc>
          <w:tcPr>
            <w:tcW w:w="2015" w:type="dxa"/>
            <w:shd w:val="clear" w:color="auto" w:fill="D9E2F3"/>
            <w:vAlign w:val="center"/>
          </w:tcPr>
          <w:p w14:paraId="4ED4F6F7" w14:textId="77777777" w:rsidR="00990B14" w:rsidRDefault="00000000">
            <w:pPr>
              <w:spacing w:before="20" w:after="20"/>
              <w:jc w:val="center"/>
            </w:pPr>
            <w:r>
              <w:rPr>
                <w:b/>
                <w:bCs/>
                <w:sz w:val="18"/>
                <w:szCs w:val="18"/>
              </w:rPr>
              <w:t>5%</w:t>
            </w:r>
          </w:p>
        </w:tc>
      </w:tr>
      <w:tr w:rsidR="00990B14" w14:paraId="46D05F6C" w14:textId="77777777">
        <w:trPr>
          <w:cantSplit/>
          <w:jc w:val="center"/>
        </w:trPr>
        <w:tc>
          <w:tcPr>
            <w:tcW w:w="1724" w:type="dxa"/>
            <w:vMerge/>
            <w:shd w:val="clear" w:color="auto" w:fill="4472C4"/>
            <w:vAlign w:val="center"/>
          </w:tcPr>
          <w:p w14:paraId="0EA16208" w14:textId="77777777" w:rsidR="00990B14" w:rsidRDefault="00990B14">
            <w:pPr>
              <w:spacing w:before="20" w:after="20"/>
            </w:pPr>
          </w:p>
        </w:tc>
        <w:tc>
          <w:tcPr>
            <w:tcW w:w="1846" w:type="dxa"/>
            <w:shd w:val="clear" w:color="auto" w:fill="4472C4"/>
            <w:vAlign w:val="center"/>
          </w:tcPr>
          <w:p w14:paraId="603A73B8"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3D763721"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7B2DCC4B"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27035B40" w14:textId="77777777" w:rsidR="00990B14" w:rsidRDefault="00000000">
            <w:pPr>
              <w:keepNext/>
              <w:spacing w:before="20" w:after="20"/>
              <w:jc w:val="center"/>
            </w:pPr>
            <w:r>
              <w:rPr>
                <w:b/>
                <w:bCs/>
                <w:i/>
                <w:iCs/>
                <w:color w:val="FFFFFF"/>
                <w:sz w:val="18"/>
                <w:szCs w:val="18"/>
              </w:rPr>
              <w:t>Destacado (81–100)</w:t>
            </w:r>
          </w:p>
        </w:tc>
      </w:tr>
      <w:tr w:rsidR="00990B14" w14:paraId="3EDDF726" w14:textId="77777777">
        <w:trPr>
          <w:cantSplit/>
          <w:jc w:val="center"/>
        </w:trPr>
        <w:tc>
          <w:tcPr>
            <w:tcW w:w="1724" w:type="dxa"/>
            <w:vMerge/>
            <w:shd w:val="clear" w:color="auto" w:fill="4472C4"/>
            <w:vAlign w:val="center"/>
          </w:tcPr>
          <w:p w14:paraId="42E97C6A" w14:textId="77777777" w:rsidR="00990B14" w:rsidRDefault="00990B14">
            <w:pPr>
              <w:spacing w:before="20" w:after="20"/>
            </w:pPr>
          </w:p>
        </w:tc>
        <w:tc>
          <w:tcPr>
            <w:tcW w:w="1846" w:type="dxa"/>
            <w:shd w:val="clear" w:color="auto" w:fill="D9E2F3"/>
            <w:vAlign w:val="center"/>
          </w:tcPr>
          <w:p w14:paraId="1256C19B" w14:textId="77777777" w:rsidR="00990B14" w:rsidRDefault="00000000">
            <w:pPr>
              <w:spacing w:before="20" w:after="20"/>
              <w:jc w:val="both"/>
            </w:pPr>
            <w:r>
              <w:rPr>
                <w:sz w:val="18"/>
                <w:szCs w:val="18"/>
              </w:rPr>
              <w:t>Sistemática y fuentes</w:t>
            </w:r>
          </w:p>
        </w:tc>
        <w:tc>
          <w:tcPr>
            <w:tcW w:w="1910" w:type="dxa"/>
            <w:shd w:val="clear" w:color="auto" w:fill="D9E2F3"/>
            <w:vAlign w:val="center"/>
          </w:tcPr>
          <w:p w14:paraId="254E1BA5" w14:textId="77777777" w:rsidR="00990B14" w:rsidRDefault="00000000">
            <w:pPr>
              <w:spacing w:before="20" w:after="20"/>
              <w:jc w:val="both"/>
            </w:pPr>
            <w:r>
              <w:rPr>
                <w:sz w:val="18"/>
                <w:szCs w:val="18"/>
              </w:rPr>
              <w:t>Confunde la parte general, parte especial y fuentes.</w:t>
            </w:r>
          </w:p>
        </w:tc>
        <w:tc>
          <w:tcPr>
            <w:tcW w:w="1910" w:type="dxa"/>
            <w:shd w:val="clear" w:color="auto" w:fill="D9E2F3"/>
            <w:vAlign w:val="center"/>
          </w:tcPr>
          <w:p w14:paraId="40875598" w14:textId="77777777" w:rsidR="00990B14" w:rsidRDefault="00000000">
            <w:pPr>
              <w:spacing w:before="20" w:after="20"/>
              <w:jc w:val="both"/>
            </w:pPr>
            <w:r>
              <w:rPr>
                <w:sz w:val="18"/>
                <w:szCs w:val="18"/>
              </w:rPr>
              <w:t>Distingue la parte general y la especial y clasifica las fuentes según su jerarquía.</w:t>
            </w:r>
          </w:p>
        </w:tc>
        <w:tc>
          <w:tcPr>
            <w:tcW w:w="2015" w:type="dxa"/>
            <w:shd w:val="clear" w:color="auto" w:fill="D9E2F3"/>
            <w:vAlign w:val="center"/>
          </w:tcPr>
          <w:p w14:paraId="22EB7B17" w14:textId="77777777" w:rsidR="00990B14" w:rsidRDefault="00000000">
            <w:pPr>
              <w:spacing w:before="20" w:after="20"/>
              <w:jc w:val="both"/>
            </w:pPr>
            <w:r>
              <w:rPr>
                <w:sz w:val="18"/>
                <w:szCs w:val="18"/>
              </w:rPr>
              <w:t>Determina la jerarquía y prelación de las fuentes.</w:t>
            </w:r>
          </w:p>
        </w:tc>
      </w:tr>
      <w:tr w:rsidR="00990B14" w14:paraId="0E32A7CB" w14:textId="77777777">
        <w:trPr>
          <w:cantSplit/>
          <w:jc w:val="center"/>
        </w:trPr>
        <w:tc>
          <w:tcPr>
            <w:tcW w:w="1724" w:type="dxa"/>
            <w:vMerge/>
            <w:shd w:val="clear" w:color="auto" w:fill="4472C4"/>
            <w:vAlign w:val="center"/>
          </w:tcPr>
          <w:p w14:paraId="645F45D1" w14:textId="77777777" w:rsidR="00990B14" w:rsidRDefault="00990B14">
            <w:pPr>
              <w:spacing w:before="20" w:after="20"/>
            </w:pPr>
          </w:p>
        </w:tc>
        <w:tc>
          <w:tcPr>
            <w:tcW w:w="1846" w:type="dxa"/>
            <w:shd w:val="clear" w:color="auto" w:fill="D9E2F3"/>
            <w:vAlign w:val="center"/>
          </w:tcPr>
          <w:p w14:paraId="36065B09" w14:textId="77777777" w:rsidR="00990B14" w:rsidRDefault="00000000">
            <w:pPr>
              <w:spacing w:before="20" w:after="20"/>
              <w:jc w:val="both"/>
            </w:pPr>
            <w:r>
              <w:rPr>
                <w:sz w:val="18"/>
                <w:szCs w:val="18"/>
              </w:rPr>
              <w:t>Actividad financiera</w:t>
            </w:r>
          </w:p>
        </w:tc>
        <w:tc>
          <w:tcPr>
            <w:tcW w:w="1910" w:type="dxa"/>
            <w:shd w:val="clear" w:color="auto" w:fill="D9E2F3"/>
            <w:vAlign w:val="center"/>
          </w:tcPr>
          <w:p w14:paraId="2CDF48A1" w14:textId="77777777" w:rsidR="00990B14" w:rsidRDefault="00000000">
            <w:pPr>
              <w:spacing w:before="20" w:after="20"/>
              <w:jc w:val="both"/>
            </w:pPr>
            <w:r>
              <w:rPr>
                <w:sz w:val="18"/>
                <w:szCs w:val="18"/>
              </w:rPr>
              <w:t>No diferencia los ingresos, los gastos y el presupuesto.</w:t>
            </w:r>
          </w:p>
        </w:tc>
        <w:tc>
          <w:tcPr>
            <w:tcW w:w="1910" w:type="dxa"/>
            <w:shd w:val="clear" w:color="auto" w:fill="D9E2F3"/>
            <w:vAlign w:val="center"/>
          </w:tcPr>
          <w:p w14:paraId="0CF21299" w14:textId="77777777" w:rsidR="00990B14" w:rsidRDefault="00000000">
            <w:pPr>
              <w:spacing w:before="20" w:after="20"/>
              <w:jc w:val="both"/>
            </w:pPr>
            <w:r>
              <w:rPr>
                <w:sz w:val="18"/>
                <w:szCs w:val="18"/>
              </w:rPr>
              <w:t>Diferencia los ingresos, los gastos y el presupuesto del Estado.</w:t>
            </w:r>
          </w:p>
        </w:tc>
        <w:tc>
          <w:tcPr>
            <w:tcW w:w="2015" w:type="dxa"/>
            <w:shd w:val="clear" w:color="auto" w:fill="D9E2F3"/>
            <w:vAlign w:val="center"/>
          </w:tcPr>
          <w:p w14:paraId="3DC01D59" w14:textId="77777777" w:rsidR="00990B14" w:rsidRDefault="00000000">
            <w:pPr>
              <w:spacing w:before="20" w:after="20"/>
              <w:jc w:val="both"/>
            </w:pPr>
            <w:r>
              <w:rPr>
                <w:sz w:val="18"/>
                <w:szCs w:val="18"/>
              </w:rPr>
              <w:t>Identifica el tributo como principal ingreso derivado.</w:t>
            </w:r>
          </w:p>
        </w:tc>
      </w:tr>
      <w:tr w:rsidR="00990B14" w14:paraId="01BB3216" w14:textId="77777777">
        <w:trPr>
          <w:cantSplit/>
          <w:jc w:val="center"/>
        </w:trPr>
        <w:tc>
          <w:tcPr>
            <w:tcW w:w="1724" w:type="dxa"/>
            <w:vMerge/>
            <w:shd w:val="clear" w:color="auto" w:fill="4472C4"/>
            <w:vAlign w:val="center"/>
          </w:tcPr>
          <w:p w14:paraId="485BBCA9" w14:textId="77777777" w:rsidR="00990B14" w:rsidRDefault="00990B14">
            <w:pPr>
              <w:spacing w:before="20" w:after="20"/>
            </w:pPr>
          </w:p>
        </w:tc>
        <w:tc>
          <w:tcPr>
            <w:tcW w:w="1846" w:type="dxa"/>
            <w:shd w:val="clear" w:color="auto" w:fill="D9E2F3"/>
            <w:vAlign w:val="center"/>
          </w:tcPr>
          <w:p w14:paraId="026175CA" w14:textId="77777777" w:rsidR="00990B14" w:rsidRDefault="00000000">
            <w:pPr>
              <w:spacing w:before="20" w:after="20"/>
              <w:jc w:val="both"/>
            </w:pPr>
            <w:r>
              <w:rPr>
                <w:sz w:val="18"/>
                <w:szCs w:val="18"/>
              </w:rPr>
              <w:t>Claridad de la exposición</w:t>
            </w:r>
          </w:p>
        </w:tc>
        <w:tc>
          <w:tcPr>
            <w:tcW w:w="1910" w:type="dxa"/>
            <w:shd w:val="clear" w:color="auto" w:fill="D9E2F3"/>
            <w:vAlign w:val="center"/>
          </w:tcPr>
          <w:p w14:paraId="6FF08A6A" w14:textId="77777777" w:rsidR="00990B14" w:rsidRDefault="00000000">
            <w:pPr>
              <w:spacing w:before="20" w:after="20"/>
              <w:jc w:val="both"/>
            </w:pPr>
            <w:r>
              <w:rPr>
                <w:sz w:val="18"/>
                <w:szCs w:val="18"/>
              </w:rPr>
              <w:t>La exposición es confusa.</w:t>
            </w:r>
          </w:p>
        </w:tc>
        <w:tc>
          <w:tcPr>
            <w:tcW w:w="1910" w:type="dxa"/>
            <w:shd w:val="clear" w:color="auto" w:fill="D9E2F3"/>
            <w:vAlign w:val="center"/>
          </w:tcPr>
          <w:p w14:paraId="79FB0203" w14:textId="77777777" w:rsidR="00990B14" w:rsidRDefault="00000000">
            <w:pPr>
              <w:spacing w:before="20" w:after="20"/>
              <w:jc w:val="both"/>
            </w:pPr>
            <w:r>
              <w:rPr>
                <w:sz w:val="18"/>
                <w:szCs w:val="18"/>
              </w:rPr>
              <w:t>Expone con claridad y orden.</w:t>
            </w:r>
          </w:p>
        </w:tc>
        <w:tc>
          <w:tcPr>
            <w:tcW w:w="2015" w:type="dxa"/>
            <w:shd w:val="clear" w:color="auto" w:fill="D9E2F3"/>
            <w:vAlign w:val="center"/>
          </w:tcPr>
          <w:p w14:paraId="2D892773" w14:textId="77777777" w:rsidR="00990B14" w:rsidRDefault="00000000">
            <w:pPr>
              <w:spacing w:before="20" w:after="20"/>
              <w:jc w:val="both"/>
            </w:pPr>
            <w:r>
              <w:rPr>
                <w:sz w:val="18"/>
                <w:szCs w:val="18"/>
              </w:rPr>
              <w:t>Responde con solvencia las preguntas del curso.</w:t>
            </w:r>
          </w:p>
        </w:tc>
      </w:tr>
      <w:tr w:rsidR="00990B14" w14:paraId="1182886E" w14:textId="77777777">
        <w:trPr>
          <w:cantSplit/>
          <w:jc w:val="center"/>
        </w:trPr>
        <w:tc>
          <w:tcPr>
            <w:tcW w:w="1724" w:type="dxa"/>
            <w:vMerge/>
            <w:shd w:val="clear" w:color="auto" w:fill="4472C4"/>
            <w:vAlign w:val="center"/>
          </w:tcPr>
          <w:p w14:paraId="057D182A" w14:textId="77777777" w:rsidR="00990B14" w:rsidRDefault="00990B14">
            <w:pPr>
              <w:spacing w:before="20" w:after="20"/>
            </w:pPr>
          </w:p>
        </w:tc>
        <w:tc>
          <w:tcPr>
            <w:tcW w:w="5666" w:type="dxa"/>
            <w:gridSpan w:val="3"/>
            <w:shd w:val="clear" w:color="auto" w:fill="D9E2F3"/>
            <w:vAlign w:val="center"/>
          </w:tcPr>
          <w:p w14:paraId="2B14B025" w14:textId="77777777" w:rsidR="00990B14" w:rsidRDefault="00000000">
            <w:pPr>
              <w:keepNext/>
              <w:spacing w:before="20" w:after="20"/>
              <w:jc w:val="both"/>
            </w:pPr>
            <w:r>
              <w:rPr>
                <w:b/>
                <w:bCs/>
                <w:i/>
                <w:iCs/>
                <w:sz w:val="18"/>
                <w:szCs w:val="18"/>
              </w:rPr>
              <w:t xml:space="preserve">Producto 2: </w:t>
            </w:r>
            <w:r>
              <w:rPr>
                <w:sz w:val="18"/>
                <w:szCs w:val="18"/>
              </w:rPr>
              <w:t>Informe de interpretación y de vigencia de una norma tributaria.</w:t>
            </w:r>
          </w:p>
        </w:tc>
        <w:tc>
          <w:tcPr>
            <w:tcW w:w="2015" w:type="dxa"/>
            <w:shd w:val="clear" w:color="auto" w:fill="D9E2F3"/>
            <w:vAlign w:val="center"/>
          </w:tcPr>
          <w:p w14:paraId="53B63E58" w14:textId="77777777" w:rsidR="00990B14" w:rsidRDefault="00000000">
            <w:pPr>
              <w:spacing w:before="20" w:after="20"/>
              <w:jc w:val="center"/>
            </w:pPr>
            <w:r>
              <w:rPr>
                <w:b/>
                <w:bCs/>
                <w:sz w:val="18"/>
                <w:szCs w:val="18"/>
              </w:rPr>
              <w:t>5%</w:t>
            </w:r>
          </w:p>
        </w:tc>
      </w:tr>
      <w:tr w:rsidR="00990B14" w14:paraId="69AD75D9" w14:textId="77777777">
        <w:trPr>
          <w:cantSplit/>
          <w:jc w:val="center"/>
        </w:trPr>
        <w:tc>
          <w:tcPr>
            <w:tcW w:w="1724" w:type="dxa"/>
            <w:vMerge/>
            <w:shd w:val="clear" w:color="auto" w:fill="4472C4"/>
            <w:vAlign w:val="center"/>
          </w:tcPr>
          <w:p w14:paraId="57B8A6A5" w14:textId="77777777" w:rsidR="00990B14" w:rsidRDefault="00990B14">
            <w:pPr>
              <w:spacing w:before="20" w:after="20"/>
            </w:pPr>
          </w:p>
        </w:tc>
        <w:tc>
          <w:tcPr>
            <w:tcW w:w="1846" w:type="dxa"/>
            <w:shd w:val="clear" w:color="auto" w:fill="4472C4"/>
            <w:vAlign w:val="center"/>
          </w:tcPr>
          <w:p w14:paraId="61DDFB1B"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1BF71B9E"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71EB49F2"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6A80C90A" w14:textId="77777777" w:rsidR="00990B14" w:rsidRDefault="00000000">
            <w:pPr>
              <w:keepNext/>
              <w:spacing w:before="20" w:after="20"/>
              <w:jc w:val="center"/>
            </w:pPr>
            <w:r>
              <w:rPr>
                <w:b/>
                <w:bCs/>
                <w:i/>
                <w:iCs/>
                <w:color w:val="FFFFFF"/>
                <w:sz w:val="18"/>
                <w:szCs w:val="18"/>
              </w:rPr>
              <w:t>Destacado (81–100)</w:t>
            </w:r>
          </w:p>
        </w:tc>
      </w:tr>
      <w:tr w:rsidR="00990B14" w14:paraId="5CAAC240" w14:textId="77777777">
        <w:trPr>
          <w:cantSplit/>
          <w:jc w:val="center"/>
        </w:trPr>
        <w:tc>
          <w:tcPr>
            <w:tcW w:w="1724" w:type="dxa"/>
            <w:vMerge/>
            <w:shd w:val="clear" w:color="auto" w:fill="4472C4"/>
            <w:vAlign w:val="center"/>
          </w:tcPr>
          <w:p w14:paraId="3E8EF148" w14:textId="77777777" w:rsidR="00990B14" w:rsidRDefault="00990B14">
            <w:pPr>
              <w:spacing w:before="20" w:after="20"/>
            </w:pPr>
          </w:p>
        </w:tc>
        <w:tc>
          <w:tcPr>
            <w:tcW w:w="1846" w:type="dxa"/>
            <w:shd w:val="clear" w:color="auto" w:fill="D9E2F3"/>
            <w:vAlign w:val="center"/>
          </w:tcPr>
          <w:p w14:paraId="0CCB1CC5" w14:textId="77777777" w:rsidR="00990B14" w:rsidRDefault="00000000">
            <w:pPr>
              <w:spacing w:before="20" w:after="20"/>
              <w:jc w:val="both"/>
            </w:pPr>
            <w:r>
              <w:rPr>
                <w:sz w:val="18"/>
                <w:szCs w:val="18"/>
              </w:rPr>
              <w:t>Métodos de interpretación</w:t>
            </w:r>
          </w:p>
        </w:tc>
        <w:tc>
          <w:tcPr>
            <w:tcW w:w="1910" w:type="dxa"/>
            <w:shd w:val="clear" w:color="auto" w:fill="D9E2F3"/>
            <w:vAlign w:val="center"/>
          </w:tcPr>
          <w:p w14:paraId="671B5B39" w14:textId="77777777" w:rsidR="00990B14" w:rsidRDefault="00000000">
            <w:pPr>
              <w:spacing w:before="20" w:after="20"/>
              <w:jc w:val="both"/>
            </w:pPr>
            <w:r>
              <w:rPr>
                <w:sz w:val="18"/>
                <w:szCs w:val="18"/>
              </w:rPr>
              <w:t>Aplica un método sin identificarlo.</w:t>
            </w:r>
          </w:p>
        </w:tc>
        <w:tc>
          <w:tcPr>
            <w:tcW w:w="1910" w:type="dxa"/>
            <w:shd w:val="clear" w:color="auto" w:fill="D9E2F3"/>
            <w:vAlign w:val="center"/>
          </w:tcPr>
          <w:p w14:paraId="1F87999D" w14:textId="77777777" w:rsidR="00990B14" w:rsidRDefault="00000000">
            <w:pPr>
              <w:spacing w:before="20" w:after="20"/>
              <w:jc w:val="both"/>
            </w:pPr>
            <w:r>
              <w:rPr>
                <w:sz w:val="18"/>
                <w:szCs w:val="18"/>
              </w:rPr>
              <w:t>Compara los resultados de cada método.</w:t>
            </w:r>
          </w:p>
        </w:tc>
        <w:tc>
          <w:tcPr>
            <w:tcW w:w="2015" w:type="dxa"/>
            <w:shd w:val="clear" w:color="auto" w:fill="D9E2F3"/>
            <w:vAlign w:val="center"/>
          </w:tcPr>
          <w:p w14:paraId="301CD1D6" w14:textId="77777777" w:rsidR="00990B14" w:rsidRDefault="00000000">
            <w:pPr>
              <w:spacing w:before="20" w:after="20"/>
              <w:jc w:val="both"/>
            </w:pPr>
            <w:r>
              <w:rPr>
                <w:sz w:val="18"/>
                <w:szCs w:val="18"/>
              </w:rPr>
              <w:t>Aplica los métodos de interpretación en materia tributaria.</w:t>
            </w:r>
          </w:p>
        </w:tc>
      </w:tr>
      <w:tr w:rsidR="00990B14" w14:paraId="03BC90C6" w14:textId="77777777">
        <w:trPr>
          <w:cantSplit/>
          <w:jc w:val="center"/>
        </w:trPr>
        <w:tc>
          <w:tcPr>
            <w:tcW w:w="1724" w:type="dxa"/>
            <w:vMerge/>
            <w:shd w:val="clear" w:color="auto" w:fill="4472C4"/>
            <w:vAlign w:val="center"/>
          </w:tcPr>
          <w:p w14:paraId="1DEB0458" w14:textId="77777777" w:rsidR="00990B14" w:rsidRDefault="00990B14">
            <w:pPr>
              <w:spacing w:before="20" w:after="20"/>
            </w:pPr>
          </w:p>
        </w:tc>
        <w:tc>
          <w:tcPr>
            <w:tcW w:w="1846" w:type="dxa"/>
            <w:shd w:val="clear" w:color="auto" w:fill="D9E2F3"/>
            <w:vAlign w:val="center"/>
          </w:tcPr>
          <w:p w14:paraId="5C125771" w14:textId="77777777" w:rsidR="00990B14" w:rsidRDefault="00000000">
            <w:pPr>
              <w:spacing w:before="20" w:after="20"/>
              <w:jc w:val="both"/>
            </w:pPr>
            <w:r>
              <w:rPr>
                <w:sz w:val="18"/>
                <w:szCs w:val="18"/>
              </w:rPr>
              <w:t>Efectos en el tiempo y en el espacio</w:t>
            </w:r>
          </w:p>
        </w:tc>
        <w:tc>
          <w:tcPr>
            <w:tcW w:w="1910" w:type="dxa"/>
            <w:shd w:val="clear" w:color="auto" w:fill="D9E2F3"/>
            <w:vAlign w:val="center"/>
          </w:tcPr>
          <w:p w14:paraId="46B18216" w14:textId="77777777" w:rsidR="00990B14" w:rsidRDefault="00000000">
            <w:pPr>
              <w:spacing w:before="20" w:after="20"/>
              <w:jc w:val="both"/>
            </w:pPr>
            <w:r>
              <w:rPr>
                <w:sz w:val="18"/>
                <w:szCs w:val="18"/>
              </w:rPr>
              <w:t>Aplica la norma de forma retroactiva sin fundamento.</w:t>
            </w:r>
          </w:p>
        </w:tc>
        <w:tc>
          <w:tcPr>
            <w:tcW w:w="1910" w:type="dxa"/>
            <w:shd w:val="clear" w:color="auto" w:fill="D9E2F3"/>
            <w:vAlign w:val="center"/>
          </w:tcPr>
          <w:p w14:paraId="22D85F62" w14:textId="77777777" w:rsidR="00990B14" w:rsidRDefault="00000000">
            <w:pPr>
              <w:spacing w:before="20" w:after="20"/>
              <w:jc w:val="both"/>
            </w:pPr>
            <w:r>
              <w:rPr>
                <w:sz w:val="18"/>
                <w:szCs w:val="18"/>
              </w:rPr>
              <w:t>Determina la irretroactividad y el ámbito espacial de la norma.</w:t>
            </w:r>
          </w:p>
        </w:tc>
        <w:tc>
          <w:tcPr>
            <w:tcW w:w="2015" w:type="dxa"/>
            <w:shd w:val="clear" w:color="auto" w:fill="D9E2F3"/>
            <w:vAlign w:val="center"/>
          </w:tcPr>
          <w:p w14:paraId="61D000D3" w14:textId="77777777" w:rsidR="00990B14" w:rsidRDefault="00000000">
            <w:pPr>
              <w:spacing w:before="20" w:after="20"/>
              <w:jc w:val="both"/>
            </w:pPr>
            <w:r>
              <w:rPr>
                <w:sz w:val="18"/>
                <w:szCs w:val="18"/>
              </w:rPr>
              <w:t>Resuelve un caso de sanción más benigna o con elementos en dos jurisdicciones.</w:t>
            </w:r>
          </w:p>
        </w:tc>
      </w:tr>
      <w:tr w:rsidR="00990B14" w14:paraId="7626AECB" w14:textId="77777777">
        <w:trPr>
          <w:cantSplit/>
          <w:jc w:val="center"/>
        </w:trPr>
        <w:tc>
          <w:tcPr>
            <w:tcW w:w="1724" w:type="dxa"/>
            <w:vMerge/>
            <w:shd w:val="clear" w:color="auto" w:fill="4472C4"/>
            <w:vAlign w:val="center"/>
          </w:tcPr>
          <w:p w14:paraId="740AA18A" w14:textId="77777777" w:rsidR="00990B14" w:rsidRDefault="00990B14">
            <w:pPr>
              <w:spacing w:before="20" w:after="20"/>
            </w:pPr>
          </w:p>
        </w:tc>
        <w:tc>
          <w:tcPr>
            <w:tcW w:w="1846" w:type="dxa"/>
            <w:shd w:val="clear" w:color="auto" w:fill="D9E2F3"/>
            <w:vAlign w:val="center"/>
          </w:tcPr>
          <w:p w14:paraId="56E43261" w14:textId="77777777" w:rsidR="00990B14" w:rsidRDefault="00000000">
            <w:pPr>
              <w:spacing w:before="20" w:after="20"/>
              <w:jc w:val="both"/>
            </w:pPr>
            <w:r>
              <w:rPr>
                <w:sz w:val="18"/>
                <w:szCs w:val="18"/>
              </w:rPr>
              <w:t>Fundamentación normativa</w:t>
            </w:r>
          </w:p>
        </w:tc>
        <w:tc>
          <w:tcPr>
            <w:tcW w:w="1910" w:type="dxa"/>
            <w:shd w:val="clear" w:color="auto" w:fill="D9E2F3"/>
            <w:vAlign w:val="center"/>
          </w:tcPr>
          <w:p w14:paraId="0B6D87D6" w14:textId="77777777" w:rsidR="00990B14" w:rsidRDefault="00000000">
            <w:pPr>
              <w:spacing w:before="20" w:after="20"/>
              <w:jc w:val="both"/>
            </w:pPr>
            <w:r>
              <w:rPr>
                <w:sz w:val="18"/>
                <w:szCs w:val="18"/>
              </w:rPr>
              <w:t>No cita la norma aplicable.</w:t>
            </w:r>
          </w:p>
        </w:tc>
        <w:tc>
          <w:tcPr>
            <w:tcW w:w="1910" w:type="dxa"/>
            <w:shd w:val="clear" w:color="auto" w:fill="D9E2F3"/>
            <w:vAlign w:val="center"/>
          </w:tcPr>
          <w:p w14:paraId="0400D2FF" w14:textId="77777777" w:rsidR="00990B14" w:rsidRDefault="00000000">
            <w:pPr>
              <w:spacing w:before="20" w:after="20"/>
              <w:jc w:val="both"/>
            </w:pPr>
            <w:r>
              <w:rPr>
                <w:sz w:val="18"/>
                <w:szCs w:val="18"/>
              </w:rPr>
              <w:t>Cita la norma tributaria aplicable al caso.</w:t>
            </w:r>
          </w:p>
        </w:tc>
        <w:tc>
          <w:tcPr>
            <w:tcW w:w="2015" w:type="dxa"/>
            <w:shd w:val="clear" w:color="auto" w:fill="D9E2F3"/>
            <w:vAlign w:val="center"/>
          </w:tcPr>
          <w:p w14:paraId="2EAB213B" w14:textId="77777777" w:rsidR="00990B14" w:rsidRDefault="00000000">
            <w:pPr>
              <w:spacing w:before="20" w:after="20"/>
              <w:jc w:val="both"/>
            </w:pPr>
            <w:r>
              <w:rPr>
                <w:sz w:val="18"/>
                <w:szCs w:val="18"/>
              </w:rPr>
              <w:t>Cita la norma aplicable y fundamenta su conclusión en el caso.</w:t>
            </w:r>
          </w:p>
        </w:tc>
      </w:tr>
      <w:tr w:rsidR="00990B14" w14:paraId="3E730D52" w14:textId="77777777">
        <w:trPr>
          <w:cantSplit/>
          <w:jc w:val="center"/>
        </w:trPr>
        <w:tc>
          <w:tcPr>
            <w:tcW w:w="1724" w:type="dxa"/>
            <w:vMerge/>
            <w:shd w:val="clear" w:color="auto" w:fill="4472C4"/>
            <w:vAlign w:val="center"/>
          </w:tcPr>
          <w:p w14:paraId="450CA432" w14:textId="77777777" w:rsidR="00990B14" w:rsidRDefault="00990B14">
            <w:pPr>
              <w:spacing w:before="20" w:after="20"/>
            </w:pPr>
          </w:p>
        </w:tc>
        <w:tc>
          <w:tcPr>
            <w:tcW w:w="5666" w:type="dxa"/>
            <w:gridSpan w:val="3"/>
            <w:shd w:val="clear" w:color="auto" w:fill="D9E2F3"/>
            <w:vAlign w:val="center"/>
          </w:tcPr>
          <w:p w14:paraId="1103F526" w14:textId="77777777" w:rsidR="00990B14" w:rsidRDefault="00000000">
            <w:pPr>
              <w:keepNext/>
              <w:spacing w:before="20" w:after="20"/>
              <w:jc w:val="both"/>
            </w:pPr>
            <w:r>
              <w:rPr>
                <w:b/>
                <w:bCs/>
                <w:i/>
                <w:iCs/>
                <w:sz w:val="18"/>
                <w:szCs w:val="18"/>
              </w:rPr>
              <w:t xml:space="preserve">Producto 3: </w:t>
            </w:r>
            <w:r>
              <w:rPr>
                <w:sz w:val="18"/>
                <w:szCs w:val="18"/>
              </w:rPr>
              <w:t>Cuadro de potestad y competencias tributarias por nivel de autonomía.</w:t>
            </w:r>
          </w:p>
        </w:tc>
        <w:tc>
          <w:tcPr>
            <w:tcW w:w="2015" w:type="dxa"/>
            <w:shd w:val="clear" w:color="auto" w:fill="D9E2F3"/>
            <w:vAlign w:val="center"/>
          </w:tcPr>
          <w:p w14:paraId="5FE06441" w14:textId="77777777" w:rsidR="00990B14" w:rsidRDefault="00000000">
            <w:pPr>
              <w:spacing w:before="20" w:after="20"/>
              <w:jc w:val="center"/>
            </w:pPr>
            <w:r>
              <w:rPr>
                <w:b/>
                <w:bCs/>
                <w:sz w:val="18"/>
                <w:szCs w:val="18"/>
              </w:rPr>
              <w:t>5%</w:t>
            </w:r>
          </w:p>
        </w:tc>
      </w:tr>
      <w:tr w:rsidR="00990B14" w14:paraId="38418C64" w14:textId="77777777">
        <w:trPr>
          <w:cantSplit/>
          <w:jc w:val="center"/>
        </w:trPr>
        <w:tc>
          <w:tcPr>
            <w:tcW w:w="1724" w:type="dxa"/>
            <w:vMerge/>
            <w:shd w:val="clear" w:color="auto" w:fill="4472C4"/>
            <w:vAlign w:val="center"/>
          </w:tcPr>
          <w:p w14:paraId="5ED2D85B" w14:textId="77777777" w:rsidR="00990B14" w:rsidRDefault="00990B14">
            <w:pPr>
              <w:spacing w:before="20" w:after="20"/>
            </w:pPr>
          </w:p>
        </w:tc>
        <w:tc>
          <w:tcPr>
            <w:tcW w:w="1846" w:type="dxa"/>
            <w:shd w:val="clear" w:color="auto" w:fill="4472C4"/>
            <w:vAlign w:val="center"/>
          </w:tcPr>
          <w:p w14:paraId="59C30588"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29B81085"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155E7731"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640F411B" w14:textId="77777777" w:rsidR="00990B14" w:rsidRDefault="00000000">
            <w:pPr>
              <w:keepNext/>
              <w:spacing w:before="20" w:after="20"/>
              <w:jc w:val="center"/>
            </w:pPr>
            <w:r>
              <w:rPr>
                <w:b/>
                <w:bCs/>
                <w:i/>
                <w:iCs/>
                <w:color w:val="FFFFFF"/>
                <w:sz w:val="18"/>
                <w:szCs w:val="18"/>
              </w:rPr>
              <w:t>Destacado (81–100)</w:t>
            </w:r>
          </w:p>
        </w:tc>
      </w:tr>
      <w:tr w:rsidR="00990B14" w14:paraId="0D273E8A" w14:textId="77777777">
        <w:trPr>
          <w:cantSplit/>
          <w:jc w:val="center"/>
        </w:trPr>
        <w:tc>
          <w:tcPr>
            <w:tcW w:w="1724" w:type="dxa"/>
            <w:vMerge/>
            <w:shd w:val="clear" w:color="auto" w:fill="4472C4"/>
            <w:vAlign w:val="center"/>
          </w:tcPr>
          <w:p w14:paraId="45B39B2A" w14:textId="77777777" w:rsidR="00990B14" w:rsidRDefault="00990B14">
            <w:pPr>
              <w:spacing w:before="20" w:after="20"/>
            </w:pPr>
          </w:p>
        </w:tc>
        <w:tc>
          <w:tcPr>
            <w:tcW w:w="1846" w:type="dxa"/>
            <w:shd w:val="clear" w:color="auto" w:fill="D9E2F3"/>
            <w:vAlign w:val="center"/>
          </w:tcPr>
          <w:p w14:paraId="16547500" w14:textId="77777777" w:rsidR="00990B14" w:rsidRDefault="00000000">
            <w:pPr>
              <w:spacing w:before="20" w:after="20"/>
              <w:jc w:val="both"/>
            </w:pPr>
            <w:r>
              <w:rPr>
                <w:sz w:val="18"/>
                <w:szCs w:val="18"/>
              </w:rPr>
              <w:t>Potestad tributaria</w:t>
            </w:r>
          </w:p>
        </w:tc>
        <w:tc>
          <w:tcPr>
            <w:tcW w:w="1910" w:type="dxa"/>
            <w:shd w:val="clear" w:color="auto" w:fill="D9E2F3"/>
            <w:vAlign w:val="center"/>
          </w:tcPr>
          <w:p w14:paraId="41193334" w14:textId="77777777" w:rsidR="00990B14" w:rsidRDefault="00000000">
            <w:pPr>
              <w:spacing w:before="20" w:after="20"/>
              <w:jc w:val="both"/>
            </w:pPr>
            <w:r>
              <w:rPr>
                <w:sz w:val="18"/>
                <w:szCs w:val="18"/>
              </w:rPr>
              <w:t>Confunde la potestad originaria y la derivada.</w:t>
            </w:r>
          </w:p>
        </w:tc>
        <w:tc>
          <w:tcPr>
            <w:tcW w:w="1910" w:type="dxa"/>
            <w:shd w:val="clear" w:color="auto" w:fill="D9E2F3"/>
            <w:vAlign w:val="center"/>
          </w:tcPr>
          <w:p w14:paraId="7ECE2030" w14:textId="77777777" w:rsidR="00990B14" w:rsidRDefault="00000000">
            <w:pPr>
              <w:spacing w:before="20" w:after="20"/>
              <w:jc w:val="both"/>
            </w:pPr>
            <w:r>
              <w:rPr>
                <w:sz w:val="18"/>
                <w:szCs w:val="18"/>
              </w:rPr>
              <w:t>Diferencia la potestad originaria de la derivada y cita la norma que la sustenta.</w:t>
            </w:r>
          </w:p>
        </w:tc>
        <w:tc>
          <w:tcPr>
            <w:tcW w:w="2015" w:type="dxa"/>
            <w:shd w:val="clear" w:color="auto" w:fill="D9E2F3"/>
            <w:vAlign w:val="center"/>
          </w:tcPr>
          <w:p w14:paraId="44B5CA86" w14:textId="77777777" w:rsidR="00990B14" w:rsidRDefault="00000000">
            <w:pPr>
              <w:spacing w:before="20" w:after="20"/>
              <w:jc w:val="both"/>
            </w:pPr>
            <w:r>
              <w:rPr>
                <w:sz w:val="18"/>
                <w:szCs w:val="18"/>
              </w:rPr>
              <w:t>Identifica sus límites constitucionales.</w:t>
            </w:r>
          </w:p>
        </w:tc>
      </w:tr>
      <w:tr w:rsidR="00990B14" w14:paraId="53BAD02A" w14:textId="77777777">
        <w:trPr>
          <w:cantSplit/>
          <w:jc w:val="center"/>
        </w:trPr>
        <w:tc>
          <w:tcPr>
            <w:tcW w:w="1724" w:type="dxa"/>
            <w:vMerge/>
            <w:shd w:val="clear" w:color="auto" w:fill="4472C4"/>
            <w:vAlign w:val="center"/>
          </w:tcPr>
          <w:p w14:paraId="3596EF07" w14:textId="77777777" w:rsidR="00990B14" w:rsidRDefault="00990B14">
            <w:pPr>
              <w:spacing w:before="20" w:after="20"/>
            </w:pPr>
          </w:p>
        </w:tc>
        <w:tc>
          <w:tcPr>
            <w:tcW w:w="1846" w:type="dxa"/>
            <w:shd w:val="clear" w:color="auto" w:fill="D9E2F3"/>
            <w:vAlign w:val="center"/>
          </w:tcPr>
          <w:p w14:paraId="7A5CB08A" w14:textId="77777777" w:rsidR="00990B14" w:rsidRDefault="00000000">
            <w:pPr>
              <w:spacing w:before="20" w:after="20"/>
              <w:jc w:val="both"/>
            </w:pPr>
            <w:r>
              <w:rPr>
                <w:sz w:val="18"/>
                <w:szCs w:val="18"/>
              </w:rPr>
              <w:t>Niveles de gobierno e impuestos</w:t>
            </w:r>
          </w:p>
        </w:tc>
        <w:tc>
          <w:tcPr>
            <w:tcW w:w="1910" w:type="dxa"/>
            <w:shd w:val="clear" w:color="auto" w:fill="D9E2F3"/>
            <w:vAlign w:val="center"/>
          </w:tcPr>
          <w:p w14:paraId="50ED8588" w14:textId="77777777" w:rsidR="00990B14" w:rsidRDefault="00000000">
            <w:pPr>
              <w:spacing w:before="20" w:after="20"/>
              <w:jc w:val="both"/>
            </w:pPr>
            <w:r>
              <w:rPr>
                <w:sz w:val="18"/>
                <w:szCs w:val="18"/>
              </w:rPr>
              <w:t>Omite niveles de gobierno o asigna impuestos al nivel equivocado.</w:t>
            </w:r>
          </w:p>
        </w:tc>
        <w:tc>
          <w:tcPr>
            <w:tcW w:w="1910" w:type="dxa"/>
            <w:shd w:val="clear" w:color="auto" w:fill="D9E2F3"/>
            <w:vAlign w:val="center"/>
          </w:tcPr>
          <w:p w14:paraId="4328A5B9" w14:textId="77777777" w:rsidR="00990B14" w:rsidRDefault="00000000">
            <w:pPr>
              <w:spacing w:before="20" w:after="20"/>
              <w:jc w:val="both"/>
            </w:pPr>
            <w:r>
              <w:rPr>
                <w:sz w:val="18"/>
                <w:szCs w:val="18"/>
              </w:rPr>
              <w:t>Asigna cada impuesto a su nivel de dominio: central, departamental, municipal.</w:t>
            </w:r>
          </w:p>
        </w:tc>
        <w:tc>
          <w:tcPr>
            <w:tcW w:w="2015" w:type="dxa"/>
            <w:shd w:val="clear" w:color="auto" w:fill="D9E2F3"/>
            <w:vAlign w:val="center"/>
          </w:tcPr>
          <w:p w14:paraId="096A7297" w14:textId="77777777" w:rsidR="00990B14" w:rsidRDefault="00000000">
            <w:pPr>
              <w:spacing w:before="20" w:after="20"/>
              <w:jc w:val="both"/>
            </w:pPr>
            <w:r>
              <w:rPr>
                <w:sz w:val="18"/>
                <w:szCs w:val="18"/>
              </w:rPr>
              <w:t>Distingue los tributos vinculados y los no vinculados.</w:t>
            </w:r>
          </w:p>
        </w:tc>
      </w:tr>
      <w:tr w:rsidR="00990B14" w14:paraId="1F28534F" w14:textId="77777777">
        <w:trPr>
          <w:cantSplit/>
          <w:jc w:val="center"/>
        </w:trPr>
        <w:tc>
          <w:tcPr>
            <w:tcW w:w="1724" w:type="dxa"/>
            <w:vMerge/>
            <w:shd w:val="clear" w:color="auto" w:fill="4472C4"/>
            <w:vAlign w:val="center"/>
          </w:tcPr>
          <w:p w14:paraId="40D0B5C5" w14:textId="77777777" w:rsidR="00990B14" w:rsidRDefault="00990B14">
            <w:pPr>
              <w:spacing w:before="20" w:after="20"/>
            </w:pPr>
          </w:p>
        </w:tc>
        <w:tc>
          <w:tcPr>
            <w:tcW w:w="1846" w:type="dxa"/>
            <w:shd w:val="clear" w:color="auto" w:fill="D9E2F3"/>
            <w:vAlign w:val="center"/>
          </w:tcPr>
          <w:p w14:paraId="21DA3098" w14:textId="77777777" w:rsidR="00990B14" w:rsidRDefault="00000000">
            <w:pPr>
              <w:spacing w:before="20" w:after="20"/>
              <w:jc w:val="both"/>
            </w:pPr>
            <w:r>
              <w:rPr>
                <w:sz w:val="18"/>
                <w:szCs w:val="18"/>
              </w:rPr>
              <w:t>Presentación</w:t>
            </w:r>
          </w:p>
        </w:tc>
        <w:tc>
          <w:tcPr>
            <w:tcW w:w="1910" w:type="dxa"/>
            <w:shd w:val="clear" w:color="auto" w:fill="D9E2F3"/>
            <w:vAlign w:val="center"/>
          </w:tcPr>
          <w:p w14:paraId="4A86EB85" w14:textId="77777777" w:rsidR="00990B14" w:rsidRDefault="00000000">
            <w:pPr>
              <w:spacing w:before="20" w:after="20"/>
              <w:jc w:val="both"/>
            </w:pPr>
            <w:r>
              <w:rPr>
                <w:sz w:val="18"/>
                <w:szCs w:val="18"/>
              </w:rPr>
              <w:t>El cuadro es incompleto.</w:t>
            </w:r>
          </w:p>
        </w:tc>
        <w:tc>
          <w:tcPr>
            <w:tcW w:w="1910" w:type="dxa"/>
            <w:shd w:val="clear" w:color="auto" w:fill="D9E2F3"/>
            <w:vAlign w:val="center"/>
          </w:tcPr>
          <w:p w14:paraId="35061EEA" w14:textId="77777777" w:rsidR="00990B14" w:rsidRDefault="00000000">
            <w:pPr>
              <w:spacing w:before="20" w:after="20"/>
              <w:jc w:val="both"/>
            </w:pPr>
            <w:r>
              <w:rPr>
                <w:sz w:val="18"/>
                <w:szCs w:val="18"/>
              </w:rPr>
              <w:t>El cuadro es claro y ordenado.</w:t>
            </w:r>
          </w:p>
        </w:tc>
        <w:tc>
          <w:tcPr>
            <w:tcW w:w="2015" w:type="dxa"/>
            <w:shd w:val="clear" w:color="auto" w:fill="D9E2F3"/>
            <w:vAlign w:val="center"/>
          </w:tcPr>
          <w:p w14:paraId="46DCC96E" w14:textId="77777777" w:rsidR="00990B14" w:rsidRDefault="00000000">
            <w:pPr>
              <w:spacing w:before="20" w:after="20"/>
              <w:jc w:val="both"/>
            </w:pPr>
            <w:r>
              <w:rPr>
                <w:sz w:val="18"/>
                <w:szCs w:val="18"/>
              </w:rPr>
              <w:t>El cuadro cita los artículos aplicables.</w:t>
            </w:r>
          </w:p>
        </w:tc>
      </w:tr>
      <w:tr w:rsidR="00990B14" w14:paraId="2E1ACA2A" w14:textId="77777777">
        <w:trPr>
          <w:cantSplit/>
          <w:jc w:val="center"/>
        </w:trPr>
        <w:tc>
          <w:tcPr>
            <w:tcW w:w="1724" w:type="dxa"/>
            <w:vMerge/>
            <w:shd w:val="clear" w:color="auto" w:fill="4472C4"/>
            <w:vAlign w:val="center"/>
          </w:tcPr>
          <w:p w14:paraId="6910C913" w14:textId="77777777" w:rsidR="00990B14" w:rsidRDefault="00990B14">
            <w:pPr>
              <w:spacing w:before="20" w:after="20"/>
            </w:pPr>
          </w:p>
        </w:tc>
        <w:tc>
          <w:tcPr>
            <w:tcW w:w="5666" w:type="dxa"/>
            <w:gridSpan w:val="3"/>
            <w:shd w:val="clear" w:color="auto" w:fill="D9E2F3"/>
            <w:vAlign w:val="center"/>
          </w:tcPr>
          <w:p w14:paraId="43FED3C4" w14:textId="77777777" w:rsidR="00990B14" w:rsidRDefault="00000000">
            <w:pPr>
              <w:keepNext/>
              <w:spacing w:before="20" w:after="20"/>
              <w:jc w:val="both"/>
            </w:pPr>
            <w:r>
              <w:rPr>
                <w:b/>
                <w:bCs/>
                <w:i/>
                <w:iCs/>
                <w:sz w:val="18"/>
                <w:szCs w:val="18"/>
              </w:rPr>
              <w:t xml:space="preserve">Producto 4: </w:t>
            </w:r>
            <w:r>
              <w:rPr>
                <w:sz w:val="18"/>
                <w:szCs w:val="18"/>
              </w:rPr>
              <w:t>Informe crítico de aplicación de los principios constitucionales a un tributo vigente</w:t>
            </w:r>
          </w:p>
        </w:tc>
        <w:tc>
          <w:tcPr>
            <w:tcW w:w="2015" w:type="dxa"/>
            <w:shd w:val="clear" w:color="auto" w:fill="D9E2F3"/>
            <w:vAlign w:val="center"/>
          </w:tcPr>
          <w:p w14:paraId="220ED554" w14:textId="77777777" w:rsidR="00990B14" w:rsidRDefault="00000000">
            <w:pPr>
              <w:spacing w:before="20" w:after="20"/>
              <w:jc w:val="center"/>
            </w:pPr>
            <w:r>
              <w:rPr>
                <w:b/>
                <w:bCs/>
                <w:sz w:val="18"/>
                <w:szCs w:val="18"/>
              </w:rPr>
              <w:t>5%</w:t>
            </w:r>
          </w:p>
        </w:tc>
      </w:tr>
      <w:tr w:rsidR="00990B14" w14:paraId="170A5B75" w14:textId="77777777">
        <w:trPr>
          <w:cantSplit/>
          <w:jc w:val="center"/>
        </w:trPr>
        <w:tc>
          <w:tcPr>
            <w:tcW w:w="1724" w:type="dxa"/>
            <w:vMerge/>
            <w:shd w:val="clear" w:color="auto" w:fill="4472C4"/>
            <w:vAlign w:val="center"/>
          </w:tcPr>
          <w:p w14:paraId="54CA6E25" w14:textId="77777777" w:rsidR="00990B14" w:rsidRDefault="00990B14">
            <w:pPr>
              <w:spacing w:before="20" w:after="20"/>
            </w:pPr>
          </w:p>
        </w:tc>
        <w:tc>
          <w:tcPr>
            <w:tcW w:w="1846" w:type="dxa"/>
            <w:shd w:val="clear" w:color="auto" w:fill="4472C4"/>
            <w:vAlign w:val="center"/>
          </w:tcPr>
          <w:p w14:paraId="74F066D1"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45A556E9"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73041390"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7E6F833B" w14:textId="77777777" w:rsidR="00990B14" w:rsidRDefault="00000000">
            <w:pPr>
              <w:keepNext/>
              <w:spacing w:before="20" w:after="20"/>
              <w:jc w:val="center"/>
            </w:pPr>
            <w:r>
              <w:rPr>
                <w:b/>
                <w:bCs/>
                <w:i/>
                <w:iCs/>
                <w:color w:val="FFFFFF"/>
                <w:sz w:val="18"/>
                <w:szCs w:val="18"/>
              </w:rPr>
              <w:t>Destacado (81–100)</w:t>
            </w:r>
          </w:p>
        </w:tc>
      </w:tr>
      <w:tr w:rsidR="00990B14" w14:paraId="7811619A" w14:textId="77777777">
        <w:trPr>
          <w:cantSplit/>
          <w:jc w:val="center"/>
        </w:trPr>
        <w:tc>
          <w:tcPr>
            <w:tcW w:w="1724" w:type="dxa"/>
            <w:vMerge/>
            <w:shd w:val="clear" w:color="auto" w:fill="4472C4"/>
            <w:vAlign w:val="center"/>
          </w:tcPr>
          <w:p w14:paraId="03635613" w14:textId="77777777" w:rsidR="00990B14" w:rsidRDefault="00990B14">
            <w:pPr>
              <w:spacing w:before="20" w:after="20"/>
            </w:pPr>
          </w:p>
        </w:tc>
        <w:tc>
          <w:tcPr>
            <w:tcW w:w="1846" w:type="dxa"/>
            <w:shd w:val="clear" w:color="auto" w:fill="D9E2F3"/>
            <w:vAlign w:val="center"/>
          </w:tcPr>
          <w:p w14:paraId="14E9BDB8" w14:textId="77777777" w:rsidR="00990B14" w:rsidRDefault="00000000">
            <w:pPr>
              <w:spacing w:before="20" w:after="20"/>
              <w:jc w:val="both"/>
            </w:pPr>
            <w:r>
              <w:rPr>
                <w:sz w:val="18"/>
                <w:szCs w:val="18"/>
              </w:rPr>
              <w:t>Identificación de principios</w:t>
            </w:r>
          </w:p>
        </w:tc>
        <w:tc>
          <w:tcPr>
            <w:tcW w:w="1910" w:type="dxa"/>
            <w:shd w:val="clear" w:color="auto" w:fill="D9E2F3"/>
            <w:vAlign w:val="center"/>
          </w:tcPr>
          <w:p w14:paraId="661FF2C4" w14:textId="77777777" w:rsidR="00990B14" w:rsidRDefault="00000000">
            <w:pPr>
              <w:spacing w:before="20" w:after="20"/>
              <w:jc w:val="both"/>
            </w:pPr>
            <w:r>
              <w:rPr>
                <w:sz w:val="18"/>
                <w:szCs w:val="18"/>
              </w:rPr>
              <w:t>Confunde los principios.</w:t>
            </w:r>
          </w:p>
        </w:tc>
        <w:tc>
          <w:tcPr>
            <w:tcW w:w="1910" w:type="dxa"/>
            <w:shd w:val="clear" w:color="auto" w:fill="D9E2F3"/>
            <w:vAlign w:val="center"/>
          </w:tcPr>
          <w:p w14:paraId="72B12882" w14:textId="77777777" w:rsidR="00990B14" w:rsidRDefault="00000000">
            <w:pPr>
              <w:spacing w:before="20" w:after="20"/>
              <w:jc w:val="both"/>
            </w:pPr>
            <w:r>
              <w:rPr>
                <w:sz w:val="18"/>
                <w:szCs w:val="18"/>
              </w:rPr>
              <w:t>Identifica los principios aplicables al caso.</w:t>
            </w:r>
          </w:p>
        </w:tc>
        <w:tc>
          <w:tcPr>
            <w:tcW w:w="2015" w:type="dxa"/>
            <w:shd w:val="clear" w:color="auto" w:fill="D9E2F3"/>
            <w:vAlign w:val="center"/>
          </w:tcPr>
          <w:p w14:paraId="116C053B" w14:textId="77777777" w:rsidR="00990B14" w:rsidRDefault="00000000">
            <w:pPr>
              <w:spacing w:before="20" w:after="20"/>
              <w:jc w:val="both"/>
            </w:pPr>
            <w:r>
              <w:rPr>
                <w:sz w:val="18"/>
                <w:szCs w:val="18"/>
              </w:rPr>
              <w:t>Establece la diferencia entre los principios reconocidos en la Constitución y el Código Tributario.</w:t>
            </w:r>
          </w:p>
        </w:tc>
      </w:tr>
      <w:tr w:rsidR="00990B14" w14:paraId="03AA0C7B" w14:textId="77777777">
        <w:trPr>
          <w:cantSplit/>
          <w:jc w:val="center"/>
        </w:trPr>
        <w:tc>
          <w:tcPr>
            <w:tcW w:w="1724" w:type="dxa"/>
            <w:vMerge/>
            <w:shd w:val="clear" w:color="auto" w:fill="4472C4"/>
            <w:vAlign w:val="center"/>
          </w:tcPr>
          <w:p w14:paraId="4DDA417D" w14:textId="77777777" w:rsidR="00990B14" w:rsidRDefault="00990B14">
            <w:pPr>
              <w:spacing w:before="20" w:after="20"/>
            </w:pPr>
          </w:p>
        </w:tc>
        <w:tc>
          <w:tcPr>
            <w:tcW w:w="1846" w:type="dxa"/>
            <w:shd w:val="clear" w:color="auto" w:fill="D9E2F3"/>
            <w:vAlign w:val="center"/>
          </w:tcPr>
          <w:p w14:paraId="490F2BA8" w14:textId="77777777" w:rsidR="00990B14" w:rsidRDefault="00000000">
            <w:pPr>
              <w:spacing w:before="20" w:after="20"/>
              <w:jc w:val="both"/>
            </w:pPr>
            <w:r>
              <w:rPr>
                <w:sz w:val="18"/>
                <w:szCs w:val="18"/>
              </w:rPr>
              <w:t>Aplicación al caso</w:t>
            </w:r>
          </w:p>
        </w:tc>
        <w:tc>
          <w:tcPr>
            <w:tcW w:w="1910" w:type="dxa"/>
            <w:shd w:val="clear" w:color="auto" w:fill="D9E2F3"/>
            <w:vAlign w:val="center"/>
          </w:tcPr>
          <w:p w14:paraId="660A9E4D" w14:textId="77777777" w:rsidR="00990B14" w:rsidRDefault="00000000">
            <w:pPr>
              <w:spacing w:before="20" w:after="20"/>
              <w:jc w:val="both"/>
            </w:pPr>
            <w:r>
              <w:rPr>
                <w:sz w:val="18"/>
                <w:szCs w:val="18"/>
              </w:rPr>
              <w:t>Enuncia los principios sin aplicarlos.</w:t>
            </w:r>
          </w:p>
        </w:tc>
        <w:tc>
          <w:tcPr>
            <w:tcW w:w="1910" w:type="dxa"/>
            <w:shd w:val="clear" w:color="auto" w:fill="D9E2F3"/>
            <w:vAlign w:val="center"/>
          </w:tcPr>
          <w:p w14:paraId="4067DABF" w14:textId="77777777" w:rsidR="00990B14" w:rsidRDefault="00000000">
            <w:pPr>
              <w:spacing w:before="20" w:after="20"/>
              <w:jc w:val="both"/>
            </w:pPr>
            <w:r>
              <w:rPr>
                <w:sz w:val="18"/>
                <w:szCs w:val="18"/>
              </w:rPr>
              <w:t>Aplica el principio respectivo conforme a los principios de la política fiscal.</w:t>
            </w:r>
          </w:p>
        </w:tc>
        <w:tc>
          <w:tcPr>
            <w:tcW w:w="2015" w:type="dxa"/>
            <w:shd w:val="clear" w:color="auto" w:fill="D9E2F3"/>
            <w:vAlign w:val="center"/>
          </w:tcPr>
          <w:p w14:paraId="6B3FA501" w14:textId="77777777" w:rsidR="00990B14" w:rsidRDefault="00000000">
            <w:pPr>
              <w:spacing w:before="20" w:after="20"/>
              <w:jc w:val="both"/>
            </w:pPr>
            <w:r>
              <w:rPr>
                <w:sz w:val="18"/>
                <w:szCs w:val="18"/>
              </w:rPr>
              <w:t>Detecta posibles vulneraciones de principios.</w:t>
            </w:r>
          </w:p>
        </w:tc>
      </w:tr>
      <w:tr w:rsidR="00990B14" w14:paraId="1397BB59" w14:textId="77777777">
        <w:trPr>
          <w:cantSplit/>
          <w:jc w:val="center"/>
        </w:trPr>
        <w:tc>
          <w:tcPr>
            <w:tcW w:w="1724" w:type="dxa"/>
            <w:vMerge/>
            <w:shd w:val="clear" w:color="auto" w:fill="4472C4"/>
            <w:vAlign w:val="center"/>
          </w:tcPr>
          <w:p w14:paraId="2DAD7A90" w14:textId="77777777" w:rsidR="00990B14" w:rsidRDefault="00990B14">
            <w:pPr>
              <w:spacing w:before="20" w:after="20"/>
            </w:pPr>
          </w:p>
        </w:tc>
        <w:tc>
          <w:tcPr>
            <w:tcW w:w="1846" w:type="dxa"/>
            <w:shd w:val="clear" w:color="auto" w:fill="D9E2F3"/>
            <w:vAlign w:val="center"/>
          </w:tcPr>
          <w:p w14:paraId="7343C2C5" w14:textId="77777777" w:rsidR="00990B14" w:rsidRDefault="00000000">
            <w:pPr>
              <w:spacing w:before="20" w:after="20"/>
              <w:jc w:val="both"/>
            </w:pPr>
            <w:r>
              <w:rPr>
                <w:sz w:val="18"/>
                <w:szCs w:val="18"/>
              </w:rPr>
              <w:t>Juicio crítico</w:t>
            </w:r>
          </w:p>
        </w:tc>
        <w:tc>
          <w:tcPr>
            <w:tcW w:w="1910" w:type="dxa"/>
            <w:shd w:val="clear" w:color="auto" w:fill="D9E2F3"/>
            <w:vAlign w:val="center"/>
          </w:tcPr>
          <w:p w14:paraId="09940551" w14:textId="77777777" w:rsidR="00990B14" w:rsidRDefault="00000000">
            <w:pPr>
              <w:spacing w:before="20" w:after="20"/>
              <w:jc w:val="both"/>
            </w:pPr>
            <w:r>
              <w:rPr>
                <w:sz w:val="18"/>
                <w:szCs w:val="18"/>
              </w:rPr>
              <w:t>No emite juicio.</w:t>
            </w:r>
          </w:p>
        </w:tc>
        <w:tc>
          <w:tcPr>
            <w:tcW w:w="1910" w:type="dxa"/>
            <w:shd w:val="clear" w:color="auto" w:fill="D9E2F3"/>
            <w:vAlign w:val="center"/>
          </w:tcPr>
          <w:p w14:paraId="0E9CB0BF" w14:textId="77777777" w:rsidR="00990B14" w:rsidRDefault="00000000">
            <w:pPr>
              <w:spacing w:before="20" w:after="20"/>
              <w:jc w:val="both"/>
            </w:pPr>
            <w:r>
              <w:rPr>
                <w:sz w:val="18"/>
                <w:szCs w:val="18"/>
              </w:rPr>
              <w:t>Emite un juicio fundado sobre el tributo analizado.</w:t>
            </w:r>
          </w:p>
        </w:tc>
        <w:tc>
          <w:tcPr>
            <w:tcW w:w="2015" w:type="dxa"/>
            <w:shd w:val="clear" w:color="auto" w:fill="D9E2F3"/>
            <w:vAlign w:val="center"/>
          </w:tcPr>
          <w:p w14:paraId="2C354B55" w14:textId="77777777" w:rsidR="00990B14" w:rsidRDefault="00000000">
            <w:pPr>
              <w:spacing w:before="20" w:after="20"/>
              <w:jc w:val="both"/>
            </w:pPr>
            <w:r>
              <w:rPr>
                <w:sz w:val="18"/>
                <w:szCs w:val="18"/>
              </w:rPr>
              <w:t>Identifica incoherencias en la aplicación</w:t>
            </w:r>
          </w:p>
        </w:tc>
      </w:tr>
      <w:tr w:rsidR="00990B14" w14:paraId="6C1EB007" w14:textId="77777777">
        <w:trPr>
          <w:cantSplit/>
          <w:jc w:val="center"/>
        </w:trPr>
        <w:tc>
          <w:tcPr>
            <w:tcW w:w="1724" w:type="dxa"/>
            <w:vMerge/>
            <w:shd w:val="clear" w:color="auto" w:fill="4472C4"/>
            <w:vAlign w:val="center"/>
          </w:tcPr>
          <w:p w14:paraId="3EFAF30A" w14:textId="77777777" w:rsidR="00990B14" w:rsidRDefault="00990B14">
            <w:pPr>
              <w:spacing w:before="20" w:after="20"/>
            </w:pPr>
          </w:p>
        </w:tc>
        <w:tc>
          <w:tcPr>
            <w:tcW w:w="5666" w:type="dxa"/>
            <w:gridSpan w:val="3"/>
            <w:shd w:val="clear" w:color="auto" w:fill="D9E2F3"/>
            <w:vAlign w:val="center"/>
          </w:tcPr>
          <w:p w14:paraId="3C4A98D4" w14:textId="77777777" w:rsidR="00990B14" w:rsidRDefault="00000000">
            <w:pPr>
              <w:keepNext/>
              <w:spacing w:before="20" w:after="20"/>
              <w:jc w:val="both"/>
            </w:pPr>
            <w:r>
              <w:rPr>
                <w:b/>
                <w:bCs/>
                <w:i/>
                <w:iCs/>
                <w:sz w:val="18"/>
                <w:szCs w:val="18"/>
              </w:rPr>
              <w:t xml:space="preserve">Producto 5: </w:t>
            </w:r>
            <w:r>
              <w:rPr>
                <w:sz w:val="18"/>
                <w:szCs w:val="18"/>
              </w:rPr>
              <w:t>Cuadro de clasificación de tributos y matriz de obligaciones tributarias del contribuyente</w:t>
            </w:r>
          </w:p>
        </w:tc>
        <w:tc>
          <w:tcPr>
            <w:tcW w:w="2015" w:type="dxa"/>
            <w:shd w:val="clear" w:color="auto" w:fill="D9E2F3"/>
            <w:vAlign w:val="center"/>
          </w:tcPr>
          <w:p w14:paraId="14D5E0D3" w14:textId="77777777" w:rsidR="00990B14" w:rsidRDefault="00000000">
            <w:pPr>
              <w:spacing w:before="20" w:after="20"/>
              <w:jc w:val="center"/>
            </w:pPr>
            <w:r>
              <w:rPr>
                <w:b/>
                <w:bCs/>
                <w:sz w:val="18"/>
                <w:szCs w:val="18"/>
              </w:rPr>
              <w:t>7%</w:t>
            </w:r>
          </w:p>
        </w:tc>
      </w:tr>
      <w:tr w:rsidR="00990B14" w14:paraId="1D00F7D4" w14:textId="77777777">
        <w:trPr>
          <w:cantSplit/>
          <w:jc w:val="center"/>
        </w:trPr>
        <w:tc>
          <w:tcPr>
            <w:tcW w:w="1724" w:type="dxa"/>
            <w:vMerge/>
            <w:shd w:val="clear" w:color="auto" w:fill="4472C4"/>
            <w:vAlign w:val="center"/>
          </w:tcPr>
          <w:p w14:paraId="7053F147" w14:textId="77777777" w:rsidR="00990B14" w:rsidRDefault="00990B14">
            <w:pPr>
              <w:spacing w:before="20" w:after="20"/>
            </w:pPr>
          </w:p>
        </w:tc>
        <w:tc>
          <w:tcPr>
            <w:tcW w:w="1846" w:type="dxa"/>
            <w:shd w:val="clear" w:color="auto" w:fill="4472C4"/>
            <w:vAlign w:val="center"/>
          </w:tcPr>
          <w:p w14:paraId="5F5C30FE"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6ED07862"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4EA727F5"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7DB4D29E" w14:textId="77777777" w:rsidR="00990B14" w:rsidRDefault="00000000">
            <w:pPr>
              <w:keepNext/>
              <w:spacing w:before="20" w:after="20"/>
              <w:jc w:val="center"/>
            </w:pPr>
            <w:r>
              <w:rPr>
                <w:b/>
                <w:bCs/>
                <w:i/>
                <w:iCs/>
                <w:color w:val="FFFFFF"/>
                <w:sz w:val="18"/>
                <w:szCs w:val="18"/>
              </w:rPr>
              <w:t>Destacado (81–100)</w:t>
            </w:r>
          </w:p>
        </w:tc>
      </w:tr>
      <w:tr w:rsidR="00990B14" w14:paraId="27251CA3" w14:textId="77777777">
        <w:trPr>
          <w:cantSplit/>
          <w:jc w:val="center"/>
        </w:trPr>
        <w:tc>
          <w:tcPr>
            <w:tcW w:w="1724" w:type="dxa"/>
            <w:vMerge/>
            <w:shd w:val="clear" w:color="auto" w:fill="4472C4"/>
            <w:vAlign w:val="center"/>
          </w:tcPr>
          <w:p w14:paraId="49304061" w14:textId="77777777" w:rsidR="00990B14" w:rsidRDefault="00990B14">
            <w:pPr>
              <w:spacing w:before="20" w:after="20"/>
            </w:pPr>
          </w:p>
        </w:tc>
        <w:tc>
          <w:tcPr>
            <w:tcW w:w="1846" w:type="dxa"/>
            <w:shd w:val="clear" w:color="auto" w:fill="D9E2F3"/>
            <w:vAlign w:val="center"/>
          </w:tcPr>
          <w:p w14:paraId="5B22A433" w14:textId="77777777" w:rsidR="00990B14" w:rsidRDefault="00000000">
            <w:pPr>
              <w:spacing w:before="20" w:after="20"/>
              <w:jc w:val="both"/>
            </w:pPr>
            <w:r>
              <w:rPr>
                <w:sz w:val="18"/>
                <w:szCs w:val="18"/>
              </w:rPr>
              <w:t>Clasificación de tributos</w:t>
            </w:r>
          </w:p>
        </w:tc>
        <w:tc>
          <w:tcPr>
            <w:tcW w:w="1910" w:type="dxa"/>
            <w:shd w:val="clear" w:color="auto" w:fill="D9E2F3"/>
            <w:vAlign w:val="center"/>
          </w:tcPr>
          <w:p w14:paraId="5B0225FF" w14:textId="77777777" w:rsidR="00990B14" w:rsidRDefault="00000000">
            <w:pPr>
              <w:spacing w:before="20" w:after="20"/>
              <w:jc w:val="both"/>
            </w:pPr>
            <w:r>
              <w:rPr>
                <w:sz w:val="18"/>
                <w:szCs w:val="18"/>
              </w:rPr>
              <w:t>Confunde impuestos y tributos</w:t>
            </w:r>
          </w:p>
        </w:tc>
        <w:tc>
          <w:tcPr>
            <w:tcW w:w="1910" w:type="dxa"/>
            <w:shd w:val="clear" w:color="auto" w:fill="D9E2F3"/>
            <w:vAlign w:val="center"/>
          </w:tcPr>
          <w:p w14:paraId="7C788FEF" w14:textId="77777777" w:rsidR="00990B14" w:rsidRDefault="00000000">
            <w:pPr>
              <w:spacing w:before="20" w:after="20"/>
              <w:jc w:val="both"/>
            </w:pPr>
            <w:r>
              <w:rPr>
                <w:sz w:val="18"/>
                <w:szCs w:val="18"/>
              </w:rPr>
              <w:t>Clasifica los tributos según el Código Tributario.</w:t>
            </w:r>
          </w:p>
        </w:tc>
        <w:tc>
          <w:tcPr>
            <w:tcW w:w="2015" w:type="dxa"/>
            <w:shd w:val="clear" w:color="auto" w:fill="D9E2F3"/>
            <w:vAlign w:val="center"/>
          </w:tcPr>
          <w:p w14:paraId="3836BE08" w14:textId="77777777" w:rsidR="00990B14" w:rsidRDefault="00000000">
            <w:pPr>
              <w:spacing w:before="20" w:after="20"/>
              <w:jc w:val="both"/>
            </w:pPr>
            <w:r>
              <w:rPr>
                <w:sz w:val="18"/>
                <w:szCs w:val="18"/>
              </w:rPr>
              <w:t>Discrimina impuestos del nivel central del Estado, departamental y municipal.</w:t>
            </w:r>
          </w:p>
        </w:tc>
      </w:tr>
      <w:tr w:rsidR="00990B14" w14:paraId="059B214A" w14:textId="77777777">
        <w:trPr>
          <w:cantSplit/>
          <w:jc w:val="center"/>
        </w:trPr>
        <w:tc>
          <w:tcPr>
            <w:tcW w:w="1724" w:type="dxa"/>
            <w:vMerge/>
            <w:shd w:val="clear" w:color="auto" w:fill="4472C4"/>
            <w:vAlign w:val="center"/>
          </w:tcPr>
          <w:p w14:paraId="55C869FD" w14:textId="77777777" w:rsidR="00990B14" w:rsidRDefault="00990B14">
            <w:pPr>
              <w:spacing w:before="20" w:after="20"/>
            </w:pPr>
          </w:p>
        </w:tc>
        <w:tc>
          <w:tcPr>
            <w:tcW w:w="1846" w:type="dxa"/>
            <w:shd w:val="clear" w:color="auto" w:fill="D9E2F3"/>
            <w:vAlign w:val="center"/>
          </w:tcPr>
          <w:p w14:paraId="0496E169" w14:textId="77777777" w:rsidR="00990B14" w:rsidRDefault="00000000">
            <w:pPr>
              <w:spacing w:before="20" w:after="20"/>
              <w:jc w:val="both"/>
            </w:pPr>
            <w:r>
              <w:rPr>
                <w:sz w:val="18"/>
                <w:szCs w:val="18"/>
              </w:rPr>
              <w:t>Elementos de la obligación</w:t>
            </w:r>
          </w:p>
        </w:tc>
        <w:tc>
          <w:tcPr>
            <w:tcW w:w="1910" w:type="dxa"/>
            <w:shd w:val="clear" w:color="auto" w:fill="D9E2F3"/>
            <w:vAlign w:val="center"/>
          </w:tcPr>
          <w:p w14:paraId="2B522C19" w14:textId="77777777" w:rsidR="00990B14" w:rsidRDefault="00000000">
            <w:pPr>
              <w:spacing w:before="20" w:after="20"/>
              <w:jc w:val="both"/>
            </w:pPr>
            <w:r>
              <w:rPr>
                <w:sz w:val="18"/>
                <w:szCs w:val="18"/>
              </w:rPr>
              <w:t>Desconoce los elementos del impuesto.</w:t>
            </w:r>
          </w:p>
        </w:tc>
        <w:tc>
          <w:tcPr>
            <w:tcW w:w="1910" w:type="dxa"/>
            <w:shd w:val="clear" w:color="auto" w:fill="D9E2F3"/>
            <w:vAlign w:val="center"/>
          </w:tcPr>
          <w:p w14:paraId="0A728258" w14:textId="77777777" w:rsidR="00990B14" w:rsidRDefault="00000000">
            <w:pPr>
              <w:spacing w:before="20" w:after="20"/>
              <w:jc w:val="both"/>
            </w:pPr>
            <w:r>
              <w:rPr>
                <w:sz w:val="18"/>
                <w:szCs w:val="18"/>
              </w:rPr>
              <w:t>Identifica el hecho imponible, los sujetos, la base y la alícuota.</w:t>
            </w:r>
          </w:p>
        </w:tc>
        <w:tc>
          <w:tcPr>
            <w:tcW w:w="2015" w:type="dxa"/>
            <w:shd w:val="clear" w:color="auto" w:fill="D9E2F3"/>
            <w:vAlign w:val="center"/>
          </w:tcPr>
          <w:p w14:paraId="65FF137A" w14:textId="77777777" w:rsidR="00990B14" w:rsidRDefault="00000000">
            <w:pPr>
              <w:spacing w:before="20" w:after="20"/>
              <w:jc w:val="both"/>
            </w:pPr>
            <w:r>
              <w:rPr>
                <w:sz w:val="18"/>
                <w:szCs w:val="18"/>
              </w:rPr>
              <w:t>Diferencia entre la base imponible y el hecho imponible.</w:t>
            </w:r>
          </w:p>
        </w:tc>
      </w:tr>
      <w:tr w:rsidR="00990B14" w14:paraId="6DCEEEFB" w14:textId="77777777">
        <w:trPr>
          <w:cantSplit/>
          <w:jc w:val="center"/>
        </w:trPr>
        <w:tc>
          <w:tcPr>
            <w:tcW w:w="1724" w:type="dxa"/>
            <w:vMerge/>
            <w:shd w:val="clear" w:color="auto" w:fill="4472C4"/>
            <w:vAlign w:val="center"/>
          </w:tcPr>
          <w:p w14:paraId="2B58D1ED" w14:textId="77777777" w:rsidR="00990B14" w:rsidRDefault="00990B14">
            <w:pPr>
              <w:spacing w:before="20" w:after="20"/>
            </w:pPr>
          </w:p>
        </w:tc>
        <w:tc>
          <w:tcPr>
            <w:tcW w:w="1846" w:type="dxa"/>
            <w:shd w:val="clear" w:color="auto" w:fill="D9E2F3"/>
            <w:vAlign w:val="center"/>
          </w:tcPr>
          <w:p w14:paraId="097A33DD" w14:textId="77777777" w:rsidR="00990B14" w:rsidRDefault="00000000">
            <w:pPr>
              <w:spacing w:before="20" w:after="20"/>
              <w:jc w:val="both"/>
            </w:pPr>
            <w:r>
              <w:rPr>
                <w:sz w:val="18"/>
                <w:szCs w:val="18"/>
              </w:rPr>
              <w:t>Obligaciones formales</w:t>
            </w:r>
          </w:p>
        </w:tc>
        <w:tc>
          <w:tcPr>
            <w:tcW w:w="1910" w:type="dxa"/>
            <w:shd w:val="clear" w:color="auto" w:fill="D9E2F3"/>
            <w:vAlign w:val="center"/>
          </w:tcPr>
          <w:p w14:paraId="302452B1" w14:textId="77777777" w:rsidR="00990B14" w:rsidRDefault="00000000">
            <w:pPr>
              <w:spacing w:before="20" w:after="20"/>
              <w:jc w:val="both"/>
            </w:pPr>
            <w:r>
              <w:rPr>
                <w:sz w:val="18"/>
                <w:szCs w:val="18"/>
              </w:rPr>
              <w:t>Desconoce deberes formales.</w:t>
            </w:r>
          </w:p>
        </w:tc>
        <w:tc>
          <w:tcPr>
            <w:tcW w:w="1910" w:type="dxa"/>
            <w:shd w:val="clear" w:color="auto" w:fill="D9E2F3"/>
            <w:vAlign w:val="center"/>
          </w:tcPr>
          <w:p w14:paraId="7C852CFC" w14:textId="77777777" w:rsidR="00990B14" w:rsidRDefault="00000000">
            <w:pPr>
              <w:spacing w:before="20" w:after="20"/>
              <w:jc w:val="both"/>
            </w:pPr>
            <w:r>
              <w:rPr>
                <w:sz w:val="18"/>
                <w:szCs w:val="18"/>
              </w:rPr>
              <w:t>Identifica las obligaciones materiales y formales.</w:t>
            </w:r>
          </w:p>
        </w:tc>
        <w:tc>
          <w:tcPr>
            <w:tcW w:w="2015" w:type="dxa"/>
            <w:shd w:val="clear" w:color="auto" w:fill="D9E2F3"/>
            <w:vAlign w:val="center"/>
          </w:tcPr>
          <w:p w14:paraId="1C1BB3D7" w14:textId="77777777" w:rsidR="00990B14" w:rsidRDefault="00000000">
            <w:pPr>
              <w:spacing w:before="20" w:after="20"/>
              <w:jc w:val="both"/>
            </w:pPr>
            <w:r>
              <w:rPr>
                <w:sz w:val="18"/>
                <w:szCs w:val="18"/>
              </w:rPr>
              <w:t>Determina las sanciones por el incumplimiento de las obligaciones.</w:t>
            </w:r>
          </w:p>
        </w:tc>
      </w:tr>
      <w:tr w:rsidR="00990B14" w14:paraId="3D66BF6A" w14:textId="77777777">
        <w:trPr>
          <w:cantSplit/>
          <w:jc w:val="center"/>
        </w:trPr>
        <w:tc>
          <w:tcPr>
            <w:tcW w:w="1724" w:type="dxa"/>
            <w:vMerge/>
            <w:shd w:val="clear" w:color="auto" w:fill="4472C4"/>
            <w:vAlign w:val="center"/>
          </w:tcPr>
          <w:p w14:paraId="36B31602" w14:textId="77777777" w:rsidR="00990B14" w:rsidRDefault="00990B14">
            <w:pPr>
              <w:spacing w:before="20" w:after="20"/>
            </w:pPr>
          </w:p>
        </w:tc>
        <w:tc>
          <w:tcPr>
            <w:tcW w:w="5666" w:type="dxa"/>
            <w:gridSpan w:val="3"/>
            <w:shd w:val="clear" w:color="auto" w:fill="D9E2F3"/>
            <w:vAlign w:val="center"/>
          </w:tcPr>
          <w:p w14:paraId="0F602A43" w14:textId="77777777" w:rsidR="00990B14" w:rsidRDefault="00000000">
            <w:pPr>
              <w:keepNext/>
              <w:spacing w:before="20" w:after="20"/>
              <w:jc w:val="both"/>
            </w:pPr>
            <w:r>
              <w:rPr>
                <w:b/>
                <w:bCs/>
                <w:i/>
                <w:iCs/>
                <w:sz w:val="18"/>
                <w:szCs w:val="18"/>
              </w:rPr>
              <w:t xml:space="preserve">Producto 6: </w:t>
            </w:r>
            <w:r>
              <w:rPr>
                <w:sz w:val="18"/>
                <w:szCs w:val="18"/>
              </w:rPr>
              <w:t>Informe de extinción de la obligación tributaria</w:t>
            </w:r>
          </w:p>
        </w:tc>
        <w:tc>
          <w:tcPr>
            <w:tcW w:w="2015" w:type="dxa"/>
            <w:shd w:val="clear" w:color="auto" w:fill="D9E2F3"/>
            <w:vAlign w:val="center"/>
          </w:tcPr>
          <w:p w14:paraId="77421684" w14:textId="77777777" w:rsidR="00990B14" w:rsidRDefault="00000000">
            <w:pPr>
              <w:spacing w:before="20" w:after="20"/>
              <w:jc w:val="center"/>
            </w:pPr>
            <w:r>
              <w:rPr>
                <w:b/>
                <w:bCs/>
                <w:sz w:val="18"/>
                <w:szCs w:val="18"/>
              </w:rPr>
              <w:t>7%</w:t>
            </w:r>
          </w:p>
        </w:tc>
      </w:tr>
      <w:tr w:rsidR="00990B14" w14:paraId="01BF9729" w14:textId="77777777">
        <w:trPr>
          <w:cantSplit/>
          <w:jc w:val="center"/>
        </w:trPr>
        <w:tc>
          <w:tcPr>
            <w:tcW w:w="1724" w:type="dxa"/>
            <w:vMerge/>
            <w:shd w:val="clear" w:color="auto" w:fill="4472C4"/>
            <w:vAlign w:val="center"/>
          </w:tcPr>
          <w:p w14:paraId="29CA09EB" w14:textId="77777777" w:rsidR="00990B14" w:rsidRDefault="00990B14">
            <w:pPr>
              <w:spacing w:before="20" w:after="20"/>
            </w:pPr>
          </w:p>
        </w:tc>
        <w:tc>
          <w:tcPr>
            <w:tcW w:w="1846" w:type="dxa"/>
            <w:shd w:val="clear" w:color="auto" w:fill="4472C4"/>
            <w:vAlign w:val="center"/>
          </w:tcPr>
          <w:p w14:paraId="46EB4FFE"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4C689206"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62B6C658"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18E419D4" w14:textId="77777777" w:rsidR="00990B14" w:rsidRDefault="00000000">
            <w:pPr>
              <w:keepNext/>
              <w:spacing w:before="20" w:after="20"/>
              <w:jc w:val="center"/>
            </w:pPr>
            <w:r>
              <w:rPr>
                <w:b/>
                <w:bCs/>
                <w:i/>
                <w:iCs/>
                <w:color w:val="FFFFFF"/>
                <w:sz w:val="18"/>
                <w:szCs w:val="18"/>
              </w:rPr>
              <w:t>Destacado (81–100)</w:t>
            </w:r>
          </w:p>
        </w:tc>
      </w:tr>
      <w:tr w:rsidR="00990B14" w14:paraId="5EED3BB9" w14:textId="77777777">
        <w:trPr>
          <w:cantSplit/>
          <w:jc w:val="center"/>
        </w:trPr>
        <w:tc>
          <w:tcPr>
            <w:tcW w:w="1724" w:type="dxa"/>
            <w:vMerge/>
            <w:shd w:val="clear" w:color="auto" w:fill="4472C4"/>
            <w:vAlign w:val="center"/>
          </w:tcPr>
          <w:p w14:paraId="2E16BBC3" w14:textId="77777777" w:rsidR="00990B14" w:rsidRDefault="00990B14">
            <w:pPr>
              <w:spacing w:before="20" w:after="20"/>
            </w:pPr>
          </w:p>
        </w:tc>
        <w:tc>
          <w:tcPr>
            <w:tcW w:w="1846" w:type="dxa"/>
            <w:shd w:val="clear" w:color="auto" w:fill="D9E2F3"/>
            <w:vAlign w:val="center"/>
          </w:tcPr>
          <w:p w14:paraId="392E06B4" w14:textId="77777777" w:rsidR="00990B14" w:rsidRDefault="00000000">
            <w:pPr>
              <w:spacing w:before="20" w:after="20"/>
              <w:jc w:val="both"/>
            </w:pPr>
            <w:r>
              <w:rPr>
                <w:sz w:val="18"/>
                <w:szCs w:val="18"/>
              </w:rPr>
              <w:t>Forma de extinción</w:t>
            </w:r>
          </w:p>
        </w:tc>
        <w:tc>
          <w:tcPr>
            <w:tcW w:w="1910" w:type="dxa"/>
            <w:shd w:val="clear" w:color="auto" w:fill="D9E2F3"/>
            <w:vAlign w:val="center"/>
          </w:tcPr>
          <w:p w14:paraId="35C3F039" w14:textId="77777777" w:rsidR="00990B14" w:rsidRDefault="00000000">
            <w:pPr>
              <w:spacing w:before="20" w:after="20"/>
              <w:jc w:val="both"/>
            </w:pPr>
            <w:r>
              <w:rPr>
                <w:sz w:val="18"/>
                <w:szCs w:val="18"/>
              </w:rPr>
              <w:t>Desconoce las formas de extinción.</w:t>
            </w:r>
          </w:p>
        </w:tc>
        <w:tc>
          <w:tcPr>
            <w:tcW w:w="1910" w:type="dxa"/>
            <w:shd w:val="clear" w:color="auto" w:fill="D9E2F3"/>
            <w:vAlign w:val="center"/>
          </w:tcPr>
          <w:p w14:paraId="38E38377" w14:textId="77777777" w:rsidR="00990B14" w:rsidRDefault="00000000">
            <w:pPr>
              <w:spacing w:before="20" w:after="20"/>
              <w:jc w:val="both"/>
            </w:pPr>
            <w:r>
              <w:rPr>
                <w:sz w:val="18"/>
                <w:szCs w:val="18"/>
              </w:rPr>
              <w:t>Determina los presupuestos legales para la aplicación de formas de extinción.</w:t>
            </w:r>
          </w:p>
        </w:tc>
        <w:tc>
          <w:tcPr>
            <w:tcW w:w="2015" w:type="dxa"/>
            <w:shd w:val="clear" w:color="auto" w:fill="D9E2F3"/>
            <w:vAlign w:val="center"/>
          </w:tcPr>
          <w:p w14:paraId="0B372E05" w14:textId="77777777" w:rsidR="00990B14" w:rsidRDefault="00000000">
            <w:pPr>
              <w:spacing w:before="20" w:after="20"/>
              <w:jc w:val="both"/>
            </w:pPr>
            <w:r>
              <w:rPr>
                <w:sz w:val="18"/>
                <w:szCs w:val="18"/>
              </w:rPr>
              <w:t>Compara las formas aplicables y sus efectos.</w:t>
            </w:r>
          </w:p>
        </w:tc>
      </w:tr>
      <w:tr w:rsidR="00990B14" w14:paraId="2070A692" w14:textId="77777777">
        <w:trPr>
          <w:cantSplit/>
          <w:jc w:val="center"/>
        </w:trPr>
        <w:tc>
          <w:tcPr>
            <w:tcW w:w="1724" w:type="dxa"/>
            <w:vMerge/>
            <w:shd w:val="clear" w:color="auto" w:fill="4472C4"/>
            <w:vAlign w:val="center"/>
          </w:tcPr>
          <w:p w14:paraId="4E19141A" w14:textId="77777777" w:rsidR="00990B14" w:rsidRDefault="00990B14">
            <w:pPr>
              <w:spacing w:before="20" w:after="20"/>
            </w:pPr>
          </w:p>
        </w:tc>
        <w:tc>
          <w:tcPr>
            <w:tcW w:w="1846" w:type="dxa"/>
            <w:shd w:val="clear" w:color="auto" w:fill="D9E2F3"/>
            <w:vAlign w:val="center"/>
          </w:tcPr>
          <w:p w14:paraId="332518DD" w14:textId="77777777" w:rsidR="00990B14" w:rsidRDefault="00000000">
            <w:pPr>
              <w:spacing w:before="20" w:after="20"/>
              <w:jc w:val="both"/>
            </w:pPr>
            <w:r>
              <w:rPr>
                <w:sz w:val="18"/>
                <w:szCs w:val="18"/>
              </w:rPr>
              <w:t>Cómputo de la prescripción</w:t>
            </w:r>
          </w:p>
        </w:tc>
        <w:tc>
          <w:tcPr>
            <w:tcW w:w="1910" w:type="dxa"/>
            <w:shd w:val="clear" w:color="auto" w:fill="D9E2F3"/>
            <w:vAlign w:val="center"/>
          </w:tcPr>
          <w:p w14:paraId="3137B3F2" w14:textId="77777777" w:rsidR="00990B14" w:rsidRDefault="00000000">
            <w:pPr>
              <w:spacing w:before="20" w:after="20"/>
              <w:jc w:val="both"/>
            </w:pPr>
            <w:r>
              <w:rPr>
                <w:sz w:val="18"/>
                <w:szCs w:val="18"/>
              </w:rPr>
              <w:t>Computa incorrectamente.</w:t>
            </w:r>
          </w:p>
        </w:tc>
        <w:tc>
          <w:tcPr>
            <w:tcW w:w="1910" w:type="dxa"/>
            <w:shd w:val="clear" w:color="auto" w:fill="D9E2F3"/>
            <w:vAlign w:val="center"/>
          </w:tcPr>
          <w:p w14:paraId="40FF26B4" w14:textId="77777777" w:rsidR="00990B14" w:rsidRDefault="00000000">
            <w:pPr>
              <w:spacing w:before="20" w:after="20"/>
              <w:jc w:val="both"/>
            </w:pPr>
            <w:r>
              <w:rPr>
                <w:sz w:val="18"/>
                <w:szCs w:val="18"/>
              </w:rPr>
              <w:t>Computa el plazo de prescripción de forma legal.</w:t>
            </w:r>
          </w:p>
        </w:tc>
        <w:tc>
          <w:tcPr>
            <w:tcW w:w="2015" w:type="dxa"/>
            <w:shd w:val="clear" w:color="auto" w:fill="D9E2F3"/>
            <w:vAlign w:val="center"/>
          </w:tcPr>
          <w:p w14:paraId="177C8E6D" w14:textId="77777777" w:rsidR="00990B14" w:rsidRDefault="00000000">
            <w:pPr>
              <w:spacing w:before="20" w:after="20"/>
              <w:jc w:val="both"/>
            </w:pPr>
            <w:r>
              <w:rPr>
                <w:sz w:val="18"/>
                <w:szCs w:val="18"/>
              </w:rPr>
              <w:t>Identifica las causales de interrupción y suspensión.</w:t>
            </w:r>
          </w:p>
        </w:tc>
      </w:tr>
      <w:tr w:rsidR="00990B14" w14:paraId="350C108C" w14:textId="77777777">
        <w:trPr>
          <w:cantSplit/>
          <w:jc w:val="center"/>
        </w:trPr>
        <w:tc>
          <w:tcPr>
            <w:tcW w:w="1724" w:type="dxa"/>
            <w:vMerge/>
            <w:shd w:val="clear" w:color="auto" w:fill="4472C4"/>
            <w:vAlign w:val="center"/>
          </w:tcPr>
          <w:p w14:paraId="1CB2E0A5" w14:textId="77777777" w:rsidR="00990B14" w:rsidRDefault="00990B14">
            <w:pPr>
              <w:spacing w:before="20" w:after="20"/>
            </w:pPr>
          </w:p>
        </w:tc>
        <w:tc>
          <w:tcPr>
            <w:tcW w:w="1846" w:type="dxa"/>
            <w:shd w:val="clear" w:color="auto" w:fill="D9E2F3"/>
            <w:vAlign w:val="center"/>
          </w:tcPr>
          <w:p w14:paraId="1560D6DC" w14:textId="77777777" w:rsidR="00990B14" w:rsidRDefault="00000000">
            <w:pPr>
              <w:spacing w:before="20" w:after="20"/>
              <w:jc w:val="both"/>
            </w:pPr>
            <w:r>
              <w:rPr>
                <w:sz w:val="18"/>
                <w:szCs w:val="18"/>
              </w:rPr>
              <w:t>Fundamentación normativa</w:t>
            </w:r>
          </w:p>
        </w:tc>
        <w:tc>
          <w:tcPr>
            <w:tcW w:w="1910" w:type="dxa"/>
            <w:shd w:val="clear" w:color="auto" w:fill="D9E2F3"/>
            <w:vAlign w:val="center"/>
          </w:tcPr>
          <w:p w14:paraId="3F1F8340" w14:textId="77777777" w:rsidR="00990B14" w:rsidRDefault="00000000">
            <w:pPr>
              <w:spacing w:before="20" w:after="20"/>
              <w:jc w:val="both"/>
            </w:pPr>
            <w:r>
              <w:rPr>
                <w:sz w:val="18"/>
                <w:szCs w:val="18"/>
              </w:rPr>
              <w:t>No cita las disposiciones del Código Tributario Boliviano.</w:t>
            </w:r>
          </w:p>
        </w:tc>
        <w:tc>
          <w:tcPr>
            <w:tcW w:w="1910" w:type="dxa"/>
            <w:shd w:val="clear" w:color="auto" w:fill="D9E2F3"/>
            <w:vAlign w:val="center"/>
          </w:tcPr>
          <w:p w14:paraId="36FAF31C" w14:textId="77777777" w:rsidR="00990B14" w:rsidRDefault="00000000">
            <w:pPr>
              <w:spacing w:before="20" w:after="20"/>
              <w:jc w:val="both"/>
            </w:pPr>
            <w:r>
              <w:rPr>
                <w:sz w:val="18"/>
                <w:szCs w:val="18"/>
              </w:rPr>
              <w:t>Cita las disposiciones aplicables del Código Tributario Boliviano.</w:t>
            </w:r>
          </w:p>
        </w:tc>
        <w:tc>
          <w:tcPr>
            <w:tcW w:w="2015" w:type="dxa"/>
            <w:shd w:val="clear" w:color="auto" w:fill="D9E2F3"/>
            <w:vAlign w:val="center"/>
          </w:tcPr>
          <w:p w14:paraId="544D503D" w14:textId="77777777" w:rsidR="00990B14" w:rsidRDefault="00000000">
            <w:pPr>
              <w:spacing w:before="20" w:after="20"/>
              <w:jc w:val="both"/>
            </w:pPr>
            <w:r>
              <w:rPr>
                <w:sz w:val="18"/>
                <w:szCs w:val="18"/>
              </w:rPr>
              <w:t>Cita las disposiciones aplicables y fundamenta su conclusión en el caso.</w:t>
            </w:r>
          </w:p>
        </w:tc>
      </w:tr>
      <w:tr w:rsidR="00990B14" w14:paraId="6A2A5764" w14:textId="77777777">
        <w:trPr>
          <w:cantSplit/>
          <w:jc w:val="center"/>
        </w:trPr>
        <w:tc>
          <w:tcPr>
            <w:tcW w:w="1724" w:type="dxa"/>
            <w:vMerge/>
            <w:shd w:val="clear" w:color="auto" w:fill="4472C4"/>
            <w:vAlign w:val="center"/>
          </w:tcPr>
          <w:p w14:paraId="2AE3A347" w14:textId="77777777" w:rsidR="00990B14" w:rsidRDefault="00990B14">
            <w:pPr>
              <w:spacing w:before="20" w:after="20"/>
            </w:pPr>
          </w:p>
        </w:tc>
        <w:tc>
          <w:tcPr>
            <w:tcW w:w="5666" w:type="dxa"/>
            <w:gridSpan w:val="3"/>
            <w:shd w:val="clear" w:color="auto" w:fill="D9E2F3"/>
            <w:vAlign w:val="center"/>
          </w:tcPr>
          <w:p w14:paraId="79FB9B27" w14:textId="77777777" w:rsidR="00990B14" w:rsidRDefault="00000000">
            <w:pPr>
              <w:keepNext/>
              <w:spacing w:before="20" w:after="20"/>
              <w:jc w:val="both"/>
            </w:pPr>
            <w:r>
              <w:rPr>
                <w:b/>
                <w:bCs/>
                <w:i/>
                <w:iCs/>
                <w:sz w:val="18"/>
                <w:szCs w:val="18"/>
              </w:rPr>
              <w:t xml:space="preserve">Producto 7: </w:t>
            </w:r>
            <w:r>
              <w:rPr>
                <w:sz w:val="18"/>
                <w:szCs w:val="18"/>
              </w:rPr>
              <w:t>Cuadro de facultades de la Administración Tributaria y condiciones para la aplicación de los métodos de determinación.</w:t>
            </w:r>
          </w:p>
        </w:tc>
        <w:tc>
          <w:tcPr>
            <w:tcW w:w="2015" w:type="dxa"/>
            <w:shd w:val="clear" w:color="auto" w:fill="D9E2F3"/>
            <w:vAlign w:val="center"/>
          </w:tcPr>
          <w:p w14:paraId="447C287F" w14:textId="77777777" w:rsidR="00990B14" w:rsidRDefault="00000000">
            <w:pPr>
              <w:spacing w:before="20" w:after="20"/>
              <w:jc w:val="center"/>
            </w:pPr>
            <w:r>
              <w:rPr>
                <w:b/>
                <w:bCs/>
                <w:sz w:val="18"/>
                <w:szCs w:val="18"/>
              </w:rPr>
              <w:t>7%</w:t>
            </w:r>
          </w:p>
        </w:tc>
      </w:tr>
      <w:tr w:rsidR="00990B14" w14:paraId="0E26AB8F" w14:textId="77777777">
        <w:trPr>
          <w:cantSplit/>
          <w:jc w:val="center"/>
        </w:trPr>
        <w:tc>
          <w:tcPr>
            <w:tcW w:w="1724" w:type="dxa"/>
            <w:vMerge/>
            <w:shd w:val="clear" w:color="auto" w:fill="4472C4"/>
            <w:vAlign w:val="center"/>
          </w:tcPr>
          <w:p w14:paraId="75678D90" w14:textId="77777777" w:rsidR="00990B14" w:rsidRDefault="00990B14">
            <w:pPr>
              <w:spacing w:before="20" w:after="20"/>
            </w:pPr>
          </w:p>
        </w:tc>
        <w:tc>
          <w:tcPr>
            <w:tcW w:w="1846" w:type="dxa"/>
            <w:shd w:val="clear" w:color="auto" w:fill="4472C4"/>
            <w:vAlign w:val="center"/>
          </w:tcPr>
          <w:p w14:paraId="20AEBF48"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6AECEB45"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1E0AA629"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1995428C" w14:textId="77777777" w:rsidR="00990B14" w:rsidRDefault="00000000">
            <w:pPr>
              <w:keepNext/>
              <w:spacing w:before="20" w:after="20"/>
              <w:jc w:val="center"/>
            </w:pPr>
            <w:r>
              <w:rPr>
                <w:b/>
                <w:bCs/>
                <w:i/>
                <w:iCs/>
                <w:color w:val="FFFFFF"/>
                <w:sz w:val="18"/>
                <w:szCs w:val="18"/>
              </w:rPr>
              <w:t>Destacado (81–100)</w:t>
            </w:r>
          </w:p>
        </w:tc>
      </w:tr>
      <w:tr w:rsidR="00990B14" w14:paraId="1F899F4A" w14:textId="77777777">
        <w:trPr>
          <w:cantSplit/>
          <w:jc w:val="center"/>
        </w:trPr>
        <w:tc>
          <w:tcPr>
            <w:tcW w:w="1724" w:type="dxa"/>
            <w:vMerge/>
            <w:shd w:val="clear" w:color="auto" w:fill="4472C4"/>
            <w:vAlign w:val="center"/>
          </w:tcPr>
          <w:p w14:paraId="7C90575A" w14:textId="77777777" w:rsidR="00990B14" w:rsidRDefault="00990B14">
            <w:pPr>
              <w:spacing w:before="20" w:after="20"/>
            </w:pPr>
          </w:p>
        </w:tc>
        <w:tc>
          <w:tcPr>
            <w:tcW w:w="1846" w:type="dxa"/>
            <w:shd w:val="clear" w:color="auto" w:fill="D9E2F3"/>
            <w:vAlign w:val="center"/>
          </w:tcPr>
          <w:p w14:paraId="4873FFB2" w14:textId="77777777" w:rsidR="00990B14" w:rsidRDefault="00000000">
            <w:pPr>
              <w:spacing w:before="20" w:after="20"/>
              <w:jc w:val="both"/>
            </w:pPr>
            <w:r>
              <w:rPr>
                <w:sz w:val="18"/>
                <w:szCs w:val="18"/>
              </w:rPr>
              <w:t>Facultades y derechos</w:t>
            </w:r>
          </w:p>
        </w:tc>
        <w:tc>
          <w:tcPr>
            <w:tcW w:w="1910" w:type="dxa"/>
            <w:shd w:val="clear" w:color="auto" w:fill="D9E2F3"/>
            <w:vAlign w:val="center"/>
          </w:tcPr>
          <w:p w14:paraId="25252E00" w14:textId="77777777" w:rsidR="00990B14" w:rsidRDefault="00000000">
            <w:pPr>
              <w:spacing w:before="20" w:after="20"/>
              <w:jc w:val="both"/>
            </w:pPr>
            <w:r>
              <w:rPr>
                <w:sz w:val="18"/>
                <w:szCs w:val="18"/>
              </w:rPr>
              <w:t>Desconoce las facultades, los derechos y deberes.</w:t>
            </w:r>
          </w:p>
        </w:tc>
        <w:tc>
          <w:tcPr>
            <w:tcW w:w="1910" w:type="dxa"/>
            <w:shd w:val="clear" w:color="auto" w:fill="D9E2F3"/>
            <w:vAlign w:val="center"/>
          </w:tcPr>
          <w:p w14:paraId="1E6283C7" w14:textId="77777777" w:rsidR="00990B14" w:rsidRDefault="00000000">
            <w:pPr>
              <w:spacing w:before="20" w:after="20"/>
              <w:jc w:val="both"/>
            </w:pPr>
            <w:r>
              <w:rPr>
                <w:sz w:val="18"/>
                <w:szCs w:val="18"/>
              </w:rPr>
              <w:t>Describe las facultades de la Administración Tributaria y los derechos y deberes del sujeto pasivo.</w:t>
            </w:r>
          </w:p>
        </w:tc>
        <w:tc>
          <w:tcPr>
            <w:tcW w:w="2015" w:type="dxa"/>
            <w:shd w:val="clear" w:color="auto" w:fill="D9E2F3"/>
            <w:vAlign w:val="center"/>
          </w:tcPr>
          <w:p w14:paraId="44663199" w14:textId="77777777" w:rsidR="00990B14" w:rsidRDefault="00000000">
            <w:pPr>
              <w:spacing w:before="20" w:after="20"/>
              <w:jc w:val="both"/>
            </w:pPr>
            <w:r>
              <w:rPr>
                <w:sz w:val="18"/>
                <w:szCs w:val="18"/>
              </w:rPr>
              <w:t>Identifica sus límites legales.</w:t>
            </w:r>
          </w:p>
        </w:tc>
      </w:tr>
      <w:tr w:rsidR="00990B14" w14:paraId="6096277C" w14:textId="77777777">
        <w:trPr>
          <w:cantSplit/>
          <w:jc w:val="center"/>
        </w:trPr>
        <w:tc>
          <w:tcPr>
            <w:tcW w:w="1724" w:type="dxa"/>
            <w:vMerge/>
            <w:shd w:val="clear" w:color="auto" w:fill="4472C4"/>
            <w:vAlign w:val="center"/>
          </w:tcPr>
          <w:p w14:paraId="7DB09227" w14:textId="77777777" w:rsidR="00990B14" w:rsidRDefault="00990B14">
            <w:pPr>
              <w:spacing w:before="20" w:after="20"/>
            </w:pPr>
          </w:p>
        </w:tc>
        <w:tc>
          <w:tcPr>
            <w:tcW w:w="1846" w:type="dxa"/>
            <w:shd w:val="clear" w:color="auto" w:fill="D9E2F3"/>
            <w:vAlign w:val="center"/>
          </w:tcPr>
          <w:p w14:paraId="79E3CBD0" w14:textId="77777777" w:rsidR="00990B14" w:rsidRDefault="00000000">
            <w:pPr>
              <w:spacing w:before="20" w:after="20"/>
              <w:jc w:val="both"/>
            </w:pPr>
            <w:r>
              <w:rPr>
                <w:sz w:val="18"/>
                <w:szCs w:val="18"/>
              </w:rPr>
              <w:t>Métodos de determinación</w:t>
            </w:r>
          </w:p>
        </w:tc>
        <w:tc>
          <w:tcPr>
            <w:tcW w:w="1910" w:type="dxa"/>
            <w:shd w:val="clear" w:color="auto" w:fill="D9E2F3"/>
            <w:vAlign w:val="center"/>
          </w:tcPr>
          <w:p w14:paraId="330EEF43" w14:textId="77777777" w:rsidR="00990B14" w:rsidRDefault="00000000">
            <w:pPr>
              <w:spacing w:before="20" w:after="20"/>
              <w:jc w:val="both"/>
            </w:pPr>
            <w:r>
              <w:rPr>
                <w:sz w:val="18"/>
                <w:szCs w:val="18"/>
              </w:rPr>
              <w:t>Aplica el método sin justificarlo.</w:t>
            </w:r>
          </w:p>
        </w:tc>
        <w:tc>
          <w:tcPr>
            <w:tcW w:w="1910" w:type="dxa"/>
            <w:shd w:val="clear" w:color="auto" w:fill="D9E2F3"/>
            <w:vAlign w:val="center"/>
          </w:tcPr>
          <w:p w14:paraId="5EFDAB30" w14:textId="77777777" w:rsidR="00990B14" w:rsidRDefault="00000000">
            <w:pPr>
              <w:spacing w:before="20" w:after="20"/>
              <w:jc w:val="both"/>
            </w:pPr>
            <w:r>
              <w:rPr>
                <w:sz w:val="18"/>
                <w:szCs w:val="18"/>
              </w:rPr>
              <w:t>Aplica la base cierta o la base presunta según el caso.</w:t>
            </w:r>
          </w:p>
        </w:tc>
        <w:tc>
          <w:tcPr>
            <w:tcW w:w="2015" w:type="dxa"/>
            <w:shd w:val="clear" w:color="auto" w:fill="D9E2F3"/>
            <w:vAlign w:val="center"/>
          </w:tcPr>
          <w:p w14:paraId="449D4613" w14:textId="77777777" w:rsidR="00990B14" w:rsidRDefault="00000000">
            <w:pPr>
              <w:spacing w:before="20" w:after="20"/>
              <w:jc w:val="both"/>
            </w:pPr>
            <w:r>
              <w:rPr>
                <w:sz w:val="18"/>
                <w:szCs w:val="18"/>
              </w:rPr>
              <w:t>Justifica el uso de la base presunta y explica la determinación mixta.</w:t>
            </w:r>
          </w:p>
        </w:tc>
      </w:tr>
      <w:tr w:rsidR="00990B14" w14:paraId="486478FB" w14:textId="77777777">
        <w:trPr>
          <w:cantSplit/>
          <w:jc w:val="center"/>
        </w:trPr>
        <w:tc>
          <w:tcPr>
            <w:tcW w:w="1724" w:type="dxa"/>
            <w:vMerge/>
            <w:shd w:val="clear" w:color="auto" w:fill="4472C4"/>
            <w:vAlign w:val="center"/>
          </w:tcPr>
          <w:p w14:paraId="7B759F0D" w14:textId="77777777" w:rsidR="00990B14" w:rsidRDefault="00990B14">
            <w:pPr>
              <w:spacing w:before="20" w:after="20"/>
            </w:pPr>
          </w:p>
        </w:tc>
        <w:tc>
          <w:tcPr>
            <w:tcW w:w="1846" w:type="dxa"/>
            <w:shd w:val="clear" w:color="auto" w:fill="D9E2F3"/>
            <w:vAlign w:val="center"/>
          </w:tcPr>
          <w:p w14:paraId="6A63C236" w14:textId="77777777" w:rsidR="00990B14" w:rsidRDefault="00000000">
            <w:pPr>
              <w:spacing w:before="20" w:after="20"/>
              <w:jc w:val="both"/>
            </w:pPr>
            <w:r>
              <w:rPr>
                <w:sz w:val="18"/>
                <w:szCs w:val="18"/>
              </w:rPr>
              <w:t>Presentación del cuadro</w:t>
            </w:r>
          </w:p>
        </w:tc>
        <w:tc>
          <w:tcPr>
            <w:tcW w:w="1910" w:type="dxa"/>
            <w:shd w:val="clear" w:color="auto" w:fill="D9E2F3"/>
            <w:vAlign w:val="center"/>
          </w:tcPr>
          <w:p w14:paraId="101E81A3" w14:textId="77777777" w:rsidR="00990B14" w:rsidRDefault="00000000">
            <w:pPr>
              <w:spacing w:before="20" w:after="20"/>
              <w:jc w:val="both"/>
            </w:pPr>
            <w:r>
              <w:rPr>
                <w:sz w:val="18"/>
                <w:szCs w:val="18"/>
              </w:rPr>
              <w:t>El cuadro es desordenado o incompleto.</w:t>
            </w:r>
          </w:p>
        </w:tc>
        <w:tc>
          <w:tcPr>
            <w:tcW w:w="1910" w:type="dxa"/>
            <w:shd w:val="clear" w:color="auto" w:fill="D9E2F3"/>
            <w:vAlign w:val="center"/>
          </w:tcPr>
          <w:p w14:paraId="7D6012E4" w14:textId="77777777" w:rsidR="00990B14" w:rsidRDefault="00000000">
            <w:pPr>
              <w:spacing w:before="20" w:after="20"/>
              <w:jc w:val="both"/>
            </w:pPr>
            <w:r>
              <w:rPr>
                <w:sz w:val="18"/>
                <w:szCs w:val="18"/>
              </w:rPr>
              <w:t>Presenta el cuadro ordenado con las facultades y los métodos de determinación.</w:t>
            </w:r>
          </w:p>
        </w:tc>
        <w:tc>
          <w:tcPr>
            <w:tcW w:w="2015" w:type="dxa"/>
            <w:shd w:val="clear" w:color="auto" w:fill="D9E2F3"/>
            <w:vAlign w:val="center"/>
          </w:tcPr>
          <w:p w14:paraId="69C1BC5F" w14:textId="77777777" w:rsidR="00990B14" w:rsidRDefault="00000000">
            <w:pPr>
              <w:spacing w:before="20" w:after="20"/>
              <w:jc w:val="both"/>
            </w:pPr>
            <w:r>
              <w:rPr>
                <w:sz w:val="18"/>
                <w:szCs w:val="18"/>
              </w:rPr>
              <w:t>Presenta el cuadro con claridad y con referencia a los artículos del Código Tributario Boliviano.</w:t>
            </w:r>
          </w:p>
        </w:tc>
      </w:tr>
      <w:tr w:rsidR="00990B14" w14:paraId="57D8E19C" w14:textId="77777777">
        <w:trPr>
          <w:cantSplit/>
          <w:jc w:val="center"/>
        </w:trPr>
        <w:tc>
          <w:tcPr>
            <w:tcW w:w="1724" w:type="dxa"/>
            <w:vMerge/>
            <w:shd w:val="clear" w:color="auto" w:fill="4472C4"/>
            <w:vAlign w:val="center"/>
          </w:tcPr>
          <w:p w14:paraId="5182014F" w14:textId="77777777" w:rsidR="00990B14" w:rsidRDefault="00990B14">
            <w:pPr>
              <w:spacing w:before="20" w:after="20"/>
            </w:pPr>
          </w:p>
        </w:tc>
        <w:tc>
          <w:tcPr>
            <w:tcW w:w="5666" w:type="dxa"/>
            <w:gridSpan w:val="3"/>
            <w:shd w:val="clear" w:color="auto" w:fill="D9E2F3"/>
            <w:vAlign w:val="center"/>
          </w:tcPr>
          <w:p w14:paraId="03792286" w14:textId="77777777" w:rsidR="00990B14" w:rsidRDefault="00000000">
            <w:pPr>
              <w:keepNext/>
              <w:spacing w:before="20" w:after="20"/>
              <w:jc w:val="both"/>
            </w:pPr>
            <w:r>
              <w:rPr>
                <w:b/>
                <w:bCs/>
                <w:i/>
                <w:iCs/>
                <w:sz w:val="18"/>
                <w:szCs w:val="18"/>
              </w:rPr>
              <w:t xml:space="preserve">Producto 8: </w:t>
            </w:r>
            <w:r>
              <w:rPr>
                <w:sz w:val="18"/>
                <w:szCs w:val="18"/>
              </w:rPr>
              <w:t>Informe del procedimiento de determinación de una entidad ante una fiscalización.</w:t>
            </w:r>
          </w:p>
        </w:tc>
        <w:tc>
          <w:tcPr>
            <w:tcW w:w="2015" w:type="dxa"/>
            <w:shd w:val="clear" w:color="auto" w:fill="D9E2F3"/>
            <w:vAlign w:val="center"/>
          </w:tcPr>
          <w:p w14:paraId="592E1498" w14:textId="77777777" w:rsidR="00990B14" w:rsidRDefault="00000000">
            <w:pPr>
              <w:spacing w:before="20" w:after="20"/>
              <w:jc w:val="center"/>
            </w:pPr>
            <w:r>
              <w:rPr>
                <w:b/>
                <w:bCs/>
                <w:sz w:val="18"/>
                <w:szCs w:val="18"/>
              </w:rPr>
              <w:t>6%</w:t>
            </w:r>
          </w:p>
        </w:tc>
      </w:tr>
      <w:tr w:rsidR="00990B14" w14:paraId="512E0F9B" w14:textId="77777777">
        <w:trPr>
          <w:cantSplit/>
          <w:jc w:val="center"/>
        </w:trPr>
        <w:tc>
          <w:tcPr>
            <w:tcW w:w="1724" w:type="dxa"/>
            <w:vMerge/>
            <w:shd w:val="clear" w:color="auto" w:fill="4472C4"/>
            <w:vAlign w:val="center"/>
          </w:tcPr>
          <w:p w14:paraId="36540812" w14:textId="77777777" w:rsidR="00990B14" w:rsidRDefault="00990B14">
            <w:pPr>
              <w:spacing w:before="20" w:after="20"/>
            </w:pPr>
          </w:p>
        </w:tc>
        <w:tc>
          <w:tcPr>
            <w:tcW w:w="1846" w:type="dxa"/>
            <w:shd w:val="clear" w:color="auto" w:fill="4472C4"/>
            <w:vAlign w:val="center"/>
          </w:tcPr>
          <w:p w14:paraId="50C671AE"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68040390"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7D09A5F7"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76310231" w14:textId="77777777" w:rsidR="00990B14" w:rsidRDefault="00000000">
            <w:pPr>
              <w:keepNext/>
              <w:spacing w:before="20" w:after="20"/>
              <w:jc w:val="center"/>
            </w:pPr>
            <w:r>
              <w:rPr>
                <w:b/>
                <w:bCs/>
                <w:i/>
                <w:iCs/>
                <w:color w:val="FFFFFF"/>
                <w:sz w:val="18"/>
                <w:szCs w:val="18"/>
              </w:rPr>
              <w:t>Destacado (81–100)</w:t>
            </w:r>
          </w:p>
        </w:tc>
      </w:tr>
      <w:tr w:rsidR="00990B14" w14:paraId="1ADF78CA" w14:textId="77777777">
        <w:trPr>
          <w:cantSplit/>
          <w:jc w:val="center"/>
        </w:trPr>
        <w:tc>
          <w:tcPr>
            <w:tcW w:w="1724" w:type="dxa"/>
            <w:vMerge/>
            <w:shd w:val="clear" w:color="auto" w:fill="4472C4"/>
            <w:vAlign w:val="center"/>
          </w:tcPr>
          <w:p w14:paraId="6F19863F" w14:textId="77777777" w:rsidR="00990B14" w:rsidRDefault="00990B14">
            <w:pPr>
              <w:spacing w:before="20" w:after="20"/>
            </w:pPr>
          </w:p>
        </w:tc>
        <w:tc>
          <w:tcPr>
            <w:tcW w:w="1846" w:type="dxa"/>
            <w:shd w:val="clear" w:color="auto" w:fill="D9E2F3"/>
            <w:vAlign w:val="center"/>
          </w:tcPr>
          <w:p w14:paraId="41401007" w14:textId="77777777" w:rsidR="00990B14" w:rsidRDefault="00000000">
            <w:pPr>
              <w:spacing w:before="20" w:after="20"/>
              <w:jc w:val="both"/>
            </w:pPr>
            <w:r>
              <w:rPr>
                <w:sz w:val="18"/>
                <w:szCs w:val="18"/>
              </w:rPr>
              <w:t>Etapas y plazos</w:t>
            </w:r>
          </w:p>
        </w:tc>
        <w:tc>
          <w:tcPr>
            <w:tcW w:w="1910" w:type="dxa"/>
            <w:shd w:val="clear" w:color="auto" w:fill="D9E2F3"/>
            <w:vAlign w:val="center"/>
          </w:tcPr>
          <w:p w14:paraId="51B3C12C" w14:textId="77777777" w:rsidR="00990B14" w:rsidRDefault="00000000">
            <w:pPr>
              <w:spacing w:before="20" w:after="20"/>
              <w:jc w:val="both"/>
            </w:pPr>
            <w:r>
              <w:rPr>
                <w:sz w:val="18"/>
                <w:szCs w:val="18"/>
              </w:rPr>
              <w:t>Desconoce etapas del procedimiento.</w:t>
            </w:r>
          </w:p>
        </w:tc>
        <w:tc>
          <w:tcPr>
            <w:tcW w:w="1910" w:type="dxa"/>
            <w:shd w:val="clear" w:color="auto" w:fill="D9E2F3"/>
            <w:vAlign w:val="center"/>
          </w:tcPr>
          <w:p w14:paraId="78068CA6" w14:textId="77777777" w:rsidR="00990B14" w:rsidRDefault="00000000">
            <w:pPr>
              <w:spacing w:before="20" w:after="20"/>
              <w:jc w:val="both"/>
            </w:pPr>
            <w:r>
              <w:rPr>
                <w:sz w:val="18"/>
                <w:szCs w:val="18"/>
              </w:rPr>
              <w:t>Ordena las etapas desde la vista de cargo hasta la resolución determinativa, con sus plazos.</w:t>
            </w:r>
          </w:p>
        </w:tc>
        <w:tc>
          <w:tcPr>
            <w:tcW w:w="2015" w:type="dxa"/>
            <w:shd w:val="clear" w:color="auto" w:fill="D9E2F3"/>
            <w:vAlign w:val="center"/>
          </w:tcPr>
          <w:p w14:paraId="2E4EAA13" w14:textId="77777777" w:rsidR="00990B14" w:rsidRDefault="00000000">
            <w:pPr>
              <w:spacing w:before="20" w:after="20"/>
              <w:jc w:val="both"/>
            </w:pPr>
            <w:r>
              <w:rPr>
                <w:sz w:val="18"/>
                <w:szCs w:val="18"/>
              </w:rPr>
              <w:t>Señala los medios de impugnación en los casos correspondientes.</w:t>
            </w:r>
          </w:p>
        </w:tc>
      </w:tr>
      <w:tr w:rsidR="00990B14" w14:paraId="3C232AEC" w14:textId="77777777">
        <w:trPr>
          <w:cantSplit/>
          <w:jc w:val="center"/>
        </w:trPr>
        <w:tc>
          <w:tcPr>
            <w:tcW w:w="1724" w:type="dxa"/>
            <w:vMerge/>
            <w:shd w:val="clear" w:color="auto" w:fill="4472C4"/>
            <w:vAlign w:val="center"/>
          </w:tcPr>
          <w:p w14:paraId="0A29A7B7" w14:textId="77777777" w:rsidR="00990B14" w:rsidRDefault="00990B14">
            <w:pPr>
              <w:spacing w:before="20" w:after="20"/>
            </w:pPr>
          </w:p>
        </w:tc>
        <w:tc>
          <w:tcPr>
            <w:tcW w:w="1846" w:type="dxa"/>
            <w:shd w:val="clear" w:color="auto" w:fill="D9E2F3"/>
            <w:vAlign w:val="center"/>
          </w:tcPr>
          <w:p w14:paraId="7B13D225" w14:textId="77777777" w:rsidR="00990B14" w:rsidRDefault="00000000">
            <w:pPr>
              <w:spacing w:before="20" w:after="20"/>
              <w:jc w:val="both"/>
            </w:pPr>
            <w:r>
              <w:rPr>
                <w:sz w:val="18"/>
                <w:szCs w:val="18"/>
              </w:rPr>
              <w:t>Prueba y medidas precautorias</w:t>
            </w:r>
          </w:p>
        </w:tc>
        <w:tc>
          <w:tcPr>
            <w:tcW w:w="1910" w:type="dxa"/>
            <w:shd w:val="clear" w:color="auto" w:fill="D9E2F3"/>
            <w:vAlign w:val="center"/>
          </w:tcPr>
          <w:p w14:paraId="4271DE43" w14:textId="77777777" w:rsidR="00990B14" w:rsidRDefault="00000000">
            <w:pPr>
              <w:spacing w:before="20" w:after="20"/>
              <w:jc w:val="both"/>
            </w:pPr>
            <w:r>
              <w:rPr>
                <w:sz w:val="18"/>
                <w:szCs w:val="18"/>
              </w:rPr>
              <w:t>No identifica medios de prueba ni medidas precautorias.</w:t>
            </w:r>
          </w:p>
        </w:tc>
        <w:tc>
          <w:tcPr>
            <w:tcW w:w="1910" w:type="dxa"/>
            <w:shd w:val="clear" w:color="auto" w:fill="D9E2F3"/>
            <w:vAlign w:val="center"/>
          </w:tcPr>
          <w:p w14:paraId="25687DE4" w14:textId="77777777" w:rsidR="00990B14" w:rsidRDefault="00000000">
            <w:pPr>
              <w:spacing w:before="20" w:after="20"/>
              <w:jc w:val="both"/>
            </w:pPr>
            <w:r>
              <w:rPr>
                <w:sz w:val="18"/>
                <w:szCs w:val="18"/>
              </w:rPr>
              <w:t>Identifica los medios de prueba admitidos y las medidas aplicables.</w:t>
            </w:r>
          </w:p>
        </w:tc>
        <w:tc>
          <w:tcPr>
            <w:tcW w:w="2015" w:type="dxa"/>
            <w:shd w:val="clear" w:color="auto" w:fill="D9E2F3"/>
            <w:vAlign w:val="center"/>
          </w:tcPr>
          <w:p w14:paraId="34B26D98" w14:textId="77777777" w:rsidR="00990B14" w:rsidRDefault="00000000">
            <w:pPr>
              <w:spacing w:before="20" w:after="20"/>
              <w:jc w:val="both"/>
            </w:pPr>
            <w:r>
              <w:rPr>
                <w:sz w:val="18"/>
                <w:szCs w:val="18"/>
              </w:rPr>
              <w:t>Valora la suficiencia de la prueba y la proporcionalidad de las medidas.</w:t>
            </w:r>
          </w:p>
        </w:tc>
      </w:tr>
      <w:tr w:rsidR="00990B14" w14:paraId="29DE2462" w14:textId="77777777">
        <w:trPr>
          <w:cantSplit/>
          <w:jc w:val="center"/>
        </w:trPr>
        <w:tc>
          <w:tcPr>
            <w:tcW w:w="1724" w:type="dxa"/>
            <w:vMerge/>
            <w:shd w:val="clear" w:color="auto" w:fill="4472C4"/>
            <w:vAlign w:val="center"/>
          </w:tcPr>
          <w:p w14:paraId="2C327D3F" w14:textId="77777777" w:rsidR="00990B14" w:rsidRDefault="00990B14">
            <w:pPr>
              <w:spacing w:before="20" w:after="20"/>
            </w:pPr>
          </w:p>
        </w:tc>
        <w:tc>
          <w:tcPr>
            <w:tcW w:w="1846" w:type="dxa"/>
            <w:shd w:val="clear" w:color="auto" w:fill="D9E2F3"/>
            <w:vAlign w:val="center"/>
          </w:tcPr>
          <w:p w14:paraId="27FBA7BD" w14:textId="77777777" w:rsidR="00990B14" w:rsidRDefault="00000000">
            <w:pPr>
              <w:spacing w:before="20" w:after="20"/>
              <w:jc w:val="both"/>
            </w:pPr>
            <w:r>
              <w:rPr>
                <w:sz w:val="18"/>
                <w:szCs w:val="18"/>
              </w:rPr>
              <w:t>Presentación del informe</w:t>
            </w:r>
          </w:p>
        </w:tc>
        <w:tc>
          <w:tcPr>
            <w:tcW w:w="1910" w:type="dxa"/>
            <w:shd w:val="clear" w:color="auto" w:fill="D9E2F3"/>
            <w:vAlign w:val="center"/>
          </w:tcPr>
          <w:p w14:paraId="7C5ECCEE" w14:textId="77777777" w:rsidR="00990B14" w:rsidRDefault="00000000">
            <w:pPr>
              <w:spacing w:before="20" w:after="20"/>
              <w:jc w:val="both"/>
            </w:pPr>
            <w:r>
              <w:rPr>
                <w:sz w:val="18"/>
                <w:szCs w:val="18"/>
              </w:rPr>
              <w:t>El informe es desordenado o incompleto.</w:t>
            </w:r>
          </w:p>
        </w:tc>
        <w:tc>
          <w:tcPr>
            <w:tcW w:w="1910" w:type="dxa"/>
            <w:shd w:val="clear" w:color="auto" w:fill="D9E2F3"/>
            <w:vAlign w:val="center"/>
          </w:tcPr>
          <w:p w14:paraId="5BE8CD68" w14:textId="77777777" w:rsidR="00990B14" w:rsidRDefault="00000000">
            <w:pPr>
              <w:spacing w:before="20" w:after="20"/>
              <w:jc w:val="both"/>
            </w:pPr>
            <w:r>
              <w:rPr>
                <w:sz w:val="18"/>
                <w:szCs w:val="18"/>
              </w:rPr>
              <w:t>Presenta el informe ordenado con el procedimiento del caso.</w:t>
            </w:r>
          </w:p>
        </w:tc>
        <w:tc>
          <w:tcPr>
            <w:tcW w:w="2015" w:type="dxa"/>
            <w:shd w:val="clear" w:color="auto" w:fill="D9E2F3"/>
            <w:vAlign w:val="center"/>
          </w:tcPr>
          <w:p w14:paraId="0D1CEDDE" w14:textId="77777777" w:rsidR="00990B14" w:rsidRDefault="00000000">
            <w:pPr>
              <w:spacing w:before="20" w:after="20"/>
              <w:jc w:val="both"/>
            </w:pPr>
            <w:r>
              <w:rPr>
                <w:sz w:val="18"/>
                <w:szCs w:val="18"/>
              </w:rPr>
              <w:t>Presenta un informe claro con conclusiones fundamentadas en la normativa.</w:t>
            </w:r>
          </w:p>
        </w:tc>
      </w:tr>
      <w:tr w:rsidR="00990B14" w14:paraId="02FC5FA9" w14:textId="77777777">
        <w:trPr>
          <w:cantSplit/>
          <w:jc w:val="center"/>
        </w:trPr>
        <w:tc>
          <w:tcPr>
            <w:tcW w:w="1724" w:type="dxa"/>
            <w:vMerge/>
            <w:shd w:val="clear" w:color="auto" w:fill="4472C4"/>
            <w:vAlign w:val="center"/>
          </w:tcPr>
          <w:p w14:paraId="4A26890F" w14:textId="77777777" w:rsidR="00990B14" w:rsidRDefault="00990B14">
            <w:pPr>
              <w:spacing w:before="20" w:after="20"/>
            </w:pPr>
          </w:p>
        </w:tc>
        <w:tc>
          <w:tcPr>
            <w:tcW w:w="5666" w:type="dxa"/>
            <w:gridSpan w:val="3"/>
            <w:shd w:val="clear" w:color="auto" w:fill="D9E2F3"/>
            <w:vAlign w:val="center"/>
          </w:tcPr>
          <w:p w14:paraId="4364ECE6" w14:textId="77777777" w:rsidR="00990B14" w:rsidRDefault="00000000">
            <w:pPr>
              <w:keepNext/>
              <w:spacing w:before="20" w:after="20"/>
              <w:jc w:val="both"/>
            </w:pPr>
            <w:r>
              <w:rPr>
                <w:b/>
                <w:bCs/>
                <w:i/>
                <w:iCs/>
                <w:sz w:val="18"/>
                <w:szCs w:val="18"/>
              </w:rPr>
              <w:t xml:space="preserve">Producto 9: </w:t>
            </w:r>
            <w:r>
              <w:rPr>
                <w:sz w:val="18"/>
                <w:szCs w:val="18"/>
              </w:rPr>
              <w:t>Cuadro descriptivo de las contravenciones y delitos.</w:t>
            </w:r>
          </w:p>
        </w:tc>
        <w:tc>
          <w:tcPr>
            <w:tcW w:w="2015" w:type="dxa"/>
            <w:shd w:val="clear" w:color="auto" w:fill="D9E2F3"/>
            <w:vAlign w:val="center"/>
          </w:tcPr>
          <w:p w14:paraId="11E11557" w14:textId="77777777" w:rsidR="00990B14" w:rsidRDefault="00000000">
            <w:pPr>
              <w:spacing w:before="20" w:after="20"/>
              <w:jc w:val="center"/>
            </w:pPr>
            <w:r>
              <w:rPr>
                <w:b/>
                <w:bCs/>
                <w:sz w:val="18"/>
                <w:szCs w:val="18"/>
              </w:rPr>
              <w:t>6%</w:t>
            </w:r>
          </w:p>
        </w:tc>
      </w:tr>
      <w:tr w:rsidR="00990B14" w14:paraId="2D0A39F1" w14:textId="77777777">
        <w:trPr>
          <w:cantSplit/>
          <w:jc w:val="center"/>
        </w:trPr>
        <w:tc>
          <w:tcPr>
            <w:tcW w:w="1724" w:type="dxa"/>
            <w:vMerge/>
            <w:shd w:val="clear" w:color="auto" w:fill="4472C4"/>
            <w:vAlign w:val="center"/>
          </w:tcPr>
          <w:p w14:paraId="26EE7A96" w14:textId="77777777" w:rsidR="00990B14" w:rsidRDefault="00990B14">
            <w:pPr>
              <w:spacing w:before="20" w:after="20"/>
            </w:pPr>
          </w:p>
        </w:tc>
        <w:tc>
          <w:tcPr>
            <w:tcW w:w="1846" w:type="dxa"/>
            <w:shd w:val="clear" w:color="auto" w:fill="4472C4"/>
            <w:vAlign w:val="center"/>
          </w:tcPr>
          <w:p w14:paraId="25E19C12"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5B2D2545"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6DFBB3E3"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6C30F3EA" w14:textId="77777777" w:rsidR="00990B14" w:rsidRDefault="00000000">
            <w:pPr>
              <w:keepNext/>
              <w:spacing w:before="20" w:after="20"/>
              <w:jc w:val="center"/>
            </w:pPr>
            <w:r>
              <w:rPr>
                <w:b/>
                <w:bCs/>
                <w:i/>
                <w:iCs/>
                <w:color w:val="FFFFFF"/>
                <w:sz w:val="18"/>
                <w:szCs w:val="18"/>
              </w:rPr>
              <w:t>Destacado (81–100)</w:t>
            </w:r>
          </w:p>
        </w:tc>
      </w:tr>
      <w:tr w:rsidR="00990B14" w14:paraId="67CF2A6E" w14:textId="77777777">
        <w:trPr>
          <w:cantSplit/>
          <w:jc w:val="center"/>
        </w:trPr>
        <w:tc>
          <w:tcPr>
            <w:tcW w:w="1724" w:type="dxa"/>
            <w:vMerge/>
            <w:shd w:val="clear" w:color="auto" w:fill="4472C4"/>
            <w:vAlign w:val="center"/>
          </w:tcPr>
          <w:p w14:paraId="7C5D959C" w14:textId="77777777" w:rsidR="00990B14" w:rsidRDefault="00990B14">
            <w:pPr>
              <w:spacing w:before="20" w:after="20"/>
            </w:pPr>
          </w:p>
        </w:tc>
        <w:tc>
          <w:tcPr>
            <w:tcW w:w="1846" w:type="dxa"/>
            <w:shd w:val="clear" w:color="auto" w:fill="D9E2F3"/>
            <w:vAlign w:val="center"/>
          </w:tcPr>
          <w:p w14:paraId="2D417151" w14:textId="77777777" w:rsidR="00990B14" w:rsidRDefault="00000000">
            <w:pPr>
              <w:spacing w:before="20" w:after="20"/>
              <w:jc w:val="both"/>
            </w:pPr>
            <w:r>
              <w:rPr>
                <w:sz w:val="18"/>
                <w:szCs w:val="18"/>
              </w:rPr>
              <w:t>Clasificación y sanciones</w:t>
            </w:r>
          </w:p>
        </w:tc>
        <w:tc>
          <w:tcPr>
            <w:tcW w:w="1910" w:type="dxa"/>
            <w:shd w:val="clear" w:color="auto" w:fill="D9E2F3"/>
            <w:vAlign w:val="center"/>
          </w:tcPr>
          <w:p w14:paraId="42A4FCC7" w14:textId="77777777" w:rsidR="00990B14" w:rsidRDefault="00000000">
            <w:pPr>
              <w:spacing w:before="20" w:after="20"/>
              <w:jc w:val="both"/>
            </w:pPr>
            <w:r>
              <w:rPr>
                <w:sz w:val="18"/>
                <w:szCs w:val="18"/>
              </w:rPr>
              <w:t>Confunde contravención y delito.</w:t>
            </w:r>
          </w:p>
        </w:tc>
        <w:tc>
          <w:tcPr>
            <w:tcW w:w="1910" w:type="dxa"/>
            <w:shd w:val="clear" w:color="auto" w:fill="D9E2F3"/>
            <w:vAlign w:val="center"/>
          </w:tcPr>
          <w:p w14:paraId="4E823BA7" w14:textId="77777777" w:rsidR="00990B14" w:rsidRDefault="00000000">
            <w:pPr>
              <w:spacing w:before="20" w:after="20"/>
              <w:jc w:val="both"/>
            </w:pPr>
            <w:r>
              <w:rPr>
                <w:sz w:val="18"/>
                <w:szCs w:val="18"/>
              </w:rPr>
              <w:t>Clasifica correctamente cada ilícito y determina su sanción.</w:t>
            </w:r>
          </w:p>
        </w:tc>
        <w:tc>
          <w:tcPr>
            <w:tcW w:w="2015" w:type="dxa"/>
            <w:shd w:val="clear" w:color="auto" w:fill="D9E2F3"/>
            <w:vAlign w:val="center"/>
          </w:tcPr>
          <w:p w14:paraId="75375BF1" w14:textId="77777777" w:rsidR="00990B14" w:rsidRDefault="00000000">
            <w:pPr>
              <w:spacing w:before="20" w:after="20"/>
              <w:jc w:val="both"/>
            </w:pPr>
            <w:r>
              <w:rPr>
                <w:sz w:val="18"/>
                <w:szCs w:val="18"/>
              </w:rPr>
              <w:t>Explica el criterio de la cuantía en la determinación del delito.</w:t>
            </w:r>
          </w:p>
        </w:tc>
      </w:tr>
      <w:tr w:rsidR="00990B14" w14:paraId="482CF261" w14:textId="77777777">
        <w:trPr>
          <w:cantSplit/>
          <w:jc w:val="center"/>
        </w:trPr>
        <w:tc>
          <w:tcPr>
            <w:tcW w:w="1724" w:type="dxa"/>
            <w:vMerge/>
            <w:shd w:val="clear" w:color="auto" w:fill="4472C4"/>
            <w:vAlign w:val="center"/>
          </w:tcPr>
          <w:p w14:paraId="119B9DCC" w14:textId="77777777" w:rsidR="00990B14" w:rsidRDefault="00990B14">
            <w:pPr>
              <w:spacing w:before="20" w:after="20"/>
            </w:pPr>
          </w:p>
        </w:tc>
        <w:tc>
          <w:tcPr>
            <w:tcW w:w="1846" w:type="dxa"/>
            <w:shd w:val="clear" w:color="auto" w:fill="D9E2F3"/>
            <w:vAlign w:val="center"/>
          </w:tcPr>
          <w:p w14:paraId="1A015ACD" w14:textId="77777777" w:rsidR="00990B14" w:rsidRDefault="00000000">
            <w:pPr>
              <w:spacing w:before="20" w:after="20"/>
              <w:jc w:val="both"/>
            </w:pPr>
            <w:r>
              <w:rPr>
                <w:sz w:val="18"/>
                <w:szCs w:val="18"/>
              </w:rPr>
              <w:t>Argumentación ética</w:t>
            </w:r>
          </w:p>
        </w:tc>
        <w:tc>
          <w:tcPr>
            <w:tcW w:w="1910" w:type="dxa"/>
            <w:shd w:val="clear" w:color="auto" w:fill="D9E2F3"/>
            <w:vAlign w:val="center"/>
          </w:tcPr>
          <w:p w14:paraId="41052D16" w14:textId="77777777" w:rsidR="00990B14" w:rsidRDefault="00000000">
            <w:pPr>
              <w:spacing w:before="20" w:after="20"/>
              <w:jc w:val="both"/>
            </w:pPr>
            <w:r>
              <w:rPr>
                <w:sz w:val="18"/>
                <w:szCs w:val="18"/>
              </w:rPr>
              <w:t>Confunde la evasión con la elusión.</w:t>
            </w:r>
          </w:p>
        </w:tc>
        <w:tc>
          <w:tcPr>
            <w:tcW w:w="1910" w:type="dxa"/>
            <w:shd w:val="clear" w:color="auto" w:fill="D9E2F3"/>
            <w:vAlign w:val="center"/>
          </w:tcPr>
          <w:p w14:paraId="7E9F6AD2" w14:textId="77777777" w:rsidR="00990B14" w:rsidRDefault="00000000">
            <w:pPr>
              <w:spacing w:before="20" w:after="20"/>
              <w:jc w:val="both"/>
            </w:pPr>
            <w:r>
              <w:rPr>
                <w:sz w:val="18"/>
                <w:szCs w:val="18"/>
              </w:rPr>
              <w:t>Diferencia la evasión de la elusión y argumenta con integridad e independencia.</w:t>
            </w:r>
          </w:p>
        </w:tc>
        <w:tc>
          <w:tcPr>
            <w:tcW w:w="2015" w:type="dxa"/>
            <w:shd w:val="clear" w:color="auto" w:fill="D9E2F3"/>
            <w:vAlign w:val="center"/>
          </w:tcPr>
          <w:p w14:paraId="44D20595" w14:textId="77777777" w:rsidR="00990B14" w:rsidRDefault="00000000">
            <w:pPr>
              <w:spacing w:before="20" w:after="20"/>
              <w:jc w:val="both"/>
            </w:pPr>
            <w:r>
              <w:rPr>
                <w:sz w:val="18"/>
                <w:szCs w:val="18"/>
              </w:rPr>
              <w:t>Relaciona la ética con la responsabilidad penal del contador.</w:t>
            </w:r>
          </w:p>
        </w:tc>
      </w:tr>
      <w:tr w:rsidR="00990B14" w14:paraId="0A2E259E" w14:textId="77777777">
        <w:trPr>
          <w:cantSplit/>
          <w:jc w:val="center"/>
        </w:trPr>
        <w:tc>
          <w:tcPr>
            <w:tcW w:w="1724" w:type="dxa"/>
            <w:vMerge/>
            <w:shd w:val="clear" w:color="auto" w:fill="4472C4"/>
            <w:vAlign w:val="center"/>
          </w:tcPr>
          <w:p w14:paraId="7F5B577D" w14:textId="77777777" w:rsidR="00990B14" w:rsidRDefault="00990B14">
            <w:pPr>
              <w:spacing w:before="20" w:after="20"/>
            </w:pPr>
          </w:p>
        </w:tc>
        <w:tc>
          <w:tcPr>
            <w:tcW w:w="1846" w:type="dxa"/>
            <w:shd w:val="clear" w:color="auto" w:fill="D9E2F3"/>
            <w:vAlign w:val="center"/>
          </w:tcPr>
          <w:p w14:paraId="6E3857F5" w14:textId="77777777" w:rsidR="00990B14" w:rsidRDefault="00000000">
            <w:pPr>
              <w:spacing w:before="20" w:after="20"/>
              <w:jc w:val="both"/>
            </w:pPr>
            <w:r>
              <w:rPr>
                <w:sz w:val="18"/>
                <w:szCs w:val="18"/>
              </w:rPr>
              <w:t>Presentación del cuadro</w:t>
            </w:r>
          </w:p>
        </w:tc>
        <w:tc>
          <w:tcPr>
            <w:tcW w:w="1910" w:type="dxa"/>
            <w:shd w:val="clear" w:color="auto" w:fill="D9E2F3"/>
            <w:vAlign w:val="center"/>
          </w:tcPr>
          <w:p w14:paraId="02935475" w14:textId="77777777" w:rsidR="00990B14" w:rsidRDefault="00000000">
            <w:pPr>
              <w:spacing w:before="20" w:after="20"/>
              <w:jc w:val="both"/>
            </w:pPr>
            <w:r>
              <w:rPr>
                <w:sz w:val="18"/>
                <w:szCs w:val="18"/>
              </w:rPr>
              <w:t>El cuadro es desordenado o incompleto.</w:t>
            </w:r>
          </w:p>
        </w:tc>
        <w:tc>
          <w:tcPr>
            <w:tcW w:w="1910" w:type="dxa"/>
            <w:shd w:val="clear" w:color="auto" w:fill="D9E2F3"/>
            <w:vAlign w:val="center"/>
          </w:tcPr>
          <w:p w14:paraId="691BC91E" w14:textId="77777777" w:rsidR="00990B14" w:rsidRDefault="00000000">
            <w:pPr>
              <w:spacing w:before="20" w:after="20"/>
              <w:jc w:val="both"/>
            </w:pPr>
            <w:r>
              <w:rPr>
                <w:sz w:val="18"/>
                <w:szCs w:val="18"/>
              </w:rPr>
              <w:t>Presenta el cuadro ordenado con cada contravención y delito.</w:t>
            </w:r>
          </w:p>
        </w:tc>
        <w:tc>
          <w:tcPr>
            <w:tcW w:w="2015" w:type="dxa"/>
            <w:shd w:val="clear" w:color="auto" w:fill="D9E2F3"/>
            <w:vAlign w:val="center"/>
          </w:tcPr>
          <w:p w14:paraId="69FF8214" w14:textId="77777777" w:rsidR="00990B14" w:rsidRDefault="00000000">
            <w:pPr>
              <w:spacing w:before="20" w:after="20"/>
              <w:jc w:val="both"/>
            </w:pPr>
            <w:r>
              <w:rPr>
                <w:sz w:val="18"/>
                <w:szCs w:val="18"/>
              </w:rPr>
              <w:t>Presenta el cuadro con claridad y con referencia a los artículos del Código Tributario Boliviano.</w:t>
            </w:r>
          </w:p>
        </w:tc>
      </w:tr>
      <w:tr w:rsidR="00990B14" w14:paraId="57B190E2" w14:textId="77777777">
        <w:trPr>
          <w:cantSplit/>
          <w:jc w:val="center"/>
        </w:trPr>
        <w:tc>
          <w:tcPr>
            <w:tcW w:w="1724" w:type="dxa"/>
            <w:vMerge/>
            <w:shd w:val="clear" w:color="auto" w:fill="4472C4"/>
            <w:vAlign w:val="center"/>
          </w:tcPr>
          <w:p w14:paraId="2765C48A" w14:textId="77777777" w:rsidR="00990B14" w:rsidRDefault="00990B14">
            <w:pPr>
              <w:spacing w:before="20" w:after="20"/>
            </w:pPr>
          </w:p>
        </w:tc>
        <w:tc>
          <w:tcPr>
            <w:tcW w:w="5666" w:type="dxa"/>
            <w:gridSpan w:val="3"/>
            <w:shd w:val="clear" w:color="auto" w:fill="D9E2F3"/>
            <w:vAlign w:val="center"/>
          </w:tcPr>
          <w:p w14:paraId="0631A712" w14:textId="77777777" w:rsidR="00990B14" w:rsidRDefault="00000000">
            <w:pPr>
              <w:keepNext/>
              <w:spacing w:before="20" w:after="20"/>
              <w:jc w:val="both"/>
            </w:pPr>
            <w:r>
              <w:rPr>
                <w:b/>
                <w:bCs/>
                <w:i/>
                <w:iCs/>
                <w:sz w:val="18"/>
                <w:szCs w:val="18"/>
              </w:rPr>
              <w:t xml:space="preserve">Producto 10: </w:t>
            </w:r>
            <w:r>
              <w:rPr>
                <w:sz w:val="18"/>
                <w:szCs w:val="18"/>
              </w:rPr>
              <w:t>Informe de la comparación de contravenciones y delitos.</w:t>
            </w:r>
          </w:p>
        </w:tc>
        <w:tc>
          <w:tcPr>
            <w:tcW w:w="2015" w:type="dxa"/>
            <w:shd w:val="clear" w:color="auto" w:fill="D9E2F3"/>
            <w:vAlign w:val="center"/>
          </w:tcPr>
          <w:p w14:paraId="39E31536" w14:textId="77777777" w:rsidR="00990B14" w:rsidRDefault="00000000">
            <w:pPr>
              <w:spacing w:before="20" w:after="20"/>
              <w:jc w:val="center"/>
            </w:pPr>
            <w:r>
              <w:rPr>
                <w:b/>
                <w:bCs/>
                <w:sz w:val="18"/>
                <w:szCs w:val="18"/>
              </w:rPr>
              <w:t>6%</w:t>
            </w:r>
          </w:p>
        </w:tc>
      </w:tr>
      <w:tr w:rsidR="00990B14" w14:paraId="3D3EA26E" w14:textId="77777777">
        <w:trPr>
          <w:cantSplit/>
          <w:jc w:val="center"/>
        </w:trPr>
        <w:tc>
          <w:tcPr>
            <w:tcW w:w="1724" w:type="dxa"/>
            <w:vMerge/>
            <w:shd w:val="clear" w:color="auto" w:fill="4472C4"/>
            <w:vAlign w:val="center"/>
          </w:tcPr>
          <w:p w14:paraId="521006E4" w14:textId="77777777" w:rsidR="00990B14" w:rsidRDefault="00990B14">
            <w:pPr>
              <w:spacing w:before="20" w:after="20"/>
            </w:pPr>
          </w:p>
        </w:tc>
        <w:tc>
          <w:tcPr>
            <w:tcW w:w="1846" w:type="dxa"/>
            <w:shd w:val="clear" w:color="auto" w:fill="4472C4"/>
            <w:vAlign w:val="center"/>
          </w:tcPr>
          <w:p w14:paraId="4BE53C08"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343CEBA1"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20284879"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4470FA49" w14:textId="77777777" w:rsidR="00990B14" w:rsidRDefault="00000000">
            <w:pPr>
              <w:keepNext/>
              <w:spacing w:before="20" w:after="20"/>
              <w:jc w:val="center"/>
            </w:pPr>
            <w:r>
              <w:rPr>
                <w:b/>
                <w:bCs/>
                <w:i/>
                <w:iCs/>
                <w:color w:val="FFFFFF"/>
                <w:sz w:val="18"/>
                <w:szCs w:val="18"/>
              </w:rPr>
              <w:t>Destacado (81–100)</w:t>
            </w:r>
          </w:p>
        </w:tc>
      </w:tr>
      <w:tr w:rsidR="00990B14" w14:paraId="719E43A1" w14:textId="77777777">
        <w:trPr>
          <w:cantSplit/>
          <w:jc w:val="center"/>
        </w:trPr>
        <w:tc>
          <w:tcPr>
            <w:tcW w:w="1724" w:type="dxa"/>
            <w:vMerge/>
            <w:shd w:val="clear" w:color="auto" w:fill="4472C4"/>
            <w:vAlign w:val="center"/>
          </w:tcPr>
          <w:p w14:paraId="26EA1C9F" w14:textId="77777777" w:rsidR="00990B14" w:rsidRDefault="00990B14">
            <w:pPr>
              <w:spacing w:before="20" w:after="20"/>
            </w:pPr>
          </w:p>
        </w:tc>
        <w:tc>
          <w:tcPr>
            <w:tcW w:w="1846" w:type="dxa"/>
            <w:shd w:val="clear" w:color="auto" w:fill="D9E2F3"/>
            <w:vAlign w:val="center"/>
          </w:tcPr>
          <w:p w14:paraId="7E58BE40" w14:textId="77777777" w:rsidR="00990B14" w:rsidRDefault="00000000">
            <w:pPr>
              <w:spacing w:before="20" w:after="20"/>
              <w:jc w:val="both"/>
            </w:pPr>
            <w:r>
              <w:rPr>
                <w:sz w:val="18"/>
                <w:szCs w:val="18"/>
              </w:rPr>
              <w:t>Clasificación e identificación de sanciones</w:t>
            </w:r>
          </w:p>
        </w:tc>
        <w:tc>
          <w:tcPr>
            <w:tcW w:w="1910" w:type="dxa"/>
            <w:shd w:val="clear" w:color="auto" w:fill="D9E2F3"/>
            <w:vAlign w:val="center"/>
          </w:tcPr>
          <w:p w14:paraId="2D8789D3" w14:textId="77777777" w:rsidR="00990B14" w:rsidRDefault="00000000">
            <w:pPr>
              <w:spacing w:before="20" w:after="20"/>
              <w:jc w:val="both"/>
            </w:pPr>
            <w:r>
              <w:rPr>
                <w:sz w:val="18"/>
                <w:szCs w:val="18"/>
              </w:rPr>
              <w:t>Confunde contravención con delito tributario</w:t>
            </w:r>
          </w:p>
        </w:tc>
        <w:tc>
          <w:tcPr>
            <w:tcW w:w="1910" w:type="dxa"/>
            <w:shd w:val="clear" w:color="auto" w:fill="D9E2F3"/>
            <w:vAlign w:val="center"/>
          </w:tcPr>
          <w:p w14:paraId="43BF1EC5" w14:textId="77777777" w:rsidR="00990B14" w:rsidRDefault="00000000">
            <w:pPr>
              <w:spacing w:before="20" w:after="20"/>
              <w:jc w:val="both"/>
            </w:pPr>
            <w:r>
              <w:rPr>
                <w:sz w:val="18"/>
                <w:szCs w:val="18"/>
              </w:rPr>
              <w:t>Clasifica correctamente el ilícito y señala la sanción correspondiente.</w:t>
            </w:r>
          </w:p>
        </w:tc>
        <w:tc>
          <w:tcPr>
            <w:tcW w:w="2015" w:type="dxa"/>
            <w:shd w:val="clear" w:color="auto" w:fill="D9E2F3"/>
            <w:vAlign w:val="center"/>
          </w:tcPr>
          <w:p w14:paraId="160C5179" w14:textId="77777777" w:rsidR="00990B14" w:rsidRDefault="00000000">
            <w:pPr>
              <w:spacing w:before="20" w:after="20"/>
              <w:jc w:val="both"/>
            </w:pPr>
            <w:r>
              <w:rPr>
                <w:sz w:val="18"/>
                <w:szCs w:val="18"/>
              </w:rPr>
              <w:t>Clasifica el ilícito con precisión, detalla la sanción y explica con claridad la diferencia entre la vía administrativa y penal.</w:t>
            </w:r>
          </w:p>
        </w:tc>
      </w:tr>
      <w:tr w:rsidR="00990B14" w14:paraId="13ECDE98" w14:textId="77777777">
        <w:trPr>
          <w:cantSplit/>
          <w:jc w:val="center"/>
        </w:trPr>
        <w:tc>
          <w:tcPr>
            <w:tcW w:w="1724" w:type="dxa"/>
            <w:vMerge/>
            <w:shd w:val="clear" w:color="auto" w:fill="4472C4"/>
            <w:vAlign w:val="center"/>
          </w:tcPr>
          <w:p w14:paraId="5F956BED" w14:textId="77777777" w:rsidR="00990B14" w:rsidRDefault="00990B14">
            <w:pPr>
              <w:spacing w:before="20" w:after="20"/>
            </w:pPr>
          </w:p>
        </w:tc>
        <w:tc>
          <w:tcPr>
            <w:tcW w:w="1846" w:type="dxa"/>
            <w:shd w:val="clear" w:color="auto" w:fill="D9E2F3"/>
            <w:vAlign w:val="center"/>
          </w:tcPr>
          <w:p w14:paraId="025A476E" w14:textId="77777777" w:rsidR="00990B14" w:rsidRDefault="00000000">
            <w:pPr>
              <w:spacing w:before="20" w:after="20"/>
              <w:jc w:val="both"/>
            </w:pPr>
            <w:r>
              <w:rPr>
                <w:sz w:val="18"/>
                <w:szCs w:val="18"/>
              </w:rPr>
              <w:t>Secuencia del procedimiento sancionador y pasos</w:t>
            </w:r>
          </w:p>
        </w:tc>
        <w:tc>
          <w:tcPr>
            <w:tcW w:w="1910" w:type="dxa"/>
            <w:shd w:val="clear" w:color="auto" w:fill="D9E2F3"/>
            <w:vAlign w:val="center"/>
          </w:tcPr>
          <w:p w14:paraId="5C7302C1" w14:textId="77777777" w:rsidR="00990B14" w:rsidRDefault="00000000">
            <w:pPr>
              <w:spacing w:before="20" w:after="20"/>
              <w:jc w:val="both"/>
            </w:pPr>
            <w:r>
              <w:rPr>
                <w:sz w:val="18"/>
                <w:szCs w:val="18"/>
              </w:rPr>
              <w:t>Desordena las etapas principales del procedimiento sancionador.</w:t>
            </w:r>
          </w:p>
        </w:tc>
        <w:tc>
          <w:tcPr>
            <w:tcW w:w="1910" w:type="dxa"/>
            <w:shd w:val="clear" w:color="auto" w:fill="D9E2F3"/>
            <w:vAlign w:val="center"/>
          </w:tcPr>
          <w:p w14:paraId="433D7E02" w14:textId="77777777" w:rsidR="00990B14" w:rsidRDefault="00000000">
            <w:pPr>
              <w:spacing w:before="20" w:after="20"/>
              <w:jc w:val="both"/>
            </w:pPr>
            <w:r>
              <w:rPr>
                <w:sz w:val="18"/>
                <w:szCs w:val="18"/>
              </w:rPr>
              <w:t>Describe en orden las etapas del procedimiento.</w:t>
            </w:r>
          </w:p>
        </w:tc>
        <w:tc>
          <w:tcPr>
            <w:tcW w:w="2015" w:type="dxa"/>
            <w:shd w:val="clear" w:color="auto" w:fill="D9E2F3"/>
            <w:vAlign w:val="center"/>
          </w:tcPr>
          <w:p w14:paraId="2917DFAE" w14:textId="77777777" w:rsidR="00990B14" w:rsidRDefault="00000000">
            <w:pPr>
              <w:spacing w:before="20" w:after="20"/>
              <w:jc w:val="both"/>
            </w:pPr>
            <w:r>
              <w:rPr>
                <w:sz w:val="18"/>
                <w:szCs w:val="18"/>
              </w:rPr>
              <w:t>Explica en orden la secuencia del procedimiento, señala los plazos legales aplicables y reconoce los recursos de impugnación procedentes.</w:t>
            </w:r>
          </w:p>
        </w:tc>
      </w:tr>
      <w:tr w:rsidR="00990B14" w14:paraId="15F46EF3" w14:textId="77777777">
        <w:trPr>
          <w:cantSplit/>
          <w:jc w:val="center"/>
        </w:trPr>
        <w:tc>
          <w:tcPr>
            <w:tcW w:w="1724" w:type="dxa"/>
            <w:vMerge/>
            <w:shd w:val="clear" w:color="auto" w:fill="4472C4"/>
            <w:vAlign w:val="center"/>
          </w:tcPr>
          <w:p w14:paraId="01243288" w14:textId="77777777" w:rsidR="00990B14" w:rsidRDefault="00990B14">
            <w:pPr>
              <w:spacing w:before="20" w:after="20"/>
            </w:pPr>
          </w:p>
        </w:tc>
        <w:tc>
          <w:tcPr>
            <w:tcW w:w="1846" w:type="dxa"/>
            <w:shd w:val="clear" w:color="auto" w:fill="D9E2F3"/>
            <w:vAlign w:val="center"/>
          </w:tcPr>
          <w:p w14:paraId="64B33F8E" w14:textId="77777777" w:rsidR="00990B14" w:rsidRDefault="00000000">
            <w:pPr>
              <w:spacing w:before="20" w:after="20"/>
              <w:jc w:val="both"/>
            </w:pPr>
            <w:r>
              <w:rPr>
                <w:sz w:val="18"/>
                <w:szCs w:val="18"/>
              </w:rPr>
              <w:t>Presentación del informe</w:t>
            </w:r>
          </w:p>
        </w:tc>
        <w:tc>
          <w:tcPr>
            <w:tcW w:w="1910" w:type="dxa"/>
            <w:shd w:val="clear" w:color="auto" w:fill="D9E2F3"/>
            <w:vAlign w:val="center"/>
          </w:tcPr>
          <w:p w14:paraId="4B9A149C" w14:textId="77777777" w:rsidR="00990B14" w:rsidRDefault="00000000">
            <w:pPr>
              <w:spacing w:before="20" w:after="20"/>
              <w:jc w:val="both"/>
            </w:pPr>
            <w:r>
              <w:rPr>
                <w:sz w:val="18"/>
                <w:szCs w:val="18"/>
              </w:rPr>
              <w:t>El informe es desordenado o incompleto.</w:t>
            </w:r>
          </w:p>
        </w:tc>
        <w:tc>
          <w:tcPr>
            <w:tcW w:w="1910" w:type="dxa"/>
            <w:shd w:val="clear" w:color="auto" w:fill="D9E2F3"/>
            <w:vAlign w:val="center"/>
          </w:tcPr>
          <w:p w14:paraId="71158ACC" w14:textId="77777777" w:rsidR="00990B14" w:rsidRDefault="00000000">
            <w:pPr>
              <w:spacing w:before="20" w:after="20"/>
              <w:jc w:val="both"/>
            </w:pPr>
            <w:r>
              <w:rPr>
                <w:sz w:val="18"/>
                <w:szCs w:val="18"/>
              </w:rPr>
              <w:t>Presenta el informe ordenado con la comparación de los ilícitos.</w:t>
            </w:r>
          </w:p>
        </w:tc>
        <w:tc>
          <w:tcPr>
            <w:tcW w:w="2015" w:type="dxa"/>
            <w:shd w:val="clear" w:color="auto" w:fill="D9E2F3"/>
            <w:vAlign w:val="center"/>
          </w:tcPr>
          <w:p w14:paraId="627AA40D" w14:textId="77777777" w:rsidR="00990B14" w:rsidRDefault="00000000">
            <w:pPr>
              <w:spacing w:before="20" w:after="20"/>
              <w:jc w:val="both"/>
            </w:pPr>
            <w:r>
              <w:rPr>
                <w:sz w:val="18"/>
                <w:szCs w:val="18"/>
              </w:rPr>
              <w:t>Presenta un informe claro con conclusiones fundamentadas en la normativa.</w:t>
            </w:r>
          </w:p>
        </w:tc>
      </w:tr>
      <w:tr w:rsidR="00990B14" w14:paraId="32529B1C" w14:textId="77777777">
        <w:trPr>
          <w:cantSplit/>
          <w:jc w:val="center"/>
        </w:trPr>
        <w:tc>
          <w:tcPr>
            <w:tcW w:w="1724" w:type="dxa"/>
            <w:vMerge/>
            <w:shd w:val="clear" w:color="auto" w:fill="4472C4"/>
            <w:vAlign w:val="center"/>
          </w:tcPr>
          <w:p w14:paraId="5D512D27" w14:textId="77777777" w:rsidR="00990B14" w:rsidRDefault="00990B14">
            <w:pPr>
              <w:spacing w:before="20" w:after="20"/>
            </w:pPr>
          </w:p>
        </w:tc>
        <w:tc>
          <w:tcPr>
            <w:tcW w:w="5666" w:type="dxa"/>
            <w:gridSpan w:val="3"/>
            <w:shd w:val="clear" w:color="auto" w:fill="D9E2F3"/>
            <w:vAlign w:val="center"/>
          </w:tcPr>
          <w:p w14:paraId="0E3E18F2" w14:textId="77777777" w:rsidR="00990B14" w:rsidRDefault="00000000">
            <w:pPr>
              <w:keepNext/>
              <w:spacing w:before="20" w:after="20"/>
              <w:jc w:val="both"/>
            </w:pPr>
            <w:r>
              <w:rPr>
                <w:b/>
                <w:bCs/>
                <w:i/>
                <w:iCs/>
                <w:sz w:val="18"/>
                <w:szCs w:val="18"/>
              </w:rPr>
              <w:t xml:space="preserve">Producto 11: </w:t>
            </w:r>
            <w:r>
              <w:rPr>
                <w:sz w:val="18"/>
                <w:szCs w:val="18"/>
              </w:rPr>
              <w:t>Esquema del proceso de impugnación</w:t>
            </w:r>
          </w:p>
        </w:tc>
        <w:tc>
          <w:tcPr>
            <w:tcW w:w="2015" w:type="dxa"/>
            <w:shd w:val="clear" w:color="auto" w:fill="D9E2F3"/>
            <w:vAlign w:val="center"/>
          </w:tcPr>
          <w:p w14:paraId="7F4FC557" w14:textId="77777777" w:rsidR="00990B14" w:rsidRDefault="00000000">
            <w:pPr>
              <w:spacing w:before="20" w:after="20"/>
              <w:jc w:val="center"/>
            </w:pPr>
            <w:r>
              <w:rPr>
                <w:b/>
                <w:bCs/>
                <w:sz w:val="18"/>
                <w:szCs w:val="18"/>
              </w:rPr>
              <w:t>6%</w:t>
            </w:r>
          </w:p>
        </w:tc>
      </w:tr>
      <w:tr w:rsidR="00990B14" w14:paraId="49F099FC" w14:textId="77777777">
        <w:trPr>
          <w:cantSplit/>
          <w:jc w:val="center"/>
        </w:trPr>
        <w:tc>
          <w:tcPr>
            <w:tcW w:w="1724" w:type="dxa"/>
            <w:vMerge/>
            <w:shd w:val="clear" w:color="auto" w:fill="4472C4"/>
            <w:vAlign w:val="center"/>
          </w:tcPr>
          <w:p w14:paraId="2615486E" w14:textId="77777777" w:rsidR="00990B14" w:rsidRDefault="00990B14">
            <w:pPr>
              <w:spacing w:before="20" w:after="20"/>
            </w:pPr>
          </w:p>
        </w:tc>
        <w:tc>
          <w:tcPr>
            <w:tcW w:w="1846" w:type="dxa"/>
            <w:shd w:val="clear" w:color="auto" w:fill="4472C4"/>
            <w:vAlign w:val="center"/>
          </w:tcPr>
          <w:p w14:paraId="198873D6"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22D0A459"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393DA860"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0D712DA4" w14:textId="77777777" w:rsidR="00990B14" w:rsidRDefault="00000000">
            <w:pPr>
              <w:keepNext/>
              <w:spacing w:before="20" w:after="20"/>
              <w:jc w:val="center"/>
            </w:pPr>
            <w:r>
              <w:rPr>
                <w:b/>
                <w:bCs/>
                <w:i/>
                <w:iCs/>
                <w:color w:val="FFFFFF"/>
                <w:sz w:val="18"/>
                <w:szCs w:val="18"/>
              </w:rPr>
              <w:t>Destacado (81–100)</w:t>
            </w:r>
          </w:p>
        </w:tc>
      </w:tr>
      <w:tr w:rsidR="00990B14" w14:paraId="44133D1A" w14:textId="77777777">
        <w:trPr>
          <w:cantSplit/>
          <w:jc w:val="center"/>
        </w:trPr>
        <w:tc>
          <w:tcPr>
            <w:tcW w:w="1724" w:type="dxa"/>
            <w:vMerge/>
            <w:shd w:val="clear" w:color="auto" w:fill="4472C4"/>
            <w:vAlign w:val="center"/>
          </w:tcPr>
          <w:p w14:paraId="2E50353C" w14:textId="77777777" w:rsidR="00990B14" w:rsidRDefault="00990B14">
            <w:pPr>
              <w:spacing w:before="20" w:after="20"/>
            </w:pPr>
          </w:p>
        </w:tc>
        <w:tc>
          <w:tcPr>
            <w:tcW w:w="1846" w:type="dxa"/>
            <w:shd w:val="clear" w:color="auto" w:fill="D9E2F3"/>
            <w:vAlign w:val="center"/>
          </w:tcPr>
          <w:p w14:paraId="56170CB9" w14:textId="77777777" w:rsidR="00990B14" w:rsidRDefault="00000000">
            <w:pPr>
              <w:spacing w:before="20" w:after="20"/>
              <w:jc w:val="both"/>
            </w:pPr>
            <w:r>
              <w:rPr>
                <w:sz w:val="18"/>
                <w:szCs w:val="18"/>
              </w:rPr>
              <w:t>Vías de impugnación y plazos</w:t>
            </w:r>
          </w:p>
        </w:tc>
        <w:tc>
          <w:tcPr>
            <w:tcW w:w="1910" w:type="dxa"/>
            <w:shd w:val="clear" w:color="auto" w:fill="D9E2F3"/>
            <w:vAlign w:val="center"/>
          </w:tcPr>
          <w:p w14:paraId="4D4FEB73" w14:textId="77777777" w:rsidR="00990B14" w:rsidRDefault="00000000">
            <w:pPr>
              <w:spacing w:before="20" w:after="20"/>
              <w:jc w:val="both"/>
            </w:pPr>
            <w:r>
              <w:rPr>
                <w:sz w:val="18"/>
                <w:szCs w:val="18"/>
              </w:rPr>
              <w:t>Confunde la vía administrativa y la judicial.</w:t>
            </w:r>
          </w:p>
        </w:tc>
        <w:tc>
          <w:tcPr>
            <w:tcW w:w="1910" w:type="dxa"/>
            <w:shd w:val="clear" w:color="auto" w:fill="D9E2F3"/>
            <w:vAlign w:val="center"/>
          </w:tcPr>
          <w:p w14:paraId="0E08773E" w14:textId="77777777" w:rsidR="00990B14" w:rsidRDefault="00000000">
            <w:pPr>
              <w:spacing w:before="20" w:after="20"/>
              <w:jc w:val="both"/>
            </w:pPr>
            <w:r>
              <w:rPr>
                <w:sz w:val="18"/>
                <w:szCs w:val="18"/>
              </w:rPr>
              <w:t>Diferencia la vía administrativa de la judicial e indica los plazos de cada recurso.</w:t>
            </w:r>
          </w:p>
        </w:tc>
        <w:tc>
          <w:tcPr>
            <w:tcW w:w="2015" w:type="dxa"/>
            <w:shd w:val="clear" w:color="auto" w:fill="D9E2F3"/>
            <w:vAlign w:val="center"/>
          </w:tcPr>
          <w:p w14:paraId="75D33E8A" w14:textId="77777777" w:rsidR="00990B14" w:rsidRDefault="00000000">
            <w:pPr>
              <w:spacing w:before="20" w:after="20"/>
              <w:jc w:val="both"/>
            </w:pPr>
            <w:r>
              <w:rPr>
                <w:sz w:val="18"/>
                <w:szCs w:val="18"/>
              </w:rPr>
              <w:t>Explica cuándo conviene cada vía y calcula los plazos de un caso.</w:t>
            </w:r>
          </w:p>
        </w:tc>
      </w:tr>
      <w:tr w:rsidR="00990B14" w14:paraId="6562D6B7" w14:textId="77777777">
        <w:trPr>
          <w:cantSplit/>
          <w:jc w:val="center"/>
        </w:trPr>
        <w:tc>
          <w:tcPr>
            <w:tcW w:w="1724" w:type="dxa"/>
            <w:vMerge/>
            <w:shd w:val="clear" w:color="auto" w:fill="4472C4"/>
            <w:vAlign w:val="center"/>
          </w:tcPr>
          <w:p w14:paraId="311BE9C9" w14:textId="77777777" w:rsidR="00990B14" w:rsidRDefault="00990B14">
            <w:pPr>
              <w:spacing w:before="20" w:after="20"/>
            </w:pPr>
          </w:p>
        </w:tc>
        <w:tc>
          <w:tcPr>
            <w:tcW w:w="1846" w:type="dxa"/>
            <w:shd w:val="clear" w:color="auto" w:fill="D9E2F3"/>
            <w:vAlign w:val="center"/>
          </w:tcPr>
          <w:p w14:paraId="16E4879C" w14:textId="77777777" w:rsidR="00990B14" w:rsidRDefault="00000000">
            <w:pPr>
              <w:spacing w:before="20" w:after="20"/>
              <w:jc w:val="both"/>
            </w:pPr>
            <w:r>
              <w:rPr>
                <w:sz w:val="18"/>
                <w:szCs w:val="18"/>
              </w:rPr>
              <w:t>Ejecución tributaria</w:t>
            </w:r>
          </w:p>
        </w:tc>
        <w:tc>
          <w:tcPr>
            <w:tcW w:w="1910" w:type="dxa"/>
            <w:shd w:val="clear" w:color="auto" w:fill="D9E2F3"/>
            <w:vAlign w:val="center"/>
          </w:tcPr>
          <w:p w14:paraId="58331901" w14:textId="77777777" w:rsidR="00990B14" w:rsidRDefault="00000000">
            <w:pPr>
              <w:spacing w:before="20" w:after="20"/>
              <w:jc w:val="both"/>
            </w:pPr>
            <w:r>
              <w:rPr>
                <w:sz w:val="18"/>
                <w:szCs w:val="18"/>
              </w:rPr>
              <w:t>Desconoce la ejecución tributaria.</w:t>
            </w:r>
          </w:p>
        </w:tc>
        <w:tc>
          <w:tcPr>
            <w:tcW w:w="1910" w:type="dxa"/>
            <w:shd w:val="clear" w:color="auto" w:fill="D9E2F3"/>
            <w:vAlign w:val="center"/>
          </w:tcPr>
          <w:p w14:paraId="3B531115" w14:textId="77777777" w:rsidR="00990B14" w:rsidRDefault="00000000">
            <w:pPr>
              <w:spacing w:before="20" w:after="20"/>
              <w:jc w:val="both"/>
            </w:pPr>
            <w:r>
              <w:rPr>
                <w:sz w:val="18"/>
                <w:szCs w:val="18"/>
              </w:rPr>
              <w:t>Describe el procedimiento de ejecución tributaria.</w:t>
            </w:r>
          </w:p>
        </w:tc>
        <w:tc>
          <w:tcPr>
            <w:tcW w:w="2015" w:type="dxa"/>
            <w:shd w:val="clear" w:color="auto" w:fill="D9E2F3"/>
            <w:vAlign w:val="center"/>
          </w:tcPr>
          <w:p w14:paraId="7CC324AC" w14:textId="77777777" w:rsidR="00990B14" w:rsidRDefault="00000000">
            <w:pPr>
              <w:spacing w:before="20" w:after="20"/>
              <w:jc w:val="both"/>
            </w:pPr>
            <w:r>
              <w:rPr>
                <w:sz w:val="18"/>
                <w:szCs w:val="18"/>
              </w:rPr>
              <w:t>Identifica las causales de oposición y suspensión de la ejecución tributaria.</w:t>
            </w:r>
          </w:p>
        </w:tc>
      </w:tr>
      <w:tr w:rsidR="00990B14" w14:paraId="571A210F" w14:textId="77777777">
        <w:trPr>
          <w:cantSplit/>
          <w:jc w:val="center"/>
        </w:trPr>
        <w:tc>
          <w:tcPr>
            <w:tcW w:w="1724" w:type="dxa"/>
            <w:vMerge/>
            <w:shd w:val="clear" w:color="auto" w:fill="4472C4"/>
            <w:vAlign w:val="center"/>
          </w:tcPr>
          <w:p w14:paraId="1BD40A9E" w14:textId="77777777" w:rsidR="00990B14" w:rsidRDefault="00990B14">
            <w:pPr>
              <w:spacing w:before="20" w:after="20"/>
            </w:pPr>
          </w:p>
        </w:tc>
        <w:tc>
          <w:tcPr>
            <w:tcW w:w="1846" w:type="dxa"/>
            <w:shd w:val="clear" w:color="auto" w:fill="D9E2F3"/>
            <w:vAlign w:val="center"/>
          </w:tcPr>
          <w:p w14:paraId="30A80499" w14:textId="77777777" w:rsidR="00990B14" w:rsidRDefault="00000000">
            <w:pPr>
              <w:spacing w:before="20" w:after="20"/>
              <w:jc w:val="both"/>
            </w:pPr>
            <w:r>
              <w:rPr>
                <w:sz w:val="18"/>
                <w:szCs w:val="18"/>
              </w:rPr>
              <w:t>Análisis de la resolución</w:t>
            </w:r>
          </w:p>
        </w:tc>
        <w:tc>
          <w:tcPr>
            <w:tcW w:w="1910" w:type="dxa"/>
            <w:shd w:val="clear" w:color="auto" w:fill="D9E2F3"/>
            <w:vAlign w:val="center"/>
          </w:tcPr>
          <w:p w14:paraId="38C53A13" w14:textId="77777777" w:rsidR="00990B14" w:rsidRDefault="00000000">
            <w:pPr>
              <w:spacing w:before="20" w:after="20"/>
              <w:jc w:val="both"/>
            </w:pPr>
            <w:r>
              <w:rPr>
                <w:sz w:val="18"/>
                <w:szCs w:val="18"/>
              </w:rPr>
              <w:t>Resume los hechos de forma incompleta.</w:t>
            </w:r>
          </w:p>
        </w:tc>
        <w:tc>
          <w:tcPr>
            <w:tcW w:w="1910" w:type="dxa"/>
            <w:shd w:val="clear" w:color="auto" w:fill="D9E2F3"/>
            <w:vAlign w:val="center"/>
          </w:tcPr>
          <w:p w14:paraId="0151B23D" w14:textId="77777777" w:rsidR="00990B14" w:rsidRDefault="00000000">
            <w:pPr>
              <w:spacing w:before="20" w:after="20"/>
              <w:jc w:val="both"/>
            </w:pPr>
            <w:r>
              <w:rPr>
                <w:sz w:val="18"/>
                <w:szCs w:val="18"/>
              </w:rPr>
              <w:t>Identifica los hechos, los agravios y el fundamento de la resolución.</w:t>
            </w:r>
          </w:p>
        </w:tc>
        <w:tc>
          <w:tcPr>
            <w:tcW w:w="2015" w:type="dxa"/>
            <w:shd w:val="clear" w:color="auto" w:fill="D9E2F3"/>
            <w:vAlign w:val="center"/>
          </w:tcPr>
          <w:p w14:paraId="362F7EA4" w14:textId="77777777" w:rsidR="00990B14" w:rsidRDefault="00000000">
            <w:pPr>
              <w:spacing w:before="20" w:after="20"/>
              <w:jc w:val="both"/>
            </w:pPr>
            <w:r>
              <w:rPr>
                <w:sz w:val="18"/>
                <w:szCs w:val="18"/>
              </w:rPr>
              <w:t>Extrae el criterio de la resolución y lo aplica a un caso similar.</w:t>
            </w:r>
          </w:p>
        </w:tc>
      </w:tr>
      <w:tr w:rsidR="00990B14" w14:paraId="12F627AD" w14:textId="77777777">
        <w:trPr>
          <w:cantSplit/>
          <w:jc w:val="center"/>
        </w:trPr>
        <w:tc>
          <w:tcPr>
            <w:tcW w:w="1724" w:type="dxa"/>
            <w:vMerge/>
            <w:shd w:val="clear" w:color="auto" w:fill="4472C4"/>
            <w:vAlign w:val="center"/>
          </w:tcPr>
          <w:p w14:paraId="20732CB2" w14:textId="77777777" w:rsidR="00990B14" w:rsidRDefault="00990B14">
            <w:pPr>
              <w:spacing w:before="20" w:after="20"/>
            </w:pPr>
          </w:p>
        </w:tc>
        <w:tc>
          <w:tcPr>
            <w:tcW w:w="5666" w:type="dxa"/>
            <w:gridSpan w:val="3"/>
            <w:shd w:val="clear" w:color="auto" w:fill="D9E2F3"/>
            <w:vAlign w:val="center"/>
          </w:tcPr>
          <w:p w14:paraId="7D865FE2" w14:textId="77777777" w:rsidR="00990B14" w:rsidRDefault="00000000">
            <w:pPr>
              <w:keepNext/>
              <w:spacing w:before="20" w:after="20"/>
              <w:jc w:val="both"/>
            </w:pPr>
            <w:r>
              <w:rPr>
                <w:b/>
                <w:bCs/>
                <w:i/>
                <w:iCs/>
                <w:sz w:val="18"/>
                <w:szCs w:val="18"/>
              </w:rPr>
              <w:t xml:space="preserve">Producto 12: </w:t>
            </w:r>
            <w:r>
              <w:rPr>
                <w:sz w:val="18"/>
                <w:szCs w:val="18"/>
              </w:rPr>
              <w:t>Ficha de análisis de una resolución de la Autoridad de Impugnación Tributaria.</w:t>
            </w:r>
          </w:p>
        </w:tc>
        <w:tc>
          <w:tcPr>
            <w:tcW w:w="2015" w:type="dxa"/>
            <w:shd w:val="clear" w:color="auto" w:fill="D9E2F3"/>
            <w:vAlign w:val="center"/>
          </w:tcPr>
          <w:p w14:paraId="27195C49" w14:textId="77777777" w:rsidR="00990B14" w:rsidRDefault="00000000">
            <w:pPr>
              <w:spacing w:before="20" w:after="20"/>
              <w:jc w:val="center"/>
            </w:pPr>
            <w:r>
              <w:rPr>
                <w:b/>
                <w:bCs/>
                <w:sz w:val="18"/>
                <w:szCs w:val="18"/>
              </w:rPr>
              <w:t>7%</w:t>
            </w:r>
          </w:p>
        </w:tc>
      </w:tr>
      <w:tr w:rsidR="00990B14" w14:paraId="63F1F8F4" w14:textId="77777777">
        <w:trPr>
          <w:cantSplit/>
          <w:jc w:val="center"/>
        </w:trPr>
        <w:tc>
          <w:tcPr>
            <w:tcW w:w="1724" w:type="dxa"/>
            <w:vMerge/>
            <w:shd w:val="clear" w:color="auto" w:fill="4472C4"/>
            <w:vAlign w:val="center"/>
          </w:tcPr>
          <w:p w14:paraId="085CD272" w14:textId="77777777" w:rsidR="00990B14" w:rsidRDefault="00990B14">
            <w:pPr>
              <w:spacing w:before="20" w:after="20"/>
            </w:pPr>
          </w:p>
        </w:tc>
        <w:tc>
          <w:tcPr>
            <w:tcW w:w="1846" w:type="dxa"/>
            <w:shd w:val="clear" w:color="auto" w:fill="4472C4"/>
            <w:vAlign w:val="center"/>
          </w:tcPr>
          <w:p w14:paraId="6C021489"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26DAC3A8"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3190CF7C"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1B749E84" w14:textId="77777777" w:rsidR="00990B14" w:rsidRDefault="00000000">
            <w:pPr>
              <w:keepNext/>
              <w:spacing w:before="20" w:after="20"/>
              <w:jc w:val="center"/>
            </w:pPr>
            <w:r>
              <w:rPr>
                <w:b/>
                <w:bCs/>
                <w:i/>
                <w:iCs/>
                <w:color w:val="FFFFFF"/>
                <w:sz w:val="18"/>
                <w:szCs w:val="18"/>
              </w:rPr>
              <w:t>Destacado (81–100)</w:t>
            </w:r>
          </w:p>
        </w:tc>
      </w:tr>
      <w:tr w:rsidR="00990B14" w14:paraId="0FC1F046" w14:textId="77777777">
        <w:trPr>
          <w:cantSplit/>
          <w:jc w:val="center"/>
        </w:trPr>
        <w:tc>
          <w:tcPr>
            <w:tcW w:w="1724" w:type="dxa"/>
            <w:vMerge/>
            <w:shd w:val="clear" w:color="auto" w:fill="4472C4"/>
            <w:vAlign w:val="center"/>
          </w:tcPr>
          <w:p w14:paraId="54E8A206" w14:textId="77777777" w:rsidR="00990B14" w:rsidRDefault="00990B14">
            <w:pPr>
              <w:spacing w:before="20" w:after="20"/>
            </w:pPr>
          </w:p>
        </w:tc>
        <w:tc>
          <w:tcPr>
            <w:tcW w:w="1846" w:type="dxa"/>
            <w:shd w:val="clear" w:color="auto" w:fill="D9E2F3"/>
            <w:vAlign w:val="center"/>
          </w:tcPr>
          <w:p w14:paraId="7B9CA3E8" w14:textId="77777777" w:rsidR="00990B14" w:rsidRDefault="00000000">
            <w:pPr>
              <w:spacing w:before="20" w:after="20"/>
              <w:jc w:val="both"/>
            </w:pPr>
            <w:r>
              <w:rPr>
                <w:sz w:val="18"/>
                <w:szCs w:val="18"/>
              </w:rPr>
              <w:t>Casos de impugnación</w:t>
            </w:r>
          </w:p>
        </w:tc>
        <w:tc>
          <w:tcPr>
            <w:tcW w:w="1910" w:type="dxa"/>
            <w:shd w:val="clear" w:color="auto" w:fill="D9E2F3"/>
            <w:vAlign w:val="center"/>
          </w:tcPr>
          <w:p w14:paraId="4348F26B" w14:textId="77777777" w:rsidR="00990B14" w:rsidRDefault="00000000">
            <w:pPr>
              <w:spacing w:before="20" w:after="20"/>
              <w:jc w:val="both"/>
            </w:pPr>
            <w:r>
              <w:rPr>
                <w:sz w:val="18"/>
                <w:szCs w:val="18"/>
              </w:rPr>
              <w:t>Desconoce los actos administrativos tributarios sujetos a impugnación.</w:t>
            </w:r>
          </w:p>
        </w:tc>
        <w:tc>
          <w:tcPr>
            <w:tcW w:w="1910" w:type="dxa"/>
            <w:shd w:val="clear" w:color="auto" w:fill="D9E2F3"/>
            <w:vAlign w:val="center"/>
          </w:tcPr>
          <w:p w14:paraId="6088C584" w14:textId="77777777" w:rsidR="00990B14" w:rsidRDefault="00000000">
            <w:pPr>
              <w:spacing w:before="20" w:after="20"/>
              <w:jc w:val="both"/>
            </w:pPr>
            <w:r>
              <w:rPr>
                <w:sz w:val="18"/>
                <w:szCs w:val="18"/>
              </w:rPr>
              <w:t>Reconoce los casos de impugnación</w:t>
            </w:r>
          </w:p>
        </w:tc>
        <w:tc>
          <w:tcPr>
            <w:tcW w:w="2015" w:type="dxa"/>
            <w:shd w:val="clear" w:color="auto" w:fill="D9E2F3"/>
            <w:vAlign w:val="center"/>
          </w:tcPr>
          <w:p w14:paraId="7A0E4033" w14:textId="77777777" w:rsidR="00990B14" w:rsidRDefault="00000000">
            <w:pPr>
              <w:spacing w:before="20" w:after="20"/>
              <w:jc w:val="both"/>
            </w:pPr>
            <w:r>
              <w:rPr>
                <w:sz w:val="18"/>
                <w:szCs w:val="18"/>
              </w:rPr>
              <w:t>Análisis contable del contenido del recurso.</w:t>
            </w:r>
          </w:p>
        </w:tc>
      </w:tr>
      <w:tr w:rsidR="00990B14" w14:paraId="59E9933D" w14:textId="77777777">
        <w:trPr>
          <w:cantSplit/>
          <w:jc w:val="center"/>
        </w:trPr>
        <w:tc>
          <w:tcPr>
            <w:tcW w:w="1724" w:type="dxa"/>
            <w:vMerge/>
            <w:shd w:val="clear" w:color="auto" w:fill="4472C4"/>
            <w:vAlign w:val="center"/>
          </w:tcPr>
          <w:p w14:paraId="1E2B57C4" w14:textId="77777777" w:rsidR="00990B14" w:rsidRDefault="00990B14">
            <w:pPr>
              <w:spacing w:before="20" w:after="20"/>
            </w:pPr>
          </w:p>
        </w:tc>
        <w:tc>
          <w:tcPr>
            <w:tcW w:w="1846" w:type="dxa"/>
            <w:shd w:val="clear" w:color="auto" w:fill="D9E2F3"/>
            <w:vAlign w:val="center"/>
          </w:tcPr>
          <w:p w14:paraId="7FD2C5BA" w14:textId="77777777" w:rsidR="00990B14" w:rsidRDefault="00000000">
            <w:pPr>
              <w:spacing w:before="20" w:after="20"/>
              <w:jc w:val="both"/>
            </w:pPr>
            <w:r>
              <w:rPr>
                <w:sz w:val="18"/>
                <w:szCs w:val="18"/>
              </w:rPr>
              <w:t>Fundamentación de agravios</w:t>
            </w:r>
          </w:p>
        </w:tc>
        <w:tc>
          <w:tcPr>
            <w:tcW w:w="1910" w:type="dxa"/>
            <w:shd w:val="clear" w:color="auto" w:fill="D9E2F3"/>
            <w:vAlign w:val="center"/>
          </w:tcPr>
          <w:p w14:paraId="53F8745E" w14:textId="77777777" w:rsidR="00990B14" w:rsidRDefault="00000000">
            <w:pPr>
              <w:spacing w:before="20" w:after="20"/>
              <w:jc w:val="both"/>
            </w:pPr>
            <w:r>
              <w:rPr>
                <w:sz w:val="18"/>
                <w:szCs w:val="18"/>
              </w:rPr>
              <w:t>No evidencia los agravios.</w:t>
            </w:r>
          </w:p>
        </w:tc>
        <w:tc>
          <w:tcPr>
            <w:tcW w:w="1910" w:type="dxa"/>
            <w:shd w:val="clear" w:color="auto" w:fill="D9E2F3"/>
            <w:vAlign w:val="center"/>
          </w:tcPr>
          <w:p w14:paraId="7D952777" w14:textId="77777777" w:rsidR="00990B14" w:rsidRDefault="00000000">
            <w:pPr>
              <w:spacing w:before="20" w:after="20"/>
              <w:jc w:val="both"/>
            </w:pPr>
            <w:r>
              <w:rPr>
                <w:sz w:val="18"/>
                <w:szCs w:val="18"/>
              </w:rPr>
              <w:t>Especifica los agravios subsumidos en la norma tributaria</w:t>
            </w:r>
          </w:p>
        </w:tc>
        <w:tc>
          <w:tcPr>
            <w:tcW w:w="2015" w:type="dxa"/>
            <w:shd w:val="clear" w:color="auto" w:fill="D9E2F3"/>
            <w:vAlign w:val="center"/>
          </w:tcPr>
          <w:p w14:paraId="5E1800F5" w14:textId="77777777" w:rsidR="00990B14" w:rsidRDefault="00000000">
            <w:pPr>
              <w:spacing w:before="20" w:after="20"/>
              <w:jc w:val="both"/>
            </w:pPr>
            <w:r>
              <w:rPr>
                <w:sz w:val="18"/>
                <w:szCs w:val="18"/>
              </w:rPr>
              <w:t>Refuta los argumentos de la resolución impugnada.</w:t>
            </w:r>
          </w:p>
        </w:tc>
      </w:tr>
      <w:tr w:rsidR="00990B14" w14:paraId="6DB74C3E" w14:textId="77777777">
        <w:trPr>
          <w:cantSplit/>
          <w:jc w:val="center"/>
        </w:trPr>
        <w:tc>
          <w:tcPr>
            <w:tcW w:w="1724" w:type="dxa"/>
            <w:vMerge/>
            <w:shd w:val="clear" w:color="auto" w:fill="4472C4"/>
            <w:vAlign w:val="center"/>
          </w:tcPr>
          <w:p w14:paraId="70C27C00" w14:textId="77777777" w:rsidR="00990B14" w:rsidRDefault="00990B14">
            <w:pPr>
              <w:spacing w:before="20" w:after="20"/>
            </w:pPr>
          </w:p>
        </w:tc>
        <w:tc>
          <w:tcPr>
            <w:tcW w:w="1846" w:type="dxa"/>
            <w:shd w:val="clear" w:color="auto" w:fill="D9E2F3"/>
            <w:vAlign w:val="center"/>
          </w:tcPr>
          <w:p w14:paraId="701BFAF7" w14:textId="77777777" w:rsidR="00990B14" w:rsidRDefault="00000000">
            <w:pPr>
              <w:spacing w:before="20" w:after="20"/>
              <w:jc w:val="both"/>
            </w:pPr>
            <w:r>
              <w:rPr>
                <w:sz w:val="18"/>
                <w:szCs w:val="18"/>
              </w:rPr>
              <w:t>Trabajo en equipo</w:t>
            </w:r>
          </w:p>
        </w:tc>
        <w:tc>
          <w:tcPr>
            <w:tcW w:w="1910" w:type="dxa"/>
            <w:shd w:val="clear" w:color="auto" w:fill="D9E2F3"/>
            <w:vAlign w:val="center"/>
          </w:tcPr>
          <w:p w14:paraId="7C77D661" w14:textId="77777777" w:rsidR="00990B14" w:rsidRDefault="00000000">
            <w:pPr>
              <w:spacing w:before="20" w:after="20"/>
              <w:jc w:val="both"/>
            </w:pPr>
            <w:r>
              <w:rPr>
                <w:sz w:val="18"/>
                <w:szCs w:val="18"/>
              </w:rPr>
              <w:t>Participan solo algunos integrantes.</w:t>
            </w:r>
          </w:p>
        </w:tc>
        <w:tc>
          <w:tcPr>
            <w:tcW w:w="1910" w:type="dxa"/>
            <w:shd w:val="clear" w:color="auto" w:fill="D9E2F3"/>
            <w:vAlign w:val="center"/>
          </w:tcPr>
          <w:p w14:paraId="1C6842CC" w14:textId="77777777" w:rsidR="00990B14" w:rsidRDefault="00000000">
            <w:pPr>
              <w:spacing w:before="20" w:after="20"/>
              <w:jc w:val="both"/>
            </w:pPr>
            <w:r>
              <w:rPr>
                <w:sz w:val="18"/>
                <w:szCs w:val="18"/>
              </w:rPr>
              <w:t>Todos los integrantes participan.</w:t>
            </w:r>
          </w:p>
        </w:tc>
        <w:tc>
          <w:tcPr>
            <w:tcW w:w="2015" w:type="dxa"/>
            <w:shd w:val="clear" w:color="auto" w:fill="D9E2F3"/>
            <w:vAlign w:val="center"/>
          </w:tcPr>
          <w:p w14:paraId="66D753D0" w14:textId="77777777" w:rsidR="00990B14" w:rsidRDefault="00000000">
            <w:pPr>
              <w:spacing w:before="20" w:after="20"/>
              <w:jc w:val="both"/>
            </w:pPr>
            <w:r>
              <w:rPr>
                <w:sz w:val="18"/>
                <w:szCs w:val="18"/>
              </w:rPr>
              <w:t>El equipo presenta los resultados ante el curso.</w:t>
            </w:r>
          </w:p>
        </w:tc>
      </w:tr>
      <w:tr w:rsidR="00990B14" w14:paraId="3D68F5A7" w14:textId="77777777">
        <w:trPr>
          <w:cantSplit/>
          <w:jc w:val="center"/>
        </w:trPr>
        <w:tc>
          <w:tcPr>
            <w:tcW w:w="1724" w:type="dxa"/>
            <w:vMerge/>
            <w:shd w:val="clear" w:color="auto" w:fill="4472C4"/>
            <w:vAlign w:val="center"/>
          </w:tcPr>
          <w:p w14:paraId="2BF4E621" w14:textId="77777777" w:rsidR="00990B14" w:rsidRDefault="00990B14">
            <w:pPr>
              <w:spacing w:before="20" w:after="20"/>
            </w:pPr>
          </w:p>
        </w:tc>
        <w:tc>
          <w:tcPr>
            <w:tcW w:w="5666" w:type="dxa"/>
            <w:gridSpan w:val="3"/>
            <w:shd w:val="clear" w:color="auto" w:fill="D9E2F3"/>
            <w:vAlign w:val="center"/>
          </w:tcPr>
          <w:p w14:paraId="6D2D4059" w14:textId="77777777" w:rsidR="00990B14" w:rsidRDefault="00000000">
            <w:pPr>
              <w:keepNext/>
              <w:spacing w:before="20" w:after="20"/>
              <w:jc w:val="both"/>
            </w:pPr>
            <w:r>
              <w:rPr>
                <w:b/>
                <w:bCs/>
                <w:i/>
                <w:iCs/>
                <w:sz w:val="18"/>
                <w:szCs w:val="18"/>
              </w:rPr>
              <w:t xml:space="preserve">Producto 13: </w:t>
            </w:r>
            <w:r>
              <w:rPr>
                <w:sz w:val="18"/>
                <w:szCs w:val="18"/>
              </w:rPr>
              <w:t>Informe de un caso de doble imposición internacional.</w:t>
            </w:r>
          </w:p>
        </w:tc>
        <w:tc>
          <w:tcPr>
            <w:tcW w:w="2015" w:type="dxa"/>
            <w:shd w:val="clear" w:color="auto" w:fill="D9E2F3"/>
            <w:vAlign w:val="center"/>
          </w:tcPr>
          <w:p w14:paraId="7C0A97A8" w14:textId="77777777" w:rsidR="00990B14" w:rsidRDefault="00000000">
            <w:pPr>
              <w:spacing w:before="20" w:after="20"/>
              <w:jc w:val="center"/>
            </w:pPr>
            <w:r>
              <w:rPr>
                <w:b/>
                <w:bCs/>
                <w:sz w:val="18"/>
                <w:szCs w:val="18"/>
              </w:rPr>
              <w:t>2%</w:t>
            </w:r>
          </w:p>
        </w:tc>
      </w:tr>
      <w:tr w:rsidR="00990B14" w14:paraId="2BDC12DB" w14:textId="77777777">
        <w:trPr>
          <w:cantSplit/>
          <w:jc w:val="center"/>
        </w:trPr>
        <w:tc>
          <w:tcPr>
            <w:tcW w:w="1724" w:type="dxa"/>
            <w:vMerge/>
            <w:shd w:val="clear" w:color="auto" w:fill="4472C4"/>
            <w:vAlign w:val="center"/>
          </w:tcPr>
          <w:p w14:paraId="7EA4D79D" w14:textId="77777777" w:rsidR="00990B14" w:rsidRDefault="00990B14">
            <w:pPr>
              <w:spacing w:before="20" w:after="20"/>
            </w:pPr>
          </w:p>
        </w:tc>
        <w:tc>
          <w:tcPr>
            <w:tcW w:w="1846" w:type="dxa"/>
            <w:shd w:val="clear" w:color="auto" w:fill="4472C4"/>
            <w:vAlign w:val="center"/>
          </w:tcPr>
          <w:p w14:paraId="14F09AF9"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6D75FC86"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6265981D"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6E897F0D" w14:textId="77777777" w:rsidR="00990B14" w:rsidRDefault="00000000">
            <w:pPr>
              <w:keepNext/>
              <w:spacing w:before="20" w:after="20"/>
              <w:jc w:val="center"/>
            </w:pPr>
            <w:r>
              <w:rPr>
                <w:b/>
                <w:bCs/>
                <w:i/>
                <w:iCs/>
                <w:color w:val="FFFFFF"/>
                <w:sz w:val="18"/>
                <w:szCs w:val="18"/>
              </w:rPr>
              <w:t>Destacado (81–100)</w:t>
            </w:r>
          </w:p>
        </w:tc>
      </w:tr>
      <w:tr w:rsidR="00990B14" w14:paraId="60BC7BDE" w14:textId="77777777">
        <w:trPr>
          <w:cantSplit/>
          <w:jc w:val="center"/>
        </w:trPr>
        <w:tc>
          <w:tcPr>
            <w:tcW w:w="1724" w:type="dxa"/>
            <w:vMerge/>
            <w:shd w:val="clear" w:color="auto" w:fill="4472C4"/>
            <w:vAlign w:val="center"/>
          </w:tcPr>
          <w:p w14:paraId="34CC1C39" w14:textId="77777777" w:rsidR="00990B14" w:rsidRDefault="00990B14">
            <w:pPr>
              <w:spacing w:before="20" w:after="20"/>
            </w:pPr>
          </w:p>
        </w:tc>
        <w:tc>
          <w:tcPr>
            <w:tcW w:w="1846" w:type="dxa"/>
            <w:shd w:val="clear" w:color="auto" w:fill="D9E2F3"/>
            <w:vAlign w:val="center"/>
          </w:tcPr>
          <w:p w14:paraId="1563872F" w14:textId="77777777" w:rsidR="00990B14" w:rsidRDefault="00000000">
            <w:pPr>
              <w:spacing w:before="20" w:after="20"/>
              <w:jc w:val="both"/>
            </w:pPr>
            <w:r>
              <w:rPr>
                <w:sz w:val="18"/>
                <w:szCs w:val="18"/>
              </w:rPr>
              <w:t>Criterios de sujeción</w:t>
            </w:r>
          </w:p>
        </w:tc>
        <w:tc>
          <w:tcPr>
            <w:tcW w:w="1910" w:type="dxa"/>
            <w:shd w:val="clear" w:color="auto" w:fill="D9E2F3"/>
            <w:vAlign w:val="center"/>
          </w:tcPr>
          <w:p w14:paraId="2645CCB3" w14:textId="77777777" w:rsidR="00990B14" w:rsidRDefault="00000000">
            <w:pPr>
              <w:spacing w:before="20" w:after="20"/>
              <w:jc w:val="both"/>
            </w:pPr>
            <w:r>
              <w:rPr>
                <w:sz w:val="18"/>
                <w:szCs w:val="18"/>
              </w:rPr>
              <w:t>Confunde residencia, nacionalidad y fuente.</w:t>
            </w:r>
          </w:p>
        </w:tc>
        <w:tc>
          <w:tcPr>
            <w:tcW w:w="1910" w:type="dxa"/>
            <w:shd w:val="clear" w:color="auto" w:fill="D9E2F3"/>
            <w:vAlign w:val="center"/>
          </w:tcPr>
          <w:p w14:paraId="5ECAB276" w14:textId="77777777" w:rsidR="00990B14" w:rsidRDefault="00000000">
            <w:pPr>
              <w:spacing w:before="20" w:after="20"/>
              <w:jc w:val="both"/>
            </w:pPr>
            <w:r>
              <w:rPr>
                <w:sz w:val="18"/>
                <w:szCs w:val="18"/>
              </w:rPr>
              <w:t>Identifica los criterios de sujeción.</w:t>
            </w:r>
          </w:p>
        </w:tc>
        <w:tc>
          <w:tcPr>
            <w:tcW w:w="2015" w:type="dxa"/>
            <w:shd w:val="clear" w:color="auto" w:fill="D9E2F3"/>
            <w:vAlign w:val="center"/>
          </w:tcPr>
          <w:p w14:paraId="212D44FE" w14:textId="77777777" w:rsidR="00990B14" w:rsidRDefault="00000000">
            <w:pPr>
              <w:spacing w:before="20" w:after="20"/>
              <w:jc w:val="both"/>
            </w:pPr>
            <w:r>
              <w:rPr>
                <w:sz w:val="18"/>
                <w:szCs w:val="18"/>
              </w:rPr>
              <w:t>Explica el criterio de la fuente.</w:t>
            </w:r>
          </w:p>
        </w:tc>
      </w:tr>
      <w:tr w:rsidR="00990B14" w14:paraId="67BC027D" w14:textId="77777777">
        <w:trPr>
          <w:cantSplit/>
          <w:jc w:val="center"/>
        </w:trPr>
        <w:tc>
          <w:tcPr>
            <w:tcW w:w="1724" w:type="dxa"/>
            <w:vMerge/>
            <w:shd w:val="clear" w:color="auto" w:fill="4472C4"/>
            <w:vAlign w:val="center"/>
          </w:tcPr>
          <w:p w14:paraId="39E8EB4F" w14:textId="77777777" w:rsidR="00990B14" w:rsidRDefault="00990B14">
            <w:pPr>
              <w:spacing w:before="20" w:after="20"/>
            </w:pPr>
          </w:p>
        </w:tc>
        <w:tc>
          <w:tcPr>
            <w:tcW w:w="1846" w:type="dxa"/>
            <w:shd w:val="clear" w:color="auto" w:fill="D9E2F3"/>
            <w:vAlign w:val="center"/>
          </w:tcPr>
          <w:p w14:paraId="3798129C" w14:textId="77777777" w:rsidR="00990B14" w:rsidRDefault="00000000">
            <w:pPr>
              <w:spacing w:before="20" w:after="20"/>
              <w:jc w:val="both"/>
            </w:pPr>
            <w:r>
              <w:rPr>
                <w:sz w:val="18"/>
                <w:szCs w:val="18"/>
              </w:rPr>
              <w:t>Establecimiento permanente</w:t>
            </w:r>
          </w:p>
        </w:tc>
        <w:tc>
          <w:tcPr>
            <w:tcW w:w="1910" w:type="dxa"/>
            <w:shd w:val="clear" w:color="auto" w:fill="D9E2F3"/>
            <w:vAlign w:val="center"/>
          </w:tcPr>
          <w:p w14:paraId="600ECD80" w14:textId="77777777" w:rsidR="00990B14" w:rsidRDefault="00000000">
            <w:pPr>
              <w:spacing w:before="20" w:after="20"/>
              <w:jc w:val="both"/>
            </w:pPr>
            <w:r>
              <w:rPr>
                <w:sz w:val="18"/>
                <w:szCs w:val="18"/>
              </w:rPr>
              <w:t>No analiza el establecimiento permanente.</w:t>
            </w:r>
          </w:p>
        </w:tc>
        <w:tc>
          <w:tcPr>
            <w:tcW w:w="1910" w:type="dxa"/>
            <w:shd w:val="clear" w:color="auto" w:fill="D9E2F3"/>
            <w:vAlign w:val="center"/>
          </w:tcPr>
          <w:p w14:paraId="32EE97BE" w14:textId="77777777" w:rsidR="00990B14" w:rsidRDefault="00000000">
            <w:pPr>
              <w:spacing w:before="20" w:after="20"/>
              <w:jc w:val="both"/>
            </w:pPr>
            <w:r>
              <w:rPr>
                <w:sz w:val="18"/>
                <w:szCs w:val="18"/>
              </w:rPr>
              <w:t>Determina si existe establecimiento permanente.</w:t>
            </w:r>
          </w:p>
        </w:tc>
        <w:tc>
          <w:tcPr>
            <w:tcW w:w="2015" w:type="dxa"/>
            <w:shd w:val="clear" w:color="auto" w:fill="D9E2F3"/>
            <w:vAlign w:val="center"/>
          </w:tcPr>
          <w:p w14:paraId="0640319D" w14:textId="77777777" w:rsidR="00990B14" w:rsidRDefault="00000000">
            <w:pPr>
              <w:spacing w:before="20" w:after="20"/>
              <w:jc w:val="both"/>
            </w:pPr>
            <w:r>
              <w:rPr>
                <w:sz w:val="18"/>
                <w:szCs w:val="18"/>
              </w:rPr>
              <w:t>Analiza sus efectos en la tributación del caso.</w:t>
            </w:r>
          </w:p>
        </w:tc>
      </w:tr>
      <w:tr w:rsidR="00990B14" w14:paraId="27EAE9B1" w14:textId="77777777">
        <w:trPr>
          <w:cantSplit/>
          <w:jc w:val="center"/>
        </w:trPr>
        <w:tc>
          <w:tcPr>
            <w:tcW w:w="1724" w:type="dxa"/>
            <w:vMerge/>
            <w:shd w:val="clear" w:color="auto" w:fill="4472C4"/>
            <w:vAlign w:val="center"/>
          </w:tcPr>
          <w:p w14:paraId="32B866ED" w14:textId="77777777" w:rsidR="00990B14" w:rsidRDefault="00990B14">
            <w:pPr>
              <w:spacing w:before="20" w:after="20"/>
            </w:pPr>
          </w:p>
        </w:tc>
        <w:tc>
          <w:tcPr>
            <w:tcW w:w="1846" w:type="dxa"/>
            <w:shd w:val="clear" w:color="auto" w:fill="D9E2F3"/>
            <w:vAlign w:val="center"/>
          </w:tcPr>
          <w:p w14:paraId="6751730E" w14:textId="77777777" w:rsidR="00990B14" w:rsidRDefault="00000000">
            <w:pPr>
              <w:spacing w:before="20" w:after="20"/>
              <w:jc w:val="both"/>
            </w:pPr>
            <w:r>
              <w:rPr>
                <w:sz w:val="18"/>
                <w:szCs w:val="18"/>
              </w:rPr>
              <w:t>Conclusión</w:t>
            </w:r>
          </w:p>
        </w:tc>
        <w:tc>
          <w:tcPr>
            <w:tcW w:w="1910" w:type="dxa"/>
            <w:shd w:val="clear" w:color="auto" w:fill="D9E2F3"/>
            <w:vAlign w:val="center"/>
          </w:tcPr>
          <w:p w14:paraId="3AB7BB93" w14:textId="77777777" w:rsidR="00990B14" w:rsidRDefault="00000000">
            <w:pPr>
              <w:spacing w:before="20" w:after="20"/>
              <w:jc w:val="both"/>
            </w:pPr>
            <w:r>
              <w:rPr>
                <w:sz w:val="18"/>
                <w:szCs w:val="18"/>
              </w:rPr>
              <w:t>No emite conclusión.</w:t>
            </w:r>
          </w:p>
        </w:tc>
        <w:tc>
          <w:tcPr>
            <w:tcW w:w="1910" w:type="dxa"/>
            <w:shd w:val="clear" w:color="auto" w:fill="D9E2F3"/>
            <w:vAlign w:val="center"/>
          </w:tcPr>
          <w:p w14:paraId="35A3C7ED" w14:textId="77777777" w:rsidR="00990B14" w:rsidRDefault="00000000">
            <w:pPr>
              <w:spacing w:before="20" w:after="20"/>
              <w:jc w:val="both"/>
            </w:pPr>
            <w:r>
              <w:rPr>
                <w:sz w:val="18"/>
                <w:szCs w:val="18"/>
              </w:rPr>
              <w:t>Concluye sobre la existencia de doble imposición.</w:t>
            </w:r>
          </w:p>
        </w:tc>
        <w:tc>
          <w:tcPr>
            <w:tcW w:w="2015" w:type="dxa"/>
            <w:shd w:val="clear" w:color="auto" w:fill="D9E2F3"/>
            <w:vAlign w:val="center"/>
          </w:tcPr>
          <w:p w14:paraId="67399A8C" w14:textId="77777777" w:rsidR="00990B14" w:rsidRDefault="00000000">
            <w:pPr>
              <w:spacing w:before="20" w:after="20"/>
              <w:jc w:val="both"/>
            </w:pPr>
            <w:r>
              <w:rPr>
                <w:sz w:val="18"/>
                <w:szCs w:val="18"/>
              </w:rPr>
              <w:t>Determina el método de no doble imposición.</w:t>
            </w:r>
          </w:p>
        </w:tc>
      </w:tr>
      <w:tr w:rsidR="00990B14" w14:paraId="3C3B6D3B" w14:textId="77777777">
        <w:trPr>
          <w:cantSplit/>
          <w:jc w:val="center"/>
        </w:trPr>
        <w:tc>
          <w:tcPr>
            <w:tcW w:w="1724" w:type="dxa"/>
            <w:vMerge/>
            <w:shd w:val="clear" w:color="auto" w:fill="4472C4"/>
            <w:vAlign w:val="center"/>
          </w:tcPr>
          <w:p w14:paraId="7A13F64D" w14:textId="77777777" w:rsidR="00990B14" w:rsidRDefault="00990B14">
            <w:pPr>
              <w:spacing w:before="20" w:after="20"/>
            </w:pPr>
          </w:p>
        </w:tc>
        <w:tc>
          <w:tcPr>
            <w:tcW w:w="5666" w:type="dxa"/>
            <w:gridSpan w:val="3"/>
            <w:shd w:val="clear" w:color="auto" w:fill="D9E2F3"/>
            <w:vAlign w:val="center"/>
          </w:tcPr>
          <w:p w14:paraId="6ADCE15B" w14:textId="77777777" w:rsidR="00990B14" w:rsidRDefault="00000000">
            <w:pPr>
              <w:keepNext/>
              <w:spacing w:before="20" w:after="20"/>
              <w:jc w:val="both"/>
            </w:pPr>
            <w:r>
              <w:rPr>
                <w:b/>
                <w:bCs/>
                <w:i/>
                <w:iCs/>
                <w:sz w:val="18"/>
                <w:szCs w:val="18"/>
              </w:rPr>
              <w:t xml:space="preserve">Producto 14: </w:t>
            </w:r>
            <w:r>
              <w:rPr>
                <w:sz w:val="18"/>
                <w:szCs w:val="18"/>
              </w:rPr>
              <w:t>Esquema de los riesgos de erosión de la base imponible y de precios de transferencia.</w:t>
            </w:r>
          </w:p>
        </w:tc>
        <w:tc>
          <w:tcPr>
            <w:tcW w:w="2015" w:type="dxa"/>
            <w:shd w:val="clear" w:color="auto" w:fill="D9E2F3"/>
            <w:vAlign w:val="center"/>
          </w:tcPr>
          <w:p w14:paraId="36BE43CA" w14:textId="77777777" w:rsidR="00990B14" w:rsidRDefault="00000000">
            <w:pPr>
              <w:spacing w:before="20" w:after="20"/>
              <w:jc w:val="center"/>
            </w:pPr>
            <w:r>
              <w:rPr>
                <w:b/>
                <w:bCs/>
                <w:sz w:val="18"/>
                <w:szCs w:val="18"/>
              </w:rPr>
              <w:t>2%</w:t>
            </w:r>
          </w:p>
        </w:tc>
      </w:tr>
      <w:tr w:rsidR="00990B14" w14:paraId="0392D148" w14:textId="77777777">
        <w:trPr>
          <w:cantSplit/>
          <w:jc w:val="center"/>
        </w:trPr>
        <w:tc>
          <w:tcPr>
            <w:tcW w:w="1724" w:type="dxa"/>
            <w:vMerge/>
            <w:shd w:val="clear" w:color="auto" w:fill="4472C4"/>
            <w:vAlign w:val="center"/>
          </w:tcPr>
          <w:p w14:paraId="4EDA49E6" w14:textId="77777777" w:rsidR="00990B14" w:rsidRDefault="00990B14">
            <w:pPr>
              <w:spacing w:before="20" w:after="20"/>
            </w:pPr>
          </w:p>
        </w:tc>
        <w:tc>
          <w:tcPr>
            <w:tcW w:w="1846" w:type="dxa"/>
            <w:shd w:val="clear" w:color="auto" w:fill="4472C4"/>
            <w:vAlign w:val="center"/>
          </w:tcPr>
          <w:p w14:paraId="2751D1C0"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08E87A63"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59ABCDF4"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2F08E701" w14:textId="77777777" w:rsidR="00990B14" w:rsidRDefault="00000000">
            <w:pPr>
              <w:keepNext/>
              <w:spacing w:before="20" w:after="20"/>
              <w:jc w:val="center"/>
            </w:pPr>
            <w:r>
              <w:rPr>
                <w:b/>
                <w:bCs/>
                <w:i/>
                <w:iCs/>
                <w:color w:val="FFFFFF"/>
                <w:sz w:val="18"/>
                <w:szCs w:val="18"/>
              </w:rPr>
              <w:t>Destacado (81–100)</w:t>
            </w:r>
          </w:p>
        </w:tc>
      </w:tr>
      <w:tr w:rsidR="00990B14" w14:paraId="2C3E8AE2" w14:textId="77777777">
        <w:trPr>
          <w:cantSplit/>
          <w:jc w:val="center"/>
        </w:trPr>
        <w:tc>
          <w:tcPr>
            <w:tcW w:w="1724" w:type="dxa"/>
            <w:vMerge/>
            <w:shd w:val="clear" w:color="auto" w:fill="4472C4"/>
            <w:vAlign w:val="center"/>
          </w:tcPr>
          <w:p w14:paraId="3273684F" w14:textId="77777777" w:rsidR="00990B14" w:rsidRDefault="00990B14">
            <w:pPr>
              <w:spacing w:before="20" w:after="20"/>
            </w:pPr>
          </w:p>
        </w:tc>
        <w:tc>
          <w:tcPr>
            <w:tcW w:w="1846" w:type="dxa"/>
            <w:shd w:val="clear" w:color="auto" w:fill="D9E2F3"/>
            <w:vAlign w:val="center"/>
          </w:tcPr>
          <w:p w14:paraId="10757E89" w14:textId="77777777" w:rsidR="00990B14" w:rsidRDefault="00000000">
            <w:pPr>
              <w:spacing w:before="20" w:after="20"/>
              <w:jc w:val="both"/>
            </w:pPr>
            <w:r>
              <w:rPr>
                <w:sz w:val="18"/>
                <w:szCs w:val="18"/>
              </w:rPr>
              <w:t>Conceptos</w:t>
            </w:r>
          </w:p>
        </w:tc>
        <w:tc>
          <w:tcPr>
            <w:tcW w:w="1910" w:type="dxa"/>
            <w:shd w:val="clear" w:color="auto" w:fill="D9E2F3"/>
            <w:vAlign w:val="center"/>
          </w:tcPr>
          <w:p w14:paraId="06840D76" w14:textId="77777777" w:rsidR="00990B14" w:rsidRDefault="00000000">
            <w:pPr>
              <w:spacing w:before="20" w:after="20"/>
              <w:jc w:val="both"/>
            </w:pPr>
            <w:r>
              <w:rPr>
                <w:sz w:val="18"/>
                <w:szCs w:val="18"/>
              </w:rPr>
              <w:t>Define los conceptos de forma imprecisa.</w:t>
            </w:r>
          </w:p>
        </w:tc>
        <w:tc>
          <w:tcPr>
            <w:tcW w:w="1910" w:type="dxa"/>
            <w:shd w:val="clear" w:color="auto" w:fill="D9E2F3"/>
            <w:vAlign w:val="center"/>
          </w:tcPr>
          <w:p w14:paraId="13052A7B" w14:textId="77777777" w:rsidR="00990B14" w:rsidRDefault="00000000">
            <w:pPr>
              <w:spacing w:before="20" w:after="20"/>
              <w:jc w:val="both"/>
            </w:pPr>
            <w:r>
              <w:rPr>
                <w:sz w:val="18"/>
                <w:szCs w:val="18"/>
              </w:rPr>
              <w:t>Explica la erosión de la base y los precios de transferencia.</w:t>
            </w:r>
          </w:p>
        </w:tc>
        <w:tc>
          <w:tcPr>
            <w:tcW w:w="2015" w:type="dxa"/>
            <w:shd w:val="clear" w:color="auto" w:fill="D9E2F3"/>
            <w:vAlign w:val="center"/>
          </w:tcPr>
          <w:p w14:paraId="483B7684" w14:textId="77777777" w:rsidR="00990B14" w:rsidRDefault="00000000">
            <w:pPr>
              <w:spacing w:before="20" w:after="20"/>
              <w:jc w:val="both"/>
            </w:pPr>
            <w:r>
              <w:rPr>
                <w:sz w:val="18"/>
                <w:szCs w:val="18"/>
              </w:rPr>
              <w:t>Ilustra los conceptos con un caso.</w:t>
            </w:r>
          </w:p>
        </w:tc>
      </w:tr>
      <w:tr w:rsidR="00990B14" w14:paraId="1984DA23" w14:textId="77777777">
        <w:trPr>
          <w:cantSplit/>
          <w:jc w:val="center"/>
        </w:trPr>
        <w:tc>
          <w:tcPr>
            <w:tcW w:w="1724" w:type="dxa"/>
            <w:vMerge/>
            <w:shd w:val="clear" w:color="auto" w:fill="4472C4"/>
            <w:vAlign w:val="center"/>
          </w:tcPr>
          <w:p w14:paraId="7662CD46" w14:textId="77777777" w:rsidR="00990B14" w:rsidRDefault="00990B14">
            <w:pPr>
              <w:spacing w:before="20" w:after="20"/>
            </w:pPr>
          </w:p>
        </w:tc>
        <w:tc>
          <w:tcPr>
            <w:tcW w:w="1846" w:type="dxa"/>
            <w:shd w:val="clear" w:color="auto" w:fill="D9E2F3"/>
            <w:vAlign w:val="center"/>
          </w:tcPr>
          <w:p w14:paraId="4769FA14" w14:textId="77777777" w:rsidR="00990B14" w:rsidRDefault="00000000">
            <w:pPr>
              <w:spacing w:before="20" w:after="20"/>
              <w:jc w:val="both"/>
            </w:pPr>
            <w:r>
              <w:rPr>
                <w:sz w:val="18"/>
                <w:szCs w:val="18"/>
              </w:rPr>
              <w:t>Riesgos</w:t>
            </w:r>
          </w:p>
        </w:tc>
        <w:tc>
          <w:tcPr>
            <w:tcW w:w="1910" w:type="dxa"/>
            <w:shd w:val="clear" w:color="auto" w:fill="D9E2F3"/>
            <w:vAlign w:val="center"/>
          </w:tcPr>
          <w:p w14:paraId="47ABB0A6" w14:textId="77777777" w:rsidR="00990B14" w:rsidRDefault="00000000">
            <w:pPr>
              <w:spacing w:before="20" w:after="20"/>
              <w:jc w:val="both"/>
            </w:pPr>
            <w:r>
              <w:rPr>
                <w:sz w:val="18"/>
                <w:szCs w:val="18"/>
              </w:rPr>
              <w:t>No identifica riesgos.</w:t>
            </w:r>
          </w:p>
        </w:tc>
        <w:tc>
          <w:tcPr>
            <w:tcW w:w="1910" w:type="dxa"/>
            <w:shd w:val="clear" w:color="auto" w:fill="D9E2F3"/>
            <w:vAlign w:val="center"/>
          </w:tcPr>
          <w:p w14:paraId="20A4B2EA" w14:textId="77777777" w:rsidR="00990B14" w:rsidRDefault="00000000">
            <w:pPr>
              <w:spacing w:before="20" w:after="20"/>
              <w:jc w:val="both"/>
            </w:pPr>
            <w:r>
              <w:rPr>
                <w:sz w:val="18"/>
                <w:szCs w:val="18"/>
              </w:rPr>
              <w:t>Identifica los riesgos para el fisco y la empresa.</w:t>
            </w:r>
          </w:p>
        </w:tc>
        <w:tc>
          <w:tcPr>
            <w:tcW w:w="2015" w:type="dxa"/>
            <w:shd w:val="clear" w:color="auto" w:fill="D9E2F3"/>
            <w:vAlign w:val="center"/>
          </w:tcPr>
          <w:p w14:paraId="69706FFB" w14:textId="77777777" w:rsidR="00990B14" w:rsidRDefault="00000000">
            <w:pPr>
              <w:spacing w:before="20" w:after="20"/>
              <w:jc w:val="both"/>
            </w:pPr>
            <w:r>
              <w:rPr>
                <w:sz w:val="18"/>
                <w:szCs w:val="18"/>
              </w:rPr>
              <w:t>Propone controles para la empresa.</w:t>
            </w:r>
          </w:p>
        </w:tc>
      </w:tr>
      <w:tr w:rsidR="00990B14" w14:paraId="297B040B" w14:textId="77777777">
        <w:trPr>
          <w:cantSplit/>
          <w:jc w:val="center"/>
        </w:trPr>
        <w:tc>
          <w:tcPr>
            <w:tcW w:w="1724" w:type="dxa"/>
            <w:vMerge/>
            <w:shd w:val="clear" w:color="auto" w:fill="4472C4"/>
            <w:vAlign w:val="center"/>
          </w:tcPr>
          <w:p w14:paraId="18B11E0D" w14:textId="77777777" w:rsidR="00990B14" w:rsidRDefault="00990B14">
            <w:pPr>
              <w:spacing w:before="20" w:after="20"/>
            </w:pPr>
          </w:p>
        </w:tc>
        <w:tc>
          <w:tcPr>
            <w:tcW w:w="1846" w:type="dxa"/>
            <w:shd w:val="clear" w:color="auto" w:fill="D9E2F3"/>
            <w:vAlign w:val="center"/>
          </w:tcPr>
          <w:p w14:paraId="5DDA8813" w14:textId="77777777" w:rsidR="00990B14" w:rsidRDefault="00000000">
            <w:pPr>
              <w:spacing w:before="20" w:after="20"/>
              <w:jc w:val="both"/>
            </w:pPr>
            <w:r>
              <w:rPr>
                <w:sz w:val="18"/>
                <w:szCs w:val="18"/>
              </w:rPr>
              <w:t>Presentación del esquema</w:t>
            </w:r>
          </w:p>
        </w:tc>
        <w:tc>
          <w:tcPr>
            <w:tcW w:w="1910" w:type="dxa"/>
            <w:shd w:val="clear" w:color="auto" w:fill="D9E2F3"/>
            <w:vAlign w:val="center"/>
          </w:tcPr>
          <w:p w14:paraId="23A33950" w14:textId="77777777" w:rsidR="00990B14" w:rsidRDefault="00000000">
            <w:pPr>
              <w:spacing w:before="20" w:after="20"/>
              <w:jc w:val="both"/>
            </w:pPr>
            <w:r>
              <w:rPr>
                <w:sz w:val="18"/>
                <w:szCs w:val="18"/>
              </w:rPr>
              <w:t>El esquema es desordenado o incompleto.</w:t>
            </w:r>
          </w:p>
        </w:tc>
        <w:tc>
          <w:tcPr>
            <w:tcW w:w="1910" w:type="dxa"/>
            <w:shd w:val="clear" w:color="auto" w:fill="D9E2F3"/>
            <w:vAlign w:val="center"/>
          </w:tcPr>
          <w:p w14:paraId="47DA87EE" w14:textId="77777777" w:rsidR="00990B14" w:rsidRDefault="00000000">
            <w:pPr>
              <w:spacing w:before="20" w:after="20"/>
              <w:jc w:val="both"/>
            </w:pPr>
            <w:r>
              <w:rPr>
                <w:sz w:val="18"/>
                <w:szCs w:val="18"/>
              </w:rPr>
              <w:t>Presenta un esquema ordenado de los conceptos y los riesgos.</w:t>
            </w:r>
          </w:p>
        </w:tc>
        <w:tc>
          <w:tcPr>
            <w:tcW w:w="2015" w:type="dxa"/>
            <w:shd w:val="clear" w:color="auto" w:fill="D9E2F3"/>
            <w:vAlign w:val="center"/>
          </w:tcPr>
          <w:p w14:paraId="259D9572" w14:textId="77777777" w:rsidR="00990B14" w:rsidRDefault="00000000">
            <w:pPr>
              <w:spacing w:before="20" w:after="20"/>
              <w:jc w:val="both"/>
            </w:pPr>
            <w:r>
              <w:rPr>
                <w:sz w:val="18"/>
                <w:szCs w:val="18"/>
              </w:rPr>
              <w:t>Presenta un esquema claro con un caso ilustrativo.</w:t>
            </w:r>
          </w:p>
        </w:tc>
      </w:tr>
      <w:tr w:rsidR="00990B14" w14:paraId="09935970" w14:textId="77777777">
        <w:trPr>
          <w:cantSplit/>
          <w:jc w:val="center"/>
        </w:trPr>
        <w:tc>
          <w:tcPr>
            <w:tcW w:w="1724" w:type="dxa"/>
            <w:vMerge/>
            <w:shd w:val="clear" w:color="auto" w:fill="4472C4"/>
            <w:vAlign w:val="center"/>
          </w:tcPr>
          <w:p w14:paraId="6F56D45D" w14:textId="77777777" w:rsidR="00990B14" w:rsidRDefault="00990B14">
            <w:pPr>
              <w:spacing w:before="20" w:after="20"/>
            </w:pPr>
          </w:p>
        </w:tc>
        <w:tc>
          <w:tcPr>
            <w:tcW w:w="5666" w:type="dxa"/>
            <w:gridSpan w:val="3"/>
            <w:shd w:val="clear" w:color="auto" w:fill="D9E2F3"/>
            <w:vAlign w:val="center"/>
          </w:tcPr>
          <w:p w14:paraId="711DE0BA" w14:textId="77777777" w:rsidR="00990B14" w:rsidRDefault="00000000">
            <w:pPr>
              <w:keepNext/>
              <w:spacing w:before="20" w:after="20"/>
              <w:jc w:val="both"/>
            </w:pPr>
            <w:r>
              <w:rPr>
                <w:b/>
                <w:bCs/>
                <w:i/>
                <w:iCs/>
                <w:sz w:val="18"/>
                <w:szCs w:val="18"/>
              </w:rPr>
              <w:t xml:space="preserve">Producto 15: </w:t>
            </w:r>
            <w:r>
              <w:rPr>
                <w:sz w:val="18"/>
                <w:szCs w:val="18"/>
              </w:rPr>
              <w:t>Informe sobre la aplicación de los métodos para evitar la doble imposición.</w:t>
            </w:r>
          </w:p>
        </w:tc>
        <w:tc>
          <w:tcPr>
            <w:tcW w:w="2015" w:type="dxa"/>
            <w:shd w:val="clear" w:color="auto" w:fill="D9E2F3"/>
            <w:vAlign w:val="center"/>
          </w:tcPr>
          <w:p w14:paraId="224343F9" w14:textId="77777777" w:rsidR="00990B14" w:rsidRDefault="00000000">
            <w:pPr>
              <w:spacing w:before="20" w:after="20"/>
              <w:jc w:val="center"/>
            </w:pPr>
            <w:r>
              <w:rPr>
                <w:b/>
                <w:bCs/>
                <w:sz w:val="18"/>
                <w:szCs w:val="18"/>
              </w:rPr>
              <w:t>2%</w:t>
            </w:r>
          </w:p>
        </w:tc>
      </w:tr>
      <w:tr w:rsidR="00990B14" w14:paraId="6CF166C6" w14:textId="77777777">
        <w:trPr>
          <w:cantSplit/>
          <w:jc w:val="center"/>
        </w:trPr>
        <w:tc>
          <w:tcPr>
            <w:tcW w:w="1724" w:type="dxa"/>
            <w:vMerge/>
            <w:shd w:val="clear" w:color="auto" w:fill="4472C4"/>
            <w:vAlign w:val="center"/>
          </w:tcPr>
          <w:p w14:paraId="74DAD714" w14:textId="77777777" w:rsidR="00990B14" w:rsidRDefault="00990B14">
            <w:pPr>
              <w:spacing w:before="20" w:after="20"/>
            </w:pPr>
          </w:p>
        </w:tc>
        <w:tc>
          <w:tcPr>
            <w:tcW w:w="1846" w:type="dxa"/>
            <w:shd w:val="clear" w:color="auto" w:fill="4472C4"/>
            <w:vAlign w:val="center"/>
          </w:tcPr>
          <w:p w14:paraId="0A7A1FB7"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0A1F764B"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7409C14F"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3549D807" w14:textId="77777777" w:rsidR="00990B14" w:rsidRDefault="00000000">
            <w:pPr>
              <w:keepNext/>
              <w:spacing w:before="20" w:after="20"/>
              <w:jc w:val="center"/>
            </w:pPr>
            <w:r>
              <w:rPr>
                <w:b/>
                <w:bCs/>
                <w:i/>
                <w:iCs/>
                <w:color w:val="FFFFFF"/>
                <w:sz w:val="18"/>
                <w:szCs w:val="18"/>
              </w:rPr>
              <w:t>Destacado (81–100)</w:t>
            </w:r>
          </w:p>
        </w:tc>
      </w:tr>
      <w:tr w:rsidR="00990B14" w14:paraId="73549FDA" w14:textId="77777777">
        <w:trPr>
          <w:cantSplit/>
          <w:jc w:val="center"/>
        </w:trPr>
        <w:tc>
          <w:tcPr>
            <w:tcW w:w="1724" w:type="dxa"/>
            <w:vMerge/>
            <w:shd w:val="clear" w:color="auto" w:fill="4472C4"/>
            <w:vAlign w:val="center"/>
          </w:tcPr>
          <w:p w14:paraId="040098CB" w14:textId="77777777" w:rsidR="00990B14" w:rsidRDefault="00990B14">
            <w:pPr>
              <w:spacing w:before="20" w:after="20"/>
            </w:pPr>
          </w:p>
        </w:tc>
        <w:tc>
          <w:tcPr>
            <w:tcW w:w="1846" w:type="dxa"/>
            <w:shd w:val="clear" w:color="auto" w:fill="D9E2F3"/>
            <w:vAlign w:val="center"/>
          </w:tcPr>
          <w:p w14:paraId="25F255BA" w14:textId="77777777" w:rsidR="00990B14" w:rsidRDefault="00000000">
            <w:pPr>
              <w:spacing w:before="20" w:after="20"/>
              <w:jc w:val="both"/>
            </w:pPr>
            <w:r>
              <w:rPr>
                <w:sz w:val="18"/>
                <w:szCs w:val="18"/>
              </w:rPr>
              <w:t>Métodos</w:t>
            </w:r>
          </w:p>
        </w:tc>
        <w:tc>
          <w:tcPr>
            <w:tcW w:w="1910" w:type="dxa"/>
            <w:shd w:val="clear" w:color="auto" w:fill="D9E2F3"/>
            <w:vAlign w:val="center"/>
          </w:tcPr>
          <w:p w14:paraId="5CCF79F7" w14:textId="77777777" w:rsidR="00990B14" w:rsidRDefault="00000000">
            <w:pPr>
              <w:spacing w:before="20" w:after="20"/>
              <w:jc w:val="both"/>
            </w:pPr>
            <w:r>
              <w:rPr>
                <w:sz w:val="18"/>
                <w:szCs w:val="18"/>
              </w:rPr>
              <w:t>Aplica un método no pertinente.</w:t>
            </w:r>
          </w:p>
        </w:tc>
        <w:tc>
          <w:tcPr>
            <w:tcW w:w="1910" w:type="dxa"/>
            <w:shd w:val="clear" w:color="auto" w:fill="D9E2F3"/>
            <w:vAlign w:val="center"/>
          </w:tcPr>
          <w:p w14:paraId="1E86D7D1" w14:textId="77777777" w:rsidR="00990B14" w:rsidRDefault="00000000">
            <w:pPr>
              <w:spacing w:before="20" w:after="20"/>
              <w:jc w:val="both"/>
            </w:pPr>
            <w:r>
              <w:rPr>
                <w:sz w:val="18"/>
                <w:szCs w:val="18"/>
              </w:rPr>
              <w:t>Aplica los métodos de exención e imputación.</w:t>
            </w:r>
          </w:p>
        </w:tc>
        <w:tc>
          <w:tcPr>
            <w:tcW w:w="2015" w:type="dxa"/>
            <w:shd w:val="clear" w:color="auto" w:fill="D9E2F3"/>
            <w:vAlign w:val="center"/>
          </w:tcPr>
          <w:p w14:paraId="361233A9" w14:textId="77777777" w:rsidR="00990B14" w:rsidRDefault="00000000">
            <w:pPr>
              <w:spacing w:before="20" w:after="20"/>
              <w:jc w:val="both"/>
            </w:pPr>
            <w:r>
              <w:rPr>
                <w:sz w:val="18"/>
                <w:szCs w:val="18"/>
              </w:rPr>
              <w:t>Compara la carga tributaria de cada método.</w:t>
            </w:r>
          </w:p>
        </w:tc>
      </w:tr>
      <w:tr w:rsidR="00990B14" w14:paraId="7BEAE6D4" w14:textId="77777777">
        <w:trPr>
          <w:cantSplit/>
          <w:jc w:val="center"/>
        </w:trPr>
        <w:tc>
          <w:tcPr>
            <w:tcW w:w="1724" w:type="dxa"/>
            <w:vMerge/>
            <w:shd w:val="clear" w:color="auto" w:fill="4472C4"/>
            <w:vAlign w:val="center"/>
          </w:tcPr>
          <w:p w14:paraId="108556A6" w14:textId="77777777" w:rsidR="00990B14" w:rsidRDefault="00990B14">
            <w:pPr>
              <w:spacing w:before="20" w:after="20"/>
            </w:pPr>
          </w:p>
        </w:tc>
        <w:tc>
          <w:tcPr>
            <w:tcW w:w="1846" w:type="dxa"/>
            <w:shd w:val="clear" w:color="auto" w:fill="D9E2F3"/>
            <w:vAlign w:val="center"/>
          </w:tcPr>
          <w:p w14:paraId="6659D9DF" w14:textId="77777777" w:rsidR="00990B14" w:rsidRDefault="00000000">
            <w:pPr>
              <w:spacing w:before="20" w:after="20"/>
              <w:jc w:val="both"/>
            </w:pPr>
            <w:r>
              <w:rPr>
                <w:sz w:val="18"/>
                <w:szCs w:val="18"/>
              </w:rPr>
              <w:t>Trabajo en equipo</w:t>
            </w:r>
          </w:p>
        </w:tc>
        <w:tc>
          <w:tcPr>
            <w:tcW w:w="1910" w:type="dxa"/>
            <w:shd w:val="clear" w:color="auto" w:fill="D9E2F3"/>
            <w:vAlign w:val="center"/>
          </w:tcPr>
          <w:p w14:paraId="2008295D" w14:textId="77777777" w:rsidR="00990B14" w:rsidRDefault="00000000">
            <w:pPr>
              <w:spacing w:before="20" w:after="20"/>
              <w:jc w:val="both"/>
            </w:pPr>
            <w:r>
              <w:rPr>
                <w:sz w:val="18"/>
                <w:szCs w:val="18"/>
              </w:rPr>
              <w:t>Participan solo algunos integrantes.</w:t>
            </w:r>
          </w:p>
        </w:tc>
        <w:tc>
          <w:tcPr>
            <w:tcW w:w="1910" w:type="dxa"/>
            <w:shd w:val="clear" w:color="auto" w:fill="D9E2F3"/>
            <w:vAlign w:val="center"/>
          </w:tcPr>
          <w:p w14:paraId="74279718" w14:textId="77777777" w:rsidR="00990B14" w:rsidRDefault="00000000">
            <w:pPr>
              <w:spacing w:before="20" w:after="20"/>
              <w:jc w:val="both"/>
            </w:pPr>
            <w:r>
              <w:rPr>
                <w:sz w:val="18"/>
                <w:szCs w:val="18"/>
              </w:rPr>
              <w:t>Todos los integrantes participan.</w:t>
            </w:r>
          </w:p>
        </w:tc>
        <w:tc>
          <w:tcPr>
            <w:tcW w:w="2015" w:type="dxa"/>
            <w:shd w:val="clear" w:color="auto" w:fill="D9E2F3"/>
            <w:vAlign w:val="center"/>
          </w:tcPr>
          <w:p w14:paraId="2DDC6A68" w14:textId="77777777" w:rsidR="00990B14" w:rsidRDefault="00000000">
            <w:pPr>
              <w:spacing w:before="20" w:after="20"/>
              <w:jc w:val="both"/>
            </w:pPr>
            <w:r>
              <w:rPr>
                <w:sz w:val="18"/>
                <w:szCs w:val="18"/>
              </w:rPr>
              <w:t>El equipo sustenta sus resultados ante el curso.</w:t>
            </w:r>
          </w:p>
        </w:tc>
      </w:tr>
      <w:tr w:rsidR="00990B14" w14:paraId="28D9235D" w14:textId="77777777">
        <w:trPr>
          <w:cantSplit/>
          <w:jc w:val="center"/>
        </w:trPr>
        <w:tc>
          <w:tcPr>
            <w:tcW w:w="1724" w:type="dxa"/>
            <w:vMerge/>
            <w:shd w:val="clear" w:color="auto" w:fill="4472C4"/>
            <w:vAlign w:val="center"/>
          </w:tcPr>
          <w:p w14:paraId="7DA6450E" w14:textId="77777777" w:rsidR="00990B14" w:rsidRDefault="00990B14">
            <w:pPr>
              <w:spacing w:before="20" w:after="20"/>
            </w:pPr>
          </w:p>
        </w:tc>
        <w:tc>
          <w:tcPr>
            <w:tcW w:w="1846" w:type="dxa"/>
            <w:shd w:val="clear" w:color="auto" w:fill="D9E2F3"/>
            <w:vAlign w:val="center"/>
          </w:tcPr>
          <w:p w14:paraId="6EB4159B" w14:textId="77777777" w:rsidR="00990B14" w:rsidRDefault="00000000">
            <w:pPr>
              <w:spacing w:before="20" w:after="20"/>
              <w:jc w:val="both"/>
            </w:pPr>
            <w:r>
              <w:rPr>
                <w:sz w:val="18"/>
                <w:szCs w:val="18"/>
              </w:rPr>
              <w:t>Resultados</w:t>
            </w:r>
          </w:p>
        </w:tc>
        <w:tc>
          <w:tcPr>
            <w:tcW w:w="1910" w:type="dxa"/>
            <w:shd w:val="clear" w:color="auto" w:fill="D9E2F3"/>
            <w:vAlign w:val="center"/>
          </w:tcPr>
          <w:p w14:paraId="0DADCE54" w14:textId="77777777" w:rsidR="00990B14" w:rsidRDefault="00000000">
            <w:pPr>
              <w:spacing w:before="20" w:after="20"/>
              <w:jc w:val="both"/>
            </w:pPr>
            <w:r>
              <w:rPr>
                <w:sz w:val="18"/>
                <w:szCs w:val="18"/>
              </w:rPr>
              <w:t>Los cálculos presentan errores.</w:t>
            </w:r>
          </w:p>
        </w:tc>
        <w:tc>
          <w:tcPr>
            <w:tcW w:w="1910" w:type="dxa"/>
            <w:shd w:val="clear" w:color="auto" w:fill="D9E2F3"/>
            <w:vAlign w:val="center"/>
          </w:tcPr>
          <w:p w14:paraId="5FD11919" w14:textId="77777777" w:rsidR="00990B14" w:rsidRDefault="00000000">
            <w:pPr>
              <w:spacing w:before="20" w:after="20"/>
              <w:jc w:val="both"/>
            </w:pPr>
            <w:r>
              <w:rPr>
                <w:sz w:val="18"/>
                <w:szCs w:val="18"/>
              </w:rPr>
              <w:t>Calcula correctamente el impuesto con cada método.</w:t>
            </w:r>
          </w:p>
        </w:tc>
        <w:tc>
          <w:tcPr>
            <w:tcW w:w="2015" w:type="dxa"/>
            <w:shd w:val="clear" w:color="auto" w:fill="D9E2F3"/>
            <w:vAlign w:val="center"/>
          </w:tcPr>
          <w:p w14:paraId="73BCB0D7" w14:textId="77777777" w:rsidR="00990B14" w:rsidRDefault="00000000">
            <w:pPr>
              <w:spacing w:before="20" w:after="20"/>
              <w:jc w:val="both"/>
            </w:pPr>
            <w:r>
              <w:rPr>
                <w:sz w:val="18"/>
                <w:szCs w:val="18"/>
              </w:rPr>
              <w:t>Interpreta los resultados y concluye sobre el método más favorable.</w:t>
            </w:r>
          </w:p>
        </w:tc>
      </w:tr>
      <w:tr w:rsidR="00990B14" w14:paraId="400ACA1E" w14:textId="77777777">
        <w:trPr>
          <w:cantSplit/>
          <w:jc w:val="center"/>
        </w:trPr>
        <w:tc>
          <w:tcPr>
            <w:tcW w:w="1724" w:type="dxa"/>
            <w:vMerge/>
            <w:shd w:val="clear" w:color="auto" w:fill="4472C4"/>
            <w:vAlign w:val="center"/>
          </w:tcPr>
          <w:p w14:paraId="2D2E78FC" w14:textId="77777777" w:rsidR="00990B14" w:rsidRDefault="00990B14">
            <w:pPr>
              <w:spacing w:before="20" w:after="20"/>
            </w:pPr>
          </w:p>
        </w:tc>
        <w:tc>
          <w:tcPr>
            <w:tcW w:w="5666" w:type="dxa"/>
            <w:gridSpan w:val="3"/>
            <w:shd w:val="clear" w:color="auto" w:fill="D9E2F3"/>
            <w:vAlign w:val="center"/>
          </w:tcPr>
          <w:p w14:paraId="6AE418FC" w14:textId="77777777" w:rsidR="00990B14" w:rsidRDefault="00000000">
            <w:pPr>
              <w:keepNext/>
              <w:spacing w:before="20" w:after="20"/>
              <w:jc w:val="both"/>
            </w:pPr>
            <w:r>
              <w:rPr>
                <w:b/>
                <w:bCs/>
                <w:i/>
                <w:iCs/>
                <w:sz w:val="18"/>
                <w:szCs w:val="18"/>
              </w:rPr>
              <w:t xml:space="preserve">Producto 16: </w:t>
            </w:r>
            <w:r>
              <w:rPr>
                <w:sz w:val="18"/>
                <w:szCs w:val="18"/>
              </w:rPr>
              <w:t>Cuadro comparativo de los modelos de convenios de doble imposición.</w:t>
            </w:r>
          </w:p>
        </w:tc>
        <w:tc>
          <w:tcPr>
            <w:tcW w:w="2015" w:type="dxa"/>
            <w:shd w:val="clear" w:color="auto" w:fill="D9E2F3"/>
            <w:vAlign w:val="center"/>
          </w:tcPr>
          <w:p w14:paraId="4B9F79A7" w14:textId="77777777" w:rsidR="00990B14" w:rsidRDefault="00000000">
            <w:pPr>
              <w:spacing w:before="20" w:after="20"/>
              <w:jc w:val="center"/>
            </w:pPr>
            <w:r>
              <w:rPr>
                <w:b/>
                <w:bCs/>
                <w:sz w:val="18"/>
                <w:szCs w:val="18"/>
              </w:rPr>
              <w:t>2%</w:t>
            </w:r>
          </w:p>
        </w:tc>
      </w:tr>
      <w:tr w:rsidR="00990B14" w14:paraId="1C26248F" w14:textId="77777777">
        <w:trPr>
          <w:cantSplit/>
          <w:jc w:val="center"/>
        </w:trPr>
        <w:tc>
          <w:tcPr>
            <w:tcW w:w="1724" w:type="dxa"/>
            <w:vMerge/>
            <w:shd w:val="clear" w:color="auto" w:fill="4472C4"/>
            <w:vAlign w:val="center"/>
          </w:tcPr>
          <w:p w14:paraId="78F8C18E" w14:textId="77777777" w:rsidR="00990B14" w:rsidRDefault="00990B14">
            <w:pPr>
              <w:spacing w:before="20" w:after="20"/>
            </w:pPr>
          </w:p>
        </w:tc>
        <w:tc>
          <w:tcPr>
            <w:tcW w:w="1846" w:type="dxa"/>
            <w:shd w:val="clear" w:color="auto" w:fill="4472C4"/>
            <w:vAlign w:val="center"/>
          </w:tcPr>
          <w:p w14:paraId="7A264A8F"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2A075865"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76D6EBB0"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2E1CA657" w14:textId="77777777" w:rsidR="00990B14" w:rsidRDefault="00000000">
            <w:pPr>
              <w:keepNext/>
              <w:spacing w:before="20" w:after="20"/>
              <w:jc w:val="center"/>
            </w:pPr>
            <w:r>
              <w:rPr>
                <w:b/>
                <w:bCs/>
                <w:i/>
                <w:iCs/>
                <w:color w:val="FFFFFF"/>
                <w:sz w:val="18"/>
                <w:szCs w:val="18"/>
              </w:rPr>
              <w:t>Destacado (81–100)</w:t>
            </w:r>
          </w:p>
        </w:tc>
      </w:tr>
      <w:tr w:rsidR="00990B14" w14:paraId="4D4FB204" w14:textId="77777777">
        <w:trPr>
          <w:cantSplit/>
          <w:jc w:val="center"/>
        </w:trPr>
        <w:tc>
          <w:tcPr>
            <w:tcW w:w="1724" w:type="dxa"/>
            <w:vMerge/>
            <w:shd w:val="clear" w:color="auto" w:fill="4472C4"/>
            <w:vAlign w:val="center"/>
          </w:tcPr>
          <w:p w14:paraId="7E554A54" w14:textId="77777777" w:rsidR="00990B14" w:rsidRDefault="00990B14">
            <w:pPr>
              <w:spacing w:before="20" w:after="20"/>
            </w:pPr>
          </w:p>
        </w:tc>
        <w:tc>
          <w:tcPr>
            <w:tcW w:w="1846" w:type="dxa"/>
            <w:shd w:val="clear" w:color="auto" w:fill="D9E2F3"/>
            <w:vAlign w:val="center"/>
          </w:tcPr>
          <w:p w14:paraId="29116430" w14:textId="77777777" w:rsidR="00990B14" w:rsidRDefault="00000000">
            <w:pPr>
              <w:spacing w:before="20" w:after="20"/>
              <w:jc w:val="both"/>
            </w:pPr>
            <w:r>
              <w:rPr>
                <w:sz w:val="18"/>
                <w:szCs w:val="18"/>
              </w:rPr>
              <w:t>Criterio de tributación</w:t>
            </w:r>
          </w:p>
        </w:tc>
        <w:tc>
          <w:tcPr>
            <w:tcW w:w="1910" w:type="dxa"/>
            <w:shd w:val="clear" w:color="auto" w:fill="D9E2F3"/>
            <w:vAlign w:val="center"/>
          </w:tcPr>
          <w:p w14:paraId="1B3D6007" w14:textId="77777777" w:rsidR="00990B14" w:rsidRDefault="00000000">
            <w:pPr>
              <w:spacing w:before="20" w:after="20"/>
              <w:jc w:val="both"/>
            </w:pPr>
            <w:r>
              <w:rPr>
                <w:sz w:val="18"/>
                <w:szCs w:val="18"/>
              </w:rPr>
              <w:t>Confunde los criterios de cada modelo.</w:t>
            </w:r>
          </w:p>
        </w:tc>
        <w:tc>
          <w:tcPr>
            <w:tcW w:w="1910" w:type="dxa"/>
            <w:shd w:val="clear" w:color="auto" w:fill="D9E2F3"/>
            <w:vAlign w:val="center"/>
          </w:tcPr>
          <w:p w14:paraId="1C99B72D" w14:textId="77777777" w:rsidR="00990B14" w:rsidRDefault="00000000">
            <w:pPr>
              <w:spacing w:before="20" w:after="20"/>
              <w:jc w:val="both"/>
            </w:pPr>
            <w:r>
              <w:rPr>
                <w:sz w:val="18"/>
                <w:szCs w:val="18"/>
              </w:rPr>
              <w:t>Identifica el criterio de cada modelo.</w:t>
            </w:r>
          </w:p>
        </w:tc>
        <w:tc>
          <w:tcPr>
            <w:tcW w:w="2015" w:type="dxa"/>
            <w:shd w:val="clear" w:color="auto" w:fill="D9E2F3"/>
            <w:vAlign w:val="center"/>
          </w:tcPr>
          <w:p w14:paraId="5014E987" w14:textId="77777777" w:rsidR="00990B14" w:rsidRDefault="00000000">
            <w:pPr>
              <w:spacing w:before="20" w:after="20"/>
              <w:jc w:val="both"/>
            </w:pPr>
            <w:r>
              <w:rPr>
                <w:sz w:val="18"/>
                <w:szCs w:val="18"/>
              </w:rPr>
              <w:t>Explica qué modelo favorece a los países importadores de capital.</w:t>
            </w:r>
          </w:p>
        </w:tc>
      </w:tr>
      <w:tr w:rsidR="00990B14" w14:paraId="2E8AFF2D" w14:textId="77777777">
        <w:trPr>
          <w:cantSplit/>
          <w:jc w:val="center"/>
        </w:trPr>
        <w:tc>
          <w:tcPr>
            <w:tcW w:w="1724" w:type="dxa"/>
            <w:vMerge/>
            <w:shd w:val="clear" w:color="auto" w:fill="4472C4"/>
            <w:vAlign w:val="center"/>
          </w:tcPr>
          <w:p w14:paraId="056D125B" w14:textId="77777777" w:rsidR="00990B14" w:rsidRDefault="00990B14">
            <w:pPr>
              <w:spacing w:before="20" w:after="20"/>
            </w:pPr>
          </w:p>
        </w:tc>
        <w:tc>
          <w:tcPr>
            <w:tcW w:w="1846" w:type="dxa"/>
            <w:shd w:val="clear" w:color="auto" w:fill="D9E2F3"/>
            <w:vAlign w:val="center"/>
          </w:tcPr>
          <w:p w14:paraId="4465EACD" w14:textId="77777777" w:rsidR="00990B14" w:rsidRDefault="00000000">
            <w:pPr>
              <w:spacing w:before="20" w:after="20"/>
              <w:jc w:val="both"/>
            </w:pPr>
            <w:r>
              <w:rPr>
                <w:sz w:val="18"/>
                <w:szCs w:val="18"/>
              </w:rPr>
              <w:t>Aplicación a Bolivia</w:t>
            </w:r>
          </w:p>
        </w:tc>
        <w:tc>
          <w:tcPr>
            <w:tcW w:w="1910" w:type="dxa"/>
            <w:shd w:val="clear" w:color="auto" w:fill="D9E2F3"/>
            <w:vAlign w:val="center"/>
          </w:tcPr>
          <w:p w14:paraId="14ED87BA" w14:textId="77777777" w:rsidR="00990B14" w:rsidRDefault="00000000">
            <w:pPr>
              <w:spacing w:before="20" w:after="20"/>
              <w:jc w:val="both"/>
            </w:pPr>
            <w:r>
              <w:rPr>
                <w:sz w:val="18"/>
                <w:szCs w:val="18"/>
              </w:rPr>
              <w:t>No vincula los modelos con Bolivia.</w:t>
            </w:r>
          </w:p>
        </w:tc>
        <w:tc>
          <w:tcPr>
            <w:tcW w:w="1910" w:type="dxa"/>
            <w:shd w:val="clear" w:color="auto" w:fill="D9E2F3"/>
            <w:vAlign w:val="center"/>
          </w:tcPr>
          <w:p w14:paraId="777CA875" w14:textId="77777777" w:rsidR="00990B14" w:rsidRDefault="00000000">
            <w:pPr>
              <w:spacing w:before="20" w:after="20"/>
              <w:jc w:val="both"/>
            </w:pPr>
            <w:r>
              <w:rPr>
                <w:sz w:val="18"/>
                <w:szCs w:val="18"/>
              </w:rPr>
              <w:t>Relaciona los modelos con los convenios de Bolivia.</w:t>
            </w:r>
          </w:p>
        </w:tc>
        <w:tc>
          <w:tcPr>
            <w:tcW w:w="2015" w:type="dxa"/>
            <w:shd w:val="clear" w:color="auto" w:fill="D9E2F3"/>
            <w:vAlign w:val="center"/>
          </w:tcPr>
          <w:p w14:paraId="0457920F" w14:textId="77777777" w:rsidR="00990B14" w:rsidRDefault="00000000">
            <w:pPr>
              <w:spacing w:before="20" w:after="20"/>
              <w:jc w:val="both"/>
            </w:pPr>
            <w:r>
              <w:rPr>
                <w:sz w:val="18"/>
                <w:szCs w:val="18"/>
              </w:rPr>
              <w:t>Evalúa el efecto de un convenio en una operación concreta.</w:t>
            </w:r>
          </w:p>
        </w:tc>
      </w:tr>
      <w:tr w:rsidR="00990B14" w14:paraId="5475D006" w14:textId="77777777">
        <w:trPr>
          <w:cantSplit/>
          <w:jc w:val="center"/>
        </w:trPr>
        <w:tc>
          <w:tcPr>
            <w:tcW w:w="1724" w:type="dxa"/>
            <w:vMerge/>
            <w:shd w:val="clear" w:color="auto" w:fill="4472C4"/>
            <w:vAlign w:val="center"/>
          </w:tcPr>
          <w:p w14:paraId="256C1DE4" w14:textId="77777777" w:rsidR="00990B14" w:rsidRDefault="00990B14">
            <w:pPr>
              <w:spacing w:before="20" w:after="20"/>
            </w:pPr>
          </w:p>
        </w:tc>
        <w:tc>
          <w:tcPr>
            <w:tcW w:w="1846" w:type="dxa"/>
            <w:shd w:val="clear" w:color="auto" w:fill="D9E2F3"/>
            <w:vAlign w:val="center"/>
          </w:tcPr>
          <w:p w14:paraId="3FC384AD" w14:textId="77777777" w:rsidR="00990B14" w:rsidRDefault="00000000">
            <w:pPr>
              <w:spacing w:before="20" w:after="20"/>
              <w:jc w:val="both"/>
            </w:pPr>
            <w:r>
              <w:rPr>
                <w:sz w:val="18"/>
                <w:szCs w:val="18"/>
              </w:rPr>
              <w:t>Presentación</w:t>
            </w:r>
          </w:p>
        </w:tc>
        <w:tc>
          <w:tcPr>
            <w:tcW w:w="1910" w:type="dxa"/>
            <w:shd w:val="clear" w:color="auto" w:fill="D9E2F3"/>
            <w:vAlign w:val="center"/>
          </w:tcPr>
          <w:p w14:paraId="4AC5BA50" w14:textId="77777777" w:rsidR="00990B14" w:rsidRDefault="00000000">
            <w:pPr>
              <w:spacing w:before="20" w:after="20"/>
              <w:jc w:val="both"/>
            </w:pPr>
            <w:r>
              <w:rPr>
                <w:sz w:val="18"/>
                <w:szCs w:val="18"/>
              </w:rPr>
              <w:t>El cuadro es incompleto.</w:t>
            </w:r>
          </w:p>
        </w:tc>
        <w:tc>
          <w:tcPr>
            <w:tcW w:w="1910" w:type="dxa"/>
            <w:shd w:val="clear" w:color="auto" w:fill="D9E2F3"/>
            <w:vAlign w:val="center"/>
          </w:tcPr>
          <w:p w14:paraId="1E896442" w14:textId="77777777" w:rsidR="00990B14" w:rsidRDefault="00000000">
            <w:pPr>
              <w:spacing w:before="20" w:after="20"/>
              <w:jc w:val="both"/>
            </w:pPr>
            <w:r>
              <w:rPr>
                <w:sz w:val="18"/>
                <w:szCs w:val="18"/>
              </w:rPr>
              <w:t>El cuadro es claro y ordenado.</w:t>
            </w:r>
          </w:p>
        </w:tc>
        <w:tc>
          <w:tcPr>
            <w:tcW w:w="2015" w:type="dxa"/>
            <w:shd w:val="clear" w:color="auto" w:fill="D9E2F3"/>
            <w:vAlign w:val="center"/>
          </w:tcPr>
          <w:p w14:paraId="17D7FF9C" w14:textId="77777777" w:rsidR="00990B14" w:rsidRDefault="00000000">
            <w:pPr>
              <w:spacing w:before="20" w:after="20"/>
              <w:jc w:val="both"/>
            </w:pPr>
            <w:r>
              <w:rPr>
                <w:sz w:val="18"/>
                <w:szCs w:val="18"/>
              </w:rPr>
              <w:t>El cuadro cita las fuentes oficiales.</w:t>
            </w:r>
          </w:p>
        </w:tc>
      </w:tr>
      <w:tr w:rsidR="00990B14" w14:paraId="11766D3B" w14:textId="77777777">
        <w:trPr>
          <w:cantSplit/>
          <w:jc w:val="center"/>
        </w:trPr>
        <w:tc>
          <w:tcPr>
            <w:tcW w:w="1724" w:type="dxa"/>
            <w:vMerge/>
            <w:shd w:val="clear" w:color="auto" w:fill="4472C4"/>
            <w:vAlign w:val="center"/>
          </w:tcPr>
          <w:p w14:paraId="46BA538A" w14:textId="77777777" w:rsidR="00990B14" w:rsidRDefault="00990B14">
            <w:pPr>
              <w:spacing w:before="20" w:after="20"/>
            </w:pPr>
          </w:p>
        </w:tc>
        <w:tc>
          <w:tcPr>
            <w:tcW w:w="5666" w:type="dxa"/>
            <w:gridSpan w:val="3"/>
            <w:shd w:val="clear" w:color="auto" w:fill="D9E2F3"/>
            <w:vAlign w:val="center"/>
          </w:tcPr>
          <w:p w14:paraId="7523BB68" w14:textId="77777777" w:rsidR="00990B14" w:rsidRDefault="00000000">
            <w:pPr>
              <w:keepNext/>
              <w:spacing w:before="20" w:after="20"/>
              <w:jc w:val="both"/>
            </w:pPr>
            <w:r>
              <w:rPr>
                <w:b/>
                <w:bCs/>
                <w:i/>
                <w:iCs/>
                <w:sz w:val="18"/>
                <w:szCs w:val="18"/>
              </w:rPr>
              <w:t xml:space="preserve">Producto 17: </w:t>
            </w:r>
            <w:r>
              <w:rPr>
                <w:sz w:val="18"/>
                <w:szCs w:val="18"/>
              </w:rPr>
              <w:t>Cuadro de obligaciones tributarias aduaneras</w:t>
            </w:r>
          </w:p>
        </w:tc>
        <w:tc>
          <w:tcPr>
            <w:tcW w:w="2015" w:type="dxa"/>
            <w:shd w:val="clear" w:color="auto" w:fill="D9E2F3"/>
            <w:vAlign w:val="center"/>
          </w:tcPr>
          <w:p w14:paraId="76D982A8" w14:textId="77777777" w:rsidR="00990B14" w:rsidRDefault="00000000">
            <w:pPr>
              <w:spacing w:before="20" w:after="20"/>
              <w:jc w:val="center"/>
            </w:pPr>
            <w:r>
              <w:rPr>
                <w:b/>
                <w:bCs/>
                <w:sz w:val="18"/>
                <w:szCs w:val="18"/>
              </w:rPr>
              <w:t>5%</w:t>
            </w:r>
          </w:p>
        </w:tc>
      </w:tr>
      <w:tr w:rsidR="00990B14" w14:paraId="45522C5E" w14:textId="77777777">
        <w:trPr>
          <w:cantSplit/>
          <w:jc w:val="center"/>
        </w:trPr>
        <w:tc>
          <w:tcPr>
            <w:tcW w:w="1724" w:type="dxa"/>
            <w:vMerge/>
            <w:shd w:val="clear" w:color="auto" w:fill="4472C4"/>
            <w:vAlign w:val="center"/>
          </w:tcPr>
          <w:p w14:paraId="07493034" w14:textId="77777777" w:rsidR="00990B14" w:rsidRDefault="00990B14">
            <w:pPr>
              <w:spacing w:before="20" w:after="20"/>
            </w:pPr>
          </w:p>
        </w:tc>
        <w:tc>
          <w:tcPr>
            <w:tcW w:w="1846" w:type="dxa"/>
            <w:shd w:val="clear" w:color="auto" w:fill="4472C4"/>
            <w:vAlign w:val="center"/>
          </w:tcPr>
          <w:p w14:paraId="1DCADE1C"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0AB799E3"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40975868"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09275770" w14:textId="77777777" w:rsidR="00990B14" w:rsidRDefault="00000000">
            <w:pPr>
              <w:keepNext/>
              <w:spacing w:before="20" w:after="20"/>
              <w:jc w:val="center"/>
            </w:pPr>
            <w:r>
              <w:rPr>
                <w:b/>
                <w:bCs/>
                <w:i/>
                <w:iCs/>
                <w:color w:val="FFFFFF"/>
                <w:sz w:val="18"/>
                <w:szCs w:val="18"/>
              </w:rPr>
              <w:t>Destacado (81–100)</w:t>
            </w:r>
          </w:p>
        </w:tc>
      </w:tr>
      <w:tr w:rsidR="00990B14" w14:paraId="346BD722" w14:textId="77777777">
        <w:trPr>
          <w:cantSplit/>
          <w:jc w:val="center"/>
        </w:trPr>
        <w:tc>
          <w:tcPr>
            <w:tcW w:w="1724" w:type="dxa"/>
            <w:vMerge/>
            <w:shd w:val="clear" w:color="auto" w:fill="4472C4"/>
            <w:vAlign w:val="center"/>
          </w:tcPr>
          <w:p w14:paraId="7C7CF354" w14:textId="77777777" w:rsidR="00990B14" w:rsidRDefault="00990B14">
            <w:pPr>
              <w:spacing w:before="20" w:after="20"/>
            </w:pPr>
          </w:p>
        </w:tc>
        <w:tc>
          <w:tcPr>
            <w:tcW w:w="1846" w:type="dxa"/>
            <w:shd w:val="clear" w:color="auto" w:fill="D9E2F3"/>
            <w:vAlign w:val="center"/>
          </w:tcPr>
          <w:p w14:paraId="608FCDE8" w14:textId="77777777" w:rsidR="00990B14" w:rsidRDefault="00000000">
            <w:pPr>
              <w:spacing w:before="20" w:after="20"/>
              <w:jc w:val="both"/>
            </w:pPr>
            <w:r>
              <w:rPr>
                <w:sz w:val="18"/>
                <w:szCs w:val="18"/>
              </w:rPr>
              <w:t>Método de valoración</w:t>
            </w:r>
          </w:p>
        </w:tc>
        <w:tc>
          <w:tcPr>
            <w:tcW w:w="1910" w:type="dxa"/>
            <w:shd w:val="clear" w:color="auto" w:fill="D9E2F3"/>
            <w:vAlign w:val="center"/>
          </w:tcPr>
          <w:p w14:paraId="07DB28CF" w14:textId="77777777" w:rsidR="00990B14" w:rsidRDefault="00000000">
            <w:pPr>
              <w:spacing w:before="20" w:after="20"/>
              <w:jc w:val="both"/>
            </w:pPr>
            <w:r>
              <w:rPr>
                <w:sz w:val="18"/>
                <w:szCs w:val="18"/>
              </w:rPr>
              <w:t>Aplica un método sin justificarlo.</w:t>
            </w:r>
          </w:p>
        </w:tc>
        <w:tc>
          <w:tcPr>
            <w:tcW w:w="1910" w:type="dxa"/>
            <w:shd w:val="clear" w:color="auto" w:fill="D9E2F3"/>
            <w:vAlign w:val="center"/>
          </w:tcPr>
          <w:p w14:paraId="7DB93369" w14:textId="77777777" w:rsidR="00990B14" w:rsidRDefault="00000000">
            <w:pPr>
              <w:spacing w:before="20" w:after="20"/>
              <w:jc w:val="both"/>
            </w:pPr>
            <w:r>
              <w:rPr>
                <w:sz w:val="18"/>
                <w:szCs w:val="18"/>
              </w:rPr>
              <w:t>Aplica el método de valoración pertinente.</w:t>
            </w:r>
          </w:p>
        </w:tc>
        <w:tc>
          <w:tcPr>
            <w:tcW w:w="2015" w:type="dxa"/>
            <w:shd w:val="clear" w:color="auto" w:fill="D9E2F3"/>
            <w:vAlign w:val="center"/>
          </w:tcPr>
          <w:p w14:paraId="44F63569" w14:textId="77777777" w:rsidR="00990B14" w:rsidRDefault="00000000">
            <w:pPr>
              <w:spacing w:before="20" w:after="20"/>
              <w:jc w:val="both"/>
            </w:pPr>
            <w:r>
              <w:rPr>
                <w:sz w:val="18"/>
                <w:szCs w:val="18"/>
              </w:rPr>
              <w:t>Resuelve una situación de duda razonable.</w:t>
            </w:r>
          </w:p>
        </w:tc>
      </w:tr>
      <w:tr w:rsidR="00990B14" w14:paraId="601D472A" w14:textId="77777777">
        <w:trPr>
          <w:cantSplit/>
          <w:jc w:val="center"/>
        </w:trPr>
        <w:tc>
          <w:tcPr>
            <w:tcW w:w="1724" w:type="dxa"/>
            <w:vMerge/>
            <w:shd w:val="clear" w:color="auto" w:fill="4472C4"/>
            <w:vAlign w:val="center"/>
          </w:tcPr>
          <w:p w14:paraId="282912F6" w14:textId="77777777" w:rsidR="00990B14" w:rsidRDefault="00990B14">
            <w:pPr>
              <w:spacing w:before="20" w:after="20"/>
            </w:pPr>
          </w:p>
        </w:tc>
        <w:tc>
          <w:tcPr>
            <w:tcW w:w="1846" w:type="dxa"/>
            <w:shd w:val="clear" w:color="auto" w:fill="D9E2F3"/>
            <w:vAlign w:val="center"/>
          </w:tcPr>
          <w:p w14:paraId="4AC93884" w14:textId="77777777" w:rsidR="00990B14" w:rsidRDefault="00000000">
            <w:pPr>
              <w:spacing w:before="20" w:after="20"/>
              <w:jc w:val="both"/>
            </w:pPr>
            <w:r>
              <w:rPr>
                <w:sz w:val="18"/>
                <w:szCs w:val="18"/>
              </w:rPr>
              <w:t>Incoterms</w:t>
            </w:r>
          </w:p>
        </w:tc>
        <w:tc>
          <w:tcPr>
            <w:tcW w:w="1910" w:type="dxa"/>
            <w:shd w:val="clear" w:color="auto" w:fill="D9E2F3"/>
            <w:vAlign w:val="center"/>
          </w:tcPr>
          <w:p w14:paraId="2489EEEE" w14:textId="77777777" w:rsidR="00990B14" w:rsidRDefault="00000000">
            <w:pPr>
              <w:spacing w:before="20" w:after="20"/>
              <w:jc w:val="both"/>
            </w:pPr>
            <w:r>
              <w:rPr>
                <w:sz w:val="18"/>
                <w:szCs w:val="18"/>
              </w:rPr>
              <w:t>No ajusta el valor según el Incoterm.</w:t>
            </w:r>
          </w:p>
        </w:tc>
        <w:tc>
          <w:tcPr>
            <w:tcW w:w="1910" w:type="dxa"/>
            <w:shd w:val="clear" w:color="auto" w:fill="D9E2F3"/>
            <w:vAlign w:val="center"/>
          </w:tcPr>
          <w:p w14:paraId="5A9FE52B" w14:textId="77777777" w:rsidR="00990B14" w:rsidRDefault="00000000">
            <w:pPr>
              <w:spacing w:before="20" w:after="20"/>
              <w:jc w:val="both"/>
            </w:pPr>
            <w:r>
              <w:rPr>
                <w:sz w:val="18"/>
                <w:szCs w:val="18"/>
              </w:rPr>
              <w:t>Ajusta el valor según el Incoterm pactado.</w:t>
            </w:r>
          </w:p>
        </w:tc>
        <w:tc>
          <w:tcPr>
            <w:tcW w:w="2015" w:type="dxa"/>
            <w:shd w:val="clear" w:color="auto" w:fill="D9E2F3"/>
            <w:vAlign w:val="center"/>
          </w:tcPr>
          <w:p w14:paraId="4327921D" w14:textId="77777777" w:rsidR="00990B14" w:rsidRDefault="00000000">
            <w:pPr>
              <w:spacing w:before="20" w:after="20"/>
              <w:jc w:val="both"/>
            </w:pPr>
            <w:r>
              <w:rPr>
                <w:sz w:val="18"/>
                <w:szCs w:val="18"/>
              </w:rPr>
              <w:t>Explica la distribución de riesgos del Incoterm.</w:t>
            </w:r>
          </w:p>
        </w:tc>
      </w:tr>
      <w:tr w:rsidR="00990B14" w14:paraId="694803DC" w14:textId="77777777">
        <w:trPr>
          <w:cantSplit/>
          <w:jc w:val="center"/>
        </w:trPr>
        <w:tc>
          <w:tcPr>
            <w:tcW w:w="1724" w:type="dxa"/>
            <w:vMerge/>
            <w:shd w:val="clear" w:color="auto" w:fill="4472C4"/>
            <w:vAlign w:val="center"/>
          </w:tcPr>
          <w:p w14:paraId="5E3FEDEC" w14:textId="77777777" w:rsidR="00990B14" w:rsidRDefault="00990B14">
            <w:pPr>
              <w:spacing w:before="20" w:after="20"/>
            </w:pPr>
          </w:p>
        </w:tc>
        <w:tc>
          <w:tcPr>
            <w:tcW w:w="1846" w:type="dxa"/>
            <w:shd w:val="clear" w:color="auto" w:fill="D9E2F3"/>
            <w:vAlign w:val="center"/>
          </w:tcPr>
          <w:p w14:paraId="55976481" w14:textId="77777777" w:rsidR="00990B14" w:rsidRDefault="00000000">
            <w:pPr>
              <w:spacing w:before="20" w:after="20"/>
              <w:jc w:val="both"/>
            </w:pPr>
            <w:r>
              <w:rPr>
                <w:sz w:val="18"/>
                <w:szCs w:val="18"/>
              </w:rPr>
              <w:t>Presentación del cuadro</w:t>
            </w:r>
          </w:p>
        </w:tc>
        <w:tc>
          <w:tcPr>
            <w:tcW w:w="1910" w:type="dxa"/>
            <w:shd w:val="clear" w:color="auto" w:fill="D9E2F3"/>
            <w:vAlign w:val="center"/>
          </w:tcPr>
          <w:p w14:paraId="2BF786AD" w14:textId="77777777" w:rsidR="00990B14" w:rsidRDefault="00000000">
            <w:pPr>
              <w:spacing w:before="20" w:after="20"/>
              <w:jc w:val="both"/>
            </w:pPr>
            <w:r>
              <w:rPr>
                <w:sz w:val="18"/>
                <w:szCs w:val="18"/>
              </w:rPr>
              <w:t>El cuadro es desordenado o incompleto.</w:t>
            </w:r>
          </w:p>
        </w:tc>
        <w:tc>
          <w:tcPr>
            <w:tcW w:w="1910" w:type="dxa"/>
            <w:shd w:val="clear" w:color="auto" w:fill="D9E2F3"/>
            <w:vAlign w:val="center"/>
          </w:tcPr>
          <w:p w14:paraId="51F65E35" w14:textId="77777777" w:rsidR="00990B14" w:rsidRDefault="00000000">
            <w:pPr>
              <w:spacing w:before="20" w:after="20"/>
              <w:jc w:val="both"/>
            </w:pPr>
            <w:r>
              <w:rPr>
                <w:sz w:val="18"/>
                <w:szCs w:val="18"/>
              </w:rPr>
              <w:t>Presenta el cuadro ordenado con las obligaciones tributarias aduaneras.</w:t>
            </w:r>
          </w:p>
        </w:tc>
        <w:tc>
          <w:tcPr>
            <w:tcW w:w="2015" w:type="dxa"/>
            <w:shd w:val="clear" w:color="auto" w:fill="D9E2F3"/>
            <w:vAlign w:val="center"/>
          </w:tcPr>
          <w:p w14:paraId="7388FC67" w14:textId="77777777" w:rsidR="00990B14" w:rsidRDefault="00000000">
            <w:pPr>
              <w:spacing w:before="20" w:after="20"/>
              <w:jc w:val="both"/>
            </w:pPr>
            <w:r>
              <w:rPr>
                <w:sz w:val="18"/>
                <w:szCs w:val="18"/>
              </w:rPr>
              <w:t>Presenta el cuadro con claridad y con referencia a la Ley General de Aduanas.</w:t>
            </w:r>
          </w:p>
        </w:tc>
      </w:tr>
      <w:tr w:rsidR="00990B14" w14:paraId="121E8F4D" w14:textId="77777777">
        <w:trPr>
          <w:cantSplit/>
          <w:jc w:val="center"/>
        </w:trPr>
        <w:tc>
          <w:tcPr>
            <w:tcW w:w="1724" w:type="dxa"/>
            <w:vMerge/>
            <w:shd w:val="clear" w:color="auto" w:fill="4472C4"/>
            <w:vAlign w:val="center"/>
          </w:tcPr>
          <w:p w14:paraId="0AC90649" w14:textId="77777777" w:rsidR="00990B14" w:rsidRDefault="00990B14">
            <w:pPr>
              <w:spacing w:before="20" w:after="20"/>
            </w:pPr>
          </w:p>
        </w:tc>
        <w:tc>
          <w:tcPr>
            <w:tcW w:w="5666" w:type="dxa"/>
            <w:gridSpan w:val="3"/>
            <w:shd w:val="clear" w:color="auto" w:fill="D9E2F3"/>
            <w:vAlign w:val="center"/>
          </w:tcPr>
          <w:p w14:paraId="5D02DF8E" w14:textId="77777777" w:rsidR="00990B14" w:rsidRDefault="00000000">
            <w:pPr>
              <w:keepNext/>
              <w:spacing w:before="20" w:after="20"/>
              <w:jc w:val="both"/>
            </w:pPr>
            <w:r>
              <w:rPr>
                <w:b/>
                <w:bCs/>
                <w:i/>
                <w:iCs/>
                <w:sz w:val="18"/>
                <w:szCs w:val="18"/>
              </w:rPr>
              <w:t xml:space="preserve">Producto 18: </w:t>
            </w:r>
            <w:r>
              <w:rPr>
                <w:sz w:val="18"/>
                <w:szCs w:val="18"/>
              </w:rPr>
              <w:t>Informe del análisis de valor en aduanas.</w:t>
            </w:r>
          </w:p>
        </w:tc>
        <w:tc>
          <w:tcPr>
            <w:tcW w:w="2015" w:type="dxa"/>
            <w:shd w:val="clear" w:color="auto" w:fill="D9E2F3"/>
            <w:vAlign w:val="center"/>
          </w:tcPr>
          <w:p w14:paraId="52473DE6" w14:textId="77777777" w:rsidR="00990B14" w:rsidRDefault="00000000">
            <w:pPr>
              <w:spacing w:before="20" w:after="20"/>
              <w:jc w:val="center"/>
            </w:pPr>
            <w:r>
              <w:rPr>
                <w:b/>
                <w:bCs/>
                <w:sz w:val="18"/>
                <w:szCs w:val="18"/>
              </w:rPr>
              <w:t>5%</w:t>
            </w:r>
          </w:p>
        </w:tc>
      </w:tr>
      <w:tr w:rsidR="00990B14" w14:paraId="6A557733" w14:textId="77777777">
        <w:trPr>
          <w:cantSplit/>
          <w:jc w:val="center"/>
        </w:trPr>
        <w:tc>
          <w:tcPr>
            <w:tcW w:w="1724" w:type="dxa"/>
            <w:vMerge/>
            <w:shd w:val="clear" w:color="auto" w:fill="4472C4"/>
            <w:vAlign w:val="center"/>
          </w:tcPr>
          <w:p w14:paraId="396C4248" w14:textId="77777777" w:rsidR="00990B14" w:rsidRDefault="00990B14">
            <w:pPr>
              <w:spacing w:before="20" w:after="20"/>
            </w:pPr>
          </w:p>
        </w:tc>
        <w:tc>
          <w:tcPr>
            <w:tcW w:w="1846" w:type="dxa"/>
            <w:shd w:val="clear" w:color="auto" w:fill="4472C4"/>
            <w:vAlign w:val="center"/>
          </w:tcPr>
          <w:p w14:paraId="09379EAC"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35CEF025"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5EDF961A"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428E5B68" w14:textId="77777777" w:rsidR="00990B14" w:rsidRDefault="00000000">
            <w:pPr>
              <w:keepNext/>
              <w:spacing w:before="20" w:after="20"/>
              <w:jc w:val="center"/>
            </w:pPr>
            <w:r>
              <w:rPr>
                <w:b/>
                <w:bCs/>
                <w:i/>
                <w:iCs/>
                <w:color w:val="FFFFFF"/>
                <w:sz w:val="18"/>
                <w:szCs w:val="18"/>
              </w:rPr>
              <w:t>Destacado (81–100)</w:t>
            </w:r>
          </w:p>
        </w:tc>
      </w:tr>
      <w:tr w:rsidR="00990B14" w14:paraId="6F3AE6E2" w14:textId="77777777">
        <w:trPr>
          <w:cantSplit/>
          <w:jc w:val="center"/>
        </w:trPr>
        <w:tc>
          <w:tcPr>
            <w:tcW w:w="1724" w:type="dxa"/>
            <w:vMerge/>
            <w:shd w:val="clear" w:color="auto" w:fill="4472C4"/>
            <w:vAlign w:val="center"/>
          </w:tcPr>
          <w:p w14:paraId="6BCAD83C" w14:textId="77777777" w:rsidR="00990B14" w:rsidRDefault="00990B14">
            <w:pPr>
              <w:spacing w:before="20" w:after="20"/>
            </w:pPr>
          </w:p>
        </w:tc>
        <w:tc>
          <w:tcPr>
            <w:tcW w:w="1846" w:type="dxa"/>
            <w:shd w:val="clear" w:color="auto" w:fill="D9E2F3"/>
            <w:vAlign w:val="center"/>
          </w:tcPr>
          <w:p w14:paraId="5FD66789" w14:textId="77777777" w:rsidR="00990B14" w:rsidRDefault="00000000">
            <w:pPr>
              <w:spacing w:before="20" w:after="20"/>
              <w:jc w:val="both"/>
            </w:pPr>
            <w:r>
              <w:rPr>
                <w:sz w:val="18"/>
                <w:szCs w:val="18"/>
              </w:rPr>
              <w:t>Base imponible</w:t>
            </w:r>
          </w:p>
        </w:tc>
        <w:tc>
          <w:tcPr>
            <w:tcW w:w="1910" w:type="dxa"/>
            <w:shd w:val="clear" w:color="auto" w:fill="D9E2F3"/>
            <w:vAlign w:val="center"/>
          </w:tcPr>
          <w:p w14:paraId="3F4EE8C8" w14:textId="77777777" w:rsidR="00990B14" w:rsidRDefault="00000000">
            <w:pPr>
              <w:spacing w:before="20" w:after="20"/>
              <w:jc w:val="both"/>
            </w:pPr>
            <w:r>
              <w:rPr>
                <w:sz w:val="18"/>
                <w:szCs w:val="18"/>
              </w:rPr>
              <w:t>Omite componentes de la base.</w:t>
            </w:r>
          </w:p>
        </w:tc>
        <w:tc>
          <w:tcPr>
            <w:tcW w:w="1910" w:type="dxa"/>
            <w:shd w:val="clear" w:color="auto" w:fill="D9E2F3"/>
            <w:vAlign w:val="center"/>
          </w:tcPr>
          <w:p w14:paraId="51451DB7" w14:textId="77777777" w:rsidR="00990B14" w:rsidRDefault="00000000">
            <w:pPr>
              <w:spacing w:before="20" w:after="20"/>
              <w:jc w:val="both"/>
            </w:pPr>
            <w:r>
              <w:rPr>
                <w:sz w:val="18"/>
                <w:szCs w:val="18"/>
              </w:rPr>
              <w:t>Determina la base imponible vigente.</w:t>
            </w:r>
          </w:p>
        </w:tc>
        <w:tc>
          <w:tcPr>
            <w:tcW w:w="2015" w:type="dxa"/>
            <w:shd w:val="clear" w:color="auto" w:fill="D9E2F3"/>
            <w:vAlign w:val="center"/>
          </w:tcPr>
          <w:p w14:paraId="6391E63F" w14:textId="77777777" w:rsidR="00990B14" w:rsidRDefault="00000000">
            <w:pPr>
              <w:spacing w:before="20" w:after="20"/>
              <w:jc w:val="both"/>
            </w:pPr>
            <w:r>
              <w:rPr>
                <w:sz w:val="18"/>
                <w:szCs w:val="18"/>
              </w:rPr>
              <w:t>Explica el efecto del transporte y del seguro.</w:t>
            </w:r>
          </w:p>
        </w:tc>
      </w:tr>
      <w:tr w:rsidR="00990B14" w14:paraId="0E3E06F9" w14:textId="77777777">
        <w:trPr>
          <w:cantSplit/>
          <w:jc w:val="center"/>
        </w:trPr>
        <w:tc>
          <w:tcPr>
            <w:tcW w:w="1724" w:type="dxa"/>
            <w:vMerge/>
            <w:shd w:val="clear" w:color="auto" w:fill="4472C4"/>
            <w:vAlign w:val="center"/>
          </w:tcPr>
          <w:p w14:paraId="41B870CD" w14:textId="77777777" w:rsidR="00990B14" w:rsidRDefault="00990B14">
            <w:pPr>
              <w:spacing w:before="20" w:after="20"/>
            </w:pPr>
          </w:p>
        </w:tc>
        <w:tc>
          <w:tcPr>
            <w:tcW w:w="1846" w:type="dxa"/>
            <w:shd w:val="clear" w:color="auto" w:fill="D9E2F3"/>
            <w:vAlign w:val="center"/>
          </w:tcPr>
          <w:p w14:paraId="5BCC3652" w14:textId="77777777" w:rsidR="00990B14" w:rsidRDefault="00000000">
            <w:pPr>
              <w:spacing w:before="20" w:after="20"/>
              <w:jc w:val="both"/>
            </w:pPr>
            <w:r>
              <w:rPr>
                <w:sz w:val="18"/>
                <w:szCs w:val="18"/>
              </w:rPr>
              <w:t>Tributos</w:t>
            </w:r>
          </w:p>
        </w:tc>
        <w:tc>
          <w:tcPr>
            <w:tcW w:w="1910" w:type="dxa"/>
            <w:shd w:val="clear" w:color="auto" w:fill="D9E2F3"/>
            <w:vAlign w:val="center"/>
          </w:tcPr>
          <w:p w14:paraId="444CDD6D" w14:textId="77777777" w:rsidR="00990B14" w:rsidRDefault="00000000">
            <w:pPr>
              <w:spacing w:before="20" w:after="20"/>
              <w:jc w:val="both"/>
            </w:pPr>
            <w:r>
              <w:rPr>
                <w:sz w:val="18"/>
                <w:szCs w:val="18"/>
              </w:rPr>
              <w:t>Aplica mal las alícuotas.</w:t>
            </w:r>
          </w:p>
        </w:tc>
        <w:tc>
          <w:tcPr>
            <w:tcW w:w="1910" w:type="dxa"/>
            <w:shd w:val="clear" w:color="auto" w:fill="D9E2F3"/>
            <w:vAlign w:val="center"/>
          </w:tcPr>
          <w:p w14:paraId="53D77F2E" w14:textId="77777777" w:rsidR="00990B14" w:rsidRDefault="00000000">
            <w:pPr>
              <w:spacing w:before="20" w:after="20"/>
              <w:jc w:val="both"/>
            </w:pPr>
            <w:r>
              <w:rPr>
                <w:sz w:val="18"/>
                <w:szCs w:val="18"/>
              </w:rPr>
              <w:t>Describe las alícuotas, el Gravamen Arancelario, el IVA y el ICE.</w:t>
            </w:r>
          </w:p>
        </w:tc>
        <w:tc>
          <w:tcPr>
            <w:tcW w:w="2015" w:type="dxa"/>
            <w:shd w:val="clear" w:color="auto" w:fill="D9E2F3"/>
            <w:vAlign w:val="center"/>
          </w:tcPr>
          <w:p w14:paraId="0D36E6B9" w14:textId="77777777" w:rsidR="00990B14" w:rsidRDefault="00000000">
            <w:pPr>
              <w:spacing w:before="20" w:after="20"/>
              <w:jc w:val="both"/>
            </w:pPr>
            <w:r>
              <w:rPr>
                <w:sz w:val="18"/>
                <w:szCs w:val="18"/>
              </w:rPr>
              <w:t>Analiza el costo de la mercancía.</w:t>
            </w:r>
          </w:p>
        </w:tc>
      </w:tr>
      <w:tr w:rsidR="00990B14" w14:paraId="79111CDE" w14:textId="77777777">
        <w:trPr>
          <w:cantSplit/>
          <w:jc w:val="center"/>
        </w:trPr>
        <w:tc>
          <w:tcPr>
            <w:tcW w:w="1724" w:type="dxa"/>
            <w:vMerge/>
            <w:shd w:val="clear" w:color="auto" w:fill="4472C4"/>
            <w:vAlign w:val="center"/>
          </w:tcPr>
          <w:p w14:paraId="7C9E4809" w14:textId="77777777" w:rsidR="00990B14" w:rsidRDefault="00990B14">
            <w:pPr>
              <w:spacing w:before="20" w:after="20"/>
            </w:pPr>
          </w:p>
        </w:tc>
        <w:tc>
          <w:tcPr>
            <w:tcW w:w="1846" w:type="dxa"/>
            <w:shd w:val="clear" w:color="auto" w:fill="D9E2F3"/>
            <w:vAlign w:val="center"/>
          </w:tcPr>
          <w:p w14:paraId="5F3E6958" w14:textId="77777777" w:rsidR="00990B14" w:rsidRDefault="00000000">
            <w:pPr>
              <w:spacing w:before="20" w:after="20"/>
              <w:jc w:val="both"/>
            </w:pPr>
            <w:r>
              <w:rPr>
                <w:sz w:val="18"/>
                <w:szCs w:val="18"/>
              </w:rPr>
              <w:t>Presentación del informe</w:t>
            </w:r>
          </w:p>
        </w:tc>
        <w:tc>
          <w:tcPr>
            <w:tcW w:w="1910" w:type="dxa"/>
            <w:shd w:val="clear" w:color="auto" w:fill="D9E2F3"/>
            <w:vAlign w:val="center"/>
          </w:tcPr>
          <w:p w14:paraId="785C3A58" w14:textId="77777777" w:rsidR="00990B14" w:rsidRDefault="00000000">
            <w:pPr>
              <w:spacing w:before="20" w:after="20"/>
              <w:jc w:val="both"/>
            </w:pPr>
            <w:r>
              <w:rPr>
                <w:sz w:val="18"/>
                <w:szCs w:val="18"/>
              </w:rPr>
              <w:t>El informe es desordenado o incompleto.</w:t>
            </w:r>
          </w:p>
        </w:tc>
        <w:tc>
          <w:tcPr>
            <w:tcW w:w="1910" w:type="dxa"/>
            <w:shd w:val="clear" w:color="auto" w:fill="D9E2F3"/>
            <w:vAlign w:val="center"/>
          </w:tcPr>
          <w:p w14:paraId="053738F5" w14:textId="77777777" w:rsidR="00990B14" w:rsidRDefault="00000000">
            <w:pPr>
              <w:spacing w:before="20" w:after="20"/>
              <w:jc w:val="both"/>
            </w:pPr>
            <w:r>
              <w:rPr>
                <w:sz w:val="18"/>
                <w:szCs w:val="18"/>
              </w:rPr>
              <w:t>Presenta el informe ordenado con el análisis del valor en aduanas.</w:t>
            </w:r>
          </w:p>
        </w:tc>
        <w:tc>
          <w:tcPr>
            <w:tcW w:w="2015" w:type="dxa"/>
            <w:shd w:val="clear" w:color="auto" w:fill="D9E2F3"/>
            <w:vAlign w:val="center"/>
          </w:tcPr>
          <w:p w14:paraId="3290D390" w14:textId="77777777" w:rsidR="00990B14" w:rsidRDefault="00000000">
            <w:pPr>
              <w:spacing w:before="20" w:after="20"/>
              <w:jc w:val="both"/>
            </w:pPr>
            <w:r>
              <w:rPr>
                <w:sz w:val="18"/>
                <w:szCs w:val="18"/>
              </w:rPr>
              <w:t>Presenta un informe claro con conclusiones fundamentadas en la normativa.</w:t>
            </w:r>
          </w:p>
        </w:tc>
      </w:tr>
      <w:tr w:rsidR="00990B14" w14:paraId="5026556F" w14:textId="77777777">
        <w:trPr>
          <w:cantSplit/>
          <w:jc w:val="center"/>
        </w:trPr>
        <w:tc>
          <w:tcPr>
            <w:tcW w:w="1724" w:type="dxa"/>
            <w:vMerge/>
            <w:shd w:val="clear" w:color="auto" w:fill="4472C4"/>
            <w:vAlign w:val="center"/>
          </w:tcPr>
          <w:p w14:paraId="208D5D86" w14:textId="77777777" w:rsidR="00990B14" w:rsidRDefault="00990B14">
            <w:pPr>
              <w:spacing w:before="20" w:after="20"/>
            </w:pPr>
          </w:p>
        </w:tc>
        <w:tc>
          <w:tcPr>
            <w:tcW w:w="5666" w:type="dxa"/>
            <w:gridSpan w:val="3"/>
            <w:shd w:val="clear" w:color="auto" w:fill="D9E2F3"/>
            <w:vAlign w:val="center"/>
          </w:tcPr>
          <w:p w14:paraId="6A498E4E" w14:textId="77777777" w:rsidR="00990B14" w:rsidRDefault="00000000">
            <w:pPr>
              <w:keepNext/>
              <w:spacing w:before="20" w:after="20"/>
              <w:jc w:val="both"/>
            </w:pPr>
            <w:r>
              <w:rPr>
                <w:b/>
                <w:bCs/>
                <w:i/>
                <w:iCs/>
                <w:sz w:val="18"/>
                <w:szCs w:val="18"/>
              </w:rPr>
              <w:t xml:space="preserve">Producto 19: </w:t>
            </w:r>
            <w:r>
              <w:rPr>
                <w:sz w:val="18"/>
                <w:szCs w:val="18"/>
              </w:rPr>
              <w:t>Declaración de importación o de exportación de un caso práctico.</w:t>
            </w:r>
          </w:p>
        </w:tc>
        <w:tc>
          <w:tcPr>
            <w:tcW w:w="2015" w:type="dxa"/>
            <w:shd w:val="clear" w:color="auto" w:fill="D9E2F3"/>
            <w:vAlign w:val="center"/>
          </w:tcPr>
          <w:p w14:paraId="22E5421F" w14:textId="77777777" w:rsidR="00990B14" w:rsidRDefault="00000000">
            <w:pPr>
              <w:spacing w:before="20" w:after="20"/>
              <w:jc w:val="center"/>
            </w:pPr>
            <w:r>
              <w:rPr>
                <w:b/>
                <w:bCs/>
                <w:sz w:val="18"/>
                <w:szCs w:val="18"/>
              </w:rPr>
              <w:t>5%</w:t>
            </w:r>
          </w:p>
        </w:tc>
      </w:tr>
      <w:tr w:rsidR="00990B14" w14:paraId="09E6B244" w14:textId="77777777">
        <w:trPr>
          <w:cantSplit/>
          <w:jc w:val="center"/>
        </w:trPr>
        <w:tc>
          <w:tcPr>
            <w:tcW w:w="1724" w:type="dxa"/>
            <w:vMerge/>
            <w:shd w:val="clear" w:color="auto" w:fill="4472C4"/>
            <w:vAlign w:val="center"/>
          </w:tcPr>
          <w:p w14:paraId="69A869AD" w14:textId="77777777" w:rsidR="00990B14" w:rsidRDefault="00990B14">
            <w:pPr>
              <w:spacing w:before="20" w:after="20"/>
            </w:pPr>
          </w:p>
        </w:tc>
        <w:tc>
          <w:tcPr>
            <w:tcW w:w="1846" w:type="dxa"/>
            <w:shd w:val="clear" w:color="auto" w:fill="4472C4"/>
            <w:vAlign w:val="center"/>
          </w:tcPr>
          <w:p w14:paraId="7CEAF054"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5C12C897"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57A62F48"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1D70C29D" w14:textId="77777777" w:rsidR="00990B14" w:rsidRDefault="00000000">
            <w:pPr>
              <w:keepNext/>
              <w:spacing w:before="20" w:after="20"/>
              <w:jc w:val="center"/>
            </w:pPr>
            <w:r>
              <w:rPr>
                <w:b/>
                <w:bCs/>
                <w:i/>
                <w:iCs/>
                <w:color w:val="FFFFFF"/>
                <w:sz w:val="18"/>
                <w:szCs w:val="18"/>
              </w:rPr>
              <w:t>Destacado (81–100)</w:t>
            </w:r>
          </w:p>
        </w:tc>
      </w:tr>
      <w:tr w:rsidR="00990B14" w14:paraId="58F1E49B" w14:textId="77777777">
        <w:trPr>
          <w:cantSplit/>
          <w:jc w:val="center"/>
        </w:trPr>
        <w:tc>
          <w:tcPr>
            <w:tcW w:w="1724" w:type="dxa"/>
            <w:vMerge/>
            <w:shd w:val="clear" w:color="auto" w:fill="4472C4"/>
            <w:vAlign w:val="center"/>
          </w:tcPr>
          <w:p w14:paraId="72519B24" w14:textId="77777777" w:rsidR="00990B14" w:rsidRDefault="00990B14">
            <w:pPr>
              <w:spacing w:before="20" w:after="20"/>
            </w:pPr>
          </w:p>
        </w:tc>
        <w:tc>
          <w:tcPr>
            <w:tcW w:w="1846" w:type="dxa"/>
            <w:shd w:val="clear" w:color="auto" w:fill="D9E2F3"/>
            <w:vAlign w:val="center"/>
          </w:tcPr>
          <w:p w14:paraId="3FB99602" w14:textId="77777777" w:rsidR="00990B14" w:rsidRDefault="00000000">
            <w:pPr>
              <w:spacing w:before="20" w:after="20"/>
              <w:jc w:val="both"/>
            </w:pPr>
            <w:r>
              <w:rPr>
                <w:sz w:val="18"/>
                <w:szCs w:val="18"/>
              </w:rPr>
              <w:t>Modalidad de despacho</w:t>
            </w:r>
          </w:p>
        </w:tc>
        <w:tc>
          <w:tcPr>
            <w:tcW w:w="1910" w:type="dxa"/>
            <w:shd w:val="clear" w:color="auto" w:fill="D9E2F3"/>
            <w:vAlign w:val="center"/>
          </w:tcPr>
          <w:p w14:paraId="4DBCB426" w14:textId="77777777" w:rsidR="00990B14" w:rsidRDefault="00000000">
            <w:pPr>
              <w:spacing w:before="20" w:after="20"/>
              <w:jc w:val="both"/>
            </w:pPr>
            <w:r>
              <w:rPr>
                <w:sz w:val="18"/>
                <w:szCs w:val="18"/>
              </w:rPr>
              <w:t>Elige una modalidad no aplicable.</w:t>
            </w:r>
          </w:p>
        </w:tc>
        <w:tc>
          <w:tcPr>
            <w:tcW w:w="1910" w:type="dxa"/>
            <w:shd w:val="clear" w:color="auto" w:fill="D9E2F3"/>
            <w:vAlign w:val="center"/>
          </w:tcPr>
          <w:p w14:paraId="5B580572" w14:textId="77777777" w:rsidR="00990B14" w:rsidRDefault="00000000">
            <w:pPr>
              <w:spacing w:before="20" w:after="20"/>
              <w:jc w:val="both"/>
            </w:pPr>
            <w:r>
              <w:rPr>
                <w:sz w:val="18"/>
                <w:szCs w:val="18"/>
              </w:rPr>
              <w:t>Aplica la modalidad de despacho adecuada.</w:t>
            </w:r>
          </w:p>
        </w:tc>
        <w:tc>
          <w:tcPr>
            <w:tcW w:w="2015" w:type="dxa"/>
            <w:shd w:val="clear" w:color="auto" w:fill="D9E2F3"/>
            <w:vAlign w:val="center"/>
          </w:tcPr>
          <w:p w14:paraId="5AD5D8FA" w14:textId="77777777" w:rsidR="00990B14" w:rsidRDefault="00000000">
            <w:pPr>
              <w:spacing w:before="20" w:after="20"/>
              <w:jc w:val="both"/>
            </w:pPr>
            <w:r>
              <w:rPr>
                <w:sz w:val="18"/>
                <w:szCs w:val="18"/>
              </w:rPr>
              <w:t>Justifica la modalidad elegida.</w:t>
            </w:r>
          </w:p>
        </w:tc>
      </w:tr>
      <w:tr w:rsidR="00990B14" w14:paraId="0F81EA71" w14:textId="77777777">
        <w:trPr>
          <w:cantSplit/>
          <w:jc w:val="center"/>
        </w:trPr>
        <w:tc>
          <w:tcPr>
            <w:tcW w:w="1724" w:type="dxa"/>
            <w:vMerge/>
            <w:shd w:val="clear" w:color="auto" w:fill="4472C4"/>
            <w:vAlign w:val="center"/>
          </w:tcPr>
          <w:p w14:paraId="52DBFCD4" w14:textId="77777777" w:rsidR="00990B14" w:rsidRDefault="00990B14">
            <w:pPr>
              <w:spacing w:before="20" w:after="20"/>
            </w:pPr>
          </w:p>
        </w:tc>
        <w:tc>
          <w:tcPr>
            <w:tcW w:w="1846" w:type="dxa"/>
            <w:shd w:val="clear" w:color="auto" w:fill="D9E2F3"/>
            <w:vAlign w:val="center"/>
          </w:tcPr>
          <w:p w14:paraId="5C7F27C8" w14:textId="77777777" w:rsidR="00990B14" w:rsidRDefault="00000000">
            <w:pPr>
              <w:spacing w:before="20" w:after="20"/>
              <w:jc w:val="both"/>
            </w:pPr>
            <w:r>
              <w:rPr>
                <w:sz w:val="18"/>
                <w:szCs w:val="18"/>
              </w:rPr>
              <w:t>Riesgos aduaneros</w:t>
            </w:r>
          </w:p>
        </w:tc>
        <w:tc>
          <w:tcPr>
            <w:tcW w:w="1910" w:type="dxa"/>
            <w:shd w:val="clear" w:color="auto" w:fill="D9E2F3"/>
            <w:vAlign w:val="center"/>
          </w:tcPr>
          <w:p w14:paraId="15260A89" w14:textId="77777777" w:rsidR="00990B14" w:rsidRDefault="00000000">
            <w:pPr>
              <w:spacing w:before="20" w:after="20"/>
              <w:jc w:val="both"/>
            </w:pPr>
            <w:r>
              <w:rPr>
                <w:sz w:val="18"/>
                <w:szCs w:val="18"/>
              </w:rPr>
              <w:t>No identifica riesgos.</w:t>
            </w:r>
          </w:p>
        </w:tc>
        <w:tc>
          <w:tcPr>
            <w:tcW w:w="1910" w:type="dxa"/>
            <w:shd w:val="clear" w:color="auto" w:fill="D9E2F3"/>
            <w:vAlign w:val="center"/>
          </w:tcPr>
          <w:p w14:paraId="6F6EEC4E" w14:textId="77777777" w:rsidR="00990B14" w:rsidRDefault="00000000">
            <w:pPr>
              <w:spacing w:before="20" w:after="20"/>
              <w:jc w:val="both"/>
            </w:pPr>
            <w:r>
              <w:rPr>
                <w:sz w:val="18"/>
                <w:szCs w:val="18"/>
              </w:rPr>
              <w:t>Identifica los riesgos de clasificación y valoración.</w:t>
            </w:r>
          </w:p>
        </w:tc>
        <w:tc>
          <w:tcPr>
            <w:tcW w:w="2015" w:type="dxa"/>
            <w:shd w:val="clear" w:color="auto" w:fill="D9E2F3"/>
            <w:vAlign w:val="center"/>
          </w:tcPr>
          <w:p w14:paraId="0D6C5191" w14:textId="77777777" w:rsidR="00990B14" w:rsidRDefault="00000000">
            <w:pPr>
              <w:spacing w:before="20" w:after="20"/>
              <w:jc w:val="both"/>
            </w:pPr>
            <w:r>
              <w:rPr>
                <w:sz w:val="18"/>
                <w:szCs w:val="18"/>
              </w:rPr>
              <w:t>Propone controles para el operador.</w:t>
            </w:r>
          </w:p>
        </w:tc>
      </w:tr>
      <w:tr w:rsidR="00990B14" w14:paraId="355D3EB7" w14:textId="77777777">
        <w:trPr>
          <w:cantSplit/>
          <w:jc w:val="center"/>
        </w:trPr>
        <w:tc>
          <w:tcPr>
            <w:tcW w:w="1724" w:type="dxa"/>
            <w:vMerge/>
            <w:shd w:val="clear" w:color="auto" w:fill="4472C4"/>
            <w:vAlign w:val="center"/>
          </w:tcPr>
          <w:p w14:paraId="060B9E76" w14:textId="77777777" w:rsidR="00990B14" w:rsidRDefault="00990B14">
            <w:pPr>
              <w:spacing w:before="20" w:after="20"/>
            </w:pPr>
          </w:p>
        </w:tc>
        <w:tc>
          <w:tcPr>
            <w:tcW w:w="1846" w:type="dxa"/>
            <w:shd w:val="clear" w:color="auto" w:fill="D9E2F3"/>
            <w:vAlign w:val="center"/>
          </w:tcPr>
          <w:p w14:paraId="06CACB32" w14:textId="77777777" w:rsidR="00990B14" w:rsidRDefault="00000000">
            <w:pPr>
              <w:spacing w:before="20" w:after="20"/>
              <w:jc w:val="both"/>
            </w:pPr>
            <w:r>
              <w:rPr>
                <w:sz w:val="18"/>
                <w:szCs w:val="18"/>
              </w:rPr>
              <w:t>Llenado de la declaración</w:t>
            </w:r>
          </w:p>
        </w:tc>
        <w:tc>
          <w:tcPr>
            <w:tcW w:w="1910" w:type="dxa"/>
            <w:shd w:val="clear" w:color="auto" w:fill="D9E2F3"/>
            <w:vAlign w:val="center"/>
          </w:tcPr>
          <w:p w14:paraId="2CE1E4BA" w14:textId="77777777" w:rsidR="00990B14" w:rsidRDefault="00000000">
            <w:pPr>
              <w:spacing w:before="20" w:after="20"/>
              <w:jc w:val="both"/>
            </w:pPr>
            <w:r>
              <w:rPr>
                <w:sz w:val="18"/>
                <w:szCs w:val="18"/>
              </w:rPr>
              <w:t>Omite datos de la declaración.</w:t>
            </w:r>
          </w:p>
        </w:tc>
        <w:tc>
          <w:tcPr>
            <w:tcW w:w="1910" w:type="dxa"/>
            <w:shd w:val="clear" w:color="auto" w:fill="D9E2F3"/>
            <w:vAlign w:val="center"/>
          </w:tcPr>
          <w:p w14:paraId="711089CF" w14:textId="77777777" w:rsidR="00990B14" w:rsidRDefault="00000000">
            <w:pPr>
              <w:spacing w:before="20" w:after="20"/>
              <w:jc w:val="both"/>
            </w:pPr>
            <w:r>
              <w:rPr>
                <w:sz w:val="18"/>
                <w:szCs w:val="18"/>
              </w:rPr>
              <w:t>Completa los datos de la declaración del caso.</w:t>
            </w:r>
          </w:p>
        </w:tc>
        <w:tc>
          <w:tcPr>
            <w:tcW w:w="2015" w:type="dxa"/>
            <w:shd w:val="clear" w:color="auto" w:fill="D9E2F3"/>
            <w:vAlign w:val="center"/>
          </w:tcPr>
          <w:p w14:paraId="2283CD07" w14:textId="77777777" w:rsidR="00990B14" w:rsidRDefault="00000000">
            <w:pPr>
              <w:spacing w:before="20" w:after="20"/>
              <w:jc w:val="both"/>
            </w:pPr>
            <w:r>
              <w:rPr>
                <w:sz w:val="18"/>
                <w:szCs w:val="18"/>
              </w:rPr>
              <w:t>Completa la declaración con exactitud y verifica su respaldo documental.</w:t>
            </w:r>
          </w:p>
        </w:tc>
      </w:tr>
      <w:tr w:rsidR="00990B14" w14:paraId="4640CED3" w14:textId="77777777">
        <w:trPr>
          <w:cantSplit/>
          <w:jc w:val="center"/>
        </w:trPr>
        <w:tc>
          <w:tcPr>
            <w:tcW w:w="1724" w:type="dxa"/>
            <w:vMerge/>
            <w:shd w:val="clear" w:color="auto" w:fill="4472C4"/>
            <w:vAlign w:val="center"/>
          </w:tcPr>
          <w:p w14:paraId="553BBCA9" w14:textId="77777777" w:rsidR="00990B14" w:rsidRDefault="00990B14">
            <w:pPr>
              <w:spacing w:before="20" w:after="20"/>
            </w:pPr>
          </w:p>
        </w:tc>
        <w:tc>
          <w:tcPr>
            <w:tcW w:w="5666" w:type="dxa"/>
            <w:gridSpan w:val="3"/>
            <w:shd w:val="clear" w:color="auto" w:fill="D9E2F3"/>
            <w:vAlign w:val="center"/>
          </w:tcPr>
          <w:p w14:paraId="6FC1727D" w14:textId="77777777" w:rsidR="00990B14" w:rsidRDefault="00000000">
            <w:pPr>
              <w:keepNext/>
              <w:spacing w:before="20" w:after="20"/>
              <w:jc w:val="both"/>
            </w:pPr>
            <w:r>
              <w:rPr>
                <w:b/>
                <w:bCs/>
                <w:i/>
                <w:iCs/>
                <w:sz w:val="18"/>
                <w:szCs w:val="18"/>
              </w:rPr>
              <w:t xml:space="preserve">Producto 20: </w:t>
            </w:r>
            <w:r>
              <w:rPr>
                <w:sz w:val="18"/>
                <w:szCs w:val="18"/>
              </w:rPr>
              <w:t>Informe de aplicación de un régimen aduanero especial.</w:t>
            </w:r>
          </w:p>
        </w:tc>
        <w:tc>
          <w:tcPr>
            <w:tcW w:w="2015" w:type="dxa"/>
            <w:shd w:val="clear" w:color="auto" w:fill="D9E2F3"/>
            <w:vAlign w:val="center"/>
          </w:tcPr>
          <w:p w14:paraId="6B52101B" w14:textId="77777777" w:rsidR="00990B14" w:rsidRDefault="00000000">
            <w:pPr>
              <w:spacing w:before="20" w:after="20"/>
              <w:jc w:val="center"/>
            </w:pPr>
            <w:r>
              <w:rPr>
                <w:b/>
                <w:bCs/>
                <w:sz w:val="18"/>
                <w:szCs w:val="18"/>
              </w:rPr>
              <w:t>5%</w:t>
            </w:r>
          </w:p>
        </w:tc>
      </w:tr>
      <w:tr w:rsidR="00990B14" w14:paraId="169C1C43" w14:textId="77777777">
        <w:trPr>
          <w:cantSplit/>
          <w:jc w:val="center"/>
        </w:trPr>
        <w:tc>
          <w:tcPr>
            <w:tcW w:w="1724" w:type="dxa"/>
            <w:vMerge/>
            <w:shd w:val="clear" w:color="auto" w:fill="4472C4"/>
            <w:vAlign w:val="center"/>
          </w:tcPr>
          <w:p w14:paraId="3F4B4799" w14:textId="77777777" w:rsidR="00990B14" w:rsidRDefault="00990B14">
            <w:pPr>
              <w:spacing w:before="20" w:after="20"/>
            </w:pPr>
          </w:p>
        </w:tc>
        <w:tc>
          <w:tcPr>
            <w:tcW w:w="1846" w:type="dxa"/>
            <w:shd w:val="clear" w:color="auto" w:fill="4472C4"/>
            <w:vAlign w:val="center"/>
          </w:tcPr>
          <w:p w14:paraId="46069558"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059C25DE"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52656168"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1656AF9F" w14:textId="77777777" w:rsidR="00990B14" w:rsidRDefault="00000000">
            <w:pPr>
              <w:keepNext/>
              <w:spacing w:before="20" w:after="20"/>
              <w:jc w:val="center"/>
            </w:pPr>
            <w:r>
              <w:rPr>
                <w:b/>
                <w:bCs/>
                <w:i/>
                <w:iCs/>
                <w:color w:val="FFFFFF"/>
                <w:sz w:val="18"/>
                <w:szCs w:val="18"/>
              </w:rPr>
              <w:t>Destacado (81–100)</w:t>
            </w:r>
          </w:p>
        </w:tc>
      </w:tr>
      <w:tr w:rsidR="00990B14" w14:paraId="6F446C5F" w14:textId="77777777">
        <w:trPr>
          <w:cantSplit/>
          <w:jc w:val="center"/>
        </w:trPr>
        <w:tc>
          <w:tcPr>
            <w:tcW w:w="1724" w:type="dxa"/>
            <w:vMerge/>
            <w:shd w:val="clear" w:color="auto" w:fill="4472C4"/>
            <w:vAlign w:val="center"/>
          </w:tcPr>
          <w:p w14:paraId="7DF50456" w14:textId="77777777" w:rsidR="00990B14" w:rsidRDefault="00990B14">
            <w:pPr>
              <w:spacing w:before="20" w:after="20"/>
            </w:pPr>
          </w:p>
        </w:tc>
        <w:tc>
          <w:tcPr>
            <w:tcW w:w="1846" w:type="dxa"/>
            <w:shd w:val="clear" w:color="auto" w:fill="D9E2F3"/>
            <w:vAlign w:val="center"/>
          </w:tcPr>
          <w:p w14:paraId="3BB45AD1" w14:textId="77777777" w:rsidR="00990B14" w:rsidRDefault="00000000">
            <w:pPr>
              <w:spacing w:before="20" w:after="20"/>
              <w:jc w:val="both"/>
            </w:pPr>
            <w:r>
              <w:rPr>
                <w:sz w:val="18"/>
                <w:szCs w:val="18"/>
              </w:rPr>
              <w:t>Régimen aplicable</w:t>
            </w:r>
          </w:p>
        </w:tc>
        <w:tc>
          <w:tcPr>
            <w:tcW w:w="1910" w:type="dxa"/>
            <w:shd w:val="clear" w:color="auto" w:fill="D9E2F3"/>
            <w:vAlign w:val="center"/>
          </w:tcPr>
          <w:p w14:paraId="110CDC45" w14:textId="77777777" w:rsidR="00990B14" w:rsidRDefault="00000000">
            <w:pPr>
              <w:spacing w:before="20" w:after="20"/>
              <w:jc w:val="both"/>
            </w:pPr>
            <w:r>
              <w:rPr>
                <w:sz w:val="18"/>
                <w:szCs w:val="18"/>
              </w:rPr>
              <w:t>Elige un régimen no pertinente.</w:t>
            </w:r>
          </w:p>
        </w:tc>
        <w:tc>
          <w:tcPr>
            <w:tcW w:w="1910" w:type="dxa"/>
            <w:shd w:val="clear" w:color="auto" w:fill="D9E2F3"/>
            <w:vAlign w:val="center"/>
          </w:tcPr>
          <w:p w14:paraId="356AFC76" w14:textId="77777777" w:rsidR="00990B14" w:rsidRDefault="00000000">
            <w:pPr>
              <w:spacing w:before="20" w:after="20"/>
              <w:jc w:val="both"/>
            </w:pPr>
            <w:r>
              <w:rPr>
                <w:sz w:val="18"/>
                <w:szCs w:val="18"/>
              </w:rPr>
              <w:t>Identifica el régimen especial del caso.</w:t>
            </w:r>
          </w:p>
        </w:tc>
        <w:tc>
          <w:tcPr>
            <w:tcW w:w="2015" w:type="dxa"/>
            <w:shd w:val="clear" w:color="auto" w:fill="D9E2F3"/>
            <w:vAlign w:val="center"/>
          </w:tcPr>
          <w:p w14:paraId="646419F3" w14:textId="77777777" w:rsidR="00990B14" w:rsidRDefault="00000000">
            <w:pPr>
              <w:spacing w:before="20" w:after="20"/>
              <w:jc w:val="both"/>
            </w:pPr>
            <w:r>
              <w:rPr>
                <w:sz w:val="18"/>
                <w:szCs w:val="18"/>
              </w:rPr>
              <w:t>Compara el régimen con otras alternativas.</w:t>
            </w:r>
          </w:p>
        </w:tc>
      </w:tr>
      <w:tr w:rsidR="00990B14" w14:paraId="3980AF06" w14:textId="77777777">
        <w:trPr>
          <w:cantSplit/>
          <w:jc w:val="center"/>
        </w:trPr>
        <w:tc>
          <w:tcPr>
            <w:tcW w:w="1724" w:type="dxa"/>
            <w:vMerge/>
            <w:shd w:val="clear" w:color="auto" w:fill="4472C4"/>
            <w:vAlign w:val="center"/>
          </w:tcPr>
          <w:p w14:paraId="2EFE6456" w14:textId="77777777" w:rsidR="00990B14" w:rsidRDefault="00990B14">
            <w:pPr>
              <w:spacing w:before="20" w:after="20"/>
            </w:pPr>
          </w:p>
        </w:tc>
        <w:tc>
          <w:tcPr>
            <w:tcW w:w="1846" w:type="dxa"/>
            <w:shd w:val="clear" w:color="auto" w:fill="D9E2F3"/>
            <w:vAlign w:val="center"/>
          </w:tcPr>
          <w:p w14:paraId="705BF967" w14:textId="77777777" w:rsidR="00990B14" w:rsidRDefault="00000000">
            <w:pPr>
              <w:spacing w:before="20" w:after="20"/>
              <w:jc w:val="both"/>
            </w:pPr>
            <w:r>
              <w:rPr>
                <w:sz w:val="18"/>
                <w:szCs w:val="18"/>
              </w:rPr>
              <w:t>Requisitos y efectos</w:t>
            </w:r>
          </w:p>
        </w:tc>
        <w:tc>
          <w:tcPr>
            <w:tcW w:w="1910" w:type="dxa"/>
            <w:shd w:val="clear" w:color="auto" w:fill="D9E2F3"/>
            <w:vAlign w:val="center"/>
          </w:tcPr>
          <w:p w14:paraId="137BCD2C" w14:textId="77777777" w:rsidR="00990B14" w:rsidRDefault="00000000">
            <w:pPr>
              <w:spacing w:before="20" w:after="20"/>
              <w:jc w:val="both"/>
            </w:pPr>
            <w:r>
              <w:rPr>
                <w:sz w:val="18"/>
                <w:szCs w:val="18"/>
              </w:rPr>
              <w:t>Desconoce los requisitos.</w:t>
            </w:r>
          </w:p>
        </w:tc>
        <w:tc>
          <w:tcPr>
            <w:tcW w:w="1910" w:type="dxa"/>
            <w:shd w:val="clear" w:color="auto" w:fill="D9E2F3"/>
            <w:vAlign w:val="center"/>
          </w:tcPr>
          <w:p w14:paraId="0F7AC211" w14:textId="77777777" w:rsidR="00990B14" w:rsidRDefault="00000000">
            <w:pPr>
              <w:spacing w:before="20" w:after="20"/>
              <w:jc w:val="both"/>
            </w:pPr>
            <w:r>
              <w:rPr>
                <w:sz w:val="18"/>
                <w:szCs w:val="18"/>
              </w:rPr>
              <w:t>Describe los requisitos y los efectos tributarios.</w:t>
            </w:r>
          </w:p>
        </w:tc>
        <w:tc>
          <w:tcPr>
            <w:tcW w:w="2015" w:type="dxa"/>
            <w:shd w:val="clear" w:color="auto" w:fill="D9E2F3"/>
            <w:vAlign w:val="center"/>
          </w:tcPr>
          <w:p w14:paraId="7373B8AD" w14:textId="77777777" w:rsidR="00990B14" w:rsidRDefault="00000000">
            <w:pPr>
              <w:spacing w:before="20" w:after="20"/>
              <w:jc w:val="both"/>
            </w:pPr>
            <w:r>
              <w:rPr>
                <w:sz w:val="18"/>
                <w:szCs w:val="18"/>
              </w:rPr>
              <w:t>Señala el beneficio para la empresa.</w:t>
            </w:r>
          </w:p>
        </w:tc>
      </w:tr>
      <w:tr w:rsidR="00990B14" w14:paraId="13D36C04" w14:textId="77777777">
        <w:trPr>
          <w:cantSplit/>
          <w:jc w:val="center"/>
        </w:trPr>
        <w:tc>
          <w:tcPr>
            <w:tcW w:w="1724" w:type="dxa"/>
            <w:vMerge/>
            <w:shd w:val="clear" w:color="auto" w:fill="4472C4"/>
            <w:vAlign w:val="center"/>
          </w:tcPr>
          <w:p w14:paraId="18C73B7E" w14:textId="77777777" w:rsidR="00990B14" w:rsidRDefault="00990B14">
            <w:pPr>
              <w:spacing w:before="20" w:after="20"/>
            </w:pPr>
          </w:p>
        </w:tc>
        <w:tc>
          <w:tcPr>
            <w:tcW w:w="1846" w:type="dxa"/>
            <w:shd w:val="clear" w:color="auto" w:fill="D9E2F3"/>
            <w:vAlign w:val="center"/>
          </w:tcPr>
          <w:p w14:paraId="2E422119" w14:textId="77777777" w:rsidR="00990B14" w:rsidRDefault="00000000">
            <w:pPr>
              <w:spacing w:before="20" w:after="20"/>
              <w:jc w:val="both"/>
            </w:pPr>
            <w:r>
              <w:rPr>
                <w:sz w:val="18"/>
                <w:szCs w:val="18"/>
              </w:rPr>
              <w:t>Claridad de la sustentación</w:t>
            </w:r>
          </w:p>
        </w:tc>
        <w:tc>
          <w:tcPr>
            <w:tcW w:w="1910" w:type="dxa"/>
            <w:shd w:val="clear" w:color="auto" w:fill="D9E2F3"/>
            <w:vAlign w:val="center"/>
          </w:tcPr>
          <w:p w14:paraId="39FC8B22" w14:textId="77777777" w:rsidR="00990B14" w:rsidRDefault="00000000">
            <w:pPr>
              <w:spacing w:before="20" w:after="20"/>
              <w:jc w:val="both"/>
            </w:pPr>
            <w:r>
              <w:rPr>
                <w:sz w:val="18"/>
                <w:szCs w:val="18"/>
              </w:rPr>
              <w:t>La exposición es confusa.</w:t>
            </w:r>
          </w:p>
        </w:tc>
        <w:tc>
          <w:tcPr>
            <w:tcW w:w="1910" w:type="dxa"/>
            <w:shd w:val="clear" w:color="auto" w:fill="D9E2F3"/>
            <w:vAlign w:val="center"/>
          </w:tcPr>
          <w:p w14:paraId="28726308" w14:textId="77777777" w:rsidR="00990B14" w:rsidRDefault="00000000">
            <w:pPr>
              <w:spacing w:before="20" w:after="20"/>
              <w:jc w:val="both"/>
            </w:pPr>
            <w:r>
              <w:rPr>
                <w:sz w:val="18"/>
                <w:szCs w:val="18"/>
              </w:rPr>
              <w:t>Expone con claridad.</w:t>
            </w:r>
          </w:p>
        </w:tc>
        <w:tc>
          <w:tcPr>
            <w:tcW w:w="2015" w:type="dxa"/>
            <w:shd w:val="clear" w:color="auto" w:fill="D9E2F3"/>
            <w:vAlign w:val="center"/>
          </w:tcPr>
          <w:p w14:paraId="474DEEEA" w14:textId="77777777" w:rsidR="00990B14" w:rsidRDefault="00000000">
            <w:pPr>
              <w:spacing w:before="20" w:after="20"/>
              <w:jc w:val="both"/>
            </w:pPr>
            <w:r>
              <w:rPr>
                <w:sz w:val="18"/>
                <w:szCs w:val="18"/>
              </w:rPr>
              <w:t>Responde con solvencia las preguntas del curso.</w:t>
            </w:r>
          </w:p>
        </w:tc>
      </w:tr>
      <w:tr w:rsidR="00990B14" w14:paraId="473D560D" w14:textId="77777777">
        <w:trPr>
          <w:cantSplit/>
          <w:jc w:val="center"/>
        </w:trPr>
        <w:tc>
          <w:tcPr>
            <w:tcW w:w="7390" w:type="dxa"/>
            <w:gridSpan w:val="4"/>
            <w:shd w:val="clear" w:color="auto" w:fill="4472C4"/>
            <w:vAlign w:val="center"/>
          </w:tcPr>
          <w:p w14:paraId="30E3833C" w14:textId="77777777" w:rsidR="00990B14" w:rsidRDefault="00000000">
            <w:pPr>
              <w:keepNext/>
              <w:spacing w:before="20" w:after="20"/>
              <w:jc w:val="center"/>
            </w:pPr>
            <w:r>
              <w:rPr>
                <w:b/>
                <w:bCs/>
                <w:i/>
                <w:iCs/>
                <w:color w:val="FFFFFF"/>
                <w:sz w:val="18"/>
                <w:szCs w:val="18"/>
              </w:rPr>
              <w:t>TOTAL</w:t>
            </w:r>
          </w:p>
        </w:tc>
        <w:tc>
          <w:tcPr>
            <w:tcW w:w="2015" w:type="dxa"/>
            <w:shd w:val="clear" w:color="auto" w:fill="4472C4"/>
            <w:vAlign w:val="center"/>
          </w:tcPr>
          <w:p w14:paraId="232E6DF7" w14:textId="77777777" w:rsidR="00990B14" w:rsidRDefault="00000000">
            <w:pPr>
              <w:keepNext/>
              <w:spacing w:before="20" w:after="20"/>
              <w:jc w:val="center"/>
            </w:pPr>
            <w:r>
              <w:rPr>
                <w:b/>
                <w:bCs/>
                <w:i/>
                <w:iCs/>
                <w:color w:val="FFFFFF"/>
                <w:sz w:val="18"/>
                <w:szCs w:val="18"/>
              </w:rPr>
              <w:t>100%</w:t>
            </w:r>
          </w:p>
        </w:tc>
      </w:tr>
    </w:tbl>
    <w:p w14:paraId="171B08D7"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9405"/>
      </w:tblGrid>
      <w:tr w:rsidR="00990B14" w14:paraId="0AF46B45" w14:textId="77777777">
        <w:trPr>
          <w:jc w:val="center"/>
        </w:trPr>
        <w:tc>
          <w:tcPr>
            <w:tcW w:w="9405" w:type="dxa"/>
            <w:shd w:val="clear" w:color="auto" w:fill="D9E2F3"/>
          </w:tcPr>
          <w:p w14:paraId="032EEAF6" w14:textId="77777777" w:rsidR="00990B14" w:rsidRDefault="00000000">
            <w:pPr>
              <w:spacing w:before="40" w:after="40"/>
              <w:jc w:val="both"/>
            </w:pPr>
            <w:r>
              <w:rPr>
                <w:b/>
                <w:bCs/>
                <w:i/>
                <w:iCs/>
                <w:sz w:val="18"/>
                <w:szCs w:val="18"/>
              </w:rPr>
              <w:t>Bibliografía básica:</w:t>
            </w:r>
          </w:p>
          <w:p w14:paraId="39F8A474" w14:textId="77777777" w:rsidR="00990B14" w:rsidRDefault="00000000">
            <w:pPr>
              <w:numPr>
                <w:ilvl w:val="0"/>
                <w:numId w:val="140"/>
              </w:numPr>
              <w:spacing w:after="20"/>
              <w:jc w:val="both"/>
            </w:pPr>
            <w:r>
              <w:rPr>
                <w:sz w:val="18"/>
                <w:szCs w:val="18"/>
              </w:rPr>
              <w:t>Aduana Nacional. Cartillas y textos informativos de procedimientos aduaneros.</w:t>
            </w:r>
          </w:p>
          <w:p w14:paraId="12C9BBC1" w14:textId="77777777" w:rsidR="00990B14" w:rsidRDefault="00000000">
            <w:pPr>
              <w:numPr>
                <w:ilvl w:val="0"/>
                <w:numId w:val="140"/>
              </w:numPr>
              <w:spacing w:after="20"/>
              <w:jc w:val="both"/>
            </w:pPr>
            <w:r>
              <w:rPr>
                <w:sz w:val="18"/>
                <w:szCs w:val="18"/>
              </w:rPr>
              <w:t>Autoridad de Impugnación Tributaria. Guía para la presentación de los recursos de alzada y jerárquico.</w:t>
            </w:r>
          </w:p>
          <w:p w14:paraId="60349BC6" w14:textId="77777777" w:rsidR="00990B14" w:rsidRDefault="00000000">
            <w:pPr>
              <w:numPr>
                <w:ilvl w:val="0"/>
                <w:numId w:val="140"/>
              </w:numPr>
              <w:spacing w:after="20"/>
              <w:jc w:val="both"/>
            </w:pPr>
            <w:r>
              <w:rPr>
                <w:sz w:val="18"/>
                <w:szCs w:val="18"/>
              </w:rPr>
              <w:t xml:space="preserve">Benítez Rivas, A. (2009). </w:t>
            </w:r>
            <w:r>
              <w:rPr>
                <w:i/>
                <w:iCs/>
                <w:sz w:val="18"/>
                <w:szCs w:val="18"/>
              </w:rPr>
              <w:t>Derecho Tributario</w:t>
            </w:r>
            <w:r>
              <w:rPr>
                <w:sz w:val="18"/>
                <w:szCs w:val="18"/>
              </w:rPr>
              <w:t>. La Paz: Editorial Central Gráfica S.R.L.</w:t>
            </w:r>
          </w:p>
          <w:p w14:paraId="5D48F1C4" w14:textId="77777777" w:rsidR="00990B14" w:rsidRDefault="00000000">
            <w:pPr>
              <w:numPr>
                <w:ilvl w:val="0"/>
                <w:numId w:val="140"/>
              </w:numPr>
              <w:spacing w:after="20"/>
              <w:jc w:val="both"/>
            </w:pPr>
            <w:r>
              <w:rPr>
                <w:sz w:val="18"/>
                <w:szCs w:val="18"/>
              </w:rPr>
              <w:t>Compendio de Resoluciones Normativas de Directorio del Servicio de Impuestos Nacionales.</w:t>
            </w:r>
          </w:p>
          <w:p w14:paraId="526FC930" w14:textId="77777777" w:rsidR="00990B14" w:rsidRDefault="00000000">
            <w:pPr>
              <w:numPr>
                <w:ilvl w:val="0"/>
                <w:numId w:val="140"/>
              </w:numPr>
              <w:spacing w:after="20"/>
              <w:jc w:val="both"/>
            </w:pPr>
            <w:r>
              <w:rPr>
                <w:sz w:val="18"/>
                <w:szCs w:val="18"/>
              </w:rPr>
              <w:t>Constitución Política del Estado, de 7 de febrero de 2009, Gaceta Oficial de Bolivia.</w:t>
            </w:r>
          </w:p>
          <w:p w14:paraId="2586203D" w14:textId="77777777" w:rsidR="00990B14" w:rsidRDefault="00000000">
            <w:pPr>
              <w:numPr>
                <w:ilvl w:val="0"/>
                <w:numId w:val="140"/>
              </w:numPr>
              <w:spacing w:after="20"/>
              <w:jc w:val="both"/>
            </w:pPr>
            <w:r>
              <w:rPr>
                <w:sz w:val="18"/>
                <w:szCs w:val="18"/>
              </w:rPr>
              <w:t>Decreto Supremo N.º 5646, de 29 de junio de 2026, de reducción del Gravamen Arancelario.</w:t>
            </w:r>
          </w:p>
          <w:p w14:paraId="258F89EC" w14:textId="77777777" w:rsidR="00990B14" w:rsidRDefault="00000000">
            <w:pPr>
              <w:numPr>
                <w:ilvl w:val="0"/>
                <w:numId w:val="140"/>
              </w:numPr>
              <w:spacing w:after="20"/>
              <w:jc w:val="both"/>
            </w:pPr>
            <w:r>
              <w:rPr>
                <w:sz w:val="18"/>
                <w:szCs w:val="18"/>
              </w:rPr>
              <w:t>Ley General de Aduanas, Ley N.º 1990, de 28 de julio de 1999, y su decreto reglamentario, el Decreto Supremo N.º 25870, de 11 de agosto de 2000.</w:t>
            </w:r>
          </w:p>
          <w:p w14:paraId="0EAADA56" w14:textId="77777777" w:rsidR="00990B14" w:rsidRDefault="00000000">
            <w:pPr>
              <w:numPr>
                <w:ilvl w:val="0"/>
                <w:numId w:val="140"/>
              </w:numPr>
              <w:spacing w:after="20"/>
              <w:jc w:val="both"/>
            </w:pPr>
            <w:r>
              <w:rPr>
                <w:sz w:val="18"/>
                <w:szCs w:val="18"/>
              </w:rPr>
              <w:t>Ley N.º 031, de Autonomías y Descentralización, de 19 de julio de 2010.</w:t>
            </w:r>
          </w:p>
          <w:p w14:paraId="4B86C02D" w14:textId="77777777" w:rsidR="00990B14" w:rsidRDefault="00000000">
            <w:pPr>
              <w:numPr>
                <w:ilvl w:val="0"/>
                <w:numId w:val="140"/>
              </w:numPr>
              <w:spacing w:after="20"/>
              <w:jc w:val="both"/>
            </w:pPr>
            <w:r>
              <w:rPr>
                <w:sz w:val="18"/>
                <w:szCs w:val="18"/>
              </w:rPr>
              <w:t>Ley N.º 1448, de 25 de julio de 2022, que modifica el Código Tributario Boliviano y la Ley N.º 843.</w:t>
            </w:r>
          </w:p>
          <w:p w14:paraId="0B875B43" w14:textId="77777777" w:rsidR="00990B14" w:rsidRDefault="00000000">
            <w:pPr>
              <w:numPr>
                <w:ilvl w:val="0"/>
                <w:numId w:val="140"/>
              </w:numPr>
              <w:spacing w:after="20"/>
              <w:jc w:val="both"/>
            </w:pPr>
            <w:r>
              <w:rPr>
                <w:sz w:val="18"/>
                <w:szCs w:val="18"/>
              </w:rPr>
              <w:t>Ley N.º 1733, de 27 de mayo de 2026, de alivio tributario, condonación y regularización tributaria.</w:t>
            </w:r>
          </w:p>
          <w:p w14:paraId="62C4D5CE" w14:textId="77777777" w:rsidR="00990B14" w:rsidRDefault="00000000">
            <w:pPr>
              <w:numPr>
                <w:ilvl w:val="0"/>
                <w:numId w:val="140"/>
              </w:numPr>
              <w:spacing w:after="20"/>
              <w:jc w:val="both"/>
            </w:pPr>
            <w:r>
              <w:rPr>
                <w:sz w:val="18"/>
                <w:szCs w:val="18"/>
              </w:rPr>
              <w:t>Ley N.º 2492, de 2 de agosto de 2003, Código Tributario Boliviano, texto ordenado y actualizado con las modificaciones de las Leyes N.º 812, N.º 1448 y N.º 1733.</w:t>
            </w:r>
          </w:p>
          <w:p w14:paraId="344B3014" w14:textId="77777777" w:rsidR="00990B14" w:rsidRDefault="00000000">
            <w:pPr>
              <w:numPr>
                <w:ilvl w:val="0"/>
                <w:numId w:val="140"/>
              </w:numPr>
              <w:spacing w:after="20"/>
              <w:jc w:val="both"/>
            </w:pPr>
            <w:r>
              <w:rPr>
                <w:sz w:val="18"/>
                <w:szCs w:val="18"/>
              </w:rPr>
              <w:t>Ley N.º 3092, de 7 de julio de 2005, que incorpora el Título V al Código Tributario Boliviano, de la impugnación tributaria.</w:t>
            </w:r>
          </w:p>
          <w:p w14:paraId="43804CDA" w14:textId="77777777" w:rsidR="00990B14" w:rsidRDefault="00000000">
            <w:pPr>
              <w:numPr>
                <w:ilvl w:val="0"/>
                <w:numId w:val="140"/>
              </w:numPr>
              <w:spacing w:after="20"/>
              <w:jc w:val="both"/>
            </w:pPr>
            <w:r>
              <w:rPr>
                <w:sz w:val="18"/>
                <w:szCs w:val="18"/>
              </w:rPr>
              <w:t>Ley N.º 843, de 20 de mayo de 1986, texto ordenado vigente por el Decreto Supremo N.º 27947, de 20 de diciembre de 2004.</w:t>
            </w:r>
          </w:p>
          <w:p w14:paraId="2C111C04" w14:textId="77777777" w:rsidR="00990B14" w:rsidRDefault="00000000">
            <w:pPr>
              <w:numPr>
                <w:ilvl w:val="0"/>
                <w:numId w:val="140"/>
              </w:numPr>
              <w:spacing w:after="20"/>
              <w:jc w:val="both"/>
            </w:pPr>
            <w:r>
              <w:rPr>
                <w:sz w:val="18"/>
                <w:szCs w:val="18"/>
              </w:rPr>
              <w:t>Servicio de Impuestos Nacionales. Cartillas y textos informativos de procedimientos tributarios.</w:t>
            </w:r>
          </w:p>
          <w:p w14:paraId="276C909C" w14:textId="77777777" w:rsidR="00990B14" w:rsidRDefault="00000000">
            <w:pPr>
              <w:numPr>
                <w:ilvl w:val="0"/>
                <w:numId w:val="140"/>
              </w:numPr>
              <w:spacing w:after="20"/>
              <w:jc w:val="both"/>
            </w:pPr>
            <w:r>
              <w:rPr>
                <w:sz w:val="18"/>
                <w:szCs w:val="18"/>
              </w:rPr>
              <w:t xml:space="preserve">Valdez, J. (2012). </w:t>
            </w:r>
            <w:r>
              <w:rPr>
                <w:i/>
                <w:iCs/>
                <w:sz w:val="18"/>
                <w:szCs w:val="18"/>
              </w:rPr>
              <w:t>El sistema tributario boliviano y las normas internacionales de información financiera</w:t>
            </w:r>
            <w:r>
              <w:rPr>
                <w:sz w:val="18"/>
                <w:szCs w:val="18"/>
              </w:rPr>
              <w:t>. La Paz, Bolivia: Editorial Cuatro Hermanos.</w:t>
            </w:r>
          </w:p>
        </w:tc>
      </w:tr>
      <w:tr w:rsidR="00990B14" w14:paraId="049019A1" w14:textId="77777777">
        <w:trPr>
          <w:jc w:val="center"/>
        </w:trPr>
        <w:tc>
          <w:tcPr>
            <w:tcW w:w="9405" w:type="dxa"/>
            <w:shd w:val="clear" w:color="auto" w:fill="D9E2F3"/>
          </w:tcPr>
          <w:p w14:paraId="5DC3EB30" w14:textId="77777777" w:rsidR="00990B14" w:rsidRDefault="00000000">
            <w:pPr>
              <w:spacing w:before="40" w:after="40"/>
              <w:jc w:val="both"/>
            </w:pPr>
            <w:r>
              <w:rPr>
                <w:b/>
                <w:bCs/>
                <w:i/>
                <w:iCs/>
                <w:sz w:val="18"/>
                <w:szCs w:val="18"/>
              </w:rPr>
              <w:t>Bibliografía complementaria:</w:t>
            </w:r>
          </w:p>
          <w:p w14:paraId="40228853" w14:textId="77777777" w:rsidR="00990B14" w:rsidRDefault="00000000">
            <w:pPr>
              <w:numPr>
                <w:ilvl w:val="0"/>
                <w:numId w:val="140"/>
              </w:numPr>
              <w:spacing w:after="20"/>
              <w:jc w:val="both"/>
            </w:pPr>
            <w:r>
              <w:rPr>
                <w:sz w:val="18"/>
                <w:szCs w:val="18"/>
              </w:rPr>
              <w:t xml:space="preserve">Altamirano, A. (2012). </w:t>
            </w:r>
            <w:r>
              <w:rPr>
                <w:i/>
                <w:iCs/>
                <w:sz w:val="18"/>
                <w:szCs w:val="18"/>
              </w:rPr>
              <w:t>Derecho tributario teoría general</w:t>
            </w:r>
            <w:r>
              <w:rPr>
                <w:sz w:val="18"/>
                <w:szCs w:val="18"/>
              </w:rPr>
              <w:t>. Buenos Aires: Editorial Marcial Pons.</w:t>
            </w:r>
          </w:p>
          <w:p w14:paraId="07D4A39C" w14:textId="77777777" w:rsidR="00990B14" w:rsidRDefault="00000000">
            <w:pPr>
              <w:numPr>
                <w:ilvl w:val="0"/>
                <w:numId w:val="140"/>
              </w:numPr>
              <w:spacing w:after="20"/>
              <w:jc w:val="both"/>
            </w:pPr>
            <w:r>
              <w:rPr>
                <w:sz w:val="18"/>
                <w:szCs w:val="18"/>
              </w:rPr>
              <w:t xml:space="preserve">Bertaza, H. y Marconi, N. (2010). </w:t>
            </w:r>
            <w:r>
              <w:rPr>
                <w:i/>
                <w:iCs/>
                <w:sz w:val="18"/>
                <w:szCs w:val="18"/>
              </w:rPr>
              <w:t>Tratado de derecho penal tributario</w:t>
            </w:r>
            <w:r>
              <w:rPr>
                <w:sz w:val="18"/>
                <w:szCs w:val="18"/>
              </w:rPr>
              <w:t>. Buenos Aires: La Ley, 3 tomos.</w:t>
            </w:r>
          </w:p>
          <w:p w14:paraId="039547C8" w14:textId="77777777" w:rsidR="00990B14" w:rsidRDefault="00000000">
            <w:pPr>
              <w:numPr>
                <w:ilvl w:val="0"/>
                <w:numId w:val="140"/>
              </w:numPr>
              <w:spacing w:after="20"/>
              <w:jc w:val="both"/>
            </w:pPr>
            <w:r>
              <w:rPr>
                <w:sz w:val="18"/>
                <w:szCs w:val="18"/>
              </w:rPr>
              <w:t xml:space="preserve">Braccia, M. F. (2016). </w:t>
            </w:r>
            <w:r>
              <w:rPr>
                <w:i/>
                <w:iCs/>
                <w:sz w:val="18"/>
                <w:szCs w:val="18"/>
              </w:rPr>
              <w:t>Derecho Internacional Tributario</w:t>
            </w:r>
            <w:r>
              <w:rPr>
                <w:sz w:val="18"/>
                <w:szCs w:val="18"/>
              </w:rPr>
              <w:t>. Buenos Aires: Editorial La Ley.</w:t>
            </w:r>
          </w:p>
          <w:p w14:paraId="10EF684D" w14:textId="77777777" w:rsidR="00990B14" w:rsidRDefault="00000000">
            <w:pPr>
              <w:numPr>
                <w:ilvl w:val="0"/>
                <w:numId w:val="140"/>
              </w:numPr>
              <w:spacing w:after="20"/>
              <w:jc w:val="both"/>
            </w:pPr>
            <w:r>
              <w:rPr>
                <w:sz w:val="18"/>
                <w:szCs w:val="18"/>
              </w:rPr>
              <w:t xml:space="preserve">Cámara de Comercio Internacional, ICC (2019). </w:t>
            </w:r>
            <w:r>
              <w:rPr>
                <w:i/>
                <w:iCs/>
                <w:sz w:val="18"/>
                <w:szCs w:val="18"/>
              </w:rPr>
              <w:t>Incoterms 2020</w:t>
            </w:r>
            <w:r>
              <w:rPr>
                <w:sz w:val="18"/>
                <w:szCs w:val="18"/>
              </w:rPr>
              <w:t>. París: ICC.</w:t>
            </w:r>
          </w:p>
          <w:p w14:paraId="4B80FEA1" w14:textId="77777777" w:rsidR="00990B14" w:rsidRDefault="00000000">
            <w:pPr>
              <w:numPr>
                <w:ilvl w:val="0"/>
                <w:numId w:val="140"/>
              </w:numPr>
              <w:spacing w:after="20"/>
              <w:jc w:val="both"/>
            </w:pPr>
            <w:r>
              <w:rPr>
                <w:sz w:val="18"/>
                <w:szCs w:val="18"/>
              </w:rPr>
              <w:t xml:space="preserve">Carvajal Contreras, M. (2009). </w:t>
            </w:r>
            <w:r>
              <w:rPr>
                <w:i/>
                <w:iCs/>
                <w:sz w:val="18"/>
                <w:szCs w:val="18"/>
              </w:rPr>
              <w:t>Derecho Aduanero</w:t>
            </w:r>
            <w:r>
              <w:rPr>
                <w:sz w:val="18"/>
                <w:szCs w:val="18"/>
              </w:rPr>
              <w:t>. México: Editorial Porrúa.</w:t>
            </w:r>
          </w:p>
          <w:p w14:paraId="2EB54A38" w14:textId="77777777" w:rsidR="00990B14" w:rsidRDefault="00000000">
            <w:pPr>
              <w:numPr>
                <w:ilvl w:val="0"/>
                <w:numId w:val="140"/>
              </w:numPr>
              <w:spacing w:after="20"/>
              <w:jc w:val="both"/>
            </w:pPr>
            <w:r>
              <w:rPr>
                <w:sz w:val="18"/>
                <w:szCs w:val="18"/>
              </w:rPr>
              <w:t>Comunidad Andina. Decisión 578, de 4 de mayo de 2004, Régimen para evitar la Doble Tributación y Prevenir la Evasión Fiscal.</w:t>
            </w:r>
          </w:p>
          <w:p w14:paraId="7BED171D" w14:textId="77777777" w:rsidR="00990B14" w:rsidRDefault="00000000">
            <w:pPr>
              <w:numPr>
                <w:ilvl w:val="0"/>
                <w:numId w:val="140"/>
              </w:numPr>
              <w:spacing w:after="20"/>
              <w:jc w:val="both"/>
            </w:pPr>
            <w:r>
              <w:rPr>
                <w:sz w:val="18"/>
                <w:szCs w:val="18"/>
              </w:rPr>
              <w:t>Decreto Supremo N.º 5211, de 28 de agosto de 2024, de la Ventanilla Única de Comercio Exterior.</w:t>
            </w:r>
          </w:p>
          <w:p w14:paraId="519CAC65" w14:textId="77777777" w:rsidR="00990B14" w:rsidRDefault="00000000">
            <w:pPr>
              <w:numPr>
                <w:ilvl w:val="0"/>
                <w:numId w:val="140"/>
              </w:numPr>
              <w:spacing w:after="20"/>
              <w:jc w:val="both"/>
            </w:pPr>
            <w:r>
              <w:rPr>
                <w:sz w:val="18"/>
                <w:szCs w:val="18"/>
              </w:rPr>
              <w:t xml:space="preserve">García Novoa, C. (2012). </w:t>
            </w:r>
            <w:r>
              <w:rPr>
                <w:i/>
                <w:iCs/>
                <w:sz w:val="18"/>
                <w:szCs w:val="18"/>
              </w:rPr>
              <w:t>El concepto de Tributo</w:t>
            </w:r>
            <w:r>
              <w:rPr>
                <w:sz w:val="18"/>
                <w:szCs w:val="18"/>
              </w:rPr>
              <w:t>. Buenos Aires: Editorial Marcial Pons.</w:t>
            </w:r>
          </w:p>
          <w:p w14:paraId="028E7816" w14:textId="77777777" w:rsidR="00990B14" w:rsidRDefault="00000000">
            <w:pPr>
              <w:numPr>
                <w:ilvl w:val="0"/>
                <w:numId w:val="140"/>
              </w:numPr>
              <w:spacing w:after="20"/>
              <w:jc w:val="both"/>
            </w:pPr>
            <w:r>
              <w:rPr>
                <w:sz w:val="18"/>
                <w:szCs w:val="18"/>
              </w:rPr>
              <w:t xml:space="preserve">Giuliani Fonrouge, C. (1970). </w:t>
            </w:r>
            <w:r>
              <w:rPr>
                <w:i/>
                <w:iCs/>
                <w:sz w:val="18"/>
                <w:szCs w:val="18"/>
              </w:rPr>
              <w:t>Derecho Financiero</w:t>
            </w:r>
            <w:r>
              <w:rPr>
                <w:sz w:val="18"/>
                <w:szCs w:val="18"/>
              </w:rPr>
              <w:t>. Buenos Aires: Depalma, T1 y T2.</w:t>
            </w:r>
          </w:p>
          <w:p w14:paraId="2EA18BDB" w14:textId="77777777" w:rsidR="00990B14" w:rsidRDefault="00000000">
            <w:pPr>
              <w:numPr>
                <w:ilvl w:val="0"/>
                <w:numId w:val="140"/>
              </w:numPr>
              <w:spacing w:after="20"/>
              <w:jc w:val="both"/>
            </w:pPr>
            <w:r>
              <w:rPr>
                <w:sz w:val="18"/>
                <w:szCs w:val="18"/>
              </w:rPr>
              <w:t>Ley N.º 1053, de 25 de abril de 2018, de Fortalecimiento de la Lucha contra el Contrabando.</w:t>
            </w:r>
          </w:p>
          <w:p w14:paraId="067F1C51" w14:textId="77777777" w:rsidR="00990B14" w:rsidRDefault="00000000">
            <w:pPr>
              <w:numPr>
                <w:ilvl w:val="0"/>
                <w:numId w:val="140"/>
              </w:numPr>
              <w:spacing w:after="20"/>
              <w:jc w:val="both"/>
            </w:pPr>
            <w:r>
              <w:rPr>
                <w:sz w:val="18"/>
                <w:szCs w:val="18"/>
              </w:rPr>
              <w:t>Ley N.º 154, de 14 de julio de 2011, de Clasificación y Definición de Impuestos y de Regulación para la Creación y/o Modificación de Impuestos de Dominio de los Gobiernos Autónomos.</w:t>
            </w:r>
          </w:p>
          <w:p w14:paraId="556E0C0B" w14:textId="77777777" w:rsidR="00990B14" w:rsidRDefault="00000000">
            <w:pPr>
              <w:numPr>
                <w:ilvl w:val="0"/>
                <w:numId w:val="140"/>
              </w:numPr>
              <w:spacing w:after="20"/>
              <w:jc w:val="both"/>
            </w:pPr>
            <w:r>
              <w:rPr>
                <w:sz w:val="18"/>
                <w:szCs w:val="18"/>
              </w:rPr>
              <w:t xml:space="preserve">Martín Queralt, J. (2009). </w:t>
            </w:r>
            <w:r>
              <w:rPr>
                <w:i/>
                <w:iCs/>
                <w:sz w:val="18"/>
                <w:szCs w:val="18"/>
              </w:rPr>
              <w:t>Curso de Derecho Financiero y Tributario</w:t>
            </w:r>
            <w:r>
              <w:rPr>
                <w:sz w:val="18"/>
                <w:szCs w:val="18"/>
              </w:rPr>
              <w:t>. Madrid: Editorial Tecnos.</w:t>
            </w:r>
          </w:p>
          <w:p w14:paraId="79D0D9CF" w14:textId="77777777" w:rsidR="00990B14" w:rsidRDefault="00000000">
            <w:pPr>
              <w:numPr>
                <w:ilvl w:val="0"/>
                <w:numId w:val="140"/>
              </w:numPr>
              <w:spacing w:after="20"/>
              <w:jc w:val="both"/>
            </w:pPr>
            <w:r>
              <w:rPr>
                <w:sz w:val="18"/>
                <w:szCs w:val="18"/>
              </w:rPr>
              <w:t xml:space="preserve">Martín, J. y Rodríguez Usé (2007). </w:t>
            </w:r>
            <w:r>
              <w:rPr>
                <w:i/>
                <w:iCs/>
                <w:sz w:val="18"/>
                <w:szCs w:val="18"/>
              </w:rPr>
              <w:t>Derecho Tributario General</w:t>
            </w:r>
            <w:r>
              <w:rPr>
                <w:sz w:val="18"/>
                <w:szCs w:val="18"/>
              </w:rPr>
              <w:t>. Buenos Aires: Editorial Lexis Nexis.</w:t>
            </w:r>
          </w:p>
          <w:p w14:paraId="5C40D5E8" w14:textId="77777777" w:rsidR="00990B14" w:rsidRDefault="00000000">
            <w:pPr>
              <w:numPr>
                <w:ilvl w:val="0"/>
                <w:numId w:val="140"/>
              </w:numPr>
              <w:spacing w:after="20"/>
              <w:jc w:val="both"/>
            </w:pPr>
            <w:r>
              <w:rPr>
                <w:sz w:val="18"/>
                <w:szCs w:val="18"/>
              </w:rPr>
              <w:t>Ministerio de Economía y Finanzas Públicas. Arancel Aduanero de Importaciones 2026, AAI-2026.</w:t>
            </w:r>
          </w:p>
          <w:p w14:paraId="3E5AFAED" w14:textId="77777777" w:rsidR="00990B14" w:rsidRDefault="00000000">
            <w:pPr>
              <w:numPr>
                <w:ilvl w:val="0"/>
                <w:numId w:val="140"/>
              </w:numPr>
              <w:spacing w:after="20"/>
              <w:jc w:val="both"/>
            </w:pPr>
            <w:r w:rsidRPr="00BD34F7">
              <w:rPr>
                <w:sz w:val="18"/>
                <w:szCs w:val="18"/>
                <w:lang w:val="en-US"/>
              </w:rPr>
              <w:t xml:space="preserve">Naciones Unidas (2021). </w:t>
            </w:r>
            <w:r w:rsidRPr="00BD34F7">
              <w:rPr>
                <w:i/>
                <w:iCs/>
                <w:sz w:val="18"/>
                <w:szCs w:val="18"/>
                <w:lang w:val="en-US"/>
              </w:rPr>
              <w:t>United Nations Model Double Taxation Convention between Developed and Developing Countries</w:t>
            </w:r>
            <w:r w:rsidRPr="00BD34F7">
              <w:rPr>
                <w:sz w:val="18"/>
                <w:szCs w:val="18"/>
                <w:lang w:val="en-US"/>
              </w:rPr>
              <w:t xml:space="preserve">. </w:t>
            </w:r>
            <w:r>
              <w:rPr>
                <w:sz w:val="18"/>
                <w:szCs w:val="18"/>
              </w:rPr>
              <w:t>Nueva York: Naciones Unidas.</w:t>
            </w:r>
          </w:p>
          <w:p w14:paraId="4359212D" w14:textId="77777777" w:rsidR="00990B14" w:rsidRDefault="00000000">
            <w:pPr>
              <w:numPr>
                <w:ilvl w:val="0"/>
                <w:numId w:val="140"/>
              </w:numPr>
              <w:spacing w:after="20"/>
              <w:jc w:val="both"/>
            </w:pPr>
            <w:r>
              <w:rPr>
                <w:sz w:val="18"/>
                <w:szCs w:val="18"/>
              </w:rPr>
              <w:t>Organización Mundial del Comercio. Acuerdo relativo a la aplicación del Artículo VII del Acuerdo General sobre Aranceles Aduaneros y Comercio de 1994, Acuerdo sobre Valoración en Aduana.</w:t>
            </w:r>
          </w:p>
          <w:p w14:paraId="4D5A9556" w14:textId="77777777" w:rsidR="00990B14" w:rsidRDefault="00000000">
            <w:pPr>
              <w:numPr>
                <w:ilvl w:val="0"/>
                <w:numId w:val="140"/>
              </w:numPr>
              <w:spacing w:after="20"/>
              <w:jc w:val="both"/>
            </w:pPr>
            <w:r>
              <w:rPr>
                <w:sz w:val="18"/>
                <w:szCs w:val="18"/>
              </w:rPr>
              <w:t xml:space="preserve">Organización para la Cooperación y el Desarrollo Económicos, OCDE (2017). </w:t>
            </w:r>
            <w:r w:rsidRPr="00BD34F7">
              <w:rPr>
                <w:i/>
                <w:iCs/>
                <w:sz w:val="18"/>
                <w:szCs w:val="18"/>
                <w:lang w:val="en-US"/>
              </w:rPr>
              <w:t>Model Tax Convention on Income and on Capital: Condensed Version 2017</w:t>
            </w:r>
            <w:r w:rsidRPr="00BD34F7">
              <w:rPr>
                <w:sz w:val="18"/>
                <w:szCs w:val="18"/>
                <w:lang w:val="en-US"/>
              </w:rPr>
              <w:t xml:space="preserve">. </w:t>
            </w:r>
            <w:r>
              <w:rPr>
                <w:sz w:val="18"/>
                <w:szCs w:val="18"/>
              </w:rPr>
              <w:t>París: OECD Publishing.</w:t>
            </w:r>
          </w:p>
          <w:p w14:paraId="271FE3DA" w14:textId="77777777" w:rsidR="00990B14" w:rsidRDefault="00000000">
            <w:pPr>
              <w:numPr>
                <w:ilvl w:val="0"/>
                <w:numId w:val="140"/>
              </w:numPr>
              <w:spacing w:after="20"/>
              <w:jc w:val="both"/>
            </w:pPr>
            <w:r>
              <w:rPr>
                <w:sz w:val="18"/>
                <w:szCs w:val="18"/>
              </w:rPr>
              <w:t xml:space="preserve">Plazas Vega, M. (2000). </w:t>
            </w:r>
            <w:r>
              <w:rPr>
                <w:i/>
                <w:iCs/>
                <w:sz w:val="18"/>
                <w:szCs w:val="18"/>
              </w:rPr>
              <w:t>Derecho de la Hacienda Pública y Derecho Tributario</w:t>
            </w:r>
            <w:r>
              <w:rPr>
                <w:sz w:val="18"/>
                <w:szCs w:val="18"/>
              </w:rPr>
              <w:t>. Bogotá: Temis.</w:t>
            </w:r>
          </w:p>
          <w:p w14:paraId="0D74F359" w14:textId="77777777" w:rsidR="00990B14" w:rsidRDefault="00000000">
            <w:pPr>
              <w:numPr>
                <w:ilvl w:val="0"/>
                <w:numId w:val="140"/>
              </w:numPr>
              <w:spacing w:after="20"/>
              <w:jc w:val="both"/>
            </w:pPr>
            <w:r>
              <w:rPr>
                <w:sz w:val="18"/>
                <w:szCs w:val="18"/>
              </w:rPr>
              <w:t>Servicio de Impuestos Nacionales. Resolución Normativa de Directorio N.º 102100000011, de 2021, del Sistema de Facturación en Línea.</w:t>
            </w:r>
          </w:p>
          <w:p w14:paraId="5AA845F1" w14:textId="77777777" w:rsidR="00990B14" w:rsidRDefault="00000000">
            <w:pPr>
              <w:numPr>
                <w:ilvl w:val="0"/>
                <w:numId w:val="140"/>
              </w:numPr>
              <w:spacing w:after="20"/>
              <w:jc w:val="both"/>
            </w:pPr>
            <w:r>
              <w:rPr>
                <w:sz w:val="18"/>
                <w:szCs w:val="18"/>
              </w:rPr>
              <w:t>Sitios web oficiales: www.impuestos.gob.bo, www.aduana.gob.bo, www.ait.gob.bo y www.vuce.gob.bo.</w:t>
            </w:r>
          </w:p>
        </w:tc>
      </w:tr>
    </w:tbl>
    <w:p w14:paraId="2733D842" w14:textId="77777777" w:rsidR="00990B14" w:rsidRDefault="00000000">
      <w:pPr>
        <w:pStyle w:val="TituloPlanAsignatura"/>
        <w:keepNext/>
        <w:pageBreakBefore/>
        <w:spacing w:after="120"/>
        <w:jc w:val="center"/>
        <w:outlineLvl w:val="2"/>
      </w:pPr>
      <w:bookmarkStart w:id="161" w:name="_Toc000000102"/>
      <w:r>
        <w:rPr>
          <w:b/>
          <w:bCs/>
          <w:sz w:val="24"/>
          <w:szCs w:val="24"/>
        </w:rPr>
        <w:t>ECO-201 Macroeconomía</w:t>
      </w:r>
      <w:bookmarkEnd w:id="161"/>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249"/>
        <w:gridCol w:w="1100"/>
        <w:gridCol w:w="149"/>
        <w:gridCol w:w="635"/>
        <w:gridCol w:w="615"/>
        <w:gridCol w:w="952"/>
        <w:gridCol w:w="298"/>
        <w:gridCol w:w="1250"/>
        <w:gridCol w:w="20"/>
        <w:gridCol w:w="385"/>
        <w:gridCol w:w="398"/>
        <w:gridCol w:w="447"/>
        <w:gridCol w:w="1907"/>
      </w:tblGrid>
      <w:tr w:rsidR="00990B14" w14:paraId="454DBD89" w14:textId="77777777">
        <w:trPr>
          <w:cantSplit/>
          <w:jc w:val="center"/>
        </w:trPr>
        <w:tc>
          <w:tcPr>
            <w:tcW w:w="2349" w:type="dxa"/>
            <w:gridSpan w:val="2"/>
            <w:shd w:val="clear" w:color="auto" w:fill="4472C4"/>
            <w:vAlign w:val="center"/>
          </w:tcPr>
          <w:p w14:paraId="0AFC1A3F" w14:textId="77777777" w:rsidR="00990B14" w:rsidRDefault="00000000">
            <w:pPr>
              <w:keepNext/>
              <w:spacing w:before="20" w:after="20"/>
              <w:jc w:val="center"/>
            </w:pPr>
            <w:r>
              <w:rPr>
                <w:b/>
                <w:bCs/>
                <w:i/>
                <w:iCs/>
                <w:color w:val="FFFFFF"/>
                <w:sz w:val="18"/>
                <w:szCs w:val="18"/>
              </w:rPr>
              <w:t>Asignatura</w:t>
            </w:r>
          </w:p>
        </w:tc>
        <w:tc>
          <w:tcPr>
            <w:tcW w:w="2351" w:type="dxa"/>
            <w:gridSpan w:val="4"/>
            <w:shd w:val="clear" w:color="auto" w:fill="4472C4"/>
            <w:vAlign w:val="center"/>
          </w:tcPr>
          <w:p w14:paraId="04879432" w14:textId="77777777" w:rsidR="00990B14" w:rsidRDefault="00000000">
            <w:pPr>
              <w:keepNext/>
              <w:spacing w:before="20" w:after="20"/>
              <w:jc w:val="center"/>
            </w:pPr>
            <w:r>
              <w:rPr>
                <w:b/>
                <w:bCs/>
                <w:i/>
                <w:iCs/>
                <w:color w:val="FFFFFF"/>
                <w:sz w:val="18"/>
                <w:szCs w:val="18"/>
              </w:rPr>
              <w:t>Sigla</w:t>
            </w:r>
          </w:p>
        </w:tc>
        <w:tc>
          <w:tcPr>
            <w:tcW w:w="2351" w:type="dxa"/>
            <w:gridSpan w:val="5"/>
            <w:shd w:val="clear" w:color="auto" w:fill="4472C4"/>
            <w:vAlign w:val="center"/>
          </w:tcPr>
          <w:p w14:paraId="604CE335" w14:textId="77777777" w:rsidR="00990B14" w:rsidRDefault="00000000">
            <w:pPr>
              <w:keepNext/>
              <w:spacing w:before="20" w:after="20"/>
              <w:jc w:val="center"/>
            </w:pPr>
            <w:r>
              <w:rPr>
                <w:b/>
                <w:bCs/>
                <w:i/>
                <w:iCs/>
                <w:color w:val="FFFFFF"/>
                <w:sz w:val="18"/>
                <w:szCs w:val="18"/>
              </w:rPr>
              <w:t>Nivel/Área</w:t>
            </w:r>
          </w:p>
        </w:tc>
        <w:tc>
          <w:tcPr>
            <w:tcW w:w="2354" w:type="dxa"/>
            <w:gridSpan w:val="2"/>
            <w:shd w:val="clear" w:color="auto" w:fill="4472C4"/>
            <w:vAlign w:val="center"/>
          </w:tcPr>
          <w:p w14:paraId="00B54611" w14:textId="77777777" w:rsidR="00990B14" w:rsidRDefault="00000000">
            <w:pPr>
              <w:keepNext/>
              <w:spacing w:before="20" w:after="20"/>
              <w:jc w:val="center"/>
            </w:pPr>
            <w:r>
              <w:rPr>
                <w:b/>
                <w:bCs/>
                <w:i/>
                <w:iCs/>
                <w:color w:val="FFFFFF"/>
                <w:sz w:val="18"/>
                <w:szCs w:val="18"/>
              </w:rPr>
              <w:t>Prerrequisito</w:t>
            </w:r>
          </w:p>
        </w:tc>
      </w:tr>
      <w:tr w:rsidR="00990B14" w14:paraId="6D99B3CC" w14:textId="77777777">
        <w:trPr>
          <w:cantSplit/>
          <w:jc w:val="center"/>
        </w:trPr>
        <w:tc>
          <w:tcPr>
            <w:tcW w:w="2349" w:type="dxa"/>
            <w:gridSpan w:val="2"/>
            <w:shd w:val="clear" w:color="auto" w:fill="D9E2F3"/>
            <w:vAlign w:val="center"/>
          </w:tcPr>
          <w:p w14:paraId="526D15EC" w14:textId="77777777" w:rsidR="00990B14" w:rsidRDefault="00000000">
            <w:pPr>
              <w:spacing w:before="20" w:after="20"/>
              <w:jc w:val="center"/>
            </w:pPr>
            <w:r>
              <w:rPr>
                <w:b/>
                <w:bCs/>
                <w:i/>
                <w:iCs/>
                <w:sz w:val="18"/>
                <w:szCs w:val="18"/>
              </w:rPr>
              <w:t>Macroeconomía</w:t>
            </w:r>
          </w:p>
        </w:tc>
        <w:tc>
          <w:tcPr>
            <w:tcW w:w="2351" w:type="dxa"/>
            <w:gridSpan w:val="4"/>
            <w:shd w:val="clear" w:color="auto" w:fill="D9E2F3"/>
            <w:vAlign w:val="center"/>
          </w:tcPr>
          <w:p w14:paraId="3DEEEC48" w14:textId="77777777" w:rsidR="00990B14" w:rsidRDefault="00000000">
            <w:pPr>
              <w:spacing w:before="20" w:after="20"/>
              <w:jc w:val="center"/>
            </w:pPr>
            <w:r>
              <w:rPr>
                <w:b/>
                <w:bCs/>
                <w:i/>
                <w:iCs/>
                <w:sz w:val="18"/>
                <w:szCs w:val="18"/>
              </w:rPr>
              <w:t>ECO-201</w:t>
            </w:r>
          </w:p>
        </w:tc>
        <w:tc>
          <w:tcPr>
            <w:tcW w:w="2351" w:type="dxa"/>
            <w:gridSpan w:val="5"/>
            <w:shd w:val="clear" w:color="auto" w:fill="D9E2F3"/>
            <w:vAlign w:val="center"/>
          </w:tcPr>
          <w:p w14:paraId="11EB4F11" w14:textId="77777777" w:rsidR="00990B14" w:rsidRDefault="00000000">
            <w:pPr>
              <w:spacing w:before="20" w:after="20"/>
              <w:jc w:val="center"/>
            </w:pPr>
            <w:r>
              <w:rPr>
                <w:b/>
                <w:bCs/>
                <w:i/>
                <w:iCs/>
                <w:sz w:val="18"/>
                <w:szCs w:val="18"/>
              </w:rPr>
              <w:t>Economía</w:t>
            </w:r>
          </w:p>
        </w:tc>
        <w:tc>
          <w:tcPr>
            <w:tcW w:w="2354" w:type="dxa"/>
            <w:gridSpan w:val="2"/>
            <w:shd w:val="clear" w:color="auto" w:fill="D9E2F3"/>
            <w:vAlign w:val="center"/>
          </w:tcPr>
          <w:p w14:paraId="0B44E88A" w14:textId="77777777" w:rsidR="00990B14" w:rsidRDefault="00000000">
            <w:pPr>
              <w:spacing w:before="20" w:after="20"/>
              <w:jc w:val="center"/>
            </w:pPr>
            <w:r>
              <w:rPr>
                <w:b/>
                <w:bCs/>
                <w:i/>
                <w:iCs/>
                <w:sz w:val="18"/>
                <w:szCs w:val="18"/>
              </w:rPr>
              <w:t>ECO-101</w:t>
            </w:r>
          </w:p>
        </w:tc>
      </w:tr>
      <w:tr w:rsidR="00990B14" w14:paraId="62D3C6F6" w14:textId="77777777">
        <w:trPr>
          <w:cantSplit/>
          <w:jc w:val="center"/>
        </w:trPr>
        <w:tc>
          <w:tcPr>
            <w:tcW w:w="7498" w:type="dxa"/>
            <w:gridSpan w:val="12"/>
            <w:shd w:val="clear" w:color="auto" w:fill="4472C4"/>
            <w:vAlign w:val="center"/>
          </w:tcPr>
          <w:p w14:paraId="3C9385C2" w14:textId="77777777" w:rsidR="00990B14" w:rsidRDefault="00000000">
            <w:pPr>
              <w:keepNext/>
              <w:spacing w:before="20" w:after="20"/>
              <w:jc w:val="center"/>
            </w:pPr>
            <w:r>
              <w:rPr>
                <w:b/>
                <w:bCs/>
                <w:i/>
                <w:iCs/>
                <w:color w:val="FFFFFF"/>
                <w:sz w:val="18"/>
                <w:szCs w:val="18"/>
              </w:rPr>
              <w:t>Carga Horaria</w:t>
            </w:r>
          </w:p>
        </w:tc>
        <w:tc>
          <w:tcPr>
            <w:tcW w:w="1907" w:type="dxa"/>
            <w:shd w:val="clear" w:color="auto" w:fill="4472C4"/>
            <w:vAlign w:val="center"/>
          </w:tcPr>
          <w:p w14:paraId="027F25A4" w14:textId="77777777" w:rsidR="00990B14" w:rsidRDefault="00000000">
            <w:pPr>
              <w:keepNext/>
              <w:spacing w:before="20" w:after="20"/>
              <w:jc w:val="center"/>
            </w:pPr>
            <w:r>
              <w:rPr>
                <w:b/>
                <w:bCs/>
                <w:i/>
                <w:iCs/>
                <w:color w:val="FFFFFF"/>
                <w:sz w:val="18"/>
                <w:szCs w:val="18"/>
              </w:rPr>
              <w:t>Créditos</w:t>
            </w:r>
          </w:p>
        </w:tc>
      </w:tr>
      <w:tr w:rsidR="00990B14" w14:paraId="39DAA953" w14:textId="77777777">
        <w:trPr>
          <w:cantSplit/>
          <w:jc w:val="center"/>
        </w:trPr>
        <w:tc>
          <w:tcPr>
            <w:tcW w:w="1249" w:type="dxa"/>
            <w:shd w:val="clear" w:color="auto" w:fill="4472C4"/>
            <w:vAlign w:val="center"/>
          </w:tcPr>
          <w:p w14:paraId="7184C906" w14:textId="77777777" w:rsidR="00990B14" w:rsidRDefault="00000000">
            <w:pPr>
              <w:keepNext/>
              <w:spacing w:before="20" w:after="20"/>
              <w:jc w:val="center"/>
            </w:pPr>
            <w:r>
              <w:rPr>
                <w:b/>
                <w:bCs/>
                <w:i/>
                <w:iCs/>
                <w:color w:val="FFFFFF"/>
                <w:sz w:val="18"/>
                <w:szCs w:val="18"/>
              </w:rPr>
              <w:t>HP</w:t>
            </w:r>
          </w:p>
        </w:tc>
        <w:tc>
          <w:tcPr>
            <w:tcW w:w="1249" w:type="dxa"/>
            <w:gridSpan w:val="2"/>
            <w:shd w:val="clear" w:color="auto" w:fill="4472C4"/>
            <w:vAlign w:val="center"/>
          </w:tcPr>
          <w:p w14:paraId="0E20CD1D" w14:textId="77777777" w:rsidR="00990B14" w:rsidRDefault="00000000">
            <w:pPr>
              <w:keepNext/>
              <w:spacing w:before="20" w:after="20"/>
              <w:jc w:val="center"/>
            </w:pPr>
            <w:r>
              <w:rPr>
                <w:b/>
                <w:bCs/>
                <w:i/>
                <w:iCs/>
                <w:color w:val="FFFFFF"/>
                <w:sz w:val="18"/>
                <w:szCs w:val="18"/>
              </w:rPr>
              <w:t>HAA</w:t>
            </w:r>
          </w:p>
        </w:tc>
        <w:tc>
          <w:tcPr>
            <w:tcW w:w="1250" w:type="dxa"/>
            <w:gridSpan w:val="2"/>
            <w:shd w:val="clear" w:color="auto" w:fill="4472C4"/>
            <w:vAlign w:val="center"/>
          </w:tcPr>
          <w:p w14:paraId="1B699499" w14:textId="77777777" w:rsidR="00990B14" w:rsidRDefault="00000000">
            <w:pPr>
              <w:keepNext/>
              <w:spacing w:before="20" w:after="20"/>
              <w:jc w:val="center"/>
            </w:pPr>
            <w:r>
              <w:rPr>
                <w:b/>
                <w:bCs/>
                <w:i/>
                <w:iCs/>
                <w:color w:val="FFFFFF"/>
                <w:sz w:val="18"/>
                <w:szCs w:val="18"/>
              </w:rPr>
              <w:t>HTG</w:t>
            </w:r>
          </w:p>
        </w:tc>
        <w:tc>
          <w:tcPr>
            <w:tcW w:w="1250" w:type="dxa"/>
            <w:gridSpan w:val="2"/>
            <w:shd w:val="clear" w:color="auto" w:fill="4472C4"/>
            <w:vAlign w:val="center"/>
          </w:tcPr>
          <w:p w14:paraId="3C767ADD" w14:textId="77777777" w:rsidR="00990B14" w:rsidRDefault="00000000">
            <w:pPr>
              <w:keepNext/>
              <w:spacing w:before="20" w:after="20"/>
              <w:jc w:val="center"/>
            </w:pPr>
            <w:r>
              <w:rPr>
                <w:b/>
                <w:bCs/>
                <w:i/>
                <w:iCs/>
                <w:color w:val="FFFFFF"/>
                <w:sz w:val="18"/>
                <w:szCs w:val="18"/>
              </w:rPr>
              <w:t>HIP</w:t>
            </w:r>
          </w:p>
        </w:tc>
        <w:tc>
          <w:tcPr>
            <w:tcW w:w="1250" w:type="dxa"/>
            <w:shd w:val="clear" w:color="auto" w:fill="4472C4"/>
            <w:vAlign w:val="center"/>
          </w:tcPr>
          <w:p w14:paraId="28543C7D" w14:textId="77777777" w:rsidR="00990B14" w:rsidRDefault="00000000">
            <w:pPr>
              <w:keepNext/>
              <w:spacing w:before="20" w:after="20"/>
              <w:jc w:val="center"/>
            </w:pPr>
            <w:r>
              <w:rPr>
                <w:b/>
                <w:bCs/>
                <w:i/>
                <w:iCs/>
                <w:color w:val="FFFFFF"/>
                <w:sz w:val="18"/>
                <w:szCs w:val="18"/>
              </w:rPr>
              <w:t>HE</w:t>
            </w:r>
          </w:p>
        </w:tc>
        <w:tc>
          <w:tcPr>
            <w:tcW w:w="1250" w:type="dxa"/>
            <w:gridSpan w:val="4"/>
            <w:shd w:val="clear" w:color="auto" w:fill="4472C4"/>
            <w:vAlign w:val="center"/>
          </w:tcPr>
          <w:p w14:paraId="42A156D6" w14:textId="77777777" w:rsidR="00990B14" w:rsidRDefault="00000000">
            <w:pPr>
              <w:keepNext/>
              <w:spacing w:before="20" w:after="20"/>
              <w:jc w:val="center"/>
            </w:pPr>
            <w:r>
              <w:rPr>
                <w:b/>
                <w:bCs/>
                <w:i/>
                <w:iCs/>
                <w:color w:val="FFFFFF"/>
                <w:sz w:val="18"/>
                <w:szCs w:val="18"/>
              </w:rPr>
              <w:t>TOTAL</w:t>
            </w:r>
          </w:p>
        </w:tc>
        <w:tc>
          <w:tcPr>
            <w:tcW w:w="1907" w:type="dxa"/>
            <w:vMerge w:val="restart"/>
            <w:shd w:val="clear" w:color="auto" w:fill="D9E2F3"/>
            <w:vAlign w:val="center"/>
          </w:tcPr>
          <w:p w14:paraId="428D17E6" w14:textId="77777777" w:rsidR="00990B14" w:rsidRDefault="00000000">
            <w:pPr>
              <w:spacing w:before="20" w:after="20"/>
              <w:jc w:val="center"/>
            </w:pPr>
            <w:r>
              <w:rPr>
                <w:sz w:val="18"/>
                <w:szCs w:val="18"/>
              </w:rPr>
              <w:t>8</w:t>
            </w:r>
          </w:p>
        </w:tc>
      </w:tr>
      <w:tr w:rsidR="00990B14" w14:paraId="03890421" w14:textId="77777777">
        <w:trPr>
          <w:cantSplit/>
          <w:jc w:val="center"/>
        </w:trPr>
        <w:tc>
          <w:tcPr>
            <w:tcW w:w="1249" w:type="dxa"/>
            <w:shd w:val="clear" w:color="auto" w:fill="D9E2F3"/>
            <w:vAlign w:val="center"/>
          </w:tcPr>
          <w:p w14:paraId="149E95AB" w14:textId="77777777" w:rsidR="00990B14" w:rsidRDefault="00000000">
            <w:pPr>
              <w:spacing w:before="20" w:after="20"/>
              <w:jc w:val="center"/>
            </w:pPr>
            <w:r>
              <w:rPr>
                <w:sz w:val="18"/>
                <w:szCs w:val="18"/>
              </w:rPr>
              <w:t>160</w:t>
            </w:r>
          </w:p>
        </w:tc>
        <w:tc>
          <w:tcPr>
            <w:tcW w:w="1249" w:type="dxa"/>
            <w:gridSpan w:val="2"/>
            <w:shd w:val="clear" w:color="auto" w:fill="D9E2F3"/>
            <w:vAlign w:val="center"/>
          </w:tcPr>
          <w:p w14:paraId="22E083A9" w14:textId="77777777" w:rsidR="00990B14" w:rsidRDefault="00000000">
            <w:pPr>
              <w:spacing w:before="20" w:after="20"/>
              <w:jc w:val="center"/>
            </w:pPr>
            <w:r>
              <w:rPr>
                <w:sz w:val="18"/>
                <w:szCs w:val="18"/>
              </w:rPr>
              <w:t>16</w:t>
            </w:r>
          </w:p>
        </w:tc>
        <w:tc>
          <w:tcPr>
            <w:tcW w:w="1250" w:type="dxa"/>
            <w:gridSpan w:val="2"/>
            <w:shd w:val="clear" w:color="auto" w:fill="D9E2F3"/>
            <w:vAlign w:val="center"/>
          </w:tcPr>
          <w:p w14:paraId="1A27A943" w14:textId="77777777" w:rsidR="00990B14" w:rsidRDefault="00000000">
            <w:pPr>
              <w:spacing w:before="20" w:after="20"/>
              <w:jc w:val="center"/>
            </w:pPr>
            <w:r>
              <w:rPr>
                <w:sz w:val="18"/>
                <w:szCs w:val="18"/>
              </w:rPr>
              <w:t>16</w:t>
            </w:r>
          </w:p>
        </w:tc>
        <w:tc>
          <w:tcPr>
            <w:tcW w:w="1250" w:type="dxa"/>
            <w:gridSpan w:val="2"/>
            <w:shd w:val="clear" w:color="auto" w:fill="D9E2F3"/>
            <w:vAlign w:val="center"/>
          </w:tcPr>
          <w:p w14:paraId="7E953206" w14:textId="77777777" w:rsidR="00990B14" w:rsidRDefault="00000000">
            <w:pPr>
              <w:spacing w:before="20" w:after="20"/>
              <w:jc w:val="center"/>
            </w:pPr>
            <w:r>
              <w:rPr>
                <w:sz w:val="18"/>
                <w:szCs w:val="18"/>
              </w:rPr>
              <w:t>32</w:t>
            </w:r>
          </w:p>
        </w:tc>
        <w:tc>
          <w:tcPr>
            <w:tcW w:w="1250" w:type="dxa"/>
            <w:shd w:val="clear" w:color="auto" w:fill="D9E2F3"/>
            <w:vAlign w:val="center"/>
          </w:tcPr>
          <w:p w14:paraId="3CAD0358" w14:textId="77777777" w:rsidR="00990B14" w:rsidRDefault="00000000">
            <w:pPr>
              <w:spacing w:before="20" w:after="20"/>
              <w:jc w:val="center"/>
            </w:pPr>
            <w:r>
              <w:rPr>
                <w:sz w:val="18"/>
                <w:szCs w:val="18"/>
              </w:rPr>
              <w:t>16</w:t>
            </w:r>
          </w:p>
        </w:tc>
        <w:tc>
          <w:tcPr>
            <w:tcW w:w="1250" w:type="dxa"/>
            <w:gridSpan w:val="4"/>
            <w:shd w:val="clear" w:color="auto" w:fill="D9E2F3"/>
            <w:vAlign w:val="center"/>
          </w:tcPr>
          <w:p w14:paraId="546627DA" w14:textId="77777777" w:rsidR="00990B14" w:rsidRDefault="00000000">
            <w:pPr>
              <w:spacing w:before="20" w:after="20"/>
              <w:jc w:val="center"/>
            </w:pPr>
            <w:r>
              <w:rPr>
                <w:sz w:val="18"/>
                <w:szCs w:val="18"/>
              </w:rPr>
              <w:t>240</w:t>
            </w:r>
          </w:p>
        </w:tc>
        <w:tc>
          <w:tcPr>
            <w:tcW w:w="1907" w:type="dxa"/>
            <w:vMerge/>
            <w:shd w:val="clear" w:color="auto" w:fill="D9E2F3"/>
            <w:vAlign w:val="center"/>
          </w:tcPr>
          <w:p w14:paraId="6E13AAB6" w14:textId="77777777" w:rsidR="00990B14" w:rsidRDefault="00990B14">
            <w:pPr>
              <w:spacing w:before="20" w:after="20"/>
            </w:pPr>
          </w:p>
        </w:tc>
      </w:tr>
      <w:tr w:rsidR="00990B14" w14:paraId="775A553F" w14:textId="77777777">
        <w:trPr>
          <w:cantSplit/>
          <w:jc w:val="center"/>
        </w:trPr>
        <w:tc>
          <w:tcPr>
            <w:tcW w:w="9405" w:type="dxa"/>
            <w:gridSpan w:val="13"/>
            <w:shd w:val="clear" w:color="auto" w:fill="4472C4"/>
            <w:vAlign w:val="center"/>
          </w:tcPr>
          <w:p w14:paraId="3A700AC7" w14:textId="77777777" w:rsidR="00990B14" w:rsidRDefault="00000000">
            <w:pPr>
              <w:keepNext/>
              <w:spacing w:before="20" w:after="20"/>
              <w:jc w:val="center"/>
            </w:pPr>
            <w:r>
              <w:rPr>
                <w:b/>
                <w:bCs/>
                <w:i/>
                <w:iCs/>
                <w:color w:val="FFFFFF"/>
                <w:sz w:val="18"/>
                <w:szCs w:val="18"/>
              </w:rPr>
              <w:t>Unidad de Competencia</w:t>
            </w:r>
          </w:p>
        </w:tc>
      </w:tr>
      <w:tr w:rsidR="00990B14" w14:paraId="18EA4B43" w14:textId="77777777">
        <w:trPr>
          <w:cantSplit/>
          <w:jc w:val="center"/>
        </w:trPr>
        <w:tc>
          <w:tcPr>
            <w:tcW w:w="9405" w:type="dxa"/>
            <w:gridSpan w:val="13"/>
            <w:shd w:val="clear" w:color="auto" w:fill="D9E2F3"/>
            <w:vAlign w:val="center"/>
          </w:tcPr>
          <w:p w14:paraId="5F8553BC" w14:textId="77777777" w:rsidR="00990B14" w:rsidRDefault="00000000">
            <w:pPr>
              <w:spacing w:before="20" w:after="20"/>
              <w:jc w:val="both"/>
            </w:pPr>
            <w:r>
              <w:rPr>
                <w:sz w:val="18"/>
                <w:szCs w:val="18"/>
              </w:rPr>
              <w:t>Analiza el comportamiento de la economía boliviana en base a agregados macroeconómicos, del sector real, monetario y externo a través del modelo de equilibrio general, IS-LM y Mundell-Fleming, evaluando los efectos de la política fiscal, monetaria y externa con uso de estadísticas oficiales y hojas de cálculo, rigor cuantitativo, sentido crítico y ética en el manejo de la información.</w:t>
            </w:r>
          </w:p>
        </w:tc>
      </w:tr>
      <w:tr w:rsidR="00990B14" w14:paraId="4FB41C66" w14:textId="77777777">
        <w:trPr>
          <w:cantSplit/>
          <w:jc w:val="center"/>
        </w:trPr>
        <w:tc>
          <w:tcPr>
            <w:tcW w:w="9405" w:type="dxa"/>
            <w:gridSpan w:val="13"/>
            <w:shd w:val="clear" w:color="auto" w:fill="D9E2F3"/>
            <w:vAlign w:val="center"/>
          </w:tcPr>
          <w:p w14:paraId="6F55F565" w14:textId="77777777" w:rsidR="00990B14" w:rsidRDefault="00000000">
            <w:pPr>
              <w:spacing w:before="20" w:after="20"/>
              <w:jc w:val="both"/>
            </w:pPr>
            <w:r>
              <w:rPr>
                <w:b/>
                <w:bCs/>
                <w:i/>
                <w:iCs/>
                <w:sz w:val="18"/>
                <w:szCs w:val="18"/>
              </w:rPr>
              <w:t xml:space="preserve">Elemento de competencia 1: </w:t>
            </w:r>
            <w:r>
              <w:rPr>
                <w:sz w:val="18"/>
                <w:szCs w:val="18"/>
              </w:rPr>
              <w:t>Calcula los agregados macroeconómicos de una economía, deduciendo las funciones de consumo, ahorro e inversión y determinando el equilibrio macroeconómico en una economía cerrada.</w:t>
            </w:r>
          </w:p>
        </w:tc>
      </w:tr>
      <w:tr w:rsidR="00990B14" w14:paraId="006EEEF6" w14:textId="77777777">
        <w:trPr>
          <w:cantSplit/>
          <w:jc w:val="center"/>
        </w:trPr>
        <w:tc>
          <w:tcPr>
            <w:tcW w:w="3133" w:type="dxa"/>
            <w:gridSpan w:val="4"/>
            <w:shd w:val="clear" w:color="auto" w:fill="4472C4"/>
            <w:vAlign w:val="center"/>
          </w:tcPr>
          <w:p w14:paraId="4BB266DF"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16214F7B"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16F2ECB1" w14:textId="77777777" w:rsidR="00990B14" w:rsidRDefault="00000000">
            <w:pPr>
              <w:keepNext/>
              <w:spacing w:before="20" w:after="20"/>
              <w:jc w:val="center"/>
            </w:pPr>
            <w:r>
              <w:rPr>
                <w:b/>
                <w:bCs/>
                <w:i/>
                <w:iCs/>
                <w:color w:val="FFFFFF"/>
                <w:sz w:val="18"/>
                <w:szCs w:val="18"/>
              </w:rPr>
              <w:t>Evidencias de producto</w:t>
            </w:r>
          </w:p>
        </w:tc>
      </w:tr>
      <w:tr w:rsidR="00990B14" w14:paraId="0AB944CD" w14:textId="77777777">
        <w:trPr>
          <w:cantSplit/>
          <w:jc w:val="center"/>
        </w:trPr>
        <w:tc>
          <w:tcPr>
            <w:tcW w:w="3133" w:type="dxa"/>
            <w:gridSpan w:val="4"/>
            <w:vMerge w:val="restart"/>
            <w:shd w:val="clear" w:color="auto" w:fill="D9E2F3"/>
            <w:vAlign w:val="center"/>
          </w:tcPr>
          <w:p w14:paraId="3AD210BC" w14:textId="77777777" w:rsidR="00990B14" w:rsidRDefault="00000000">
            <w:pPr>
              <w:spacing w:before="20" w:after="20"/>
              <w:jc w:val="both"/>
            </w:pPr>
            <w:r>
              <w:rPr>
                <w:sz w:val="18"/>
                <w:szCs w:val="18"/>
              </w:rPr>
              <w:t>1. Calcula los agregados macroeconómicos de una economía con la tabla de deducción, los números índice y el deflactor implícito, valorando la fiabilidad de la fuente estadística.</w:t>
            </w:r>
          </w:p>
        </w:tc>
        <w:tc>
          <w:tcPr>
            <w:tcW w:w="3135" w:type="dxa"/>
            <w:gridSpan w:val="5"/>
            <w:shd w:val="clear" w:color="auto" w:fill="D9E2F3"/>
            <w:vAlign w:val="center"/>
          </w:tcPr>
          <w:p w14:paraId="27D8CD13" w14:textId="77777777" w:rsidR="00990B14" w:rsidRDefault="00000000">
            <w:pPr>
              <w:spacing w:before="20" w:after="20"/>
              <w:jc w:val="both"/>
            </w:pPr>
            <w:r>
              <w:rPr>
                <w:sz w:val="18"/>
                <w:szCs w:val="18"/>
              </w:rPr>
              <w:t>1.1 Calcula en aula los agregados macroeconómicos de una economía con la tabla de deducción y datos reales.</w:t>
            </w:r>
          </w:p>
        </w:tc>
        <w:tc>
          <w:tcPr>
            <w:tcW w:w="3137" w:type="dxa"/>
            <w:gridSpan w:val="4"/>
            <w:shd w:val="clear" w:color="auto" w:fill="D9E2F3"/>
            <w:vAlign w:val="center"/>
          </w:tcPr>
          <w:p w14:paraId="43400980" w14:textId="77777777" w:rsidR="00990B14" w:rsidRDefault="00000000">
            <w:pPr>
              <w:spacing w:before="20" w:after="20"/>
              <w:jc w:val="both"/>
            </w:pPr>
            <w:r>
              <w:rPr>
                <w:b/>
                <w:bCs/>
                <w:sz w:val="18"/>
                <w:szCs w:val="18"/>
              </w:rPr>
              <w:t xml:space="preserve">Producto 1: </w:t>
            </w:r>
            <w:r>
              <w:rPr>
                <w:sz w:val="18"/>
                <w:szCs w:val="18"/>
              </w:rPr>
              <w:t>Cuadro de agregados macroeconómicos con el PIB a precio constante y el deflactor implícito.</w:t>
            </w:r>
          </w:p>
        </w:tc>
      </w:tr>
      <w:tr w:rsidR="00990B14" w14:paraId="7A7A971F" w14:textId="77777777">
        <w:trPr>
          <w:cantSplit/>
          <w:jc w:val="center"/>
        </w:trPr>
        <w:tc>
          <w:tcPr>
            <w:tcW w:w="3133" w:type="dxa"/>
            <w:gridSpan w:val="4"/>
            <w:vMerge/>
            <w:shd w:val="clear" w:color="auto" w:fill="D9E2F3"/>
            <w:vAlign w:val="center"/>
          </w:tcPr>
          <w:p w14:paraId="00912306" w14:textId="77777777" w:rsidR="00990B14" w:rsidRDefault="00990B14">
            <w:pPr>
              <w:spacing w:before="20" w:after="20"/>
            </w:pPr>
          </w:p>
        </w:tc>
        <w:tc>
          <w:tcPr>
            <w:tcW w:w="3135" w:type="dxa"/>
            <w:gridSpan w:val="5"/>
            <w:shd w:val="clear" w:color="auto" w:fill="D9E2F3"/>
            <w:vAlign w:val="center"/>
          </w:tcPr>
          <w:p w14:paraId="5AF959A5" w14:textId="77777777" w:rsidR="00990B14" w:rsidRDefault="00000000">
            <w:pPr>
              <w:spacing w:before="20" w:after="20"/>
              <w:jc w:val="both"/>
            </w:pPr>
            <w:r>
              <w:rPr>
                <w:sz w:val="18"/>
                <w:szCs w:val="18"/>
              </w:rPr>
              <w:t>1.2 Examina en equipo una serie estadística oficial del PIB, identificando su fuente, su metodología y su año base.</w:t>
            </w:r>
          </w:p>
        </w:tc>
        <w:tc>
          <w:tcPr>
            <w:tcW w:w="3137" w:type="dxa"/>
            <w:gridSpan w:val="4"/>
            <w:shd w:val="clear" w:color="auto" w:fill="D9E2F3"/>
            <w:vAlign w:val="center"/>
          </w:tcPr>
          <w:p w14:paraId="2AF0FF30" w14:textId="77777777" w:rsidR="00990B14" w:rsidRDefault="00000000">
            <w:pPr>
              <w:spacing w:before="20" w:after="20"/>
              <w:jc w:val="both"/>
            </w:pPr>
            <w:r>
              <w:rPr>
                <w:b/>
                <w:bCs/>
                <w:sz w:val="18"/>
                <w:szCs w:val="18"/>
              </w:rPr>
              <w:t xml:space="preserve">Producto 2: </w:t>
            </w:r>
            <w:r>
              <w:rPr>
                <w:sz w:val="18"/>
                <w:szCs w:val="18"/>
              </w:rPr>
              <w:t>Ficha de evaluación de una serie estadística oficial.</w:t>
            </w:r>
          </w:p>
        </w:tc>
      </w:tr>
      <w:tr w:rsidR="00990B14" w14:paraId="7D1D9C88" w14:textId="77777777">
        <w:trPr>
          <w:cantSplit/>
          <w:jc w:val="center"/>
        </w:trPr>
        <w:tc>
          <w:tcPr>
            <w:tcW w:w="3133" w:type="dxa"/>
            <w:gridSpan w:val="4"/>
            <w:vMerge w:val="restart"/>
            <w:shd w:val="clear" w:color="auto" w:fill="D9E2F3"/>
            <w:vAlign w:val="center"/>
          </w:tcPr>
          <w:p w14:paraId="4C04736D" w14:textId="77777777" w:rsidR="00990B14" w:rsidRDefault="00000000">
            <w:pPr>
              <w:spacing w:before="20" w:after="20"/>
              <w:jc w:val="both"/>
            </w:pPr>
            <w:r>
              <w:rPr>
                <w:sz w:val="18"/>
                <w:szCs w:val="18"/>
              </w:rPr>
              <w:t>2. Deduce las funciones de consumo, ahorro e inversión de una economía, determinando el equilibrio macroeconómico en una economía cerrada.</w:t>
            </w:r>
          </w:p>
        </w:tc>
        <w:tc>
          <w:tcPr>
            <w:tcW w:w="3135" w:type="dxa"/>
            <w:gridSpan w:val="5"/>
            <w:shd w:val="clear" w:color="auto" w:fill="D9E2F3"/>
            <w:vAlign w:val="center"/>
          </w:tcPr>
          <w:p w14:paraId="61CCFD7A" w14:textId="77777777" w:rsidR="00990B14" w:rsidRDefault="00000000">
            <w:pPr>
              <w:spacing w:before="20" w:after="20"/>
              <w:jc w:val="both"/>
            </w:pPr>
            <w:r>
              <w:rPr>
                <w:sz w:val="18"/>
                <w:szCs w:val="18"/>
              </w:rPr>
              <w:t>2.1 Deduce en aula la función consumo y la función ahorro con sus propensiones media y marginal.</w:t>
            </w:r>
          </w:p>
        </w:tc>
        <w:tc>
          <w:tcPr>
            <w:tcW w:w="3137" w:type="dxa"/>
            <w:gridSpan w:val="4"/>
            <w:shd w:val="clear" w:color="auto" w:fill="D9E2F3"/>
            <w:vAlign w:val="center"/>
          </w:tcPr>
          <w:p w14:paraId="10252C35" w14:textId="77777777" w:rsidR="00990B14" w:rsidRDefault="00000000">
            <w:pPr>
              <w:spacing w:before="20" w:after="20"/>
              <w:jc w:val="both"/>
            </w:pPr>
            <w:r>
              <w:rPr>
                <w:b/>
                <w:bCs/>
                <w:sz w:val="18"/>
                <w:szCs w:val="18"/>
              </w:rPr>
              <w:t xml:space="preserve">Producto 3: </w:t>
            </w:r>
            <w:r>
              <w:rPr>
                <w:sz w:val="18"/>
                <w:szCs w:val="18"/>
              </w:rPr>
              <w:t>Práctica de las funciones de consumo y de ahorro y las propensiones media y marginal.</w:t>
            </w:r>
          </w:p>
        </w:tc>
      </w:tr>
      <w:tr w:rsidR="00990B14" w14:paraId="17705B5B" w14:textId="77777777">
        <w:trPr>
          <w:cantSplit/>
          <w:jc w:val="center"/>
        </w:trPr>
        <w:tc>
          <w:tcPr>
            <w:tcW w:w="3133" w:type="dxa"/>
            <w:gridSpan w:val="4"/>
            <w:vMerge/>
            <w:shd w:val="clear" w:color="auto" w:fill="D9E2F3"/>
            <w:vAlign w:val="center"/>
          </w:tcPr>
          <w:p w14:paraId="740AFED8" w14:textId="77777777" w:rsidR="00990B14" w:rsidRDefault="00990B14">
            <w:pPr>
              <w:spacing w:before="20" w:after="20"/>
            </w:pPr>
          </w:p>
        </w:tc>
        <w:tc>
          <w:tcPr>
            <w:tcW w:w="3135" w:type="dxa"/>
            <w:gridSpan w:val="5"/>
            <w:shd w:val="clear" w:color="auto" w:fill="D9E2F3"/>
            <w:vAlign w:val="center"/>
          </w:tcPr>
          <w:p w14:paraId="64DFA4F8" w14:textId="77777777" w:rsidR="00990B14" w:rsidRDefault="00000000">
            <w:pPr>
              <w:spacing w:before="20" w:after="20"/>
              <w:jc w:val="both"/>
            </w:pPr>
            <w:r>
              <w:rPr>
                <w:sz w:val="18"/>
                <w:szCs w:val="18"/>
              </w:rPr>
              <w:t>2.2 Resuelve en equipo un caso de inversión con el valor actual neto y la tasa interna de retorno, y determina el equilibrio entre ahorro e inversión.</w:t>
            </w:r>
          </w:p>
        </w:tc>
        <w:tc>
          <w:tcPr>
            <w:tcW w:w="3137" w:type="dxa"/>
            <w:gridSpan w:val="4"/>
            <w:shd w:val="clear" w:color="auto" w:fill="D9E2F3"/>
            <w:vAlign w:val="center"/>
          </w:tcPr>
          <w:p w14:paraId="72C8ABB6" w14:textId="77777777" w:rsidR="00990B14" w:rsidRDefault="00000000">
            <w:pPr>
              <w:spacing w:before="20" w:after="20"/>
              <w:jc w:val="both"/>
            </w:pPr>
            <w:r>
              <w:rPr>
                <w:b/>
                <w:bCs/>
                <w:sz w:val="18"/>
                <w:szCs w:val="18"/>
              </w:rPr>
              <w:t xml:space="preserve">Producto 4: </w:t>
            </w:r>
            <w:r>
              <w:rPr>
                <w:sz w:val="18"/>
                <w:szCs w:val="18"/>
              </w:rPr>
              <w:t>Práctica de la función de inversión con el equilibrio macroeconómico resultante.</w:t>
            </w:r>
          </w:p>
        </w:tc>
      </w:tr>
      <w:tr w:rsidR="00990B14" w14:paraId="1F80608B" w14:textId="77777777">
        <w:trPr>
          <w:cantSplit/>
          <w:jc w:val="center"/>
        </w:trPr>
        <w:tc>
          <w:tcPr>
            <w:tcW w:w="9405" w:type="dxa"/>
            <w:gridSpan w:val="13"/>
            <w:shd w:val="clear" w:color="auto" w:fill="4472C4"/>
            <w:vAlign w:val="center"/>
          </w:tcPr>
          <w:p w14:paraId="4C6D7DD0" w14:textId="77777777" w:rsidR="00990B14" w:rsidRDefault="00000000">
            <w:pPr>
              <w:keepNext/>
              <w:spacing w:before="20" w:after="20"/>
              <w:jc w:val="center"/>
            </w:pPr>
            <w:r>
              <w:rPr>
                <w:b/>
                <w:bCs/>
                <w:i/>
                <w:iCs/>
                <w:color w:val="FFFFFF"/>
                <w:sz w:val="18"/>
                <w:szCs w:val="18"/>
              </w:rPr>
              <w:t>Evidencias de conocimiento</w:t>
            </w:r>
          </w:p>
        </w:tc>
      </w:tr>
      <w:tr w:rsidR="00990B14" w14:paraId="377174AB" w14:textId="77777777">
        <w:trPr>
          <w:cantSplit/>
          <w:jc w:val="center"/>
        </w:trPr>
        <w:tc>
          <w:tcPr>
            <w:tcW w:w="2349" w:type="dxa"/>
            <w:gridSpan w:val="2"/>
            <w:shd w:val="clear" w:color="auto" w:fill="4472C4"/>
            <w:vAlign w:val="center"/>
          </w:tcPr>
          <w:p w14:paraId="1B046F05"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1423C0FA" w14:textId="77777777" w:rsidR="00990B14" w:rsidRDefault="00000000">
            <w:pPr>
              <w:keepNext/>
              <w:spacing w:before="20" w:after="20"/>
              <w:jc w:val="both"/>
            </w:pPr>
            <w:r>
              <w:rPr>
                <w:b/>
                <w:bCs/>
                <w:i/>
                <w:iCs/>
                <w:color w:val="FFFFFF"/>
                <w:sz w:val="18"/>
                <w:szCs w:val="18"/>
              </w:rPr>
              <w:t>Contenidos</w:t>
            </w:r>
          </w:p>
          <w:p w14:paraId="3AAEE61A"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62BE3E86" w14:textId="77777777" w:rsidR="00990B14" w:rsidRDefault="00000000">
            <w:pPr>
              <w:keepNext/>
              <w:spacing w:before="20" w:after="20"/>
              <w:jc w:val="center"/>
            </w:pPr>
            <w:r>
              <w:rPr>
                <w:b/>
                <w:bCs/>
                <w:i/>
                <w:iCs/>
                <w:color w:val="FFFFFF"/>
                <w:sz w:val="18"/>
                <w:szCs w:val="18"/>
              </w:rPr>
              <w:t>Conocimientos circunstanciales</w:t>
            </w:r>
          </w:p>
        </w:tc>
      </w:tr>
      <w:tr w:rsidR="00990B14" w14:paraId="6EB1686D" w14:textId="77777777">
        <w:trPr>
          <w:jc w:val="center"/>
        </w:trPr>
        <w:tc>
          <w:tcPr>
            <w:tcW w:w="2349" w:type="dxa"/>
            <w:gridSpan w:val="2"/>
            <w:shd w:val="clear" w:color="auto" w:fill="D9E2F3"/>
          </w:tcPr>
          <w:p w14:paraId="1695A3BC" w14:textId="77777777" w:rsidR="00990B14" w:rsidRDefault="00000000">
            <w:pPr>
              <w:spacing w:before="20" w:after="40"/>
              <w:jc w:val="both"/>
            </w:pPr>
            <w:r>
              <w:rPr>
                <w:sz w:val="18"/>
                <w:szCs w:val="18"/>
              </w:rPr>
              <w:t>Tema 1: Deducción de Agregados Macroeconómicos</w:t>
            </w:r>
          </w:p>
          <w:p w14:paraId="05B70E16" w14:textId="77777777" w:rsidR="00990B14" w:rsidRDefault="00000000">
            <w:pPr>
              <w:spacing w:before="20" w:after="40"/>
              <w:jc w:val="both"/>
            </w:pPr>
            <w:r>
              <w:rPr>
                <w:sz w:val="18"/>
                <w:szCs w:val="18"/>
              </w:rPr>
              <w:t>Tema 2: Funciones de Consumo y de Ahorro</w:t>
            </w:r>
          </w:p>
          <w:p w14:paraId="5AA40A9A" w14:textId="77777777" w:rsidR="00990B14" w:rsidRDefault="00000000">
            <w:pPr>
              <w:spacing w:before="20" w:after="40"/>
              <w:jc w:val="both"/>
            </w:pPr>
            <w:r>
              <w:rPr>
                <w:sz w:val="18"/>
                <w:szCs w:val="18"/>
              </w:rPr>
              <w:t>Tema 3: Función Inversión</w:t>
            </w:r>
          </w:p>
          <w:p w14:paraId="6237A104" w14:textId="77777777" w:rsidR="00990B14" w:rsidRDefault="00000000">
            <w:pPr>
              <w:spacing w:before="20" w:after="40"/>
              <w:jc w:val="both"/>
            </w:pPr>
            <w:r>
              <w:rPr>
                <w:sz w:val="18"/>
                <w:szCs w:val="18"/>
              </w:rPr>
              <w:t>Tema 4: El Modelo de Equilibrio Macroeconómico en una Economía Cerrada</w:t>
            </w:r>
          </w:p>
        </w:tc>
        <w:tc>
          <w:tcPr>
            <w:tcW w:w="4304" w:type="dxa"/>
            <w:gridSpan w:val="8"/>
            <w:shd w:val="clear" w:color="auto" w:fill="D9E2F3"/>
          </w:tcPr>
          <w:p w14:paraId="0B2905F3" w14:textId="77777777" w:rsidR="00990B14" w:rsidRDefault="00000000">
            <w:pPr>
              <w:spacing w:after="40"/>
              <w:jc w:val="both"/>
            </w:pPr>
            <w:r>
              <w:rPr>
                <w:sz w:val="18"/>
                <w:szCs w:val="18"/>
              </w:rPr>
              <w:t>Significado de macroeconomía; la contabilidad social y el cuadro de insumo producto. (C)</w:t>
            </w:r>
          </w:p>
          <w:p w14:paraId="3FD5F98B" w14:textId="77777777" w:rsidR="00990B14" w:rsidRDefault="00000000">
            <w:pPr>
              <w:spacing w:after="40"/>
              <w:jc w:val="both"/>
            </w:pPr>
            <w:r>
              <w:rPr>
                <w:sz w:val="18"/>
                <w:szCs w:val="18"/>
              </w:rPr>
              <w:t>Sistema de Cuentas Nacionales y relación de la contabilidad social con la contabilidad financiera de las entidades. (C)</w:t>
            </w:r>
          </w:p>
          <w:p w14:paraId="0ED3212A" w14:textId="77777777" w:rsidR="00990B14" w:rsidRDefault="00000000">
            <w:pPr>
              <w:spacing w:after="40"/>
              <w:jc w:val="both"/>
            </w:pPr>
            <w:r>
              <w:rPr>
                <w:sz w:val="18"/>
                <w:szCs w:val="18"/>
              </w:rPr>
              <w:t>Tabla de deducción de agregados macroeconómicos; los números índice. (C)</w:t>
            </w:r>
          </w:p>
          <w:p w14:paraId="54AC0FAA" w14:textId="77777777" w:rsidR="00990B14" w:rsidRDefault="00000000">
            <w:pPr>
              <w:spacing w:after="40"/>
              <w:jc w:val="both"/>
            </w:pPr>
            <w:r>
              <w:rPr>
                <w:sz w:val="18"/>
                <w:szCs w:val="18"/>
              </w:rPr>
              <w:t>El Producto Interno Bruto a precio constante del año base y el deflactor implícito; valor presente y valor futuro. (C)</w:t>
            </w:r>
          </w:p>
          <w:p w14:paraId="67E1CA91" w14:textId="77777777" w:rsidR="00990B14" w:rsidRDefault="00000000">
            <w:pPr>
              <w:spacing w:after="40"/>
              <w:jc w:val="both"/>
            </w:pPr>
            <w:r>
              <w:rPr>
                <w:sz w:val="18"/>
                <w:szCs w:val="18"/>
              </w:rPr>
              <w:t>Cambio del año base de las cuentas nacionales de Bolivia y su efecto en la estructura productiva y en el producto a precio constante. (C)</w:t>
            </w:r>
          </w:p>
          <w:p w14:paraId="5C250666" w14:textId="77777777" w:rsidR="00990B14" w:rsidRDefault="00000000">
            <w:pPr>
              <w:spacing w:after="40"/>
              <w:jc w:val="both"/>
            </w:pPr>
            <w:r>
              <w:rPr>
                <w:sz w:val="18"/>
                <w:szCs w:val="18"/>
              </w:rPr>
              <w:t>Significado de consumo; la función consumo y las propensiones media y marginal a consumir. (C)</w:t>
            </w:r>
          </w:p>
          <w:p w14:paraId="13735C36" w14:textId="77777777" w:rsidR="00990B14" w:rsidRDefault="00000000">
            <w:pPr>
              <w:spacing w:after="40"/>
              <w:jc w:val="both"/>
            </w:pPr>
            <w:r>
              <w:rPr>
                <w:sz w:val="18"/>
                <w:szCs w:val="18"/>
              </w:rPr>
              <w:t>Significado de ahorro; la función ahorro y las propensiones media y marginal a ahorrar; consumo intertemporal en base a expectativas futuras. (C)</w:t>
            </w:r>
          </w:p>
          <w:p w14:paraId="4BA53F56" w14:textId="77777777" w:rsidR="00990B14" w:rsidRDefault="00000000">
            <w:pPr>
              <w:spacing w:after="40"/>
              <w:jc w:val="both"/>
            </w:pPr>
            <w:r>
              <w:rPr>
                <w:sz w:val="18"/>
                <w:szCs w:val="18"/>
              </w:rPr>
              <w:t>Significado de inversión y la decisión de invertir; el cuadro de origen y uso de fondos. (C)</w:t>
            </w:r>
          </w:p>
          <w:p w14:paraId="1D7B972B" w14:textId="77777777" w:rsidR="00990B14" w:rsidRDefault="00000000">
            <w:pPr>
              <w:spacing w:after="40"/>
              <w:jc w:val="both"/>
            </w:pPr>
            <w:r>
              <w:rPr>
                <w:sz w:val="18"/>
                <w:szCs w:val="18"/>
              </w:rPr>
              <w:t>El valor actual neto, la tasa interna de retorno y la función de inversión. (C)</w:t>
            </w:r>
          </w:p>
          <w:p w14:paraId="296306B1" w14:textId="77777777" w:rsidR="00990B14" w:rsidRDefault="00000000">
            <w:pPr>
              <w:spacing w:after="40"/>
              <w:jc w:val="both"/>
            </w:pPr>
            <w:r>
              <w:rPr>
                <w:sz w:val="18"/>
                <w:szCs w:val="18"/>
              </w:rPr>
              <w:t>Evaluación de un proyecto de inversión con hoja de cálculo y sensibilidad ante cambios de la tasa de descuento y del tipo de cambio. (P, T)</w:t>
            </w:r>
          </w:p>
          <w:p w14:paraId="5704855F" w14:textId="77777777" w:rsidR="00990B14" w:rsidRDefault="00000000">
            <w:pPr>
              <w:spacing w:after="40"/>
              <w:jc w:val="both"/>
            </w:pPr>
            <w:r>
              <w:rPr>
                <w:sz w:val="18"/>
                <w:szCs w:val="18"/>
              </w:rPr>
              <w:t>El equilibrio macroeconómico en una economía cerrada por igualdad de oferta a demanda agregada y por igualdad de ahorro a inversión. (C)</w:t>
            </w:r>
          </w:p>
          <w:p w14:paraId="637D7BE1" w14:textId="77777777" w:rsidR="00990B14" w:rsidRDefault="00000000">
            <w:pPr>
              <w:spacing w:after="40"/>
              <w:jc w:val="both"/>
            </w:pPr>
            <w:r>
              <w:rPr>
                <w:sz w:val="18"/>
                <w:szCs w:val="18"/>
              </w:rPr>
              <w:t>La situación de desequilibrio macroeconómico: el caso de exceso de oferta. (C)</w:t>
            </w:r>
          </w:p>
          <w:p w14:paraId="600655EE" w14:textId="77777777" w:rsidR="00990B14" w:rsidRDefault="00000000">
            <w:pPr>
              <w:spacing w:after="40"/>
              <w:jc w:val="both"/>
            </w:pPr>
            <w:r>
              <w:rPr>
                <w:sz w:val="18"/>
                <w:szCs w:val="18"/>
              </w:rPr>
              <w:t>Uso ético y transparente de las estadísticas oficiales: fuente, metodología y límites de las cifras. (P, A)</w:t>
            </w:r>
          </w:p>
        </w:tc>
        <w:tc>
          <w:tcPr>
            <w:tcW w:w="2752" w:type="dxa"/>
            <w:gridSpan w:val="3"/>
            <w:shd w:val="clear" w:color="auto" w:fill="D9E2F3"/>
          </w:tcPr>
          <w:p w14:paraId="6E1B7A94" w14:textId="77777777" w:rsidR="00990B14" w:rsidRDefault="00000000">
            <w:pPr>
              <w:numPr>
                <w:ilvl w:val="0"/>
                <w:numId w:val="139"/>
              </w:numPr>
              <w:spacing w:before="10" w:after="10"/>
              <w:jc w:val="both"/>
            </w:pPr>
            <w:r>
              <w:rPr>
                <w:sz w:val="18"/>
                <w:szCs w:val="18"/>
              </w:rPr>
              <w:t>Nociones de la composición sectorial del Producto Interno Bruto boliviano.</w:t>
            </w:r>
          </w:p>
          <w:p w14:paraId="2F3A67EB" w14:textId="77777777" w:rsidR="00990B14" w:rsidRDefault="00000000">
            <w:pPr>
              <w:numPr>
                <w:ilvl w:val="0"/>
                <w:numId w:val="139"/>
              </w:numPr>
              <w:spacing w:before="10" w:after="10"/>
              <w:jc w:val="both"/>
            </w:pPr>
            <w:r>
              <w:rPr>
                <w:sz w:val="18"/>
                <w:szCs w:val="18"/>
              </w:rPr>
              <w:t>Nociones de la organización de las publicaciones estadísticas del Instituto Nacional de Estadística.</w:t>
            </w:r>
          </w:p>
        </w:tc>
      </w:tr>
      <w:tr w:rsidR="00990B14" w14:paraId="498FBE49" w14:textId="77777777">
        <w:trPr>
          <w:cantSplit/>
          <w:jc w:val="center"/>
        </w:trPr>
        <w:tc>
          <w:tcPr>
            <w:tcW w:w="9405" w:type="dxa"/>
            <w:gridSpan w:val="13"/>
            <w:shd w:val="clear" w:color="auto" w:fill="D9E2F3"/>
            <w:vAlign w:val="center"/>
          </w:tcPr>
          <w:p w14:paraId="2700176F" w14:textId="77777777" w:rsidR="00990B14" w:rsidRDefault="00000000">
            <w:pPr>
              <w:spacing w:before="20" w:after="20"/>
              <w:jc w:val="both"/>
            </w:pPr>
            <w:r>
              <w:rPr>
                <w:b/>
                <w:bCs/>
                <w:i/>
                <w:iCs/>
                <w:sz w:val="18"/>
                <w:szCs w:val="18"/>
              </w:rPr>
              <w:t xml:space="preserve">Elemento de competencia 2: </w:t>
            </w:r>
            <w:r>
              <w:rPr>
                <w:sz w:val="18"/>
                <w:szCs w:val="18"/>
              </w:rPr>
              <w:t>Determina la oferta y la demanda de dinero de una economía, aplicando la teoría monetaria y estableciendo el equilibrio en el mercado del dinero.</w:t>
            </w:r>
          </w:p>
        </w:tc>
      </w:tr>
      <w:tr w:rsidR="00990B14" w14:paraId="5FFD8F7B" w14:textId="77777777">
        <w:trPr>
          <w:cantSplit/>
          <w:jc w:val="center"/>
        </w:trPr>
        <w:tc>
          <w:tcPr>
            <w:tcW w:w="3133" w:type="dxa"/>
            <w:gridSpan w:val="4"/>
            <w:shd w:val="clear" w:color="auto" w:fill="4472C4"/>
            <w:vAlign w:val="center"/>
          </w:tcPr>
          <w:p w14:paraId="2A83E2DE"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20A32B27"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2EBB3C1A" w14:textId="77777777" w:rsidR="00990B14" w:rsidRDefault="00000000">
            <w:pPr>
              <w:keepNext/>
              <w:spacing w:before="20" w:after="20"/>
              <w:jc w:val="center"/>
            </w:pPr>
            <w:r>
              <w:rPr>
                <w:b/>
                <w:bCs/>
                <w:i/>
                <w:iCs/>
                <w:color w:val="FFFFFF"/>
                <w:sz w:val="18"/>
                <w:szCs w:val="18"/>
              </w:rPr>
              <w:t>Evidencias de producto</w:t>
            </w:r>
          </w:p>
        </w:tc>
      </w:tr>
      <w:tr w:rsidR="00990B14" w14:paraId="5A2C80F5" w14:textId="77777777">
        <w:trPr>
          <w:cantSplit/>
          <w:jc w:val="center"/>
        </w:trPr>
        <w:tc>
          <w:tcPr>
            <w:tcW w:w="3133" w:type="dxa"/>
            <w:gridSpan w:val="4"/>
            <w:vMerge w:val="restart"/>
            <w:shd w:val="clear" w:color="auto" w:fill="D9E2F3"/>
            <w:vAlign w:val="center"/>
          </w:tcPr>
          <w:p w14:paraId="1D7639F4" w14:textId="77777777" w:rsidR="00990B14" w:rsidRDefault="00000000">
            <w:pPr>
              <w:spacing w:before="20" w:after="20"/>
              <w:jc w:val="both"/>
            </w:pPr>
            <w:r>
              <w:rPr>
                <w:sz w:val="18"/>
                <w:szCs w:val="18"/>
              </w:rPr>
              <w:t>1. Calcula los agregados monetarios, la base monetaria y el multiplicador monetario de una economía boliviana, describiendo las funciones del dinero.</w:t>
            </w:r>
          </w:p>
        </w:tc>
        <w:tc>
          <w:tcPr>
            <w:tcW w:w="3135" w:type="dxa"/>
            <w:gridSpan w:val="5"/>
            <w:shd w:val="clear" w:color="auto" w:fill="D9E2F3"/>
            <w:vAlign w:val="center"/>
          </w:tcPr>
          <w:p w14:paraId="5B99F811" w14:textId="77777777" w:rsidR="00990B14" w:rsidRDefault="00000000">
            <w:pPr>
              <w:spacing w:before="20" w:after="20"/>
              <w:jc w:val="both"/>
            </w:pPr>
            <w:r>
              <w:rPr>
                <w:sz w:val="18"/>
                <w:szCs w:val="18"/>
              </w:rPr>
              <w:t>1.1 Calcula en aula los agregados monetarios de la economía boliviana con datos del Banco Central de Bolivia.</w:t>
            </w:r>
          </w:p>
        </w:tc>
        <w:tc>
          <w:tcPr>
            <w:tcW w:w="3137" w:type="dxa"/>
            <w:gridSpan w:val="4"/>
            <w:shd w:val="clear" w:color="auto" w:fill="D9E2F3"/>
            <w:vAlign w:val="center"/>
          </w:tcPr>
          <w:p w14:paraId="3CCE8762" w14:textId="77777777" w:rsidR="00990B14" w:rsidRDefault="00000000">
            <w:pPr>
              <w:spacing w:before="20" w:after="20"/>
              <w:jc w:val="both"/>
            </w:pPr>
            <w:r>
              <w:rPr>
                <w:b/>
                <w:bCs/>
                <w:sz w:val="18"/>
                <w:szCs w:val="18"/>
              </w:rPr>
              <w:t xml:space="preserve">Producto 5: </w:t>
            </w:r>
            <w:r>
              <w:rPr>
                <w:sz w:val="18"/>
                <w:szCs w:val="18"/>
              </w:rPr>
              <w:t>Cuadro de agregados monetarios de la economía boliviana.</w:t>
            </w:r>
          </w:p>
        </w:tc>
      </w:tr>
      <w:tr w:rsidR="00990B14" w14:paraId="51BB19E3" w14:textId="77777777">
        <w:trPr>
          <w:cantSplit/>
          <w:jc w:val="center"/>
        </w:trPr>
        <w:tc>
          <w:tcPr>
            <w:tcW w:w="3133" w:type="dxa"/>
            <w:gridSpan w:val="4"/>
            <w:vMerge/>
            <w:shd w:val="clear" w:color="auto" w:fill="D9E2F3"/>
            <w:vAlign w:val="center"/>
          </w:tcPr>
          <w:p w14:paraId="785C2658" w14:textId="77777777" w:rsidR="00990B14" w:rsidRDefault="00990B14">
            <w:pPr>
              <w:spacing w:before="20" w:after="20"/>
            </w:pPr>
          </w:p>
        </w:tc>
        <w:tc>
          <w:tcPr>
            <w:tcW w:w="3135" w:type="dxa"/>
            <w:gridSpan w:val="5"/>
            <w:shd w:val="clear" w:color="auto" w:fill="D9E2F3"/>
            <w:vAlign w:val="center"/>
          </w:tcPr>
          <w:p w14:paraId="0237FB07" w14:textId="77777777" w:rsidR="00990B14" w:rsidRDefault="00000000">
            <w:pPr>
              <w:spacing w:before="20" w:after="20"/>
              <w:jc w:val="both"/>
            </w:pPr>
            <w:r>
              <w:rPr>
                <w:sz w:val="18"/>
                <w:szCs w:val="18"/>
              </w:rPr>
              <w:t>1.2 Determina en equipo la base monetaria y el multiplicador con distintos niveles de encaje legal.</w:t>
            </w:r>
          </w:p>
        </w:tc>
        <w:tc>
          <w:tcPr>
            <w:tcW w:w="3137" w:type="dxa"/>
            <w:gridSpan w:val="4"/>
            <w:shd w:val="clear" w:color="auto" w:fill="D9E2F3"/>
            <w:vAlign w:val="center"/>
          </w:tcPr>
          <w:p w14:paraId="38A5F52A" w14:textId="77777777" w:rsidR="00990B14" w:rsidRDefault="00000000">
            <w:pPr>
              <w:spacing w:before="20" w:after="20"/>
              <w:jc w:val="both"/>
            </w:pPr>
            <w:r>
              <w:rPr>
                <w:b/>
                <w:bCs/>
                <w:sz w:val="18"/>
                <w:szCs w:val="18"/>
              </w:rPr>
              <w:t xml:space="preserve">Producto 6: </w:t>
            </w:r>
            <w:r>
              <w:rPr>
                <w:sz w:val="18"/>
                <w:szCs w:val="18"/>
              </w:rPr>
              <w:t>Cálculo del multiplicador de la base monetaria con escenarios de encaje legal.</w:t>
            </w:r>
          </w:p>
        </w:tc>
      </w:tr>
      <w:tr w:rsidR="00990B14" w14:paraId="0A2D8537" w14:textId="77777777">
        <w:trPr>
          <w:cantSplit/>
          <w:jc w:val="center"/>
        </w:trPr>
        <w:tc>
          <w:tcPr>
            <w:tcW w:w="3133" w:type="dxa"/>
            <w:gridSpan w:val="4"/>
            <w:vMerge w:val="restart"/>
            <w:shd w:val="clear" w:color="auto" w:fill="D9E2F3"/>
            <w:vAlign w:val="center"/>
          </w:tcPr>
          <w:p w14:paraId="11DCEAD7" w14:textId="77777777" w:rsidR="00990B14" w:rsidRDefault="00000000">
            <w:pPr>
              <w:spacing w:before="20" w:after="20"/>
              <w:jc w:val="both"/>
            </w:pPr>
            <w:r>
              <w:rPr>
                <w:sz w:val="18"/>
                <w:szCs w:val="18"/>
              </w:rPr>
              <w:t>2. Determina el equilibrio en el mercado del dinero con la oferta y la demanda de dinero, deduciendo la curva LM y el efecto de la política monetaria.</w:t>
            </w:r>
          </w:p>
        </w:tc>
        <w:tc>
          <w:tcPr>
            <w:tcW w:w="3135" w:type="dxa"/>
            <w:gridSpan w:val="5"/>
            <w:shd w:val="clear" w:color="auto" w:fill="D9E2F3"/>
            <w:vAlign w:val="center"/>
          </w:tcPr>
          <w:p w14:paraId="6329F79F" w14:textId="77777777" w:rsidR="00990B14" w:rsidRDefault="00000000">
            <w:pPr>
              <w:spacing w:before="20" w:after="20"/>
              <w:jc w:val="both"/>
            </w:pPr>
            <w:r>
              <w:rPr>
                <w:sz w:val="18"/>
                <w:szCs w:val="18"/>
              </w:rPr>
              <w:t>2.1 Deduce en aula la demanda de dinero para transacciones y para especulación.</w:t>
            </w:r>
          </w:p>
        </w:tc>
        <w:tc>
          <w:tcPr>
            <w:tcW w:w="3137" w:type="dxa"/>
            <w:gridSpan w:val="4"/>
            <w:shd w:val="clear" w:color="auto" w:fill="D9E2F3"/>
            <w:vAlign w:val="center"/>
          </w:tcPr>
          <w:p w14:paraId="5C0D6D78" w14:textId="77777777" w:rsidR="00990B14" w:rsidRDefault="00000000">
            <w:pPr>
              <w:spacing w:before="20" w:after="20"/>
              <w:jc w:val="both"/>
            </w:pPr>
            <w:r>
              <w:rPr>
                <w:b/>
                <w:bCs/>
                <w:sz w:val="18"/>
                <w:szCs w:val="18"/>
              </w:rPr>
              <w:t xml:space="preserve">Producto 7: </w:t>
            </w:r>
            <w:r>
              <w:rPr>
                <w:sz w:val="18"/>
                <w:szCs w:val="18"/>
              </w:rPr>
              <w:t>Práctica de la función de demanda de dinero.</w:t>
            </w:r>
          </w:p>
        </w:tc>
      </w:tr>
      <w:tr w:rsidR="00990B14" w14:paraId="0339E07F" w14:textId="77777777">
        <w:trPr>
          <w:cantSplit/>
          <w:jc w:val="center"/>
        </w:trPr>
        <w:tc>
          <w:tcPr>
            <w:tcW w:w="3133" w:type="dxa"/>
            <w:gridSpan w:val="4"/>
            <w:vMerge/>
            <w:shd w:val="clear" w:color="auto" w:fill="D9E2F3"/>
            <w:vAlign w:val="center"/>
          </w:tcPr>
          <w:p w14:paraId="0F5C42AF" w14:textId="77777777" w:rsidR="00990B14" w:rsidRDefault="00990B14">
            <w:pPr>
              <w:spacing w:before="20" w:after="20"/>
            </w:pPr>
          </w:p>
        </w:tc>
        <w:tc>
          <w:tcPr>
            <w:tcW w:w="3135" w:type="dxa"/>
            <w:gridSpan w:val="5"/>
            <w:shd w:val="clear" w:color="auto" w:fill="D9E2F3"/>
            <w:vAlign w:val="center"/>
          </w:tcPr>
          <w:p w14:paraId="6176F3C9" w14:textId="77777777" w:rsidR="00990B14" w:rsidRDefault="00000000">
            <w:pPr>
              <w:spacing w:before="20" w:after="20"/>
              <w:jc w:val="both"/>
            </w:pPr>
            <w:r>
              <w:rPr>
                <w:sz w:val="18"/>
                <w:szCs w:val="18"/>
              </w:rPr>
              <w:t>2.2 Deduce en equipo la curva LM de una economía con datos hipotéticos y la desplaza ante una medida de política monetaria.</w:t>
            </w:r>
          </w:p>
        </w:tc>
        <w:tc>
          <w:tcPr>
            <w:tcW w:w="3137" w:type="dxa"/>
            <w:gridSpan w:val="4"/>
            <w:shd w:val="clear" w:color="auto" w:fill="D9E2F3"/>
            <w:vAlign w:val="center"/>
          </w:tcPr>
          <w:p w14:paraId="2B735969" w14:textId="77777777" w:rsidR="00990B14" w:rsidRDefault="00000000">
            <w:pPr>
              <w:spacing w:before="20" w:after="20"/>
              <w:jc w:val="both"/>
            </w:pPr>
            <w:r>
              <w:rPr>
                <w:b/>
                <w:bCs/>
                <w:sz w:val="18"/>
                <w:szCs w:val="18"/>
              </w:rPr>
              <w:t xml:space="preserve">Producto 8: </w:t>
            </w:r>
            <w:r>
              <w:rPr>
                <w:sz w:val="18"/>
                <w:szCs w:val="18"/>
              </w:rPr>
              <w:t>Gráfico de la curva LM con su deducción y su desplazamiento.</w:t>
            </w:r>
          </w:p>
        </w:tc>
      </w:tr>
      <w:tr w:rsidR="00990B14" w14:paraId="104C300C" w14:textId="77777777">
        <w:trPr>
          <w:cantSplit/>
          <w:jc w:val="center"/>
        </w:trPr>
        <w:tc>
          <w:tcPr>
            <w:tcW w:w="9405" w:type="dxa"/>
            <w:gridSpan w:val="13"/>
            <w:shd w:val="clear" w:color="auto" w:fill="4472C4"/>
            <w:vAlign w:val="center"/>
          </w:tcPr>
          <w:p w14:paraId="5E662953" w14:textId="77777777" w:rsidR="00990B14" w:rsidRDefault="00000000">
            <w:pPr>
              <w:keepNext/>
              <w:spacing w:before="20" w:after="20"/>
              <w:jc w:val="center"/>
            </w:pPr>
            <w:r>
              <w:rPr>
                <w:b/>
                <w:bCs/>
                <w:i/>
                <w:iCs/>
                <w:color w:val="FFFFFF"/>
                <w:sz w:val="18"/>
                <w:szCs w:val="18"/>
              </w:rPr>
              <w:t>Evidencias de conocimiento</w:t>
            </w:r>
          </w:p>
        </w:tc>
      </w:tr>
      <w:tr w:rsidR="00990B14" w14:paraId="3D86CCFF" w14:textId="77777777">
        <w:trPr>
          <w:cantSplit/>
          <w:jc w:val="center"/>
        </w:trPr>
        <w:tc>
          <w:tcPr>
            <w:tcW w:w="2349" w:type="dxa"/>
            <w:gridSpan w:val="2"/>
            <w:shd w:val="clear" w:color="auto" w:fill="4472C4"/>
            <w:vAlign w:val="center"/>
          </w:tcPr>
          <w:p w14:paraId="55DBED23"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71253B11" w14:textId="77777777" w:rsidR="00990B14" w:rsidRDefault="00000000">
            <w:pPr>
              <w:keepNext/>
              <w:spacing w:before="20" w:after="20"/>
              <w:jc w:val="both"/>
            </w:pPr>
            <w:r>
              <w:rPr>
                <w:b/>
                <w:bCs/>
                <w:i/>
                <w:iCs/>
                <w:color w:val="FFFFFF"/>
                <w:sz w:val="18"/>
                <w:szCs w:val="18"/>
              </w:rPr>
              <w:t>Contenidos</w:t>
            </w:r>
          </w:p>
          <w:p w14:paraId="3C57F5D5"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157ED38F" w14:textId="77777777" w:rsidR="00990B14" w:rsidRDefault="00000000">
            <w:pPr>
              <w:keepNext/>
              <w:spacing w:before="20" w:after="20"/>
              <w:jc w:val="center"/>
            </w:pPr>
            <w:r>
              <w:rPr>
                <w:b/>
                <w:bCs/>
                <w:i/>
                <w:iCs/>
                <w:color w:val="FFFFFF"/>
                <w:sz w:val="18"/>
                <w:szCs w:val="18"/>
              </w:rPr>
              <w:t>Conocimientos circunstanciales</w:t>
            </w:r>
          </w:p>
        </w:tc>
      </w:tr>
      <w:tr w:rsidR="00990B14" w14:paraId="2619B92B" w14:textId="77777777">
        <w:trPr>
          <w:jc w:val="center"/>
        </w:trPr>
        <w:tc>
          <w:tcPr>
            <w:tcW w:w="2349" w:type="dxa"/>
            <w:gridSpan w:val="2"/>
            <w:shd w:val="clear" w:color="auto" w:fill="D9E2F3"/>
          </w:tcPr>
          <w:p w14:paraId="77732761" w14:textId="77777777" w:rsidR="00990B14" w:rsidRDefault="00000000">
            <w:pPr>
              <w:spacing w:before="20" w:after="40"/>
              <w:jc w:val="both"/>
            </w:pPr>
            <w:r>
              <w:rPr>
                <w:sz w:val="18"/>
                <w:szCs w:val="18"/>
              </w:rPr>
              <w:t>Tema 5: Consideraciones Generales sobre el Dinero</w:t>
            </w:r>
          </w:p>
          <w:p w14:paraId="17BA9ECA" w14:textId="77777777" w:rsidR="00990B14" w:rsidRDefault="00000000">
            <w:pPr>
              <w:spacing w:before="20" w:after="40"/>
              <w:jc w:val="both"/>
            </w:pPr>
            <w:r>
              <w:rPr>
                <w:sz w:val="18"/>
                <w:szCs w:val="18"/>
              </w:rPr>
              <w:t>Tema 6: Agregados Monetarios y Capital Institucional Financiero en Bolivia</w:t>
            </w:r>
          </w:p>
          <w:p w14:paraId="6D6A6A3F" w14:textId="77777777" w:rsidR="00990B14" w:rsidRDefault="00000000">
            <w:pPr>
              <w:spacing w:before="20" w:after="40"/>
              <w:jc w:val="both"/>
            </w:pPr>
            <w:r>
              <w:rPr>
                <w:sz w:val="18"/>
                <w:szCs w:val="18"/>
              </w:rPr>
              <w:t>Tema 7: La Oferta Monetaria</w:t>
            </w:r>
          </w:p>
          <w:p w14:paraId="267ADBF0" w14:textId="77777777" w:rsidR="00990B14" w:rsidRDefault="00000000">
            <w:pPr>
              <w:spacing w:before="20" w:after="40"/>
              <w:jc w:val="both"/>
            </w:pPr>
            <w:r>
              <w:rPr>
                <w:sz w:val="18"/>
                <w:szCs w:val="18"/>
              </w:rPr>
              <w:t>Tema 8: Demanda de Dinero</w:t>
            </w:r>
          </w:p>
          <w:p w14:paraId="52545323" w14:textId="77777777" w:rsidR="00990B14" w:rsidRDefault="00000000">
            <w:pPr>
              <w:spacing w:before="20" w:after="40"/>
              <w:jc w:val="both"/>
            </w:pPr>
            <w:r>
              <w:rPr>
                <w:sz w:val="18"/>
                <w:szCs w:val="18"/>
              </w:rPr>
              <w:t>Tema 9: Equilibrio en el Mercado del Dinero</w:t>
            </w:r>
          </w:p>
        </w:tc>
        <w:tc>
          <w:tcPr>
            <w:tcW w:w="4304" w:type="dxa"/>
            <w:gridSpan w:val="8"/>
            <w:shd w:val="clear" w:color="auto" w:fill="D9E2F3"/>
          </w:tcPr>
          <w:p w14:paraId="08065476" w14:textId="77777777" w:rsidR="00990B14" w:rsidRDefault="00000000">
            <w:pPr>
              <w:spacing w:after="40"/>
              <w:jc w:val="both"/>
            </w:pPr>
            <w:r>
              <w:rPr>
                <w:sz w:val="18"/>
                <w:szCs w:val="18"/>
              </w:rPr>
              <w:t>Significado del dinero y sus propiedades; funciones y formas históricas del dinero; operaciones de conversión. (C)</w:t>
            </w:r>
          </w:p>
          <w:p w14:paraId="75E2F82C" w14:textId="77777777" w:rsidR="00990B14" w:rsidRDefault="00000000">
            <w:pPr>
              <w:spacing w:after="40"/>
              <w:jc w:val="both"/>
            </w:pPr>
            <w:r>
              <w:rPr>
                <w:sz w:val="18"/>
                <w:szCs w:val="18"/>
              </w:rPr>
              <w:t>Agregados monetarios y evolución del capital institucional financiero en Bolivia; el proceso y la intermediación financiera. (C)</w:t>
            </w:r>
          </w:p>
          <w:p w14:paraId="1F57B0DD" w14:textId="77777777" w:rsidR="00990B14" w:rsidRDefault="00000000">
            <w:pPr>
              <w:spacing w:after="40"/>
              <w:jc w:val="both"/>
            </w:pPr>
            <w:r>
              <w:rPr>
                <w:sz w:val="18"/>
                <w:szCs w:val="18"/>
              </w:rPr>
              <w:t>Operaciones de creación y de neutralización de dinero. (C)</w:t>
            </w:r>
          </w:p>
          <w:p w14:paraId="0228D1F3" w14:textId="77777777" w:rsidR="00990B14" w:rsidRDefault="00000000">
            <w:pPr>
              <w:spacing w:after="40"/>
              <w:jc w:val="both"/>
            </w:pPr>
            <w:r>
              <w:rPr>
                <w:sz w:val="18"/>
                <w:szCs w:val="18"/>
              </w:rPr>
              <w:t>La oferta monetaria: jerarquización del sistema bancario, el encaje legal y las reservas bancarias. (C)</w:t>
            </w:r>
          </w:p>
          <w:p w14:paraId="730B0B93" w14:textId="77777777" w:rsidR="00990B14" w:rsidRDefault="00000000">
            <w:pPr>
              <w:spacing w:after="40"/>
              <w:jc w:val="both"/>
            </w:pPr>
            <w:r>
              <w:rPr>
                <w:sz w:val="18"/>
                <w:szCs w:val="18"/>
              </w:rPr>
              <w:t>La base monetaria, sus determinantes y los factores de su expansión y contracción; los coeficientes monetarios. (C)</w:t>
            </w:r>
          </w:p>
          <w:p w14:paraId="09C7FE5E" w14:textId="77777777" w:rsidR="00990B14" w:rsidRDefault="00000000">
            <w:pPr>
              <w:spacing w:after="40"/>
              <w:jc w:val="both"/>
            </w:pPr>
            <w:r>
              <w:rPr>
                <w:sz w:val="18"/>
                <w:szCs w:val="18"/>
              </w:rPr>
              <w:t>El multiplicador de la base monetaria y el proceso de multiplicación de la base. (C)</w:t>
            </w:r>
          </w:p>
          <w:p w14:paraId="58761F35" w14:textId="77777777" w:rsidR="00990B14" w:rsidRDefault="00000000">
            <w:pPr>
              <w:spacing w:after="40"/>
              <w:jc w:val="both"/>
            </w:pPr>
            <w:r>
              <w:rPr>
                <w:sz w:val="18"/>
                <w:szCs w:val="18"/>
              </w:rPr>
              <w:t>Régimen cambiario y dinero: efecto de las operaciones de cambio sobre la base monetaria y las reservas internacionales; régimen de tipo de cambio flexible. (C)</w:t>
            </w:r>
          </w:p>
          <w:p w14:paraId="469823E6" w14:textId="77777777" w:rsidR="00990B14" w:rsidRDefault="00000000">
            <w:pPr>
              <w:spacing w:after="40"/>
              <w:jc w:val="both"/>
            </w:pPr>
            <w:r>
              <w:rPr>
                <w:sz w:val="18"/>
                <w:szCs w:val="18"/>
              </w:rPr>
              <w:t>La demanda de dinero: velocidad de circulación, el mercado de capitales y los mercados financieros, la riqueza financiera. (C)</w:t>
            </w:r>
          </w:p>
          <w:p w14:paraId="55A5FAC1" w14:textId="77777777" w:rsidR="00990B14" w:rsidRDefault="00000000">
            <w:pPr>
              <w:spacing w:after="40"/>
              <w:jc w:val="both"/>
            </w:pPr>
            <w:r>
              <w:rPr>
                <w:sz w:val="18"/>
                <w:szCs w:val="18"/>
              </w:rPr>
              <w:t>La demanda de dinero para transacciones y para especulación; la función de demanda de dinero. (C)</w:t>
            </w:r>
          </w:p>
          <w:p w14:paraId="5B91B3E6" w14:textId="77777777" w:rsidR="00990B14" w:rsidRDefault="00000000">
            <w:pPr>
              <w:spacing w:after="40"/>
              <w:jc w:val="both"/>
            </w:pPr>
            <w:r>
              <w:rPr>
                <w:sz w:val="18"/>
                <w:szCs w:val="18"/>
              </w:rPr>
              <w:t>Tasas de interés, riesgo de tasa y riesgo cambiario de las empresas ante la política monetaria. (C)</w:t>
            </w:r>
          </w:p>
          <w:p w14:paraId="7FAF6D12" w14:textId="77777777" w:rsidR="00990B14" w:rsidRDefault="00000000">
            <w:pPr>
              <w:spacing w:after="40"/>
              <w:jc w:val="both"/>
            </w:pPr>
            <w:r>
              <w:rPr>
                <w:sz w:val="18"/>
                <w:szCs w:val="18"/>
              </w:rPr>
              <w:t>Deducción de la situación de equilibrio en el mercado del dinero con oferta monetaria constante; desplazamiento del equilibrio por cambio del ingreso nacional. (C)</w:t>
            </w:r>
          </w:p>
          <w:p w14:paraId="07F848AC" w14:textId="77777777" w:rsidR="00990B14" w:rsidRDefault="00000000">
            <w:pPr>
              <w:spacing w:after="40"/>
              <w:jc w:val="both"/>
            </w:pPr>
            <w:r>
              <w:rPr>
                <w:sz w:val="18"/>
                <w:szCs w:val="18"/>
              </w:rPr>
              <w:t>La curva LM, curva ingreso interés de equilibrio en el mercado del dinero: significado y desplazamiento; instrumentos de política monetaria para desplazar el equilibrio en el mercado del dinero. (C)</w:t>
            </w:r>
          </w:p>
        </w:tc>
        <w:tc>
          <w:tcPr>
            <w:tcW w:w="2752" w:type="dxa"/>
            <w:gridSpan w:val="3"/>
            <w:shd w:val="clear" w:color="auto" w:fill="D9E2F3"/>
          </w:tcPr>
          <w:p w14:paraId="5B08AF25" w14:textId="77777777" w:rsidR="00990B14" w:rsidRDefault="00000000">
            <w:pPr>
              <w:numPr>
                <w:ilvl w:val="0"/>
                <w:numId w:val="139"/>
              </w:numPr>
              <w:spacing w:before="10" w:after="10"/>
              <w:jc w:val="both"/>
            </w:pPr>
            <w:r>
              <w:rPr>
                <w:sz w:val="18"/>
                <w:szCs w:val="18"/>
              </w:rPr>
              <w:t>Nociones de historia monetaria de Bolivia y de los cambios de signo monetario.</w:t>
            </w:r>
          </w:p>
          <w:p w14:paraId="77341546" w14:textId="77777777" w:rsidR="00990B14" w:rsidRDefault="00000000">
            <w:pPr>
              <w:numPr>
                <w:ilvl w:val="0"/>
                <w:numId w:val="139"/>
              </w:numPr>
              <w:spacing w:before="10" w:after="10"/>
              <w:jc w:val="both"/>
            </w:pPr>
            <w:r>
              <w:rPr>
                <w:sz w:val="18"/>
                <w:szCs w:val="18"/>
              </w:rPr>
              <w:t>Nociones del funcionamiento del mercado cambiario y de las casas de cambio.</w:t>
            </w:r>
          </w:p>
          <w:p w14:paraId="242121C8" w14:textId="77777777" w:rsidR="00990B14" w:rsidRDefault="00000000">
            <w:pPr>
              <w:numPr>
                <w:ilvl w:val="0"/>
                <w:numId w:val="139"/>
              </w:numPr>
              <w:spacing w:before="10" w:after="10"/>
              <w:jc w:val="both"/>
            </w:pPr>
            <w:r>
              <w:rPr>
                <w:sz w:val="18"/>
                <w:szCs w:val="18"/>
              </w:rPr>
              <w:t>Nociones del grado de bolivianización de los depósitos y créditos del sistema financiero.</w:t>
            </w:r>
          </w:p>
        </w:tc>
      </w:tr>
      <w:tr w:rsidR="00990B14" w14:paraId="3B12F72C" w14:textId="77777777">
        <w:trPr>
          <w:cantSplit/>
          <w:jc w:val="center"/>
        </w:trPr>
        <w:tc>
          <w:tcPr>
            <w:tcW w:w="9405" w:type="dxa"/>
            <w:gridSpan w:val="13"/>
            <w:shd w:val="clear" w:color="auto" w:fill="D9E2F3"/>
            <w:vAlign w:val="center"/>
          </w:tcPr>
          <w:p w14:paraId="43E17359" w14:textId="77777777" w:rsidR="00990B14" w:rsidRDefault="00000000">
            <w:pPr>
              <w:spacing w:before="20" w:after="20"/>
              <w:jc w:val="both"/>
            </w:pPr>
            <w:r>
              <w:rPr>
                <w:b/>
                <w:bCs/>
                <w:i/>
                <w:iCs/>
                <w:sz w:val="18"/>
                <w:szCs w:val="18"/>
              </w:rPr>
              <w:t xml:space="preserve">Elemento de competencia 3: </w:t>
            </w:r>
            <w:r>
              <w:rPr>
                <w:sz w:val="18"/>
                <w:szCs w:val="18"/>
              </w:rPr>
              <w:t>Deduce el equilibrio general en el mercado de bienes y del dinero, construyendo las curvas IS y LM de una economía.</w:t>
            </w:r>
          </w:p>
        </w:tc>
      </w:tr>
      <w:tr w:rsidR="00990B14" w14:paraId="17C2CD9F" w14:textId="77777777">
        <w:trPr>
          <w:cantSplit/>
          <w:jc w:val="center"/>
        </w:trPr>
        <w:tc>
          <w:tcPr>
            <w:tcW w:w="3133" w:type="dxa"/>
            <w:gridSpan w:val="4"/>
            <w:shd w:val="clear" w:color="auto" w:fill="4472C4"/>
            <w:vAlign w:val="center"/>
          </w:tcPr>
          <w:p w14:paraId="61A124A8"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7E081A6B"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17EA6F76" w14:textId="77777777" w:rsidR="00990B14" w:rsidRDefault="00000000">
            <w:pPr>
              <w:keepNext/>
              <w:spacing w:before="20" w:after="20"/>
              <w:jc w:val="center"/>
            </w:pPr>
            <w:r>
              <w:rPr>
                <w:b/>
                <w:bCs/>
                <w:i/>
                <w:iCs/>
                <w:color w:val="FFFFFF"/>
                <w:sz w:val="18"/>
                <w:szCs w:val="18"/>
              </w:rPr>
              <w:t>Evidencias de producto</w:t>
            </w:r>
          </w:p>
        </w:tc>
      </w:tr>
      <w:tr w:rsidR="00990B14" w14:paraId="57D15718" w14:textId="77777777">
        <w:trPr>
          <w:cantSplit/>
          <w:jc w:val="center"/>
        </w:trPr>
        <w:tc>
          <w:tcPr>
            <w:tcW w:w="3133" w:type="dxa"/>
            <w:gridSpan w:val="4"/>
            <w:vMerge w:val="restart"/>
            <w:shd w:val="clear" w:color="auto" w:fill="D9E2F3"/>
            <w:vAlign w:val="center"/>
          </w:tcPr>
          <w:p w14:paraId="275718BE" w14:textId="77777777" w:rsidR="00990B14" w:rsidRDefault="00000000">
            <w:pPr>
              <w:spacing w:before="20" w:after="20"/>
              <w:jc w:val="both"/>
            </w:pPr>
            <w:r>
              <w:rPr>
                <w:sz w:val="18"/>
                <w:szCs w:val="18"/>
              </w:rPr>
              <w:t>1. Deduce la curva IS de una economía a partir de las funciones compuestas de ahorro e inversión, determinando su desplazamiento ante cambios en sus determinantes.</w:t>
            </w:r>
          </w:p>
        </w:tc>
        <w:tc>
          <w:tcPr>
            <w:tcW w:w="3135" w:type="dxa"/>
            <w:gridSpan w:val="5"/>
            <w:shd w:val="clear" w:color="auto" w:fill="D9E2F3"/>
            <w:vAlign w:val="center"/>
          </w:tcPr>
          <w:p w14:paraId="535CEB8B" w14:textId="77777777" w:rsidR="00990B14" w:rsidRDefault="00000000">
            <w:pPr>
              <w:spacing w:before="20" w:after="20"/>
              <w:jc w:val="both"/>
            </w:pPr>
            <w:r>
              <w:rPr>
                <w:sz w:val="18"/>
                <w:szCs w:val="18"/>
              </w:rPr>
              <w:t>1.1 Deduce en aula la curva IS de una economía con datos hipotéticos.</w:t>
            </w:r>
          </w:p>
        </w:tc>
        <w:tc>
          <w:tcPr>
            <w:tcW w:w="3137" w:type="dxa"/>
            <w:gridSpan w:val="4"/>
            <w:shd w:val="clear" w:color="auto" w:fill="D9E2F3"/>
            <w:vAlign w:val="center"/>
          </w:tcPr>
          <w:p w14:paraId="2EC50804" w14:textId="77777777" w:rsidR="00990B14" w:rsidRDefault="00000000">
            <w:pPr>
              <w:spacing w:before="20" w:after="20"/>
              <w:jc w:val="both"/>
            </w:pPr>
            <w:r>
              <w:rPr>
                <w:b/>
                <w:bCs/>
                <w:sz w:val="18"/>
                <w:szCs w:val="18"/>
              </w:rPr>
              <w:t xml:space="preserve">Producto 9: </w:t>
            </w:r>
            <w:r>
              <w:rPr>
                <w:sz w:val="18"/>
                <w:szCs w:val="18"/>
              </w:rPr>
              <w:t>Gráfico de la curva IS con su deducción y su desplazamiento.</w:t>
            </w:r>
          </w:p>
        </w:tc>
      </w:tr>
      <w:tr w:rsidR="00990B14" w14:paraId="31ABE744" w14:textId="77777777">
        <w:trPr>
          <w:cantSplit/>
          <w:jc w:val="center"/>
        </w:trPr>
        <w:tc>
          <w:tcPr>
            <w:tcW w:w="3133" w:type="dxa"/>
            <w:gridSpan w:val="4"/>
            <w:vMerge/>
            <w:shd w:val="clear" w:color="auto" w:fill="D9E2F3"/>
            <w:vAlign w:val="center"/>
          </w:tcPr>
          <w:p w14:paraId="1507252A" w14:textId="77777777" w:rsidR="00990B14" w:rsidRDefault="00990B14">
            <w:pPr>
              <w:spacing w:before="20" w:after="20"/>
            </w:pPr>
          </w:p>
        </w:tc>
        <w:tc>
          <w:tcPr>
            <w:tcW w:w="3135" w:type="dxa"/>
            <w:gridSpan w:val="5"/>
            <w:shd w:val="clear" w:color="auto" w:fill="D9E2F3"/>
            <w:vAlign w:val="center"/>
          </w:tcPr>
          <w:p w14:paraId="4E296FE2" w14:textId="77777777" w:rsidR="00990B14" w:rsidRDefault="00000000">
            <w:pPr>
              <w:spacing w:before="20" w:after="20"/>
              <w:jc w:val="both"/>
            </w:pPr>
            <w:r>
              <w:rPr>
                <w:sz w:val="18"/>
                <w:szCs w:val="18"/>
              </w:rPr>
              <w:t>1.2 Construye en el laboratorio de cómputo las curvas IS y LM en hoja de cálculo con escenarios de política fiscal y monetaria.</w:t>
            </w:r>
          </w:p>
        </w:tc>
        <w:tc>
          <w:tcPr>
            <w:tcW w:w="3137" w:type="dxa"/>
            <w:gridSpan w:val="4"/>
            <w:shd w:val="clear" w:color="auto" w:fill="D9E2F3"/>
            <w:vAlign w:val="center"/>
          </w:tcPr>
          <w:p w14:paraId="26B610B6" w14:textId="77777777" w:rsidR="00990B14" w:rsidRDefault="00000000">
            <w:pPr>
              <w:spacing w:before="20" w:after="20"/>
              <w:jc w:val="both"/>
            </w:pPr>
            <w:r>
              <w:rPr>
                <w:b/>
                <w:bCs/>
                <w:sz w:val="18"/>
                <w:szCs w:val="18"/>
              </w:rPr>
              <w:t xml:space="preserve">Producto 10: </w:t>
            </w:r>
            <w:r>
              <w:rPr>
                <w:sz w:val="18"/>
                <w:szCs w:val="18"/>
              </w:rPr>
              <w:t>Hoja de cálculo de las curvas IS y LM con escenarios de política.</w:t>
            </w:r>
          </w:p>
        </w:tc>
      </w:tr>
      <w:tr w:rsidR="00990B14" w14:paraId="4B7D31EA" w14:textId="77777777">
        <w:trPr>
          <w:cantSplit/>
          <w:jc w:val="center"/>
        </w:trPr>
        <w:tc>
          <w:tcPr>
            <w:tcW w:w="3133" w:type="dxa"/>
            <w:gridSpan w:val="4"/>
            <w:vMerge w:val="restart"/>
            <w:shd w:val="clear" w:color="auto" w:fill="D9E2F3"/>
            <w:vAlign w:val="center"/>
          </w:tcPr>
          <w:p w14:paraId="2AD3EAAE" w14:textId="77777777" w:rsidR="00990B14" w:rsidRDefault="00000000">
            <w:pPr>
              <w:spacing w:before="20" w:after="20"/>
              <w:jc w:val="both"/>
            </w:pPr>
            <w:r>
              <w:rPr>
                <w:sz w:val="18"/>
                <w:szCs w:val="18"/>
              </w:rPr>
              <w:t>2. Determina el equilibrio general en el mercado de bienes y del dinero, analizando con sentido crítico los límites del modelo IS-LM.</w:t>
            </w:r>
          </w:p>
        </w:tc>
        <w:tc>
          <w:tcPr>
            <w:tcW w:w="3135" w:type="dxa"/>
            <w:gridSpan w:val="5"/>
            <w:shd w:val="clear" w:color="auto" w:fill="D9E2F3"/>
            <w:vAlign w:val="center"/>
          </w:tcPr>
          <w:p w14:paraId="1EDED9EC" w14:textId="77777777" w:rsidR="00990B14" w:rsidRDefault="00000000">
            <w:pPr>
              <w:spacing w:before="20" w:after="20"/>
              <w:jc w:val="both"/>
            </w:pPr>
            <w:r>
              <w:rPr>
                <w:sz w:val="18"/>
                <w:szCs w:val="18"/>
              </w:rPr>
              <w:t>2.1 Resuelve en equipo el equilibrio general IS-LM de un caso de la economía boliviana.</w:t>
            </w:r>
          </w:p>
        </w:tc>
        <w:tc>
          <w:tcPr>
            <w:tcW w:w="3137" w:type="dxa"/>
            <w:gridSpan w:val="4"/>
            <w:shd w:val="clear" w:color="auto" w:fill="D9E2F3"/>
            <w:vAlign w:val="center"/>
          </w:tcPr>
          <w:p w14:paraId="665AFBDD" w14:textId="77777777" w:rsidR="00990B14" w:rsidRDefault="00000000">
            <w:pPr>
              <w:spacing w:before="20" w:after="20"/>
              <w:jc w:val="both"/>
            </w:pPr>
            <w:r>
              <w:rPr>
                <w:b/>
                <w:bCs/>
                <w:sz w:val="18"/>
                <w:szCs w:val="18"/>
              </w:rPr>
              <w:t xml:space="preserve">Producto 11: </w:t>
            </w:r>
            <w:r>
              <w:rPr>
                <w:sz w:val="18"/>
                <w:szCs w:val="18"/>
              </w:rPr>
              <w:t>Práctico de determinación del equilibrio general en el mercado de bienes y del dinero.</w:t>
            </w:r>
          </w:p>
        </w:tc>
      </w:tr>
      <w:tr w:rsidR="00990B14" w14:paraId="4AB844F5" w14:textId="77777777">
        <w:trPr>
          <w:cantSplit/>
          <w:jc w:val="center"/>
        </w:trPr>
        <w:tc>
          <w:tcPr>
            <w:tcW w:w="3133" w:type="dxa"/>
            <w:gridSpan w:val="4"/>
            <w:vMerge/>
            <w:shd w:val="clear" w:color="auto" w:fill="D9E2F3"/>
            <w:vAlign w:val="center"/>
          </w:tcPr>
          <w:p w14:paraId="1CF0B5AD" w14:textId="77777777" w:rsidR="00990B14" w:rsidRDefault="00990B14">
            <w:pPr>
              <w:spacing w:before="20" w:after="20"/>
            </w:pPr>
          </w:p>
        </w:tc>
        <w:tc>
          <w:tcPr>
            <w:tcW w:w="3135" w:type="dxa"/>
            <w:gridSpan w:val="5"/>
            <w:shd w:val="clear" w:color="auto" w:fill="D9E2F3"/>
            <w:vAlign w:val="center"/>
          </w:tcPr>
          <w:p w14:paraId="59767541" w14:textId="77777777" w:rsidR="00990B14" w:rsidRDefault="00000000">
            <w:pPr>
              <w:spacing w:before="20" w:after="20"/>
              <w:jc w:val="both"/>
            </w:pPr>
            <w:r>
              <w:rPr>
                <w:sz w:val="18"/>
                <w:szCs w:val="18"/>
              </w:rPr>
              <w:t>2.2 Debate ante el curso los supuestos del modelo IS-LM y su capacidad para explicar la economía boliviana.</w:t>
            </w:r>
          </w:p>
        </w:tc>
        <w:tc>
          <w:tcPr>
            <w:tcW w:w="3137" w:type="dxa"/>
            <w:gridSpan w:val="4"/>
            <w:shd w:val="clear" w:color="auto" w:fill="D9E2F3"/>
            <w:vAlign w:val="center"/>
          </w:tcPr>
          <w:p w14:paraId="307D1C6D" w14:textId="77777777" w:rsidR="00990B14" w:rsidRDefault="00000000">
            <w:pPr>
              <w:spacing w:before="20" w:after="20"/>
              <w:jc w:val="both"/>
            </w:pPr>
            <w:r>
              <w:rPr>
                <w:b/>
                <w:bCs/>
                <w:sz w:val="18"/>
                <w:szCs w:val="18"/>
              </w:rPr>
              <w:t xml:space="preserve">Producto 12: </w:t>
            </w:r>
            <w:r>
              <w:rPr>
                <w:sz w:val="18"/>
                <w:szCs w:val="18"/>
              </w:rPr>
              <w:t>Ensayo crítico sobre los límites del modelo IS-LM.</w:t>
            </w:r>
          </w:p>
        </w:tc>
      </w:tr>
      <w:tr w:rsidR="00990B14" w14:paraId="4A21F09D" w14:textId="77777777">
        <w:trPr>
          <w:cantSplit/>
          <w:jc w:val="center"/>
        </w:trPr>
        <w:tc>
          <w:tcPr>
            <w:tcW w:w="9405" w:type="dxa"/>
            <w:gridSpan w:val="13"/>
            <w:shd w:val="clear" w:color="auto" w:fill="4472C4"/>
            <w:vAlign w:val="center"/>
          </w:tcPr>
          <w:p w14:paraId="1A3A5029" w14:textId="77777777" w:rsidR="00990B14" w:rsidRDefault="00000000">
            <w:pPr>
              <w:keepNext/>
              <w:spacing w:before="20" w:after="20"/>
              <w:jc w:val="center"/>
            </w:pPr>
            <w:r>
              <w:rPr>
                <w:b/>
                <w:bCs/>
                <w:i/>
                <w:iCs/>
                <w:color w:val="FFFFFF"/>
                <w:sz w:val="18"/>
                <w:szCs w:val="18"/>
              </w:rPr>
              <w:t>Evidencias de conocimiento</w:t>
            </w:r>
          </w:p>
        </w:tc>
      </w:tr>
      <w:tr w:rsidR="00990B14" w14:paraId="10E898AA" w14:textId="77777777">
        <w:trPr>
          <w:cantSplit/>
          <w:jc w:val="center"/>
        </w:trPr>
        <w:tc>
          <w:tcPr>
            <w:tcW w:w="2349" w:type="dxa"/>
            <w:gridSpan w:val="2"/>
            <w:shd w:val="clear" w:color="auto" w:fill="4472C4"/>
            <w:vAlign w:val="center"/>
          </w:tcPr>
          <w:p w14:paraId="131887F6"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2F24A270" w14:textId="77777777" w:rsidR="00990B14" w:rsidRDefault="00000000">
            <w:pPr>
              <w:keepNext/>
              <w:spacing w:before="20" w:after="20"/>
              <w:jc w:val="both"/>
            </w:pPr>
            <w:r>
              <w:rPr>
                <w:b/>
                <w:bCs/>
                <w:i/>
                <w:iCs/>
                <w:color w:val="FFFFFF"/>
                <w:sz w:val="18"/>
                <w:szCs w:val="18"/>
              </w:rPr>
              <w:t>Contenidos</w:t>
            </w:r>
          </w:p>
          <w:p w14:paraId="2B7873C3"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46FDC7D9" w14:textId="77777777" w:rsidR="00990B14" w:rsidRDefault="00000000">
            <w:pPr>
              <w:keepNext/>
              <w:spacing w:before="20" w:after="20"/>
              <w:jc w:val="center"/>
            </w:pPr>
            <w:r>
              <w:rPr>
                <w:b/>
                <w:bCs/>
                <w:i/>
                <w:iCs/>
                <w:color w:val="FFFFFF"/>
                <w:sz w:val="18"/>
                <w:szCs w:val="18"/>
              </w:rPr>
              <w:t>Conocimientos circunstanciales</w:t>
            </w:r>
          </w:p>
        </w:tc>
      </w:tr>
      <w:tr w:rsidR="00990B14" w14:paraId="1FF7DD9D" w14:textId="77777777">
        <w:trPr>
          <w:jc w:val="center"/>
        </w:trPr>
        <w:tc>
          <w:tcPr>
            <w:tcW w:w="2349" w:type="dxa"/>
            <w:gridSpan w:val="2"/>
            <w:shd w:val="clear" w:color="auto" w:fill="D9E2F3"/>
          </w:tcPr>
          <w:p w14:paraId="46357A83" w14:textId="77777777" w:rsidR="00990B14" w:rsidRDefault="00000000">
            <w:pPr>
              <w:spacing w:before="20" w:after="40"/>
              <w:jc w:val="both"/>
            </w:pPr>
            <w:r>
              <w:rPr>
                <w:sz w:val="18"/>
                <w:szCs w:val="18"/>
              </w:rPr>
              <w:t>Tema 10: Equilibrio General en el Mercado de Bienes y del Dinero</w:t>
            </w:r>
          </w:p>
        </w:tc>
        <w:tc>
          <w:tcPr>
            <w:tcW w:w="4304" w:type="dxa"/>
            <w:gridSpan w:val="8"/>
            <w:shd w:val="clear" w:color="auto" w:fill="D9E2F3"/>
          </w:tcPr>
          <w:p w14:paraId="0CA9DBBE" w14:textId="77777777" w:rsidR="00990B14" w:rsidRDefault="00000000">
            <w:pPr>
              <w:spacing w:after="40"/>
              <w:jc w:val="both"/>
            </w:pPr>
            <w:r>
              <w:rPr>
                <w:sz w:val="18"/>
                <w:szCs w:val="18"/>
              </w:rPr>
              <w:t>Significado de una situación compleja de equilibrio macroeconómico; las funciones compuestas de ahorro e inversión. (C)</w:t>
            </w:r>
          </w:p>
          <w:p w14:paraId="6B5FCDEE" w14:textId="77777777" w:rsidR="00990B14" w:rsidRDefault="00000000">
            <w:pPr>
              <w:spacing w:after="40"/>
              <w:jc w:val="both"/>
            </w:pPr>
            <w:r>
              <w:rPr>
                <w:sz w:val="18"/>
                <w:szCs w:val="18"/>
              </w:rPr>
              <w:t>La curva IS, curva interés ingreso de equilibrio en el mercado de bienes: significado, deducción y desplazamiento. (C)</w:t>
            </w:r>
          </w:p>
          <w:p w14:paraId="556C0F5B" w14:textId="77777777" w:rsidR="00990B14" w:rsidRDefault="00000000">
            <w:pPr>
              <w:spacing w:after="40"/>
              <w:jc w:val="both"/>
            </w:pPr>
            <w:r>
              <w:rPr>
                <w:sz w:val="18"/>
                <w:szCs w:val="18"/>
              </w:rPr>
              <w:t>Expresión de la curva LM en términos de la curva IS. (C)</w:t>
            </w:r>
          </w:p>
          <w:p w14:paraId="2D96057A" w14:textId="77777777" w:rsidR="00990B14" w:rsidRDefault="00000000">
            <w:pPr>
              <w:spacing w:after="40"/>
              <w:jc w:val="both"/>
            </w:pPr>
            <w:r>
              <w:rPr>
                <w:sz w:val="18"/>
                <w:szCs w:val="18"/>
              </w:rPr>
              <w:t>Determinación del equilibrio general en el mercado de bienes y del dinero por igualdad de las curvas IS y LM. (P)</w:t>
            </w:r>
          </w:p>
          <w:p w14:paraId="6F5CF6FA" w14:textId="77777777" w:rsidR="00990B14" w:rsidRDefault="00000000">
            <w:pPr>
              <w:spacing w:after="40"/>
              <w:jc w:val="both"/>
            </w:pPr>
            <w:r>
              <w:rPr>
                <w:sz w:val="18"/>
                <w:szCs w:val="18"/>
              </w:rPr>
              <w:t>Construcción de las curvas IS y LM con hoja de cálculo y análisis de escenarios de política fiscal y monetaria. (P, T)</w:t>
            </w:r>
          </w:p>
          <w:p w14:paraId="5C7BD6F8" w14:textId="77777777" w:rsidR="00990B14" w:rsidRDefault="00000000">
            <w:pPr>
              <w:spacing w:after="40"/>
              <w:jc w:val="both"/>
            </w:pPr>
            <w:r>
              <w:rPr>
                <w:sz w:val="18"/>
                <w:szCs w:val="18"/>
              </w:rPr>
              <w:t>Límites del modelo IS-LM para explicar la economía boliviana: análisis crítico de sus supuestos. (C)</w:t>
            </w:r>
          </w:p>
        </w:tc>
        <w:tc>
          <w:tcPr>
            <w:tcW w:w="2752" w:type="dxa"/>
            <w:gridSpan w:val="3"/>
            <w:shd w:val="clear" w:color="auto" w:fill="D9E2F3"/>
          </w:tcPr>
          <w:p w14:paraId="15F2D591" w14:textId="77777777" w:rsidR="00990B14" w:rsidRDefault="00000000">
            <w:pPr>
              <w:numPr>
                <w:ilvl w:val="0"/>
                <w:numId w:val="139"/>
              </w:numPr>
              <w:spacing w:before="10" w:after="10"/>
              <w:jc w:val="both"/>
            </w:pPr>
            <w:r>
              <w:rPr>
                <w:sz w:val="18"/>
                <w:szCs w:val="18"/>
              </w:rPr>
              <w:t>Nociones de las escuelas del pensamiento económico keynesiano y monetarista.</w:t>
            </w:r>
          </w:p>
        </w:tc>
      </w:tr>
      <w:tr w:rsidR="00990B14" w14:paraId="5784D264" w14:textId="77777777">
        <w:trPr>
          <w:cantSplit/>
          <w:jc w:val="center"/>
        </w:trPr>
        <w:tc>
          <w:tcPr>
            <w:tcW w:w="9405" w:type="dxa"/>
            <w:gridSpan w:val="13"/>
            <w:shd w:val="clear" w:color="auto" w:fill="D9E2F3"/>
            <w:vAlign w:val="center"/>
          </w:tcPr>
          <w:p w14:paraId="02FDA3E2" w14:textId="77777777" w:rsidR="00990B14" w:rsidRDefault="00000000">
            <w:pPr>
              <w:spacing w:before="20" w:after="20"/>
              <w:jc w:val="both"/>
            </w:pPr>
            <w:r>
              <w:rPr>
                <w:b/>
                <w:bCs/>
                <w:i/>
                <w:iCs/>
                <w:sz w:val="18"/>
                <w:szCs w:val="18"/>
              </w:rPr>
              <w:t xml:space="preserve">Elemento de competencia 4: </w:t>
            </w:r>
            <w:r>
              <w:rPr>
                <w:sz w:val="18"/>
                <w:szCs w:val="18"/>
              </w:rPr>
              <w:t>Analiza la balanza de pagos y la balanza comercial de una economía abierta, determinando las causas de la inflación y el desempleo.</w:t>
            </w:r>
          </w:p>
        </w:tc>
      </w:tr>
      <w:tr w:rsidR="00990B14" w14:paraId="5FAECD4C" w14:textId="77777777">
        <w:trPr>
          <w:cantSplit/>
          <w:jc w:val="center"/>
        </w:trPr>
        <w:tc>
          <w:tcPr>
            <w:tcW w:w="3133" w:type="dxa"/>
            <w:gridSpan w:val="4"/>
            <w:shd w:val="clear" w:color="auto" w:fill="4472C4"/>
            <w:vAlign w:val="center"/>
          </w:tcPr>
          <w:p w14:paraId="1D883680"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0D9F93C3"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3DF4495A" w14:textId="77777777" w:rsidR="00990B14" w:rsidRDefault="00000000">
            <w:pPr>
              <w:keepNext/>
              <w:spacing w:before="20" w:after="20"/>
              <w:jc w:val="center"/>
            </w:pPr>
            <w:r>
              <w:rPr>
                <w:b/>
                <w:bCs/>
                <w:i/>
                <w:iCs/>
                <w:color w:val="FFFFFF"/>
                <w:sz w:val="18"/>
                <w:szCs w:val="18"/>
              </w:rPr>
              <w:t>Evidencias de producto</w:t>
            </w:r>
          </w:p>
        </w:tc>
      </w:tr>
      <w:tr w:rsidR="00990B14" w14:paraId="3AA9D070" w14:textId="77777777">
        <w:trPr>
          <w:cantSplit/>
          <w:jc w:val="center"/>
        </w:trPr>
        <w:tc>
          <w:tcPr>
            <w:tcW w:w="3133" w:type="dxa"/>
            <w:gridSpan w:val="4"/>
            <w:vMerge w:val="restart"/>
            <w:shd w:val="clear" w:color="auto" w:fill="D9E2F3"/>
            <w:vAlign w:val="center"/>
          </w:tcPr>
          <w:p w14:paraId="5006C103" w14:textId="77777777" w:rsidR="00990B14" w:rsidRDefault="00000000">
            <w:pPr>
              <w:spacing w:before="20" w:after="20"/>
              <w:jc w:val="both"/>
            </w:pPr>
            <w:r>
              <w:rPr>
                <w:sz w:val="18"/>
                <w:szCs w:val="18"/>
              </w:rPr>
              <w:t>1. Interpreta la balanza de pagos y la balanza comercial de una economía abierta, determinando las causas de sus desequilibrios y sus efectos sobre la actividad y el empleo.</w:t>
            </w:r>
          </w:p>
        </w:tc>
        <w:tc>
          <w:tcPr>
            <w:tcW w:w="3135" w:type="dxa"/>
            <w:gridSpan w:val="5"/>
            <w:shd w:val="clear" w:color="auto" w:fill="D9E2F3"/>
            <w:vAlign w:val="center"/>
          </w:tcPr>
          <w:p w14:paraId="2E277937" w14:textId="77777777" w:rsidR="00990B14" w:rsidRDefault="00000000">
            <w:pPr>
              <w:spacing w:before="20" w:after="20"/>
              <w:jc w:val="both"/>
            </w:pPr>
            <w:r>
              <w:rPr>
                <w:sz w:val="18"/>
                <w:szCs w:val="18"/>
              </w:rPr>
              <w:t>1.1 Interpreta en aula la balanza de pagos de Bolivia de un periodo reciente con el registro en partida doble.</w:t>
            </w:r>
          </w:p>
        </w:tc>
        <w:tc>
          <w:tcPr>
            <w:tcW w:w="3137" w:type="dxa"/>
            <w:gridSpan w:val="4"/>
            <w:shd w:val="clear" w:color="auto" w:fill="D9E2F3"/>
            <w:vAlign w:val="center"/>
          </w:tcPr>
          <w:p w14:paraId="3B6206C0" w14:textId="77777777" w:rsidR="00990B14" w:rsidRDefault="00000000">
            <w:pPr>
              <w:spacing w:before="20" w:after="20"/>
              <w:jc w:val="both"/>
            </w:pPr>
            <w:r>
              <w:rPr>
                <w:b/>
                <w:bCs/>
                <w:sz w:val="18"/>
                <w:szCs w:val="18"/>
              </w:rPr>
              <w:t xml:space="preserve">Producto 13: </w:t>
            </w:r>
            <w:r>
              <w:rPr>
                <w:sz w:val="18"/>
                <w:szCs w:val="18"/>
              </w:rPr>
              <w:t>Informe de interpretación de la balanza de pagos con sus componentes.</w:t>
            </w:r>
          </w:p>
        </w:tc>
      </w:tr>
      <w:tr w:rsidR="00990B14" w14:paraId="78ECE025" w14:textId="77777777">
        <w:trPr>
          <w:cantSplit/>
          <w:jc w:val="center"/>
        </w:trPr>
        <w:tc>
          <w:tcPr>
            <w:tcW w:w="3133" w:type="dxa"/>
            <w:gridSpan w:val="4"/>
            <w:vMerge/>
            <w:shd w:val="clear" w:color="auto" w:fill="D9E2F3"/>
            <w:vAlign w:val="center"/>
          </w:tcPr>
          <w:p w14:paraId="1FAE269D" w14:textId="77777777" w:rsidR="00990B14" w:rsidRDefault="00990B14">
            <w:pPr>
              <w:spacing w:before="20" w:after="20"/>
            </w:pPr>
          </w:p>
        </w:tc>
        <w:tc>
          <w:tcPr>
            <w:tcW w:w="3135" w:type="dxa"/>
            <w:gridSpan w:val="5"/>
            <w:shd w:val="clear" w:color="auto" w:fill="D9E2F3"/>
            <w:vAlign w:val="center"/>
          </w:tcPr>
          <w:p w14:paraId="770C2B46" w14:textId="77777777" w:rsidR="00990B14" w:rsidRDefault="00000000">
            <w:pPr>
              <w:spacing w:before="20" w:after="20"/>
              <w:jc w:val="both"/>
            </w:pPr>
            <w:r>
              <w:rPr>
                <w:sz w:val="18"/>
                <w:szCs w:val="18"/>
              </w:rPr>
              <w:t>1.2 Analiza en equipo un caso de desequilibrio de la balanza comercial con el modelo de equilibrio macroeconómico abierto por subsistemas.</w:t>
            </w:r>
          </w:p>
        </w:tc>
        <w:tc>
          <w:tcPr>
            <w:tcW w:w="3137" w:type="dxa"/>
            <w:gridSpan w:val="4"/>
            <w:shd w:val="clear" w:color="auto" w:fill="D9E2F3"/>
            <w:vAlign w:val="center"/>
          </w:tcPr>
          <w:p w14:paraId="28E51F42" w14:textId="77777777" w:rsidR="00990B14" w:rsidRDefault="00000000">
            <w:pPr>
              <w:spacing w:before="20" w:after="20"/>
              <w:jc w:val="both"/>
            </w:pPr>
            <w:r>
              <w:rPr>
                <w:b/>
                <w:bCs/>
                <w:sz w:val="18"/>
                <w:szCs w:val="18"/>
              </w:rPr>
              <w:t xml:space="preserve">Producto 14: </w:t>
            </w:r>
            <w:r>
              <w:rPr>
                <w:sz w:val="18"/>
                <w:szCs w:val="18"/>
              </w:rPr>
              <w:t>Cuadro de equilibrio macroeconómico abierto por subsistemas.</w:t>
            </w:r>
          </w:p>
        </w:tc>
      </w:tr>
      <w:tr w:rsidR="00990B14" w14:paraId="62641739" w14:textId="77777777">
        <w:trPr>
          <w:cantSplit/>
          <w:jc w:val="center"/>
        </w:trPr>
        <w:tc>
          <w:tcPr>
            <w:tcW w:w="3133" w:type="dxa"/>
            <w:gridSpan w:val="4"/>
            <w:vMerge w:val="restart"/>
            <w:shd w:val="clear" w:color="auto" w:fill="D9E2F3"/>
            <w:vAlign w:val="center"/>
          </w:tcPr>
          <w:p w14:paraId="325FDBFC" w14:textId="77777777" w:rsidR="00990B14" w:rsidRDefault="00000000">
            <w:pPr>
              <w:spacing w:before="20" w:after="20"/>
              <w:jc w:val="both"/>
            </w:pPr>
            <w:r>
              <w:rPr>
                <w:sz w:val="18"/>
                <w:szCs w:val="18"/>
              </w:rPr>
              <w:t>2. El modelo Mundell-Fleming. Calcula el multiplicador de la producción y la tasa de inflación, diferenciando sus causas y evaluando su efecto en la información financiera de las empresas.</w:t>
            </w:r>
          </w:p>
        </w:tc>
        <w:tc>
          <w:tcPr>
            <w:tcW w:w="3135" w:type="dxa"/>
            <w:gridSpan w:val="5"/>
            <w:shd w:val="clear" w:color="auto" w:fill="D9E2F3"/>
            <w:vAlign w:val="center"/>
          </w:tcPr>
          <w:p w14:paraId="228725CB" w14:textId="77777777" w:rsidR="00990B14" w:rsidRDefault="00000000">
            <w:pPr>
              <w:spacing w:before="20" w:after="20"/>
              <w:jc w:val="both"/>
            </w:pPr>
            <w:r>
              <w:rPr>
                <w:sz w:val="18"/>
                <w:szCs w:val="18"/>
              </w:rPr>
              <w:t>2.1 Calcula en aula el multiplicador simple y el multiplicador ampliado de la producción de un caso.</w:t>
            </w:r>
          </w:p>
        </w:tc>
        <w:tc>
          <w:tcPr>
            <w:tcW w:w="3137" w:type="dxa"/>
            <w:gridSpan w:val="4"/>
            <w:shd w:val="clear" w:color="auto" w:fill="D9E2F3"/>
            <w:vAlign w:val="center"/>
          </w:tcPr>
          <w:p w14:paraId="35C1AF05" w14:textId="77777777" w:rsidR="00990B14" w:rsidRDefault="00000000">
            <w:pPr>
              <w:spacing w:before="20" w:after="20"/>
              <w:jc w:val="both"/>
            </w:pPr>
            <w:r>
              <w:rPr>
                <w:b/>
                <w:bCs/>
                <w:sz w:val="18"/>
                <w:szCs w:val="18"/>
              </w:rPr>
              <w:t xml:space="preserve">Producto 15: </w:t>
            </w:r>
            <w:r>
              <w:rPr>
                <w:sz w:val="18"/>
                <w:szCs w:val="18"/>
              </w:rPr>
              <w:t>Práctico de cálculo del multiplicador simple y ampliado de la producción.</w:t>
            </w:r>
          </w:p>
        </w:tc>
      </w:tr>
      <w:tr w:rsidR="00990B14" w14:paraId="0363C07A" w14:textId="77777777">
        <w:trPr>
          <w:cantSplit/>
          <w:jc w:val="center"/>
        </w:trPr>
        <w:tc>
          <w:tcPr>
            <w:tcW w:w="3133" w:type="dxa"/>
            <w:gridSpan w:val="4"/>
            <w:vMerge/>
            <w:shd w:val="clear" w:color="auto" w:fill="D9E2F3"/>
            <w:vAlign w:val="center"/>
          </w:tcPr>
          <w:p w14:paraId="34DBDFB1" w14:textId="77777777" w:rsidR="00990B14" w:rsidRDefault="00990B14">
            <w:pPr>
              <w:spacing w:before="20" w:after="20"/>
            </w:pPr>
          </w:p>
        </w:tc>
        <w:tc>
          <w:tcPr>
            <w:tcW w:w="3135" w:type="dxa"/>
            <w:gridSpan w:val="5"/>
            <w:shd w:val="clear" w:color="auto" w:fill="D9E2F3"/>
            <w:vAlign w:val="center"/>
          </w:tcPr>
          <w:p w14:paraId="7221580C" w14:textId="77777777" w:rsidR="00990B14" w:rsidRDefault="00000000">
            <w:pPr>
              <w:spacing w:before="20" w:after="20"/>
              <w:jc w:val="both"/>
            </w:pPr>
            <w:r>
              <w:rPr>
                <w:sz w:val="18"/>
                <w:szCs w:val="18"/>
              </w:rPr>
              <w:t>2.2 Explica ante el curso el tipo de inflación de un caso y su efecto en los estados financieros de una empresa.</w:t>
            </w:r>
          </w:p>
        </w:tc>
        <w:tc>
          <w:tcPr>
            <w:tcW w:w="3137" w:type="dxa"/>
            <w:gridSpan w:val="4"/>
            <w:shd w:val="clear" w:color="auto" w:fill="D9E2F3"/>
            <w:vAlign w:val="center"/>
          </w:tcPr>
          <w:p w14:paraId="043BC0E5" w14:textId="77777777" w:rsidR="00990B14" w:rsidRDefault="00000000">
            <w:pPr>
              <w:spacing w:before="20" w:after="20"/>
              <w:jc w:val="both"/>
            </w:pPr>
            <w:r>
              <w:rPr>
                <w:b/>
                <w:bCs/>
                <w:sz w:val="18"/>
                <w:szCs w:val="18"/>
              </w:rPr>
              <w:t xml:space="preserve">Producto 16: </w:t>
            </w:r>
            <w:r>
              <w:rPr>
                <w:sz w:val="18"/>
                <w:szCs w:val="18"/>
              </w:rPr>
              <w:t>Informe del análisis de la inflación y de sus efectos en la empresa.</w:t>
            </w:r>
          </w:p>
        </w:tc>
      </w:tr>
      <w:tr w:rsidR="00990B14" w14:paraId="1A8A0C43" w14:textId="77777777">
        <w:trPr>
          <w:cantSplit/>
          <w:jc w:val="center"/>
        </w:trPr>
        <w:tc>
          <w:tcPr>
            <w:tcW w:w="9405" w:type="dxa"/>
            <w:gridSpan w:val="13"/>
            <w:shd w:val="clear" w:color="auto" w:fill="4472C4"/>
            <w:vAlign w:val="center"/>
          </w:tcPr>
          <w:p w14:paraId="24DBAD0A" w14:textId="77777777" w:rsidR="00990B14" w:rsidRDefault="00000000">
            <w:pPr>
              <w:keepNext/>
              <w:spacing w:before="20" w:after="20"/>
              <w:jc w:val="center"/>
            </w:pPr>
            <w:r>
              <w:rPr>
                <w:b/>
                <w:bCs/>
                <w:i/>
                <w:iCs/>
                <w:color w:val="FFFFFF"/>
                <w:sz w:val="18"/>
                <w:szCs w:val="18"/>
              </w:rPr>
              <w:t>Evidencias de conocimiento</w:t>
            </w:r>
          </w:p>
        </w:tc>
      </w:tr>
      <w:tr w:rsidR="00990B14" w14:paraId="37E240BD" w14:textId="77777777">
        <w:trPr>
          <w:cantSplit/>
          <w:jc w:val="center"/>
        </w:trPr>
        <w:tc>
          <w:tcPr>
            <w:tcW w:w="2349" w:type="dxa"/>
            <w:gridSpan w:val="2"/>
            <w:shd w:val="clear" w:color="auto" w:fill="4472C4"/>
            <w:vAlign w:val="center"/>
          </w:tcPr>
          <w:p w14:paraId="3D051F96"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08998EA5" w14:textId="77777777" w:rsidR="00990B14" w:rsidRDefault="00000000">
            <w:pPr>
              <w:keepNext/>
              <w:spacing w:before="20" w:after="20"/>
              <w:jc w:val="both"/>
            </w:pPr>
            <w:r>
              <w:rPr>
                <w:b/>
                <w:bCs/>
                <w:i/>
                <w:iCs/>
                <w:color w:val="FFFFFF"/>
                <w:sz w:val="18"/>
                <w:szCs w:val="18"/>
              </w:rPr>
              <w:t>Contenidos</w:t>
            </w:r>
          </w:p>
          <w:p w14:paraId="0601F88E"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14A9244C" w14:textId="77777777" w:rsidR="00990B14" w:rsidRDefault="00000000">
            <w:pPr>
              <w:keepNext/>
              <w:spacing w:before="20" w:after="20"/>
              <w:jc w:val="center"/>
            </w:pPr>
            <w:r>
              <w:rPr>
                <w:b/>
                <w:bCs/>
                <w:i/>
                <w:iCs/>
                <w:color w:val="FFFFFF"/>
                <w:sz w:val="18"/>
                <w:szCs w:val="18"/>
              </w:rPr>
              <w:t>Conocimientos circunstanciales</w:t>
            </w:r>
          </w:p>
        </w:tc>
      </w:tr>
      <w:tr w:rsidR="00990B14" w14:paraId="07FA8553" w14:textId="77777777">
        <w:trPr>
          <w:jc w:val="center"/>
        </w:trPr>
        <w:tc>
          <w:tcPr>
            <w:tcW w:w="2349" w:type="dxa"/>
            <w:gridSpan w:val="2"/>
            <w:shd w:val="clear" w:color="auto" w:fill="D9E2F3"/>
          </w:tcPr>
          <w:p w14:paraId="7DDA7749" w14:textId="77777777" w:rsidR="00990B14" w:rsidRDefault="00000000">
            <w:pPr>
              <w:spacing w:before="20" w:after="40"/>
              <w:jc w:val="both"/>
            </w:pPr>
            <w:r>
              <w:rPr>
                <w:sz w:val="18"/>
                <w:szCs w:val="18"/>
              </w:rPr>
              <w:t>Tema 11: La Balanza de Pagos</w:t>
            </w:r>
          </w:p>
          <w:p w14:paraId="411F298D" w14:textId="77777777" w:rsidR="00990B14" w:rsidRDefault="00000000">
            <w:pPr>
              <w:spacing w:before="20" w:after="40"/>
              <w:jc w:val="both"/>
            </w:pPr>
            <w:r>
              <w:rPr>
                <w:sz w:val="18"/>
                <w:szCs w:val="18"/>
              </w:rPr>
              <w:t>Tema 12: La Balanza Comercial y el Modelo de Equilibrio Macroeconómico Abierto</w:t>
            </w:r>
          </w:p>
          <w:p w14:paraId="6389CDC7" w14:textId="77777777" w:rsidR="00990B14" w:rsidRDefault="00000000">
            <w:pPr>
              <w:spacing w:before="20" w:after="40"/>
              <w:jc w:val="both"/>
            </w:pPr>
            <w:r>
              <w:rPr>
                <w:sz w:val="18"/>
                <w:szCs w:val="18"/>
              </w:rPr>
              <w:t>Tema 13: Teoría de Inflación y Desempleo</w:t>
            </w:r>
          </w:p>
        </w:tc>
        <w:tc>
          <w:tcPr>
            <w:tcW w:w="4304" w:type="dxa"/>
            <w:gridSpan w:val="8"/>
            <w:shd w:val="clear" w:color="auto" w:fill="D9E2F3"/>
          </w:tcPr>
          <w:p w14:paraId="38A8370A" w14:textId="77777777" w:rsidR="00990B14" w:rsidRDefault="00000000">
            <w:pPr>
              <w:spacing w:after="40"/>
              <w:jc w:val="both"/>
            </w:pPr>
            <w:r>
              <w:rPr>
                <w:sz w:val="18"/>
                <w:szCs w:val="18"/>
              </w:rPr>
              <w:t>La balanza de pagos: significación, interpretación con el registro en partida doble y sus componentes. (C, P)</w:t>
            </w:r>
          </w:p>
          <w:p w14:paraId="28545C1E" w14:textId="77777777" w:rsidR="00990B14" w:rsidRDefault="00000000">
            <w:pPr>
              <w:spacing w:after="40"/>
              <w:jc w:val="both"/>
            </w:pPr>
            <w:r>
              <w:rPr>
                <w:sz w:val="18"/>
                <w:szCs w:val="18"/>
              </w:rPr>
              <w:t>Cuentas de la balanza de pagos y operaciones con dichas cuentas. (C)</w:t>
            </w:r>
          </w:p>
          <w:p w14:paraId="475EAA70" w14:textId="77777777" w:rsidR="00990B14" w:rsidRDefault="00000000">
            <w:pPr>
              <w:spacing w:after="40"/>
              <w:jc w:val="both"/>
            </w:pPr>
            <w:r>
              <w:rPr>
                <w:sz w:val="18"/>
                <w:szCs w:val="18"/>
              </w:rPr>
              <w:t>Balanza de pagos de Bolivia de 2025: cuenta corriente, cuenta financiera y variación de las reservas internacionales. (C)</w:t>
            </w:r>
          </w:p>
          <w:p w14:paraId="15BD65BA" w14:textId="77777777" w:rsidR="00990B14" w:rsidRDefault="00000000">
            <w:pPr>
              <w:spacing w:after="40"/>
              <w:jc w:val="both"/>
            </w:pPr>
            <w:r>
              <w:rPr>
                <w:sz w:val="18"/>
                <w:szCs w:val="18"/>
              </w:rPr>
              <w:t>La balanza comercial: significado e incorporación a la ecuación de equilibrio macroeconómico abierto. (C)</w:t>
            </w:r>
          </w:p>
          <w:p w14:paraId="1DF45EA6" w14:textId="77777777" w:rsidR="00990B14" w:rsidRDefault="00000000">
            <w:pPr>
              <w:spacing w:after="40"/>
              <w:jc w:val="both"/>
            </w:pPr>
            <w:r>
              <w:rPr>
                <w:sz w:val="18"/>
                <w:szCs w:val="18"/>
              </w:rPr>
              <w:t>La ecuación de equilibrio macroeconómico abierto por subsistemas; situaciones de equilibrio y desequilibrio por subsistemas, con el caso de desequilibrios fiscales y política fiscal. (C)</w:t>
            </w:r>
          </w:p>
          <w:p w14:paraId="42DFC41F" w14:textId="77777777" w:rsidR="00990B14" w:rsidRDefault="00000000">
            <w:pPr>
              <w:spacing w:after="40"/>
              <w:jc w:val="both"/>
            </w:pPr>
            <w:r>
              <w:rPr>
                <w:sz w:val="18"/>
                <w:szCs w:val="18"/>
              </w:rPr>
              <w:t>Causas de déficit y de excedente de la balanza comercial; efectos del desequilibrio de la balanza comercial sobre el nivel de actividad y de empleo; instrumentos de política económica. (C)</w:t>
            </w:r>
          </w:p>
          <w:p w14:paraId="1D73AD7C" w14:textId="77777777" w:rsidR="00990B14" w:rsidRDefault="00000000">
            <w:pPr>
              <w:spacing w:after="40"/>
              <w:jc w:val="both"/>
            </w:pPr>
            <w:r>
              <w:rPr>
                <w:sz w:val="18"/>
                <w:szCs w:val="18"/>
              </w:rPr>
              <w:t>Régimen de tipo de cambio flexible y su efecto sobre la balanza comercial, la inflación y los costos de importación. (C)</w:t>
            </w:r>
          </w:p>
          <w:p w14:paraId="79D327D0" w14:textId="77777777" w:rsidR="00990B14" w:rsidRDefault="00000000">
            <w:pPr>
              <w:spacing w:after="40"/>
              <w:jc w:val="both"/>
            </w:pPr>
            <w:r>
              <w:rPr>
                <w:sz w:val="18"/>
                <w:szCs w:val="18"/>
              </w:rPr>
              <w:t>Significación de los gastos autónomos en consumo e inversión; el multiplicador simple de producción y el multiplicador ampliado. (C)</w:t>
            </w:r>
          </w:p>
          <w:p w14:paraId="34AB587D" w14:textId="77777777" w:rsidR="00990B14" w:rsidRDefault="00000000">
            <w:pPr>
              <w:spacing w:after="40"/>
              <w:jc w:val="both"/>
            </w:pPr>
            <w:r>
              <w:rPr>
                <w:sz w:val="18"/>
                <w:szCs w:val="18"/>
              </w:rPr>
              <w:t>Introducción a los modelos de crecimiento económico; oferta y demanda global en la ecuación de equilibrio macroeconómico. (C)</w:t>
            </w:r>
          </w:p>
          <w:p w14:paraId="2C6E8C0D" w14:textId="77777777" w:rsidR="00990B14" w:rsidRDefault="00000000">
            <w:pPr>
              <w:spacing w:after="40"/>
              <w:jc w:val="both"/>
            </w:pPr>
            <w:r>
              <w:rPr>
                <w:sz w:val="18"/>
                <w:szCs w:val="18"/>
              </w:rPr>
              <w:t>Inflación por demanda, inflación por oferta e inflación combinada. (C)</w:t>
            </w:r>
          </w:p>
          <w:p w14:paraId="27FFA3FE" w14:textId="77777777" w:rsidR="00990B14" w:rsidRDefault="00000000">
            <w:pPr>
              <w:spacing w:after="40"/>
              <w:jc w:val="both"/>
            </w:pPr>
            <w:r>
              <w:rPr>
                <w:sz w:val="18"/>
                <w:szCs w:val="18"/>
              </w:rPr>
              <w:t>Inflación reciente en Bolivia: factores de costos, de tipo de cambio y de subvención a los combustibles. (C)</w:t>
            </w:r>
          </w:p>
          <w:p w14:paraId="154315E0" w14:textId="77777777" w:rsidR="00990B14" w:rsidRDefault="00000000">
            <w:pPr>
              <w:spacing w:after="40"/>
              <w:jc w:val="both"/>
            </w:pPr>
            <w:r>
              <w:rPr>
                <w:sz w:val="18"/>
                <w:szCs w:val="18"/>
              </w:rPr>
              <w:t>Efecto de la inflación en la información financiera: Norma de Contabilidad N.º 3, NIC 29 y criterios de una economía hiperinflacionaria. (C)</w:t>
            </w:r>
          </w:p>
          <w:p w14:paraId="49AAFA9B" w14:textId="77777777" w:rsidR="00990B14" w:rsidRDefault="00000000">
            <w:pPr>
              <w:spacing w:after="40"/>
              <w:jc w:val="both"/>
            </w:pPr>
            <w:r>
              <w:rPr>
                <w:sz w:val="18"/>
                <w:szCs w:val="18"/>
              </w:rPr>
              <w:t>Riesgos cambiario y de inflación de las empresas y medidas de gestión. (C)</w:t>
            </w:r>
          </w:p>
          <w:p w14:paraId="3F5CEA0B" w14:textId="77777777" w:rsidR="00990B14" w:rsidRDefault="00000000">
            <w:pPr>
              <w:spacing w:after="40"/>
              <w:jc w:val="both"/>
            </w:pPr>
            <w:r>
              <w:rPr>
                <w:sz w:val="18"/>
                <w:szCs w:val="18"/>
              </w:rPr>
              <w:t>La tasa de inflación y la tasa de desempleo. (C)</w:t>
            </w:r>
          </w:p>
          <w:p w14:paraId="6A8B8AC0" w14:textId="77777777" w:rsidR="00990B14" w:rsidRPr="00BD34F7" w:rsidRDefault="00000000">
            <w:pPr>
              <w:spacing w:after="40"/>
              <w:jc w:val="both"/>
              <w:rPr>
                <w:lang w:val="en-US"/>
              </w:rPr>
            </w:pPr>
            <w:r>
              <w:rPr>
                <w:sz w:val="18"/>
                <w:szCs w:val="18"/>
              </w:rPr>
              <w:t xml:space="preserve">Crecimiento económico sostenible, pobreza y equidad social, y su relación con los Objetivos de Desarrollo Sostenible. </w:t>
            </w:r>
            <w:r w:rsidRPr="00BD34F7">
              <w:rPr>
                <w:sz w:val="18"/>
                <w:szCs w:val="18"/>
                <w:lang w:val="en-US"/>
              </w:rPr>
              <w:t>(C)</w:t>
            </w:r>
          </w:p>
          <w:p w14:paraId="0656D107" w14:textId="77777777" w:rsidR="00990B14" w:rsidRDefault="00000000">
            <w:pPr>
              <w:spacing w:after="40"/>
              <w:jc w:val="both"/>
            </w:pPr>
            <w:r w:rsidRPr="00BD34F7">
              <w:rPr>
                <w:sz w:val="18"/>
                <w:szCs w:val="18"/>
                <w:lang w:val="en-US"/>
              </w:rPr>
              <w:t xml:space="preserve">Terminología macroeconómica en inglés: gross domestic product, consumer price index, balance of payments y unemployment rate. </w:t>
            </w:r>
            <w:r>
              <w:rPr>
                <w:sz w:val="18"/>
                <w:szCs w:val="18"/>
              </w:rPr>
              <w:t>(C)</w:t>
            </w:r>
          </w:p>
        </w:tc>
        <w:tc>
          <w:tcPr>
            <w:tcW w:w="2752" w:type="dxa"/>
            <w:gridSpan w:val="3"/>
            <w:shd w:val="clear" w:color="auto" w:fill="D9E2F3"/>
          </w:tcPr>
          <w:p w14:paraId="4B9DB4E3" w14:textId="77777777" w:rsidR="00990B14" w:rsidRDefault="00000000">
            <w:pPr>
              <w:numPr>
                <w:ilvl w:val="0"/>
                <w:numId w:val="139"/>
              </w:numPr>
              <w:spacing w:before="10" w:after="10"/>
              <w:jc w:val="both"/>
            </w:pPr>
            <w:r>
              <w:rPr>
                <w:sz w:val="18"/>
                <w:szCs w:val="18"/>
              </w:rPr>
              <w:t>Nociones de la estructura de las exportaciones e importaciones bolivianas por producto y destino.</w:t>
            </w:r>
          </w:p>
          <w:p w14:paraId="7C313CE8" w14:textId="77777777" w:rsidR="00990B14" w:rsidRDefault="00000000">
            <w:pPr>
              <w:numPr>
                <w:ilvl w:val="0"/>
                <w:numId w:val="139"/>
              </w:numPr>
              <w:spacing w:before="10" w:after="10"/>
              <w:jc w:val="both"/>
            </w:pPr>
            <w:r>
              <w:rPr>
                <w:sz w:val="18"/>
                <w:szCs w:val="18"/>
              </w:rPr>
              <w:t>Nociones de la medición del empleo y del desempleo en las encuestas de hogares.</w:t>
            </w:r>
          </w:p>
        </w:tc>
      </w:tr>
      <w:tr w:rsidR="00990B14" w14:paraId="1FC9A845" w14:textId="77777777">
        <w:trPr>
          <w:cantSplit/>
          <w:jc w:val="center"/>
        </w:trPr>
        <w:tc>
          <w:tcPr>
            <w:tcW w:w="9405" w:type="dxa"/>
            <w:gridSpan w:val="13"/>
            <w:shd w:val="clear" w:color="auto" w:fill="D9E2F3"/>
            <w:vAlign w:val="center"/>
          </w:tcPr>
          <w:p w14:paraId="30D96A24" w14:textId="77777777" w:rsidR="00990B14" w:rsidRDefault="00000000">
            <w:pPr>
              <w:spacing w:before="20" w:after="20"/>
              <w:jc w:val="both"/>
            </w:pPr>
            <w:r>
              <w:rPr>
                <w:b/>
                <w:bCs/>
                <w:i/>
                <w:iCs/>
                <w:sz w:val="18"/>
                <w:szCs w:val="18"/>
              </w:rPr>
              <w:t xml:space="preserve">Elemento de competencia 5: </w:t>
            </w:r>
            <w:r>
              <w:rPr>
                <w:sz w:val="18"/>
                <w:szCs w:val="18"/>
              </w:rPr>
              <w:t>Analiza la política fiscal del Estado en el marco del régimen autonómico boliviano, determinando la estructura de los ingresos y gastos del sector público, la distribución de recursos y competencias entre el nivel central, las gobernaciones y los municipios, y la sostenibilidad del déficit y de la deuda pública, para diseñar estrategias de planificación tributaria y de gestión financiera, y evaluar el efecto de la normativa fiscal subnacional sobre la salud financiera de las entidades públicas.</w:t>
            </w:r>
          </w:p>
        </w:tc>
      </w:tr>
      <w:tr w:rsidR="00990B14" w14:paraId="56D49327" w14:textId="77777777">
        <w:trPr>
          <w:cantSplit/>
          <w:jc w:val="center"/>
        </w:trPr>
        <w:tc>
          <w:tcPr>
            <w:tcW w:w="3133" w:type="dxa"/>
            <w:gridSpan w:val="4"/>
            <w:shd w:val="clear" w:color="auto" w:fill="4472C4"/>
            <w:vAlign w:val="center"/>
          </w:tcPr>
          <w:p w14:paraId="16491398"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0C816E5C"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5C73857A" w14:textId="77777777" w:rsidR="00990B14" w:rsidRDefault="00000000">
            <w:pPr>
              <w:keepNext/>
              <w:spacing w:before="20" w:after="20"/>
              <w:jc w:val="center"/>
            </w:pPr>
            <w:r>
              <w:rPr>
                <w:b/>
                <w:bCs/>
                <w:i/>
                <w:iCs/>
                <w:color w:val="FFFFFF"/>
                <w:sz w:val="18"/>
                <w:szCs w:val="18"/>
              </w:rPr>
              <w:t>Evidencias de producto</w:t>
            </w:r>
          </w:p>
        </w:tc>
      </w:tr>
      <w:tr w:rsidR="00990B14" w14:paraId="5E030CBB" w14:textId="77777777">
        <w:trPr>
          <w:cantSplit/>
          <w:jc w:val="center"/>
        </w:trPr>
        <w:tc>
          <w:tcPr>
            <w:tcW w:w="3133" w:type="dxa"/>
            <w:gridSpan w:val="4"/>
            <w:vMerge w:val="restart"/>
            <w:shd w:val="clear" w:color="auto" w:fill="D9E2F3"/>
            <w:vAlign w:val="center"/>
          </w:tcPr>
          <w:p w14:paraId="341E2658" w14:textId="77777777" w:rsidR="00990B14" w:rsidRDefault="00000000">
            <w:pPr>
              <w:spacing w:before="20" w:after="20"/>
              <w:jc w:val="both"/>
            </w:pPr>
            <w:r>
              <w:rPr>
                <w:sz w:val="18"/>
                <w:szCs w:val="18"/>
              </w:rPr>
              <w:t>1. Analiza la política fiscal del Estado y las cuentas del sector público no financiero, calculando el multiplicador del gasto y de los impuestos y la sostenibilidad del déficit.</w:t>
            </w:r>
          </w:p>
        </w:tc>
        <w:tc>
          <w:tcPr>
            <w:tcW w:w="3135" w:type="dxa"/>
            <w:gridSpan w:val="5"/>
            <w:shd w:val="clear" w:color="auto" w:fill="D9E2F3"/>
            <w:vAlign w:val="center"/>
          </w:tcPr>
          <w:p w14:paraId="03B1DC62" w14:textId="77777777" w:rsidR="00990B14" w:rsidRDefault="00000000">
            <w:pPr>
              <w:spacing w:before="20" w:after="20"/>
              <w:jc w:val="both"/>
            </w:pPr>
            <w:r>
              <w:rPr>
                <w:sz w:val="18"/>
                <w:szCs w:val="18"/>
              </w:rPr>
              <w:t>1.1 Calcula en aula el efecto multiplicador de una medida de política fiscal y su impacto sobre el resultado fiscal.</w:t>
            </w:r>
          </w:p>
        </w:tc>
        <w:tc>
          <w:tcPr>
            <w:tcW w:w="3137" w:type="dxa"/>
            <w:gridSpan w:val="4"/>
            <w:shd w:val="clear" w:color="auto" w:fill="D9E2F3"/>
            <w:vAlign w:val="center"/>
          </w:tcPr>
          <w:p w14:paraId="596049FB" w14:textId="77777777" w:rsidR="00990B14" w:rsidRDefault="00000000">
            <w:pPr>
              <w:spacing w:before="20" w:after="20"/>
              <w:jc w:val="both"/>
            </w:pPr>
            <w:r>
              <w:rPr>
                <w:b/>
                <w:bCs/>
                <w:sz w:val="18"/>
                <w:szCs w:val="18"/>
              </w:rPr>
              <w:t xml:space="preserve">Producto 17: </w:t>
            </w:r>
            <w:r>
              <w:rPr>
                <w:sz w:val="18"/>
                <w:szCs w:val="18"/>
              </w:rPr>
              <w:t>Práctico del multiplicador del gasto público, de los impuestos y del presupuesto equilibrado.</w:t>
            </w:r>
          </w:p>
        </w:tc>
      </w:tr>
      <w:tr w:rsidR="00990B14" w14:paraId="6E0614E1" w14:textId="77777777">
        <w:trPr>
          <w:cantSplit/>
          <w:jc w:val="center"/>
        </w:trPr>
        <w:tc>
          <w:tcPr>
            <w:tcW w:w="3133" w:type="dxa"/>
            <w:gridSpan w:val="4"/>
            <w:vMerge/>
            <w:shd w:val="clear" w:color="auto" w:fill="D9E2F3"/>
            <w:vAlign w:val="center"/>
          </w:tcPr>
          <w:p w14:paraId="360C4703" w14:textId="77777777" w:rsidR="00990B14" w:rsidRDefault="00990B14">
            <w:pPr>
              <w:spacing w:before="20" w:after="20"/>
            </w:pPr>
          </w:p>
        </w:tc>
        <w:tc>
          <w:tcPr>
            <w:tcW w:w="3135" w:type="dxa"/>
            <w:gridSpan w:val="5"/>
            <w:shd w:val="clear" w:color="auto" w:fill="D9E2F3"/>
            <w:vAlign w:val="center"/>
          </w:tcPr>
          <w:p w14:paraId="100D1935" w14:textId="77777777" w:rsidR="00990B14" w:rsidRDefault="00000000">
            <w:pPr>
              <w:spacing w:before="20" w:after="20"/>
              <w:jc w:val="both"/>
            </w:pPr>
            <w:r>
              <w:rPr>
                <w:sz w:val="18"/>
                <w:szCs w:val="18"/>
              </w:rPr>
              <w:t>1.2 Elabora en el laboratorio de cómputo el cuadro de las cuentas fiscales del sector público no financiero con datos oficiales.</w:t>
            </w:r>
          </w:p>
        </w:tc>
        <w:tc>
          <w:tcPr>
            <w:tcW w:w="3137" w:type="dxa"/>
            <w:gridSpan w:val="4"/>
            <w:shd w:val="clear" w:color="auto" w:fill="D9E2F3"/>
            <w:vAlign w:val="center"/>
          </w:tcPr>
          <w:p w14:paraId="618CB4EF" w14:textId="77777777" w:rsidR="00990B14" w:rsidRDefault="00000000">
            <w:pPr>
              <w:spacing w:before="20" w:after="20"/>
              <w:jc w:val="both"/>
            </w:pPr>
            <w:r>
              <w:rPr>
                <w:b/>
                <w:bCs/>
                <w:sz w:val="18"/>
                <w:szCs w:val="18"/>
              </w:rPr>
              <w:t xml:space="preserve">Producto 18: </w:t>
            </w:r>
            <w:r>
              <w:rPr>
                <w:sz w:val="18"/>
                <w:szCs w:val="18"/>
              </w:rPr>
              <w:t>Cuadro de las cuentas fiscales con el resultado primario y el resultado global.</w:t>
            </w:r>
          </w:p>
        </w:tc>
      </w:tr>
      <w:tr w:rsidR="00990B14" w14:paraId="11DBCAE1" w14:textId="77777777">
        <w:trPr>
          <w:cantSplit/>
          <w:jc w:val="center"/>
        </w:trPr>
        <w:tc>
          <w:tcPr>
            <w:tcW w:w="3133" w:type="dxa"/>
            <w:gridSpan w:val="4"/>
            <w:vMerge w:val="restart"/>
            <w:shd w:val="clear" w:color="auto" w:fill="D9E2F3"/>
            <w:vAlign w:val="center"/>
          </w:tcPr>
          <w:p w14:paraId="7A5BF6B1" w14:textId="77777777" w:rsidR="00990B14" w:rsidRDefault="00000000">
            <w:pPr>
              <w:spacing w:before="20" w:after="20"/>
              <w:jc w:val="both"/>
            </w:pPr>
            <w:r>
              <w:rPr>
                <w:sz w:val="18"/>
                <w:szCs w:val="18"/>
              </w:rPr>
              <w:t>2. Evalúa la salud financiera de una entidad territorial autónoma y la planificación tributaria de una empresa en el marco del régimen autonómico, distinguiendo la planificación lícita de la elusión y la evasión.</w:t>
            </w:r>
          </w:p>
        </w:tc>
        <w:tc>
          <w:tcPr>
            <w:tcW w:w="3135" w:type="dxa"/>
            <w:gridSpan w:val="5"/>
            <w:shd w:val="clear" w:color="auto" w:fill="D9E2F3"/>
            <w:vAlign w:val="center"/>
          </w:tcPr>
          <w:p w14:paraId="3513E75A" w14:textId="77777777" w:rsidR="00990B14" w:rsidRDefault="00000000">
            <w:pPr>
              <w:spacing w:before="20" w:after="20"/>
              <w:jc w:val="both"/>
            </w:pPr>
            <w:r>
              <w:rPr>
                <w:sz w:val="18"/>
                <w:szCs w:val="18"/>
              </w:rPr>
              <w:t>2.1 Calcula en equipo los indicadores de autonomía financiera, dependencia de transferencias, ejecución presupuestaria y endeudamiento de una gobernación o un municipio.</w:t>
            </w:r>
          </w:p>
        </w:tc>
        <w:tc>
          <w:tcPr>
            <w:tcW w:w="3137" w:type="dxa"/>
            <w:gridSpan w:val="4"/>
            <w:shd w:val="clear" w:color="auto" w:fill="D9E2F3"/>
            <w:vAlign w:val="center"/>
          </w:tcPr>
          <w:p w14:paraId="579F35B2" w14:textId="77777777" w:rsidR="00990B14" w:rsidRDefault="00000000">
            <w:pPr>
              <w:spacing w:before="20" w:after="20"/>
              <w:jc w:val="both"/>
            </w:pPr>
            <w:r>
              <w:rPr>
                <w:b/>
                <w:bCs/>
                <w:sz w:val="18"/>
                <w:szCs w:val="18"/>
              </w:rPr>
              <w:t xml:space="preserve">Producto 19: </w:t>
            </w:r>
            <w:r>
              <w:rPr>
                <w:sz w:val="18"/>
                <w:szCs w:val="18"/>
              </w:rPr>
              <w:t>Informe de diagnóstico de la salud financiera de una entidad territorial autónoma.</w:t>
            </w:r>
          </w:p>
        </w:tc>
      </w:tr>
      <w:tr w:rsidR="00990B14" w14:paraId="14ECF19F" w14:textId="77777777">
        <w:trPr>
          <w:cantSplit/>
          <w:jc w:val="center"/>
        </w:trPr>
        <w:tc>
          <w:tcPr>
            <w:tcW w:w="3133" w:type="dxa"/>
            <w:gridSpan w:val="4"/>
            <w:vMerge/>
            <w:shd w:val="clear" w:color="auto" w:fill="D9E2F3"/>
            <w:vAlign w:val="center"/>
          </w:tcPr>
          <w:p w14:paraId="3802CBB7" w14:textId="77777777" w:rsidR="00990B14" w:rsidRDefault="00990B14">
            <w:pPr>
              <w:spacing w:before="20" w:after="20"/>
            </w:pPr>
          </w:p>
        </w:tc>
        <w:tc>
          <w:tcPr>
            <w:tcW w:w="3135" w:type="dxa"/>
            <w:gridSpan w:val="5"/>
            <w:shd w:val="clear" w:color="auto" w:fill="D9E2F3"/>
            <w:vAlign w:val="center"/>
          </w:tcPr>
          <w:p w14:paraId="5E4E0B3D" w14:textId="77777777" w:rsidR="00990B14" w:rsidRDefault="00000000">
            <w:pPr>
              <w:spacing w:before="20" w:after="20"/>
              <w:jc w:val="both"/>
            </w:pPr>
            <w:r>
              <w:rPr>
                <w:sz w:val="18"/>
                <w:szCs w:val="18"/>
              </w:rPr>
              <w:t>2.2 Sustenta ante el curso una propuesta de planificación tributaria de una empresa que opera en varios municipios.</w:t>
            </w:r>
          </w:p>
        </w:tc>
        <w:tc>
          <w:tcPr>
            <w:tcW w:w="3137" w:type="dxa"/>
            <w:gridSpan w:val="4"/>
            <w:shd w:val="clear" w:color="auto" w:fill="D9E2F3"/>
            <w:vAlign w:val="center"/>
          </w:tcPr>
          <w:p w14:paraId="7312023E" w14:textId="77777777" w:rsidR="00990B14" w:rsidRDefault="00000000">
            <w:pPr>
              <w:spacing w:before="20" w:after="20"/>
              <w:jc w:val="both"/>
            </w:pPr>
            <w:r>
              <w:rPr>
                <w:b/>
                <w:bCs/>
                <w:sz w:val="18"/>
                <w:szCs w:val="18"/>
              </w:rPr>
              <w:t xml:space="preserve">Producto 20: </w:t>
            </w:r>
            <w:r>
              <w:rPr>
                <w:sz w:val="18"/>
                <w:szCs w:val="18"/>
              </w:rPr>
              <w:t>Propuesta de planificación tributaria ante los impuestos de dominio nacional, departamental y municipal.</w:t>
            </w:r>
          </w:p>
        </w:tc>
      </w:tr>
      <w:tr w:rsidR="00990B14" w14:paraId="110D1ACC" w14:textId="77777777">
        <w:trPr>
          <w:cantSplit/>
          <w:jc w:val="center"/>
        </w:trPr>
        <w:tc>
          <w:tcPr>
            <w:tcW w:w="9405" w:type="dxa"/>
            <w:gridSpan w:val="13"/>
            <w:shd w:val="clear" w:color="auto" w:fill="4472C4"/>
            <w:vAlign w:val="center"/>
          </w:tcPr>
          <w:p w14:paraId="60FE2638" w14:textId="77777777" w:rsidR="00990B14" w:rsidRDefault="00000000">
            <w:pPr>
              <w:keepNext/>
              <w:spacing w:before="20" w:after="20"/>
              <w:jc w:val="center"/>
            </w:pPr>
            <w:r>
              <w:rPr>
                <w:b/>
                <w:bCs/>
                <w:i/>
                <w:iCs/>
                <w:color w:val="FFFFFF"/>
                <w:sz w:val="18"/>
                <w:szCs w:val="18"/>
              </w:rPr>
              <w:t>Evidencias de conocimiento</w:t>
            </w:r>
          </w:p>
        </w:tc>
      </w:tr>
      <w:tr w:rsidR="00990B14" w14:paraId="1839B746" w14:textId="77777777">
        <w:trPr>
          <w:cantSplit/>
          <w:jc w:val="center"/>
        </w:trPr>
        <w:tc>
          <w:tcPr>
            <w:tcW w:w="2349" w:type="dxa"/>
            <w:gridSpan w:val="2"/>
            <w:shd w:val="clear" w:color="auto" w:fill="4472C4"/>
            <w:vAlign w:val="center"/>
          </w:tcPr>
          <w:p w14:paraId="3EC9BF87"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5CC57974" w14:textId="77777777" w:rsidR="00990B14" w:rsidRDefault="00000000">
            <w:pPr>
              <w:keepNext/>
              <w:spacing w:before="20" w:after="20"/>
              <w:jc w:val="both"/>
            </w:pPr>
            <w:r>
              <w:rPr>
                <w:b/>
                <w:bCs/>
                <w:i/>
                <w:iCs/>
                <w:color w:val="FFFFFF"/>
                <w:sz w:val="18"/>
                <w:szCs w:val="18"/>
              </w:rPr>
              <w:t>Contenidos</w:t>
            </w:r>
          </w:p>
          <w:p w14:paraId="1ED1480F"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5DC63706" w14:textId="77777777" w:rsidR="00990B14" w:rsidRDefault="00000000">
            <w:pPr>
              <w:keepNext/>
              <w:spacing w:before="20" w:after="20"/>
              <w:jc w:val="center"/>
            </w:pPr>
            <w:r>
              <w:rPr>
                <w:b/>
                <w:bCs/>
                <w:i/>
                <w:iCs/>
                <w:color w:val="FFFFFF"/>
                <w:sz w:val="18"/>
                <w:szCs w:val="18"/>
              </w:rPr>
              <w:t>Conocimientos circunstanciales</w:t>
            </w:r>
          </w:p>
        </w:tc>
      </w:tr>
      <w:tr w:rsidR="00990B14" w14:paraId="66714AE7" w14:textId="77777777">
        <w:trPr>
          <w:jc w:val="center"/>
        </w:trPr>
        <w:tc>
          <w:tcPr>
            <w:tcW w:w="2349" w:type="dxa"/>
            <w:gridSpan w:val="2"/>
            <w:shd w:val="clear" w:color="auto" w:fill="D9E2F3"/>
          </w:tcPr>
          <w:p w14:paraId="7938C6F4" w14:textId="77777777" w:rsidR="00990B14" w:rsidRDefault="00000000">
            <w:pPr>
              <w:spacing w:before="20" w:after="40"/>
              <w:jc w:val="both"/>
            </w:pPr>
            <w:r>
              <w:rPr>
                <w:sz w:val="18"/>
                <w:szCs w:val="18"/>
              </w:rPr>
              <w:t>Tema 14: Política Fiscal y Finanzas Públicas</w:t>
            </w:r>
          </w:p>
          <w:p w14:paraId="12356645" w14:textId="77777777" w:rsidR="00990B14" w:rsidRDefault="00000000">
            <w:pPr>
              <w:spacing w:before="20" w:after="40"/>
              <w:jc w:val="both"/>
            </w:pPr>
            <w:r>
              <w:rPr>
                <w:sz w:val="18"/>
                <w:szCs w:val="18"/>
              </w:rPr>
              <w:t>Tema 15: Federalismo Fiscal y Régimen Autonómico en Bolivia</w:t>
            </w:r>
          </w:p>
        </w:tc>
        <w:tc>
          <w:tcPr>
            <w:tcW w:w="4304" w:type="dxa"/>
            <w:gridSpan w:val="8"/>
            <w:shd w:val="clear" w:color="auto" w:fill="D9E2F3"/>
          </w:tcPr>
          <w:p w14:paraId="25A120A3" w14:textId="77777777" w:rsidR="00990B14" w:rsidRDefault="00000000">
            <w:pPr>
              <w:spacing w:after="40"/>
              <w:jc w:val="both"/>
            </w:pPr>
            <w:r>
              <w:rPr>
                <w:sz w:val="18"/>
                <w:szCs w:val="18"/>
              </w:rPr>
              <w:t>Significado y objetivos de la política fiscal: asignación, distribución y estabilización; política fiscal expansiva y contractiva. (C, P)</w:t>
            </w:r>
          </w:p>
          <w:p w14:paraId="316DD034" w14:textId="77777777" w:rsidR="00990B14" w:rsidRDefault="00000000">
            <w:pPr>
              <w:spacing w:after="40"/>
              <w:jc w:val="both"/>
            </w:pPr>
            <w:r>
              <w:rPr>
                <w:sz w:val="18"/>
                <w:szCs w:val="18"/>
              </w:rPr>
              <w:t>Los ingresos públicos: tributarios, no tributarios y por la explotación de recursos naturales; estructura del sistema tributario boliviano. (C)</w:t>
            </w:r>
          </w:p>
          <w:p w14:paraId="5CD91D33" w14:textId="77777777" w:rsidR="00990B14" w:rsidRDefault="00000000">
            <w:pPr>
              <w:spacing w:after="40"/>
              <w:jc w:val="both"/>
            </w:pPr>
            <w:r>
              <w:rPr>
                <w:sz w:val="18"/>
                <w:szCs w:val="18"/>
              </w:rPr>
              <w:t>El gasto público corriente y de capital; el Presupuesto General del Estado, su formulación y su ejecución. (P)</w:t>
            </w:r>
          </w:p>
          <w:p w14:paraId="10422438" w14:textId="77777777" w:rsidR="00990B14" w:rsidRDefault="00000000">
            <w:pPr>
              <w:spacing w:after="40"/>
              <w:jc w:val="both"/>
            </w:pPr>
            <w:r>
              <w:rPr>
                <w:sz w:val="18"/>
                <w:szCs w:val="18"/>
              </w:rPr>
              <w:t>El multiplicador del gasto público, de los impuestos y del presupuesto equilibrado; los estabilizadores automáticos. (C)</w:t>
            </w:r>
          </w:p>
          <w:p w14:paraId="54742107" w14:textId="77777777" w:rsidR="00990B14" w:rsidRDefault="00000000">
            <w:pPr>
              <w:spacing w:after="40"/>
              <w:jc w:val="both"/>
            </w:pPr>
            <w:r>
              <w:rPr>
                <w:sz w:val="18"/>
                <w:szCs w:val="18"/>
              </w:rPr>
              <w:t>Resultado fiscal primario y global del sector público no financiero, financiamiento del déficit, deuda pública y sostenibilidad fiscal. (C)</w:t>
            </w:r>
          </w:p>
          <w:p w14:paraId="0623FB96" w14:textId="77777777" w:rsidR="00990B14" w:rsidRDefault="00000000">
            <w:pPr>
              <w:spacing w:after="40"/>
              <w:jc w:val="both"/>
            </w:pPr>
            <w:r>
              <w:rPr>
                <w:sz w:val="18"/>
                <w:szCs w:val="18"/>
              </w:rPr>
              <w:t>Efecto expulsión (crowding out) y coordinación de la política fiscal con la política monetaria en el modelo IS-LM. (C)</w:t>
            </w:r>
          </w:p>
          <w:p w14:paraId="2D776E81" w14:textId="77777777" w:rsidR="00990B14" w:rsidRDefault="00000000">
            <w:pPr>
              <w:spacing w:after="40"/>
              <w:jc w:val="both"/>
            </w:pPr>
            <w:r>
              <w:rPr>
                <w:sz w:val="18"/>
                <w:szCs w:val="18"/>
              </w:rPr>
              <w:t>Federalismo fiscal y descentralización: correspondencia fiscal, desequilibrios vertical y horizontal, y transferencias intergubernamentales. (C)</w:t>
            </w:r>
          </w:p>
          <w:p w14:paraId="59D70981" w14:textId="77777777" w:rsidR="00990B14" w:rsidRDefault="00000000">
            <w:pPr>
              <w:spacing w:after="40"/>
              <w:jc w:val="both"/>
            </w:pPr>
            <w:r>
              <w:rPr>
                <w:sz w:val="18"/>
                <w:szCs w:val="18"/>
              </w:rPr>
              <w:t>Organización territorial del Estado y distribución de competencias privativas, exclusivas, concurrentes y compartidas entre el nivel central, las gobernaciones y los municipios. (C)</w:t>
            </w:r>
          </w:p>
          <w:p w14:paraId="29946E02" w14:textId="77777777" w:rsidR="00990B14" w:rsidRDefault="00000000">
            <w:pPr>
              <w:spacing w:after="40"/>
              <w:jc w:val="both"/>
            </w:pPr>
            <w:r>
              <w:rPr>
                <w:sz w:val="18"/>
                <w:szCs w:val="18"/>
              </w:rPr>
              <w:t>Fuentes de financiamiento de las entidades territoriales autónomas: coparticipación tributaria, Impuesto Directo a los Hidrocarburos, regalías, transferencias e ingresos propios. (C)</w:t>
            </w:r>
          </w:p>
          <w:p w14:paraId="3E4D1BE4" w14:textId="77777777" w:rsidR="00990B14" w:rsidRDefault="00000000">
            <w:pPr>
              <w:spacing w:after="40"/>
              <w:jc w:val="both"/>
            </w:pPr>
            <w:r>
              <w:rPr>
                <w:sz w:val="18"/>
                <w:szCs w:val="18"/>
              </w:rPr>
              <w:t>Impuestos de dominio nacional, departamental y municipal, y sus implicaciones en la planificación tributaria y la gestión financiera de las empresas. (C)</w:t>
            </w:r>
          </w:p>
          <w:p w14:paraId="2F33D983" w14:textId="77777777" w:rsidR="00990B14" w:rsidRDefault="00000000">
            <w:pPr>
              <w:spacing w:after="40"/>
              <w:jc w:val="both"/>
            </w:pPr>
            <w:r>
              <w:rPr>
                <w:sz w:val="18"/>
                <w:szCs w:val="18"/>
              </w:rPr>
              <w:t>Indicadores de salud financiera de las entidades públicas: autonomía financiera, dependencia de transferencias, ejecución presupuestaria, solvencia y límites de endeudamiento. (P)</w:t>
            </w:r>
          </w:p>
          <w:p w14:paraId="732C4EB4" w14:textId="77777777" w:rsidR="00990B14" w:rsidRDefault="00000000">
            <w:pPr>
              <w:spacing w:after="40"/>
              <w:jc w:val="both"/>
            </w:pPr>
            <w:r>
              <w:rPr>
                <w:sz w:val="18"/>
                <w:szCs w:val="18"/>
              </w:rPr>
              <w:t>Pacto fiscal: criterios de distribución de recursos (población, capacidad y esfuerzo fiscal, necesidades básicas insatisfechas) y correspondencia entre recursos y competencias. (C)</w:t>
            </w:r>
          </w:p>
          <w:p w14:paraId="05D4409C" w14:textId="77777777" w:rsidR="00990B14" w:rsidRDefault="00000000">
            <w:pPr>
              <w:spacing w:after="40"/>
              <w:jc w:val="both"/>
            </w:pPr>
            <w:r>
              <w:rPr>
                <w:sz w:val="18"/>
                <w:szCs w:val="18"/>
              </w:rPr>
              <w:t>Responsabilidad, transparencia y rendición de cuentas en la gestión fiscal; ética del contador público frente a la planificación tributaria, la elusión y la evasión. (C, A)</w:t>
            </w:r>
          </w:p>
        </w:tc>
        <w:tc>
          <w:tcPr>
            <w:tcW w:w="2752" w:type="dxa"/>
            <w:gridSpan w:val="3"/>
            <w:shd w:val="clear" w:color="auto" w:fill="D9E2F3"/>
          </w:tcPr>
          <w:p w14:paraId="3ABF65D5" w14:textId="77777777" w:rsidR="00990B14" w:rsidRDefault="00000000">
            <w:pPr>
              <w:numPr>
                <w:ilvl w:val="0"/>
                <w:numId w:val="139"/>
              </w:numPr>
              <w:spacing w:before="10" w:after="10"/>
              <w:jc w:val="both"/>
            </w:pPr>
            <w:r>
              <w:rPr>
                <w:sz w:val="18"/>
                <w:szCs w:val="18"/>
              </w:rPr>
              <w:t>Nociones de historia de la descentralización y de la participación popular en Bolivia.</w:t>
            </w:r>
          </w:p>
          <w:p w14:paraId="5BB268F4" w14:textId="77777777" w:rsidR="00990B14" w:rsidRDefault="00000000">
            <w:pPr>
              <w:numPr>
                <w:ilvl w:val="0"/>
                <w:numId w:val="139"/>
              </w:numPr>
              <w:spacing w:before="10" w:after="10"/>
              <w:jc w:val="both"/>
            </w:pPr>
            <w:r>
              <w:rPr>
                <w:sz w:val="18"/>
                <w:szCs w:val="18"/>
              </w:rPr>
              <w:t>Nociones de la medición de la pobreza y de las necesidades básicas insatisfechas.</w:t>
            </w:r>
          </w:p>
        </w:tc>
      </w:tr>
    </w:tbl>
    <w:p w14:paraId="23538033"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910"/>
        <w:gridCol w:w="1805"/>
        <w:gridCol w:w="1805"/>
        <w:gridCol w:w="1490"/>
        <w:gridCol w:w="2395"/>
      </w:tblGrid>
      <w:tr w:rsidR="00990B14" w14:paraId="5862721A" w14:textId="77777777">
        <w:trPr>
          <w:cantSplit/>
          <w:jc w:val="center"/>
        </w:trPr>
        <w:tc>
          <w:tcPr>
            <w:tcW w:w="9405" w:type="dxa"/>
            <w:gridSpan w:val="5"/>
            <w:shd w:val="clear" w:color="auto" w:fill="4472C4"/>
            <w:vAlign w:val="center"/>
          </w:tcPr>
          <w:p w14:paraId="5569D6CE" w14:textId="77777777" w:rsidR="00990B14" w:rsidRDefault="00000000">
            <w:pPr>
              <w:keepNext/>
              <w:spacing w:before="20" w:after="20"/>
              <w:jc w:val="center"/>
            </w:pPr>
            <w:r>
              <w:rPr>
                <w:b/>
                <w:bCs/>
                <w:i/>
                <w:iCs/>
                <w:color w:val="FFFFFF"/>
                <w:sz w:val="18"/>
                <w:szCs w:val="18"/>
              </w:rPr>
              <w:t>Actividades</w:t>
            </w:r>
          </w:p>
        </w:tc>
      </w:tr>
      <w:tr w:rsidR="00990B14" w14:paraId="7DCC65B7" w14:textId="77777777">
        <w:trPr>
          <w:cantSplit/>
          <w:jc w:val="center"/>
        </w:trPr>
        <w:tc>
          <w:tcPr>
            <w:tcW w:w="1910" w:type="dxa"/>
            <w:shd w:val="clear" w:color="auto" w:fill="4472C4"/>
            <w:vAlign w:val="center"/>
          </w:tcPr>
          <w:p w14:paraId="53C04468" w14:textId="77777777" w:rsidR="00990B14" w:rsidRDefault="00000000">
            <w:pPr>
              <w:keepNext/>
              <w:spacing w:before="20" w:after="20"/>
              <w:jc w:val="center"/>
            </w:pPr>
            <w:r>
              <w:rPr>
                <w:b/>
                <w:bCs/>
                <w:i/>
                <w:iCs/>
                <w:color w:val="FFFFFF"/>
                <w:sz w:val="18"/>
                <w:szCs w:val="18"/>
              </w:rPr>
              <w:t>En clase</w:t>
            </w:r>
          </w:p>
        </w:tc>
        <w:tc>
          <w:tcPr>
            <w:tcW w:w="1805" w:type="dxa"/>
            <w:shd w:val="clear" w:color="auto" w:fill="4472C4"/>
            <w:vAlign w:val="center"/>
          </w:tcPr>
          <w:p w14:paraId="120D3861" w14:textId="77777777" w:rsidR="00990B14" w:rsidRDefault="00000000">
            <w:pPr>
              <w:keepNext/>
              <w:spacing w:before="20" w:after="20"/>
              <w:jc w:val="center"/>
            </w:pPr>
            <w:r>
              <w:rPr>
                <w:b/>
                <w:bCs/>
                <w:i/>
                <w:iCs/>
                <w:color w:val="FFFFFF"/>
                <w:sz w:val="18"/>
                <w:szCs w:val="18"/>
              </w:rPr>
              <w:t>Autónomas</w:t>
            </w:r>
          </w:p>
        </w:tc>
        <w:tc>
          <w:tcPr>
            <w:tcW w:w="1805" w:type="dxa"/>
            <w:shd w:val="clear" w:color="auto" w:fill="4472C4"/>
            <w:vAlign w:val="center"/>
          </w:tcPr>
          <w:p w14:paraId="2038989D" w14:textId="77777777" w:rsidR="00990B14" w:rsidRDefault="00000000">
            <w:pPr>
              <w:keepNext/>
              <w:spacing w:before="20" w:after="20"/>
              <w:jc w:val="center"/>
            </w:pPr>
            <w:r>
              <w:rPr>
                <w:b/>
                <w:bCs/>
                <w:i/>
                <w:iCs/>
                <w:color w:val="FFFFFF"/>
                <w:sz w:val="18"/>
                <w:szCs w:val="18"/>
              </w:rPr>
              <w:t>B-Learning</w:t>
            </w:r>
          </w:p>
        </w:tc>
        <w:tc>
          <w:tcPr>
            <w:tcW w:w="1490" w:type="dxa"/>
            <w:shd w:val="clear" w:color="auto" w:fill="4472C4"/>
            <w:vAlign w:val="center"/>
          </w:tcPr>
          <w:p w14:paraId="36437B6E" w14:textId="77777777" w:rsidR="00990B14" w:rsidRDefault="00000000">
            <w:pPr>
              <w:keepNext/>
              <w:spacing w:before="20" w:after="20"/>
              <w:jc w:val="center"/>
            </w:pPr>
            <w:r>
              <w:rPr>
                <w:b/>
                <w:bCs/>
                <w:i/>
                <w:iCs/>
                <w:color w:val="FFFFFF"/>
                <w:sz w:val="18"/>
                <w:szCs w:val="18"/>
              </w:rPr>
              <w:t>Taller</w:t>
            </w:r>
          </w:p>
        </w:tc>
        <w:tc>
          <w:tcPr>
            <w:tcW w:w="2395" w:type="dxa"/>
            <w:shd w:val="clear" w:color="auto" w:fill="4472C4"/>
            <w:vAlign w:val="center"/>
          </w:tcPr>
          <w:p w14:paraId="55E2EDDF" w14:textId="77777777" w:rsidR="00990B14" w:rsidRDefault="00000000">
            <w:pPr>
              <w:keepNext/>
              <w:spacing w:before="20" w:after="20"/>
              <w:jc w:val="center"/>
            </w:pPr>
            <w:r>
              <w:rPr>
                <w:b/>
                <w:bCs/>
                <w:i/>
                <w:iCs/>
                <w:color w:val="FFFFFF"/>
                <w:sz w:val="18"/>
                <w:szCs w:val="18"/>
              </w:rPr>
              <w:t>Investigación/Práctica</w:t>
            </w:r>
          </w:p>
        </w:tc>
      </w:tr>
      <w:tr w:rsidR="00990B14" w14:paraId="027474D0" w14:textId="77777777">
        <w:trPr>
          <w:jc w:val="center"/>
        </w:trPr>
        <w:tc>
          <w:tcPr>
            <w:tcW w:w="1910" w:type="dxa"/>
            <w:shd w:val="clear" w:color="auto" w:fill="D9E2F3"/>
          </w:tcPr>
          <w:p w14:paraId="2567184A" w14:textId="77777777" w:rsidR="00990B14" w:rsidRDefault="00000000">
            <w:pPr>
              <w:numPr>
                <w:ilvl w:val="0"/>
                <w:numId w:val="139"/>
              </w:numPr>
              <w:spacing w:before="10" w:after="10"/>
              <w:jc w:val="both"/>
            </w:pPr>
            <w:r>
              <w:rPr>
                <w:sz w:val="18"/>
                <w:szCs w:val="18"/>
              </w:rPr>
              <w:t>Exposición dialogada de los agregados macroeconómicos, monetarios y fiscales.</w:t>
            </w:r>
          </w:p>
          <w:p w14:paraId="7F1B9DA1" w14:textId="77777777" w:rsidR="00990B14" w:rsidRDefault="00000000">
            <w:pPr>
              <w:numPr>
                <w:ilvl w:val="0"/>
                <w:numId w:val="139"/>
              </w:numPr>
              <w:spacing w:before="10" w:after="10"/>
              <w:jc w:val="both"/>
            </w:pPr>
            <w:r>
              <w:rPr>
                <w:sz w:val="18"/>
                <w:szCs w:val="18"/>
              </w:rPr>
              <w:t>Resolución guiada de ejercicios de consumo, ahorro, inversión y multiplicadores.</w:t>
            </w:r>
          </w:p>
          <w:p w14:paraId="617B2604" w14:textId="77777777" w:rsidR="00990B14" w:rsidRDefault="00000000">
            <w:pPr>
              <w:numPr>
                <w:ilvl w:val="0"/>
                <w:numId w:val="139"/>
              </w:numPr>
              <w:spacing w:before="10" w:after="10"/>
              <w:jc w:val="both"/>
            </w:pPr>
            <w:r>
              <w:rPr>
                <w:sz w:val="18"/>
                <w:szCs w:val="18"/>
              </w:rPr>
              <w:t>Demostración en la pizarra de la deducción de las curvas IS y LM y de su desplazamiento.</w:t>
            </w:r>
          </w:p>
          <w:p w14:paraId="4C6E6376" w14:textId="77777777" w:rsidR="00990B14" w:rsidRDefault="00000000">
            <w:pPr>
              <w:numPr>
                <w:ilvl w:val="0"/>
                <w:numId w:val="139"/>
              </w:numPr>
              <w:spacing w:before="10" w:after="10"/>
              <w:jc w:val="both"/>
            </w:pPr>
            <w:r>
              <w:rPr>
                <w:sz w:val="18"/>
                <w:szCs w:val="18"/>
              </w:rPr>
              <w:t>Lectura comentada de reportes del Banco Central de Bolivia y del Instituto Nacional de Estadística.</w:t>
            </w:r>
          </w:p>
          <w:p w14:paraId="41EA70F2" w14:textId="77777777" w:rsidR="00990B14" w:rsidRDefault="00000000">
            <w:pPr>
              <w:numPr>
                <w:ilvl w:val="0"/>
                <w:numId w:val="139"/>
              </w:numPr>
              <w:spacing w:before="10" w:after="10"/>
              <w:jc w:val="both"/>
            </w:pPr>
            <w:r>
              <w:rPr>
                <w:sz w:val="18"/>
                <w:szCs w:val="18"/>
              </w:rPr>
              <w:t>Análisis de casos de balanza de pagos, inflación y finanzas de entidades territoriales autónomas.</w:t>
            </w:r>
          </w:p>
        </w:tc>
        <w:tc>
          <w:tcPr>
            <w:tcW w:w="1805" w:type="dxa"/>
            <w:shd w:val="clear" w:color="auto" w:fill="D9E2F3"/>
          </w:tcPr>
          <w:p w14:paraId="59FBCDE7" w14:textId="77777777" w:rsidR="00990B14" w:rsidRDefault="00000000">
            <w:pPr>
              <w:numPr>
                <w:ilvl w:val="0"/>
                <w:numId w:val="139"/>
              </w:numPr>
              <w:spacing w:before="10" w:after="10"/>
              <w:jc w:val="both"/>
            </w:pPr>
            <w:r>
              <w:rPr>
                <w:sz w:val="18"/>
                <w:szCs w:val="18"/>
              </w:rPr>
              <w:t>Resolución de ejercicios de cálculo de agregados macroeconómicos al cierre de cada tema.</w:t>
            </w:r>
          </w:p>
          <w:p w14:paraId="2C16F687" w14:textId="77777777" w:rsidR="00990B14" w:rsidRDefault="00000000">
            <w:pPr>
              <w:numPr>
                <w:ilvl w:val="0"/>
                <w:numId w:val="139"/>
              </w:numPr>
              <w:spacing w:before="10" w:after="10"/>
              <w:jc w:val="both"/>
            </w:pPr>
            <w:r>
              <w:rPr>
                <w:sz w:val="18"/>
                <w:szCs w:val="18"/>
              </w:rPr>
              <w:t>Lectura de memorias, informes de política monetaria y boletines del Banco Central de Bolivia y publicaciones del INE.</w:t>
            </w:r>
          </w:p>
          <w:p w14:paraId="07FC6A32" w14:textId="77777777" w:rsidR="00990B14" w:rsidRDefault="00000000">
            <w:pPr>
              <w:numPr>
                <w:ilvl w:val="0"/>
                <w:numId w:val="139"/>
              </w:numPr>
              <w:spacing w:before="10" w:after="10"/>
              <w:jc w:val="both"/>
            </w:pPr>
            <w:r>
              <w:rPr>
                <w:sz w:val="18"/>
                <w:szCs w:val="18"/>
              </w:rPr>
              <w:t>Desarrollo progresivo de un modelo macroeconómico aplicado a la economía boliviana, con hoja de cálculo y escenarios de tipo de cambio e inflación.</w:t>
            </w:r>
          </w:p>
          <w:p w14:paraId="7982A8C6" w14:textId="77777777" w:rsidR="00990B14" w:rsidRDefault="00000000">
            <w:pPr>
              <w:numPr>
                <w:ilvl w:val="0"/>
                <w:numId w:val="139"/>
              </w:numPr>
              <w:spacing w:before="10" w:after="10"/>
              <w:jc w:val="both"/>
            </w:pPr>
            <w:r>
              <w:rPr>
                <w:sz w:val="18"/>
                <w:szCs w:val="18"/>
              </w:rPr>
              <w:t>Lectura de la ejecución presupuestaria y de los reportes fiscales del Ministerio de Economía y Finanzas Públicas y de una entidad territorial autónoma.</w:t>
            </w:r>
          </w:p>
        </w:tc>
        <w:tc>
          <w:tcPr>
            <w:tcW w:w="1805" w:type="dxa"/>
            <w:shd w:val="clear" w:color="auto" w:fill="D9E2F3"/>
          </w:tcPr>
          <w:p w14:paraId="24919F01" w14:textId="77777777" w:rsidR="00990B14" w:rsidRDefault="00000000">
            <w:pPr>
              <w:numPr>
                <w:ilvl w:val="0"/>
                <w:numId w:val="139"/>
              </w:numPr>
              <w:spacing w:before="10" w:after="10"/>
              <w:jc w:val="both"/>
            </w:pPr>
            <w:r>
              <w:rPr>
                <w:sz w:val="18"/>
                <w:szCs w:val="18"/>
              </w:rPr>
              <w:t>Cuestionarios de comprensión en la plataforma Moodle UMSA.</w:t>
            </w:r>
          </w:p>
          <w:p w14:paraId="018DB293" w14:textId="77777777" w:rsidR="00990B14" w:rsidRDefault="00000000">
            <w:pPr>
              <w:numPr>
                <w:ilvl w:val="0"/>
                <w:numId w:val="139"/>
              </w:numPr>
              <w:spacing w:before="10" w:after="10"/>
              <w:jc w:val="both"/>
            </w:pPr>
            <w:r>
              <w:rPr>
                <w:sz w:val="18"/>
                <w:szCs w:val="18"/>
              </w:rPr>
              <w:t>Foros de consulta sobre la deducción de las curvas IS y LM.</w:t>
            </w:r>
          </w:p>
          <w:p w14:paraId="34085046" w14:textId="77777777" w:rsidR="00990B14" w:rsidRDefault="00000000">
            <w:pPr>
              <w:numPr>
                <w:ilvl w:val="0"/>
                <w:numId w:val="139"/>
              </w:numPr>
              <w:spacing w:before="10" w:after="10"/>
              <w:jc w:val="both"/>
            </w:pPr>
            <w:r>
              <w:rPr>
                <w:sz w:val="18"/>
                <w:szCs w:val="18"/>
              </w:rPr>
              <w:t>Videotutoriales de cálculo de agregados macroeconómicos y monetarios con hoja de cálculo.</w:t>
            </w:r>
          </w:p>
          <w:p w14:paraId="3DFC60FA" w14:textId="77777777" w:rsidR="00990B14" w:rsidRDefault="00000000">
            <w:pPr>
              <w:numPr>
                <w:ilvl w:val="0"/>
                <w:numId w:val="139"/>
              </w:numPr>
              <w:spacing w:before="10" w:after="10"/>
              <w:jc w:val="both"/>
            </w:pPr>
            <w:r>
              <w:rPr>
                <w:sz w:val="18"/>
                <w:szCs w:val="18"/>
              </w:rPr>
              <w:t>Foros de discusión sobre el pacto fiscal y la distribución de recursos y competencias entre los niveles de gobierno.</w:t>
            </w:r>
          </w:p>
        </w:tc>
        <w:tc>
          <w:tcPr>
            <w:tcW w:w="1490" w:type="dxa"/>
            <w:shd w:val="clear" w:color="auto" w:fill="D9E2F3"/>
          </w:tcPr>
          <w:p w14:paraId="16212A1B" w14:textId="77777777" w:rsidR="00990B14" w:rsidRDefault="00000000">
            <w:pPr>
              <w:numPr>
                <w:ilvl w:val="0"/>
                <w:numId w:val="139"/>
              </w:numPr>
              <w:spacing w:before="10" w:after="10"/>
              <w:jc w:val="both"/>
            </w:pPr>
            <w:r>
              <w:rPr>
                <w:sz w:val="18"/>
                <w:szCs w:val="18"/>
              </w:rPr>
              <w:t>Resolución colaborativa de ejercicios de funciones de consumo, ahorro e inversión.</w:t>
            </w:r>
          </w:p>
          <w:p w14:paraId="11591059" w14:textId="77777777" w:rsidR="00990B14" w:rsidRDefault="00000000">
            <w:pPr>
              <w:numPr>
                <w:ilvl w:val="0"/>
                <w:numId w:val="139"/>
              </w:numPr>
              <w:spacing w:before="10" w:after="10"/>
              <w:jc w:val="both"/>
            </w:pPr>
            <w:r>
              <w:rPr>
                <w:sz w:val="18"/>
                <w:szCs w:val="18"/>
              </w:rPr>
              <w:t>Elaboración guiada de las curvas IS y LM de una economía hipotética.</w:t>
            </w:r>
          </w:p>
          <w:p w14:paraId="20D4E533" w14:textId="77777777" w:rsidR="00990B14" w:rsidRDefault="00000000">
            <w:pPr>
              <w:numPr>
                <w:ilvl w:val="0"/>
                <w:numId w:val="139"/>
              </w:numPr>
              <w:spacing w:before="10" w:after="10"/>
              <w:jc w:val="both"/>
            </w:pPr>
            <w:r>
              <w:rPr>
                <w:sz w:val="18"/>
                <w:szCs w:val="18"/>
              </w:rPr>
              <w:t>Revisión cruzada del análisis de la balanza de pagos entre equipos.</w:t>
            </w:r>
          </w:p>
          <w:p w14:paraId="22699837" w14:textId="77777777" w:rsidR="00990B14" w:rsidRDefault="00000000">
            <w:pPr>
              <w:numPr>
                <w:ilvl w:val="0"/>
                <w:numId w:val="139"/>
              </w:numPr>
              <w:spacing w:before="10" w:after="10"/>
              <w:jc w:val="both"/>
            </w:pPr>
            <w:r>
              <w:rPr>
                <w:sz w:val="18"/>
                <w:szCs w:val="18"/>
              </w:rPr>
              <w:t>Cálculo guiado, con hoja de cálculo, de indicadores de salud financiera de un municipio o de una gobernación.</w:t>
            </w:r>
          </w:p>
        </w:tc>
        <w:tc>
          <w:tcPr>
            <w:tcW w:w="2395" w:type="dxa"/>
            <w:shd w:val="clear" w:color="auto" w:fill="D9E2F3"/>
          </w:tcPr>
          <w:p w14:paraId="480142C8" w14:textId="77777777" w:rsidR="00990B14" w:rsidRDefault="00000000">
            <w:pPr>
              <w:numPr>
                <w:ilvl w:val="0"/>
                <w:numId w:val="139"/>
              </w:numPr>
              <w:spacing w:before="10" w:after="10"/>
              <w:jc w:val="both"/>
            </w:pPr>
            <w:r>
              <w:rPr>
                <w:sz w:val="18"/>
                <w:szCs w:val="18"/>
              </w:rPr>
              <w:t>Análisis de series estadísticas del PIB, la inflación y el desempleo de Bolivia publicadas por el INE, considerando el cambio de año base de las cuentas nacionales.</w:t>
            </w:r>
          </w:p>
          <w:p w14:paraId="736BD376" w14:textId="77777777" w:rsidR="00990B14" w:rsidRDefault="00000000">
            <w:pPr>
              <w:numPr>
                <w:ilvl w:val="0"/>
                <w:numId w:val="139"/>
              </w:numPr>
              <w:spacing w:before="10" w:after="10"/>
              <w:jc w:val="both"/>
            </w:pPr>
            <w:r>
              <w:rPr>
                <w:sz w:val="18"/>
                <w:szCs w:val="18"/>
              </w:rPr>
              <w:t>Revisión de la balanza de pagos de Bolivia publicada por el Banco Central de Bolivia.</w:t>
            </w:r>
          </w:p>
          <w:p w14:paraId="0A9C49C9" w14:textId="77777777" w:rsidR="00990B14" w:rsidRDefault="00000000">
            <w:pPr>
              <w:numPr>
                <w:ilvl w:val="0"/>
                <w:numId w:val="139"/>
              </w:numPr>
              <w:spacing w:before="10" w:after="10"/>
              <w:jc w:val="both"/>
            </w:pPr>
            <w:r>
              <w:rPr>
                <w:sz w:val="18"/>
                <w:szCs w:val="18"/>
              </w:rPr>
              <w:t>Comparación de modelos macroeconómicos aplicados a distintos países de la región, con la terminología macroeconómica en inglés.</w:t>
            </w:r>
          </w:p>
          <w:p w14:paraId="28C7577F" w14:textId="77777777" w:rsidR="00990B14" w:rsidRDefault="00000000">
            <w:pPr>
              <w:numPr>
                <w:ilvl w:val="0"/>
                <w:numId w:val="139"/>
              </w:numPr>
              <w:spacing w:before="10" w:after="10"/>
              <w:jc w:val="both"/>
            </w:pPr>
            <w:r>
              <w:rPr>
                <w:sz w:val="18"/>
                <w:szCs w:val="18"/>
              </w:rPr>
              <w:t>Diagnóstico financiero de una entidad territorial autónoma y propuesta de planificación tributaria de una empresa ante los impuestos de dominio subnacional.</w:t>
            </w:r>
          </w:p>
        </w:tc>
      </w:tr>
    </w:tbl>
    <w:p w14:paraId="48B20297"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545"/>
        <w:gridCol w:w="1815"/>
        <w:gridCol w:w="1910"/>
        <w:gridCol w:w="1910"/>
        <w:gridCol w:w="2225"/>
      </w:tblGrid>
      <w:tr w:rsidR="00990B14" w14:paraId="7CD19F6B" w14:textId="77777777">
        <w:trPr>
          <w:jc w:val="center"/>
        </w:trPr>
        <w:tc>
          <w:tcPr>
            <w:tcW w:w="1545" w:type="dxa"/>
            <w:shd w:val="clear" w:color="auto" w:fill="4472C4"/>
            <w:vAlign w:val="center"/>
          </w:tcPr>
          <w:p w14:paraId="701A2915" w14:textId="77777777" w:rsidR="00990B14" w:rsidRDefault="00000000">
            <w:pPr>
              <w:spacing w:before="20" w:after="20"/>
              <w:jc w:val="center"/>
            </w:pPr>
            <w:r>
              <w:rPr>
                <w:b/>
                <w:bCs/>
                <w:i/>
                <w:iCs/>
                <w:color w:val="FFFFFF"/>
                <w:sz w:val="18"/>
                <w:szCs w:val="18"/>
              </w:rPr>
              <w:t>Estrategias de aprendizaje y enseñanza</w:t>
            </w:r>
          </w:p>
        </w:tc>
        <w:tc>
          <w:tcPr>
            <w:tcW w:w="7860" w:type="dxa"/>
            <w:gridSpan w:val="4"/>
            <w:shd w:val="clear" w:color="auto" w:fill="D9E2F3"/>
            <w:vAlign w:val="center"/>
          </w:tcPr>
          <w:p w14:paraId="36A6ED63" w14:textId="77777777" w:rsidR="00990B14" w:rsidRDefault="00000000">
            <w:pPr>
              <w:numPr>
                <w:ilvl w:val="0"/>
                <w:numId w:val="140"/>
              </w:numPr>
              <w:spacing w:before="10" w:after="10"/>
              <w:jc w:val="both"/>
            </w:pPr>
            <w:r>
              <w:rPr>
                <w:sz w:val="18"/>
                <w:szCs w:val="18"/>
              </w:rPr>
              <w:t>Aprendizaje basado en problemas con datos macroeconómicos reales de Bolivia.</w:t>
            </w:r>
          </w:p>
          <w:p w14:paraId="3CEDB207" w14:textId="77777777" w:rsidR="00990B14" w:rsidRDefault="00000000">
            <w:pPr>
              <w:numPr>
                <w:ilvl w:val="0"/>
                <w:numId w:val="140"/>
              </w:numPr>
              <w:spacing w:before="10" w:after="10"/>
              <w:jc w:val="both"/>
            </w:pPr>
            <w:r>
              <w:rPr>
                <w:sz w:val="18"/>
                <w:szCs w:val="18"/>
              </w:rPr>
              <w:t>Resolución guiada de ejercicios en orden de dificultad creciente por modelo macroeconómico.</w:t>
            </w:r>
          </w:p>
          <w:p w14:paraId="05D37FD4" w14:textId="77777777" w:rsidR="00990B14" w:rsidRDefault="00000000">
            <w:pPr>
              <w:numPr>
                <w:ilvl w:val="0"/>
                <w:numId w:val="140"/>
              </w:numPr>
              <w:spacing w:before="10" w:after="10"/>
              <w:jc w:val="both"/>
            </w:pPr>
            <w:r>
              <w:rPr>
                <w:sz w:val="18"/>
                <w:szCs w:val="18"/>
              </w:rPr>
              <w:t>Caso práctico integral que recorre desde los agregados macroeconómicos hasta el equilibrio general IS-LM y la política fiscal en el régimen autonómico.</w:t>
            </w:r>
          </w:p>
          <w:p w14:paraId="1DDB8DDB" w14:textId="77777777" w:rsidR="00990B14" w:rsidRDefault="00000000">
            <w:pPr>
              <w:numPr>
                <w:ilvl w:val="0"/>
                <w:numId w:val="140"/>
              </w:numPr>
              <w:spacing w:before="10" w:after="10"/>
              <w:jc w:val="both"/>
            </w:pPr>
            <w:r>
              <w:rPr>
                <w:sz w:val="18"/>
                <w:szCs w:val="18"/>
              </w:rPr>
              <w:t>Estudio de casos de política fiscal y monetaria aplicados en Bolivia.</w:t>
            </w:r>
          </w:p>
          <w:p w14:paraId="0ADDD9FC" w14:textId="77777777" w:rsidR="00990B14" w:rsidRDefault="00000000">
            <w:pPr>
              <w:numPr>
                <w:ilvl w:val="0"/>
                <w:numId w:val="140"/>
              </w:numPr>
              <w:spacing w:before="10" w:after="10"/>
              <w:jc w:val="both"/>
            </w:pPr>
            <w:r>
              <w:rPr>
                <w:sz w:val="18"/>
                <w:szCs w:val="18"/>
              </w:rPr>
              <w:t>Trabajo colaborativo en equipos de cálculo y deducción de modelos.</w:t>
            </w:r>
          </w:p>
          <w:p w14:paraId="7C0060B3" w14:textId="77777777" w:rsidR="00990B14" w:rsidRDefault="00000000">
            <w:pPr>
              <w:numPr>
                <w:ilvl w:val="0"/>
                <w:numId w:val="140"/>
              </w:numPr>
              <w:spacing w:before="10" w:after="10"/>
              <w:jc w:val="both"/>
            </w:pPr>
            <w:r>
              <w:rPr>
                <w:sz w:val="18"/>
                <w:szCs w:val="18"/>
              </w:rPr>
              <w:t>Clase invertida para los contenidos teóricos de cada modelo macroeconómico.</w:t>
            </w:r>
          </w:p>
          <w:p w14:paraId="358AB029" w14:textId="77777777" w:rsidR="00990B14" w:rsidRDefault="00000000">
            <w:pPr>
              <w:numPr>
                <w:ilvl w:val="0"/>
                <w:numId w:val="140"/>
              </w:numPr>
              <w:spacing w:before="10" w:after="10"/>
              <w:jc w:val="both"/>
            </w:pPr>
            <w:r>
              <w:rPr>
                <w:sz w:val="18"/>
                <w:szCs w:val="18"/>
              </w:rPr>
              <w:t>Análisis crítico de medidas de política económica recientes con datos oficiales.</w:t>
            </w:r>
          </w:p>
          <w:p w14:paraId="2494D58F" w14:textId="77777777" w:rsidR="00990B14" w:rsidRDefault="00000000">
            <w:pPr>
              <w:numPr>
                <w:ilvl w:val="0"/>
                <w:numId w:val="140"/>
              </w:numPr>
              <w:spacing w:before="10" w:after="10"/>
              <w:jc w:val="both"/>
            </w:pPr>
            <w:r>
              <w:rPr>
                <w:sz w:val="18"/>
                <w:szCs w:val="18"/>
              </w:rPr>
              <w:t>Estudio de casos de gobernaciones y municipios bolivianos para el análisis de su salud financiera y de la normativa fiscal subnacional.</w:t>
            </w:r>
          </w:p>
        </w:tc>
      </w:tr>
      <w:tr w:rsidR="00990B14" w14:paraId="7611813C" w14:textId="77777777">
        <w:trPr>
          <w:jc w:val="center"/>
        </w:trPr>
        <w:tc>
          <w:tcPr>
            <w:tcW w:w="1545" w:type="dxa"/>
            <w:shd w:val="clear" w:color="auto" w:fill="4472C4"/>
            <w:vAlign w:val="center"/>
          </w:tcPr>
          <w:p w14:paraId="10DDCF39" w14:textId="77777777" w:rsidR="00990B14" w:rsidRDefault="00000000">
            <w:pPr>
              <w:spacing w:before="20" w:after="20"/>
              <w:jc w:val="center"/>
            </w:pPr>
            <w:r>
              <w:rPr>
                <w:b/>
                <w:bCs/>
                <w:i/>
                <w:iCs/>
                <w:color w:val="FFFFFF"/>
                <w:sz w:val="18"/>
                <w:szCs w:val="18"/>
              </w:rPr>
              <w:t>Recursos para el aprendizaje</w:t>
            </w:r>
          </w:p>
        </w:tc>
        <w:tc>
          <w:tcPr>
            <w:tcW w:w="7860" w:type="dxa"/>
            <w:gridSpan w:val="4"/>
            <w:shd w:val="clear" w:color="auto" w:fill="D9E2F3"/>
            <w:vAlign w:val="center"/>
          </w:tcPr>
          <w:p w14:paraId="28638138" w14:textId="77777777" w:rsidR="00990B14" w:rsidRDefault="00000000">
            <w:pPr>
              <w:numPr>
                <w:ilvl w:val="0"/>
                <w:numId w:val="140"/>
              </w:numPr>
              <w:spacing w:before="10" w:after="10"/>
              <w:jc w:val="both"/>
            </w:pPr>
            <w:r>
              <w:rPr>
                <w:sz w:val="18"/>
                <w:szCs w:val="18"/>
              </w:rPr>
              <w:t>Plataforma Moodle UMSA.</w:t>
            </w:r>
          </w:p>
          <w:p w14:paraId="0C610E13" w14:textId="77777777" w:rsidR="00990B14" w:rsidRDefault="00000000">
            <w:pPr>
              <w:numPr>
                <w:ilvl w:val="0"/>
                <w:numId w:val="140"/>
              </w:numPr>
              <w:spacing w:before="10" w:after="10"/>
              <w:jc w:val="both"/>
            </w:pPr>
            <w:r>
              <w:rPr>
                <w:sz w:val="18"/>
                <w:szCs w:val="18"/>
              </w:rPr>
              <w:t>Series estadísticas y memorias del Banco Central de Bolivia y del INE.</w:t>
            </w:r>
          </w:p>
          <w:p w14:paraId="0265A262" w14:textId="77777777" w:rsidR="00990B14" w:rsidRDefault="00000000">
            <w:pPr>
              <w:numPr>
                <w:ilvl w:val="0"/>
                <w:numId w:val="140"/>
              </w:numPr>
              <w:spacing w:before="10" w:after="10"/>
              <w:jc w:val="both"/>
            </w:pPr>
            <w:r>
              <w:rPr>
                <w:sz w:val="18"/>
                <w:szCs w:val="18"/>
              </w:rPr>
              <w:t>Hoja de cálculo para la deducción de agregados y curvas macroeconómicas.</w:t>
            </w:r>
          </w:p>
          <w:p w14:paraId="101334EA" w14:textId="77777777" w:rsidR="00990B14" w:rsidRDefault="00000000">
            <w:pPr>
              <w:numPr>
                <w:ilvl w:val="0"/>
                <w:numId w:val="140"/>
              </w:numPr>
              <w:spacing w:before="10" w:after="10"/>
              <w:jc w:val="both"/>
            </w:pPr>
            <w:r>
              <w:rPr>
                <w:sz w:val="18"/>
                <w:szCs w:val="18"/>
              </w:rPr>
              <w:t>Manuales de Estadísticas de las Finanzas Públicas del Fondo Monetario Internacional.</w:t>
            </w:r>
          </w:p>
          <w:p w14:paraId="4BE1A809" w14:textId="77777777" w:rsidR="00990B14" w:rsidRDefault="00000000">
            <w:pPr>
              <w:numPr>
                <w:ilvl w:val="0"/>
                <w:numId w:val="140"/>
              </w:numPr>
              <w:spacing w:before="10" w:after="10"/>
              <w:jc w:val="both"/>
            </w:pPr>
            <w:r>
              <w:rPr>
                <w:sz w:val="18"/>
                <w:szCs w:val="18"/>
              </w:rPr>
              <w:t>Guías de ejercicios y casos elaborados por la cátedra.</w:t>
            </w:r>
          </w:p>
          <w:p w14:paraId="2AF84680" w14:textId="77777777" w:rsidR="00990B14" w:rsidRDefault="00000000">
            <w:pPr>
              <w:numPr>
                <w:ilvl w:val="0"/>
                <w:numId w:val="140"/>
              </w:numPr>
              <w:spacing w:before="10" w:after="10"/>
              <w:jc w:val="both"/>
            </w:pPr>
            <w:r>
              <w:rPr>
                <w:sz w:val="18"/>
                <w:szCs w:val="18"/>
              </w:rPr>
              <w:t>Informes de política monetaria y reporte de balanza de pagos del Banco Central de Bolivia.</w:t>
            </w:r>
          </w:p>
          <w:p w14:paraId="11B55F30" w14:textId="77777777" w:rsidR="00990B14" w:rsidRDefault="00000000">
            <w:pPr>
              <w:numPr>
                <w:ilvl w:val="0"/>
                <w:numId w:val="140"/>
              </w:numPr>
              <w:spacing w:before="10" w:after="10"/>
              <w:jc w:val="both"/>
            </w:pPr>
            <w:r>
              <w:rPr>
                <w:sz w:val="18"/>
                <w:szCs w:val="18"/>
              </w:rPr>
              <w:t>Reportes de ejecución presupuestaria y estadísticas fiscales del Ministerio de Economía y Finanzas Públicas y de las entidades territoriales autónomas.</w:t>
            </w:r>
          </w:p>
        </w:tc>
      </w:tr>
      <w:tr w:rsidR="00990B14" w14:paraId="15D95704" w14:textId="77777777">
        <w:trPr>
          <w:jc w:val="center"/>
        </w:trPr>
        <w:tc>
          <w:tcPr>
            <w:tcW w:w="1545" w:type="dxa"/>
            <w:shd w:val="clear" w:color="auto" w:fill="4472C4"/>
            <w:vAlign w:val="center"/>
          </w:tcPr>
          <w:p w14:paraId="1897E1F8" w14:textId="77777777" w:rsidR="00990B14" w:rsidRDefault="00000000">
            <w:pPr>
              <w:spacing w:before="20" w:after="20"/>
              <w:jc w:val="center"/>
            </w:pPr>
            <w:r>
              <w:rPr>
                <w:b/>
                <w:bCs/>
                <w:i/>
                <w:iCs/>
                <w:color w:val="FFFFFF"/>
                <w:sz w:val="18"/>
                <w:szCs w:val="18"/>
              </w:rPr>
              <w:t>Estrategias de evaluación</w:t>
            </w:r>
          </w:p>
        </w:tc>
        <w:tc>
          <w:tcPr>
            <w:tcW w:w="7860" w:type="dxa"/>
            <w:gridSpan w:val="4"/>
            <w:shd w:val="clear" w:color="auto" w:fill="D9E2F3"/>
            <w:vAlign w:val="center"/>
          </w:tcPr>
          <w:p w14:paraId="15C4B4A6" w14:textId="77777777" w:rsidR="00990B14" w:rsidRDefault="00000000">
            <w:pPr>
              <w:numPr>
                <w:ilvl w:val="0"/>
                <w:numId w:val="140"/>
              </w:numPr>
              <w:spacing w:before="10" w:after="10"/>
              <w:jc w:val="both"/>
            </w:pPr>
            <w:r>
              <w:rPr>
                <w:sz w:val="18"/>
                <w:szCs w:val="18"/>
              </w:rPr>
              <w:t>Evaluación diagnóstica: prueba inicial sobre oferta, demanda y equilibrio de mercado de la asignatura ECO-101 Microeconomía.</w:t>
            </w:r>
          </w:p>
          <w:p w14:paraId="3652F7B5" w14:textId="77777777" w:rsidR="00990B14" w:rsidRDefault="00000000">
            <w:pPr>
              <w:numPr>
                <w:ilvl w:val="0"/>
                <w:numId w:val="140"/>
              </w:numPr>
              <w:spacing w:before="10" w:after="10"/>
              <w:jc w:val="both"/>
            </w:pPr>
            <w:r>
              <w:rPr>
                <w:sz w:val="18"/>
                <w:szCs w:val="18"/>
              </w:rPr>
              <w:t>Evaluación formativa: preguntas de comprensión y desarrollo de ejercicios prácticos en aula, con retroalimentación continua, autoevaluación y coevaluación.</w:t>
            </w:r>
          </w:p>
          <w:p w14:paraId="27F5A576" w14:textId="77777777" w:rsidR="00990B14" w:rsidRDefault="00000000">
            <w:pPr>
              <w:numPr>
                <w:ilvl w:val="0"/>
                <w:numId w:val="140"/>
              </w:numPr>
              <w:spacing w:before="10" w:after="10"/>
              <w:jc w:val="both"/>
            </w:pPr>
            <w:r>
              <w:rPr>
                <w:sz w:val="18"/>
                <w:szCs w:val="18"/>
              </w:rPr>
              <w:t>Evaluación sumativa: controles de lectura y asistencia, evaluación de casos prácticos, diagnóstico financiero de una entidad territorial autónoma, trabajos de investigación y desarrollo, exámenes parciales y examen final.</w:t>
            </w:r>
          </w:p>
        </w:tc>
      </w:tr>
      <w:tr w:rsidR="00990B14" w14:paraId="4BBDBD2C" w14:textId="77777777">
        <w:trPr>
          <w:jc w:val="center"/>
        </w:trPr>
        <w:tc>
          <w:tcPr>
            <w:tcW w:w="1545" w:type="dxa"/>
            <w:shd w:val="clear" w:color="auto" w:fill="4472C4"/>
            <w:vAlign w:val="center"/>
          </w:tcPr>
          <w:p w14:paraId="4DEC024E" w14:textId="77777777" w:rsidR="00990B14" w:rsidRDefault="00000000">
            <w:pPr>
              <w:spacing w:before="20" w:after="20"/>
              <w:jc w:val="center"/>
            </w:pPr>
            <w:r>
              <w:rPr>
                <w:b/>
                <w:bCs/>
                <w:i/>
                <w:iCs/>
                <w:color w:val="FFFFFF"/>
                <w:sz w:val="18"/>
                <w:szCs w:val="18"/>
              </w:rPr>
              <w:t>Criterios de calificación</w:t>
            </w:r>
          </w:p>
        </w:tc>
        <w:tc>
          <w:tcPr>
            <w:tcW w:w="7860" w:type="dxa"/>
            <w:gridSpan w:val="4"/>
            <w:shd w:val="clear" w:color="auto" w:fill="D9E2F3"/>
            <w:vAlign w:val="center"/>
          </w:tcPr>
          <w:p w14:paraId="7221399B" w14:textId="77777777" w:rsidR="00990B14" w:rsidRDefault="00000000">
            <w:pPr>
              <w:numPr>
                <w:ilvl w:val="0"/>
                <w:numId w:val="140"/>
              </w:numPr>
              <w:spacing w:before="10" w:after="10"/>
              <w:jc w:val="both"/>
            </w:pPr>
            <w:r>
              <w:rPr>
                <w:sz w:val="18"/>
                <w:szCs w:val="18"/>
              </w:rPr>
              <w:t>Nota mínima de aprobación: 51/100.</w:t>
            </w:r>
          </w:p>
          <w:p w14:paraId="7FABF640" w14:textId="77777777" w:rsidR="00990B14" w:rsidRDefault="00000000">
            <w:pPr>
              <w:numPr>
                <w:ilvl w:val="0"/>
                <w:numId w:val="140"/>
              </w:numPr>
              <w:spacing w:before="10" w:after="10"/>
              <w:jc w:val="both"/>
            </w:pPr>
            <w:r>
              <w:rPr>
                <w:sz w:val="18"/>
                <w:szCs w:val="18"/>
              </w:rPr>
              <w:t>Evaluación periódica al finalizar cada tema, basada en evidencias de conocimiento, desempeño y producto.</w:t>
            </w:r>
          </w:p>
          <w:p w14:paraId="0312FAB4" w14:textId="77777777" w:rsidR="00990B14" w:rsidRDefault="00000000">
            <w:pPr>
              <w:numPr>
                <w:ilvl w:val="0"/>
                <w:numId w:val="140"/>
              </w:numPr>
              <w:spacing w:before="10" w:after="10"/>
              <w:jc w:val="both"/>
            </w:pPr>
            <w:r>
              <w:rPr>
                <w:sz w:val="18"/>
                <w:szCs w:val="18"/>
              </w:rPr>
              <w:t>Cada evidencia de producto se evalúa con su propia rúbrica de tres niveles: Insuficiente, Suficiente y Destacado.</w:t>
            </w:r>
          </w:p>
          <w:p w14:paraId="0A286BD7" w14:textId="77777777" w:rsidR="00990B14" w:rsidRDefault="00000000">
            <w:pPr>
              <w:numPr>
                <w:ilvl w:val="0"/>
                <w:numId w:val="140"/>
              </w:numPr>
              <w:spacing w:before="10" w:after="10"/>
              <w:jc w:val="both"/>
            </w:pPr>
            <w:r>
              <w:rPr>
                <w:sz w:val="18"/>
                <w:szCs w:val="18"/>
              </w:rPr>
              <w:t>La calificación de cada elemento de competencia suma las calificaciones de sus evidencias de producto.</w:t>
            </w:r>
          </w:p>
        </w:tc>
      </w:tr>
      <w:tr w:rsidR="00990B14" w14:paraId="40324ACF" w14:textId="77777777">
        <w:trPr>
          <w:cantSplit/>
          <w:jc w:val="center"/>
        </w:trPr>
        <w:tc>
          <w:tcPr>
            <w:tcW w:w="1545" w:type="dxa"/>
            <w:vMerge w:val="restart"/>
            <w:shd w:val="clear" w:color="auto" w:fill="4472C4"/>
            <w:vAlign w:val="center"/>
          </w:tcPr>
          <w:p w14:paraId="490F15F2" w14:textId="77777777" w:rsidR="00990B14" w:rsidRDefault="00000000">
            <w:pPr>
              <w:spacing w:before="20" w:after="20"/>
              <w:jc w:val="center"/>
            </w:pPr>
            <w:r>
              <w:rPr>
                <w:b/>
                <w:bCs/>
                <w:i/>
                <w:iCs/>
                <w:color w:val="FFFFFF"/>
                <w:sz w:val="18"/>
                <w:szCs w:val="18"/>
              </w:rPr>
              <w:t>Niveles de logro y distribución de la calificación</w:t>
            </w:r>
          </w:p>
        </w:tc>
        <w:tc>
          <w:tcPr>
            <w:tcW w:w="5635" w:type="dxa"/>
            <w:gridSpan w:val="3"/>
            <w:shd w:val="clear" w:color="auto" w:fill="D9E2F3"/>
            <w:vAlign w:val="center"/>
          </w:tcPr>
          <w:p w14:paraId="62C9AEB7" w14:textId="77777777" w:rsidR="00990B14" w:rsidRDefault="00000000">
            <w:pPr>
              <w:keepNext/>
              <w:spacing w:before="20" w:after="20"/>
              <w:jc w:val="both"/>
            </w:pPr>
            <w:r>
              <w:rPr>
                <w:b/>
                <w:bCs/>
                <w:i/>
                <w:iCs/>
                <w:sz w:val="18"/>
                <w:szCs w:val="18"/>
              </w:rPr>
              <w:t xml:space="preserve">Producto 1: </w:t>
            </w:r>
            <w:r>
              <w:rPr>
                <w:sz w:val="18"/>
                <w:szCs w:val="18"/>
              </w:rPr>
              <w:t>Cuadro de agregados macroeconómicos</w:t>
            </w:r>
          </w:p>
        </w:tc>
        <w:tc>
          <w:tcPr>
            <w:tcW w:w="2225" w:type="dxa"/>
            <w:shd w:val="clear" w:color="auto" w:fill="D9E2F3"/>
            <w:vAlign w:val="center"/>
          </w:tcPr>
          <w:p w14:paraId="6E409F75" w14:textId="77777777" w:rsidR="00990B14" w:rsidRDefault="00000000">
            <w:pPr>
              <w:spacing w:before="20" w:after="20"/>
              <w:jc w:val="center"/>
            </w:pPr>
            <w:r>
              <w:rPr>
                <w:b/>
                <w:bCs/>
                <w:sz w:val="18"/>
                <w:szCs w:val="18"/>
              </w:rPr>
              <w:t>5%</w:t>
            </w:r>
          </w:p>
        </w:tc>
      </w:tr>
      <w:tr w:rsidR="00990B14" w14:paraId="62B5BDF9" w14:textId="77777777">
        <w:trPr>
          <w:cantSplit/>
          <w:jc w:val="center"/>
        </w:trPr>
        <w:tc>
          <w:tcPr>
            <w:tcW w:w="1545" w:type="dxa"/>
            <w:vMerge/>
            <w:shd w:val="clear" w:color="auto" w:fill="4472C4"/>
            <w:vAlign w:val="center"/>
          </w:tcPr>
          <w:p w14:paraId="646CB20D" w14:textId="77777777" w:rsidR="00990B14" w:rsidRDefault="00990B14">
            <w:pPr>
              <w:spacing w:before="20" w:after="20"/>
            </w:pPr>
          </w:p>
        </w:tc>
        <w:tc>
          <w:tcPr>
            <w:tcW w:w="1815" w:type="dxa"/>
            <w:shd w:val="clear" w:color="auto" w:fill="4472C4"/>
            <w:vAlign w:val="center"/>
          </w:tcPr>
          <w:p w14:paraId="38F7882C"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0B2FC599"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42BC283E" w14:textId="77777777" w:rsidR="00990B14" w:rsidRDefault="00000000">
            <w:pPr>
              <w:keepNext/>
              <w:spacing w:before="20" w:after="20"/>
              <w:jc w:val="center"/>
            </w:pPr>
            <w:r>
              <w:rPr>
                <w:b/>
                <w:bCs/>
                <w:i/>
                <w:iCs/>
                <w:color w:val="FFFFFF"/>
                <w:sz w:val="18"/>
                <w:szCs w:val="18"/>
              </w:rPr>
              <w:t>Suficiente (51–80)</w:t>
            </w:r>
          </w:p>
        </w:tc>
        <w:tc>
          <w:tcPr>
            <w:tcW w:w="2225" w:type="dxa"/>
            <w:shd w:val="clear" w:color="auto" w:fill="4472C4"/>
            <w:vAlign w:val="center"/>
          </w:tcPr>
          <w:p w14:paraId="4760AC10" w14:textId="77777777" w:rsidR="00990B14" w:rsidRDefault="00000000">
            <w:pPr>
              <w:keepNext/>
              <w:spacing w:before="20" w:after="20"/>
              <w:jc w:val="center"/>
            </w:pPr>
            <w:r>
              <w:rPr>
                <w:b/>
                <w:bCs/>
                <w:i/>
                <w:iCs/>
                <w:color w:val="FFFFFF"/>
                <w:sz w:val="18"/>
                <w:szCs w:val="18"/>
              </w:rPr>
              <w:t>Destacado (81–100)</w:t>
            </w:r>
          </w:p>
        </w:tc>
      </w:tr>
      <w:tr w:rsidR="00990B14" w14:paraId="71505057" w14:textId="77777777">
        <w:trPr>
          <w:cantSplit/>
          <w:jc w:val="center"/>
        </w:trPr>
        <w:tc>
          <w:tcPr>
            <w:tcW w:w="1545" w:type="dxa"/>
            <w:vMerge/>
            <w:shd w:val="clear" w:color="auto" w:fill="4472C4"/>
            <w:vAlign w:val="center"/>
          </w:tcPr>
          <w:p w14:paraId="7145E354" w14:textId="77777777" w:rsidR="00990B14" w:rsidRDefault="00990B14">
            <w:pPr>
              <w:spacing w:before="20" w:after="20"/>
            </w:pPr>
          </w:p>
        </w:tc>
        <w:tc>
          <w:tcPr>
            <w:tcW w:w="1815" w:type="dxa"/>
            <w:shd w:val="clear" w:color="auto" w:fill="D9E2F3"/>
            <w:vAlign w:val="center"/>
          </w:tcPr>
          <w:p w14:paraId="212F009C" w14:textId="77777777" w:rsidR="00990B14" w:rsidRDefault="00000000">
            <w:pPr>
              <w:spacing w:before="20" w:after="20"/>
              <w:jc w:val="both"/>
            </w:pPr>
            <w:r>
              <w:rPr>
                <w:sz w:val="18"/>
                <w:szCs w:val="18"/>
              </w:rPr>
              <w:t>Tabla de deducción</w:t>
            </w:r>
          </w:p>
        </w:tc>
        <w:tc>
          <w:tcPr>
            <w:tcW w:w="1910" w:type="dxa"/>
            <w:shd w:val="clear" w:color="auto" w:fill="D9E2F3"/>
            <w:vAlign w:val="center"/>
          </w:tcPr>
          <w:p w14:paraId="23371426" w14:textId="77777777" w:rsidR="00990B14" w:rsidRDefault="00000000">
            <w:pPr>
              <w:spacing w:before="20" w:after="20"/>
              <w:jc w:val="both"/>
            </w:pPr>
            <w:r>
              <w:rPr>
                <w:sz w:val="18"/>
                <w:szCs w:val="18"/>
              </w:rPr>
              <w:t>Omite agregados o los deduce mal.</w:t>
            </w:r>
          </w:p>
        </w:tc>
        <w:tc>
          <w:tcPr>
            <w:tcW w:w="1910" w:type="dxa"/>
            <w:shd w:val="clear" w:color="auto" w:fill="D9E2F3"/>
            <w:vAlign w:val="center"/>
          </w:tcPr>
          <w:p w14:paraId="130CC77B" w14:textId="77777777" w:rsidR="00990B14" w:rsidRDefault="00000000">
            <w:pPr>
              <w:spacing w:before="20" w:after="20"/>
              <w:jc w:val="both"/>
            </w:pPr>
            <w:r>
              <w:rPr>
                <w:sz w:val="18"/>
                <w:szCs w:val="18"/>
              </w:rPr>
              <w:t>Deduce correctamente los agregados macroeconómicos.</w:t>
            </w:r>
          </w:p>
        </w:tc>
        <w:tc>
          <w:tcPr>
            <w:tcW w:w="2225" w:type="dxa"/>
            <w:shd w:val="clear" w:color="auto" w:fill="D9E2F3"/>
            <w:vAlign w:val="center"/>
          </w:tcPr>
          <w:p w14:paraId="6C4D6CB5" w14:textId="77777777" w:rsidR="00990B14" w:rsidRDefault="00000000">
            <w:pPr>
              <w:spacing w:before="20" w:after="20"/>
              <w:jc w:val="both"/>
            </w:pPr>
            <w:r>
              <w:rPr>
                <w:sz w:val="18"/>
                <w:szCs w:val="18"/>
              </w:rPr>
              <w:t>Relaciona los agregados con la contabilidad financiera de las entidades.</w:t>
            </w:r>
          </w:p>
        </w:tc>
      </w:tr>
      <w:tr w:rsidR="00990B14" w14:paraId="0ABC929A" w14:textId="77777777">
        <w:trPr>
          <w:cantSplit/>
          <w:jc w:val="center"/>
        </w:trPr>
        <w:tc>
          <w:tcPr>
            <w:tcW w:w="1545" w:type="dxa"/>
            <w:vMerge/>
            <w:shd w:val="clear" w:color="auto" w:fill="4472C4"/>
            <w:vAlign w:val="center"/>
          </w:tcPr>
          <w:p w14:paraId="31270BB9" w14:textId="77777777" w:rsidR="00990B14" w:rsidRDefault="00990B14">
            <w:pPr>
              <w:spacing w:before="20" w:after="20"/>
            </w:pPr>
          </w:p>
        </w:tc>
        <w:tc>
          <w:tcPr>
            <w:tcW w:w="1815" w:type="dxa"/>
            <w:shd w:val="clear" w:color="auto" w:fill="D9E2F3"/>
            <w:vAlign w:val="center"/>
          </w:tcPr>
          <w:p w14:paraId="41F98442" w14:textId="77777777" w:rsidR="00990B14" w:rsidRDefault="00000000">
            <w:pPr>
              <w:spacing w:before="20" w:after="20"/>
              <w:jc w:val="both"/>
            </w:pPr>
            <w:r>
              <w:rPr>
                <w:sz w:val="18"/>
                <w:szCs w:val="18"/>
              </w:rPr>
              <w:t>Precio constante</w:t>
            </w:r>
          </w:p>
        </w:tc>
        <w:tc>
          <w:tcPr>
            <w:tcW w:w="1910" w:type="dxa"/>
            <w:shd w:val="clear" w:color="auto" w:fill="D9E2F3"/>
            <w:vAlign w:val="center"/>
          </w:tcPr>
          <w:p w14:paraId="1C53BFD4" w14:textId="77777777" w:rsidR="00990B14" w:rsidRDefault="00000000">
            <w:pPr>
              <w:spacing w:before="20" w:after="20"/>
              <w:jc w:val="both"/>
            </w:pPr>
            <w:r>
              <w:rPr>
                <w:sz w:val="18"/>
                <w:szCs w:val="18"/>
              </w:rPr>
              <w:t>Confunde el valor nominal con el real.</w:t>
            </w:r>
          </w:p>
        </w:tc>
        <w:tc>
          <w:tcPr>
            <w:tcW w:w="1910" w:type="dxa"/>
            <w:shd w:val="clear" w:color="auto" w:fill="D9E2F3"/>
            <w:vAlign w:val="center"/>
          </w:tcPr>
          <w:p w14:paraId="53F2F86A" w14:textId="77777777" w:rsidR="00990B14" w:rsidRDefault="00000000">
            <w:pPr>
              <w:spacing w:before="20" w:after="20"/>
              <w:jc w:val="both"/>
            </w:pPr>
            <w:r>
              <w:rPr>
                <w:sz w:val="18"/>
                <w:szCs w:val="18"/>
              </w:rPr>
              <w:t>Calcula el PIB a precio constante con el deflactor implícito.</w:t>
            </w:r>
          </w:p>
        </w:tc>
        <w:tc>
          <w:tcPr>
            <w:tcW w:w="2225" w:type="dxa"/>
            <w:shd w:val="clear" w:color="auto" w:fill="D9E2F3"/>
            <w:vAlign w:val="center"/>
          </w:tcPr>
          <w:p w14:paraId="2B30D087" w14:textId="77777777" w:rsidR="00990B14" w:rsidRDefault="00000000">
            <w:pPr>
              <w:spacing w:before="20" w:after="20"/>
              <w:jc w:val="both"/>
            </w:pPr>
            <w:r>
              <w:rPr>
                <w:sz w:val="18"/>
                <w:szCs w:val="18"/>
              </w:rPr>
              <w:t>Explica el efecto del cambio de año base en la serie.</w:t>
            </w:r>
          </w:p>
        </w:tc>
      </w:tr>
      <w:tr w:rsidR="00990B14" w14:paraId="7325ECD4" w14:textId="77777777">
        <w:trPr>
          <w:cantSplit/>
          <w:jc w:val="center"/>
        </w:trPr>
        <w:tc>
          <w:tcPr>
            <w:tcW w:w="1545" w:type="dxa"/>
            <w:vMerge/>
            <w:shd w:val="clear" w:color="auto" w:fill="4472C4"/>
            <w:vAlign w:val="center"/>
          </w:tcPr>
          <w:p w14:paraId="7F50E353" w14:textId="77777777" w:rsidR="00990B14" w:rsidRDefault="00990B14">
            <w:pPr>
              <w:spacing w:before="20" w:after="20"/>
            </w:pPr>
          </w:p>
        </w:tc>
        <w:tc>
          <w:tcPr>
            <w:tcW w:w="1815" w:type="dxa"/>
            <w:shd w:val="clear" w:color="auto" w:fill="D9E2F3"/>
            <w:vAlign w:val="center"/>
          </w:tcPr>
          <w:p w14:paraId="5D2DEEFF" w14:textId="77777777" w:rsidR="00990B14" w:rsidRDefault="00000000">
            <w:pPr>
              <w:spacing w:before="20" w:after="20"/>
              <w:jc w:val="both"/>
            </w:pPr>
            <w:r>
              <w:rPr>
                <w:sz w:val="18"/>
                <w:szCs w:val="18"/>
              </w:rPr>
              <w:t>Exactitud</w:t>
            </w:r>
          </w:p>
        </w:tc>
        <w:tc>
          <w:tcPr>
            <w:tcW w:w="1910" w:type="dxa"/>
            <w:shd w:val="clear" w:color="auto" w:fill="D9E2F3"/>
            <w:vAlign w:val="center"/>
          </w:tcPr>
          <w:p w14:paraId="4636929D" w14:textId="77777777" w:rsidR="00990B14" w:rsidRDefault="00000000">
            <w:pPr>
              <w:spacing w:before="20" w:after="20"/>
              <w:jc w:val="both"/>
            </w:pPr>
            <w:r>
              <w:rPr>
                <w:sz w:val="18"/>
                <w:szCs w:val="18"/>
              </w:rPr>
              <w:t>Presenta errores de cálculo.</w:t>
            </w:r>
          </w:p>
        </w:tc>
        <w:tc>
          <w:tcPr>
            <w:tcW w:w="1910" w:type="dxa"/>
            <w:shd w:val="clear" w:color="auto" w:fill="D9E2F3"/>
            <w:vAlign w:val="center"/>
          </w:tcPr>
          <w:p w14:paraId="36A3730B" w14:textId="77777777" w:rsidR="00990B14" w:rsidRDefault="00000000">
            <w:pPr>
              <w:spacing w:before="20" w:after="20"/>
              <w:jc w:val="both"/>
            </w:pPr>
            <w:r>
              <w:rPr>
                <w:sz w:val="18"/>
                <w:szCs w:val="18"/>
              </w:rPr>
              <w:t>Los cálculos son correctos.</w:t>
            </w:r>
          </w:p>
        </w:tc>
        <w:tc>
          <w:tcPr>
            <w:tcW w:w="2225" w:type="dxa"/>
            <w:shd w:val="clear" w:color="auto" w:fill="D9E2F3"/>
            <w:vAlign w:val="center"/>
          </w:tcPr>
          <w:p w14:paraId="378136F3" w14:textId="77777777" w:rsidR="00990B14" w:rsidRDefault="00000000">
            <w:pPr>
              <w:spacing w:before="20" w:after="20"/>
              <w:jc w:val="both"/>
            </w:pPr>
            <w:r>
              <w:rPr>
                <w:sz w:val="18"/>
                <w:szCs w:val="18"/>
              </w:rPr>
              <w:t>Verifica los resultados con la fuente oficial.</w:t>
            </w:r>
          </w:p>
        </w:tc>
      </w:tr>
      <w:tr w:rsidR="00990B14" w14:paraId="251AB2D9" w14:textId="77777777">
        <w:trPr>
          <w:cantSplit/>
          <w:jc w:val="center"/>
        </w:trPr>
        <w:tc>
          <w:tcPr>
            <w:tcW w:w="1545" w:type="dxa"/>
            <w:vMerge/>
            <w:shd w:val="clear" w:color="auto" w:fill="4472C4"/>
            <w:vAlign w:val="center"/>
          </w:tcPr>
          <w:p w14:paraId="10FB7814" w14:textId="77777777" w:rsidR="00990B14" w:rsidRDefault="00990B14">
            <w:pPr>
              <w:spacing w:before="20" w:after="20"/>
            </w:pPr>
          </w:p>
        </w:tc>
        <w:tc>
          <w:tcPr>
            <w:tcW w:w="5635" w:type="dxa"/>
            <w:gridSpan w:val="3"/>
            <w:shd w:val="clear" w:color="auto" w:fill="D9E2F3"/>
            <w:vAlign w:val="center"/>
          </w:tcPr>
          <w:p w14:paraId="1A3A62DF" w14:textId="77777777" w:rsidR="00990B14" w:rsidRDefault="00000000">
            <w:pPr>
              <w:keepNext/>
              <w:spacing w:before="20" w:after="20"/>
              <w:jc w:val="both"/>
            </w:pPr>
            <w:r>
              <w:rPr>
                <w:b/>
                <w:bCs/>
                <w:i/>
                <w:iCs/>
                <w:sz w:val="18"/>
                <w:szCs w:val="18"/>
              </w:rPr>
              <w:t xml:space="preserve">Producto 2: </w:t>
            </w:r>
            <w:r>
              <w:rPr>
                <w:sz w:val="18"/>
                <w:szCs w:val="18"/>
              </w:rPr>
              <w:t>Ficha de la serie estadística</w:t>
            </w:r>
          </w:p>
        </w:tc>
        <w:tc>
          <w:tcPr>
            <w:tcW w:w="2225" w:type="dxa"/>
            <w:shd w:val="clear" w:color="auto" w:fill="D9E2F3"/>
            <w:vAlign w:val="center"/>
          </w:tcPr>
          <w:p w14:paraId="4CEFC30D" w14:textId="77777777" w:rsidR="00990B14" w:rsidRDefault="00000000">
            <w:pPr>
              <w:spacing w:before="20" w:after="20"/>
              <w:jc w:val="center"/>
            </w:pPr>
            <w:r>
              <w:rPr>
                <w:b/>
                <w:bCs/>
                <w:sz w:val="18"/>
                <w:szCs w:val="18"/>
              </w:rPr>
              <w:t>5%</w:t>
            </w:r>
          </w:p>
        </w:tc>
      </w:tr>
      <w:tr w:rsidR="00990B14" w14:paraId="3EAB20D1" w14:textId="77777777">
        <w:trPr>
          <w:cantSplit/>
          <w:jc w:val="center"/>
        </w:trPr>
        <w:tc>
          <w:tcPr>
            <w:tcW w:w="1545" w:type="dxa"/>
            <w:vMerge/>
            <w:shd w:val="clear" w:color="auto" w:fill="4472C4"/>
            <w:vAlign w:val="center"/>
          </w:tcPr>
          <w:p w14:paraId="0C4C029B" w14:textId="77777777" w:rsidR="00990B14" w:rsidRDefault="00990B14">
            <w:pPr>
              <w:spacing w:before="20" w:after="20"/>
            </w:pPr>
          </w:p>
        </w:tc>
        <w:tc>
          <w:tcPr>
            <w:tcW w:w="1815" w:type="dxa"/>
            <w:shd w:val="clear" w:color="auto" w:fill="4472C4"/>
            <w:vAlign w:val="center"/>
          </w:tcPr>
          <w:p w14:paraId="5B0CAAA1"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0FFAD6C8"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250E668A" w14:textId="77777777" w:rsidR="00990B14" w:rsidRDefault="00000000">
            <w:pPr>
              <w:keepNext/>
              <w:spacing w:before="20" w:after="20"/>
              <w:jc w:val="center"/>
            </w:pPr>
            <w:r>
              <w:rPr>
                <w:b/>
                <w:bCs/>
                <w:i/>
                <w:iCs/>
                <w:color w:val="FFFFFF"/>
                <w:sz w:val="18"/>
                <w:szCs w:val="18"/>
              </w:rPr>
              <w:t>Suficiente (51–80)</w:t>
            </w:r>
          </w:p>
        </w:tc>
        <w:tc>
          <w:tcPr>
            <w:tcW w:w="2225" w:type="dxa"/>
            <w:shd w:val="clear" w:color="auto" w:fill="4472C4"/>
            <w:vAlign w:val="center"/>
          </w:tcPr>
          <w:p w14:paraId="3480723B" w14:textId="77777777" w:rsidR="00990B14" w:rsidRDefault="00000000">
            <w:pPr>
              <w:keepNext/>
              <w:spacing w:before="20" w:after="20"/>
              <w:jc w:val="center"/>
            </w:pPr>
            <w:r>
              <w:rPr>
                <w:b/>
                <w:bCs/>
                <w:i/>
                <w:iCs/>
                <w:color w:val="FFFFFF"/>
                <w:sz w:val="18"/>
                <w:szCs w:val="18"/>
              </w:rPr>
              <w:t>Destacado (81–100)</w:t>
            </w:r>
          </w:p>
        </w:tc>
      </w:tr>
      <w:tr w:rsidR="00990B14" w14:paraId="349ED12A" w14:textId="77777777">
        <w:trPr>
          <w:cantSplit/>
          <w:jc w:val="center"/>
        </w:trPr>
        <w:tc>
          <w:tcPr>
            <w:tcW w:w="1545" w:type="dxa"/>
            <w:vMerge/>
            <w:shd w:val="clear" w:color="auto" w:fill="4472C4"/>
            <w:vAlign w:val="center"/>
          </w:tcPr>
          <w:p w14:paraId="4616D488" w14:textId="77777777" w:rsidR="00990B14" w:rsidRDefault="00990B14">
            <w:pPr>
              <w:spacing w:before="20" w:after="20"/>
            </w:pPr>
          </w:p>
        </w:tc>
        <w:tc>
          <w:tcPr>
            <w:tcW w:w="1815" w:type="dxa"/>
            <w:shd w:val="clear" w:color="auto" w:fill="D9E2F3"/>
            <w:vAlign w:val="center"/>
          </w:tcPr>
          <w:p w14:paraId="74E440BE" w14:textId="77777777" w:rsidR="00990B14" w:rsidRDefault="00000000">
            <w:pPr>
              <w:spacing w:before="20" w:after="20"/>
              <w:jc w:val="both"/>
            </w:pPr>
            <w:r>
              <w:rPr>
                <w:sz w:val="18"/>
                <w:szCs w:val="18"/>
              </w:rPr>
              <w:t>Fuente y metodología</w:t>
            </w:r>
          </w:p>
        </w:tc>
        <w:tc>
          <w:tcPr>
            <w:tcW w:w="1910" w:type="dxa"/>
            <w:shd w:val="clear" w:color="auto" w:fill="D9E2F3"/>
            <w:vAlign w:val="center"/>
          </w:tcPr>
          <w:p w14:paraId="7394A2F8" w14:textId="77777777" w:rsidR="00990B14" w:rsidRDefault="00000000">
            <w:pPr>
              <w:spacing w:before="20" w:after="20"/>
              <w:jc w:val="both"/>
            </w:pPr>
            <w:r>
              <w:rPr>
                <w:sz w:val="18"/>
                <w:szCs w:val="18"/>
              </w:rPr>
              <w:t>No identifica la fuente.</w:t>
            </w:r>
          </w:p>
        </w:tc>
        <w:tc>
          <w:tcPr>
            <w:tcW w:w="1910" w:type="dxa"/>
            <w:shd w:val="clear" w:color="auto" w:fill="D9E2F3"/>
            <w:vAlign w:val="center"/>
          </w:tcPr>
          <w:p w14:paraId="283CFE4E" w14:textId="77777777" w:rsidR="00990B14" w:rsidRDefault="00000000">
            <w:pPr>
              <w:spacing w:before="20" w:after="20"/>
              <w:jc w:val="both"/>
            </w:pPr>
            <w:r>
              <w:rPr>
                <w:sz w:val="18"/>
                <w:szCs w:val="18"/>
              </w:rPr>
              <w:t>Identifica la fuente, la metodología y el año base.</w:t>
            </w:r>
          </w:p>
        </w:tc>
        <w:tc>
          <w:tcPr>
            <w:tcW w:w="2225" w:type="dxa"/>
            <w:shd w:val="clear" w:color="auto" w:fill="D9E2F3"/>
            <w:vAlign w:val="center"/>
          </w:tcPr>
          <w:p w14:paraId="46F4B3B4" w14:textId="77777777" w:rsidR="00990B14" w:rsidRDefault="00000000">
            <w:pPr>
              <w:spacing w:before="20" w:after="20"/>
              <w:jc w:val="both"/>
            </w:pPr>
            <w:r>
              <w:rPr>
                <w:sz w:val="18"/>
                <w:szCs w:val="18"/>
              </w:rPr>
              <w:t>Señala los límites de comparación de la serie.</w:t>
            </w:r>
          </w:p>
        </w:tc>
      </w:tr>
      <w:tr w:rsidR="00990B14" w14:paraId="187E7552" w14:textId="77777777">
        <w:trPr>
          <w:cantSplit/>
          <w:jc w:val="center"/>
        </w:trPr>
        <w:tc>
          <w:tcPr>
            <w:tcW w:w="1545" w:type="dxa"/>
            <w:vMerge/>
            <w:shd w:val="clear" w:color="auto" w:fill="4472C4"/>
            <w:vAlign w:val="center"/>
          </w:tcPr>
          <w:p w14:paraId="4BCB0AC1" w14:textId="77777777" w:rsidR="00990B14" w:rsidRDefault="00990B14">
            <w:pPr>
              <w:spacing w:before="20" w:after="20"/>
            </w:pPr>
          </w:p>
        </w:tc>
        <w:tc>
          <w:tcPr>
            <w:tcW w:w="1815" w:type="dxa"/>
            <w:shd w:val="clear" w:color="auto" w:fill="D9E2F3"/>
            <w:vAlign w:val="center"/>
          </w:tcPr>
          <w:p w14:paraId="4768676D" w14:textId="77777777" w:rsidR="00990B14" w:rsidRDefault="00000000">
            <w:pPr>
              <w:spacing w:before="20" w:after="20"/>
              <w:jc w:val="both"/>
            </w:pPr>
            <w:r>
              <w:rPr>
                <w:sz w:val="18"/>
                <w:szCs w:val="18"/>
              </w:rPr>
              <w:t>Interpretación</w:t>
            </w:r>
          </w:p>
        </w:tc>
        <w:tc>
          <w:tcPr>
            <w:tcW w:w="1910" w:type="dxa"/>
            <w:shd w:val="clear" w:color="auto" w:fill="D9E2F3"/>
            <w:vAlign w:val="center"/>
          </w:tcPr>
          <w:p w14:paraId="0B54AE39" w14:textId="77777777" w:rsidR="00990B14" w:rsidRDefault="00000000">
            <w:pPr>
              <w:spacing w:before="20" w:after="20"/>
              <w:jc w:val="both"/>
            </w:pPr>
            <w:r>
              <w:rPr>
                <w:sz w:val="18"/>
                <w:szCs w:val="18"/>
              </w:rPr>
              <w:t>Describe cifras sin interpretarlas.</w:t>
            </w:r>
          </w:p>
        </w:tc>
        <w:tc>
          <w:tcPr>
            <w:tcW w:w="1910" w:type="dxa"/>
            <w:shd w:val="clear" w:color="auto" w:fill="D9E2F3"/>
            <w:vAlign w:val="center"/>
          </w:tcPr>
          <w:p w14:paraId="4AAC6A38" w14:textId="77777777" w:rsidR="00990B14" w:rsidRDefault="00000000">
            <w:pPr>
              <w:spacing w:before="20" w:after="20"/>
              <w:jc w:val="both"/>
            </w:pPr>
            <w:r>
              <w:rPr>
                <w:sz w:val="18"/>
                <w:szCs w:val="18"/>
              </w:rPr>
              <w:t>Interpreta la evolución de la serie.</w:t>
            </w:r>
          </w:p>
        </w:tc>
        <w:tc>
          <w:tcPr>
            <w:tcW w:w="2225" w:type="dxa"/>
            <w:shd w:val="clear" w:color="auto" w:fill="D9E2F3"/>
            <w:vAlign w:val="center"/>
          </w:tcPr>
          <w:p w14:paraId="5373B1F2" w14:textId="77777777" w:rsidR="00990B14" w:rsidRDefault="00000000">
            <w:pPr>
              <w:spacing w:before="20" w:after="20"/>
              <w:jc w:val="both"/>
            </w:pPr>
            <w:r>
              <w:rPr>
                <w:sz w:val="18"/>
                <w:szCs w:val="18"/>
              </w:rPr>
              <w:t>Explica los cambios con hechos económicos del periodo.</w:t>
            </w:r>
          </w:p>
        </w:tc>
      </w:tr>
      <w:tr w:rsidR="00990B14" w14:paraId="539B1AF2" w14:textId="77777777">
        <w:trPr>
          <w:cantSplit/>
          <w:jc w:val="center"/>
        </w:trPr>
        <w:tc>
          <w:tcPr>
            <w:tcW w:w="1545" w:type="dxa"/>
            <w:vMerge/>
            <w:shd w:val="clear" w:color="auto" w:fill="4472C4"/>
            <w:vAlign w:val="center"/>
          </w:tcPr>
          <w:p w14:paraId="46678D8D" w14:textId="77777777" w:rsidR="00990B14" w:rsidRDefault="00990B14">
            <w:pPr>
              <w:spacing w:before="20" w:after="20"/>
            </w:pPr>
          </w:p>
        </w:tc>
        <w:tc>
          <w:tcPr>
            <w:tcW w:w="1815" w:type="dxa"/>
            <w:shd w:val="clear" w:color="auto" w:fill="D9E2F3"/>
            <w:vAlign w:val="center"/>
          </w:tcPr>
          <w:p w14:paraId="0DAE2DFF" w14:textId="77777777" w:rsidR="00990B14" w:rsidRDefault="00000000">
            <w:pPr>
              <w:spacing w:before="20" w:after="20"/>
              <w:jc w:val="both"/>
            </w:pPr>
            <w:r>
              <w:rPr>
                <w:sz w:val="18"/>
                <w:szCs w:val="18"/>
              </w:rPr>
              <w:t>Uso ético de la información</w:t>
            </w:r>
          </w:p>
        </w:tc>
        <w:tc>
          <w:tcPr>
            <w:tcW w:w="1910" w:type="dxa"/>
            <w:shd w:val="clear" w:color="auto" w:fill="D9E2F3"/>
            <w:vAlign w:val="center"/>
          </w:tcPr>
          <w:p w14:paraId="6E2745F5" w14:textId="77777777" w:rsidR="00990B14" w:rsidRDefault="00000000">
            <w:pPr>
              <w:spacing w:before="20" w:after="20"/>
              <w:jc w:val="both"/>
            </w:pPr>
            <w:r>
              <w:rPr>
                <w:sz w:val="18"/>
                <w:szCs w:val="18"/>
              </w:rPr>
              <w:t>Presenta cifras sin citar la fuente.</w:t>
            </w:r>
          </w:p>
        </w:tc>
        <w:tc>
          <w:tcPr>
            <w:tcW w:w="1910" w:type="dxa"/>
            <w:shd w:val="clear" w:color="auto" w:fill="D9E2F3"/>
            <w:vAlign w:val="center"/>
          </w:tcPr>
          <w:p w14:paraId="73B3BC4A" w14:textId="77777777" w:rsidR="00990B14" w:rsidRDefault="00000000">
            <w:pPr>
              <w:spacing w:before="20" w:after="20"/>
              <w:jc w:val="both"/>
            </w:pPr>
            <w:r>
              <w:rPr>
                <w:sz w:val="18"/>
                <w:szCs w:val="18"/>
              </w:rPr>
              <w:t>Cita correctamente la fuente oficial.</w:t>
            </w:r>
          </w:p>
        </w:tc>
        <w:tc>
          <w:tcPr>
            <w:tcW w:w="2225" w:type="dxa"/>
            <w:shd w:val="clear" w:color="auto" w:fill="D9E2F3"/>
            <w:vAlign w:val="center"/>
          </w:tcPr>
          <w:p w14:paraId="514B5F7D" w14:textId="77777777" w:rsidR="00990B14" w:rsidRDefault="00000000">
            <w:pPr>
              <w:spacing w:before="20" w:after="20"/>
              <w:jc w:val="both"/>
            </w:pPr>
            <w:r>
              <w:rPr>
                <w:sz w:val="18"/>
                <w:szCs w:val="18"/>
              </w:rPr>
              <w:t>Advierte los riesgos de un uso sesgado de las cifras.</w:t>
            </w:r>
          </w:p>
        </w:tc>
      </w:tr>
      <w:tr w:rsidR="00990B14" w14:paraId="5F53329E" w14:textId="77777777">
        <w:trPr>
          <w:cantSplit/>
          <w:jc w:val="center"/>
        </w:trPr>
        <w:tc>
          <w:tcPr>
            <w:tcW w:w="1545" w:type="dxa"/>
            <w:vMerge/>
            <w:shd w:val="clear" w:color="auto" w:fill="4472C4"/>
            <w:vAlign w:val="center"/>
          </w:tcPr>
          <w:p w14:paraId="00659C45" w14:textId="77777777" w:rsidR="00990B14" w:rsidRDefault="00990B14">
            <w:pPr>
              <w:spacing w:before="20" w:after="20"/>
            </w:pPr>
          </w:p>
        </w:tc>
        <w:tc>
          <w:tcPr>
            <w:tcW w:w="5635" w:type="dxa"/>
            <w:gridSpan w:val="3"/>
            <w:shd w:val="clear" w:color="auto" w:fill="D9E2F3"/>
            <w:vAlign w:val="center"/>
          </w:tcPr>
          <w:p w14:paraId="5528BB30" w14:textId="77777777" w:rsidR="00990B14" w:rsidRDefault="00000000">
            <w:pPr>
              <w:keepNext/>
              <w:spacing w:before="20" w:after="20"/>
              <w:jc w:val="both"/>
            </w:pPr>
            <w:r>
              <w:rPr>
                <w:b/>
                <w:bCs/>
                <w:i/>
                <w:iCs/>
                <w:sz w:val="18"/>
                <w:szCs w:val="18"/>
              </w:rPr>
              <w:t xml:space="preserve">Producto 3: </w:t>
            </w:r>
            <w:r>
              <w:rPr>
                <w:sz w:val="18"/>
                <w:szCs w:val="18"/>
              </w:rPr>
              <w:t>Práctico de consumo y ahorro</w:t>
            </w:r>
          </w:p>
        </w:tc>
        <w:tc>
          <w:tcPr>
            <w:tcW w:w="2225" w:type="dxa"/>
            <w:shd w:val="clear" w:color="auto" w:fill="D9E2F3"/>
            <w:vAlign w:val="center"/>
          </w:tcPr>
          <w:p w14:paraId="16A1FC27" w14:textId="77777777" w:rsidR="00990B14" w:rsidRDefault="00000000">
            <w:pPr>
              <w:spacing w:before="20" w:after="20"/>
              <w:jc w:val="center"/>
            </w:pPr>
            <w:r>
              <w:rPr>
                <w:b/>
                <w:bCs/>
                <w:sz w:val="18"/>
                <w:szCs w:val="18"/>
              </w:rPr>
              <w:t>5%</w:t>
            </w:r>
          </w:p>
        </w:tc>
      </w:tr>
      <w:tr w:rsidR="00990B14" w14:paraId="58107EE8" w14:textId="77777777">
        <w:trPr>
          <w:cantSplit/>
          <w:jc w:val="center"/>
        </w:trPr>
        <w:tc>
          <w:tcPr>
            <w:tcW w:w="1545" w:type="dxa"/>
            <w:vMerge/>
            <w:shd w:val="clear" w:color="auto" w:fill="4472C4"/>
            <w:vAlign w:val="center"/>
          </w:tcPr>
          <w:p w14:paraId="15C9B80F" w14:textId="77777777" w:rsidR="00990B14" w:rsidRDefault="00990B14">
            <w:pPr>
              <w:spacing w:before="20" w:after="20"/>
            </w:pPr>
          </w:p>
        </w:tc>
        <w:tc>
          <w:tcPr>
            <w:tcW w:w="1815" w:type="dxa"/>
            <w:shd w:val="clear" w:color="auto" w:fill="4472C4"/>
            <w:vAlign w:val="center"/>
          </w:tcPr>
          <w:p w14:paraId="76A6D70F"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799562D1"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72FCDC3E" w14:textId="77777777" w:rsidR="00990B14" w:rsidRDefault="00000000">
            <w:pPr>
              <w:keepNext/>
              <w:spacing w:before="20" w:after="20"/>
              <w:jc w:val="center"/>
            </w:pPr>
            <w:r>
              <w:rPr>
                <w:b/>
                <w:bCs/>
                <w:i/>
                <w:iCs/>
                <w:color w:val="FFFFFF"/>
                <w:sz w:val="18"/>
                <w:szCs w:val="18"/>
              </w:rPr>
              <w:t>Suficiente (51–80)</w:t>
            </w:r>
          </w:p>
        </w:tc>
        <w:tc>
          <w:tcPr>
            <w:tcW w:w="2225" w:type="dxa"/>
            <w:shd w:val="clear" w:color="auto" w:fill="4472C4"/>
            <w:vAlign w:val="center"/>
          </w:tcPr>
          <w:p w14:paraId="699A1B26" w14:textId="77777777" w:rsidR="00990B14" w:rsidRDefault="00000000">
            <w:pPr>
              <w:keepNext/>
              <w:spacing w:before="20" w:after="20"/>
              <w:jc w:val="center"/>
            </w:pPr>
            <w:r>
              <w:rPr>
                <w:b/>
                <w:bCs/>
                <w:i/>
                <w:iCs/>
                <w:color w:val="FFFFFF"/>
                <w:sz w:val="18"/>
                <w:szCs w:val="18"/>
              </w:rPr>
              <w:t>Destacado (81–100)</w:t>
            </w:r>
          </w:p>
        </w:tc>
      </w:tr>
      <w:tr w:rsidR="00990B14" w14:paraId="56063D1D" w14:textId="77777777">
        <w:trPr>
          <w:cantSplit/>
          <w:jc w:val="center"/>
        </w:trPr>
        <w:tc>
          <w:tcPr>
            <w:tcW w:w="1545" w:type="dxa"/>
            <w:vMerge/>
            <w:shd w:val="clear" w:color="auto" w:fill="4472C4"/>
            <w:vAlign w:val="center"/>
          </w:tcPr>
          <w:p w14:paraId="0BE17F06" w14:textId="77777777" w:rsidR="00990B14" w:rsidRDefault="00990B14">
            <w:pPr>
              <w:spacing w:before="20" w:after="20"/>
            </w:pPr>
          </w:p>
        </w:tc>
        <w:tc>
          <w:tcPr>
            <w:tcW w:w="1815" w:type="dxa"/>
            <w:shd w:val="clear" w:color="auto" w:fill="D9E2F3"/>
            <w:vAlign w:val="center"/>
          </w:tcPr>
          <w:p w14:paraId="64D2BC81" w14:textId="77777777" w:rsidR="00990B14" w:rsidRDefault="00000000">
            <w:pPr>
              <w:spacing w:before="20" w:after="20"/>
              <w:jc w:val="both"/>
            </w:pPr>
            <w:r>
              <w:rPr>
                <w:sz w:val="18"/>
                <w:szCs w:val="18"/>
              </w:rPr>
              <w:t>Funciones</w:t>
            </w:r>
          </w:p>
        </w:tc>
        <w:tc>
          <w:tcPr>
            <w:tcW w:w="1910" w:type="dxa"/>
            <w:shd w:val="clear" w:color="auto" w:fill="D9E2F3"/>
            <w:vAlign w:val="center"/>
          </w:tcPr>
          <w:p w14:paraId="03968AF7" w14:textId="77777777" w:rsidR="00990B14" w:rsidRDefault="00000000">
            <w:pPr>
              <w:spacing w:before="20" w:after="20"/>
              <w:jc w:val="both"/>
            </w:pPr>
            <w:r>
              <w:rPr>
                <w:sz w:val="18"/>
                <w:szCs w:val="18"/>
              </w:rPr>
              <w:t>Plantea mal la función consumo o ahorro.</w:t>
            </w:r>
          </w:p>
        </w:tc>
        <w:tc>
          <w:tcPr>
            <w:tcW w:w="1910" w:type="dxa"/>
            <w:shd w:val="clear" w:color="auto" w:fill="D9E2F3"/>
            <w:vAlign w:val="center"/>
          </w:tcPr>
          <w:p w14:paraId="415DE100" w14:textId="77777777" w:rsidR="00990B14" w:rsidRDefault="00000000">
            <w:pPr>
              <w:spacing w:before="20" w:after="20"/>
              <w:jc w:val="both"/>
            </w:pPr>
            <w:r>
              <w:rPr>
                <w:sz w:val="18"/>
                <w:szCs w:val="18"/>
              </w:rPr>
              <w:t>Deduce las funciones de consumo y de ahorro.</w:t>
            </w:r>
          </w:p>
        </w:tc>
        <w:tc>
          <w:tcPr>
            <w:tcW w:w="2225" w:type="dxa"/>
            <w:shd w:val="clear" w:color="auto" w:fill="D9E2F3"/>
            <w:vAlign w:val="center"/>
          </w:tcPr>
          <w:p w14:paraId="498D8A7A" w14:textId="77777777" w:rsidR="00990B14" w:rsidRDefault="00000000">
            <w:pPr>
              <w:spacing w:before="20" w:after="20"/>
              <w:jc w:val="both"/>
            </w:pPr>
            <w:r>
              <w:rPr>
                <w:sz w:val="18"/>
                <w:szCs w:val="18"/>
              </w:rPr>
              <w:t>Explica el consumo intertemporal y las expectativas.</w:t>
            </w:r>
          </w:p>
        </w:tc>
      </w:tr>
      <w:tr w:rsidR="00990B14" w14:paraId="0D7F71BC" w14:textId="77777777">
        <w:trPr>
          <w:cantSplit/>
          <w:jc w:val="center"/>
        </w:trPr>
        <w:tc>
          <w:tcPr>
            <w:tcW w:w="1545" w:type="dxa"/>
            <w:vMerge/>
            <w:shd w:val="clear" w:color="auto" w:fill="4472C4"/>
            <w:vAlign w:val="center"/>
          </w:tcPr>
          <w:p w14:paraId="486376B9" w14:textId="77777777" w:rsidR="00990B14" w:rsidRDefault="00990B14">
            <w:pPr>
              <w:spacing w:before="20" w:after="20"/>
            </w:pPr>
          </w:p>
        </w:tc>
        <w:tc>
          <w:tcPr>
            <w:tcW w:w="1815" w:type="dxa"/>
            <w:shd w:val="clear" w:color="auto" w:fill="D9E2F3"/>
            <w:vAlign w:val="center"/>
          </w:tcPr>
          <w:p w14:paraId="2ACE7458" w14:textId="77777777" w:rsidR="00990B14" w:rsidRDefault="00000000">
            <w:pPr>
              <w:spacing w:before="20" w:after="20"/>
              <w:jc w:val="both"/>
            </w:pPr>
            <w:r>
              <w:rPr>
                <w:sz w:val="18"/>
                <w:szCs w:val="18"/>
              </w:rPr>
              <w:t>Propensiones</w:t>
            </w:r>
          </w:p>
        </w:tc>
        <w:tc>
          <w:tcPr>
            <w:tcW w:w="1910" w:type="dxa"/>
            <w:shd w:val="clear" w:color="auto" w:fill="D9E2F3"/>
            <w:vAlign w:val="center"/>
          </w:tcPr>
          <w:p w14:paraId="4D522557" w14:textId="77777777" w:rsidR="00990B14" w:rsidRDefault="00000000">
            <w:pPr>
              <w:spacing w:before="20" w:after="20"/>
              <w:jc w:val="both"/>
            </w:pPr>
            <w:r>
              <w:rPr>
                <w:sz w:val="18"/>
                <w:szCs w:val="18"/>
              </w:rPr>
              <w:t>Calcula mal las propensiones.</w:t>
            </w:r>
          </w:p>
        </w:tc>
        <w:tc>
          <w:tcPr>
            <w:tcW w:w="1910" w:type="dxa"/>
            <w:shd w:val="clear" w:color="auto" w:fill="D9E2F3"/>
            <w:vAlign w:val="center"/>
          </w:tcPr>
          <w:p w14:paraId="636F5E7C" w14:textId="77777777" w:rsidR="00990B14" w:rsidRDefault="00000000">
            <w:pPr>
              <w:spacing w:before="20" w:after="20"/>
              <w:jc w:val="both"/>
            </w:pPr>
            <w:r>
              <w:rPr>
                <w:sz w:val="18"/>
                <w:szCs w:val="18"/>
              </w:rPr>
              <w:t>Calcula las propensiones media y marginal.</w:t>
            </w:r>
          </w:p>
        </w:tc>
        <w:tc>
          <w:tcPr>
            <w:tcW w:w="2225" w:type="dxa"/>
            <w:shd w:val="clear" w:color="auto" w:fill="D9E2F3"/>
            <w:vAlign w:val="center"/>
          </w:tcPr>
          <w:p w14:paraId="428899C2" w14:textId="77777777" w:rsidR="00990B14" w:rsidRDefault="00000000">
            <w:pPr>
              <w:spacing w:before="20" w:after="20"/>
              <w:jc w:val="both"/>
            </w:pPr>
            <w:r>
              <w:rPr>
                <w:sz w:val="18"/>
                <w:szCs w:val="18"/>
              </w:rPr>
              <w:t>Comprueba que las propensiones marginales suman uno.</w:t>
            </w:r>
          </w:p>
        </w:tc>
      </w:tr>
      <w:tr w:rsidR="00990B14" w14:paraId="53DDA94E" w14:textId="77777777">
        <w:trPr>
          <w:cantSplit/>
          <w:jc w:val="center"/>
        </w:trPr>
        <w:tc>
          <w:tcPr>
            <w:tcW w:w="1545" w:type="dxa"/>
            <w:vMerge/>
            <w:shd w:val="clear" w:color="auto" w:fill="4472C4"/>
            <w:vAlign w:val="center"/>
          </w:tcPr>
          <w:p w14:paraId="6D3AECFF" w14:textId="77777777" w:rsidR="00990B14" w:rsidRDefault="00990B14">
            <w:pPr>
              <w:spacing w:before="20" w:after="20"/>
            </w:pPr>
          </w:p>
        </w:tc>
        <w:tc>
          <w:tcPr>
            <w:tcW w:w="1815" w:type="dxa"/>
            <w:shd w:val="clear" w:color="auto" w:fill="D9E2F3"/>
            <w:vAlign w:val="center"/>
          </w:tcPr>
          <w:p w14:paraId="08A2D938" w14:textId="77777777" w:rsidR="00990B14" w:rsidRDefault="00000000">
            <w:pPr>
              <w:spacing w:before="20" w:after="20"/>
              <w:jc w:val="both"/>
            </w:pPr>
            <w:r>
              <w:rPr>
                <w:sz w:val="18"/>
                <w:szCs w:val="18"/>
              </w:rPr>
              <w:t>Gráficos</w:t>
            </w:r>
          </w:p>
        </w:tc>
        <w:tc>
          <w:tcPr>
            <w:tcW w:w="1910" w:type="dxa"/>
            <w:shd w:val="clear" w:color="auto" w:fill="D9E2F3"/>
            <w:vAlign w:val="center"/>
          </w:tcPr>
          <w:p w14:paraId="6A73E014" w14:textId="77777777" w:rsidR="00990B14" w:rsidRDefault="00000000">
            <w:pPr>
              <w:spacing w:before="20" w:after="20"/>
              <w:jc w:val="both"/>
            </w:pPr>
            <w:r>
              <w:rPr>
                <w:sz w:val="18"/>
                <w:szCs w:val="18"/>
              </w:rPr>
              <w:t>Los gráficos no corresponden a las funciones.</w:t>
            </w:r>
          </w:p>
        </w:tc>
        <w:tc>
          <w:tcPr>
            <w:tcW w:w="1910" w:type="dxa"/>
            <w:shd w:val="clear" w:color="auto" w:fill="D9E2F3"/>
            <w:vAlign w:val="center"/>
          </w:tcPr>
          <w:p w14:paraId="7A685BF1" w14:textId="77777777" w:rsidR="00990B14" w:rsidRDefault="00000000">
            <w:pPr>
              <w:spacing w:before="20" w:after="20"/>
              <w:jc w:val="both"/>
            </w:pPr>
            <w:r>
              <w:rPr>
                <w:sz w:val="18"/>
                <w:szCs w:val="18"/>
              </w:rPr>
              <w:t>Grafica correctamente ambas funciones.</w:t>
            </w:r>
          </w:p>
        </w:tc>
        <w:tc>
          <w:tcPr>
            <w:tcW w:w="2225" w:type="dxa"/>
            <w:shd w:val="clear" w:color="auto" w:fill="D9E2F3"/>
            <w:vAlign w:val="center"/>
          </w:tcPr>
          <w:p w14:paraId="109C3659" w14:textId="77777777" w:rsidR="00990B14" w:rsidRDefault="00000000">
            <w:pPr>
              <w:spacing w:before="20" w:after="20"/>
              <w:jc w:val="both"/>
            </w:pPr>
            <w:r>
              <w:rPr>
                <w:sz w:val="18"/>
                <w:szCs w:val="18"/>
              </w:rPr>
              <w:t>Señala el nivel de ingreso de ahorro nulo.</w:t>
            </w:r>
          </w:p>
        </w:tc>
      </w:tr>
      <w:tr w:rsidR="00990B14" w14:paraId="14C24AF3" w14:textId="77777777">
        <w:trPr>
          <w:cantSplit/>
          <w:jc w:val="center"/>
        </w:trPr>
        <w:tc>
          <w:tcPr>
            <w:tcW w:w="1545" w:type="dxa"/>
            <w:vMerge/>
            <w:shd w:val="clear" w:color="auto" w:fill="4472C4"/>
            <w:vAlign w:val="center"/>
          </w:tcPr>
          <w:p w14:paraId="79B4FF48" w14:textId="77777777" w:rsidR="00990B14" w:rsidRDefault="00990B14">
            <w:pPr>
              <w:spacing w:before="20" w:after="20"/>
            </w:pPr>
          </w:p>
        </w:tc>
        <w:tc>
          <w:tcPr>
            <w:tcW w:w="5635" w:type="dxa"/>
            <w:gridSpan w:val="3"/>
            <w:shd w:val="clear" w:color="auto" w:fill="D9E2F3"/>
            <w:vAlign w:val="center"/>
          </w:tcPr>
          <w:p w14:paraId="2FB26737" w14:textId="77777777" w:rsidR="00990B14" w:rsidRDefault="00000000">
            <w:pPr>
              <w:keepNext/>
              <w:spacing w:before="20" w:after="20"/>
              <w:jc w:val="both"/>
            </w:pPr>
            <w:r>
              <w:rPr>
                <w:b/>
                <w:bCs/>
                <w:i/>
                <w:iCs/>
                <w:sz w:val="18"/>
                <w:szCs w:val="18"/>
              </w:rPr>
              <w:t xml:space="preserve">Producto 4: </w:t>
            </w:r>
            <w:r>
              <w:rPr>
                <w:sz w:val="18"/>
                <w:szCs w:val="18"/>
              </w:rPr>
              <w:t>Práctico de inversión y equilibrio</w:t>
            </w:r>
          </w:p>
        </w:tc>
        <w:tc>
          <w:tcPr>
            <w:tcW w:w="2225" w:type="dxa"/>
            <w:shd w:val="clear" w:color="auto" w:fill="D9E2F3"/>
            <w:vAlign w:val="center"/>
          </w:tcPr>
          <w:p w14:paraId="6A2E7EC5" w14:textId="77777777" w:rsidR="00990B14" w:rsidRDefault="00000000">
            <w:pPr>
              <w:spacing w:before="20" w:after="20"/>
              <w:jc w:val="center"/>
            </w:pPr>
            <w:r>
              <w:rPr>
                <w:b/>
                <w:bCs/>
                <w:sz w:val="18"/>
                <w:szCs w:val="18"/>
              </w:rPr>
              <w:t>5%</w:t>
            </w:r>
          </w:p>
        </w:tc>
      </w:tr>
      <w:tr w:rsidR="00990B14" w14:paraId="2669DD31" w14:textId="77777777">
        <w:trPr>
          <w:cantSplit/>
          <w:jc w:val="center"/>
        </w:trPr>
        <w:tc>
          <w:tcPr>
            <w:tcW w:w="1545" w:type="dxa"/>
            <w:vMerge/>
            <w:shd w:val="clear" w:color="auto" w:fill="4472C4"/>
            <w:vAlign w:val="center"/>
          </w:tcPr>
          <w:p w14:paraId="7CC1F7A8" w14:textId="77777777" w:rsidR="00990B14" w:rsidRDefault="00990B14">
            <w:pPr>
              <w:spacing w:before="20" w:after="20"/>
            </w:pPr>
          </w:p>
        </w:tc>
        <w:tc>
          <w:tcPr>
            <w:tcW w:w="1815" w:type="dxa"/>
            <w:shd w:val="clear" w:color="auto" w:fill="4472C4"/>
            <w:vAlign w:val="center"/>
          </w:tcPr>
          <w:p w14:paraId="3846EEC1"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14422C5F"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49ACEC36" w14:textId="77777777" w:rsidR="00990B14" w:rsidRDefault="00000000">
            <w:pPr>
              <w:keepNext/>
              <w:spacing w:before="20" w:after="20"/>
              <w:jc w:val="center"/>
            </w:pPr>
            <w:r>
              <w:rPr>
                <w:b/>
                <w:bCs/>
                <w:i/>
                <w:iCs/>
                <w:color w:val="FFFFFF"/>
                <w:sz w:val="18"/>
                <w:szCs w:val="18"/>
              </w:rPr>
              <w:t>Suficiente (51–80)</w:t>
            </w:r>
          </w:p>
        </w:tc>
        <w:tc>
          <w:tcPr>
            <w:tcW w:w="2225" w:type="dxa"/>
            <w:shd w:val="clear" w:color="auto" w:fill="4472C4"/>
            <w:vAlign w:val="center"/>
          </w:tcPr>
          <w:p w14:paraId="09EEBA33" w14:textId="77777777" w:rsidR="00990B14" w:rsidRDefault="00000000">
            <w:pPr>
              <w:keepNext/>
              <w:spacing w:before="20" w:after="20"/>
              <w:jc w:val="center"/>
            </w:pPr>
            <w:r>
              <w:rPr>
                <w:b/>
                <w:bCs/>
                <w:i/>
                <w:iCs/>
                <w:color w:val="FFFFFF"/>
                <w:sz w:val="18"/>
                <w:szCs w:val="18"/>
              </w:rPr>
              <w:t>Destacado (81–100)</w:t>
            </w:r>
          </w:p>
        </w:tc>
      </w:tr>
      <w:tr w:rsidR="00990B14" w14:paraId="21F457EF" w14:textId="77777777">
        <w:trPr>
          <w:cantSplit/>
          <w:jc w:val="center"/>
        </w:trPr>
        <w:tc>
          <w:tcPr>
            <w:tcW w:w="1545" w:type="dxa"/>
            <w:vMerge/>
            <w:shd w:val="clear" w:color="auto" w:fill="4472C4"/>
            <w:vAlign w:val="center"/>
          </w:tcPr>
          <w:p w14:paraId="46577026" w14:textId="77777777" w:rsidR="00990B14" w:rsidRDefault="00990B14">
            <w:pPr>
              <w:spacing w:before="20" w:after="20"/>
            </w:pPr>
          </w:p>
        </w:tc>
        <w:tc>
          <w:tcPr>
            <w:tcW w:w="1815" w:type="dxa"/>
            <w:shd w:val="clear" w:color="auto" w:fill="D9E2F3"/>
            <w:vAlign w:val="center"/>
          </w:tcPr>
          <w:p w14:paraId="2376495C" w14:textId="77777777" w:rsidR="00990B14" w:rsidRDefault="00000000">
            <w:pPr>
              <w:spacing w:before="20" w:after="20"/>
              <w:jc w:val="both"/>
            </w:pPr>
            <w:r>
              <w:rPr>
                <w:sz w:val="18"/>
                <w:szCs w:val="18"/>
              </w:rPr>
              <w:t>Decisión de invertir</w:t>
            </w:r>
          </w:p>
        </w:tc>
        <w:tc>
          <w:tcPr>
            <w:tcW w:w="1910" w:type="dxa"/>
            <w:shd w:val="clear" w:color="auto" w:fill="D9E2F3"/>
            <w:vAlign w:val="center"/>
          </w:tcPr>
          <w:p w14:paraId="0BE902F3" w14:textId="77777777" w:rsidR="00990B14" w:rsidRDefault="00000000">
            <w:pPr>
              <w:spacing w:before="20" w:after="20"/>
              <w:jc w:val="both"/>
            </w:pPr>
            <w:r>
              <w:rPr>
                <w:sz w:val="18"/>
                <w:szCs w:val="18"/>
              </w:rPr>
              <w:t>Calcula mal el VAN o la TIR.</w:t>
            </w:r>
          </w:p>
        </w:tc>
        <w:tc>
          <w:tcPr>
            <w:tcW w:w="1910" w:type="dxa"/>
            <w:shd w:val="clear" w:color="auto" w:fill="D9E2F3"/>
            <w:vAlign w:val="center"/>
          </w:tcPr>
          <w:p w14:paraId="0522E46B" w14:textId="77777777" w:rsidR="00990B14" w:rsidRDefault="00000000">
            <w:pPr>
              <w:spacing w:before="20" w:after="20"/>
              <w:jc w:val="both"/>
            </w:pPr>
            <w:r>
              <w:rPr>
                <w:sz w:val="18"/>
                <w:szCs w:val="18"/>
              </w:rPr>
              <w:t>Calcula el VAN y la TIR del proyecto.</w:t>
            </w:r>
          </w:p>
        </w:tc>
        <w:tc>
          <w:tcPr>
            <w:tcW w:w="2225" w:type="dxa"/>
            <w:shd w:val="clear" w:color="auto" w:fill="D9E2F3"/>
            <w:vAlign w:val="center"/>
          </w:tcPr>
          <w:p w14:paraId="26A1A2EE" w14:textId="77777777" w:rsidR="00990B14" w:rsidRDefault="00000000">
            <w:pPr>
              <w:spacing w:before="20" w:after="20"/>
              <w:jc w:val="both"/>
            </w:pPr>
            <w:r>
              <w:rPr>
                <w:sz w:val="18"/>
                <w:szCs w:val="18"/>
              </w:rPr>
              <w:t>Analiza la sensibilidad ante la tasa de descuento.</w:t>
            </w:r>
          </w:p>
        </w:tc>
      </w:tr>
      <w:tr w:rsidR="00990B14" w14:paraId="056C00A4" w14:textId="77777777">
        <w:trPr>
          <w:cantSplit/>
          <w:jc w:val="center"/>
        </w:trPr>
        <w:tc>
          <w:tcPr>
            <w:tcW w:w="1545" w:type="dxa"/>
            <w:vMerge/>
            <w:shd w:val="clear" w:color="auto" w:fill="4472C4"/>
            <w:vAlign w:val="center"/>
          </w:tcPr>
          <w:p w14:paraId="35DE2CA3" w14:textId="77777777" w:rsidR="00990B14" w:rsidRDefault="00990B14">
            <w:pPr>
              <w:spacing w:before="20" w:after="20"/>
            </w:pPr>
          </w:p>
        </w:tc>
        <w:tc>
          <w:tcPr>
            <w:tcW w:w="1815" w:type="dxa"/>
            <w:shd w:val="clear" w:color="auto" w:fill="D9E2F3"/>
            <w:vAlign w:val="center"/>
          </w:tcPr>
          <w:p w14:paraId="276347A0" w14:textId="77777777" w:rsidR="00990B14" w:rsidRDefault="00000000">
            <w:pPr>
              <w:spacing w:before="20" w:after="20"/>
              <w:jc w:val="both"/>
            </w:pPr>
            <w:r>
              <w:rPr>
                <w:sz w:val="18"/>
                <w:szCs w:val="18"/>
              </w:rPr>
              <w:t>Equilibrio macroeconómico</w:t>
            </w:r>
          </w:p>
        </w:tc>
        <w:tc>
          <w:tcPr>
            <w:tcW w:w="1910" w:type="dxa"/>
            <w:shd w:val="clear" w:color="auto" w:fill="D9E2F3"/>
            <w:vAlign w:val="center"/>
          </w:tcPr>
          <w:p w14:paraId="26BF99DF" w14:textId="77777777" w:rsidR="00990B14" w:rsidRDefault="00000000">
            <w:pPr>
              <w:spacing w:before="20" w:after="20"/>
              <w:jc w:val="both"/>
            </w:pPr>
            <w:r>
              <w:rPr>
                <w:sz w:val="18"/>
                <w:szCs w:val="18"/>
              </w:rPr>
              <w:t>No iguala el ahorro a la inversión.</w:t>
            </w:r>
          </w:p>
        </w:tc>
        <w:tc>
          <w:tcPr>
            <w:tcW w:w="1910" w:type="dxa"/>
            <w:shd w:val="clear" w:color="auto" w:fill="D9E2F3"/>
            <w:vAlign w:val="center"/>
          </w:tcPr>
          <w:p w14:paraId="1F7EC433" w14:textId="77777777" w:rsidR="00990B14" w:rsidRDefault="00000000">
            <w:pPr>
              <w:spacing w:before="20" w:after="20"/>
              <w:jc w:val="both"/>
            </w:pPr>
            <w:r>
              <w:rPr>
                <w:sz w:val="18"/>
                <w:szCs w:val="18"/>
              </w:rPr>
              <w:t>Determina el equilibrio por ahorro e inversión.</w:t>
            </w:r>
          </w:p>
        </w:tc>
        <w:tc>
          <w:tcPr>
            <w:tcW w:w="2225" w:type="dxa"/>
            <w:shd w:val="clear" w:color="auto" w:fill="D9E2F3"/>
            <w:vAlign w:val="center"/>
          </w:tcPr>
          <w:p w14:paraId="5D39973E" w14:textId="77777777" w:rsidR="00990B14" w:rsidRDefault="00000000">
            <w:pPr>
              <w:spacing w:before="20" w:after="20"/>
              <w:jc w:val="both"/>
            </w:pPr>
            <w:r>
              <w:rPr>
                <w:sz w:val="18"/>
                <w:szCs w:val="18"/>
              </w:rPr>
              <w:t>Explica la situación de exceso de oferta.</w:t>
            </w:r>
          </w:p>
        </w:tc>
      </w:tr>
      <w:tr w:rsidR="00990B14" w14:paraId="54D2B4D8" w14:textId="77777777">
        <w:trPr>
          <w:cantSplit/>
          <w:jc w:val="center"/>
        </w:trPr>
        <w:tc>
          <w:tcPr>
            <w:tcW w:w="1545" w:type="dxa"/>
            <w:vMerge/>
            <w:shd w:val="clear" w:color="auto" w:fill="4472C4"/>
            <w:vAlign w:val="center"/>
          </w:tcPr>
          <w:p w14:paraId="1B614243" w14:textId="77777777" w:rsidR="00990B14" w:rsidRDefault="00990B14">
            <w:pPr>
              <w:spacing w:before="20" w:after="20"/>
            </w:pPr>
          </w:p>
        </w:tc>
        <w:tc>
          <w:tcPr>
            <w:tcW w:w="1815" w:type="dxa"/>
            <w:shd w:val="clear" w:color="auto" w:fill="D9E2F3"/>
            <w:vAlign w:val="center"/>
          </w:tcPr>
          <w:p w14:paraId="7D37BE08" w14:textId="77777777" w:rsidR="00990B14" w:rsidRDefault="00000000">
            <w:pPr>
              <w:spacing w:before="20" w:after="20"/>
              <w:jc w:val="both"/>
            </w:pPr>
            <w:r>
              <w:rPr>
                <w:sz w:val="18"/>
                <w:szCs w:val="18"/>
              </w:rPr>
              <w:t>Trabajo en equipo</w:t>
            </w:r>
          </w:p>
        </w:tc>
        <w:tc>
          <w:tcPr>
            <w:tcW w:w="1910" w:type="dxa"/>
            <w:shd w:val="clear" w:color="auto" w:fill="D9E2F3"/>
            <w:vAlign w:val="center"/>
          </w:tcPr>
          <w:p w14:paraId="5E8233DD" w14:textId="77777777" w:rsidR="00990B14" w:rsidRDefault="00000000">
            <w:pPr>
              <w:spacing w:before="20" w:after="20"/>
              <w:jc w:val="both"/>
            </w:pPr>
            <w:r>
              <w:rPr>
                <w:sz w:val="18"/>
                <w:szCs w:val="18"/>
              </w:rPr>
              <w:t>Participan solo algunos integrantes.</w:t>
            </w:r>
          </w:p>
        </w:tc>
        <w:tc>
          <w:tcPr>
            <w:tcW w:w="1910" w:type="dxa"/>
            <w:shd w:val="clear" w:color="auto" w:fill="D9E2F3"/>
            <w:vAlign w:val="center"/>
          </w:tcPr>
          <w:p w14:paraId="440C81F9" w14:textId="77777777" w:rsidR="00990B14" w:rsidRDefault="00000000">
            <w:pPr>
              <w:spacing w:before="20" w:after="20"/>
              <w:jc w:val="both"/>
            </w:pPr>
            <w:r>
              <w:rPr>
                <w:sz w:val="18"/>
                <w:szCs w:val="18"/>
              </w:rPr>
              <w:t>Todos los integrantes participan.</w:t>
            </w:r>
          </w:p>
        </w:tc>
        <w:tc>
          <w:tcPr>
            <w:tcW w:w="2225" w:type="dxa"/>
            <w:shd w:val="clear" w:color="auto" w:fill="D9E2F3"/>
            <w:vAlign w:val="center"/>
          </w:tcPr>
          <w:p w14:paraId="2EE2FB62" w14:textId="77777777" w:rsidR="00990B14" w:rsidRDefault="00000000">
            <w:pPr>
              <w:spacing w:before="20" w:after="20"/>
              <w:jc w:val="both"/>
            </w:pPr>
            <w:r>
              <w:rPr>
                <w:sz w:val="18"/>
                <w:szCs w:val="18"/>
              </w:rPr>
              <w:t>El equipo revisa los cálculos de cada integrante.</w:t>
            </w:r>
          </w:p>
        </w:tc>
      </w:tr>
      <w:tr w:rsidR="00990B14" w14:paraId="4909F83D" w14:textId="77777777">
        <w:trPr>
          <w:cantSplit/>
          <w:jc w:val="center"/>
        </w:trPr>
        <w:tc>
          <w:tcPr>
            <w:tcW w:w="1545" w:type="dxa"/>
            <w:vMerge/>
            <w:shd w:val="clear" w:color="auto" w:fill="4472C4"/>
            <w:vAlign w:val="center"/>
          </w:tcPr>
          <w:p w14:paraId="32709EEE" w14:textId="77777777" w:rsidR="00990B14" w:rsidRDefault="00990B14">
            <w:pPr>
              <w:spacing w:before="20" w:after="20"/>
            </w:pPr>
          </w:p>
        </w:tc>
        <w:tc>
          <w:tcPr>
            <w:tcW w:w="5635" w:type="dxa"/>
            <w:gridSpan w:val="3"/>
            <w:shd w:val="clear" w:color="auto" w:fill="D9E2F3"/>
            <w:vAlign w:val="center"/>
          </w:tcPr>
          <w:p w14:paraId="258DEFD9" w14:textId="77777777" w:rsidR="00990B14" w:rsidRDefault="00000000">
            <w:pPr>
              <w:keepNext/>
              <w:spacing w:before="20" w:after="20"/>
              <w:jc w:val="both"/>
            </w:pPr>
            <w:r>
              <w:rPr>
                <w:b/>
                <w:bCs/>
                <w:i/>
                <w:iCs/>
                <w:sz w:val="18"/>
                <w:szCs w:val="18"/>
              </w:rPr>
              <w:t xml:space="preserve">Producto 5: </w:t>
            </w:r>
            <w:r>
              <w:rPr>
                <w:sz w:val="18"/>
                <w:szCs w:val="18"/>
              </w:rPr>
              <w:t>Cuadro de agregados monetarios</w:t>
            </w:r>
          </w:p>
        </w:tc>
        <w:tc>
          <w:tcPr>
            <w:tcW w:w="2225" w:type="dxa"/>
            <w:shd w:val="clear" w:color="auto" w:fill="D9E2F3"/>
            <w:vAlign w:val="center"/>
          </w:tcPr>
          <w:p w14:paraId="51371413" w14:textId="77777777" w:rsidR="00990B14" w:rsidRDefault="00000000">
            <w:pPr>
              <w:spacing w:before="20" w:after="20"/>
              <w:jc w:val="center"/>
            </w:pPr>
            <w:r>
              <w:rPr>
                <w:b/>
                <w:bCs/>
                <w:sz w:val="18"/>
                <w:szCs w:val="18"/>
              </w:rPr>
              <w:t>7%</w:t>
            </w:r>
          </w:p>
        </w:tc>
      </w:tr>
      <w:tr w:rsidR="00990B14" w14:paraId="1C9B83E4" w14:textId="77777777">
        <w:trPr>
          <w:cantSplit/>
          <w:jc w:val="center"/>
        </w:trPr>
        <w:tc>
          <w:tcPr>
            <w:tcW w:w="1545" w:type="dxa"/>
            <w:vMerge/>
            <w:shd w:val="clear" w:color="auto" w:fill="4472C4"/>
            <w:vAlign w:val="center"/>
          </w:tcPr>
          <w:p w14:paraId="1E85261C" w14:textId="77777777" w:rsidR="00990B14" w:rsidRDefault="00990B14">
            <w:pPr>
              <w:spacing w:before="20" w:after="20"/>
            </w:pPr>
          </w:p>
        </w:tc>
        <w:tc>
          <w:tcPr>
            <w:tcW w:w="1815" w:type="dxa"/>
            <w:shd w:val="clear" w:color="auto" w:fill="4472C4"/>
            <w:vAlign w:val="center"/>
          </w:tcPr>
          <w:p w14:paraId="7513D3DD"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14B3C15F"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4F0E0532" w14:textId="77777777" w:rsidR="00990B14" w:rsidRDefault="00000000">
            <w:pPr>
              <w:keepNext/>
              <w:spacing w:before="20" w:after="20"/>
              <w:jc w:val="center"/>
            </w:pPr>
            <w:r>
              <w:rPr>
                <w:b/>
                <w:bCs/>
                <w:i/>
                <w:iCs/>
                <w:color w:val="FFFFFF"/>
                <w:sz w:val="18"/>
                <w:szCs w:val="18"/>
              </w:rPr>
              <w:t>Suficiente (51–80)</w:t>
            </w:r>
          </w:p>
        </w:tc>
        <w:tc>
          <w:tcPr>
            <w:tcW w:w="2225" w:type="dxa"/>
            <w:shd w:val="clear" w:color="auto" w:fill="4472C4"/>
            <w:vAlign w:val="center"/>
          </w:tcPr>
          <w:p w14:paraId="67EA2508" w14:textId="77777777" w:rsidR="00990B14" w:rsidRDefault="00000000">
            <w:pPr>
              <w:keepNext/>
              <w:spacing w:before="20" w:after="20"/>
              <w:jc w:val="center"/>
            </w:pPr>
            <w:r>
              <w:rPr>
                <w:b/>
                <w:bCs/>
                <w:i/>
                <w:iCs/>
                <w:color w:val="FFFFFF"/>
                <w:sz w:val="18"/>
                <w:szCs w:val="18"/>
              </w:rPr>
              <w:t>Destacado (81–100)</w:t>
            </w:r>
          </w:p>
        </w:tc>
      </w:tr>
      <w:tr w:rsidR="00990B14" w14:paraId="1E9AE059" w14:textId="77777777">
        <w:trPr>
          <w:cantSplit/>
          <w:jc w:val="center"/>
        </w:trPr>
        <w:tc>
          <w:tcPr>
            <w:tcW w:w="1545" w:type="dxa"/>
            <w:vMerge/>
            <w:shd w:val="clear" w:color="auto" w:fill="4472C4"/>
            <w:vAlign w:val="center"/>
          </w:tcPr>
          <w:p w14:paraId="151F8F75" w14:textId="77777777" w:rsidR="00990B14" w:rsidRDefault="00990B14">
            <w:pPr>
              <w:spacing w:before="20" w:after="20"/>
            </w:pPr>
          </w:p>
        </w:tc>
        <w:tc>
          <w:tcPr>
            <w:tcW w:w="1815" w:type="dxa"/>
            <w:shd w:val="clear" w:color="auto" w:fill="D9E2F3"/>
            <w:vAlign w:val="center"/>
          </w:tcPr>
          <w:p w14:paraId="76CF35DF" w14:textId="77777777" w:rsidR="00990B14" w:rsidRDefault="00000000">
            <w:pPr>
              <w:spacing w:before="20" w:after="20"/>
              <w:jc w:val="both"/>
            </w:pPr>
            <w:r>
              <w:rPr>
                <w:sz w:val="18"/>
                <w:szCs w:val="18"/>
              </w:rPr>
              <w:t>Agregados monetarios</w:t>
            </w:r>
          </w:p>
        </w:tc>
        <w:tc>
          <w:tcPr>
            <w:tcW w:w="1910" w:type="dxa"/>
            <w:shd w:val="clear" w:color="auto" w:fill="D9E2F3"/>
            <w:vAlign w:val="center"/>
          </w:tcPr>
          <w:p w14:paraId="065298F6" w14:textId="77777777" w:rsidR="00990B14" w:rsidRDefault="00000000">
            <w:pPr>
              <w:spacing w:before="20" w:after="20"/>
              <w:jc w:val="both"/>
            </w:pPr>
            <w:r>
              <w:rPr>
                <w:sz w:val="18"/>
                <w:szCs w:val="18"/>
              </w:rPr>
              <w:t>Confunde los componentes de cada agregado.</w:t>
            </w:r>
          </w:p>
        </w:tc>
        <w:tc>
          <w:tcPr>
            <w:tcW w:w="1910" w:type="dxa"/>
            <w:shd w:val="clear" w:color="auto" w:fill="D9E2F3"/>
            <w:vAlign w:val="center"/>
          </w:tcPr>
          <w:p w14:paraId="29C2CD0A" w14:textId="77777777" w:rsidR="00990B14" w:rsidRDefault="00000000">
            <w:pPr>
              <w:spacing w:before="20" w:after="20"/>
              <w:jc w:val="both"/>
            </w:pPr>
            <w:r>
              <w:rPr>
                <w:sz w:val="18"/>
                <w:szCs w:val="18"/>
              </w:rPr>
              <w:t>Calcula correctamente los agregados monetarios.</w:t>
            </w:r>
          </w:p>
        </w:tc>
        <w:tc>
          <w:tcPr>
            <w:tcW w:w="2225" w:type="dxa"/>
            <w:shd w:val="clear" w:color="auto" w:fill="D9E2F3"/>
            <w:vAlign w:val="center"/>
          </w:tcPr>
          <w:p w14:paraId="3140D0E6" w14:textId="77777777" w:rsidR="00990B14" w:rsidRDefault="00000000">
            <w:pPr>
              <w:spacing w:before="20" w:after="20"/>
              <w:jc w:val="both"/>
            </w:pPr>
            <w:r>
              <w:rPr>
                <w:sz w:val="18"/>
                <w:szCs w:val="18"/>
              </w:rPr>
              <w:t>Interpreta la evolución de los agregados en el periodo.</w:t>
            </w:r>
          </w:p>
        </w:tc>
      </w:tr>
      <w:tr w:rsidR="00990B14" w14:paraId="5A6B98F2" w14:textId="77777777">
        <w:trPr>
          <w:cantSplit/>
          <w:jc w:val="center"/>
        </w:trPr>
        <w:tc>
          <w:tcPr>
            <w:tcW w:w="1545" w:type="dxa"/>
            <w:vMerge/>
            <w:shd w:val="clear" w:color="auto" w:fill="4472C4"/>
            <w:vAlign w:val="center"/>
          </w:tcPr>
          <w:p w14:paraId="369D732D" w14:textId="77777777" w:rsidR="00990B14" w:rsidRDefault="00990B14">
            <w:pPr>
              <w:spacing w:before="20" w:after="20"/>
            </w:pPr>
          </w:p>
        </w:tc>
        <w:tc>
          <w:tcPr>
            <w:tcW w:w="1815" w:type="dxa"/>
            <w:shd w:val="clear" w:color="auto" w:fill="D9E2F3"/>
            <w:vAlign w:val="center"/>
          </w:tcPr>
          <w:p w14:paraId="51584BB4" w14:textId="77777777" w:rsidR="00990B14" w:rsidRDefault="00000000">
            <w:pPr>
              <w:spacing w:before="20" w:after="20"/>
              <w:jc w:val="both"/>
            </w:pPr>
            <w:r>
              <w:rPr>
                <w:sz w:val="18"/>
                <w:szCs w:val="18"/>
              </w:rPr>
              <w:t>Funciones del dinero</w:t>
            </w:r>
          </w:p>
        </w:tc>
        <w:tc>
          <w:tcPr>
            <w:tcW w:w="1910" w:type="dxa"/>
            <w:shd w:val="clear" w:color="auto" w:fill="D9E2F3"/>
            <w:vAlign w:val="center"/>
          </w:tcPr>
          <w:p w14:paraId="435D27BC" w14:textId="77777777" w:rsidR="00990B14" w:rsidRDefault="00000000">
            <w:pPr>
              <w:spacing w:before="20" w:after="20"/>
              <w:jc w:val="both"/>
            </w:pPr>
            <w:r>
              <w:rPr>
                <w:sz w:val="18"/>
                <w:szCs w:val="18"/>
              </w:rPr>
              <w:t>No relaciona los agregados con el dinero.</w:t>
            </w:r>
          </w:p>
        </w:tc>
        <w:tc>
          <w:tcPr>
            <w:tcW w:w="1910" w:type="dxa"/>
            <w:shd w:val="clear" w:color="auto" w:fill="D9E2F3"/>
            <w:vAlign w:val="center"/>
          </w:tcPr>
          <w:p w14:paraId="67CA2DFD" w14:textId="77777777" w:rsidR="00990B14" w:rsidRDefault="00000000">
            <w:pPr>
              <w:spacing w:before="20" w:after="20"/>
              <w:jc w:val="both"/>
            </w:pPr>
            <w:r>
              <w:rPr>
                <w:sz w:val="18"/>
                <w:szCs w:val="18"/>
              </w:rPr>
              <w:t>Relaciona los agregados con las funciones del dinero.</w:t>
            </w:r>
          </w:p>
        </w:tc>
        <w:tc>
          <w:tcPr>
            <w:tcW w:w="2225" w:type="dxa"/>
            <w:shd w:val="clear" w:color="auto" w:fill="D9E2F3"/>
            <w:vAlign w:val="center"/>
          </w:tcPr>
          <w:p w14:paraId="525322D1" w14:textId="77777777" w:rsidR="00990B14" w:rsidRDefault="00000000">
            <w:pPr>
              <w:spacing w:before="20" w:after="20"/>
              <w:jc w:val="both"/>
            </w:pPr>
            <w:r>
              <w:rPr>
                <w:sz w:val="18"/>
                <w:szCs w:val="18"/>
              </w:rPr>
              <w:t>Explica el grado de liquidez de cada agregado.</w:t>
            </w:r>
          </w:p>
        </w:tc>
      </w:tr>
      <w:tr w:rsidR="00990B14" w14:paraId="23E2D022" w14:textId="77777777">
        <w:trPr>
          <w:cantSplit/>
          <w:jc w:val="center"/>
        </w:trPr>
        <w:tc>
          <w:tcPr>
            <w:tcW w:w="1545" w:type="dxa"/>
            <w:vMerge/>
            <w:shd w:val="clear" w:color="auto" w:fill="4472C4"/>
            <w:vAlign w:val="center"/>
          </w:tcPr>
          <w:p w14:paraId="6CD760C4" w14:textId="77777777" w:rsidR="00990B14" w:rsidRDefault="00990B14">
            <w:pPr>
              <w:spacing w:before="20" w:after="20"/>
            </w:pPr>
          </w:p>
        </w:tc>
        <w:tc>
          <w:tcPr>
            <w:tcW w:w="1815" w:type="dxa"/>
            <w:shd w:val="clear" w:color="auto" w:fill="D9E2F3"/>
            <w:vAlign w:val="center"/>
          </w:tcPr>
          <w:p w14:paraId="1DA82BC7" w14:textId="77777777" w:rsidR="00990B14" w:rsidRDefault="00000000">
            <w:pPr>
              <w:spacing w:before="20" w:after="20"/>
              <w:jc w:val="both"/>
            </w:pPr>
            <w:r>
              <w:rPr>
                <w:sz w:val="18"/>
                <w:szCs w:val="18"/>
              </w:rPr>
              <w:t>Fuente de datos</w:t>
            </w:r>
          </w:p>
        </w:tc>
        <w:tc>
          <w:tcPr>
            <w:tcW w:w="1910" w:type="dxa"/>
            <w:shd w:val="clear" w:color="auto" w:fill="D9E2F3"/>
            <w:vAlign w:val="center"/>
          </w:tcPr>
          <w:p w14:paraId="57A42C69" w14:textId="77777777" w:rsidR="00990B14" w:rsidRDefault="00000000">
            <w:pPr>
              <w:spacing w:before="20" w:after="20"/>
              <w:jc w:val="both"/>
            </w:pPr>
            <w:r>
              <w:rPr>
                <w:sz w:val="18"/>
                <w:szCs w:val="18"/>
              </w:rPr>
              <w:t>No cita la fuente.</w:t>
            </w:r>
          </w:p>
        </w:tc>
        <w:tc>
          <w:tcPr>
            <w:tcW w:w="1910" w:type="dxa"/>
            <w:shd w:val="clear" w:color="auto" w:fill="D9E2F3"/>
            <w:vAlign w:val="center"/>
          </w:tcPr>
          <w:p w14:paraId="50489E0C" w14:textId="77777777" w:rsidR="00990B14" w:rsidRDefault="00000000">
            <w:pPr>
              <w:spacing w:before="20" w:after="20"/>
              <w:jc w:val="both"/>
            </w:pPr>
            <w:r>
              <w:rPr>
                <w:sz w:val="18"/>
                <w:szCs w:val="18"/>
              </w:rPr>
              <w:t>Usa y cita datos oficiales.</w:t>
            </w:r>
          </w:p>
        </w:tc>
        <w:tc>
          <w:tcPr>
            <w:tcW w:w="2225" w:type="dxa"/>
            <w:shd w:val="clear" w:color="auto" w:fill="D9E2F3"/>
            <w:vAlign w:val="center"/>
          </w:tcPr>
          <w:p w14:paraId="0CE40D67" w14:textId="77777777" w:rsidR="00990B14" w:rsidRDefault="00000000">
            <w:pPr>
              <w:spacing w:before="20" w:after="20"/>
              <w:jc w:val="both"/>
            </w:pPr>
            <w:r>
              <w:rPr>
                <w:sz w:val="18"/>
                <w:szCs w:val="18"/>
              </w:rPr>
              <w:t>Compara datos de dos periodos distintos.</w:t>
            </w:r>
          </w:p>
        </w:tc>
      </w:tr>
      <w:tr w:rsidR="00990B14" w14:paraId="097EE2BA" w14:textId="77777777">
        <w:trPr>
          <w:cantSplit/>
          <w:jc w:val="center"/>
        </w:trPr>
        <w:tc>
          <w:tcPr>
            <w:tcW w:w="1545" w:type="dxa"/>
            <w:vMerge/>
            <w:shd w:val="clear" w:color="auto" w:fill="4472C4"/>
            <w:vAlign w:val="center"/>
          </w:tcPr>
          <w:p w14:paraId="4F57662B" w14:textId="77777777" w:rsidR="00990B14" w:rsidRDefault="00990B14">
            <w:pPr>
              <w:spacing w:before="20" w:after="20"/>
            </w:pPr>
          </w:p>
        </w:tc>
        <w:tc>
          <w:tcPr>
            <w:tcW w:w="5635" w:type="dxa"/>
            <w:gridSpan w:val="3"/>
            <w:shd w:val="clear" w:color="auto" w:fill="D9E2F3"/>
            <w:vAlign w:val="center"/>
          </w:tcPr>
          <w:p w14:paraId="66F753D7" w14:textId="77777777" w:rsidR="00990B14" w:rsidRDefault="00000000">
            <w:pPr>
              <w:keepNext/>
              <w:spacing w:before="20" w:after="20"/>
              <w:jc w:val="both"/>
            </w:pPr>
            <w:r>
              <w:rPr>
                <w:b/>
                <w:bCs/>
                <w:i/>
                <w:iCs/>
                <w:sz w:val="18"/>
                <w:szCs w:val="18"/>
              </w:rPr>
              <w:t xml:space="preserve">Producto 6: </w:t>
            </w:r>
            <w:r>
              <w:rPr>
                <w:sz w:val="18"/>
                <w:szCs w:val="18"/>
              </w:rPr>
              <w:t>Cálculo del multiplicador monetario</w:t>
            </w:r>
          </w:p>
        </w:tc>
        <w:tc>
          <w:tcPr>
            <w:tcW w:w="2225" w:type="dxa"/>
            <w:shd w:val="clear" w:color="auto" w:fill="D9E2F3"/>
            <w:vAlign w:val="center"/>
          </w:tcPr>
          <w:p w14:paraId="39583F3D" w14:textId="77777777" w:rsidR="00990B14" w:rsidRDefault="00000000">
            <w:pPr>
              <w:spacing w:before="20" w:after="20"/>
              <w:jc w:val="center"/>
            </w:pPr>
            <w:r>
              <w:rPr>
                <w:b/>
                <w:bCs/>
                <w:sz w:val="18"/>
                <w:szCs w:val="18"/>
              </w:rPr>
              <w:t>6%</w:t>
            </w:r>
          </w:p>
        </w:tc>
      </w:tr>
      <w:tr w:rsidR="00990B14" w14:paraId="23E444CD" w14:textId="77777777">
        <w:trPr>
          <w:cantSplit/>
          <w:jc w:val="center"/>
        </w:trPr>
        <w:tc>
          <w:tcPr>
            <w:tcW w:w="1545" w:type="dxa"/>
            <w:vMerge/>
            <w:shd w:val="clear" w:color="auto" w:fill="4472C4"/>
            <w:vAlign w:val="center"/>
          </w:tcPr>
          <w:p w14:paraId="63CCABB2" w14:textId="77777777" w:rsidR="00990B14" w:rsidRDefault="00990B14">
            <w:pPr>
              <w:spacing w:before="20" w:after="20"/>
            </w:pPr>
          </w:p>
        </w:tc>
        <w:tc>
          <w:tcPr>
            <w:tcW w:w="1815" w:type="dxa"/>
            <w:shd w:val="clear" w:color="auto" w:fill="4472C4"/>
            <w:vAlign w:val="center"/>
          </w:tcPr>
          <w:p w14:paraId="3DE3B95C"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644AD543"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25E45930" w14:textId="77777777" w:rsidR="00990B14" w:rsidRDefault="00000000">
            <w:pPr>
              <w:keepNext/>
              <w:spacing w:before="20" w:after="20"/>
              <w:jc w:val="center"/>
            </w:pPr>
            <w:r>
              <w:rPr>
                <w:b/>
                <w:bCs/>
                <w:i/>
                <w:iCs/>
                <w:color w:val="FFFFFF"/>
                <w:sz w:val="18"/>
                <w:szCs w:val="18"/>
              </w:rPr>
              <w:t>Suficiente (51–80)</w:t>
            </w:r>
          </w:p>
        </w:tc>
        <w:tc>
          <w:tcPr>
            <w:tcW w:w="2225" w:type="dxa"/>
            <w:shd w:val="clear" w:color="auto" w:fill="4472C4"/>
            <w:vAlign w:val="center"/>
          </w:tcPr>
          <w:p w14:paraId="443E44DA" w14:textId="77777777" w:rsidR="00990B14" w:rsidRDefault="00000000">
            <w:pPr>
              <w:keepNext/>
              <w:spacing w:before="20" w:after="20"/>
              <w:jc w:val="center"/>
            </w:pPr>
            <w:r>
              <w:rPr>
                <w:b/>
                <w:bCs/>
                <w:i/>
                <w:iCs/>
                <w:color w:val="FFFFFF"/>
                <w:sz w:val="18"/>
                <w:szCs w:val="18"/>
              </w:rPr>
              <w:t>Destacado (81–100)</w:t>
            </w:r>
          </w:p>
        </w:tc>
      </w:tr>
      <w:tr w:rsidR="00990B14" w14:paraId="64DAC25F" w14:textId="77777777">
        <w:trPr>
          <w:cantSplit/>
          <w:jc w:val="center"/>
        </w:trPr>
        <w:tc>
          <w:tcPr>
            <w:tcW w:w="1545" w:type="dxa"/>
            <w:vMerge/>
            <w:shd w:val="clear" w:color="auto" w:fill="4472C4"/>
            <w:vAlign w:val="center"/>
          </w:tcPr>
          <w:p w14:paraId="07302BA4" w14:textId="77777777" w:rsidR="00990B14" w:rsidRDefault="00990B14">
            <w:pPr>
              <w:spacing w:before="20" w:after="20"/>
            </w:pPr>
          </w:p>
        </w:tc>
        <w:tc>
          <w:tcPr>
            <w:tcW w:w="1815" w:type="dxa"/>
            <w:shd w:val="clear" w:color="auto" w:fill="D9E2F3"/>
            <w:vAlign w:val="center"/>
          </w:tcPr>
          <w:p w14:paraId="5E06EAC6" w14:textId="77777777" w:rsidR="00990B14" w:rsidRDefault="00000000">
            <w:pPr>
              <w:spacing w:before="20" w:after="20"/>
              <w:jc w:val="both"/>
            </w:pPr>
            <w:r>
              <w:rPr>
                <w:sz w:val="18"/>
                <w:szCs w:val="18"/>
              </w:rPr>
              <w:t>Base monetaria</w:t>
            </w:r>
          </w:p>
        </w:tc>
        <w:tc>
          <w:tcPr>
            <w:tcW w:w="1910" w:type="dxa"/>
            <w:shd w:val="clear" w:color="auto" w:fill="D9E2F3"/>
            <w:vAlign w:val="center"/>
          </w:tcPr>
          <w:p w14:paraId="4A69909C" w14:textId="77777777" w:rsidR="00990B14" w:rsidRDefault="00000000">
            <w:pPr>
              <w:spacing w:before="20" w:after="20"/>
              <w:jc w:val="both"/>
            </w:pPr>
            <w:r>
              <w:rPr>
                <w:sz w:val="18"/>
                <w:szCs w:val="18"/>
              </w:rPr>
              <w:t>Omite componentes de la base.</w:t>
            </w:r>
          </w:p>
        </w:tc>
        <w:tc>
          <w:tcPr>
            <w:tcW w:w="1910" w:type="dxa"/>
            <w:shd w:val="clear" w:color="auto" w:fill="D9E2F3"/>
            <w:vAlign w:val="center"/>
          </w:tcPr>
          <w:p w14:paraId="4EDD92FA" w14:textId="77777777" w:rsidR="00990B14" w:rsidRDefault="00000000">
            <w:pPr>
              <w:spacing w:before="20" w:after="20"/>
              <w:jc w:val="both"/>
            </w:pPr>
            <w:r>
              <w:rPr>
                <w:sz w:val="18"/>
                <w:szCs w:val="18"/>
              </w:rPr>
              <w:t>Calcula la base monetaria y sus coeficientes.</w:t>
            </w:r>
          </w:p>
        </w:tc>
        <w:tc>
          <w:tcPr>
            <w:tcW w:w="2225" w:type="dxa"/>
            <w:shd w:val="clear" w:color="auto" w:fill="D9E2F3"/>
            <w:vAlign w:val="center"/>
          </w:tcPr>
          <w:p w14:paraId="255C66A6" w14:textId="77777777" w:rsidR="00990B14" w:rsidRDefault="00000000">
            <w:pPr>
              <w:spacing w:before="20" w:after="20"/>
              <w:jc w:val="both"/>
            </w:pPr>
            <w:r>
              <w:rPr>
                <w:sz w:val="18"/>
                <w:szCs w:val="18"/>
              </w:rPr>
              <w:t>Explica los factores de expansión y contracción de la base.</w:t>
            </w:r>
          </w:p>
        </w:tc>
      </w:tr>
      <w:tr w:rsidR="00990B14" w14:paraId="281321BB" w14:textId="77777777">
        <w:trPr>
          <w:cantSplit/>
          <w:jc w:val="center"/>
        </w:trPr>
        <w:tc>
          <w:tcPr>
            <w:tcW w:w="1545" w:type="dxa"/>
            <w:vMerge/>
            <w:shd w:val="clear" w:color="auto" w:fill="4472C4"/>
            <w:vAlign w:val="center"/>
          </w:tcPr>
          <w:p w14:paraId="375FAF12" w14:textId="77777777" w:rsidR="00990B14" w:rsidRDefault="00990B14">
            <w:pPr>
              <w:spacing w:before="20" w:after="20"/>
            </w:pPr>
          </w:p>
        </w:tc>
        <w:tc>
          <w:tcPr>
            <w:tcW w:w="1815" w:type="dxa"/>
            <w:shd w:val="clear" w:color="auto" w:fill="D9E2F3"/>
            <w:vAlign w:val="center"/>
          </w:tcPr>
          <w:p w14:paraId="6CCC2957" w14:textId="77777777" w:rsidR="00990B14" w:rsidRDefault="00000000">
            <w:pPr>
              <w:spacing w:before="20" w:after="20"/>
              <w:jc w:val="both"/>
            </w:pPr>
            <w:r>
              <w:rPr>
                <w:sz w:val="18"/>
                <w:szCs w:val="18"/>
              </w:rPr>
              <w:t>Multiplicador</w:t>
            </w:r>
          </w:p>
        </w:tc>
        <w:tc>
          <w:tcPr>
            <w:tcW w:w="1910" w:type="dxa"/>
            <w:shd w:val="clear" w:color="auto" w:fill="D9E2F3"/>
            <w:vAlign w:val="center"/>
          </w:tcPr>
          <w:p w14:paraId="6F5AECB5" w14:textId="77777777" w:rsidR="00990B14" w:rsidRDefault="00000000">
            <w:pPr>
              <w:spacing w:before="20" w:after="20"/>
              <w:jc w:val="both"/>
            </w:pPr>
            <w:r>
              <w:rPr>
                <w:sz w:val="18"/>
                <w:szCs w:val="18"/>
              </w:rPr>
              <w:t>Calcula mal el multiplicador.</w:t>
            </w:r>
          </w:p>
        </w:tc>
        <w:tc>
          <w:tcPr>
            <w:tcW w:w="1910" w:type="dxa"/>
            <w:shd w:val="clear" w:color="auto" w:fill="D9E2F3"/>
            <w:vAlign w:val="center"/>
          </w:tcPr>
          <w:p w14:paraId="0E37D092" w14:textId="77777777" w:rsidR="00990B14" w:rsidRDefault="00000000">
            <w:pPr>
              <w:spacing w:before="20" w:after="20"/>
              <w:jc w:val="both"/>
            </w:pPr>
            <w:r>
              <w:rPr>
                <w:sz w:val="18"/>
                <w:szCs w:val="18"/>
              </w:rPr>
              <w:t>Calcula el multiplicador para cada escenario.</w:t>
            </w:r>
          </w:p>
        </w:tc>
        <w:tc>
          <w:tcPr>
            <w:tcW w:w="2225" w:type="dxa"/>
            <w:shd w:val="clear" w:color="auto" w:fill="D9E2F3"/>
            <w:vAlign w:val="center"/>
          </w:tcPr>
          <w:p w14:paraId="0E492B69" w14:textId="77777777" w:rsidR="00990B14" w:rsidRDefault="00000000">
            <w:pPr>
              <w:spacing w:before="20" w:after="20"/>
              <w:jc w:val="both"/>
            </w:pPr>
            <w:r>
              <w:rPr>
                <w:sz w:val="18"/>
                <w:szCs w:val="18"/>
              </w:rPr>
              <w:t>Analiza el efecto del encaje sobre el crédito.</w:t>
            </w:r>
          </w:p>
        </w:tc>
      </w:tr>
      <w:tr w:rsidR="00990B14" w14:paraId="5FEC566E" w14:textId="77777777">
        <w:trPr>
          <w:cantSplit/>
          <w:jc w:val="center"/>
        </w:trPr>
        <w:tc>
          <w:tcPr>
            <w:tcW w:w="1545" w:type="dxa"/>
            <w:vMerge/>
            <w:shd w:val="clear" w:color="auto" w:fill="4472C4"/>
            <w:vAlign w:val="center"/>
          </w:tcPr>
          <w:p w14:paraId="0101BA76" w14:textId="77777777" w:rsidR="00990B14" w:rsidRDefault="00990B14">
            <w:pPr>
              <w:spacing w:before="20" w:after="20"/>
            </w:pPr>
          </w:p>
        </w:tc>
        <w:tc>
          <w:tcPr>
            <w:tcW w:w="1815" w:type="dxa"/>
            <w:shd w:val="clear" w:color="auto" w:fill="D9E2F3"/>
            <w:vAlign w:val="center"/>
          </w:tcPr>
          <w:p w14:paraId="3A5AE4D5" w14:textId="77777777" w:rsidR="00990B14" w:rsidRDefault="00000000">
            <w:pPr>
              <w:spacing w:before="20" w:after="20"/>
              <w:jc w:val="both"/>
            </w:pPr>
            <w:r>
              <w:rPr>
                <w:sz w:val="18"/>
                <w:szCs w:val="18"/>
              </w:rPr>
              <w:t>Trabajo en equipo</w:t>
            </w:r>
          </w:p>
        </w:tc>
        <w:tc>
          <w:tcPr>
            <w:tcW w:w="1910" w:type="dxa"/>
            <w:shd w:val="clear" w:color="auto" w:fill="D9E2F3"/>
            <w:vAlign w:val="center"/>
          </w:tcPr>
          <w:p w14:paraId="4C09A069" w14:textId="77777777" w:rsidR="00990B14" w:rsidRDefault="00000000">
            <w:pPr>
              <w:spacing w:before="20" w:after="20"/>
              <w:jc w:val="both"/>
            </w:pPr>
            <w:r>
              <w:rPr>
                <w:sz w:val="18"/>
                <w:szCs w:val="18"/>
              </w:rPr>
              <w:t>El equipo no distribuye las tareas.</w:t>
            </w:r>
          </w:p>
        </w:tc>
        <w:tc>
          <w:tcPr>
            <w:tcW w:w="1910" w:type="dxa"/>
            <w:shd w:val="clear" w:color="auto" w:fill="D9E2F3"/>
            <w:vAlign w:val="center"/>
          </w:tcPr>
          <w:p w14:paraId="285BCA11" w14:textId="77777777" w:rsidR="00990B14" w:rsidRDefault="00000000">
            <w:pPr>
              <w:spacing w:before="20" w:after="20"/>
              <w:jc w:val="both"/>
            </w:pPr>
            <w:r>
              <w:rPr>
                <w:sz w:val="18"/>
                <w:szCs w:val="18"/>
              </w:rPr>
              <w:t>El equipo trabaja de forma coordinada.</w:t>
            </w:r>
          </w:p>
        </w:tc>
        <w:tc>
          <w:tcPr>
            <w:tcW w:w="2225" w:type="dxa"/>
            <w:shd w:val="clear" w:color="auto" w:fill="D9E2F3"/>
            <w:vAlign w:val="center"/>
          </w:tcPr>
          <w:p w14:paraId="6463B38F" w14:textId="77777777" w:rsidR="00990B14" w:rsidRDefault="00000000">
            <w:pPr>
              <w:spacing w:before="20" w:after="20"/>
              <w:jc w:val="both"/>
            </w:pPr>
            <w:r>
              <w:rPr>
                <w:sz w:val="18"/>
                <w:szCs w:val="18"/>
              </w:rPr>
              <w:t>El equipo sustenta sus resultados ante el curso.</w:t>
            </w:r>
          </w:p>
        </w:tc>
      </w:tr>
      <w:tr w:rsidR="00990B14" w14:paraId="5649B740" w14:textId="77777777">
        <w:trPr>
          <w:cantSplit/>
          <w:jc w:val="center"/>
        </w:trPr>
        <w:tc>
          <w:tcPr>
            <w:tcW w:w="1545" w:type="dxa"/>
            <w:vMerge/>
            <w:shd w:val="clear" w:color="auto" w:fill="4472C4"/>
            <w:vAlign w:val="center"/>
          </w:tcPr>
          <w:p w14:paraId="08BC9FDE" w14:textId="77777777" w:rsidR="00990B14" w:rsidRDefault="00990B14">
            <w:pPr>
              <w:spacing w:before="20" w:after="20"/>
            </w:pPr>
          </w:p>
        </w:tc>
        <w:tc>
          <w:tcPr>
            <w:tcW w:w="5635" w:type="dxa"/>
            <w:gridSpan w:val="3"/>
            <w:shd w:val="clear" w:color="auto" w:fill="D9E2F3"/>
            <w:vAlign w:val="center"/>
          </w:tcPr>
          <w:p w14:paraId="474DBC53" w14:textId="77777777" w:rsidR="00990B14" w:rsidRDefault="00000000">
            <w:pPr>
              <w:keepNext/>
              <w:spacing w:before="20" w:after="20"/>
              <w:jc w:val="both"/>
            </w:pPr>
            <w:r>
              <w:rPr>
                <w:b/>
                <w:bCs/>
                <w:i/>
                <w:iCs/>
                <w:sz w:val="18"/>
                <w:szCs w:val="18"/>
              </w:rPr>
              <w:t xml:space="preserve">Producto 7: </w:t>
            </w:r>
            <w:r>
              <w:rPr>
                <w:sz w:val="18"/>
                <w:szCs w:val="18"/>
              </w:rPr>
              <w:t>Práctico de demanda de dinero</w:t>
            </w:r>
          </w:p>
        </w:tc>
        <w:tc>
          <w:tcPr>
            <w:tcW w:w="2225" w:type="dxa"/>
            <w:shd w:val="clear" w:color="auto" w:fill="D9E2F3"/>
            <w:vAlign w:val="center"/>
          </w:tcPr>
          <w:p w14:paraId="0C3E8A3B" w14:textId="77777777" w:rsidR="00990B14" w:rsidRDefault="00000000">
            <w:pPr>
              <w:spacing w:before="20" w:after="20"/>
              <w:jc w:val="center"/>
            </w:pPr>
            <w:r>
              <w:rPr>
                <w:b/>
                <w:bCs/>
                <w:sz w:val="18"/>
                <w:szCs w:val="18"/>
              </w:rPr>
              <w:t>6%</w:t>
            </w:r>
          </w:p>
        </w:tc>
      </w:tr>
      <w:tr w:rsidR="00990B14" w14:paraId="2C4BA419" w14:textId="77777777">
        <w:trPr>
          <w:cantSplit/>
          <w:jc w:val="center"/>
        </w:trPr>
        <w:tc>
          <w:tcPr>
            <w:tcW w:w="1545" w:type="dxa"/>
            <w:vMerge/>
            <w:shd w:val="clear" w:color="auto" w:fill="4472C4"/>
            <w:vAlign w:val="center"/>
          </w:tcPr>
          <w:p w14:paraId="6507E678" w14:textId="77777777" w:rsidR="00990B14" w:rsidRDefault="00990B14">
            <w:pPr>
              <w:spacing w:before="20" w:after="20"/>
            </w:pPr>
          </w:p>
        </w:tc>
        <w:tc>
          <w:tcPr>
            <w:tcW w:w="1815" w:type="dxa"/>
            <w:shd w:val="clear" w:color="auto" w:fill="4472C4"/>
            <w:vAlign w:val="center"/>
          </w:tcPr>
          <w:p w14:paraId="7B2169B9"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4BE1E022"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336050FE" w14:textId="77777777" w:rsidR="00990B14" w:rsidRDefault="00000000">
            <w:pPr>
              <w:keepNext/>
              <w:spacing w:before="20" w:after="20"/>
              <w:jc w:val="center"/>
            </w:pPr>
            <w:r>
              <w:rPr>
                <w:b/>
                <w:bCs/>
                <w:i/>
                <w:iCs/>
                <w:color w:val="FFFFFF"/>
                <w:sz w:val="18"/>
                <w:szCs w:val="18"/>
              </w:rPr>
              <w:t>Suficiente (51–80)</w:t>
            </w:r>
          </w:p>
        </w:tc>
        <w:tc>
          <w:tcPr>
            <w:tcW w:w="2225" w:type="dxa"/>
            <w:shd w:val="clear" w:color="auto" w:fill="4472C4"/>
            <w:vAlign w:val="center"/>
          </w:tcPr>
          <w:p w14:paraId="110FF58C" w14:textId="77777777" w:rsidR="00990B14" w:rsidRDefault="00000000">
            <w:pPr>
              <w:keepNext/>
              <w:spacing w:before="20" w:after="20"/>
              <w:jc w:val="center"/>
            </w:pPr>
            <w:r>
              <w:rPr>
                <w:b/>
                <w:bCs/>
                <w:i/>
                <w:iCs/>
                <w:color w:val="FFFFFF"/>
                <w:sz w:val="18"/>
                <w:szCs w:val="18"/>
              </w:rPr>
              <w:t>Destacado (81–100)</w:t>
            </w:r>
          </w:p>
        </w:tc>
      </w:tr>
      <w:tr w:rsidR="00990B14" w14:paraId="0284806D" w14:textId="77777777">
        <w:trPr>
          <w:cantSplit/>
          <w:jc w:val="center"/>
        </w:trPr>
        <w:tc>
          <w:tcPr>
            <w:tcW w:w="1545" w:type="dxa"/>
            <w:vMerge/>
            <w:shd w:val="clear" w:color="auto" w:fill="4472C4"/>
            <w:vAlign w:val="center"/>
          </w:tcPr>
          <w:p w14:paraId="6CE31B4F" w14:textId="77777777" w:rsidR="00990B14" w:rsidRDefault="00990B14">
            <w:pPr>
              <w:spacing w:before="20" w:after="20"/>
            </w:pPr>
          </w:p>
        </w:tc>
        <w:tc>
          <w:tcPr>
            <w:tcW w:w="1815" w:type="dxa"/>
            <w:shd w:val="clear" w:color="auto" w:fill="D9E2F3"/>
            <w:vAlign w:val="center"/>
          </w:tcPr>
          <w:p w14:paraId="5F9BA9CC" w14:textId="77777777" w:rsidR="00990B14" w:rsidRDefault="00000000">
            <w:pPr>
              <w:spacing w:before="20" w:after="20"/>
              <w:jc w:val="both"/>
            </w:pPr>
            <w:r>
              <w:rPr>
                <w:sz w:val="18"/>
                <w:szCs w:val="18"/>
              </w:rPr>
              <w:t>Motivos de demanda</w:t>
            </w:r>
          </w:p>
        </w:tc>
        <w:tc>
          <w:tcPr>
            <w:tcW w:w="1910" w:type="dxa"/>
            <w:shd w:val="clear" w:color="auto" w:fill="D9E2F3"/>
            <w:vAlign w:val="center"/>
          </w:tcPr>
          <w:p w14:paraId="71CDD9F0" w14:textId="77777777" w:rsidR="00990B14" w:rsidRDefault="00000000">
            <w:pPr>
              <w:spacing w:before="20" w:after="20"/>
              <w:jc w:val="both"/>
            </w:pPr>
            <w:r>
              <w:rPr>
                <w:sz w:val="18"/>
                <w:szCs w:val="18"/>
              </w:rPr>
              <w:t>Confunde los motivos de la demanda de dinero.</w:t>
            </w:r>
          </w:p>
        </w:tc>
        <w:tc>
          <w:tcPr>
            <w:tcW w:w="1910" w:type="dxa"/>
            <w:shd w:val="clear" w:color="auto" w:fill="D9E2F3"/>
            <w:vAlign w:val="center"/>
          </w:tcPr>
          <w:p w14:paraId="012EBC6F" w14:textId="77777777" w:rsidR="00990B14" w:rsidRDefault="00000000">
            <w:pPr>
              <w:spacing w:before="20" w:after="20"/>
              <w:jc w:val="both"/>
            </w:pPr>
            <w:r>
              <w:rPr>
                <w:sz w:val="18"/>
                <w:szCs w:val="18"/>
              </w:rPr>
              <w:t>Deduce la demanda para transacciones y para especulación.</w:t>
            </w:r>
          </w:p>
        </w:tc>
        <w:tc>
          <w:tcPr>
            <w:tcW w:w="2225" w:type="dxa"/>
            <w:shd w:val="clear" w:color="auto" w:fill="D9E2F3"/>
            <w:vAlign w:val="center"/>
          </w:tcPr>
          <w:p w14:paraId="78FFA5B1" w14:textId="77777777" w:rsidR="00990B14" w:rsidRDefault="00000000">
            <w:pPr>
              <w:spacing w:before="20" w:after="20"/>
              <w:jc w:val="both"/>
            </w:pPr>
            <w:r>
              <w:rPr>
                <w:sz w:val="18"/>
                <w:szCs w:val="18"/>
              </w:rPr>
              <w:t>Relaciona la demanda con la velocidad de circulación.</w:t>
            </w:r>
          </w:p>
        </w:tc>
      </w:tr>
      <w:tr w:rsidR="00990B14" w14:paraId="268E4411" w14:textId="77777777">
        <w:trPr>
          <w:cantSplit/>
          <w:jc w:val="center"/>
        </w:trPr>
        <w:tc>
          <w:tcPr>
            <w:tcW w:w="1545" w:type="dxa"/>
            <w:vMerge/>
            <w:shd w:val="clear" w:color="auto" w:fill="4472C4"/>
            <w:vAlign w:val="center"/>
          </w:tcPr>
          <w:p w14:paraId="303F7DB0" w14:textId="77777777" w:rsidR="00990B14" w:rsidRDefault="00990B14">
            <w:pPr>
              <w:spacing w:before="20" w:after="20"/>
            </w:pPr>
          </w:p>
        </w:tc>
        <w:tc>
          <w:tcPr>
            <w:tcW w:w="1815" w:type="dxa"/>
            <w:shd w:val="clear" w:color="auto" w:fill="D9E2F3"/>
            <w:vAlign w:val="center"/>
          </w:tcPr>
          <w:p w14:paraId="0EC5833D" w14:textId="77777777" w:rsidR="00990B14" w:rsidRDefault="00000000">
            <w:pPr>
              <w:spacing w:before="20" w:after="20"/>
              <w:jc w:val="both"/>
            </w:pPr>
            <w:r>
              <w:rPr>
                <w:sz w:val="18"/>
                <w:szCs w:val="18"/>
              </w:rPr>
              <w:t>Función de demanda</w:t>
            </w:r>
          </w:p>
        </w:tc>
        <w:tc>
          <w:tcPr>
            <w:tcW w:w="1910" w:type="dxa"/>
            <w:shd w:val="clear" w:color="auto" w:fill="D9E2F3"/>
            <w:vAlign w:val="center"/>
          </w:tcPr>
          <w:p w14:paraId="4A486B6A" w14:textId="77777777" w:rsidR="00990B14" w:rsidRDefault="00000000">
            <w:pPr>
              <w:spacing w:before="20" w:after="20"/>
              <w:jc w:val="both"/>
            </w:pPr>
            <w:r>
              <w:rPr>
                <w:sz w:val="18"/>
                <w:szCs w:val="18"/>
              </w:rPr>
              <w:t>La función está mal planteada.</w:t>
            </w:r>
          </w:p>
        </w:tc>
        <w:tc>
          <w:tcPr>
            <w:tcW w:w="1910" w:type="dxa"/>
            <w:shd w:val="clear" w:color="auto" w:fill="D9E2F3"/>
            <w:vAlign w:val="center"/>
          </w:tcPr>
          <w:p w14:paraId="574D9A72" w14:textId="77777777" w:rsidR="00990B14" w:rsidRDefault="00000000">
            <w:pPr>
              <w:spacing w:before="20" w:after="20"/>
              <w:jc w:val="both"/>
            </w:pPr>
            <w:r>
              <w:rPr>
                <w:sz w:val="18"/>
                <w:szCs w:val="18"/>
              </w:rPr>
              <w:t>Plantea correctamente la función de demanda de dinero.</w:t>
            </w:r>
          </w:p>
        </w:tc>
        <w:tc>
          <w:tcPr>
            <w:tcW w:w="2225" w:type="dxa"/>
            <w:shd w:val="clear" w:color="auto" w:fill="D9E2F3"/>
            <w:vAlign w:val="center"/>
          </w:tcPr>
          <w:p w14:paraId="572AF88E" w14:textId="77777777" w:rsidR="00990B14" w:rsidRDefault="00000000">
            <w:pPr>
              <w:spacing w:before="20" w:after="20"/>
              <w:jc w:val="both"/>
            </w:pPr>
            <w:r>
              <w:rPr>
                <w:sz w:val="18"/>
                <w:szCs w:val="18"/>
              </w:rPr>
              <w:t>Explica la sensibilidad de la demanda a la tasa de interés.</w:t>
            </w:r>
          </w:p>
        </w:tc>
      </w:tr>
      <w:tr w:rsidR="00990B14" w14:paraId="7585A9B1" w14:textId="77777777">
        <w:trPr>
          <w:cantSplit/>
          <w:jc w:val="center"/>
        </w:trPr>
        <w:tc>
          <w:tcPr>
            <w:tcW w:w="1545" w:type="dxa"/>
            <w:vMerge/>
            <w:shd w:val="clear" w:color="auto" w:fill="4472C4"/>
            <w:vAlign w:val="center"/>
          </w:tcPr>
          <w:p w14:paraId="3AD609E8" w14:textId="77777777" w:rsidR="00990B14" w:rsidRDefault="00990B14">
            <w:pPr>
              <w:spacing w:before="20" w:after="20"/>
            </w:pPr>
          </w:p>
        </w:tc>
        <w:tc>
          <w:tcPr>
            <w:tcW w:w="1815" w:type="dxa"/>
            <w:shd w:val="clear" w:color="auto" w:fill="D9E2F3"/>
            <w:vAlign w:val="center"/>
          </w:tcPr>
          <w:p w14:paraId="4046D8EE" w14:textId="77777777" w:rsidR="00990B14" w:rsidRDefault="00000000">
            <w:pPr>
              <w:spacing w:before="20" w:after="20"/>
              <w:jc w:val="both"/>
            </w:pPr>
            <w:r>
              <w:rPr>
                <w:sz w:val="18"/>
                <w:szCs w:val="18"/>
              </w:rPr>
              <w:t>Presentación</w:t>
            </w:r>
          </w:p>
        </w:tc>
        <w:tc>
          <w:tcPr>
            <w:tcW w:w="1910" w:type="dxa"/>
            <w:shd w:val="clear" w:color="auto" w:fill="D9E2F3"/>
            <w:vAlign w:val="center"/>
          </w:tcPr>
          <w:p w14:paraId="78FCFF85" w14:textId="77777777" w:rsidR="00990B14" w:rsidRDefault="00000000">
            <w:pPr>
              <w:spacing w:before="20" w:after="20"/>
              <w:jc w:val="both"/>
            </w:pPr>
            <w:r>
              <w:rPr>
                <w:sz w:val="18"/>
                <w:szCs w:val="18"/>
              </w:rPr>
              <w:t>El práctico es incompleto.</w:t>
            </w:r>
          </w:p>
        </w:tc>
        <w:tc>
          <w:tcPr>
            <w:tcW w:w="1910" w:type="dxa"/>
            <w:shd w:val="clear" w:color="auto" w:fill="D9E2F3"/>
            <w:vAlign w:val="center"/>
          </w:tcPr>
          <w:p w14:paraId="1CE38216" w14:textId="77777777" w:rsidR="00990B14" w:rsidRDefault="00000000">
            <w:pPr>
              <w:spacing w:before="20" w:after="20"/>
              <w:jc w:val="both"/>
            </w:pPr>
            <w:r>
              <w:rPr>
                <w:sz w:val="18"/>
                <w:szCs w:val="18"/>
              </w:rPr>
              <w:t>El práctico es claro y ordenado.</w:t>
            </w:r>
          </w:p>
        </w:tc>
        <w:tc>
          <w:tcPr>
            <w:tcW w:w="2225" w:type="dxa"/>
            <w:shd w:val="clear" w:color="auto" w:fill="D9E2F3"/>
            <w:vAlign w:val="center"/>
          </w:tcPr>
          <w:p w14:paraId="5F0247B4" w14:textId="77777777" w:rsidR="00990B14" w:rsidRDefault="00000000">
            <w:pPr>
              <w:spacing w:before="20" w:after="20"/>
              <w:jc w:val="both"/>
            </w:pPr>
            <w:r>
              <w:rPr>
                <w:sz w:val="18"/>
                <w:szCs w:val="18"/>
              </w:rPr>
              <w:t>Incluye gráficos que sustentan los resultados.</w:t>
            </w:r>
          </w:p>
        </w:tc>
      </w:tr>
      <w:tr w:rsidR="00990B14" w14:paraId="265B5B37" w14:textId="77777777">
        <w:trPr>
          <w:cantSplit/>
          <w:jc w:val="center"/>
        </w:trPr>
        <w:tc>
          <w:tcPr>
            <w:tcW w:w="1545" w:type="dxa"/>
            <w:vMerge/>
            <w:shd w:val="clear" w:color="auto" w:fill="4472C4"/>
            <w:vAlign w:val="center"/>
          </w:tcPr>
          <w:p w14:paraId="23CBDB52" w14:textId="77777777" w:rsidR="00990B14" w:rsidRDefault="00990B14">
            <w:pPr>
              <w:spacing w:before="20" w:after="20"/>
            </w:pPr>
          </w:p>
        </w:tc>
        <w:tc>
          <w:tcPr>
            <w:tcW w:w="5635" w:type="dxa"/>
            <w:gridSpan w:val="3"/>
            <w:shd w:val="clear" w:color="auto" w:fill="D9E2F3"/>
            <w:vAlign w:val="center"/>
          </w:tcPr>
          <w:p w14:paraId="5EA9A18B" w14:textId="77777777" w:rsidR="00990B14" w:rsidRDefault="00000000">
            <w:pPr>
              <w:keepNext/>
              <w:spacing w:before="20" w:after="20"/>
              <w:jc w:val="both"/>
            </w:pPr>
            <w:r>
              <w:rPr>
                <w:b/>
                <w:bCs/>
                <w:i/>
                <w:iCs/>
                <w:sz w:val="18"/>
                <w:szCs w:val="18"/>
              </w:rPr>
              <w:t xml:space="preserve">Producto 8: </w:t>
            </w:r>
            <w:r>
              <w:rPr>
                <w:sz w:val="18"/>
                <w:szCs w:val="18"/>
              </w:rPr>
              <w:t>Gráfico de la curva LM</w:t>
            </w:r>
          </w:p>
        </w:tc>
        <w:tc>
          <w:tcPr>
            <w:tcW w:w="2225" w:type="dxa"/>
            <w:shd w:val="clear" w:color="auto" w:fill="D9E2F3"/>
            <w:vAlign w:val="center"/>
          </w:tcPr>
          <w:p w14:paraId="2CA739A6" w14:textId="77777777" w:rsidR="00990B14" w:rsidRDefault="00000000">
            <w:pPr>
              <w:spacing w:before="20" w:after="20"/>
              <w:jc w:val="center"/>
            </w:pPr>
            <w:r>
              <w:rPr>
                <w:b/>
                <w:bCs/>
                <w:sz w:val="18"/>
                <w:szCs w:val="18"/>
              </w:rPr>
              <w:t>6%</w:t>
            </w:r>
          </w:p>
        </w:tc>
      </w:tr>
      <w:tr w:rsidR="00990B14" w14:paraId="0BBB29A6" w14:textId="77777777">
        <w:trPr>
          <w:cantSplit/>
          <w:jc w:val="center"/>
        </w:trPr>
        <w:tc>
          <w:tcPr>
            <w:tcW w:w="1545" w:type="dxa"/>
            <w:vMerge/>
            <w:shd w:val="clear" w:color="auto" w:fill="4472C4"/>
            <w:vAlign w:val="center"/>
          </w:tcPr>
          <w:p w14:paraId="19C71284" w14:textId="77777777" w:rsidR="00990B14" w:rsidRDefault="00990B14">
            <w:pPr>
              <w:spacing w:before="20" w:after="20"/>
            </w:pPr>
          </w:p>
        </w:tc>
        <w:tc>
          <w:tcPr>
            <w:tcW w:w="1815" w:type="dxa"/>
            <w:shd w:val="clear" w:color="auto" w:fill="4472C4"/>
            <w:vAlign w:val="center"/>
          </w:tcPr>
          <w:p w14:paraId="051E1B03"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6EFEF962"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46B226C0" w14:textId="77777777" w:rsidR="00990B14" w:rsidRDefault="00000000">
            <w:pPr>
              <w:keepNext/>
              <w:spacing w:before="20" w:after="20"/>
              <w:jc w:val="center"/>
            </w:pPr>
            <w:r>
              <w:rPr>
                <w:b/>
                <w:bCs/>
                <w:i/>
                <w:iCs/>
                <w:color w:val="FFFFFF"/>
                <w:sz w:val="18"/>
                <w:szCs w:val="18"/>
              </w:rPr>
              <w:t>Suficiente (51–80)</w:t>
            </w:r>
          </w:p>
        </w:tc>
        <w:tc>
          <w:tcPr>
            <w:tcW w:w="2225" w:type="dxa"/>
            <w:shd w:val="clear" w:color="auto" w:fill="4472C4"/>
            <w:vAlign w:val="center"/>
          </w:tcPr>
          <w:p w14:paraId="3B858139" w14:textId="77777777" w:rsidR="00990B14" w:rsidRDefault="00000000">
            <w:pPr>
              <w:keepNext/>
              <w:spacing w:before="20" w:after="20"/>
              <w:jc w:val="center"/>
            </w:pPr>
            <w:r>
              <w:rPr>
                <w:b/>
                <w:bCs/>
                <w:i/>
                <w:iCs/>
                <w:color w:val="FFFFFF"/>
                <w:sz w:val="18"/>
                <w:szCs w:val="18"/>
              </w:rPr>
              <w:t>Destacado (81–100)</w:t>
            </w:r>
          </w:p>
        </w:tc>
      </w:tr>
      <w:tr w:rsidR="00990B14" w14:paraId="353EBDA6" w14:textId="77777777">
        <w:trPr>
          <w:cantSplit/>
          <w:jc w:val="center"/>
        </w:trPr>
        <w:tc>
          <w:tcPr>
            <w:tcW w:w="1545" w:type="dxa"/>
            <w:vMerge/>
            <w:shd w:val="clear" w:color="auto" w:fill="4472C4"/>
            <w:vAlign w:val="center"/>
          </w:tcPr>
          <w:p w14:paraId="263972CA" w14:textId="77777777" w:rsidR="00990B14" w:rsidRDefault="00990B14">
            <w:pPr>
              <w:spacing w:before="20" w:after="20"/>
            </w:pPr>
          </w:p>
        </w:tc>
        <w:tc>
          <w:tcPr>
            <w:tcW w:w="1815" w:type="dxa"/>
            <w:shd w:val="clear" w:color="auto" w:fill="D9E2F3"/>
            <w:vAlign w:val="center"/>
          </w:tcPr>
          <w:p w14:paraId="04F56CAE" w14:textId="77777777" w:rsidR="00990B14" w:rsidRDefault="00000000">
            <w:pPr>
              <w:spacing w:before="20" w:after="20"/>
              <w:jc w:val="both"/>
            </w:pPr>
            <w:r>
              <w:rPr>
                <w:sz w:val="18"/>
                <w:szCs w:val="18"/>
              </w:rPr>
              <w:t>Equilibrio monetario</w:t>
            </w:r>
          </w:p>
        </w:tc>
        <w:tc>
          <w:tcPr>
            <w:tcW w:w="1910" w:type="dxa"/>
            <w:shd w:val="clear" w:color="auto" w:fill="D9E2F3"/>
            <w:vAlign w:val="center"/>
          </w:tcPr>
          <w:p w14:paraId="5656F2A7" w14:textId="77777777" w:rsidR="00990B14" w:rsidRDefault="00000000">
            <w:pPr>
              <w:spacing w:before="20" w:after="20"/>
              <w:jc w:val="both"/>
            </w:pPr>
            <w:r>
              <w:rPr>
                <w:sz w:val="18"/>
                <w:szCs w:val="18"/>
              </w:rPr>
              <w:t>No iguala la oferta a la demanda de dinero.</w:t>
            </w:r>
          </w:p>
        </w:tc>
        <w:tc>
          <w:tcPr>
            <w:tcW w:w="1910" w:type="dxa"/>
            <w:shd w:val="clear" w:color="auto" w:fill="D9E2F3"/>
            <w:vAlign w:val="center"/>
          </w:tcPr>
          <w:p w14:paraId="60A7C749" w14:textId="77777777" w:rsidR="00990B14" w:rsidRDefault="00000000">
            <w:pPr>
              <w:spacing w:before="20" w:after="20"/>
              <w:jc w:val="both"/>
            </w:pPr>
            <w:r>
              <w:rPr>
                <w:sz w:val="18"/>
                <w:szCs w:val="18"/>
              </w:rPr>
              <w:t>Determina el equilibrio con oferta monetaria constante.</w:t>
            </w:r>
          </w:p>
        </w:tc>
        <w:tc>
          <w:tcPr>
            <w:tcW w:w="2225" w:type="dxa"/>
            <w:shd w:val="clear" w:color="auto" w:fill="D9E2F3"/>
            <w:vAlign w:val="center"/>
          </w:tcPr>
          <w:p w14:paraId="1F951476" w14:textId="77777777" w:rsidR="00990B14" w:rsidRDefault="00000000">
            <w:pPr>
              <w:spacing w:before="20" w:after="20"/>
              <w:jc w:val="both"/>
            </w:pPr>
            <w:r>
              <w:rPr>
                <w:sz w:val="18"/>
                <w:szCs w:val="18"/>
              </w:rPr>
              <w:t>Explica el efecto de un cambio del ingreso.</w:t>
            </w:r>
          </w:p>
        </w:tc>
      </w:tr>
      <w:tr w:rsidR="00990B14" w14:paraId="580636E0" w14:textId="77777777">
        <w:trPr>
          <w:cantSplit/>
          <w:jc w:val="center"/>
        </w:trPr>
        <w:tc>
          <w:tcPr>
            <w:tcW w:w="1545" w:type="dxa"/>
            <w:vMerge/>
            <w:shd w:val="clear" w:color="auto" w:fill="4472C4"/>
            <w:vAlign w:val="center"/>
          </w:tcPr>
          <w:p w14:paraId="42FE476C" w14:textId="77777777" w:rsidR="00990B14" w:rsidRDefault="00990B14">
            <w:pPr>
              <w:spacing w:before="20" w:after="20"/>
            </w:pPr>
          </w:p>
        </w:tc>
        <w:tc>
          <w:tcPr>
            <w:tcW w:w="1815" w:type="dxa"/>
            <w:shd w:val="clear" w:color="auto" w:fill="D9E2F3"/>
            <w:vAlign w:val="center"/>
          </w:tcPr>
          <w:p w14:paraId="3006C3F7" w14:textId="77777777" w:rsidR="00990B14" w:rsidRDefault="00000000">
            <w:pPr>
              <w:spacing w:before="20" w:after="20"/>
              <w:jc w:val="both"/>
            </w:pPr>
            <w:r>
              <w:rPr>
                <w:sz w:val="18"/>
                <w:szCs w:val="18"/>
              </w:rPr>
              <w:t>Curva LM</w:t>
            </w:r>
          </w:p>
        </w:tc>
        <w:tc>
          <w:tcPr>
            <w:tcW w:w="1910" w:type="dxa"/>
            <w:shd w:val="clear" w:color="auto" w:fill="D9E2F3"/>
            <w:vAlign w:val="center"/>
          </w:tcPr>
          <w:p w14:paraId="0E98AA62" w14:textId="77777777" w:rsidR="00990B14" w:rsidRDefault="00000000">
            <w:pPr>
              <w:spacing w:before="20" w:after="20"/>
              <w:jc w:val="both"/>
            </w:pPr>
            <w:r>
              <w:rPr>
                <w:sz w:val="18"/>
                <w:szCs w:val="18"/>
              </w:rPr>
              <w:t>La curva no corresponde a los datos.</w:t>
            </w:r>
          </w:p>
        </w:tc>
        <w:tc>
          <w:tcPr>
            <w:tcW w:w="1910" w:type="dxa"/>
            <w:shd w:val="clear" w:color="auto" w:fill="D9E2F3"/>
            <w:vAlign w:val="center"/>
          </w:tcPr>
          <w:p w14:paraId="11CD284D" w14:textId="77777777" w:rsidR="00990B14" w:rsidRDefault="00000000">
            <w:pPr>
              <w:spacing w:before="20" w:after="20"/>
              <w:jc w:val="both"/>
            </w:pPr>
            <w:r>
              <w:rPr>
                <w:sz w:val="18"/>
                <w:szCs w:val="18"/>
              </w:rPr>
              <w:t>Deduce correctamente la curva LM.</w:t>
            </w:r>
          </w:p>
        </w:tc>
        <w:tc>
          <w:tcPr>
            <w:tcW w:w="2225" w:type="dxa"/>
            <w:shd w:val="clear" w:color="auto" w:fill="D9E2F3"/>
            <w:vAlign w:val="center"/>
          </w:tcPr>
          <w:p w14:paraId="068FDC61" w14:textId="77777777" w:rsidR="00990B14" w:rsidRDefault="00000000">
            <w:pPr>
              <w:spacing w:before="20" w:after="20"/>
              <w:jc w:val="both"/>
            </w:pPr>
            <w:r>
              <w:rPr>
                <w:sz w:val="18"/>
                <w:szCs w:val="18"/>
              </w:rPr>
              <w:t>Desplaza la curva ante el encaje legal o el tipo de cambio.</w:t>
            </w:r>
          </w:p>
        </w:tc>
      </w:tr>
      <w:tr w:rsidR="00990B14" w14:paraId="06FEB888" w14:textId="77777777">
        <w:trPr>
          <w:cantSplit/>
          <w:jc w:val="center"/>
        </w:trPr>
        <w:tc>
          <w:tcPr>
            <w:tcW w:w="1545" w:type="dxa"/>
            <w:vMerge/>
            <w:shd w:val="clear" w:color="auto" w:fill="4472C4"/>
            <w:vAlign w:val="center"/>
          </w:tcPr>
          <w:p w14:paraId="01740DB7" w14:textId="77777777" w:rsidR="00990B14" w:rsidRDefault="00990B14">
            <w:pPr>
              <w:spacing w:before="20" w:after="20"/>
            </w:pPr>
          </w:p>
        </w:tc>
        <w:tc>
          <w:tcPr>
            <w:tcW w:w="1815" w:type="dxa"/>
            <w:shd w:val="clear" w:color="auto" w:fill="D9E2F3"/>
            <w:vAlign w:val="center"/>
          </w:tcPr>
          <w:p w14:paraId="5C3ECCE4" w14:textId="77777777" w:rsidR="00990B14" w:rsidRDefault="00000000">
            <w:pPr>
              <w:spacing w:before="20" w:after="20"/>
              <w:jc w:val="both"/>
            </w:pPr>
            <w:r>
              <w:rPr>
                <w:sz w:val="18"/>
                <w:szCs w:val="18"/>
              </w:rPr>
              <w:t>Riesgo para la empresa</w:t>
            </w:r>
          </w:p>
        </w:tc>
        <w:tc>
          <w:tcPr>
            <w:tcW w:w="1910" w:type="dxa"/>
            <w:shd w:val="clear" w:color="auto" w:fill="D9E2F3"/>
            <w:vAlign w:val="center"/>
          </w:tcPr>
          <w:p w14:paraId="7047357F" w14:textId="77777777" w:rsidR="00990B14" w:rsidRDefault="00000000">
            <w:pPr>
              <w:spacing w:before="20" w:after="20"/>
              <w:jc w:val="both"/>
            </w:pPr>
            <w:r>
              <w:rPr>
                <w:sz w:val="18"/>
                <w:szCs w:val="18"/>
              </w:rPr>
              <w:t>No menciona efectos en la empresa.</w:t>
            </w:r>
          </w:p>
        </w:tc>
        <w:tc>
          <w:tcPr>
            <w:tcW w:w="1910" w:type="dxa"/>
            <w:shd w:val="clear" w:color="auto" w:fill="D9E2F3"/>
            <w:vAlign w:val="center"/>
          </w:tcPr>
          <w:p w14:paraId="76DC394D" w14:textId="77777777" w:rsidR="00990B14" w:rsidRDefault="00000000">
            <w:pPr>
              <w:spacing w:before="20" w:after="20"/>
              <w:jc w:val="both"/>
            </w:pPr>
            <w:r>
              <w:rPr>
                <w:sz w:val="18"/>
                <w:szCs w:val="18"/>
              </w:rPr>
              <w:t>Describe el riesgo de tasa y el riesgo cambiario.</w:t>
            </w:r>
          </w:p>
        </w:tc>
        <w:tc>
          <w:tcPr>
            <w:tcW w:w="2225" w:type="dxa"/>
            <w:shd w:val="clear" w:color="auto" w:fill="D9E2F3"/>
            <w:vAlign w:val="center"/>
          </w:tcPr>
          <w:p w14:paraId="798F3C06" w14:textId="77777777" w:rsidR="00990B14" w:rsidRDefault="00000000">
            <w:pPr>
              <w:spacing w:before="20" w:after="20"/>
              <w:jc w:val="both"/>
            </w:pPr>
            <w:r>
              <w:rPr>
                <w:sz w:val="18"/>
                <w:szCs w:val="18"/>
              </w:rPr>
              <w:t>Propone medidas de gestión de esos riesgos.</w:t>
            </w:r>
          </w:p>
        </w:tc>
      </w:tr>
      <w:tr w:rsidR="00990B14" w14:paraId="201AAB2B" w14:textId="77777777">
        <w:trPr>
          <w:cantSplit/>
          <w:jc w:val="center"/>
        </w:trPr>
        <w:tc>
          <w:tcPr>
            <w:tcW w:w="1545" w:type="dxa"/>
            <w:vMerge/>
            <w:shd w:val="clear" w:color="auto" w:fill="4472C4"/>
            <w:vAlign w:val="center"/>
          </w:tcPr>
          <w:p w14:paraId="74F9E0BE" w14:textId="77777777" w:rsidR="00990B14" w:rsidRDefault="00990B14">
            <w:pPr>
              <w:spacing w:before="20" w:after="20"/>
            </w:pPr>
          </w:p>
        </w:tc>
        <w:tc>
          <w:tcPr>
            <w:tcW w:w="5635" w:type="dxa"/>
            <w:gridSpan w:val="3"/>
            <w:shd w:val="clear" w:color="auto" w:fill="D9E2F3"/>
            <w:vAlign w:val="center"/>
          </w:tcPr>
          <w:p w14:paraId="312FC0BA" w14:textId="77777777" w:rsidR="00990B14" w:rsidRDefault="00000000">
            <w:pPr>
              <w:keepNext/>
              <w:spacing w:before="20" w:after="20"/>
              <w:jc w:val="both"/>
            </w:pPr>
            <w:r>
              <w:rPr>
                <w:b/>
                <w:bCs/>
                <w:i/>
                <w:iCs/>
                <w:sz w:val="18"/>
                <w:szCs w:val="18"/>
              </w:rPr>
              <w:t xml:space="preserve">Producto 9: </w:t>
            </w:r>
            <w:r>
              <w:rPr>
                <w:sz w:val="18"/>
                <w:szCs w:val="18"/>
              </w:rPr>
              <w:t>Gráfico de la curva IS</w:t>
            </w:r>
          </w:p>
        </w:tc>
        <w:tc>
          <w:tcPr>
            <w:tcW w:w="2225" w:type="dxa"/>
            <w:shd w:val="clear" w:color="auto" w:fill="D9E2F3"/>
            <w:vAlign w:val="center"/>
          </w:tcPr>
          <w:p w14:paraId="10016209" w14:textId="77777777" w:rsidR="00990B14" w:rsidRDefault="00000000">
            <w:pPr>
              <w:spacing w:before="20" w:after="20"/>
              <w:jc w:val="center"/>
            </w:pPr>
            <w:r>
              <w:rPr>
                <w:b/>
                <w:bCs/>
                <w:sz w:val="18"/>
                <w:szCs w:val="18"/>
              </w:rPr>
              <w:t>4%</w:t>
            </w:r>
          </w:p>
        </w:tc>
      </w:tr>
      <w:tr w:rsidR="00990B14" w14:paraId="28F189C1" w14:textId="77777777">
        <w:trPr>
          <w:cantSplit/>
          <w:jc w:val="center"/>
        </w:trPr>
        <w:tc>
          <w:tcPr>
            <w:tcW w:w="1545" w:type="dxa"/>
            <w:vMerge/>
            <w:shd w:val="clear" w:color="auto" w:fill="4472C4"/>
            <w:vAlign w:val="center"/>
          </w:tcPr>
          <w:p w14:paraId="3A25576E" w14:textId="77777777" w:rsidR="00990B14" w:rsidRDefault="00990B14">
            <w:pPr>
              <w:spacing w:before="20" w:after="20"/>
            </w:pPr>
          </w:p>
        </w:tc>
        <w:tc>
          <w:tcPr>
            <w:tcW w:w="1815" w:type="dxa"/>
            <w:shd w:val="clear" w:color="auto" w:fill="4472C4"/>
            <w:vAlign w:val="center"/>
          </w:tcPr>
          <w:p w14:paraId="4597E363"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6EFB314B"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359EEC67" w14:textId="77777777" w:rsidR="00990B14" w:rsidRDefault="00000000">
            <w:pPr>
              <w:keepNext/>
              <w:spacing w:before="20" w:after="20"/>
              <w:jc w:val="center"/>
            </w:pPr>
            <w:r>
              <w:rPr>
                <w:b/>
                <w:bCs/>
                <w:i/>
                <w:iCs/>
                <w:color w:val="FFFFFF"/>
                <w:sz w:val="18"/>
                <w:szCs w:val="18"/>
              </w:rPr>
              <w:t>Suficiente (51–80)</w:t>
            </w:r>
          </w:p>
        </w:tc>
        <w:tc>
          <w:tcPr>
            <w:tcW w:w="2225" w:type="dxa"/>
            <w:shd w:val="clear" w:color="auto" w:fill="4472C4"/>
            <w:vAlign w:val="center"/>
          </w:tcPr>
          <w:p w14:paraId="2CE00376" w14:textId="77777777" w:rsidR="00990B14" w:rsidRDefault="00000000">
            <w:pPr>
              <w:keepNext/>
              <w:spacing w:before="20" w:after="20"/>
              <w:jc w:val="center"/>
            </w:pPr>
            <w:r>
              <w:rPr>
                <w:b/>
                <w:bCs/>
                <w:i/>
                <w:iCs/>
                <w:color w:val="FFFFFF"/>
                <w:sz w:val="18"/>
                <w:szCs w:val="18"/>
              </w:rPr>
              <w:t>Destacado (81–100)</w:t>
            </w:r>
          </w:p>
        </w:tc>
      </w:tr>
      <w:tr w:rsidR="00990B14" w14:paraId="5377C3BD" w14:textId="77777777">
        <w:trPr>
          <w:cantSplit/>
          <w:jc w:val="center"/>
        </w:trPr>
        <w:tc>
          <w:tcPr>
            <w:tcW w:w="1545" w:type="dxa"/>
            <w:vMerge/>
            <w:shd w:val="clear" w:color="auto" w:fill="4472C4"/>
            <w:vAlign w:val="center"/>
          </w:tcPr>
          <w:p w14:paraId="553E7A51" w14:textId="77777777" w:rsidR="00990B14" w:rsidRDefault="00990B14">
            <w:pPr>
              <w:spacing w:before="20" w:after="20"/>
            </w:pPr>
          </w:p>
        </w:tc>
        <w:tc>
          <w:tcPr>
            <w:tcW w:w="1815" w:type="dxa"/>
            <w:shd w:val="clear" w:color="auto" w:fill="D9E2F3"/>
            <w:vAlign w:val="center"/>
          </w:tcPr>
          <w:p w14:paraId="58E76106" w14:textId="77777777" w:rsidR="00990B14" w:rsidRDefault="00000000">
            <w:pPr>
              <w:spacing w:before="20" w:after="20"/>
              <w:jc w:val="both"/>
            </w:pPr>
            <w:r>
              <w:rPr>
                <w:sz w:val="18"/>
                <w:szCs w:val="18"/>
              </w:rPr>
              <w:t>Funciones compuestas</w:t>
            </w:r>
          </w:p>
        </w:tc>
        <w:tc>
          <w:tcPr>
            <w:tcW w:w="1910" w:type="dxa"/>
            <w:shd w:val="clear" w:color="auto" w:fill="D9E2F3"/>
            <w:vAlign w:val="center"/>
          </w:tcPr>
          <w:p w14:paraId="3F81F6BA" w14:textId="77777777" w:rsidR="00990B14" w:rsidRDefault="00000000">
            <w:pPr>
              <w:spacing w:before="20" w:after="20"/>
              <w:jc w:val="both"/>
            </w:pPr>
            <w:r>
              <w:rPr>
                <w:sz w:val="18"/>
                <w:szCs w:val="18"/>
              </w:rPr>
              <w:t>Plantea mal las funciones de ahorro e inversión.</w:t>
            </w:r>
          </w:p>
        </w:tc>
        <w:tc>
          <w:tcPr>
            <w:tcW w:w="1910" w:type="dxa"/>
            <w:shd w:val="clear" w:color="auto" w:fill="D9E2F3"/>
            <w:vAlign w:val="center"/>
          </w:tcPr>
          <w:p w14:paraId="77E30559" w14:textId="77777777" w:rsidR="00990B14" w:rsidRDefault="00000000">
            <w:pPr>
              <w:spacing w:before="20" w:after="20"/>
              <w:jc w:val="both"/>
            </w:pPr>
            <w:r>
              <w:rPr>
                <w:sz w:val="18"/>
                <w:szCs w:val="18"/>
              </w:rPr>
              <w:t>Plantea las funciones compuestas de ahorro e inversión.</w:t>
            </w:r>
          </w:p>
        </w:tc>
        <w:tc>
          <w:tcPr>
            <w:tcW w:w="2225" w:type="dxa"/>
            <w:shd w:val="clear" w:color="auto" w:fill="D9E2F3"/>
            <w:vAlign w:val="center"/>
          </w:tcPr>
          <w:p w14:paraId="5B5127FC" w14:textId="77777777" w:rsidR="00990B14" w:rsidRDefault="00000000">
            <w:pPr>
              <w:spacing w:before="20" w:after="20"/>
              <w:jc w:val="both"/>
            </w:pPr>
            <w:r>
              <w:rPr>
                <w:sz w:val="18"/>
                <w:szCs w:val="18"/>
              </w:rPr>
              <w:t>Explica el significado económico de cada parámetro.</w:t>
            </w:r>
          </w:p>
        </w:tc>
      </w:tr>
      <w:tr w:rsidR="00990B14" w14:paraId="55BE8056" w14:textId="77777777">
        <w:trPr>
          <w:cantSplit/>
          <w:jc w:val="center"/>
        </w:trPr>
        <w:tc>
          <w:tcPr>
            <w:tcW w:w="1545" w:type="dxa"/>
            <w:vMerge/>
            <w:shd w:val="clear" w:color="auto" w:fill="4472C4"/>
            <w:vAlign w:val="center"/>
          </w:tcPr>
          <w:p w14:paraId="349D17A8" w14:textId="77777777" w:rsidR="00990B14" w:rsidRDefault="00990B14">
            <w:pPr>
              <w:spacing w:before="20" w:after="20"/>
            </w:pPr>
          </w:p>
        </w:tc>
        <w:tc>
          <w:tcPr>
            <w:tcW w:w="1815" w:type="dxa"/>
            <w:shd w:val="clear" w:color="auto" w:fill="D9E2F3"/>
            <w:vAlign w:val="center"/>
          </w:tcPr>
          <w:p w14:paraId="09A15463" w14:textId="77777777" w:rsidR="00990B14" w:rsidRDefault="00000000">
            <w:pPr>
              <w:spacing w:before="20" w:after="20"/>
              <w:jc w:val="both"/>
            </w:pPr>
            <w:r>
              <w:rPr>
                <w:sz w:val="18"/>
                <w:szCs w:val="18"/>
              </w:rPr>
              <w:t>Deducción de la curva</w:t>
            </w:r>
          </w:p>
        </w:tc>
        <w:tc>
          <w:tcPr>
            <w:tcW w:w="1910" w:type="dxa"/>
            <w:shd w:val="clear" w:color="auto" w:fill="D9E2F3"/>
            <w:vAlign w:val="center"/>
          </w:tcPr>
          <w:p w14:paraId="0D2F10F7" w14:textId="77777777" w:rsidR="00990B14" w:rsidRDefault="00000000">
            <w:pPr>
              <w:spacing w:before="20" w:after="20"/>
              <w:jc w:val="both"/>
            </w:pPr>
            <w:r>
              <w:rPr>
                <w:sz w:val="18"/>
                <w:szCs w:val="18"/>
              </w:rPr>
              <w:t>La curva no corresponde a los datos.</w:t>
            </w:r>
          </w:p>
        </w:tc>
        <w:tc>
          <w:tcPr>
            <w:tcW w:w="1910" w:type="dxa"/>
            <w:shd w:val="clear" w:color="auto" w:fill="D9E2F3"/>
            <w:vAlign w:val="center"/>
          </w:tcPr>
          <w:p w14:paraId="61AA93A4" w14:textId="77777777" w:rsidR="00990B14" w:rsidRDefault="00000000">
            <w:pPr>
              <w:spacing w:before="20" w:after="20"/>
              <w:jc w:val="both"/>
            </w:pPr>
            <w:r>
              <w:rPr>
                <w:sz w:val="18"/>
                <w:szCs w:val="18"/>
              </w:rPr>
              <w:t>Deduce correctamente la curva IS.</w:t>
            </w:r>
          </w:p>
        </w:tc>
        <w:tc>
          <w:tcPr>
            <w:tcW w:w="2225" w:type="dxa"/>
            <w:shd w:val="clear" w:color="auto" w:fill="D9E2F3"/>
            <w:vAlign w:val="center"/>
          </w:tcPr>
          <w:p w14:paraId="67EEF875" w14:textId="77777777" w:rsidR="00990B14" w:rsidRDefault="00000000">
            <w:pPr>
              <w:spacing w:before="20" w:after="20"/>
              <w:jc w:val="both"/>
            </w:pPr>
            <w:r>
              <w:rPr>
                <w:sz w:val="18"/>
                <w:szCs w:val="18"/>
              </w:rPr>
              <w:t>Verifica la curva con dos puntos de equilibrio.</w:t>
            </w:r>
          </w:p>
        </w:tc>
      </w:tr>
      <w:tr w:rsidR="00990B14" w14:paraId="75088731" w14:textId="77777777">
        <w:trPr>
          <w:cantSplit/>
          <w:jc w:val="center"/>
        </w:trPr>
        <w:tc>
          <w:tcPr>
            <w:tcW w:w="1545" w:type="dxa"/>
            <w:vMerge/>
            <w:shd w:val="clear" w:color="auto" w:fill="4472C4"/>
            <w:vAlign w:val="center"/>
          </w:tcPr>
          <w:p w14:paraId="084E494C" w14:textId="77777777" w:rsidR="00990B14" w:rsidRDefault="00990B14">
            <w:pPr>
              <w:spacing w:before="20" w:after="20"/>
            </w:pPr>
          </w:p>
        </w:tc>
        <w:tc>
          <w:tcPr>
            <w:tcW w:w="1815" w:type="dxa"/>
            <w:shd w:val="clear" w:color="auto" w:fill="D9E2F3"/>
            <w:vAlign w:val="center"/>
          </w:tcPr>
          <w:p w14:paraId="3E5EAB39" w14:textId="77777777" w:rsidR="00990B14" w:rsidRDefault="00000000">
            <w:pPr>
              <w:spacing w:before="20" w:after="20"/>
              <w:jc w:val="both"/>
            </w:pPr>
            <w:r>
              <w:rPr>
                <w:sz w:val="18"/>
                <w:szCs w:val="18"/>
              </w:rPr>
              <w:t>Desplazamiento</w:t>
            </w:r>
          </w:p>
        </w:tc>
        <w:tc>
          <w:tcPr>
            <w:tcW w:w="1910" w:type="dxa"/>
            <w:shd w:val="clear" w:color="auto" w:fill="D9E2F3"/>
            <w:vAlign w:val="center"/>
          </w:tcPr>
          <w:p w14:paraId="50DB6F8A" w14:textId="77777777" w:rsidR="00990B14" w:rsidRDefault="00000000">
            <w:pPr>
              <w:spacing w:before="20" w:after="20"/>
              <w:jc w:val="both"/>
            </w:pPr>
            <w:r>
              <w:rPr>
                <w:sz w:val="18"/>
                <w:szCs w:val="18"/>
              </w:rPr>
              <w:t>No desplaza la curva.</w:t>
            </w:r>
          </w:p>
        </w:tc>
        <w:tc>
          <w:tcPr>
            <w:tcW w:w="1910" w:type="dxa"/>
            <w:shd w:val="clear" w:color="auto" w:fill="D9E2F3"/>
            <w:vAlign w:val="center"/>
          </w:tcPr>
          <w:p w14:paraId="0D52E611" w14:textId="77777777" w:rsidR="00990B14" w:rsidRDefault="00000000">
            <w:pPr>
              <w:spacing w:before="20" w:after="20"/>
              <w:jc w:val="both"/>
            </w:pPr>
            <w:r>
              <w:rPr>
                <w:sz w:val="18"/>
                <w:szCs w:val="18"/>
              </w:rPr>
              <w:t>Desplaza la curva ante un cambio de sus determinantes.</w:t>
            </w:r>
          </w:p>
        </w:tc>
        <w:tc>
          <w:tcPr>
            <w:tcW w:w="2225" w:type="dxa"/>
            <w:shd w:val="clear" w:color="auto" w:fill="D9E2F3"/>
            <w:vAlign w:val="center"/>
          </w:tcPr>
          <w:p w14:paraId="4050C0FD" w14:textId="77777777" w:rsidR="00990B14" w:rsidRDefault="00000000">
            <w:pPr>
              <w:spacing w:before="20" w:after="20"/>
              <w:jc w:val="both"/>
            </w:pPr>
            <w:r>
              <w:rPr>
                <w:sz w:val="18"/>
                <w:szCs w:val="18"/>
              </w:rPr>
              <w:t>Relaciona el desplazamiento con un hecho de la economía boliviana.</w:t>
            </w:r>
          </w:p>
        </w:tc>
      </w:tr>
      <w:tr w:rsidR="00990B14" w14:paraId="2230D16C" w14:textId="77777777">
        <w:trPr>
          <w:cantSplit/>
          <w:jc w:val="center"/>
        </w:trPr>
        <w:tc>
          <w:tcPr>
            <w:tcW w:w="1545" w:type="dxa"/>
            <w:vMerge/>
            <w:shd w:val="clear" w:color="auto" w:fill="4472C4"/>
            <w:vAlign w:val="center"/>
          </w:tcPr>
          <w:p w14:paraId="63376879" w14:textId="77777777" w:rsidR="00990B14" w:rsidRDefault="00990B14">
            <w:pPr>
              <w:spacing w:before="20" w:after="20"/>
            </w:pPr>
          </w:p>
        </w:tc>
        <w:tc>
          <w:tcPr>
            <w:tcW w:w="5635" w:type="dxa"/>
            <w:gridSpan w:val="3"/>
            <w:shd w:val="clear" w:color="auto" w:fill="D9E2F3"/>
            <w:vAlign w:val="center"/>
          </w:tcPr>
          <w:p w14:paraId="5FAFC598" w14:textId="77777777" w:rsidR="00990B14" w:rsidRDefault="00000000">
            <w:pPr>
              <w:keepNext/>
              <w:spacing w:before="20" w:after="20"/>
              <w:jc w:val="both"/>
            </w:pPr>
            <w:r>
              <w:rPr>
                <w:b/>
                <w:bCs/>
                <w:i/>
                <w:iCs/>
                <w:sz w:val="18"/>
                <w:szCs w:val="18"/>
              </w:rPr>
              <w:t xml:space="preserve">Producto 10: </w:t>
            </w:r>
            <w:r>
              <w:rPr>
                <w:sz w:val="18"/>
                <w:szCs w:val="18"/>
              </w:rPr>
              <w:t>Hoja de cálculo IS-LM</w:t>
            </w:r>
          </w:p>
        </w:tc>
        <w:tc>
          <w:tcPr>
            <w:tcW w:w="2225" w:type="dxa"/>
            <w:shd w:val="clear" w:color="auto" w:fill="D9E2F3"/>
            <w:vAlign w:val="center"/>
          </w:tcPr>
          <w:p w14:paraId="753C37AD" w14:textId="77777777" w:rsidR="00990B14" w:rsidRDefault="00000000">
            <w:pPr>
              <w:spacing w:before="20" w:after="20"/>
              <w:jc w:val="center"/>
            </w:pPr>
            <w:r>
              <w:rPr>
                <w:b/>
                <w:bCs/>
                <w:sz w:val="18"/>
                <w:szCs w:val="18"/>
              </w:rPr>
              <w:t>4%</w:t>
            </w:r>
          </w:p>
        </w:tc>
      </w:tr>
      <w:tr w:rsidR="00990B14" w14:paraId="3FD0D5C7" w14:textId="77777777">
        <w:trPr>
          <w:cantSplit/>
          <w:jc w:val="center"/>
        </w:trPr>
        <w:tc>
          <w:tcPr>
            <w:tcW w:w="1545" w:type="dxa"/>
            <w:vMerge/>
            <w:shd w:val="clear" w:color="auto" w:fill="4472C4"/>
            <w:vAlign w:val="center"/>
          </w:tcPr>
          <w:p w14:paraId="45DEF387" w14:textId="77777777" w:rsidR="00990B14" w:rsidRDefault="00990B14">
            <w:pPr>
              <w:spacing w:before="20" w:after="20"/>
            </w:pPr>
          </w:p>
        </w:tc>
        <w:tc>
          <w:tcPr>
            <w:tcW w:w="1815" w:type="dxa"/>
            <w:shd w:val="clear" w:color="auto" w:fill="4472C4"/>
            <w:vAlign w:val="center"/>
          </w:tcPr>
          <w:p w14:paraId="15314CF9"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1F62B883"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294D3B14" w14:textId="77777777" w:rsidR="00990B14" w:rsidRDefault="00000000">
            <w:pPr>
              <w:keepNext/>
              <w:spacing w:before="20" w:after="20"/>
              <w:jc w:val="center"/>
            </w:pPr>
            <w:r>
              <w:rPr>
                <w:b/>
                <w:bCs/>
                <w:i/>
                <w:iCs/>
                <w:color w:val="FFFFFF"/>
                <w:sz w:val="18"/>
                <w:szCs w:val="18"/>
              </w:rPr>
              <w:t>Suficiente (51–80)</w:t>
            </w:r>
          </w:p>
        </w:tc>
        <w:tc>
          <w:tcPr>
            <w:tcW w:w="2225" w:type="dxa"/>
            <w:shd w:val="clear" w:color="auto" w:fill="4472C4"/>
            <w:vAlign w:val="center"/>
          </w:tcPr>
          <w:p w14:paraId="12E03EAB" w14:textId="77777777" w:rsidR="00990B14" w:rsidRDefault="00000000">
            <w:pPr>
              <w:keepNext/>
              <w:spacing w:before="20" w:after="20"/>
              <w:jc w:val="center"/>
            </w:pPr>
            <w:r>
              <w:rPr>
                <w:b/>
                <w:bCs/>
                <w:i/>
                <w:iCs/>
                <w:color w:val="FFFFFF"/>
                <w:sz w:val="18"/>
                <w:szCs w:val="18"/>
              </w:rPr>
              <w:t>Destacado (81–100)</w:t>
            </w:r>
          </w:p>
        </w:tc>
      </w:tr>
      <w:tr w:rsidR="00990B14" w14:paraId="79A5BA32" w14:textId="77777777">
        <w:trPr>
          <w:cantSplit/>
          <w:jc w:val="center"/>
        </w:trPr>
        <w:tc>
          <w:tcPr>
            <w:tcW w:w="1545" w:type="dxa"/>
            <w:vMerge/>
            <w:shd w:val="clear" w:color="auto" w:fill="4472C4"/>
            <w:vAlign w:val="center"/>
          </w:tcPr>
          <w:p w14:paraId="49A5FAD9" w14:textId="77777777" w:rsidR="00990B14" w:rsidRDefault="00990B14">
            <w:pPr>
              <w:spacing w:before="20" w:after="20"/>
            </w:pPr>
          </w:p>
        </w:tc>
        <w:tc>
          <w:tcPr>
            <w:tcW w:w="1815" w:type="dxa"/>
            <w:shd w:val="clear" w:color="auto" w:fill="D9E2F3"/>
            <w:vAlign w:val="center"/>
          </w:tcPr>
          <w:p w14:paraId="7F954293" w14:textId="77777777" w:rsidR="00990B14" w:rsidRDefault="00000000">
            <w:pPr>
              <w:spacing w:before="20" w:after="20"/>
              <w:jc w:val="both"/>
            </w:pPr>
            <w:r>
              <w:rPr>
                <w:sz w:val="18"/>
                <w:szCs w:val="18"/>
              </w:rPr>
              <w:t>Construcción del modelo</w:t>
            </w:r>
          </w:p>
        </w:tc>
        <w:tc>
          <w:tcPr>
            <w:tcW w:w="1910" w:type="dxa"/>
            <w:shd w:val="clear" w:color="auto" w:fill="D9E2F3"/>
            <w:vAlign w:val="center"/>
          </w:tcPr>
          <w:p w14:paraId="1C280940" w14:textId="77777777" w:rsidR="00990B14" w:rsidRDefault="00000000">
            <w:pPr>
              <w:spacing w:before="20" w:after="20"/>
              <w:jc w:val="both"/>
            </w:pPr>
            <w:r>
              <w:rPr>
                <w:sz w:val="18"/>
                <w:szCs w:val="18"/>
              </w:rPr>
              <w:t>La hoja no tiene fórmulas.</w:t>
            </w:r>
          </w:p>
        </w:tc>
        <w:tc>
          <w:tcPr>
            <w:tcW w:w="1910" w:type="dxa"/>
            <w:shd w:val="clear" w:color="auto" w:fill="D9E2F3"/>
            <w:vAlign w:val="center"/>
          </w:tcPr>
          <w:p w14:paraId="46F79BDD" w14:textId="77777777" w:rsidR="00990B14" w:rsidRDefault="00000000">
            <w:pPr>
              <w:spacing w:before="20" w:after="20"/>
              <w:jc w:val="both"/>
            </w:pPr>
            <w:r>
              <w:rPr>
                <w:sz w:val="18"/>
                <w:szCs w:val="18"/>
              </w:rPr>
              <w:t>Construye ambas curvas con fórmulas.</w:t>
            </w:r>
          </w:p>
        </w:tc>
        <w:tc>
          <w:tcPr>
            <w:tcW w:w="2225" w:type="dxa"/>
            <w:shd w:val="clear" w:color="auto" w:fill="D9E2F3"/>
            <w:vAlign w:val="center"/>
          </w:tcPr>
          <w:p w14:paraId="24234F4B" w14:textId="77777777" w:rsidR="00990B14" w:rsidRDefault="00000000">
            <w:pPr>
              <w:spacing w:before="20" w:after="20"/>
              <w:jc w:val="both"/>
            </w:pPr>
            <w:r>
              <w:rPr>
                <w:sz w:val="18"/>
                <w:szCs w:val="18"/>
              </w:rPr>
              <w:t>Permite modificar los parámetros del modelo.</w:t>
            </w:r>
          </w:p>
        </w:tc>
      </w:tr>
      <w:tr w:rsidR="00990B14" w14:paraId="66B63263" w14:textId="77777777">
        <w:trPr>
          <w:cantSplit/>
          <w:jc w:val="center"/>
        </w:trPr>
        <w:tc>
          <w:tcPr>
            <w:tcW w:w="1545" w:type="dxa"/>
            <w:vMerge/>
            <w:shd w:val="clear" w:color="auto" w:fill="4472C4"/>
            <w:vAlign w:val="center"/>
          </w:tcPr>
          <w:p w14:paraId="65E51B14" w14:textId="77777777" w:rsidR="00990B14" w:rsidRDefault="00990B14">
            <w:pPr>
              <w:spacing w:before="20" w:after="20"/>
            </w:pPr>
          </w:p>
        </w:tc>
        <w:tc>
          <w:tcPr>
            <w:tcW w:w="1815" w:type="dxa"/>
            <w:shd w:val="clear" w:color="auto" w:fill="D9E2F3"/>
            <w:vAlign w:val="center"/>
          </w:tcPr>
          <w:p w14:paraId="214CC57B" w14:textId="77777777" w:rsidR="00990B14" w:rsidRDefault="00000000">
            <w:pPr>
              <w:spacing w:before="20" w:after="20"/>
              <w:jc w:val="both"/>
            </w:pPr>
            <w:r>
              <w:rPr>
                <w:sz w:val="18"/>
                <w:szCs w:val="18"/>
              </w:rPr>
              <w:t>Escenarios</w:t>
            </w:r>
          </w:p>
        </w:tc>
        <w:tc>
          <w:tcPr>
            <w:tcW w:w="1910" w:type="dxa"/>
            <w:shd w:val="clear" w:color="auto" w:fill="D9E2F3"/>
            <w:vAlign w:val="center"/>
          </w:tcPr>
          <w:p w14:paraId="1940B2CA" w14:textId="77777777" w:rsidR="00990B14" w:rsidRDefault="00000000">
            <w:pPr>
              <w:spacing w:before="20" w:after="20"/>
              <w:jc w:val="both"/>
            </w:pPr>
            <w:r>
              <w:rPr>
                <w:sz w:val="18"/>
                <w:szCs w:val="18"/>
              </w:rPr>
              <w:t>Presenta un solo escenario.</w:t>
            </w:r>
          </w:p>
        </w:tc>
        <w:tc>
          <w:tcPr>
            <w:tcW w:w="1910" w:type="dxa"/>
            <w:shd w:val="clear" w:color="auto" w:fill="D9E2F3"/>
            <w:vAlign w:val="center"/>
          </w:tcPr>
          <w:p w14:paraId="62179E36" w14:textId="77777777" w:rsidR="00990B14" w:rsidRDefault="00000000">
            <w:pPr>
              <w:spacing w:before="20" w:after="20"/>
              <w:jc w:val="both"/>
            </w:pPr>
            <w:r>
              <w:rPr>
                <w:sz w:val="18"/>
                <w:szCs w:val="18"/>
              </w:rPr>
              <w:t>Simula escenarios de política fiscal y monetaria.</w:t>
            </w:r>
          </w:p>
        </w:tc>
        <w:tc>
          <w:tcPr>
            <w:tcW w:w="2225" w:type="dxa"/>
            <w:shd w:val="clear" w:color="auto" w:fill="D9E2F3"/>
            <w:vAlign w:val="center"/>
          </w:tcPr>
          <w:p w14:paraId="3F1D6B9D" w14:textId="77777777" w:rsidR="00990B14" w:rsidRDefault="00000000">
            <w:pPr>
              <w:spacing w:before="20" w:after="20"/>
              <w:jc w:val="both"/>
            </w:pPr>
            <w:r>
              <w:rPr>
                <w:sz w:val="18"/>
                <w:szCs w:val="18"/>
              </w:rPr>
              <w:t>Compara los efectos sobre el ingreso y la tasa de interés.</w:t>
            </w:r>
          </w:p>
        </w:tc>
      </w:tr>
      <w:tr w:rsidR="00990B14" w14:paraId="6F9A7985" w14:textId="77777777">
        <w:trPr>
          <w:cantSplit/>
          <w:jc w:val="center"/>
        </w:trPr>
        <w:tc>
          <w:tcPr>
            <w:tcW w:w="1545" w:type="dxa"/>
            <w:vMerge/>
            <w:shd w:val="clear" w:color="auto" w:fill="4472C4"/>
            <w:vAlign w:val="center"/>
          </w:tcPr>
          <w:p w14:paraId="76B7DD53" w14:textId="77777777" w:rsidR="00990B14" w:rsidRDefault="00990B14">
            <w:pPr>
              <w:spacing w:before="20" w:after="20"/>
            </w:pPr>
          </w:p>
        </w:tc>
        <w:tc>
          <w:tcPr>
            <w:tcW w:w="1815" w:type="dxa"/>
            <w:shd w:val="clear" w:color="auto" w:fill="D9E2F3"/>
            <w:vAlign w:val="center"/>
          </w:tcPr>
          <w:p w14:paraId="06B29F6F" w14:textId="77777777" w:rsidR="00990B14" w:rsidRDefault="00000000">
            <w:pPr>
              <w:spacing w:before="20" w:after="20"/>
              <w:jc w:val="both"/>
            </w:pPr>
            <w:r>
              <w:rPr>
                <w:sz w:val="18"/>
                <w:szCs w:val="18"/>
              </w:rPr>
              <w:t>Presentación</w:t>
            </w:r>
          </w:p>
        </w:tc>
        <w:tc>
          <w:tcPr>
            <w:tcW w:w="1910" w:type="dxa"/>
            <w:shd w:val="clear" w:color="auto" w:fill="D9E2F3"/>
            <w:vAlign w:val="center"/>
          </w:tcPr>
          <w:p w14:paraId="0D9B168E" w14:textId="77777777" w:rsidR="00990B14" w:rsidRDefault="00000000">
            <w:pPr>
              <w:spacing w:before="20" w:after="20"/>
              <w:jc w:val="both"/>
            </w:pPr>
            <w:r>
              <w:rPr>
                <w:sz w:val="18"/>
                <w:szCs w:val="18"/>
              </w:rPr>
              <w:t>Los gráficos no se entienden.</w:t>
            </w:r>
          </w:p>
        </w:tc>
        <w:tc>
          <w:tcPr>
            <w:tcW w:w="1910" w:type="dxa"/>
            <w:shd w:val="clear" w:color="auto" w:fill="D9E2F3"/>
            <w:vAlign w:val="center"/>
          </w:tcPr>
          <w:p w14:paraId="11BD0607" w14:textId="77777777" w:rsidR="00990B14" w:rsidRDefault="00000000">
            <w:pPr>
              <w:spacing w:before="20" w:after="20"/>
              <w:jc w:val="both"/>
            </w:pPr>
            <w:r>
              <w:rPr>
                <w:sz w:val="18"/>
                <w:szCs w:val="18"/>
              </w:rPr>
              <w:t>Los gráficos son claros.</w:t>
            </w:r>
          </w:p>
        </w:tc>
        <w:tc>
          <w:tcPr>
            <w:tcW w:w="2225" w:type="dxa"/>
            <w:shd w:val="clear" w:color="auto" w:fill="D9E2F3"/>
            <w:vAlign w:val="center"/>
          </w:tcPr>
          <w:p w14:paraId="1B9CF61D" w14:textId="77777777" w:rsidR="00990B14" w:rsidRDefault="00000000">
            <w:pPr>
              <w:spacing w:before="20" w:after="20"/>
              <w:jc w:val="both"/>
            </w:pPr>
            <w:r>
              <w:rPr>
                <w:sz w:val="18"/>
                <w:szCs w:val="18"/>
              </w:rPr>
              <w:t>Incluye conclusiones de cada escenario.</w:t>
            </w:r>
          </w:p>
        </w:tc>
      </w:tr>
      <w:tr w:rsidR="00990B14" w14:paraId="32409F6C" w14:textId="77777777">
        <w:trPr>
          <w:cantSplit/>
          <w:jc w:val="center"/>
        </w:trPr>
        <w:tc>
          <w:tcPr>
            <w:tcW w:w="1545" w:type="dxa"/>
            <w:vMerge/>
            <w:shd w:val="clear" w:color="auto" w:fill="4472C4"/>
            <w:vAlign w:val="center"/>
          </w:tcPr>
          <w:p w14:paraId="1434CBFF" w14:textId="77777777" w:rsidR="00990B14" w:rsidRDefault="00990B14">
            <w:pPr>
              <w:spacing w:before="20" w:after="20"/>
            </w:pPr>
          </w:p>
        </w:tc>
        <w:tc>
          <w:tcPr>
            <w:tcW w:w="5635" w:type="dxa"/>
            <w:gridSpan w:val="3"/>
            <w:shd w:val="clear" w:color="auto" w:fill="D9E2F3"/>
            <w:vAlign w:val="center"/>
          </w:tcPr>
          <w:p w14:paraId="48829FAC" w14:textId="77777777" w:rsidR="00990B14" w:rsidRDefault="00000000">
            <w:pPr>
              <w:keepNext/>
              <w:spacing w:before="20" w:after="20"/>
              <w:jc w:val="both"/>
            </w:pPr>
            <w:r>
              <w:rPr>
                <w:b/>
                <w:bCs/>
                <w:i/>
                <w:iCs/>
                <w:sz w:val="18"/>
                <w:szCs w:val="18"/>
              </w:rPr>
              <w:t xml:space="preserve">Producto 11: </w:t>
            </w:r>
            <w:r>
              <w:rPr>
                <w:sz w:val="18"/>
                <w:szCs w:val="18"/>
              </w:rPr>
              <w:t>Práctico de equilibrio general</w:t>
            </w:r>
          </w:p>
        </w:tc>
        <w:tc>
          <w:tcPr>
            <w:tcW w:w="2225" w:type="dxa"/>
            <w:shd w:val="clear" w:color="auto" w:fill="D9E2F3"/>
            <w:vAlign w:val="center"/>
          </w:tcPr>
          <w:p w14:paraId="56345F80" w14:textId="77777777" w:rsidR="00990B14" w:rsidRDefault="00000000">
            <w:pPr>
              <w:spacing w:before="20" w:after="20"/>
              <w:jc w:val="center"/>
            </w:pPr>
            <w:r>
              <w:rPr>
                <w:b/>
                <w:bCs/>
                <w:sz w:val="18"/>
                <w:szCs w:val="18"/>
              </w:rPr>
              <w:t>4%</w:t>
            </w:r>
          </w:p>
        </w:tc>
      </w:tr>
      <w:tr w:rsidR="00990B14" w14:paraId="1A8FCD57" w14:textId="77777777">
        <w:trPr>
          <w:cantSplit/>
          <w:jc w:val="center"/>
        </w:trPr>
        <w:tc>
          <w:tcPr>
            <w:tcW w:w="1545" w:type="dxa"/>
            <w:vMerge/>
            <w:shd w:val="clear" w:color="auto" w:fill="4472C4"/>
            <w:vAlign w:val="center"/>
          </w:tcPr>
          <w:p w14:paraId="7430B79D" w14:textId="77777777" w:rsidR="00990B14" w:rsidRDefault="00990B14">
            <w:pPr>
              <w:spacing w:before="20" w:after="20"/>
            </w:pPr>
          </w:p>
        </w:tc>
        <w:tc>
          <w:tcPr>
            <w:tcW w:w="1815" w:type="dxa"/>
            <w:shd w:val="clear" w:color="auto" w:fill="4472C4"/>
            <w:vAlign w:val="center"/>
          </w:tcPr>
          <w:p w14:paraId="0C0109E2"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1EE4E2B8"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4DDA687C" w14:textId="77777777" w:rsidR="00990B14" w:rsidRDefault="00000000">
            <w:pPr>
              <w:keepNext/>
              <w:spacing w:before="20" w:after="20"/>
              <w:jc w:val="center"/>
            </w:pPr>
            <w:r>
              <w:rPr>
                <w:b/>
                <w:bCs/>
                <w:i/>
                <w:iCs/>
                <w:color w:val="FFFFFF"/>
                <w:sz w:val="18"/>
                <w:szCs w:val="18"/>
              </w:rPr>
              <w:t>Suficiente (51–80)</w:t>
            </w:r>
          </w:p>
        </w:tc>
        <w:tc>
          <w:tcPr>
            <w:tcW w:w="2225" w:type="dxa"/>
            <w:shd w:val="clear" w:color="auto" w:fill="4472C4"/>
            <w:vAlign w:val="center"/>
          </w:tcPr>
          <w:p w14:paraId="4EE74D5D" w14:textId="77777777" w:rsidR="00990B14" w:rsidRDefault="00000000">
            <w:pPr>
              <w:keepNext/>
              <w:spacing w:before="20" w:after="20"/>
              <w:jc w:val="center"/>
            </w:pPr>
            <w:r>
              <w:rPr>
                <w:b/>
                <w:bCs/>
                <w:i/>
                <w:iCs/>
                <w:color w:val="FFFFFF"/>
                <w:sz w:val="18"/>
                <w:szCs w:val="18"/>
              </w:rPr>
              <w:t>Destacado (81–100)</w:t>
            </w:r>
          </w:p>
        </w:tc>
      </w:tr>
      <w:tr w:rsidR="00990B14" w14:paraId="6FBC1FC6" w14:textId="77777777">
        <w:trPr>
          <w:cantSplit/>
          <w:jc w:val="center"/>
        </w:trPr>
        <w:tc>
          <w:tcPr>
            <w:tcW w:w="1545" w:type="dxa"/>
            <w:vMerge/>
            <w:shd w:val="clear" w:color="auto" w:fill="4472C4"/>
            <w:vAlign w:val="center"/>
          </w:tcPr>
          <w:p w14:paraId="19C5534E" w14:textId="77777777" w:rsidR="00990B14" w:rsidRDefault="00990B14">
            <w:pPr>
              <w:spacing w:before="20" w:after="20"/>
            </w:pPr>
          </w:p>
        </w:tc>
        <w:tc>
          <w:tcPr>
            <w:tcW w:w="1815" w:type="dxa"/>
            <w:shd w:val="clear" w:color="auto" w:fill="D9E2F3"/>
            <w:vAlign w:val="center"/>
          </w:tcPr>
          <w:p w14:paraId="4219A2DD" w14:textId="77777777" w:rsidR="00990B14" w:rsidRDefault="00000000">
            <w:pPr>
              <w:spacing w:before="20" w:after="20"/>
              <w:jc w:val="both"/>
            </w:pPr>
            <w:r>
              <w:rPr>
                <w:sz w:val="18"/>
                <w:szCs w:val="18"/>
              </w:rPr>
              <w:t>Expresión de las curvas</w:t>
            </w:r>
          </w:p>
        </w:tc>
        <w:tc>
          <w:tcPr>
            <w:tcW w:w="1910" w:type="dxa"/>
            <w:shd w:val="clear" w:color="auto" w:fill="D9E2F3"/>
            <w:vAlign w:val="center"/>
          </w:tcPr>
          <w:p w14:paraId="6C89D5B8" w14:textId="77777777" w:rsidR="00990B14" w:rsidRDefault="00000000">
            <w:pPr>
              <w:spacing w:before="20" w:after="20"/>
              <w:jc w:val="both"/>
            </w:pPr>
            <w:r>
              <w:rPr>
                <w:sz w:val="18"/>
                <w:szCs w:val="18"/>
              </w:rPr>
              <w:t>No expresa la LM en términos de la IS.</w:t>
            </w:r>
          </w:p>
        </w:tc>
        <w:tc>
          <w:tcPr>
            <w:tcW w:w="1910" w:type="dxa"/>
            <w:shd w:val="clear" w:color="auto" w:fill="D9E2F3"/>
            <w:vAlign w:val="center"/>
          </w:tcPr>
          <w:p w14:paraId="7ED8E116" w14:textId="77777777" w:rsidR="00990B14" w:rsidRDefault="00000000">
            <w:pPr>
              <w:spacing w:before="20" w:after="20"/>
              <w:jc w:val="both"/>
            </w:pPr>
            <w:r>
              <w:rPr>
                <w:sz w:val="18"/>
                <w:szCs w:val="18"/>
              </w:rPr>
              <w:t>Expresa la curva LM en términos de la curva IS.</w:t>
            </w:r>
          </w:p>
        </w:tc>
        <w:tc>
          <w:tcPr>
            <w:tcW w:w="2225" w:type="dxa"/>
            <w:shd w:val="clear" w:color="auto" w:fill="D9E2F3"/>
            <w:vAlign w:val="center"/>
          </w:tcPr>
          <w:p w14:paraId="614002E6" w14:textId="77777777" w:rsidR="00990B14" w:rsidRDefault="00000000">
            <w:pPr>
              <w:spacing w:before="20" w:after="20"/>
              <w:jc w:val="both"/>
            </w:pPr>
            <w:r>
              <w:rPr>
                <w:sz w:val="18"/>
                <w:szCs w:val="18"/>
              </w:rPr>
              <w:t>Explica el significado de la intersección.</w:t>
            </w:r>
          </w:p>
        </w:tc>
      </w:tr>
      <w:tr w:rsidR="00990B14" w14:paraId="19390DDD" w14:textId="77777777">
        <w:trPr>
          <w:cantSplit/>
          <w:jc w:val="center"/>
        </w:trPr>
        <w:tc>
          <w:tcPr>
            <w:tcW w:w="1545" w:type="dxa"/>
            <w:vMerge/>
            <w:shd w:val="clear" w:color="auto" w:fill="4472C4"/>
            <w:vAlign w:val="center"/>
          </w:tcPr>
          <w:p w14:paraId="1F1BD030" w14:textId="77777777" w:rsidR="00990B14" w:rsidRDefault="00990B14">
            <w:pPr>
              <w:spacing w:before="20" w:after="20"/>
            </w:pPr>
          </w:p>
        </w:tc>
        <w:tc>
          <w:tcPr>
            <w:tcW w:w="1815" w:type="dxa"/>
            <w:shd w:val="clear" w:color="auto" w:fill="D9E2F3"/>
            <w:vAlign w:val="center"/>
          </w:tcPr>
          <w:p w14:paraId="090E9297" w14:textId="77777777" w:rsidR="00990B14" w:rsidRDefault="00000000">
            <w:pPr>
              <w:spacing w:before="20" w:after="20"/>
              <w:jc w:val="both"/>
            </w:pPr>
            <w:r>
              <w:rPr>
                <w:sz w:val="18"/>
                <w:szCs w:val="18"/>
              </w:rPr>
              <w:t>Equilibrio general</w:t>
            </w:r>
          </w:p>
        </w:tc>
        <w:tc>
          <w:tcPr>
            <w:tcW w:w="1910" w:type="dxa"/>
            <w:shd w:val="clear" w:color="auto" w:fill="D9E2F3"/>
            <w:vAlign w:val="center"/>
          </w:tcPr>
          <w:p w14:paraId="0F1A5378" w14:textId="77777777" w:rsidR="00990B14" w:rsidRDefault="00000000">
            <w:pPr>
              <w:spacing w:before="20" w:after="20"/>
              <w:jc w:val="both"/>
            </w:pPr>
            <w:r>
              <w:rPr>
                <w:sz w:val="18"/>
                <w:szCs w:val="18"/>
              </w:rPr>
              <w:t>Calcula mal el ingreso o la tasa de equilibrio.</w:t>
            </w:r>
          </w:p>
        </w:tc>
        <w:tc>
          <w:tcPr>
            <w:tcW w:w="1910" w:type="dxa"/>
            <w:shd w:val="clear" w:color="auto" w:fill="D9E2F3"/>
            <w:vAlign w:val="center"/>
          </w:tcPr>
          <w:p w14:paraId="0000E74F" w14:textId="77777777" w:rsidR="00990B14" w:rsidRDefault="00000000">
            <w:pPr>
              <w:spacing w:before="20" w:after="20"/>
              <w:jc w:val="both"/>
            </w:pPr>
            <w:r>
              <w:rPr>
                <w:sz w:val="18"/>
                <w:szCs w:val="18"/>
              </w:rPr>
              <w:t>Determina el ingreso y la tasa de interés de equilibrio.</w:t>
            </w:r>
          </w:p>
        </w:tc>
        <w:tc>
          <w:tcPr>
            <w:tcW w:w="2225" w:type="dxa"/>
            <w:shd w:val="clear" w:color="auto" w:fill="D9E2F3"/>
            <w:vAlign w:val="center"/>
          </w:tcPr>
          <w:p w14:paraId="3DB66477" w14:textId="77777777" w:rsidR="00990B14" w:rsidRDefault="00000000">
            <w:pPr>
              <w:spacing w:before="20" w:after="20"/>
              <w:jc w:val="both"/>
            </w:pPr>
            <w:r>
              <w:rPr>
                <w:sz w:val="18"/>
                <w:szCs w:val="18"/>
              </w:rPr>
              <w:t>Analiza el cambio del equilibrio ante una medida de política.</w:t>
            </w:r>
          </w:p>
        </w:tc>
      </w:tr>
      <w:tr w:rsidR="00990B14" w14:paraId="2A692208" w14:textId="77777777">
        <w:trPr>
          <w:cantSplit/>
          <w:jc w:val="center"/>
        </w:trPr>
        <w:tc>
          <w:tcPr>
            <w:tcW w:w="1545" w:type="dxa"/>
            <w:vMerge/>
            <w:shd w:val="clear" w:color="auto" w:fill="4472C4"/>
            <w:vAlign w:val="center"/>
          </w:tcPr>
          <w:p w14:paraId="3CD59660" w14:textId="77777777" w:rsidR="00990B14" w:rsidRDefault="00990B14">
            <w:pPr>
              <w:spacing w:before="20" w:after="20"/>
            </w:pPr>
          </w:p>
        </w:tc>
        <w:tc>
          <w:tcPr>
            <w:tcW w:w="1815" w:type="dxa"/>
            <w:shd w:val="clear" w:color="auto" w:fill="D9E2F3"/>
            <w:vAlign w:val="center"/>
          </w:tcPr>
          <w:p w14:paraId="68F6B877" w14:textId="77777777" w:rsidR="00990B14" w:rsidRDefault="00000000">
            <w:pPr>
              <w:spacing w:before="20" w:after="20"/>
              <w:jc w:val="both"/>
            </w:pPr>
            <w:r>
              <w:rPr>
                <w:sz w:val="18"/>
                <w:szCs w:val="18"/>
              </w:rPr>
              <w:t>Trabajo en equipo</w:t>
            </w:r>
          </w:p>
        </w:tc>
        <w:tc>
          <w:tcPr>
            <w:tcW w:w="1910" w:type="dxa"/>
            <w:shd w:val="clear" w:color="auto" w:fill="D9E2F3"/>
            <w:vAlign w:val="center"/>
          </w:tcPr>
          <w:p w14:paraId="5C0F9408" w14:textId="77777777" w:rsidR="00990B14" w:rsidRDefault="00000000">
            <w:pPr>
              <w:spacing w:before="20" w:after="20"/>
              <w:jc w:val="both"/>
            </w:pPr>
            <w:r>
              <w:rPr>
                <w:sz w:val="18"/>
                <w:szCs w:val="18"/>
              </w:rPr>
              <w:t>Participan solo algunos integrantes.</w:t>
            </w:r>
          </w:p>
        </w:tc>
        <w:tc>
          <w:tcPr>
            <w:tcW w:w="1910" w:type="dxa"/>
            <w:shd w:val="clear" w:color="auto" w:fill="D9E2F3"/>
            <w:vAlign w:val="center"/>
          </w:tcPr>
          <w:p w14:paraId="5CAED8D6" w14:textId="77777777" w:rsidR="00990B14" w:rsidRDefault="00000000">
            <w:pPr>
              <w:spacing w:before="20" w:after="20"/>
              <w:jc w:val="both"/>
            </w:pPr>
            <w:r>
              <w:rPr>
                <w:sz w:val="18"/>
                <w:szCs w:val="18"/>
              </w:rPr>
              <w:t>Todos los integrantes participan.</w:t>
            </w:r>
          </w:p>
        </w:tc>
        <w:tc>
          <w:tcPr>
            <w:tcW w:w="2225" w:type="dxa"/>
            <w:shd w:val="clear" w:color="auto" w:fill="D9E2F3"/>
            <w:vAlign w:val="center"/>
          </w:tcPr>
          <w:p w14:paraId="3AC17318" w14:textId="77777777" w:rsidR="00990B14" w:rsidRDefault="00000000">
            <w:pPr>
              <w:spacing w:before="20" w:after="20"/>
              <w:jc w:val="both"/>
            </w:pPr>
            <w:r>
              <w:rPr>
                <w:sz w:val="18"/>
                <w:szCs w:val="18"/>
              </w:rPr>
              <w:t>El equipo sustenta el caso ante el curso.</w:t>
            </w:r>
          </w:p>
        </w:tc>
      </w:tr>
      <w:tr w:rsidR="00990B14" w14:paraId="567CAB94" w14:textId="77777777">
        <w:trPr>
          <w:cantSplit/>
          <w:jc w:val="center"/>
        </w:trPr>
        <w:tc>
          <w:tcPr>
            <w:tcW w:w="1545" w:type="dxa"/>
            <w:vMerge/>
            <w:shd w:val="clear" w:color="auto" w:fill="4472C4"/>
            <w:vAlign w:val="center"/>
          </w:tcPr>
          <w:p w14:paraId="1E4B5D3B" w14:textId="77777777" w:rsidR="00990B14" w:rsidRDefault="00990B14">
            <w:pPr>
              <w:spacing w:before="20" w:after="20"/>
            </w:pPr>
          </w:p>
        </w:tc>
        <w:tc>
          <w:tcPr>
            <w:tcW w:w="5635" w:type="dxa"/>
            <w:gridSpan w:val="3"/>
            <w:shd w:val="clear" w:color="auto" w:fill="D9E2F3"/>
            <w:vAlign w:val="center"/>
          </w:tcPr>
          <w:p w14:paraId="4C446F7C" w14:textId="77777777" w:rsidR="00990B14" w:rsidRDefault="00000000">
            <w:pPr>
              <w:keepNext/>
              <w:spacing w:before="20" w:after="20"/>
              <w:jc w:val="both"/>
            </w:pPr>
            <w:r>
              <w:rPr>
                <w:b/>
                <w:bCs/>
                <w:i/>
                <w:iCs/>
                <w:sz w:val="18"/>
                <w:szCs w:val="18"/>
              </w:rPr>
              <w:t xml:space="preserve">Producto 12: </w:t>
            </w:r>
            <w:r>
              <w:rPr>
                <w:sz w:val="18"/>
                <w:szCs w:val="18"/>
              </w:rPr>
              <w:t>Ensayo sobre el modelo IS-LM</w:t>
            </w:r>
          </w:p>
        </w:tc>
        <w:tc>
          <w:tcPr>
            <w:tcW w:w="2225" w:type="dxa"/>
            <w:shd w:val="clear" w:color="auto" w:fill="D9E2F3"/>
            <w:vAlign w:val="center"/>
          </w:tcPr>
          <w:p w14:paraId="7875B3B9" w14:textId="77777777" w:rsidR="00990B14" w:rsidRDefault="00000000">
            <w:pPr>
              <w:spacing w:before="20" w:after="20"/>
              <w:jc w:val="center"/>
            </w:pPr>
            <w:r>
              <w:rPr>
                <w:b/>
                <w:bCs/>
                <w:sz w:val="18"/>
                <w:szCs w:val="18"/>
              </w:rPr>
              <w:t>3%</w:t>
            </w:r>
          </w:p>
        </w:tc>
      </w:tr>
      <w:tr w:rsidR="00990B14" w14:paraId="3CC1BA78" w14:textId="77777777">
        <w:trPr>
          <w:cantSplit/>
          <w:jc w:val="center"/>
        </w:trPr>
        <w:tc>
          <w:tcPr>
            <w:tcW w:w="1545" w:type="dxa"/>
            <w:vMerge/>
            <w:shd w:val="clear" w:color="auto" w:fill="4472C4"/>
            <w:vAlign w:val="center"/>
          </w:tcPr>
          <w:p w14:paraId="07CF31D9" w14:textId="77777777" w:rsidR="00990B14" w:rsidRDefault="00990B14">
            <w:pPr>
              <w:spacing w:before="20" w:after="20"/>
            </w:pPr>
          </w:p>
        </w:tc>
        <w:tc>
          <w:tcPr>
            <w:tcW w:w="1815" w:type="dxa"/>
            <w:shd w:val="clear" w:color="auto" w:fill="4472C4"/>
            <w:vAlign w:val="center"/>
          </w:tcPr>
          <w:p w14:paraId="32B80695"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58E1572C"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57DA130B" w14:textId="77777777" w:rsidR="00990B14" w:rsidRDefault="00000000">
            <w:pPr>
              <w:keepNext/>
              <w:spacing w:before="20" w:after="20"/>
              <w:jc w:val="center"/>
            </w:pPr>
            <w:r>
              <w:rPr>
                <w:b/>
                <w:bCs/>
                <w:i/>
                <w:iCs/>
                <w:color w:val="FFFFFF"/>
                <w:sz w:val="18"/>
                <w:szCs w:val="18"/>
              </w:rPr>
              <w:t>Suficiente (51–80)</w:t>
            </w:r>
          </w:p>
        </w:tc>
        <w:tc>
          <w:tcPr>
            <w:tcW w:w="2225" w:type="dxa"/>
            <w:shd w:val="clear" w:color="auto" w:fill="4472C4"/>
            <w:vAlign w:val="center"/>
          </w:tcPr>
          <w:p w14:paraId="64196197" w14:textId="77777777" w:rsidR="00990B14" w:rsidRDefault="00000000">
            <w:pPr>
              <w:keepNext/>
              <w:spacing w:before="20" w:after="20"/>
              <w:jc w:val="center"/>
            </w:pPr>
            <w:r>
              <w:rPr>
                <w:b/>
                <w:bCs/>
                <w:i/>
                <w:iCs/>
                <w:color w:val="FFFFFF"/>
                <w:sz w:val="18"/>
                <w:szCs w:val="18"/>
              </w:rPr>
              <w:t>Destacado (81–100)</w:t>
            </w:r>
          </w:p>
        </w:tc>
      </w:tr>
      <w:tr w:rsidR="00990B14" w14:paraId="1810FEC0" w14:textId="77777777">
        <w:trPr>
          <w:cantSplit/>
          <w:jc w:val="center"/>
        </w:trPr>
        <w:tc>
          <w:tcPr>
            <w:tcW w:w="1545" w:type="dxa"/>
            <w:vMerge/>
            <w:shd w:val="clear" w:color="auto" w:fill="4472C4"/>
            <w:vAlign w:val="center"/>
          </w:tcPr>
          <w:p w14:paraId="6F1B548C" w14:textId="77777777" w:rsidR="00990B14" w:rsidRDefault="00990B14">
            <w:pPr>
              <w:spacing w:before="20" w:after="20"/>
            </w:pPr>
          </w:p>
        </w:tc>
        <w:tc>
          <w:tcPr>
            <w:tcW w:w="1815" w:type="dxa"/>
            <w:shd w:val="clear" w:color="auto" w:fill="D9E2F3"/>
            <w:vAlign w:val="center"/>
          </w:tcPr>
          <w:p w14:paraId="06877F97" w14:textId="77777777" w:rsidR="00990B14" w:rsidRDefault="00000000">
            <w:pPr>
              <w:spacing w:before="20" w:after="20"/>
              <w:jc w:val="both"/>
            </w:pPr>
            <w:r>
              <w:rPr>
                <w:sz w:val="18"/>
                <w:szCs w:val="18"/>
              </w:rPr>
              <w:t>Supuestos del modelo</w:t>
            </w:r>
          </w:p>
        </w:tc>
        <w:tc>
          <w:tcPr>
            <w:tcW w:w="1910" w:type="dxa"/>
            <w:shd w:val="clear" w:color="auto" w:fill="D9E2F3"/>
            <w:vAlign w:val="center"/>
          </w:tcPr>
          <w:p w14:paraId="173679BB" w14:textId="77777777" w:rsidR="00990B14" w:rsidRDefault="00000000">
            <w:pPr>
              <w:spacing w:before="20" w:after="20"/>
              <w:jc w:val="both"/>
            </w:pPr>
            <w:r>
              <w:rPr>
                <w:sz w:val="18"/>
                <w:szCs w:val="18"/>
              </w:rPr>
              <w:t>No identifica los supuestos.</w:t>
            </w:r>
          </w:p>
        </w:tc>
        <w:tc>
          <w:tcPr>
            <w:tcW w:w="1910" w:type="dxa"/>
            <w:shd w:val="clear" w:color="auto" w:fill="D9E2F3"/>
            <w:vAlign w:val="center"/>
          </w:tcPr>
          <w:p w14:paraId="1FE8C56A" w14:textId="77777777" w:rsidR="00990B14" w:rsidRDefault="00000000">
            <w:pPr>
              <w:spacing w:before="20" w:after="20"/>
              <w:jc w:val="both"/>
            </w:pPr>
            <w:r>
              <w:rPr>
                <w:sz w:val="18"/>
                <w:szCs w:val="18"/>
              </w:rPr>
              <w:t>Identifica los supuestos del modelo.</w:t>
            </w:r>
          </w:p>
        </w:tc>
        <w:tc>
          <w:tcPr>
            <w:tcW w:w="2225" w:type="dxa"/>
            <w:shd w:val="clear" w:color="auto" w:fill="D9E2F3"/>
            <w:vAlign w:val="center"/>
          </w:tcPr>
          <w:p w14:paraId="3FEA3C1D" w14:textId="77777777" w:rsidR="00990B14" w:rsidRDefault="00000000">
            <w:pPr>
              <w:spacing w:before="20" w:after="20"/>
              <w:jc w:val="both"/>
            </w:pPr>
            <w:r>
              <w:rPr>
                <w:sz w:val="18"/>
                <w:szCs w:val="18"/>
              </w:rPr>
              <w:t>Contrasta cada supuesto con la realidad boliviana.</w:t>
            </w:r>
          </w:p>
        </w:tc>
      </w:tr>
      <w:tr w:rsidR="00990B14" w14:paraId="6371A064" w14:textId="77777777">
        <w:trPr>
          <w:cantSplit/>
          <w:jc w:val="center"/>
        </w:trPr>
        <w:tc>
          <w:tcPr>
            <w:tcW w:w="1545" w:type="dxa"/>
            <w:vMerge/>
            <w:shd w:val="clear" w:color="auto" w:fill="4472C4"/>
            <w:vAlign w:val="center"/>
          </w:tcPr>
          <w:p w14:paraId="5F09D9E6" w14:textId="77777777" w:rsidR="00990B14" w:rsidRDefault="00990B14">
            <w:pPr>
              <w:spacing w:before="20" w:after="20"/>
            </w:pPr>
          </w:p>
        </w:tc>
        <w:tc>
          <w:tcPr>
            <w:tcW w:w="1815" w:type="dxa"/>
            <w:shd w:val="clear" w:color="auto" w:fill="D9E2F3"/>
            <w:vAlign w:val="center"/>
          </w:tcPr>
          <w:p w14:paraId="17F937B4" w14:textId="77777777" w:rsidR="00990B14" w:rsidRDefault="00000000">
            <w:pPr>
              <w:spacing w:before="20" w:after="20"/>
              <w:jc w:val="both"/>
            </w:pPr>
            <w:r>
              <w:rPr>
                <w:sz w:val="18"/>
                <w:szCs w:val="18"/>
              </w:rPr>
              <w:t>Argumentación</w:t>
            </w:r>
          </w:p>
        </w:tc>
        <w:tc>
          <w:tcPr>
            <w:tcW w:w="1910" w:type="dxa"/>
            <w:shd w:val="clear" w:color="auto" w:fill="D9E2F3"/>
            <w:vAlign w:val="center"/>
          </w:tcPr>
          <w:p w14:paraId="4EDAC47D" w14:textId="77777777" w:rsidR="00990B14" w:rsidRDefault="00000000">
            <w:pPr>
              <w:spacing w:before="20" w:after="20"/>
              <w:jc w:val="both"/>
            </w:pPr>
            <w:r>
              <w:rPr>
                <w:sz w:val="18"/>
                <w:szCs w:val="18"/>
              </w:rPr>
              <w:t>Las ideas carecen de sustento.</w:t>
            </w:r>
          </w:p>
        </w:tc>
        <w:tc>
          <w:tcPr>
            <w:tcW w:w="1910" w:type="dxa"/>
            <w:shd w:val="clear" w:color="auto" w:fill="D9E2F3"/>
            <w:vAlign w:val="center"/>
          </w:tcPr>
          <w:p w14:paraId="39B0CFEB" w14:textId="77777777" w:rsidR="00990B14" w:rsidRDefault="00000000">
            <w:pPr>
              <w:spacing w:before="20" w:after="20"/>
              <w:jc w:val="both"/>
            </w:pPr>
            <w:r>
              <w:rPr>
                <w:sz w:val="18"/>
                <w:szCs w:val="18"/>
              </w:rPr>
              <w:t>Argumenta con coherencia.</w:t>
            </w:r>
          </w:p>
        </w:tc>
        <w:tc>
          <w:tcPr>
            <w:tcW w:w="2225" w:type="dxa"/>
            <w:shd w:val="clear" w:color="auto" w:fill="D9E2F3"/>
            <w:vAlign w:val="center"/>
          </w:tcPr>
          <w:p w14:paraId="4F254269" w14:textId="77777777" w:rsidR="00990B14" w:rsidRDefault="00000000">
            <w:pPr>
              <w:spacing w:before="20" w:after="20"/>
              <w:jc w:val="both"/>
            </w:pPr>
            <w:r>
              <w:rPr>
                <w:sz w:val="18"/>
                <w:szCs w:val="18"/>
              </w:rPr>
              <w:t>Propone ajustes al modelo para una economía abierta.</w:t>
            </w:r>
          </w:p>
        </w:tc>
      </w:tr>
      <w:tr w:rsidR="00990B14" w14:paraId="7DD9A391" w14:textId="77777777">
        <w:trPr>
          <w:cantSplit/>
          <w:jc w:val="center"/>
        </w:trPr>
        <w:tc>
          <w:tcPr>
            <w:tcW w:w="1545" w:type="dxa"/>
            <w:vMerge/>
            <w:shd w:val="clear" w:color="auto" w:fill="4472C4"/>
            <w:vAlign w:val="center"/>
          </w:tcPr>
          <w:p w14:paraId="19230BE6" w14:textId="77777777" w:rsidR="00990B14" w:rsidRDefault="00990B14">
            <w:pPr>
              <w:spacing w:before="20" w:after="20"/>
            </w:pPr>
          </w:p>
        </w:tc>
        <w:tc>
          <w:tcPr>
            <w:tcW w:w="1815" w:type="dxa"/>
            <w:shd w:val="clear" w:color="auto" w:fill="D9E2F3"/>
            <w:vAlign w:val="center"/>
          </w:tcPr>
          <w:p w14:paraId="708C3BC9" w14:textId="77777777" w:rsidR="00990B14" w:rsidRDefault="00000000">
            <w:pPr>
              <w:spacing w:before="20" w:after="20"/>
              <w:jc w:val="both"/>
            </w:pPr>
            <w:r>
              <w:rPr>
                <w:sz w:val="18"/>
                <w:szCs w:val="18"/>
              </w:rPr>
              <w:t>Claridad de la sustentación</w:t>
            </w:r>
          </w:p>
        </w:tc>
        <w:tc>
          <w:tcPr>
            <w:tcW w:w="1910" w:type="dxa"/>
            <w:shd w:val="clear" w:color="auto" w:fill="D9E2F3"/>
            <w:vAlign w:val="center"/>
          </w:tcPr>
          <w:p w14:paraId="4EDE87ED" w14:textId="77777777" w:rsidR="00990B14" w:rsidRDefault="00000000">
            <w:pPr>
              <w:spacing w:before="20" w:after="20"/>
              <w:jc w:val="both"/>
            </w:pPr>
            <w:r>
              <w:rPr>
                <w:sz w:val="18"/>
                <w:szCs w:val="18"/>
              </w:rPr>
              <w:t>La exposición es confusa.</w:t>
            </w:r>
          </w:p>
        </w:tc>
        <w:tc>
          <w:tcPr>
            <w:tcW w:w="1910" w:type="dxa"/>
            <w:shd w:val="clear" w:color="auto" w:fill="D9E2F3"/>
            <w:vAlign w:val="center"/>
          </w:tcPr>
          <w:p w14:paraId="4A117D51" w14:textId="77777777" w:rsidR="00990B14" w:rsidRDefault="00000000">
            <w:pPr>
              <w:spacing w:before="20" w:after="20"/>
              <w:jc w:val="both"/>
            </w:pPr>
            <w:r>
              <w:rPr>
                <w:sz w:val="18"/>
                <w:szCs w:val="18"/>
              </w:rPr>
              <w:t>Expone con claridad.</w:t>
            </w:r>
          </w:p>
        </w:tc>
        <w:tc>
          <w:tcPr>
            <w:tcW w:w="2225" w:type="dxa"/>
            <w:shd w:val="clear" w:color="auto" w:fill="D9E2F3"/>
            <w:vAlign w:val="center"/>
          </w:tcPr>
          <w:p w14:paraId="1C016DAF" w14:textId="77777777" w:rsidR="00990B14" w:rsidRDefault="00000000">
            <w:pPr>
              <w:spacing w:before="20" w:after="20"/>
              <w:jc w:val="both"/>
            </w:pPr>
            <w:r>
              <w:rPr>
                <w:sz w:val="18"/>
                <w:szCs w:val="18"/>
              </w:rPr>
              <w:t>Responde con solvencia las objeciones del curso.</w:t>
            </w:r>
          </w:p>
        </w:tc>
      </w:tr>
      <w:tr w:rsidR="00990B14" w14:paraId="178571B3" w14:textId="77777777">
        <w:trPr>
          <w:cantSplit/>
          <w:jc w:val="center"/>
        </w:trPr>
        <w:tc>
          <w:tcPr>
            <w:tcW w:w="1545" w:type="dxa"/>
            <w:vMerge/>
            <w:shd w:val="clear" w:color="auto" w:fill="4472C4"/>
            <w:vAlign w:val="center"/>
          </w:tcPr>
          <w:p w14:paraId="2164FF71" w14:textId="77777777" w:rsidR="00990B14" w:rsidRDefault="00990B14">
            <w:pPr>
              <w:spacing w:before="20" w:after="20"/>
            </w:pPr>
          </w:p>
        </w:tc>
        <w:tc>
          <w:tcPr>
            <w:tcW w:w="5635" w:type="dxa"/>
            <w:gridSpan w:val="3"/>
            <w:shd w:val="clear" w:color="auto" w:fill="D9E2F3"/>
            <w:vAlign w:val="center"/>
          </w:tcPr>
          <w:p w14:paraId="3AA85F01" w14:textId="77777777" w:rsidR="00990B14" w:rsidRDefault="00000000">
            <w:pPr>
              <w:keepNext/>
              <w:spacing w:before="20" w:after="20"/>
              <w:jc w:val="both"/>
            </w:pPr>
            <w:r>
              <w:rPr>
                <w:b/>
                <w:bCs/>
                <w:i/>
                <w:iCs/>
                <w:sz w:val="18"/>
                <w:szCs w:val="18"/>
              </w:rPr>
              <w:t xml:space="preserve">Producto 13: </w:t>
            </w:r>
            <w:r>
              <w:rPr>
                <w:sz w:val="18"/>
                <w:szCs w:val="18"/>
              </w:rPr>
              <w:t>Informe de la balanza de pagos</w:t>
            </w:r>
          </w:p>
        </w:tc>
        <w:tc>
          <w:tcPr>
            <w:tcW w:w="2225" w:type="dxa"/>
            <w:shd w:val="clear" w:color="auto" w:fill="D9E2F3"/>
            <w:vAlign w:val="center"/>
          </w:tcPr>
          <w:p w14:paraId="685171BE" w14:textId="77777777" w:rsidR="00990B14" w:rsidRDefault="00000000">
            <w:pPr>
              <w:spacing w:before="20" w:after="20"/>
              <w:jc w:val="center"/>
            </w:pPr>
            <w:r>
              <w:rPr>
                <w:b/>
                <w:bCs/>
                <w:sz w:val="18"/>
                <w:szCs w:val="18"/>
              </w:rPr>
              <w:t>5%</w:t>
            </w:r>
          </w:p>
        </w:tc>
      </w:tr>
      <w:tr w:rsidR="00990B14" w14:paraId="302AA989" w14:textId="77777777">
        <w:trPr>
          <w:cantSplit/>
          <w:jc w:val="center"/>
        </w:trPr>
        <w:tc>
          <w:tcPr>
            <w:tcW w:w="1545" w:type="dxa"/>
            <w:vMerge/>
            <w:shd w:val="clear" w:color="auto" w:fill="4472C4"/>
            <w:vAlign w:val="center"/>
          </w:tcPr>
          <w:p w14:paraId="7567942D" w14:textId="77777777" w:rsidR="00990B14" w:rsidRDefault="00990B14">
            <w:pPr>
              <w:spacing w:before="20" w:after="20"/>
            </w:pPr>
          </w:p>
        </w:tc>
        <w:tc>
          <w:tcPr>
            <w:tcW w:w="1815" w:type="dxa"/>
            <w:shd w:val="clear" w:color="auto" w:fill="4472C4"/>
            <w:vAlign w:val="center"/>
          </w:tcPr>
          <w:p w14:paraId="21AC6C60"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6EC6533F"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497496D1" w14:textId="77777777" w:rsidR="00990B14" w:rsidRDefault="00000000">
            <w:pPr>
              <w:keepNext/>
              <w:spacing w:before="20" w:after="20"/>
              <w:jc w:val="center"/>
            </w:pPr>
            <w:r>
              <w:rPr>
                <w:b/>
                <w:bCs/>
                <w:i/>
                <w:iCs/>
                <w:color w:val="FFFFFF"/>
                <w:sz w:val="18"/>
                <w:szCs w:val="18"/>
              </w:rPr>
              <w:t>Suficiente (51–80)</w:t>
            </w:r>
          </w:p>
        </w:tc>
        <w:tc>
          <w:tcPr>
            <w:tcW w:w="2225" w:type="dxa"/>
            <w:shd w:val="clear" w:color="auto" w:fill="4472C4"/>
            <w:vAlign w:val="center"/>
          </w:tcPr>
          <w:p w14:paraId="18CA9E61" w14:textId="77777777" w:rsidR="00990B14" w:rsidRDefault="00000000">
            <w:pPr>
              <w:keepNext/>
              <w:spacing w:before="20" w:after="20"/>
              <w:jc w:val="center"/>
            </w:pPr>
            <w:r>
              <w:rPr>
                <w:b/>
                <w:bCs/>
                <w:i/>
                <w:iCs/>
                <w:color w:val="FFFFFF"/>
                <w:sz w:val="18"/>
                <w:szCs w:val="18"/>
              </w:rPr>
              <w:t>Destacado (81–100)</w:t>
            </w:r>
          </w:p>
        </w:tc>
      </w:tr>
      <w:tr w:rsidR="00990B14" w14:paraId="21AAA9EA" w14:textId="77777777">
        <w:trPr>
          <w:cantSplit/>
          <w:jc w:val="center"/>
        </w:trPr>
        <w:tc>
          <w:tcPr>
            <w:tcW w:w="1545" w:type="dxa"/>
            <w:vMerge/>
            <w:shd w:val="clear" w:color="auto" w:fill="4472C4"/>
            <w:vAlign w:val="center"/>
          </w:tcPr>
          <w:p w14:paraId="6FB6AC62" w14:textId="77777777" w:rsidR="00990B14" w:rsidRDefault="00990B14">
            <w:pPr>
              <w:spacing w:before="20" w:after="20"/>
            </w:pPr>
          </w:p>
        </w:tc>
        <w:tc>
          <w:tcPr>
            <w:tcW w:w="1815" w:type="dxa"/>
            <w:shd w:val="clear" w:color="auto" w:fill="D9E2F3"/>
            <w:vAlign w:val="center"/>
          </w:tcPr>
          <w:p w14:paraId="4E000D9B" w14:textId="77777777" w:rsidR="00990B14" w:rsidRDefault="00000000">
            <w:pPr>
              <w:spacing w:before="20" w:after="20"/>
              <w:jc w:val="both"/>
            </w:pPr>
            <w:r>
              <w:rPr>
                <w:sz w:val="18"/>
                <w:szCs w:val="18"/>
              </w:rPr>
              <w:t>Registro en partida doble</w:t>
            </w:r>
          </w:p>
        </w:tc>
        <w:tc>
          <w:tcPr>
            <w:tcW w:w="1910" w:type="dxa"/>
            <w:shd w:val="clear" w:color="auto" w:fill="D9E2F3"/>
            <w:vAlign w:val="center"/>
          </w:tcPr>
          <w:p w14:paraId="7316E3A0" w14:textId="77777777" w:rsidR="00990B14" w:rsidRDefault="00000000">
            <w:pPr>
              <w:spacing w:before="20" w:after="20"/>
              <w:jc w:val="both"/>
            </w:pPr>
            <w:r>
              <w:rPr>
                <w:sz w:val="18"/>
                <w:szCs w:val="18"/>
              </w:rPr>
              <w:t>Registra mal las operaciones.</w:t>
            </w:r>
          </w:p>
        </w:tc>
        <w:tc>
          <w:tcPr>
            <w:tcW w:w="1910" w:type="dxa"/>
            <w:shd w:val="clear" w:color="auto" w:fill="D9E2F3"/>
            <w:vAlign w:val="center"/>
          </w:tcPr>
          <w:p w14:paraId="502755AE" w14:textId="77777777" w:rsidR="00990B14" w:rsidRDefault="00000000">
            <w:pPr>
              <w:spacing w:before="20" w:after="20"/>
              <w:jc w:val="both"/>
            </w:pPr>
            <w:r>
              <w:rPr>
                <w:sz w:val="18"/>
                <w:szCs w:val="18"/>
              </w:rPr>
              <w:t>Registra las operaciones en partida doble.</w:t>
            </w:r>
          </w:p>
        </w:tc>
        <w:tc>
          <w:tcPr>
            <w:tcW w:w="2225" w:type="dxa"/>
            <w:shd w:val="clear" w:color="auto" w:fill="D9E2F3"/>
            <w:vAlign w:val="center"/>
          </w:tcPr>
          <w:p w14:paraId="100EC510" w14:textId="77777777" w:rsidR="00990B14" w:rsidRDefault="00000000">
            <w:pPr>
              <w:spacing w:before="20" w:after="20"/>
              <w:jc w:val="both"/>
            </w:pPr>
            <w:r>
              <w:rPr>
                <w:sz w:val="18"/>
                <w:szCs w:val="18"/>
              </w:rPr>
              <w:t>Explica el efecto de cada operación en las reservas.</w:t>
            </w:r>
          </w:p>
        </w:tc>
      </w:tr>
      <w:tr w:rsidR="00990B14" w14:paraId="28E408B4" w14:textId="77777777">
        <w:trPr>
          <w:cantSplit/>
          <w:jc w:val="center"/>
        </w:trPr>
        <w:tc>
          <w:tcPr>
            <w:tcW w:w="1545" w:type="dxa"/>
            <w:vMerge/>
            <w:shd w:val="clear" w:color="auto" w:fill="4472C4"/>
            <w:vAlign w:val="center"/>
          </w:tcPr>
          <w:p w14:paraId="2B454B34" w14:textId="77777777" w:rsidR="00990B14" w:rsidRDefault="00990B14">
            <w:pPr>
              <w:spacing w:before="20" w:after="20"/>
            </w:pPr>
          </w:p>
        </w:tc>
        <w:tc>
          <w:tcPr>
            <w:tcW w:w="1815" w:type="dxa"/>
            <w:shd w:val="clear" w:color="auto" w:fill="D9E2F3"/>
            <w:vAlign w:val="center"/>
          </w:tcPr>
          <w:p w14:paraId="1C62D186" w14:textId="77777777" w:rsidR="00990B14" w:rsidRDefault="00000000">
            <w:pPr>
              <w:spacing w:before="20" w:after="20"/>
              <w:jc w:val="both"/>
            </w:pPr>
            <w:r>
              <w:rPr>
                <w:sz w:val="18"/>
                <w:szCs w:val="18"/>
              </w:rPr>
              <w:t>Componentes</w:t>
            </w:r>
          </w:p>
        </w:tc>
        <w:tc>
          <w:tcPr>
            <w:tcW w:w="1910" w:type="dxa"/>
            <w:shd w:val="clear" w:color="auto" w:fill="D9E2F3"/>
            <w:vAlign w:val="center"/>
          </w:tcPr>
          <w:p w14:paraId="160CCE09" w14:textId="77777777" w:rsidR="00990B14" w:rsidRDefault="00000000">
            <w:pPr>
              <w:spacing w:before="20" w:after="20"/>
              <w:jc w:val="both"/>
            </w:pPr>
            <w:r>
              <w:rPr>
                <w:sz w:val="18"/>
                <w:szCs w:val="18"/>
              </w:rPr>
              <w:t>Omite cuentas de la balanza.</w:t>
            </w:r>
          </w:p>
        </w:tc>
        <w:tc>
          <w:tcPr>
            <w:tcW w:w="1910" w:type="dxa"/>
            <w:shd w:val="clear" w:color="auto" w:fill="D9E2F3"/>
            <w:vAlign w:val="center"/>
          </w:tcPr>
          <w:p w14:paraId="0448E645" w14:textId="77777777" w:rsidR="00990B14" w:rsidRDefault="00000000">
            <w:pPr>
              <w:spacing w:before="20" w:after="20"/>
              <w:jc w:val="both"/>
            </w:pPr>
            <w:r>
              <w:rPr>
                <w:sz w:val="18"/>
                <w:szCs w:val="18"/>
              </w:rPr>
              <w:t>Interpreta la cuenta corriente y la cuenta financiera.</w:t>
            </w:r>
          </w:p>
        </w:tc>
        <w:tc>
          <w:tcPr>
            <w:tcW w:w="2225" w:type="dxa"/>
            <w:shd w:val="clear" w:color="auto" w:fill="D9E2F3"/>
            <w:vAlign w:val="center"/>
          </w:tcPr>
          <w:p w14:paraId="7BB6A4FA" w14:textId="77777777" w:rsidR="00990B14" w:rsidRDefault="00000000">
            <w:pPr>
              <w:spacing w:before="20" w:after="20"/>
              <w:jc w:val="both"/>
            </w:pPr>
            <w:r>
              <w:rPr>
                <w:sz w:val="18"/>
                <w:szCs w:val="18"/>
              </w:rPr>
              <w:t>Relaciona los saldos con la política cambiaria.</w:t>
            </w:r>
          </w:p>
        </w:tc>
      </w:tr>
      <w:tr w:rsidR="00990B14" w14:paraId="0DA7B70C" w14:textId="77777777">
        <w:trPr>
          <w:cantSplit/>
          <w:jc w:val="center"/>
        </w:trPr>
        <w:tc>
          <w:tcPr>
            <w:tcW w:w="1545" w:type="dxa"/>
            <w:vMerge/>
            <w:shd w:val="clear" w:color="auto" w:fill="4472C4"/>
            <w:vAlign w:val="center"/>
          </w:tcPr>
          <w:p w14:paraId="4F2E9ADC" w14:textId="77777777" w:rsidR="00990B14" w:rsidRDefault="00990B14">
            <w:pPr>
              <w:spacing w:before="20" w:after="20"/>
            </w:pPr>
          </w:p>
        </w:tc>
        <w:tc>
          <w:tcPr>
            <w:tcW w:w="1815" w:type="dxa"/>
            <w:shd w:val="clear" w:color="auto" w:fill="D9E2F3"/>
            <w:vAlign w:val="center"/>
          </w:tcPr>
          <w:p w14:paraId="49F7CFF9" w14:textId="77777777" w:rsidR="00990B14" w:rsidRDefault="00000000">
            <w:pPr>
              <w:spacing w:before="20" w:after="20"/>
              <w:jc w:val="both"/>
            </w:pPr>
            <w:r>
              <w:rPr>
                <w:sz w:val="18"/>
                <w:szCs w:val="18"/>
              </w:rPr>
              <w:t>Fuente oficial</w:t>
            </w:r>
          </w:p>
        </w:tc>
        <w:tc>
          <w:tcPr>
            <w:tcW w:w="1910" w:type="dxa"/>
            <w:shd w:val="clear" w:color="auto" w:fill="D9E2F3"/>
            <w:vAlign w:val="center"/>
          </w:tcPr>
          <w:p w14:paraId="42F26C6F" w14:textId="77777777" w:rsidR="00990B14" w:rsidRDefault="00000000">
            <w:pPr>
              <w:spacing w:before="20" w:after="20"/>
              <w:jc w:val="both"/>
            </w:pPr>
            <w:r>
              <w:rPr>
                <w:sz w:val="18"/>
                <w:szCs w:val="18"/>
              </w:rPr>
              <w:t>No cita la fuente.</w:t>
            </w:r>
          </w:p>
        </w:tc>
        <w:tc>
          <w:tcPr>
            <w:tcW w:w="1910" w:type="dxa"/>
            <w:shd w:val="clear" w:color="auto" w:fill="D9E2F3"/>
            <w:vAlign w:val="center"/>
          </w:tcPr>
          <w:p w14:paraId="6936A428" w14:textId="77777777" w:rsidR="00990B14" w:rsidRDefault="00000000">
            <w:pPr>
              <w:spacing w:before="20" w:after="20"/>
              <w:jc w:val="both"/>
            </w:pPr>
            <w:r>
              <w:rPr>
                <w:sz w:val="18"/>
                <w:szCs w:val="18"/>
              </w:rPr>
              <w:t>Usa datos del Banco Central de Bolivia.</w:t>
            </w:r>
          </w:p>
        </w:tc>
        <w:tc>
          <w:tcPr>
            <w:tcW w:w="2225" w:type="dxa"/>
            <w:shd w:val="clear" w:color="auto" w:fill="D9E2F3"/>
            <w:vAlign w:val="center"/>
          </w:tcPr>
          <w:p w14:paraId="70447775" w14:textId="77777777" w:rsidR="00990B14" w:rsidRDefault="00000000">
            <w:pPr>
              <w:spacing w:before="20" w:after="20"/>
              <w:jc w:val="both"/>
            </w:pPr>
            <w:r>
              <w:rPr>
                <w:sz w:val="18"/>
                <w:szCs w:val="18"/>
              </w:rPr>
              <w:t>Compara dos gestiones y explica las diferencias.</w:t>
            </w:r>
          </w:p>
        </w:tc>
      </w:tr>
      <w:tr w:rsidR="00990B14" w14:paraId="35991B41" w14:textId="77777777">
        <w:trPr>
          <w:cantSplit/>
          <w:jc w:val="center"/>
        </w:trPr>
        <w:tc>
          <w:tcPr>
            <w:tcW w:w="1545" w:type="dxa"/>
            <w:vMerge/>
            <w:shd w:val="clear" w:color="auto" w:fill="4472C4"/>
            <w:vAlign w:val="center"/>
          </w:tcPr>
          <w:p w14:paraId="7625FE6E" w14:textId="77777777" w:rsidR="00990B14" w:rsidRDefault="00990B14">
            <w:pPr>
              <w:spacing w:before="20" w:after="20"/>
            </w:pPr>
          </w:p>
        </w:tc>
        <w:tc>
          <w:tcPr>
            <w:tcW w:w="5635" w:type="dxa"/>
            <w:gridSpan w:val="3"/>
            <w:shd w:val="clear" w:color="auto" w:fill="D9E2F3"/>
            <w:vAlign w:val="center"/>
          </w:tcPr>
          <w:p w14:paraId="2A9EAF35" w14:textId="77777777" w:rsidR="00990B14" w:rsidRDefault="00000000">
            <w:pPr>
              <w:keepNext/>
              <w:spacing w:before="20" w:after="20"/>
              <w:jc w:val="both"/>
            </w:pPr>
            <w:r>
              <w:rPr>
                <w:b/>
                <w:bCs/>
                <w:i/>
                <w:iCs/>
                <w:sz w:val="18"/>
                <w:szCs w:val="18"/>
              </w:rPr>
              <w:t xml:space="preserve">Producto 14: </w:t>
            </w:r>
            <w:r>
              <w:rPr>
                <w:sz w:val="18"/>
                <w:szCs w:val="18"/>
              </w:rPr>
              <w:t>Cuadro de equilibrio abierto</w:t>
            </w:r>
          </w:p>
        </w:tc>
        <w:tc>
          <w:tcPr>
            <w:tcW w:w="2225" w:type="dxa"/>
            <w:shd w:val="clear" w:color="auto" w:fill="D9E2F3"/>
            <w:vAlign w:val="center"/>
          </w:tcPr>
          <w:p w14:paraId="24B457CD" w14:textId="77777777" w:rsidR="00990B14" w:rsidRDefault="00000000">
            <w:pPr>
              <w:spacing w:before="20" w:after="20"/>
              <w:jc w:val="center"/>
            </w:pPr>
            <w:r>
              <w:rPr>
                <w:b/>
                <w:bCs/>
                <w:sz w:val="18"/>
                <w:szCs w:val="18"/>
              </w:rPr>
              <w:t>5%</w:t>
            </w:r>
          </w:p>
        </w:tc>
      </w:tr>
      <w:tr w:rsidR="00990B14" w14:paraId="48A08FD5" w14:textId="77777777">
        <w:trPr>
          <w:cantSplit/>
          <w:jc w:val="center"/>
        </w:trPr>
        <w:tc>
          <w:tcPr>
            <w:tcW w:w="1545" w:type="dxa"/>
            <w:vMerge/>
            <w:shd w:val="clear" w:color="auto" w:fill="4472C4"/>
            <w:vAlign w:val="center"/>
          </w:tcPr>
          <w:p w14:paraId="4DB766E7" w14:textId="77777777" w:rsidR="00990B14" w:rsidRDefault="00990B14">
            <w:pPr>
              <w:spacing w:before="20" w:after="20"/>
            </w:pPr>
          </w:p>
        </w:tc>
        <w:tc>
          <w:tcPr>
            <w:tcW w:w="1815" w:type="dxa"/>
            <w:shd w:val="clear" w:color="auto" w:fill="4472C4"/>
            <w:vAlign w:val="center"/>
          </w:tcPr>
          <w:p w14:paraId="0FF3810A"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0BAA1D4D"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1832BD16" w14:textId="77777777" w:rsidR="00990B14" w:rsidRDefault="00000000">
            <w:pPr>
              <w:keepNext/>
              <w:spacing w:before="20" w:after="20"/>
              <w:jc w:val="center"/>
            </w:pPr>
            <w:r>
              <w:rPr>
                <w:b/>
                <w:bCs/>
                <w:i/>
                <w:iCs/>
                <w:color w:val="FFFFFF"/>
                <w:sz w:val="18"/>
                <w:szCs w:val="18"/>
              </w:rPr>
              <w:t>Suficiente (51–80)</w:t>
            </w:r>
          </w:p>
        </w:tc>
        <w:tc>
          <w:tcPr>
            <w:tcW w:w="2225" w:type="dxa"/>
            <w:shd w:val="clear" w:color="auto" w:fill="4472C4"/>
            <w:vAlign w:val="center"/>
          </w:tcPr>
          <w:p w14:paraId="6D8CAB9D" w14:textId="77777777" w:rsidR="00990B14" w:rsidRDefault="00000000">
            <w:pPr>
              <w:keepNext/>
              <w:spacing w:before="20" w:after="20"/>
              <w:jc w:val="center"/>
            </w:pPr>
            <w:r>
              <w:rPr>
                <w:b/>
                <w:bCs/>
                <w:i/>
                <w:iCs/>
                <w:color w:val="FFFFFF"/>
                <w:sz w:val="18"/>
                <w:szCs w:val="18"/>
              </w:rPr>
              <w:t>Destacado (81–100)</w:t>
            </w:r>
          </w:p>
        </w:tc>
      </w:tr>
      <w:tr w:rsidR="00990B14" w14:paraId="03096619" w14:textId="77777777">
        <w:trPr>
          <w:cantSplit/>
          <w:jc w:val="center"/>
        </w:trPr>
        <w:tc>
          <w:tcPr>
            <w:tcW w:w="1545" w:type="dxa"/>
            <w:vMerge/>
            <w:shd w:val="clear" w:color="auto" w:fill="4472C4"/>
            <w:vAlign w:val="center"/>
          </w:tcPr>
          <w:p w14:paraId="52BACA80" w14:textId="77777777" w:rsidR="00990B14" w:rsidRDefault="00990B14">
            <w:pPr>
              <w:spacing w:before="20" w:after="20"/>
            </w:pPr>
          </w:p>
        </w:tc>
        <w:tc>
          <w:tcPr>
            <w:tcW w:w="1815" w:type="dxa"/>
            <w:shd w:val="clear" w:color="auto" w:fill="D9E2F3"/>
            <w:vAlign w:val="center"/>
          </w:tcPr>
          <w:p w14:paraId="62F76E75" w14:textId="77777777" w:rsidR="00990B14" w:rsidRDefault="00000000">
            <w:pPr>
              <w:spacing w:before="20" w:after="20"/>
              <w:jc w:val="both"/>
            </w:pPr>
            <w:r>
              <w:rPr>
                <w:sz w:val="18"/>
                <w:szCs w:val="18"/>
              </w:rPr>
              <w:t>Subsistemas</w:t>
            </w:r>
          </w:p>
        </w:tc>
        <w:tc>
          <w:tcPr>
            <w:tcW w:w="1910" w:type="dxa"/>
            <w:shd w:val="clear" w:color="auto" w:fill="D9E2F3"/>
            <w:vAlign w:val="center"/>
          </w:tcPr>
          <w:p w14:paraId="4955762A" w14:textId="77777777" w:rsidR="00990B14" w:rsidRDefault="00000000">
            <w:pPr>
              <w:spacing w:before="20" w:after="20"/>
              <w:jc w:val="both"/>
            </w:pPr>
            <w:r>
              <w:rPr>
                <w:sz w:val="18"/>
                <w:szCs w:val="18"/>
              </w:rPr>
              <w:t>Omite algún subsistema.</w:t>
            </w:r>
          </w:p>
        </w:tc>
        <w:tc>
          <w:tcPr>
            <w:tcW w:w="1910" w:type="dxa"/>
            <w:shd w:val="clear" w:color="auto" w:fill="D9E2F3"/>
            <w:vAlign w:val="center"/>
          </w:tcPr>
          <w:p w14:paraId="6EA3062B" w14:textId="77777777" w:rsidR="00990B14" w:rsidRDefault="00000000">
            <w:pPr>
              <w:spacing w:before="20" w:after="20"/>
              <w:jc w:val="both"/>
            </w:pPr>
            <w:r>
              <w:rPr>
                <w:sz w:val="18"/>
                <w:szCs w:val="18"/>
              </w:rPr>
              <w:t>Plantea los subsistemas privado, público y externo.</w:t>
            </w:r>
          </w:p>
        </w:tc>
        <w:tc>
          <w:tcPr>
            <w:tcW w:w="2225" w:type="dxa"/>
            <w:shd w:val="clear" w:color="auto" w:fill="D9E2F3"/>
            <w:vAlign w:val="center"/>
          </w:tcPr>
          <w:p w14:paraId="7F308273" w14:textId="77777777" w:rsidR="00990B14" w:rsidRDefault="00000000">
            <w:pPr>
              <w:spacing w:before="20" w:after="20"/>
              <w:jc w:val="both"/>
            </w:pPr>
            <w:r>
              <w:rPr>
                <w:sz w:val="18"/>
                <w:szCs w:val="18"/>
              </w:rPr>
              <w:t>Explica la compensación entre los desequilibrios.</w:t>
            </w:r>
          </w:p>
        </w:tc>
      </w:tr>
      <w:tr w:rsidR="00990B14" w14:paraId="46C0AE0A" w14:textId="77777777">
        <w:trPr>
          <w:cantSplit/>
          <w:jc w:val="center"/>
        </w:trPr>
        <w:tc>
          <w:tcPr>
            <w:tcW w:w="1545" w:type="dxa"/>
            <w:vMerge/>
            <w:shd w:val="clear" w:color="auto" w:fill="4472C4"/>
            <w:vAlign w:val="center"/>
          </w:tcPr>
          <w:p w14:paraId="1A9E8B5A" w14:textId="77777777" w:rsidR="00990B14" w:rsidRDefault="00990B14">
            <w:pPr>
              <w:spacing w:before="20" w:after="20"/>
            </w:pPr>
          </w:p>
        </w:tc>
        <w:tc>
          <w:tcPr>
            <w:tcW w:w="1815" w:type="dxa"/>
            <w:shd w:val="clear" w:color="auto" w:fill="D9E2F3"/>
            <w:vAlign w:val="center"/>
          </w:tcPr>
          <w:p w14:paraId="4F54AD00" w14:textId="77777777" w:rsidR="00990B14" w:rsidRDefault="00000000">
            <w:pPr>
              <w:spacing w:before="20" w:after="20"/>
              <w:jc w:val="both"/>
            </w:pPr>
            <w:r>
              <w:rPr>
                <w:sz w:val="18"/>
                <w:szCs w:val="18"/>
              </w:rPr>
              <w:t>Causas del desequilibrio</w:t>
            </w:r>
          </w:p>
        </w:tc>
        <w:tc>
          <w:tcPr>
            <w:tcW w:w="1910" w:type="dxa"/>
            <w:shd w:val="clear" w:color="auto" w:fill="D9E2F3"/>
            <w:vAlign w:val="center"/>
          </w:tcPr>
          <w:p w14:paraId="7E7DB768" w14:textId="77777777" w:rsidR="00990B14" w:rsidRDefault="00000000">
            <w:pPr>
              <w:spacing w:before="20" w:after="20"/>
              <w:jc w:val="both"/>
            </w:pPr>
            <w:r>
              <w:rPr>
                <w:sz w:val="18"/>
                <w:szCs w:val="18"/>
              </w:rPr>
              <w:t>No identifica las causas.</w:t>
            </w:r>
          </w:p>
        </w:tc>
        <w:tc>
          <w:tcPr>
            <w:tcW w:w="1910" w:type="dxa"/>
            <w:shd w:val="clear" w:color="auto" w:fill="D9E2F3"/>
            <w:vAlign w:val="center"/>
          </w:tcPr>
          <w:p w14:paraId="37F20BE4" w14:textId="77777777" w:rsidR="00990B14" w:rsidRDefault="00000000">
            <w:pPr>
              <w:spacing w:before="20" w:after="20"/>
              <w:jc w:val="both"/>
            </w:pPr>
            <w:r>
              <w:rPr>
                <w:sz w:val="18"/>
                <w:szCs w:val="18"/>
              </w:rPr>
              <w:t>Determina las causas del déficit o del excedente.</w:t>
            </w:r>
          </w:p>
        </w:tc>
        <w:tc>
          <w:tcPr>
            <w:tcW w:w="2225" w:type="dxa"/>
            <w:shd w:val="clear" w:color="auto" w:fill="D9E2F3"/>
            <w:vAlign w:val="center"/>
          </w:tcPr>
          <w:p w14:paraId="5BBEEE16" w14:textId="77777777" w:rsidR="00990B14" w:rsidRDefault="00000000">
            <w:pPr>
              <w:spacing w:before="20" w:after="20"/>
              <w:jc w:val="both"/>
            </w:pPr>
            <w:r>
              <w:rPr>
                <w:sz w:val="18"/>
                <w:szCs w:val="18"/>
              </w:rPr>
              <w:t>Propone instrumentos de política para corregirlo.</w:t>
            </w:r>
          </w:p>
        </w:tc>
      </w:tr>
      <w:tr w:rsidR="00990B14" w14:paraId="199AB595" w14:textId="77777777">
        <w:trPr>
          <w:cantSplit/>
          <w:jc w:val="center"/>
        </w:trPr>
        <w:tc>
          <w:tcPr>
            <w:tcW w:w="1545" w:type="dxa"/>
            <w:vMerge/>
            <w:shd w:val="clear" w:color="auto" w:fill="4472C4"/>
            <w:vAlign w:val="center"/>
          </w:tcPr>
          <w:p w14:paraId="68E18C9F" w14:textId="77777777" w:rsidR="00990B14" w:rsidRDefault="00990B14">
            <w:pPr>
              <w:spacing w:before="20" w:after="20"/>
            </w:pPr>
          </w:p>
        </w:tc>
        <w:tc>
          <w:tcPr>
            <w:tcW w:w="1815" w:type="dxa"/>
            <w:shd w:val="clear" w:color="auto" w:fill="D9E2F3"/>
            <w:vAlign w:val="center"/>
          </w:tcPr>
          <w:p w14:paraId="2FDCAB8B" w14:textId="77777777" w:rsidR="00990B14" w:rsidRDefault="00000000">
            <w:pPr>
              <w:spacing w:before="20" w:after="20"/>
              <w:jc w:val="both"/>
            </w:pPr>
            <w:r>
              <w:rPr>
                <w:sz w:val="18"/>
                <w:szCs w:val="18"/>
              </w:rPr>
              <w:t>Efecto en el empleo</w:t>
            </w:r>
          </w:p>
        </w:tc>
        <w:tc>
          <w:tcPr>
            <w:tcW w:w="1910" w:type="dxa"/>
            <w:shd w:val="clear" w:color="auto" w:fill="D9E2F3"/>
            <w:vAlign w:val="center"/>
          </w:tcPr>
          <w:p w14:paraId="3FADD008" w14:textId="77777777" w:rsidR="00990B14" w:rsidRDefault="00000000">
            <w:pPr>
              <w:spacing w:before="20" w:after="20"/>
              <w:jc w:val="both"/>
            </w:pPr>
            <w:r>
              <w:rPr>
                <w:sz w:val="18"/>
                <w:szCs w:val="18"/>
              </w:rPr>
              <w:t>No relaciona el caso con el empleo.</w:t>
            </w:r>
          </w:p>
        </w:tc>
        <w:tc>
          <w:tcPr>
            <w:tcW w:w="1910" w:type="dxa"/>
            <w:shd w:val="clear" w:color="auto" w:fill="D9E2F3"/>
            <w:vAlign w:val="center"/>
          </w:tcPr>
          <w:p w14:paraId="0A12A943" w14:textId="77777777" w:rsidR="00990B14" w:rsidRDefault="00000000">
            <w:pPr>
              <w:spacing w:before="20" w:after="20"/>
              <w:jc w:val="both"/>
            </w:pPr>
            <w:r>
              <w:rPr>
                <w:sz w:val="18"/>
                <w:szCs w:val="18"/>
              </w:rPr>
              <w:t>Describe el efecto sobre la actividad y el empleo.</w:t>
            </w:r>
          </w:p>
        </w:tc>
        <w:tc>
          <w:tcPr>
            <w:tcW w:w="2225" w:type="dxa"/>
            <w:shd w:val="clear" w:color="auto" w:fill="D9E2F3"/>
            <w:vAlign w:val="center"/>
          </w:tcPr>
          <w:p w14:paraId="08F42777" w14:textId="77777777" w:rsidR="00990B14" w:rsidRDefault="00000000">
            <w:pPr>
              <w:spacing w:before="20" w:after="20"/>
              <w:jc w:val="both"/>
            </w:pPr>
            <w:r>
              <w:rPr>
                <w:sz w:val="18"/>
                <w:szCs w:val="18"/>
              </w:rPr>
              <w:t>Cuantifica el efecto con el multiplicador.</w:t>
            </w:r>
          </w:p>
        </w:tc>
      </w:tr>
      <w:tr w:rsidR="00990B14" w14:paraId="34C3E0B1" w14:textId="77777777">
        <w:trPr>
          <w:cantSplit/>
          <w:jc w:val="center"/>
        </w:trPr>
        <w:tc>
          <w:tcPr>
            <w:tcW w:w="1545" w:type="dxa"/>
            <w:vMerge/>
            <w:shd w:val="clear" w:color="auto" w:fill="4472C4"/>
            <w:vAlign w:val="center"/>
          </w:tcPr>
          <w:p w14:paraId="5F34D531" w14:textId="77777777" w:rsidR="00990B14" w:rsidRDefault="00990B14">
            <w:pPr>
              <w:spacing w:before="20" w:after="20"/>
            </w:pPr>
          </w:p>
        </w:tc>
        <w:tc>
          <w:tcPr>
            <w:tcW w:w="5635" w:type="dxa"/>
            <w:gridSpan w:val="3"/>
            <w:shd w:val="clear" w:color="auto" w:fill="D9E2F3"/>
            <w:vAlign w:val="center"/>
          </w:tcPr>
          <w:p w14:paraId="08E39E42" w14:textId="77777777" w:rsidR="00990B14" w:rsidRDefault="00000000">
            <w:pPr>
              <w:keepNext/>
              <w:spacing w:before="20" w:after="20"/>
              <w:jc w:val="both"/>
            </w:pPr>
            <w:r>
              <w:rPr>
                <w:b/>
                <w:bCs/>
                <w:i/>
                <w:iCs/>
                <w:sz w:val="18"/>
                <w:szCs w:val="18"/>
              </w:rPr>
              <w:t xml:space="preserve">Producto 15: </w:t>
            </w:r>
            <w:r>
              <w:rPr>
                <w:sz w:val="18"/>
                <w:szCs w:val="18"/>
              </w:rPr>
              <w:t>Práctico del multiplicador</w:t>
            </w:r>
          </w:p>
        </w:tc>
        <w:tc>
          <w:tcPr>
            <w:tcW w:w="2225" w:type="dxa"/>
            <w:shd w:val="clear" w:color="auto" w:fill="D9E2F3"/>
            <w:vAlign w:val="center"/>
          </w:tcPr>
          <w:p w14:paraId="1F3AFB35" w14:textId="77777777" w:rsidR="00990B14" w:rsidRDefault="00000000">
            <w:pPr>
              <w:spacing w:before="20" w:after="20"/>
              <w:jc w:val="center"/>
            </w:pPr>
            <w:r>
              <w:rPr>
                <w:b/>
                <w:bCs/>
                <w:sz w:val="18"/>
                <w:szCs w:val="18"/>
              </w:rPr>
              <w:t>5%</w:t>
            </w:r>
          </w:p>
        </w:tc>
      </w:tr>
      <w:tr w:rsidR="00990B14" w14:paraId="0E6DEA1F" w14:textId="77777777">
        <w:trPr>
          <w:cantSplit/>
          <w:jc w:val="center"/>
        </w:trPr>
        <w:tc>
          <w:tcPr>
            <w:tcW w:w="1545" w:type="dxa"/>
            <w:vMerge/>
            <w:shd w:val="clear" w:color="auto" w:fill="4472C4"/>
            <w:vAlign w:val="center"/>
          </w:tcPr>
          <w:p w14:paraId="598FC83B" w14:textId="77777777" w:rsidR="00990B14" w:rsidRDefault="00990B14">
            <w:pPr>
              <w:spacing w:before="20" w:after="20"/>
            </w:pPr>
          </w:p>
        </w:tc>
        <w:tc>
          <w:tcPr>
            <w:tcW w:w="1815" w:type="dxa"/>
            <w:shd w:val="clear" w:color="auto" w:fill="4472C4"/>
            <w:vAlign w:val="center"/>
          </w:tcPr>
          <w:p w14:paraId="7C0168C8"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5D1DA954"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55F5F247" w14:textId="77777777" w:rsidR="00990B14" w:rsidRDefault="00000000">
            <w:pPr>
              <w:keepNext/>
              <w:spacing w:before="20" w:after="20"/>
              <w:jc w:val="center"/>
            </w:pPr>
            <w:r>
              <w:rPr>
                <w:b/>
                <w:bCs/>
                <w:i/>
                <w:iCs/>
                <w:color w:val="FFFFFF"/>
                <w:sz w:val="18"/>
                <w:szCs w:val="18"/>
              </w:rPr>
              <w:t>Suficiente (51–80)</w:t>
            </w:r>
          </w:p>
        </w:tc>
        <w:tc>
          <w:tcPr>
            <w:tcW w:w="2225" w:type="dxa"/>
            <w:shd w:val="clear" w:color="auto" w:fill="4472C4"/>
            <w:vAlign w:val="center"/>
          </w:tcPr>
          <w:p w14:paraId="575C63CF" w14:textId="77777777" w:rsidR="00990B14" w:rsidRDefault="00000000">
            <w:pPr>
              <w:keepNext/>
              <w:spacing w:before="20" w:after="20"/>
              <w:jc w:val="center"/>
            </w:pPr>
            <w:r>
              <w:rPr>
                <w:b/>
                <w:bCs/>
                <w:i/>
                <w:iCs/>
                <w:color w:val="FFFFFF"/>
                <w:sz w:val="18"/>
                <w:szCs w:val="18"/>
              </w:rPr>
              <w:t>Destacado (81–100)</w:t>
            </w:r>
          </w:p>
        </w:tc>
      </w:tr>
      <w:tr w:rsidR="00990B14" w14:paraId="5760389E" w14:textId="77777777">
        <w:trPr>
          <w:cantSplit/>
          <w:jc w:val="center"/>
        </w:trPr>
        <w:tc>
          <w:tcPr>
            <w:tcW w:w="1545" w:type="dxa"/>
            <w:vMerge/>
            <w:shd w:val="clear" w:color="auto" w:fill="4472C4"/>
            <w:vAlign w:val="center"/>
          </w:tcPr>
          <w:p w14:paraId="29BB6CA6" w14:textId="77777777" w:rsidR="00990B14" w:rsidRDefault="00990B14">
            <w:pPr>
              <w:spacing w:before="20" w:after="20"/>
            </w:pPr>
          </w:p>
        </w:tc>
        <w:tc>
          <w:tcPr>
            <w:tcW w:w="1815" w:type="dxa"/>
            <w:shd w:val="clear" w:color="auto" w:fill="D9E2F3"/>
            <w:vAlign w:val="center"/>
          </w:tcPr>
          <w:p w14:paraId="1643D76D" w14:textId="77777777" w:rsidR="00990B14" w:rsidRDefault="00000000">
            <w:pPr>
              <w:spacing w:before="20" w:after="20"/>
              <w:jc w:val="both"/>
            </w:pPr>
            <w:r>
              <w:rPr>
                <w:sz w:val="18"/>
                <w:szCs w:val="18"/>
              </w:rPr>
              <w:t>Gastos autónomos</w:t>
            </w:r>
          </w:p>
        </w:tc>
        <w:tc>
          <w:tcPr>
            <w:tcW w:w="1910" w:type="dxa"/>
            <w:shd w:val="clear" w:color="auto" w:fill="D9E2F3"/>
            <w:vAlign w:val="center"/>
          </w:tcPr>
          <w:p w14:paraId="43AC3023" w14:textId="77777777" w:rsidR="00990B14" w:rsidRDefault="00000000">
            <w:pPr>
              <w:spacing w:before="20" w:after="20"/>
              <w:jc w:val="both"/>
            </w:pPr>
            <w:r>
              <w:rPr>
                <w:sz w:val="18"/>
                <w:szCs w:val="18"/>
              </w:rPr>
              <w:t>No identifica los gastos autónomos.</w:t>
            </w:r>
          </w:p>
        </w:tc>
        <w:tc>
          <w:tcPr>
            <w:tcW w:w="1910" w:type="dxa"/>
            <w:shd w:val="clear" w:color="auto" w:fill="D9E2F3"/>
            <w:vAlign w:val="center"/>
          </w:tcPr>
          <w:p w14:paraId="3FBF89C1" w14:textId="77777777" w:rsidR="00990B14" w:rsidRDefault="00000000">
            <w:pPr>
              <w:spacing w:before="20" w:after="20"/>
              <w:jc w:val="both"/>
            </w:pPr>
            <w:r>
              <w:rPr>
                <w:sz w:val="18"/>
                <w:szCs w:val="18"/>
              </w:rPr>
              <w:t>Identifica los gastos autónomos de consumo e inversión.</w:t>
            </w:r>
          </w:p>
        </w:tc>
        <w:tc>
          <w:tcPr>
            <w:tcW w:w="2225" w:type="dxa"/>
            <w:shd w:val="clear" w:color="auto" w:fill="D9E2F3"/>
            <w:vAlign w:val="center"/>
          </w:tcPr>
          <w:p w14:paraId="32147F31" w14:textId="77777777" w:rsidR="00990B14" w:rsidRDefault="00000000">
            <w:pPr>
              <w:spacing w:before="20" w:after="20"/>
              <w:jc w:val="both"/>
            </w:pPr>
            <w:r>
              <w:rPr>
                <w:sz w:val="18"/>
                <w:szCs w:val="18"/>
              </w:rPr>
              <w:t>Explica su efecto sobre la demanda agregada.</w:t>
            </w:r>
          </w:p>
        </w:tc>
      </w:tr>
      <w:tr w:rsidR="00990B14" w14:paraId="51E6B25D" w14:textId="77777777">
        <w:trPr>
          <w:cantSplit/>
          <w:jc w:val="center"/>
        </w:trPr>
        <w:tc>
          <w:tcPr>
            <w:tcW w:w="1545" w:type="dxa"/>
            <w:vMerge/>
            <w:shd w:val="clear" w:color="auto" w:fill="4472C4"/>
            <w:vAlign w:val="center"/>
          </w:tcPr>
          <w:p w14:paraId="2168D99F" w14:textId="77777777" w:rsidR="00990B14" w:rsidRDefault="00990B14">
            <w:pPr>
              <w:spacing w:before="20" w:after="20"/>
            </w:pPr>
          </w:p>
        </w:tc>
        <w:tc>
          <w:tcPr>
            <w:tcW w:w="1815" w:type="dxa"/>
            <w:shd w:val="clear" w:color="auto" w:fill="D9E2F3"/>
            <w:vAlign w:val="center"/>
          </w:tcPr>
          <w:p w14:paraId="4E716288" w14:textId="77777777" w:rsidR="00990B14" w:rsidRDefault="00000000">
            <w:pPr>
              <w:spacing w:before="20" w:after="20"/>
              <w:jc w:val="both"/>
            </w:pPr>
            <w:r>
              <w:rPr>
                <w:sz w:val="18"/>
                <w:szCs w:val="18"/>
              </w:rPr>
              <w:t>Multiplicadores</w:t>
            </w:r>
          </w:p>
        </w:tc>
        <w:tc>
          <w:tcPr>
            <w:tcW w:w="1910" w:type="dxa"/>
            <w:shd w:val="clear" w:color="auto" w:fill="D9E2F3"/>
            <w:vAlign w:val="center"/>
          </w:tcPr>
          <w:p w14:paraId="6EDDD6F7" w14:textId="77777777" w:rsidR="00990B14" w:rsidRDefault="00000000">
            <w:pPr>
              <w:spacing w:before="20" w:after="20"/>
              <w:jc w:val="both"/>
            </w:pPr>
            <w:r>
              <w:rPr>
                <w:sz w:val="18"/>
                <w:szCs w:val="18"/>
              </w:rPr>
              <w:t>Calcula mal los multiplicadores.</w:t>
            </w:r>
          </w:p>
        </w:tc>
        <w:tc>
          <w:tcPr>
            <w:tcW w:w="1910" w:type="dxa"/>
            <w:shd w:val="clear" w:color="auto" w:fill="D9E2F3"/>
            <w:vAlign w:val="center"/>
          </w:tcPr>
          <w:p w14:paraId="4F8CC095" w14:textId="77777777" w:rsidR="00990B14" w:rsidRDefault="00000000">
            <w:pPr>
              <w:spacing w:before="20" w:after="20"/>
              <w:jc w:val="both"/>
            </w:pPr>
            <w:r>
              <w:rPr>
                <w:sz w:val="18"/>
                <w:szCs w:val="18"/>
              </w:rPr>
              <w:t>Calcula el multiplicador simple y el ampliado.</w:t>
            </w:r>
          </w:p>
        </w:tc>
        <w:tc>
          <w:tcPr>
            <w:tcW w:w="2225" w:type="dxa"/>
            <w:shd w:val="clear" w:color="auto" w:fill="D9E2F3"/>
            <w:vAlign w:val="center"/>
          </w:tcPr>
          <w:p w14:paraId="65C501E6" w14:textId="77777777" w:rsidR="00990B14" w:rsidRDefault="00000000">
            <w:pPr>
              <w:spacing w:before="20" w:after="20"/>
              <w:jc w:val="both"/>
            </w:pPr>
            <w:r>
              <w:rPr>
                <w:sz w:val="18"/>
                <w:szCs w:val="18"/>
              </w:rPr>
              <w:t>Compara ambos y explica la diferencia.</w:t>
            </w:r>
          </w:p>
        </w:tc>
      </w:tr>
      <w:tr w:rsidR="00990B14" w14:paraId="2AD0E84C" w14:textId="77777777">
        <w:trPr>
          <w:cantSplit/>
          <w:jc w:val="center"/>
        </w:trPr>
        <w:tc>
          <w:tcPr>
            <w:tcW w:w="1545" w:type="dxa"/>
            <w:vMerge/>
            <w:shd w:val="clear" w:color="auto" w:fill="4472C4"/>
            <w:vAlign w:val="center"/>
          </w:tcPr>
          <w:p w14:paraId="1A558383" w14:textId="77777777" w:rsidR="00990B14" w:rsidRDefault="00990B14">
            <w:pPr>
              <w:spacing w:before="20" w:after="20"/>
            </w:pPr>
          </w:p>
        </w:tc>
        <w:tc>
          <w:tcPr>
            <w:tcW w:w="1815" w:type="dxa"/>
            <w:shd w:val="clear" w:color="auto" w:fill="D9E2F3"/>
            <w:vAlign w:val="center"/>
          </w:tcPr>
          <w:p w14:paraId="5DA2F761" w14:textId="77777777" w:rsidR="00990B14" w:rsidRDefault="00000000">
            <w:pPr>
              <w:spacing w:before="20" w:after="20"/>
              <w:jc w:val="both"/>
            </w:pPr>
            <w:r>
              <w:rPr>
                <w:sz w:val="18"/>
                <w:szCs w:val="18"/>
              </w:rPr>
              <w:t>Exactitud</w:t>
            </w:r>
          </w:p>
        </w:tc>
        <w:tc>
          <w:tcPr>
            <w:tcW w:w="1910" w:type="dxa"/>
            <w:shd w:val="clear" w:color="auto" w:fill="D9E2F3"/>
            <w:vAlign w:val="center"/>
          </w:tcPr>
          <w:p w14:paraId="4FF92652" w14:textId="77777777" w:rsidR="00990B14" w:rsidRDefault="00000000">
            <w:pPr>
              <w:spacing w:before="20" w:after="20"/>
              <w:jc w:val="both"/>
            </w:pPr>
            <w:r>
              <w:rPr>
                <w:sz w:val="18"/>
                <w:szCs w:val="18"/>
              </w:rPr>
              <w:t>Presenta errores de cálculo.</w:t>
            </w:r>
          </w:p>
        </w:tc>
        <w:tc>
          <w:tcPr>
            <w:tcW w:w="1910" w:type="dxa"/>
            <w:shd w:val="clear" w:color="auto" w:fill="D9E2F3"/>
            <w:vAlign w:val="center"/>
          </w:tcPr>
          <w:p w14:paraId="243FE8B7" w14:textId="77777777" w:rsidR="00990B14" w:rsidRDefault="00000000">
            <w:pPr>
              <w:spacing w:before="20" w:after="20"/>
              <w:jc w:val="both"/>
            </w:pPr>
            <w:r>
              <w:rPr>
                <w:sz w:val="18"/>
                <w:szCs w:val="18"/>
              </w:rPr>
              <w:t>Los cálculos son correctos.</w:t>
            </w:r>
          </w:p>
        </w:tc>
        <w:tc>
          <w:tcPr>
            <w:tcW w:w="2225" w:type="dxa"/>
            <w:shd w:val="clear" w:color="auto" w:fill="D9E2F3"/>
            <w:vAlign w:val="center"/>
          </w:tcPr>
          <w:p w14:paraId="42CF6E8D" w14:textId="77777777" w:rsidR="00990B14" w:rsidRDefault="00000000">
            <w:pPr>
              <w:spacing w:before="20" w:after="20"/>
              <w:jc w:val="both"/>
            </w:pPr>
            <w:r>
              <w:rPr>
                <w:sz w:val="18"/>
                <w:szCs w:val="18"/>
              </w:rPr>
              <w:t>Verifica el nuevo nivel de producción.</w:t>
            </w:r>
          </w:p>
        </w:tc>
      </w:tr>
      <w:tr w:rsidR="00990B14" w14:paraId="48641EAA" w14:textId="77777777">
        <w:trPr>
          <w:cantSplit/>
          <w:jc w:val="center"/>
        </w:trPr>
        <w:tc>
          <w:tcPr>
            <w:tcW w:w="1545" w:type="dxa"/>
            <w:vMerge/>
            <w:shd w:val="clear" w:color="auto" w:fill="4472C4"/>
            <w:vAlign w:val="center"/>
          </w:tcPr>
          <w:p w14:paraId="2B6C739E" w14:textId="77777777" w:rsidR="00990B14" w:rsidRDefault="00990B14">
            <w:pPr>
              <w:spacing w:before="20" w:after="20"/>
            </w:pPr>
          </w:p>
        </w:tc>
        <w:tc>
          <w:tcPr>
            <w:tcW w:w="5635" w:type="dxa"/>
            <w:gridSpan w:val="3"/>
            <w:shd w:val="clear" w:color="auto" w:fill="D9E2F3"/>
            <w:vAlign w:val="center"/>
          </w:tcPr>
          <w:p w14:paraId="7A9C3D3A" w14:textId="77777777" w:rsidR="00990B14" w:rsidRDefault="00000000">
            <w:pPr>
              <w:keepNext/>
              <w:spacing w:before="20" w:after="20"/>
              <w:jc w:val="both"/>
            </w:pPr>
            <w:r>
              <w:rPr>
                <w:b/>
                <w:bCs/>
                <w:i/>
                <w:iCs/>
                <w:sz w:val="18"/>
                <w:szCs w:val="18"/>
              </w:rPr>
              <w:t xml:space="preserve">Producto 16: </w:t>
            </w:r>
            <w:r>
              <w:rPr>
                <w:sz w:val="18"/>
                <w:szCs w:val="18"/>
              </w:rPr>
              <w:t>Informe de inflación</w:t>
            </w:r>
          </w:p>
        </w:tc>
        <w:tc>
          <w:tcPr>
            <w:tcW w:w="2225" w:type="dxa"/>
            <w:shd w:val="clear" w:color="auto" w:fill="D9E2F3"/>
            <w:vAlign w:val="center"/>
          </w:tcPr>
          <w:p w14:paraId="56E5C930" w14:textId="77777777" w:rsidR="00990B14" w:rsidRDefault="00000000">
            <w:pPr>
              <w:spacing w:before="20" w:after="20"/>
              <w:jc w:val="center"/>
            </w:pPr>
            <w:r>
              <w:rPr>
                <w:b/>
                <w:bCs/>
                <w:sz w:val="18"/>
                <w:szCs w:val="18"/>
              </w:rPr>
              <w:t>5%</w:t>
            </w:r>
          </w:p>
        </w:tc>
      </w:tr>
      <w:tr w:rsidR="00990B14" w14:paraId="63456CD5" w14:textId="77777777">
        <w:trPr>
          <w:cantSplit/>
          <w:jc w:val="center"/>
        </w:trPr>
        <w:tc>
          <w:tcPr>
            <w:tcW w:w="1545" w:type="dxa"/>
            <w:vMerge/>
            <w:shd w:val="clear" w:color="auto" w:fill="4472C4"/>
            <w:vAlign w:val="center"/>
          </w:tcPr>
          <w:p w14:paraId="43F92CA2" w14:textId="77777777" w:rsidR="00990B14" w:rsidRDefault="00990B14">
            <w:pPr>
              <w:spacing w:before="20" w:after="20"/>
            </w:pPr>
          </w:p>
        </w:tc>
        <w:tc>
          <w:tcPr>
            <w:tcW w:w="1815" w:type="dxa"/>
            <w:shd w:val="clear" w:color="auto" w:fill="4472C4"/>
            <w:vAlign w:val="center"/>
          </w:tcPr>
          <w:p w14:paraId="49322AA1"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249A2BEC"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4993B082" w14:textId="77777777" w:rsidR="00990B14" w:rsidRDefault="00000000">
            <w:pPr>
              <w:keepNext/>
              <w:spacing w:before="20" w:after="20"/>
              <w:jc w:val="center"/>
            </w:pPr>
            <w:r>
              <w:rPr>
                <w:b/>
                <w:bCs/>
                <w:i/>
                <w:iCs/>
                <w:color w:val="FFFFFF"/>
                <w:sz w:val="18"/>
                <w:szCs w:val="18"/>
              </w:rPr>
              <w:t>Suficiente (51–80)</w:t>
            </w:r>
          </w:p>
        </w:tc>
        <w:tc>
          <w:tcPr>
            <w:tcW w:w="2225" w:type="dxa"/>
            <w:shd w:val="clear" w:color="auto" w:fill="4472C4"/>
            <w:vAlign w:val="center"/>
          </w:tcPr>
          <w:p w14:paraId="41E758C6" w14:textId="77777777" w:rsidR="00990B14" w:rsidRDefault="00000000">
            <w:pPr>
              <w:keepNext/>
              <w:spacing w:before="20" w:after="20"/>
              <w:jc w:val="center"/>
            </w:pPr>
            <w:r>
              <w:rPr>
                <w:b/>
                <w:bCs/>
                <w:i/>
                <w:iCs/>
                <w:color w:val="FFFFFF"/>
                <w:sz w:val="18"/>
                <w:szCs w:val="18"/>
              </w:rPr>
              <w:t>Destacado (81–100)</w:t>
            </w:r>
          </w:p>
        </w:tc>
      </w:tr>
      <w:tr w:rsidR="00990B14" w14:paraId="02200DC9" w14:textId="77777777">
        <w:trPr>
          <w:cantSplit/>
          <w:jc w:val="center"/>
        </w:trPr>
        <w:tc>
          <w:tcPr>
            <w:tcW w:w="1545" w:type="dxa"/>
            <w:vMerge/>
            <w:shd w:val="clear" w:color="auto" w:fill="4472C4"/>
            <w:vAlign w:val="center"/>
          </w:tcPr>
          <w:p w14:paraId="796D1D76" w14:textId="77777777" w:rsidR="00990B14" w:rsidRDefault="00990B14">
            <w:pPr>
              <w:spacing w:before="20" w:after="20"/>
            </w:pPr>
          </w:p>
        </w:tc>
        <w:tc>
          <w:tcPr>
            <w:tcW w:w="1815" w:type="dxa"/>
            <w:shd w:val="clear" w:color="auto" w:fill="D9E2F3"/>
            <w:vAlign w:val="center"/>
          </w:tcPr>
          <w:p w14:paraId="6A104242" w14:textId="77777777" w:rsidR="00990B14" w:rsidRDefault="00000000">
            <w:pPr>
              <w:spacing w:before="20" w:after="20"/>
              <w:jc w:val="both"/>
            </w:pPr>
            <w:r>
              <w:rPr>
                <w:sz w:val="18"/>
                <w:szCs w:val="18"/>
              </w:rPr>
              <w:t>Tipo de inflación</w:t>
            </w:r>
          </w:p>
        </w:tc>
        <w:tc>
          <w:tcPr>
            <w:tcW w:w="1910" w:type="dxa"/>
            <w:shd w:val="clear" w:color="auto" w:fill="D9E2F3"/>
            <w:vAlign w:val="center"/>
          </w:tcPr>
          <w:p w14:paraId="0CCACAB3" w14:textId="77777777" w:rsidR="00990B14" w:rsidRDefault="00000000">
            <w:pPr>
              <w:spacing w:before="20" w:after="20"/>
              <w:jc w:val="both"/>
            </w:pPr>
            <w:r>
              <w:rPr>
                <w:sz w:val="18"/>
                <w:szCs w:val="18"/>
              </w:rPr>
              <w:t>Confunde la inflación por demanda y por oferta.</w:t>
            </w:r>
          </w:p>
        </w:tc>
        <w:tc>
          <w:tcPr>
            <w:tcW w:w="1910" w:type="dxa"/>
            <w:shd w:val="clear" w:color="auto" w:fill="D9E2F3"/>
            <w:vAlign w:val="center"/>
          </w:tcPr>
          <w:p w14:paraId="5ACEFE02" w14:textId="77777777" w:rsidR="00990B14" w:rsidRDefault="00000000">
            <w:pPr>
              <w:spacing w:before="20" w:after="20"/>
              <w:jc w:val="both"/>
            </w:pPr>
            <w:r>
              <w:rPr>
                <w:sz w:val="18"/>
                <w:szCs w:val="18"/>
              </w:rPr>
              <w:t>Diferencia la inflación por demanda, por oferta y combinada.</w:t>
            </w:r>
          </w:p>
        </w:tc>
        <w:tc>
          <w:tcPr>
            <w:tcW w:w="2225" w:type="dxa"/>
            <w:shd w:val="clear" w:color="auto" w:fill="D9E2F3"/>
            <w:vAlign w:val="center"/>
          </w:tcPr>
          <w:p w14:paraId="51F3696B" w14:textId="77777777" w:rsidR="00990B14" w:rsidRDefault="00000000">
            <w:pPr>
              <w:spacing w:before="20" w:after="20"/>
              <w:jc w:val="both"/>
            </w:pPr>
            <w:r>
              <w:rPr>
                <w:sz w:val="18"/>
                <w:szCs w:val="18"/>
              </w:rPr>
              <w:t>Identifica los factores de costos y de tipo de cambio del caso.</w:t>
            </w:r>
          </w:p>
        </w:tc>
      </w:tr>
      <w:tr w:rsidR="00990B14" w14:paraId="56DAA3C7" w14:textId="77777777">
        <w:trPr>
          <w:cantSplit/>
          <w:jc w:val="center"/>
        </w:trPr>
        <w:tc>
          <w:tcPr>
            <w:tcW w:w="1545" w:type="dxa"/>
            <w:vMerge/>
            <w:shd w:val="clear" w:color="auto" w:fill="4472C4"/>
            <w:vAlign w:val="center"/>
          </w:tcPr>
          <w:p w14:paraId="22BD7851" w14:textId="77777777" w:rsidR="00990B14" w:rsidRDefault="00990B14">
            <w:pPr>
              <w:spacing w:before="20" w:after="20"/>
            </w:pPr>
          </w:p>
        </w:tc>
        <w:tc>
          <w:tcPr>
            <w:tcW w:w="1815" w:type="dxa"/>
            <w:shd w:val="clear" w:color="auto" w:fill="D9E2F3"/>
            <w:vAlign w:val="center"/>
          </w:tcPr>
          <w:p w14:paraId="59BD79EB" w14:textId="77777777" w:rsidR="00990B14" w:rsidRDefault="00000000">
            <w:pPr>
              <w:spacing w:before="20" w:after="20"/>
              <w:jc w:val="both"/>
            </w:pPr>
            <w:r>
              <w:rPr>
                <w:sz w:val="18"/>
                <w:szCs w:val="18"/>
              </w:rPr>
              <w:t>Efecto financiero</w:t>
            </w:r>
          </w:p>
        </w:tc>
        <w:tc>
          <w:tcPr>
            <w:tcW w:w="1910" w:type="dxa"/>
            <w:shd w:val="clear" w:color="auto" w:fill="D9E2F3"/>
            <w:vAlign w:val="center"/>
          </w:tcPr>
          <w:p w14:paraId="54FB0995" w14:textId="77777777" w:rsidR="00990B14" w:rsidRDefault="00000000">
            <w:pPr>
              <w:spacing w:before="20" w:after="20"/>
              <w:jc w:val="both"/>
            </w:pPr>
            <w:r>
              <w:rPr>
                <w:sz w:val="18"/>
                <w:szCs w:val="18"/>
              </w:rPr>
              <w:t>No menciona el efecto contable.</w:t>
            </w:r>
          </w:p>
        </w:tc>
        <w:tc>
          <w:tcPr>
            <w:tcW w:w="1910" w:type="dxa"/>
            <w:shd w:val="clear" w:color="auto" w:fill="D9E2F3"/>
            <w:vAlign w:val="center"/>
          </w:tcPr>
          <w:p w14:paraId="3DAB7178" w14:textId="77777777" w:rsidR="00990B14" w:rsidRDefault="00000000">
            <w:pPr>
              <w:spacing w:before="20" w:after="20"/>
              <w:jc w:val="both"/>
            </w:pPr>
            <w:r>
              <w:rPr>
                <w:sz w:val="18"/>
                <w:szCs w:val="18"/>
              </w:rPr>
              <w:t>Describe el ajuste por inflación de la información financiera.</w:t>
            </w:r>
          </w:p>
        </w:tc>
        <w:tc>
          <w:tcPr>
            <w:tcW w:w="2225" w:type="dxa"/>
            <w:shd w:val="clear" w:color="auto" w:fill="D9E2F3"/>
            <w:vAlign w:val="center"/>
          </w:tcPr>
          <w:p w14:paraId="752CE859" w14:textId="77777777" w:rsidR="00990B14" w:rsidRDefault="00000000">
            <w:pPr>
              <w:spacing w:before="20" w:after="20"/>
              <w:jc w:val="both"/>
            </w:pPr>
            <w:r>
              <w:rPr>
                <w:sz w:val="18"/>
                <w:szCs w:val="18"/>
              </w:rPr>
              <w:t>Evalúa los criterios de una economía hiperinflacionaria.</w:t>
            </w:r>
          </w:p>
        </w:tc>
      </w:tr>
      <w:tr w:rsidR="00990B14" w14:paraId="413BA158" w14:textId="77777777">
        <w:trPr>
          <w:cantSplit/>
          <w:jc w:val="center"/>
        </w:trPr>
        <w:tc>
          <w:tcPr>
            <w:tcW w:w="1545" w:type="dxa"/>
            <w:vMerge/>
            <w:shd w:val="clear" w:color="auto" w:fill="4472C4"/>
            <w:vAlign w:val="center"/>
          </w:tcPr>
          <w:p w14:paraId="1CC9F677" w14:textId="77777777" w:rsidR="00990B14" w:rsidRDefault="00990B14">
            <w:pPr>
              <w:spacing w:before="20" w:after="20"/>
            </w:pPr>
          </w:p>
        </w:tc>
        <w:tc>
          <w:tcPr>
            <w:tcW w:w="1815" w:type="dxa"/>
            <w:shd w:val="clear" w:color="auto" w:fill="D9E2F3"/>
            <w:vAlign w:val="center"/>
          </w:tcPr>
          <w:p w14:paraId="0B00FFA9" w14:textId="77777777" w:rsidR="00990B14" w:rsidRDefault="00000000">
            <w:pPr>
              <w:spacing w:before="20" w:after="20"/>
              <w:jc w:val="both"/>
            </w:pPr>
            <w:r>
              <w:rPr>
                <w:sz w:val="18"/>
                <w:szCs w:val="18"/>
              </w:rPr>
              <w:t>Claridad de la sustentación</w:t>
            </w:r>
          </w:p>
        </w:tc>
        <w:tc>
          <w:tcPr>
            <w:tcW w:w="1910" w:type="dxa"/>
            <w:shd w:val="clear" w:color="auto" w:fill="D9E2F3"/>
            <w:vAlign w:val="center"/>
          </w:tcPr>
          <w:p w14:paraId="405CB45C" w14:textId="77777777" w:rsidR="00990B14" w:rsidRDefault="00000000">
            <w:pPr>
              <w:spacing w:before="20" w:after="20"/>
              <w:jc w:val="both"/>
            </w:pPr>
            <w:r>
              <w:rPr>
                <w:sz w:val="18"/>
                <w:szCs w:val="18"/>
              </w:rPr>
              <w:t>La explicación es confusa.</w:t>
            </w:r>
          </w:p>
        </w:tc>
        <w:tc>
          <w:tcPr>
            <w:tcW w:w="1910" w:type="dxa"/>
            <w:shd w:val="clear" w:color="auto" w:fill="D9E2F3"/>
            <w:vAlign w:val="center"/>
          </w:tcPr>
          <w:p w14:paraId="3F800F94" w14:textId="77777777" w:rsidR="00990B14" w:rsidRDefault="00000000">
            <w:pPr>
              <w:spacing w:before="20" w:after="20"/>
              <w:jc w:val="both"/>
            </w:pPr>
            <w:r>
              <w:rPr>
                <w:sz w:val="18"/>
                <w:szCs w:val="18"/>
              </w:rPr>
              <w:t>Explica con claridad.</w:t>
            </w:r>
          </w:p>
        </w:tc>
        <w:tc>
          <w:tcPr>
            <w:tcW w:w="2225" w:type="dxa"/>
            <w:shd w:val="clear" w:color="auto" w:fill="D9E2F3"/>
            <w:vAlign w:val="center"/>
          </w:tcPr>
          <w:p w14:paraId="2EE278A8" w14:textId="77777777" w:rsidR="00990B14" w:rsidRDefault="00000000">
            <w:pPr>
              <w:spacing w:before="20" w:after="20"/>
              <w:jc w:val="both"/>
            </w:pPr>
            <w:r>
              <w:rPr>
                <w:sz w:val="18"/>
                <w:szCs w:val="18"/>
              </w:rPr>
              <w:t>Propone medidas de gestión del riesgo de inflación.</w:t>
            </w:r>
          </w:p>
        </w:tc>
      </w:tr>
      <w:tr w:rsidR="00990B14" w14:paraId="6D087EEE" w14:textId="77777777">
        <w:trPr>
          <w:cantSplit/>
          <w:jc w:val="center"/>
        </w:trPr>
        <w:tc>
          <w:tcPr>
            <w:tcW w:w="1545" w:type="dxa"/>
            <w:vMerge/>
            <w:shd w:val="clear" w:color="auto" w:fill="4472C4"/>
            <w:vAlign w:val="center"/>
          </w:tcPr>
          <w:p w14:paraId="27A97E6B" w14:textId="77777777" w:rsidR="00990B14" w:rsidRDefault="00990B14">
            <w:pPr>
              <w:spacing w:before="20" w:after="20"/>
            </w:pPr>
          </w:p>
        </w:tc>
        <w:tc>
          <w:tcPr>
            <w:tcW w:w="5635" w:type="dxa"/>
            <w:gridSpan w:val="3"/>
            <w:shd w:val="clear" w:color="auto" w:fill="D9E2F3"/>
            <w:vAlign w:val="center"/>
          </w:tcPr>
          <w:p w14:paraId="2C63935B" w14:textId="77777777" w:rsidR="00990B14" w:rsidRDefault="00000000">
            <w:pPr>
              <w:keepNext/>
              <w:spacing w:before="20" w:after="20"/>
              <w:jc w:val="both"/>
            </w:pPr>
            <w:r>
              <w:rPr>
                <w:b/>
                <w:bCs/>
                <w:i/>
                <w:iCs/>
                <w:sz w:val="18"/>
                <w:szCs w:val="18"/>
              </w:rPr>
              <w:t xml:space="preserve">Producto 17: </w:t>
            </w:r>
            <w:r>
              <w:rPr>
                <w:sz w:val="18"/>
                <w:szCs w:val="18"/>
              </w:rPr>
              <w:t>Práctico de multiplicadores fiscales</w:t>
            </w:r>
          </w:p>
        </w:tc>
        <w:tc>
          <w:tcPr>
            <w:tcW w:w="2225" w:type="dxa"/>
            <w:shd w:val="clear" w:color="auto" w:fill="D9E2F3"/>
            <w:vAlign w:val="center"/>
          </w:tcPr>
          <w:p w14:paraId="0318E4A7" w14:textId="77777777" w:rsidR="00990B14" w:rsidRDefault="00000000">
            <w:pPr>
              <w:spacing w:before="20" w:after="20"/>
              <w:jc w:val="center"/>
            </w:pPr>
            <w:r>
              <w:rPr>
                <w:b/>
                <w:bCs/>
                <w:sz w:val="18"/>
                <w:szCs w:val="18"/>
              </w:rPr>
              <w:t>5%</w:t>
            </w:r>
          </w:p>
        </w:tc>
      </w:tr>
      <w:tr w:rsidR="00990B14" w14:paraId="771A30FC" w14:textId="77777777">
        <w:trPr>
          <w:cantSplit/>
          <w:jc w:val="center"/>
        </w:trPr>
        <w:tc>
          <w:tcPr>
            <w:tcW w:w="1545" w:type="dxa"/>
            <w:vMerge/>
            <w:shd w:val="clear" w:color="auto" w:fill="4472C4"/>
            <w:vAlign w:val="center"/>
          </w:tcPr>
          <w:p w14:paraId="79FA6D5E" w14:textId="77777777" w:rsidR="00990B14" w:rsidRDefault="00990B14">
            <w:pPr>
              <w:spacing w:before="20" w:after="20"/>
            </w:pPr>
          </w:p>
        </w:tc>
        <w:tc>
          <w:tcPr>
            <w:tcW w:w="1815" w:type="dxa"/>
            <w:shd w:val="clear" w:color="auto" w:fill="4472C4"/>
            <w:vAlign w:val="center"/>
          </w:tcPr>
          <w:p w14:paraId="17429820"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70D2C988"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618A524D" w14:textId="77777777" w:rsidR="00990B14" w:rsidRDefault="00000000">
            <w:pPr>
              <w:keepNext/>
              <w:spacing w:before="20" w:after="20"/>
              <w:jc w:val="center"/>
            </w:pPr>
            <w:r>
              <w:rPr>
                <w:b/>
                <w:bCs/>
                <w:i/>
                <w:iCs/>
                <w:color w:val="FFFFFF"/>
                <w:sz w:val="18"/>
                <w:szCs w:val="18"/>
              </w:rPr>
              <w:t>Suficiente (51–80)</w:t>
            </w:r>
          </w:p>
        </w:tc>
        <w:tc>
          <w:tcPr>
            <w:tcW w:w="2225" w:type="dxa"/>
            <w:shd w:val="clear" w:color="auto" w:fill="4472C4"/>
            <w:vAlign w:val="center"/>
          </w:tcPr>
          <w:p w14:paraId="12844365" w14:textId="77777777" w:rsidR="00990B14" w:rsidRDefault="00000000">
            <w:pPr>
              <w:keepNext/>
              <w:spacing w:before="20" w:after="20"/>
              <w:jc w:val="center"/>
            </w:pPr>
            <w:r>
              <w:rPr>
                <w:b/>
                <w:bCs/>
                <w:i/>
                <w:iCs/>
                <w:color w:val="FFFFFF"/>
                <w:sz w:val="18"/>
                <w:szCs w:val="18"/>
              </w:rPr>
              <w:t>Destacado (81–100)</w:t>
            </w:r>
          </w:p>
        </w:tc>
      </w:tr>
      <w:tr w:rsidR="00990B14" w14:paraId="592E80B1" w14:textId="77777777">
        <w:trPr>
          <w:cantSplit/>
          <w:jc w:val="center"/>
        </w:trPr>
        <w:tc>
          <w:tcPr>
            <w:tcW w:w="1545" w:type="dxa"/>
            <w:vMerge/>
            <w:shd w:val="clear" w:color="auto" w:fill="4472C4"/>
            <w:vAlign w:val="center"/>
          </w:tcPr>
          <w:p w14:paraId="42D635B3" w14:textId="77777777" w:rsidR="00990B14" w:rsidRDefault="00990B14">
            <w:pPr>
              <w:spacing w:before="20" w:after="20"/>
            </w:pPr>
          </w:p>
        </w:tc>
        <w:tc>
          <w:tcPr>
            <w:tcW w:w="1815" w:type="dxa"/>
            <w:shd w:val="clear" w:color="auto" w:fill="D9E2F3"/>
            <w:vAlign w:val="center"/>
          </w:tcPr>
          <w:p w14:paraId="2ED6DB23" w14:textId="77777777" w:rsidR="00990B14" w:rsidRDefault="00000000">
            <w:pPr>
              <w:spacing w:before="20" w:after="20"/>
              <w:jc w:val="both"/>
            </w:pPr>
            <w:r>
              <w:rPr>
                <w:sz w:val="18"/>
                <w:szCs w:val="18"/>
              </w:rPr>
              <w:t>Multiplicadores</w:t>
            </w:r>
          </w:p>
        </w:tc>
        <w:tc>
          <w:tcPr>
            <w:tcW w:w="1910" w:type="dxa"/>
            <w:shd w:val="clear" w:color="auto" w:fill="D9E2F3"/>
            <w:vAlign w:val="center"/>
          </w:tcPr>
          <w:p w14:paraId="03A18FA8" w14:textId="77777777" w:rsidR="00990B14" w:rsidRDefault="00000000">
            <w:pPr>
              <w:spacing w:before="20" w:after="20"/>
              <w:jc w:val="both"/>
            </w:pPr>
            <w:r>
              <w:rPr>
                <w:sz w:val="18"/>
                <w:szCs w:val="18"/>
              </w:rPr>
              <w:t>Calcula mal algún multiplicador.</w:t>
            </w:r>
          </w:p>
        </w:tc>
        <w:tc>
          <w:tcPr>
            <w:tcW w:w="1910" w:type="dxa"/>
            <w:shd w:val="clear" w:color="auto" w:fill="D9E2F3"/>
            <w:vAlign w:val="center"/>
          </w:tcPr>
          <w:p w14:paraId="6810CD83" w14:textId="77777777" w:rsidR="00990B14" w:rsidRDefault="00000000">
            <w:pPr>
              <w:spacing w:before="20" w:after="20"/>
              <w:jc w:val="both"/>
            </w:pPr>
            <w:r>
              <w:rPr>
                <w:sz w:val="18"/>
                <w:szCs w:val="18"/>
              </w:rPr>
              <w:t>Calcula los multiplicadores del gasto, de los impuestos y del presupuesto equilibrado.</w:t>
            </w:r>
          </w:p>
        </w:tc>
        <w:tc>
          <w:tcPr>
            <w:tcW w:w="2225" w:type="dxa"/>
            <w:shd w:val="clear" w:color="auto" w:fill="D9E2F3"/>
            <w:vAlign w:val="center"/>
          </w:tcPr>
          <w:p w14:paraId="67A8FE3E" w14:textId="77777777" w:rsidR="00990B14" w:rsidRDefault="00000000">
            <w:pPr>
              <w:spacing w:before="20" w:after="20"/>
              <w:jc w:val="both"/>
            </w:pPr>
            <w:r>
              <w:rPr>
                <w:sz w:val="18"/>
                <w:szCs w:val="18"/>
              </w:rPr>
              <w:t>Explica el papel de los estabilizadores automáticos.</w:t>
            </w:r>
          </w:p>
        </w:tc>
      </w:tr>
      <w:tr w:rsidR="00990B14" w14:paraId="3C3FA95B" w14:textId="77777777">
        <w:trPr>
          <w:cantSplit/>
          <w:jc w:val="center"/>
        </w:trPr>
        <w:tc>
          <w:tcPr>
            <w:tcW w:w="1545" w:type="dxa"/>
            <w:vMerge/>
            <w:shd w:val="clear" w:color="auto" w:fill="4472C4"/>
            <w:vAlign w:val="center"/>
          </w:tcPr>
          <w:p w14:paraId="680BDCEA" w14:textId="77777777" w:rsidR="00990B14" w:rsidRDefault="00990B14">
            <w:pPr>
              <w:spacing w:before="20" w:after="20"/>
            </w:pPr>
          </w:p>
        </w:tc>
        <w:tc>
          <w:tcPr>
            <w:tcW w:w="1815" w:type="dxa"/>
            <w:shd w:val="clear" w:color="auto" w:fill="D9E2F3"/>
            <w:vAlign w:val="center"/>
          </w:tcPr>
          <w:p w14:paraId="2A26FC50" w14:textId="77777777" w:rsidR="00990B14" w:rsidRDefault="00000000">
            <w:pPr>
              <w:spacing w:before="20" w:after="20"/>
              <w:jc w:val="both"/>
            </w:pPr>
            <w:r>
              <w:rPr>
                <w:sz w:val="18"/>
                <w:szCs w:val="18"/>
              </w:rPr>
              <w:t>Resultado fiscal</w:t>
            </w:r>
          </w:p>
        </w:tc>
        <w:tc>
          <w:tcPr>
            <w:tcW w:w="1910" w:type="dxa"/>
            <w:shd w:val="clear" w:color="auto" w:fill="D9E2F3"/>
            <w:vAlign w:val="center"/>
          </w:tcPr>
          <w:p w14:paraId="34AA53D8" w14:textId="77777777" w:rsidR="00990B14" w:rsidRDefault="00000000">
            <w:pPr>
              <w:spacing w:before="20" w:after="20"/>
              <w:jc w:val="both"/>
            </w:pPr>
            <w:r>
              <w:rPr>
                <w:sz w:val="18"/>
                <w:szCs w:val="18"/>
              </w:rPr>
              <w:t>No determina el efecto sobre el resultado.</w:t>
            </w:r>
          </w:p>
        </w:tc>
        <w:tc>
          <w:tcPr>
            <w:tcW w:w="1910" w:type="dxa"/>
            <w:shd w:val="clear" w:color="auto" w:fill="D9E2F3"/>
            <w:vAlign w:val="center"/>
          </w:tcPr>
          <w:p w14:paraId="055F4397" w14:textId="77777777" w:rsidR="00990B14" w:rsidRDefault="00000000">
            <w:pPr>
              <w:spacing w:before="20" w:after="20"/>
              <w:jc w:val="both"/>
            </w:pPr>
            <w:r>
              <w:rPr>
                <w:sz w:val="18"/>
                <w:szCs w:val="18"/>
              </w:rPr>
              <w:t>Determina el efecto sobre el resultado fiscal.</w:t>
            </w:r>
          </w:p>
        </w:tc>
        <w:tc>
          <w:tcPr>
            <w:tcW w:w="2225" w:type="dxa"/>
            <w:shd w:val="clear" w:color="auto" w:fill="D9E2F3"/>
            <w:vAlign w:val="center"/>
          </w:tcPr>
          <w:p w14:paraId="32B09B39" w14:textId="77777777" w:rsidR="00990B14" w:rsidRDefault="00000000">
            <w:pPr>
              <w:spacing w:before="20" w:after="20"/>
              <w:jc w:val="both"/>
            </w:pPr>
            <w:r>
              <w:rPr>
                <w:sz w:val="18"/>
                <w:szCs w:val="18"/>
              </w:rPr>
              <w:t>Analiza el efecto expulsión en el modelo IS-LM.</w:t>
            </w:r>
          </w:p>
        </w:tc>
      </w:tr>
      <w:tr w:rsidR="00990B14" w14:paraId="47EF8C1D" w14:textId="77777777">
        <w:trPr>
          <w:cantSplit/>
          <w:jc w:val="center"/>
        </w:trPr>
        <w:tc>
          <w:tcPr>
            <w:tcW w:w="1545" w:type="dxa"/>
            <w:vMerge/>
            <w:shd w:val="clear" w:color="auto" w:fill="4472C4"/>
            <w:vAlign w:val="center"/>
          </w:tcPr>
          <w:p w14:paraId="7150E51E" w14:textId="77777777" w:rsidR="00990B14" w:rsidRDefault="00990B14">
            <w:pPr>
              <w:spacing w:before="20" w:after="20"/>
            </w:pPr>
          </w:p>
        </w:tc>
        <w:tc>
          <w:tcPr>
            <w:tcW w:w="1815" w:type="dxa"/>
            <w:shd w:val="clear" w:color="auto" w:fill="D9E2F3"/>
            <w:vAlign w:val="center"/>
          </w:tcPr>
          <w:p w14:paraId="4772A0AA" w14:textId="77777777" w:rsidR="00990B14" w:rsidRDefault="00000000">
            <w:pPr>
              <w:spacing w:before="20" w:after="20"/>
              <w:jc w:val="both"/>
            </w:pPr>
            <w:r>
              <w:rPr>
                <w:sz w:val="18"/>
                <w:szCs w:val="18"/>
              </w:rPr>
              <w:t>Exactitud</w:t>
            </w:r>
          </w:p>
        </w:tc>
        <w:tc>
          <w:tcPr>
            <w:tcW w:w="1910" w:type="dxa"/>
            <w:shd w:val="clear" w:color="auto" w:fill="D9E2F3"/>
            <w:vAlign w:val="center"/>
          </w:tcPr>
          <w:p w14:paraId="138A81D6" w14:textId="77777777" w:rsidR="00990B14" w:rsidRDefault="00000000">
            <w:pPr>
              <w:spacing w:before="20" w:after="20"/>
              <w:jc w:val="both"/>
            </w:pPr>
            <w:r>
              <w:rPr>
                <w:sz w:val="18"/>
                <w:szCs w:val="18"/>
              </w:rPr>
              <w:t>Presenta errores de cálculo.</w:t>
            </w:r>
          </w:p>
        </w:tc>
        <w:tc>
          <w:tcPr>
            <w:tcW w:w="1910" w:type="dxa"/>
            <w:shd w:val="clear" w:color="auto" w:fill="D9E2F3"/>
            <w:vAlign w:val="center"/>
          </w:tcPr>
          <w:p w14:paraId="43A3ADAF" w14:textId="77777777" w:rsidR="00990B14" w:rsidRDefault="00000000">
            <w:pPr>
              <w:spacing w:before="20" w:after="20"/>
              <w:jc w:val="both"/>
            </w:pPr>
            <w:r>
              <w:rPr>
                <w:sz w:val="18"/>
                <w:szCs w:val="18"/>
              </w:rPr>
              <w:t>Los cálculos son correctos.</w:t>
            </w:r>
          </w:p>
        </w:tc>
        <w:tc>
          <w:tcPr>
            <w:tcW w:w="2225" w:type="dxa"/>
            <w:shd w:val="clear" w:color="auto" w:fill="D9E2F3"/>
            <w:vAlign w:val="center"/>
          </w:tcPr>
          <w:p w14:paraId="794ADC3A" w14:textId="77777777" w:rsidR="00990B14" w:rsidRDefault="00000000">
            <w:pPr>
              <w:spacing w:before="20" w:after="20"/>
              <w:jc w:val="both"/>
            </w:pPr>
            <w:r>
              <w:rPr>
                <w:sz w:val="18"/>
                <w:szCs w:val="18"/>
              </w:rPr>
              <w:t>Verifica la coherencia de los resultados.</w:t>
            </w:r>
          </w:p>
        </w:tc>
      </w:tr>
      <w:tr w:rsidR="00990B14" w14:paraId="37B2D7C1" w14:textId="77777777">
        <w:trPr>
          <w:cantSplit/>
          <w:jc w:val="center"/>
        </w:trPr>
        <w:tc>
          <w:tcPr>
            <w:tcW w:w="1545" w:type="dxa"/>
            <w:vMerge/>
            <w:shd w:val="clear" w:color="auto" w:fill="4472C4"/>
            <w:vAlign w:val="center"/>
          </w:tcPr>
          <w:p w14:paraId="4BDF15DE" w14:textId="77777777" w:rsidR="00990B14" w:rsidRDefault="00990B14">
            <w:pPr>
              <w:spacing w:before="20" w:after="20"/>
            </w:pPr>
          </w:p>
        </w:tc>
        <w:tc>
          <w:tcPr>
            <w:tcW w:w="5635" w:type="dxa"/>
            <w:gridSpan w:val="3"/>
            <w:shd w:val="clear" w:color="auto" w:fill="D9E2F3"/>
            <w:vAlign w:val="center"/>
          </w:tcPr>
          <w:p w14:paraId="4856BD9D" w14:textId="77777777" w:rsidR="00990B14" w:rsidRDefault="00000000">
            <w:pPr>
              <w:keepNext/>
              <w:spacing w:before="20" w:after="20"/>
              <w:jc w:val="both"/>
            </w:pPr>
            <w:r>
              <w:rPr>
                <w:b/>
                <w:bCs/>
                <w:i/>
                <w:iCs/>
                <w:sz w:val="18"/>
                <w:szCs w:val="18"/>
              </w:rPr>
              <w:t xml:space="preserve">Producto 18: </w:t>
            </w:r>
            <w:r>
              <w:rPr>
                <w:sz w:val="18"/>
                <w:szCs w:val="18"/>
              </w:rPr>
              <w:t>Cuadro de las cuentas fiscales</w:t>
            </w:r>
          </w:p>
        </w:tc>
        <w:tc>
          <w:tcPr>
            <w:tcW w:w="2225" w:type="dxa"/>
            <w:shd w:val="clear" w:color="auto" w:fill="D9E2F3"/>
            <w:vAlign w:val="center"/>
          </w:tcPr>
          <w:p w14:paraId="42B51351" w14:textId="77777777" w:rsidR="00990B14" w:rsidRDefault="00000000">
            <w:pPr>
              <w:spacing w:before="20" w:after="20"/>
              <w:jc w:val="center"/>
            </w:pPr>
            <w:r>
              <w:rPr>
                <w:b/>
                <w:bCs/>
                <w:sz w:val="18"/>
                <w:szCs w:val="18"/>
              </w:rPr>
              <w:t>5%</w:t>
            </w:r>
          </w:p>
        </w:tc>
      </w:tr>
      <w:tr w:rsidR="00990B14" w14:paraId="728D3917" w14:textId="77777777">
        <w:trPr>
          <w:cantSplit/>
          <w:jc w:val="center"/>
        </w:trPr>
        <w:tc>
          <w:tcPr>
            <w:tcW w:w="1545" w:type="dxa"/>
            <w:vMerge/>
            <w:shd w:val="clear" w:color="auto" w:fill="4472C4"/>
            <w:vAlign w:val="center"/>
          </w:tcPr>
          <w:p w14:paraId="630BCBF8" w14:textId="77777777" w:rsidR="00990B14" w:rsidRDefault="00990B14">
            <w:pPr>
              <w:spacing w:before="20" w:after="20"/>
            </w:pPr>
          </w:p>
        </w:tc>
        <w:tc>
          <w:tcPr>
            <w:tcW w:w="1815" w:type="dxa"/>
            <w:shd w:val="clear" w:color="auto" w:fill="4472C4"/>
            <w:vAlign w:val="center"/>
          </w:tcPr>
          <w:p w14:paraId="569CE686"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5C447F11"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4ACB8797" w14:textId="77777777" w:rsidR="00990B14" w:rsidRDefault="00000000">
            <w:pPr>
              <w:keepNext/>
              <w:spacing w:before="20" w:after="20"/>
              <w:jc w:val="center"/>
            </w:pPr>
            <w:r>
              <w:rPr>
                <w:b/>
                <w:bCs/>
                <w:i/>
                <w:iCs/>
                <w:color w:val="FFFFFF"/>
                <w:sz w:val="18"/>
                <w:szCs w:val="18"/>
              </w:rPr>
              <w:t>Suficiente (51–80)</w:t>
            </w:r>
          </w:p>
        </w:tc>
        <w:tc>
          <w:tcPr>
            <w:tcW w:w="2225" w:type="dxa"/>
            <w:shd w:val="clear" w:color="auto" w:fill="4472C4"/>
            <w:vAlign w:val="center"/>
          </w:tcPr>
          <w:p w14:paraId="7D1D9294" w14:textId="77777777" w:rsidR="00990B14" w:rsidRDefault="00000000">
            <w:pPr>
              <w:keepNext/>
              <w:spacing w:before="20" w:after="20"/>
              <w:jc w:val="center"/>
            </w:pPr>
            <w:r>
              <w:rPr>
                <w:b/>
                <w:bCs/>
                <w:i/>
                <w:iCs/>
                <w:color w:val="FFFFFF"/>
                <w:sz w:val="18"/>
                <w:szCs w:val="18"/>
              </w:rPr>
              <w:t>Destacado (81–100)</w:t>
            </w:r>
          </w:p>
        </w:tc>
      </w:tr>
      <w:tr w:rsidR="00990B14" w14:paraId="1A939EF7" w14:textId="77777777">
        <w:trPr>
          <w:cantSplit/>
          <w:jc w:val="center"/>
        </w:trPr>
        <w:tc>
          <w:tcPr>
            <w:tcW w:w="1545" w:type="dxa"/>
            <w:vMerge/>
            <w:shd w:val="clear" w:color="auto" w:fill="4472C4"/>
            <w:vAlign w:val="center"/>
          </w:tcPr>
          <w:p w14:paraId="2ED414FA" w14:textId="77777777" w:rsidR="00990B14" w:rsidRDefault="00990B14">
            <w:pPr>
              <w:spacing w:before="20" w:after="20"/>
            </w:pPr>
          </w:p>
        </w:tc>
        <w:tc>
          <w:tcPr>
            <w:tcW w:w="1815" w:type="dxa"/>
            <w:shd w:val="clear" w:color="auto" w:fill="D9E2F3"/>
            <w:vAlign w:val="center"/>
          </w:tcPr>
          <w:p w14:paraId="19358AC6" w14:textId="77777777" w:rsidR="00990B14" w:rsidRDefault="00000000">
            <w:pPr>
              <w:spacing w:before="20" w:after="20"/>
              <w:jc w:val="both"/>
            </w:pPr>
            <w:r>
              <w:rPr>
                <w:sz w:val="18"/>
                <w:szCs w:val="18"/>
              </w:rPr>
              <w:t>Ingresos y gastos</w:t>
            </w:r>
          </w:p>
        </w:tc>
        <w:tc>
          <w:tcPr>
            <w:tcW w:w="1910" w:type="dxa"/>
            <w:shd w:val="clear" w:color="auto" w:fill="D9E2F3"/>
            <w:vAlign w:val="center"/>
          </w:tcPr>
          <w:p w14:paraId="36197A23" w14:textId="77777777" w:rsidR="00990B14" w:rsidRDefault="00000000">
            <w:pPr>
              <w:spacing w:before="20" w:after="20"/>
              <w:jc w:val="both"/>
            </w:pPr>
            <w:r>
              <w:rPr>
                <w:sz w:val="18"/>
                <w:szCs w:val="18"/>
              </w:rPr>
              <w:t>Clasifica mal ingresos o gastos.</w:t>
            </w:r>
          </w:p>
        </w:tc>
        <w:tc>
          <w:tcPr>
            <w:tcW w:w="1910" w:type="dxa"/>
            <w:shd w:val="clear" w:color="auto" w:fill="D9E2F3"/>
            <w:vAlign w:val="center"/>
          </w:tcPr>
          <w:p w14:paraId="0A6F7100" w14:textId="77777777" w:rsidR="00990B14" w:rsidRDefault="00000000">
            <w:pPr>
              <w:spacing w:before="20" w:after="20"/>
              <w:jc w:val="both"/>
            </w:pPr>
            <w:r>
              <w:rPr>
                <w:sz w:val="18"/>
                <w:szCs w:val="18"/>
              </w:rPr>
              <w:t>Clasifica los ingresos y los gastos corrientes y de capital.</w:t>
            </w:r>
          </w:p>
        </w:tc>
        <w:tc>
          <w:tcPr>
            <w:tcW w:w="2225" w:type="dxa"/>
            <w:shd w:val="clear" w:color="auto" w:fill="D9E2F3"/>
            <w:vAlign w:val="center"/>
          </w:tcPr>
          <w:p w14:paraId="704ED022" w14:textId="77777777" w:rsidR="00990B14" w:rsidRDefault="00000000">
            <w:pPr>
              <w:spacing w:before="20" w:after="20"/>
              <w:jc w:val="both"/>
            </w:pPr>
            <w:r>
              <w:rPr>
                <w:sz w:val="18"/>
                <w:szCs w:val="18"/>
              </w:rPr>
              <w:t>Analiza la dependencia de los ingresos por recursos naturales.</w:t>
            </w:r>
          </w:p>
        </w:tc>
      </w:tr>
      <w:tr w:rsidR="00990B14" w14:paraId="34FE0D40" w14:textId="77777777">
        <w:trPr>
          <w:cantSplit/>
          <w:jc w:val="center"/>
        </w:trPr>
        <w:tc>
          <w:tcPr>
            <w:tcW w:w="1545" w:type="dxa"/>
            <w:vMerge/>
            <w:shd w:val="clear" w:color="auto" w:fill="4472C4"/>
            <w:vAlign w:val="center"/>
          </w:tcPr>
          <w:p w14:paraId="2C4631E3" w14:textId="77777777" w:rsidR="00990B14" w:rsidRDefault="00990B14">
            <w:pPr>
              <w:spacing w:before="20" w:after="20"/>
            </w:pPr>
          </w:p>
        </w:tc>
        <w:tc>
          <w:tcPr>
            <w:tcW w:w="1815" w:type="dxa"/>
            <w:shd w:val="clear" w:color="auto" w:fill="D9E2F3"/>
            <w:vAlign w:val="center"/>
          </w:tcPr>
          <w:p w14:paraId="1BF4A83C" w14:textId="77777777" w:rsidR="00990B14" w:rsidRDefault="00000000">
            <w:pPr>
              <w:spacing w:before="20" w:after="20"/>
              <w:jc w:val="both"/>
            </w:pPr>
            <w:r>
              <w:rPr>
                <w:sz w:val="18"/>
                <w:szCs w:val="18"/>
              </w:rPr>
              <w:t>Resultados fiscales</w:t>
            </w:r>
          </w:p>
        </w:tc>
        <w:tc>
          <w:tcPr>
            <w:tcW w:w="1910" w:type="dxa"/>
            <w:shd w:val="clear" w:color="auto" w:fill="D9E2F3"/>
            <w:vAlign w:val="center"/>
          </w:tcPr>
          <w:p w14:paraId="13E6C650" w14:textId="77777777" w:rsidR="00990B14" w:rsidRDefault="00000000">
            <w:pPr>
              <w:spacing w:before="20" w:after="20"/>
              <w:jc w:val="both"/>
            </w:pPr>
            <w:r>
              <w:rPr>
                <w:sz w:val="18"/>
                <w:szCs w:val="18"/>
              </w:rPr>
              <w:t>Confunde el resultado primario y el global.</w:t>
            </w:r>
          </w:p>
        </w:tc>
        <w:tc>
          <w:tcPr>
            <w:tcW w:w="1910" w:type="dxa"/>
            <w:shd w:val="clear" w:color="auto" w:fill="D9E2F3"/>
            <w:vAlign w:val="center"/>
          </w:tcPr>
          <w:p w14:paraId="1752AD9A" w14:textId="77777777" w:rsidR="00990B14" w:rsidRDefault="00000000">
            <w:pPr>
              <w:spacing w:before="20" w:after="20"/>
              <w:jc w:val="both"/>
            </w:pPr>
            <w:r>
              <w:rPr>
                <w:sz w:val="18"/>
                <w:szCs w:val="18"/>
              </w:rPr>
              <w:t>Calcula el resultado primario y el global.</w:t>
            </w:r>
          </w:p>
        </w:tc>
        <w:tc>
          <w:tcPr>
            <w:tcW w:w="2225" w:type="dxa"/>
            <w:shd w:val="clear" w:color="auto" w:fill="D9E2F3"/>
            <w:vAlign w:val="center"/>
          </w:tcPr>
          <w:p w14:paraId="59DAABCF" w14:textId="77777777" w:rsidR="00990B14" w:rsidRDefault="00000000">
            <w:pPr>
              <w:spacing w:before="20" w:after="20"/>
              <w:jc w:val="both"/>
            </w:pPr>
            <w:r>
              <w:rPr>
                <w:sz w:val="18"/>
                <w:szCs w:val="18"/>
              </w:rPr>
              <w:t>Evalúa la sostenibilidad del financiamiento y de la deuda.</w:t>
            </w:r>
          </w:p>
        </w:tc>
      </w:tr>
      <w:tr w:rsidR="00990B14" w14:paraId="43AF5694" w14:textId="77777777">
        <w:trPr>
          <w:cantSplit/>
          <w:jc w:val="center"/>
        </w:trPr>
        <w:tc>
          <w:tcPr>
            <w:tcW w:w="1545" w:type="dxa"/>
            <w:vMerge/>
            <w:shd w:val="clear" w:color="auto" w:fill="4472C4"/>
            <w:vAlign w:val="center"/>
          </w:tcPr>
          <w:p w14:paraId="114F1D0E" w14:textId="77777777" w:rsidR="00990B14" w:rsidRDefault="00990B14">
            <w:pPr>
              <w:spacing w:before="20" w:after="20"/>
            </w:pPr>
          </w:p>
        </w:tc>
        <w:tc>
          <w:tcPr>
            <w:tcW w:w="1815" w:type="dxa"/>
            <w:shd w:val="clear" w:color="auto" w:fill="D9E2F3"/>
            <w:vAlign w:val="center"/>
          </w:tcPr>
          <w:p w14:paraId="231A5C88" w14:textId="77777777" w:rsidR="00990B14" w:rsidRDefault="00000000">
            <w:pPr>
              <w:spacing w:before="20" w:after="20"/>
              <w:jc w:val="both"/>
            </w:pPr>
            <w:r>
              <w:rPr>
                <w:sz w:val="18"/>
                <w:szCs w:val="18"/>
              </w:rPr>
              <w:t>Uso de la hoja</w:t>
            </w:r>
          </w:p>
        </w:tc>
        <w:tc>
          <w:tcPr>
            <w:tcW w:w="1910" w:type="dxa"/>
            <w:shd w:val="clear" w:color="auto" w:fill="D9E2F3"/>
            <w:vAlign w:val="center"/>
          </w:tcPr>
          <w:p w14:paraId="455C9AF5" w14:textId="77777777" w:rsidR="00990B14" w:rsidRDefault="00000000">
            <w:pPr>
              <w:spacing w:before="20" w:after="20"/>
              <w:jc w:val="both"/>
            </w:pPr>
            <w:r>
              <w:rPr>
                <w:sz w:val="18"/>
                <w:szCs w:val="18"/>
              </w:rPr>
              <w:t>La hoja no tiene fórmulas.</w:t>
            </w:r>
          </w:p>
        </w:tc>
        <w:tc>
          <w:tcPr>
            <w:tcW w:w="1910" w:type="dxa"/>
            <w:shd w:val="clear" w:color="auto" w:fill="D9E2F3"/>
            <w:vAlign w:val="center"/>
          </w:tcPr>
          <w:p w14:paraId="0CB182C5" w14:textId="77777777" w:rsidR="00990B14" w:rsidRDefault="00000000">
            <w:pPr>
              <w:spacing w:before="20" w:after="20"/>
              <w:jc w:val="both"/>
            </w:pPr>
            <w:r>
              <w:rPr>
                <w:sz w:val="18"/>
                <w:szCs w:val="18"/>
              </w:rPr>
              <w:t>La hoja está ordenada y con fórmulas.</w:t>
            </w:r>
          </w:p>
        </w:tc>
        <w:tc>
          <w:tcPr>
            <w:tcW w:w="2225" w:type="dxa"/>
            <w:shd w:val="clear" w:color="auto" w:fill="D9E2F3"/>
            <w:vAlign w:val="center"/>
          </w:tcPr>
          <w:p w14:paraId="10F28A46" w14:textId="77777777" w:rsidR="00990B14" w:rsidRDefault="00000000">
            <w:pPr>
              <w:spacing w:before="20" w:after="20"/>
              <w:jc w:val="both"/>
            </w:pPr>
            <w:r>
              <w:rPr>
                <w:sz w:val="18"/>
                <w:szCs w:val="18"/>
              </w:rPr>
              <w:t>Incluye gráficos de la evolución fiscal.</w:t>
            </w:r>
          </w:p>
        </w:tc>
      </w:tr>
      <w:tr w:rsidR="00990B14" w14:paraId="429B8F2F" w14:textId="77777777">
        <w:trPr>
          <w:cantSplit/>
          <w:jc w:val="center"/>
        </w:trPr>
        <w:tc>
          <w:tcPr>
            <w:tcW w:w="1545" w:type="dxa"/>
            <w:vMerge/>
            <w:shd w:val="clear" w:color="auto" w:fill="4472C4"/>
            <w:vAlign w:val="center"/>
          </w:tcPr>
          <w:p w14:paraId="3899399E" w14:textId="77777777" w:rsidR="00990B14" w:rsidRDefault="00990B14">
            <w:pPr>
              <w:spacing w:before="20" w:after="20"/>
            </w:pPr>
          </w:p>
        </w:tc>
        <w:tc>
          <w:tcPr>
            <w:tcW w:w="5635" w:type="dxa"/>
            <w:gridSpan w:val="3"/>
            <w:shd w:val="clear" w:color="auto" w:fill="D9E2F3"/>
            <w:vAlign w:val="center"/>
          </w:tcPr>
          <w:p w14:paraId="694431AC" w14:textId="77777777" w:rsidR="00990B14" w:rsidRDefault="00000000">
            <w:pPr>
              <w:keepNext/>
              <w:spacing w:before="20" w:after="20"/>
              <w:jc w:val="both"/>
            </w:pPr>
            <w:r>
              <w:rPr>
                <w:b/>
                <w:bCs/>
                <w:i/>
                <w:iCs/>
                <w:sz w:val="18"/>
                <w:szCs w:val="18"/>
              </w:rPr>
              <w:t xml:space="preserve">Producto 19: </w:t>
            </w:r>
            <w:r>
              <w:rPr>
                <w:sz w:val="18"/>
                <w:szCs w:val="18"/>
              </w:rPr>
              <w:t>Informe de salud financiera subnacional.</w:t>
            </w:r>
          </w:p>
        </w:tc>
        <w:tc>
          <w:tcPr>
            <w:tcW w:w="2225" w:type="dxa"/>
            <w:shd w:val="clear" w:color="auto" w:fill="D9E2F3"/>
            <w:vAlign w:val="center"/>
          </w:tcPr>
          <w:p w14:paraId="78327410" w14:textId="77777777" w:rsidR="00990B14" w:rsidRDefault="00000000">
            <w:pPr>
              <w:spacing w:before="20" w:after="20"/>
              <w:jc w:val="center"/>
            </w:pPr>
            <w:r>
              <w:rPr>
                <w:b/>
                <w:bCs/>
                <w:sz w:val="18"/>
                <w:szCs w:val="18"/>
              </w:rPr>
              <w:t>5%</w:t>
            </w:r>
          </w:p>
        </w:tc>
      </w:tr>
      <w:tr w:rsidR="00990B14" w14:paraId="1DD28D4C" w14:textId="77777777">
        <w:trPr>
          <w:cantSplit/>
          <w:jc w:val="center"/>
        </w:trPr>
        <w:tc>
          <w:tcPr>
            <w:tcW w:w="1545" w:type="dxa"/>
            <w:vMerge/>
            <w:shd w:val="clear" w:color="auto" w:fill="4472C4"/>
            <w:vAlign w:val="center"/>
          </w:tcPr>
          <w:p w14:paraId="64D0E433" w14:textId="77777777" w:rsidR="00990B14" w:rsidRDefault="00990B14">
            <w:pPr>
              <w:spacing w:before="20" w:after="20"/>
            </w:pPr>
          </w:p>
        </w:tc>
        <w:tc>
          <w:tcPr>
            <w:tcW w:w="1815" w:type="dxa"/>
            <w:shd w:val="clear" w:color="auto" w:fill="4472C4"/>
            <w:vAlign w:val="center"/>
          </w:tcPr>
          <w:p w14:paraId="3CCF6879"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7BE7ABAA"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01B1A46E" w14:textId="77777777" w:rsidR="00990B14" w:rsidRDefault="00000000">
            <w:pPr>
              <w:keepNext/>
              <w:spacing w:before="20" w:after="20"/>
              <w:jc w:val="center"/>
            </w:pPr>
            <w:r>
              <w:rPr>
                <w:b/>
                <w:bCs/>
                <w:i/>
                <w:iCs/>
                <w:color w:val="FFFFFF"/>
                <w:sz w:val="18"/>
                <w:szCs w:val="18"/>
              </w:rPr>
              <w:t>Suficiente (51–80)</w:t>
            </w:r>
          </w:p>
        </w:tc>
        <w:tc>
          <w:tcPr>
            <w:tcW w:w="2225" w:type="dxa"/>
            <w:shd w:val="clear" w:color="auto" w:fill="4472C4"/>
            <w:vAlign w:val="center"/>
          </w:tcPr>
          <w:p w14:paraId="16FDB341" w14:textId="77777777" w:rsidR="00990B14" w:rsidRDefault="00000000">
            <w:pPr>
              <w:keepNext/>
              <w:spacing w:before="20" w:after="20"/>
              <w:jc w:val="center"/>
            </w:pPr>
            <w:r>
              <w:rPr>
                <w:b/>
                <w:bCs/>
                <w:i/>
                <w:iCs/>
                <w:color w:val="FFFFFF"/>
                <w:sz w:val="18"/>
                <w:szCs w:val="18"/>
              </w:rPr>
              <w:t>Destacado (81–100)</w:t>
            </w:r>
          </w:p>
        </w:tc>
      </w:tr>
      <w:tr w:rsidR="00990B14" w14:paraId="31791A7B" w14:textId="77777777">
        <w:trPr>
          <w:cantSplit/>
          <w:jc w:val="center"/>
        </w:trPr>
        <w:tc>
          <w:tcPr>
            <w:tcW w:w="1545" w:type="dxa"/>
            <w:vMerge/>
            <w:shd w:val="clear" w:color="auto" w:fill="4472C4"/>
            <w:vAlign w:val="center"/>
          </w:tcPr>
          <w:p w14:paraId="31836E6F" w14:textId="77777777" w:rsidR="00990B14" w:rsidRDefault="00990B14">
            <w:pPr>
              <w:spacing w:before="20" w:after="20"/>
            </w:pPr>
          </w:p>
        </w:tc>
        <w:tc>
          <w:tcPr>
            <w:tcW w:w="1815" w:type="dxa"/>
            <w:shd w:val="clear" w:color="auto" w:fill="D9E2F3"/>
            <w:vAlign w:val="center"/>
          </w:tcPr>
          <w:p w14:paraId="1A30594A" w14:textId="77777777" w:rsidR="00990B14" w:rsidRDefault="00000000">
            <w:pPr>
              <w:spacing w:before="20" w:after="20"/>
              <w:jc w:val="both"/>
            </w:pPr>
            <w:r>
              <w:rPr>
                <w:sz w:val="18"/>
                <w:szCs w:val="18"/>
              </w:rPr>
              <w:t>Fuentes de financiamiento</w:t>
            </w:r>
          </w:p>
        </w:tc>
        <w:tc>
          <w:tcPr>
            <w:tcW w:w="1910" w:type="dxa"/>
            <w:shd w:val="clear" w:color="auto" w:fill="D9E2F3"/>
            <w:vAlign w:val="center"/>
          </w:tcPr>
          <w:p w14:paraId="4BDE31DE" w14:textId="77777777" w:rsidR="00990B14" w:rsidRDefault="00000000">
            <w:pPr>
              <w:spacing w:before="20" w:after="20"/>
              <w:jc w:val="both"/>
            </w:pPr>
            <w:r>
              <w:rPr>
                <w:sz w:val="18"/>
                <w:szCs w:val="18"/>
              </w:rPr>
              <w:t>Omite fuentes de financiamiento.</w:t>
            </w:r>
          </w:p>
        </w:tc>
        <w:tc>
          <w:tcPr>
            <w:tcW w:w="1910" w:type="dxa"/>
            <w:shd w:val="clear" w:color="auto" w:fill="D9E2F3"/>
            <w:vAlign w:val="center"/>
          </w:tcPr>
          <w:p w14:paraId="262BDE27" w14:textId="77777777" w:rsidR="00990B14" w:rsidRDefault="00000000">
            <w:pPr>
              <w:spacing w:before="20" w:after="20"/>
              <w:jc w:val="both"/>
            </w:pPr>
            <w:r>
              <w:rPr>
                <w:sz w:val="18"/>
                <w:szCs w:val="18"/>
              </w:rPr>
              <w:t>Identifica la coparticipación, el IDH, las regalías y los ingresos propios.</w:t>
            </w:r>
          </w:p>
        </w:tc>
        <w:tc>
          <w:tcPr>
            <w:tcW w:w="2225" w:type="dxa"/>
            <w:shd w:val="clear" w:color="auto" w:fill="D9E2F3"/>
            <w:vAlign w:val="center"/>
          </w:tcPr>
          <w:p w14:paraId="7BF64319" w14:textId="77777777" w:rsidR="00990B14" w:rsidRDefault="00000000">
            <w:pPr>
              <w:spacing w:before="20" w:after="20"/>
              <w:jc w:val="both"/>
            </w:pPr>
            <w:r>
              <w:rPr>
                <w:sz w:val="18"/>
                <w:szCs w:val="18"/>
              </w:rPr>
              <w:t>Analiza la correspondencia entre recursos y competencias.</w:t>
            </w:r>
          </w:p>
        </w:tc>
      </w:tr>
      <w:tr w:rsidR="00990B14" w14:paraId="579ED101" w14:textId="77777777">
        <w:trPr>
          <w:cantSplit/>
          <w:jc w:val="center"/>
        </w:trPr>
        <w:tc>
          <w:tcPr>
            <w:tcW w:w="1545" w:type="dxa"/>
            <w:vMerge/>
            <w:shd w:val="clear" w:color="auto" w:fill="4472C4"/>
            <w:vAlign w:val="center"/>
          </w:tcPr>
          <w:p w14:paraId="0DF9B907" w14:textId="77777777" w:rsidR="00990B14" w:rsidRDefault="00990B14">
            <w:pPr>
              <w:spacing w:before="20" w:after="20"/>
            </w:pPr>
          </w:p>
        </w:tc>
        <w:tc>
          <w:tcPr>
            <w:tcW w:w="1815" w:type="dxa"/>
            <w:shd w:val="clear" w:color="auto" w:fill="D9E2F3"/>
            <w:vAlign w:val="center"/>
          </w:tcPr>
          <w:p w14:paraId="403BFAF0" w14:textId="77777777" w:rsidR="00990B14" w:rsidRDefault="00000000">
            <w:pPr>
              <w:spacing w:before="20" w:after="20"/>
              <w:jc w:val="both"/>
            </w:pPr>
            <w:r>
              <w:rPr>
                <w:sz w:val="18"/>
                <w:szCs w:val="18"/>
              </w:rPr>
              <w:t>Indicadores</w:t>
            </w:r>
          </w:p>
        </w:tc>
        <w:tc>
          <w:tcPr>
            <w:tcW w:w="1910" w:type="dxa"/>
            <w:shd w:val="clear" w:color="auto" w:fill="D9E2F3"/>
            <w:vAlign w:val="center"/>
          </w:tcPr>
          <w:p w14:paraId="5816A845" w14:textId="77777777" w:rsidR="00990B14" w:rsidRDefault="00000000">
            <w:pPr>
              <w:spacing w:before="20" w:after="20"/>
              <w:jc w:val="both"/>
            </w:pPr>
            <w:r>
              <w:rPr>
                <w:sz w:val="18"/>
                <w:szCs w:val="18"/>
              </w:rPr>
              <w:t>Calcula mal los indicadores.</w:t>
            </w:r>
          </w:p>
        </w:tc>
        <w:tc>
          <w:tcPr>
            <w:tcW w:w="1910" w:type="dxa"/>
            <w:shd w:val="clear" w:color="auto" w:fill="D9E2F3"/>
            <w:vAlign w:val="center"/>
          </w:tcPr>
          <w:p w14:paraId="78424C29" w14:textId="77777777" w:rsidR="00990B14" w:rsidRDefault="00000000">
            <w:pPr>
              <w:spacing w:before="20" w:after="20"/>
              <w:jc w:val="both"/>
            </w:pPr>
            <w:r>
              <w:rPr>
                <w:sz w:val="18"/>
                <w:szCs w:val="18"/>
              </w:rPr>
              <w:t>Calcula correctamente los indicadores fiscales.</w:t>
            </w:r>
          </w:p>
        </w:tc>
        <w:tc>
          <w:tcPr>
            <w:tcW w:w="2225" w:type="dxa"/>
            <w:shd w:val="clear" w:color="auto" w:fill="D9E2F3"/>
            <w:vAlign w:val="center"/>
          </w:tcPr>
          <w:p w14:paraId="2270ACB8" w14:textId="77777777" w:rsidR="00990B14" w:rsidRDefault="00000000">
            <w:pPr>
              <w:spacing w:before="20" w:after="20"/>
              <w:jc w:val="both"/>
            </w:pPr>
            <w:r>
              <w:rPr>
                <w:sz w:val="18"/>
                <w:szCs w:val="18"/>
              </w:rPr>
              <w:t>Compara los indicadores con otra entidad similar.</w:t>
            </w:r>
          </w:p>
        </w:tc>
      </w:tr>
      <w:tr w:rsidR="00990B14" w14:paraId="7F24BCF5" w14:textId="77777777">
        <w:trPr>
          <w:cantSplit/>
          <w:jc w:val="center"/>
        </w:trPr>
        <w:tc>
          <w:tcPr>
            <w:tcW w:w="1545" w:type="dxa"/>
            <w:vMerge/>
            <w:shd w:val="clear" w:color="auto" w:fill="4472C4"/>
            <w:vAlign w:val="center"/>
          </w:tcPr>
          <w:p w14:paraId="02C4FC1E" w14:textId="77777777" w:rsidR="00990B14" w:rsidRDefault="00990B14">
            <w:pPr>
              <w:spacing w:before="20" w:after="20"/>
            </w:pPr>
          </w:p>
        </w:tc>
        <w:tc>
          <w:tcPr>
            <w:tcW w:w="1815" w:type="dxa"/>
            <w:shd w:val="clear" w:color="auto" w:fill="D9E2F3"/>
            <w:vAlign w:val="center"/>
          </w:tcPr>
          <w:p w14:paraId="5A08BBD3" w14:textId="77777777" w:rsidR="00990B14" w:rsidRDefault="00000000">
            <w:pPr>
              <w:spacing w:before="20" w:after="20"/>
              <w:jc w:val="both"/>
            </w:pPr>
            <w:r>
              <w:rPr>
                <w:sz w:val="18"/>
                <w:szCs w:val="18"/>
              </w:rPr>
              <w:t>Conclusión</w:t>
            </w:r>
          </w:p>
        </w:tc>
        <w:tc>
          <w:tcPr>
            <w:tcW w:w="1910" w:type="dxa"/>
            <w:shd w:val="clear" w:color="auto" w:fill="D9E2F3"/>
            <w:vAlign w:val="center"/>
          </w:tcPr>
          <w:p w14:paraId="1C1A7EF3" w14:textId="77777777" w:rsidR="00990B14" w:rsidRDefault="00000000">
            <w:pPr>
              <w:spacing w:before="20" w:after="20"/>
              <w:jc w:val="both"/>
            </w:pPr>
            <w:r>
              <w:rPr>
                <w:sz w:val="18"/>
                <w:szCs w:val="18"/>
              </w:rPr>
              <w:t>No emite conclusión.</w:t>
            </w:r>
          </w:p>
        </w:tc>
        <w:tc>
          <w:tcPr>
            <w:tcW w:w="1910" w:type="dxa"/>
            <w:shd w:val="clear" w:color="auto" w:fill="D9E2F3"/>
            <w:vAlign w:val="center"/>
          </w:tcPr>
          <w:p w14:paraId="3F84ECF8" w14:textId="77777777" w:rsidR="00990B14" w:rsidRDefault="00000000">
            <w:pPr>
              <w:spacing w:before="20" w:after="20"/>
              <w:jc w:val="both"/>
            </w:pPr>
            <w:r>
              <w:rPr>
                <w:sz w:val="18"/>
                <w:szCs w:val="18"/>
              </w:rPr>
              <w:t>Emite una conclusión sobre la salud financiera.</w:t>
            </w:r>
          </w:p>
        </w:tc>
        <w:tc>
          <w:tcPr>
            <w:tcW w:w="2225" w:type="dxa"/>
            <w:shd w:val="clear" w:color="auto" w:fill="D9E2F3"/>
            <w:vAlign w:val="center"/>
          </w:tcPr>
          <w:p w14:paraId="6983C4E0" w14:textId="77777777" w:rsidR="00990B14" w:rsidRDefault="00000000">
            <w:pPr>
              <w:spacing w:before="20" w:after="20"/>
              <w:jc w:val="both"/>
            </w:pPr>
            <w:r>
              <w:rPr>
                <w:sz w:val="18"/>
                <w:szCs w:val="18"/>
              </w:rPr>
              <w:t>Propone medidas de mejora de la gestión fiscal.</w:t>
            </w:r>
          </w:p>
        </w:tc>
      </w:tr>
      <w:tr w:rsidR="00990B14" w14:paraId="095DD2FC" w14:textId="77777777">
        <w:trPr>
          <w:cantSplit/>
          <w:jc w:val="center"/>
        </w:trPr>
        <w:tc>
          <w:tcPr>
            <w:tcW w:w="1545" w:type="dxa"/>
            <w:vMerge/>
            <w:shd w:val="clear" w:color="auto" w:fill="4472C4"/>
            <w:vAlign w:val="center"/>
          </w:tcPr>
          <w:p w14:paraId="3F71FF4F" w14:textId="77777777" w:rsidR="00990B14" w:rsidRDefault="00990B14">
            <w:pPr>
              <w:spacing w:before="20" w:after="20"/>
            </w:pPr>
          </w:p>
        </w:tc>
        <w:tc>
          <w:tcPr>
            <w:tcW w:w="5635" w:type="dxa"/>
            <w:gridSpan w:val="3"/>
            <w:shd w:val="clear" w:color="auto" w:fill="D9E2F3"/>
            <w:vAlign w:val="center"/>
          </w:tcPr>
          <w:p w14:paraId="135C60BB" w14:textId="77777777" w:rsidR="00990B14" w:rsidRDefault="00000000">
            <w:pPr>
              <w:keepNext/>
              <w:spacing w:before="20" w:after="20"/>
              <w:jc w:val="both"/>
            </w:pPr>
            <w:r>
              <w:rPr>
                <w:b/>
                <w:bCs/>
                <w:i/>
                <w:iCs/>
                <w:sz w:val="18"/>
                <w:szCs w:val="18"/>
              </w:rPr>
              <w:t xml:space="preserve">Producto 20: </w:t>
            </w:r>
            <w:r>
              <w:rPr>
                <w:sz w:val="18"/>
                <w:szCs w:val="18"/>
              </w:rPr>
              <w:t>Propuesta de planificación tributaria</w:t>
            </w:r>
          </w:p>
        </w:tc>
        <w:tc>
          <w:tcPr>
            <w:tcW w:w="2225" w:type="dxa"/>
            <w:shd w:val="clear" w:color="auto" w:fill="D9E2F3"/>
            <w:vAlign w:val="center"/>
          </w:tcPr>
          <w:p w14:paraId="59F7900B" w14:textId="77777777" w:rsidR="00990B14" w:rsidRDefault="00000000">
            <w:pPr>
              <w:spacing w:before="20" w:after="20"/>
              <w:jc w:val="center"/>
            </w:pPr>
            <w:r>
              <w:rPr>
                <w:b/>
                <w:bCs/>
                <w:sz w:val="18"/>
                <w:szCs w:val="18"/>
              </w:rPr>
              <w:t>5%</w:t>
            </w:r>
          </w:p>
        </w:tc>
      </w:tr>
      <w:tr w:rsidR="00990B14" w14:paraId="05BC0AD6" w14:textId="77777777">
        <w:trPr>
          <w:cantSplit/>
          <w:jc w:val="center"/>
        </w:trPr>
        <w:tc>
          <w:tcPr>
            <w:tcW w:w="1545" w:type="dxa"/>
            <w:vMerge/>
            <w:shd w:val="clear" w:color="auto" w:fill="4472C4"/>
            <w:vAlign w:val="center"/>
          </w:tcPr>
          <w:p w14:paraId="6F73D0FB" w14:textId="77777777" w:rsidR="00990B14" w:rsidRDefault="00990B14">
            <w:pPr>
              <w:spacing w:before="20" w:after="20"/>
            </w:pPr>
          </w:p>
        </w:tc>
        <w:tc>
          <w:tcPr>
            <w:tcW w:w="1815" w:type="dxa"/>
            <w:shd w:val="clear" w:color="auto" w:fill="4472C4"/>
            <w:vAlign w:val="center"/>
          </w:tcPr>
          <w:p w14:paraId="4925194E"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2F48A35F"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10B04BC8" w14:textId="77777777" w:rsidR="00990B14" w:rsidRDefault="00000000">
            <w:pPr>
              <w:keepNext/>
              <w:spacing w:before="20" w:after="20"/>
              <w:jc w:val="center"/>
            </w:pPr>
            <w:r>
              <w:rPr>
                <w:b/>
                <w:bCs/>
                <w:i/>
                <w:iCs/>
                <w:color w:val="FFFFFF"/>
                <w:sz w:val="18"/>
                <w:szCs w:val="18"/>
              </w:rPr>
              <w:t>Suficiente (51–80)</w:t>
            </w:r>
          </w:p>
        </w:tc>
        <w:tc>
          <w:tcPr>
            <w:tcW w:w="2225" w:type="dxa"/>
            <w:shd w:val="clear" w:color="auto" w:fill="4472C4"/>
            <w:vAlign w:val="center"/>
          </w:tcPr>
          <w:p w14:paraId="5657EA15" w14:textId="77777777" w:rsidR="00990B14" w:rsidRDefault="00000000">
            <w:pPr>
              <w:keepNext/>
              <w:spacing w:before="20" w:after="20"/>
              <w:jc w:val="center"/>
            </w:pPr>
            <w:r>
              <w:rPr>
                <w:b/>
                <w:bCs/>
                <w:i/>
                <w:iCs/>
                <w:color w:val="FFFFFF"/>
                <w:sz w:val="18"/>
                <w:szCs w:val="18"/>
              </w:rPr>
              <w:t>Destacado (81–100)</w:t>
            </w:r>
          </w:p>
        </w:tc>
      </w:tr>
      <w:tr w:rsidR="00990B14" w14:paraId="6720EA29" w14:textId="77777777">
        <w:trPr>
          <w:cantSplit/>
          <w:jc w:val="center"/>
        </w:trPr>
        <w:tc>
          <w:tcPr>
            <w:tcW w:w="1545" w:type="dxa"/>
            <w:vMerge/>
            <w:shd w:val="clear" w:color="auto" w:fill="4472C4"/>
            <w:vAlign w:val="center"/>
          </w:tcPr>
          <w:p w14:paraId="19F87A1A" w14:textId="77777777" w:rsidR="00990B14" w:rsidRDefault="00990B14">
            <w:pPr>
              <w:spacing w:before="20" w:after="20"/>
            </w:pPr>
          </w:p>
        </w:tc>
        <w:tc>
          <w:tcPr>
            <w:tcW w:w="1815" w:type="dxa"/>
            <w:shd w:val="clear" w:color="auto" w:fill="D9E2F3"/>
            <w:vAlign w:val="center"/>
          </w:tcPr>
          <w:p w14:paraId="6C71006C" w14:textId="77777777" w:rsidR="00990B14" w:rsidRDefault="00000000">
            <w:pPr>
              <w:spacing w:before="20" w:after="20"/>
              <w:jc w:val="both"/>
            </w:pPr>
            <w:r>
              <w:rPr>
                <w:sz w:val="18"/>
                <w:szCs w:val="18"/>
              </w:rPr>
              <w:t>Dominio de los impuestos</w:t>
            </w:r>
          </w:p>
        </w:tc>
        <w:tc>
          <w:tcPr>
            <w:tcW w:w="1910" w:type="dxa"/>
            <w:shd w:val="clear" w:color="auto" w:fill="D9E2F3"/>
            <w:vAlign w:val="center"/>
          </w:tcPr>
          <w:p w14:paraId="462A2C4A" w14:textId="77777777" w:rsidR="00990B14" w:rsidRDefault="00000000">
            <w:pPr>
              <w:spacing w:before="20" w:after="20"/>
              <w:jc w:val="both"/>
            </w:pPr>
            <w:r>
              <w:rPr>
                <w:sz w:val="18"/>
                <w:szCs w:val="18"/>
              </w:rPr>
              <w:t>Confunde el nivel de gobierno de cada impuesto.</w:t>
            </w:r>
          </w:p>
        </w:tc>
        <w:tc>
          <w:tcPr>
            <w:tcW w:w="1910" w:type="dxa"/>
            <w:shd w:val="clear" w:color="auto" w:fill="D9E2F3"/>
            <w:vAlign w:val="center"/>
          </w:tcPr>
          <w:p w14:paraId="5AF1F2DD" w14:textId="77777777" w:rsidR="00990B14" w:rsidRDefault="00000000">
            <w:pPr>
              <w:spacing w:before="20" w:after="20"/>
              <w:jc w:val="both"/>
            </w:pPr>
            <w:r>
              <w:rPr>
                <w:sz w:val="18"/>
                <w:szCs w:val="18"/>
              </w:rPr>
              <w:t>Identifica los impuestos de cada nivel de gobierno.</w:t>
            </w:r>
          </w:p>
        </w:tc>
        <w:tc>
          <w:tcPr>
            <w:tcW w:w="2225" w:type="dxa"/>
            <w:shd w:val="clear" w:color="auto" w:fill="D9E2F3"/>
            <w:vAlign w:val="center"/>
          </w:tcPr>
          <w:p w14:paraId="0EFEFC47" w14:textId="77777777" w:rsidR="00990B14" w:rsidRDefault="00000000">
            <w:pPr>
              <w:spacing w:before="20" w:after="20"/>
              <w:jc w:val="both"/>
            </w:pPr>
            <w:r>
              <w:rPr>
                <w:sz w:val="18"/>
                <w:szCs w:val="18"/>
              </w:rPr>
              <w:t>Cuantifica la carga tributaria por municipio.</w:t>
            </w:r>
          </w:p>
        </w:tc>
      </w:tr>
      <w:tr w:rsidR="00990B14" w14:paraId="444BA879" w14:textId="77777777">
        <w:trPr>
          <w:cantSplit/>
          <w:jc w:val="center"/>
        </w:trPr>
        <w:tc>
          <w:tcPr>
            <w:tcW w:w="1545" w:type="dxa"/>
            <w:vMerge/>
            <w:shd w:val="clear" w:color="auto" w:fill="4472C4"/>
            <w:vAlign w:val="center"/>
          </w:tcPr>
          <w:p w14:paraId="74C413D6" w14:textId="77777777" w:rsidR="00990B14" w:rsidRDefault="00990B14">
            <w:pPr>
              <w:spacing w:before="20" w:after="20"/>
            </w:pPr>
          </w:p>
        </w:tc>
        <w:tc>
          <w:tcPr>
            <w:tcW w:w="1815" w:type="dxa"/>
            <w:shd w:val="clear" w:color="auto" w:fill="D9E2F3"/>
            <w:vAlign w:val="center"/>
          </w:tcPr>
          <w:p w14:paraId="2139FCFE" w14:textId="77777777" w:rsidR="00990B14" w:rsidRDefault="00000000">
            <w:pPr>
              <w:spacing w:before="20" w:after="20"/>
              <w:jc w:val="both"/>
            </w:pPr>
            <w:r>
              <w:rPr>
                <w:sz w:val="18"/>
                <w:szCs w:val="18"/>
              </w:rPr>
              <w:t>Estrategia</w:t>
            </w:r>
          </w:p>
        </w:tc>
        <w:tc>
          <w:tcPr>
            <w:tcW w:w="1910" w:type="dxa"/>
            <w:shd w:val="clear" w:color="auto" w:fill="D9E2F3"/>
            <w:vAlign w:val="center"/>
          </w:tcPr>
          <w:p w14:paraId="48AB66AD" w14:textId="77777777" w:rsidR="00990B14" w:rsidRDefault="00000000">
            <w:pPr>
              <w:spacing w:before="20" w:after="20"/>
              <w:jc w:val="both"/>
            </w:pPr>
            <w:r>
              <w:rPr>
                <w:sz w:val="18"/>
                <w:szCs w:val="18"/>
              </w:rPr>
              <w:t>La estrategia no se ajusta a la norma.</w:t>
            </w:r>
          </w:p>
        </w:tc>
        <w:tc>
          <w:tcPr>
            <w:tcW w:w="1910" w:type="dxa"/>
            <w:shd w:val="clear" w:color="auto" w:fill="D9E2F3"/>
            <w:vAlign w:val="center"/>
          </w:tcPr>
          <w:p w14:paraId="728EE2D8" w14:textId="77777777" w:rsidR="00990B14" w:rsidRDefault="00000000">
            <w:pPr>
              <w:spacing w:before="20" w:after="20"/>
              <w:jc w:val="both"/>
            </w:pPr>
            <w:r>
              <w:rPr>
                <w:sz w:val="18"/>
                <w:szCs w:val="18"/>
              </w:rPr>
              <w:t>Propone una estrategia lícita y coherente.</w:t>
            </w:r>
          </w:p>
        </w:tc>
        <w:tc>
          <w:tcPr>
            <w:tcW w:w="2225" w:type="dxa"/>
            <w:shd w:val="clear" w:color="auto" w:fill="D9E2F3"/>
            <w:vAlign w:val="center"/>
          </w:tcPr>
          <w:p w14:paraId="6EA17D2A" w14:textId="77777777" w:rsidR="00990B14" w:rsidRDefault="00000000">
            <w:pPr>
              <w:spacing w:before="20" w:after="20"/>
              <w:jc w:val="both"/>
            </w:pPr>
            <w:r>
              <w:rPr>
                <w:sz w:val="18"/>
                <w:szCs w:val="18"/>
              </w:rPr>
              <w:t>Evalúa alternativas y elige la más conveniente.</w:t>
            </w:r>
          </w:p>
        </w:tc>
      </w:tr>
      <w:tr w:rsidR="00990B14" w14:paraId="7E93B1F5" w14:textId="77777777">
        <w:trPr>
          <w:cantSplit/>
          <w:jc w:val="center"/>
        </w:trPr>
        <w:tc>
          <w:tcPr>
            <w:tcW w:w="1545" w:type="dxa"/>
            <w:vMerge/>
            <w:shd w:val="clear" w:color="auto" w:fill="4472C4"/>
            <w:vAlign w:val="center"/>
          </w:tcPr>
          <w:p w14:paraId="258AF94F" w14:textId="77777777" w:rsidR="00990B14" w:rsidRDefault="00990B14">
            <w:pPr>
              <w:spacing w:before="20" w:after="20"/>
            </w:pPr>
          </w:p>
        </w:tc>
        <w:tc>
          <w:tcPr>
            <w:tcW w:w="1815" w:type="dxa"/>
            <w:shd w:val="clear" w:color="auto" w:fill="D9E2F3"/>
            <w:vAlign w:val="center"/>
          </w:tcPr>
          <w:p w14:paraId="5F8B0CE3" w14:textId="77777777" w:rsidR="00990B14" w:rsidRDefault="00000000">
            <w:pPr>
              <w:spacing w:before="20" w:after="20"/>
              <w:jc w:val="both"/>
            </w:pPr>
            <w:r>
              <w:rPr>
                <w:sz w:val="18"/>
                <w:szCs w:val="18"/>
              </w:rPr>
              <w:t>Ética profesional</w:t>
            </w:r>
          </w:p>
        </w:tc>
        <w:tc>
          <w:tcPr>
            <w:tcW w:w="1910" w:type="dxa"/>
            <w:shd w:val="clear" w:color="auto" w:fill="D9E2F3"/>
            <w:vAlign w:val="center"/>
          </w:tcPr>
          <w:p w14:paraId="747A3B5A" w14:textId="77777777" w:rsidR="00990B14" w:rsidRDefault="00000000">
            <w:pPr>
              <w:spacing w:before="20" w:after="20"/>
              <w:jc w:val="both"/>
            </w:pPr>
            <w:r>
              <w:rPr>
                <w:sz w:val="18"/>
                <w:szCs w:val="18"/>
              </w:rPr>
              <w:t>No distingue la elusión de la evasión.</w:t>
            </w:r>
          </w:p>
        </w:tc>
        <w:tc>
          <w:tcPr>
            <w:tcW w:w="1910" w:type="dxa"/>
            <w:shd w:val="clear" w:color="auto" w:fill="D9E2F3"/>
            <w:vAlign w:val="center"/>
          </w:tcPr>
          <w:p w14:paraId="1043D233" w14:textId="77777777" w:rsidR="00990B14" w:rsidRDefault="00000000">
            <w:pPr>
              <w:spacing w:before="20" w:after="20"/>
              <w:jc w:val="both"/>
            </w:pPr>
            <w:r>
              <w:rPr>
                <w:sz w:val="18"/>
                <w:szCs w:val="18"/>
              </w:rPr>
              <w:t>Distingue la planificación lícita de la elusión y la evasión.</w:t>
            </w:r>
          </w:p>
        </w:tc>
        <w:tc>
          <w:tcPr>
            <w:tcW w:w="2225" w:type="dxa"/>
            <w:shd w:val="clear" w:color="auto" w:fill="D9E2F3"/>
            <w:vAlign w:val="center"/>
          </w:tcPr>
          <w:p w14:paraId="14E3B497" w14:textId="77777777" w:rsidR="00990B14" w:rsidRDefault="00000000">
            <w:pPr>
              <w:spacing w:before="20" w:after="20"/>
              <w:jc w:val="both"/>
            </w:pPr>
            <w:r>
              <w:rPr>
                <w:sz w:val="18"/>
                <w:szCs w:val="18"/>
              </w:rPr>
              <w:t>Argumenta la responsabilidad del contador ante la transparencia fiscal.</w:t>
            </w:r>
          </w:p>
        </w:tc>
      </w:tr>
      <w:tr w:rsidR="00990B14" w14:paraId="08CD7BE7" w14:textId="77777777">
        <w:trPr>
          <w:cantSplit/>
          <w:jc w:val="center"/>
        </w:trPr>
        <w:tc>
          <w:tcPr>
            <w:tcW w:w="7180" w:type="dxa"/>
            <w:gridSpan w:val="4"/>
            <w:shd w:val="clear" w:color="auto" w:fill="4472C4"/>
            <w:vAlign w:val="center"/>
          </w:tcPr>
          <w:p w14:paraId="031F118C" w14:textId="77777777" w:rsidR="00990B14" w:rsidRDefault="00000000">
            <w:pPr>
              <w:keepNext/>
              <w:spacing w:before="20" w:after="20"/>
              <w:jc w:val="center"/>
            </w:pPr>
            <w:r>
              <w:rPr>
                <w:b/>
                <w:bCs/>
                <w:i/>
                <w:iCs/>
                <w:color w:val="FFFFFF"/>
                <w:sz w:val="18"/>
                <w:szCs w:val="18"/>
              </w:rPr>
              <w:t>TOTAL</w:t>
            </w:r>
          </w:p>
        </w:tc>
        <w:tc>
          <w:tcPr>
            <w:tcW w:w="2225" w:type="dxa"/>
            <w:shd w:val="clear" w:color="auto" w:fill="4472C4"/>
            <w:vAlign w:val="center"/>
          </w:tcPr>
          <w:p w14:paraId="59F0DFFB" w14:textId="77777777" w:rsidR="00990B14" w:rsidRDefault="00000000">
            <w:pPr>
              <w:keepNext/>
              <w:spacing w:before="20" w:after="20"/>
              <w:jc w:val="center"/>
            </w:pPr>
            <w:r>
              <w:rPr>
                <w:b/>
                <w:bCs/>
                <w:i/>
                <w:iCs/>
                <w:color w:val="FFFFFF"/>
                <w:sz w:val="18"/>
                <w:szCs w:val="18"/>
              </w:rPr>
              <w:t>100%</w:t>
            </w:r>
          </w:p>
        </w:tc>
      </w:tr>
    </w:tbl>
    <w:p w14:paraId="4E16FD9F"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9405"/>
      </w:tblGrid>
      <w:tr w:rsidR="00990B14" w:rsidRPr="002F7F2E" w14:paraId="75171B3F" w14:textId="77777777">
        <w:trPr>
          <w:jc w:val="center"/>
        </w:trPr>
        <w:tc>
          <w:tcPr>
            <w:tcW w:w="9405" w:type="dxa"/>
            <w:shd w:val="clear" w:color="auto" w:fill="D9E2F3"/>
          </w:tcPr>
          <w:p w14:paraId="630C9926" w14:textId="77777777" w:rsidR="00990B14" w:rsidRDefault="00000000">
            <w:pPr>
              <w:spacing w:before="40" w:after="40"/>
              <w:jc w:val="both"/>
            </w:pPr>
            <w:r>
              <w:rPr>
                <w:b/>
                <w:bCs/>
                <w:i/>
                <w:iCs/>
                <w:sz w:val="18"/>
                <w:szCs w:val="18"/>
              </w:rPr>
              <w:t>Bibliografía básica:</w:t>
            </w:r>
          </w:p>
          <w:p w14:paraId="755C1F38" w14:textId="77777777" w:rsidR="00990B14" w:rsidRDefault="00000000">
            <w:pPr>
              <w:numPr>
                <w:ilvl w:val="0"/>
                <w:numId w:val="140"/>
              </w:numPr>
              <w:spacing w:after="20"/>
              <w:jc w:val="both"/>
            </w:pPr>
            <w:r>
              <w:rPr>
                <w:sz w:val="18"/>
                <w:szCs w:val="18"/>
              </w:rPr>
              <w:t>Banco Central de Bolivia. Informes de Política Monetaria y Reporte de Balanza de Pagos y Posición de Inversión Internacional 2025.</w:t>
            </w:r>
          </w:p>
          <w:p w14:paraId="6A268E11" w14:textId="77777777" w:rsidR="00990B14" w:rsidRDefault="00000000">
            <w:pPr>
              <w:numPr>
                <w:ilvl w:val="0"/>
                <w:numId w:val="140"/>
              </w:numPr>
              <w:spacing w:after="20"/>
              <w:jc w:val="both"/>
            </w:pPr>
            <w:r>
              <w:rPr>
                <w:sz w:val="18"/>
                <w:szCs w:val="18"/>
              </w:rPr>
              <w:t>Banco Central de Bolivia. Resolución de Directorio N.º 118/2026, de 31 de julio de 2026, que modifica el Reglamento de Encaje Legal.</w:t>
            </w:r>
          </w:p>
          <w:p w14:paraId="64252393" w14:textId="77777777" w:rsidR="00990B14" w:rsidRDefault="00000000">
            <w:pPr>
              <w:numPr>
                <w:ilvl w:val="0"/>
                <w:numId w:val="140"/>
              </w:numPr>
              <w:spacing w:after="20"/>
              <w:jc w:val="both"/>
            </w:pPr>
            <w:r>
              <w:rPr>
                <w:sz w:val="18"/>
                <w:szCs w:val="18"/>
              </w:rPr>
              <w:t>Blanchard, Olivier (2020) Macroeconomía, Ed. Prentice Hall, España</w:t>
            </w:r>
          </w:p>
          <w:p w14:paraId="7FD2B2D6" w14:textId="77777777" w:rsidR="00990B14" w:rsidRDefault="00000000">
            <w:pPr>
              <w:numPr>
                <w:ilvl w:val="0"/>
                <w:numId w:val="140"/>
              </w:numPr>
              <w:spacing w:after="20"/>
              <w:jc w:val="both"/>
            </w:pPr>
            <w:r>
              <w:rPr>
                <w:sz w:val="18"/>
                <w:szCs w:val="18"/>
              </w:rPr>
              <w:t xml:space="preserve">Cariaga, J. (1987). </w:t>
            </w:r>
            <w:r>
              <w:rPr>
                <w:i/>
                <w:iCs/>
                <w:sz w:val="18"/>
                <w:szCs w:val="18"/>
              </w:rPr>
              <w:t>Introducción a los modelos macroeconómicos</w:t>
            </w:r>
            <w:r>
              <w:rPr>
                <w:sz w:val="18"/>
                <w:szCs w:val="18"/>
              </w:rPr>
              <w:t>. 4ta edición. La Paz: Editorial Amigos del Libro.</w:t>
            </w:r>
          </w:p>
          <w:p w14:paraId="5123C649" w14:textId="77777777" w:rsidR="00990B14" w:rsidRDefault="00000000">
            <w:pPr>
              <w:numPr>
                <w:ilvl w:val="0"/>
                <w:numId w:val="140"/>
              </w:numPr>
              <w:spacing w:after="20"/>
              <w:jc w:val="both"/>
            </w:pPr>
            <w:r>
              <w:rPr>
                <w:sz w:val="18"/>
                <w:szCs w:val="18"/>
              </w:rPr>
              <w:t xml:space="preserve">Cariaga, J. (2004). </w:t>
            </w:r>
            <w:r>
              <w:rPr>
                <w:i/>
                <w:iCs/>
                <w:sz w:val="18"/>
                <w:szCs w:val="18"/>
              </w:rPr>
              <w:t>Hildebrando y sus consejos: Cuentos sobre economía</w:t>
            </w:r>
            <w:r>
              <w:rPr>
                <w:sz w:val="18"/>
                <w:szCs w:val="18"/>
              </w:rPr>
              <w:t>. La Razón.</w:t>
            </w:r>
          </w:p>
          <w:p w14:paraId="647AB2D0" w14:textId="77777777" w:rsidR="00990B14" w:rsidRDefault="00000000">
            <w:pPr>
              <w:numPr>
                <w:ilvl w:val="0"/>
                <w:numId w:val="140"/>
              </w:numPr>
              <w:spacing w:after="20"/>
              <w:jc w:val="both"/>
            </w:pPr>
            <w:r>
              <w:rPr>
                <w:sz w:val="18"/>
                <w:szCs w:val="18"/>
              </w:rPr>
              <w:t>Constitución Política del Estado, de 7 de febrero de 2009.</w:t>
            </w:r>
          </w:p>
          <w:p w14:paraId="522ABCAA" w14:textId="77777777" w:rsidR="00990B14" w:rsidRDefault="00000000">
            <w:pPr>
              <w:numPr>
                <w:ilvl w:val="0"/>
                <w:numId w:val="140"/>
              </w:numPr>
              <w:spacing w:after="20"/>
              <w:jc w:val="both"/>
            </w:pPr>
            <w:r>
              <w:rPr>
                <w:sz w:val="18"/>
                <w:szCs w:val="18"/>
              </w:rPr>
              <w:t>De Gregorio, José (2018) Macroeconomía, Ed. Mc Graw-Hill, Bogotá</w:t>
            </w:r>
          </w:p>
          <w:p w14:paraId="4C949D33" w14:textId="77777777" w:rsidR="00990B14" w:rsidRDefault="00000000">
            <w:pPr>
              <w:numPr>
                <w:ilvl w:val="0"/>
                <w:numId w:val="140"/>
              </w:numPr>
              <w:spacing w:after="20"/>
              <w:jc w:val="both"/>
            </w:pPr>
            <w:r>
              <w:rPr>
                <w:sz w:val="18"/>
                <w:szCs w:val="18"/>
              </w:rPr>
              <w:t>Decreto Supremo N.º 5516, de 13 de enero de 2026, que abroga el Decreto Supremo N.º 5503.</w:t>
            </w:r>
          </w:p>
          <w:p w14:paraId="7C5F8664" w14:textId="77777777" w:rsidR="00990B14" w:rsidRPr="00BD34F7" w:rsidRDefault="00000000">
            <w:pPr>
              <w:numPr>
                <w:ilvl w:val="0"/>
                <w:numId w:val="140"/>
              </w:numPr>
              <w:spacing w:after="20"/>
              <w:jc w:val="both"/>
              <w:rPr>
                <w:lang w:val="en-US"/>
              </w:rPr>
            </w:pPr>
            <w:r w:rsidRPr="00BD34F7">
              <w:rPr>
                <w:sz w:val="18"/>
                <w:szCs w:val="18"/>
                <w:lang w:val="en-US"/>
              </w:rPr>
              <w:t>Dornbuch -Fischer (2006) Macroeconomía, Ed. McGraw-Hill, Bogotá</w:t>
            </w:r>
          </w:p>
          <w:p w14:paraId="77B39480" w14:textId="77777777" w:rsidR="00990B14" w:rsidRDefault="00000000">
            <w:pPr>
              <w:numPr>
                <w:ilvl w:val="0"/>
                <w:numId w:val="140"/>
              </w:numPr>
              <w:spacing w:after="20"/>
              <w:jc w:val="both"/>
            </w:pPr>
            <w:r>
              <w:rPr>
                <w:sz w:val="18"/>
                <w:szCs w:val="18"/>
              </w:rPr>
              <w:t xml:space="preserve">Fondo Monetario Internacional (2001). </w:t>
            </w:r>
            <w:r>
              <w:rPr>
                <w:i/>
                <w:iCs/>
                <w:sz w:val="18"/>
                <w:szCs w:val="18"/>
              </w:rPr>
              <w:t>Manual de Estadísticas de las Finanzas Públicas</w:t>
            </w:r>
            <w:r>
              <w:rPr>
                <w:sz w:val="18"/>
                <w:szCs w:val="18"/>
              </w:rPr>
              <w:t>. Washington.</w:t>
            </w:r>
          </w:p>
          <w:p w14:paraId="3F54DB2D" w14:textId="77777777" w:rsidR="00990B14" w:rsidRDefault="00000000">
            <w:pPr>
              <w:numPr>
                <w:ilvl w:val="0"/>
                <w:numId w:val="140"/>
              </w:numPr>
              <w:spacing w:after="20"/>
              <w:jc w:val="both"/>
            </w:pPr>
            <w:r>
              <w:rPr>
                <w:sz w:val="18"/>
                <w:szCs w:val="18"/>
              </w:rPr>
              <w:t xml:space="preserve">Fondo Monetario Internacional (2014). </w:t>
            </w:r>
            <w:r>
              <w:rPr>
                <w:i/>
                <w:iCs/>
                <w:sz w:val="18"/>
                <w:szCs w:val="18"/>
              </w:rPr>
              <w:t>Manual de Estadísticas de las Finanzas Públicas</w:t>
            </w:r>
            <w:r>
              <w:rPr>
                <w:sz w:val="18"/>
                <w:szCs w:val="18"/>
              </w:rPr>
              <w:t>. Washington.</w:t>
            </w:r>
          </w:p>
          <w:p w14:paraId="35691DBF" w14:textId="77777777" w:rsidR="00990B14" w:rsidRDefault="00000000">
            <w:pPr>
              <w:numPr>
                <w:ilvl w:val="0"/>
                <w:numId w:val="140"/>
              </w:numPr>
              <w:spacing w:after="20"/>
              <w:jc w:val="both"/>
            </w:pPr>
            <w:r>
              <w:rPr>
                <w:sz w:val="18"/>
                <w:szCs w:val="18"/>
              </w:rPr>
              <w:t>Ley N.º 1670, del Banco Central de Bolivia, de 31 de octubre de 1995.</w:t>
            </w:r>
          </w:p>
          <w:p w14:paraId="1CA6FE68" w14:textId="77777777" w:rsidR="00990B14" w:rsidRDefault="00000000">
            <w:pPr>
              <w:numPr>
                <w:ilvl w:val="0"/>
                <w:numId w:val="140"/>
              </w:numPr>
              <w:spacing w:after="20"/>
              <w:jc w:val="both"/>
            </w:pPr>
            <w:r>
              <w:rPr>
                <w:sz w:val="18"/>
                <w:szCs w:val="18"/>
              </w:rPr>
              <w:t>Ley N.º 1705, de 31 de diciembre de 2025, que aprueba el Presupuesto General del Estado de la gestión 2026.</w:t>
            </w:r>
          </w:p>
          <w:p w14:paraId="4D7AA356" w14:textId="77777777" w:rsidR="00990B14" w:rsidRDefault="00000000">
            <w:pPr>
              <w:numPr>
                <w:ilvl w:val="0"/>
                <w:numId w:val="140"/>
              </w:numPr>
              <w:spacing w:after="20"/>
              <w:jc w:val="both"/>
            </w:pPr>
            <w:r>
              <w:rPr>
                <w:sz w:val="18"/>
                <w:szCs w:val="18"/>
              </w:rPr>
              <w:t>Ley N.º 393, de Servicios Financieros, de 21 de agosto de 2013.</w:t>
            </w:r>
          </w:p>
          <w:p w14:paraId="74D905FC" w14:textId="77777777" w:rsidR="00990B14" w:rsidRDefault="00000000">
            <w:pPr>
              <w:numPr>
                <w:ilvl w:val="0"/>
                <w:numId w:val="140"/>
              </w:numPr>
              <w:spacing w:after="20"/>
              <w:jc w:val="both"/>
            </w:pPr>
            <w:r>
              <w:rPr>
                <w:sz w:val="18"/>
                <w:szCs w:val="18"/>
              </w:rPr>
              <w:t>Leyes y disposiciones del ámbito económico.</w:t>
            </w:r>
          </w:p>
          <w:p w14:paraId="44C79C64" w14:textId="77777777" w:rsidR="00990B14" w:rsidRDefault="00000000">
            <w:pPr>
              <w:numPr>
                <w:ilvl w:val="0"/>
                <w:numId w:val="140"/>
              </w:numPr>
              <w:spacing w:after="20"/>
              <w:jc w:val="both"/>
            </w:pPr>
            <w:r>
              <w:rPr>
                <w:sz w:val="18"/>
                <w:szCs w:val="18"/>
              </w:rPr>
              <w:t>Mankiw, Gregory (2015) Macroeconomía, ed Bosch, Madrid</w:t>
            </w:r>
          </w:p>
          <w:p w14:paraId="38C78E4E" w14:textId="77777777" w:rsidR="00990B14" w:rsidRDefault="00000000">
            <w:pPr>
              <w:numPr>
                <w:ilvl w:val="0"/>
                <w:numId w:val="140"/>
              </w:numPr>
              <w:spacing w:after="20"/>
              <w:jc w:val="both"/>
            </w:pPr>
            <w:r>
              <w:rPr>
                <w:sz w:val="18"/>
                <w:szCs w:val="18"/>
              </w:rPr>
              <w:t>Memorias del Banco Central de Bolivia.</w:t>
            </w:r>
          </w:p>
          <w:p w14:paraId="5AAB2857" w14:textId="77777777" w:rsidR="00990B14" w:rsidRDefault="00000000">
            <w:pPr>
              <w:numPr>
                <w:ilvl w:val="0"/>
                <w:numId w:val="140"/>
              </w:numPr>
              <w:spacing w:after="20"/>
              <w:jc w:val="both"/>
            </w:pPr>
            <w:r>
              <w:rPr>
                <w:sz w:val="18"/>
                <w:szCs w:val="18"/>
              </w:rPr>
              <w:t xml:space="preserve">Ministerio de Economía y Finanzas Públicas (2022). </w:t>
            </w:r>
            <w:r>
              <w:rPr>
                <w:i/>
                <w:iCs/>
                <w:sz w:val="18"/>
                <w:szCs w:val="18"/>
              </w:rPr>
              <w:t>Memoria de la Economía Boliviana</w:t>
            </w:r>
            <w:r>
              <w:rPr>
                <w:sz w:val="18"/>
                <w:szCs w:val="18"/>
              </w:rPr>
              <w:t>. La Paz.</w:t>
            </w:r>
          </w:p>
          <w:p w14:paraId="733781EC" w14:textId="77777777" w:rsidR="00990B14" w:rsidRDefault="00000000">
            <w:pPr>
              <w:numPr>
                <w:ilvl w:val="0"/>
                <w:numId w:val="140"/>
              </w:numPr>
              <w:spacing w:after="20"/>
              <w:jc w:val="both"/>
            </w:pPr>
            <w:r>
              <w:rPr>
                <w:sz w:val="18"/>
                <w:szCs w:val="18"/>
              </w:rPr>
              <w:t>Ministerio de Economía y Finanzas Públicas. Resolución Ministerial N.º 245, de 26 de junio de 2026, del régimen de tipo de cambio flexible.</w:t>
            </w:r>
          </w:p>
          <w:p w14:paraId="33801F4A" w14:textId="77777777" w:rsidR="00990B14" w:rsidRDefault="00000000">
            <w:pPr>
              <w:numPr>
                <w:ilvl w:val="0"/>
                <w:numId w:val="140"/>
              </w:numPr>
              <w:spacing w:after="20"/>
              <w:jc w:val="both"/>
            </w:pPr>
            <w:r>
              <w:rPr>
                <w:sz w:val="18"/>
                <w:szCs w:val="18"/>
              </w:rPr>
              <w:t>Publicaciones del Instituto Nacional de Estadística (INE).</w:t>
            </w:r>
          </w:p>
          <w:p w14:paraId="553D2ABB" w14:textId="77777777" w:rsidR="00990B14" w:rsidRDefault="00000000">
            <w:pPr>
              <w:numPr>
                <w:ilvl w:val="0"/>
                <w:numId w:val="140"/>
              </w:numPr>
              <w:spacing w:after="20"/>
              <w:jc w:val="both"/>
            </w:pPr>
            <w:r>
              <w:rPr>
                <w:sz w:val="18"/>
                <w:szCs w:val="18"/>
              </w:rPr>
              <w:t>Resoluciones de directorio del Banco Central de Bolivia y de la Autoridad de Supervisión del Sistema Financiero.</w:t>
            </w:r>
          </w:p>
          <w:p w14:paraId="269D2166" w14:textId="77777777" w:rsidR="00990B14" w:rsidRPr="00BD34F7" w:rsidRDefault="00000000">
            <w:pPr>
              <w:numPr>
                <w:ilvl w:val="0"/>
                <w:numId w:val="140"/>
              </w:numPr>
              <w:spacing w:after="20"/>
              <w:jc w:val="both"/>
              <w:rPr>
                <w:lang w:val="en-US"/>
              </w:rPr>
            </w:pPr>
            <w:r w:rsidRPr="00BD34F7">
              <w:rPr>
                <w:sz w:val="18"/>
                <w:szCs w:val="18"/>
                <w:lang w:val="en-US"/>
              </w:rPr>
              <w:t>Sachs, J – Larraín, F (2020) Macroeconomía, Ed McGraw-Hill, Bogotá</w:t>
            </w:r>
          </w:p>
        </w:tc>
      </w:tr>
      <w:tr w:rsidR="00990B14" w14:paraId="3A140AC0" w14:textId="77777777">
        <w:trPr>
          <w:jc w:val="center"/>
        </w:trPr>
        <w:tc>
          <w:tcPr>
            <w:tcW w:w="9405" w:type="dxa"/>
            <w:shd w:val="clear" w:color="auto" w:fill="D9E2F3"/>
          </w:tcPr>
          <w:p w14:paraId="127D2DE2" w14:textId="77777777" w:rsidR="00990B14" w:rsidRDefault="00000000">
            <w:pPr>
              <w:spacing w:before="40" w:after="40"/>
              <w:jc w:val="both"/>
            </w:pPr>
            <w:r>
              <w:rPr>
                <w:b/>
                <w:bCs/>
                <w:i/>
                <w:iCs/>
                <w:sz w:val="18"/>
                <w:szCs w:val="18"/>
              </w:rPr>
              <w:t>Bibliografía complementaria:</w:t>
            </w:r>
          </w:p>
          <w:p w14:paraId="67560374" w14:textId="77777777" w:rsidR="00990B14" w:rsidRDefault="00000000">
            <w:pPr>
              <w:numPr>
                <w:ilvl w:val="0"/>
                <w:numId w:val="140"/>
              </w:numPr>
              <w:spacing w:after="20"/>
              <w:jc w:val="both"/>
            </w:pPr>
            <w:r>
              <w:rPr>
                <w:sz w:val="18"/>
                <w:szCs w:val="18"/>
              </w:rPr>
              <w:t xml:space="preserve">Chaineau, A. (1973). </w:t>
            </w:r>
            <w:r>
              <w:rPr>
                <w:i/>
                <w:iCs/>
                <w:sz w:val="18"/>
                <w:szCs w:val="18"/>
              </w:rPr>
              <w:t>Monnaie et équilibre macroéconomique</w:t>
            </w:r>
            <w:r>
              <w:rPr>
                <w:sz w:val="18"/>
                <w:szCs w:val="18"/>
              </w:rPr>
              <w:t>. Paris: Presses Universitaires.</w:t>
            </w:r>
          </w:p>
          <w:p w14:paraId="69CF5680" w14:textId="77777777" w:rsidR="00990B14" w:rsidRDefault="00000000">
            <w:pPr>
              <w:numPr>
                <w:ilvl w:val="0"/>
                <w:numId w:val="140"/>
              </w:numPr>
              <w:spacing w:after="20"/>
              <w:jc w:val="both"/>
            </w:pPr>
            <w:r>
              <w:rPr>
                <w:sz w:val="18"/>
                <w:szCs w:val="18"/>
              </w:rPr>
              <w:t>Consejo de Normas Internacionales de Contabilidad (IASB). NIC 29 Información financiera en economías hiperinflacionarias.</w:t>
            </w:r>
          </w:p>
          <w:p w14:paraId="523652C7" w14:textId="77777777" w:rsidR="00990B14" w:rsidRDefault="00000000">
            <w:pPr>
              <w:numPr>
                <w:ilvl w:val="0"/>
                <w:numId w:val="140"/>
              </w:numPr>
              <w:spacing w:after="20"/>
              <w:jc w:val="both"/>
            </w:pPr>
            <w:r>
              <w:rPr>
                <w:sz w:val="18"/>
                <w:szCs w:val="18"/>
              </w:rPr>
              <w:t>Consejo Técnico Nacional de Auditoría y Contabilidad. Norma de Contabilidad N.º 3, Estados Financieros a Moneda Constante, y Boletín Técnico N.º 1, de enero de 2026.</w:t>
            </w:r>
          </w:p>
          <w:p w14:paraId="091273D0" w14:textId="77777777" w:rsidR="00990B14" w:rsidRDefault="00000000">
            <w:pPr>
              <w:numPr>
                <w:ilvl w:val="0"/>
                <w:numId w:val="140"/>
              </w:numPr>
              <w:spacing w:after="20"/>
              <w:jc w:val="both"/>
            </w:pPr>
            <w:r>
              <w:rPr>
                <w:sz w:val="18"/>
                <w:szCs w:val="18"/>
              </w:rPr>
              <w:t>coursera.org: cursos de acceso gratuito y de pago con material libre.</w:t>
            </w:r>
          </w:p>
          <w:p w14:paraId="23F1AC09" w14:textId="77777777" w:rsidR="00990B14" w:rsidRDefault="00000000">
            <w:pPr>
              <w:numPr>
                <w:ilvl w:val="0"/>
                <w:numId w:val="140"/>
              </w:numPr>
              <w:spacing w:after="20"/>
              <w:jc w:val="both"/>
            </w:pPr>
            <w:r>
              <w:rPr>
                <w:sz w:val="18"/>
                <w:szCs w:val="18"/>
              </w:rPr>
              <w:t xml:space="preserve">Denizet, J. (1973). </w:t>
            </w:r>
            <w:r>
              <w:rPr>
                <w:i/>
                <w:iCs/>
                <w:sz w:val="18"/>
                <w:szCs w:val="18"/>
              </w:rPr>
              <w:t>La Gran Inflación</w:t>
            </w:r>
            <w:r>
              <w:rPr>
                <w:sz w:val="18"/>
                <w:szCs w:val="18"/>
              </w:rPr>
              <w:t>. Paris: Presses Universitaires.</w:t>
            </w:r>
          </w:p>
          <w:p w14:paraId="096194F6" w14:textId="77777777" w:rsidR="00990B14" w:rsidRDefault="00000000">
            <w:pPr>
              <w:numPr>
                <w:ilvl w:val="0"/>
                <w:numId w:val="140"/>
              </w:numPr>
              <w:spacing w:after="20"/>
              <w:jc w:val="both"/>
            </w:pPr>
            <w:r>
              <w:rPr>
                <w:sz w:val="18"/>
                <w:szCs w:val="18"/>
              </w:rPr>
              <w:t xml:space="preserve">Dornbusch, R. (2020). </w:t>
            </w:r>
            <w:r>
              <w:rPr>
                <w:i/>
                <w:iCs/>
                <w:sz w:val="18"/>
                <w:szCs w:val="18"/>
              </w:rPr>
              <w:t>Macroeconomía</w:t>
            </w:r>
            <w:r>
              <w:rPr>
                <w:sz w:val="18"/>
                <w:szCs w:val="18"/>
              </w:rPr>
              <w:t>. Madrid: McGraw Hill.</w:t>
            </w:r>
          </w:p>
          <w:p w14:paraId="7F9C63FA" w14:textId="77777777" w:rsidR="00990B14" w:rsidRDefault="00000000">
            <w:pPr>
              <w:numPr>
                <w:ilvl w:val="0"/>
                <w:numId w:val="140"/>
              </w:numPr>
              <w:spacing w:after="20"/>
              <w:jc w:val="both"/>
            </w:pPr>
            <w:r>
              <w:rPr>
                <w:sz w:val="18"/>
                <w:szCs w:val="18"/>
              </w:rPr>
              <w:t>edx.org: cursos de acceso gratuito y de pago con material libre.</w:t>
            </w:r>
          </w:p>
          <w:p w14:paraId="2DB45A05" w14:textId="77777777" w:rsidR="00990B14" w:rsidRDefault="00000000">
            <w:pPr>
              <w:numPr>
                <w:ilvl w:val="0"/>
                <w:numId w:val="140"/>
              </w:numPr>
              <w:spacing w:after="20"/>
              <w:jc w:val="both"/>
            </w:pPr>
            <w:r>
              <w:rPr>
                <w:sz w:val="18"/>
                <w:szCs w:val="18"/>
              </w:rPr>
              <w:t xml:space="preserve">Fondo Monetario Internacional (2009). </w:t>
            </w:r>
            <w:r>
              <w:rPr>
                <w:i/>
                <w:iCs/>
                <w:sz w:val="18"/>
                <w:szCs w:val="18"/>
              </w:rPr>
              <w:t>Manual de Balanza de Pagos y Posición de Inversión Internacional, sexta edición</w:t>
            </w:r>
            <w:r>
              <w:rPr>
                <w:sz w:val="18"/>
                <w:szCs w:val="18"/>
              </w:rPr>
              <w:t>. Washington.</w:t>
            </w:r>
          </w:p>
          <w:p w14:paraId="7AEE3061" w14:textId="77777777" w:rsidR="00990B14" w:rsidRDefault="00000000">
            <w:pPr>
              <w:numPr>
                <w:ilvl w:val="0"/>
                <w:numId w:val="140"/>
              </w:numPr>
              <w:spacing w:after="20"/>
              <w:jc w:val="both"/>
            </w:pPr>
            <w:r>
              <w:rPr>
                <w:sz w:val="18"/>
                <w:szCs w:val="18"/>
              </w:rPr>
              <w:t xml:space="preserve">Guevara, P. (2009). </w:t>
            </w:r>
            <w:r>
              <w:rPr>
                <w:i/>
                <w:iCs/>
                <w:sz w:val="18"/>
                <w:szCs w:val="18"/>
              </w:rPr>
              <w:t>Relaciones del sistema macroeconómico</w:t>
            </w:r>
            <w:r>
              <w:rPr>
                <w:sz w:val="18"/>
                <w:szCs w:val="18"/>
              </w:rPr>
              <w:t>. Mimeógrafo.</w:t>
            </w:r>
          </w:p>
          <w:p w14:paraId="1EC2ECC8" w14:textId="77777777" w:rsidR="00990B14" w:rsidRDefault="00000000">
            <w:pPr>
              <w:numPr>
                <w:ilvl w:val="0"/>
                <w:numId w:val="140"/>
              </w:numPr>
              <w:spacing w:after="20"/>
              <w:jc w:val="both"/>
            </w:pPr>
            <w:r>
              <w:rPr>
                <w:sz w:val="18"/>
                <w:szCs w:val="18"/>
              </w:rPr>
              <w:t>Khan Academy (es.khanacademy.org): lecciones interactivas y ejercicios gratuitos de economía.</w:t>
            </w:r>
          </w:p>
          <w:p w14:paraId="37026BBB" w14:textId="77777777" w:rsidR="00990B14" w:rsidRDefault="00000000">
            <w:pPr>
              <w:numPr>
                <w:ilvl w:val="0"/>
                <w:numId w:val="140"/>
              </w:numPr>
              <w:spacing w:after="20"/>
              <w:jc w:val="both"/>
            </w:pPr>
            <w:r>
              <w:rPr>
                <w:sz w:val="18"/>
                <w:szCs w:val="18"/>
              </w:rPr>
              <w:t xml:space="preserve">Mankiw, N. G. (2007). </w:t>
            </w:r>
            <w:r>
              <w:rPr>
                <w:i/>
                <w:iCs/>
                <w:sz w:val="18"/>
                <w:szCs w:val="18"/>
              </w:rPr>
              <w:t>Macroeconomía</w:t>
            </w:r>
            <w:r>
              <w:rPr>
                <w:sz w:val="18"/>
                <w:szCs w:val="18"/>
              </w:rPr>
              <w:t>. 6ta edición. Madrid: Antoni Bosch Editor.</w:t>
            </w:r>
          </w:p>
          <w:p w14:paraId="72EBABD0" w14:textId="77777777" w:rsidR="00990B14" w:rsidRDefault="00000000">
            <w:pPr>
              <w:numPr>
                <w:ilvl w:val="0"/>
                <w:numId w:val="140"/>
              </w:numPr>
              <w:spacing w:after="20"/>
              <w:jc w:val="both"/>
            </w:pPr>
            <w:r>
              <w:rPr>
                <w:sz w:val="18"/>
                <w:szCs w:val="18"/>
              </w:rPr>
              <w:t xml:space="preserve">Marchal, J. (1971). </w:t>
            </w:r>
            <w:r>
              <w:rPr>
                <w:i/>
                <w:iCs/>
                <w:sz w:val="18"/>
                <w:szCs w:val="18"/>
              </w:rPr>
              <w:t>Analyse monétaire</w:t>
            </w:r>
            <w:r>
              <w:rPr>
                <w:sz w:val="18"/>
                <w:szCs w:val="18"/>
              </w:rPr>
              <w:t>. Paris: Cujas.</w:t>
            </w:r>
          </w:p>
          <w:p w14:paraId="562B4452" w14:textId="77777777" w:rsidR="00990B14" w:rsidRDefault="00000000">
            <w:pPr>
              <w:numPr>
                <w:ilvl w:val="0"/>
                <w:numId w:val="140"/>
              </w:numPr>
              <w:spacing w:after="20"/>
              <w:jc w:val="both"/>
            </w:pPr>
            <w:r>
              <w:rPr>
                <w:sz w:val="18"/>
                <w:szCs w:val="18"/>
              </w:rPr>
              <w:t xml:space="preserve">Miller, R. L. (1992). </w:t>
            </w:r>
            <w:r>
              <w:rPr>
                <w:i/>
                <w:iCs/>
                <w:sz w:val="18"/>
                <w:szCs w:val="18"/>
              </w:rPr>
              <w:t>Moneda y Banca</w:t>
            </w:r>
            <w:r>
              <w:rPr>
                <w:sz w:val="18"/>
                <w:szCs w:val="18"/>
              </w:rPr>
              <w:t>. Bogotá: McGraw Hill.</w:t>
            </w:r>
          </w:p>
          <w:p w14:paraId="54E8DE12" w14:textId="77777777" w:rsidR="00990B14" w:rsidRDefault="00000000">
            <w:pPr>
              <w:numPr>
                <w:ilvl w:val="0"/>
                <w:numId w:val="140"/>
              </w:numPr>
              <w:spacing w:after="20"/>
              <w:jc w:val="both"/>
            </w:pPr>
            <w:r>
              <w:rPr>
                <w:sz w:val="18"/>
                <w:szCs w:val="18"/>
              </w:rPr>
              <w:t xml:space="preserve">Naciones Unidas, Comisión Europea, Fondo Monetario Internacional, Organización para la Cooperación y el Desarrollo Económicos y Banco Mundial (2009). </w:t>
            </w:r>
            <w:r>
              <w:rPr>
                <w:i/>
                <w:iCs/>
                <w:sz w:val="18"/>
                <w:szCs w:val="18"/>
              </w:rPr>
              <w:t>Sistema de Cuentas Nacionales 2008</w:t>
            </w:r>
            <w:r>
              <w:rPr>
                <w:sz w:val="18"/>
                <w:szCs w:val="18"/>
              </w:rPr>
              <w:t>. Nueva York: Naciones Unidas.</w:t>
            </w:r>
          </w:p>
          <w:p w14:paraId="049C420B" w14:textId="77777777" w:rsidR="00990B14" w:rsidRDefault="00000000">
            <w:pPr>
              <w:numPr>
                <w:ilvl w:val="0"/>
                <w:numId w:val="140"/>
              </w:numPr>
              <w:spacing w:after="20"/>
              <w:jc w:val="both"/>
            </w:pPr>
            <w:r>
              <w:rPr>
                <w:sz w:val="18"/>
                <w:szCs w:val="18"/>
              </w:rPr>
              <w:t xml:space="preserve">Ochoa, H. y González, C. (2022). </w:t>
            </w:r>
            <w:r>
              <w:rPr>
                <w:i/>
                <w:iCs/>
                <w:sz w:val="18"/>
                <w:szCs w:val="18"/>
              </w:rPr>
              <w:t>Macroeconomía para la Gerencia Latinoamericana</w:t>
            </w:r>
            <w:r>
              <w:rPr>
                <w:sz w:val="18"/>
                <w:szCs w:val="18"/>
              </w:rPr>
              <w:t>. Bogotá: ECOE Ediciones.</w:t>
            </w:r>
          </w:p>
          <w:p w14:paraId="799E49E1" w14:textId="77777777" w:rsidR="00990B14" w:rsidRDefault="00000000">
            <w:pPr>
              <w:numPr>
                <w:ilvl w:val="0"/>
                <w:numId w:val="140"/>
              </w:numPr>
              <w:spacing w:after="20"/>
              <w:jc w:val="both"/>
            </w:pPr>
            <w:r>
              <w:rPr>
                <w:sz w:val="18"/>
                <w:szCs w:val="18"/>
              </w:rPr>
              <w:t xml:space="preserve">Parkin, M. y Loria, E. (2010). </w:t>
            </w:r>
            <w:r>
              <w:rPr>
                <w:i/>
                <w:iCs/>
                <w:sz w:val="18"/>
                <w:szCs w:val="18"/>
              </w:rPr>
              <w:t>Macroeconomía. Versión para Latinoamérica</w:t>
            </w:r>
            <w:r>
              <w:rPr>
                <w:sz w:val="18"/>
                <w:szCs w:val="18"/>
              </w:rPr>
              <w:t>. Madrid: Pearson Educación.</w:t>
            </w:r>
          </w:p>
          <w:p w14:paraId="48852B2F" w14:textId="77777777" w:rsidR="00990B14" w:rsidRDefault="00000000">
            <w:pPr>
              <w:numPr>
                <w:ilvl w:val="0"/>
                <w:numId w:val="140"/>
              </w:numPr>
              <w:spacing w:after="20"/>
              <w:jc w:val="both"/>
            </w:pPr>
            <w:r>
              <w:rPr>
                <w:sz w:val="18"/>
                <w:szCs w:val="18"/>
              </w:rPr>
              <w:t xml:space="preserve">Sachs, J. y Larraín, F. (2002). </w:t>
            </w:r>
            <w:r>
              <w:rPr>
                <w:i/>
                <w:iCs/>
                <w:sz w:val="18"/>
                <w:szCs w:val="18"/>
              </w:rPr>
              <w:t>Macroeconomía en la economía global</w:t>
            </w:r>
            <w:r>
              <w:rPr>
                <w:sz w:val="18"/>
                <w:szCs w:val="18"/>
              </w:rPr>
              <w:t>. México: Prentice Hall.</w:t>
            </w:r>
          </w:p>
          <w:p w14:paraId="37D67A06" w14:textId="77777777" w:rsidR="00990B14" w:rsidRDefault="00000000">
            <w:pPr>
              <w:numPr>
                <w:ilvl w:val="0"/>
                <w:numId w:val="140"/>
              </w:numPr>
              <w:spacing w:after="20"/>
              <w:jc w:val="both"/>
            </w:pPr>
            <w:r>
              <w:rPr>
                <w:sz w:val="18"/>
                <w:szCs w:val="18"/>
              </w:rPr>
              <w:t>Sitios web oficiales: www.ine.gob.bo, www.bcb.gob.bo y www.economiayfinanzas.gob.bo.</w:t>
            </w:r>
          </w:p>
        </w:tc>
      </w:tr>
    </w:tbl>
    <w:p w14:paraId="2DED4809" w14:textId="77777777" w:rsidR="00990B14" w:rsidRDefault="00000000">
      <w:pPr>
        <w:pStyle w:val="TituloPlanAsignatura"/>
        <w:keepNext/>
        <w:pageBreakBefore/>
        <w:spacing w:after="120"/>
        <w:jc w:val="center"/>
        <w:outlineLvl w:val="2"/>
      </w:pPr>
      <w:bookmarkStart w:id="162" w:name="_Toc000000103"/>
      <w:r>
        <w:rPr>
          <w:b/>
          <w:bCs/>
          <w:sz w:val="24"/>
          <w:szCs w:val="24"/>
        </w:rPr>
        <w:t>MAT-201 Álgebra Lineal y Modelación para Negocios</w:t>
      </w:r>
      <w:bookmarkEnd w:id="162"/>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249"/>
        <w:gridCol w:w="1100"/>
        <w:gridCol w:w="149"/>
        <w:gridCol w:w="635"/>
        <w:gridCol w:w="615"/>
        <w:gridCol w:w="952"/>
        <w:gridCol w:w="298"/>
        <w:gridCol w:w="1250"/>
        <w:gridCol w:w="20"/>
        <w:gridCol w:w="385"/>
        <w:gridCol w:w="398"/>
        <w:gridCol w:w="447"/>
        <w:gridCol w:w="1907"/>
      </w:tblGrid>
      <w:tr w:rsidR="00990B14" w14:paraId="5F9E63EB" w14:textId="77777777">
        <w:trPr>
          <w:cantSplit/>
          <w:jc w:val="center"/>
        </w:trPr>
        <w:tc>
          <w:tcPr>
            <w:tcW w:w="2349" w:type="dxa"/>
            <w:gridSpan w:val="2"/>
            <w:shd w:val="clear" w:color="auto" w:fill="4472C4"/>
            <w:vAlign w:val="center"/>
          </w:tcPr>
          <w:p w14:paraId="02F14469" w14:textId="77777777" w:rsidR="00990B14" w:rsidRDefault="00000000">
            <w:pPr>
              <w:keepNext/>
              <w:spacing w:before="20" w:after="20"/>
              <w:jc w:val="center"/>
            </w:pPr>
            <w:r>
              <w:rPr>
                <w:b/>
                <w:bCs/>
                <w:i/>
                <w:iCs/>
                <w:color w:val="FFFFFF"/>
                <w:sz w:val="18"/>
                <w:szCs w:val="18"/>
              </w:rPr>
              <w:t>Asignatura</w:t>
            </w:r>
          </w:p>
        </w:tc>
        <w:tc>
          <w:tcPr>
            <w:tcW w:w="2351" w:type="dxa"/>
            <w:gridSpan w:val="4"/>
            <w:shd w:val="clear" w:color="auto" w:fill="4472C4"/>
            <w:vAlign w:val="center"/>
          </w:tcPr>
          <w:p w14:paraId="7CDA1A07" w14:textId="77777777" w:rsidR="00990B14" w:rsidRDefault="00000000">
            <w:pPr>
              <w:keepNext/>
              <w:spacing w:before="20" w:after="20"/>
              <w:jc w:val="center"/>
            </w:pPr>
            <w:r>
              <w:rPr>
                <w:b/>
                <w:bCs/>
                <w:i/>
                <w:iCs/>
                <w:color w:val="FFFFFF"/>
                <w:sz w:val="18"/>
                <w:szCs w:val="18"/>
              </w:rPr>
              <w:t>Sigla</w:t>
            </w:r>
          </w:p>
        </w:tc>
        <w:tc>
          <w:tcPr>
            <w:tcW w:w="2351" w:type="dxa"/>
            <w:gridSpan w:val="5"/>
            <w:shd w:val="clear" w:color="auto" w:fill="4472C4"/>
            <w:vAlign w:val="center"/>
          </w:tcPr>
          <w:p w14:paraId="56256CFD" w14:textId="77777777" w:rsidR="00990B14" w:rsidRDefault="00000000">
            <w:pPr>
              <w:keepNext/>
              <w:spacing w:before="20" w:after="20"/>
              <w:jc w:val="center"/>
            </w:pPr>
            <w:r>
              <w:rPr>
                <w:b/>
                <w:bCs/>
                <w:i/>
                <w:iCs/>
                <w:color w:val="FFFFFF"/>
                <w:sz w:val="18"/>
                <w:szCs w:val="18"/>
              </w:rPr>
              <w:t>Nivel/Área</w:t>
            </w:r>
          </w:p>
        </w:tc>
        <w:tc>
          <w:tcPr>
            <w:tcW w:w="2354" w:type="dxa"/>
            <w:gridSpan w:val="2"/>
            <w:shd w:val="clear" w:color="auto" w:fill="4472C4"/>
            <w:vAlign w:val="center"/>
          </w:tcPr>
          <w:p w14:paraId="74D30CC9" w14:textId="77777777" w:rsidR="00990B14" w:rsidRDefault="00000000">
            <w:pPr>
              <w:keepNext/>
              <w:spacing w:before="20" w:after="20"/>
              <w:jc w:val="center"/>
            </w:pPr>
            <w:r>
              <w:rPr>
                <w:b/>
                <w:bCs/>
                <w:i/>
                <w:iCs/>
                <w:color w:val="FFFFFF"/>
                <w:sz w:val="18"/>
                <w:szCs w:val="18"/>
              </w:rPr>
              <w:t>Prerrequisito</w:t>
            </w:r>
          </w:p>
        </w:tc>
      </w:tr>
      <w:tr w:rsidR="00990B14" w14:paraId="0B177CBF" w14:textId="77777777">
        <w:trPr>
          <w:cantSplit/>
          <w:jc w:val="center"/>
        </w:trPr>
        <w:tc>
          <w:tcPr>
            <w:tcW w:w="2349" w:type="dxa"/>
            <w:gridSpan w:val="2"/>
            <w:shd w:val="clear" w:color="auto" w:fill="D9E2F3"/>
            <w:vAlign w:val="center"/>
          </w:tcPr>
          <w:p w14:paraId="5A6C1399" w14:textId="77777777" w:rsidR="00990B14" w:rsidRDefault="00000000">
            <w:pPr>
              <w:spacing w:before="20" w:after="20"/>
              <w:jc w:val="center"/>
            </w:pPr>
            <w:r>
              <w:rPr>
                <w:b/>
                <w:bCs/>
                <w:i/>
                <w:iCs/>
                <w:sz w:val="18"/>
                <w:szCs w:val="18"/>
              </w:rPr>
              <w:t>Álgebra Lineal y Modelación para Negocios</w:t>
            </w:r>
          </w:p>
        </w:tc>
        <w:tc>
          <w:tcPr>
            <w:tcW w:w="2351" w:type="dxa"/>
            <w:gridSpan w:val="4"/>
            <w:shd w:val="clear" w:color="auto" w:fill="D9E2F3"/>
            <w:vAlign w:val="center"/>
          </w:tcPr>
          <w:p w14:paraId="7F38BDA1" w14:textId="77777777" w:rsidR="00990B14" w:rsidRDefault="00000000">
            <w:pPr>
              <w:spacing w:before="20" w:after="20"/>
              <w:jc w:val="center"/>
            </w:pPr>
            <w:r>
              <w:rPr>
                <w:b/>
                <w:bCs/>
                <w:i/>
                <w:iCs/>
                <w:sz w:val="18"/>
                <w:szCs w:val="18"/>
              </w:rPr>
              <w:t>MAT-201</w:t>
            </w:r>
          </w:p>
        </w:tc>
        <w:tc>
          <w:tcPr>
            <w:tcW w:w="2351" w:type="dxa"/>
            <w:gridSpan w:val="5"/>
            <w:shd w:val="clear" w:color="auto" w:fill="D9E2F3"/>
            <w:vAlign w:val="center"/>
          </w:tcPr>
          <w:p w14:paraId="3ECFBCA7" w14:textId="77777777" w:rsidR="00990B14" w:rsidRDefault="00000000">
            <w:pPr>
              <w:spacing w:before="20" w:after="20"/>
              <w:jc w:val="center"/>
            </w:pPr>
            <w:r>
              <w:rPr>
                <w:b/>
                <w:bCs/>
                <w:i/>
                <w:iCs/>
                <w:sz w:val="18"/>
                <w:szCs w:val="18"/>
              </w:rPr>
              <w:t>Matemáticas</w:t>
            </w:r>
          </w:p>
        </w:tc>
        <w:tc>
          <w:tcPr>
            <w:tcW w:w="2354" w:type="dxa"/>
            <w:gridSpan w:val="2"/>
            <w:shd w:val="clear" w:color="auto" w:fill="D9E2F3"/>
            <w:vAlign w:val="center"/>
          </w:tcPr>
          <w:p w14:paraId="4285338D" w14:textId="77777777" w:rsidR="00990B14" w:rsidRDefault="00000000">
            <w:pPr>
              <w:spacing w:before="20" w:after="20"/>
              <w:jc w:val="center"/>
            </w:pPr>
            <w:r>
              <w:rPr>
                <w:b/>
                <w:bCs/>
                <w:i/>
                <w:iCs/>
                <w:sz w:val="18"/>
                <w:szCs w:val="18"/>
              </w:rPr>
              <w:t>MAT-101</w:t>
            </w:r>
          </w:p>
        </w:tc>
      </w:tr>
      <w:tr w:rsidR="00990B14" w14:paraId="74450783" w14:textId="77777777">
        <w:trPr>
          <w:cantSplit/>
          <w:jc w:val="center"/>
        </w:trPr>
        <w:tc>
          <w:tcPr>
            <w:tcW w:w="7498" w:type="dxa"/>
            <w:gridSpan w:val="12"/>
            <w:shd w:val="clear" w:color="auto" w:fill="4472C4"/>
            <w:vAlign w:val="center"/>
          </w:tcPr>
          <w:p w14:paraId="1F195AAB" w14:textId="77777777" w:rsidR="00990B14" w:rsidRDefault="00000000">
            <w:pPr>
              <w:keepNext/>
              <w:spacing w:before="20" w:after="20"/>
              <w:jc w:val="center"/>
            </w:pPr>
            <w:r>
              <w:rPr>
                <w:b/>
                <w:bCs/>
                <w:i/>
                <w:iCs/>
                <w:color w:val="FFFFFF"/>
                <w:sz w:val="18"/>
                <w:szCs w:val="18"/>
              </w:rPr>
              <w:t>Carga Horaria</w:t>
            </w:r>
          </w:p>
        </w:tc>
        <w:tc>
          <w:tcPr>
            <w:tcW w:w="1907" w:type="dxa"/>
            <w:shd w:val="clear" w:color="auto" w:fill="4472C4"/>
            <w:vAlign w:val="center"/>
          </w:tcPr>
          <w:p w14:paraId="2AB81D33" w14:textId="77777777" w:rsidR="00990B14" w:rsidRDefault="00000000">
            <w:pPr>
              <w:keepNext/>
              <w:spacing w:before="20" w:after="20"/>
              <w:jc w:val="center"/>
            </w:pPr>
            <w:r>
              <w:rPr>
                <w:b/>
                <w:bCs/>
                <w:i/>
                <w:iCs/>
                <w:color w:val="FFFFFF"/>
                <w:sz w:val="18"/>
                <w:szCs w:val="18"/>
              </w:rPr>
              <w:t>Créditos</w:t>
            </w:r>
          </w:p>
        </w:tc>
      </w:tr>
      <w:tr w:rsidR="00990B14" w14:paraId="6E138222" w14:textId="77777777">
        <w:trPr>
          <w:cantSplit/>
          <w:jc w:val="center"/>
        </w:trPr>
        <w:tc>
          <w:tcPr>
            <w:tcW w:w="1249" w:type="dxa"/>
            <w:shd w:val="clear" w:color="auto" w:fill="4472C4"/>
            <w:vAlign w:val="center"/>
          </w:tcPr>
          <w:p w14:paraId="173E3290" w14:textId="77777777" w:rsidR="00990B14" w:rsidRDefault="00000000">
            <w:pPr>
              <w:keepNext/>
              <w:spacing w:before="20" w:after="20"/>
              <w:jc w:val="center"/>
            </w:pPr>
            <w:r>
              <w:rPr>
                <w:b/>
                <w:bCs/>
                <w:i/>
                <w:iCs/>
                <w:color w:val="FFFFFF"/>
                <w:sz w:val="18"/>
                <w:szCs w:val="18"/>
              </w:rPr>
              <w:t>HP</w:t>
            </w:r>
          </w:p>
        </w:tc>
        <w:tc>
          <w:tcPr>
            <w:tcW w:w="1249" w:type="dxa"/>
            <w:gridSpan w:val="2"/>
            <w:shd w:val="clear" w:color="auto" w:fill="4472C4"/>
            <w:vAlign w:val="center"/>
          </w:tcPr>
          <w:p w14:paraId="48268F76" w14:textId="77777777" w:rsidR="00990B14" w:rsidRDefault="00000000">
            <w:pPr>
              <w:keepNext/>
              <w:spacing w:before="20" w:after="20"/>
              <w:jc w:val="center"/>
            </w:pPr>
            <w:r>
              <w:rPr>
                <w:b/>
                <w:bCs/>
                <w:i/>
                <w:iCs/>
                <w:color w:val="FFFFFF"/>
                <w:sz w:val="18"/>
                <w:szCs w:val="18"/>
              </w:rPr>
              <w:t>HAA</w:t>
            </w:r>
          </w:p>
        </w:tc>
        <w:tc>
          <w:tcPr>
            <w:tcW w:w="1250" w:type="dxa"/>
            <w:gridSpan w:val="2"/>
            <w:shd w:val="clear" w:color="auto" w:fill="4472C4"/>
            <w:vAlign w:val="center"/>
          </w:tcPr>
          <w:p w14:paraId="0A5A70D8" w14:textId="77777777" w:rsidR="00990B14" w:rsidRDefault="00000000">
            <w:pPr>
              <w:keepNext/>
              <w:spacing w:before="20" w:after="20"/>
              <w:jc w:val="center"/>
            </w:pPr>
            <w:r>
              <w:rPr>
                <w:b/>
                <w:bCs/>
                <w:i/>
                <w:iCs/>
                <w:color w:val="FFFFFF"/>
                <w:sz w:val="18"/>
                <w:szCs w:val="18"/>
              </w:rPr>
              <w:t>HTG</w:t>
            </w:r>
          </w:p>
        </w:tc>
        <w:tc>
          <w:tcPr>
            <w:tcW w:w="1250" w:type="dxa"/>
            <w:gridSpan w:val="2"/>
            <w:shd w:val="clear" w:color="auto" w:fill="4472C4"/>
            <w:vAlign w:val="center"/>
          </w:tcPr>
          <w:p w14:paraId="4AA7D32D" w14:textId="77777777" w:rsidR="00990B14" w:rsidRDefault="00000000">
            <w:pPr>
              <w:keepNext/>
              <w:spacing w:before="20" w:after="20"/>
              <w:jc w:val="center"/>
            </w:pPr>
            <w:r>
              <w:rPr>
                <w:b/>
                <w:bCs/>
                <w:i/>
                <w:iCs/>
                <w:color w:val="FFFFFF"/>
                <w:sz w:val="18"/>
                <w:szCs w:val="18"/>
              </w:rPr>
              <w:t>HIP</w:t>
            </w:r>
          </w:p>
        </w:tc>
        <w:tc>
          <w:tcPr>
            <w:tcW w:w="1250" w:type="dxa"/>
            <w:shd w:val="clear" w:color="auto" w:fill="4472C4"/>
            <w:vAlign w:val="center"/>
          </w:tcPr>
          <w:p w14:paraId="235D54D8" w14:textId="77777777" w:rsidR="00990B14" w:rsidRDefault="00000000">
            <w:pPr>
              <w:keepNext/>
              <w:spacing w:before="20" w:after="20"/>
              <w:jc w:val="center"/>
            </w:pPr>
            <w:r>
              <w:rPr>
                <w:b/>
                <w:bCs/>
                <w:i/>
                <w:iCs/>
                <w:color w:val="FFFFFF"/>
                <w:sz w:val="18"/>
                <w:szCs w:val="18"/>
              </w:rPr>
              <w:t>HE</w:t>
            </w:r>
          </w:p>
        </w:tc>
        <w:tc>
          <w:tcPr>
            <w:tcW w:w="1250" w:type="dxa"/>
            <w:gridSpan w:val="4"/>
            <w:shd w:val="clear" w:color="auto" w:fill="4472C4"/>
            <w:vAlign w:val="center"/>
          </w:tcPr>
          <w:p w14:paraId="4E8CA0BC" w14:textId="77777777" w:rsidR="00990B14" w:rsidRDefault="00000000">
            <w:pPr>
              <w:keepNext/>
              <w:spacing w:before="20" w:after="20"/>
              <w:jc w:val="center"/>
            </w:pPr>
            <w:r>
              <w:rPr>
                <w:b/>
                <w:bCs/>
                <w:i/>
                <w:iCs/>
                <w:color w:val="FFFFFF"/>
                <w:sz w:val="18"/>
                <w:szCs w:val="18"/>
              </w:rPr>
              <w:t>TOTAL</w:t>
            </w:r>
          </w:p>
        </w:tc>
        <w:tc>
          <w:tcPr>
            <w:tcW w:w="1907" w:type="dxa"/>
            <w:vMerge w:val="restart"/>
            <w:shd w:val="clear" w:color="auto" w:fill="D9E2F3"/>
            <w:vAlign w:val="center"/>
          </w:tcPr>
          <w:p w14:paraId="03FF23F8" w14:textId="77777777" w:rsidR="00990B14" w:rsidRDefault="00000000">
            <w:pPr>
              <w:spacing w:before="20" w:after="20"/>
              <w:jc w:val="center"/>
            </w:pPr>
            <w:r>
              <w:rPr>
                <w:sz w:val="18"/>
                <w:szCs w:val="18"/>
              </w:rPr>
              <w:t>8</w:t>
            </w:r>
          </w:p>
        </w:tc>
      </w:tr>
      <w:tr w:rsidR="00990B14" w14:paraId="683AAC41" w14:textId="77777777">
        <w:trPr>
          <w:cantSplit/>
          <w:jc w:val="center"/>
        </w:trPr>
        <w:tc>
          <w:tcPr>
            <w:tcW w:w="1249" w:type="dxa"/>
            <w:shd w:val="clear" w:color="auto" w:fill="D9E2F3"/>
            <w:vAlign w:val="center"/>
          </w:tcPr>
          <w:p w14:paraId="7D745686" w14:textId="77777777" w:rsidR="00990B14" w:rsidRDefault="00000000">
            <w:pPr>
              <w:spacing w:before="20" w:after="20"/>
              <w:jc w:val="center"/>
            </w:pPr>
            <w:r>
              <w:rPr>
                <w:sz w:val="18"/>
                <w:szCs w:val="18"/>
              </w:rPr>
              <w:t>160</w:t>
            </w:r>
          </w:p>
        </w:tc>
        <w:tc>
          <w:tcPr>
            <w:tcW w:w="1249" w:type="dxa"/>
            <w:gridSpan w:val="2"/>
            <w:shd w:val="clear" w:color="auto" w:fill="D9E2F3"/>
            <w:vAlign w:val="center"/>
          </w:tcPr>
          <w:p w14:paraId="73283C67" w14:textId="77777777" w:rsidR="00990B14" w:rsidRDefault="00000000">
            <w:pPr>
              <w:spacing w:before="20" w:after="20"/>
              <w:jc w:val="center"/>
            </w:pPr>
            <w:r>
              <w:rPr>
                <w:sz w:val="18"/>
                <w:szCs w:val="18"/>
              </w:rPr>
              <w:t>16</w:t>
            </w:r>
          </w:p>
        </w:tc>
        <w:tc>
          <w:tcPr>
            <w:tcW w:w="1250" w:type="dxa"/>
            <w:gridSpan w:val="2"/>
            <w:shd w:val="clear" w:color="auto" w:fill="D9E2F3"/>
            <w:vAlign w:val="center"/>
          </w:tcPr>
          <w:p w14:paraId="69A220A5" w14:textId="77777777" w:rsidR="00990B14" w:rsidRDefault="00000000">
            <w:pPr>
              <w:spacing w:before="20" w:after="20"/>
              <w:jc w:val="center"/>
            </w:pPr>
            <w:r>
              <w:rPr>
                <w:sz w:val="18"/>
                <w:szCs w:val="18"/>
              </w:rPr>
              <w:t>32</w:t>
            </w:r>
          </w:p>
        </w:tc>
        <w:tc>
          <w:tcPr>
            <w:tcW w:w="1250" w:type="dxa"/>
            <w:gridSpan w:val="2"/>
            <w:shd w:val="clear" w:color="auto" w:fill="D9E2F3"/>
            <w:vAlign w:val="center"/>
          </w:tcPr>
          <w:p w14:paraId="0BCB4312" w14:textId="77777777" w:rsidR="00990B14" w:rsidRDefault="00000000">
            <w:pPr>
              <w:spacing w:before="20" w:after="20"/>
              <w:jc w:val="center"/>
            </w:pPr>
            <w:r>
              <w:rPr>
                <w:sz w:val="18"/>
                <w:szCs w:val="18"/>
              </w:rPr>
              <w:t>16</w:t>
            </w:r>
          </w:p>
        </w:tc>
        <w:tc>
          <w:tcPr>
            <w:tcW w:w="1250" w:type="dxa"/>
            <w:shd w:val="clear" w:color="auto" w:fill="D9E2F3"/>
            <w:vAlign w:val="center"/>
          </w:tcPr>
          <w:p w14:paraId="0FD8B6F3" w14:textId="77777777" w:rsidR="00990B14" w:rsidRDefault="00000000">
            <w:pPr>
              <w:spacing w:before="20" w:after="20"/>
              <w:jc w:val="center"/>
            </w:pPr>
            <w:r>
              <w:rPr>
                <w:sz w:val="18"/>
                <w:szCs w:val="18"/>
              </w:rPr>
              <w:t>16</w:t>
            </w:r>
          </w:p>
        </w:tc>
        <w:tc>
          <w:tcPr>
            <w:tcW w:w="1250" w:type="dxa"/>
            <w:gridSpan w:val="4"/>
            <w:shd w:val="clear" w:color="auto" w:fill="D9E2F3"/>
            <w:vAlign w:val="center"/>
          </w:tcPr>
          <w:p w14:paraId="07EF3E9B" w14:textId="77777777" w:rsidR="00990B14" w:rsidRDefault="00000000">
            <w:pPr>
              <w:spacing w:before="20" w:after="20"/>
              <w:jc w:val="center"/>
            </w:pPr>
            <w:r>
              <w:rPr>
                <w:sz w:val="18"/>
                <w:szCs w:val="18"/>
              </w:rPr>
              <w:t>240</w:t>
            </w:r>
          </w:p>
        </w:tc>
        <w:tc>
          <w:tcPr>
            <w:tcW w:w="1907" w:type="dxa"/>
            <w:vMerge/>
            <w:shd w:val="clear" w:color="auto" w:fill="D9E2F3"/>
            <w:vAlign w:val="center"/>
          </w:tcPr>
          <w:p w14:paraId="004167E0" w14:textId="77777777" w:rsidR="00990B14" w:rsidRDefault="00990B14">
            <w:pPr>
              <w:spacing w:before="20" w:after="20"/>
            </w:pPr>
          </w:p>
        </w:tc>
      </w:tr>
      <w:tr w:rsidR="00990B14" w14:paraId="482EC4AC" w14:textId="77777777">
        <w:trPr>
          <w:cantSplit/>
          <w:jc w:val="center"/>
        </w:trPr>
        <w:tc>
          <w:tcPr>
            <w:tcW w:w="9405" w:type="dxa"/>
            <w:gridSpan w:val="13"/>
            <w:shd w:val="clear" w:color="auto" w:fill="4472C4"/>
            <w:vAlign w:val="center"/>
          </w:tcPr>
          <w:p w14:paraId="2DEF1614" w14:textId="77777777" w:rsidR="00990B14" w:rsidRDefault="00000000">
            <w:pPr>
              <w:keepNext/>
              <w:spacing w:before="20" w:after="20"/>
              <w:jc w:val="center"/>
            </w:pPr>
            <w:r>
              <w:rPr>
                <w:b/>
                <w:bCs/>
                <w:i/>
                <w:iCs/>
                <w:color w:val="FFFFFF"/>
                <w:sz w:val="18"/>
                <w:szCs w:val="18"/>
              </w:rPr>
              <w:t>Unidad de Competencia</w:t>
            </w:r>
          </w:p>
        </w:tc>
      </w:tr>
      <w:tr w:rsidR="00990B14" w14:paraId="23E59EF9" w14:textId="77777777">
        <w:trPr>
          <w:cantSplit/>
          <w:jc w:val="center"/>
        </w:trPr>
        <w:tc>
          <w:tcPr>
            <w:tcW w:w="9405" w:type="dxa"/>
            <w:gridSpan w:val="13"/>
            <w:shd w:val="clear" w:color="auto" w:fill="D9E2F3"/>
            <w:vAlign w:val="center"/>
          </w:tcPr>
          <w:p w14:paraId="453BD84B" w14:textId="77777777" w:rsidR="00990B14" w:rsidRDefault="00000000">
            <w:pPr>
              <w:spacing w:before="20" w:after="20"/>
              <w:jc w:val="both"/>
            </w:pPr>
            <w:r>
              <w:rPr>
                <w:sz w:val="18"/>
                <w:szCs w:val="18"/>
              </w:rPr>
              <w:t>Resuelve problemas de aplicación económica y financiera de una entidad boliviana, planteando sistemas de ecuaciones lineales con matrices y determinantes, aplicando modelos de programación lineal con el método simplex y modelos de transporte, asignación y redes en la optimización de recursos escasos, la minimización de costos operacionales y la maximización de utilidades, aplicando modelos de investigación de operaciones al análisis de decisiones con árboles de decisión, programando las operaciones con la secuenciación de tareas y la regla de Johnson, calculando variaciones, permutaciones y combinaciones, y operando con conjuntos, sumatorias y productorias, con uso de hojas de cálculo, pensamiento crítico en la interpretación de los resultados, iniciativa y creatividad.</w:t>
            </w:r>
          </w:p>
        </w:tc>
      </w:tr>
      <w:tr w:rsidR="00990B14" w14:paraId="016ED3F9" w14:textId="77777777">
        <w:trPr>
          <w:cantSplit/>
          <w:jc w:val="center"/>
        </w:trPr>
        <w:tc>
          <w:tcPr>
            <w:tcW w:w="9405" w:type="dxa"/>
            <w:gridSpan w:val="13"/>
            <w:shd w:val="clear" w:color="auto" w:fill="D9E2F3"/>
            <w:vAlign w:val="center"/>
          </w:tcPr>
          <w:p w14:paraId="3B10753F" w14:textId="77777777" w:rsidR="00990B14" w:rsidRDefault="00000000">
            <w:pPr>
              <w:spacing w:before="20" w:after="20"/>
              <w:jc w:val="both"/>
            </w:pPr>
            <w:r>
              <w:rPr>
                <w:b/>
                <w:bCs/>
                <w:i/>
                <w:iCs/>
                <w:sz w:val="18"/>
                <w:szCs w:val="18"/>
              </w:rPr>
              <w:t xml:space="preserve">Elemento de competencia 1: </w:t>
            </w:r>
            <w:r>
              <w:rPr>
                <w:sz w:val="18"/>
                <w:szCs w:val="18"/>
              </w:rPr>
              <w:t>Resuelve sistemas de ecuaciones lineales, aplicando las operaciones con matrices, los determinantes y la matriz inversa.</w:t>
            </w:r>
          </w:p>
        </w:tc>
      </w:tr>
      <w:tr w:rsidR="00990B14" w14:paraId="7ED63E3F" w14:textId="77777777">
        <w:trPr>
          <w:cantSplit/>
          <w:jc w:val="center"/>
        </w:trPr>
        <w:tc>
          <w:tcPr>
            <w:tcW w:w="3133" w:type="dxa"/>
            <w:gridSpan w:val="4"/>
            <w:shd w:val="clear" w:color="auto" w:fill="4472C4"/>
            <w:vAlign w:val="center"/>
          </w:tcPr>
          <w:p w14:paraId="13C6A205"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464253E3"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79990809" w14:textId="77777777" w:rsidR="00990B14" w:rsidRDefault="00000000">
            <w:pPr>
              <w:keepNext/>
              <w:spacing w:before="20" w:after="20"/>
              <w:jc w:val="center"/>
            </w:pPr>
            <w:r>
              <w:rPr>
                <w:b/>
                <w:bCs/>
                <w:i/>
                <w:iCs/>
                <w:color w:val="FFFFFF"/>
                <w:sz w:val="18"/>
                <w:szCs w:val="18"/>
              </w:rPr>
              <w:t>Evidencias de producto</w:t>
            </w:r>
          </w:p>
        </w:tc>
      </w:tr>
      <w:tr w:rsidR="00990B14" w14:paraId="767C8E60" w14:textId="77777777">
        <w:trPr>
          <w:cantSplit/>
          <w:jc w:val="center"/>
        </w:trPr>
        <w:tc>
          <w:tcPr>
            <w:tcW w:w="3133" w:type="dxa"/>
            <w:gridSpan w:val="4"/>
            <w:vMerge w:val="restart"/>
            <w:shd w:val="clear" w:color="auto" w:fill="D9E2F3"/>
            <w:vAlign w:val="center"/>
          </w:tcPr>
          <w:p w14:paraId="7C1EF630" w14:textId="77777777" w:rsidR="00990B14" w:rsidRDefault="00000000">
            <w:pPr>
              <w:spacing w:before="20" w:after="20"/>
              <w:jc w:val="both"/>
            </w:pPr>
            <w:r>
              <w:rPr>
                <w:sz w:val="18"/>
                <w:szCs w:val="18"/>
              </w:rPr>
              <w:t>1. Opera con matrices y determinantes, aplicando sus propiedades y los métodos de Sarrus, Laplace y Chío, y calcula la matriz inversa por escalonamiento y por la matriz adjunta.</w:t>
            </w:r>
          </w:p>
        </w:tc>
        <w:tc>
          <w:tcPr>
            <w:tcW w:w="3135" w:type="dxa"/>
            <w:gridSpan w:val="5"/>
            <w:shd w:val="clear" w:color="auto" w:fill="D9E2F3"/>
            <w:vAlign w:val="center"/>
          </w:tcPr>
          <w:p w14:paraId="4AD780A7" w14:textId="77777777" w:rsidR="00990B14" w:rsidRDefault="00000000">
            <w:pPr>
              <w:spacing w:before="20" w:after="20"/>
              <w:jc w:val="both"/>
            </w:pPr>
            <w:r>
              <w:rPr>
                <w:sz w:val="18"/>
                <w:szCs w:val="18"/>
              </w:rPr>
              <w:t>1.1 Calcula en aula operaciones con matrices y el determinante de matrices de tercer y cuarto orden.</w:t>
            </w:r>
          </w:p>
        </w:tc>
        <w:tc>
          <w:tcPr>
            <w:tcW w:w="3137" w:type="dxa"/>
            <w:gridSpan w:val="4"/>
            <w:shd w:val="clear" w:color="auto" w:fill="D9E2F3"/>
            <w:vAlign w:val="center"/>
          </w:tcPr>
          <w:p w14:paraId="486F7231" w14:textId="77777777" w:rsidR="00990B14" w:rsidRDefault="00000000">
            <w:pPr>
              <w:spacing w:before="20" w:after="20"/>
              <w:jc w:val="both"/>
            </w:pPr>
            <w:r>
              <w:rPr>
                <w:b/>
                <w:bCs/>
                <w:sz w:val="18"/>
                <w:szCs w:val="18"/>
              </w:rPr>
              <w:t xml:space="preserve">Producto 1: </w:t>
            </w:r>
            <w:r>
              <w:rPr>
                <w:sz w:val="18"/>
                <w:szCs w:val="18"/>
              </w:rPr>
              <w:t>Práctico de operaciones con matrices y cálculo de determinantes.</w:t>
            </w:r>
          </w:p>
        </w:tc>
      </w:tr>
      <w:tr w:rsidR="00990B14" w14:paraId="7E3FDD2A" w14:textId="77777777">
        <w:trPr>
          <w:cantSplit/>
          <w:jc w:val="center"/>
        </w:trPr>
        <w:tc>
          <w:tcPr>
            <w:tcW w:w="3133" w:type="dxa"/>
            <w:gridSpan w:val="4"/>
            <w:vMerge/>
            <w:shd w:val="clear" w:color="auto" w:fill="D9E2F3"/>
            <w:vAlign w:val="center"/>
          </w:tcPr>
          <w:p w14:paraId="236EEB25" w14:textId="77777777" w:rsidR="00990B14" w:rsidRDefault="00990B14">
            <w:pPr>
              <w:spacing w:before="20" w:after="20"/>
            </w:pPr>
          </w:p>
        </w:tc>
        <w:tc>
          <w:tcPr>
            <w:tcW w:w="3135" w:type="dxa"/>
            <w:gridSpan w:val="5"/>
            <w:shd w:val="clear" w:color="auto" w:fill="D9E2F3"/>
            <w:vAlign w:val="center"/>
          </w:tcPr>
          <w:p w14:paraId="713F9E10" w14:textId="77777777" w:rsidR="00990B14" w:rsidRDefault="00000000">
            <w:pPr>
              <w:spacing w:before="20" w:after="20"/>
              <w:jc w:val="both"/>
            </w:pPr>
            <w:r>
              <w:rPr>
                <w:sz w:val="18"/>
                <w:szCs w:val="18"/>
              </w:rPr>
              <w:t>1.2 Calcula en equipo la matriz inversa por el método de Gauss y por la matriz adjunta, y la verifica con funciones matriciales de la hoja de cálculo.</w:t>
            </w:r>
          </w:p>
        </w:tc>
        <w:tc>
          <w:tcPr>
            <w:tcW w:w="3137" w:type="dxa"/>
            <w:gridSpan w:val="4"/>
            <w:shd w:val="clear" w:color="auto" w:fill="D9E2F3"/>
            <w:vAlign w:val="center"/>
          </w:tcPr>
          <w:p w14:paraId="309FD1C9" w14:textId="77777777" w:rsidR="00990B14" w:rsidRDefault="00000000">
            <w:pPr>
              <w:spacing w:before="20" w:after="20"/>
              <w:jc w:val="both"/>
            </w:pPr>
            <w:r>
              <w:rPr>
                <w:b/>
                <w:bCs/>
                <w:sz w:val="18"/>
                <w:szCs w:val="18"/>
              </w:rPr>
              <w:t xml:space="preserve">Producto 2: </w:t>
            </w:r>
            <w:r>
              <w:rPr>
                <w:sz w:val="18"/>
                <w:szCs w:val="18"/>
              </w:rPr>
              <w:t>Cálculo de la matriz inversa verificado en hoja de cálculo.</w:t>
            </w:r>
          </w:p>
        </w:tc>
      </w:tr>
      <w:tr w:rsidR="00990B14" w14:paraId="0D28983C" w14:textId="77777777">
        <w:trPr>
          <w:cantSplit/>
          <w:jc w:val="center"/>
        </w:trPr>
        <w:tc>
          <w:tcPr>
            <w:tcW w:w="3133" w:type="dxa"/>
            <w:gridSpan w:val="4"/>
            <w:vMerge w:val="restart"/>
            <w:shd w:val="clear" w:color="auto" w:fill="D9E2F3"/>
            <w:vAlign w:val="center"/>
          </w:tcPr>
          <w:p w14:paraId="73148998" w14:textId="77777777" w:rsidR="00990B14" w:rsidRDefault="00000000">
            <w:pPr>
              <w:spacing w:before="20" w:after="20"/>
              <w:jc w:val="both"/>
            </w:pPr>
            <w:r>
              <w:rPr>
                <w:sz w:val="18"/>
                <w:szCs w:val="18"/>
              </w:rPr>
              <w:t>2. Resuelve sistemas de ecuaciones lineales de orden n por n con los métodos de Gauss-Jordán y matricial, planteando modelos de problemas económicos y financieros.</w:t>
            </w:r>
          </w:p>
        </w:tc>
        <w:tc>
          <w:tcPr>
            <w:tcW w:w="3135" w:type="dxa"/>
            <w:gridSpan w:val="5"/>
            <w:shd w:val="clear" w:color="auto" w:fill="D9E2F3"/>
            <w:vAlign w:val="center"/>
          </w:tcPr>
          <w:p w14:paraId="75EF7770" w14:textId="77777777" w:rsidR="00990B14" w:rsidRDefault="00000000">
            <w:pPr>
              <w:spacing w:before="20" w:after="20"/>
              <w:jc w:val="both"/>
            </w:pPr>
            <w:r>
              <w:rPr>
                <w:sz w:val="18"/>
                <w:szCs w:val="18"/>
              </w:rPr>
              <w:t>2.1 Resuelve en aula un sistema de ecuaciones lineales de una situación económica financiera por eliminación gaussiana.</w:t>
            </w:r>
          </w:p>
        </w:tc>
        <w:tc>
          <w:tcPr>
            <w:tcW w:w="3137" w:type="dxa"/>
            <w:gridSpan w:val="4"/>
            <w:shd w:val="clear" w:color="auto" w:fill="D9E2F3"/>
            <w:vAlign w:val="center"/>
          </w:tcPr>
          <w:p w14:paraId="7EC60130" w14:textId="77777777" w:rsidR="00990B14" w:rsidRDefault="00000000">
            <w:pPr>
              <w:spacing w:before="20" w:after="20"/>
              <w:jc w:val="both"/>
            </w:pPr>
            <w:r>
              <w:rPr>
                <w:b/>
                <w:bCs/>
                <w:sz w:val="18"/>
                <w:szCs w:val="18"/>
              </w:rPr>
              <w:t xml:space="preserve">Producto 3: </w:t>
            </w:r>
            <w:r>
              <w:rPr>
                <w:sz w:val="18"/>
                <w:szCs w:val="18"/>
              </w:rPr>
              <w:t>Modelo matemático de un problema económico financiero resuelto con sistemas de ecuaciones lineales.</w:t>
            </w:r>
          </w:p>
        </w:tc>
      </w:tr>
      <w:tr w:rsidR="00990B14" w14:paraId="0A0CBE07" w14:textId="77777777">
        <w:trPr>
          <w:cantSplit/>
          <w:jc w:val="center"/>
        </w:trPr>
        <w:tc>
          <w:tcPr>
            <w:tcW w:w="3133" w:type="dxa"/>
            <w:gridSpan w:val="4"/>
            <w:vMerge/>
            <w:shd w:val="clear" w:color="auto" w:fill="D9E2F3"/>
            <w:vAlign w:val="center"/>
          </w:tcPr>
          <w:p w14:paraId="6964EAC5" w14:textId="77777777" w:rsidR="00990B14" w:rsidRDefault="00990B14">
            <w:pPr>
              <w:spacing w:before="20" w:after="20"/>
            </w:pPr>
          </w:p>
        </w:tc>
        <w:tc>
          <w:tcPr>
            <w:tcW w:w="3135" w:type="dxa"/>
            <w:gridSpan w:val="5"/>
            <w:shd w:val="clear" w:color="auto" w:fill="D9E2F3"/>
            <w:vAlign w:val="center"/>
          </w:tcPr>
          <w:p w14:paraId="5F8F7183" w14:textId="77777777" w:rsidR="00990B14" w:rsidRDefault="00000000">
            <w:pPr>
              <w:spacing w:before="20" w:after="20"/>
              <w:jc w:val="both"/>
            </w:pPr>
            <w:r>
              <w:rPr>
                <w:sz w:val="18"/>
                <w:szCs w:val="18"/>
              </w:rPr>
              <w:t>2.2 Aplica en el laboratorio de cómputo la matriz inversa de Leontief a un modelo de insumo producto de tres sectores.</w:t>
            </w:r>
          </w:p>
        </w:tc>
        <w:tc>
          <w:tcPr>
            <w:tcW w:w="3137" w:type="dxa"/>
            <w:gridSpan w:val="4"/>
            <w:shd w:val="clear" w:color="auto" w:fill="D9E2F3"/>
            <w:vAlign w:val="center"/>
          </w:tcPr>
          <w:p w14:paraId="1D02A8A7" w14:textId="77777777" w:rsidR="00990B14" w:rsidRDefault="00000000">
            <w:pPr>
              <w:spacing w:before="20" w:after="20"/>
              <w:jc w:val="both"/>
            </w:pPr>
            <w:r>
              <w:rPr>
                <w:b/>
                <w:bCs/>
                <w:sz w:val="18"/>
                <w:szCs w:val="18"/>
              </w:rPr>
              <w:t xml:space="preserve">Producto 4: </w:t>
            </w:r>
            <w:r>
              <w:rPr>
                <w:sz w:val="18"/>
                <w:szCs w:val="18"/>
              </w:rPr>
              <w:t>Modelo de insumo producto de tres sectores con su matriz inversa de Leontief.</w:t>
            </w:r>
          </w:p>
        </w:tc>
      </w:tr>
      <w:tr w:rsidR="00990B14" w14:paraId="06A88CF1" w14:textId="77777777">
        <w:trPr>
          <w:cantSplit/>
          <w:jc w:val="center"/>
        </w:trPr>
        <w:tc>
          <w:tcPr>
            <w:tcW w:w="9405" w:type="dxa"/>
            <w:gridSpan w:val="13"/>
            <w:shd w:val="clear" w:color="auto" w:fill="4472C4"/>
            <w:vAlign w:val="center"/>
          </w:tcPr>
          <w:p w14:paraId="25E2BE3A" w14:textId="77777777" w:rsidR="00990B14" w:rsidRDefault="00000000">
            <w:pPr>
              <w:keepNext/>
              <w:spacing w:before="20" w:after="20"/>
              <w:jc w:val="center"/>
            </w:pPr>
            <w:r>
              <w:rPr>
                <w:b/>
                <w:bCs/>
                <w:i/>
                <w:iCs/>
                <w:color w:val="FFFFFF"/>
                <w:sz w:val="18"/>
                <w:szCs w:val="18"/>
              </w:rPr>
              <w:t>Evidencias de conocimiento</w:t>
            </w:r>
          </w:p>
        </w:tc>
      </w:tr>
      <w:tr w:rsidR="00990B14" w14:paraId="7C075EAB" w14:textId="77777777">
        <w:trPr>
          <w:cantSplit/>
          <w:jc w:val="center"/>
        </w:trPr>
        <w:tc>
          <w:tcPr>
            <w:tcW w:w="2349" w:type="dxa"/>
            <w:gridSpan w:val="2"/>
            <w:shd w:val="clear" w:color="auto" w:fill="4472C4"/>
            <w:vAlign w:val="center"/>
          </w:tcPr>
          <w:p w14:paraId="0B33B32D"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596D6C9C" w14:textId="77777777" w:rsidR="00990B14" w:rsidRDefault="00000000">
            <w:pPr>
              <w:keepNext/>
              <w:spacing w:before="20" w:after="20"/>
              <w:jc w:val="both"/>
            </w:pPr>
            <w:r>
              <w:rPr>
                <w:b/>
                <w:bCs/>
                <w:i/>
                <w:iCs/>
                <w:color w:val="FFFFFF"/>
                <w:sz w:val="18"/>
                <w:szCs w:val="18"/>
              </w:rPr>
              <w:t>Contenidos</w:t>
            </w:r>
          </w:p>
          <w:p w14:paraId="55EC7D67"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6C93C55C" w14:textId="77777777" w:rsidR="00990B14" w:rsidRDefault="00000000">
            <w:pPr>
              <w:keepNext/>
              <w:spacing w:before="20" w:after="20"/>
              <w:jc w:val="center"/>
            </w:pPr>
            <w:r>
              <w:rPr>
                <w:b/>
                <w:bCs/>
                <w:i/>
                <w:iCs/>
                <w:color w:val="FFFFFF"/>
                <w:sz w:val="18"/>
                <w:szCs w:val="18"/>
              </w:rPr>
              <w:t>Conocimientos circunstanciales</w:t>
            </w:r>
          </w:p>
        </w:tc>
      </w:tr>
      <w:tr w:rsidR="00990B14" w14:paraId="259C6F41" w14:textId="77777777">
        <w:trPr>
          <w:jc w:val="center"/>
        </w:trPr>
        <w:tc>
          <w:tcPr>
            <w:tcW w:w="2349" w:type="dxa"/>
            <w:gridSpan w:val="2"/>
            <w:shd w:val="clear" w:color="auto" w:fill="D9E2F3"/>
          </w:tcPr>
          <w:p w14:paraId="41C7B6E3" w14:textId="77777777" w:rsidR="00990B14" w:rsidRDefault="00000000">
            <w:pPr>
              <w:spacing w:before="20" w:after="40"/>
              <w:jc w:val="both"/>
            </w:pPr>
            <w:r>
              <w:rPr>
                <w:sz w:val="18"/>
                <w:szCs w:val="18"/>
              </w:rPr>
              <w:t>Tema 1: Matrices</w:t>
            </w:r>
          </w:p>
          <w:p w14:paraId="25C00A8B" w14:textId="77777777" w:rsidR="00990B14" w:rsidRDefault="00000000">
            <w:pPr>
              <w:spacing w:before="20" w:after="40"/>
              <w:jc w:val="both"/>
            </w:pPr>
            <w:r>
              <w:rPr>
                <w:sz w:val="18"/>
                <w:szCs w:val="18"/>
              </w:rPr>
              <w:t>Tema 2: Sistemas de Ecuaciones Lineales</w:t>
            </w:r>
          </w:p>
          <w:p w14:paraId="5361356F" w14:textId="77777777" w:rsidR="00990B14" w:rsidRDefault="00000000">
            <w:pPr>
              <w:spacing w:before="20" w:after="40"/>
              <w:jc w:val="both"/>
            </w:pPr>
            <w:r>
              <w:rPr>
                <w:sz w:val="18"/>
                <w:szCs w:val="18"/>
              </w:rPr>
              <w:t>Tema 3: Determinantes</w:t>
            </w:r>
          </w:p>
          <w:p w14:paraId="534BD357" w14:textId="77777777" w:rsidR="00990B14" w:rsidRDefault="00000000">
            <w:pPr>
              <w:spacing w:before="20" w:after="40"/>
              <w:jc w:val="both"/>
            </w:pPr>
            <w:r>
              <w:rPr>
                <w:sz w:val="18"/>
                <w:szCs w:val="18"/>
              </w:rPr>
              <w:t>Tema 4: La Matriz Inversa</w:t>
            </w:r>
          </w:p>
        </w:tc>
        <w:tc>
          <w:tcPr>
            <w:tcW w:w="4304" w:type="dxa"/>
            <w:gridSpan w:val="8"/>
            <w:shd w:val="clear" w:color="auto" w:fill="D9E2F3"/>
          </w:tcPr>
          <w:p w14:paraId="1EF79FA7" w14:textId="77777777" w:rsidR="00990B14" w:rsidRDefault="00000000">
            <w:pPr>
              <w:spacing w:after="40"/>
              <w:jc w:val="both"/>
            </w:pPr>
            <w:r>
              <w:rPr>
                <w:sz w:val="18"/>
                <w:szCs w:val="18"/>
              </w:rPr>
              <w:t>Matrices: introducción, definición, orden, tipos e igualdad de matrices. (C)</w:t>
            </w:r>
          </w:p>
          <w:p w14:paraId="1CB4847D" w14:textId="77777777" w:rsidR="00990B14" w:rsidRDefault="00000000">
            <w:pPr>
              <w:spacing w:after="40"/>
              <w:jc w:val="both"/>
            </w:pPr>
            <w:r>
              <w:rPr>
                <w:sz w:val="18"/>
                <w:szCs w:val="18"/>
              </w:rPr>
              <w:t>Operaciones con matrices y sus propiedades; equivalencia de matrices y matrices cuadradas especiales; ejercicios de aplicación. (P)</w:t>
            </w:r>
          </w:p>
          <w:p w14:paraId="544B7970" w14:textId="77777777" w:rsidR="00990B14" w:rsidRDefault="00000000">
            <w:pPr>
              <w:spacing w:after="40"/>
              <w:jc w:val="both"/>
            </w:pPr>
            <w:r>
              <w:rPr>
                <w:sz w:val="18"/>
                <w:szCs w:val="18"/>
              </w:rPr>
              <w:t>Representación matricial de un sistema de ecuaciones lineales; operaciones elementales. (C)</w:t>
            </w:r>
          </w:p>
          <w:p w14:paraId="6E7EA935" w14:textId="77777777" w:rsidR="00990B14" w:rsidRDefault="00000000">
            <w:pPr>
              <w:spacing w:after="40"/>
              <w:jc w:val="both"/>
            </w:pPr>
            <w:r>
              <w:rPr>
                <w:sz w:val="18"/>
                <w:szCs w:val="18"/>
              </w:rPr>
              <w:t>Métodos de resolución de sistemas lineales: eliminación de Gauss-Jordán, eliminación gaussiana y método de la matriz inversa; ejercicios y problemas de aplicación. (P)</w:t>
            </w:r>
          </w:p>
          <w:p w14:paraId="0C2E4933" w14:textId="77777777" w:rsidR="00990B14" w:rsidRDefault="00000000">
            <w:pPr>
              <w:spacing w:after="40"/>
              <w:jc w:val="both"/>
            </w:pPr>
            <w:r>
              <w:rPr>
                <w:sz w:val="18"/>
                <w:szCs w:val="18"/>
              </w:rPr>
              <w:t>Modelos matemáticos con sistemas de ecuaciones lineales y sistemas homogéneos; ejercicios de aplicación. (P)</w:t>
            </w:r>
          </w:p>
          <w:p w14:paraId="66BACF37" w14:textId="77777777" w:rsidR="00990B14" w:rsidRDefault="00000000">
            <w:pPr>
              <w:spacing w:after="40"/>
              <w:jc w:val="both"/>
            </w:pPr>
            <w:r>
              <w:rPr>
                <w:sz w:val="18"/>
                <w:szCs w:val="18"/>
              </w:rPr>
              <w:t>Determinantes: introducción, definición y propiedades. (C)</w:t>
            </w:r>
          </w:p>
          <w:p w14:paraId="27AC58D5" w14:textId="77777777" w:rsidR="00990B14" w:rsidRDefault="00000000">
            <w:pPr>
              <w:spacing w:after="40"/>
              <w:jc w:val="both"/>
            </w:pPr>
            <w:r>
              <w:rPr>
                <w:sz w:val="18"/>
                <w:szCs w:val="18"/>
              </w:rPr>
              <w:t>Métodos para el cálculo de determinantes: regla de Sarrus, método de Laplace, regla de Chío y método de reducción; ejercicios de aplicación. (P)</w:t>
            </w:r>
          </w:p>
          <w:p w14:paraId="19D8B3C8" w14:textId="77777777" w:rsidR="00990B14" w:rsidRDefault="00000000">
            <w:pPr>
              <w:spacing w:after="40"/>
              <w:jc w:val="both"/>
            </w:pPr>
            <w:r>
              <w:rPr>
                <w:sz w:val="18"/>
                <w:szCs w:val="18"/>
              </w:rPr>
              <w:t>La matriz inversa: definición, característica o rango de una matriz y propiedades. (C)</w:t>
            </w:r>
          </w:p>
          <w:p w14:paraId="2975AF50" w14:textId="77777777" w:rsidR="00990B14" w:rsidRDefault="00000000">
            <w:pPr>
              <w:spacing w:after="40"/>
              <w:jc w:val="both"/>
            </w:pPr>
            <w:r>
              <w:rPr>
                <w:sz w:val="18"/>
                <w:szCs w:val="18"/>
              </w:rPr>
              <w:t>Métodos para el cálculo de la matriz inversa: escalonamiento de Gauss y matriz adjunta. (P)</w:t>
            </w:r>
          </w:p>
          <w:p w14:paraId="22D3579F" w14:textId="77777777" w:rsidR="00990B14" w:rsidRDefault="00000000">
            <w:pPr>
              <w:spacing w:after="40"/>
              <w:jc w:val="both"/>
            </w:pPr>
            <w:r>
              <w:rPr>
                <w:sz w:val="18"/>
                <w:szCs w:val="18"/>
              </w:rPr>
              <w:t>Método matricial para la resolución de sistemas de ecuaciones lineales de orden n por n; ejercicios de aplicación. (P)</w:t>
            </w:r>
          </w:p>
          <w:p w14:paraId="20D53426" w14:textId="77777777" w:rsidR="00990B14" w:rsidRDefault="00000000">
            <w:pPr>
              <w:spacing w:after="40"/>
              <w:jc w:val="both"/>
            </w:pPr>
            <w:r>
              <w:rPr>
                <w:sz w:val="18"/>
                <w:szCs w:val="18"/>
              </w:rPr>
              <w:t>Funciones matriciales de la hoja de cálculo para operar matrices, calcular determinantes y hallar la matriz inversa. (P, T)</w:t>
            </w:r>
          </w:p>
          <w:p w14:paraId="2E3E50ED" w14:textId="77777777" w:rsidR="00990B14" w:rsidRDefault="00000000">
            <w:pPr>
              <w:spacing w:after="40"/>
              <w:jc w:val="both"/>
            </w:pPr>
            <w:r>
              <w:rPr>
                <w:sz w:val="18"/>
                <w:szCs w:val="18"/>
              </w:rPr>
              <w:t>Modelo de insumo producto de Leontief: matriz de coeficientes técnicos y matriz inversa para medir los efectos entre sectores económicos. (C)</w:t>
            </w:r>
          </w:p>
        </w:tc>
        <w:tc>
          <w:tcPr>
            <w:tcW w:w="2752" w:type="dxa"/>
            <w:gridSpan w:val="3"/>
            <w:shd w:val="clear" w:color="auto" w:fill="D9E2F3"/>
          </w:tcPr>
          <w:p w14:paraId="27B353A3" w14:textId="77777777" w:rsidR="00990B14" w:rsidRDefault="00000000">
            <w:pPr>
              <w:numPr>
                <w:ilvl w:val="0"/>
                <w:numId w:val="139"/>
              </w:numPr>
              <w:spacing w:before="10" w:after="10"/>
              <w:jc w:val="both"/>
            </w:pPr>
            <w:r>
              <w:rPr>
                <w:sz w:val="18"/>
                <w:szCs w:val="18"/>
              </w:rPr>
              <w:t>Notación de subíndices y de doble índice en arreglos de datos.</w:t>
            </w:r>
          </w:p>
        </w:tc>
      </w:tr>
      <w:tr w:rsidR="00990B14" w14:paraId="21BFEA1E" w14:textId="77777777">
        <w:trPr>
          <w:cantSplit/>
          <w:jc w:val="center"/>
        </w:trPr>
        <w:tc>
          <w:tcPr>
            <w:tcW w:w="9405" w:type="dxa"/>
            <w:gridSpan w:val="13"/>
            <w:shd w:val="clear" w:color="auto" w:fill="D9E2F3"/>
            <w:vAlign w:val="center"/>
          </w:tcPr>
          <w:p w14:paraId="7D64DEAF" w14:textId="77777777" w:rsidR="00990B14" w:rsidRDefault="00000000">
            <w:pPr>
              <w:spacing w:before="20" w:after="20"/>
              <w:jc w:val="both"/>
            </w:pPr>
            <w:r>
              <w:rPr>
                <w:b/>
                <w:bCs/>
                <w:i/>
                <w:iCs/>
                <w:sz w:val="18"/>
                <w:szCs w:val="18"/>
              </w:rPr>
              <w:t xml:space="preserve">Elemento de competencia 2: </w:t>
            </w:r>
            <w:r>
              <w:rPr>
                <w:sz w:val="18"/>
                <w:szCs w:val="18"/>
              </w:rPr>
              <w:t>Resuelve modelos de programación lineal y de programación operativa, aplicando el método simplex, la teoría de la dualidad y los modelos de transporte, asignación y redes a la optimización de recursos de una organización.</w:t>
            </w:r>
          </w:p>
        </w:tc>
      </w:tr>
      <w:tr w:rsidR="00990B14" w14:paraId="7B637A49" w14:textId="77777777">
        <w:trPr>
          <w:cantSplit/>
          <w:jc w:val="center"/>
        </w:trPr>
        <w:tc>
          <w:tcPr>
            <w:tcW w:w="3133" w:type="dxa"/>
            <w:gridSpan w:val="4"/>
            <w:shd w:val="clear" w:color="auto" w:fill="4472C4"/>
            <w:vAlign w:val="center"/>
          </w:tcPr>
          <w:p w14:paraId="5A855531"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48221FE7"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602EB85C" w14:textId="77777777" w:rsidR="00990B14" w:rsidRDefault="00000000">
            <w:pPr>
              <w:keepNext/>
              <w:spacing w:before="20" w:after="20"/>
              <w:jc w:val="center"/>
            </w:pPr>
            <w:r>
              <w:rPr>
                <w:b/>
                <w:bCs/>
                <w:i/>
                <w:iCs/>
                <w:color w:val="FFFFFF"/>
                <w:sz w:val="18"/>
                <w:szCs w:val="18"/>
              </w:rPr>
              <w:t>Evidencias de producto</w:t>
            </w:r>
          </w:p>
        </w:tc>
      </w:tr>
      <w:tr w:rsidR="00990B14" w14:paraId="4D1F5F7E" w14:textId="77777777">
        <w:trPr>
          <w:cantSplit/>
          <w:jc w:val="center"/>
        </w:trPr>
        <w:tc>
          <w:tcPr>
            <w:tcW w:w="3133" w:type="dxa"/>
            <w:gridSpan w:val="4"/>
            <w:vMerge w:val="restart"/>
            <w:shd w:val="clear" w:color="auto" w:fill="D9E2F3"/>
            <w:vAlign w:val="center"/>
          </w:tcPr>
          <w:p w14:paraId="32572CB2" w14:textId="77777777" w:rsidR="00990B14" w:rsidRDefault="00000000">
            <w:pPr>
              <w:spacing w:before="20" w:after="20"/>
              <w:jc w:val="both"/>
            </w:pPr>
            <w:r>
              <w:rPr>
                <w:sz w:val="18"/>
                <w:szCs w:val="18"/>
              </w:rPr>
              <w:t>1. Resuelve modelos de programación lineal con el método gráfico y el método simplex, interpretando la dualidad y la sensibilidad de la solución óptima.</w:t>
            </w:r>
          </w:p>
        </w:tc>
        <w:tc>
          <w:tcPr>
            <w:tcW w:w="3135" w:type="dxa"/>
            <w:gridSpan w:val="5"/>
            <w:shd w:val="clear" w:color="auto" w:fill="D9E2F3"/>
            <w:vAlign w:val="center"/>
          </w:tcPr>
          <w:p w14:paraId="555A6AFA" w14:textId="77777777" w:rsidR="00990B14" w:rsidRDefault="00000000">
            <w:pPr>
              <w:spacing w:before="20" w:after="20"/>
              <w:jc w:val="both"/>
            </w:pPr>
            <w:r>
              <w:rPr>
                <w:sz w:val="18"/>
                <w:szCs w:val="18"/>
              </w:rPr>
              <w:t>1.1 Plantea en aula un modelo de programación lineal de una empresa boliviana y lo resuelve con el método simplex.</w:t>
            </w:r>
          </w:p>
        </w:tc>
        <w:tc>
          <w:tcPr>
            <w:tcW w:w="3137" w:type="dxa"/>
            <w:gridSpan w:val="4"/>
            <w:shd w:val="clear" w:color="auto" w:fill="D9E2F3"/>
            <w:vAlign w:val="center"/>
          </w:tcPr>
          <w:p w14:paraId="08C6C926" w14:textId="77777777" w:rsidR="00990B14" w:rsidRDefault="00000000">
            <w:pPr>
              <w:spacing w:before="20" w:after="20"/>
              <w:jc w:val="both"/>
            </w:pPr>
            <w:r>
              <w:rPr>
                <w:b/>
                <w:bCs/>
                <w:sz w:val="18"/>
                <w:szCs w:val="18"/>
              </w:rPr>
              <w:t xml:space="preserve">Producto 5: </w:t>
            </w:r>
            <w:r>
              <w:rPr>
                <w:sz w:val="18"/>
                <w:szCs w:val="18"/>
              </w:rPr>
              <w:t>Modelo de programación lineal resuelto con el método simplex.</w:t>
            </w:r>
          </w:p>
        </w:tc>
      </w:tr>
      <w:tr w:rsidR="00990B14" w14:paraId="2D43E658" w14:textId="77777777">
        <w:trPr>
          <w:cantSplit/>
          <w:jc w:val="center"/>
        </w:trPr>
        <w:tc>
          <w:tcPr>
            <w:tcW w:w="3133" w:type="dxa"/>
            <w:gridSpan w:val="4"/>
            <w:vMerge/>
            <w:shd w:val="clear" w:color="auto" w:fill="D9E2F3"/>
            <w:vAlign w:val="center"/>
          </w:tcPr>
          <w:p w14:paraId="479F3073" w14:textId="77777777" w:rsidR="00990B14" w:rsidRDefault="00990B14">
            <w:pPr>
              <w:spacing w:before="20" w:after="20"/>
            </w:pPr>
          </w:p>
        </w:tc>
        <w:tc>
          <w:tcPr>
            <w:tcW w:w="3135" w:type="dxa"/>
            <w:gridSpan w:val="5"/>
            <w:shd w:val="clear" w:color="auto" w:fill="D9E2F3"/>
            <w:vAlign w:val="center"/>
          </w:tcPr>
          <w:p w14:paraId="41129726" w14:textId="77777777" w:rsidR="00990B14" w:rsidRDefault="00000000">
            <w:pPr>
              <w:spacing w:before="20" w:after="20"/>
              <w:jc w:val="both"/>
            </w:pPr>
            <w:r>
              <w:rPr>
                <w:sz w:val="18"/>
                <w:szCs w:val="18"/>
              </w:rPr>
              <w:t>1.2 Analiza en equipo el problema dual y los precios sombra de un modelo resuelto con Solver.</w:t>
            </w:r>
          </w:p>
        </w:tc>
        <w:tc>
          <w:tcPr>
            <w:tcW w:w="3137" w:type="dxa"/>
            <w:gridSpan w:val="4"/>
            <w:shd w:val="clear" w:color="auto" w:fill="D9E2F3"/>
            <w:vAlign w:val="center"/>
          </w:tcPr>
          <w:p w14:paraId="013D71D0" w14:textId="77777777" w:rsidR="00990B14" w:rsidRDefault="00000000">
            <w:pPr>
              <w:spacing w:before="20" w:after="20"/>
              <w:jc w:val="both"/>
            </w:pPr>
            <w:r>
              <w:rPr>
                <w:b/>
                <w:bCs/>
                <w:sz w:val="18"/>
                <w:szCs w:val="18"/>
              </w:rPr>
              <w:t xml:space="preserve">Producto 6: </w:t>
            </w:r>
            <w:r>
              <w:rPr>
                <w:sz w:val="18"/>
                <w:szCs w:val="18"/>
              </w:rPr>
              <w:t>Informe de análisis de sensibilidad y del problema dual.</w:t>
            </w:r>
          </w:p>
        </w:tc>
      </w:tr>
      <w:tr w:rsidR="00990B14" w14:paraId="0678970A" w14:textId="77777777">
        <w:trPr>
          <w:cantSplit/>
          <w:jc w:val="center"/>
        </w:trPr>
        <w:tc>
          <w:tcPr>
            <w:tcW w:w="3133" w:type="dxa"/>
            <w:gridSpan w:val="4"/>
            <w:vMerge w:val="restart"/>
            <w:shd w:val="clear" w:color="auto" w:fill="D9E2F3"/>
            <w:vAlign w:val="center"/>
          </w:tcPr>
          <w:p w14:paraId="20E89723" w14:textId="77777777" w:rsidR="00990B14" w:rsidRDefault="00000000">
            <w:pPr>
              <w:spacing w:before="20" w:after="20"/>
              <w:jc w:val="both"/>
            </w:pPr>
            <w:r>
              <w:rPr>
                <w:sz w:val="18"/>
                <w:szCs w:val="18"/>
              </w:rPr>
              <w:t>2. Formula modelos de transporte, asignación y redes a partir de los datos de una organización, determinando la solución de menor costo operacional.</w:t>
            </w:r>
          </w:p>
        </w:tc>
        <w:tc>
          <w:tcPr>
            <w:tcW w:w="3135" w:type="dxa"/>
            <w:gridSpan w:val="5"/>
            <w:shd w:val="clear" w:color="auto" w:fill="D9E2F3"/>
            <w:vAlign w:val="center"/>
          </w:tcPr>
          <w:p w14:paraId="15FADE8A" w14:textId="77777777" w:rsidR="00990B14" w:rsidRDefault="00000000">
            <w:pPr>
              <w:spacing w:before="20" w:after="20"/>
              <w:jc w:val="both"/>
            </w:pPr>
            <w:r>
              <w:rPr>
                <w:sz w:val="18"/>
                <w:szCs w:val="18"/>
              </w:rPr>
              <w:t>2.1 Resuelve en el laboratorio de cómputo un modelo de transporte por los métodos de la esquina noroeste, del costo mínimo y de Vogel.</w:t>
            </w:r>
          </w:p>
        </w:tc>
        <w:tc>
          <w:tcPr>
            <w:tcW w:w="3137" w:type="dxa"/>
            <w:gridSpan w:val="4"/>
            <w:shd w:val="clear" w:color="auto" w:fill="D9E2F3"/>
            <w:vAlign w:val="center"/>
          </w:tcPr>
          <w:p w14:paraId="54381488" w14:textId="77777777" w:rsidR="00990B14" w:rsidRDefault="00000000">
            <w:pPr>
              <w:spacing w:before="20" w:after="20"/>
              <w:jc w:val="both"/>
            </w:pPr>
            <w:r>
              <w:rPr>
                <w:b/>
                <w:bCs/>
                <w:sz w:val="18"/>
                <w:szCs w:val="18"/>
              </w:rPr>
              <w:t xml:space="preserve">Producto 7: </w:t>
            </w:r>
            <w:r>
              <w:rPr>
                <w:sz w:val="18"/>
                <w:szCs w:val="18"/>
              </w:rPr>
              <w:t>Informe de optimización de la distribución con un modelo de transporte.</w:t>
            </w:r>
          </w:p>
        </w:tc>
      </w:tr>
      <w:tr w:rsidR="00990B14" w14:paraId="4D67CDE3" w14:textId="77777777">
        <w:trPr>
          <w:cantSplit/>
          <w:jc w:val="center"/>
        </w:trPr>
        <w:tc>
          <w:tcPr>
            <w:tcW w:w="3133" w:type="dxa"/>
            <w:gridSpan w:val="4"/>
            <w:vMerge/>
            <w:shd w:val="clear" w:color="auto" w:fill="D9E2F3"/>
            <w:vAlign w:val="center"/>
          </w:tcPr>
          <w:p w14:paraId="5B470C89" w14:textId="77777777" w:rsidR="00990B14" w:rsidRDefault="00990B14">
            <w:pPr>
              <w:spacing w:before="20" w:after="20"/>
            </w:pPr>
          </w:p>
        </w:tc>
        <w:tc>
          <w:tcPr>
            <w:tcW w:w="3135" w:type="dxa"/>
            <w:gridSpan w:val="5"/>
            <w:shd w:val="clear" w:color="auto" w:fill="D9E2F3"/>
            <w:vAlign w:val="center"/>
          </w:tcPr>
          <w:p w14:paraId="4FB8BC8F" w14:textId="77777777" w:rsidR="00990B14" w:rsidRDefault="00000000">
            <w:pPr>
              <w:spacing w:before="20" w:after="20"/>
              <w:jc w:val="both"/>
            </w:pPr>
            <w:r>
              <w:rPr>
                <w:sz w:val="18"/>
                <w:szCs w:val="18"/>
              </w:rPr>
              <w:t>2.2 Determina ante el curso la ruta más corta y el flujo máximo de una red de distribución.</w:t>
            </w:r>
          </w:p>
        </w:tc>
        <w:tc>
          <w:tcPr>
            <w:tcW w:w="3137" w:type="dxa"/>
            <w:gridSpan w:val="4"/>
            <w:shd w:val="clear" w:color="auto" w:fill="D9E2F3"/>
            <w:vAlign w:val="center"/>
          </w:tcPr>
          <w:p w14:paraId="7D269D27" w14:textId="77777777" w:rsidR="00990B14" w:rsidRDefault="00000000">
            <w:pPr>
              <w:spacing w:before="20" w:after="20"/>
              <w:jc w:val="both"/>
            </w:pPr>
            <w:r>
              <w:rPr>
                <w:b/>
                <w:bCs/>
                <w:sz w:val="18"/>
                <w:szCs w:val="18"/>
              </w:rPr>
              <w:t xml:space="preserve">Producto 8: </w:t>
            </w:r>
            <w:r>
              <w:rPr>
                <w:sz w:val="18"/>
                <w:szCs w:val="18"/>
              </w:rPr>
              <w:t>Diagrama de red con la ruta más corta y el flujo máximo.</w:t>
            </w:r>
          </w:p>
        </w:tc>
      </w:tr>
      <w:tr w:rsidR="00990B14" w14:paraId="4F27F7C3" w14:textId="77777777">
        <w:trPr>
          <w:cantSplit/>
          <w:jc w:val="center"/>
        </w:trPr>
        <w:tc>
          <w:tcPr>
            <w:tcW w:w="9405" w:type="dxa"/>
            <w:gridSpan w:val="13"/>
            <w:shd w:val="clear" w:color="auto" w:fill="4472C4"/>
            <w:vAlign w:val="center"/>
          </w:tcPr>
          <w:p w14:paraId="22526CE3" w14:textId="77777777" w:rsidR="00990B14" w:rsidRDefault="00000000">
            <w:pPr>
              <w:keepNext/>
              <w:spacing w:before="20" w:after="20"/>
              <w:jc w:val="center"/>
            </w:pPr>
            <w:r>
              <w:rPr>
                <w:b/>
                <w:bCs/>
                <w:i/>
                <w:iCs/>
                <w:color w:val="FFFFFF"/>
                <w:sz w:val="18"/>
                <w:szCs w:val="18"/>
              </w:rPr>
              <w:t>Evidencias de conocimiento</w:t>
            </w:r>
          </w:p>
        </w:tc>
      </w:tr>
      <w:tr w:rsidR="00990B14" w14:paraId="67AB1B58" w14:textId="77777777">
        <w:trPr>
          <w:cantSplit/>
          <w:jc w:val="center"/>
        </w:trPr>
        <w:tc>
          <w:tcPr>
            <w:tcW w:w="2349" w:type="dxa"/>
            <w:gridSpan w:val="2"/>
            <w:shd w:val="clear" w:color="auto" w:fill="4472C4"/>
            <w:vAlign w:val="center"/>
          </w:tcPr>
          <w:p w14:paraId="4B58CFA0"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29221A86" w14:textId="77777777" w:rsidR="00990B14" w:rsidRDefault="00000000">
            <w:pPr>
              <w:keepNext/>
              <w:spacing w:before="20" w:after="20"/>
              <w:jc w:val="both"/>
            </w:pPr>
            <w:r>
              <w:rPr>
                <w:b/>
                <w:bCs/>
                <w:i/>
                <w:iCs/>
                <w:color w:val="FFFFFF"/>
                <w:sz w:val="18"/>
                <w:szCs w:val="18"/>
              </w:rPr>
              <w:t>Contenidos</w:t>
            </w:r>
          </w:p>
          <w:p w14:paraId="1C6041A7"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33C35546" w14:textId="77777777" w:rsidR="00990B14" w:rsidRDefault="00000000">
            <w:pPr>
              <w:keepNext/>
              <w:spacing w:before="20" w:after="20"/>
              <w:jc w:val="center"/>
            </w:pPr>
            <w:r>
              <w:rPr>
                <w:b/>
                <w:bCs/>
                <w:i/>
                <w:iCs/>
                <w:color w:val="FFFFFF"/>
                <w:sz w:val="18"/>
                <w:szCs w:val="18"/>
              </w:rPr>
              <w:t>Conocimientos circunstanciales</w:t>
            </w:r>
          </w:p>
        </w:tc>
      </w:tr>
      <w:tr w:rsidR="00990B14" w14:paraId="2B4B08DC" w14:textId="77777777">
        <w:trPr>
          <w:jc w:val="center"/>
        </w:trPr>
        <w:tc>
          <w:tcPr>
            <w:tcW w:w="2349" w:type="dxa"/>
            <w:gridSpan w:val="2"/>
            <w:shd w:val="clear" w:color="auto" w:fill="D9E2F3"/>
          </w:tcPr>
          <w:p w14:paraId="2A44F2A9" w14:textId="77777777" w:rsidR="00990B14" w:rsidRDefault="00000000">
            <w:pPr>
              <w:spacing w:before="20" w:after="40"/>
              <w:jc w:val="both"/>
            </w:pPr>
            <w:r>
              <w:rPr>
                <w:sz w:val="18"/>
                <w:szCs w:val="18"/>
              </w:rPr>
              <w:t>Tema 5: Modelos Matemáticos Lineales</w:t>
            </w:r>
          </w:p>
          <w:p w14:paraId="321E0241" w14:textId="77777777" w:rsidR="00990B14" w:rsidRDefault="00000000">
            <w:pPr>
              <w:spacing w:before="20" w:after="40"/>
              <w:jc w:val="both"/>
            </w:pPr>
            <w:r>
              <w:rPr>
                <w:sz w:val="18"/>
                <w:szCs w:val="18"/>
              </w:rPr>
              <w:t>Tema 6: Modelos de transporte, asignación y redes</w:t>
            </w:r>
          </w:p>
        </w:tc>
        <w:tc>
          <w:tcPr>
            <w:tcW w:w="4304" w:type="dxa"/>
            <w:gridSpan w:val="8"/>
            <w:shd w:val="clear" w:color="auto" w:fill="D9E2F3"/>
          </w:tcPr>
          <w:p w14:paraId="44494EAE" w14:textId="77777777" w:rsidR="00990B14" w:rsidRDefault="00000000">
            <w:pPr>
              <w:spacing w:after="40"/>
              <w:jc w:val="both"/>
            </w:pPr>
            <w:r>
              <w:rPr>
                <w:sz w:val="18"/>
                <w:szCs w:val="18"/>
              </w:rPr>
              <w:t>Inecuaciones con dos variables y su representación en el plano cartesiano. (C)</w:t>
            </w:r>
          </w:p>
          <w:p w14:paraId="4B5C4599" w14:textId="77777777" w:rsidR="00990B14" w:rsidRDefault="00000000">
            <w:pPr>
              <w:spacing w:after="40"/>
              <w:jc w:val="both"/>
            </w:pPr>
            <w:r>
              <w:rPr>
                <w:sz w:val="18"/>
                <w:szCs w:val="18"/>
              </w:rPr>
              <w:t>Sistemas de inecuaciones con dos variables: gráficas y determinación de puntos críticos. (P)</w:t>
            </w:r>
          </w:p>
          <w:p w14:paraId="2DE6D700" w14:textId="77777777" w:rsidR="00990B14" w:rsidRDefault="00000000">
            <w:pPr>
              <w:spacing w:after="40"/>
              <w:jc w:val="both"/>
            </w:pPr>
            <w:r>
              <w:rPr>
                <w:sz w:val="18"/>
                <w:szCs w:val="18"/>
              </w:rPr>
              <w:t>Definición de programación lineal, fases de estudio y modelos matemáticos. (C)</w:t>
            </w:r>
          </w:p>
          <w:p w14:paraId="0BD2DB5E" w14:textId="77777777" w:rsidR="00990B14" w:rsidRDefault="00000000">
            <w:pPr>
              <w:spacing w:after="40"/>
              <w:jc w:val="both"/>
            </w:pPr>
            <w:r>
              <w:rPr>
                <w:sz w:val="18"/>
                <w:szCs w:val="18"/>
              </w:rPr>
              <w:t>Método simplex: interpretación gráfica, reglas básicas, variables de holgura y variables artificiales. (C)</w:t>
            </w:r>
          </w:p>
          <w:p w14:paraId="333659C0" w14:textId="77777777" w:rsidR="00990B14" w:rsidRDefault="00000000">
            <w:pPr>
              <w:spacing w:after="40"/>
              <w:jc w:val="both"/>
            </w:pPr>
            <w:r>
              <w:rPr>
                <w:sz w:val="18"/>
                <w:szCs w:val="18"/>
              </w:rPr>
              <w:t>Resolución de modelos de programación lineal con la herramienta Solver de la hoja de cálculo y verificación del resultado del método simplex. (P, T)</w:t>
            </w:r>
          </w:p>
          <w:p w14:paraId="471DE1DB" w14:textId="77777777" w:rsidR="00990B14" w:rsidRDefault="00000000">
            <w:pPr>
              <w:spacing w:after="40"/>
              <w:jc w:val="both"/>
            </w:pPr>
            <w:r>
              <w:rPr>
                <w:sz w:val="18"/>
                <w:szCs w:val="18"/>
              </w:rPr>
              <w:t>Teoría de la dualidad y análisis de sensibilidad en programación lineal; ejercicios de aplicación. (C, P)</w:t>
            </w:r>
          </w:p>
          <w:p w14:paraId="606E76DB" w14:textId="77777777" w:rsidR="00990B14" w:rsidRDefault="00000000">
            <w:pPr>
              <w:spacing w:after="40"/>
              <w:jc w:val="both"/>
            </w:pPr>
            <w:r>
              <w:rPr>
                <w:sz w:val="18"/>
                <w:szCs w:val="18"/>
              </w:rPr>
              <w:t>Modelo de transporte: formulación, solución inicial por los métodos de la esquina noroeste, del costo mínimo y de Vogel, y prueba de optimalidad. (C)</w:t>
            </w:r>
          </w:p>
          <w:p w14:paraId="08D2A9C5" w14:textId="77777777" w:rsidR="00990B14" w:rsidRDefault="00000000">
            <w:pPr>
              <w:spacing w:after="40"/>
              <w:jc w:val="both"/>
            </w:pPr>
            <w:r>
              <w:rPr>
                <w:sz w:val="18"/>
                <w:szCs w:val="18"/>
              </w:rPr>
              <w:t>Modelo de asignación: formulación y método húngaro aplicados a la asignación de personal, equipos y tareas. (P)</w:t>
            </w:r>
          </w:p>
          <w:p w14:paraId="14C7A7DC" w14:textId="77777777" w:rsidR="00990B14" w:rsidRDefault="00000000">
            <w:pPr>
              <w:spacing w:after="40"/>
              <w:jc w:val="both"/>
            </w:pPr>
            <w:r>
              <w:rPr>
                <w:sz w:val="18"/>
                <w:szCs w:val="18"/>
              </w:rPr>
              <w:t>Modelos de redes: ruta más corta, árbol de expansión mínima y flujo máximo en problemas de distribución y logística. (C)</w:t>
            </w:r>
          </w:p>
          <w:p w14:paraId="4A7F6CBA" w14:textId="77777777" w:rsidR="00990B14" w:rsidRDefault="00000000">
            <w:pPr>
              <w:spacing w:after="40"/>
              <w:jc w:val="both"/>
            </w:pPr>
            <w:r>
              <w:rPr>
                <w:sz w:val="18"/>
                <w:szCs w:val="18"/>
              </w:rPr>
              <w:t>Resolución de modelos de transporte y de asignación con la herramienta Solver de la hoja de cálculo. (P, T)</w:t>
            </w:r>
          </w:p>
          <w:p w14:paraId="157AF231" w14:textId="77777777" w:rsidR="00990B14" w:rsidRDefault="00000000">
            <w:pPr>
              <w:spacing w:after="40"/>
              <w:jc w:val="both"/>
            </w:pPr>
            <w:r>
              <w:rPr>
                <w:sz w:val="18"/>
                <w:szCs w:val="18"/>
              </w:rPr>
              <w:t>Análisis de sensibilidad como evaluación del riesgo de una decisión ante cambios de precios, costos y disponibilidad de recursos. (P)</w:t>
            </w:r>
          </w:p>
          <w:p w14:paraId="28A9F461" w14:textId="77777777" w:rsidR="00990B14" w:rsidRDefault="00000000">
            <w:pPr>
              <w:spacing w:after="40"/>
              <w:jc w:val="both"/>
            </w:pPr>
            <w:r>
              <w:rPr>
                <w:sz w:val="18"/>
                <w:szCs w:val="18"/>
              </w:rPr>
              <w:t>Restricciones de recursos escasos, ambientales y de eficiencia en el uso de insumos en modelos de producción sostenible. (C)</w:t>
            </w:r>
          </w:p>
          <w:p w14:paraId="1B10F805" w14:textId="77777777" w:rsidR="00990B14" w:rsidRPr="00BD34F7" w:rsidRDefault="00000000">
            <w:pPr>
              <w:spacing w:after="40"/>
              <w:jc w:val="both"/>
              <w:rPr>
                <w:lang w:val="en-US"/>
              </w:rPr>
            </w:pPr>
            <w:r>
              <w:rPr>
                <w:sz w:val="18"/>
                <w:szCs w:val="18"/>
              </w:rPr>
              <w:t xml:space="preserve">Transparencia en la presentación de resultados cuantitativos: supuestos, límites y alternativas de la solución. </w:t>
            </w:r>
            <w:r w:rsidRPr="00BD34F7">
              <w:rPr>
                <w:sz w:val="18"/>
                <w:szCs w:val="18"/>
                <w:lang w:val="en-US"/>
              </w:rPr>
              <w:t>(C, A)</w:t>
            </w:r>
          </w:p>
          <w:p w14:paraId="750795EE" w14:textId="77777777" w:rsidR="00990B14" w:rsidRDefault="00000000">
            <w:pPr>
              <w:spacing w:after="40"/>
              <w:jc w:val="both"/>
            </w:pPr>
            <w:r w:rsidRPr="00BD34F7">
              <w:rPr>
                <w:sz w:val="18"/>
                <w:szCs w:val="18"/>
                <w:lang w:val="en-US"/>
              </w:rPr>
              <w:t xml:space="preserve">Terminología de programación lineal en inglés: linear programming, objective function, constraint, simplex method y shadow price. </w:t>
            </w:r>
            <w:r>
              <w:rPr>
                <w:sz w:val="18"/>
                <w:szCs w:val="18"/>
              </w:rPr>
              <w:t>(C)</w:t>
            </w:r>
          </w:p>
        </w:tc>
        <w:tc>
          <w:tcPr>
            <w:tcW w:w="2752" w:type="dxa"/>
            <w:gridSpan w:val="3"/>
            <w:shd w:val="clear" w:color="auto" w:fill="D9E2F3"/>
          </w:tcPr>
          <w:p w14:paraId="3F0FBB8E" w14:textId="77777777" w:rsidR="00990B14" w:rsidRDefault="00000000">
            <w:pPr>
              <w:numPr>
                <w:ilvl w:val="0"/>
                <w:numId w:val="139"/>
              </w:numPr>
              <w:spacing w:before="10" w:after="10"/>
              <w:jc w:val="both"/>
            </w:pPr>
            <w:r>
              <w:rPr>
                <w:sz w:val="18"/>
                <w:szCs w:val="18"/>
              </w:rPr>
              <w:t>Nociones de logística y de canales de distribución de mercancías.</w:t>
            </w:r>
          </w:p>
          <w:p w14:paraId="599B063C" w14:textId="77777777" w:rsidR="00990B14" w:rsidRDefault="00000000">
            <w:pPr>
              <w:numPr>
                <w:ilvl w:val="0"/>
                <w:numId w:val="139"/>
              </w:numPr>
              <w:spacing w:before="10" w:after="10"/>
              <w:jc w:val="both"/>
            </w:pPr>
            <w:r>
              <w:rPr>
                <w:sz w:val="18"/>
                <w:szCs w:val="18"/>
              </w:rPr>
              <w:t>Lectura de distancias y rutas entre ciudades de Bolivia.</w:t>
            </w:r>
          </w:p>
        </w:tc>
      </w:tr>
      <w:tr w:rsidR="00990B14" w14:paraId="20561A28" w14:textId="77777777">
        <w:trPr>
          <w:cantSplit/>
          <w:jc w:val="center"/>
        </w:trPr>
        <w:tc>
          <w:tcPr>
            <w:tcW w:w="9405" w:type="dxa"/>
            <w:gridSpan w:val="13"/>
            <w:shd w:val="clear" w:color="auto" w:fill="D9E2F3"/>
            <w:vAlign w:val="center"/>
          </w:tcPr>
          <w:p w14:paraId="789FAA53" w14:textId="77777777" w:rsidR="00990B14" w:rsidRDefault="00000000">
            <w:pPr>
              <w:spacing w:before="20" w:after="20"/>
              <w:jc w:val="both"/>
            </w:pPr>
            <w:r>
              <w:rPr>
                <w:b/>
                <w:bCs/>
                <w:i/>
                <w:iCs/>
                <w:sz w:val="18"/>
                <w:szCs w:val="18"/>
              </w:rPr>
              <w:t xml:space="preserve">Elemento de competencia 3: </w:t>
            </w:r>
            <w:r>
              <w:rPr>
                <w:sz w:val="18"/>
                <w:szCs w:val="18"/>
              </w:rPr>
              <w:t>Calcula variaciones, permutaciones y combinaciones de un conjunto de elementos, aplicando el teorema fundamental del conteo.</w:t>
            </w:r>
          </w:p>
        </w:tc>
      </w:tr>
      <w:tr w:rsidR="00990B14" w14:paraId="58E64BCE" w14:textId="77777777">
        <w:trPr>
          <w:cantSplit/>
          <w:jc w:val="center"/>
        </w:trPr>
        <w:tc>
          <w:tcPr>
            <w:tcW w:w="3133" w:type="dxa"/>
            <w:gridSpan w:val="4"/>
            <w:shd w:val="clear" w:color="auto" w:fill="4472C4"/>
            <w:vAlign w:val="center"/>
          </w:tcPr>
          <w:p w14:paraId="22362881"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12BCAAA4"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6AEB1DE2" w14:textId="77777777" w:rsidR="00990B14" w:rsidRDefault="00000000">
            <w:pPr>
              <w:keepNext/>
              <w:spacing w:before="20" w:after="20"/>
              <w:jc w:val="center"/>
            </w:pPr>
            <w:r>
              <w:rPr>
                <w:b/>
                <w:bCs/>
                <w:i/>
                <w:iCs/>
                <w:color w:val="FFFFFF"/>
                <w:sz w:val="18"/>
                <w:szCs w:val="18"/>
              </w:rPr>
              <w:t>Evidencias de producto</w:t>
            </w:r>
          </w:p>
        </w:tc>
      </w:tr>
      <w:tr w:rsidR="00990B14" w14:paraId="482A46F5" w14:textId="77777777">
        <w:trPr>
          <w:cantSplit/>
          <w:jc w:val="center"/>
        </w:trPr>
        <w:tc>
          <w:tcPr>
            <w:tcW w:w="3133" w:type="dxa"/>
            <w:gridSpan w:val="4"/>
            <w:vMerge w:val="restart"/>
            <w:shd w:val="clear" w:color="auto" w:fill="D9E2F3"/>
            <w:vAlign w:val="center"/>
          </w:tcPr>
          <w:p w14:paraId="15F6FC79" w14:textId="77777777" w:rsidR="00990B14" w:rsidRDefault="00000000">
            <w:pPr>
              <w:spacing w:before="20" w:after="20"/>
              <w:jc w:val="both"/>
            </w:pPr>
            <w:r>
              <w:rPr>
                <w:sz w:val="18"/>
                <w:szCs w:val="18"/>
              </w:rPr>
              <w:t>1. Calcula variaciones, permutaciones y combinaciones de un conjunto de elementos, aplicando la notación factorial y el teorema fundamental del conteo.</w:t>
            </w:r>
          </w:p>
        </w:tc>
        <w:tc>
          <w:tcPr>
            <w:tcW w:w="3135" w:type="dxa"/>
            <w:gridSpan w:val="5"/>
            <w:shd w:val="clear" w:color="auto" w:fill="D9E2F3"/>
            <w:vAlign w:val="center"/>
          </w:tcPr>
          <w:p w14:paraId="3F40713E" w14:textId="77777777" w:rsidR="00990B14" w:rsidRDefault="00000000">
            <w:pPr>
              <w:spacing w:before="20" w:after="20"/>
              <w:jc w:val="both"/>
            </w:pPr>
            <w:r>
              <w:rPr>
                <w:sz w:val="18"/>
                <w:szCs w:val="18"/>
              </w:rPr>
              <w:t>1.1 Resuelve en aula problemas de conteo con el teorema fundamental del conteo y la notación factorial.</w:t>
            </w:r>
          </w:p>
        </w:tc>
        <w:tc>
          <w:tcPr>
            <w:tcW w:w="3137" w:type="dxa"/>
            <w:gridSpan w:val="4"/>
            <w:shd w:val="clear" w:color="auto" w:fill="D9E2F3"/>
            <w:vAlign w:val="center"/>
          </w:tcPr>
          <w:p w14:paraId="264535B6" w14:textId="77777777" w:rsidR="00990B14" w:rsidRDefault="00000000">
            <w:pPr>
              <w:spacing w:before="20" w:after="20"/>
              <w:jc w:val="both"/>
            </w:pPr>
            <w:r>
              <w:rPr>
                <w:b/>
                <w:bCs/>
                <w:sz w:val="18"/>
                <w:szCs w:val="18"/>
              </w:rPr>
              <w:t xml:space="preserve">Producto 9: </w:t>
            </w:r>
            <w:r>
              <w:rPr>
                <w:sz w:val="18"/>
                <w:szCs w:val="18"/>
              </w:rPr>
              <w:t>Práctico de cálculo de variaciones, permutaciones y combinaciones.</w:t>
            </w:r>
          </w:p>
        </w:tc>
      </w:tr>
      <w:tr w:rsidR="00990B14" w14:paraId="2D0C1CC1" w14:textId="77777777">
        <w:trPr>
          <w:cantSplit/>
          <w:jc w:val="center"/>
        </w:trPr>
        <w:tc>
          <w:tcPr>
            <w:tcW w:w="3133" w:type="dxa"/>
            <w:gridSpan w:val="4"/>
            <w:vMerge/>
            <w:shd w:val="clear" w:color="auto" w:fill="D9E2F3"/>
            <w:vAlign w:val="center"/>
          </w:tcPr>
          <w:p w14:paraId="18F0F58E" w14:textId="77777777" w:rsidR="00990B14" w:rsidRDefault="00990B14">
            <w:pPr>
              <w:spacing w:before="20" w:after="20"/>
            </w:pPr>
          </w:p>
        </w:tc>
        <w:tc>
          <w:tcPr>
            <w:tcW w:w="3135" w:type="dxa"/>
            <w:gridSpan w:val="5"/>
            <w:shd w:val="clear" w:color="auto" w:fill="D9E2F3"/>
            <w:vAlign w:val="center"/>
          </w:tcPr>
          <w:p w14:paraId="6F09062D" w14:textId="77777777" w:rsidR="00990B14" w:rsidRDefault="00000000">
            <w:pPr>
              <w:spacing w:before="20" w:after="20"/>
              <w:jc w:val="both"/>
            </w:pPr>
            <w:r>
              <w:rPr>
                <w:sz w:val="18"/>
                <w:szCs w:val="18"/>
              </w:rPr>
              <w:t>1.2 Calcula en el laboratorio de cómputo variaciones y combinaciones con las funciones de la hoja de cálculo.</w:t>
            </w:r>
          </w:p>
        </w:tc>
        <w:tc>
          <w:tcPr>
            <w:tcW w:w="3137" w:type="dxa"/>
            <w:gridSpan w:val="4"/>
            <w:shd w:val="clear" w:color="auto" w:fill="D9E2F3"/>
            <w:vAlign w:val="center"/>
          </w:tcPr>
          <w:p w14:paraId="483ED206" w14:textId="77777777" w:rsidR="00990B14" w:rsidRDefault="00000000">
            <w:pPr>
              <w:spacing w:before="20" w:after="20"/>
              <w:jc w:val="both"/>
            </w:pPr>
            <w:r>
              <w:rPr>
                <w:b/>
                <w:bCs/>
                <w:sz w:val="18"/>
                <w:szCs w:val="18"/>
              </w:rPr>
              <w:t xml:space="preserve">Producto 10: </w:t>
            </w:r>
            <w:r>
              <w:rPr>
                <w:sz w:val="18"/>
                <w:szCs w:val="18"/>
              </w:rPr>
              <w:t>Hoja de cálculo de problemas combinatorios.</w:t>
            </w:r>
          </w:p>
        </w:tc>
      </w:tr>
      <w:tr w:rsidR="00990B14" w14:paraId="7362D207" w14:textId="77777777">
        <w:trPr>
          <w:cantSplit/>
          <w:jc w:val="center"/>
        </w:trPr>
        <w:tc>
          <w:tcPr>
            <w:tcW w:w="3133" w:type="dxa"/>
            <w:gridSpan w:val="4"/>
            <w:vMerge w:val="restart"/>
            <w:shd w:val="clear" w:color="auto" w:fill="D9E2F3"/>
            <w:vAlign w:val="center"/>
          </w:tcPr>
          <w:p w14:paraId="44B7D328" w14:textId="77777777" w:rsidR="00990B14" w:rsidRDefault="00000000">
            <w:pPr>
              <w:spacing w:before="20" w:after="20"/>
              <w:jc w:val="both"/>
            </w:pPr>
            <w:r>
              <w:rPr>
                <w:sz w:val="18"/>
                <w:szCs w:val="18"/>
              </w:rPr>
              <w:t>2. Aplica el análisis combinatorio a la selección de muestras y a la identificación de escenarios de riesgo, justificando el método de conteo elegido.</w:t>
            </w:r>
          </w:p>
        </w:tc>
        <w:tc>
          <w:tcPr>
            <w:tcW w:w="3135" w:type="dxa"/>
            <w:gridSpan w:val="5"/>
            <w:shd w:val="clear" w:color="auto" w:fill="D9E2F3"/>
            <w:vAlign w:val="center"/>
          </w:tcPr>
          <w:p w14:paraId="5B2C8477" w14:textId="77777777" w:rsidR="00990B14" w:rsidRDefault="00000000">
            <w:pPr>
              <w:spacing w:before="20" w:after="20"/>
              <w:jc w:val="both"/>
            </w:pPr>
            <w:r>
              <w:rPr>
                <w:sz w:val="18"/>
                <w:szCs w:val="18"/>
              </w:rPr>
              <w:t>2.1 Determina en equipo el número de muestras posibles de una población de comprobantes contables.</w:t>
            </w:r>
          </w:p>
        </w:tc>
        <w:tc>
          <w:tcPr>
            <w:tcW w:w="3137" w:type="dxa"/>
            <w:gridSpan w:val="4"/>
            <w:shd w:val="clear" w:color="auto" w:fill="D9E2F3"/>
            <w:vAlign w:val="center"/>
          </w:tcPr>
          <w:p w14:paraId="55E2A863" w14:textId="77777777" w:rsidR="00990B14" w:rsidRDefault="00000000">
            <w:pPr>
              <w:spacing w:before="20" w:after="20"/>
              <w:jc w:val="both"/>
            </w:pPr>
            <w:r>
              <w:rPr>
                <w:b/>
                <w:bCs/>
                <w:sz w:val="18"/>
                <w:szCs w:val="18"/>
              </w:rPr>
              <w:t xml:space="preserve">Producto 11: </w:t>
            </w:r>
            <w:r>
              <w:rPr>
                <w:sz w:val="18"/>
                <w:szCs w:val="18"/>
              </w:rPr>
              <w:t>Informe del número de muestras posibles de una población de comprobantes.</w:t>
            </w:r>
          </w:p>
        </w:tc>
      </w:tr>
      <w:tr w:rsidR="00990B14" w14:paraId="4C86B307" w14:textId="77777777">
        <w:trPr>
          <w:cantSplit/>
          <w:jc w:val="center"/>
        </w:trPr>
        <w:tc>
          <w:tcPr>
            <w:tcW w:w="3133" w:type="dxa"/>
            <w:gridSpan w:val="4"/>
            <w:vMerge/>
            <w:shd w:val="clear" w:color="auto" w:fill="D9E2F3"/>
            <w:vAlign w:val="center"/>
          </w:tcPr>
          <w:p w14:paraId="31203E3F" w14:textId="77777777" w:rsidR="00990B14" w:rsidRDefault="00990B14">
            <w:pPr>
              <w:spacing w:before="20" w:after="20"/>
            </w:pPr>
          </w:p>
        </w:tc>
        <w:tc>
          <w:tcPr>
            <w:tcW w:w="3135" w:type="dxa"/>
            <w:gridSpan w:val="5"/>
            <w:shd w:val="clear" w:color="auto" w:fill="D9E2F3"/>
            <w:vAlign w:val="center"/>
          </w:tcPr>
          <w:p w14:paraId="3D00B959" w14:textId="77777777" w:rsidR="00990B14" w:rsidRDefault="00000000">
            <w:pPr>
              <w:spacing w:before="20" w:after="20"/>
              <w:jc w:val="both"/>
            </w:pPr>
            <w:r>
              <w:rPr>
                <w:sz w:val="18"/>
                <w:szCs w:val="18"/>
              </w:rPr>
              <w:t>2.2 Identifica ante el curso los escenarios de riesgo posibles de un caso combinando sus variables.</w:t>
            </w:r>
          </w:p>
        </w:tc>
        <w:tc>
          <w:tcPr>
            <w:tcW w:w="3137" w:type="dxa"/>
            <w:gridSpan w:val="4"/>
            <w:shd w:val="clear" w:color="auto" w:fill="D9E2F3"/>
            <w:vAlign w:val="center"/>
          </w:tcPr>
          <w:p w14:paraId="5FD36997" w14:textId="77777777" w:rsidR="00990B14" w:rsidRDefault="00000000">
            <w:pPr>
              <w:spacing w:before="20" w:after="20"/>
              <w:jc w:val="both"/>
            </w:pPr>
            <w:r>
              <w:rPr>
                <w:b/>
                <w:bCs/>
                <w:sz w:val="18"/>
                <w:szCs w:val="18"/>
              </w:rPr>
              <w:t xml:space="preserve">Producto 12: </w:t>
            </w:r>
            <w:r>
              <w:rPr>
                <w:sz w:val="18"/>
                <w:szCs w:val="18"/>
              </w:rPr>
              <w:t>Matriz de escenarios de riesgo de un caso.</w:t>
            </w:r>
          </w:p>
        </w:tc>
      </w:tr>
      <w:tr w:rsidR="00990B14" w14:paraId="1233116D" w14:textId="77777777">
        <w:trPr>
          <w:cantSplit/>
          <w:jc w:val="center"/>
        </w:trPr>
        <w:tc>
          <w:tcPr>
            <w:tcW w:w="9405" w:type="dxa"/>
            <w:gridSpan w:val="13"/>
            <w:shd w:val="clear" w:color="auto" w:fill="4472C4"/>
            <w:vAlign w:val="center"/>
          </w:tcPr>
          <w:p w14:paraId="668EDFF8" w14:textId="77777777" w:rsidR="00990B14" w:rsidRDefault="00000000">
            <w:pPr>
              <w:keepNext/>
              <w:spacing w:before="20" w:after="20"/>
              <w:jc w:val="center"/>
            </w:pPr>
            <w:r>
              <w:rPr>
                <w:b/>
                <w:bCs/>
                <w:i/>
                <w:iCs/>
                <w:color w:val="FFFFFF"/>
                <w:sz w:val="18"/>
                <w:szCs w:val="18"/>
              </w:rPr>
              <w:t>Evidencias de conocimiento</w:t>
            </w:r>
          </w:p>
        </w:tc>
      </w:tr>
      <w:tr w:rsidR="00990B14" w14:paraId="2D0F7B2B" w14:textId="77777777">
        <w:trPr>
          <w:cantSplit/>
          <w:jc w:val="center"/>
        </w:trPr>
        <w:tc>
          <w:tcPr>
            <w:tcW w:w="2349" w:type="dxa"/>
            <w:gridSpan w:val="2"/>
            <w:shd w:val="clear" w:color="auto" w:fill="4472C4"/>
            <w:vAlign w:val="center"/>
          </w:tcPr>
          <w:p w14:paraId="4C303E64"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71D65A37" w14:textId="77777777" w:rsidR="00990B14" w:rsidRDefault="00000000">
            <w:pPr>
              <w:keepNext/>
              <w:spacing w:before="20" w:after="20"/>
              <w:jc w:val="both"/>
            </w:pPr>
            <w:r>
              <w:rPr>
                <w:b/>
                <w:bCs/>
                <w:i/>
                <w:iCs/>
                <w:color w:val="FFFFFF"/>
                <w:sz w:val="18"/>
                <w:szCs w:val="18"/>
              </w:rPr>
              <w:t>Contenidos</w:t>
            </w:r>
          </w:p>
          <w:p w14:paraId="474FF2A8"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611CE87A" w14:textId="77777777" w:rsidR="00990B14" w:rsidRDefault="00000000">
            <w:pPr>
              <w:keepNext/>
              <w:spacing w:before="20" w:after="20"/>
              <w:jc w:val="center"/>
            </w:pPr>
            <w:r>
              <w:rPr>
                <w:b/>
                <w:bCs/>
                <w:i/>
                <w:iCs/>
                <w:color w:val="FFFFFF"/>
                <w:sz w:val="18"/>
                <w:szCs w:val="18"/>
              </w:rPr>
              <w:t>Conocimientos circunstanciales</w:t>
            </w:r>
          </w:p>
        </w:tc>
      </w:tr>
      <w:tr w:rsidR="00990B14" w14:paraId="335FF9AB" w14:textId="77777777">
        <w:trPr>
          <w:jc w:val="center"/>
        </w:trPr>
        <w:tc>
          <w:tcPr>
            <w:tcW w:w="2349" w:type="dxa"/>
            <w:gridSpan w:val="2"/>
            <w:shd w:val="clear" w:color="auto" w:fill="D9E2F3"/>
          </w:tcPr>
          <w:p w14:paraId="45F4FB36" w14:textId="77777777" w:rsidR="00990B14" w:rsidRDefault="00000000">
            <w:pPr>
              <w:spacing w:before="20" w:after="40"/>
              <w:jc w:val="both"/>
            </w:pPr>
            <w:r>
              <w:rPr>
                <w:sz w:val="18"/>
                <w:szCs w:val="18"/>
              </w:rPr>
              <w:t>Tema 7: Análisis Combinatorio</w:t>
            </w:r>
          </w:p>
        </w:tc>
        <w:tc>
          <w:tcPr>
            <w:tcW w:w="4304" w:type="dxa"/>
            <w:gridSpan w:val="8"/>
            <w:shd w:val="clear" w:color="auto" w:fill="D9E2F3"/>
          </w:tcPr>
          <w:p w14:paraId="6256113E" w14:textId="77777777" w:rsidR="00990B14" w:rsidRDefault="00000000">
            <w:pPr>
              <w:spacing w:after="40"/>
              <w:jc w:val="both"/>
            </w:pPr>
            <w:r>
              <w:rPr>
                <w:sz w:val="18"/>
                <w:szCs w:val="18"/>
              </w:rPr>
              <w:t>Notación factorial y sus propiedades. (C)</w:t>
            </w:r>
          </w:p>
          <w:p w14:paraId="1AE0746E" w14:textId="77777777" w:rsidR="00990B14" w:rsidRDefault="00000000">
            <w:pPr>
              <w:spacing w:after="40"/>
              <w:jc w:val="both"/>
            </w:pPr>
            <w:r>
              <w:rPr>
                <w:sz w:val="18"/>
                <w:szCs w:val="18"/>
              </w:rPr>
              <w:t>Teorema fundamental del conteo. (C)</w:t>
            </w:r>
          </w:p>
          <w:p w14:paraId="2FDF71EF" w14:textId="77777777" w:rsidR="00990B14" w:rsidRDefault="00000000">
            <w:pPr>
              <w:spacing w:after="40"/>
              <w:jc w:val="both"/>
            </w:pPr>
            <w:r>
              <w:rPr>
                <w:sz w:val="18"/>
                <w:szCs w:val="18"/>
              </w:rPr>
              <w:t>Variaciones: definición y cálculo. (C, P)</w:t>
            </w:r>
          </w:p>
          <w:p w14:paraId="2A22ACBA" w14:textId="77777777" w:rsidR="00990B14" w:rsidRDefault="00000000">
            <w:pPr>
              <w:spacing w:after="40"/>
              <w:jc w:val="both"/>
            </w:pPr>
            <w:r>
              <w:rPr>
                <w:sz w:val="18"/>
                <w:szCs w:val="18"/>
              </w:rPr>
              <w:t>Permutaciones: definición y cálculo. (C, P)</w:t>
            </w:r>
          </w:p>
          <w:p w14:paraId="0F491951" w14:textId="77777777" w:rsidR="00990B14" w:rsidRDefault="00000000">
            <w:pPr>
              <w:spacing w:after="40"/>
              <w:jc w:val="both"/>
            </w:pPr>
            <w:r>
              <w:rPr>
                <w:sz w:val="18"/>
                <w:szCs w:val="18"/>
              </w:rPr>
              <w:t>Combinaciones: definición y cálculo. (C, P)</w:t>
            </w:r>
          </w:p>
          <w:p w14:paraId="025CDF51" w14:textId="77777777" w:rsidR="00990B14" w:rsidRDefault="00000000">
            <w:pPr>
              <w:spacing w:after="40"/>
              <w:jc w:val="both"/>
            </w:pPr>
            <w:r>
              <w:rPr>
                <w:sz w:val="18"/>
                <w:szCs w:val="18"/>
              </w:rPr>
              <w:t>Ejercicios y problemas de aplicación. (P)</w:t>
            </w:r>
          </w:p>
          <w:p w14:paraId="3FEFE451" w14:textId="77777777" w:rsidR="00990B14" w:rsidRDefault="00000000">
            <w:pPr>
              <w:spacing w:after="40"/>
              <w:jc w:val="both"/>
            </w:pPr>
            <w:r>
              <w:rPr>
                <w:sz w:val="18"/>
                <w:szCs w:val="18"/>
              </w:rPr>
              <w:t>Cálculo de variaciones, permutaciones y combinaciones con funciones de la hoja de cálculo. (P, T)</w:t>
            </w:r>
          </w:p>
          <w:p w14:paraId="7116D29D" w14:textId="77777777" w:rsidR="00990B14" w:rsidRDefault="00000000">
            <w:pPr>
              <w:spacing w:after="40"/>
              <w:jc w:val="both"/>
            </w:pPr>
            <w:r>
              <w:rPr>
                <w:sz w:val="18"/>
                <w:szCs w:val="18"/>
              </w:rPr>
              <w:t>Aplicación del análisis combinatorio a la selección de muestras de auditoría y a la identificación de escenarios de riesgo. (P)</w:t>
            </w:r>
          </w:p>
        </w:tc>
        <w:tc>
          <w:tcPr>
            <w:tcW w:w="2752" w:type="dxa"/>
            <w:gridSpan w:val="3"/>
            <w:shd w:val="clear" w:color="auto" w:fill="D9E2F3"/>
          </w:tcPr>
          <w:p w14:paraId="139AC40E" w14:textId="77777777" w:rsidR="00990B14" w:rsidRDefault="00000000">
            <w:pPr>
              <w:numPr>
                <w:ilvl w:val="0"/>
                <w:numId w:val="139"/>
              </w:numPr>
              <w:spacing w:before="10" w:after="10"/>
              <w:jc w:val="both"/>
            </w:pPr>
            <w:r>
              <w:rPr>
                <w:sz w:val="18"/>
                <w:szCs w:val="18"/>
              </w:rPr>
              <w:t>Juegos de azar y sorteos como modelos de conteo.</w:t>
            </w:r>
          </w:p>
        </w:tc>
      </w:tr>
      <w:tr w:rsidR="00990B14" w14:paraId="26C13FFF" w14:textId="77777777">
        <w:trPr>
          <w:cantSplit/>
          <w:jc w:val="center"/>
        </w:trPr>
        <w:tc>
          <w:tcPr>
            <w:tcW w:w="9405" w:type="dxa"/>
            <w:gridSpan w:val="13"/>
            <w:shd w:val="clear" w:color="auto" w:fill="D9E2F3"/>
            <w:vAlign w:val="center"/>
          </w:tcPr>
          <w:p w14:paraId="03F9F1E3" w14:textId="77777777" w:rsidR="00990B14" w:rsidRDefault="00000000">
            <w:pPr>
              <w:spacing w:before="20" w:after="20"/>
              <w:jc w:val="both"/>
            </w:pPr>
            <w:r>
              <w:rPr>
                <w:b/>
                <w:bCs/>
                <w:i/>
                <w:iCs/>
                <w:sz w:val="18"/>
                <w:szCs w:val="18"/>
              </w:rPr>
              <w:t xml:space="preserve">Elemento de competencia 4: </w:t>
            </w:r>
            <w:r>
              <w:rPr>
                <w:sz w:val="18"/>
                <w:szCs w:val="18"/>
              </w:rPr>
              <w:t>Aplica las operaciones con conjuntos a la resolución de problemas de conteo, representando sus relaciones con diagramas de Venn Euler.</w:t>
            </w:r>
          </w:p>
        </w:tc>
      </w:tr>
      <w:tr w:rsidR="00990B14" w14:paraId="0003081A" w14:textId="77777777">
        <w:trPr>
          <w:cantSplit/>
          <w:jc w:val="center"/>
        </w:trPr>
        <w:tc>
          <w:tcPr>
            <w:tcW w:w="3133" w:type="dxa"/>
            <w:gridSpan w:val="4"/>
            <w:shd w:val="clear" w:color="auto" w:fill="4472C4"/>
            <w:vAlign w:val="center"/>
          </w:tcPr>
          <w:p w14:paraId="5EC0EBC2"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2A214E50"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5AC62EEC" w14:textId="77777777" w:rsidR="00990B14" w:rsidRDefault="00000000">
            <w:pPr>
              <w:keepNext/>
              <w:spacing w:before="20" w:after="20"/>
              <w:jc w:val="center"/>
            </w:pPr>
            <w:r>
              <w:rPr>
                <w:b/>
                <w:bCs/>
                <w:i/>
                <w:iCs/>
                <w:color w:val="FFFFFF"/>
                <w:sz w:val="18"/>
                <w:szCs w:val="18"/>
              </w:rPr>
              <w:t>Evidencias de producto</w:t>
            </w:r>
          </w:p>
        </w:tc>
      </w:tr>
      <w:tr w:rsidR="00990B14" w14:paraId="40AA9179" w14:textId="77777777">
        <w:trPr>
          <w:cantSplit/>
          <w:jc w:val="center"/>
        </w:trPr>
        <w:tc>
          <w:tcPr>
            <w:tcW w:w="3133" w:type="dxa"/>
            <w:gridSpan w:val="4"/>
            <w:vMerge w:val="restart"/>
            <w:shd w:val="clear" w:color="auto" w:fill="D9E2F3"/>
            <w:vAlign w:val="center"/>
          </w:tcPr>
          <w:p w14:paraId="0F5A844C" w14:textId="77777777" w:rsidR="00990B14" w:rsidRDefault="00000000">
            <w:pPr>
              <w:spacing w:before="20" w:after="20"/>
              <w:jc w:val="both"/>
            </w:pPr>
            <w:r>
              <w:rPr>
                <w:sz w:val="18"/>
                <w:szCs w:val="18"/>
              </w:rPr>
              <w:t>1. Aplica las operaciones con conjuntos, las particiones y el conjunto potencia, representando sus relaciones en diagramas de Venn Euler.</w:t>
            </w:r>
          </w:p>
        </w:tc>
        <w:tc>
          <w:tcPr>
            <w:tcW w:w="3135" w:type="dxa"/>
            <w:gridSpan w:val="5"/>
            <w:shd w:val="clear" w:color="auto" w:fill="D9E2F3"/>
            <w:vAlign w:val="center"/>
          </w:tcPr>
          <w:p w14:paraId="1E920997" w14:textId="77777777" w:rsidR="00990B14" w:rsidRDefault="00000000">
            <w:pPr>
              <w:spacing w:before="20" w:after="20"/>
              <w:jc w:val="both"/>
            </w:pPr>
            <w:r>
              <w:rPr>
                <w:sz w:val="18"/>
                <w:szCs w:val="18"/>
              </w:rPr>
              <w:t>1.1 Representa en aula las operaciones con conjuntos de un caso propuesto en diagramas de Venn Euler.</w:t>
            </w:r>
          </w:p>
        </w:tc>
        <w:tc>
          <w:tcPr>
            <w:tcW w:w="3137" w:type="dxa"/>
            <w:gridSpan w:val="4"/>
            <w:shd w:val="clear" w:color="auto" w:fill="D9E2F3"/>
            <w:vAlign w:val="center"/>
          </w:tcPr>
          <w:p w14:paraId="6386AD13" w14:textId="77777777" w:rsidR="00990B14" w:rsidRDefault="00000000">
            <w:pPr>
              <w:spacing w:before="20" w:after="20"/>
              <w:jc w:val="both"/>
            </w:pPr>
            <w:r>
              <w:rPr>
                <w:b/>
                <w:bCs/>
                <w:sz w:val="18"/>
                <w:szCs w:val="18"/>
              </w:rPr>
              <w:t xml:space="preserve">Producto 13: </w:t>
            </w:r>
            <w:r>
              <w:rPr>
                <w:sz w:val="18"/>
                <w:szCs w:val="18"/>
              </w:rPr>
              <w:t>Práctico de operaciones con conjuntos en diagramas de Venn Euler.</w:t>
            </w:r>
          </w:p>
        </w:tc>
      </w:tr>
      <w:tr w:rsidR="00990B14" w14:paraId="69F40A97" w14:textId="77777777">
        <w:trPr>
          <w:cantSplit/>
          <w:jc w:val="center"/>
        </w:trPr>
        <w:tc>
          <w:tcPr>
            <w:tcW w:w="3133" w:type="dxa"/>
            <w:gridSpan w:val="4"/>
            <w:vMerge/>
            <w:shd w:val="clear" w:color="auto" w:fill="D9E2F3"/>
            <w:vAlign w:val="center"/>
          </w:tcPr>
          <w:p w14:paraId="6A9BAFC3" w14:textId="77777777" w:rsidR="00990B14" w:rsidRDefault="00990B14">
            <w:pPr>
              <w:spacing w:before="20" w:after="20"/>
            </w:pPr>
          </w:p>
        </w:tc>
        <w:tc>
          <w:tcPr>
            <w:tcW w:w="3135" w:type="dxa"/>
            <w:gridSpan w:val="5"/>
            <w:shd w:val="clear" w:color="auto" w:fill="D9E2F3"/>
            <w:vAlign w:val="center"/>
          </w:tcPr>
          <w:p w14:paraId="71B2BFC0" w14:textId="77777777" w:rsidR="00990B14" w:rsidRDefault="00000000">
            <w:pPr>
              <w:spacing w:before="20" w:after="20"/>
              <w:jc w:val="both"/>
            </w:pPr>
            <w:r>
              <w:rPr>
                <w:sz w:val="18"/>
                <w:szCs w:val="18"/>
              </w:rPr>
              <w:t>1.2 Determina en equipo los subconjuntos, las particiones y el conjunto potencia de un universo de actividades económicas.</w:t>
            </w:r>
          </w:p>
        </w:tc>
        <w:tc>
          <w:tcPr>
            <w:tcW w:w="3137" w:type="dxa"/>
            <w:gridSpan w:val="4"/>
            <w:shd w:val="clear" w:color="auto" w:fill="D9E2F3"/>
            <w:vAlign w:val="center"/>
          </w:tcPr>
          <w:p w14:paraId="717328E0" w14:textId="77777777" w:rsidR="00990B14" w:rsidRDefault="00000000">
            <w:pPr>
              <w:spacing w:before="20" w:after="20"/>
              <w:jc w:val="both"/>
            </w:pPr>
            <w:r>
              <w:rPr>
                <w:b/>
                <w:bCs/>
                <w:sz w:val="18"/>
                <w:szCs w:val="18"/>
              </w:rPr>
              <w:t xml:space="preserve">Producto 14: </w:t>
            </w:r>
            <w:r>
              <w:rPr>
                <w:sz w:val="18"/>
                <w:szCs w:val="18"/>
              </w:rPr>
              <w:t>Cuadro de particiones de un universo de actividades económicas.</w:t>
            </w:r>
          </w:p>
        </w:tc>
      </w:tr>
      <w:tr w:rsidR="00990B14" w14:paraId="090BCAEF" w14:textId="77777777">
        <w:trPr>
          <w:cantSplit/>
          <w:jc w:val="center"/>
        </w:trPr>
        <w:tc>
          <w:tcPr>
            <w:tcW w:w="3133" w:type="dxa"/>
            <w:gridSpan w:val="4"/>
            <w:vMerge w:val="restart"/>
            <w:shd w:val="clear" w:color="auto" w:fill="D9E2F3"/>
            <w:vAlign w:val="center"/>
          </w:tcPr>
          <w:p w14:paraId="52472E60" w14:textId="77777777" w:rsidR="00990B14" w:rsidRDefault="00000000">
            <w:pPr>
              <w:spacing w:before="20" w:after="20"/>
              <w:jc w:val="both"/>
            </w:pPr>
            <w:r>
              <w:rPr>
                <w:sz w:val="18"/>
                <w:szCs w:val="18"/>
              </w:rPr>
              <w:t>2. Resuelve problemas de conteo con la cardinalidad de conjuntos, cruzando registros de una base de datos en hoja de cálculo.</w:t>
            </w:r>
          </w:p>
        </w:tc>
        <w:tc>
          <w:tcPr>
            <w:tcW w:w="3135" w:type="dxa"/>
            <w:gridSpan w:val="5"/>
            <w:shd w:val="clear" w:color="auto" w:fill="D9E2F3"/>
            <w:vAlign w:val="center"/>
          </w:tcPr>
          <w:p w14:paraId="0FCB0BD1" w14:textId="77777777" w:rsidR="00990B14" w:rsidRDefault="00000000">
            <w:pPr>
              <w:spacing w:before="20" w:after="20"/>
              <w:jc w:val="both"/>
            </w:pPr>
            <w:r>
              <w:rPr>
                <w:sz w:val="18"/>
                <w:szCs w:val="18"/>
              </w:rPr>
              <w:t>2.1 Resuelve en aula un problema de conteo de tres conjuntos con la cardinalidad.</w:t>
            </w:r>
          </w:p>
        </w:tc>
        <w:tc>
          <w:tcPr>
            <w:tcW w:w="3137" w:type="dxa"/>
            <w:gridSpan w:val="4"/>
            <w:shd w:val="clear" w:color="auto" w:fill="D9E2F3"/>
            <w:vAlign w:val="center"/>
          </w:tcPr>
          <w:p w14:paraId="7B911CD3" w14:textId="77777777" w:rsidR="00990B14" w:rsidRDefault="00000000">
            <w:pPr>
              <w:spacing w:before="20" w:after="20"/>
              <w:jc w:val="both"/>
            </w:pPr>
            <w:r>
              <w:rPr>
                <w:b/>
                <w:bCs/>
                <w:sz w:val="18"/>
                <w:szCs w:val="18"/>
              </w:rPr>
              <w:t xml:space="preserve">Producto 15: </w:t>
            </w:r>
            <w:r>
              <w:rPr>
                <w:sz w:val="18"/>
                <w:szCs w:val="18"/>
              </w:rPr>
              <w:t>Problema resuelto de cardinalidad de tres conjuntos.</w:t>
            </w:r>
          </w:p>
        </w:tc>
      </w:tr>
      <w:tr w:rsidR="00990B14" w14:paraId="1913DFDD" w14:textId="77777777">
        <w:trPr>
          <w:cantSplit/>
          <w:jc w:val="center"/>
        </w:trPr>
        <w:tc>
          <w:tcPr>
            <w:tcW w:w="3133" w:type="dxa"/>
            <w:gridSpan w:val="4"/>
            <w:vMerge/>
            <w:shd w:val="clear" w:color="auto" w:fill="D9E2F3"/>
            <w:vAlign w:val="center"/>
          </w:tcPr>
          <w:p w14:paraId="2474E51A" w14:textId="77777777" w:rsidR="00990B14" w:rsidRDefault="00990B14">
            <w:pPr>
              <w:spacing w:before="20" w:after="20"/>
            </w:pPr>
          </w:p>
        </w:tc>
        <w:tc>
          <w:tcPr>
            <w:tcW w:w="3135" w:type="dxa"/>
            <w:gridSpan w:val="5"/>
            <w:shd w:val="clear" w:color="auto" w:fill="D9E2F3"/>
            <w:vAlign w:val="center"/>
          </w:tcPr>
          <w:p w14:paraId="3385EBB7" w14:textId="77777777" w:rsidR="00990B14" w:rsidRDefault="00000000">
            <w:pPr>
              <w:spacing w:before="20" w:after="20"/>
              <w:jc w:val="both"/>
            </w:pPr>
            <w:r>
              <w:rPr>
                <w:sz w:val="18"/>
                <w:szCs w:val="18"/>
              </w:rPr>
              <w:t>2.2 Cruza en el laboratorio de cómputo los registros de dos bases de datos de clientes con filtros y consultas.</w:t>
            </w:r>
          </w:p>
        </w:tc>
        <w:tc>
          <w:tcPr>
            <w:tcW w:w="3137" w:type="dxa"/>
            <w:gridSpan w:val="4"/>
            <w:shd w:val="clear" w:color="auto" w:fill="D9E2F3"/>
            <w:vAlign w:val="center"/>
          </w:tcPr>
          <w:p w14:paraId="33B09A15" w14:textId="77777777" w:rsidR="00990B14" w:rsidRDefault="00000000">
            <w:pPr>
              <w:spacing w:before="20" w:after="20"/>
              <w:jc w:val="both"/>
            </w:pPr>
            <w:r>
              <w:rPr>
                <w:b/>
                <w:bCs/>
                <w:sz w:val="18"/>
                <w:szCs w:val="18"/>
              </w:rPr>
              <w:t xml:space="preserve">Producto 16: </w:t>
            </w:r>
            <w:r>
              <w:rPr>
                <w:sz w:val="18"/>
                <w:szCs w:val="18"/>
              </w:rPr>
              <w:t>Informe de cruce de registros de bases de datos con operaciones de conjuntos.</w:t>
            </w:r>
          </w:p>
        </w:tc>
      </w:tr>
      <w:tr w:rsidR="00990B14" w14:paraId="05A787CA" w14:textId="77777777">
        <w:trPr>
          <w:cantSplit/>
          <w:jc w:val="center"/>
        </w:trPr>
        <w:tc>
          <w:tcPr>
            <w:tcW w:w="9405" w:type="dxa"/>
            <w:gridSpan w:val="13"/>
            <w:shd w:val="clear" w:color="auto" w:fill="4472C4"/>
            <w:vAlign w:val="center"/>
          </w:tcPr>
          <w:p w14:paraId="2A7FD8A9" w14:textId="77777777" w:rsidR="00990B14" w:rsidRDefault="00000000">
            <w:pPr>
              <w:keepNext/>
              <w:spacing w:before="20" w:after="20"/>
              <w:jc w:val="center"/>
            </w:pPr>
            <w:r>
              <w:rPr>
                <w:b/>
                <w:bCs/>
                <w:i/>
                <w:iCs/>
                <w:color w:val="FFFFFF"/>
                <w:sz w:val="18"/>
                <w:szCs w:val="18"/>
              </w:rPr>
              <w:t>Evidencias de conocimiento</w:t>
            </w:r>
          </w:p>
        </w:tc>
      </w:tr>
      <w:tr w:rsidR="00990B14" w14:paraId="1CB34753" w14:textId="77777777">
        <w:trPr>
          <w:cantSplit/>
          <w:jc w:val="center"/>
        </w:trPr>
        <w:tc>
          <w:tcPr>
            <w:tcW w:w="2349" w:type="dxa"/>
            <w:gridSpan w:val="2"/>
            <w:shd w:val="clear" w:color="auto" w:fill="4472C4"/>
            <w:vAlign w:val="center"/>
          </w:tcPr>
          <w:p w14:paraId="0711134C"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351E05F4" w14:textId="77777777" w:rsidR="00990B14" w:rsidRDefault="00000000">
            <w:pPr>
              <w:keepNext/>
              <w:spacing w:before="20" w:after="20"/>
              <w:jc w:val="both"/>
            </w:pPr>
            <w:r>
              <w:rPr>
                <w:b/>
                <w:bCs/>
                <w:i/>
                <w:iCs/>
                <w:color w:val="FFFFFF"/>
                <w:sz w:val="18"/>
                <w:szCs w:val="18"/>
              </w:rPr>
              <w:t>Contenidos</w:t>
            </w:r>
          </w:p>
          <w:p w14:paraId="5BD73615"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6A42B8AA" w14:textId="77777777" w:rsidR="00990B14" w:rsidRDefault="00000000">
            <w:pPr>
              <w:keepNext/>
              <w:spacing w:before="20" w:after="20"/>
              <w:jc w:val="center"/>
            </w:pPr>
            <w:r>
              <w:rPr>
                <w:b/>
                <w:bCs/>
                <w:i/>
                <w:iCs/>
                <w:color w:val="FFFFFF"/>
                <w:sz w:val="18"/>
                <w:szCs w:val="18"/>
              </w:rPr>
              <w:t>Conocimientos circunstanciales</w:t>
            </w:r>
          </w:p>
        </w:tc>
      </w:tr>
      <w:tr w:rsidR="00990B14" w14:paraId="0A7E154B" w14:textId="77777777">
        <w:trPr>
          <w:jc w:val="center"/>
        </w:trPr>
        <w:tc>
          <w:tcPr>
            <w:tcW w:w="2349" w:type="dxa"/>
            <w:gridSpan w:val="2"/>
            <w:shd w:val="clear" w:color="auto" w:fill="D9E2F3"/>
          </w:tcPr>
          <w:p w14:paraId="24C3EE68" w14:textId="77777777" w:rsidR="00990B14" w:rsidRDefault="00000000">
            <w:pPr>
              <w:spacing w:before="20" w:after="40"/>
              <w:jc w:val="both"/>
            </w:pPr>
            <w:r>
              <w:rPr>
                <w:sz w:val="18"/>
                <w:szCs w:val="18"/>
              </w:rPr>
              <w:t>Tema 8: Conjuntos y Operaciones con Conjuntos</w:t>
            </w:r>
          </w:p>
        </w:tc>
        <w:tc>
          <w:tcPr>
            <w:tcW w:w="4304" w:type="dxa"/>
            <w:gridSpan w:val="8"/>
            <w:shd w:val="clear" w:color="auto" w:fill="D9E2F3"/>
          </w:tcPr>
          <w:p w14:paraId="0B9DC88D" w14:textId="77777777" w:rsidR="00990B14" w:rsidRDefault="00000000">
            <w:pPr>
              <w:spacing w:after="40"/>
              <w:jc w:val="both"/>
            </w:pPr>
            <w:r>
              <w:rPr>
                <w:sz w:val="18"/>
                <w:szCs w:val="18"/>
              </w:rPr>
              <w:t>Conjuntos: concepto y conjuntos notables. (C)</w:t>
            </w:r>
          </w:p>
          <w:p w14:paraId="3F23889D" w14:textId="77777777" w:rsidR="00990B14" w:rsidRDefault="00000000">
            <w:pPr>
              <w:spacing w:after="40"/>
              <w:jc w:val="both"/>
            </w:pPr>
            <w:r>
              <w:rPr>
                <w:sz w:val="18"/>
                <w:szCs w:val="18"/>
              </w:rPr>
              <w:t>Subconjuntos, particiones y conjunto potencia. (C)</w:t>
            </w:r>
          </w:p>
          <w:p w14:paraId="513CBC23" w14:textId="77777777" w:rsidR="00990B14" w:rsidRDefault="00000000">
            <w:pPr>
              <w:spacing w:after="40"/>
              <w:jc w:val="both"/>
            </w:pPr>
            <w:r>
              <w:rPr>
                <w:sz w:val="18"/>
                <w:szCs w:val="18"/>
              </w:rPr>
              <w:t>Diagramas de Venn Euler y operaciones con conjuntos. (C)</w:t>
            </w:r>
          </w:p>
          <w:p w14:paraId="220A6109" w14:textId="77777777" w:rsidR="00990B14" w:rsidRDefault="00000000">
            <w:pPr>
              <w:spacing w:after="40"/>
              <w:jc w:val="both"/>
            </w:pPr>
            <w:r>
              <w:rPr>
                <w:sz w:val="18"/>
                <w:szCs w:val="18"/>
              </w:rPr>
              <w:t>Cardinalidad de conjuntos y problemas de conteo; ejercicios de aplicación. (P)</w:t>
            </w:r>
          </w:p>
          <w:p w14:paraId="03395357" w14:textId="77777777" w:rsidR="00990B14" w:rsidRDefault="00000000">
            <w:pPr>
              <w:spacing w:after="40"/>
              <w:jc w:val="both"/>
            </w:pPr>
            <w:r>
              <w:rPr>
                <w:sz w:val="18"/>
                <w:szCs w:val="18"/>
              </w:rPr>
              <w:t>Operaciones con conjuntos aplicadas a bases de datos: consultas, filtros y cruces de registros en hoja de cálculo. (P, T)</w:t>
            </w:r>
          </w:p>
          <w:p w14:paraId="493EE581" w14:textId="77777777" w:rsidR="00990B14" w:rsidRDefault="00000000">
            <w:pPr>
              <w:spacing w:after="40"/>
              <w:jc w:val="both"/>
            </w:pPr>
            <w:r>
              <w:rPr>
                <w:sz w:val="18"/>
                <w:szCs w:val="18"/>
              </w:rPr>
              <w:t>Clasificaciones de actividades económicas como particiones de un universo: secciones, divisiones, clases y subclases. (C)</w:t>
            </w:r>
          </w:p>
        </w:tc>
        <w:tc>
          <w:tcPr>
            <w:tcW w:w="2752" w:type="dxa"/>
            <w:gridSpan w:val="3"/>
            <w:shd w:val="clear" w:color="auto" w:fill="D9E2F3"/>
          </w:tcPr>
          <w:p w14:paraId="0CF768D9" w14:textId="77777777" w:rsidR="00990B14" w:rsidRDefault="00000000">
            <w:pPr>
              <w:numPr>
                <w:ilvl w:val="0"/>
                <w:numId w:val="139"/>
              </w:numPr>
              <w:spacing w:before="10" w:after="10"/>
              <w:jc w:val="both"/>
            </w:pPr>
            <w:r>
              <w:rPr>
                <w:sz w:val="18"/>
                <w:szCs w:val="18"/>
              </w:rPr>
              <w:t>Nociones de lógica proposicional: conectivos y tablas de verdad.</w:t>
            </w:r>
          </w:p>
        </w:tc>
      </w:tr>
      <w:tr w:rsidR="00990B14" w14:paraId="7BF1EF49" w14:textId="77777777">
        <w:trPr>
          <w:cantSplit/>
          <w:jc w:val="center"/>
        </w:trPr>
        <w:tc>
          <w:tcPr>
            <w:tcW w:w="9405" w:type="dxa"/>
            <w:gridSpan w:val="13"/>
            <w:shd w:val="clear" w:color="auto" w:fill="D9E2F3"/>
            <w:vAlign w:val="center"/>
          </w:tcPr>
          <w:p w14:paraId="22038429" w14:textId="77777777" w:rsidR="00990B14" w:rsidRDefault="00000000">
            <w:pPr>
              <w:spacing w:before="20" w:after="20"/>
              <w:jc w:val="both"/>
            </w:pPr>
            <w:r>
              <w:rPr>
                <w:b/>
                <w:bCs/>
                <w:i/>
                <w:iCs/>
                <w:sz w:val="18"/>
                <w:szCs w:val="18"/>
              </w:rPr>
              <w:t xml:space="preserve">Elemento de competencia 5: </w:t>
            </w:r>
            <w:r>
              <w:rPr>
                <w:sz w:val="18"/>
                <w:szCs w:val="18"/>
              </w:rPr>
              <w:t>Aplica las propiedades de la sumatoria y la productoria a la resolución de problemas.</w:t>
            </w:r>
          </w:p>
        </w:tc>
      </w:tr>
      <w:tr w:rsidR="00990B14" w14:paraId="4E1E6B35" w14:textId="77777777">
        <w:trPr>
          <w:cantSplit/>
          <w:jc w:val="center"/>
        </w:trPr>
        <w:tc>
          <w:tcPr>
            <w:tcW w:w="3133" w:type="dxa"/>
            <w:gridSpan w:val="4"/>
            <w:shd w:val="clear" w:color="auto" w:fill="4472C4"/>
            <w:vAlign w:val="center"/>
          </w:tcPr>
          <w:p w14:paraId="0B75ADEC"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3C9DE783"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10C76FF3" w14:textId="77777777" w:rsidR="00990B14" w:rsidRDefault="00000000">
            <w:pPr>
              <w:keepNext/>
              <w:spacing w:before="20" w:after="20"/>
              <w:jc w:val="center"/>
            </w:pPr>
            <w:r>
              <w:rPr>
                <w:b/>
                <w:bCs/>
                <w:i/>
                <w:iCs/>
                <w:color w:val="FFFFFF"/>
                <w:sz w:val="18"/>
                <w:szCs w:val="18"/>
              </w:rPr>
              <w:t>Evidencias de producto</w:t>
            </w:r>
          </w:p>
        </w:tc>
      </w:tr>
      <w:tr w:rsidR="00990B14" w14:paraId="4CADCFC8" w14:textId="77777777">
        <w:trPr>
          <w:cantSplit/>
          <w:jc w:val="center"/>
        </w:trPr>
        <w:tc>
          <w:tcPr>
            <w:tcW w:w="3133" w:type="dxa"/>
            <w:gridSpan w:val="4"/>
            <w:vMerge w:val="restart"/>
            <w:shd w:val="clear" w:color="auto" w:fill="D9E2F3"/>
            <w:vAlign w:val="center"/>
          </w:tcPr>
          <w:p w14:paraId="0003B75C" w14:textId="77777777" w:rsidR="00990B14" w:rsidRDefault="00000000">
            <w:pPr>
              <w:spacing w:before="20" w:after="20"/>
              <w:jc w:val="both"/>
            </w:pPr>
            <w:r>
              <w:rPr>
                <w:sz w:val="18"/>
                <w:szCs w:val="18"/>
              </w:rPr>
              <w:t>1. Aplica las propiedades de la sumatoria y de la productoria a la simplificación de expresiones y a la resolución de problemas.</w:t>
            </w:r>
          </w:p>
        </w:tc>
        <w:tc>
          <w:tcPr>
            <w:tcW w:w="3135" w:type="dxa"/>
            <w:gridSpan w:val="5"/>
            <w:shd w:val="clear" w:color="auto" w:fill="D9E2F3"/>
            <w:vAlign w:val="center"/>
          </w:tcPr>
          <w:p w14:paraId="299DF580" w14:textId="77777777" w:rsidR="00990B14" w:rsidRDefault="00000000">
            <w:pPr>
              <w:spacing w:before="20" w:after="20"/>
              <w:jc w:val="both"/>
            </w:pPr>
            <w:r>
              <w:rPr>
                <w:sz w:val="18"/>
                <w:szCs w:val="18"/>
              </w:rPr>
              <w:t>1.1 Simplifica en aula expresiones con sumatorias y productorias aplicando sus propiedades.</w:t>
            </w:r>
          </w:p>
        </w:tc>
        <w:tc>
          <w:tcPr>
            <w:tcW w:w="3137" w:type="dxa"/>
            <w:gridSpan w:val="4"/>
            <w:shd w:val="clear" w:color="auto" w:fill="D9E2F3"/>
            <w:vAlign w:val="center"/>
          </w:tcPr>
          <w:p w14:paraId="2BE0085E" w14:textId="77777777" w:rsidR="00990B14" w:rsidRDefault="00000000">
            <w:pPr>
              <w:spacing w:before="20" w:after="20"/>
              <w:jc w:val="both"/>
            </w:pPr>
            <w:r>
              <w:rPr>
                <w:b/>
                <w:bCs/>
                <w:sz w:val="18"/>
                <w:szCs w:val="18"/>
              </w:rPr>
              <w:t xml:space="preserve">Producto 17: </w:t>
            </w:r>
            <w:r>
              <w:rPr>
                <w:sz w:val="18"/>
                <w:szCs w:val="18"/>
              </w:rPr>
              <w:t>Práctico de simplificación de sumatorias y productorias.</w:t>
            </w:r>
          </w:p>
        </w:tc>
      </w:tr>
      <w:tr w:rsidR="00990B14" w14:paraId="439F854A" w14:textId="77777777">
        <w:trPr>
          <w:cantSplit/>
          <w:jc w:val="center"/>
        </w:trPr>
        <w:tc>
          <w:tcPr>
            <w:tcW w:w="3133" w:type="dxa"/>
            <w:gridSpan w:val="4"/>
            <w:vMerge/>
            <w:shd w:val="clear" w:color="auto" w:fill="D9E2F3"/>
            <w:vAlign w:val="center"/>
          </w:tcPr>
          <w:p w14:paraId="430914BE" w14:textId="77777777" w:rsidR="00990B14" w:rsidRDefault="00990B14">
            <w:pPr>
              <w:spacing w:before="20" w:after="20"/>
            </w:pPr>
          </w:p>
        </w:tc>
        <w:tc>
          <w:tcPr>
            <w:tcW w:w="3135" w:type="dxa"/>
            <w:gridSpan w:val="5"/>
            <w:shd w:val="clear" w:color="auto" w:fill="D9E2F3"/>
            <w:vAlign w:val="center"/>
          </w:tcPr>
          <w:p w14:paraId="4E6DA087" w14:textId="77777777" w:rsidR="00990B14" w:rsidRDefault="00000000">
            <w:pPr>
              <w:spacing w:before="20" w:after="20"/>
              <w:jc w:val="both"/>
            </w:pPr>
            <w:r>
              <w:rPr>
                <w:sz w:val="18"/>
                <w:szCs w:val="18"/>
              </w:rPr>
              <w:t>1.2 Resuelve en equipo un problema de depreciación acumulada expresado con sumatoria.</w:t>
            </w:r>
          </w:p>
        </w:tc>
        <w:tc>
          <w:tcPr>
            <w:tcW w:w="3137" w:type="dxa"/>
            <w:gridSpan w:val="4"/>
            <w:shd w:val="clear" w:color="auto" w:fill="D9E2F3"/>
            <w:vAlign w:val="center"/>
          </w:tcPr>
          <w:p w14:paraId="5EB43D46" w14:textId="77777777" w:rsidR="00990B14" w:rsidRDefault="00000000">
            <w:pPr>
              <w:spacing w:before="20" w:after="20"/>
              <w:jc w:val="both"/>
            </w:pPr>
            <w:r>
              <w:rPr>
                <w:b/>
                <w:bCs/>
                <w:sz w:val="18"/>
                <w:szCs w:val="18"/>
              </w:rPr>
              <w:t xml:space="preserve">Producto 18: </w:t>
            </w:r>
            <w:r>
              <w:rPr>
                <w:sz w:val="18"/>
                <w:szCs w:val="18"/>
              </w:rPr>
              <w:t>Problema resuelto de depreciación acumulada con sumatoria.</w:t>
            </w:r>
          </w:p>
        </w:tc>
      </w:tr>
      <w:tr w:rsidR="00990B14" w14:paraId="616027C0" w14:textId="77777777">
        <w:trPr>
          <w:cantSplit/>
          <w:jc w:val="center"/>
        </w:trPr>
        <w:tc>
          <w:tcPr>
            <w:tcW w:w="3133" w:type="dxa"/>
            <w:gridSpan w:val="4"/>
            <w:vMerge w:val="restart"/>
            <w:shd w:val="clear" w:color="auto" w:fill="D9E2F3"/>
            <w:vAlign w:val="center"/>
          </w:tcPr>
          <w:p w14:paraId="59C94012" w14:textId="77777777" w:rsidR="00990B14" w:rsidRDefault="00000000">
            <w:pPr>
              <w:spacing w:before="20" w:after="20"/>
              <w:jc w:val="both"/>
            </w:pPr>
            <w:r>
              <w:rPr>
                <w:sz w:val="18"/>
                <w:szCs w:val="18"/>
              </w:rPr>
              <w:t>2. Calcula el valor presente de una serie de flujos y los factores de acumulación de valor con sumatorias y productorias, verificando el resultado en hoja de cálculo.</w:t>
            </w:r>
          </w:p>
        </w:tc>
        <w:tc>
          <w:tcPr>
            <w:tcW w:w="3135" w:type="dxa"/>
            <w:gridSpan w:val="5"/>
            <w:shd w:val="clear" w:color="auto" w:fill="D9E2F3"/>
            <w:vAlign w:val="center"/>
          </w:tcPr>
          <w:p w14:paraId="18ABEABA" w14:textId="77777777" w:rsidR="00990B14" w:rsidRDefault="00000000">
            <w:pPr>
              <w:spacing w:before="20" w:after="20"/>
              <w:jc w:val="both"/>
            </w:pPr>
            <w:r>
              <w:rPr>
                <w:sz w:val="18"/>
                <w:szCs w:val="18"/>
              </w:rPr>
              <w:t>2.1 Calcula en el laboratorio de cómputo el valor presente de un flujo de efectivo con sumatoria.</w:t>
            </w:r>
          </w:p>
        </w:tc>
        <w:tc>
          <w:tcPr>
            <w:tcW w:w="3137" w:type="dxa"/>
            <w:gridSpan w:val="4"/>
            <w:shd w:val="clear" w:color="auto" w:fill="D9E2F3"/>
            <w:vAlign w:val="center"/>
          </w:tcPr>
          <w:p w14:paraId="1658A289" w14:textId="77777777" w:rsidR="00990B14" w:rsidRDefault="00000000">
            <w:pPr>
              <w:spacing w:before="20" w:after="20"/>
              <w:jc w:val="both"/>
            </w:pPr>
            <w:r>
              <w:rPr>
                <w:b/>
                <w:bCs/>
                <w:sz w:val="18"/>
                <w:szCs w:val="18"/>
              </w:rPr>
              <w:t xml:space="preserve">Producto 19: </w:t>
            </w:r>
            <w:r>
              <w:rPr>
                <w:sz w:val="18"/>
                <w:szCs w:val="18"/>
              </w:rPr>
              <w:t>Hoja de cálculo del valor presente de un flujo de efectivo.</w:t>
            </w:r>
          </w:p>
        </w:tc>
      </w:tr>
      <w:tr w:rsidR="00990B14" w14:paraId="5CE1CC46" w14:textId="77777777">
        <w:trPr>
          <w:cantSplit/>
          <w:jc w:val="center"/>
        </w:trPr>
        <w:tc>
          <w:tcPr>
            <w:tcW w:w="3133" w:type="dxa"/>
            <w:gridSpan w:val="4"/>
            <w:vMerge/>
            <w:shd w:val="clear" w:color="auto" w:fill="D9E2F3"/>
            <w:vAlign w:val="center"/>
          </w:tcPr>
          <w:p w14:paraId="40E1E39E" w14:textId="77777777" w:rsidR="00990B14" w:rsidRDefault="00990B14">
            <w:pPr>
              <w:spacing w:before="20" w:after="20"/>
            </w:pPr>
          </w:p>
        </w:tc>
        <w:tc>
          <w:tcPr>
            <w:tcW w:w="3135" w:type="dxa"/>
            <w:gridSpan w:val="5"/>
            <w:shd w:val="clear" w:color="auto" w:fill="D9E2F3"/>
            <w:vAlign w:val="center"/>
          </w:tcPr>
          <w:p w14:paraId="34E5E955" w14:textId="77777777" w:rsidR="00990B14" w:rsidRDefault="00000000">
            <w:pPr>
              <w:spacing w:before="20" w:after="20"/>
              <w:jc w:val="both"/>
            </w:pPr>
            <w:r>
              <w:rPr>
                <w:sz w:val="18"/>
                <w:szCs w:val="18"/>
              </w:rPr>
              <w:t>2.2 Acumula ante el curso la variación de la Unidad de Fomento de Vivienda de varios periodos con productoria.</w:t>
            </w:r>
          </w:p>
        </w:tc>
        <w:tc>
          <w:tcPr>
            <w:tcW w:w="3137" w:type="dxa"/>
            <w:gridSpan w:val="4"/>
            <w:shd w:val="clear" w:color="auto" w:fill="D9E2F3"/>
            <w:vAlign w:val="center"/>
          </w:tcPr>
          <w:p w14:paraId="73353FE9" w14:textId="77777777" w:rsidR="00990B14" w:rsidRDefault="00000000">
            <w:pPr>
              <w:spacing w:before="20" w:after="20"/>
              <w:jc w:val="both"/>
            </w:pPr>
            <w:r>
              <w:rPr>
                <w:b/>
                <w:bCs/>
                <w:sz w:val="18"/>
                <w:szCs w:val="18"/>
              </w:rPr>
              <w:t xml:space="preserve">Producto 20: </w:t>
            </w:r>
            <w:r>
              <w:rPr>
                <w:sz w:val="18"/>
                <w:szCs w:val="18"/>
              </w:rPr>
              <w:t>Cuadro de factores de acumulación de la Unidad de Fomento de Vivienda.</w:t>
            </w:r>
          </w:p>
        </w:tc>
      </w:tr>
      <w:tr w:rsidR="00990B14" w14:paraId="3E3E714A" w14:textId="77777777">
        <w:trPr>
          <w:cantSplit/>
          <w:jc w:val="center"/>
        </w:trPr>
        <w:tc>
          <w:tcPr>
            <w:tcW w:w="9405" w:type="dxa"/>
            <w:gridSpan w:val="13"/>
            <w:shd w:val="clear" w:color="auto" w:fill="4472C4"/>
            <w:vAlign w:val="center"/>
          </w:tcPr>
          <w:p w14:paraId="5D66725E" w14:textId="77777777" w:rsidR="00990B14" w:rsidRDefault="00000000">
            <w:pPr>
              <w:keepNext/>
              <w:spacing w:before="20" w:after="20"/>
              <w:jc w:val="center"/>
            </w:pPr>
            <w:r>
              <w:rPr>
                <w:b/>
                <w:bCs/>
                <w:i/>
                <w:iCs/>
                <w:color w:val="FFFFFF"/>
                <w:sz w:val="18"/>
                <w:szCs w:val="18"/>
              </w:rPr>
              <w:t>Evidencias de conocimiento</w:t>
            </w:r>
          </w:p>
        </w:tc>
      </w:tr>
      <w:tr w:rsidR="00990B14" w14:paraId="225C5822" w14:textId="77777777">
        <w:trPr>
          <w:cantSplit/>
          <w:jc w:val="center"/>
        </w:trPr>
        <w:tc>
          <w:tcPr>
            <w:tcW w:w="2349" w:type="dxa"/>
            <w:gridSpan w:val="2"/>
            <w:shd w:val="clear" w:color="auto" w:fill="4472C4"/>
            <w:vAlign w:val="center"/>
          </w:tcPr>
          <w:p w14:paraId="7C8D085C"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4986A184" w14:textId="77777777" w:rsidR="00990B14" w:rsidRDefault="00000000">
            <w:pPr>
              <w:keepNext/>
              <w:spacing w:before="20" w:after="20"/>
              <w:jc w:val="both"/>
            </w:pPr>
            <w:r>
              <w:rPr>
                <w:b/>
                <w:bCs/>
                <w:i/>
                <w:iCs/>
                <w:color w:val="FFFFFF"/>
                <w:sz w:val="18"/>
                <w:szCs w:val="18"/>
              </w:rPr>
              <w:t>Contenidos</w:t>
            </w:r>
          </w:p>
          <w:p w14:paraId="4CEF149A"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0AF63503" w14:textId="77777777" w:rsidR="00990B14" w:rsidRDefault="00000000">
            <w:pPr>
              <w:keepNext/>
              <w:spacing w:before="20" w:after="20"/>
              <w:jc w:val="center"/>
            </w:pPr>
            <w:r>
              <w:rPr>
                <w:b/>
                <w:bCs/>
                <w:i/>
                <w:iCs/>
                <w:color w:val="FFFFFF"/>
                <w:sz w:val="18"/>
                <w:szCs w:val="18"/>
              </w:rPr>
              <w:t>Conocimientos circunstanciales</w:t>
            </w:r>
          </w:p>
        </w:tc>
      </w:tr>
      <w:tr w:rsidR="00990B14" w14:paraId="4F1DDE6F" w14:textId="77777777">
        <w:trPr>
          <w:jc w:val="center"/>
        </w:trPr>
        <w:tc>
          <w:tcPr>
            <w:tcW w:w="2349" w:type="dxa"/>
            <w:gridSpan w:val="2"/>
            <w:shd w:val="clear" w:color="auto" w:fill="D9E2F3"/>
          </w:tcPr>
          <w:p w14:paraId="4BADD1FD" w14:textId="77777777" w:rsidR="00990B14" w:rsidRDefault="00000000">
            <w:pPr>
              <w:spacing w:before="20" w:after="40"/>
              <w:jc w:val="both"/>
            </w:pPr>
            <w:r>
              <w:rPr>
                <w:sz w:val="18"/>
                <w:szCs w:val="18"/>
              </w:rPr>
              <w:t>Tema 9: Operaciones con Sumatoria y Productoria</w:t>
            </w:r>
          </w:p>
        </w:tc>
        <w:tc>
          <w:tcPr>
            <w:tcW w:w="4304" w:type="dxa"/>
            <w:gridSpan w:val="8"/>
            <w:shd w:val="clear" w:color="auto" w:fill="D9E2F3"/>
          </w:tcPr>
          <w:p w14:paraId="665DB53E" w14:textId="77777777" w:rsidR="00990B14" w:rsidRDefault="00000000">
            <w:pPr>
              <w:spacing w:after="40"/>
              <w:jc w:val="both"/>
            </w:pPr>
            <w:r>
              <w:rPr>
                <w:sz w:val="18"/>
                <w:szCs w:val="18"/>
              </w:rPr>
              <w:t>Sumatoria: definición y propiedades. (C)</w:t>
            </w:r>
          </w:p>
          <w:p w14:paraId="33FEFFAA" w14:textId="77777777" w:rsidR="00990B14" w:rsidRDefault="00000000">
            <w:pPr>
              <w:spacing w:after="40"/>
              <w:jc w:val="both"/>
            </w:pPr>
            <w:r>
              <w:rPr>
                <w:sz w:val="18"/>
                <w:szCs w:val="18"/>
              </w:rPr>
              <w:t>Problemas de aplicación de la sumatoria. (P)</w:t>
            </w:r>
          </w:p>
          <w:p w14:paraId="58A2E510" w14:textId="77777777" w:rsidR="00990B14" w:rsidRDefault="00000000">
            <w:pPr>
              <w:spacing w:after="40"/>
              <w:jc w:val="both"/>
            </w:pPr>
            <w:r>
              <w:rPr>
                <w:sz w:val="18"/>
                <w:szCs w:val="18"/>
              </w:rPr>
              <w:t>Productoria: definición y problemas de aplicación. (C, P)</w:t>
            </w:r>
          </w:p>
          <w:p w14:paraId="7C3A7B83" w14:textId="77777777" w:rsidR="00990B14" w:rsidRDefault="00000000">
            <w:pPr>
              <w:spacing w:after="40"/>
              <w:jc w:val="both"/>
            </w:pPr>
            <w:r>
              <w:rPr>
                <w:sz w:val="18"/>
                <w:szCs w:val="18"/>
              </w:rPr>
              <w:t>Valor presente de flujos de efectivo con sumatoria: aplicación en la medición de partidas según las normas de información financiera. (C, P)</w:t>
            </w:r>
          </w:p>
          <w:p w14:paraId="6AA15596" w14:textId="77777777" w:rsidR="00990B14" w:rsidRDefault="00000000">
            <w:pPr>
              <w:spacing w:after="40"/>
              <w:jc w:val="both"/>
            </w:pPr>
            <w:r>
              <w:rPr>
                <w:sz w:val="18"/>
                <w:szCs w:val="18"/>
              </w:rPr>
              <w:t>Interés compuesto y factores de acumulación con productoria: mantenimiento de valor en Unidad de Fomento de Vivienda. (C)</w:t>
            </w:r>
          </w:p>
          <w:p w14:paraId="4A5D4537" w14:textId="77777777" w:rsidR="00990B14" w:rsidRDefault="00000000">
            <w:pPr>
              <w:spacing w:after="40"/>
              <w:jc w:val="both"/>
            </w:pPr>
            <w:r>
              <w:rPr>
                <w:sz w:val="18"/>
                <w:szCs w:val="18"/>
              </w:rPr>
              <w:t>Cálculo de sumatorias y productorias con fórmulas de la hoja de cálculo. (P, T)</w:t>
            </w:r>
          </w:p>
        </w:tc>
        <w:tc>
          <w:tcPr>
            <w:tcW w:w="2752" w:type="dxa"/>
            <w:gridSpan w:val="3"/>
            <w:shd w:val="clear" w:color="auto" w:fill="D9E2F3"/>
          </w:tcPr>
          <w:p w14:paraId="77353421" w14:textId="77777777" w:rsidR="00990B14" w:rsidRDefault="00000000">
            <w:pPr>
              <w:numPr>
                <w:ilvl w:val="0"/>
                <w:numId w:val="139"/>
              </w:numPr>
              <w:spacing w:before="10" w:after="10"/>
              <w:jc w:val="both"/>
            </w:pPr>
            <w:r>
              <w:rPr>
                <w:sz w:val="18"/>
                <w:szCs w:val="18"/>
              </w:rPr>
              <w:t>Notación de índices y de límites inferior y superior de una suma.</w:t>
            </w:r>
          </w:p>
        </w:tc>
      </w:tr>
      <w:tr w:rsidR="00990B14" w14:paraId="21374631" w14:textId="77777777">
        <w:trPr>
          <w:cantSplit/>
          <w:jc w:val="center"/>
        </w:trPr>
        <w:tc>
          <w:tcPr>
            <w:tcW w:w="9405" w:type="dxa"/>
            <w:gridSpan w:val="13"/>
            <w:shd w:val="clear" w:color="auto" w:fill="D9E2F3"/>
            <w:vAlign w:val="center"/>
          </w:tcPr>
          <w:p w14:paraId="47EB1952" w14:textId="77777777" w:rsidR="00990B14" w:rsidRDefault="00000000">
            <w:pPr>
              <w:spacing w:before="20" w:after="20"/>
              <w:jc w:val="both"/>
            </w:pPr>
            <w:r>
              <w:rPr>
                <w:b/>
                <w:bCs/>
                <w:i/>
                <w:iCs/>
                <w:sz w:val="18"/>
                <w:szCs w:val="18"/>
              </w:rPr>
              <w:t xml:space="preserve">Elemento de competencia 6: </w:t>
            </w:r>
            <w:r>
              <w:rPr>
                <w:sz w:val="18"/>
                <w:szCs w:val="18"/>
              </w:rPr>
              <w:t>Analiza decisiones financieras y operativas en condiciones de riesgo e incertidumbre, aplicando la teoría de decisiones y árboles de decisión para minimizar impactos negativos en la organización.</w:t>
            </w:r>
          </w:p>
        </w:tc>
      </w:tr>
      <w:tr w:rsidR="00990B14" w14:paraId="228A96EE" w14:textId="77777777">
        <w:trPr>
          <w:cantSplit/>
          <w:jc w:val="center"/>
        </w:trPr>
        <w:tc>
          <w:tcPr>
            <w:tcW w:w="3133" w:type="dxa"/>
            <w:gridSpan w:val="4"/>
            <w:shd w:val="clear" w:color="auto" w:fill="4472C4"/>
            <w:vAlign w:val="center"/>
          </w:tcPr>
          <w:p w14:paraId="608C92C0"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0BE6BE7F"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2E26D372" w14:textId="77777777" w:rsidR="00990B14" w:rsidRDefault="00000000">
            <w:pPr>
              <w:keepNext/>
              <w:spacing w:before="20" w:after="20"/>
              <w:jc w:val="center"/>
            </w:pPr>
            <w:r>
              <w:rPr>
                <w:b/>
                <w:bCs/>
                <w:i/>
                <w:iCs/>
                <w:color w:val="FFFFFF"/>
                <w:sz w:val="18"/>
                <w:szCs w:val="18"/>
              </w:rPr>
              <w:t>Evidencias de producto</w:t>
            </w:r>
          </w:p>
        </w:tc>
      </w:tr>
      <w:tr w:rsidR="00990B14" w14:paraId="5234B316" w14:textId="77777777">
        <w:trPr>
          <w:cantSplit/>
          <w:jc w:val="center"/>
        </w:trPr>
        <w:tc>
          <w:tcPr>
            <w:tcW w:w="3133" w:type="dxa"/>
            <w:gridSpan w:val="4"/>
            <w:vMerge w:val="restart"/>
            <w:shd w:val="clear" w:color="auto" w:fill="D9E2F3"/>
            <w:vAlign w:val="center"/>
          </w:tcPr>
          <w:p w14:paraId="39CCEC1F" w14:textId="77777777" w:rsidR="00990B14" w:rsidRDefault="00000000">
            <w:pPr>
              <w:spacing w:before="20" w:after="20"/>
              <w:jc w:val="both"/>
            </w:pPr>
            <w:r>
              <w:rPr>
                <w:sz w:val="18"/>
                <w:szCs w:val="18"/>
              </w:rPr>
              <w:t>1. Analiza decisiones financieras y operativas en condiciones de riesgo e incertidumbre, aplicando la teoría de decisiones y árboles de decisión para minimizar impactos negativos en la organización.</w:t>
            </w:r>
          </w:p>
        </w:tc>
        <w:tc>
          <w:tcPr>
            <w:tcW w:w="3135" w:type="dxa"/>
            <w:gridSpan w:val="5"/>
            <w:shd w:val="clear" w:color="auto" w:fill="D9E2F3"/>
            <w:vAlign w:val="center"/>
          </w:tcPr>
          <w:p w14:paraId="058B3BEE" w14:textId="77777777" w:rsidR="00990B14" w:rsidRDefault="00000000">
            <w:pPr>
              <w:spacing w:before="20" w:after="20"/>
              <w:jc w:val="both"/>
            </w:pPr>
            <w:r>
              <w:rPr>
                <w:sz w:val="18"/>
                <w:szCs w:val="18"/>
              </w:rPr>
              <w:t>1.1 Aplica en aula los criterios de decisión bajo incertidumbre (Maximax, Maximin, Hurwicz, Laplace y Savage) a un caso empresarial</w:t>
            </w:r>
          </w:p>
        </w:tc>
        <w:tc>
          <w:tcPr>
            <w:tcW w:w="3137" w:type="dxa"/>
            <w:gridSpan w:val="4"/>
            <w:shd w:val="clear" w:color="auto" w:fill="D9E2F3"/>
            <w:vAlign w:val="center"/>
          </w:tcPr>
          <w:p w14:paraId="4986C4B2" w14:textId="77777777" w:rsidR="00990B14" w:rsidRDefault="00000000">
            <w:pPr>
              <w:spacing w:before="20" w:after="20"/>
              <w:jc w:val="both"/>
            </w:pPr>
            <w:r>
              <w:rPr>
                <w:b/>
                <w:bCs/>
                <w:sz w:val="18"/>
                <w:szCs w:val="18"/>
              </w:rPr>
              <w:t xml:space="preserve">Producto 21: </w:t>
            </w:r>
            <w:r>
              <w:rPr>
                <w:sz w:val="18"/>
                <w:szCs w:val="18"/>
              </w:rPr>
              <w:t>Práctico de aplicación de criterios de decisión bajo incertidumbre.</w:t>
            </w:r>
          </w:p>
        </w:tc>
      </w:tr>
      <w:tr w:rsidR="00990B14" w14:paraId="0CD72F7D" w14:textId="77777777">
        <w:trPr>
          <w:cantSplit/>
          <w:jc w:val="center"/>
        </w:trPr>
        <w:tc>
          <w:tcPr>
            <w:tcW w:w="3133" w:type="dxa"/>
            <w:gridSpan w:val="4"/>
            <w:vMerge/>
            <w:shd w:val="clear" w:color="auto" w:fill="D9E2F3"/>
            <w:vAlign w:val="center"/>
          </w:tcPr>
          <w:p w14:paraId="4AC72557" w14:textId="77777777" w:rsidR="00990B14" w:rsidRDefault="00990B14">
            <w:pPr>
              <w:spacing w:before="20" w:after="20"/>
            </w:pPr>
          </w:p>
        </w:tc>
        <w:tc>
          <w:tcPr>
            <w:tcW w:w="3135" w:type="dxa"/>
            <w:gridSpan w:val="5"/>
            <w:shd w:val="clear" w:color="auto" w:fill="D9E2F3"/>
            <w:vAlign w:val="center"/>
          </w:tcPr>
          <w:p w14:paraId="54F045FB" w14:textId="77777777" w:rsidR="00990B14" w:rsidRDefault="00000000">
            <w:pPr>
              <w:spacing w:before="20" w:after="20"/>
              <w:jc w:val="both"/>
            </w:pPr>
            <w:r>
              <w:rPr>
                <w:sz w:val="18"/>
                <w:szCs w:val="18"/>
              </w:rPr>
              <w:t>1.2 Sustenta en equipo la elección de una alternativa de inversión utilizando la matriz de pagos</w:t>
            </w:r>
          </w:p>
        </w:tc>
        <w:tc>
          <w:tcPr>
            <w:tcW w:w="3137" w:type="dxa"/>
            <w:gridSpan w:val="4"/>
            <w:shd w:val="clear" w:color="auto" w:fill="D9E2F3"/>
            <w:vAlign w:val="center"/>
          </w:tcPr>
          <w:p w14:paraId="20B9A40C" w14:textId="77777777" w:rsidR="00990B14" w:rsidRDefault="00000000">
            <w:pPr>
              <w:spacing w:before="20" w:after="20"/>
              <w:jc w:val="both"/>
            </w:pPr>
            <w:r>
              <w:rPr>
                <w:b/>
                <w:bCs/>
                <w:sz w:val="18"/>
                <w:szCs w:val="18"/>
              </w:rPr>
              <w:t xml:space="preserve">Producto 22: </w:t>
            </w:r>
            <w:r>
              <w:rPr>
                <w:sz w:val="18"/>
                <w:szCs w:val="18"/>
              </w:rPr>
              <w:t>Matriz de pagos de alternativas de inversión.</w:t>
            </w:r>
          </w:p>
        </w:tc>
      </w:tr>
      <w:tr w:rsidR="00990B14" w14:paraId="287D0992" w14:textId="77777777">
        <w:trPr>
          <w:cantSplit/>
          <w:jc w:val="center"/>
        </w:trPr>
        <w:tc>
          <w:tcPr>
            <w:tcW w:w="3133" w:type="dxa"/>
            <w:gridSpan w:val="4"/>
            <w:vMerge w:val="restart"/>
            <w:shd w:val="clear" w:color="auto" w:fill="D9E2F3"/>
            <w:vAlign w:val="center"/>
          </w:tcPr>
          <w:p w14:paraId="36457AB2" w14:textId="77777777" w:rsidR="00990B14" w:rsidRDefault="00000000">
            <w:pPr>
              <w:spacing w:before="20" w:after="20"/>
              <w:jc w:val="both"/>
            </w:pPr>
            <w:r>
              <w:rPr>
                <w:sz w:val="18"/>
                <w:szCs w:val="18"/>
              </w:rPr>
              <w:t>2. Analiza decisiones bajo riesgo y probabilísticas, resolviendo árboles de decisión con el valor monetario esperado y el teorema de Bayes.</w:t>
            </w:r>
          </w:p>
        </w:tc>
        <w:tc>
          <w:tcPr>
            <w:tcW w:w="3135" w:type="dxa"/>
            <w:gridSpan w:val="5"/>
            <w:shd w:val="clear" w:color="auto" w:fill="D9E2F3"/>
            <w:vAlign w:val="center"/>
          </w:tcPr>
          <w:p w14:paraId="2280BF8E" w14:textId="77777777" w:rsidR="00990B14" w:rsidRDefault="00000000">
            <w:pPr>
              <w:spacing w:before="20" w:after="20"/>
              <w:jc w:val="both"/>
            </w:pPr>
            <w:r>
              <w:rPr>
                <w:sz w:val="18"/>
                <w:szCs w:val="18"/>
              </w:rPr>
              <w:t>2.1 Resuelve en equipo el árbol de decisión de una compra de insumos con el valor monetario esperado.</w:t>
            </w:r>
          </w:p>
        </w:tc>
        <w:tc>
          <w:tcPr>
            <w:tcW w:w="3137" w:type="dxa"/>
            <w:gridSpan w:val="4"/>
            <w:shd w:val="clear" w:color="auto" w:fill="D9E2F3"/>
            <w:vAlign w:val="center"/>
          </w:tcPr>
          <w:p w14:paraId="4041699A" w14:textId="77777777" w:rsidR="00990B14" w:rsidRDefault="00000000">
            <w:pPr>
              <w:spacing w:before="20" w:after="20"/>
              <w:jc w:val="both"/>
            </w:pPr>
            <w:r>
              <w:rPr>
                <w:b/>
                <w:bCs/>
                <w:sz w:val="18"/>
                <w:szCs w:val="18"/>
              </w:rPr>
              <w:t xml:space="preserve">Producto 23: </w:t>
            </w:r>
            <w:r>
              <w:rPr>
                <w:sz w:val="18"/>
                <w:szCs w:val="18"/>
              </w:rPr>
              <w:t>Árbol de decisión resuelto con el valor monetario esperado</w:t>
            </w:r>
          </w:p>
        </w:tc>
      </w:tr>
      <w:tr w:rsidR="00990B14" w14:paraId="6758097B" w14:textId="77777777">
        <w:trPr>
          <w:cantSplit/>
          <w:jc w:val="center"/>
        </w:trPr>
        <w:tc>
          <w:tcPr>
            <w:tcW w:w="3133" w:type="dxa"/>
            <w:gridSpan w:val="4"/>
            <w:vMerge/>
            <w:shd w:val="clear" w:color="auto" w:fill="D9E2F3"/>
            <w:vAlign w:val="center"/>
          </w:tcPr>
          <w:p w14:paraId="5FE4EA99" w14:textId="77777777" w:rsidR="00990B14" w:rsidRDefault="00990B14">
            <w:pPr>
              <w:spacing w:before="20" w:after="20"/>
            </w:pPr>
          </w:p>
        </w:tc>
        <w:tc>
          <w:tcPr>
            <w:tcW w:w="3135" w:type="dxa"/>
            <w:gridSpan w:val="5"/>
            <w:shd w:val="clear" w:color="auto" w:fill="D9E2F3"/>
            <w:vAlign w:val="center"/>
          </w:tcPr>
          <w:p w14:paraId="6C08D123" w14:textId="77777777" w:rsidR="00990B14" w:rsidRDefault="00000000">
            <w:pPr>
              <w:spacing w:before="20" w:after="20"/>
              <w:jc w:val="both"/>
            </w:pPr>
            <w:r>
              <w:rPr>
                <w:sz w:val="18"/>
                <w:szCs w:val="18"/>
              </w:rPr>
              <w:t>2.2 Calcula en el laboratorio de cómputo el valor esperado de la información perfecta y las probabilidades con el teorema de Bayes.</w:t>
            </w:r>
          </w:p>
        </w:tc>
        <w:tc>
          <w:tcPr>
            <w:tcW w:w="3137" w:type="dxa"/>
            <w:gridSpan w:val="4"/>
            <w:shd w:val="clear" w:color="auto" w:fill="D9E2F3"/>
            <w:vAlign w:val="center"/>
          </w:tcPr>
          <w:p w14:paraId="294C1896" w14:textId="77777777" w:rsidR="00990B14" w:rsidRDefault="00000000">
            <w:pPr>
              <w:spacing w:before="20" w:after="20"/>
              <w:jc w:val="both"/>
            </w:pPr>
            <w:r>
              <w:rPr>
                <w:b/>
                <w:bCs/>
                <w:sz w:val="18"/>
                <w:szCs w:val="18"/>
              </w:rPr>
              <w:t xml:space="preserve">Producto 24: </w:t>
            </w:r>
            <w:r>
              <w:rPr>
                <w:sz w:val="18"/>
                <w:szCs w:val="18"/>
              </w:rPr>
              <w:t>Hoja de cálculo con el valor esperado de la información perfecta y probabilidades de Bayes.</w:t>
            </w:r>
          </w:p>
        </w:tc>
      </w:tr>
      <w:tr w:rsidR="00990B14" w14:paraId="790844C4" w14:textId="77777777">
        <w:trPr>
          <w:cantSplit/>
          <w:jc w:val="center"/>
        </w:trPr>
        <w:tc>
          <w:tcPr>
            <w:tcW w:w="9405" w:type="dxa"/>
            <w:gridSpan w:val="13"/>
            <w:shd w:val="clear" w:color="auto" w:fill="4472C4"/>
            <w:vAlign w:val="center"/>
          </w:tcPr>
          <w:p w14:paraId="3770AF77" w14:textId="77777777" w:rsidR="00990B14" w:rsidRDefault="00000000">
            <w:pPr>
              <w:keepNext/>
              <w:spacing w:before="20" w:after="20"/>
              <w:jc w:val="center"/>
            </w:pPr>
            <w:r>
              <w:rPr>
                <w:b/>
                <w:bCs/>
                <w:i/>
                <w:iCs/>
                <w:color w:val="FFFFFF"/>
                <w:sz w:val="18"/>
                <w:szCs w:val="18"/>
              </w:rPr>
              <w:t>Evidencias de conocimiento</w:t>
            </w:r>
          </w:p>
        </w:tc>
      </w:tr>
      <w:tr w:rsidR="00990B14" w14:paraId="29BC60B5" w14:textId="77777777">
        <w:trPr>
          <w:cantSplit/>
          <w:jc w:val="center"/>
        </w:trPr>
        <w:tc>
          <w:tcPr>
            <w:tcW w:w="2349" w:type="dxa"/>
            <w:gridSpan w:val="2"/>
            <w:shd w:val="clear" w:color="auto" w:fill="4472C4"/>
            <w:vAlign w:val="center"/>
          </w:tcPr>
          <w:p w14:paraId="4D42F98E"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1D6C9B39" w14:textId="77777777" w:rsidR="00990B14" w:rsidRDefault="00000000">
            <w:pPr>
              <w:keepNext/>
              <w:spacing w:before="20" w:after="20"/>
              <w:jc w:val="both"/>
            </w:pPr>
            <w:r>
              <w:rPr>
                <w:b/>
                <w:bCs/>
                <w:i/>
                <w:iCs/>
                <w:color w:val="FFFFFF"/>
                <w:sz w:val="18"/>
                <w:szCs w:val="18"/>
              </w:rPr>
              <w:t>Contenidos</w:t>
            </w:r>
          </w:p>
          <w:p w14:paraId="6A8B9CFE"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09129A76" w14:textId="77777777" w:rsidR="00990B14" w:rsidRDefault="00000000">
            <w:pPr>
              <w:keepNext/>
              <w:spacing w:before="20" w:after="20"/>
              <w:jc w:val="center"/>
            </w:pPr>
            <w:r>
              <w:rPr>
                <w:b/>
                <w:bCs/>
                <w:i/>
                <w:iCs/>
                <w:color w:val="FFFFFF"/>
                <w:sz w:val="18"/>
                <w:szCs w:val="18"/>
              </w:rPr>
              <w:t>Conocimientos circunstanciales</w:t>
            </w:r>
          </w:p>
        </w:tc>
      </w:tr>
      <w:tr w:rsidR="00990B14" w14:paraId="431E2C69" w14:textId="77777777">
        <w:trPr>
          <w:jc w:val="center"/>
        </w:trPr>
        <w:tc>
          <w:tcPr>
            <w:tcW w:w="2349" w:type="dxa"/>
            <w:gridSpan w:val="2"/>
            <w:shd w:val="clear" w:color="auto" w:fill="D9E2F3"/>
          </w:tcPr>
          <w:p w14:paraId="3AD6D04D" w14:textId="77777777" w:rsidR="00990B14" w:rsidRDefault="00000000">
            <w:pPr>
              <w:spacing w:before="20" w:after="40"/>
              <w:jc w:val="both"/>
            </w:pPr>
            <w:r>
              <w:rPr>
                <w:sz w:val="18"/>
                <w:szCs w:val="18"/>
              </w:rPr>
              <w:t>Tema 10: Teoría de Decisiones y Árboles de Decisión</w:t>
            </w:r>
          </w:p>
        </w:tc>
        <w:tc>
          <w:tcPr>
            <w:tcW w:w="4304" w:type="dxa"/>
            <w:gridSpan w:val="8"/>
            <w:shd w:val="clear" w:color="auto" w:fill="D9E2F3"/>
          </w:tcPr>
          <w:p w14:paraId="5E01FDED" w14:textId="77777777" w:rsidR="00990B14" w:rsidRDefault="00000000">
            <w:pPr>
              <w:spacing w:after="40"/>
              <w:jc w:val="both"/>
            </w:pPr>
            <w:r>
              <w:rPr>
                <w:sz w:val="18"/>
                <w:szCs w:val="18"/>
              </w:rPr>
              <w:t>Teoría de decisiones: elementos, matriz de pagos y ambientes de certeza, riesgo e incertidumbre. (C)</w:t>
            </w:r>
          </w:p>
          <w:p w14:paraId="0D7752C7" w14:textId="77777777" w:rsidR="00990B14" w:rsidRDefault="00000000">
            <w:pPr>
              <w:spacing w:after="40"/>
              <w:jc w:val="both"/>
            </w:pPr>
            <w:r>
              <w:rPr>
                <w:sz w:val="18"/>
                <w:szCs w:val="18"/>
              </w:rPr>
              <w:t>Criterios de decisión bajo incertidumbre: maximax, maximin, Hurwicz, Laplace y Savage. (C)</w:t>
            </w:r>
          </w:p>
          <w:p w14:paraId="35AF626D" w14:textId="77777777" w:rsidR="00990B14" w:rsidRDefault="00000000">
            <w:pPr>
              <w:spacing w:after="40"/>
              <w:jc w:val="both"/>
            </w:pPr>
            <w:r>
              <w:rPr>
                <w:sz w:val="18"/>
                <w:szCs w:val="18"/>
              </w:rPr>
              <w:t>Decisiones bajo riesgo: valor monetario esperado, pérdida de oportunidad esperada y valor esperado de la información perfecta. (C)</w:t>
            </w:r>
          </w:p>
          <w:p w14:paraId="245FCA0A" w14:textId="77777777" w:rsidR="00990B14" w:rsidRDefault="00000000">
            <w:pPr>
              <w:spacing w:after="40"/>
              <w:jc w:val="both"/>
            </w:pPr>
            <w:r>
              <w:rPr>
                <w:sz w:val="18"/>
                <w:szCs w:val="18"/>
              </w:rPr>
              <w:t>Árboles de decisión: nodos de decisión y de probabilidad, decisiones secuenciales e información muestral con el teorema de Bayes. (C)</w:t>
            </w:r>
          </w:p>
        </w:tc>
        <w:tc>
          <w:tcPr>
            <w:tcW w:w="2752" w:type="dxa"/>
            <w:gridSpan w:val="3"/>
            <w:shd w:val="clear" w:color="auto" w:fill="D9E2F3"/>
          </w:tcPr>
          <w:p w14:paraId="09D69E54" w14:textId="77777777" w:rsidR="00990B14" w:rsidRDefault="00000000">
            <w:pPr>
              <w:numPr>
                <w:ilvl w:val="0"/>
                <w:numId w:val="139"/>
              </w:numPr>
              <w:spacing w:before="10" w:after="10"/>
              <w:jc w:val="both"/>
            </w:pPr>
            <w:r>
              <w:rPr>
                <w:sz w:val="18"/>
                <w:szCs w:val="18"/>
              </w:rPr>
              <w:t>Nociones del ciclo de abastecimiento y de compras de una empresa comercial.</w:t>
            </w:r>
          </w:p>
          <w:p w14:paraId="0984B4F1" w14:textId="77777777" w:rsidR="00990B14" w:rsidRDefault="00000000">
            <w:pPr>
              <w:numPr>
                <w:ilvl w:val="0"/>
                <w:numId w:val="139"/>
              </w:numPr>
              <w:spacing w:before="10" w:after="10"/>
              <w:jc w:val="both"/>
            </w:pPr>
            <w:r>
              <w:rPr>
                <w:sz w:val="18"/>
                <w:szCs w:val="18"/>
              </w:rPr>
              <w:t>Nociones de cronogramas de obra y de diagramas de actividades.</w:t>
            </w:r>
          </w:p>
        </w:tc>
      </w:tr>
      <w:tr w:rsidR="00990B14" w14:paraId="7F49C8F1" w14:textId="77777777">
        <w:trPr>
          <w:cantSplit/>
          <w:jc w:val="center"/>
        </w:trPr>
        <w:tc>
          <w:tcPr>
            <w:tcW w:w="9405" w:type="dxa"/>
            <w:gridSpan w:val="13"/>
            <w:shd w:val="clear" w:color="auto" w:fill="D9E2F3"/>
            <w:vAlign w:val="center"/>
          </w:tcPr>
          <w:p w14:paraId="779A8E16" w14:textId="77777777" w:rsidR="00990B14" w:rsidRDefault="00000000">
            <w:pPr>
              <w:spacing w:before="20" w:after="20"/>
              <w:jc w:val="both"/>
            </w:pPr>
            <w:r>
              <w:rPr>
                <w:b/>
                <w:bCs/>
                <w:i/>
                <w:iCs/>
                <w:sz w:val="18"/>
                <w:szCs w:val="18"/>
              </w:rPr>
              <w:t xml:space="preserve">Elemento de competencia 7: </w:t>
            </w:r>
            <w:r>
              <w:rPr>
                <w:sz w:val="18"/>
                <w:szCs w:val="18"/>
              </w:rPr>
              <w:t>Programa las operaciones de producción y de servicios de una organización, secuenciando tareas con reglas de prioridad y con la regla de Johnson para minimizar el tiempo total de procesamiento y los retrasos.</w:t>
            </w:r>
          </w:p>
        </w:tc>
      </w:tr>
      <w:tr w:rsidR="00990B14" w14:paraId="100B9E77" w14:textId="77777777">
        <w:trPr>
          <w:cantSplit/>
          <w:jc w:val="center"/>
        </w:trPr>
        <w:tc>
          <w:tcPr>
            <w:tcW w:w="3133" w:type="dxa"/>
            <w:gridSpan w:val="4"/>
            <w:shd w:val="clear" w:color="auto" w:fill="4472C4"/>
            <w:vAlign w:val="center"/>
          </w:tcPr>
          <w:p w14:paraId="4CAEB591"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65786ACB"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57A5D5E5" w14:textId="77777777" w:rsidR="00990B14" w:rsidRDefault="00000000">
            <w:pPr>
              <w:keepNext/>
              <w:spacing w:before="20" w:after="20"/>
              <w:jc w:val="center"/>
            </w:pPr>
            <w:r>
              <w:rPr>
                <w:b/>
                <w:bCs/>
                <w:i/>
                <w:iCs/>
                <w:color w:val="FFFFFF"/>
                <w:sz w:val="18"/>
                <w:szCs w:val="18"/>
              </w:rPr>
              <w:t>Evidencias de producto</w:t>
            </w:r>
          </w:p>
        </w:tc>
      </w:tr>
      <w:tr w:rsidR="00990B14" w14:paraId="02A7CE02" w14:textId="77777777">
        <w:trPr>
          <w:cantSplit/>
          <w:jc w:val="center"/>
        </w:trPr>
        <w:tc>
          <w:tcPr>
            <w:tcW w:w="3133" w:type="dxa"/>
            <w:gridSpan w:val="4"/>
            <w:vMerge w:val="restart"/>
            <w:shd w:val="clear" w:color="auto" w:fill="D9E2F3"/>
            <w:vAlign w:val="center"/>
          </w:tcPr>
          <w:p w14:paraId="28CB00C4" w14:textId="77777777" w:rsidR="00990B14" w:rsidRDefault="00000000">
            <w:pPr>
              <w:spacing w:before="20" w:after="20"/>
              <w:jc w:val="both"/>
            </w:pPr>
            <w:r>
              <w:rPr>
                <w:sz w:val="18"/>
                <w:szCs w:val="18"/>
              </w:rPr>
              <w:t>1. Secuencia tareas en una estación de trabajo comparando las medidas de desempeño de las distintas reglas de prioridad.</w:t>
            </w:r>
          </w:p>
        </w:tc>
        <w:tc>
          <w:tcPr>
            <w:tcW w:w="3135" w:type="dxa"/>
            <w:gridSpan w:val="5"/>
            <w:shd w:val="clear" w:color="auto" w:fill="D9E2F3"/>
            <w:vAlign w:val="center"/>
          </w:tcPr>
          <w:p w14:paraId="0EE92843" w14:textId="77777777" w:rsidR="00990B14" w:rsidRDefault="00000000">
            <w:pPr>
              <w:spacing w:before="20" w:after="20"/>
              <w:jc w:val="both"/>
            </w:pPr>
            <w:r>
              <w:rPr>
                <w:sz w:val="18"/>
                <w:szCs w:val="18"/>
              </w:rPr>
              <w:t>1.1 Secuencia en aula los trabajos de un taller con las reglas de prioridad y calcula sus medidas de desempeño.</w:t>
            </w:r>
          </w:p>
        </w:tc>
        <w:tc>
          <w:tcPr>
            <w:tcW w:w="3137" w:type="dxa"/>
            <w:gridSpan w:val="4"/>
            <w:shd w:val="clear" w:color="auto" w:fill="D9E2F3"/>
            <w:vAlign w:val="center"/>
          </w:tcPr>
          <w:p w14:paraId="21BA49A4" w14:textId="77777777" w:rsidR="00990B14" w:rsidRDefault="00000000">
            <w:pPr>
              <w:spacing w:before="20" w:after="20"/>
              <w:jc w:val="both"/>
            </w:pPr>
            <w:r>
              <w:rPr>
                <w:b/>
                <w:bCs/>
                <w:sz w:val="18"/>
                <w:szCs w:val="18"/>
              </w:rPr>
              <w:t xml:space="preserve">Producto 25: </w:t>
            </w:r>
            <w:r>
              <w:rPr>
                <w:sz w:val="18"/>
                <w:szCs w:val="18"/>
              </w:rPr>
              <w:t>Prácticas de secuenciación con reglas de prioridad</w:t>
            </w:r>
          </w:p>
        </w:tc>
      </w:tr>
      <w:tr w:rsidR="00990B14" w14:paraId="56F3E004" w14:textId="77777777">
        <w:trPr>
          <w:cantSplit/>
          <w:jc w:val="center"/>
        </w:trPr>
        <w:tc>
          <w:tcPr>
            <w:tcW w:w="3133" w:type="dxa"/>
            <w:gridSpan w:val="4"/>
            <w:vMerge/>
            <w:shd w:val="clear" w:color="auto" w:fill="D9E2F3"/>
            <w:vAlign w:val="center"/>
          </w:tcPr>
          <w:p w14:paraId="7A96C364" w14:textId="77777777" w:rsidR="00990B14" w:rsidRDefault="00990B14">
            <w:pPr>
              <w:spacing w:before="20" w:after="20"/>
            </w:pPr>
          </w:p>
        </w:tc>
        <w:tc>
          <w:tcPr>
            <w:tcW w:w="3135" w:type="dxa"/>
            <w:gridSpan w:val="5"/>
            <w:shd w:val="clear" w:color="auto" w:fill="D9E2F3"/>
            <w:vAlign w:val="center"/>
          </w:tcPr>
          <w:p w14:paraId="04D2DB08" w14:textId="77777777" w:rsidR="00990B14" w:rsidRDefault="00000000">
            <w:pPr>
              <w:spacing w:before="20" w:after="20"/>
              <w:jc w:val="both"/>
            </w:pPr>
            <w:r>
              <w:rPr>
                <w:sz w:val="18"/>
                <w:szCs w:val="18"/>
              </w:rPr>
              <w:t>1.2 Compara en equipo el tiempo de flujo y el retraso promedio mediante un informe analítico</w:t>
            </w:r>
          </w:p>
        </w:tc>
        <w:tc>
          <w:tcPr>
            <w:tcW w:w="3137" w:type="dxa"/>
            <w:gridSpan w:val="4"/>
            <w:shd w:val="clear" w:color="auto" w:fill="D9E2F3"/>
            <w:vAlign w:val="center"/>
          </w:tcPr>
          <w:p w14:paraId="28296426" w14:textId="77777777" w:rsidR="00990B14" w:rsidRDefault="00000000">
            <w:pPr>
              <w:spacing w:before="20" w:after="20"/>
              <w:jc w:val="both"/>
            </w:pPr>
            <w:r>
              <w:rPr>
                <w:b/>
                <w:bCs/>
                <w:sz w:val="18"/>
                <w:szCs w:val="18"/>
              </w:rPr>
              <w:t xml:space="preserve">Producto 26: </w:t>
            </w:r>
            <w:r>
              <w:rPr>
                <w:sz w:val="18"/>
                <w:szCs w:val="18"/>
              </w:rPr>
              <w:t>Informe comparativo de medidas de desempeño</w:t>
            </w:r>
          </w:p>
        </w:tc>
      </w:tr>
      <w:tr w:rsidR="00990B14" w14:paraId="1CAD7C41" w14:textId="77777777">
        <w:trPr>
          <w:cantSplit/>
          <w:jc w:val="center"/>
        </w:trPr>
        <w:tc>
          <w:tcPr>
            <w:tcW w:w="3133" w:type="dxa"/>
            <w:gridSpan w:val="4"/>
            <w:vMerge w:val="restart"/>
            <w:shd w:val="clear" w:color="auto" w:fill="D9E2F3"/>
            <w:vAlign w:val="center"/>
          </w:tcPr>
          <w:p w14:paraId="64E5EDF7" w14:textId="77777777" w:rsidR="00990B14" w:rsidRDefault="00000000">
            <w:pPr>
              <w:spacing w:before="20" w:after="20"/>
              <w:jc w:val="both"/>
            </w:pPr>
            <w:r>
              <w:rPr>
                <w:sz w:val="18"/>
                <w:szCs w:val="18"/>
              </w:rPr>
              <w:t>2. Programa la producción en múltiples máquinas, aplicando la regla de Johnson y elaborando diagramas de Gantt para controlar tiempos ociosos.</w:t>
            </w:r>
          </w:p>
        </w:tc>
        <w:tc>
          <w:tcPr>
            <w:tcW w:w="3135" w:type="dxa"/>
            <w:gridSpan w:val="5"/>
            <w:shd w:val="clear" w:color="auto" w:fill="D9E2F3"/>
            <w:vAlign w:val="center"/>
          </w:tcPr>
          <w:p w14:paraId="63E707E0" w14:textId="77777777" w:rsidR="00990B14" w:rsidRDefault="00000000">
            <w:pPr>
              <w:spacing w:before="20" w:after="20"/>
              <w:jc w:val="both"/>
            </w:pPr>
            <w:r>
              <w:rPr>
                <w:sz w:val="18"/>
                <w:szCs w:val="18"/>
              </w:rPr>
              <w:t>2.1 Elabora en equipo el programa de producción en dos y tres máquinas con la regla de Johnson.</w:t>
            </w:r>
          </w:p>
        </w:tc>
        <w:tc>
          <w:tcPr>
            <w:tcW w:w="3137" w:type="dxa"/>
            <w:gridSpan w:val="4"/>
            <w:shd w:val="clear" w:color="auto" w:fill="D9E2F3"/>
            <w:vAlign w:val="center"/>
          </w:tcPr>
          <w:p w14:paraId="312612D6" w14:textId="77777777" w:rsidR="00990B14" w:rsidRDefault="00000000">
            <w:pPr>
              <w:spacing w:before="20" w:after="20"/>
              <w:jc w:val="both"/>
            </w:pPr>
            <w:r>
              <w:rPr>
                <w:b/>
                <w:bCs/>
                <w:sz w:val="18"/>
                <w:szCs w:val="18"/>
              </w:rPr>
              <w:t xml:space="preserve">Producto 27: </w:t>
            </w:r>
            <w:r>
              <w:rPr>
                <w:sz w:val="18"/>
                <w:szCs w:val="18"/>
              </w:rPr>
              <w:t>Programa de producción resuelto con la regla de Johnson</w:t>
            </w:r>
          </w:p>
        </w:tc>
      </w:tr>
      <w:tr w:rsidR="00990B14" w14:paraId="174B2030" w14:textId="77777777">
        <w:trPr>
          <w:cantSplit/>
          <w:jc w:val="center"/>
        </w:trPr>
        <w:tc>
          <w:tcPr>
            <w:tcW w:w="3133" w:type="dxa"/>
            <w:gridSpan w:val="4"/>
            <w:vMerge/>
            <w:shd w:val="clear" w:color="auto" w:fill="D9E2F3"/>
            <w:vAlign w:val="center"/>
          </w:tcPr>
          <w:p w14:paraId="46847B4A" w14:textId="77777777" w:rsidR="00990B14" w:rsidRDefault="00990B14">
            <w:pPr>
              <w:spacing w:before="20" w:after="20"/>
            </w:pPr>
          </w:p>
        </w:tc>
        <w:tc>
          <w:tcPr>
            <w:tcW w:w="3135" w:type="dxa"/>
            <w:gridSpan w:val="5"/>
            <w:shd w:val="clear" w:color="auto" w:fill="D9E2F3"/>
            <w:vAlign w:val="center"/>
          </w:tcPr>
          <w:p w14:paraId="637AB021" w14:textId="77777777" w:rsidR="00990B14" w:rsidRDefault="00000000">
            <w:pPr>
              <w:spacing w:before="20" w:after="20"/>
              <w:jc w:val="both"/>
            </w:pPr>
            <w:r>
              <w:rPr>
                <w:sz w:val="18"/>
                <w:szCs w:val="18"/>
              </w:rPr>
              <w:t>2.2 Dibuja en el laboratorio de cómputo el diagrama de Gantt de la secuencia óptima identificando tiempos ociosos.</w:t>
            </w:r>
          </w:p>
        </w:tc>
        <w:tc>
          <w:tcPr>
            <w:tcW w:w="3137" w:type="dxa"/>
            <w:gridSpan w:val="4"/>
            <w:shd w:val="clear" w:color="auto" w:fill="D9E2F3"/>
            <w:vAlign w:val="center"/>
          </w:tcPr>
          <w:p w14:paraId="74C3D18E" w14:textId="77777777" w:rsidR="00990B14" w:rsidRDefault="00000000">
            <w:pPr>
              <w:spacing w:before="20" w:after="20"/>
              <w:jc w:val="both"/>
            </w:pPr>
            <w:r>
              <w:rPr>
                <w:b/>
                <w:bCs/>
                <w:sz w:val="18"/>
                <w:szCs w:val="18"/>
              </w:rPr>
              <w:t xml:space="preserve">Producto 28: </w:t>
            </w:r>
            <w:r>
              <w:rPr>
                <w:sz w:val="18"/>
                <w:szCs w:val="18"/>
              </w:rPr>
              <w:t>Diagrama de Gantt de programación de operaciones</w:t>
            </w:r>
          </w:p>
        </w:tc>
      </w:tr>
      <w:tr w:rsidR="00990B14" w14:paraId="04EC618C" w14:textId="77777777">
        <w:trPr>
          <w:cantSplit/>
          <w:jc w:val="center"/>
        </w:trPr>
        <w:tc>
          <w:tcPr>
            <w:tcW w:w="9405" w:type="dxa"/>
            <w:gridSpan w:val="13"/>
            <w:shd w:val="clear" w:color="auto" w:fill="4472C4"/>
            <w:vAlign w:val="center"/>
          </w:tcPr>
          <w:p w14:paraId="381E7E9F" w14:textId="77777777" w:rsidR="00990B14" w:rsidRDefault="00000000">
            <w:pPr>
              <w:keepNext/>
              <w:spacing w:before="20" w:after="20"/>
              <w:jc w:val="center"/>
            </w:pPr>
            <w:r>
              <w:rPr>
                <w:b/>
                <w:bCs/>
                <w:i/>
                <w:iCs/>
                <w:color w:val="FFFFFF"/>
                <w:sz w:val="18"/>
                <w:szCs w:val="18"/>
              </w:rPr>
              <w:t>Evidencias de conocimiento</w:t>
            </w:r>
          </w:p>
        </w:tc>
      </w:tr>
      <w:tr w:rsidR="00990B14" w14:paraId="158F1620" w14:textId="77777777">
        <w:trPr>
          <w:cantSplit/>
          <w:jc w:val="center"/>
        </w:trPr>
        <w:tc>
          <w:tcPr>
            <w:tcW w:w="2349" w:type="dxa"/>
            <w:gridSpan w:val="2"/>
            <w:shd w:val="clear" w:color="auto" w:fill="4472C4"/>
            <w:vAlign w:val="center"/>
          </w:tcPr>
          <w:p w14:paraId="7B66EBC8"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36705324" w14:textId="77777777" w:rsidR="00990B14" w:rsidRDefault="00000000">
            <w:pPr>
              <w:keepNext/>
              <w:spacing w:before="20" w:after="20"/>
              <w:jc w:val="both"/>
            </w:pPr>
            <w:r>
              <w:rPr>
                <w:b/>
                <w:bCs/>
                <w:i/>
                <w:iCs/>
                <w:color w:val="FFFFFF"/>
                <w:sz w:val="18"/>
                <w:szCs w:val="18"/>
              </w:rPr>
              <w:t>Contenidos</w:t>
            </w:r>
          </w:p>
          <w:p w14:paraId="0E324CBF"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3AB6E57F" w14:textId="77777777" w:rsidR="00990B14" w:rsidRDefault="00000000">
            <w:pPr>
              <w:keepNext/>
              <w:spacing w:before="20" w:after="20"/>
              <w:jc w:val="center"/>
            </w:pPr>
            <w:r>
              <w:rPr>
                <w:b/>
                <w:bCs/>
                <w:i/>
                <w:iCs/>
                <w:color w:val="FFFFFF"/>
                <w:sz w:val="18"/>
                <w:szCs w:val="18"/>
              </w:rPr>
              <w:t>Conocimientos circunstanciales</w:t>
            </w:r>
          </w:p>
        </w:tc>
      </w:tr>
      <w:tr w:rsidR="00990B14" w14:paraId="34983E8A" w14:textId="77777777">
        <w:trPr>
          <w:jc w:val="center"/>
        </w:trPr>
        <w:tc>
          <w:tcPr>
            <w:tcW w:w="2349" w:type="dxa"/>
            <w:gridSpan w:val="2"/>
            <w:shd w:val="clear" w:color="auto" w:fill="D9E2F3"/>
          </w:tcPr>
          <w:p w14:paraId="2D508D10" w14:textId="77777777" w:rsidR="00990B14" w:rsidRDefault="00000000">
            <w:pPr>
              <w:spacing w:before="20" w:after="40"/>
              <w:jc w:val="both"/>
            </w:pPr>
            <w:r>
              <w:rPr>
                <w:sz w:val="18"/>
                <w:szCs w:val="18"/>
              </w:rPr>
              <w:t>Tema 11: Secuenciación de Tareas</w:t>
            </w:r>
          </w:p>
        </w:tc>
        <w:tc>
          <w:tcPr>
            <w:tcW w:w="4304" w:type="dxa"/>
            <w:gridSpan w:val="8"/>
            <w:shd w:val="clear" w:color="auto" w:fill="D9E2F3"/>
          </w:tcPr>
          <w:p w14:paraId="06406493" w14:textId="77777777" w:rsidR="00990B14" w:rsidRDefault="00000000">
            <w:pPr>
              <w:spacing w:after="40"/>
              <w:jc w:val="both"/>
            </w:pPr>
            <w:r>
              <w:rPr>
                <w:sz w:val="18"/>
                <w:szCs w:val="18"/>
              </w:rPr>
              <w:t>Programación de operaciones: objetivos, programación hacia adelante y hacia atrás, y criterios de desempeño. (C)</w:t>
            </w:r>
          </w:p>
          <w:p w14:paraId="6F5F12FF" w14:textId="77777777" w:rsidR="00990B14" w:rsidRDefault="00000000">
            <w:pPr>
              <w:spacing w:after="40"/>
              <w:jc w:val="both"/>
            </w:pPr>
            <w:r>
              <w:rPr>
                <w:sz w:val="18"/>
                <w:szCs w:val="18"/>
              </w:rPr>
              <w:t>Secuenciación de tareas en una estación de trabajo: reglas primero en entrar primero en ser atendido, tiempo de procesamiento más corto, tiempo de procesamiento más largo y fecha de entrega más próxima. (C)</w:t>
            </w:r>
          </w:p>
          <w:p w14:paraId="2D68B84C" w14:textId="77777777" w:rsidR="00990B14" w:rsidRDefault="00000000">
            <w:pPr>
              <w:spacing w:after="40"/>
              <w:jc w:val="both"/>
            </w:pPr>
            <w:r>
              <w:rPr>
                <w:sz w:val="18"/>
                <w:szCs w:val="18"/>
              </w:rPr>
              <w:t>Regla de la razón crítica y prioridad dinámica de los trabajos. (C)</w:t>
            </w:r>
          </w:p>
          <w:p w14:paraId="25731899" w14:textId="77777777" w:rsidR="00990B14" w:rsidRDefault="00000000">
            <w:pPr>
              <w:spacing w:after="40"/>
              <w:jc w:val="both"/>
            </w:pPr>
            <w:r>
              <w:rPr>
                <w:sz w:val="18"/>
                <w:szCs w:val="18"/>
              </w:rPr>
              <w:t>Medidas de desempeño de una secuencia: tiempo de flujo total y promedio, retraso promedio, utilización y número promedio de trabajos en el sistema. (C)</w:t>
            </w:r>
          </w:p>
          <w:p w14:paraId="4B836904" w14:textId="77777777" w:rsidR="00990B14" w:rsidRDefault="00000000">
            <w:pPr>
              <w:spacing w:after="40"/>
              <w:jc w:val="both"/>
            </w:pPr>
            <w:r>
              <w:rPr>
                <w:sz w:val="18"/>
                <w:szCs w:val="18"/>
              </w:rPr>
              <w:t>Regla de Johnson para n trabajos en dos máquinas: algoritmo, tiempo total de procesamiento (makespan) y tiempos ociosos. (C)</w:t>
            </w:r>
          </w:p>
          <w:p w14:paraId="0B60AA94" w14:textId="77777777" w:rsidR="00990B14" w:rsidRDefault="00000000">
            <w:pPr>
              <w:spacing w:after="40"/>
              <w:jc w:val="both"/>
            </w:pPr>
            <w:r>
              <w:rPr>
                <w:sz w:val="18"/>
                <w:szCs w:val="18"/>
              </w:rPr>
              <w:t>Extensión de la regla de Johnson a tres máquinas y sus condiciones de aplicación. (P)</w:t>
            </w:r>
          </w:p>
          <w:p w14:paraId="167CA75E" w14:textId="77777777" w:rsidR="00990B14" w:rsidRDefault="00000000">
            <w:pPr>
              <w:spacing w:after="40"/>
              <w:jc w:val="both"/>
            </w:pPr>
            <w:r>
              <w:rPr>
                <w:sz w:val="18"/>
                <w:szCs w:val="18"/>
              </w:rPr>
              <w:t>Diagramas de Gantt de carga y de programación. (C)</w:t>
            </w:r>
          </w:p>
        </w:tc>
        <w:tc>
          <w:tcPr>
            <w:tcW w:w="2752" w:type="dxa"/>
            <w:gridSpan w:val="3"/>
            <w:shd w:val="clear" w:color="auto" w:fill="D9E2F3"/>
          </w:tcPr>
          <w:p w14:paraId="472D6C15" w14:textId="77777777" w:rsidR="00990B14" w:rsidRDefault="00000000">
            <w:pPr>
              <w:numPr>
                <w:ilvl w:val="0"/>
                <w:numId w:val="139"/>
              </w:numPr>
              <w:spacing w:before="10" w:after="10"/>
              <w:jc w:val="both"/>
            </w:pPr>
            <w:r>
              <w:rPr>
                <w:sz w:val="18"/>
                <w:szCs w:val="18"/>
              </w:rPr>
              <w:t>Nociones de la organización de una planta productiva y de sus estaciones de trabajo.</w:t>
            </w:r>
          </w:p>
        </w:tc>
      </w:tr>
    </w:tbl>
    <w:p w14:paraId="4FA416F6"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679"/>
        <w:gridCol w:w="1605"/>
        <w:gridCol w:w="1827"/>
        <w:gridCol w:w="1753"/>
        <w:gridCol w:w="2541"/>
      </w:tblGrid>
      <w:tr w:rsidR="00990B14" w14:paraId="76BCFD41" w14:textId="77777777">
        <w:trPr>
          <w:cantSplit/>
          <w:jc w:val="center"/>
        </w:trPr>
        <w:tc>
          <w:tcPr>
            <w:tcW w:w="9405" w:type="dxa"/>
            <w:gridSpan w:val="5"/>
            <w:shd w:val="clear" w:color="auto" w:fill="4472C4"/>
            <w:vAlign w:val="center"/>
          </w:tcPr>
          <w:p w14:paraId="6511CB9C" w14:textId="77777777" w:rsidR="00990B14" w:rsidRDefault="00000000">
            <w:pPr>
              <w:keepNext/>
              <w:spacing w:before="20" w:after="20"/>
              <w:jc w:val="center"/>
            </w:pPr>
            <w:r>
              <w:rPr>
                <w:b/>
                <w:bCs/>
                <w:i/>
                <w:iCs/>
                <w:color w:val="FFFFFF"/>
                <w:sz w:val="18"/>
                <w:szCs w:val="18"/>
              </w:rPr>
              <w:t>Actividades</w:t>
            </w:r>
          </w:p>
        </w:tc>
      </w:tr>
      <w:tr w:rsidR="00990B14" w14:paraId="5E1E5DC3" w14:textId="77777777">
        <w:trPr>
          <w:cantSplit/>
          <w:jc w:val="center"/>
        </w:trPr>
        <w:tc>
          <w:tcPr>
            <w:tcW w:w="1679" w:type="dxa"/>
            <w:shd w:val="clear" w:color="auto" w:fill="4472C4"/>
            <w:vAlign w:val="center"/>
          </w:tcPr>
          <w:p w14:paraId="4B4CA1CC" w14:textId="77777777" w:rsidR="00990B14" w:rsidRDefault="00000000">
            <w:pPr>
              <w:keepNext/>
              <w:spacing w:before="20" w:after="20"/>
              <w:jc w:val="center"/>
            </w:pPr>
            <w:r>
              <w:rPr>
                <w:b/>
                <w:bCs/>
                <w:i/>
                <w:iCs/>
                <w:color w:val="FFFFFF"/>
                <w:sz w:val="18"/>
                <w:szCs w:val="18"/>
              </w:rPr>
              <w:t>En clase</w:t>
            </w:r>
          </w:p>
        </w:tc>
        <w:tc>
          <w:tcPr>
            <w:tcW w:w="1605" w:type="dxa"/>
            <w:shd w:val="clear" w:color="auto" w:fill="4472C4"/>
            <w:vAlign w:val="center"/>
          </w:tcPr>
          <w:p w14:paraId="55E7DA43" w14:textId="77777777" w:rsidR="00990B14" w:rsidRDefault="00000000">
            <w:pPr>
              <w:keepNext/>
              <w:spacing w:before="20" w:after="20"/>
              <w:jc w:val="center"/>
            </w:pPr>
            <w:r>
              <w:rPr>
                <w:b/>
                <w:bCs/>
                <w:i/>
                <w:iCs/>
                <w:color w:val="FFFFFF"/>
                <w:sz w:val="18"/>
                <w:szCs w:val="18"/>
              </w:rPr>
              <w:t>Autónomas</w:t>
            </w:r>
          </w:p>
        </w:tc>
        <w:tc>
          <w:tcPr>
            <w:tcW w:w="1827" w:type="dxa"/>
            <w:shd w:val="clear" w:color="auto" w:fill="4472C4"/>
            <w:vAlign w:val="center"/>
          </w:tcPr>
          <w:p w14:paraId="3AAD1D4C" w14:textId="77777777" w:rsidR="00990B14" w:rsidRDefault="00000000">
            <w:pPr>
              <w:keepNext/>
              <w:spacing w:before="20" w:after="20"/>
              <w:jc w:val="center"/>
            </w:pPr>
            <w:r>
              <w:rPr>
                <w:b/>
                <w:bCs/>
                <w:i/>
                <w:iCs/>
                <w:color w:val="FFFFFF"/>
                <w:sz w:val="18"/>
                <w:szCs w:val="18"/>
              </w:rPr>
              <w:t>B-Learning</w:t>
            </w:r>
          </w:p>
        </w:tc>
        <w:tc>
          <w:tcPr>
            <w:tcW w:w="1753" w:type="dxa"/>
            <w:shd w:val="clear" w:color="auto" w:fill="4472C4"/>
            <w:vAlign w:val="center"/>
          </w:tcPr>
          <w:p w14:paraId="1E49C819" w14:textId="77777777" w:rsidR="00990B14" w:rsidRDefault="00000000">
            <w:pPr>
              <w:keepNext/>
              <w:spacing w:before="20" w:after="20"/>
              <w:jc w:val="center"/>
            </w:pPr>
            <w:r>
              <w:rPr>
                <w:b/>
                <w:bCs/>
                <w:i/>
                <w:iCs/>
                <w:color w:val="FFFFFF"/>
                <w:sz w:val="18"/>
                <w:szCs w:val="18"/>
              </w:rPr>
              <w:t>Taller</w:t>
            </w:r>
          </w:p>
        </w:tc>
        <w:tc>
          <w:tcPr>
            <w:tcW w:w="2541" w:type="dxa"/>
            <w:shd w:val="clear" w:color="auto" w:fill="4472C4"/>
            <w:vAlign w:val="center"/>
          </w:tcPr>
          <w:p w14:paraId="0F8E389B" w14:textId="77777777" w:rsidR="00990B14" w:rsidRDefault="00000000">
            <w:pPr>
              <w:keepNext/>
              <w:spacing w:before="20" w:after="20"/>
              <w:jc w:val="center"/>
            </w:pPr>
            <w:r>
              <w:rPr>
                <w:b/>
                <w:bCs/>
                <w:i/>
                <w:iCs/>
                <w:color w:val="FFFFFF"/>
                <w:sz w:val="18"/>
                <w:szCs w:val="18"/>
              </w:rPr>
              <w:t>Investigación/Práctica</w:t>
            </w:r>
          </w:p>
        </w:tc>
      </w:tr>
      <w:tr w:rsidR="00990B14" w14:paraId="311F34D9" w14:textId="77777777">
        <w:trPr>
          <w:jc w:val="center"/>
        </w:trPr>
        <w:tc>
          <w:tcPr>
            <w:tcW w:w="1679" w:type="dxa"/>
            <w:shd w:val="clear" w:color="auto" w:fill="D9E2F3"/>
          </w:tcPr>
          <w:p w14:paraId="4DFFD84E" w14:textId="77777777" w:rsidR="00990B14" w:rsidRDefault="00000000">
            <w:pPr>
              <w:numPr>
                <w:ilvl w:val="0"/>
                <w:numId w:val="139"/>
              </w:numPr>
              <w:spacing w:before="10" w:after="10"/>
              <w:jc w:val="both"/>
            </w:pPr>
            <w:r>
              <w:rPr>
                <w:sz w:val="18"/>
                <w:szCs w:val="18"/>
              </w:rPr>
              <w:t>Exposición dialogada de los fundamentos del álgebra matricial y de la programación lineal.</w:t>
            </w:r>
          </w:p>
          <w:p w14:paraId="6B1A19B3" w14:textId="77777777" w:rsidR="00990B14" w:rsidRDefault="00000000">
            <w:pPr>
              <w:numPr>
                <w:ilvl w:val="0"/>
                <w:numId w:val="139"/>
              </w:numPr>
              <w:spacing w:before="10" w:after="10"/>
              <w:jc w:val="both"/>
            </w:pPr>
            <w:r>
              <w:rPr>
                <w:sz w:val="18"/>
                <w:szCs w:val="18"/>
              </w:rPr>
              <w:t>Resolución guiada en la pizarra de sistemas de ecuaciones, tablas simplex.</w:t>
            </w:r>
          </w:p>
          <w:p w14:paraId="6358E169" w14:textId="77777777" w:rsidR="00990B14" w:rsidRDefault="00000000">
            <w:pPr>
              <w:numPr>
                <w:ilvl w:val="0"/>
                <w:numId w:val="139"/>
              </w:numPr>
              <w:spacing w:before="10" w:after="10"/>
              <w:jc w:val="both"/>
            </w:pPr>
            <w:r>
              <w:rPr>
                <w:sz w:val="18"/>
                <w:szCs w:val="18"/>
              </w:rPr>
              <w:t>Demostración en hoja de cálculo de las funciones matriciales y de la herramienta Solver.</w:t>
            </w:r>
          </w:p>
          <w:p w14:paraId="63CC5CDF" w14:textId="77777777" w:rsidR="00990B14" w:rsidRDefault="00000000">
            <w:pPr>
              <w:numPr>
                <w:ilvl w:val="0"/>
                <w:numId w:val="139"/>
              </w:numPr>
              <w:spacing w:before="10" w:after="10"/>
              <w:jc w:val="both"/>
            </w:pPr>
            <w:r>
              <w:rPr>
                <w:sz w:val="18"/>
                <w:szCs w:val="18"/>
              </w:rPr>
              <w:t>Análisis de casos de toma de decisiones bajo incertidumbre y secuenciación de tareas.</w:t>
            </w:r>
          </w:p>
        </w:tc>
        <w:tc>
          <w:tcPr>
            <w:tcW w:w="1605" w:type="dxa"/>
            <w:shd w:val="clear" w:color="auto" w:fill="D9E2F3"/>
          </w:tcPr>
          <w:p w14:paraId="3213CE26" w14:textId="77777777" w:rsidR="00990B14" w:rsidRDefault="00000000">
            <w:pPr>
              <w:numPr>
                <w:ilvl w:val="0"/>
                <w:numId w:val="139"/>
              </w:numPr>
              <w:spacing w:before="10" w:after="10"/>
              <w:jc w:val="both"/>
            </w:pPr>
            <w:r>
              <w:rPr>
                <w:sz w:val="18"/>
                <w:szCs w:val="18"/>
              </w:rPr>
              <w:t>Resolución de ejercicios de aplicación al cierre de cada tema.</w:t>
            </w:r>
          </w:p>
          <w:p w14:paraId="3CD85A4D" w14:textId="77777777" w:rsidR="00990B14" w:rsidRDefault="00000000">
            <w:pPr>
              <w:numPr>
                <w:ilvl w:val="0"/>
                <w:numId w:val="139"/>
              </w:numPr>
              <w:spacing w:before="10" w:after="10"/>
              <w:jc w:val="both"/>
            </w:pPr>
            <w:r>
              <w:rPr>
                <w:sz w:val="18"/>
                <w:szCs w:val="18"/>
              </w:rPr>
              <w:t>Lectura de los apuntes y ejercicios resueltos de la cátedra.</w:t>
            </w:r>
          </w:p>
          <w:p w14:paraId="530D1549" w14:textId="77777777" w:rsidR="00990B14" w:rsidRDefault="00000000">
            <w:pPr>
              <w:numPr>
                <w:ilvl w:val="0"/>
                <w:numId w:val="139"/>
              </w:numPr>
              <w:spacing w:before="10" w:after="10"/>
              <w:jc w:val="both"/>
            </w:pPr>
            <w:r>
              <w:rPr>
                <w:sz w:val="18"/>
                <w:szCs w:val="18"/>
              </w:rPr>
              <w:t>Desarrollo progresivo de un problema económico financiero resuelto con las distintas herramientas del curso, con verificación de los resultados en una hoja de cálculo.</w:t>
            </w:r>
          </w:p>
          <w:p w14:paraId="37F67F24" w14:textId="77777777" w:rsidR="00990B14" w:rsidRDefault="00000000">
            <w:pPr>
              <w:numPr>
                <w:ilvl w:val="0"/>
                <w:numId w:val="139"/>
              </w:numPr>
              <w:spacing w:before="10" w:after="10"/>
              <w:jc w:val="both"/>
            </w:pPr>
            <w:r>
              <w:rPr>
                <w:sz w:val="18"/>
                <w:szCs w:val="18"/>
              </w:rPr>
              <w:t>Resolución de casos de árboles de decisión y diagramas de Gantt.</w:t>
            </w:r>
          </w:p>
        </w:tc>
        <w:tc>
          <w:tcPr>
            <w:tcW w:w="1827" w:type="dxa"/>
            <w:shd w:val="clear" w:color="auto" w:fill="D9E2F3"/>
          </w:tcPr>
          <w:p w14:paraId="067857F5" w14:textId="77777777" w:rsidR="00990B14" w:rsidRDefault="00000000">
            <w:pPr>
              <w:numPr>
                <w:ilvl w:val="0"/>
                <w:numId w:val="139"/>
              </w:numPr>
              <w:spacing w:before="10" w:after="10"/>
              <w:jc w:val="both"/>
            </w:pPr>
            <w:r>
              <w:rPr>
                <w:sz w:val="18"/>
                <w:szCs w:val="18"/>
              </w:rPr>
              <w:t>Cuestionarios de comprensión en la plataforma Moodle UMSA.</w:t>
            </w:r>
          </w:p>
          <w:p w14:paraId="51D2F73E" w14:textId="77777777" w:rsidR="00990B14" w:rsidRDefault="00000000">
            <w:pPr>
              <w:numPr>
                <w:ilvl w:val="0"/>
                <w:numId w:val="139"/>
              </w:numPr>
              <w:spacing w:before="10" w:after="10"/>
              <w:jc w:val="both"/>
            </w:pPr>
            <w:r>
              <w:rPr>
                <w:sz w:val="18"/>
                <w:szCs w:val="18"/>
              </w:rPr>
              <w:t>Foros de consulta sobre la resolución de sistemas de ecuaciones y modelos de programación lineal.</w:t>
            </w:r>
          </w:p>
          <w:p w14:paraId="2563E9EE" w14:textId="77777777" w:rsidR="00990B14" w:rsidRDefault="00000000">
            <w:pPr>
              <w:numPr>
                <w:ilvl w:val="0"/>
                <w:numId w:val="139"/>
              </w:numPr>
              <w:spacing w:before="10" w:after="10"/>
              <w:jc w:val="both"/>
            </w:pPr>
            <w:r>
              <w:rPr>
                <w:sz w:val="18"/>
                <w:szCs w:val="18"/>
              </w:rPr>
              <w:t>Videotutoriales de resolución de ejercicios con hoja de cálculo y con la herramienta Solver.</w:t>
            </w:r>
          </w:p>
          <w:p w14:paraId="0512123A" w14:textId="77777777" w:rsidR="00990B14" w:rsidRDefault="00000000">
            <w:pPr>
              <w:numPr>
                <w:ilvl w:val="0"/>
                <w:numId w:val="139"/>
              </w:numPr>
              <w:spacing w:before="10" w:after="10"/>
              <w:jc w:val="both"/>
            </w:pPr>
            <w:r>
              <w:rPr>
                <w:sz w:val="18"/>
                <w:szCs w:val="18"/>
              </w:rPr>
              <w:t>Simuladores y videotutoriales de árboles de decisión y diagrama de Gantt.</w:t>
            </w:r>
          </w:p>
        </w:tc>
        <w:tc>
          <w:tcPr>
            <w:tcW w:w="1753" w:type="dxa"/>
            <w:shd w:val="clear" w:color="auto" w:fill="D9E2F3"/>
          </w:tcPr>
          <w:p w14:paraId="2151E87B" w14:textId="77777777" w:rsidR="00990B14" w:rsidRDefault="00000000">
            <w:pPr>
              <w:numPr>
                <w:ilvl w:val="0"/>
                <w:numId w:val="139"/>
              </w:numPr>
              <w:spacing w:before="10" w:after="10"/>
              <w:jc w:val="both"/>
            </w:pPr>
            <w:r>
              <w:rPr>
                <w:sz w:val="18"/>
                <w:szCs w:val="18"/>
              </w:rPr>
              <w:t>Resolución colaborativa de sistemas de ecuaciones lineales y modelos de programación lineal, con interpretación de los resultados.</w:t>
            </w:r>
          </w:p>
          <w:p w14:paraId="5E506D01" w14:textId="77777777" w:rsidR="00990B14" w:rsidRDefault="00000000">
            <w:pPr>
              <w:numPr>
                <w:ilvl w:val="0"/>
                <w:numId w:val="139"/>
              </w:numPr>
              <w:spacing w:before="10" w:after="10"/>
              <w:jc w:val="both"/>
            </w:pPr>
            <w:r>
              <w:rPr>
                <w:sz w:val="18"/>
                <w:szCs w:val="18"/>
              </w:rPr>
              <w:t>Elaboración guiada de diagramas de Venn Euler y problemas de conteo.</w:t>
            </w:r>
          </w:p>
          <w:p w14:paraId="4E72B3A7" w14:textId="77777777" w:rsidR="00990B14" w:rsidRDefault="00000000">
            <w:pPr>
              <w:numPr>
                <w:ilvl w:val="0"/>
                <w:numId w:val="139"/>
              </w:numPr>
              <w:spacing w:before="10" w:after="10"/>
              <w:jc w:val="both"/>
            </w:pPr>
            <w:r>
              <w:rPr>
                <w:sz w:val="18"/>
                <w:szCs w:val="18"/>
              </w:rPr>
              <w:t>Resolución colaborativa de casos de secuenciación con la regla de Johnson y estructuración de árboles de decisión.</w:t>
            </w:r>
          </w:p>
        </w:tc>
        <w:tc>
          <w:tcPr>
            <w:tcW w:w="2541" w:type="dxa"/>
            <w:shd w:val="clear" w:color="auto" w:fill="D9E2F3"/>
          </w:tcPr>
          <w:p w14:paraId="2162E3EA" w14:textId="77777777" w:rsidR="00990B14" w:rsidRDefault="00000000">
            <w:pPr>
              <w:numPr>
                <w:ilvl w:val="0"/>
                <w:numId w:val="139"/>
              </w:numPr>
              <w:spacing w:before="10" w:after="10"/>
              <w:jc w:val="both"/>
            </w:pPr>
            <w:r>
              <w:rPr>
                <w:sz w:val="18"/>
                <w:szCs w:val="18"/>
              </w:rPr>
              <w:t>Análisis de aplicaciones del álgebra lineal en la administración y las finanzas.</w:t>
            </w:r>
          </w:p>
          <w:p w14:paraId="69CE3E1B" w14:textId="77777777" w:rsidR="00990B14" w:rsidRDefault="00000000">
            <w:pPr>
              <w:numPr>
                <w:ilvl w:val="0"/>
                <w:numId w:val="139"/>
              </w:numPr>
              <w:spacing w:before="10" w:after="10"/>
              <w:jc w:val="both"/>
            </w:pPr>
            <w:r>
              <w:rPr>
                <w:sz w:val="18"/>
                <w:szCs w:val="18"/>
              </w:rPr>
              <w:t>Revisión de casos de optimización con programación lineal en empresas bolivianas, con análisis de sensibilidad ante variaciones del tipo de cambio y de los costos.</w:t>
            </w:r>
          </w:p>
          <w:p w14:paraId="28317132" w14:textId="77777777" w:rsidR="00990B14" w:rsidRDefault="00000000">
            <w:pPr>
              <w:numPr>
                <w:ilvl w:val="0"/>
                <w:numId w:val="139"/>
              </w:numPr>
              <w:spacing w:before="10" w:after="10"/>
              <w:jc w:val="both"/>
            </w:pPr>
            <w:r>
              <w:rPr>
                <w:sz w:val="18"/>
                <w:szCs w:val="18"/>
              </w:rPr>
              <w:t>Comparación de métodos de resolución de sistemas de ecuaciones lineales, con la terminología matemática en inglés.</w:t>
            </w:r>
          </w:p>
          <w:p w14:paraId="0BD04769" w14:textId="77777777" w:rsidR="00990B14" w:rsidRDefault="00000000">
            <w:pPr>
              <w:numPr>
                <w:ilvl w:val="0"/>
                <w:numId w:val="139"/>
              </w:numPr>
              <w:spacing w:before="10" w:after="10"/>
              <w:jc w:val="both"/>
            </w:pPr>
            <w:r>
              <w:rPr>
                <w:sz w:val="18"/>
                <w:szCs w:val="18"/>
              </w:rPr>
              <w:t>Formulación de un modelo de transporte o de asignación con datos de una empresa boliviana de distribución.</w:t>
            </w:r>
          </w:p>
          <w:p w14:paraId="50503C1E" w14:textId="77777777" w:rsidR="00990B14" w:rsidRDefault="00000000">
            <w:pPr>
              <w:numPr>
                <w:ilvl w:val="0"/>
                <w:numId w:val="139"/>
              </w:numPr>
              <w:spacing w:before="10" w:after="10"/>
              <w:jc w:val="both"/>
            </w:pPr>
            <w:r>
              <w:rPr>
                <w:sz w:val="18"/>
                <w:szCs w:val="18"/>
              </w:rPr>
              <w:t>Levantamiento de datos de tiempos de operación y perfiles de riesgo en una entidad boliviana para la modelación de secuencias y matrices de pagos.</w:t>
            </w:r>
          </w:p>
        </w:tc>
      </w:tr>
    </w:tbl>
    <w:p w14:paraId="153B3C88"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900"/>
        <w:gridCol w:w="1876"/>
        <w:gridCol w:w="1876"/>
        <w:gridCol w:w="1876"/>
        <w:gridCol w:w="1877"/>
      </w:tblGrid>
      <w:tr w:rsidR="00990B14" w14:paraId="61710220" w14:textId="77777777">
        <w:trPr>
          <w:jc w:val="center"/>
        </w:trPr>
        <w:tc>
          <w:tcPr>
            <w:tcW w:w="1900" w:type="dxa"/>
            <w:shd w:val="clear" w:color="auto" w:fill="4472C4"/>
            <w:vAlign w:val="center"/>
          </w:tcPr>
          <w:p w14:paraId="1C8DDCC3" w14:textId="77777777" w:rsidR="00990B14" w:rsidRDefault="00000000">
            <w:pPr>
              <w:spacing w:before="20" w:after="20"/>
              <w:jc w:val="center"/>
            </w:pPr>
            <w:r>
              <w:rPr>
                <w:b/>
                <w:bCs/>
                <w:i/>
                <w:iCs/>
                <w:color w:val="FFFFFF"/>
                <w:sz w:val="18"/>
                <w:szCs w:val="18"/>
              </w:rPr>
              <w:t>Estrategias de aprendizaje y enseñanza</w:t>
            </w:r>
          </w:p>
        </w:tc>
        <w:tc>
          <w:tcPr>
            <w:tcW w:w="7505" w:type="dxa"/>
            <w:gridSpan w:val="4"/>
            <w:shd w:val="clear" w:color="auto" w:fill="D9E2F3"/>
            <w:vAlign w:val="center"/>
          </w:tcPr>
          <w:p w14:paraId="095AF6E4" w14:textId="77777777" w:rsidR="00990B14" w:rsidRDefault="00000000">
            <w:pPr>
              <w:numPr>
                <w:ilvl w:val="0"/>
                <w:numId w:val="140"/>
              </w:numPr>
              <w:spacing w:before="10" w:after="10"/>
              <w:jc w:val="both"/>
            </w:pPr>
            <w:r>
              <w:rPr>
                <w:sz w:val="18"/>
                <w:szCs w:val="18"/>
              </w:rPr>
              <w:t>Aprendizaje basado en problemas con casos económicos y financieros bolivianos.</w:t>
            </w:r>
          </w:p>
          <w:p w14:paraId="01BE3856" w14:textId="77777777" w:rsidR="00990B14" w:rsidRDefault="00000000">
            <w:pPr>
              <w:numPr>
                <w:ilvl w:val="0"/>
                <w:numId w:val="140"/>
              </w:numPr>
              <w:spacing w:before="10" w:after="10"/>
              <w:jc w:val="both"/>
            </w:pPr>
            <w:r>
              <w:rPr>
                <w:sz w:val="18"/>
                <w:szCs w:val="18"/>
              </w:rPr>
              <w:t>Resolución guiada de ejercicios en orden de dificultad creciente por tema.</w:t>
            </w:r>
          </w:p>
          <w:p w14:paraId="7983F4DC" w14:textId="77777777" w:rsidR="00990B14" w:rsidRDefault="00000000">
            <w:pPr>
              <w:numPr>
                <w:ilvl w:val="0"/>
                <w:numId w:val="140"/>
              </w:numPr>
              <w:spacing w:before="10" w:after="10"/>
              <w:jc w:val="both"/>
            </w:pPr>
            <w:r>
              <w:rPr>
                <w:sz w:val="18"/>
                <w:szCs w:val="18"/>
              </w:rPr>
              <w:t>Caso práctico integral que recorre desde los sistemas de ecuaciones hasta secuenciación de tareas</w:t>
            </w:r>
          </w:p>
          <w:p w14:paraId="56558FEA" w14:textId="77777777" w:rsidR="00990B14" w:rsidRDefault="00000000">
            <w:pPr>
              <w:numPr>
                <w:ilvl w:val="0"/>
                <w:numId w:val="140"/>
              </w:numPr>
              <w:spacing w:before="10" w:after="10"/>
              <w:jc w:val="both"/>
            </w:pPr>
            <w:r>
              <w:rPr>
                <w:sz w:val="18"/>
                <w:szCs w:val="18"/>
              </w:rPr>
              <w:t>Estudio de casos de optimización y de conteo aplicados a la administración.</w:t>
            </w:r>
          </w:p>
          <w:p w14:paraId="2B7ED575" w14:textId="77777777" w:rsidR="00990B14" w:rsidRDefault="00000000">
            <w:pPr>
              <w:numPr>
                <w:ilvl w:val="0"/>
                <w:numId w:val="140"/>
              </w:numPr>
              <w:spacing w:before="10" w:after="10"/>
              <w:jc w:val="both"/>
            </w:pPr>
            <w:r>
              <w:rPr>
                <w:sz w:val="18"/>
                <w:szCs w:val="18"/>
              </w:rPr>
              <w:t>Trabajo colaborativo en equipos de resolución de problemas.</w:t>
            </w:r>
          </w:p>
          <w:p w14:paraId="3BCFADFD" w14:textId="77777777" w:rsidR="00990B14" w:rsidRDefault="00000000">
            <w:pPr>
              <w:numPr>
                <w:ilvl w:val="0"/>
                <w:numId w:val="140"/>
              </w:numPr>
              <w:spacing w:before="10" w:after="10"/>
              <w:jc w:val="both"/>
            </w:pPr>
            <w:r>
              <w:rPr>
                <w:sz w:val="18"/>
                <w:szCs w:val="18"/>
              </w:rPr>
              <w:t>Clase invertida para los contenidos teóricos de cada tema.</w:t>
            </w:r>
          </w:p>
          <w:p w14:paraId="29529D80" w14:textId="77777777" w:rsidR="00990B14" w:rsidRDefault="00000000">
            <w:pPr>
              <w:numPr>
                <w:ilvl w:val="0"/>
                <w:numId w:val="140"/>
              </w:numPr>
              <w:spacing w:before="10" w:after="10"/>
              <w:jc w:val="both"/>
            </w:pPr>
            <w:r>
              <w:rPr>
                <w:sz w:val="18"/>
                <w:szCs w:val="18"/>
              </w:rPr>
              <w:t>Análisis crítico de los resultados de un modelo cuantitativo antes de su uso en una decisión.</w:t>
            </w:r>
          </w:p>
        </w:tc>
      </w:tr>
      <w:tr w:rsidR="00990B14" w14:paraId="10134F97" w14:textId="77777777">
        <w:trPr>
          <w:jc w:val="center"/>
        </w:trPr>
        <w:tc>
          <w:tcPr>
            <w:tcW w:w="1900" w:type="dxa"/>
            <w:shd w:val="clear" w:color="auto" w:fill="4472C4"/>
            <w:vAlign w:val="center"/>
          </w:tcPr>
          <w:p w14:paraId="476B8288" w14:textId="77777777" w:rsidR="00990B14" w:rsidRDefault="00000000">
            <w:pPr>
              <w:spacing w:before="20" w:after="20"/>
              <w:jc w:val="center"/>
            </w:pPr>
            <w:r>
              <w:rPr>
                <w:b/>
                <w:bCs/>
                <w:i/>
                <w:iCs/>
                <w:color w:val="FFFFFF"/>
                <w:sz w:val="18"/>
                <w:szCs w:val="18"/>
              </w:rPr>
              <w:t>Recursos para el aprendizaje</w:t>
            </w:r>
          </w:p>
        </w:tc>
        <w:tc>
          <w:tcPr>
            <w:tcW w:w="7505" w:type="dxa"/>
            <w:gridSpan w:val="4"/>
            <w:shd w:val="clear" w:color="auto" w:fill="D9E2F3"/>
            <w:vAlign w:val="center"/>
          </w:tcPr>
          <w:p w14:paraId="027B6D62" w14:textId="77777777" w:rsidR="00990B14" w:rsidRDefault="00000000">
            <w:pPr>
              <w:numPr>
                <w:ilvl w:val="0"/>
                <w:numId w:val="140"/>
              </w:numPr>
              <w:spacing w:before="10" w:after="10"/>
              <w:jc w:val="both"/>
            </w:pPr>
            <w:r>
              <w:rPr>
                <w:sz w:val="18"/>
                <w:szCs w:val="18"/>
              </w:rPr>
              <w:t>Plataforma Moodle UMSA.</w:t>
            </w:r>
          </w:p>
          <w:p w14:paraId="541FF123" w14:textId="77777777" w:rsidR="00990B14" w:rsidRDefault="00000000">
            <w:pPr>
              <w:numPr>
                <w:ilvl w:val="0"/>
                <w:numId w:val="140"/>
              </w:numPr>
              <w:spacing w:before="10" w:after="10"/>
              <w:jc w:val="both"/>
            </w:pPr>
            <w:r>
              <w:rPr>
                <w:sz w:val="18"/>
                <w:szCs w:val="18"/>
              </w:rPr>
              <w:t>Hoja de cálculo para la resolución de sistemas de ecuaciones y modelos de programación lineal.</w:t>
            </w:r>
          </w:p>
          <w:p w14:paraId="6872AFD2" w14:textId="77777777" w:rsidR="00990B14" w:rsidRDefault="00000000">
            <w:pPr>
              <w:numPr>
                <w:ilvl w:val="0"/>
                <w:numId w:val="140"/>
              </w:numPr>
              <w:spacing w:before="10" w:after="10"/>
              <w:jc w:val="both"/>
            </w:pPr>
            <w:r>
              <w:rPr>
                <w:sz w:val="18"/>
                <w:szCs w:val="18"/>
              </w:rPr>
              <w:t>Guías de ejercicios y casos elaborados por la cátedra.</w:t>
            </w:r>
          </w:p>
          <w:p w14:paraId="12CFEF8C" w14:textId="77777777" w:rsidR="00990B14" w:rsidRDefault="00000000">
            <w:pPr>
              <w:numPr>
                <w:ilvl w:val="0"/>
                <w:numId w:val="140"/>
              </w:numPr>
              <w:spacing w:before="10" w:after="10"/>
              <w:jc w:val="both"/>
            </w:pPr>
            <w:r>
              <w:rPr>
                <w:sz w:val="18"/>
                <w:szCs w:val="18"/>
              </w:rPr>
              <w:t>Apuntes de álgebra lineal y teoría matricial de la cátedra.</w:t>
            </w:r>
          </w:p>
          <w:p w14:paraId="4E2582AF" w14:textId="77777777" w:rsidR="00990B14" w:rsidRDefault="00000000">
            <w:pPr>
              <w:numPr>
                <w:ilvl w:val="0"/>
                <w:numId w:val="140"/>
              </w:numPr>
              <w:spacing w:before="10" w:after="10"/>
              <w:jc w:val="both"/>
            </w:pPr>
            <w:r>
              <w:rPr>
                <w:sz w:val="18"/>
                <w:szCs w:val="18"/>
              </w:rPr>
              <w:t>Herramienta Solver y funciones matriciales, combinatorias y financieras de la hoja de cálculo.</w:t>
            </w:r>
          </w:p>
        </w:tc>
      </w:tr>
      <w:tr w:rsidR="00990B14" w14:paraId="27B60C6D" w14:textId="77777777">
        <w:trPr>
          <w:jc w:val="center"/>
        </w:trPr>
        <w:tc>
          <w:tcPr>
            <w:tcW w:w="1900" w:type="dxa"/>
            <w:shd w:val="clear" w:color="auto" w:fill="4472C4"/>
            <w:vAlign w:val="center"/>
          </w:tcPr>
          <w:p w14:paraId="4FE1096E" w14:textId="77777777" w:rsidR="00990B14" w:rsidRDefault="00000000">
            <w:pPr>
              <w:spacing w:before="20" w:after="20"/>
              <w:jc w:val="center"/>
            </w:pPr>
            <w:r>
              <w:rPr>
                <w:b/>
                <w:bCs/>
                <w:i/>
                <w:iCs/>
                <w:color w:val="FFFFFF"/>
                <w:sz w:val="18"/>
                <w:szCs w:val="18"/>
              </w:rPr>
              <w:t>Estrategias de evaluación</w:t>
            </w:r>
          </w:p>
        </w:tc>
        <w:tc>
          <w:tcPr>
            <w:tcW w:w="7505" w:type="dxa"/>
            <w:gridSpan w:val="4"/>
            <w:shd w:val="clear" w:color="auto" w:fill="D9E2F3"/>
            <w:vAlign w:val="center"/>
          </w:tcPr>
          <w:p w14:paraId="073395EF" w14:textId="77777777" w:rsidR="00990B14" w:rsidRDefault="00000000">
            <w:pPr>
              <w:numPr>
                <w:ilvl w:val="0"/>
                <w:numId w:val="140"/>
              </w:numPr>
              <w:spacing w:before="10" w:after="10"/>
              <w:jc w:val="both"/>
            </w:pPr>
            <w:r>
              <w:rPr>
                <w:sz w:val="18"/>
                <w:szCs w:val="18"/>
              </w:rPr>
              <w:t>Evaluación diagnóstica: prueba inicial sobre límites, derivadas e integrales de la asignatura MAT-101 Cálculo.</w:t>
            </w:r>
          </w:p>
          <w:p w14:paraId="610BA48D" w14:textId="77777777" w:rsidR="00990B14" w:rsidRDefault="00000000">
            <w:pPr>
              <w:numPr>
                <w:ilvl w:val="0"/>
                <w:numId w:val="140"/>
              </w:numPr>
              <w:spacing w:before="10" w:after="10"/>
              <w:jc w:val="both"/>
            </w:pPr>
            <w:r>
              <w:rPr>
                <w:sz w:val="18"/>
                <w:szCs w:val="18"/>
              </w:rPr>
              <w:t>Evaluación formativa: preguntas de comprensión y desarrollo de ejercicios prácticos en aula, con retroalimentación continua, autoevaluación y coevaluación.</w:t>
            </w:r>
          </w:p>
          <w:p w14:paraId="16B48DF1" w14:textId="77777777" w:rsidR="00990B14" w:rsidRDefault="00000000">
            <w:pPr>
              <w:numPr>
                <w:ilvl w:val="0"/>
                <w:numId w:val="140"/>
              </w:numPr>
              <w:spacing w:before="10" w:after="10"/>
              <w:jc w:val="both"/>
            </w:pPr>
            <w:r>
              <w:rPr>
                <w:sz w:val="18"/>
                <w:szCs w:val="18"/>
              </w:rPr>
              <w:t>Evaluación sumativa: controles de lectura y asistencia, evaluación de casos prácticos, casos de investigación de operaciones y de programación de operaciones, trabajos de investigación y desarrollo, exámenes parciales y examen final.</w:t>
            </w:r>
          </w:p>
        </w:tc>
      </w:tr>
      <w:tr w:rsidR="00990B14" w14:paraId="20FAB7E0" w14:textId="77777777">
        <w:trPr>
          <w:jc w:val="center"/>
        </w:trPr>
        <w:tc>
          <w:tcPr>
            <w:tcW w:w="1900" w:type="dxa"/>
            <w:shd w:val="clear" w:color="auto" w:fill="4472C4"/>
            <w:vAlign w:val="center"/>
          </w:tcPr>
          <w:p w14:paraId="0E077C14" w14:textId="77777777" w:rsidR="00990B14" w:rsidRDefault="00000000">
            <w:pPr>
              <w:spacing w:before="20" w:after="20"/>
              <w:jc w:val="center"/>
            </w:pPr>
            <w:r>
              <w:rPr>
                <w:b/>
                <w:bCs/>
                <w:i/>
                <w:iCs/>
                <w:color w:val="FFFFFF"/>
                <w:sz w:val="18"/>
                <w:szCs w:val="18"/>
              </w:rPr>
              <w:t>Criterios de calificación</w:t>
            </w:r>
          </w:p>
        </w:tc>
        <w:tc>
          <w:tcPr>
            <w:tcW w:w="7505" w:type="dxa"/>
            <w:gridSpan w:val="4"/>
            <w:shd w:val="clear" w:color="auto" w:fill="D9E2F3"/>
            <w:vAlign w:val="center"/>
          </w:tcPr>
          <w:p w14:paraId="502FD3DF" w14:textId="77777777" w:rsidR="00990B14" w:rsidRDefault="00000000">
            <w:pPr>
              <w:numPr>
                <w:ilvl w:val="0"/>
                <w:numId w:val="140"/>
              </w:numPr>
              <w:spacing w:before="10" w:after="10"/>
              <w:jc w:val="both"/>
            </w:pPr>
            <w:r>
              <w:rPr>
                <w:sz w:val="18"/>
                <w:szCs w:val="18"/>
              </w:rPr>
              <w:t>Nota mínima de aprobación: 51/100.</w:t>
            </w:r>
          </w:p>
          <w:p w14:paraId="55DFEC39" w14:textId="77777777" w:rsidR="00990B14" w:rsidRDefault="00000000">
            <w:pPr>
              <w:numPr>
                <w:ilvl w:val="0"/>
                <w:numId w:val="140"/>
              </w:numPr>
              <w:spacing w:before="10" w:after="10"/>
              <w:jc w:val="both"/>
            </w:pPr>
            <w:r>
              <w:rPr>
                <w:sz w:val="18"/>
                <w:szCs w:val="18"/>
              </w:rPr>
              <w:t>Evaluación periódica al finalizar cada tema, basada en evidencias de conocimiento, desempeño y producto.</w:t>
            </w:r>
          </w:p>
          <w:p w14:paraId="0A763B39" w14:textId="77777777" w:rsidR="00990B14" w:rsidRDefault="00000000">
            <w:pPr>
              <w:numPr>
                <w:ilvl w:val="0"/>
                <w:numId w:val="140"/>
              </w:numPr>
              <w:spacing w:before="10" w:after="10"/>
              <w:jc w:val="both"/>
            </w:pPr>
            <w:r>
              <w:rPr>
                <w:sz w:val="18"/>
                <w:szCs w:val="18"/>
              </w:rPr>
              <w:t>Cada evidencia de producto se evalúa con su propia rúbrica de tres niveles: Insuficiente, Suficiente y Destacado.</w:t>
            </w:r>
          </w:p>
          <w:p w14:paraId="74CABE7D" w14:textId="77777777" w:rsidR="00990B14" w:rsidRDefault="00000000">
            <w:pPr>
              <w:numPr>
                <w:ilvl w:val="0"/>
                <w:numId w:val="140"/>
              </w:numPr>
              <w:spacing w:before="10" w:after="10"/>
              <w:jc w:val="both"/>
            </w:pPr>
            <w:r>
              <w:rPr>
                <w:sz w:val="18"/>
                <w:szCs w:val="18"/>
              </w:rPr>
              <w:t>La calificación de cada elemento de competencia suma las calificaciones de sus evidencias de producto.</w:t>
            </w:r>
          </w:p>
        </w:tc>
      </w:tr>
      <w:tr w:rsidR="00990B14" w14:paraId="50B17D1B" w14:textId="77777777">
        <w:trPr>
          <w:cantSplit/>
          <w:jc w:val="center"/>
        </w:trPr>
        <w:tc>
          <w:tcPr>
            <w:tcW w:w="1900" w:type="dxa"/>
            <w:vMerge w:val="restart"/>
            <w:shd w:val="clear" w:color="auto" w:fill="4472C4"/>
            <w:vAlign w:val="center"/>
          </w:tcPr>
          <w:p w14:paraId="4D6CC698" w14:textId="77777777" w:rsidR="00990B14" w:rsidRDefault="00000000">
            <w:pPr>
              <w:spacing w:before="20" w:after="20"/>
              <w:jc w:val="center"/>
            </w:pPr>
            <w:r>
              <w:rPr>
                <w:b/>
                <w:bCs/>
                <w:i/>
                <w:iCs/>
                <w:color w:val="FFFFFF"/>
                <w:sz w:val="18"/>
                <w:szCs w:val="18"/>
              </w:rPr>
              <w:t>Niveles de logro y distribución de la calificación</w:t>
            </w:r>
          </w:p>
        </w:tc>
        <w:tc>
          <w:tcPr>
            <w:tcW w:w="5628" w:type="dxa"/>
            <w:gridSpan w:val="3"/>
            <w:shd w:val="clear" w:color="auto" w:fill="D9E2F3"/>
            <w:vAlign w:val="center"/>
          </w:tcPr>
          <w:p w14:paraId="610B943A" w14:textId="77777777" w:rsidR="00990B14" w:rsidRDefault="00000000">
            <w:pPr>
              <w:keepNext/>
              <w:spacing w:before="20" w:after="20"/>
              <w:jc w:val="both"/>
            </w:pPr>
            <w:r>
              <w:rPr>
                <w:b/>
                <w:bCs/>
                <w:i/>
                <w:iCs/>
                <w:sz w:val="18"/>
                <w:szCs w:val="18"/>
              </w:rPr>
              <w:t xml:space="preserve">Producto 1: </w:t>
            </w:r>
            <w:r>
              <w:rPr>
                <w:sz w:val="18"/>
                <w:szCs w:val="18"/>
              </w:rPr>
              <w:t>Práctico de matrices y determinantes</w:t>
            </w:r>
          </w:p>
        </w:tc>
        <w:tc>
          <w:tcPr>
            <w:tcW w:w="1877" w:type="dxa"/>
            <w:shd w:val="clear" w:color="auto" w:fill="D9E2F3"/>
            <w:vAlign w:val="center"/>
          </w:tcPr>
          <w:p w14:paraId="14425B33" w14:textId="77777777" w:rsidR="00990B14" w:rsidRDefault="00000000">
            <w:pPr>
              <w:spacing w:before="20" w:after="20"/>
              <w:jc w:val="center"/>
            </w:pPr>
            <w:r>
              <w:rPr>
                <w:b/>
                <w:bCs/>
                <w:sz w:val="18"/>
                <w:szCs w:val="18"/>
              </w:rPr>
              <w:t>4%</w:t>
            </w:r>
          </w:p>
        </w:tc>
      </w:tr>
      <w:tr w:rsidR="00990B14" w14:paraId="554554FB" w14:textId="77777777">
        <w:trPr>
          <w:cantSplit/>
          <w:jc w:val="center"/>
        </w:trPr>
        <w:tc>
          <w:tcPr>
            <w:tcW w:w="1900" w:type="dxa"/>
            <w:vMerge/>
            <w:shd w:val="clear" w:color="auto" w:fill="4472C4"/>
            <w:vAlign w:val="center"/>
          </w:tcPr>
          <w:p w14:paraId="44195CE2" w14:textId="77777777" w:rsidR="00990B14" w:rsidRDefault="00990B14">
            <w:pPr>
              <w:spacing w:before="20" w:after="20"/>
            </w:pPr>
          </w:p>
        </w:tc>
        <w:tc>
          <w:tcPr>
            <w:tcW w:w="1876" w:type="dxa"/>
            <w:shd w:val="clear" w:color="auto" w:fill="4472C4"/>
            <w:vAlign w:val="center"/>
          </w:tcPr>
          <w:p w14:paraId="1C0D2F68"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40E07270"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7D92FB5D"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0AC22656" w14:textId="77777777" w:rsidR="00990B14" w:rsidRDefault="00000000">
            <w:pPr>
              <w:keepNext/>
              <w:spacing w:before="20" w:after="20"/>
              <w:jc w:val="center"/>
            </w:pPr>
            <w:r>
              <w:rPr>
                <w:b/>
                <w:bCs/>
                <w:i/>
                <w:iCs/>
                <w:color w:val="FFFFFF"/>
                <w:sz w:val="18"/>
                <w:szCs w:val="18"/>
              </w:rPr>
              <w:t>Destacado (81–100)</w:t>
            </w:r>
          </w:p>
        </w:tc>
      </w:tr>
      <w:tr w:rsidR="00990B14" w14:paraId="5E01BDC7" w14:textId="77777777">
        <w:trPr>
          <w:cantSplit/>
          <w:jc w:val="center"/>
        </w:trPr>
        <w:tc>
          <w:tcPr>
            <w:tcW w:w="1900" w:type="dxa"/>
            <w:vMerge/>
            <w:shd w:val="clear" w:color="auto" w:fill="4472C4"/>
            <w:vAlign w:val="center"/>
          </w:tcPr>
          <w:p w14:paraId="5FDA13AC" w14:textId="77777777" w:rsidR="00990B14" w:rsidRDefault="00990B14">
            <w:pPr>
              <w:spacing w:before="20" w:after="20"/>
            </w:pPr>
          </w:p>
        </w:tc>
        <w:tc>
          <w:tcPr>
            <w:tcW w:w="1876" w:type="dxa"/>
            <w:shd w:val="clear" w:color="auto" w:fill="D9E2F3"/>
            <w:vAlign w:val="center"/>
          </w:tcPr>
          <w:p w14:paraId="4C319C4E" w14:textId="77777777" w:rsidR="00990B14" w:rsidRDefault="00000000">
            <w:pPr>
              <w:spacing w:before="20" w:after="20"/>
              <w:jc w:val="both"/>
            </w:pPr>
            <w:r>
              <w:rPr>
                <w:sz w:val="18"/>
                <w:szCs w:val="18"/>
              </w:rPr>
              <w:t>Operaciones con matrices</w:t>
            </w:r>
          </w:p>
        </w:tc>
        <w:tc>
          <w:tcPr>
            <w:tcW w:w="1876" w:type="dxa"/>
            <w:shd w:val="clear" w:color="auto" w:fill="D9E2F3"/>
            <w:vAlign w:val="center"/>
          </w:tcPr>
          <w:p w14:paraId="2646289D" w14:textId="77777777" w:rsidR="00990B14" w:rsidRDefault="00000000">
            <w:pPr>
              <w:spacing w:before="20" w:after="20"/>
              <w:jc w:val="both"/>
            </w:pPr>
            <w:r>
              <w:rPr>
                <w:sz w:val="18"/>
                <w:szCs w:val="18"/>
              </w:rPr>
              <w:t>Opera matrices de órdenes incompatibles.</w:t>
            </w:r>
          </w:p>
        </w:tc>
        <w:tc>
          <w:tcPr>
            <w:tcW w:w="1876" w:type="dxa"/>
            <w:shd w:val="clear" w:color="auto" w:fill="D9E2F3"/>
            <w:vAlign w:val="center"/>
          </w:tcPr>
          <w:p w14:paraId="6C90E56D" w14:textId="77777777" w:rsidR="00990B14" w:rsidRDefault="00000000">
            <w:pPr>
              <w:spacing w:before="20" w:after="20"/>
              <w:jc w:val="both"/>
            </w:pPr>
            <w:r>
              <w:rPr>
                <w:sz w:val="18"/>
                <w:szCs w:val="18"/>
              </w:rPr>
              <w:t>Realiza correctamente las operaciones.</w:t>
            </w:r>
          </w:p>
        </w:tc>
        <w:tc>
          <w:tcPr>
            <w:tcW w:w="1877" w:type="dxa"/>
            <w:shd w:val="clear" w:color="auto" w:fill="D9E2F3"/>
            <w:vAlign w:val="center"/>
          </w:tcPr>
          <w:p w14:paraId="0DBE7100" w14:textId="77777777" w:rsidR="00990B14" w:rsidRDefault="00000000">
            <w:pPr>
              <w:spacing w:before="20" w:after="20"/>
              <w:jc w:val="both"/>
            </w:pPr>
            <w:r>
              <w:rPr>
                <w:sz w:val="18"/>
                <w:szCs w:val="18"/>
              </w:rPr>
              <w:t>Explica las propiedades que aplica.</w:t>
            </w:r>
          </w:p>
        </w:tc>
      </w:tr>
      <w:tr w:rsidR="00990B14" w14:paraId="2EDBCE79" w14:textId="77777777">
        <w:trPr>
          <w:cantSplit/>
          <w:jc w:val="center"/>
        </w:trPr>
        <w:tc>
          <w:tcPr>
            <w:tcW w:w="1900" w:type="dxa"/>
            <w:vMerge/>
            <w:shd w:val="clear" w:color="auto" w:fill="4472C4"/>
            <w:vAlign w:val="center"/>
          </w:tcPr>
          <w:p w14:paraId="03DA5EA7" w14:textId="77777777" w:rsidR="00990B14" w:rsidRDefault="00990B14">
            <w:pPr>
              <w:spacing w:before="20" w:after="20"/>
            </w:pPr>
          </w:p>
        </w:tc>
        <w:tc>
          <w:tcPr>
            <w:tcW w:w="1876" w:type="dxa"/>
            <w:shd w:val="clear" w:color="auto" w:fill="D9E2F3"/>
            <w:vAlign w:val="center"/>
          </w:tcPr>
          <w:p w14:paraId="6B6DDA99" w14:textId="77777777" w:rsidR="00990B14" w:rsidRDefault="00000000">
            <w:pPr>
              <w:spacing w:before="20" w:after="20"/>
              <w:jc w:val="both"/>
            </w:pPr>
            <w:r>
              <w:rPr>
                <w:sz w:val="18"/>
                <w:szCs w:val="18"/>
              </w:rPr>
              <w:t>Cálculo del determinante</w:t>
            </w:r>
          </w:p>
        </w:tc>
        <w:tc>
          <w:tcPr>
            <w:tcW w:w="1876" w:type="dxa"/>
            <w:shd w:val="clear" w:color="auto" w:fill="D9E2F3"/>
            <w:vAlign w:val="center"/>
          </w:tcPr>
          <w:p w14:paraId="706806AE" w14:textId="77777777" w:rsidR="00990B14" w:rsidRDefault="00000000">
            <w:pPr>
              <w:spacing w:before="20" w:after="20"/>
              <w:jc w:val="both"/>
            </w:pPr>
            <w:r>
              <w:rPr>
                <w:sz w:val="18"/>
                <w:szCs w:val="18"/>
              </w:rPr>
              <w:t>Aplica mal la regla elegida.</w:t>
            </w:r>
          </w:p>
        </w:tc>
        <w:tc>
          <w:tcPr>
            <w:tcW w:w="1876" w:type="dxa"/>
            <w:shd w:val="clear" w:color="auto" w:fill="D9E2F3"/>
            <w:vAlign w:val="center"/>
          </w:tcPr>
          <w:p w14:paraId="61D53F04" w14:textId="77777777" w:rsidR="00990B14" w:rsidRDefault="00000000">
            <w:pPr>
              <w:spacing w:before="20" w:after="20"/>
              <w:jc w:val="both"/>
            </w:pPr>
            <w:r>
              <w:rPr>
                <w:sz w:val="18"/>
                <w:szCs w:val="18"/>
              </w:rPr>
              <w:t>Calcula el determinante con el método adecuado.</w:t>
            </w:r>
          </w:p>
        </w:tc>
        <w:tc>
          <w:tcPr>
            <w:tcW w:w="1877" w:type="dxa"/>
            <w:shd w:val="clear" w:color="auto" w:fill="D9E2F3"/>
            <w:vAlign w:val="center"/>
          </w:tcPr>
          <w:p w14:paraId="4CDF5564" w14:textId="77777777" w:rsidR="00990B14" w:rsidRDefault="00000000">
            <w:pPr>
              <w:spacing w:before="20" w:after="20"/>
              <w:jc w:val="both"/>
            </w:pPr>
            <w:r>
              <w:rPr>
                <w:sz w:val="18"/>
                <w:szCs w:val="18"/>
              </w:rPr>
              <w:t>Elige el método más breve según la matriz.</w:t>
            </w:r>
          </w:p>
        </w:tc>
      </w:tr>
      <w:tr w:rsidR="00990B14" w14:paraId="37A74B7B" w14:textId="77777777">
        <w:trPr>
          <w:cantSplit/>
          <w:jc w:val="center"/>
        </w:trPr>
        <w:tc>
          <w:tcPr>
            <w:tcW w:w="1900" w:type="dxa"/>
            <w:vMerge/>
            <w:shd w:val="clear" w:color="auto" w:fill="4472C4"/>
            <w:vAlign w:val="center"/>
          </w:tcPr>
          <w:p w14:paraId="418CB613" w14:textId="77777777" w:rsidR="00990B14" w:rsidRDefault="00990B14">
            <w:pPr>
              <w:spacing w:before="20" w:after="20"/>
            </w:pPr>
          </w:p>
        </w:tc>
        <w:tc>
          <w:tcPr>
            <w:tcW w:w="1876" w:type="dxa"/>
            <w:shd w:val="clear" w:color="auto" w:fill="D9E2F3"/>
            <w:vAlign w:val="center"/>
          </w:tcPr>
          <w:p w14:paraId="4E31C0A2" w14:textId="77777777" w:rsidR="00990B14" w:rsidRDefault="00000000">
            <w:pPr>
              <w:spacing w:before="20" w:after="20"/>
              <w:jc w:val="both"/>
            </w:pPr>
            <w:r>
              <w:rPr>
                <w:sz w:val="18"/>
                <w:szCs w:val="18"/>
              </w:rPr>
              <w:t>Exactitud</w:t>
            </w:r>
          </w:p>
        </w:tc>
        <w:tc>
          <w:tcPr>
            <w:tcW w:w="1876" w:type="dxa"/>
            <w:shd w:val="clear" w:color="auto" w:fill="D9E2F3"/>
            <w:vAlign w:val="center"/>
          </w:tcPr>
          <w:p w14:paraId="65B7D680" w14:textId="77777777" w:rsidR="00990B14" w:rsidRDefault="00000000">
            <w:pPr>
              <w:spacing w:before="20" w:after="20"/>
              <w:jc w:val="both"/>
            </w:pPr>
            <w:r>
              <w:rPr>
                <w:sz w:val="18"/>
                <w:szCs w:val="18"/>
              </w:rPr>
              <w:t>Presenta errores de cálculo.</w:t>
            </w:r>
          </w:p>
        </w:tc>
        <w:tc>
          <w:tcPr>
            <w:tcW w:w="1876" w:type="dxa"/>
            <w:shd w:val="clear" w:color="auto" w:fill="D9E2F3"/>
            <w:vAlign w:val="center"/>
          </w:tcPr>
          <w:p w14:paraId="58ACC98F" w14:textId="77777777" w:rsidR="00990B14" w:rsidRDefault="00000000">
            <w:pPr>
              <w:spacing w:before="20" w:after="20"/>
              <w:jc w:val="both"/>
            </w:pPr>
            <w:r>
              <w:rPr>
                <w:sz w:val="18"/>
                <w:szCs w:val="18"/>
              </w:rPr>
              <w:t>Los resultados son correctos.</w:t>
            </w:r>
          </w:p>
        </w:tc>
        <w:tc>
          <w:tcPr>
            <w:tcW w:w="1877" w:type="dxa"/>
            <w:shd w:val="clear" w:color="auto" w:fill="D9E2F3"/>
            <w:vAlign w:val="center"/>
          </w:tcPr>
          <w:p w14:paraId="77BD63B7" w14:textId="77777777" w:rsidR="00990B14" w:rsidRDefault="00000000">
            <w:pPr>
              <w:spacing w:before="20" w:after="20"/>
              <w:jc w:val="both"/>
            </w:pPr>
            <w:r>
              <w:rPr>
                <w:sz w:val="18"/>
                <w:szCs w:val="18"/>
              </w:rPr>
              <w:t>Comprueba los resultados por un segundo método.</w:t>
            </w:r>
          </w:p>
        </w:tc>
      </w:tr>
      <w:tr w:rsidR="00990B14" w14:paraId="41885D62" w14:textId="77777777">
        <w:trPr>
          <w:cantSplit/>
          <w:jc w:val="center"/>
        </w:trPr>
        <w:tc>
          <w:tcPr>
            <w:tcW w:w="1900" w:type="dxa"/>
            <w:vMerge/>
            <w:shd w:val="clear" w:color="auto" w:fill="4472C4"/>
            <w:vAlign w:val="center"/>
          </w:tcPr>
          <w:p w14:paraId="28078C05" w14:textId="77777777" w:rsidR="00990B14" w:rsidRDefault="00990B14">
            <w:pPr>
              <w:spacing w:before="20" w:after="20"/>
            </w:pPr>
          </w:p>
        </w:tc>
        <w:tc>
          <w:tcPr>
            <w:tcW w:w="5628" w:type="dxa"/>
            <w:gridSpan w:val="3"/>
            <w:shd w:val="clear" w:color="auto" w:fill="D9E2F3"/>
            <w:vAlign w:val="center"/>
          </w:tcPr>
          <w:p w14:paraId="44936998" w14:textId="77777777" w:rsidR="00990B14" w:rsidRDefault="00000000">
            <w:pPr>
              <w:keepNext/>
              <w:spacing w:before="20" w:after="20"/>
              <w:jc w:val="both"/>
            </w:pPr>
            <w:r>
              <w:rPr>
                <w:b/>
                <w:bCs/>
                <w:i/>
                <w:iCs/>
                <w:sz w:val="18"/>
                <w:szCs w:val="18"/>
              </w:rPr>
              <w:t xml:space="preserve">Producto 2: </w:t>
            </w:r>
            <w:r>
              <w:rPr>
                <w:sz w:val="18"/>
                <w:szCs w:val="18"/>
              </w:rPr>
              <w:t>Cálculo de la matriz inversa</w:t>
            </w:r>
          </w:p>
        </w:tc>
        <w:tc>
          <w:tcPr>
            <w:tcW w:w="1877" w:type="dxa"/>
            <w:shd w:val="clear" w:color="auto" w:fill="D9E2F3"/>
            <w:vAlign w:val="center"/>
          </w:tcPr>
          <w:p w14:paraId="6646B486" w14:textId="77777777" w:rsidR="00990B14" w:rsidRDefault="00000000">
            <w:pPr>
              <w:spacing w:before="20" w:after="20"/>
              <w:jc w:val="center"/>
            </w:pPr>
            <w:r>
              <w:rPr>
                <w:b/>
                <w:bCs/>
                <w:sz w:val="18"/>
                <w:szCs w:val="18"/>
              </w:rPr>
              <w:t>4%</w:t>
            </w:r>
          </w:p>
        </w:tc>
      </w:tr>
      <w:tr w:rsidR="00990B14" w14:paraId="6708FDA1" w14:textId="77777777">
        <w:trPr>
          <w:cantSplit/>
          <w:jc w:val="center"/>
        </w:trPr>
        <w:tc>
          <w:tcPr>
            <w:tcW w:w="1900" w:type="dxa"/>
            <w:vMerge/>
            <w:shd w:val="clear" w:color="auto" w:fill="4472C4"/>
            <w:vAlign w:val="center"/>
          </w:tcPr>
          <w:p w14:paraId="2773573D" w14:textId="77777777" w:rsidR="00990B14" w:rsidRDefault="00990B14">
            <w:pPr>
              <w:spacing w:before="20" w:after="20"/>
            </w:pPr>
          </w:p>
        </w:tc>
        <w:tc>
          <w:tcPr>
            <w:tcW w:w="1876" w:type="dxa"/>
            <w:shd w:val="clear" w:color="auto" w:fill="4472C4"/>
            <w:vAlign w:val="center"/>
          </w:tcPr>
          <w:p w14:paraId="0EE68273"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3C272D99"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460D2CC9"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027BEB92" w14:textId="77777777" w:rsidR="00990B14" w:rsidRDefault="00000000">
            <w:pPr>
              <w:keepNext/>
              <w:spacing w:before="20" w:after="20"/>
              <w:jc w:val="center"/>
            </w:pPr>
            <w:r>
              <w:rPr>
                <w:b/>
                <w:bCs/>
                <w:i/>
                <w:iCs/>
                <w:color w:val="FFFFFF"/>
                <w:sz w:val="18"/>
                <w:szCs w:val="18"/>
              </w:rPr>
              <w:t>Destacado (81–100)</w:t>
            </w:r>
          </w:p>
        </w:tc>
      </w:tr>
      <w:tr w:rsidR="00990B14" w14:paraId="0FF88B25" w14:textId="77777777">
        <w:trPr>
          <w:cantSplit/>
          <w:jc w:val="center"/>
        </w:trPr>
        <w:tc>
          <w:tcPr>
            <w:tcW w:w="1900" w:type="dxa"/>
            <w:vMerge/>
            <w:shd w:val="clear" w:color="auto" w:fill="4472C4"/>
            <w:vAlign w:val="center"/>
          </w:tcPr>
          <w:p w14:paraId="5EF6EF2B" w14:textId="77777777" w:rsidR="00990B14" w:rsidRDefault="00990B14">
            <w:pPr>
              <w:spacing w:before="20" w:after="20"/>
            </w:pPr>
          </w:p>
        </w:tc>
        <w:tc>
          <w:tcPr>
            <w:tcW w:w="1876" w:type="dxa"/>
            <w:shd w:val="clear" w:color="auto" w:fill="D9E2F3"/>
            <w:vAlign w:val="center"/>
          </w:tcPr>
          <w:p w14:paraId="424221C2" w14:textId="77777777" w:rsidR="00990B14" w:rsidRDefault="00000000">
            <w:pPr>
              <w:spacing w:before="20" w:after="20"/>
              <w:jc w:val="both"/>
            </w:pPr>
            <w:r>
              <w:rPr>
                <w:sz w:val="18"/>
                <w:szCs w:val="18"/>
              </w:rPr>
              <w:t>Existencia de la inversa</w:t>
            </w:r>
          </w:p>
        </w:tc>
        <w:tc>
          <w:tcPr>
            <w:tcW w:w="1876" w:type="dxa"/>
            <w:shd w:val="clear" w:color="auto" w:fill="D9E2F3"/>
            <w:vAlign w:val="center"/>
          </w:tcPr>
          <w:p w14:paraId="7E15E0D8" w14:textId="77777777" w:rsidR="00990B14" w:rsidRDefault="00000000">
            <w:pPr>
              <w:spacing w:before="20" w:after="20"/>
              <w:jc w:val="both"/>
            </w:pPr>
            <w:r>
              <w:rPr>
                <w:sz w:val="18"/>
                <w:szCs w:val="18"/>
              </w:rPr>
              <w:t>No verifica que el determinante sea distinto de cero.</w:t>
            </w:r>
          </w:p>
        </w:tc>
        <w:tc>
          <w:tcPr>
            <w:tcW w:w="1876" w:type="dxa"/>
            <w:shd w:val="clear" w:color="auto" w:fill="D9E2F3"/>
            <w:vAlign w:val="center"/>
          </w:tcPr>
          <w:p w14:paraId="285FC8B7" w14:textId="77777777" w:rsidR="00990B14" w:rsidRDefault="00000000">
            <w:pPr>
              <w:spacing w:before="20" w:after="20"/>
              <w:jc w:val="both"/>
            </w:pPr>
            <w:r>
              <w:rPr>
                <w:sz w:val="18"/>
                <w:szCs w:val="18"/>
              </w:rPr>
              <w:t>Comprueba la existencia de la inversa.</w:t>
            </w:r>
          </w:p>
        </w:tc>
        <w:tc>
          <w:tcPr>
            <w:tcW w:w="1877" w:type="dxa"/>
            <w:shd w:val="clear" w:color="auto" w:fill="D9E2F3"/>
            <w:vAlign w:val="center"/>
          </w:tcPr>
          <w:p w14:paraId="7DA3CCE6" w14:textId="77777777" w:rsidR="00990B14" w:rsidRDefault="00000000">
            <w:pPr>
              <w:spacing w:before="20" w:after="20"/>
              <w:jc w:val="both"/>
            </w:pPr>
            <w:r>
              <w:rPr>
                <w:sz w:val="18"/>
                <w:szCs w:val="18"/>
              </w:rPr>
              <w:t>Relaciona la existencia con el rango de la matriz.</w:t>
            </w:r>
          </w:p>
        </w:tc>
      </w:tr>
      <w:tr w:rsidR="00990B14" w14:paraId="449EC46E" w14:textId="77777777">
        <w:trPr>
          <w:cantSplit/>
          <w:jc w:val="center"/>
        </w:trPr>
        <w:tc>
          <w:tcPr>
            <w:tcW w:w="1900" w:type="dxa"/>
            <w:vMerge/>
            <w:shd w:val="clear" w:color="auto" w:fill="4472C4"/>
            <w:vAlign w:val="center"/>
          </w:tcPr>
          <w:p w14:paraId="4CFEBA05" w14:textId="77777777" w:rsidR="00990B14" w:rsidRDefault="00990B14">
            <w:pPr>
              <w:spacing w:before="20" w:after="20"/>
            </w:pPr>
          </w:p>
        </w:tc>
        <w:tc>
          <w:tcPr>
            <w:tcW w:w="1876" w:type="dxa"/>
            <w:shd w:val="clear" w:color="auto" w:fill="D9E2F3"/>
            <w:vAlign w:val="center"/>
          </w:tcPr>
          <w:p w14:paraId="633338C4" w14:textId="77777777" w:rsidR="00990B14" w:rsidRDefault="00000000">
            <w:pPr>
              <w:spacing w:before="20" w:after="20"/>
              <w:jc w:val="both"/>
            </w:pPr>
            <w:r>
              <w:rPr>
                <w:sz w:val="18"/>
                <w:szCs w:val="18"/>
              </w:rPr>
              <w:t>Procedimiento</w:t>
            </w:r>
          </w:p>
        </w:tc>
        <w:tc>
          <w:tcPr>
            <w:tcW w:w="1876" w:type="dxa"/>
            <w:shd w:val="clear" w:color="auto" w:fill="D9E2F3"/>
            <w:vAlign w:val="center"/>
          </w:tcPr>
          <w:p w14:paraId="3F15A712" w14:textId="77777777" w:rsidR="00990B14" w:rsidRDefault="00000000">
            <w:pPr>
              <w:spacing w:before="20" w:after="20"/>
              <w:jc w:val="both"/>
            </w:pPr>
            <w:r>
              <w:rPr>
                <w:sz w:val="18"/>
                <w:szCs w:val="18"/>
              </w:rPr>
              <w:t>Comete errores en el escalonamiento o en la adjunta.</w:t>
            </w:r>
          </w:p>
        </w:tc>
        <w:tc>
          <w:tcPr>
            <w:tcW w:w="1876" w:type="dxa"/>
            <w:shd w:val="clear" w:color="auto" w:fill="D9E2F3"/>
            <w:vAlign w:val="center"/>
          </w:tcPr>
          <w:p w14:paraId="3CB73EA6" w14:textId="77777777" w:rsidR="00990B14" w:rsidRDefault="00000000">
            <w:pPr>
              <w:spacing w:before="20" w:after="20"/>
              <w:jc w:val="both"/>
            </w:pPr>
            <w:r>
              <w:rPr>
                <w:sz w:val="18"/>
                <w:szCs w:val="18"/>
              </w:rPr>
              <w:t>Obtiene la inversa por ambos métodos.</w:t>
            </w:r>
          </w:p>
        </w:tc>
        <w:tc>
          <w:tcPr>
            <w:tcW w:w="1877" w:type="dxa"/>
            <w:shd w:val="clear" w:color="auto" w:fill="D9E2F3"/>
            <w:vAlign w:val="center"/>
          </w:tcPr>
          <w:p w14:paraId="5CEB295D" w14:textId="77777777" w:rsidR="00990B14" w:rsidRDefault="00000000">
            <w:pPr>
              <w:spacing w:before="20" w:after="20"/>
              <w:jc w:val="both"/>
            </w:pPr>
            <w:r>
              <w:rPr>
                <w:sz w:val="18"/>
                <w:szCs w:val="18"/>
              </w:rPr>
              <w:t>Compara la eficiencia de los dos métodos.</w:t>
            </w:r>
          </w:p>
        </w:tc>
      </w:tr>
      <w:tr w:rsidR="00990B14" w14:paraId="6EEA82D1" w14:textId="77777777">
        <w:trPr>
          <w:cantSplit/>
          <w:jc w:val="center"/>
        </w:trPr>
        <w:tc>
          <w:tcPr>
            <w:tcW w:w="1900" w:type="dxa"/>
            <w:vMerge/>
            <w:shd w:val="clear" w:color="auto" w:fill="4472C4"/>
            <w:vAlign w:val="center"/>
          </w:tcPr>
          <w:p w14:paraId="19E27C2A" w14:textId="77777777" w:rsidR="00990B14" w:rsidRDefault="00990B14">
            <w:pPr>
              <w:spacing w:before="20" w:after="20"/>
            </w:pPr>
          </w:p>
        </w:tc>
        <w:tc>
          <w:tcPr>
            <w:tcW w:w="1876" w:type="dxa"/>
            <w:shd w:val="clear" w:color="auto" w:fill="D9E2F3"/>
            <w:vAlign w:val="center"/>
          </w:tcPr>
          <w:p w14:paraId="20C226AF" w14:textId="77777777" w:rsidR="00990B14" w:rsidRDefault="00000000">
            <w:pPr>
              <w:spacing w:before="20" w:after="20"/>
              <w:jc w:val="both"/>
            </w:pPr>
            <w:r>
              <w:rPr>
                <w:sz w:val="18"/>
                <w:szCs w:val="18"/>
              </w:rPr>
              <w:t>Verificación digital</w:t>
            </w:r>
          </w:p>
        </w:tc>
        <w:tc>
          <w:tcPr>
            <w:tcW w:w="1876" w:type="dxa"/>
            <w:shd w:val="clear" w:color="auto" w:fill="D9E2F3"/>
            <w:vAlign w:val="center"/>
          </w:tcPr>
          <w:p w14:paraId="5352CFBB" w14:textId="77777777" w:rsidR="00990B14" w:rsidRDefault="00000000">
            <w:pPr>
              <w:spacing w:before="20" w:after="20"/>
              <w:jc w:val="both"/>
            </w:pPr>
            <w:r>
              <w:rPr>
                <w:sz w:val="18"/>
                <w:szCs w:val="18"/>
              </w:rPr>
              <w:t>No verifica el resultado.</w:t>
            </w:r>
          </w:p>
        </w:tc>
        <w:tc>
          <w:tcPr>
            <w:tcW w:w="1876" w:type="dxa"/>
            <w:shd w:val="clear" w:color="auto" w:fill="D9E2F3"/>
            <w:vAlign w:val="center"/>
          </w:tcPr>
          <w:p w14:paraId="2AF80FB4" w14:textId="77777777" w:rsidR="00990B14" w:rsidRDefault="00000000">
            <w:pPr>
              <w:spacing w:before="20" w:after="20"/>
              <w:jc w:val="both"/>
            </w:pPr>
            <w:r>
              <w:rPr>
                <w:sz w:val="18"/>
                <w:szCs w:val="18"/>
              </w:rPr>
              <w:t>Verifica la inversa con las funciones matriciales.</w:t>
            </w:r>
          </w:p>
        </w:tc>
        <w:tc>
          <w:tcPr>
            <w:tcW w:w="1877" w:type="dxa"/>
            <w:shd w:val="clear" w:color="auto" w:fill="D9E2F3"/>
            <w:vAlign w:val="center"/>
          </w:tcPr>
          <w:p w14:paraId="097F2CE8" w14:textId="77777777" w:rsidR="00990B14" w:rsidRDefault="00000000">
            <w:pPr>
              <w:spacing w:before="20" w:after="20"/>
              <w:jc w:val="both"/>
            </w:pPr>
            <w:r>
              <w:rPr>
                <w:sz w:val="18"/>
                <w:szCs w:val="18"/>
              </w:rPr>
              <w:t>Comprueba que el producto da la matriz identidad.</w:t>
            </w:r>
          </w:p>
        </w:tc>
      </w:tr>
      <w:tr w:rsidR="00990B14" w14:paraId="2E1F6124" w14:textId="77777777">
        <w:trPr>
          <w:cantSplit/>
          <w:jc w:val="center"/>
        </w:trPr>
        <w:tc>
          <w:tcPr>
            <w:tcW w:w="1900" w:type="dxa"/>
            <w:vMerge/>
            <w:shd w:val="clear" w:color="auto" w:fill="4472C4"/>
            <w:vAlign w:val="center"/>
          </w:tcPr>
          <w:p w14:paraId="35A97128" w14:textId="77777777" w:rsidR="00990B14" w:rsidRDefault="00990B14">
            <w:pPr>
              <w:spacing w:before="20" w:after="20"/>
            </w:pPr>
          </w:p>
        </w:tc>
        <w:tc>
          <w:tcPr>
            <w:tcW w:w="5628" w:type="dxa"/>
            <w:gridSpan w:val="3"/>
            <w:shd w:val="clear" w:color="auto" w:fill="D9E2F3"/>
            <w:vAlign w:val="center"/>
          </w:tcPr>
          <w:p w14:paraId="4066CE4B" w14:textId="77777777" w:rsidR="00990B14" w:rsidRDefault="00000000">
            <w:pPr>
              <w:keepNext/>
              <w:spacing w:before="20" w:after="20"/>
              <w:jc w:val="both"/>
            </w:pPr>
            <w:r>
              <w:rPr>
                <w:b/>
                <w:bCs/>
                <w:i/>
                <w:iCs/>
                <w:sz w:val="18"/>
                <w:szCs w:val="18"/>
              </w:rPr>
              <w:t xml:space="preserve">Producto 3: </w:t>
            </w:r>
            <w:r>
              <w:rPr>
                <w:sz w:val="18"/>
                <w:szCs w:val="18"/>
              </w:rPr>
              <w:t>Modelo con sistemas de ecuaciones lineales</w:t>
            </w:r>
          </w:p>
        </w:tc>
        <w:tc>
          <w:tcPr>
            <w:tcW w:w="1877" w:type="dxa"/>
            <w:shd w:val="clear" w:color="auto" w:fill="D9E2F3"/>
            <w:vAlign w:val="center"/>
          </w:tcPr>
          <w:p w14:paraId="4304E704" w14:textId="77777777" w:rsidR="00990B14" w:rsidRDefault="00000000">
            <w:pPr>
              <w:spacing w:before="20" w:after="20"/>
              <w:jc w:val="center"/>
            </w:pPr>
            <w:r>
              <w:rPr>
                <w:b/>
                <w:bCs/>
                <w:sz w:val="18"/>
                <w:szCs w:val="18"/>
              </w:rPr>
              <w:t>4%</w:t>
            </w:r>
          </w:p>
        </w:tc>
      </w:tr>
      <w:tr w:rsidR="00990B14" w14:paraId="2F8E9350" w14:textId="77777777">
        <w:trPr>
          <w:cantSplit/>
          <w:jc w:val="center"/>
        </w:trPr>
        <w:tc>
          <w:tcPr>
            <w:tcW w:w="1900" w:type="dxa"/>
            <w:vMerge/>
            <w:shd w:val="clear" w:color="auto" w:fill="4472C4"/>
            <w:vAlign w:val="center"/>
          </w:tcPr>
          <w:p w14:paraId="04DE7002" w14:textId="77777777" w:rsidR="00990B14" w:rsidRDefault="00990B14">
            <w:pPr>
              <w:spacing w:before="20" w:after="20"/>
            </w:pPr>
          </w:p>
        </w:tc>
        <w:tc>
          <w:tcPr>
            <w:tcW w:w="1876" w:type="dxa"/>
            <w:shd w:val="clear" w:color="auto" w:fill="4472C4"/>
            <w:vAlign w:val="center"/>
          </w:tcPr>
          <w:p w14:paraId="647BAC9B"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779992C4"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59A06EF3"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7ACD42F4" w14:textId="77777777" w:rsidR="00990B14" w:rsidRDefault="00000000">
            <w:pPr>
              <w:keepNext/>
              <w:spacing w:before="20" w:after="20"/>
              <w:jc w:val="center"/>
            </w:pPr>
            <w:r>
              <w:rPr>
                <w:b/>
                <w:bCs/>
                <w:i/>
                <w:iCs/>
                <w:color w:val="FFFFFF"/>
                <w:sz w:val="18"/>
                <w:szCs w:val="18"/>
              </w:rPr>
              <w:t>Destacado (81–100)</w:t>
            </w:r>
          </w:p>
        </w:tc>
      </w:tr>
      <w:tr w:rsidR="00990B14" w14:paraId="37EEE8CB" w14:textId="77777777">
        <w:trPr>
          <w:cantSplit/>
          <w:jc w:val="center"/>
        </w:trPr>
        <w:tc>
          <w:tcPr>
            <w:tcW w:w="1900" w:type="dxa"/>
            <w:vMerge/>
            <w:shd w:val="clear" w:color="auto" w:fill="4472C4"/>
            <w:vAlign w:val="center"/>
          </w:tcPr>
          <w:p w14:paraId="0BB62388" w14:textId="77777777" w:rsidR="00990B14" w:rsidRDefault="00990B14">
            <w:pPr>
              <w:spacing w:before="20" w:after="20"/>
            </w:pPr>
          </w:p>
        </w:tc>
        <w:tc>
          <w:tcPr>
            <w:tcW w:w="1876" w:type="dxa"/>
            <w:shd w:val="clear" w:color="auto" w:fill="D9E2F3"/>
            <w:vAlign w:val="center"/>
          </w:tcPr>
          <w:p w14:paraId="657DC61C" w14:textId="77777777" w:rsidR="00990B14" w:rsidRDefault="00000000">
            <w:pPr>
              <w:spacing w:before="20" w:after="20"/>
              <w:jc w:val="both"/>
            </w:pPr>
            <w:r>
              <w:rPr>
                <w:sz w:val="18"/>
                <w:szCs w:val="18"/>
              </w:rPr>
              <w:t>Planteamiento</w:t>
            </w:r>
          </w:p>
        </w:tc>
        <w:tc>
          <w:tcPr>
            <w:tcW w:w="1876" w:type="dxa"/>
            <w:shd w:val="clear" w:color="auto" w:fill="D9E2F3"/>
            <w:vAlign w:val="center"/>
          </w:tcPr>
          <w:p w14:paraId="252618BC" w14:textId="77777777" w:rsidR="00990B14" w:rsidRDefault="00000000">
            <w:pPr>
              <w:spacing w:before="20" w:after="20"/>
              <w:jc w:val="both"/>
            </w:pPr>
            <w:r>
              <w:rPr>
                <w:sz w:val="18"/>
                <w:szCs w:val="18"/>
              </w:rPr>
              <w:t>Las ecuaciones no representan el problema.</w:t>
            </w:r>
          </w:p>
        </w:tc>
        <w:tc>
          <w:tcPr>
            <w:tcW w:w="1876" w:type="dxa"/>
            <w:shd w:val="clear" w:color="auto" w:fill="D9E2F3"/>
            <w:vAlign w:val="center"/>
          </w:tcPr>
          <w:p w14:paraId="418FA1BD" w14:textId="77777777" w:rsidR="00990B14" w:rsidRDefault="00000000">
            <w:pPr>
              <w:spacing w:before="20" w:after="20"/>
              <w:jc w:val="both"/>
            </w:pPr>
            <w:r>
              <w:rPr>
                <w:sz w:val="18"/>
                <w:szCs w:val="18"/>
              </w:rPr>
              <w:t>Plantea el sistema a partir del enunciado.</w:t>
            </w:r>
          </w:p>
        </w:tc>
        <w:tc>
          <w:tcPr>
            <w:tcW w:w="1877" w:type="dxa"/>
            <w:shd w:val="clear" w:color="auto" w:fill="D9E2F3"/>
            <w:vAlign w:val="center"/>
          </w:tcPr>
          <w:p w14:paraId="3E3CA767" w14:textId="77777777" w:rsidR="00990B14" w:rsidRDefault="00000000">
            <w:pPr>
              <w:spacing w:before="20" w:after="20"/>
              <w:jc w:val="both"/>
            </w:pPr>
            <w:r>
              <w:rPr>
                <w:sz w:val="18"/>
                <w:szCs w:val="18"/>
              </w:rPr>
              <w:t>Define con precisión cada variable.</w:t>
            </w:r>
          </w:p>
        </w:tc>
      </w:tr>
      <w:tr w:rsidR="00990B14" w14:paraId="3781AB0F" w14:textId="77777777">
        <w:trPr>
          <w:cantSplit/>
          <w:jc w:val="center"/>
        </w:trPr>
        <w:tc>
          <w:tcPr>
            <w:tcW w:w="1900" w:type="dxa"/>
            <w:vMerge/>
            <w:shd w:val="clear" w:color="auto" w:fill="4472C4"/>
            <w:vAlign w:val="center"/>
          </w:tcPr>
          <w:p w14:paraId="63658D6F" w14:textId="77777777" w:rsidR="00990B14" w:rsidRDefault="00990B14">
            <w:pPr>
              <w:spacing w:before="20" w:after="20"/>
            </w:pPr>
          </w:p>
        </w:tc>
        <w:tc>
          <w:tcPr>
            <w:tcW w:w="1876" w:type="dxa"/>
            <w:shd w:val="clear" w:color="auto" w:fill="D9E2F3"/>
            <w:vAlign w:val="center"/>
          </w:tcPr>
          <w:p w14:paraId="49EFC56C" w14:textId="77777777" w:rsidR="00990B14" w:rsidRDefault="00000000">
            <w:pPr>
              <w:spacing w:before="20" w:after="20"/>
              <w:jc w:val="both"/>
            </w:pPr>
            <w:r>
              <w:rPr>
                <w:sz w:val="18"/>
                <w:szCs w:val="18"/>
              </w:rPr>
              <w:t>Resolución</w:t>
            </w:r>
          </w:p>
        </w:tc>
        <w:tc>
          <w:tcPr>
            <w:tcW w:w="1876" w:type="dxa"/>
            <w:shd w:val="clear" w:color="auto" w:fill="D9E2F3"/>
            <w:vAlign w:val="center"/>
          </w:tcPr>
          <w:p w14:paraId="0E75A1DF" w14:textId="77777777" w:rsidR="00990B14" w:rsidRDefault="00000000">
            <w:pPr>
              <w:spacing w:before="20" w:after="20"/>
              <w:jc w:val="both"/>
            </w:pPr>
            <w:r>
              <w:rPr>
                <w:sz w:val="18"/>
                <w:szCs w:val="18"/>
              </w:rPr>
              <w:t>Comete errores en las operaciones elementales.</w:t>
            </w:r>
          </w:p>
        </w:tc>
        <w:tc>
          <w:tcPr>
            <w:tcW w:w="1876" w:type="dxa"/>
            <w:shd w:val="clear" w:color="auto" w:fill="D9E2F3"/>
            <w:vAlign w:val="center"/>
          </w:tcPr>
          <w:p w14:paraId="51CF8F20" w14:textId="77777777" w:rsidR="00990B14" w:rsidRDefault="00000000">
            <w:pPr>
              <w:spacing w:before="20" w:after="20"/>
              <w:jc w:val="both"/>
            </w:pPr>
            <w:r>
              <w:rPr>
                <w:sz w:val="18"/>
                <w:szCs w:val="18"/>
              </w:rPr>
              <w:t>Resuelve el sistema por eliminación gaussiana.</w:t>
            </w:r>
          </w:p>
        </w:tc>
        <w:tc>
          <w:tcPr>
            <w:tcW w:w="1877" w:type="dxa"/>
            <w:shd w:val="clear" w:color="auto" w:fill="D9E2F3"/>
            <w:vAlign w:val="center"/>
          </w:tcPr>
          <w:p w14:paraId="22B2916C" w14:textId="77777777" w:rsidR="00990B14" w:rsidRDefault="00000000">
            <w:pPr>
              <w:spacing w:before="20" w:after="20"/>
              <w:jc w:val="both"/>
            </w:pPr>
            <w:r>
              <w:rPr>
                <w:sz w:val="18"/>
                <w:szCs w:val="18"/>
              </w:rPr>
              <w:t>Clasifica el sistema según su número de soluciones.</w:t>
            </w:r>
          </w:p>
        </w:tc>
      </w:tr>
      <w:tr w:rsidR="00990B14" w14:paraId="0A61E966" w14:textId="77777777">
        <w:trPr>
          <w:cantSplit/>
          <w:jc w:val="center"/>
        </w:trPr>
        <w:tc>
          <w:tcPr>
            <w:tcW w:w="1900" w:type="dxa"/>
            <w:vMerge/>
            <w:shd w:val="clear" w:color="auto" w:fill="4472C4"/>
            <w:vAlign w:val="center"/>
          </w:tcPr>
          <w:p w14:paraId="048C3B97" w14:textId="77777777" w:rsidR="00990B14" w:rsidRDefault="00990B14">
            <w:pPr>
              <w:spacing w:before="20" w:after="20"/>
            </w:pPr>
          </w:p>
        </w:tc>
        <w:tc>
          <w:tcPr>
            <w:tcW w:w="1876" w:type="dxa"/>
            <w:shd w:val="clear" w:color="auto" w:fill="D9E2F3"/>
            <w:vAlign w:val="center"/>
          </w:tcPr>
          <w:p w14:paraId="12D6BADE" w14:textId="77777777" w:rsidR="00990B14" w:rsidRDefault="00000000">
            <w:pPr>
              <w:spacing w:before="20" w:after="20"/>
              <w:jc w:val="both"/>
            </w:pPr>
            <w:r>
              <w:rPr>
                <w:sz w:val="18"/>
                <w:szCs w:val="18"/>
              </w:rPr>
              <w:t>Interpretación</w:t>
            </w:r>
          </w:p>
        </w:tc>
        <w:tc>
          <w:tcPr>
            <w:tcW w:w="1876" w:type="dxa"/>
            <w:shd w:val="clear" w:color="auto" w:fill="D9E2F3"/>
            <w:vAlign w:val="center"/>
          </w:tcPr>
          <w:p w14:paraId="52CB942A" w14:textId="77777777" w:rsidR="00990B14" w:rsidRDefault="00000000">
            <w:pPr>
              <w:spacing w:before="20" w:after="20"/>
              <w:jc w:val="both"/>
            </w:pPr>
            <w:r>
              <w:rPr>
                <w:sz w:val="18"/>
                <w:szCs w:val="18"/>
              </w:rPr>
              <w:t>No interpreta la solución.</w:t>
            </w:r>
          </w:p>
        </w:tc>
        <w:tc>
          <w:tcPr>
            <w:tcW w:w="1876" w:type="dxa"/>
            <w:shd w:val="clear" w:color="auto" w:fill="D9E2F3"/>
            <w:vAlign w:val="center"/>
          </w:tcPr>
          <w:p w14:paraId="66FFEDF7" w14:textId="77777777" w:rsidR="00990B14" w:rsidRDefault="00000000">
            <w:pPr>
              <w:spacing w:before="20" w:after="20"/>
              <w:jc w:val="both"/>
            </w:pPr>
            <w:r>
              <w:rPr>
                <w:sz w:val="18"/>
                <w:szCs w:val="18"/>
              </w:rPr>
              <w:t>Interpreta la solución en el contexto del problema.</w:t>
            </w:r>
          </w:p>
        </w:tc>
        <w:tc>
          <w:tcPr>
            <w:tcW w:w="1877" w:type="dxa"/>
            <w:shd w:val="clear" w:color="auto" w:fill="D9E2F3"/>
            <w:vAlign w:val="center"/>
          </w:tcPr>
          <w:p w14:paraId="03590D5A" w14:textId="77777777" w:rsidR="00990B14" w:rsidRDefault="00000000">
            <w:pPr>
              <w:spacing w:before="20" w:after="20"/>
              <w:jc w:val="both"/>
            </w:pPr>
            <w:r>
              <w:rPr>
                <w:sz w:val="18"/>
                <w:szCs w:val="18"/>
              </w:rPr>
              <w:t>Analiza si la solución es factible en la práctica.</w:t>
            </w:r>
          </w:p>
        </w:tc>
      </w:tr>
      <w:tr w:rsidR="00990B14" w14:paraId="6E76E5B9" w14:textId="77777777">
        <w:trPr>
          <w:cantSplit/>
          <w:jc w:val="center"/>
        </w:trPr>
        <w:tc>
          <w:tcPr>
            <w:tcW w:w="1900" w:type="dxa"/>
            <w:vMerge/>
            <w:shd w:val="clear" w:color="auto" w:fill="4472C4"/>
            <w:vAlign w:val="center"/>
          </w:tcPr>
          <w:p w14:paraId="6943AE44" w14:textId="77777777" w:rsidR="00990B14" w:rsidRDefault="00990B14">
            <w:pPr>
              <w:spacing w:before="20" w:after="20"/>
            </w:pPr>
          </w:p>
        </w:tc>
        <w:tc>
          <w:tcPr>
            <w:tcW w:w="5628" w:type="dxa"/>
            <w:gridSpan w:val="3"/>
            <w:shd w:val="clear" w:color="auto" w:fill="D9E2F3"/>
            <w:vAlign w:val="center"/>
          </w:tcPr>
          <w:p w14:paraId="64815A17" w14:textId="77777777" w:rsidR="00990B14" w:rsidRDefault="00000000">
            <w:pPr>
              <w:keepNext/>
              <w:spacing w:before="20" w:after="20"/>
              <w:jc w:val="both"/>
            </w:pPr>
            <w:r>
              <w:rPr>
                <w:b/>
                <w:bCs/>
                <w:i/>
                <w:iCs/>
                <w:sz w:val="18"/>
                <w:szCs w:val="18"/>
              </w:rPr>
              <w:t xml:space="preserve">Producto 4: </w:t>
            </w:r>
            <w:r>
              <w:rPr>
                <w:sz w:val="18"/>
                <w:szCs w:val="18"/>
              </w:rPr>
              <w:t>Modelo de insumo producto</w:t>
            </w:r>
          </w:p>
        </w:tc>
        <w:tc>
          <w:tcPr>
            <w:tcW w:w="1877" w:type="dxa"/>
            <w:shd w:val="clear" w:color="auto" w:fill="D9E2F3"/>
            <w:vAlign w:val="center"/>
          </w:tcPr>
          <w:p w14:paraId="516A1A11" w14:textId="77777777" w:rsidR="00990B14" w:rsidRDefault="00000000">
            <w:pPr>
              <w:spacing w:before="20" w:after="20"/>
              <w:jc w:val="center"/>
            </w:pPr>
            <w:r>
              <w:rPr>
                <w:b/>
                <w:bCs/>
                <w:sz w:val="18"/>
                <w:szCs w:val="18"/>
              </w:rPr>
              <w:t>3%</w:t>
            </w:r>
          </w:p>
        </w:tc>
      </w:tr>
      <w:tr w:rsidR="00990B14" w14:paraId="717E7424" w14:textId="77777777">
        <w:trPr>
          <w:cantSplit/>
          <w:jc w:val="center"/>
        </w:trPr>
        <w:tc>
          <w:tcPr>
            <w:tcW w:w="1900" w:type="dxa"/>
            <w:vMerge/>
            <w:shd w:val="clear" w:color="auto" w:fill="4472C4"/>
            <w:vAlign w:val="center"/>
          </w:tcPr>
          <w:p w14:paraId="6257EB75" w14:textId="77777777" w:rsidR="00990B14" w:rsidRDefault="00990B14">
            <w:pPr>
              <w:spacing w:before="20" w:after="20"/>
            </w:pPr>
          </w:p>
        </w:tc>
        <w:tc>
          <w:tcPr>
            <w:tcW w:w="1876" w:type="dxa"/>
            <w:shd w:val="clear" w:color="auto" w:fill="4472C4"/>
            <w:vAlign w:val="center"/>
          </w:tcPr>
          <w:p w14:paraId="61F0CE14"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6E1EC8A7"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2E04A462"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032304DE" w14:textId="77777777" w:rsidR="00990B14" w:rsidRDefault="00000000">
            <w:pPr>
              <w:keepNext/>
              <w:spacing w:before="20" w:after="20"/>
              <w:jc w:val="center"/>
            </w:pPr>
            <w:r>
              <w:rPr>
                <w:b/>
                <w:bCs/>
                <w:i/>
                <w:iCs/>
                <w:color w:val="FFFFFF"/>
                <w:sz w:val="18"/>
                <w:szCs w:val="18"/>
              </w:rPr>
              <w:t>Destacado (81–100)</w:t>
            </w:r>
          </w:p>
        </w:tc>
      </w:tr>
      <w:tr w:rsidR="00990B14" w14:paraId="0A342E2F" w14:textId="77777777">
        <w:trPr>
          <w:cantSplit/>
          <w:jc w:val="center"/>
        </w:trPr>
        <w:tc>
          <w:tcPr>
            <w:tcW w:w="1900" w:type="dxa"/>
            <w:vMerge/>
            <w:shd w:val="clear" w:color="auto" w:fill="4472C4"/>
            <w:vAlign w:val="center"/>
          </w:tcPr>
          <w:p w14:paraId="1B3A6B77" w14:textId="77777777" w:rsidR="00990B14" w:rsidRDefault="00990B14">
            <w:pPr>
              <w:spacing w:before="20" w:after="20"/>
            </w:pPr>
          </w:p>
        </w:tc>
        <w:tc>
          <w:tcPr>
            <w:tcW w:w="1876" w:type="dxa"/>
            <w:shd w:val="clear" w:color="auto" w:fill="D9E2F3"/>
            <w:vAlign w:val="center"/>
          </w:tcPr>
          <w:p w14:paraId="2B396B4E" w14:textId="77777777" w:rsidR="00990B14" w:rsidRDefault="00000000">
            <w:pPr>
              <w:spacing w:before="20" w:after="20"/>
              <w:jc w:val="both"/>
            </w:pPr>
            <w:r>
              <w:rPr>
                <w:sz w:val="18"/>
                <w:szCs w:val="18"/>
              </w:rPr>
              <w:t>Matriz de coeficientes</w:t>
            </w:r>
          </w:p>
        </w:tc>
        <w:tc>
          <w:tcPr>
            <w:tcW w:w="1876" w:type="dxa"/>
            <w:shd w:val="clear" w:color="auto" w:fill="D9E2F3"/>
            <w:vAlign w:val="center"/>
          </w:tcPr>
          <w:p w14:paraId="54D65638" w14:textId="77777777" w:rsidR="00990B14" w:rsidRDefault="00000000">
            <w:pPr>
              <w:spacing w:before="20" w:after="20"/>
              <w:jc w:val="both"/>
            </w:pPr>
            <w:r>
              <w:rPr>
                <w:sz w:val="18"/>
                <w:szCs w:val="18"/>
              </w:rPr>
              <w:t>Calcula mal los coeficientes técnicos.</w:t>
            </w:r>
          </w:p>
        </w:tc>
        <w:tc>
          <w:tcPr>
            <w:tcW w:w="1876" w:type="dxa"/>
            <w:shd w:val="clear" w:color="auto" w:fill="D9E2F3"/>
            <w:vAlign w:val="center"/>
          </w:tcPr>
          <w:p w14:paraId="3DB675BD" w14:textId="77777777" w:rsidR="00990B14" w:rsidRDefault="00000000">
            <w:pPr>
              <w:spacing w:before="20" w:after="20"/>
              <w:jc w:val="both"/>
            </w:pPr>
            <w:r>
              <w:rPr>
                <w:sz w:val="18"/>
                <w:szCs w:val="18"/>
              </w:rPr>
              <w:t>Construye la matriz de coeficientes técnicos.</w:t>
            </w:r>
          </w:p>
        </w:tc>
        <w:tc>
          <w:tcPr>
            <w:tcW w:w="1877" w:type="dxa"/>
            <w:shd w:val="clear" w:color="auto" w:fill="D9E2F3"/>
            <w:vAlign w:val="center"/>
          </w:tcPr>
          <w:p w14:paraId="1BCFB3DF" w14:textId="77777777" w:rsidR="00990B14" w:rsidRDefault="00000000">
            <w:pPr>
              <w:spacing w:before="20" w:after="20"/>
              <w:jc w:val="both"/>
            </w:pPr>
            <w:r>
              <w:rPr>
                <w:sz w:val="18"/>
                <w:szCs w:val="18"/>
              </w:rPr>
              <w:t>Explica el significado de cada coeficiente.</w:t>
            </w:r>
          </w:p>
        </w:tc>
      </w:tr>
      <w:tr w:rsidR="00990B14" w14:paraId="64B8535E" w14:textId="77777777">
        <w:trPr>
          <w:cantSplit/>
          <w:jc w:val="center"/>
        </w:trPr>
        <w:tc>
          <w:tcPr>
            <w:tcW w:w="1900" w:type="dxa"/>
            <w:vMerge/>
            <w:shd w:val="clear" w:color="auto" w:fill="4472C4"/>
            <w:vAlign w:val="center"/>
          </w:tcPr>
          <w:p w14:paraId="0EDC6F15" w14:textId="77777777" w:rsidR="00990B14" w:rsidRDefault="00990B14">
            <w:pPr>
              <w:spacing w:before="20" w:after="20"/>
            </w:pPr>
          </w:p>
        </w:tc>
        <w:tc>
          <w:tcPr>
            <w:tcW w:w="1876" w:type="dxa"/>
            <w:shd w:val="clear" w:color="auto" w:fill="D9E2F3"/>
            <w:vAlign w:val="center"/>
          </w:tcPr>
          <w:p w14:paraId="399E4056" w14:textId="77777777" w:rsidR="00990B14" w:rsidRDefault="00000000">
            <w:pPr>
              <w:spacing w:before="20" w:after="20"/>
              <w:jc w:val="both"/>
            </w:pPr>
            <w:r>
              <w:rPr>
                <w:sz w:val="18"/>
                <w:szCs w:val="18"/>
              </w:rPr>
              <w:t>Producción requerida</w:t>
            </w:r>
          </w:p>
        </w:tc>
        <w:tc>
          <w:tcPr>
            <w:tcW w:w="1876" w:type="dxa"/>
            <w:shd w:val="clear" w:color="auto" w:fill="D9E2F3"/>
            <w:vAlign w:val="center"/>
          </w:tcPr>
          <w:p w14:paraId="0716F691" w14:textId="77777777" w:rsidR="00990B14" w:rsidRDefault="00000000">
            <w:pPr>
              <w:spacing w:before="20" w:after="20"/>
              <w:jc w:val="both"/>
            </w:pPr>
            <w:r>
              <w:rPr>
                <w:sz w:val="18"/>
                <w:szCs w:val="18"/>
              </w:rPr>
              <w:t>No obtiene la producción de cada sector.</w:t>
            </w:r>
          </w:p>
        </w:tc>
        <w:tc>
          <w:tcPr>
            <w:tcW w:w="1876" w:type="dxa"/>
            <w:shd w:val="clear" w:color="auto" w:fill="D9E2F3"/>
            <w:vAlign w:val="center"/>
          </w:tcPr>
          <w:p w14:paraId="16FDCB8E" w14:textId="77777777" w:rsidR="00990B14" w:rsidRDefault="00000000">
            <w:pPr>
              <w:spacing w:before="20" w:after="20"/>
              <w:jc w:val="both"/>
            </w:pPr>
            <w:r>
              <w:rPr>
                <w:sz w:val="18"/>
                <w:szCs w:val="18"/>
              </w:rPr>
              <w:t>Calcula la producción con la inversa de Leontief.</w:t>
            </w:r>
          </w:p>
        </w:tc>
        <w:tc>
          <w:tcPr>
            <w:tcW w:w="1877" w:type="dxa"/>
            <w:shd w:val="clear" w:color="auto" w:fill="D9E2F3"/>
            <w:vAlign w:val="center"/>
          </w:tcPr>
          <w:p w14:paraId="2176C6E0" w14:textId="77777777" w:rsidR="00990B14" w:rsidRDefault="00000000">
            <w:pPr>
              <w:spacing w:before="20" w:after="20"/>
              <w:jc w:val="both"/>
            </w:pPr>
            <w:r>
              <w:rPr>
                <w:sz w:val="18"/>
                <w:szCs w:val="18"/>
              </w:rPr>
              <w:t>Simula un cambio de la demanda final.</w:t>
            </w:r>
          </w:p>
        </w:tc>
      </w:tr>
      <w:tr w:rsidR="00990B14" w14:paraId="7793C283" w14:textId="77777777">
        <w:trPr>
          <w:cantSplit/>
          <w:jc w:val="center"/>
        </w:trPr>
        <w:tc>
          <w:tcPr>
            <w:tcW w:w="1900" w:type="dxa"/>
            <w:vMerge/>
            <w:shd w:val="clear" w:color="auto" w:fill="4472C4"/>
            <w:vAlign w:val="center"/>
          </w:tcPr>
          <w:p w14:paraId="0E632EBE" w14:textId="77777777" w:rsidR="00990B14" w:rsidRDefault="00990B14">
            <w:pPr>
              <w:spacing w:before="20" w:after="20"/>
            </w:pPr>
          </w:p>
        </w:tc>
        <w:tc>
          <w:tcPr>
            <w:tcW w:w="1876" w:type="dxa"/>
            <w:shd w:val="clear" w:color="auto" w:fill="D9E2F3"/>
            <w:vAlign w:val="center"/>
          </w:tcPr>
          <w:p w14:paraId="0E04F097" w14:textId="77777777" w:rsidR="00990B14" w:rsidRDefault="00000000">
            <w:pPr>
              <w:spacing w:before="20" w:after="20"/>
              <w:jc w:val="both"/>
            </w:pPr>
            <w:r>
              <w:rPr>
                <w:sz w:val="18"/>
                <w:szCs w:val="18"/>
              </w:rPr>
              <w:t>Presentación</w:t>
            </w:r>
          </w:p>
        </w:tc>
        <w:tc>
          <w:tcPr>
            <w:tcW w:w="1876" w:type="dxa"/>
            <w:shd w:val="clear" w:color="auto" w:fill="D9E2F3"/>
            <w:vAlign w:val="center"/>
          </w:tcPr>
          <w:p w14:paraId="6E8E81DB" w14:textId="77777777" w:rsidR="00990B14" w:rsidRDefault="00000000">
            <w:pPr>
              <w:spacing w:before="20" w:after="20"/>
              <w:jc w:val="both"/>
            </w:pPr>
            <w:r>
              <w:rPr>
                <w:sz w:val="18"/>
                <w:szCs w:val="18"/>
              </w:rPr>
              <w:t>Las hojas de trabajo son desordenadas.</w:t>
            </w:r>
          </w:p>
        </w:tc>
        <w:tc>
          <w:tcPr>
            <w:tcW w:w="1876" w:type="dxa"/>
            <w:shd w:val="clear" w:color="auto" w:fill="D9E2F3"/>
            <w:vAlign w:val="center"/>
          </w:tcPr>
          <w:p w14:paraId="6C18A6D1" w14:textId="77777777" w:rsidR="00990B14" w:rsidRDefault="00000000">
            <w:pPr>
              <w:spacing w:before="20" w:after="20"/>
              <w:jc w:val="both"/>
            </w:pPr>
            <w:r>
              <w:rPr>
                <w:sz w:val="18"/>
                <w:szCs w:val="18"/>
              </w:rPr>
              <w:t>El modelo está ordenado y rotulado.</w:t>
            </w:r>
          </w:p>
        </w:tc>
        <w:tc>
          <w:tcPr>
            <w:tcW w:w="1877" w:type="dxa"/>
            <w:shd w:val="clear" w:color="auto" w:fill="D9E2F3"/>
            <w:vAlign w:val="center"/>
          </w:tcPr>
          <w:p w14:paraId="08C48E4D" w14:textId="77777777" w:rsidR="00990B14" w:rsidRDefault="00000000">
            <w:pPr>
              <w:spacing w:before="20" w:after="20"/>
              <w:jc w:val="both"/>
            </w:pPr>
            <w:r>
              <w:rPr>
                <w:sz w:val="18"/>
                <w:szCs w:val="18"/>
              </w:rPr>
              <w:t>Incluye la lectura de los encadenamientos entre sectores.</w:t>
            </w:r>
          </w:p>
        </w:tc>
      </w:tr>
      <w:tr w:rsidR="00990B14" w14:paraId="4FFBF310" w14:textId="77777777">
        <w:trPr>
          <w:cantSplit/>
          <w:jc w:val="center"/>
        </w:trPr>
        <w:tc>
          <w:tcPr>
            <w:tcW w:w="1900" w:type="dxa"/>
            <w:vMerge/>
            <w:shd w:val="clear" w:color="auto" w:fill="4472C4"/>
            <w:vAlign w:val="center"/>
          </w:tcPr>
          <w:p w14:paraId="7A9A11AC" w14:textId="77777777" w:rsidR="00990B14" w:rsidRDefault="00990B14">
            <w:pPr>
              <w:spacing w:before="20" w:after="20"/>
            </w:pPr>
          </w:p>
        </w:tc>
        <w:tc>
          <w:tcPr>
            <w:tcW w:w="5628" w:type="dxa"/>
            <w:gridSpan w:val="3"/>
            <w:shd w:val="clear" w:color="auto" w:fill="D9E2F3"/>
            <w:vAlign w:val="center"/>
          </w:tcPr>
          <w:p w14:paraId="03A4FDE2" w14:textId="77777777" w:rsidR="00990B14" w:rsidRDefault="00000000">
            <w:pPr>
              <w:keepNext/>
              <w:spacing w:before="20" w:after="20"/>
              <w:jc w:val="both"/>
            </w:pPr>
            <w:r>
              <w:rPr>
                <w:b/>
                <w:bCs/>
                <w:i/>
                <w:iCs/>
                <w:sz w:val="18"/>
                <w:szCs w:val="18"/>
              </w:rPr>
              <w:t xml:space="preserve">Producto 5: </w:t>
            </w:r>
            <w:r>
              <w:rPr>
                <w:sz w:val="18"/>
                <w:szCs w:val="18"/>
              </w:rPr>
              <w:t>Modelo resuelto con el método simplex</w:t>
            </w:r>
          </w:p>
        </w:tc>
        <w:tc>
          <w:tcPr>
            <w:tcW w:w="1877" w:type="dxa"/>
            <w:shd w:val="clear" w:color="auto" w:fill="D9E2F3"/>
            <w:vAlign w:val="center"/>
          </w:tcPr>
          <w:p w14:paraId="6BAC6718" w14:textId="77777777" w:rsidR="00990B14" w:rsidRDefault="00000000">
            <w:pPr>
              <w:spacing w:before="20" w:after="20"/>
              <w:jc w:val="center"/>
            </w:pPr>
            <w:r>
              <w:rPr>
                <w:b/>
                <w:bCs/>
                <w:sz w:val="18"/>
                <w:szCs w:val="18"/>
              </w:rPr>
              <w:t>5%</w:t>
            </w:r>
          </w:p>
        </w:tc>
      </w:tr>
      <w:tr w:rsidR="00990B14" w14:paraId="3BCACD5A" w14:textId="77777777">
        <w:trPr>
          <w:cantSplit/>
          <w:jc w:val="center"/>
        </w:trPr>
        <w:tc>
          <w:tcPr>
            <w:tcW w:w="1900" w:type="dxa"/>
            <w:vMerge/>
            <w:shd w:val="clear" w:color="auto" w:fill="4472C4"/>
            <w:vAlign w:val="center"/>
          </w:tcPr>
          <w:p w14:paraId="0FA883A8" w14:textId="77777777" w:rsidR="00990B14" w:rsidRDefault="00990B14">
            <w:pPr>
              <w:spacing w:before="20" w:after="20"/>
            </w:pPr>
          </w:p>
        </w:tc>
        <w:tc>
          <w:tcPr>
            <w:tcW w:w="1876" w:type="dxa"/>
            <w:shd w:val="clear" w:color="auto" w:fill="4472C4"/>
            <w:vAlign w:val="center"/>
          </w:tcPr>
          <w:p w14:paraId="4ECF8B83"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0B28055F"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1962CCC1"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7E55C746" w14:textId="77777777" w:rsidR="00990B14" w:rsidRDefault="00000000">
            <w:pPr>
              <w:keepNext/>
              <w:spacing w:before="20" w:after="20"/>
              <w:jc w:val="center"/>
            </w:pPr>
            <w:r>
              <w:rPr>
                <w:b/>
                <w:bCs/>
                <w:i/>
                <w:iCs/>
                <w:color w:val="FFFFFF"/>
                <w:sz w:val="18"/>
                <w:szCs w:val="18"/>
              </w:rPr>
              <w:t>Destacado (81–100)</w:t>
            </w:r>
          </w:p>
        </w:tc>
      </w:tr>
      <w:tr w:rsidR="00990B14" w14:paraId="699519E7" w14:textId="77777777">
        <w:trPr>
          <w:cantSplit/>
          <w:jc w:val="center"/>
        </w:trPr>
        <w:tc>
          <w:tcPr>
            <w:tcW w:w="1900" w:type="dxa"/>
            <w:vMerge/>
            <w:shd w:val="clear" w:color="auto" w:fill="4472C4"/>
            <w:vAlign w:val="center"/>
          </w:tcPr>
          <w:p w14:paraId="6E34D886" w14:textId="77777777" w:rsidR="00990B14" w:rsidRDefault="00990B14">
            <w:pPr>
              <w:spacing w:before="20" w:after="20"/>
            </w:pPr>
          </w:p>
        </w:tc>
        <w:tc>
          <w:tcPr>
            <w:tcW w:w="1876" w:type="dxa"/>
            <w:shd w:val="clear" w:color="auto" w:fill="D9E2F3"/>
            <w:vAlign w:val="center"/>
          </w:tcPr>
          <w:p w14:paraId="7C637CEB" w14:textId="77777777" w:rsidR="00990B14" w:rsidRDefault="00000000">
            <w:pPr>
              <w:spacing w:before="20" w:after="20"/>
              <w:jc w:val="both"/>
            </w:pPr>
            <w:r>
              <w:rPr>
                <w:sz w:val="18"/>
                <w:szCs w:val="18"/>
              </w:rPr>
              <w:t>Formulación</w:t>
            </w:r>
          </w:p>
        </w:tc>
        <w:tc>
          <w:tcPr>
            <w:tcW w:w="1876" w:type="dxa"/>
            <w:shd w:val="clear" w:color="auto" w:fill="D9E2F3"/>
            <w:vAlign w:val="center"/>
          </w:tcPr>
          <w:p w14:paraId="0FBC4779" w14:textId="77777777" w:rsidR="00990B14" w:rsidRDefault="00000000">
            <w:pPr>
              <w:spacing w:before="20" w:after="20"/>
              <w:jc w:val="both"/>
            </w:pPr>
            <w:r>
              <w:rPr>
                <w:sz w:val="18"/>
                <w:szCs w:val="18"/>
              </w:rPr>
              <w:t>La función objetivo o las restricciones son incorrectas.</w:t>
            </w:r>
          </w:p>
        </w:tc>
        <w:tc>
          <w:tcPr>
            <w:tcW w:w="1876" w:type="dxa"/>
            <w:shd w:val="clear" w:color="auto" w:fill="D9E2F3"/>
            <w:vAlign w:val="center"/>
          </w:tcPr>
          <w:p w14:paraId="450EA96D" w14:textId="77777777" w:rsidR="00990B14" w:rsidRDefault="00000000">
            <w:pPr>
              <w:spacing w:before="20" w:after="20"/>
              <w:jc w:val="both"/>
            </w:pPr>
            <w:r>
              <w:rPr>
                <w:sz w:val="18"/>
                <w:szCs w:val="18"/>
              </w:rPr>
              <w:t>Formula correctamente el modelo.</w:t>
            </w:r>
          </w:p>
        </w:tc>
        <w:tc>
          <w:tcPr>
            <w:tcW w:w="1877" w:type="dxa"/>
            <w:shd w:val="clear" w:color="auto" w:fill="D9E2F3"/>
            <w:vAlign w:val="center"/>
          </w:tcPr>
          <w:p w14:paraId="5E86847A" w14:textId="77777777" w:rsidR="00990B14" w:rsidRDefault="00000000">
            <w:pPr>
              <w:spacing w:before="20" w:after="20"/>
              <w:jc w:val="both"/>
            </w:pPr>
            <w:r>
              <w:rPr>
                <w:sz w:val="18"/>
                <w:szCs w:val="18"/>
              </w:rPr>
              <w:t>Justifica cada restricción con los datos de la empresa.</w:t>
            </w:r>
          </w:p>
        </w:tc>
      </w:tr>
      <w:tr w:rsidR="00990B14" w14:paraId="56BE09F9" w14:textId="77777777">
        <w:trPr>
          <w:cantSplit/>
          <w:jc w:val="center"/>
        </w:trPr>
        <w:tc>
          <w:tcPr>
            <w:tcW w:w="1900" w:type="dxa"/>
            <w:vMerge/>
            <w:shd w:val="clear" w:color="auto" w:fill="4472C4"/>
            <w:vAlign w:val="center"/>
          </w:tcPr>
          <w:p w14:paraId="180FAE1A" w14:textId="77777777" w:rsidR="00990B14" w:rsidRDefault="00990B14">
            <w:pPr>
              <w:spacing w:before="20" w:after="20"/>
            </w:pPr>
          </w:p>
        </w:tc>
        <w:tc>
          <w:tcPr>
            <w:tcW w:w="1876" w:type="dxa"/>
            <w:shd w:val="clear" w:color="auto" w:fill="D9E2F3"/>
            <w:vAlign w:val="center"/>
          </w:tcPr>
          <w:p w14:paraId="2C96E69A" w14:textId="77777777" w:rsidR="00990B14" w:rsidRDefault="00000000">
            <w:pPr>
              <w:spacing w:before="20" w:after="20"/>
              <w:jc w:val="both"/>
            </w:pPr>
            <w:r>
              <w:rPr>
                <w:sz w:val="18"/>
                <w:szCs w:val="18"/>
              </w:rPr>
              <w:t>Tabla simplex</w:t>
            </w:r>
          </w:p>
        </w:tc>
        <w:tc>
          <w:tcPr>
            <w:tcW w:w="1876" w:type="dxa"/>
            <w:shd w:val="clear" w:color="auto" w:fill="D9E2F3"/>
            <w:vAlign w:val="center"/>
          </w:tcPr>
          <w:p w14:paraId="34195C8A" w14:textId="77777777" w:rsidR="00990B14" w:rsidRDefault="00000000">
            <w:pPr>
              <w:spacing w:before="20" w:after="20"/>
              <w:jc w:val="both"/>
            </w:pPr>
            <w:r>
              <w:rPr>
                <w:sz w:val="18"/>
                <w:szCs w:val="18"/>
              </w:rPr>
              <w:t>Elige mal la variable de entrada o de salida.</w:t>
            </w:r>
          </w:p>
        </w:tc>
        <w:tc>
          <w:tcPr>
            <w:tcW w:w="1876" w:type="dxa"/>
            <w:shd w:val="clear" w:color="auto" w:fill="D9E2F3"/>
            <w:vAlign w:val="center"/>
          </w:tcPr>
          <w:p w14:paraId="4BFFF59F" w14:textId="77777777" w:rsidR="00990B14" w:rsidRDefault="00000000">
            <w:pPr>
              <w:spacing w:before="20" w:after="20"/>
              <w:jc w:val="both"/>
            </w:pPr>
            <w:r>
              <w:rPr>
                <w:sz w:val="18"/>
                <w:szCs w:val="18"/>
              </w:rPr>
              <w:t>Llega a la solución óptima con el método simplex.</w:t>
            </w:r>
          </w:p>
        </w:tc>
        <w:tc>
          <w:tcPr>
            <w:tcW w:w="1877" w:type="dxa"/>
            <w:shd w:val="clear" w:color="auto" w:fill="D9E2F3"/>
            <w:vAlign w:val="center"/>
          </w:tcPr>
          <w:p w14:paraId="357EA649" w14:textId="77777777" w:rsidR="00990B14" w:rsidRDefault="00000000">
            <w:pPr>
              <w:spacing w:before="20" w:after="20"/>
              <w:jc w:val="both"/>
            </w:pPr>
            <w:r>
              <w:rPr>
                <w:sz w:val="18"/>
                <w:szCs w:val="18"/>
              </w:rPr>
              <w:t>Contrasta la solución con el método gráfico o con Solver.</w:t>
            </w:r>
          </w:p>
        </w:tc>
      </w:tr>
      <w:tr w:rsidR="00990B14" w14:paraId="406CEB72" w14:textId="77777777">
        <w:trPr>
          <w:cantSplit/>
          <w:jc w:val="center"/>
        </w:trPr>
        <w:tc>
          <w:tcPr>
            <w:tcW w:w="1900" w:type="dxa"/>
            <w:vMerge/>
            <w:shd w:val="clear" w:color="auto" w:fill="4472C4"/>
            <w:vAlign w:val="center"/>
          </w:tcPr>
          <w:p w14:paraId="53916BEC" w14:textId="77777777" w:rsidR="00990B14" w:rsidRDefault="00990B14">
            <w:pPr>
              <w:spacing w:before="20" w:after="20"/>
            </w:pPr>
          </w:p>
        </w:tc>
        <w:tc>
          <w:tcPr>
            <w:tcW w:w="1876" w:type="dxa"/>
            <w:shd w:val="clear" w:color="auto" w:fill="D9E2F3"/>
            <w:vAlign w:val="center"/>
          </w:tcPr>
          <w:p w14:paraId="0CE62E1B" w14:textId="77777777" w:rsidR="00990B14" w:rsidRDefault="00000000">
            <w:pPr>
              <w:spacing w:before="20" w:after="20"/>
              <w:jc w:val="both"/>
            </w:pPr>
            <w:r>
              <w:rPr>
                <w:sz w:val="18"/>
                <w:szCs w:val="18"/>
              </w:rPr>
              <w:t>Interpretación</w:t>
            </w:r>
          </w:p>
        </w:tc>
        <w:tc>
          <w:tcPr>
            <w:tcW w:w="1876" w:type="dxa"/>
            <w:shd w:val="clear" w:color="auto" w:fill="D9E2F3"/>
            <w:vAlign w:val="center"/>
          </w:tcPr>
          <w:p w14:paraId="75836E77" w14:textId="77777777" w:rsidR="00990B14" w:rsidRDefault="00000000">
            <w:pPr>
              <w:spacing w:before="20" w:after="20"/>
              <w:jc w:val="both"/>
            </w:pPr>
            <w:r>
              <w:rPr>
                <w:sz w:val="18"/>
                <w:szCs w:val="18"/>
              </w:rPr>
              <w:t>No interpreta la solución.</w:t>
            </w:r>
          </w:p>
        </w:tc>
        <w:tc>
          <w:tcPr>
            <w:tcW w:w="1876" w:type="dxa"/>
            <w:shd w:val="clear" w:color="auto" w:fill="D9E2F3"/>
            <w:vAlign w:val="center"/>
          </w:tcPr>
          <w:p w14:paraId="4E31AEF6" w14:textId="77777777" w:rsidR="00990B14" w:rsidRDefault="00000000">
            <w:pPr>
              <w:spacing w:before="20" w:after="20"/>
              <w:jc w:val="both"/>
            </w:pPr>
            <w:r>
              <w:rPr>
                <w:sz w:val="18"/>
                <w:szCs w:val="18"/>
              </w:rPr>
              <w:t>Interpreta los valores de las variables y de las holguras.</w:t>
            </w:r>
          </w:p>
        </w:tc>
        <w:tc>
          <w:tcPr>
            <w:tcW w:w="1877" w:type="dxa"/>
            <w:shd w:val="clear" w:color="auto" w:fill="D9E2F3"/>
            <w:vAlign w:val="center"/>
          </w:tcPr>
          <w:p w14:paraId="6311E437" w14:textId="77777777" w:rsidR="00990B14" w:rsidRDefault="00000000">
            <w:pPr>
              <w:spacing w:before="20" w:after="20"/>
              <w:jc w:val="both"/>
            </w:pPr>
            <w:r>
              <w:rPr>
                <w:sz w:val="18"/>
                <w:szCs w:val="18"/>
              </w:rPr>
              <w:t>Explica los recursos sobrantes y sus implicaciones.</w:t>
            </w:r>
          </w:p>
        </w:tc>
      </w:tr>
      <w:tr w:rsidR="00990B14" w14:paraId="7E3E1E4B" w14:textId="77777777">
        <w:trPr>
          <w:cantSplit/>
          <w:jc w:val="center"/>
        </w:trPr>
        <w:tc>
          <w:tcPr>
            <w:tcW w:w="1900" w:type="dxa"/>
            <w:vMerge/>
            <w:shd w:val="clear" w:color="auto" w:fill="4472C4"/>
            <w:vAlign w:val="center"/>
          </w:tcPr>
          <w:p w14:paraId="2D91499C" w14:textId="77777777" w:rsidR="00990B14" w:rsidRDefault="00990B14">
            <w:pPr>
              <w:spacing w:before="20" w:after="20"/>
            </w:pPr>
          </w:p>
        </w:tc>
        <w:tc>
          <w:tcPr>
            <w:tcW w:w="5628" w:type="dxa"/>
            <w:gridSpan w:val="3"/>
            <w:shd w:val="clear" w:color="auto" w:fill="D9E2F3"/>
            <w:vAlign w:val="center"/>
          </w:tcPr>
          <w:p w14:paraId="39C1AD4E" w14:textId="77777777" w:rsidR="00990B14" w:rsidRDefault="00000000">
            <w:pPr>
              <w:keepNext/>
              <w:spacing w:before="20" w:after="20"/>
              <w:jc w:val="both"/>
            </w:pPr>
            <w:r>
              <w:rPr>
                <w:b/>
                <w:bCs/>
                <w:i/>
                <w:iCs/>
                <w:sz w:val="18"/>
                <w:szCs w:val="18"/>
              </w:rPr>
              <w:t xml:space="preserve">Producto 6: </w:t>
            </w:r>
            <w:r>
              <w:rPr>
                <w:sz w:val="18"/>
                <w:szCs w:val="18"/>
              </w:rPr>
              <w:t>Informe de sensibilidad y dualidad</w:t>
            </w:r>
          </w:p>
        </w:tc>
        <w:tc>
          <w:tcPr>
            <w:tcW w:w="1877" w:type="dxa"/>
            <w:shd w:val="clear" w:color="auto" w:fill="D9E2F3"/>
            <w:vAlign w:val="center"/>
          </w:tcPr>
          <w:p w14:paraId="562255B0" w14:textId="77777777" w:rsidR="00990B14" w:rsidRDefault="00000000">
            <w:pPr>
              <w:spacing w:before="20" w:after="20"/>
              <w:jc w:val="center"/>
            </w:pPr>
            <w:r>
              <w:rPr>
                <w:b/>
                <w:bCs/>
                <w:sz w:val="18"/>
                <w:szCs w:val="18"/>
              </w:rPr>
              <w:t>5%</w:t>
            </w:r>
          </w:p>
        </w:tc>
      </w:tr>
      <w:tr w:rsidR="00990B14" w14:paraId="12787450" w14:textId="77777777">
        <w:trPr>
          <w:cantSplit/>
          <w:jc w:val="center"/>
        </w:trPr>
        <w:tc>
          <w:tcPr>
            <w:tcW w:w="1900" w:type="dxa"/>
            <w:vMerge/>
            <w:shd w:val="clear" w:color="auto" w:fill="4472C4"/>
            <w:vAlign w:val="center"/>
          </w:tcPr>
          <w:p w14:paraId="301D2FE3" w14:textId="77777777" w:rsidR="00990B14" w:rsidRDefault="00990B14">
            <w:pPr>
              <w:spacing w:before="20" w:after="20"/>
            </w:pPr>
          </w:p>
        </w:tc>
        <w:tc>
          <w:tcPr>
            <w:tcW w:w="1876" w:type="dxa"/>
            <w:shd w:val="clear" w:color="auto" w:fill="4472C4"/>
            <w:vAlign w:val="center"/>
          </w:tcPr>
          <w:p w14:paraId="6AC2EF0E"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5359D2E3"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37FC3066"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60D97C0A" w14:textId="77777777" w:rsidR="00990B14" w:rsidRDefault="00000000">
            <w:pPr>
              <w:keepNext/>
              <w:spacing w:before="20" w:after="20"/>
              <w:jc w:val="center"/>
            </w:pPr>
            <w:r>
              <w:rPr>
                <w:b/>
                <w:bCs/>
                <w:i/>
                <w:iCs/>
                <w:color w:val="FFFFFF"/>
                <w:sz w:val="18"/>
                <w:szCs w:val="18"/>
              </w:rPr>
              <w:t>Destacado (81–100)</w:t>
            </w:r>
          </w:p>
        </w:tc>
      </w:tr>
      <w:tr w:rsidR="00990B14" w14:paraId="21F0DFA6" w14:textId="77777777">
        <w:trPr>
          <w:cantSplit/>
          <w:jc w:val="center"/>
        </w:trPr>
        <w:tc>
          <w:tcPr>
            <w:tcW w:w="1900" w:type="dxa"/>
            <w:vMerge/>
            <w:shd w:val="clear" w:color="auto" w:fill="4472C4"/>
            <w:vAlign w:val="center"/>
          </w:tcPr>
          <w:p w14:paraId="3212CB06" w14:textId="77777777" w:rsidR="00990B14" w:rsidRDefault="00990B14">
            <w:pPr>
              <w:spacing w:before="20" w:after="20"/>
            </w:pPr>
          </w:p>
        </w:tc>
        <w:tc>
          <w:tcPr>
            <w:tcW w:w="1876" w:type="dxa"/>
            <w:shd w:val="clear" w:color="auto" w:fill="D9E2F3"/>
            <w:vAlign w:val="center"/>
          </w:tcPr>
          <w:p w14:paraId="1603743B" w14:textId="77777777" w:rsidR="00990B14" w:rsidRDefault="00000000">
            <w:pPr>
              <w:spacing w:before="20" w:after="20"/>
              <w:jc w:val="both"/>
            </w:pPr>
            <w:r>
              <w:rPr>
                <w:sz w:val="18"/>
                <w:szCs w:val="18"/>
              </w:rPr>
              <w:t>Problema dual</w:t>
            </w:r>
          </w:p>
        </w:tc>
        <w:tc>
          <w:tcPr>
            <w:tcW w:w="1876" w:type="dxa"/>
            <w:shd w:val="clear" w:color="auto" w:fill="D9E2F3"/>
            <w:vAlign w:val="center"/>
          </w:tcPr>
          <w:p w14:paraId="1D8EC71D" w14:textId="77777777" w:rsidR="00990B14" w:rsidRDefault="00000000">
            <w:pPr>
              <w:spacing w:before="20" w:after="20"/>
              <w:jc w:val="both"/>
            </w:pPr>
            <w:r>
              <w:rPr>
                <w:sz w:val="18"/>
                <w:szCs w:val="18"/>
              </w:rPr>
              <w:t>Plantea mal el dual.</w:t>
            </w:r>
          </w:p>
        </w:tc>
        <w:tc>
          <w:tcPr>
            <w:tcW w:w="1876" w:type="dxa"/>
            <w:shd w:val="clear" w:color="auto" w:fill="D9E2F3"/>
            <w:vAlign w:val="center"/>
          </w:tcPr>
          <w:p w14:paraId="0979688C" w14:textId="77777777" w:rsidR="00990B14" w:rsidRDefault="00000000">
            <w:pPr>
              <w:spacing w:before="20" w:after="20"/>
              <w:jc w:val="both"/>
            </w:pPr>
            <w:r>
              <w:rPr>
                <w:sz w:val="18"/>
                <w:szCs w:val="18"/>
              </w:rPr>
              <w:t>Formula y resuelve el problema dual.</w:t>
            </w:r>
          </w:p>
        </w:tc>
        <w:tc>
          <w:tcPr>
            <w:tcW w:w="1877" w:type="dxa"/>
            <w:shd w:val="clear" w:color="auto" w:fill="D9E2F3"/>
            <w:vAlign w:val="center"/>
          </w:tcPr>
          <w:p w14:paraId="11AC8181" w14:textId="77777777" w:rsidR="00990B14" w:rsidRDefault="00000000">
            <w:pPr>
              <w:spacing w:before="20" w:after="20"/>
              <w:jc w:val="both"/>
            </w:pPr>
            <w:r>
              <w:rPr>
                <w:sz w:val="18"/>
                <w:szCs w:val="18"/>
              </w:rPr>
              <w:t>Relaciona el dual con el valor de los recursos.</w:t>
            </w:r>
          </w:p>
        </w:tc>
      </w:tr>
      <w:tr w:rsidR="00990B14" w14:paraId="26BA1201" w14:textId="77777777">
        <w:trPr>
          <w:cantSplit/>
          <w:jc w:val="center"/>
        </w:trPr>
        <w:tc>
          <w:tcPr>
            <w:tcW w:w="1900" w:type="dxa"/>
            <w:vMerge/>
            <w:shd w:val="clear" w:color="auto" w:fill="4472C4"/>
            <w:vAlign w:val="center"/>
          </w:tcPr>
          <w:p w14:paraId="30C0961B" w14:textId="77777777" w:rsidR="00990B14" w:rsidRDefault="00990B14">
            <w:pPr>
              <w:spacing w:before="20" w:after="20"/>
            </w:pPr>
          </w:p>
        </w:tc>
        <w:tc>
          <w:tcPr>
            <w:tcW w:w="1876" w:type="dxa"/>
            <w:shd w:val="clear" w:color="auto" w:fill="D9E2F3"/>
            <w:vAlign w:val="center"/>
          </w:tcPr>
          <w:p w14:paraId="674B697D" w14:textId="77777777" w:rsidR="00990B14" w:rsidRDefault="00000000">
            <w:pPr>
              <w:spacing w:before="20" w:after="20"/>
              <w:jc w:val="both"/>
            </w:pPr>
            <w:r>
              <w:rPr>
                <w:sz w:val="18"/>
                <w:szCs w:val="18"/>
              </w:rPr>
              <w:t>Precios sombra</w:t>
            </w:r>
          </w:p>
        </w:tc>
        <w:tc>
          <w:tcPr>
            <w:tcW w:w="1876" w:type="dxa"/>
            <w:shd w:val="clear" w:color="auto" w:fill="D9E2F3"/>
            <w:vAlign w:val="center"/>
          </w:tcPr>
          <w:p w14:paraId="531ADEE3" w14:textId="77777777" w:rsidR="00990B14" w:rsidRDefault="00000000">
            <w:pPr>
              <w:spacing w:before="20" w:after="20"/>
              <w:jc w:val="both"/>
            </w:pPr>
            <w:r>
              <w:rPr>
                <w:sz w:val="18"/>
                <w:szCs w:val="18"/>
              </w:rPr>
              <w:t>No interpreta los precios sombra.</w:t>
            </w:r>
          </w:p>
        </w:tc>
        <w:tc>
          <w:tcPr>
            <w:tcW w:w="1876" w:type="dxa"/>
            <w:shd w:val="clear" w:color="auto" w:fill="D9E2F3"/>
            <w:vAlign w:val="center"/>
          </w:tcPr>
          <w:p w14:paraId="48E59BAE" w14:textId="77777777" w:rsidR="00990B14" w:rsidRDefault="00000000">
            <w:pPr>
              <w:spacing w:before="20" w:after="20"/>
              <w:jc w:val="both"/>
            </w:pPr>
            <w:r>
              <w:rPr>
                <w:sz w:val="18"/>
                <w:szCs w:val="18"/>
              </w:rPr>
              <w:t>Interpreta los precios sombra y los rangos de validez.</w:t>
            </w:r>
          </w:p>
        </w:tc>
        <w:tc>
          <w:tcPr>
            <w:tcW w:w="1877" w:type="dxa"/>
            <w:shd w:val="clear" w:color="auto" w:fill="D9E2F3"/>
            <w:vAlign w:val="center"/>
          </w:tcPr>
          <w:p w14:paraId="2B924DA9" w14:textId="77777777" w:rsidR="00990B14" w:rsidRDefault="00000000">
            <w:pPr>
              <w:spacing w:before="20" w:after="20"/>
              <w:jc w:val="both"/>
            </w:pPr>
            <w:r>
              <w:rPr>
                <w:sz w:val="18"/>
                <w:szCs w:val="18"/>
              </w:rPr>
              <w:t>Recomienda qué recurso conviene ampliar.</w:t>
            </w:r>
          </w:p>
        </w:tc>
      </w:tr>
      <w:tr w:rsidR="00990B14" w14:paraId="105ADA68" w14:textId="77777777">
        <w:trPr>
          <w:cantSplit/>
          <w:jc w:val="center"/>
        </w:trPr>
        <w:tc>
          <w:tcPr>
            <w:tcW w:w="1900" w:type="dxa"/>
            <w:vMerge/>
            <w:shd w:val="clear" w:color="auto" w:fill="4472C4"/>
            <w:vAlign w:val="center"/>
          </w:tcPr>
          <w:p w14:paraId="4B518063" w14:textId="77777777" w:rsidR="00990B14" w:rsidRDefault="00990B14">
            <w:pPr>
              <w:spacing w:before="20" w:after="20"/>
            </w:pPr>
          </w:p>
        </w:tc>
        <w:tc>
          <w:tcPr>
            <w:tcW w:w="1876" w:type="dxa"/>
            <w:shd w:val="clear" w:color="auto" w:fill="D9E2F3"/>
            <w:vAlign w:val="center"/>
          </w:tcPr>
          <w:p w14:paraId="10B72F82" w14:textId="77777777" w:rsidR="00990B14" w:rsidRDefault="00000000">
            <w:pPr>
              <w:spacing w:before="20" w:after="20"/>
              <w:jc w:val="both"/>
            </w:pPr>
            <w:r>
              <w:rPr>
                <w:sz w:val="18"/>
                <w:szCs w:val="18"/>
              </w:rPr>
              <w:t>Pensamiento crítico</w:t>
            </w:r>
          </w:p>
        </w:tc>
        <w:tc>
          <w:tcPr>
            <w:tcW w:w="1876" w:type="dxa"/>
            <w:shd w:val="clear" w:color="auto" w:fill="D9E2F3"/>
            <w:vAlign w:val="center"/>
          </w:tcPr>
          <w:p w14:paraId="5EA64406" w14:textId="77777777" w:rsidR="00990B14" w:rsidRDefault="00000000">
            <w:pPr>
              <w:spacing w:before="20" w:after="20"/>
              <w:jc w:val="both"/>
            </w:pPr>
            <w:r>
              <w:rPr>
                <w:sz w:val="18"/>
                <w:szCs w:val="18"/>
              </w:rPr>
              <w:t>Acepta la solución sin revisar sus supuestos.</w:t>
            </w:r>
          </w:p>
        </w:tc>
        <w:tc>
          <w:tcPr>
            <w:tcW w:w="1876" w:type="dxa"/>
            <w:shd w:val="clear" w:color="auto" w:fill="D9E2F3"/>
            <w:vAlign w:val="center"/>
          </w:tcPr>
          <w:p w14:paraId="2B8C840E" w14:textId="77777777" w:rsidR="00990B14" w:rsidRDefault="00000000">
            <w:pPr>
              <w:spacing w:before="20" w:after="20"/>
              <w:jc w:val="both"/>
            </w:pPr>
            <w:r>
              <w:rPr>
                <w:sz w:val="18"/>
                <w:szCs w:val="18"/>
              </w:rPr>
              <w:t>Señala los supuestos del modelo.</w:t>
            </w:r>
          </w:p>
        </w:tc>
        <w:tc>
          <w:tcPr>
            <w:tcW w:w="1877" w:type="dxa"/>
            <w:shd w:val="clear" w:color="auto" w:fill="D9E2F3"/>
            <w:vAlign w:val="center"/>
          </w:tcPr>
          <w:p w14:paraId="48B2D9D0" w14:textId="77777777" w:rsidR="00990B14" w:rsidRDefault="00000000">
            <w:pPr>
              <w:spacing w:before="20" w:after="20"/>
              <w:jc w:val="both"/>
            </w:pPr>
            <w:r>
              <w:rPr>
                <w:sz w:val="18"/>
                <w:szCs w:val="18"/>
              </w:rPr>
              <w:t>Evalúa el riesgo de variación de los parámetros.</w:t>
            </w:r>
          </w:p>
        </w:tc>
      </w:tr>
      <w:tr w:rsidR="00990B14" w14:paraId="30C00DCA" w14:textId="77777777">
        <w:trPr>
          <w:cantSplit/>
          <w:jc w:val="center"/>
        </w:trPr>
        <w:tc>
          <w:tcPr>
            <w:tcW w:w="1900" w:type="dxa"/>
            <w:vMerge/>
            <w:shd w:val="clear" w:color="auto" w:fill="4472C4"/>
            <w:vAlign w:val="center"/>
          </w:tcPr>
          <w:p w14:paraId="08797318" w14:textId="77777777" w:rsidR="00990B14" w:rsidRDefault="00990B14">
            <w:pPr>
              <w:spacing w:before="20" w:after="20"/>
            </w:pPr>
          </w:p>
        </w:tc>
        <w:tc>
          <w:tcPr>
            <w:tcW w:w="5628" w:type="dxa"/>
            <w:gridSpan w:val="3"/>
            <w:shd w:val="clear" w:color="auto" w:fill="D9E2F3"/>
            <w:vAlign w:val="center"/>
          </w:tcPr>
          <w:p w14:paraId="364112BF" w14:textId="77777777" w:rsidR="00990B14" w:rsidRDefault="00000000">
            <w:pPr>
              <w:keepNext/>
              <w:spacing w:before="20" w:after="20"/>
              <w:jc w:val="both"/>
            </w:pPr>
            <w:r>
              <w:rPr>
                <w:b/>
                <w:bCs/>
                <w:i/>
                <w:iCs/>
                <w:sz w:val="18"/>
                <w:szCs w:val="18"/>
              </w:rPr>
              <w:t xml:space="preserve">Producto 7: </w:t>
            </w:r>
            <w:r>
              <w:rPr>
                <w:sz w:val="18"/>
                <w:szCs w:val="18"/>
              </w:rPr>
              <w:t>Informe del modelo de transporte</w:t>
            </w:r>
          </w:p>
        </w:tc>
        <w:tc>
          <w:tcPr>
            <w:tcW w:w="1877" w:type="dxa"/>
            <w:shd w:val="clear" w:color="auto" w:fill="D9E2F3"/>
            <w:vAlign w:val="center"/>
          </w:tcPr>
          <w:p w14:paraId="7978F79C" w14:textId="77777777" w:rsidR="00990B14" w:rsidRDefault="00000000">
            <w:pPr>
              <w:spacing w:before="20" w:after="20"/>
              <w:jc w:val="center"/>
            </w:pPr>
            <w:r>
              <w:rPr>
                <w:b/>
                <w:bCs/>
                <w:sz w:val="18"/>
                <w:szCs w:val="18"/>
              </w:rPr>
              <w:t>5%</w:t>
            </w:r>
          </w:p>
        </w:tc>
      </w:tr>
      <w:tr w:rsidR="00990B14" w14:paraId="65C4E6FD" w14:textId="77777777">
        <w:trPr>
          <w:cantSplit/>
          <w:jc w:val="center"/>
        </w:trPr>
        <w:tc>
          <w:tcPr>
            <w:tcW w:w="1900" w:type="dxa"/>
            <w:vMerge/>
            <w:shd w:val="clear" w:color="auto" w:fill="4472C4"/>
            <w:vAlign w:val="center"/>
          </w:tcPr>
          <w:p w14:paraId="52DDCA6F" w14:textId="77777777" w:rsidR="00990B14" w:rsidRDefault="00990B14">
            <w:pPr>
              <w:spacing w:before="20" w:after="20"/>
            </w:pPr>
          </w:p>
        </w:tc>
        <w:tc>
          <w:tcPr>
            <w:tcW w:w="1876" w:type="dxa"/>
            <w:shd w:val="clear" w:color="auto" w:fill="4472C4"/>
            <w:vAlign w:val="center"/>
          </w:tcPr>
          <w:p w14:paraId="21ABEC2D"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5B904ABF"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49905767"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4175F857" w14:textId="77777777" w:rsidR="00990B14" w:rsidRDefault="00000000">
            <w:pPr>
              <w:keepNext/>
              <w:spacing w:before="20" w:after="20"/>
              <w:jc w:val="center"/>
            </w:pPr>
            <w:r>
              <w:rPr>
                <w:b/>
                <w:bCs/>
                <w:i/>
                <w:iCs/>
                <w:color w:val="FFFFFF"/>
                <w:sz w:val="18"/>
                <w:szCs w:val="18"/>
              </w:rPr>
              <w:t>Destacado (81–100)</w:t>
            </w:r>
          </w:p>
        </w:tc>
      </w:tr>
      <w:tr w:rsidR="00990B14" w14:paraId="61754C36" w14:textId="77777777">
        <w:trPr>
          <w:cantSplit/>
          <w:jc w:val="center"/>
        </w:trPr>
        <w:tc>
          <w:tcPr>
            <w:tcW w:w="1900" w:type="dxa"/>
            <w:vMerge/>
            <w:shd w:val="clear" w:color="auto" w:fill="4472C4"/>
            <w:vAlign w:val="center"/>
          </w:tcPr>
          <w:p w14:paraId="4DDE5964" w14:textId="77777777" w:rsidR="00990B14" w:rsidRDefault="00990B14">
            <w:pPr>
              <w:spacing w:before="20" w:after="20"/>
            </w:pPr>
          </w:p>
        </w:tc>
        <w:tc>
          <w:tcPr>
            <w:tcW w:w="1876" w:type="dxa"/>
            <w:shd w:val="clear" w:color="auto" w:fill="D9E2F3"/>
            <w:vAlign w:val="center"/>
          </w:tcPr>
          <w:p w14:paraId="6618373B" w14:textId="77777777" w:rsidR="00990B14" w:rsidRDefault="00000000">
            <w:pPr>
              <w:spacing w:before="20" w:after="20"/>
              <w:jc w:val="both"/>
            </w:pPr>
            <w:r>
              <w:rPr>
                <w:sz w:val="18"/>
                <w:szCs w:val="18"/>
              </w:rPr>
              <w:t>Tabla de transporte</w:t>
            </w:r>
          </w:p>
        </w:tc>
        <w:tc>
          <w:tcPr>
            <w:tcW w:w="1876" w:type="dxa"/>
            <w:shd w:val="clear" w:color="auto" w:fill="D9E2F3"/>
            <w:vAlign w:val="center"/>
          </w:tcPr>
          <w:p w14:paraId="4A0BAD79" w14:textId="77777777" w:rsidR="00990B14" w:rsidRDefault="00000000">
            <w:pPr>
              <w:spacing w:before="20" w:after="20"/>
              <w:jc w:val="both"/>
            </w:pPr>
            <w:r>
              <w:rPr>
                <w:sz w:val="18"/>
                <w:szCs w:val="18"/>
              </w:rPr>
              <w:t>No balancea la oferta y la demanda.</w:t>
            </w:r>
          </w:p>
        </w:tc>
        <w:tc>
          <w:tcPr>
            <w:tcW w:w="1876" w:type="dxa"/>
            <w:shd w:val="clear" w:color="auto" w:fill="D9E2F3"/>
            <w:vAlign w:val="center"/>
          </w:tcPr>
          <w:p w14:paraId="3D0AC908" w14:textId="77777777" w:rsidR="00990B14" w:rsidRDefault="00000000">
            <w:pPr>
              <w:spacing w:before="20" w:after="20"/>
              <w:jc w:val="both"/>
            </w:pPr>
            <w:r>
              <w:rPr>
                <w:sz w:val="18"/>
                <w:szCs w:val="18"/>
              </w:rPr>
              <w:t>Construye la tabla balanceada.</w:t>
            </w:r>
          </w:p>
        </w:tc>
        <w:tc>
          <w:tcPr>
            <w:tcW w:w="1877" w:type="dxa"/>
            <w:shd w:val="clear" w:color="auto" w:fill="D9E2F3"/>
            <w:vAlign w:val="center"/>
          </w:tcPr>
          <w:p w14:paraId="61CF1C15" w14:textId="77777777" w:rsidR="00990B14" w:rsidRDefault="00000000">
            <w:pPr>
              <w:spacing w:before="20" w:after="20"/>
              <w:jc w:val="both"/>
            </w:pPr>
            <w:r>
              <w:rPr>
                <w:sz w:val="18"/>
                <w:szCs w:val="18"/>
              </w:rPr>
              <w:t>Explica el tratamiento de orígenes o destinos ficticios.</w:t>
            </w:r>
          </w:p>
        </w:tc>
      </w:tr>
      <w:tr w:rsidR="00990B14" w14:paraId="39F26ADE" w14:textId="77777777">
        <w:trPr>
          <w:cantSplit/>
          <w:jc w:val="center"/>
        </w:trPr>
        <w:tc>
          <w:tcPr>
            <w:tcW w:w="1900" w:type="dxa"/>
            <w:vMerge/>
            <w:shd w:val="clear" w:color="auto" w:fill="4472C4"/>
            <w:vAlign w:val="center"/>
          </w:tcPr>
          <w:p w14:paraId="6BF993BF" w14:textId="77777777" w:rsidR="00990B14" w:rsidRDefault="00990B14">
            <w:pPr>
              <w:spacing w:before="20" w:after="20"/>
            </w:pPr>
          </w:p>
        </w:tc>
        <w:tc>
          <w:tcPr>
            <w:tcW w:w="1876" w:type="dxa"/>
            <w:shd w:val="clear" w:color="auto" w:fill="D9E2F3"/>
            <w:vAlign w:val="center"/>
          </w:tcPr>
          <w:p w14:paraId="60A60850" w14:textId="77777777" w:rsidR="00990B14" w:rsidRDefault="00000000">
            <w:pPr>
              <w:spacing w:before="20" w:after="20"/>
              <w:jc w:val="both"/>
            </w:pPr>
            <w:r>
              <w:rPr>
                <w:sz w:val="18"/>
                <w:szCs w:val="18"/>
              </w:rPr>
              <w:t>Solución inicial y óptima</w:t>
            </w:r>
          </w:p>
        </w:tc>
        <w:tc>
          <w:tcPr>
            <w:tcW w:w="1876" w:type="dxa"/>
            <w:shd w:val="clear" w:color="auto" w:fill="D9E2F3"/>
            <w:vAlign w:val="center"/>
          </w:tcPr>
          <w:p w14:paraId="5C99BDB4" w14:textId="77777777" w:rsidR="00990B14" w:rsidRDefault="00000000">
            <w:pPr>
              <w:spacing w:before="20" w:after="20"/>
              <w:jc w:val="both"/>
            </w:pPr>
            <w:r>
              <w:rPr>
                <w:sz w:val="18"/>
                <w:szCs w:val="18"/>
              </w:rPr>
              <w:t>No llega a una solución factible.</w:t>
            </w:r>
          </w:p>
        </w:tc>
        <w:tc>
          <w:tcPr>
            <w:tcW w:w="1876" w:type="dxa"/>
            <w:shd w:val="clear" w:color="auto" w:fill="D9E2F3"/>
            <w:vAlign w:val="center"/>
          </w:tcPr>
          <w:p w14:paraId="110F77AA" w14:textId="77777777" w:rsidR="00990B14" w:rsidRDefault="00000000">
            <w:pPr>
              <w:spacing w:before="20" w:after="20"/>
              <w:jc w:val="both"/>
            </w:pPr>
            <w:r>
              <w:rPr>
                <w:sz w:val="18"/>
                <w:szCs w:val="18"/>
              </w:rPr>
              <w:t>Obtiene la solución inicial y prueba su optimalidad.</w:t>
            </w:r>
          </w:p>
        </w:tc>
        <w:tc>
          <w:tcPr>
            <w:tcW w:w="1877" w:type="dxa"/>
            <w:shd w:val="clear" w:color="auto" w:fill="D9E2F3"/>
            <w:vAlign w:val="center"/>
          </w:tcPr>
          <w:p w14:paraId="196E5CFF" w14:textId="77777777" w:rsidR="00990B14" w:rsidRDefault="00000000">
            <w:pPr>
              <w:spacing w:before="20" w:after="20"/>
              <w:jc w:val="both"/>
            </w:pPr>
            <w:r>
              <w:rPr>
                <w:sz w:val="18"/>
                <w:szCs w:val="18"/>
              </w:rPr>
              <w:t>Compara el costo de los tres métodos iniciales.</w:t>
            </w:r>
          </w:p>
        </w:tc>
      </w:tr>
      <w:tr w:rsidR="00990B14" w14:paraId="40F9EBDD" w14:textId="77777777">
        <w:trPr>
          <w:cantSplit/>
          <w:jc w:val="center"/>
        </w:trPr>
        <w:tc>
          <w:tcPr>
            <w:tcW w:w="1900" w:type="dxa"/>
            <w:vMerge/>
            <w:shd w:val="clear" w:color="auto" w:fill="4472C4"/>
            <w:vAlign w:val="center"/>
          </w:tcPr>
          <w:p w14:paraId="23FAA463" w14:textId="77777777" w:rsidR="00990B14" w:rsidRDefault="00990B14">
            <w:pPr>
              <w:spacing w:before="20" w:after="20"/>
            </w:pPr>
          </w:p>
        </w:tc>
        <w:tc>
          <w:tcPr>
            <w:tcW w:w="1876" w:type="dxa"/>
            <w:shd w:val="clear" w:color="auto" w:fill="D9E2F3"/>
            <w:vAlign w:val="center"/>
          </w:tcPr>
          <w:p w14:paraId="6181265B" w14:textId="77777777" w:rsidR="00990B14" w:rsidRDefault="00000000">
            <w:pPr>
              <w:spacing w:before="20" w:after="20"/>
              <w:jc w:val="both"/>
            </w:pPr>
            <w:r>
              <w:rPr>
                <w:sz w:val="18"/>
                <w:szCs w:val="18"/>
              </w:rPr>
              <w:t>Verificación</w:t>
            </w:r>
          </w:p>
        </w:tc>
        <w:tc>
          <w:tcPr>
            <w:tcW w:w="1876" w:type="dxa"/>
            <w:shd w:val="clear" w:color="auto" w:fill="D9E2F3"/>
            <w:vAlign w:val="center"/>
          </w:tcPr>
          <w:p w14:paraId="32A95A55" w14:textId="77777777" w:rsidR="00990B14" w:rsidRDefault="00000000">
            <w:pPr>
              <w:spacing w:before="20" w:after="20"/>
              <w:jc w:val="both"/>
            </w:pPr>
            <w:r>
              <w:rPr>
                <w:sz w:val="18"/>
                <w:szCs w:val="18"/>
              </w:rPr>
              <w:t>No verifica la solución.</w:t>
            </w:r>
          </w:p>
        </w:tc>
        <w:tc>
          <w:tcPr>
            <w:tcW w:w="1876" w:type="dxa"/>
            <w:shd w:val="clear" w:color="auto" w:fill="D9E2F3"/>
            <w:vAlign w:val="center"/>
          </w:tcPr>
          <w:p w14:paraId="25FB5096" w14:textId="77777777" w:rsidR="00990B14" w:rsidRDefault="00000000">
            <w:pPr>
              <w:spacing w:before="20" w:after="20"/>
              <w:jc w:val="both"/>
            </w:pPr>
            <w:r>
              <w:rPr>
                <w:sz w:val="18"/>
                <w:szCs w:val="18"/>
              </w:rPr>
              <w:t>Verifica la solución con Solver.</w:t>
            </w:r>
          </w:p>
        </w:tc>
        <w:tc>
          <w:tcPr>
            <w:tcW w:w="1877" w:type="dxa"/>
            <w:shd w:val="clear" w:color="auto" w:fill="D9E2F3"/>
            <w:vAlign w:val="center"/>
          </w:tcPr>
          <w:p w14:paraId="354F5EF0" w14:textId="77777777" w:rsidR="00990B14" w:rsidRDefault="00000000">
            <w:pPr>
              <w:spacing w:before="20" w:after="20"/>
              <w:jc w:val="both"/>
            </w:pPr>
            <w:r>
              <w:rPr>
                <w:sz w:val="18"/>
                <w:szCs w:val="18"/>
              </w:rPr>
              <w:t>Propone mejoras a la red de distribución.</w:t>
            </w:r>
          </w:p>
        </w:tc>
      </w:tr>
      <w:tr w:rsidR="00990B14" w14:paraId="6F8D726E" w14:textId="77777777">
        <w:trPr>
          <w:cantSplit/>
          <w:jc w:val="center"/>
        </w:trPr>
        <w:tc>
          <w:tcPr>
            <w:tcW w:w="1900" w:type="dxa"/>
            <w:vMerge/>
            <w:shd w:val="clear" w:color="auto" w:fill="4472C4"/>
            <w:vAlign w:val="center"/>
          </w:tcPr>
          <w:p w14:paraId="4EDA4C7C" w14:textId="77777777" w:rsidR="00990B14" w:rsidRDefault="00990B14">
            <w:pPr>
              <w:spacing w:before="20" w:after="20"/>
            </w:pPr>
          </w:p>
        </w:tc>
        <w:tc>
          <w:tcPr>
            <w:tcW w:w="5628" w:type="dxa"/>
            <w:gridSpan w:val="3"/>
            <w:shd w:val="clear" w:color="auto" w:fill="D9E2F3"/>
            <w:vAlign w:val="center"/>
          </w:tcPr>
          <w:p w14:paraId="27B50AAA" w14:textId="77777777" w:rsidR="00990B14" w:rsidRDefault="00000000">
            <w:pPr>
              <w:keepNext/>
              <w:spacing w:before="20" w:after="20"/>
              <w:jc w:val="both"/>
            </w:pPr>
            <w:r>
              <w:rPr>
                <w:b/>
                <w:bCs/>
                <w:i/>
                <w:iCs/>
                <w:sz w:val="18"/>
                <w:szCs w:val="18"/>
              </w:rPr>
              <w:t xml:space="preserve">Producto 8: </w:t>
            </w:r>
            <w:r>
              <w:rPr>
                <w:sz w:val="18"/>
                <w:szCs w:val="18"/>
              </w:rPr>
              <w:t>Diagrama de red</w:t>
            </w:r>
          </w:p>
        </w:tc>
        <w:tc>
          <w:tcPr>
            <w:tcW w:w="1877" w:type="dxa"/>
            <w:shd w:val="clear" w:color="auto" w:fill="D9E2F3"/>
            <w:vAlign w:val="center"/>
          </w:tcPr>
          <w:p w14:paraId="6766D886" w14:textId="77777777" w:rsidR="00990B14" w:rsidRDefault="00000000">
            <w:pPr>
              <w:spacing w:before="20" w:after="20"/>
              <w:jc w:val="center"/>
            </w:pPr>
            <w:r>
              <w:rPr>
                <w:b/>
                <w:bCs/>
                <w:sz w:val="18"/>
                <w:szCs w:val="18"/>
              </w:rPr>
              <w:t>5%</w:t>
            </w:r>
          </w:p>
        </w:tc>
      </w:tr>
      <w:tr w:rsidR="00990B14" w14:paraId="2B8B4B2A" w14:textId="77777777">
        <w:trPr>
          <w:cantSplit/>
          <w:jc w:val="center"/>
        </w:trPr>
        <w:tc>
          <w:tcPr>
            <w:tcW w:w="1900" w:type="dxa"/>
            <w:vMerge/>
            <w:shd w:val="clear" w:color="auto" w:fill="4472C4"/>
            <w:vAlign w:val="center"/>
          </w:tcPr>
          <w:p w14:paraId="206BD96D" w14:textId="77777777" w:rsidR="00990B14" w:rsidRDefault="00990B14">
            <w:pPr>
              <w:spacing w:before="20" w:after="20"/>
            </w:pPr>
          </w:p>
        </w:tc>
        <w:tc>
          <w:tcPr>
            <w:tcW w:w="1876" w:type="dxa"/>
            <w:shd w:val="clear" w:color="auto" w:fill="4472C4"/>
            <w:vAlign w:val="center"/>
          </w:tcPr>
          <w:p w14:paraId="648100FD"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440FD44F"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2E50B1D8"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68C36875" w14:textId="77777777" w:rsidR="00990B14" w:rsidRDefault="00000000">
            <w:pPr>
              <w:keepNext/>
              <w:spacing w:before="20" w:after="20"/>
              <w:jc w:val="center"/>
            </w:pPr>
            <w:r>
              <w:rPr>
                <w:b/>
                <w:bCs/>
                <w:i/>
                <w:iCs/>
                <w:color w:val="FFFFFF"/>
                <w:sz w:val="18"/>
                <w:szCs w:val="18"/>
              </w:rPr>
              <w:t>Destacado (81–100)</w:t>
            </w:r>
          </w:p>
        </w:tc>
      </w:tr>
      <w:tr w:rsidR="00990B14" w14:paraId="340A6E7E" w14:textId="77777777">
        <w:trPr>
          <w:cantSplit/>
          <w:jc w:val="center"/>
        </w:trPr>
        <w:tc>
          <w:tcPr>
            <w:tcW w:w="1900" w:type="dxa"/>
            <w:vMerge/>
            <w:shd w:val="clear" w:color="auto" w:fill="4472C4"/>
            <w:vAlign w:val="center"/>
          </w:tcPr>
          <w:p w14:paraId="19CF4B00" w14:textId="77777777" w:rsidR="00990B14" w:rsidRDefault="00990B14">
            <w:pPr>
              <w:spacing w:before="20" w:after="20"/>
            </w:pPr>
          </w:p>
        </w:tc>
        <w:tc>
          <w:tcPr>
            <w:tcW w:w="1876" w:type="dxa"/>
            <w:shd w:val="clear" w:color="auto" w:fill="D9E2F3"/>
            <w:vAlign w:val="center"/>
          </w:tcPr>
          <w:p w14:paraId="407CF014" w14:textId="77777777" w:rsidR="00990B14" w:rsidRDefault="00000000">
            <w:pPr>
              <w:spacing w:before="20" w:after="20"/>
              <w:jc w:val="both"/>
            </w:pPr>
            <w:r>
              <w:rPr>
                <w:sz w:val="18"/>
                <w:szCs w:val="18"/>
              </w:rPr>
              <w:t>Representación de la red</w:t>
            </w:r>
          </w:p>
        </w:tc>
        <w:tc>
          <w:tcPr>
            <w:tcW w:w="1876" w:type="dxa"/>
            <w:shd w:val="clear" w:color="auto" w:fill="D9E2F3"/>
            <w:vAlign w:val="center"/>
          </w:tcPr>
          <w:p w14:paraId="14130822" w14:textId="77777777" w:rsidR="00990B14" w:rsidRDefault="00000000">
            <w:pPr>
              <w:spacing w:before="20" w:after="20"/>
              <w:jc w:val="both"/>
            </w:pPr>
            <w:r>
              <w:rPr>
                <w:sz w:val="18"/>
                <w:szCs w:val="18"/>
              </w:rPr>
              <w:t>Los nodos o arcos no corresponden al caso.</w:t>
            </w:r>
          </w:p>
        </w:tc>
        <w:tc>
          <w:tcPr>
            <w:tcW w:w="1876" w:type="dxa"/>
            <w:shd w:val="clear" w:color="auto" w:fill="D9E2F3"/>
            <w:vAlign w:val="center"/>
          </w:tcPr>
          <w:p w14:paraId="392BC42A" w14:textId="77777777" w:rsidR="00990B14" w:rsidRDefault="00000000">
            <w:pPr>
              <w:spacing w:before="20" w:after="20"/>
              <w:jc w:val="both"/>
            </w:pPr>
            <w:r>
              <w:rPr>
                <w:sz w:val="18"/>
                <w:szCs w:val="18"/>
              </w:rPr>
              <w:t>Representa correctamente la red.</w:t>
            </w:r>
          </w:p>
        </w:tc>
        <w:tc>
          <w:tcPr>
            <w:tcW w:w="1877" w:type="dxa"/>
            <w:shd w:val="clear" w:color="auto" w:fill="D9E2F3"/>
            <w:vAlign w:val="center"/>
          </w:tcPr>
          <w:p w14:paraId="5F11417E" w14:textId="77777777" w:rsidR="00990B14" w:rsidRDefault="00000000">
            <w:pPr>
              <w:spacing w:before="20" w:after="20"/>
              <w:jc w:val="both"/>
            </w:pPr>
            <w:r>
              <w:rPr>
                <w:sz w:val="18"/>
                <w:szCs w:val="18"/>
              </w:rPr>
              <w:t>Incluye capacidades y distancias rotuladas.</w:t>
            </w:r>
          </w:p>
        </w:tc>
      </w:tr>
      <w:tr w:rsidR="00990B14" w14:paraId="32116CD5" w14:textId="77777777">
        <w:trPr>
          <w:cantSplit/>
          <w:jc w:val="center"/>
        </w:trPr>
        <w:tc>
          <w:tcPr>
            <w:tcW w:w="1900" w:type="dxa"/>
            <w:vMerge/>
            <w:shd w:val="clear" w:color="auto" w:fill="4472C4"/>
            <w:vAlign w:val="center"/>
          </w:tcPr>
          <w:p w14:paraId="0F3DAAF2" w14:textId="77777777" w:rsidR="00990B14" w:rsidRDefault="00990B14">
            <w:pPr>
              <w:spacing w:before="20" w:after="20"/>
            </w:pPr>
          </w:p>
        </w:tc>
        <w:tc>
          <w:tcPr>
            <w:tcW w:w="1876" w:type="dxa"/>
            <w:shd w:val="clear" w:color="auto" w:fill="D9E2F3"/>
            <w:vAlign w:val="center"/>
          </w:tcPr>
          <w:p w14:paraId="4BD3D137" w14:textId="77777777" w:rsidR="00990B14" w:rsidRDefault="00000000">
            <w:pPr>
              <w:spacing w:before="20" w:after="20"/>
              <w:jc w:val="both"/>
            </w:pPr>
            <w:r>
              <w:rPr>
                <w:sz w:val="18"/>
                <w:szCs w:val="18"/>
              </w:rPr>
              <w:t>Algoritmos</w:t>
            </w:r>
          </w:p>
        </w:tc>
        <w:tc>
          <w:tcPr>
            <w:tcW w:w="1876" w:type="dxa"/>
            <w:shd w:val="clear" w:color="auto" w:fill="D9E2F3"/>
            <w:vAlign w:val="center"/>
          </w:tcPr>
          <w:p w14:paraId="180E19E1" w14:textId="77777777" w:rsidR="00990B14" w:rsidRDefault="00000000">
            <w:pPr>
              <w:spacing w:before="20" w:after="20"/>
              <w:jc w:val="both"/>
            </w:pPr>
            <w:r>
              <w:rPr>
                <w:sz w:val="18"/>
                <w:szCs w:val="18"/>
              </w:rPr>
              <w:t>Aplica mal el algoritmo.</w:t>
            </w:r>
          </w:p>
        </w:tc>
        <w:tc>
          <w:tcPr>
            <w:tcW w:w="1876" w:type="dxa"/>
            <w:shd w:val="clear" w:color="auto" w:fill="D9E2F3"/>
            <w:vAlign w:val="center"/>
          </w:tcPr>
          <w:p w14:paraId="7003799E" w14:textId="77777777" w:rsidR="00990B14" w:rsidRDefault="00000000">
            <w:pPr>
              <w:spacing w:before="20" w:after="20"/>
              <w:jc w:val="both"/>
            </w:pPr>
            <w:r>
              <w:rPr>
                <w:sz w:val="18"/>
                <w:szCs w:val="18"/>
              </w:rPr>
              <w:t>Halla la ruta más corta y el flujo máximo.</w:t>
            </w:r>
          </w:p>
        </w:tc>
        <w:tc>
          <w:tcPr>
            <w:tcW w:w="1877" w:type="dxa"/>
            <w:shd w:val="clear" w:color="auto" w:fill="D9E2F3"/>
            <w:vAlign w:val="center"/>
          </w:tcPr>
          <w:p w14:paraId="505D9B08" w14:textId="77777777" w:rsidR="00990B14" w:rsidRDefault="00000000">
            <w:pPr>
              <w:spacing w:before="20" w:after="20"/>
              <w:jc w:val="both"/>
            </w:pPr>
            <w:r>
              <w:rPr>
                <w:sz w:val="18"/>
                <w:szCs w:val="18"/>
              </w:rPr>
              <w:t>Identifica los cuellos de botella de la red.</w:t>
            </w:r>
          </w:p>
        </w:tc>
      </w:tr>
      <w:tr w:rsidR="00990B14" w14:paraId="26C6511E" w14:textId="77777777">
        <w:trPr>
          <w:cantSplit/>
          <w:jc w:val="center"/>
        </w:trPr>
        <w:tc>
          <w:tcPr>
            <w:tcW w:w="1900" w:type="dxa"/>
            <w:vMerge/>
            <w:shd w:val="clear" w:color="auto" w:fill="4472C4"/>
            <w:vAlign w:val="center"/>
          </w:tcPr>
          <w:p w14:paraId="6188E292" w14:textId="77777777" w:rsidR="00990B14" w:rsidRDefault="00990B14">
            <w:pPr>
              <w:spacing w:before="20" w:after="20"/>
            </w:pPr>
          </w:p>
        </w:tc>
        <w:tc>
          <w:tcPr>
            <w:tcW w:w="1876" w:type="dxa"/>
            <w:shd w:val="clear" w:color="auto" w:fill="D9E2F3"/>
            <w:vAlign w:val="center"/>
          </w:tcPr>
          <w:p w14:paraId="5B68E7E9" w14:textId="77777777" w:rsidR="00990B14" w:rsidRDefault="00000000">
            <w:pPr>
              <w:spacing w:before="20" w:after="20"/>
              <w:jc w:val="both"/>
            </w:pPr>
            <w:r>
              <w:rPr>
                <w:sz w:val="18"/>
                <w:szCs w:val="18"/>
              </w:rPr>
              <w:t>Exposición</w:t>
            </w:r>
          </w:p>
        </w:tc>
        <w:tc>
          <w:tcPr>
            <w:tcW w:w="1876" w:type="dxa"/>
            <w:shd w:val="clear" w:color="auto" w:fill="D9E2F3"/>
            <w:vAlign w:val="center"/>
          </w:tcPr>
          <w:p w14:paraId="6295AC8F" w14:textId="77777777" w:rsidR="00990B14" w:rsidRDefault="00000000">
            <w:pPr>
              <w:spacing w:before="20" w:after="20"/>
              <w:jc w:val="both"/>
            </w:pPr>
            <w:r>
              <w:rPr>
                <w:sz w:val="18"/>
                <w:szCs w:val="18"/>
              </w:rPr>
              <w:t>La exposición es confusa.</w:t>
            </w:r>
          </w:p>
        </w:tc>
        <w:tc>
          <w:tcPr>
            <w:tcW w:w="1876" w:type="dxa"/>
            <w:shd w:val="clear" w:color="auto" w:fill="D9E2F3"/>
            <w:vAlign w:val="center"/>
          </w:tcPr>
          <w:p w14:paraId="2309DEC4" w14:textId="77777777" w:rsidR="00990B14" w:rsidRDefault="00000000">
            <w:pPr>
              <w:spacing w:before="20" w:after="20"/>
              <w:jc w:val="both"/>
            </w:pPr>
            <w:r>
              <w:rPr>
                <w:sz w:val="18"/>
                <w:szCs w:val="18"/>
              </w:rPr>
              <w:t>Explica el procedimiento con claridad.</w:t>
            </w:r>
          </w:p>
        </w:tc>
        <w:tc>
          <w:tcPr>
            <w:tcW w:w="1877" w:type="dxa"/>
            <w:shd w:val="clear" w:color="auto" w:fill="D9E2F3"/>
            <w:vAlign w:val="center"/>
          </w:tcPr>
          <w:p w14:paraId="4CB3BF7F" w14:textId="77777777" w:rsidR="00990B14" w:rsidRDefault="00000000">
            <w:pPr>
              <w:spacing w:before="20" w:after="20"/>
              <w:jc w:val="both"/>
            </w:pPr>
            <w:r>
              <w:rPr>
                <w:sz w:val="18"/>
                <w:szCs w:val="18"/>
              </w:rPr>
              <w:t>Responde con solvencia las preguntas del curso.</w:t>
            </w:r>
          </w:p>
        </w:tc>
      </w:tr>
      <w:tr w:rsidR="00990B14" w14:paraId="4BFB7E94" w14:textId="77777777">
        <w:trPr>
          <w:cantSplit/>
          <w:jc w:val="center"/>
        </w:trPr>
        <w:tc>
          <w:tcPr>
            <w:tcW w:w="1900" w:type="dxa"/>
            <w:vMerge/>
            <w:shd w:val="clear" w:color="auto" w:fill="4472C4"/>
            <w:vAlign w:val="center"/>
          </w:tcPr>
          <w:p w14:paraId="2122A78B" w14:textId="77777777" w:rsidR="00990B14" w:rsidRDefault="00990B14">
            <w:pPr>
              <w:spacing w:before="20" w:after="20"/>
            </w:pPr>
          </w:p>
        </w:tc>
        <w:tc>
          <w:tcPr>
            <w:tcW w:w="5628" w:type="dxa"/>
            <w:gridSpan w:val="3"/>
            <w:shd w:val="clear" w:color="auto" w:fill="D9E2F3"/>
            <w:vAlign w:val="center"/>
          </w:tcPr>
          <w:p w14:paraId="49824973" w14:textId="77777777" w:rsidR="00990B14" w:rsidRDefault="00000000">
            <w:pPr>
              <w:keepNext/>
              <w:spacing w:before="20" w:after="20"/>
              <w:jc w:val="both"/>
            </w:pPr>
            <w:r>
              <w:rPr>
                <w:b/>
                <w:bCs/>
                <w:i/>
                <w:iCs/>
                <w:sz w:val="18"/>
                <w:szCs w:val="18"/>
              </w:rPr>
              <w:t xml:space="preserve">Producto 9: </w:t>
            </w:r>
            <w:r>
              <w:rPr>
                <w:sz w:val="18"/>
                <w:szCs w:val="18"/>
              </w:rPr>
              <w:t>Práctico de análisis combinatorio</w:t>
            </w:r>
          </w:p>
        </w:tc>
        <w:tc>
          <w:tcPr>
            <w:tcW w:w="1877" w:type="dxa"/>
            <w:shd w:val="clear" w:color="auto" w:fill="D9E2F3"/>
            <w:vAlign w:val="center"/>
          </w:tcPr>
          <w:p w14:paraId="2648A555" w14:textId="77777777" w:rsidR="00990B14" w:rsidRDefault="00000000">
            <w:pPr>
              <w:spacing w:before="20" w:after="20"/>
              <w:jc w:val="center"/>
            </w:pPr>
            <w:r>
              <w:rPr>
                <w:b/>
                <w:bCs/>
                <w:sz w:val="18"/>
                <w:szCs w:val="18"/>
              </w:rPr>
              <w:t>3%</w:t>
            </w:r>
          </w:p>
        </w:tc>
      </w:tr>
      <w:tr w:rsidR="00990B14" w14:paraId="4CEA0A27" w14:textId="77777777">
        <w:trPr>
          <w:cantSplit/>
          <w:jc w:val="center"/>
        </w:trPr>
        <w:tc>
          <w:tcPr>
            <w:tcW w:w="1900" w:type="dxa"/>
            <w:vMerge/>
            <w:shd w:val="clear" w:color="auto" w:fill="4472C4"/>
            <w:vAlign w:val="center"/>
          </w:tcPr>
          <w:p w14:paraId="0A33BF4C" w14:textId="77777777" w:rsidR="00990B14" w:rsidRDefault="00990B14">
            <w:pPr>
              <w:spacing w:before="20" w:after="20"/>
            </w:pPr>
          </w:p>
        </w:tc>
        <w:tc>
          <w:tcPr>
            <w:tcW w:w="1876" w:type="dxa"/>
            <w:shd w:val="clear" w:color="auto" w:fill="4472C4"/>
            <w:vAlign w:val="center"/>
          </w:tcPr>
          <w:p w14:paraId="7E3E7DAE"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3E686975"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46A2810D"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633D9781" w14:textId="77777777" w:rsidR="00990B14" w:rsidRDefault="00000000">
            <w:pPr>
              <w:keepNext/>
              <w:spacing w:before="20" w:after="20"/>
              <w:jc w:val="center"/>
            </w:pPr>
            <w:r>
              <w:rPr>
                <w:b/>
                <w:bCs/>
                <w:i/>
                <w:iCs/>
                <w:color w:val="FFFFFF"/>
                <w:sz w:val="18"/>
                <w:szCs w:val="18"/>
              </w:rPr>
              <w:t>Destacado (81–100)</w:t>
            </w:r>
          </w:p>
        </w:tc>
      </w:tr>
      <w:tr w:rsidR="00990B14" w14:paraId="3390BBC0" w14:textId="77777777">
        <w:trPr>
          <w:cantSplit/>
          <w:jc w:val="center"/>
        </w:trPr>
        <w:tc>
          <w:tcPr>
            <w:tcW w:w="1900" w:type="dxa"/>
            <w:vMerge/>
            <w:shd w:val="clear" w:color="auto" w:fill="4472C4"/>
            <w:vAlign w:val="center"/>
          </w:tcPr>
          <w:p w14:paraId="49944F49" w14:textId="77777777" w:rsidR="00990B14" w:rsidRDefault="00990B14">
            <w:pPr>
              <w:spacing w:before="20" w:after="20"/>
            </w:pPr>
          </w:p>
        </w:tc>
        <w:tc>
          <w:tcPr>
            <w:tcW w:w="1876" w:type="dxa"/>
            <w:shd w:val="clear" w:color="auto" w:fill="D9E2F3"/>
            <w:vAlign w:val="center"/>
          </w:tcPr>
          <w:p w14:paraId="59B28A8B" w14:textId="77777777" w:rsidR="00990B14" w:rsidRDefault="00000000">
            <w:pPr>
              <w:spacing w:before="20" w:after="20"/>
              <w:jc w:val="both"/>
            </w:pPr>
            <w:r>
              <w:rPr>
                <w:sz w:val="18"/>
                <w:szCs w:val="18"/>
              </w:rPr>
              <w:t>Identificación del caso</w:t>
            </w:r>
          </w:p>
        </w:tc>
        <w:tc>
          <w:tcPr>
            <w:tcW w:w="1876" w:type="dxa"/>
            <w:shd w:val="clear" w:color="auto" w:fill="D9E2F3"/>
            <w:vAlign w:val="center"/>
          </w:tcPr>
          <w:p w14:paraId="3179ED55" w14:textId="77777777" w:rsidR="00990B14" w:rsidRDefault="00000000">
            <w:pPr>
              <w:spacing w:before="20" w:after="20"/>
              <w:jc w:val="both"/>
            </w:pPr>
            <w:r>
              <w:rPr>
                <w:sz w:val="18"/>
                <w:szCs w:val="18"/>
              </w:rPr>
              <w:t>Confunde variaciones, permutaciones y combinaciones.</w:t>
            </w:r>
          </w:p>
        </w:tc>
        <w:tc>
          <w:tcPr>
            <w:tcW w:w="1876" w:type="dxa"/>
            <w:shd w:val="clear" w:color="auto" w:fill="D9E2F3"/>
            <w:vAlign w:val="center"/>
          </w:tcPr>
          <w:p w14:paraId="2D92B2DE" w14:textId="77777777" w:rsidR="00990B14" w:rsidRDefault="00000000">
            <w:pPr>
              <w:spacing w:before="20" w:after="20"/>
              <w:jc w:val="both"/>
            </w:pPr>
            <w:r>
              <w:rPr>
                <w:sz w:val="18"/>
                <w:szCs w:val="18"/>
              </w:rPr>
              <w:t>Identifica si importa el orden y la repetición.</w:t>
            </w:r>
          </w:p>
        </w:tc>
        <w:tc>
          <w:tcPr>
            <w:tcW w:w="1877" w:type="dxa"/>
            <w:shd w:val="clear" w:color="auto" w:fill="D9E2F3"/>
            <w:vAlign w:val="center"/>
          </w:tcPr>
          <w:p w14:paraId="6FE4B215" w14:textId="77777777" w:rsidR="00990B14" w:rsidRDefault="00000000">
            <w:pPr>
              <w:spacing w:before="20" w:after="20"/>
              <w:jc w:val="both"/>
            </w:pPr>
            <w:r>
              <w:rPr>
                <w:sz w:val="18"/>
                <w:szCs w:val="18"/>
              </w:rPr>
              <w:t>Justifica la elección de la fórmula.</w:t>
            </w:r>
          </w:p>
        </w:tc>
      </w:tr>
      <w:tr w:rsidR="00990B14" w14:paraId="059CF602" w14:textId="77777777">
        <w:trPr>
          <w:cantSplit/>
          <w:jc w:val="center"/>
        </w:trPr>
        <w:tc>
          <w:tcPr>
            <w:tcW w:w="1900" w:type="dxa"/>
            <w:vMerge/>
            <w:shd w:val="clear" w:color="auto" w:fill="4472C4"/>
            <w:vAlign w:val="center"/>
          </w:tcPr>
          <w:p w14:paraId="527F92C9" w14:textId="77777777" w:rsidR="00990B14" w:rsidRDefault="00990B14">
            <w:pPr>
              <w:spacing w:before="20" w:after="20"/>
            </w:pPr>
          </w:p>
        </w:tc>
        <w:tc>
          <w:tcPr>
            <w:tcW w:w="1876" w:type="dxa"/>
            <w:shd w:val="clear" w:color="auto" w:fill="D9E2F3"/>
            <w:vAlign w:val="center"/>
          </w:tcPr>
          <w:p w14:paraId="032F014A" w14:textId="77777777" w:rsidR="00990B14" w:rsidRDefault="00000000">
            <w:pPr>
              <w:spacing w:before="20" w:after="20"/>
              <w:jc w:val="both"/>
            </w:pPr>
            <w:r>
              <w:rPr>
                <w:sz w:val="18"/>
                <w:szCs w:val="18"/>
              </w:rPr>
              <w:t>Notación factorial</w:t>
            </w:r>
          </w:p>
        </w:tc>
        <w:tc>
          <w:tcPr>
            <w:tcW w:w="1876" w:type="dxa"/>
            <w:shd w:val="clear" w:color="auto" w:fill="D9E2F3"/>
            <w:vAlign w:val="center"/>
          </w:tcPr>
          <w:p w14:paraId="3D51264F" w14:textId="77777777" w:rsidR="00990B14" w:rsidRDefault="00000000">
            <w:pPr>
              <w:spacing w:before="20" w:after="20"/>
              <w:jc w:val="both"/>
            </w:pPr>
            <w:r>
              <w:rPr>
                <w:sz w:val="18"/>
                <w:szCs w:val="18"/>
              </w:rPr>
              <w:t>Simplifica mal los factoriales.</w:t>
            </w:r>
          </w:p>
        </w:tc>
        <w:tc>
          <w:tcPr>
            <w:tcW w:w="1876" w:type="dxa"/>
            <w:shd w:val="clear" w:color="auto" w:fill="D9E2F3"/>
            <w:vAlign w:val="center"/>
          </w:tcPr>
          <w:p w14:paraId="6D3787E7" w14:textId="77777777" w:rsidR="00990B14" w:rsidRDefault="00000000">
            <w:pPr>
              <w:spacing w:before="20" w:after="20"/>
              <w:jc w:val="both"/>
            </w:pPr>
            <w:r>
              <w:rPr>
                <w:sz w:val="18"/>
                <w:szCs w:val="18"/>
              </w:rPr>
              <w:t>Aplica correctamente la notación factorial.</w:t>
            </w:r>
          </w:p>
        </w:tc>
        <w:tc>
          <w:tcPr>
            <w:tcW w:w="1877" w:type="dxa"/>
            <w:shd w:val="clear" w:color="auto" w:fill="D9E2F3"/>
            <w:vAlign w:val="center"/>
          </w:tcPr>
          <w:p w14:paraId="0665ACA5" w14:textId="77777777" w:rsidR="00990B14" w:rsidRDefault="00000000">
            <w:pPr>
              <w:spacing w:before="20" w:after="20"/>
              <w:jc w:val="both"/>
            </w:pPr>
            <w:r>
              <w:rPr>
                <w:sz w:val="18"/>
                <w:szCs w:val="18"/>
              </w:rPr>
              <w:t>Simplifica antes de operar.</w:t>
            </w:r>
          </w:p>
        </w:tc>
      </w:tr>
      <w:tr w:rsidR="00990B14" w14:paraId="074E2DDA" w14:textId="77777777">
        <w:trPr>
          <w:cantSplit/>
          <w:jc w:val="center"/>
        </w:trPr>
        <w:tc>
          <w:tcPr>
            <w:tcW w:w="1900" w:type="dxa"/>
            <w:vMerge/>
            <w:shd w:val="clear" w:color="auto" w:fill="4472C4"/>
            <w:vAlign w:val="center"/>
          </w:tcPr>
          <w:p w14:paraId="719669D0" w14:textId="77777777" w:rsidR="00990B14" w:rsidRDefault="00990B14">
            <w:pPr>
              <w:spacing w:before="20" w:after="20"/>
            </w:pPr>
          </w:p>
        </w:tc>
        <w:tc>
          <w:tcPr>
            <w:tcW w:w="1876" w:type="dxa"/>
            <w:shd w:val="clear" w:color="auto" w:fill="D9E2F3"/>
            <w:vAlign w:val="center"/>
          </w:tcPr>
          <w:p w14:paraId="32664E85" w14:textId="77777777" w:rsidR="00990B14" w:rsidRDefault="00000000">
            <w:pPr>
              <w:spacing w:before="20" w:after="20"/>
              <w:jc w:val="both"/>
            </w:pPr>
            <w:r>
              <w:rPr>
                <w:sz w:val="18"/>
                <w:szCs w:val="18"/>
              </w:rPr>
              <w:t>Exactitud</w:t>
            </w:r>
          </w:p>
        </w:tc>
        <w:tc>
          <w:tcPr>
            <w:tcW w:w="1876" w:type="dxa"/>
            <w:shd w:val="clear" w:color="auto" w:fill="D9E2F3"/>
            <w:vAlign w:val="center"/>
          </w:tcPr>
          <w:p w14:paraId="19DF04D5" w14:textId="77777777" w:rsidR="00990B14" w:rsidRDefault="00000000">
            <w:pPr>
              <w:spacing w:before="20" w:after="20"/>
              <w:jc w:val="both"/>
            </w:pPr>
            <w:r>
              <w:rPr>
                <w:sz w:val="18"/>
                <w:szCs w:val="18"/>
              </w:rPr>
              <w:t>Presenta errores de cálculo.</w:t>
            </w:r>
          </w:p>
        </w:tc>
        <w:tc>
          <w:tcPr>
            <w:tcW w:w="1876" w:type="dxa"/>
            <w:shd w:val="clear" w:color="auto" w:fill="D9E2F3"/>
            <w:vAlign w:val="center"/>
          </w:tcPr>
          <w:p w14:paraId="1BC921EB" w14:textId="77777777" w:rsidR="00990B14" w:rsidRDefault="00000000">
            <w:pPr>
              <w:spacing w:before="20" w:after="20"/>
              <w:jc w:val="both"/>
            </w:pPr>
            <w:r>
              <w:rPr>
                <w:sz w:val="18"/>
                <w:szCs w:val="18"/>
              </w:rPr>
              <w:t>Los resultados son correctos.</w:t>
            </w:r>
          </w:p>
        </w:tc>
        <w:tc>
          <w:tcPr>
            <w:tcW w:w="1877" w:type="dxa"/>
            <w:shd w:val="clear" w:color="auto" w:fill="D9E2F3"/>
            <w:vAlign w:val="center"/>
          </w:tcPr>
          <w:p w14:paraId="0E26F33D" w14:textId="77777777" w:rsidR="00990B14" w:rsidRDefault="00000000">
            <w:pPr>
              <w:spacing w:before="20" w:after="20"/>
              <w:jc w:val="both"/>
            </w:pPr>
            <w:r>
              <w:rPr>
                <w:sz w:val="18"/>
                <w:szCs w:val="18"/>
              </w:rPr>
              <w:t>Comprueba un caso pequeño por enumeración.</w:t>
            </w:r>
          </w:p>
        </w:tc>
      </w:tr>
      <w:tr w:rsidR="00990B14" w14:paraId="34D9AEAE" w14:textId="77777777">
        <w:trPr>
          <w:cantSplit/>
          <w:jc w:val="center"/>
        </w:trPr>
        <w:tc>
          <w:tcPr>
            <w:tcW w:w="1900" w:type="dxa"/>
            <w:vMerge/>
            <w:shd w:val="clear" w:color="auto" w:fill="4472C4"/>
            <w:vAlign w:val="center"/>
          </w:tcPr>
          <w:p w14:paraId="5D41AAA2" w14:textId="77777777" w:rsidR="00990B14" w:rsidRDefault="00990B14">
            <w:pPr>
              <w:spacing w:before="20" w:after="20"/>
            </w:pPr>
          </w:p>
        </w:tc>
        <w:tc>
          <w:tcPr>
            <w:tcW w:w="5628" w:type="dxa"/>
            <w:gridSpan w:val="3"/>
            <w:shd w:val="clear" w:color="auto" w:fill="D9E2F3"/>
            <w:vAlign w:val="center"/>
          </w:tcPr>
          <w:p w14:paraId="3B3BE9A9" w14:textId="77777777" w:rsidR="00990B14" w:rsidRDefault="00000000">
            <w:pPr>
              <w:keepNext/>
              <w:spacing w:before="20" w:after="20"/>
              <w:jc w:val="both"/>
            </w:pPr>
            <w:r>
              <w:rPr>
                <w:b/>
                <w:bCs/>
                <w:i/>
                <w:iCs/>
                <w:sz w:val="18"/>
                <w:szCs w:val="18"/>
              </w:rPr>
              <w:t xml:space="preserve">Producto 10: </w:t>
            </w:r>
            <w:r>
              <w:rPr>
                <w:sz w:val="18"/>
                <w:szCs w:val="18"/>
              </w:rPr>
              <w:t>Hoja de problemas combinatorios</w:t>
            </w:r>
          </w:p>
        </w:tc>
        <w:tc>
          <w:tcPr>
            <w:tcW w:w="1877" w:type="dxa"/>
            <w:shd w:val="clear" w:color="auto" w:fill="D9E2F3"/>
            <w:vAlign w:val="center"/>
          </w:tcPr>
          <w:p w14:paraId="047FC5F3" w14:textId="77777777" w:rsidR="00990B14" w:rsidRDefault="00000000">
            <w:pPr>
              <w:spacing w:before="20" w:after="20"/>
              <w:jc w:val="center"/>
            </w:pPr>
            <w:r>
              <w:rPr>
                <w:b/>
                <w:bCs/>
                <w:sz w:val="18"/>
                <w:szCs w:val="18"/>
              </w:rPr>
              <w:t>3%</w:t>
            </w:r>
          </w:p>
        </w:tc>
      </w:tr>
      <w:tr w:rsidR="00990B14" w14:paraId="4E423471" w14:textId="77777777">
        <w:trPr>
          <w:cantSplit/>
          <w:jc w:val="center"/>
        </w:trPr>
        <w:tc>
          <w:tcPr>
            <w:tcW w:w="1900" w:type="dxa"/>
            <w:vMerge/>
            <w:shd w:val="clear" w:color="auto" w:fill="4472C4"/>
            <w:vAlign w:val="center"/>
          </w:tcPr>
          <w:p w14:paraId="1E0F13EB" w14:textId="77777777" w:rsidR="00990B14" w:rsidRDefault="00990B14">
            <w:pPr>
              <w:spacing w:before="20" w:after="20"/>
            </w:pPr>
          </w:p>
        </w:tc>
        <w:tc>
          <w:tcPr>
            <w:tcW w:w="1876" w:type="dxa"/>
            <w:shd w:val="clear" w:color="auto" w:fill="4472C4"/>
            <w:vAlign w:val="center"/>
          </w:tcPr>
          <w:p w14:paraId="437BD585"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00BB1D2C"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255AC9E6"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270036C7" w14:textId="77777777" w:rsidR="00990B14" w:rsidRDefault="00000000">
            <w:pPr>
              <w:keepNext/>
              <w:spacing w:before="20" w:after="20"/>
              <w:jc w:val="center"/>
            </w:pPr>
            <w:r>
              <w:rPr>
                <w:b/>
                <w:bCs/>
                <w:i/>
                <w:iCs/>
                <w:color w:val="FFFFFF"/>
                <w:sz w:val="18"/>
                <w:szCs w:val="18"/>
              </w:rPr>
              <w:t>Destacado (81–100)</w:t>
            </w:r>
          </w:p>
        </w:tc>
      </w:tr>
      <w:tr w:rsidR="00990B14" w14:paraId="09D16E94" w14:textId="77777777">
        <w:trPr>
          <w:cantSplit/>
          <w:jc w:val="center"/>
        </w:trPr>
        <w:tc>
          <w:tcPr>
            <w:tcW w:w="1900" w:type="dxa"/>
            <w:vMerge/>
            <w:shd w:val="clear" w:color="auto" w:fill="4472C4"/>
            <w:vAlign w:val="center"/>
          </w:tcPr>
          <w:p w14:paraId="5CE2A176" w14:textId="77777777" w:rsidR="00990B14" w:rsidRDefault="00990B14">
            <w:pPr>
              <w:spacing w:before="20" w:after="20"/>
            </w:pPr>
          </w:p>
        </w:tc>
        <w:tc>
          <w:tcPr>
            <w:tcW w:w="1876" w:type="dxa"/>
            <w:shd w:val="clear" w:color="auto" w:fill="D9E2F3"/>
            <w:vAlign w:val="center"/>
          </w:tcPr>
          <w:p w14:paraId="7D591C42" w14:textId="77777777" w:rsidR="00990B14" w:rsidRDefault="00000000">
            <w:pPr>
              <w:spacing w:before="20" w:after="20"/>
              <w:jc w:val="both"/>
            </w:pPr>
            <w:r>
              <w:rPr>
                <w:sz w:val="18"/>
                <w:szCs w:val="18"/>
              </w:rPr>
              <w:t>Funciones empleadas</w:t>
            </w:r>
          </w:p>
        </w:tc>
        <w:tc>
          <w:tcPr>
            <w:tcW w:w="1876" w:type="dxa"/>
            <w:shd w:val="clear" w:color="auto" w:fill="D9E2F3"/>
            <w:vAlign w:val="center"/>
          </w:tcPr>
          <w:p w14:paraId="5E9DFB7F" w14:textId="77777777" w:rsidR="00990B14" w:rsidRDefault="00000000">
            <w:pPr>
              <w:spacing w:before="20" w:after="20"/>
              <w:jc w:val="both"/>
            </w:pPr>
            <w:r>
              <w:rPr>
                <w:sz w:val="18"/>
                <w:szCs w:val="18"/>
              </w:rPr>
              <w:t>Usa una función que no corresponde.</w:t>
            </w:r>
          </w:p>
        </w:tc>
        <w:tc>
          <w:tcPr>
            <w:tcW w:w="1876" w:type="dxa"/>
            <w:shd w:val="clear" w:color="auto" w:fill="D9E2F3"/>
            <w:vAlign w:val="center"/>
          </w:tcPr>
          <w:p w14:paraId="6DC62A26" w14:textId="77777777" w:rsidR="00990B14" w:rsidRDefault="00000000">
            <w:pPr>
              <w:spacing w:before="20" w:after="20"/>
              <w:jc w:val="both"/>
            </w:pPr>
            <w:r>
              <w:rPr>
                <w:sz w:val="18"/>
                <w:szCs w:val="18"/>
              </w:rPr>
              <w:t>Usa la función adecuada a cada caso.</w:t>
            </w:r>
          </w:p>
        </w:tc>
        <w:tc>
          <w:tcPr>
            <w:tcW w:w="1877" w:type="dxa"/>
            <w:shd w:val="clear" w:color="auto" w:fill="D9E2F3"/>
            <w:vAlign w:val="center"/>
          </w:tcPr>
          <w:p w14:paraId="664BED09" w14:textId="77777777" w:rsidR="00990B14" w:rsidRDefault="00000000">
            <w:pPr>
              <w:spacing w:before="20" w:after="20"/>
              <w:jc w:val="both"/>
            </w:pPr>
            <w:r>
              <w:rPr>
                <w:sz w:val="18"/>
                <w:szCs w:val="18"/>
              </w:rPr>
              <w:t>Explica la equivalencia con la fórmula manual.</w:t>
            </w:r>
          </w:p>
        </w:tc>
      </w:tr>
      <w:tr w:rsidR="00990B14" w14:paraId="32EF951C" w14:textId="77777777">
        <w:trPr>
          <w:cantSplit/>
          <w:jc w:val="center"/>
        </w:trPr>
        <w:tc>
          <w:tcPr>
            <w:tcW w:w="1900" w:type="dxa"/>
            <w:vMerge/>
            <w:shd w:val="clear" w:color="auto" w:fill="4472C4"/>
            <w:vAlign w:val="center"/>
          </w:tcPr>
          <w:p w14:paraId="428BE45B" w14:textId="77777777" w:rsidR="00990B14" w:rsidRDefault="00990B14">
            <w:pPr>
              <w:spacing w:before="20" w:after="20"/>
            </w:pPr>
          </w:p>
        </w:tc>
        <w:tc>
          <w:tcPr>
            <w:tcW w:w="1876" w:type="dxa"/>
            <w:shd w:val="clear" w:color="auto" w:fill="D9E2F3"/>
            <w:vAlign w:val="center"/>
          </w:tcPr>
          <w:p w14:paraId="0BC44091" w14:textId="77777777" w:rsidR="00990B14" w:rsidRDefault="00000000">
            <w:pPr>
              <w:spacing w:before="20" w:after="20"/>
              <w:jc w:val="both"/>
            </w:pPr>
            <w:r>
              <w:rPr>
                <w:sz w:val="18"/>
                <w:szCs w:val="18"/>
              </w:rPr>
              <w:t>Resultados</w:t>
            </w:r>
          </w:p>
        </w:tc>
        <w:tc>
          <w:tcPr>
            <w:tcW w:w="1876" w:type="dxa"/>
            <w:shd w:val="clear" w:color="auto" w:fill="D9E2F3"/>
            <w:vAlign w:val="center"/>
          </w:tcPr>
          <w:p w14:paraId="02EDB56C" w14:textId="77777777" w:rsidR="00990B14" w:rsidRDefault="00000000">
            <w:pPr>
              <w:spacing w:before="20" w:after="20"/>
              <w:jc w:val="both"/>
            </w:pPr>
            <w:r>
              <w:rPr>
                <w:sz w:val="18"/>
                <w:szCs w:val="18"/>
              </w:rPr>
              <w:t>Los resultados no coinciden con el cálculo manual.</w:t>
            </w:r>
          </w:p>
        </w:tc>
        <w:tc>
          <w:tcPr>
            <w:tcW w:w="1876" w:type="dxa"/>
            <w:shd w:val="clear" w:color="auto" w:fill="D9E2F3"/>
            <w:vAlign w:val="center"/>
          </w:tcPr>
          <w:p w14:paraId="7455B34B" w14:textId="77777777" w:rsidR="00990B14" w:rsidRDefault="00000000">
            <w:pPr>
              <w:spacing w:before="20" w:after="20"/>
              <w:jc w:val="both"/>
            </w:pPr>
            <w:r>
              <w:rPr>
                <w:sz w:val="18"/>
                <w:szCs w:val="18"/>
              </w:rPr>
              <w:t>Los resultados son correctos.</w:t>
            </w:r>
          </w:p>
        </w:tc>
        <w:tc>
          <w:tcPr>
            <w:tcW w:w="1877" w:type="dxa"/>
            <w:shd w:val="clear" w:color="auto" w:fill="D9E2F3"/>
            <w:vAlign w:val="center"/>
          </w:tcPr>
          <w:p w14:paraId="16CC33E5" w14:textId="77777777" w:rsidR="00990B14" w:rsidRDefault="00000000">
            <w:pPr>
              <w:spacing w:before="20" w:after="20"/>
              <w:jc w:val="both"/>
            </w:pPr>
            <w:r>
              <w:rPr>
                <w:sz w:val="18"/>
                <w:szCs w:val="18"/>
              </w:rPr>
              <w:t>Analiza cómo crece el número de casos.</w:t>
            </w:r>
          </w:p>
        </w:tc>
      </w:tr>
      <w:tr w:rsidR="00990B14" w14:paraId="30E81694" w14:textId="77777777">
        <w:trPr>
          <w:cantSplit/>
          <w:jc w:val="center"/>
        </w:trPr>
        <w:tc>
          <w:tcPr>
            <w:tcW w:w="1900" w:type="dxa"/>
            <w:vMerge/>
            <w:shd w:val="clear" w:color="auto" w:fill="4472C4"/>
            <w:vAlign w:val="center"/>
          </w:tcPr>
          <w:p w14:paraId="2C382080" w14:textId="77777777" w:rsidR="00990B14" w:rsidRDefault="00990B14">
            <w:pPr>
              <w:spacing w:before="20" w:after="20"/>
            </w:pPr>
          </w:p>
        </w:tc>
        <w:tc>
          <w:tcPr>
            <w:tcW w:w="1876" w:type="dxa"/>
            <w:shd w:val="clear" w:color="auto" w:fill="D9E2F3"/>
            <w:vAlign w:val="center"/>
          </w:tcPr>
          <w:p w14:paraId="0043935D" w14:textId="77777777" w:rsidR="00990B14" w:rsidRDefault="00000000">
            <w:pPr>
              <w:spacing w:before="20" w:after="20"/>
              <w:jc w:val="both"/>
            </w:pPr>
            <w:r>
              <w:rPr>
                <w:sz w:val="18"/>
                <w:szCs w:val="18"/>
              </w:rPr>
              <w:t>Presentación</w:t>
            </w:r>
          </w:p>
        </w:tc>
        <w:tc>
          <w:tcPr>
            <w:tcW w:w="1876" w:type="dxa"/>
            <w:shd w:val="clear" w:color="auto" w:fill="D9E2F3"/>
            <w:vAlign w:val="center"/>
          </w:tcPr>
          <w:p w14:paraId="3B79077D" w14:textId="77777777" w:rsidR="00990B14" w:rsidRDefault="00000000">
            <w:pPr>
              <w:spacing w:before="20" w:after="20"/>
              <w:jc w:val="both"/>
            </w:pPr>
            <w:r>
              <w:rPr>
                <w:sz w:val="18"/>
                <w:szCs w:val="18"/>
              </w:rPr>
              <w:t>La hoja es desordenada.</w:t>
            </w:r>
          </w:p>
        </w:tc>
        <w:tc>
          <w:tcPr>
            <w:tcW w:w="1876" w:type="dxa"/>
            <w:shd w:val="clear" w:color="auto" w:fill="D9E2F3"/>
            <w:vAlign w:val="center"/>
          </w:tcPr>
          <w:p w14:paraId="2D2122CD" w14:textId="77777777" w:rsidR="00990B14" w:rsidRDefault="00000000">
            <w:pPr>
              <w:spacing w:before="20" w:after="20"/>
              <w:jc w:val="both"/>
            </w:pPr>
            <w:r>
              <w:rPr>
                <w:sz w:val="18"/>
                <w:szCs w:val="18"/>
              </w:rPr>
              <w:t>La hoja es clara y rotulada.</w:t>
            </w:r>
          </w:p>
        </w:tc>
        <w:tc>
          <w:tcPr>
            <w:tcW w:w="1877" w:type="dxa"/>
            <w:shd w:val="clear" w:color="auto" w:fill="D9E2F3"/>
            <w:vAlign w:val="center"/>
          </w:tcPr>
          <w:p w14:paraId="6B40D2E9" w14:textId="77777777" w:rsidR="00990B14" w:rsidRDefault="00000000">
            <w:pPr>
              <w:spacing w:before="20" w:after="20"/>
              <w:jc w:val="both"/>
            </w:pPr>
            <w:r>
              <w:rPr>
                <w:sz w:val="18"/>
                <w:szCs w:val="18"/>
              </w:rPr>
              <w:t>Permite cambiar los datos con facilidad.</w:t>
            </w:r>
          </w:p>
        </w:tc>
      </w:tr>
      <w:tr w:rsidR="00990B14" w14:paraId="684331FC" w14:textId="77777777">
        <w:trPr>
          <w:cantSplit/>
          <w:jc w:val="center"/>
        </w:trPr>
        <w:tc>
          <w:tcPr>
            <w:tcW w:w="1900" w:type="dxa"/>
            <w:vMerge/>
            <w:shd w:val="clear" w:color="auto" w:fill="4472C4"/>
            <w:vAlign w:val="center"/>
          </w:tcPr>
          <w:p w14:paraId="52B6EED3" w14:textId="77777777" w:rsidR="00990B14" w:rsidRDefault="00990B14">
            <w:pPr>
              <w:spacing w:before="20" w:after="20"/>
            </w:pPr>
          </w:p>
        </w:tc>
        <w:tc>
          <w:tcPr>
            <w:tcW w:w="5628" w:type="dxa"/>
            <w:gridSpan w:val="3"/>
            <w:shd w:val="clear" w:color="auto" w:fill="D9E2F3"/>
            <w:vAlign w:val="center"/>
          </w:tcPr>
          <w:p w14:paraId="4EF5044B" w14:textId="77777777" w:rsidR="00990B14" w:rsidRDefault="00000000">
            <w:pPr>
              <w:keepNext/>
              <w:spacing w:before="20" w:after="20"/>
              <w:jc w:val="both"/>
            </w:pPr>
            <w:r>
              <w:rPr>
                <w:b/>
                <w:bCs/>
                <w:i/>
                <w:iCs/>
                <w:sz w:val="18"/>
                <w:szCs w:val="18"/>
              </w:rPr>
              <w:t xml:space="preserve">Producto 11: </w:t>
            </w:r>
            <w:r>
              <w:rPr>
                <w:sz w:val="18"/>
                <w:szCs w:val="18"/>
              </w:rPr>
              <w:t>Informe de muestras posibles</w:t>
            </w:r>
          </w:p>
        </w:tc>
        <w:tc>
          <w:tcPr>
            <w:tcW w:w="1877" w:type="dxa"/>
            <w:shd w:val="clear" w:color="auto" w:fill="D9E2F3"/>
            <w:vAlign w:val="center"/>
          </w:tcPr>
          <w:p w14:paraId="28B2A3D0" w14:textId="77777777" w:rsidR="00990B14" w:rsidRDefault="00000000">
            <w:pPr>
              <w:spacing w:before="20" w:after="20"/>
              <w:jc w:val="center"/>
            </w:pPr>
            <w:r>
              <w:rPr>
                <w:b/>
                <w:bCs/>
                <w:sz w:val="18"/>
                <w:szCs w:val="18"/>
              </w:rPr>
              <w:t>2%</w:t>
            </w:r>
          </w:p>
        </w:tc>
      </w:tr>
      <w:tr w:rsidR="00990B14" w14:paraId="234EE93E" w14:textId="77777777">
        <w:trPr>
          <w:cantSplit/>
          <w:jc w:val="center"/>
        </w:trPr>
        <w:tc>
          <w:tcPr>
            <w:tcW w:w="1900" w:type="dxa"/>
            <w:vMerge/>
            <w:shd w:val="clear" w:color="auto" w:fill="4472C4"/>
            <w:vAlign w:val="center"/>
          </w:tcPr>
          <w:p w14:paraId="74E17F10" w14:textId="77777777" w:rsidR="00990B14" w:rsidRDefault="00990B14">
            <w:pPr>
              <w:spacing w:before="20" w:after="20"/>
            </w:pPr>
          </w:p>
        </w:tc>
        <w:tc>
          <w:tcPr>
            <w:tcW w:w="1876" w:type="dxa"/>
            <w:shd w:val="clear" w:color="auto" w:fill="4472C4"/>
            <w:vAlign w:val="center"/>
          </w:tcPr>
          <w:p w14:paraId="09D485F2"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39235594"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1B96DF3E"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05FF0426" w14:textId="77777777" w:rsidR="00990B14" w:rsidRDefault="00000000">
            <w:pPr>
              <w:keepNext/>
              <w:spacing w:before="20" w:after="20"/>
              <w:jc w:val="center"/>
            </w:pPr>
            <w:r>
              <w:rPr>
                <w:b/>
                <w:bCs/>
                <w:i/>
                <w:iCs/>
                <w:color w:val="FFFFFF"/>
                <w:sz w:val="18"/>
                <w:szCs w:val="18"/>
              </w:rPr>
              <w:t>Destacado (81–100)</w:t>
            </w:r>
          </w:p>
        </w:tc>
      </w:tr>
      <w:tr w:rsidR="00990B14" w14:paraId="59BCA12D" w14:textId="77777777">
        <w:trPr>
          <w:cantSplit/>
          <w:jc w:val="center"/>
        </w:trPr>
        <w:tc>
          <w:tcPr>
            <w:tcW w:w="1900" w:type="dxa"/>
            <w:vMerge/>
            <w:shd w:val="clear" w:color="auto" w:fill="4472C4"/>
            <w:vAlign w:val="center"/>
          </w:tcPr>
          <w:p w14:paraId="2556B549" w14:textId="77777777" w:rsidR="00990B14" w:rsidRDefault="00990B14">
            <w:pPr>
              <w:spacing w:before="20" w:after="20"/>
            </w:pPr>
          </w:p>
        </w:tc>
        <w:tc>
          <w:tcPr>
            <w:tcW w:w="1876" w:type="dxa"/>
            <w:shd w:val="clear" w:color="auto" w:fill="D9E2F3"/>
            <w:vAlign w:val="center"/>
          </w:tcPr>
          <w:p w14:paraId="0A75691F" w14:textId="77777777" w:rsidR="00990B14" w:rsidRDefault="00000000">
            <w:pPr>
              <w:spacing w:before="20" w:after="20"/>
              <w:jc w:val="both"/>
            </w:pPr>
            <w:r>
              <w:rPr>
                <w:sz w:val="18"/>
                <w:szCs w:val="18"/>
              </w:rPr>
              <w:t>Planteamiento</w:t>
            </w:r>
          </w:p>
        </w:tc>
        <w:tc>
          <w:tcPr>
            <w:tcW w:w="1876" w:type="dxa"/>
            <w:shd w:val="clear" w:color="auto" w:fill="D9E2F3"/>
            <w:vAlign w:val="center"/>
          </w:tcPr>
          <w:p w14:paraId="554E7532" w14:textId="77777777" w:rsidR="00990B14" w:rsidRDefault="00000000">
            <w:pPr>
              <w:spacing w:before="20" w:after="20"/>
              <w:jc w:val="both"/>
            </w:pPr>
            <w:r>
              <w:rPr>
                <w:sz w:val="18"/>
                <w:szCs w:val="18"/>
              </w:rPr>
              <w:t>No define la población ni el tamaño de la muestra.</w:t>
            </w:r>
          </w:p>
        </w:tc>
        <w:tc>
          <w:tcPr>
            <w:tcW w:w="1876" w:type="dxa"/>
            <w:shd w:val="clear" w:color="auto" w:fill="D9E2F3"/>
            <w:vAlign w:val="center"/>
          </w:tcPr>
          <w:p w14:paraId="3DF2DC13" w14:textId="77777777" w:rsidR="00990B14" w:rsidRDefault="00000000">
            <w:pPr>
              <w:spacing w:before="20" w:after="20"/>
              <w:jc w:val="both"/>
            </w:pPr>
            <w:r>
              <w:rPr>
                <w:sz w:val="18"/>
                <w:szCs w:val="18"/>
              </w:rPr>
              <w:t>Define la población y el tamaño de la muestra.</w:t>
            </w:r>
          </w:p>
        </w:tc>
        <w:tc>
          <w:tcPr>
            <w:tcW w:w="1877" w:type="dxa"/>
            <w:shd w:val="clear" w:color="auto" w:fill="D9E2F3"/>
            <w:vAlign w:val="center"/>
          </w:tcPr>
          <w:p w14:paraId="28F1A7BC" w14:textId="77777777" w:rsidR="00990B14" w:rsidRDefault="00000000">
            <w:pPr>
              <w:spacing w:before="20" w:after="20"/>
              <w:jc w:val="both"/>
            </w:pPr>
            <w:r>
              <w:rPr>
                <w:sz w:val="18"/>
                <w:szCs w:val="18"/>
              </w:rPr>
              <w:t>Distingue la selección con y sin reposición.</w:t>
            </w:r>
          </w:p>
        </w:tc>
      </w:tr>
      <w:tr w:rsidR="00990B14" w14:paraId="4217E3C4" w14:textId="77777777">
        <w:trPr>
          <w:cantSplit/>
          <w:jc w:val="center"/>
        </w:trPr>
        <w:tc>
          <w:tcPr>
            <w:tcW w:w="1900" w:type="dxa"/>
            <w:vMerge/>
            <w:shd w:val="clear" w:color="auto" w:fill="4472C4"/>
            <w:vAlign w:val="center"/>
          </w:tcPr>
          <w:p w14:paraId="348018EF" w14:textId="77777777" w:rsidR="00990B14" w:rsidRDefault="00990B14">
            <w:pPr>
              <w:spacing w:before="20" w:after="20"/>
            </w:pPr>
          </w:p>
        </w:tc>
        <w:tc>
          <w:tcPr>
            <w:tcW w:w="1876" w:type="dxa"/>
            <w:shd w:val="clear" w:color="auto" w:fill="D9E2F3"/>
            <w:vAlign w:val="center"/>
          </w:tcPr>
          <w:p w14:paraId="31495DA5" w14:textId="77777777" w:rsidR="00990B14" w:rsidRDefault="00000000">
            <w:pPr>
              <w:spacing w:before="20" w:after="20"/>
              <w:jc w:val="both"/>
            </w:pPr>
            <w:r>
              <w:rPr>
                <w:sz w:val="18"/>
                <w:szCs w:val="18"/>
              </w:rPr>
              <w:t>Cálculo</w:t>
            </w:r>
          </w:p>
        </w:tc>
        <w:tc>
          <w:tcPr>
            <w:tcW w:w="1876" w:type="dxa"/>
            <w:shd w:val="clear" w:color="auto" w:fill="D9E2F3"/>
            <w:vAlign w:val="center"/>
          </w:tcPr>
          <w:p w14:paraId="669A4E18" w14:textId="77777777" w:rsidR="00990B14" w:rsidRDefault="00000000">
            <w:pPr>
              <w:spacing w:before="20" w:after="20"/>
              <w:jc w:val="both"/>
            </w:pPr>
            <w:r>
              <w:rPr>
                <w:sz w:val="18"/>
                <w:szCs w:val="18"/>
              </w:rPr>
              <w:t>Aplica una fórmula que no corresponde.</w:t>
            </w:r>
          </w:p>
        </w:tc>
        <w:tc>
          <w:tcPr>
            <w:tcW w:w="1876" w:type="dxa"/>
            <w:shd w:val="clear" w:color="auto" w:fill="D9E2F3"/>
            <w:vAlign w:val="center"/>
          </w:tcPr>
          <w:p w14:paraId="48B2CFAD" w14:textId="77777777" w:rsidR="00990B14" w:rsidRDefault="00000000">
            <w:pPr>
              <w:spacing w:before="20" w:after="20"/>
              <w:jc w:val="both"/>
            </w:pPr>
            <w:r>
              <w:rPr>
                <w:sz w:val="18"/>
                <w:szCs w:val="18"/>
              </w:rPr>
              <w:t>Calcula el número de muestras posibles.</w:t>
            </w:r>
          </w:p>
        </w:tc>
        <w:tc>
          <w:tcPr>
            <w:tcW w:w="1877" w:type="dxa"/>
            <w:shd w:val="clear" w:color="auto" w:fill="D9E2F3"/>
            <w:vAlign w:val="center"/>
          </w:tcPr>
          <w:p w14:paraId="0ED5FB57" w14:textId="77777777" w:rsidR="00990B14" w:rsidRDefault="00000000">
            <w:pPr>
              <w:spacing w:before="20" w:after="20"/>
              <w:jc w:val="both"/>
            </w:pPr>
            <w:r>
              <w:rPr>
                <w:sz w:val="18"/>
                <w:szCs w:val="18"/>
              </w:rPr>
              <w:t>Explica por qué no conviene enumerarlas.</w:t>
            </w:r>
          </w:p>
        </w:tc>
      </w:tr>
      <w:tr w:rsidR="00990B14" w14:paraId="14E3D528" w14:textId="77777777">
        <w:trPr>
          <w:cantSplit/>
          <w:jc w:val="center"/>
        </w:trPr>
        <w:tc>
          <w:tcPr>
            <w:tcW w:w="1900" w:type="dxa"/>
            <w:vMerge/>
            <w:shd w:val="clear" w:color="auto" w:fill="4472C4"/>
            <w:vAlign w:val="center"/>
          </w:tcPr>
          <w:p w14:paraId="2989A1A8" w14:textId="77777777" w:rsidR="00990B14" w:rsidRDefault="00990B14">
            <w:pPr>
              <w:spacing w:before="20" w:after="20"/>
            </w:pPr>
          </w:p>
        </w:tc>
        <w:tc>
          <w:tcPr>
            <w:tcW w:w="1876" w:type="dxa"/>
            <w:shd w:val="clear" w:color="auto" w:fill="D9E2F3"/>
            <w:vAlign w:val="center"/>
          </w:tcPr>
          <w:p w14:paraId="200B8080" w14:textId="77777777" w:rsidR="00990B14" w:rsidRDefault="00000000">
            <w:pPr>
              <w:spacing w:before="20" w:after="20"/>
              <w:jc w:val="both"/>
            </w:pPr>
            <w:r>
              <w:rPr>
                <w:sz w:val="18"/>
                <w:szCs w:val="18"/>
              </w:rPr>
              <w:t>Trabajo en equipo</w:t>
            </w:r>
          </w:p>
        </w:tc>
        <w:tc>
          <w:tcPr>
            <w:tcW w:w="1876" w:type="dxa"/>
            <w:shd w:val="clear" w:color="auto" w:fill="D9E2F3"/>
            <w:vAlign w:val="center"/>
          </w:tcPr>
          <w:p w14:paraId="744D7980" w14:textId="77777777" w:rsidR="00990B14" w:rsidRDefault="00000000">
            <w:pPr>
              <w:spacing w:before="20" w:after="20"/>
              <w:jc w:val="both"/>
            </w:pPr>
            <w:r>
              <w:rPr>
                <w:sz w:val="18"/>
                <w:szCs w:val="18"/>
              </w:rPr>
              <w:t>Pocos integrantes participan.</w:t>
            </w:r>
          </w:p>
        </w:tc>
        <w:tc>
          <w:tcPr>
            <w:tcW w:w="1876" w:type="dxa"/>
            <w:shd w:val="clear" w:color="auto" w:fill="D9E2F3"/>
            <w:vAlign w:val="center"/>
          </w:tcPr>
          <w:p w14:paraId="5B3B1CE2" w14:textId="77777777" w:rsidR="00990B14" w:rsidRDefault="00000000">
            <w:pPr>
              <w:spacing w:before="20" w:after="20"/>
              <w:jc w:val="both"/>
            </w:pPr>
            <w:r>
              <w:rPr>
                <w:sz w:val="18"/>
                <w:szCs w:val="18"/>
              </w:rPr>
              <w:t>Todos los integrantes aportan al informe.</w:t>
            </w:r>
          </w:p>
        </w:tc>
        <w:tc>
          <w:tcPr>
            <w:tcW w:w="1877" w:type="dxa"/>
            <w:shd w:val="clear" w:color="auto" w:fill="D9E2F3"/>
            <w:vAlign w:val="center"/>
          </w:tcPr>
          <w:p w14:paraId="05CFEDD6" w14:textId="77777777" w:rsidR="00990B14" w:rsidRDefault="00000000">
            <w:pPr>
              <w:spacing w:before="20" w:after="20"/>
              <w:jc w:val="both"/>
            </w:pPr>
            <w:r>
              <w:rPr>
                <w:sz w:val="18"/>
                <w:szCs w:val="18"/>
              </w:rPr>
              <w:t>El equipo sustenta sus conclusiones con claridad.</w:t>
            </w:r>
          </w:p>
        </w:tc>
      </w:tr>
      <w:tr w:rsidR="00990B14" w14:paraId="5DBF76C4" w14:textId="77777777">
        <w:trPr>
          <w:cantSplit/>
          <w:jc w:val="center"/>
        </w:trPr>
        <w:tc>
          <w:tcPr>
            <w:tcW w:w="1900" w:type="dxa"/>
            <w:vMerge/>
            <w:shd w:val="clear" w:color="auto" w:fill="4472C4"/>
            <w:vAlign w:val="center"/>
          </w:tcPr>
          <w:p w14:paraId="03750BAB" w14:textId="77777777" w:rsidR="00990B14" w:rsidRDefault="00990B14">
            <w:pPr>
              <w:spacing w:before="20" w:after="20"/>
            </w:pPr>
          </w:p>
        </w:tc>
        <w:tc>
          <w:tcPr>
            <w:tcW w:w="5628" w:type="dxa"/>
            <w:gridSpan w:val="3"/>
            <w:shd w:val="clear" w:color="auto" w:fill="D9E2F3"/>
            <w:vAlign w:val="center"/>
          </w:tcPr>
          <w:p w14:paraId="3C4D5213" w14:textId="77777777" w:rsidR="00990B14" w:rsidRDefault="00000000">
            <w:pPr>
              <w:keepNext/>
              <w:spacing w:before="20" w:after="20"/>
              <w:jc w:val="both"/>
            </w:pPr>
            <w:r>
              <w:rPr>
                <w:b/>
                <w:bCs/>
                <w:i/>
                <w:iCs/>
                <w:sz w:val="18"/>
                <w:szCs w:val="18"/>
              </w:rPr>
              <w:t xml:space="preserve">Producto 12: </w:t>
            </w:r>
            <w:r>
              <w:rPr>
                <w:sz w:val="18"/>
                <w:szCs w:val="18"/>
              </w:rPr>
              <w:t>Matriz de escenarios de riesgo</w:t>
            </w:r>
          </w:p>
        </w:tc>
        <w:tc>
          <w:tcPr>
            <w:tcW w:w="1877" w:type="dxa"/>
            <w:shd w:val="clear" w:color="auto" w:fill="D9E2F3"/>
            <w:vAlign w:val="center"/>
          </w:tcPr>
          <w:p w14:paraId="7D526A28" w14:textId="77777777" w:rsidR="00990B14" w:rsidRDefault="00000000">
            <w:pPr>
              <w:spacing w:before="20" w:after="20"/>
              <w:jc w:val="center"/>
            </w:pPr>
            <w:r>
              <w:rPr>
                <w:b/>
                <w:bCs/>
                <w:sz w:val="18"/>
                <w:szCs w:val="18"/>
              </w:rPr>
              <w:t>2%</w:t>
            </w:r>
          </w:p>
        </w:tc>
      </w:tr>
      <w:tr w:rsidR="00990B14" w14:paraId="3CD00BE0" w14:textId="77777777">
        <w:trPr>
          <w:cantSplit/>
          <w:jc w:val="center"/>
        </w:trPr>
        <w:tc>
          <w:tcPr>
            <w:tcW w:w="1900" w:type="dxa"/>
            <w:vMerge/>
            <w:shd w:val="clear" w:color="auto" w:fill="4472C4"/>
            <w:vAlign w:val="center"/>
          </w:tcPr>
          <w:p w14:paraId="153C2F52" w14:textId="77777777" w:rsidR="00990B14" w:rsidRDefault="00990B14">
            <w:pPr>
              <w:spacing w:before="20" w:after="20"/>
            </w:pPr>
          </w:p>
        </w:tc>
        <w:tc>
          <w:tcPr>
            <w:tcW w:w="1876" w:type="dxa"/>
            <w:shd w:val="clear" w:color="auto" w:fill="4472C4"/>
            <w:vAlign w:val="center"/>
          </w:tcPr>
          <w:p w14:paraId="40F028C4"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5858C816"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6100C882"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76191F3B" w14:textId="77777777" w:rsidR="00990B14" w:rsidRDefault="00000000">
            <w:pPr>
              <w:keepNext/>
              <w:spacing w:before="20" w:after="20"/>
              <w:jc w:val="center"/>
            </w:pPr>
            <w:r>
              <w:rPr>
                <w:b/>
                <w:bCs/>
                <w:i/>
                <w:iCs/>
                <w:color w:val="FFFFFF"/>
                <w:sz w:val="18"/>
                <w:szCs w:val="18"/>
              </w:rPr>
              <w:t>Destacado (81–100)</w:t>
            </w:r>
          </w:p>
        </w:tc>
      </w:tr>
      <w:tr w:rsidR="00990B14" w14:paraId="34942371" w14:textId="77777777">
        <w:trPr>
          <w:cantSplit/>
          <w:jc w:val="center"/>
        </w:trPr>
        <w:tc>
          <w:tcPr>
            <w:tcW w:w="1900" w:type="dxa"/>
            <w:vMerge/>
            <w:shd w:val="clear" w:color="auto" w:fill="4472C4"/>
            <w:vAlign w:val="center"/>
          </w:tcPr>
          <w:p w14:paraId="14646A84" w14:textId="77777777" w:rsidR="00990B14" w:rsidRDefault="00990B14">
            <w:pPr>
              <w:spacing w:before="20" w:after="20"/>
            </w:pPr>
          </w:p>
        </w:tc>
        <w:tc>
          <w:tcPr>
            <w:tcW w:w="1876" w:type="dxa"/>
            <w:shd w:val="clear" w:color="auto" w:fill="D9E2F3"/>
            <w:vAlign w:val="center"/>
          </w:tcPr>
          <w:p w14:paraId="6B571122" w14:textId="77777777" w:rsidR="00990B14" w:rsidRDefault="00000000">
            <w:pPr>
              <w:spacing w:before="20" w:after="20"/>
              <w:jc w:val="both"/>
            </w:pPr>
            <w:r>
              <w:rPr>
                <w:sz w:val="18"/>
                <w:szCs w:val="18"/>
              </w:rPr>
              <w:t>Variables del caso</w:t>
            </w:r>
          </w:p>
        </w:tc>
        <w:tc>
          <w:tcPr>
            <w:tcW w:w="1876" w:type="dxa"/>
            <w:shd w:val="clear" w:color="auto" w:fill="D9E2F3"/>
            <w:vAlign w:val="center"/>
          </w:tcPr>
          <w:p w14:paraId="063934A0" w14:textId="77777777" w:rsidR="00990B14" w:rsidRDefault="00000000">
            <w:pPr>
              <w:spacing w:before="20" w:after="20"/>
              <w:jc w:val="both"/>
            </w:pPr>
            <w:r>
              <w:rPr>
                <w:sz w:val="18"/>
                <w:szCs w:val="18"/>
              </w:rPr>
              <w:t>Omite variables relevantes.</w:t>
            </w:r>
          </w:p>
        </w:tc>
        <w:tc>
          <w:tcPr>
            <w:tcW w:w="1876" w:type="dxa"/>
            <w:shd w:val="clear" w:color="auto" w:fill="D9E2F3"/>
            <w:vAlign w:val="center"/>
          </w:tcPr>
          <w:p w14:paraId="5BA4878F" w14:textId="77777777" w:rsidR="00990B14" w:rsidRDefault="00000000">
            <w:pPr>
              <w:spacing w:before="20" w:after="20"/>
              <w:jc w:val="both"/>
            </w:pPr>
            <w:r>
              <w:rPr>
                <w:sz w:val="18"/>
                <w:szCs w:val="18"/>
              </w:rPr>
              <w:t>Identifica las variables y sus niveles.</w:t>
            </w:r>
          </w:p>
        </w:tc>
        <w:tc>
          <w:tcPr>
            <w:tcW w:w="1877" w:type="dxa"/>
            <w:shd w:val="clear" w:color="auto" w:fill="D9E2F3"/>
            <w:vAlign w:val="center"/>
          </w:tcPr>
          <w:p w14:paraId="51F163F2" w14:textId="77777777" w:rsidR="00990B14" w:rsidRDefault="00000000">
            <w:pPr>
              <w:spacing w:before="20" w:after="20"/>
              <w:jc w:val="both"/>
            </w:pPr>
            <w:r>
              <w:rPr>
                <w:sz w:val="18"/>
                <w:szCs w:val="18"/>
              </w:rPr>
              <w:t>Justifica la elección de las variables.</w:t>
            </w:r>
          </w:p>
        </w:tc>
      </w:tr>
      <w:tr w:rsidR="00990B14" w14:paraId="6F4DFD5D" w14:textId="77777777">
        <w:trPr>
          <w:cantSplit/>
          <w:jc w:val="center"/>
        </w:trPr>
        <w:tc>
          <w:tcPr>
            <w:tcW w:w="1900" w:type="dxa"/>
            <w:vMerge/>
            <w:shd w:val="clear" w:color="auto" w:fill="4472C4"/>
            <w:vAlign w:val="center"/>
          </w:tcPr>
          <w:p w14:paraId="32206870" w14:textId="77777777" w:rsidR="00990B14" w:rsidRDefault="00990B14">
            <w:pPr>
              <w:spacing w:before="20" w:after="20"/>
            </w:pPr>
          </w:p>
        </w:tc>
        <w:tc>
          <w:tcPr>
            <w:tcW w:w="1876" w:type="dxa"/>
            <w:shd w:val="clear" w:color="auto" w:fill="D9E2F3"/>
            <w:vAlign w:val="center"/>
          </w:tcPr>
          <w:p w14:paraId="205367FB" w14:textId="77777777" w:rsidR="00990B14" w:rsidRDefault="00000000">
            <w:pPr>
              <w:spacing w:before="20" w:after="20"/>
              <w:jc w:val="both"/>
            </w:pPr>
            <w:r>
              <w:rPr>
                <w:sz w:val="18"/>
                <w:szCs w:val="18"/>
              </w:rPr>
              <w:t>Número de escenarios</w:t>
            </w:r>
          </w:p>
        </w:tc>
        <w:tc>
          <w:tcPr>
            <w:tcW w:w="1876" w:type="dxa"/>
            <w:shd w:val="clear" w:color="auto" w:fill="D9E2F3"/>
            <w:vAlign w:val="center"/>
          </w:tcPr>
          <w:p w14:paraId="3AC8D31D" w14:textId="77777777" w:rsidR="00990B14" w:rsidRDefault="00000000">
            <w:pPr>
              <w:spacing w:before="20" w:after="20"/>
              <w:jc w:val="both"/>
            </w:pPr>
            <w:r>
              <w:rPr>
                <w:sz w:val="18"/>
                <w:szCs w:val="18"/>
              </w:rPr>
              <w:t>Cuenta mal los escenarios.</w:t>
            </w:r>
          </w:p>
        </w:tc>
        <w:tc>
          <w:tcPr>
            <w:tcW w:w="1876" w:type="dxa"/>
            <w:shd w:val="clear" w:color="auto" w:fill="D9E2F3"/>
            <w:vAlign w:val="center"/>
          </w:tcPr>
          <w:p w14:paraId="4557CB96" w14:textId="77777777" w:rsidR="00990B14" w:rsidRDefault="00000000">
            <w:pPr>
              <w:spacing w:before="20" w:after="20"/>
              <w:jc w:val="both"/>
            </w:pPr>
            <w:r>
              <w:rPr>
                <w:sz w:val="18"/>
                <w:szCs w:val="18"/>
              </w:rPr>
              <w:t>Determina todos los escenarios posibles.</w:t>
            </w:r>
          </w:p>
        </w:tc>
        <w:tc>
          <w:tcPr>
            <w:tcW w:w="1877" w:type="dxa"/>
            <w:shd w:val="clear" w:color="auto" w:fill="D9E2F3"/>
            <w:vAlign w:val="center"/>
          </w:tcPr>
          <w:p w14:paraId="542A2158" w14:textId="77777777" w:rsidR="00990B14" w:rsidRDefault="00000000">
            <w:pPr>
              <w:spacing w:before="20" w:after="20"/>
              <w:jc w:val="both"/>
            </w:pPr>
            <w:r>
              <w:rPr>
                <w:sz w:val="18"/>
                <w:szCs w:val="18"/>
              </w:rPr>
              <w:t>Prioriza los escenarios de mayor riesgo.</w:t>
            </w:r>
          </w:p>
        </w:tc>
      </w:tr>
      <w:tr w:rsidR="00990B14" w14:paraId="594E4EFF" w14:textId="77777777">
        <w:trPr>
          <w:cantSplit/>
          <w:jc w:val="center"/>
        </w:trPr>
        <w:tc>
          <w:tcPr>
            <w:tcW w:w="1900" w:type="dxa"/>
            <w:vMerge/>
            <w:shd w:val="clear" w:color="auto" w:fill="4472C4"/>
            <w:vAlign w:val="center"/>
          </w:tcPr>
          <w:p w14:paraId="1DFDD52B" w14:textId="77777777" w:rsidR="00990B14" w:rsidRDefault="00990B14">
            <w:pPr>
              <w:spacing w:before="20" w:after="20"/>
            </w:pPr>
          </w:p>
        </w:tc>
        <w:tc>
          <w:tcPr>
            <w:tcW w:w="1876" w:type="dxa"/>
            <w:shd w:val="clear" w:color="auto" w:fill="D9E2F3"/>
            <w:vAlign w:val="center"/>
          </w:tcPr>
          <w:p w14:paraId="2DE79A2E" w14:textId="77777777" w:rsidR="00990B14" w:rsidRDefault="00000000">
            <w:pPr>
              <w:spacing w:before="20" w:after="20"/>
              <w:jc w:val="both"/>
            </w:pPr>
            <w:r>
              <w:rPr>
                <w:sz w:val="18"/>
                <w:szCs w:val="18"/>
              </w:rPr>
              <w:t>Sustentación</w:t>
            </w:r>
          </w:p>
        </w:tc>
        <w:tc>
          <w:tcPr>
            <w:tcW w:w="1876" w:type="dxa"/>
            <w:shd w:val="clear" w:color="auto" w:fill="D9E2F3"/>
            <w:vAlign w:val="center"/>
          </w:tcPr>
          <w:p w14:paraId="29129C19" w14:textId="77777777" w:rsidR="00990B14" w:rsidRDefault="00000000">
            <w:pPr>
              <w:spacing w:before="20" w:after="20"/>
              <w:jc w:val="both"/>
            </w:pPr>
            <w:r>
              <w:rPr>
                <w:sz w:val="18"/>
                <w:szCs w:val="18"/>
              </w:rPr>
              <w:t>La sustentación es confusa.</w:t>
            </w:r>
          </w:p>
        </w:tc>
        <w:tc>
          <w:tcPr>
            <w:tcW w:w="1876" w:type="dxa"/>
            <w:shd w:val="clear" w:color="auto" w:fill="D9E2F3"/>
            <w:vAlign w:val="center"/>
          </w:tcPr>
          <w:p w14:paraId="49FB2633" w14:textId="77777777" w:rsidR="00990B14" w:rsidRDefault="00000000">
            <w:pPr>
              <w:spacing w:before="20" w:after="20"/>
              <w:jc w:val="both"/>
            </w:pPr>
            <w:r>
              <w:rPr>
                <w:sz w:val="18"/>
                <w:szCs w:val="18"/>
              </w:rPr>
              <w:t>Sustenta la matriz con claridad.</w:t>
            </w:r>
          </w:p>
        </w:tc>
        <w:tc>
          <w:tcPr>
            <w:tcW w:w="1877" w:type="dxa"/>
            <w:shd w:val="clear" w:color="auto" w:fill="D9E2F3"/>
            <w:vAlign w:val="center"/>
          </w:tcPr>
          <w:p w14:paraId="42F5586E" w14:textId="77777777" w:rsidR="00990B14" w:rsidRDefault="00000000">
            <w:pPr>
              <w:spacing w:before="20" w:after="20"/>
              <w:jc w:val="both"/>
            </w:pPr>
            <w:r>
              <w:rPr>
                <w:sz w:val="18"/>
                <w:szCs w:val="18"/>
              </w:rPr>
              <w:t>Responde con solvencia las preguntas del curso.</w:t>
            </w:r>
          </w:p>
        </w:tc>
      </w:tr>
      <w:tr w:rsidR="00990B14" w14:paraId="4CBCC3F7" w14:textId="77777777">
        <w:trPr>
          <w:cantSplit/>
          <w:jc w:val="center"/>
        </w:trPr>
        <w:tc>
          <w:tcPr>
            <w:tcW w:w="1900" w:type="dxa"/>
            <w:vMerge/>
            <w:shd w:val="clear" w:color="auto" w:fill="4472C4"/>
            <w:vAlign w:val="center"/>
          </w:tcPr>
          <w:p w14:paraId="2C398114" w14:textId="77777777" w:rsidR="00990B14" w:rsidRDefault="00990B14">
            <w:pPr>
              <w:spacing w:before="20" w:after="20"/>
            </w:pPr>
          </w:p>
        </w:tc>
        <w:tc>
          <w:tcPr>
            <w:tcW w:w="5628" w:type="dxa"/>
            <w:gridSpan w:val="3"/>
            <w:shd w:val="clear" w:color="auto" w:fill="D9E2F3"/>
            <w:vAlign w:val="center"/>
          </w:tcPr>
          <w:p w14:paraId="35199A15" w14:textId="77777777" w:rsidR="00990B14" w:rsidRDefault="00000000">
            <w:pPr>
              <w:keepNext/>
              <w:spacing w:before="20" w:after="20"/>
              <w:jc w:val="both"/>
            </w:pPr>
            <w:r>
              <w:rPr>
                <w:b/>
                <w:bCs/>
                <w:i/>
                <w:iCs/>
                <w:sz w:val="18"/>
                <w:szCs w:val="18"/>
              </w:rPr>
              <w:t xml:space="preserve">Producto 13: </w:t>
            </w:r>
            <w:r>
              <w:rPr>
                <w:sz w:val="18"/>
                <w:szCs w:val="18"/>
              </w:rPr>
              <w:t>Práctico de diagramas de Venn Euler</w:t>
            </w:r>
          </w:p>
        </w:tc>
        <w:tc>
          <w:tcPr>
            <w:tcW w:w="1877" w:type="dxa"/>
            <w:shd w:val="clear" w:color="auto" w:fill="D9E2F3"/>
            <w:vAlign w:val="center"/>
          </w:tcPr>
          <w:p w14:paraId="3238EBD9" w14:textId="77777777" w:rsidR="00990B14" w:rsidRDefault="00000000">
            <w:pPr>
              <w:spacing w:before="20" w:after="20"/>
              <w:jc w:val="center"/>
            </w:pPr>
            <w:r>
              <w:rPr>
                <w:b/>
                <w:bCs/>
                <w:sz w:val="18"/>
                <w:szCs w:val="18"/>
              </w:rPr>
              <w:t>3%</w:t>
            </w:r>
          </w:p>
        </w:tc>
      </w:tr>
      <w:tr w:rsidR="00990B14" w14:paraId="57E40E2E" w14:textId="77777777">
        <w:trPr>
          <w:cantSplit/>
          <w:jc w:val="center"/>
        </w:trPr>
        <w:tc>
          <w:tcPr>
            <w:tcW w:w="1900" w:type="dxa"/>
            <w:vMerge/>
            <w:shd w:val="clear" w:color="auto" w:fill="4472C4"/>
            <w:vAlign w:val="center"/>
          </w:tcPr>
          <w:p w14:paraId="00B6B64C" w14:textId="77777777" w:rsidR="00990B14" w:rsidRDefault="00990B14">
            <w:pPr>
              <w:spacing w:before="20" w:after="20"/>
            </w:pPr>
          </w:p>
        </w:tc>
        <w:tc>
          <w:tcPr>
            <w:tcW w:w="1876" w:type="dxa"/>
            <w:shd w:val="clear" w:color="auto" w:fill="4472C4"/>
            <w:vAlign w:val="center"/>
          </w:tcPr>
          <w:p w14:paraId="7C7C33BC"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43D9A0FE"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0F0212A8"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5D927D76" w14:textId="77777777" w:rsidR="00990B14" w:rsidRDefault="00000000">
            <w:pPr>
              <w:keepNext/>
              <w:spacing w:before="20" w:after="20"/>
              <w:jc w:val="center"/>
            </w:pPr>
            <w:r>
              <w:rPr>
                <w:b/>
                <w:bCs/>
                <w:i/>
                <w:iCs/>
                <w:color w:val="FFFFFF"/>
                <w:sz w:val="18"/>
                <w:szCs w:val="18"/>
              </w:rPr>
              <w:t>Destacado (81–100)</w:t>
            </w:r>
          </w:p>
        </w:tc>
      </w:tr>
      <w:tr w:rsidR="00990B14" w14:paraId="774EEDC3" w14:textId="77777777">
        <w:trPr>
          <w:cantSplit/>
          <w:jc w:val="center"/>
        </w:trPr>
        <w:tc>
          <w:tcPr>
            <w:tcW w:w="1900" w:type="dxa"/>
            <w:vMerge/>
            <w:shd w:val="clear" w:color="auto" w:fill="4472C4"/>
            <w:vAlign w:val="center"/>
          </w:tcPr>
          <w:p w14:paraId="6300CD48" w14:textId="77777777" w:rsidR="00990B14" w:rsidRDefault="00990B14">
            <w:pPr>
              <w:spacing w:before="20" w:after="20"/>
            </w:pPr>
          </w:p>
        </w:tc>
        <w:tc>
          <w:tcPr>
            <w:tcW w:w="1876" w:type="dxa"/>
            <w:shd w:val="clear" w:color="auto" w:fill="D9E2F3"/>
            <w:vAlign w:val="center"/>
          </w:tcPr>
          <w:p w14:paraId="30D02371" w14:textId="77777777" w:rsidR="00990B14" w:rsidRDefault="00000000">
            <w:pPr>
              <w:spacing w:before="20" w:after="20"/>
              <w:jc w:val="both"/>
            </w:pPr>
            <w:r>
              <w:rPr>
                <w:sz w:val="18"/>
                <w:szCs w:val="18"/>
              </w:rPr>
              <w:t>Operaciones</w:t>
            </w:r>
          </w:p>
        </w:tc>
        <w:tc>
          <w:tcPr>
            <w:tcW w:w="1876" w:type="dxa"/>
            <w:shd w:val="clear" w:color="auto" w:fill="D9E2F3"/>
            <w:vAlign w:val="center"/>
          </w:tcPr>
          <w:p w14:paraId="3BEC6930" w14:textId="77777777" w:rsidR="00990B14" w:rsidRDefault="00000000">
            <w:pPr>
              <w:spacing w:before="20" w:after="20"/>
              <w:jc w:val="both"/>
            </w:pPr>
            <w:r>
              <w:rPr>
                <w:sz w:val="18"/>
                <w:szCs w:val="18"/>
              </w:rPr>
              <w:t>Confunde unión, intersección y diferencia.</w:t>
            </w:r>
          </w:p>
        </w:tc>
        <w:tc>
          <w:tcPr>
            <w:tcW w:w="1876" w:type="dxa"/>
            <w:shd w:val="clear" w:color="auto" w:fill="D9E2F3"/>
            <w:vAlign w:val="center"/>
          </w:tcPr>
          <w:p w14:paraId="778C26AF" w14:textId="77777777" w:rsidR="00990B14" w:rsidRDefault="00000000">
            <w:pPr>
              <w:spacing w:before="20" w:after="20"/>
              <w:jc w:val="both"/>
            </w:pPr>
            <w:r>
              <w:rPr>
                <w:sz w:val="18"/>
                <w:szCs w:val="18"/>
              </w:rPr>
              <w:t>Realiza correctamente las operaciones.</w:t>
            </w:r>
          </w:p>
        </w:tc>
        <w:tc>
          <w:tcPr>
            <w:tcW w:w="1877" w:type="dxa"/>
            <w:shd w:val="clear" w:color="auto" w:fill="D9E2F3"/>
            <w:vAlign w:val="center"/>
          </w:tcPr>
          <w:p w14:paraId="56B4F604" w14:textId="77777777" w:rsidR="00990B14" w:rsidRDefault="00000000">
            <w:pPr>
              <w:spacing w:before="20" w:after="20"/>
              <w:jc w:val="both"/>
            </w:pPr>
            <w:r>
              <w:rPr>
                <w:sz w:val="18"/>
                <w:szCs w:val="18"/>
              </w:rPr>
              <w:t>Expresa cada resultado por comprensión y por extensión.</w:t>
            </w:r>
          </w:p>
        </w:tc>
      </w:tr>
      <w:tr w:rsidR="00990B14" w14:paraId="200ACA4D" w14:textId="77777777">
        <w:trPr>
          <w:cantSplit/>
          <w:jc w:val="center"/>
        </w:trPr>
        <w:tc>
          <w:tcPr>
            <w:tcW w:w="1900" w:type="dxa"/>
            <w:vMerge/>
            <w:shd w:val="clear" w:color="auto" w:fill="4472C4"/>
            <w:vAlign w:val="center"/>
          </w:tcPr>
          <w:p w14:paraId="2A044AC7" w14:textId="77777777" w:rsidR="00990B14" w:rsidRDefault="00990B14">
            <w:pPr>
              <w:spacing w:before="20" w:after="20"/>
            </w:pPr>
          </w:p>
        </w:tc>
        <w:tc>
          <w:tcPr>
            <w:tcW w:w="1876" w:type="dxa"/>
            <w:shd w:val="clear" w:color="auto" w:fill="D9E2F3"/>
            <w:vAlign w:val="center"/>
          </w:tcPr>
          <w:p w14:paraId="01B56E5E" w14:textId="77777777" w:rsidR="00990B14" w:rsidRDefault="00000000">
            <w:pPr>
              <w:spacing w:before="20" w:after="20"/>
              <w:jc w:val="both"/>
            </w:pPr>
            <w:r>
              <w:rPr>
                <w:sz w:val="18"/>
                <w:szCs w:val="18"/>
              </w:rPr>
              <w:t>Diagrama</w:t>
            </w:r>
          </w:p>
        </w:tc>
        <w:tc>
          <w:tcPr>
            <w:tcW w:w="1876" w:type="dxa"/>
            <w:shd w:val="clear" w:color="auto" w:fill="D9E2F3"/>
            <w:vAlign w:val="center"/>
          </w:tcPr>
          <w:p w14:paraId="2857B6DC" w14:textId="77777777" w:rsidR="00990B14" w:rsidRDefault="00000000">
            <w:pPr>
              <w:spacing w:before="20" w:after="20"/>
              <w:jc w:val="both"/>
            </w:pPr>
            <w:r>
              <w:rPr>
                <w:sz w:val="18"/>
                <w:szCs w:val="18"/>
              </w:rPr>
              <w:t>El sombreado no corresponde a la operación.</w:t>
            </w:r>
          </w:p>
        </w:tc>
        <w:tc>
          <w:tcPr>
            <w:tcW w:w="1876" w:type="dxa"/>
            <w:shd w:val="clear" w:color="auto" w:fill="D9E2F3"/>
            <w:vAlign w:val="center"/>
          </w:tcPr>
          <w:p w14:paraId="480EDDEE" w14:textId="77777777" w:rsidR="00990B14" w:rsidRDefault="00000000">
            <w:pPr>
              <w:spacing w:before="20" w:after="20"/>
              <w:jc w:val="both"/>
            </w:pPr>
            <w:r>
              <w:rPr>
                <w:sz w:val="18"/>
                <w:szCs w:val="18"/>
              </w:rPr>
              <w:t>Representa correctamente cada operación.</w:t>
            </w:r>
          </w:p>
        </w:tc>
        <w:tc>
          <w:tcPr>
            <w:tcW w:w="1877" w:type="dxa"/>
            <w:shd w:val="clear" w:color="auto" w:fill="D9E2F3"/>
            <w:vAlign w:val="center"/>
          </w:tcPr>
          <w:p w14:paraId="7D64D34A" w14:textId="77777777" w:rsidR="00990B14" w:rsidRDefault="00000000">
            <w:pPr>
              <w:spacing w:before="20" w:after="20"/>
              <w:jc w:val="both"/>
            </w:pPr>
            <w:r>
              <w:rPr>
                <w:sz w:val="18"/>
                <w:szCs w:val="18"/>
              </w:rPr>
              <w:t>Comprueba las leyes de De Morgan con el diagrama.</w:t>
            </w:r>
          </w:p>
        </w:tc>
      </w:tr>
      <w:tr w:rsidR="00990B14" w14:paraId="3FC25762" w14:textId="77777777">
        <w:trPr>
          <w:cantSplit/>
          <w:jc w:val="center"/>
        </w:trPr>
        <w:tc>
          <w:tcPr>
            <w:tcW w:w="1900" w:type="dxa"/>
            <w:vMerge/>
            <w:shd w:val="clear" w:color="auto" w:fill="4472C4"/>
            <w:vAlign w:val="center"/>
          </w:tcPr>
          <w:p w14:paraId="58FFAEBC" w14:textId="77777777" w:rsidR="00990B14" w:rsidRDefault="00990B14">
            <w:pPr>
              <w:spacing w:before="20" w:after="20"/>
            </w:pPr>
          </w:p>
        </w:tc>
        <w:tc>
          <w:tcPr>
            <w:tcW w:w="1876" w:type="dxa"/>
            <w:shd w:val="clear" w:color="auto" w:fill="D9E2F3"/>
            <w:vAlign w:val="center"/>
          </w:tcPr>
          <w:p w14:paraId="63DF3611" w14:textId="77777777" w:rsidR="00990B14" w:rsidRDefault="00000000">
            <w:pPr>
              <w:spacing w:before="20" w:after="20"/>
              <w:jc w:val="both"/>
            </w:pPr>
            <w:r>
              <w:rPr>
                <w:sz w:val="18"/>
                <w:szCs w:val="18"/>
              </w:rPr>
              <w:t>Presentación</w:t>
            </w:r>
          </w:p>
        </w:tc>
        <w:tc>
          <w:tcPr>
            <w:tcW w:w="1876" w:type="dxa"/>
            <w:shd w:val="clear" w:color="auto" w:fill="D9E2F3"/>
            <w:vAlign w:val="center"/>
          </w:tcPr>
          <w:p w14:paraId="052A06DE" w14:textId="77777777" w:rsidR="00990B14" w:rsidRDefault="00000000">
            <w:pPr>
              <w:spacing w:before="20" w:after="20"/>
              <w:jc w:val="both"/>
            </w:pPr>
            <w:r>
              <w:rPr>
                <w:sz w:val="18"/>
                <w:szCs w:val="18"/>
              </w:rPr>
              <w:t>El práctico es desordenado.</w:t>
            </w:r>
          </w:p>
        </w:tc>
        <w:tc>
          <w:tcPr>
            <w:tcW w:w="1876" w:type="dxa"/>
            <w:shd w:val="clear" w:color="auto" w:fill="D9E2F3"/>
            <w:vAlign w:val="center"/>
          </w:tcPr>
          <w:p w14:paraId="38561A36" w14:textId="77777777" w:rsidR="00990B14" w:rsidRDefault="00000000">
            <w:pPr>
              <w:spacing w:before="20" w:after="20"/>
              <w:jc w:val="both"/>
            </w:pPr>
            <w:r>
              <w:rPr>
                <w:sz w:val="18"/>
                <w:szCs w:val="18"/>
              </w:rPr>
              <w:t>El práctico es claro y completo.</w:t>
            </w:r>
          </w:p>
        </w:tc>
        <w:tc>
          <w:tcPr>
            <w:tcW w:w="1877" w:type="dxa"/>
            <w:shd w:val="clear" w:color="auto" w:fill="D9E2F3"/>
            <w:vAlign w:val="center"/>
          </w:tcPr>
          <w:p w14:paraId="5A385FDC" w14:textId="77777777" w:rsidR="00990B14" w:rsidRDefault="00000000">
            <w:pPr>
              <w:spacing w:before="20" w:after="20"/>
              <w:jc w:val="both"/>
            </w:pPr>
            <w:r>
              <w:rPr>
                <w:sz w:val="18"/>
                <w:szCs w:val="18"/>
              </w:rPr>
              <w:t>Los diagramas están rotulados con precisión.</w:t>
            </w:r>
          </w:p>
        </w:tc>
      </w:tr>
      <w:tr w:rsidR="00990B14" w14:paraId="07F368E4" w14:textId="77777777">
        <w:trPr>
          <w:cantSplit/>
          <w:jc w:val="center"/>
        </w:trPr>
        <w:tc>
          <w:tcPr>
            <w:tcW w:w="1900" w:type="dxa"/>
            <w:vMerge/>
            <w:shd w:val="clear" w:color="auto" w:fill="4472C4"/>
            <w:vAlign w:val="center"/>
          </w:tcPr>
          <w:p w14:paraId="1D9F29FD" w14:textId="77777777" w:rsidR="00990B14" w:rsidRDefault="00990B14">
            <w:pPr>
              <w:spacing w:before="20" w:after="20"/>
            </w:pPr>
          </w:p>
        </w:tc>
        <w:tc>
          <w:tcPr>
            <w:tcW w:w="5628" w:type="dxa"/>
            <w:gridSpan w:val="3"/>
            <w:shd w:val="clear" w:color="auto" w:fill="D9E2F3"/>
            <w:vAlign w:val="center"/>
          </w:tcPr>
          <w:p w14:paraId="7E1A8B26" w14:textId="77777777" w:rsidR="00990B14" w:rsidRDefault="00000000">
            <w:pPr>
              <w:keepNext/>
              <w:spacing w:before="20" w:after="20"/>
              <w:jc w:val="both"/>
            </w:pPr>
            <w:r>
              <w:rPr>
                <w:b/>
                <w:bCs/>
                <w:i/>
                <w:iCs/>
                <w:sz w:val="18"/>
                <w:szCs w:val="18"/>
              </w:rPr>
              <w:t xml:space="preserve">Producto 14: </w:t>
            </w:r>
            <w:r>
              <w:rPr>
                <w:sz w:val="18"/>
                <w:szCs w:val="18"/>
              </w:rPr>
              <w:t>Cuadro de particiones</w:t>
            </w:r>
          </w:p>
        </w:tc>
        <w:tc>
          <w:tcPr>
            <w:tcW w:w="1877" w:type="dxa"/>
            <w:shd w:val="clear" w:color="auto" w:fill="D9E2F3"/>
            <w:vAlign w:val="center"/>
          </w:tcPr>
          <w:p w14:paraId="5B593281" w14:textId="77777777" w:rsidR="00990B14" w:rsidRDefault="00000000">
            <w:pPr>
              <w:spacing w:before="20" w:after="20"/>
              <w:jc w:val="center"/>
            </w:pPr>
            <w:r>
              <w:rPr>
                <w:b/>
                <w:bCs/>
                <w:sz w:val="18"/>
                <w:szCs w:val="18"/>
              </w:rPr>
              <w:t>3%</w:t>
            </w:r>
          </w:p>
        </w:tc>
      </w:tr>
      <w:tr w:rsidR="00990B14" w14:paraId="09B1F323" w14:textId="77777777">
        <w:trPr>
          <w:cantSplit/>
          <w:jc w:val="center"/>
        </w:trPr>
        <w:tc>
          <w:tcPr>
            <w:tcW w:w="1900" w:type="dxa"/>
            <w:vMerge/>
            <w:shd w:val="clear" w:color="auto" w:fill="4472C4"/>
            <w:vAlign w:val="center"/>
          </w:tcPr>
          <w:p w14:paraId="200BA721" w14:textId="77777777" w:rsidR="00990B14" w:rsidRDefault="00990B14">
            <w:pPr>
              <w:spacing w:before="20" w:after="20"/>
            </w:pPr>
          </w:p>
        </w:tc>
        <w:tc>
          <w:tcPr>
            <w:tcW w:w="1876" w:type="dxa"/>
            <w:shd w:val="clear" w:color="auto" w:fill="4472C4"/>
            <w:vAlign w:val="center"/>
          </w:tcPr>
          <w:p w14:paraId="7A176E95"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6FFA42E9"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6EE5DD5A"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0369B784" w14:textId="77777777" w:rsidR="00990B14" w:rsidRDefault="00000000">
            <w:pPr>
              <w:keepNext/>
              <w:spacing w:before="20" w:after="20"/>
              <w:jc w:val="center"/>
            </w:pPr>
            <w:r>
              <w:rPr>
                <w:b/>
                <w:bCs/>
                <w:i/>
                <w:iCs/>
                <w:color w:val="FFFFFF"/>
                <w:sz w:val="18"/>
                <w:szCs w:val="18"/>
              </w:rPr>
              <w:t>Destacado (81–100)</w:t>
            </w:r>
          </w:p>
        </w:tc>
      </w:tr>
      <w:tr w:rsidR="00990B14" w14:paraId="3E027231" w14:textId="77777777">
        <w:trPr>
          <w:cantSplit/>
          <w:jc w:val="center"/>
        </w:trPr>
        <w:tc>
          <w:tcPr>
            <w:tcW w:w="1900" w:type="dxa"/>
            <w:vMerge/>
            <w:shd w:val="clear" w:color="auto" w:fill="4472C4"/>
            <w:vAlign w:val="center"/>
          </w:tcPr>
          <w:p w14:paraId="0AC93154" w14:textId="77777777" w:rsidR="00990B14" w:rsidRDefault="00990B14">
            <w:pPr>
              <w:spacing w:before="20" w:after="20"/>
            </w:pPr>
          </w:p>
        </w:tc>
        <w:tc>
          <w:tcPr>
            <w:tcW w:w="1876" w:type="dxa"/>
            <w:shd w:val="clear" w:color="auto" w:fill="D9E2F3"/>
            <w:vAlign w:val="center"/>
          </w:tcPr>
          <w:p w14:paraId="63760C0D" w14:textId="77777777" w:rsidR="00990B14" w:rsidRDefault="00000000">
            <w:pPr>
              <w:spacing w:before="20" w:after="20"/>
              <w:jc w:val="both"/>
            </w:pPr>
            <w:r>
              <w:rPr>
                <w:sz w:val="18"/>
                <w:szCs w:val="18"/>
              </w:rPr>
              <w:t>Partición</w:t>
            </w:r>
          </w:p>
        </w:tc>
        <w:tc>
          <w:tcPr>
            <w:tcW w:w="1876" w:type="dxa"/>
            <w:shd w:val="clear" w:color="auto" w:fill="D9E2F3"/>
            <w:vAlign w:val="center"/>
          </w:tcPr>
          <w:p w14:paraId="42B932D4" w14:textId="77777777" w:rsidR="00990B14" w:rsidRDefault="00000000">
            <w:pPr>
              <w:spacing w:before="20" w:after="20"/>
              <w:jc w:val="both"/>
            </w:pPr>
            <w:r>
              <w:rPr>
                <w:sz w:val="18"/>
                <w:szCs w:val="18"/>
              </w:rPr>
              <w:t>Las clases se superponen o dejan elementos fuera.</w:t>
            </w:r>
          </w:p>
        </w:tc>
        <w:tc>
          <w:tcPr>
            <w:tcW w:w="1876" w:type="dxa"/>
            <w:shd w:val="clear" w:color="auto" w:fill="D9E2F3"/>
            <w:vAlign w:val="center"/>
          </w:tcPr>
          <w:p w14:paraId="55DFBC44" w14:textId="77777777" w:rsidR="00990B14" w:rsidRDefault="00000000">
            <w:pPr>
              <w:spacing w:before="20" w:after="20"/>
              <w:jc w:val="both"/>
            </w:pPr>
            <w:r>
              <w:rPr>
                <w:sz w:val="18"/>
                <w:szCs w:val="18"/>
              </w:rPr>
              <w:t>Forma una partición válida del universo.</w:t>
            </w:r>
          </w:p>
        </w:tc>
        <w:tc>
          <w:tcPr>
            <w:tcW w:w="1877" w:type="dxa"/>
            <w:shd w:val="clear" w:color="auto" w:fill="D9E2F3"/>
            <w:vAlign w:val="center"/>
          </w:tcPr>
          <w:p w14:paraId="034660F6" w14:textId="77777777" w:rsidR="00990B14" w:rsidRDefault="00000000">
            <w:pPr>
              <w:spacing w:before="20" w:after="20"/>
              <w:jc w:val="both"/>
            </w:pPr>
            <w:r>
              <w:rPr>
                <w:sz w:val="18"/>
                <w:szCs w:val="18"/>
              </w:rPr>
              <w:t>Explica las condiciones de una partición.</w:t>
            </w:r>
          </w:p>
        </w:tc>
      </w:tr>
      <w:tr w:rsidR="00990B14" w14:paraId="052E60B4" w14:textId="77777777">
        <w:trPr>
          <w:cantSplit/>
          <w:jc w:val="center"/>
        </w:trPr>
        <w:tc>
          <w:tcPr>
            <w:tcW w:w="1900" w:type="dxa"/>
            <w:vMerge/>
            <w:shd w:val="clear" w:color="auto" w:fill="4472C4"/>
            <w:vAlign w:val="center"/>
          </w:tcPr>
          <w:p w14:paraId="7EE39DD0" w14:textId="77777777" w:rsidR="00990B14" w:rsidRDefault="00990B14">
            <w:pPr>
              <w:spacing w:before="20" w:after="20"/>
            </w:pPr>
          </w:p>
        </w:tc>
        <w:tc>
          <w:tcPr>
            <w:tcW w:w="1876" w:type="dxa"/>
            <w:shd w:val="clear" w:color="auto" w:fill="D9E2F3"/>
            <w:vAlign w:val="center"/>
          </w:tcPr>
          <w:p w14:paraId="7D2A2780" w14:textId="77777777" w:rsidR="00990B14" w:rsidRDefault="00000000">
            <w:pPr>
              <w:spacing w:before="20" w:after="20"/>
              <w:jc w:val="both"/>
            </w:pPr>
            <w:r>
              <w:rPr>
                <w:sz w:val="18"/>
                <w:szCs w:val="18"/>
              </w:rPr>
              <w:t>Conjunto potencia</w:t>
            </w:r>
          </w:p>
        </w:tc>
        <w:tc>
          <w:tcPr>
            <w:tcW w:w="1876" w:type="dxa"/>
            <w:shd w:val="clear" w:color="auto" w:fill="D9E2F3"/>
            <w:vAlign w:val="center"/>
          </w:tcPr>
          <w:p w14:paraId="553A4BEA" w14:textId="77777777" w:rsidR="00990B14" w:rsidRDefault="00000000">
            <w:pPr>
              <w:spacing w:before="20" w:after="20"/>
              <w:jc w:val="both"/>
            </w:pPr>
            <w:r>
              <w:rPr>
                <w:sz w:val="18"/>
                <w:szCs w:val="18"/>
              </w:rPr>
              <w:t>Omite subconjuntos.</w:t>
            </w:r>
          </w:p>
        </w:tc>
        <w:tc>
          <w:tcPr>
            <w:tcW w:w="1876" w:type="dxa"/>
            <w:shd w:val="clear" w:color="auto" w:fill="D9E2F3"/>
            <w:vAlign w:val="center"/>
          </w:tcPr>
          <w:p w14:paraId="387F37EF" w14:textId="77777777" w:rsidR="00990B14" w:rsidRDefault="00000000">
            <w:pPr>
              <w:spacing w:before="20" w:after="20"/>
              <w:jc w:val="both"/>
            </w:pPr>
            <w:r>
              <w:rPr>
                <w:sz w:val="18"/>
                <w:szCs w:val="18"/>
              </w:rPr>
              <w:t>Determina el conjunto potencia completo.</w:t>
            </w:r>
          </w:p>
        </w:tc>
        <w:tc>
          <w:tcPr>
            <w:tcW w:w="1877" w:type="dxa"/>
            <w:shd w:val="clear" w:color="auto" w:fill="D9E2F3"/>
            <w:vAlign w:val="center"/>
          </w:tcPr>
          <w:p w14:paraId="0391A332" w14:textId="77777777" w:rsidR="00990B14" w:rsidRDefault="00000000">
            <w:pPr>
              <w:spacing w:before="20" w:after="20"/>
              <w:jc w:val="both"/>
            </w:pPr>
            <w:r>
              <w:rPr>
                <w:sz w:val="18"/>
                <w:szCs w:val="18"/>
              </w:rPr>
              <w:t>Relaciona su cardinal con el número de elementos.</w:t>
            </w:r>
          </w:p>
        </w:tc>
      </w:tr>
      <w:tr w:rsidR="00990B14" w14:paraId="78FCEFE3" w14:textId="77777777">
        <w:trPr>
          <w:cantSplit/>
          <w:jc w:val="center"/>
        </w:trPr>
        <w:tc>
          <w:tcPr>
            <w:tcW w:w="1900" w:type="dxa"/>
            <w:vMerge/>
            <w:shd w:val="clear" w:color="auto" w:fill="4472C4"/>
            <w:vAlign w:val="center"/>
          </w:tcPr>
          <w:p w14:paraId="5F407AF5" w14:textId="77777777" w:rsidR="00990B14" w:rsidRDefault="00990B14">
            <w:pPr>
              <w:spacing w:before="20" w:after="20"/>
            </w:pPr>
          </w:p>
        </w:tc>
        <w:tc>
          <w:tcPr>
            <w:tcW w:w="1876" w:type="dxa"/>
            <w:shd w:val="clear" w:color="auto" w:fill="D9E2F3"/>
            <w:vAlign w:val="center"/>
          </w:tcPr>
          <w:p w14:paraId="47B9F13B" w14:textId="77777777" w:rsidR="00990B14" w:rsidRDefault="00000000">
            <w:pPr>
              <w:spacing w:before="20" w:after="20"/>
              <w:jc w:val="both"/>
            </w:pPr>
            <w:r>
              <w:rPr>
                <w:sz w:val="18"/>
                <w:szCs w:val="18"/>
              </w:rPr>
              <w:t>Trabajo en equipo</w:t>
            </w:r>
          </w:p>
        </w:tc>
        <w:tc>
          <w:tcPr>
            <w:tcW w:w="1876" w:type="dxa"/>
            <w:shd w:val="clear" w:color="auto" w:fill="D9E2F3"/>
            <w:vAlign w:val="center"/>
          </w:tcPr>
          <w:p w14:paraId="4368314F" w14:textId="77777777" w:rsidR="00990B14" w:rsidRDefault="00000000">
            <w:pPr>
              <w:spacing w:before="20" w:after="20"/>
              <w:jc w:val="both"/>
            </w:pPr>
            <w:r>
              <w:rPr>
                <w:sz w:val="18"/>
                <w:szCs w:val="18"/>
              </w:rPr>
              <w:t>El cuadro está incompleto.</w:t>
            </w:r>
          </w:p>
        </w:tc>
        <w:tc>
          <w:tcPr>
            <w:tcW w:w="1876" w:type="dxa"/>
            <w:shd w:val="clear" w:color="auto" w:fill="D9E2F3"/>
            <w:vAlign w:val="center"/>
          </w:tcPr>
          <w:p w14:paraId="0F388B7A" w14:textId="77777777" w:rsidR="00990B14" w:rsidRDefault="00000000">
            <w:pPr>
              <w:spacing w:before="20" w:after="20"/>
              <w:jc w:val="both"/>
            </w:pPr>
            <w:r>
              <w:rPr>
                <w:sz w:val="18"/>
                <w:szCs w:val="18"/>
              </w:rPr>
              <w:t>El equipo presenta el cuadro completo.</w:t>
            </w:r>
          </w:p>
        </w:tc>
        <w:tc>
          <w:tcPr>
            <w:tcW w:w="1877" w:type="dxa"/>
            <w:shd w:val="clear" w:color="auto" w:fill="D9E2F3"/>
            <w:vAlign w:val="center"/>
          </w:tcPr>
          <w:p w14:paraId="074B90C1" w14:textId="77777777" w:rsidR="00990B14" w:rsidRDefault="00000000">
            <w:pPr>
              <w:spacing w:before="20" w:after="20"/>
              <w:jc w:val="both"/>
            </w:pPr>
            <w:r>
              <w:rPr>
                <w:sz w:val="18"/>
                <w:szCs w:val="18"/>
              </w:rPr>
              <w:t>El equipo revisa la coherencia de las clases.</w:t>
            </w:r>
          </w:p>
        </w:tc>
      </w:tr>
      <w:tr w:rsidR="00990B14" w14:paraId="08A9DB63" w14:textId="77777777">
        <w:trPr>
          <w:cantSplit/>
          <w:jc w:val="center"/>
        </w:trPr>
        <w:tc>
          <w:tcPr>
            <w:tcW w:w="1900" w:type="dxa"/>
            <w:vMerge/>
            <w:shd w:val="clear" w:color="auto" w:fill="4472C4"/>
            <w:vAlign w:val="center"/>
          </w:tcPr>
          <w:p w14:paraId="1A8BC503" w14:textId="77777777" w:rsidR="00990B14" w:rsidRDefault="00990B14">
            <w:pPr>
              <w:spacing w:before="20" w:after="20"/>
            </w:pPr>
          </w:p>
        </w:tc>
        <w:tc>
          <w:tcPr>
            <w:tcW w:w="5628" w:type="dxa"/>
            <w:gridSpan w:val="3"/>
            <w:shd w:val="clear" w:color="auto" w:fill="D9E2F3"/>
            <w:vAlign w:val="center"/>
          </w:tcPr>
          <w:p w14:paraId="7F11CD24" w14:textId="77777777" w:rsidR="00990B14" w:rsidRDefault="00000000">
            <w:pPr>
              <w:keepNext/>
              <w:spacing w:before="20" w:after="20"/>
              <w:jc w:val="both"/>
            </w:pPr>
            <w:r>
              <w:rPr>
                <w:b/>
                <w:bCs/>
                <w:i/>
                <w:iCs/>
                <w:sz w:val="18"/>
                <w:szCs w:val="18"/>
              </w:rPr>
              <w:t xml:space="preserve">Producto 15: </w:t>
            </w:r>
            <w:r>
              <w:rPr>
                <w:sz w:val="18"/>
                <w:szCs w:val="18"/>
              </w:rPr>
              <w:t>Problema de cardinalidad</w:t>
            </w:r>
          </w:p>
        </w:tc>
        <w:tc>
          <w:tcPr>
            <w:tcW w:w="1877" w:type="dxa"/>
            <w:shd w:val="clear" w:color="auto" w:fill="D9E2F3"/>
            <w:vAlign w:val="center"/>
          </w:tcPr>
          <w:p w14:paraId="68F7E21A" w14:textId="77777777" w:rsidR="00990B14" w:rsidRDefault="00000000">
            <w:pPr>
              <w:spacing w:before="20" w:after="20"/>
              <w:jc w:val="center"/>
            </w:pPr>
            <w:r>
              <w:rPr>
                <w:b/>
                <w:bCs/>
                <w:sz w:val="18"/>
                <w:szCs w:val="18"/>
              </w:rPr>
              <w:t>2%</w:t>
            </w:r>
          </w:p>
        </w:tc>
      </w:tr>
      <w:tr w:rsidR="00990B14" w14:paraId="0D72E4E8" w14:textId="77777777">
        <w:trPr>
          <w:cantSplit/>
          <w:jc w:val="center"/>
        </w:trPr>
        <w:tc>
          <w:tcPr>
            <w:tcW w:w="1900" w:type="dxa"/>
            <w:vMerge/>
            <w:shd w:val="clear" w:color="auto" w:fill="4472C4"/>
            <w:vAlign w:val="center"/>
          </w:tcPr>
          <w:p w14:paraId="77521391" w14:textId="77777777" w:rsidR="00990B14" w:rsidRDefault="00990B14">
            <w:pPr>
              <w:spacing w:before="20" w:after="20"/>
            </w:pPr>
          </w:p>
        </w:tc>
        <w:tc>
          <w:tcPr>
            <w:tcW w:w="1876" w:type="dxa"/>
            <w:shd w:val="clear" w:color="auto" w:fill="4472C4"/>
            <w:vAlign w:val="center"/>
          </w:tcPr>
          <w:p w14:paraId="22C5A122"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12C347C8"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68A5807F"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303F74DC" w14:textId="77777777" w:rsidR="00990B14" w:rsidRDefault="00000000">
            <w:pPr>
              <w:keepNext/>
              <w:spacing w:before="20" w:after="20"/>
              <w:jc w:val="center"/>
            </w:pPr>
            <w:r>
              <w:rPr>
                <w:b/>
                <w:bCs/>
                <w:i/>
                <w:iCs/>
                <w:color w:val="FFFFFF"/>
                <w:sz w:val="18"/>
                <w:szCs w:val="18"/>
              </w:rPr>
              <w:t>Destacado (81–100)</w:t>
            </w:r>
          </w:p>
        </w:tc>
      </w:tr>
      <w:tr w:rsidR="00990B14" w14:paraId="48CD9589" w14:textId="77777777">
        <w:trPr>
          <w:cantSplit/>
          <w:jc w:val="center"/>
        </w:trPr>
        <w:tc>
          <w:tcPr>
            <w:tcW w:w="1900" w:type="dxa"/>
            <w:vMerge/>
            <w:shd w:val="clear" w:color="auto" w:fill="4472C4"/>
            <w:vAlign w:val="center"/>
          </w:tcPr>
          <w:p w14:paraId="0BC4489D" w14:textId="77777777" w:rsidR="00990B14" w:rsidRDefault="00990B14">
            <w:pPr>
              <w:spacing w:before="20" w:after="20"/>
            </w:pPr>
          </w:p>
        </w:tc>
        <w:tc>
          <w:tcPr>
            <w:tcW w:w="1876" w:type="dxa"/>
            <w:shd w:val="clear" w:color="auto" w:fill="D9E2F3"/>
            <w:vAlign w:val="center"/>
          </w:tcPr>
          <w:p w14:paraId="04226896" w14:textId="77777777" w:rsidR="00990B14" w:rsidRDefault="00000000">
            <w:pPr>
              <w:spacing w:before="20" w:after="20"/>
              <w:jc w:val="both"/>
            </w:pPr>
            <w:r>
              <w:rPr>
                <w:sz w:val="18"/>
                <w:szCs w:val="18"/>
              </w:rPr>
              <w:t>Planteamiento</w:t>
            </w:r>
          </w:p>
        </w:tc>
        <w:tc>
          <w:tcPr>
            <w:tcW w:w="1876" w:type="dxa"/>
            <w:shd w:val="clear" w:color="auto" w:fill="D9E2F3"/>
            <w:vAlign w:val="center"/>
          </w:tcPr>
          <w:p w14:paraId="3712E2CA" w14:textId="77777777" w:rsidR="00990B14" w:rsidRDefault="00000000">
            <w:pPr>
              <w:spacing w:before="20" w:after="20"/>
              <w:jc w:val="both"/>
            </w:pPr>
            <w:r>
              <w:rPr>
                <w:sz w:val="18"/>
                <w:szCs w:val="18"/>
              </w:rPr>
              <w:t>No identifica las regiones del diagrama.</w:t>
            </w:r>
          </w:p>
        </w:tc>
        <w:tc>
          <w:tcPr>
            <w:tcW w:w="1876" w:type="dxa"/>
            <w:shd w:val="clear" w:color="auto" w:fill="D9E2F3"/>
            <w:vAlign w:val="center"/>
          </w:tcPr>
          <w:p w14:paraId="6A931DDF" w14:textId="77777777" w:rsidR="00990B14" w:rsidRDefault="00000000">
            <w:pPr>
              <w:spacing w:before="20" w:after="20"/>
              <w:jc w:val="both"/>
            </w:pPr>
            <w:r>
              <w:rPr>
                <w:sz w:val="18"/>
                <w:szCs w:val="18"/>
              </w:rPr>
              <w:t>Ubica los datos en las regiones correctas.</w:t>
            </w:r>
          </w:p>
        </w:tc>
        <w:tc>
          <w:tcPr>
            <w:tcW w:w="1877" w:type="dxa"/>
            <w:shd w:val="clear" w:color="auto" w:fill="D9E2F3"/>
            <w:vAlign w:val="center"/>
          </w:tcPr>
          <w:p w14:paraId="28EDE096" w14:textId="77777777" w:rsidR="00990B14" w:rsidRDefault="00000000">
            <w:pPr>
              <w:spacing w:before="20" w:after="20"/>
              <w:jc w:val="both"/>
            </w:pPr>
            <w:r>
              <w:rPr>
                <w:sz w:val="18"/>
                <w:szCs w:val="18"/>
              </w:rPr>
              <w:t>Plantea la fórmula de inclusión y exclusión.</w:t>
            </w:r>
          </w:p>
        </w:tc>
      </w:tr>
      <w:tr w:rsidR="00990B14" w14:paraId="3C473511" w14:textId="77777777">
        <w:trPr>
          <w:cantSplit/>
          <w:jc w:val="center"/>
        </w:trPr>
        <w:tc>
          <w:tcPr>
            <w:tcW w:w="1900" w:type="dxa"/>
            <w:vMerge/>
            <w:shd w:val="clear" w:color="auto" w:fill="4472C4"/>
            <w:vAlign w:val="center"/>
          </w:tcPr>
          <w:p w14:paraId="11EE87B5" w14:textId="77777777" w:rsidR="00990B14" w:rsidRDefault="00990B14">
            <w:pPr>
              <w:spacing w:before="20" w:after="20"/>
            </w:pPr>
          </w:p>
        </w:tc>
        <w:tc>
          <w:tcPr>
            <w:tcW w:w="1876" w:type="dxa"/>
            <w:shd w:val="clear" w:color="auto" w:fill="D9E2F3"/>
            <w:vAlign w:val="center"/>
          </w:tcPr>
          <w:p w14:paraId="06D8E38E" w14:textId="77777777" w:rsidR="00990B14" w:rsidRDefault="00000000">
            <w:pPr>
              <w:spacing w:before="20" w:after="20"/>
              <w:jc w:val="both"/>
            </w:pPr>
            <w:r>
              <w:rPr>
                <w:sz w:val="18"/>
                <w:szCs w:val="18"/>
              </w:rPr>
              <w:t>Resultado</w:t>
            </w:r>
          </w:p>
        </w:tc>
        <w:tc>
          <w:tcPr>
            <w:tcW w:w="1876" w:type="dxa"/>
            <w:shd w:val="clear" w:color="auto" w:fill="D9E2F3"/>
            <w:vAlign w:val="center"/>
          </w:tcPr>
          <w:p w14:paraId="499E65EC" w14:textId="77777777" w:rsidR="00990B14" w:rsidRDefault="00000000">
            <w:pPr>
              <w:spacing w:before="20" w:after="20"/>
              <w:jc w:val="both"/>
            </w:pPr>
            <w:r>
              <w:rPr>
                <w:sz w:val="18"/>
                <w:szCs w:val="18"/>
              </w:rPr>
              <w:t>El conteo es incorrecto.</w:t>
            </w:r>
          </w:p>
        </w:tc>
        <w:tc>
          <w:tcPr>
            <w:tcW w:w="1876" w:type="dxa"/>
            <w:shd w:val="clear" w:color="auto" w:fill="D9E2F3"/>
            <w:vAlign w:val="center"/>
          </w:tcPr>
          <w:p w14:paraId="5CB8F66F" w14:textId="77777777" w:rsidR="00990B14" w:rsidRDefault="00000000">
            <w:pPr>
              <w:spacing w:before="20" w:after="20"/>
              <w:jc w:val="both"/>
            </w:pPr>
            <w:r>
              <w:rPr>
                <w:sz w:val="18"/>
                <w:szCs w:val="18"/>
              </w:rPr>
              <w:t>Determina correctamente cada cardinal pedido.</w:t>
            </w:r>
          </w:p>
        </w:tc>
        <w:tc>
          <w:tcPr>
            <w:tcW w:w="1877" w:type="dxa"/>
            <w:shd w:val="clear" w:color="auto" w:fill="D9E2F3"/>
            <w:vAlign w:val="center"/>
          </w:tcPr>
          <w:p w14:paraId="3ED2E926" w14:textId="77777777" w:rsidR="00990B14" w:rsidRDefault="00000000">
            <w:pPr>
              <w:spacing w:before="20" w:after="20"/>
              <w:jc w:val="both"/>
            </w:pPr>
            <w:r>
              <w:rPr>
                <w:sz w:val="18"/>
                <w:szCs w:val="18"/>
              </w:rPr>
              <w:t>Comprueba que la suma de regiones da el total.</w:t>
            </w:r>
          </w:p>
        </w:tc>
      </w:tr>
      <w:tr w:rsidR="00990B14" w14:paraId="05CE217A" w14:textId="77777777">
        <w:trPr>
          <w:cantSplit/>
          <w:jc w:val="center"/>
        </w:trPr>
        <w:tc>
          <w:tcPr>
            <w:tcW w:w="1900" w:type="dxa"/>
            <w:vMerge/>
            <w:shd w:val="clear" w:color="auto" w:fill="4472C4"/>
            <w:vAlign w:val="center"/>
          </w:tcPr>
          <w:p w14:paraId="12CB93FC" w14:textId="77777777" w:rsidR="00990B14" w:rsidRDefault="00990B14">
            <w:pPr>
              <w:spacing w:before="20" w:after="20"/>
            </w:pPr>
          </w:p>
        </w:tc>
        <w:tc>
          <w:tcPr>
            <w:tcW w:w="1876" w:type="dxa"/>
            <w:shd w:val="clear" w:color="auto" w:fill="D9E2F3"/>
            <w:vAlign w:val="center"/>
          </w:tcPr>
          <w:p w14:paraId="26F8F6FA" w14:textId="77777777" w:rsidR="00990B14" w:rsidRDefault="00000000">
            <w:pPr>
              <w:spacing w:before="20" w:after="20"/>
              <w:jc w:val="both"/>
            </w:pPr>
            <w:r>
              <w:rPr>
                <w:sz w:val="18"/>
                <w:szCs w:val="18"/>
              </w:rPr>
              <w:t>Claridad</w:t>
            </w:r>
          </w:p>
        </w:tc>
        <w:tc>
          <w:tcPr>
            <w:tcW w:w="1876" w:type="dxa"/>
            <w:shd w:val="clear" w:color="auto" w:fill="D9E2F3"/>
            <w:vAlign w:val="center"/>
          </w:tcPr>
          <w:p w14:paraId="382792C9" w14:textId="77777777" w:rsidR="00990B14" w:rsidRDefault="00000000">
            <w:pPr>
              <w:spacing w:before="20" w:after="20"/>
              <w:jc w:val="both"/>
            </w:pPr>
            <w:r>
              <w:rPr>
                <w:sz w:val="18"/>
                <w:szCs w:val="18"/>
              </w:rPr>
              <w:t>El desarrollo es confuso.</w:t>
            </w:r>
          </w:p>
        </w:tc>
        <w:tc>
          <w:tcPr>
            <w:tcW w:w="1876" w:type="dxa"/>
            <w:shd w:val="clear" w:color="auto" w:fill="D9E2F3"/>
            <w:vAlign w:val="center"/>
          </w:tcPr>
          <w:p w14:paraId="61370B2D" w14:textId="77777777" w:rsidR="00990B14" w:rsidRDefault="00000000">
            <w:pPr>
              <w:spacing w:before="20" w:after="20"/>
              <w:jc w:val="both"/>
            </w:pPr>
            <w:r>
              <w:rPr>
                <w:sz w:val="18"/>
                <w:szCs w:val="18"/>
              </w:rPr>
              <w:t>El desarrollo es claro y ordenado.</w:t>
            </w:r>
          </w:p>
        </w:tc>
        <w:tc>
          <w:tcPr>
            <w:tcW w:w="1877" w:type="dxa"/>
            <w:shd w:val="clear" w:color="auto" w:fill="D9E2F3"/>
            <w:vAlign w:val="center"/>
          </w:tcPr>
          <w:p w14:paraId="17B4953E" w14:textId="77777777" w:rsidR="00990B14" w:rsidRDefault="00000000">
            <w:pPr>
              <w:spacing w:before="20" w:after="20"/>
              <w:jc w:val="both"/>
            </w:pPr>
            <w:r>
              <w:rPr>
                <w:sz w:val="18"/>
                <w:szCs w:val="18"/>
              </w:rPr>
              <w:t>Explica el significado de cada región.</w:t>
            </w:r>
          </w:p>
        </w:tc>
      </w:tr>
      <w:tr w:rsidR="00990B14" w14:paraId="06D060E1" w14:textId="77777777">
        <w:trPr>
          <w:cantSplit/>
          <w:jc w:val="center"/>
        </w:trPr>
        <w:tc>
          <w:tcPr>
            <w:tcW w:w="1900" w:type="dxa"/>
            <w:vMerge/>
            <w:shd w:val="clear" w:color="auto" w:fill="4472C4"/>
            <w:vAlign w:val="center"/>
          </w:tcPr>
          <w:p w14:paraId="4FE6F067" w14:textId="77777777" w:rsidR="00990B14" w:rsidRDefault="00990B14">
            <w:pPr>
              <w:spacing w:before="20" w:after="20"/>
            </w:pPr>
          </w:p>
        </w:tc>
        <w:tc>
          <w:tcPr>
            <w:tcW w:w="5628" w:type="dxa"/>
            <w:gridSpan w:val="3"/>
            <w:shd w:val="clear" w:color="auto" w:fill="D9E2F3"/>
            <w:vAlign w:val="center"/>
          </w:tcPr>
          <w:p w14:paraId="69A18A43" w14:textId="77777777" w:rsidR="00990B14" w:rsidRDefault="00000000">
            <w:pPr>
              <w:keepNext/>
              <w:spacing w:before="20" w:after="20"/>
              <w:jc w:val="both"/>
            </w:pPr>
            <w:r>
              <w:rPr>
                <w:b/>
                <w:bCs/>
                <w:i/>
                <w:iCs/>
                <w:sz w:val="18"/>
                <w:szCs w:val="18"/>
              </w:rPr>
              <w:t xml:space="preserve">Producto 16: </w:t>
            </w:r>
            <w:r>
              <w:rPr>
                <w:sz w:val="18"/>
                <w:szCs w:val="18"/>
              </w:rPr>
              <w:t>Informe de cruce de registros</w:t>
            </w:r>
          </w:p>
        </w:tc>
        <w:tc>
          <w:tcPr>
            <w:tcW w:w="1877" w:type="dxa"/>
            <w:shd w:val="clear" w:color="auto" w:fill="D9E2F3"/>
            <w:vAlign w:val="center"/>
          </w:tcPr>
          <w:p w14:paraId="75422D4A" w14:textId="77777777" w:rsidR="00990B14" w:rsidRDefault="00000000">
            <w:pPr>
              <w:spacing w:before="20" w:after="20"/>
              <w:jc w:val="center"/>
            </w:pPr>
            <w:r>
              <w:rPr>
                <w:b/>
                <w:bCs/>
                <w:sz w:val="18"/>
                <w:szCs w:val="18"/>
              </w:rPr>
              <w:t>2%</w:t>
            </w:r>
          </w:p>
        </w:tc>
      </w:tr>
      <w:tr w:rsidR="00990B14" w14:paraId="19AA777A" w14:textId="77777777">
        <w:trPr>
          <w:cantSplit/>
          <w:jc w:val="center"/>
        </w:trPr>
        <w:tc>
          <w:tcPr>
            <w:tcW w:w="1900" w:type="dxa"/>
            <w:vMerge/>
            <w:shd w:val="clear" w:color="auto" w:fill="4472C4"/>
            <w:vAlign w:val="center"/>
          </w:tcPr>
          <w:p w14:paraId="032147EC" w14:textId="77777777" w:rsidR="00990B14" w:rsidRDefault="00990B14">
            <w:pPr>
              <w:spacing w:before="20" w:after="20"/>
            </w:pPr>
          </w:p>
        </w:tc>
        <w:tc>
          <w:tcPr>
            <w:tcW w:w="1876" w:type="dxa"/>
            <w:shd w:val="clear" w:color="auto" w:fill="4472C4"/>
            <w:vAlign w:val="center"/>
          </w:tcPr>
          <w:p w14:paraId="2ED0D458"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1C6F02E0"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69CDF9C1"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1DF34BAA" w14:textId="77777777" w:rsidR="00990B14" w:rsidRDefault="00000000">
            <w:pPr>
              <w:keepNext/>
              <w:spacing w:before="20" w:after="20"/>
              <w:jc w:val="center"/>
            </w:pPr>
            <w:r>
              <w:rPr>
                <w:b/>
                <w:bCs/>
                <w:i/>
                <w:iCs/>
                <w:color w:val="FFFFFF"/>
                <w:sz w:val="18"/>
                <w:szCs w:val="18"/>
              </w:rPr>
              <w:t>Destacado (81–100)</w:t>
            </w:r>
          </w:p>
        </w:tc>
      </w:tr>
      <w:tr w:rsidR="00990B14" w14:paraId="4EBFD125" w14:textId="77777777">
        <w:trPr>
          <w:cantSplit/>
          <w:jc w:val="center"/>
        </w:trPr>
        <w:tc>
          <w:tcPr>
            <w:tcW w:w="1900" w:type="dxa"/>
            <w:vMerge/>
            <w:shd w:val="clear" w:color="auto" w:fill="4472C4"/>
            <w:vAlign w:val="center"/>
          </w:tcPr>
          <w:p w14:paraId="3BB63812" w14:textId="77777777" w:rsidR="00990B14" w:rsidRDefault="00990B14">
            <w:pPr>
              <w:spacing w:before="20" w:after="20"/>
            </w:pPr>
          </w:p>
        </w:tc>
        <w:tc>
          <w:tcPr>
            <w:tcW w:w="1876" w:type="dxa"/>
            <w:shd w:val="clear" w:color="auto" w:fill="D9E2F3"/>
            <w:vAlign w:val="center"/>
          </w:tcPr>
          <w:p w14:paraId="5891DF95" w14:textId="77777777" w:rsidR="00990B14" w:rsidRDefault="00000000">
            <w:pPr>
              <w:spacing w:before="20" w:after="20"/>
              <w:jc w:val="both"/>
            </w:pPr>
            <w:r>
              <w:rPr>
                <w:sz w:val="18"/>
                <w:szCs w:val="18"/>
              </w:rPr>
              <w:t>Operación aplicada</w:t>
            </w:r>
          </w:p>
        </w:tc>
        <w:tc>
          <w:tcPr>
            <w:tcW w:w="1876" w:type="dxa"/>
            <w:shd w:val="clear" w:color="auto" w:fill="D9E2F3"/>
            <w:vAlign w:val="center"/>
          </w:tcPr>
          <w:p w14:paraId="6F3B372F" w14:textId="77777777" w:rsidR="00990B14" w:rsidRDefault="00000000">
            <w:pPr>
              <w:spacing w:before="20" w:after="20"/>
              <w:jc w:val="both"/>
            </w:pPr>
            <w:r>
              <w:rPr>
                <w:sz w:val="18"/>
                <w:szCs w:val="18"/>
              </w:rPr>
              <w:t>Usa una operación que no responde a la consulta.</w:t>
            </w:r>
          </w:p>
        </w:tc>
        <w:tc>
          <w:tcPr>
            <w:tcW w:w="1876" w:type="dxa"/>
            <w:shd w:val="clear" w:color="auto" w:fill="D9E2F3"/>
            <w:vAlign w:val="center"/>
          </w:tcPr>
          <w:p w14:paraId="4DC10108" w14:textId="77777777" w:rsidR="00990B14" w:rsidRDefault="00000000">
            <w:pPr>
              <w:spacing w:before="20" w:after="20"/>
              <w:jc w:val="both"/>
            </w:pPr>
            <w:r>
              <w:rPr>
                <w:sz w:val="18"/>
                <w:szCs w:val="18"/>
              </w:rPr>
              <w:t>Aplica la operación de conjuntos adecuada.</w:t>
            </w:r>
          </w:p>
        </w:tc>
        <w:tc>
          <w:tcPr>
            <w:tcW w:w="1877" w:type="dxa"/>
            <w:shd w:val="clear" w:color="auto" w:fill="D9E2F3"/>
            <w:vAlign w:val="center"/>
          </w:tcPr>
          <w:p w14:paraId="00516C99" w14:textId="77777777" w:rsidR="00990B14" w:rsidRDefault="00000000">
            <w:pPr>
              <w:spacing w:before="20" w:after="20"/>
              <w:jc w:val="both"/>
            </w:pPr>
            <w:r>
              <w:rPr>
                <w:sz w:val="18"/>
                <w:szCs w:val="18"/>
              </w:rPr>
              <w:t>Relaciona cada consulta con su operación de conjuntos.</w:t>
            </w:r>
          </w:p>
        </w:tc>
      </w:tr>
      <w:tr w:rsidR="00990B14" w14:paraId="13B4FD00" w14:textId="77777777">
        <w:trPr>
          <w:cantSplit/>
          <w:jc w:val="center"/>
        </w:trPr>
        <w:tc>
          <w:tcPr>
            <w:tcW w:w="1900" w:type="dxa"/>
            <w:vMerge/>
            <w:shd w:val="clear" w:color="auto" w:fill="4472C4"/>
            <w:vAlign w:val="center"/>
          </w:tcPr>
          <w:p w14:paraId="2FC74EB0" w14:textId="77777777" w:rsidR="00990B14" w:rsidRDefault="00990B14">
            <w:pPr>
              <w:spacing w:before="20" w:after="20"/>
            </w:pPr>
          </w:p>
        </w:tc>
        <w:tc>
          <w:tcPr>
            <w:tcW w:w="1876" w:type="dxa"/>
            <w:shd w:val="clear" w:color="auto" w:fill="D9E2F3"/>
            <w:vAlign w:val="center"/>
          </w:tcPr>
          <w:p w14:paraId="0C227A6D" w14:textId="77777777" w:rsidR="00990B14" w:rsidRDefault="00000000">
            <w:pPr>
              <w:spacing w:before="20" w:after="20"/>
              <w:jc w:val="both"/>
            </w:pPr>
            <w:r>
              <w:rPr>
                <w:sz w:val="18"/>
                <w:szCs w:val="18"/>
              </w:rPr>
              <w:t>Resultado del cruce</w:t>
            </w:r>
          </w:p>
        </w:tc>
        <w:tc>
          <w:tcPr>
            <w:tcW w:w="1876" w:type="dxa"/>
            <w:shd w:val="clear" w:color="auto" w:fill="D9E2F3"/>
            <w:vAlign w:val="center"/>
          </w:tcPr>
          <w:p w14:paraId="21BF5BD3" w14:textId="77777777" w:rsidR="00990B14" w:rsidRDefault="00000000">
            <w:pPr>
              <w:spacing w:before="20" w:after="20"/>
              <w:jc w:val="both"/>
            </w:pPr>
            <w:r>
              <w:rPr>
                <w:sz w:val="18"/>
                <w:szCs w:val="18"/>
              </w:rPr>
              <w:t>El cruce tiene registros duplicados u omitidos.</w:t>
            </w:r>
          </w:p>
        </w:tc>
        <w:tc>
          <w:tcPr>
            <w:tcW w:w="1876" w:type="dxa"/>
            <w:shd w:val="clear" w:color="auto" w:fill="D9E2F3"/>
            <w:vAlign w:val="center"/>
          </w:tcPr>
          <w:p w14:paraId="45327848" w14:textId="77777777" w:rsidR="00990B14" w:rsidRDefault="00000000">
            <w:pPr>
              <w:spacing w:before="20" w:after="20"/>
              <w:jc w:val="both"/>
            </w:pPr>
            <w:r>
              <w:rPr>
                <w:sz w:val="18"/>
                <w:szCs w:val="18"/>
              </w:rPr>
              <w:t>Obtiene el cruce correcto.</w:t>
            </w:r>
          </w:p>
        </w:tc>
        <w:tc>
          <w:tcPr>
            <w:tcW w:w="1877" w:type="dxa"/>
            <w:shd w:val="clear" w:color="auto" w:fill="D9E2F3"/>
            <w:vAlign w:val="center"/>
          </w:tcPr>
          <w:p w14:paraId="3C3D38B3" w14:textId="77777777" w:rsidR="00990B14" w:rsidRDefault="00000000">
            <w:pPr>
              <w:spacing w:before="20" w:after="20"/>
              <w:jc w:val="both"/>
            </w:pPr>
            <w:r>
              <w:rPr>
                <w:sz w:val="18"/>
                <w:szCs w:val="18"/>
              </w:rPr>
              <w:t>Detecta registros inconsistentes entre las bases.</w:t>
            </w:r>
          </w:p>
        </w:tc>
      </w:tr>
      <w:tr w:rsidR="00990B14" w14:paraId="204811B6" w14:textId="77777777">
        <w:trPr>
          <w:cantSplit/>
          <w:jc w:val="center"/>
        </w:trPr>
        <w:tc>
          <w:tcPr>
            <w:tcW w:w="1900" w:type="dxa"/>
            <w:vMerge/>
            <w:shd w:val="clear" w:color="auto" w:fill="4472C4"/>
            <w:vAlign w:val="center"/>
          </w:tcPr>
          <w:p w14:paraId="215AB7E7" w14:textId="77777777" w:rsidR="00990B14" w:rsidRDefault="00990B14">
            <w:pPr>
              <w:spacing w:before="20" w:after="20"/>
            </w:pPr>
          </w:p>
        </w:tc>
        <w:tc>
          <w:tcPr>
            <w:tcW w:w="1876" w:type="dxa"/>
            <w:shd w:val="clear" w:color="auto" w:fill="D9E2F3"/>
            <w:vAlign w:val="center"/>
          </w:tcPr>
          <w:p w14:paraId="304DD6A9" w14:textId="77777777" w:rsidR="00990B14" w:rsidRDefault="00000000">
            <w:pPr>
              <w:spacing w:before="20" w:after="20"/>
              <w:jc w:val="both"/>
            </w:pPr>
            <w:r>
              <w:rPr>
                <w:sz w:val="18"/>
                <w:szCs w:val="18"/>
              </w:rPr>
              <w:t>Uso de la hoja de cálculo</w:t>
            </w:r>
          </w:p>
        </w:tc>
        <w:tc>
          <w:tcPr>
            <w:tcW w:w="1876" w:type="dxa"/>
            <w:shd w:val="clear" w:color="auto" w:fill="D9E2F3"/>
            <w:vAlign w:val="center"/>
          </w:tcPr>
          <w:p w14:paraId="3530DEA6" w14:textId="77777777" w:rsidR="00990B14" w:rsidRDefault="00000000">
            <w:pPr>
              <w:spacing w:before="20" w:after="20"/>
              <w:jc w:val="both"/>
            </w:pPr>
            <w:r>
              <w:rPr>
                <w:sz w:val="18"/>
                <w:szCs w:val="18"/>
              </w:rPr>
              <w:t>No usa filtros ni fórmulas.</w:t>
            </w:r>
          </w:p>
        </w:tc>
        <w:tc>
          <w:tcPr>
            <w:tcW w:w="1876" w:type="dxa"/>
            <w:shd w:val="clear" w:color="auto" w:fill="D9E2F3"/>
            <w:vAlign w:val="center"/>
          </w:tcPr>
          <w:p w14:paraId="2EDA4432" w14:textId="77777777" w:rsidR="00990B14" w:rsidRDefault="00000000">
            <w:pPr>
              <w:spacing w:before="20" w:after="20"/>
              <w:jc w:val="both"/>
            </w:pPr>
            <w:r>
              <w:rPr>
                <w:sz w:val="18"/>
                <w:szCs w:val="18"/>
              </w:rPr>
              <w:t>Usa filtros y fórmulas de búsqueda.</w:t>
            </w:r>
          </w:p>
        </w:tc>
        <w:tc>
          <w:tcPr>
            <w:tcW w:w="1877" w:type="dxa"/>
            <w:shd w:val="clear" w:color="auto" w:fill="D9E2F3"/>
            <w:vAlign w:val="center"/>
          </w:tcPr>
          <w:p w14:paraId="06770D5B" w14:textId="77777777" w:rsidR="00990B14" w:rsidRDefault="00000000">
            <w:pPr>
              <w:spacing w:before="20" w:after="20"/>
              <w:jc w:val="both"/>
            </w:pPr>
            <w:r>
              <w:rPr>
                <w:sz w:val="18"/>
                <w:szCs w:val="18"/>
              </w:rPr>
              <w:t>Documenta los pasos del cruce.</w:t>
            </w:r>
          </w:p>
        </w:tc>
      </w:tr>
      <w:tr w:rsidR="00990B14" w14:paraId="4741823F" w14:textId="77777777">
        <w:trPr>
          <w:cantSplit/>
          <w:jc w:val="center"/>
        </w:trPr>
        <w:tc>
          <w:tcPr>
            <w:tcW w:w="1900" w:type="dxa"/>
            <w:vMerge/>
            <w:shd w:val="clear" w:color="auto" w:fill="4472C4"/>
            <w:vAlign w:val="center"/>
          </w:tcPr>
          <w:p w14:paraId="07DC28B2" w14:textId="77777777" w:rsidR="00990B14" w:rsidRDefault="00990B14">
            <w:pPr>
              <w:spacing w:before="20" w:after="20"/>
            </w:pPr>
          </w:p>
        </w:tc>
        <w:tc>
          <w:tcPr>
            <w:tcW w:w="5628" w:type="dxa"/>
            <w:gridSpan w:val="3"/>
            <w:shd w:val="clear" w:color="auto" w:fill="D9E2F3"/>
            <w:vAlign w:val="center"/>
          </w:tcPr>
          <w:p w14:paraId="2411E346" w14:textId="77777777" w:rsidR="00990B14" w:rsidRDefault="00000000">
            <w:pPr>
              <w:keepNext/>
              <w:spacing w:before="20" w:after="20"/>
              <w:jc w:val="both"/>
            </w:pPr>
            <w:r>
              <w:rPr>
                <w:b/>
                <w:bCs/>
                <w:i/>
                <w:iCs/>
                <w:sz w:val="18"/>
                <w:szCs w:val="18"/>
              </w:rPr>
              <w:t xml:space="preserve">Producto 17: </w:t>
            </w:r>
            <w:r>
              <w:rPr>
                <w:sz w:val="18"/>
                <w:szCs w:val="18"/>
              </w:rPr>
              <w:t>Práctico de sumatorias y productorias</w:t>
            </w:r>
          </w:p>
        </w:tc>
        <w:tc>
          <w:tcPr>
            <w:tcW w:w="1877" w:type="dxa"/>
            <w:shd w:val="clear" w:color="auto" w:fill="D9E2F3"/>
            <w:vAlign w:val="center"/>
          </w:tcPr>
          <w:p w14:paraId="5D48A728" w14:textId="77777777" w:rsidR="00990B14" w:rsidRDefault="00000000">
            <w:pPr>
              <w:spacing w:before="20" w:after="20"/>
              <w:jc w:val="center"/>
            </w:pPr>
            <w:r>
              <w:rPr>
                <w:b/>
                <w:bCs/>
                <w:sz w:val="18"/>
                <w:szCs w:val="18"/>
              </w:rPr>
              <w:t>3%</w:t>
            </w:r>
          </w:p>
        </w:tc>
      </w:tr>
      <w:tr w:rsidR="00990B14" w14:paraId="1A19CA35" w14:textId="77777777">
        <w:trPr>
          <w:cantSplit/>
          <w:jc w:val="center"/>
        </w:trPr>
        <w:tc>
          <w:tcPr>
            <w:tcW w:w="1900" w:type="dxa"/>
            <w:vMerge/>
            <w:shd w:val="clear" w:color="auto" w:fill="4472C4"/>
            <w:vAlign w:val="center"/>
          </w:tcPr>
          <w:p w14:paraId="372E8720" w14:textId="77777777" w:rsidR="00990B14" w:rsidRDefault="00990B14">
            <w:pPr>
              <w:spacing w:before="20" w:after="20"/>
            </w:pPr>
          </w:p>
        </w:tc>
        <w:tc>
          <w:tcPr>
            <w:tcW w:w="1876" w:type="dxa"/>
            <w:shd w:val="clear" w:color="auto" w:fill="4472C4"/>
            <w:vAlign w:val="center"/>
          </w:tcPr>
          <w:p w14:paraId="0F02A11B"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72EB5169"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489F29B9"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1D106C5C" w14:textId="77777777" w:rsidR="00990B14" w:rsidRDefault="00000000">
            <w:pPr>
              <w:keepNext/>
              <w:spacing w:before="20" w:after="20"/>
              <w:jc w:val="center"/>
            </w:pPr>
            <w:r>
              <w:rPr>
                <w:b/>
                <w:bCs/>
                <w:i/>
                <w:iCs/>
                <w:color w:val="FFFFFF"/>
                <w:sz w:val="18"/>
                <w:szCs w:val="18"/>
              </w:rPr>
              <w:t>Destacado (81–100)</w:t>
            </w:r>
          </w:p>
        </w:tc>
      </w:tr>
      <w:tr w:rsidR="00990B14" w14:paraId="05C85A64" w14:textId="77777777">
        <w:trPr>
          <w:cantSplit/>
          <w:jc w:val="center"/>
        </w:trPr>
        <w:tc>
          <w:tcPr>
            <w:tcW w:w="1900" w:type="dxa"/>
            <w:vMerge/>
            <w:shd w:val="clear" w:color="auto" w:fill="4472C4"/>
            <w:vAlign w:val="center"/>
          </w:tcPr>
          <w:p w14:paraId="6A6F235A" w14:textId="77777777" w:rsidR="00990B14" w:rsidRDefault="00990B14">
            <w:pPr>
              <w:spacing w:before="20" w:after="20"/>
            </w:pPr>
          </w:p>
        </w:tc>
        <w:tc>
          <w:tcPr>
            <w:tcW w:w="1876" w:type="dxa"/>
            <w:shd w:val="clear" w:color="auto" w:fill="D9E2F3"/>
            <w:vAlign w:val="center"/>
          </w:tcPr>
          <w:p w14:paraId="44AC1434" w14:textId="77777777" w:rsidR="00990B14" w:rsidRDefault="00000000">
            <w:pPr>
              <w:spacing w:before="20" w:after="20"/>
              <w:jc w:val="both"/>
            </w:pPr>
            <w:r>
              <w:rPr>
                <w:sz w:val="18"/>
                <w:szCs w:val="18"/>
              </w:rPr>
              <w:t>Propiedades</w:t>
            </w:r>
          </w:p>
        </w:tc>
        <w:tc>
          <w:tcPr>
            <w:tcW w:w="1876" w:type="dxa"/>
            <w:shd w:val="clear" w:color="auto" w:fill="D9E2F3"/>
            <w:vAlign w:val="center"/>
          </w:tcPr>
          <w:p w14:paraId="188FE6EF" w14:textId="77777777" w:rsidR="00990B14" w:rsidRDefault="00000000">
            <w:pPr>
              <w:spacing w:before="20" w:after="20"/>
              <w:jc w:val="both"/>
            </w:pPr>
            <w:r>
              <w:rPr>
                <w:sz w:val="18"/>
                <w:szCs w:val="18"/>
              </w:rPr>
              <w:t>Aplica propiedades que no corresponden.</w:t>
            </w:r>
          </w:p>
        </w:tc>
        <w:tc>
          <w:tcPr>
            <w:tcW w:w="1876" w:type="dxa"/>
            <w:shd w:val="clear" w:color="auto" w:fill="D9E2F3"/>
            <w:vAlign w:val="center"/>
          </w:tcPr>
          <w:p w14:paraId="639B22B5" w14:textId="77777777" w:rsidR="00990B14" w:rsidRDefault="00000000">
            <w:pPr>
              <w:spacing w:before="20" w:after="20"/>
              <w:jc w:val="both"/>
            </w:pPr>
            <w:r>
              <w:rPr>
                <w:sz w:val="18"/>
                <w:szCs w:val="18"/>
              </w:rPr>
              <w:t>Aplica correctamente las propiedades.</w:t>
            </w:r>
          </w:p>
        </w:tc>
        <w:tc>
          <w:tcPr>
            <w:tcW w:w="1877" w:type="dxa"/>
            <w:shd w:val="clear" w:color="auto" w:fill="D9E2F3"/>
            <w:vAlign w:val="center"/>
          </w:tcPr>
          <w:p w14:paraId="518F6952" w14:textId="77777777" w:rsidR="00990B14" w:rsidRDefault="00000000">
            <w:pPr>
              <w:spacing w:before="20" w:after="20"/>
              <w:jc w:val="both"/>
            </w:pPr>
            <w:r>
              <w:rPr>
                <w:sz w:val="18"/>
                <w:szCs w:val="18"/>
              </w:rPr>
              <w:t>Explica cada propiedad que aplica.</w:t>
            </w:r>
          </w:p>
        </w:tc>
      </w:tr>
      <w:tr w:rsidR="00990B14" w14:paraId="77D874FA" w14:textId="77777777">
        <w:trPr>
          <w:cantSplit/>
          <w:jc w:val="center"/>
        </w:trPr>
        <w:tc>
          <w:tcPr>
            <w:tcW w:w="1900" w:type="dxa"/>
            <w:vMerge/>
            <w:shd w:val="clear" w:color="auto" w:fill="4472C4"/>
            <w:vAlign w:val="center"/>
          </w:tcPr>
          <w:p w14:paraId="72405B82" w14:textId="77777777" w:rsidR="00990B14" w:rsidRDefault="00990B14">
            <w:pPr>
              <w:spacing w:before="20" w:after="20"/>
            </w:pPr>
          </w:p>
        </w:tc>
        <w:tc>
          <w:tcPr>
            <w:tcW w:w="1876" w:type="dxa"/>
            <w:shd w:val="clear" w:color="auto" w:fill="D9E2F3"/>
            <w:vAlign w:val="center"/>
          </w:tcPr>
          <w:p w14:paraId="2A03785F" w14:textId="77777777" w:rsidR="00990B14" w:rsidRDefault="00000000">
            <w:pPr>
              <w:spacing w:before="20" w:after="20"/>
              <w:jc w:val="both"/>
            </w:pPr>
            <w:r>
              <w:rPr>
                <w:sz w:val="18"/>
                <w:szCs w:val="18"/>
              </w:rPr>
              <w:t>Límites de la suma</w:t>
            </w:r>
          </w:p>
        </w:tc>
        <w:tc>
          <w:tcPr>
            <w:tcW w:w="1876" w:type="dxa"/>
            <w:shd w:val="clear" w:color="auto" w:fill="D9E2F3"/>
            <w:vAlign w:val="center"/>
          </w:tcPr>
          <w:p w14:paraId="622DAEF3" w14:textId="77777777" w:rsidR="00990B14" w:rsidRDefault="00000000">
            <w:pPr>
              <w:spacing w:before="20" w:after="20"/>
              <w:jc w:val="both"/>
            </w:pPr>
            <w:r>
              <w:rPr>
                <w:sz w:val="18"/>
                <w:szCs w:val="18"/>
              </w:rPr>
              <w:t>Altera mal los índices.</w:t>
            </w:r>
          </w:p>
        </w:tc>
        <w:tc>
          <w:tcPr>
            <w:tcW w:w="1876" w:type="dxa"/>
            <w:shd w:val="clear" w:color="auto" w:fill="D9E2F3"/>
            <w:vAlign w:val="center"/>
          </w:tcPr>
          <w:p w14:paraId="0D9D8356" w14:textId="77777777" w:rsidR="00990B14" w:rsidRDefault="00000000">
            <w:pPr>
              <w:spacing w:before="20" w:after="20"/>
              <w:jc w:val="both"/>
            </w:pPr>
            <w:r>
              <w:rPr>
                <w:sz w:val="18"/>
                <w:szCs w:val="18"/>
              </w:rPr>
              <w:t>Maneja correctamente los índices y los límites.</w:t>
            </w:r>
          </w:p>
        </w:tc>
        <w:tc>
          <w:tcPr>
            <w:tcW w:w="1877" w:type="dxa"/>
            <w:shd w:val="clear" w:color="auto" w:fill="D9E2F3"/>
            <w:vAlign w:val="center"/>
          </w:tcPr>
          <w:p w14:paraId="6EC432A9" w14:textId="77777777" w:rsidR="00990B14" w:rsidRDefault="00000000">
            <w:pPr>
              <w:spacing w:before="20" w:after="20"/>
              <w:jc w:val="both"/>
            </w:pPr>
            <w:r>
              <w:rPr>
                <w:sz w:val="18"/>
                <w:szCs w:val="18"/>
              </w:rPr>
              <w:t>Cambia de índice cuando simplifica la expresión.</w:t>
            </w:r>
          </w:p>
        </w:tc>
      </w:tr>
      <w:tr w:rsidR="00990B14" w14:paraId="0B5BF594" w14:textId="77777777">
        <w:trPr>
          <w:cantSplit/>
          <w:jc w:val="center"/>
        </w:trPr>
        <w:tc>
          <w:tcPr>
            <w:tcW w:w="1900" w:type="dxa"/>
            <w:vMerge/>
            <w:shd w:val="clear" w:color="auto" w:fill="4472C4"/>
            <w:vAlign w:val="center"/>
          </w:tcPr>
          <w:p w14:paraId="460C9720" w14:textId="77777777" w:rsidR="00990B14" w:rsidRDefault="00990B14">
            <w:pPr>
              <w:spacing w:before="20" w:after="20"/>
            </w:pPr>
          </w:p>
        </w:tc>
        <w:tc>
          <w:tcPr>
            <w:tcW w:w="1876" w:type="dxa"/>
            <w:shd w:val="clear" w:color="auto" w:fill="D9E2F3"/>
            <w:vAlign w:val="center"/>
          </w:tcPr>
          <w:p w14:paraId="6C0E8DA6" w14:textId="77777777" w:rsidR="00990B14" w:rsidRDefault="00000000">
            <w:pPr>
              <w:spacing w:before="20" w:after="20"/>
              <w:jc w:val="both"/>
            </w:pPr>
            <w:r>
              <w:rPr>
                <w:sz w:val="18"/>
                <w:szCs w:val="18"/>
              </w:rPr>
              <w:t>Exactitud</w:t>
            </w:r>
          </w:p>
        </w:tc>
        <w:tc>
          <w:tcPr>
            <w:tcW w:w="1876" w:type="dxa"/>
            <w:shd w:val="clear" w:color="auto" w:fill="D9E2F3"/>
            <w:vAlign w:val="center"/>
          </w:tcPr>
          <w:p w14:paraId="055D1025" w14:textId="77777777" w:rsidR="00990B14" w:rsidRDefault="00000000">
            <w:pPr>
              <w:spacing w:before="20" w:after="20"/>
              <w:jc w:val="both"/>
            </w:pPr>
            <w:r>
              <w:rPr>
                <w:sz w:val="18"/>
                <w:szCs w:val="18"/>
              </w:rPr>
              <w:t>Presenta errores de cálculo.</w:t>
            </w:r>
          </w:p>
        </w:tc>
        <w:tc>
          <w:tcPr>
            <w:tcW w:w="1876" w:type="dxa"/>
            <w:shd w:val="clear" w:color="auto" w:fill="D9E2F3"/>
            <w:vAlign w:val="center"/>
          </w:tcPr>
          <w:p w14:paraId="5E411236" w14:textId="77777777" w:rsidR="00990B14" w:rsidRDefault="00000000">
            <w:pPr>
              <w:spacing w:before="20" w:after="20"/>
              <w:jc w:val="both"/>
            </w:pPr>
            <w:r>
              <w:rPr>
                <w:sz w:val="18"/>
                <w:szCs w:val="18"/>
              </w:rPr>
              <w:t>Los resultados son correctos.</w:t>
            </w:r>
          </w:p>
        </w:tc>
        <w:tc>
          <w:tcPr>
            <w:tcW w:w="1877" w:type="dxa"/>
            <w:shd w:val="clear" w:color="auto" w:fill="D9E2F3"/>
            <w:vAlign w:val="center"/>
          </w:tcPr>
          <w:p w14:paraId="0164995B" w14:textId="77777777" w:rsidR="00990B14" w:rsidRDefault="00000000">
            <w:pPr>
              <w:spacing w:before="20" w:after="20"/>
              <w:jc w:val="both"/>
            </w:pPr>
            <w:r>
              <w:rPr>
                <w:sz w:val="18"/>
                <w:szCs w:val="18"/>
              </w:rPr>
              <w:t>Comprueba el resultado desarrollando los términos.</w:t>
            </w:r>
          </w:p>
        </w:tc>
      </w:tr>
      <w:tr w:rsidR="00990B14" w14:paraId="072E6226" w14:textId="77777777">
        <w:trPr>
          <w:cantSplit/>
          <w:jc w:val="center"/>
        </w:trPr>
        <w:tc>
          <w:tcPr>
            <w:tcW w:w="1900" w:type="dxa"/>
            <w:vMerge/>
            <w:shd w:val="clear" w:color="auto" w:fill="4472C4"/>
            <w:vAlign w:val="center"/>
          </w:tcPr>
          <w:p w14:paraId="61E8E71C" w14:textId="77777777" w:rsidR="00990B14" w:rsidRDefault="00990B14">
            <w:pPr>
              <w:spacing w:before="20" w:after="20"/>
            </w:pPr>
          </w:p>
        </w:tc>
        <w:tc>
          <w:tcPr>
            <w:tcW w:w="5628" w:type="dxa"/>
            <w:gridSpan w:val="3"/>
            <w:shd w:val="clear" w:color="auto" w:fill="D9E2F3"/>
            <w:vAlign w:val="center"/>
          </w:tcPr>
          <w:p w14:paraId="3EF7194A" w14:textId="77777777" w:rsidR="00990B14" w:rsidRDefault="00000000">
            <w:pPr>
              <w:keepNext/>
              <w:spacing w:before="20" w:after="20"/>
              <w:jc w:val="both"/>
            </w:pPr>
            <w:r>
              <w:rPr>
                <w:b/>
                <w:bCs/>
                <w:i/>
                <w:iCs/>
                <w:sz w:val="18"/>
                <w:szCs w:val="18"/>
              </w:rPr>
              <w:t xml:space="preserve">Producto 18: </w:t>
            </w:r>
            <w:r>
              <w:rPr>
                <w:sz w:val="18"/>
                <w:szCs w:val="18"/>
              </w:rPr>
              <w:t>Problema de depreciación acumulada</w:t>
            </w:r>
          </w:p>
        </w:tc>
        <w:tc>
          <w:tcPr>
            <w:tcW w:w="1877" w:type="dxa"/>
            <w:shd w:val="clear" w:color="auto" w:fill="D9E2F3"/>
            <w:vAlign w:val="center"/>
          </w:tcPr>
          <w:p w14:paraId="289214A2" w14:textId="77777777" w:rsidR="00990B14" w:rsidRDefault="00000000">
            <w:pPr>
              <w:spacing w:before="20" w:after="20"/>
              <w:jc w:val="center"/>
            </w:pPr>
            <w:r>
              <w:rPr>
                <w:b/>
                <w:bCs/>
                <w:sz w:val="18"/>
                <w:szCs w:val="18"/>
              </w:rPr>
              <w:t>3%</w:t>
            </w:r>
          </w:p>
        </w:tc>
      </w:tr>
      <w:tr w:rsidR="00990B14" w14:paraId="145E2848" w14:textId="77777777">
        <w:trPr>
          <w:cantSplit/>
          <w:jc w:val="center"/>
        </w:trPr>
        <w:tc>
          <w:tcPr>
            <w:tcW w:w="1900" w:type="dxa"/>
            <w:vMerge/>
            <w:shd w:val="clear" w:color="auto" w:fill="4472C4"/>
            <w:vAlign w:val="center"/>
          </w:tcPr>
          <w:p w14:paraId="1977F05F" w14:textId="77777777" w:rsidR="00990B14" w:rsidRDefault="00990B14">
            <w:pPr>
              <w:spacing w:before="20" w:after="20"/>
            </w:pPr>
          </w:p>
        </w:tc>
        <w:tc>
          <w:tcPr>
            <w:tcW w:w="1876" w:type="dxa"/>
            <w:shd w:val="clear" w:color="auto" w:fill="4472C4"/>
            <w:vAlign w:val="center"/>
          </w:tcPr>
          <w:p w14:paraId="294D3891"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127FD42B"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4CFB1FA8"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58FA460C" w14:textId="77777777" w:rsidR="00990B14" w:rsidRDefault="00000000">
            <w:pPr>
              <w:keepNext/>
              <w:spacing w:before="20" w:after="20"/>
              <w:jc w:val="center"/>
            </w:pPr>
            <w:r>
              <w:rPr>
                <w:b/>
                <w:bCs/>
                <w:i/>
                <w:iCs/>
                <w:color w:val="FFFFFF"/>
                <w:sz w:val="18"/>
                <w:szCs w:val="18"/>
              </w:rPr>
              <w:t>Destacado (81–100)</w:t>
            </w:r>
          </w:p>
        </w:tc>
      </w:tr>
      <w:tr w:rsidR="00990B14" w14:paraId="18F0EAE7" w14:textId="77777777">
        <w:trPr>
          <w:cantSplit/>
          <w:jc w:val="center"/>
        </w:trPr>
        <w:tc>
          <w:tcPr>
            <w:tcW w:w="1900" w:type="dxa"/>
            <w:vMerge/>
            <w:shd w:val="clear" w:color="auto" w:fill="4472C4"/>
            <w:vAlign w:val="center"/>
          </w:tcPr>
          <w:p w14:paraId="7B3C1789" w14:textId="77777777" w:rsidR="00990B14" w:rsidRDefault="00990B14">
            <w:pPr>
              <w:spacing w:before="20" w:after="20"/>
            </w:pPr>
          </w:p>
        </w:tc>
        <w:tc>
          <w:tcPr>
            <w:tcW w:w="1876" w:type="dxa"/>
            <w:shd w:val="clear" w:color="auto" w:fill="D9E2F3"/>
            <w:vAlign w:val="center"/>
          </w:tcPr>
          <w:p w14:paraId="4B5FEA9D" w14:textId="77777777" w:rsidR="00990B14" w:rsidRDefault="00000000">
            <w:pPr>
              <w:spacing w:before="20" w:after="20"/>
              <w:jc w:val="both"/>
            </w:pPr>
            <w:r>
              <w:rPr>
                <w:sz w:val="18"/>
                <w:szCs w:val="18"/>
              </w:rPr>
              <w:t>Expresión</w:t>
            </w:r>
          </w:p>
        </w:tc>
        <w:tc>
          <w:tcPr>
            <w:tcW w:w="1876" w:type="dxa"/>
            <w:shd w:val="clear" w:color="auto" w:fill="D9E2F3"/>
            <w:vAlign w:val="center"/>
          </w:tcPr>
          <w:p w14:paraId="39B86F03" w14:textId="77777777" w:rsidR="00990B14" w:rsidRDefault="00000000">
            <w:pPr>
              <w:spacing w:before="20" w:after="20"/>
              <w:jc w:val="both"/>
            </w:pPr>
            <w:r>
              <w:rPr>
                <w:sz w:val="18"/>
                <w:szCs w:val="18"/>
              </w:rPr>
              <w:t>No expresa la depreciación con sumatoria.</w:t>
            </w:r>
          </w:p>
        </w:tc>
        <w:tc>
          <w:tcPr>
            <w:tcW w:w="1876" w:type="dxa"/>
            <w:shd w:val="clear" w:color="auto" w:fill="D9E2F3"/>
            <w:vAlign w:val="center"/>
          </w:tcPr>
          <w:p w14:paraId="7387A818" w14:textId="77777777" w:rsidR="00990B14" w:rsidRDefault="00000000">
            <w:pPr>
              <w:spacing w:before="20" w:after="20"/>
              <w:jc w:val="both"/>
            </w:pPr>
            <w:r>
              <w:rPr>
                <w:sz w:val="18"/>
                <w:szCs w:val="18"/>
              </w:rPr>
              <w:t>Expresa la depreciación acumulada con sumatoria.</w:t>
            </w:r>
          </w:p>
        </w:tc>
        <w:tc>
          <w:tcPr>
            <w:tcW w:w="1877" w:type="dxa"/>
            <w:shd w:val="clear" w:color="auto" w:fill="D9E2F3"/>
            <w:vAlign w:val="center"/>
          </w:tcPr>
          <w:p w14:paraId="3648910A" w14:textId="77777777" w:rsidR="00990B14" w:rsidRDefault="00000000">
            <w:pPr>
              <w:spacing w:before="20" w:after="20"/>
              <w:jc w:val="both"/>
            </w:pPr>
            <w:r>
              <w:rPr>
                <w:sz w:val="18"/>
                <w:szCs w:val="18"/>
              </w:rPr>
              <w:t>Generaliza la expresión para cualquier año.</w:t>
            </w:r>
          </w:p>
        </w:tc>
      </w:tr>
      <w:tr w:rsidR="00990B14" w14:paraId="4EF4116D" w14:textId="77777777">
        <w:trPr>
          <w:cantSplit/>
          <w:jc w:val="center"/>
        </w:trPr>
        <w:tc>
          <w:tcPr>
            <w:tcW w:w="1900" w:type="dxa"/>
            <w:vMerge/>
            <w:shd w:val="clear" w:color="auto" w:fill="4472C4"/>
            <w:vAlign w:val="center"/>
          </w:tcPr>
          <w:p w14:paraId="6D705138" w14:textId="77777777" w:rsidR="00990B14" w:rsidRDefault="00990B14">
            <w:pPr>
              <w:spacing w:before="20" w:after="20"/>
            </w:pPr>
          </w:p>
        </w:tc>
        <w:tc>
          <w:tcPr>
            <w:tcW w:w="1876" w:type="dxa"/>
            <w:shd w:val="clear" w:color="auto" w:fill="D9E2F3"/>
            <w:vAlign w:val="center"/>
          </w:tcPr>
          <w:p w14:paraId="08E8BF1E" w14:textId="77777777" w:rsidR="00990B14" w:rsidRDefault="00000000">
            <w:pPr>
              <w:spacing w:before="20" w:after="20"/>
              <w:jc w:val="both"/>
            </w:pPr>
            <w:r>
              <w:rPr>
                <w:sz w:val="18"/>
                <w:szCs w:val="18"/>
              </w:rPr>
              <w:t>Cálculo</w:t>
            </w:r>
          </w:p>
        </w:tc>
        <w:tc>
          <w:tcPr>
            <w:tcW w:w="1876" w:type="dxa"/>
            <w:shd w:val="clear" w:color="auto" w:fill="D9E2F3"/>
            <w:vAlign w:val="center"/>
          </w:tcPr>
          <w:p w14:paraId="63F8996B" w14:textId="77777777" w:rsidR="00990B14" w:rsidRDefault="00000000">
            <w:pPr>
              <w:spacing w:before="20" w:after="20"/>
              <w:jc w:val="both"/>
            </w:pPr>
            <w:r>
              <w:rPr>
                <w:sz w:val="18"/>
                <w:szCs w:val="18"/>
              </w:rPr>
              <w:t>El valor acumulado es incorrecto.</w:t>
            </w:r>
          </w:p>
        </w:tc>
        <w:tc>
          <w:tcPr>
            <w:tcW w:w="1876" w:type="dxa"/>
            <w:shd w:val="clear" w:color="auto" w:fill="D9E2F3"/>
            <w:vAlign w:val="center"/>
          </w:tcPr>
          <w:p w14:paraId="53228E90" w14:textId="77777777" w:rsidR="00990B14" w:rsidRDefault="00000000">
            <w:pPr>
              <w:spacing w:before="20" w:after="20"/>
              <w:jc w:val="both"/>
            </w:pPr>
            <w:r>
              <w:rPr>
                <w:sz w:val="18"/>
                <w:szCs w:val="18"/>
              </w:rPr>
              <w:t>Calcula correctamente la depreciación acumulada.</w:t>
            </w:r>
          </w:p>
        </w:tc>
        <w:tc>
          <w:tcPr>
            <w:tcW w:w="1877" w:type="dxa"/>
            <w:shd w:val="clear" w:color="auto" w:fill="D9E2F3"/>
            <w:vAlign w:val="center"/>
          </w:tcPr>
          <w:p w14:paraId="6FC40B58" w14:textId="77777777" w:rsidR="00990B14" w:rsidRDefault="00000000">
            <w:pPr>
              <w:spacing w:before="20" w:after="20"/>
              <w:jc w:val="both"/>
            </w:pPr>
            <w:r>
              <w:rPr>
                <w:sz w:val="18"/>
                <w:szCs w:val="18"/>
              </w:rPr>
              <w:t>Verifica el resultado en hoja de cálculo.</w:t>
            </w:r>
          </w:p>
        </w:tc>
      </w:tr>
      <w:tr w:rsidR="00990B14" w14:paraId="0B79EC0A" w14:textId="77777777">
        <w:trPr>
          <w:cantSplit/>
          <w:jc w:val="center"/>
        </w:trPr>
        <w:tc>
          <w:tcPr>
            <w:tcW w:w="1900" w:type="dxa"/>
            <w:vMerge/>
            <w:shd w:val="clear" w:color="auto" w:fill="4472C4"/>
            <w:vAlign w:val="center"/>
          </w:tcPr>
          <w:p w14:paraId="044D5027" w14:textId="77777777" w:rsidR="00990B14" w:rsidRDefault="00990B14">
            <w:pPr>
              <w:spacing w:before="20" w:after="20"/>
            </w:pPr>
          </w:p>
        </w:tc>
        <w:tc>
          <w:tcPr>
            <w:tcW w:w="1876" w:type="dxa"/>
            <w:shd w:val="clear" w:color="auto" w:fill="D9E2F3"/>
            <w:vAlign w:val="center"/>
          </w:tcPr>
          <w:p w14:paraId="25089B92" w14:textId="77777777" w:rsidR="00990B14" w:rsidRDefault="00000000">
            <w:pPr>
              <w:spacing w:before="20" w:after="20"/>
              <w:jc w:val="both"/>
            </w:pPr>
            <w:r>
              <w:rPr>
                <w:sz w:val="18"/>
                <w:szCs w:val="18"/>
              </w:rPr>
              <w:t>Trabajo en equipo</w:t>
            </w:r>
          </w:p>
        </w:tc>
        <w:tc>
          <w:tcPr>
            <w:tcW w:w="1876" w:type="dxa"/>
            <w:shd w:val="clear" w:color="auto" w:fill="D9E2F3"/>
            <w:vAlign w:val="center"/>
          </w:tcPr>
          <w:p w14:paraId="5644FABE" w14:textId="77777777" w:rsidR="00990B14" w:rsidRDefault="00000000">
            <w:pPr>
              <w:spacing w:before="20" w:after="20"/>
              <w:jc w:val="both"/>
            </w:pPr>
            <w:r>
              <w:rPr>
                <w:sz w:val="18"/>
                <w:szCs w:val="18"/>
              </w:rPr>
              <w:t>Pocos integrantes participan.</w:t>
            </w:r>
          </w:p>
        </w:tc>
        <w:tc>
          <w:tcPr>
            <w:tcW w:w="1876" w:type="dxa"/>
            <w:shd w:val="clear" w:color="auto" w:fill="D9E2F3"/>
            <w:vAlign w:val="center"/>
          </w:tcPr>
          <w:p w14:paraId="2F542889" w14:textId="77777777" w:rsidR="00990B14" w:rsidRDefault="00000000">
            <w:pPr>
              <w:spacing w:before="20" w:after="20"/>
              <w:jc w:val="both"/>
            </w:pPr>
            <w:r>
              <w:rPr>
                <w:sz w:val="18"/>
                <w:szCs w:val="18"/>
              </w:rPr>
              <w:t>Todos los integrantes aportan a la solución.</w:t>
            </w:r>
          </w:p>
        </w:tc>
        <w:tc>
          <w:tcPr>
            <w:tcW w:w="1877" w:type="dxa"/>
            <w:shd w:val="clear" w:color="auto" w:fill="D9E2F3"/>
            <w:vAlign w:val="center"/>
          </w:tcPr>
          <w:p w14:paraId="4AA3DD9F" w14:textId="77777777" w:rsidR="00990B14" w:rsidRDefault="00000000">
            <w:pPr>
              <w:spacing w:before="20" w:after="20"/>
              <w:jc w:val="both"/>
            </w:pPr>
            <w:r>
              <w:rPr>
                <w:sz w:val="18"/>
                <w:szCs w:val="18"/>
              </w:rPr>
              <w:t>El equipo explica el resultado con claridad.</w:t>
            </w:r>
          </w:p>
        </w:tc>
      </w:tr>
      <w:tr w:rsidR="00990B14" w14:paraId="7AC7F965" w14:textId="77777777">
        <w:trPr>
          <w:cantSplit/>
          <w:jc w:val="center"/>
        </w:trPr>
        <w:tc>
          <w:tcPr>
            <w:tcW w:w="1900" w:type="dxa"/>
            <w:vMerge/>
            <w:shd w:val="clear" w:color="auto" w:fill="4472C4"/>
            <w:vAlign w:val="center"/>
          </w:tcPr>
          <w:p w14:paraId="5F60F5DA" w14:textId="77777777" w:rsidR="00990B14" w:rsidRDefault="00990B14">
            <w:pPr>
              <w:spacing w:before="20" w:after="20"/>
            </w:pPr>
          </w:p>
        </w:tc>
        <w:tc>
          <w:tcPr>
            <w:tcW w:w="5628" w:type="dxa"/>
            <w:gridSpan w:val="3"/>
            <w:shd w:val="clear" w:color="auto" w:fill="D9E2F3"/>
            <w:vAlign w:val="center"/>
          </w:tcPr>
          <w:p w14:paraId="25C48B35" w14:textId="77777777" w:rsidR="00990B14" w:rsidRDefault="00000000">
            <w:pPr>
              <w:keepNext/>
              <w:spacing w:before="20" w:after="20"/>
              <w:jc w:val="both"/>
            </w:pPr>
            <w:r>
              <w:rPr>
                <w:b/>
                <w:bCs/>
                <w:i/>
                <w:iCs/>
                <w:sz w:val="18"/>
                <w:szCs w:val="18"/>
              </w:rPr>
              <w:t xml:space="preserve">Producto 19: </w:t>
            </w:r>
            <w:r>
              <w:rPr>
                <w:sz w:val="18"/>
                <w:szCs w:val="18"/>
              </w:rPr>
              <w:t>Hoja de valor presente</w:t>
            </w:r>
          </w:p>
        </w:tc>
        <w:tc>
          <w:tcPr>
            <w:tcW w:w="1877" w:type="dxa"/>
            <w:shd w:val="clear" w:color="auto" w:fill="D9E2F3"/>
            <w:vAlign w:val="center"/>
          </w:tcPr>
          <w:p w14:paraId="001D3006" w14:textId="77777777" w:rsidR="00990B14" w:rsidRDefault="00000000">
            <w:pPr>
              <w:spacing w:before="20" w:after="20"/>
              <w:jc w:val="center"/>
            </w:pPr>
            <w:r>
              <w:rPr>
                <w:b/>
                <w:bCs/>
                <w:sz w:val="18"/>
                <w:szCs w:val="18"/>
              </w:rPr>
              <w:t>2%</w:t>
            </w:r>
          </w:p>
        </w:tc>
      </w:tr>
      <w:tr w:rsidR="00990B14" w14:paraId="4027F65A" w14:textId="77777777">
        <w:trPr>
          <w:cantSplit/>
          <w:jc w:val="center"/>
        </w:trPr>
        <w:tc>
          <w:tcPr>
            <w:tcW w:w="1900" w:type="dxa"/>
            <w:vMerge/>
            <w:shd w:val="clear" w:color="auto" w:fill="4472C4"/>
            <w:vAlign w:val="center"/>
          </w:tcPr>
          <w:p w14:paraId="64B77FC4" w14:textId="77777777" w:rsidR="00990B14" w:rsidRDefault="00990B14">
            <w:pPr>
              <w:spacing w:before="20" w:after="20"/>
            </w:pPr>
          </w:p>
        </w:tc>
        <w:tc>
          <w:tcPr>
            <w:tcW w:w="1876" w:type="dxa"/>
            <w:shd w:val="clear" w:color="auto" w:fill="4472C4"/>
            <w:vAlign w:val="center"/>
          </w:tcPr>
          <w:p w14:paraId="6EAD75F7"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0F9376ED"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27460EAF"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45AE05F9" w14:textId="77777777" w:rsidR="00990B14" w:rsidRDefault="00000000">
            <w:pPr>
              <w:keepNext/>
              <w:spacing w:before="20" w:after="20"/>
              <w:jc w:val="center"/>
            </w:pPr>
            <w:r>
              <w:rPr>
                <w:b/>
                <w:bCs/>
                <w:i/>
                <w:iCs/>
                <w:color w:val="FFFFFF"/>
                <w:sz w:val="18"/>
                <w:szCs w:val="18"/>
              </w:rPr>
              <w:t>Destacado (81–100)</w:t>
            </w:r>
          </w:p>
        </w:tc>
      </w:tr>
      <w:tr w:rsidR="00990B14" w14:paraId="4F0AC879" w14:textId="77777777">
        <w:trPr>
          <w:cantSplit/>
          <w:jc w:val="center"/>
        </w:trPr>
        <w:tc>
          <w:tcPr>
            <w:tcW w:w="1900" w:type="dxa"/>
            <w:vMerge/>
            <w:shd w:val="clear" w:color="auto" w:fill="4472C4"/>
            <w:vAlign w:val="center"/>
          </w:tcPr>
          <w:p w14:paraId="5822ACD1" w14:textId="77777777" w:rsidR="00990B14" w:rsidRDefault="00990B14">
            <w:pPr>
              <w:spacing w:before="20" w:after="20"/>
            </w:pPr>
          </w:p>
        </w:tc>
        <w:tc>
          <w:tcPr>
            <w:tcW w:w="1876" w:type="dxa"/>
            <w:shd w:val="clear" w:color="auto" w:fill="D9E2F3"/>
            <w:vAlign w:val="center"/>
          </w:tcPr>
          <w:p w14:paraId="454CAAC3" w14:textId="77777777" w:rsidR="00990B14" w:rsidRDefault="00000000">
            <w:pPr>
              <w:spacing w:before="20" w:after="20"/>
              <w:jc w:val="both"/>
            </w:pPr>
            <w:r>
              <w:rPr>
                <w:sz w:val="18"/>
                <w:szCs w:val="18"/>
              </w:rPr>
              <w:t>Expresión con sumatoria</w:t>
            </w:r>
          </w:p>
        </w:tc>
        <w:tc>
          <w:tcPr>
            <w:tcW w:w="1876" w:type="dxa"/>
            <w:shd w:val="clear" w:color="auto" w:fill="D9E2F3"/>
            <w:vAlign w:val="center"/>
          </w:tcPr>
          <w:p w14:paraId="293FD6B4" w14:textId="77777777" w:rsidR="00990B14" w:rsidRDefault="00000000">
            <w:pPr>
              <w:spacing w:before="20" w:after="20"/>
              <w:jc w:val="both"/>
            </w:pPr>
            <w:r>
              <w:rPr>
                <w:sz w:val="18"/>
                <w:szCs w:val="18"/>
              </w:rPr>
              <w:t>La expresión no descuenta los flujos.</w:t>
            </w:r>
          </w:p>
        </w:tc>
        <w:tc>
          <w:tcPr>
            <w:tcW w:w="1876" w:type="dxa"/>
            <w:shd w:val="clear" w:color="auto" w:fill="D9E2F3"/>
            <w:vAlign w:val="center"/>
          </w:tcPr>
          <w:p w14:paraId="111C8565" w14:textId="77777777" w:rsidR="00990B14" w:rsidRDefault="00000000">
            <w:pPr>
              <w:spacing w:before="20" w:after="20"/>
              <w:jc w:val="both"/>
            </w:pPr>
            <w:r>
              <w:rPr>
                <w:sz w:val="18"/>
                <w:szCs w:val="18"/>
              </w:rPr>
              <w:t>Expresa el valor presente con sumatoria.</w:t>
            </w:r>
          </w:p>
        </w:tc>
        <w:tc>
          <w:tcPr>
            <w:tcW w:w="1877" w:type="dxa"/>
            <w:shd w:val="clear" w:color="auto" w:fill="D9E2F3"/>
            <w:vAlign w:val="center"/>
          </w:tcPr>
          <w:p w14:paraId="0E362A8B" w14:textId="77777777" w:rsidR="00990B14" w:rsidRDefault="00000000">
            <w:pPr>
              <w:spacing w:before="20" w:after="20"/>
              <w:jc w:val="both"/>
            </w:pPr>
            <w:r>
              <w:rPr>
                <w:sz w:val="18"/>
                <w:szCs w:val="18"/>
              </w:rPr>
              <w:t>Explica el papel del índice y de la tasa.</w:t>
            </w:r>
          </w:p>
        </w:tc>
      </w:tr>
      <w:tr w:rsidR="00990B14" w14:paraId="68055EAC" w14:textId="77777777">
        <w:trPr>
          <w:cantSplit/>
          <w:jc w:val="center"/>
        </w:trPr>
        <w:tc>
          <w:tcPr>
            <w:tcW w:w="1900" w:type="dxa"/>
            <w:vMerge/>
            <w:shd w:val="clear" w:color="auto" w:fill="4472C4"/>
            <w:vAlign w:val="center"/>
          </w:tcPr>
          <w:p w14:paraId="6BB9A9B7" w14:textId="77777777" w:rsidR="00990B14" w:rsidRDefault="00990B14">
            <w:pPr>
              <w:spacing w:before="20" w:after="20"/>
            </w:pPr>
          </w:p>
        </w:tc>
        <w:tc>
          <w:tcPr>
            <w:tcW w:w="1876" w:type="dxa"/>
            <w:shd w:val="clear" w:color="auto" w:fill="D9E2F3"/>
            <w:vAlign w:val="center"/>
          </w:tcPr>
          <w:p w14:paraId="4CB0B090" w14:textId="77777777" w:rsidR="00990B14" w:rsidRDefault="00000000">
            <w:pPr>
              <w:spacing w:before="20" w:after="20"/>
              <w:jc w:val="both"/>
            </w:pPr>
            <w:r>
              <w:rPr>
                <w:sz w:val="18"/>
                <w:szCs w:val="18"/>
              </w:rPr>
              <w:t>Cálculo</w:t>
            </w:r>
          </w:p>
        </w:tc>
        <w:tc>
          <w:tcPr>
            <w:tcW w:w="1876" w:type="dxa"/>
            <w:shd w:val="clear" w:color="auto" w:fill="D9E2F3"/>
            <w:vAlign w:val="center"/>
          </w:tcPr>
          <w:p w14:paraId="3172717C" w14:textId="77777777" w:rsidR="00990B14" w:rsidRDefault="00000000">
            <w:pPr>
              <w:spacing w:before="20" w:after="20"/>
              <w:jc w:val="both"/>
            </w:pPr>
            <w:r>
              <w:rPr>
                <w:sz w:val="18"/>
                <w:szCs w:val="18"/>
              </w:rPr>
              <w:t>El resultado es incorrecto.</w:t>
            </w:r>
          </w:p>
        </w:tc>
        <w:tc>
          <w:tcPr>
            <w:tcW w:w="1876" w:type="dxa"/>
            <w:shd w:val="clear" w:color="auto" w:fill="D9E2F3"/>
            <w:vAlign w:val="center"/>
          </w:tcPr>
          <w:p w14:paraId="0E786E7A" w14:textId="77777777" w:rsidR="00990B14" w:rsidRDefault="00000000">
            <w:pPr>
              <w:spacing w:before="20" w:after="20"/>
              <w:jc w:val="both"/>
            </w:pPr>
            <w:r>
              <w:rPr>
                <w:sz w:val="18"/>
                <w:szCs w:val="18"/>
              </w:rPr>
              <w:t>Calcula correctamente el valor presente.</w:t>
            </w:r>
          </w:p>
        </w:tc>
        <w:tc>
          <w:tcPr>
            <w:tcW w:w="1877" w:type="dxa"/>
            <w:shd w:val="clear" w:color="auto" w:fill="D9E2F3"/>
            <w:vAlign w:val="center"/>
          </w:tcPr>
          <w:p w14:paraId="3D32FC49" w14:textId="77777777" w:rsidR="00990B14" w:rsidRDefault="00000000">
            <w:pPr>
              <w:spacing w:before="20" w:after="20"/>
              <w:jc w:val="both"/>
            </w:pPr>
            <w:r>
              <w:rPr>
                <w:sz w:val="18"/>
                <w:szCs w:val="18"/>
              </w:rPr>
              <w:t>Lo contrasta con la función financiera de la hoja.</w:t>
            </w:r>
          </w:p>
        </w:tc>
      </w:tr>
      <w:tr w:rsidR="00990B14" w14:paraId="2497D223" w14:textId="77777777">
        <w:trPr>
          <w:cantSplit/>
          <w:jc w:val="center"/>
        </w:trPr>
        <w:tc>
          <w:tcPr>
            <w:tcW w:w="1900" w:type="dxa"/>
            <w:vMerge/>
            <w:shd w:val="clear" w:color="auto" w:fill="4472C4"/>
            <w:vAlign w:val="center"/>
          </w:tcPr>
          <w:p w14:paraId="310DEABD" w14:textId="77777777" w:rsidR="00990B14" w:rsidRDefault="00990B14">
            <w:pPr>
              <w:spacing w:before="20" w:after="20"/>
            </w:pPr>
          </w:p>
        </w:tc>
        <w:tc>
          <w:tcPr>
            <w:tcW w:w="1876" w:type="dxa"/>
            <w:shd w:val="clear" w:color="auto" w:fill="D9E2F3"/>
            <w:vAlign w:val="center"/>
          </w:tcPr>
          <w:p w14:paraId="7DF330F8" w14:textId="77777777" w:rsidR="00990B14" w:rsidRDefault="00000000">
            <w:pPr>
              <w:spacing w:before="20" w:after="20"/>
              <w:jc w:val="both"/>
            </w:pPr>
            <w:r>
              <w:rPr>
                <w:sz w:val="18"/>
                <w:szCs w:val="18"/>
              </w:rPr>
              <w:t>Presentación</w:t>
            </w:r>
          </w:p>
        </w:tc>
        <w:tc>
          <w:tcPr>
            <w:tcW w:w="1876" w:type="dxa"/>
            <w:shd w:val="clear" w:color="auto" w:fill="D9E2F3"/>
            <w:vAlign w:val="center"/>
          </w:tcPr>
          <w:p w14:paraId="75AA91E7" w14:textId="77777777" w:rsidR="00990B14" w:rsidRDefault="00000000">
            <w:pPr>
              <w:spacing w:before="20" w:after="20"/>
              <w:jc w:val="both"/>
            </w:pPr>
            <w:r>
              <w:rPr>
                <w:sz w:val="18"/>
                <w:szCs w:val="18"/>
              </w:rPr>
              <w:t>La hoja es desordenada.</w:t>
            </w:r>
          </w:p>
        </w:tc>
        <w:tc>
          <w:tcPr>
            <w:tcW w:w="1876" w:type="dxa"/>
            <w:shd w:val="clear" w:color="auto" w:fill="D9E2F3"/>
            <w:vAlign w:val="center"/>
          </w:tcPr>
          <w:p w14:paraId="2BAC35D8" w14:textId="77777777" w:rsidR="00990B14" w:rsidRDefault="00000000">
            <w:pPr>
              <w:spacing w:before="20" w:after="20"/>
              <w:jc w:val="both"/>
            </w:pPr>
            <w:r>
              <w:rPr>
                <w:sz w:val="18"/>
                <w:szCs w:val="18"/>
              </w:rPr>
              <w:t>La hoja es clara y rotulada.</w:t>
            </w:r>
          </w:p>
        </w:tc>
        <w:tc>
          <w:tcPr>
            <w:tcW w:w="1877" w:type="dxa"/>
            <w:shd w:val="clear" w:color="auto" w:fill="D9E2F3"/>
            <w:vAlign w:val="center"/>
          </w:tcPr>
          <w:p w14:paraId="089A5ABE" w14:textId="77777777" w:rsidR="00990B14" w:rsidRDefault="00000000">
            <w:pPr>
              <w:spacing w:before="20" w:after="20"/>
              <w:jc w:val="both"/>
            </w:pPr>
            <w:r>
              <w:rPr>
                <w:sz w:val="18"/>
                <w:szCs w:val="18"/>
              </w:rPr>
              <w:t>Permite cambiar la tasa y los flujos.</w:t>
            </w:r>
          </w:p>
        </w:tc>
      </w:tr>
      <w:tr w:rsidR="00990B14" w14:paraId="652BA550" w14:textId="77777777">
        <w:trPr>
          <w:cantSplit/>
          <w:jc w:val="center"/>
        </w:trPr>
        <w:tc>
          <w:tcPr>
            <w:tcW w:w="1900" w:type="dxa"/>
            <w:vMerge/>
            <w:shd w:val="clear" w:color="auto" w:fill="4472C4"/>
            <w:vAlign w:val="center"/>
          </w:tcPr>
          <w:p w14:paraId="6F655B82" w14:textId="77777777" w:rsidR="00990B14" w:rsidRDefault="00990B14">
            <w:pPr>
              <w:spacing w:before="20" w:after="20"/>
            </w:pPr>
          </w:p>
        </w:tc>
        <w:tc>
          <w:tcPr>
            <w:tcW w:w="5628" w:type="dxa"/>
            <w:gridSpan w:val="3"/>
            <w:shd w:val="clear" w:color="auto" w:fill="D9E2F3"/>
            <w:vAlign w:val="center"/>
          </w:tcPr>
          <w:p w14:paraId="1E747F6B" w14:textId="77777777" w:rsidR="00990B14" w:rsidRDefault="00000000">
            <w:pPr>
              <w:keepNext/>
              <w:spacing w:before="20" w:after="20"/>
              <w:jc w:val="both"/>
            </w:pPr>
            <w:r>
              <w:rPr>
                <w:b/>
                <w:bCs/>
                <w:i/>
                <w:iCs/>
                <w:sz w:val="18"/>
                <w:szCs w:val="18"/>
              </w:rPr>
              <w:t xml:space="preserve">Producto 20: </w:t>
            </w:r>
            <w:r>
              <w:rPr>
                <w:sz w:val="18"/>
                <w:szCs w:val="18"/>
              </w:rPr>
              <w:t>Cuadro de factores de acumulación</w:t>
            </w:r>
          </w:p>
        </w:tc>
        <w:tc>
          <w:tcPr>
            <w:tcW w:w="1877" w:type="dxa"/>
            <w:shd w:val="clear" w:color="auto" w:fill="D9E2F3"/>
            <w:vAlign w:val="center"/>
          </w:tcPr>
          <w:p w14:paraId="7648E2A4" w14:textId="77777777" w:rsidR="00990B14" w:rsidRDefault="00000000">
            <w:pPr>
              <w:spacing w:before="20" w:after="20"/>
              <w:jc w:val="center"/>
            </w:pPr>
            <w:r>
              <w:rPr>
                <w:b/>
                <w:bCs/>
                <w:sz w:val="18"/>
                <w:szCs w:val="18"/>
              </w:rPr>
              <w:t>2%</w:t>
            </w:r>
          </w:p>
        </w:tc>
      </w:tr>
      <w:tr w:rsidR="00990B14" w14:paraId="6FD53522" w14:textId="77777777">
        <w:trPr>
          <w:cantSplit/>
          <w:jc w:val="center"/>
        </w:trPr>
        <w:tc>
          <w:tcPr>
            <w:tcW w:w="1900" w:type="dxa"/>
            <w:vMerge/>
            <w:shd w:val="clear" w:color="auto" w:fill="4472C4"/>
            <w:vAlign w:val="center"/>
          </w:tcPr>
          <w:p w14:paraId="5671D217" w14:textId="77777777" w:rsidR="00990B14" w:rsidRDefault="00990B14">
            <w:pPr>
              <w:spacing w:before="20" w:after="20"/>
            </w:pPr>
          </w:p>
        </w:tc>
        <w:tc>
          <w:tcPr>
            <w:tcW w:w="1876" w:type="dxa"/>
            <w:shd w:val="clear" w:color="auto" w:fill="4472C4"/>
            <w:vAlign w:val="center"/>
          </w:tcPr>
          <w:p w14:paraId="6795A900"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73814D5F"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428236B0"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1878DD79" w14:textId="77777777" w:rsidR="00990B14" w:rsidRDefault="00000000">
            <w:pPr>
              <w:keepNext/>
              <w:spacing w:before="20" w:after="20"/>
              <w:jc w:val="center"/>
            </w:pPr>
            <w:r>
              <w:rPr>
                <w:b/>
                <w:bCs/>
                <w:i/>
                <w:iCs/>
                <w:color w:val="FFFFFF"/>
                <w:sz w:val="18"/>
                <w:szCs w:val="18"/>
              </w:rPr>
              <w:t>Destacado (81–100)</w:t>
            </w:r>
          </w:p>
        </w:tc>
      </w:tr>
      <w:tr w:rsidR="00990B14" w14:paraId="38387741" w14:textId="77777777">
        <w:trPr>
          <w:cantSplit/>
          <w:jc w:val="center"/>
        </w:trPr>
        <w:tc>
          <w:tcPr>
            <w:tcW w:w="1900" w:type="dxa"/>
            <w:vMerge/>
            <w:shd w:val="clear" w:color="auto" w:fill="4472C4"/>
            <w:vAlign w:val="center"/>
          </w:tcPr>
          <w:p w14:paraId="616452CF" w14:textId="77777777" w:rsidR="00990B14" w:rsidRDefault="00990B14">
            <w:pPr>
              <w:spacing w:before="20" w:after="20"/>
            </w:pPr>
          </w:p>
        </w:tc>
        <w:tc>
          <w:tcPr>
            <w:tcW w:w="1876" w:type="dxa"/>
            <w:shd w:val="clear" w:color="auto" w:fill="D9E2F3"/>
            <w:vAlign w:val="center"/>
          </w:tcPr>
          <w:p w14:paraId="60C9B9F8" w14:textId="77777777" w:rsidR="00990B14" w:rsidRDefault="00000000">
            <w:pPr>
              <w:spacing w:before="20" w:after="20"/>
              <w:jc w:val="both"/>
            </w:pPr>
            <w:r>
              <w:rPr>
                <w:sz w:val="18"/>
                <w:szCs w:val="18"/>
              </w:rPr>
              <w:t>Factores</w:t>
            </w:r>
          </w:p>
        </w:tc>
        <w:tc>
          <w:tcPr>
            <w:tcW w:w="1876" w:type="dxa"/>
            <w:shd w:val="clear" w:color="auto" w:fill="D9E2F3"/>
            <w:vAlign w:val="center"/>
          </w:tcPr>
          <w:p w14:paraId="35F05914" w14:textId="77777777" w:rsidR="00990B14" w:rsidRDefault="00000000">
            <w:pPr>
              <w:spacing w:before="20" w:after="20"/>
              <w:jc w:val="both"/>
            </w:pPr>
            <w:r>
              <w:rPr>
                <w:sz w:val="18"/>
                <w:szCs w:val="18"/>
              </w:rPr>
              <w:t>Suma variaciones en lugar de multiplicarlas.</w:t>
            </w:r>
          </w:p>
        </w:tc>
        <w:tc>
          <w:tcPr>
            <w:tcW w:w="1876" w:type="dxa"/>
            <w:shd w:val="clear" w:color="auto" w:fill="D9E2F3"/>
            <w:vAlign w:val="center"/>
          </w:tcPr>
          <w:p w14:paraId="60962303" w14:textId="77777777" w:rsidR="00990B14" w:rsidRDefault="00000000">
            <w:pPr>
              <w:spacing w:before="20" w:after="20"/>
              <w:jc w:val="both"/>
            </w:pPr>
            <w:r>
              <w:rPr>
                <w:sz w:val="18"/>
                <w:szCs w:val="18"/>
              </w:rPr>
              <w:t>Expresa la acumulación como productoria de factores.</w:t>
            </w:r>
          </w:p>
        </w:tc>
        <w:tc>
          <w:tcPr>
            <w:tcW w:w="1877" w:type="dxa"/>
            <w:shd w:val="clear" w:color="auto" w:fill="D9E2F3"/>
            <w:vAlign w:val="center"/>
          </w:tcPr>
          <w:p w14:paraId="7ACA269E" w14:textId="77777777" w:rsidR="00990B14" w:rsidRDefault="00000000">
            <w:pPr>
              <w:spacing w:before="20" w:after="20"/>
              <w:jc w:val="both"/>
            </w:pPr>
            <w:r>
              <w:rPr>
                <w:sz w:val="18"/>
                <w:szCs w:val="18"/>
              </w:rPr>
              <w:t>Explica por qué la acumulación es multiplicativa.</w:t>
            </w:r>
          </w:p>
        </w:tc>
      </w:tr>
      <w:tr w:rsidR="00990B14" w14:paraId="50BF5E46" w14:textId="77777777">
        <w:trPr>
          <w:cantSplit/>
          <w:jc w:val="center"/>
        </w:trPr>
        <w:tc>
          <w:tcPr>
            <w:tcW w:w="1900" w:type="dxa"/>
            <w:vMerge/>
            <w:shd w:val="clear" w:color="auto" w:fill="4472C4"/>
            <w:vAlign w:val="center"/>
          </w:tcPr>
          <w:p w14:paraId="6943DC31" w14:textId="77777777" w:rsidR="00990B14" w:rsidRDefault="00990B14">
            <w:pPr>
              <w:spacing w:before="20" w:after="20"/>
            </w:pPr>
          </w:p>
        </w:tc>
        <w:tc>
          <w:tcPr>
            <w:tcW w:w="1876" w:type="dxa"/>
            <w:shd w:val="clear" w:color="auto" w:fill="D9E2F3"/>
            <w:vAlign w:val="center"/>
          </w:tcPr>
          <w:p w14:paraId="6B632CFF" w14:textId="77777777" w:rsidR="00990B14" w:rsidRDefault="00000000">
            <w:pPr>
              <w:spacing w:before="20" w:after="20"/>
              <w:jc w:val="both"/>
            </w:pPr>
            <w:r>
              <w:rPr>
                <w:sz w:val="18"/>
                <w:szCs w:val="18"/>
              </w:rPr>
              <w:t>Resultado</w:t>
            </w:r>
          </w:p>
        </w:tc>
        <w:tc>
          <w:tcPr>
            <w:tcW w:w="1876" w:type="dxa"/>
            <w:shd w:val="clear" w:color="auto" w:fill="D9E2F3"/>
            <w:vAlign w:val="center"/>
          </w:tcPr>
          <w:p w14:paraId="56C233BD" w14:textId="77777777" w:rsidR="00990B14" w:rsidRDefault="00000000">
            <w:pPr>
              <w:spacing w:before="20" w:after="20"/>
              <w:jc w:val="both"/>
            </w:pPr>
            <w:r>
              <w:rPr>
                <w:sz w:val="18"/>
                <w:szCs w:val="18"/>
              </w:rPr>
              <w:t>El factor acumulado es incorrecto.</w:t>
            </w:r>
          </w:p>
        </w:tc>
        <w:tc>
          <w:tcPr>
            <w:tcW w:w="1876" w:type="dxa"/>
            <w:shd w:val="clear" w:color="auto" w:fill="D9E2F3"/>
            <w:vAlign w:val="center"/>
          </w:tcPr>
          <w:p w14:paraId="7347B24C" w14:textId="77777777" w:rsidR="00990B14" w:rsidRDefault="00000000">
            <w:pPr>
              <w:spacing w:before="20" w:after="20"/>
              <w:jc w:val="both"/>
            </w:pPr>
            <w:r>
              <w:rPr>
                <w:sz w:val="18"/>
                <w:szCs w:val="18"/>
              </w:rPr>
              <w:t>Calcula correctamente el factor acumulado.</w:t>
            </w:r>
          </w:p>
        </w:tc>
        <w:tc>
          <w:tcPr>
            <w:tcW w:w="1877" w:type="dxa"/>
            <w:shd w:val="clear" w:color="auto" w:fill="D9E2F3"/>
            <w:vAlign w:val="center"/>
          </w:tcPr>
          <w:p w14:paraId="2090093E" w14:textId="77777777" w:rsidR="00990B14" w:rsidRDefault="00000000">
            <w:pPr>
              <w:spacing w:before="20" w:after="20"/>
              <w:jc w:val="both"/>
            </w:pPr>
            <w:r>
              <w:rPr>
                <w:sz w:val="18"/>
                <w:szCs w:val="18"/>
              </w:rPr>
              <w:t>Lo verifica con los valores oficiales de inicio y fin.</w:t>
            </w:r>
          </w:p>
        </w:tc>
      </w:tr>
      <w:tr w:rsidR="00990B14" w14:paraId="4571CB78" w14:textId="77777777">
        <w:trPr>
          <w:cantSplit/>
          <w:jc w:val="center"/>
        </w:trPr>
        <w:tc>
          <w:tcPr>
            <w:tcW w:w="1900" w:type="dxa"/>
            <w:vMerge/>
            <w:shd w:val="clear" w:color="auto" w:fill="4472C4"/>
            <w:vAlign w:val="center"/>
          </w:tcPr>
          <w:p w14:paraId="58907999" w14:textId="77777777" w:rsidR="00990B14" w:rsidRDefault="00990B14">
            <w:pPr>
              <w:spacing w:before="20" w:after="20"/>
            </w:pPr>
          </w:p>
        </w:tc>
        <w:tc>
          <w:tcPr>
            <w:tcW w:w="1876" w:type="dxa"/>
            <w:shd w:val="clear" w:color="auto" w:fill="D9E2F3"/>
            <w:vAlign w:val="center"/>
          </w:tcPr>
          <w:p w14:paraId="3995B813" w14:textId="77777777" w:rsidR="00990B14" w:rsidRDefault="00000000">
            <w:pPr>
              <w:spacing w:before="20" w:after="20"/>
              <w:jc w:val="both"/>
            </w:pPr>
            <w:r>
              <w:rPr>
                <w:sz w:val="18"/>
                <w:szCs w:val="18"/>
              </w:rPr>
              <w:t>Exposición</w:t>
            </w:r>
          </w:p>
        </w:tc>
        <w:tc>
          <w:tcPr>
            <w:tcW w:w="1876" w:type="dxa"/>
            <w:shd w:val="clear" w:color="auto" w:fill="D9E2F3"/>
            <w:vAlign w:val="center"/>
          </w:tcPr>
          <w:p w14:paraId="3FC39468" w14:textId="77777777" w:rsidR="00990B14" w:rsidRDefault="00000000">
            <w:pPr>
              <w:spacing w:before="20" w:after="20"/>
              <w:jc w:val="both"/>
            </w:pPr>
            <w:r>
              <w:rPr>
                <w:sz w:val="18"/>
                <w:szCs w:val="18"/>
              </w:rPr>
              <w:t>La exposición es confusa.</w:t>
            </w:r>
          </w:p>
        </w:tc>
        <w:tc>
          <w:tcPr>
            <w:tcW w:w="1876" w:type="dxa"/>
            <w:shd w:val="clear" w:color="auto" w:fill="D9E2F3"/>
            <w:vAlign w:val="center"/>
          </w:tcPr>
          <w:p w14:paraId="4D213C03" w14:textId="77777777" w:rsidR="00990B14" w:rsidRDefault="00000000">
            <w:pPr>
              <w:spacing w:before="20" w:after="20"/>
              <w:jc w:val="both"/>
            </w:pPr>
            <w:r>
              <w:rPr>
                <w:sz w:val="18"/>
                <w:szCs w:val="18"/>
              </w:rPr>
              <w:t>Explica el procedimiento con claridad.</w:t>
            </w:r>
          </w:p>
        </w:tc>
        <w:tc>
          <w:tcPr>
            <w:tcW w:w="1877" w:type="dxa"/>
            <w:shd w:val="clear" w:color="auto" w:fill="D9E2F3"/>
            <w:vAlign w:val="center"/>
          </w:tcPr>
          <w:p w14:paraId="0F081DF4" w14:textId="77777777" w:rsidR="00990B14" w:rsidRDefault="00000000">
            <w:pPr>
              <w:spacing w:before="20" w:after="20"/>
              <w:jc w:val="both"/>
            </w:pPr>
            <w:r>
              <w:rPr>
                <w:sz w:val="18"/>
                <w:szCs w:val="18"/>
              </w:rPr>
              <w:t>Responde con solvencia las preguntas del curso.</w:t>
            </w:r>
          </w:p>
        </w:tc>
      </w:tr>
      <w:tr w:rsidR="00990B14" w14:paraId="0CB15413" w14:textId="77777777">
        <w:trPr>
          <w:cantSplit/>
          <w:jc w:val="center"/>
        </w:trPr>
        <w:tc>
          <w:tcPr>
            <w:tcW w:w="1900" w:type="dxa"/>
            <w:vMerge/>
            <w:shd w:val="clear" w:color="auto" w:fill="4472C4"/>
            <w:vAlign w:val="center"/>
          </w:tcPr>
          <w:p w14:paraId="39978C6B" w14:textId="77777777" w:rsidR="00990B14" w:rsidRDefault="00990B14">
            <w:pPr>
              <w:spacing w:before="20" w:after="20"/>
            </w:pPr>
          </w:p>
        </w:tc>
        <w:tc>
          <w:tcPr>
            <w:tcW w:w="5628" w:type="dxa"/>
            <w:gridSpan w:val="3"/>
            <w:shd w:val="clear" w:color="auto" w:fill="D9E2F3"/>
            <w:vAlign w:val="center"/>
          </w:tcPr>
          <w:p w14:paraId="05F2A5D6" w14:textId="77777777" w:rsidR="00990B14" w:rsidRDefault="00000000">
            <w:pPr>
              <w:keepNext/>
              <w:spacing w:before="20" w:after="20"/>
              <w:jc w:val="both"/>
            </w:pPr>
            <w:r>
              <w:rPr>
                <w:b/>
                <w:bCs/>
                <w:i/>
                <w:iCs/>
                <w:sz w:val="18"/>
                <w:szCs w:val="18"/>
              </w:rPr>
              <w:t xml:space="preserve">Producto 21: </w:t>
            </w:r>
            <w:r>
              <w:rPr>
                <w:sz w:val="18"/>
                <w:szCs w:val="18"/>
              </w:rPr>
              <w:t>Práctico de aplicación de criterios de decisión bajo incertidumbre</w:t>
            </w:r>
          </w:p>
        </w:tc>
        <w:tc>
          <w:tcPr>
            <w:tcW w:w="1877" w:type="dxa"/>
            <w:shd w:val="clear" w:color="auto" w:fill="D9E2F3"/>
            <w:vAlign w:val="center"/>
          </w:tcPr>
          <w:p w14:paraId="48D0C8BA" w14:textId="77777777" w:rsidR="00990B14" w:rsidRDefault="00000000">
            <w:pPr>
              <w:spacing w:before="20" w:after="20"/>
              <w:jc w:val="center"/>
            </w:pPr>
            <w:r>
              <w:rPr>
                <w:b/>
                <w:bCs/>
                <w:sz w:val="18"/>
                <w:szCs w:val="18"/>
              </w:rPr>
              <w:t>5%</w:t>
            </w:r>
          </w:p>
        </w:tc>
      </w:tr>
      <w:tr w:rsidR="00990B14" w14:paraId="3B6A4002" w14:textId="77777777">
        <w:trPr>
          <w:cantSplit/>
          <w:jc w:val="center"/>
        </w:trPr>
        <w:tc>
          <w:tcPr>
            <w:tcW w:w="1900" w:type="dxa"/>
            <w:vMerge/>
            <w:shd w:val="clear" w:color="auto" w:fill="4472C4"/>
            <w:vAlign w:val="center"/>
          </w:tcPr>
          <w:p w14:paraId="09F321D7" w14:textId="77777777" w:rsidR="00990B14" w:rsidRDefault="00990B14">
            <w:pPr>
              <w:spacing w:before="20" w:after="20"/>
            </w:pPr>
          </w:p>
        </w:tc>
        <w:tc>
          <w:tcPr>
            <w:tcW w:w="1876" w:type="dxa"/>
            <w:shd w:val="clear" w:color="auto" w:fill="4472C4"/>
            <w:vAlign w:val="center"/>
          </w:tcPr>
          <w:p w14:paraId="4F65ECC7"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14396690"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792054BC"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685FB9DD" w14:textId="77777777" w:rsidR="00990B14" w:rsidRDefault="00000000">
            <w:pPr>
              <w:keepNext/>
              <w:spacing w:before="20" w:after="20"/>
              <w:jc w:val="center"/>
            </w:pPr>
            <w:r>
              <w:rPr>
                <w:b/>
                <w:bCs/>
                <w:i/>
                <w:iCs/>
                <w:color w:val="FFFFFF"/>
                <w:sz w:val="18"/>
                <w:szCs w:val="18"/>
              </w:rPr>
              <w:t>Destacado (81–100)</w:t>
            </w:r>
          </w:p>
        </w:tc>
      </w:tr>
      <w:tr w:rsidR="00990B14" w14:paraId="5B34E77F" w14:textId="77777777">
        <w:trPr>
          <w:cantSplit/>
          <w:jc w:val="center"/>
        </w:trPr>
        <w:tc>
          <w:tcPr>
            <w:tcW w:w="1900" w:type="dxa"/>
            <w:vMerge/>
            <w:shd w:val="clear" w:color="auto" w:fill="4472C4"/>
            <w:vAlign w:val="center"/>
          </w:tcPr>
          <w:p w14:paraId="762655B4" w14:textId="77777777" w:rsidR="00990B14" w:rsidRDefault="00990B14">
            <w:pPr>
              <w:spacing w:before="20" w:after="20"/>
            </w:pPr>
          </w:p>
        </w:tc>
        <w:tc>
          <w:tcPr>
            <w:tcW w:w="1876" w:type="dxa"/>
            <w:shd w:val="clear" w:color="auto" w:fill="D9E2F3"/>
            <w:vAlign w:val="center"/>
          </w:tcPr>
          <w:p w14:paraId="37B2D772" w14:textId="77777777" w:rsidR="00990B14" w:rsidRDefault="00000000">
            <w:pPr>
              <w:spacing w:before="20" w:after="20"/>
              <w:jc w:val="both"/>
            </w:pPr>
            <w:r>
              <w:rPr>
                <w:sz w:val="18"/>
                <w:szCs w:val="18"/>
              </w:rPr>
              <w:t>Elección de criterios</w:t>
            </w:r>
          </w:p>
        </w:tc>
        <w:tc>
          <w:tcPr>
            <w:tcW w:w="1876" w:type="dxa"/>
            <w:shd w:val="clear" w:color="auto" w:fill="D9E2F3"/>
            <w:vAlign w:val="center"/>
          </w:tcPr>
          <w:p w14:paraId="63001065" w14:textId="77777777" w:rsidR="00990B14" w:rsidRDefault="00000000">
            <w:pPr>
              <w:spacing w:before="20" w:after="20"/>
              <w:jc w:val="both"/>
            </w:pPr>
            <w:r>
              <w:rPr>
                <w:sz w:val="18"/>
                <w:szCs w:val="18"/>
              </w:rPr>
              <w:t>Aplica un criterio que no corresponde a la condición</w:t>
            </w:r>
          </w:p>
        </w:tc>
        <w:tc>
          <w:tcPr>
            <w:tcW w:w="1876" w:type="dxa"/>
            <w:shd w:val="clear" w:color="auto" w:fill="D9E2F3"/>
            <w:vAlign w:val="center"/>
          </w:tcPr>
          <w:p w14:paraId="1481E6AF" w14:textId="77777777" w:rsidR="00990B14" w:rsidRDefault="00000000">
            <w:pPr>
              <w:spacing w:before="20" w:after="20"/>
              <w:jc w:val="both"/>
            </w:pPr>
            <w:r>
              <w:rPr>
                <w:sz w:val="18"/>
                <w:szCs w:val="18"/>
              </w:rPr>
              <w:t>Aplica los cinco criterios de incertidumbre correctamente</w:t>
            </w:r>
          </w:p>
        </w:tc>
        <w:tc>
          <w:tcPr>
            <w:tcW w:w="1877" w:type="dxa"/>
            <w:shd w:val="clear" w:color="auto" w:fill="D9E2F3"/>
            <w:vAlign w:val="center"/>
          </w:tcPr>
          <w:p w14:paraId="567B81F1" w14:textId="77777777" w:rsidR="00990B14" w:rsidRDefault="00000000">
            <w:pPr>
              <w:spacing w:before="20" w:after="20"/>
              <w:jc w:val="both"/>
            </w:pPr>
            <w:r>
              <w:rPr>
                <w:sz w:val="18"/>
                <w:szCs w:val="18"/>
              </w:rPr>
              <w:t>Justifica la pertinencia del criterio según el perfil del riesgo</w:t>
            </w:r>
          </w:p>
        </w:tc>
      </w:tr>
      <w:tr w:rsidR="00990B14" w14:paraId="22322D24" w14:textId="77777777">
        <w:trPr>
          <w:cantSplit/>
          <w:jc w:val="center"/>
        </w:trPr>
        <w:tc>
          <w:tcPr>
            <w:tcW w:w="1900" w:type="dxa"/>
            <w:vMerge/>
            <w:shd w:val="clear" w:color="auto" w:fill="4472C4"/>
            <w:vAlign w:val="center"/>
          </w:tcPr>
          <w:p w14:paraId="17A1D106" w14:textId="77777777" w:rsidR="00990B14" w:rsidRDefault="00990B14">
            <w:pPr>
              <w:spacing w:before="20" w:after="20"/>
            </w:pPr>
          </w:p>
        </w:tc>
        <w:tc>
          <w:tcPr>
            <w:tcW w:w="1876" w:type="dxa"/>
            <w:shd w:val="clear" w:color="auto" w:fill="D9E2F3"/>
            <w:vAlign w:val="center"/>
          </w:tcPr>
          <w:p w14:paraId="35DC9D82" w14:textId="77777777" w:rsidR="00990B14" w:rsidRDefault="00000000">
            <w:pPr>
              <w:spacing w:before="20" w:after="20"/>
              <w:jc w:val="both"/>
            </w:pPr>
            <w:r>
              <w:rPr>
                <w:sz w:val="18"/>
                <w:szCs w:val="18"/>
              </w:rPr>
              <w:t>Cálculo matemático</w:t>
            </w:r>
          </w:p>
        </w:tc>
        <w:tc>
          <w:tcPr>
            <w:tcW w:w="1876" w:type="dxa"/>
            <w:shd w:val="clear" w:color="auto" w:fill="D9E2F3"/>
            <w:vAlign w:val="center"/>
          </w:tcPr>
          <w:p w14:paraId="6B936542" w14:textId="77777777" w:rsidR="00990B14" w:rsidRDefault="00000000">
            <w:pPr>
              <w:spacing w:before="20" w:after="20"/>
              <w:jc w:val="both"/>
            </w:pPr>
            <w:r>
              <w:rPr>
                <w:sz w:val="18"/>
                <w:szCs w:val="18"/>
              </w:rPr>
              <w:t>Presenta errores de calculo en la penalización o pagos</w:t>
            </w:r>
          </w:p>
        </w:tc>
        <w:tc>
          <w:tcPr>
            <w:tcW w:w="1876" w:type="dxa"/>
            <w:shd w:val="clear" w:color="auto" w:fill="D9E2F3"/>
            <w:vAlign w:val="center"/>
          </w:tcPr>
          <w:p w14:paraId="10A07770" w14:textId="77777777" w:rsidR="00990B14" w:rsidRDefault="00000000">
            <w:pPr>
              <w:spacing w:before="20" w:after="20"/>
              <w:jc w:val="both"/>
            </w:pPr>
            <w:r>
              <w:rPr>
                <w:sz w:val="18"/>
                <w:szCs w:val="18"/>
              </w:rPr>
              <w:t>Los resultados de cada criterio son correctos</w:t>
            </w:r>
          </w:p>
        </w:tc>
        <w:tc>
          <w:tcPr>
            <w:tcW w:w="1877" w:type="dxa"/>
            <w:shd w:val="clear" w:color="auto" w:fill="D9E2F3"/>
            <w:vAlign w:val="center"/>
          </w:tcPr>
          <w:p w14:paraId="7712AADF" w14:textId="77777777" w:rsidR="00990B14" w:rsidRDefault="00000000">
            <w:pPr>
              <w:spacing w:before="20" w:after="20"/>
              <w:jc w:val="both"/>
            </w:pPr>
            <w:r>
              <w:rPr>
                <w:sz w:val="18"/>
                <w:szCs w:val="18"/>
              </w:rPr>
              <w:t>comprueba los resultados mediante revisión cruzada</w:t>
            </w:r>
          </w:p>
        </w:tc>
      </w:tr>
      <w:tr w:rsidR="00990B14" w14:paraId="355988AE" w14:textId="77777777">
        <w:trPr>
          <w:cantSplit/>
          <w:jc w:val="center"/>
        </w:trPr>
        <w:tc>
          <w:tcPr>
            <w:tcW w:w="1900" w:type="dxa"/>
            <w:vMerge/>
            <w:shd w:val="clear" w:color="auto" w:fill="4472C4"/>
            <w:vAlign w:val="center"/>
          </w:tcPr>
          <w:p w14:paraId="79FA88EE" w14:textId="77777777" w:rsidR="00990B14" w:rsidRDefault="00990B14">
            <w:pPr>
              <w:spacing w:before="20" w:after="20"/>
            </w:pPr>
          </w:p>
        </w:tc>
        <w:tc>
          <w:tcPr>
            <w:tcW w:w="1876" w:type="dxa"/>
            <w:shd w:val="clear" w:color="auto" w:fill="D9E2F3"/>
            <w:vAlign w:val="center"/>
          </w:tcPr>
          <w:p w14:paraId="1B63FDE9" w14:textId="77777777" w:rsidR="00990B14" w:rsidRDefault="00000000">
            <w:pPr>
              <w:spacing w:before="20" w:after="20"/>
              <w:jc w:val="both"/>
            </w:pPr>
            <w:r>
              <w:rPr>
                <w:sz w:val="18"/>
                <w:szCs w:val="18"/>
              </w:rPr>
              <w:t>Conclusión</w:t>
            </w:r>
          </w:p>
        </w:tc>
        <w:tc>
          <w:tcPr>
            <w:tcW w:w="1876" w:type="dxa"/>
            <w:shd w:val="clear" w:color="auto" w:fill="D9E2F3"/>
            <w:vAlign w:val="center"/>
          </w:tcPr>
          <w:p w14:paraId="66109967" w14:textId="77777777" w:rsidR="00990B14" w:rsidRDefault="00000000">
            <w:pPr>
              <w:spacing w:before="20" w:after="20"/>
              <w:jc w:val="both"/>
            </w:pPr>
            <w:r>
              <w:rPr>
                <w:sz w:val="18"/>
                <w:szCs w:val="18"/>
              </w:rPr>
              <w:t>No concluye sobre la mejor alternativa.</w:t>
            </w:r>
          </w:p>
        </w:tc>
        <w:tc>
          <w:tcPr>
            <w:tcW w:w="1876" w:type="dxa"/>
            <w:shd w:val="clear" w:color="auto" w:fill="D9E2F3"/>
            <w:vAlign w:val="center"/>
          </w:tcPr>
          <w:p w14:paraId="25D9E261" w14:textId="77777777" w:rsidR="00990B14" w:rsidRDefault="00000000">
            <w:pPr>
              <w:spacing w:before="20" w:after="20"/>
              <w:jc w:val="both"/>
            </w:pPr>
            <w:r>
              <w:rPr>
                <w:sz w:val="18"/>
                <w:szCs w:val="18"/>
              </w:rPr>
              <w:t>Selecciona la alternativa óptima según el criterio.</w:t>
            </w:r>
          </w:p>
        </w:tc>
        <w:tc>
          <w:tcPr>
            <w:tcW w:w="1877" w:type="dxa"/>
            <w:shd w:val="clear" w:color="auto" w:fill="D9E2F3"/>
            <w:vAlign w:val="center"/>
          </w:tcPr>
          <w:p w14:paraId="32CE7489" w14:textId="77777777" w:rsidR="00990B14" w:rsidRDefault="00000000">
            <w:pPr>
              <w:spacing w:before="20" w:after="20"/>
              <w:jc w:val="both"/>
            </w:pPr>
            <w:r>
              <w:rPr>
                <w:sz w:val="18"/>
                <w:szCs w:val="18"/>
              </w:rPr>
              <w:t>Explica el impacto financiero de la elección en la empresa.</w:t>
            </w:r>
          </w:p>
        </w:tc>
      </w:tr>
      <w:tr w:rsidR="00990B14" w14:paraId="646EA52F" w14:textId="77777777">
        <w:trPr>
          <w:cantSplit/>
          <w:jc w:val="center"/>
        </w:trPr>
        <w:tc>
          <w:tcPr>
            <w:tcW w:w="1900" w:type="dxa"/>
            <w:vMerge/>
            <w:shd w:val="clear" w:color="auto" w:fill="4472C4"/>
            <w:vAlign w:val="center"/>
          </w:tcPr>
          <w:p w14:paraId="46DD5E0B" w14:textId="77777777" w:rsidR="00990B14" w:rsidRDefault="00990B14">
            <w:pPr>
              <w:spacing w:before="20" w:after="20"/>
            </w:pPr>
          </w:p>
        </w:tc>
        <w:tc>
          <w:tcPr>
            <w:tcW w:w="5628" w:type="dxa"/>
            <w:gridSpan w:val="3"/>
            <w:shd w:val="clear" w:color="auto" w:fill="D9E2F3"/>
            <w:vAlign w:val="center"/>
          </w:tcPr>
          <w:p w14:paraId="356D95E0" w14:textId="77777777" w:rsidR="00990B14" w:rsidRDefault="00000000">
            <w:pPr>
              <w:keepNext/>
              <w:spacing w:before="20" w:after="20"/>
              <w:jc w:val="both"/>
            </w:pPr>
            <w:r>
              <w:rPr>
                <w:b/>
                <w:bCs/>
                <w:i/>
                <w:iCs/>
                <w:sz w:val="18"/>
                <w:szCs w:val="18"/>
              </w:rPr>
              <w:t xml:space="preserve">Producto 22: </w:t>
            </w:r>
            <w:r>
              <w:rPr>
                <w:sz w:val="18"/>
                <w:szCs w:val="18"/>
              </w:rPr>
              <w:t>Matriz de pagos de alternativas de inversión</w:t>
            </w:r>
          </w:p>
        </w:tc>
        <w:tc>
          <w:tcPr>
            <w:tcW w:w="1877" w:type="dxa"/>
            <w:shd w:val="clear" w:color="auto" w:fill="D9E2F3"/>
            <w:vAlign w:val="center"/>
          </w:tcPr>
          <w:p w14:paraId="481B8FF6" w14:textId="77777777" w:rsidR="00990B14" w:rsidRDefault="00000000">
            <w:pPr>
              <w:spacing w:before="20" w:after="20"/>
              <w:jc w:val="center"/>
            </w:pPr>
            <w:r>
              <w:rPr>
                <w:b/>
                <w:bCs/>
                <w:sz w:val="18"/>
                <w:szCs w:val="18"/>
              </w:rPr>
              <w:t>5%</w:t>
            </w:r>
          </w:p>
        </w:tc>
      </w:tr>
      <w:tr w:rsidR="00990B14" w14:paraId="58076D12" w14:textId="77777777">
        <w:trPr>
          <w:cantSplit/>
          <w:jc w:val="center"/>
        </w:trPr>
        <w:tc>
          <w:tcPr>
            <w:tcW w:w="1900" w:type="dxa"/>
            <w:vMerge/>
            <w:shd w:val="clear" w:color="auto" w:fill="4472C4"/>
            <w:vAlign w:val="center"/>
          </w:tcPr>
          <w:p w14:paraId="03C3ED98" w14:textId="77777777" w:rsidR="00990B14" w:rsidRDefault="00990B14">
            <w:pPr>
              <w:spacing w:before="20" w:after="20"/>
            </w:pPr>
          </w:p>
        </w:tc>
        <w:tc>
          <w:tcPr>
            <w:tcW w:w="1876" w:type="dxa"/>
            <w:shd w:val="clear" w:color="auto" w:fill="4472C4"/>
            <w:vAlign w:val="center"/>
          </w:tcPr>
          <w:p w14:paraId="0E7E9AD1"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2A05F90D"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4230393F"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4F10F157" w14:textId="77777777" w:rsidR="00990B14" w:rsidRDefault="00000000">
            <w:pPr>
              <w:keepNext/>
              <w:spacing w:before="20" w:after="20"/>
              <w:jc w:val="center"/>
            </w:pPr>
            <w:r>
              <w:rPr>
                <w:b/>
                <w:bCs/>
                <w:i/>
                <w:iCs/>
                <w:color w:val="FFFFFF"/>
                <w:sz w:val="18"/>
                <w:szCs w:val="18"/>
              </w:rPr>
              <w:t>Destacado (81–100)</w:t>
            </w:r>
          </w:p>
        </w:tc>
      </w:tr>
      <w:tr w:rsidR="00990B14" w14:paraId="707DDC6D" w14:textId="77777777">
        <w:trPr>
          <w:cantSplit/>
          <w:jc w:val="center"/>
        </w:trPr>
        <w:tc>
          <w:tcPr>
            <w:tcW w:w="1900" w:type="dxa"/>
            <w:vMerge/>
            <w:shd w:val="clear" w:color="auto" w:fill="4472C4"/>
            <w:vAlign w:val="center"/>
          </w:tcPr>
          <w:p w14:paraId="2FF03CE8" w14:textId="77777777" w:rsidR="00990B14" w:rsidRDefault="00990B14">
            <w:pPr>
              <w:spacing w:before="20" w:after="20"/>
            </w:pPr>
          </w:p>
        </w:tc>
        <w:tc>
          <w:tcPr>
            <w:tcW w:w="1876" w:type="dxa"/>
            <w:shd w:val="clear" w:color="auto" w:fill="D9E2F3"/>
            <w:vAlign w:val="center"/>
          </w:tcPr>
          <w:p w14:paraId="2E5D634E" w14:textId="77777777" w:rsidR="00990B14" w:rsidRDefault="00000000">
            <w:pPr>
              <w:spacing w:before="20" w:after="20"/>
              <w:jc w:val="both"/>
            </w:pPr>
            <w:r>
              <w:rPr>
                <w:sz w:val="18"/>
                <w:szCs w:val="18"/>
              </w:rPr>
              <w:t>Variable del caso</w:t>
            </w:r>
          </w:p>
        </w:tc>
        <w:tc>
          <w:tcPr>
            <w:tcW w:w="1876" w:type="dxa"/>
            <w:shd w:val="clear" w:color="auto" w:fill="D9E2F3"/>
            <w:vAlign w:val="center"/>
          </w:tcPr>
          <w:p w14:paraId="4FB764B4" w14:textId="77777777" w:rsidR="00990B14" w:rsidRDefault="00000000">
            <w:pPr>
              <w:spacing w:before="20" w:after="20"/>
              <w:jc w:val="both"/>
            </w:pPr>
            <w:r>
              <w:rPr>
                <w:sz w:val="18"/>
                <w:szCs w:val="18"/>
              </w:rPr>
              <w:t>Omite alternativas de inversión o estados relevantes</w:t>
            </w:r>
          </w:p>
        </w:tc>
        <w:tc>
          <w:tcPr>
            <w:tcW w:w="1876" w:type="dxa"/>
            <w:shd w:val="clear" w:color="auto" w:fill="D9E2F3"/>
            <w:vAlign w:val="center"/>
          </w:tcPr>
          <w:p w14:paraId="499F1E2A" w14:textId="77777777" w:rsidR="00990B14" w:rsidRDefault="00000000">
            <w:pPr>
              <w:spacing w:before="20" w:after="20"/>
              <w:jc w:val="both"/>
            </w:pPr>
            <w:r>
              <w:rPr>
                <w:sz w:val="18"/>
                <w:szCs w:val="18"/>
              </w:rPr>
              <w:t>Identifica las alternativas y los estados de la naturaleza</w:t>
            </w:r>
          </w:p>
        </w:tc>
        <w:tc>
          <w:tcPr>
            <w:tcW w:w="1877" w:type="dxa"/>
            <w:shd w:val="clear" w:color="auto" w:fill="D9E2F3"/>
            <w:vAlign w:val="center"/>
          </w:tcPr>
          <w:p w14:paraId="785503C0" w14:textId="77777777" w:rsidR="00990B14" w:rsidRDefault="00000000">
            <w:pPr>
              <w:spacing w:before="20" w:after="20"/>
              <w:jc w:val="both"/>
            </w:pPr>
            <w:r>
              <w:rPr>
                <w:sz w:val="18"/>
                <w:szCs w:val="18"/>
              </w:rPr>
              <w:t>Relaciona los estados con factores macroeconómicos externos</w:t>
            </w:r>
          </w:p>
        </w:tc>
      </w:tr>
      <w:tr w:rsidR="00990B14" w14:paraId="4F77725C" w14:textId="77777777">
        <w:trPr>
          <w:cantSplit/>
          <w:jc w:val="center"/>
        </w:trPr>
        <w:tc>
          <w:tcPr>
            <w:tcW w:w="1900" w:type="dxa"/>
            <w:vMerge/>
            <w:shd w:val="clear" w:color="auto" w:fill="4472C4"/>
            <w:vAlign w:val="center"/>
          </w:tcPr>
          <w:p w14:paraId="277E2F38" w14:textId="77777777" w:rsidR="00990B14" w:rsidRDefault="00990B14">
            <w:pPr>
              <w:spacing w:before="20" w:after="20"/>
            </w:pPr>
          </w:p>
        </w:tc>
        <w:tc>
          <w:tcPr>
            <w:tcW w:w="1876" w:type="dxa"/>
            <w:shd w:val="clear" w:color="auto" w:fill="D9E2F3"/>
            <w:vAlign w:val="center"/>
          </w:tcPr>
          <w:p w14:paraId="2EE6474B" w14:textId="77777777" w:rsidR="00990B14" w:rsidRDefault="00000000">
            <w:pPr>
              <w:spacing w:before="20" w:after="20"/>
              <w:jc w:val="both"/>
            </w:pPr>
            <w:r>
              <w:rPr>
                <w:sz w:val="18"/>
                <w:szCs w:val="18"/>
              </w:rPr>
              <w:t>Construcción matricial</w:t>
            </w:r>
          </w:p>
        </w:tc>
        <w:tc>
          <w:tcPr>
            <w:tcW w:w="1876" w:type="dxa"/>
            <w:shd w:val="clear" w:color="auto" w:fill="D9E2F3"/>
            <w:vAlign w:val="center"/>
          </w:tcPr>
          <w:p w14:paraId="5349DAD1" w14:textId="77777777" w:rsidR="00990B14" w:rsidRDefault="00000000">
            <w:pPr>
              <w:spacing w:before="20" w:after="20"/>
              <w:jc w:val="both"/>
            </w:pPr>
            <w:r>
              <w:rPr>
                <w:sz w:val="18"/>
                <w:szCs w:val="18"/>
              </w:rPr>
              <w:t>Calcula de forma incorrecta los beneficios esperados</w:t>
            </w:r>
          </w:p>
        </w:tc>
        <w:tc>
          <w:tcPr>
            <w:tcW w:w="1876" w:type="dxa"/>
            <w:shd w:val="clear" w:color="auto" w:fill="D9E2F3"/>
            <w:vAlign w:val="center"/>
          </w:tcPr>
          <w:p w14:paraId="535C6435" w14:textId="77777777" w:rsidR="00990B14" w:rsidRDefault="00000000">
            <w:pPr>
              <w:spacing w:before="20" w:after="20"/>
              <w:jc w:val="both"/>
            </w:pPr>
            <w:r>
              <w:rPr>
                <w:sz w:val="18"/>
                <w:szCs w:val="18"/>
              </w:rPr>
              <w:t>Construye la matriz de pago completa y ordenada</w:t>
            </w:r>
          </w:p>
        </w:tc>
        <w:tc>
          <w:tcPr>
            <w:tcW w:w="1877" w:type="dxa"/>
            <w:shd w:val="clear" w:color="auto" w:fill="D9E2F3"/>
            <w:vAlign w:val="center"/>
          </w:tcPr>
          <w:p w14:paraId="1A7D2EC1" w14:textId="77777777" w:rsidR="00990B14" w:rsidRDefault="00000000">
            <w:pPr>
              <w:spacing w:before="20" w:after="20"/>
              <w:jc w:val="both"/>
            </w:pPr>
            <w:r>
              <w:rPr>
                <w:sz w:val="18"/>
                <w:szCs w:val="18"/>
              </w:rPr>
              <w:t>Detalla el procedimiento de estimación de los pagos</w:t>
            </w:r>
          </w:p>
        </w:tc>
      </w:tr>
      <w:tr w:rsidR="00990B14" w14:paraId="4E984F4D" w14:textId="77777777">
        <w:trPr>
          <w:cantSplit/>
          <w:jc w:val="center"/>
        </w:trPr>
        <w:tc>
          <w:tcPr>
            <w:tcW w:w="1900" w:type="dxa"/>
            <w:vMerge/>
            <w:shd w:val="clear" w:color="auto" w:fill="4472C4"/>
            <w:vAlign w:val="center"/>
          </w:tcPr>
          <w:p w14:paraId="346B21DE" w14:textId="77777777" w:rsidR="00990B14" w:rsidRDefault="00990B14">
            <w:pPr>
              <w:spacing w:before="20" w:after="20"/>
            </w:pPr>
          </w:p>
        </w:tc>
        <w:tc>
          <w:tcPr>
            <w:tcW w:w="1876" w:type="dxa"/>
            <w:shd w:val="clear" w:color="auto" w:fill="D9E2F3"/>
            <w:vAlign w:val="center"/>
          </w:tcPr>
          <w:p w14:paraId="0CFF1173" w14:textId="77777777" w:rsidR="00990B14" w:rsidRDefault="00000000">
            <w:pPr>
              <w:spacing w:before="20" w:after="20"/>
              <w:jc w:val="both"/>
            </w:pPr>
            <w:r>
              <w:rPr>
                <w:sz w:val="18"/>
                <w:szCs w:val="18"/>
              </w:rPr>
              <w:t>Trabajo en equipo</w:t>
            </w:r>
          </w:p>
        </w:tc>
        <w:tc>
          <w:tcPr>
            <w:tcW w:w="1876" w:type="dxa"/>
            <w:shd w:val="clear" w:color="auto" w:fill="D9E2F3"/>
            <w:vAlign w:val="center"/>
          </w:tcPr>
          <w:p w14:paraId="304D2D6A" w14:textId="77777777" w:rsidR="00990B14" w:rsidRDefault="00000000">
            <w:pPr>
              <w:spacing w:before="20" w:after="20"/>
              <w:jc w:val="both"/>
            </w:pPr>
            <w:r>
              <w:rPr>
                <w:sz w:val="18"/>
                <w:szCs w:val="18"/>
              </w:rPr>
              <w:t>Pocos integrantes participan en el análisis.</w:t>
            </w:r>
          </w:p>
        </w:tc>
        <w:tc>
          <w:tcPr>
            <w:tcW w:w="1876" w:type="dxa"/>
            <w:shd w:val="clear" w:color="auto" w:fill="D9E2F3"/>
            <w:vAlign w:val="center"/>
          </w:tcPr>
          <w:p w14:paraId="1BD3FDAC" w14:textId="77777777" w:rsidR="00990B14" w:rsidRDefault="00000000">
            <w:pPr>
              <w:spacing w:before="20" w:after="20"/>
              <w:jc w:val="both"/>
            </w:pPr>
            <w:r>
              <w:rPr>
                <w:sz w:val="18"/>
                <w:szCs w:val="18"/>
              </w:rPr>
              <w:t>Todos los integrantes aportan a la matriz.</w:t>
            </w:r>
          </w:p>
        </w:tc>
        <w:tc>
          <w:tcPr>
            <w:tcW w:w="1877" w:type="dxa"/>
            <w:shd w:val="clear" w:color="auto" w:fill="D9E2F3"/>
            <w:vAlign w:val="center"/>
          </w:tcPr>
          <w:p w14:paraId="2EB771DF" w14:textId="77777777" w:rsidR="00990B14" w:rsidRDefault="00000000">
            <w:pPr>
              <w:spacing w:before="20" w:after="20"/>
              <w:jc w:val="both"/>
            </w:pPr>
            <w:r>
              <w:rPr>
                <w:sz w:val="18"/>
                <w:szCs w:val="18"/>
              </w:rPr>
              <w:t>El equipo sustenta su matriz con argumentos gerenciales.</w:t>
            </w:r>
          </w:p>
        </w:tc>
      </w:tr>
      <w:tr w:rsidR="00990B14" w14:paraId="4A813D21" w14:textId="77777777">
        <w:trPr>
          <w:cantSplit/>
          <w:jc w:val="center"/>
        </w:trPr>
        <w:tc>
          <w:tcPr>
            <w:tcW w:w="1900" w:type="dxa"/>
            <w:vMerge/>
            <w:shd w:val="clear" w:color="auto" w:fill="4472C4"/>
            <w:vAlign w:val="center"/>
          </w:tcPr>
          <w:p w14:paraId="44272E44" w14:textId="77777777" w:rsidR="00990B14" w:rsidRDefault="00990B14">
            <w:pPr>
              <w:spacing w:before="20" w:after="20"/>
            </w:pPr>
          </w:p>
        </w:tc>
        <w:tc>
          <w:tcPr>
            <w:tcW w:w="5628" w:type="dxa"/>
            <w:gridSpan w:val="3"/>
            <w:shd w:val="clear" w:color="auto" w:fill="D9E2F3"/>
            <w:vAlign w:val="center"/>
          </w:tcPr>
          <w:p w14:paraId="2E26B2C2" w14:textId="77777777" w:rsidR="00990B14" w:rsidRDefault="00000000">
            <w:pPr>
              <w:keepNext/>
              <w:spacing w:before="20" w:after="20"/>
              <w:jc w:val="both"/>
            </w:pPr>
            <w:r>
              <w:rPr>
                <w:b/>
                <w:bCs/>
                <w:i/>
                <w:iCs/>
                <w:sz w:val="18"/>
                <w:szCs w:val="18"/>
              </w:rPr>
              <w:t xml:space="preserve">Producto 23: </w:t>
            </w:r>
            <w:r>
              <w:rPr>
                <w:sz w:val="18"/>
                <w:szCs w:val="18"/>
              </w:rPr>
              <w:t>Árbol de decisión resuelto con el valor monetario esperado</w:t>
            </w:r>
          </w:p>
        </w:tc>
        <w:tc>
          <w:tcPr>
            <w:tcW w:w="1877" w:type="dxa"/>
            <w:shd w:val="clear" w:color="auto" w:fill="D9E2F3"/>
            <w:vAlign w:val="center"/>
          </w:tcPr>
          <w:p w14:paraId="1DA47DF7" w14:textId="77777777" w:rsidR="00990B14" w:rsidRDefault="00000000">
            <w:pPr>
              <w:spacing w:before="20" w:after="20"/>
              <w:jc w:val="center"/>
            </w:pPr>
            <w:r>
              <w:rPr>
                <w:b/>
                <w:bCs/>
                <w:sz w:val="18"/>
                <w:szCs w:val="18"/>
              </w:rPr>
              <w:t>4%</w:t>
            </w:r>
          </w:p>
        </w:tc>
      </w:tr>
      <w:tr w:rsidR="00990B14" w14:paraId="6B26353A" w14:textId="77777777">
        <w:trPr>
          <w:cantSplit/>
          <w:jc w:val="center"/>
        </w:trPr>
        <w:tc>
          <w:tcPr>
            <w:tcW w:w="1900" w:type="dxa"/>
            <w:vMerge/>
            <w:shd w:val="clear" w:color="auto" w:fill="4472C4"/>
            <w:vAlign w:val="center"/>
          </w:tcPr>
          <w:p w14:paraId="5B12F101" w14:textId="77777777" w:rsidR="00990B14" w:rsidRDefault="00990B14">
            <w:pPr>
              <w:spacing w:before="20" w:after="20"/>
            </w:pPr>
          </w:p>
        </w:tc>
        <w:tc>
          <w:tcPr>
            <w:tcW w:w="1876" w:type="dxa"/>
            <w:shd w:val="clear" w:color="auto" w:fill="4472C4"/>
            <w:vAlign w:val="center"/>
          </w:tcPr>
          <w:p w14:paraId="00B4A14A"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2C9C32E8"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7F59A966"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2DC49F76" w14:textId="77777777" w:rsidR="00990B14" w:rsidRDefault="00000000">
            <w:pPr>
              <w:keepNext/>
              <w:spacing w:before="20" w:after="20"/>
              <w:jc w:val="center"/>
            </w:pPr>
            <w:r>
              <w:rPr>
                <w:b/>
                <w:bCs/>
                <w:i/>
                <w:iCs/>
                <w:color w:val="FFFFFF"/>
                <w:sz w:val="18"/>
                <w:szCs w:val="18"/>
              </w:rPr>
              <w:t>Destacado (81–100)</w:t>
            </w:r>
          </w:p>
        </w:tc>
      </w:tr>
      <w:tr w:rsidR="00990B14" w14:paraId="220CFD53" w14:textId="77777777">
        <w:trPr>
          <w:cantSplit/>
          <w:jc w:val="center"/>
        </w:trPr>
        <w:tc>
          <w:tcPr>
            <w:tcW w:w="1900" w:type="dxa"/>
            <w:vMerge/>
            <w:shd w:val="clear" w:color="auto" w:fill="4472C4"/>
            <w:vAlign w:val="center"/>
          </w:tcPr>
          <w:p w14:paraId="33D4D739" w14:textId="77777777" w:rsidR="00990B14" w:rsidRDefault="00990B14">
            <w:pPr>
              <w:spacing w:before="20" w:after="20"/>
            </w:pPr>
          </w:p>
        </w:tc>
        <w:tc>
          <w:tcPr>
            <w:tcW w:w="1876" w:type="dxa"/>
            <w:shd w:val="clear" w:color="auto" w:fill="D9E2F3"/>
            <w:vAlign w:val="center"/>
          </w:tcPr>
          <w:p w14:paraId="075187F1" w14:textId="77777777" w:rsidR="00990B14" w:rsidRDefault="00000000">
            <w:pPr>
              <w:spacing w:before="20" w:after="20"/>
              <w:jc w:val="both"/>
            </w:pPr>
            <w:r>
              <w:rPr>
                <w:sz w:val="18"/>
                <w:szCs w:val="18"/>
              </w:rPr>
              <w:t>Estructura del árbol</w:t>
            </w:r>
          </w:p>
        </w:tc>
        <w:tc>
          <w:tcPr>
            <w:tcW w:w="1876" w:type="dxa"/>
            <w:shd w:val="clear" w:color="auto" w:fill="D9E2F3"/>
            <w:vAlign w:val="center"/>
          </w:tcPr>
          <w:p w14:paraId="5DD8E10C" w14:textId="77777777" w:rsidR="00990B14" w:rsidRDefault="00000000">
            <w:pPr>
              <w:spacing w:before="20" w:after="20"/>
              <w:jc w:val="both"/>
            </w:pPr>
            <w:r>
              <w:rPr>
                <w:sz w:val="18"/>
                <w:szCs w:val="18"/>
              </w:rPr>
              <w:t>Confunde nodos de decisión de</w:t>
            </w:r>
          </w:p>
        </w:tc>
        <w:tc>
          <w:tcPr>
            <w:tcW w:w="1876" w:type="dxa"/>
            <w:shd w:val="clear" w:color="auto" w:fill="D9E2F3"/>
            <w:vAlign w:val="center"/>
          </w:tcPr>
          <w:p w14:paraId="643E618C" w14:textId="77777777" w:rsidR="00990B14" w:rsidRDefault="00000000">
            <w:pPr>
              <w:spacing w:before="20" w:after="20"/>
              <w:jc w:val="both"/>
            </w:pPr>
            <w:r>
              <w:rPr>
                <w:sz w:val="18"/>
                <w:szCs w:val="18"/>
              </w:rPr>
              <w:t>Construye el árbol con sus nodos, ramas y probabilidades.</w:t>
            </w:r>
          </w:p>
        </w:tc>
        <w:tc>
          <w:tcPr>
            <w:tcW w:w="1877" w:type="dxa"/>
            <w:shd w:val="clear" w:color="auto" w:fill="D9E2F3"/>
            <w:vAlign w:val="center"/>
          </w:tcPr>
          <w:p w14:paraId="4831300B" w14:textId="77777777" w:rsidR="00990B14" w:rsidRDefault="00000000">
            <w:pPr>
              <w:spacing w:before="20" w:after="20"/>
              <w:jc w:val="both"/>
            </w:pPr>
            <w:r>
              <w:rPr>
                <w:sz w:val="18"/>
                <w:szCs w:val="18"/>
              </w:rPr>
              <w:t>Incorpora información muestral adicional con exactitud.</w:t>
            </w:r>
          </w:p>
        </w:tc>
      </w:tr>
      <w:tr w:rsidR="00990B14" w14:paraId="2EB96FF3" w14:textId="77777777">
        <w:trPr>
          <w:cantSplit/>
          <w:jc w:val="center"/>
        </w:trPr>
        <w:tc>
          <w:tcPr>
            <w:tcW w:w="1900" w:type="dxa"/>
            <w:vMerge/>
            <w:shd w:val="clear" w:color="auto" w:fill="4472C4"/>
            <w:vAlign w:val="center"/>
          </w:tcPr>
          <w:p w14:paraId="675F1F22" w14:textId="77777777" w:rsidR="00990B14" w:rsidRDefault="00990B14">
            <w:pPr>
              <w:spacing w:before="20" w:after="20"/>
            </w:pPr>
          </w:p>
        </w:tc>
        <w:tc>
          <w:tcPr>
            <w:tcW w:w="1876" w:type="dxa"/>
            <w:shd w:val="clear" w:color="auto" w:fill="D9E2F3"/>
            <w:vAlign w:val="center"/>
          </w:tcPr>
          <w:p w14:paraId="473A4E37" w14:textId="77777777" w:rsidR="00990B14" w:rsidRDefault="00000000">
            <w:pPr>
              <w:spacing w:before="20" w:after="20"/>
              <w:jc w:val="both"/>
            </w:pPr>
            <w:r>
              <w:rPr>
                <w:sz w:val="18"/>
                <w:szCs w:val="18"/>
              </w:rPr>
              <w:t>Valor esperado</w:t>
            </w:r>
          </w:p>
        </w:tc>
        <w:tc>
          <w:tcPr>
            <w:tcW w:w="1876" w:type="dxa"/>
            <w:shd w:val="clear" w:color="auto" w:fill="D9E2F3"/>
            <w:vAlign w:val="center"/>
          </w:tcPr>
          <w:p w14:paraId="22D77F48" w14:textId="77777777" w:rsidR="00990B14" w:rsidRDefault="00000000">
            <w:pPr>
              <w:spacing w:before="20" w:after="20"/>
              <w:jc w:val="both"/>
            </w:pPr>
            <w:r>
              <w:rPr>
                <w:sz w:val="18"/>
                <w:szCs w:val="18"/>
              </w:rPr>
              <w:t>Calcula mal el valor monetario esperado (VME).</w:t>
            </w:r>
          </w:p>
        </w:tc>
        <w:tc>
          <w:tcPr>
            <w:tcW w:w="1876" w:type="dxa"/>
            <w:shd w:val="clear" w:color="auto" w:fill="D9E2F3"/>
            <w:vAlign w:val="center"/>
          </w:tcPr>
          <w:p w14:paraId="403AA4D4" w14:textId="77777777" w:rsidR="00990B14" w:rsidRDefault="00000000">
            <w:pPr>
              <w:spacing w:before="20" w:after="20"/>
              <w:jc w:val="both"/>
            </w:pPr>
            <w:r>
              <w:rPr>
                <w:sz w:val="18"/>
                <w:szCs w:val="18"/>
              </w:rPr>
              <w:t>Resuelve el árbol hacia atrás utilizando el VME.</w:t>
            </w:r>
          </w:p>
        </w:tc>
        <w:tc>
          <w:tcPr>
            <w:tcW w:w="1877" w:type="dxa"/>
            <w:shd w:val="clear" w:color="auto" w:fill="D9E2F3"/>
            <w:vAlign w:val="center"/>
          </w:tcPr>
          <w:p w14:paraId="24D23148" w14:textId="77777777" w:rsidR="00990B14" w:rsidRDefault="00000000">
            <w:pPr>
              <w:spacing w:before="20" w:after="20"/>
              <w:jc w:val="both"/>
            </w:pPr>
            <w:r>
              <w:rPr>
                <w:sz w:val="18"/>
                <w:szCs w:val="18"/>
              </w:rPr>
              <w:t>Contrasta el VME con la pérdida de oportunidad esperada.</w:t>
            </w:r>
          </w:p>
        </w:tc>
      </w:tr>
      <w:tr w:rsidR="00990B14" w14:paraId="1516BEFD" w14:textId="77777777">
        <w:trPr>
          <w:cantSplit/>
          <w:jc w:val="center"/>
        </w:trPr>
        <w:tc>
          <w:tcPr>
            <w:tcW w:w="1900" w:type="dxa"/>
            <w:vMerge/>
            <w:shd w:val="clear" w:color="auto" w:fill="4472C4"/>
            <w:vAlign w:val="center"/>
          </w:tcPr>
          <w:p w14:paraId="1B087A1F" w14:textId="77777777" w:rsidR="00990B14" w:rsidRDefault="00990B14">
            <w:pPr>
              <w:spacing w:before="20" w:after="20"/>
            </w:pPr>
          </w:p>
        </w:tc>
        <w:tc>
          <w:tcPr>
            <w:tcW w:w="1876" w:type="dxa"/>
            <w:shd w:val="clear" w:color="auto" w:fill="D9E2F3"/>
            <w:vAlign w:val="center"/>
          </w:tcPr>
          <w:p w14:paraId="2F41BD9F" w14:textId="77777777" w:rsidR="00990B14" w:rsidRDefault="00000000">
            <w:pPr>
              <w:spacing w:before="20" w:after="20"/>
              <w:jc w:val="both"/>
            </w:pPr>
            <w:r>
              <w:rPr>
                <w:sz w:val="18"/>
                <w:szCs w:val="18"/>
              </w:rPr>
              <w:t>Decisión</w:t>
            </w:r>
          </w:p>
        </w:tc>
        <w:tc>
          <w:tcPr>
            <w:tcW w:w="1876" w:type="dxa"/>
            <w:shd w:val="clear" w:color="auto" w:fill="D9E2F3"/>
            <w:vAlign w:val="center"/>
          </w:tcPr>
          <w:p w14:paraId="081445BF" w14:textId="77777777" w:rsidR="00990B14" w:rsidRDefault="00000000">
            <w:pPr>
              <w:spacing w:before="20" w:after="20"/>
              <w:jc w:val="both"/>
            </w:pPr>
            <w:r>
              <w:rPr>
                <w:sz w:val="18"/>
                <w:szCs w:val="18"/>
              </w:rPr>
              <w:t>No recomienda ninguna alternativa</w:t>
            </w:r>
          </w:p>
        </w:tc>
        <w:tc>
          <w:tcPr>
            <w:tcW w:w="1876" w:type="dxa"/>
            <w:shd w:val="clear" w:color="auto" w:fill="D9E2F3"/>
            <w:vAlign w:val="center"/>
          </w:tcPr>
          <w:p w14:paraId="0CC460B8" w14:textId="77777777" w:rsidR="00990B14" w:rsidRDefault="00000000">
            <w:pPr>
              <w:spacing w:before="20" w:after="20"/>
              <w:jc w:val="both"/>
            </w:pPr>
            <w:r>
              <w:rPr>
                <w:sz w:val="18"/>
                <w:szCs w:val="18"/>
              </w:rPr>
              <w:t>Recomienda la alternativa que maximiza el VME.</w:t>
            </w:r>
          </w:p>
        </w:tc>
        <w:tc>
          <w:tcPr>
            <w:tcW w:w="1877" w:type="dxa"/>
            <w:shd w:val="clear" w:color="auto" w:fill="D9E2F3"/>
            <w:vAlign w:val="center"/>
          </w:tcPr>
          <w:p w14:paraId="64BF2C63" w14:textId="77777777" w:rsidR="00990B14" w:rsidRDefault="00000000">
            <w:pPr>
              <w:spacing w:before="20" w:after="20"/>
              <w:jc w:val="both"/>
            </w:pPr>
            <w:r>
              <w:rPr>
                <w:sz w:val="18"/>
                <w:szCs w:val="18"/>
              </w:rPr>
              <w:t>Analiza el riesgo de que ocurra el peor escenario posible.</w:t>
            </w:r>
          </w:p>
        </w:tc>
      </w:tr>
      <w:tr w:rsidR="00990B14" w14:paraId="488DD257" w14:textId="77777777">
        <w:trPr>
          <w:cantSplit/>
          <w:jc w:val="center"/>
        </w:trPr>
        <w:tc>
          <w:tcPr>
            <w:tcW w:w="1900" w:type="dxa"/>
            <w:vMerge/>
            <w:shd w:val="clear" w:color="auto" w:fill="4472C4"/>
            <w:vAlign w:val="center"/>
          </w:tcPr>
          <w:p w14:paraId="24A9AE67" w14:textId="77777777" w:rsidR="00990B14" w:rsidRDefault="00990B14">
            <w:pPr>
              <w:spacing w:before="20" w:after="20"/>
            </w:pPr>
          </w:p>
        </w:tc>
        <w:tc>
          <w:tcPr>
            <w:tcW w:w="5628" w:type="dxa"/>
            <w:gridSpan w:val="3"/>
            <w:shd w:val="clear" w:color="auto" w:fill="D9E2F3"/>
            <w:vAlign w:val="center"/>
          </w:tcPr>
          <w:p w14:paraId="1C946BA1" w14:textId="77777777" w:rsidR="00990B14" w:rsidRDefault="00000000">
            <w:pPr>
              <w:keepNext/>
              <w:spacing w:before="20" w:after="20"/>
              <w:jc w:val="both"/>
            </w:pPr>
            <w:r>
              <w:rPr>
                <w:b/>
                <w:bCs/>
                <w:i/>
                <w:iCs/>
                <w:sz w:val="18"/>
                <w:szCs w:val="18"/>
              </w:rPr>
              <w:t xml:space="preserve">Producto 24: </w:t>
            </w:r>
            <w:r>
              <w:rPr>
                <w:sz w:val="18"/>
                <w:szCs w:val="18"/>
              </w:rPr>
              <w:t>Hoja de cálculo con el VEIT y evaluación de escenarios</w:t>
            </w:r>
          </w:p>
        </w:tc>
        <w:tc>
          <w:tcPr>
            <w:tcW w:w="1877" w:type="dxa"/>
            <w:shd w:val="clear" w:color="auto" w:fill="D9E2F3"/>
            <w:vAlign w:val="center"/>
          </w:tcPr>
          <w:p w14:paraId="04F1BA89" w14:textId="77777777" w:rsidR="00990B14" w:rsidRDefault="00000000">
            <w:pPr>
              <w:spacing w:before="20" w:after="20"/>
              <w:jc w:val="center"/>
            </w:pPr>
            <w:r>
              <w:rPr>
                <w:b/>
                <w:bCs/>
                <w:sz w:val="18"/>
                <w:szCs w:val="18"/>
              </w:rPr>
              <w:t>4%</w:t>
            </w:r>
          </w:p>
        </w:tc>
      </w:tr>
      <w:tr w:rsidR="00990B14" w14:paraId="7FAD4DE6" w14:textId="77777777">
        <w:trPr>
          <w:cantSplit/>
          <w:jc w:val="center"/>
        </w:trPr>
        <w:tc>
          <w:tcPr>
            <w:tcW w:w="1900" w:type="dxa"/>
            <w:vMerge/>
            <w:shd w:val="clear" w:color="auto" w:fill="4472C4"/>
            <w:vAlign w:val="center"/>
          </w:tcPr>
          <w:p w14:paraId="03CB32C5" w14:textId="77777777" w:rsidR="00990B14" w:rsidRDefault="00990B14">
            <w:pPr>
              <w:spacing w:before="20" w:after="20"/>
            </w:pPr>
          </w:p>
        </w:tc>
        <w:tc>
          <w:tcPr>
            <w:tcW w:w="1876" w:type="dxa"/>
            <w:shd w:val="clear" w:color="auto" w:fill="4472C4"/>
            <w:vAlign w:val="center"/>
          </w:tcPr>
          <w:p w14:paraId="256756E8"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087DC39F"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5BC66D39"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665901F7" w14:textId="77777777" w:rsidR="00990B14" w:rsidRDefault="00000000">
            <w:pPr>
              <w:keepNext/>
              <w:spacing w:before="20" w:after="20"/>
              <w:jc w:val="center"/>
            </w:pPr>
            <w:r>
              <w:rPr>
                <w:b/>
                <w:bCs/>
                <w:i/>
                <w:iCs/>
                <w:color w:val="FFFFFF"/>
                <w:sz w:val="18"/>
                <w:szCs w:val="18"/>
              </w:rPr>
              <w:t>Destacado (81–100)</w:t>
            </w:r>
          </w:p>
        </w:tc>
      </w:tr>
      <w:tr w:rsidR="00990B14" w14:paraId="3418085B" w14:textId="77777777">
        <w:trPr>
          <w:cantSplit/>
          <w:jc w:val="center"/>
        </w:trPr>
        <w:tc>
          <w:tcPr>
            <w:tcW w:w="1900" w:type="dxa"/>
            <w:vMerge/>
            <w:shd w:val="clear" w:color="auto" w:fill="4472C4"/>
            <w:vAlign w:val="center"/>
          </w:tcPr>
          <w:p w14:paraId="36926359" w14:textId="77777777" w:rsidR="00990B14" w:rsidRDefault="00990B14">
            <w:pPr>
              <w:spacing w:before="20" w:after="20"/>
            </w:pPr>
          </w:p>
        </w:tc>
        <w:tc>
          <w:tcPr>
            <w:tcW w:w="1876" w:type="dxa"/>
            <w:shd w:val="clear" w:color="auto" w:fill="D9E2F3"/>
            <w:vAlign w:val="center"/>
          </w:tcPr>
          <w:p w14:paraId="28FA0B4D" w14:textId="77777777" w:rsidR="00990B14" w:rsidRDefault="00000000">
            <w:pPr>
              <w:spacing w:before="20" w:after="20"/>
              <w:jc w:val="both"/>
            </w:pPr>
            <w:r>
              <w:rPr>
                <w:sz w:val="18"/>
                <w:szCs w:val="18"/>
              </w:rPr>
              <w:t>Uso de herramientas</w:t>
            </w:r>
          </w:p>
        </w:tc>
        <w:tc>
          <w:tcPr>
            <w:tcW w:w="1876" w:type="dxa"/>
            <w:shd w:val="clear" w:color="auto" w:fill="D9E2F3"/>
            <w:vAlign w:val="center"/>
          </w:tcPr>
          <w:p w14:paraId="1B9044C5" w14:textId="77777777" w:rsidR="00990B14" w:rsidRDefault="00000000">
            <w:pPr>
              <w:spacing w:before="20" w:after="20"/>
              <w:jc w:val="both"/>
            </w:pPr>
            <w:r>
              <w:rPr>
                <w:sz w:val="18"/>
                <w:szCs w:val="18"/>
              </w:rPr>
              <w:t>Realiza los cálculos manualmente sin usar las funciones de la hoja.</w:t>
            </w:r>
          </w:p>
        </w:tc>
        <w:tc>
          <w:tcPr>
            <w:tcW w:w="1876" w:type="dxa"/>
            <w:shd w:val="clear" w:color="auto" w:fill="D9E2F3"/>
            <w:vAlign w:val="center"/>
          </w:tcPr>
          <w:p w14:paraId="08AAEB19" w14:textId="77777777" w:rsidR="00990B14" w:rsidRDefault="00000000">
            <w:pPr>
              <w:spacing w:before="20" w:after="20"/>
              <w:jc w:val="both"/>
            </w:pPr>
            <w:r>
              <w:rPr>
                <w:sz w:val="18"/>
                <w:szCs w:val="18"/>
              </w:rPr>
              <w:t>Aplica fórmulas de la hoja para estructurar las alternativas y calcular el VEIP.</w:t>
            </w:r>
          </w:p>
        </w:tc>
        <w:tc>
          <w:tcPr>
            <w:tcW w:w="1877" w:type="dxa"/>
            <w:shd w:val="clear" w:color="auto" w:fill="D9E2F3"/>
            <w:vAlign w:val="center"/>
          </w:tcPr>
          <w:p w14:paraId="2009D408" w14:textId="77777777" w:rsidR="00990B14" w:rsidRDefault="00000000">
            <w:pPr>
              <w:spacing w:before="20" w:after="20"/>
              <w:jc w:val="both"/>
            </w:pPr>
            <w:r>
              <w:rPr>
                <w:sz w:val="18"/>
                <w:szCs w:val="18"/>
              </w:rPr>
              <w:t>Automatiza la hoja para actualizar los resultados si cambian los datos del mercado.</w:t>
            </w:r>
          </w:p>
        </w:tc>
      </w:tr>
      <w:tr w:rsidR="00990B14" w14:paraId="5DF1A978" w14:textId="77777777">
        <w:trPr>
          <w:cantSplit/>
          <w:jc w:val="center"/>
        </w:trPr>
        <w:tc>
          <w:tcPr>
            <w:tcW w:w="1900" w:type="dxa"/>
            <w:vMerge/>
            <w:shd w:val="clear" w:color="auto" w:fill="4472C4"/>
            <w:vAlign w:val="center"/>
          </w:tcPr>
          <w:p w14:paraId="19054F8C" w14:textId="77777777" w:rsidR="00990B14" w:rsidRDefault="00990B14">
            <w:pPr>
              <w:spacing w:before="20" w:after="20"/>
            </w:pPr>
          </w:p>
        </w:tc>
        <w:tc>
          <w:tcPr>
            <w:tcW w:w="1876" w:type="dxa"/>
            <w:shd w:val="clear" w:color="auto" w:fill="D9E2F3"/>
            <w:vAlign w:val="center"/>
          </w:tcPr>
          <w:p w14:paraId="7BC96215" w14:textId="77777777" w:rsidR="00990B14" w:rsidRDefault="00000000">
            <w:pPr>
              <w:spacing w:before="20" w:after="20"/>
              <w:jc w:val="both"/>
            </w:pPr>
            <w:r>
              <w:rPr>
                <w:sz w:val="18"/>
                <w:szCs w:val="18"/>
              </w:rPr>
              <w:t>Exactitud</w:t>
            </w:r>
          </w:p>
        </w:tc>
        <w:tc>
          <w:tcPr>
            <w:tcW w:w="1876" w:type="dxa"/>
            <w:shd w:val="clear" w:color="auto" w:fill="D9E2F3"/>
            <w:vAlign w:val="center"/>
          </w:tcPr>
          <w:p w14:paraId="77C4B09E" w14:textId="77777777" w:rsidR="00990B14" w:rsidRDefault="00000000">
            <w:pPr>
              <w:spacing w:before="20" w:after="20"/>
              <w:jc w:val="both"/>
            </w:pPr>
            <w:r>
              <w:rPr>
                <w:sz w:val="18"/>
                <w:szCs w:val="18"/>
              </w:rPr>
              <w:t>El cálculo del valor de la información o de las ramas de decisión es erróneo.</w:t>
            </w:r>
          </w:p>
        </w:tc>
        <w:tc>
          <w:tcPr>
            <w:tcW w:w="1876" w:type="dxa"/>
            <w:shd w:val="clear" w:color="auto" w:fill="D9E2F3"/>
            <w:vAlign w:val="center"/>
          </w:tcPr>
          <w:p w14:paraId="4FB89A4E" w14:textId="77777777" w:rsidR="00990B14" w:rsidRDefault="00000000">
            <w:pPr>
              <w:spacing w:before="20" w:after="20"/>
              <w:jc w:val="both"/>
            </w:pPr>
            <w:r>
              <w:rPr>
                <w:sz w:val="18"/>
                <w:szCs w:val="18"/>
              </w:rPr>
              <w:t>Calcula correctamente el valor esperado con información perfecta y adicional.</w:t>
            </w:r>
          </w:p>
        </w:tc>
        <w:tc>
          <w:tcPr>
            <w:tcW w:w="1877" w:type="dxa"/>
            <w:shd w:val="clear" w:color="auto" w:fill="D9E2F3"/>
            <w:vAlign w:val="center"/>
          </w:tcPr>
          <w:p w14:paraId="78047461" w14:textId="77777777" w:rsidR="00990B14" w:rsidRDefault="00000000">
            <w:pPr>
              <w:spacing w:before="20" w:after="20"/>
              <w:jc w:val="both"/>
            </w:pPr>
            <w:r>
              <w:rPr>
                <w:sz w:val="18"/>
                <w:szCs w:val="18"/>
              </w:rPr>
              <w:t>Ejecuta un análisis de sensibilidad del modelo si varían los supuestos iniciales.</w:t>
            </w:r>
          </w:p>
        </w:tc>
      </w:tr>
      <w:tr w:rsidR="00990B14" w14:paraId="728E85E8" w14:textId="77777777">
        <w:trPr>
          <w:cantSplit/>
          <w:jc w:val="center"/>
        </w:trPr>
        <w:tc>
          <w:tcPr>
            <w:tcW w:w="1900" w:type="dxa"/>
            <w:vMerge/>
            <w:shd w:val="clear" w:color="auto" w:fill="4472C4"/>
            <w:vAlign w:val="center"/>
          </w:tcPr>
          <w:p w14:paraId="1AFF40BB" w14:textId="77777777" w:rsidR="00990B14" w:rsidRDefault="00990B14">
            <w:pPr>
              <w:spacing w:before="20" w:after="20"/>
            </w:pPr>
          </w:p>
        </w:tc>
        <w:tc>
          <w:tcPr>
            <w:tcW w:w="1876" w:type="dxa"/>
            <w:shd w:val="clear" w:color="auto" w:fill="D9E2F3"/>
            <w:vAlign w:val="center"/>
          </w:tcPr>
          <w:p w14:paraId="4D62FB22" w14:textId="77777777" w:rsidR="00990B14" w:rsidRDefault="00000000">
            <w:pPr>
              <w:spacing w:before="20" w:after="20"/>
              <w:jc w:val="both"/>
            </w:pPr>
            <w:r>
              <w:rPr>
                <w:sz w:val="18"/>
                <w:szCs w:val="18"/>
              </w:rPr>
              <w:t>Presentación</w:t>
            </w:r>
          </w:p>
        </w:tc>
        <w:tc>
          <w:tcPr>
            <w:tcW w:w="1876" w:type="dxa"/>
            <w:shd w:val="clear" w:color="auto" w:fill="D9E2F3"/>
            <w:vAlign w:val="center"/>
          </w:tcPr>
          <w:p w14:paraId="69491FD7" w14:textId="77777777" w:rsidR="00990B14" w:rsidRDefault="00000000">
            <w:pPr>
              <w:spacing w:before="20" w:after="20"/>
              <w:jc w:val="both"/>
            </w:pPr>
            <w:r>
              <w:rPr>
                <w:sz w:val="18"/>
                <w:szCs w:val="18"/>
              </w:rPr>
              <w:t>El documento carece de orden o formato.</w:t>
            </w:r>
          </w:p>
        </w:tc>
        <w:tc>
          <w:tcPr>
            <w:tcW w:w="1876" w:type="dxa"/>
            <w:shd w:val="clear" w:color="auto" w:fill="D9E2F3"/>
            <w:vAlign w:val="center"/>
          </w:tcPr>
          <w:p w14:paraId="355768CD" w14:textId="77777777" w:rsidR="00990B14" w:rsidRDefault="00000000">
            <w:pPr>
              <w:spacing w:before="20" w:after="20"/>
              <w:jc w:val="both"/>
            </w:pPr>
            <w:r>
              <w:rPr>
                <w:sz w:val="18"/>
                <w:szCs w:val="18"/>
              </w:rPr>
              <w:t>La hoja de cálculo es clara y está bien rotulada.</w:t>
            </w:r>
          </w:p>
        </w:tc>
        <w:tc>
          <w:tcPr>
            <w:tcW w:w="1877" w:type="dxa"/>
            <w:shd w:val="clear" w:color="auto" w:fill="D9E2F3"/>
            <w:vAlign w:val="center"/>
          </w:tcPr>
          <w:p w14:paraId="755C5750" w14:textId="77777777" w:rsidR="00990B14" w:rsidRDefault="00000000">
            <w:pPr>
              <w:spacing w:before="20" w:after="20"/>
              <w:jc w:val="both"/>
            </w:pPr>
            <w:r>
              <w:rPr>
                <w:sz w:val="18"/>
                <w:szCs w:val="18"/>
              </w:rPr>
              <w:t>Organiza los datos y los cálculos facilitando su revisión en futuras auditorías.</w:t>
            </w:r>
          </w:p>
        </w:tc>
      </w:tr>
      <w:tr w:rsidR="00990B14" w14:paraId="2D72E742" w14:textId="77777777">
        <w:trPr>
          <w:cantSplit/>
          <w:jc w:val="center"/>
        </w:trPr>
        <w:tc>
          <w:tcPr>
            <w:tcW w:w="1900" w:type="dxa"/>
            <w:vMerge/>
            <w:shd w:val="clear" w:color="auto" w:fill="4472C4"/>
            <w:vAlign w:val="center"/>
          </w:tcPr>
          <w:p w14:paraId="60B3FA35" w14:textId="77777777" w:rsidR="00990B14" w:rsidRDefault="00990B14">
            <w:pPr>
              <w:spacing w:before="20" w:after="20"/>
            </w:pPr>
          </w:p>
        </w:tc>
        <w:tc>
          <w:tcPr>
            <w:tcW w:w="5628" w:type="dxa"/>
            <w:gridSpan w:val="3"/>
            <w:shd w:val="clear" w:color="auto" w:fill="D9E2F3"/>
            <w:vAlign w:val="center"/>
          </w:tcPr>
          <w:p w14:paraId="7392B6DE" w14:textId="77777777" w:rsidR="00990B14" w:rsidRDefault="00000000">
            <w:pPr>
              <w:keepNext/>
              <w:spacing w:before="20" w:after="20"/>
              <w:jc w:val="both"/>
            </w:pPr>
            <w:r>
              <w:rPr>
                <w:b/>
                <w:bCs/>
                <w:i/>
                <w:iCs/>
                <w:sz w:val="18"/>
                <w:szCs w:val="18"/>
              </w:rPr>
              <w:t xml:space="preserve">Producto 25: </w:t>
            </w:r>
            <w:r>
              <w:rPr>
                <w:sz w:val="18"/>
                <w:szCs w:val="18"/>
              </w:rPr>
              <w:t>Práctico de secuenciación con reglas de prioridad</w:t>
            </w:r>
          </w:p>
        </w:tc>
        <w:tc>
          <w:tcPr>
            <w:tcW w:w="1877" w:type="dxa"/>
            <w:shd w:val="clear" w:color="auto" w:fill="D9E2F3"/>
            <w:vAlign w:val="center"/>
          </w:tcPr>
          <w:p w14:paraId="5E7E46E7" w14:textId="77777777" w:rsidR="00990B14" w:rsidRDefault="00000000">
            <w:pPr>
              <w:spacing w:before="20" w:after="20"/>
              <w:jc w:val="center"/>
            </w:pPr>
            <w:r>
              <w:rPr>
                <w:b/>
                <w:bCs/>
                <w:sz w:val="18"/>
                <w:szCs w:val="18"/>
              </w:rPr>
              <w:t>5%</w:t>
            </w:r>
          </w:p>
        </w:tc>
      </w:tr>
      <w:tr w:rsidR="00990B14" w14:paraId="0A221B49" w14:textId="77777777">
        <w:trPr>
          <w:cantSplit/>
          <w:jc w:val="center"/>
        </w:trPr>
        <w:tc>
          <w:tcPr>
            <w:tcW w:w="1900" w:type="dxa"/>
            <w:vMerge/>
            <w:shd w:val="clear" w:color="auto" w:fill="4472C4"/>
            <w:vAlign w:val="center"/>
          </w:tcPr>
          <w:p w14:paraId="2C1E9290" w14:textId="77777777" w:rsidR="00990B14" w:rsidRDefault="00990B14">
            <w:pPr>
              <w:spacing w:before="20" w:after="20"/>
            </w:pPr>
          </w:p>
        </w:tc>
        <w:tc>
          <w:tcPr>
            <w:tcW w:w="1876" w:type="dxa"/>
            <w:shd w:val="clear" w:color="auto" w:fill="4472C4"/>
            <w:vAlign w:val="center"/>
          </w:tcPr>
          <w:p w14:paraId="2BE97202"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35C78C72"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4363C376"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654E5BBC" w14:textId="77777777" w:rsidR="00990B14" w:rsidRDefault="00000000">
            <w:pPr>
              <w:keepNext/>
              <w:spacing w:before="20" w:after="20"/>
              <w:jc w:val="center"/>
            </w:pPr>
            <w:r>
              <w:rPr>
                <w:b/>
                <w:bCs/>
                <w:i/>
                <w:iCs/>
                <w:color w:val="FFFFFF"/>
                <w:sz w:val="18"/>
                <w:szCs w:val="18"/>
              </w:rPr>
              <w:t>Destacado (81–100)</w:t>
            </w:r>
          </w:p>
        </w:tc>
      </w:tr>
      <w:tr w:rsidR="00990B14" w14:paraId="26281555" w14:textId="77777777">
        <w:trPr>
          <w:cantSplit/>
          <w:jc w:val="center"/>
        </w:trPr>
        <w:tc>
          <w:tcPr>
            <w:tcW w:w="1900" w:type="dxa"/>
            <w:vMerge/>
            <w:shd w:val="clear" w:color="auto" w:fill="4472C4"/>
            <w:vAlign w:val="center"/>
          </w:tcPr>
          <w:p w14:paraId="597D66C8" w14:textId="77777777" w:rsidR="00990B14" w:rsidRDefault="00990B14">
            <w:pPr>
              <w:spacing w:before="20" w:after="20"/>
            </w:pPr>
          </w:p>
        </w:tc>
        <w:tc>
          <w:tcPr>
            <w:tcW w:w="1876" w:type="dxa"/>
            <w:shd w:val="clear" w:color="auto" w:fill="D9E2F3"/>
            <w:vAlign w:val="center"/>
          </w:tcPr>
          <w:p w14:paraId="3ADCE764" w14:textId="77777777" w:rsidR="00990B14" w:rsidRDefault="00000000">
            <w:pPr>
              <w:spacing w:before="20" w:after="20"/>
              <w:jc w:val="both"/>
            </w:pPr>
            <w:r>
              <w:rPr>
                <w:sz w:val="18"/>
                <w:szCs w:val="18"/>
              </w:rPr>
              <w:t>Aplicación de reglas</w:t>
            </w:r>
          </w:p>
        </w:tc>
        <w:tc>
          <w:tcPr>
            <w:tcW w:w="1876" w:type="dxa"/>
            <w:shd w:val="clear" w:color="auto" w:fill="D9E2F3"/>
            <w:vAlign w:val="center"/>
          </w:tcPr>
          <w:p w14:paraId="47A5ADE9" w14:textId="77777777" w:rsidR="00990B14" w:rsidRDefault="00000000">
            <w:pPr>
              <w:spacing w:before="20" w:after="20"/>
              <w:jc w:val="both"/>
            </w:pPr>
            <w:r>
              <w:rPr>
                <w:sz w:val="18"/>
                <w:szCs w:val="18"/>
              </w:rPr>
              <w:t>Ordena mal los trabajos en la estación.</w:t>
            </w:r>
          </w:p>
        </w:tc>
        <w:tc>
          <w:tcPr>
            <w:tcW w:w="1876" w:type="dxa"/>
            <w:shd w:val="clear" w:color="auto" w:fill="D9E2F3"/>
            <w:vAlign w:val="center"/>
          </w:tcPr>
          <w:p w14:paraId="3A0DA188" w14:textId="77777777" w:rsidR="00990B14" w:rsidRDefault="00000000">
            <w:pPr>
              <w:spacing w:before="20" w:after="20"/>
              <w:jc w:val="both"/>
            </w:pPr>
            <w:r>
              <w:rPr>
                <w:sz w:val="18"/>
                <w:szCs w:val="18"/>
              </w:rPr>
              <w:t>Aplica correctamente las reglas principales de prioridad.</w:t>
            </w:r>
          </w:p>
        </w:tc>
        <w:tc>
          <w:tcPr>
            <w:tcW w:w="1877" w:type="dxa"/>
            <w:shd w:val="clear" w:color="auto" w:fill="D9E2F3"/>
            <w:vAlign w:val="center"/>
          </w:tcPr>
          <w:p w14:paraId="37FAA8BC" w14:textId="77777777" w:rsidR="00990B14" w:rsidRDefault="00000000">
            <w:pPr>
              <w:spacing w:before="20" w:after="20"/>
              <w:jc w:val="both"/>
            </w:pPr>
            <w:r>
              <w:rPr>
                <w:sz w:val="18"/>
                <w:szCs w:val="18"/>
              </w:rPr>
              <w:t>Incluye cálculos precisos con la regla de la razón crítica.</w:t>
            </w:r>
          </w:p>
        </w:tc>
      </w:tr>
      <w:tr w:rsidR="00990B14" w14:paraId="46C2A296" w14:textId="77777777">
        <w:trPr>
          <w:cantSplit/>
          <w:jc w:val="center"/>
        </w:trPr>
        <w:tc>
          <w:tcPr>
            <w:tcW w:w="1900" w:type="dxa"/>
            <w:vMerge/>
            <w:shd w:val="clear" w:color="auto" w:fill="4472C4"/>
            <w:vAlign w:val="center"/>
          </w:tcPr>
          <w:p w14:paraId="6AC719F8" w14:textId="77777777" w:rsidR="00990B14" w:rsidRDefault="00990B14">
            <w:pPr>
              <w:spacing w:before="20" w:after="20"/>
            </w:pPr>
          </w:p>
        </w:tc>
        <w:tc>
          <w:tcPr>
            <w:tcW w:w="1876" w:type="dxa"/>
            <w:shd w:val="clear" w:color="auto" w:fill="D9E2F3"/>
            <w:vAlign w:val="center"/>
          </w:tcPr>
          <w:p w14:paraId="733C32DB" w14:textId="77777777" w:rsidR="00990B14" w:rsidRDefault="00000000">
            <w:pPr>
              <w:spacing w:before="20" w:after="20"/>
              <w:jc w:val="both"/>
            </w:pPr>
            <w:r>
              <w:rPr>
                <w:sz w:val="18"/>
                <w:szCs w:val="18"/>
              </w:rPr>
              <w:t>Medidas de desempeño</w:t>
            </w:r>
          </w:p>
        </w:tc>
        <w:tc>
          <w:tcPr>
            <w:tcW w:w="1876" w:type="dxa"/>
            <w:shd w:val="clear" w:color="auto" w:fill="D9E2F3"/>
            <w:vAlign w:val="center"/>
          </w:tcPr>
          <w:p w14:paraId="6777EDD2" w14:textId="77777777" w:rsidR="00990B14" w:rsidRDefault="00000000">
            <w:pPr>
              <w:spacing w:before="20" w:after="20"/>
              <w:jc w:val="both"/>
            </w:pPr>
            <w:r>
              <w:rPr>
                <w:sz w:val="18"/>
                <w:szCs w:val="18"/>
              </w:rPr>
              <w:t>Comete errores en el cálculo de flujo o retraso.</w:t>
            </w:r>
          </w:p>
        </w:tc>
        <w:tc>
          <w:tcPr>
            <w:tcW w:w="1876" w:type="dxa"/>
            <w:shd w:val="clear" w:color="auto" w:fill="D9E2F3"/>
            <w:vAlign w:val="center"/>
          </w:tcPr>
          <w:p w14:paraId="7EEB91A3" w14:textId="77777777" w:rsidR="00990B14" w:rsidRDefault="00000000">
            <w:pPr>
              <w:spacing w:before="20" w:after="20"/>
              <w:jc w:val="both"/>
            </w:pPr>
            <w:r>
              <w:rPr>
                <w:sz w:val="18"/>
                <w:szCs w:val="18"/>
              </w:rPr>
              <w:t>Calcula el flujo total, retraso promedio y utilización.</w:t>
            </w:r>
          </w:p>
        </w:tc>
        <w:tc>
          <w:tcPr>
            <w:tcW w:w="1877" w:type="dxa"/>
            <w:shd w:val="clear" w:color="auto" w:fill="D9E2F3"/>
            <w:vAlign w:val="center"/>
          </w:tcPr>
          <w:p w14:paraId="2E3F2030" w14:textId="77777777" w:rsidR="00990B14" w:rsidRDefault="00000000">
            <w:pPr>
              <w:spacing w:before="20" w:after="20"/>
              <w:jc w:val="both"/>
            </w:pPr>
            <w:r>
              <w:rPr>
                <w:sz w:val="18"/>
                <w:szCs w:val="18"/>
              </w:rPr>
              <w:t>Explica qué regla conviene aplicar según el objetivo operativo.</w:t>
            </w:r>
          </w:p>
        </w:tc>
      </w:tr>
      <w:tr w:rsidR="00990B14" w14:paraId="0A7B606A" w14:textId="77777777">
        <w:trPr>
          <w:cantSplit/>
          <w:jc w:val="center"/>
        </w:trPr>
        <w:tc>
          <w:tcPr>
            <w:tcW w:w="1900" w:type="dxa"/>
            <w:vMerge/>
            <w:shd w:val="clear" w:color="auto" w:fill="4472C4"/>
            <w:vAlign w:val="center"/>
          </w:tcPr>
          <w:p w14:paraId="33E42378" w14:textId="77777777" w:rsidR="00990B14" w:rsidRDefault="00990B14">
            <w:pPr>
              <w:spacing w:before="20" w:after="20"/>
            </w:pPr>
          </w:p>
        </w:tc>
        <w:tc>
          <w:tcPr>
            <w:tcW w:w="1876" w:type="dxa"/>
            <w:shd w:val="clear" w:color="auto" w:fill="D9E2F3"/>
            <w:vAlign w:val="center"/>
          </w:tcPr>
          <w:p w14:paraId="5231774D" w14:textId="77777777" w:rsidR="00990B14" w:rsidRDefault="00000000">
            <w:pPr>
              <w:spacing w:before="20" w:after="20"/>
              <w:jc w:val="both"/>
            </w:pPr>
            <w:r>
              <w:rPr>
                <w:sz w:val="18"/>
                <w:szCs w:val="18"/>
              </w:rPr>
              <w:t>Presentación</w:t>
            </w:r>
          </w:p>
        </w:tc>
        <w:tc>
          <w:tcPr>
            <w:tcW w:w="1876" w:type="dxa"/>
            <w:shd w:val="clear" w:color="auto" w:fill="D9E2F3"/>
            <w:vAlign w:val="center"/>
          </w:tcPr>
          <w:p w14:paraId="4EBAB477" w14:textId="77777777" w:rsidR="00990B14" w:rsidRDefault="00000000">
            <w:pPr>
              <w:spacing w:before="20" w:after="20"/>
              <w:jc w:val="both"/>
            </w:pPr>
            <w:r>
              <w:rPr>
                <w:sz w:val="18"/>
                <w:szCs w:val="18"/>
              </w:rPr>
              <w:t>El desarrollo práctico es confuso o está incompleto.</w:t>
            </w:r>
          </w:p>
        </w:tc>
        <w:tc>
          <w:tcPr>
            <w:tcW w:w="1876" w:type="dxa"/>
            <w:shd w:val="clear" w:color="auto" w:fill="D9E2F3"/>
            <w:vAlign w:val="center"/>
          </w:tcPr>
          <w:p w14:paraId="6BAA1DDB" w14:textId="77777777" w:rsidR="00990B14" w:rsidRDefault="00000000">
            <w:pPr>
              <w:spacing w:before="20" w:after="20"/>
              <w:jc w:val="both"/>
            </w:pPr>
            <w:r>
              <w:rPr>
                <w:sz w:val="18"/>
                <w:szCs w:val="18"/>
              </w:rPr>
              <w:t>El desarrollo es claro y presenta todos los pasos.</w:t>
            </w:r>
          </w:p>
        </w:tc>
        <w:tc>
          <w:tcPr>
            <w:tcW w:w="1877" w:type="dxa"/>
            <w:shd w:val="clear" w:color="auto" w:fill="D9E2F3"/>
            <w:vAlign w:val="center"/>
          </w:tcPr>
          <w:p w14:paraId="78485896" w14:textId="77777777" w:rsidR="00990B14" w:rsidRDefault="00000000">
            <w:pPr>
              <w:spacing w:before="20" w:after="20"/>
              <w:jc w:val="both"/>
            </w:pPr>
            <w:r>
              <w:rPr>
                <w:sz w:val="18"/>
                <w:szCs w:val="18"/>
              </w:rPr>
              <w:t>Resume los resultados en un cuadro comparativo final.</w:t>
            </w:r>
          </w:p>
        </w:tc>
      </w:tr>
      <w:tr w:rsidR="00990B14" w14:paraId="6B819A2F" w14:textId="77777777">
        <w:trPr>
          <w:cantSplit/>
          <w:jc w:val="center"/>
        </w:trPr>
        <w:tc>
          <w:tcPr>
            <w:tcW w:w="1900" w:type="dxa"/>
            <w:vMerge/>
            <w:shd w:val="clear" w:color="auto" w:fill="4472C4"/>
            <w:vAlign w:val="center"/>
          </w:tcPr>
          <w:p w14:paraId="3A2E87F8" w14:textId="77777777" w:rsidR="00990B14" w:rsidRDefault="00990B14">
            <w:pPr>
              <w:spacing w:before="20" w:after="20"/>
            </w:pPr>
          </w:p>
        </w:tc>
        <w:tc>
          <w:tcPr>
            <w:tcW w:w="5628" w:type="dxa"/>
            <w:gridSpan w:val="3"/>
            <w:shd w:val="clear" w:color="auto" w:fill="D9E2F3"/>
            <w:vAlign w:val="center"/>
          </w:tcPr>
          <w:p w14:paraId="2622F72F" w14:textId="77777777" w:rsidR="00990B14" w:rsidRDefault="00000000">
            <w:pPr>
              <w:keepNext/>
              <w:spacing w:before="20" w:after="20"/>
              <w:jc w:val="both"/>
            </w:pPr>
            <w:r>
              <w:rPr>
                <w:b/>
                <w:bCs/>
                <w:i/>
                <w:iCs/>
                <w:sz w:val="18"/>
                <w:szCs w:val="18"/>
              </w:rPr>
              <w:t xml:space="preserve">Producto 26: </w:t>
            </w:r>
            <w:r>
              <w:rPr>
                <w:sz w:val="18"/>
                <w:szCs w:val="18"/>
              </w:rPr>
              <w:t>Informe comparativo de medidas de desempeño</w:t>
            </w:r>
          </w:p>
        </w:tc>
        <w:tc>
          <w:tcPr>
            <w:tcW w:w="1877" w:type="dxa"/>
            <w:shd w:val="clear" w:color="auto" w:fill="D9E2F3"/>
            <w:vAlign w:val="center"/>
          </w:tcPr>
          <w:p w14:paraId="2671817F" w14:textId="77777777" w:rsidR="00990B14" w:rsidRDefault="00000000">
            <w:pPr>
              <w:spacing w:before="20" w:after="20"/>
              <w:jc w:val="center"/>
            </w:pPr>
            <w:r>
              <w:rPr>
                <w:b/>
                <w:bCs/>
                <w:sz w:val="18"/>
                <w:szCs w:val="18"/>
              </w:rPr>
              <w:t>4%</w:t>
            </w:r>
          </w:p>
        </w:tc>
      </w:tr>
      <w:tr w:rsidR="00990B14" w14:paraId="7C601A30" w14:textId="77777777">
        <w:trPr>
          <w:cantSplit/>
          <w:jc w:val="center"/>
        </w:trPr>
        <w:tc>
          <w:tcPr>
            <w:tcW w:w="1900" w:type="dxa"/>
            <w:vMerge/>
            <w:shd w:val="clear" w:color="auto" w:fill="4472C4"/>
            <w:vAlign w:val="center"/>
          </w:tcPr>
          <w:p w14:paraId="6604EDFD" w14:textId="77777777" w:rsidR="00990B14" w:rsidRDefault="00990B14">
            <w:pPr>
              <w:spacing w:before="20" w:after="20"/>
            </w:pPr>
          </w:p>
        </w:tc>
        <w:tc>
          <w:tcPr>
            <w:tcW w:w="1876" w:type="dxa"/>
            <w:shd w:val="clear" w:color="auto" w:fill="4472C4"/>
            <w:vAlign w:val="center"/>
          </w:tcPr>
          <w:p w14:paraId="662AF8EC"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199C52CC"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1D212684"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1BCF5798" w14:textId="77777777" w:rsidR="00990B14" w:rsidRDefault="00000000">
            <w:pPr>
              <w:keepNext/>
              <w:spacing w:before="20" w:after="20"/>
              <w:jc w:val="center"/>
            </w:pPr>
            <w:r>
              <w:rPr>
                <w:b/>
                <w:bCs/>
                <w:i/>
                <w:iCs/>
                <w:color w:val="FFFFFF"/>
                <w:sz w:val="18"/>
                <w:szCs w:val="18"/>
              </w:rPr>
              <w:t>Destacado (81–100)</w:t>
            </w:r>
          </w:p>
        </w:tc>
      </w:tr>
      <w:tr w:rsidR="00990B14" w14:paraId="42FB5291" w14:textId="77777777">
        <w:trPr>
          <w:cantSplit/>
          <w:jc w:val="center"/>
        </w:trPr>
        <w:tc>
          <w:tcPr>
            <w:tcW w:w="1900" w:type="dxa"/>
            <w:vMerge/>
            <w:shd w:val="clear" w:color="auto" w:fill="4472C4"/>
            <w:vAlign w:val="center"/>
          </w:tcPr>
          <w:p w14:paraId="0DD99794" w14:textId="77777777" w:rsidR="00990B14" w:rsidRDefault="00990B14">
            <w:pPr>
              <w:spacing w:before="20" w:after="20"/>
            </w:pPr>
          </w:p>
        </w:tc>
        <w:tc>
          <w:tcPr>
            <w:tcW w:w="1876" w:type="dxa"/>
            <w:shd w:val="clear" w:color="auto" w:fill="D9E2F3"/>
            <w:vAlign w:val="center"/>
          </w:tcPr>
          <w:p w14:paraId="6F98D138" w14:textId="77777777" w:rsidR="00990B14" w:rsidRDefault="00000000">
            <w:pPr>
              <w:spacing w:before="20" w:after="20"/>
              <w:jc w:val="both"/>
            </w:pPr>
            <w:r>
              <w:rPr>
                <w:sz w:val="18"/>
                <w:szCs w:val="18"/>
              </w:rPr>
              <w:t>Análisis comparativo</w:t>
            </w:r>
          </w:p>
        </w:tc>
        <w:tc>
          <w:tcPr>
            <w:tcW w:w="1876" w:type="dxa"/>
            <w:shd w:val="clear" w:color="auto" w:fill="D9E2F3"/>
            <w:vAlign w:val="center"/>
          </w:tcPr>
          <w:p w14:paraId="549F43FC" w14:textId="77777777" w:rsidR="00990B14" w:rsidRDefault="00000000">
            <w:pPr>
              <w:spacing w:before="20" w:after="20"/>
              <w:jc w:val="both"/>
            </w:pPr>
            <w:r>
              <w:rPr>
                <w:sz w:val="18"/>
                <w:szCs w:val="18"/>
              </w:rPr>
              <w:t>Omite la comparación técnica de las secuencias.</w:t>
            </w:r>
          </w:p>
        </w:tc>
        <w:tc>
          <w:tcPr>
            <w:tcW w:w="1876" w:type="dxa"/>
            <w:shd w:val="clear" w:color="auto" w:fill="D9E2F3"/>
            <w:vAlign w:val="center"/>
          </w:tcPr>
          <w:p w14:paraId="7CFFF116" w14:textId="77777777" w:rsidR="00990B14" w:rsidRDefault="00000000">
            <w:pPr>
              <w:spacing w:before="20" w:after="20"/>
              <w:jc w:val="both"/>
            </w:pPr>
            <w:r>
              <w:rPr>
                <w:sz w:val="18"/>
                <w:szCs w:val="18"/>
              </w:rPr>
              <w:t>Compara objetivamente las secuencias según sus medidas.</w:t>
            </w:r>
          </w:p>
        </w:tc>
        <w:tc>
          <w:tcPr>
            <w:tcW w:w="1877" w:type="dxa"/>
            <w:shd w:val="clear" w:color="auto" w:fill="D9E2F3"/>
            <w:vAlign w:val="center"/>
          </w:tcPr>
          <w:p w14:paraId="01D0D155" w14:textId="77777777" w:rsidR="00990B14" w:rsidRDefault="00000000">
            <w:pPr>
              <w:spacing w:before="20" w:after="20"/>
              <w:jc w:val="both"/>
            </w:pPr>
            <w:r>
              <w:rPr>
                <w:sz w:val="18"/>
                <w:szCs w:val="18"/>
              </w:rPr>
              <w:t>Valora el impacto del retraso en el servicio al cliente.</w:t>
            </w:r>
          </w:p>
        </w:tc>
      </w:tr>
      <w:tr w:rsidR="00990B14" w14:paraId="2DB6462C" w14:textId="77777777">
        <w:trPr>
          <w:cantSplit/>
          <w:jc w:val="center"/>
        </w:trPr>
        <w:tc>
          <w:tcPr>
            <w:tcW w:w="1900" w:type="dxa"/>
            <w:vMerge/>
            <w:shd w:val="clear" w:color="auto" w:fill="4472C4"/>
            <w:vAlign w:val="center"/>
          </w:tcPr>
          <w:p w14:paraId="3E9B505B" w14:textId="77777777" w:rsidR="00990B14" w:rsidRDefault="00990B14">
            <w:pPr>
              <w:spacing w:before="20" w:after="20"/>
            </w:pPr>
          </w:p>
        </w:tc>
        <w:tc>
          <w:tcPr>
            <w:tcW w:w="1876" w:type="dxa"/>
            <w:shd w:val="clear" w:color="auto" w:fill="D9E2F3"/>
            <w:vAlign w:val="center"/>
          </w:tcPr>
          <w:p w14:paraId="67668F12" w14:textId="77777777" w:rsidR="00990B14" w:rsidRDefault="00000000">
            <w:pPr>
              <w:spacing w:before="20" w:after="20"/>
              <w:jc w:val="both"/>
            </w:pPr>
            <w:r>
              <w:rPr>
                <w:sz w:val="18"/>
                <w:szCs w:val="18"/>
              </w:rPr>
              <w:t>Redacción</w:t>
            </w:r>
          </w:p>
        </w:tc>
        <w:tc>
          <w:tcPr>
            <w:tcW w:w="1876" w:type="dxa"/>
            <w:shd w:val="clear" w:color="auto" w:fill="D9E2F3"/>
            <w:vAlign w:val="center"/>
          </w:tcPr>
          <w:p w14:paraId="648B8179" w14:textId="77777777" w:rsidR="00990B14" w:rsidRDefault="00000000">
            <w:pPr>
              <w:spacing w:before="20" w:after="20"/>
              <w:jc w:val="both"/>
            </w:pPr>
            <w:r>
              <w:rPr>
                <w:sz w:val="18"/>
                <w:szCs w:val="18"/>
              </w:rPr>
              <w:t>El documento presenta errores estructurales.</w:t>
            </w:r>
          </w:p>
        </w:tc>
        <w:tc>
          <w:tcPr>
            <w:tcW w:w="1876" w:type="dxa"/>
            <w:shd w:val="clear" w:color="auto" w:fill="D9E2F3"/>
            <w:vAlign w:val="center"/>
          </w:tcPr>
          <w:p w14:paraId="56F2FA4A" w14:textId="77777777" w:rsidR="00990B14" w:rsidRDefault="00000000">
            <w:pPr>
              <w:spacing w:before="20" w:after="20"/>
              <w:jc w:val="both"/>
            </w:pPr>
            <w:r>
              <w:rPr>
                <w:sz w:val="18"/>
                <w:szCs w:val="18"/>
              </w:rPr>
              <w:t>El informe está bien estructurado y es coherente.</w:t>
            </w:r>
          </w:p>
        </w:tc>
        <w:tc>
          <w:tcPr>
            <w:tcW w:w="1877" w:type="dxa"/>
            <w:shd w:val="clear" w:color="auto" w:fill="D9E2F3"/>
            <w:vAlign w:val="center"/>
          </w:tcPr>
          <w:p w14:paraId="4278C1F9" w14:textId="77777777" w:rsidR="00990B14" w:rsidRDefault="00000000">
            <w:pPr>
              <w:spacing w:before="20" w:after="20"/>
              <w:jc w:val="both"/>
            </w:pPr>
            <w:r>
              <w:rPr>
                <w:sz w:val="18"/>
                <w:szCs w:val="18"/>
              </w:rPr>
              <w:t>Utiliza con propiedad la terminología técnica en inglés.</w:t>
            </w:r>
          </w:p>
        </w:tc>
      </w:tr>
      <w:tr w:rsidR="00990B14" w14:paraId="20D27C5A" w14:textId="77777777">
        <w:trPr>
          <w:cantSplit/>
          <w:jc w:val="center"/>
        </w:trPr>
        <w:tc>
          <w:tcPr>
            <w:tcW w:w="1900" w:type="dxa"/>
            <w:vMerge/>
            <w:shd w:val="clear" w:color="auto" w:fill="4472C4"/>
            <w:vAlign w:val="center"/>
          </w:tcPr>
          <w:p w14:paraId="44AEE239" w14:textId="77777777" w:rsidR="00990B14" w:rsidRDefault="00990B14">
            <w:pPr>
              <w:spacing w:before="20" w:after="20"/>
            </w:pPr>
          </w:p>
        </w:tc>
        <w:tc>
          <w:tcPr>
            <w:tcW w:w="1876" w:type="dxa"/>
            <w:shd w:val="clear" w:color="auto" w:fill="D9E2F3"/>
            <w:vAlign w:val="center"/>
          </w:tcPr>
          <w:p w14:paraId="04296F31" w14:textId="77777777" w:rsidR="00990B14" w:rsidRDefault="00000000">
            <w:pPr>
              <w:spacing w:before="20" w:after="20"/>
              <w:jc w:val="both"/>
            </w:pPr>
            <w:r>
              <w:rPr>
                <w:sz w:val="18"/>
                <w:szCs w:val="18"/>
              </w:rPr>
              <w:t>Trabajo en equipo</w:t>
            </w:r>
          </w:p>
        </w:tc>
        <w:tc>
          <w:tcPr>
            <w:tcW w:w="1876" w:type="dxa"/>
            <w:shd w:val="clear" w:color="auto" w:fill="D9E2F3"/>
            <w:vAlign w:val="center"/>
          </w:tcPr>
          <w:p w14:paraId="449B4D0B" w14:textId="77777777" w:rsidR="00990B14" w:rsidRDefault="00000000">
            <w:pPr>
              <w:spacing w:before="20" w:after="20"/>
              <w:jc w:val="both"/>
            </w:pPr>
            <w:r>
              <w:rPr>
                <w:sz w:val="18"/>
                <w:szCs w:val="18"/>
              </w:rPr>
              <w:t>El análisis presentado carece de profundidad.</w:t>
            </w:r>
          </w:p>
        </w:tc>
        <w:tc>
          <w:tcPr>
            <w:tcW w:w="1876" w:type="dxa"/>
            <w:shd w:val="clear" w:color="auto" w:fill="D9E2F3"/>
            <w:vAlign w:val="center"/>
          </w:tcPr>
          <w:p w14:paraId="14E77936" w14:textId="77777777" w:rsidR="00990B14" w:rsidRDefault="00000000">
            <w:pPr>
              <w:spacing w:before="20" w:after="20"/>
              <w:jc w:val="both"/>
            </w:pPr>
            <w:r>
              <w:rPr>
                <w:sz w:val="18"/>
                <w:szCs w:val="18"/>
              </w:rPr>
              <w:t>El equipo elabora y entrega un informe completo.</w:t>
            </w:r>
          </w:p>
        </w:tc>
        <w:tc>
          <w:tcPr>
            <w:tcW w:w="1877" w:type="dxa"/>
            <w:shd w:val="clear" w:color="auto" w:fill="D9E2F3"/>
            <w:vAlign w:val="center"/>
          </w:tcPr>
          <w:p w14:paraId="0F21DAC5" w14:textId="77777777" w:rsidR="00990B14" w:rsidRDefault="00000000">
            <w:pPr>
              <w:spacing w:before="20" w:after="20"/>
              <w:jc w:val="both"/>
            </w:pPr>
            <w:r>
              <w:rPr>
                <w:sz w:val="18"/>
                <w:szCs w:val="18"/>
              </w:rPr>
              <w:t>El equipo defiende sus conclusiones con solvencia ante el curso.</w:t>
            </w:r>
          </w:p>
        </w:tc>
      </w:tr>
      <w:tr w:rsidR="00990B14" w14:paraId="7F3175EA" w14:textId="77777777">
        <w:trPr>
          <w:cantSplit/>
          <w:jc w:val="center"/>
        </w:trPr>
        <w:tc>
          <w:tcPr>
            <w:tcW w:w="1900" w:type="dxa"/>
            <w:vMerge/>
            <w:shd w:val="clear" w:color="auto" w:fill="4472C4"/>
            <w:vAlign w:val="center"/>
          </w:tcPr>
          <w:p w14:paraId="45F958CB" w14:textId="77777777" w:rsidR="00990B14" w:rsidRDefault="00990B14">
            <w:pPr>
              <w:spacing w:before="20" w:after="20"/>
            </w:pPr>
          </w:p>
        </w:tc>
        <w:tc>
          <w:tcPr>
            <w:tcW w:w="5628" w:type="dxa"/>
            <w:gridSpan w:val="3"/>
            <w:shd w:val="clear" w:color="auto" w:fill="D9E2F3"/>
            <w:vAlign w:val="center"/>
          </w:tcPr>
          <w:p w14:paraId="09D04442" w14:textId="77777777" w:rsidR="00990B14" w:rsidRDefault="00000000">
            <w:pPr>
              <w:keepNext/>
              <w:spacing w:before="20" w:after="20"/>
              <w:jc w:val="both"/>
            </w:pPr>
            <w:r>
              <w:rPr>
                <w:b/>
                <w:bCs/>
                <w:i/>
                <w:iCs/>
                <w:sz w:val="18"/>
                <w:szCs w:val="18"/>
              </w:rPr>
              <w:t xml:space="preserve">Producto 27: </w:t>
            </w:r>
            <w:r>
              <w:rPr>
                <w:sz w:val="18"/>
                <w:szCs w:val="18"/>
              </w:rPr>
              <w:t>Programa de producción resuelto con la regla de Johnson</w:t>
            </w:r>
          </w:p>
        </w:tc>
        <w:tc>
          <w:tcPr>
            <w:tcW w:w="1877" w:type="dxa"/>
            <w:shd w:val="clear" w:color="auto" w:fill="D9E2F3"/>
            <w:vAlign w:val="center"/>
          </w:tcPr>
          <w:p w14:paraId="15D749A8" w14:textId="77777777" w:rsidR="00990B14" w:rsidRDefault="00000000">
            <w:pPr>
              <w:spacing w:before="20" w:after="20"/>
              <w:jc w:val="center"/>
            </w:pPr>
            <w:r>
              <w:rPr>
                <w:b/>
                <w:bCs/>
                <w:sz w:val="18"/>
                <w:szCs w:val="18"/>
              </w:rPr>
              <w:t>4%</w:t>
            </w:r>
          </w:p>
        </w:tc>
      </w:tr>
      <w:tr w:rsidR="00990B14" w14:paraId="600DAB01" w14:textId="77777777">
        <w:trPr>
          <w:cantSplit/>
          <w:jc w:val="center"/>
        </w:trPr>
        <w:tc>
          <w:tcPr>
            <w:tcW w:w="1900" w:type="dxa"/>
            <w:vMerge/>
            <w:shd w:val="clear" w:color="auto" w:fill="4472C4"/>
            <w:vAlign w:val="center"/>
          </w:tcPr>
          <w:p w14:paraId="27858194" w14:textId="77777777" w:rsidR="00990B14" w:rsidRDefault="00990B14">
            <w:pPr>
              <w:spacing w:before="20" w:after="20"/>
            </w:pPr>
          </w:p>
        </w:tc>
        <w:tc>
          <w:tcPr>
            <w:tcW w:w="1876" w:type="dxa"/>
            <w:shd w:val="clear" w:color="auto" w:fill="4472C4"/>
            <w:vAlign w:val="center"/>
          </w:tcPr>
          <w:p w14:paraId="47C8D013"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7DE3436A"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129E2389"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57C5F325" w14:textId="77777777" w:rsidR="00990B14" w:rsidRDefault="00000000">
            <w:pPr>
              <w:keepNext/>
              <w:spacing w:before="20" w:after="20"/>
              <w:jc w:val="center"/>
            </w:pPr>
            <w:r>
              <w:rPr>
                <w:b/>
                <w:bCs/>
                <w:i/>
                <w:iCs/>
                <w:color w:val="FFFFFF"/>
                <w:sz w:val="18"/>
                <w:szCs w:val="18"/>
              </w:rPr>
              <w:t>Destacado (81–100)</w:t>
            </w:r>
          </w:p>
        </w:tc>
      </w:tr>
      <w:tr w:rsidR="00990B14" w14:paraId="4C71028B" w14:textId="77777777">
        <w:trPr>
          <w:cantSplit/>
          <w:jc w:val="center"/>
        </w:trPr>
        <w:tc>
          <w:tcPr>
            <w:tcW w:w="1900" w:type="dxa"/>
            <w:vMerge/>
            <w:shd w:val="clear" w:color="auto" w:fill="4472C4"/>
            <w:vAlign w:val="center"/>
          </w:tcPr>
          <w:p w14:paraId="07663A08" w14:textId="77777777" w:rsidR="00990B14" w:rsidRDefault="00990B14">
            <w:pPr>
              <w:spacing w:before="20" w:after="20"/>
            </w:pPr>
          </w:p>
        </w:tc>
        <w:tc>
          <w:tcPr>
            <w:tcW w:w="1876" w:type="dxa"/>
            <w:shd w:val="clear" w:color="auto" w:fill="D9E2F3"/>
            <w:vAlign w:val="center"/>
          </w:tcPr>
          <w:p w14:paraId="77CCF143" w14:textId="77777777" w:rsidR="00990B14" w:rsidRDefault="00000000">
            <w:pPr>
              <w:spacing w:before="20" w:after="20"/>
              <w:jc w:val="both"/>
            </w:pPr>
            <w:r>
              <w:rPr>
                <w:sz w:val="18"/>
                <w:szCs w:val="18"/>
              </w:rPr>
              <w:t>Algoritmo</w:t>
            </w:r>
          </w:p>
        </w:tc>
        <w:tc>
          <w:tcPr>
            <w:tcW w:w="1876" w:type="dxa"/>
            <w:shd w:val="clear" w:color="auto" w:fill="D9E2F3"/>
            <w:vAlign w:val="center"/>
          </w:tcPr>
          <w:p w14:paraId="0C508590" w14:textId="77777777" w:rsidR="00990B14" w:rsidRDefault="00000000">
            <w:pPr>
              <w:spacing w:before="20" w:after="20"/>
              <w:jc w:val="both"/>
            </w:pPr>
            <w:r>
              <w:rPr>
                <w:sz w:val="18"/>
                <w:szCs w:val="18"/>
              </w:rPr>
              <w:t>Aplica erróneamente el procedimiento de Johnson.</w:t>
            </w:r>
          </w:p>
        </w:tc>
        <w:tc>
          <w:tcPr>
            <w:tcW w:w="1876" w:type="dxa"/>
            <w:shd w:val="clear" w:color="auto" w:fill="D9E2F3"/>
            <w:vAlign w:val="center"/>
          </w:tcPr>
          <w:p w14:paraId="0820A049" w14:textId="77777777" w:rsidR="00990B14" w:rsidRDefault="00000000">
            <w:pPr>
              <w:spacing w:before="20" w:after="20"/>
              <w:jc w:val="both"/>
            </w:pPr>
            <w:r>
              <w:rPr>
                <w:sz w:val="18"/>
                <w:szCs w:val="18"/>
              </w:rPr>
              <w:t>Aplica erróneamente el procedimiento de Johnson.</w:t>
            </w:r>
          </w:p>
        </w:tc>
        <w:tc>
          <w:tcPr>
            <w:tcW w:w="1877" w:type="dxa"/>
            <w:shd w:val="clear" w:color="auto" w:fill="D9E2F3"/>
            <w:vAlign w:val="center"/>
          </w:tcPr>
          <w:p w14:paraId="66B1C21F" w14:textId="77777777" w:rsidR="00990B14" w:rsidRDefault="00000000">
            <w:pPr>
              <w:spacing w:before="20" w:after="20"/>
              <w:jc w:val="both"/>
            </w:pPr>
            <w:r>
              <w:rPr>
                <w:sz w:val="18"/>
                <w:szCs w:val="18"/>
              </w:rPr>
              <w:t>Obtener la secuencia óptima para dos maquinas</w:t>
            </w:r>
          </w:p>
        </w:tc>
      </w:tr>
      <w:tr w:rsidR="00990B14" w14:paraId="23F90F40" w14:textId="77777777">
        <w:trPr>
          <w:cantSplit/>
          <w:jc w:val="center"/>
        </w:trPr>
        <w:tc>
          <w:tcPr>
            <w:tcW w:w="1900" w:type="dxa"/>
            <w:vMerge/>
            <w:shd w:val="clear" w:color="auto" w:fill="4472C4"/>
            <w:vAlign w:val="center"/>
          </w:tcPr>
          <w:p w14:paraId="267B5BD3" w14:textId="77777777" w:rsidR="00990B14" w:rsidRDefault="00990B14">
            <w:pPr>
              <w:spacing w:before="20" w:after="20"/>
            </w:pPr>
          </w:p>
        </w:tc>
        <w:tc>
          <w:tcPr>
            <w:tcW w:w="1876" w:type="dxa"/>
            <w:shd w:val="clear" w:color="auto" w:fill="D9E2F3"/>
            <w:vAlign w:val="center"/>
          </w:tcPr>
          <w:p w14:paraId="657E7282" w14:textId="77777777" w:rsidR="00990B14" w:rsidRDefault="00000000">
            <w:pPr>
              <w:spacing w:before="20" w:after="20"/>
              <w:jc w:val="both"/>
            </w:pPr>
            <w:r>
              <w:rPr>
                <w:sz w:val="18"/>
                <w:szCs w:val="18"/>
              </w:rPr>
              <w:t>Tiempos de procesos</w:t>
            </w:r>
          </w:p>
        </w:tc>
        <w:tc>
          <w:tcPr>
            <w:tcW w:w="1876" w:type="dxa"/>
            <w:shd w:val="clear" w:color="auto" w:fill="D9E2F3"/>
            <w:vAlign w:val="center"/>
          </w:tcPr>
          <w:p w14:paraId="3EFBE2A8" w14:textId="77777777" w:rsidR="00990B14" w:rsidRDefault="00000000">
            <w:pPr>
              <w:spacing w:before="20" w:after="20"/>
              <w:jc w:val="both"/>
            </w:pPr>
            <w:r>
              <w:rPr>
                <w:sz w:val="18"/>
                <w:szCs w:val="18"/>
              </w:rPr>
              <w:t>Suma incorrectamente los tiempos de los trabajos.</w:t>
            </w:r>
          </w:p>
        </w:tc>
        <w:tc>
          <w:tcPr>
            <w:tcW w:w="1876" w:type="dxa"/>
            <w:shd w:val="clear" w:color="auto" w:fill="D9E2F3"/>
            <w:vAlign w:val="center"/>
          </w:tcPr>
          <w:p w14:paraId="6033236B" w14:textId="77777777" w:rsidR="00990B14" w:rsidRDefault="00000000">
            <w:pPr>
              <w:spacing w:before="20" w:after="20"/>
              <w:jc w:val="both"/>
            </w:pPr>
            <w:r>
              <w:rPr>
                <w:sz w:val="18"/>
                <w:szCs w:val="18"/>
              </w:rPr>
              <w:t>Suma incorrectamente los tiempos de los trabajos.</w:t>
            </w:r>
          </w:p>
        </w:tc>
        <w:tc>
          <w:tcPr>
            <w:tcW w:w="1877" w:type="dxa"/>
            <w:shd w:val="clear" w:color="auto" w:fill="D9E2F3"/>
            <w:vAlign w:val="center"/>
          </w:tcPr>
          <w:p w14:paraId="24E2984A" w14:textId="77777777" w:rsidR="00990B14" w:rsidRDefault="00000000">
            <w:pPr>
              <w:spacing w:before="20" w:after="20"/>
              <w:jc w:val="both"/>
            </w:pPr>
            <w:r>
              <w:rPr>
                <w:sz w:val="18"/>
                <w:szCs w:val="18"/>
              </w:rPr>
              <w:t>Calcula el tiempo total del procesamiento (makespan).</w:t>
            </w:r>
          </w:p>
        </w:tc>
      </w:tr>
      <w:tr w:rsidR="00990B14" w14:paraId="3CCC1DCC" w14:textId="77777777">
        <w:trPr>
          <w:cantSplit/>
          <w:jc w:val="center"/>
        </w:trPr>
        <w:tc>
          <w:tcPr>
            <w:tcW w:w="1900" w:type="dxa"/>
            <w:vMerge/>
            <w:shd w:val="clear" w:color="auto" w:fill="4472C4"/>
            <w:vAlign w:val="center"/>
          </w:tcPr>
          <w:p w14:paraId="24CABEDA" w14:textId="77777777" w:rsidR="00990B14" w:rsidRDefault="00990B14">
            <w:pPr>
              <w:spacing w:before="20" w:after="20"/>
            </w:pPr>
          </w:p>
        </w:tc>
        <w:tc>
          <w:tcPr>
            <w:tcW w:w="1876" w:type="dxa"/>
            <w:shd w:val="clear" w:color="auto" w:fill="D9E2F3"/>
            <w:vAlign w:val="center"/>
          </w:tcPr>
          <w:p w14:paraId="1108784E" w14:textId="77777777" w:rsidR="00990B14" w:rsidRDefault="00000000">
            <w:pPr>
              <w:spacing w:before="20" w:after="20"/>
              <w:jc w:val="both"/>
            </w:pPr>
            <w:r>
              <w:rPr>
                <w:sz w:val="18"/>
                <w:szCs w:val="18"/>
              </w:rPr>
              <w:t>Toma de decisiones</w:t>
            </w:r>
          </w:p>
        </w:tc>
        <w:tc>
          <w:tcPr>
            <w:tcW w:w="1876" w:type="dxa"/>
            <w:shd w:val="clear" w:color="auto" w:fill="D9E2F3"/>
            <w:vAlign w:val="center"/>
          </w:tcPr>
          <w:p w14:paraId="0CFC0A47" w14:textId="77777777" w:rsidR="00990B14" w:rsidRDefault="00000000">
            <w:pPr>
              <w:spacing w:before="20" w:after="20"/>
              <w:jc w:val="both"/>
            </w:pPr>
            <w:r>
              <w:rPr>
                <w:sz w:val="18"/>
                <w:szCs w:val="18"/>
              </w:rPr>
              <w:t>El resultado se limita a un cálculo numérico.</w:t>
            </w:r>
          </w:p>
        </w:tc>
        <w:tc>
          <w:tcPr>
            <w:tcW w:w="1876" w:type="dxa"/>
            <w:shd w:val="clear" w:color="auto" w:fill="D9E2F3"/>
            <w:vAlign w:val="center"/>
          </w:tcPr>
          <w:p w14:paraId="3C22F346" w14:textId="77777777" w:rsidR="00990B14" w:rsidRDefault="00000000">
            <w:pPr>
              <w:spacing w:before="20" w:after="20"/>
              <w:jc w:val="both"/>
            </w:pPr>
            <w:r>
              <w:rPr>
                <w:sz w:val="18"/>
                <w:szCs w:val="18"/>
              </w:rPr>
              <w:t>Elige la secuencia operativa más eficiente.</w:t>
            </w:r>
          </w:p>
        </w:tc>
        <w:tc>
          <w:tcPr>
            <w:tcW w:w="1877" w:type="dxa"/>
            <w:shd w:val="clear" w:color="auto" w:fill="D9E2F3"/>
            <w:vAlign w:val="center"/>
          </w:tcPr>
          <w:p w14:paraId="23DBA816" w14:textId="77777777" w:rsidR="00990B14" w:rsidRDefault="00000000">
            <w:pPr>
              <w:spacing w:before="20" w:after="20"/>
              <w:jc w:val="both"/>
            </w:pPr>
            <w:r>
              <w:rPr>
                <w:sz w:val="18"/>
                <w:szCs w:val="18"/>
              </w:rPr>
              <w:t>Proponer acciones para mitigar la inactividad en las máquinas.</w:t>
            </w:r>
          </w:p>
        </w:tc>
      </w:tr>
      <w:tr w:rsidR="00990B14" w14:paraId="7C254392" w14:textId="77777777">
        <w:trPr>
          <w:cantSplit/>
          <w:jc w:val="center"/>
        </w:trPr>
        <w:tc>
          <w:tcPr>
            <w:tcW w:w="1900" w:type="dxa"/>
            <w:vMerge/>
            <w:shd w:val="clear" w:color="auto" w:fill="4472C4"/>
            <w:vAlign w:val="center"/>
          </w:tcPr>
          <w:p w14:paraId="7D9FF1B9" w14:textId="77777777" w:rsidR="00990B14" w:rsidRDefault="00990B14">
            <w:pPr>
              <w:spacing w:before="20" w:after="20"/>
            </w:pPr>
          </w:p>
        </w:tc>
        <w:tc>
          <w:tcPr>
            <w:tcW w:w="5628" w:type="dxa"/>
            <w:gridSpan w:val="3"/>
            <w:shd w:val="clear" w:color="auto" w:fill="D9E2F3"/>
            <w:vAlign w:val="center"/>
          </w:tcPr>
          <w:p w14:paraId="7C094582" w14:textId="77777777" w:rsidR="00990B14" w:rsidRDefault="00000000">
            <w:pPr>
              <w:keepNext/>
              <w:spacing w:before="20" w:after="20"/>
              <w:jc w:val="both"/>
            </w:pPr>
            <w:r>
              <w:rPr>
                <w:b/>
                <w:bCs/>
                <w:i/>
                <w:iCs/>
                <w:sz w:val="18"/>
                <w:szCs w:val="18"/>
              </w:rPr>
              <w:t xml:space="preserve">Producto 28: </w:t>
            </w:r>
            <w:r>
              <w:rPr>
                <w:sz w:val="18"/>
                <w:szCs w:val="18"/>
              </w:rPr>
              <w:t>Diagrama de Gantt de programación de operaciones</w:t>
            </w:r>
          </w:p>
        </w:tc>
        <w:tc>
          <w:tcPr>
            <w:tcW w:w="1877" w:type="dxa"/>
            <w:shd w:val="clear" w:color="auto" w:fill="D9E2F3"/>
            <w:vAlign w:val="center"/>
          </w:tcPr>
          <w:p w14:paraId="0ABC7D72" w14:textId="77777777" w:rsidR="00990B14" w:rsidRDefault="00000000">
            <w:pPr>
              <w:spacing w:before="20" w:after="20"/>
              <w:jc w:val="center"/>
            </w:pPr>
            <w:r>
              <w:rPr>
                <w:b/>
                <w:bCs/>
                <w:sz w:val="18"/>
                <w:szCs w:val="18"/>
              </w:rPr>
              <w:t>4%</w:t>
            </w:r>
          </w:p>
        </w:tc>
      </w:tr>
      <w:tr w:rsidR="00990B14" w14:paraId="23D4FAB4" w14:textId="77777777">
        <w:trPr>
          <w:cantSplit/>
          <w:jc w:val="center"/>
        </w:trPr>
        <w:tc>
          <w:tcPr>
            <w:tcW w:w="1900" w:type="dxa"/>
            <w:vMerge/>
            <w:shd w:val="clear" w:color="auto" w:fill="4472C4"/>
            <w:vAlign w:val="center"/>
          </w:tcPr>
          <w:p w14:paraId="3C9E2AFB" w14:textId="77777777" w:rsidR="00990B14" w:rsidRDefault="00990B14">
            <w:pPr>
              <w:spacing w:before="20" w:after="20"/>
            </w:pPr>
          </w:p>
        </w:tc>
        <w:tc>
          <w:tcPr>
            <w:tcW w:w="1876" w:type="dxa"/>
            <w:shd w:val="clear" w:color="auto" w:fill="4472C4"/>
            <w:vAlign w:val="center"/>
          </w:tcPr>
          <w:p w14:paraId="1AE3AB3D"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2B2D04A6"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791824B3"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2E44E369" w14:textId="77777777" w:rsidR="00990B14" w:rsidRDefault="00000000">
            <w:pPr>
              <w:keepNext/>
              <w:spacing w:before="20" w:after="20"/>
              <w:jc w:val="center"/>
            </w:pPr>
            <w:r>
              <w:rPr>
                <w:b/>
                <w:bCs/>
                <w:i/>
                <w:iCs/>
                <w:color w:val="FFFFFF"/>
                <w:sz w:val="18"/>
                <w:szCs w:val="18"/>
              </w:rPr>
              <w:t>Destacado (81–100)</w:t>
            </w:r>
          </w:p>
        </w:tc>
      </w:tr>
      <w:tr w:rsidR="00990B14" w14:paraId="0552E72C" w14:textId="77777777">
        <w:trPr>
          <w:cantSplit/>
          <w:jc w:val="center"/>
        </w:trPr>
        <w:tc>
          <w:tcPr>
            <w:tcW w:w="1900" w:type="dxa"/>
            <w:vMerge/>
            <w:shd w:val="clear" w:color="auto" w:fill="4472C4"/>
            <w:vAlign w:val="center"/>
          </w:tcPr>
          <w:p w14:paraId="3CA290C6" w14:textId="77777777" w:rsidR="00990B14" w:rsidRDefault="00990B14">
            <w:pPr>
              <w:spacing w:before="20" w:after="20"/>
            </w:pPr>
          </w:p>
        </w:tc>
        <w:tc>
          <w:tcPr>
            <w:tcW w:w="1876" w:type="dxa"/>
            <w:shd w:val="clear" w:color="auto" w:fill="D9E2F3"/>
            <w:vAlign w:val="center"/>
          </w:tcPr>
          <w:p w14:paraId="4398DD69" w14:textId="77777777" w:rsidR="00990B14" w:rsidRDefault="00000000">
            <w:pPr>
              <w:spacing w:before="20" w:after="20"/>
              <w:jc w:val="both"/>
            </w:pPr>
            <w:r>
              <w:rPr>
                <w:sz w:val="18"/>
                <w:szCs w:val="18"/>
              </w:rPr>
              <w:t>Representación</w:t>
            </w:r>
          </w:p>
        </w:tc>
        <w:tc>
          <w:tcPr>
            <w:tcW w:w="1876" w:type="dxa"/>
            <w:shd w:val="clear" w:color="auto" w:fill="D9E2F3"/>
            <w:vAlign w:val="center"/>
          </w:tcPr>
          <w:p w14:paraId="5A72EB0C" w14:textId="77777777" w:rsidR="00990B14" w:rsidRDefault="00000000">
            <w:pPr>
              <w:spacing w:before="20" w:after="20"/>
              <w:jc w:val="both"/>
            </w:pPr>
            <w:r>
              <w:rPr>
                <w:sz w:val="18"/>
                <w:szCs w:val="18"/>
              </w:rPr>
              <w:t>El diagrama de bloques no respeta la secuencia hallada.</w:t>
            </w:r>
          </w:p>
        </w:tc>
        <w:tc>
          <w:tcPr>
            <w:tcW w:w="1876" w:type="dxa"/>
            <w:shd w:val="clear" w:color="auto" w:fill="D9E2F3"/>
            <w:vAlign w:val="center"/>
          </w:tcPr>
          <w:p w14:paraId="05B00667" w14:textId="77777777" w:rsidR="00990B14" w:rsidRDefault="00000000">
            <w:pPr>
              <w:spacing w:before="20" w:after="20"/>
              <w:jc w:val="both"/>
            </w:pPr>
            <w:r>
              <w:rPr>
                <w:sz w:val="18"/>
                <w:szCs w:val="18"/>
              </w:rPr>
              <w:t>Elabora el diagrama reflejando los tiempos correctos</w:t>
            </w:r>
          </w:p>
        </w:tc>
        <w:tc>
          <w:tcPr>
            <w:tcW w:w="1877" w:type="dxa"/>
            <w:shd w:val="clear" w:color="auto" w:fill="D9E2F3"/>
            <w:vAlign w:val="center"/>
          </w:tcPr>
          <w:p w14:paraId="4CF24521" w14:textId="77777777" w:rsidR="00990B14" w:rsidRDefault="00000000">
            <w:pPr>
              <w:spacing w:before="20" w:after="20"/>
              <w:jc w:val="both"/>
            </w:pPr>
            <w:r>
              <w:rPr>
                <w:sz w:val="18"/>
                <w:szCs w:val="18"/>
              </w:rPr>
              <w:t>Representa visualmente las holguras y retraso de la operación.</w:t>
            </w:r>
          </w:p>
        </w:tc>
      </w:tr>
      <w:tr w:rsidR="00990B14" w14:paraId="07AA6E44" w14:textId="77777777">
        <w:trPr>
          <w:cantSplit/>
          <w:jc w:val="center"/>
        </w:trPr>
        <w:tc>
          <w:tcPr>
            <w:tcW w:w="1900" w:type="dxa"/>
            <w:vMerge/>
            <w:shd w:val="clear" w:color="auto" w:fill="4472C4"/>
            <w:vAlign w:val="center"/>
          </w:tcPr>
          <w:p w14:paraId="587B30D7" w14:textId="77777777" w:rsidR="00990B14" w:rsidRDefault="00990B14">
            <w:pPr>
              <w:spacing w:before="20" w:after="20"/>
            </w:pPr>
          </w:p>
        </w:tc>
        <w:tc>
          <w:tcPr>
            <w:tcW w:w="1876" w:type="dxa"/>
            <w:shd w:val="clear" w:color="auto" w:fill="D9E2F3"/>
            <w:vAlign w:val="center"/>
          </w:tcPr>
          <w:p w14:paraId="090D883E" w14:textId="77777777" w:rsidR="00990B14" w:rsidRDefault="00000000">
            <w:pPr>
              <w:spacing w:before="20" w:after="20"/>
              <w:jc w:val="both"/>
            </w:pPr>
            <w:r>
              <w:rPr>
                <w:sz w:val="18"/>
                <w:szCs w:val="18"/>
              </w:rPr>
              <w:t>Uso de TIC.</w:t>
            </w:r>
          </w:p>
        </w:tc>
        <w:tc>
          <w:tcPr>
            <w:tcW w:w="1876" w:type="dxa"/>
            <w:shd w:val="clear" w:color="auto" w:fill="D9E2F3"/>
            <w:vAlign w:val="center"/>
          </w:tcPr>
          <w:p w14:paraId="673067B8" w14:textId="77777777" w:rsidR="00990B14" w:rsidRDefault="00000000">
            <w:pPr>
              <w:spacing w:before="20" w:after="20"/>
              <w:jc w:val="both"/>
            </w:pPr>
            <w:r>
              <w:rPr>
                <w:sz w:val="18"/>
                <w:szCs w:val="18"/>
              </w:rPr>
              <w:t>Dibuja el diagrama de forma manual o desprolija.</w:t>
            </w:r>
          </w:p>
        </w:tc>
        <w:tc>
          <w:tcPr>
            <w:tcW w:w="1876" w:type="dxa"/>
            <w:shd w:val="clear" w:color="auto" w:fill="D9E2F3"/>
            <w:vAlign w:val="center"/>
          </w:tcPr>
          <w:p w14:paraId="4707FCB2" w14:textId="77777777" w:rsidR="00990B14" w:rsidRDefault="00000000">
            <w:pPr>
              <w:spacing w:before="20" w:after="20"/>
              <w:jc w:val="both"/>
            </w:pPr>
            <w:r>
              <w:rPr>
                <w:sz w:val="18"/>
                <w:szCs w:val="18"/>
              </w:rPr>
              <w:t>Construye el diagrama en la hoja de cálculo u otro software</w:t>
            </w:r>
          </w:p>
        </w:tc>
        <w:tc>
          <w:tcPr>
            <w:tcW w:w="1877" w:type="dxa"/>
            <w:shd w:val="clear" w:color="auto" w:fill="D9E2F3"/>
            <w:vAlign w:val="center"/>
          </w:tcPr>
          <w:p w14:paraId="1876265D" w14:textId="77777777" w:rsidR="00990B14" w:rsidRDefault="00000000">
            <w:pPr>
              <w:spacing w:before="20" w:after="20"/>
              <w:jc w:val="both"/>
            </w:pPr>
            <w:r>
              <w:rPr>
                <w:sz w:val="18"/>
                <w:szCs w:val="18"/>
              </w:rPr>
              <w:t>El diseño permite actualizar los tiempos dinámicamente.</w:t>
            </w:r>
          </w:p>
        </w:tc>
      </w:tr>
      <w:tr w:rsidR="00990B14" w14:paraId="680F81C2" w14:textId="77777777">
        <w:trPr>
          <w:cantSplit/>
          <w:jc w:val="center"/>
        </w:trPr>
        <w:tc>
          <w:tcPr>
            <w:tcW w:w="1900" w:type="dxa"/>
            <w:vMerge/>
            <w:shd w:val="clear" w:color="auto" w:fill="4472C4"/>
            <w:vAlign w:val="center"/>
          </w:tcPr>
          <w:p w14:paraId="3054EE30" w14:textId="77777777" w:rsidR="00990B14" w:rsidRDefault="00990B14">
            <w:pPr>
              <w:spacing w:before="20" w:after="20"/>
            </w:pPr>
          </w:p>
        </w:tc>
        <w:tc>
          <w:tcPr>
            <w:tcW w:w="1876" w:type="dxa"/>
            <w:shd w:val="clear" w:color="auto" w:fill="D9E2F3"/>
            <w:vAlign w:val="center"/>
          </w:tcPr>
          <w:p w14:paraId="454265DA" w14:textId="77777777" w:rsidR="00990B14" w:rsidRDefault="00000000">
            <w:pPr>
              <w:spacing w:before="20" w:after="20"/>
              <w:jc w:val="both"/>
            </w:pPr>
            <w:r>
              <w:rPr>
                <w:sz w:val="18"/>
                <w:szCs w:val="18"/>
              </w:rPr>
              <w:t>Claridad visual</w:t>
            </w:r>
          </w:p>
        </w:tc>
        <w:tc>
          <w:tcPr>
            <w:tcW w:w="1876" w:type="dxa"/>
            <w:shd w:val="clear" w:color="auto" w:fill="D9E2F3"/>
            <w:vAlign w:val="center"/>
          </w:tcPr>
          <w:p w14:paraId="1F4A41CD" w14:textId="77777777" w:rsidR="00990B14" w:rsidRDefault="00000000">
            <w:pPr>
              <w:spacing w:before="20" w:after="20"/>
              <w:jc w:val="both"/>
            </w:pPr>
            <w:r>
              <w:rPr>
                <w:sz w:val="18"/>
                <w:szCs w:val="18"/>
              </w:rPr>
              <w:t>La asignación en las máquinas es confusa.</w:t>
            </w:r>
          </w:p>
        </w:tc>
        <w:tc>
          <w:tcPr>
            <w:tcW w:w="1876" w:type="dxa"/>
            <w:shd w:val="clear" w:color="auto" w:fill="D9E2F3"/>
            <w:vAlign w:val="center"/>
          </w:tcPr>
          <w:p w14:paraId="7ECB14A2" w14:textId="77777777" w:rsidR="00990B14" w:rsidRDefault="00000000">
            <w:pPr>
              <w:spacing w:before="20" w:after="20"/>
              <w:jc w:val="both"/>
            </w:pPr>
            <w:r>
              <w:rPr>
                <w:sz w:val="18"/>
                <w:szCs w:val="18"/>
              </w:rPr>
              <w:t>Rotula correctamente los ejes por máquinas y trabajos.</w:t>
            </w:r>
          </w:p>
        </w:tc>
        <w:tc>
          <w:tcPr>
            <w:tcW w:w="1877" w:type="dxa"/>
            <w:shd w:val="clear" w:color="auto" w:fill="D9E2F3"/>
            <w:vAlign w:val="center"/>
          </w:tcPr>
          <w:p w14:paraId="4FE38FC6" w14:textId="77777777" w:rsidR="00990B14" w:rsidRDefault="00000000">
            <w:pPr>
              <w:spacing w:before="20" w:after="20"/>
              <w:jc w:val="both"/>
            </w:pPr>
            <w:r>
              <w:rPr>
                <w:sz w:val="18"/>
                <w:szCs w:val="18"/>
              </w:rPr>
              <w:t>Utiliza código de colores para diferenciar tiempos productivos e inactivos.</w:t>
            </w:r>
          </w:p>
        </w:tc>
      </w:tr>
      <w:tr w:rsidR="00990B14" w14:paraId="46F917C8" w14:textId="77777777">
        <w:trPr>
          <w:cantSplit/>
          <w:jc w:val="center"/>
        </w:trPr>
        <w:tc>
          <w:tcPr>
            <w:tcW w:w="7528" w:type="dxa"/>
            <w:gridSpan w:val="4"/>
            <w:shd w:val="clear" w:color="auto" w:fill="4472C4"/>
            <w:vAlign w:val="center"/>
          </w:tcPr>
          <w:p w14:paraId="35F1DFB8" w14:textId="77777777" w:rsidR="00990B14" w:rsidRDefault="00000000">
            <w:pPr>
              <w:keepNext/>
              <w:spacing w:before="20" w:after="20"/>
              <w:jc w:val="center"/>
            </w:pPr>
            <w:r>
              <w:rPr>
                <w:b/>
                <w:bCs/>
                <w:i/>
                <w:iCs/>
                <w:color w:val="FFFFFF"/>
                <w:sz w:val="18"/>
                <w:szCs w:val="18"/>
              </w:rPr>
              <w:t>TOTAL</w:t>
            </w:r>
          </w:p>
        </w:tc>
        <w:tc>
          <w:tcPr>
            <w:tcW w:w="1877" w:type="dxa"/>
            <w:shd w:val="clear" w:color="auto" w:fill="4472C4"/>
            <w:vAlign w:val="center"/>
          </w:tcPr>
          <w:p w14:paraId="1B20736F" w14:textId="77777777" w:rsidR="00990B14" w:rsidRDefault="00000000">
            <w:pPr>
              <w:keepNext/>
              <w:spacing w:before="20" w:after="20"/>
              <w:jc w:val="center"/>
            </w:pPr>
            <w:r>
              <w:rPr>
                <w:b/>
                <w:bCs/>
                <w:i/>
                <w:iCs/>
                <w:color w:val="FFFFFF"/>
                <w:sz w:val="18"/>
                <w:szCs w:val="18"/>
              </w:rPr>
              <w:t>100%</w:t>
            </w:r>
          </w:p>
        </w:tc>
      </w:tr>
    </w:tbl>
    <w:p w14:paraId="5D121ECF"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9405"/>
      </w:tblGrid>
      <w:tr w:rsidR="00990B14" w14:paraId="57E398EB" w14:textId="77777777">
        <w:trPr>
          <w:jc w:val="center"/>
        </w:trPr>
        <w:tc>
          <w:tcPr>
            <w:tcW w:w="9405" w:type="dxa"/>
            <w:shd w:val="clear" w:color="auto" w:fill="D9E2F3"/>
          </w:tcPr>
          <w:p w14:paraId="1B34CC29" w14:textId="77777777" w:rsidR="00990B14" w:rsidRDefault="00000000">
            <w:pPr>
              <w:spacing w:before="40" w:after="40"/>
              <w:jc w:val="both"/>
            </w:pPr>
            <w:r>
              <w:rPr>
                <w:b/>
                <w:bCs/>
                <w:i/>
                <w:iCs/>
                <w:sz w:val="18"/>
                <w:szCs w:val="18"/>
              </w:rPr>
              <w:t>Bibliografía básica:</w:t>
            </w:r>
          </w:p>
          <w:p w14:paraId="5388F605" w14:textId="77777777" w:rsidR="00990B14" w:rsidRDefault="00000000">
            <w:pPr>
              <w:numPr>
                <w:ilvl w:val="0"/>
                <w:numId w:val="140"/>
              </w:numPr>
              <w:spacing w:after="20"/>
              <w:jc w:val="both"/>
            </w:pPr>
            <w:r>
              <w:rPr>
                <w:sz w:val="18"/>
                <w:szCs w:val="18"/>
              </w:rPr>
              <w:t xml:space="preserve">Antón, H. (2009). </w:t>
            </w:r>
            <w:r>
              <w:rPr>
                <w:i/>
                <w:iCs/>
                <w:sz w:val="18"/>
                <w:szCs w:val="18"/>
              </w:rPr>
              <w:t>Introducción al Álgebra Lineal</w:t>
            </w:r>
            <w:r>
              <w:rPr>
                <w:sz w:val="18"/>
                <w:szCs w:val="18"/>
              </w:rPr>
              <w:t>. 5ta edición. México: Editorial Limusa.</w:t>
            </w:r>
          </w:p>
          <w:p w14:paraId="4852EF57" w14:textId="77777777" w:rsidR="00990B14" w:rsidRDefault="00000000">
            <w:pPr>
              <w:numPr>
                <w:ilvl w:val="0"/>
                <w:numId w:val="140"/>
              </w:numPr>
              <w:spacing w:after="20"/>
              <w:jc w:val="both"/>
            </w:pPr>
            <w:r>
              <w:rPr>
                <w:sz w:val="18"/>
                <w:szCs w:val="18"/>
              </w:rPr>
              <w:t>Decreto Supremo N.º 26390, de 8 de noviembre de 2001, que crea la Unidad de Fomento de Vivienda.</w:t>
            </w:r>
          </w:p>
          <w:p w14:paraId="30B4A80F" w14:textId="77777777" w:rsidR="00990B14" w:rsidRDefault="00000000">
            <w:pPr>
              <w:numPr>
                <w:ilvl w:val="0"/>
                <w:numId w:val="140"/>
              </w:numPr>
              <w:spacing w:after="20"/>
              <w:jc w:val="both"/>
            </w:pPr>
            <w:r w:rsidRPr="00BD34F7">
              <w:rPr>
                <w:sz w:val="18"/>
                <w:szCs w:val="18"/>
                <w:lang w:val="en-US"/>
              </w:rPr>
              <w:t xml:space="preserve">Hillier, F. S. y Lieberman, G. J. (2010). </w:t>
            </w:r>
            <w:r>
              <w:rPr>
                <w:i/>
                <w:iCs/>
                <w:sz w:val="18"/>
                <w:szCs w:val="18"/>
              </w:rPr>
              <w:t>Introducción a la investigación de operaciones</w:t>
            </w:r>
            <w:r>
              <w:rPr>
                <w:sz w:val="18"/>
                <w:szCs w:val="18"/>
              </w:rPr>
              <w:t>. 9na edición. México: McGraw-Hill.</w:t>
            </w:r>
          </w:p>
          <w:p w14:paraId="1DA01DEB" w14:textId="77777777" w:rsidR="00990B14" w:rsidRDefault="00000000">
            <w:pPr>
              <w:numPr>
                <w:ilvl w:val="0"/>
                <w:numId w:val="140"/>
              </w:numPr>
              <w:spacing w:after="20"/>
              <w:jc w:val="both"/>
            </w:pPr>
            <w:r>
              <w:rPr>
                <w:sz w:val="18"/>
                <w:szCs w:val="18"/>
              </w:rPr>
              <w:t>Ley N.º 2434, de 21 de diciembre de 2002, de Actualización y Mantenimiento de Valor.</w:t>
            </w:r>
          </w:p>
          <w:p w14:paraId="22A88B60" w14:textId="77777777" w:rsidR="00990B14" w:rsidRDefault="00000000">
            <w:pPr>
              <w:numPr>
                <w:ilvl w:val="0"/>
                <w:numId w:val="140"/>
              </w:numPr>
              <w:spacing w:after="20"/>
              <w:jc w:val="both"/>
            </w:pPr>
            <w:r>
              <w:rPr>
                <w:sz w:val="18"/>
                <w:szCs w:val="18"/>
              </w:rPr>
              <w:t xml:space="preserve">Pérez Centellas, D. J. (s.f.). </w:t>
            </w:r>
            <w:r>
              <w:rPr>
                <w:i/>
                <w:iCs/>
                <w:sz w:val="18"/>
                <w:szCs w:val="18"/>
              </w:rPr>
              <w:t>Apuntes de Álgebra Lineal y Teoría Matricial, Inecuaciones Bivariantes y Teoría Combinatoria</w:t>
            </w:r>
            <w:r>
              <w:rPr>
                <w:sz w:val="18"/>
                <w:szCs w:val="18"/>
              </w:rPr>
              <w:t>.</w:t>
            </w:r>
          </w:p>
          <w:p w14:paraId="36F7B4E5" w14:textId="77777777" w:rsidR="00990B14" w:rsidRDefault="00000000">
            <w:pPr>
              <w:numPr>
                <w:ilvl w:val="0"/>
                <w:numId w:val="140"/>
              </w:numPr>
              <w:spacing w:after="20"/>
              <w:jc w:val="both"/>
            </w:pPr>
            <w:r>
              <w:rPr>
                <w:sz w:val="18"/>
                <w:szCs w:val="18"/>
              </w:rPr>
              <w:t xml:space="preserve">Taha, H. A. (2017). </w:t>
            </w:r>
            <w:r>
              <w:rPr>
                <w:i/>
                <w:iCs/>
                <w:sz w:val="18"/>
                <w:szCs w:val="18"/>
              </w:rPr>
              <w:t>Investigación de operaciones</w:t>
            </w:r>
            <w:r>
              <w:rPr>
                <w:sz w:val="18"/>
                <w:szCs w:val="18"/>
              </w:rPr>
              <w:t>. 10.ª ed. México: Pearson Educación.</w:t>
            </w:r>
          </w:p>
        </w:tc>
      </w:tr>
      <w:tr w:rsidR="00990B14" w14:paraId="3520C8F8" w14:textId="77777777">
        <w:trPr>
          <w:jc w:val="center"/>
        </w:trPr>
        <w:tc>
          <w:tcPr>
            <w:tcW w:w="9405" w:type="dxa"/>
            <w:shd w:val="clear" w:color="auto" w:fill="D9E2F3"/>
          </w:tcPr>
          <w:p w14:paraId="516E6682" w14:textId="77777777" w:rsidR="00990B14" w:rsidRDefault="00000000">
            <w:pPr>
              <w:spacing w:before="40" w:after="40"/>
              <w:jc w:val="both"/>
            </w:pPr>
            <w:r>
              <w:rPr>
                <w:b/>
                <w:bCs/>
                <w:i/>
                <w:iCs/>
                <w:sz w:val="18"/>
                <w:szCs w:val="18"/>
              </w:rPr>
              <w:t>Bibliografía complementaria:</w:t>
            </w:r>
          </w:p>
          <w:p w14:paraId="135F5BBA" w14:textId="77777777" w:rsidR="00990B14" w:rsidRDefault="00000000">
            <w:pPr>
              <w:numPr>
                <w:ilvl w:val="0"/>
                <w:numId w:val="140"/>
              </w:numPr>
              <w:spacing w:after="20"/>
              <w:jc w:val="both"/>
            </w:pPr>
            <w:r>
              <w:rPr>
                <w:sz w:val="18"/>
                <w:szCs w:val="18"/>
              </w:rPr>
              <w:t xml:space="preserve">Arce, C., Castillo, W. y González, J. (2003). </w:t>
            </w:r>
            <w:r>
              <w:rPr>
                <w:i/>
                <w:iCs/>
                <w:sz w:val="18"/>
                <w:szCs w:val="18"/>
              </w:rPr>
              <w:t>Álgebra Lineal</w:t>
            </w:r>
            <w:r>
              <w:rPr>
                <w:sz w:val="18"/>
                <w:szCs w:val="18"/>
              </w:rPr>
              <w:t>. 3ra edición.</w:t>
            </w:r>
          </w:p>
          <w:p w14:paraId="4C4EA185" w14:textId="77777777" w:rsidR="00990B14" w:rsidRDefault="00000000">
            <w:pPr>
              <w:numPr>
                <w:ilvl w:val="0"/>
                <w:numId w:val="140"/>
              </w:numPr>
              <w:spacing w:after="20"/>
              <w:jc w:val="both"/>
            </w:pPr>
            <w:r>
              <w:rPr>
                <w:sz w:val="18"/>
                <w:szCs w:val="18"/>
              </w:rPr>
              <w:t xml:space="preserve">Barrera Mora, F. (2009). </w:t>
            </w:r>
            <w:r>
              <w:rPr>
                <w:i/>
                <w:iCs/>
                <w:sz w:val="18"/>
                <w:szCs w:val="18"/>
              </w:rPr>
              <w:t>Álgebra Lineal</w:t>
            </w:r>
            <w:r>
              <w:rPr>
                <w:sz w:val="18"/>
                <w:szCs w:val="18"/>
              </w:rPr>
              <w:t>. 1ra edición. Grupo Editorial Patria.</w:t>
            </w:r>
          </w:p>
          <w:p w14:paraId="7F9758EF" w14:textId="77777777" w:rsidR="00990B14" w:rsidRDefault="00000000">
            <w:pPr>
              <w:numPr>
                <w:ilvl w:val="0"/>
                <w:numId w:val="140"/>
              </w:numPr>
              <w:spacing w:after="20"/>
              <w:jc w:val="both"/>
            </w:pPr>
            <w:r>
              <w:rPr>
                <w:sz w:val="18"/>
                <w:szCs w:val="18"/>
              </w:rPr>
              <w:t>Código de Comercio, Decreto Ley N.º 14379, de 25 de febrero de 1977.</w:t>
            </w:r>
          </w:p>
          <w:p w14:paraId="6C3BBF0F" w14:textId="77777777" w:rsidR="00990B14" w:rsidRDefault="00000000">
            <w:pPr>
              <w:numPr>
                <w:ilvl w:val="0"/>
                <w:numId w:val="140"/>
              </w:numPr>
              <w:spacing w:after="20"/>
              <w:jc w:val="both"/>
            </w:pPr>
            <w:r>
              <w:rPr>
                <w:sz w:val="18"/>
                <w:szCs w:val="18"/>
              </w:rPr>
              <w:t>Consejo de Normas Internacionales de Auditoría y Aseguramiento (IAASB). NIA 530 Muestreo de auditoría.</w:t>
            </w:r>
          </w:p>
          <w:p w14:paraId="4B1D9491" w14:textId="77777777" w:rsidR="00990B14" w:rsidRDefault="00000000">
            <w:pPr>
              <w:numPr>
                <w:ilvl w:val="0"/>
                <w:numId w:val="140"/>
              </w:numPr>
              <w:spacing w:after="20"/>
              <w:jc w:val="both"/>
            </w:pPr>
            <w:r>
              <w:rPr>
                <w:sz w:val="18"/>
                <w:szCs w:val="18"/>
              </w:rPr>
              <w:t>Consejo Técnico Nacional de Auditoría y Contabilidad. Resolución 01/2015, de adopción de las Normas Internacionales de Auditoría.</w:t>
            </w:r>
          </w:p>
          <w:p w14:paraId="48D94ABA" w14:textId="77777777" w:rsidR="00990B14" w:rsidRDefault="00000000">
            <w:pPr>
              <w:numPr>
                <w:ilvl w:val="0"/>
                <w:numId w:val="140"/>
              </w:numPr>
              <w:spacing w:after="20"/>
              <w:jc w:val="both"/>
            </w:pPr>
            <w:r>
              <w:rPr>
                <w:sz w:val="18"/>
                <w:szCs w:val="18"/>
              </w:rPr>
              <w:t>Decreto Supremo N.º 24051, Reglamento del Impuesto sobre las Utilidades de las Empresas, de 29 de junio de 1995.</w:t>
            </w:r>
          </w:p>
          <w:p w14:paraId="5314A96C" w14:textId="77777777" w:rsidR="00990B14" w:rsidRDefault="00000000">
            <w:pPr>
              <w:numPr>
                <w:ilvl w:val="0"/>
                <w:numId w:val="140"/>
              </w:numPr>
              <w:spacing w:after="20"/>
              <w:jc w:val="both"/>
            </w:pPr>
            <w:r>
              <w:rPr>
                <w:sz w:val="18"/>
                <w:szCs w:val="18"/>
              </w:rPr>
              <w:t>Decreto Supremo N.º 5516, de 13 de enero de 2026, que fija el salario mínimo nacional.</w:t>
            </w:r>
          </w:p>
          <w:p w14:paraId="5AB464A2" w14:textId="77777777" w:rsidR="00990B14" w:rsidRDefault="00000000">
            <w:pPr>
              <w:numPr>
                <w:ilvl w:val="0"/>
                <w:numId w:val="140"/>
              </w:numPr>
              <w:spacing w:after="20"/>
              <w:jc w:val="both"/>
            </w:pPr>
            <w:r>
              <w:rPr>
                <w:sz w:val="18"/>
                <w:szCs w:val="18"/>
              </w:rPr>
              <w:t>Decreto Supremo N.º 5646, de 29 de junio de 2026, de reducción del Gravamen Arancelario.</w:t>
            </w:r>
          </w:p>
          <w:p w14:paraId="558570DE" w14:textId="77777777" w:rsidR="00990B14" w:rsidRDefault="00000000">
            <w:pPr>
              <w:numPr>
                <w:ilvl w:val="0"/>
                <w:numId w:val="140"/>
              </w:numPr>
              <w:spacing w:after="20"/>
              <w:jc w:val="both"/>
            </w:pPr>
            <w:r>
              <w:rPr>
                <w:sz w:val="18"/>
                <w:szCs w:val="18"/>
              </w:rPr>
              <w:t>Ejercicios Resueltos de Integrales y Problemas de Aplicación.</w:t>
            </w:r>
          </w:p>
          <w:p w14:paraId="7B47E291" w14:textId="77777777" w:rsidR="00990B14" w:rsidRDefault="00000000">
            <w:pPr>
              <w:numPr>
                <w:ilvl w:val="0"/>
                <w:numId w:val="140"/>
              </w:numPr>
              <w:spacing w:after="20"/>
              <w:jc w:val="both"/>
            </w:pPr>
            <w:r>
              <w:rPr>
                <w:sz w:val="18"/>
                <w:szCs w:val="18"/>
              </w:rPr>
              <w:t>Ejercicios Resueltos de Límites y Derivadas.</w:t>
            </w:r>
          </w:p>
          <w:p w14:paraId="0FCBC06D" w14:textId="77777777" w:rsidR="00990B14" w:rsidRDefault="00000000">
            <w:pPr>
              <w:numPr>
                <w:ilvl w:val="0"/>
                <w:numId w:val="140"/>
              </w:numPr>
              <w:spacing w:after="20"/>
              <w:jc w:val="both"/>
            </w:pPr>
            <w:r w:rsidRPr="00BD34F7">
              <w:rPr>
                <w:sz w:val="18"/>
                <w:szCs w:val="18"/>
                <w:lang w:val="en-US"/>
              </w:rPr>
              <w:t xml:space="preserve">Grossman, S. I. (2008). </w:t>
            </w:r>
            <w:r w:rsidRPr="00BD34F7">
              <w:rPr>
                <w:i/>
                <w:iCs/>
                <w:sz w:val="18"/>
                <w:szCs w:val="18"/>
                <w:lang w:val="en-US"/>
              </w:rPr>
              <w:t>Álgebra Lineal</w:t>
            </w:r>
            <w:r w:rsidRPr="00BD34F7">
              <w:rPr>
                <w:sz w:val="18"/>
                <w:szCs w:val="18"/>
                <w:lang w:val="en-US"/>
              </w:rPr>
              <w:t xml:space="preserve">. </w:t>
            </w:r>
            <w:r>
              <w:rPr>
                <w:sz w:val="18"/>
                <w:szCs w:val="18"/>
              </w:rPr>
              <w:t>6ta edición. México, D.F.: McGraw-Hill/Interamericana.</w:t>
            </w:r>
          </w:p>
          <w:p w14:paraId="16A1D0DE" w14:textId="77777777" w:rsidR="00990B14" w:rsidRDefault="00000000">
            <w:pPr>
              <w:numPr>
                <w:ilvl w:val="0"/>
                <w:numId w:val="140"/>
              </w:numPr>
              <w:spacing w:after="20"/>
              <w:jc w:val="both"/>
            </w:pPr>
            <w:r>
              <w:rPr>
                <w:sz w:val="18"/>
                <w:szCs w:val="18"/>
              </w:rPr>
              <w:t>Instituto Nacional de Estadística. Matrices de insumo producto de Bolivia, 1988-2014.</w:t>
            </w:r>
          </w:p>
          <w:p w14:paraId="58D6A220" w14:textId="77777777" w:rsidR="00990B14" w:rsidRDefault="00000000">
            <w:pPr>
              <w:numPr>
                <w:ilvl w:val="0"/>
                <w:numId w:val="140"/>
              </w:numPr>
              <w:spacing w:after="20"/>
              <w:jc w:val="both"/>
            </w:pPr>
            <w:r w:rsidRPr="00BD34F7">
              <w:rPr>
                <w:sz w:val="18"/>
                <w:szCs w:val="18"/>
                <w:lang w:val="en-US"/>
              </w:rPr>
              <w:t xml:space="preserve">Kolman, B. y Hill, D. R. (2006). </w:t>
            </w:r>
            <w:r>
              <w:rPr>
                <w:i/>
                <w:iCs/>
                <w:sz w:val="18"/>
                <w:szCs w:val="18"/>
              </w:rPr>
              <w:t>Álgebra Lineal</w:t>
            </w:r>
            <w:r>
              <w:rPr>
                <w:sz w:val="18"/>
                <w:szCs w:val="18"/>
              </w:rPr>
              <w:t>. 8va edición. México: Pearson Educación.</w:t>
            </w:r>
          </w:p>
          <w:p w14:paraId="3D16786C" w14:textId="77777777" w:rsidR="00990B14" w:rsidRDefault="00000000">
            <w:pPr>
              <w:numPr>
                <w:ilvl w:val="0"/>
                <w:numId w:val="140"/>
              </w:numPr>
              <w:spacing w:after="20"/>
              <w:jc w:val="both"/>
            </w:pPr>
            <w:r w:rsidRPr="00BD34F7">
              <w:rPr>
                <w:sz w:val="18"/>
                <w:szCs w:val="18"/>
                <w:lang w:val="en-US"/>
              </w:rPr>
              <w:t xml:space="preserve">Kolman, B. y Hill, D. R. (s.f.). </w:t>
            </w:r>
            <w:r>
              <w:rPr>
                <w:i/>
                <w:iCs/>
                <w:sz w:val="18"/>
                <w:szCs w:val="18"/>
              </w:rPr>
              <w:t>Solucionario de Álgebra Lineal</w:t>
            </w:r>
            <w:r>
              <w:rPr>
                <w:sz w:val="18"/>
                <w:szCs w:val="18"/>
              </w:rPr>
              <w:t>.</w:t>
            </w:r>
          </w:p>
          <w:p w14:paraId="22169610" w14:textId="77777777" w:rsidR="00990B14" w:rsidRDefault="00000000">
            <w:pPr>
              <w:numPr>
                <w:ilvl w:val="0"/>
                <w:numId w:val="140"/>
              </w:numPr>
              <w:spacing w:after="20"/>
              <w:jc w:val="both"/>
            </w:pPr>
            <w:r w:rsidRPr="00BD34F7">
              <w:rPr>
                <w:sz w:val="18"/>
                <w:szCs w:val="18"/>
                <w:lang w:val="en-US"/>
              </w:rPr>
              <w:t xml:space="preserve">Leontief, W. (1986). </w:t>
            </w:r>
            <w:r w:rsidRPr="00BD34F7">
              <w:rPr>
                <w:i/>
                <w:iCs/>
                <w:sz w:val="18"/>
                <w:szCs w:val="18"/>
                <w:lang w:val="en-US"/>
              </w:rPr>
              <w:t>Input-Output Economics</w:t>
            </w:r>
            <w:r w:rsidRPr="00BD34F7">
              <w:rPr>
                <w:sz w:val="18"/>
                <w:szCs w:val="18"/>
                <w:lang w:val="en-US"/>
              </w:rPr>
              <w:t xml:space="preserve">. </w:t>
            </w:r>
            <w:r>
              <w:rPr>
                <w:sz w:val="18"/>
                <w:szCs w:val="18"/>
              </w:rPr>
              <w:t>2da edición. Nueva York: Oxford University Press.</w:t>
            </w:r>
          </w:p>
          <w:p w14:paraId="57879A95" w14:textId="77777777" w:rsidR="00990B14" w:rsidRDefault="00000000">
            <w:pPr>
              <w:numPr>
                <w:ilvl w:val="0"/>
                <w:numId w:val="140"/>
              </w:numPr>
              <w:spacing w:after="20"/>
              <w:jc w:val="both"/>
            </w:pPr>
            <w:r>
              <w:rPr>
                <w:sz w:val="18"/>
                <w:szCs w:val="18"/>
              </w:rPr>
              <w:t>Servicio de Impuestos Nacionales. Resolución Normativa de Directorio N.º 102500000018, de 22 de abril de 2025, del Clasificador de Actividades Económicas CAEB-2022.</w:t>
            </w:r>
          </w:p>
          <w:p w14:paraId="08423DDE" w14:textId="77777777" w:rsidR="00990B14" w:rsidRDefault="00000000">
            <w:pPr>
              <w:numPr>
                <w:ilvl w:val="0"/>
                <w:numId w:val="140"/>
              </w:numPr>
              <w:spacing w:after="20"/>
              <w:jc w:val="both"/>
            </w:pPr>
            <w:r>
              <w:rPr>
                <w:sz w:val="18"/>
                <w:szCs w:val="18"/>
              </w:rPr>
              <w:t>Sitios web oficiales: www.ine.gob.bo, www.bcb.gob.bo y www.impuestos.gob.bo.</w:t>
            </w:r>
          </w:p>
          <w:p w14:paraId="704C2B29" w14:textId="77777777" w:rsidR="00990B14" w:rsidRDefault="00000000">
            <w:pPr>
              <w:numPr>
                <w:ilvl w:val="0"/>
                <w:numId w:val="140"/>
              </w:numPr>
              <w:spacing w:after="20"/>
              <w:jc w:val="both"/>
            </w:pPr>
            <w:r>
              <w:rPr>
                <w:sz w:val="18"/>
                <w:szCs w:val="18"/>
              </w:rPr>
              <w:t xml:space="preserve">Taha, H. A. (2012). </w:t>
            </w:r>
            <w:r>
              <w:rPr>
                <w:i/>
                <w:iCs/>
                <w:sz w:val="18"/>
                <w:szCs w:val="18"/>
              </w:rPr>
              <w:t>Investigación de operaciones</w:t>
            </w:r>
            <w:r>
              <w:rPr>
                <w:sz w:val="18"/>
                <w:szCs w:val="18"/>
              </w:rPr>
              <w:t>. 9na edición. México: Pearson Educación.</w:t>
            </w:r>
          </w:p>
        </w:tc>
      </w:tr>
    </w:tbl>
    <w:p w14:paraId="45CA9C59" w14:textId="77777777" w:rsidR="00990B14" w:rsidRDefault="00000000">
      <w:pPr>
        <w:pStyle w:val="TituloPlanAnio"/>
        <w:pageBreakBefore/>
        <w:spacing w:before="4800"/>
        <w:jc w:val="center"/>
        <w:outlineLvl w:val="2"/>
      </w:pPr>
      <w:bookmarkStart w:id="163" w:name="_Toc000000104"/>
      <w:r>
        <w:rPr>
          <w:b/>
          <w:bCs/>
          <w:sz w:val="40"/>
          <w:szCs w:val="40"/>
        </w:rPr>
        <w:t>Tercer Año</w:t>
      </w:r>
      <w:bookmarkEnd w:id="163"/>
    </w:p>
    <w:p w14:paraId="08DCDC66" w14:textId="77777777" w:rsidR="00990B14" w:rsidRDefault="00000000">
      <w:pPr>
        <w:pStyle w:val="TituloPlanAsignatura"/>
        <w:keepNext/>
        <w:pageBreakBefore/>
        <w:spacing w:after="120"/>
        <w:jc w:val="center"/>
        <w:outlineLvl w:val="2"/>
      </w:pPr>
      <w:bookmarkStart w:id="164" w:name="_Toc000000105"/>
      <w:r>
        <w:rPr>
          <w:b/>
          <w:bCs/>
          <w:sz w:val="24"/>
          <w:szCs w:val="24"/>
        </w:rPr>
        <w:t>CPA-301 Contabilidad Internacional</w:t>
      </w:r>
      <w:bookmarkEnd w:id="164"/>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249"/>
        <w:gridCol w:w="1100"/>
        <w:gridCol w:w="149"/>
        <w:gridCol w:w="635"/>
        <w:gridCol w:w="615"/>
        <w:gridCol w:w="952"/>
        <w:gridCol w:w="298"/>
        <w:gridCol w:w="1250"/>
        <w:gridCol w:w="20"/>
        <w:gridCol w:w="385"/>
        <w:gridCol w:w="398"/>
        <w:gridCol w:w="447"/>
        <w:gridCol w:w="1907"/>
      </w:tblGrid>
      <w:tr w:rsidR="00990B14" w14:paraId="6E9EE275" w14:textId="77777777">
        <w:trPr>
          <w:cantSplit/>
          <w:jc w:val="center"/>
        </w:trPr>
        <w:tc>
          <w:tcPr>
            <w:tcW w:w="2349" w:type="dxa"/>
            <w:gridSpan w:val="2"/>
            <w:shd w:val="clear" w:color="auto" w:fill="4472C4"/>
            <w:vAlign w:val="center"/>
          </w:tcPr>
          <w:p w14:paraId="1BFFF545" w14:textId="77777777" w:rsidR="00990B14" w:rsidRDefault="00000000">
            <w:pPr>
              <w:keepNext/>
              <w:spacing w:before="20" w:after="20"/>
              <w:jc w:val="center"/>
            </w:pPr>
            <w:r>
              <w:rPr>
                <w:b/>
                <w:bCs/>
                <w:i/>
                <w:iCs/>
                <w:color w:val="FFFFFF"/>
                <w:sz w:val="18"/>
                <w:szCs w:val="18"/>
              </w:rPr>
              <w:t>Asignatura</w:t>
            </w:r>
          </w:p>
        </w:tc>
        <w:tc>
          <w:tcPr>
            <w:tcW w:w="2351" w:type="dxa"/>
            <w:gridSpan w:val="4"/>
            <w:shd w:val="clear" w:color="auto" w:fill="4472C4"/>
            <w:vAlign w:val="center"/>
          </w:tcPr>
          <w:p w14:paraId="45712518" w14:textId="77777777" w:rsidR="00990B14" w:rsidRDefault="00000000">
            <w:pPr>
              <w:keepNext/>
              <w:spacing w:before="20" w:after="20"/>
              <w:jc w:val="center"/>
            </w:pPr>
            <w:r>
              <w:rPr>
                <w:b/>
                <w:bCs/>
                <w:i/>
                <w:iCs/>
                <w:color w:val="FFFFFF"/>
                <w:sz w:val="18"/>
                <w:szCs w:val="18"/>
              </w:rPr>
              <w:t>Sigla</w:t>
            </w:r>
          </w:p>
        </w:tc>
        <w:tc>
          <w:tcPr>
            <w:tcW w:w="2351" w:type="dxa"/>
            <w:gridSpan w:val="5"/>
            <w:shd w:val="clear" w:color="auto" w:fill="4472C4"/>
            <w:vAlign w:val="center"/>
          </w:tcPr>
          <w:p w14:paraId="20A8D912" w14:textId="77777777" w:rsidR="00990B14" w:rsidRDefault="00000000">
            <w:pPr>
              <w:keepNext/>
              <w:spacing w:before="20" w:after="20"/>
              <w:jc w:val="center"/>
            </w:pPr>
            <w:r>
              <w:rPr>
                <w:b/>
                <w:bCs/>
                <w:i/>
                <w:iCs/>
                <w:color w:val="FFFFFF"/>
                <w:sz w:val="18"/>
                <w:szCs w:val="18"/>
              </w:rPr>
              <w:t>Nivel/Área</w:t>
            </w:r>
          </w:p>
        </w:tc>
        <w:tc>
          <w:tcPr>
            <w:tcW w:w="2354" w:type="dxa"/>
            <w:gridSpan w:val="2"/>
            <w:shd w:val="clear" w:color="auto" w:fill="4472C4"/>
            <w:vAlign w:val="center"/>
          </w:tcPr>
          <w:p w14:paraId="089C48BB" w14:textId="77777777" w:rsidR="00990B14" w:rsidRDefault="00000000">
            <w:pPr>
              <w:keepNext/>
              <w:spacing w:before="20" w:after="20"/>
              <w:jc w:val="center"/>
            </w:pPr>
            <w:r>
              <w:rPr>
                <w:b/>
                <w:bCs/>
                <w:i/>
                <w:iCs/>
                <w:color w:val="FFFFFF"/>
                <w:sz w:val="18"/>
                <w:szCs w:val="18"/>
              </w:rPr>
              <w:t>Prerrequisito</w:t>
            </w:r>
          </w:p>
        </w:tc>
      </w:tr>
      <w:tr w:rsidR="00990B14" w14:paraId="47F167E7" w14:textId="77777777">
        <w:trPr>
          <w:cantSplit/>
          <w:jc w:val="center"/>
        </w:trPr>
        <w:tc>
          <w:tcPr>
            <w:tcW w:w="2349" w:type="dxa"/>
            <w:gridSpan w:val="2"/>
            <w:shd w:val="clear" w:color="auto" w:fill="D9E2F3"/>
            <w:vAlign w:val="center"/>
          </w:tcPr>
          <w:p w14:paraId="60628901" w14:textId="77777777" w:rsidR="00990B14" w:rsidRDefault="00000000">
            <w:pPr>
              <w:spacing w:before="20" w:after="20"/>
              <w:jc w:val="center"/>
            </w:pPr>
            <w:r>
              <w:rPr>
                <w:b/>
                <w:bCs/>
                <w:i/>
                <w:iCs/>
                <w:sz w:val="18"/>
                <w:szCs w:val="18"/>
              </w:rPr>
              <w:t>Contabilidad Internacional</w:t>
            </w:r>
          </w:p>
        </w:tc>
        <w:tc>
          <w:tcPr>
            <w:tcW w:w="2351" w:type="dxa"/>
            <w:gridSpan w:val="4"/>
            <w:shd w:val="clear" w:color="auto" w:fill="D9E2F3"/>
            <w:vAlign w:val="center"/>
          </w:tcPr>
          <w:p w14:paraId="3F2ED7C9" w14:textId="77777777" w:rsidR="00990B14" w:rsidRDefault="00000000">
            <w:pPr>
              <w:spacing w:before="20" w:after="20"/>
              <w:jc w:val="center"/>
            </w:pPr>
            <w:r>
              <w:rPr>
                <w:b/>
                <w:bCs/>
                <w:i/>
                <w:iCs/>
                <w:sz w:val="18"/>
                <w:szCs w:val="18"/>
              </w:rPr>
              <w:t>CPA-301</w:t>
            </w:r>
          </w:p>
        </w:tc>
        <w:tc>
          <w:tcPr>
            <w:tcW w:w="2351" w:type="dxa"/>
            <w:gridSpan w:val="5"/>
            <w:shd w:val="clear" w:color="auto" w:fill="D9E2F3"/>
            <w:vAlign w:val="center"/>
          </w:tcPr>
          <w:p w14:paraId="03190D7E" w14:textId="77777777" w:rsidR="00990B14" w:rsidRDefault="00000000">
            <w:pPr>
              <w:spacing w:before="20" w:after="20"/>
              <w:jc w:val="center"/>
            </w:pPr>
            <w:r>
              <w:rPr>
                <w:b/>
                <w:bCs/>
                <w:i/>
                <w:iCs/>
                <w:sz w:val="18"/>
                <w:szCs w:val="18"/>
              </w:rPr>
              <w:t>Información Financiera</w:t>
            </w:r>
          </w:p>
        </w:tc>
        <w:tc>
          <w:tcPr>
            <w:tcW w:w="2354" w:type="dxa"/>
            <w:gridSpan w:val="2"/>
            <w:shd w:val="clear" w:color="auto" w:fill="D9E2F3"/>
            <w:vAlign w:val="center"/>
          </w:tcPr>
          <w:p w14:paraId="73275B95" w14:textId="77777777" w:rsidR="00990B14" w:rsidRDefault="00000000">
            <w:pPr>
              <w:spacing w:before="20" w:after="20"/>
              <w:jc w:val="center"/>
            </w:pPr>
            <w:r>
              <w:rPr>
                <w:b/>
                <w:bCs/>
                <w:i/>
                <w:iCs/>
                <w:sz w:val="18"/>
                <w:szCs w:val="18"/>
              </w:rPr>
              <w:t>CPA-201, CPA-202, CPA-203</w:t>
            </w:r>
          </w:p>
        </w:tc>
      </w:tr>
      <w:tr w:rsidR="00990B14" w14:paraId="247416F5" w14:textId="77777777">
        <w:trPr>
          <w:cantSplit/>
          <w:jc w:val="center"/>
        </w:trPr>
        <w:tc>
          <w:tcPr>
            <w:tcW w:w="7498" w:type="dxa"/>
            <w:gridSpan w:val="12"/>
            <w:shd w:val="clear" w:color="auto" w:fill="4472C4"/>
            <w:vAlign w:val="center"/>
          </w:tcPr>
          <w:p w14:paraId="132BF4BE" w14:textId="77777777" w:rsidR="00990B14" w:rsidRDefault="00000000">
            <w:pPr>
              <w:keepNext/>
              <w:spacing w:before="20" w:after="20"/>
              <w:jc w:val="center"/>
            </w:pPr>
            <w:r>
              <w:rPr>
                <w:b/>
                <w:bCs/>
                <w:i/>
                <w:iCs/>
                <w:color w:val="FFFFFF"/>
                <w:sz w:val="18"/>
                <w:szCs w:val="18"/>
              </w:rPr>
              <w:t>Carga Horaria</w:t>
            </w:r>
          </w:p>
        </w:tc>
        <w:tc>
          <w:tcPr>
            <w:tcW w:w="1907" w:type="dxa"/>
            <w:shd w:val="clear" w:color="auto" w:fill="4472C4"/>
            <w:vAlign w:val="center"/>
          </w:tcPr>
          <w:p w14:paraId="1858DF1D" w14:textId="77777777" w:rsidR="00990B14" w:rsidRDefault="00000000">
            <w:pPr>
              <w:keepNext/>
              <w:spacing w:before="20" w:after="20"/>
              <w:jc w:val="center"/>
            </w:pPr>
            <w:r>
              <w:rPr>
                <w:b/>
                <w:bCs/>
                <w:i/>
                <w:iCs/>
                <w:color w:val="FFFFFF"/>
                <w:sz w:val="18"/>
                <w:szCs w:val="18"/>
              </w:rPr>
              <w:t>Créditos</w:t>
            </w:r>
          </w:p>
        </w:tc>
      </w:tr>
      <w:tr w:rsidR="00990B14" w14:paraId="7334E3E1" w14:textId="77777777">
        <w:trPr>
          <w:cantSplit/>
          <w:jc w:val="center"/>
        </w:trPr>
        <w:tc>
          <w:tcPr>
            <w:tcW w:w="1249" w:type="dxa"/>
            <w:shd w:val="clear" w:color="auto" w:fill="4472C4"/>
            <w:vAlign w:val="center"/>
          </w:tcPr>
          <w:p w14:paraId="14A16A0E" w14:textId="77777777" w:rsidR="00990B14" w:rsidRDefault="00000000">
            <w:pPr>
              <w:keepNext/>
              <w:spacing w:before="20" w:after="20"/>
              <w:jc w:val="center"/>
            </w:pPr>
            <w:r>
              <w:rPr>
                <w:b/>
                <w:bCs/>
                <w:i/>
                <w:iCs/>
                <w:color w:val="FFFFFF"/>
                <w:sz w:val="18"/>
                <w:szCs w:val="18"/>
              </w:rPr>
              <w:t>HP</w:t>
            </w:r>
          </w:p>
        </w:tc>
        <w:tc>
          <w:tcPr>
            <w:tcW w:w="1249" w:type="dxa"/>
            <w:gridSpan w:val="2"/>
            <w:shd w:val="clear" w:color="auto" w:fill="4472C4"/>
            <w:vAlign w:val="center"/>
          </w:tcPr>
          <w:p w14:paraId="0F6E65A5" w14:textId="77777777" w:rsidR="00990B14" w:rsidRDefault="00000000">
            <w:pPr>
              <w:keepNext/>
              <w:spacing w:before="20" w:after="20"/>
              <w:jc w:val="center"/>
            </w:pPr>
            <w:r>
              <w:rPr>
                <w:b/>
                <w:bCs/>
                <w:i/>
                <w:iCs/>
                <w:color w:val="FFFFFF"/>
                <w:sz w:val="18"/>
                <w:szCs w:val="18"/>
              </w:rPr>
              <w:t>HAA</w:t>
            </w:r>
          </w:p>
        </w:tc>
        <w:tc>
          <w:tcPr>
            <w:tcW w:w="1250" w:type="dxa"/>
            <w:gridSpan w:val="2"/>
            <w:shd w:val="clear" w:color="auto" w:fill="4472C4"/>
            <w:vAlign w:val="center"/>
          </w:tcPr>
          <w:p w14:paraId="193E1428" w14:textId="77777777" w:rsidR="00990B14" w:rsidRDefault="00000000">
            <w:pPr>
              <w:keepNext/>
              <w:spacing w:before="20" w:after="20"/>
              <w:jc w:val="center"/>
            </w:pPr>
            <w:r>
              <w:rPr>
                <w:b/>
                <w:bCs/>
                <w:i/>
                <w:iCs/>
                <w:color w:val="FFFFFF"/>
                <w:sz w:val="18"/>
                <w:szCs w:val="18"/>
              </w:rPr>
              <w:t>HTG</w:t>
            </w:r>
          </w:p>
        </w:tc>
        <w:tc>
          <w:tcPr>
            <w:tcW w:w="1250" w:type="dxa"/>
            <w:gridSpan w:val="2"/>
            <w:shd w:val="clear" w:color="auto" w:fill="4472C4"/>
            <w:vAlign w:val="center"/>
          </w:tcPr>
          <w:p w14:paraId="7D97F242" w14:textId="77777777" w:rsidR="00990B14" w:rsidRDefault="00000000">
            <w:pPr>
              <w:keepNext/>
              <w:spacing w:before="20" w:after="20"/>
              <w:jc w:val="center"/>
            </w:pPr>
            <w:r>
              <w:rPr>
                <w:b/>
                <w:bCs/>
                <w:i/>
                <w:iCs/>
                <w:color w:val="FFFFFF"/>
                <w:sz w:val="18"/>
                <w:szCs w:val="18"/>
              </w:rPr>
              <w:t>HIP</w:t>
            </w:r>
          </w:p>
        </w:tc>
        <w:tc>
          <w:tcPr>
            <w:tcW w:w="1250" w:type="dxa"/>
            <w:shd w:val="clear" w:color="auto" w:fill="4472C4"/>
            <w:vAlign w:val="center"/>
          </w:tcPr>
          <w:p w14:paraId="4935C2DD" w14:textId="77777777" w:rsidR="00990B14" w:rsidRDefault="00000000">
            <w:pPr>
              <w:keepNext/>
              <w:spacing w:before="20" w:after="20"/>
              <w:jc w:val="center"/>
            </w:pPr>
            <w:r>
              <w:rPr>
                <w:b/>
                <w:bCs/>
                <w:i/>
                <w:iCs/>
                <w:color w:val="FFFFFF"/>
                <w:sz w:val="18"/>
                <w:szCs w:val="18"/>
              </w:rPr>
              <w:t>HE</w:t>
            </w:r>
          </w:p>
        </w:tc>
        <w:tc>
          <w:tcPr>
            <w:tcW w:w="1250" w:type="dxa"/>
            <w:gridSpan w:val="4"/>
            <w:shd w:val="clear" w:color="auto" w:fill="4472C4"/>
            <w:vAlign w:val="center"/>
          </w:tcPr>
          <w:p w14:paraId="2E817FEA" w14:textId="77777777" w:rsidR="00990B14" w:rsidRDefault="00000000">
            <w:pPr>
              <w:keepNext/>
              <w:spacing w:before="20" w:after="20"/>
              <w:jc w:val="center"/>
            </w:pPr>
            <w:r>
              <w:rPr>
                <w:b/>
                <w:bCs/>
                <w:i/>
                <w:iCs/>
                <w:color w:val="FFFFFF"/>
                <w:sz w:val="18"/>
                <w:szCs w:val="18"/>
              </w:rPr>
              <w:t>TOTAL</w:t>
            </w:r>
          </w:p>
        </w:tc>
        <w:tc>
          <w:tcPr>
            <w:tcW w:w="1907" w:type="dxa"/>
            <w:vMerge w:val="restart"/>
            <w:shd w:val="clear" w:color="auto" w:fill="D9E2F3"/>
            <w:vAlign w:val="center"/>
          </w:tcPr>
          <w:p w14:paraId="3914EF80" w14:textId="77777777" w:rsidR="00990B14" w:rsidRDefault="00000000">
            <w:pPr>
              <w:spacing w:before="20" w:after="20"/>
              <w:jc w:val="center"/>
            </w:pPr>
            <w:r>
              <w:rPr>
                <w:sz w:val="18"/>
                <w:szCs w:val="18"/>
              </w:rPr>
              <w:t>8</w:t>
            </w:r>
          </w:p>
        </w:tc>
      </w:tr>
      <w:tr w:rsidR="00990B14" w14:paraId="1EF7733E" w14:textId="77777777">
        <w:trPr>
          <w:cantSplit/>
          <w:jc w:val="center"/>
        </w:trPr>
        <w:tc>
          <w:tcPr>
            <w:tcW w:w="1249" w:type="dxa"/>
            <w:shd w:val="clear" w:color="auto" w:fill="D9E2F3"/>
            <w:vAlign w:val="center"/>
          </w:tcPr>
          <w:p w14:paraId="4F171B89" w14:textId="77777777" w:rsidR="00990B14" w:rsidRDefault="00000000">
            <w:pPr>
              <w:spacing w:before="20" w:after="20"/>
              <w:jc w:val="center"/>
            </w:pPr>
            <w:r>
              <w:rPr>
                <w:sz w:val="18"/>
                <w:szCs w:val="18"/>
              </w:rPr>
              <w:t>160</w:t>
            </w:r>
          </w:p>
        </w:tc>
        <w:tc>
          <w:tcPr>
            <w:tcW w:w="1249" w:type="dxa"/>
            <w:gridSpan w:val="2"/>
            <w:shd w:val="clear" w:color="auto" w:fill="D9E2F3"/>
            <w:vAlign w:val="center"/>
          </w:tcPr>
          <w:p w14:paraId="448826B8" w14:textId="77777777" w:rsidR="00990B14" w:rsidRDefault="00000000">
            <w:pPr>
              <w:spacing w:before="20" w:after="20"/>
              <w:jc w:val="center"/>
            </w:pPr>
            <w:r>
              <w:rPr>
                <w:sz w:val="18"/>
                <w:szCs w:val="18"/>
              </w:rPr>
              <w:t>32</w:t>
            </w:r>
          </w:p>
        </w:tc>
        <w:tc>
          <w:tcPr>
            <w:tcW w:w="1250" w:type="dxa"/>
            <w:gridSpan w:val="2"/>
            <w:shd w:val="clear" w:color="auto" w:fill="D9E2F3"/>
            <w:vAlign w:val="center"/>
          </w:tcPr>
          <w:p w14:paraId="3642336A" w14:textId="77777777" w:rsidR="00990B14" w:rsidRDefault="00000000">
            <w:pPr>
              <w:spacing w:before="20" w:after="20"/>
              <w:jc w:val="center"/>
            </w:pPr>
            <w:r>
              <w:rPr>
                <w:sz w:val="18"/>
                <w:szCs w:val="18"/>
              </w:rPr>
              <w:t>8</w:t>
            </w:r>
          </w:p>
        </w:tc>
        <w:tc>
          <w:tcPr>
            <w:tcW w:w="1250" w:type="dxa"/>
            <w:gridSpan w:val="2"/>
            <w:shd w:val="clear" w:color="auto" w:fill="D9E2F3"/>
            <w:vAlign w:val="center"/>
          </w:tcPr>
          <w:p w14:paraId="24BB49CB" w14:textId="77777777" w:rsidR="00990B14" w:rsidRDefault="00000000">
            <w:pPr>
              <w:spacing w:before="20" w:after="20"/>
              <w:jc w:val="center"/>
            </w:pPr>
            <w:r>
              <w:rPr>
                <w:sz w:val="18"/>
                <w:szCs w:val="18"/>
              </w:rPr>
              <w:t>32</w:t>
            </w:r>
          </w:p>
        </w:tc>
        <w:tc>
          <w:tcPr>
            <w:tcW w:w="1250" w:type="dxa"/>
            <w:shd w:val="clear" w:color="auto" w:fill="D9E2F3"/>
            <w:vAlign w:val="center"/>
          </w:tcPr>
          <w:p w14:paraId="400AB3E2" w14:textId="77777777" w:rsidR="00990B14" w:rsidRDefault="00000000">
            <w:pPr>
              <w:spacing w:before="20" w:after="20"/>
              <w:jc w:val="center"/>
            </w:pPr>
            <w:r>
              <w:rPr>
                <w:sz w:val="18"/>
                <w:szCs w:val="18"/>
              </w:rPr>
              <w:t>8</w:t>
            </w:r>
          </w:p>
        </w:tc>
        <w:tc>
          <w:tcPr>
            <w:tcW w:w="1250" w:type="dxa"/>
            <w:gridSpan w:val="4"/>
            <w:shd w:val="clear" w:color="auto" w:fill="D9E2F3"/>
            <w:vAlign w:val="center"/>
          </w:tcPr>
          <w:p w14:paraId="75A3B559" w14:textId="77777777" w:rsidR="00990B14" w:rsidRDefault="00000000">
            <w:pPr>
              <w:spacing w:before="20" w:after="20"/>
              <w:jc w:val="center"/>
            </w:pPr>
            <w:r>
              <w:rPr>
                <w:sz w:val="18"/>
                <w:szCs w:val="18"/>
              </w:rPr>
              <w:t>240</w:t>
            </w:r>
          </w:p>
        </w:tc>
        <w:tc>
          <w:tcPr>
            <w:tcW w:w="1907" w:type="dxa"/>
            <w:vMerge/>
            <w:shd w:val="clear" w:color="auto" w:fill="D9E2F3"/>
            <w:vAlign w:val="center"/>
          </w:tcPr>
          <w:p w14:paraId="247105C7" w14:textId="77777777" w:rsidR="00990B14" w:rsidRDefault="00990B14">
            <w:pPr>
              <w:spacing w:before="20" w:after="20"/>
            </w:pPr>
          </w:p>
        </w:tc>
      </w:tr>
      <w:tr w:rsidR="00990B14" w14:paraId="07974D01" w14:textId="77777777">
        <w:trPr>
          <w:cantSplit/>
          <w:jc w:val="center"/>
        </w:trPr>
        <w:tc>
          <w:tcPr>
            <w:tcW w:w="9405" w:type="dxa"/>
            <w:gridSpan w:val="13"/>
            <w:shd w:val="clear" w:color="auto" w:fill="4472C4"/>
            <w:vAlign w:val="center"/>
          </w:tcPr>
          <w:p w14:paraId="160CE419" w14:textId="77777777" w:rsidR="00990B14" w:rsidRDefault="00000000">
            <w:pPr>
              <w:keepNext/>
              <w:spacing w:before="20" w:after="20"/>
              <w:jc w:val="center"/>
            </w:pPr>
            <w:r>
              <w:rPr>
                <w:b/>
                <w:bCs/>
                <w:i/>
                <w:iCs/>
                <w:color w:val="FFFFFF"/>
                <w:sz w:val="18"/>
                <w:szCs w:val="18"/>
              </w:rPr>
              <w:t>Unidad de Competencia</w:t>
            </w:r>
          </w:p>
        </w:tc>
      </w:tr>
      <w:tr w:rsidR="00990B14" w14:paraId="760B18BF" w14:textId="77777777">
        <w:trPr>
          <w:cantSplit/>
          <w:jc w:val="center"/>
        </w:trPr>
        <w:tc>
          <w:tcPr>
            <w:tcW w:w="9405" w:type="dxa"/>
            <w:gridSpan w:val="13"/>
            <w:shd w:val="clear" w:color="auto" w:fill="D9E2F3"/>
            <w:vAlign w:val="center"/>
          </w:tcPr>
          <w:p w14:paraId="5271E280" w14:textId="77777777" w:rsidR="00990B14" w:rsidRDefault="00000000">
            <w:pPr>
              <w:spacing w:before="20" w:after="20"/>
              <w:jc w:val="both"/>
            </w:pPr>
            <w:r>
              <w:rPr>
                <w:sz w:val="18"/>
                <w:szCs w:val="18"/>
              </w:rPr>
              <w:t>Prepara estados financieros de propósito general de entidades en Bolivia, de acuerdo con los Estándares Internacionales de Información Financiera (Normas NIIF de Contabilidad y la NIIF para las PYMES) y las Normas de Contabilidad Generalmente Aceptadas en Bolivia, evaluando los criterios de reconocimiento, medición, presentación y revelación de los hechos económicos en organizaciones privadas, bajo criterios de alta comparabilidad y transparencia, para fundamentar la toma de decisiones estratégicas, el cumplimiento normativo y el resguardo del interés público; integrando herramientas digitales (hojas de cálculo), terminología de inglés técnico contable y un riguroso juicio profesional ético y objetivo.</w:t>
            </w:r>
          </w:p>
        </w:tc>
      </w:tr>
      <w:tr w:rsidR="00990B14" w14:paraId="6BA0CC53" w14:textId="77777777">
        <w:trPr>
          <w:cantSplit/>
          <w:jc w:val="center"/>
        </w:trPr>
        <w:tc>
          <w:tcPr>
            <w:tcW w:w="9405" w:type="dxa"/>
            <w:gridSpan w:val="13"/>
            <w:shd w:val="clear" w:color="auto" w:fill="D9E2F3"/>
            <w:vAlign w:val="center"/>
          </w:tcPr>
          <w:p w14:paraId="22C145D5" w14:textId="77777777" w:rsidR="00990B14" w:rsidRDefault="00000000">
            <w:pPr>
              <w:spacing w:before="20" w:after="20"/>
              <w:jc w:val="both"/>
            </w:pPr>
            <w:r>
              <w:rPr>
                <w:b/>
                <w:bCs/>
                <w:i/>
                <w:iCs/>
                <w:sz w:val="18"/>
                <w:szCs w:val="18"/>
              </w:rPr>
              <w:t xml:space="preserve">Elemento de competencia 1: </w:t>
            </w:r>
            <w:r>
              <w:rPr>
                <w:sz w:val="18"/>
                <w:szCs w:val="18"/>
              </w:rPr>
              <w:t>Analiza los fundamentos teóricos, la filosofía y la función sistémica de la contabilidad, sustentando la estructura y los elementos de los estados financieros, así como los criterios para el desarrollo de modelos contables (unidad de medida, bases de medición y conceptos de capital a mantener), articulándolos con herramientas de análisis de negocios para evaluar la posición financiera y el desempeño de las organizaciones.</w:t>
            </w:r>
          </w:p>
        </w:tc>
      </w:tr>
      <w:tr w:rsidR="00990B14" w14:paraId="4971817D" w14:textId="77777777">
        <w:trPr>
          <w:cantSplit/>
          <w:jc w:val="center"/>
        </w:trPr>
        <w:tc>
          <w:tcPr>
            <w:tcW w:w="3133" w:type="dxa"/>
            <w:gridSpan w:val="4"/>
            <w:shd w:val="clear" w:color="auto" w:fill="4472C4"/>
            <w:vAlign w:val="center"/>
          </w:tcPr>
          <w:p w14:paraId="12CB8517"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24BD7D6D"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14818FAC" w14:textId="77777777" w:rsidR="00990B14" w:rsidRDefault="00000000">
            <w:pPr>
              <w:keepNext/>
              <w:spacing w:before="20" w:after="20"/>
              <w:jc w:val="center"/>
            </w:pPr>
            <w:r>
              <w:rPr>
                <w:b/>
                <w:bCs/>
                <w:i/>
                <w:iCs/>
                <w:color w:val="FFFFFF"/>
                <w:sz w:val="18"/>
                <w:szCs w:val="18"/>
              </w:rPr>
              <w:t>Evidencias de producto</w:t>
            </w:r>
          </w:p>
        </w:tc>
      </w:tr>
      <w:tr w:rsidR="00990B14" w14:paraId="7AABC0A3" w14:textId="77777777">
        <w:trPr>
          <w:cantSplit/>
          <w:jc w:val="center"/>
        </w:trPr>
        <w:tc>
          <w:tcPr>
            <w:tcW w:w="3133" w:type="dxa"/>
            <w:gridSpan w:val="4"/>
            <w:vMerge w:val="restart"/>
            <w:shd w:val="clear" w:color="auto" w:fill="D9E2F3"/>
            <w:vAlign w:val="center"/>
          </w:tcPr>
          <w:p w14:paraId="2281879B" w14:textId="77777777" w:rsidR="00990B14" w:rsidRDefault="00000000">
            <w:pPr>
              <w:spacing w:before="20" w:after="20"/>
              <w:jc w:val="both"/>
            </w:pPr>
            <w:r>
              <w:rPr>
                <w:sz w:val="18"/>
                <w:szCs w:val="18"/>
              </w:rPr>
              <w:t>1. Fundamenta la evolución, filosofía y función sistémica de la contabilidad, caracterizando la naturaleza, estructura e interrelación de los elementos de los estados financieros.</w:t>
            </w:r>
          </w:p>
        </w:tc>
        <w:tc>
          <w:tcPr>
            <w:tcW w:w="3135" w:type="dxa"/>
            <w:gridSpan w:val="5"/>
            <w:shd w:val="clear" w:color="auto" w:fill="D9E2F3"/>
            <w:vAlign w:val="center"/>
          </w:tcPr>
          <w:p w14:paraId="5E3C0E10" w14:textId="77777777" w:rsidR="00990B14" w:rsidRDefault="00000000">
            <w:pPr>
              <w:spacing w:before="20" w:after="20"/>
              <w:jc w:val="both"/>
            </w:pPr>
            <w:r>
              <w:rPr>
                <w:sz w:val="18"/>
                <w:szCs w:val="18"/>
              </w:rPr>
              <w:t>1.1 Expone la evolución histórica y la filosofía de la contabilidad ante el curso.</w:t>
            </w:r>
          </w:p>
        </w:tc>
        <w:tc>
          <w:tcPr>
            <w:tcW w:w="3137" w:type="dxa"/>
            <w:gridSpan w:val="4"/>
            <w:shd w:val="clear" w:color="auto" w:fill="D9E2F3"/>
            <w:vAlign w:val="center"/>
          </w:tcPr>
          <w:p w14:paraId="40F463F7" w14:textId="77777777" w:rsidR="00990B14" w:rsidRDefault="00000000">
            <w:pPr>
              <w:spacing w:before="20" w:after="20"/>
              <w:jc w:val="both"/>
            </w:pPr>
            <w:r>
              <w:rPr>
                <w:b/>
                <w:bCs/>
                <w:sz w:val="18"/>
                <w:szCs w:val="18"/>
              </w:rPr>
              <w:t xml:space="preserve">Producto 1: </w:t>
            </w:r>
            <w:r>
              <w:rPr>
                <w:sz w:val="18"/>
                <w:szCs w:val="18"/>
              </w:rPr>
              <w:t>Esquema de la evolución histórica, la filosofía y la función de la contabilidad.</w:t>
            </w:r>
          </w:p>
        </w:tc>
      </w:tr>
      <w:tr w:rsidR="00990B14" w14:paraId="1143CFBE" w14:textId="77777777">
        <w:trPr>
          <w:cantSplit/>
          <w:jc w:val="center"/>
        </w:trPr>
        <w:tc>
          <w:tcPr>
            <w:tcW w:w="3133" w:type="dxa"/>
            <w:gridSpan w:val="4"/>
            <w:vMerge/>
            <w:shd w:val="clear" w:color="auto" w:fill="D9E2F3"/>
            <w:vAlign w:val="center"/>
          </w:tcPr>
          <w:p w14:paraId="2A0A191D" w14:textId="77777777" w:rsidR="00990B14" w:rsidRDefault="00990B14">
            <w:pPr>
              <w:spacing w:before="20" w:after="20"/>
            </w:pPr>
          </w:p>
        </w:tc>
        <w:tc>
          <w:tcPr>
            <w:tcW w:w="3135" w:type="dxa"/>
            <w:gridSpan w:val="5"/>
            <w:shd w:val="clear" w:color="auto" w:fill="D9E2F3"/>
            <w:vAlign w:val="center"/>
          </w:tcPr>
          <w:p w14:paraId="60723697" w14:textId="77777777" w:rsidR="00990B14" w:rsidRDefault="00000000">
            <w:pPr>
              <w:spacing w:before="20" w:after="20"/>
              <w:jc w:val="both"/>
            </w:pPr>
            <w:r>
              <w:rPr>
                <w:sz w:val="18"/>
                <w:szCs w:val="18"/>
              </w:rPr>
              <w:t>1.2 Identifica en aula los elementos y el contenido de los estados financieros.</w:t>
            </w:r>
          </w:p>
        </w:tc>
        <w:tc>
          <w:tcPr>
            <w:tcW w:w="3137" w:type="dxa"/>
            <w:gridSpan w:val="4"/>
            <w:shd w:val="clear" w:color="auto" w:fill="D9E2F3"/>
            <w:vAlign w:val="center"/>
          </w:tcPr>
          <w:p w14:paraId="18A51C85" w14:textId="77777777" w:rsidR="00990B14" w:rsidRDefault="00000000">
            <w:pPr>
              <w:spacing w:before="20" w:after="20"/>
              <w:jc w:val="both"/>
            </w:pPr>
            <w:r>
              <w:rPr>
                <w:b/>
                <w:bCs/>
                <w:sz w:val="18"/>
                <w:szCs w:val="18"/>
              </w:rPr>
              <w:t xml:space="preserve">Producto 2: </w:t>
            </w:r>
            <w:r>
              <w:rPr>
                <w:sz w:val="18"/>
                <w:szCs w:val="18"/>
              </w:rPr>
              <w:t>Cuadro comparativo de los elementos y el contenido de los estados financieros.</w:t>
            </w:r>
          </w:p>
        </w:tc>
      </w:tr>
      <w:tr w:rsidR="00990B14" w14:paraId="53B4BDE4" w14:textId="77777777">
        <w:trPr>
          <w:cantSplit/>
          <w:jc w:val="center"/>
        </w:trPr>
        <w:tc>
          <w:tcPr>
            <w:tcW w:w="3133" w:type="dxa"/>
            <w:gridSpan w:val="4"/>
            <w:vMerge w:val="restart"/>
            <w:shd w:val="clear" w:color="auto" w:fill="D9E2F3"/>
            <w:vAlign w:val="center"/>
          </w:tcPr>
          <w:p w14:paraId="7185730E" w14:textId="77777777" w:rsidR="00990B14" w:rsidRDefault="00000000">
            <w:pPr>
              <w:spacing w:before="20" w:after="20"/>
              <w:jc w:val="both"/>
            </w:pPr>
            <w:r>
              <w:rPr>
                <w:sz w:val="18"/>
                <w:szCs w:val="18"/>
              </w:rPr>
              <w:t>2. Sistematiza y diferencia los criterios para el diseño de modelos contables, analizando la interacción entre la unidad de medida, las bases de medición y los conceptos de mantenimiento de capital.</w:t>
            </w:r>
          </w:p>
        </w:tc>
        <w:tc>
          <w:tcPr>
            <w:tcW w:w="3135" w:type="dxa"/>
            <w:gridSpan w:val="5"/>
            <w:shd w:val="clear" w:color="auto" w:fill="D9E2F3"/>
            <w:vAlign w:val="center"/>
          </w:tcPr>
          <w:p w14:paraId="279BC16B" w14:textId="77777777" w:rsidR="00990B14" w:rsidRDefault="00000000">
            <w:pPr>
              <w:spacing w:before="20" w:after="20"/>
              <w:jc w:val="both"/>
            </w:pPr>
            <w:r>
              <w:rPr>
                <w:sz w:val="18"/>
                <w:szCs w:val="18"/>
              </w:rPr>
              <w:t>2.1 Resuelve en aula un cuadro de criterios de un modelo contable.</w:t>
            </w:r>
          </w:p>
        </w:tc>
        <w:tc>
          <w:tcPr>
            <w:tcW w:w="3137" w:type="dxa"/>
            <w:gridSpan w:val="4"/>
            <w:shd w:val="clear" w:color="auto" w:fill="D9E2F3"/>
            <w:vAlign w:val="center"/>
          </w:tcPr>
          <w:p w14:paraId="1D57FDEA" w14:textId="77777777" w:rsidR="00990B14" w:rsidRDefault="00000000">
            <w:pPr>
              <w:spacing w:before="20" w:after="20"/>
              <w:jc w:val="both"/>
            </w:pPr>
            <w:r>
              <w:rPr>
                <w:b/>
                <w:bCs/>
                <w:sz w:val="18"/>
                <w:szCs w:val="18"/>
              </w:rPr>
              <w:t xml:space="preserve">Producto 3: </w:t>
            </w:r>
            <w:r>
              <w:rPr>
                <w:sz w:val="18"/>
                <w:szCs w:val="18"/>
              </w:rPr>
              <w:t>Esquema de los criterios para el diseño de modelos contables.</w:t>
            </w:r>
          </w:p>
        </w:tc>
      </w:tr>
      <w:tr w:rsidR="00990B14" w14:paraId="61BB12BE" w14:textId="77777777">
        <w:trPr>
          <w:cantSplit/>
          <w:jc w:val="center"/>
        </w:trPr>
        <w:tc>
          <w:tcPr>
            <w:tcW w:w="3133" w:type="dxa"/>
            <w:gridSpan w:val="4"/>
            <w:vMerge/>
            <w:shd w:val="clear" w:color="auto" w:fill="D9E2F3"/>
            <w:vAlign w:val="center"/>
          </w:tcPr>
          <w:p w14:paraId="57E5C365" w14:textId="77777777" w:rsidR="00990B14" w:rsidRDefault="00990B14">
            <w:pPr>
              <w:spacing w:before="20" w:after="20"/>
            </w:pPr>
          </w:p>
        </w:tc>
        <w:tc>
          <w:tcPr>
            <w:tcW w:w="3135" w:type="dxa"/>
            <w:gridSpan w:val="5"/>
            <w:shd w:val="clear" w:color="auto" w:fill="D9E2F3"/>
            <w:vAlign w:val="center"/>
          </w:tcPr>
          <w:p w14:paraId="2485E54A" w14:textId="77777777" w:rsidR="00990B14" w:rsidRDefault="00000000">
            <w:pPr>
              <w:spacing w:before="20" w:after="20"/>
              <w:jc w:val="both"/>
            </w:pPr>
            <w:r>
              <w:rPr>
                <w:sz w:val="18"/>
                <w:szCs w:val="18"/>
              </w:rPr>
              <w:t>2.2 Analiza el efecto de la selección de criterios en los modelos contables de un caso.</w:t>
            </w:r>
          </w:p>
        </w:tc>
        <w:tc>
          <w:tcPr>
            <w:tcW w:w="3137" w:type="dxa"/>
            <w:gridSpan w:val="4"/>
            <w:shd w:val="clear" w:color="auto" w:fill="D9E2F3"/>
            <w:vAlign w:val="center"/>
          </w:tcPr>
          <w:p w14:paraId="3FBA1B6E" w14:textId="77777777" w:rsidR="00990B14" w:rsidRDefault="00000000">
            <w:pPr>
              <w:spacing w:before="20" w:after="20"/>
              <w:jc w:val="both"/>
            </w:pPr>
            <w:r>
              <w:rPr>
                <w:b/>
                <w:bCs/>
                <w:sz w:val="18"/>
                <w:szCs w:val="18"/>
              </w:rPr>
              <w:t xml:space="preserve">Producto 4: </w:t>
            </w:r>
            <w:r>
              <w:rPr>
                <w:sz w:val="18"/>
                <w:szCs w:val="18"/>
              </w:rPr>
              <w:t>Informe de aplicación de los modelos contables.</w:t>
            </w:r>
          </w:p>
        </w:tc>
      </w:tr>
      <w:tr w:rsidR="00990B14" w14:paraId="61991B2E" w14:textId="77777777">
        <w:trPr>
          <w:cantSplit/>
          <w:jc w:val="center"/>
        </w:trPr>
        <w:tc>
          <w:tcPr>
            <w:tcW w:w="9405" w:type="dxa"/>
            <w:gridSpan w:val="13"/>
            <w:shd w:val="clear" w:color="auto" w:fill="4472C4"/>
            <w:vAlign w:val="center"/>
          </w:tcPr>
          <w:p w14:paraId="60CADD4F" w14:textId="77777777" w:rsidR="00990B14" w:rsidRDefault="00000000">
            <w:pPr>
              <w:keepNext/>
              <w:spacing w:before="20" w:after="20"/>
              <w:jc w:val="center"/>
            </w:pPr>
            <w:r>
              <w:rPr>
                <w:b/>
                <w:bCs/>
                <w:i/>
                <w:iCs/>
                <w:color w:val="FFFFFF"/>
                <w:sz w:val="18"/>
                <w:szCs w:val="18"/>
              </w:rPr>
              <w:t>Evidencias de conocimiento</w:t>
            </w:r>
          </w:p>
        </w:tc>
      </w:tr>
      <w:tr w:rsidR="00990B14" w14:paraId="3063AAC1" w14:textId="77777777">
        <w:trPr>
          <w:cantSplit/>
          <w:jc w:val="center"/>
        </w:trPr>
        <w:tc>
          <w:tcPr>
            <w:tcW w:w="2349" w:type="dxa"/>
            <w:gridSpan w:val="2"/>
            <w:shd w:val="clear" w:color="auto" w:fill="4472C4"/>
            <w:vAlign w:val="center"/>
          </w:tcPr>
          <w:p w14:paraId="49B49ABD"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30A11522" w14:textId="77777777" w:rsidR="00990B14" w:rsidRDefault="00000000">
            <w:pPr>
              <w:keepNext/>
              <w:spacing w:before="20" w:after="20"/>
              <w:jc w:val="both"/>
            </w:pPr>
            <w:r>
              <w:rPr>
                <w:b/>
                <w:bCs/>
                <w:i/>
                <w:iCs/>
                <w:color w:val="FFFFFF"/>
                <w:sz w:val="18"/>
                <w:szCs w:val="18"/>
              </w:rPr>
              <w:t>Contenidos</w:t>
            </w:r>
          </w:p>
          <w:p w14:paraId="2EB49657"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60F84B0A" w14:textId="77777777" w:rsidR="00990B14" w:rsidRDefault="00000000">
            <w:pPr>
              <w:keepNext/>
              <w:spacing w:before="20" w:after="20"/>
              <w:jc w:val="center"/>
            </w:pPr>
            <w:r>
              <w:rPr>
                <w:b/>
                <w:bCs/>
                <w:i/>
                <w:iCs/>
                <w:color w:val="FFFFFF"/>
                <w:sz w:val="18"/>
                <w:szCs w:val="18"/>
              </w:rPr>
              <w:t>Conocimientos circunstanciales</w:t>
            </w:r>
          </w:p>
        </w:tc>
      </w:tr>
      <w:tr w:rsidR="00990B14" w14:paraId="76C7186D" w14:textId="77777777">
        <w:trPr>
          <w:jc w:val="center"/>
        </w:trPr>
        <w:tc>
          <w:tcPr>
            <w:tcW w:w="2349" w:type="dxa"/>
            <w:gridSpan w:val="2"/>
            <w:shd w:val="clear" w:color="auto" w:fill="D9E2F3"/>
          </w:tcPr>
          <w:p w14:paraId="7A9A8C12" w14:textId="77777777" w:rsidR="00990B14" w:rsidRDefault="00000000">
            <w:pPr>
              <w:spacing w:before="20" w:after="40"/>
              <w:jc w:val="both"/>
            </w:pPr>
            <w:r>
              <w:rPr>
                <w:sz w:val="18"/>
                <w:szCs w:val="18"/>
              </w:rPr>
              <w:t>Tema 1: Introducción y Cuestiones Contables Fundamentales</w:t>
            </w:r>
          </w:p>
          <w:p w14:paraId="15FC8634" w14:textId="77777777" w:rsidR="00990B14" w:rsidRDefault="00000000">
            <w:pPr>
              <w:spacing w:before="20" w:after="40"/>
              <w:jc w:val="both"/>
            </w:pPr>
            <w:r>
              <w:rPr>
                <w:sz w:val="18"/>
                <w:szCs w:val="18"/>
              </w:rPr>
              <w:t>Tema 2: Desarrollo de Modelos Contables</w:t>
            </w:r>
          </w:p>
        </w:tc>
        <w:tc>
          <w:tcPr>
            <w:tcW w:w="4304" w:type="dxa"/>
            <w:gridSpan w:val="8"/>
            <w:shd w:val="clear" w:color="auto" w:fill="D9E2F3"/>
          </w:tcPr>
          <w:p w14:paraId="13B52F84" w14:textId="77777777" w:rsidR="00990B14" w:rsidRDefault="00000000">
            <w:pPr>
              <w:spacing w:after="40"/>
              <w:jc w:val="both"/>
            </w:pPr>
            <w:r>
              <w:rPr>
                <w:sz w:val="18"/>
                <w:szCs w:val="18"/>
              </w:rPr>
              <w:t>Las empresas y la contabilidad; evolución histórica, filosofía y función de la contabilidad. (C)</w:t>
            </w:r>
          </w:p>
          <w:p w14:paraId="28EC9E64" w14:textId="77777777" w:rsidR="00990B14" w:rsidRDefault="00000000">
            <w:pPr>
              <w:spacing w:after="40"/>
              <w:jc w:val="both"/>
            </w:pPr>
            <w:r>
              <w:rPr>
                <w:sz w:val="18"/>
                <w:szCs w:val="18"/>
              </w:rPr>
              <w:t>Elementos y contenido de los estados financieros; pérdida de valor de la información. (C)</w:t>
            </w:r>
          </w:p>
          <w:p w14:paraId="18852817" w14:textId="77777777" w:rsidR="00990B14" w:rsidRDefault="00000000">
            <w:pPr>
              <w:spacing w:after="40"/>
              <w:jc w:val="both"/>
            </w:pPr>
            <w:r>
              <w:rPr>
                <w:sz w:val="18"/>
                <w:szCs w:val="18"/>
              </w:rPr>
              <w:t>Características básicas de un sistema de información contable y normas de contabilidad. (C)</w:t>
            </w:r>
          </w:p>
          <w:p w14:paraId="475FB1F4" w14:textId="77777777" w:rsidR="00990B14" w:rsidRDefault="00000000">
            <w:pPr>
              <w:spacing w:after="40"/>
              <w:jc w:val="both"/>
            </w:pPr>
            <w:r>
              <w:rPr>
                <w:sz w:val="18"/>
                <w:szCs w:val="18"/>
              </w:rPr>
              <w:t>Herramientas administrativas de análisis y sistemas para el análisis de negocios con estados financieros. (C)</w:t>
            </w:r>
          </w:p>
          <w:p w14:paraId="3D3AAEF0" w14:textId="77777777" w:rsidR="00990B14" w:rsidRDefault="00000000">
            <w:pPr>
              <w:spacing w:after="40"/>
              <w:jc w:val="both"/>
            </w:pPr>
            <w:r>
              <w:rPr>
                <w:sz w:val="18"/>
                <w:szCs w:val="18"/>
              </w:rPr>
              <w:t>Medición y gestión en la era de la información. (P)</w:t>
            </w:r>
          </w:p>
          <w:p w14:paraId="0F560A1A" w14:textId="77777777" w:rsidR="00990B14" w:rsidRDefault="00000000">
            <w:pPr>
              <w:spacing w:after="40"/>
              <w:jc w:val="both"/>
            </w:pPr>
            <w:r>
              <w:rPr>
                <w:sz w:val="18"/>
                <w:szCs w:val="18"/>
              </w:rPr>
              <w:t>Criterios para el diseño de modelos contables. (C, P)</w:t>
            </w:r>
          </w:p>
          <w:p w14:paraId="72CE43E9" w14:textId="77777777" w:rsidR="00990B14" w:rsidRDefault="00000000">
            <w:pPr>
              <w:spacing w:after="40"/>
              <w:jc w:val="both"/>
            </w:pPr>
            <w:r>
              <w:rPr>
                <w:sz w:val="18"/>
                <w:szCs w:val="18"/>
              </w:rPr>
              <w:t>Consideraciones sobre los elementos para el desarrollo de modelos contables: unidad de medida, capital a mantener y criterios de medición. (C, P)</w:t>
            </w:r>
          </w:p>
          <w:p w14:paraId="6E1031E2" w14:textId="77777777" w:rsidR="00990B14" w:rsidRDefault="00000000">
            <w:pPr>
              <w:spacing w:after="40"/>
              <w:jc w:val="both"/>
            </w:pPr>
            <w:r>
              <w:rPr>
                <w:sz w:val="18"/>
                <w:szCs w:val="18"/>
              </w:rPr>
              <w:t>Los modelos contables y los criterios de reconocimiento y medición del marco conceptual para la preparación de estados financieros. (C, P)</w:t>
            </w:r>
          </w:p>
          <w:p w14:paraId="7E56AF32" w14:textId="77777777" w:rsidR="00990B14" w:rsidRDefault="00000000">
            <w:pPr>
              <w:spacing w:after="40"/>
              <w:jc w:val="both"/>
            </w:pPr>
            <w:r>
              <w:rPr>
                <w:sz w:val="18"/>
                <w:szCs w:val="18"/>
              </w:rPr>
              <w:t>Los modelos contables y el valor razonable. (C)</w:t>
            </w:r>
          </w:p>
          <w:p w14:paraId="5E8C1A5B" w14:textId="77777777" w:rsidR="00990B14" w:rsidRDefault="00000000">
            <w:pPr>
              <w:spacing w:after="40"/>
              <w:jc w:val="both"/>
            </w:pPr>
            <w:r>
              <w:rPr>
                <w:sz w:val="18"/>
                <w:szCs w:val="18"/>
              </w:rPr>
              <w:t>Ética profesional en la preparación de la información financiera: integridad, objetividad y comportamiento profesional. (P, A)</w:t>
            </w:r>
          </w:p>
        </w:tc>
        <w:tc>
          <w:tcPr>
            <w:tcW w:w="2752" w:type="dxa"/>
            <w:gridSpan w:val="3"/>
            <w:shd w:val="clear" w:color="auto" w:fill="D9E2F3"/>
          </w:tcPr>
          <w:p w14:paraId="3FDC0560" w14:textId="77777777" w:rsidR="00990B14" w:rsidRDefault="00000000">
            <w:pPr>
              <w:numPr>
                <w:ilvl w:val="0"/>
                <w:numId w:val="139"/>
              </w:numPr>
              <w:spacing w:before="10" w:after="10"/>
              <w:jc w:val="both"/>
            </w:pPr>
            <w:r>
              <w:rPr>
                <w:sz w:val="18"/>
                <w:szCs w:val="18"/>
              </w:rPr>
              <w:t>Uso del valor razonable en la valuación de activos por las entidades supervisadas por la Autoridad de Supervisión del Sistema Financiero.</w:t>
            </w:r>
          </w:p>
        </w:tc>
      </w:tr>
      <w:tr w:rsidR="00990B14" w14:paraId="751C92FF" w14:textId="77777777">
        <w:trPr>
          <w:cantSplit/>
          <w:jc w:val="center"/>
        </w:trPr>
        <w:tc>
          <w:tcPr>
            <w:tcW w:w="9405" w:type="dxa"/>
            <w:gridSpan w:val="13"/>
            <w:shd w:val="clear" w:color="auto" w:fill="D9E2F3"/>
            <w:vAlign w:val="center"/>
          </w:tcPr>
          <w:p w14:paraId="4F0104A8" w14:textId="77777777" w:rsidR="00990B14" w:rsidRDefault="00000000">
            <w:pPr>
              <w:spacing w:before="20" w:after="20"/>
              <w:jc w:val="both"/>
            </w:pPr>
            <w:r>
              <w:rPr>
                <w:b/>
                <w:bCs/>
                <w:i/>
                <w:iCs/>
                <w:sz w:val="18"/>
                <w:szCs w:val="18"/>
              </w:rPr>
              <w:t xml:space="preserve">Elemento de competencia 2: </w:t>
            </w:r>
            <w:r>
              <w:rPr>
                <w:sz w:val="18"/>
                <w:szCs w:val="18"/>
              </w:rPr>
              <w:t>Analiza y contrasta el marco normativo de las Normas de Contabilidad Generalmente Aceptadas en Bolivia respecto de los Estándares Internacionales (Normas NIIF de Contabilidad y NIIF para las PYMES), evaluando la jerarquía de sus organismos emisores y la pertinencia de su aplicación según la tipología del sector empresarial boliviano.</w:t>
            </w:r>
          </w:p>
        </w:tc>
      </w:tr>
      <w:tr w:rsidR="00990B14" w14:paraId="3BB33C93" w14:textId="77777777">
        <w:trPr>
          <w:cantSplit/>
          <w:jc w:val="center"/>
        </w:trPr>
        <w:tc>
          <w:tcPr>
            <w:tcW w:w="3133" w:type="dxa"/>
            <w:gridSpan w:val="4"/>
            <w:shd w:val="clear" w:color="auto" w:fill="4472C4"/>
            <w:vAlign w:val="center"/>
          </w:tcPr>
          <w:p w14:paraId="6440250A"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0BD9D9C3"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3F83BB3F" w14:textId="77777777" w:rsidR="00990B14" w:rsidRDefault="00000000">
            <w:pPr>
              <w:keepNext/>
              <w:spacing w:before="20" w:after="20"/>
              <w:jc w:val="center"/>
            </w:pPr>
            <w:r>
              <w:rPr>
                <w:b/>
                <w:bCs/>
                <w:i/>
                <w:iCs/>
                <w:color w:val="FFFFFF"/>
                <w:sz w:val="18"/>
                <w:szCs w:val="18"/>
              </w:rPr>
              <w:t>Evidencias de producto</w:t>
            </w:r>
          </w:p>
        </w:tc>
      </w:tr>
      <w:tr w:rsidR="00990B14" w14:paraId="7A003D91" w14:textId="77777777">
        <w:trPr>
          <w:cantSplit/>
          <w:jc w:val="center"/>
        </w:trPr>
        <w:tc>
          <w:tcPr>
            <w:tcW w:w="3133" w:type="dxa"/>
            <w:gridSpan w:val="4"/>
            <w:vMerge w:val="restart"/>
            <w:shd w:val="clear" w:color="auto" w:fill="D9E2F3"/>
            <w:vAlign w:val="center"/>
          </w:tcPr>
          <w:p w14:paraId="6627A153" w14:textId="77777777" w:rsidR="00990B14" w:rsidRDefault="00000000">
            <w:pPr>
              <w:spacing w:before="20" w:after="20"/>
              <w:jc w:val="both"/>
            </w:pPr>
            <w:r>
              <w:rPr>
                <w:sz w:val="18"/>
                <w:szCs w:val="18"/>
              </w:rPr>
              <w:t>1. Contrasta la estructura y facultades de los organismos emisores (CTNAC e IASB), analizando las divergencias fundamentales entre las NCGA en Bolivia y las Normas NIIF de Contabilidad.</w:t>
            </w:r>
          </w:p>
        </w:tc>
        <w:tc>
          <w:tcPr>
            <w:tcW w:w="3135" w:type="dxa"/>
            <w:gridSpan w:val="5"/>
            <w:shd w:val="clear" w:color="auto" w:fill="D9E2F3"/>
            <w:vAlign w:val="center"/>
          </w:tcPr>
          <w:p w14:paraId="1964E9C3" w14:textId="77777777" w:rsidR="00990B14" w:rsidRDefault="00000000">
            <w:pPr>
              <w:spacing w:before="20" w:after="20"/>
              <w:jc w:val="both"/>
            </w:pPr>
            <w:r>
              <w:rPr>
                <w:sz w:val="18"/>
                <w:szCs w:val="18"/>
              </w:rPr>
              <w:t>1.1 Expone en equipo la estructura de la Fundación IFRS y el proceso de armonización contable en Bolivia.</w:t>
            </w:r>
          </w:p>
        </w:tc>
        <w:tc>
          <w:tcPr>
            <w:tcW w:w="3137" w:type="dxa"/>
            <w:gridSpan w:val="4"/>
            <w:shd w:val="clear" w:color="auto" w:fill="D9E2F3"/>
            <w:vAlign w:val="center"/>
          </w:tcPr>
          <w:p w14:paraId="4F6893F0" w14:textId="77777777" w:rsidR="00990B14" w:rsidRDefault="00000000">
            <w:pPr>
              <w:spacing w:before="20" w:after="20"/>
              <w:jc w:val="both"/>
            </w:pPr>
            <w:r>
              <w:rPr>
                <w:b/>
                <w:bCs/>
                <w:sz w:val="18"/>
                <w:szCs w:val="18"/>
              </w:rPr>
              <w:t xml:space="preserve">Producto 5: </w:t>
            </w:r>
            <w:r>
              <w:rPr>
                <w:sz w:val="18"/>
                <w:szCs w:val="18"/>
              </w:rPr>
              <w:t>Esquema de las entidades emisoras de normas contables en Bolivia y a nivel internacional.</w:t>
            </w:r>
          </w:p>
        </w:tc>
      </w:tr>
      <w:tr w:rsidR="00990B14" w14:paraId="67EDFE96" w14:textId="77777777">
        <w:trPr>
          <w:cantSplit/>
          <w:jc w:val="center"/>
        </w:trPr>
        <w:tc>
          <w:tcPr>
            <w:tcW w:w="3133" w:type="dxa"/>
            <w:gridSpan w:val="4"/>
            <w:vMerge/>
            <w:shd w:val="clear" w:color="auto" w:fill="D9E2F3"/>
            <w:vAlign w:val="center"/>
          </w:tcPr>
          <w:p w14:paraId="7646ECA4" w14:textId="77777777" w:rsidR="00990B14" w:rsidRDefault="00990B14">
            <w:pPr>
              <w:spacing w:before="20" w:after="20"/>
            </w:pPr>
          </w:p>
        </w:tc>
        <w:tc>
          <w:tcPr>
            <w:tcW w:w="3135" w:type="dxa"/>
            <w:gridSpan w:val="5"/>
            <w:shd w:val="clear" w:color="auto" w:fill="D9E2F3"/>
            <w:vAlign w:val="center"/>
          </w:tcPr>
          <w:p w14:paraId="19F15148" w14:textId="77777777" w:rsidR="00990B14" w:rsidRDefault="00000000">
            <w:pPr>
              <w:spacing w:before="20" w:after="20"/>
              <w:jc w:val="both"/>
            </w:pPr>
            <w:r>
              <w:rPr>
                <w:sz w:val="18"/>
                <w:szCs w:val="18"/>
              </w:rPr>
              <w:t>1.2 Explica en aula la jerarquía de fuentes alternativas ante situaciones que las NCGA en Bolivia no abordan.</w:t>
            </w:r>
          </w:p>
        </w:tc>
        <w:tc>
          <w:tcPr>
            <w:tcW w:w="3137" w:type="dxa"/>
            <w:gridSpan w:val="4"/>
            <w:shd w:val="clear" w:color="auto" w:fill="D9E2F3"/>
            <w:vAlign w:val="center"/>
          </w:tcPr>
          <w:p w14:paraId="59C7FAD1" w14:textId="77777777" w:rsidR="00990B14" w:rsidRDefault="00000000">
            <w:pPr>
              <w:spacing w:before="20" w:after="20"/>
              <w:jc w:val="both"/>
            </w:pPr>
            <w:r>
              <w:rPr>
                <w:b/>
                <w:bCs/>
                <w:sz w:val="18"/>
                <w:szCs w:val="18"/>
              </w:rPr>
              <w:t xml:space="preserve">Producto 6: </w:t>
            </w:r>
            <w:r>
              <w:rPr>
                <w:sz w:val="18"/>
                <w:szCs w:val="18"/>
              </w:rPr>
              <w:t>Informe del proceso de armonización contable boliviano con las NIIF.</w:t>
            </w:r>
          </w:p>
        </w:tc>
      </w:tr>
      <w:tr w:rsidR="00990B14" w14:paraId="7E2398C5" w14:textId="77777777">
        <w:trPr>
          <w:cantSplit/>
          <w:jc w:val="center"/>
        </w:trPr>
        <w:tc>
          <w:tcPr>
            <w:tcW w:w="3133" w:type="dxa"/>
            <w:gridSpan w:val="4"/>
            <w:vMerge w:val="restart"/>
            <w:shd w:val="clear" w:color="auto" w:fill="D9E2F3"/>
            <w:vAlign w:val="center"/>
          </w:tcPr>
          <w:p w14:paraId="304CB874" w14:textId="77777777" w:rsidR="00990B14" w:rsidRDefault="00000000">
            <w:pPr>
              <w:spacing w:before="20" w:after="20"/>
              <w:jc w:val="both"/>
            </w:pPr>
            <w:r>
              <w:rPr>
                <w:sz w:val="18"/>
                <w:szCs w:val="18"/>
              </w:rPr>
              <w:t>2. Evalúa las simplificaciones, excepciones y diferencias de reconocimiento, medición y revelación de la NIIF para las PYMES respecto de las Normas NIIF de Contabilidad, determinando su viabilidad de aplicación según las características del sector empresarial boliviano.</w:t>
            </w:r>
          </w:p>
        </w:tc>
        <w:tc>
          <w:tcPr>
            <w:tcW w:w="3135" w:type="dxa"/>
            <w:gridSpan w:val="5"/>
            <w:shd w:val="clear" w:color="auto" w:fill="D9E2F3"/>
            <w:vAlign w:val="center"/>
          </w:tcPr>
          <w:p w14:paraId="0A4D0C91" w14:textId="77777777" w:rsidR="00990B14" w:rsidRDefault="00000000">
            <w:pPr>
              <w:spacing w:before="20" w:after="20"/>
              <w:jc w:val="both"/>
            </w:pPr>
            <w:r>
              <w:rPr>
                <w:sz w:val="18"/>
                <w:szCs w:val="18"/>
              </w:rPr>
              <w:t>2.1 Elabora en aula un cuadro comparativo entre las Normas NIIF de Contabilidad y la NIIF para las PYMES.</w:t>
            </w:r>
          </w:p>
        </w:tc>
        <w:tc>
          <w:tcPr>
            <w:tcW w:w="3137" w:type="dxa"/>
            <w:gridSpan w:val="4"/>
            <w:shd w:val="clear" w:color="auto" w:fill="D9E2F3"/>
            <w:vAlign w:val="center"/>
          </w:tcPr>
          <w:p w14:paraId="48E7C2A9" w14:textId="77777777" w:rsidR="00990B14" w:rsidRDefault="00000000">
            <w:pPr>
              <w:spacing w:before="20" w:after="20"/>
              <w:jc w:val="both"/>
            </w:pPr>
            <w:r>
              <w:rPr>
                <w:b/>
                <w:bCs/>
                <w:sz w:val="18"/>
                <w:szCs w:val="18"/>
              </w:rPr>
              <w:t xml:space="preserve">Producto 7: </w:t>
            </w:r>
            <w:r>
              <w:rPr>
                <w:sz w:val="18"/>
                <w:szCs w:val="18"/>
              </w:rPr>
              <w:t>Cuadro comparativo de la NIIF para las PYMES y las Normas NIIF de Contabilidad.</w:t>
            </w:r>
          </w:p>
        </w:tc>
      </w:tr>
      <w:tr w:rsidR="00990B14" w14:paraId="083D065D" w14:textId="77777777">
        <w:trPr>
          <w:cantSplit/>
          <w:jc w:val="center"/>
        </w:trPr>
        <w:tc>
          <w:tcPr>
            <w:tcW w:w="3133" w:type="dxa"/>
            <w:gridSpan w:val="4"/>
            <w:vMerge/>
            <w:shd w:val="clear" w:color="auto" w:fill="D9E2F3"/>
            <w:vAlign w:val="center"/>
          </w:tcPr>
          <w:p w14:paraId="36A8B36E" w14:textId="77777777" w:rsidR="00990B14" w:rsidRDefault="00990B14">
            <w:pPr>
              <w:spacing w:before="20" w:after="20"/>
            </w:pPr>
          </w:p>
        </w:tc>
        <w:tc>
          <w:tcPr>
            <w:tcW w:w="3135" w:type="dxa"/>
            <w:gridSpan w:val="5"/>
            <w:shd w:val="clear" w:color="auto" w:fill="D9E2F3"/>
            <w:vAlign w:val="center"/>
          </w:tcPr>
          <w:p w14:paraId="00F8522A" w14:textId="77777777" w:rsidR="00990B14" w:rsidRDefault="00000000">
            <w:pPr>
              <w:spacing w:before="20" w:after="20"/>
              <w:jc w:val="both"/>
            </w:pPr>
            <w:r>
              <w:rPr>
                <w:sz w:val="18"/>
                <w:szCs w:val="18"/>
              </w:rPr>
              <w:t>2.2 Clasifica empresas bolivianas según su tamaño y el marco de información financiera aplicable.</w:t>
            </w:r>
          </w:p>
        </w:tc>
        <w:tc>
          <w:tcPr>
            <w:tcW w:w="3137" w:type="dxa"/>
            <w:gridSpan w:val="4"/>
            <w:shd w:val="clear" w:color="auto" w:fill="D9E2F3"/>
            <w:vAlign w:val="center"/>
          </w:tcPr>
          <w:p w14:paraId="5174C882" w14:textId="77777777" w:rsidR="00990B14" w:rsidRDefault="00000000">
            <w:pPr>
              <w:spacing w:before="20" w:after="20"/>
              <w:jc w:val="both"/>
            </w:pPr>
            <w:r>
              <w:rPr>
                <w:b/>
                <w:bCs/>
                <w:sz w:val="18"/>
                <w:szCs w:val="18"/>
              </w:rPr>
              <w:t xml:space="preserve">Producto 8: </w:t>
            </w:r>
            <w:r>
              <w:rPr>
                <w:sz w:val="18"/>
                <w:szCs w:val="18"/>
              </w:rPr>
              <w:t>Cuadro de clasificación de empresas bolivianas por tamaño y marco de información financiera.</w:t>
            </w:r>
          </w:p>
        </w:tc>
      </w:tr>
      <w:tr w:rsidR="00990B14" w14:paraId="650EE2E0" w14:textId="77777777">
        <w:trPr>
          <w:cantSplit/>
          <w:jc w:val="center"/>
        </w:trPr>
        <w:tc>
          <w:tcPr>
            <w:tcW w:w="9405" w:type="dxa"/>
            <w:gridSpan w:val="13"/>
            <w:shd w:val="clear" w:color="auto" w:fill="4472C4"/>
            <w:vAlign w:val="center"/>
          </w:tcPr>
          <w:p w14:paraId="2829C247" w14:textId="77777777" w:rsidR="00990B14" w:rsidRDefault="00000000">
            <w:pPr>
              <w:keepNext/>
              <w:spacing w:before="20" w:after="20"/>
              <w:jc w:val="center"/>
            </w:pPr>
            <w:r>
              <w:rPr>
                <w:b/>
                <w:bCs/>
                <w:i/>
                <w:iCs/>
                <w:color w:val="FFFFFF"/>
                <w:sz w:val="18"/>
                <w:szCs w:val="18"/>
              </w:rPr>
              <w:t>Evidencias de conocimiento</w:t>
            </w:r>
          </w:p>
        </w:tc>
      </w:tr>
      <w:tr w:rsidR="00990B14" w14:paraId="0587C8E7" w14:textId="77777777">
        <w:trPr>
          <w:cantSplit/>
          <w:jc w:val="center"/>
        </w:trPr>
        <w:tc>
          <w:tcPr>
            <w:tcW w:w="2349" w:type="dxa"/>
            <w:gridSpan w:val="2"/>
            <w:shd w:val="clear" w:color="auto" w:fill="4472C4"/>
            <w:vAlign w:val="center"/>
          </w:tcPr>
          <w:p w14:paraId="0722975A"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5515015B" w14:textId="77777777" w:rsidR="00990B14" w:rsidRDefault="00000000">
            <w:pPr>
              <w:keepNext/>
              <w:spacing w:before="20" w:after="20"/>
              <w:jc w:val="both"/>
            </w:pPr>
            <w:r>
              <w:rPr>
                <w:b/>
                <w:bCs/>
                <w:i/>
                <w:iCs/>
                <w:color w:val="FFFFFF"/>
                <w:sz w:val="18"/>
                <w:szCs w:val="18"/>
              </w:rPr>
              <w:t>Contenidos</w:t>
            </w:r>
          </w:p>
          <w:p w14:paraId="21E1D99A"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70659EBE" w14:textId="77777777" w:rsidR="00990B14" w:rsidRDefault="00000000">
            <w:pPr>
              <w:keepNext/>
              <w:spacing w:before="20" w:after="20"/>
              <w:jc w:val="center"/>
            </w:pPr>
            <w:r>
              <w:rPr>
                <w:b/>
                <w:bCs/>
                <w:i/>
                <w:iCs/>
                <w:color w:val="FFFFFF"/>
                <w:sz w:val="18"/>
                <w:szCs w:val="18"/>
              </w:rPr>
              <w:t>Conocimientos circunstanciales</w:t>
            </w:r>
          </w:p>
        </w:tc>
      </w:tr>
      <w:tr w:rsidR="00990B14" w14:paraId="2103352D" w14:textId="77777777">
        <w:trPr>
          <w:jc w:val="center"/>
        </w:trPr>
        <w:tc>
          <w:tcPr>
            <w:tcW w:w="2349" w:type="dxa"/>
            <w:gridSpan w:val="2"/>
            <w:shd w:val="clear" w:color="auto" w:fill="D9E2F3"/>
          </w:tcPr>
          <w:p w14:paraId="4532EC5B" w14:textId="77777777" w:rsidR="00990B14" w:rsidRDefault="00000000">
            <w:pPr>
              <w:spacing w:before="20" w:after="40"/>
              <w:jc w:val="both"/>
            </w:pPr>
            <w:r>
              <w:rPr>
                <w:sz w:val="18"/>
                <w:szCs w:val="18"/>
              </w:rPr>
              <w:t>Tema 3: Normas de Contabilidad Generalmente Aceptadas en Bolivia y el Proceso de Armonización Contable</w:t>
            </w:r>
          </w:p>
          <w:p w14:paraId="4DA23FDE" w14:textId="77777777" w:rsidR="00990B14" w:rsidRDefault="00000000">
            <w:pPr>
              <w:spacing w:before="20" w:after="40"/>
              <w:jc w:val="both"/>
            </w:pPr>
            <w:r>
              <w:rPr>
                <w:sz w:val="18"/>
                <w:szCs w:val="18"/>
              </w:rPr>
              <w:t>Tema 4: Las Normas Internacionales de Información Financiera</w:t>
            </w:r>
          </w:p>
          <w:p w14:paraId="6478F533" w14:textId="77777777" w:rsidR="00990B14" w:rsidRDefault="00000000">
            <w:pPr>
              <w:spacing w:before="20" w:after="40"/>
              <w:jc w:val="both"/>
            </w:pPr>
            <w:r>
              <w:rPr>
                <w:sz w:val="18"/>
                <w:szCs w:val="18"/>
              </w:rPr>
              <w:t>Tema 5: Norma Internacional de Información Financiera para Pequeñas y Medianas Empresas</w:t>
            </w:r>
          </w:p>
        </w:tc>
        <w:tc>
          <w:tcPr>
            <w:tcW w:w="4304" w:type="dxa"/>
            <w:gridSpan w:val="8"/>
            <w:shd w:val="clear" w:color="auto" w:fill="D9E2F3"/>
          </w:tcPr>
          <w:p w14:paraId="0F637F4B" w14:textId="77777777" w:rsidR="00990B14" w:rsidRDefault="00000000">
            <w:pPr>
              <w:spacing w:after="40"/>
              <w:jc w:val="both"/>
            </w:pPr>
            <w:r>
              <w:rPr>
                <w:sz w:val="18"/>
                <w:szCs w:val="18"/>
              </w:rPr>
              <w:t>Entidades emisoras de normas contables y las Normas de Contabilidad Generalmente Aceptadas en Bolivia. (C)</w:t>
            </w:r>
          </w:p>
          <w:p w14:paraId="77172AF2" w14:textId="77777777" w:rsidR="00990B14" w:rsidRDefault="00000000">
            <w:pPr>
              <w:spacing w:after="40"/>
              <w:jc w:val="both"/>
            </w:pPr>
            <w:r>
              <w:rPr>
                <w:sz w:val="18"/>
                <w:szCs w:val="18"/>
              </w:rPr>
              <w:t>Adopción de las Normas Internacionales de Información Financiera y los acuerdos internacionales de armonización contable. (C)</w:t>
            </w:r>
          </w:p>
          <w:p w14:paraId="4ED789CA" w14:textId="77777777" w:rsidR="00990B14" w:rsidRDefault="00000000">
            <w:pPr>
              <w:spacing w:after="40"/>
              <w:jc w:val="both"/>
            </w:pPr>
            <w:r>
              <w:rPr>
                <w:sz w:val="18"/>
                <w:szCs w:val="18"/>
              </w:rPr>
              <w:t>Proceso de armonización contable en Bolivia y normas legales vigentes relacionadas con la preparación de estados financieros. (C, P)</w:t>
            </w:r>
          </w:p>
          <w:p w14:paraId="3DCDD83C" w14:textId="77777777" w:rsidR="00990B14" w:rsidRDefault="00000000">
            <w:pPr>
              <w:spacing w:after="40"/>
              <w:jc w:val="both"/>
            </w:pPr>
            <w:r>
              <w:rPr>
                <w:sz w:val="18"/>
                <w:szCs w:val="18"/>
              </w:rPr>
              <w:t>Vigencia de las Normas de Contabilidad Generalmente Aceptadas en Bolivia y aplicación de las Normas Internacionales de Información Financiera en ausencia de pronunciamiento técnico nacional. (C, P)</w:t>
            </w:r>
          </w:p>
          <w:p w14:paraId="1CED4513" w14:textId="77777777" w:rsidR="00990B14" w:rsidRDefault="00000000">
            <w:pPr>
              <w:spacing w:after="40"/>
              <w:jc w:val="both"/>
            </w:pPr>
            <w:r>
              <w:rPr>
                <w:sz w:val="18"/>
                <w:szCs w:val="18"/>
              </w:rPr>
              <w:t>La Fundación IFRS, su estructura, el Consejo de Normas Internacionales de Contabilidad (IASB) y el Consejo de Normas Internacionales de Sostenibilidad. (C)</w:t>
            </w:r>
          </w:p>
          <w:p w14:paraId="557FA41F" w14:textId="77777777" w:rsidR="00990B14" w:rsidRDefault="00000000">
            <w:pPr>
              <w:spacing w:after="40"/>
              <w:jc w:val="both"/>
            </w:pPr>
            <w:r>
              <w:rPr>
                <w:sz w:val="18"/>
                <w:szCs w:val="18"/>
              </w:rPr>
              <w:t>El Consejo de Normas Internacionales de Sostenibilidad (ISSB) y las normas NIIF S1 y NIIF S2: información a revelar sobre sostenibilidad y sobre el clima. (C, P)</w:t>
            </w:r>
          </w:p>
          <w:p w14:paraId="1CC81846" w14:textId="77777777" w:rsidR="00990B14" w:rsidRDefault="00000000">
            <w:pPr>
              <w:spacing w:after="40"/>
              <w:jc w:val="both"/>
            </w:pPr>
            <w:r>
              <w:rPr>
                <w:sz w:val="18"/>
                <w:szCs w:val="18"/>
              </w:rPr>
              <w:t>El prólogo a las Normas NIIF de Contabilidad como marco global para la presentación de información financiera transparente y comparable, y su papel en la coherencia y precisión de la comunicación de datos financieros a nivel nacional e internacional. (C)</w:t>
            </w:r>
          </w:p>
          <w:p w14:paraId="4357F532" w14:textId="77777777" w:rsidR="00990B14" w:rsidRDefault="00000000">
            <w:pPr>
              <w:spacing w:after="40"/>
              <w:jc w:val="both"/>
            </w:pPr>
            <w:r>
              <w:rPr>
                <w:sz w:val="18"/>
                <w:szCs w:val="18"/>
              </w:rPr>
              <w:t>Consideraciones generales y resumen ejecutivo de las Normas Internacionales de Información Financiera. (C)</w:t>
            </w:r>
          </w:p>
          <w:p w14:paraId="206648BF" w14:textId="77777777" w:rsidR="00990B14" w:rsidRDefault="00000000">
            <w:pPr>
              <w:spacing w:after="40"/>
              <w:jc w:val="both"/>
            </w:pPr>
            <w:r>
              <w:rPr>
                <w:sz w:val="18"/>
                <w:szCs w:val="18"/>
              </w:rPr>
              <w:t>La necesidad de la NIIF para Pequeñas y Medianas Empresas (PYMES) y el análisis del sector empresarial boliviano. (C)</w:t>
            </w:r>
          </w:p>
          <w:p w14:paraId="0F01891A" w14:textId="77777777" w:rsidR="00990B14" w:rsidRDefault="00000000">
            <w:pPr>
              <w:spacing w:after="40"/>
              <w:jc w:val="both"/>
            </w:pPr>
            <w:r>
              <w:rPr>
                <w:sz w:val="18"/>
                <w:szCs w:val="18"/>
              </w:rPr>
              <w:t>Consideraciones generales sobre las secciones de la NIIF para PYMES y sus principales diferencias con las NIIF completas. (C)</w:t>
            </w:r>
          </w:p>
          <w:p w14:paraId="48F56963" w14:textId="77777777" w:rsidR="00990B14" w:rsidRDefault="00000000">
            <w:pPr>
              <w:spacing w:after="40"/>
              <w:jc w:val="both"/>
            </w:pPr>
            <w:r>
              <w:rPr>
                <w:sz w:val="18"/>
                <w:szCs w:val="18"/>
              </w:rPr>
              <w:t>Clasificación del tamaño de las empresas bolivianas por ventas anuales, número de trabajadores y patrimonio neto, y su relación con el marco de información financiera aplicable. (C)</w:t>
            </w:r>
          </w:p>
          <w:p w14:paraId="09D8C49F" w14:textId="77777777" w:rsidR="00990B14" w:rsidRDefault="00000000">
            <w:pPr>
              <w:spacing w:after="40"/>
              <w:jc w:val="both"/>
            </w:pPr>
            <w:r>
              <w:rPr>
                <w:sz w:val="18"/>
                <w:szCs w:val="18"/>
              </w:rPr>
              <w:t>Terminología normativa en inglés: IFRS, IASB, ISSB, standard, framework y disclosure requirements. (C)</w:t>
            </w:r>
          </w:p>
        </w:tc>
        <w:tc>
          <w:tcPr>
            <w:tcW w:w="2752" w:type="dxa"/>
            <w:gridSpan w:val="3"/>
            <w:shd w:val="clear" w:color="auto" w:fill="D9E2F3"/>
          </w:tcPr>
          <w:p w14:paraId="5BFBD071" w14:textId="77777777" w:rsidR="00990B14" w:rsidRDefault="00000000">
            <w:pPr>
              <w:numPr>
                <w:ilvl w:val="0"/>
                <w:numId w:val="139"/>
              </w:numPr>
              <w:spacing w:before="10" w:after="10"/>
              <w:jc w:val="both"/>
            </w:pPr>
            <w:r>
              <w:rPr>
                <w:sz w:val="18"/>
                <w:szCs w:val="18"/>
              </w:rPr>
              <w:t>Resolución CTNAC N.º 01/2025, de 10 de noviembre de 2025, que mantiene vigentes las Normas de Contabilidad Generalmente Aceptadas en Bolivia y dispone la aplicación de las Normas NIIF de Contabilidad y la NIIF para las PYMES en ausencia de pronunciamiento técnico nacional.</w:t>
            </w:r>
          </w:p>
          <w:p w14:paraId="6678603B" w14:textId="77777777" w:rsidR="00990B14" w:rsidRDefault="00000000">
            <w:pPr>
              <w:numPr>
                <w:ilvl w:val="0"/>
                <w:numId w:val="139"/>
              </w:numPr>
              <w:spacing w:before="10" w:after="10"/>
              <w:jc w:val="both"/>
            </w:pPr>
            <w:r>
              <w:rPr>
                <w:sz w:val="18"/>
                <w:szCs w:val="18"/>
              </w:rPr>
              <w:t>Resolución CTNAC N.º 01/2024, de 21 de marzo de 2024, que adopta las Normas Internacionales de Información Financiera sobre Sostenibilidad para su aplicación a partir del 1 de enero de 2027.</w:t>
            </w:r>
          </w:p>
          <w:p w14:paraId="3310A7D4" w14:textId="77777777" w:rsidR="00990B14" w:rsidRDefault="00000000">
            <w:pPr>
              <w:numPr>
                <w:ilvl w:val="0"/>
                <w:numId w:val="139"/>
              </w:numPr>
              <w:spacing w:before="10" w:after="10"/>
              <w:jc w:val="both"/>
            </w:pPr>
            <w:r>
              <w:rPr>
                <w:sz w:val="18"/>
                <w:szCs w:val="18"/>
              </w:rPr>
              <w:t>Clasificación del tamaño de las empresas del Decreto Supremo N.º 3564, de 24 de mayo de 2018, reglamentario de la Ley N.º 947, de Micro y Pequeñas Empresas, de 11 de mayo de 2017.</w:t>
            </w:r>
          </w:p>
        </w:tc>
      </w:tr>
      <w:tr w:rsidR="00990B14" w14:paraId="2C6B0F00" w14:textId="77777777">
        <w:trPr>
          <w:cantSplit/>
          <w:jc w:val="center"/>
        </w:trPr>
        <w:tc>
          <w:tcPr>
            <w:tcW w:w="9405" w:type="dxa"/>
            <w:gridSpan w:val="13"/>
            <w:shd w:val="clear" w:color="auto" w:fill="D9E2F3"/>
            <w:vAlign w:val="center"/>
          </w:tcPr>
          <w:p w14:paraId="131BCBED" w14:textId="77777777" w:rsidR="00990B14" w:rsidRDefault="00000000">
            <w:pPr>
              <w:spacing w:before="20" w:after="20"/>
              <w:jc w:val="both"/>
            </w:pPr>
            <w:r>
              <w:rPr>
                <w:b/>
                <w:bCs/>
                <w:i/>
                <w:iCs/>
                <w:sz w:val="18"/>
                <w:szCs w:val="18"/>
              </w:rPr>
              <w:t xml:space="preserve">Elemento de competencia 3: </w:t>
            </w:r>
            <w:r>
              <w:rPr>
                <w:sz w:val="18"/>
                <w:szCs w:val="18"/>
              </w:rPr>
              <w:t>Elabora los estados financieros de propósito general de acuerdo con las Normas NIIF de Contabilidad y el Marco Conceptual, identificando las simplificaciones de las Secciones correspondientes de la NIIF para las PYMES al aplicar el tratamiento contable para la selección y cambios en políticas contables, cambios en estimaciones contables, la corrección de errores, los hechos ocurridos después del periodo sobre el que se informa, los efectos de la conversión de la moneda extranjera y los ajustes por hiperinflación, para garantizar la representación fiel, la comparabilidad de la información financiera y el resguardo del interés público.</w:t>
            </w:r>
          </w:p>
        </w:tc>
      </w:tr>
      <w:tr w:rsidR="00990B14" w14:paraId="418F0427" w14:textId="77777777">
        <w:trPr>
          <w:cantSplit/>
          <w:jc w:val="center"/>
        </w:trPr>
        <w:tc>
          <w:tcPr>
            <w:tcW w:w="3133" w:type="dxa"/>
            <w:gridSpan w:val="4"/>
            <w:shd w:val="clear" w:color="auto" w:fill="4472C4"/>
            <w:vAlign w:val="center"/>
          </w:tcPr>
          <w:p w14:paraId="222B4CEB"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723285A5"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173E0693" w14:textId="77777777" w:rsidR="00990B14" w:rsidRDefault="00000000">
            <w:pPr>
              <w:keepNext/>
              <w:spacing w:before="20" w:after="20"/>
              <w:jc w:val="center"/>
            </w:pPr>
            <w:r>
              <w:rPr>
                <w:b/>
                <w:bCs/>
                <w:i/>
                <w:iCs/>
                <w:color w:val="FFFFFF"/>
                <w:sz w:val="18"/>
                <w:szCs w:val="18"/>
              </w:rPr>
              <w:t>Evidencias de producto</w:t>
            </w:r>
          </w:p>
        </w:tc>
      </w:tr>
      <w:tr w:rsidR="00990B14" w14:paraId="37052FB4" w14:textId="77777777">
        <w:trPr>
          <w:cantSplit/>
          <w:jc w:val="center"/>
        </w:trPr>
        <w:tc>
          <w:tcPr>
            <w:tcW w:w="3133" w:type="dxa"/>
            <w:gridSpan w:val="4"/>
            <w:vMerge w:val="restart"/>
            <w:shd w:val="clear" w:color="auto" w:fill="D9E2F3"/>
            <w:vAlign w:val="center"/>
          </w:tcPr>
          <w:p w14:paraId="269F2256" w14:textId="77777777" w:rsidR="00990B14" w:rsidRDefault="00000000">
            <w:pPr>
              <w:spacing w:before="20" w:after="20"/>
              <w:jc w:val="both"/>
            </w:pPr>
            <w:r>
              <w:rPr>
                <w:sz w:val="18"/>
                <w:szCs w:val="18"/>
              </w:rPr>
              <w:t>1. Estructura un juego completo de estados financieros de propósito general integrando los criterios de presentación y revelación de la NIIF 18 y el estado de flujos de efectivo (NIC 7) e identifica las simplificaciones de las Secciones 3 a la 8 de la NIIF para las PYMES</w:t>
            </w:r>
          </w:p>
        </w:tc>
        <w:tc>
          <w:tcPr>
            <w:tcW w:w="3135" w:type="dxa"/>
            <w:gridSpan w:val="5"/>
            <w:shd w:val="clear" w:color="auto" w:fill="D9E2F3"/>
            <w:vAlign w:val="center"/>
          </w:tcPr>
          <w:p w14:paraId="41F512BC" w14:textId="77777777" w:rsidR="00990B14" w:rsidRDefault="00000000">
            <w:pPr>
              <w:spacing w:before="20" w:after="20"/>
              <w:jc w:val="both"/>
            </w:pPr>
            <w:r>
              <w:rPr>
                <w:sz w:val="18"/>
                <w:szCs w:val="18"/>
              </w:rPr>
              <w:t>1.1 Elabora en aula el estado de situación financiera, el estado del resultado del periodo y otro resultado integral y el estado de cambios en el patrimonio de un caso práctico integral.</w:t>
            </w:r>
          </w:p>
        </w:tc>
        <w:tc>
          <w:tcPr>
            <w:tcW w:w="3137" w:type="dxa"/>
            <w:gridSpan w:val="4"/>
            <w:shd w:val="clear" w:color="auto" w:fill="D9E2F3"/>
            <w:vAlign w:val="center"/>
          </w:tcPr>
          <w:p w14:paraId="71DC99CD" w14:textId="77777777" w:rsidR="00990B14" w:rsidRDefault="00000000">
            <w:pPr>
              <w:spacing w:before="20" w:after="20"/>
              <w:jc w:val="both"/>
            </w:pPr>
            <w:r>
              <w:rPr>
                <w:b/>
                <w:bCs/>
                <w:sz w:val="18"/>
                <w:szCs w:val="18"/>
              </w:rPr>
              <w:t xml:space="preserve">Producto 9: </w:t>
            </w:r>
            <w:r>
              <w:rPr>
                <w:sz w:val="18"/>
                <w:szCs w:val="18"/>
              </w:rPr>
              <w:t>Juego de estados financieros de propósito general con sus notas conforme a la NIIF 18.</w:t>
            </w:r>
          </w:p>
        </w:tc>
      </w:tr>
      <w:tr w:rsidR="00990B14" w14:paraId="1A05209E" w14:textId="77777777">
        <w:trPr>
          <w:cantSplit/>
          <w:jc w:val="center"/>
        </w:trPr>
        <w:tc>
          <w:tcPr>
            <w:tcW w:w="3133" w:type="dxa"/>
            <w:gridSpan w:val="4"/>
            <w:vMerge/>
            <w:shd w:val="clear" w:color="auto" w:fill="D9E2F3"/>
            <w:vAlign w:val="center"/>
          </w:tcPr>
          <w:p w14:paraId="5D03EB53" w14:textId="77777777" w:rsidR="00990B14" w:rsidRDefault="00990B14">
            <w:pPr>
              <w:spacing w:before="20" w:after="20"/>
            </w:pPr>
          </w:p>
        </w:tc>
        <w:tc>
          <w:tcPr>
            <w:tcW w:w="3135" w:type="dxa"/>
            <w:gridSpan w:val="5"/>
            <w:shd w:val="clear" w:color="auto" w:fill="D9E2F3"/>
            <w:vAlign w:val="center"/>
          </w:tcPr>
          <w:p w14:paraId="7A67AE4F" w14:textId="77777777" w:rsidR="00990B14" w:rsidRDefault="00000000">
            <w:pPr>
              <w:spacing w:before="20" w:after="20"/>
              <w:jc w:val="both"/>
            </w:pPr>
            <w:r>
              <w:rPr>
                <w:sz w:val="18"/>
                <w:szCs w:val="18"/>
              </w:rPr>
              <w:t>1.2 Prepara en el aula el estado de flujos de efectivo del caso práctico.</w:t>
            </w:r>
          </w:p>
        </w:tc>
        <w:tc>
          <w:tcPr>
            <w:tcW w:w="3137" w:type="dxa"/>
            <w:gridSpan w:val="4"/>
            <w:shd w:val="clear" w:color="auto" w:fill="D9E2F3"/>
            <w:vAlign w:val="center"/>
          </w:tcPr>
          <w:p w14:paraId="769700C3" w14:textId="77777777" w:rsidR="00990B14" w:rsidRDefault="00000000">
            <w:pPr>
              <w:spacing w:before="20" w:after="20"/>
              <w:jc w:val="both"/>
            </w:pPr>
            <w:r>
              <w:rPr>
                <w:b/>
                <w:bCs/>
                <w:sz w:val="18"/>
                <w:szCs w:val="18"/>
              </w:rPr>
              <w:t xml:space="preserve">Producto 10: </w:t>
            </w:r>
            <w:r>
              <w:rPr>
                <w:sz w:val="18"/>
                <w:szCs w:val="18"/>
              </w:rPr>
              <w:t>Estado de flujos de efectivo del caso práctico por el método directo o indirecto.</w:t>
            </w:r>
          </w:p>
        </w:tc>
      </w:tr>
      <w:tr w:rsidR="00990B14" w14:paraId="39E55BAA" w14:textId="77777777">
        <w:trPr>
          <w:cantSplit/>
          <w:jc w:val="center"/>
        </w:trPr>
        <w:tc>
          <w:tcPr>
            <w:tcW w:w="3133" w:type="dxa"/>
            <w:gridSpan w:val="4"/>
            <w:vMerge w:val="restart"/>
            <w:shd w:val="clear" w:color="auto" w:fill="D9E2F3"/>
            <w:vAlign w:val="center"/>
          </w:tcPr>
          <w:p w14:paraId="51C116E7" w14:textId="77777777" w:rsidR="00990B14" w:rsidRDefault="00000000">
            <w:pPr>
              <w:spacing w:before="20" w:after="20"/>
              <w:jc w:val="both"/>
            </w:pPr>
            <w:r>
              <w:rPr>
                <w:sz w:val="18"/>
                <w:szCs w:val="18"/>
              </w:rPr>
              <w:t>2. Aplica el tratamiento contable para la selección y cambios en políticas contables, cambios en estimaciones contables y la corrección de errores (NIC 8 – Sección 10), los hechos ocurridos después del periodo sobre el que se informa (NIC 10 – Sección 32), así como los efectos de la conversión de la moneda extranjera y la reexpresión en economías hiperinflacionarias (NIC 21 y NIC 29 – Secciones 30 y 31).</w:t>
            </w:r>
          </w:p>
        </w:tc>
        <w:tc>
          <w:tcPr>
            <w:tcW w:w="3135" w:type="dxa"/>
            <w:gridSpan w:val="5"/>
            <w:shd w:val="clear" w:color="auto" w:fill="D9E2F3"/>
            <w:vAlign w:val="center"/>
          </w:tcPr>
          <w:p w14:paraId="77987D06" w14:textId="77777777" w:rsidR="00990B14" w:rsidRDefault="00000000">
            <w:pPr>
              <w:spacing w:before="20" w:after="20"/>
              <w:jc w:val="both"/>
            </w:pPr>
            <w:r>
              <w:rPr>
                <w:sz w:val="18"/>
                <w:szCs w:val="18"/>
              </w:rPr>
              <w:t>2.1 Sustenta ante el curso el tratamiento de un hecho posterior, de un cambio de política contable, cambio en estimación contable y errores.</w:t>
            </w:r>
          </w:p>
        </w:tc>
        <w:tc>
          <w:tcPr>
            <w:tcW w:w="3137" w:type="dxa"/>
            <w:gridSpan w:val="4"/>
            <w:shd w:val="clear" w:color="auto" w:fill="D9E2F3"/>
            <w:vAlign w:val="center"/>
          </w:tcPr>
          <w:p w14:paraId="3001389B" w14:textId="77777777" w:rsidR="00990B14" w:rsidRDefault="00000000">
            <w:pPr>
              <w:spacing w:before="20" w:after="20"/>
              <w:jc w:val="both"/>
            </w:pPr>
            <w:r>
              <w:rPr>
                <w:b/>
                <w:bCs/>
                <w:sz w:val="18"/>
                <w:szCs w:val="18"/>
              </w:rPr>
              <w:t xml:space="preserve">Producto 11: </w:t>
            </w:r>
            <w:r>
              <w:rPr>
                <w:sz w:val="18"/>
                <w:szCs w:val="18"/>
              </w:rPr>
              <w:t>Informe del tratamiento de los hechos posteriores y de los cambios en políticas, cambios en estimaciones contables y errores.</w:t>
            </w:r>
          </w:p>
        </w:tc>
      </w:tr>
      <w:tr w:rsidR="00990B14" w14:paraId="28ABCE8B" w14:textId="77777777">
        <w:trPr>
          <w:cantSplit/>
          <w:jc w:val="center"/>
        </w:trPr>
        <w:tc>
          <w:tcPr>
            <w:tcW w:w="3133" w:type="dxa"/>
            <w:gridSpan w:val="4"/>
            <w:vMerge/>
            <w:shd w:val="clear" w:color="auto" w:fill="D9E2F3"/>
            <w:vAlign w:val="center"/>
          </w:tcPr>
          <w:p w14:paraId="2EFA5BEE" w14:textId="77777777" w:rsidR="00990B14" w:rsidRDefault="00990B14">
            <w:pPr>
              <w:spacing w:before="20" w:after="20"/>
            </w:pPr>
          </w:p>
        </w:tc>
        <w:tc>
          <w:tcPr>
            <w:tcW w:w="3135" w:type="dxa"/>
            <w:gridSpan w:val="5"/>
            <w:shd w:val="clear" w:color="auto" w:fill="D9E2F3"/>
            <w:vAlign w:val="center"/>
          </w:tcPr>
          <w:p w14:paraId="55A584C3" w14:textId="77777777" w:rsidR="00990B14" w:rsidRDefault="00000000">
            <w:pPr>
              <w:spacing w:before="20" w:after="20"/>
              <w:jc w:val="both"/>
            </w:pPr>
            <w:r>
              <w:rPr>
                <w:sz w:val="18"/>
                <w:szCs w:val="18"/>
              </w:rPr>
              <w:t>2.2 Resuelve en aula la medición de transacciones en moneda extranjera y la reexpresión de estados financieros.</w:t>
            </w:r>
          </w:p>
        </w:tc>
        <w:tc>
          <w:tcPr>
            <w:tcW w:w="3137" w:type="dxa"/>
            <w:gridSpan w:val="4"/>
            <w:shd w:val="clear" w:color="auto" w:fill="D9E2F3"/>
            <w:vAlign w:val="center"/>
          </w:tcPr>
          <w:p w14:paraId="49E31BBC" w14:textId="77777777" w:rsidR="00990B14" w:rsidRDefault="00000000">
            <w:pPr>
              <w:spacing w:before="20" w:after="20"/>
              <w:jc w:val="both"/>
            </w:pPr>
            <w:r>
              <w:rPr>
                <w:b/>
                <w:bCs/>
                <w:sz w:val="18"/>
                <w:szCs w:val="18"/>
              </w:rPr>
              <w:t xml:space="preserve">Producto 12: </w:t>
            </w:r>
            <w:r>
              <w:rPr>
                <w:sz w:val="18"/>
                <w:szCs w:val="18"/>
              </w:rPr>
              <w:t>Práctico de diferencias de cambio, conversión de estados financieros a moneda de presentación y de reexpresión en una economía hiperinflacionaria.</w:t>
            </w:r>
          </w:p>
        </w:tc>
      </w:tr>
      <w:tr w:rsidR="00990B14" w14:paraId="6D0255F9" w14:textId="77777777">
        <w:trPr>
          <w:cantSplit/>
          <w:jc w:val="center"/>
        </w:trPr>
        <w:tc>
          <w:tcPr>
            <w:tcW w:w="9405" w:type="dxa"/>
            <w:gridSpan w:val="13"/>
            <w:shd w:val="clear" w:color="auto" w:fill="4472C4"/>
            <w:vAlign w:val="center"/>
          </w:tcPr>
          <w:p w14:paraId="621F7CC4" w14:textId="77777777" w:rsidR="00990B14" w:rsidRDefault="00000000">
            <w:pPr>
              <w:keepNext/>
              <w:spacing w:before="20" w:after="20"/>
              <w:jc w:val="center"/>
            </w:pPr>
            <w:r>
              <w:rPr>
                <w:b/>
                <w:bCs/>
                <w:i/>
                <w:iCs/>
                <w:color w:val="FFFFFF"/>
                <w:sz w:val="18"/>
                <w:szCs w:val="18"/>
              </w:rPr>
              <w:t>Evidencias de conocimiento</w:t>
            </w:r>
          </w:p>
        </w:tc>
      </w:tr>
      <w:tr w:rsidR="00990B14" w14:paraId="15EB050C" w14:textId="77777777">
        <w:trPr>
          <w:cantSplit/>
          <w:jc w:val="center"/>
        </w:trPr>
        <w:tc>
          <w:tcPr>
            <w:tcW w:w="2349" w:type="dxa"/>
            <w:gridSpan w:val="2"/>
            <w:shd w:val="clear" w:color="auto" w:fill="4472C4"/>
            <w:vAlign w:val="center"/>
          </w:tcPr>
          <w:p w14:paraId="0DA92B72"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2DF45CCD" w14:textId="77777777" w:rsidR="00990B14" w:rsidRDefault="00000000">
            <w:pPr>
              <w:keepNext/>
              <w:spacing w:before="20" w:after="20"/>
              <w:jc w:val="both"/>
            </w:pPr>
            <w:r>
              <w:rPr>
                <w:b/>
                <w:bCs/>
                <w:i/>
                <w:iCs/>
                <w:color w:val="FFFFFF"/>
                <w:sz w:val="18"/>
                <w:szCs w:val="18"/>
              </w:rPr>
              <w:t>Contenidos</w:t>
            </w:r>
          </w:p>
          <w:p w14:paraId="1298FAA5"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11D43B13" w14:textId="77777777" w:rsidR="00990B14" w:rsidRDefault="00000000">
            <w:pPr>
              <w:keepNext/>
              <w:spacing w:before="20" w:after="20"/>
              <w:jc w:val="center"/>
            </w:pPr>
            <w:r>
              <w:rPr>
                <w:b/>
                <w:bCs/>
                <w:i/>
                <w:iCs/>
                <w:color w:val="FFFFFF"/>
                <w:sz w:val="18"/>
                <w:szCs w:val="18"/>
              </w:rPr>
              <w:t>Conocimientos circunstanciales</w:t>
            </w:r>
          </w:p>
        </w:tc>
      </w:tr>
      <w:tr w:rsidR="00990B14" w14:paraId="258DA270" w14:textId="77777777">
        <w:trPr>
          <w:jc w:val="center"/>
        </w:trPr>
        <w:tc>
          <w:tcPr>
            <w:tcW w:w="2349" w:type="dxa"/>
            <w:gridSpan w:val="2"/>
            <w:shd w:val="clear" w:color="auto" w:fill="D9E2F3"/>
          </w:tcPr>
          <w:p w14:paraId="742D5939" w14:textId="77777777" w:rsidR="00990B14" w:rsidRDefault="00000000">
            <w:pPr>
              <w:spacing w:before="20" w:after="40"/>
              <w:jc w:val="both"/>
            </w:pPr>
            <w:r>
              <w:rPr>
                <w:sz w:val="18"/>
                <w:szCs w:val="18"/>
              </w:rPr>
              <w:t>Tema 6: Marco Conceptual para la Información Financiera</w:t>
            </w:r>
          </w:p>
          <w:p w14:paraId="0AC4E4EF" w14:textId="77777777" w:rsidR="00990B14" w:rsidRDefault="00000000">
            <w:pPr>
              <w:spacing w:before="20" w:after="40"/>
              <w:jc w:val="both"/>
            </w:pPr>
            <w:r>
              <w:rPr>
                <w:sz w:val="18"/>
                <w:szCs w:val="18"/>
              </w:rPr>
              <w:t>Tema 7: NIIF 18 Presentación e Información a Revelar en los Estados Financieros</w:t>
            </w:r>
          </w:p>
          <w:p w14:paraId="3E8F56CD" w14:textId="77777777" w:rsidR="00990B14" w:rsidRDefault="00000000">
            <w:pPr>
              <w:spacing w:before="20" w:after="40"/>
              <w:jc w:val="both"/>
            </w:pPr>
            <w:r>
              <w:rPr>
                <w:sz w:val="18"/>
                <w:szCs w:val="18"/>
              </w:rPr>
              <w:t>Tema 8: NIC 7 Estado de Flujos de Efectivo</w:t>
            </w:r>
          </w:p>
          <w:p w14:paraId="1C01D63C" w14:textId="77777777" w:rsidR="00990B14" w:rsidRDefault="00000000">
            <w:pPr>
              <w:spacing w:before="20" w:after="40"/>
              <w:jc w:val="both"/>
            </w:pPr>
            <w:r>
              <w:rPr>
                <w:sz w:val="18"/>
                <w:szCs w:val="18"/>
              </w:rPr>
              <w:t>Tema 9: NIC 8 Políticas Contables, Cambios en las Estimaciones Contables y Errores</w:t>
            </w:r>
          </w:p>
          <w:p w14:paraId="0D847485" w14:textId="77777777" w:rsidR="00990B14" w:rsidRDefault="00000000">
            <w:pPr>
              <w:spacing w:before="20" w:after="40"/>
              <w:jc w:val="both"/>
            </w:pPr>
            <w:r>
              <w:rPr>
                <w:sz w:val="18"/>
                <w:szCs w:val="18"/>
              </w:rPr>
              <w:t>Tema 10: NIC 10 Hechos Ocurridos Después del Periodo sobre el que se Informa</w:t>
            </w:r>
          </w:p>
          <w:p w14:paraId="2D76D90D" w14:textId="77777777" w:rsidR="00990B14" w:rsidRDefault="00000000">
            <w:pPr>
              <w:spacing w:before="20" w:after="40"/>
              <w:jc w:val="both"/>
            </w:pPr>
            <w:r>
              <w:rPr>
                <w:sz w:val="18"/>
                <w:szCs w:val="18"/>
              </w:rPr>
              <w:t>Tema 11: NIC 21 Efectos de las Variaciones en las Tasas de Cambio de la Moneda Extranjera</w:t>
            </w:r>
          </w:p>
          <w:p w14:paraId="43718D2E" w14:textId="77777777" w:rsidR="00990B14" w:rsidRDefault="00000000">
            <w:pPr>
              <w:spacing w:before="20" w:after="40"/>
              <w:jc w:val="both"/>
            </w:pPr>
            <w:r>
              <w:rPr>
                <w:sz w:val="18"/>
                <w:szCs w:val="18"/>
              </w:rPr>
              <w:t>Tema 12: NIC 29 Información Financiera en Economías Hiperinflacionarias</w:t>
            </w:r>
          </w:p>
        </w:tc>
        <w:tc>
          <w:tcPr>
            <w:tcW w:w="4304" w:type="dxa"/>
            <w:gridSpan w:val="8"/>
            <w:shd w:val="clear" w:color="auto" w:fill="D9E2F3"/>
          </w:tcPr>
          <w:p w14:paraId="76420628" w14:textId="77777777" w:rsidR="00990B14" w:rsidRDefault="00000000">
            <w:pPr>
              <w:spacing w:after="40"/>
              <w:jc w:val="both"/>
            </w:pPr>
            <w:r>
              <w:rPr>
                <w:sz w:val="18"/>
                <w:szCs w:val="18"/>
              </w:rPr>
              <w:t>La empresa y la contabilidad; propósito, valor normativo y alcance del Marco Conceptual para la Información Financiera. (C)</w:t>
            </w:r>
          </w:p>
          <w:p w14:paraId="5DF334AD" w14:textId="77777777" w:rsidR="00990B14" w:rsidRDefault="00000000">
            <w:pPr>
              <w:spacing w:after="40"/>
              <w:jc w:val="both"/>
            </w:pPr>
            <w:r>
              <w:rPr>
                <w:sz w:val="18"/>
                <w:szCs w:val="18"/>
              </w:rPr>
              <w:t>El objetivo de la información financiera con propósito general y las características cualitativas de la información financiera útil. (C)</w:t>
            </w:r>
          </w:p>
          <w:p w14:paraId="5638AC56" w14:textId="77777777" w:rsidR="00990B14" w:rsidRDefault="00000000">
            <w:pPr>
              <w:spacing w:after="40"/>
              <w:jc w:val="both"/>
            </w:pPr>
            <w:r>
              <w:rPr>
                <w:sz w:val="18"/>
                <w:szCs w:val="18"/>
              </w:rPr>
              <w:t>Los estados financieros y la entidad que informa; los elementos de los estados financieros, su reconocimiento y baja en cuentas. (C, P)</w:t>
            </w:r>
          </w:p>
          <w:p w14:paraId="573830C3" w14:textId="77777777" w:rsidR="00990B14" w:rsidRDefault="00000000">
            <w:pPr>
              <w:spacing w:after="40"/>
              <w:jc w:val="both"/>
            </w:pPr>
            <w:r>
              <w:rPr>
                <w:sz w:val="18"/>
                <w:szCs w:val="18"/>
              </w:rPr>
              <w:t>Medición, presentación e información a revelar, y los conceptos de capital y de mantenimiento del capital del Marco Conceptual. (C, P)</w:t>
            </w:r>
          </w:p>
          <w:p w14:paraId="21B39AA8" w14:textId="77777777" w:rsidR="00990B14" w:rsidRDefault="00000000">
            <w:pPr>
              <w:spacing w:after="40"/>
              <w:jc w:val="both"/>
            </w:pPr>
            <w:r>
              <w:rPr>
                <w:sz w:val="18"/>
                <w:szCs w:val="18"/>
              </w:rPr>
              <w:t>Objetivo, alcance y requerimientos generales de la NIIF 18 Presentación e Información a Revelar en los Estados Financieros; objetivo de los estados financieros. (C, P)</w:t>
            </w:r>
          </w:p>
          <w:p w14:paraId="0240F581" w14:textId="77777777" w:rsidR="00990B14" w:rsidRDefault="00000000">
            <w:pPr>
              <w:spacing w:after="40"/>
              <w:jc w:val="both"/>
            </w:pPr>
            <w:r>
              <w:rPr>
                <w:sz w:val="18"/>
                <w:szCs w:val="18"/>
              </w:rPr>
              <w:t>Un juego completo de estados financieros, su identificación y los principios de agregación y desagregación. (C)</w:t>
            </w:r>
          </w:p>
          <w:p w14:paraId="1116FA82" w14:textId="77777777" w:rsidR="00990B14" w:rsidRDefault="00000000">
            <w:pPr>
              <w:spacing w:after="40"/>
              <w:jc w:val="both"/>
            </w:pPr>
            <w:r>
              <w:rPr>
                <w:sz w:val="18"/>
                <w:szCs w:val="18"/>
              </w:rPr>
              <w:t>Estado del resultado del periodo, estado de presentación del resultado integral, estado de situación financiera, estado de cambios en el patrimonio y notas. (C)</w:t>
            </w:r>
          </w:p>
          <w:p w14:paraId="3994F9E3" w14:textId="77777777" w:rsidR="00990B14" w:rsidRDefault="00000000">
            <w:pPr>
              <w:spacing w:after="40"/>
              <w:jc w:val="both"/>
            </w:pPr>
            <w:r>
              <w:rPr>
                <w:sz w:val="18"/>
                <w:szCs w:val="18"/>
              </w:rPr>
              <w:t>Categorías de operación, de inversión y de financiación del estado del resultado del periodo, subtotales requeridos y medidas de rendimiento definidas por la gerencia. (C)</w:t>
            </w:r>
          </w:p>
          <w:p w14:paraId="23434DD6" w14:textId="77777777" w:rsidR="00990B14" w:rsidRDefault="00000000">
            <w:pPr>
              <w:spacing w:after="40"/>
              <w:jc w:val="both"/>
            </w:pPr>
            <w:r>
              <w:rPr>
                <w:sz w:val="18"/>
                <w:szCs w:val="18"/>
              </w:rPr>
              <w:t>Objetivo, alcance y beneficios de la información sobre flujos de efectivo según la NIC 7; efectivo y equivalentes al efectivo. (C)</w:t>
            </w:r>
          </w:p>
          <w:p w14:paraId="680DD272" w14:textId="77777777" w:rsidR="00990B14" w:rsidRDefault="00000000">
            <w:pPr>
              <w:spacing w:after="40"/>
              <w:jc w:val="both"/>
            </w:pPr>
            <w:r>
              <w:rPr>
                <w:sz w:val="18"/>
                <w:szCs w:val="18"/>
              </w:rPr>
              <w:t>Presentación del estado de flujos de efectivo por actividades de operación, de inversión y de financiación. (P)</w:t>
            </w:r>
          </w:p>
          <w:p w14:paraId="754F5918" w14:textId="77777777" w:rsidR="00990B14" w:rsidRDefault="00000000">
            <w:pPr>
              <w:spacing w:after="40"/>
              <w:jc w:val="both"/>
            </w:pPr>
            <w:r>
              <w:rPr>
                <w:sz w:val="18"/>
                <w:szCs w:val="18"/>
              </w:rPr>
              <w:t>Información sobre flujos de efectivo en términos netos, en moneda extranjera, por intereses y dividendos, y en transacciones no monetarias. (C)</w:t>
            </w:r>
          </w:p>
          <w:p w14:paraId="0019ED53" w14:textId="77777777" w:rsidR="00990B14" w:rsidRDefault="00000000">
            <w:pPr>
              <w:spacing w:after="40"/>
              <w:jc w:val="both"/>
            </w:pPr>
            <w:r>
              <w:rPr>
                <w:sz w:val="18"/>
                <w:szCs w:val="18"/>
              </w:rPr>
              <w:t>Componentes de la partida efectivo y equivalentes al efectivo y otras informaciones a revelar según la NIC 7. (C)</w:t>
            </w:r>
          </w:p>
          <w:p w14:paraId="7DB24983" w14:textId="77777777" w:rsidR="00990B14" w:rsidRDefault="00000000">
            <w:pPr>
              <w:spacing w:after="40"/>
              <w:jc w:val="both"/>
            </w:pPr>
            <w:r>
              <w:rPr>
                <w:sz w:val="18"/>
                <w:szCs w:val="18"/>
              </w:rPr>
              <w:t>Criterios para seleccionar y modificar las políticas contables y su tratamiento contable e información a revelar según la NIC 8. (C, P)</w:t>
            </w:r>
          </w:p>
          <w:p w14:paraId="3BBB27EB" w14:textId="77777777" w:rsidR="00990B14" w:rsidRDefault="00000000">
            <w:pPr>
              <w:spacing w:after="40"/>
              <w:jc w:val="both"/>
            </w:pPr>
            <w:r>
              <w:rPr>
                <w:sz w:val="18"/>
                <w:szCs w:val="18"/>
              </w:rPr>
              <w:t>Cambios en las estimaciones contables, corrección de errores e impracticabilidad de la aplicación de reexpresiones retroactivas. (P)</w:t>
            </w:r>
          </w:p>
          <w:p w14:paraId="15F73745" w14:textId="77777777" w:rsidR="00990B14" w:rsidRDefault="00000000">
            <w:pPr>
              <w:spacing w:after="40"/>
              <w:jc w:val="both"/>
            </w:pPr>
            <w:r>
              <w:rPr>
                <w:sz w:val="18"/>
                <w:szCs w:val="18"/>
              </w:rPr>
              <w:t>Objetivo, alcance, definiciones, reconocimiento y medición de los hechos ocurridos después del periodo sobre el que se informa según la NIC 10. (C, P)</w:t>
            </w:r>
          </w:p>
          <w:p w14:paraId="480FFDD3" w14:textId="77777777" w:rsidR="00990B14" w:rsidRDefault="00000000">
            <w:pPr>
              <w:spacing w:after="40"/>
              <w:jc w:val="both"/>
            </w:pPr>
            <w:r>
              <w:rPr>
                <w:sz w:val="18"/>
                <w:szCs w:val="18"/>
              </w:rPr>
              <w:t>Determinación de la fecha de aprobación y de publicación de los estados financieros. (P)</w:t>
            </w:r>
          </w:p>
          <w:p w14:paraId="2889647E" w14:textId="77777777" w:rsidR="00990B14" w:rsidRDefault="00000000">
            <w:pPr>
              <w:spacing w:after="40"/>
              <w:jc w:val="both"/>
            </w:pPr>
            <w:r>
              <w:rPr>
                <w:sz w:val="18"/>
                <w:szCs w:val="18"/>
              </w:rPr>
              <w:t>Hechos posteriores que implican ajustes y hechos posteriores que no implican ajustes; dividendos y negocio en marcha. (C)</w:t>
            </w:r>
          </w:p>
          <w:p w14:paraId="39E0EB46" w14:textId="77777777" w:rsidR="00990B14" w:rsidRDefault="00000000">
            <w:pPr>
              <w:spacing w:after="40"/>
              <w:jc w:val="both"/>
            </w:pPr>
            <w:r>
              <w:rPr>
                <w:sz w:val="18"/>
                <w:szCs w:val="18"/>
              </w:rPr>
              <w:t>Objetivo, alcance, definiciones y enfoque requerido por la NIC 21 para los efectos de las variaciones en las tasas de cambio de la moneda extranjera. (C)</w:t>
            </w:r>
          </w:p>
          <w:p w14:paraId="04AEAA6F" w14:textId="77777777" w:rsidR="00990B14" w:rsidRDefault="00000000">
            <w:pPr>
              <w:spacing w:after="40"/>
              <w:jc w:val="both"/>
            </w:pPr>
            <w:r>
              <w:rPr>
                <w:sz w:val="18"/>
                <w:szCs w:val="18"/>
              </w:rPr>
              <w:t>Información en moneda funcional sobre las transacciones en moneda extranjera, utilización de una moneda de presentación distinta de la funcional y efectos impositivos de las diferencias de cambio. (C)</w:t>
            </w:r>
          </w:p>
          <w:p w14:paraId="3BCD1B2C" w14:textId="77777777" w:rsidR="00990B14" w:rsidRDefault="00000000">
            <w:pPr>
              <w:spacing w:after="40"/>
              <w:jc w:val="both"/>
            </w:pPr>
            <w:r>
              <w:rPr>
                <w:sz w:val="18"/>
                <w:szCs w:val="18"/>
              </w:rPr>
              <w:t>Efectos del régimen de tipo de cambio flexible sobre la medición de las partidas monetarias en moneda extranjera y sobre el reconocimiento de las diferencias de cambio. (P)</w:t>
            </w:r>
          </w:p>
          <w:p w14:paraId="46983F53" w14:textId="77777777" w:rsidR="00990B14" w:rsidRDefault="00000000">
            <w:pPr>
              <w:spacing w:after="40"/>
              <w:jc w:val="both"/>
            </w:pPr>
            <w:r>
              <w:rPr>
                <w:sz w:val="18"/>
                <w:szCs w:val="18"/>
              </w:rPr>
              <w:t>La reexpresión de los estados financieros a costo histórico y a costo corriente, y del estado de flujos de efectivo, según la NIC 29. (P)</w:t>
            </w:r>
          </w:p>
          <w:p w14:paraId="59C232E9" w14:textId="77777777" w:rsidR="00990B14" w:rsidRDefault="00000000">
            <w:pPr>
              <w:spacing w:after="40"/>
              <w:jc w:val="both"/>
            </w:pPr>
            <w:r>
              <w:rPr>
                <w:sz w:val="18"/>
                <w:szCs w:val="18"/>
              </w:rPr>
              <w:t>Importes de periodos anteriores, estados financieros consolidados y selección de un índice general de precios en economías hiperinflacionarias. (C)</w:t>
            </w:r>
          </w:p>
          <w:p w14:paraId="0A27F3BB" w14:textId="77777777" w:rsidR="00990B14" w:rsidRDefault="00000000">
            <w:pPr>
              <w:spacing w:after="40"/>
              <w:jc w:val="both"/>
            </w:pPr>
            <w:r>
              <w:rPr>
                <w:sz w:val="18"/>
                <w:szCs w:val="18"/>
              </w:rPr>
              <w:t>Economías que dejan de ser hiperinflacionarias e información a revelar según la NIC 29. (P)</w:t>
            </w:r>
          </w:p>
          <w:p w14:paraId="39BE13AB" w14:textId="77777777" w:rsidR="00990B14" w:rsidRDefault="00000000">
            <w:pPr>
              <w:spacing w:after="40"/>
              <w:jc w:val="both"/>
            </w:pPr>
            <w:r>
              <w:rPr>
                <w:sz w:val="18"/>
                <w:szCs w:val="18"/>
              </w:rPr>
              <w:t>Criterios de la NIC 29 y de la Norma de Contabilidad N.º 3 para calificar una economía como hiperinflacionaria, y situación de la reexpresión de estados financieros en Bolivia. (C, P)</w:t>
            </w:r>
          </w:p>
          <w:p w14:paraId="4C054C94" w14:textId="77777777" w:rsidR="00990B14" w:rsidRDefault="00000000">
            <w:pPr>
              <w:spacing w:after="40"/>
              <w:jc w:val="both"/>
            </w:pPr>
            <w:r>
              <w:rPr>
                <w:sz w:val="18"/>
                <w:szCs w:val="18"/>
              </w:rPr>
              <w:t>Casos de estudio y análisis de la sección de la NIIF para PYMES relacionada con cada norma del capítulo. (C, P)</w:t>
            </w:r>
          </w:p>
          <w:p w14:paraId="0257B238" w14:textId="77777777" w:rsidR="00990B14" w:rsidRDefault="00000000">
            <w:pPr>
              <w:spacing w:after="40"/>
              <w:jc w:val="both"/>
            </w:pPr>
            <w:r>
              <w:rPr>
                <w:sz w:val="18"/>
                <w:szCs w:val="18"/>
              </w:rPr>
              <w:t>Juicio profesional y transparencia en la revelación de las políticas contables, las estimaciones y los hechos posteriores. (C, A)</w:t>
            </w:r>
          </w:p>
        </w:tc>
        <w:tc>
          <w:tcPr>
            <w:tcW w:w="2752" w:type="dxa"/>
            <w:gridSpan w:val="3"/>
            <w:shd w:val="clear" w:color="auto" w:fill="D9E2F3"/>
          </w:tcPr>
          <w:p w14:paraId="795CC9C2" w14:textId="77777777" w:rsidR="00990B14" w:rsidRDefault="00000000">
            <w:pPr>
              <w:numPr>
                <w:ilvl w:val="0"/>
                <w:numId w:val="139"/>
              </w:numPr>
              <w:spacing w:before="10" w:after="10"/>
              <w:jc w:val="both"/>
            </w:pPr>
            <w:r>
              <w:rPr>
                <w:sz w:val="18"/>
                <w:szCs w:val="18"/>
              </w:rPr>
              <w:t>Resolución CTNAC N.º 03/2020, de 8 de diciembre de 2020, que suspende el ajuste integral por inflación de los estados financieros previsto en la Norma de Contabilidad N.º 3 y deroga la Resolución CTNAC N.º 01/2008.</w:t>
            </w:r>
          </w:p>
          <w:p w14:paraId="77B51940" w14:textId="77777777" w:rsidR="00990B14" w:rsidRDefault="00000000">
            <w:pPr>
              <w:numPr>
                <w:ilvl w:val="0"/>
                <w:numId w:val="139"/>
              </w:numPr>
              <w:spacing w:before="10" w:after="10"/>
              <w:jc w:val="both"/>
            </w:pPr>
            <w:r>
              <w:rPr>
                <w:sz w:val="18"/>
                <w:szCs w:val="18"/>
              </w:rPr>
              <w:t>Boletín Técnico N.º 1 del Consejo Técnico Nacional de Auditoría y Contabilidad, de enero de 2026, que mantiene suspendida la reexpresión pese a la inflación acumulada de 20,40 % registrada en diciembre de 2025, por no cumplirse todos los indicadores de una economía hiperinflacionaria.</w:t>
            </w:r>
          </w:p>
          <w:p w14:paraId="7996B43E" w14:textId="77777777" w:rsidR="00990B14" w:rsidRDefault="00000000">
            <w:pPr>
              <w:numPr>
                <w:ilvl w:val="0"/>
                <w:numId w:val="139"/>
              </w:numPr>
              <w:spacing w:before="10" w:after="10"/>
              <w:jc w:val="both"/>
            </w:pPr>
            <w:r>
              <w:rPr>
                <w:sz w:val="18"/>
                <w:szCs w:val="18"/>
              </w:rPr>
              <w:t>Régimen de tipo de cambio flexible vigente desde el 29 de junio de 2026 por la Resolución Ministerial N.º 245, con un tipo de cambio oficial que el Banco Central de Bolivia calcula y publica cada día hábil.</w:t>
            </w:r>
          </w:p>
        </w:tc>
      </w:tr>
      <w:tr w:rsidR="00990B14" w14:paraId="45BF18B7" w14:textId="77777777">
        <w:trPr>
          <w:cantSplit/>
          <w:jc w:val="center"/>
        </w:trPr>
        <w:tc>
          <w:tcPr>
            <w:tcW w:w="9405" w:type="dxa"/>
            <w:gridSpan w:val="13"/>
            <w:shd w:val="clear" w:color="auto" w:fill="D9E2F3"/>
            <w:vAlign w:val="center"/>
          </w:tcPr>
          <w:p w14:paraId="459D7C87" w14:textId="77777777" w:rsidR="00990B14" w:rsidRDefault="00000000">
            <w:pPr>
              <w:spacing w:before="20" w:after="20"/>
              <w:jc w:val="both"/>
            </w:pPr>
            <w:r>
              <w:rPr>
                <w:b/>
                <w:bCs/>
                <w:i/>
                <w:iCs/>
                <w:sz w:val="18"/>
                <w:szCs w:val="18"/>
              </w:rPr>
              <w:t xml:space="preserve">Elemento de competencia 4: </w:t>
            </w:r>
            <w:r>
              <w:rPr>
                <w:sz w:val="18"/>
                <w:szCs w:val="18"/>
              </w:rPr>
              <w:t>Aplica y evalúa los criterios de reconocimiento, medición inicial y posterior, deterioro y revelación de las partidas de activo corrientes, no corrientes, tangibles e intangibles, conforme a las Normas NIIF de Contabilidad y las Secciones pertinentes de la NIIF para las PYMES, para determinar la razonabilidad de los recursos económicos de la entidad, garantizar la representación fiel de su patrimonio y respaldar la toma de decisiones financieras estratégicas.</w:t>
            </w:r>
          </w:p>
        </w:tc>
      </w:tr>
      <w:tr w:rsidR="00990B14" w14:paraId="625D61FC" w14:textId="77777777">
        <w:trPr>
          <w:cantSplit/>
          <w:jc w:val="center"/>
        </w:trPr>
        <w:tc>
          <w:tcPr>
            <w:tcW w:w="3133" w:type="dxa"/>
            <w:gridSpan w:val="4"/>
            <w:shd w:val="clear" w:color="auto" w:fill="4472C4"/>
            <w:vAlign w:val="center"/>
          </w:tcPr>
          <w:p w14:paraId="4F23FDDF"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32CF223D"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4F6149E9" w14:textId="77777777" w:rsidR="00990B14" w:rsidRDefault="00000000">
            <w:pPr>
              <w:keepNext/>
              <w:spacing w:before="20" w:after="20"/>
              <w:jc w:val="center"/>
            </w:pPr>
            <w:r>
              <w:rPr>
                <w:b/>
                <w:bCs/>
                <w:i/>
                <w:iCs/>
                <w:color w:val="FFFFFF"/>
                <w:sz w:val="18"/>
                <w:szCs w:val="18"/>
              </w:rPr>
              <w:t>Evidencias de producto</w:t>
            </w:r>
          </w:p>
        </w:tc>
      </w:tr>
      <w:tr w:rsidR="00990B14" w14:paraId="7C014A97" w14:textId="77777777">
        <w:trPr>
          <w:cantSplit/>
          <w:jc w:val="center"/>
        </w:trPr>
        <w:tc>
          <w:tcPr>
            <w:tcW w:w="3133" w:type="dxa"/>
            <w:gridSpan w:val="4"/>
            <w:vMerge w:val="restart"/>
            <w:shd w:val="clear" w:color="auto" w:fill="D9E2F3"/>
            <w:vAlign w:val="center"/>
          </w:tcPr>
          <w:p w14:paraId="3384E16E" w14:textId="77777777" w:rsidR="00990B14" w:rsidRDefault="00000000">
            <w:pPr>
              <w:spacing w:before="20" w:after="20"/>
              <w:jc w:val="both"/>
            </w:pPr>
            <w:r>
              <w:rPr>
                <w:sz w:val="18"/>
                <w:szCs w:val="18"/>
              </w:rPr>
              <w:t>1. Aplica los criterios de reconocimiento y medición (inicial y posterior) para inventarios, propiedades, planta y equipo, costos por préstamos, activos intangibles, propiedades de inversión y derechos de uso por arrendamientos (NIC 2, NIC 16, NIC 23, NIC 38, NIC 40 y NIIF 16), identificando las simplificaciones de las Secciones correspondientes (13, 17, 25, 18, 16 y 20) de la NIIF para las PYMES</w:t>
            </w:r>
          </w:p>
        </w:tc>
        <w:tc>
          <w:tcPr>
            <w:tcW w:w="3135" w:type="dxa"/>
            <w:gridSpan w:val="5"/>
            <w:shd w:val="clear" w:color="auto" w:fill="D9E2F3"/>
            <w:vAlign w:val="center"/>
          </w:tcPr>
          <w:p w14:paraId="0BC90D7C" w14:textId="77777777" w:rsidR="00990B14" w:rsidRDefault="00000000">
            <w:pPr>
              <w:spacing w:before="20" w:after="20"/>
              <w:jc w:val="both"/>
            </w:pPr>
            <w:r>
              <w:rPr>
                <w:sz w:val="18"/>
                <w:szCs w:val="18"/>
              </w:rPr>
              <w:t>1.1 Determina en equipo el costo de importación de inventarios con los INCOTERMS</w:t>
            </w:r>
          </w:p>
        </w:tc>
        <w:tc>
          <w:tcPr>
            <w:tcW w:w="3137" w:type="dxa"/>
            <w:gridSpan w:val="4"/>
            <w:shd w:val="clear" w:color="auto" w:fill="D9E2F3"/>
            <w:vAlign w:val="center"/>
          </w:tcPr>
          <w:p w14:paraId="3B16FD54" w14:textId="77777777" w:rsidR="00990B14" w:rsidRDefault="00000000">
            <w:pPr>
              <w:spacing w:before="20" w:after="20"/>
              <w:jc w:val="both"/>
            </w:pPr>
            <w:r>
              <w:rPr>
                <w:b/>
                <w:bCs/>
                <w:sz w:val="18"/>
                <w:szCs w:val="18"/>
              </w:rPr>
              <w:t xml:space="preserve">Producto 13: </w:t>
            </w:r>
            <w:r>
              <w:rPr>
                <w:sz w:val="18"/>
                <w:szCs w:val="18"/>
              </w:rPr>
              <w:t>Hoja de costo de importación de los inventarios del caso.</w:t>
            </w:r>
          </w:p>
        </w:tc>
      </w:tr>
      <w:tr w:rsidR="00990B14" w14:paraId="1DC28D31" w14:textId="77777777">
        <w:trPr>
          <w:cantSplit/>
          <w:jc w:val="center"/>
        </w:trPr>
        <w:tc>
          <w:tcPr>
            <w:tcW w:w="3133" w:type="dxa"/>
            <w:gridSpan w:val="4"/>
            <w:vMerge/>
            <w:shd w:val="clear" w:color="auto" w:fill="D9E2F3"/>
            <w:vAlign w:val="center"/>
          </w:tcPr>
          <w:p w14:paraId="58978335" w14:textId="77777777" w:rsidR="00990B14" w:rsidRDefault="00990B14">
            <w:pPr>
              <w:spacing w:before="20" w:after="20"/>
            </w:pPr>
          </w:p>
        </w:tc>
        <w:tc>
          <w:tcPr>
            <w:tcW w:w="3135" w:type="dxa"/>
            <w:gridSpan w:val="5"/>
            <w:shd w:val="clear" w:color="auto" w:fill="D9E2F3"/>
            <w:vAlign w:val="center"/>
          </w:tcPr>
          <w:p w14:paraId="479167F0" w14:textId="77777777" w:rsidR="00990B14" w:rsidRDefault="00000000">
            <w:pPr>
              <w:spacing w:before="20" w:after="20"/>
              <w:jc w:val="both"/>
            </w:pPr>
            <w:r>
              <w:rPr>
                <w:sz w:val="18"/>
                <w:szCs w:val="18"/>
              </w:rPr>
              <w:t>1.2 Calcula en aula el costo, la depreciación y la medición posterior de las propiedades, planta y equipo de un caso.</w:t>
            </w:r>
          </w:p>
        </w:tc>
        <w:tc>
          <w:tcPr>
            <w:tcW w:w="3137" w:type="dxa"/>
            <w:gridSpan w:val="4"/>
            <w:shd w:val="clear" w:color="auto" w:fill="D9E2F3"/>
            <w:vAlign w:val="center"/>
          </w:tcPr>
          <w:p w14:paraId="304D3A4E" w14:textId="77777777" w:rsidR="00990B14" w:rsidRDefault="00000000">
            <w:pPr>
              <w:spacing w:before="20" w:after="20"/>
              <w:jc w:val="both"/>
            </w:pPr>
            <w:r>
              <w:rPr>
                <w:b/>
                <w:bCs/>
                <w:sz w:val="18"/>
                <w:szCs w:val="18"/>
              </w:rPr>
              <w:t xml:space="preserve">Producto 14: </w:t>
            </w:r>
            <w:r>
              <w:rPr>
                <w:sz w:val="18"/>
                <w:szCs w:val="18"/>
              </w:rPr>
              <w:t>Cuadro de medición inicial y posterior de inventarios, propiedades, planta y equipo y activos intangibles.</w:t>
            </w:r>
          </w:p>
        </w:tc>
      </w:tr>
      <w:tr w:rsidR="00990B14" w14:paraId="5F83A8A3" w14:textId="77777777">
        <w:trPr>
          <w:cantSplit/>
          <w:jc w:val="center"/>
        </w:trPr>
        <w:tc>
          <w:tcPr>
            <w:tcW w:w="3133" w:type="dxa"/>
            <w:gridSpan w:val="4"/>
            <w:vMerge w:val="restart"/>
            <w:shd w:val="clear" w:color="auto" w:fill="D9E2F3"/>
            <w:vAlign w:val="center"/>
          </w:tcPr>
          <w:p w14:paraId="4BAF55E2" w14:textId="77777777" w:rsidR="00990B14" w:rsidRDefault="00000000">
            <w:pPr>
              <w:spacing w:before="20" w:after="20"/>
              <w:jc w:val="both"/>
            </w:pPr>
            <w:r>
              <w:rPr>
                <w:sz w:val="18"/>
                <w:szCs w:val="18"/>
              </w:rPr>
              <w:t>2. Evalúa las pruebas de deterioro del valor de activos y el tratamiento de los activos no corrientes mantenidos para la venta y operaciones discontinuadas (NIC 36 y NIIF 5), comparando sus estimaciones y revelaciones con los requerimientos de la Sección 27 de la NIIF para las PYMES.</w:t>
            </w:r>
          </w:p>
        </w:tc>
        <w:tc>
          <w:tcPr>
            <w:tcW w:w="3135" w:type="dxa"/>
            <w:gridSpan w:val="5"/>
            <w:shd w:val="clear" w:color="auto" w:fill="D9E2F3"/>
            <w:vAlign w:val="center"/>
          </w:tcPr>
          <w:p w14:paraId="207EAB13" w14:textId="77777777" w:rsidR="00990B14" w:rsidRDefault="00000000">
            <w:pPr>
              <w:spacing w:before="20" w:after="20"/>
              <w:jc w:val="both"/>
            </w:pPr>
            <w:r>
              <w:rPr>
                <w:sz w:val="18"/>
                <w:szCs w:val="18"/>
              </w:rPr>
              <w:t>2.1 Resuelve en aula la prueba de deterioro de valor de los activos.</w:t>
            </w:r>
          </w:p>
        </w:tc>
        <w:tc>
          <w:tcPr>
            <w:tcW w:w="3137" w:type="dxa"/>
            <w:gridSpan w:val="4"/>
            <w:shd w:val="clear" w:color="auto" w:fill="D9E2F3"/>
            <w:vAlign w:val="center"/>
          </w:tcPr>
          <w:p w14:paraId="3675C7ED" w14:textId="77777777" w:rsidR="00990B14" w:rsidRDefault="00000000">
            <w:pPr>
              <w:spacing w:before="20" w:after="20"/>
              <w:jc w:val="both"/>
            </w:pPr>
            <w:r>
              <w:rPr>
                <w:b/>
                <w:bCs/>
                <w:sz w:val="18"/>
                <w:szCs w:val="18"/>
              </w:rPr>
              <w:t xml:space="preserve">Producto 15: </w:t>
            </w:r>
            <w:r>
              <w:rPr>
                <w:sz w:val="18"/>
                <w:szCs w:val="18"/>
              </w:rPr>
              <w:t>Prueba de deterioro de valor de los activos.</w:t>
            </w:r>
          </w:p>
        </w:tc>
      </w:tr>
      <w:tr w:rsidR="00990B14" w14:paraId="0F466D2A" w14:textId="77777777">
        <w:trPr>
          <w:cantSplit/>
          <w:jc w:val="center"/>
        </w:trPr>
        <w:tc>
          <w:tcPr>
            <w:tcW w:w="3133" w:type="dxa"/>
            <w:gridSpan w:val="4"/>
            <w:vMerge/>
            <w:shd w:val="clear" w:color="auto" w:fill="D9E2F3"/>
            <w:vAlign w:val="center"/>
          </w:tcPr>
          <w:p w14:paraId="58E95160" w14:textId="77777777" w:rsidR="00990B14" w:rsidRDefault="00990B14">
            <w:pPr>
              <w:spacing w:before="20" w:after="20"/>
            </w:pPr>
          </w:p>
        </w:tc>
        <w:tc>
          <w:tcPr>
            <w:tcW w:w="3135" w:type="dxa"/>
            <w:gridSpan w:val="5"/>
            <w:shd w:val="clear" w:color="auto" w:fill="D9E2F3"/>
            <w:vAlign w:val="center"/>
          </w:tcPr>
          <w:p w14:paraId="09E3B9C1" w14:textId="77777777" w:rsidR="00990B14" w:rsidRDefault="00000000">
            <w:pPr>
              <w:spacing w:before="20" w:after="20"/>
              <w:jc w:val="both"/>
            </w:pPr>
            <w:r>
              <w:rPr>
                <w:sz w:val="18"/>
                <w:szCs w:val="18"/>
              </w:rPr>
              <w:t>2.2 Sustenta en equipo la clasificación de un activo mantenido para la venta y el tratamiento de un arrendamiento.</w:t>
            </w:r>
          </w:p>
        </w:tc>
        <w:tc>
          <w:tcPr>
            <w:tcW w:w="3137" w:type="dxa"/>
            <w:gridSpan w:val="4"/>
            <w:shd w:val="clear" w:color="auto" w:fill="D9E2F3"/>
            <w:vAlign w:val="center"/>
          </w:tcPr>
          <w:p w14:paraId="0059C77B" w14:textId="77777777" w:rsidR="00990B14" w:rsidRDefault="00000000">
            <w:pPr>
              <w:spacing w:before="20" w:after="20"/>
              <w:jc w:val="both"/>
            </w:pPr>
            <w:r>
              <w:rPr>
                <w:b/>
                <w:bCs/>
                <w:sz w:val="18"/>
                <w:szCs w:val="18"/>
              </w:rPr>
              <w:t xml:space="preserve">Producto 16: </w:t>
            </w:r>
            <w:r>
              <w:rPr>
                <w:sz w:val="18"/>
                <w:szCs w:val="18"/>
              </w:rPr>
              <w:t>Informe de clasificación de un activo mantenido para la venta y de un contrato de arrendamiento.</w:t>
            </w:r>
          </w:p>
        </w:tc>
      </w:tr>
      <w:tr w:rsidR="00990B14" w14:paraId="114E9570" w14:textId="77777777">
        <w:trPr>
          <w:cantSplit/>
          <w:jc w:val="center"/>
        </w:trPr>
        <w:tc>
          <w:tcPr>
            <w:tcW w:w="9405" w:type="dxa"/>
            <w:gridSpan w:val="13"/>
            <w:shd w:val="clear" w:color="auto" w:fill="4472C4"/>
            <w:vAlign w:val="center"/>
          </w:tcPr>
          <w:p w14:paraId="1BD68F92" w14:textId="77777777" w:rsidR="00990B14" w:rsidRDefault="00000000">
            <w:pPr>
              <w:keepNext/>
              <w:spacing w:before="20" w:after="20"/>
              <w:jc w:val="center"/>
            </w:pPr>
            <w:r>
              <w:rPr>
                <w:b/>
                <w:bCs/>
                <w:i/>
                <w:iCs/>
                <w:color w:val="FFFFFF"/>
                <w:sz w:val="18"/>
                <w:szCs w:val="18"/>
              </w:rPr>
              <w:t>Evidencias de conocimiento</w:t>
            </w:r>
          </w:p>
        </w:tc>
      </w:tr>
      <w:tr w:rsidR="00990B14" w14:paraId="38279BEC" w14:textId="77777777">
        <w:trPr>
          <w:cantSplit/>
          <w:jc w:val="center"/>
        </w:trPr>
        <w:tc>
          <w:tcPr>
            <w:tcW w:w="2349" w:type="dxa"/>
            <w:gridSpan w:val="2"/>
            <w:shd w:val="clear" w:color="auto" w:fill="4472C4"/>
            <w:vAlign w:val="center"/>
          </w:tcPr>
          <w:p w14:paraId="0EC794A0"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199D74AD" w14:textId="77777777" w:rsidR="00990B14" w:rsidRDefault="00000000">
            <w:pPr>
              <w:keepNext/>
              <w:spacing w:before="20" w:after="20"/>
              <w:jc w:val="both"/>
            </w:pPr>
            <w:r>
              <w:rPr>
                <w:b/>
                <w:bCs/>
                <w:i/>
                <w:iCs/>
                <w:color w:val="FFFFFF"/>
                <w:sz w:val="18"/>
                <w:szCs w:val="18"/>
              </w:rPr>
              <w:t>Contenidos</w:t>
            </w:r>
          </w:p>
          <w:p w14:paraId="4891CD51"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1C7E664F" w14:textId="77777777" w:rsidR="00990B14" w:rsidRDefault="00000000">
            <w:pPr>
              <w:keepNext/>
              <w:spacing w:before="20" w:after="20"/>
              <w:jc w:val="center"/>
            </w:pPr>
            <w:r>
              <w:rPr>
                <w:b/>
                <w:bCs/>
                <w:i/>
                <w:iCs/>
                <w:color w:val="FFFFFF"/>
                <w:sz w:val="18"/>
                <w:szCs w:val="18"/>
              </w:rPr>
              <w:t>Conocimientos circunstanciales</w:t>
            </w:r>
          </w:p>
        </w:tc>
      </w:tr>
      <w:tr w:rsidR="00990B14" w14:paraId="33456C1E" w14:textId="77777777">
        <w:trPr>
          <w:jc w:val="center"/>
        </w:trPr>
        <w:tc>
          <w:tcPr>
            <w:tcW w:w="2349" w:type="dxa"/>
            <w:gridSpan w:val="2"/>
            <w:shd w:val="clear" w:color="auto" w:fill="D9E2F3"/>
          </w:tcPr>
          <w:p w14:paraId="6295818D" w14:textId="77777777" w:rsidR="00990B14" w:rsidRDefault="00000000">
            <w:pPr>
              <w:spacing w:before="20" w:after="40"/>
              <w:jc w:val="both"/>
            </w:pPr>
            <w:r>
              <w:rPr>
                <w:sz w:val="18"/>
                <w:szCs w:val="18"/>
              </w:rPr>
              <w:t>Tema 13: NIC 23 Costos por Préstamos</w:t>
            </w:r>
          </w:p>
          <w:p w14:paraId="1C97EFBE" w14:textId="77777777" w:rsidR="00990B14" w:rsidRDefault="00000000">
            <w:pPr>
              <w:spacing w:before="20" w:after="40"/>
              <w:jc w:val="both"/>
            </w:pPr>
            <w:r>
              <w:rPr>
                <w:sz w:val="18"/>
                <w:szCs w:val="18"/>
              </w:rPr>
              <w:t>Tema 14: NIC 2 Inventarios</w:t>
            </w:r>
          </w:p>
          <w:p w14:paraId="0BD5069F" w14:textId="77777777" w:rsidR="00990B14" w:rsidRDefault="00000000">
            <w:pPr>
              <w:spacing w:before="20" w:after="40"/>
              <w:jc w:val="both"/>
            </w:pPr>
            <w:r>
              <w:rPr>
                <w:sz w:val="18"/>
                <w:szCs w:val="18"/>
              </w:rPr>
              <w:t>Tema 15: NIC 16 Propiedades, Planta y Equipo</w:t>
            </w:r>
          </w:p>
          <w:p w14:paraId="066BB6E4" w14:textId="77777777" w:rsidR="00990B14" w:rsidRDefault="00000000">
            <w:pPr>
              <w:spacing w:before="20" w:after="40"/>
              <w:jc w:val="both"/>
            </w:pPr>
            <w:r>
              <w:rPr>
                <w:sz w:val="18"/>
                <w:szCs w:val="18"/>
              </w:rPr>
              <w:t>Tema 16: NIC 38 Activos Intangibles</w:t>
            </w:r>
          </w:p>
          <w:p w14:paraId="6D53F3FC" w14:textId="77777777" w:rsidR="00990B14" w:rsidRDefault="00000000">
            <w:pPr>
              <w:spacing w:before="20" w:after="40"/>
              <w:jc w:val="both"/>
            </w:pPr>
            <w:r>
              <w:rPr>
                <w:sz w:val="18"/>
                <w:szCs w:val="18"/>
              </w:rPr>
              <w:t>Tema 17: NIC 36 Deterioro de Valor de los Activos</w:t>
            </w:r>
          </w:p>
          <w:p w14:paraId="48C3FC5D" w14:textId="77777777" w:rsidR="00990B14" w:rsidRDefault="00000000">
            <w:pPr>
              <w:spacing w:before="20" w:after="40"/>
              <w:jc w:val="both"/>
            </w:pPr>
            <w:r>
              <w:rPr>
                <w:sz w:val="18"/>
                <w:szCs w:val="18"/>
              </w:rPr>
              <w:t>Tema 18: NIC 40 Propiedades de Inversión</w:t>
            </w:r>
          </w:p>
          <w:p w14:paraId="21B55254" w14:textId="77777777" w:rsidR="00990B14" w:rsidRDefault="00000000">
            <w:pPr>
              <w:spacing w:before="20" w:after="40"/>
              <w:jc w:val="both"/>
            </w:pPr>
            <w:r>
              <w:rPr>
                <w:sz w:val="18"/>
                <w:szCs w:val="18"/>
              </w:rPr>
              <w:t>Tema 19: NIIF 5 Activos no Corrientes Mantenidos para la Venta y Operaciones Discontinuadas</w:t>
            </w:r>
          </w:p>
          <w:p w14:paraId="4424327D" w14:textId="77777777" w:rsidR="00990B14" w:rsidRDefault="00000000">
            <w:pPr>
              <w:spacing w:before="20" w:after="40"/>
              <w:jc w:val="both"/>
            </w:pPr>
            <w:r>
              <w:rPr>
                <w:sz w:val="18"/>
                <w:szCs w:val="18"/>
              </w:rPr>
              <w:t>Tema 20: NIIF 16 Arrendamientos</w:t>
            </w:r>
          </w:p>
        </w:tc>
        <w:tc>
          <w:tcPr>
            <w:tcW w:w="4304" w:type="dxa"/>
            <w:gridSpan w:val="8"/>
            <w:shd w:val="clear" w:color="auto" w:fill="D9E2F3"/>
          </w:tcPr>
          <w:p w14:paraId="3BB1B44F" w14:textId="77777777" w:rsidR="00990B14" w:rsidRDefault="00000000">
            <w:pPr>
              <w:spacing w:after="40"/>
              <w:jc w:val="both"/>
            </w:pPr>
            <w:r>
              <w:rPr>
                <w:sz w:val="18"/>
                <w:szCs w:val="18"/>
              </w:rPr>
              <w:t>Objetivo, alcance, definiciones y tratamiento contable de los costos por préstamos según la NIC 23; reconocimiento e información a revelar. (C, P)</w:t>
            </w:r>
          </w:p>
          <w:p w14:paraId="2B5F1ECE" w14:textId="77777777" w:rsidR="00990B14" w:rsidRDefault="00000000">
            <w:pPr>
              <w:spacing w:after="40"/>
              <w:jc w:val="both"/>
            </w:pPr>
            <w:r>
              <w:rPr>
                <w:sz w:val="18"/>
                <w:szCs w:val="18"/>
              </w:rPr>
              <w:t>Objetivo, alcance y definiciones de la NIC 2 para la medición de los inventarios. (C, P)</w:t>
            </w:r>
          </w:p>
          <w:p w14:paraId="7B2D9215" w14:textId="77777777" w:rsidR="00990B14" w:rsidRDefault="00000000">
            <w:pPr>
              <w:spacing w:after="40"/>
              <w:jc w:val="both"/>
            </w:pPr>
            <w:r>
              <w:rPr>
                <w:sz w:val="18"/>
                <w:szCs w:val="18"/>
              </w:rPr>
              <w:t>Reconocimiento de los inventarios bajo condiciones de INCOTERMS y como gasto; estructura de costos e información a revelar. (C, P)</w:t>
            </w:r>
          </w:p>
          <w:p w14:paraId="1E4A3A40" w14:textId="77777777" w:rsidR="00990B14" w:rsidRDefault="00000000">
            <w:pPr>
              <w:spacing w:after="40"/>
              <w:jc w:val="both"/>
            </w:pPr>
            <w:r>
              <w:rPr>
                <w:sz w:val="18"/>
                <w:szCs w:val="18"/>
              </w:rPr>
              <w:t>Objetivo, alcance, definiciones y reconocimiento de las propiedades, planta y equipo según la NIC 16. (C, P)</w:t>
            </w:r>
          </w:p>
          <w:p w14:paraId="20A95E3A" w14:textId="77777777" w:rsidR="00990B14" w:rsidRDefault="00000000">
            <w:pPr>
              <w:spacing w:after="40"/>
              <w:jc w:val="both"/>
            </w:pPr>
            <w:r>
              <w:rPr>
                <w:sz w:val="18"/>
                <w:szCs w:val="18"/>
              </w:rPr>
              <w:t>Medición en el momento del reconocimiento, componentes del costo y medición del costo de las propiedades, planta y equipo. (C, P)</w:t>
            </w:r>
          </w:p>
          <w:p w14:paraId="1C909AA8" w14:textId="77777777" w:rsidR="00990B14" w:rsidRDefault="00000000">
            <w:pPr>
              <w:spacing w:after="40"/>
              <w:jc w:val="both"/>
            </w:pPr>
            <w:r>
              <w:rPr>
                <w:sz w:val="18"/>
                <w:szCs w:val="18"/>
              </w:rPr>
              <w:t>Medición posterior al reconocimiento: el valor de uso, el modelo del costo y el modelo de revaluación. (P)</w:t>
            </w:r>
          </w:p>
          <w:p w14:paraId="7289F2B9" w14:textId="77777777" w:rsidR="00990B14" w:rsidRDefault="00000000">
            <w:pPr>
              <w:spacing w:after="40"/>
              <w:jc w:val="both"/>
            </w:pPr>
            <w:r>
              <w:rPr>
                <w:sz w:val="18"/>
                <w:szCs w:val="18"/>
              </w:rPr>
              <w:t>Depreciación, deterioro de valor y compensación por deterioro de valor de las propiedades, planta y equipo. (C)</w:t>
            </w:r>
          </w:p>
          <w:p w14:paraId="31319F4A" w14:textId="77777777" w:rsidR="00990B14" w:rsidRDefault="00000000">
            <w:pPr>
              <w:spacing w:after="40"/>
              <w:jc w:val="both"/>
            </w:pPr>
            <w:r>
              <w:rPr>
                <w:sz w:val="18"/>
                <w:szCs w:val="18"/>
              </w:rPr>
              <w:t>Baja en cuentas e información a revelar de las propiedades, planta y equipo. (P)</w:t>
            </w:r>
          </w:p>
          <w:p w14:paraId="57B8ABEE" w14:textId="77777777" w:rsidR="00990B14" w:rsidRDefault="00000000">
            <w:pPr>
              <w:spacing w:after="40"/>
              <w:jc w:val="both"/>
            </w:pPr>
            <w:r>
              <w:rPr>
                <w:sz w:val="18"/>
                <w:szCs w:val="18"/>
              </w:rPr>
              <w:t>Objetivo, alcance, definiciones, reconocimiento y medición de los activos intangibles según la NIC 38. (C, P)</w:t>
            </w:r>
          </w:p>
          <w:p w14:paraId="62A89F54" w14:textId="77777777" w:rsidR="00990B14" w:rsidRDefault="00000000">
            <w:pPr>
              <w:spacing w:after="40"/>
              <w:jc w:val="both"/>
            </w:pPr>
            <w:r>
              <w:rPr>
                <w:sz w:val="18"/>
                <w:szCs w:val="18"/>
              </w:rPr>
              <w:t>Reconocimiento como gasto y medición posterior al reconocimiento inicial de los activos intangibles. (P)</w:t>
            </w:r>
          </w:p>
          <w:p w14:paraId="79F5397F" w14:textId="77777777" w:rsidR="00990B14" w:rsidRDefault="00000000">
            <w:pPr>
              <w:spacing w:after="40"/>
              <w:jc w:val="both"/>
            </w:pPr>
            <w:r>
              <w:rPr>
                <w:sz w:val="18"/>
                <w:szCs w:val="18"/>
              </w:rPr>
              <w:t>Vida útil de los activos intangibles: activos con vidas útiles finitas y activos con vidas útiles indefinidas. (C)</w:t>
            </w:r>
          </w:p>
          <w:p w14:paraId="4FABB120" w14:textId="77777777" w:rsidR="00990B14" w:rsidRDefault="00000000">
            <w:pPr>
              <w:spacing w:after="40"/>
              <w:jc w:val="both"/>
            </w:pPr>
            <w:r>
              <w:rPr>
                <w:sz w:val="18"/>
                <w:szCs w:val="18"/>
              </w:rPr>
              <w:t>Recuperación del importe en libros, pérdidas por deterioro de valor, retiros, ventas e información a revelar de los activos intangibles. (P)</w:t>
            </w:r>
          </w:p>
          <w:p w14:paraId="08B6F95C" w14:textId="77777777" w:rsidR="00990B14" w:rsidRDefault="00000000">
            <w:pPr>
              <w:spacing w:after="40"/>
              <w:jc w:val="both"/>
            </w:pPr>
            <w:r>
              <w:rPr>
                <w:sz w:val="18"/>
                <w:szCs w:val="18"/>
              </w:rPr>
              <w:t>Objetivo, alcance, definiciones e identificación de los activos que pueden haber deteriorado su valor según la NIC 36. (C)</w:t>
            </w:r>
          </w:p>
          <w:p w14:paraId="6E890500" w14:textId="77777777" w:rsidR="00990B14" w:rsidRDefault="00000000">
            <w:pPr>
              <w:spacing w:after="40"/>
              <w:jc w:val="both"/>
            </w:pPr>
            <w:r>
              <w:rPr>
                <w:sz w:val="18"/>
                <w:szCs w:val="18"/>
              </w:rPr>
              <w:t>Medición del importe recuperable y reconocimiento y medición de la pérdida por deterioro. (P)</w:t>
            </w:r>
          </w:p>
          <w:p w14:paraId="1991D540" w14:textId="77777777" w:rsidR="00990B14" w:rsidRDefault="00000000">
            <w:pPr>
              <w:spacing w:after="40"/>
              <w:jc w:val="both"/>
            </w:pPr>
            <w:r>
              <w:rPr>
                <w:sz w:val="18"/>
                <w:szCs w:val="18"/>
              </w:rPr>
              <w:t>Cálculo del valor en uso en hoja de cálculo: proyección de flujos, tasa de descuento y sensibilidad de los supuestos. (P, T)</w:t>
            </w:r>
          </w:p>
          <w:p w14:paraId="0AAEC2A8" w14:textId="77777777" w:rsidR="00990B14" w:rsidRDefault="00000000">
            <w:pPr>
              <w:spacing w:after="40"/>
              <w:jc w:val="both"/>
            </w:pPr>
            <w:r>
              <w:rPr>
                <w:sz w:val="18"/>
                <w:szCs w:val="18"/>
              </w:rPr>
              <w:t>Unidades generadoras de efectivo, reversión de las pérdidas de valor por deterioro e información a revelar. (P)</w:t>
            </w:r>
          </w:p>
          <w:p w14:paraId="6D6E68AA" w14:textId="77777777" w:rsidR="00990B14" w:rsidRDefault="00000000">
            <w:pPr>
              <w:spacing w:after="40"/>
              <w:jc w:val="both"/>
            </w:pPr>
            <w:r>
              <w:rPr>
                <w:sz w:val="18"/>
                <w:szCs w:val="18"/>
              </w:rPr>
              <w:t>Objetivo, alcance, definiciones y clasificación de las propiedades de inversión o como propiedades ocupadas por el propietario según la NIC 40. (C)</w:t>
            </w:r>
          </w:p>
          <w:p w14:paraId="3FB24675" w14:textId="77777777" w:rsidR="00990B14" w:rsidRDefault="00000000">
            <w:pPr>
              <w:spacing w:after="40"/>
              <w:jc w:val="both"/>
            </w:pPr>
            <w:r>
              <w:rPr>
                <w:sz w:val="18"/>
                <w:szCs w:val="18"/>
              </w:rPr>
              <w:t>Reconocimiento, medición, transferencias, disposiciones e información a revelar de las propiedades de inversión. (P)</w:t>
            </w:r>
          </w:p>
          <w:p w14:paraId="3545C45B" w14:textId="77777777" w:rsidR="00990B14" w:rsidRDefault="00000000">
            <w:pPr>
              <w:spacing w:after="40"/>
              <w:jc w:val="both"/>
            </w:pPr>
            <w:r>
              <w:rPr>
                <w:sz w:val="18"/>
                <w:szCs w:val="18"/>
              </w:rPr>
              <w:t>Objetivo, alcance y clasificación de los activos no corrientes mantenidos para la venta o para distribuir a los propietarios según la NIIF 5. (C)</w:t>
            </w:r>
          </w:p>
          <w:p w14:paraId="508AA655" w14:textId="77777777" w:rsidR="00990B14" w:rsidRDefault="00000000">
            <w:pPr>
              <w:spacing w:after="40"/>
              <w:jc w:val="both"/>
            </w:pPr>
            <w:r>
              <w:rPr>
                <w:sz w:val="18"/>
                <w:szCs w:val="18"/>
              </w:rPr>
              <w:t>Medición, reconocimiento y reversión de las pérdidas por deterioro; cambios en un plan de venta o de distribución, presentación de las operaciones discontinuadas e información a revelar de los activos no corrientes mantenidos para la venta. (P)</w:t>
            </w:r>
          </w:p>
          <w:p w14:paraId="721BEB75" w14:textId="77777777" w:rsidR="00990B14" w:rsidRDefault="00000000">
            <w:pPr>
              <w:spacing w:after="40"/>
              <w:jc w:val="both"/>
            </w:pPr>
            <w:r>
              <w:rPr>
                <w:sz w:val="18"/>
                <w:szCs w:val="18"/>
              </w:rPr>
              <w:t>Objetivo, alcance, exenciones de reconocimiento e identificación de un arrendamiento según la NIIF 16. (C, P)</w:t>
            </w:r>
          </w:p>
          <w:p w14:paraId="3424ECE1" w14:textId="77777777" w:rsidR="00990B14" w:rsidRDefault="00000000">
            <w:pPr>
              <w:spacing w:after="40"/>
              <w:jc w:val="both"/>
            </w:pPr>
            <w:r>
              <w:rPr>
                <w:sz w:val="18"/>
                <w:szCs w:val="18"/>
              </w:rPr>
              <w:t>Plazo del arrendamiento, tratamiento del arrendatario y del arrendador, y transacciones de venta con arrendamiento posterior. (C)</w:t>
            </w:r>
          </w:p>
          <w:p w14:paraId="07A03382" w14:textId="77777777" w:rsidR="00990B14" w:rsidRDefault="00000000">
            <w:pPr>
              <w:spacing w:after="40"/>
              <w:jc w:val="both"/>
            </w:pPr>
            <w:r>
              <w:rPr>
                <w:sz w:val="18"/>
                <w:szCs w:val="18"/>
              </w:rPr>
              <w:t>Casos de estudio y análisis de la sección de la NIIF para PYMES relacionada con cada norma del capítulo. (C, P)</w:t>
            </w:r>
          </w:p>
          <w:p w14:paraId="27E4A572" w14:textId="77777777" w:rsidR="00990B14" w:rsidRDefault="00000000">
            <w:pPr>
              <w:spacing w:after="40"/>
              <w:jc w:val="both"/>
            </w:pPr>
            <w:r>
              <w:rPr>
                <w:sz w:val="18"/>
                <w:szCs w:val="18"/>
              </w:rPr>
              <w:t>Efectos ambientales y sociales en la medición de los activos: costos de desmantelamiento y rehabilitación, y deterioro de valor por factores climáticos. (P)</w:t>
            </w:r>
          </w:p>
        </w:tc>
        <w:tc>
          <w:tcPr>
            <w:tcW w:w="2752" w:type="dxa"/>
            <w:gridSpan w:val="3"/>
            <w:shd w:val="clear" w:color="auto" w:fill="D9E2F3"/>
          </w:tcPr>
          <w:p w14:paraId="09ABC821" w14:textId="77777777" w:rsidR="00990B14" w:rsidRDefault="00000000">
            <w:pPr>
              <w:numPr>
                <w:ilvl w:val="0"/>
                <w:numId w:val="139"/>
              </w:numPr>
              <w:spacing w:before="10" w:after="10"/>
              <w:jc w:val="both"/>
            </w:pPr>
            <w:r>
              <w:rPr>
                <w:sz w:val="18"/>
                <w:szCs w:val="18"/>
              </w:rPr>
              <w:t>Coeficientes y vidas útiles de depreciación del anexo del Artículo 22 del Decreto Supremo N.º 24051, Reglamento del Impuesto sobre las Utilidades de las Empresas, de 29 de junio de 1995.</w:t>
            </w:r>
          </w:p>
          <w:p w14:paraId="1E2958EE" w14:textId="77777777" w:rsidR="00990B14" w:rsidRDefault="00000000">
            <w:pPr>
              <w:numPr>
                <w:ilvl w:val="0"/>
                <w:numId w:val="139"/>
              </w:numPr>
              <w:spacing w:before="10" w:after="10"/>
              <w:jc w:val="both"/>
            </w:pPr>
            <w:r>
              <w:rPr>
                <w:sz w:val="18"/>
                <w:szCs w:val="18"/>
              </w:rPr>
              <w:t>Aplicación de los INCOTERMS 2020 de la Cámara de Comercio Internacional y del régimen de importación de la Ley N.º 1990, General de Aduanas, de 28 de julio de 1999, en la determinación del costo de los inventarios importados.</w:t>
            </w:r>
          </w:p>
        </w:tc>
      </w:tr>
      <w:tr w:rsidR="00990B14" w14:paraId="1731A5F3" w14:textId="77777777">
        <w:trPr>
          <w:cantSplit/>
          <w:jc w:val="center"/>
        </w:trPr>
        <w:tc>
          <w:tcPr>
            <w:tcW w:w="9405" w:type="dxa"/>
            <w:gridSpan w:val="13"/>
            <w:shd w:val="clear" w:color="auto" w:fill="D9E2F3"/>
            <w:vAlign w:val="center"/>
          </w:tcPr>
          <w:p w14:paraId="09518395" w14:textId="77777777" w:rsidR="00990B14" w:rsidRDefault="00000000">
            <w:pPr>
              <w:spacing w:before="20" w:after="20"/>
              <w:jc w:val="both"/>
            </w:pPr>
            <w:r>
              <w:rPr>
                <w:b/>
                <w:bCs/>
                <w:i/>
                <w:iCs/>
                <w:sz w:val="18"/>
                <w:szCs w:val="18"/>
              </w:rPr>
              <w:t xml:space="preserve">Elemento de competencia 5: </w:t>
            </w:r>
            <w:r>
              <w:rPr>
                <w:sz w:val="18"/>
                <w:szCs w:val="18"/>
              </w:rPr>
              <w:t>Aplica y evalúa el tratamiento contable de las provisiones, activos y pasivos contingentes, beneficios a empleados e ingresos de actividades ordinarias procedentes de contratos con clientes (modelo de los cinco pasos), conforme a las Normas NIIF de Contabilidad y las Secciones pertinentes de la NIIF para las PYMES, para determinar la razonabilidad de las obligaciones de la entidad y la medición fiel de su desempeño financiero.</w:t>
            </w:r>
          </w:p>
        </w:tc>
      </w:tr>
      <w:tr w:rsidR="00990B14" w14:paraId="39199A67" w14:textId="77777777">
        <w:trPr>
          <w:cantSplit/>
          <w:jc w:val="center"/>
        </w:trPr>
        <w:tc>
          <w:tcPr>
            <w:tcW w:w="3133" w:type="dxa"/>
            <w:gridSpan w:val="4"/>
            <w:shd w:val="clear" w:color="auto" w:fill="4472C4"/>
            <w:vAlign w:val="center"/>
          </w:tcPr>
          <w:p w14:paraId="66B8254E"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417C0CDC"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4F06207F" w14:textId="77777777" w:rsidR="00990B14" w:rsidRDefault="00000000">
            <w:pPr>
              <w:keepNext/>
              <w:spacing w:before="20" w:after="20"/>
              <w:jc w:val="center"/>
            </w:pPr>
            <w:r>
              <w:rPr>
                <w:b/>
                <w:bCs/>
                <w:i/>
                <w:iCs/>
                <w:color w:val="FFFFFF"/>
                <w:sz w:val="18"/>
                <w:szCs w:val="18"/>
              </w:rPr>
              <w:t>Evidencias de producto</w:t>
            </w:r>
          </w:p>
        </w:tc>
      </w:tr>
      <w:tr w:rsidR="00990B14" w14:paraId="1E854418" w14:textId="77777777">
        <w:trPr>
          <w:cantSplit/>
          <w:jc w:val="center"/>
        </w:trPr>
        <w:tc>
          <w:tcPr>
            <w:tcW w:w="3133" w:type="dxa"/>
            <w:gridSpan w:val="4"/>
            <w:vMerge w:val="restart"/>
            <w:shd w:val="clear" w:color="auto" w:fill="D9E2F3"/>
            <w:vAlign w:val="center"/>
          </w:tcPr>
          <w:p w14:paraId="26453B55" w14:textId="77777777" w:rsidR="00990B14" w:rsidRDefault="00000000">
            <w:pPr>
              <w:spacing w:before="20" w:after="20"/>
              <w:jc w:val="both"/>
            </w:pPr>
            <w:r>
              <w:rPr>
                <w:sz w:val="18"/>
                <w:szCs w:val="18"/>
              </w:rPr>
              <w:t>1. Aplica el reconocimiento, medición y revelación de las provisiones, los activos y pasivos contingentes (NIC 37) y los beneficios a los empleados (NIC 19), identificando las simplificaciones aplicables en las Secciones 21 y 28 de la NIIF para las PYMES.</w:t>
            </w:r>
          </w:p>
        </w:tc>
        <w:tc>
          <w:tcPr>
            <w:tcW w:w="3135" w:type="dxa"/>
            <w:gridSpan w:val="5"/>
            <w:shd w:val="clear" w:color="auto" w:fill="D9E2F3"/>
            <w:vAlign w:val="center"/>
          </w:tcPr>
          <w:p w14:paraId="49020485" w14:textId="77777777" w:rsidR="00990B14" w:rsidRDefault="00000000">
            <w:pPr>
              <w:spacing w:before="20" w:after="20"/>
              <w:jc w:val="both"/>
            </w:pPr>
            <w:r>
              <w:rPr>
                <w:sz w:val="18"/>
                <w:szCs w:val="18"/>
              </w:rPr>
              <w:t>1.1 Registra en aula las provisiones y los pasivos contingentes de un caso práctico.</w:t>
            </w:r>
          </w:p>
        </w:tc>
        <w:tc>
          <w:tcPr>
            <w:tcW w:w="3137" w:type="dxa"/>
            <w:gridSpan w:val="4"/>
            <w:shd w:val="clear" w:color="auto" w:fill="D9E2F3"/>
            <w:vAlign w:val="center"/>
          </w:tcPr>
          <w:p w14:paraId="6D743795" w14:textId="77777777" w:rsidR="00990B14" w:rsidRDefault="00000000">
            <w:pPr>
              <w:spacing w:before="20" w:after="20"/>
              <w:jc w:val="both"/>
            </w:pPr>
            <w:r>
              <w:rPr>
                <w:b/>
                <w:bCs/>
                <w:sz w:val="18"/>
                <w:szCs w:val="18"/>
              </w:rPr>
              <w:t xml:space="preserve">Producto 17: </w:t>
            </w:r>
            <w:r>
              <w:rPr>
                <w:sz w:val="18"/>
                <w:szCs w:val="18"/>
              </w:rPr>
              <w:t>Cuadro de reconocimiento y medición de provisiones, activos y pasivos contingentes.</w:t>
            </w:r>
          </w:p>
        </w:tc>
      </w:tr>
      <w:tr w:rsidR="00990B14" w14:paraId="5C436505" w14:textId="77777777">
        <w:trPr>
          <w:cantSplit/>
          <w:jc w:val="center"/>
        </w:trPr>
        <w:tc>
          <w:tcPr>
            <w:tcW w:w="3133" w:type="dxa"/>
            <w:gridSpan w:val="4"/>
            <w:vMerge/>
            <w:shd w:val="clear" w:color="auto" w:fill="D9E2F3"/>
            <w:vAlign w:val="center"/>
          </w:tcPr>
          <w:p w14:paraId="79921505" w14:textId="77777777" w:rsidR="00990B14" w:rsidRDefault="00990B14">
            <w:pPr>
              <w:spacing w:before="20" w:after="20"/>
            </w:pPr>
          </w:p>
        </w:tc>
        <w:tc>
          <w:tcPr>
            <w:tcW w:w="3135" w:type="dxa"/>
            <w:gridSpan w:val="5"/>
            <w:shd w:val="clear" w:color="auto" w:fill="D9E2F3"/>
            <w:vAlign w:val="center"/>
          </w:tcPr>
          <w:p w14:paraId="743D6BE1" w14:textId="77777777" w:rsidR="00990B14" w:rsidRDefault="00000000">
            <w:pPr>
              <w:spacing w:before="20" w:after="20"/>
              <w:jc w:val="both"/>
            </w:pPr>
            <w:r>
              <w:rPr>
                <w:sz w:val="18"/>
                <w:szCs w:val="18"/>
              </w:rPr>
              <w:t>1.2 Calcula en equipo las provisiones por beneficios sociales de una empresa boliviana.</w:t>
            </w:r>
          </w:p>
        </w:tc>
        <w:tc>
          <w:tcPr>
            <w:tcW w:w="3137" w:type="dxa"/>
            <w:gridSpan w:val="4"/>
            <w:shd w:val="clear" w:color="auto" w:fill="D9E2F3"/>
            <w:vAlign w:val="center"/>
          </w:tcPr>
          <w:p w14:paraId="73609BBC" w14:textId="77777777" w:rsidR="00990B14" w:rsidRDefault="00000000">
            <w:pPr>
              <w:spacing w:before="20" w:after="20"/>
              <w:jc w:val="both"/>
            </w:pPr>
            <w:r>
              <w:rPr>
                <w:b/>
                <w:bCs/>
                <w:sz w:val="18"/>
                <w:szCs w:val="18"/>
              </w:rPr>
              <w:t xml:space="preserve">Producto 18: </w:t>
            </w:r>
            <w:r>
              <w:rPr>
                <w:sz w:val="18"/>
                <w:szCs w:val="18"/>
              </w:rPr>
              <w:t>Planilla de provisiones por beneficios sociales del caso.</w:t>
            </w:r>
          </w:p>
        </w:tc>
      </w:tr>
      <w:tr w:rsidR="00990B14" w14:paraId="08EC8FB5" w14:textId="77777777">
        <w:trPr>
          <w:cantSplit/>
          <w:jc w:val="center"/>
        </w:trPr>
        <w:tc>
          <w:tcPr>
            <w:tcW w:w="3133" w:type="dxa"/>
            <w:gridSpan w:val="4"/>
            <w:vMerge w:val="restart"/>
            <w:shd w:val="clear" w:color="auto" w:fill="D9E2F3"/>
            <w:vAlign w:val="center"/>
          </w:tcPr>
          <w:p w14:paraId="2087560C" w14:textId="77777777" w:rsidR="00990B14" w:rsidRDefault="00000000">
            <w:pPr>
              <w:spacing w:before="20" w:after="20"/>
              <w:jc w:val="both"/>
            </w:pPr>
            <w:r>
              <w:rPr>
                <w:sz w:val="18"/>
                <w:szCs w:val="18"/>
              </w:rPr>
              <w:t>2. Calcula y aplica el reconocimiento y medición de ingresos de actividades ordinarias procedentes de contratos con clientes mediante el modelo de los cinco pasos (NIIF 15), evaluando sus criterios de imputación temporal y revelación en comparación con los requerimientos de la Sección 23 de la NIIF para las PYMES.</w:t>
            </w:r>
          </w:p>
        </w:tc>
        <w:tc>
          <w:tcPr>
            <w:tcW w:w="3135" w:type="dxa"/>
            <w:gridSpan w:val="5"/>
            <w:shd w:val="clear" w:color="auto" w:fill="D9E2F3"/>
            <w:vAlign w:val="center"/>
          </w:tcPr>
          <w:p w14:paraId="02FCCD0D" w14:textId="77777777" w:rsidR="00990B14" w:rsidRDefault="00000000">
            <w:pPr>
              <w:spacing w:before="20" w:after="20"/>
              <w:jc w:val="both"/>
            </w:pPr>
            <w:r>
              <w:rPr>
                <w:sz w:val="18"/>
                <w:szCs w:val="18"/>
              </w:rPr>
              <w:t>2.1 Aplica en equipo el método de los cinco pasos a un contrato con clientes.</w:t>
            </w:r>
          </w:p>
        </w:tc>
        <w:tc>
          <w:tcPr>
            <w:tcW w:w="3137" w:type="dxa"/>
            <w:gridSpan w:val="4"/>
            <w:shd w:val="clear" w:color="auto" w:fill="D9E2F3"/>
            <w:vAlign w:val="center"/>
          </w:tcPr>
          <w:p w14:paraId="37531229" w14:textId="77777777" w:rsidR="00990B14" w:rsidRDefault="00000000">
            <w:pPr>
              <w:spacing w:before="20" w:after="20"/>
              <w:jc w:val="both"/>
            </w:pPr>
            <w:r>
              <w:rPr>
                <w:b/>
                <w:bCs/>
                <w:sz w:val="18"/>
                <w:szCs w:val="18"/>
              </w:rPr>
              <w:t xml:space="preserve">Producto 19: </w:t>
            </w:r>
            <w:r>
              <w:rPr>
                <w:sz w:val="18"/>
                <w:szCs w:val="18"/>
              </w:rPr>
              <w:t>Informe de aplicación del método de los cinco pasos a un contrato con clientes.</w:t>
            </w:r>
          </w:p>
        </w:tc>
      </w:tr>
      <w:tr w:rsidR="00990B14" w14:paraId="06E8DF9F" w14:textId="77777777">
        <w:trPr>
          <w:cantSplit/>
          <w:jc w:val="center"/>
        </w:trPr>
        <w:tc>
          <w:tcPr>
            <w:tcW w:w="3133" w:type="dxa"/>
            <w:gridSpan w:val="4"/>
            <w:vMerge/>
            <w:shd w:val="clear" w:color="auto" w:fill="D9E2F3"/>
            <w:vAlign w:val="center"/>
          </w:tcPr>
          <w:p w14:paraId="7651D0F1" w14:textId="77777777" w:rsidR="00990B14" w:rsidRDefault="00990B14">
            <w:pPr>
              <w:spacing w:before="20" w:after="20"/>
            </w:pPr>
          </w:p>
        </w:tc>
        <w:tc>
          <w:tcPr>
            <w:tcW w:w="3135" w:type="dxa"/>
            <w:gridSpan w:val="5"/>
            <w:shd w:val="clear" w:color="auto" w:fill="D9E2F3"/>
            <w:vAlign w:val="center"/>
          </w:tcPr>
          <w:p w14:paraId="3BC9A49D" w14:textId="77777777" w:rsidR="00990B14" w:rsidRDefault="00000000">
            <w:pPr>
              <w:spacing w:before="20" w:after="20"/>
              <w:jc w:val="both"/>
            </w:pPr>
            <w:r>
              <w:rPr>
                <w:sz w:val="18"/>
                <w:szCs w:val="18"/>
              </w:rPr>
              <w:t>2.2 Determina en aula el precio de la transacción y su asignación a las obligaciones de desempeño.</w:t>
            </w:r>
          </w:p>
        </w:tc>
        <w:tc>
          <w:tcPr>
            <w:tcW w:w="3137" w:type="dxa"/>
            <w:gridSpan w:val="4"/>
            <w:shd w:val="clear" w:color="auto" w:fill="D9E2F3"/>
            <w:vAlign w:val="center"/>
          </w:tcPr>
          <w:p w14:paraId="41BCE6A3" w14:textId="77777777" w:rsidR="00990B14" w:rsidRDefault="00000000">
            <w:pPr>
              <w:spacing w:before="20" w:after="20"/>
              <w:jc w:val="both"/>
            </w:pPr>
            <w:r>
              <w:rPr>
                <w:b/>
                <w:bCs/>
                <w:sz w:val="18"/>
                <w:szCs w:val="18"/>
              </w:rPr>
              <w:t xml:space="preserve">Producto 20: </w:t>
            </w:r>
            <w:r>
              <w:rPr>
                <w:sz w:val="18"/>
                <w:szCs w:val="18"/>
              </w:rPr>
              <w:t>Práctico de determinación y asignación del precio de la transacción.</w:t>
            </w:r>
          </w:p>
        </w:tc>
      </w:tr>
      <w:tr w:rsidR="00990B14" w14:paraId="20297D74" w14:textId="77777777">
        <w:trPr>
          <w:cantSplit/>
          <w:jc w:val="center"/>
        </w:trPr>
        <w:tc>
          <w:tcPr>
            <w:tcW w:w="9405" w:type="dxa"/>
            <w:gridSpan w:val="13"/>
            <w:shd w:val="clear" w:color="auto" w:fill="4472C4"/>
            <w:vAlign w:val="center"/>
          </w:tcPr>
          <w:p w14:paraId="2ED79986" w14:textId="77777777" w:rsidR="00990B14" w:rsidRDefault="00000000">
            <w:pPr>
              <w:keepNext/>
              <w:spacing w:before="20" w:after="20"/>
              <w:jc w:val="center"/>
            </w:pPr>
            <w:r>
              <w:rPr>
                <w:b/>
                <w:bCs/>
                <w:i/>
                <w:iCs/>
                <w:color w:val="FFFFFF"/>
                <w:sz w:val="18"/>
                <w:szCs w:val="18"/>
              </w:rPr>
              <w:t>Evidencias de conocimiento</w:t>
            </w:r>
          </w:p>
        </w:tc>
      </w:tr>
      <w:tr w:rsidR="00990B14" w14:paraId="616B37DC" w14:textId="77777777">
        <w:trPr>
          <w:cantSplit/>
          <w:jc w:val="center"/>
        </w:trPr>
        <w:tc>
          <w:tcPr>
            <w:tcW w:w="2349" w:type="dxa"/>
            <w:gridSpan w:val="2"/>
            <w:shd w:val="clear" w:color="auto" w:fill="4472C4"/>
            <w:vAlign w:val="center"/>
          </w:tcPr>
          <w:p w14:paraId="72BE8176"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11798029" w14:textId="77777777" w:rsidR="00990B14" w:rsidRDefault="00000000">
            <w:pPr>
              <w:keepNext/>
              <w:spacing w:before="20" w:after="20"/>
              <w:jc w:val="both"/>
            </w:pPr>
            <w:r>
              <w:rPr>
                <w:b/>
                <w:bCs/>
                <w:i/>
                <w:iCs/>
                <w:color w:val="FFFFFF"/>
                <w:sz w:val="18"/>
                <w:szCs w:val="18"/>
              </w:rPr>
              <w:t>Contenidos</w:t>
            </w:r>
          </w:p>
          <w:p w14:paraId="7D3654C5"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285F0C65" w14:textId="77777777" w:rsidR="00990B14" w:rsidRDefault="00000000">
            <w:pPr>
              <w:keepNext/>
              <w:spacing w:before="20" w:after="20"/>
              <w:jc w:val="center"/>
            </w:pPr>
            <w:r>
              <w:rPr>
                <w:b/>
                <w:bCs/>
                <w:i/>
                <w:iCs/>
                <w:color w:val="FFFFFF"/>
                <w:sz w:val="18"/>
                <w:szCs w:val="18"/>
              </w:rPr>
              <w:t>Conocimientos circunstanciales</w:t>
            </w:r>
          </w:p>
        </w:tc>
      </w:tr>
      <w:tr w:rsidR="00990B14" w14:paraId="4C186477" w14:textId="77777777">
        <w:trPr>
          <w:jc w:val="center"/>
        </w:trPr>
        <w:tc>
          <w:tcPr>
            <w:tcW w:w="2349" w:type="dxa"/>
            <w:gridSpan w:val="2"/>
            <w:shd w:val="clear" w:color="auto" w:fill="D9E2F3"/>
          </w:tcPr>
          <w:p w14:paraId="694AE376" w14:textId="77777777" w:rsidR="00990B14" w:rsidRDefault="00000000">
            <w:pPr>
              <w:spacing w:before="20" w:after="40"/>
              <w:jc w:val="both"/>
            </w:pPr>
            <w:r>
              <w:rPr>
                <w:sz w:val="18"/>
                <w:szCs w:val="18"/>
              </w:rPr>
              <w:t>Tema 21: NIC 37 Provisiones, Activos Contingentes y Pasivos Contingentes</w:t>
            </w:r>
          </w:p>
          <w:p w14:paraId="79051F53" w14:textId="77777777" w:rsidR="00990B14" w:rsidRDefault="00000000">
            <w:pPr>
              <w:spacing w:before="20" w:after="40"/>
              <w:jc w:val="both"/>
            </w:pPr>
            <w:r>
              <w:rPr>
                <w:sz w:val="18"/>
                <w:szCs w:val="18"/>
              </w:rPr>
              <w:t>Tema 22: NIC 19 Beneficios a los Empleados</w:t>
            </w:r>
          </w:p>
          <w:p w14:paraId="548F9DD9" w14:textId="77777777" w:rsidR="00990B14" w:rsidRDefault="00000000">
            <w:pPr>
              <w:spacing w:before="20" w:after="40"/>
              <w:jc w:val="both"/>
            </w:pPr>
            <w:r>
              <w:rPr>
                <w:sz w:val="18"/>
                <w:szCs w:val="18"/>
              </w:rPr>
              <w:t>Tema 23: NIIF 15 Ingresos de Actividades Ordinarias Procedentes de Contratos con Clientes</w:t>
            </w:r>
          </w:p>
        </w:tc>
        <w:tc>
          <w:tcPr>
            <w:tcW w:w="4304" w:type="dxa"/>
            <w:gridSpan w:val="8"/>
            <w:shd w:val="clear" w:color="auto" w:fill="D9E2F3"/>
          </w:tcPr>
          <w:p w14:paraId="24A780D9" w14:textId="77777777" w:rsidR="00990B14" w:rsidRDefault="00000000">
            <w:pPr>
              <w:spacing w:after="40"/>
              <w:jc w:val="both"/>
            </w:pPr>
            <w:r>
              <w:rPr>
                <w:sz w:val="18"/>
                <w:szCs w:val="18"/>
              </w:rPr>
              <w:t>Objetivo, alcance y definiciones de la NIC 37 para las provisiones, los activos contingentes y los pasivos contingentes. (C)</w:t>
            </w:r>
          </w:p>
          <w:p w14:paraId="4906D7B4" w14:textId="77777777" w:rsidR="00990B14" w:rsidRDefault="00000000">
            <w:pPr>
              <w:spacing w:after="40"/>
              <w:jc w:val="both"/>
            </w:pPr>
            <w:r>
              <w:rPr>
                <w:sz w:val="18"/>
                <w:szCs w:val="18"/>
              </w:rPr>
              <w:t>Reconocimiento y medición de las provisiones, los reembolsos y los cambios en su valor. (P)</w:t>
            </w:r>
          </w:p>
          <w:p w14:paraId="268DEA2F" w14:textId="77777777" w:rsidR="00990B14" w:rsidRDefault="00000000">
            <w:pPr>
              <w:spacing w:after="40"/>
              <w:jc w:val="both"/>
            </w:pPr>
            <w:r>
              <w:rPr>
                <w:sz w:val="18"/>
                <w:szCs w:val="18"/>
              </w:rPr>
              <w:t>Aplicación de las provisiones y de las reglas de reconocimiento y medición; información a revelar según la NIC 37. (P)</w:t>
            </w:r>
          </w:p>
          <w:p w14:paraId="2D5DE617" w14:textId="77777777" w:rsidR="00990B14" w:rsidRDefault="00000000">
            <w:pPr>
              <w:spacing w:after="40"/>
              <w:jc w:val="both"/>
            </w:pPr>
            <w:r>
              <w:rPr>
                <w:sz w:val="18"/>
                <w:szCs w:val="18"/>
              </w:rPr>
              <w:t>Clasificación de los beneficios a los empleados, de acuerdo con la NIC 19. (C, P)</w:t>
            </w:r>
          </w:p>
          <w:p w14:paraId="0650D21B" w14:textId="77777777" w:rsidR="00990B14" w:rsidRDefault="00000000">
            <w:pPr>
              <w:spacing w:after="40"/>
              <w:jc w:val="both"/>
            </w:pPr>
            <w:r>
              <w:rPr>
                <w:sz w:val="18"/>
                <w:szCs w:val="18"/>
              </w:rPr>
              <w:t>Provisiones por beneficios sociales conforme a la legislación laboral boliviana: indemnización por tiempo de servicios, aguinaldo y vacaciones. (C)</w:t>
            </w:r>
          </w:p>
          <w:p w14:paraId="65990FCD" w14:textId="77777777" w:rsidR="00990B14" w:rsidRDefault="00000000">
            <w:pPr>
              <w:spacing w:after="40"/>
              <w:jc w:val="both"/>
            </w:pPr>
            <w:r>
              <w:rPr>
                <w:sz w:val="18"/>
                <w:szCs w:val="18"/>
              </w:rPr>
              <w:t>Objetivo, alcance y reconocimiento de los ingresos de actividades ordinarias procedentes de contratos con clientes según la NIIF 15. (C, P)</w:t>
            </w:r>
          </w:p>
          <w:p w14:paraId="3C001BF1" w14:textId="77777777" w:rsidR="00990B14" w:rsidRDefault="00000000">
            <w:pPr>
              <w:spacing w:after="40"/>
              <w:jc w:val="both"/>
            </w:pPr>
            <w:r>
              <w:rPr>
                <w:sz w:val="18"/>
                <w:szCs w:val="18"/>
              </w:rPr>
              <w:t>Identificación del contrato, combinación de contratos y modificaciones del contrato. (P)</w:t>
            </w:r>
          </w:p>
          <w:p w14:paraId="6B3CB8AD" w14:textId="77777777" w:rsidR="00990B14" w:rsidRDefault="00000000">
            <w:pPr>
              <w:spacing w:after="40"/>
              <w:jc w:val="both"/>
            </w:pPr>
            <w:r>
              <w:rPr>
                <w:sz w:val="18"/>
                <w:szCs w:val="18"/>
              </w:rPr>
              <w:t>Identificación y satisfacción de las obligaciones de desempeño; método de los cinco pasos. (P)</w:t>
            </w:r>
          </w:p>
          <w:p w14:paraId="1385B3AB" w14:textId="77777777" w:rsidR="00990B14" w:rsidRDefault="00000000">
            <w:pPr>
              <w:spacing w:after="40"/>
              <w:jc w:val="both"/>
            </w:pPr>
            <w:r>
              <w:rPr>
                <w:sz w:val="18"/>
                <w:szCs w:val="18"/>
              </w:rPr>
              <w:t>Medición: determinación del precio de la transacción, asignación del precio a las obligaciones de desempeño y cambios en el precio de la transacción. (P)</w:t>
            </w:r>
          </w:p>
          <w:p w14:paraId="0B4A737A" w14:textId="77777777" w:rsidR="00990B14" w:rsidRDefault="00000000">
            <w:pPr>
              <w:spacing w:after="40"/>
              <w:jc w:val="both"/>
            </w:pPr>
            <w:r>
              <w:rPr>
                <w:sz w:val="18"/>
                <w:szCs w:val="18"/>
              </w:rPr>
              <w:t>Determinación del precio de la transacción con contraprestación variable y componente de financiación significativo, calculada en hoja de cálculo. (P, T)</w:t>
            </w:r>
          </w:p>
          <w:p w14:paraId="423CC651" w14:textId="77777777" w:rsidR="00990B14" w:rsidRDefault="00000000">
            <w:pPr>
              <w:spacing w:after="40"/>
              <w:jc w:val="both"/>
            </w:pPr>
            <w:r>
              <w:rPr>
                <w:sz w:val="18"/>
                <w:szCs w:val="18"/>
              </w:rPr>
              <w:t>Costos del contrato, presentación, información a revelar y soluciones prácticas de la NIIF 15. (P)</w:t>
            </w:r>
          </w:p>
          <w:p w14:paraId="3090F7B4" w14:textId="77777777" w:rsidR="00990B14" w:rsidRDefault="00000000">
            <w:pPr>
              <w:spacing w:after="40"/>
              <w:jc w:val="both"/>
            </w:pPr>
            <w:r>
              <w:rPr>
                <w:sz w:val="18"/>
                <w:szCs w:val="18"/>
              </w:rPr>
              <w:t>Casos de estudio y análisis de la sección de la NIIF para PYMES relacionada con la NIC 37 y la NIIF 15. (P)</w:t>
            </w:r>
          </w:p>
          <w:p w14:paraId="447B8BE8" w14:textId="77777777" w:rsidR="00990B14" w:rsidRDefault="00000000">
            <w:pPr>
              <w:spacing w:after="40"/>
              <w:jc w:val="both"/>
            </w:pPr>
            <w:r>
              <w:rPr>
                <w:sz w:val="18"/>
                <w:szCs w:val="18"/>
              </w:rPr>
              <w:t>Juicio profesional y ética en el reconocimiento de las provisiones y de los ingresos: riesgo de manipulación del resultado del periodo. (P, A)</w:t>
            </w:r>
          </w:p>
        </w:tc>
        <w:tc>
          <w:tcPr>
            <w:tcW w:w="2752" w:type="dxa"/>
            <w:gridSpan w:val="3"/>
            <w:shd w:val="clear" w:color="auto" w:fill="D9E2F3"/>
          </w:tcPr>
          <w:p w14:paraId="52B3231D" w14:textId="77777777" w:rsidR="00990B14" w:rsidRDefault="00000000">
            <w:pPr>
              <w:numPr>
                <w:ilvl w:val="0"/>
                <w:numId w:val="139"/>
              </w:numPr>
              <w:spacing w:before="10" w:after="10"/>
              <w:jc w:val="both"/>
            </w:pPr>
            <w:r>
              <w:rPr>
                <w:sz w:val="18"/>
                <w:szCs w:val="18"/>
              </w:rPr>
              <w:t>Indemnización por tiempo de servicios y demás beneficios sociales establecidos en la Ley General del Trabajo, de 8 de diciembre de 1942, y en su reglamento, el Decreto Supremo N.º 224, de 23 de agosto de 1943.</w:t>
            </w:r>
          </w:p>
          <w:p w14:paraId="3D56F597" w14:textId="77777777" w:rsidR="00990B14" w:rsidRDefault="00000000">
            <w:pPr>
              <w:numPr>
                <w:ilvl w:val="0"/>
                <w:numId w:val="139"/>
              </w:numPr>
              <w:spacing w:before="10" w:after="10"/>
              <w:jc w:val="both"/>
            </w:pPr>
            <w:r>
              <w:rPr>
                <w:sz w:val="18"/>
                <w:szCs w:val="18"/>
              </w:rPr>
              <w:t>Contratos de venta de bienes y de prestación de servicios de empresas bolivianas sujetos al método de los cinco pasos, y su relación con la facturación en línea exigida por el Servicio de Impuestos Nacionales.</w:t>
            </w:r>
          </w:p>
        </w:tc>
      </w:tr>
      <w:tr w:rsidR="00990B14" w14:paraId="62E9DB86" w14:textId="77777777">
        <w:trPr>
          <w:cantSplit/>
          <w:jc w:val="center"/>
        </w:trPr>
        <w:tc>
          <w:tcPr>
            <w:tcW w:w="9405" w:type="dxa"/>
            <w:gridSpan w:val="13"/>
            <w:shd w:val="clear" w:color="auto" w:fill="D9E2F3"/>
            <w:vAlign w:val="center"/>
          </w:tcPr>
          <w:p w14:paraId="5ED3156D" w14:textId="77777777" w:rsidR="00990B14" w:rsidRDefault="00000000">
            <w:pPr>
              <w:spacing w:before="20" w:after="20"/>
              <w:jc w:val="both"/>
            </w:pPr>
            <w:r>
              <w:rPr>
                <w:b/>
                <w:bCs/>
                <w:i/>
                <w:iCs/>
                <w:sz w:val="18"/>
                <w:szCs w:val="18"/>
              </w:rPr>
              <w:t xml:space="preserve">Elemento de competencia 6: </w:t>
            </w:r>
            <w:r>
              <w:rPr>
                <w:sz w:val="18"/>
                <w:szCs w:val="18"/>
              </w:rPr>
              <w:t>Formula y evalúa el proceso de adopción por primera vez de las Normas NIIF de Contabilidad y de la NIIF para las PYMES, determinando las excepciones obligatorias, exenciones voluntarias y los ajustes en el estado de situación financiera de apertura para una entidad en Bolivia, con el propósito de asegurar una transición ordenada, la conciliación patrimonial y la comparabilidad de la información financiera.</w:t>
            </w:r>
          </w:p>
        </w:tc>
      </w:tr>
      <w:tr w:rsidR="00990B14" w14:paraId="0F110CC0" w14:textId="77777777">
        <w:trPr>
          <w:cantSplit/>
          <w:jc w:val="center"/>
        </w:trPr>
        <w:tc>
          <w:tcPr>
            <w:tcW w:w="3133" w:type="dxa"/>
            <w:gridSpan w:val="4"/>
            <w:shd w:val="clear" w:color="auto" w:fill="4472C4"/>
            <w:vAlign w:val="center"/>
          </w:tcPr>
          <w:p w14:paraId="40979738"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12911CA2"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64042BCC" w14:textId="77777777" w:rsidR="00990B14" w:rsidRDefault="00000000">
            <w:pPr>
              <w:keepNext/>
              <w:spacing w:before="20" w:after="20"/>
              <w:jc w:val="center"/>
            </w:pPr>
            <w:r>
              <w:rPr>
                <w:b/>
                <w:bCs/>
                <w:i/>
                <w:iCs/>
                <w:color w:val="FFFFFF"/>
                <w:sz w:val="18"/>
                <w:szCs w:val="18"/>
              </w:rPr>
              <w:t>Evidencias de producto</w:t>
            </w:r>
          </w:p>
        </w:tc>
      </w:tr>
      <w:tr w:rsidR="00990B14" w14:paraId="079A34F2" w14:textId="77777777">
        <w:trPr>
          <w:cantSplit/>
          <w:jc w:val="center"/>
        </w:trPr>
        <w:tc>
          <w:tcPr>
            <w:tcW w:w="3133" w:type="dxa"/>
            <w:gridSpan w:val="4"/>
            <w:vMerge w:val="restart"/>
            <w:shd w:val="clear" w:color="auto" w:fill="D9E2F3"/>
            <w:vAlign w:val="center"/>
          </w:tcPr>
          <w:p w14:paraId="1C22DAD9" w14:textId="77777777" w:rsidR="00990B14" w:rsidRDefault="00000000">
            <w:pPr>
              <w:spacing w:before="20" w:after="20"/>
              <w:jc w:val="both"/>
            </w:pPr>
            <w:r>
              <w:rPr>
                <w:sz w:val="18"/>
                <w:szCs w:val="18"/>
              </w:rPr>
              <w:t>1. Determina las políticas contables de transición y los ajustes requeridos en el estado de situación financiera de apertura conforme a la NIIF 1 y a la Sección 35 de la NIIF para las PYMES, evaluando la aplicación de las excepciones obligatorias y exenciones voluntarias en el contexto del sector empresarial boliviano.</w:t>
            </w:r>
          </w:p>
        </w:tc>
        <w:tc>
          <w:tcPr>
            <w:tcW w:w="3135" w:type="dxa"/>
            <w:gridSpan w:val="5"/>
            <w:shd w:val="clear" w:color="auto" w:fill="D9E2F3"/>
            <w:vAlign w:val="center"/>
          </w:tcPr>
          <w:p w14:paraId="00327A0C" w14:textId="77777777" w:rsidR="00990B14" w:rsidRDefault="00000000">
            <w:pPr>
              <w:spacing w:before="20" w:after="20"/>
              <w:jc w:val="both"/>
            </w:pPr>
            <w:r>
              <w:rPr>
                <w:sz w:val="18"/>
                <w:szCs w:val="18"/>
              </w:rPr>
              <w:t>1.1 Elabora en aula el estado de situación financiera de apertura de una entidad que adopta por primera vez las NIIF o la NIIF para las PYMES.</w:t>
            </w:r>
          </w:p>
        </w:tc>
        <w:tc>
          <w:tcPr>
            <w:tcW w:w="3137" w:type="dxa"/>
            <w:gridSpan w:val="4"/>
            <w:shd w:val="clear" w:color="auto" w:fill="D9E2F3"/>
            <w:vAlign w:val="center"/>
          </w:tcPr>
          <w:p w14:paraId="2B80CF37" w14:textId="77777777" w:rsidR="00990B14" w:rsidRDefault="00000000">
            <w:pPr>
              <w:spacing w:before="20" w:after="20"/>
              <w:jc w:val="both"/>
            </w:pPr>
            <w:r>
              <w:rPr>
                <w:b/>
                <w:bCs/>
                <w:sz w:val="18"/>
                <w:szCs w:val="18"/>
              </w:rPr>
              <w:t xml:space="preserve">Producto 21: </w:t>
            </w:r>
            <w:r>
              <w:rPr>
                <w:sz w:val="18"/>
                <w:szCs w:val="18"/>
              </w:rPr>
              <w:t>Estado de Situación Financiera de apertura con arreglo a las NIIF o la NIIF para las PYMES del caso práctico.</w:t>
            </w:r>
          </w:p>
        </w:tc>
      </w:tr>
      <w:tr w:rsidR="00990B14" w14:paraId="466C6154" w14:textId="77777777">
        <w:trPr>
          <w:cantSplit/>
          <w:jc w:val="center"/>
        </w:trPr>
        <w:tc>
          <w:tcPr>
            <w:tcW w:w="3133" w:type="dxa"/>
            <w:gridSpan w:val="4"/>
            <w:vMerge/>
            <w:shd w:val="clear" w:color="auto" w:fill="D9E2F3"/>
            <w:vAlign w:val="center"/>
          </w:tcPr>
          <w:p w14:paraId="41EDE01C" w14:textId="77777777" w:rsidR="00990B14" w:rsidRDefault="00990B14">
            <w:pPr>
              <w:spacing w:before="20" w:after="20"/>
            </w:pPr>
          </w:p>
        </w:tc>
        <w:tc>
          <w:tcPr>
            <w:tcW w:w="3135" w:type="dxa"/>
            <w:gridSpan w:val="5"/>
            <w:shd w:val="clear" w:color="auto" w:fill="D9E2F3"/>
            <w:vAlign w:val="center"/>
          </w:tcPr>
          <w:p w14:paraId="5DBB74DA" w14:textId="77777777" w:rsidR="00990B14" w:rsidRDefault="00000000">
            <w:pPr>
              <w:spacing w:before="20" w:after="20"/>
              <w:jc w:val="both"/>
            </w:pPr>
            <w:r>
              <w:rPr>
                <w:sz w:val="18"/>
                <w:szCs w:val="18"/>
              </w:rPr>
              <w:t>1.2 Explica en equipo los ajustes de la transición en el patrimonio de la entidad.</w:t>
            </w:r>
          </w:p>
        </w:tc>
        <w:tc>
          <w:tcPr>
            <w:tcW w:w="3137" w:type="dxa"/>
            <w:gridSpan w:val="4"/>
            <w:shd w:val="clear" w:color="auto" w:fill="D9E2F3"/>
            <w:vAlign w:val="center"/>
          </w:tcPr>
          <w:p w14:paraId="7B7EB17F" w14:textId="77777777" w:rsidR="00990B14" w:rsidRDefault="00000000">
            <w:pPr>
              <w:spacing w:before="20" w:after="20"/>
              <w:jc w:val="both"/>
            </w:pPr>
            <w:r>
              <w:rPr>
                <w:b/>
                <w:bCs/>
                <w:sz w:val="18"/>
                <w:szCs w:val="18"/>
              </w:rPr>
              <w:t xml:space="preserve">Producto 22: </w:t>
            </w:r>
            <w:r>
              <w:rPr>
                <w:sz w:val="18"/>
                <w:szCs w:val="18"/>
              </w:rPr>
              <w:t>Conciliación del patrimonio entre las normas anteriores y las NIIF o la NIIF para las PYMES.</w:t>
            </w:r>
          </w:p>
        </w:tc>
      </w:tr>
      <w:tr w:rsidR="00990B14" w14:paraId="5B4EE6F7" w14:textId="77777777">
        <w:trPr>
          <w:cantSplit/>
          <w:jc w:val="center"/>
        </w:trPr>
        <w:tc>
          <w:tcPr>
            <w:tcW w:w="3133" w:type="dxa"/>
            <w:gridSpan w:val="4"/>
            <w:vMerge w:val="restart"/>
            <w:shd w:val="clear" w:color="auto" w:fill="D9E2F3"/>
            <w:vAlign w:val="center"/>
          </w:tcPr>
          <w:p w14:paraId="46DEA7A9" w14:textId="77777777" w:rsidR="00990B14" w:rsidRDefault="00000000">
            <w:pPr>
              <w:spacing w:before="20" w:after="20"/>
              <w:jc w:val="both"/>
            </w:pPr>
            <w:r>
              <w:rPr>
                <w:sz w:val="18"/>
                <w:szCs w:val="18"/>
              </w:rPr>
              <w:t>2. Elabora las conciliaciones del patrimonio y el resultado del periodo entre las Normas de Contabilidad Generalmente Aceptadas en Bolivia (NCGA) y el marco internacional adoptado (Normas NIIF de Contabilidad / NIIF para las PYMES), estructurando las notas explicativas de transición correspondientes.</w:t>
            </w:r>
          </w:p>
        </w:tc>
        <w:tc>
          <w:tcPr>
            <w:tcW w:w="3135" w:type="dxa"/>
            <w:gridSpan w:val="5"/>
            <w:shd w:val="clear" w:color="auto" w:fill="D9E2F3"/>
            <w:vAlign w:val="center"/>
          </w:tcPr>
          <w:p w14:paraId="66D2D78F" w14:textId="77777777" w:rsidR="00990B14" w:rsidRDefault="00000000">
            <w:pPr>
              <w:spacing w:before="20" w:after="20"/>
              <w:jc w:val="both"/>
            </w:pPr>
            <w:r>
              <w:rPr>
                <w:sz w:val="18"/>
                <w:szCs w:val="18"/>
              </w:rPr>
              <w:t>2.1 Expone ante el curso las exenciones y las excepciones aplicadas en un caso de transición.</w:t>
            </w:r>
          </w:p>
        </w:tc>
        <w:tc>
          <w:tcPr>
            <w:tcW w:w="3137" w:type="dxa"/>
            <w:gridSpan w:val="4"/>
            <w:shd w:val="clear" w:color="auto" w:fill="D9E2F3"/>
            <w:vAlign w:val="center"/>
          </w:tcPr>
          <w:p w14:paraId="41A468A2" w14:textId="77777777" w:rsidR="00990B14" w:rsidRDefault="00000000">
            <w:pPr>
              <w:spacing w:before="20" w:after="20"/>
              <w:jc w:val="both"/>
            </w:pPr>
            <w:r>
              <w:rPr>
                <w:b/>
                <w:bCs/>
                <w:sz w:val="18"/>
                <w:szCs w:val="18"/>
              </w:rPr>
              <w:t xml:space="preserve">Producto 23: </w:t>
            </w:r>
            <w:r>
              <w:rPr>
                <w:sz w:val="18"/>
                <w:szCs w:val="18"/>
              </w:rPr>
              <w:t>Informe de las exenciones y excepciones aplicadas en la transición.</w:t>
            </w:r>
          </w:p>
        </w:tc>
      </w:tr>
      <w:tr w:rsidR="00990B14" w14:paraId="5991E488" w14:textId="77777777">
        <w:trPr>
          <w:cantSplit/>
          <w:jc w:val="center"/>
        </w:trPr>
        <w:tc>
          <w:tcPr>
            <w:tcW w:w="3133" w:type="dxa"/>
            <w:gridSpan w:val="4"/>
            <w:vMerge/>
            <w:shd w:val="clear" w:color="auto" w:fill="D9E2F3"/>
            <w:vAlign w:val="center"/>
          </w:tcPr>
          <w:p w14:paraId="7CFF82F2" w14:textId="77777777" w:rsidR="00990B14" w:rsidRDefault="00990B14">
            <w:pPr>
              <w:spacing w:before="20" w:after="20"/>
            </w:pPr>
          </w:p>
        </w:tc>
        <w:tc>
          <w:tcPr>
            <w:tcW w:w="3135" w:type="dxa"/>
            <w:gridSpan w:val="5"/>
            <w:shd w:val="clear" w:color="auto" w:fill="D9E2F3"/>
            <w:vAlign w:val="center"/>
          </w:tcPr>
          <w:p w14:paraId="714F695C" w14:textId="77777777" w:rsidR="00990B14" w:rsidRDefault="00000000">
            <w:pPr>
              <w:spacing w:before="20" w:after="20"/>
              <w:jc w:val="both"/>
            </w:pPr>
            <w:r>
              <w:rPr>
                <w:sz w:val="18"/>
                <w:szCs w:val="18"/>
              </w:rPr>
              <w:t>2.2 Analiza en equipo las implicaciones de la adopción de las Normas NIIF de Contabilidad o la NIIF para las PYMES para una entidad boliviana.</w:t>
            </w:r>
          </w:p>
        </w:tc>
        <w:tc>
          <w:tcPr>
            <w:tcW w:w="3137" w:type="dxa"/>
            <w:gridSpan w:val="4"/>
            <w:shd w:val="clear" w:color="auto" w:fill="D9E2F3"/>
            <w:vAlign w:val="center"/>
          </w:tcPr>
          <w:p w14:paraId="0E89DA8C" w14:textId="77777777" w:rsidR="00990B14" w:rsidRDefault="00000000">
            <w:pPr>
              <w:spacing w:before="20" w:after="20"/>
              <w:jc w:val="both"/>
            </w:pPr>
            <w:r>
              <w:rPr>
                <w:b/>
                <w:bCs/>
                <w:sz w:val="18"/>
                <w:szCs w:val="18"/>
              </w:rPr>
              <w:t xml:space="preserve">Producto 24: </w:t>
            </w:r>
            <w:r>
              <w:rPr>
                <w:sz w:val="18"/>
                <w:szCs w:val="18"/>
              </w:rPr>
              <w:t>Ensayo sobre las implicaciones de la adopción de las Normas NIIF de Contabilidad y la NIIF para las PYMES en Bolivia.</w:t>
            </w:r>
          </w:p>
        </w:tc>
      </w:tr>
      <w:tr w:rsidR="00990B14" w14:paraId="098E5847" w14:textId="77777777">
        <w:trPr>
          <w:cantSplit/>
          <w:jc w:val="center"/>
        </w:trPr>
        <w:tc>
          <w:tcPr>
            <w:tcW w:w="9405" w:type="dxa"/>
            <w:gridSpan w:val="13"/>
            <w:shd w:val="clear" w:color="auto" w:fill="4472C4"/>
            <w:vAlign w:val="center"/>
          </w:tcPr>
          <w:p w14:paraId="4CF90DAC" w14:textId="77777777" w:rsidR="00990B14" w:rsidRDefault="00000000">
            <w:pPr>
              <w:keepNext/>
              <w:spacing w:before="20" w:after="20"/>
              <w:jc w:val="center"/>
            </w:pPr>
            <w:r>
              <w:rPr>
                <w:b/>
                <w:bCs/>
                <w:i/>
                <w:iCs/>
                <w:color w:val="FFFFFF"/>
                <w:sz w:val="18"/>
                <w:szCs w:val="18"/>
              </w:rPr>
              <w:t>Evidencias de conocimiento</w:t>
            </w:r>
          </w:p>
        </w:tc>
      </w:tr>
      <w:tr w:rsidR="00990B14" w14:paraId="138FF228" w14:textId="77777777">
        <w:trPr>
          <w:cantSplit/>
          <w:jc w:val="center"/>
        </w:trPr>
        <w:tc>
          <w:tcPr>
            <w:tcW w:w="2349" w:type="dxa"/>
            <w:gridSpan w:val="2"/>
            <w:shd w:val="clear" w:color="auto" w:fill="4472C4"/>
            <w:vAlign w:val="center"/>
          </w:tcPr>
          <w:p w14:paraId="34DD58A3"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2A9E2B93" w14:textId="77777777" w:rsidR="00990B14" w:rsidRDefault="00000000">
            <w:pPr>
              <w:keepNext/>
              <w:spacing w:before="20" w:after="20"/>
              <w:jc w:val="both"/>
            </w:pPr>
            <w:r>
              <w:rPr>
                <w:b/>
                <w:bCs/>
                <w:i/>
                <w:iCs/>
                <w:color w:val="FFFFFF"/>
                <w:sz w:val="18"/>
                <w:szCs w:val="18"/>
              </w:rPr>
              <w:t>Contenidos</w:t>
            </w:r>
          </w:p>
          <w:p w14:paraId="10FA6F63"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728FD94A" w14:textId="77777777" w:rsidR="00990B14" w:rsidRDefault="00000000">
            <w:pPr>
              <w:keepNext/>
              <w:spacing w:before="20" w:after="20"/>
              <w:jc w:val="center"/>
            </w:pPr>
            <w:r>
              <w:rPr>
                <w:b/>
                <w:bCs/>
                <w:i/>
                <w:iCs/>
                <w:color w:val="FFFFFF"/>
                <w:sz w:val="18"/>
                <w:szCs w:val="18"/>
              </w:rPr>
              <w:t>Conocimientos circunstanciales</w:t>
            </w:r>
          </w:p>
        </w:tc>
      </w:tr>
      <w:tr w:rsidR="00990B14" w14:paraId="4E132B5B" w14:textId="77777777">
        <w:trPr>
          <w:jc w:val="center"/>
        </w:trPr>
        <w:tc>
          <w:tcPr>
            <w:tcW w:w="2349" w:type="dxa"/>
            <w:gridSpan w:val="2"/>
            <w:shd w:val="clear" w:color="auto" w:fill="D9E2F3"/>
          </w:tcPr>
          <w:p w14:paraId="1449AF31" w14:textId="77777777" w:rsidR="00990B14" w:rsidRDefault="00000000">
            <w:pPr>
              <w:spacing w:before="20" w:after="40"/>
              <w:jc w:val="both"/>
            </w:pPr>
            <w:r>
              <w:rPr>
                <w:sz w:val="18"/>
                <w:szCs w:val="18"/>
              </w:rPr>
              <w:t>Tema 24: NIIF 1 Adopción por Primera Vez de las Normas Internacionales de Información Financiera</w:t>
            </w:r>
          </w:p>
        </w:tc>
        <w:tc>
          <w:tcPr>
            <w:tcW w:w="4304" w:type="dxa"/>
            <w:gridSpan w:val="8"/>
            <w:shd w:val="clear" w:color="auto" w:fill="D9E2F3"/>
          </w:tcPr>
          <w:p w14:paraId="69D2A94A" w14:textId="77777777" w:rsidR="00990B14" w:rsidRDefault="00000000">
            <w:pPr>
              <w:spacing w:after="40"/>
              <w:jc w:val="both"/>
            </w:pPr>
            <w:r>
              <w:rPr>
                <w:sz w:val="18"/>
                <w:szCs w:val="18"/>
              </w:rPr>
              <w:t>Objetivo, alcance, reconocimiento y medición de la NIIF 1 para la adopción por primera vez de las Normas Internacionales de Información Financiera. (C, P)</w:t>
            </w:r>
          </w:p>
          <w:p w14:paraId="51B56874" w14:textId="77777777" w:rsidR="00990B14" w:rsidRDefault="00000000">
            <w:pPr>
              <w:spacing w:after="40"/>
              <w:jc w:val="both"/>
            </w:pPr>
            <w:r>
              <w:rPr>
                <w:sz w:val="18"/>
                <w:szCs w:val="18"/>
              </w:rPr>
              <w:t>Estado de Situación Financiera de apertura con arreglo a las NIIF y las políticas contables aplicables en la transición. (C)</w:t>
            </w:r>
          </w:p>
          <w:p w14:paraId="37750B8C" w14:textId="77777777" w:rsidR="00990B14" w:rsidRDefault="00000000">
            <w:pPr>
              <w:spacing w:after="40"/>
              <w:jc w:val="both"/>
            </w:pPr>
            <w:r>
              <w:rPr>
                <w:sz w:val="18"/>
                <w:szCs w:val="18"/>
              </w:rPr>
              <w:t>Exenciones y excepciones a la aplicación retroactiva de las NIIF. (P)</w:t>
            </w:r>
          </w:p>
          <w:p w14:paraId="2048D8CC" w14:textId="77777777" w:rsidR="00990B14" w:rsidRDefault="00000000">
            <w:pPr>
              <w:spacing w:after="40"/>
              <w:jc w:val="both"/>
            </w:pPr>
            <w:r>
              <w:rPr>
                <w:sz w:val="18"/>
                <w:szCs w:val="18"/>
              </w:rPr>
              <w:t>Presentación de información a revelar, información comparativa y explicación de la transición a las NIIF. (P)</w:t>
            </w:r>
          </w:p>
          <w:p w14:paraId="25B1C2E8" w14:textId="77777777" w:rsidR="00990B14" w:rsidRDefault="00000000">
            <w:pPr>
              <w:spacing w:after="40"/>
              <w:jc w:val="both"/>
            </w:pPr>
            <w:r>
              <w:rPr>
                <w:sz w:val="18"/>
                <w:szCs w:val="18"/>
              </w:rPr>
              <w:t>Consideraciones para la aplicación de la NIIF 1 en Bolivia y análisis de la sección de la NIIF para PYMES relacionada. (C, P)</w:t>
            </w:r>
          </w:p>
          <w:p w14:paraId="2F8F0BFC" w14:textId="77777777" w:rsidR="00990B14" w:rsidRDefault="00000000">
            <w:pPr>
              <w:spacing w:after="40"/>
              <w:jc w:val="both"/>
            </w:pPr>
            <w:r>
              <w:rPr>
                <w:sz w:val="18"/>
                <w:szCs w:val="18"/>
              </w:rPr>
              <w:t>Convivencia de las Normas de Contabilidad Generalmente Aceptadas en Bolivia con las Normas Internacionales de Información Financiera, y efectos de una adopción plena sobre los estados financieros y sobre la determinación de los tributos. (C, P)</w:t>
            </w:r>
          </w:p>
        </w:tc>
        <w:tc>
          <w:tcPr>
            <w:tcW w:w="2752" w:type="dxa"/>
            <w:gridSpan w:val="3"/>
            <w:shd w:val="clear" w:color="auto" w:fill="D9E2F3"/>
          </w:tcPr>
          <w:p w14:paraId="1DCB83E3" w14:textId="77777777" w:rsidR="00990B14" w:rsidRDefault="00000000">
            <w:pPr>
              <w:numPr>
                <w:ilvl w:val="0"/>
                <w:numId w:val="139"/>
              </w:numPr>
              <w:spacing w:before="10" w:after="10"/>
              <w:jc w:val="both"/>
            </w:pPr>
            <w:r>
              <w:rPr>
                <w:sz w:val="18"/>
                <w:szCs w:val="18"/>
              </w:rPr>
              <w:t>Entidades bolivianas que presentan estados financieros bajo Normas Internacionales de Información Financiera por requerimiento de su casa matriz o de organismos financiadores.</w:t>
            </w:r>
          </w:p>
          <w:p w14:paraId="238F5DEE" w14:textId="77777777" w:rsidR="00990B14" w:rsidRDefault="00000000">
            <w:pPr>
              <w:numPr>
                <w:ilvl w:val="0"/>
                <w:numId w:val="139"/>
              </w:numPr>
              <w:spacing w:before="10" w:after="10"/>
              <w:jc w:val="both"/>
            </w:pPr>
            <w:r>
              <w:rPr>
                <w:sz w:val="18"/>
                <w:szCs w:val="18"/>
              </w:rPr>
              <w:t>Prevalencia de las normas técnicas de contabilidad aprobadas por la Administración Tributaria en la determinación del Impuesto sobre las Utilidades de las Empresas, conforme a la Resolución Normativa de Directorio N.º 102600000014.</w:t>
            </w:r>
          </w:p>
        </w:tc>
      </w:tr>
    </w:tbl>
    <w:p w14:paraId="50732F3A"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700"/>
        <w:gridCol w:w="1805"/>
        <w:gridCol w:w="1805"/>
        <w:gridCol w:w="1700"/>
        <w:gridCol w:w="2395"/>
      </w:tblGrid>
      <w:tr w:rsidR="00990B14" w14:paraId="6D5EFA40" w14:textId="77777777">
        <w:trPr>
          <w:cantSplit/>
          <w:jc w:val="center"/>
        </w:trPr>
        <w:tc>
          <w:tcPr>
            <w:tcW w:w="9405" w:type="dxa"/>
            <w:gridSpan w:val="5"/>
            <w:shd w:val="clear" w:color="auto" w:fill="4472C4"/>
            <w:vAlign w:val="center"/>
          </w:tcPr>
          <w:p w14:paraId="6DE7B6DC" w14:textId="77777777" w:rsidR="00990B14" w:rsidRDefault="00000000">
            <w:pPr>
              <w:keepNext/>
              <w:spacing w:before="20" w:after="20"/>
              <w:jc w:val="center"/>
            </w:pPr>
            <w:r>
              <w:rPr>
                <w:b/>
                <w:bCs/>
                <w:i/>
                <w:iCs/>
                <w:color w:val="FFFFFF"/>
                <w:sz w:val="18"/>
                <w:szCs w:val="18"/>
              </w:rPr>
              <w:t>Actividades</w:t>
            </w:r>
          </w:p>
        </w:tc>
      </w:tr>
      <w:tr w:rsidR="00990B14" w14:paraId="12E26265" w14:textId="77777777">
        <w:trPr>
          <w:cantSplit/>
          <w:jc w:val="center"/>
        </w:trPr>
        <w:tc>
          <w:tcPr>
            <w:tcW w:w="1700" w:type="dxa"/>
            <w:shd w:val="clear" w:color="auto" w:fill="4472C4"/>
            <w:vAlign w:val="center"/>
          </w:tcPr>
          <w:p w14:paraId="6FB34B7A" w14:textId="77777777" w:rsidR="00990B14" w:rsidRDefault="00000000">
            <w:pPr>
              <w:keepNext/>
              <w:spacing w:before="20" w:after="20"/>
              <w:jc w:val="center"/>
            </w:pPr>
            <w:r>
              <w:rPr>
                <w:b/>
                <w:bCs/>
                <w:i/>
                <w:iCs/>
                <w:color w:val="FFFFFF"/>
                <w:sz w:val="18"/>
                <w:szCs w:val="18"/>
              </w:rPr>
              <w:t>En clase</w:t>
            </w:r>
          </w:p>
        </w:tc>
        <w:tc>
          <w:tcPr>
            <w:tcW w:w="1805" w:type="dxa"/>
            <w:shd w:val="clear" w:color="auto" w:fill="4472C4"/>
            <w:vAlign w:val="center"/>
          </w:tcPr>
          <w:p w14:paraId="4C638C9E" w14:textId="77777777" w:rsidR="00990B14" w:rsidRDefault="00000000">
            <w:pPr>
              <w:keepNext/>
              <w:spacing w:before="20" w:after="20"/>
              <w:jc w:val="center"/>
            </w:pPr>
            <w:r>
              <w:rPr>
                <w:b/>
                <w:bCs/>
                <w:i/>
                <w:iCs/>
                <w:color w:val="FFFFFF"/>
                <w:sz w:val="18"/>
                <w:szCs w:val="18"/>
              </w:rPr>
              <w:t>Autónomas</w:t>
            </w:r>
          </w:p>
        </w:tc>
        <w:tc>
          <w:tcPr>
            <w:tcW w:w="1805" w:type="dxa"/>
            <w:shd w:val="clear" w:color="auto" w:fill="4472C4"/>
            <w:vAlign w:val="center"/>
          </w:tcPr>
          <w:p w14:paraId="221668A2" w14:textId="77777777" w:rsidR="00990B14" w:rsidRDefault="00000000">
            <w:pPr>
              <w:keepNext/>
              <w:spacing w:before="20" w:after="20"/>
              <w:jc w:val="center"/>
            </w:pPr>
            <w:r>
              <w:rPr>
                <w:b/>
                <w:bCs/>
                <w:i/>
                <w:iCs/>
                <w:color w:val="FFFFFF"/>
                <w:sz w:val="18"/>
                <w:szCs w:val="18"/>
              </w:rPr>
              <w:t>B-Learning</w:t>
            </w:r>
          </w:p>
        </w:tc>
        <w:tc>
          <w:tcPr>
            <w:tcW w:w="1700" w:type="dxa"/>
            <w:shd w:val="clear" w:color="auto" w:fill="4472C4"/>
            <w:vAlign w:val="center"/>
          </w:tcPr>
          <w:p w14:paraId="50B8E385" w14:textId="77777777" w:rsidR="00990B14" w:rsidRDefault="00000000">
            <w:pPr>
              <w:keepNext/>
              <w:spacing w:before="20" w:after="20"/>
              <w:jc w:val="center"/>
            </w:pPr>
            <w:r>
              <w:rPr>
                <w:b/>
                <w:bCs/>
                <w:i/>
                <w:iCs/>
                <w:color w:val="FFFFFF"/>
                <w:sz w:val="18"/>
                <w:szCs w:val="18"/>
              </w:rPr>
              <w:t>Taller</w:t>
            </w:r>
          </w:p>
        </w:tc>
        <w:tc>
          <w:tcPr>
            <w:tcW w:w="2395" w:type="dxa"/>
            <w:shd w:val="clear" w:color="auto" w:fill="4472C4"/>
            <w:vAlign w:val="center"/>
          </w:tcPr>
          <w:p w14:paraId="5FFD48E5" w14:textId="77777777" w:rsidR="00990B14" w:rsidRDefault="00000000">
            <w:pPr>
              <w:keepNext/>
              <w:spacing w:before="20" w:after="20"/>
              <w:jc w:val="center"/>
            </w:pPr>
            <w:r>
              <w:rPr>
                <w:b/>
                <w:bCs/>
                <w:i/>
                <w:iCs/>
                <w:color w:val="FFFFFF"/>
                <w:sz w:val="18"/>
                <w:szCs w:val="18"/>
              </w:rPr>
              <w:t>Investigación/Práctica</w:t>
            </w:r>
          </w:p>
        </w:tc>
      </w:tr>
      <w:tr w:rsidR="00990B14" w14:paraId="47A3EC77" w14:textId="77777777">
        <w:trPr>
          <w:jc w:val="center"/>
        </w:trPr>
        <w:tc>
          <w:tcPr>
            <w:tcW w:w="1700" w:type="dxa"/>
            <w:shd w:val="clear" w:color="auto" w:fill="D9E2F3"/>
          </w:tcPr>
          <w:p w14:paraId="11E57112" w14:textId="77777777" w:rsidR="00990B14" w:rsidRDefault="00000000">
            <w:pPr>
              <w:numPr>
                <w:ilvl w:val="0"/>
                <w:numId w:val="139"/>
              </w:numPr>
              <w:spacing w:before="10" w:after="10"/>
              <w:jc w:val="both"/>
            </w:pPr>
            <w:r>
              <w:rPr>
                <w:sz w:val="18"/>
                <w:szCs w:val="18"/>
              </w:rPr>
              <w:t>Resolución guiada de casos prácticos en orden de dificultad creciente por norma.</w:t>
            </w:r>
          </w:p>
          <w:p w14:paraId="2A2F71BE" w14:textId="77777777" w:rsidR="00990B14" w:rsidRDefault="00000000">
            <w:pPr>
              <w:numPr>
                <w:ilvl w:val="0"/>
                <w:numId w:val="139"/>
              </w:numPr>
              <w:spacing w:before="10" w:after="10"/>
              <w:jc w:val="both"/>
            </w:pPr>
            <w:r>
              <w:rPr>
                <w:sz w:val="18"/>
                <w:szCs w:val="18"/>
              </w:rPr>
              <w:t>Estudio de casos de estados financieros reales de empresas bolivianas.</w:t>
            </w:r>
          </w:p>
          <w:p w14:paraId="792B5452" w14:textId="77777777" w:rsidR="00990B14" w:rsidRDefault="00000000">
            <w:pPr>
              <w:numPr>
                <w:ilvl w:val="0"/>
                <w:numId w:val="139"/>
              </w:numPr>
              <w:spacing w:before="10" w:after="10"/>
              <w:jc w:val="both"/>
            </w:pPr>
            <w:r>
              <w:rPr>
                <w:sz w:val="18"/>
                <w:szCs w:val="18"/>
              </w:rPr>
              <w:t>Clase invertida para los contenidos normativos e introductorios de cada NIC o NIIF y la NIIF para las PYMES.</w:t>
            </w:r>
          </w:p>
        </w:tc>
        <w:tc>
          <w:tcPr>
            <w:tcW w:w="1805" w:type="dxa"/>
            <w:shd w:val="clear" w:color="auto" w:fill="D9E2F3"/>
          </w:tcPr>
          <w:p w14:paraId="0E4EC6E0" w14:textId="77777777" w:rsidR="00990B14" w:rsidRDefault="00000000">
            <w:pPr>
              <w:numPr>
                <w:ilvl w:val="0"/>
                <w:numId w:val="139"/>
              </w:numPr>
              <w:spacing w:before="10" w:after="10"/>
              <w:jc w:val="both"/>
            </w:pPr>
            <w:r>
              <w:rPr>
                <w:sz w:val="18"/>
                <w:szCs w:val="18"/>
              </w:rPr>
              <w:t>Resolución de ejercicios de reconocimiento y medición al cierre de cada norma.</w:t>
            </w:r>
          </w:p>
          <w:p w14:paraId="7F30473A" w14:textId="77777777" w:rsidR="00990B14" w:rsidRDefault="00000000">
            <w:pPr>
              <w:numPr>
                <w:ilvl w:val="0"/>
                <w:numId w:val="139"/>
              </w:numPr>
              <w:spacing w:before="10" w:after="10"/>
              <w:jc w:val="both"/>
            </w:pPr>
            <w:r>
              <w:rPr>
                <w:sz w:val="18"/>
                <w:szCs w:val="18"/>
              </w:rPr>
              <w:t>Lectura de las Normas Internacionales de Información Financiera: Normas NIIF de Contabilidad y de la NIIF para las PYMES relacionadas con cada tema.</w:t>
            </w:r>
          </w:p>
          <w:p w14:paraId="7A2983B0" w14:textId="77777777" w:rsidR="00990B14" w:rsidRDefault="00000000">
            <w:pPr>
              <w:numPr>
                <w:ilvl w:val="0"/>
                <w:numId w:val="139"/>
              </w:numPr>
              <w:spacing w:before="10" w:after="10"/>
              <w:jc w:val="both"/>
            </w:pPr>
            <w:r>
              <w:rPr>
                <w:sz w:val="18"/>
                <w:szCs w:val="18"/>
              </w:rPr>
              <w:t>Desarrollo progresivo de un caso práctico integral de estados financieros bajo Normas NIIF de Contabilidad y la NIIF para las PYMES.</w:t>
            </w:r>
          </w:p>
        </w:tc>
        <w:tc>
          <w:tcPr>
            <w:tcW w:w="1805" w:type="dxa"/>
            <w:shd w:val="clear" w:color="auto" w:fill="D9E2F3"/>
          </w:tcPr>
          <w:p w14:paraId="25ADEE73" w14:textId="77777777" w:rsidR="00990B14" w:rsidRDefault="00000000">
            <w:pPr>
              <w:numPr>
                <w:ilvl w:val="0"/>
                <w:numId w:val="139"/>
              </w:numPr>
              <w:spacing w:before="10" w:after="10"/>
              <w:jc w:val="both"/>
            </w:pPr>
            <w:r>
              <w:rPr>
                <w:sz w:val="18"/>
                <w:szCs w:val="18"/>
              </w:rPr>
              <w:t>Cuestionarios de comprensión de cada norma en la plataforma digital.</w:t>
            </w:r>
          </w:p>
          <w:p w14:paraId="1CA180D4" w14:textId="77777777" w:rsidR="00990B14" w:rsidRDefault="00000000">
            <w:pPr>
              <w:numPr>
                <w:ilvl w:val="0"/>
                <w:numId w:val="139"/>
              </w:numPr>
              <w:spacing w:before="10" w:after="10"/>
              <w:jc w:val="both"/>
            </w:pPr>
            <w:r>
              <w:rPr>
                <w:sz w:val="18"/>
                <w:szCs w:val="18"/>
              </w:rPr>
              <w:t>Foros de consulta sobre el tratamiento contable de casos prácticos de partidas de activo, pasivo e ingresos.</w:t>
            </w:r>
          </w:p>
          <w:p w14:paraId="7AD810B1" w14:textId="77777777" w:rsidR="00990B14" w:rsidRDefault="00000000">
            <w:pPr>
              <w:numPr>
                <w:ilvl w:val="0"/>
                <w:numId w:val="139"/>
              </w:numPr>
              <w:spacing w:before="10" w:after="10"/>
              <w:jc w:val="both"/>
            </w:pPr>
            <w:r>
              <w:rPr>
                <w:sz w:val="18"/>
                <w:szCs w:val="18"/>
              </w:rPr>
              <w:t>Videotutoriales de reconocimiento y medición bajo las Normas NIIF de Contabilidad y la NIIF para las PYMES y de preparación de estados financieros en hoja de cálculo.</w:t>
            </w:r>
          </w:p>
        </w:tc>
        <w:tc>
          <w:tcPr>
            <w:tcW w:w="1700" w:type="dxa"/>
            <w:shd w:val="clear" w:color="auto" w:fill="D9E2F3"/>
          </w:tcPr>
          <w:p w14:paraId="4E0541AC" w14:textId="77777777" w:rsidR="00990B14" w:rsidRDefault="00000000">
            <w:pPr>
              <w:numPr>
                <w:ilvl w:val="0"/>
                <w:numId w:val="139"/>
              </w:numPr>
              <w:spacing w:before="10" w:after="10"/>
              <w:jc w:val="both"/>
            </w:pPr>
            <w:r>
              <w:rPr>
                <w:sz w:val="18"/>
                <w:szCs w:val="18"/>
              </w:rPr>
              <w:t>Resolución colaborativa de casos de medición de inventarios, propiedades, planta y equipo y activos intangibles.</w:t>
            </w:r>
          </w:p>
          <w:p w14:paraId="3AB54890" w14:textId="77777777" w:rsidR="00990B14" w:rsidRDefault="00000000">
            <w:pPr>
              <w:numPr>
                <w:ilvl w:val="0"/>
                <w:numId w:val="139"/>
              </w:numPr>
              <w:spacing w:before="10" w:after="10"/>
              <w:jc w:val="both"/>
            </w:pPr>
            <w:r>
              <w:rPr>
                <w:sz w:val="18"/>
                <w:szCs w:val="18"/>
              </w:rPr>
              <w:t>Elaboración guiada de los estados financieros de propósito general y sus notas.</w:t>
            </w:r>
          </w:p>
          <w:p w14:paraId="57AD976D" w14:textId="77777777" w:rsidR="00990B14" w:rsidRDefault="00000000">
            <w:pPr>
              <w:numPr>
                <w:ilvl w:val="0"/>
                <w:numId w:val="139"/>
              </w:numPr>
              <w:spacing w:before="10" w:after="10"/>
              <w:jc w:val="both"/>
            </w:pPr>
            <w:r>
              <w:rPr>
                <w:sz w:val="18"/>
                <w:szCs w:val="18"/>
              </w:rPr>
              <w:t>Revisión cruzada de la aplicación del método de los cinco pasos a contratos con clientes entre equipos.</w:t>
            </w:r>
          </w:p>
          <w:p w14:paraId="399705A4" w14:textId="77777777" w:rsidR="00990B14" w:rsidRDefault="00000000">
            <w:pPr>
              <w:numPr>
                <w:ilvl w:val="0"/>
                <w:numId w:val="139"/>
              </w:numPr>
              <w:spacing w:before="10" w:after="10"/>
              <w:jc w:val="both"/>
            </w:pPr>
            <w:r>
              <w:rPr>
                <w:sz w:val="18"/>
                <w:szCs w:val="18"/>
              </w:rPr>
              <w:t>Discusión de dilemas éticos en el reconocimiento de los ingresos y de las provisiones.</w:t>
            </w:r>
          </w:p>
        </w:tc>
        <w:tc>
          <w:tcPr>
            <w:tcW w:w="2395" w:type="dxa"/>
            <w:shd w:val="clear" w:color="auto" w:fill="D9E2F3"/>
          </w:tcPr>
          <w:p w14:paraId="71C044A2" w14:textId="77777777" w:rsidR="00990B14" w:rsidRDefault="00000000">
            <w:pPr>
              <w:numPr>
                <w:ilvl w:val="0"/>
                <w:numId w:val="139"/>
              </w:numPr>
              <w:spacing w:before="10" w:after="10"/>
              <w:jc w:val="both"/>
            </w:pPr>
            <w:r>
              <w:rPr>
                <w:sz w:val="18"/>
                <w:szCs w:val="18"/>
              </w:rPr>
              <w:t>Análisis de estados financieros de empresas bolivianas elaborados conforme a las Normas NIIF de Contabilidad.</w:t>
            </w:r>
          </w:p>
          <w:p w14:paraId="7815F5CE" w14:textId="77777777" w:rsidR="00990B14" w:rsidRDefault="00000000">
            <w:pPr>
              <w:numPr>
                <w:ilvl w:val="0"/>
                <w:numId w:val="139"/>
              </w:numPr>
              <w:spacing w:before="10" w:after="10"/>
              <w:jc w:val="both"/>
            </w:pPr>
            <w:r>
              <w:rPr>
                <w:sz w:val="18"/>
                <w:szCs w:val="18"/>
              </w:rPr>
              <w:t>Comparación de la NIIF para PYMES con las Normas NIIF de Contabilidad.</w:t>
            </w:r>
          </w:p>
          <w:p w14:paraId="7D83E2E2" w14:textId="77777777" w:rsidR="00990B14" w:rsidRDefault="00000000">
            <w:pPr>
              <w:numPr>
                <w:ilvl w:val="0"/>
                <w:numId w:val="139"/>
              </w:numPr>
              <w:spacing w:before="10" w:after="10"/>
              <w:jc w:val="both"/>
            </w:pPr>
            <w:r>
              <w:rPr>
                <w:sz w:val="18"/>
                <w:szCs w:val="18"/>
              </w:rPr>
              <w:t>Revisión de resoluciones y boletines del CTNAC sobre la adopción de las Normas NIIF de Contabilidad y la NIIF para las PYMES y la reexpresión de estados financieros en Bolivia.</w:t>
            </w:r>
          </w:p>
        </w:tc>
      </w:tr>
    </w:tbl>
    <w:p w14:paraId="76B36E83"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864"/>
        <w:gridCol w:w="1861"/>
        <w:gridCol w:w="1861"/>
        <w:gridCol w:w="1910"/>
        <w:gridCol w:w="1909"/>
      </w:tblGrid>
      <w:tr w:rsidR="00990B14" w14:paraId="00D146DA" w14:textId="77777777">
        <w:trPr>
          <w:jc w:val="center"/>
        </w:trPr>
        <w:tc>
          <w:tcPr>
            <w:tcW w:w="1864" w:type="dxa"/>
            <w:shd w:val="clear" w:color="auto" w:fill="4472C4"/>
            <w:vAlign w:val="center"/>
          </w:tcPr>
          <w:p w14:paraId="5CA39D43" w14:textId="77777777" w:rsidR="00990B14" w:rsidRDefault="00000000">
            <w:pPr>
              <w:spacing w:before="20" w:after="20"/>
              <w:jc w:val="center"/>
            </w:pPr>
            <w:r>
              <w:rPr>
                <w:b/>
                <w:bCs/>
                <w:i/>
                <w:iCs/>
                <w:color w:val="FFFFFF"/>
                <w:sz w:val="18"/>
                <w:szCs w:val="18"/>
              </w:rPr>
              <w:t>Estrategias de aprendizaje y enseñanza</w:t>
            </w:r>
          </w:p>
        </w:tc>
        <w:tc>
          <w:tcPr>
            <w:tcW w:w="7541" w:type="dxa"/>
            <w:gridSpan w:val="4"/>
            <w:shd w:val="clear" w:color="auto" w:fill="D9E2F3"/>
            <w:vAlign w:val="center"/>
          </w:tcPr>
          <w:p w14:paraId="0BD4EEFB" w14:textId="77777777" w:rsidR="00990B14" w:rsidRDefault="00000000">
            <w:pPr>
              <w:numPr>
                <w:ilvl w:val="0"/>
                <w:numId w:val="140"/>
              </w:numPr>
              <w:spacing w:before="10" w:after="10"/>
              <w:jc w:val="both"/>
            </w:pPr>
            <w:r>
              <w:rPr>
                <w:sz w:val="18"/>
                <w:szCs w:val="18"/>
              </w:rPr>
              <w:t>Aprendizaje basado en problemas con transacciones y estados financieros de empresas bolivianas.</w:t>
            </w:r>
          </w:p>
          <w:p w14:paraId="02E0CC48" w14:textId="77777777" w:rsidR="00990B14" w:rsidRDefault="00000000">
            <w:pPr>
              <w:numPr>
                <w:ilvl w:val="0"/>
                <w:numId w:val="140"/>
              </w:numPr>
              <w:spacing w:before="10" w:after="10"/>
              <w:jc w:val="both"/>
            </w:pPr>
            <w:r>
              <w:rPr>
                <w:sz w:val="18"/>
                <w:szCs w:val="18"/>
              </w:rPr>
              <w:t>Resolución guiada de casos prácticos en orden de dificultad creciente por norma.</w:t>
            </w:r>
          </w:p>
          <w:p w14:paraId="0509A95F" w14:textId="77777777" w:rsidR="00990B14" w:rsidRDefault="00000000">
            <w:pPr>
              <w:numPr>
                <w:ilvl w:val="0"/>
                <w:numId w:val="140"/>
              </w:numPr>
              <w:spacing w:before="10" w:after="10"/>
              <w:jc w:val="both"/>
            </w:pPr>
            <w:r>
              <w:rPr>
                <w:sz w:val="18"/>
                <w:szCs w:val="18"/>
              </w:rPr>
              <w:t>Caso práctico integral que recorre la preparación de estados financieros de propósito general bajo las Normas NIIF y la NIIF para las PYMES.</w:t>
            </w:r>
          </w:p>
          <w:p w14:paraId="5EB3525E" w14:textId="77777777" w:rsidR="00990B14" w:rsidRDefault="00000000">
            <w:pPr>
              <w:numPr>
                <w:ilvl w:val="0"/>
                <w:numId w:val="140"/>
              </w:numPr>
              <w:spacing w:before="10" w:after="10"/>
              <w:jc w:val="both"/>
            </w:pPr>
            <w:r>
              <w:rPr>
                <w:sz w:val="18"/>
                <w:szCs w:val="18"/>
              </w:rPr>
              <w:t>Estudio de casos de estados financieros reales de empresas bolivianas.</w:t>
            </w:r>
          </w:p>
          <w:p w14:paraId="206BBB1B" w14:textId="77777777" w:rsidR="00990B14" w:rsidRDefault="00000000">
            <w:pPr>
              <w:numPr>
                <w:ilvl w:val="0"/>
                <w:numId w:val="140"/>
              </w:numPr>
              <w:spacing w:before="10" w:after="10"/>
              <w:jc w:val="both"/>
            </w:pPr>
            <w:r>
              <w:rPr>
                <w:sz w:val="18"/>
                <w:szCs w:val="18"/>
              </w:rPr>
              <w:t>Trabajo colaborativo en equipos de análisis y resolución de casos normativos.</w:t>
            </w:r>
          </w:p>
          <w:p w14:paraId="5FF5B2A1" w14:textId="77777777" w:rsidR="00990B14" w:rsidRDefault="00000000">
            <w:pPr>
              <w:numPr>
                <w:ilvl w:val="0"/>
                <w:numId w:val="140"/>
              </w:numPr>
              <w:spacing w:before="10" w:after="10"/>
              <w:jc w:val="both"/>
            </w:pPr>
            <w:r>
              <w:rPr>
                <w:sz w:val="18"/>
                <w:szCs w:val="18"/>
              </w:rPr>
              <w:t>Clase invertida para los contenidos normativos e introductorios de cada NIC o NIIF y la NIIF para las PYMES.</w:t>
            </w:r>
          </w:p>
          <w:p w14:paraId="6FD2B0B0" w14:textId="77777777" w:rsidR="00990B14" w:rsidRDefault="00000000">
            <w:pPr>
              <w:numPr>
                <w:ilvl w:val="0"/>
                <w:numId w:val="140"/>
              </w:numPr>
              <w:spacing w:before="10" w:after="10"/>
              <w:jc w:val="both"/>
            </w:pPr>
            <w:r>
              <w:rPr>
                <w:sz w:val="18"/>
                <w:szCs w:val="18"/>
              </w:rPr>
              <w:t>Análisis crítico de los supuestos y de las estimaciones que sustentan una partida de los estados financieros.</w:t>
            </w:r>
          </w:p>
        </w:tc>
      </w:tr>
      <w:tr w:rsidR="00990B14" w14:paraId="57FDC90E" w14:textId="77777777">
        <w:trPr>
          <w:jc w:val="center"/>
        </w:trPr>
        <w:tc>
          <w:tcPr>
            <w:tcW w:w="1864" w:type="dxa"/>
            <w:shd w:val="clear" w:color="auto" w:fill="4472C4"/>
            <w:vAlign w:val="center"/>
          </w:tcPr>
          <w:p w14:paraId="7797D6DC" w14:textId="77777777" w:rsidR="00990B14" w:rsidRDefault="00000000">
            <w:pPr>
              <w:spacing w:before="20" w:after="20"/>
              <w:jc w:val="center"/>
            </w:pPr>
            <w:r>
              <w:rPr>
                <w:b/>
                <w:bCs/>
                <w:i/>
                <w:iCs/>
                <w:color w:val="FFFFFF"/>
                <w:sz w:val="18"/>
                <w:szCs w:val="18"/>
              </w:rPr>
              <w:t>Recursos para el aprendizaje</w:t>
            </w:r>
          </w:p>
        </w:tc>
        <w:tc>
          <w:tcPr>
            <w:tcW w:w="7541" w:type="dxa"/>
            <w:gridSpan w:val="4"/>
            <w:shd w:val="clear" w:color="auto" w:fill="D9E2F3"/>
            <w:vAlign w:val="center"/>
          </w:tcPr>
          <w:p w14:paraId="171AA292" w14:textId="77777777" w:rsidR="00990B14" w:rsidRDefault="00000000">
            <w:pPr>
              <w:numPr>
                <w:ilvl w:val="0"/>
                <w:numId w:val="140"/>
              </w:numPr>
              <w:spacing w:before="10" w:after="10"/>
              <w:jc w:val="both"/>
            </w:pPr>
            <w:r>
              <w:rPr>
                <w:sz w:val="18"/>
                <w:szCs w:val="18"/>
              </w:rPr>
              <w:t>Plataforma digital.</w:t>
            </w:r>
          </w:p>
          <w:p w14:paraId="73DB8896" w14:textId="77777777" w:rsidR="00990B14" w:rsidRDefault="00000000">
            <w:pPr>
              <w:numPr>
                <w:ilvl w:val="0"/>
                <w:numId w:val="140"/>
              </w:numPr>
              <w:spacing w:before="10" w:after="10"/>
              <w:jc w:val="both"/>
            </w:pPr>
            <w:r>
              <w:rPr>
                <w:sz w:val="18"/>
                <w:szCs w:val="18"/>
              </w:rPr>
              <w:t>Compendio de Normas de Contabilidad y Auditoría del CAUB y textos de las Normas Internacionales de Información Financiera vigentes.</w:t>
            </w:r>
          </w:p>
          <w:p w14:paraId="4813E29F" w14:textId="77777777" w:rsidR="00990B14" w:rsidRDefault="00000000">
            <w:pPr>
              <w:numPr>
                <w:ilvl w:val="0"/>
                <w:numId w:val="140"/>
              </w:numPr>
              <w:spacing w:before="10" w:after="10"/>
              <w:jc w:val="both"/>
            </w:pPr>
            <w:r>
              <w:rPr>
                <w:sz w:val="18"/>
                <w:szCs w:val="18"/>
              </w:rPr>
              <w:t>NIIF para las Pequeñas y Medianas Empresas y su guía para microentidades.</w:t>
            </w:r>
          </w:p>
          <w:p w14:paraId="3DE9B89E" w14:textId="77777777" w:rsidR="00990B14" w:rsidRDefault="00000000">
            <w:pPr>
              <w:numPr>
                <w:ilvl w:val="0"/>
                <w:numId w:val="140"/>
              </w:numPr>
              <w:spacing w:before="10" w:after="10"/>
              <w:jc w:val="both"/>
            </w:pPr>
            <w:r>
              <w:rPr>
                <w:sz w:val="18"/>
                <w:szCs w:val="18"/>
              </w:rPr>
              <w:t>Hoja de cálculo para la resolución de casos prácticos de medición y presentación.</w:t>
            </w:r>
          </w:p>
          <w:p w14:paraId="4A5C4A7B" w14:textId="77777777" w:rsidR="00990B14" w:rsidRDefault="00000000">
            <w:pPr>
              <w:numPr>
                <w:ilvl w:val="0"/>
                <w:numId w:val="140"/>
              </w:numPr>
              <w:spacing w:before="10" w:after="10"/>
              <w:jc w:val="both"/>
            </w:pPr>
            <w:r>
              <w:rPr>
                <w:sz w:val="18"/>
                <w:szCs w:val="18"/>
              </w:rPr>
              <w:t>Guías de ejercicios y casos elaborados por la cátedra.</w:t>
            </w:r>
          </w:p>
          <w:p w14:paraId="51A23CA8" w14:textId="77777777" w:rsidR="00990B14" w:rsidRDefault="00000000">
            <w:pPr>
              <w:numPr>
                <w:ilvl w:val="0"/>
                <w:numId w:val="140"/>
              </w:numPr>
              <w:spacing w:before="10" w:after="10"/>
              <w:jc w:val="both"/>
            </w:pPr>
            <w:r>
              <w:rPr>
                <w:sz w:val="18"/>
                <w:szCs w:val="18"/>
              </w:rPr>
              <w:t>Textos de las Normas Internacionales de Información Financiera en inglés y glosario de terminología técnica.</w:t>
            </w:r>
          </w:p>
        </w:tc>
      </w:tr>
      <w:tr w:rsidR="00990B14" w14:paraId="2071B4B6" w14:textId="77777777">
        <w:trPr>
          <w:jc w:val="center"/>
        </w:trPr>
        <w:tc>
          <w:tcPr>
            <w:tcW w:w="1864" w:type="dxa"/>
            <w:shd w:val="clear" w:color="auto" w:fill="4472C4"/>
            <w:vAlign w:val="center"/>
          </w:tcPr>
          <w:p w14:paraId="3E16F7A0" w14:textId="77777777" w:rsidR="00990B14" w:rsidRDefault="00000000">
            <w:pPr>
              <w:spacing w:before="20" w:after="20"/>
              <w:jc w:val="center"/>
            </w:pPr>
            <w:r>
              <w:rPr>
                <w:b/>
                <w:bCs/>
                <w:i/>
                <w:iCs/>
                <w:color w:val="FFFFFF"/>
                <w:sz w:val="18"/>
                <w:szCs w:val="18"/>
              </w:rPr>
              <w:t>Estrategias de evaluación</w:t>
            </w:r>
          </w:p>
        </w:tc>
        <w:tc>
          <w:tcPr>
            <w:tcW w:w="7541" w:type="dxa"/>
            <w:gridSpan w:val="4"/>
            <w:shd w:val="clear" w:color="auto" w:fill="D9E2F3"/>
            <w:vAlign w:val="center"/>
          </w:tcPr>
          <w:p w14:paraId="1226914A" w14:textId="77777777" w:rsidR="00990B14" w:rsidRDefault="00000000">
            <w:pPr>
              <w:numPr>
                <w:ilvl w:val="0"/>
                <w:numId w:val="140"/>
              </w:numPr>
              <w:spacing w:before="10" w:after="10"/>
              <w:jc w:val="both"/>
            </w:pPr>
            <w:r>
              <w:rPr>
                <w:sz w:val="18"/>
                <w:szCs w:val="18"/>
              </w:rPr>
              <w:t>Evaluación diagnóstica: prueba inicial sobre los conocimientos previos de contabilidad intermedia, contabilidad de sociedades y contabilidad de tributos.</w:t>
            </w:r>
          </w:p>
          <w:p w14:paraId="6CA08764" w14:textId="77777777" w:rsidR="00990B14" w:rsidRDefault="00000000">
            <w:pPr>
              <w:numPr>
                <w:ilvl w:val="0"/>
                <w:numId w:val="140"/>
              </w:numPr>
              <w:spacing w:before="10" w:after="10"/>
              <w:jc w:val="both"/>
            </w:pPr>
            <w:r>
              <w:rPr>
                <w:sz w:val="18"/>
                <w:szCs w:val="18"/>
              </w:rPr>
              <w:t>Evaluación formativa: preguntas de comprensión y desarrollo de ejercicios prácticos en el aula, con retroalimentación continua, autoevaluación y coevaluación.</w:t>
            </w:r>
          </w:p>
          <w:p w14:paraId="6576FA6B" w14:textId="77777777" w:rsidR="00990B14" w:rsidRDefault="00000000">
            <w:pPr>
              <w:numPr>
                <w:ilvl w:val="0"/>
                <w:numId w:val="140"/>
              </w:numPr>
              <w:spacing w:before="10" w:after="10"/>
              <w:jc w:val="both"/>
            </w:pPr>
            <w:r>
              <w:rPr>
                <w:sz w:val="18"/>
                <w:szCs w:val="18"/>
              </w:rPr>
              <w:t>Evaluación sumativa: controles de lectura y asistencia, evaluación de casos prácticos, trabajos de investigación y desarrollo, exámenes parciales y examen final.</w:t>
            </w:r>
          </w:p>
        </w:tc>
      </w:tr>
      <w:tr w:rsidR="00990B14" w14:paraId="244F8E05" w14:textId="77777777">
        <w:trPr>
          <w:jc w:val="center"/>
        </w:trPr>
        <w:tc>
          <w:tcPr>
            <w:tcW w:w="1864" w:type="dxa"/>
            <w:shd w:val="clear" w:color="auto" w:fill="4472C4"/>
            <w:vAlign w:val="center"/>
          </w:tcPr>
          <w:p w14:paraId="452E7BCA" w14:textId="77777777" w:rsidR="00990B14" w:rsidRDefault="00000000">
            <w:pPr>
              <w:spacing w:before="20" w:after="20"/>
              <w:jc w:val="center"/>
            </w:pPr>
            <w:r>
              <w:rPr>
                <w:b/>
                <w:bCs/>
                <w:i/>
                <w:iCs/>
                <w:color w:val="FFFFFF"/>
                <w:sz w:val="18"/>
                <w:szCs w:val="18"/>
              </w:rPr>
              <w:t>Criterios de calificación</w:t>
            </w:r>
          </w:p>
        </w:tc>
        <w:tc>
          <w:tcPr>
            <w:tcW w:w="7541" w:type="dxa"/>
            <w:gridSpan w:val="4"/>
            <w:shd w:val="clear" w:color="auto" w:fill="D9E2F3"/>
            <w:vAlign w:val="center"/>
          </w:tcPr>
          <w:p w14:paraId="234FCDC6" w14:textId="77777777" w:rsidR="00990B14" w:rsidRDefault="00000000">
            <w:pPr>
              <w:numPr>
                <w:ilvl w:val="0"/>
                <w:numId w:val="140"/>
              </w:numPr>
              <w:spacing w:before="10" w:after="10"/>
              <w:jc w:val="both"/>
            </w:pPr>
            <w:r>
              <w:rPr>
                <w:sz w:val="18"/>
                <w:szCs w:val="18"/>
              </w:rPr>
              <w:t>Nota mínima de aprobación: 51/100.</w:t>
            </w:r>
          </w:p>
          <w:p w14:paraId="4795F328" w14:textId="77777777" w:rsidR="00990B14" w:rsidRDefault="00000000">
            <w:pPr>
              <w:numPr>
                <w:ilvl w:val="0"/>
                <w:numId w:val="140"/>
              </w:numPr>
              <w:spacing w:before="10" w:after="10"/>
              <w:jc w:val="both"/>
            </w:pPr>
            <w:r>
              <w:rPr>
                <w:sz w:val="18"/>
                <w:szCs w:val="18"/>
              </w:rPr>
              <w:t>Evaluación periódica al finalizar cada tema, basada en evidencias de conocimiento, desempeño y producto.</w:t>
            </w:r>
          </w:p>
          <w:p w14:paraId="5E9E1148" w14:textId="77777777" w:rsidR="00990B14" w:rsidRDefault="00000000">
            <w:pPr>
              <w:numPr>
                <w:ilvl w:val="0"/>
                <w:numId w:val="140"/>
              </w:numPr>
              <w:spacing w:before="10" w:after="10"/>
              <w:jc w:val="both"/>
            </w:pPr>
            <w:r>
              <w:rPr>
                <w:sz w:val="18"/>
                <w:szCs w:val="18"/>
              </w:rPr>
              <w:t>Cada evidencia de producto se evalúa con su propia rúbrica de tres niveles: Insuficiente, Suficiente y Destacado.</w:t>
            </w:r>
          </w:p>
          <w:p w14:paraId="7109E97F" w14:textId="77777777" w:rsidR="00990B14" w:rsidRDefault="00000000">
            <w:pPr>
              <w:numPr>
                <w:ilvl w:val="0"/>
                <w:numId w:val="140"/>
              </w:numPr>
              <w:spacing w:before="10" w:after="10"/>
              <w:jc w:val="both"/>
            </w:pPr>
            <w:r>
              <w:rPr>
                <w:sz w:val="18"/>
                <w:szCs w:val="18"/>
              </w:rPr>
              <w:t>La calificación de cada elemento de competencia suma las calificaciones de sus evidencias de producto.</w:t>
            </w:r>
          </w:p>
        </w:tc>
      </w:tr>
      <w:tr w:rsidR="00990B14" w14:paraId="032B7BB1" w14:textId="77777777">
        <w:trPr>
          <w:cantSplit/>
          <w:jc w:val="center"/>
        </w:trPr>
        <w:tc>
          <w:tcPr>
            <w:tcW w:w="1864" w:type="dxa"/>
            <w:vMerge w:val="restart"/>
            <w:shd w:val="clear" w:color="auto" w:fill="4472C4"/>
            <w:vAlign w:val="center"/>
          </w:tcPr>
          <w:p w14:paraId="1B082A6A" w14:textId="77777777" w:rsidR="00990B14" w:rsidRDefault="00000000">
            <w:pPr>
              <w:spacing w:before="20" w:after="20"/>
              <w:jc w:val="center"/>
            </w:pPr>
            <w:r>
              <w:rPr>
                <w:b/>
                <w:bCs/>
                <w:i/>
                <w:iCs/>
                <w:color w:val="FFFFFF"/>
                <w:sz w:val="18"/>
                <w:szCs w:val="18"/>
              </w:rPr>
              <w:t>Niveles de logro y distribución de la calificación</w:t>
            </w:r>
          </w:p>
        </w:tc>
        <w:tc>
          <w:tcPr>
            <w:tcW w:w="5632" w:type="dxa"/>
            <w:gridSpan w:val="3"/>
            <w:shd w:val="clear" w:color="auto" w:fill="D9E2F3"/>
            <w:vAlign w:val="center"/>
          </w:tcPr>
          <w:p w14:paraId="234FDAC2" w14:textId="77777777" w:rsidR="00990B14" w:rsidRDefault="00000000">
            <w:pPr>
              <w:keepNext/>
              <w:spacing w:before="20" w:after="20"/>
              <w:jc w:val="both"/>
            </w:pPr>
            <w:r>
              <w:rPr>
                <w:b/>
                <w:bCs/>
                <w:i/>
                <w:iCs/>
                <w:sz w:val="18"/>
                <w:szCs w:val="18"/>
              </w:rPr>
              <w:t xml:space="preserve">Producto 1: </w:t>
            </w:r>
            <w:r>
              <w:rPr>
                <w:sz w:val="18"/>
                <w:szCs w:val="18"/>
              </w:rPr>
              <w:t>Esquema de la evolución y la función de la contabilidad</w:t>
            </w:r>
          </w:p>
        </w:tc>
        <w:tc>
          <w:tcPr>
            <w:tcW w:w="1909" w:type="dxa"/>
            <w:shd w:val="clear" w:color="auto" w:fill="D9E2F3"/>
            <w:vAlign w:val="center"/>
          </w:tcPr>
          <w:p w14:paraId="49880B6F" w14:textId="77777777" w:rsidR="00990B14" w:rsidRDefault="00000000">
            <w:pPr>
              <w:spacing w:before="20" w:after="20"/>
              <w:jc w:val="center"/>
            </w:pPr>
            <w:r>
              <w:rPr>
                <w:b/>
                <w:bCs/>
                <w:sz w:val="18"/>
                <w:szCs w:val="18"/>
              </w:rPr>
              <w:t>3%</w:t>
            </w:r>
          </w:p>
        </w:tc>
      </w:tr>
      <w:tr w:rsidR="00990B14" w14:paraId="160E7E8D" w14:textId="77777777">
        <w:trPr>
          <w:cantSplit/>
          <w:jc w:val="center"/>
        </w:trPr>
        <w:tc>
          <w:tcPr>
            <w:tcW w:w="1864" w:type="dxa"/>
            <w:vMerge/>
            <w:shd w:val="clear" w:color="auto" w:fill="4472C4"/>
            <w:vAlign w:val="center"/>
          </w:tcPr>
          <w:p w14:paraId="3634EB06" w14:textId="77777777" w:rsidR="00990B14" w:rsidRDefault="00990B14">
            <w:pPr>
              <w:spacing w:before="20" w:after="20"/>
            </w:pPr>
          </w:p>
        </w:tc>
        <w:tc>
          <w:tcPr>
            <w:tcW w:w="1861" w:type="dxa"/>
            <w:shd w:val="clear" w:color="auto" w:fill="4472C4"/>
            <w:vAlign w:val="center"/>
          </w:tcPr>
          <w:p w14:paraId="27292817" w14:textId="77777777" w:rsidR="00990B14" w:rsidRDefault="00000000">
            <w:pPr>
              <w:keepNext/>
              <w:spacing w:before="20" w:after="20"/>
              <w:jc w:val="center"/>
            </w:pPr>
            <w:r>
              <w:rPr>
                <w:b/>
                <w:bCs/>
                <w:i/>
                <w:iCs/>
                <w:color w:val="FFFFFF"/>
                <w:sz w:val="18"/>
                <w:szCs w:val="18"/>
              </w:rPr>
              <w:t>Criterio</w:t>
            </w:r>
          </w:p>
        </w:tc>
        <w:tc>
          <w:tcPr>
            <w:tcW w:w="1861" w:type="dxa"/>
            <w:shd w:val="clear" w:color="auto" w:fill="4472C4"/>
            <w:vAlign w:val="center"/>
          </w:tcPr>
          <w:p w14:paraId="70F3BBD7"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517A1DDE" w14:textId="77777777" w:rsidR="00990B14" w:rsidRDefault="00000000">
            <w:pPr>
              <w:keepNext/>
              <w:spacing w:before="20" w:after="20"/>
              <w:jc w:val="center"/>
            </w:pPr>
            <w:r>
              <w:rPr>
                <w:b/>
                <w:bCs/>
                <w:i/>
                <w:iCs/>
                <w:color w:val="FFFFFF"/>
                <w:sz w:val="18"/>
                <w:szCs w:val="18"/>
              </w:rPr>
              <w:t>Suficiente (51–80)</w:t>
            </w:r>
          </w:p>
        </w:tc>
        <w:tc>
          <w:tcPr>
            <w:tcW w:w="1909" w:type="dxa"/>
            <w:shd w:val="clear" w:color="auto" w:fill="4472C4"/>
            <w:vAlign w:val="center"/>
          </w:tcPr>
          <w:p w14:paraId="54D8A3BD" w14:textId="77777777" w:rsidR="00990B14" w:rsidRDefault="00000000">
            <w:pPr>
              <w:keepNext/>
              <w:spacing w:before="20" w:after="20"/>
              <w:jc w:val="center"/>
            </w:pPr>
            <w:r>
              <w:rPr>
                <w:b/>
                <w:bCs/>
                <w:i/>
                <w:iCs/>
                <w:color w:val="FFFFFF"/>
                <w:sz w:val="18"/>
                <w:szCs w:val="18"/>
              </w:rPr>
              <w:t>Destacado (81–100)</w:t>
            </w:r>
          </w:p>
        </w:tc>
      </w:tr>
      <w:tr w:rsidR="00990B14" w14:paraId="45D5B794" w14:textId="77777777">
        <w:trPr>
          <w:cantSplit/>
          <w:jc w:val="center"/>
        </w:trPr>
        <w:tc>
          <w:tcPr>
            <w:tcW w:w="1864" w:type="dxa"/>
            <w:vMerge/>
            <w:shd w:val="clear" w:color="auto" w:fill="4472C4"/>
            <w:vAlign w:val="center"/>
          </w:tcPr>
          <w:p w14:paraId="4519A87C" w14:textId="77777777" w:rsidR="00990B14" w:rsidRDefault="00990B14">
            <w:pPr>
              <w:spacing w:before="20" w:after="20"/>
            </w:pPr>
          </w:p>
        </w:tc>
        <w:tc>
          <w:tcPr>
            <w:tcW w:w="1861" w:type="dxa"/>
            <w:shd w:val="clear" w:color="auto" w:fill="D9E2F3"/>
            <w:vAlign w:val="center"/>
          </w:tcPr>
          <w:p w14:paraId="04617EE8" w14:textId="77777777" w:rsidR="00990B14" w:rsidRDefault="00000000">
            <w:pPr>
              <w:spacing w:before="20" w:after="20"/>
              <w:jc w:val="both"/>
            </w:pPr>
            <w:r>
              <w:rPr>
                <w:sz w:val="18"/>
                <w:szCs w:val="18"/>
              </w:rPr>
              <w:t>Evolución histórica</w:t>
            </w:r>
          </w:p>
        </w:tc>
        <w:tc>
          <w:tcPr>
            <w:tcW w:w="1861" w:type="dxa"/>
            <w:shd w:val="clear" w:color="auto" w:fill="D9E2F3"/>
            <w:vAlign w:val="center"/>
          </w:tcPr>
          <w:p w14:paraId="2B4E464D" w14:textId="77777777" w:rsidR="00990B14" w:rsidRDefault="00000000">
            <w:pPr>
              <w:spacing w:before="20" w:after="20"/>
              <w:jc w:val="both"/>
            </w:pPr>
            <w:r>
              <w:rPr>
                <w:sz w:val="18"/>
                <w:szCs w:val="18"/>
              </w:rPr>
              <w:t>Omite etapas relevantes.</w:t>
            </w:r>
          </w:p>
        </w:tc>
        <w:tc>
          <w:tcPr>
            <w:tcW w:w="1910" w:type="dxa"/>
            <w:shd w:val="clear" w:color="auto" w:fill="D9E2F3"/>
            <w:vAlign w:val="center"/>
          </w:tcPr>
          <w:p w14:paraId="74EBBE67" w14:textId="77777777" w:rsidR="00990B14" w:rsidRDefault="00000000">
            <w:pPr>
              <w:spacing w:before="20" w:after="20"/>
              <w:jc w:val="both"/>
            </w:pPr>
            <w:r>
              <w:rPr>
                <w:sz w:val="18"/>
                <w:szCs w:val="18"/>
              </w:rPr>
              <w:t>Describe las etapas de la evolución de la contabilidad.</w:t>
            </w:r>
          </w:p>
        </w:tc>
        <w:tc>
          <w:tcPr>
            <w:tcW w:w="1909" w:type="dxa"/>
            <w:shd w:val="clear" w:color="auto" w:fill="D9E2F3"/>
            <w:vAlign w:val="center"/>
          </w:tcPr>
          <w:p w14:paraId="12F46BBC" w14:textId="77777777" w:rsidR="00990B14" w:rsidRDefault="00000000">
            <w:pPr>
              <w:spacing w:before="20" w:after="20"/>
              <w:jc w:val="both"/>
            </w:pPr>
            <w:r>
              <w:rPr>
                <w:sz w:val="18"/>
                <w:szCs w:val="18"/>
              </w:rPr>
              <w:t>Relaciona cada etapa con las necesidades de información de su época.</w:t>
            </w:r>
          </w:p>
        </w:tc>
      </w:tr>
      <w:tr w:rsidR="00990B14" w14:paraId="65CC5AB2" w14:textId="77777777">
        <w:trPr>
          <w:cantSplit/>
          <w:jc w:val="center"/>
        </w:trPr>
        <w:tc>
          <w:tcPr>
            <w:tcW w:w="1864" w:type="dxa"/>
            <w:vMerge/>
            <w:shd w:val="clear" w:color="auto" w:fill="4472C4"/>
            <w:vAlign w:val="center"/>
          </w:tcPr>
          <w:p w14:paraId="32F09005" w14:textId="77777777" w:rsidR="00990B14" w:rsidRDefault="00990B14">
            <w:pPr>
              <w:spacing w:before="20" w:after="20"/>
            </w:pPr>
          </w:p>
        </w:tc>
        <w:tc>
          <w:tcPr>
            <w:tcW w:w="1861" w:type="dxa"/>
            <w:shd w:val="clear" w:color="auto" w:fill="D9E2F3"/>
            <w:vAlign w:val="center"/>
          </w:tcPr>
          <w:p w14:paraId="51D1CED5" w14:textId="77777777" w:rsidR="00990B14" w:rsidRDefault="00000000">
            <w:pPr>
              <w:spacing w:before="20" w:after="20"/>
              <w:jc w:val="both"/>
            </w:pPr>
            <w:r>
              <w:rPr>
                <w:sz w:val="18"/>
                <w:szCs w:val="18"/>
              </w:rPr>
              <w:t>Filosofía y función</w:t>
            </w:r>
          </w:p>
        </w:tc>
        <w:tc>
          <w:tcPr>
            <w:tcW w:w="1861" w:type="dxa"/>
            <w:shd w:val="clear" w:color="auto" w:fill="D9E2F3"/>
            <w:vAlign w:val="center"/>
          </w:tcPr>
          <w:p w14:paraId="78F89200" w14:textId="77777777" w:rsidR="00990B14" w:rsidRDefault="00000000">
            <w:pPr>
              <w:spacing w:before="20" w:after="20"/>
              <w:jc w:val="both"/>
            </w:pPr>
            <w:r>
              <w:rPr>
                <w:sz w:val="18"/>
                <w:szCs w:val="18"/>
              </w:rPr>
              <w:t>Confunde la función de la contabilidad.</w:t>
            </w:r>
          </w:p>
        </w:tc>
        <w:tc>
          <w:tcPr>
            <w:tcW w:w="1910" w:type="dxa"/>
            <w:shd w:val="clear" w:color="auto" w:fill="D9E2F3"/>
            <w:vAlign w:val="center"/>
          </w:tcPr>
          <w:p w14:paraId="7305F4EB" w14:textId="77777777" w:rsidR="00990B14" w:rsidRDefault="00000000">
            <w:pPr>
              <w:spacing w:before="20" w:after="20"/>
              <w:jc w:val="both"/>
            </w:pPr>
            <w:r>
              <w:rPr>
                <w:sz w:val="18"/>
                <w:szCs w:val="18"/>
              </w:rPr>
              <w:t>Explica la filosofía y la función de la contabilidad.</w:t>
            </w:r>
          </w:p>
        </w:tc>
        <w:tc>
          <w:tcPr>
            <w:tcW w:w="1909" w:type="dxa"/>
            <w:shd w:val="clear" w:color="auto" w:fill="D9E2F3"/>
            <w:vAlign w:val="center"/>
          </w:tcPr>
          <w:p w14:paraId="4691E35E" w14:textId="77777777" w:rsidR="00990B14" w:rsidRDefault="00000000">
            <w:pPr>
              <w:spacing w:before="20" w:after="20"/>
              <w:jc w:val="both"/>
            </w:pPr>
            <w:r>
              <w:rPr>
                <w:sz w:val="18"/>
                <w:szCs w:val="18"/>
              </w:rPr>
              <w:t>Vincula la función con los usuarios actuales de la información.</w:t>
            </w:r>
          </w:p>
        </w:tc>
      </w:tr>
      <w:tr w:rsidR="00990B14" w14:paraId="77E8DDD2" w14:textId="77777777">
        <w:trPr>
          <w:cantSplit/>
          <w:jc w:val="center"/>
        </w:trPr>
        <w:tc>
          <w:tcPr>
            <w:tcW w:w="1864" w:type="dxa"/>
            <w:vMerge/>
            <w:shd w:val="clear" w:color="auto" w:fill="4472C4"/>
            <w:vAlign w:val="center"/>
          </w:tcPr>
          <w:p w14:paraId="6BC05ECA" w14:textId="77777777" w:rsidR="00990B14" w:rsidRDefault="00990B14">
            <w:pPr>
              <w:spacing w:before="20" w:after="20"/>
            </w:pPr>
          </w:p>
        </w:tc>
        <w:tc>
          <w:tcPr>
            <w:tcW w:w="1861" w:type="dxa"/>
            <w:shd w:val="clear" w:color="auto" w:fill="D9E2F3"/>
            <w:vAlign w:val="center"/>
          </w:tcPr>
          <w:p w14:paraId="4E015C73" w14:textId="77777777" w:rsidR="00990B14" w:rsidRDefault="00000000">
            <w:pPr>
              <w:spacing w:before="20" w:after="20"/>
              <w:jc w:val="both"/>
            </w:pPr>
            <w:r>
              <w:rPr>
                <w:sz w:val="18"/>
                <w:szCs w:val="18"/>
              </w:rPr>
              <w:t>Presentación</w:t>
            </w:r>
          </w:p>
        </w:tc>
        <w:tc>
          <w:tcPr>
            <w:tcW w:w="1861" w:type="dxa"/>
            <w:shd w:val="clear" w:color="auto" w:fill="D9E2F3"/>
            <w:vAlign w:val="center"/>
          </w:tcPr>
          <w:p w14:paraId="2544855D" w14:textId="77777777" w:rsidR="00990B14" w:rsidRDefault="00000000">
            <w:pPr>
              <w:spacing w:before="20" w:after="20"/>
              <w:jc w:val="both"/>
            </w:pPr>
            <w:r>
              <w:rPr>
                <w:sz w:val="18"/>
                <w:szCs w:val="18"/>
              </w:rPr>
              <w:t>El esquema es desordenado.</w:t>
            </w:r>
          </w:p>
        </w:tc>
        <w:tc>
          <w:tcPr>
            <w:tcW w:w="1910" w:type="dxa"/>
            <w:shd w:val="clear" w:color="auto" w:fill="D9E2F3"/>
            <w:vAlign w:val="center"/>
          </w:tcPr>
          <w:p w14:paraId="50BD159A" w14:textId="77777777" w:rsidR="00990B14" w:rsidRDefault="00000000">
            <w:pPr>
              <w:spacing w:before="20" w:after="20"/>
              <w:jc w:val="both"/>
            </w:pPr>
            <w:r>
              <w:rPr>
                <w:sz w:val="18"/>
                <w:szCs w:val="18"/>
              </w:rPr>
              <w:t>El esquema es claro y completo.</w:t>
            </w:r>
          </w:p>
        </w:tc>
        <w:tc>
          <w:tcPr>
            <w:tcW w:w="1909" w:type="dxa"/>
            <w:shd w:val="clear" w:color="auto" w:fill="D9E2F3"/>
            <w:vAlign w:val="center"/>
          </w:tcPr>
          <w:p w14:paraId="00F2A677" w14:textId="77777777" w:rsidR="00990B14" w:rsidRDefault="00000000">
            <w:pPr>
              <w:spacing w:before="20" w:after="20"/>
              <w:jc w:val="both"/>
            </w:pPr>
            <w:r>
              <w:rPr>
                <w:sz w:val="18"/>
                <w:szCs w:val="18"/>
              </w:rPr>
              <w:t>El esquema sintetiza las ideas centrales con precisión.</w:t>
            </w:r>
          </w:p>
        </w:tc>
      </w:tr>
      <w:tr w:rsidR="00990B14" w14:paraId="17407494" w14:textId="77777777">
        <w:trPr>
          <w:cantSplit/>
          <w:jc w:val="center"/>
        </w:trPr>
        <w:tc>
          <w:tcPr>
            <w:tcW w:w="1864" w:type="dxa"/>
            <w:vMerge/>
            <w:shd w:val="clear" w:color="auto" w:fill="4472C4"/>
            <w:vAlign w:val="center"/>
          </w:tcPr>
          <w:p w14:paraId="3B92C324" w14:textId="77777777" w:rsidR="00990B14" w:rsidRDefault="00990B14">
            <w:pPr>
              <w:spacing w:before="20" w:after="20"/>
            </w:pPr>
          </w:p>
        </w:tc>
        <w:tc>
          <w:tcPr>
            <w:tcW w:w="5632" w:type="dxa"/>
            <w:gridSpan w:val="3"/>
            <w:shd w:val="clear" w:color="auto" w:fill="D9E2F3"/>
            <w:vAlign w:val="center"/>
          </w:tcPr>
          <w:p w14:paraId="08551938" w14:textId="77777777" w:rsidR="00990B14" w:rsidRDefault="00000000">
            <w:pPr>
              <w:keepNext/>
              <w:spacing w:before="20" w:after="20"/>
              <w:jc w:val="both"/>
            </w:pPr>
            <w:r>
              <w:rPr>
                <w:b/>
                <w:bCs/>
                <w:i/>
                <w:iCs/>
                <w:sz w:val="18"/>
                <w:szCs w:val="18"/>
              </w:rPr>
              <w:t xml:space="preserve">Producto 2: </w:t>
            </w:r>
            <w:r>
              <w:rPr>
                <w:sz w:val="18"/>
                <w:szCs w:val="18"/>
              </w:rPr>
              <w:t>Cuadro de elementos y contenido de los estados financieros</w:t>
            </w:r>
          </w:p>
        </w:tc>
        <w:tc>
          <w:tcPr>
            <w:tcW w:w="1909" w:type="dxa"/>
            <w:shd w:val="clear" w:color="auto" w:fill="D9E2F3"/>
            <w:vAlign w:val="center"/>
          </w:tcPr>
          <w:p w14:paraId="43B5245A" w14:textId="77777777" w:rsidR="00990B14" w:rsidRDefault="00000000">
            <w:pPr>
              <w:spacing w:before="20" w:after="20"/>
              <w:jc w:val="center"/>
            </w:pPr>
            <w:r>
              <w:rPr>
                <w:b/>
                <w:bCs/>
                <w:sz w:val="18"/>
                <w:szCs w:val="18"/>
              </w:rPr>
              <w:t>3%</w:t>
            </w:r>
          </w:p>
        </w:tc>
      </w:tr>
      <w:tr w:rsidR="00990B14" w14:paraId="39B65453" w14:textId="77777777">
        <w:trPr>
          <w:cantSplit/>
          <w:jc w:val="center"/>
        </w:trPr>
        <w:tc>
          <w:tcPr>
            <w:tcW w:w="1864" w:type="dxa"/>
            <w:vMerge/>
            <w:shd w:val="clear" w:color="auto" w:fill="4472C4"/>
            <w:vAlign w:val="center"/>
          </w:tcPr>
          <w:p w14:paraId="1EC50A1D" w14:textId="77777777" w:rsidR="00990B14" w:rsidRDefault="00990B14">
            <w:pPr>
              <w:spacing w:before="20" w:after="20"/>
            </w:pPr>
          </w:p>
        </w:tc>
        <w:tc>
          <w:tcPr>
            <w:tcW w:w="1861" w:type="dxa"/>
            <w:shd w:val="clear" w:color="auto" w:fill="4472C4"/>
            <w:vAlign w:val="center"/>
          </w:tcPr>
          <w:p w14:paraId="0821C4CB" w14:textId="77777777" w:rsidR="00990B14" w:rsidRDefault="00000000">
            <w:pPr>
              <w:keepNext/>
              <w:spacing w:before="20" w:after="20"/>
              <w:jc w:val="center"/>
            </w:pPr>
            <w:r>
              <w:rPr>
                <w:b/>
                <w:bCs/>
                <w:i/>
                <w:iCs/>
                <w:color w:val="FFFFFF"/>
                <w:sz w:val="18"/>
                <w:szCs w:val="18"/>
              </w:rPr>
              <w:t>Criterio</w:t>
            </w:r>
          </w:p>
        </w:tc>
        <w:tc>
          <w:tcPr>
            <w:tcW w:w="1861" w:type="dxa"/>
            <w:shd w:val="clear" w:color="auto" w:fill="4472C4"/>
            <w:vAlign w:val="center"/>
          </w:tcPr>
          <w:p w14:paraId="12875373"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6C9922FD" w14:textId="77777777" w:rsidR="00990B14" w:rsidRDefault="00000000">
            <w:pPr>
              <w:keepNext/>
              <w:spacing w:before="20" w:after="20"/>
              <w:jc w:val="center"/>
            </w:pPr>
            <w:r>
              <w:rPr>
                <w:b/>
                <w:bCs/>
                <w:i/>
                <w:iCs/>
                <w:color w:val="FFFFFF"/>
                <w:sz w:val="18"/>
                <w:szCs w:val="18"/>
              </w:rPr>
              <w:t>Suficiente (51–80)</w:t>
            </w:r>
          </w:p>
        </w:tc>
        <w:tc>
          <w:tcPr>
            <w:tcW w:w="1909" w:type="dxa"/>
            <w:shd w:val="clear" w:color="auto" w:fill="4472C4"/>
            <w:vAlign w:val="center"/>
          </w:tcPr>
          <w:p w14:paraId="49E0374D" w14:textId="77777777" w:rsidR="00990B14" w:rsidRDefault="00000000">
            <w:pPr>
              <w:keepNext/>
              <w:spacing w:before="20" w:after="20"/>
              <w:jc w:val="center"/>
            </w:pPr>
            <w:r>
              <w:rPr>
                <w:b/>
                <w:bCs/>
                <w:i/>
                <w:iCs/>
                <w:color w:val="FFFFFF"/>
                <w:sz w:val="18"/>
                <w:szCs w:val="18"/>
              </w:rPr>
              <w:t>Destacado (81–100)</w:t>
            </w:r>
          </w:p>
        </w:tc>
      </w:tr>
      <w:tr w:rsidR="00990B14" w14:paraId="2E6234EF" w14:textId="77777777">
        <w:trPr>
          <w:cantSplit/>
          <w:jc w:val="center"/>
        </w:trPr>
        <w:tc>
          <w:tcPr>
            <w:tcW w:w="1864" w:type="dxa"/>
            <w:vMerge/>
            <w:shd w:val="clear" w:color="auto" w:fill="4472C4"/>
            <w:vAlign w:val="center"/>
          </w:tcPr>
          <w:p w14:paraId="22CDB558" w14:textId="77777777" w:rsidR="00990B14" w:rsidRDefault="00990B14">
            <w:pPr>
              <w:spacing w:before="20" w:after="20"/>
            </w:pPr>
          </w:p>
        </w:tc>
        <w:tc>
          <w:tcPr>
            <w:tcW w:w="1861" w:type="dxa"/>
            <w:shd w:val="clear" w:color="auto" w:fill="D9E2F3"/>
            <w:vAlign w:val="center"/>
          </w:tcPr>
          <w:p w14:paraId="48B2A57E" w14:textId="77777777" w:rsidR="00990B14" w:rsidRDefault="00000000">
            <w:pPr>
              <w:spacing w:before="20" w:after="20"/>
              <w:jc w:val="both"/>
            </w:pPr>
            <w:r>
              <w:rPr>
                <w:sz w:val="18"/>
                <w:szCs w:val="18"/>
              </w:rPr>
              <w:t>Elementos</w:t>
            </w:r>
          </w:p>
        </w:tc>
        <w:tc>
          <w:tcPr>
            <w:tcW w:w="1861" w:type="dxa"/>
            <w:shd w:val="clear" w:color="auto" w:fill="D9E2F3"/>
            <w:vAlign w:val="center"/>
          </w:tcPr>
          <w:p w14:paraId="0883B947" w14:textId="77777777" w:rsidR="00990B14" w:rsidRDefault="00000000">
            <w:pPr>
              <w:spacing w:before="20" w:after="20"/>
              <w:jc w:val="both"/>
            </w:pPr>
            <w:r>
              <w:rPr>
                <w:sz w:val="18"/>
                <w:szCs w:val="18"/>
              </w:rPr>
              <w:t>Omite elementos de los estados financieros.</w:t>
            </w:r>
          </w:p>
        </w:tc>
        <w:tc>
          <w:tcPr>
            <w:tcW w:w="1910" w:type="dxa"/>
            <w:shd w:val="clear" w:color="auto" w:fill="D9E2F3"/>
            <w:vAlign w:val="center"/>
          </w:tcPr>
          <w:p w14:paraId="40679EDA" w14:textId="77777777" w:rsidR="00990B14" w:rsidRDefault="00000000">
            <w:pPr>
              <w:spacing w:before="20" w:after="20"/>
              <w:jc w:val="both"/>
            </w:pPr>
            <w:r>
              <w:rPr>
                <w:sz w:val="18"/>
                <w:szCs w:val="18"/>
              </w:rPr>
              <w:t>Identifica todos los elementos.</w:t>
            </w:r>
          </w:p>
        </w:tc>
        <w:tc>
          <w:tcPr>
            <w:tcW w:w="1909" w:type="dxa"/>
            <w:shd w:val="clear" w:color="auto" w:fill="D9E2F3"/>
            <w:vAlign w:val="center"/>
          </w:tcPr>
          <w:p w14:paraId="6245E4AA" w14:textId="77777777" w:rsidR="00990B14" w:rsidRDefault="00000000">
            <w:pPr>
              <w:spacing w:before="20" w:after="20"/>
              <w:jc w:val="both"/>
            </w:pPr>
            <w:r>
              <w:rPr>
                <w:sz w:val="18"/>
                <w:szCs w:val="18"/>
              </w:rPr>
              <w:t>Define cada elemento según el Marco Conceptual.</w:t>
            </w:r>
          </w:p>
        </w:tc>
      </w:tr>
      <w:tr w:rsidR="00990B14" w14:paraId="630CA576" w14:textId="77777777">
        <w:trPr>
          <w:cantSplit/>
          <w:jc w:val="center"/>
        </w:trPr>
        <w:tc>
          <w:tcPr>
            <w:tcW w:w="1864" w:type="dxa"/>
            <w:vMerge/>
            <w:shd w:val="clear" w:color="auto" w:fill="4472C4"/>
            <w:vAlign w:val="center"/>
          </w:tcPr>
          <w:p w14:paraId="0895933D" w14:textId="77777777" w:rsidR="00990B14" w:rsidRDefault="00990B14">
            <w:pPr>
              <w:spacing w:before="20" w:after="20"/>
            </w:pPr>
          </w:p>
        </w:tc>
        <w:tc>
          <w:tcPr>
            <w:tcW w:w="1861" w:type="dxa"/>
            <w:shd w:val="clear" w:color="auto" w:fill="D9E2F3"/>
            <w:vAlign w:val="center"/>
          </w:tcPr>
          <w:p w14:paraId="6D3E398A" w14:textId="77777777" w:rsidR="00990B14" w:rsidRDefault="00000000">
            <w:pPr>
              <w:spacing w:before="20" w:after="20"/>
              <w:jc w:val="both"/>
            </w:pPr>
            <w:r>
              <w:rPr>
                <w:sz w:val="18"/>
                <w:szCs w:val="18"/>
              </w:rPr>
              <w:t>Contenido</w:t>
            </w:r>
          </w:p>
        </w:tc>
        <w:tc>
          <w:tcPr>
            <w:tcW w:w="1861" w:type="dxa"/>
            <w:shd w:val="clear" w:color="auto" w:fill="D9E2F3"/>
            <w:vAlign w:val="center"/>
          </w:tcPr>
          <w:p w14:paraId="07324DAF" w14:textId="77777777" w:rsidR="00990B14" w:rsidRDefault="00000000">
            <w:pPr>
              <w:spacing w:before="20" w:after="20"/>
              <w:jc w:val="both"/>
            </w:pPr>
            <w:r>
              <w:rPr>
                <w:sz w:val="18"/>
                <w:szCs w:val="18"/>
              </w:rPr>
              <w:t>No relaciona el contenido con cada estado.</w:t>
            </w:r>
          </w:p>
        </w:tc>
        <w:tc>
          <w:tcPr>
            <w:tcW w:w="1910" w:type="dxa"/>
            <w:shd w:val="clear" w:color="auto" w:fill="D9E2F3"/>
            <w:vAlign w:val="center"/>
          </w:tcPr>
          <w:p w14:paraId="2FDAF171" w14:textId="77777777" w:rsidR="00990B14" w:rsidRDefault="00000000">
            <w:pPr>
              <w:spacing w:before="20" w:after="20"/>
              <w:jc w:val="both"/>
            </w:pPr>
            <w:r>
              <w:rPr>
                <w:sz w:val="18"/>
                <w:szCs w:val="18"/>
              </w:rPr>
              <w:t>Relaciona el contenido con cada estado financiero.</w:t>
            </w:r>
          </w:p>
        </w:tc>
        <w:tc>
          <w:tcPr>
            <w:tcW w:w="1909" w:type="dxa"/>
            <w:shd w:val="clear" w:color="auto" w:fill="D9E2F3"/>
            <w:vAlign w:val="center"/>
          </w:tcPr>
          <w:p w14:paraId="7D6D3EBC" w14:textId="77777777" w:rsidR="00990B14" w:rsidRDefault="00000000">
            <w:pPr>
              <w:spacing w:before="20" w:after="20"/>
              <w:jc w:val="both"/>
            </w:pPr>
            <w:r>
              <w:rPr>
                <w:sz w:val="18"/>
                <w:szCs w:val="18"/>
              </w:rPr>
              <w:t>Ejemplifica con estados financieros de una empresa boliviana.</w:t>
            </w:r>
          </w:p>
        </w:tc>
      </w:tr>
      <w:tr w:rsidR="00990B14" w14:paraId="05E42A48" w14:textId="77777777">
        <w:trPr>
          <w:cantSplit/>
          <w:jc w:val="center"/>
        </w:trPr>
        <w:tc>
          <w:tcPr>
            <w:tcW w:w="1864" w:type="dxa"/>
            <w:vMerge/>
            <w:shd w:val="clear" w:color="auto" w:fill="4472C4"/>
            <w:vAlign w:val="center"/>
          </w:tcPr>
          <w:p w14:paraId="773480BF" w14:textId="77777777" w:rsidR="00990B14" w:rsidRDefault="00990B14">
            <w:pPr>
              <w:spacing w:before="20" w:after="20"/>
            </w:pPr>
          </w:p>
        </w:tc>
        <w:tc>
          <w:tcPr>
            <w:tcW w:w="1861" w:type="dxa"/>
            <w:shd w:val="clear" w:color="auto" w:fill="D9E2F3"/>
            <w:vAlign w:val="center"/>
          </w:tcPr>
          <w:p w14:paraId="343C1A45" w14:textId="77777777" w:rsidR="00990B14" w:rsidRDefault="00000000">
            <w:pPr>
              <w:spacing w:before="20" w:after="20"/>
              <w:jc w:val="both"/>
            </w:pPr>
            <w:r>
              <w:rPr>
                <w:sz w:val="18"/>
                <w:szCs w:val="18"/>
              </w:rPr>
              <w:t>Pérdida de valor de la información</w:t>
            </w:r>
          </w:p>
        </w:tc>
        <w:tc>
          <w:tcPr>
            <w:tcW w:w="1861" w:type="dxa"/>
            <w:shd w:val="clear" w:color="auto" w:fill="D9E2F3"/>
            <w:vAlign w:val="center"/>
          </w:tcPr>
          <w:p w14:paraId="00C89EB7" w14:textId="77777777" w:rsidR="00990B14" w:rsidRDefault="00000000">
            <w:pPr>
              <w:spacing w:before="20" w:after="20"/>
              <w:jc w:val="both"/>
            </w:pPr>
            <w:r>
              <w:rPr>
                <w:sz w:val="18"/>
                <w:szCs w:val="18"/>
              </w:rPr>
              <w:t>No la menciona.</w:t>
            </w:r>
          </w:p>
        </w:tc>
        <w:tc>
          <w:tcPr>
            <w:tcW w:w="1910" w:type="dxa"/>
            <w:shd w:val="clear" w:color="auto" w:fill="D9E2F3"/>
            <w:vAlign w:val="center"/>
          </w:tcPr>
          <w:p w14:paraId="2B7D7732" w14:textId="77777777" w:rsidR="00990B14" w:rsidRDefault="00000000">
            <w:pPr>
              <w:spacing w:before="20" w:after="20"/>
              <w:jc w:val="both"/>
            </w:pPr>
            <w:r>
              <w:rPr>
                <w:sz w:val="18"/>
                <w:szCs w:val="18"/>
              </w:rPr>
              <w:t>Explica la pérdida de valor de la información.</w:t>
            </w:r>
          </w:p>
        </w:tc>
        <w:tc>
          <w:tcPr>
            <w:tcW w:w="1909" w:type="dxa"/>
            <w:shd w:val="clear" w:color="auto" w:fill="D9E2F3"/>
            <w:vAlign w:val="center"/>
          </w:tcPr>
          <w:p w14:paraId="07529328" w14:textId="77777777" w:rsidR="00990B14" w:rsidRDefault="00000000">
            <w:pPr>
              <w:spacing w:before="20" w:after="20"/>
              <w:jc w:val="both"/>
            </w:pPr>
            <w:r>
              <w:rPr>
                <w:sz w:val="18"/>
                <w:szCs w:val="18"/>
              </w:rPr>
              <w:t>Propone medidas para conservar la utilidad de la información.</w:t>
            </w:r>
          </w:p>
        </w:tc>
      </w:tr>
      <w:tr w:rsidR="00990B14" w14:paraId="7EAE71EB" w14:textId="77777777">
        <w:trPr>
          <w:cantSplit/>
          <w:jc w:val="center"/>
        </w:trPr>
        <w:tc>
          <w:tcPr>
            <w:tcW w:w="1864" w:type="dxa"/>
            <w:vMerge/>
            <w:shd w:val="clear" w:color="auto" w:fill="4472C4"/>
            <w:vAlign w:val="center"/>
          </w:tcPr>
          <w:p w14:paraId="1D36C597" w14:textId="77777777" w:rsidR="00990B14" w:rsidRDefault="00990B14">
            <w:pPr>
              <w:spacing w:before="20" w:after="20"/>
            </w:pPr>
          </w:p>
        </w:tc>
        <w:tc>
          <w:tcPr>
            <w:tcW w:w="5632" w:type="dxa"/>
            <w:gridSpan w:val="3"/>
            <w:shd w:val="clear" w:color="auto" w:fill="D9E2F3"/>
            <w:vAlign w:val="center"/>
          </w:tcPr>
          <w:p w14:paraId="5947013E" w14:textId="77777777" w:rsidR="00990B14" w:rsidRDefault="00000000">
            <w:pPr>
              <w:keepNext/>
              <w:spacing w:before="20" w:after="20"/>
              <w:jc w:val="both"/>
            </w:pPr>
            <w:r>
              <w:rPr>
                <w:b/>
                <w:bCs/>
                <w:i/>
                <w:iCs/>
                <w:sz w:val="18"/>
                <w:szCs w:val="18"/>
              </w:rPr>
              <w:t xml:space="preserve">Producto 3: </w:t>
            </w:r>
            <w:r>
              <w:rPr>
                <w:sz w:val="18"/>
                <w:szCs w:val="18"/>
              </w:rPr>
              <w:t>Esquema de criterios para el diseño de modelos contables</w:t>
            </w:r>
          </w:p>
        </w:tc>
        <w:tc>
          <w:tcPr>
            <w:tcW w:w="1909" w:type="dxa"/>
            <w:shd w:val="clear" w:color="auto" w:fill="D9E2F3"/>
            <w:vAlign w:val="center"/>
          </w:tcPr>
          <w:p w14:paraId="14077F61" w14:textId="77777777" w:rsidR="00990B14" w:rsidRDefault="00000000">
            <w:pPr>
              <w:spacing w:before="20" w:after="20"/>
              <w:jc w:val="center"/>
            </w:pPr>
            <w:r>
              <w:rPr>
                <w:b/>
                <w:bCs/>
                <w:sz w:val="18"/>
                <w:szCs w:val="18"/>
              </w:rPr>
              <w:t>2%</w:t>
            </w:r>
          </w:p>
        </w:tc>
      </w:tr>
      <w:tr w:rsidR="00990B14" w14:paraId="22054E05" w14:textId="77777777">
        <w:trPr>
          <w:cantSplit/>
          <w:jc w:val="center"/>
        </w:trPr>
        <w:tc>
          <w:tcPr>
            <w:tcW w:w="1864" w:type="dxa"/>
            <w:vMerge/>
            <w:shd w:val="clear" w:color="auto" w:fill="4472C4"/>
            <w:vAlign w:val="center"/>
          </w:tcPr>
          <w:p w14:paraId="055541BB" w14:textId="77777777" w:rsidR="00990B14" w:rsidRDefault="00990B14">
            <w:pPr>
              <w:spacing w:before="20" w:after="20"/>
            </w:pPr>
          </w:p>
        </w:tc>
        <w:tc>
          <w:tcPr>
            <w:tcW w:w="1861" w:type="dxa"/>
            <w:shd w:val="clear" w:color="auto" w:fill="4472C4"/>
            <w:vAlign w:val="center"/>
          </w:tcPr>
          <w:p w14:paraId="32C75211" w14:textId="77777777" w:rsidR="00990B14" w:rsidRDefault="00000000">
            <w:pPr>
              <w:keepNext/>
              <w:spacing w:before="20" w:after="20"/>
              <w:jc w:val="center"/>
            </w:pPr>
            <w:r>
              <w:rPr>
                <w:b/>
                <w:bCs/>
                <w:i/>
                <w:iCs/>
                <w:color w:val="FFFFFF"/>
                <w:sz w:val="18"/>
                <w:szCs w:val="18"/>
              </w:rPr>
              <w:t>Criterio</w:t>
            </w:r>
          </w:p>
        </w:tc>
        <w:tc>
          <w:tcPr>
            <w:tcW w:w="1861" w:type="dxa"/>
            <w:shd w:val="clear" w:color="auto" w:fill="4472C4"/>
            <w:vAlign w:val="center"/>
          </w:tcPr>
          <w:p w14:paraId="23A41352"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6885ECA8" w14:textId="77777777" w:rsidR="00990B14" w:rsidRDefault="00000000">
            <w:pPr>
              <w:keepNext/>
              <w:spacing w:before="20" w:after="20"/>
              <w:jc w:val="center"/>
            </w:pPr>
            <w:r>
              <w:rPr>
                <w:b/>
                <w:bCs/>
                <w:i/>
                <w:iCs/>
                <w:color w:val="FFFFFF"/>
                <w:sz w:val="18"/>
                <w:szCs w:val="18"/>
              </w:rPr>
              <w:t>Suficiente (51–80)</w:t>
            </w:r>
          </w:p>
        </w:tc>
        <w:tc>
          <w:tcPr>
            <w:tcW w:w="1909" w:type="dxa"/>
            <w:shd w:val="clear" w:color="auto" w:fill="4472C4"/>
            <w:vAlign w:val="center"/>
          </w:tcPr>
          <w:p w14:paraId="74D4C7E3" w14:textId="77777777" w:rsidR="00990B14" w:rsidRDefault="00000000">
            <w:pPr>
              <w:keepNext/>
              <w:spacing w:before="20" w:after="20"/>
              <w:jc w:val="center"/>
            </w:pPr>
            <w:r>
              <w:rPr>
                <w:b/>
                <w:bCs/>
                <w:i/>
                <w:iCs/>
                <w:color w:val="FFFFFF"/>
                <w:sz w:val="18"/>
                <w:szCs w:val="18"/>
              </w:rPr>
              <w:t>Destacado (81–100)</w:t>
            </w:r>
          </w:p>
        </w:tc>
      </w:tr>
      <w:tr w:rsidR="00990B14" w14:paraId="2B8D3F32" w14:textId="77777777">
        <w:trPr>
          <w:cantSplit/>
          <w:jc w:val="center"/>
        </w:trPr>
        <w:tc>
          <w:tcPr>
            <w:tcW w:w="1864" w:type="dxa"/>
            <w:vMerge/>
            <w:shd w:val="clear" w:color="auto" w:fill="4472C4"/>
            <w:vAlign w:val="center"/>
          </w:tcPr>
          <w:p w14:paraId="408EE7B7" w14:textId="77777777" w:rsidR="00990B14" w:rsidRDefault="00990B14">
            <w:pPr>
              <w:spacing w:before="20" w:after="20"/>
            </w:pPr>
          </w:p>
        </w:tc>
        <w:tc>
          <w:tcPr>
            <w:tcW w:w="1861" w:type="dxa"/>
            <w:shd w:val="clear" w:color="auto" w:fill="D9E2F3"/>
            <w:vAlign w:val="center"/>
          </w:tcPr>
          <w:p w14:paraId="455C1F69" w14:textId="77777777" w:rsidR="00990B14" w:rsidRDefault="00000000">
            <w:pPr>
              <w:spacing w:before="20" w:after="20"/>
              <w:jc w:val="both"/>
            </w:pPr>
            <w:r>
              <w:rPr>
                <w:sz w:val="18"/>
                <w:szCs w:val="18"/>
              </w:rPr>
              <w:t>Capital a mantener</w:t>
            </w:r>
          </w:p>
        </w:tc>
        <w:tc>
          <w:tcPr>
            <w:tcW w:w="1861" w:type="dxa"/>
            <w:shd w:val="clear" w:color="auto" w:fill="D9E2F3"/>
            <w:vAlign w:val="center"/>
          </w:tcPr>
          <w:p w14:paraId="7A2DE75E" w14:textId="77777777" w:rsidR="00990B14" w:rsidRDefault="00000000">
            <w:pPr>
              <w:spacing w:before="20" w:after="20"/>
              <w:jc w:val="both"/>
            </w:pPr>
            <w:r>
              <w:rPr>
                <w:sz w:val="18"/>
                <w:szCs w:val="18"/>
              </w:rPr>
              <w:t>Confunde los conceptos de capital.</w:t>
            </w:r>
          </w:p>
        </w:tc>
        <w:tc>
          <w:tcPr>
            <w:tcW w:w="1910" w:type="dxa"/>
            <w:shd w:val="clear" w:color="auto" w:fill="D9E2F3"/>
            <w:vAlign w:val="center"/>
          </w:tcPr>
          <w:p w14:paraId="4E11F463" w14:textId="77777777" w:rsidR="00990B14" w:rsidRDefault="00000000">
            <w:pPr>
              <w:spacing w:before="20" w:after="20"/>
              <w:jc w:val="both"/>
            </w:pPr>
            <w:r>
              <w:rPr>
                <w:sz w:val="18"/>
                <w:szCs w:val="18"/>
              </w:rPr>
              <w:t>Distingue el capital financiero del capital físico.</w:t>
            </w:r>
          </w:p>
        </w:tc>
        <w:tc>
          <w:tcPr>
            <w:tcW w:w="1909" w:type="dxa"/>
            <w:shd w:val="clear" w:color="auto" w:fill="D9E2F3"/>
            <w:vAlign w:val="center"/>
          </w:tcPr>
          <w:p w14:paraId="21D961E4" w14:textId="77777777" w:rsidR="00990B14" w:rsidRDefault="00000000">
            <w:pPr>
              <w:spacing w:before="20" w:after="20"/>
              <w:jc w:val="both"/>
            </w:pPr>
            <w:r>
              <w:rPr>
                <w:sz w:val="18"/>
                <w:szCs w:val="18"/>
              </w:rPr>
              <w:t>Explica su efecto en la determinación del resultado.</w:t>
            </w:r>
          </w:p>
        </w:tc>
      </w:tr>
      <w:tr w:rsidR="00990B14" w14:paraId="246A06BE" w14:textId="77777777">
        <w:trPr>
          <w:cantSplit/>
          <w:jc w:val="center"/>
        </w:trPr>
        <w:tc>
          <w:tcPr>
            <w:tcW w:w="1864" w:type="dxa"/>
            <w:vMerge/>
            <w:shd w:val="clear" w:color="auto" w:fill="4472C4"/>
            <w:vAlign w:val="center"/>
          </w:tcPr>
          <w:p w14:paraId="64BE330F" w14:textId="77777777" w:rsidR="00990B14" w:rsidRDefault="00990B14">
            <w:pPr>
              <w:spacing w:before="20" w:after="20"/>
            </w:pPr>
          </w:p>
        </w:tc>
        <w:tc>
          <w:tcPr>
            <w:tcW w:w="1861" w:type="dxa"/>
            <w:shd w:val="clear" w:color="auto" w:fill="D9E2F3"/>
            <w:vAlign w:val="center"/>
          </w:tcPr>
          <w:p w14:paraId="6FB9B4BE" w14:textId="77777777" w:rsidR="00990B14" w:rsidRDefault="00000000">
            <w:pPr>
              <w:spacing w:before="20" w:after="20"/>
              <w:jc w:val="both"/>
            </w:pPr>
            <w:r>
              <w:rPr>
                <w:sz w:val="18"/>
                <w:szCs w:val="18"/>
              </w:rPr>
              <w:t>Medición y reconocimiento</w:t>
            </w:r>
          </w:p>
        </w:tc>
        <w:tc>
          <w:tcPr>
            <w:tcW w:w="1861" w:type="dxa"/>
            <w:shd w:val="clear" w:color="auto" w:fill="D9E2F3"/>
            <w:vAlign w:val="center"/>
          </w:tcPr>
          <w:p w14:paraId="4257C540" w14:textId="77777777" w:rsidR="00990B14" w:rsidRDefault="00000000">
            <w:pPr>
              <w:spacing w:before="20" w:after="20"/>
              <w:jc w:val="both"/>
            </w:pPr>
            <w:r>
              <w:rPr>
                <w:sz w:val="18"/>
                <w:szCs w:val="18"/>
              </w:rPr>
              <w:t>Omite criterios.</w:t>
            </w:r>
          </w:p>
        </w:tc>
        <w:tc>
          <w:tcPr>
            <w:tcW w:w="1910" w:type="dxa"/>
            <w:shd w:val="clear" w:color="auto" w:fill="D9E2F3"/>
            <w:vAlign w:val="center"/>
          </w:tcPr>
          <w:p w14:paraId="3C36F534" w14:textId="77777777" w:rsidR="00990B14" w:rsidRDefault="00000000">
            <w:pPr>
              <w:spacing w:before="20" w:after="20"/>
              <w:jc w:val="both"/>
            </w:pPr>
            <w:r>
              <w:rPr>
                <w:sz w:val="18"/>
                <w:szCs w:val="18"/>
              </w:rPr>
              <w:t>Clasifica los criterios de medición y de reconocimiento.</w:t>
            </w:r>
          </w:p>
        </w:tc>
        <w:tc>
          <w:tcPr>
            <w:tcW w:w="1909" w:type="dxa"/>
            <w:shd w:val="clear" w:color="auto" w:fill="D9E2F3"/>
            <w:vAlign w:val="center"/>
          </w:tcPr>
          <w:p w14:paraId="23699446" w14:textId="77777777" w:rsidR="00990B14" w:rsidRDefault="00000000">
            <w:pPr>
              <w:spacing w:before="20" w:after="20"/>
              <w:jc w:val="both"/>
            </w:pPr>
            <w:r>
              <w:rPr>
                <w:sz w:val="18"/>
                <w:szCs w:val="18"/>
              </w:rPr>
              <w:t>Relaciona los criterios con el Marco Conceptual.</w:t>
            </w:r>
          </w:p>
        </w:tc>
      </w:tr>
      <w:tr w:rsidR="00990B14" w14:paraId="3787EB98" w14:textId="77777777">
        <w:trPr>
          <w:cantSplit/>
          <w:jc w:val="center"/>
        </w:trPr>
        <w:tc>
          <w:tcPr>
            <w:tcW w:w="1864" w:type="dxa"/>
            <w:vMerge/>
            <w:shd w:val="clear" w:color="auto" w:fill="4472C4"/>
            <w:vAlign w:val="center"/>
          </w:tcPr>
          <w:p w14:paraId="12915B2D" w14:textId="77777777" w:rsidR="00990B14" w:rsidRDefault="00990B14">
            <w:pPr>
              <w:spacing w:before="20" w:after="20"/>
            </w:pPr>
          </w:p>
        </w:tc>
        <w:tc>
          <w:tcPr>
            <w:tcW w:w="1861" w:type="dxa"/>
            <w:shd w:val="clear" w:color="auto" w:fill="D9E2F3"/>
            <w:vAlign w:val="center"/>
          </w:tcPr>
          <w:p w14:paraId="6D639101" w14:textId="77777777" w:rsidR="00990B14" w:rsidRDefault="00000000">
            <w:pPr>
              <w:spacing w:before="20" w:after="20"/>
              <w:jc w:val="both"/>
            </w:pPr>
            <w:r>
              <w:rPr>
                <w:sz w:val="18"/>
                <w:szCs w:val="18"/>
              </w:rPr>
              <w:t>Presentación</w:t>
            </w:r>
          </w:p>
        </w:tc>
        <w:tc>
          <w:tcPr>
            <w:tcW w:w="1861" w:type="dxa"/>
            <w:shd w:val="clear" w:color="auto" w:fill="D9E2F3"/>
            <w:vAlign w:val="center"/>
          </w:tcPr>
          <w:p w14:paraId="1FBED464" w14:textId="77777777" w:rsidR="00990B14" w:rsidRDefault="00000000">
            <w:pPr>
              <w:spacing w:before="20" w:after="20"/>
              <w:jc w:val="both"/>
            </w:pPr>
            <w:r>
              <w:rPr>
                <w:sz w:val="18"/>
                <w:szCs w:val="18"/>
              </w:rPr>
              <w:t>El esquema es incompleto.</w:t>
            </w:r>
          </w:p>
        </w:tc>
        <w:tc>
          <w:tcPr>
            <w:tcW w:w="1910" w:type="dxa"/>
            <w:shd w:val="clear" w:color="auto" w:fill="D9E2F3"/>
            <w:vAlign w:val="center"/>
          </w:tcPr>
          <w:p w14:paraId="76E6D212" w14:textId="77777777" w:rsidR="00990B14" w:rsidRDefault="00000000">
            <w:pPr>
              <w:spacing w:before="20" w:after="20"/>
              <w:jc w:val="both"/>
            </w:pPr>
            <w:r>
              <w:rPr>
                <w:sz w:val="18"/>
                <w:szCs w:val="18"/>
              </w:rPr>
              <w:t>El esquema es claro.</w:t>
            </w:r>
          </w:p>
        </w:tc>
        <w:tc>
          <w:tcPr>
            <w:tcW w:w="1909" w:type="dxa"/>
            <w:shd w:val="clear" w:color="auto" w:fill="D9E2F3"/>
            <w:vAlign w:val="center"/>
          </w:tcPr>
          <w:p w14:paraId="10160343" w14:textId="77777777" w:rsidR="00990B14" w:rsidRDefault="00000000">
            <w:pPr>
              <w:spacing w:before="20" w:after="20"/>
              <w:jc w:val="both"/>
            </w:pPr>
            <w:r>
              <w:rPr>
                <w:sz w:val="18"/>
                <w:szCs w:val="18"/>
              </w:rPr>
              <w:t>El esquema compara los modelos con ejemplos.</w:t>
            </w:r>
          </w:p>
        </w:tc>
      </w:tr>
      <w:tr w:rsidR="00990B14" w14:paraId="167BC460" w14:textId="77777777">
        <w:trPr>
          <w:cantSplit/>
          <w:jc w:val="center"/>
        </w:trPr>
        <w:tc>
          <w:tcPr>
            <w:tcW w:w="1864" w:type="dxa"/>
            <w:vMerge/>
            <w:shd w:val="clear" w:color="auto" w:fill="4472C4"/>
            <w:vAlign w:val="center"/>
          </w:tcPr>
          <w:p w14:paraId="74660048" w14:textId="77777777" w:rsidR="00990B14" w:rsidRDefault="00990B14">
            <w:pPr>
              <w:spacing w:before="20" w:after="20"/>
            </w:pPr>
          </w:p>
        </w:tc>
        <w:tc>
          <w:tcPr>
            <w:tcW w:w="5632" w:type="dxa"/>
            <w:gridSpan w:val="3"/>
            <w:shd w:val="clear" w:color="auto" w:fill="D9E2F3"/>
            <w:vAlign w:val="center"/>
          </w:tcPr>
          <w:p w14:paraId="0825B0BD" w14:textId="77777777" w:rsidR="00990B14" w:rsidRDefault="00000000">
            <w:pPr>
              <w:keepNext/>
              <w:spacing w:before="20" w:after="20"/>
              <w:jc w:val="both"/>
            </w:pPr>
            <w:r>
              <w:rPr>
                <w:b/>
                <w:bCs/>
                <w:i/>
                <w:iCs/>
                <w:sz w:val="18"/>
                <w:szCs w:val="18"/>
              </w:rPr>
              <w:t xml:space="preserve">Producto 4: </w:t>
            </w:r>
            <w:r>
              <w:rPr>
                <w:sz w:val="18"/>
                <w:szCs w:val="18"/>
              </w:rPr>
              <w:t>Informe de aplicación de los modelos contables</w:t>
            </w:r>
          </w:p>
        </w:tc>
        <w:tc>
          <w:tcPr>
            <w:tcW w:w="1909" w:type="dxa"/>
            <w:shd w:val="clear" w:color="auto" w:fill="D9E2F3"/>
            <w:vAlign w:val="center"/>
          </w:tcPr>
          <w:p w14:paraId="28F9E966" w14:textId="77777777" w:rsidR="00990B14" w:rsidRDefault="00000000">
            <w:pPr>
              <w:spacing w:before="20" w:after="20"/>
              <w:jc w:val="center"/>
            </w:pPr>
            <w:r>
              <w:rPr>
                <w:b/>
                <w:bCs/>
                <w:sz w:val="18"/>
                <w:szCs w:val="18"/>
              </w:rPr>
              <w:t>2%</w:t>
            </w:r>
          </w:p>
        </w:tc>
      </w:tr>
      <w:tr w:rsidR="00990B14" w14:paraId="2D7D566D" w14:textId="77777777">
        <w:trPr>
          <w:cantSplit/>
          <w:jc w:val="center"/>
        </w:trPr>
        <w:tc>
          <w:tcPr>
            <w:tcW w:w="1864" w:type="dxa"/>
            <w:vMerge/>
            <w:shd w:val="clear" w:color="auto" w:fill="4472C4"/>
            <w:vAlign w:val="center"/>
          </w:tcPr>
          <w:p w14:paraId="252953F2" w14:textId="77777777" w:rsidR="00990B14" w:rsidRDefault="00990B14">
            <w:pPr>
              <w:spacing w:before="20" w:after="20"/>
            </w:pPr>
          </w:p>
        </w:tc>
        <w:tc>
          <w:tcPr>
            <w:tcW w:w="1861" w:type="dxa"/>
            <w:shd w:val="clear" w:color="auto" w:fill="4472C4"/>
            <w:vAlign w:val="center"/>
          </w:tcPr>
          <w:p w14:paraId="3D861FD0" w14:textId="77777777" w:rsidR="00990B14" w:rsidRDefault="00000000">
            <w:pPr>
              <w:keepNext/>
              <w:spacing w:before="20" w:after="20"/>
              <w:jc w:val="center"/>
            </w:pPr>
            <w:r>
              <w:rPr>
                <w:b/>
                <w:bCs/>
                <w:i/>
                <w:iCs/>
                <w:color w:val="FFFFFF"/>
                <w:sz w:val="18"/>
                <w:szCs w:val="18"/>
              </w:rPr>
              <w:t>Criterio</w:t>
            </w:r>
          </w:p>
        </w:tc>
        <w:tc>
          <w:tcPr>
            <w:tcW w:w="1861" w:type="dxa"/>
            <w:shd w:val="clear" w:color="auto" w:fill="4472C4"/>
            <w:vAlign w:val="center"/>
          </w:tcPr>
          <w:p w14:paraId="5D7F518B"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7868194F" w14:textId="77777777" w:rsidR="00990B14" w:rsidRDefault="00000000">
            <w:pPr>
              <w:keepNext/>
              <w:spacing w:before="20" w:after="20"/>
              <w:jc w:val="center"/>
            </w:pPr>
            <w:r>
              <w:rPr>
                <w:b/>
                <w:bCs/>
                <w:i/>
                <w:iCs/>
                <w:color w:val="FFFFFF"/>
                <w:sz w:val="18"/>
                <w:szCs w:val="18"/>
              </w:rPr>
              <w:t>Suficiente (51–80)</w:t>
            </w:r>
          </w:p>
        </w:tc>
        <w:tc>
          <w:tcPr>
            <w:tcW w:w="1909" w:type="dxa"/>
            <w:shd w:val="clear" w:color="auto" w:fill="4472C4"/>
            <w:vAlign w:val="center"/>
          </w:tcPr>
          <w:p w14:paraId="4C9FE768" w14:textId="77777777" w:rsidR="00990B14" w:rsidRDefault="00000000">
            <w:pPr>
              <w:keepNext/>
              <w:spacing w:before="20" w:after="20"/>
              <w:jc w:val="center"/>
            </w:pPr>
            <w:r>
              <w:rPr>
                <w:b/>
                <w:bCs/>
                <w:i/>
                <w:iCs/>
                <w:color w:val="FFFFFF"/>
                <w:sz w:val="18"/>
                <w:szCs w:val="18"/>
              </w:rPr>
              <w:t>Destacado (81–100)</w:t>
            </w:r>
          </w:p>
        </w:tc>
      </w:tr>
      <w:tr w:rsidR="00990B14" w14:paraId="52C3091F" w14:textId="77777777">
        <w:trPr>
          <w:cantSplit/>
          <w:jc w:val="center"/>
        </w:trPr>
        <w:tc>
          <w:tcPr>
            <w:tcW w:w="1864" w:type="dxa"/>
            <w:vMerge/>
            <w:shd w:val="clear" w:color="auto" w:fill="4472C4"/>
            <w:vAlign w:val="center"/>
          </w:tcPr>
          <w:p w14:paraId="3C695EAD" w14:textId="77777777" w:rsidR="00990B14" w:rsidRDefault="00990B14">
            <w:pPr>
              <w:spacing w:before="20" w:after="20"/>
            </w:pPr>
          </w:p>
        </w:tc>
        <w:tc>
          <w:tcPr>
            <w:tcW w:w="1861" w:type="dxa"/>
            <w:shd w:val="clear" w:color="auto" w:fill="D9E2F3"/>
            <w:vAlign w:val="center"/>
          </w:tcPr>
          <w:p w14:paraId="3161ECD6" w14:textId="77777777" w:rsidR="00990B14" w:rsidRDefault="00000000">
            <w:pPr>
              <w:spacing w:before="20" w:after="20"/>
              <w:jc w:val="both"/>
            </w:pPr>
            <w:r>
              <w:rPr>
                <w:sz w:val="18"/>
                <w:szCs w:val="18"/>
              </w:rPr>
              <w:t>Aplicación al caso</w:t>
            </w:r>
          </w:p>
        </w:tc>
        <w:tc>
          <w:tcPr>
            <w:tcW w:w="1861" w:type="dxa"/>
            <w:shd w:val="clear" w:color="auto" w:fill="D9E2F3"/>
            <w:vAlign w:val="center"/>
          </w:tcPr>
          <w:p w14:paraId="14C7AD5B" w14:textId="77777777" w:rsidR="00990B14" w:rsidRDefault="00000000">
            <w:pPr>
              <w:spacing w:before="20" w:after="20"/>
              <w:jc w:val="both"/>
            </w:pPr>
            <w:r>
              <w:rPr>
                <w:sz w:val="18"/>
                <w:szCs w:val="18"/>
              </w:rPr>
              <w:t>No aplica el modelo al caso.</w:t>
            </w:r>
          </w:p>
        </w:tc>
        <w:tc>
          <w:tcPr>
            <w:tcW w:w="1910" w:type="dxa"/>
            <w:shd w:val="clear" w:color="auto" w:fill="D9E2F3"/>
            <w:vAlign w:val="center"/>
          </w:tcPr>
          <w:p w14:paraId="4B5226D8" w14:textId="77777777" w:rsidR="00990B14" w:rsidRDefault="00000000">
            <w:pPr>
              <w:spacing w:before="20" w:after="20"/>
              <w:jc w:val="both"/>
            </w:pPr>
            <w:r>
              <w:rPr>
                <w:sz w:val="18"/>
                <w:szCs w:val="18"/>
              </w:rPr>
              <w:t>Aplica el modelo contable al caso.</w:t>
            </w:r>
          </w:p>
        </w:tc>
        <w:tc>
          <w:tcPr>
            <w:tcW w:w="1909" w:type="dxa"/>
            <w:shd w:val="clear" w:color="auto" w:fill="D9E2F3"/>
            <w:vAlign w:val="center"/>
          </w:tcPr>
          <w:p w14:paraId="29A8FB72" w14:textId="77777777" w:rsidR="00990B14" w:rsidRDefault="00000000">
            <w:pPr>
              <w:spacing w:before="20" w:after="20"/>
              <w:jc w:val="both"/>
            </w:pPr>
            <w:r>
              <w:rPr>
                <w:sz w:val="18"/>
                <w:szCs w:val="18"/>
              </w:rPr>
              <w:t>Justifica la elección del modelo.</w:t>
            </w:r>
          </w:p>
        </w:tc>
      </w:tr>
      <w:tr w:rsidR="00990B14" w14:paraId="385F210A" w14:textId="77777777">
        <w:trPr>
          <w:cantSplit/>
          <w:jc w:val="center"/>
        </w:trPr>
        <w:tc>
          <w:tcPr>
            <w:tcW w:w="1864" w:type="dxa"/>
            <w:vMerge/>
            <w:shd w:val="clear" w:color="auto" w:fill="4472C4"/>
            <w:vAlign w:val="center"/>
          </w:tcPr>
          <w:p w14:paraId="1F41D9C2" w14:textId="77777777" w:rsidR="00990B14" w:rsidRDefault="00990B14">
            <w:pPr>
              <w:spacing w:before="20" w:after="20"/>
            </w:pPr>
          </w:p>
        </w:tc>
        <w:tc>
          <w:tcPr>
            <w:tcW w:w="1861" w:type="dxa"/>
            <w:shd w:val="clear" w:color="auto" w:fill="D9E2F3"/>
            <w:vAlign w:val="center"/>
          </w:tcPr>
          <w:p w14:paraId="3C4BA5BE" w14:textId="77777777" w:rsidR="00990B14" w:rsidRDefault="00000000">
            <w:pPr>
              <w:spacing w:before="20" w:after="20"/>
              <w:jc w:val="both"/>
            </w:pPr>
            <w:r>
              <w:rPr>
                <w:sz w:val="18"/>
                <w:szCs w:val="18"/>
              </w:rPr>
              <w:t>Tipos de modelos contables</w:t>
            </w:r>
          </w:p>
        </w:tc>
        <w:tc>
          <w:tcPr>
            <w:tcW w:w="1861" w:type="dxa"/>
            <w:shd w:val="clear" w:color="auto" w:fill="D9E2F3"/>
            <w:vAlign w:val="center"/>
          </w:tcPr>
          <w:p w14:paraId="3D2241B1" w14:textId="77777777" w:rsidR="00990B14" w:rsidRDefault="00000000">
            <w:pPr>
              <w:spacing w:before="20" w:after="20"/>
              <w:jc w:val="both"/>
            </w:pPr>
            <w:r>
              <w:rPr>
                <w:sz w:val="18"/>
                <w:szCs w:val="18"/>
              </w:rPr>
              <w:t>No identifica su efecto.</w:t>
            </w:r>
          </w:p>
        </w:tc>
        <w:tc>
          <w:tcPr>
            <w:tcW w:w="1910" w:type="dxa"/>
            <w:shd w:val="clear" w:color="auto" w:fill="D9E2F3"/>
            <w:vAlign w:val="center"/>
          </w:tcPr>
          <w:p w14:paraId="663EEAB5" w14:textId="77777777" w:rsidR="00990B14" w:rsidRDefault="00000000">
            <w:pPr>
              <w:spacing w:before="20" w:after="20"/>
              <w:jc w:val="both"/>
            </w:pPr>
            <w:r>
              <w:rPr>
                <w:sz w:val="18"/>
                <w:szCs w:val="18"/>
              </w:rPr>
              <w:t>Determina el efecto de aplicación de cada modelo</w:t>
            </w:r>
          </w:p>
        </w:tc>
        <w:tc>
          <w:tcPr>
            <w:tcW w:w="1909" w:type="dxa"/>
            <w:shd w:val="clear" w:color="auto" w:fill="D9E2F3"/>
            <w:vAlign w:val="center"/>
          </w:tcPr>
          <w:p w14:paraId="16BEFF91" w14:textId="77777777" w:rsidR="00990B14" w:rsidRDefault="00000000">
            <w:pPr>
              <w:spacing w:before="20" w:after="20"/>
              <w:jc w:val="both"/>
            </w:pPr>
            <w:r>
              <w:rPr>
                <w:sz w:val="18"/>
                <w:szCs w:val="18"/>
              </w:rPr>
              <w:t>Analiza la fiabilidad de la información de cada modelo.</w:t>
            </w:r>
          </w:p>
        </w:tc>
      </w:tr>
      <w:tr w:rsidR="00990B14" w14:paraId="557D85CC" w14:textId="77777777">
        <w:trPr>
          <w:cantSplit/>
          <w:jc w:val="center"/>
        </w:trPr>
        <w:tc>
          <w:tcPr>
            <w:tcW w:w="1864" w:type="dxa"/>
            <w:vMerge/>
            <w:shd w:val="clear" w:color="auto" w:fill="4472C4"/>
            <w:vAlign w:val="center"/>
          </w:tcPr>
          <w:p w14:paraId="34833B6C" w14:textId="77777777" w:rsidR="00990B14" w:rsidRDefault="00990B14">
            <w:pPr>
              <w:spacing w:before="20" w:after="20"/>
            </w:pPr>
          </w:p>
        </w:tc>
        <w:tc>
          <w:tcPr>
            <w:tcW w:w="1861" w:type="dxa"/>
            <w:shd w:val="clear" w:color="auto" w:fill="D9E2F3"/>
            <w:vAlign w:val="center"/>
          </w:tcPr>
          <w:p w14:paraId="298B8051" w14:textId="77777777" w:rsidR="00990B14" w:rsidRDefault="00000000">
            <w:pPr>
              <w:spacing w:before="20" w:after="20"/>
              <w:jc w:val="both"/>
            </w:pPr>
            <w:r>
              <w:rPr>
                <w:sz w:val="18"/>
                <w:szCs w:val="18"/>
              </w:rPr>
              <w:t>Redacción</w:t>
            </w:r>
          </w:p>
        </w:tc>
        <w:tc>
          <w:tcPr>
            <w:tcW w:w="1861" w:type="dxa"/>
            <w:shd w:val="clear" w:color="auto" w:fill="D9E2F3"/>
            <w:vAlign w:val="center"/>
          </w:tcPr>
          <w:p w14:paraId="67C67459" w14:textId="77777777" w:rsidR="00990B14" w:rsidRDefault="00000000">
            <w:pPr>
              <w:spacing w:before="20" w:after="20"/>
              <w:jc w:val="both"/>
            </w:pPr>
            <w:r>
              <w:rPr>
                <w:sz w:val="18"/>
                <w:szCs w:val="18"/>
              </w:rPr>
              <w:t>El informe es confuso.</w:t>
            </w:r>
          </w:p>
        </w:tc>
        <w:tc>
          <w:tcPr>
            <w:tcW w:w="1910" w:type="dxa"/>
            <w:shd w:val="clear" w:color="auto" w:fill="D9E2F3"/>
            <w:vAlign w:val="center"/>
          </w:tcPr>
          <w:p w14:paraId="436A5AC4" w14:textId="77777777" w:rsidR="00990B14" w:rsidRDefault="00000000">
            <w:pPr>
              <w:spacing w:before="20" w:after="20"/>
              <w:jc w:val="both"/>
            </w:pPr>
            <w:r>
              <w:rPr>
                <w:sz w:val="18"/>
                <w:szCs w:val="18"/>
              </w:rPr>
              <w:t>El informe es claro.</w:t>
            </w:r>
          </w:p>
        </w:tc>
        <w:tc>
          <w:tcPr>
            <w:tcW w:w="1909" w:type="dxa"/>
            <w:shd w:val="clear" w:color="auto" w:fill="D9E2F3"/>
            <w:vAlign w:val="center"/>
          </w:tcPr>
          <w:p w14:paraId="6228E246" w14:textId="77777777" w:rsidR="00990B14" w:rsidRDefault="00000000">
            <w:pPr>
              <w:spacing w:before="20" w:after="20"/>
              <w:jc w:val="both"/>
            </w:pPr>
            <w:r>
              <w:rPr>
                <w:sz w:val="18"/>
                <w:szCs w:val="18"/>
              </w:rPr>
              <w:t>El informe es técnico y fundamentado.</w:t>
            </w:r>
          </w:p>
        </w:tc>
      </w:tr>
      <w:tr w:rsidR="00990B14" w14:paraId="3F970E49" w14:textId="77777777">
        <w:trPr>
          <w:cantSplit/>
          <w:jc w:val="center"/>
        </w:trPr>
        <w:tc>
          <w:tcPr>
            <w:tcW w:w="1864" w:type="dxa"/>
            <w:vMerge/>
            <w:shd w:val="clear" w:color="auto" w:fill="4472C4"/>
            <w:vAlign w:val="center"/>
          </w:tcPr>
          <w:p w14:paraId="4B82D24D" w14:textId="77777777" w:rsidR="00990B14" w:rsidRDefault="00990B14">
            <w:pPr>
              <w:spacing w:before="20" w:after="20"/>
            </w:pPr>
          </w:p>
        </w:tc>
        <w:tc>
          <w:tcPr>
            <w:tcW w:w="5632" w:type="dxa"/>
            <w:gridSpan w:val="3"/>
            <w:shd w:val="clear" w:color="auto" w:fill="D9E2F3"/>
            <w:vAlign w:val="center"/>
          </w:tcPr>
          <w:p w14:paraId="74CAC317" w14:textId="77777777" w:rsidR="00990B14" w:rsidRDefault="00000000">
            <w:pPr>
              <w:keepNext/>
              <w:spacing w:before="20" w:after="20"/>
              <w:jc w:val="both"/>
            </w:pPr>
            <w:r>
              <w:rPr>
                <w:b/>
                <w:bCs/>
                <w:i/>
                <w:iCs/>
                <w:sz w:val="18"/>
                <w:szCs w:val="18"/>
              </w:rPr>
              <w:t xml:space="preserve">Producto 5: </w:t>
            </w:r>
            <w:r>
              <w:rPr>
                <w:sz w:val="18"/>
                <w:szCs w:val="18"/>
              </w:rPr>
              <w:t>Esquema de entidades emisoras de normas contables</w:t>
            </w:r>
          </w:p>
        </w:tc>
        <w:tc>
          <w:tcPr>
            <w:tcW w:w="1909" w:type="dxa"/>
            <w:shd w:val="clear" w:color="auto" w:fill="D9E2F3"/>
            <w:vAlign w:val="center"/>
          </w:tcPr>
          <w:p w14:paraId="21AB3182" w14:textId="77777777" w:rsidR="00990B14" w:rsidRDefault="00000000">
            <w:pPr>
              <w:spacing w:before="20" w:after="20"/>
              <w:jc w:val="center"/>
            </w:pPr>
            <w:r>
              <w:rPr>
                <w:b/>
                <w:bCs/>
                <w:sz w:val="18"/>
                <w:szCs w:val="18"/>
              </w:rPr>
              <w:t>3%</w:t>
            </w:r>
          </w:p>
        </w:tc>
      </w:tr>
      <w:tr w:rsidR="00990B14" w14:paraId="7EB20320" w14:textId="77777777">
        <w:trPr>
          <w:cantSplit/>
          <w:jc w:val="center"/>
        </w:trPr>
        <w:tc>
          <w:tcPr>
            <w:tcW w:w="1864" w:type="dxa"/>
            <w:vMerge/>
            <w:shd w:val="clear" w:color="auto" w:fill="4472C4"/>
            <w:vAlign w:val="center"/>
          </w:tcPr>
          <w:p w14:paraId="210BD9FE" w14:textId="77777777" w:rsidR="00990B14" w:rsidRDefault="00990B14">
            <w:pPr>
              <w:spacing w:before="20" w:after="20"/>
            </w:pPr>
          </w:p>
        </w:tc>
        <w:tc>
          <w:tcPr>
            <w:tcW w:w="1861" w:type="dxa"/>
            <w:shd w:val="clear" w:color="auto" w:fill="4472C4"/>
            <w:vAlign w:val="center"/>
          </w:tcPr>
          <w:p w14:paraId="5EB6A616" w14:textId="77777777" w:rsidR="00990B14" w:rsidRDefault="00000000">
            <w:pPr>
              <w:keepNext/>
              <w:spacing w:before="20" w:after="20"/>
              <w:jc w:val="center"/>
            </w:pPr>
            <w:r>
              <w:rPr>
                <w:b/>
                <w:bCs/>
                <w:i/>
                <w:iCs/>
                <w:color w:val="FFFFFF"/>
                <w:sz w:val="18"/>
                <w:szCs w:val="18"/>
              </w:rPr>
              <w:t>Criterio</w:t>
            </w:r>
          </w:p>
        </w:tc>
        <w:tc>
          <w:tcPr>
            <w:tcW w:w="1861" w:type="dxa"/>
            <w:shd w:val="clear" w:color="auto" w:fill="4472C4"/>
            <w:vAlign w:val="center"/>
          </w:tcPr>
          <w:p w14:paraId="200E7867"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662DDC29" w14:textId="77777777" w:rsidR="00990B14" w:rsidRDefault="00000000">
            <w:pPr>
              <w:keepNext/>
              <w:spacing w:before="20" w:after="20"/>
              <w:jc w:val="center"/>
            </w:pPr>
            <w:r>
              <w:rPr>
                <w:b/>
                <w:bCs/>
                <w:i/>
                <w:iCs/>
                <w:color w:val="FFFFFF"/>
                <w:sz w:val="18"/>
                <w:szCs w:val="18"/>
              </w:rPr>
              <w:t>Suficiente (51–80)</w:t>
            </w:r>
          </w:p>
        </w:tc>
        <w:tc>
          <w:tcPr>
            <w:tcW w:w="1909" w:type="dxa"/>
            <w:shd w:val="clear" w:color="auto" w:fill="4472C4"/>
            <w:vAlign w:val="center"/>
          </w:tcPr>
          <w:p w14:paraId="0863FB72" w14:textId="77777777" w:rsidR="00990B14" w:rsidRDefault="00000000">
            <w:pPr>
              <w:keepNext/>
              <w:spacing w:before="20" w:after="20"/>
              <w:jc w:val="center"/>
            </w:pPr>
            <w:r>
              <w:rPr>
                <w:b/>
                <w:bCs/>
                <w:i/>
                <w:iCs/>
                <w:color w:val="FFFFFF"/>
                <w:sz w:val="18"/>
                <w:szCs w:val="18"/>
              </w:rPr>
              <w:t>Destacado (81–100)</w:t>
            </w:r>
          </w:p>
        </w:tc>
      </w:tr>
      <w:tr w:rsidR="00990B14" w14:paraId="3C3A14AE" w14:textId="77777777">
        <w:trPr>
          <w:cantSplit/>
          <w:jc w:val="center"/>
        </w:trPr>
        <w:tc>
          <w:tcPr>
            <w:tcW w:w="1864" w:type="dxa"/>
            <w:vMerge/>
            <w:shd w:val="clear" w:color="auto" w:fill="4472C4"/>
            <w:vAlign w:val="center"/>
          </w:tcPr>
          <w:p w14:paraId="0E2EE41B" w14:textId="77777777" w:rsidR="00990B14" w:rsidRDefault="00990B14">
            <w:pPr>
              <w:spacing w:before="20" w:after="20"/>
            </w:pPr>
          </w:p>
        </w:tc>
        <w:tc>
          <w:tcPr>
            <w:tcW w:w="1861" w:type="dxa"/>
            <w:shd w:val="clear" w:color="auto" w:fill="D9E2F3"/>
            <w:vAlign w:val="center"/>
          </w:tcPr>
          <w:p w14:paraId="37F18E7D" w14:textId="77777777" w:rsidR="00990B14" w:rsidRDefault="00000000">
            <w:pPr>
              <w:spacing w:before="20" w:after="20"/>
              <w:jc w:val="both"/>
            </w:pPr>
            <w:r>
              <w:rPr>
                <w:sz w:val="18"/>
                <w:szCs w:val="18"/>
              </w:rPr>
              <w:t>Entidades emisoras</w:t>
            </w:r>
          </w:p>
        </w:tc>
        <w:tc>
          <w:tcPr>
            <w:tcW w:w="1861" w:type="dxa"/>
            <w:shd w:val="clear" w:color="auto" w:fill="D9E2F3"/>
            <w:vAlign w:val="center"/>
          </w:tcPr>
          <w:p w14:paraId="48F43178" w14:textId="77777777" w:rsidR="00990B14" w:rsidRDefault="00000000">
            <w:pPr>
              <w:spacing w:before="20" w:after="20"/>
              <w:jc w:val="both"/>
            </w:pPr>
            <w:r>
              <w:rPr>
                <w:sz w:val="18"/>
                <w:szCs w:val="18"/>
              </w:rPr>
              <w:t>Omite entidades.</w:t>
            </w:r>
          </w:p>
        </w:tc>
        <w:tc>
          <w:tcPr>
            <w:tcW w:w="1910" w:type="dxa"/>
            <w:shd w:val="clear" w:color="auto" w:fill="D9E2F3"/>
            <w:vAlign w:val="center"/>
          </w:tcPr>
          <w:p w14:paraId="5B1A9D30" w14:textId="77777777" w:rsidR="00990B14" w:rsidRDefault="00000000">
            <w:pPr>
              <w:spacing w:before="20" w:after="20"/>
              <w:jc w:val="both"/>
            </w:pPr>
            <w:r>
              <w:rPr>
                <w:sz w:val="18"/>
                <w:szCs w:val="18"/>
              </w:rPr>
              <w:t>Identifica las entidades emisoras locales e internacionales.</w:t>
            </w:r>
          </w:p>
        </w:tc>
        <w:tc>
          <w:tcPr>
            <w:tcW w:w="1909" w:type="dxa"/>
            <w:shd w:val="clear" w:color="auto" w:fill="D9E2F3"/>
            <w:vAlign w:val="center"/>
          </w:tcPr>
          <w:p w14:paraId="270D170D" w14:textId="77777777" w:rsidR="00990B14" w:rsidRDefault="00000000">
            <w:pPr>
              <w:spacing w:before="20" w:after="20"/>
              <w:jc w:val="both"/>
            </w:pPr>
            <w:r>
              <w:rPr>
                <w:sz w:val="18"/>
                <w:szCs w:val="18"/>
              </w:rPr>
              <w:t>Explica la función de cada entidad.</w:t>
            </w:r>
          </w:p>
        </w:tc>
      </w:tr>
      <w:tr w:rsidR="00990B14" w14:paraId="7308BE62" w14:textId="77777777">
        <w:trPr>
          <w:cantSplit/>
          <w:jc w:val="center"/>
        </w:trPr>
        <w:tc>
          <w:tcPr>
            <w:tcW w:w="1864" w:type="dxa"/>
            <w:vMerge/>
            <w:shd w:val="clear" w:color="auto" w:fill="4472C4"/>
            <w:vAlign w:val="center"/>
          </w:tcPr>
          <w:p w14:paraId="1B383194" w14:textId="77777777" w:rsidR="00990B14" w:rsidRDefault="00990B14">
            <w:pPr>
              <w:spacing w:before="20" w:after="20"/>
            </w:pPr>
          </w:p>
        </w:tc>
        <w:tc>
          <w:tcPr>
            <w:tcW w:w="1861" w:type="dxa"/>
            <w:shd w:val="clear" w:color="auto" w:fill="D9E2F3"/>
            <w:vAlign w:val="center"/>
          </w:tcPr>
          <w:p w14:paraId="55D2B07D" w14:textId="77777777" w:rsidR="00990B14" w:rsidRDefault="00000000">
            <w:pPr>
              <w:spacing w:before="20" w:after="20"/>
              <w:jc w:val="both"/>
            </w:pPr>
            <w:r>
              <w:rPr>
                <w:sz w:val="18"/>
                <w:szCs w:val="18"/>
              </w:rPr>
              <w:t>Fundación IFRS y el CAUB</w:t>
            </w:r>
          </w:p>
        </w:tc>
        <w:tc>
          <w:tcPr>
            <w:tcW w:w="1861" w:type="dxa"/>
            <w:shd w:val="clear" w:color="auto" w:fill="D9E2F3"/>
            <w:vAlign w:val="center"/>
          </w:tcPr>
          <w:p w14:paraId="0EC98E52" w14:textId="77777777" w:rsidR="00990B14" w:rsidRDefault="00000000">
            <w:pPr>
              <w:spacing w:before="20" w:after="20"/>
              <w:jc w:val="both"/>
            </w:pPr>
            <w:r>
              <w:rPr>
                <w:sz w:val="18"/>
                <w:szCs w:val="18"/>
              </w:rPr>
              <w:t>No describe su estructura.</w:t>
            </w:r>
          </w:p>
        </w:tc>
        <w:tc>
          <w:tcPr>
            <w:tcW w:w="1910" w:type="dxa"/>
            <w:shd w:val="clear" w:color="auto" w:fill="D9E2F3"/>
            <w:vAlign w:val="center"/>
          </w:tcPr>
          <w:p w14:paraId="65658A45" w14:textId="77777777" w:rsidR="00990B14" w:rsidRDefault="00000000">
            <w:pPr>
              <w:spacing w:before="20" w:after="20"/>
              <w:jc w:val="both"/>
            </w:pPr>
            <w:r>
              <w:rPr>
                <w:sz w:val="18"/>
                <w:szCs w:val="18"/>
              </w:rPr>
              <w:t>Describe la estructura de la Fundación IFRS, el IASB y el ISSB; así como del CAUB y el CTNAC</w:t>
            </w:r>
          </w:p>
        </w:tc>
        <w:tc>
          <w:tcPr>
            <w:tcW w:w="1909" w:type="dxa"/>
            <w:shd w:val="clear" w:color="auto" w:fill="D9E2F3"/>
            <w:vAlign w:val="center"/>
          </w:tcPr>
          <w:p w14:paraId="037678E6" w14:textId="77777777" w:rsidR="00990B14" w:rsidRDefault="00000000">
            <w:pPr>
              <w:spacing w:before="20" w:after="20"/>
              <w:jc w:val="both"/>
            </w:pPr>
            <w:r>
              <w:rPr>
                <w:sz w:val="18"/>
                <w:szCs w:val="18"/>
              </w:rPr>
              <w:t>Relaciona la estructura con el proceso de emisión de normas.</w:t>
            </w:r>
          </w:p>
        </w:tc>
      </w:tr>
      <w:tr w:rsidR="00990B14" w14:paraId="6A460A73" w14:textId="77777777">
        <w:trPr>
          <w:cantSplit/>
          <w:jc w:val="center"/>
        </w:trPr>
        <w:tc>
          <w:tcPr>
            <w:tcW w:w="1864" w:type="dxa"/>
            <w:vMerge/>
            <w:shd w:val="clear" w:color="auto" w:fill="4472C4"/>
            <w:vAlign w:val="center"/>
          </w:tcPr>
          <w:p w14:paraId="317CA399" w14:textId="77777777" w:rsidR="00990B14" w:rsidRDefault="00990B14">
            <w:pPr>
              <w:spacing w:before="20" w:after="20"/>
            </w:pPr>
          </w:p>
        </w:tc>
        <w:tc>
          <w:tcPr>
            <w:tcW w:w="1861" w:type="dxa"/>
            <w:shd w:val="clear" w:color="auto" w:fill="D9E2F3"/>
            <w:vAlign w:val="center"/>
          </w:tcPr>
          <w:p w14:paraId="159CF0F0" w14:textId="77777777" w:rsidR="00990B14" w:rsidRDefault="00000000">
            <w:pPr>
              <w:spacing w:before="20" w:after="20"/>
              <w:jc w:val="both"/>
            </w:pPr>
            <w:r>
              <w:rPr>
                <w:sz w:val="18"/>
                <w:szCs w:val="18"/>
              </w:rPr>
              <w:t>Presentación</w:t>
            </w:r>
          </w:p>
        </w:tc>
        <w:tc>
          <w:tcPr>
            <w:tcW w:w="1861" w:type="dxa"/>
            <w:shd w:val="clear" w:color="auto" w:fill="D9E2F3"/>
            <w:vAlign w:val="center"/>
          </w:tcPr>
          <w:p w14:paraId="40D3DE2F" w14:textId="77777777" w:rsidR="00990B14" w:rsidRDefault="00000000">
            <w:pPr>
              <w:spacing w:before="20" w:after="20"/>
              <w:jc w:val="both"/>
            </w:pPr>
            <w:r>
              <w:rPr>
                <w:sz w:val="18"/>
                <w:szCs w:val="18"/>
              </w:rPr>
              <w:t>El esquema es desordenado.</w:t>
            </w:r>
          </w:p>
        </w:tc>
        <w:tc>
          <w:tcPr>
            <w:tcW w:w="1910" w:type="dxa"/>
            <w:shd w:val="clear" w:color="auto" w:fill="D9E2F3"/>
            <w:vAlign w:val="center"/>
          </w:tcPr>
          <w:p w14:paraId="1AFF975B" w14:textId="77777777" w:rsidR="00990B14" w:rsidRDefault="00000000">
            <w:pPr>
              <w:spacing w:before="20" w:after="20"/>
              <w:jc w:val="both"/>
            </w:pPr>
            <w:r>
              <w:rPr>
                <w:sz w:val="18"/>
                <w:szCs w:val="18"/>
              </w:rPr>
              <w:t>El esquema es claro.</w:t>
            </w:r>
          </w:p>
        </w:tc>
        <w:tc>
          <w:tcPr>
            <w:tcW w:w="1909" w:type="dxa"/>
            <w:shd w:val="clear" w:color="auto" w:fill="D9E2F3"/>
            <w:vAlign w:val="center"/>
          </w:tcPr>
          <w:p w14:paraId="5A5E2F36" w14:textId="77777777" w:rsidR="00990B14" w:rsidRDefault="00000000">
            <w:pPr>
              <w:spacing w:before="20" w:after="20"/>
              <w:jc w:val="both"/>
            </w:pPr>
            <w:r>
              <w:rPr>
                <w:sz w:val="18"/>
                <w:szCs w:val="18"/>
              </w:rPr>
              <w:t>El esquema muestra las relaciones entre las entidades.</w:t>
            </w:r>
          </w:p>
        </w:tc>
      </w:tr>
      <w:tr w:rsidR="00990B14" w14:paraId="62AC52BC" w14:textId="77777777">
        <w:trPr>
          <w:cantSplit/>
          <w:jc w:val="center"/>
        </w:trPr>
        <w:tc>
          <w:tcPr>
            <w:tcW w:w="1864" w:type="dxa"/>
            <w:vMerge/>
            <w:shd w:val="clear" w:color="auto" w:fill="4472C4"/>
            <w:vAlign w:val="center"/>
          </w:tcPr>
          <w:p w14:paraId="1C0BC3D5" w14:textId="77777777" w:rsidR="00990B14" w:rsidRDefault="00990B14">
            <w:pPr>
              <w:spacing w:before="20" w:after="20"/>
            </w:pPr>
          </w:p>
        </w:tc>
        <w:tc>
          <w:tcPr>
            <w:tcW w:w="5632" w:type="dxa"/>
            <w:gridSpan w:val="3"/>
            <w:shd w:val="clear" w:color="auto" w:fill="D9E2F3"/>
            <w:vAlign w:val="center"/>
          </w:tcPr>
          <w:p w14:paraId="0A6484FE" w14:textId="77777777" w:rsidR="00990B14" w:rsidRDefault="00000000">
            <w:pPr>
              <w:keepNext/>
              <w:spacing w:before="20" w:after="20"/>
              <w:jc w:val="both"/>
            </w:pPr>
            <w:r>
              <w:rPr>
                <w:b/>
                <w:bCs/>
                <w:i/>
                <w:iCs/>
                <w:sz w:val="18"/>
                <w:szCs w:val="18"/>
              </w:rPr>
              <w:t xml:space="preserve">Producto 6: </w:t>
            </w:r>
            <w:r>
              <w:rPr>
                <w:sz w:val="18"/>
                <w:szCs w:val="18"/>
              </w:rPr>
              <w:t>Informe del proceso de armonización contable</w:t>
            </w:r>
          </w:p>
        </w:tc>
        <w:tc>
          <w:tcPr>
            <w:tcW w:w="1909" w:type="dxa"/>
            <w:shd w:val="clear" w:color="auto" w:fill="D9E2F3"/>
            <w:vAlign w:val="center"/>
          </w:tcPr>
          <w:p w14:paraId="4D4ECA1B" w14:textId="77777777" w:rsidR="00990B14" w:rsidRDefault="00000000">
            <w:pPr>
              <w:spacing w:before="20" w:after="20"/>
              <w:jc w:val="center"/>
            </w:pPr>
            <w:r>
              <w:rPr>
                <w:b/>
                <w:bCs/>
                <w:sz w:val="18"/>
                <w:szCs w:val="18"/>
              </w:rPr>
              <w:t>3%</w:t>
            </w:r>
          </w:p>
        </w:tc>
      </w:tr>
      <w:tr w:rsidR="00990B14" w14:paraId="7219FE50" w14:textId="77777777">
        <w:trPr>
          <w:cantSplit/>
          <w:jc w:val="center"/>
        </w:trPr>
        <w:tc>
          <w:tcPr>
            <w:tcW w:w="1864" w:type="dxa"/>
            <w:vMerge/>
            <w:shd w:val="clear" w:color="auto" w:fill="4472C4"/>
            <w:vAlign w:val="center"/>
          </w:tcPr>
          <w:p w14:paraId="07EEE9D7" w14:textId="77777777" w:rsidR="00990B14" w:rsidRDefault="00990B14">
            <w:pPr>
              <w:spacing w:before="20" w:after="20"/>
            </w:pPr>
          </w:p>
        </w:tc>
        <w:tc>
          <w:tcPr>
            <w:tcW w:w="1861" w:type="dxa"/>
            <w:shd w:val="clear" w:color="auto" w:fill="4472C4"/>
            <w:vAlign w:val="center"/>
          </w:tcPr>
          <w:p w14:paraId="738D9406" w14:textId="77777777" w:rsidR="00990B14" w:rsidRDefault="00000000">
            <w:pPr>
              <w:keepNext/>
              <w:spacing w:before="20" w:after="20"/>
              <w:jc w:val="center"/>
            </w:pPr>
            <w:r>
              <w:rPr>
                <w:b/>
                <w:bCs/>
                <w:i/>
                <w:iCs/>
                <w:color w:val="FFFFFF"/>
                <w:sz w:val="18"/>
                <w:szCs w:val="18"/>
              </w:rPr>
              <w:t>Criterio</w:t>
            </w:r>
          </w:p>
        </w:tc>
        <w:tc>
          <w:tcPr>
            <w:tcW w:w="1861" w:type="dxa"/>
            <w:shd w:val="clear" w:color="auto" w:fill="4472C4"/>
            <w:vAlign w:val="center"/>
          </w:tcPr>
          <w:p w14:paraId="1974AFDB"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2C8B19D6" w14:textId="77777777" w:rsidR="00990B14" w:rsidRDefault="00000000">
            <w:pPr>
              <w:keepNext/>
              <w:spacing w:before="20" w:after="20"/>
              <w:jc w:val="center"/>
            </w:pPr>
            <w:r>
              <w:rPr>
                <w:b/>
                <w:bCs/>
                <w:i/>
                <w:iCs/>
                <w:color w:val="FFFFFF"/>
                <w:sz w:val="18"/>
                <w:szCs w:val="18"/>
              </w:rPr>
              <w:t>Suficiente (51–80)</w:t>
            </w:r>
          </w:p>
        </w:tc>
        <w:tc>
          <w:tcPr>
            <w:tcW w:w="1909" w:type="dxa"/>
            <w:shd w:val="clear" w:color="auto" w:fill="4472C4"/>
            <w:vAlign w:val="center"/>
          </w:tcPr>
          <w:p w14:paraId="6F6ADFD6" w14:textId="77777777" w:rsidR="00990B14" w:rsidRDefault="00000000">
            <w:pPr>
              <w:keepNext/>
              <w:spacing w:before="20" w:after="20"/>
              <w:jc w:val="center"/>
            </w:pPr>
            <w:r>
              <w:rPr>
                <w:b/>
                <w:bCs/>
                <w:i/>
                <w:iCs/>
                <w:color w:val="FFFFFF"/>
                <w:sz w:val="18"/>
                <w:szCs w:val="18"/>
              </w:rPr>
              <w:t>Destacado (81–100)</w:t>
            </w:r>
          </w:p>
        </w:tc>
      </w:tr>
      <w:tr w:rsidR="00990B14" w14:paraId="57AA1F82" w14:textId="77777777">
        <w:trPr>
          <w:cantSplit/>
          <w:jc w:val="center"/>
        </w:trPr>
        <w:tc>
          <w:tcPr>
            <w:tcW w:w="1864" w:type="dxa"/>
            <w:vMerge/>
            <w:shd w:val="clear" w:color="auto" w:fill="4472C4"/>
            <w:vAlign w:val="center"/>
          </w:tcPr>
          <w:p w14:paraId="6A3E40B7" w14:textId="77777777" w:rsidR="00990B14" w:rsidRDefault="00990B14">
            <w:pPr>
              <w:spacing w:before="20" w:after="20"/>
            </w:pPr>
          </w:p>
        </w:tc>
        <w:tc>
          <w:tcPr>
            <w:tcW w:w="1861" w:type="dxa"/>
            <w:shd w:val="clear" w:color="auto" w:fill="D9E2F3"/>
            <w:vAlign w:val="center"/>
          </w:tcPr>
          <w:p w14:paraId="71459DD8" w14:textId="77777777" w:rsidR="00990B14" w:rsidRDefault="00000000">
            <w:pPr>
              <w:spacing w:before="20" w:after="20"/>
              <w:jc w:val="both"/>
            </w:pPr>
            <w:r>
              <w:rPr>
                <w:sz w:val="18"/>
                <w:szCs w:val="18"/>
              </w:rPr>
              <w:t>Proceso de armonización</w:t>
            </w:r>
          </w:p>
        </w:tc>
        <w:tc>
          <w:tcPr>
            <w:tcW w:w="1861" w:type="dxa"/>
            <w:shd w:val="clear" w:color="auto" w:fill="D9E2F3"/>
            <w:vAlign w:val="center"/>
          </w:tcPr>
          <w:p w14:paraId="16C560DB" w14:textId="77777777" w:rsidR="00990B14" w:rsidRDefault="00000000">
            <w:pPr>
              <w:spacing w:before="20" w:after="20"/>
              <w:jc w:val="both"/>
            </w:pPr>
            <w:r>
              <w:rPr>
                <w:sz w:val="18"/>
                <w:szCs w:val="18"/>
              </w:rPr>
              <w:t>No describe el proceso.</w:t>
            </w:r>
          </w:p>
        </w:tc>
        <w:tc>
          <w:tcPr>
            <w:tcW w:w="1910" w:type="dxa"/>
            <w:shd w:val="clear" w:color="auto" w:fill="D9E2F3"/>
            <w:vAlign w:val="center"/>
          </w:tcPr>
          <w:p w14:paraId="2D216EED" w14:textId="77777777" w:rsidR="00990B14" w:rsidRDefault="00000000">
            <w:pPr>
              <w:spacing w:before="20" w:after="20"/>
              <w:jc w:val="both"/>
            </w:pPr>
            <w:r>
              <w:rPr>
                <w:sz w:val="18"/>
                <w:szCs w:val="18"/>
              </w:rPr>
              <w:t>Describe el proceso de armonización en Bolivia.</w:t>
            </w:r>
          </w:p>
        </w:tc>
        <w:tc>
          <w:tcPr>
            <w:tcW w:w="1909" w:type="dxa"/>
            <w:shd w:val="clear" w:color="auto" w:fill="D9E2F3"/>
            <w:vAlign w:val="center"/>
          </w:tcPr>
          <w:p w14:paraId="76A94ADE" w14:textId="77777777" w:rsidR="00990B14" w:rsidRDefault="00000000">
            <w:pPr>
              <w:spacing w:before="20" w:after="20"/>
              <w:jc w:val="both"/>
            </w:pPr>
            <w:r>
              <w:rPr>
                <w:sz w:val="18"/>
                <w:szCs w:val="18"/>
              </w:rPr>
              <w:t>Identifica sus avances y pendientes.</w:t>
            </w:r>
          </w:p>
        </w:tc>
      </w:tr>
      <w:tr w:rsidR="00990B14" w14:paraId="0CB8A74F" w14:textId="77777777">
        <w:trPr>
          <w:cantSplit/>
          <w:jc w:val="center"/>
        </w:trPr>
        <w:tc>
          <w:tcPr>
            <w:tcW w:w="1864" w:type="dxa"/>
            <w:vMerge/>
            <w:shd w:val="clear" w:color="auto" w:fill="4472C4"/>
            <w:vAlign w:val="center"/>
          </w:tcPr>
          <w:p w14:paraId="3487979E" w14:textId="77777777" w:rsidR="00990B14" w:rsidRDefault="00990B14">
            <w:pPr>
              <w:spacing w:before="20" w:after="20"/>
            </w:pPr>
          </w:p>
        </w:tc>
        <w:tc>
          <w:tcPr>
            <w:tcW w:w="1861" w:type="dxa"/>
            <w:shd w:val="clear" w:color="auto" w:fill="D9E2F3"/>
            <w:vAlign w:val="center"/>
          </w:tcPr>
          <w:p w14:paraId="50D0569F" w14:textId="77777777" w:rsidR="00990B14" w:rsidRDefault="00000000">
            <w:pPr>
              <w:spacing w:before="20" w:after="20"/>
              <w:jc w:val="both"/>
            </w:pPr>
            <w:r>
              <w:rPr>
                <w:sz w:val="18"/>
                <w:szCs w:val="18"/>
              </w:rPr>
              <w:t>Jerarquía de fuentes</w:t>
            </w:r>
          </w:p>
        </w:tc>
        <w:tc>
          <w:tcPr>
            <w:tcW w:w="1861" w:type="dxa"/>
            <w:shd w:val="clear" w:color="auto" w:fill="D9E2F3"/>
            <w:vAlign w:val="center"/>
          </w:tcPr>
          <w:p w14:paraId="639803E0" w14:textId="77777777" w:rsidR="00990B14" w:rsidRDefault="00000000">
            <w:pPr>
              <w:spacing w:before="20" w:after="20"/>
              <w:jc w:val="both"/>
            </w:pPr>
            <w:r>
              <w:rPr>
                <w:sz w:val="18"/>
                <w:szCs w:val="18"/>
              </w:rPr>
              <w:t>No la explica.</w:t>
            </w:r>
          </w:p>
        </w:tc>
        <w:tc>
          <w:tcPr>
            <w:tcW w:w="1910" w:type="dxa"/>
            <w:shd w:val="clear" w:color="auto" w:fill="D9E2F3"/>
            <w:vAlign w:val="center"/>
          </w:tcPr>
          <w:p w14:paraId="59D99AB7" w14:textId="77777777" w:rsidR="00990B14" w:rsidRDefault="00000000">
            <w:pPr>
              <w:spacing w:before="20" w:after="20"/>
              <w:jc w:val="both"/>
            </w:pPr>
            <w:r>
              <w:rPr>
                <w:sz w:val="18"/>
                <w:szCs w:val="18"/>
              </w:rPr>
              <w:t>Explica la jerarquía de fuentes alternativas.</w:t>
            </w:r>
          </w:p>
        </w:tc>
        <w:tc>
          <w:tcPr>
            <w:tcW w:w="1909" w:type="dxa"/>
            <w:shd w:val="clear" w:color="auto" w:fill="D9E2F3"/>
            <w:vAlign w:val="center"/>
          </w:tcPr>
          <w:p w14:paraId="0C113F5E" w14:textId="77777777" w:rsidR="00990B14" w:rsidRDefault="00000000">
            <w:pPr>
              <w:spacing w:before="20" w:after="20"/>
              <w:jc w:val="both"/>
            </w:pPr>
            <w:r>
              <w:rPr>
                <w:sz w:val="18"/>
                <w:szCs w:val="18"/>
              </w:rPr>
              <w:t>La aplica a una situación concreta.</w:t>
            </w:r>
          </w:p>
        </w:tc>
      </w:tr>
      <w:tr w:rsidR="00990B14" w14:paraId="04A48014" w14:textId="77777777">
        <w:trPr>
          <w:cantSplit/>
          <w:jc w:val="center"/>
        </w:trPr>
        <w:tc>
          <w:tcPr>
            <w:tcW w:w="1864" w:type="dxa"/>
            <w:vMerge/>
            <w:shd w:val="clear" w:color="auto" w:fill="4472C4"/>
            <w:vAlign w:val="center"/>
          </w:tcPr>
          <w:p w14:paraId="22F730FB" w14:textId="77777777" w:rsidR="00990B14" w:rsidRDefault="00990B14">
            <w:pPr>
              <w:spacing w:before="20" w:after="20"/>
            </w:pPr>
          </w:p>
        </w:tc>
        <w:tc>
          <w:tcPr>
            <w:tcW w:w="1861" w:type="dxa"/>
            <w:shd w:val="clear" w:color="auto" w:fill="D9E2F3"/>
            <w:vAlign w:val="center"/>
          </w:tcPr>
          <w:p w14:paraId="001ED844" w14:textId="77777777" w:rsidR="00990B14" w:rsidRDefault="00000000">
            <w:pPr>
              <w:spacing w:before="20" w:after="20"/>
              <w:jc w:val="both"/>
            </w:pPr>
            <w:r>
              <w:rPr>
                <w:sz w:val="18"/>
                <w:szCs w:val="18"/>
              </w:rPr>
              <w:t>Normas legales</w:t>
            </w:r>
          </w:p>
        </w:tc>
        <w:tc>
          <w:tcPr>
            <w:tcW w:w="1861" w:type="dxa"/>
            <w:shd w:val="clear" w:color="auto" w:fill="D9E2F3"/>
            <w:vAlign w:val="center"/>
          </w:tcPr>
          <w:p w14:paraId="3A5B5C54" w14:textId="77777777" w:rsidR="00990B14" w:rsidRDefault="00000000">
            <w:pPr>
              <w:spacing w:before="20" w:after="20"/>
              <w:jc w:val="both"/>
            </w:pPr>
            <w:r>
              <w:rPr>
                <w:sz w:val="18"/>
                <w:szCs w:val="18"/>
              </w:rPr>
              <w:t>Omite las normas legales.</w:t>
            </w:r>
          </w:p>
        </w:tc>
        <w:tc>
          <w:tcPr>
            <w:tcW w:w="1910" w:type="dxa"/>
            <w:shd w:val="clear" w:color="auto" w:fill="D9E2F3"/>
            <w:vAlign w:val="center"/>
          </w:tcPr>
          <w:p w14:paraId="5DF1E220" w14:textId="77777777" w:rsidR="00990B14" w:rsidRDefault="00000000">
            <w:pPr>
              <w:spacing w:before="20" w:after="20"/>
              <w:jc w:val="both"/>
            </w:pPr>
            <w:r>
              <w:rPr>
                <w:sz w:val="18"/>
                <w:szCs w:val="18"/>
              </w:rPr>
              <w:t>Considera las normas legales vigentes.</w:t>
            </w:r>
          </w:p>
        </w:tc>
        <w:tc>
          <w:tcPr>
            <w:tcW w:w="1909" w:type="dxa"/>
            <w:shd w:val="clear" w:color="auto" w:fill="D9E2F3"/>
            <w:vAlign w:val="center"/>
          </w:tcPr>
          <w:p w14:paraId="237CC529" w14:textId="77777777" w:rsidR="00990B14" w:rsidRDefault="00000000">
            <w:pPr>
              <w:spacing w:before="20" w:after="20"/>
              <w:jc w:val="both"/>
            </w:pPr>
            <w:r>
              <w:rPr>
                <w:sz w:val="18"/>
                <w:szCs w:val="18"/>
              </w:rPr>
              <w:t>Analiza su relación con las normas contables.</w:t>
            </w:r>
          </w:p>
        </w:tc>
      </w:tr>
      <w:tr w:rsidR="00990B14" w14:paraId="2CB27710" w14:textId="77777777">
        <w:trPr>
          <w:cantSplit/>
          <w:jc w:val="center"/>
        </w:trPr>
        <w:tc>
          <w:tcPr>
            <w:tcW w:w="1864" w:type="dxa"/>
            <w:vMerge/>
            <w:shd w:val="clear" w:color="auto" w:fill="4472C4"/>
            <w:vAlign w:val="center"/>
          </w:tcPr>
          <w:p w14:paraId="35D22C00" w14:textId="77777777" w:rsidR="00990B14" w:rsidRDefault="00990B14">
            <w:pPr>
              <w:spacing w:before="20" w:after="20"/>
            </w:pPr>
          </w:p>
        </w:tc>
        <w:tc>
          <w:tcPr>
            <w:tcW w:w="5632" w:type="dxa"/>
            <w:gridSpan w:val="3"/>
            <w:shd w:val="clear" w:color="auto" w:fill="D9E2F3"/>
            <w:vAlign w:val="center"/>
          </w:tcPr>
          <w:p w14:paraId="5AEEC055" w14:textId="77777777" w:rsidR="00990B14" w:rsidRDefault="00000000">
            <w:pPr>
              <w:keepNext/>
              <w:spacing w:before="20" w:after="20"/>
              <w:jc w:val="both"/>
            </w:pPr>
            <w:r>
              <w:rPr>
                <w:b/>
                <w:bCs/>
                <w:i/>
                <w:iCs/>
                <w:sz w:val="18"/>
                <w:szCs w:val="18"/>
              </w:rPr>
              <w:t xml:space="preserve">Producto 7: </w:t>
            </w:r>
            <w:r>
              <w:rPr>
                <w:sz w:val="18"/>
                <w:szCs w:val="18"/>
              </w:rPr>
              <w:t>Cuadro comparativo NIIF para las PYMES y las Normas NIIF de Contabilidad</w:t>
            </w:r>
          </w:p>
        </w:tc>
        <w:tc>
          <w:tcPr>
            <w:tcW w:w="1909" w:type="dxa"/>
            <w:shd w:val="clear" w:color="auto" w:fill="D9E2F3"/>
            <w:vAlign w:val="center"/>
          </w:tcPr>
          <w:p w14:paraId="14556FE6" w14:textId="77777777" w:rsidR="00990B14" w:rsidRDefault="00000000">
            <w:pPr>
              <w:spacing w:before="20" w:after="20"/>
              <w:jc w:val="center"/>
            </w:pPr>
            <w:r>
              <w:rPr>
                <w:b/>
                <w:bCs/>
                <w:sz w:val="18"/>
                <w:szCs w:val="18"/>
              </w:rPr>
              <w:t>2%</w:t>
            </w:r>
          </w:p>
        </w:tc>
      </w:tr>
      <w:tr w:rsidR="00990B14" w14:paraId="334608AA" w14:textId="77777777">
        <w:trPr>
          <w:cantSplit/>
          <w:jc w:val="center"/>
        </w:trPr>
        <w:tc>
          <w:tcPr>
            <w:tcW w:w="1864" w:type="dxa"/>
            <w:vMerge/>
            <w:shd w:val="clear" w:color="auto" w:fill="4472C4"/>
            <w:vAlign w:val="center"/>
          </w:tcPr>
          <w:p w14:paraId="558E769B" w14:textId="77777777" w:rsidR="00990B14" w:rsidRDefault="00990B14">
            <w:pPr>
              <w:spacing w:before="20" w:after="20"/>
            </w:pPr>
          </w:p>
        </w:tc>
        <w:tc>
          <w:tcPr>
            <w:tcW w:w="1861" w:type="dxa"/>
            <w:shd w:val="clear" w:color="auto" w:fill="4472C4"/>
            <w:vAlign w:val="center"/>
          </w:tcPr>
          <w:p w14:paraId="5568F153" w14:textId="77777777" w:rsidR="00990B14" w:rsidRDefault="00000000">
            <w:pPr>
              <w:keepNext/>
              <w:spacing w:before="20" w:after="20"/>
              <w:jc w:val="center"/>
            </w:pPr>
            <w:r>
              <w:rPr>
                <w:b/>
                <w:bCs/>
                <w:i/>
                <w:iCs/>
                <w:color w:val="FFFFFF"/>
                <w:sz w:val="18"/>
                <w:szCs w:val="18"/>
              </w:rPr>
              <w:t>Criterio</w:t>
            </w:r>
          </w:p>
        </w:tc>
        <w:tc>
          <w:tcPr>
            <w:tcW w:w="1861" w:type="dxa"/>
            <w:shd w:val="clear" w:color="auto" w:fill="4472C4"/>
            <w:vAlign w:val="center"/>
          </w:tcPr>
          <w:p w14:paraId="35FECEE6"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0B542DEA" w14:textId="77777777" w:rsidR="00990B14" w:rsidRDefault="00000000">
            <w:pPr>
              <w:keepNext/>
              <w:spacing w:before="20" w:after="20"/>
              <w:jc w:val="center"/>
            </w:pPr>
            <w:r>
              <w:rPr>
                <w:b/>
                <w:bCs/>
                <w:i/>
                <w:iCs/>
                <w:color w:val="FFFFFF"/>
                <w:sz w:val="18"/>
                <w:szCs w:val="18"/>
              </w:rPr>
              <w:t>Suficiente (51–80)</w:t>
            </w:r>
          </w:p>
        </w:tc>
        <w:tc>
          <w:tcPr>
            <w:tcW w:w="1909" w:type="dxa"/>
            <w:shd w:val="clear" w:color="auto" w:fill="4472C4"/>
            <w:vAlign w:val="center"/>
          </w:tcPr>
          <w:p w14:paraId="3772341D" w14:textId="77777777" w:rsidR="00990B14" w:rsidRDefault="00000000">
            <w:pPr>
              <w:keepNext/>
              <w:spacing w:before="20" w:after="20"/>
              <w:jc w:val="center"/>
            </w:pPr>
            <w:r>
              <w:rPr>
                <w:b/>
                <w:bCs/>
                <w:i/>
                <w:iCs/>
                <w:color w:val="FFFFFF"/>
                <w:sz w:val="18"/>
                <w:szCs w:val="18"/>
              </w:rPr>
              <w:t>Destacado (81–100)</w:t>
            </w:r>
          </w:p>
        </w:tc>
      </w:tr>
      <w:tr w:rsidR="00990B14" w14:paraId="43E3DB6E" w14:textId="77777777">
        <w:trPr>
          <w:cantSplit/>
          <w:jc w:val="center"/>
        </w:trPr>
        <w:tc>
          <w:tcPr>
            <w:tcW w:w="1864" w:type="dxa"/>
            <w:vMerge/>
            <w:shd w:val="clear" w:color="auto" w:fill="4472C4"/>
            <w:vAlign w:val="center"/>
          </w:tcPr>
          <w:p w14:paraId="20C72A37" w14:textId="77777777" w:rsidR="00990B14" w:rsidRDefault="00990B14">
            <w:pPr>
              <w:spacing w:before="20" w:after="20"/>
            </w:pPr>
          </w:p>
        </w:tc>
        <w:tc>
          <w:tcPr>
            <w:tcW w:w="1861" w:type="dxa"/>
            <w:shd w:val="clear" w:color="auto" w:fill="D9E2F3"/>
            <w:vAlign w:val="center"/>
          </w:tcPr>
          <w:p w14:paraId="13AB4C43" w14:textId="77777777" w:rsidR="00990B14" w:rsidRDefault="00000000">
            <w:pPr>
              <w:spacing w:before="20" w:after="20"/>
              <w:jc w:val="both"/>
            </w:pPr>
            <w:r>
              <w:rPr>
                <w:sz w:val="18"/>
                <w:szCs w:val="18"/>
              </w:rPr>
              <w:t>Diferencias</w:t>
            </w:r>
          </w:p>
        </w:tc>
        <w:tc>
          <w:tcPr>
            <w:tcW w:w="1861" w:type="dxa"/>
            <w:shd w:val="clear" w:color="auto" w:fill="D9E2F3"/>
            <w:vAlign w:val="center"/>
          </w:tcPr>
          <w:p w14:paraId="2D99565F" w14:textId="77777777" w:rsidR="00990B14" w:rsidRDefault="00000000">
            <w:pPr>
              <w:spacing w:before="20" w:after="20"/>
              <w:jc w:val="both"/>
            </w:pPr>
            <w:r>
              <w:rPr>
                <w:sz w:val="18"/>
                <w:szCs w:val="18"/>
              </w:rPr>
              <w:t>Presenta menos de cinco diferencias.</w:t>
            </w:r>
          </w:p>
        </w:tc>
        <w:tc>
          <w:tcPr>
            <w:tcW w:w="1910" w:type="dxa"/>
            <w:shd w:val="clear" w:color="auto" w:fill="D9E2F3"/>
            <w:vAlign w:val="center"/>
          </w:tcPr>
          <w:p w14:paraId="6E933E8B" w14:textId="77777777" w:rsidR="00990B14" w:rsidRDefault="00000000">
            <w:pPr>
              <w:spacing w:before="20" w:after="20"/>
              <w:jc w:val="both"/>
            </w:pPr>
            <w:r>
              <w:rPr>
                <w:sz w:val="18"/>
                <w:szCs w:val="18"/>
              </w:rPr>
              <w:t>Presenta las principales diferencias.</w:t>
            </w:r>
          </w:p>
        </w:tc>
        <w:tc>
          <w:tcPr>
            <w:tcW w:w="1909" w:type="dxa"/>
            <w:shd w:val="clear" w:color="auto" w:fill="D9E2F3"/>
            <w:vAlign w:val="center"/>
          </w:tcPr>
          <w:p w14:paraId="21D35801" w14:textId="77777777" w:rsidR="00990B14" w:rsidRDefault="00000000">
            <w:pPr>
              <w:spacing w:before="20" w:after="20"/>
              <w:jc w:val="both"/>
            </w:pPr>
            <w:r>
              <w:rPr>
                <w:sz w:val="18"/>
                <w:szCs w:val="18"/>
              </w:rPr>
              <w:t>Explica el efecto de cada diferencia en los estados financieros.</w:t>
            </w:r>
          </w:p>
        </w:tc>
      </w:tr>
      <w:tr w:rsidR="00990B14" w14:paraId="4AA44A03" w14:textId="77777777">
        <w:trPr>
          <w:cantSplit/>
          <w:jc w:val="center"/>
        </w:trPr>
        <w:tc>
          <w:tcPr>
            <w:tcW w:w="1864" w:type="dxa"/>
            <w:vMerge/>
            <w:shd w:val="clear" w:color="auto" w:fill="4472C4"/>
            <w:vAlign w:val="center"/>
          </w:tcPr>
          <w:p w14:paraId="1765E63A" w14:textId="77777777" w:rsidR="00990B14" w:rsidRDefault="00990B14">
            <w:pPr>
              <w:spacing w:before="20" w:after="20"/>
            </w:pPr>
          </w:p>
        </w:tc>
        <w:tc>
          <w:tcPr>
            <w:tcW w:w="1861" w:type="dxa"/>
            <w:shd w:val="clear" w:color="auto" w:fill="D9E2F3"/>
            <w:vAlign w:val="center"/>
          </w:tcPr>
          <w:p w14:paraId="3B3DFBB0" w14:textId="77777777" w:rsidR="00990B14" w:rsidRDefault="00000000">
            <w:pPr>
              <w:spacing w:before="20" w:after="20"/>
              <w:jc w:val="both"/>
            </w:pPr>
            <w:r>
              <w:rPr>
                <w:sz w:val="18"/>
                <w:szCs w:val="18"/>
              </w:rPr>
              <w:t>Secciones</w:t>
            </w:r>
          </w:p>
        </w:tc>
        <w:tc>
          <w:tcPr>
            <w:tcW w:w="1861" w:type="dxa"/>
            <w:shd w:val="clear" w:color="auto" w:fill="D9E2F3"/>
            <w:vAlign w:val="center"/>
          </w:tcPr>
          <w:p w14:paraId="53ED66C1" w14:textId="77777777" w:rsidR="00990B14" w:rsidRDefault="00000000">
            <w:pPr>
              <w:spacing w:before="20" w:after="20"/>
              <w:jc w:val="both"/>
            </w:pPr>
            <w:r>
              <w:rPr>
                <w:sz w:val="18"/>
                <w:szCs w:val="18"/>
              </w:rPr>
              <w:t>No relaciona las secciones.</w:t>
            </w:r>
          </w:p>
        </w:tc>
        <w:tc>
          <w:tcPr>
            <w:tcW w:w="1910" w:type="dxa"/>
            <w:shd w:val="clear" w:color="auto" w:fill="D9E2F3"/>
            <w:vAlign w:val="center"/>
          </w:tcPr>
          <w:p w14:paraId="558BCF75" w14:textId="77777777" w:rsidR="00990B14" w:rsidRDefault="00000000">
            <w:pPr>
              <w:spacing w:before="20" w:after="20"/>
              <w:jc w:val="both"/>
            </w:pPr>
            <w:r>
              <w:rPr>
                <w:sz w:val="18"/>
                <w:szCs w:val="18"/>
              </w:rPr>
              <w:t>Relaciona las secciones con las Normas NIIF de Contabilidad.</w:t>
            </w:r>
          </w:p>
        </w:tc>
        <w:tc>
          <w:tcPr>
            <w:tcW w:w="1909" w:type="dxa"/>
            <w:shd w:val="clear" w:color="auto" w:fill="D9E2F3"/>
            <w:vAlign w:val="center"/>
          </w:tcPr>
          <w:p w14:paraId="6FA29112" w14:textId="77777777" w:rsidR="00990B14" w:rsidRDefault="00000000">
            <w:pPr>
              <w:spacing w:before="20" w:after="20"/>
              <w:jc w:val="both"/>
            </w:pPr>
            <w:r>
              <w:rPr>
                <w:sz w:val="18"/>
                <w:szCs w:val="18"/>
              </w:rPr>
              <w:t>Identifica las simplificaciones de cada sección.</w:t>
            </w:r>
          </w:p>
        </w:tc>
      </w:tr>
      <w:tr w:rsidR="00990B14" w14:paraId="044557EB" w14:textId="77777777">
        <w:trPr>
          <w:cantSplit/>
          <w:jc w:val="center"/>
        </w:trPr>
        <w:tc>
          <w:tcPr>
            <w:tcW w:w="1864" w:type="dxa"/>
            <w:vMerge/>
            <w:shd w:val="clear" w:color="auto" w:fill="4472C4"/>
            <w:vAlign w:val="center"/>
          </w:tcPr>
          <w:p w14:paraId="1BB83347" w14:textId="77777777" w:rsidR="00990B14" w:rsidRDefault="00990B14">
            <w:pPr>
              <w:spacing w:before="20" w:after="20"/>
            </w:pPr>
          </w:p>
        </w:tc>
        <w:tc>
          <w:tcPr>
            <w:tcW w:w="1861" w:type="dxa"/>
            <w:shd w:val="clear" w:color="auto" w:fill="D9E2F3"/>
            <w:vAlign w:val="center"/>
          </w:tcPr>
          <w:p w14:paraId="0493EAA3" w14:textId="77777777" w:rsidR="00990B14" w:rsidRDefault="00000000">
            <w:pPr>
              <w:spacing w:before="20" w:after="20"/>
              <w:jc w:val="both"/>
            </w:pPr>
            <w:r>
              <w:rPr>
                <w:sz w:val="18"/>
                <w:szCs w:val="18"/>
              </w:rPr>
              <w:t>Presentación</w:t>
            </w:r>
          </w:p>
        </w:tc>
        <w:tc>
          <w:tcPr>
            <w:tcW w:w="1861" w:type="dxa"/>
            <w:shd w:val="clear" w:color="auto" w:fill="D9E2F3"/>
            <w:vAlign w:val="center"/>
          </w:tcPr>
          <w:p w14:paraId="399D1966" w14:textId="77777777" w:rsidR="00990B14" w:rsidRDefault="00000000">
            <w:pPr>
              <w:spacing w:before="20" w:after="20"/>
              <w:jc w:val="both"/>
            </w:pPr>
            <w:r>
              <w:rPr>
                <w:sz w:val="18"/>
                <w:szCs w:val="18"/>
              </w:rPr>
              <w:t>El cuadro es confuso.</w:t>
            </w:r>
          </w:p>
        </w:tc>
        <w:tc>
          <w:tcPr>
            <w:tcW w:w="1910" w:type="dxa"/>
            <w:shd w:val="clear" w:color="auto" w:fill="D9E2F3"/>
            <w:vAlign w:val="center"/>
          </w:tcPr>
          <w:p w14:paraId="5AE44202" w14:textId="77777777" w:rsidR="00990B14" w:rsidRDefault="00000000">
            <w:pPr>
              <w:spacing w:before="20" w:after="20"/>
              <w:jc w:val="both"/>
            </w:pPr>
            <w:r>
              <w:rPr>
                <w:sz w:val="18"/>
                <w:szCs w:val="18"/>
              </w:rPr>
              <w:t>El cuadro es claro.</w:t>
            </w:r>
          </w:p>
        </w:tc>
        <w:tc>
          <w:tcPr>
            <w:tcW w:w="1909" w:type="dxa"/>
            <w:shd w:val="clear" w:color="auto" w:fill="D9E2F3"/>
            <w:vAlign w:val="center"/>
          </w:tcPr>
          <w:p w14:paraId="01C52C69" w14:textId="77777777" w:rsidR="00990B14" w:rsidRDefault="00000000">
            <w:pPr>
              <w:spacing w:before="20" w:after="20"/>
              <w:jc w:val="both"/>
            </w:pPr>
            <w:r>
              <w:rPr>
                <w:sz w:val="18"/>
                <w:szCs w:val="18"/>
              </w:rPr>
              <w:t>El cuadro es completo y ordenado.</w:t>
            </w:r>
          </w:p>
        </w:tc>
      </w:tr>
      <w:tr w:rsidR="00990B14" w14:paraId="181ADD94" w14:textId="77777777">
        <w:trPr>
          <w:cantSplit/>
          <w:jc w:val="center"/>
        </w:trPr>
        <w:tc>
          <w:tcPr>
            <w:tcW w:w="1864" w:type="dxa"/>
            <w:vMerge/>
            <w:shd w:val="clear" w:color="auto" w:fill="4472C4"/>
            <w:vAlign w:val="center"/>
          </w:tcPr>
          <w:p w14:paraId="734A8672" w14:textId="77777777" w:rsidR="00990B14" w:rsidRDefault="00990B14">
            <w:pPr>
              <w:spacing w:before="20" w:after="20"/>
            </w:pPr>
          </w:p>
        </w:tc>
        <w:tc>
          <w:tcPr>
            <w:tcW w:w="5632" w:type="dxa"/>
            <w:gridSpan w:val="3"/>
            <w:shd w:val="clear" w:color="auto" w:fill="D9E2F3"/>
            <w:vAlign w:val="center"/>
          </w:tcPr>
          <w:p w14:paraId="0D14BD77" w14:textId="77777777" w:rsidR="00990B14" w:rsidRDefault="00000000">
            <w:pPr>
              <w:keepNext/>
              <w:spacing w:before="20" w:after="20"/>
              <w:jc w:val="both"/>
            </w:pPr>
            <w:r>
              <w:rPr>
                <w:b/>
                <w:bCs/>
                <w:i/>
                <w:iCs/>
                <w:sz w:val="18"/>
                <w:szCs w:val="18"/>
              </w:rPr>
              <w:t xml:space="preserve">Producto 8: </w:t>
            </w:r>
            <w:r>
              <w:rPr>
                <w:sz w:val="18"/>
                <w:szCs w:val="18"/>
              </w:rPr>
              <w:t>Cuadro de clasificación de empresas por tamaño</w:t>
            </w:r>
          </w:p>
        </w:tc>
        <w:tc>
          <w:tcPr>
            <w:tcW w:w="1909" w:type="dxa"/>
            <w:shd w:val="clear" w:color="auto" w:fill="D9E2F3"/>
            <w:vAlign w:val="center"/>
          </w:tcPr>
          <w:p w14:paraId="6FB544BC" w14:textId="77777777" w:rsidR="00990B14" w:rsidRDefault="00000000">
            <w:pPr>
              <w:spacing w:before="20" w:after="20"/>
              <w:jc w:val="center"/>
            </w:pPr>
            <w:r>
              <w:rPr>
                <w:b/>
                <w:bCs/>
                <w:sz w:val="18"/>
                <w:szCs w:val="18"/>
              </w:rPr>
              <w:t>2%</w:t>
            </w:r>
          </w:p>
        </w:tc>
      </w:tr>
      <w:tr w:rsidR="00990B14" w14:paraId="3F31AECC" w14:textId="77777777">
        <w:trPr>
          <w:cantSplit/>
          <w:jc w:val="center"/>
        </w:trPr>
        <w:tc>
          <w:tcPr>
            <w:tcW w:w="1864" w:type="dxa"/>
            <w:vMerge/>
            <w:shd w:val="clear" w:color="auto" w:fill="4472C4"/>
            <w:vAlign w:val="center"/>
          </w:tcPr>
          <w:p w14:paraId="59B34537" w14:textId="77777777" w:rsidR="00990B14" w:rsidRDefault="00990B14">
            <w:pPr>
              <w:spacing w:before="20" w:after="20"/>
            </w:pPr>
          </w:p>
        </w:tc>
        <w:tc>
          <w:tcPr>
            <w:tcW w:w="1861" w:type="dxa"/>
            <w:shd w:val="clear" w:color="auto" w:fill="4472C4"/>
            <w:vAlign w:val="center"/>
          </w:tcPr>
          <w:p w14:paraId="4D732FA3" w14:textId="77777777" w:rsidR="00990B14" w:rsidRDefault="00000000">
            <w:pPr>
              <w:keepNext/>
              <w:spacing w:before="20" w:after="20"/>
              <w:jc w:val="center"/>
            </w:pPr>
            <w:r>
              <w:rPr>
                <w:b/>
                <w:bCs/>
                <w:i/>
                <w:iCs/>
                <w:color w:val="FFFFFF"/>
                <w:sz w:val="18"/>
                <w:szCs w:val="18"/>
              </w:rPr>
              <w:t>Criterio</w:t>
            </w:r>
          </w:p>
        </w:tc>
        <w:tc>
          <w:tcPr>
            <w:tcW w:w="1861" w:type="dxa"/>
            <w:shd w:val="clear" w:color="auto" w:fill="4472C4"/>
            <w:vAlign w:val="center"/>
          </w:tcPr>
          <w:p w14:paraId="56F76631"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6C1847CE" w14:textId="77777777" w:rsidR="00990B14" w:rsidRDefault="00000000">
            <w:pPr>
              <w:keepNext/>
              <w:spacing w:before="20" w:after="20"/>
              <w:jc w:val="center"/>
            </w:pPr>
            <w:r>
              <w:rPr>
                <w:b/>
                <w:bCs/>
                <w:i/>
                <w:iCs/>
                <w:color w:val="FFFFFF"/>
                <w:sz w:val="18"/>
                <w:szCs w:val="18"/>
              </w:rPr>
              <w:t>Suficiente (51–80)</w:t>
            </w:r>
          </w:p>
        </w:tc>
        <w:tc>
          <w:tcPr>
            <w:tcW w:w="1909" w:type="dxa"/>
            <w:shd w:val="clear" w:color="auto" w:fill="4472C4"/>
            <w:vAlign w:val="center"/>
          </w:tcPr>
          <w:p w14:paraId="7A879A26" w14:textId="77777777" w:rsidR="00990B14" w:rsidRDefault="00000000">
            <w:pPr>
              <w:keepNext/>
              <w:spacing w:before="20" w:after="20"/>
              <w:jc w:val="center"/>
            </w:pPr>
            <w:r>
              <w:rPr>
                <w:b/>
                <w:bCs/>
                <w:i/>
                <w:iCs/>
                <w:color w:val="FFFFFF"/>
                <w:sz w:val="18"/>
                <w:szCs w:val="18"/>
              </w:rPr>
              <w:t>Destacado (81–100)</w:t>
            </w:r>
          </w:p>
        </w:tc>
      </w:tr>
      <w:tr w:rsidR="00990B14" w14:paraId="04A2A600" w14:textId="77777777">
        <w:trPr>
          <w:cantSplit/>
          <w:jc w:val="center"/>
        </w:trPr>
        <w:tc>
          <w:tcPr>
            <w:tcW w:w="1864" w:type="dxa"/>
            <w:vMerge/>
            <w:shd w:val="clear" w:color="auto" w:fill="4472C4"/>
            <w:vAlign w:val="center"/>
          </w:tcPr>
          <w:p w14:paraId="700B9FD9" w14:textId="77777777" w:rsidR="00990B14" w:rsidRDefault="00990B14">
            <w:pPr>
              <w:spacing w:before="20" w:after="20"/>
            </w:pPr>
          </w:p>
        </w:tc>
        <w:tc>
          <w:tcPr>
            <w:tcW w:w="1861" w:type="dxa"/>
            <w:shd w:val="clear" w:color="auto" w:fill="D9E2F3"/>
            <w:vAlign w:val="center"/>
          </w:tcPr>
          <w:p w14:paraId="09003C93" w14:textId="77777777" w:rsidR="00990B14" w:rsidRDefault="00000000">
            <w:pPr>
              <w:spacing w:before="20" w:after="20"/>
              <w:jc w:val="both"/>
            </w:pPr>
            <w:r>
              <w:rPr>
                <w:sz w:val="18"/>
                <w:szCs w:val="18"/>
              </w:rPr>
              <w:t>Criterios de tamaño</w:t>
            </w:r>
          </w:p>
        </w:tc>
        <w:tc>
          <w:tcPr>
            <w:tcW w:w="1861" w:type="dxa"/>
            <w:shd w:val="clear" w:color="auto" w:fill="D9E2F3"/>
            <w:vAlign w:val="center"/>
          </w:tcPr>
          <w:p w14:paraId="692086E0" w14:textId="77777777" w:rsidR="00990B14" w:rsidRDefault="00000000">
            <w:pPr>
              <w:spacing w:before="20" w:after="20"/>
              <w:jc w:val="both"/>
            </w:pPr>
            <w:r>
              <w:rPr>
                <w:sz w:val="18"/>
                <w:szCs w:val="18"/>
              </w:rPr>
              <w:t>Usa criterios incorrectos.</w:t>
            </w:r>
          </w:p>
        </w:tc>
        <w:tc>
          <w:tcPr>
            <w:tcW w:w="1910" w:type="dxa"/>
            <w:shd w:val="clear" w:color="auto" w:fill="D9E2F3"/>
            <w:vAlign w:val="center"/>
          </w:tcPr>
          <w:p w14:paraId="1FE3376A" w14:textId="77777777" w:rsidR="00990B14" w:rsidRDefault="00000000">
            <w:pPr>
              <w:spacing w:before="20" w:after="20"/>
              <w:jc w:val="both"/>
            </w:pPr>
            <w:r>
              <w:rPr>
                <w:sz w:val="18"/>
                <w:szCs w:val="18"/>
              </w:rPr>
              <w:t>Aplica los criterios de ventas, trabajadores y patrimonio.</w:t>
            </w:r>
          </w:p>
        </w:tc>
        <w:tc>
          <w:tcPr>
            <w:tcW w:w="1909" w:type="dxa"/>
            <w:shd w:val="clear" w:color="auto" w:fill="D9E2F3"/>
            <w:vAlign w:val="center"/>
          </w:tcPr>
          <w:p w14:paraId="6AD19088" w14:textId="77777777" w:rsidR="00990B14" w:rsidRDefault="00000000">
            <w:pPr>
              <w:spacing w:before="20" w:after="20"/>
              <w:jc w:val="both"/>
            </w:pPr>
            <w:r>
              <w:rPr>
                <w:sz w:val="18"/>
                <w:szCs w:val="18"/>
              </w:rPr>
              <w:t>Fundamenta la clasificación en la normativa boliviana.</w:t>
            </w:r>
          </w:p>
        </w:tc>
      </w:tr>
      <w:tr w:rsidR="00990B14" w14:paraId="67196904" w14:textId="77777777">
        <w:trPr>
          <w:cantSplit/>
          <w:jc w:val="center"/>
        </w:trPr>
        <w:tc>
          <w:tcPr>
            <w:tcW w:w="1864" w:type="dxa"/>
            <w:vMerge/>
            <w:shd w:val="clear" w:color="auto" w:fill="4472C4"/>
            <w:vAlign w:val="center"/>
          </w:tcPr>
          <w:p w14:paraId="6EC6F363" w14:textId="77777777" w:rsidR="00990B14" w:rsidRDefault="00990B14">
            <w:pPr>
              <w:spacing w:before="20" w:after="20"/>
            </w:pPr>
          </w:p>
        </w:tc>
        <w:tc>
          <w:tcPr>
            <w:tcW w:w="1861" w:type="dxa"/>
            <w:shd w:val="clear" w:color="auto" w:fill="D9E2F3"/>
            <w:vAlign w:val="center"/>
          </w:tcPr>
          <w:p w14:paraId="61740F4E" w14:textId="77777777" w:rsidR="00990B14" w:rsidRDefault="00000000">
            <w:pPr>
              <w:spacing w:before="20" w:after="20"/>
              <w:jc w:val="both"/>
            </w:pPr>
            <w:r>
              <w:rPr>
                <w:sz w:val="18"/>
                <w:szCs w:val="18"/>
              </w:rPr>
              <w:t>Marco aplicable</w:t>
            </w:r>
          </w:p>
        </w:tc>
        <w:tc>
          <w:tcPr>
            <w:tcW w:w="1861" w:type="dxa"/>
            <w:shd w:val="clear" w:color="auto" w:fill="D9E2F3"/>
            <w:vAlign w:val="center"/>
          </w:tcPr>
          <w:p w14:paraId="3C7C045E" w14:textId="77777777" w:rsidR="00990B14" w:rsidRDefault="00000000">
            <w:pPr>
              <w:spacing w:before="20" w:after="20"/>
              <w:jc w:val="both"/>
            </w:pPr>
            <w:r>
              <w:rPr>
                <w:sz w:val="18"/>
                <w:szCs w:val="18"/>
              </w:rPr>
              <w:t>No asigna el marco.</w:t>
            </w:r>
          </w:p>
        </w:tc>
        <w:tc>
          <w:tcPr>
            <w:tcW w:w="1910" w:type="dxa"/>
            <w:shd w:val="clear" w:color="auto" w:fill="D9E2F3"/>
            <w:vAlign w:val="center"/>
          </w:tcPr>
          <w:p w14:paraId="7CC06C9A" w14:textId="77777777" w:rsidR="00990B14" w:rsidRDefault="00000000">
            <w:pPr>
              <w:spacing w:before="20" w:after="20"/>
              <w:jc w:val="both"/>
            </w:pPr>
            <w:r>
              <w:rPr>
                <w:sz w:val="18"/>
                <w:szCs w:val="18"/>
              </w:rPr>
              <w:t>Asigna el marco de información financiera aplicable.</w:t>
            </w:r>
          </w:p>
        </w:tc>
        <w:tc>
          <w:tcPr>
            <w:tcW w:w="1909" w:type="dxa"/>
            <w:shd w:val="clear" w:color="auto" w:fill="D9E2F3"/>
            <w:vAlign w:val="center"/>
          </w:tcPr>
          <w:p w14:paraId="7D1343B5" w14:textId="77777777" w:rsidR="00990B14" w:rsidRDefault="00000000">
            <w:pPr>
              <w:spacing w:before="20" w:after="20"/>
              <w:jc w:val="both"/>
            </w:pPr>
            <w:r>
              <w:rPr>
                <w:sz w:val="18"/>
                <w:szCs w:val="18"/>
              </w:rPr>
              <w:t>Justifica el marco según los usuarios de cada empresa.</w:t>
            </w:r>
          </w:p>
        </w:tc>
      </w:tr>
      <w:tr w:rsidR="00990B14" w14:paraId="54BA4384" w14:textId="77777777">
        <w:trPr>
          <w:cantSplit/>
          <w:jc w:val="center"/>
        </w:trPr>
        <w:tc>
          <w:tcPr>
            <w:tcW w:w="1864" w:type="dxa"/>
            <w:vMerge/>
            <w:shd w:val="clear" w:color="auto" w:fill="4472C4"/>
            <w:vAlign w:val="center"/>
          </w:tcPr>
          <w:p w14:paraId="54DEBECE" w14:textId="77777777" w:rsidR="00990B14" w:rsidRDefault="00990B14">
            <w:pPr>
              <w:spacing w:before="20" w:after="20"/>
            </w:pPr>
          </w:p>
        </w:tc>
        <w:tc>
          <w:tcPr>
            <w:tcW w:w="1861" w:type="dxa"/>
            <w:shd w:val="clear" w:color="auto" w:fill="D9E2F3"/>
            <w:vAlign w:val="center"/>
          </w:tcPr>
          <w:p w14:paraId="004AC473" w14:textId="77777777" w:rsidR="00990B14" w:rsidRDefault="00000000">
            <w:pPr>
              <w:spacing w:before="20" w:after="20"/>
              <w:jc w:val="both"/>
            </w:pPr>
            <w:r>
              <w:rPr>
                <w:sz w:val="18"/>
                <w:szCs w:val="18"/>
              </w:rPr>
              <w:t>Trabajo en equipo</w:t>
            </w:r>
          </w:p>
        </w:tc>
        <w:tc>
          <w:tcPr>
            <w:tcW w:w="1861" w:type="dxa"/>
            <w:shd w:val="clear" w:color="auto" w:fill="D9E2F3"/>
            <w:vAlign w:val="center"/>
          </w:tcPr>
          <w:p w14:paraId="4F5F1A90" w14:textId="77777777" w:rsidR="00990B14" w:rsidRDefault="00000000">
            <w:pPr>
              <w:spacing w:before="20" w:after="20"/>
              <w:jc w:val="both"/>
            </w:pPr>
            <w:r>
              <w:rPr>
                <w:sz w:val="18"/>
                <w:szCs w:val="18"/>
              </w:rPr>
              <w:t>La participación es desigual.</w:t>
            </w:r>
          </w:p>
        </w:tc>
        <w:tc>
          <w:tcPr>
            <w:tcW w:w="1910" w:type="dxa"/>
            <w:shd w:val="clear" w:color="auto" w:fill="D9E2F3"/>
            <w:vAlign w:val="center"/>
          </w:tcPr>
          <w:p w14:paraId="0E8AD54B" w14:textId="77777777" w:rsidR="00990B14" w:rsidRDefault="00000000">
            <w:pPr>
              <w:spacing w:before="20" w:after="20"/>
              <w:jc w:val="both"/>
            </w:pPr>
            <w:r>
              <w:rPr>
                <w:sz w:val="18"/>
                <w:szCs w:val="18"/>
              </w:rPr>
              <w:t>Todos los integrantes participan.</w:t>
            </w:r>
          </w:p>
        </w:tc>
        <w:tc>
          <w:tcPr>
            <w:tcW w:w="1909" w:type="dxa"/>
            <w:shd w:val="clear" w:color="auto" w:fill="D9E2F3"/>
            <w:vAlign w:val="center"/>
          </w:tcPr>
          <w:p w14:paraId="7F254AFA" w14:textId="77777777" w:rsidR="00990B14" w:rsidRDefault="00000000">
            <w:pPr>
              <w:spacing w:before="20" w:after="20"/>
              <w:jc w:val="both"/>
            </w:pPr>
            <w:r>
              <w:rPr>
                <w:sz w:val="18"/>
                <w:szCs w:val="18"/>
              </w:rPr>
              <w:t>El equipo resuelve los casos dudosos con argumentos técnicos.</w:t>
            </w:r>
          </w:p>
        </w:tc>
      </w:tr>
      <w:tr w:rsidR="00990B14" w14:paraId="0BB6F3B3" w14:textId="77777777">
        <w:trPr>
          <w:cantSplit/>
          <w:jc w:val="center"/>
        </w:trPr>
        <w:tc>
          <w:tcPr>
            <w:tcW w:w="1864" w:type="dxa"/>
            <w:vMerge/>
            <w:shd w:val="clear" w:color="auto" w:fill="4472C4"/>
            <w:vAlign w:val="center"/>
          </w:tcPr>
          <w:p w14:paraId="08BD11F9" w14:textId="77777777" w:rsidR="00990B14" w:rsidRDefault="00990B14">
            <w:pPr>
              <w:spacing w:before="20" w:after="20"/>
            </w:pPr>
          </w:p>
        </w:tc>
        <w:tc>
          <w:tcPr>
            <w:tcW w:w="5632" w:type="dxa"/>
            <w:gridSpan w:val="3"/>
            <w:shd w:val="clear" w:color="auto" w:fill="D9E2F3"/>
            <w:vAlign w:val="center"/>
          </w:tcPr>
          <w:p w14:paraId="586729F7" w14:textId="77777777" w:rsidR="00990B14" w:rsidRDefault="00000000">
            <w:pPr>
              <w:keepNext/>
              <w:spacing w:before="20" w:after="20"/>
              <w:jc w:val="both"/>
            </w:pPr>
            <w:r>
              <w:rPr>
                <w:b/>
                <w:bCs/>
                <w:i/>
                <w:iCs/>
                <w:sz w:val="18"/>
                <w:szCs w:val="18"/>
              </w:rPr>
              <w:t xml:space="preserve">Producto 9: </w:t>
            </w:r>
            <w:r>
              <w:rPr>
                <w:sz w:val="18"/>
                <w:szCs w:val="18"/>
              </w:rPr>
              <w:t>Juego de estados financieros conforme a la NIIF 18</w:t>
            </w:r>
          </w:p>
        </w:tc>
        <w:tc>
          <w:tcPr>
            <w:tcW w:w="1909" w:type="dxa"/>
            <w:shd w:val="clear" w:color="auto" w:fill="D9E2F3"/>
            <w:vAlign w:val="center"/>
          </w:tcPr>
          <w:p w14:paraId="08C1BE87" w14:textId="77777777" w:rsidR="00990B14" w:rsidRDefault="00000000">
            <w:pPr>
              <w:spacing w:before="20" w:after="20"/>
              <w:jc w:val="center"/>
            </w:pPr>
            <w:r>
              <w:rPr>
                <w:b/>
                <w:bCs/>
                <w:sz w:val="18"/>
                <w:szCs w:val="18"/>
              </w:rPr>
              <w:t>8%</w:t>
            </w:r>
          </w:p>
        </w:tc>
      </w:tr>
      <w:tr w:rsidR="00990B14" w14:paraId="3291B789" w14:textId="77777777">
        <w:trPr>
          <w:cantSplit/>
          <w:jc w:val="center"/>
        </w:trPr>
        <w:tc>
          <w:tcPr>
            <w:tcW w:w="1864" w:type="dxa"/>
            <w:vMerge/>
            <w:shd w:val="clear" w:color="auto" w:fill="4472C4"/>
            <w:vAlign w:val="center"/>
          </w:tcPr>
          <w:p w14:paraId="04AFC56A" w14:textId="77777777" w:rsidR="00990B14" w:rsidRDefault="00990B14">
            <w:pPr>
              <w:spacing w:before="20" w:after="20"/>
            </w:pPr>
          </w:p>
        </w:tc>
        <w:tc>
          <w:tcPr>
            <w:tcW w:w="1861" w:type="dxa"/>
            <w:shd w:val="clear" w:color="auto" w:fill="4472C4"/>
            <w:vAlign w:val="center"/>
          </w:tcPr>
          <w:p w14:paraId="66352D80" w14:textId="77777777" w:rsidR="00990B14" w:rsidRDefault="00000000">
            <w:pPr>
              <w:keepNext/>
              <w:spacing w:before="20" w:after="20"/>
              <w:jc w:val="center"/>
            </w:pPr>
            <w:r>
              <w:rPr>
                <w:b/>
                <w:bCs/>
                <w:i/>
                <w:iCs/>
                <w:color w:val="FFFFFF"/>
                <w:sz w:val="18"/>
                <w:szCs w:val="18"/>
              </w:rPr>
              <w:t>Criterio</w:t>
            </w:r>
          </w:p>
        </w:tc>
        <w:tc>
          <w:tcPr>
            <w:tcW w:w="1861" w:type="dxa"/>
            <w:shd w:val="clear" w:color="auto" w:fill="4472C4"/>
            <w:vAlign w:val="center"/>
          </w:tcPr>
          <w:p w14:paraId="211F77F8"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4F4A3138" w14:textId="77777777" w:rsidR="00990B14" w:rsidRDefault="00000000">
            <w:pPr>
              <w:keepNext/>
              <w:spacing w:before="20" w:after="20"/>
              <w:jc w:val="center"/>
            </w:pPr>
            <w:r>
              <w:rPr>
                <w:b/>
                <w:bCs/>
                <w:i/>
                <w:iCs/>
                <w:color w:val="FFFFFF"/>
                <w:sz w:val="18"/>
                <w:szCs w:val="18"/>
              </w:rPr>
              <w:t>Suficiente (51–80)</w:t>
            </w:r>
          </w:p>
        </w:tc>
        <w:tc>
          <w:tcPr>
            <w:tcW w:w="1909" w:type="dxa"/>
            <w:shd w:val="clear" w:color="auto" w:fill="4472C4"/>
            <w:vAlign w:val="center"/>
          </w:tcPr>
          <w:p w14:paraId="6C4F2029" w14:textId="77777777" w:rsidR="00990B14" w:rsidRDefault="00000000">
            <w:pPr>
              <w:keepNext/>
              <w:spacing w:before="20" w:after="20"/>
              <w:jc w:val="center"/>
            </w:pPr>
            <w:r>
              <w:rPr>
                <w:b/>
                <w:bCs/>
                <w:i/>
                <w:iCs/>
                <w:color w:val="FFFFFF"/>
                <w:sz w:val="18"/>
                <w:szCs w:val="18"/>
              </w:rPr>
              <w:t>Destacado (81–100)</w:t>
            </w:r>
          </w:p>
        </w:tc>
      </w:tr>
      <w:tr w:rsidR="00990B14" w14:paraId="6951419E" w14:textId="77777777">
        <w:trPr>
          <w:cantSplit/>
          <w:jc w:val="center"/>
        </w:trPr>
        <w:tc>
          <w:tcPr>
            <w:tcW w:w="1864" w:type="dxa"/>
            <w:vMerge/>
            <w:shd w:val="clear" w:color="auto" w:fill="4472C4"/>
            <w:vAlign w:val="center"/>
          </w:tcPr>
          <w:p w14:paraId="1B3AD950" w14:textId="77777777" w:rsidR="00990B14" w:rsidRDefault="00990B14">
            <w:pPr>
              <w:spacing w:before="20" w:after="20"/>
            </w:pPr>
          </w:p>
        </w:tc>
        <w:tc>
          <w:tcPr>
            <w:tcW w:w="1861" w:type="dxa"/>
            <w:shd w:val="clear" w:color="auto" w:fill="D9E2F3"/>
            <w:vAlign w:val="center"/>
          </w:tcPr>
          <w:p w14:paraId="3BAFA409" w14:textId="77777777" w:rsidR="00990B14" w:rsidRDefault="00000000">
            <w:pPr>
              <w:spacing w:before="20" w:after="20"/>
              <w:jc w:val="both"/>
            </w:pPr>
            <w:r>
              <w:rPr>
                <w:sz w:val="18"/>
                <w:szCs w:val="18"/>
              </w:rPr>
              <w:t>Estructura</w:t>
            </w:r>
          </w:p>
        </w:tc>
        <w:tc>
          <w:tcPr>
            <w:tcW w:w="1861" w:type="dxa"/>
            <w:shd w:val="clear" w:color="auto" w:fill="D9E2F3"/>
            <w:vAlign w:val="center"/>
          </w:tcPr>
          <w:p w14:paraId="5C34BC2B" w14:textId="77777777" w:rsidR="00990B14" w:rsidRDefault="00000000">
            <w:pPr>
              <w:spacing w:before="20" w:after="20"/>
              <w:jc w:val="both"/>
            </w:pPr>
            <w:r>
              <w:rPr>
                <w:sz w:val="18"/>
                <w:szCs w:val="18"/>
              </w:rPr>
              <w:t>Faltan estados o notas.</w:t>
            </w:r>
          </w:p>
        </w:tc>
        <w:tc>
          <w:tcPr>
            <w:tcW w:w="1910" w:type="dxa"/>
            <w:shd w:val="clear" w:color="auto" w:fill="D9E2F3"/>
            <w:vAlign w:val="center"/>
          </w:tcPr>
          <w:p w14:paraId="6E23A1B9" w14:textId="77777777" w:rsidR="00990B14" w:rsidRDefault="00000000">
            <w:pPr>
              <w:spacing w:before="20" w:after="20"/>
              <w:jc w:val="both"/>
            </w:pPr>
            <w:r>
              <w:rPr>
                <w:sz w:val="18"/>
                <w:szCs w:val="18"/>
              </w:rPr>
              <w:t>Presenta el juego completo de estados financieros.</w:t>
            </w:r>
          </w:p>
        </w:tc>
        <w:tc>
          <w:tcPr>
            <w:tcW w:w="1909" w:type="dxa"/>
            <w:shd w:val="clear" w:color="auto" w:fill="D9E2F3"/>
            <w:vAlign w:val="center"/>
          </w:tcPr>
          <w:p w14:paraId="680029D2" w14:textId="77777777" w:rsidR="00990B14" w:rsidRDefault="00000000">
            <w:pPr>
              <w:spacing w:before="20" w:after="20"/>
              <w:jc w:val="both"/>
            </w:pPr>
            <w:r>
              <w:rPr>
                <w:sz w:val="18"/>
                <w:szCs w:val="18"/>
              </w:rPr>
              <w:t>Aplica la agregación y desagregación de la NIIF 18.</w:t>
            </w:r>
          </w:p>
        </w:tc>
      </w:tr>
      <w:tr w:rsidR="00990B14" w14:paraId="3456A05F" w14:textId="77777777">
        <w:trPr>
          <w:cantSplit/>
          <w:jc w:val="center"/>
        </w:trPr>
        <w:tc>
          <w:tcPr>
            <w:tcW w:w="1864" w:type="dxa"/>
            <w:vMerge/>
            <w:shd w:val="clear" w:color="auto" w:fill="4472C4"/>
            <w:vAlign w:val="center"/>
          </w:tcPr>
          <w:p w14:paraId="6D4F2C8D" w14:textId="77777777" w:rsidR="00990B14" w:rsidRDefault="00990B14">
            <w:pPr>
              <w:spacing w:before="20" w:after="20"/>
            </w:pPr>
          </w:p>
        </w:tc>
        <w:tc>
          <w:tcPr>
            <w:tcW w:w="1861" w:type="dxa"/>
            <w:shd w:val="clear" w:color="auto" w:fill="D9E2F3"/>
            <w:vAlign w:val="center"/>
          </w:tcPr>
          <w:p w14:paraId="116D1B7B" w14:textId="77777777" w:rsidR="00990B14" w:rsidRDefault="00000000">
            <w:pPr>
              <w:spacing w:before="20" w:after="20"/>
              <w:jc w:val="both"/>
            </w:pPr>
            <w:r>
              <w:rPr>
                <w:sz w:val="18"/>
                <w:szCs w:val="18"/>
              </w:rPr>
              <w:t>Estado del resultado</w:t>
            </w:r>
          </w:p>
        </w:tc>
        <w:tc>
          <w:tcPr>
            <w:tcW w:w="1861" w:type="dxa"/>
            <w:shd w:val="clear" w:color="auto" w:fill="D9E2F3"/>
            <w:vAlign w:val="center"/>
          </w:tcPr>
          <w:p w14:paraId="21C3F3B6" w14:textId="77777777" w:rsidR="00990B14" w:rsidRDefault="00000000">
            <w:pPr>
              <w:spacing w:before="20" w:after="20"/>
              <w:jc w:val="both"/>
            </w:pPr>
            <w:r>
              <w:rPr>
                <w:sz w:val="18"/>
                <w:szCs w:val="18"/>
              </w:rPr>
              <w:t>No clasifica las partidas.</w:t>
            </w:r>
          </w:p>
        </w:tc>
        <w:tc>
          <w:tcPr>
            <w:tcW w:w="1910" w:type="dxa"/>
            <w:shd w:val="clear" w:color="auto" w:fill="D9E2F3"/>
            <w:vAlign w:val="center"/>
          </w:tcPr>
          <w:p w14:paraId="75693F2B" w14:textId="77777777" w:rsidR="00990B14" w:rsidRDefault="00000000">
            <w:pPr>
              <w:spacing w:before="20" w:after="20"/>
              <w:jc w:val="both"/>
            </w:pPr>
            <w:r>
              <w:rPr>
                <w:sz w:val="18"/>
                <w:szCs w:val="18"/>
              </w:rPr>
              <w:t>Clasifica las partidas en operación, inversión y financiación.</w:t>
            </w:r>
          </w:p>
        </w:tc>
        <w:tc>
          <w:tcPr>
            <w:tcW w:w="1909" w:type="dxa"/>
            <w:shd w:val="clear" w:color="auto" w:fill="D9E2F3"/>
            <w:vAlign w:val="center"/>
          </w:tcPr>
          <w:p w14:paraId="61A93B59" w14:textId="77777777" w:rsidR="00990B14" w:rsidRDefault="00000000">
            <w:pPr>
              <w:spacing w:before="20" w:after="20"/>
              <w:jc w:val="both"/>
            </w:pPr>
            <w:r>
              <w:rPr>
                <w:sz w:val="18"/>
                <w:szCs w:val="18"/>
              </w:rPr>
              <w:t>Presenta los subtotales requeridos y las medidas de rendimiento.</w:t>
            </w:r>
          </w:p>
        </w:tc>
      </w:tr>
      <w:tr w:rsidR="00990B14" w14:paraId="2010A638" w14:textId="77777777">
        <w:trPr>
          <w:cantSplit/>
          <w:jc w:val="center"/>
        </w:trPr>
        <w:tc>
          <w:tcPr>
            <w:tcW w:w="1864" w:type="dxa"/>
            <w:vMerge/>
            <w:shd w:val="clear" w:color="auto" w:fill="4472C4"/>
            <w:vAlign w:val="center"/>
          </w:tcPr>
          <w:p w14:paraId="7A532A95" w14:textId="77777777" w:rsidR="00990B14" w:rsidRDefault="00990B14">
            <w:pPr>
              <w:spacing w:before="20" w:after="20"/>
            </w:pPr>
          </w:p>
        </w:tc>
        <w:tc>
          <w:tcPr>
            <w:tcW w:w="1861" w:type="dxa"/>
            <w:shd w:val="clear" w:color="auto" w:fill="D9E2F3"/>
            <w:vAlign w:val="center"/>
          </w:tcPr>
          <w:p w14:paraId="6395A0AB" w14:textId="77777777" w:rsidR="00990B14" w:rsidRDefault="00000000">
            <w:pPr>
              <w:spacing w:before="20" w:after="20"/>
              <w:jc w:val="both"/>
            </w:pPr>
            <w:r>
              <w:rPr>
                <w:sz w:val="18"/>
                <w:szCs w:val="18"/>
              </w:rPr>
              <w:t>Notas</w:t>
            </w:r>
          </w:p>
        </w:tc>
        <w:tc>
          <w:tcPr>
            <w:tcW w:w="1861" w:type="dxa"/>
            <w:shd w:val="clear" w:color="auto" w:fill="D9E2F3"/>
            <w:vAlign w:val="center"/>
          </w:tcPr>
          <w:p w14:paraId="7E41BAC6" w14:textId="77777777" w:rsidR="00990B14" w:rsidRDefault="00000000">
            <w:pPr>
              <w:spacing w:before="20" w:after="20"/>
              <w:jc w:val="both"/>
            </w:pPr>
            <w:r>
              <w:rPr>
                <w:sz w:val="18"/>
                <w:szCs w:val="18"/>
              </w:rPr>
              <w:t>Las notas son incompletas.</w:t>
            </w:r>
          </w:p>
        </w:tc>
        <w:tc>
          <w:tcPr>
            <w:tcW w:w="1910" w:type="dxa"/>
            <w:shd w:val="clear" w:color="auto" w:fill="D9E2F3"/>
            <w:vAlign w:val="center"/>
          </w:tcPr>
          <w:p w14:paraId="3AA74B65" w14:textId="77777777" w:rsidR="00990B14" w:rsidRDefault="00000000">
            <w:pPr>
              <w:spacing w:before="20" w:after="20"/>
              <w:jc w:val="both"/>
            </w:pPr>
            <w:r>
              <w:rPr>
                <w:sz w:val="18"/>
                <w:szCs w:val="18"/>
              </w:rPr>
              <w:t>Redacta las notas exigidas.</w:t>
            </w:r>
          </w:p>
        </w:tc>
        <w:tc>
          <w:tcPr>
            <w:tcW w:w="1909" w:type="dxa"/>
            <w:shd w:val="clear" w:color="auto" w:fill="D9E2F3"/>
            <w:vAlign w:val="center"/>
          </w:tcPr>
          <w:p w14:paraId="3F043922" w14:textId="77777777" w:rsidR="00990B14" w:rsidRDefault="00000000">
            <w:pPr>
              <w:spacing w:before="20" w:after="20"/>
              <w:jc w:val="both"/>
            </w:pPr>
            <w:r>
              <w:rPr>
                <w:sz w:val="18"/>
                <w:szCs w:val="18"/>
              </w:rPr>
              <w:t>Las notas son coherentes con las cifras y con las políticas.</w:t>
            </w:r>
          </w:p>
        </w:tc>
      </w:tr>
      <w:tr w:rsidR="00990B14" w14:paraId="41A694E8" w14:textId="77777777">
        <w:trPr>
          <w:cantSplit/>
          <w:jc w:val="center"/>
        </w:trPr>
        <w:tc>
          <w:tcPr>
            <w:tcW w:w="1864" w:type="dxa"/>
            <w:vMerge/>
            <w:shd w:val="clear" w:color="auto" w:fill="4472C4"/>
            <w:vAlign w:val="center"/>
          </w:tcPr>
          <w:p w14:paraId="39C57628" w14:textId="77777777" w:rsidR="00990B14" w:rsidRDefault="00990B14">
            <w:pPr>
              <w:spacing w:before="20" w:after="20"/>
            </w:pPr>
          </w:p>
        </w:tc>
        <w:tc>
          <w:tcPr>
            <w:tcW w:w="5632" w:type="dxa"/>
            <w:gridSpan w:val="3"/>
            <w:shd w:val="clear" w:color="auto" w:fill="D9E2F3"/>
            <w:vAlign w:val="center"/>
          </w:tcPr>
          <w:p w14:paraId="67529EC4" w14:textId="77777777" w:rsidR="00990B14" w:rsidRDefault="00000000">
            <w:pPr>
              <w:keepNext/>
              <w:spacing w:before="20" w:after="20"/>
              <w:jc w:val="both"/>
            </w:pPr>
            <w:r>
              <w:rPr>
                <w:b/>
                <w:bCs/>
                <w:i/>
                <w:iCs/>
                <w:sz w:val="18"/>
                <w:szCs w:val="18"/>
              </w:rPr>
              <w:t xml:space="preserve">Producto 10: </w:t>
            </w:r>
            <w:r>
              <w:rPr>
                <w:sz w:val="18"/>
                <w:szCs w:val="18"/>
              </w:rPr>
              <w:t>Estado de flujos de efectivo</w:t>
            </w:r>
          </w:p>
        </w:tc>
        <w:tc>
          <w:tcPr>
            <w:tcW w:w="1909" w:type="dxa"/>
            <w:shd w:val="clear" w:color="auto" w:fill="D9E2F3"/>
            <w:vAlign w:val="center"/>
          </w:tcPr>
          <w:p w14:paraId="67A1B4EB" w14:textId="77777777" w:rsidR="00990B14" w:rsidRDefault="00000000">
            <w:pPr>
              <w:spacing w:before="20" w:after="20"/>
              <w:jc w:val="center"/>
            </w:pPr>
            <w:r>
              <w:rPr>
                <w:b/>
                <w:bCs/>
                <w:sz w:val="18"/>
                <w:szCs w:val="18"/>
              </w:rPr>
              <w:t>8%</w:t>
            </w:r>
          </w:p>
        </w:tc>
      </w:tr>
      <w:tr w:rsidR="00990B14" w14:paraId="0EEE45E6" w14:textId="77777777">
        <w:trPr>
          <w:cantSplit/>
          <w:jc w:val="center"/>
        </w:trPr>
        <w:tc>
          <w:tcPr>
            <w:tcW w:w="1864" w:type="dxa"/>
            <w:vMerge/>
            <w:shd w:val="clear" w:color="auto" w:fill="4472C4"/>
            <w:vAlign w:val="center"/>
          </w:tcPr>
          <w:p w14:paraId="2EAB5396" w14:textId="77777777" w:rsidR="00990B14" w:rsidRDefault="00990B14">
            <w:pPr>
              <w:spacing w:before="20" w:after="20"/>
            </w:pPr>
          </w:p>
        </w:tc>
        <w:tc>
          <w:tcPr>
            <w:tcW w:w="1861" w:type="dxa"/>
            <w:shd w:val="clear" w:color="auto" w:fill="4472C4"/>
            <w:vAlign w:val="center"/>
          </w:tcPr>
          <w:p w14:paraId="7DB26A05" w14:textId="77777777" w:rsidR="00990B14" w:rsidRDefault="00000000">
            <w:pPr>
              <w:keepNext/>
              <w:spacing w:before="20" w:after="20"/>
              <w:jc w:val="center"/>
            </w:pPr>
            <w:r>
              <w:rPr>
                <w:b/>
                <w:bCs/>
                <w:i/>
                <w:iCs/>
                <w:color w:val="FFFFFF"/>
                <w:sz w:val="18"/>
                <w:szCs w:val="18"/>
              </w:rPr>
              <w:t>Criterio</w:t>
            </w:r>
          </w:p>
        </w:tc>
        <w:tc>
          <w:tcPr>
            <w:tcW w:w="1861" w:type="dxa"/>
            <w:shd w:val="clear" w:color="auto" w:fill="4472C4"/>
            <w:vAlign w:val="center"/>
          </w:tcPr>
          <w:p w14:paraId="409A3B6D"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77E696F1" w14:textId="77777777" w:rsidR="00990B14" w:rsidRDefault="00000000">
            <w:pPr>
              <w:keepNext/>
              <w:spacing w:before="20" w:after="20"/>
              <w:jc w:val="center"/>
            </w:pPr>
            <w:r>
              <w:rPr>
                <w:b/>
                <w:bCs/>
                <w:i/>
                <w:iCs/>
                <w:color w:val="FFFFFF"/>
                <w:sz w:val="18"/>
                <w:szCs w:val="18"/>
              </w:rPr>
              <w:t>Suficiente (51–80)</w:t>
            </w:r>
          </w:p>
        </w:tc>
        <w:tc>
          <w:tcPr>
            <w:tcW w:w="1909" w:type="dxa"/>
            <w:shd w:val="clear" w:color="auto" w:fill="4472C4"/>
            <w:vAlign w:val="center"/>
          </w:tcPr>
          <w:p w14:paraId="64398D4A" w14:textId="77777777" w:rsidR="00990B14" w:rsidRDefault="00000000">
            <w:pPr>
              <w:keepNext/>
              <w:spacing w:before="20" w:after="20"/>
              <w:jc w:val="center"/>
            </w:pPr>
            <w:r>
              <w:rPr>
                <w:b/>
                <w:bCs/>
                <w:i/>
                <w:iCs/>
                <w:color w:val="FFFFFF"/>
                <w:sz w:val="18"/>
                <w:szCs w:val="18"/>
              </w:rPr>
              <w:t>Destacado (81–100)</w:t>
            </w:r>
          </w:p>
        </w:tc>
      </w:tr>
      <w:tr w:rsidR="00990B14" w14:paraId="0292A564" w14:textId="77777777">
        <w:trPr>
          <w:cantSplit/>
          <w:jc w:val="center"/>
        </w:trPr>
        <w:tc>
          <w:tcPr>
            <w:tcW w:w="1864" w:type="dxa"/>
            <w:vMerge/>
            <w:shd w:val="clear" w:color="auto" w:fill="4472C4"/>
            <w:vAlign w:val="center"/>
          </w:tcPr>
          <w:p w14:paraId="65FC3F40" w14:textId="77777777" w:rsidR="00990B14" w:rsidRDefault="00990B14">
            <w:pPr>
              <w:spacing w:before="20" w:after="20"/>
            </w:pPr>
          </w:p>
        </w:tc>
        <w:tc>
          <w:tcPr>
            <w:tcW w:w="1861" w:type="dxa"/>
            <w:shd w:val="clear" w:color="auto" w:fill="D9E2F3"/>
            <w:vAlign w:val="center"/>
          </w:tcPr>
          <w:p w14:paraId="19136B05" w14:textId="77777777" w:rsidR="00990B14" w:rsidRDefault="00000000">
            <w:pPr>
              <w:spacing w:before="20" w:after="20"/>
              <w:jc w:val="both"/>
            </w:pPr>
            <w:r>
              <w:rPr>
                <w:sz w:val="18"/>
                <w:szCs w:val="18"/>
              </w:rPr>
              <w:t>Clasificación de actividades</w:t>
            </w:r>
          </w:p>
        </w:tc>
        <w:tc>
          <w:tcPr>
            <w:tcW w:w="1861" w:type="dxa"/>
            <w:shd w:val="clear" w:color="auto" w:fill="D9E2F3"/>
            <w:vAlign w:val="center"/>
          </w:tcPr>
          <w:p w14:paraId="18FD6075" w14:textId="77777777" w:rsidR="00990B14" w:rsidRDefault="00000000">
            <w:pPr>
              <w:spacing w:before="20" w:after="20"/>
              <w:jc w:val="both"/>
            </w:pPr>
            <w:r>
              <w:rPr>
                <w:sz w:val="18"/>
                <w:szCs w:val="18"/>
              </w:rPr>
              <w:t>Clasifica mal las actividades.</w:t>
            </w:r>
          </w:p>
        </w:tc>
        <w:tc>
          <w:tcPr>
            <w:tcW w:w="1910" w:type="dxa"/>
            <w:shd w:val="clear" w:color="auto" w:fill="D9E2F3"/>
            <w:vAlign w:val="center"/>
          </w:tcPr>
          <w:p w14:paraId="4B6A207A" w14:textId="77777777" w:rsidR="00990B14" w:rsidRDefault="00000000">
            <w:pPr>
              <w:spacing w:before="20" w:after="20"/>
              <w:jc w:val="both"/>
            </w:pPr>
            <w:r>
              <w:rPr>
                <w:sz w:val="18"/>
                <w:szCs w:val="18"/>
              </w:rPr>
              <w:t>Clasifica las actividades de operación, inversión y financiación.</w:t>
            </w:r>
          </w:p>
        </w:tc>
        <w:tc>
          <w:tcPr>
            <w:tcW w:w="1909" w:type="dxa"/>
            <w:shd w:val="clear" w:color="auto" w:fill="D9E2F3"/>
            <w:vAlign w:val="center"/>
          </w:tcPr>
          <w:p w14:paraId="416CB619" w14:textId="77777777" w:rsidR="00990B14" w:rsidRDefault="00000000">
            <w:pPr>
              <w:spacing w:before="20" w:after="20"/>
              <w:jc w:val="both"/>
            </w:pPr>
            <w:r>
              <w:rPr>
                <w:sz w:val="18"/>
                <w:szCs w:val="18"/>
              </w:rPr>
              <w:t>Justifica la clasificación de intereses y dividendos.</w:t>
            </w:r>
          </w:p>
        </w:tc>
      </w:tr>
      <w:tr w:rsidR="00990B14" w14:paraId="1B35994B" w14:textId="77777777">
        <w:trPr>
          <w:cantSplit/>
          <w:jc w:val="center"/>
        </w:trPr>
        <w:tc>
          <w:tcPr>
            <w:tcW w:w="1864" w:type="dxa"/>
            <w:vMerge/>
            <w:shd w:val="clear" w:color="auto" w:fill="4472C4"/>
            <w:vAlign w:val="center"/>
          </w:tcPr>
          <w:p w14:paraId="4EDFABAB" w14:textId="77777777" w:rsidR="00990B14" w:rsidRDefault="00990B14">
            <w:pPr>
              <w:spacing w:before="20" w:after="20"/>
            </w:pPr>
          </w:p>
        </w:tc>
        <w:tc>
          <w:tcPr>
            <w:tcW w:w="1861" w:type="dxa"/>
            <w:shd w:val="clear" w:color="auto" w:fill="D9E2F3"/>
            <w:vAlign w:val="center"/>
          </w:tcPr>
          <w:p w14:paraId="75C99DC1" w14:textId="77777777" w:rsidR="00990B14" w:rsidRDefault="00000000">
            <w:pPr>
              <w:spacing w:before="20" w:after="20"/>
              <w:jc w:val="both"/>
            </w:pPr>
            <w:r>
              <w:rPr>
                <w:sz w:val="18"/>
                <w:szCs w:val="18"/>
              </w:rPr>
              <w:t>Cálculo</w:t>
            </w:r>
          </w:p>
        </w:tc>
        <w:tc>
          <w:tcPr>
            <w:tcW w:w="1861" w:type="dxa"/>
            <w:shd w:val="clear" w:color="auto" w:fill="D9E2F3"/>
            <w:vAlign w:val="center"/>
          </w:tcPr>
          <w:p w14:paraId="52B5F5C4" w14:textId="77777777" w:rsidR="00990B14" w:rsidRDefault="00000000">
            <w:pPr>
              <w:spacing w:before="20" w:after="20"/>
              <w:jc w:val="both"/>
            </w:pPr>
            <w:r>
              <w:rPr>
                <w:sz w:val="18"/>
                <w:szCs w:val="18"/>
              </w:rPr>
              <w:t>El flujo no concilia con el efectivo.</w:t>
            </w:r>
          </w:p>
        </w:tc>
        <w:tc>
          <w:tcPr>
            <w:tcW w:w="1910" w:type="dxa"/>
            <w:shd w:val="clear" w:color="auto" w:fill="D9E2F3"/>
            <w:vAlign w:val="center"/>
          </w:tcPr>
          <w:p w14:paraId="29A23566" w14:textId="77777777" w:rsidR="00990B14" w:rsidRDefault="00000000">
            <w:pPr>
              <w:spacing w:before="20" w:after="20"/>
              <w:jc w:val="both"/>
            </w:pPr>
            <w:r>
              <w:rPr>
                <w:sz w:val="18"/>
                <w:szCs w:val="18"/>
              </w:rPr>
              <w:t>El flujo concilia con el efectivo y equivalentes.</w:t>
            </w:r>
          </w:p>
        </w:tc>
        <w:tc>
          <w:tcPr>
            <w:tcW w:w="1909" w:type="dxa"/>
            <w:shd w:val="clear" w:color="auto" w:fill="D9E2F3"/>
            <w:vAlign w:val="center"/>
          </w:tcPr>
          <w:p w14:paraId="4EE751B0" w14:textId="77777777" w:rsidR="00990B14" w:rsidRDefault="00000000">
            <w:pPr>
              <w:spacing w:before="20" w:after="20"/>
              <w:jc w:val="both"/>
            </w:pPr>
            <w:r>
              <w:rPr>
                <w:sz w:val="18"/>
                <w:szCs w:val="18"/>
              </w:rPr>
              <w:t>Presenta las transacciones no monetarias reveladas.</w:t>
            </w:r>
          </w:p>
        </w:tc>
      </w:tr>
      <w:tr w:rsidR="00990B14" w14:paraId="1DAA3615" w14:textId="77777777">
        <w:trPr>
          <w:cantSplit/>
          <w:jc w:val="center"/>
        </w:trPr>
        <w:tc>
          <w:tcPr>
            <w:tcW w:w="1864" w:type="dxa"/>
            <w:vMerge/>
            <w:shd w:val="clear" w:color="auto" w:fill="4472C4"/>
            <w:vAlign w:val="center"/>
          </w:tcPr>
          <w:p w14:paraId="7246893E" w14:textId="77777777" w:rsidR="00990B14" w:rsidRDefault="00990B14">
            <w:pPr>
              <w:spacing w:before="20" w:after="20"/>
            </w:pPr>
          </w:p>
        </w:tc>
        <w:tc>
          <w:tcPr>
            <w:tcW w:w="1861" w:type="dxa"/>
            <w:shd w:val="clear" w:color="auto" w:fill="D9E2F3"/>
            <w:vAlign w:val="center"/>
          </w:tcPr>
          <w:p w14:paraId="170BF5CE" w14:textId="77777777" w:rsidR="00990B14" w:rsidRDefault="00000000">
            <w:pPr>
              <w:spacing w:before="20" w:after="20"/>
              <w:jc w:val="both"/>
            </w:pPr>
            <w:r>
              <w:rPr>
                <w:sz w:val="18"/>
                <w:szCs w:val="18"/>
              </w:rPr>
              <w:t>Presentación</w:t>
            </w:r>
          </w:p>
        </w:tc>
        <w:tc>
          <w:tcPr>
            <w:tcW w:w="1861" w:type="dxa"/>
            <w:shd w:val="clear" w:color="auto" w:fill="D9E2F3"/>
            <w:vAlign w:val="center"/>
          </w:tcPr>
          <w:p w14:paraId="40E19110" w14:textId="77777777" w:rsidR="00990B14" w:rsidRDefault="00000000">
            <w:pPr>
              <w:spacing w:before="20" w:after="20"/>
              <w:jc w:val="both"/>
            </w:pPr>
            <w:r>
              <w:rPr>
                <w:sz w:val="18"/>
                <w:szCs w:val="18"/>
              </w:rPr>
              <w:t>El formato es incorrecto.</w:t>
            </w:r>
          </w:p>
        </w:tc>
        <w:tc>
          <w:tcPr>
            <w:tcW w:w="1910" w:type="dxa"/>
            <w:shd w:val="clear" w:color="auto" w:fill="D9E2F3"/>
            <w:vAlign w:val="center"/>
          </w:tcPr>
          <w:p w14:paraId="2886F99E" w14:textId="77777777" w:rsidR="00990B14" w:rsidRDefault="00000000">
            <w:pPr>
              <w:spacing w:before="20" w:after="20"/>
              <w:jc w:val="both"/>
            </w:pPr>
            <w:r>
              <w:rPr>
                <w:sz w:val="18"/>
                <w:szCs w:val="18"/>
              </w:rPr>
              <w:t>Aplica el método directo o indirecto.</w:t>
            </w:r>
          </w:p>
        </w:tc>
        <w:tc>
          <w:tcPr>
            <w:tcW w:w="1909" w:type="dxa"/>
            <w:shd w:val="clear" w:color="auto" w:fill="D9E2F3"/>
            <w:vAlign w:val="center"/>
          </w:tcPr>
          <w:p w14:paraId="5D22DDF7" w14:textId="77777777" w:rsidR="00990B14" w:rsidRDefault="00000000">
            <w:pPr>
              <w:spacing w:before="20" w:after="20"/>
              <w:jc w:val="both"/>
            </w:pPr>
            <w:r>
              <w:rPr>
                <w:sz w:val="18"/>
                <w:szCs w:val="18"/>
              </w:rPr>
              <w:t>Explica las diferencias entre ambos métodos.</w:t>
            </w:r>
          </w:p>
        </w:tc>
      </w:tr>
      <w:tr w:rsidR="00990B14" w14:paraId="7510AF46" w14:textId="77777777">
        <w:trPr>
          <w:cantSplit/>
          <w:jc w:val="center"/>
        </w:trPr>
        <w:tc>
          <w:tcPr>
            <w:tcW w:w="1864" w:type="dxa"/>
            <w:vMerge/>
            <w:shd w:val="clear" w:color="auto" w:fill="4472C4"/>
            <w:vAlign w:val="center"/>
          </w:tcPr>
          <w:p w14:paraId="25E985F1" w14:textId="77777777" w:rsidR="00990B14" w:rsidRDefault="00990B14">
            <w:pPr>
              <w:spacing w:before="20" w:after="20"/>
            </w:pPr>
          </w:p>
        </w:tc>
        <w:tc>
          <w:tcPr>
            <w:tcW w:w="5632" w:type="dxa"/>
            <w:gridSpan w:val="3"/>
            <w:shd w:val="clear" w:color="auto" w:fill="D9E2F3"/>
            <w:vAlign w:val="center"/>
          </w:tcPr>
          <w:p w14:paraId="0AC43EE1" w14:textId="77777777" w:rsidR="00990B14" w:rsidRDefault="00000000">
            <w:pPr>
              <w:keepNext/>
              <w:spacing w:before="20" w:after="20"/>
              <w:jc w:val="both"/>
            </w:pPr>
            <w:r>
              <w:rPr>
                <w:b/>
                <w:bCs/>
                <w:i/>
                <w:iCs/>
                <w:sz w:val="18"/>
                <w:szCs w:val="18"/>
              </w:rPr>
              <w:t xml:space="preserve">Producto 11: </w:t>
            </w:r>
            <w:r>
              <w:rPr>
                <w:sz w:val="18"/>
                <w:szCs w:val="18"/>
              </w:rPr>
              <w:t>Informe de hechos posteriores, cambios en políticas y estimaciones contables y errores</w:t>
            </w:r>
          </w:p>
        </w:tc>
        <w:tc>
          <w:tcPr>
            <w:tcW w:w="1909" w:type="dxa"/>
            <w:shd w:val="clear" w:color="auto" w:fill="D9E2F3"/>
            <w:vAlign w:val="center"/>
          </w:tcPr>
          <w:p w14:paraId="25ACE66D" w14:textId="77777777" w:rsidR="00990B14" w:rsidRDefault="00000000">
            <w:pPr>
              <w:spacing w:before="20" w:after="20"/>
              <w:jc w:val="center"/>
            </w:pPr>
            <w:r>
              <w:rPr>
                <w:b/>
                <w:bCs/>
                <w:sz w:val="18"/>
                <w:szCs w:val="18"/>
              </w:rPr>
              <w:t>7%</w:t>
            </w:r>
          </w:p>
        </w:tc>
      </w:tr>
      <w:tr w:rsidR="00990B14" w14:paraId="07DF825D" w14:textId="77777777">
        <w:trPr>
          <w:cantSplit/>
          <w:jc w:val="center"/>
        </w:trPr>
        <w:tc>
          <w:tcPr>
            <w:tcW w:w="1864" w:type="dxa"/>
            <w:vMerge/>
            <w:shd w:val="clear" w:color="auto" w:fill="4472C4"/>
            <w:vAlign w:val="center"/>
          </w:tcPr>
          <w:p w14:paraId="1C20FBCE" w14:textId="77777777" w:rsidR="00990B14" w:rsidRDefault="00990B14">
            <w:pPr>
              <w:spacing w:before="20" w:after="20"/>
            </w:pPr>
          </w:p>
        </w:tc>
        <w:tc>
          <w:tcPr>
            <w:tcW w:w="1861" w:type="dxa"/>
            <w:shd w:val="clear" w:color="auto" w:fill="4472C4"/>
            <w:vAlign w:val="center"/>
          </w:tcPr>
          <w:p w14:paraId="3868CC8D" w14:textId="77777777" w:rsidR="00990B14" w:rsidRDefault="00000000">
            <w:pPr>
              <w:keepNext/>
              <w:spacing w:before="20" w:after="20"/>
              <w:jc w:val="center"/>
            </w:pPr>
            <w:r>
              <w:rPr>
                <w:b/>
                <w:bCs/>
                <w:i/>
                <w:iCs/>
                <w:color w:val="FFFFFF"/>
                <w:sz w:val="18"/>
                <w:szCs w:val="18"/>
              </w:rPr>
              <w:t>Criterio</w:t>
            </w:r>
          </w:p>
        </w:tc>
        <w:tc>
          <w:tcPr>
            <w:tcW w:w="1861" w:type="dxa"/>
            <w:shd w:val="clear" w:color="auto" w:fill="4472C4"/>
            <w:vAlign w:val="center"/>
          </w:tcPr>
          <w:p w14:paraId="277C1856"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5EBE7049" w14:textId="77777777" w:rsidR="00990B14" w:rsidRDefault="00000000">
            <w:pPr>
              <w:keepNext/>
              <w:spacing w:before="20" w:after="20"/>
              <w:jc w:val="center"/>
            </w:pPr>
            <w:r>
              <w:rPr>
                <w:b/>
                <w:bCs/>
                <w:i/>
                <w:iCs/>
                <w:color w:val="FFFFFF"/>
                <w:sz w:val="18"/>
                <w:szCs w:val="18"/>
              </w:rPr>
              <w:t>Suficiente (51–80)</w:t>
            </w:r>
          </w:p>
        </w:tc>
        <w:tc>
          <w:tcPr>
            <w:tcW w:w="1909" w:type="dxa"/>
            <w:shd w:val="clear" w:color="auto" w:fill="4472C4"/>
            <w:vAlign w:val="center"/>
          </w:tcPr>
          <w:p w14:paraId="4AE68094" w14:textId="77777777" w:rsidR="00990B14" w:rsidRDefault="00000000">
            <w:pPr>
              <w:keepNext/>
              <w:spacing w:before="20" w:after="20"/>
              <w:jc w:val="center"/>
            </w:pPr>
            <w:r>
              <w:rPr>
                <w:b/>
                <w:bCs/>
                <w:i/>
                <w:iCs/>
                <w:color w:val="FFFFFF"/>
                <w:sz w:val="18"/>
                <w:szCs w:val="18"/>
              </w:rPr>
              <w:t>Destacado (81–100)</w:t>
            </w:r>
          </w:p>
        </w:tc>
      </w:tr>
      <w:tr w:rsidR="00990B14" w14:paraId="5EAFAB92" w14:textId="77777777">
        <w:trPr>
          <w:cantSplit/>
          <w:jc w:val="center"/>
        </w:trPr>
        <w:tc>
          <w:tcPr>
            <w:tcW w:w="1864" w:type="dxa"/>
            <w:vMerge/>
            <w:shd w:val="clear" w:color="auto" w:fill="4472C4"/>
            <w:vAlign w:val="center"/>
          </w:tcPr>
          <w:p w14:paraId="2498E009" w14:textId="77777777" w:rsidR="00990B14" w:rsidRDefault="00990B14">
            <w:pPr>
              <w:spacing w:before="20" w:after="20"/>
            </w:pPr>
          </w:p>
        </w:tc>
        <w:tc>
          <w:tcPr>
            <w:tcW w:w="1861" w:type="dxa"/>
            <w:shd w:val="clear" w:color="auto" w:fill="D9E2F3"/>
            <w:vAlign w:val="center"/>
          </w:tcPr>
          <w:p w14:paraId="17D7803B" w14:textId="77777777" w:rsidR="00990B14" w:rsidRDefault="00000000">
            <w:pPr>
              <w:spacing w:before="20" w:after="20"/>
              <w:jc w:val="both"/>
            </w:pPr>
            <w:r>
              <w:rPr>
                <w:sz w:val="18"/>
                <w:szCs w:val="18"/>
              </w:rPr>
              <w:t>Hechos posteriores</w:t>
            </w:r>
          </w:p>
        </w:tc>
        <w:tc>
          <w:tcPr>
            <w:tcW w:w="1861" w:type="dxa"/>
            <w:shd w:val="clear" w:color="auto" w:fill="D9E2F3"/>
            <w:vAlign w:val="center"/>
          </w:tcPr>
          <w:p w14:paraId="415F0B6F" w14:textId="77777777" w:rsidR="00990B14" w:rsidRDefault="00000000">
            <w:pPr>
              <w:spacing w:before="20" w:after="20"/>
              <w:jc w:val="both"/>
            </w:pPr>
            <w:r>
              <w:rPr>
                <w:sz w:val="18"/>
                <w:szCs w:val="18"/>
              </w:rPr>
              <w:t>No distingue los que implican ajuste.</w:t>
            </w:r>
          </w:p>
        </w:tc>
        <w:tc>
          <w:tcPr>
            <w:tcW w:w="1910" w:type="dxa"/>
            <w:shd w:val="clear" w:color="auto" w:fill="D9E2F3"/>
            <w:vAlign w:val="center"/>
          </w:tcPr>
          <w:p w14:paraId="76467D68" w14:textId="77777777" w:rsidR="00990B14" w:rsidRDefault="00000000">
            <w:pPr>
              <w:spacing w:before="20" w:after="20"/>
              <w:jc w:val="both"/>
            </w:pPr>
            <w:r>
              <w:rPr>
                <w:sz w:val="18"/>
                <w:szCs w:val="18"/>
              </w:rPr>
              <w:t>Distingue los hechos con y sin ajuste.</w:t>
            </w:r>
          </w:p>
        </w:tc>
        <w:tc>
          <w:tcPr>
            <w:tcW w:w="1909" w:type="dxa"/>
            <w:shd w:val="clear" w:color="auto" w:fill="D9E2F3"/>
            <w:vAlign w:val="center"/>
          </w:tcPr>
          <w:p w14:paraId="0946080E" w14:textId="77777777" w:rsidR="00990B14" w:rsidRDefault="00000000">
            <w:pPr>
              <w:spacing w:before="20" w:after="20"/>
              <w:jc w:val="both"/>
            </w:pPr>
            <w:r>
              <w:rPr>
                <w:sz w:val="18"/>
                <w:szCs w:val="18"/>
              </w:rPr>
              <w:t>Evalúa su efecto en la hipótesis de negocio en marcha.</w:t>
            </w:r>
          </w:p>
        </w:tc>
      </w:tr>
      <w:tr w:rsidR="00990B14" w14:paraId="0AC977A6" w14:textId="77777777">
        <w:trPr>
          <w:cantSplit/>
          <w:jc w:val="center"/>
        </w:trPr>
        <w:tc>
          <w:tcPr>
            <w:tcW w:w="1864" w:type="dxa"/>
            <w:vMerge/>
            <w:shd w:val="clear" w:color="auto" w:fill="4472C4"/>
            <w:vAlign w:val="center"/>
          </w:tcPr>
          <w:p w14:paraId="1455D982" w14:textId="77777777" w:rsidR="00990B14" w:rsidRDefault="00990B14">
            <w:pPr>
              <w:spacing w:before="20" w:after="20"/>
            </w:pPr>
          </w:p>
        </w:tc>
        <w:tc>
          <w:tcPr>
            <w:tcW w:w="1861" w:type="dxa"/>
            <w:shd w:val="clear" w:color="auto" w:fill="D9E2F3"/>
            <w:vAlign w:val="center"/>
          </w:tcPr>
          <w:p w14:paraId="3C85FF0F" w14:textId="77777777" w:rsidR="00990B14" w:rsidRDefault="00000000">
            <w:pPr>
              <w:spacing w:before="20" w:after="20"/>
              <w:jc w:val="both"/>
            </w:pPr>
            <w:r>
              <w:rPr>
                <w:sz w:val="18"/>
                <w:szCs w:val="18"/>
              </w:rPr>
              <w:t>Políticas, estimaciones y errores</w:t>
            </w:r>
          </w:p>
        </w:tc>
        <w:tc>
          <w:tcPr>
            <w:tcW w:w="1861" w:type="dxa"/>
            <w:shd w:val="clear" w:color="auto" w:fill="D9E2F3"/>
            <w:vAlign w:val="center"/>
          </w:tcPr>
          <w:p w14:paraId="7B96AA14" w14:textId="77777777" w:rsidR="00990B14" w:rsidRDefault="00000000">
            <w:pPr>
              <w:spacing w:before="20" w:after="20"/>
              <w:jc w:val="both"/>
            </w:pPr>
            <w:r>
              <w:rPr>
                <w:sz w:val="18"/>
                <w:szCs w:val="18"/>
              </w:rPr>
              <w:t>Confunde sus tratamientos.</w:t>
            </w:r>
          </w:p>
        </w:tc>
        <w:tc>
          <w:tcPr>
            <w:tcW w:w="1910" w:type="dxa"/>
            <w:shd w:val="clear" w:color="auto" w:fill="D9E2F3"/>
            <w:vAlign w:val="center"/>
          </w:tcPr>
          <w:p w14:paraId="5E07B3FB" w14:textId="77777777" w:rsidR="00990B14" w:rsidRDefault="00000000">
            <w:pPr>
              <w:spacing w:before="20" w:after="20"/>
              <w:jc w:val="both"/>
            </w:pPr>
            <w:r>
              <w:rPr>
                <w:sz w:val="18"/>
                <w:szCs w:val="18"/>
              </w:rPr>
              <w:t>Aplica el tratamiento de la NIC 8.</w:t>
            </w:r>
          </w:p>
        </w:tc>
        <w:tc>
          <w:tcPr>
            <w:tcW w:w="1909" w:type="dxa"/>
            <w:shd w:val="clear" w:color="auto" w:fill="D9E2F3"/>
            <w:vAlign w:val="center"/>
          </w:tcPr>
          <w:p w14:paraId="6890819E" w14:textId="77777777" w:rsidR="00990B14" w:rsidRDefault="00000000">
            <w:pPr>
              <w:spacing w:before="20" w:after="20"/>
              <w:jc w:val="both"/>
            </w:pPr>
            <w:r>
              <w:rPr>
                <w:sz w:val="18"/>
                <w:szCs w:val="18"/>
              </w:rPr>
              <w:t>Aplica la reexpresión retroactiva cuando corresponde.</w:t>
            </w:r>
          </w:p>
        </w:tc>
      </w:tr>
      <w:tr w:rsidR="00990B14" w14:paraId="109ECA36" w14:textId="77777777">
        <w:trPr>
          <w:cantSplit/>
          <w:jc w:val="center"/>
        </w:trPr>
        <w:tc>
          <w:tcPr>
            <w:tcW w:w="1864" w:type="dxa"/>
            <w:vMerge/>
            <w:shd w:val="clear" w:color="auto" w:fill="4472C4"/>
            <w:vAlign w:val="center"/>
          </w:tcPr>
          <w:p w14:paraId="6DFFC856" w14:textId="77777777" w:rsidR="00990B14" w:rsidRDefault="00990B14">
            <w:pPr>
              <w:spacing w:before="20" w:after="20"/>
            </w:pPr>
          </w:p>
        </w:tc>
        <w:tc>
          <w:tcPr>
            <w:tcW w:w="1861" w:type="dxa"/>
            <w:shd w:val="clear" w:color="auto" w:fill="D9E2F3"/>
            <w:vAlign w:val="center"/>
          </w:tcPr>
          <w:p w14:paraId="08B56B74" w14:textId="77777777" w:rsidR="00990B14" w:rsidRDefault="00000000">
            <w:pPr>
              <w:spacing w:before="20" w:after="20"/>
              <w:jc w:val="both"/>
            </w:pPr>
            <w:r>
              <w:rPr>
                <w:sz w:val="18"/>
                <w:szCs w:val="18"/>
              </w:rPr>
              <w:t>Sustentación</w:t>
            </w:r>
          </w:p>
        </w:tc>
        <w:tc>
          <w:tcPr>
            <w:tcW w:w="1861" w:type="dxa"/>
            <w:shd w:val="clear" w:color="auto" w:fill="D9E2F3"/>
            <w:vAlign w:val="center"/>
          </w:tcPr>
          <w:p w14:paraId="32E7FD4F" w14:textId="77777777" w:rsidR="00990B14" w:rsidRDefault="00000000">
            <w:pPr>
              <w:spacing w:before="20" w:after="20"/>
              <w:jc w:val="both"/>
            </w:pPr>
            <w:r>
              <w:rPr>
                <w:sz w:val="18"/>
                <w:szCs w:val="18"/>
              </w:rPr>
              <w:t>No sustenta el tratamiento.</w:t>
            </w:r>
          </w:p>
        </w:tc>
        <w:tc>
          <w:tcPr>
            <w:tcW w:w="1910" w:type="dxa"/>
            <w:shd w:val="clear" w:color="auto" w:fill="D9E2F3"/>
            <w:vAlign w:val="center"/>
          </w:tcPr>
          <w:p w14:paraId="08ED9412" w14:textId="77777777" w:rsidR="00990B14" w:rsidRDefault="00000000">
            <w:pPr>
              <w:spacing w:before="20" w:after="20"/>
              <w:jc w:val="both"/>
            </w:pPr>
            <w:r>
              <w:rPr>
                <w:sz w:val="18"/>
                <w:szCs w:val="18"/>
              </w:rPr>
              <w:t>Sustenta el tratamiento ante el curso.</w:t>
            </w:r>
          </w:p>
        </w:tc>
        <w:tc>
          <w:tcPr>
            <w:tcW w:w="1909" w:type="dxa"/>
            <w:shd w:val="clear" w:color="auto" w:fill="D9E2F3"/>
            <w:vAlign w:val="center"/>
          </w:tcPr>
          <w:p w14:paraId="1D563E3F" w14:textId="77777777" w:rsidR="00990B14" w:rsidRDefault="00000000">
            <w:pPr>
              <w:spacing w:before="20" w:after="20"/>
              <w:jc w:val="both"/>
            </w:pPr>
            <w:r>
              <w:rPr>
                <w:sz w:val="18"/>
                <w:szCs w:val="18"/>
              </w:rPr>
              <w:t>Responde con fundamento normativo.</w:t>
            </w:r>
          </w:p>
        </w:tc>
      </w:tr>
      <w:tr w:rsidR="00990B14" w14:paraId="3B8E5B73" w14:textId="77777777">
        <w:trPr>
          <w:cantSplit/>
          <w:jc w:val="center"/>
        </w:trPr>
        <w:tc>
          <w:tcPr>
            <w:tcW w:w="1864" w:type="dxa"/>
            <w:vMerge/>
            <w:shd w:val="clear" w:color="auto" w:fill="4472C4"/>
            <w:vAlign w:val="center"/>
          </w:tcPr>
          <w:p w14:paraId="36C02C7F" w14:textId="77777777" w:rsidR="00990B14" w:rsidRDefault="00990B14">
            <w:pPr>
              <w:spacing w:before="20" w:after="20"/>
            </w:pPr>
          </w:p>
        </w:tc>
        <w:tc>
          <w:tcPr>
            <w:tcW w:w="5632" w:type="dxa"/>
            <w:gridSpan w:val="3"/>
            <w:shd w:val="clear" w:color="auto" w:fill="D9E2F3"/>
            <w:vAlign w:val="center"/>
          </w:tcPr>
          <w:p w14:paraId="0577C46E" w14:textId="77777777" w:rsidR="00990B14" w:rsidRDefault="00000000">
            <w:pPr>
              <w:keepNext/>
              <w:spacing w:before="20" w:after="20"/>
              <w:jc w:val="both"/>
            </w:pPr>
            <w:r>
              <w:rPr>
                <w:b/>
                <w:bCs/>
                <w:i/>
                <w:iCs/>
                <w:sz w:val="18"/>
                <w:szCs w:val="18"/>
              </w:rPr>
              <w:t xml:space="preserve">Producto 12: </w:t>
            </w:r>
            <w:r>
              <w:rPr>
                <w:sz w:val="18"/>
                <w:szCs w:val="18"/>
              </w:rPr>
              <w:t>Práctico de moneda extranjera y reexpresión</w:t>
            </w:r>
          </w:p>
        </w:tc>
        <w:tc>
          <w:tcPr>
            <w:tcW w:w="1909" w:type="dxa"/>
            <w:shd w:val="clear" w:color="auto" w:fill="D9E2F3"/>
            <w:vAlign w:val="center"/>
          </w:tcPr>
          <w:p w14:paraId="5EB75D97" w14:textId="77777777" w:rsidR="00990B14" w:rsidRDefault="00000000">
            <w:pPr>
              <w:spacing w:before="20" w:after="20"/>
              <w:jc w:val="center"/>
            </w:pPr>
            <w:r>
              <w:rPr>
                <w:b/>
                <w:bCs/>
                <w:sz w:val="18"/>
                <w:szCs w:val="18"/>
              </w:rPr>
              <w:t>7%</w:t>
            </w:r>
          </w:p>
        </w:tc>
      </w:tr>
      <w:tr w:rsidR="00990B14" w14:paraId="7FE43596" w14:textId="77777777">
        <w:trPr>
          <w:cantSplit/>
          <w:jc w:val="center"/>
        </w:trPr>
        <w:tc>
          <w:tcPr>
            <w:tcW w:w="1864" w:type="dxa"/>
            <w:vMerge/>
            <w:shd w:val="clear" w:color="auto" w:fill="4472C4"/>
            <w:vAlign w:val="center"/>
          </w:tcPr>
          <w:p w14:paraId="5F570C57" w14:textId="77777777" w:rsidR="00990B14" w:rsidRDefault="00990B14">
            <w:pPr>
              <w:spacing w:before="20" w:after="20"/>
            </w:pPr>
          </w:p>
        </w:tc>
        <w:tc>
          <w:tcPr>
            <w:tcW w:w="1861" w:type="dxa"/>
            <w:shd w:val="clear" w:color="auto" w:fill="4472C4"/>
            <w:vAlign w:val="center"/>
          </w:tcPr>
          <w:p w14:paraId="29813CF9" w14:textId="77777777" w:rsidR="00990B14" w:rsidRDefault="00000000">
            <w:pPr>
              <w:keepNext/>
              <w:spacing w:before="20" w:after="20"/>
              <w:jc w:val="center"/>
            </w:pPr>
            <w:r>
              <w:rPr>
                <w:b/>
                <w:bCs/>
                <w:i/>
                <w:iCs/>
                <w:color w:val="FFFFFF"/>
                <w:sz w:val="18"/>
                <w:szCs w:val="18"/>
              </w:rPr>
              <w:t>Criterio</w:t>
            </w:r>
          </w:p>
        </w:tc>
        <w:tc>
          <w:tcPr>
            <w:tcW w:w="1861" w:type="dxa"/>
            <w:shd w:val="clear" w:color="auto" w:fill="4472C4"/>
            <w:vAlign w:val="center"/>
          </w:tcPr>
          <w:p w14:paraId="5E0CEE5A"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3120E0FE" w14:textId="77777777" w:rsidR="00990B14" w:rsidRDefault="00000000">
            <w:pPr>
              <w:keepNext/>
              <w:spacing w:before="20" w:after="20"/>
              <w:jc w:val="center"/>
            </w:pPr>
            <w:r>
              <w:rPr>
                <w:b/>
                <w:bCs/>
                <w:i/>
                <w:iCs/>
                <w:color w:val="FFFFFF"/>
                <w:sz w:val="18"/>
                <w:szCs w:val="18"/>
              </w:rPr>
              <w:t>Suficiente (51–80)</w:t>
            </w:r>
          </w:p>
        </w:tc>
        <w:tc>
          <w:tcPr>
            <w:tcW w:w="1909" w:type="dxa"/>
            <w:shd w:val="clear" w:color="auto" w:fill="4472C4"/>
            <w:vAlign w:val="center"/>
          </w:tcPr>
          <w:p w14:paraId="55643222" w14:textId="77777777" w:rsidR="00990B14" w:rsidRDefault="00000000">
            <w:pPr>
              <w:keepNext/>
              <w:spacing w:before="20" w:after="20"/>
              <w:jc w:val="center"/>
            </w:pPr>
            <w:r>
              <w:rPr>
                <w:b/>
                <w:bCs/>
                <w:i/>
                <w:iCs/>
                <w:color w:val="FFFFFF"/>
                <w:sz w:val="18"/>
                <w:szCs w:val="18"/>
              </w:rPr>
              <w:t>Destacado (81–100)</w:t>
            </w:r>
          </w:p>
        </w:tc>
      </w:tr>
      <w:tr w:rsidR="00990B14" w14:paraId="37DE34F7" w14:textId="77777777">
        <w:trPr>
          <w:cantSplit/>
          <w:jc w:val="center"/>
        </w:trPr>
        <w:tc>
          <w:tcPr>
            <w:tcW w:w="1864" w:type="dxa"/>
            <w:vMerge/>
            <w:shd w:val="clear" w:color="auto" w:fill="4472C4"/>
            <w:vAlign w:val="center"/>
          </w:tcPr>
          <w:p w14:paraId="70E8C9A1" w14:textId="77777777" w:rsidR="00990B14" w:rsidRDefault="00990B14">
            <w:pPr>
              <w:spacing w:before="20" w:after="20"/>
            </w:pPr>
          </w:p>
        </w:tc>
        <w:tc>
          <w:tcPr>
            <w:tcW w:w="1861" w:type="dxa"/>
            <w:shd w:val="clear" w:color="auto" w:fill="D9E2F3"/>
            <w:vAlign w:val="center"/>
          </w:tcPr>
          <w:p w14:paraId="2D8C155C" w14:textId="77777777" w:rsidR="00990B14" w:rsidRDefault="00000000">
            <w:pPr>
              <w:spacing w:before="20" w:after="20"/>
              <w:jc w:val="both"/>
            </w:pPr>
            <w:r>
              <w:rPr>
                <w:sz w:val="18"/>
                <w:szCs w:val="18"/>
              </w:rPr>
              <w:t>Moneda extranjera</w:t>
            </w:r>
          </w:p>
        </w:tc>
        <w:tc>
          <w:tcPr>
            <w:tcW w:w="1861" w:type="dxa"/>
            <w:shd w:val="clear" w:color="auto" w:fill="D9E2F3"/>
            <w:vAlign w:val="center"/>
          </w:tcPr>
          <w:p w14:paraId="721C253D" w14:textId="77777777" w:rsidR="00990B14" w:rsidRDefault="00000000">
            <w:pPr>
              <w:spacing w:before="20" w:after="20"/>
              <w:jc w:val="both"/>
            </w:pPr>
            <w:r>
              <w:rPr>
                <w:sz w:val="18"/>
                <w:szCs w:val="18"/>
              </w:rPr>
              <w:t>Calcula mal las diferencias de cambio.</w:t>
            </w:r>
          </w:p>
        </w:tc>
        <w:tc>
          <w:tcPr>
            <w:tcW w:w="1910" w:type="dxa"/>
            <w:shd w:val="clear" w:color="auto" w:fill="D9E2F3"/>
            <w:vAlign w:val="center"/>
          </w:tcPr>
          <w:p w14:paraId="3CCD858E" w14:textId="77777777" w:rsidR="00990B14" w:rsidRDefault="00000000">
            <w:pPr>
              <w:spacing w:before="20" w:after="20"/>
              <w:jc w:val="both"/>
            </w:pPr>
            <w:r>
              <w:rPr>
                <w:sz w:val="18"/>
                <w:szCs w:val="18"/>
              </w:rPr>
              <w:t>Calcula las diferencias de cambio.</w:t>
            </w:r>
          </w:p>
        </w:tc>
        <w:tc>
          <w:tcPr>
            <w:tcW w:w="1909" w:type="dxa"/>
            <w:shd w:val="clear" w:color="auto" w:fill="D9E2F3"/>
            <w:vAlign w:val="center"/>
          </w:tcPr>
          <w:p w14:paraId="33895DBF" w14:textId="77777777" w:rsidR="00990B14" w:rsidRDefault="00000000">
            <w:pPr>
              <w:spacing w:before="20" w:after="20"/>
              <w:jc w:val="both"/>
            </w:pPr>
            <w:r>
              <w:rPr>
                <w:sz w:val="18"/>
                <w:szCs w:val="18"/>
              </w:rPr>
              <w:t>Distingue partidas monetarias y no monetarias.</w:t>
            </w:r>
          </w:p>
        </w:tc>
      </w:tr>
      <w:tr w:rsidR="00990B14" w14:paraId="3D1FC492" w14:textId="77777777">
        <w:trPr>
          <w:cantSplit/>
          <w:jc w:val="center"/>
        </w:trPr>
        <w:tc>
          <w:tcPr>
            <w:tcW w:w="1864" w:type="dxa"/>
            <w:vMerge/>
            <w:shd w:val="clear" w:color="auto" w:fill="4472C4"/>
            <w:vAlign w:val="center"/>
          </w:tcPr>
          <w:p w14:paraId="62A2B3A2" w14:textId="77777777" w:rsidR="00990B14" w:rsidRDefault="00990B14">
            <w:pPr>
              <w:spacing w:before="20" w:after="20"/>
            </w:pPr>
          </w:p>
        </w:tc>
        <w:tc>
          <w:tcPr>
            <w:tcW w:w="1861" w:type="dxa"/>
            <w:shd w:val="clear" w:color="auto" w:fill="D9E2F3"/>
            <w:vAlign w:val="center"/>
          </w:tcPr>
          <w:p w14:paraId="16D227C5" w14:textId="77777777" w:rsidR="00990B14" w:rsidRDefault="00000000">
            <w:pPr>
              <w:spacing w:before="20" w:after="20"/>
              <w:jc w:val="both"/>
            </w:pPr>
            <w:r>
              <w:rPr>
                <w:sz w:val="18"/>
                <w:szCs w:val="18"/>
              </w:rPr>
              <w:t>Reexpresión</w:t>
            </w:r>
          </w:p>
        </w:tc>
        <w:tc>
          <w:tcPr>
            <w:tcW w:w="1861" w:type="dxa"/>
            <w:shd w:val="clear" w:color="auto" w:fill="D9E2F3"/>
            <w:vAlign w:val="center"/>
          </w:tcPr>
          <w:p w14:paraId="174C62D9" w14:textId="77777777" w:rsidR="00990B14" w:rsidRDefault="00000000">
            <w:pPr>
              <w:spacing w:before="20" w:after="20"/>
              <w:jc w:val="both"/>
            </w:pPr>
            <w:r>
              <w:rPr>
                <w:sz w:val="18"/>
                <w:szCs w:val="18"/>
              </w:rPr>
              <w:t>No aplica el índice.</w:t>
            </w:r>
          </w:p>
        </w:tc>
        <w:tc>
          <w:tcPr>
            <w:tcW w:w="1910" w:type="dxa"/>
            <w:shd w:val="clear" w:color="auto" w:fill="D9E2F3"/>
            <w:vAlign w:val="center"/>
          </w:tcPr>
          <w:p w14:paraId="6878CDBC" w14:textId="77777777" w:rsidR="00990B14" w:rsidRDefault="00000000">
            <w:pPr>
              <w:spacing w:before="20" w:after="20"/>
              <w:jc w:val="both"/>
            </w:pPr>
            <w:r>
              <w:rPr>
                <w:sz w:val="18"/>
                <w:szCs w:val="18"/>
              </w:rPr>
              <w:t>Reexpresa los estados con el índice general de precios.</w:t>
            </w:r>
          </w:p>
        </w:tc>
        <w:tc>
          <w:tcPr>
            <w:tcW w:w="1909" w:type="dxa"/>
            <w:shd w:val="clear" w:color="auto" w:fill="D9E2F3"/>
            <w:vAlign w:val="center"/>
          </w:tcPr>
          <w:p w14:paraId="7D799A42" w14:textId="77777777" w:rsidR="00990B14" w:rsidRDefault="00000000">
            <w:pPr>
              <w:spacing w:before="20" w:after="20"/>
              <w:jc w:val="both"/>
            </w:pPr>
            <w:r>
              <w:rPr>
                <w:sz w:val="18"/>
                <w:szCs w:val="18"/>
              </w:rPr>
              <w:t>Evalúa si la economía cumple los criterios de la NIC 29.</w:t>
            </w:r>
          </w:p>
        </w:tc>
      </w:tr>
      <w:tr w:rsidR="00990B14" w14:paraId="73CDEE83" w14:textId="77777777">
        <w:trPr>
          <w:cantSplit/>
          <w:jc w:val="center"/>
        </w:trPr>
        <w:tc>
          <w:tcPr>
            <w:tcW w:w="1864" w:type="dxa"/>
            <w:vMerge/>
            <w:shd w:val="clear" w:color="auto" w:fill="4472C4"/>
            <w:vAlign w:val="center"/>
          </w:tcPr>
          <w:p w14:paraId="06C4F2C7" w14:textId="77777777" w:rsidR="00990B14" w:rsidRDefault="00990B14">
            <w:pPr>
              <w:spacing w:before="20" w:after="20"/>
            </w:pPr>
          </w:p>
        </w:tc>
        <w:tc>
          <w:tcPr>
            <w:tcW w:w="1861" w:type="dxa"/>
            <w:shd w:val="clear" w:color="auto" w:fill="D9E2F3"/>
            <w:vAlign w:val="center"/>
          </w:tcPr>
          <w:p w14:paraId="4CA278AF" w14:textId="77777777" w:rsidR="00990B14" w:rsidRDefault="00000000">
            <w:pPr>
              <w:spacing w:before="20" w:after="20"/>
              <w:jc w:val="both"/>
            </w:pPr>
            <w:r>
              <w:rPr>
                <w:sz w:val="18"/>
                <w:szCs w:val="18"/>
              </w:rPr>
              <w:t>Desarrollo</w:t>
            </w:r>
          </w:p>
        </w:tc>
        <w:tc>
          <w:tcPr>
            <w:tcW w:w="1861" w:type="dxa"/>
            <w:shd w:val="clear" w:color="auto" w:fill="D9E2F3"/>
            <w:vAlign w:val="center"/>
          </w:tcPr>
          <w:p w14:paraId="0FFCBADA" w14:textId="77777777" w:rsidR="00990B14" w:rsidRDefault="00000000">
            <w:pPr>
              <w:spacing w:before="20" w:after="20"/>
              <w:jc w:val="both"/>
            </w:pPr>
            <w:r>
              <w:rPr>
                <w:sz w:val="18"/>
                <w:szCs w:val="18"/>
              </w:rPr>
              <w:t>El desarrollo está incompleto.</w:t>
            </w:r>
          </w:p>
        </w:tc>
        <w:tc>
          <w:tcPr>
            <w:tcW w:w="1910" w:type="dxa"/>
            <w:shd w:val="clear" w:color="auto" w:fill="D9E2F3"/>
            <w:vAlign w:val="center"/>
          </w:tcPr>
          <w:p w14:paraId="6D98F889" w14:textId="77777777" w:rsidR="00990B14" w:rsidRDefault="00000000">
            <w:pPr>
              <w:spacing w:before="20" w:after="20"/>
              <w:jc w:val="both"/>
            </w:pPr>
            <w:r>
              <w:rPr>
                <w:sz w:val="18"/>
                <w:szCs w:val="18"/>
              </w:rPr>
              <w:t>Resuelve todo el práctico.</w:t>
            </w:r>
          </w:p>
        </w:tc>
        <w:tc>
          <w:tcPr>
            <w:tcW w:w="1909" w:type="dxa"/>
            <w:shd w:val="clear" w:color="auto" w:fill="D9E2F3"/>
            <w:vAlign w:val="center"/>
          </w:tcPr>
          <w:p w14:paraId="20839A94" w14:textId="77777777" w:rsidR="00990B14" w:rsidRDefault="00000000">
            <w:pPr>
              <w:spacing w:before="20" w:after="20"/>
              <w:jc w:val="both"/>
            </w:pPr>
            <w:r>
              <w:rPr>
                <w:sz w:val="18"/>
                <w:szCs w:val="18"/>
              </w:rPr>
              <w:t>El desarrollo es ordenado y verificado.</w:t>
            </w:r>
          </w:p>
        </w:tc>
      </w:tr>
      <w:tr w:rsidR="00990B14" w14:paraId="1B5AC46A" w14:textId="77777777">
        <w:trPr>
          <w:cantSplit/>
          <w:jc w:val="center"/>
        </w:trPr>
        <w:tc>
          <w:tcPr>
            <w:tcW w:w="1864" w:type="dxa"/>
            <w:vMerge/>
            <w:shd w:val="clear" w:color="auto" w:fill="4472C4"/>
            <w:vAlign w:val="center"/>
          </w:tcPr>
          <w:p w14:paraId="3E44141F" w14:textId="77777777" w:rsidR="00990B14" w:rsidRDefault="00990B14">
            <w:pPr>
              <w:spacing w:before="20" w:after="20"/>
            </w:pPr>
          </w:p>
        </w:tc>
        <w:tc>
          <w:tcPr>
            <w:tcW w:w="5632" w:type="dxa"/>
            <w:gridSpan w:val="3"/>
            <w:shd w:val="clear" w:color="auto" w:fill="D9E2F3"/>
            <w:vAlign w:val="center"/>
          </w:tcPr>
          <w:p w14:paraId="54C4BEE7" w14:textId="77777777" w:rsidR="00990B14" w:rsidRDefault="00000000">
            <w:pPr>
              <w:keepNext/>
              <w:spacing w:before="20" w:after="20"/>
              <w:jc w:val="both"/>
            </w:pPr>
            <w:r>
              <w:rPr>
                <w:b/>
                <w:bCs/>
                <w:i/>
                <w:iCs/>
                <w:sz w:val="18"/>
                <w:szCs w:val="18"/>
              </w:rPr>
              <w:t xml:space="preserve">Producto 13: </w:t>
            </w:r>
            <w:r>
              <w:rPr>
                <w:sz w:val="18"/>
                <w:szCs w:val="18"/>
              </w:rPr>
              <w:t>Hoja de costo de importación de inventarios</w:t>
            </w:r>
          </w:p>
        </w:tc>
        <w:tc>
          <w:tcPr>
            <w:tcW w:w="1909" w:type="dxa"/>
            <w:shd w:val="clear" w:color="auto" w:fill="D9E2F3"/>
            <w:vAlign w:val="center"/>
          </w:tcPr>
          <w:p w14:paraId="1ADC955D" w14:textId="77777777" w:rsidR="00990B14" w:rsidRDefault="00000000">
            <w:pPr>
              <w:spacing w:before="20" w:after="20"/>
              <w:jc w:val="center"/>
            </w:pPr>
            <w:r>
              <w:rPr>
                <w:b/>
                <w:bCs/>
                <w:sz w:val="18"/>
                <w:szCs w:val="18"/>
              </w:rPr>
              <w:t>8%</w:t>
            </w:r>
          </w:p>
        </w:tc>
      </w:tr>
      <w:tr w:rsidR="00990B14" w14:paraId="44ABF707" w14:textId="77777777">
        <w:trPr>
          <w:cantSplit/>
          <w:jc w:val="center"/>
        </w:trPr>
        <w:tc>
          <w:tcPr>
            <w:tcW w:w="1864" w:type="dxa"/>
            <w:vMerge/>
            <w:shd w:val="clear" w:color="auto" w:fill="4472C4"/>
            <w:vAlign w:val="center"/>
          </w:tcPr>
          <w:p w14:paraId="042DCFC2" w14:textId="77777777" w:rsidR="00990B14" w:rsidRDefault="00990B14">
            <w:pPr>
              <w:spacing w:before="20" w:after="20"/>
            </w:pPr>
          </w:p>
        </w:tc>
        <w:tc>
          <w:tcPr>
            <w:tcW w:w="1861" w:type="dxa"/>
            <w:shd w:val="clear" w:color="auto" w:fill="4472C4"/>
            <w:vAlign w:val="center"/>
          </w:tcPr>
          <w:p w14:paraId="6C87F042" w14:textId="77777777" w:rsidR="00990B14" w:rsidRDefault="00000000">
            <w:pPr>
              <w:keepNext/>
              <w:spacing w:before="20" w:after="20"/>
              <w:jc w:val="center"/>
            </w:pPr>
            <w:r>
              <w:rPr>
                <w:b/>
                <w:bCs/>
                <w:i/>
                <w:iCs/>
                <w:color w:val="FFFFFF"/>
                <w:sz w:val="18"/>
                <w:szCs w:val="18"/>
              </w:rPr>
              <w:t>Criterio</w:t>
            </w:r>
          </w:p>
        </w:tc>
        <w:tc>
          <w:tcPr>
            <w:tcW w:w="1861" w:type="dxa"/>
            <w:shd w:val="clear" w:color="auto" w:fill="4472C4"/>
            <w:vAlign w:val="center"/>
          </w:tcPr>
          <w:p w14:paraId="36190951"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79872D48" w14:textId="77777777" w:rsidR="00990B14" w:rsidRDefault="00000000">
            <w:pPr>
              <w:keepNext/>
              <w:spacing w:before="20" w:after="20"/>
              <w:jc w:val="center"/>
            </w:pPr>
            <w:r>
              <w:rPr>
                <w:b/>
                <w:bCs/>
                <w:i/>
                <w:iCs/>
                <w:color w:val="FFFFFF"/>
                <w:sz w:val="18"/>
                <w:szCs w:val="18"/>
              </w:rPr>
              <w:t>Suficiente (51–80)</w:t>
            </w:r>
          </w:p>
        </w:tc>
        <w:tc>
          <w:tcPr>
            <w:tcW w:w="1909" w:type="dxa"/>
            <w:shd w:val="clear" w:color="auto" w:fill="4472C4"/>
            <w:vAlign w:val="center"/>
          </w:tcPr>
          <w:p w14:paraId="51E12096" w14:textId="77777777" w:rsidR="00990B14" w:rsidRDefault="00000000">
            <w:pPr>
              <w:keepNext/>
              <w:spacing w:before="20" w:after="20"/>
              <w:jc w:val="center"/>
            </w:pPr>
            <w:r>
              <w:rPr>
                <w:b/>
                <w:bCs/>
                <w:i/>
                <w:iCs/>
                <w:color w:val="FFFFFF"/>
                <w:sz w:val="18"/>
                <w:szCs w:val="18"/>
              </w:rPr>
              <w:t>Destacado (81–100)</w:t>
            </w:r>
          </w:p>
        </w:tc>
      </w:tr>
      <w:tr w:rsidR="00990B14" w14:paraId="1236FA43" w14:textId="77777777">
        <w:trPr>
          <w:cantSplit/>
          <w:jc w:val="center"/>
        </w:trPr>
        <w:tc>
          <w:tcPr>
            <w:tcW w:w="1864" w:type="dxa"/>
            <w:vMerge/>
            <w:shd w:val="clear" w:color="auto" w:fill="4472C4"/>
            <w:vAlign w:val="center"/>
          </w:tcPr>
          <w:p w14:paraId="1430ADE6" w14:textId="77777777" w:rsidR="00990B14" w:rsidRDefault="00990B14">
            <w:pPr>
              <w:spacing w:before="20" w:after="20"/>
            </w:pPr>
          </w:p>
        </w:tc>
        <w:tc>
          <w:tcPr>
            <w:tcW w:w="1861" w:type="dxa"/>
            <w:shd w:val="clear" w:color="auto" w:fill="D9E2F3"/>
            <w:vAlign w:val="center"/>
          </w:tcPr>
          <w:p w14:paraId="2A8C08AD" w14:textId="77777777" w:rsidR="00990B14" w:rsidRDefault="00000000">
            <w:pPr>
              <w:spacing w:before="20" w:after="20"/>
              <w:jc w:val="both"/>
            </w:pPr>
            <w:r>
              <w:rPr>
                <w:sz w:val="18"/>
                <w:szCs w:val="18"/>
              </w:rPr>
              <w:t>INCOTERMS</w:t>
            </w:r>
          </w:p>
        </w:tc>
        <w:tc>
          <w:tcPr>
            <w:tcW w:w="1861" w:type="dxa"/>
            <w:shd w:val="clear" w:color="auto" w:fill="D9E2F3"/>
            <w:vAlign w:val="center"/>
          </w:tcPr>
          <w:p w14:paraId="5935B08F" w14:textId="77777777" w:rsidR="00990B14" w:rsidRDefault="00000000">
            <w:pPr>
              <w:spacing w:before="20" w:after="20"/>
              <w:jc w:val="both"/>
            </w:pPr>
            <w:r>
              <w:rPr>
                <w:sz w:val="18"/>
                <w:szCs w:val="18"/>
              </w:rPr>
              <w:t>Aplica mal el término</w:t>
            </w:r>
          </w:p>
        </w:tc>
        <w:tc>
          <w:tcPr>
            <w:tcW w:w="1910" w:type="dxa"/>
            <w:shd w:val="clear" w:color="auto" w:fill="D9E2F3"/>
            <w:vAlign w:val="center"/>
          </w:tcPr>
          <w:p w14:paraId="7BC3445F" w14:textId="77777777" w:rsidR="00990B14" w:rsidRDefault="00000000">
            <w:pPr>
              <w:spacing w:before="20" w:after="20"/>
              <w:jc w:val="both"/>
            </w:pPr>
            <w:r>
              <w:rPr>
                <w:sz w:val="18"/>
                <w:szCs w:val="18"/>
              </w:rPr>
              <w:t>Aplica el INCOTERM pactado.</w:t>
            </w:r>
          </w:p>
        </w:tc>
        <w:tc>
          <w:tcPr>
            <w:tcW w:w="1909" w:type="dxa"/>
            <w:shd w:val="clear" w:color="auto" w:fill="D9E2F3"/>
            <w:vAlign w:val="center"/>
          </w:tcPr>
          <w:p w14:paraId="0D22FC55" w14:textId="77777777" w:rsidR="00990B14" w:rsidRDefault="00000000">
            <w:pPr>
              <w:spacing w:before="20" w:after="20"/>
              <w:jc w:val="both"/>
            </w:pPr>
            <w:r>
              <w:rPr>
                <w:sz w:val="18"/>
                <w:szCs w:val="18"/>
              </w:rPr>
              <w:t>Explica la transferencia de riesgos en el término aplicado.</w:t>
            </w:r>
          </w:p>
        </w:tc>
      </w:tr>
      <w:tr w:rsidR="00990B14" w14:paraId="493D98CF" w14:textId="77777777">
        <w:trPr>
          <w:cantSplit/>
          <w:jc w:val="center"/>
        </w:trPr>
        <w:tc>
          <w:tcPr>
            <w:tcW w:w="1864" w:type="dxa"/>
            <w:vMerge/>
            <w:shd w:val="clear" w:color="auto" w:fill="4472C4"/>
            <w:vAlign w:val="center"/>
          </w:tcPr>
          <w:p w14:paraId="622B845A" w14:textId="77777777" w:rsidR="00990B14" w:rsidRDefault="00990B14">
            <w:pPr>
              <w:spacing w:before="20" w:after="20"/>
            </w:pPr>
          </w:p>
        </w:tc>
        <w:tc>
          <w:tcPr>
            <w:tcW w:w="1861" w:type="dxa"/>
            <w:shd w:val="clear" w:color="auto" w:fill="D9E2F3"/>
            <w:vAlign w:val="center"/>
          </w:tcPr>
          <w:p w14:paraId="3A814A63" w14:textId="77777777" w:rsidR="00990B14" w:rsidRDefault="00000000">
            <w:pPr>
              <w:spacing w:before="20" w:after="20"/>
              <w:jc w:val="both"/>
            </w:pPr>
            <w:r>
              <w:rPr>
                <w:sz w:val="18"/>
                <w:szCs w:val="18"/>
              </w:rPr>
              <w:t>Costo</w:t>
            </w:r>
          </w:p>
        </w:tc>
        <w:tc>
          <w:tcPr>
            <w:tcW w:w="1861" w:type="dxa"/>
            <w:shd w:val="clear" w:color="auto" w:fill="D9E2F3"/>
            <w:vAlign w:val="center"/>
          </w:tcPr>
          <w:p w14:paraId="0D0F7BB4" w14:textId="77777777" w:rsidR="00990B14" w:rsidRDefault="00000000">
            <w:pPr>
              <w:spacing w:before="20" w:after="20"/>
              <w:jc w:val="both"/>
            </w:pPr>
            <w:r>
              <w:rPr>
                <w:sz w:val="18"/>
                <w:szCs w:val="18"/>
              </w:rPr>
              <w:t>Omite tributos o gastos.</w:t>
            </w:r>
          </w:p>
        </w:tc>
        <w:tc>
          <w:tcPr>
            <w:tcW w:w="1910" w:type="dxa"/>
            <w:shd w:val="clear" w:color="auto" w:fill="D9E2F3"/>
            <w:vAlign w:val="center"/>
          </w:tcPr>
          <w:p w14:paraId="260963A9" w14:textId="77777777" w:rsidR="00990B14" w:rsidRDefault="00000000">
            <w:pPr>
              <w:spacing w:before="20" w:after="20"/>
              <w:jc w:val="both"/>
            </w:pPr>
            <w:r>
              <w:rPr>
                <w:sz w:val="18"/>
                <w:szCs w:val="18"/>
              </w:rPr>
              <w:t>Determina el costo de importación con sus tributos.</w:t>
            </w:r>
          </w:p>
        </w:tc>
        <w:tc>
          <w:tcPr>
            <w:tcW w:w="1909" w:type="dxa"/>
            <w:shd w:val="clear" w:color="auto" w:fill="D9E2F3"/>
            <w:vAlign w:val="center"/>
          </w:tcPr>
          <w:p w14:paraId="514117DF" w14:textId="77777777" w:rsidR="00990B14" w:rsidRDefault="00000000">
            <w:pPr>
              <w:spacing w:before="20" w:after="20"/>
              <w:jc w:val="both"/>
            </w:pPr>
            <w:r>
              <w:rPr>
                <w:sz w:val="18"/>
                <w:szCs w:val="18"/>
              </w:rPr>
              <w:t>Separa los tributos recuperables de los que forman parte del costo.</w:t>
            </w:r>
          </w:p>
        </w:tc>
      </w:tr>
      <w:tr w:rsidR="00990B14" w14:paraId="775C3603" w14:textId="77777777">
        <w:trPr>
          <w:cantSplit/>
          <w:jc w:val="center"/>
        </w:trPr>
        <w:tc>
          <w:tcPr>
            <w:tcW w:w="1864" w:type="dxa"/>
            <w:vMerge/>
            <w:shd w:val="clear" w:color="auto" w:fill="4472C4"/>
            <w:vAlign w:val="center"/>
          </w:tcPr>
          <w:p w14:paraId="5B1C0C06" w14:textId="77777777" w:rsidR="00990B14" w:rsidRDefault="00990B14">
            <w:pPr>
              <w:spacing w:before="20" w:after="20"/>
            </w:pPr>
          </w:p>
        </w:tc>
        <w:tc>
          <w:tcPr>
            <w:tcW w:w="1861" w:type="dxa"/>
            <w:shd w:val="clear" w:color="auto" w:fill="D9E2F3"/>
            <w:vAlign w:val="center"/>
          </w:tcPr>
          <w:p w14:paraId="5E061F50" w14:textId="77777777" w:rsidR="00990B14" w:rsidRDefault="00000000">
            <w:pPr>
              <w:spacing w:before="20" w:after="20"/>
              <w:jc w:val="both"/>
            </w:pPr>
            <w:r>
              <w:rPr>
                <w:sz w:val="18"/>
                <w:szCs w:val="18"/>
              </w:rPr>
              <w:t>Hoja de cálculo</w:t>
            </w:r>
          </w:p>
        </w:tc>
        <w:tc>
          <w:tcPr>
            <w:tcW w:w="1861" w:type="dxa"/>
            <w:shd w:val="clear" w:color="auto" w:fill="D9E2F3"/>
            <w:vAlign w:val="center"/>
          </w:tcPr>
          <w:p w14:paraId="2BEC37CD" w14:textId="77777777" w:rsidR="00990B14" w:rsidRDefault="00000000">
            <w:pPr>
              <w:spacing w:before="20" w:after="20"/>
              <w:jc w:val="both"/>
            </w:pPr>
            <w:r>
              <w:rPr>
                <w:sz w:val="18"/>
                <w:szCs w:val="18"/>
              </w:rPr>
              <w:t>La hoja tiene errores de fórmula.</w:t>
            </w:r>
          </w:p>
        </w:tc>
        <w:tc>
          <w:tcPr>
            <w:tcW w:w="1910" w:type="dxa"/>
            <w:shd w:val="clear" w:color="auto" w:fill="D9E2F3"/>
            <w:vAlign w:val="center"/>
          </w:tcPr>
          <w:p w14:paraId="202570FE" w14:textId="77777777" w:rsidR="00990B14" w:rsidRDefault="00000000">
            <w:pPr>
              <w:spacing w:before="20" w:after="20"/>
              <w:jc w:val="both"/>
            </w:pPr>
            <w:r>
              <w:rPr>
                <w:sz w:val="18"/>
                <w:szCs w:val="18"/>
              </w:rPr>
              <w:t>La hoja calcula correctamente el costo.</w:t>
            </w:r>
          </w:p>
        </w:tc>
        <w:tc>
          <w:tcPr>
            <w:tcW w:w="1909" w:type="dxa"/>
            <w:shd w:val="clear" w:color="auto" w:fill="D9E2F3"/>
            <w:vAlign w:val="center"/>
          </w:tcPr>
          <w:p w14:paraId="576C789E" w14:textId="77777777" w:rsidR="00990B14" w:rsidRDefault="00000000">
            <w:pPr>
              <w:spacing w:before="20" w:after="20"/>
              <w:jc w:val="both"/>
            </w:pPr>
            <w:r>
              <w:rPr>
                <w:sz w:val="18"/>
                <w:szCs w:val="18"/>
              </w:rPr>
              <w:t>La hoja permite modificar los supuestos.</w:t>
            </w:r>
          </w:p>
        </w:tc>
      </w:tr>
      <w:tr w:rsidR="00990B14" w14:paraId="1CC7EE75" w14:textId="77777777">
        <w:trPr>
          <w:cantSplit/>
          <w:jc w:val="center"/>
        </w:trPr>
        <w:tc>
          <w:tcPr>
            <w:tcW w:w="1864" w:type="dxa"/>
            <w:vMerge/>
            <w:shd w:val="clear" w:color="auto" w:fill="4472C4"/>
            <w:vAlign w:val="center"/>
          </w:tcPr>
          <w:p w14:paraId="27911185" w14:textId="77777777" w:rsidR="00990B14" w:rsidRDefault="00990B14">
            <w:pPr>
              <w:spacing w:before="20" w:after="20"/>
            </w:pPr>
          </w:p>
        </w:tc>
        <w:tc>
          <w:tcPr>
            <w:tcW w:w="5632" w:type="dxa"/>
            <w:gridSpan w:val="3"/>
            <w:shd w:val="clear" w:color="auto" w:fill="D9E2F3"/>
            <w:vAlign w:val="center"/>
          </w:tcPr>
          <w:p w14:paraId="0359DBAF" w14:textId="77777777" w:rsidR="00990B14" w:rsidRDefault="00000000">
            <w:pPr>
              <w:keepNext/>
              <w:spacing w:before="20" w:after="20"/>
              <w:jc w:val="both"/>
            </w:pPr>
            <w:r>
              <w:rPr>
                <w:b/>
                <w:bCs/>
                <w:i/>
                <w:iCs/>
                <w:sz w:val="18"/>
                <w:szCs w:val="18"/>
              </w:rPr>
              <w:t xml:space="preserve">Producto 14: </w:t>
            </w:r>
            <w:r>
              <w:rPr>
                <w:sz w:val="18"/>
                <w:szCs w:val="18"/>
              </w:rPr>
              <w:t>Cuadro de medición de activos</w:t>
            </w:r>
          </w:p>
        </w:tc>
        <w:tc>
          <w:tcPr>
            <w:tcW w:w="1909" w:type="dxa"/>
            <w:shd w:val="clear" w:color="auto" w:fill="D9E2F3"/>
            <w:vAlign w:val="center"/>
          </w:tcPr>
          <w:p w14:paraId="294D7D2D" w14:textId="77777777" w:rsidR="00990B14" w:rsidRDefault="00000000">
            <w:pPr>
              <w:spacing w:before="20" w:after="20"/>
              <w:jc w:val="center"/>
            </w:pPr>
            <w:r>
              <w:rPr>
                <w:b/>
                <w:bCs/>
                <w:sz w:val="18"/>
                <w:szCs w:val="18"/>
              </w:rPr>
              <w:t>8%</w:t>
            </w:r>
          </w:p>
        </w:tc>
      </w:tr>
      <w:tr w:rsidR="00990B14" w14:paraId="27FE7F52" w14:textId="77777777">
        <w:trPr>
          <w:cantSplit/>
          <w:jc w:val="center"/>
        </w:trPr>
        <w:tc>
          <w:tcPr>
            <w:tcW w:w="1864" w:type="dxa"/>
            <w:vMerge/>
            <w:shd w:val="clear" w:color="auto" w:fill="4472C4"/>
            <w:vAlign w:val="center"/>
          </w:tcPr>
          <w:p w14:paraId="3D13C071" w14:textId="77777777" w:rsidR="00990B14" w:rsidRDefault="00990B14">
            <w:pPr>
              <w:spacing w:before="20" w:after="20"/>
            </w:pPr>
          </w:p>
        </w:tc>
        <w:tc>
          <w:tcPr>
            <w:tcW w:w="1861" w:type="dxa"/>
            <w:shd w:val="clear" w:color="auto" w:fill="4472C4"/>
            <w:vAlign w:val="center"/>
          </w:tcPr>
          <w:p w14:paraId="39CA82E5" w14:textId="77777777" w:rsidR="00990B14" w:rsidRDefault="00000000">
            <w:pPr>
              <w:keepNext/>
              <w:spacing w:before="20" w:after="20"/>
              <w:jc w:val="center"/>
            </w:pPr>
            <w:r>
              <w:rPr>
                <w:b/>
                <w:bCs/>
                <w:i/>
                <w:iCs/>
                <w:color w:val="FFFFFF"/>
                <w:sz w:val="18"/>
                <w:szCs w:val="18"/>
              </w:rPr>
              <w:t>Criterio</w:t>
            </w:r>
          </w:p>
        </w:tc>
        <w:tc>
          <w:tcPr>
            <w:tcW w:w="1861" w:type="dxa"/>
            <w:shd w:val="clear" w:color="auto" w:fill="4472C4"/>
            <w:vAlign w:val="center"/>
          </w:tcPr>
          <w:p w14:paraId="290C6ED9"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5D0544A3" w14:textId="77777777" w:rsidR="00990B14" w:rsidRDefault="00000000">
            <w:pPr>
              <w:keepNext/>
              <w:spacing w:before="20" w:after="20"/>
              <w:jc w:val="center"/>
            </w:pPr>
            <w:r>
              <w:rPr>
                <w:b/>
                <w:bCs/>
                <w:i/>
                <w:iCs/>
                <w:color w:val="FFFFFF"/>
                <w:sz w:val="18"/>
                <w:szCs w:val="18"/>
              </w:rPr>
              <w:t>Suficiente (51–80)</w:t>
            </w:r>
          </w:p>
        </w:tc>
        <w:tc>
          <w:tcPr>
            <w:tcW w:w="1909" w:type="dxa"/>
            <w:shd w:val="clear" w:color="auto" w:fill="4472C4"/>
            <w:vAlign w:val="center"/>
          </w:tcPr>
          <w:p w14:paraId="2E26F7D5" w14:textId="77777777" w:rsidR="00990B14" w:rsidRDefault="00000000">
            <w:pPr>
              <w:keepNext/>
              <w:spacing w:before="20" w:after="20"/>
              <w:jc w:val="center"/>
            </w:pPr>
            <w:r>
              <w:rPr>
                <w:b/>
                <w:bCs/>
                <w:i/>
                <w:iCs/>
                <w:color w:val="FFFFFF"/>
                <w:sz w:val="18"/>
                <w:szCs w:val="18"/>
              </w:rPr>
              <w:t>Destacado (81–100)</w:t>
            </w:r>
          </w:p>
        </w:tc>
      </w:tr>
      <w:tr w:rsidR="00990B14" w14:paraId="53FA0BDC" w14:textId="77777777">
        <w:trPr>
          <w:cantSplit/>
          <w:jc w:val="center"/>
        </w:trPr>
        <w:tc>
          <w:tcPr>
            <w:tcW w:w="1864" w:type="dxa"/>
            <w:vMerge/>
            <w:shd w:val="clear" w:color="auto" w:fill="4472C4"/>
            <w:vAlign w:val="center"/>
          </w:tcPr>
          <w:p w14:paraId="69673791" w14:textId="77777777" w:rsidR="00990B14" w:rsidRDefault="00990B14">
            <w:pPr>
              <w:spacing w:before="20" w:after="20"/>
            </w:pPr>
          </w:p>
        </w:tc>
        <w:tc>
          <w:tcPr>
            <w:tcW w:w="1861" w:type="dxa"/>
            <w:shd w:val="clear" w:color="auto" w:fill="D9E2F3"/>
            <w:vAlign w:val="center"/>
          </w:tcPr>
          <w:p w14:paraId="37CB9A28" w14:textId="77777777" w:rsidR="00990B14" w:rsidRDefault="00000000">
            <w:pPr>
              <w:spacing w:before="20" w:after="20"/>
              <w:jc w:val="both"/>
            </w:pPr>
            <w:r>
              <w:rPr>
                <w:sz w:val="18"/>
                <w:szCs w:val="18"/>
              </w:rPr>
              <w:t>Medición inicial</w:t>
            </w:r>
          </w:p>
        </w:tc>
        <w:tc>
          <w:tcPr>
            <w:tcW w:w="1861" w:type="dxa"/>
            <w:shd w:val="clear" w:color="auto" w:fill="D9E2F3"/>
            <w:vAlign w:val="center"/>
          </w:tcPr>
          <w:p w14:paraId="18E5BA43" w14:textId="77777777" w:rsidR="00990B14" w:rsidRDefault="00000000">
            <w:pPr>
              <w:spacing w:before="20" w:after="20"/>
              <w:jc w:val="both"/>
            </w:pPr>
            <w:r>
              <w:rPr>
                <w:sz w:val="18"/>
                <w:szCs w:val="18"/>
              </w:rPr>
              <w:t>Omite componentes del costo.</w:t>
            </w:r>
          </w:p>
        </w:tc>
        <w:tc>
          <w:tcPr>
            <w:tcW w:w="1910" w:type="dxa"/>
            <w:shd w:val="clear" w:color="auto" w:fill="D9E2F3"/>
            <w:vAlign w:val="center"/>
          </w:tcPr>
          <w:p w14:paraId="40276BFD" w14:textId="77777777" w:rsidR="00990B14" w:rsidRDefault="00000000">
            <w:pPr>
              <w:spacing w:before="20" w:after="20"/>
              <w:jc w:val="both"/>
            </w:pPr>
            <w:r>
              <w:rPr>
                <w:sz w:val="18"/>
                <w:szCs w:val="18"/>
              </w:rPr>
              <w:t>Determina el costo inicial de cada activo.</w:t>
            </w:r>
          </w:p>
        </w:tc>
        <w:tc>
          <w:tcPr>
            <w:tcW w:w="1909" w:type="dxa"/>
            <w:shd w:val="clear" w:color="auto" w:fill="D9E2F3"/>
            <w:vAlign w:val="center"/>
          </w:tcPr>
          <w:p w14:paraId="4366A5F9" w14:textId="77777777" w:rsidR="00990B14" w:rsidRDefault="00000000">
            <w:pPr>
              <w:spacing w:before="20" w:after="20"/>
              <w:jc w:val="both"/>
            </w:pPr>
            <w:r>
              <w:rPr>
                <w:sz w:val="18"/>
                <w:szCs w:val="18"/>
              </w:rPr>
              <w:t>Justifica los componentes incluidos y excluidos.</w:t>
            </w:r>
          </w:p>
        </w:tc>
      </w:tr>
      <w:tr w:rsidR="00990B14" w14:paraId="4936D2D9" w14:textId="77777777">
        <w:trPr>
          <w:cantSplit/>
          <w:jc w:val="center"/>
        </w:trPr>
        <w:tc>
          <w:tcPr>
            <w:tcW w:w="1864" w:type="dxa"/>
            <w:vMerge/>
            <w:shd w:val="clear" w:color="auto" w:fill="4472C4"/>
            <w:vAlign w:val="center"/>
          </w:tcPr>
          <w:p w14:paraId="3AA5DEEC" w14:textId="77777777" w:rsidR="00990B14" w:rsidRDefault="00990B14">
            <w:pPr>
              <w:spacing w:before="20" w:after="20"/>
            </w:pPr>
          </w:p>
        </w:tc>
        <w:tc>
          <w:tcPr>
            <w:tcW w:w="1861" w:type="dxa"/>
            <w:shd w:val="clear" w:color="auto" w:fill="D9E2F3"/>
            <w:vAlign w:val="center"/>
          </w:tcPr>
          <w:p w14:paraId="0865E213" w14:textId="77777777" w:rsidR="00990B14" w:rsidRDefault="00000000">
            <w:pPr>
              <w:spacing w:before="20" w:after="20"/>
              <w:jc w:val="both"/>
            </w:pPr>
            <w:r>
              <w:rPr>
                <w:sz w:val="18"/>
                <w:szCs w:val="18"/>
              </w:rPr>
              <w:t>Medición posterior</w:t>
            </w:r>
          </w:p>
        </w:tc>
        <w:tc>
          <w:tcPr>
            <w:tcW w:w="1861" w:type="dxa"/>
            <w:shd w:val="clear" w:color="auto" w:fill="D9E2F3"/>
            <w:vAlign w:val="center"/>
          </w:tcPr>
          <w:p w14:paraId="479E9A51" w14:textId="77777777" w:rsidR="00990B14" w:rsidRDefault="00000000">
            <w:pPr>
              <w:spacing w:before="20" w:after="20"/>
              <w:jc w:val="both"/>
            </w:pPr>
            <w:r>
              <w:rPr>
                <w:sz w:val="18"/>
                <w:szCs w:val="18"/>
              </w:rPr>
              <w:t>No aplica un modelo</w:t>
            </w:r>
          </w:p>
        </w:tc>
        <w:tc>
          <w:tcPr>
            <w:tcW w:w="1910" w:type="dxa"/>
            <w:shd w:val="clear" w:color="auto" w:fill="D9E2F3"/>
            <w:vAlign w:val="center"/>
          </w:tcPr>
          <w:p w14:paraId="2A92DDBC" w14:textId="77777777" w:rsidR="00990B14" w:rsidRDefault="00000000">
            <w:pPr>
              <w:spacing w:before="20" w:after="20"/>
              <w:jc w:val="both"/>
            </w:pPr>
            <w:r>
              <w:rPr>
                <w:sz w:val="18"/>
                <w:szCs w:val="18"/>
              </w:rPr>
              <w:t>Aplica el modelo del costo o de revaluación.</w:t>
            </w:r>
          </w:p>
        </w:tc>
        <w:tc>
          <w:tcPr>
            <w:tcW w:w="1909" w:type="dxa"/>
            <w:shd w:val="clear" w:color="auto" w:fill="D9E2F3"/>
            <w:vAlign w:val="center"/>
          </w:tcPr>
          <w:p w14:paraId="5F5133A3" w14:textId="77777777" w:rsidR="00990B14" w:rsidRDefault="00000000">
            <w:pPr>
              <w:spacing w:before="20" w:after="20"/>
              <w:jc w:val="both"/>
            </w:pPr>
            <w:r>
              <w:rPr>
                <w:sz w:val="18"/>
                <w:szCs w:val="18"/>
              </w:rPr>
              <w:t>Fundamenta los supuestos de vida útil y valor residual.</w:t>
            </w:r>
          </w:p>
        </w:tc>
      </w:tr>
      <w:tr w:rsidR="00990B14" w14:paraId="540E917F" w14:textId="77777777">
        <w:trPr>
          <w:cantSplit/>
          <w:jc w:val="center"/>
        </w:trPr>
        <w:tc>
          <w:tcPr>
            <w:tcW w:w="1864" w:type="dxa"/>
            <w:vMerge/>
            <w:shd w:val="clear" w:color="auto" w:fill="4472C4"/>
            <w:vAlign w:val="center"/>
          </w:tcPr>
          <w:p w14:paraId="5743B87B" w14:textId="77777777" w:rsidR="00990B14" w:rsidRDefault="00990B14">
            <w:pPr>
              <w:spacing w:before="20" w:after="20"/>
            </w:pPr>
          </w:p>
        </w:tc>
        <w:tc>
          <w:tcPr>
            <w:tcW w:w="1861" w:type="dxa"/>
            <w:shd w:val="clear" w:color="auto" w:fill="D9E2F3"/>
            <w:vAlign w:val="center"/>
          </w:tcPr>
          <w:p w14:paraId="5C0924DE" w14:textId="77777777" w:rsidR="00990B14" w:rsidRDefault="00000000">
            <w:pPr>
              <w:spacing w:before="20" w:after="20"/>
              <w:jc w:val="both"/>
            </w:pPr>
            <w:r>
              <w:rPr>
                <w:sz w:val="18"/>
                <w:szCs w:val="18"/>
              </w:rPr>
              <w:t>Depreciación y amortización</w:t>
            </w:r>
          </w:p>
        </w:tc>
        <w:tc>
          <w:tcPr>
            <w:tcW w:w="1861" w:type="dxa"/>
            <w:shd w:val="clear" w:color="auto" w:fill="D9E2F3"/>
            <w:vAlign w:val="center"/>
          </w:tcPr>
          <w:p w14:paraId="65D83ED9" w14:textId="77777777" w:rsidR="00990B14" w:rsidRDefault="00000000">
            <w:pPr>
              <w:spacing w:before="20" w:after="20"/>
              <w:jc w:val="both"/>
            </w:pPr>
            <w:r>
              <w:rPr>
                <w:sz w:val="18"/>
                <w:szCs w:val="18"/>
              </w:rPr>
              <w:t>El cálculo es incorrecto.</w:t>
            </w:r>
          </w:p>
        </w:tc>
        <w:tc>
          <w:tcPr>
            <w:tcW w:w="1910" w:type="dxa"/>
            <w:shd w:val="clear" w:color="auto" w:fill="D9E2F3"/>
            <w:vAlign w:val="center"/>
          </w:tcPr>
          <w:p w14:paraId="33F001BF" w14:textId="77777777" w:rsidR="00990B14" w:rsidRDefault="00000000">
            <w:pPr>
              <w:spacing w:before="20" w:after="20"/>
              <w:jc w:val="both"/>
            </w:pPr>
            <w:r>
              <w:rPr>
                <w:sz w:val="18"/>
                <w:szCs w:val="18"/>
              </w:rPr>
              <w:t>Calcula la depreciación y la amortización.</w:t>
            </w:r>
          </w:p>
        </w:tc>
        <w:tc>
          <w:tcPr>
            <w:tcW w:w="1909" w:type="dxa"/>
            <w:shd w:val="clear" w:color="auto" w:fill="D9E2F3"/>
            <w:vAlign w:val="center"/>
          </w:tcPr>
          <w:p w14:paraId="197FB9FB" w14:textId="77777777" w:rsidR="00990B14" w:rsidRDefault="00000000">
            <w:pPr>
              <w:spacing w:before="20" w:after="20"/>
              <w:jc w:val="both"/>
            </w:pPr>
            <w:r>
              <w:rPr>
                <w:sz w:val="18"/>
                <w:szCs w:val="18"/>
              </w:rPr>
              <w:t>Explica la diferencia con la depreciación tributaria.</w:t>
            </w:r>
          </w:p>
        </w:tc>
      </w:tr>
      <w:tr w:rsidR="00990B14" w14:paraId="10DB58FA" w14:textId="77777777">
        <w:trPr>
          <w:cantSplit/>
          <w:jc w:val="center"/>
        </w:trPr>
        <w:tc>
          <w:tcPr>
            <w:tcW w:w="1864" w:type="dxa"/>
            <w:vMerge/>
            <w:shd w:val="clear" w:color="auto" w:fill="4472C4"/>
            <w:vAlign w:val="center"/>
          </w:tcPr>
          <w:p w14:paraId="4DF0A1A2" w14:textId="77777777" w:rsidR="00990B14" w:rsidRDefault="00990B14">
            <w:pPr>
              <w:spacing w:before="20" w:after="20"/>
            </w:pPr>
          </w:p>
        </w:tc>
        <w:tc>
          <w:tcPr>
            <w:tcW w:w="5632" w:type="dxa"/>
            <w:gridSpan w:val="3"/>
            <w:shd w:val="clear" w:color="auto" w:fill="D9E2F3"/>
            <w:vAlign w:val="center"/>
          </w:tcPr>
          <w:p w14:paraId="23759E4B" w14:textId="77777777" w:rsidR="00990B14" w:rsidRDefault="00000000">
            <w:pPr>
              <w:keepNext/>
              <w:spacing w:before="20" w:after="20"/>
              <w:jc w:val="both"/>
            </w:pPr>
            <w:r>
              <w:rPr>
                <w:b/>
                <w:bCs/>
                <w:i/>
                <w:iCs/>
                <w:sz w:val="18"/>
                <w:szCs w:val="18"/>
              </w:rPr>
              <w:t xml:space="preserve">Producto 15: </w:t>
            </w:r>
            <w:r>
              <w:rPr>
                <w:sz w:val="18"/>
                <w:szCs w:val="18"/>
              </w:rPr>
              <w:t>Prueba de deterioro de valor</w:t>
            </w:r>
          </w:p>
        </w:tc>
        <w:tc>
          <w:tcPr>
            <w:tcW w:w="1909" w:type="dxa"/>
            <w:shd w:val="clear" w:color="auto" w:fill="D9E2F3"/>
            <w:vAlign w:val="center"/>
          </w:tcPr>
          <w:p w14:paraId="72465FEF" w14:textId="77777777" w:rsidR="00990B14" w:rsidRDefault="00000000">
            <w:pPr>
              <w:spacing w:before="20" w:after="20"/>
              <w:jc w:val="center"/>
            </w:pPr>
            <w:r>
              <w:rPr>
                <w:b/>
                <w:bCs/>
                <w:sz w:val="18"/>
                <w:szCs w:val="18"/>
              </w:rPr>
              <w:t>7%</w:t>
            </w:r>
          </w:p>
        </w:tc>
      </w:tr>
      <w:tr w:rsidR="00990B14" w14:paraId="44E6BA08" w14:textId="77777777">
        <w:trPr>
          <w:cantSplit/>
          <w:jc w:val="center"/>
        </w:trPr>
        <w:tc>
          <w:tcPr>
            <w:tcW w:w="1864" w:type="dxa"/>
            <w:vMerge/>
            <w:shd w:val="clear" w:color="auto" w:fill="4472C4"/>
            <w:vAlign w:val="center"/>
          </w:tcPr>
          <w:p w14:paraId="49F119C1" w14:textId="77777777" w:rsidR="00990B14" w:rsidRDefault="00990B14">
            <w:pPr>
              <w:spacing w:before="20" w:after="20"/>
            </w:pPr>
          </w:p>
        </w:tc>
        <w:tc>
          <w:tcPr>
            <w:tcW w:w="1861" w:type="dxa"/>
            <w:shd w:val="clear" w:color="auto" w:fill="4472C4"/>
            <w:vAlign w:val="center"/>
          </w:tcPr>
          <w:p w14:paraId="4175DE06" w14:textId="77777777" w:rsidR="00990B14" w:rsidRDefault="00000000">
            <w:pPr>
              <w:keepNext/>
              <w:spacing w:before="20" w:after="20"/>
              <w:jc w:val="center"/>
            </w:pPr>
            <w:r>
              <w:rPr>
                <w:b/>
                <w:bCs/>
                <w:i/>
                <w:iCs/>
                <w:color w:val="FFFFFF"/>
                <w:sz w:val="18"/>
                <w:szCs w:val="18"/>
              </w:rPr>
              <w:t>Criterio</w:t>
            </w:r>
          </w:p>
        </w:tc>
        <w:tc>
          <w:tcPr>
            <w:tcW w:w="1861" w:type="dxa"/>
            <w:shd w:val="clear" w:color="auto" w:fill="4472C4"/>
            <w:vAlign w:val="center"/>
          </w:tcPr>
          <w:p w14:paraId="61D36F02"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07568FF9" w14:textId="77777777" w:rsidR="00990B14" w:rsidRDefault="00000000">
            <w:pPr>
              <w:keepNext/>
              <w:spacing w:before="20" w:after="20"/>
              <w:jc w:val="center"/>
            </w:pPr>
            <w:r>
              <w:rPr>
                <w:b/>
                <w:bCs/>
                <w:i/>
                <w:iCs/>
                <w:color w:val="FFFFFF"/>
                <w:sz w:val="18"/>
                <w:szCs w:val="18"/>
              </w:rPr>
              <w:t>Suficiente (51–80)</w:t>
            </w:r>
          </w:p>
        </w:tc>
        <w:tc>
          <w:tcPr>
            <w:tcW w:w="1909" w:type="dxa"/>
            <w:shd w:val="clear" w:color="auto" w:fill="4472C4"/>
            <w:vAlign w:val="center"/>
          </w:tcPr>
          <w:p w14:paraId="1EDDFAAE" w14:textId="77777777" w:rsidR="00990B14" w:rsidRDefault="00000000">
            <w:pPr>
              <w:keepNext/>
              <w:spacing w:before="20" w:after="20"/>
              <w:jc w:val="center"/>
            </w:pPr>
            <w:r>
              <w:rPr>
                <w:b/>
                <w:bCs/>
                <w:i/>
                <w:iCs/>
                <w:color w:val="FFFFFF"/>
                <w:sz w:val="18"/>
                <w:szCs w:val="18"/>
              </w:rPr>
              <w:t>Destacado (81–100)</w:t>
            </w:r>
          </w:p>
        </w:tc>
      </w:tr>
      <w:tr w:rsidR="00990B14" w14:paraId="48E8F62B" w14:textId="77777777">
        <w:trPr>
          <w:cantSplit/>
          <w:jc w:val="center"/>
        </w:trPr>
        <w:tc>
          <w:tcPr>
            <w:tcW w:w="1864" w:type="dxa"/>
            <w:vMerge/>
            <w:shd w:val="clear" w:color="auto" w:fill="4472C4"/>
            <w:vAlign w:val="center"/>
          </w:tcPr>
          <w:p w14:paraId="627B900F" w14:textId="77777777" w:rsidR="00990B14" w:rsidRDefault="00990B14">
            <w:pPr>
              <w:spacing w:before="20" w:after="20"/>
            </w:pPr>
          </w:p>
        </w:tc>
        <w:tc>
          <w:tcPr>
            <w:tcW w:w="1861" w:type="dxa"/>
            <w:shd w:val="clear" w:color="auto" w:fill="D9E2F3"/>
            <w:vAlign w:val="center"/>
          </w:tcPr>
          <w:p w14:paraId="39527068" w14:textId="77777777" w:rsidR="00990B14" w:rsidRDefault="00000000">
            <w:pPr>
              <w:spacing w:before="20" w:after="20"/>
              <w:jc w:val="both"/>
            </w:pPr>
            <w:r>
              <w:rPr>
                <w:sz w:val="18"/>
                <w:szCs w:val="18"/>
              </w:rPr>
              <w:t>Indicios</w:t>
            </w:r>
          </w:p>
        </w:tc>
        <w:tc>
          <w:tcPr>
            <w:tcW w:w="1861" w:type="dxa"/>
            <w:shd w:val="clear" w:color="auto" w:fill="D9E2F3"/>
            <w:vAlign w:val="center"/>
          </w:tcPr>
          <w:p w14:paraId="2AAF2145" w14:textId="77777777" w:rsidR="00990B14" w:rsidRDefault="00000000">
            <w:pPr>
              <w:spacing w:before="20" w:after="20"/>
              <w:jc w:val="both"/>
            </w:pPr>
            <w:r>
              <w:rPr>
                <w:sz w:val="18"/>
                <w:szCs w:val="18"/>
              </w:rPr>
              <w:t>No identifica indicios.</w:t>
            </w:r>
          </w:p>
        </w:tc>
        <w:tc>
          <w:tcPr>
            <w:tcW w:w="1910" w:type="dxa"/>
            <w:shd w:val="clear" w:color="auto" w:fill="D9E2F3"/>
            <w:vAlign w:val="center"/>
          </w:tcPr>
          <w:p w14:paraId="1B9C2597" w14:textId="77777777" w:rsidR="00990B14" w:rsidRDefault="00000000">
            <w:pPr>
              <w:spacing w:before="20" w:after="20"/>
              <w:jc w:val="both"/>
            </w:pPr>
            <w:r>
              <w:rPr>
                <w:sz w:val="18"/>
                <w:szCs w:val="18"/>
              </w:rPr>
              <w:t>Identifica los indicios de deterioro.</w:t>
            </w:r>
          </w:p>
        </w:tc>
        <w:tc>
          <w:tcPr>
            <w:tcW w:w="1909" w:type="dxa"/>
            <w:shd w:val="clear" w:color="auto" w:fill="D9E2F3"/>
            <w:vAlign w:val="center"/>
          </w:tcPr>
          <w:p w14:paraId="505ADD4F" w14:textId="77777777" w:rsidR="00990B14" w:rsidRDefault="00000000">
            <w:pPr>
              <w:spacing w:before="20" w:after="20"/>
              <w:jc w:val="both"/>
            </w:pPr>
            <w:r>
              <w:rPr>
                <w:sz w:val="18"/>
                <w:szCs w:val="18"/>
              </w:rPr>
              <w:t>Relaciona los indicios con el entorno de la entidad.</w:t>
            </w:r>
          </w:p>
        </w:tc>
      </w:tr>
      <w:tr w:rsidR="00990B14" w14:paraId="0F5FBFC6" w14:textId="77777777">
        <w:trPr>
          <w:cantSplit/>
          <w:jc w:val="center"/>
        </w:trPr>
        <w:tc>
          <w:tcPr>
            <w:tcW w:w="1864" w:type="dxa"/>
            <w:vMerge/>
            <w:shd w:val="clear" w:color="auto" w:fill="4472C4"/>
            <w:vAlign w:val="center"/>
          </w:tcPr>
          <w:p w14:paraId="2C389AA0" w14:textId="77777777" w:rsidR="00990B14" w:rsidRDefault="00990B14">
            <w:pPr>
              <w:spacing w:before="20" w:after="20"/>
            </w:pPr>
          </w:p>
        </w:tc>
        <w:tc>
          <w:tcPr>
            <w:tcW w:w="1861" w:type="dxa"/>
            <w:shd w:val="clear" w:color="auto" w:fill="D9E2F3"/>
            <w:vAlign w:val="center"/>
          </w:tcPr>
          <w:p w14:paraId="1290BF26" w14:textId="77777777" w:rsidR="00990B14" w:rsidRDefault="00000000">
            <w:pPr>
              <w:spacing w:before="20" w:after="20"/>
              <w:jc w:val="both"/>
            </w:pPr>
            <w:r>
              <w:rPr>
                <w:sz w:val="18"/>
                <w:szCs w:val="18"/>
              </w:rPr>
              <w:t>Importe recuperable</w:t>
            </w:r>
          </w:p>
        </w:tc>
        <w:tc>
          <w:tcPr>
            <w:tcW w:w="1861" w:type="dxa"/>
            <w:shd w:val="clear" w:color="auto" w:fill="D9E2F3"/>
            <w:vAlign w:val="center"/>
          </w:tcPr>
          <w:p w14:paraId="5601D22C" w14:textId="77777777" w:rsidR="00990B14" w:rsidRDefault="00000000">
            <w:pPr>
              <w:spacing w:before="20" w:after="20"/>
              <w:jc w:val="both"/>
            </w:pPr>
            <w:r>
              <w:rPr>
                <w:sz w:val="18"/>
                <w:szCs w:val="18"/>
              </w:rPr>
              <w:t>Calcula mal el valor en uso.</w:t>
            </w:r>
          </w:p>
        </w:tc>
        <w:tc>
          <w:tcPr>
            <w:tcW w:w="1910" w:type="dxa"/>
            <w:shd w:val="clear" w:color="auto" w:fill="D9E2F3"/>
            <w:vAlign w:val="center"/>
          </w:tcPr>
          <w:p w14:paraId="1EE8B2C2" w14:textId="77777777" w:rsidR="00990B14" w:rsidRDefault="00000000">
            <w:pPr>
              <w:spacing w:before="20" w:after="20"/>
              <w:jc w:val="both"/>
            </w:pPr>
            <w:r>
              <w:rPr>
                <w:sz w:val="18"/>
                <w:szCs w:val="18"/>
              </w:rPr>
              <w:t>Determina el importe recuperable.</w:t>
            </w:r>
          </w:p>
        </w:tc>
        <w:tc>
          <w:tcPr>
            <w:tcW w:w="1909" w:type="dxa"/>
            <w:shd w:val="clear" w:color="auto" w:fill="D9E2F3"/>
            <w:vAlign w:val="center"/>
          </w:tcPr>
          <w:p w14:paraId="601E8EF9" w14:textId="77777777" w:rsidR="00990B14" w:rsidRDefault="00000000">
            <w:pPr>
              <w:spacing w:before="20" w:after="20"/>
              <w:jc w:val="both"/>
            </w:pPr>
            <w:r>
              <w:rPr>
                <w:sz w:val="18"/>
                <w:szCs w:val="18"/>
              </w:rPr>
              <w:t>Analiza la sensibilidad de la tasa de descuento.</w:t>
            </w:r>
          </w:p>
        </w:tc>
      </w:tr>
      <w:tr w:rsidR="00990B14" w14:paraId="12554E97" w14:textId="77777777">
        <w:trPr>
          <w:cantSplit/>
          <w:jc w:val="center"/>
        </w:trPr>
        <w:tc>
          <w:tcPr>
            <w:tcW w:w="1864" w:type="dxa"/>
            <w:vMerge/>
            <w:shd w:val="clear" w:color="auto" w:fill="4472C4"/>
            <w:vAlign w:val="center"/>
          </w:tcPr>
          <w:p w14:paraId="674CD62F" w14:textId="77777777" w:rsidR="00990B14" w:rsidRDefault="00990B14">
            <w:pPr>
              <w:spacing w:before="20" w:after="20"/>
            </w:pPr>
          </w:p>
        </w:tc>
        <w:tc>
          <w:tcPr>
            <w:tcW w:w="1861" w:type="dxa"/>
            <w:shd w:val="clear" w:color="auto" w:fill="D9E2F3"/>
            <w:vAlign w:val="center"/>
          </w:tcPr>
          <w:p w14:paraId="09C1BF51" w14:textId="77777777" w:rsidR="00990B14" w:rsidRDefault="00000000">
            <w:pPr>
              <w:spacing w:before="20" w:after="20"/>
              <w:jc w:val="both"/>
            </w:pPr>
            <w:r>
              <w:rPr>
                <w:sz w:val="18"/>
                <w:szCs w:val="18"/>
              </w:rPr>
              <w:t>Pérdida por deterioro</w:t>
            </w:r>
          </w:p>
        </w:tc>
        <w:tc>
          <w:tcPr>
            <w:tcW w:w="1861" w:type="dxa"/>
            <w:shd w:val="clear" w:color="auto" w:fill="D9E2F3"/>
            <w:vAlign w:val="center"/>
          </w:tcPr>
          <w:p w14:paraId="68D52BAA" w14:textId="77777777" w:rsidR="00990B14" w:rsidRDefault="00000000">
            <w:pPr>
              <w:spacing w:before="20" w:after="20"/>
              <w:jc w:val="both"/>
            </w:pPr>
            <w:r>
              <w:rPr>
                <w:sz w:val="18"/>
                <w:szCs w:val="18"/>
              </w:rPr>
              <w:t>No registra la pérdida.</w:t>
            </w:r>
          </w:p>
        </w:tc>
        <w:tc>
          <w:tcPr>
            <w:tcW w:w="1910" w:type="dxa"/>
            <w:shd w:val="clear" w:color="auto" w:fill="D9E2F3"/>
            <w:vAlign w:val="center"/>
          </w:tcPr>
          <w:p w14:paraId="54F8FD29" w14:textId="77777777" w:rsidR="00990B14" w:rsidRDefault="00000000">
            <w:pPr>
              <w:spacing w:before="20" w:after="20"/>
              <w:jc w:val="both"/>
            </w:pPr>
            <w:r>
              <w:rPr>
                <w:sz w:val="18"/>
                <w:szCs w:val="18"/>
              </w:rPr>
              <w:t>Reconoce y distribuye la pérdida en la unidad generadora de efectivo.</w:t>
            </w:r>
          </w:p>
        </w:tc>
        <w:tc>
          <w:tcPr>
            <w:tcW w:w="1909" w:type="dxa"/>
            <w:shd w:val="clear" w:color="auto" w:fill="D9E2F3"/>
            <w:vAlign w:val="center"/>
          </w:tcPr>
          <w:p w14:paraId="6F14F704" w14:textId="77777777" w:rsidR="00990B14" w:rsidRDefault="00000000">
            <w:pPr>
              <w:spacing w:before="20" w:after="20"/>
              <w:jc w:val="both"/>
            </w:pPr>
            <w:r>
              <w:rPr>
                <w:sz w:val="18"/>
                <w:szCs w:val="18"/>
              </w:rPr>
              <w:t>Revela la información exigida por la NIC 36.</w:t>
            </w:r>
          </w:p>
        </w:tc>
      </w:tr>
      <w:tr w:rsidR="00990B14" w14:paraId="03C83F1E" w14:textId="77777777">
        <w:trPr>
          <w:cantSplit/>
          <w:jc w:val="center"/>
        </w:trPr>
        <w:tc>
          <w:tcPr>
            <w:tcW w:w="1864" w:type="dxa"/>
            <w:vMerge/>
            <w:shd w:val="clear" w:color="auto" w:fill="4472C4"/>
            <w:vAlign w:val="center"/>
          </w:tcPr>
          <w:p w14:paraId="6DB4AD53" w14:textId="77777777" w:rsidR="00990B14" w:rsidRDefault="00990B14">
            <w:pPr>
              <w:spacing w:before="20" w:after="20"/>
            </w:pPr>
          </w:p>
        </w:tc>
        <w:tc>
          <w:tcPr>
            <w:tcW w:w="5632" w:type="dxa"/>
            <w:gridSpan w:val="3"/>
            <w:shd w:val="clear" w:color="auto" w:fill="D9E2F3"/>
            <w:vAlign w:val="center"/>
          </w:tcPr>
          <w:p w14:paraId="476A4B61" w14:textId="77777777" w:rsidR="00990B14" w:rsidRDefault="00000000">
            <w:pPr>
              <w:keepNext/>
              <w:spacing w:before="20" w:after="20"/>
              <w:jc w:val="both"/>
            </w:pPr>
            <w:r>
              <w:rPr>
                <w:b/>
                <w:bCs/>
                <w:i/>
                <w:iCs/>
                <w:sz w:val="18"/>
                <w:szCs w:val="18"/>
              </w:rPr>
              <w:t xml:space="preserve">Producto 16: </w:t>
            </w:r>
            <w:r>
              <w:rPr>
                <w:sz w:val="18"/>
                <w:szCs w:val="18"/>
              </w:rPr>
              <w:t>Informe de activos mantenidos para la venta y arrendamientos</w:t>
            </w:r>
          </w:p>
        </w:tc>
        <w:tc>
          <w:tcPr>
            <w:tcW w:w="1909" w:type="dxa"/>
            <w:shd w:val="clear" w:color="auto" w:fill="D9E2F3"/>
            <w:vAlign w:val="center"/>
          </w:tcPr>
          <w:p w14:paraId="53DA9663" w14:textId="77777777" w:rsidR="00990B14" w:rsidRDefault="00000000">
            <w:pPr>
              <w:spacing w:before="20" w:after="20"/>
              <w:jc w:val="center"/>
            </w:pPr>
            <w:r>
              <w:rPr>
                <w:b/>
                <w:bCs/>
                <w:sz w:val="18"/>
                <w:szCs w:val="18"/>
              </w:rPr>
              <w:t>7%</w:t>
            </w:r>
          </w:p>
        </w:tc>
      </w:tr>
      <w:tr w:rsidR="00990B14" w14:paraId="3356450B" w14:textId="77777777">
        <w:trPr>
          <w:cantSplit/>
          <w:jc w:val="center"/>
        </w:trPr>
        <w:tc>
          <w:tcPr>
            <w:tcW w:w="1864" w:type="dxa"/>
            <w:vMerge/>
            <w:shd w:val="clear" w:color="auto" w:fill="4472C4"/>
            <w:vAlign w:val="center"/>
          </w:tcPr>
          <w:p w14:paraId="342A0BA2" w14:textId="77777777" w:rsidR="00990B14" w:rsidRDefault="00990B14">
            <w:pPr>
              <w:spacing w:before="20" w:after="20"/>
            </w:pPr>
          </w:p>
        </w:tc>
        <w:tc>
          <w:tcPr>
            <w:tcW w:w="1861" w:type="dxa"/>
            <w:shd w:val="clear" w:color="auto" w:fill="4472C4"/>
            <w:vAlign w:val="center"/>
          </w:tcPr>
          <w:p w14:paraId="4C0D265C" w14:textId="77777777" w:rsidR="00990B14" w:rsidRDefault="00000000">
            <w:pPr>
              <w:keepNext/>
              <w:spacing w:before="20" w:after="20"/>
              <w:jc w:val="center"/>
            </w:pPr>
            <w:r>
              <w:rPr>
                <w:b/>
                <w:bCs/>
                <w:i/>
                <w:iCs/>
                <w:color w:val="FFFFFF"/>
                <w:sz w:val="18"/>
                <w:szCs w:val="18"/>
              </w:rPr>
              <w:t>Criterio</w:t>
            </w:r>
          </w:p>
        </w:tc>
        <w:tc>
          <w:tcPr>
            <w:tcW w:w="1861" w:type="dxa"/>
            <w:shd w:val="clear" w:color="auto" w:fill="4472C4"/>
            <w:vAlign w:val="center"/>
          </w:tcPr>
          <w:p w14:paraId="2F856F77"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2D11EC1E" w14:textId="77777777" w:rsidR="00990B14" w:rsidRDefault="00000000">
            <w:pPr>
              <w:keepNext/>
              <w:spacing w:before="20" w:after="20"/>
              <w:jc w:val="center"/>
            </w:pPr>
            <w:r>
              <w:rPr>
                <w:b/>
                <w:bCs/>
                <w:i/>
                <w:iCs/>
                <w:color w:val="FFFFFF"/>
                <w:sz w:val="18"/>
                <w:szCs w:val="18"/>
              </w:rPr>
              <w:t>Suficiente (51–80)</w:t>
            </w:r>
          </w:p>
        </w:tc>
        <w:tc>
          <w:tcPr>
            <w:tcW w:w="1909" w:type="dxa"/>
            <w:shd w:val="clear" w:color="auto" w:fill="4472C4"/>
            <w:vAlign w:val="center"/>
          </w:tcPr>
          <w:p w14:paraId="239C041B" w14:textId="77777777" w:rsidR="00990B14" w:rsidRDefault="00000000">
            <w:pPr>
              <w:keepNext/>
              <w:spacing w:before="20" w:after="20"/>
              <w:jc w:val="center"/>
            </w:pPr>
            <w:r>
              <w:rPr>
                <w:b/>
                <w:bCs/>
                <w:i/>
                <w:iCs/>
                <w:color w:val="FFFFFF"/>
                <w:sz w:val="18"/>
                <w:szCs w:val="18"/>
              </w:rPr>
              <w:t>Destacado (81–100)</w:t>
            </w:r>
          </w:p>
        </w:tc>
      </w:tr>
      <w:tr w:rsidR="00990B14" w14:paraId="7C0C3EFA" w14:textId="77777777">
        <w:trPr>
          <w:cantSplit/>
          <w:jc w:val="center"/>
        </w:trPr>
        <w:tc>
          <w:tcPr>
            <w:tcW w:w="1864" w:type="dxa"/>
            <w:vMerge/>
            <w:shd w:val="clear" w:color="auto" w:fill="4472C4"/>
            <w:vAlign w:val="center"/>
          </w:tcPr>
          <w:p w14:paraId="0FA38A8B" w14:textId="77777777" w:rsidR="00990B14" w:rsidRDefault="00990B14">
            <w:pPr>
              <w:spacing w:before="20" w:after="20"/>
            </w:pPr>
          </w:p>
        </w:tc>
        <w:tc>
          <w:tcPr>
            <w:tcW w:w="1861" w:type="dxa"/>
            <w:shd w:val="clear" w:color="auto" w:fill="D9E2F3"/>
            <w:vAlign w:val="center"/>
          </w:tcPr>
          <w:p w14:paraId="1006BE48" w14:textId="77777777" w:rsidR="00990B14" w:rsidRDefault="00000000">
            <w:pPr>
              <w:spacing w:before="20" w:after="20"/>
              <w:jc w:val="both"/>
            </w:pPr>
            <w:r>
              <w:rPr>
                <w:sz w:val="18"/>
                <w:szCs w:val="18"/>
              </w:rPr>
              <w:t>Activos mantenidos para la venta</w:t>
            </w:r>
          </w:p>
        </w:tc>
        <w:tc>
          <w:tcPr>
            <w:tcW w:w="1861" w:type="dxa"/>
            <w:shd w:val="clear" w:color="auto" w:fill="D9E2F3"/>
            <w:vAlign w:val="center"/>
          </w:tcPr>
          <w:p w14:paraId="6DBE8414" w14:textId="77777777" w:rsidR="00990B14" w:rsidRDefault="00000000">
            <w:pPr>
              <w:spacing w:before="20" w:after="20"/>
              <w:jc w:val="both"/>
            </w:pPr>
            <w:r>
              <w:rPr>
                <w:sz w:val="18"/>
                <w:szCs w:val="18"/>
              </w:rPr>
              <w:t>No verifica los requisitos.</w:t>
            </w:r>
          </w:p>
        </w:tc>
        <w:tc>
          <w:tcPr>
            <w:tcW w:w="1910" w:type="dxa"/>
            <w:shd w:val="clear" w:color="auto" w:fill="D9E2F3"/>
            <w:vAlign w:val="center"/>
          </w:tcPr>
          <w:p w14:paraId="40DDEEBF" w14:textId="77777777" w:rsidR="00990B14" w:rsidRDefault="00000000">
            <w:pPr>
              <w:spacing w:before="20" w:after="20"/>
              <w:jc w:val="both"/>
            </w:pPr>
            <w:r>
              <w:rPr>
                <w:sz w:val="18"/>
                <w:szCs w:val="18"/>
              </w:rPr>
              <w:t>Clasifica y mide el activo según la NIIF 5.</w:t>
            </w:r>
          </w:p>
        </w:tc>
        <w:tc>
          <w:tcPr>
            <w:tcW w:w="1909" w:type="dxa"/>
            <w:shd w:val="clear" w:color="auto" w:fill="D9E2F3"/>
            <w:vAlign w:val="center"/>
          </w:tcPr>
          <w:p w14:paraId="1D1CFC6A" w14:textId="77777777" w:rsidR="00990B14" w:rsidRDefault="00000000">
            <w:pPr>
              <w:spacing w:before="20" w:after="20"/>
              <w:jc w:val="both"/>
            </w:pPr>
            <w:r>
              <w:rPr>
                <w:sz w:val="18"/>
                <w:szCs w:val="18"/>
              </w:rPr>
              <w:t>Presenta la operación discontinuada.</w:t>
            </w:r>
          </w:p>
        </w:tc>
      </w:tr>
      <w:tr w:rsidR="00990B14" w14:paraId="36D6BD34" w14:textId="77777777">
        <w:trPr>
          <w:cantSplit/>
          <w:jc w:val="center"/>
        </w:trPr>
        <w:tc>
          <w:tcPr>
            <w:tcW w:w="1864" w:type="dxa"/>
            <w:vMerge/>
            <w:shd w:val="clear" w:color="auto" w:fill="4472C4"/>
            <w:vAlign w:val="center"/>
          </w:tcPr>
          <w:p w14:paraId="7CD9002B" w14:textId="77777777" w:rsidR="00990B14" w:rsidRDefault="00990B14">
            <w:pPr>
              <w:spacing w:before="20" w:after="20"/>
            </w:pPr>
          </w:p>
        </w:tc>
        <w:tc>
          <w:tcPr>
            <w:tcW w:w="1861" w:type="dxa"/>
            <w:shd w:val="clear" w:color="auto" w:fill="D9E2F3"/>
            <w:vAlign w:val="center"/>
          </w:tcPr>
          <w:p w14:paraId="2BE85B7F" w14:textId="77777777" w:rsidR="00990B14" w:rsidRDefault="00000000">
            <w:pPr>
              <w:spacing w:before="20" w:after="20"/>
              <w:jc w:val="both"/>
            </w:pPr>
            <w:r>
              <w:rPr>
                <w:sz w:val="18"/>
                <w:szCs w:val="18"/>
              </w:rPr>
              <w:t>Arrendamientos</w:t>
            </w:r>
          </w:p>
        </w:tc>
        <w:tc>
          <w:tcPr>
            <w:tcW w:w="1861" w:type="dxa"/>
            <w:shd w:val="clear" w:color="auto" w:fill="D9E2F3"/>
            <w:vAlign w:val="center"/>
          </w:tcPr>
          <w:p w14:paraId="0C0AE3F1" w14:textId="77777777" w:rsidR="00990B14" w:rsidRDefault="00000000">
            <w:pPr>
              <w:spacing w:before="20" w:after="20"/>
              <w:jc w:val="both"/>
            </w:pPr>
            <w:r>
              <w:rPr>
                <w:sz w:val="18"/>
                <w:szCs w:val="18"/>
              </w:rPr>
              <w:t>No identifica el arrendamiento.</w:t>
            </w:r>
          </w:p>
        </w:tc>
        <w:tc>
          <w:tcPr>
            <w:tcW w:w="1910" w:type="dxa"/>
            <w:shd w:val="clear" w:color="auto" w:fill="D9E2F3"/>
            <w:vAlign w:val="center"/>
          </w:tcPr>
          <w:p w14:paraId="18D74EFF" w14:textId="77777777" w:rsidR="00990B14" w:rsidRDefault="00000000">
            <w:pPr>
              <w:spacing w:before="20" w:after="20"/>
              <w:jc w:val="both"/>
            </w:pPr>
            <w:r>
              <w:rPr>
                <w:sz w:val="18"/>
                <w:szCs w:val="18"/>
              </w:rPr>
              <w:t>Reconoce el activo por derecho de uso y el pasivo.</w:t>
            </w:r>
          </w:p>
        </w:tc>
        <w:tc>
          <w:tcPr>
            <w:tcW w:w="1909" w:type="dxa"/>
            <w:shd w:val="clear" w:color="auto" w:fill="D9E2F3"/>
            <w:vAlign w:val="center"/>
          </w:tcPr>
          <w:p w14:paraId="16FE5A31" w14:textId="77777777" w:rsidR="00990B14" w:rsidRDefault="00000000">
            <w:pPr>
              <w:spacing w:before="20" w:after="20"/>
              <w:jc w:val="both"/>
            </w:pPr>
            <w:r>
              <w:rPr>
                <w:sz w:val="18"/>
                <w:szCs w:val="18"/>
              </w:rPr>
              <w:t>Aplica las exenciones y analiza el plazo del arrendamiento.</w:t>
            </w:r>
          </w:p>
        </w:tc>
      </w:tr>
      <w:tr w:rsidR="00990B14" w14:paraId="6F6933C3" w14:textId="77777777">
        <w:trPr>
          <w:cantSplit/>
          <w:jc w:val="center"/>
        </w:trPr>
        <w:tc>
          <w:tcPr>
            <w:tcW w:w="1864" w:type="dxa"/>
            <w:vMerge/>
            <w:shd w:val="clear" w:color="auto" w:fill="4472C4"/>
            <w:vAlign w:val="center"/>
          </w:tcPr>
          <w:p w14:paraId="67253E98" w14:textId="77777777" w:rsidR="00990B14" w:rsidRDefault="00990B14">
            <w:pPr>
              <w:spacing w:before="20" w:after="20"/>
            </w:pPr>
          </w:p>
        </w:tc>
        <w:tc>
          <w:tcPr>
            <w:tcW w:w="1861" w:type="dxa"/>
            <w:shd w:val="clear" w:color="auto" w:fill="D9E2F3"/>
            <w:vAlign w:val="center"/>
          </w:tcPr>
          <w:p w14:paraId="1ADF2ABB" w14:textId="77777777" w:rsidR="00990B14" w:rsidRDefault="00000000">
            <w:pPr>
              <w:spacing w:before="20" w:after="20"/>
              <w:jc w:val="both"/>
            </w:pPr>
            <w:r>
              <w:rPr>
                <w:sz w:val="18"/>
                <w:szCs w:val="18"/>
              </w:rPr>
              <w:t>Sustentación</w:t>
            </w:r>
          </w:p>
        </w:tc>
        <w:tc>
          <w:tcPr>
            <w:tcW w:w="1861" w:type="dxa"/>
            <w:shd w:val="clear" w:color="auto" w:fill="D9E2F3"/>
            <w:vAlign w:val="center"/>
          </w:tcPr>
          <w:p w14:paraId="7E7715C8" w14:textId="77777777" w:rsidR="00990B14" w:rsidRDefault="00000000">
            <w:pPr>
              <w:spacing w:before="20" w:after="20"/>
              <w:jc w:val="both"/>
            </w:pPr>
            <w:r>
              <w:rPr>
                <w:sz w:val="18"/>
                <w:szCs w:val="18"/>
              </w:rPr>
              <w:t>No sustenta su tratamiento.</w:t>
            </w:r>
          </w:p>
        </w:tc>
        <w:tc>
          <w:tcPr>
            <w:tcW w:w="1910" w:type="dxa"/>
            <w:shd w:val="clear" w:color="auto" w:fill="D9E2F3"/>
            <w:vAlign w:val="center"/>
          </w:tcPr>
          <w:p w14:paraId="398B8F4B" w14:textId="77777777" w:rsidR="00990B14" w:rsidRDefault="00000000">
            <w:pPr>
              <w:spacing w:before="20" w:after="20"/>
              <w:jc w:val="both"/>
            </w:pPr>
            <w:r>
              <w:rPr>
                <w:sz w:val="18"/>
                <w:szCs w:val="18"/>
              </w:rPr>
              <w:t>Sustenta el tratamiento en equipo.</w:t>
            </w:r>
          </w:p>
        </w:tc>
        <w:tc>
          <w:tcPr>
            <w:tcW w:w="1909" w:type="dxa"/>
            <w:shd w:val="clear" w:color="auto" w:fill="D9E2F3"/>
            <w:vAlign w:val="center"/>
          </w:tcPr>
          <w:p w14:paraId="3A0510FB" w14:textId="77777777" w:rsidR="00990B14" w:rsidRDefault="00000000">
            <w:pPr>
              <w:spacing w:before="20" w:after="20"/>
              <w:jc w:val="both"/>
            </w:pPr>
            <w:r>
              <w:rPr>
                <w:sz w:val="18"/>
                <w:szCs w:val="18"/>
              </w:rPr>
              <w:t>Responde con fundamento normativo.</w:t>
            </w:r>
          </w:p>
        </w:tc>
      </w:tr>
      <w:tr w:rsidR="00990B14" w14:paraId="2B68E8A8" w14:textId="77777777">
        <w:trPr>
          <w:cantSplit/>
          <w:jc w:val="center"/>
        </w:trPr>
        <w:tc>
          <w:tcPr>
            <w:tcW w:w="1864" w:type="dxa"/>
            <w:vMerge/>
            <w:shd w:val="clear" w:color="auto" w:fill="4472C4"/>
            <w:vAlign w:val="center"/>
          </w:tcPr>
          <w:p w14:paraId="31F3C417" w14:textId="77777777" w:rsidR="00990B14" w:rsidRDefault="00990B14">
            <w:pPr>
              <w:spacing w:before="20" w:after="20"/>
            </w:pPr>
          </w:p>
        </w:tc>
        <w:tc>
          <w:tcPr>
            <w:tcW w:w="5632" w:type="dxa"/>
            <w:gridSpan w:val="3"/>
            <w:shd w:val="clear" w:color="auto" w:fill="D9E2F3"/>
            <w:vAlign w:val="center"/>
          </w:tcPr>
          <w:p w14:paraId="6FB670C2" w14:textId="77777777" w:rsidR="00990B14" w:rsidRDefault="00000000">
            <w:pPr>
              <w:keepNext/>
              <w:spacing w:before="20" w:after="20"/>
              <w:jc w:val="both"/>
            </w:pPr>
            <w:r>
              <w:rPr>
                <w:b/>
                <w:bCs/>
                <w:i/>
                <w:iCs/>
                <w:sz w:val="18"/>
                <w:szCs w:val="18"/>
              </w:rPr>
              <w:t xml:space="preserve">Producto 17: </w:t>
            </w:r>
            <w:r>
              <w:rPr>
                <w:sz w:val="18"/>
                <w:szCs w:val="18"/>
              </w:rPr>
              <w:t>Cuadro de provisiones y contingencias</w:t>
            </w:r>
          </w:p>
        </w:tc>
        <w:tc>
          <w:tcPr>
            <w:tcW w:w="1909" w:type="dxa"/>
            <w:shd w:val="clear" w:color="auto" w:fill="D9E2F3"/>
            <w:vAlign w:val="center"/>
          </w:tcPr>
          <w:p w14:paraId="4510AA7A" w14:textId="77777777" w:rsidR="00990B14" w:rsidRDefault="00000000">
            <w:pPr>
              <w:spacing w:before="20" w:after="20"/>
              <w:jc w:val="center"/>
            </w:pPr>
            <w:r>
              <w:rPr>
                <w:b/>
                <w:bCs/>
                <w:sz w:val="18"/>
                <w:szCs w:val="18"/>
              </w:rPr>
              <w:t>3%</w:t>
            </w:r>
          </w:p>
        </w:tc>
      </w:tr>
      <w:tr w:rsidR="00990B14" w14:paraId="33E8F9B9" w14:textId="77777777">
        <w:trPr>
          <w:cantSplit/>
          <w:jc w:val="center"/>
        </w:trPr>
        <w:tc>
          <w:tcPr>
            <w:tcW w:w="1864" w:type="dxa"/>
            <w:vMerge/>
            <w:shd w:val="clear" w:color="auto" w:fill="4472C4"/>
            <w:vAlign w:val="center"/>
          </w:tcPr>
          <w:p w14:paraId="72B242CE" w14:textId="77777777" w:rsidR="00990B14" w:rsidRDefault="00990B14">
            <w:pPr>
              <w:spacing w:before="20" w:after="20"/>
            </w:pPr>
          </w:p>
        </w:tc>
        <w:tc>
          <w:tcPr>
            <w:tcW w:w="1861" w:type="dxa"/>
            <w:shd w:val="clear" w:color="auto" w:fill="4472C4"/>
            <w:vAlign w:val="center"/>
          </w:tcPr>
          <w:p w14:paraId="3BB9C781" w14:textId="77777777" w:rsidR="00990B14" w:rsidRDefault="00000000">
            <w:pPr>
              <w:keepNext/>
              <w:spacing w:before="20" w:after="20"/>
              <w:jc w:val="center"/>
            </w:pPr>
            <w:r>
              <w:rPr>
                <w:b/>
                <w:bCs/>
                <w:i/>
                <w:iCs/>
                <w:color w:val="FFFFFF"/>
                <w:sz w:val="18"/>
                <w:szCs w:val="18"/>
              </w:rPr>
              <w:t>Criterio</w:t>
            </w:r>
          </w:p>
        </w:tc>
        <w:tc>
          <w:tcPr>
            <w:tcW w:w="1861" w:type="dxa"/>
            <w:shd w:val="clear" w:color="auto" w:fill="4472C4"/>
            <w:vAlign w:val="center"/>
          </w:tcPr>
          <w:p w14:paraId="612784A4"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44186D2E" w14:textId="77777777" w:rsidR="00990B14" w:rsidRDefault="00000000">
            <w:pPr>
              <w:keepNext/>
              <w:spacing w:before="20" w:after="20"/>
              <w:jc w:val="center"/>
            </w:pPr>
            <w:r>
              <w:rPr>
                <w:b/>
                <w:bCs/>
                <w:i/>
                <w:iCs/>
                <w:color w:val="FFFFFF"/>
                <w:sz w:val="18"/>
                <w:szCs w:val="18"/>
              </w:rPr>
              <w:t>Suficiente (51–80)</w:t>
            </w:r>
          </w:p>
        </w:tc>
        <w:tc>
          <w:tcPr>
            <w:tcW w:w="1909" w:type="dxa"/>
            <w:shd w:val="clear" w:color="auto" w:fill="4472C4"/>
            <w:vAlign w:val="center"/>
          </w:tcPr>
          <w:p w14:paraId="7821633C" w14:textId="77777777" w:rsidR="00990B14" w:rsidRDefault="00000000">
            <w:pPr>
              <w:keepNext/>
              <w:spacing w:before="20" w:after="20"/>
              <w:jc w:val="center"/>
            </w:pPr>
            <w:r>
              <w:rPr>
                <w:b/>
                <w:bCs/>
                <w:i/>
                <w:iCs/>
                <w:color w:val="FFFFFF"/>
                <w:sz w:val="18"/>
                <w:szCs w:val="18"/>
              </w:rPr>
              <w:t>Destacado (81–100)</w:t>
            </w:r>
          </w:p>
        </w:tc>
      </w:tr>
      <w:tr w:rsidR="00990B14" w14:paraId="2C001CF5" w14:textId="77777777">
        <w:trPr>
          <w:cantSplit/>
          <w:jc w:val="center"/>
        </w:trPr>
        <w:tc>
          <w:tcPr>
            <w:tcW w:w="1864" w:type="dxa"/>
            <w:vMerge/>
            <w:shd w:val="clear" w:color="auto" w:fill="4472C4"/>
            <w:vAlign w:val="center"/>
          </w:tcPr>
          <w:p w14:paraId="0BC0EAAD" w14:textId="77777777" w:rsidR="00990B14" w:rsidRDefault="00990B14">
            <w:pPr>
              <w:spacing w:before="20" w:after="20"/>
            </w:pPr>
          </w:p>
        </w:tc>
        <w:tc>
          <w:tcPr>
            <w:tcW w:w="1861" w:type="dxa"/>
            <w:shd w:val="clear" w:color="auto" w:fill="D9E2F3"/>
            <w:vAlign w:val="center"/>
          </w:tcPr>
          <w:p w14:paraId="02F7B8BB" w14:textId="77777777" w:rsidR="00990B14" w:rsidRDefault="00000000">
            <w:pPr>
              <w:spacing w:before="20" w:after="20"/>
              <w:jc w:val="both"/>
            </w:pPr>
            <w:r>
              <w:rPr>
                <w:sz w:val="18"/>
                <w:szCs w:val="18"/>
              </w:rPr>
              <w:t>Reconocimiento</w:t>
            </w:r>
          </w:p>
        </w:tc>
        <w:tc>
          <w:tcPr>
            <w:tcW w:w="1861" w:type="dxa"/>
            <w:shd w:val="clear" w:color="auto" w:fill="D9E2F3"/>
            <w:vAlign w:val="center"/>
          </w:tcPr>
          <w:p w14:paraId="74769527" w14:textId="77777777" w:rsidR="00990B14" w:rsidRDefault="00000000">
            <w:pPr>
              <w:spacing w:before="20" w:after="20"/>
              <w:jc w:val="both"/>
            </w:pPr>
            <w:r>
              <w:rPr>
                <w:sz w:val="18"/>
                <w:szCs w:val="18"/>
              </w:rPr>
              <w:t>Confunde provisión y pasivo contingente.</w:t>
            </w:r>
          </w:p>
        </w:tc>
        <w:tc>
          <w:tcPr>
            <w:tcW w:w="1910" w:type="dxa"/>
            <w:shd w:val="clear" w:color="auto" w:fill="D9E2F3"/>
            <w:vAlign w:val="center"/>
          </w:tcPr>
          <w:p w14:paraId="0444F45B" w14:textId="77777777" w:rsidR="00990B14" w:rsidRDefault="00000000">
            <w:pPr>
              <w:spacing w:before="20" w:after="20"/>
              <w:jc w:val="both"/>
            </w:pPr>
            <w:r>
              <w:rPr>
                <w:sz w:val="18"/>
                <w:szCs w:val="18"/>
              </w:rPr>
              <w:t>Distingue provisiones, activos y pasivos contingentes.</w:t>
            </w:r>
          </w:p>
        </w:tc>
        <w:tc>
          <w:tcPr>
            <w:tcW w:w="1909" w:type="dxa"/>
            <w:shd w:val="clear" w:color="auto" w:fill="D9E2F3"/>
            <w:vAlign w:val="center"/>
          </w:tcPr>
          <w:p w14:paraId="645F02ED" w14:textId="77777777" w:rsidR="00990B14" w:rsidRDefault="00000000">
            <w:pPr>
              <w:spacing w:before="20" w:after="20"/>
              <w:jc w:val="both"/>
            </w:pPr>
            <w:r>
              <w:rPr>
                <w:sz w:val="18"/>
                <w:szCs w:val="18"/>
              </w:rPr>
              <w:t>Evalúa la probabilidad de salida de recursos.</w:t>
            </w:r>
          </w:p>
        </w:tc>
      </w:tr>
      <w:tr w:rsidR="00990B14" w14:paraId="7166A907" w14:textId="77777777">
        <w:trPr>
          <w:cantSplit/>
          <w:jc w:val="center"/>
        </w:trPr>
        <w:tc>
          <w:tcPr>
            <w:tcW w:w="1864" w:type="dxa"/>
            <w:vMerge/>
            <w:shd w:val="clear" w:color="auto" w:fill="4472C4"/>
            <w:vAlign w:val="center"/>
          </w:tcPr>
          <w:p w14:paraId="1B63BB32" w14:textId="77777777" w:rsidR="00990B14" w:rsidRDefault="00990B14">
            <w:pPr>
              <w:spacing w:before="20" w:after="20"/>
            </w:pPr>
          </w:p>
        </w:tc>
        <w:tc>
          <w:tcPr>
            <w:tcW w:w="1861" w:type="dxa"/>
            <w:shd w:val="clear" w:color="auto" w:fill="D9E2F3"/>
            <w:vAlign w:val="center"/>
          </w:tcPr>
          <w:p w14:paraId="5C113EFC" w14:textId="77777777" w:rsidR="00990B14" w:rsidRDefault="00000000">
            <w:pPr>
              <w:spacing w:before="20" w:after="20"/>
              <w:jc w:val="both"/>
            </w:pPr>
            <w:r>
              <w:rPr>
                <w:sz w:val="18"/>
                <w:szCs w:val="18"/>
              </w:rPr>
              <w:t>Medición</w:t>
            </w:r>
          </w:p>
        </w:tc>
        <w:tc>
          <w:tcPr>
            <w:tcW w:w="1861" w:type="dxa"/>
            <w:shd w:val="clear" w:color="auto" w:fill="D9E2F3"/>
            <w:vAlign w:val="center"/>
          </w:tcPr>
          <w:p w14:paraId="1CAA30E0" w14:textId="77777777" w:rsidR="00990B14" w:rsidRDefault="00000000">
            <w:pPr>
              <w:spacing w:before="20" w:after="20"/>
              <w:jc w:val="both"/>
            </w:pPr>
            <w:r>
              <w:rPr>
                <w:sz w:val="18"/>
                <w:szCs w:val="18"/>
              </w:rPr>
              <w:t>La medición es incorrecta.</w:t>
            </w:r>
          </w:p>
        </w:tc>
        <w:tc>
          <w:tcPr>
            <w:tcW w:w="1910" w:type="dxa"/>
            <w:shd w:val="clear" w:color="auto" w:fill="D9E2F3"/>
            <w:vAlign w:val="center"/>
          </w:tcPr>
          <w:p w14:paraId="4821C75C" w14:textId="77777777" w:rsidR="00990B14" w:rsidRDefault="00000000">
            <w:pPr>
              <w:spacing w:before="20" w:after="20"/>
              <w:jc w:val="both"/>
            </w:pPr>
            <w:r>
              <w:rPr>
                <w:sz w:val="18"/>
                <w:szCs w:val="18"/>
              </w:rPr>
              <w:t>Mide la provisión con la mejor estimación.</w:t>
            </w:r>
          </w:p>
        </w:tc>
        <w:tc>
          <w:tcPr>
            <w:tcW w:w="1909" w:type="dxa"/>
            <w:shd w:val="clear" w:color="auto" w:fill="D9E2F3"/>
            <w:vAlign w:val="center"/>
          </w:tcPr>
          <w:p w14:paraId="52E9E0EC" w14:textId="77777777" w:rsidR="00990B14" w:rsidRDefault="00000000">
            <w:pPr>
              <w:spacing w:before="20" w:after="20"/>
              <w:jc w:val="both"/>
            </w:pPr>
            <w:r>
              <w:rPr>
                <w:sz w:val="18"/>
                <w:szCs w:val="18"/>
              </w:rPr>
              <w:t>Considera el valor temporal del dinero.</w:t>
            </w:r>
          </w:p>
        </w:tc>
      </w:tr>
      <w:tr w:rsidR="00990B14" w14:paraId="666ED4E3" w14:textId="77777777">
        <w:trPr>
          <w:cantSplit/>
          <w:jc w:val="center"/>
        </w:trPr>
        <w:tc>
          <w:tcPr>
            <w:tcW w:w="1864" w:type="dxa"/>
            <w:vMerge/>
            <w:shd w:val="clear" w:color="auto" w:fill="4472C4"/>
            <w:vAlign w:val="center"/>
          </w:tcPr>
          <w:p w14:paraId="0A6F75F2" w14:textId="77777777" w:rsidR="00990B14" w:rsidRDefault="00990B14">
            <w:pPr>
              <w:spacing w:before="20" w:after="20"/>
            </w:pPr>
          </w:p>
        </w:tc>
        <w:tc>
          <w:tcPr>
            <w:tcW w:w="1861" w:type="dxa"/>
            <w:shd w:val="clear" w:color="auto" w:fill="D9E2F3"/>
            <w:vAlign w:val="center"/>
          </w:tcPr>
          <w:p w14:paraId="710C76E3" w14:textId="77777777" w:rsidR="00990B14" w:rsidRDefault="00000000">
            <w:pPr>
              <w:spacing w:before="20" w:after="20"/>
              <w:jc w:val="both"/>
            </w:pPr>
            <w:r>
              <w:rPr>
                <w:sz w:val="18"/>
                <w:szCs w:val="18"/>
              </w:rPr>
              <w:t>Revelación</w:t>
            </w:r>
          </w:p>
        </w:tc>
        <w:tc>
          <w:tcPr>
            <w:tcW w:w="1861" w:type="dxa"/>
            <w:shd w:val="clear" w:color="auto" w:fill="D9E2F3"/>
            <w:vAlign w:val="center"/>
          </w:tcPr>
          <w:p w14:paraId="0639E897" w14:textId="77777777" w:rsidR="00990B14" w:rsidRDefault="00000000">
            <w:pPr>
              <w:spacing w:before="20" w:after="20"/>
              <w:jc w:val="both"/>
            </w:pPr>
            <w:r>
              <w:rPr>
                <w:sz w:val="18"/>
                <w:szCs w:val="18"/>
              </w:rPr>
              <w:t>Omite la revelación.</w:t>
            </w:r>
          </w:p>
        </w:tc>
        <w:tc>
          <w:tcPr>
            <w:tcW w:w="1910" w:type="dxa"/>
            <w:shd w:val="clear" w:color="auto" w:fill="D9E2F3"/>
            <w:vAlign w:val="center"/>
          </w:tcPr>
          <w:p w14:paraId="769CA1B9" w14:textId="77777777" w:rsidR="00990B14" w:rsidRDefault="00000000">
            <w:pPr>
              <w:spacing w:before="20" w:after="20"/>
              <w:jc w:val="both"/>
            </w:pPr>
            <w:r>
              <w:rPr>
                <w:sz w:val="18"/>
                <w:szCs w:val="18"/>
              </w:rPr>
              <w:t>Revela la información exigida por la NIC 37.</w:t>
            </w:r>
          </w:p>
        </w:tc>
        <w:tc>
          <w:tcPr>
            <w:tcW w:w="1909" w:type="dxa"/>
            <w:shd w:val="clear" w:color="auto" w:fill="D9E2F3"/>
            <w:vAlign w:val="center"/>
          </w:tcPr>
          <w:p w14:paraId="71F5313D" w14:textId="77777777" w:rsidR="00990B14" w:rsidRDefault="00000000">
            <w:pPr>
              <w:spacing w:before="20" w:after="20"/>
              <w:jc w:val="both"/>
            </w:pPr>
            <w:r>
              <w:rPr>
                <w:sz w:val="18"/>
                <w:szCs w:val="18"/>
              </w:rPr>
              <w:t>La revelación es completa y clara.</w:t>
            </w:r>
          </w:p>
        </w:tc>
      </w:tr>
      <w:tr w:rsidR="00990B14" w14:paraId="22B0669C" w14:textId="77777777">
        <w:trPr>
          <w:cantSplit/>
          <w:jc w:val="center"/>
        </w:trPr>
        <w:tc>
          <w:tcPr>
            <w:tcW w:w="1864" w:type="dxa"/>
            <w:vMerge/>
            <w:shd w:val="clear" w:color="auto" w:fill="4472C4"/>
            <w:vAlign w:val="center"/>
          </w:tcPr>
          <w:p w14:paraId="44E9FFAD" w14:textId="77777777" w:rsidR="00990B14" w:rsidRDefault="00990B14">
            <w:pPr>
              <w:spacing w:before="20" w:after="20"/>
            </w:pPr>
          </w:p>
        </w:tc>
        <w:tc>
          <w:tcPr>
            <w:tcW w:w="5632" w:type="dxa"/>
            <w:gridSpan w:val="3"/>
            <w:shd w:val="clear" w:color="auto" w:fill="D9E2F3"/>
            <w:vAlign w:val="center"/>
          </w:tcPr>
          <w:p w14:paraId="6002694F" w14:textId="77777777" w:rsidR="00990B14" w:rsidRDefault="00000000">
            <w:pPr>
              <w:keepNext/>
              <w:spacing w:before="20" w:after="20"/>
              <w:jc w:val="both"/>
            </w:pPr>
            <w:r>
              <w:rPr>
                <w:b/>
                <w:bCs/>
                <w:i/>
                <w:iCs/>
                <w:sz w:val="18"/>
                <w:szCs w:val="18"/>
              </w:rPr>
              <w:t xml:space="preserve">Producto 18: </w:t>
            </w:r>
            <w:r>
              <w:rPr>
                <w:sz w:val="18"/>
                <w:szCs w:val="18"/>
              </w:rPr>
              <w:t>Planilla de provisiones por beneficios sociales</w:t>
            </w:r>
          </w:p>
        </w:tc>
        <w:tc>
          <w:tcPr>
            <w:tcW w:w="1909" w:type="dxa"/>
            <w:shd w:val="clear" w:color="auto" w:fill="D9E2F3"/>
            <w:vAlign w:val="center"/>
          </w:tcPr>
          <w:p w14:paraId="578EF741" w14:textId="77777777" w:rsidR="00990B14" w:rsidRDefault="00000000">
            <w:pPr>
              <w:spacing w:before="20" w:after="20"/>
              <w:jc w:val="center"/>
            </w:pPr>
            <w:r>
              <w:rPr>
                <w:b/>
                <w:bCs/>
                <w:sz w:val="18"/>
                <w:szCs w:val="18"/>
              </w:rPr>
              <w:t>3%</w:t>
            </w:r>
          </w:p>
        </w:tc>
      </w:tr>
      <w:tr w:rsidR="00990B14" w14:paraId="6D1B3F1F" w14:textId="77777777">
        <w:trPr>
          <w:cantSplit/>
          <w:jc w:val="center"/>
        </w:trPr>
        <w:tc>
          <w:tcPr>
            <w:tcW w:w="1864" w:type="dxa"/>
            <w:vMerge/>
            <w:shd w:val="clear" w:color="auto" w:fill="4472C4"/>
            <w:vAlign w:val="center"/>
          </w:tcPr>
          <w:p w14:paraId="645D3B06" w14:textId="77777777" w:rsidR="00990B14" w:rsidRDefault="00990B14">
            <w:pPr>
              <w:spacing w:before="20" w:after="20"/>
            </w:pPr>
          </w:p>
        </w:tc>
        <w:tc>
          <w:tcPr>
            <w:tcW w:w="1861" w:type="dxa"/>
            <w:shd w:val="clear" w:color="auto" w:fill="4472C4"/>
            <w:vAlign w:val="center"/>
          </w:tcPr>
          <w:p w14:paraId="67AE328A" w14:textId="77777777" w:rsidR="00990B14" w:rsidRDefault="00000000">
            <w:pPr>
              <w:keepNext/>
              <w:spacing w:before="20" w:after="20"/>
              <w:jc w:val="center"/>
            </w:pPr>
            <w:r>
              <w:rPr>
                <w:b/>
                <w:bCs/>
                <w:i/>
                <w:iCs/>
                <w:color w:val="FFFFFF"/>
                <w:sz w:val="18"/>
                <w:szCs w:val="18"/>
              </w:rPr>
              <w:t>Criterio</w:t>
            </w:r>
          </w:p>
        </w:tc>
        <w:tc>
          <w:tcPr>
            <w:tcW w:w="1861" w:type="dxa"/>
            <w:shd w:val="clear" w:color="auto" w:fill="4472C4"/>
            <w:vAlign w:val="center"/>
          </w:tcPr>
          <w:p w14:paraId="20D5BE6A"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42F699A9" w14:textId="77777777" w:rsidR="00990B14" w:rsidRDefault="00000000">
            <w:pPr>
              <w:keepNext/>
              <w:spacing w:before="20" w:after="20"/>
              <w:jc w:val="center"/>
            </w:pPr>
            <w:r>
              <w:rPr>
                <w:b/>
                <w:bCs/>
                <w:i/>
                <w:iCs/>
                <w:color w:val="FFFFFF"/>
                <w:sz w:val="18"/>
                <w:szCs w:val="18"/>
              </w:rPr>
              <w:t>Suficiente (51–80)</w:t>
            </w:r>
          </w:p>
        </w:tc>
        <w:tc>
          <w:tcPr>
            <w:tcW w:w="1909" w:type="dxa"/>
            <w:shd w:val="clear" w:color="auto" w:fill="4472C4"/>
            <w:vAlign w:val="center"/>
          </w:tcPr>
          <w:p w14:paraId="0971C83B" w14:textId="77777777" w:rsidR="00990B14" w:rsidRDefault="00000000">
            <w:pPr>
              <w:keepNext/>
              <w:spacing w:before="20" w:after="20"/>
              <w:jc w:val="center"/>
            </w:pPr>
            <w:r>
              <w:rPr>
                <w:b/>
                <w:bCs/>
                <w:i/>
                <w:iCs/>
                <w:color w:val="FFFFFF"/>
                <w:sz w:val="18"/>
                <w:szCs w:val="18"/>
              </w:rPr>
              <w:t>Destacado (81–100)</w:t>
            </w:r>
          </w:p>
        </w:tc>
      </w:tr>
      <w:tr w:rsidR="00990B14" w14:paraId="70BC81B1" w14:textId="77777777">
        <w:trPr>
          <w:cantSplit/>
          <w:jc w:val="center"/>
        </w:trPr>
        <w:tc>
          <w:tcPr>
            <w:tcW w:w="1864" w:type="dxa"/>
            <w:vMerge/>
            <w:shd w:val="clear" w:color="auto" w:fill="4472C4"/>
            <w:vAlign w:val="center"/>
          </w:tcPr>
          <w:p w14:paraId="4951713C" w14:textId="77777777" w:rsidR="00990B14" w:rsidRDefault="00990B14">
            <w:pPr>
              <w:spacing w:before="20" w:after="20"/>
            </w:pPr>
          </w:p>
        </w:tc>
        <w:tc>
          <w:tcPr>
            <w:tcW w:w="1861" w:type="dxa"/>
            <w:shd w:val="clear" w:color="auto" w:fill="D9E2F3"/>
            <w:vAlign w:val="center"/>
          </w:tcPr>
          <w:p w14:paraId="5471F711" w14:textId="77777777" w:rsidR="00990B14" w:rsidRDefault="00000000">
            <w:pPr>
              <w:spacing w:before="20" w:after="20"/>
              <w:jc w:val="both"/>
            </w:pPr>
            <w:r>
              <w:rPr>
                <w:sz w:val="18"/>
                <w:szCs w:val="18"/>
              </w:rPr>
              <w:t>Base legal</w:t>
            </w:r>
          </w:p>
        </w:tc>
        <w:tc>
          <w:tcPr>
            <w:tcW w:w="1861" w:type="dxa"/>
            <w:shd w:val="clear" w:color="auto" w:fill="D9E2F3"/>
            <w:vAlign w:val="center"/>
          </w:tcPr>
          <w:p w14:paraId="33203313" w14:textId="77777777" w:rsidR="00990B14" w:rsidRDefault="00000000">
            <w:pPr>
              <w:spacing w:before="20" w:after="20"/>
              <w:jc w:val="both"/>
            </w:pPr>
            <w:r>
              <w:rPr>
                <w:sz w:val="18"/>
                <w:szCs w:val="18"/>
              </w:rPr>
              <w:t>No cita la norma laboral.</w:t>
            </w:r>
          </w:p>
        </w:tc>
        <w:tc>
          <w:tcPr>
            <w:tcW w:w="1910" w:type="dxa"/>
            <w:shd w:val="clear" w:color="auto" w:fill="D9E2F3"/>
            <w:vAlign w:val="center"/>
          </w:tcPr>
          <w:p w14:paraId="755428F4" w14:textId="77777777" w:rsidR="00990B14" w:rsidRDefault="00000000">
            <w:pPr>
              <w:spacing w:before="20" w:after="20"/>
              <w:jc w:val="both"/>
            </w:pPr>
            <w:r>
              <w:rPr>
                <w:sz w:val="18"/>
                <w:szCs w:val="18"/>
              </w:rPr>
              <w:t>Aplica la Ley General del Trabajo.</w:t>
            </w:r>
          </w:p>
        </w:tc>
        <w:tc>
          <w:tcPr>
            <w:tcW w:w="1909" w:type="dxa"/>
            <w:shd w:val="clear" w:color="auto" w:fill="D9E2F3"/>
            <w:vAlign w:val="center"/>
          </w:tcPr>
          <w:p w14:paraId="38B41CAA" w14:textId="77777777" w:rsidR="00990B14" w:rsidRDefault="00000000">
            <w:pPr>
              <w:spacing w:before="20" w:after="20"/>
              <w:jc w:val="both"/>
            </w:pPr>
            <w:r>
              <w:rPr>
                <w:sz w:val="18"/>
                <w:szCs w:val="18"/>
              </w:rPr>
              <w:t>Considera los cambios salariales del periodo.</w:t>
            </w:r>
          </w:p>
        </w:tc>
      </w:tr>
      <w:tr w:rsidR="00990B14" w14:paraId="0FEB8CC1" w14:textId="77777777">
        <w:trPr>
          <w:cantSplit/>
          <w:jc w:val="center"/>
        </w:trPr>
        <w:tc>
          <w:tcPr>
            <w:tcW w:w="1864" w:type="dxa"/>
            <w:vMerge/>
            <w:shd w:val="clear" w:color="auto" w:fill="4472C4"/>
            <w:vAlign w:val="center"/>
          </w:tcPr>
          <w:p w14:paraId="0AC85EA3" w14:textId="77777777" w:rsidR="00990B14" w:rsidRDefault="00990B14">
            <w:pPr>
              <w:spacing w:before="20" w:after="20"/>
            </w:pPr>
          </w:p>
        </w:tc>
        <w:tc>
          <w:tcPr>
            <w:tcW w:w="1861" w:type="dxa"/>
            <w:shd w:val="clear" w:color="auto" w:fill="D9E2F3"/>
            <w:vAlign w:val="center"/>
          </w:tcPr>
          <w:p w14:paraId="43E34617" w14:textId="77777777" w:rsidR="00990B14" w:rsidRDefault="00000000">
            <w:pPr>
              <w:spacing w:before="20" w:after="20"/>
              <w:jc w:val="both"/>
            </w:pPr>
            <w:r>
              <w:rPr>
                <w:sz w:val="18"/>
                <w:szCs w:val="18"/>
              </w:rPr>
              <w:t>Cálculo</w:t>
            </w:r>
          </w:p>
        </w:tc>
        <w:tc>
          <w:tcPr>
            <w:tcW w:w="1861" w:type="dxa"/>
            <w:shd w:val="clear" w:color="auto" w:fill="D9E2F3"/>
            <w:vAlign w:val="center"/>
          </w:tcPr>
          <w:p w14:paraId="0104C703" w14:textId="77777777" w:rsidR="00990B14" w:rsidRDefault="00000000">
            <w:pPr>
              <w:spacing w:before="20" w:after="20"/>
              <w:jc w:val="both"/>
            </w:pPr>
            <w:r>
              <w:rPr>
                <w:sz w:val="18"/>
                <w:szCs w:val="18"/>
              </w:rPr>
              <w:t>El cálculo es incorrecto.</w:t>
            </w:r>
          </w:p>
        </w:tc>
        <w:tc>
          <w:tcPr>
            <w:tcW w:w="1910" w:type="dxa"/>
            <w:shd w:val="clear" w:color="auto" w:fill="D9E2F3"/>
            <w:vAlign w:val="center"/>
          </w:tcPr>
          <w:p w14:paraId="2F536BB9" w14:textId="77777777" w:rsidR="00990B14" w:rsidRDefault="00000000">
            <w:pPr>
              <w:spacing w:before="20" w:after="20"/>
              <w:jc w:val="both"/>
            </w:pPr>
            <w:r>
              <w:rPr>
                <w:sz w:val="18"/>
                <w:szCs w:val="18"/>
              </w:rPr>
              <w:t>Calcula la indemnización, el aguinaldo y las vacaciones.</w:t>
            </w:r>
          </w:p>
        </w:tc>
        <w:tc>
          <w:tcPr>
            <w:tcW w:w="1909" w:type="dxa"/>
            <w:shd w:val="clear" w:color="auto" w:fill="D9E2F3"/>
            <w:vAlign w:val="center"/>
          </w:tcPr>
          <w:p w14:paraId="2E586370" w14:textId="77777777" w:rsidR="00990B14" w:rsidRDefault="00000000">
            <w:pPr>
              <w:spacing w:before="20" w:after="20"/>
              <w:jc w:val="both"/>
            </w:pPr>
            <w:r>
              <w:rPr>
                <w:sz w:val="18"/>
                <w:szCs w:val="18"/>
              </w:rPr>
              <w:t>Verifica los cálculos con la hoja de cálculo.</w:t>
            </w:r>
          </w:p>
        </w:tc>
      </w:tr>
      <w:tr w:rsidR="00990B14" w14:paraId="497C5C7E" w14:textId="77777777">
        <w:trPr>
          <w:cantSplit/>
          <w:jc w:val="center"/>
        </w:trPr>
        <w:tc>
          <w:tcPr>
            <w:tcW w:w="1864" w:type="dxa"/>
            <w:vMerge/>
            <w:shd w:val="clear" w:color="auto" w:fill="4472C4"/>
            <w:vAlign w:val="center"/>
          </w:tcPr>
          <w:p w14:paraId="5A8387C3" w14:textId="77777777" w:rsidR="00990B14" w:rsidRDefault="00990B14">
            <w:pPr>
              <w:spacing w:before="20" w:after="20"/>
            </w:pPr>
          </w:p>
        </w:tc>
        <w:tc>
          <w:tcPr>
            <w:tcW w:w="1861" w:type="dxa"/>
            <w:shd w:val="clear" w:color="auto" w:fill="D9E2F3"/>
            <w:vAlign w:val="center"/>
          </w:tcPr>
          <w:p w14:paraId="02FC3C84" w14:textId="77777777" w:rsidR="00990B14" w:rsidRDefault="00000000">
            <w:pPr>
              <w:spacing w:before="20" w:after="20"/>
              <w:jc w:val="both"/>
            </w:pPr>
            <w:r>
              <w:rPr>
                <w:sz w:val="18"/>
                <w:szCs w:val="18"/>
              </w:rPr>
              <w:t>Registro</w:t>
            </w:r>
          </w:p>
        </w:tc>
        <w:tc>
          <w:tcPr>
            <w:tcW w:w="1861" w:type="dxa"/>
            <w:shd w:val="clear" w:color="auto" w:fill="D9E2F3"/>
            <w:vAlign w:val="center"/>
          </w:tcPr>
          <w:p w14:paraId="21AA48B4" w14:textId="77777777" w:rsidR="00990B14" w:rsidRDefault="00000000">
            <w:pPr>
              <w:spacing w:before="20" w:after="20"/>
              <w:jc w:val="both"/>
            </w:pPr>
            <w:r>
              <w:rPr>
                <w:sz w:val="18"/>
                <w:szCs w:val="18"/>
              </w:rPr>
              <w:t>No registra la provisión.</w:t>
            </w:r>
          </w:p>
        </w:tc>
        <w:tc>
          <w:tcPr>
            <w:tcW w:w="1910" w:type="dxa"/>
            <w:shd w:val="clear" w:color="auto" w:fill="D9E2F3"/>
            <w:vAlign w:val="center"/>
          </w:tcPr>
          <w:p w14:paraId="1CB3F670" w14:textId="77777777" w:rsidR="00990B14" w:rsidRDefault="00000000">
            <w:pPr>
              <w:spacing w:before="20" w:after="20"/>
              <w:jc w:val="both"/>
            </w:pPr>
            <w:r>
              <w:rPr>
                <w:sz w:val="18"/>
                <w:szCs w:val="18"/>
              </w:rPr>
              <w:t>Registra la provisión del periodo.</w:t>
            </w:r>
          </w:p>
        </w:tc>
        <w:tc>
          <w:tcPr>
            <w:tcW w:w="1909" w:type="dxa"/>
            <w:shd w:val="clear" w:color="auto" w:fill="D9E2F3"/>
            <w:vAlign w:val="center"/>
          </w:tcPr>
          <w:p w14:paraId="3F01F763" w14:textId="77777777" w:rsidR="00990B14" w:rsidRDefault="00000000">
            <w:pPr>
              <w:spacing w:before="20" w:after="20"/>
              <w:jc w:val="both"/>
            </w:pPr>
            <w:r>
              <w:rPr>
                <w:sz w:val="18"/>
                <w:szCs w:val="18"/>
              </w:rPr>
              <w:t>Concilia la provisión con el pasivo laboral.</w:t>
            </w:r>
          </w:p>
        </w:tc>
      </w:tr>
      <w:tr w:rsidR="00990B14" w14:paraId="4C9FB366" w14:textId="77777777">
        <w:trPr>
          <w:cantSplit/>
          <w:jc w:val="center"/>
        </w:trPr>
        <w:tc>
          <w:tcPr>
            <w:tcW w:w="1864" w:type="dxa"/>
            <w:vMerge/>
            <w:shd w:val="clear" w:color="auto" w:fill="4472C4"/>
            <w:vAlign w:val="center"/>
          </w:tcPr>
          <w:p w14:paraId="42F52B36" w14:textId="77777777" w:rsidR="00990B14" w:rsidRDefault="00990B14">
            <w:pPr>
              <w:spacing w:before="20" w:after="20"/>
            </w:pPr>
          </w:p>
        </w:tc>
        <w:tc>
          <w:tcPr>
            <w:tcW w:w="5632" w:type="dxa"/>
            <w:gridSpan w:val="3"/>
            <w:shd w:val="clear" w:color="auto" w:fill="D9E2F3"/>
            <w:vAlign w:val="center"/>
          </w:tcPr>
          <w:p w14:paraId="52877D80" w14:textId="77777777" w:rsidR="00990B14" w:rsidRDefault="00000000">
            <w:pPr>
              <w:keepNext/>
              <w:spacing w:before="20" w:after="20"/>
              <w:jc w:val="both"/>
            </w:pPr>
            <w:r>
              <w:rPr>
                <w:b/>
                <w:bCs/>
                <w:i/>
                <w:iCs/>
                <w:sz w:val="18"/>
                <w:szCs w:val="18"/>
              </w:rPr>
              <w:t xml:space="preserve">Producto 19: </w:t>
            </w:r>
            <w:r>
              <w:rPr>
                <w:sz w:val="18"/>
                <w:szCs w:val="18"/>
              </w:rPr>
              <w:t>Informe del método de los cinco pasos</w:t>
            </w:r>
          </w:p>
        </w:tc>
        <w:tc>
          <w:tcPr>
            <w:tcW w:w="1909" w:type="dxa"/>
            <w:shd w:val="clear" w:color="auto" w:fill="D9E2F3"/>
            <w:vAlign w:val="center"/>
          </w:tcPr>
          <w:p w14:paraId="32E66AE5" w14:textId="77777777" w:rsidR="00990B14" w:rsidRDefault="00000000">
            <w:pPr>
              <w:spacing w:before="20" w:after="20"/>
              <w:jc w:val="center"/>
            </w:pPr>
            <w:r>
              <w:rPr>
                <w:b/>
                <w:bCs/>
                <w:sz w:val="18"/>
                <w:szCs w:val="18"/>
              </w:rPr>
              <w:t>3%</w:t>
            </w:r>
          </w:p>
        </w:tc>
      </w:tr>
      <w:tr w:rsidR="00990B14" w14:paraId="070D3B29" w14:textId="77777777">
        <w:trPr>
          <w:cantSplit/>
          <w:jc w:val="center"/>
        </w:trPr>
        <w:tc>
          <w:tcPr>
            <w:tcW w:w="1864" w:type="dxa"/>
            <w:vMerge/>
            <w:shd w:val="clear" w:color="auto" w:fill="4472C4"/>
            <w:vAlign w:val="center"/>
          </w:tcPr>
          <w:p w14:paraId="25B23296" w14:textId="77777777" w:rsidR="00990B14" w:rsidRDefault="00990B14">
            <w:pPr>
              <w:spacing w:before="20" w:after="20"/>
            </w:pPr>
          </w:p>
        </w:tc>
        <w:tc>
          <w:tcPr>
            <w:tcW w:w="1861" w:type="dxa"/>
            <w:shd w:val="clear" w:color="auto" w:fill="4472C4"/>
            <w:vAlign w:val="center"/>
          </w:tcPr>
          <w:p w14:paraId="404B78DD" w14:textId="77777777" w:rsidR="00990B14" w:rsidRDefault="00000000">
            <w:pPr>
              <w:keepNext/>
              <w:spacing w:before="20" w:after="20"/>
              <w:jc w:val="center"/>
            </w:pPr>
            <w:r>
              <w:rPr>
                <w:b/>
                <w:bCs/>
                <w:i/>
                <w:iCs/>
                <w:color w:val="FFFFFF"/>
                <w:sz w:val="18"/>
                <w:szCs w:val="18"/>
              </w:rPr>
              <w:t>Criterio</w:t>
            </w:r>
          </w:p>
        </w:tc>
        <w:tc>
          <w:tcPr>
            <w:tcW w:w="1861" w:type="dxa"/>
            <w:shd w:val="clear" w:color="auto" w:fill="4472C4"/>
            <w:vAlign w:val="center"/>
          </w:tcPr>
          <w:p w14:paraId="2A687DFE"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05B64C99" w14:textId="77777777" w:rsidR="00990B14" w:rsidRDefault="00000000">
            <w:pPr>
              <w:keepNext/>
              <w:spacing w:before="20" w:after="20"/>
              <w:jc w:val="center"/>
            </w:pPr>
            <w:r>
              <w:rPr>
                <w:b/>
                <w:bCs/>
                <w:i/>
                <w:iCs/>
                <w:color w:val="FFFFFF"/>
                <w:sz w:val="18"/>
                <w:szCs w:val="18"/>
              </w:rPr>
              <w:t>Suficiente (51–80)</w:t>
            </w:r>
          </w:p>
        </w:tc>
        <w:tc>
          <w:tcPr>
            <w:tcW w:w="1909" w:type="dxa"/>
            <w:shd w:val="clear" w:color="auto" w:fill="4472C4"/>
            <w:vAlign w:val="center"/>
          </w:tcPr>
          <w:p w14:paraId="3DA53C75" w14:textId="77777777" w:rsidR="00990B14" w:rsidRDefault="00000000">
            <w:pPr>
              <w:keepNext/>
              <w:spacing w:before="20" w:after="20"/>
              <w:jc w:val="center"/>
            </w:pPr>
            <w:r>
              <w:rPr>
                <w:b/>
                <w:bCs/>
                <w:i/>
                <w:iCs/>
                <w:color w:val="FFFFFF"/>
                <w:sz w:val="18"/>
                <w:szCs w:val="18"/>
              </w:rPr>
              <w:t>Destacado (81–100)</w:t>
            </w:r>
          </w:p>
        </w:tc>
      </w:tr>
      <w:tr w:rsidR="00990B14" w14:paraId="7C586940" w14:textId="77777777">
        <w:trPr>
          <w:cantSplit/>
          <w:jc w:val="center"/>
        </w:trPr>
        <w:tc>
          <w:tcPr>
            <w:tcW w:w="1864" w:type="dxa"/>
            <w:vMerge/>
            <w:shd w:val="clear" w:color="auto" w:fill="4472C4"/>
            <w:vAlign w:val="center"/>
          </w:tcPr>
          <w:p w14:paraId="21A34187" w14:textId="77777777" w:rsidR="00990B14" w:rsidRDefault="00990B14">
            <w:pPr>
              <w:spacing w:before="20" w:after="20"/>
            </w:pPr>
          </w:p>
        </w:tc>
        <w:tc>
          <w:tcPr>
            <w:tcW w:w="1861" w:type="dxa"/>
            <w:shd w:val="clear" w:color="auto" w:fill="D9E2F3"/>
            <w:vAlign w:val="center"/>
          </w:tcPr>
          <w:p w14:paraId="0F15A346" w14:textId="77777777" w:rsidR="00990B14" w:rsidRDefault="00000000">
            <w:pPr>
              <w:spacing w:before="20" w:after="20"/>
              <w:jc w:val="both"/>
            </w:pPr>
            <w:r>
              <w:rPr>
                <w:sz w:val="18"/>
                <w:szCs w:val="18"/>
              </w:rPr>
              <w:t>Contrato y obligaciones</w:t>
            </w:r>
          </w:p>
        </w:tc>
        <w:tc>
          <w:tcPr>
            <w:tcW w:w="1861" w:type="dxa"/>
            <w:shd w:val="clear" w:color="auto" w:fill="D9E2F3"/>
            <w:vAlign w:val="center"/>
          </w:tcPr>
          <w:p w14:paraId="4C2575FE" w14:textId="77777777" w:rsidR="00990B14" w:rsidRDefault="00000000">
            <w:pPr>
              <w:spacing w:before="20" w:after="20"/>
              <w:jc w:val="both"/>
            </w:pPr>
            <w:r>
              <w:rPr>
                <w:sz w:val="18"/>
                <w:szCs w:val="18"/>
              </w:rPr>
              <w:t>No identifica las obligaciones de desempeño.</w:t>
            </w:r>
          </w:p>
        </w:tc>
        <w:tc>
          <w:tcPr>
            <w:tcW w:w="1910" w:type="dxa"/>
            <w:shd w:val="clear" w:color="auto" w:fill="D9E2F3"/>
            <w:vAlign w:val="center"/>
          </w:tcPr>
          <w:p w14:paraId="542C68A4" w14:textId="77777777" w:rsidR="00990B14" w:rsidRDefault="00000000">
            <w:pPr>
              <w:spacing w:before="20" w:after="20"/>
              <w:jc w:val="both"/>
            </w:pPr>
            <w:r>
              <w:rPr>
                <w:sz w:val="18"/>
                <w:szCs w:val="18"/>
              </w:rPr>
              <w:t>Identifica el contrato y sus obligaciones.</w:t>
            </w:r>
          </w:p>
        </w:tc>
        <w:tc>
          <w:tcPr>
            <w:tcW w:w="1909" w:type="dxa"/>
            <w:shd w:val="clear" w:color="auto" w:fill="D9E2F3"/>
            <w:vAlign w:val="center"/>
          </w:tcPr>
          <w:p w14:paraId="46B72D7A" w14:textId="77777777" w:rsidR="00990B14" w:rsidRDefault="00000000">
            <w:pPr>
              <w:spacing w:before="20" w:after="20"/>
              <w:jc w:val="both"/>
            </w:pPr>
            <w:r>
              <w:rPr>
                <w:sz w:val="18"/>
                <w:szCs w:val="18"/>
              </w:rPr>
              <w:t>Analiza las modificaciones del contrato.</w:t>
            </w:r>
          </w:p>
        </w:tc>
      </w:tr>
      <w:tr w:rsidR="00990B14" w14:paraId="7B16D1B3" w14:textId="77777777">
        <w:trPr>
          <w:cantSplit/>
          <w:jc w:val="center"/>
        </w:trPr>
        <w:tc>
          <w:tcPr>
            <w:tcW w:w="1864" w:type="dxa"/>
            <w:vMerge/>
            <w:shd w:val="clear" w:color="auto" w:fill="4472C4"/>
            <w:vAlign w:val="center"/>
          </w:tcPr>
          <w:p w14:paraId="66CAA479" w14:textId="77777777" w:rsidR="00990B14" w:rsidRDefault="00990B14">
            <w:pPr>
              <w:spacing w:before="20" w:after="20"/>
            </w:pPr>
          </w:p>
        </w:tc>
        <w:tc>
          <w:tcPr>
            <w:tcW w:w="1861" w:type="dxa"/>
            <w:shd w:val="clear" w:color="auto" w:fill="D9E2F3"/>
            <w:vAlign w:val="center"/>
          </w:tcPr>
          <w:p w14:paraId="0714A947" w14:textId="77777777" w:rsidR="00990B14" w:rsidRDefault="00000000">
            <w:pPr>
              <w:spacing w:before="20" w:after="20"/>
              <w:jc w:val="both"/>
            </w:pPr>
            <w:r>
              <w:rPr>
                <w:sz w:val="18"/>
                <w:szCs w:val="18"/>
              </w:rPr>
              <w:t>Reconocimiento</w:t>
            </w:r>
          </w:p>
        </w:tc>
        <w:tc>
          <w:tcPr>
            <w:tcW w:w="1861" w:type="dxa"/>
            <w:shd w:val="clear" w:color="auto" w:fill="D9E2F3"/>
            <w:vAlign w:val="center"/>
          </w:tcPr>
          <w:p w14:paraId="3EAEAAD0" w14:textId="77777777" w:rsidR="00990B14" w:rsidRDefault="00000000">
            <w:pPr>
              <w:spacing w:before="20" w:after="20"/>
              <w:jc w:val="both"/>
            </w:pPr>
            <w:r>
              <w:rPr>
                <w:sz w:val="18"/>
                <w:szCs w:val="18"/>
              </w:rPr>
              <w:t>Reconoce el ingreso en un momento incorrecto.</w:t>
            </w:r>
          </w:p>
        </w:tc>
        <w:tc>
          <w:tcPr>
            <w:tcW w:w="1910" w:type="dxa"/>
            <w:shd w:val="clear" w:color="auto" w:fill="D9E2F3"/>
            <w:vAlign w:val="center"/>
          </w:tcPr>
          <w:p w14:paraId="4DDBB2DF" w14:textId="77777777" w:rsidR="00990B14" w:rsidRDefault="00000000">
            <w:pPr>
              <w:spacing w:before="20" w:after="20"/>
              <w:jc w:val="both"/>
            </w:pPr>
            <w:r>
              <w:rPr>
                <w:sz w:val="18"/>
                <w:szCs w:val="18"/>
              </w:rPr>
              <w:t>Reconoce el ingreso al satisfacer cada obligación.</w:t>
            </w:r>
          </w:p>
        </w:tc>
        <w:tc>
          <w:tcPr>
            <w:tcW w:w="1909" w:type="dxa"/>
            <w:shd w:val="clear" w:color="auto" w:fill="D9E2F3"/>
            <w:vAlign w:val="center"/>
          </w:tcPr>
          <w:p w14:paraId="0069EF88" w14:textId="77777777" w:rsidR="00990B14" w:rsidRDefault="00000000">
            <w:pPr>
              <w:spacing w:before="20" w:after="20"/>
              <w:jc w:val="both"/>
            </w:pPr>
            <w:r>
              <w:rPr>
                <w:sz w:val="18"/>
                <w:szCs w:val="18"/>
              </w:rPr>
              <w:t>Distingue el reconocimiento a lo largo del tiempo y en un momento.</w:t>
            </w:r>
          </w:p>
        </w:tc>
      </w:tr>
      <w:tr w:rsidR="00990B14" w14:paraId="0684A699" w14:textId="77777777">
        <w:trPr>
          <w:cantSplit/>
          <w:jc w:val="center"/>
        </w:trPr>
        <w:tc>
          <w:tcPr>
            <w:tcW w:w="1864" w:type="dxa"/>
            <w:vMerge/>
            <w:shd w:val="clear" w:color="auto" w:fill="4472C4"/>
            <w:vAlign w:val="center"/>
          </w:tcPr>
          <w:p w14:paraId="3577C10E" w14:textId="77777777" w:rsidR="00990B14" w:rsidRDefault="00990B14">
            <w:pPr>
              <w:spacing w:before="20" w:after="20"/>
            </w:pPr>
          </w:p>
        </w:tc>
        <w:tc>
          <w:tcPr>
            <w:tcW w:w="1861" w:type="dxa"/>
            <w:shd w:val="clear" w:color="auto" w:fill="D9E2F3"/>
            <w:vAlign w:val="center"/>
          </w:tcPr>
          <w:p w14:paraId="4E361612" w14:textId="77777777" w:rsidR="00990B14" w:rsidRDefault="00000000">
            <w:pPr>
              <w:spacing w:before="20" w:after="20"/>
              <w:jc w:val="both"/>
            </w:pPr>
            <w:r>
              <w:rPr>
                <w:sz w:val="18"/>
                <w:szCs w:val="18"/>
              </w:rPr>
              <w:t>Presentación</w:t>
            </w:r>
          </w:p>
        </w:tc>
        <w:tc>
          <w:tcPr>
            <w:tcW w:w="1861" w:type="dxa"/>
            <w:shd w:val="clear" w:color="auto" w:fill="D9E2F3"/>
            <w:vAlign w:val="center"/>
          </w:tcPr>
          <w:p w14:paraId="0BF97E2B" w14:textId="77777777" w:rsidR="00990B14" w:rsidRDefault="00000000">
            <w:pPr>
              <w:spacing w:before="20" w:after="20"/>
              <w:jc w:val="both"/>
            </w:pPr>
            <w:r>
              <w:rPr>
                <w:sz w:val="18"/>
                <w:szCs w:val="18"/>
              </w:rPr>
              <w:t>El informe es incompleto.</w:t>
            </w:r>
          </w:p>
        </w:tc>
        <w:tc>
          <w:tcPr>
            <w:tcW w:w="1910" w:type="dxa"/>
            <w:shd w:val="clear" w:color="auto" w:fill="D9E2F3"/>
            <w:vAlign w:val="center"/>
          </w:tcPr>
          <w:p w14:paraId="7D69F1FD" w14:textId="77777777" w:rsidR="00990B14" w:rsidRDefault="00000000">
            <w:pPr>
              <w:spacing w:before="20" w:after="20"/>
              <w:jc w:val="both"/>
            </w:pPr>
            <w:r>
              <w:rPr>
                <w:sz w:val="18"/>
                <w:szCs w:val="18"/>
              </w:rPr>
              <w:t>El informe aplica los cinco pasos.</w:t>
            </w:r>
          </w:p>
        </w:tc>
        <w:tc>
          <w:tcPr>
            <w:tcW w:w="1909" w:type="dxa"/>
            <w:shd w:val="clear" w:color="auto" w:fill="D9E2F3"/>
            <w:vAlign w:val="center"/>
          </w:tcPr>
          <w:p w14:paraId="647563DB" w14:textId="77777777" w:rsidR="00990B14" w:rsidRDefault="00000000">
            <w:pPr>
              <w:spacing w:before="20" w:after="20"/>
              <w:jc w:val="both"/>
            </w:pPr>
            <w:r>
              <w:rPr>
                <w:sz w:val="18"/>
                <w:szCs w:val="18"/>
              </w:rPr>
              <w:t>El informe revela la información exigida.</w:t>
            </w:r>
          </w:p>
        </w:tc>
      </w:tr>
      <w:tr w:rsidR="00990B14" w14:paraId="52E30AA2" w14:textId="77777777">
        <w:trPr>
          <w:cantSplit/>
          <w:jc w:val="center"/>
        </w:trPr>
        <w:tc>
          <w:tcPr>
            <w:tcW w:w="1864" w:type="dxa"/>
            <w:vMerge/>
            <w:shd w:val="clear" w:color="auto" w:fill="4472C4"/>
            <w:vAlign w:val="center"/>
          </w:tcPr>
          <w:p w14:paraId="29F7ED7C" w14:textId="77777777" w:rsidR="00990B14" w:rsidRDefault="00990B14">
            <w:pPr>
              <w:spacing w:before="20" w:after="20"/>
            </w:pPr>
          </w:p>
        </w:tc>
        <w:tc>
          <w:tcPr>
            <w:tcW w:w="5632" w:type="dxa"/>
            <w:gridSpan w:val="3"/>
            <w:shd w:val="clear" w:color="auto" w:fill="D9E2F3"/>
            <w:vAlign w:val="center"/>
          </w:tcPr>
          <w:p w14:paraId="275E86D7" w14:textId="77777777" w:rsidR="00990B14" w:rsidRDefault="00000000">
            <w:pPr>
              <w:keepNext/>
              <w:spacing w:before="20" w:after="20"/>
              <w:jc w:val="both"/>
            </w:pPr>
            <w:r>
              <w:rPr>
                <w:b/>
                <w:bCs/>
                <w:i/>
                <w:iCs/>
                <w:sz w:val="18"/>
                <w:szCs w:val="18"/>
              </w:rPr>
              <w:t xml:space="preserve">Producto 20: </w:t>
            </w:r>
            <w:r>
              <w:rPr>
                <w:sz w:val="18"/>
                <w:szCs w:val="18"/>
              </w:rPr>
              <w:t>Práctico del precio de la transacción</w:t>
            </w:r>
          </w:p>
        </w:tc>
        <w:tc>
          <w:tcPr>
            <w:tcW w:w="1909" w:type="dxa"/>
            <w:shd w:val="clear" w:color="auto" w:fill="D9E2F3"/>
            <w:vAlign w:val="center"/>
          </w:tcPr>
          <w:p w14:paraId="7067A2F2" w14:textId="77777777" w:rsidR="00990B14" w:rsidRDefault="00000000">
            <w:pPr>
              <w:spacing w:before="20" w:after="20"/>
              <w:jc w:val="center"/>
            </w:pPr>
            <w:r>
              <w:rPr>
                <w:b/>
                <w:bCs/>
                <w:sz w:val="18"/>
                <w:szCs w:val="18"/>
              </w:rPr>
              <w:t>3%</w:t>
            </w:r>
          </w:p>
        </w:tc>
      </w:tr>
      <w:tr w:rsidR="00990B14" w14:paraId="27FB1455" w14:textId="77777777">
        <w:trPr>
          <w:cantSplit/>
          <w:jc w:val="center"/>
        </w:trPr>
        <w:tc>
          <w:tcPr>
            <w:tcW w:w="1864" w:type="dxa"/>
            <w:vMerge/>
            <w:shd w:val="clear" w:color="auto" w:fill="4472C4"/>
            <w:vAlign w:val="center"/>
          </w:tcPr>
          <w:p w14:paraId="6B1BD845" w14:textId="77777777" w:rsidR="00990B14" w:rsidRDefault="00990B14">
            <w:pPr>
              <w:spacing w:before="20" w:after="20"/>
            </w:pPr>
          </w:p>
        </w:tc>
        <w:tc>
          <w:tcPr>
            <w:tcW w:w="1861" w:type="dxa"/>
            <w:shd w:val="clear" w:color="auto" w:fill="4472C4"/>
            <w:vAlign w:val="center"/>
          </w:tcPr>
          <w:p w14:paraId="2644ACBB" w14:textId="77777777" w:rsidR="00990B14" w:rsidRDefault="00000000">
            <w:pPr>
              <w:keepNext/>
              <w:spacing w:before="20" w:after="20"/>
              <w:jc w:val="center"/>
            </w:pPr>
            <w:r>
              <w:rPr>
                <w:b/>
                <w:bCs/>
                <w:i/>
                <w:iCs/>
                <w:color w:val="FFFFFF"/>
                <w:sz w:val="18"/>
                <w:szCs w:val="18"/>
              </w:rPr>
              <w:t>Criterio</w:t>
            </w:r>
          </w:p>
        </w:tc>
        <w:tc>
          <w:tcPr>
            <w:tcW w:w="1861" w:type="dxa"/>
            <w:shd w:val="clear" w:color="auto" w:fill="4472C4"/>
            <w:vAlign w:val="center"/>
          </w:tcPr>
          <w:p w14:paraId="33A33782"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17954B33" w14:textId="77777777" w:rsidR="00990B14" w:rsidRDefault="00000000">
            <w:pPr>
              <w:keepNext/>
              <w:spacing w:before="20" w:after="20"/>
              <w:jc w:val="center"/>
            </w:pPr>
            <w:r>
              <w:rPr>
                <w:b/>
                <w:bCs/>
                <w:i/>
                <w:iCs/>
                <w:color w:val="FFFFFF"/>
                <w:sz w:val="18"/>
                <w:szCs w:val="18"/>
              </w:rPr>
              <w:t>Suficiente (51–80)</w:t>
            </w:r>
          </w:p>
        </w:tc>
        <w:tc>
          <w:tcPr>
            <w:tcW w:w="1909" w:type="dxa"/>
            <w:shd w:val="clear" w:color="auto" w:fill="4472C4"/>
            <w:vAlign w:val="center"/>
          </w:tcPr>
          <w:p w14:paraId="55729641" w14:textId="77777777" w:rsidR="00990B14" w:rsidRDefault="00000000">
            <w:pPr>
              <w:keepNext/>
              <w:spacing w:before="20" w:after="20"/>
              <w:jc w:val="center"/>
            </w:pPr>
            <w:r>
              <w:rPr>
                <w:b/>
                <w:bCs/>
                <w:i/>
                <w:iCs/>
                <w:color w:val="FFFFFF"/>
                <w:sz w:val="18"/>
                <w:szCs w:val="18"/>
              </w:rPr>
              <w:t>Destacado (81–100)</w:t>
            </w:r>
          </w:p>
        </w:tc>
      </w:tr>
      <w:tr w:rsidR="00990B14" w14:paraId="73D31E41" w14:textId="77777777">
        <w:trPr>
          <w:cantSplit/>
          <w:jc w:val="center"/>
        </w:trPr>
        <w:tc>
          <w:tcPr>
            <w:tcW w:w="1864" w:type="dxa"/>
            <w:vMerge/>
            <w:shd w:val="clear" w:color="auto" w:fill="4472C4"/>
            <w:vAlign w:val="center"/>
          </w:tcPr>
          <w:p w14:paraId="6647B6C0" w14:textId="77777777" w:rsidR="00990B14" w:rsidRDefault="00990B14">
            <w:pPr>
              <w:spacing w:before="20" w:after="20"/>
            </w:pPr>
          </w:p>
        </w:tc>
        <w:tc>
          <w:tcPr>
            <w:tcW w:w="1861" w:type="dxa"/>
            <w:shd w:val="clear" w:color="auto" w:fill="D9E2F3"/>
            <w:vAlign w:val="center"/>
          </w:tcPr>
          <w:p w14:paraId="683AD497" w14:textId="77777777" w:rsidR="00990B14" w:rsidRDefault="00000000">
            <w:pPr>
              <w:spacing w:before="20" w:after="20"/>
              <w:jc w:val="both"/>
            </w:pPr>
            <w:r>
              <w:rPr>
                <w:sz w:val="18"/>
                <w:szCs w:val="18"/>
              </w:rPr>
              <w:t>Precio</w:t>
            </w:r>
          </w:p>
        </w:tc>
        <w:tc>
          <w:tcPr>
            <w:tcW w:w="1861" w:type="dxa"/>
            <w:shd w:val="clear" w:color="auto" w:fill="D9E2F3"/>
            <w:vAlign w:val="center"/>
          </w:tcPr>
          <w:p w14:paraId="33FA93D3" w14:textId="77777777" w:rsidR="00990B14" w:rsidRDefault="00000000">
            <w:pPr>
              <w:spacing w:before="20" w:after="20"/>
              <w:jc w:val="both"/>
            </w:pPr>
            <w:r>
              <w:rPr>
                <w:sz w:val="18"/>
                <w:szCs w:val="18"/>
              </w:rPr>
              <w:t>Determina mal el precio.</w:t>
            </w:r>
          </w:p>
        </w:tc>
        <w:tc>
          <w:tcPr>
            <w:tcW w:w="1910" w:type="dxa"/>
            <w:shd w:val="clear" w:color="auto" w:fill="D9E2F3"/>
            <w:vAlign w:val="center"/>
          </w:tcPr>
          <w:p w14:paraId="2F05DFDE" w14:textId="77777777" w:rsidR="00990B14" w:rsidRDefault="00000000">
            <w:pPr>
              <w:spacing w:before="20" w:after="20"/>
              <w:jc w:val="both"/>
            </w:pPr>
            <w:r>
              <w:rPr>
                <w:sz w:val="18"/>
                <w:szCs w:val="18"/>
              </w:rPr>
              <w:t>Determina el precio de la transacción.</w:t>
            </w:r>
          </w:p>
        </w:tc>
        <w:tc>
          <w:tcPr>
            <w:tcW w:w="1909" w:type="dxa"/>
            <w:shd w:val="clear" w:color="auto" w:fill="D9E2F3"/>
            <w:vAlign w:val="center"/>
          </w:tcPr>
          <w:p w14:paraId="0F6A15CD" w14:textId="77777777" w:rsidR="00990B14" w:rsidRDefault="00000000">
            <w:pPr>
              <w:spacing w:before="20" w:after="20"/>
              <w:jc w:val="both"/>
            </w:pPr>
            <w:r>
              <w:rPr>
                <w:sz w:val="18"/>
                <w:szCs w:val="18"/>
              </w:rPr>
              <w:t>Incluye la contraprestación variable y la financiación.</w:t>
            </w:r>
          </w:p>
        </w:tc>
      </w:tr>
      <w:tr w:rsidR="00990B14" w14:paraId="6C470534" w14:textId="77777777">
        <w:trPr>
          <w:cantSplit/>
          <w:jc w:val="center"/>
        </w:trPr>
        <w:tc>
          <w:tcPr>
            <w:tcW w:w="1864" w:type="dxa"/>
            <w:vMerge/>
            <w:shd w:val="clear" w:color="auto" w:fill="4472C4"/>
            <w:vAlign w:val="center"/>
          </w:tcPr>
          <w:p w14:paraId="053C9A14" w14:textId="77777777" w:rsidR="00990B14" w:rsidRDefault="00990B14">
            <w:pPr>
              <w:spacing w:before="20" w:after="20"/>
            </w:pPr>
          </w:p>
        </w:tc>
        <w:tc>
          <w:tcPr>
            <w:tcW w:w="1861" w:type="dxa"/>
            <w:shd w:val="clear" w:color="auto" w:fill="D9E2F3"/>
            <w:vAlign w:val="center"/>
          </w:tcPr>
          <w:p w14:paraId="00EFAB7D" w14:textId="77777777" w:rsidR="00990B14" w:rsidRDefault="00000000">
            <w:pPr>
              <w:spacing w:before="20" w:after="20"/>
              <w:jc w:val="both"/>
            </w:pPr>
            <w:r>
              <w:rPr>
                <w:sz w:val="18"/>
                <w:szCs w:val="18"/>
              </w:rPr>
              <w:t>Asignación</w:t>
            </w:r>
          </w:p>
        </w:tc>
        <w:tc>
          <w:tcPr>
            <w:tcW w:w="1861" w:type="dxa"/>
            <w:shd w:val="clear" w:color="auto" w:fill="D9E2F3"/>
            <w:vAlign w:val="center"/>
          </w:tcPr>
          <w:p w14:paraId="0592930F" w14:textId="77777777" w:rsidR="00990B14" w:rsidRDefault="00000000">
            <w:pPr>
              <w:spacing w:before="20" w:after="20"/>
              <w:jc w:val="both"/>
            </w:pPr>
            <w:r>
              <w:rPr>
                <w:sz w:val="18"/>
                <w:szCs w:val="18"/>
              </w:rPr>
              <w:t>No asigna el precio.</w:t>
            </w:r>
          </w:p>
        </w:tc>
        <w:tc>
          <w:tcPr>
            <w:tcW w:w="1910" w:type="dxa"/>
            <w:shd w:val="clear" w:color="auto" w:fill="D9E2F3"/>
            <w:vAlign w:val="center"/>
          </w:tcPr>
          <w:p w14:paraId="63206636" w14:textId="77777777" w:rsidR="00990B14" w:rsidRDefault="00000000">
            <w:pPr>
              <w:spacing w:before="20" w:after="20"/>
              <w:jc w:val="both"/>
            </w:pPr>
            <w:r>
              <w:rPr>
                <w:sz w:val="18"/>
                <w:szCs w:val="18"/>
              </w:rPr>
              <w:t>Asigna el precio según precios de venta independientes.</w:t>
            </w:r>
          </w:p>
        </w:tc>
        <w:tc>
          <w:tcPr>
            <w:tcW w:w="1909" w:type="dxa"/>
            <w:shd w:val="clear" w:color="auto" w:fill="D9E2F3"/>
            <w:vAlign w:val="center"/>
          </w:tcPr>
          <w:p w14:paraId="6CFE210E" w14:textId="77777777" w:rsidR="00990B14" w:rsidRDefault="00000000">
            <w:pPr>
              <w:spacing w:before="20" w:after="20"/>
              <w:jc w:val="both"/>
            </w:pPr>
            <w:r>
              <w:rPr>
                <w:sz w:val="18"/>
                <w:szCs w:val="18"/>
              </w:rPr>
              <w:t>Ajusta la asignación ante cambios en el precio.</w:t>
            </w:r>
          </w:p>
        </w:tc>
      </w:tr>
      <w:tr w:rsidR="00990B14" w14:paraId="412A9CBC" w14:textId="77777777">
        <w:trPr>
          <w:cantSplit/>
          <w:jc w:val="center"/>
        </w:trPr>
        <w:tc>
          <w:tcPr>
            <w:tcW w:w="1864" w:type="dxa"/>
            <w:vMerge/>
            <w:shd w:val="clear" w:color="auto" w:fill="4472C4"/>
            <w:vAlign w:val="center"/>
          </w:tcPr>
          <w:p w14:paraId="7B9F841D" w14:textId="77777777" w:rsidR="00990B14" w:rsidRDefault="00990B14">
            <w:pPr>
              <w:spacing w:before="20" w:after="20"/>
            </w:pPr>
          </w:p>
        </w:tc>
        <w:tc>
          <w:tcPr>
            <w:tcW w:w="1861" w:type="dxa"/>
            <w:shd w:val="clear" w:color="auto" w:fill="D9E2F3"/>
            <w:vAlign w:val="center"/>
          </w:tcPr>
          <w:p w14:paraId="319C3FDA" w14:textId="77777777" w:rsidR="00990B14" w:rsidRDefault="00000000">
            <w:pPr>
              <w:spacing w:before="20" w:after="20"/>
              <w:jc w:val="both"/>
            </w:pPr>
            <w:r>
              <w:rPr>
                <w:sz w:val="18"/>
                <w:szCs w:val="18"/>
              </w:rPr>
              <w:t>Desarrollo</w:t>
            </w:r>
          </w:p>
        </w:tc>
        <w:tc>
          <w:tcPr>
            <w:tcW w:w="1861" w:type="dxa"/>
            <w:shd w:val="clear" w:color="auto" w:fill="D9E2F3"/>
            <w:vAlign w:val="center"/>
          </w:tcPr>
          <w:p w14:paraId="524A56A6" w14:textId="77777777" w:rsidR="00990B14" w:rsidRDefault="00000000">
            <w:pPr>
              <w:spacing w:before="20" w:after="20"/>
              <w:jc w:val="both"/>
            </w:pPr>
            <w:r>
              <w:rPr>
                <w:sz w:val="18"/>
                <w:szCs w:val="18"/>
              </w:rPr>
              <w:t>El desarrollo está incompleto.</w:t>
            </w:r>
          </w:p>
        </w:tc>
        <w:tc>
          <w:tcPr>
            <w:tcW w:w="1910" w:type="dxa"/>
            <w:shd w:val="clear" w:color="auto" w:fill="D9E2F3"/>
            <w:vAlign w:val="center"/>
          </w:tcPr>
          <w:p w14:paraId="08EB10F3" w14:textId="77777777" w:rsidR="00990B14" w:rsidRDefault="00000000">
            <w:pPr>
              <w:spacing w:before="20" w:after="20"/>
              <w:jc w:val="both"/>
            </w:pPr>
            <w:r>
              <w:rPr>
                <w:sz w:val="18"/>
                <w:szCs w:val="18"/>
              </w:rPr>
              <w:t>Resuelve todo el práctico.</w:t>
            </w:r>
          </w:p>
        </w:tc>
        <w:tc>
          <w:tcPr>
            <w:tcW w:w="1909" w:type="dxa"/>
            <w:shd w:val="clear" w:color="auto" w:fill="D9E2F3"/>
            <w:vAlign w:val="center"/>
          </w:tcPr>
          <w:p w14:paraId="3CF5EA4F" w14:textId="77777777" w:rsidR="00990B14" w:rsidRDefault="00000000">
            <w:pPr>
              <w:spacing w:before="20" w:after="20"/>
              <w:jc w:val="both"/>
            </w:pPr>
            <w:r>
              <w:rPr>
                <w:sz w:val="18"/>
                <w:szCs w:val="18"/>
              </w:rPr>
              <w:t>El desarrollo es ordenado y verificado.</w:t>
            </w:r>
          </w:p>
        </w:tc>
      </w:tr>
      <w:tr w:rsidR="00990B14" w14:paraId="7F70C6FB" w14:textId="77777777">
        <w:trPr>
          <w:cantSplit/>
          <w:jc w:val="center"/>
        </w:trPr>
        <w:tc>
          <w:tcPr>
            <w:tcW w:w="1864" w:type="dxa"/>
            <w:vMerge/>
            <w:shd w:val="clear" w:color="auto" w:fill="4472C4"/>
            <w:vAlign w:val="center"/>
          </w:tcPr>
          <w:p w14:paraId="1ACBAF71" w14:textId="77777777" w:rsidR="00990B14" w:rsidRDefault="00990B14">
            <w:pPr>
              <w:spacing w:before="20" w:after="20"/>
            </w:pPr>
          </w:p>
        </w:tc>
        <w:tc>
          <w:tcPr>
            <w:tcW w:w="5632" w:type="dxa"/>
            <w:gridSpan w:val="3"/>
            <w:shd w:val="clear" w:color="auto" w:fill="D9E2F3"/>
            <w:vAlign w:val="center"/>
          </w:tcPr>
          <w:p w14:paraId="13163F0C" w14:textId="77777777" w:rsidR="00990B14" w:rsidRDefault="00000000">
            <w:pPr>
              <w:keepNext/>
              <w:spacing w:before="20" w:after="20"/>
              <w:jc w:val="both"/>
            </w:pPr>
            <w:r>
              <w:rPr>
                <w:b/>
                <w:bCs/>
                <w:i/>
                <w:iCs/>
                <w:sz w:val="18"/>
                <w:szCs w:val="18"/>
              </w:rPr>
              <w:t xml:space="preserve">Producto 21: </w:t>
            </w:r>
            <w:r>
              <w:rPr>
                <w:sz w:val="18"/>
                <w:szCs w:val="18"/>
              </w:rPr>
              <w:t>Estado de Situación Financiera de apertura con arreglo a las NIIF o la NIIF para las PYMES</w:t>
            </w:r>
          </w:p>
        </w:tc>
        <w:tc>
          <w:tcPr>
            <w:tcW w:w="1909" w:type="dxa"/>
            <w:shd w:val="clear" w:color="auto" w:fill="D9E2F3"/>
            <w:vAlign w:val="center"/>
          </w:tcPr>
          <w:p w14:paraId="577D5D4A" w14:textId="77777777" w:rsidR="00990B14" w:rsidRDefault="00000000">
            <w:pPr>
              <w:spacing w:before="20" w:after="20"/>
              <w:jc w:val="center"/>
            </w:pPr>
            <w:r>
              <w:rPr>
                <w:b/>
                <w:bCs/>
                <w:sz w:val="18"/>
                <w:szCs w:val="18"/>
              </w:rPr>
              <w:t>2%</w:t>
            </w:r>
          </w:p>
        </w:tc>
      </w:tr>
      <w:tr w:rsidR="00990B14" w14:paraId="3DD50DF7" w14:textId="77777777">
        <w:trPr>
          <w:cantSplit/>
          <w:jc w:val="center"/>
        </w:trPr>
        <w:tc>
          <w:tcPr>
            <w:tcW w:w="1864" w:type="dxa"/>
            <w:vMerge/>
            <w:shd w:val="clear" w:color="auto" w:fill="4472C4"/>
            <w:vAlign w:val="center"/>
          </w:tcPr>
          <w:p w14:paraId="248E88FD" w14:textId="77777777" w:rsidR="00990B14" w:rsidRDefault="00990B14">
            <w:pPr>
              <w:spacing w:before="20" w:after="20"/>
            </w:pPr>
          </w:p>
        </w:tc>
        <w:tc>
          <w:tcPr>
            <w:tcW w:w="1861" w:type="dxa"/>
            <w:shd w:val="clear" w:color="auto" w:fill="4472C4"/>
            <w:vAlign w:val="center"/>
          </w:tcPr>
          <w:p w14:paraId="0B2A2ADB" w14:textId="77777777" w:rsidR="00990B14" w:rsidRDefault="00000000">
            <w:pPr>
              <w:keepNext/>
              <w:spacing w:before="20" w:after="20"/>
              <w:jc w:val="center"/>
            </w:pPr>
            <w:r>
              <w:rPr>
                <w:b/>
                <w:bCs/>
                <w:i/>
                <w:iCs/>
                <w:color w:val="FFFFFF"/>
                <w:sz w:val="18"/>
                <w:szCs w:val="18"/>
              </w:rPr>
              <w:t>Criterio</w:t>
            </w:r>
          </w:p>
        </w:tc>
        <w:tc>
          <w:tcPr>
            <w:tcW w:w="1861" w:type="dxa"/>
            <w:shd w:val="clear" w:color="auto" w:fill="4472C4"/>
            <w:vAlign w:val="center"/>
          </w:tcPr>
          <w:p w14:paraId="6BBAB7F9"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7530AFEF" w14:textId="77777777" w:rsidR="00990B14" w:rsidRDefault="00000000">
            <w:pPr>
              <w:keepNext/>
              <w:spacing w:before="20" w:after="20"/>
              <w:jc w:val="center"/>
            </w:pPr>
            <w:r>
              <w:rPr>
                <w:b/>
                <w:bCs/>
                <w:i/>
                <w:iCs/>
                <w:color w:val="FFFFFF"/>
                <w:sz w:val="18"/>
                <w:szCs w:val="18"/>
              </w:rPr>
              <w:t>Suficiente (51–80)</w:t>
            </w:r>
          </w:p>
        </w:tc>
        <w:tc>
          <w:tcPr>
            <w:tcW w:w="1909" w:type="dxa"/>
            <w:shd w:val="clear" w:color="auto" w:fill="4472C4"/>
            <w:vAlign w:val="center"/>
          </w:tcPr>
          <w:p w14:paraId="67DA53FD" w14:textId="77777777" w:rsidR="00990B14" w:rsidRDefault="00000000">
            <w:pPr>
              <w:keepNext/>
              <w:spacing w:before="20" w:after="20"/>
              <w:jc w:val="center"/>
            </w:pPr>
            <w:r>
              <w:rPr>
                <w:b/>
                <w:bCs/>
                <w:i/>
                <w:iCs/>
                <w:color w:val="FFFFFF"/>
                <w:sz w:val="18"/>
                <w:szCs w:val="18"/>
              </w:rPr>
              <w:t>Destacado (81–100)</w:t>
            </w:r>
          </w:p>
        </w:tc>
      </w:tr>
      <w:tr w:rsidR="00990B14" w14:paraId="7EC2713D" w14:textId="77777777">
        <w:trPr>
          <w:cantSplit/>
          <w:jc w:val="center"/>
        </w:trPr>
        <w:tc>
          <w:tcPr>
            <w:tcW w:w="1864" w:type="dxa"/>
            <w:vMerge/>
            <w:shd w:val="clear" w:color="auto" w:fill="4472C4"/>
            <w:vAlign w:val="center"/>
          </w:tcPr>
          <w:p w14:paraId="31859CA4" w14:textId="77777777" w:rsidR="00990B14" w:rsidRDefault="00990B14">
            <w:pPr>
              <w:spacing w:before="20" w:after="20"/>
            </w:pPr>
          </w:p>
        </w:tc>
        <w:tc>
          <w:tcPr>
            <w:tcW w:w="1861" w:type="dxa"/>
            <w:shd w:val="clear" w:color="auto" w:fill="D9E2F3"/>
            <w:vAlign w:val="center"/>
          </w:tcPr>
          <w:p w14:paraId="6DD7063C" w14:textId="77777777" w:rsidR="00990B14" w:rsidRDefault="00000000">
            <w:pPr>
              <w:spacing w:before="20" w:after="20"/>
              <w:jc w:val="both"/>
            </w:pPr>
            <w:r>
              <w:rPr>
                <w:sz w:val="18"/>
                <w:szCs w:val="18"/>
              </w:rPr>
              <w:t>Reconocimiento</w:t>
            </w:r>
          </w:p>
        </w:tc>
        <w:tc>
          <w:tcPr>
            <w:tcW w:w="1861" w:type="dxa"/>
            <w:shd w:val="clear" w:color="auto" w:fill="D9E2F3"/>
            <w:vAlign w:val="center"/>
          </w:tcPr>
          <w:p w14:paraId="6D1710A6" w14:textId="77777777" w:rsidR="00990B14" w:rsidRDefault="00000000">
            <w:pPr>
              <w:spacing w:before="20" w:after="20"/>
              <w:jc w:val="both"/>
            </w:pPr>
            <w:r>
              <w:rPr>
                <w:sz w:val="18"/>
                <w:szCs w:val="18"/>
              </w:rPr>
              <w:t>Mantiene partidas no admitidas.</w:t>
            </w:r>
          </w:p>
        </w:tc>
        <w:tc>
          <w:tcPr>
            <w:tcW w:w="1910" w:type="dxa"/>
            <w:shd w:val="clear" w:color="auto" w:fill="D9E2F3"/>
            <w:vAlign w:val="center"/>
          </w:tcPr>
          <w:p w14:paraId="28E69D07" w14:textId="77777777" w:rsidR="00990B14" w:rsidRDefault="00000000">
            <w:pPr>
              <w:spacing w:before="20" w:after="20"/>
              <w:jc w:val="both"/>
            </w:pPr>
            <w:r>
              <w:rPr>
                <w:sz w:val="18"/>
                <w:szCs w:val="18"/>
              </w:rPr>
              <w:t>Reconoce y da de baja las partidas según las NIIF o la NIIF para las PYMES</w:t>
            </w:r>
          </w:p>
        </w:tc>
        <w:tc>
          <w:tcPr>
            <w:tcW w:w="1909" w:type="dxa"/>
            <w:shd w:val="clear" w:color="auto" w:fill="D9E2F3"/>
            <w:vAlign w:val="center"/>
          </w:tcPr>
          <w:p w14:paraId="3222DE99" w14:textId="77777777" w:rsidR="00990B14" w:rsidRDefault="00000000">
            <w:pPr>
              <w:spacing w:before="20" w:after="20"/>
              <w:jc w:val="both"/>
            </w:pPr>
            <w:r>
              <w:rPr>
                <w:sz w:val="18"/>
                <w:szCs w:val="18"/>
              </w:rPr>
              <w:t>Reclasifica las partidas correctamente.</w:t>
            </w:r>
          </w:p>
        </w:tc>
      </w:tr>
      <w:tr w:rsidR="00990B14" w14:paraId="7A969709" w14:textId="77777777">
        <w:trPr>
          <w:cantSplit/>
          <w:jc w:val="center"/>
        </w:trPr>
        <w:tc>
          <w:tcPr>
            <w:tcW w:w="1864" w:type="dxa"/>
            <w:vMerge/>
            <w:shd w:val="clear" w:color="auto" w:fill="4472C4"/>
            <w:vAlign w:val="center"/>
          </w:tcPr>
          <w:p w14:paraId="047F3351" w14:textId="77777777" w:rsidR="00990B14" w:rsidRDefault="00990B14">
            <w:pPr>
              <w:spacing w:before="20" w:after="20"/>
            </w:pPr>
          </w:p>
        </w:tc>
        <w:tc>
          <w:tcPr>
            <w:tcW w:w="1861" w:type="dxa"/>
            <w:shd w:val="clear" w:color="auto" w:fill="D9E2F3"/>
            <w:vAlign w:val="center"/>
          </w:tcPr>
          <w:p w14:paraId="1EE04B2C" w14:textId="77777777" w:rsidR="00990B14" w:rsidRDefault="00000000">
            <w:pPr>
              <w:spacing w:before="20" w:after="20"/>
              <w:jc w:val="both"/>
            </w:pPr>
            <w:r>
              <w:rPr>
                <w:sz w:val="18"/>
                <w:szCs w:val="18"/>
              </w:rPr>
              <w:t>Medición</w:t>
            </w:r>
          </w:p>
        </w:tc>
        <w:tc>
          <w:tcPr>
            <w:tcW w:w="1861" w:type="dxa"/>
            <w:shd w:val="clear" w:color="auto" w:fill="D9E2F3"/>
            <w:vAlign w:val="center"/>
          </w:tcPr>
          <w:p w14:paraId="1DB098EC" w14:textId="77777777" w:rsidR="00990B14" w:rsidRDefault="00000000">
            <w:pPr>
              <w:spacing w:before="20" w:after="20"/>
              <w:jc w:val="both"/>
            </w:pPr>
            <w:r>
              <w:rPr>
                <w:sz w:val="18"/>
                <w:szCs w:val="18"/>
              </w:rPr>
              <w:t>No mide conforme a las NIIF o la NIIF para las PYMES</w:t>
            </w:r>
          </w:p>
        </w:tc>
        <w:tc>
          <w:tcPr>
            <w:tcW w:w="1910" w:type="dxa"/>
            <w:shd w:val="clear" w:color="auto" w:fill="D9E2F3"/>
            <w:vAlign w:val="center"/>
          </w:tcPr>
          <w:p w14:paraId="1AE76995" w14:textId="77777777" w:rsidR="00990B14" w:rsidRDefault="00000000">
            <w:pPr>
              <w:spacing w:before="20" w:after="20"/>
              <w:jc w:val="both"/>
            </w:pPr>
            <w:r>
              <w:rPr>
                <w:sz w:val="18"/>
                <w:szCs w:val="18"/>
              </w:rPr>
              <w:t>Mide las partidas conforme a las NIIF o la NIIF para las PYMES.</w:t>
            </w:r>
          </w:p>
        </w:tc>
        <w:tc>
          <w:tcPr>
            <w:tcW w:w="1909" w:type="dxa"/>
            <w:shd w:val="clear" w:color="auto" w:fill="D9E2F3"/>
            <w:vAlign w:val="center"/>
          </w:tcPr>
          <w:p w14:paraId="3ACA366C" w14:textId="77777777" w:rsidR="00990B14" w:rsidRDefault="00000000">
            <w:pPr>
              <w:spacing w:before="20" w:after="20"/>
              <w:jc w:val="both"/>
            </w:pPr>
            <w:r>
              <w:rPr>
                <w:sz w:val="18"/>
                <w:szCs w:val="18"/>
              </w:rPr>
              <w:t>Aplica las exenciones de la NIIF 1 o la Sección de la NIIF para las PYMES</w:t>
            </w:r>
          </w:p>
        </w:tc>
      </w:tr>
      <w:tr w:rsidR="00990B14" w14:paraId="1D1B7854" w14:textId="77777777">
        <w:trPr>
          <w:cantSplit/>
          <w:jc w:val="center"/>
        </w:trPr>
        <w:tc>
          <w:tcPr>
            <w:tcW w:w="1864" w:type="dxa"/>
            <w:vMerge/>
            <w:shd w:val="clear" w:color="auto" w:fill="4472C4"/>
            <w:vAlign w:val="center"/>
          </w:tcPr>
          <w:p w14:paraId="7E2D313F" w14:textId="77777777" w:rsidR="00990B14" w:rsidRDefault="00990B14">
            <w:pPr>
              <w:spacing w:before="20" w:after="20"/>
            </w:pPr>
          </w:p>
        </w:tc>
        <w:tc>
          <w:tcPr>
            <w:tcW w:w="1861" w:type="dxa"/>
            <w:shd w:val="clear" w:color="auto" w:fill="D9E2F3"/>
            <w:vAlign w:val="center"/>
          </w:tcPr>
          <w:p w14:paraId="26C73D31" w14:textId="77777777" w:rsidR="00990B14" w:rsidRDefault="00000000">
            <w:pPr>
              <w:spacing w:before="20" w:after="20"/>
              <w:jc w:val="both"/>
            </w:pPr>
            <w:r>
              <w:rPr>
                <w:sz w:val="18"/>
                <w:szCs w:val="18"/>
              </w:rPr>
              <w:t>Presentación</w:t>
            </w:r>
          </w:p>
        </w:tc>
        <w:tc>
          <w:tcPr>
            <w:tcW w:w="1861" w:type="dxa"/>
            <w:shd w:val="clear" w:color="auto" w:fill="D9E2F3"/>
            <w:vAlign w:val="center"/>
          </w:tcPr>
          <w:p w14:paraId="44834BA7" w14:textId="77777777" w:rsidR="00990B14" w:rsidRDefault="00000000">
            <w:pPr>
              <w:spacing w:before="20" w:after="20"/>
              <w:jc w:val="both"/>
            </w:pPr>
            <w:r>
              <w:rPr>
                <w:sz w:val="18"/>
                <w:szCs w:val="18"/>
              </w:rPr>
              <w:t>El estado de situación financiera no cuadra.</w:t>
            </w:r>
          </w:p>
        </w:tc>
        <w:tc>
          <w:tcPr>
            <w:tcW w:w="1910" w:type="dxa"/>
            <w:shd w:val="clear" w:color="auto" w:fill="D9E2F3"/>
            <w:vAlign w:val="center"/>
          </w:tcPr>
          <w:p w14:paraId="7BFA311D" w14:textId="77777777" w:rsidR="00990B14" w:rsidRDefault="00000000">
            <w:pPr>
              <w:spacing w:before="20" w:after="20"/>
              <w:jc w:val="both"/>
            </w:pPr>
            <w:r>
              <w:rPr>
                <w:sz w:val="18"/>
                <w:szCs w:val="18"/>
              </w:rPr>
              <w:t>El estado de situación financiera de apertura cuadra.</w:t>
            </w:r>
          </w:p>
        </w:tc>
        <w:tc>
          <w:tcPr>
            <w:tcW w:w="1909" w:type="dxa"/>
            <w:shd w:val="clear" w:color="auto" w:fill="D9E2F3"/>
            <w:vAlign w:val="center"/>
          </w:tcPr>
          <w:p w14:paraId="483B1182" w14:textId="77777777" w:rsidR="00990B14" w:rsidRDefault="00000000">
            <w:pPr>
              <w:spacing w:before="20" w:after="20"/>
              <w:jc w:val="both"/>
            </w:pPr>
            <w:r>
              <w:rPr>
                <w:sz w:val="18"/>
                <w:szCs w:val="18"/>
              </w:rPr>
              <w:t>El estado de situación financiera de apertura referencia cada ajuste.</w:t>
            </w:r>
          </w:p>
        </w:tc>
      </w:tr>
      <w:tr w:rsidR="00990B14" w14:paraId="7A10F79B" w14:textId="77777777">
        <w:trPr>
          <w:cantSplit/>
          <w:jc w:val="center"/>
        </w:trPr>
        <w:tc>
          <w:tcPr>
            <w:tcW w:w="1864" w:type="dxa"/>
            <w:vMerge/>
            <w:shd w:val="clear" w:color="auto" w:fill="4472C4"/>
            <w:vAlign w:val="center"/>
          </w:tcPr>
          <w:p w14:paraId="41E3E8A9" w14:textId="77777777" w:rsidR="00990B14" w:rsidRDefault="00990B14">
            <w:pPr>
              <w:spacing w:before="20" w:after="20"/>
            </w:pPr>
          </w:p>
        </w:tc>
        <w:tc>
          <w:tcPr>
            <w:tcW w:w="5632" w:type="dxa"/>
            <w:gridSpan w:val="3"/>
            <w:shd w:val="clear" w:color="auto" w:fill="D9E2F3"/>
            <w:vAlign w:val="center"/>
          </w:tcPr>
          <w:p w14:paraId="5F61736F" w14:textId="77777777" w:rsidR="00990B14" w:rsidRDefault="00000000">
            <w:pPr>
              <w:keepNext/>
              <w:spacing w:before="20" w:after="20"/>
              <w:jc w:val="both"/>
            </w:pPr>
            <w:r>
              <w:rPr>
                <w:b/>
                <w:bCs/>
                <w:i/>
                <w:iCs/>
                <w:sz w:val="18"/>
                <w:szCs w:val="18"/>
              </w:rPr>
              <w:t xml:space="preserve">Producto 22: </w:t>
            </w:r>
            <w:r>
              <w:rPr>
                <w:sz w:val="18"/>
                <w:szCs w:val="18"/>
              </w:rPr>
              <w:t>Conciliación del patrimonio</w:t>
            </w:r>
          </w:p>
        </w:tc>
        <w:tc>
          <w:tcPr>
            <w:tcW w:w="1909" w:type="dxa"/>
            <w:shd w:val="clear" w:color="auto" w:fill="D9E2F3"/>
            <w:vAlign w:val="center"/>
          </w:tcPr>
          <w:p w14:paraId="38965393" w14:textId="77777777" w:rsidR="00990B14" w:rsidRDefault="00000000">
            <w:pPr>
              <w:spacing w:before="20" w:after="20"/>
              <w:jc w:val="center"/>
            </w:pPr>
            <w:r>
              <w:rPr>
                <w:b/>
                <w:bCs/>
                <w:sz w:val="18"/>
                <w:szCs w:val="18"/>
              </w:rPr>
              <w:t>2%</w:t>
            </w:r>
          </w:p>
        </w:tc>
      </w:tr>
      <w:tr w:rsidR="00990B14" w14:paraId="53F94E1A" w14:textId="77777777">
        <w:trPr>
          <w:cantSplit/>
          <w:jc w:val="center"/>
        </w:trPr>
        <w:tc>
          <w:tcPr>
            <w:tcW w:w="1864" w:type="dxa"/>
            <w:vMerge/>
            <w:shd w:val="clear" w:color="auto" w:fill="4472C4"/>
            <w:vAlign w:val="center"/>
          </w:tcPr>
          <w:p w14:paraId="77F7E0E7" w14:textId="77777777" w:rsidR="00990B14" w:rsidRDefault="00990B14">
            <w:pPr>
              <w:spacing w:before="20" w:after="20"/>
            </w:pPr>
          </w:p>
        </w:tc>
        <w:tc>
          <w:tcPr>
            <w:tcW w:w="1861" w:type="dxa"/>
            <w:shd w:val="clear" w:color="auto" w:fill="4472C4"/>
            <w:vAlign w:val="center"/>
          </w:tcPr>
          <w:p w14:paraId="7B7BF7D3" w14:textId="77777777" w:rsidR="00990B14" w:rsidRDefault="00000000">
            <w:pPr>
              <w:keepNext/>
              <w:spacing w:before="20" w:after="20"/>
              <w:jc w:val="center"/>
            </w:pPr>
            <w:r>
              <w:rPr>
                <w:b/>
                <w:bCs/>
                <w:i/>
                <w:iCs/>
                <w:color w:val="FFFFFF"/>
                <w:sz w:val="18"/>
                <w:szCs w:val="18"/>
              </w:rPr>
              <w:t>Criterio</w:t>
            </w:r>
          </w:p>
        </w:tc>
        <w:tc>
          <w:tcPr>
            <w:tcW w:w="1861" w:type="dxa"/>
            <w:shd w:val="clear" w:color="auto" w:fill="4472C4"/>
            <w:vAlign w:val="center"/>
          </w:tcPr>
          <w:p w14:paraId="5DDF47DF"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59D51758" w14:textId="77777777" w:rsidR="00990B14" w:rsidRDefault="00000000">
            <w:pPr>
              <w:keepNext/>
              <w:spacing w:before="20" w:after="20"/>
              <w:jc w:val="center"/>
            </w:pPr>
            <w:r>
              <w:rPr>
                <w:b/>
                <w:bCs/>
                <w:i/>
                <w:iCs/>
                <w:color w:val="FFFFFF"/>
                <w:sz w:val="18"/>
                <w:szCs w:val="18"/>
              </w:rPr>
              <w:t>Suficiente (51–80)</w:t>
            </w:r>
          </w:p>
        </w:tc>
        <w:tc>
          <w:tcPr>
            <w:tcW w:w="1909" w:type="dxa"/>
            <w:shd w:val="clear" w:color="auto" w:fill="4472C4"/>
            <w:vAlign w:val="center"/>
          </w:tcPr>
          <w:p w14:paraId="5EED62EF" w14:textId="77777777" w:rsidR="00990B14" w:rsidRDefault="00000000">
            <w:pPr>
              <w:keepNext/>
              <w:spacing w:before="20" w:after="20"/>
              <w:jc w:val="center"/>
            </w:pPr>
            <w:r>
              <w:rPr>
                <w:b/>
                <w:bCs/>
                <w:i/>
                <w:iCs/>
                <w:color w:val="FFFFFF"/>
                <w:sz w:val="18"/>
                <w:szCs w:val="18"/>
              </w:rPr>
              <w:t>Destacado (81–100)</w:t>
            </w:r>
          </w:p>
        </w:tc>
      </w:tr>
      <w:tr w:rsidR="00990B14" w14:paraId="1F7D7050" w14:textId="77777777">
        <w:trPr>
          <w:cantSplit/>
          <w:jc w:val="center"/>
        </w:trPr>
        <w:tc>
          <w:tcPr>
            <w:tcW w:w="1864" w:type="dxa"/>
            <w:vMerge/>
            <w:shd w:val="clear" w:color="auto" w:fill="4472C4"/>
            <w:vAlign w:val="center"/>
          </w:tcPr>
          <w:p w14:paraId="1E362F23" w14:textId="77777777" w:rsidR="00990B14" w:rsidRDefault="00990B14">
            <w:pPr>
              <w:spacing w:before="20" w:after="20"/>
            </w:pPr>
          </w:p>
        </w:tc>
        <w:tc>
          <w:tcPr>
            <w:tcW w:w="1861" w:type="dxa"/>
            <w:shd w:val="clear" w:color="auto" w:fill="D9E2F3"/>
            <w:vAlign w:val="center"/>
          </w:tcPr>
          <w:p w14:paraId="1FBB1694" w14:textId="77777777" w:rsidR="00990B14" w:rsidRDefault="00000000">
            <w:pPr>
              <w:spacing w:before="20" w:after="20"/>
              <w:jc w:val="both"/>
            </w:pPr>
            <w:r>
              <w:rPr>
                <w:sz w:val="18"/>
                <w:szCs w:val="18"/>
              </w:rPr>
              <w:t>Ajustes</w:t>
            </w:r>
          </w:p>
        </w:tc>
        <w:tc>
          <w:tcPr>
            <w:tcW w:w="1861" w:type="dxa"/>
            <w:shd w:val="clear" w:color="auto" w:fill="D9E2F3"/>
            <w:vAlign w:val="center"/>
          </w:tcPr>
          <w:p w14:paraId="675DDC78" w14:textId="77777777" w:rsidR="00990B14" w:rsidRDefault="00000000">
            <w:pPr>
              <w:spacing w:before="20" w:after="20"/>
              <w:jc w:val="both"/>
            </w:pPr>
            <w:r>
              <w:rPr>
                <w:sz w:val="18"/>
                <w:szCs w:val="18"/>
              </w:rPr>
              <w:t>Omite ajustes.</w:t>
            </w:r>
          </w:p>
        </w:tc>
        <w:tc>
          <w:tcPr>
            <w:tcW w:w="1910" w:type="dxa"/>
            <w:shd w:val="clear" w:color="auto" w:fill="D9E2F3"/>
            <w:vAlign w:val="center"/>
          </w:tcPr>
          <w:p w14:paraId="16DFC3FC" w14:textId="77777777" w:rsidR="00990B14" w:rsidRDefault="00000000">
            <w:pPr>
              <w:spacing w:before="20" w:after="20"/>
              <w:jc w:val="both"/>
            </w:pPr>
            <w:r>
              <w:rPr>
                <w:sz w:val="18"/>
                <w:szCs w:val="18"/>
              </w:rPr>
              <w:t>Identifica los ajustes de la transición.</w:t>
            </w:r>
          </w:p>
        </w:tc>
        <w:tc>
          <w:tcPr>
            <w:tcW w:w="1909" w:type="dxa"/>
            <w:shd w:val="clear" w:color="auto" w:fill="D9E2F3"/>
            <w:vAlign w:val="center"/>
          </w:tcPr>
          <w:p w14:paraId="216E4C9A" w14:textId="77777777" w:rsidR="00990B14" w:rsidRDefault="00000000">
            <w:pPr>
              <w:spacing w:before="20" w:after="20"/>
              <w:jc w:val="both"/>
            </w:pPr>
            <w:r>
              <w:rPr>
                <w:sz w:val="18"/>
                <w:szCs w:val="18"/>
              </w:rPr>
              <w:t>Explica la causa de cada ajuste.</w:t>
            </w:r>
          </w:p>
        </w:tc>
      </w:tr>
      <w:tr w:rsidR="00990B14" w14:paraId="0C5910A9" w14:textId="77777777">
        <w:trPr>
          <w:cantSplit/>
          <w:jc w:val="center"/>
        </w:trPr>
        <w:tc>
          <w:tcPr>
            <w:tcW w:w="1864" w:type="dxa"/>
            <w:vMerge/>
            <w:shd w:val="clear" w:color="auto" w:fill="4472C4"/>
            <w:vAlign w:val="center"/>
          </w:tcPr>
          <w:p w14:paraId="2A4A61AA" w14:textId="77777777" w:rsidR="00990B14" w:rsidRDefault="00990B14">
            <w:pPr>
              <w:spacing w:before="20" w:after="20"/>
            </w:pPr>
          </w:p>
        </w:tc>
        <w:tc>
          <w:tcPr>
            <w:tcW w:w="1861" w:type="dxa"/>
            <w:shd w:val="clear" w:color="auto" w:fill="D9E2F3"/>
            <w:vAlign w:val="center"/>
          </w:tcPr>
          <w:p w14:paraId="02917DDE" w14:textId="77777777" w:rsidR="00990B14" w:rsidRDefault="00000000">
            <w:pPr>
              <w:spacing w:before="20" w:after="20"/>
              <w:jc w:val="both"/>
            </w:pPr>
            <w:r>
              <w:rPr>
                <w:sz w:val="18"/>
                <w:szCs w:val="18"/>
              </w:rPr>
              <w:t>Conciliación</w:t>
            </w:r>
          </w:p>
        </w:tc>
        <w:tc>
          <w:tcPr>
            <w:tcW w:w="1861" w:type="dxa"/>
            <w:shd w:val="clear" w:color="auto" w:fill="D9E2F3"/>
            <w:vAlign w:val="center"/>
          </w:tcPr>
          <w:p w14:paraId="22966F96" w14:textId="77777777" w:rsidR="00990B14" w:rsidRDefault="00000000">
            <w:pPr>
              <w:spacing w:before="20" w:after="20"/>
              <w:jc w:val="both"/>
            </w:pPr>
            <w:r>
              <w:rPr>
                <w:sz w:val="18"/>
                <w:szCs w:val="18"/>
              </w:rPr>
              <w:t>No concilia.</w:t>
            </w:r>
          </w:p>
        </w:tc>
        <w:tc>
          <w:tcPr>
            <w:tcW w:w="1910" w:type="dxa"/>
            <w:shd w:val="clear" w:color="auto" w:fill="D9E2F3"/>
            <w:vAlign w:val="center"/>
          </w:tcPr>
          <w:p w14:paraId="0043A158" w14:textId="77777777" w:rsidR="00990B14" w:rsidRDefault="00000000">
            <w:pPr>
              <w:spacing w:before="20" w:after="20"/>
              <w:jc w:val="both"/>
            </w:pPr>
            <w:r>
              <w:rPr>
                <w:sz w:val="18"/>
                <w:szCs w:val="18"/>
              </w:rPr>
              <w:t>Concilia el patrimonio.</w:t>
            </w:r>
          </w:p>
        </w:tc>
        <w:tc>
          <w:tcPr>
            <w:tcW w:w="1909" w:type="dxa"/>
            <w:shd w:val="clear" w:color="auto" w:fill="D9E2F3"/>
            <w:vAlign w:val="center"/>
          </w:tcPr>
          <w:p w14:paraId="3D915AE6" w14:textId="77777777" w:rsidR="00990B14" w:rsidRDefault="00000000">
            <w:pPr>
              <w:spacing w:before="20" w:after="20"/>
              <w:jc w:val="both"/>
            </w:pPr>
            <w:r>
              <w:rPr>
                <w:sz w:val="18"/>
                <w:szCs w:val="18"/>
              </w:rPr>
              <w:t>Presenta la conciliación exigida por la NIIF 1 y la NIIF para las PYMES</w:t>
            </w:r>
          </w:p>
        </w:tc>
      </w:tr>
      <w:tr w:rsidR="00990B14" w14:paraId="5A83B2A2" w14:textId="77777777">
        <w:trPr>
          <w:cantSplit/>
          <w:jc w:val="center"/>
        </w:trPr>
        <w:tc>
          <w:tcPr>
            <w:tcW w:w="1864" w:type="dxa"/>
            <w:vMerge/>
            <w:shd w:val="clear" w:color="auto" w:fill="4472C4"/>
            <w:vAlign w:val="center"/>
          </w:tcPr>
          <w:p w14:paraId="4FE0E2DC" w14:textId="77777777" w:rsidR="00990B14" w:rsidRDefault="00990B14">
            <w:pPr>
              <w:spacing w:before="20" w:after="20"/>
            </w:pPr>
          </w:p>
        </w:tc>
        <w:tc>
          <w:tcPr>
            <w:tcW w:w="1861" w:type="dxa"/>
            <w:shd w:val="clear" w:color="auto" w:fill="D9E2F3"/>
            <w:vAlign w:val="center"/>
          </w:tcPr>
          <w:p w14:paraId="016BE5FF" w14:textId="77777777" w:rsidR="00990B14" w:rsidRDefault="00000000">
            <w:pPr>
              <w:spacing w:before="20" w:after="20"/>
              <w:jc w:val="both"/>
            </w:pPr>
            <w:r>
              <w:rPr>
                <w:sz w:val="18"/>
                <w:szCs w:val="18"/>
              </w:rPr>
              <w:t>Explicación</w:t>
            </w:r>
          </w:p>
        </w:tc>
        <w:tc>
          <w:tcPr>
            <w:tcW w:w="1861" w:type="dxa"/>
            <w:shd w:val="clear" w:color="auto" w:fill="D9E2F3"/>
            <w:vAlign w:val="center"/>
          </w:tcPr>
          <w:p w14:paraId="23631379" w14:textId="77777777" w:rsidR="00990B14" w:rsidRDefault="00000000">
            <w:pPr>
              <w:spacing w:before="20" w:after="20"/>
              <w:jc w:val="both"/>
            </w:pPr>
            <w:r>
              <w:rPr>
                <w:sz w:val="18"/>
                <w:szCs w:val="18"/>
              </w:rPr>
              <w:t>No explica los ajustes.</w:t>
            </w:r>
          </w:p>
        </w:tc>
        <w:tc>
          <w:tcPr>
            <w:tcW w:w="1910" w:type="dxa"/>
            <w:shd w:val="clear" w:color="auto" w:fill="D9E2F3"/>
            <w:vAlign w:val="center"/>
          </w:tcPr>
          <w:p w14:paraId="2AEEC667" w14:textId="77777777" w:rsidR="00990B14" w:rsidRDefault="00000000">
            <w:pPr>
              <w:spacing w:before="20" w:after="20"/>
              <w:jc w:val="both"/>
            </w:pPr>
            <w:r>
              <w:rPr>
                <w:sz w:val="18"/>
                <w:szCs w:val="18"/>
              </w:rPr>
              <w:t>Explica los ajustes en equipo.</w:t>
            </w:r>
          </w:p>
        </w:tc>
        <w:tc>
          <w:tcPr>
            <w:tcW w:w="1909" w:type="dxa"/>
            <w:shd w:val="clear" w:color="auto" w:fill="D9E2F3"/>
            <w:vAlign w:val="center"/>
          </w:tcPr>
          <w:p w14:paraId="253E1A4D" w14:textId="77777777" w:rsidR="00990B14" w:rsidRDefault="00000000">
            <w:pPr>
              <w:spacing w:before="20" w:after="20"/>
              <w:jc w:val="both"/>
            </w:pPr>
            <w:r>
              <w:rPr>
                <w:sz w:val="18"/>
                <w:szCs w:val="18"/>
              </w:rPr>
              <w:t>Responde con fundamento normativo.</w:t>
            </w:r>
          </w:p>
        </w:tc>
      </w:tr>
      <w:tr w:rsidR="00990B14" w14:paraId="4224C6B6" w14:textId="77777777">
        <w:trPr>
          <w:cantSplit/>
          <w:jc w:val="center"/>
        </w:trPr>
        <w:tc>
          <w:tcPr>
            <w:tcW w:w="1864" w:type="dxa"/>
            <w:vMerge/>
            <w:shd w:val="clear" w:color="auto" w:fill="4472C4"/>
            <w:vAlign w:val="center"/>
          </w:tcPr>
          <w:p w14:paraId="0968CAF5" w14:textId="77777777" w:rsidR="00990B14" w:rsidRDefault="00990B14">
            <w:pPr>
              <w:spacing w:before="20" w:after="20"/>
            </w:pPr>
          </w:p>
        </w:tc>
        <w:tc>
          <w:tcPr>
            <w:tcW w:w="5632" w:type="dxa"/>
            <w:gridSpan w:val="3"/>
            <w:shd w:val="clear" w:color="auto" w:fill="D9E2F3"/>
            <w:vAlign w:val="center"/>
          </w:tcPr>
          <w:p w14:paraId="143EC98F" w14:textId="77777777" w:rsidR="00990B14" w:rsidRDefault="00000000">
            <w:pPr>
              <w:keepNext/>
              <w:spacing w:before="20" w:after="20"/>
              <w:jc w:val="both"/>
            </w:pPr>
            <w:r>
              <w:rPr>
                <w:b/>
                <w:bCs/>
                <w:i/>
                <w:iCs/>
                <w:sz w:val="18"/>
                <w:szCs w:val="18"/>
              </w:rPr>
              <w:t xml:space="preserve">Producto 23: </w:t>
            </w:r>
            <w:r>
              <w:rPr>
                <w:sz w:val="18"/>
                <w:szCs w:val="18"/>
              </w:rPr>
              <w:t>Informe de exenciones y excepciones</w:t>
            </w:r>
          </w:p>
        </w:tc>
        <w:tc>
          <w:tcPr>
            <w:tcW w:w="1909" w:type="dxa"/>
            <w:shd w:val="clear" w:color="auto" w:fill="D9E2F3"/>
            <w:vAlign w:val="center"/>
          </w:tcPr>
          <w:p w14:paraId="47C74166" w14:textId="77777777" w:rsidR="00990B14" w:rsidRDefault="00000000">
            <w:pPr>
              <w:spacing w:before="20" w:after="20"/>
              <w:jc w:val="center"/>
            </w:pPr>
            <w:r>
              <w:rPr>
                <w:b/>
                <w:bCs/>
                <w:sz w:val="18"/>
                <w:szCs w:val="18"/>
              </w:rPr>
              <w:t>2%</w:t>
            </w:r>
          </w:p>
        </w:tc>
      </w:tr>
      <w:tr w:rsidR="00990B14" w14:paraId="6BAD23A9" w14:textId="77777777">
        <w:trPr>
          <w:cantSplit/>
          <w:jc w:val="center"/>
        </w:trPr>
        <w:tc>
          <w:tcPr>
            <w:tcW w:w="1864" w:type="dxa"/>
            <w:vMerge/>
            <w:shd w:val="clear" w:color="auto" w:fill="4472C4"/>
            <w:vAlign w:val="center"/>
          </w:tcPr>
          <w:p w14:paraId="17E81A19" w14:textId="77777777" w:rsidR="00990B14" w:rsidRDefault="00990B14">
            <w:pPr>
              <w:spacing w:before="20" w:after="20"/>
            </w:pPr>
          </w:p>
        </w:tc>
        <w:tc>
          <w:tcPr>
            <w:tcW w:w="1861" w:type="dxa"/>
            <w:shd w:val="clear" w:color="auto" w:fill="4472C4"/>
            <w:vAlign w:val="center"/>
          </w:tcPr>
          <w:p w14:paraId="3E3DECBA" w14:textId="77777777" w:rsidR="00990B14" w:rsidRDefault="00000000">
            <w:pPr>
              <w:keepNext/>
              <w:spacing w:before="20" w:after="20"/>
              <w:jc w:val="center"/>
            </w:pPr>
            <w:r>
              <w:rPr>
                <w:b/>
                <w:bCs/>
                <w:i/>
                <w:iCs/>
                <w:color w:val="FFFFFF"/>
                <w:sz w:val="18"/>
                <w:szCs w:val="18"/>
              </w:rPr>
              <w:t>Criterio</w:t>
            </w:r>
          </w:p>
        </w:tc>
        <w:tc>
          <w:tcPr>
            <w:tcW w:w="1861" w:type="dxa"/>
            <w:shd w:val="clear" w:color="auto" w:fill="4472C4"/>
            <w:vAlign w:val="center"/>
          </w:tcPr>
          <w:p w14:paraId="68AF6586"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2BD6AA3C" w14:textId="77777777" w:rsidR="00990B14" w:rsidRDefault="00000000">
            <w:pPr>
              <w:keepNext/>
              <w:spacing w:before="20" w:after="20"/>
              <w:jc w:val="center"/>
            </w:pPr>
            <w:r>
              <w:rPr>
                <w:b/>
                <w:bCs/>
                <w:i/>
                <w:iCs/>
                <w:color w:val="FFFFFF"/>
                <w:sz w:val="18"/>
                <w:szCs w:val="18"/>
              </w:rPr>
              <w:t>Suficiente (51–80)</w:t>
            </w:r>
          </w:p>
        </w:tc>
        <w:tc>
          <w:tcPr>
            <w:tcW w:w="1909" w:type="dxa"/>
            <w:shd w:val="clear" w:color="auto" w:fill="4472C4"/>
            <w:vAlign w:val="center"/>
          </w:tcPr>
          <w:p w14:paraId="654D907E" w14:textId="77777777" w:rsidR="00990B14" w:rsidRDefault="00000000">
            <w:pPr>
              <w:keepNext/>
              <w:spacing w:before="20" w:after="20"/>
              <w:jc w:val="center"/>
            </w:pPr>
            <w:r>
              <w:rPr>
                <w:b/>
                <w:bCs/>
                <w:i/>
                <w:iCs/>
                <w:color w:val="FFFFFF"/>
                <w:sz w:val="18"/>
                <w:szCs w:val="18"/>
              </w:rPr>
              <w:t>Destacado (81–100)</w:t>
            </w:r>
          </w:p>
        </w:tc>
      </w:tr>
      <w:tr w:rsidR="00990B14" w14:paraId="4CABD3BB" w14:textId="77777777">
        <w:trPr>
          <w:cantSplit/>
          <w:jc w:val="center"/>
        </w:trPr>
        <w:tc>
          <w:tcPr>
            <w:tcW w:w="1864" w:type="dxa"/>
            <w:vMerge/>
            <w:shd w:val="clear" w:color="auto" w:fill="4472C4"/>
            <w:vAlign w:val="center"/>
          </w:tcPr>
          <w:p w14:paraId="6C3E0E31" w14:textId="77777777" w:rsidR="00990B14" w:rsidRDefault="00990B14">
            <w:pPr>
              <w:spacing w:before="20" w:after="20"/>
            </w:pPr>
          </w:p>
        </w:tc>
        <w:tc>
          <w:tcPr>
            <w:tcW w:w="1861" w:type="dxa"/>
            <w:shd w:val="clear" w:color="auto" w:fill="D9E2F3"/>
            <w:vAlign w:val="center"/>
          </w:tcPr>
          <w:p w14:paraId="23B35B20" w14:textId="77777777" w:rsidR="00990B14" w:rsidRDefault="00000000">
            <w:pPr>
              <w:spacing w:before="20" w:after="20"/>
              <w:jc w:val="both"/>
            </w:pPr>
            <w:r>
              <w:rPr>
                <w:sz w:val="18"/>
                <w:szCs w:val="18"/>
              </w:rPr>
              <w:t>Exenciones</w:t>
            </w:r>
          </w:p>
        </w:tc>
        <w:tc>
          <w:tcPr>
            <w:tcW w:w="1861" w:type="dxa"/>
            <w:shd w:val="clear" w:color="auto" w:fill="D9E2F3"/>
            <w:vAlign w:val="center"/>
          </w:tcPr>
          <w:p w14:paraId="32BB8EB4" w14:textId="77777777" w:rsidR="00990B14" w:rsidRDefault="00000000">
            <w:pPr>
              <w:spacing w:before="20" w:after="20"/>
              <w:jc w:val="both"/>
            </w:pPr>
            <w:r>
              <w:rPr>
                <w:sz w:val="18"/>
                <w:szCs w:val="18"/>
              </w:rPr>
              <w:t>Confunde exenciones y excepciones.</w:t>
            </w:r>
          </w:p>
        </w:tc>
        <w:tc>
          <w:tcPr>
            <w:tcW w:w="1910" w:type="dxa"/>
            <w:shd w:val="clear" w:color="auto" w:fill="D9E2F3"/>
            <w:vAlign w:val="center"/>
          </w:tcPr>
          <w:p w14:paraId="605E4C15" w14:textId="77777777" w:rsidR="00990B14" w:rsidRDefault="00000000">
            <w:pPr>
              <w:spacing w:before="20" w:after="20"/>
              <w:jc w:val="both"/>
            </w:pPr>
            <w:r>
              <w:rPr>
                <w:sz w:val="18"/>
                <w:szCs w:val="18"/>
              </w:rPr>
              <w:t>Identifica las exenciones aplicadas.</w:t>
            </w:r>
          </w:p>
        </w:tc>
        <w:tc>
          <w:tcPr>
            <w:tcW w:w="1909" w:type="dxa"/>
            <w:shd w:val="clear" w:color="auto" w:fill="D9E2F3"/>
            <w:vAlign w:val="center"/>
          </w:tcPr>
          <w:p w14:paraId="1C99A06A" w14:textId="77777777" w:rsidR="00990B14" w:rsidRDefault="00000000">
            <w:pPr>
              <w:spacing w:before="20" w:after="20"/>
              <w:jc w:val="both"/>
            </w:pPr>
            <w:r>
              <w:rPr>
                <w:sz w:val="18"/>
                <w:szCs w:val="18"/>
              </w:rPr>
              <w:t>Justifica cada exención elegida.</w:t>
            </w:r>
          </w:p>
        </w:tc>
      </w:tr>
      <w:tr w:rsidR="00990B14" w14:paraId="6E272BA7" w14:textId="77777777">
        <w:trPr>
          <w:cantSplit/>
          <w:jc w:val="center"/>
        </w:trPr>
        <w:tc>
          <w:tcPr>
            <w:tcW w:w="1864" w:type="dxa"/>
            <w:vMerge/>
            <w:shd w:val="clear" w:color="auto" w:fill="4472C4"/>
            <w:vAlign w:val="center"/>
          </w:tcPr>
          <w:p w14:paraId="76E682E0" w14:textId="77777777" w:rsidR="00990B14" w:rsidRDefault="00990B14">
            <w:pPr>
              <w:spacing w:before="20" w:after="20"/>
            </w:pPr>
          </w:p>
        </w:tc>
        <w:tc>
          <w:tcPr>
            <w:tcW w:w="1861" w:type="dxa"/>
            <w:shd w:val="clear" w:color="auto" w:fill="D9E2F3"/>
            <w:vAlign w:val="center"/>
          </w:tcPr>
          <w:p w14:paraId="0437B255" w14:textId="77777777" w:rsidR="00990B14" w:rsidRDefault="00000000">
            <w:pPr>
              <w:spacing w:before="20" w:after="20"/>
              <w:jc w:val="both"/>
            </w:pPr>
            <w:r>
              <w:rPr>
                <w:sz w:val="18"/>
                <w:szCs w:val="18"/>
              </w:rPr>
              <w:t>Excepciones</w:t>
            </w:r>
          </w:p>
        </w:tc>
        <w:tc>
          <w:tcPr>
            <w:tcW w:w="1861" w:type="dxa"/>
            <w:shd w:val="clear" w:color="auto" w:fill="D9E2F3"/>
            <w:vAlign w:val="center"/>
          </w:tcPr>
          <w:p w14:paraId="67C10A2B" w14:textId="77777777" w:rsidR="00990B14" w:rsidRDefault="00000000">
            <w:pPr>
              <w:spacing w:before="20" w:after="20"/>
              <w:jc w:val="both"/>
            </w:pPr>
            <w:r>
              <w:rPr>
                <w:sz w:val="18"/>
                <w:szCs w:val="18"/>
              </w:rPr>
              <w:t>Omite excepciones.</w:t>
            </w:r>
          </w:p>
        </w:tc>
        <w:tc>
          <w:tcPr>
            <w:tcW w:w="1910" w:type="dxa"/>
            <w:shd w:val="clear" w:color="auto" w:fill="D9E2F3"/>
            <w:vAlign w:val="center"/>
          </w:tcPr>
          <w:p w14:paraId="73B002A9" w14:textId="77777777" w:rsidR="00990B14" w:rsidRDefault="00000000">
            <w:pPr>
              <w:spacing w:before="20" w:after="20"/>
              <w:jc w:val="both"/>
            </w:pPr>
            <w:r>
              <w:rPr>
                <w:sz w:val="18"/>
                <w:szCs w:val="18"/>
              </w:rPr>
              <w:t>Identifica las excepciones obligatorias.</w:t>
            </w:r>
          </w:p>
        </w:tc>
        <w:tc>
          <w:tcPr>
            <w:tcW w:w="1909" w:type="dxa"/>
            <w:shd w:val="clear" w:color="auto" w:fill="D9E2F3"/>
            <w:vAlign w:val="center"/>
          </w:tcPr>
          <w:p w14:paraId="426314F1" w14:textId="77777777" w:rsidR="00990B14" w:rsidRDefault="00000000">
            <w:pPr>
              <w:spacing w:before="20" w:after="20"/>
              <w:jc w:val="both"/>
            </w:pPr>
            <w:r>
              <w:rPr>
                <w:sz w:val="18"/>
                <w:szCs w:val="18"/>
              </w:rPr>
              <w:t>Explica su efecto en el balance de apertura.</w:t>
            </w:r>
          </w:p>
        </w:tc>
      </w:tr>
      <w:tr w:rsidR="00990B14" w14:paraId="6523C4C7" w14:textId="77777777">
        <w:trPr>
          <w:cantSplit/>
          <w:jc w:val="center"/>
        </w:trPr>
        <w:tc>
          <w:tcPr>
            <w:tcW w:w="1864" w:type="dxa"/>
            <w:vMerge/>
            <w:shd w:val="clear" w:color="auto" w:fill="4472C4"/>
            <w:vAlign w:val="center"/>
          </w:tcPr>
          <w:p w14:paraId="6FC29828" w14:textId="77777777" w:rsidR="00990B14" w:rsidRDefault="00990B14">
            <w:pPr>
              <w:spacing w:before="20" w:after="20"/>
            </w:pPr>
          </w:p>
        </w:tc>
        <w:tc>
          <w:tcPr>
            <w:tcW w:w="1861" w:type="dxa"/>
            <w:shd w:val="clear" w:color="auto" w:fill="D9E2F3"/>
            <w:vAlign w:val="center"/>
          </w:tcPr>
          <w:p w14:paraId="1754255A" w14:textId="77777777" w:rsidR="00990B14" w:rsidRDefault="00000000">
            <w:pPr>
              <w:spacing w:before="20" w:after="20"/>
              <w:jc w:val="both"/>
            </w:pPr>
            <w:r>
              <w:rPr>
                <w:sz w:val="18"/>
                <w:szCs w:val="18"/>
              </w:rPr>
              <w:t>Exposición</w:t>
            </w:r>
          </w:p>
        </w:tc>
        <w:tc>
          <w:tcPr>
            <w:tcW w:w="1861" w:type="dxa"/>
            <w:shd w:val="clear" w:color="auto" w:fill="D9E2F3"/>
            <w:vAlign w:val="center"/>
          </w:tcPr>
          <w:p w14:paraId="1229BA0D" w14:textId="77777777" w:rsidR="00990B14" w:rsidRDefault="00000000">
            <w:pPr>
              <w:spacing w:before="20" w:after="20"/>
              <w:jc w:val="both"/>
            </w:pPr>
            <w:r>
              <w:rPr>
                <w:sz w:val="18"/>
                <w:szCs w:val="18"/>
              </w:rPr>
              <w:t>No expone el caso.</w:t>
            </w:r>
          </w:p>
        </w:tc>
        <w:tc>
          <w:tcPr>
            <w:tcW w:w="1910" w:type="dxa"/>
            <w:shd w:val="clear" w:color="auto" w:fill="D9E2F3"/>
            <w:vAlign w:val="center"/>
          </w:tcPr>
          <w:p w14:paraId="65D33BB8" w14:textId="77777777" w:rsidR="00990B14" w:rsidRDefault="00000000">
            <w:pPr>
              <w:spacing w:before="20" w:after="20"/>
              <w:jc w:val="both"/>
            </w:pPr>
            <w:r>
              <w:rPr>
                <w:sz w:val="18"/>
                <w:szCs w:val="18"/>
              </w:rPr>
              <w:t>Expone el caso ante el curso.</w:t>
            </w:r>
          </w:p>
        </w:tc>
        <w:tc>
          <w:tcPr>
            <w:tcW w:w="1909" w:type="dxa"/>
            <w:shd w:val="clear" w:color="auto" w:fill="D9E2F3"/>
            <w:vAlign w:val="center"/>
          </w:tcPr>
          <w:p w14:paraId="73A6E81E" w14:textId="77777777" w:rsidR="00990B14" w:rsidRDefault="00000000">
            <w:pPr>
              <w:spacing w:before="20" w:after="20"/>
              <w:jc w:val="both"/>
            </w:pPr>
            <w:r>
              <w:rPr>
                <w:sz w:val="18"/>
                <w:szCs w:val="18"/>
              </w:rPr>
              <w:t>Responde con fundamento normativo.</w:t>
            </w:r>
          </w:p>
        </w:tc>
      </w:tr>
      <w:tr w:rsidR="00990B14" w14:paraId="2A6B3C7D" w14:textId="77777777">
        <w:trPr>
          <w:cantSplit/>
          <w:jc w:val="center"/>
        </w:trPr>
        <w:tc>
          <w:tcPr>
            <w:tcW w:w="1864" w:type="dxa"/>
            <w:vMerge/>
            <w:shd w:val="clear" w:color="auto" w:fill="4472C4"/>
            <w:vAlign w:val="center"/>
          </w:tcPr>
          <w:p w14:paraId="2840E621" w14:textId="77777777" w:rsidR="00990B14" w:rsidRDefault="00990B14">
            <w:pPr>
              <w:spacing w:before="20" w:after="20"/>
            </w:pPr>
          </w:p>
        </w:tc>
        <w:tc>
          <w:tcPr>
            <w:tcW w:w="5632" w:type="dxa"/>
            <w:gridSpan w:val="3"/>
            <w:shd w:val="clear" w:color="auto" w:fill="D9E2F3"/>
            <w:vAlign w:val="center"/>
          </w:tcPr>
          <w:p w14:paraId="5CC93FAD" w14:textId="77777777" w:rsidR="00990B14" w:rsidRDefault="00000000">
            <w:pPr>
              <w:keepNext/>
              <w:spacing w:before="20" w:after="20"/>
              <w:jc w:val="both"/>
            </w:pPr>
            <w:r>
              <w:rPr>
                <w:b/>
                <w:bCs/>
                <w:i/>
                <w:iCs/>
                <w:sz w:val="18"/>
                <w:szCs w:val="18"/>
              </w:rPr>
              <w:t xml:space="preserve">Producto 24: </w:t>
            </w:r>
            <w:r>
              <w:rPr>
                <w:sz w:val="18"/>
                <w:szCs w:val="18"/>
              </w:rPr>
              <w:t>Ensayo sobre la adopción de las Normas NIIF de Contabilidad y la NIIF para las PYMES en Bolivia</w:t>
            </w:r>
          </w:p>
        </w:tc>
        <w:tc>
          <w:tcPr>
            <w:tcW w:w="1909" w:type="dxa"/>
            <w:shd w:val="clear" w:color="auto" w:fill="D9E2F3"/>
            <w:vAlign w:val="center"/>
          </w:tcPr>
          <w:p w14:paraId="2F9CB8D3" w14:textId="77777777" w:rsidR="00990B14" w:rsidRDefault="00000000">
            <w:pPr>
              <w:spacing w:before="20" w:after="20"/>
              <w:jc w:val="center"/>
            </w:pPr>
            <w:r>
              <w:rPr>
                <w:b/>
                <w:bCs/>
                <w:sz w:val="18"/>
                <w:szCs w:val="18"/>
              </w:rPr>
              <w:t>2%</w:t>
            </w:r>
          </w:p>
        </w:tc>
      </w:tr>
      <w:tr w:rsidR="00990B14" w14:paraId="631E7BB7" w14:textId="77777777">
        <w:trPr>
          <w:cantSplit/>
          <w:jc w:val="center"/>
        </w:trPr>
        <w:tc>
          <w:tcPr>
            <w:tcW w:w="1864" w:type="dxa"/>
            <w:vMerge/>
            <w:shd w:val="clear" w:color="auto" w:fill="4472C4"/>
            <w:vAlign w:val="center"/>
          </w:tcPr>
          <w:p w14:paraId="6EFC45F9" w14:textId="77777777" w:rsidR="00990B14" w:rsidRDefault="00990B14">
            <w:pPr>
              <w:spacing w:before="20" w:after="20"/>
            </w:pPr>
          </w:p>
        </w:tc>
        <w:tc>
          <w:tcPr>
            <w:tcW w:w="1861" w:type="dxa"/>
            <w:shd w:val="clear" w:color="auto" w:fill="4472C4"/>
            <w:vAlign w:val="center"/>
          </w:tcPr>
          <w:p w14:paraId="5F1554FF" w14:textId="77777777" w:rsidR="00990B14" w:rsidRDefault="00000000">
            <w:pPr>
              <w:keepNext/>
              <w:spacing w:before="20" w:after="20"/>
              <w:jc w:val="center"/>
            </w:pPr>
            <w:r>
              <w:rPr>
                <w:b/>
                <w:bCs/>
                <w:i/>
                <w:iCs/>
                <w:color w:val="FFFFFF"/>
                <w:sz w:val="18"/>
                <w:szCs w:val="18"/>
              </w:rPr>
              <w:t>Criterio</w:t>
            </w:r>
          </w:p>
        </w:tc>
        <w:tc>
          <w:tcPr>
            <w:tcW w:w="1861" w:type="dxa"/>
            <w:shd w:val="clear" w:color="auto" w:fill="4472C4"/>
            <w:vAlign w:val="center"/>
          </w:tcPr>
          <w:p w14:paraId="506A9812"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2458D7C9" w14:textId="77777777" w:rsidR="00990B14" w:rsidRDefault="00000000">
            <w:pPr>
              <w:keepNext/>
              <w:spacing w:before="20" w:after="20"/>
              <w:jc w:val="center"/>
            </w:pPr>
            <w:r>
              <w:rPr>
                <w:b/>
                <w:bCs/>
                <w:i/>
                <w:iCs/>
                <w:color w:val="FFFFFF"/>
                <w:sz w:val="18"/>
                <w:szCs w:val="18"/>
              </w:rPr>
              <w:t>Suficiente (51–80)</w:t>
            </w:r>
          </w:p>
        </w:tc>
        <w:tc>
          <w:tcPr>
            <w:tcW w:w="1909" w:type="dxa"/>
            <w:shd w:val="clear" w:color="auto" w:fill="4472C4"/>
            <w:vAlign w:val="center"/>
          </w:tcPr>
          <w:p w14:paraId="7F5B0D69" w14:textId="77777777" w:rsidR="00990B14" w:rsidRDefault="00000000">
            <w:pPr>
              <w:keepNext/>
              <w:spacing w:before="20" w:after="20"/>
              <w:jc w:val="center"/>
            </w:pPr>
            <w:r>
              <w:rPr>
                <w:b/>
                <w:bCs/>
                <w:i/>
                <w:iCs/>
                <w:color w:val="FFFFFF"/>
                <w:sz w:val="18"/>
                <w:szCs w:val="18"/>
              </w:rPr>
              <w:t>Destacado (81–100)</w:t>
            </w:r>
          </w:p>
        </w:tc>
      </w:tr>
      <w:tr w:rsidR="00990B14" w14:paraId="5A459B11" w14:textId="77777777">
        <w:trPr>
          <w:cantSplit/>
          <w:jc w:val="center"/>
        </w:trPr>
        <w:tc>
          <w:tcPr>
            <w:tcW w:w="1864" w:type="dxa"/>
            <w:vMerge/>
            <w:shd w:val="clear" w:color="auto" w:fill="4472C4"/>
            <w:vAlign w:val="center"/>
          </w:tcPr>
          <w:p w14:paraId="237CFE03" w14:textId="77777777" w:rsidR="00990B14" w:rsidRDefault="00990B14">
            <w:pPr>
              <w:spacing w:before="20" w:after="20"/>
            </w:pPr>
          </w:p>
        </w:tc>
        <w:tc>
          <w:tcPr>
            <w:tcW w:w="1861" w:type="dxa"/>
            <w:shd w:val="clear" w:color="auto" w:fill="D9E2F3"/>
            <w:vAlign w:val="center"/>
          </w:tcPr>
          <w:p w14:paraId="0D298D76" w14:textId="77777777" w:rsidR="00990B14" w:rsidRDefault="00000000">
            <w:pPr>
              <w:spacing w:before="20" w:after="20"/>
              <w:jc w:val="both"/>
            </w:pPr>
            <w:r>
              <w:rPr>
                <w:sz w:val="18"/>
                <w:szCs w:val="18"/>
              </w:rPr>
              <w:t>Análisis</w:t>
            </w:r>
          </w:p>
        </w:tc>
        <w:tc>
          <w:tcPr>
            <w:tcW w:w="1861" w:type="dxa"/>
            <w:shd w:val="clear" w:color="auto" w:fill="D9E2F3"/>
            <w:vAlign w:val="center"/>
          </w:tcPr>
          <w:p w14:paraId="0E24AF94" w14:textId="77777777" w:rsidR="00990B14" w:rsidRDefault="00000000">
            <w:pPr>
              <w:spacing w:before="20" w:after="20"/>
              <w:jc w:val="both"/>
            </w:pPr>
            <w:r>
              <w:rPr>
                <w:sz w:val="18"/>
                <w:szCs w:val="18"/>
              </w:rPr>
              <w:t>El análisis es superficial.</w:t>
            </w:r>
          </w:p>
        </w:tc>
        <w:tc>
          <w:tcPr>
            <w:tcW w:w="1910" w:type="dxa"/>
            <w:shd w:val="clear" w:color="auto" w:fill="D9E2F3"/>
            <w:vAlign w:val="center"/>
          </w:tcPr>
          <w:p w14:paraId="30706DB9" w14:textId="77777777" w:rsidR="00990B14" w:rsidRDefault="00000000">
            <w:pPr>
              <w:spacing w:before="20" w:after="20"/>
              <w:jc w:val="both"/>
            </w:pPr>
            <w:r>
              <w:rPr>
                <w:sz w:val="18"/>
                <w:szCs w:val="18"/>
              </w:rPr>
              <w:t>Analiza las implicaciones de la adopción.</w:t>
            </w:r>
          </w:p>
        </w:tc>
        <w:tc>
          <w:tcPr>
            <w:tcW w:w="1909" w:type="dxa"/>
            <w:shd w:val="clear" w:color="auto" w:fill="D9E2F3"/>
            <w:vAlign w:val="center"/>
          </w:tcPr>
          <w:p w14:paraId="642E2B72" w14:textId="77777777" w:rsidR="00990B14" w:rsidRDefault="00000000">
            <w:pPr>
              <w:spacing w:before="20" w:after="20"/>
              <w:jc w:val="both"/>
            </w:pPr>
            <w:r>
              <w:rPr>
                <w:sz w:val="18"/>
                <w:szCs w:val="18"/>
              </w:rPr>
              <w:t>Considera los efectos tributarios y regulatorios.</w:t>
            </w:r>
          </w:p>
        </w:tc>
      </w:tr>
      <w:tr w:rsidR="00990B14" w14:paraId="6AD9D6BF" w14:textId="77777777">
        <w:trPr>
          <w:cantSplit/>
          <w:jc w:val="center"/>
        </w:trPr>
        <w:tc>
          <w:tcPr>
            <w:tcW w:w="1864" w:type="dxa"/>
            <w:vMerge/>
            <w:shd w:val="clear" w:color="auto" w:fill="4472C4"/>
            <w:vAlign w:val="center"/>
          </w:tcPr>
          <w:p w14:paraId="3B5AAF2C" w14:textId="77777777" w:rsidR="00990B14" w:rsidRDefault="00990B14">
            <w:pPr>
              <w:spacing w:before="20" w:after="20"/>
            </w:pPr>
          </w:p>
        </w:tc>
        <w:tc>
          <w:tcPr>
            <w:tcW w:w="1861" w:type="dxa"/>
            <w:shd w:val="clear" w:color="auto" w:fill="D9E2F3"/>
            <w:vAlign w:val="center"/>
          </w:tcPr>
          <w:p w14:paraId="20FEF637" w14:textId="77777777" w:rsidR="00990B14" w:rsidRDefault="00000000">
            <w:pPr>
              <w:spacing w:before="20" w:after="20"/>
              <w:jc w:val="both"/>
            </w:pPr>
            <w:r>
              <w:rPr>
                <w:sz w:val="18"/>
                <w:szCs w:val="18"/>
              </w:rPr>
              <w:t>Argumentación</w:t>
            </w:r>
          </w:p>
        </w:tc>
        <w:tc>
          <w:tcPr>
            <w:tcW w:w="1861" w:type="dxa"/>
            <w:shd w:val="clear" w:color="auto" w:fill="D9E2F3"/>
            <w:vAlign w:val="center"/>
          </w:tcPr>
          <w:p w14:paraId="70385D8A" w14:textId="77777777" w:rsidR="00990B14" w:rsidRDefault="00000000">
            <w:pPr>
              <w:spacing w:before="20" w:after="20"/>
              <w:jc w:val="both"/>
            </w:pPr>
            <w:r>
              <w:rPr>
                <w:sz w:val="18"/>
                <w:szCs w:val="18"/>
              </w:rPr>
              <w:t>No fundamenta sus ideas.</w:t>
            </w:r>
          </w:p>
        </w:tc>
        <w:tc>
          <w:tcPr>
            <w:tcW w:w="1910" w:type="dxa"/>
            <w:shd w:val="clear" w:color="auto" w:fill="D9E2F3"/>
            <w:vAlign w:val="center"/>
          </w:tcPr>
          <w:p w14:paraId="3D6974DD" w14:textId="77777777" w:rsidR="00990B14" w:rsidRDefault="00000000">
            <w:pPr>
              <w:spacing w:before="20" w:after="20"/>
              <w:jc w:val="both"/>
            </w:pPr>
            <w:r>
              <w:rPr>
                <w:sz w:val="18"/>
                <w:szCs w:val="18"/>
              </w:rPr>
              <w:t>Fundamenta sus ideas con fuentes.</w:t>
            </w:r>
          </w:p>
        </w:tc>
        <w:tc>
          <w:tcPr>
            <w:tcW w:w="1909" w:type="dxa"/>
            <w:shd w:val="clear" w:color="auto" w:fill="D9E2F3"/>
            <w:vAlign w:val="center"/>
          </w:tcPr>
          <w:p w14:paraId="11B51456" w14:textId="77777777" w:rsidR="00990B14" w:rsidRDefault="00000000">
            <w:pPr>
              <w:spacing w:before="20" w:after="20"/>
              <w:jc w:val="both"/>
            </w:pPr>
            <w:r>
              <w:rPr>
                <w:sz w:val="18"/>
                <w:szCs w:val="18"/>
              </w:rPr>
              <w:t>Contrasta posiciones con pensamiento crítico.</w:t>
            </w:r>
          </w:p>
        </w:tc>
      </w:tr>
      <w:tr w:rsidR="00990B14" w14:paraId="69BBF365" w14:textId="77777777">
        <w:trPr>
          <w:cantSplit/>
          <w:jc w:val="center"/>
        </w:trPr>
        <w:tc>
          <w:tcPr>
            <w:tcW w:w="1864" w:type="dxa"/>
            <w:vMerge/>
            <w:shd w:val="clear" w:color="auto" w:fill="4472C4"/>
            <w:vAlign w:val="center"/>
          </w:tcPr>
          <w:p w14:paraId="42103D5F" w14:textId="77777777" w:rsidR="00990B14" w:rsidRDefault="00990B14">
            <w:pPr>
              <w:spacing w:before="20" w:after="20"/>
            </w:pPr>
          </w:p>
        </w:tc>
        <w:tc>
          <w:tcPr>
            <w:tcW w:w="1861" w:type="dxa"/>
            <w:shd w:val="clear" w:color="auto" w:fill="D9E2F3"/>
            <w:vAlign w:val="center"/>
          </w:tcPr>
          <w:p w14:paraId="040F3337" w14:textId="77777777" w:rsidR="00990B14" w:rsidRDefault="00000000">
            <w:pPr>
              <w:spacing w:before="20" w:after="20"/>
              <w:jc w:val="both"/>
            </w:pPr>
            <w:r>
              <w:rPr>
                <w:sz w:val="18"/>
                <w:szCs w:val="18"/>
              </w:rPr>
              <w:t>Redacción</w:t>
            </w:r>
          </w:p>
        </w:tc>
        <w:tc>
          <w:tcPr>
            <w:tcW w:w="1861" w:type="dxa"/>
            <w:shd w:val="clear" w:color="auto" w:fill="D9E2F3"/>
            <w:vAlign w:val="center"/>
          </w:tcPr>
          <w:p w14:paraId="562C8651" w14:textId="77777777" w:rsidR="00990B14" w:rsidRDefault="00000000">
            <w:pPr>
              <w:spacing w:before="20" w:after="20"/>
              <w:jc w:val="both"/>
            </w:pPr>
            <w:r>
              <w:rPr>
                <w:sz w:val="18"/>
                <w:szCs w:val="18"/>
              </w:rPr>
              <w:t>La redacción es confusa.</w:t>
            </w:r>
          </w:p>
        </w:tc>
        <w:tc>
          <w:tcPr>
            <w:tcW w:w="1910" w:type="dxa"/>
            <w:shd w:val="clear" w:color="auto" w:fill="D9E2F3"/>
            <w:vAlign w:val="center"/>
          </w:tcPr>
          <w:p w14:paraId="0529BA41" w14:textId="77777777" w:rsidR="00990B14" w:rsidRDefault="00000000">
            <w:pPr>
              <w:spacing w:before="20" w:after="20"/>
              <w:jc w:val="both"/>
            </w:pPr>
            <w:r>
              <w:rPr>
                <w:sz w:val="18"/>
                <w:szCs w:val="18"/>
              </w:rPr>
              <w:t>La redacción es clara.</w:t>
            </w:r>
          </w:p>
        </w:tc>
        <w:tc>
          <w:tcPr>
            <w:tcW w:w="1909" w:type="dxa"/>
            <w:shd w:val="clear" w:color="auto" w:fill="D9E2F3"/>
            <w:vAlign w:val="center"/>
          </w:tcPr>
          <w:p w14:paraId="2CDB0783" w14:textId="77777777" w:rsidR="00990B14" w:rsidRDefault="00000000">
            <w:pPr>
              <w:spacing w:before="20" w:after="20"/>
              <w:jc w:val="both"/>
            </w:pPr>
            <w:r>
              <w:rPr>
                <w:sz w:val="18"/>
                <w:szCs w:val="18"/>
              </w:rPr>
              <w:t>La redacción es técnica y cita correctamente las fuentes.</w:t>
            </w:r>
          </w:p>
        </w:tc>
      </w:tr>
      <w:tr w:rsidR="00990B14" w14:paraId="7AD1B83E" w14:textId="77777777">
        <w:trPr>
          <w:cantSplit/>
          <w:jc w:val="center"/>
        </w:trPr>
        <w:tc>
          <w:tcPr>
            <w:tcW w:w="7496" w:type="dxa"/>
            <w:gridSpan w:val="4"/>
            <w:shd w:val="clear" w:color="auto" w:fill="4472C4"/>
            <w:vAlign w:val="center"/>
          </w:tcPr>
          <w:p w14:paraId="6A755C7B" w14:textId="77777777" w:rsidR="00990B14" w:rsidRDefault="00000000">
            <w:pPr>
              <w:keepNext/>
              <w:spacing w:before="20" w:after="20"/>
              <w:jc w:val="center"/>
            </w:pPr>
            <w:r>
              <w:rPr>
                <w:b/>
                <w:bCs/>
                <w:i/>
                <w:iCs/>
                <w:color w:val="FFFFFF"/>
                <w:sz w:val="18"/>
                <w:szCs w:val="18"/>
              </w:rPr>
              <w:t>TOTAL</w:t>
            </w:r>
          </w:p>
        </w:tc>
        <w:tc>
          <w:tcPr>
            <w:tcW w:w="1909" w:type="dxa"/>
            <w:shd w:val="clear" w:color="auto" w:fill="4472C4"/>
            <w:vAlign w:val="center"/>
          </w:tcPr>
          <w:p w14:paraId="3369BF03" w14:textId="77777777" w:rsidR="00990B14" w:rsidRDefault="00000000">
            <w:pPr>
              <w:keepNext/>
              <w:spacing w:before="20" w:after="20"/>
              <w:jc w:val="center"/>
            </w:pPr>
            <w:r>
              <w:rPr>
                <w:b/>
                <w:bCs/>
                <w:i/>
                <w:iCs/>
                <w:color w:val="FFFFFF"/>
                <w:sz w:val="18"/>
                <w:szCs w:val="18"/>
              </w:rPr>
              <w:t>100%</w:t>
            </w:r>
          </w:p>
        </w:tc>
      </w:tr>
    </w:tbl>
    <w:p w14:paraId="5A9620C7"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9405"/>
      </w:tblGrid>
      <w:tr w:rsidR="00990B14" w14:paraId="68FC18B5" w14:textId="77777777">
        <w:trPr>
          <w:jc w:val="center"/>
        </w:trPr>
        <w:tc>
          <w:tcPr>
            <w:tcW w:w="9405" w:type="dxa"/>
            <w:shd w:val="clear" w:color="auto" w:fill="D9E2F3"/>
          </w:tcPr>
          <w:p w14:paraId="4C744EAE" w14:textId="77777777" w:rsidR="00990B14" w:rsidRDefault="00000000">
            <w:pPr>
              <w:spacing w:before="40" w:after="40"/>
              <w:jc w:val="both"/>
            </w:pPr>
            <w:r>
              <w:rPr>
                <w:b/>
                <w:bCs/>
                <w:i/>
                <w:iCs/>
                <w:sz w:val="18"/>
                <w:szCs w:val="18"/>
              </w:rPr>
              <w:t>Bibliografía básica:</w:t>
            </w:r>
          </w:p>
          <w:p w14:paraId="24FB41A1" w14:textId="77777777" w:rsidR="00990B14" w:rsidRDefault="00000000">
            <w:pPr>
              <w:numPr>
                <w:ilvl w:val="0"/>
                <w:numId w:val="140"/>
              </w:numPr>
              <w:spacing w:after="20"/>
              <w:jc w:val="both"/>
            </w:pPr>
            <w:r>
              <w:rPr>
                <w:sz w:val="18"/>
                <w:szCs w:val="18"/>
              </w:rPr>
              <w:t>Código de Comercio, Decreto Ley N.º 14379, de 25 de febrero de 1977.</w:t>
            </w:r>
          </w:p>
          <w:p w14:paraId="56117DDA" w14:textId="77777777" w:rsidR="00990B14" w:rsidRDefault="00000000">
            <w:pPr>
              <w:numPr>
                <w:ilvl w:val="0"/>
                <w:numId w:val="140"/>
              </w:numPr>
              <w:spacing w:after="20"/>
              <w:jc w:val="both"/>
            </w:pPr>
            <w:r>
              <w:rPr>
                <w:sz w:val="18"/>
                <w:szCs w:val="18"/>
              </w:rPr>
              <w:t>Código Tributario Boliviano, Ley N.º 2492, de 2 de agosto de 2003.</w:t>
            </w:r>
          </w:p>
          <w:p w14:paraId="7815EF28" w14:textId="77777777" w:rsidR="00990B14" w:rsidRDefault="00000000">
            <w:pPr>
              <w:numPr>
                <w:ilvl w:val="0"/>
                <w:numId w:val="140"/>
              </w:numPr>
              <w:spacing w:after="20"/>
              <w:jc w:val="both"/>
            </w:pPr>
            <w:r>
              <w:rPr>
                <w:sz w:val="18"/>
                <w:szCs w:val="18"/>
              </w:rPr>
              <w:t xml:space="preserve">Colegio de Auditores o Contadores Públicos de Bolivia, CAUB – Consejo Técnico Nacional de Auditoría y Contabilidad, CTNAC (2025). </w:t>
            </w:r>
            <w:r>
              <w:rPr>
                <w:i/>
                <w:iCs/>
                <w:sz w:val="18"/>
                <w:szCs w:val="18"/>
              </w:rPr>
              <w:t>Compendio de Normas de Contabilidad y Auditoría</w:t>
            </w:r>
            <w:r>
              <w:rPr>
                <w:sz w:val="18"/>
                <w:szCs w:val="18"/>
              </w:rPr>
              <w:t>. Santa Cruz – Bolivia.</w:t>
            </w:r>
          </w:p>
          <w:p w14:paraId="7C84BF00" w14:textId="77777777" w:rsidR="00990B14" w:rsidRDefault="00000000">
            <w:pPr>
              <w:numPr>
                <w:ilvl w:val="0"/>
                <w:numId w:val="140"/>
              </w:numPr>
              <w:spacing w:after="20"/>
              <w:jc w:val="both"/>
            </w:pPr>
            <w:r>
              <w:rPr>
                <w:sz w:val="18"/>
                <w:szCs w:val="18"/>
              </w:rPr>
              <w:t xml:space="preserve">Consejo de Normas Internacionales de Sostenibilidad, ISSB (2023). </w:t>
            </w:r>
            <w:r>
              <w:rPr>
                <w:i/>
                <w:iCs/>
                <w:sz w:val="18"/>
                <w:szCs w:val="18"/>
              </w:rPr>
              <w:t>NIIF S1 Requerimientos Generales para la Revelación de Información Financiera relacionada con la Sostenibilidad y NIIF S2 Información a Revelar relacionada con el Clima</w:t>
            </w:r>
            <w:r>
              <w:rPr>
                <w:sz w:val="18"/>
                <w:szCs w:val="18"/>
              </w:rPr>
              <w:t>. Londres.</w:t>
            </w:r>
          </w:p>
          <w:p w14:paraId="0BA04B61" w14:textId="77777777" w:rsidR="00990B14" w:rsidRDefault="00000000">
            <w:pPr>
              <w:numPr>
                <w:ilvl w:val="0"/>
                <w:numId w:val="140"/>
              </w:numPr>
              <w:spacing w:after="20"/>
              <w:jc w:val="both"/>
            </w:pPr>
            <w:r>
              <w:rPr>
                <w:sz w:val="18"/>
                <w:szCs w:val="18"/>
              </w:rPr>
              <w:t>Consejo Técnico Nacional de Auditoría y Contabilidad. Resolución CTNAC N.º 01/2024, de 21 de marzo de 2024, que adopta las Normas Internacionales de Información Financiera sobre Sostenibilidad.</w:t>
            </w:r>
          </w:p>
          <w:p w14:paraId="1F787CC4" w14:textId="77777777" w:rsidR="00990B14" w:rsidRDefault="00000000">
            <w:pPr>
              <w:numPr>
                <w:ilvl w:val="0"/>
                <w:numId w:val="140"/>
              </w:numPr>
              <w:spacing w:after="20"/>
              <w:jc w:val="both"/>
            </w:pPr>
            <w:r>
              <w:rPr>
                <w:sz w:val="18"/>
                <w:szCs w:val="18"/>
              </w:rPr>
              <w:t>Consejo Técnico Nacional de Auditoría y Contabilidad. Resolución CTNAC N.º 01/2025, de 10 de noviembre de 2025, sobre la vigencia de las Normas de Contabilidad Generalmente Aceptadas en Bolivia.</w:t>
            </w:r>
          </w:p>
          <w:p w14:paraId="6C572B57" w14:textId="77777777" w:rsidR="00990B14" w:rsidRDefault="00000000">
            <w:pPr>
              <w:numPr>
                <w:ilvl w:val="0"/>
                <w:numId w:val="140"/>
              </w:numPr>
              <w:spacing w:after="20"/>
              <w:jc w:val="both"/>
            </w:pPr>
            <w:r>
              <w:rPr>
                <w:sz w:val="18"/>
                <w:szCs w:val="18"/>
              </w:rPr>
              <w:t xml:space="preserve">Fundación de Normas Internacionales de Información Financiera, Fundación IFRS – Consejo de Normas Internacionales de Contabilidad, IASB (2026). </w:t>
            </w:r>
            <w:r>
              <w:rPr>
                <w:i/>
                <w:iCs/>
                <w:sz w:val="18"/>
                <w:szCs w:val="18"/>
              </w:rPr>
              <w:t>Normas Internacionales de Información Financiera 2026</w:t>
            </w:r>
            <w:r>
              <w:rPr>
                <w:sz w:val="18"/>
                <w:szCs w:val="18"/>
              </w:rPr>
              <w:t>. Londres.</w:t>
            </w:r>
          </w:p>
          <w:p w14:paraId="67269506" w14:textId="77777777" w:rsidR="00990B14" w:rsidRDefault="00000000">
            <w:pPr>
              <w:numPr>
                <w:ilvl w:val="0"/>
                <w:numId w:val="140"/>
              </w:numPr>
              <w:spacing w:after="20"/>
              <w:jc w:val="both"/>
            </w:pPr>
            <w:r>
              <w:rPr>
                <w:sz w:val="18"/>
                <w:szCs w:val="18"/>
              </w:rPr>
              <w:t xml:space="preserve">Fundación del Comité de Normas Internacionales de Contabilidad, IASCF – Consejo de Normas Internacionales de Contabilidad, IASB (2025). </w:t>
            </w:r>
            <w:r>
              <w:rPr>
                <w:i/>
                <w:iCs/>
                <w:sz w:val="18"/>
                <w:szCs w:val="18"/>
              </w:rPr>
              <w:t>NIIF para las PYMES</w:t>
            </w:r>
            <w:r>
              <w:rPr>
                <w:sz w:val="18"/>
                <w:szCs w:val="18"/>
              </w:rPr>
              <w:t>. Londres.</w:t>
            </w:r>
          </w:p>
          <w:p w14:paraId="4E300116" w14:textId="77777777" w:rsidR="00990B14" w:rsidRDefault="00000000">
            <w:pPr>
              <w:numPr>
                <w:ilvl w:val="0"/>
                <w:numId w:val="140"/>
              </w:numPr>
              <w:spacing w:after="20"/>
              <w:jc w:val="both"/>
            </w:pPr>
            <w:r>
              <w:rPr>
                <w:sz w:val="18"/>
                <w:szCs w:val="18"/>
              </w:rPr>
              <w:t xml:space="preserve">Fundación IFRS (2016). </w:t>
            </w:r>
            <w:r>
              <w:rPr>
                <w:i/>
                <w:iCs/>
                <w:sz w:val="18"/>
                <w:szCs w:val="18"/>
              </w:rPr>
              <w:t>Documento Informativo para Presidentes de Corporaciones, Directores Ejecutivos, Comités de Auditoría y Consejos de Administración</w:t>
            </w:r>
            <w:r>
              <w:rPr>
                <w:sz w:val="18"/>
                <w:szCs w:val="18"/>
              </w:rPr>
              <w:t>. Londres.</w:t>
            </w:r>
          </w:p>
          <w:p w14:paraId="22A69724" w14:textId="77777777" w:rsidR="00990B14" w:rsidRDefault="00000000">
            <w:pPr>
              <w:numPr>
                <w:ilvl w:val="0"/>
                <w:numId w:val="140"/>
              </w:numPr>
              <w:spacing w:after="20"/>
              <w:jc w:val="both"/>
            </w:pPr>
            <w:r>
              <w:rPr>
                <w:sz w:val="18"/>
                <w:szCs w:val="18"/>
              </w:rPr>
              <w:t xml:space="preserve">Fundación IFRS – Consejo de Normas Internacionales de Contabilidad, IASB (2013). </w:t>
            </w:r>
            <w:r>
              <w:rPr>
                <w:i/>
                <w:iCs/>
                <w:sz w:val="18"/>
                <w:szCs w:val="18"/>
              </w:rPr>
              <w:t>Una Guía para Micro Entidades que Apliquen la NIIF para las PYMES</w:t>
            </w:r>
            <w:r>
              <w:rPr>
                <w:sz w:val="18"/>
                <w:szCs w:val="18"/>
              </w:rPr>
              <w:t>. Londres.</w:t>
            </w:r>
          </w:p>
          <w:p w14:paraId="6C00F400" w14:textId="77777777" w:rsidR="00990B14" w:rsidRDefault="00000000">
            <w:pPr>
              <w:numPr>
                <w:ilvl w:val="0"/>
                <w:numId w:val="140"/>
              </w:numPr>
              <w:spacing w:after="20"/>
              <w:jc w:val="both"/>
            </w:pPr>
            <w:r>
              <w:rPr>
                <w:sz w:val="18"/>
                <w:szCs w:val="18"/>
              </w:rPr>
              <w:t>Normas legales (resoluciones y otras) relacionadas con la aprobación de normas contables y la preparación de estados financieros.</w:t>
            </w:r>
          </w:p>
          <w:p w14:paraId="7B9D9F7A" w14:textId="77777777" w:rsidR="00990B14" w:rsidRDefault="00000000">
            <w:pPr>
              <w:numPr>
                <w:ilvl w:val="0"/>
                <w:numId w:val="140"/>
              </w:numPr>
              <w:spacing w:after="20"/>
              <w:jc w:val="both"/>
            </w:pPr>
            <w:r>
              <w:rPr>
                <w:sz w:val="18"/>
                <w:szCs w:val="18"/>
              </w:rPr>
              <w:t>Normas tributarias relacionadas con la preparación de estados financieros.</w:t>
            </w:r>
          </w:p>
        </w:tc>
      </w:tr>
      <w:tr w:rsidR="00990B14" w:rsidRPr="002F7F2E" w14:paraId="2C7293C4" w14:textId="77777777">
        <w:trPr>
          <w:jc w:val="center"/>
        </w:trPr>
        <w:tc>
          <w:tcPr>
            <w:tcW w:w="9405" w:type="dxa"/>
            <w:shd w:val="clear" w:color="auto" w:fill="D9E2F3"/>
          </w:tcPr>
          <w:p w14:paraId="2A4CCEAB" w14:textId="77777777" w:rsidR="00990B14" w:rsidRDefault="00000000">
            <w:pPr>
              <w:spacing w:before="40" w:after="40"/>
              <w:jc w:val="both"/>
            </w:pPr>
            <w:r>
              <w:rPr>
                <w:b/>
                <w:bCs/>
                <w:i/>
                <w:iCs/>
                <w:sz w:val="18"/>
                <w:szCs w:val="18"/>
              </w:rPr>
              <w:t>Bibliografía complementaria:</w:t>
            </w:r>
          </w:p>
          <w:p w14:paraId="5FA133B6" w14:textId="77777777" w:rsidR="00990B14" w:rsidRDefault="00000000">
            <w:pPr>
              <w:numPr>
                <w:ilvl w:val="0"/>
                <w:numId w:val="140"/>
              </w:numPr>
              <w:spacing w:after="20"/>
              <w:jc w:val="both"/>
            </w:pPr>
            <w:r>
              <w:rPr>
                <w:sz w:val="18"/>
                <w:szCs w:val="18"/>
              </w:rPr>
              <w:t xml:space="preserve">Alcalá, D. (2006). </w:t>
            </w:r>
            <w:r>
              <w:rPr>
                <w:i/>
                <w:iCs/>
                <w:sz w:val="18"/>
                <w:szCs w:val="18"/>
              </w:rPr>
              <w:t>NIC / NIIF Ejercicios Resueltos Comentados</w:t>
            </w:r>
            <w:r>
              <w:rPr>
                <w:sz w:val="18"/>
                <w:szCs w:val="18"/>
              </w:rPr>
              <w:t>. España: Ediciones Gestión 2000.</w:t>
            </w:r>
          </w:p>
          <w:p w14:paraId="4649B2CB" w14:textId="77777777" w:rsidR="00990B14" w:rsidRDefault="00000000">
            <w:pPr>
              <w:numPr>
                <w:ilvl w:val="0"/>
                <w:numId w:val="140"/>
              </w:numPr>
              <w:spacing w:after="20"/>
              <w:jc w:val="both"/>
            </w:pPr>
            <w:r>
              <w:rPr>
                <w:sz w:val="18"/>
                <w:szCs w:val="18"/>
              </w:rPr>
              <w:t xml:space="preserve">Ayala, P. (2011). </w:t>
            </w:r>
            <w:r>
              <w:rPr>
                <w:i/>
                <w:iCs/>
                <w:sz w:val="18"/>
                <w:szCs w:val="18"/>
              </w:rPr>
              <w:t>Aplicación Práctica de las Normas Internacionales de Información Financiera</w:t>
            </w:r>
            <w:r>
              <w:rPr>
                <w:sz w:val="18"/>
                <w:szCs w:val="18"/>
              </w:rPr>
              <w:t>. Perú: Pacífico Editores SAC.</w:t>
            </w:r>
          </w:p>
          <w:p w14:paraId="145D023F" w14:textId="77777777" w:rsidR="00990B14" w:rsidRDefault="00000000">
            <w:pPr>
              <w:numPr>
                <w:ilvl w:val="0"/>
                <w:numId w:val="140"/>
              </w:numPr>
              <w:spacing w:after="20"/>
              <w:jc w:val="both"/>
            </w:pPr>
            <w:r>
              <w:rPr>
                <w:sz w:val="18"/>
                <w:szCs w:val="18"/>
              </w:rPr>
              <w:t xml:space="preserve">Barrientos, M. y Sarmiento, D. (2009). </w:t>
            </w:r>
            <w:r>
              <w:rPr>
                <w:i/>
                <w:iCs/>
                <w:sz w:val="18"/>
                <w:szCs w:val="18"/>
              </w:rPr>
              <w:t>Normas Internacionales de Información Financiera</w:t>
            </w:r>
            <w:r>
              <w:rPr>
                <w:sz w:val="18"/>
                <w:szCs w:val="18"/>
              </w:rPr>
              <w:t>. Colombia.</w:t>
            </w:r>
          </w:p>
          <w:p w14:paraId="4F2BDEF6" w14:textId="77777777" w:rsidR="00990B14" w:rsidRDefault="00000000">
            <w:pPr>
              <w:numPr>
                <w:ilvl w:val="0"/>
                <w:numId w:val="140"/>
              </w:numPr>
              <w:spacing w:after="20"/>
              <w:jc w:val="both"/>
            </w:pPr>
            <w:r>
              <w:rPr>
                <w:sz w:val="18"/>
                <w:szCs w:val="18"/>
              </w:rPr>
              <w:t>Cámara de Comercio Internacional. INCOTERMS 2020.</w:t>
            </w:r>
          </w:p>
          <w:p w14:paraId="6115666C" w14:textId="77777777" w:rsidR="00990B14" w:rsidRDefault="00000000">
            <w:pPr>
              <w:numPr>
                <w:ilvl w:val="0"/>
                <w:numId w:val="140"/>
              </w:numPr>
              <w:spacing w:after="20"/>
              <w:jc w:val="both"/>
            </w:pPr>
            <w:r>
              <w:rPr>
                <w:sz w:val="18"/>
                <w:szCs w:val="18"/>
              </w:rPr>
              <w:t xml:space="preserve">Centellas España, R. (2014). </w:t>
            </w:r>
            <w:r>
              <w:rPr>
                <w:i/>
                <w:iCs/>
                <w:sz w:val="18"/>
                <w:szCs w:val="18"/>
              </w:rPr>
              <w:t>Normas Internacionales de Información Financiera</w:t>
            </w:r>
            <w:r>
              <w:rPr>
                <w:sz w:val="18"/>
                <w:szCs w:val="18"/>
              </w:rPr>
              <w:t>. La Paz – Bolivia: Editorial Quatro Hermanos.</w:t>
            </w:r>
          </w:p>
          <w:p w14:paraId="0D071C06" w14:textId="77777777" w:rsidR="00990B14" w:rsidRDefault="00000000">
            <w:pPr>
              <w:numPr>
                <w:ilvl w:val="0"/>
                <w:numId w:val="140"/>
              </w:numPr>
              <w:spacing w:after="20"/>
              <w:jc w:val="both"/>
            </w:pPr>
            <w:r>
              <w:rPr>
                <w:sz w:val="18"/>
                <w:szCs w:val="18"/>
              </w:rPr>
              <w:t xml:space="preserve">Centellas España, R. y Gonzales Alanes, C. (2006). </w:t>
            </w:r>
            <w:r>
              <w:rPr>
                <w:i/>
                <w:iCs/>
                <w:sz w:val="18"/>
                <w:szCs w:val="18"/>
              </w:rPr>
              <w:t>Contabilidad Internacional – una herramienta para la toma de decisiones</w:t>
            </w:r>
            <w:r>
              <w:rPr>
                <w:sz w:val="18"/>
                <w:szCs w:val="18"/>
              </w:rPr>
              <w:t>. La Paz – Bolivia: Ediciones Excelsior S.R.L.</w:t>
            </w:r>
          </w:p>
          <w:p w14:paraId="64CABD09" w14:textId="77777777" w:rsidR="00990B14" w:rsidRDefault="00000000">
            <w:pPr>
              <w:numPr>
                <w:ilvl w:val="0"/>
                <w:numId w:val="140"/>
              </w:numPr>
              <w:spacing w:after="20"/>
              <w:jc w:val="both"/>
            </w:pPr>
            <w:r>
              <w:rPr>
                <w:sz w:val="18"/>
                <w:szCs w:val="18"/>
              </w:rPr>
              <w:t xml:space="preserve">Consejo Mexicano para la Investigación y Desarrollo de Normas de Información Financiera, IMCP (2023). </w:t>
            </w:r>
            <w:r>
              <w:rPr>
                <w:i/>
                <w:iCs/>
                <w:sz w:val="18"/>
                <w:szCs w:val="18"/>
              </w:rPr>
              <w:t>Normas de Información Financiera</w:t>
            </w:r>
            <w:r>
              <w:rPr>
                <w:sz w:val="18"/>
                <w:szCs w:val="18"/>
              </w:rPr>
              <w:t>. México.</w:t>
            </w:r>
          </w:p>
          <w:p w14:paraId="50C2FE93" w14:textId="77777777" w:rsidR="00990B14" w:rsidRDefault="00000000">
            <w:pPr>
              <w:numPr>
                <w:ilvl w:val="0"/>
                <w:numId w:val="140"/>
              </w:numPr>
              <w:spacing w:after="20"/>
              <w:jc w:val="both"/>
            </w:pPr>
            <w:r>
              <w:rPr>
                <w:sz w:val="18"/>
                <w:szCs w:val="18"/>
              </w:rPr>
              <w:t>Consejo Técnico Nacional de Auditoría y Contabilidad. Norma de Contabilidad N.º 3, Estados Financieros a Moneda Constante.</w:t>
            </w:r>
          </w:p>
          <w:p w14:paraId="63AD345A" w14:textId="77777777" w:rsidR="00990B14" w:rsidRDefault="00000000">
            <w:pPr>
              <w:numPr>
                <w:ilvl w:val="0"/>
                <w:numId w:val="140"/>
              </w:numPr>
              <w:spacing w:after="20"/>
              <w:jc w:val="both"/>
            </w:pPr>
            <w:r>
              <w:rPr>
                <w:sz w:val="18"/>
                <w:szCs w:val="18"/>
              </w:rPr>
              <w:t>Consejo Técnico Nacional de Auditoría y Contabilidad. Resolución CTNAC N.º 03/2020, de 8 de diciembre de 2020, y Boletín Técnico N.º 1, de enero de 2026, sobre el ajuste integral por inflación.</w:t>
            </w:r>
          </w:p>
          <w:p w14:paraId="06BE5091" w14:textId="77777777" w:rsidR="00990B14" w:rsidRDefault="00000000">
            <w:pPr>
              <w:numPr>
                <w:ilvl w:val="0"/>
                <w:numId w:val="140"/>
              </w:numPr>
              <w:spacing w:after="20"/>
              <w:jc w:val="both"/>
            </w:pPr>
            <w:r>
              <w:rPr>
                <w:sz w:val="18"/>
                <w:szCs w:val="18"/>
              </w:rPr>
              <w:t>Decreto Supremo N.º 24051, Reglamento del Impuesto sobre las Utilidades de las Empresas, de 29 de junio de 1995.</w:t>
            </w:r>
          </w:p>
          <w:p w14:paraId="4E25856B" w14:textId="77777777" w:rsidR="00990B14" w:rsidRDefault="00000000">
            <w:pPr>
              <w:numPr>
                <w:ilvl w:val="0"/>
                <w:numId w:val="140"/>
              </w:numPr>
              <w:spacing w:after="20"/>
              <w:jc w:val="both"/>
            </w:pPr>
            <w:r>
              <w:rPr>
                <w:sz w:val="18"/>
                <w:szCs w:val="18"/>
              </w:rPr>
              <w:t xml:space="preserve">Fowler Newton, E. (2001). </w:t>
            </w:r>
            <w:r>
              <w:rPr>
                <w:i/>
                <w:iCs/>
                <w:sz w:val="18"/>
                <w:szCs w:val="18"/>
              </w:rPr>
              <w:t>Cuestiones Contables Fundamentales</w:t>
            </w:r>
            <w:r>
              <w:rPr>
                <w:sz w:val="18"/>
                <w:szCs w:val="18"/>
              </w:rPr>
              <w:t>. Buenos Aires – Argentina: Ediciones Macchi.</w:t>
            </w:r>
          </w:p>
          <w:p w14:paraId="107C434C" w14:textId="77777777" w:rsidR="00990B14" w:rsidRDefault="00000000">
            <w:pPr>
              <w:numPr>
                <w:ilvl w:val="0"/>
                <w:numId w:val="140"/>
              </w:numPr>
              <w:spacing w:after="20"/>
              <w:jc w:val="both"/>
            </w:pPr>
            <w:r>
              <w:rPr>
                <w:sz w:val="18"/>
                <w:szCs w:val="18"/>
              </w:rPr>
              <w:t xml:space="preserve">Gonzales Alanes, C. (2022). </w:t>
            </w:r>
            <w:r>
              <w:rPr>
                <w:i/>
                <w:iCs/>
                <w:sz w:val="18"/>
                <w:szCs w:val="18"/>
              </w:rPr>
              <w:t>Marco Normativo para la Preparación de la Información Financiera en Bolivia</w:t>
            </w:r>
            <w:r>
              <w:rPr>
                <w:sz w:val="18"/>
                <w:szCs w:val="18"/>
              </w:rPr>
              <w:t>. 5ª ed., La Paz – Bolivia.</w:t>
            </w:r>
          </w:p>
          <w:p w14:paraId="0A2E83E5" w14:textId="77777777" w:rsidR="00990B14" w:rsidRDefault="00000000">
            <w:pPr>
              <w:numPr>
                <w:ilvl w:val="0"/>
                <w:numId w:val="140"/>
              </w:numPr>
              <w:spacing w:after="20"/>
              <w:jc w:val="both"/>
            </w:pPr>
            <w:r>
              <w:rPr>
                <w:sz w:val="18"/>
                <w:szCs w:val="18"/>
              </w:rPr>
              <w:t xml:space="preserve">Hansen Holm (2011). </w:t>
            </w:r>
            <w:r>
              <w:rPr>
                <w:i/>
                <w:iCs/>
                <w:sz w:val="18"/>
                <w:szCs w:val="18"/>
              </w:rPr>
              <w:t>NIIF Teoría y Práctica</w:t>
            </w:r>
            <w:r>
              <w:rPr>
                <w:sz w:val="18"/>
                <w:szCs w:val="18"/>
              </w:rPr>
              <w:t>. 2ª ed., Colombia.</w:t>
            </w:r>
          </w:p>
          <w:p w14:paraId="35868E08" w14:textId="77777777" w:rsidR="00990B14" w:rsidRDefault="00000000">
            <w:pPr>
              <w:numPr>
                <w:ilvl w:val="0"/>
                <w:numId w:val="140"/>
              </w:numPr>
              <w:spacing w:after="20"/>
              <w:jc w:val="both"/>
            </w:pPr>
            <w:r>
              <w:rPr>
                <w:sz w:val="18"/>
                <w:szCs w:val="18"/>
              </w:rPr>
              <w:t xml:space="preserve">Jiménez Cano, J. J. (2011). </w:t>
            </w:r>
            <w:r>
              <w:rPr>
                <w:i/>
                <w:iCs/>
                <w:sz w:val="18"/>
                <w:szCs w:val="18"/>
              </w:rPr>
              <w:t>NIIF/NIC Supuestos Prácticos</w:t>
            </w:r>
            <w:r>
              <w:rPr>
                <w:sz w:val="18"/>
                <w:szCs w:val="18"/>
              </w:rPr>
              <w:t>. Colombia.</w:t>
            </w:r>
          </w:p>
          <w:p w14:paraId="06039856" w14:textId="77777777" w:rsidR="00990B14" w:rsidRDefault="00000000">
            <w:pPr>
              <w:numPr>
                <w:ilvl w:val="0"/>
                <w:numId w:val="140"/>
              </w:numPr>
              <w:spacing w:after="20"/>
              <w:jc w:val="both"/>
            </w:pPr>
            <w:r>
              <w:rPr>
                <w:sz w:val="18"/>
                <w:szCs w:val="18"/>
              </w:rPr>
              <w:t xml:space="preserve">KPMG (2012). </w:t>
            </w:r>
            <w:r>
              <w:rPr>
                <w:i/>
                <w:iCs/>
                <w:sz w:val="18"/>
                <w:szCs w:val="18"/>
              </w:rPr>
              <w:t>Las NIIF Comentadas – Guía Práctica de KPMG para comprender las NIIF</w:t>
            </w:r>
            <w:r>
              <w:rPr>
                <w:sz w:val="18"/>
                <w:szCs w:val="18"/>
              </w:rPr>
              <w:t>. 4ª ed., España: Editorial Aranzadi.</w:t>
            </w:r>
          </w:p>
          <w:p w14:paraId="52F7BD09" w14:textId="77777777" w:rsidR="00990B14" w:rsidRDefault="00000000">
            <w:pPr>
              <w:numPr>
                <w:ilvl w:val="0"/>
                <w:numId w:val="140"/>
              </w:numPr>
              <w:spacing w:after="20"/>
              <w:jc w:val="both"/>
            </w:pPr>
            <w:r>
              <w:rPr>
                <w:sz w:val="18"/>
                <w:szCs w:val="18"/>
              </w:rPr>
              <w:t>Ley General del Trabajo, de 8 de diciembre de 1942, y Decreto Supremo N.º 224, de 23 de agosto de 1943.</w:t>
            </w:r>
          </w:p>
          <w:p w14:paraId="051BD90A" w14:textId="77777777" w:rsidR="00990B14" w:rsidRDefault="00000000">
            <w:pPr>
              <w:numPr>
                <w:ilvl w:val="0"/>
                <w:numId w:val="140"/>
              </w:numPr>
              <w:spacing w:after="20"/>
              <w:jc w:val="both"/>
            </w:pPr>
            <w:r>
              <w:rPr>
                <w:sz w:val="18"/>
                <w:szCs w:val="18"/>
              </w:rPr>
              <w:t>Ley N.º 1990, General de Aduanas, de 28 de julio de 1999.</w:t>
            </w:r>
          </w:p>
          <w:p w14:paraId="18621526" w14:textId="77777777" w:rsidR="00990B14" w:rsidRDefault="00000000">
            <w:pPr>
              <w:numPr>
                <w:ilvl w:val="0"/>
                <w:numId w:val="140"/>
              </w:numPr>
              <w:spacing w:after="20"/>
              <w:jc w:val="both"/>
            </w:pPr>
            <w:r>
              <w:rPr>
                <w:sz w:val="18"/>
                <w:szCs w:val="18"/>
              </w:rPr>
              <w:t>Ley N.º 947, de Micro y Pequeñas Empresas, de 11 de mayo de 2017, y Decreto Supremo N.º 3564, de 24 de mayo de 2018.</w:t>
            </w:r>
          </w:p>
          <w:p w14:paraId="05D21558" w14:textId="77777777" w:rsidR="00990B14" w:rsidRDefault="00000000">
            <w:pPr>
              <w:numPr>
                <w:ilvl w:val="0"/>
                <w:numId w:val="140"/>
              </w:numPr>
              <w:spacing w:after="20"/>
              <w:jc w:val="both"/>
            </w:pPr>
            <w:r>
              <w:rPr>
                <w:sz w:val="18"/>
                <w:szCs w:val="18"/>
              </w:rPr>
              <w:t>Ministerio de Economía y Finanzas Públicas. Resolución Ministerial N.º 245, de 26 de junio de 2026, del régimen de tipo de cambio flexible.</w:t>
            </w:r>
          </w:p>
          <w:p w14:paraId="67898FD5" w14:textId="77777777" w:rsidR="00990B14" w:rsidRDefault="00000000">
            <w:pPr>
              <w:numPr>
                <w:ilvl w:val="0"/>
                <w:numId w:val="140"/>
              </w:numPr>
              <w:spacing w:after="20"/>
              <w:jc w:val="both"/>
            </w:pPr>
            <w:r>
              <w:rPr>
                <w:sz w:val="18"/>
                <w:szCs w:val="18"/>
              </w:rPr>
              <w:t>Sitios web oficiales: www.ifrs.org, www.auditores.org.bo y www.ine.gob.bo.</w:t>
            </w:r>
          </w:p>
          <w:p w14:paraId="235FC76E" w14:textId="77777777" w:rsidR="00990B14" w:rsidRPr="00BD34F7" w:rsidRDefault="00000000">
            <w:pPr>
              <w:numPr>
                <w:ilvl w:val="0"/>
                <w:numId w:val="140"/>
              </w:numPr>
              <w:spacing w:after="20"/>
              <w:jc w:val="both"/>
              <w:rPr>
                <w:lang w:val="en-US"/>
              </w:rPr>
            </w:pPr>
            <w:r w:rsidRPr="00BD34F7">
              <w:rPr>
                <w:sz w:val="18"/>
                <w:szCs w:val="18"/>
                <w:lang w:val="en-US"/>
              </w:rPr>
              <w:t xml:space="preserve">Wiley (s.f.). </w:t>
            </w:r>
            <w:r w:rsidRPr="00BD34F7">
              <w:rPr>
                <w:i/>
                <w:iCs/>
                <w:sz w:val="18"/>
                <w:szCs w:val="18"/>
                <w:lang w:val="en-US"/>
              </w:rPr>
              <w:t>International Financial Reporting Standards 2023</w:t>
            </w:r>
            <w:r w:rsidRPr="00BD34F7">
              <w:rPr>
                <w:sz w:val="18"/>
                <w:szCs w:val="18"/>
                <w:lang w:val="en-US"/>
              </w:rPr>
              <w:t>. 17ª ed., Alemania: Wiley-VCH.</w:t>
            </w:r>
          </w:p>
        </w:tc>
      </w:tr>
    </w:tbl>
    <w:p w14:paraId="429B80A6" w14:textId="77777777" w:rsidR="00990B14" w:rsidRDefault="00000000">
      <w:pPr>
        <w:pStyle w:val="TituloPlanAsignatura"/>
        <w:keepNext/>
        <w:pageBreakBefore/>
        <w:spacing w:after="120"/>
        <w:jc w:val="center"/>
        <w:outlineLvl w:val="2"/>
      </w:pPr>
      <w:bookmarkStart w:id="165" w:name="_Toc000000106"/>
      <w:r>
        <w:rPr>
          <w:b/>
          <w:bCs/>
          <w:sz w:val="24"/>
          <w:szCs w:val="24"/>
        </w:rPr>
        <w:t>CPA-302 Contabilidad de Costos y Gestión</w:t>
      </w:r>
      <w:bookmarkEnd w:id="165"/>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249"/>
        <w:gridCol w:w="1100"/>
        <w:gridCol w:w="149"/>
        <w:gridCol w:w="635"/>
        <w:gridCol w:w="615"/>
        <w:gridCol w:w="952"/>
        <w:gridCol w:w="298"/>
        <w:gridCol w:w="1250"/>
        <w:gridCol w:w="20"/>
        <w:gridCol w:w="385"/>
        <w:gridCol w:w="398"/>
        <w:gridCol w:w="447"/>
        <w:gridCol w:w="1907"/>
      </w:tblGrid>
      <w:tr w:rsidR="00990B14" w14:paraId="6411B163" w14:textId="77777777">
        <w:trPr>
          <w:cantSplit/>
          <w:jc w:val="center"/>
        </w:trPr>
        <w:tc>
          <w:tcPr>
            <w:tcW w:w="2349" w:type="dxa"/>
            <w:gridSpan w:val="2"/>
            <w:shd w:val="clear" w:color="auto" w:fill="4472C4"/>
            <w:vAlign w:val="center"/>
          </w:tcPr>
          <w:p w14:paraId="62A32DDB" w14:textId="77777777" w:rsidR="00990B14" w:rsidRDefault="00000000">
            <w:pPr>
              <w:keepNext/>
              <w:spacing w:before="20" w:after="20"/>
              <w:jc w:val="center"/>
            </w:pPr>
            <w:r>
              <w:rPr>
                <w:b/>
                <w:bCs/>
                <w:i/>
                <w:iCs/>
                <w:color w:val="FFFFFF"/>
                <w:sz w:val="18"/>
                <w:szCs w:val="18"/>
              </w:rPr>
              <w:t>Asignatura</w:t>
            </w:r>
          </w:p>
        </w:tc>
        <w:tc>
          <w:tcPr>
            <w:tcW w:w="2351" w:type="dxa"/>
            <w:gridSpan w:val="4"/>
            <w:shd w:val="clear" w:color="auto" w:fill="4472C4"/>
            <w:vAlign w:val="center"/>
          </w:tcPr>
          <w:p w14:paraId="29230453" w14:textId="77777777" w:rsidR="00990B14" w:rsidRDefault="00000000">
            <w:pPr>
              <w:keepNext/>
              <w:spacing w:before="20" w:after="20"/>
              <w:jc w:val="center"/>
            </w:pPr>
            <w:r>
              <w:rPr>
                <w:b/>
                <w:bCs/>
                <w:i/>
                <w:iCs/>
                <w:color w:val="FFFFFF"/>
                <w:sz w:val="18"/>
                <w:szCs w:val="18"/>
              </w:rPr>
              <w:t>Sigla</w:t>
            </w:r>
          </w:p>
        </w:tc>
        <w:tc>
          <w:tcPr>
            <w:tcW w:w="2351" w:type="dxa"/>
            <w:gridSpan w:val="5"/>
            <w:shd w:val="clear" w:color="auto" w:fill="4472C4"/>
            <w:vAlign w:val="center"/>
          </w:tcPr>
          <w:p w14:paraId="3F69AEDB" w14:textId="77777777" w:rsidR="00990B14" w:rsidRDefault="00000000">
            <w:pPr>
              <w:keepNext/>
              <w:spacing w:before="20" w:after="20"/>
              <w:jc w:val="center"/>
            </w:pPr>
            <w:r>
              <w:rPr>
                <w:b/>
                <w:bCs/>
                <w:i/>
                <w:iCs/>
                <w:color w:val="FFFFFF"/>
                <w:sz w:val="18"/>
                <w:szCs w:val="18"/>
              </w:rPr>
              <w:t>Nivel/Área</w:t>
            </w:r>
          </w:p>
        </w:tc>
        <w:tc>
          <w:tcPr>
            <w:tcW w:w="2354" w:type="dxa"/>
            <w:gridSpan w:val="2"/>
            <w:shd w:val="clear" w:color="auto" w:fill="4472C4"/>
            <w:vAlign w:val="center"/>
          </w:tcPr>
          <w:p w14:paraId="5465E511" w14:textId="77777777" w:rsidR="00990B14" w:rsidRDefault="00000000">
            <w:pPr>
              <w:keepNext/>
              <w:spacing w:before="20" w:after="20"/>
              <w:jc w:val="center"/>
            </w:pPr>
            <w:r>
              <w:rPr>
                <w:b/>
                <w:bCs/>
                <w:i/>
                <w:iCs/>
                <w:color w:val="FFFFFF"/>
                <w:sz w:val="18"/>
                <w:szCs w:val="18"/>
              </w:rPr>
              <w:t>Prerrequisito</w:t>
            </w:r>
          </w:p>
        </w:tc>
      </w:tr>
      <w:tr w:rsidR="00990B14" w14:paraId="21DFB2C7" w14:textId="77777777">
        <w:trPr>
          <w:cantSplit/>
          <w:jc w:val="center"/>
        </w:trPr>
        <w:tc>
          <w:tcPr>
            <w:tcW w:w="2349" w:type="dxa"/>
            <w:gridSpan w:val="2"/>
            <w:shd w:val="clear" w:color="auto" w:fill="D9E2F3"/>
            <w:vAlign w:val="center"/>
          </w:tcPr>
          <w:p w14:paraId="15CF189B" w14:textId="77777777" w:rsidR="00990B14" w:rsidRDefault="00000000">
            <w:pPr>
              <w:spacing w:before="20" w:after="20"/>
              <w:jc w:val="center"/>
            </w:pPr>
            <w:r>
              <w:rPr>
                <w:b/>
                <w:bCs/>
                <w:i/>
                <w:iCs/>
                <w:sz w:val="18"/>
                <w:szCs w:val="18"/>
              </w:rPr>
              <w:t>Contabilidad de Costos y Gestión</w:t>
            </w:r>
          </w:p>
        </w:tc>
        <w:tc>
          <w:tcPr>
            <w:tcW w:w="2351" w:type="dxa"/>
            <w:gridSpan w:val="4"/>
            <w:shd w:val="clear" w:color="auto" w:fill="D9E2F3"/>
            <w:vAlign w:val="center"/>
          </w:tcPr>
          <w:p w14:paraId="44EFAC87" w14:textId="77777777" w:rsidR="00990B14" w:rsidRDefault="00000000">
            <w:pPr>
              <w:spacing w:before="20" w:after="20"/>
              <w:jc w:val="center"/>
            </w:pPr>
            <w:r>
              <w:rPr>
                <w:b/>
                <w:bCs/>
                <w:i/>
                <w:iCs/>
                <w:sz w:val="18"/>
                <w:szCs w:val="18"/>
              </w:rPr>
              <w:t>CPA-302</w:t>
            </w:r>
          </w:p>
        </w:tc>
        <w:tc>
          <w:tcPr>
            <w:tcW w:w="2351" w:type="dxa"/>
            <w:gridSpan w:val="5"/>
            <w:shd w:val="clear" w:color="auto" w:fill="D9E2F3"/>
            <w:vAlign w:val="center"/>
          </w:tcPr>
          <w:p w14:paraId="39BA960E" w14:textId="77777777" w:rsidR="00990B14" w:rsidRDefault="00000000">
            <w:pPr>
              <w:spacing w:before="20" w:after="20"/>
              <w:jc w:val="center"/>
            </w:pPr>
            <w:r>
              <w:rPr>
                <w:b/>
                <w:bCs/>
                <w:i/>
                <w:iCs/>
                <w:sz w:val="18"/>
                <w:szCs w:val="18"/>
              </w:rPr>
              <w:t>Información Financiera</w:t>
            </w:r>
          </w:p>
        </w:tc>
        <w:tc>
          <w:tcPr>
            <w:tcW w:w="2354" w:type="dxa"/>
            <w:gridSpan w:val="2"/>
            <w:shd w:val="clear" w:color="auto" w:fill="D9E2F3"/>
            <w:vAlign w:val="center"/>
          </w:tcPr>
          <w:p w14:paraId="461B56DA" w14:textId="77777777" w:rsidR="00990B14" w:rsidRDefault="00000000">
            <w:pPr>
              <w:spacing w:before="20" w:after="20"/>
              <w:jc w:val="center"/>
            </w:pPr>
            <w:r>
              <w:rPr>
                <w:b/>
                <w:bCs/>
                <w:i/>
                <w:iCs/>
                <w:sz w:val="18"/>
                <w:szCs w:val="18"/>
              </w:rPr>
              <w:t>CPA-201, CPA-202, CPA-203</w:t>
            </w:r>
          </w:p>
        </w:tc>
      </w:tr>
      <w:tr w:rsidR="00990B14" w14:paraId="30A616C7" w14:textId="77777777">
        <w:trPr>
          <w:cantSplit/>
          <w:jc w:val="center"/>
        </w:trPr>
        <w:tc>
          <w:tcPr>
            <w:tcW w:w="7498" w:type="dxa"/>
            <w:gridSpan w:val="12"/>
            <w:shd w:val="clear" w:color="auto" w:fill="4472C4"/>
            <w:vAlign w:val="center"/>
          </w:tcPr>
          <w:p w14:paraId="1DDA3E02" w14:textId="77777777" w:rsidR="00990B14" w:rsidRDefault="00000000">
            <w:pPr>
              <w:keepNext/>
              <w:spacing w:before="20" w:after="20"/>
              <w:jc w:val="center"/>
            </w:pPr>
            <w:r>
              <w:rPr>
                <w:b/>
                <w:bCs/>
                <w:i/>
                <w:iCs/>
                <w:color w:val="FFFFFF"/>
                <w:sz w:val="18"/>
                <w:szCs w:val="18"/>
              </w:rPr>
              <w:t>Carga Horaria</w:t>
            </w:r>
          </w:p>
        </w:tc>
        <w:tc>
          <w:tcPr>
            <w:tcW w:w="1907" w:type="dxa"/>
            <w:shd w:val="clear" w:color="auto" w:fill="4472C4"/>
            <w:vAlign w:val="center"/>
          </w:tcPr>
          <w:p w14:paraId="588991AA" w14:textId="77777777" w:rsidR="00990B14" w:rsidRDefault="00000000">
            <w:pPr>
              <w:keepNext/>
              <w:spacing w:before="20" w:after="20"/>
              <w:jc w:val="center"/>
            </w:pPr>
            <w:r>
              <w:rPr>
                <w:b/>
                <w:bCs/>
                <w:i/>
                <w:iCs/>
                <w:color w:val="FFFFFF"/>
                <w:sz w:val="18"/>
                <w:szCs w:val="18"/>
              </w:rPr>
              <w:t>Créditos</w:t>
            </w:r>
          </w:p>
        </w:tc>
      </w:tr>
      <w:tr w:rsidR="00990B14" w14:paraId="46F333B6" w14:textId="77777777">
        <w:trPr>
          <w:cantSplit/>
          <w:jc w:val="center"/>
        </w:trPr>
        <w:tc>
          <w:tcPr>
            <w:tcW w:w="1249" w:type="dxa"/>
            <w:shd w:val="clear" w:color="auto" w:fill="4472C4"/>
            <w:vAlign w:val="center"/>
          </w:tcPr>
          <w:p w14:paraId="6EC498F9" w14:textId="77777777" w:rsidR="00990B14" w:rsidRDefault="00000000">
            <w:pPr>
              <w:keepNext/>
              <w:spacing w:before="20" w:after="20"/>
              <w:jc w:val="center"/>
            </w:pPr>
            <w:r>
              <w:rPr>
                <w:b/>
                <w:bCs/>
                <w:i/>
                <w:iCs/>
                <w:color w:val="FFFFFF"/>
                <w:sz w:val="18"/>
                <w:szCs w:val="18"/>
              </w:rPr>
              <w:t>HP</w:t>
            </w:r>
          </w:p>
        </w:tc>
        <w:tc>
          <w:tcPr>
            <w:tcW w:w="1249" w:type="dxa"/>
            <w:gridSpan w:val="2"/>
            <w:shd w:val="clear" w:color="auto" w:fill="4472C4"/>
            <w:vAlign w:val="center"/>
          </w:tcPr>
          <w:p w14:paraId="072D69A5" w14:textId="77777777" w:rsidR="00990B14" w:rsidRDefault="00000000">
            <w:pPr>
              <w:keepNext/>
              <w:spacing w:before="20" w:after="20"/>
              <w:jc w:val="center"/>
            </w:pPr>
            <w:r>
              <w:rPr>
                <w:b/>
                <w:bCs/>
                <w:i/>
                <w:iCs/>
                <w:color w:val="FFFFFF"/>
                <w:sz w:val="18"/>
                <w:szCs w:val="18"/>
              </w:rPr>
              <w:t>HAA</w:t>
            </w:r>
          </w:p>
        </w:tc>
        <w:tc>
          <w:tcPr>
            <w:tcW w:w="1250" w:type="dxa"/>
            <w:gridSpan w:val="2"/>
            <w:shd w:val="clear" w:color="auto" w:fill="4472C4"/>
            <w:vAlign w:val="center"/>
          </w:tcPr>
          <w:p w14:paraId="743A82AE" w14:textId="77777777" w:rsidR="00990B14" w:rsidRDefault="00000000">
            <w:pPr>
              <w:keepNext/>
              <w:spacing w:before="20" w:after="20"/>
              <w:jc w:val="center"/>
            </w:pPr>
            <w:r>
              <w:rPr>
                <w:b/>
                <w:bCs/>
                <w:i/>
                <w:iCs/>
                <w:color w:val="FFFFFF"/>
                <w:sz w:val="18"/>
                <w:szCs w:val="18"/>
              </w:rPr>
              <w:t>HTG</w:t>
            </w:r>
          </w:p>
        </w:tc>
        <w:tc>
          <w:tcPr>
            <w:tcW w:w="1250" w:type="dxa"/>
            <w:gridSpan w:val="2"/>
            <w:shd w:val="clear" w:color="auto" w:fill="4472C4"/>
            <w:vAlign w:val="center"/>
          </w:tcPr>
          <w:p w14:paraId="03B43FB5" w14:textId="77777777" w:rsidR="00990B14" w:rsidRDefault="00000000">
            <w:pPr>
              <w:keepNext/>
              <w:spacing w:before="20" w:after="20"/>
              <w:jc w:val="center"/>
            </w:pPr>
            <w:r>
              <w:rPr>
                <w:b/>
                <w:bCs/>
                <w:i/>
                <w:iCs/>
                <w:color w:val="FFFFFF"/>
                <w:sz w:val="18"/>
                <w:szCs w:val="18"/>
              </w:rPr>
              <w:t>HIP</w:t>
            </w:r>
          </w:p>
        </w:tc>
        <w:tc>
          <w:tcPr>
            <w:tcW w:w="1250" w:type="dxa"/>
            <w:shd w:val="clear" w:color="auto" w:fill="4472C4"/>
            <w:vAlign w:val="center"/>
          </w:tcPr>
          <w:p w14:paraId="34FCA4D9" w14:textId="77777777" w:rsidR="00990B14" w:rsidRDefault="00000000">
            <w:pPr>
              <w:keepNext/>
              <w:spacing w:before="20" w:after="20"/>
              <w:jc w:val="center"/>
            </w:pPr>
            <w:r>
              <w:rPr>
                <w:b/>
                <w:bCs/>
                <w:i/>
                <w:iCs/>
                <w:color w:val="FFFFFF"/>
                <w:sz w:val="18"/>
                <w:szCs w:val="18"/>
              </w:rPr>
              <w:t>HE</w:t>
            </w:r>
          </w:p>
        </w:tc>
        <w:tc>
          <w:tcPr>
            <w:tcW w:w="1250" w:type="dxa"/>
            <w:gridSpan w:val="4"/>
            <w:shd w:val="clear" w:color="auto" w:fill="4472C4"/>
            <w:vAlign w:val="center"/>
          </w:tcPr>
          <w:p w14:paraId="5B4CE51C" w14:textId="77777777" w:rsidR="00990B14" w:rsidRDefault="00000000">
            <w:pPr>
              <w:keepNext/>
              <w:spacing w:before="20" w:after="20"/>
              <w:jc w:val="center"/>
            </w:pPr>
            <w:r>
              <w:rPr>
                <w:b/>
                <w:bCs/>
                <w:i/>
                <w:iCs/>
                <w:color w:val="FFFFFF"/>
                <w:sz w:val="18"/>
                <w:szCs w:val="18"/>
              </w:rPr>
              <w:t>TOTAL</w:t>
            </w:r>
          </w:p>
        </w:tc>
        <w:tc>
          <w:tcPr>
            <w:tcW w:w="1907" w:type="dxa"/>
            <w:vMerge w:val="restart"/>
            <w:shd w:val="clear" w:color="auto" w:fill="D9E2F3"/>
            <w:vAlign w:val="center"/>
          </w:tcPr>
          <w:p w14:paraId="2FFE3991" w14:textId="77777777" w:rsidR="00990B14" w:rsidRDefault="00000000">
            <w:pPr>
              <w:spacing w:before="20" w:after="20"/>
              <w:jc w:val="center"/>
            </w:pPr>
            <w:r>
              <w:rPr>
                <w:sz w:val="18"/>
                <w:szCs w:val="18"/>
              </w:rPr>
              <w:t>8</w:t>
            </w:r>
          </w:p>
        </w:tc>
      </w:tr>
      <w:tr w:rsidR="00990B14" w14:paraId="3D2AAF16" w14:textId="77777777">
        <w:trPr>
          <w:cantSplit/>
          <w:jc w:val="center"/>
        </w:trPr>
        <w:tc>
          <w:tcPr>
            <w:tcW w:w="1249" w:type="dxa"/>
            <w:shd w:val="clear" w:color="auto" w:fill="D9E2F3"/>
            <w:vAlign w:val="center"/>
          </w:tcPr>
          <w:p w14:paraId="7B13A441" w14:textId="77777777" w:rsidR="00990B14" w:rsidRDefault="00000000">
            <w:pPr>
              <w:spacing w:before="20" w:after="20"/>
              <w:jc w:val="center"/>
            </w:pPr>
            <w:r>
              <w:rPr>
                <w:sz w:val="18"/>
                <w:szCs w:val="18"/>
              </w:rPr>
              <w:t>160</w:t>
            </w:r>
          </w:p>
        </w:tc>
        <w:tc>
          <w:tcPr>
            <w:tcW w:w="1249" w:type="dxa"/>
            <w:gridSpan w:val="2"/>
            <w:shd w:val="clear" w:color="auto" w:fill="D9E2F3"/>
            <w:vAlign w:val="center"/>
          </w:tcPr>
          <w:p w14:paraId="3B915B55" w14:textId="77777777" w:rsidR="00990B14" w:rsidRDefault="00000000">
            <w:pPr>
              <w:spacing w:before="20" w:after="20"/>
              <w:jc w:val="center"/>
            </w:pPr>
            <w:r>
              <w:rPr>
                <w:sz w:val="18"/>
                <w:szCs w:val="18"/>
              </w:rPr>
              <w:t>22</w:t>
            </w:r>
          </w:p>
        </w:tc>
        <w:tc>
          <w:tcPr>
            <w:tcW w:w="1250" w:type="dxa"/>
            <w:gridSpan w:val="2"/>
            <w:shd w:val="clear" w:color="auto" w:fill="D9E2F3"/>
            <w:vAlign w:val="center"/>
          </w:tcPr>
          <w:p w14:paraId="5269A053" w14:textId="77777777" w:rsidR="00990B14" w:rsidRDefault="00000000">
            <w:pPr>
              <w:spacing w:before="20" w:after="20"/>
              <w:jc w:val="center"/>
            </w:pPr>
            <w:r>
              <w:rPr>
                <w:sz w:val="18"/>
                <w:szCs w:val="18"/>
              </w:rPr>
              <w:t>26</w:t>
            </w:r>
          </w:p>
        </w:tc>
        <w:tc>
          <w:tcPr>
            <w:tcW w:w="1250" w:type="dxa"/>
            <w:gridSpan w:val="2"/>
            <w:shd w:val="clear" w:color="auto" w:fill="D9E2F3"/>
            <w:vAlign w:val="center"/>
          </w:tcPr>
          <w:p w14:paraId="39385ED4" w14:textId="77777777" w:rsidR="00990B14" w:rsidRDefault="00000000">
            <w:pPr>
              <w:spacing w:before="20" w:after="20"/>
              <w:jc w:val="center"/>
            </w:pPr>
            <w:r>
              <w:rPr>
                <w:sz w:val="18"/>
                <w:szCs w:val="18"/>
              </w:rPr>
              <w:t>15</w:t>
            </w:r>
          </w:p>
        </w:tc>
        <w:tc>
          <w:tcPr>
            <w:tcW w:w="1250" w:type="dxa"/>
            <w:shd w:val="clear" w:color="auto" w:fill="D9E2F3"/>
            <w:vAlign w:val="center"/>
          </w:tcPr>
          <w:p w14:paraId="429ABA37" w14:textId="77777777" w:rsidR="00990B14" w:rsidRDefault="00000000">
            <w:pPr>
              <w:spacing w:before="20" w:after="20"/>
              <w:jc w:val="center"/>
            </w:pPr>
            <w:r>
              <w:rPr>
                <w:sz w:val="18"/>
                <w:szCs w:val="18"/>
              </w:rPr>
              <w:t>17</w:t>
            </w:r>
          </w:p>
        </w:tc>
        <w:tc>
          <w:tcPr>
            <w:tcW w:w="1250" w:type="dxa"/>
            <w:gridSpan w:val="4"/>
            <w:shd w:val="clear" w:color="auto" w:fill="D9E2F3"/>
            <w:vAlign w:val="center"/>
          </w:tcPr>
          <w:p w14:paraId="44E6A998" w14:textId="77777777" w:rsidR="00990B14" w:rsidRDefault="00000000">
            <w:pPr>
              <w:spacing w:before="20" w:after="20"/>
              <w:jc w:val="center"/>
            </w:pPr>
            <w:r>
              <w:rPr>
                <w:sz w:val="18"/>
                <w:szCs w:val="18"/>
              </w:rPr>
              <w:t>240</w:t>
            </w:r>
          </w:p>
        </w:tc>
        <w:tc>
          <w:tcPr>
            <w:tcW w:w="1907" w:type="dxa"/>
            <w:vMerge/>
            <w:shd w:val="clear" w:color="auto" w:fill="D9E2F3"/>
            <w:vAlign w:val="center"/>
          </w:tcPr>
          <w:p w14:paraId="60050F59" w14:textId="77777777" w:rsidR="00990B14" w:rsidRDefault="00990B14">
            <w:pPr>
              <w:spacing w:before="20" w:after="20"/>
            </w:pPr>
          </w:p>
        </w:tc>
      </w:tr>
      <w:tr w:rsidR="00990B14" w14:paraId="6E55EB09" w14:textId="77777777">
        <w:trPr>
          <w:cantSplit/>
          <w:jc w:val="center"/>
        </w:trPr>
        <w:tc>
          <w:tcPr>
            <w:tcW w:w="9405" w:type="dxa"/>
            <w:gridSpan w:val="13"/>
            <w:shd w:val="clear" w:color="auto" w:fill="4472C4"/>
            <w:vAlign w:val="center"/>
          </w:tcPr>
          <w:p w14:paraId="298BAC18" w14:textId="77777777" w:rsidR="00990B14" w:rsidRDefault="00000000">
            <w:pPr>
              <w:keepNext/>
              <w:spacing w:before="20" w:after="20"/>
              <w:jc w:val="center"/>
            </w:pPr>
            <w:r>
              <w:rPr>
                <w:b/>
                <w:bCs/>
                <w:i/>
                <w:iCs/>
                <w:color w:val="FFFFFF"/>
                <w:sz w:val="18"/>
                <w:szCs w:val="18"/>
              </w:rPr>
              <w:t>Unidad de Competencia</w:t>
            </w:r>
          </w:p>
        </w:tc>
      </w:tr>
      <w:tr w:rsidR="00990B14" w14:paraId="712FFD5D" w14:textId="77777777">
        <w:trPr>
          <w:cantSplit/>
          <w:jc w:val="center"/>
        </w:trPr>
        <w:tc>
          <w:tcPr>
            <w:tcW w:w="9405" w:type="dxa"/>
            <w:gridSpan w:val="13"/>
            <w:shd w:val="clear" w:color="auto" w:fill="D9E2F3"/>
            <w:vAlign w:val="center"/>
          </w:tcPr>
          <w:p w14:paraId="71269BB2" w14:textId="77777777" w:rsidR="00990B14" w:rsidRDefault="00000000">
            <w:pPr>
              <w:spacing w:before="20" w:after="20"/>
              <w:jc w:val="both"/>
            </w:pPr>
            <w:r>
              <w:rPr>
                <w:sz w:val="18"/>
                <w:szCs w:val="18"/>
              </w:rPr>
              <w:t>"Diseña e implementa el sistema integral de costos y el presupuesto maestro en entidades productivas, mediante el control de los elementos del costo (materiales, mano de obra y CIF), la aplicación de sistemas de acumulación (por órdenes, procesos), costeo directo o variable y costos conjuntos y la evaluación de modelos de gestión (costeo estándar y Costeo Basado en Actividades) y la aplicación del costo volumen utilidad, integrando herramientas tecnológicas avanzadas, criterios de sostenibilidad ambiental y economía circular, con rigor técnico, integridad profesional y estricto apego a la norma técnico legal vigente."</w:t>
            </w:r>
          </w:p>
        </w:tc>
      </w:tr>
      <w:tr w:rsidR="00990B14" w14:paraId="7F9959EF" w14:textId="77777777">
        <w:trPr>
          <w:cantSplit/>
          <w:jc w:val="center"/>
        </w:trPr>
        <w:tc>
          <w:tcPr>
            <w:tcW w:w="9405" w:type="dxa"/>
            <w:gridSpan w:val="13"/>
            <w:shd w:val="clear" w:color="auto" w:fill="D9E2F3"/>
            <w:vAlign w:val="center"/>
          </w:tcPr>
          <w:p w14:paraId="5917C2CF" w14:textId="77777777" w:rsidR="00990B14" w:rsidRDefault="00000000">
            <w:pPr>
              <w:spacing w:before="20" w:after="20"/>
              <w:jc w:val="both"/>
            </w:pPr>
            <w:r>
              <w:rPr>
                <w:b/>
                <w:bCs/>
                <w:i/>
                <w:iCs/>
                <w:sz w:val="18"/>
                <w:szCs w:val="18"/>
              </w:rPr>
              <w:t xml:space="preserve">Elemento de competencia 1: </w:t>
            </w:r>
            <w:r>
              <w:rPr>
                <w:sz w:val="18"/>
                <w:szCs w:val="18"/>
              </w:rPr>
              <w:t>Clasifica los elementos del costo de producción de bienes y/o servicios, según su comportamiento y su función, registrando el control de los materiales, la mano de obra y los costos indirectos de fabricación.</w:t>
            </w:r>
          </w:p>
        </w:tc>
      </w:tr>
      <w:tr w:rsidR="00990B14" w14:paraId="41AFF212" w14:textId="77777777">
        <w:trPr>
          <w:cantSplit/>
          <w:jc w:val="center"/>
        </w:trPr>
        <w:tc>
          <w:tcPr>
            <w:tcW w:w="3133" w:type="dxa"/>
            <w:gridSpan w:val="4"/>
            <w:shd w:val="clear" w:color="auto" w:fill="4472C4"/>
            <w:vAlign w:val="center"/>
          </w:tcPr>
          <w:p w14:paraId="391C24C1"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07BACE91"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24934AF9" w14:textId="77777777" w:rsidR="00990B14" w:rsidRDefault="00000000">
            <w:pPr>
              <w:keepNext/>
              <w:spacing w:before="20" w:after="20"/>
              <w:jc w:val="center"/>
            </w:pPr>
            <w:r>
              <w:rPr>
                <w:b/>
                <w:bCs/>
                <w:i/>
                <w:iCs/>
                <w:color w:val="FFFFFF"/>
                <w:sz w:val="18"/>
                <w:szCs w:val="18"/>
              </w:rPr>
              <w:t>Evidencias de producto</w:t>
            </w:r>
          </w:p>
        </w:tc>
      </w:tr>
      <w:tr w:rsidR="00990B14" w14:paraId="559A7998" w14:textId="77777777">
        <w:trPr>
          <w:cantSplit/>
          <w:jc w:val="center"/>
        </w:trPr>
        <w:tc>
          <w:tcPr>
            <w:tcW w:w="3133" w:type="dxa"/>
            <w:gridSpan w:val="4"/>
            <w:vMerge w:val="restart"/>
            <w:shd w:val="clear" w:color="auto" w:fill="D9E2F3"/>
            <w:vAlign w:val="center"/>
          </w:tcPr>
          <w:p w14:paraId="15E67E8C" w14:textId="77777777" w:rsidR="00990B14" w:rsidRDefault="00000000">
            <w:pPr>
              <w:spacing w:before="20" w:after="20"/>
              <w:jc w:val="both"/>
            </w:pPr>
            <w:r>
              <w:rPr>
                <w:sz w:val="18"/>
                <w:szCs w:val="18"/>
              </w:rPr>
              <w:t>1. Clasifica los elementos del costo de producción según su comportamiento y su función en una empresa de transformación.</w:t>
            </w:r>
          </w:p>
        </w:tc>
        <w:tc>
          <w:tcPr>
            <w:tcW w:w="3135" w:type="dxa"/>
            <w:gridSpan w:val="5"/>
            <w:shd w:val="clear" w:color="auto" w:fill="D9E2F3"/>
            <w:vAlign w:val="center"/>
          </w:tcPr>
          <w:p w14:paraId="46918AD0" w14:textId="77777777" w:rsidR="00990B14" w:rsidRDefault="00000000">
            <w:pPr>
              <w:spacing w:before="20" w:after="20"/>
              <w:jc w:val="both"/>
            </w:pPr>
            <w:r>
              <w:rPr>
                <w:sz w:val="18"/>
                <w:szCs w:val="18"/>
              </w:rPr>
              <w:t>1.1 Elabora el cuadro de clasificación de los costos de una empresa de transformación.</w:t>
            </w:r>
          </w:p>
        </w:tc>
        <w:tc>
          <w:tcPr>
            <w:tcW w:w="3137" w:type="dxa"/>
            <w:gridSpan w:val="4"/>
            <w:shd w:val="clear" w:color="auto" w:fill="D9E2F3"/>
            <w:vAlign w:val="center"/>
          </w:tcPr>
          <w:p w14:paraId="5887321D" w14:textId="77777777" w:rsidR="00990B14" w:rsidRDefault="00000000">
            <w:pPr>
              <w:spacing w:before="20" w:after="20"/>
              <w:jc w:val="both"/>
            </w:pPr>
            <w:r>
              <w:rPr>
                <w:b/>
                <w:bCs/>
                <w:sz w:val="18"/>
                <w:szCs w:val="18"/>
              </w:rPr>
              <w:t xml:space="preserve">Producto 1: </w:t>
            </w:r>
            <w:r>
              <w:rPr>
                <w:sz w:val="18"/>
                <w:szCs w:val="18"/>
              </w:rPr>
              <w:t>Cuadro de clasificación de los elementos del costo según su comportamiento y su función.</w:t>
            </w:r>
          </w:p>
        </w:tc>
      </w:tr>
      <w:tr w:rsidR="00990B14" w14:paraId="738C72FA" w14:textId="77777777">
        <w:trPr>
          <w:cantSplit/>
          <w:jc w:val="center"/>
        </w:trPr>
        <w:tc>
          <w:tcPr>
            <w:tcW w:w="3133" w:type="dxa"/>
            <w:gridSpan w:val="4"/>
            <w:vMerge/>
            <w:shd w:val="clear" w:color="auto" w:fill="D9E2F3"/>
            <w:vAlign w:val="center"/>
          </w:tcPr>
          <w:p w14:paraId="2237AE1D" w14:textId="77777777" w:rsidR="00990B14" w:rsidRDefault="00990B14">
            <w:pPr>
              <w:spacing w:before="20" w:after="20"/>
            </w:pPr>
          </w:p>
        </w:tc>
        <w:tc>
          <w:tcPr>
            <w:tcW w:w="3135" w:type="dxa"/>
            <w:gridSpan w:val="5"/>
            <w:shd w:val="clear" w:color="auto" w:fill="D9E2F3"/>
            <w:vAlign w:val="center"/>
          </w:tcPr>
          <w:p w14:paraId="4D1F459B" w14:textId="77777777" w:rsidR="00990B14" w:rsidRDefault="00000000">
            <w:pPr>
              <w:spacing w:before="20" w:after="20"/>
              <w:jc w:val="both"/>
            </w:pPr>
            <w:r>
              <w:rPr>
                <w:sz w:val="18"/>
                <w:szCs w:val="18"/>
              </w:rPr>
              <w:t>1.2 Elabora el estado del costo de producción y el estado de resultados de una empresa.</w:t>
            </w:r>
          </w:p>
        </w:tc>
        <w:tc>
          <w:tcPr>
            <w:tcW w:w="3137" w:type="dxa"/>
            <w:gridSpan w:val="4"/>
            <w:shd w:val="clear" w:color="auto" w:fill="D9E2F3"/>
            <w:vAlign w:val="center"/>
          </w:tcPr>
          <w:p w14:paraId="43BE388E" w14:textId="77777777" w:rsidR="00990B14" w:rsidRDefault="00000000">
            <w:pPr>
              <w:spacing w:before="20" w:after="20"/>
              <w:jc w:val="both"/>
            </w:pPr>
            <w:r>
              <w:rPr>
                <w:b/>
                <w:bCs/>
                <w:sz w:val="18"/>
                <w:szCs w:val="18"/>
              </w:rPr>
              <w:t xml:space="preserve">Producto 2: </w:t>
            </w:r>
            <w:r>
              <w:rPr>
                <w:sz w:val="18"/>
                <w:szCs w:val="18"/>
              </w:rPr>
              <w:t>Estado del costo de producción y estado de resultados de una empresa de transformación.</w:t>
            </w:r>
          </w:p>
        </w:tc>
      </w:tr>
      <w:tr w:rsidR="00990B14" w14:paraId="5CF8D1E6" w14:textId="77777777">
        <w:trPr>
          <w:cantSplit/>
          <w:jc w:val="center"/>
        </w:trPr>
        <w:tc>
          <w:tcPr>
            <w:tcW w:w="3133" w:type="dxa"/>
            <w:gridSpan w:val="4"/>
            <w:vMerge w:val="restart"/>
            <w:shd w:val="clear" w:color="auto" w:fill="D9E2F3"/>
            <w:vAlign w:val="center"/>
          </w:tcPr>
          <w:p w14:paraId="6E23E764" w14:textId="77777777" w:rsidR="00990B14" w:rsidRDefault="00000000">
            <w:pPr>
              <w:spacing w:before="20" w:after="20"/>
              <w:jc w:val="both"/>
            </w:pPr>
            <w:r>
              <w:rPr>
                <w:sz w:val="18"/>
                <w:szCs w:val="18"/>
              </w:rPr>
              <w:t>2. Registra el costo de los materiales, la mano de obra y los costos indirectos de fabricación, aplicando su control interno.</w:t>
            </w:r>
          </w:p>
        </w:tc>
        <w:tc>
          <w:tcPr>
            <w:tcW w:w="3135" w:type="dxa"/>
            <w:gridSpan w:val="5"/>
            <w:shd w:val="clear" w:color="auto" w:fill="D9E2F3"/>
            <w:vAlign w:val="center"/>
          </w:tcPr>
          <w:p w14:paraId="7270C9DB" w14:textId="77777777" w:rsidR="00990B14" w:rsidRDefault="00000000">
            <w:pPr>
              <w:spacing w:before="20" w:after="20"/>
              <w:jc w:val="both"/>
            </w:pPr>
            <w:r>
              <w:rPr>
                <w:sz w:val="18"/>
                <w:szCs w:val="18"/>
              </w:rPr>
              <w:t>2.1 Registra las operaciones de materiales y mano de obra de una empresa productiva, aplicando los instrumentos de control interno de almacenes y planillas laborales.</w:t>
            </w:r>
          </w:p>
        </w:tc>
        <w:tc>
          <w:tcPr>
            <w:tcW w:w="3137" w:type="dxa"/>
            <w:gridSpan w:val="4"/>
            <w:shd w:val="clear" w:color="auto" w:fill="D9E2F3"/>
            <w:vAlign w:val="center"/>
          </w:tcPr>
          <w:p w14:paraId="6BFCD15D" w14:textId="77777777" w:rsidR="00990B14" w:rsidRDefault="00000000">
            <w:pPr>
              <w:spacing w:before="20" w:after="20"/>
              <w:jc w:val="both"/>
            </w:pPr>
            <w:r>
              <w:rPr>
                <w:b/>
                <w:bCs/>
                <w:sz w:val="18"/>
                <w:szCs w:val="18"/>
              </w:rPr>
              <w:t xml:space="preserve">Producto 3: </w:t>
            </w:r>
            <w:r>
              <w:rPr>
                <w:sz w:val="18"/>
                <w:szCs w:val="18"/>
              </w:rPr>
              <w:t>Planilla de control de materiales y de mano de obra.</w:t>
            </w:r>
          </w:p>
        </w:tc>
      </w:tr>
      <w:tr w:rsidR="00990B14" w14:paraId="2CDA51D7" w14:textId="77777777">
        <w:trPr>
          <w:cantSplit/>
          <w:jc w:val="center"/>
        </w:trPr>
        <w:tc>
          <w:tcPr>
            <w:tcW w:w="3133" w:type="dxa"/>
            <w:gridSpan w:val="4"/>
            <w:vMerge/>
            <w:shd w:val="clear" w:color="auto" w:fill="D9E2F3"/>
            <w:vAlign w:val="center"/>
          </w:tcPr>
          <w:p w14:paraId="50993ACC" w14:textId="77777777" w:rsidR="00990B14" w:rsidRDefault="00990B14">
            <w:pPr>
              <w:spacing w:before="20" w:after="20"/>
            </w:pPr>
          </w:p>
        </w:tc>
        <w:tc>
          <w:tcPr>
            <w:tcW w:w="3135" w:type="dxa"/>
            <w:gridSpan w:val="5"/>
            <w:shd w:val="clear" w:color="auto" w:fill="D9E2F3"/>
            <w:vAlign w:val="center"/>
          </w:tcPr>
          <w:p w14:paraId="21718093" w14:textId="77777777" w:rsidR="00990B14" w:rsidRDefault="00000000">
            <w:pPr>
              <w:spacing w:before="20" w:after="20"/>
              <w:jc w:val="both"/>
            </w:pPr>
            <w:r>
              <w:rPr>
                <w:sz w:val="18"/>
                <w:szCs w:val="18"/>
              </w:rPr>
              <w:t>2.2 Calcula la tasa de aplicación y la distribución primaria y secundaria de los costos indirectos en hoja de cálculo.</w:t>
            </w:r>
          </w:p>
        </w:tc>
        <w:tc>
          <w:tcPr>
            <w:tcW w:w="3137" w:type="dxa"/>
            <w:gridSpan w:val="4"/>
            <w:shd w:val="clear" w:color="auto" w:fill="D9E2F3"/>
            <w:vAlign w:val="center"/>
          </w:tcPr>
          <w:p w14:paraId="1A5E406D" w14:textId="77777777" w:rsidR="00990B14" w:rsidRDefault="00000000">
            <w:pPr>
              <w:spacing w:before="20" w:after="20"/>
              <w:jc w:val="both"/>
            </w:pPr>
            <w:r>
              <w:rPr>
                <w:b/>
                <w:bCs/>
                <w:sz w:val="18"/>
                <w:szCs w:val="18"/>
              </w:rPr>
              <w:t xml:space="preserve">Producto 4: </w:t>
            </w:r>
            <w:r>
              <w:rPr>
                <w:sz w:val="18"/>
                <w:szCs w:val="18"/>
              </w:rPr>
              <w:t>Cuadro de distribución de los costos indirectos de fabricación.</w:t>
            </w:r>
          </w:p>
        </w:tc>
      </w:tr>
      <w:tr w:rsidR="00990B14" w14:paraId="7F8658FF" w14:textId="77777777">
        <w:trPr>
          <w:cantSplit/>
          <w:jc w:val="center"/>
        </w:trPr>
        <w:tc>
          <w:tcPr>
            <w:tcW w:w="9405" w:type="dxa"/>
            <w:gridSpan w:val="13"/>
            <w:shd w:val="clear" w:color="auto" w:fill="4472C4"/>
            <w:vAlign w:val="center"/>
          </w:tcPr>
          <w:p w14:paraId="4E828071" w14:textId="77777777" w:rsidR="00990B14" w:rsidRDefault="00000000">
            <w:pPr>
              <w:keepNext/>
              <w:spacing w:before="20" w:after="20"/>
              <w:jc w:val="center"/>
            </w:pPr>
            <w:r>
              <w:rPr>
                <w:b/>
                <w:bCs/>
                <w:i/>
                <w:iCs/>
                <w:color w:val="FFFFFF"/>
                <w:sz w:val="18"/>
                <w:szCs w:val="18"/>
              </w:rPr>
              <w:t>Evidencias de conocimiento</w:t>
            </w:r>
          </w:p>
        </w:tc>
      </w:tr>
      <w:tr w:rsidR="00990B14" w14:paraId="4A5B612C" w14:textId="77777777">
        <w:trPr>
          <w:cantSplit/>
          <w:jc w:val="center"/>
        </w:trPr>
        <w:tc>
          <w:tcPr>
            <w:tcW w:w="2349" w:type="dxa"/>
            <w:gridSpan w:val="2"/>
            <w:shd w:val="clear" w:color="auto" w:fill="4472C4"/>
            <w:vAlign w:val="center"/>
          </w:tcPr>
          <w:p w14:paraId="601128B1"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0D530A76" w14:textId="77777777" w:rsidR="00990B14" w:rsidRDefault="00000000">
            <w:pPr>
              <w:keepNext/>
              <w:spacing w:before="20" w:after="20"/>
              <w:jc w:val="both"/>
            </w:pPr>
            <w:r>
              <w:rPr>
                <w:b/>
                <w:bCs/>
                <w:i/>
                <w:iCs/>
                <w:color w:val="FFFFFF"/>
                <w:sz w:val="18"/>
                <w:szCs w:val="18"/>
              </w:rPr>
              <w:t>Contenidos</w:t>
            </w:r>
          </w:p>
          <w:p w14:paraId="45C50385"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3224D710" w14:textId="77777777" w:rsidR="00990B14" w:rsidRDefault="00000000">
            <w:pPr>
              <w:keepNext/>
              <w:spacing w:before="20" w:after="20"/>
              <w:jc w:val="center"/>
            </w:pPr>
            <w:r>
              <w:rPr>
                <w:b/>
                <w:bCs/>
                <w:i/>
                <w:iCs/>
                <w:color w:val="FFFFFF"/>
                <w:sz w:val="18"/>
                <w:szCs w:val="18"/>
              </w:rPr>
              <w:t>Conocimientos circunstanciales</w:t>
            </w:r>
          </w:p>
        </w:tc>
      </w:tr>
      <w:tr w:rsidR="00990B14" w14:paraId="1D2C278D" w14:textId="77777777">
        <w:trPr>
          <w:jc w:val="center"/>
        </w:trPr>
        <w:tc>
          <w:tcPr>
            <w:tcW w:w="2349" w:type="dxa"/>
            <w:gridSpan w:val="2"/>
            <w:shd w:val="clear" w:color="auto" w:fill="D9E2F3"/>
          </w:tcPr>
          <w:p w14:paraId="2EAB9F17" w14:textId="77777777" w:rsidR="00990B14" w:rsidRDefault="00000000">
            <w:pPr>
              <w:spacing w:before="20" w:after="40"/>
              <w:jc w:val="both"/>
            </w:pPr>
            <w:r>
              <w:rPr>
                <w:sz w:val="18"/>
                <w:szCs w:val="18"/>
              </w:rPr>
              <w:t>Tema 1: Introducción a la Administración y Contabilidad de Costos Fundamentales</w:t>
            </w:r>
          </w:p>
          <w:p w14:paraId="0903017C" w14:textId="77777777" w:rsidR="00990B14" w:rsidRDefault="00000000">
            <w:pPr>
              <w:spacing w:before="20" w:after="40"/>
              <w:jc w:val="both"/>
            </w:pPr>
            <w:r>
              <w:rPr>
                <w:sz w:val="18"/>
                <w:szCs w:val="18"/>
              </w:rPr>
              <w:t>Tema 2: Conceptos, Clasificación y Comportamiento de los Elementos del Costo en las Organizaciones</w:t>
            </w:r>
          </w:p>
          <w:p w14:paraId="535CBA80" w14:textId="77777777" w:rsidR="00990B14" w:rsidRDefault="00000000">
            <w:pPr>
              <w:spacing w:before="20" w:after="40"/>
              <w:jc w:val="both"/>
            </w:pPr>
            <w:r>
              <w:rPr>
                <w:sz w:val="18"/>
                <w:szCs w:val="18"/>
              </w:rPr>
              <w:t>Tema 3: Costos y Control de Materiales</w:t>
            </w:r>
          </w:p>
          <w:p w14:paraId="276BB324" w14:textId="77777777" w:rsidR="00990B14" w:rsidRDefault="00000000">
            <w:pPr>
              <w:spacing w:before="20" w:after="40"/>
              <w:jc w:val="both"/>
            </w:pPr>
            <w:r>
              <w:rPr>
                <w:sz w:val="18"/>
                <w:szCs w:val="18"/>
              </w:rPr>
              <w:t>Tema 4: Costos y Control de Mano de Obra</w:t>
            </w:r>
          </w:p>
          <w:p w14:paraId="69C44278" w14:textId="77777777" w:rsidR="00990B14" w:rsidRDefault="00000000">
            <w:pPr>
              <w:spacing w:before="20" w:after="40"/>
              <w:jc w:val="both"/>
            </w:pPr>
            <w:r>
              <w:rPr>
                <w:sz w:val="18"/>
                <w:szCs w:val="18"/>
              </w:rPr>
              <w:t>Tema 5: Costos y Control de los Costos Indirectos</w:t>
            </w:r>
          </w:p>
        </w:tc>
        <w:tc>
          <w:tcPr>
            <w:tcW w:w="4304" w:type="dxa"/>
            <w:gridSpan w:val="8"/>
            <w:shd w:val="clear" w:color="auto" w:fill="D9E2F3"/>
          </w:tcPr>
          <w:p w14:paraId="2936DFFE" w14:textId="77777777" w:rsidR="00990B14" w:rsidRDefault="00000000">
            <w:pPr>
              <w:spacing w:after="40"/>
              <w:jc w:val="both"/>
            </w:pPr>
            <w:r>
              <w:rPr>
                <w:sz w:val="18"/>
                <w:szCs w:val="18"/>
              </w:rPr>
              <w:t>Introducción a la administración de costos y su relación con la contabilidad financiera, administrativa y de costos. (C)</w:t>
            </w:r>
          </w:p>
          <w:p w14:paraId="393BEA6A" w14:textId="77777777" w:rsidR="00990B14" w:rsidRDefault="00000000">
            <w:pPr>
              <w:spacing w:after="40"/>
              <w:jc w:val="both"/>
            </w:pPr>
            <w:r>
              <w:rPr>
                <w:sz w:val="18"/>
                <w:szCs w:val="18"/>
              </w:rPr>
              <w:t>Cadena de valor de los costos: orientación al cliente, administración de calidad total, el tiempo como elemento competitivo y los avances en la tecnología de la información. (C)</w:t>
            </w:r>
          </w:p>
          <w:p w14:paraId="4A9CC7DD" w14:textId="77777777" w:rsidR="00990B14" w:rsidRDefault="00000000">
            <w:pPr>
              <w:spacing w:after="40"/>
              <w:jc w:val="both"/>
            </w:pPr>
            <w:r>
              <w:rPr>
                <w:sz w:val="18"/>
                <w:szCs w:val="18"/>
              </w:rPr>
              <w:t>Crecimiento de la industria, los costos en empresas de transformación, comerciales y de servicios, y la competencia global. (C)</w:t>
            </w:r>
          </w:p>
          <w:p w14:paraId="7BAC3D93" w14:textId="77777777" w:rsidR="00990B14" w:rsidRDefault="00000000">
            <w:pPr>
              <w:spacing w:after="40"/>
              <w:jc w:val="both"/>
            </w:pPr>
            <w:r>
              <w:rPr>
                <w:sz w:val="18"/>
                <w:szCs w:val="18"/>
              </w:rPr>
              <w:t>Función del administrador de costos en la actualidad: posiciones de línea comparadas con posiciones de staff, información para la planeación, el control y la toma de decisiones, y normas del comportamiento ético. (C, A)</w:t>
            </w:r>
          </w:p>
          <w:p w14:paraId="19C33DDF" w14:textId="77777777" w:rsidR="00990B14" w:rsidRDefault="00000000">
            <w:pPr>
              <w:spacing w:after="40"/>
              <w:jc w:val="both"/>
            </w:pPr>
            <w:r>
              <w:rPr>
                <w:sz w:val="18"/>
                <w:szCs w:val="18"/>
              </w:rPr>
              <w:t>Ética profesional en la información de costos: riesgo de manipulación del costo de producción y de la valuación de los inventarios. (C, A)</w:t>
            </w:r>
          </w:p>
          <w:p w14:paraId="72294516" w14:textId="77777777" w:rsidR="00990B14" w:rsidRDefault="00000000">
            <w:pPr>
              <w:spacing w:after="40"/>
              <w:jc w:val="both"/>
            </w:pPr>
            <w:r>
              <w:rPr>
                <w:sz w:val="18"/>
                <w:szCs w:val="18"/>
              </w:rPr>
              <w:t>Concepto y definición de costo y de gasto; diferencias entre la contabilidad financiera y la contabilidad administrativa. (C)</w:t>
            </w:r>
          </w:p>
          <w:p w14:paraId="344C5C39" w14:textId="77777777" w:rsidR="00990B14" w:rsidRDefault="00000000">
            <w:pPr>
              <w:spacing w:after="40"/>
              <w:jc w:val="both"/>
            </w:pPr>
            <w:r>
              <w:rPr>
                <w:sz w:val="18"/>
                <w:szCs w:val="18"/>
              </w:rPr>
              <w:t>Clasificación de los costos y elementos del costo: costo total, costo primo y costo de transformación. (C)</w:t>
            </w:r>
          </w:p>
          <w:p w14:paraId="707ABAAA" w14:textId="77777777" w:rsidR="00990B14" w:rsidRDefault="00000000">
            <w:pPr>
              <w:spacing w:after="40"/>
              <w:jc w:val="both"/>
            </w:pPr>
            <w:r>
              <w:rPr>
                <w:sz w:val="18"/>
                <w:szCs w:val="18"/>
              </w:rPr>
              <w:t>Aplicación práctica del comportamiento de los elementos del costo; determinación del estado del costo de producción y del estado de resultados. (C, P)</w:t>
            </w:r>
          </w:p>
          <w:p w14:paraId="2F58024C" w14:textId="77777777" w:rsidR="00990B14" w:rsidRDefault="00000000">
            <w:pPr>
              <w:spacing w:after="40"/>
              <w:jc w:val="both"/>
            </w:pPr>
            <w:r>
              <w:rPr>
                <w:sz w:val="18"/>
                <w:szCs w:val="18"/>
              </w:rPr>
              <w:t>Representación gráfica y estructura de costos. (C)</w:t>
            </w:r>
          </w:p>
          <w:p w14:paraId="5E5CDEDF" w14:textId="77777777" w:rsidR="00990B14" w:rsidRDefault="00000000">
            <w:pPr>
              <w:spacing w:after="40"/>
              <w:jc w:val="both"/>
            </w:pPr>
            <w:r>
              <w:rPr>
                <w:sz w:val="18"/>
                <w:szCs w:val="18"/>
              </w:rPr>
              <w:t>Concepto, naturaleza, registro, valuación y medición de los materiales; flujo de las cuentas de control. (C, P)</w:t>
            </w:r>
          </w:p>
          <w:p w14:paraId="2BDEF2DF" w14:textId="77777777" w:rsidR="00990B14" w:rsidRDefault="00000000">
            <w:pPr>
              <w:spacing w:after="40"/>
              <w:jc w:val="both"/>
            </w:pPr>
            <w:r>
              <w:rPr>
                <w:sz w:val="18"/>
                <w:szCs w:val="18"/>
              </w:rPr>
              <w:t>Elementos del costo de materiales; costos de transporte y almacenamiento; compra de materiales y transferencia a procesos de producción. (C)</w:t>
            </w:r>
          </w:p>
          <w:p w14:paraId="23181108" w14:textId="77777777" w:rsidR="00990B14" w:rsidRDefault="00000000">
            <w:pPr>
              <w:spacing w:after="40"/>
              <w:jc w:val="both"/>
            </w:pPr>
            <w:r>
              <w:rPr>
                <w:sz w:val="18"/>
                <w:szCs w:val="18"/>
              </w:rPr>
              <w:t>Mermas y desperdicios de materiales; procedimientos y sistemas de administración, control y evaluación de materiales. (P)</w:t>
            </w:r>
          </w:p>
          <w:p w14:paraId="6D522656" w14:textId="77777777" w:rsidR="00990B14" w:rsidRDefault="00000000">
            <w:pPr>
              <w:spacing w:after="40"/>
              <w:jc w:val="both"/>
            </w:pPr>
            <w:r>
              <w:rPr>
                <w:sz w:val="18"/>
                <w:szCs w:val="18"/>
              </w:rPr>
              <w:t>Control interno de almacenes: recepción, custodia, inventarios físicos y responsabilidad por faltantes. (C, A)</w:t>
            </w:r>
          </w:p>
          <w:p w14:paraId="0395A78F" w14:textId="77777777" w:rsidR="00990B14" w:rsidRDefault="00000000">
            <w:pPr>
              <w:spacing w:after="40"/>
              <w:jc w:val="both"/>
            </w:pPr>
            <w:r>
              <w:rPr>
                <w:sz w:val="18"/>
                <w:szCs w:val="18"/>
              </w:rPr>
              <w:t>Concepto, naturaleza y registro de la mano de obra; planilla de sueldos y salarios y aportes patronales, provisiones y previsiones. (C, P)</w:t>
            </w:r>
          </w:p>
          <w:p w14:paraId="1F49C53C" w14:textId="77777777" w:rsidR="00990B14" w:rsidRDefault="00000000">
            <w:pPr>
              <w:spacing w:after="40"/>
              <w:jc w:val="both"/>
            </w:pPr>
            <w:r>
              <w:rPr>
                <w:sz w:val="18"/>
                <w:szCs w:val="18"/>
              </w:rPr>
              <w:t>Contabilización de la mano de obra y problemas especiales relacionados con su registro: tiempos y movimientos, y tiempo ocioso. (P)</w:t>
            </w:r>
          </w:p>
          <w:p w14:paraId="6C204FAF" w14:textId="77777777" w:rsidR="00990B14" w:rsidRDefault="00000000">
            <w:pPr>
              <w:spacing w:after="40"/>
              <w:jc w:val="both"/>
            </w:pPr>
            <w:r>
              <w:rPr>
                <w:sz w:val="18"/>
                <w:szCs w:val="18"/>
              </w:rPr>
              <w:t>Control interno de la planilla: registro de asistencia, horas trabajadas y conformidad de los aportes a la seguridad social. (P)</w:t>
            </w:r>
          </w:p>
          <w:p w14:paraId="2E9DD1F4" w14:textId="77777777" w:rsidR="00990B14" w:rsidRDefault="00000000">
            <w:pPr>
              <w:spacing w:after="40"/>
              <w:jc w:val="both"/>
            </w:pPr>
            <w:r>
              <w:rPr>
                <w:sz w:val="18"/>
                <w:szCs w:val="18"/>
              </w:rPr>
              <w:t>Decisiones administrativas, incentivos a la producción y tratamiento contable de los servicios tercerizados. (P)</w:t>
            </w:r>
          </w:p>
          <w:p w14:paraId="778C4E56" w14:textId="77777777" w:rsidR="00990B14" w:rsidRDefault="00000000">
            <w:pPr>
              <w:spacing w:after="40"/>
              <w:jc w:val="both"/>
            </w:pPr>
            <w:r>
              <w:rPr>
                <w:sz w:val="18"/>
                <w:szCs w:val="18"/>
              </w:rPr>
              <w:t>Concepto, naturaleza, registro y clasificación de los costos indirectos de fabricación; costos incurridos y aplicados. (C, P)</w:t>
            </w:r>
          </w:p>
          <w:p w14:paraId="5CA62B22" w14:textId="77777777" w:rsidR="00990B14" w:rsidRDefault="00000000">
            <w:pPr>
              <w:spacing w:after="40"/>
              <w:jc w:val="both"/>
            </w:pPr>
            <w:r>
              <w:rPr>
                <w:sz w:val="18"/>
                <w:szCs w:val="18"/>
              </w:rPr>
              <w:t>Tasa o cuota, acumulación y distribución primaria y secundaria de los costos indirectos. (C)</w:t>
            </w:r>
          </w:p>
          <w:p w14:paraId="6DD194C9" w14:textId="77777777" w:rsidR="00990B14" w:rsidRDefault="00000000">
            <w:pPr>
              <w:spacing w:after="40"/>
              <w:jc w:val="both"/>
            </w:pPr>
            <w:r>
              <w:rPr>
                <w:sz w:val="18"/>
                <w:szCs w:val="18"/>
              </w:rPr>
              <w:t>Registro y distribución de los costos indirectos en hoja de cálculo con tablas dinámicas, y módulos de costos de los sistemas de información empresarial. (P, T)</w:t>
            </w:r>
          </w:p>
          <w:p w14:paraId="1C45D044" w14:textId="77777777" w:rsidR="00990B14" w:rsidRDefault="00000000">
            <w:pPr>
              <w:spacing w:after="40"/>
              <w:jc w:val="both"/>
            </w:pPr>
            <w:r>
              <w:rPr>
                <w:sz w:val="18"/>
                <w:szCs w:val="18"/>
              </w:rPr>
              <w:t>Efecto de los cambios en el volumen de producción sobre los costos indirectos de fabricación. (C)</w:t>
            </w:r>
          </w:p>
          <w:p w14:paraId="3D539440" w14:textId="77777777" w:rsidR="00990B14" w:rsidRDefault="00000000">
            <w:pPr>
              <w:spacing w:after="40"/>
              <w:jc w:val="both"/>
            </w:pPr>
            <w:r>
              <w:rPr>
                <w:sz w:val="18"/>
                <w:szCs w:val="18"/>
              </w:rPr>
              <w:t>Costos ambientales y costos de la calidad: prevención, evaluación, fallas internas y fallas externas. (C)</w:t>
            </w:r>
          </w:p>
          <w:p w14:paraId="4A6B2308" w14:textId="77777777" w:rsidR="00990B14" w:rsidRDefault="00000000">
            <w:pPr>
              <w:spacing w:after="40"/>
              <w:jc w:val="both"/>
            </w:pPr>
            <w:r>
              <w:rPr>
                <w:sz w:val="18"/>
                <w:szCs w:val="18"/>
              </w:rPr>
              <w:t>Asignación de los costos indirectos de fabricación con costeo basado en actividades: identificación de actividades, generadores de costos e inductores frente a las limitaciones de las tasas tradicionales. (C, P)</w:t>
            </w:r>
          </w:p>
        </w:tc>
        <w:tc>
          <w:tcPr>
            <w:tcW w:w="2752" w:type="dxa"/>
            <w:gridSpan w:val="3"/>
            <w:shd w:val="clear" w:color="auto" w:fill="D9E2F3"/>
          </w:tcPr>
          <w:p w14:paraId="0B2BC433" w14:textId="77777777" w:rsidR="00990B14" w:rsidRDefault="00000000">
            <w:pPr>
              <w:numPr>
                <w:ilvl w:val="0"/>
                <w:numId w:val="139"/>
              </w:numPr>
              <w:spacing w:before="10" w:after="10"/>
              <w:jc w:val="both"/>
            </w:pPr>
            <w:r>
              <w:rPr>
                <w:sz w:val="18"/>
                <w:szCs w:val="18"/>
              </w:rPr>
              <w:t>Aportes patronales y laborales a la Gestora Pública de la Seguridad Social de Corto y Largo Plazo conforme a la disposición legal vigente.</w:t>
            </w:r>
          </w:p>
          <w:p w14:paraId="29128749" w14:textId="77777777" w:rsidR="00990B14" w:rsidRDefault="00000000">
            <w:pPr>
              <w:numPr>
                <w:ilvl w:val="0"/>
                <w:numId w:val="139"/>
              </w:numPr>
              <w:spacing w:before="10" w:after="10"/>
              <w:jc w:val="both"/>
            </w:pPr>
            <w:r>
              <w:rPr>
                <w:sz w:val="18"/>
                <w:szCs w:val="18"/>
              </w:rPr>
              <w:t>Salario mínimo nacional como costo de la mano de obra.</w:t>
            </w:r>
          </w:p>
          <w:p w14:paraId="46DCBC2F" w14:textId="77777777" w:rsidR="00990B14" w:rsidRDefault="00000000">
            <w:pPr>
              <w:numPr>
                <w:ilvl w:val="0"/>
                <w:numId w:val="139"/>
              </w:numPr>
              <w:spacing w:before="10" w:after="10"/>
              <w:jc w:val="both"/>
            </w:pPr>
            <w:r>
              <w:rPr>
                <w:sz w:val="18"/>
                <w:szCs w:val="18"/>
              </w:rPr>
              <w:t>Deducibilidad de los costos y gastos de administración en la determinación del Impuesto sobre las Utilidades de las Empresas, conforme al DS 24051, de 29 de junio de 1995.</w:t>
            </w:r>
          </w:p>
        </w:tc>
      </w:tr>
      <w:tr w:rsidR="00990B14" w14:paraId="15D80245" w14:textId="77777777">
        <w:trPr>
          <w:cantSplit/>
          <w:jc w:val="center"/>
        </w:trPr>
        <w:tc>
          <w:tcPr>
            <w:tcW w:w="9405" w:type="dxa"/>
            <w:gridSpan w:val="13"/>
            <w:shd w:val="clear" w:color="auto" w:fill="D9E2F3"/>
            <w:vAlign w:val="center"/>
          </w:tcPr>
          <w:p w14:paraId="41F602D8" w14:textId="77777777" w:rsidR="00990B14" w:rsidRDefault="00000000">
            <w:pPr>
              <w:spacing w:before="20" w:after="20"/>
              <w:jc w:val="both"/>
            </w:pPr>
            <w:r>
              <w:rPr>
                <w:b/>
                <w:bCs/>
                <w:i/>
                <w:iCs/>
                <w:sz w:val="18"/>
                <w:szCs w:val="18"/>
              </w:rPr>
              <w:t xml:space="preserve">Elemento de competencia 2: </w:t>
            </w:r>
            <w:r>
              <w:rPr>
                <w:sz w:val="18"/>
                <w:szCs w:val="18"/>
              </w:rPr>
              <w:t>Aplica el sistema de costos por órdenes de trabajo con costos indirectos aplicados en la producción, determinando el costo unitario y total y ajustando las variaciones del periodo en entidades productivas</w:t>
            </w:r>
          </w:p>
        </w:tc>
      </w:tr>
      <w:tr w:rsidR="00990B14" w14:paraId="35521BDE" w14:textId="77777777">
        <w:trPr>
          <w:cantSplit/>
          <w:jc w:val="center"/>
        </w:trPr>
        <w:tc>
          <w:tcPr>
            <w:tcW w:w="3133" w:type="dxa"/>
            <w:gridSpan w:val="4"/>
            <w:shd w:val="clear" w:color="auto" w:fill="4472C4"/>
            <w:vAlign w:val="center"/>
          </w:tcPr>
          <w:p w14:paraId="1ADBD6D4"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7ECD3A9C"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224E6A56" w14:textId="77777777" w:rsidR="00990B14" w:rsidRDefault="00000000">
            <w:pPr>
              <w:keepNext/>
              <w:spacing w:before="20" w:after="20"/>
              <w:jc w:val="center"/>
            </w:pPr>
            <w:r>
              <w:rPr>
                <w:b/>
                <w:bCs/>
                <w:i/>
                <w:iCs/>
                <w:color w:val="FFFFFF"/>
                <w:sz w:val="18"/>
                <w:szCs w:val="18"/>
              </w:rPr>
              <w:t>Evidencias de producto</w:t>
            </w:r>
          </w:p>
        </w:tc>
      </w:tr>
      <w:tr w:rsidR="00990B14" w14:paraId="79AFDA90" w14:textId="77777777">
        <w:trPr>
          <w:cantSplit/>
          <w:jc w:val="center"/>
        </w:trPr>
        <w:tc>
          <w:tcPr>
            <w:tcW w:w="3133" w:type="dxa"/>
            <w:gridSpan w:val="4"/>
            <w:vMerge w:val="restart"/>
            <w:shd w:val="clear" w:color="auto" w:fill="D9E2F3"/>
            <w:vAlign w:val="center"/>
          </w:tcPr>
          <w:p w14:paraId="2A03D716" w14:textId="77777777" w:rsidR="00990B14" w:rsidRDefault="00000000">
            <w:pPr>
              <w:spacing w:before="20" w:after="20"/>
              <w:jc w:val="both"/>
            </w:pPr>
            <w:r>
              <w:rPr>
                <w:sz w:val="18"/>
                <w:szCs w:val="18"/>
              </w:rPr>
              <w:t>1. Aplica el sistema de costos por órdenes de trabajo a la producción, distinguiendo la producción defectuosa de la producción averiada.</w:t>
            </w:r>
          </w:p>
        </w:tc>
        <w:tc>
          <w:tcPr>
            <w:tcW w:w="3135" w:type="dxa"/>
            <w:gridSpan w:val="5"/>
            <w:shd w:val="clear" w:color="auto" w:fill="D9E2F3"/>
            <w:vAlign w:val="center"/>
          </w:tcPr>
          <w:p w14:paraId="705F2CBF" w14:textId="77777777" w:rsidR="00990B14" w:rsidRDefault="00000000">
            <w:pPr>
              <w:spacing w:before="20" w:after="20"/>
              <w:jc w:val="both"/>
            </w:pPr>
            <w:r>
              <w:rPr>
                <w:sz w:val="18"/>
                <w:szCs w:val="18"/>
              </w:rPr>
              <w:t>1.1 Resuelve la hoja de costos por órdenes de trabajo de una empresa industrial.</w:t>
            </w:r>
          </w:p>
        </w:tc>
        <w:tc>
          <w:tcPr>
            <w:tcW w:w="3137" w:type="dxa"/>
            <w:gridSpan w:val="4"/>
            <w:shd w:val="clear" w:color="auto" w:fill="D9E2F3"/>
            <w:vAlign w:val="center"/>
          </w:tcPr>
          <w:p w14:paraId="0E449FB7" w14:textId="77777777" w:rsidR="00990B14" w:rsidRDefault="00000000">
            <w:pPr>
              <w:spacing w:before="20" w:after="20"/>
              <w:jc w:val="both"/>
            </w:pPr>
            <w:r>
              <w:rPr>
                <w:b/>
                <w:bCs/>
                <w:sz w:val="18"/>
                <w:szCs w:val="18"/>
              </w:rPr>
              <w:t xml:space="preserve">Producto 5: </w:t>
            </w:r>
            <w:r>
              <w:rPr>
                <w:sz w:val="18"/>
                <w:szCs w:val="18"/>
              </w:rPr>
              <w:t>Hoja de costos por órdenes de trabajo de una empresa.</w:t>
            </w:r>
          </w:p>
        </w:tc>
      </w:tr>
      <w:tr w:rsidR="00990B14" w14:paraId="048BC62D" w14:textId="77777777">
        <w:trPr>
          <w:cantSplit/>
          <w:jc w:val="center"/>
        </w:trPr>
        <w:tc>
          <w:tcPr>
            <w:tcW w:w="3133" w:type="dxa"/>
            <w:gridSpan w:val="4"/>
            <w:vMerge/>
            <w:shd w:val="clear" w:color="auto" w:fill="D9E2F3"/>
            <w:vAlign w:val="center"/>
          </w:tcPr>
          <w:p w14:paraId="6A60B128" w14:textId="77777777" w:rsidR="00990B14" w:rsidRDefault="00990B14">
            <w:pPr>
              <w:spacing w:before="20" w:after="20"/>
            </w:pPr>
          </w:p>
        </w:tc>
        <w:tc>
          <w:tcPr>
            <w:tcW w:w="3135" w:type="dxa"/>
            <w:gridSpan w:val="5"/>
            <w:shd w:val="clear" w:color="auto" w:fill="D9E2F3"/>
            <w:vAlign w:val="center"/>
          </w:tcPr>
          <w:p w14:paraId="1A794CA3" w14:textId="77777777" w:rsidR="00990B14" w:rsidRDefault="00000000">
            <w:pPr>
              <w:spacing w:before="20" w:after="20"/>
              <w:jc w:val="both"/>
            </w:pPr>
            <w:r>
              <w:rPr>
                <w:sz w:val="18"/>
                <w:szCs w:val="18"/>
              </w:rPr>
              <w:t>1.2 Evalúa el tratamiento contable de las pérdidas normales y anormales por desperdicio de materiales y de la producción defectuosa.</w:t>
            </w:r>
          </w:p>
        </w:tc>
        <w:tc>
          <w:tcPr>
            <w:tcW w:w="3137" w:type="dxa"/>
            <w:gridSpan w:val="4"/>
            <w:shd w:val="clear" w:color="auto" w:fill="D9E2F3"/>
            <w:vAlign w:val="center"/>
          </w:tcPr>
          <w:p w14:paraId="3A7DBB6B" w14:textId="77777777" w:rsidR="00990B14" w:rsidRDefault="00000000">
            <w:pPr>
              <w:spacing w:before="20" w:after="20"/>
              <w:jc w:val="both"/>
            </w:pPr>
            <w:r>
              <w:rPr>
                <w:b/>
                <w:bCs/>
                <w:sz w:val="18"/>
                <w:szCs w:val="18"/>
              </w:rPr>
              <w:t xml:space="preserve">Producto 6: </w:t>
            </w:r>
            <w:r>
              <w:rPr>
                <w:sz w:val="18"/>
                <w:szCs w:val="18"/>
              </w:rPr>
              <w:t>Informe del tratamiento contable de pérdidas por desperdicio de materiales y producción defectuosa</w:t>
            </w:r>
          </w:p>
        </w:tc>
      </w:tr>
      <w:tr w:rsidR="00990B14" w14:paraId="3CD93AEC" w14:textId="77777777">
        <w:trPr>
          <w:cantSplit/>
          <w:jc w:val="center"/>
        </w:trPr>
        <w:tc>
          <w:tcPr>
            <w:tcW w:w="3133" w:type="dxa"/>
            <w:gridSpan w:val="4"/>
            <w:vMerge w:val="restart"/>
            <w:shd w:val="clear" w:color="auto" w:fill="D9E2F3"/>
            <w:vAlign w:val="center"/>
          </w:tcPr>
          <w:p w14:paraId="013E58B6" w14:textId="77777777" w:rsidR="00990B14" w:rsidRDefault="00000000">
            <w:pPr>
              <w:spacing w:before="20" w:after="20"/>
              <w:jc w:val="both"/>
            </w:pPr>
            <w:r>
              <w:rPr>
                <w:sz w:val="18"/>
                <w:szCs w:val="18"/>
              </w:rPr>
              <w:t>2. Contabiliza los costos indirectos aplicados y los costos incurridos de las órdenes de trabajo, determinando el costo unitario y total de cada orden.</w:t>
            </w:r>
          </w:p>
        </w:tc>
        <w:tc>
          <w:tcPr>
            <w:tcW w:w="3135" w:type="dxa"/>
            <w:gridSpan w:val="5"/>
            <w:shd w:val="clear" w:color="auto" w:fill="D9E2F3"/>
            <w:vAlign w:val="center"/>
          </w:tcPr>
          <w:p w14:paraId="4FDDDF9C" w14:textId="77777777" w:rsidR="00990B14" w:rsidRDefault="00000000">
            <w:pPr>
              <w:spacing w:before="20" w:after="20"/>
              <w:jc w:val="both"/>
            </w:pPr>
            <w:r>
              <w:rPr>
                <w:sz w:val="18"/>
                <w:szCs w:val="18"/>
              </w:rPr>
              <w:t>2.1 Calcula los costos indirectos aplicados y los costos incurridos de las órdenes de trabajo.</w:t>
            </w:r>
          </w:p>
        </w:tc>
        <w:tc>
          <w:tcPr>
            <w:tcW w:w="3137" w:type="dxa"/>
            <w:gridSpan w:val="4"/>
            <w:shd w:val="clear" w:color="auto" w:fill="D9E2F3"/>
            <w:vAlign w:val="center"/>
          </w:tcPr>
          <w:p w14:paraId="0DD844EF" w14:textId="77777777" w:rsidR="00990B14" w:rsidRDefault="00000000">
            <w:pPr>
              <w:spacing w:before="20" w:after="20"/>
              <w:jc w:val="both"/>
            </w:pPr>
            <w:r>
              <w:rPr>
                <w:b/>
                <w:bCs/>
                <w:sz w:val="18"/>
                <w:szCs w:val="18"/>
              </w:rPr>
              <w:t xml:space="preserve">Producto 7: </w:t>
            </w:r>
            <w:r>
              <w:rPr>
                <w:sz w:val="18"/>
                <w:szCs w:val="18"/>
              </w:rPr>
              <w:t>Cuadro de costos indirectos aplicados y costos incurridos de las órdenes de trabajo.</w:t>
            </w:r>
          </w:p>
        </w:tc>
      </w:tr>
      <w:tr w:rsidR="00990B14" w14:paraId="036FB27B" w14:textId="77777777">
        <w:trPr>
          <w:cantSplit/>
          <w:jc w:val="center"/>
        </w:trPr>
        <w:tc>
          <w:tcPr>
            <w:tcW w:w="3133" w:type="dxa"/>
            <w:gridSpan w:val="4"/>
            <w:vMerge/>
            <w:shd w:val="clear" w:color="auto" w:fill="D9E2F3"/>
            <w:vAlign w:val="center"/>
          </w:tcPr>
          <w:p w14:paraId="74B64F1D" w14:textId="77777777" w:rsidR="00990B14" w:rsidRDefault="00990B14">
            <w:pPr>
              <w:spacing w:before="20" w:after="20"/>
            </w:pPr>
          </w:p>
        </w:tc>
        <w:tc>
          <w:tcPr>
            <w:tcW w:w="3135" w:type="dxa"/>
            <w:gridSpan w:val="5"/>
            <w:shd w:val="clear" w:color="auto" w:fill="D9E2F3"/>
            <w:vAlign w:val="center"/>
          </w:tcPr>
          <w:p w14:paraId="11061482" w14:textId="77777777" w:rsidR="00990B14" w:rsidRDefault="00000000">
            <w:pPr>
              <w:spacing w:before="20" w:after="20"/>
              <w:jc w:val="both"/>
            </w:pPr>
            <w:r>
              <w:rPr>
                <w:sz w:val="18"/>
                <w:szCs w:val="18"/>
              </w:rPr>
              <w:t>2.2 Elabora el registro contable de las órdenes de trabajo identificando costo unitario y total de cada orden.</w:t>
            </w:r>
          </w:p>
        </w:tc>
        <w:tc>
          <w:tcPr>
            <w:tcW w:w="3137" w:type="dxa"/>
            <w:gridSpan w:val="4"/>
            <w:shd w:val="clear" w:color="auto" w:fill="D9E2F3"/>
            <w:vAlign w:val="center"/>
          </w:tcPr>
          <w:p w14:paraId="314D7434" w14:textId="77777777" w:rsidR="00990B14" w:rsidRDefault="00000000">
            <w:pPr>
              <w:spacing w:before="20" w:after="20"/>
              <w:jc w:val="both"/>
            </w:pPr>
            <w:r>
              <w:rPr>
                <w:b/>
                <w:bCs/>
                <w:sz w:val="18"/>
                <w:szCs w:val="18"/>
              </w:rPr>
              <w:t xml:space="preserve">Producto 8: </w:t>
            </w:r>
            <w:r>
              <w:rPr>
                <w:sz w:val="18"/>
                <w:szCs w:val="18"/>
              </w:rPr>
              <w:t>Registro contable de las órdenes de trabajo con su costo unitario y total.</w:t>
            </w:r>
          </w:p>
        </w:tc>
      </w:tr>
      <w:tr w:rsidR="00990B14" w14:paraId="0A9F5D2D" w14:textId="77777777">
        <w:trPr>
          <w:cantSplit/>
          <w:jc w:val="center"/>
        </w:trPr>
        <w:tc>
          <w:tcPr>
            <w:tcW w:w="9405" w:type="dxa"/>
            <w:gridSpan w:val="13"/>
            <w:shd w:val="clear" w:color="auto" w:fill="4472C4"/>
            <w:vAlign w:val="center"/>
          </w:tcPr>
          <w:p w14:paraId="6F1EC603" w14:textId="77777777" w:rsidR="00990B14" w:rsidRDefault="00000000">
            <w:pPr>
              <w:keepNext/>
              <w:spacing w:before="20" w:after="20"/>
              <w:jc w:val="center"/>
            </w:pPr>
            <w:r>
              <w:rPr>
                <w:b/>
                <w:bCs/>
                <w:i/>
                <w:iCs/>
                <w:color w:val="FFFFFF"/>
                <w:sz w:val="18"/>
                <w:szCs w:val="18"/>
              </w:rPr>
              <w:t>Evidencias de conocimiento</w:t>
            </w:r>
          </w:p>
        </w:tc>
      </w:tr>
      <w:tr w:rsidR="00990B14" w14:paraId="5C5DBB95" w14:textId="77777777">
        <w:trPr>
          <w:cantSplit/>
          <w:jc w:val="center"/>
        </w:trPr>
        <w:tc>
          <w:tcPr>
            <w:tcW w:w="2349" w:type="dxa"/>
            <w:gridSpan w:val="2"/>
            <w:shd w:val="clear" w:color="auto" w:fill="4472C4"/>
            <w:vAlign w:val="center"/>
          </w:tcPr>
          <w:p w14:paraId="1EC63309"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34A08FC6" w14:textId="77777777" w:rsidR="00990B14" w:rsidRDefault="00000000">
            <w:pPr>
              <w:keepNext/>
              <w:spacing w:before="20" w:after="20"/>
              <w:jc w:val="both"/>
            </w:pPr>
            <w:r>
              <w:rPr>
                <w:b/>
                <w:bCs/>
                <w:i/>
                <w:iCs/>
                <w:color w:val="FFFFFF"/>
                <w:sz w:val="18"/>
                <w:szCs w:val="18"/>
              </w:rPr>
              <w:t>Contenidos</w:t>
            </w:r>
          </w:p>
          <w:p w14:paraId="0EB87EEB"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56E9A4A2" w14:textId="77777777" w:rsidR="00990B14" w:rsidRDefault="00000000">
            <w:pPr>
              <w:keepNext/>
              <w:spacing w:before="20" w:after="20"/>
              <w:jc w:val="center"/>
            </w:pPr>
            <w:r>
              <w:rPr>
                <w:b/>
                <w:bCs/>
                <w:i/>
                <w:iCs/>
                <w:color w:val="FFFFFF"/>
                <w:sz w:val="18"/>
                <w:szCs w:val="18"/>
              </w:rPr>
              <w:t>Conocimientos circunstanciales</w:t>
            </w:r>
          </w:p>
        </w:tc>
      </w:tr>
      <w:tr w:rsidR="00990B14" w14:paraId="175D3517" w14:textId="77777777">
        <w:trPr>
          <w:jc w:val="center"/>
        </w:trPr>
        <w:tc>
          <w:tcPr>
            <w:tcW w:w="2349" w:type="dxa"/>
            <w:gridSpan w:val="2"/>
            <w:shd w:val="clear" w:color="auto" w:fill="D9E2F3"/>
          </w:tcPr>
          <w:p w14:paraId="12F23014" w14:textId="77777777" w:rsidR="00990B14" w:rsidRDefault="00000000">
            <w:pPr>
              <w:spacing w:before="20" w:after="40"/>
              <w:jc w:val="both"/>
            </w:pPr>
            <w:r>
              <w:rPr>
                <w:sz w:val="18"/>
                <w:szCs w:val="18"/>
              </w:rPr>
              <w:t>Tema 6: Sistema de Costos por Órdenes de Trabajo</w:t>
            </w:r>
          </w:p>
        </w:tc>
        <w:tc>
          <w:tcPr>
            <w:tcW w:w="4304" w:type="dxa"/>
            <w:gridSpan w:val="8"/>
            <w:shd w:val="clear" w:color="auto" w:fill="D9E2F3"/>
          </w:tcPr>
          <w:p w14:paraId="702B26C9" w14:textId="77777777" w:rsidR="00990B14" w:rsidRDefault="00000000">
            <w:pPr>
              <w:spacing w:after="40"/>
              <w:jc w:val="both"/>
            </w:pPr>
            <w:r>
              <w:rPr>
                <w:sz w:val="18"/>
                <w:szCs w:val="18"/>
              </w:rPr>
              <w:t>Concepto, naturaleza y registro del sistema de costos por órdenes de trabajo para la producción de bienes. (C, P)</w:t>
            </w:r>
          </w:p>
          <w:p w14:paraId="427BDDB6" w14:textId="77777777" w:rsidR="00990B14" w:rsidRDefault="00000000">
            <w:pPr>
              <w:spacing w:after="40"/>
              <w:jc w:val="both"/>
            </w:pPr>
            <w:r>
              <w:rPr>
                <w:sz w:val="18"/>
                <w:szCs w:val="18"/>
              </w:rPr>
              <w:t>Tipo de actividad de producción para la aplicación del sistema de costos por órdenes de trabajo; costos indirectos aplicados y costos incurridos. (P)</w:t>
            </w:r>
          </w:p>
          <w:p w14:paraId="24F57027" w14:textId="77777777" w:rsidR="00990B14" w:rsidRDefault="00000000">
            <w:pPr>
              <w:spacing w:after="40"/>
              <w:jc w:val="both"/>
            </w:pPr>
            <w:r>
              <w:rPr>
                <w:sz w:val="18"/>
                <w:szCs w:val="18"/>
              </w:rPr>
              <w:t>Concepto y definición de eficiencia; hoja de costos por órdenes de trabajo. (C)</w:t>
            </w:r>
          </w:p>
          <w:p w14:paraId="76DC4442" w14:textId="77777777" w:rsidR="00990B14" w:rsidRDefault="00000000">
            <w:pPr>
              <w:spacing w:after="40"/>
              <w:jc w:val="both"/>
            </w:pPr>
            <w:r>
              <w:rPr>
                <w:sz w:val="18"/>
                <w:szCs w:val="18"/>
              </w:rPr>
              <w:t>Pérdida normal por desperdicio de material, pérdida anormal por ineficiencia, producción defectuosa, que no tiene arreglo, y producción averiada, con defecto que tiene arreglo. (C)</w:t>
            </w:r>
          </w:p>
          <w:p w14:paraId="7B338BBD" w14:textId="77777777" w:rsidR="00990B14" w:rsidRDefault="00000000">
            <w:pPr>
              <w:spacing w:after="40"/>
              <w:jc w:val="both"/>
            </w:pPr>
            <w:r>
              <w:rPr>
                <w:sz w:val="18"/>
                <w:szCs w:val="18"/>
              </w:rPr>
              <w:t>Contabilidad de los costos por órdenes de trabajo; aplicación práctica. (P)</w:t>
            </w:r>
          </w:p>
        </w:tc>
        <w:tc>
          <w:tcPr>
            <w:tcW w:w="2752" w:type="dxa"/>
            <w:gridSpan w:val="3"/>
            <w:shd w:val="clear" w:color="auto" w:fill="D9E2F3"/>
          </w:tcPr>
          <w:p w14:paraId="0384C3EE" w14:textId="77777777" w:rsidR="00990B14" w:rsidRDefault="00000000">
            <w:pPr>
              <w:numPr>
                <w:ilvl w:val="0"/>
                <w:numId w:val="139"/>
              </w:numPr>
              <w:spacing w:before="10" w:after="10"/>
              <w:jc w:val="both"/>
            </w:pPr>
            <w:r>
              <w:rPr>
                <w:sz w:val="18"/>
                <w:szCs w:val="18"/>
              </w:rPr>
              <w:t>Sistemas de costos por órdenes de trabajo y por procesos aplicados por empresas industriales y de servicios bolivianas, según la Clasificación de Actividades Económicas de Bolivia CAEB-2022.</w:t>
            </w:r>
          </w:p>
        </w:tc>
      </w:tr>
      <w:tr w:rsidR="00990B14" w14:paraId="09B52119" w14:textId="77777777">
        <w:trPr>
          <w:cantSplit/>
          <w:jc w:val="center"/>
        </w:trPr>
        <w:tc>
          <w:tcPr>
            <w:tcW w:w="9405" w:type="dxa"/>
            <w:gridSpan w:val="13"/>
            <w:shd w:val="clear" w:color="auto" w:fill="D9E2F3"/>
            <w:vAlign w:val="center"/>
          </w:tcPr>
          <w:p w14:paraId="6DCA6C99" w14:textId="77777777" w:rsidR="00990B14" w:rsidRDefault="00000000">
            <w:pPr>
              <w:spacing w:before="20" w:after="20"/>
              <w:jc w:val="both"/>
            </w:pPr>
            <w:r>
              <w:rPr>
                <w:b/>
                <w:bCs/>
                <w:i/>
                <w:iCs/>
                <w:sz w:val="18"/>
                <w:szCs w:val="18"/>
              </w:rPr>
              <w:t xml:space="preserve">Elemento de competencia 3: </w:t>
            </w:r>
            <w:r>
              <w:rPr>
                <w:sz w:val="18"/>
                <w:szCs w:val="18"/>
              </w:rPr>
              <w:t>Aplica el sistema de costos por procesos y el sistema de costos conjuntos, determinando el costo unitario y total de la producción de una empresa.</w:t>
            </w:r>
          </w:p>
        </w:tc>
      </w:tr>
      <w:tr w:rsidR="00990B14" w14:paraId="69160431" w14:textId="77777777">
        <w:trPr>
          <w:cantSplit/>
          <w:jc w:val="center"/>
        </w:trPr>
        <w:tc>
          <w:tcPr>
            <w:tcW w:w="3133" w:type="dxa"/>
            <w:gridSpan w:val="4"/>
            <w:shd w:val="clear" w:color="auto" w:fill="4472C4"/>
            <w:vAlign w:val="center"/>
          </w:tcPr>
          <w:p w14:paraId="04C364C6"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56FDA53E"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5BB926E5" w14:textId="77777777" w:rsidR="00990B14" w:rsidRDefault="00000000">
            <w:pPr>
              <w:keepNext/>
              <w:spacing w:before="20" w:after="20"/>
              <w:jc w:val="center"/>
            </w:pPr>
            <w:r>
              <w:rPr>
                <w:b/>
                <w:bCs/>
                <w:i/>
                <w:iCs/>
                <w:color w:val="FFFFFF"/>
                <w:sz w:val="18"/>
                <w:szCs w:val="18"/>
              </w:rPr>
              <w:t>Evidencias de producto</w:t>
            </w:r>
          </w:p>
        </w:tc>
      </w:tr>
      <w:tr w:rsidR="00990B14" w14:paraId="03143037" w14:textId="77777777">
        <w:trPr>
          <w:cantSplit/>
          <w:jc w:val="center"/>
        </w:trPr>
        <w:tc>
          <w:tcPr>
            <w:tcW w:w="3133" w:type="dxa"/>
            <w:gridSpan w:val="4"/>
            <w:vMerge w:val="restart"/>
            <w:shd w:val="clear" w:color="auto" w:fill="D9E2F3"/>
            <w:vAlign w:val="center"/>
          </w:tcPr>
          <w:p w14:paraId="0CABC650" w14:textId="77777777" w:rsidR="00990B14" w:rsidRDefault="00000000">
            <w:pPr>
              <w:spacing w:before="20" w:after="20"/>
              <w:jc w:val="both"/>
            </w:pPr>
            <w:r>
              <w:rPr>
                <w:sz w:val="18"/>
                <w:szCs w:val="18"/>
              </w:rPr>
              <w:t>1. Determina el costo unitario y total de la producción por procesos, a partir del flujo físico y la producción equivalente, con el tratamiento de las mermas.</w:t>
            </w:r>
          </w:p>
        </w:tc>
        <w:tc>
          <w:tcPr>
            <w:tcW w:w="3135" w:type="dxa"/>
            <w:gridSpan w:val="5"/>
            <w:shd w:val="clear" w:color="auto" w:fill="D9E2F3"/>
            <w:vAlign w:val="center"/>
          </w:tcPr>
          <w:p w14:paraId="34E39DDD" w14:textId="77777777" w:rsidR="00990B14" w:rsidRDefault="00000000">
            <w:pPr>
              <w:spacing w:before="20" w:after="20"/>
              <w:jc w:val="both"/>
            </w:pPr>
            <w:r>
              <w:rPr>
                <w:sz w:val="18"/>
                <w:szCs w:val="18"/>
              </w:rPr>
              <w:t>1.1 Elabora el informe de costos de producción de un proceso con el método promedio ponderado y el método PEPS.</w:t>
            </w:r>
          </w:p>
        </w:tc>
        <w:tc>
          <w:tcPr>
            <w:tcW w:w="3137" w:type="dxa"/>
            <w:gridSpan w:val="4"/>
            <w:shd w:val="clear" w:color="auto" w:fill="D9E2F3"/>
            <w:vAlign w:val="center"/>
          </w:tcPr>
          <w:p w14:paraId="1B2C06F9" w14:textId="77777777" w:rsidR="00990B14" w:rsidRDefault="00000000">
            <w:pPr>
              <w:spacing w:before="20" w:after="20"/>
              <w:jc w:val="both"/>
            </w:pPr>
            <w:r>
              <w:rPr>
                <w:b/>
                <w:bCs/>
                <w:sz w:val="18"/>
                <w:szCs w:val="18"/>
              </w:rPr>
              <w:t xml:space="preserve">Producto 9: </w:t>
            </w:r>
            <w:r>
              <w:rPr>
                <w:sz w:val="18"/>
                <w:szCs w:val="18"/>
              </w:rPr>
              <w:t>Informe de costos de producción por el método promedio ponderado y por el método PEPS.</w:t>
            </w:r>
          </w:p>
        </w:tc>
      </w:tr>
      <w:tr w:rsidR="00990B14" w14:paraId="4C475AA1" w14:textId="77777777">
        <w:trPr>
          <w:cantSplit/>
          <w:jc w:val="center"/>
        </w:trPr>
        <w:tc>
          <w:tcPr>
            <w:tcW w:w="3133" w:type="dxa"/>
            <w:gridSpan w:val="4"/>
            <w:vMerge/>
            <w:shd w:val="clear" w:color="auto" w:fill="D9E2F3"/>
            <w:vAlign w:val="center"/>
          </w:tcPr>
          <w:p w14:paraId="388A5279" w14:textId="77777777" w:rsidR="00990B14" w:rsidRDefault="00990B14">
            <w:pPr>
              <w:spacing w:before="20" w:after="20"/>
            </w:pPr>
          </w:p>
        </w:tc>
        <w:tc>
          <w:tcPr>
            <w:tcW w:w="3135" w:type="dxa"/>
            <w:gridSpan w:val="5"/>
            <w:shd w:val="clear" w:color="auto" w:fill="D9E2F3"/>
            <w:vAlign w:val="center"/>
          </w:tcPr>
          <w:p w14:paraId="2D8AB10B" w14:textId="77777777" w:rsidR="00990B14" w:rsidRDefault="00000000">
            <w:pPr>
              <w:spacing w:before="20" w:after="20"/>
              <w:jc w:val="both"/>
            </w:pPr>
            <w:r>
              <w:rPr>
                <w:sz w:val="18"/>
                <w:szCs w:val="18"/>
              </w:rPr>
              <w:t>1.2 Concilia el flujo físico y la producción equivalente de un proceso, evaluando el tratamiento de las mermas y de la producción defectuosa y averiada.</w:t>
            </w:r>
          </w:p>
        </w:tc>
        <w:tc>
          <w:tcPr>
            <w:tcW w:w="3137" w:type="dxa"/>
            <w:gridSpan w:val="4"/>
            <w:shd w:val="clear" w:color="auto" w:fill="D9E2F3"/>
            <w:vAlign w:val="center"/>
          </w:tcPr>
          <w:p w14:paraId="3CB6CF9C" w14:textId="77777777" w:rsidR="00990B14" w:rsidRDefault="00000000">
            <w:pPr>
              <w:spacing w:before="20" w:after="20"/>
              <w:jc w:val="both"/>
            </w:pPr>
            <w:r>
              <w:rPr>
                <w:b/>
                <w:bCs/>
                <w:sz w:val="18"/>
                <w:szCs w:val="18"/>
              </w:rPr>
              <w:t xml:space="preserve">Producto 10: </w:t>
            </w:r>
            <w:r>
              <w:rPr>
                <w:sz w:val="18"/>
                <w:szCs w:val="18"/>
              </w:rPr>
              <w:t>Cuadro de conciliación del flujo físico y de la producción equivalente, con el tratamiento de las mermas.</w:t>
            </w:r>
          </w:p>
        </w:tc>
      </w:tr>
      <w:tr w:rsidR="00990B14" w14:paraId="57406AA9" w14:textId="77777777">
        <w:trPr>
          <w:cantSplit/>
          <w:jc w:val="center"/>
        </w:trPr>
        <w:tc>
          <w:tcPr>
            <w:tcW w:w="3133" w:type="dxa"/>
            <w:gridSpan w:val="4"/>
            <w:vMerge w:val="restart"/>
            <w:shd w:val="clear" w:color="auto" w:fill="D9E2F3"/>
            <w:vAlign w:val="center"/>
          </w:tcPr>
          <w:p w14:paraId="686CACDA" w14:textId="77777777" w:rsidR="00990B14" w:rsidRDefault="00000000">
            <w:pPr>
              <w:spacing w:before="20" w:after="20"/>
              <w:jc w:val="both"/>
            </w:pPr>
            <w:r>
              <w:rPr>
                <w:sz w:val="18"/>
                <w:szCs w:val="18"/>
              </w:rPr>
              <w:t>2. Contabiliza los costos conjuntos a partir del punto de separación, evaluando el procesamiento adicional y el aprovechamiento de residuos para la toma de decisiones.</w:t>
            </w:r>
          </w:p>
        </w:tc>
        <w:tc>
          <w:tcPr>
            <w:tcW w:w="3135" w:type="dxa"/>
            <w:gridSpan w:val="5"/>
            <w:shd w:val="clear" w:color="auto" w:fill="D9E2F3"/>
            <w:vAlign w:val="center"/>
          </w:tcPr>
          <w:p w14:paraId="2C300349" w14:textId="77777777" w:rsidR="00990B14" w:rsidRDefault="00000000">
            <w:pPr>
              <w:spacing w:before="20" w:after="20"/>
              <w:jc w:val="both"/>
            </w:pPr>
            <w:r>
              <w:rPr>
                <w:sz w:val="18"/>
                <w:szCs w:val="18"/>
              </w:rPr>
              <w:t>2.1 Asigna los costos conjuntos a partir del punto de separación.</w:t>
            </w:r>
          </w:p>
        </w:tc>
        <w:tc>
          <w:tcPr>
            <w:tcW w:w="3137" w:type="dxa"/>
            <w:gridSpan w:val="4"/>
            <w:shd w:val="clear" w:color="auto" w:fill="D9E2F3"/>
            <w:vAlign w:val="center"/>
          </w:tcPr>
          <w:p w14:paraId="48FAC410" w14:textId="77777777" w:rsidR="00990B14" w:rsidRDefault="00000000">
            <w:pPr>
              <w:spacing w:before="20" w:after="20"/>
              <w:jc w:val="both"/>
            </w:pPr>
            <w:r>
              <w:rPr>
                <w:b/>
                <w:bCs/>
                <w:sz w:val="18"/>
                <w:szCs w:val="18"/>
              </w:rPr>
              <w:t xml:space="preserve">Producto 11: </w:t>
            </w:r>
            <w:r>
              <w:rPr>
                <w:sz w:val="18"/>
                <w:szCs w:val="18"/>
              </w:rPr>
              <w:t>Cuadro de contabilización de costos conjuntos.</w:t>
            </w:r>
          </w:p>
        </w:tc>
      </w:tr>
      <w:tr w:rsidR="00990B14" w14:paraId="1F75F6C3" w14:textId="77777777">
        <w:trPr>
          <w:cantSplit/>
          <w:jc w:val="center"/>
        </w:trPr>
        <w:tc>
          <w:tcPr>
            <w:tcW w:w="3133" w:type="dxa"/>
            <w:gridSpan w:val="4"/>
            <w:vMerge/>
            <w:shd w:val="clear" w:color="auto" w:fill="D9E2F3"/>
            <w:vAlign w:val="center"/>
          </w:tcPr>
          <w:p w14:paraId="5D48AEDC" w14:textId="77777777" w:rsidR="00990B14" w:rsidRDefault="00990B14">
            <w:pPr>
              <w:spacing w:before="20" w:after="20"/>
            </w:pPr>
          </w:p>
        </w:tc>
        <w:tc>
          <w:tcPr>
            <w:tcW w:w="3135" w:type="dxa"/>
            <w:gridSpan w:val="5"/>
            <w:shd w:val="clear" w:color="auto" w:fill="D9E2F3"/>
            <w:vAlign w:val="center"/>
          </w:tcPr>
          <w:p w14:paraId="4869031D" w14:textId="77777777" w:rsidR="00990B14" w:rsidRDefault="00000000">
            <w:pPr>
              <w:spacing w:before="20" w:after="20"/>
              <w:jc w:val="both"/>
            </w:pPr>
            <w:r>
              <w:rPr>
                <w:sz w:val="18"/>
                <w:szCs w:val="18"/>
              </w:rPr>
              <w:t>2.2 Sustenta la conveniencia del procesamiento adicional y el aprovechamiento de subproductos y residuos en la economía circular.</w:t>
            </w:r>
          </w:p>
        </w:tc>
        <w:tc>
          <w:tcPr>
            <w:tcW w:w="3137" w:type="dxa"/>
            <w:gridSpan w:val="4"/>
            <w:shd w:val="clear" w:color="auto" w:fill="D9E2F3"/>
            <w:vAlign w:val="center"/>
          </w:tcPr>
          <w:p w14:paraId="7FA95D87" w14:textId="77777777" w:rsidR="00990B14" w:rsidRDefault="00000000">
            <w:pPr>
              <w:spacing w:before="20" w:after="20"/>
              <w:jc w:val="both"/>
            </w:pPr>
            <w:r>
              <w:rPr>
                <w:b/>
                <w:bCs/>
                <w:sz w:val="18"/>
                <w:szCs w:val="18"/>
              </w:rPr>
              <w:t xml:space="preserve">Producto 12: </w:t>
            </w:r>
            <w:r>
              <w:rPr>
                <w:sz w:val="18"/>
                <w:szCs w:val="18"/>
              </w:rPr>
              <w:t>Informe del procesamiento adicional y del aprovechamiento de subproductos y residuos.</w:t>
            </w:r>
          </w:p>
        </w:tc>
      </w:tr>
      <w:tr w:rsidR="00990B14" w14:paraId="0721D0E5" w14:textId="77777777">
        <w:trPr>
          <w:cantSplit/>
          <w:jc w:val="center"/>
        </w:trPr>
        <w:tc>
          <w:tcPr>
            <w:tcW w:w="9405" w:type="dxa"/>
            <w:gridSpan w:val="13"/>
            <w:shd w:val="clear" w:color="auto" w:fill="4472C4"/>
            <w:vAlign w:val="center"/>
          </w:tcPr>
          <w:p w14:paraId="0B884DEA" w14:textId="77777777" w:rsidR="00990B14" w:rsidRDefault="00000000">
            <w:pPr>
              <w:keepNext/>
              <w:spacing w:before="20" w:after="20"/>
              <w:jc w:val="center"/>
            </w:pPr>
            <w:r>
              <w:rPr>
                <w:b/>
                <w:bCs/>
                <w:i/>
                <w:iCs/>
                <w:color w:val="FFFFFF"/>
                <w:sz w:val="18"/>
                <w:szCs w:val="18"/>
              </w:rPr>
              <w:t>Evidencias de conocimiento</w:t>
            </w:r>
          </w:p>
        </w:tc>
      </w:tr>
      <w:tr w:rsidR="00990B14" w14:paraId="447D2192" w14:textId="77777777">
        <w:trPr>
          <w:cantSplit/>
          <w:jc w:val="center"/>
        </w:trPr>
        <w:tc>
          <w:tcPr>
            <w:tcW w:w="2349" w:type="dxa"/>
            <w:gridSpan w:val="2"/>
            <w:shd w:val="clear" w:color="auto" w:fill="4472C4"/>
            <w:vAlign w:val="center"/>
          </w:tcPr>
          <w:p w14:paraId="37578E39"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34F800EA" w14:textId="77777777" w:rsidR="00990B14" w:rsidRDefault="00000000">
            <w:pPr>
              <w:keepNext/>
              <w:spacing w:before="20" w:after="20"/>
              <w:jc w:val="both"/>
            </w:pPr>
            <w:r>
              <w:rPr>
                <w:b/>
                <w:bCs/>
                <w:i/>
                <w:iCs/>
                <w:color w:val="FFFFFF"/>
                <w:sz w:val="18"/>
                <w:szCs w:val="18"/>
              </w:rPr>
              <w:t>Contenidos</w:t>
            </w:r>
          </w:p>
          <w:p w14:paraId="2947F38A"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4856C980" w14:textId="77777777" w:rsidR="00990B14" w:rsidRDefault="00000000">
            <w:pPr>
              <w:keepNext/>
              <w:spacing w:before="20" w:after="20"/>
              <w:jc w:val="center"/>
            </w:pPr>
            <w:r>
              <w:rPr>
                <w:b/>
                <w:bCs/>
                <w:i/>
                <w:iCs/>
                <w:color w:val="FFFFFF"/>
                <w:sz w:val="18"/>
                <w:szCs w:val="18"/>
              </w:rPr>
              <w:t>Conocimientos circunstanciales</w:t>
            </w:r>
          </w:p>
        </w:tc>
      </w:tr>
      <w:tr w:rsidR="00990B14" w14:paraId="3F033CA1" w14:textId="77777777">
        <w:trPr>
          <w:jc w:val="center"/>
        </w:trPr>
        <w:tc>
          <w:tcPr>
            <w:tcW w:w="2349" w:type="dxa"/>
            <w:gridSpan w:val="2"/>
            <w:shd w:val="clear" w:color="auto" w:fill="D9E2F3"/>
          </w:tcPr>
          <w:p w14:paraId="0F7DB15D" w14:textId="77777777" w:rsidR="00990B14" w:rsidRDefault="00000000">
            <w:pPr>
              <w:spacing w:before="20" w:after="40"/>
              <w:jc w:val="both"/>
            </w:pPr>
            <w:r>
              <w:rPr>
                <w:sz w:val="18"/>
                <w:szCs w:val="18"/>
              </w:rPr>
              <w:t>Tema 7: Sistema de Costos por Procesos</w:t>
            </w:r>
          </w:p>
          <w:p w14:paraId="6409EFA9" w14:textId="77777777" w:rsidR="00990B14" w:rsidRDefault="00000000">
            <w:pPr>
              <w:spacing w:before="20" w:after="40"/>
              <w:jc w:val="both"/>
            </w:pPr>
            <w:r>
              <w:rPr>
                <w:sz w:val="18"/>
                <w:szCs w:val="18"/>
              </w:rPr>
              <w:t>Tema 8: Sistema de Costos Conjuntos</w:t>
            </w:r>
          </w:p>
        </w:tc>
        <w:tc>
          <w:tcPr>
            <w:tcW w:w="4304" w:type="dxa"/>
            <w:gridSpan w:val="8"/>
            <w:shd w:val="clear" w:color="auto" w:fill="D9E2F3"/>
          </w:tcPr>
          <w:p w14:paraId="6C3C0D0B" w14:textId="77777777" w:rsidR="00990B14" w:rsidRDefault="00000000">
            <w:pPr>
              <w:spacing w:after="40"/>
              <w:jc w:val="both"/>
            </w:pPr>
            <w:r>
              <w:rPr>
                <w:sz w:val="18"/>
                <w:szCs w:val="18"/>
              </w:rPr>
              <w:t>Concepto, naturaleza, registro y características del sistema de costos por procesos; periodo de costos y objetivo de los costos por procesos en bienes y servicios. (C, P)</w:t>
            </w:r>
          </w:p>
          <w:p w14:paraId="56CD595A" w14:textId="77777777" w:rsidR="00990B14" w:rsidRDefault="00000000">
            <w:pPr>
              <w:spacing w:after="40"/>
              <w:jc w:val="both"/>
            </w:pPr>
            <w:r>
              <w:rPr>
                <w:sz w:val="18"/>
                <w:szCs w:val="18"/>
              </w:rPr>
              <w:t>Flujo físico y costo de producción; grado de terminación y producción equivalente. (C)</w:t>
            </w:r>
          </w:p>
          <w:p w14:paraId="1EE9C35D" w14:textId="77777777" w:rsidR="00990B14" w:rsidRDefault="00000000">
            <w:pPr>
              <w:spacing w:after="40"/>
              <w:jc w:val="both"/>
            </w:pPr>
            <w:r>
              <w:rPr>
                <w:sz w:val="18"/>
                <w:szCs w:val="18"/>
              </w:rPr>
              <w:t>Determinación de costos unitarios y totales; factores de costo y procedimientos contables. (P)</w:t>
            </w:r>
          </w:p>
          <w:p w14:paraId="08F88F52" w14:textId="77777777" w:rsidR="00990B14" w:rsidRDefault="00000000">
            <w:pPr>
              <w:spacing w:after="40"/>
              <w:jc w:val="both"/>
            </w:pPr>
            <w:r>
              <w:rPr>
                <w:sz w:val="18"/>
                <w:szCs w:val="18"/>
              </w:rPr>
              <w:t>Elaboración del informe de costos de producción en hoja de cálculo, con control de la producción equivalente y conciliación de unidades. (P, T)</w:t>
            </w:r>
          </w:p>
          <w:p w14:paraId="429EE9AC" w14:textId="77777777" w:rsidR="00990B14" w:rsidRDefault="00000000">
            <w:pPr>
              <w:spacing w:after="40"/>
              <w:jc w:val="both"/>
            </w:pPr>
            <w:r>
              <w:rPr>
                <w:sz w:val="18"/>
                <w:szCs w:val="18"/>
              </w:rPr>
              <w:t>Costos de producción por el método promedio ponderado y por el método PEPS; costo de productos en proceso y terminados. (C)</w:t>
            </w:r>
          </w:p>
          <w:p w14:paraId="65773DC1" w14:textId="77777777" w:rsidR="00990B14" w:rsidRDefault="00000000">
            <w:pPr>
              <w:spacing w:after="40"/>
              <w:jc w:val="both"/>
            </w:pPr>
            <w:r>
              <w:rPr>
                <w:sz w:val="18"/>
                <w:szCs w:val="18"/>
              </w:rPr>
              <w:t>Producción defectuosa, averiada, merma normal y anormal en el sistema de costos por procesos; toma de decisiones. (C)</w:t>
            </w:r>
          </w:p>
          <w:p w14:paraId="2A88FFE3" w14:textId="77777777" w:rsidR="00990B14" w:rsidRDefault="00000000">
            <w:pPr>
              <w:spacing w:after="40"/>
              <w:jc w:val="both"/>
            </w:pPr>
            <w:r>
              <w:rPr>
                <w:sz w:val="18"/>
                <w:szCs w:val="18"/>
              </w:rPr>
              <w:t>Concepto, naturaleza y registro del sistema de costos de coproductos y subproductos; productos o servicios conjuntos. (C, P)</w:t>
            </w:r>
          </w:p>
          <w:p w14:paraId="64CD7B15" w14:textId="77777777" w:rsidR="00990B14" w:rsidRDefault="00000000">
            <w:pPr>
              <w:spacing w:after="40"/>
              <w:jc w:val="both"/>
            </w:pPr>
            <w:r>
              <w:rPr>
                <w:sz w:val="18"/>
                <w:szCs w:val="18"/>
              </w:rPr>
              <w:t>Costos conjuntos, punto de separación y dificultades asociadas con los costos conjuntos; costos de procesamiento adicional. (C)</w:t>
            </w:r>
          </w:p>
          <w:p w14:paraId="39F7C9BE" w14:textId="77777777" w:rsidR="00990B14" w:rsidRDefault="00000000">
            <w:pPr>
              <w:spacing w:after="40"/>
              <w:jc w:val="both"/>
            </w:pPr>
            <w:r>
              <w:rPr>
                <w:sz w:val="18"/>
                <w:szCs w:val="18"/>
              </w:rPr>
              <w:t>Contabilización de los productos o servicios conjuntos y de los subproductos; toma de decisiones. (C)</w:t>
            </w:r>
          </w:p>
          <w:p w14:paraId="72035430" w14:textId="77777777" w:rsidR="00990B14" w:rsidRDefault="00000000">
            <w:pPr>
              <w:spacing w:after="40"/>
              <w:jc w:val="both"/>
            </w:pPr>
            <w:r>
              <w:rPr>
                <w:sz w:val="18"/>
                <w:szCs w:val="18"/>
              </w:rPr>
              <w:t>Aprovechamiento de subproductos y residuos en la economía circular: efecto en el costo conjunto y en el desempeño ambiental de la empresa. (C)</w:t>
            </w:r>
          </w:p>
          <w:p w14:paraId="04C1B14C" w14:textId="77777777" w:rsidR="00990B14" w:rsidRPr="00BD34F7" w:rsidRDefault="00000000">
            <w:pPr>
              <w:spacing w:after="40"/>
              <w:jc w:val="both"/>
              <w:rPr>
                <w:lang w:val="en-US"/>
              </w:rPr>
            </w:pPr>
            <w:r>
              <w:rPr>
                <w:sz w:val="18"/>
                <w:szCs w:val="18"/>
              </w:rPr>
              <w:t xml:space="preserve">Asignación de los costos indirectos de producción con base en la capacidad normal de la planta y tratamiento del costo de la capacidad ociosa, conforme a la NIC 2. </w:t>
            </w:r>
            <w:r w:rsidRPr="00BD34F7">
              <w:rPr>
                <w:sz w:val="18"/>
                <w:szCs w:val="18"/>
                <w:lang w:val="en-US"/>
              </w:rPr>
              <w:t>(C, P)</w:t>
            </w:r>
          </w:p>
          <w:p w14:paraId="15BB6DD4" w14:textId="77777777" w:rsidR="00990B14" w:rsidRDefault="00000000">
            <w:pPr>
              <w:spacing w:after="40"/>
              <w:jc w:val="both"/>
            </w:pPr>
            <w:r w:rsidRPr="00BD34F7">
              <w:rPr>
                <w:sz w:val="18"/>
                <w:szCs w:val="18"/>
                <w:lang w:val="en-US"/>
              </w:rPr>
              <w:t xml:space="preserve">Terminología de costos en inglés: job order costing, process costing, equivalent units, joint products y by-products. </w:t>
            </w:r>
            <w:r>
              <w:rPr>
                <w:sz w:val="18"/>
                <w:szCs w:val="18"/>
              </w:rPr>
              <w:t>(C)</w:t>
            </w:r>
          </w:p>
        </w:tc>
        <w:tc>
          <w:tcPr>
            <w:tcW w:w="2752" w:type="dxa"/>
            <w:gridSpan w:val="3"/>
            <w:shd w:val="clear" w:color="auto" w:fill="D9E2F3"/>
          </w:tcPr>
          <w:p w14:paraId="527120DA" w14:textId="77777777" w:rsidR="00990B14" w:rsidRDefault="00000000">
            <w:pPr>
              <w:numPr>
                <w:ilvl w:val="0"/>
                <w:numId w:val="139"/>
              </w:numPr>
              <w:spacing w:before="10" w:after="10"/>
              <w:jc w:val="both"/>
            </w:pPr>
            <w:r>
              <w:rPr>
                <w:sz w:val="18"/>
                <w:szCs w:val="18"/>
              </w:rPr>
              <w:t>Sistemas de costos por procesos aplicados por empresas industriales y de servicios bolivianas, según la Clasificación de Actividades Económicas de Bolivia CAEB-2022.</w:t>
            </w:r>
          </w:p>
          <w:p w14:paraId="590625EF" w14:textId="77777777" w:rsidR="00990B14" w:rsidRDefault="00000000">
            <w:pPr>
              <w:numPr>
                <w:ilvl w:val="0"/>
                <w:numId w:val="139"/>
              </w:numPr>
              <w:spacing w:before="10" w:after="10"/>
              <w:jc w:val="both"/>
            </w:pPr>
            <w:r>
              <w:rPr>
                <w:sz w:val="18"/>
                <w:szCs w:val="18"/>
              </w:rPr>
              <w:t>Producción conjunta en el sector industrial, con costos conjuntos, analizando el punto de separación.</w:t>
            </w:r>
          </w:p>
          <w:p w14:paraId="5BEA1A63" w14:textId="77777777" w:rsidR="00990B14" w:rsidRDefault="00000000">
            <w:pPr>
              <w:numPr>
                <w:ilvl w:val="0"/>
                <w:numId w:val="139"/>
              </w:numPr>
              <w:spacing w:before="10" w:after="10"/>
              <w:jc w:val="both"/>
            </w:pPr>
            <w:r>
              <w:rPr>
                <w:sz w:val="18"/>
                <w:szCs w:val="18"/>
              </w:rPr>
              <w:t>Medición del costo de los inventarios y asignación de los costos indirectos de producción conforme a estándares nacionales y internacionales.</w:t>
            </w:r>
          </w:p>
        </w:tc>
      </w:tr>
      <w:tr w:rsidR="00990B14" w14:paraId="1469427A" w14:textId="77777777">
        <w:trPr>
          <w:cantSplit/>
          <w:jc w:val="center"/>
        </w:trPr>
        <w:tc>
          <w:tcPr>
            <w:tcW w:w="9405" w:type="dxa"/>
            <w:gridSpan w:val="13"/>
            <w:shd w:val="clear" w:color="auto" w:fill="D9E2F3"/>
            <w:vAlign w:val="center"/>
          </w:tcPr>
          <w:p w14:paraId="7A39BF35" w14:textId="77777777" w:rsidR="00990B14" w:rsidRDefault="00000000">
            <w:pPr>
              <w:spacing w:before="20" w:after="20"/>
              <w:jc w:val="both"/>
            </w:pPr>
            <w:r>
              <w:rPr>
                <w:b/>
                <w:bCs/>
                <w:i/>
                <w:iCs/>
                <w:sz w:val="18"/>
                <w:szCs w:val="18"/>
              </w:rPr>
              <w:t xml:space="preserve">Elemento de competencia 4: </w:t>
            </w:r>
            <w:r>
              <w:rPr>
                <w:sz w:val="18"/>
                <w:szCs w:val="18"/>
              </w:rPr>
              <w:t>Elabora el presupuesto maestro de una empresa aplicando el costeo estándar, el modelo costo-volumen-utilidad y el costeo basado en actividades, evaluando su efecto en la toma de decisiones gerenciales.</w:t>
            </w:r>
          </w:p>
        </w:tc>
      </w:tr>
      <w:tr w:rsidR="00990B14" w14:paraId="38EFBCDD" w14:textId="77777777">
        <w:trPr>
          <w:cantSplit/>
          <w:jc w:val="center"/>
        </w:trPr>
        <w:tc>
          <w:tcPr>
            <w:tcW w:w="3133" w:type="dxa"/>
            <w:gridSpan w:val="4"/>
            <w:shd w:val="clear" w:color="auto" w:fill="4472C4"/>
            <w:vAlign w:val="center"/>
          </w:tcPr>
          <w:p w14:paraId="2527FD4A"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0A2CD7DA"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7561831C" w14:textId="77777777" w:rsidR="00990B14" w:rsidRDefault="00000000">
            <w:pPr>
              <w:keepNext/>
              <w:spacing w:before="20" w:after="20"/>
              <w:jc w:val="center"/>
            </w:pPr>
            <w:r>
              <w:rPr>
                <w:b/>
                <w:bCs/>
                <w:i/>
                <w:iCs/>
                <w:color w:val="FFFFFF"/>
                <w:sz w:val="18"/>
                <w:szCs w:val="18"/>
              </w:rPr>
              <w:t>Evidencias de producto</w:t>
            </w:r>
          </w:p>
        </w:tc>
      </w:tr>
      <w:tr w:rsidR="00990B14" w14:paraId="1F30D774" w14:textId="77777777">
        <w:trPr>
          <w:cantSplit/>
          <w:jc w:val="center"/>
        </w:trPr>
        <w:tc>
          <w:tcPr>
            <w:tcW w:w="3133" w:type="dxa"/>
            <w:gridSpan w:val="4"/>
            <w:vMerge w:val="restart"/>
            <w:shd w:val="clear" w:color="auto" w:fill="D9E2F3"/>
            <w:vAlign w:val="center"/>
          </w:tcPr>
          <w:p w14:paraId="602D2F25" w14:textId="77777777" w:rsidR="00990B14" w:rsidRDefault="00000000">
            <w:pPr>
              <w:spacing w:before="20" w:after="20"/>
              <w:jc w:val="both"/>
            </w:pPr>
            <w:r>
              <w:rPr>
                <w:sz w:val="18"/>
                <w:szCs w:val="18"/>
              </w:rPr>
              <w:t>1. Aplica el costeo estándar y el costeo basado en actividades en la determinación del costo de los productos.</w:t>
            </w:r>
          </w:p>
        </w:tc>
        <w:tc>
          <w:tcPr>
            <w:tcW w:w="3135" w:type="dxa"/>
            <w:gridSpan w:val="5"/>
            <w:shd w:val="clear" w:color="auto" w:fill="D9E2F3"/>
            <w:vAlign w:val="center"/>
          </w:tcPr>
          <w:p w14:paraId="40767582" w14:textId="77777777" w:rsidR="00990B14" w:rsidRDefault="00000000">
            <w:pPr>
              <w:spacing w:before="20" w:after="20"/>
              <w:jc w:val="both"/>
            </w:pPr>
            <w:r>
              <w:rPr>
                <w:sz w:val="18"/>
                <w:szCs w:val="18"/>
              </w:rPr>
              <w:t>1.1 Calcula las variaciones de los costos estándar por el método de una, dos y tres variaciones.</w:t>
            </w:r>
          </w:p>
        </w:tc>
        <w:tc>
          <w:tcPr>
            <w:tcW w:w="3137" w:type="dxa"/>
            <w:gridSpan w:val="4"/>
            <w:shd w:val="clear" w:color="auto" w:fill="D9E2F3"/>
            <w:vAlign w:val="center"/>
          </w:tcPr>
          <w:p w14:paraId="1B86D89E" w14:textId="77777777" w:rsidR="00990B14" w:rsidRDefault="00000000">
            <w:pPr>
              <w:spacing w:before="20" w:after="20"/>
              <w:jc w:val="both"/>
            </w:pPr>
            <w:r>
              <w:rPr>
                <w:b/>
                <w:bCs/>
                <w:sz w:val="18"/>
                <w:szCs w:val="18"/>
              </w:rPr>
              <w:t xml:space="preserve">Producto 13: </w:t>
            </w:r>
            <w:r>
              <w:rPr>
                <w:sz w:val="18"/>
                <w:szCs w:val="18"/>
              </w:rPr>
              <w:t>Informe del análisis de variaciones de los costos estándar.</w:t>
            </w:r>
          </w:p>
        </w:tc>
      </w:tr>
      <w:tr w:rsidR="00990B14" w14:paraId="4C878190" w14:textId="77777777">
        <w:trPr>
          <w:cantSplit/>
          <w:jc w:val="center"/>
        </w:trPr>
        <w:tc>
          <w:tcPr>
            <w:tcW w:w="3133" w:type="dxa"/>
            <w:gridSpan w:val="4"/>
            <w:vMerge/>
            <w:shd w:val="clear" w:color="auto" w:fill="D9E2F3"/>
            <w:vAlign w:val="center"/>
          </w:tcPr>
          <w:p w14:paraId="2FC63D81" w14:textId="77777777" w:rsidR="00990B14" w:rsidRDefault="00990B14">
            <w:pPr>
              <w:spacing w:before="20" w:after="20"/>
            </w:pPr>
          </w:p>
        </w:tc>
        <w:tc>
          <w:tcPr>
            <w:tcW w:w="3135" w:type="dxa"/>
            <w:gridSpan w:val="5"/>
            <w:shd w:val="clear" w:color="auto" w:fill="D9E2F3"/>
            <w:vAlign w:val="center"/>
          </w:tcPr>
          <w:p w14:paraId="633258D3" w14:textId="77777777" w:rsidR="00990B14" w:rsidRDefault="00000000">
            <w:pPr>
              <w:spacing w:before="20" w:after="20"/>
              <w:jc w:val="both"/>
            </w:pPr>
            <w:r>
              <w:rPr>
                <w:sz w:val="18"/>
                <w:szCs w:val="18"/>
              </w:rPr>
              <w:t>1.2 Asigna los costos indirectos por actividades con inductores de costo validados.</w:t>
            </w:r>
          </w:p>
        </w:tc>
        <w:tc>
          <w:tcPr>
            <w:tcW w:w="3137" w:type="dxa"/>
            <w:gridSpan w:val="4"/>
            <w:shd w:val="clear" w:color="auto" w:fill="D9E2F3"/>
            <w:vAlign w:val="center"/>
          </w:tcPr>
          <w:p w14:paraId="1D868420" w14:textId="77777777" w:rsidR="00990B14" w:rsidRDefault="00000000">
            <w:pPr>
              <w:spacing w:before="20" w:after="20"/>
              <w:jc w:val="both"/>
            </w:pPr>
            <w:r>
              <w:rPr>
                <w:b/>
                <w:bCs/>
                <w:sz w:val="18"/>
                <w:szCs w:val="18"/>
              </w:rPr>
              <w:t xml:space="preserve">Producto 14: </w:t>
            </w:r>
            <w:r>
              <w:rPr>
                <w:sz w:val="18"/>
                <w:szCs w:val="18"/>
              </w:rPr>
              <w:t>Cuadro de asignación de costos por el modelo ABC.</w:t>
            </w:r>
          </w:p>
        </w:tc>
      </w:tr>
      <w:tr w:rsidR="00990B14" w14:paraId="79BB1B36" w14:textId="77777777">
        <w:trPr>
          <w:cantSplit/>
          <w:jc w:val="center"/>
        </w:trPr>
        <w:tc>
          <w:tcPr>
            <w:tcW w:w="3133" w:type="dxa"/>
            <w:gridSpan w:val="4"/>
            <w:vMerge w:val="restart"/>
            <w:shd w:val="clear" w:color="auto" w:fill="D9E2F3"/>
            <w:vAlign w:val="center"/>
          </w:tcPr>
          <w:p w14:paraId="05824529" w14:textId="77777777" w:rsidR="00990B14" w:rsidRDefault="00000000">
            <w:pPr>
              <w:spacing w:before="20" w:after="20"/>
              <w:jc w:val="both"/>
            </w:pPr>
            <w:r>
              <w:rPr>
                <w:sz w:val="18"/>
                <w:szCs w:val="18"/>
              </w:rPr>
              <w:t>2. Elabora el presupuesto maestro de una empresa aplicando el costeo variable y el modelo costo-volumen-utilidad, evaluando el punto de equilibrio, el margen de contribución y su efecto en las decisiones gerenciales.</w:t>
            </w:r>
          </w:p>
        </w:tc>
        <w:tc>
          <w:tcPr>
            <w:tcW w:w="3135" w:type="dxa"/>
            <w:gridSpan w:val="5"/>
            <w:shd w:val="clear" w:color="auto" w:fill="D9E2F3"/>
            <w:vAlign w:val="center"/>
          </w:tcPr>
          <w:p w14:paraId="71A3F32F" w14:textId="77777777" w:rsidR="00990B14" w:rsidRDefault="00000000">
            <w:pPr>
              <w:spacing w:before="20" w:after="20"/>
              <w:jc w:val="both"/>
            </w:pPr>
            <w:r>
              <w:rPr>
                <w:sz w:val="18"/>
                <w:szCs w:val="18"/>
              </w:rPr>
              <w:t>2.1 Calcula el costo variable, punto de equilibrio y el margen de contribución y evalúa su efecto en la toma de decisiones gerenciales.</w:t>
            </w:r>
          </w:p>
        </w:tc>
        <w:tc>
          <w:tcPr>
            <w:tcW w:w="3137" w:type="dxa"/>
            <w:gridSpan w:val="4"/>
            <w:shd w:val="clear" w:color="auto" w:fill="D9E2F3"/>
            <w:vAlign w:val="center"/>
          </w:tcPr>
          <w:p w14:paraId="39B5423E" w14:textId="77777777" w:rsidR="00990B14" w:rsidRDefault="00000000">
            <w:pPr>
              <w:spacing w:before="20" w:after="20"/>
              <w:jc w:val="both"/>
            </w:pPr>
            <w:r>
              <w:rPr>
                <w:b/>
                <w:bCs/>
                <w:sz w:val="18"/>
                <w:szCs w:val="18"/>
              </w:rPr>
              <w:t xml:space="preserve">Producto 15: </w:t>
            </w:r>
            <w:r>
              <w:rPr>
                <w:sz w:val="18"/>
                <w:szCs w:val="18"/>
              </w:rPr>
              <w:t>Estado de resultados bajo el enfoque de costeo variable y cuadro del punto de equilibrio con su análisis de sensibilidad.</w:t>
            </w:r>
          </w:p>
        </w:tc>
      </w:tr>
      <w:tr w:rsidR="00990B14" w14:paraId="670C2E46" w14:textId="77777777">
        <w:trPr>
          <w:cantSplit/>
          <w:jc w:val="center"/>
        </w:trPr>
        <w:tc>
          <w:tcPr>
            <w:tcW w:w="3133" w:type="dxa"/>
            <w:gridSpan w:val="4"/>
            <w:vMerge/>
            <w:shd w:val="clear" w:color="auto" w:fill="D9E2F3"/>
            <w:vAlign w:val="center"/>
          </w:tcPr>
          <w:p w14:paraId="1A0FECE4" w14:textId="77777777" w:rsidR="00990B14" w:rsidRDefault="00990B14">
            <w:pPr>
              <w:spacing w:before="20" w:after="20"/>
            </w:pPr>
          </w:p>
        </w:tc>
        <w:tc>
          <w:tcPr>
            <w:tcW w:w="3135" w:type="dxa"/>
            <w:gridSpan w:val="5"/>
            <w:shd w:val="clear" w:color="auto" w:fill="D9E2F3"/>
            <w:vAlign w:val="center"/>
          </w:tcPr>
          <w:p w14:paraId="6FFFAD7C" w14:textId="77777777" w:rsidR="00990B14" w:rsidRDefault="00000000">
            <w:pPr>
              <w:spacing w:before="20" w:after="20"/>
              <w:jc w:val="both"/>
            </w:pPr>
            <w:r>
              <w:rPr>
                <w:sz w:val="18"/>
                <w:szCs w:val="18"/>
              </w:rPr>
              <w:t>2.2 Elabora el presupuesto maestro de una empresa a partir de su presupuesto de ventas y de producción.</w:t>
            </w:r>
          </w:p>
        </w:tc>
        <w:tc>
          <w:tcPr>
            <w:tcW w:w="3137" w:type="dxa"/>
            <w:gridSpan w:val="4"/>
            <w:shd w:val="clear" w:color="auto" w:fill="D9E2F3"/>
            <w:vAlign w:val="center"/>
          </w:tcPr>
          <w:p w14:paraId="3EAF52E7" w14:textId="77777777" w:rsidR="00990B14" w:rsidRDefault="00000000">
            <w:pPr>
              <w:spacing w:before="20" w:after="20"/>
              <w:jc w:val="both"/>
            </w:pPr>
            <w:r>
              <w:rPr>
                <w:b/>
                <w:bCs/>
                <w:sz w:val="18"/>
                <w:szCs w:val="18"/>
              </w:rPr>
              <w:t xml:space="preserve">Producto 16: </w:t>
            </w:r>
            <w:r>
              <w:rPr>
                <w:sz w:val="18"/>
                <w:szCs w:val="18"/>
              </w:rPr>
              <w:t>Presupuesto maestro de una empresa con sus presupuestos operativo y financiero.</w:t>
            </w:r>
          </w:p>
        </w:tc>
      </w:tr>
      <w:tr w:rsidR="00990B14" w14:paraId="253ADCA0" w14:textId="77777777">
        <w:trPr>
          <w:cantSplit/>
          <w:jc w:val="center"/>
        </w:trPr>
        <w:tc>
          <w:tcPr>
            <w:tcW w:w="9405" w:type="dxa"/>
            <w:gridSpan w:val="13"/>
            <w:shd w:val="clear" w:color="auto" w:fill="4472C4"/>
            <w:vAlign w:val="center"/>
          </w:tcPr>
          <w:p w14:paraId="595822C6" w14:textId="77777777" w:rsidR="00990B14" w:rsidRDefault="00000000">
            <w:pPr>
              <w:keepNext/>
              <w:spacing w:before="20" w:after="20"/>
              <w:jc w:val="center"/>
            </w:pPr>
            <w:r>
              <w:rPr>
                <w:b/>
                <w:bCs/>
                <w:i/>
                <w:iCs/>
                <w:color w:val="FFFFFF"/>
                <w:sz w:val="18"/>
                <w:szCs w:val="18"/>
              </w:rPr>
              <w:t>Evidencias de conocimiento</w:t>
            </w:r>
          </w:p>
        </w:tc>
      </w:tr>
      <w:tr w:rsidR="00990B14" w14:paraId="4D50D050" w14:textId="77777777">
        <w:trPr>
          <w:cantSplit/>
          <w:jc w:val="center"/>
        </w:trPr>
        <w:tc>
          <w:tcPr>
            <w:tcW w:w="2349" w:type="dxa"/>
            <w:gridSpan w:val="2"/>
            <w:shd w:val="clear" w:color="auto" w:fill="4472C4"/>
            <w:vAlign w:val="center"/>
          </w:tcPr>
          <w:p w14:paraId="5E2E9FAB"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3DB05024" w14:textId="77777777" w:rsidR="00990B14" w:rsidRDefault="00000000">
            <w:pPr>
              <w:keepNext/>
              <w:spacing w:before="20" w:after="20"/>
              <w:jc w:val="both"/>
            </w:pPr>
            <w:r>
              <w:rPr>
                <w:b/>
                <w:bCs/>
                <w:i/>
                <w:iCs/>
                <w:color w:val="FFFFFF"/>
                <w:sz w:val="18"/>
                <w:szCs w:val="18"/>
              </w:rPr>
              <w:t>Contenidos</w:t>
            </w:r>
          </w:p>
          <w:p w14:paraId="2FFF59EF"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7229EC07" w14:textId="77777777" w:rsidR="00990B14" w:rsidRDefault="00000000">
            <w:pPr>
              <w:keepNext/>
              <w:spacing w:before="20" w:after="20"/>
              <w:jc w:val="center"/>
            </w:pPr>
            <w:r>
              <w:rPr>
                <w:b/>
                <w:bCs/>
                <w:i/>
                <w:iCs/>
                <w:color w:val="FFFFFF"/>
                <w:sz w:val="18"/>
                <w:szCs w:val="18"/>
              </w:rPr>
              <w:t>Conocimientos circunstanciales</w:t>
            </w:r>
          </w:p>
        </w:tc>
      </w:tr>
      <w:tr w:rsidR="00990B14" w14:paraId="66E7FA79" w14:textId="77777777">
        <w:trPr>
          <w:jc w:val="center"/>
        </w:trPr>
        <w:tc>
          <w:tcPr>
            <w:tcW w:w="2349" w:type="dxa"/>
            <w:gridSpan w:val="2"/>
            <w:shd w:val="clear" w:color="auto" w:fill="D9E2F3"/>
          </w:tcPr>
          <w:p w14:paraId="30546BFF" w14:textId="77777777" w:rsidR="00990B14" w:rsidRDefault="00000000">
            <w:pPr>
              <w:spacing w:before="20" w:after="40"/>
              <w:jc w:val="both"/>
            </w:pPr>
            <w:r>
              <w:rPr>
                <w:sz w:val="18"/>
                <w:szCs w:val="18"/>
              </w:rPr>
              <w:t>Tema 9: Costos Estimados</w:t>
            </w:r>
          </w:p>
          <w:p w14:paraId="31BFF4CC" w14:textId="77777777" w:rsidR="00990B14" w:rsidRDefault="00000000">
            <w:pPr>
              <w:spacing w:before="20" w:after="40"/>
              <w:jc w:val="both"/>
            </w:pPr>
            <w:r>
              <w:rPr>
                <w:sz w:val="18"/>
                <w:szCs w:val="18"/>
              </w:rPr>
              <w:t>Tema 10: Costos Estándar Tema 11: Costeo Variable o Costo Directo</w:t>
            </w:r>
          </w:p>
          <w:p w14:paraId="2C1F03D0" w14:textId="77777777" w:rsidR="00990B14" w:rsidRDefault="00000000">
            <w:pPr>
              <w:spacing w:before="20" w:after="40"/>
              <w:jc w:val="both"/>
            </w:pPr>
            <w:r>
              <w:rPr>
                <w:sz w:val="18"/>
                <w:szCs w:val="18"/>
              </w:rPr>
              <w:t>Tema 12: Modelo de Costo - Volumen - Utilidad</w:t>
            </w:r>
          </w:p>
          <w:p w14:paraId="3CE203E7" w14:textId="77777777" w:rsidR="00990B14" w:rsidRDefault="00000000">
            <w:pPr>
              <w:spacing w:before="20" w:after="40"/>
              <w:jc w:val="both"/>
            </w:pPr>
            <w:r>
              <w:rPr>
                <w:sz w:val="18"/>
                <w:szCs w:val="18"/>
              </w:rPr>
              <w:t>Tema 13: Costeo basado en actividades.</w:t>
            </w:r>
          </w:p>
          <w:p w14:paraId="45BC7761" w14:textId="77777777" w:rsidR="00990B14" w:rsidRDefault="00000000">
            <w:pPr>
              <w:spacing w:before="20" w:after="40"/>
              <w:jc w:val="both"/>
            </w:pPr>
            <w:r>
              <w:rPr>
                <w:sz w:val="18"/>
                <w:szCs w:val="18"/>
              </w:rPr>
              <w:t>Tema 14: Presupuesto Maestro</w:t>
            </w:r>
          </w:p>
        </w:tc>
        <w:tc>
          <w:tcPr>
            <w:tcW w:w="4304" w:type="dxa"/>
            <w:gridSpan w:val="8"/>
            <w:shd w:val="clear" w:color="auto" w:fill="D9E2F3"/>
          </w:tcPr>
          <w:p w14:paraId="6A3CA27F" w14:textId="77777777" w:rsidR="00990B14" w:rsidRDefault="00000000">
            <w:pPr>
              <w:spacing w:after="40"/>
              <w:jc w:val="both"/>
            </w:pPr>
            <w:r>
              <w:rPr>
                <w:sz w:val="18"/>
                <w:szCs w:val="18"/>
              </w:rPr>
              <w:t>Concepto, naturaleza, registro, objetivos y clasificación de los costos estimados; ventajas y desventajas. (C, P)</w:t>
            </w:r>
          </w:p>
          <w:p w14:paraId="3332CF4F" w14:textId="77777777" w:rsidR="00990B14" w:rsidRDefault="00000000">
            <w:pPr>
              <w:spacing w:after="40"/>
              <w:jc w:val="both"/>
            </w:pPr>
            <w:r>
              <w:rPr>
                <w:sz w:val="18"/>
                <w:szCs w:val="18"/>
              </w:rPr>
              <w:t>Estimación de los costos de materias primas, sueldos y salarios y costos indirectos de producción. (C)</w:t>
            </w:r>
          </w:p>
          <w:p w14:paraId="3F47D620" w14:textId="77777777" w:rsidR="00990B14" w:rsidRDefault="00000000">
            <w:pPr>
              <w:spacing w:after="40"/>
              <w:jc w:val="both"/>
            </w:pPr>
            <w:r>
              <w:rPr>
                <w:sz w:val="18"/>
                <w:szCs w:val="18"/>
              </w:rPr>
              <w:t>Comparación de los costos históricos con los costos estimados; determinación de las variaciones y el coeficiente rectificador. (P)</w:t>
            </w:r>
          </w:p>
          <w:p w14:paraId="41EE6DF4" w14:textId="77777777" w:rsidR="00990B14" w:rsidRDefault="00000000">
            <w:pPr>
              <w:spacing w:after="40"/>
              <w:jc w:val="both"/>
            </w:pPr>
            <w:r>
              <w:rPr>
                <w:sz w:val="18"/>
                <w:szCs w:val="18"/>
              </w:rPr>
              <w:t>Concepto, naturaleza, registro, objetivos, clasificación, ventajas y desventajas de los costos estándar. (C, P)</w:t>
            </w:r>
          </w:p>
          <w:p w14:paraId="72FD0BCB" w14:textId="77777777" w:rsidR="00990B14" w:rsidRDefault="00000000">
            <w:pPr>
              <w:spacing w:after="40"/>
              <w:jc w:val="both"/>
            </w:pPr>
            <w:r>
              <w:rPr>
                <w:sz w:val="18"/>
                <w:szCs w:val="18"/>
              </w:rPr>
              <w:t>Costo unitario estándar, los costos estándar y la inflación, y determinación del costo estándar. (P)</w:t>
            </w:r>
          </w:p>
          <w:p w14:paraId="70BA68FF" w14:textId="77777777" w:rsidR="00990B14" w:rsidRDefault="00000000">
            <w:pPr>
              <w:spacing w:after="40"/>
              <w:jc w:val="both"/>
            </w:pPr>
            <w:r>
              <w:rPr>
                <w:sz w:val="18"/>
                <w:szCs w:val="18"/>
              </w:rPr>
              <w:t>Análisis de variaciones por el método de una, dos y tres variaciones; los costos estándar en los sistemas de costos por procesos y por órdenes de producción. (P)</w:t>
            </w:r>
          </w:p>
          <w:p w14:paraId="3A5B0163" w14:textId="77777777" w:rsidR="00990B14" w:rsidRDefault="00000000">
            <w:pPr>
              <w:spacing w:after="40"/>
              <w:jc w:val="both"/>
            </w:pPr>
            <w:r>
              <w:rPr>
                <w:sz w:val="18"/>
                <w:szCs w:val="18"/>
              </w:rPr>
              <w:t>Concepto, características y supuestos del modelo costo-volumen-utilidad. (C)</w:t>
            </w:r>
          </w:p>
          <w:p w14:paraId="50510B74" w14:textId="77777777" w:rsidR="00990B14" w:rsidRDefault="00000000">
            <w:pPr>
              <w:spacing w:after="40"/>
              <w:jc w:val="both"/>
            </w:pPr>
            <w:r>
              <w:rPr>
                <w:sz w:val="18"/>
                <w:szCs w:val="18"/>
              </w:rPr>
              <w:t>Relación costo-volumen-utilidad y análisis del margen de contribución. (C)</w:t>
            </w:r>
          </w:p>
          <w:p w14:paraId="50314ED6" w14:textId="77777777" w:rsidR="00990B14" w:rsidRDefault="00000000">
            <w:pPr>
              <w:spacing w:after="40"/>
              <w:jc w:val="both"/>
            </w:pPr>
            <w:r>
              <w:rPr>
                <w:sz w:val="18"/>
                <w:szCs w:val="18"/>
              </w:rPr>
              <w:t>Cálculo del punto de equilibrio; cambios en los ingresos, en los costos variables y en los costos fijos. (P)</w:t>
            </w:r>
          </w:p>
          <w:p w14:paraId="0EAA3E96" w14:textId="77777777" w:rsidR="00990B14" w:rsidRDefault="00000000">
            <w:pPr>
              <w:spacing w:after="40"/>
              <w:jc w:val="both"/>
            </w:pPr>
            <w:r>
              <w:rPr>
                <w:sz w:val="18"/>
                <w:szCs w:val="18"/>
              </w:rPr>
              <w:t>Cálculo del punto de equilibrio y análisis de sensibilidad en hoja de cálculo ante cambios del precio, del costo variable y del volumen. (P, T)</w:t>
            </w:r>
          </w:p>
          <w:p w14:paraId="342FC7FA" w14:textId="77777777" w:rsidR="00990B14" w:rsidRDefault="00000000">
            <w:pPr>
              <w:spacing w:after="40"/>
              <w:jc w:val="both"/>
            </w:pPr>
            <w:r>
              <w:rPr>
                <w:sz w:val="18"/>
                <w:szCs w:val="18"/>
              </w:rPr>
              <w:t>Mezcla de productos y optimización de la mezcla; análisis de costo-volumen-utilidad con impuesto y sin impuesto. (C)</w:t>
            </w:r>
          </w:p>
          <w:p w14:paraId="2817803D" w14:textId="77777777" w:rsidR="00990B14" w:rsidRDefault="00000000">
            <w:pPr>
              <w:spacing w:after="40"/>
              <w:jc w:val="both"/>
            </w:pPr>
            <w:r>
              <w:rPr>
                <w:sz w:val="18"/>
                <w:szCs w:val="18"/>
              </w:rPr>
              <w:t>Concepto, definición y fundamentos del modelo de costeo basado en actividades (ABC); sus ventajas. (C)</w:t>
            </w:r>
          </w:p>
          <w:p w14:paraId="289F6367" w14:textId="77777777" w:rsidR="00990B14" w:rsidRDefault="00000000">
            <w:pPr>
              <w:spacing w:after="40"/>
              <w:jc w:val="both"/>
            </w:pPr>
            <w:r>
              <w:rPr>
                <w:sz w:val="18"/>
                <w:szCs w:val="18"/>
              </w:rPr>
              <w:t>Concepto de actividades y asignación de costos a los productos o servicios; identificación de las actividades que añaden valor. (C, P)</w:t>
            </w:r>
          </w:p>
          <w:p w14:paraId="05B52596" w14:textId="77777777" w:rsidR="00990B14" w:rsidRDefault="00000000">
            <w:pPr>
              <w:spacing w:after="40"/>
              <w:jc w:val="both"/>
            </w:pPr>
            <w:r>
              <w:rPr>
                <w:sz w:val="18"/>
                <w:szCs w:val="18"/>
              </w:rPr>
              <w:t>Etapas para implementar el modelo ABC; costeo de productos a nivel de unidad, lote, producto e infraestructura. (C)</w:t>
            </w:r>
          </w:p>
          <w:p w14:paraId="116FA3B1" w14:textId="77777777" w:rsidR="00990B14" w:rsidRDefault="00000000">
            <w:pPr>
              <w:spacing w:after="40"/>
              <w:jc w:val="both"/>
            </w:pPr>
            <w:r>
              <w:rPr>
                <w:sz w:val="18"/>
                <w:szCs w:val="18"/>
              </w:rPr>
              <w:t>Selección y validación de los inductores de costo del modelo ABC: criterios de causalidad y límites de su aplicación. (C, P)</w:t>
            </w:r>
          </w:p>
          <w:p w14:paraId="02E7799F" w14:textId="77777777" w:rsidR="00990B14" w:rsidRDefault="00000000">
            <w:pPr>
              <w:spacing w:after="40"/>
              <w:jc w:val="both"/>
            </w:pPr>
            <w:r>
              <w:rPr>
                <w:sz w:val="18"/>
                <w:szCs w:val="18"/>
              </w:rPr>
              <w:t>Asignación de costos indirectos con tasas generales y percutores; limitaciones de las tasas generales y departamentales. (P)</w:t>
            </w:r>
          </w:p>
          <w:p w14:paraId="053184B5" w14:textId="77777777" w:rsidR="00990B14" w:rsidRDefault="00000000">
            <w:pPr>
              <w:spacing w:after="40"/>
              <w:jc w:val="both"/>
            </w:pPr>
            <w:r>
              <w:rPr>
                <w:sz w:val="18"/>
                <w:szCs w:val="18"/>
              </w:rPr>
              <w:t>Introducción y concepto económico y contable de la utilidad; clasificación de las cuentas en el costeo variable o costo directo. (C)</w:t>
            </w:r>
          </w:p>
          <w:p w14:paraId="57BCD338" w14:textId="77777777" w:rsidR="00990B14" w:rsidRDefault="00000000">
            <w:pPr>
              <w:spacing w:after="40"/>
              <w:jc w:val="both"/>
            </w:pPr>
            <w:r>
              <w:rPr>
                <w:sz w:val="18"/>
                <w:szCs w:val="18"/>
              </w:rPr>
              <w:t>Método de los puntos extremos y método de estimación del costo unitario de producción; el margen de contribución. (C)</w:t>
            </w:r>
          </w:p>
          <w:p w14:paraId="01FFF669" w14:textId="77777777" w:rsidR="00990B14" w:rsidRDefault="00000000">
            <w:pPr>
              <w:spacing w:after="40"/>
              <w:jc w:val="both"/>
            </w:pPr>
            <w:r>
              <w:rPr>
                <w:sz w:val="18"/>
                <w:szCs w:val="18"/>
              </w:rPr>
              <w:t>Efecto de la aplicación de los diferentes métodos de costeo en el estado de resultados; ventajas y desventajas del costeo directo. (P)</w:t>
            </w:r>
          </w:p>
          <w:p w14:paraId="539CD3FD" w14:textId="77777777" w:rsidR="00990B14" w:rsidRDefault="00000000">
            <w:pPr>
              <w:spacing w:after="40"/>
              <w:jc w:val="both"/>
            </w:pPr>
            <w:r>
              <w:rPr>
                <w:sz w:val="18"/>
                <w:szCs w:val="18"/>
              </w:rPr>
              <w:t>Los costos directos en los estados financieros para la toma de decisiones de precios. (C)</w:t>
            </w:r>
          </w:p>
          <w:p w14:paraId="427D7372" w14:textId="77777777" w:rsidR="00990B14" w:rsidRDefault="00000000">
            <w:pPr>
              <w:spacing w:after="40"/>
              <w:jc w:val="both"/>
            </w:pPr>
            <w:r>
              <w:rPr>
                <w:sz w:val="18"/>
                <w:szCs w:val="18"/>
              </w:rPr>
              <w:t>Principios fundamentales de la planificación y el control de utilidades; planificación de la producción y su relación con las ventas y los inventarios. (C)</w:t>
            </w:r>
          </w:p>
          <w:p w14:paraId="61C2A16C" w14:textId="77777777" w:rsidR="00990B14" w:rsidRDefault="00000000">
            <w:pPr>
              <w:spacing w:after="40"/>
              <w:jc w:val="both"/>
            </w:pPr>
            <w:r>
              <w:rPr>
                <w:sz w:val="18"/>
                <w:szCs w:val="18"/>
              </w:rPr>
              <w:t>Planificación y administración de materiales, mano de obra y costos indirectos; análisis de las variaciones y toma de decisiones. (P)</w:t>
            </w:r>
          </w:p>
          <w:p w14:paraId="02B7913E" w14:textId="77777777" w:rsidR="00990B14" w:rsidRDefault="00000000">
            <w:pPr>
              <w:spacing w:after="40"/>
              <w:jc w:val="both"/>
            </w:pPr>
            <w:r>
              <w:rPr>
                <w:sz w:val="18"/>
                <w:szCs w:val="18"/>
              </w:rPr>
              <w:t>Presupuesto empresarial, presupuesto operativo y confección del presupuesto: planificación de las ventas, de la producción y de los costos de operación. (C)</w:t>
            </w:r>
          </w:p>
          <w:p w14:paraId="574BA54E" w14:textId="77777777" w:rsidR="00990B14" w:rsidRDefault="00000000">
            <w:pPr>
              <w:spacing w:after="40"/>
              <w:jc w:val="both"/>
            </w:pPr>
            <w:r>
              <w:rPr>
                <w:sz w:val="18"/>
                <w:szCs w:val="18"/>
              </w:rPr>
              <w:t>Presupuesto financiero: presupuesto de capital y presupuesto de efectivo; estados financieros proyectados por programas. (C)</w:t>
            </w:r>
          </w:p>
          <w:p w14:paraId="0C117A82" w14:textId="77777777" w:rsidR="00990B14" w:rsidRDefault="00000000">
            <w:pPr>
              <w:spacing w:after="40"/>
              <w:jc w:val="both"/>
            </w:pPr>
            <w:r>
              <w:rPr>
                <w:sz w:val="18"/>
                <w:szCs w:val="18"/>
              </w:rPr>
              <w:t>La inflación y el presupuesto; aplicación práctica. (P)</w:t>
            </w:r>
          </w:p>
          <w:p w14:paraId="15957730" w14:textId="77777777" w:rsidR="00990B14" w:rsidRDefault="00000000">
            <w:pPr>
              <w:spacing w:after="40"/>
              <w:jc w:val="both"/>
            </w:pPr>
            <w:r>
              <w:rPr>
                <w:sz w:val="18"/>
                <w:szCs w:val="18"/>
              </w:rPr>
              <w:t>Presupuesto en un escenario de inflación y de tipo de cambio variable: costo de los insumos importados y revisión periódica de los supuestos. (C)</w:t>
            </w:r>
          </w:p>
          <w:p w14:paraId="220A3B7D" w14:textId="77777777" w:rsidR="00990B14" w:rsidRDefault="00000000">
            <w:pPr>
              <w:spacing w:after="40"/>
              <w:jc w:val="both"/>
            </w:pPr>
            <w:r>
              <w:rPr>
                <w:sz w:val="18"/>
                <w:szCs w:val="18"/>
              </w:rPr>
              <w:t>Presupuesto y sostenibilidad: previsión de los costos ambientales, de eficiencia energética y de gestión de residuos. (C, A)</w:t>
            </w:r>
          </w:p>
        </w:tc>
        <w:tc>
          <w:tcPr>
            <w:tcW w:w="2752" w:type="dxa"/>
            <w:gridSpan w:val="3"/>
            <w:shd w:val="clear" w:color="auto" w:fill="D9E2F3"/>
          </w:tcPr>
          <w:p w14:paraId="7D98F616" w14:textId="77777777" w:rsidR="00990B14" w:rsidRDefault="00000000">
            <w:pPr>
              <w:numPr>
                <w:ilvl w:val="0"/>
                <w:numId w:val="139"/>
              </w:numPr>
              <w:spacing w:before="10" w:after="10"/>
              <w:jc w:val="both"/>
            </w:pPr>
            <w:r>
              <w:rPr>
                <w:sz w:val="18"/>
                <w:szCs w:val="18"/>
              </w:rPr>
              <w:t>Efecto de la inflación acumulada de 20,40 % registrada en diciembre de 2025 sobre los costos estándar y los presupuestos de las empresas bolivianas.</w:t>
            </w:r>
          </w:p>
          <w:p w14:paraId="7025955D" w14:textId="77777777" w:rsidR="00990B14" w:rsidRDefault="00000000">
            <w:pPr>
              <w:numPr>
                <w:ilvl w:val="0"/>
                <w:numId w:val="139"/>
              </w:numPr>
              <w:spacing w:before="10" w:after="10"/>
              <w:jc w:val="both"/>
            </w:pPr>
            <w:r>
              <w:rPr>
                <w:sz w:val="18"/>
                <w:szCs w:val="18"/>
              </w:rPr>
              <w:t>Régimen de tipo de cambio flexible vigente desde el 29 de junio de 2026 por la Resolución Ministerial N.º 245, y su efecto en el costo de los insumos importados y en el presupuesto de compras.</w:t>
            </w:r>
          </w:p>
          <w:p w14:paraId="6CDFF5DC" w14:textId="77777777" w:rsidR="00990B14" w:rsidRDefault="00000000">
            <w:pPr>
              <w:numPr>
                <w:ilvl w:val="0"/>
                <w:numId w:val="139"/>
              </w:numPr>
              <w:spacing w:before="10" w:after="10"/>
              <w:jc w:val="both"/>
            </w:pPr>
            <w:r>
              <w:rPr>
                <w:sz w:val="18"/>
                <w:szCs w:val="18"/>
              </w:rPr>
              <w:t>Alícuota del 25 % del Impuesto sobre las Utilidades de las Empresas establecida en la Ley N.º 843, para el análisis costo-volumen-utilidad con impuesto.</w:t>
            </w:r>
          </w:p>
        </w:tc>
      </w:tr>
    </w:tbl>
    <w:p w14:paraId="6C80D00B"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716"/>
        <w:gridCol w:w="1812"/>
        <w:gridCol w:w="1812"/>
        <w:gridCol w:w="1525"/>
        <w:gridCol w:w="2540"/>
      </w:tblGrid>
      <w:tr w:rsidR="00990B14" w14:paraId="125A26C5" w14:textId="77777777">
        <w:trPr>
          <w:cantSplit/>
          <w:jc w:val="center"/>
        </w:trPr>
        <w:tc>
          <w:tcPr>
            <w:tcW w:w="9405" w:type="dxa"/>
            <w:gridSpan w:val="5"/>
            <w:shd w:val="clear" w:color="auto" w:fill="4472C4"/>
            <w:vAlign w:val="center"/>
          </w:tcPr>
          <w:p w14:paraId="24BA18E7" w14:textId="77777777" w:rsidR="00990B14" w:rsidRDefault="00000000">
            <w:pPr>
              <w:keepNext/>
              <w:spacing w:before="20" w:after="20"/>
              <w:jc w:val="center"/>
            </w:pPr>
            <w:r>
              <w:rPr>
                <w:b/>
                <w:bCs/>
                <w:i/>
                <w:iCs/>
                <w:color w:val="FFFFFF"/>
                <w:sz w:val="18"/>
                <w:szCs w:val="18"/>
              </w:rPr>
              <w:t>Actividades</w:t>
            </w:r>
          </w:p>
        </w:tc>
      </w:tr>
      <w:tr w:rsidR="00990B14" w14:paraId="737F3FA7" w14:textId="77777777">
        <w:trPr>
          <w:cantSplit/>
          <w:jc w:val="center"/>
        </w:trPr>
        <w:tc>
          <w:tcPr>
            <w:tcW w:w="1716" w:type="dxa"/>
            <w:shd w:val="clear" w:color="auto" w:fill="4472C4"/>
            <w:vAlign w:val="center"/>
          </w:tcPr>
          <w:p w14:paraId="278E06AB" w14:textId="77777777" w:rsidR="00990B14" w:rsidRDefault="00000000">
            <w:pPr>
              <w:keepNext/>
              <w:spacing w:before="20" w:after="20"/>
              <w:jc w:val="center"/>
            </w:pPr>
            <w:r>
              <w:rPr>
                <w:b/>
                <w:bCs/>
                <w:i/>
                <w:iCs/>
                <w:color w:val="FFFFFF"/>
                <w:sz w:val="18"/>
                <w:szCs w:val="18"/>
              </w:rPr>
              <w:t>En clase</w:t>
            </w:r>
          </w:p>
        </w:tc>
        <w:tc>
          <w:tcPr>
            <w:tcW w:w="1812" w:type="dxa"/>
            <w:shd w:val="clear" w:color="auto" w:fill="4472C4"/>
            <w:vAlign w:val="center"/>
          </w:tcPr>
          <w:p w14:paraId="0EA2A351" w14:textId="77777777" w:rsidR="00990B14" w:rsidRDefault="00000000">
            <w:pPr>
              <w:keepNext/>
              <w:spacing w:before="20" w:after="20"/>
              <w:jc w:val="center"/>
            </w:pPr>
            <w:r>
              <w:rPr>
                <w:b/>
                <w:bCs/>
                <w:i/>
                <w:iCs/>
                <w:color w:val="FFFFFF"/>
                <w:sz w:val="18"/>
                <w:szCs w:val="18"/>
              </w:rPr>
              <w:t>Autónomas</w:t>
            </w:r>
          </w:p>
        </w:tc>
        <w:tc>
          <w:tcPr>
            <w:tcW w:w="1812" w:type="dxa"/>
            <w:shd w:val="clear" w:color="auto" w:fill="4472C4"/>
            <w:vAlign w:val="center"/>
          </w:tcPr>
          <w:p w14:paraId="1060220F" w14:textId="77777777" w:rsidR="00990B14" w:rsidRDefault="00000000">
            <w:pPr>
              <w:keepNext/>
              <w:spacing w:before="20" w:after="20"/>
              <w:jc w:val="center"/>
            </w:pPr>
            <w:r>
              <w:rPr>
                <w:b/>
                <w:bCs/>
                <w:i/>
                <w:iCs/>
                <w:color w:val="FFFFFF"/>
                <w:sz w:val="18"/>
                <w:szCs w:val="18"/>
              </w:rPr>
              <w:t>B-Learning</w:t>
            </w:r>
          </w:p>
        </w:tc>
        <w:tc>
          <w:tcPr>
            <w:tcW w:w="1525" w:type="dxa"/>
            <w:shd w:val="clear" w:color="auto" w:fill="4472C4"/>
            <w:vAlign w:val="center"/>
          </w:tcPr>
          <w:p w14:paraId="530765CD" w14:textId="77777777" w:rsidR="00990B14" w:rsidRDefault="00000000">
            <w:pPr>
              <w:keepNext/>
              <w:spacing w:before="20" w:after="20"/>
              <w:jc w:val="center"/>
            </w:pPr>
            <w:r>
              <w:rPr>
                <w:b/>
                <w:bCs/>
                <w:i/>
                <w:iCs/>
                <w:color w:val="FFFFFF"/>
                <w:sz w:val="18"/>
                <w:szCs w:val="18"/>
              </w:rPr>
              <w:t>Taller</w:t>
            </w:r>
          </w:p>
        </w:tc>
        <w:tc>
          <w:tcPr>
            <w:tcW w:w="2540" w:type="dxa"/>
            <w:shd w:val="clear" w:color="auto" w:fill="4472C4"/>
            <w:vAlign w:val="center"/>
          </w:tcPr>
          <w:p w14:paraId="5DD946D5" w14:textId="77777777" w:rsidR="00990B14" w:rsidRDefault="00000000">
            <w:pPr>
              <w:keepNext/>
              <w:spacing w:before="20" w:after="20"/>
              <w:jc w:val="center"/>
            </w:pPr>
            <w:r>
              <w:rPr>
                <w:b/>
                <w:bCs/>
                <w:i/>
                <w:iCs/>
                <w:color w:val="FFFFFF"/>
                <w:sz w:val="18"/>
                <w:szCs w:val="18"/>
              </w:rPr>
              <w:t>Investigación/Práctica</w:t>
            </w:r>
          </w:p>
        </w:tc>
      </w:tr>
      <w:tr w:rsidR="00990B14" w14:paraId="4FACE93A" w14:textId="77777777">
        <w:trPr>
          <w:jc w:val="center"/>
        </w:trPr>
        <w:tc>
          <w:tcPr>
            <w:tcW w:w="1716" w:type="dxa"/>
            <w:shd w:val="clear" w:color="auto" w:fill="D9E2F3"/>
          </w:tcPr>
          <w:p w14:paraId="73B9E78B" w14:textId="77777777" w:rsidR="00990B14" w:rsidRDefault="00000000">
            <w:pPr>
              <w:numPr>
                <w:ilvl w:val="0"/>
                <w:numId w:val="139"/>
              </w:numPr>
              <w:spacing w:before="10" w:after="10"/>
              <w:jc w:val="both"/>
            </w:pPr>
            <w:r>
              <w:rPr>
                <w:sz w:val="18"/>
                <w:szCs w:val="18"/>
              </w:rPr>
              <w:t>Exposición dialogada de la clasificación y el comportamiento de los elementos del costo.</w:t>
            </w:r>
          </w:p>
          <w:p w14:paraId="3DF4C5B1" w14:textId="77777777" w:rsidR="00990B14" w:rsidRDefault="00000000">
            <w:pPr>
              <w:numPr>
                <w:ilvl w:val="0"/>
                <w:numId w:val="139"/>
              </w:numPr>
              <w:spacing w:before="10" w:after="10"/>
              <w:jc w:val="both"/>
            </w:pPr>
            <w:r>
              <w:rPr>
                <w:sz w:val="18"/>
                <w:szCs w:val="18"/>
              </w:rPr>
              <w:t>Resolución guiada de hojas de costos por órdenes de trabajo y de informes de costos por procesos.</w:t>
            </w:r>
          </w:p>
          <w:p w14:paraId="7250FD6D" w14:textId="77777777" w:rsidR="00990B14" w:rsidRDefault="00000000">
            <w:pPr>
              <w:numPr>
                <w:ilvl w:val="0"/>
                <w:numId w:val="139"/>
              </w:numPr>
              <w:spacing w:before="10" w:after="10"/>
              <w:jc w:val="both"/>
            </w:pPr>
            <w:r>
              <w:rPr>
                <w:sz w:val="18"/>
                <w:szCs w:val="18"/>
              </w:rPr>
              <w:t>Demostración en hoja de cálculo del punto de equilibrio y del presupuesto maestro.</w:t>
            </w:r>
          </w:p>
          <w:p w14:paraId="28172E8B" w14:textId="77777777" w:rsidR="00990B14" w:rsidRDefault="00000000">
            <w:pPr>
              <w:numPr>
                <w:ilvl w:val="0"/>
                <w:numId w:val="139"/>
              </w:numPr>
              <w:spacing w:before="10" w:after="10"/>
              <w:jc w:val="both"/>
            </w:pPr>
            <w:r>
              <w:rPr>
                <w:sz w:val="18"/>
                <w:szCs w:val="18"/>
              </w:rPr>
              <w:t>Análisis de casos de producción defectuosa, coproductos y subproductos de empresas bolivianas.</w:t>
            </w:r>
          </w:p>
          <w:p w14:paraId="1C614C5C" w14:textId="77777777" w:rsidR="00990B14" w:rsidRDefault="00000000">
            <w:pPr>
              <w:numPr>
                <w:ilvl w:val="0"/>
                <w:numId w:val="139"/>
              </w:numPr>
              <w:spacing w:before="10" w:after="10"/>
              <w:jc w:val="both"/>
            </w:pPr>
            <w:r>
              <w:rPr>
                <w:sz w:val="18"/>
                <w:szCs w:val="18"/>
              </w:rPr>
              <w:t>Preguntas de comprensión sobre las diferencias entre el costeo absorbente y el costeo variable.</w:t>
            </w:r>
          </w:p>
        </w:tc>
        <w:tc>
          <w:tcPr>
            <w:tcW w:w="1812" w:type="dxa"/>
            <w:shd w:val="clear" w:color="auto" w:fill="D9E2F3"/>
          </w:tcPr>
          <w:p w14:paraId="5BBB324C" w14:textId="77777777" w:rsidR="00990B14" w:rsidRDefault="00000000">
            <w:pPr>
              <w:numPr>
                <w:ilvl w:val="0"/>
                <w:numId w:val="139"/>
              </w:numPr>
              <w:spacing w:before="10" w:after="10"/>
              <w:jc w:val="both"/>
            </w:pPr>
            <w:r>
              <w:rPr>
                <w:sz w:val="18"/>
                <w:szCs w:val="18"/>
              </w:rPr>
              <w:t>Resolución de ejercicios de registro y control de costos al cierre de cada tema.</w:t>
            </w:r>
          </w:p>
          <w:p w14:paraId="37857563" w14:textId="77777777" w:rsidR="00990B14" w:rsidRDefault="00000000">
            <w:pPr>
              <w:numPr>
                <w:ilvl w:val="0"/>
                <w:numId w:val="139"/>
              </w:numPr>
              <w:spacing w:before="10" w:after="10"/>
              <w:jc w:val="both"/>
            </w:pPr>
            <w:r>
              <w:rPr>
                <w:sz w:val="18"/>
                <w:szCs w:val="18"/>
              </w:rPr>
              <w:t>Lectura de las Normas Internacionales de Información Financiera relacionadas con la información de costos.</w:t>
            </w:r>
          </w:p>
          <w:p w14:paraId="15F52066" w14:textId="77777777" w:rsidR="00990B14" w:rsidRDefault="00000000">
            <w:pPr>
              <w:numPr>
                <w:ilvl w:val="0"/>
                <w:numId w:val="139"/>
              </w:numPr>
              <w:spacing w:before="10" w:after="10"/>
              <w:jc w:val="both"/>
            </w:pPr>
            <w:r>
              <w:rPr>
                <w:sz w:val="18"/>
                <w:szCs w:val="18"/>
              </w:rPr>
              <w:t>Desarrollo progresivo de un caso práctico integral de costos de una empresa de transformación.</w:t>
            </w:r>
          </w:p>
        </w:tc>
        <w:tc>
          <w:tcPr>
            <w:tcW w:w="1812" w:type="dxa"/>
            <w:shd w:val="clear" w:color="auto" w:fill="D9E2F3"/>
          </w:tcPr>
          <w:p w14:paraId="77E89CD4" w14:textId="77777777" w:rsidR="00990B14" w:rsidRDefault="00000000">
            <w:pPr>
              <w:numPr>
                <w:ilvl w:val="0"/>
                <w:numId w:val="139"/>
              </w:numPr>
              <w:spacing w:before="10" w:after="10"/>
              <w:jc w:val="both"/>
            </w:pPr>
            <w:r>
              <w:rPr>
                <w:sz w:val="18"/>
                <w:szCs w:val="18"/>
              </w:rPr>
              <w:t>Cuestionarios de comprensión de cada sistema de costos en la plataforma Moodle UMSA.</w:t>
            </w:r>
          </w:p>
          <w:p w14:paraId="31D55E90" w14:textId="77777777" w:rsidR="00990B14" w:rsidRDefault="00000000">
            <w:pPr>
              <w:numPr>
                <w:ilvl w:val="0"/>
                <w:numId w:val="139"/>
              </w:numPr>
              <w:spacing w:before="10" w:after="10"/>
              <w:jc w:val="both"/>
            </w:pPr>
            <w:r>
              <w:rPr>
                <w:sz w:val="18"/>
                <w:szCs w:val="18"/>
              </w:rPr>
              <w:t>Foros de consulta sobre el tratamiento de los costos indirectos y el modelo ABC.</w:t>
            </w:r>
          </w:p>
          <w:p w14:paraId="6199835E" w14:textId="77777777" w:rsidR="00990B14" w:rsidRDefault="00000000">
            <w:pPr>
              <w:numPr>
                <w:ilvl w:val="0"/>
                <w:numId w:val="139"/>
              </w:numPr>
              <w:spacing w:before="10" w:after="10"/>
              <w:jc w:val="both"/>
            </w:pPr>
            <w:r>
              <w:rPr>
                <w:sz w:val="18"/>
                <w:szCs w:val="18"/>
              </w:rPr>
              <w:t>Videotutoriales de elaboración de hojas de costos y del presupuesto maestro en hoja de cálculo.</w:t>
            </w:r>
          </w:p>
        </w:tc>
        <w:tc>
          <w:tcPr>
            <w:tcW w:w="1525" w:type="dxa"/>
            <w:shd w:val="clear" w:color="auto" w:fill="D9E2F3"/>
          </w:tcPr>
          <w:p w14:paraId="59518ACF" w14:textId="77777777" w:rsidR="00990B14" w:rsidRDefault="00000000">
            <w:pPr>
              <w:numPr>
                <w:ilvl w:val="0"/>
                <w:numId w:val="139"/>
              </w:numPr>
              <w:spacing w:before="10" w:after="10"/>
              <w:jc w:val="both"/>
            </w:pPr>
            <w:r>
              <w:rPr>
                <w:sz w:val="18"/>
                <w:szCs w:val="18"/>
              </w:rPr>
              <w:t>Resolución colaborativa de casos de costos por órdenes de trabajo y por procesos.</w:t>
            </w:r>
          </w:p>
          <w:p w14:paraId="284702FD" w14:textId="77777777" w:rsidR="00990B14" w:rsidRDefault="00000000">
            <w:pPr>
              <w:numPr>
                <w:ilvl w:val="0"/>
                <w:numId w:val="139"/>
              </w:numPr>
              <w:spacing w:before="10" w:after="10"/>
              <w:jc w:val="both"/>
            </w:pPr>
            <w:r>
              <w:rPr>
                <w:sz w:val="18"/>
                <w:szCs w:val="18"/>
              </w:rPr>
              <w:t>Elaboración guiada del punto de equilibrio y del presupuesto maestro.</w:t>
            </w:r>
          </w:p>
          <w:p w14:paraId="474A6AF1" w14:textId="77777777" w:rsidR="00990B14" w:rsidRDefault="00000000">
            <w:pPr>
              <w:numPr>
                <w:ilvl w:val="0"/>
                <w:numId w:val="139"/>
              </w:numPr>
              <w:spacing w:before="10" w:after="10"/>
              <w:jc w:val="both"/>
            </w:pPr>
            <w:r>
              <w:rPr>
                <w:sz w:val="18"/>
                <w:szCs w:val="18"/>
              </w:rPr>
              <w:t>Revisión cruzada de la asignación de costos por el modelo ABC entre equipos.</w:t>
            </w:r>
          </w:p>
          <w:p w14:paraId="0CF580E3" w14:textId="77777777" w:rsidR="00990B14" w:rsidRDefault="00000000">
            <w:pPr>
              <w:numPr>
                <w:ilvl w:val="0"/>
                <w:numId w:val="139"/>
              </w:numPr>
              <w:spacing w:before="10" w:after="10"/>
              <w:jc w:val="both"/>
            </w:pPr>
            <w:r>
              <w:rPr>
                <w:sz w:val="18"/>
                <w:szCs w:val="18"/>
              </w:rPr>
              <w:t>Revisión del control interno de almacenes y de planillas en un caso práctico.</w:t>
            </w:r>
          </w:p>
        </w:tc>
        <w:tc>
          <w:tcPr>
            <w:tcW w:w="2540" w:type="dxa"/>
            <w:shd w:val="clear" w:color="auto" w:fill="D9E2F3"/>
          </w:tcPr>
          <w:p w14:paraId="415E3611" w14:textId="77777777" w:rsidR="00990B14" w:rsidRDefault="00000000">
            <w:pPr>
              <w:numPr>
                <w:ilvl w:val="0"/>
                <w:numId w:val="139"/>
              </w:numPr>
              <w:spacing w:before="10" w:after="10"/>
              <w:jc w:val="both"/>
            </w:pPr>
            <w:r>
              <w:rPr>
                <w:sz w:val="18"/>
                <w:szCs w:val="18"/>
              </w:rPr>
              <w:t>Análisis de los sistemas de costos aplicados por empresas manufactureras bolivianas.</w:t>
            </w:r>
          </w:p>
          <w:p w14:paraId="564D0D74" w14:textId="77777777" w:rsidR="00990B14" w:rsidRDefault="00000000">
            <w:pPr>
              <w:numPr>
                <w:ilvl w:val="0"/>
                <w:numId w:val="139"/>
              </w:numPr>
              <w:spacing w:before="10" w:after="10"/>
              <w:jc w:val="both"/>
            </w:pPr>
            <w:r>
              <w:rPr>
                <w:sz w:val="18"/>
                <w:szCs w:val="18"/>
              </w:rPr>
              <w:t>Comparación de los métodos de costeo absorbente y costeo directo en un sector productivo boliviano.</w:t>
            </w:r>
          </w:p>
          <w:p w14:paraId="650A0ED4" w14:textId="77777777" w:rsidR="00990B14" w:rsidRDefault="00000000">
            <w:pPr>
              <w:numPr>
                <w:ilvl w:val="0"/>
                <w:numId w:val="139"/>
              </w:numPr>
              <w:spacing w:before="10" w:after="10"/>
              <w:jc w:val="both"/>
            </w:pPr>
            <w:r>
              <w:rPr>
                <w:sz w:val="18"/>
                <w:szCs w:val="18"/>
              </w:rPr>
              <w:t>Revisión de presupuestos maestros de empresas del medio y de sus supuestos de inflación y tipo de cambio.</w:t>
            </w:r>
          </w:p>
          <w:p w14:paraId="4DE7C63D" w14:textId="77777777" w:rsidR="00990B14" w:rsidRDefault="00000000">
            <w:pPr>
              <w:numPr>
                <w:ilvl w:val="0"/>
                <w:numId w:val="139"/>
              </w:numPr>
              <w:spacing w:before="10" w:after="10"/>
              <w:jc w:val="both"/>
            </w:pPr>
            <w:r>
              <w:rPr>
                <w:sz w:val="18"/>
                <w:szCs w:val="18"/>
              </w:rPr>
              <w:t>Identificación de los costos ambientales y de los costos de la calidad de una empresa boliviana.</w:t>
            </w:r>
          </w:p>
        </w:tc>
      </w:tr>
    </w:tbl>
    <w:p w14:paraId="377C3275"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900"/>
        <w:gridCol w:w="1876"/>
        <w:gridCol w:w="1876"/>
        <w:gridCol w:w="1876"/>
        <w:gridCol w:w="1877"/>
      </w:tblGrid>
      <w:tr w:rsidR="00990B14" w14:paraId="242839B0" w14:textId="77777777">
        <w:trPr>
          <w:jc w:val="center"/>
        </w:trPr>
        <w:tc>
          <w:tcPr>
            <w:tcW w:w="1900" w:type="dxa"/>
            <w:shd w:val="clear" w:color="auto" w:fill="4472C4"/>
            <w:vAlign w:val="center"/>
          </w:tcPr>
          <w:p w14:paraId="32A88AEC" w14:textId="77777777" w:rsidR="00990B14" w:rsidRDefault="00000000">
            <w:pPr>
              <w:spacing w:before="20" w:after="20"/>
              <w:jc w:val="center"/>
            </w:pPr>
            <w:r>
              <w:rPr>
                <w:b/>
                <w:bCs/>
                <w:i/>
                <w:iCs/>
                <w:color w:val="FFFFFF"/>
                <w:sz w:val="18"/>
                <w:szCs w:val="18"/>
              </w:rPr>
              <w:t>Estrategias de aprendizaje y enseñanza</w:t>
            </w:r>
          </w:p>
        </w:tc>
        <w:tc>
          <w:tcPr>
            <w:tcW w:w="7505" w:type="dxa"/>
            <w:gridSpan w:val="4"/>
            <w:shd w:val="clear" w:color="auto" w:fill="D9E2F3"/>
            <w:vAlign w:val="center"/>
          </w:tcPr>
          <w:p w14:paraId="06E6401A" w14:textId="77777777" w:rsidR="00990B14" w:rsidRDefault="00000000">
            <w:pPr>
              <w:numPr>
                <w:ilvl w:val="0"/>
                <w:numId w:val="140"/>
              </w:numPr>
              <w:spacing w:before="10" w:after="10"/>
              <w:jc w:val="both"/>
            </w:pPr>
            <w:r>
              <w:rPr>
                <w:sz w:val="18"/>
                <w:szCs w:val="18"/>
              </w:rPr>
              <w:t>Aprendizaje basado en problemas con casos de costos de empresas bolivianas de transformación, comercio y servicios.</w:t>
            </w:r>
          </w:p>
          <w:p w14:paraId="4A35DA0B" w14:textId="77777777" w:rsidR="00990B14" w:rsidRDefault="00000000">
            <w:pPr>
              <w:numPr>
                <w:ilvl w:val="0"/>
                <w:numId w:val="140"/>
              </w:numPr>
              <w:spacing w:before="10" w:after="10"/>
              <w:jc w:val="both"/>
            </w:pPr>
            <w:r>
              <w:rPr>
                <w:sz w:val="18"/>
                <w:szCs w:val="18"/>
              </w:rPr>
              <w:t>Resolución guiada de ejercicios en orden de dificultad creciente por sistema de costos.</w:t>
            </w:r>
          </w:p>
          <w:p w14:paraId="0EFAC578" w14:textId="77777777" w:rsidR="00990B14" w:rsidRDefault="00000000">
            <w:pPr>
              <w:numPr>
                <w:ilvl w:val="0"/>
                <w:numId w:val="140"/>
              </w:numPr>
              <w:spacing w:before="10" w:after="10"/>
              <w:jc w:val="both"/>
            </w:pPr>
            <w:r>
              <w:rPr>
                <w:sz w:val="18"/>
                <w:szCs w:val="18"/>
              </w:rPr>
              <w:t>Caso práctico integral que recorre el registro de costos hasta la elaboración del presupuesto maestro.</w:t>
            </w:r>
          </w:p>
          <w:p w14:paraId="45764E88" w14:textId="77777777" w:rsidR="00990B14" w:rsidRDefault="00000000">
            <w:pPr>
              <w:numPr>
                <w:ilvl w:val="0"/>
                <w:numId w:val="140"/>
              </w:numPr>
              <w:spacing w:before="10" w:after="10"/>
              <w:jc w:val="both"/>
            </w:pPr>
            <w:r>
              <w:rPr>
                <w:sz w:val="18"/>
                <w:szCs w:val="18"/>
              </w:rPr>
              <w:t>Estudio de casos de gestión de costos de empresas reales.</w:t>
            </w:r>
          </w:p>
          <w:p w14:paraId="66AF8B40" w14:textId="77777777" w:rsidR="00990B14" w:rsidRDefault="00000000">
            <w:pPr>
              <w:numPr>
                <w:ilvl w:val="0"/>
                <w:numId w:val="140"/>
              </w:numPr>
              <w:spacing w:before="10" w:after="10"/>
              <w:jc w:val="both"/>
            </w:pPr>
            <w:r>
              <w:rPr>
                <w:sz w:val="18"/>
                <w:szCs w:val="18"/>
              </w:rPr>
              <w:t>Trabajo colaborativo en equipos de análisis y resolución de casos de costos.</w:t>
            </w:r>
          </w:p>
          <w:p w14:paraId="777DF9E7" w14:textId="77777777" w:rsidR="00990B14" w:rsidRDefault="00000000">
            <w:pPr>
              <w:numPr>
                <w:ilvl w:val="0"/>
                <w:numId w:val="140"/>
              </w:numPr>
              <w:spacing w:before="10" w:after="10"/>
              <w:jc w:val="both"/>
            </w:pPr>
            <w:r>
              <w:rPr>
                <w:sz w:val="18"/>
                <w:szCs w:val="18"/>
              </w:rPr>
              <w:t>Clase invertida para los contenidos introductorios y conceptuales de cada sistema de costos.</w:t>
            </w:r>
          </w:p>
          <w:p w14:paraId="36E90316" w14:textId="77777777" w:rsidR="00990B14" w:rsidRDefault="00000000">
            <w:pPr>
              <w:numPr>
                <w:ilvl w:val="0"/>
                <w:numId w:val="140"/>
              </w:numPr>
              <w:spacing w:before="10" w:after="10"/>
              <w:jc w:val="both"/>
            </w:pPr>
            <w:r>
              <w:rPr>
                <w:sz w:val="18"/>
                <w:szCs w:val="18"/>
              </w:rPr>
              <w:t>Análisis crítico de los supuestos de un modelo de costos antes de su uso en una decisión gerencial.</w:t>
            </w:r>
          </w:p>
        </w:tc>
      </w:tr>
      <w:tr w:rsidR="00990B14" w14:paraId="70005EC0" w14:textId="77777777">
        <w:trPr>
          <w:jc w:val="center"/>
        </w:trPr>
        <w:tc>
          <w:tcPr>
            <w:tcW w:w="1900" w:type="dxa"/>
            <w:shd w:val="clear" w:color="auto" w:fill="4472C4"/>
            <w:vAlign w:val="center"/>
          </w:tcPr>
          <w:p w14:paraId="3639CE7C" w14:textId="77777777" w:rsidR="00990B14" w:rsidRDefault="00000000">
            <w:pPr>
              <w:spacing w:before="20" w:after="20"/>
              <w:jc w:val="center"/>
            </w:pPr>
            <w:r>
              <w:rPr>
                <w:b/>
                <w:bCs/>
                <w:i/>
                <w:iCs/>
                <w:color w:val="FFFFFF"/>
                <w:sz w:val="18"/>
                <w:szCs w:val="18"/>
              </w:rPr>
              <w:t>Recursos para el aprendizaje</w:t>
            </w:r>
          </w:p>
        </w:tc>
        <w:tc>
          <w:tcPr>
            <w:tcW w:w="7505" w:type="dxa"/>
            <w:gridSpan w:val="4"/>
            <w:shd w:val="clear" w:color="auto" w:fill="D9E2F3"/>
            <w:vAlign w:val="center"/>
          </w:tcPr>
          <w:p w14:paraId="62B331B4" w14:textId="77777777" w:rsidR="00990B14" w:rsidRDefault="00000000">
            <w:pPr>
              <w:numPr>
                <w:ilvl w:val="0"/>
                <w:numId w:val="140"/>
              </w:numPr>
              <w:spacing w:before="10" w:after="10"/>
              <w:jc w:val="both"/>
            </w:pPr>
            <w:r>
              <w:rPr>
                <w:sz w:val="18"/>
                <w:szCs w:val="18"/>
              </w:rPr>
              <w:t>Plataforma Moodle UMSA.</w:t>
            </w:r>
          </w:p>
          <w:p w14:paraId="0F86AB3F" w14:textId="77777777" w:rsidR="00990B14" w:rsidRDefault="00000000">
            <w:pPr>
              <w:numPr>
                <w:ilvl w:val="0"/>
                <w:numId w:val="140"/>
              </w:numPr>
              <w:spacing w:before="10" w:after="10"/>
              <w:jc w:val="both"/>
            </w:pPr>
            <w:r>
              <w:rPr>
                <w:sz w:val="18"/>
                <w:szCs w:val="18"/>
              </w:rPr>
              <w:t>Compendio de Normas de Contabilidad y Auditoría del CAUB y Normas Internacionales de Información Financiera vigentes.</w:t>
            </w:r>
          </w:p>
          <w:p w14:paraId="3C645618" w14:textId="77777777" w:rsidR="00990B14" w:rsidRDefault="00000000">
            <w:pPr>
              <w:numPr>
                <w:ilvl w:val="0"/>
                <w:numId w:val="140"/>
              </w:numPr>
              <w:spacing w:before="10" w:after="10"/>
              <w:jc w:val="both"/>
            </w:pPr>
            <w:r>
              <w:rPr>
                <w:sz w:val="18"/>
                <w:szCs w:val="18"/>
              </w:rPr>
              <w:t>Hoja de cálculo para la resolución de casos prácticos de costos y presupuestos.</w:t>
            </w:r>
          </w:p>
          <w:p w14:paraId="7047B81F" w14:textId="77777777" w:rsidR="00990B14" w:rsidRDefault="00000000">
            <w:pPr>
              <w:numPr>
                <w:ilvl w:val="0"/>
                <w:numId w:val="140"/>
              </w:numPr>
              <w:spacing w:before="10" w:after="10"/>
              <w:jc w:val="both"/>
            </w:pPr>
            <w:r>
              <w:rPr>
                <w:sz w:val="18"/>
                <w:szCs w:val="18"/>
              </w:rPr>
              <w:t>Formularios de hojas de costos, planillas y presupuestos.</w:t>
            </w:r>
          </w:p>
          <w:p w14:paraId="0A6F8290" w14:textId="77777777" w:rsidR="00990B14" w:rsidRDefault="00000000">
            <w:pPr>
              <w:numPr>
                <w:ilvl w:val="0"/>
                <w:numId w:val="140"/>
              </w:numPr>
              <w:spacing w:before="10" w:after="10"/>
              <w:jc w:val="both"/>
            </w:pPr>
            <w:r>
              <w:rPr>
                <w:sz w:val="18"/>
                <w:szCs w:val="18"/>
              </w:rPr>
              <w:t>Guías de ejercicios y casos elaborados por la cátedra.</w:t>
            </w:r>
          </w:p>
          <w:p w14:paraId="72F0872E" w14:textId="77777777" w:rsidR="00990B14" w:rsidRDefault="00000000">
            <w:pPr>
              <w:numPr>
                <w:ilvl w:val="0"/>
                <w:numId w:val="140"/>
              </w:numPr>
              <w:spacing w:before="10" w:after="10"/>
              <w:jc w:val="both"/>
            </w:pPr>
            <w:r>
              <w:rPr>
                <w:sz w:val="18"/>
                <w:szCs w:val="18"/>
              </w:rPr>
              <w:t>Funciones y tablas dinámicas de la hoja de cálculo para la acumulación y distribución de costos.</w:t>
            </w:r>
          </w:p>
          <w:p w14:paraId="107EEABF" w14:textId="77777777" w:rsidR="00990B14" w:rsidRDefault="00000000">
            <w:pPr>
              <w:numPr>
                <w:ilvl w:val="0"/>
                <w:numId w:val="140"/>
              </w:numPr>
              <w:spacing w:before="10" w:after="10"/>
              <w:jc w:val="both"/>
            </w:pPr>
            <w:r>
              <w:rPr>
                <w:sz w:val="18"/>
                <w:szCs w:val="18"/>
              </w:rPr>
              <w:t>Glosario de terminología de costos en inglés.</w:t>
            </w:r>
          </w:p>
        </w:tc>
      </w:tr>
      <w:tr w:rsidR="00990B14" w14:paraId="728608A9" w14:textId="77777777">
        <w:trPr>
          <w:jc w:val="center"/>
        </w:trPr>
        <w:tc>
          <w:tcPr>
            <w:tcW w:w="1900" w:type="dxa"/>
            <w:shd w:val="clear" w:color="auto" w:fill="4472C4"/>
            <w:vAlign w:val="center"/>
          </w:tcPr>
          <w:p w14:paraId="593FE2E3" w14:textId="77777777" w:rsidR="00990B14" w:rsidRDefault="00000000">
            <w:pPr>
              <w:spacing w:before="20" w:after="20"/>
              <w:jc w:val="center"/>
            </w:pPr>
            <w:r>
              <w:rPr>
                <w:b/>
                <w:bCs/>
                <w:i/>
                <w:iCs/>
                <w:color w:val="FFFFFF"/>
                <w:sz w:val="18"/>
                <w:szCs w:val="18"/>
              </w:rPr>
              <w:t>Estrategias de evaluación</w:t>
            </w:r>
          </w:p>
        </w:tc>
        <w:tc>
          <w:tcPr>
            <w:tcW w:w="7505" w:type="dxa"/>
            <w:gridSpan w:val="4"/>
            <w:shd w:val="clear" w:color="auto" w:fill="D9E2F3"/>
            <w:vAlign w:val="center"/>
          </w:tcPr>
          <w:p w14:paraId="02EFF11D" w14:textId="77777777" w:rsidR="00990B14" w:rsidRDefault="00000000">
            <w:pPr>
              <w:numPr>
                <w:ilvl w:val="0"/>
                <w:numId w:val="140"/>
              </w:numPr>
              <w:spacing w:before="10" w:after="10"/>
              <w:jc w:val="both"/>
            </w:pPr>
            <w:r>
              <w:rPr>
                <w:sz w:val="18"/>
                <w:szCs w:val="18"/>
              </w:rPr>
              <w:t>Evaluación diagnóstica: prueba inicial sobre los conocimientos previos de contabilidad intermedia, contabilidad de sociedades y contabilidad de tributos.</w:t>
            </w:r>
          </w:p>
          <w:p w14:paraId="4A01A66C" w14:textId="77777777" w:rsidR="00990B14" w:rsidRDefault="00000000">
            <w:pPr>
              <w:numPr>
                <w:ilvl w:val="0"/>
                <w:numId w:val="140"/>
              </w:numPr>
              <w:spacing w:before="10" w:after="10"/>
              <w:jc w:val="both"/>
            </w:pPr>
            <w:r>
              <w:rPr>
                <w:sz w:val="18"/>
                <w:szCs w:val="18"/>
              </w:rPr>
              <w:t>Evaluación formativa: preguntas de comprensión y desarrollo de ejercicios prácticos en el aula, con retroalimentación continua, autoevaluación y coevaluación.</w:t>
            </w:r>
          </w:p>
          <w:p w14:paraId="3C5A629E" w14:textId="77777777" w:rsidR="00990B14" w:rsidRDefault="00000000">
            <w:pPr>
              <w:numPr>
                <w:ilvl w:val="0"/>
                <w:numId w:val="140"/>
              </w:numPr>
              <w:spacing w:before="10" w:after="10"/>
              <w:jc w:val="both"/>
            </w:pPr>
            <w:r>
              <w:rPr>
                <w:sz w:val="18"/>
                <w:szCs w:val="18"/>
              </w:rPr>
              <w:t>Evaluación sumativa: controles de lectura y asistencia, evaluación de casos prácticos, trabajos de investigación y desarrollo, exámenes parciales y examen final.</w:t>
            </w:r>
          </w:p>
        </w:tc>
      </w:tr>
      <w:tr w:rsidR="00990B14" w14:paraId="6DD72735" w14:textId="77777777">
        <w:trPr>
          <w:jc w:val="center"/>
        </w:trPr>
        <w:tc>
          <w:tcPr>
            <w:tcW w:w="1900" w:type="dxa"/>
            <w:shd w:val="clear" w:color="auto" w:fill="4472C4"/>
            <w:vAlign w:val="center"/>
          </w:tcPr>
          <w:p w14:paraId="1B071D41" w14:textId="77777777" w:rsidR="00990B14" w:rsidRDefault="00000000">
            <w:pPr>
              <w:spacing w:before="20" w:after="20"/>
              <w:jc w:val="center"/>
            </w:pPr>
            <w:r>
              <w:rPr>
                <w:b/>
                <w:bCs/>
                <w:i/>
                <w:iCs/>
                <w:color w:val="FFFFFF"/>
                <w:sz w:val="18"/>
                <w:szCs w:val="18"/>
              </w:rPr>
              <w:t>Criterios de calificación</w:t>
            </w:r>
          </w:p>
        </w:tc>
        <w:tc>
          <w:tcPr>
            <w:tcW w:w="7505" w:type="dxa"/>
            <w:gridSpan w:val="4"/>
            <w:shd w:val="clear" w:color="auto" w:fill="D9E2F3"/>
            <w:vAlign w:val="center"/>
          </w:tcPr>
          <w:p w14:paraId="7AFA02C7" w14:textId="77777777" w:rsidR="00990B14" w:rsidRDefault="00000000">
            <w:pPr>
              <w:numPr>
                <w:ilvl w:val="0"/>
                <w:numId w:val="140"/>
              </w:numPr>
              <w:spacing w:before="10" w:after="10"/>
              <w:jc w:val="both"/>
            </w:pPr>
            <w:r>
              <w:rPr>
                <w:sz w:val="18"/>
                <w:szCs w:val="18"/>
              </w:rPr>
              <w:t>Nota mínima de aprobación: 51/100.</w:t>
            </w:r>
          </w:p>
          <w:p w14:paraId="64498706" w14:textId="77777777" w:rsidR="00990B14" w:rsidRDefault="00000000">
            <w:pPr>
              <w:numPr>
                <w:ilvl w:val="0"/>
                <w:numId w:val="140"/>
              </w:numPr>
              <w:spacing w:before="10" w:after="10"/>
              <w:jc w:val="both"/>
            </w:pPr>
            <w:r>
              <w:rPr>
                <w:sz w:val="18"/>
                <w:szCs w:val="18"/>
              </w:rPr>
              <w:t>Evaluación periódica al finalizar cada tema, basada en evidencias de conocimiento, desempeño y producto.</w:t>
            </w:r>
          </w:p>
          <w:p w14:paraId="73CDDF65" w14:textId="77777777" w:rsidR="00990B14" w:rsidRDefault="00000000">
            <w:pPr>
              <w:numPr>
                <w:ilvl w:val="0"/>
                <w:numId w:val="140"/>
              </w:numPr>
              <w:spacing w:before="10" w:after="10"/>
              <w:jc w:val="both"/>
            </w:pPr>
            <w:r>
              <w:rPr>
                <w:sz w:val="18"/>
                <w:szCs w:val="18"/>
              </w:rPr>
              <w:t>Cada evidencia de producto se evalúa con su propia rúbrica de tres niveles: Insuficiente, Suficiente y Destacado.</w:t>
            </w:r>
          </w:p>
          <w:p w14:paraId="3C002D50" w14:textId="77777777" w:rsidR="00990B14" w:rsidRDefault="00000000">
            <w:pPr>
              <w:numPr>
                <w:ilvl w:val="0"/>
                <w:numId w:val="140"/>
              </w:numPr>
              <w:spacing w:before="10" w:after="10"/>
              <w:jc w:val="both"/>
            </w:pPr>
            <w:r>
              <w:rPr>
                <w:sz w:val="18"/>
                <w:szCs w:val="18"/>
              </w:rPr>
              <w:t>La calificación de cada elemento de competencia suma las calificaciones de sus evidencias de producto.</w:t>
            </w:r>
          </w:p>
        </w:tc>
      </w:tr>
      <w:tr w:rsidR="00990B14" w14:paraId="55567823" w14:textId="77777777">
        <w:trPr>
          <w:cantSplit/>
          <w:jc w:val="center"/>
        </w:trPr>
        <w:tc>
          <w:tcPr>
            <w:tcW w:w="1900" w:type="dxa"/>
            <w:vMerge w:val="restart"/>
            <w:shd w:val="clear" w:color="auto" w:fill="4472C4"/>
            <w:vAlign w:val="center"/>
          </w:tcPr>
          <w:p w14:paraId="72081197" w14:textId="77777777" w:rsidR="00990B14" w:rsidRDefault="00000000">
            <w:pPr>
              <w:spacing w:before="20" w:after="20"/>
              <w:jc w:val="center"/>
            </w:pPr>
            <w:r>
              <w:rPr>
                <w:b/>
                <w:bCs/>
                <w:i/>
                <w:iCs/>
                <w:color w:val="FFFFFF"/>
                <w:sz w:val="18"/>
                <w:szCs w:val="18"/>
              </w:rPr>
              <w:t>Niveles de logro y distribución de la calificación</w:t>
            </w:r>
          </w:p>
        </w:tc>
        <w:tc>
          <w:tcPr>
            <w:tcW w:w="5628" w:type="dxa"/>
            <w:gridSpan w:val="3"/>
            <w:shd w:val="clear" w:color="auto" w:fill="D9E2F3"/>
            <w:vAlign w:val="center"/>
          </w:tcPr>
          <w:p w14:paraId="3A97B914" w14:textId="77777777" w:rsidR="00990B14" w:rsidRDefault="00000000">
            <w:pPr>
              <w:keepNext/>
              <w:spacing w:before="20" w:after="20"/>
              <w:jc w:val="both"/>
            </w:pPr>
            <w:r>
              <w:rPr>
                <w:b/>
                <w:bCs/>
                <w:i/>
                <w:iCs/>
                <w:sz w:val="18"/>
                <w:szCs w:val="18"/>
              </w:rPr>
              <w:t xml:space="preserve">Producto 1: </w:t>
            </w:r>
            <w:r>
              <w:rPr>
                <w:sz w:val="18"/>
                <w:szCs w:val="18"/>
              </w:rPr>
              <w:t>Cuadro de clasificación de los elementos del costo</w:t>
            </w:r>
          </w:p>
        </w:tc>
        <w:tc>
          <w:tcPr>
            <w:tcW w:w="1877" w:type="dxa"/>
            <w:shd w:val="clear" w:color="auto" w:fill="D9E2F3"/>
            <w:vAlign w:val="center"/>
          </w:tcPr>
          <w:p w14:paraId="69A40B68" w14:textId="77777777" w:rsidR="00990B14" w:rsidRDefault="00000000">
            <w:pPr>
              <w:spacing w:before="20" w:after="20"/>
              <w:jc w:val="center"/>
            </w:pPr>
            <w:r>
              <w:rPr>
                <w:b/>
                <w:bCs/>
                <w:sz w:val="18"/>
                <w:szCs w:val="18"/>
              </w:rPr>
              <w:t>7%</w:t>
            </w:r>
          </w:p>
        </w:tc>
      </w:tr>
      <w:tr w:rsidR="00990B14" w14:paraId="6551C347" w14:textId="77777777">
        <w:trPr>
          <w:cantSplit/>
          <w:jc w:val="center"/>
        </w:trPr>
        <w:tc>
          <w:tcPr>
            <w:tcW w:w="1900" w:type="dxa"/>
            <w:vMerge/>
            <w:shd w:val="clear" w:color="auto" w:fill="4472C4"/>
            <w:vAlign w:val="center"/>
          </w:tcPr>
          <w:p w14:paraId="714BAB02" w14:textId="77777777" w:rsidR="00990B14" w:rsidRDefault="00990B14">
            <w:pPr>
              <w:spacing w:before="20" w:after="20"/>
            </w:pPr>
          </w:p>
        </w:tc>
        <w:tc>
          <w:tcPr>
            <w:tcW w:w="1876" w:type="dxa"/>
            <w:shd w:val="clear" w:color="auto" w:fill="4472C4"/>
            <w:vAlign w:val="center"/>
          </w:tcPr>
          <w:p w14:paraId="7EEC52D3"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4B326675"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67916F71"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516D3331" w14:textId="77777777" w:rsidR="00990B14" w:rsidRDefault="00000000">
            <w:pPr>
              <w:keepNext/>
              <w:spacing w:before="20" w:after="20"/>
              <w:jc w:val="center"/>
            </w:pPr>
            <w:r>
              <w:rPr>
                <w:b/>
                <w:bCs/>
                <w:i/>
                <w:iCs/>
                <w:color w:val="FFFFFF"/>
                <w:sz w:val="18"/>
                <w:szCs w:val="18"/>
              </w:rPr>
              <w:t>Destacado (81–100)</w:t>
            </w:r>
          </w:p>
        </w:tc>
      </w:tr>
      <w:tr w:rsidR="00990B14" w14:paraId="5989E631" w14:textId="77777777">
        <w:trPr>
          <w:cantSplit/>
          <w:jc w:val="center"/>
        </w:trPr>
        <w:tc>
          <w:tcPr>
            <w:tcW w:w="1900" w:type="dxa"/>
            <w:vMerge/>
            <w:shd w:val="clear" w:color="auto" w:fill="4472C4"/>
            <w:vAlign w:val="center"/>
          </w:tcPr>
          <w:p w14:paraId="0CBD6AE4" w14:textId="77777777" w:rsidR="00990B14" w:rsidRDefault="00990B14">
            <w:pPr>
              <w:spacing w:before="20" w:after="20"/>
            </w:pPr>
          </w:p>
        </w:tc>
        <w:tc>
          <w:tcPr>
            <w:tcW w:w="1876" w:type="dxa"/>
            <w:shd w:val="clear" w:color="auto" w:fill="D9E2F3"/>
            <w:vAlign w:val="center"/>
          </w:tcPr>
          <w:p w14:paraId="59BA561D" w14:textId="77777777" w:rsidR="00990B14" w:rsidRDefault="00000000">
            <w:pPr>
              <w:spacing w:before="20" w:after="20"/>
              <w:jc w:val="both"/>
            </w:pPr>
            <w:r>
              <w:rPr>
                <w:sz w:val="18"/>
                <w:szCs w:val="18"/>
              </w:rPr>
              <w:t>Clasificación por comportamiento</w:t>
            </w:r>
          </w:p>
        </w:tc>
        <w:tc>
          <w:tcPr>
            <w:tcW w:w="1876" w:type="dxa"/>
            <w:shd w:val="clear" w:color="auto" w:fill="D9E2F3"/>
            <w:vAlign w:val="center"/>
          </w:tcPr>
          <w:p w14:paraId="5C867398" w14:textId="77777777" w:rsidR="00990B14" w:rsidRDefault="00000000">
            <w:pPr>
              <w:spacing w:before="20" w:after="20"/>
              <w:jc w:val="both"/>
            </w:pPr>
            <w:r>
              <w:rPr>
                <w:sz w:val="18"/>
                <w:szCs w:val="18"/>
              </w:rPr>
              <w:t>Confunde los costos fijos, variables y semivariables.</w:t>
            </w:r>
          </w:p>
        </w:tc>
        <w:tc>
          <w:tcPr>
            <w:tcW w:w="1876" w:type="dxa"/>
            <w:shd w:val="clear" w:color="auto" w:fill="D9E2F3"/>
            <w:vAlign w:val="center"/>
          </w:tcPr>
          <w:p w14:paraId="2D0D7EFD" w14:textId="77777777" w:rsidR="00990B14" w:rsidRDefault="00000000">
            <w:pPr>
              <w:spacing w:before="20" w:after="20"/>
              <w:jc w:val="both"/>
            </w:pPr>
            <w:r>
              <w:rPr>
                <w:sz w:val="18"/>
                <w:szCs w:val="18"/>
              </w:rPr>
              <w:t>Clasifica correctamente los costos según su comportamiento.</w:t>
            </w:r>
          </w:p>
        </w:tc>
        <w:tc>
          <w:tcPr>
            <w:tcW w:w="1877" w:type="dxa"/>
            <w:shd w:val="clear" w:color="auto" w:fill="D9E2F3"/>
            <w:vAlign w:val="center"/>
          </w:tcPr>
          <w:p w14:paraId="79CD718B" w14:textId="77777777" w:rsidR="00990B14" w:rsidRDefault="00000000">
            <w:pPr>
              <w:spacing w:before="20" w:after="20"/>
              <w:jc w:val="both"/>
            </w:pPr>
            <w:r>
              <w:rPr>
                <w:sz w:val="18"/>
                <w:szCs w:val="18"/>
              </w:rPr>
              <w:t>Explica el efecto del comportamiento en las decisiones de producción.</w:t>
            </w:r>
          </w:p>
        </w:tc>
      </w:tr>
      <w:tr w:rsidR="00990B14" w14:paraId="78EDCEE6" w14:textId="77777777">
        <w:trPr>
          <w:cantSplit/>
          <w:jc w:val="center"/>
        </w:trPr>
        <w:tc>
          <w:tcPr>
            <w:tcW w:w="1900" w:type="dxa"/>
            <w:vMerge/>
            <w:shd w:val="clear" w:color="auto" w:fill="4472C4"/>
            <w:vAlign w:val="center"/>
          </w:tcPr>
          <w:p w14:paraId="1A50DA04" w14:textId="77777777" w:rsidR="00990B14" w:rsidRDefault="00990B14">
            <w:pPr>
              <w:spacing w:before="20" w:after="20"/>
            </w:pPr>
          </w:p>
        </w:tc>
        <w:tc>
          <w:tcPr>
            <w:tcW w:w="1876" w:type="dxa"/>
            <w:shd w:val="clear" w:color="auto" w:fill="D9E2F3"/>
            <w:vAlign w:val="center"/>
          </w:tcPr>
          <w:p w14:paraId="2AC89ABB" w14:textId="77777777" w:rsidR="00990B14" w:rsidRDefault="00000000">
            <w:pPr>
              <w:spacing w:before="20" w:after="20"/>
              <w:jc w:val="both"/>
            </w:pPr>
            <w:r>
              <w:rPr>
                <w:sz w:val="18"/>
                <w:szCs w:val="18"/>
              </w:rPr>
              <w:t>Clasificación por función</w:t>
            </w:r>
          </w:p>
        </w:tc>
        <w:tc>
          <w:tcPr>
            <w:tcW w:w="1876" w:type="dxa"/>
            <w:shd w:val="clear" w:color="auto" w:fill="D9E2F3"/>
            <w:vAlign w:val="center"/>
          </w:tcPr>
          <w:p w14:paraId="6CE4B227" w14:textId="77777777" w:rsidR="00990B14" w:rsidRDefault="00000000">
            <w:pPr>
              <w:spacing w:before="20" w:after="20"/>
              <w:jc w:val="both"/>
            </w:pPr>
            <w:r>
              <w:rPr>
                <w:sz w:val="18"/>
                <w:szCs w:val="18"/>
              </w:rPr>
              <w:t>Mezcla costos de producción con gastos de operación.</w:t>
            </w:r>
          </w:p>
        </w:tc>
        <w:tc>
          <w:tcPr>
            <w:tcW w:w="1876" w:type="dxa"/>
            <w:shd w:val="clear" w:color="auto" w:fill="D9E2F3"/>
            <w:vAlign w:val="center"/>
          </w:tcPr>
          <w:p w14:paraId="1C93612E" w14:textId="77777777" w:rsidR="00990B14" w:rsidRDefault="00000000">
            <w:pPr>
              <w:spacing w:before="20" w:after="20"/>
              <w:jc w:val="both"/>
            </w:pPr>
            <w:r>
              <w:rPr>
                <w:sz w:val="18"/>
                <w:szCs w:val="18"/>
              </w:rPr>
              <w:t>Distingue el costo primo, el costo de transformación y los gastos.</w:t>
            </w:r>
          </w:p>
        </w:tc>
        <w:tc>
          <w:tcPr>
            <w:tcW w:w="1877" w:type="dxa"/>
            <w:shd w:val="clear" w:color="auto" w:fill="D9E2F3"/>
            <w:vAlign w:val="center"/>
          </w:tcPr>
          <w:p w14:paraId="5D03E179" w14:textId="77777777" w:rsidR="00990B14" w:rsidRDefault="00000000">
            <w:pPr>
              <w:spacing w:before="20" w:after="20"/>
              <w:jc w:val="both"/>
            </w:pPr>
            <w:r>
              <w:rPr>
                <w:sz w:val="18"/>
                <w:szCs w:val="18"/>
              </w:rPr>
              <w:t>Relaciona la clasificación con la cadena de valor de los costos.</w:t>
            </w:r>
          </w:p>
        </w:tc>
      </w:tr>
      <w:tr w:rsidR="00990B14" w14:paraId="0EB6191B" w14:textId="77777777">
        <w:trPr>
          <w:cantSplit/>
          <w:jc w:val="center"/>
        </w:trPr>
        <w:tc>
          <w:tcPr>
            <w:tcW w:w="1900" w:type="dxa"/>
            <w:vMerge/>
            <w:shd w:val="clear" w:color="auto" w:fill="4472C4"/>
            <w:vAlign w:val="center"/>
          </w:tcPr>
          <w:p w14:paraId="562735A1" w14:textId="77777777" w:rsidR="00990B14" w:rsidRDefault="00990B14">
            <w:pPr>
              <w:spacing w:before="20" w:after="20"/>
            </w:pPr>
          </w:p>
        </w:tc>
        <w:tc>
          <w:tcPr>
            <w:tcW w:w="1876" w:type="dxa"/>
            <w:shd w:val="clear" w:color="auto" w:fill="D9E2F3"/>
            <w:vAlign w:val="center"/>
          </w:tcPr>
          <w:p w14:paraId="394146DE" w14:textId="77777777" w:rsidR="00990B14" w:rsidRDefault="00000000">
            <w:pPr>
              <w:spacing w:before="20" w:after="20"/>
              <w:jc w:val="both"/>
            </w:pPr>
            <w:r>
              <w:rPr>
                <w:sz w:val="18"/>
                <w:szCs w:val="18"/>
              </w:rPr>
              <w:t>Presentación</w:t>
            </w:r>
          </w:p>
        </w:tc>
        <w:tc>
          <w:tcPr>
            <w:tcW w:w="1876" w:type="dxa"/>
            <w:shd w:val="clear" w:color="auto" w:fill="D9E2F3"/>
            <w:vAlign w:val="center"/>
          </w:tcPr>
          <w:p w14:paraId="18488346" w14:textId="77777777" w:rsidR="00990B14" w:rsidRDefault="00000000">
            <w:pPr>
              <w:spacing w:before="20" w:after="20"/>
              <w:jc w:val="both"/>
            </w:pPr>
            <w:r>
              <w:rPr>
                <w:sz w:val="18"/>
                <w:szCs w:val="18"/>
              </w:rPr>
              <w:t>El cuadro es incompleto.</w:t>
            </w:r>
          </w:p>
        </w:tc>
        <w:tc>
          <w:tcPr>
            <w:tcW w:w="1876" w:type="dxa"/>
            <w:shd w:val="clear" w:color="auto" w:fill="D9E2F3"/>
            <w:vAlign w:val="center"/>
          </w:tcPr>
          <w:p w14:paraId="30E0D8FE" w14:textId="77777777" w:rsidR="00990B14" w:rsidRDefault="00000000">
            <w:pPr>
              <w:spacing w:before="20" w:after="20"/>
              <w:jc w:val="both"/>
            </w:pPr>
            <w:r>
              <w:rPr>
                <w:sz w:val="18"/>
                <w:szCs w:val="18"/>
              </w:rPr>
              <w:t>El cuadro es claro y completo.</w:t>
            </w:r>
          </w:p>
        </w:tc>
        <w:tc>
          <w:tcPr>
            <w:tcW w:w="1877" w:type="dxa"/>
            <w:shd w:val="clear" w:color="auto" w:fill="D9E2F3"/>
            <w:vAlign w:val="center"/>
          </w:tcPr>
          <w:p w14:paraId="3CF14378" w14:textId="77777777" w:rsidR="00990B14" w:rsidRDefault="00000000">
            <w:pPr>
              <w:spacing w:before="20" w:after="20"/>
              <w:jc w:val="both"/>
            </w:pPr>
            <w:r>
              <w:rPr>
                <w:sz w:val="18"/>
                <w:szCs w:val="18"/>
              </w:rPr>
              <w:t>El cuadro incluye ejemplos de una empresa boliviana.</w:t>
            </w:r>
          </w:p>
        </w:tc>
      </w:tr>
      <w:tr w:rsidR="00990B14" w14:paraId="6E3910FC" w14:textId="77777777">
        <w:trPr>
          <w:cantSplit/>
          <w:jc w:val="center"/>
        </w:trPr>
        <w:tc>
          <w:tcPr>
            <w:tcW w:w="1900" w:type="dxa"/>
            <w:vMerge/>
            <w:shd w:val="clear" w:color="auto" w:fill="4472C4"/>
            <w:vAlign w:val="center"/>
          </w:tcPr>
          <w:p w14:paraId="7AEDD15C" w14:textId="77777777" w:rsidR="00990B14" w:rsidRDefault="00990B14">
            <w:pPr>
              <w:spacing w:before="20" w:after="20"/>
            </w:pPr>
          </w:p>
        </w:tc>
        <w:tc>
          <w:tcPr>
            <w:tcW w:w="5628" w:type="dxa"/>
            <w:gridSpan w:val="3"/>
            <w:shd w:val="clear" w:color="auto" w:fill="D9E2F3"/>
            <w:vAlign w:val="center"/>
          </w:tcPr>
          <w:p w14:paraId="1085AB3D" w14:textId="77777777" w:rsidR="00990B14" w:rsidRDefault="00000000">
            <w:pPr>
              <w:keepNext/>
              <w:spacing w:before="20" w:after="20"/>
              <w:jc w:val="both"/>
            </w:pPr>
            <w:r>
              <w:rPr>
                <w:b/>
                <w:bCs/>
                <w:i/>
                <w:iCs/>
                <w:sz w:val="18"/>
                <w:szCs w:val="18"/>
              </w:rPr>
              <w:t xml:space="preserve">Producto 2: </w:t>
            </w:r>
            <w:r>
              <w:rPr>
                <w:sz w:val="18"/>
                <w:szCs w:val="18"/>
              </w:rPr>
              <w:t>Estado del costo de producción y estado de resultados</w:t>
            </w:r>
          </w:p>
        </w:tc>
        <w:tc>
          <w:tcPr>
            <w:tcW w:w="1877" w:type="dxa"/>
            <w:shd w:val="clear" w:color="auto" w:fill="D9E2F3"/>
            <w:vAlign w:val="center"/>
          </w:tcPr>
          <w:p w14:paraId="7306FD87" w14:textId="77777777" w:rsidR="00990B14" w:rsidRDefault="00000000">
            <w:pPr>
              <w:spacing w:before="20" w:after="20"/>
              <w:jc w:val="center"/>
            </w:pPr>
            <w:r>
              <w:rPr>
                <w:b/>
                <w:bCs/>
                <w:sz w:val="18"/>
                <w:szCs w:val="18"/>
              </w:rPr>
              <w:t>6%</w:t>
            </w:r>
          </w:p>
        </w:tc>
      </w:tr>
      <w:tr w:rsidR="00990B14" w14:paraId="6D2E4EF6" w14:textId="77777777">
        <w:trPr>
          <w:cantSplit/>
          <w:jc w:val="center"/>
        </w:trPr>
        <w:tc>
          <w:tcPr>
            <w:tcW w:w="1900" w:type="dxa"/>
            <w:vMerge/>
            <w:shd w:val="clear" w:color="auto" w:fill="4472C4"/>
            <w:vAlign w:val="center"/>
          </w:tcPr>
          <w:p w14:paraId="1E4D97F3" w14:textId="77777777" w:rsidR="00990B14" w:rsidRDefault="00990B14">
            <w:pPr>
              <w:spacing w:before="20" w:after="20"/>
            </w:pPr>
          </w:p>
        </w:tc>
        <w:tc>
          <w:tcPr>
            <w:tcW w:w="1876" w:type="dxa"/>
            <w:shd w:val="clear" w:color="auto" w:fill="4472C4"/>
            <w:vAlign w:val="center"/>
          </w:tcPr>
          <w:p w14:paraId="21CAF742"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027C5860"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77571398"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62979B51" w14:textId="77777777" w:rsidR="00990B14" w:rsidRDefault="00000000">
            <w:pPr>
              <w:keepNext/>
              <w:spacing w:before="20" w:after="20"/>
              <w:jc w:val="center"/>
            </w:pPr>
            <w:r>
              <w:rPr>
                <w:b/>
                <w:bCs/>
                <w:i/>
                <w:iCs/>
                <w:color w:val="FFFFFF"/>
                <w:sz w:val="18"/>
                <w:szCs w:val="18"/>
              </w:rPr>
              <w:t>Destacado (81–100)</w:t>
            </w:r>
          </w:p>
        </w:tc>
      </w:tr>
      <w:tr w:rsidR="00990B14" w14:paraId="7B5D42F6" w14:textId="77777777">
        <w:trPr>
          <w:cantSplit/>
          <w:jc w:val="center"/>
        </w:trPr>
        <w:tc>
          <w:tcPr>
            <w:tcW w:w="1900" w:type="dxa"/>
            <w:vMerge/>
            <w:shd w:val="clear" w:color="auto" w:fill="4472C4"/>
            <w:vAlign w:val="center"/>
          </w:tcPr>
          <w:p w14:paraId="249819B9" w14:textId="77777777" w:rsidR="00990B14" w:rsidRDefault="00990B14">
            <w:pPr>
              <w:spacing w:before="20" w:after="20"/>
            </w:pPr>
          </w:p>
        </w:tc>
        <w:tc>
          <w:tcPr>
            <w:tcW w:w="1876" w:type="dxa"/>
            <w:shd w:val="clear" w:color="auto" w:fill="D9E2F3"/>
            <w:vAlign w:val="center"/>
          </w:tcPr>
          <w:p w14:paraId="7A1F867A" w14:textId="77777777" w:rsidR="00990B14" w:rsidRDefault="00000000">
            <w:pPr>
              <w:spacing w:before="20" w:after="20"/>
              <w:jc w:val="both"/>
            </w:pPr>
            <w:r>
              <w:rPr>
                <w:sz w:val="18"/>
                <w:szCs w:val="18"/>
              </w:rPr>
              <w:t>Estado del costo de producción</w:t>
            </w:r>
          </w:p>
        </w:tc>
        <w:tc>
          <w:tcPr>
            <w:tcW w:w="1876" w:type="dxa"/>
            <w:shd w:val="clear" w:color="auto" w:fill="D9E2F3"/>
            <w:vAlign w:val="center"/>
          </w:tcPr>
          <w:p w14:paraId="2676DFF9" w14:textId="77777777" w:rsidR="00990B14" w:rsidRDefault="00000000">
            <w:pPr>
              <w:spacing w:before="20" w:after="20"/>
              <w:jc w:val="both"/>
            </w:pPr>
            <w:r>
              <w:rPr>
                <w:sz w:val="18"/>
                <w:szCs w:val="18"/>
              </w:rPr>
              <w:t>Omite elementos del costo o inventarios.</w:t>
            </w:r>
          </w:p>
        </w:tc>
        <w:tc>
          <w:tcPr>
            <w:tcW w:w="1876" w:type="dxa"/>
            <w:shd w:val="clear" w:color="auto" w:fill="D9E2F3"/>
            <w:vAlign w:val="center"/>
          </w:tcPr>
          <w:p w14:paraId="397B0B6E" w14:textId="77777777" w:rsidR="00990B14" w:rsidRDefault="00000000">
            <w:pPr>
              <w:spacing w:before="20" w:after="20"/>
              <w:jc w:val="both"/>
            </w:pPr>
            <w:r>
              <w:rPr>
                <w:sz w:val="18"/>
                <w:szCs w:val="18"/>
              </w:rPr>
              <w:t>Integra materiales, mano de obra, costos indirectos e inventarios.</w:t>
            </w:r>
          </w:p>
        </w:tc>
        <w:tc>
          <w:tcPr>
            <w:tcW w:w="1877" w:type="dxa"/>
            <w:shd w:val="clear" w:color="auto" w:fill="D9E2F3"/>
            <w:vAlign w:val="center"/>
          </w:tcPr>
          <w:p w14:paraId="407248BD" w14:textId="77777777" w:rsidR="00990B14" w:rsidRDefault="00000000">
            <w:pPr>
              <w:spacing w:before="20" w:after="20"/>
              <w:jc w:val="both"/>
            </w:pPr>
            <w:r>
              <w:rPr>
                <w:sz w:val="18"/>
                <w:szCs w:val="18"/>
              </w:rPr>
              <w:t>Concilia el costo de producción con el costo de ventas.</w:t>
            </w:r>
          </w:p>
        </w:tc>
      </w:tr>
      <w:tr w:rsidR="00990B14" w14:paraId="7220A49A" w14:textId="77777777">
        <w:trPr>
          <w:cantSplit/>
          <w:jc w:val="center"/>
        </w:trPr>
        <w:tc>
          <w:tcPr>
            <w:tcW w:w="1900" w:type="dxa"/>
            <w:vMerge/>
            <w:shd w:val="clear" w:color="auto" w:fill="4472C4"/>
            <w:vAlign w:val="center"/>
          </w:tcPr>
          <w:p w14:paraId="43DEE26F" w14:textId="77777777" w:rsidR="00990B14" w:rsidRDefault="00990B14">
            <w:pPr>
              <w:spacing w:before="20" w:after="20"/>
            </w:pPr>
          </w:p>
        </w:tc>
        <w:tc>
          <w:tcPr>
            <w:tcW w:w="1876" w:type="dxa"/>
            <w:shd w:val="clear" w:color="auto" w:fill="D9E2F3"/>
            <w:vAlign w:val="center"/>
          </w:tcPr>
          <w:p w14:paraId="58A19AF5" w14:textId="77777777" w:rsidR="00990B14" w:rsidRDefault="00000000">
            <w:pPr>
              <w:spacing w:before="20" w:after="20"/>
              <w:jc w:val="both"/>
            </w:pPr>
            <w:r>
              <w:rPr>
                <w:sz w:val="18"/>
                <w:szCs w:val="18"/>
              </w:rPr>
              <w:t>Estado de resultados</w:t>
            </w:r>
          </w:p>
        </w:tc>
        <w:tc>
          <w:tcPr>
            <w:tcW w:w="1876" w:type="dxa"/>
            <w:shd w:val="clear" w:color="auto" w:fill="D9E2F3"/>
            <w:vAlign w:val="center"/>
          </w:tcPr>
          <w:p w14:paraId="4AC292A7" w14:textId="77777777" w:rsidR="00990B14" w:rsidRDefault="00000000">
            <w:pPr>
              <w:spacing w:before="20" w:after="20"/>
              <w:jc w:val="both"/>
            </w:pPr>
            <w:r>
              <w:rPr>
                <w:sz w:val="18"/>
                <w:szCs w:val="18"/>
              </w:rPr>
              <w:t>El resultado no corresponde a los datos.</w:t>
            </w:r>
          </w:p>
        </w:tc>
        <w:tc>
          <w:tcPr>
            <w:tcW w:w="1876" w:type="dxa"/>
            <w:shd w:val="clear" w:color="auto" w:fill="D9E2F3"/>
            <w:vAlign w:val="center"/>
          </w:tcPr>
          <w:p w14:paraId="2580EEDB" w14:textId="77777777" w:rsidR="00990B14" w:rsidRDefault="00000000">
            <w:pPr>
              <w:spacing w:before="20" w:after="20"/>
              <w:jc w:val="both"/>
            </w:pPr>
            <w:r>
              <w:rPr>
                <w:sz w:val="18"/>
                <w:szCs w:val="18"/>
              </w:rPr>
              <w:t>Determina correctamente la utilidad del periodo.</w:t>
            </w:r>
          </w:p>
        </w:tc>
        <w:tc>
          <w:tcPr>
            <w:tcW w:w="1877" w:type="dxa"/>
            <w:shd w:val="clear" w:color="auto" w:fill="D9E2F3"/>
            <w:vAlign w:val="center"/>
          </w:tcPr>
          <w:p w14:paraId="5E580765" w14:textId="77777777" w:rsidR="00990B14" w:rsidRDefault="00000000">
            <w:pPr>
              <w:spacing w:before="20" w:after="20"/>
              <w:jc w:val="both"/>
            </w:pPr>
            <w:r>
              <w:rPr>
                <w:sz w:val="18"/>
                <w:szCs w:val="18"/>
              </w:rPr>
              <w:t>Analiza la estructura de costos del resultado.</w:t>
            </w:r>
          </w:p>
        </w:tc>
      </w:tr>
      <w:tr w:rsidR="00990B14" w14:paraId="217BAF32" w14:textId="77777777">
        <w:trPr>
          <w:cantSplit/>
          <w:jc w:val="center"/>
        </w:trPr>
        <w:tc>
          <w:tcPr>
            <w:tcW w:w="1900" w:type="dxa"/>
            <w:vMerge/>
            <w:shd w:val="clear" w:color="auto" w:fill="4472C4"/>
            <w:vAlign w:val="center"/>
          </w:tcPr>
          <w:p w14:paraId="69578BE6" w14:textId="77777777" w:rsidR="00990B14" w:rsidRDefault="00990B14">
            <w:pPr>
              <w:spacing w:before="20" w:after="20"/>
            </w:pPr>
          </w:p>
        </w:tc>
        <w:tc>
          <w:tcPr>
            <w:tcW w:w="1876" w:type="dxa"/>
            <w:shd w:val="clear" w:color="auto" w:fill="D9E2F3"/>
            <w:vAlign w:val="center"/>
          </w:tcPr>
          <w:p w14:paraId="5E9EDC61" w14:textId="77777777" w:rsidR="00990B14" w:rsidRDefault="00000000">
            <w:pPr>
              <w:spacing w:before="20" w:after="20"/>
              <w:jc w:val="both"/>
            </w:pPr>
            <w:r>
              <w:rPr>
                <w:sz w:val="18"/>
                <w:szCs w:val="18"/>
              </w:rPr>
              <w:t>Exactitud</w:t>
            </w:r>
          </w:p>
        </w:tc>
        <w:tc>
          <w:tcPr>
            <w:tcW w:w="1876" w:type="dxa"/>
            <w:shd w:val="clear" w:color="auto" w:fill="D9E2F3"/>
            <w:vAlign w:val="center"/>
          </w:tcPr>
          <w:p w14:paraId="0F796FAD" w14:textId="77777777" w:rsidR="00990B14" w:rsidRDefault="00000000">
            <w:pPr>
              <w:spacing w:before="20" w:after="20"/>
              <w:jc w:val="both"/>
            </w:pPr>
            <w:r>
              <w:rPr>
                <w:sz w:val="18"/>
                <w:szCs w:val="18"/>
              </w:rPr>
              <w:t>Presenta errores de cálculo.</w:t>
            </w:r>
          </w:p>
        </w:tc>
        <w:tc>
          <w:tcPr>
            <w:tcW w:w="1876" w:type="dxa"/>
            <w:shd w:val="clear" w:color="auto" w:fill="D9E2F3"/>
            <w:vAlign w:val="center"/>
          </w:tcPr>
          <w:p w14:paraId="40BDEBAE" w14:textId="77777777" w:rsidR="00990B14" w:rsidRDefault="00000000">
            <w:pPr>
              <w:spacing w:before="20" w:after="20"/>
              <w:jc w:val="both"/>
            </w:pPr>
            <w:r>
              <w:rPr>
                <w:sz w:val="18"/>
                <w:szCs w:val="18"/>
              </w:rPr>
              <w:t>Los cálculos son correctos.</w:t>
            </w:r>
          </w:p>
        </w:tc>
        <w:tc>
          <w:tcPr>
            <w:tcW w:w="1877" w:type="dxa"/>
            <w:shd w:val="clear" w:color="auto" w:fill="D9E2F3"/>
            <w:vAlign w:val="center"/>
          </w:tcPr>
          <w:p w14:paraId="51075604" w14:textId="77777777" w:rsidR="00990B14" w:rsidRDefault="00000000">
            <w:pPr>
              <w:spacing w:before="20" w:after="20"/>
              <w:jc w:val="both"/>
            </w:pPr>
            <w:r>
              <w:rPr>
                <w:sz w:val="18"/>
                <w:szCs w:val="18"/>
              </w:rPr>
              <w:t>Verifica los saldos con los registros.</w:t>
            </w:r>
          </w:p>
        </w:tc>
      </w:tr>
      <w:tr w:rsidR="00990B14" w14:paraId="57EDAB98" w14:textId="77777777">
        <w:trPr>
          <w:cantSplit/>
          <w:jc w:val="center"/>
        </w:trPr>
        <w:tc>
          <w:tcPr>
            <w:tcW w:w="1900" w:type="dxa"/>
            <w:vMerge/>
            <w:shd w:val="clear" w:color="auto" w:fill="4472C4"/>
            <w:vAlign w:val="center"/>
          </w:tcPr>
          <w:p w14:paraId="20FCDF8B" w14:textId="77777777" w:rsidR="00990B14" w:rsidRDefault="00990B14">
            <w:pPr>
              <w:spacing w:before="20" w:after="20"/>
            </w:pPr>
          </w:p>
        </w:tc>
        <w:tc>
          <w:tcPr>
            <w:tcW w:w="5628" w:type="dxa"/>
            <w:gridSpan w:val="3"/>
            <w:shd w:val="clear" w:color="auto" w:fill="D9E2F3"/>
            <w:vAlign w:val="center"/>
          </w:tcPr>
          <w:p w14:paraId="20188AD3" w14:textId="77777777" w:rsidR="00990B14" w:rsidRDefault="00000000">
            <w:pPr>
              <w:keepNext/>
              <w:spacing w:before="20" w:after="20"/>
              <w:jc w:val="both"/>
            </w:pPr>
            <w:r>
              <w:rPr>
                <w:b/>
                <w:bCs/>
                <w:i/>
                <w:iCs/>
                <w:sz w:val="18"/>
                <w:szCs w:val="18"/>
              </w:rPr>
              <w:t xml:space="preserve">Producto 3: </w:t>
            </w:r>
            <w:r>
              <w:rPr>
                <w:sz w:val="18"/>
                <w:szCs w:val="18"/>
              </w:rPr>
              <w:t>Planilla de control de materiales y de mano de obra</w:t>
            </w:r>
          </w:p>
        </w:tc>
        <w:tc>
          <w:tcPr>
            <w:tcW w:w="1877" w:type="dxa"/>
            <w:shd w:val="clear" w:color="auto" w:fill="D9E2F3"/>
            <w:vAlign w:val="center"/>
          </w:tcPr>
          <w:p w14:paraId="68928463" w14:textId="77777777" w:rsidR="00990B14" w:rsidRDefault="00000000">
            <w:pPr>
              <w:spacing w:before="20" w:after="20"/>
              <w:jc w:val="center"/>
            </w:pPr>
            <w:r>
              <w:rPr>
                <w:b/>
                <w:bCs/>
                <w:sz w:val="18"/>
                <w:szCs w:val="18"/>
              </w:rPr>
              <w:t>6%</w:t>
            </w:r>
          </w:p>
        </w:tc>
      </w:tr>
      <w:tr w:rsidR="00990B14" w14:paraId="1993776E" w14:textId="77777777">
        <w:trPr>
          <w:cantSplit/>
          <w:jc w:val="center"/>
        </w:trPr>
        <w:tc>
          <w:tcPr>
            <w:tcW w:w="1900" w:type="dxa"/>
            <w:vMerge/>
            <w:shd w:val="clear" w:color="auto" w:fill="4472C4"/>
            <w:vAlign w:val="center"/>
          </w:tcPr>
          <w:p w14:paraId="53DCDA0F" w14:textId="77777777" w:rsidR="00990B14" w:rsidRDefault="00990B14">
            <w:pPr>
              <w:spacing w:before="20" w:after="20"/>
            </w:pPr>
          </w:p>
        </w:tc>
        <w:tc>
          <w:tcPr>
            <w:tcW w:w="1876" w:type="dxa"/>
            <w:shd w:val="clear" w:color="auto" w:fill="4472C4"/>
            <w:vAlign w:val="center"/>
          </w:tcPr>
          <w:p w14:paraId="5AA6443E"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3794F3B6"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68566A40"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563710FC" w14:textId="77777777" w:rsidR="00990B14" w:rsidRDefault="00000000">
            <w:pPr>
              <w:keepNext/>
              <w:spacing w:before="20" w:after="20"/>
              <w:jc w:val="center"/>
            </w:pPr>
            <w:r>
              <w:rPr>
                <w:b/>
                <w:bCs/>
                <w:i/>
                <w:iCs/>
                <w:color w:val="FFFFFF"/>
                <w:sz w:val="18"/>
                <w:szCs w:val="18"/>
              </w:rPr>
              <w:t>Destacado (81–100)</w:t>
            </w:r>
          </w:p>
        </w:tc>
      </w:tr>
      <w:tr w:rsidR="00990B14" w14:paraId="1964BB9D" w14:textId="77777777">
        <w:trPr>
          <w:cantSplit/>
          <w:jc w:val="center"/>
        </w:trPr>
        <w:tc>
          <w:tcPr>
            <w:tcW w:w="1900" w:type="dxa"/>
            <w:vMerge/>
            <w:shd w:val="clear" w:color="auto" w:fill="4472C4"/>
            <w:vAlign w:val="center"/>
          </w:tcPr>
          <w:p w14:paraId="49596F4F" w14:textId="77777777" w:rsidR="00990B14" w:rsidRDefault="00990B14">
            <w:pPr>
              <w:spacing w:before="20" w:after="20"/>
            </w:pPr>
          </w:p>
        </w:tc>
        <w:tc>
          <w:tcPr>
            <w:tcW w:w="1876" w:type="dxa"/>
            <w:shd w:val="clear" w:color="auto" w:fill="D9E2F3"/>
            <w:vAlign w:val="center"/>
          </w:tcPr>
          <w:p w14:paraId="070FF3F5" w14:textId="77777777" w:rsidR="00990B14" w:rsidRDefault="00000000">
            <w:pPr>
              <w:spacing w:before="20" w:after="20"/>
              <w:jc w:val="both"/>
            </w:pPr>
            <w:r>
              <w:rPr>
                <w:sz w:val="18"/>
                <w:szCs w:val="18"/>
              </w:rPr>
              <w:t>Registro de materiales</w:t>
            </w:r>
          </w:p>
        </w:tc>
        <w:tc>
          <w:tcPr>
            <w:tcW w:w="1876" w:type="dxa"/>
            <w:shd w:val="clear" w:color="auto" w:fill="D9E2F3"/>
            <w:vAlign w:val="center"/>
          </w:tcPr>
          <w:p w14:paraId="0A0EB1B5" w14:textId="77777777" w:rsidR="00990B14" w:rsidRDefault="00000000">
            <w:pPr>
              <w:spacing w:before="20" w:after="20"/>
              <w:jc w:val="both"/>
            </w:pPr>
            <w:r>
              <w:rPr>
                <w:sz w:val="18"/>
                <w:szCs w:val="18"/>
              </w:rPr>
              <w:t>Registra con errores la compra o la transferencia.</w:t>
            </w:r>
          </w:p>
        </w:tc>
        <w:tc>
          <w:tcPr>
            <w:tcW w:w="1876" w:type="dxa"/>
            <w:shd w:val="clear" w:color="auto" w:fill="D9E2F3"/>
            <w:vAlign w:val="center"/>
          </w:tcPr>
          <w:p w14:paraId="70C42CF7" w14:textId="77777777" w:rsidR="00990B14" w:rsidRDefault="00000000">
            <w:pPr>
              <w:spacing w:before="20" w:after="20"/>
              <w:jc w:val="both"/>
            </w:pPr>
            <w:r>
              <w:rPr>
                <w:sz w:val="18"/>
                <w:szCs w:val="18"/>
              </w:rPr>
              <w:t>Registra la compra, el almacenamiento y la transferencia a producción.</w:t>
            </w:r>
          </w:p>
        </w:tc>
        <w:tc>
          <w:tcPr>
            <w:tcW w:w="1877" w:type="dxa"/>
            <w:shd w:val="clear" w:color="auto" w:fill="D9E2F3"/>
            <w:vAlign w:val="center"/>
          </w:tcPr>
          <w:p w14:paraId="30FDF31F" w14:textId="77777777" w:rsidR="00990B14" w:rsidRDefault="00000000">
            <w:pPr>
              <w:spacing w:before="20" w:after="20"/>
              <w:jc w:val="both"/>
            </w:pPr>
            <w:r>
              <w:rPr>
                <w:sz w:val="18"/>
                <w:szCs w:val="18"/>
              </w:rPr>
              <w:t>Trata correctamente las mermas y los desperdicios.</w:t>
            </w:r>
          </w:p>
        </w:tc>
      </w:tr>
      <w:tr w:rsidR="00990B14" w14:paraId="5BC86B29" w14:textId="77777777">
        <w:trPr>
          <w:cantSplit/>
          <w:jc w:val="center"/>
        </w:trPr>
        <w:tc>
          <w:tcPr>
            <w:tcW w:w="1900" w:type="dxa"/>
            <w:vMerge/>
            <w:shd w:val="clear" w:color="auto" w:fill="4472C4"/>
            <w:vAlign w:val="center"/>
          </w:tcPr>
          <w:p w14:paraId="487E3739" w14:textId="77777777" w:rsidR="00990B14" w:rsidRDefault="00990B14">
            <w:pPr>
              <w:spacing w:before="20" w:after="20"/>
            </w:pPr>
          </w:p>
        </w:tc>
        <w:tc>
          <w:tcPr>
            <w:tcW w:w="1876" w:type="dxa"/>
            <w:shd w:val="clear" w:color="auto" w:fill="D9E2F3"/>
            <w:vAlign w:val="center"/>
          </w:tcPr>
          <w:p w14:paraId="2D196099" w14:textId="77777777" w:rsidR="00990B14" w:rsidRDefault="00000000">
            <w:pPr>
              <w:spacing w:before="20" w:after="20"/>
              <w:jc w:val="both"/>
            </w:pPr>
            <w:r>
              <w:rPr>
                <w:sz w:val="18"/>
                <w:szCs w:val="18"/>
              </w:rPr>
              <w:t>Registro de la mano de obra</w:t>
            </w:r>
          </w:p>
        </w:tc>
        <w:tc>
          <w:tcPr>
            <w:tcW w:w="1876" w:type="dxa"/>
            <w:shd w:val="clear" w:color="auto" w:fill="D9E2F3"/>
            <w:vAlign w:val="center"/>
          </w:tcPr>
          <w:p w14:paraId="419B8DB9" w14:textId="77777777" w:rsidR="00990B14" w:rsidRDefault="00000000">
            <w:pPr>
              <w:spacing w:before="20" w:after="20"/>
              <w:jc w:val="both"/>
            </w:pPr>
            <w:r>
              <w:rPr>
                <w:sz w:val="18"/>
                <w:szCs w:val="18"/>
              </w:rPr>
              <w:t>Omite aportes o provisiones.</w:t>
            </w:r>
          </w:p>
        </w:tc>
        <w:tc>
          <w:tcPr>
            <w:tcW w:w="1876" w:type="dxa"/>
            <w:shd w:val="clear" w:color="auto" w:fill="D9E2F3"/>
            <w:vAlign w:val="center"/>
          </w:tcPr>
          <w:p w14:paraId="0798B845" w14:textId="77777777" w:rsidR="00990B14" w:rsidRDefault="00000000">
            <w:pPr>
              <w:spacing w:before="20" w:after="20"/>
              <w:jc w:val="both"/>
            </w:pPr>
            <w:r>
              <w:rPr>
                <w:sz w:val="18"/>
                <w:szCs w:val="18"/>
              </w:rPr>
              <w:t>Registra la planilla con aportes patronales y provisiones.</w:t>
            </w:r>
          </w:p>
        </w:tc>
        <w:tc>
          <w:tcPr>
            <w:tcW w:w="1877" w:type="dxa"/>
            <w:shd w:val="clear" w:color="auto" w:fill="D9E2F3"/>
            <w:vAlign w:val="center"/>
          </w:tcPr>
          <w:p w14:paraId="08E1DC2D" w14:textId="77777777" w:rsidR="00990B14" w:rsidRDefault="00000000">
            <w:pPr>
              <w:spacing w:before="20" w:after="20"/>
              <w:jc w:val="both"/>
            </w:pPr>
            <w:r>
              <w:rPr>
                <w:sz w:val="18"/>
                <w:szCs w:val="18"/>
              </w:rPr>
              <w:t>Trata el tiempo ocioso y los incentivos a la producción.</w:t>
            </w:r>
          </w:p>
        </w:tc>
      </w:tr>
      <w:tr w:rsidR="00990B14" w14:paraId="65AC3D58" w14:textId="77777777">
        <w:trPr>
          <w:cantSplit/>
          <w:jc w:val="center"/>
        </w:trPr>
        <w:tc>
          <w:tcPr>
            <w:tcW w:w="1900" w:type="dxa"/>
            <w:vMerge/>
            <w:shd w:val="clear" w:color="auto" w:fill="4472C4"/>
            <w:vAlign w:val="center"/>
          </w:tcPr>
          <w:p w14:paraId="32C3E24E" w14:textId="77777777" w:rsidR="00990B14" w:rsidRDefault="00990B14">
            <w:pPr>
              <w:spacing w:before="20" w:after="20"/>
            </w:pPr>
          </w:p>
        </w:tc>
        <w:tc>
          <w:tcPr>
            <w:tcW w:w="1876" w:type="dxa"/>
            <w:shd w:val="clear" w:color="auto" w:fill="D9E2F3"/>
            <w:vAlign w:val="center"/>
          </w:tcPr>
          <w:p w14:paraId="1FCD9F15" w14:textId="77777777" w:rsidR="00990B14" w:rsidRDefault="00000000">
            <w:pPr>
              <w:spacing w:before="20" w:after="20"/>
              <w:jc w:val="both"/>
            </w:pPr>
            <w:r>
              <w:rPr>
                <w:sz w:val="18"/>
                <w:szCs w:val="18"/>
              </w:rPr>
              <w:t>Control interno</w:t>
            </w:r>
          </w:p>
        </w:tc>
        <w:tc>
          <w:tcPr>
            <w:tcW w:w="1876" w:type="dxa"/>
            <w:shd w:val="clear" w:color="auto" w:fill="D9E2F3"/>
            <w:vAlign w:val="center"/>
          </w:tcPr>
          <w:p w14:paraId="2E5CACD1" w14:textId="77777777" w:rsidR="00990B14" w:rsidRDefault="00000000">
            <w:pPr>
              <w:spacing w:before="20" w:after="20"/>
              <w:jc w:val="both"/>
            </w:pPr>
            <w:r>
              <w:rPr>
                <w:sz w:val="18"/>
                <w:szCs w:val="18"/>
              </w:rPr>
              <w:t>No identifica controles.</w:t>
            </w:r>
          </w:p>
        </w:tc>
        <w:tc>
          <w:tcPr>
            <w:tcW w:w="1876" w:type="dxa"/>
            <w:shd w:val="clear" w:color="auto" w:fill="D9E2F3"/>
            <w:vAlign w:val="center"/>
          </w:tcPr>
          <w:p w14:paraId="345E8CA4" w14:textId="77777777" w:rsidR="00990B14" w:rsidRDefault="00000000">
            <w:pPr>
              <w:spacing w:before="20" w:after="20"/>
              <w:jc w:val="both"/>
            </w:pPr>
            <w:r>
              <w:rPr>
                <w:sz w:val="18"/>
                <w:szCs w:val="18"/>
              </w:rPr>
              <w:t>Describe los controles de almacenes y de planillas.</w:t>
            </w:r>
          </w:p>
        </w:tc>
        <w:tc>
          <w:tcPr>
            <w:tcW w:w="1877" w:type="dxa"/>
            <w:shd w:val="clear" w:color="auto" w:fill="D9E2F3"/>
            <w:vAlign w:val="center"/>
          </w:tcPr>
          <w:p w14:paraId="2A464AB1" w14:textId="77777777" w:rsidR="00990B14" w:rsidRDefault="00000000">
            <w:pPr>
              <w:spacing w:before="20" w:after="20"/>
              <w:jc w:val="both"/>
            </w:pPr>
            <w:r>
              <w:rPr>
                <w:sz w:val="18"/>
                <w:szCs w:val="18"/>
              </w:rPr>
              <w:t>Propone mejoras al control de almacenes y de planillas.</w:t>
            </w:r>
          </w:p>
        </w:tc>
      </w:tr>
      <w:tr w:rsidR="00990B14" w14:paraId="7EDCF278" w14:textId="77777777">
        <w:trPr>
          <w:cantSplit/>
          <w:jc w:val="center"/>
        </w:trPr>
        <w:tc>
          <w:tcPr>
            <w:tcW w:w="1900" w:type="dxa"/>
            <w:vMerge/>
            <w:shd w:val="clear" w:color="auto" w:fill="4472C4"/>
            <w:vAlign w:val="center"/>
          </w:tcPr>
          <w:p w14:paraId="1BBA3908" w14:textId="77777777" w:rsidR="00990B14" w:rsidRDefault="00990B14">
            <w:pPr>
              <w:spacing w:before="20" w:after="20"/>
            </w:pPr>
          </w:p>
        </w:tc>
        <w:tc>
          <w:tcPr>
            <w:tcW w:w="5628" w:type="dxa"/>
            <w:gridSpan w:val="3"/>
            <w:shd w:val="clear" w:color="auto" w:fill="D9E2F3"/>
            <w:vAlign w:val="center"/>
          </w:tcPr>
          <w:p w14:paraId="522A9623" w14:textId="77777777" w:rsidR="00990B14" w:rsidRDefault="00000000">
            <w:pPr>
              <w:keepNext/>
              <w:spacing w:before="20" w:after="20"/>
              <w:jc w:val="both"/>
            </w:pPr>
            <w:r>
              <w:rPr>
                <w:b/>
                <w:bCs/>
                <w:i/>
                <w:iCs/>
                <w:sz w:val="18"/>
                <w:szCs w:val="18"/>
              </w:rPr>
              <w:t xml:space="preserve">Producto 4: </w:t>
            </w:r>
            <w:r>
              <w:rPr>
                <w:sz w:val="18"/>
                <w:szCs w:val="18"/>
              </w:rPr>
              <w:t>Cuadro de distribución de los costos indirectos</w:t>
            </w:r>
          </w:p>
        </w:tc>
        <w:tc>
          <w:tcPr>
            <w:tcW w:w="1877" w:type="dxa"/>
            <w:shd w:val="clear" w:color="auto" w:fill="D9E2F3"/>
            <w:vAlign w:val="center"/>
          </w:tcPr>
          <w:p w14:paraId="46CE9953" w14:textId="77777777" w:rsidR="00990B14" w:rsidRDefault="00000000">
            <w:pPr>
              <w:spacing w:before="20" w:after="20"/>
              <w:jc w:val="center"/>
            </w:pPr>
            <w:r>
              <w:rPr>
                <w:b/>
                <w:bCs/>
                <w:sz w:val="18"/>
                <w:szCs w:val="18"/>
              </w:rPr>
              <w:t>6%</w:t>
            </w:r>
          </w:p>
        </w:tc>
      </w:tr>
      <w:tr w:rsidR="00990B14" w14:paraId="583015E4" w14:textId="77777777">
        <w:trPr>
          <w:cantSplit/>
          <w:jc w:val="center"/>
        </w:trPr>
        <w:tc>
          <w:tcPr>
            <w:tcW w:w="1900" w:type="dxa"/>
            <w:vMerge/>
            <w:shd w:val="clear" w:color="auto" w:fill="4472C4"/>
            <w:vAlign w:val="center"/>
          </w:tcPr>
          <w:p w14:paraId="7D4EE651" w14:textId="77777777" w:rsidR="00990B14" w:rsidRDefault="00990B14">
            <w:pPr>
              <w:spacing w:before="20" w:after="20"/>
            </w:pPr>
          </w:p>
        </w:tc>
        <w:tc>
          <w:tcPr>
            <w:tcW w:w="1876" w:type="dxa"/>
            <w:shd w:val="clear" w:color="auto" w:fill="4472C4"/>
            <w:vAlign w:val="center"/>
          </w:tcPr>
          <w:p w14:paraId="56E6B406"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6B953B18"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5708FDA8"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0EF7EC47" w14:textId="77777777" w:rsidR="00990B14" w:rsidRDefault="00000000">
            <w:pPr>
              <w:keepNext/>
              <w:spacing w:before="20" w:after="20"/>
              <w:jc w:val="center"/>
            </w:pPr>
            <w:r>
              <w:rPr>
                <w:b/>
                <w:bCs/>
                <w:i/>
                <w:iCs/>
                <w:color w:val="FFFFFF"/>
                <w:sz w:val="18"/>
                <w:szCs w:val="18"/>
              </w:rPr>
              <w:t>Destacado (81–100)</w:t>
            </w:r>
          </w:p>
        </w:tc>
      </w:tr>
      <w:tr w:rsidR="00990B14" w14:paraId="2ADC3F64" w14:textId="77777777">
        <w:trPr>
          <w:cantSplit/>
          <w:jc w:val="center"/>
        </w:trPr>
        <w:tc>
          <w:tcPr>
            <w:tcW w:w="1900" w:type="dxa"/>
            <w:vMerge/>
            <w:shd w:val="clear" w:color="auto" w:fill="4472C4"/>
            <w:vAlign w:val="center"/>
          </w:tcPr>
          <w:p w14:paraId="47C4AB36" w14:textId="77777777" w:rsidR="00990B14" w:rsidRDefault="00990B14">
            <w:pPr>
              <w:spacing w:before="20" w:after="20"/>
            </w:pPr>
          </w:p>
        </w:tc>
        <w:tc>
          <w:tcPr>
            <w:tcW w:w="1876" w:type="dxa"/>
            <w:shd w:val="clear" w:color="auto" w:fill="D9E2F3"/>
            <w:vAlign w:val="center"/>
          </w:tcPr>
          <w:p w14:paraId="5EE91939" w14:textId="77777777" w:rsidR="00990B14" w:rsidRDefault="00000000">
            <w:pPr>
              <w:spacing w:before="20" w:after="20"/>
              <w:jc w:val="both"/>
            </w:pPr>
            <w:r>
              <w:rPr>
                <w:sz w:val="18"/>
                <w:szCs w:val="18"/>
              </w:rPr>
              <w:t>Tasa de aplicación</w:t>
            </w:r>
          </w:p>
        </w:tc>
        <w:tc>
          <w:tcPr>
            <w:tcW w:w="1876" w:type="dxa"/>
            <w:shd w:val="clear" w:color="auto" w:fill="D9E2F3"/>
            <w:vAlign w:val="center"/>
          </w:tcPr>
          <w:p w14:paraId="2F797B0C" w14:textId="77777777" w:rsidR="00990B14" w:rsidRDefault="00000000">
            <w:pPr>
              <w:spacing w:before="20" w:after="20"/>
              <w:jc w:val="both"/>
            </w:pPr>
            <w:r>
              <w:rPr>
                <w:sz w:val="18"/>
                <w:szCs w:val="18"/>
              </w:rPr>
              <w:t>Calcula erróneamente la tasa.</w:t>
            </w:r>
          </w:p>
        </w:tc>
        <w:tc>
          <w:tcPr>
            <w:tcW w:w="1876" w:type="dxa"/>
            <w:shd w:val="clear" w:color="auto" w:fill="D9E2F3"/>
            <w:vAlign w:val="center"/>
          </w:tcPr>
          <w:p w14:paraId="62723EF1" w14:textId="77777777" w:rsidR="00990B14" w:rsidRDefault="00000000">
            <w:pPr>
              <w:spacing w:before="20" w:after="20"/>
              <w:jc w:val="both"/>
            </w:pPr>
            <w:r>
              <w:rPr>
                <w:sz w:val="18"/>
                <w:szCs w:val="18"/>
              </w:rPr>
              <w:t>Calcula correctamente la tasa de aplicación.</w:t>
            </w:r>
          </w:p>
        </w:tc>
        <w:tc>
          <w:tcPr>
            <w:tcW w:w="1877" w:type="dxa"/>
            <w:shd w:val="clear" w:color="auto" w:fill="D9E2F3"/>
            <w:vAlign w:val="center"/>
          </w:tcPr>
          <w:p w14:paraId="53E59D9C" w14:textId="77777777" w:rsidR="00990B14" w:rsidRDefault="00000000">
            <w:pPr>
              <w:spacing w:before="20" w:after="20"/>
              <w:jc w:val="both"/>
            </w:pPr>
            <w:r>
              <w:rPr>
                <w:sz w:val="18"/>
                <w:szCs w:val="18"/>
              </w:rPr>
              <w:t>Justifica la base de aplicación elegida.</w:t>
            </w:r>
          </w:p>
        </w:tc>
      </w:tr>
      <w:tr w:rsidR="00990B14" w14:paraId="57C9C78B" w14:textId="77777777">
        <w:trPr>
          <w:cantSplit/>
          <w:jc w:val="center"/>
        </w:trPr>
        <w:tc>
          <w:tcPr>
            <w:tcW w:w="1900" w:type="dxa"/>
            <w:vMerge/>
            <w:shd w:val="clear" w:color="auto" w:fill="4472C4"/>
            <w:vAlign w:val="center"/>
          </w:tcPr>
          <w:p w14:paraId="5E78B160" w14:textId="77777777" w:rsidR="00990B14" w:rsidRDefault="00990B14">
            <w:pPr>
              <w:spacing w:before="20" w:after="20"/>
            </w:pPr>
          </w:p>
        </w:tc>
        <w:tc>
          <w:tcPr>
            <w:tcW w:w="1876" w:type="dxa"/>
            <w:shd w:val="clear" w:color="auto" w:fill="D9E2F3"/>
            <w:vAlign w:val="center"/>
          </w:tcPr>
          <w:p w14:paraId="573985BE" w14:textId="77777777" w:rsidR="00990B14" w:rsidRDefault="00000000">
            <w:pPr>
              <w:spacing w:before="20" w:after="20"/>
              <w:jc w:val="both"/>
            </w:pPr>
            <w:r>
              <w:rPr>
                <w:sz w:val="18"/>
                <w:szCs w:val="18"/>
              </w:rPr>
              <w:t>Distribución primaria y secundaria</w:t>
            </w:r>
          </w:p>
        </w:tc>
        <w:tc>
          <w:tcPr>
            <w:tcW w:w="1876" w:type="dxa"/>
            <w:shd w:val="clear" w:color="auto" w:fill="D9E2F3"/>
            <w:vAlign w:val="center"/>
          </w:tcPr>
          <w:p w14:paraId="54CCAA01" w14:textId="77777777" w:rsidR="00990B14" w:rsidRDefault="00000000">
            <w:pPr>
              <w:spacing w:before="20" w:after="20"/>
              <w:jc w:val="both"/>
            </w:pPr>
            <w:r>
              <w:rPr>
                <w:sz w:val="18"/>
                <w:szCs w:val="18"/>
              </w:rPr>
              <w:t>La distribución es incompleta.</w:t>
            </w:r>
          </w:p>
        </w:tc>
        <w:tc>
          <w:tcPr>
            <w:tcW w:w="1876" w:type="dxa"/>
            <w:shd w:val="clear" w:color="auto" w:fill="D9E2F3"/>
            <w:vAlign w:val="center"/>
          </w:tcPr>
          <w:p w14:paraId="4AA2DC5A" w14:textId="77777777" w:rsidR="00990B14" w:rsidRDefault="00000000">
            <w:pPr>
              <w:spacing w:before="20" w:after="20"/>
              <w:jc w:val="both"/>
            </w:pPr>
            <w:r>
              <w:rPr>
                <w:sz w:val="18"/>
                <w:szCs w:val="18"/>
              </w:rPr>
              <w:t>Distribuye correctamente los costos a los departamentos.</w:t>
            </w:r>
          </w:p>
        </w:tc>
        <w:tc>
          <w:tcPr>
            <w:tcW w:w="1877" w:type="dxa"/>
            <w:shd w:val="clear" w:color="auto" w:fill="D9E2F3"/>
            <w:vAlign w:val="center"/>
          </w:tcPr>
          <w:p w14:paraId="64EC496D" w14:textId="77777777" w:rsidR="00990B14" w:rsidRDefault="00000000">
            <w:pPr>
              <w:spacing w:before="20" w:after="20"/>
              <w:jc w:val="both"/>
            </w:pPr>
            <w:r>
              <w:rPr>
                <w:sz w:val="18"/>
                <w:szCs w:val="18"/>
              </w:rPr>
              <w:t>Analiza la variación entre costos incurridos y aplicados.</w:t>
            </w:r>
          </w:p>
        </w:tc>
      </w:tr>
      <w:tr w:rsidR="00990B14" w14:paraId="38FC0E92" w14:textId="77777777">
        <w:trPr>
          <w:cantSplit/>
          <w:jc w:val="center"/>
        </w:trPr>
        <w:tc>
          <w:tcPr>
            <w:tcW w:w="1900" w:type="dxa"/>
            <w:vMerge/>
            <w:shd w:val="clear" w:color="auto" w:fill="4472C4"/>
            <w:vAlign w:val="center"/>
          </w:tcPr>
          <w:p w14:paraId="72F8FD61" w14:textId="77777777" w:rsidR="00990B14" w:rsidRDefault="00990B14">
            <w:pPr>
              <w:spacing w:before="20" w:after="20"/>
            </w:pPr>
          </w:p>
        </w:tc>
        <w:tc>
          <w:tcPr>
            <w:tcW w:w="1876" w:type="dxa"/>
            <w:shd w:val="clear" w:color="auto" w:fill="D9E2F3"/>
            <w:vAlign w:val="center"/>
          </w:tcPr>
          <w:p w14:paraId="551D62EE" w14:textId="77777777" w:rsidR="00990B14" w:rsidRDefault="00000000">
            <w:pPr>
              <w:spacing w:before="20" w:after="20"/>
              <w:jc w:val="both"/>
            </w:pPr>
            <w:r>
              <w:rPr>
                <w:sz w:val="18"/>
                <w:szCs w:val="18"/>
              </w:rPr>
              <w:t>Uso de la hoja de cálculo</w:t>
            </w:r>
          </w:p>
        </w:tc>
        <w:tc>
          <w:tcPr>
            <w:tcW w:w="1876" w:type="dxa"/>
            <w:shd w:val="clear" w:color="auto" w:fill="D9E2F3"/>
            <w:vAlign w:val="center"/>
          </w:tcPr>
          <w:p w14:paraId="6369257E" w14:textId="77777777" w:rsidR="00990B14" w:rsidRDefault="00000000">
            <w:pPr>
              <w:spacing w:before="20" w:after="20"/>
              <w:jc w:val="both"/>
            </w:pPr>
            <w:r>
              <w:rPr>
                <w:sz w:val="18"/>
                <w:szCs w:val="18"/>
              </w:rPr>
              <w:t>No usa fórmulas.</w:t>
            </w:r>
          </w:p>
        </w:tc>
        <w:tc>
          <w:tcPr>
            <w:tcW w:w="1876" w:type="dxa"/>
            <w:shd w:val="clear" w:color="auto" w:fill="D9E2F3"/>
            <w:vAlign w:val="center"/>
          </w:tcPr>
          <w:p w14:paraId="53D0353A" w14:textId="77777777" w:rsidR="00990B14" w:rsidRDefault="00000000">
            <w:pPr>
              <w:spacing w:before="20" w:after="20"/>
              <w:jc w:val="both"/>
            </w:pPr>
            <w:r>
              <w:rPr>
                <w:sz w:val="18"/>
                <w:szCs w:val="18"/>
              </w:rPr>
              <w:t>Usa fórmulas y tablas dinámicas.</w:t>
            </w:r>
          </w:p>
        </w:tc>
        <w:tc>
          <w:tcPr>
            <w:tcW w:w="1877" w:type="dxa"/>
            <w:shd w:val="clear" w:color="auto" w:fill="D9E2F3"/>
            <w:vAlign w:val="center"/>
          </w:tcPr>
          <w:p w14:paraId="7596E5D5" w14:textId="77777777" w:rsidR="00990B14" w:rsidRDefault="00000000">
            <w:pPr>
              <w:spacing w:before="20" w:after="20"/>
              <w:jc w:val="both"/>
            </w:pPr>
            <w:r>
              <w:rPr>
                <w:sz w:val="18"/>
                <w:szCs w:val="18"/>
              </w:rPr>
              <w:t>El modelo es reutilizable y verificable.</w:t>
            </w:r>
          </w:p>
        </w:tc>
      </w:tr>
      <w:tr w:rsidR="00990B14" w14:paraId="134A4558" w14:textId="77777777">
        <w:trPr>
          <w:cantSplit/>
          <w:jc w:val="center"/>
        </w:trPr>
        <w:tc>
          <w:tcPr>
            <w:tcW w:w="1900" w:type="dxa"/>
            <w:vMerge/>
            <w:shd w:val="clear" w:color="auto" w:fill="4472C4"/>
            <w:vAlign w:val="center"/>
          </w:tcPr>
          <w:p w14:paraId="38C7C9FC" w14:textId="77777777" w:rsidR="00990B14" w:rsidRDefault="00990B14">
            <w:pPr>
              <w:spacing w:before="20" w:after="20"/>
            </w:pPr>
          </w:p>
        </w:tc>
        <w:tc>
          <w:tcPr>
            <w:tcW w:w="5628" w:type="dxa"/>
            <w:gridSpan w:val="3"/>
            <w:shd w:val="clear" w:color="auto" w:fill="D9E2F3"/>
            <w:vAlign w:val="center"/>
          </w:tcPr>
          <w:p w14:paraId="639CA54E" w14:textId="77777777" w:rsidR="00990B14" w:rsidRDefault="00000000">
            <w:pPr>
              <w:keepNext/>
              <w:spacing w:before="20" w:after="20"/>
              <w:jc w:val="both"/>
            </w:pPr>
            <w:r>
              <w:rPr>
                <w:b/>
                <w:bCs/>
                <w:i/>
                <w:iCs/>
                <w:sz w:val="18"/>
                <w:szCs w:val="18"/>
              </w:rPr>
              <w:t xml:space="preserve">Producto 5: </w:t>
            </w:r>
            <w:r>
              <w:rPr>
                <w:sz w:val="18"/>
                <w:szCs w:val="18"/>
              </w:rPr>
              <w:t>Hoja de costos por órdenes de trabajo</w:t>
            </w:r>
          </w:p>
        </w:tc>
        <w:tc>
          <w:tcPr>
            <w:tcW w:w="1877" w:type="dxa"/>
            <w:shd w:val="clear" w:color="auto" w:fill="D9E2F3"/>
            <w:vAlign w:val="center"/>
          </w:tcPr>
          <w:p w14:paraId="0B7E9C99" w14:textId="77777777" w:rsidR="00990B14" w:rsidRDefault="00000000">
            <w:pPr>
              <w:spacing w:before="20" w:after="20"/>
              <w:jc w:val="center"/>
            </w:pPr>
            <w:r>
              <w:rPr>
                <w:b/>
                <w:bCs/>
                <w:sz w:val="18"/>
                <w:szCs w:val="18"/>
              </w:rPr>
              <w:t>5%</w:t>
            </w:r>
          </w:p>
        </w:tc>
      </w:tr>
      <w:tr w:rsidR="00990B14" w14:paraId="64226ECD" w14:textId="77777777">
        <w:trPr>
          <w:cantSplit/>
          <w:jc w:val="center"/>
        </w:trPr>
        <w:tc>
          <w:tcPr>
            <w:tcW w:w="1900" w:type="dxa"/>
            <w:vMerge/>
            <w:shd w:val="clear" w:color="auto" w:fill="4472C4"/>
            <w:vAlign w:val="center"/>
          </w:tcPr>
          <w:p w14:paraId="2352F772" w14:textId="77777777" w:rsidR="00990B14" w:rsidRDefault="00990B14">
            <w:pPr>
              <w:spacing w:before="20" w:after="20"/>
            </w:pPr>
          </w:p>
        </w:tc>
        <w:tc>
          <w:tcPr>
            <w:tcW w:w="1876" w:type="dxa"/>
            <w:shd w:val="clear" w:color="auto" w:fill="4472C4"/>
            <w:vAlign w:val="center"/>
          </w:tcPr>
          <w:p w14:paraId="40EB85EA"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267D3003"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2BA799F0"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57C96487" w14:textId="77777777" w:rsidR="00990B14" w:rsidRDefault="00000000">
            <w:pPr>
              <w:keepNext/>
              <w:spacing w:before="20" w:after="20"/>
              <w:jc w:val="center"/>
            </w:pPr>
            <w:r>
              <w:rPr>
                <w:b/>
                <w:bCs/>
                <w:i/>
                <w:iCs/>
                <w:color w:val="FFFFFF"/>
                <w:sz w:val="18"/>
                <w:szCs w:val="18"/>
              </w:rPr>
              <w:t>Destacado (81–100)</w:t>
            </w:r>
          </w:p>
        </w:tc>
      </w:tr>
      <w:tr w:rsidR="00990B14" w14:paraId="79383284" w14:textId="77777777">
        <w:trPr>
          <w:cantSplit/>
          <w:jc w:val="center"/>
        </w:trPr>
        <w:tc>
          <w:tcPr>
            <w:tcW w:w="1900" w:type="dxa"/>
            <w:vMerge/>
            <w:shd w:val="clear" w:color="auto" w:fill="4472C4"/>
            <w:vAlign w:val="center"/>
          </w:tcPr>
          <w:p w14:paraId="18018D8F" w14:textId="77777777" w:rsidR="00990B14" w:rsidRDefault="00990B14">
            <w:pPr>
              <w:spacing w:before="20" w:after="20"/>
            </w:pPr>
          </w:p>
        </w:tc>
        <w:tc>
          <w:tcPr>
            <w:tcW w:w="1876" w:type="dxa"/>
            <w:shd w:val="clear" w:color="auto" w:fill="D9E2F3"/>
            <w:vAlign w:val="center"/>
          </w:tcPr>
          <w:p w14:paraId="0EA06DAF" w14:textId="77777777" w:rsidR="00990B14" w:rsidRDefault="00000000">
            <w:pPr>
              <w:spacing w:before="20" w:after="20"/>
              <w:jc w:val="both"/>
            </w:pPr>
            <w:r>
              <w:rPr>
                <w:sz w:val="18"/>
                <w:szCs w:val="18"/>
              </w:rPr>
              <w:t>Acumulación de costos</w:t>
            </w:r>
          </w:p>
        </w:tc>
        <w:tc>
          <w:tcPr>
            <w:tcW w:w="1876" w:type="dxa"/>
            <w:shd w:val="clear" w:color="auto" w:fill="D9E2F3"/>
            <w:vAlign w:val="center"/>
          </w:tcPr>
          <w:p w14:paraId="3B9C9809" w14:textId="77777777" w:rsidR="00990B14" w:rsidRDefault="00000000">
            <w:pPr>
              <w:spacing w:before="20" w:after="20"/>
              <w:jc w:val="both"/>
            </w:pPr>
            <w:r>
              <w:rPr>
                <w:sz w:val="18"/>
                <w:szCs w:val="18"/>
              </w:rPr>
              <w:t>La hoja no refleja los costos de la orden.</w:t>
            </w:r>
          </w:p>
        </w:tc>
        <w:tc>
          <w:tcPr>
            <w:tcW w:w="1876" w:type="dxa"/>
            <w:shd w:val="clear" w:color="auto" w:fill="D9E2F3"/>
            <w:vAlign w:val="center"/>
          </w:tcPr>
          <w:p w14:paraId="0181535C" w14:textId="77777777" w:rsidR="00990B14" w:rsidRDefault="00000000">
            <w:pPr>
              <w:spacing w:before="20" w:after="20"/>
              <w:jc w:val="both"/>
            </w:pPr>
            <w:r>
              <w:rPr>
                <w:sz w:val="18"/>
                <w:szCs w:val="18"/>
              </w:rPr>
              <w:t>Acumula materiales, mano de obra y costos indirectos por orden.</w:t>
            </w:r>
          </w:p>
        </w:tc>
        <w:tc>
          <w:tcPr>
            <w:tcW w:w="1877" w:type="dxa"/>
            <w:shd w:val="clear" w:color="auto" w:fill="D9E2F3"/>
            <w:vAlign w:val="center"/>
          </w:tcPr>
          <w:p w14:paraId="5967ABD7" w14:textId="77777777" w:rsidR="00990B14" w:rsidRDefault="00000000">
            <w:pPr>
              <w:spacing w:before="20" w:after="20"/>
              <w:jc w:val="both"/>
            </w:pPr>
            <w:r>
              <w:rPr>
                <w:sz w:val="18"/>
                <w:szCs w:val="18"/>
              </w:rPr>
              <w:t>Concilia la hoja con las cuentas de control.</w:t>
            </w:r>
          </w:p>
        </w:tc>
      </w:tr>
      <w:tr w:rsidR="00990B14" w14:paraId="50F23FD3" w14:textId="77777777">
        <w:trPr>
          <w:cantSplit/>
          <w:jc w:val="center"/>
        </w:trPr>
        <w:tc>
          <w:tcPr>
            <w:tcW w:w="1900" w:type="dxa"/>
            <w:vMerge/>
            <w:shd w:val="clear" w:color="auto" w:fill="4472C4"/>
            <w:vAlign w:val="center"/>
          </w:tcPr>
          <w:p w14:paraId="7BF6EE55" w14:textId="77777777" w:rsidR="00990B14" w:rsidRDefault="00990B14">
            <w:pPr>
              <w:spacing w:before="20" w:after="20"/>
            </w:pPr>
          </w:p>
        </w:tc>
        <w:tc>
          <w:tcPr>
            <w:tcW w:w="1876" w:type="dxa"/>
            <w:shd w:val="clear" w:color="auto" w:fill="D9E2F3"/>
            <w:vAlign w:val="center"/>
          </w:tcPr>
          <w:p w14:paraId="4B2220CC" w14:textId="77777777" w:rsidR="00990B14" w:rsidRDefault="00000000">
            <w:pPr>
              <w:spacing w:before="20" w:after="20"/>
              <w:jc w:val="both"/>
            </w:pPr>
            <w:r>
              <w:rPr>
                <w:sz w:val="18"/>
                <w:szCs w:val="18"/>
              </w:rPr>
              <w:t>Costos indirectos aplicados</w:t>
            </w:r>
          </w:p>
        </w:tc>
        <w:tc>
          <w:tcPr>
            <w:tcW w:w="1876" w:type="dxa"/>
            <w:shd w:val="clear" w:color="auto" w:fill="D9E2F3"/>
            <w:vAlign w:val="center"/>
          </w:tcPr>
          <w:p w14:paraId="77511DEE" w14:textId="77777777" w:rsidR="00990B14" w:rsidRDefault="00000000">
            <w:pPr>
              <w:spacing w:before="20" w:after="20"/>
              <w:jc w:val="both"/>
            </w:pPr>
            <w:r>
              <w:rPr>
                <w:sz w:val="18"/>
                <w:szCs w:val="18"/>
              </w:rPr>
              <w:t>No distingue costos incurridos y aplicados.</w:t>
            </w:r>
          </w:p>
        </w:tc>
        <w:tc>
          <w:tcPr>
            <w:tcW w:w="1876" w:type="dxa"/>
            <w:shd w:val="clear" w:color="auto" w:fill="D9E2F3"/>
            <w:vAlign w:val="center"/>
          </w:tcPr>
          <w:p w14:paraId="7DF61BE8" w14:textId="77777777" w:rsidR="00990B14" w:rsidRDefault="00000000">
            <w:pPr>
              <w:spacing w:before="20" w:after="20"/>
              <w:jc w:val="both"/>
            </w:pPr>
            <w:r>
              <w:rPr>
                <w:sz w:val="18"/>
                <w:szCs w:val="18"/>
              </w:rPr>
              <w:t>Aplica los costos indirectos con la tasa predeterminada.</w:t>
            </w:r>
          </w:p>
        </w:tc>
        <w:tc>
          <w:tcPr>
            <w:tcW w:w="1877" w:type="dxa"/>
            <w:shd w:val="clear" w:color="auto" w:fill="D9E2F3"/>
            <w:vAlign w:val="center"/>
          </w:tcPr>
          <w:p w14:paraId="65999B93" w14:textId="77777777" w:rsidR="00990B14" w:rsidRDefault="00000000">
            <w:pPr>
              <w:spacing w:before="20" w:after="20"/>
              <w:jc w:val="both"/>
            </w:pPr>
            <w:r>
              <w:rPr>
                <w:sz w:val="18"/>
                <w:szCs w:val="18"/>
              </w:rPr>
              <w:t>Ajusta la sobreaplicación o subaplicación.</w:t>
            </w:r>
          </w:p>
        </w:tc>
      </w:tr>
      <w:tr w:rsidR="00990B14" w14:paraId="4553D865" w14:textId="77777777">
        <w:trPr>
          <w:cantSplit/>
          <w:jc w:val="center"/>
        </w:trPr>
        <w:tc>
          <w:tcPr>
            <w:tcW w:w="1900" w:type="dxa"/>
            <w:vMerge/>
            <w:shd w:val="clear" w:color="auto" w:fill="4472C4"/>
            <w:vAlign w:val="center"/>
          </w:tcPr>
          <w:p w14:paraId="7887714B" w14:textId="77777777" w:rsidR="00990B14" w:rsidRDefault="00990B14">
            <w:pPr>
              <w:spacing w:before="20" w:after="20"/>
            </w:pPr>
          </w:p>
        </w:tc>
        <w:tc>
          <w:tcPr>
            <w:tcW w:w="1876" w:type="dxa"/>
            <w:shd w:val="clear" w:color="auto" w:fill="D9E2F3"/>
            <w:vAlign w:val="center"/>
          </w:tcPr>
          <w:p w14:paraId="7F123CCF" w14:textId="77777777" w:rsidR="00990B14" w:rsidRDefault="00000000">
            <w:pPr>
              <w:spacing w:before="20" w:after="20"/>
              <w:jc w:val="both"/>
            </w:pPr>
            <w:r>
              <w:rPr>
                <w:sz w:val="18"/>
                <w:szCs w:val="18"/>
              </w:rPr>
              <w:t>Costo unitario</w:t>
            </w:r>
          </w:p>
        </w:tc>
        <w:tc>
          <w:tcPr>
            <w:tcW w:w="1876" w:type="dxa"/>
            <w:shd w:val="clear" w:color="auto" w:fill="D9E2F3"/>
            <w:vAlign w:val="center"/>
          </w:tcPr>
          <w:p w14:paraId="79B3C70F" w14:textId="77777777" w:rsidR="00990B14" w:rsidRDefault="00000000">
            <w:pPr>
              <w:spacing w:before="20" w:after="20"/>
              <w:jc w:val="both"/>
            </w:pPr>
            <w:r>
              <w:rPr>
                <w:sz w:val="18"/>
                <w:szCs w:val="18"/>
              </w:rPr>
              <w:t>Calcula erróneamente el costo unitario.</w:t>
            </w:r>
          </w:p>
        </w:tc>
        <w:tc>
          <w:tcPr>
            <w:tcW w:w="1876" w:type="dxa"/>
            <w:shd w:val="clear" w:color="auto" w:fill="D9E2F3"/>
            <w:vAlign w:val="center"/>
          </w:tcPr>
          <w:p w14:paraId="00E88004" w14:textId="77777777" w:rsidR="00990B14" w:rsidRDefault="00000000">
            <w:pPr>
              <w:spacing w:before="20" w:after="20"/>
              <w:jc w:val="both"/>
            </w:pPr>
            <w:r>
              <w:rPr>
                <w:sz w:val="18"/>
                <w:szCs w:val="18"/>
              </w:rPr>
              <w:t>Determina el costo unitario y total de la orden.</w:t>
            </w:r>
          </w:p>
        </w:tc>
        <w:tc>
          <w:tcPr>
            <w:tcW w:w="1877" w:type="dxa"/>
            <w:shd w:val="clear" w:color="auto" w:fill="D9E2F3"/>
            <w:vAlign w:val="center"/>
          </w:tcPr>
          <w:p w14:paraId="7283CCC7" w14:textId="77777777" w:rsidR="00990B14" w:rsidRDefault="00000000">
            <w:pPr>
              <w:spacing w:before="20" w:after="20"/>
              <w:jc w:val="both"/>
            </w:pPr>
            <w:r>
              <w:rPr>
                <w:sz w:val="18"/>
                <w:szCs w:val="18"/>
              </w:rPr>
              <w:t>Usa el costo de la orden para fijar el precio.</w:t>
            </w:r>
          </w:p>
        </w:tc>
      </w:tr>
      <w:tr w:rsidR="00990B14" w14:paraId="4EBF2EC1" w14:textId="77777777">
        <w:trPr>
          <w:cantSplit/>
          <w:jc w:val="center"/>
        </w:trPr>
        <w:tc>
          <w:tcPr>
            <w:tcW w:w="1900" w:type="dxa"/>
            <w:vMerge/>
            <w:shd w:val="clear" w:color="auto" w:fill="4472C4"/>
            <w:vAlign w:val="center"/>
          </w:tcPr>
          <w:p w14:paraId="3CA16180" w14:textId="77777777" w:rsidR="00990B14" w:rsidRDefault="00990B14">
            <w:pPr>
              <w:spacing w:before="20" w:after="20"/>
            </w:pPr>
          </w:p>
        </w:tc>
        <w:tc>
          <w:tcPr>
            <w:tcW w:w="5628" w:type="dxa"/>
            <w:gridSpan w:val="3"/>
            <w:shd w:val="clear" w:color="auto" w:fill="D9E2F3"/>
            <w:vAlign w:val="center"/>
          </w:tcPr>
          <w:p w14:paraId="162637EE" w14:textId="77777777" w:rsidR="00990B14" w:rsidRDefault="00000000">
            <w:pPr>
              <w:keepNext/>
              <w:spacing w:before="20" w:after="20"/>
              <w:jc w:val="both"/>
            </w:pPr>
            <w:r>
              <w:rPr>
                <w:b/>
                <w:bCs/>
                <w:i/>
                <w:iCs/>
                <w:sz w:val="18"/>
                <w:szCs w:val="18"/>
              </w:rPr>
              <w:t xml:space="preserve">Producto 6: </w:t>
            </w:r>
            <w:r>
              <w:rPr>
                <w:sz w:val="18"/>
                <w:szCs w:val="18"/>
              </w:rPr>
              <w:t>Informe del tratamiento contable de pérdidas por desperdicio de materiales y producción defectuosa</w:t>
            </w:r>
          </w:p>
        </w:tc>
        <w:tc>
          <w:tcPr>
            <w:tcW w:w="1877" w:type="dxa"/>
            <w:shd w:val="clear" w:color="auto" w:fill="D9E2F3"/>
            <w:vAlign w:val="center"/>
          </w:tcPr>
          <w:p w14:paraId="533C636D" w14:textId="77777777" w:rsidR="00990B14" w:rsidRDefault="00000000">
            <w:pPr>
              <w:spacing w:before="20" w:after="20"/>
              <w:jc w:val="center"/>
            </w:pPr>
            <w:r>
              <w:rPr>
                <w:b/>
                <w:bCs/>
                <w:sz w:val="18"/>
                <w:szCs w:val="18"/>
              </w:rPr>
              <w:t>5%</w:t>
            </w:r>
          </w:p>
        </w:tc>
      </w:tr>
      <w:tr w:rsidR="00990B14" w14:paraId="302E8438" w14:textId="77777777">
        <w:trPr>
          <w:cantSplit/>
          <w:jc w:val="center"/>
        </w:trPr>
        <w:tc>
          <w:tcPr>
            <w:tcW w:w="1900" w:type="dxa"/>
            <w:vMerge/>
            <w:shd w:val="clear" w:color="auto" w:fill="4472C4"/>
            <w:vAlign w:val="center"/>
          </w:tcPr>
          <w:p w14:paraId="17717A02" w14:textId="77777777" w:rsidR="00990B14" w:rsidRDefault="00990B14">
            <w:pPr>
              <w:spacing w:before="20" w:after="20"/>
            </w:pPr>
          </w:p>
        </w:tc>
        <w:tc>
          <w:tcPr>
            <w:tcW w:w="1876" w:type="dxa"/>
            <w:shd w:val="clear" w:color="auto" w:fill="4472C4"/>
            <w:vAlign w:val="center"/>
          </w:tcPr>
          <w:p w14:paraId="776254AC"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1257424C"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3897222B"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1906AD2E" w14:textId="77777777" w:rsidR="00990B14" w:rsidRDefault="00000000">
            <w:pPr>
              <w:keepNext/>
              <w:spacing w:before="20" w:after="20"/>
              <w:jc w:val="center"/>
            </w:pPr>
            <w:r>
              <w:rPr>
                <w:b/>
                <w:bCs/>
                <w:i/>
                <w:iCs/>
                <w:color w:val="FFFFFF"/>
                <w:sz w:val="18"/>
                <w:szCs w:val="18"/>
              </w:rPr>
              <w:t>Destacado (81–100)</w:t>
            </w:r>
          </w:p>
        </w:tc>
      </w:tr>
      <w:tr w:rsidR="00990B14" w14:paraId="48D9BD2A" w14:textId="77777777">
        <w:trPr>
          <w:cantSplit/>
          <w:jc w:val="center"/>
        </w:trPr>
        <w:tc>
          <w:tcPr>
            <w:tcW w:w="1900" w:type="dxa"/>
            <w:vMerge/>
            <w:shd w:val="clear" w:color="auto" w:fill="4472C4"/>
            <w:vAlign w:val="center"/>
          </w:tcPr>
          <w:p w14:paraId="03932F44" w14:textId="77777777" w:rsidR="00990B14" w:rsidRDefault="00990B14">
            <w:pPr>
              <w:spacing w:before="20" w:after="20"/>
            </w:pPr>
          </w:p>
        </w:tc>
        <w:tc>
          <w:tcPr>
            <w:tcW w:w="1876" w:type="dxa"/>
            <w:shd w:val="clear" w:color="auto" w:fill="D9E2F3"/>
            <w:vAlign w:val="center"/>
          </w:tcPr>
          <w:p w14:paraId="4088EBCA" w14:textId="77777777" w:rsidR="00990B14" w:rsidRDefault="00000000">
            <w:pPr>
              <w:spacing w:before="20" w:after="20"/>
              <w:jc w:val="both"/>
            </w:pPr>
            <w:r>
              <w:rPr>
                <w:sz w:val="18"/>
                <w:szCs w:val="18"/>
              </w:rPr>
              <w:t>Pérdidas normales y anormales</w:t>
            </w:r>
          </w:p>
        </w:tc>
        <w:tc>
          <w:tcPr>
            <w:tcW w:w="1876" w:type="dxa"/>
            <w:shd w:val="clear" w:color="auto" w:fill="D9E2F3"/>
            <w:vAlign w:val="center"/>
          </w:tcPr>
          <w:p w14:paraId="5FCA850A" w14:textId="77777777" w:rsidR="00990B14" w:rsidRDefault="00000000">
            <w:pPr>
              <w:spacing w:before="20" w:after="20"/>
              <w:jc w:val="both"/>
            </w:pPr>
            <w:r>
              <w:rPr>
                <w:sz w:val="18"/>
                <w:szCs w:val="18"/>
              </w:rPr>
              <w:t>Confunde ambos tipos de pérdida.</w:t>
            </w:r>
          </w:p>
        </w:tc>
        <w:tc>
          <w:tcPr>
            <w:tcW w:w="1876" w:type="dxa"/>
            <w:shd w:val="clear" w:color="auto" w:fill="D9E2F3"/>
            <w:vAlign w:val="center"/>
          </w:tcPr>
          <w:p w14:paraId="775EB69B" w14:textId="77777777" w:rsidR="00990B14" w:rsidRDefault="00000000">
            <w:pPr>
              <w:spacing w:before="20" w:after="20"/>
              <w:jc w:val="both"/>
            </w:pPr>
            <w:r>
              <w:rPr>
                <w:sz w:val="18"/>
                <w:szCs w:val="18"/>
              </w:rPr>
              <w:t>Distingue y contabiliza las pérdidas normales y anormales.</w:t>
            </w:r>
          </w:p>
        </w:tc>
        <w:tc>
          <w:tcPr>
            <w:tcW w:w="1877" w:type="dxa"/>
            <w:shd w:val="clear" w:color="auto" w:fill="D9E2F3"/>
            <w:vAlign w:val="center"/>
          </w:tcPr>
          <w:p w14:paraId="079060AF" w14:textId="77777777" w:rsidR="00990B14" w:rsidRDefault="00000000">
            <w:pPr>
              <w:spacing w:before="20" w:after="20"/>
              <w:jc w:val="both"/>
            </w:pPr>
            <w:r>
              <w:rPr>
                <w:sz w:val="18"/>
                <w:szCs w:val="18"/>
              </w:rPr>
              <w:t>Analiza las causas de las pérdidas anormales.</w:t>
            </w:r>
          </w:p>
        </w:tc>
      </w:tr>
      <w:tr w:rsidR="00990B14" w14:paraId="36447DC5" w14:textId="77777777">
        <w:trPr>
          <w:cantSplit/>
          <w:jc w:val="center"/>
        </w:trPr>
        <w:tc>
          <w:tcPr>
            <w:tcW w:w="1900" w:type="dxa"/>
            <w:vMerge/>
            <w:shd w:val="clear" w:color="auto" w:fill="4472C4"/>
            <w:vAlign w:val="center"/>
          </w:tcPr>
          <w:p w14:paraId="643AD8CF" w14:textId="77777777" w:rsidR="00990B14" w:rsidRDefault="00990B14">
            <w:pPr>
              <w:spacing w:before="20" w:after="20"/>
            </w:pPr>
          </w:p>
        </w:tc>
        <w:tc>
          <w:tcPr>
            <w:tcW w:w="1876" w:type="dxa"/>
            <w:shd w:val="clear" w:color="auto" w:fill="D9E2F3"/>
            <w:vAlign w:val="center"/>
          </w:tcPr>
          <w:p w14:paraId="409C7443" w14:textId="77777777" w:rsidR="00990B14" w:rsidRDefault="00000000">
            <w:pPr>
              <w:spacing w:before="20" w:after="20"/>
              <w:jc w:val="both"/>
            </w:pPr>
            <w:r>
              <w:rPr>
                <w:sz w:val="18"/>
                <w:szCs w:val="18"/>
              </w:rPr>
              <w:t>Producción defectuosa y averiada</w:t>
            </w:r>
          </w:p>
        </w:tc>
        <w:tc>
          <w:tcPr>
            <w:tcW w:w="1876" w:type="dxa"/>
            <w:shd w:val="clear" w:color="auto" w:fill="D9E2F3"/>
            <w:vAlign w:val="center"/>
          </w:tcPr>
          <w:p w14:paraId="4D24F9DE" w14:textId="77777777" w:rsidR="00990B14" w:rsidRDefault="00000000">
            <w:pPr>
              <w:spacing w:before="20" w:after="20"/>
              <w:jc w:val="both"/>
            </w:pPr>
            <w:r>
              <w:rPr>
                <w:sz w:val="18"/>
                <w:szCs w:val="18"/>
              </w:rPr>
              <w:t>No distingue la producción defectuosa de la averiada.</w:t>
            </w:r>
          </w:p>
        </w:tc>
        <w:tc>
          <w:tcPr>
            <w:tcW w:w="1876" w:type="dxa"/>
            <w:shd w:val="clear" w:color="auto" w:fill="D9E2F3"/>
            <w:vAlign w:val="center"/>
          </w:tcPr>
          <w:p w14:paraId="1E929716" w14:textId="77777777" w:rsidR="00990B14" w:rsidRDefault="00000000">
            <w:pPr>
              <w:spacing w:before="20" w:after="20"/>
              <w:jc w:val="both"/>
            </w:pPr>
            <w:r>
              <w:rPr>
                <w:sz w:val="18"/>
                <w:szCs w:val="18"/>
              </w:rPr>
              <w:t>Registra correctamente ambos casos.</w:t>
            </w:r>
          </w:p>
        </w:tc>
        <w:tc>
          <w:tcPr>
            <w:tcW w:w="1877" w:type="dxa"/>
            <w:shd w:val="clear" w:color="auto" w:fill="D9E2F3"/>
            <w:vAlign w:val="center"/>
          </w:tcPr>
          <w:p w14:paraId="78BAEDDF" w14:textId="77777777" w:rsidR="00990B14" w:rsidRDefault="00000000">
            <w:pPr>
              <w:spacing w:before="20" w:after="20"/>
              <w:jc w:val="both"/>
            </w:pPr>
            <w:r>
              <w:rPr>
                <w:sz w:val="18"/>
                <w:szCs w:val="18"/>
              </w:rPr>
              <w:t>Propone medidas de control de la calidad.</w:t>
            </w:r>
          </w:p>
        </w:tc>
      </w:tr>
      <w:tr w:rsidR="00990B14" w14:paraId="17F1573E" w14:textId="77777777">
        <w:trPr>
          <w:cantSplit/>
          <w:jc w:val="center"/>
        </w:trPr>
        <w:tc>
          <w:tcPr>
            <w:tcW w:w="1900" w:type="dxa"/>
            <w:vMerge/>
            <w:shd w:val="clear" w:color="auto" w:fill="4472C4"/>
            <w:vAlign w:val="center"/>
          </w:tcPr>
          <w:p w14:paraId="7C99CED9" w14:textId="77777777" w:rsidR="00990B14" w:rsidRDefault="00990B14">
            <w:pPr>
              <w:spacing w:before="20" w:after="20"/>
            </w:pPr>
          </w:p>
        </w:tc>
        <w:tc>
          <w:tcPr>
            <w:tcW w:w="1876" w:type="dxa"/>
            <w:shd w:val="clear" w:color="auto" w:fill="D9E2F3"/>
            <w:vAlign w:val="center"/>
          </w:tcPr>
          <w:p w14:paraId="33A14455" w14:textId="77777777" w:rsidR="00990B14" w:rsidRDefault="00000000">
            <w:pPr>
              <w:spacing w:before="20" w:after="20"/>
              <w:jc w:val="both"/>
            </w:pPr>
            <w:r>
              <w:rPr>
                <w:sz w:val="18"/>
                <w:szCs w:val="18"/>
              </w:rPr>
              <w:t>Redacción del informe</w:t>
            </w:r>
          </w:p>
        </w:tc>
        <w:tc>
          <w:tcPr>
            <w:tcW w:w="1876" w:type="dxa"/>
            <w:shd w:val="clear" w:color="auto" w:fill="D9E2F3"/>
            <w:vAlign w:val="center"/>
          </w:tcPr>
          <w:p w14:paraId="4CC74120" w14:textId="77777777" w:rsidR="00990B14" w:rsidRDefault="00000000">
            <w:pPr>
              <w:spacing w:before="20" w:after="20"/>
              <w:jc w:val="both"/>
            </w:pPr>
            <w:r>
              <w:rPr>
                <w:sz w:val="18"/>
                <w:szCs w:val="18"/>
              </w:rPr>
              <w:t>El informe es confuso.</w:t>
            </w:r>
          </w:p>
        </w:tc>
        <w:tc>
          <w:tcPr>
            <w:tcW w:w="1876" w:type="dxa"/>
            <w:shd w:val="clear" w:color="auto" w:fill="D9E2F3"/>
            <w:vAlign w:val="center"/>
          </w:tcPr>
          <w:p w14:paraId="131A5713" w14:textId="77777777" w:rsidR="00990B14" w:rsidRDefault="00000000">
            <w:pPr>
              <w:spacing w:before="20" w:after="20"/>
              <w:jc w:val="both"/>
            </w:pPr>
            <w:r>
              <w:rPr>
                <w:sz w:val="18"/>
                <w:szCs w:val="18"/>
              </w:rPr>
              <w:t>El informe es claro y ordenado.</w:t>
            </w:r>
          </w:p>
        </w:tc>
        <w:tc>
          <w:tcPr>
            <w:tcW w:w="1877" w:type="dxa"/>
            <w:shd w:val="clear" w:color="auto" w:fill="D9E2F3"/>
            <w:vAlign w:val="center"/>
          </w:tcPr>
          <w:p w14:paraId="748B1D56" w14:textId="77777777" w:rsidR="00990B14" w:rsidRDefault="00000000">
            <w:pPr>
              <w:spacing w:before="20" w:after="20"/>
              <w:jc w:val="both"/>
            </w:pPr>
            <w:r>
              <w:rPr>
                <w:sz w:val="18"/>
                <w:szCs w:val="18"/>
              </w:rPr>
              <w:t>El informe sustenta sus conclusiones con cifras.</w:t>
            </w:r>
          </w:p>
        </w:tc>
      </w:tr>
      <w:tr w:rsidR="00990B14" w14:paraId="7281A057" w14:textId="77777777">
        <w:trPr>
          <w:cantSplit/>
          <w:jc w:val="center"/>
        </w:trPr>
        <w:tc>
          <w:tcPr>
            <w:tcW w:w="1900" w:type="dxa"/>
            <w:vMerge/>
            <w:shd w:val="clear" w:color="auto" w:fill="4472C4"/>
            <w:vAlign w:val="center"/>
          </w:tcPr>
          <w:p w14:paraId="20ACA7B0" w14:textId="77777777" w:rsidR="00990B14" w:rsidRDefault="00990B14">
            <w:pPr>
              <w:spacing w:before="20" w:after="20"/>
            </w:pPr>
          </w:p>
        </w:tc>
        <w:tc>
          <w:tcPr>
            <w:tcW w:w="5628" w:type="dxa"/>
            <w:gridSpan w:val="3"/>
            <w:shd w:val="clear" w:color="auto" w:fill="D9E2F3"/>
            <w:vAlign w:val="center"/>
          </w:tcPr>
          <w:p w14:paraId="1AA9CD54" w14:textId="77777777" w:rsidR="00990B14" w:rsidRDefault="00000000">
            <w:pPr>
              <w:keepNext/>
              <w:spacing w:before="20" w:after="20"/>
              <w:jc w:val="both"/>
            </w:pPr>
            <w:r>
              <w:rPr>
                <w:b/>
                <w:bCs/>
                <w:i/>
                <w:iCs/>
                <w:sz w:val="18"/>
                <w:szCs w:val="18"/>
              </w:rPr>
              <w:t xml:space="preserve">Producto 7: </w:t>
            </w:r>
            <w:r>
              <w:rPr>
                <w:sz w:val="18"/>
                <w:szCs w:val="18"/>
              </w:rPr>
              <w:t>Cuadro de costos indirectos aplicados y costos incurridos</w:t>
            </w:r>
          </w:p>
        </w:tc>
        <w:tc>
          <w:tcPr>
            <w:tcW w:w="1877" w:type="dxa"/>
            <w:shd w:val="clear" w:color="auto" w:fill="D9E2F3"/>
            <w:vAlign w:val="center"/>
          </w:tcPr>
          <w:p w14:paraId="7F36C071" w14:textId="77777777" w:rsidR="00990B14" w:rsidRDefault="00000000">
            <w:pPr>
              <w:spacing w:before="20" w:after="20"/>
              <w:jc w:val="center"/>
            </w:pPr>
            <w:r>
              <w:rPr>
                <w:b/>
                <w:bCs/>
                <w:sz w:val="18"/>
                <w:szCs w:val="18"/>
              </w:rPr>
              <w:t>5%</w:t>
            </w:r>
          </w:p>
        </w:tc>
      </w:tr>
      <w:tr w:rsidR="00990B14" w14:paraId="6E72BE6D" w14:textId="77777777">
        <w:trPr>
          <w:cantSplit/>
          <w:jc w:val="center"/>
        </w:trPr>
        <w:tc>
          <w:tcPr>
            <w:tcW w:w="1900" w:type="dxa"/>
            <w:vMerge/>
            <w:shd w:val="clear" w:color="auto" w:fill="4472C4"/>
            <w:vAlign w:val="center"/>
          </w:tcPr>
          <w:p w14:paraId="71F11C05" w14:textId="77777777" w:rsidR="00990B14" w:rsidRDefault="00990B14">
            <w:pPr>
              <w:spacing w:before="20" w:after="20"/>
            </w:pPr>
          </w:p>
        </w:tc>
        <w:tc>
          <w:tcPr>
            <w:tcW w:w="1876" w:type="dxa"/>
            <w:shd w:val="clear" w:color="auto" w:fill="4472C4"/>
            <w:vAlign w:val="center"/>
          </w:tcPr>
          <w:p w14:paraId="49CCD3BE"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51E3F777"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31996919"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6561A7E4" w14:textId="77777777" w:rsidR="00990B14" w:rsidRDefault="00000000">
            <w:pPr>
              <w:keepNext/>
              <w:spacing w:before="20" w:after="20"/>
              <w:jc w:val="center"/>
            </w:pPr>
            <w:r>
              <w:rPr>
                <w:b/>
                <w:bCs/>
                <w:i/>
                <w:iCs/>
                <w:color w:val="FFFFFF"/>
                <w:sz w:val="18"/>
                <w:szCs w:val="18"/>
              </w:rPr>
              <w:t>Destacado (81–100)</w:t>
            </w:r>
          </w:p>
        </w:tc>
      </w:tr>
      <w:tr w:rsidR="00990B14" w14:paraId="45C08965" w14:textId="77777777">
        <w:trPr>
          <w:cantSplit/>
          <w:jc w:val="center"/>
        </w:trPr>
        <w:tc>
          <w:tcPr>
            <w:tcW w:w="1900" w:type="dxa"/>
            <w:vMerge/>
            <w:shd w:val="clear" w:color="auto" w:fill="4472C4"/>
            <w:vAlign w:val="center"/>
          </w:tcPr>
          <w:p w14:paraId="43004B51" w14:textId="77777777" w:rsidR="00990B14" w:rsidRDefault="00990B14">
            <w:pPr>
              <w:spacing w:before="20" w:after="20"/>
            </w:pPr>
          </w:p>
        </w:tc>
        <w:tc>
          <w:tcPr>
            <w:tcW w:w="1876" w:type="dxa"/>
            <w:shd w:val="clear" w:color="auto" w:fill="D9E2F3"/>
            <w:vAlign w:val="center"/>
          </w:tcPr>
          <w:p w14:paraId="7D5635AB" w14:textId="77777777" w:rsidR="00990B14" w:rsidRDefault="00000000">
            <w:pPr>
              <w:spacing w:before="20" w:after="20"/>
              <w:jc w:val="both"/>
            </w:pPr>
            <w:r>
              <w:rPr>
                <w:sz w:val="18"/>
                <w:szCs w:val="18"/>
              </w:rPr>
              <w:t>Aplicación a las órdenes</w:t>
            </w:r>
          </w:p>
        </w:tc>
        <w:tc>
          <w:tcPr>
            <w:tcW w:w="1876" w:type="dxa"/>
            <w:shd w:val="clear" w:color="auto" w:fill="D9E2F3"/>
            <w:vAlign w:val="center"/>
          </w:tcPr>
          <w:p w14:paraId="6F55D9C1" w14:textId="77777777" w:rsidR="00990B14" w:rsidRDefault="00000000">
            <w:pPr>
              <w:spacing w:before="20" w:after="20"/>
              <w:jc w:val="both"/>
            </w:pPr>
            <w:r>
              <w:rPr>
                <w:sz w:val="18"/>
                <w:szCs w:val="18"/>
              </w:rPr>
              <w:t>No aplica los costos indirectos a cada orden.</w:t>
            </w:r>
          </w:p>
        </w:tc>
        <w:tc>
          <w:tcPr>
            <w:tcW w:w="1876" w:type="dxa"/>
            <w:shd w:val="clear" w:color="auto" w:fill="D9E2F3"/>
            <w:vAlign w:val="center"/>
          </w:tcPr>
          <w:p w14:paraId="4B8FAC09" w14:textId="77777777" w:rsidR="00990B14" w:rsidRDefault="00000000">
            <w:pPr>
              <w:spacing w:before="20" w:after="20"/>
              <w:jc w:val="both"/>
            </w:pPr>
            <w:r>
              <w:rPr>
                <w:sz w:val="18"/>
                <w:szCs w:val="18"/>
              </w:rPr>
              <w:t>Aplica los costos indirectos a cada orden con la tasa predeterminada.</w:t>
            </w:r>
          </w:p>
        </w:tc>
        <w:tc>
          <w:tcPr>
            <w:tcW w:w="1877" w:type="dxa"/>
            <w:shd w:val="clear" w:color="auto" w:fill="D9E2F3"/>
            <w:vAlign w:val="center"/>
          </w:tcPr>
          <w:p w14:paraId="61C7B6E6" w14:textId="77777777" w:rsidR="00990B14" w:rsidRDefault="00000000">
            <w:pPr>
              <w:spacing w:before="20" w:after="20"/>
              <w:jc w:val="both"/>
            </w:pPr>
            <w:r>
              <w:rPr>
                <w:sz w:val="18"/>
                <w:szCs w:val="18"/>
              </w:rPr>
              <w:t>Justifica la base de aplicación de cada orden.</w:t>
            </w:r>
          </w:p>
        </w:tc>
      </w:tr>
      <w:tr w:rsidR="00990B14" w14:paraId="06B96EB6" w14:textId="77777777">
        <w:trPr>
          <w:cantSplit/>
          <w:jc w:val="center"/>
        </w:trPr>
        <w:tc>
          <w:tcPr>
            <w:tcW w:w="1900" w:type="dxa"/>
            <w:vMerge/>
            <w:shd w:val="clear" w:color="auto" w:fill="4472C4"/>
            <w:vAlign w:val="center"/>
          </w:tcPr>
          <w:p w14:paraId="0663BA7E" w14:textId="77777777" w:rsidR="00990B14" w:rsidRDefault="00990B14">
            <w:pPr>
              <w:spacing w:before="20" w:after="20"/>
            </w:pPr>
          </w:p>
        </w:tc>
        <w:tc>
          <w:tcPr>
            <w:tcW w:w="1876" w:type="dxa"/>
            <w:shd w:val="clear" w:color="auto" w:fill="D9E2F3"/>
            <w:vAlign w:val="center"/>
          </w:tcPr>
          <w:p w14:paraId="3AF61C3C" w14:textId="77777777" w:rsidR="00990B14" w:rsidRDefault="00000000">
            <w:pPr>
              <w:spacing w:before="20" w:after="20"/>
              <w:jc w:val="both"/>
            </w:pPr>
            <w:r>
              <w:rPr>
                <w:sz w:val="18"/>
                <w:szCs w:val="18"/>
              </w:rPr>
              <w:t>Costos incurridos</w:t>
            </w:r>
          </w:p>
        </w:tc>
        <w:tc>
          <w:tcPr>
            <w:tcW w:w="1876" w:type="dxa"/>
            <w:shd w:val="clear" w:color="auto" w:fill="D9E2F3"/>
            <w:vAlign w:val="center"/>
          </w:tcPr>
          <w:p w14:paraId="0EA606F0" w14:textId="77777777" w:rsidR="00990B14" w:rsidRDefault="00000000">
            <w:pPr>
              <w:spacing w:before="20" w:after="20"/>
              <w:jc w:val="both"/>
            </w:pPr>
            <w:r>
              <w:rPr>
                <w:sz w:val="18"/>
                <w:szCs w:val="18"/>
              </w:rPr>
              <w:t>Omite costos indirectos incurridos del periodo.</w:t>
            </w:r>
          </w:p>
        </w:tc>
        <w:tc>
          <w:tcPr>
            <w:tcW w:w="1876" w:type="dxa"/>
            <w:shd w:val="clear" w:color="auto" w:fill="D9E2F3"/>
            <w:vAlign w:val="center"/>
          </w:tcPr>
          <w:p w14:paraId="1264D033" w14:textId="77777777" w:rsidR="00990B14" w:rsidRDefault="00000000">
            <w:pPr>
              <w:spacing w:before="20" w:after="20"/>
              <w:jc w:val="both"/>
            </w:pPr>
            <w:r>
              <w:rPr>
                <w:sz w:val="18"/>
                <w:szCs w:val="18"/>
              </w:rPr>
              <w:t>Acumula los costos indirectos incurridos del periodo.</w:t>
            </w:r>
          </w:p>
        </w:tc>
        <w:tc>
          <w:tcPr>
            <w:tcW w:w="1877" w:type="dxa"/>
            <w:shd w:val="clear" w:color="auto" w:fill="D9E2F3"/>
            <w:vAlign w:val="center"/>
          </w:tcPr>
          <w:p w14:paraId="4093F20B" w14:textId="77777777" w:rsidR="00990B14" w:rsidRDefault="00000000">
            <w:pPr>
              <w:spacing w:before="20" w:after="20"/>
              <w:jc w:val="both"/>
            </w:pPr>
            <w:r>
              <w:rPr>
                <w:sz w:val="18"/>
                <w:szCs w:val="18"/>
              </w:rPr>
              <w:t>Concilia los costos incurridos con los registros.</w:t>
            </w:r>
          </w:p>
        </w:tc>
      </w:tr>
      <w:tr w:rsidR="00990B14" w14:paraId="3E5F082F" w14:textId="77777777">
        <w:trPr>
          <w:cantSplit/>
          <w:jc w:val="center"/>
        </w:trPr>
        <w:tc>
          <w:tcPr>
            <w:tcW w:w="1900" w:type="dxa"/>
            <w:vMerge/>
            <w:shd w:val="clear" w:color="auto" w:fill="4472C4"/>
            <w:vAlign w:val="center"/>
          </w:tcPr>
          <w:p w14:paraId="12D8E003" w14:textId="77777777" w:rsidR="00990B14" w:rsidRDefault="00990B14">
            <w:pPr>
              <w:spacing w:before="20" w:after="20"/>
            </w:pPr>
          </w:p>
        </w:tc>
        <w:tc>
          <w:tcPr>
            <w:tcW w:w="1876" w:type="dxa"/>
            <w:shd w:val="clear" w:color="auto" w:fill="D9E2F3"/>
            <w:vAlign w:val="center"/>
          </w:tcPr>
          <w:p w14:paraId="251686CB" w14:textId="77777777" w:rsidR="00990B14" w:rsidRDefault="00000000">
            <w:pPr>
              <w:spacing w:before="20" w:after="20"/>
              <w:jc w:val="both"/>
            </w:pPr>
            <w:r>
              <w:rPr>
                <w:sz w:val="18"/>
                <w:szCs w:val="18"/>
              </w:rPr>
              <w:t>Diferencia del periodo</w:t>
            </w:r>
          </w:p>
        </w:tc>
        <w:tc>
          <w:tcPr>
            <w:tcW w:w="1876" w:type="dxa"/>
            <w:shd w:val="clear" w:color="auto" w:fill="D9E2F3"/>
            <w:vAlign w:val="center"/>
          </w:tcPr>
          <w:p w14:paraId="6C3DD9F5" w14:textId="77777777" w:rsidR="00990B14" w:rsidRDefault="00000000">
            <w:pPr>
              <w:spacing w:before="20" w:after="20"/>
              <w:jc w:val="both"/>
            </w:pPr>
            <w:r>
              <w:rPr>
                <w:sz w:val="18"/>
                <w:szCs w:val="18"/>
              </w:rPr>
              <w:t>No determina la diferencia entre costos incurridos y aplicados.</w:t>
            </w:r>
          </w:p>
        </w:tc>
        <w:tc>
          <w:tcPr>
            <w:tcW w:w="1876" w:type="dxa"/>
            <w:shd w:val="clear" w:color="auto" w:fill="D9E2F3"/>
            <w:vAlign w:val="center"/>
          </w:tcPr>
          <w:p w14:paraId="1BDF7F65" w14:textId="77777777" w:rsidR="00990B14" w:rsidRDefault="00000000">
            <w:pPr>
              <w:spacing w:before="20" w:after="20"/>
              <w:jc w:val="both"/>
            </w:pPr>
            <w:r>
              <w:rPr>
                <w:sz w:val="18"/>
                <w:szCs w:val="18"/>
              </w:rPr>
              <w:t>Determina la sobreaplicación o la subaplicación.</w:t>
            </w:r>
          </w:p>
        </w:tc>
        <w:tc>
          <w:tcPr>
            <w:tcW w:w="1877" w:type="dxa"/>
            <w:shd w:val="clear" w:color="auto" w:fill="D9E2F3"/>
            <w:vAlign w:val="center"/>
          </w:tcPr>
          <w:p w14:paraId="6827150A" w14:textId="77777777" w:rsidR="00990B14" w:rsidRDefault="00000000">
            <w:pPr>
              <w:spacing w:before="20" w:after="20"/>
              <w:jc w:val="both"/>
            </w:pPr>
            <w:r>
              <w:rPr>
                <w:sz w:val="18"/>
                <w:szCs w:val="18"/>
              </w:rPr>
              <w:t>Analiza las causas de la diferencia y propone su ajuste.</w:t>
            </w:r>
          </w:p>
        </w:tc>
      </w:tr>
      <w:tr w:rsidR="00990B14" w14:paraId="633F6F15" w14:textId="77777777">
        <w:trPr>
          <w:cantSplit/>
          <w:jc w:val="center"/>
        </w:trPr>
        <w:tc>
          <w:tcPr>
            <w:tcW w:w="1900" w:type="dxa"/>
            <w:vMerge/>
            <w:shd w:val="clear" w:color="auto" w:fill="4472C4"/>
            <w:vAlign w:val="center"/>
          </w:tcPr>
          <w:p w14:paraId="5EC9CDF6" w14:textId="77777777" w:rsidR="00990B14" w:rsidRDefault="00990B14">
            <w:pPr>
              <w:spacing w:before="20" w:after="20"/>
            </w:pPr>
          </w:p>
        </w:tc>
        <w:tc>
          <w:tcPr>
            <w:tcW w:w="5628" w:type="dxa"/>
            <w:gridSpan w:val="3"/>
            <w:shd w:val="clear" w:color="auto" w:fill="D9E2F3"/>
            <w:vAlign w:val="center"/>
          </w:tcPr>
          <w:p w14:paraId="7EEF3CDE" w14:textId="77777777" w:rsidR="00990B14" w:rsidRDefault="00000000">
            <w:pPr>
              <w:keepNext/>
              <w:spacing w:before="20" w:after="20"/>
              <w:jc w:val="both"/>
            </w:pPr>
            <w:r>
              <w:rPr>
                <w:b/>
                <w:bCs/>
                <w:i/>
                <w:iCs/>
                <w:sz w:val="18"/>
                <w:szCs w:val="18"/>
              </w:rPr>
              <w:t xml:space="preserve">Producto 8: </w:t>
            </w:r>
            <w:r>
              <w:rPr>
                <w:sz w:val="18"/>
                <w:szCs w:val="18"/>
              </w:rPr>
              <w:t>Registro contable de las órdenes de trabajo</w:t>
            </w:r>
          </w:p>
        </w:tc>
        <w:tc>
          <w:tcPr>
            <w:tcW w:w="1877" w:type="dxa"/>
            <w:shd w:val="clear" w:color="auto" w:fill="D9E2F3"/>
            <w:vAlign w:val="center"/>
          </w:tcPr>
          <w:p w14:paraId="3AFEFD12" w14:textId="77777777" w:rsidR="00990B14" w:rsidRDefault="00000000">
            <w:pPr>
              <w:spacing w:before="20" w:after="20"/>
              <w:jc w:val="center"/>
            </w:pPr>
            <w:r>
              <w:rPr>
                <w:b/>
                <w:bCs/>
                <w:sz w:val="18"/>
                <w:szCs w:val="18"/>
              </w:rPr>
              <w:t>5%</w:t>
            </w:r>
          </w:p>
        </w:tc>
      </w:tr>
      <w:tr w:rsidR="00990B14" w14:paraId="50FA41E5" w14:textId="77777777">
        <w:trPr>
          <w:cantSplit/>
          <w:jc w:val="center"/>
        </w:trPr>
        <w:tc>
          <w:tcPr>
            <w:tcW w:w="1900" w:type="dxa"/>
            <w:vMerge/>
            <w:shd w:val="clear" w:color="auto" w:fill="4472C4"/>
            <w:vAlign w:val="center"/>
          </w:tcPr>
          <w:p w14:paraId="139566C7" w14:textId="77777777" w:rsidR="00990B14" w:rsidRDefault="00990B14">
            <w:pPr>
              <w:spacing w:before="20" w:after="20"/>
            </w:pPr>
          </w:p>
        </w:tc>
        <w:tc>
          <w:tcPr>
            <w:tcW w:w="1876" w:type="dxa"/>
            <w:shd w:val="clear" w:color="auto" w:fill="4472C4"/>
            <w:vAlign w:val="center"/>
          </w:tcPr>
          <w:p w14:paraId="65949437"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1006FD77"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77367EE4"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00AEE7AB" w14:textId="77777777" w:rsidR="00990B14" w:rsidRDefault="00000000">
            <w:pPr>
              <w:keepNext/>
              <w:spacing w:before="20" w:after="20"/>
              <w:jc w:val="center"/>
            </w:pPr>
            <w:r>
              <w:rPr>
                <w:b/>
                <w:bCs/>
                <w:i/>
                <w:iCs/>
                <w:color w:val="FFFFFF"/>
                <w:sz w:val="18"/>
                <w:szCs w:val="18"/>
              </w:rPr>
              <w:t>Destacado (81–100)</w:t>
            </w:r>
          </w:p>
        </w:tc>
      </w:tr>
      <w:tr w:rsidR="00990B14" w14:paraId="764E3383" w14:textId="77777777">
        <w:trPr>
          <w:cantSplit/>
          <w:jc w:val="center"/>
        </w:trPr>
        <w:tc>
          <w:tcPr>
            <w:tcW w:w="1900" w:type="dxa"/>
            <w:vMerge/>
            <w:shd w:val="clear" w:color="auto" w:fill="4472C4"/>
            <w:vAlign w:val="center"/>
          </w:tcPr>
          <w:p w14:paraId="2BBEBF91" w14:textId="77777777" w:rsidR="00990B14" w:rsidRDefault="00990B14">
            <w:pPr>
              <w:spacing w:before="20" w:after="20"/>
            </w:pPr>
          </w:p>
        </w:tc>
        <w:tc>
          <w:tcPr>
            <w:tcW w:w="1876" w:type="dxa"/>
            <w:shd w:val="clear" w:color="auto" w:fill="D9E2F3"/>
            <w:vAlign w:val="center"/>
          </w:tcPr>
          <w:p w14:paraId="4FC7E6A8" w14:textId="77777777" w:rsidR="00990B14" w:rsidRDefault="00000000">
            <w:pPr>
              <w:spacing w:before="20" w:after="20"/>
              <w:jc w:val="both"/>
            </w:pPr>
            <w:r>
              <w:rPr>
                <w:sz w:val="18"/>
                <w:szCs w:val="18"/>
              </w:rPr>
              <w:t>Registro contable</w:t>
            </w:r>
          </w:p>
        </w:tc>
        <w:tc>
          <w:tcPr>
            <w:tcW w:w="1876" w:type="dxa"/>
            <w:shd w:val="clear" w:color="auto" w:fill="D9E2F3"/>
            <w:vAlign w:val="center"/>
          </w:tcPr>
          <w:p w14:paraId="42E891B9" w14:textId="77777777" w:rsidR="00990B14" w:rsidRDefault="00000000">
            <w:pPr>
              <w:spacing w:before="20" w:after="20"/>
              <w:jc w:val="both"/>
            </w:pPr>
            <w:r>
              <w:rPr>
                <w:sz w:val="18"/>
                <w:szCs w:val="18"/>
              </w:rPr>
              <w:t>Registra con errores los asientos de las órdenes.</w:t>
            </w:r>
          </w:p>
        </w:tc>
        <w:tc>
          <w:tcPr>
            <w:tcW w:w="1876" w:type="dxa"/>
            <w:shd w:val="clear" w:color="auto" w:fill="D9E2F3"/>
            <w:vAlign w:val="center"/>
          </w:tcPr>
          <w:p w14:paraId="6F2B461D" w14:textId="77777777" w:rsidR="00990B14" w:rsidRDefault="00000000">
            <w:pPr>
              <w:spacing w:before="20" w:after="20"/>
              <w:jc w:val="both"/>
            </w:pPr>
            <w:r>
              <w:rPr>
                <w:sz w:val="18"/>
                <w:szCs w:val="18"/>
              </w:rPr>
              <w:t>Registra los asientos de materiales, mano de obra y costos indirectos por orden.</w:t>
            </w:r>
          </w:p>
        </w:tc>
        <w:tc>
          <w:tcPr>
            <w:tcW w:w="1877" w:type="dxa"/>
            <w:shd w:val="clear" w:color="auto" w:fill="D9E2F3"/>
            <w:vAlign w:val="center"/>
          </w:tcPr>
          <w:p w14:paraId="6A2DB38E" w14:textId="77777777" w:rsidR="00990B14" w:rsidRDefault="00000000">
            <w:pPr>
              <w:spacing w:before="20" w:after="20"/>
              <w:jc w:val="both"/>
            </w:pPr>
            <w:r>
              <w:rPr>
                <w:sz w:val="18"/>
                <w:szCs w:val="18"/>
              </w:rPr>
              <w:t>Concilia los asientos con las cuentas de control.</w:t>
            </w:r>
          </w:p>
        </w:tc>
      </w:tr>
      <w:tr w:rsidR="00990B14" w14:paraId="28BC2445" w14:textId="77777777">
        <w:trPr>
          <w:cantSplit/>
          <w:jc w:val="center"/>
        </w:trPr>
        <w:tc>
          <w:tcPr>
            <w:tcW w:w="1900" w:type="dxa"/>
            <w:vMerge/>
            <w:shd w:val="clear" w:color="auto" w:fill="4472C4"/>
            <w:vAlign w:val="center"/>
          </w:tcPr>
          <w:p w14:paraId="311B1C21" w14:textId="77777777" w:rsidR="00990B14" w:rsidRDefault="00990B14">
            <w:pPr>
              <w:spacing w:before="20" w:after="20"/>
            </w:pPr>
          </w:p>
        </w:tc>
        <w:tc>
          <w:tcPr>
            <w:tcW w:w="1876" w:type="dxa"/>
            <w:shd w:val="clear" w:color="auto" w:fill="D9E2F3"/>
            <w:vAlign w:val="center"/>
          </w:tcPr>
          <w:p w14:paraId="7812FB6C" w14:textId="77777777" w:rsidR="00990B14" w:rsidRDefault="00000000">
            <w:pPr>
              <w:spacing w:before="20" w:after="20"/>
              <w:jc w:val="both"/>
            </w:pPr>
            <w:r>
              <w:rPr>
                <w:sz w:val="18"/>
                <w:szCs w:val="18"/>
              </w:rPr>
              <w:t>Costo unitario y total</w:t>
            </w:r>
          </w:p>
        </w:tc>
        <w:tc>
          <w:tcPr>
            <w:tcW w:w="1876" w:type="dxa"/>
            <w:shd w:val="clear" w:color="auto" w:fill="D9E2F3"/>
            <w:vAlign w:val="center"/>
          </w:tcPr>
          <w:p w14:paraId="0B444B7C" w14:textId="77777777" w:rsidR="00990B14" w:rsidRDefault="00000000">
            <w:pPr>
              <w:spacing w:before="20" w:after="20"/>
              <w:jc w:val="both"/>
            </w:pPr>
            <w:r>
              <w:rPr>
                <w:sz w:val="18"/>
                <w:szCs w:val="18"/>
              </w:rPr>
              <w:t>Calcula erróneamente el costo de la orden.</w:t>
            </w:r>
          </w:p>
        </w:tc>
        <w:tc>
          <w:tcPr>
            <w:tcW w:w="1876" w:type="dxa"/>
            <w:shd w:val="clear" w:color="auto" w:fill="D9E2F3"/>
            <w:vAlign w:val="center"/>
          </w:tcPr>
          <w:p w14:paraId="5610813A" w14:textId="77777777" w:rsidR="00990B14" w:rsidRDefault="00000000">
            <w:pPr>
              <w:spacing w:before="20" w:after="20"/>
              <w:jc w:val="both"/>
            </w:pPr>
            <w:r>
              <w:rPr>
                <w:sz w:val="18"/>
                <w:szCs w:val="18"/>
              </w:rPr>
              <w:t>Determina el costo unitario y total de cada orden.</w:t>
            </w:r>
          </w:p>
        </w:tc>
        <w:tc>
          <w:tcPr>
            <w:tcW w:w="1877" w:type="dxa"/>
            <w:shd w:val="clear" w:color="auto" w:fill="D9E2F3"/>
            <w:vAlign w:val="center"/>
          </w:tcPr>
          <w:p w14:paraId="523A7C37" w14:textId="77777777" w:rsidR="00990B14" w:rsidRDefault="00000000">
            <w:pPr>
              <w:spacing w:before="20" w:after="20"/>
              <w:jc w:val="both"/>
            </w:pPr>
            <w:r>
              <w:rPr>
                <w:sz w:val="18"/>
                <w:szCs w:val="18"/>
              </w:rPr>
              <w:t>Verifica el costo de la orden con la hoja de costos.</w:t>
            </w:r>
          </w:p>
        </w:tc>
      </w:tr>
      <w:tr w:rsidR="00990B14" w14:paraId="59E3A8AE" w14:textId="77777777">
        <w:trPr>
          <w:cantSplit/>
          <w:jc w:val="center"/>
        </w:trPr>
        <w:tc>
          <w:tcPr>
            <w:tcW w:w="1900" w:type="dxa"/>
            <w:vMerge/>
            <w:shd w:val="clear" w:color="auto" w:fill="4472C4"/>
            <w:vAlign w:val="center"/>
          </w:tcPr>
          <w:p w14:paraId="54C8402F" w14:textId="77777777" w:rsidR="00990B14" w:rsidRDefault="00990B14">
            <w:pPr>
              <w:spacing w:before="20" w:after="20"/>
            </w:pPr>
          </w:p>
        </w:tc>
        <w:tc>
          <w:tcPr>
            <w:tcW w:w="1876" w:type="dxa"/>
            <w:shd w:val="clear" w:color="auto" w:fill="D9E2F3"/>
            <w:vAlign w:val="center"/>
          </w:tcPr>
          <w:p w14:paraId="2153321A" w14:textId="77777777" w:rsidR="00990B14" w:rsidRDefault="00000000">
            <w:pPr>
              <w:spacing w:before="20" w:after="20"/>
              <w:jc w:val="both"/>
            </w:pPr>
            <w:r>
              <w:rPr>
                <w:sz w:val="18"/>
                <w:szCs w:val="18"/>
              </w:rPr>
              <w:t>Trabajo en equipo</w:t>
            </w:r>
          </w:p>
        </w:tc>
        <w:tc>
          <w:tcPr>
            <w:tcW w:w="1876" w:type="dxa"/>
            <w:shd w:val="clear" w:color="auto" w:fill="D9E2F3"/>
            <w:vAlign w:val="center"/>
          </w:tcPr>
          <w:p w14:paraId="0FB5DFEC" w14:textId="77777777" w:rsidR="00990B14" w:rsidRDefault="00000000">
            <w:pPr>
              <w:spacing w:before="20" w:after="20"/>
              <w:jc w:val="both"/>
            </w:pPr>
            <w:r>
              <w:rPr>
                <w:sz w:val="18"/>
                <w:szCs w:val="18"/>
              </w:rPr>
              <w:t>La participación es desigual.</w:t>
            </w:r>
          </w:p>
        </w:tc>
        <w:tc>
          <w:tcPr>
            <w:tcW w:w="1876" w:type="dxa"/>
            <w:shd w:val="clear" w:color="auto" w:fill="D9E2F3"/>
            <w:vAlign w:val="center"/>
          </w:tcPr>
          <w:p w14:paraId="4F5C175B" w14:textId="77777777" w:rsidR="00990B14" w:rsidRDefault="00000000">
            <w:pPr>
              <w:spacing w:before="20" w:after="20"/>
              <w:jc w:val="both"/>
            </w:pPr>
            <w:r>
              <w:rPr>
                <w:sz w:val="18"/>
                <w:szCs w:val="18"/>
              </w:rPr>
              <w:t>Todos los integrantes participan.</w:t>
            </w:r>
          </w:p>
        </w:tc>
        <w:tc>
          <w:tcPr>
            <w:tcW w:w="1877" w:type="dxa"/>
            <w:shd w:val="clear" w:color="auto" w:fill="D9E2F3"/>
            <w:vAlign w:val="center"/>
          </w:tcPr>
          <w:p w14:paraId="1AF8E7DC" w14:textId="77777777" w:rsidR="00990B14" w:rsidRDefault="00000000">
            <w:pPr>
              <w:spacing w:before="20" w:after="20"/>
              <w:jc w:val="both"/>
            </w:pPr>
            <w:r>
              <w:rPr>
                <w:sz w:val="18"/>
                <w:szCs w:val="18"/>
              </w:rPr>
              <w:t>El equipo sustenta el registro ante el curso.</w:t>
            </w:r>
          </w:p>
        </w:tc>
      </w:tr>
      <w:tr w:rsidR="00990B14" w14:paraId="75B26801" w14:textId="77777777">
        <w:trPr>
          <w:cantSplit/>
          <w:jc w:val="center"/>
        </w:trPr>
        <w:tc>
          <w:tcPr>
            <w:tcW w:w="1900" w:type="dxa"/>
            <w:vMerge/>
            <w:shd w:val="clear" w:color="auto" w:fill="4472C4"/>
            <w:vAlign w:val="center"/>
          </w:tcPr>
          <w:p w14:paraId="0DCAF92D" w14:textId="77777777" w:rsidR="00990B14" w:rsidRDefault="00990B14">
            <w:pPr>
              <w:spacing w:before="20" w:after="20"/>
            </w:pPr>
          </w:p>
        </w:tc>
        <w:tc>
          <w:tcPr>
            <w:tcW w:w="5628" w:type="dxa"/>
            <w:gridSpan w:val="3"/>
            <w:shd w:val="clear" w:color="auto" w:fill="D9E2F3"/>
            <w:vAlign w:val="center"/>
          </w:tcPr>
          <w:p w14:paraId="3EC5DE48" w14:textId="77777777" w:rsidR="00990B14" w:rsidRDefault="00000000">
            <w:pPr>
              <w:keepNext/>
              <w:spacing w:before="20" w:after="20"/>
              <w:jc w:val="both"/>
            </w:pPr>
            <w:r>
              <w:rPr>
                <w:b/>
                <w:bCs/>
                <w:i/>
                <w:iCs/>
                <w:sz w:val="18"/>
                <w:szCs w:val="18"/>
              </w:rPr>
              <w:t xml:space="preserve">Producto 9: </w:t>
            </w:r>
            <w:r>
              <w:rPr>
                <w:sz w:val="18"/>
                <w:szCs w:val="18"/>
              </w:rPr>
              <w:t>Informe de costos de producción por procesos</w:t>
            </w:r>
          </w:p>
        </w:tc>
        <w:tc>
          <w:tcPr>
            <w:tcW w:w="1877" w:type="dxa"/>
            <w:shd w:val="clear" w:color="auto" w:fill="D9E2F3"/>
            <w:vAlign w:val="center"/>
          </w:tcPr>
          <w:p w14:paraId="47ED4D11" w14:textId="77777777" w:rsidR="00990B14" w:rsidRDefault="00000000">
            <w:pPr>
              <w:spacing w:before="20" w:after="20"/>
              <w:jc w:val="center"/>
            </w:pPr>
            <w:r>
              <w:rPr>
                <w:b/>
                <w:bCs/>
                <w:sz w:val="18"/>
                <w:szCs w:val="18"/>
              </w:rPr>
              <w:t>5%</w:t>
            </w:r>
          </w:p>
        </w:tc>
      </w:tr>
      <w:tr w:rsidR="00990B14" w14:paraId="638150E8" w14:textId="77777777">
        <w:trPr>
          <w:cantSplit/>
          <w:jc w:val="center"/>
        </w:trPr>
        <w:tc>
          <w:tcPr>
            <w:tcW w:w="1900" w:type="dxa"/>
            <w:vMerge/>
            <w:shd w:val="clear" w:color="auto" w:fill="4472C4"/>
            <w:vAlign w:val="center"/>
          </w:tcPr>
          <w:p w14:paraId="584CDE9B" w14:textId="77777777" w:rsidR="00990B14" w:rsidRDefault="00990B14">
            <w:pPr>
              <w:spacing w:before="20" w:after="20"/>
            </w:pPr>
          </w:p>
        </w:tc>
        <w:tc>
          <w:tcPr>
            <w:tcW w:w="1876" w:type="dxa"/>
            <w:shd w:val="clear" w:color="auto" w:fill="4472C4"/>
            <w:vAlign w:val="center"/>
          </w:tcPr>
          <w:p w14:paraId="1804BE0C"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08FB8EC1"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35A04506"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6084D8E2" w14:textId="77777777" w:rsidR="00990B14" w:rsidRDefault="00000000">
            <w:pPr>
              <w:keepNext/>
              <w:spacing w:before="20" w:after="20"/>
              <w:jc w:val="center"/>
            </w:pPr>
            <w:r>
              <w:rPr>
                <w:b/>
                <w:bCs/>
                <w:i/>
                <w:iCs/>
                <w:color w:val="FFFFFF"/>
                <w:sz w:val="18"/>
                <w:szCs w:val="18"/>
              </w:rPr>
              <w:t>Destacado (81–100)</w:t>
            </w:r>
          </w:p>
        </w:tc>
      </w:tr>
      <w:tr w:rsidR="00990B14" w14:paraId="5D901AF1" w14:textId="77777777">
        <w:trPr>
          <w:cantSplit/>
          <w:jc w:val="center"/>
        </w:trPr>
        <w:tc>
          <w:tcPr>
            <w:tcW w:w="1900" w:type="dxa"/>
            <w:vMerge/>
            <w:shd w:val="clear" w:color="auto" w:fill="4472C4"/>
            <w:vAlign w:val="center"/>
          </w:tcPr>
          <w:p w14:paraId="7309C951" w14:textId="77777777" w:rsidR="00990B14" w:rsidRDefault="00990B14">
            <w:pPr>
              <w:spacing w:before="20" w:after="20"/>
            </w:pPr>
          </w:p>
        </w:tc>
        <w:tc>
          <w:tcPr>
            <w:tcW w:w="1876" w:type="dxa"/>
            <w:shd w:val="clear" w:color="auto" w:fill="D9E2F3"/>
            <w:vAlign w:val="center"/>
          </w:tcPr>
          <w:p w14:paraId="597D1DFD" w14:textId="77777777" w:rsidR="00990B14" w:rsidRDefault="00000000">
            <w:pPr>
              <w:spacing w:before="20" w:after="20"/>
              <w:jc w:val="both"/>
            </w:pPr>
            <w:r>
              <w:rPr>
                <w:sz w:val="18"/>
                <w:szCs w:val="18"/>
              </w:rPr>
              <w:t>Producción equivalente</w:t>
            </w:r>
          </w:p>
        </w:tc>
        <w:tc>
          <w:tcPr>
            <w:tcW w:w="1876" w:type="dxa"/>
            <w:shd w:val="clear" w:color="auto" w:fill="D9E2F3"/>
            <w:vAlign w:val="center"/>
          </w:tcPr>
          <w:p w14:paraId="2FF44C9A" w14:textId="77777777" w:rsidR="00990B14" w:rsidRDefault="00000000">
            <w:pPr>
              <w:spacing w:before="20" w:after="20"/>
              <w:jc w:val="both"/>
            </w:pPr>
            <w:r>
              <w:rPr>
                <w:sz w:val="18"/>
                <w:szCs w:val="18"/>
              </w:rPr>
              <w:t>Calcula incorrectamente la producción equivalente.</w:t>
            </w:r>
          </w:p>
        </w:tc>
        <w:tc>
          <w:tcPr>
            <w:tcW w:w="1876" w:type="dxa"/>
            <w:shd w:val="clear" w:color="auto" w:fill="D9E2F3"/>
            <w:vAlign w:val="center"/>
          </w:tcPr>
          <w:p w14:paraId="4A2B73AE" w14:textId="77777777" w:rsidR="00990B14" w:rsidRDefault="00000000">
            <w:pPr>
              <w:spacing w:before="20" w:after="20"/>
              <w:jc w:val="both"/>
            </w:pPr>
            <w:r>
              <w:rPr>
                <w:sz w:val="18"/>
                <w:szCs w:val="18"/>
              </w:rPr>
              <w:t>Calcula la producción equivalente por elemento del costo.</w:t>
            </w:r>
          </w:p>
        </w:tc>
        <w:tc>
          <w:tcPr>
            <w:tcW w:w="1877" w:type="dxa"/>
            <w:shd w:val="clear" w:color="auto" w:fill="D9E2F3"/>
            <w:vAlign w:val="center"/>
          </w:tcPr>
          <w:p w14:paraId="0001BBD9" w14:textId="77777777" w:rsidR="00990B14" w:rsidRDefault="00000000">
            <w:pPr>
              <w:spacing w:before="20" w:after="20"/>
              <w:jc w:val="both"/>
            </w:pPr>
            <w:r>
              <w:rPr>
                <w:sz w:val="18"/>
                <w:szCs w:val="18"/>
              </w:rPr>
              <w:t>Concilia las unidades físicas y equivalentes.</w:t>
            </w:r>
          </w:p>
        </w:tc>
      </w:tr>
      <w:tr w:rsidR="00990B14" w14:paraId="480A28F1" w14:textId="77777777">
        <w:trPr>
          <w:cantSplit/>
          <w:jc w:val="center"/>
        </w:trPr>
        <w:tc>
          <w:tcPr>
            <w:tcW w:w="1900" w:type="dxa"/>
            <w:vMerge/>
            <w:shd w:val="clear" w:color="auto" w:fill="4472C4"/>
            <w:vAlign w:val="center"/>
          </w:tcPr>
          <w:p w14:paraId="7C6688B5" w14:textId="77777777" w:rsidR="00990B14" w:rsidRDefault="00990B14">
            <w:pPr>
              <w:spacing w:before="20" w:after="20"/>
            </w:pPr>
          </w:p>
        </w:tc>
        <w:tc>
          <w:tcPr>
            <w:tcW w:w="1876" w:type="dxa"/>
            <w:shd w:val="clear" w:color="auto" w:fill="D9E2F3"/>
            <w:vAlign w:val="center"/>
          </w:tcPr>
          <w:p w14:paraId="04978ACF" w14:textId="77777777" w:rsidR="00990B14" w:rsidRDefault="00000000">
            <w:pPr>
              <w:spacing w:before="20" w:after="20"/>
              <w:jc w:val="both"/>
            </w:pPr>
            <w:r>
              <w:rPr>
                <w:sz w:val="18"/>
                <w:szCs w:val="18"/>
              </w:rPr>
              <w:t>Métodos de costeo</w:t>
            </w:r>
          </w:p>
        </w:tc>
        <w:tc>
          <w:tcPr>
            <w:tcW w:w="1876" w:type="dxa"/>
            <w:shd w:val="clear" w:color="auto" w:fill="D9E2F3"/>
            <w:vAlign w:val="center"/>
          </w:tcPr>
          <w:p w14:paraId="44B4CED6" w14:textId="77777777" w:rsidR="00990B14" w:rsidRDefault="00000000">
            <w:pPr>
              <w:spacing w:before="20" w:after="20"/>
              <w:jc w:val="both"/>
            </w:pPr>
            <w:r>
              <w:rPr>
                <w:sz w:val="18"/>
                <w:szCs w:val="18"/>
              </w:rPr>
              <w:t>Aplica un solo método o con errores.</w:t>
            </w:r>
          </w:p>
        </w:tc>
        <w:tc>
          <w:tcPr>
            <w:tcW w:w="1876" w:type="dxa"/>
            <w:shd w:val="clear" w:color="auto" w:fill="D9E2F3"/>
            <w:vAlign w:val="center"/>
          </w:tcPr>
          <w:p w14:paraId="676FC4F3" w14:textId="77777777" w:rsidR="00990B14" w:rsidRDefault="00000000">
            <w:pPr>
              <w:spacing w:before="20" w:after="20"/>
              <w:jc w:val="both"/>
            </w:pPr>
            <w:r>
              <w:rPr>
                <w:sz w:val="18"/>
                <w:szCs w:val="18"/>
              </w:rPr>
              <w:t>Aplica el método promedio ponderado y el método PEPS.</w:t>
            </w:r>
          </w:p>
        </w:tc>
        <w:tc>
          <w:tcPr>
            <w:tcW w:w="1877" w:type="dxa"/>
            <w:shd w:val="clear" w:color="auto" w:fill="D9E2F3"/>
            <w:vAlign w:val="center"/>
          </w:tcPr>
          <w:p w14:paraId="45E39CFB" w14:textId="77777777" w:rsidR="00990B14" w:rsidRDefault="00000000">
            <w:pPr>
              <w:spacing w:before="20" w:after="20"/>
              <w:jc w:val="both"/>
            </w:pPr>
            <w:r>
              <w:rPr>
                <w:sz w:val="18"/>
                <w:szCs w:val="18"/>
              </w:rPr>
              <w:t>Compara los resultados de ambos métodos.</w:t>
            </w:r>
          </w:p>
        </w:tc>
      </w:tr>
      <w:tr w:rsidR="00990B14" w14:paraId="66CAA008" w14:textId="77777777">
        <w:trPr>
          <w:cantSplit/>
          <w:jc w:val="center"/>
        </w:trPr>
        <w:tc>
          <w:tcPr>
            <w:tcW w:w="1900" w:type="dxa"/>
            <w:vMerge/>
            <w:shd w:val="clear" w:color="auto" w:fill="4472C4"/>
            <w:vAlign w:val="center"/>
          </w:tcPr>
          <w:p w14:paraId="48D184A2" w14:textId="77777777" w:rsidR="00990B14" w:rsidRDefault="00990B14">
            <w:pPr>
              <w:spacing w:before="20" w:after="20"/>
            </w:pPr>
          </w:p>
        </w:tc>
        <w:tc>
          <w:tcPr>
            <w:tcW w:w="1876" w:type="dxa"/>
            <w:shd w:val="clear" w:color="auto" w:fill="D9E2F3"/>
            <w:vAlign w:val="center"/>
          </w:tcPr>
          <w:p w14:paraId="28DA27F3" w14:textId="77777777" w:rsidR="00990B14" w:rsidRDefault="00000000">
            <w:pPr>
              <w:spacing w:before="20" w:after="20"/>
              <w:jc w:val="both"/>
            </w:pPr>
            <w:r>
              <w:rPr>
                <w:sz w:val="18"/>
                <w:szCs w:val="18"/>
              </w:rPr>
              <w:t>Costo de productos</w:t>
            </w:r>
          </w:p>
        </w:tc>
        <w:tc>
          <w:tcPr>
            <w:tcW w:w="1876" w:type="dxa"/>
            <w:shd w:val="clear" w:color="auto" w:fill="D9E2F3"/>
            <w:vAlign w:val="center"/>
          </w:tcPr>
          <w:p w14:paraId="543B5ABC" w14:textId="77777777" w:rsidR="00990B14" w:rsidRDefault="00000000">
            <w:pPr>
              <w:spacing w:before="20" w:after="20"/>
              <w:jc w:val="both"/>
            </w:pPr>
            <w:r>
              <w:rPr>
                <w:sz w:val="18"/>
                <w:szCs w:val="18"/>
              </w:rPr>
              <w:t>No separa productos terminados y en proceso.</w:t>
            </w:r>
          </w:p>
        </w:tc>
        <w:tc>
          <w:tcPr>
            <w:tcW w:w="1876" w:type="dxa"/>
            <w:shd w:val="clear" w:color="auto" w:fill="D9E2F3"/>
            <w:vAlign w:val="center"/>
          </w:tcPr>
          <w:p w14:paraId="0414C6C0" w14:textId="77777777" w:rsidR="00990B14" w:rsidRDefault="00000000">
            <w:pPr>
              <w:spacing w:before="20" w:after="20"/>
              <w:jc w:val="both"/>
            </w:pPr>
            <w:r>
              <w:rPr>
                <w:sz w:val="18"/>
                <w:szCs w:val="18"/>
              </w:rPr>
              <w:t>Determina el costo unitario y total de los productos terminados y en proceso.</w:t>
            </w:r>
          </w:p>
        </w:tc>
        <w:tc>
          <w:tcPr>
            <w:tcW w:w="1877" w:type="dxa"/>
            <w:shd w:val="clear" w:color="auto" w:fill="D9E2F3"/>
            <w:vAlign w:val="center"/>
          </w:tcPr>
          <w:p w14:paraId="2C196F2B" w14:textId="77777777" w:rsidR="00990B14" w:rsidRDefault="00000000">
            <w:pPr>
              <w:spacing w:before="20" w:after="20"/>
              <w:jc w:val="both"/>
            </w:pPr>
            <w:r>
              <w:rPr>
                <w:sz w:val="18"/>
                <w:szCs w:val="18"/>
              </w:rPr>
              <w:t>Elabora el informe en hoja de cálculo con control de la conciliación de unidades.</w:t>
            </w:r>
          </w:p>
        </w:tc>
      </w:tr>
      <w:tr w:rsidR="00990B14" w14:paraId="3672D1C9" w14:textId="77777777">
        <w:trPr>
          <w:cantSplit/>
          <w:jc w:val="center"/>
        </w:trPr>
        <w:tc>
          <w:tcPr>
            <w:tcW w:w="1900" w:type="dxa"/>
            <w:vMerge/>
            <w:shd w:val="clear" w:color="auto" w:fill="4472C4"/>
            <w:vAlign w:val="center"/>
          </w:tcPr>
          <w:p w14:paraId="066A43D4" w14:textId="77777777" w:rsidR="00990B14" w:rsidRDefault="00990B14">
            <w:pPr>
              <w:spacing w:before="20" w:after="20"/>
            </w:pPr>
          </w:p>
        </w:tc>
        <w:tc>
          <w:tcPr>
            <w:tcW w:w="5628" w:type="dxa"/>
            <w:gridSpan w:val="3"/>
            <w:shd w:val="clear" w:color="auto" w:fill="D9E2F3"/>
            <w:vAlign w:val="center"/>
          </w:tcPr>
          <w:p w14:paraId="35B8C53A" w14:textId="77777777" w:rsidR="00990B14" w:rsidRDefault="00000000">
            <w:pPr>
              <w:keepNext/>
              <w:spacing w:before="20" w:after="20"/>
              <w:jc w:val="both"/>
            </w:pPr>
            <w:r>
              <w:rPr>
                <w:b/>
                <w:bCs/>
                <w:i/>
                <w:iCs/>
                <w:sz w:val="18"/>
                <w:szCs w:val="18"/>
              </w:rPr>
              <w:t xml:space="preserve">Producto 10: </w:t>
            </w:r>
            <w:r>
              <w:rPr>
                <w:sz w:val="18"/>
                <w:szCs w:val="18"/>
              </w:rPr>
              <w:t>Cuadro de conciliación del flujo físico y de la producción equivalente</w:t>
            </w:r>
          </w:p>
        </w:tc>
        <w:tc>
          <w:tcPr>
            <w:tcW w:w="1877" w:type="dxa"/>
            <w:shd w:val="clear" w:color="auto" w:fill="D9E2F3"/>
            <w:vAlign w:val="center"/>
          </w:tcPr>
          <w:p w14:paraId="0C73182B" w14:textId="77777777" w:rsidR="00990B14" w:rsidRDefault="00000000">
            <w:pPr>
              <w:spacing w:before="20" w:after="20"/>
              <w:jc w:val="center"/>
            </w:pPr>
            <w:r>
              <w:rPr>
                <w:b/>
                <w:bCs/>
                <w:sz w:val="18"/>
                <w:szCs w:val="18"/>
              </w:rPr>
              <w:t>5%</w:t>
            </w:r>
          </w:p>
        </w:tc>
      </w:tr>
      <w:tr w:rsidR="00990B14" w14:paraId="080738C6" w14:textId="77777777">
        <w:trPr>
          <w:cantSplit/>
          <w:jc w:val="center"/>
        </w:trPr>
        <w:tc>
          <w:tcPr>
            <w:tcW w:w="1900" w:type="dxa"/>
            <w:vMerge/>
            <w:shd w:val="clear" w:color="auto" w:fill="4472C4"/>
            <w:vAlign w:val="center"/>
          </w:tcPr>
          <w:p w14:paraId="6DE6CD48" w14:textId="77777777" w:rsidR="00990B14" w:rsidRDefault="00990B14">
            <w:pPr>
              <w:spacing w:before="20" w:after="20"/>
            </w:pPr>
          </w:p>
        </w:tc>
        <w:tc>
          <w:tcPr>
            <w:tcW w:w="1876" w:type="dxa"/>
            <w:shd w:val="clear" w:color="auto" w:fill="4472C4"/>
            <w:vAlign w:val="center"/>
          </w:tcPr>
          <w:p w14:paraId="4A5E2503"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18BEC6A0"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69D69621"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684A5E0E" w14:textId="77777777" w:rsidR="00990B14" w:rsidRDefault="00000000">
            <w:pPr>
              <w:keepNext/>
              <w:spacing w:before="20" w:after="20"/>
              <w:jc w:val="center"/>
            </w:pPr>
            <w:r>
              <w:rPr>
                <w:b/>
                <w:bCs/>
                <w:i/>
                <w:iCs/>
                <w:color w:val="FFFFFF"/>
                <w:sz w:val="18"/>
                <w:szCs w:val="18"/>
              </w:rPr>
              <w:t>Destacado (81–100)</w:t>
            </w:r>
          </w:p>
        </w:tc>
      </w:tr>
      <w:tr w:rsidR="00990B14" w14:paraId="5D590908" w14:textId="77777777">
        <w:trPr>
          <w:cantSplit/>
          <w:jc w:val="center"/>
        </w:trPr>
        <w:tc>
          <w:tcPr>
            <w:tcW w:w="1900" w:type="dxa"/>
            <w:vMerge/>
            <w:shd w:val="clear" w:color="auto" w:fill="4472C4"/>
            <w:vAlign w:val="center"/>
          </w:tcPr>
          <w:p w14:paraId="1819B6CF" w14:textId="77777777" w:rsidR="00990B14" w:rsidRDefault="00990B14">
            <w:pPr>
              <w:spacing w:before="20" w:after="20"/>
            </w:pPr>
          </w:p>
        </w:tc>
        <w:tc>
          <w:tcPr>
            <w:tcW w:w="1876" w:type="dxa"/>
            <w:shd w:val="clear" w:color="auto" w:fill="D9E2F3"/>
            <w:vAlign w:val="center"/>
          </w:tcPr>
          <w:p w14:paraId="2D86E37D" w14:textId="77777777" w:rsidR="00990B14" w:rsidRDefault="00000000">
            <w:pPr>
              <w:spacing w:before="20" w:after="20"/>
              <w:jc w:val="both"/>
            </w:pPr>
            <w:r>
              <w:rPr>
                <w:sz w:val="18"/>
                <w:szCs w:val="18"/>
              </w:rPr>
              <w:t>Flujo físico</w:t>
            </w:r>
          </w:p>
        </w:tc>
        <w:tc>
          <w:tcPr>
            <w:tcW w:w="1876" w:type="dxa"/>
            <w:shd w:val="clear" w:color="auto" w:fill="D9E2F3"/>
            <w:vAlign w:val="center"/>
          </w:tcPr>
          <w:p w14:paraId="2AD20668" w14:textId="77777777" w:rsidR="00990B14" w:rsidRDefault="00000000">
            <w:pPr>
              <w:spacing w:before="20" w:after="20"/>
              <w:jc w:val="both"/>
            </w:pPr>
            <w:r>
              <w:rPr>
                <w:sz w:val="18"/>
                <w:szCs w:val="18"/>
              </w:rPr>
              <w:t>El flujo físico de unidades es incompleto.</w:t>
            </w:r>
          </w:p>
        </w:tc>
        <w:tc>
          <w:tcPr>
            <w:tcW w:w="1876" w:type="dxa"/>
            <w:shd w:val="clear" w:color="auto" w:fill="D9E2F3"/>
            <w:vAlign w:val="center"/>
          </w:tcPr>
          <w:p w14:paraId="564C8F02" w14:textId="77777777" w:rsidR="00990B14" w:rsidRDefault="00000000">
            <w:pPr>
              <w:spacing w:before="20" w:after="20"/>
              <w:jc w:val="both"/>
            </w:pPr>
            <w:r>
              <w:rPr>
                <w:sz w:val="18"/>
                <w:szCs w:val="18"/>
              </w:rPr>
              <w:t>Concilia las unidades iniciales, producidas y en proceso.</w:t>
            </w:r>
          </w:p>
        </w:tc>
        <w:tc>
          <w:tcPr>
            <w:tcW w:w="1877" w:type="dxa"/>
            <w:shd w:val="clear" w:color="auto" w:fill="D9E2F3"/>
            <w:vAlign w:val="center"/>
          </w:tcPr>
          <w:p w14:paraId="521727A7" w14:textId="77777777" w:rsidR="00990B14" w:rsidRDefault="00000000">
            <w:pPr>
              <w:spacing w:before="20" w:after="20"/>
              <w:jc w:val="both"/>
            </w:pPr>
            <w:r>
              <w:rPr>
                <w:sz w:val="18"/>
                <w:szCs w:val="18"/>
              </w:rPr>
              <w:t>Explica las diferencias entre unidades físicas y equivalentes.</w:t>
            </w:r>
          </w:p>
        </w:tc>
      </w:tr>
      <w:tr w:rsidR="00990B14" w14:paraId="57BC02D8" w14:textId="77777777">
        <w:trPr>
          <w:cantSplit/>
          <w:jc w:val="center"/>
        </w:trPr>
        <w:tc>
          <w:tcPr>
            <w:tcW w:w="1900" w:type="dxa"/>
            <w:vMerge/>
            <w:shd w:val="clear" w:color="auto" w:fill="4472C4"/>
            <w:vAlign w:val="center"/>
          </w:tcPr>
          <w:p w14:paraId="3BBC702B" w14:textId="77777777" w:rsidR="00990B14" w:rsidRDefault="00990B14">
            <w:pPr>
              <w:spacing w:before="20" w:after="20"/>
            </w:pPr>
          </w:p>
        </w:tc>
        <w:tc>
          <w:tcPr>
            <w:tcW w:w="1876" w:type="dxa"/>
            <w:shd w:val="clear" w:color="auto" w:fill="D9E2F3"/>
            <w:vAlign w:val="center"/>
          </w:tcPr>
          <w:p w14:paraId="4727E98D" w14:textId="77777777" w:rsidR="00990B14" w:rsidRDefault="00000000">
            <w:pPr>
              <w:spacing w:before="20" w:after="20"/>
              <w:jc w:val="both"/>
            </w:pPr>
            <w:r>
              <w:rPr>
                <w:sz w:val="18"/>
                <w:szCs w:val="18"/>
              </w:rPr>
              <w:t>Mermas</w:t>
            </w:r>
          </w:p>
        </w:tc>
        <w:tc>
          <w:tcPr>
            <w:tcW w:w="1876" w:type="dxa"/>
            <w:shd w:val="clear" w:color="auto" w:fill="D9E2F3"/>
            <w:vAlign w:val="center"/>
          </w:tcPr>
          <w:p w14:paraId="6137AE72" w14:textId="77777777" w:rsidR="00990B14" w:rsidRDefault="00000000">
            <w:pPr>
              <w:spacing w:before="20" w:after="20"/>
              <w:jc w:val="both"/>
            </w:pPr>
            <w:r>
              <w:rPr>
                <w:sz w:val="18"/>
                <w:szCs w:val="18"/>
              </w:rPr>
              <w:t>No distingue la merma normal de la anormal.</w:t>
            </w:r>
          </w:p>
        </w:tc>
        <w:tc>
          <w:tcPr>
            <w:tcW w:w="1876" w:type="dxa"/>
            <w:shd w:val="clear" w:color="auto" w:fill="D9E2F3"/>
            <w:vAlign w:val="center"/>
          </w:tcPr>
          <w:p w14:paraId="302C3EA8" w14:textId="77777777" w:rsidR="00990B14" w:rsidRDefault="00000000">
            <w:pPr>
              <w:spacing w:before="20" w:after="20"/>
              <w:jc w:val="both"/>
            </w:pPr>
            <w:r>
              <w:rPr>
                <w:sz w:val="18"/>
                <w:szCs w:val="18"/>
              </w:rPr>
              <w:t>Distingue y contabiliza la merma normal y anormal.</w:t>
            </w:r>
          </w:p>
        </w:tc>
        <w:tc>
          <w:tcPr>
            <w:tcW w:w="1877" w:type="dxa"/>
            <w:shd w:val="clear" w:color="auto" w:fill="D9E2F3"/>
            <w:vAlign w:val="center"/>
          </w:tcPr>
          <w:p w14:paraId="2C6C7472" w14:textId="77777777" w:rsidR="00990B14" w:rsidRDefault="00000000">
            <w:pPr>
              <w:spacing w:before="20" w:after="20"/>
              <w:jc w:val="both"/>
            </w:pPr>
            <w:r>
              <w:rPr>
                <w:sz w:val="18"/>
                <w:szCs w:val="18"/>
              </w:rPr>
              <w:t>Analiza el efecto de las mermas en el costo unitario.</w:t>
            </w:r>
          </w:p>
        </w:tc>
      </w:tr>
      <w:tr w:rsidR="00990B14" w14:paraId="0EDA57C5" w14:textId="77777777">
        <w:trPr>
          <w:cantSplit/>
          <w:jc w:val="center"/>
        </w:trPr>
        <w:tc>
          <w:tcPr>
            <w:tcW w:w="1900" w:type="dxa"/>
            <w:vMerge/>
            <w:shd w:val="clear" w:color="auto" w:fill="4472C4"/>
            <w:vAlign w:val="center"/>
          </w:tcPr>
          <w:p w14:paraId="62C5F29B" w14:textId="77777777" w:rsidR="00990B14" w:rsidRDefault="00990B14">
            <w:pPr>
              <w:spacing w:before="20" w:after="20"/>
            </w:pPr>
          </w:p>
        </w:tc>
        <w:tc>
          <w:tcPr>
            <w:tcW w:w="1876" w:type="dxa"/>
            <w:shd w:val="clear" w:color="auto" w:fill="D9E2F3"/>
            <w:vAlign w:val="center"/>
          </w:tcPr>
          <w:p w14:paraId="5EF911DA" w14:textId="77777777" w:rsidR="00990B14" w:rsidRDefault="00000000">
            <w:pPr>
              <w:spacing w:before="20" w:after="20"/>
              <w:jc w:val="both"/>
            </w:pPr>
            <w:r>
              <w:rPr>
                <w:sz w:val="18"/>
                <w:szCs w:val="18"/>
              </w:rPr>
              <w:t>Producción defectuosa y averiada</w:t>
            </w:r>
          </w:p>
        </w:tc>
        <w:tc>
          <w:tcPr>
            <w:tcW w:w="1876" w:type="dxa"/>
            <w:shd w:val="clear" w:color="auto" w:fill="D9E2F3"/>
            <w:vAlign w:val="center"/>
          </w:tcPr>
          <w:p w14:paraId="142EC778" w14:textId="77777777" w:rsidR="00990B14" w:rsidRDefault="00000000">
            <w:pPr>
              <w:spacing w:before="20" w:after="20"/>
              <w:jc w:val="both"/>
            </w:pPr>
            <w:r>
              <w:rPr>
                <w:sz w:val="18"/>
                <w:szCs w:val="18"/>
              </w:rPr>
              <w:t>No distingue la producción defectuosa de la averiada.</w:t>
            </w:r>
          </w:p>
        </w:tc>
        <w:tc>
          <w:tcPr>
            <w:tcW w:w="1876" w:type="dxa"/>
            <w:shd w:val="clear" w:color="auto" w:fill="D9E2F3"/>
            <w:vAlign w:val="center"/>
          </w:tcPr>
          <w:p w14:paraId="61A6EFF4" w14:textId="77777777" w:rsidR="00990B14" w:rsidRDefault="00000000">
            <w:pPr>
              <w:spacing w:before="20" w:after="20"/>
              <w:jc w:val="both"/>
            </w:pPr>
            <w:r>
              <w:rPr>
                <w:sz w:val="18"/>
                <w:szCs w:val="18"/>
              </w:rPr>
              <w:t>Registra correctamente ambos casos en el costo del proceso.</w:t>
            </w:r>
          </w:p>
        </w:tc>
        <w:tc>
          <w:tcPr>
            <w:tcW w:w="1877" w:type="dxa"/>
            <w:shd w:val="clear" w:color="auto" w:fill="D9E2F3"/>
            <w:vAlign w:val="center"/>
          </w:tcPr>
          <w:p w14:paraId="5C5047AB" w14:textId="77777777" w:rsidR="00990B14" w:rsidRDefault="00000000">
            <w:pPr>
              <w:spacing w:before="20" w:after="20"/>
              <w:jc w:val="both"/>
            </w:pPr>
            <w:r>
              <w:rPr>
                <w:sz w:val="18"/>
                <w:szCs w:val="18"/>
              </w:rPr>
              <w:t>Propone decisiones para reducir las mermas y la producción defectuosa.</w:t>
            </w:r>
          </w:p>
        </w:tc>
      </w:tr>
      <w:tr w:rsidR="00990B14" w14:paraId="3BB8BF27" w14:textId="77777777">
        <w:trPr>
          <w:cantSplit/>
          <w:jc w:val="center"/>
        </w:trPr>
        <w:tc>
          <w:tcPr>
            <w:tcW w:w="1900" w:type="dxa"/>
            <w:vMerge/>
            <w:shd w:val="clear" w:color="auto" w:fill="4472C4"/>
            <w:vAlign w:val="center"/>
          </w:tcPr>
          <w:p w14:paraId="6965E293" w14:textId="77777777" w:rsidR="00990B14" w:rsidRDefault="00990B14">
            <w:pPr>
              <w:spacing w:before="20" w:after="20"/>
            </w:pPr>
          </w:p>
        </w:tc>
        <w:tc>
          <w:tcPr>
            <w:tcW w:w="5628" w:type="dxa"/>
            <w:gridSpan w:val="3"/>
            <w:shd w:val="clear" w:color="auto" w:fill="D9E2F3"/>
            <w:vAlign w:val="center"/>
          </w:tcPr>
          <w:p w14:paraId="04B22295" w14:textId="77777777" w:rsidR="00990B14" w:rsidRDefault="00000000">
            <w:pPr>
              <w:keepNext/>
              <w:spacing w:before="20" w:after="20"/>
              <w:jc w:val="both"/>
            </w:pPr>
            <w:r>
              <w:rPr>
                <w:b/>
                <w:bCs/>
                <w:i/>
                <w:iCs/>
                <w:sz w:val="18"/>
                <w:szCs w:val="18"/>
              </w:rPr>
              <w:t xml:space="preserve">Producto 11: </w:t>
            </w:r>
            <w:r>
              <w:rPr>
                <w:sz w:val="18"/>
                <w:szCs w:val="18"/>
              </w:rPr>
              <w:t>Cuadro de contabilización de costos conjuntos</w:t>
            </w:r>
          </w:p>
        </w:tc>
        <w:tc>
          <w:tcPr>
            <w:tcW w:w="1877" w:type="dxa"/>
            <w:shd w:val="clear" w:color="auto" w:fill="D9E2F3"/>
            <w:vAlign w:val="center"/>
          </w:tcPr>
          <w:p w14:paraId="40E5674D" w14:textId="77777777" w:rsidR="00990B14" w:rsidRDefault="00000000">
            <w:pPr>
              <w:spacing w:before="20" w:after="20"/>
              <w:jc w:val="center"/>
            </w:pPr>
            <w:r>
              <w:rPr>
                <w:b/>
                <w:bCs/>
                <w:sz w:val="18"/>
                <w:szCs w:val="18"/>
              </w:rPr>
              <w:t>5%</w:t>
            </w:r>
          </w:p>
        </w:tc>
      </w:tr>
      <w:tr w:rsidR="00990B14" w14:paraId="612F4172" w14:textId="77777777">
        <w:trPr>
          <w:cantSplit/>
          <w:jc w:val="center"/>
        </w:trPr>
        <w:tc>
          <w:tcPr>
            <w:tcW w:w="1900" w:type="dxa"/>
            <w:vMerge/>
            <w:shd w:val="clear" w:color="auto" w:fill="4472C4"/>
            <w:vAlign w:val="center"/>
          </w:tcPr>
          <w:p w14:paraId="398A0E44" w14:textId="77777777" w:rsidR="00990B14" w:rsidRDefault="00990B14">
            <w:pPr>
              <w:spacing w:before="20" w:after="20"/>
            </w:pPr>
          </w:p>
        </w:tc>
        <w:tc>
          <w:tcPr>
            <w:tcW w:w="1876" w:type="dxa"/>
            <w:shd w:val="clear" w:color="auto" w:fill="4472C4"/>
            <w:vAlign w:val="center"/>
          </w:tcPr>
          <w:p w14:paraId="00520B0B"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667E4B48"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161B0265"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25379A82" w14:textId="77777777" w:rsidR="00990B14" w:rsidRDefault="00000000">
            <w:pPr>
              <w:keepNext/>
              <w:spacing w:before="20" w:after="20"/>
              <w:jc w:val="center"/>
            </w:pPr>
            <w:r>
              <w:rPr>
                <w:b/>
                <w:bCs/>
                <w:i/>
                <w:iCs/>
                <w:color w:val="FFFFFF"/>
                <w:sz w:val="18"/>
                <w:szCs w:val="18"/>
              </w:rPr>
              <w:t>Destacado (81–100)</w:t>
            </w:r>
          </w:p>
        </w:tc>
      </w:tr>
      <w:tr w:rsidR="00990B14" w14:paraId="02881DBB" w14:textId="77777777">
        <w:trPr>
          <w:cantSplit/>
          <w:jc w:val="center"/>
        </w:trPr>
        <w:tc>
          <w:tcPr>
            <w:tcW w:w="1900" w:type="dxa"/>
            <w:vMerge/>
            <w:shd w:val="clear" w:color="auto" w:fill="4472C4"/>
            <w:vAlign w:val="center"/>
          </w:tcPr>
          <w:p w14:paraId="6CEE928B" w14:textId="77777777" w:rsidR="00990B14" w:rsidRDefault="00990B14">
            <w:pPr>
              <w:spacing w:before="20" w:after="20"/>
            </w:pPr>
          </w:p>
        </w:tc>
        <w:tc>
          <w:tcPr>
            <w:tcW w:w="1876" w:type="dxa"/>
            <w:shd w:val="clear" w:color="auto" w:fill="D9E2F3"/>
            <w:vAlign w:val="center"/>
          </w:tcPr>
          <w:p w14:paraId="1778E06D" w14:textId="77777777" w:rsidR="00990B14" w:rsidRDefault="00000000">
            <w:pPr>
              <w:spacing w:before="20" w:after="20"/>
              <w:jc w:val="both"/>
            </w:pPr>
            <w:r>
              <w:rPr>
                <w:sz w:val="18"/>
                <w:szCs w:val="18"/>
              </w:rPr>
              <w:t>Punto de separación</w:t>
            </w:r>
          </w:p>
        </w:tc>
        <w:tc>
          <w:tcPr>
            <w:tcW w:w="1876" w:type="dxa"/>
            <w:shd w:val="clear" w:color="auto" w:fill="D9E2F3"/>
            <w:vAlign w:val="center"/>
          </w:tcPr>
          <w:p w14:paraId="134667E1" w14:textId="77777777" w:rsidR="00990B14" w:rsidRDefault="00000000">
            <w:pPr>
              <w:spacing w:before="20" w:after="20"/>
              <w:jc w:val="both"/>
            </w:pPr>
            <w:r>
              <w:rPr>
                <w:sz w:val="18"/>
                <w:szCs w:val="18"/>
              </w:rPr>
              <w:t>No identifica el punto de separación.</w:t>
            </w:r>
          </w:p>
        </w:tc>
        <w:tc>
          <w:tcPr>
            <w:tcW w:w="1876" w:type="dxa"/>
            <w:shd w:val="clear" w:color="auto" w:fill="D9E2F3"/>
            <w:vAlign w:val="center"/>
          </w:tcPr>
          <w:p w14:paraId="0F0BD1A6" w14:textId="77777777" w:rsidR="00990B14" w:rsidRDefault="00000000">
            <w:pPr>
              <w:spacing w:before="20" w:after="20"/>
              <w:jc w:val="both"/>
            </w:pPr>
            <w:r>
              <w:rPr>
                <w:sz w:val="18"/>
                <w:szCs w:val="18"/>
              </w:rPr>
              <w:t>Identifica el punto de separación y los costos conjuntos.</w:t>
            </w:r>
          </w:p>
        </w:tc>
        <w:tc>
          <w:tcPr>
            <w:tcW w:w="1877" w:type="dxa"/>
            <w:shd w:val="clear" w:color="auto" w:fill="D9E2F3"/>
            <w:vAlign w:val="center"/>
          </w:tcPr>
          <w:p w14:paraId="5376758A" w14:textId="77777777" w:rsidR="00990B14" w:rsidRDefault="00000000">
            <w:pPr>
              <w:spacing w:before="20" w:after="20"/>
              <w:jc w:val="both"/>
            </w:pPr>
            <w:r>
              <w:rPr>
                <w:sz w:val="18"/>
                <w:szCs w:val="18"/>
              </w:rPr>
              <w:t>Explica las dificultades de la asignación de costos conjuntos.</w:t>
            </w:r>
          </w:p>
        </w:tc>
      </w:tr>
      <w:tr w:rsidR="00990B14" w14:paraId="29BB5199" w14:textId="77777777">
        <w:trPr>
          <w:cantSplit/>
          <w:jc w:val="center"/>
        </w:trPr>
        <w:tc>
          <w:tcPr>
            <w:tcW w:w="1900" w:type="dxa"/>
            <w:vMerge/>
            <w:shd w:val="clear" w:color="auto" w:fill="4472C4"/>
            <w:vAlign w:val="center"/>
          </w:tcPr>
          <w:p w14:paraId="3AE9464E" w14:textId="77777777" w:rsidR="00990B14" w:rsidRDefault="00990B14">
            <w:pPr>
              <w:spacing w:before="20" w:after="20"/>
            </w:pPr>
          </w:p>
        </w:tc>
        <w:tc>
          <w:tcPr>
            <w:tcW w:w="1876" w:type="dxa"/>
            <w:shd w:val="clear" w:color="auto" w:fill="D9E2F3"/>
            <w:vAlign w:val="center"/>
          </w:tcPr>
          <w:p w14:paraId="223B0119" w14:textId="77777777" w:rsidR="00990B14" w:rsidRDefault="00000000">
            <w:pPr>
              <w:spacing w:before="20" w:after="20"/>
              <w:jc w:val="both"/>
            </w:pPr>
            <w:r>
              <w:rPr>
                <w:sz w:val="18"/>
                <w:szCs w:val="18"/>
              </w:rPr>
              <w:t>Coproductos y subproductos</w:t>
            </w:r>
          </w:p>
        </w:tc>
        <w:tc>
          <w:tcPr>
            <w:tcW w:w="1876" w:type="dxa"/>
            <w:shd w:val="clear" w:color="auto" w:fill="D9E2F3"/>
            <w:vAlign w:val="center"/>
          </w:tcPr>
          <w:p w14:paraId="4CA5CFA2" w14:textId="77777777" w:rsidR="00990B14" w:rsidRDefault="00000000">
            <w:pPr>
              <w:spacing w:before="20" w:after="20"/>
              <w:jc w:val="both"/>
            </w:pPr>
            <w:r>
              <w:rPr>
                <w:sz w:val="18"/>
                <w:szCs w:val="18"/>
              </w:rPr>
              <w:t>No distingue los coproductos de los subproductos.</w:t>
            </w:r>
          </w:p>
        </w:tc>
        <w:tc>
          <w:tcPr>
            <w:tcW w:w="1876" w:type="dxa"/>
            <w:shd w:val="clear" w:color="auto" w:fill="D9E2F3"/>
            <w:vAlign w:val="center"/>
          </w:tcPr>
          <w:p w14:paraId="101B527F" w14:textId="77777777" w:rsidR="00990B14" w:rsidRDefault="00000000">
            <w:pPr>
              <w:spacing w:before="20" w:after="20"/>
              <w:jc w:val="both"/>
            </w:pPr>
            <w:r>
              <w:rPr>
                <w:sz w:val="18"/>
                <w:szCs w:val="18"/>
              </w:rPr>
              <w:t>Distingue los coproductos y los subproductos del proceso.</w:t>
            </w:r>
          </w:p>
        </w:tc>
        <w:tc>
          <w:tcPr>
            <w:tcW w:w="1877" w:type="dxa"/>
            <w:shd w:val="clear" w:color="auto" w:fill="D9E2F3"/>
            <w:vAlign w:val="center"/>
          </w:tcPr>
          <w:p w14:paraId="0338810C" w14:textId="77777777" w:rsidR="00990B14" w:rsidRDefault="00000000">
            <w:pPr>
              <w:spacing w:before="20" w:after="20"/>
              <w:jc w:val="both"/>
            </w:pPr>
            <w:r>
              <w:rPr>
                <w:sz w:val="18"/>
                <w:szCs w:val="18"/>
              </w:rPr>
              <w:t>Justifica el método de asignación elegido.</w:t>
            </w:r>
          </w:p>
        </w:tc>
      </w:tr>
      <w:tr w:rsidR="00990B14" w14:paraId="1274A843" w14:textId="77777777">
        <w:trPr>
          <w:cantSplit/>
          <w:jc w:val="center"/>
        </w:trPr>
        <w:tc>
          <w:tcPr>
            <w:tcW w:w="1900" w:type="dxa"/>
            <w:vMerge/>
            <w:shd w:val="clear" w:color="auto" w:fill="4472C4"/>
            <w:vAlign w:val="center"/>
          </w:tcPr>
          <w:p w14:paraId="123622D2" w14:textId="77777777" w:rsidR="00990B14" w:rsidRDefault="00990B14">
            <w:pPr>
              <w:spacing w:before="20" w:after="20"/>
            </w:pPr>
          </w:p>
        </w:tc>
        <w:tc>
          <w:tcPr>
            <w:tcW w:w="1876" w:type="dxa"/>
            <w:shd w:val="clear" w:color="auto" w:fill="D9E2F3"/>
            <w:vAlign w:val="center"/>
          </w:tcPr>
          <w:p w14:paraId="41E27A4D" w14:textId="77777777" w:rsidR="00990B14" w:rsidRDefault="00000000">
            <w:pPr>
              <w:spacing w:before="20" w:after="20"/>
              <w:jc w:val="both"/>
            </w:pPr>
            <w:r>
              <w:rPr>
                <w:sz w:val="18"/>
                <w:szCs w:val="18"/>
              </w:rPr>
              <w:t>Asignación y registro</w:t>
            </w:r>
          </w:p>
        </w:tc>
        <w:tc>
          <w:tcPr>
            <w:tcW w:w="1876" w:type="dxa"/>
            <w:shd w:val="clear" w:color="auto" w:fill="D9E2F3"/>
            <w:vAlign w:val="center"/>
          </w:tcPr>
          <w:p w14:paraId="287AB5AA" w14:textId="77777777" w:rsidR="00990B14" w:rsidRDefault="00000000">
            <w:pPr>
              <w:spacing w:before="20" w:after="20"/>
              <w:jc w:val="both"/>
            </w:pPr>
            <w:r>
              <w:rPr>
                <w:sz w:val="18"/>
                <w:szCs w:val="18"/>
              </w:rPr>
              <w:t>Asigna los costos conjuntos con errores.</w:t>
            </w:r>
          </w:p>
        </w:tc>
        <w:tc>
          <w:tcPr>
            <w:tcW w:w="1876" w:type="dxa"/>
            <w:shd w:val="clear" w:color="auto" w:fill="D9E2F3"/>
            <w:vAlign w:val="center"/>
          </w:tcPr>
          <w:p w14:paraId="0697FE7F" w14:textId="77777777" w:rsidR="00990B14" w:rsidRDefault="00000000">
            <w:pPr>
              <w:spacing w:before="20" w:after="20"/>
              <w:jc w:val="both"/>
            </w:pPr>
            <w:r>
              <w:rPr>
                <w:sz w:val="18"/>
                <w:szCs w:val="18"/>
              </w:rPr>
              <w:t>Asigna y contabiliza los costos conjuntos y los subproductos.</w:t>
            </w:r>
          </w:p>
        </w:tc>
        <w:tc>
          <w:tcPr>
            <w:tcW w:w="1877" w:type="dxa"/>
            <w:shd w:val="clear" w:color="auto" w:fill="D9E2F3"/>
            <w:vAlign w:val="center"/>
          </w:tcPr>
          <w:p w14:paraId="100B0969" w14:textId="77777777" w:rsidR="00990B14" w:rsidRDefault="00000000">
            <w:pPr>
              <w:spacing w:before="20" w:after="20"/>
              <w:jc w:val="both"/>
            </w:pPr>
            <w:r>
              <w:rPr>
                <w:sz w:val="18"/>
                <w:szCs w:val="18"/>
              </w:rPr>
              <w:t>Compara la asignación por distintos métodos.</w:t>
            </w:r>
          </w:p>
        </w:tc>
      </w:tr>
      <w:tr w:rsidR="00990B14" w14:paraId="2BFCEDA0" w14:textId="77777777">
        <w:trPr>
          <w:cantSplit/>
          <w:jc w:val="center"/>
        </w:trPr>
        <w:tc>
          <w:tcPr>
            <w:tcW w:w="1900" w:type="dxa"/>
            <w:vMerge/>
            <w:shd w:val="clear" w:color="auto" w:fill="4472C4"/>
            <w:vAlign w:val="center"/>
          </w:tcPr>
          <w:p w14:paraId="2067BEC6" w14:textId="77777777" w:rsidR="00990B14" w:rsidRDefault="00990B14">
            <w:pPr>
              <w:spacing w:before="20" w:after="20"/>
            </w:pPr>
          </w:p>
        </w:tc>
        <w:tc>
          <w:tcPr>
            <w:tcW w:w="5628" w:type="dxa"/>
            <w:gridSpan w:val="3"/>
            <w:shd w:val="clear" w:color="auto" w:fill="D9E2F3"/>
            <w:vAlign w:val="center"/>
          </w:tcPr>
          <w:p w14:paraId="470E80C1" w14:textId="77777777" w:rsidR="00990B14" w:rsidRDefault="00000000">
            <w:pPr>
              <w:keepNext/>
              <w:spacing w:before="20" w:after="20"/>
              <w:jc w:val="both"/>
            </w:pPr>
            <w:r>
              <w:rPr>
                <w:b/>
                <w:bCs/>
                <w:i/>
                <w:iCs/>
                <w:sz w:val="18"/>
                <w:szCs w:val="18"/>
              </w:rPr>
              <w:t xml:space="preserve">Producto 12: </w:t>
            </w:r>
            <w:r>
              <w:rPr>
                <w:sz w:val="18"/>
                <w:szCs w:val="18"/>
              </w:rPr>
              <w:t>Informe del procesamiento adicional y del aprovechamiento de subproductos y residuos</w:t>
            </w:r>
          </w:p>
        </w:tc>
        <w:tc>
          <w:tcPr>
            <w:tcW w:w="1877" w:type="dxa"/>
            <w:shd w:val="clear" w:color="auto" w:fill="D9E2F3"/>
            <w:vAlign w:val="center"/>
          </w:tcPr>
          <w:p w14:paraId="126E4941" w14:textId="77777777" w:rsidR="00990B14" w:rsidRDefault="00000000">
            <w:pPr>
              <w:spacing w:before="20" w:after="20"/>
              <w:jc w:val="center"/>
            </w:pPr>
            <w:r>
              <w:rPr>
                <w:b/>
                <w:bCs/>
                <w:sz w:val="18"/>
                <w:szCs w:val="18"/>
              </w:rPr>
              <w:t>5%</w:t>
            </w:r>
          </w:p>
        </w:tc>
      </w:tr>
      <w:tr w:rsidR="00990B14" w14:paraId="5CB66755" w14:textId="77777777">
        <w:trPr>
          <w:cantSplit/>
          <w:jc w:val="center"/>
        </w:trPr>
        <w:tc>
          <w:tcPr>
            <w:tcW w:w="1900" w:type="dxa"/>
            <w:vMerge/>
            <w:shd w:val="clear" w:color="auto" w:fill="4472C4"/>
            <w:vAlign w:val="center"/>
          </w:tcPr>
          <w:p w14:paraId="2134D0A5" w14:textId="77777777" w:rsidR="00990B14" w:rsidRDefault="00990B14">
            <w:pPr>
              <w:spacing w:before="20" w:after="20"/>
            </w:pPr>
          </w:p>
        </w:tc>
        <w:tc>
          <w:tcPr>
            <w:tcW w:w="1876" w:type="dxa"/>
            <w:shd w:val="clear" w:color="auto" w:fill="4472C4"/>
            <w:vAlign w:val="center"/>
          </w:tcPr>
          <w:p w14:paraId="0235024B"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46A59B23"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5A3D67C8"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00C33AE1" w14:textId="77777777" w:rsidR="00990B14" w:rsidRDefault="00000000">
            <w:pPr>
              <w:keepNext/>
              <w:spacing w:before="20" w:after="20"/>
              <w:jc w:val="center"/>
            </w:pPr>
            <w:r>
              <w:rPr>
                <w:b/>
                <w:bCs/>
                <w:i/>
                <w:iCs/>
                <w:color w:val="FFFFFF"/>
                <w:sz w:val="18"/>
                <w:szCs w:val="18"/>
              </w:rPr>
              <w:t>Destacado (81–100)</w:t>
            </w:r>
          </w:p>
        </w:tc>
      </w:tr>
      <w:tr w:rsidR="00990B14" w14:paraId="736A7CF8" w14:textId="77777777">
        <w:trPr>
          <w:cantSplit/>
          <w:jc w:val="center"/>
        </w:trPr>
        <w:tc>
          <w:tcPr>
            <w:tcW w:w="1900" w:type="dxa"/>
            <w:vMerge/>
            <w:shd w:val="clear" w:color="auto" w:fill="4472C4"/>
            <w:vAlign w:val="center"/>
          </w:tcPr>
          <w:p w14:paraId="5CA71E6A" w14:textId="77777777" w:rsidR="00990B14" w:rsidRDefault="00990B14">
            <w:pPr>
              <w:spacing w:before="20" w:after="20"/>
            </w:pPr>
          </w:p>
        </w:tc>
        <w:tc>
          <w:tcPr>
            <w:tcW w:w="1876" w:type="dxa"/>
            <w:shd w:val="clear" w:color="auto" w:fill="D9E2F3"/>
            <w:vAlign w:val="center"/>
          </w:tcPr>
          <w:p w14:paraId="1246BB73" w14:textId="77777777" w:rsidR="00990B14" w:rsidRDefault="00000000">
            <w:pPr>
              <w:spacing w:before="20" w:after="20"/>
              <w:jc w:val="both"/>
            </w:pPr>
            <w:r>
              <w:rPr>
                <w:sz w:val="18"/>
                <w:szCs w:val="18"/>
              </w:rPr>
              <w:t>Procesamiento adicional</w:t>
            </w:r>
          </w:p>
        </w:tc>
        <w:tc>
          <w:tcPr>
            <w:tcW w:w="1876" w:type="dxa"/>
            <w:shd w:val="clear" w:color="auto" w:fill="D9E2F3"/>
            <w:vAlign w:val="center"/>
          </w:tcPr>
          <w:p w14:paraId="3E91F6AE" w14:textId="77777777" w:rsidR="00990B14" w:rsidRDefault="00000000">
            <w:pPr>
              <w:spacing w:before="20" w:after="20"/>
              <w:jc w:val="both"/>
            </w:pPr>
            <w:r>
              <w:rPr>
                <w:sz w:val="18"/>
                <w:szCs w:val="18"/>
              </w:rPr>
              <w:t>No compara los ingresos y costos del procesamiento adicional.</w:t>
            </w:r>
          </w:p>
        </w:tc>
        <w:tc>
          <w:tcPr>
            <w:tcW w:w="1876" w:type="dxa"/>
            <w:shd w:val="clear" w:color="auto" w:fill="D9E2F3"/>
            <w:vAlign w:val="center"/>
          </w:tcPr>
          <w:p w14:paraId="00B14B21" w14:textId="77777777" w:rsidR="00990B14" w:rsidRDefault="00000000">
            <w:pPr>
              <w:spacing w:before="20" w:after="20"/>
              <w:jc w:val="both"/>
            </w:pPr>
            <w:r>
              <w:rPr>
                <w:sz w:val="18"/>
                <w:szCs w:val="18"/>
              </w:rPr>
              <w:t>Compara los ingresos y costos incrementales del procesamiento adicional.</w:t>
            </w:r>
          </w:p>
        </w:tc>
        <w:tc>
          <w:tcPr>
            <w:tcW w:w="1877" w:type="dxa"/>
            <w:shd w:val="clear" w:color="auto" w:fill="D9E2F3"/>
            <w:vAlign w:val="center"/>
          </w:tcPr>
          <w:p w14:paraId="2C9BE344" w14:textId="77777777" w:rsidR="00990B14" w:rsidRDefault="00000000">
            <w:pPr>
              <w:spacing w:before="20" w:after="20"/>
              <w:jc w:val="both"/>
            </w:pPr>
            <w:r>
              <w:rPr>
                <w:sz w:val="18"/>
                <w:szCs w:val="18"/>
              </w:rPr>
              <w:t>Sustenta la decisión con su efecto en la utilidad.</w:t>
            </w:r>
          </w:p>
        </w:tc>
      </w:tr>
      <w:tr w:rsidR="00990B14" w14:paraId="2B05168A" w14:textId="77777777">
        <w:trPr>
          <w:cantSplit/>
          <w:jc w:val="center"/>
        </w:trPr>
        <w:tc>
          <w:tcPr>
            <w:tcW w:w="1900" w:type="dxa"/>
            <w:vMerge/>
            <w:shd w:val="clear" w:color="auto" w:fill="4472C4"/>
            <w:vAlign w:val="center"/>
          </w:tcPr>
          <w:p w14:paraId="5749368F" w14:textId="77777777" w:rsidR="00990B14" w:rsidRDefault="00990B14">
            <w:pPr>
              <w:spacing w:before="20" w:after="20"/>
            </w:pPr>
          </w:p>
        </w:tc>
        <w:tc>
          <w:tcPr>
            <w:tcW w:w="1876" w:type="dxa"/>
            <w:shd w:val="clear" w:color="auto" w:fill="D9E2F3"/>
            <w:vAlign w:val="center"/>
          </w:tcPr>
          <w:p w14:paraId="2EBEE2F1" w14:textId="77777777" w:rsidR="00990B14" w:rsidRDefault="00000000">
            <w:pPr>
              <w:spacing w:before="20" w:after="20"/>
              <w:jc w:val="both"/>
            </w:pPr>
            <w:r>
              <w:rPr>
                <w:sz w:val="18"/>
                <w:szCs w:val="18"/>
              </w:rPr>
              <w:t>Economía circular</w:t>
            </w:r>
          </w:p>
        </w:tc>
        <w:tc>
          <w:tcPr>
            <w:tcW w:w="1876" w:type="dxa"/>
            <w:shd w:val="clear" w:color="auto" w:fill="D9E2F3"/>
            <w:vAlign w:val="center"/>
          </w:tcPr>
          <w:p w14:paraId="6C150CF7" w14:textId="77777777" w:rsidR="00990B14" w:rsidRDefault="00000000">
            <w:pPr>
              <w:spacing w:before="20" w:after="20"/>
              <w:jc w:val="both"/>
            </w:pPr>
            <w:r>
              <w:rPr>
                <w:sz w:val="18"/>
                <w:szCs w:val="18"/>
              </w:rPr>
              <w:t>No relaciona los residuos con el costo conjunto.</w:t>
            </w:r>
          </w:p>
        </w:tc>
        <w:tc>
          <w:tcPr>
            <w:tcW w:w="1876" w:type="dxa"/>
            <w:shd w:val="clear" w:color="auto" w:fill="D9E2F3"/>
            <w:vAlign w:val="center"/>
          </w:tcPr>
          <w:p w14:paraId="7E9F62A0" w14:textId="77777777" w:rsidR="00990B14" w:rsidRDefault="00000000">
            <w:pPr>
              <w:spacing w:before="20" w:after="20"/>
              <w:jc w:val="both"/>
            </w:pPr>
            <w:r>
              <w:rPr>
                <w:sz w:val="18"/>
                <w:szCs w:val="18"/>
              </w:rPr>
              <w:t>Describe el aprovechamiento de subproductos y residuos y su efecto en el costo conjunto.</w:t>
            </w:r>
          </w:p>
        </w:tc>
        <w:tc>
          <w:tcPr>
            <w:tcW w:w="1877" w:type="dxa"/>
            <w:shd w:val="clear" w:color="auto" w:fill="D9E2F3"/>
            <w:vAlign w:val="center"/>
          </w:tcPr>
          <w:p w14:paraId="4397A0EA" w14:textId="77777777" w:rsidR="00990B14" w:rsidRDefault="00000000">
            <w:pPr>
              <w:spacing w:before="20" w:after="20"/>
              <w:jc w:val="both"/>
            </w:pPr>
            <w:r>
              <w:rPr>
                <w:sz w:val="18"/>
                <w:szCs w:val="18"/>
              </w:rPr>
              <w:t>Sustenta su efecto en el desempeño ambiental de la empresa.</w:t>
            </w:r>
          </w:p>
        </w:tc>
      </w:tr>
      <w:tr w:rsidR="00990B14" w14:paraId="0ACFCFD0" w14:textId="77777777">
        <w:trPr>
          <w:cantSplit/>
          <w:jc w:val="center"/>
        </w:trPr>
        <w:tc>
          <w:tcPr>
            <w:tcW w:w="1900" w:type="dxa"/>
            <w:vMerge/>
            <w:shd w:val="clear" w:color="auto" w:fill="4472C4"/>
            <w:vAlign w:val="center"/>
          </w:tcPr>
          <w:p w14:paraId="7D3E6453" w14:textId="77777777" w:rsidR="00990B14" w:rsidRDefault="00990B14">
            <w:pPr>
              <w:spacing w:before="20" w:after="20"/>
            </w:pPr>
          </w:p>
        </w:tc>
        <w:tc>
          <w:tcPr>
            <w:tcW w:w="1876" w:type="dxa"/>
            <w:shd w:val="clear" w:color="auto" w:fill="D9E2F3"/>
            <w:vAlign w:val="center"/>
          </w:tcPr>
          <w:p w14:paraId="5D9BCD32" w14:textId="77777777" w:rsidR="00990B14" w:rsidRDefault="00000000">
            <w:pPr>
              <w:spacing w:before="20" w:after="20"/>
              <w:jc w:val="both"/>
            </w:pPr>
            <w:r>
              <w:rPr>
                <w:sz w:val="18"/>
                <w:szCs w:val="18"/>
              </w:rPr>
              <w:t>Sustentación oral</w:t>
            </w:r>
          </w:p>
        </w:tc>
        <w:tc>
          <w:tcPr>
            <w:tcW w:w="1876" w:type="dxa"/>
            <w:shd w:val="clear" w:color="auto" w:fill="D9E2F3"/>
            <w:vAlign w:val="center"/>
          </w:tcPr>
          <w:p w14:paraId="3D1BD98C" w14:textId="77777777" w:rsidR="00990B14" w:rsidRDefault="00000000">
            <w:pPr>
              <w:spacing w:before="20" w:after="20"/>
              <w:jc w:val="both"/>
            </w:pPr>
            <w:r>
              <w:rPr>
                <w:sz w:val="18"/>
                <w:szCs w:val="18"/>
              </w:rPr>
              <w:t>No sustenta sus conclusiones ante el curso.</w:t>
            </w:r>
          </w:p>
        </w:tc>
        <w:tc>
          <w:tcPr>
            <w:tcW w:w="1876" w:type="dxa"/>
            <w:shd w:val="clear" w:color="auto" w:fill="D9E2F3"/>
            <w:vAlign w:val="center"/>
          </w:tcPr>
          <w:p w14:paraId="7075964A" w14:textId="77777777" w:rsidR="00990B14" w:rsidRDefault="00000000">
            <w:pPr>
              <w:spacing w:before="20" w:after="20"/>
              <w:jc w:val="both"/>
            </w:pPr>
            <w:r>
              <w:rPr>
                <w:sz w:val="18"/>
                <w:szCs w:val="18"/>
              </w:rPr>
              <w:t>Expone sus conclusiones con claridad.</w:t>
            </w:r>
          </w:p>
        </w:tc>
        <w:tc>
          <w:tcPr>
            <w:tcW w:w="1877" w:type="dxa"/>
            <w:shd w:val="clear" w:color="auto" w:fill="D9E2F3"/>
            <w:vAlign w:val="center"/>
          </w:tcPr>
          <w:p w14:paraId="6A138B31" w14:textId="77777777" w:rsidR="00990B14" w:rsidRDefault="00000000">
            <w:pPr>
              <w:spacing w:before="20" w:after="20"/>
              <w:jc w:val="both"/>
            </w:pPr>
            <w:r>
              <w:rPr>
                <w:sz w:val="18"/>
                <w:szCs w:val="18"/>
              </w:rPr>
              <w:t>Responde con cifras las preguntas del curso.</w:t>
            </w:r>
          </w:p>
        </w:tc>
      </w:tr>
      <w:tr w:rsidR="00990B14" w14:paraId="0FD37A18" w14:textId="77777777">
        <w:trPr>
          <w:cantSplit/>
          <w:jc w:val="center"/>
        </w:trPr>
        <w:tc>
          <w:tcPr>
            <w:tcW w:w="1900" w:type="dxa"/>
            <w:vMerge/>
            <w:shd w:val="clear" w:color="auto" w:fill="4472C4"/>
            <w:vAlign w:val="center"/>
          </w:tcPr>
          <w:p w14:paraId="61641F73" w14:textId="77777777" w:rsidR="00990B14" w:rsidRDefault="00990B14">
            <w:pPr>
              <w:spacing w:before="20" w:after="20"/>
            </w:pPr>
          </w:p>
        </w:tc>
        <w:tc>
          <w:tcPr>
            <w:tcW w:w="5628" w:type="dxa"/>
            <w:gridSpan w:val="3"/>
            <w:shd w:val="clear" w:color="auto" w:fill="D9E2F3"/>
            <w:vAlign w:val="center"/>
          </w:tcPr>
          <w:p w14:paraId="59176427" w14:textId="77777777" w:rsidR="00990B14" w:rsidRDefault="00000000">
            <w:pPr>
              <w:keepNext/>
              <w:spacing w:before="20" w:after="20"/>
              <w:jc w:val="both"/>
            </w:pPr>
            <w:r>
              <w:rPr>
                <w:b/>
                <w:bCs/>
                <w:i/>
                <w:iCs/>
                <w:sz w:val="18"/>
                <w:szCs w:val="18"/>
              </w:rPr>
              <w:t xml:space="preserve">Producto 13: </w:t>
            </w:r>
            <w:r>
              <w:rPr>
                <w:sz w:val="18"/>
                <w:szCs w:val="18"/>
              </w:rPr>
              <w:t>Informe del análisis de variaciones de los costos estándar</w:t>
            </w:r>
          </w:p>
        </w:tc>
        <w:tc>
          <w:tcPr>
            <w:tcW w:w="1877" w:type="dxa"/>
            <w:shd w:val="clear" w:color="auto" w:fill="D9E2F3"/>
            <w:vAlign w:val="center"/>
          </w:tcPr>
          <w:p w14:paraId="716A2327" w14:textId="77777777" w:rsidR="00990B14" w:rsidRDefault="00000000">
            <w:pPr>
              <w:spacing w:before="20" w:after="20"/>
              <w:jc w:val="center"/>
            </w:pPr>
            <w:r>
              <w:rPr>
                <w:b/>
                <w:bCs/>
                <w:sz w:val="18"/>
                <w:szCs w:val="18"/>
              </w:rPr>
              <w:t>9%</w:t>
            </w:r>
          </w:p>
        </w:tc>
      </w:tr>
      <w:tr w:rsidR="00990B14" w14:paraId="77FBB973" w14:textId="77777777">
        <w:trPr>
          <w:cantSplit/>
          <w:jc w:val="center"/>
        </w:trPr>
        <w:tc>
          <w:tcPr>
            <w:tcW w:w="1900" w:type="dxa"/>
            <w:vMerge/>
            <w:shd w:val="clear" w:color="auto" w:fill="4472C4"/>
            <w:vAlign w:val="center"/>
          </w:tcPr>
          <w:p w14:paraId="3EFFA5FD" w14:textId="77777777" w:rsidR="00990B14" w:rsidRDefault="00990B14">
            <w:pPr>
              <w:spacing w:before="20" w:after="20"/>
            </w:pPr>
          </w:p>
        </w:tc>
        <w:tc>
          <w:tcPr>
            <w:tcW w:w="1876" w:type="dxa"/>
            <w:shd w:val="clear" w:color="auto" w:fill="4472C4"/>
            <w:vAlign w:val="center"/>
          </w:tcPr>
          <w:p w14:paraId="708FA862"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523BB0C3"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56F8F7BD"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2844F1C4" w14:textId="77777777" w:rsidR="00990B14" w:rsidRDefault="00000000">
            <w:pPr>
              <w:keepNext/>
              <w:spacing w:before="20" w:after="20"/>
              <w:jc w:val="center"/>
            </w:pPr>
            <w:r>
              <w:rPr>
                <w:b/>
                <w:bCs/>
                <w:i/>
                <w:iCs/>
                <w:color w:val="FFFFFF"/>
                <w:sz w:val="18"/>
                <w:szCs w:val="18"/>
              </w:rPr>
              <w:t>Destacado (81–100)</w:t>
            </w:r>
          </w:p>
        </w:tc>
      </w:tr>
      <w:tr w:rsidR="00990B14" w14:paraId="63AFC3FA" w14:textId="77777777">
        <w:trPr>
          <w:cantSplit/>
          <w:jc w:val="center"/>
        </w:trPr>
        <w:tc>
          <w:tcPr>
            <w:tcW w:w="1900" w:type="dxa"/>
            <w:vMerge/>
            <w:shd w:val="clear" w:color="auto" w:fill="4472C4"/>
            <w:vAlign w:val="center"/>
          </w:tcPr>
          <w:p w14:paraId="0F067B66" w14:textId="77777777" w:rsidR="00990B14" w:rsidRDefault="00990B14">
            <w:pPr>
              <w:spacing w:before="20" w:after="20"/>
            </w:pPr>
          </w:p>
        </w:tc>
        <w:tc>
          <w:tcPr>
            <w:tcW w:w="1876" w:type="dxa"/>
            <w:shd w:val="clear" w:color="auto" w:fill="D9E2F3"/>
            <w:vAlign w:val="center"/>
          </w:tcPr>
          <w:p w14:paraId="06B8AD08" w14:textId="77777777" w:rsidR="00990B14" w:rsidRDefault="00000000">
            <w:pPr>
              <w:spacing w:before="20" w:after="20"/>
              <w:jc w:val="both"/>
            </w:pPr>
            <w:r>
              <w:rPr>
                <w:sz w:val="18"/>
                <w:szCs w:val="18"/>
              </w:rPr>
              <w:t>Costo estándar</w:t>
            </w:r>
          </w:p>
        </w:tc>
        <w:tc>
          <w:tcPr>
            <w:tcW w:w="1876" w:type="dxa"/>
            <w:shd w:val="clear" w:color="auto" w:fill="D9E2F3"/>
            <w:vAlign w:val="center"/>
          </w:tcPr>
          <w:p w14:paraId="75D2CF7D" w14:textId="77777777" w:rsidR="00990B14" w:rsidRDefault="00000000">
            <w:pPr>
              <w:spacing w:before="20" w:after="20"/>
              <w:jc w:val="both"/>
            </w:pPr>
            <w:r>
              <w:rPr>
                <w:sz w:val="18"/>
                <w:szCs w:val="18"/>
              </w:rPr>
              <w:t>Determina con errores el costo unitario estándar.</w:t>
            </w:r>
          </w:p>
        </w:tc>
        <w:tc>
          <w:tcPr>
            <w:tcW w:w="1876" w:type="dxa"/>
            <w:shd w:val="clear" w:color="auto" w:fill="D9E2F3"/>
            <w:vAlign w:val="center"/>
          </w:tcPr>
          <w:p w14:paraId="336EE878" w14:textId="77777777" w:rsidR="00990B14" w:rsidRDefault="00000000">
            <w:pPr>
              <w:spacing w:before="20" w:after="20"/>
              <w:jc w:val="both"/>
            </w:pPr>
            <w:r>
              <w:rPr>
                <w:sz w:val="18"/>
                <w:szCs w:val="18"/>
              </w:rPr>
              <w:t>Determina correctamente el costo unitario estándar.</w:t>
            </w:r>
          </w:p>
        </w:tc>
        <w:tc>
          <w:tcPr>
            <w:tcW w:w="1877" w:type="dxa"/>
            <w:shd w:val="clear" w:color="auto" w:fill="D9E2F3"/>
            <w:vAlign w:val="center"/>
          </w:tcPr>
          <w:p w14:paraId="40D91963" w14:textId="77777777" w:rsidR="00990B14" w:rsidRDefault="00000000">
            <w:pPr>
              <w:spacing w:before="20" w:after="20"/>
              <w:jc w:val="both"/>
            </w:pPr>
            <w:r>
              <w:rPr>
                <w:sz w:val="18"/>
                <w:szCs w:val="18"/>
              </w:rPr>
              <w:t>Ajusta el estándar por el efecto de la inflación.</w:t>
            </w:r>
          </w:p>
        </w:tc>
      </w:tr>
      <w:tr w:rsidR="00990B14" w14:paraId="434CC88E" w14:textId="77777777">
        <w:trPr>
          <w:cantSplit/>
          <w:jc w:val="center"/>
        </w:trPr>
        <w:tc>
          <w:tcPr>
            <w:tcW w:w="1900" w:type="dxa"/>
            <w:vMerge/>
            <w:shd w:val="clear" w:color="auto" w:fill="4472C4"/>
            <w:vAlign w:val="center"/>
          </w:tcPr>
          <w:p w14:paraId="68FE45EE" w14:textId="77777777" w:rsidR="00990B14" w:rsidRDefault="00990B14">
            <w:pPr>
              <w:spacing w:before="20" w:after="20"/>
            </w:pPr>
          </w:p>
        </w:tc>
        <w:tc>
          <w:tcPr>
            <w:tcW w:w="1876" w:type="dxa"/>
            <w:shd w:val="clear" w:color="auto" w:fill="D9E2F3"/>
            <w:vAlign w:val="center"/>
          </w:tcPr>
          <w:p w14:paraId="7DCD9BD1" w14:textId="77777777" w:rsidR="00990B14" w:rsidRDefault="00000000">
            <w:pPr>
              <w:spacing w:before="20" w:after="20"/>
              <w:jc w:val="both"/>
            </w:pPr>
            <w:r>
              <w:rPr>
                <w:sz w:val="18"/>
                <w:szCs w:val="18"/>
              </w:rPr>
              <w:t>Análisis de variaciones</w:t>
            </w:r>
          </w:p>
        </w:tc>
        <w:tc>
          <w:tcPr>
            <w:tcW w:w="1876" w:type="dxa"/>
            <w:shd w:val="clear" w:color="auto" w:fill="D9E2F3"/>
            <w:vAlign w:val="center"/>
          </w:tcPr>
          <w:p w14:paraId="53DF9164" w14:textId="77777777" w:rsidR="00990B14" w:rsidRDefault="00000000">
            <w:pPr>
              <w:spacing w:before="20" w:after="20"/>
              <w:jc w:val="both"/>
            </w:pPr>
            <w:r>
              <w:rPr>
                <w:sz w:val="18"/>
                <w:szCs w:val="18"/>
              </w:rPr>
              <w:t>Calcula erróneamente las variaciones.</w:t>
            </w:r>
          </w:p>
        </w:tc>
        <w:tc>
          <w:tcPr>
            <w:tcW w:w="1876" w:type="dxa"/>
            <w:shd w:val="clear" w:color="auto" w:fill="D9E2F3"/>
            <w:vAlign w:val="center"/>
          </w:tcPr>
          <w:p w14:paraId="42D99BE5" w14:textId="77777777" w:rsidR="00990B14" w:rsidRDefault="00000000">
            <w:pPr>
              <w:spacing w:before="20" w:after="20"/>
              <w:jc w:val="both"/>
            </w:pPr>
            <w:r>
              <w:rPr>
                <w:sz w:val="18"/>
                <w:szCs w:val="18"/>
              </w:rPr>
              <w:t>Calcula las variaciones por el método de una, dos y tres variaciones.</w:t>
            </w:r>
          </w:p>
        </w:tc>
        <w:tc>
          <w:tcPr>
            <w:tcW w:w="1877" w:type="dxa"/>
            <w:shd w:val="clear" w:color="auto" w:fill="D9E2F3"/>
            <w:vAlign w:val="center"/>
          </w:tcPr>
          <w:p w14:paraId="313E6F9E" w14:textId="77777777" w:rsidR="00990B14" w:rsidRDefault="00000000">
            <w:pPr>
              <w:spacing w:before="20" w:after="20"/>
              <w:jc w:val="both"/>
            </w:pPr>
            <w:r>
              <w:rPr>
                <w:sz w:val="18"/>
                <w:szCs w:val="18"/>
              </w:rPr>
              <w:t>Explica las causas de cada variación.</w:t>
            </w:r>
          </w:p>
        </w:tc>
      </w:tr>
      <w:tr w:rsidR="00990B14" w14:paraId="39821407" w14:textId="77777777">
        <w:trPr>
          <w:cantSplit/>
          <w:jc w:val="center"/>
        </w:trPr>
        <w:tc>
          <w:tcPr>
            <w:tcW w:w="1900" w:type="dxa"/>
            <w:vMerge/>
            <w:shd w:val="clear" w:color="auto" w:fill="4472C4"/>
            <w:vAlign w:val="center"/>
          </w:tcPr>
          <w:p w14:paraId="73B6C65A" w14:textId="77777777" w:rsidR="00990B14" w:rsidRDefault="00990B14">
            <w:pPr>
              <w:spacing w:before="20" w:after="20"/>
            </w:pPr>
          </w:p>
        </w:tc>
        <w:tc>
          <w:tcPr>
            <w:tcW w:w="1876" w:type="dxa"/>
            <w:shd w:val="clear" w:color="auto" w:fill="D9E2F3"/>
            <w:vAlign w:val="center"/>
          </w:tcPr>
          <w:p w14:paraId="45E45192" w14:textId="77777777" w:rsidR="00990B14" w:rsidRDefault="00000000">
            <w:pPr>
              <w:spacing w:before="20" w:after="20"/>
              <w:jc w:val="both"/>
            </w:pPr>
            <w:r>
              <w:rPr>
                <w:sz w:val="18"/>
                <w:szCs w:val="18"/>
              </w:rPr>
              <w:t>Conclusiones</w:t>
            </w:r>
          </w:p>
        </w:tc>
        <w:tc>
          <w:tcPr>
            <w:tcW w:w="1876" w:type="dxa"/>
            <w:shd w:val="clear" w:color="auto" w:fill="D9E2F3"/>
            <w:vAlign w:val="center"/>
          </w:tcPr>
          <w:p w14:paraId="631A3703" w14:textId="77777777" w:rsidR="00990B14" w:rsidRDefault="00000000">
            <w:pPr>
              <w:spacing w:before="20" w:after="20"/>
              <w:jc w:val="both"/>
            </w:pPr>
            <w:r>
              <w:rPr>
                <w:sz w:val="18"/>
                <w:szCs w:val="18"/>
              </w:rPr>
              <w:t>No presenta conclusiones.</w:t>
            </w:r>
          </w:p>
        </w:tc>
        <w:tc>
          <w:tcPr>
            <w:tcW w:w="1876" w:type="dxa"/>
            <w:shd w:val="clear" w:color="auto" w:fill="D9E2F3"/>
            <w:vAlign w:val="center"/>
          </w:tcPr>
          <w:p w14:paraId="7FBD5A48" w14:textId="77777777" w:rsidR="00990B14" w:rsidRDefault="00000000">
            <w:pPr>
              <w:spacing w:before="20" w:after="20"/>
              <w:jc w:val="both"/>
            </w:pPr>
            <w:r>
              <w:rPr>
                <w:sz w:val="18"/>
                <w:szCs w:val="18"/>
              </w:rPr>
              <w:t>Presenta conclusiones coherentes con las variaciones.</w:t>
            </w:r>
          </w:p>
        </w:tc>
        <w:tc>
          <w:tcPr>
            <w:tcW w:w="1877" w:type="dxa"/>
            <w:shd w:val="clear" w:color="auto" w:fill="D9E2F3"/>
            <w:vAlign w:val="center"/>
          </w:tcPr>
          <w:p w14:paraId="1E3D8773" w14:textId="77777777" w:rsidR="00990B14" w:rsidRDefault="00000000">
            <w:pPr>
              <w:spacing w:before="20" w:after="20"/>
              <w:jc w:val="both"/>
            </w:pPr>
            <w:r>
              <w:rPr>
                <w:sz w:val="18"/>
                <w:szCs w:val="18"/>
              </w:rPr>
              <w:t>Propone acciones correctivas viables.</w:t>
            </w:r>
          </w:p>
        </w:tc>
      </w:tr>
      <w:tr w:rsidR="00990B14" w14:paraId="47E32BB3" w14:textId="77777777">
        <w:trPr>
          <w:cantSplit/>
          <w:jc w:val="center"/>
        </w:trPr>
        <w:tc>
          <w:tcPr>
            <w:tcW w:w="1900" w:type="dxa"/>
            <w:vMerge/>
            <w:shd w:val="clear" w:color="auto" w:fill="4472C4"/>
            <w:vAlign w:val="center"/>
          </w:tcPr>
          <w:p w14:paraId="4E4734CC" w14:textId="77777777" w:rsidR="00990B14" w:rsidRDefault="00990B14">
            <w:pPr>
              <w:spacing w:before="20" w:after="20"/>
            </w:pPr>
          </w:p>
        </w:tc>
        <w:tc>
          <w:tcPr>
            <w:tcW w:w="5628" w:type="dxa"/>
            <w:gridSpan w:val="3"/>
            <w:shd w:val="clear" w:color="auto" w:fill="D9E2F3"/>
            <w:vAlign w:val="center"/>
          </w:tcPr>
          <w:p w14:paraId="1CC1514D" w14:textId="77777777" w:rsidR="00990B14" w:rsidRDefault="00000000">
            <w:pPr>
              <w:keepNext/>
              <w:spacing w:before="20" w:after="20"/>
              <w:jc w:val="both"/>
            </w:pPr>
            <w:r>
              <w:rPr>
                <w:b/>
                <w:bCs/>
                <w:i/>
                <w:iCs/>
                <w:sz w:val="18"/>
                <w:szCs w:val="18"/>
              </w:rPr>
              <w:t xml:space="preserve">Producto 14: </w:t>
            </w:r>
            <w:r>
              <w:rPr>
                <w:sz w:val="18"/>
                <w:szCs w:val="18"/>
              </w:rPr>
              <w:t>Cuadro de asignación de costos por el modelo ABC</w:t>
            </w:r>
          </w:p>
        </w:tc>
        <w:tc>
          <w:tcPr>
            <w:tcW w:w="1877" w:type="dxa"/>
            <w:shd w:val="clear" w:color="auto" w:fill="D9E2F3"/>
            <w:vAlign w:val="center"/>
          </w:tcPr>
          <w:p w14:paraId="3F58AC9F" w14:textId="77777777" w:rsidR="00990B14" w:rsidRDefault="00000000">
            <w:pPr>
              <w:spacing w:before="20" w:after="20"/>
              <w:jc w:val="center"/>
            </w:pPr>
            <w:r>
              <w:rPr>
                <w:b/>
                <w:bCs/>
                <w:sz w:val="18"/>
                <w:szCs w:val="18"/>
              </w:rPr>
              <w:t>9%</w:t>
            </w:r>
          </w:p>
        </w:tc>
      </w:tr>
      <w:tr w:rsidR="00990B14" w14:paraId="11628CD1" w14:textId="77777777">
        <w:trPr>
          <w:cantSplit/>
          <w:jc w:val="center"/>
        </w:trPr>
        <w:tc>
          <w:tcPr>
            <w:tcW w:w="1900" w:type="dxa"/>
            <w:vMerge/>
            <w:shd w:val="clear" w:color="auto" w:fill="4472C4"/>
            <w:vAlign w:val="center"/>
          </w:tcPr>
          <w:p w14:paraId="711046FE" w14:textId="77777777" w:rsidR="00990B14" w:rsidRDefault="00990B14">
            <w:pPr>
              <w:spacing w:before="20" w:after="20"/>
            </w:pPr>
          </w:p>
        </w:tc>
        <w:tc>
          <w:tcPr>
            <w:tcW w:w="1876" w:type="dxa"/>
            <w:shd w:val="clear" w:color="auto" w:fill="4472C4"/>
            <w:vAlign w:val="center"/>
          </w:tcPr>
          <w:p w14:paraId="18807DBB"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1464215D"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6060A9A0"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77584BD8" w14:textId="77777777" w:rsidR="00990B14" w:rsidRDefault="00000000">
            <w:pPr>
              <w:keepNext/>
              <w:spacing w:before="20" w:after="20"/>
              <w:jc w:val="center"/>
            </w:pPr>
            <w:r>
              <w:rPr>
                <w:b/>
                <w:bCs/>
                <w:i/>
                <w:iCs/>
                <w:color w:val="FFFFFF"/>
                <w:sz w:val="18"/>
                <w:szCs w:val="18"/>
              </w:rPr>
              <w:t>Destacado (81–100)</w:t>
            </w:r>
          </w:p>
        </w:tc>
      </w:tr>
      <w:tr w:rsidR="00990B14" w14:paraId="5C7BD11A" w14:textId="77777777">
        <w:trPr>
          <w:cantSplit/>
          <w:jc w:val="center"/>
        </w:trPr>
        <w:tc>
          <w:tcPr>
            <w:tcW w:w="1900" w:type="dxa"/>
            <w:vMerge/>
            <w:shd w:val="clear" w:color="auto" w:fill="4472C4"/>
            <w:vAlign w:val="center"/>
          </w:tcPr>
          <w:p w14:paraId="0CC0DE68" w14:textId="77777777" w:rsidR="00990B14" w:rsidRDefault="00990B14">
            <w:pPr>
              <w:spacing w:before="20" w:after="20"/>
            </w:pPr>
          </w:p>
        </w:tc>
        <w:tc>
          <w:tcPr>
            <w:tcW w:w="1876" w:type="dxa"/>
            <w:shd w:val="clear" w:color="auto" w:fill="D9E2F3"/>
            <w:vAlign w:val="center"/>
          </w:tcPr>
          <w:p w14:paraId="5E210343" w14:textId="77777777" w:rsidR="00990B14" w:rsidRDefault="00000000">
            <w:pPr>
              <w:spacing w:before="20" w:after="20"/>
              <w:jc w:val="both"/>
            </w:pPr>
            <w:r>
              <w:rPr>
                <w:sz w:val="18"/>
                <w:szCs w:val="18"/>
              </w:rPr>
              <w:t>Identificación de actividades</w:t>
            </w:r>
          </w:p>
        </w:tc>
        <w:tc>
          <w:tcPr>
            <w:tcW w:w="1876" w:type="dxa"/>
            <w:shd w:val="clear" w:color="auto" w:fill="D9E2F3"/>
            <w:vAlign w:val="center"/>
          </w:tcPr>
          <w:p w14:paraId="3387061F" w14:textId="77777777" w:rsidR="00990B14" w:rsidRDefault="00000000">
            <w:pPr>
              <w:spacing w:before="20" w:after="20"/>
              <w:jc w:val="both"/>
            </w:pPr>
            <w:r>
              <w:rPr>
                <w:sz w:val="18"/>
                <w:szCs w:val="18"/>
              </w:rPr>
              <w:t>Omite actividades relevantes.</w:t>
            </w:r>
          </w:p>
        </w:tc>
        <w:tc>
          <w:tcPr>
            <w:tcW w:w="1876" w:type="dxa"/>
            <w:shd w:val="clear" w:color="auto" w:fill="D9E2F3"/>
            <w:vAlign w:val="center"/>
          </w:tcPr>
          <w:p w14:paraId="5E029280" w14:textId="77777777" w:rsidR="00990B14" w:rsidRDefault="00000000">
            <w:pPr>
              <w:spacing w:before="20" w:after="20"/>
              <w:jc w:val="both"/>
            </w:pPr>
            <w:r>
              <w:rPr>
                <w:sz w:val="18"/>
                <w:szCs w:val="18"/>
              </w:rPr>
              <w:t>Identifica las actividades y sus niveles.</w:t>
            </w:r>
          </w:p>
        </w:tc>
        <w:tc>
          <w:tcPr>
            <w:tcW w:w="1877" w:type="dxa"/>
            <w:shd w:val="clear" w:color="auto" w:fill="D9E2F3"/>
            <w:vAlign w:val="center"/>
          </w:tcPr>
          <w:p w14:paraId="23BB1E08" w14:textId="77777777" w:rsidR="00990B14" w:rsidRDefault="00000000">
            <w:pPr>
              <w:spacing w:before="20" w:after="20"/>
              <w:jc w:val="both"/>
            </w:pPr>
            <w:r>
              <w:rPr>
                <w:sz w:val="18"/>
                <w:szCs w:val="18"/>
              </w:rPr>
              <w:t>Distingue las actividades que añaden valor.</w:t>
            </w:r>
          </w:p>
        </w:tc>
      </w:tr>
      <w:tr w:rsidR="00990B14" w14:paraId="5AFEE79F" w14:textId="77777777">
        <w:trPr>
          <w:cantSplit/>
          <w:jc w:val="center"/>
        </w:trPr>
        <w:tc>
          <w:tcPr>
            <w:tcW w:w="1900" w:type="dxa"/>
            <w:vMerge/>
            <w:shd w:val="clear" w:color="auto" w:fill="4472C4"/>
            <w:vAlign w:val="center"/>
          </w:tcPr>
          <w:p w14:paraId="1511B521" w14:textId="77777777" w:rsidR="00990B14" w:rsidRDefault="00990B14">
            <w:pPr>
              <w:spacing w:before="20" w:after="20"/>
            </w:pPr>
          </w:p>
        </w:tc>
        <w:tc>
          <w:tcPr>
            <w:tcW w:w="1876" w:type="dxa"/>
            <w:shd w:val="clear" w:color="auto" w:fill="D9E2F3"/>
            <w:vAlign w:val="center"/>
          </w:tcPr>
          <w:p w14:paraId="635E6EEE" w14:textId="77777777" w:rsidR="00990B14" w:rsidRDefault="00000000">
            <w:pPr>
              <w:spacing w:before="20" w:after="20"/>
              <w:jc w:val="both"/>
            </w:pPr>
            <w:r>
              <w:rPr>
                <w:sz w:val="18"/>
                <w:szCs w:val="18"/>
              </w:rPr>
              <w:t>Inductores de costo</w:t>
            </w:r>
          </w:p>
        </w:tc>
        <w:tc>
          <w:tcPr>
            <w:tcW w:w="1876" w:type="dxa"/>
            <w:shd w:val="clear" w:color="auto" w:fill="D9E2F3"/>
            <w:vAlign w:val="center"/>
          </w:tcPr>
          <w:p w14:paraId="38D2864A" w14:textId="77777777" w:rsidR="00990B14" w:rsidRDefault="00000000">
            <w:pPr>
              <w:spacing w:before="20" w:after="20"/>
              <w:jc w:val="both"/>
            </w:pPr>
            <w:r>
              <w:rPr>
                <w:sz w:val="18"/>
                <w:szCs w:val="18"/>
              </w:rPr>
              <w:t>Elige inductores sin relación causal.</w:t>
            </w:r>
          </w:p>
        </w:tc>
        <w:tc>
          <w:tcPr>
            <w:tcW w:w="1876" w:type="dxa"/>
            <w:shd w:val="clear" w:color="auto" w:fill="D9E2F3"/>
            <w:vAlign w:val="center"/>
          </w:tcPr>
          <w:p w14:paraId="7F7698F3" w14:textId="77777777" w:rsidR="00990B14" w:rsidRDefault="00000000">
            <w:pPr>
              <w:spacing w:before="20" w:after="20"/>
              <w:jc w:val="both"/>
            </w:pPr>
            <w:r>
              <w:rPr>
                <w:sz w:val="18"/>
                <w:szCs w:val="18"/>
              </w:rPr>
              <w:t>Selecciona inductores con relación causal.</w:t>
            </w:r>
          </w:p>
        </w:tc>
        <w:tc>
          <w:tcPr>
            <w:tcW w:w="1877" w:type="dxa"/>
            <w:shd w:val="clear" w:color="auto" w:fill="D9E2F3"/>
            <w:vAlign w:val="center"/>
          </w:tcPr>
          <w:p w14:paraId="03D69AD7" w14:textId="77777777" w:rsidR="00990B14" w:rsidRDefault="00000000">
            <w:pPr>
              <w:spacing w:before="20" w:after="20"/>
              <w:jc w:val="both"/>
            </w:pPr>
            <w:r>
              <w:rPr>
                <w:sz w:val="18"/>
                <w:szCs w:val="18"/>
              </w:rPr>
              <w:t>Valida los inductores y señala sus límites.</w:t>
            </w:r>
          </w:p>
        </w:tc>
      </w:tr>
      <w:tr w:rsidR="00990B14" w14:paraId="50149898" w14:textId="77777777">
        <w:trPr>
          <w:cantSplit/>
          <w:jc w:val="center"/>
        </w:trPr>
        <w:tc>
          <w:tcPr>
            <w:tcW w:w="1900" w:type="dxa"/>
            <w:vMerge/>
            <w:shd w:val="clear" w:color="auto" w:fill="4472C4"/>
            <w:vAlign w:val="center"/>
          </w:tcPr>
          <w:p w14:paraId="00089D7A" w14:textId="77777777" w:rsidR="00990B14" w:rsidRDefault="00990B14">
            <w:pPr>
              <w:spacing w:before="20" w:after="20"/>
            </w:pPr>
          </w:p>
        </w:tc>
        <w:tc>
          <w:tcPr>
            <w:tcW w:w="1876" w:type="dxa"/>
            <w:shd w:val="clear" w:color="auto" w:fill="D9E2F3"/>
            <w:vAlign w:val="center"/>
          </w:tcPr>
          <w:p w14:paraId="658DF536" w14:textId="77777777" w:rsidR="00990B14" w:rsidRDefault="00000000">
            <w:pPr>
              <w:spacing w:before="20" w:after="20"/>
              <w:jc w:val="both"/>
            </w:pPr>
            <w:r>
              <w:rPr>
                <w:sz w:val="18"/>
                <w:szCs w:val="18"/>
              </w:rPr>
              <w:t>Asignación a productos</w:t>
            </w:r>
          </w:p>
        </w:tc>
        <w:tc>
          <w:tcPr>
            <w:tcW w:w="1876" w:type="dxa"/>
            <w:shd w:val="clear" w:color="auto" w:fill="D9E2F3"/>
            <w:vAlign w:val="center"/>
          </w:tcPr>
          <w:p w14:paraId="1204F2AF" w14:textId="77777777" w:rsidR="00990B14" w:rsidRDefault="00000000">
            <w:pPr>
              <w:spacing w:before="20" w:after="20"/>
              <w:jc w:val="both"/>
            </w:pPr>
            <w:r>
              <w:rPr>
                <w:sz w:val="18"/>
                <w:szCs w:val="18"/>
              </w:rPr>
              <w:t>Asigna mal los costos a los productos.</w:t>
            </w:r>
          </w:p>
        </w:tc>
        <w:tc>
          <w:tcPr>
            <w:tcW w:w="1876" w:type="dxa"/>
            <w:shd w:val="clear" w:color="auto" w:fill="D9E2F3"/>
            <w:vAlign w:val="center"/>
          </w:tcPr>
          <w:p w14:paraId="62DEF16C" w14:textId="77777777" w:rsidR="00990B14" w:rsidRDefault="00000000">
            <w:pPr>
              <w:spacing w:before="20" w:after="20"/>
              <w:jc w:val="both"/>
            </w:pPr>
            <w:r>
              <w:rPr>
                <w:sz w:val="18"/>
                <w:szCs w:val="18"/>
              </w:rPr>
              <w:t>Asigna correctamente los costos por actividades.</w:t>
            </w:r>
          </w:p>
        </w:tc>
        <w:tc>
          <w:tcPr>
            <w:tcW w:w="1877" w:type="dxa"/>
            <w:shd w:val="clear" w:color="auto" w:fill="D9E2F3"/>
            <w:vAlign w:val="center"/>
          </w:tcPr>
          <w:p w14:paraId="1DE0B1E0" w14:textId="77777777" w:rsidR="00990B14" w:rsidRDefault="00000000">
            <w:pPr>
              <w:spacing w:before="20" w:after="20"/>
              <w:jc w:val="both"/>
            </w:pPr>
            <w:r>
              <w:rPr>
                <w:sz w:val="18"/>
                <w:szCs w:val="18"/>
              </w:rPr>
              <w:t>Compara el resultado con el costeo tradicional.</w:t>
            </w:r>
          </w:p>
        </w:tc>
      </w:tr>
      <w:tr w:rsidR="00990B14" w14:paraId="3499CEE3" w14:textId="77777777">
        <w:trPr>
          <w:cantSplit/>
          <w:jc w:val="center"/>
        </w:trPr>
        <w:tc>
          <w:tcPr>
            <w:tcW w:w="1900" w:type="dxa"/>
            <w:vMerge/>
            <w:shd w:val="clear" w:color="auto" w:fill="4472C4"/>
            <w:vAlign w:val="center"/>
          </w:tcPr>
          <w:p w14:paraId="412EDE3A" w14:textId="77777777" w:rsidR="00990B14" w:rsidRDefault="00990B14">
            <w:pPr>
              <w:spacing w:before="20" w:after="20"/>
            </w:pPr>
          </w:p>
        </w:tc>
        <w:tc>
          <w:tcPr>
            <w:tcW w:w="5628" w:type="dxa"/>
            <w:gridSpan w:val="3"/>
            <w:shd w:val="clear" w:color="auto" w:fill="D9E2F3"/>
            <w:vAlign w:val="center"/>
          </w:tcPr>
          <w:p w14:paraId="3E103D33" w14:textId="77777777" w:rsidR="00990B14" w:rsidRDefault="00000000">
            <w:pPr>
              <w:keepNext/>
              <w:spacing w:before="20" w:after="20"/>
              <w:jc w:val="both"/>
            </w:pPr>
            <w:r>
              <w:rPr>
                <w:b/>
                <w:bCs/>
                <w:i/>
                <w:iCs/>
                <w:sz w:val="18"/>
                <w:szCs w:val="18"/>
              </w:rPr>
              <w:t xml:space="preserve">Producto 15: </w:t>
            </w:r>
            <w:r>
              <w:rPr>
                <w:sz w:val="18"/>
                <w:szCs w:val="18"/>
              </w:rPr>
              <w:t>Estado de resultados bajo el enfoque de costeo variable y cuadro del punto de equilibrio con su análisis de sensibilidad.</w:t>
            </w:r>
          </w:p>
        </w:tc>
        <w:tc>
          <w:tcPr>
            <w:tcW w:w="1877" w:type="dxa"/>
            <w:shd w:val="clear" w:color="auto" w:fill="D9E2F3"/>
            <w:vAlign w:val="center"/>
          </w:tcPr>
          <w:p w14:paraId="1008971C" w14:textId="77777777" w:rsidR="00990B14" w:rsidRDefault="00000000">
            <w:pPr>
              <w:spacing w:before="20" w:after="20"/>
              <w:jc w:val="center"/>
            </w:pPr>
            <w:r>
              <w:rPr>
                <w:b/>
                <w:bCs/>
                <w:sz w:val="18"/>
                <w:szCs w:val="18"/>
              </w:rPr>
              <w:t>9%</w:t>
            </w:r>
          </w:p>
        </w:tc>
      </w:tr>
      <w:tr w:rsidR="00990B14" w14:paraId="4F920974" w14:textId="77777777">
        <w:trPr>
          <w:cantSplit/>
          <w:jc w:val="center"/>
        </w:trPr>
        <w:tc>
          <w:tcPr>
            <w:tcW w:w="1900" w:type="dxa"/>
            <w:vMerge/>
            <w:shd w:val="clear" w:color="auto" w:fill="4472C4"/>
            <w:vAlign w:val="center"/>
          </w:tcPr>
          <w:p w14:paraId="0BA29968" w14:textId="77777777" w:rsidR="00990B14" w:rsidRDefault="00990B14">
            <w:pPr>
              <w:spacing w:before="20" w:after="20"/>
            </w:pPr>
          </w:p>
        </w:tc>
        <w:tc>
          <w:tcPr>
            <w:tcW w:w="1876" w:type="dxa"/>
            <w:shd w:val="clear" w:color="auto" w:fill="4472C4"/>
            <w:vAlign w:val="center"/>
          </w:tcPr>
          <w:p w14:paraId="77E3F46F"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7F25355D"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517D387B"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4BEC9EB9" w14:textId="77777777" w:rsidR="00990B14" w:rsidRDefault="00000000">
            <w:pPr>
              <w:keepNext/>
              <w:spacing w:before="20" w:after="20"/>
              <w:jc w:val="center"/>
            </w:pPr>
            <w:r>
              <w:rPr>
                <w:b/>
                <w:bCs/>
                <w:i/>
                <w:iCs/>
                <w:color w:val="FFFFFF"/>
                <w:sz w:val="18"/>
                <w:szCs w:val="18"/>
              </w:rPr>
              <w:t>Destacado (81–100)</w:t>
            </w:r>
          </w:p>
        </w:tc>
      </w:tr>
      <w:tr w:rsidR="00990B14" w14:paraId="37B0E623" w14:textId="77777777">
        <w:trPr>
          <w:cantSplit/>
          <w:jc w:val="center"/>
        </w:trPr>
        <w:tc>
          <w:tcPr>
            <w:tcW w:w="1900" w:type="dxa"/>
            <w:vMerge/>
            <w:shd w:val="clear" w:color="auto" w:fill="4472C4"/>
            <w:vAlign w:val="center"/>
          </w:tcPr>
          <w:p w14:paraId="308196B6" w14:textId="77777777" w:rsidR="00990B14" w:rsidRDefault="00990B14">
            <w:pPr>
              <w:spacing w:before="20" w:after="20"/>
            </w:pPr>
          </w:p>
        </w:tc>
        <w:tc>
          <w:tcPr>
            <w:tcW w:w="1876" w:type="dxa"/>
            <w:shd w:val="clear" w:color="auto" w:fill="D9E2F3"/>
            <w:vAlign w:val="center"/>
          </w:tcPr>
          <w:p w14:paraId="767F8959" w14:textId="77777777" w:rsidR="00990B14" w:rsidRDefault="00000000">
            <w:pPr>
              <w:spacing w:before="20" w:after="20"/>
              <w:jc w:val="both"/>
            </w:pPr>
            <w:r>
              <w:rPr>
                <w:sz w:val="18"/>
                <w:szCs w:val="18"/>
              </w:rPr>
              <w:t>Costeo variable</w:t>
            </w:r>
          </w:p>
        </w:tc>
        <w:tc>
          <w:tcPr>
            <w:tcW w:w="1876" w:type="dxa"/>
            <w:shd w:val="clear" w:color="auto" w:fill="D9E2F3"/>
            <w:vAlign w:val="center"/>
          </w:tcPr>
          <w:p w14:paraId="15C5153E" w14:textId="77777777" w:rsidR="00990B14" w:rsidRDefault="00000000">
            <w:pPr>
              <w:spacing w:before="20" w:after="20"/>
              <w:jc w:val="both"/>
            </w:pPr>
            <w:r>
              <w:rPr>
                <w:sz w:val="18"/>
                <w:szCs w:val="18"/>
              </w:rPr>
              <w:t>Clasifica erróneamente los costos variables y fijos en el estado de resultados.</w:t>
            </w:r>
          </w:p>
        </w:tc>
        <w:tc>
          <w:tcPr>
            <w:tcW w:w="1876" w:type="dxa"/>
            <w:shd w:val="clear" w:color="auto" w:fill="D9E2F3"/>
            <w:vAlign w:val="center"/>
          </w:tcPr>
          <w:p w14:paraId="44CCB361" w14:textId="77777777" w:rsidR="00990B14" w:rsidRDefault="00000000">
            <w:pPr>
              <w:spacing w:before="20" w:after="20"/>
              <w:jc w:val="both"/>
            </w:pPr>
            <w:r>
              <w:rPr>
                <w:sz w:val="18"/>
                <w:szCs w:val="18"/>
              </w:rPr>
              <w:t>Elabora el estado de resultados por costeo variable, con el margen de contribución unitario y total.</w:t>
            </w:r>
          </w:p>
        </w:tc>
        <w:tc>
          <w:tcPr>
            <w:tcW w:w="1877" w:type="dxa"/>
            <w:shd w:val="clear" w:color="auto" w:fill="D9E2F3"/>
            <w:vAlign w:val="center"/>
          </w:tcPr>
          <w:p w14:paraId="7C0A717E" w14:textId="77777777" w:rsidR="00990B14" w:rsidRDefault="00000000">
            <w:pPr>
              <w:spacing w:before="20" w:after="20"/>
              <w:jc w:val="both"/>
            </w:pPr>
            <w:r>
              <w:rPr>
                <w:sz w:val="18"/>
                <w:szCs w:val="18"/>
              </w:rPr>
              <w:t>Concilia la utilidad del costeo variable con la del costeo por absorción.</w:t>
            </w:r>
          </w:p>
        </w:tc>
      </w:tr>
      <w:tr w:rsidR="00990B14" w14:paraId="4AFD2F57" w14:textId="77777777">
        <w:trPr>
          <w:cantSplit/>
          <w:jc w:val="center"/>
        </w:trPr>
        <w:tc>
          <w:tcPr>
            <w:tcW w:w="1900" w:type="dxa"/>
            <w:vMerge/>
            <w:shd w:val="clear" w:color="auto" w:fill="4472C4"/>
            <w:vAlign w:val="center"/>
          </w:tcPr>
          <w:p w14:paraId="18798DD5" w14:textId="77777777" w:rsidR="00990B14" w:rsidRDefault="00990B14">
            <w:pPr>
              <w:spacing w:before="20" w:after="20"/>
            </w:pPr>
          </w:p>
        </w:tc>
        <w:tc>
          <w:tcPr>
            <w:tcW w:w="1876" w:type="dxa"/>
            <w:shd w:val="clear" w:color="auto" w:fill="D9E2F3"/>
            <w:vAlign w:val="center"/>
          </w:tcPr>
          <w:p w14:paraId="0A42D1F0" w14:textId="77777777" w:rsidR="00990B14" w:rsidRDefault="00000000">
            <w:pPr>
              <w:spacing w:before="20" w:after="20"/>
              <w:jc w:val="both"/>
            </w:pPr>
            <w:r>
              <w:rPr>
                <w:sz w:val="18"/>
                <w:szCs w:val="18"/>
              </w:rPr>
              <w:t>Punto de equilibrio</w:t>
            </w:r>
          </w:p>
        </w:tc>
        <w:tc>
          <w:tcPr>
            <w:tcW w:w="1876" w:type="dxa"/>
            <w:shd w:val="clear" w:color="auto" w:fill="D9E2F3"/>
            <w:vAlign w:val="center"/>
          </w:tcPr>
          <w:p w14:paraId="407CA873" w14:textId="77777777" w:rsidR="00990B14" w:rsidRDefault="00000000">
            <w:pPr>
              <w:spacing w:before="20" w:after="20"/>
              <w:jc w:val="both"/>
            </w:pPr>
            <w:r>
              <w:rPr>
                <w:sz w:val="18"/>
                <w:szCs w:val="18"/>
              </w:rPr>
              <w:t>Calcula erróneamente el punto de equilibrio.</w:t>
            </w:r>
          </w:p>
        </w:tc>
        <w:tc>
          <w:tcPr>
            <w:tcW w:w="1876" w:type="dxa"/>
            <w:shd w:val="clear" w:color="auto" w:fill="D9E2F3"/>
            <w:vAlign w:val="center"/>
          </w:tcPr>
          <w:p w14:paraId="09570977" w14:textId="77777777" w:rsidR="00990B14" w:rsidRDefault="00000000">
            <w:pPr>
              <w:spacing w:before="20" w:after="20"/>
              <w:jc w:val="both"/>
            </w:pPr>
            <w:r>
              <w:rPr>
                <w:sz w:val="18"/>
                <w:szCs w:val="18"/>
              </w:rPr>
              <w:t>Calcula el punto de equilibrio con y sin impuesto.</w:t>
            </w:r>
          </w:p>
        </w:tc>
        <w:tc>
          <w:tcPr>
            <w:tcW w:w="1877" w:type="dxa"/>
            <w:shd w:val="clear" w:color="auto" w:fill="D9E2F3"/>
            <w:vAlign w:val="center"/>
          </w:tcPr>
          <w:p w14:paraId="6B12CADB" w14:textId="77777777" w:rsidR="00990B14" w:rsidRDefault="00000000">
            <w:pPr>
              <w:spacing w:before="20" w:after="20"/>
              <w:jc w:val="both"/>
            </w:pPr>
            <w:r>
              <w:rPr>
                <w:sz w:val="18"/>
                <w:szCs w:val="18"/>
              </w:rPr>
              <w:t>Evalúa los supuestos del modelo antes de decidir.</w:t>
            </w:r>
          </w:p>
        </w:tc>
      </w:tr>
      <w:tr w:rsidR="00990B14" w14:paraId="29BADD95" w14:textId="77777777">
        <w:trPr>
          <w:cantSplit/>
          <w:jc w:val="center"/>
        </w:trPr>
        <w:tc>
          <w:tcPr>
            <w:tcW w:w="1900" w:type="dxa"/>
            <w:vMerge/>
            <w:shd w:val="clear" w:color="auto" w:fill="4472C4"/>
            <w:vAlign w:val="center"/>
          </w:tcPr>
          <w:p w14:paraId="6E0DF924" w14:textId="77777777" w:rsidR="00990B14" w:rsidRDefault="00990B14">
            <w:pPr>
              <w:spacing w:before="20" w:after="20"/>
            </w:pPr>
          </w:p>
        </w:tc>
        <w:tc>
          <w:tcPr>
            <w:tcW w:w="1876" w:type="dxa"/>
            <w:shd w:val="clear" w:color="auto" w:fill="D9E2F3"/>
            <w:vAlign w:val="center"/>
          </w:tcPr>
          <w:p w14:paraId="291BC06F" w14:textId="77777777" w:rsidR="00990B14" w:rsidRDefault="00000000">
            <w:pPr>
              <w:spacing w:before="20" w:after="20"/>
              <w:jc w:val="both"/>
            </w:pPr>
            <w:r>
              <w:rPr>
                <w:sz w:val="18"/>
                <w:szCs w:val="18"/>
              </w:rPr>
              <w:t>Análisis de sensibilidad</w:t>
            </w:r>
          </w:p>
        </w:tc>
        <w:tc>
          <w:tcPr>
            <w:tcW w:w="1876" w:type="dxa"/>
            <w:shd w:val="clear" w:color="auto" w:fill="D9E2F3"/>
            <w:vAlign w:val="center"/>
          </w:tcPr>
          <w:p w14:paraId="28B21A99" w14:textId="77777777" w:rsidR="00990B14" w:rsidRDefault="00000000">
            <w:pPr>
              <w:spacing w:before="20" w:after="20"/>
              <w:jc w:val="both"/>
            </w:pPr>
            <w:r>
              <w:rPr>
                <w:sz w:val="18"/>
                <w:szCs w:val="18"/>
              </w:rPr>
              <w:t>No analiza cambios.</w:t>
            </w:r>
          </w:p>
        </w:tc>
        <w:tc>
          <w:tcPr>
            <w:tcW w:w="1876" w:type="dxa"/>
            <w:shd w:val="clear" w:color="auto" w:fill="D9E2F3"/>
            <w:vAlign w:val="center"/>
          </w:tcPr>
          <w:p w14:paraId="53B322DE" w14:textId="77777777" w:rsidR="00990B14" w:rsidRDefault="00000000">
            <w:pPr>
              <w:spacing w:before="20" w:after="20"/>
              <w:jc w:val="both"/>
            </w:pPr>
            <w:r>
              <w:rPr>
                <w:sz w:val="18"/>
                <w:szCs w:val="18"/>
              </w:rPr>
              <w:t>Analiza cambios del precio, del costo variable y del volumen.</w:t>
            </w:r>
          </w:p>
        </w:tc>
        <w:tc>
          <w:tcPr>
            <w:tcW w:w="1877" w:type="dxa"/>
            <w:shd w:val="clear" w:color="auto" w:fill="D9E2F3"/>
            <w:vAlign w:val="center"/>
          </w:tcPr>
          <w:p w14:paraId="1A4D7CD6" w14:textId="77777777" w:rsidR="00990B14" w:rsidRDefault="00000000">
            <w:pPr>
              <w:spacing w:before="20" w:after="20"/>
              <w:jc w:val="both"/>
            </w:pPr>
            <w:r>
              <w:rPr>
                <w:sz w:val="18"/>
                <w:szCs w:val="18"/>
              </w:rPr>
              <w:t>Sustenta una decisión gerencial con el análisis.</w:t>
            </w:r>
          </w:p>
        </w:tc>
      </w:tr>
      <w:tr w:rsidR="00990B14" w14:paraId="24B180C4" w14:textId="77777777">
        <w:trPr>
          <w:cantSplit/>
          <w:jc w:val="center"/>
        </w:trPr>
        <w:tc>
          <w:tcPr>
            <w:tcW w:w="1900" w:type="dxa"/>
            <w:vMerge/>
            <w:shd w:val="clear" w:color="auto" w:fill="4472C4"/>
            <w:vAlign w:val="center"/>
          </w:tcPr>
          <w:p w14:paraId="00D36DAE" w14:textId="77777777" w:rsidR="00990B14" w:rsidRDefault="00990B14">
            <w:pPr>
              <w:spacing w:before="20" w:after="20"/>
            </w:pPr>
          </w:p>
        </w:tc>
        <w:tc>
          <w:tcPr>
            <w:tcW w:w="5628" w:type="dxa"/>
            <w:gridSpan w:val="3"/>
            <w:shd w:val="clear" w:color="auto" w:fill="D9E2F3"/>
            <w:vAlign w:val="center"/>
          </w:tcPr>
          <w:p w14:paraId="4A2369CD" w14:textId="77777777" w:rsidR="00990B14" w:rsidRDefault="00000000">
            <w:pPr>
              <w:keepNext/>
              <w:spacing w:before="20" w:after="20"/>
              <w:jc w:val="both"/>
            </w:pPr>
            <w:r>
              <w:rPr>
                <w:b/>
                <w:bCs/>
                <w:i/>
                <w:iCs/>
                <w:sz w:val="18"/>
                <w:szCs w:val="18"/>
              </w:rPr>
              <w:t xml:space="preserve">Producto 16: </w:t>
            </w:r>
            <w:r>
              <w:rPr>
                <w:sz w:val="18"/>
                <w:szCs w:val="18"/>
              </w:rPr>
              <w:t>Presupuesto maestro</w:t>
            </w:r>
          </w:p>
        </w:tc>
        <w:tc>
          <w:tcPr>
            <w:tcW w:w="1877" w:type="dxa"/>
            <w:shd w:val="clear" w:color="auto" w:fill="D9E2F3"/>
            <w:vAlign w:val="center"/>
          </w:tcPr>
          <w:p w14:paraId="4B9EC327" w14:textId="77777777" w:rsidR="00990B14" w:rsidRDefault="00000000">
            <w:pPr>
              <w:spacing w:before="20" w:after="20"/>
              <w:jc w:val="center"/>
            </w:pPr>
            <w:r>
              <w:rPr>
                <w:b/>
                <w:bCs/>
                <w:sz w:val="18"/>
                <w:szCs w:val="18"/>
              </w:rPr>
              <w:t>8%</w:t>
            </w:r>
          </w:p>
        </w:tc>
      </w:tr>
      <w:tr w:rsidR="00990B14" w14:paraId="639A7873" w14:textId="77777777">
        <w:trPr>
          <w:cantSplit/>
          <w:jc w:val="center"/>
        </w:trPr>
        <w:tc>
          <w:tcPr>
            <w:tcW w:w="1900" w:type="dxa"/>
            <w:vMerge/>
            <w:shd w:val="clear" w:color="auto" w:fill="4472C4"/>
            <w:vAlign w:val="center"/>
          </w:tcPr>
          <w:p w14:paraId="48A5B1A0" w14:textId="77777777" w:rsidR="00990B14" w:rsidRDefault="00990B14">
            <w:pPr>
              <w:spacing w:before="20" w:after="20"/>
            </w:pPr>
          </w:p>
        </w:tc>
        <w:tc>
          <w:tcPr>
            <w:tcW w:w="1876" w:type="dxa"/>
            <w:shd w:val="clear" w:color="auto" w:fill="4472C4"/>
            <w:vAlign w:val="center"/>
          </w:tcPr>
          <w:p w14:paraId="179C1979"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5A8A0255"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7B886CBD"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3BC08426" w14:textId="77777777" w:rsidR="00990B14" w:rsidRDefault="00000000">
            <w:pPr>
              <w:keepNext/>
              <w:spacing w:before="20" w:after="20"/>
              <w:jc w:val="center"/>
            </w:pPr>
            <w:r>
              <w:rPr>
                <w:b/>
                <w:bCs/>
                <w:i/>
                <w:iCs/>
                <w:color w:val="FFFFFF"/>
                <w:sz w:val="18"/>
                <w:szCs w:val="18"/>
              </w:rPr>
              <w:t>Destacado (81–100)</w:t>
            </w:r>
          </w:p>
        </w:tc>
      </w:tr>
      <w:tr w:rsidR="00990B14" w14:paraId="12908089" w14:textId="77777777">
        <w:trPr>
          <w:cantSplit/>
          <w:jc w:val="center"/>
        </w:trPr>
        <w:tc>
          <w:tcPr>
            <w:tcW w:w="1900" w:type="dxa"/>
            <w:vMerge/>
            <w:shd w:val="clear" w:color="auto" w:fill="4472C4"/>
            <w:vAlign w:val="center"/>
          </w:tcPr>
          <w:p w14:paraId="380BBB08" w14:textId="77777777" w:rsidR="00990B14" w:rsidRDefault="00990B14">
            <w:pPr>
              <w:spacing w:before="20" w:after="20"/>
            </w:pPr>
          </w:p>
        </w:tc>
        <w:tc>
          <w:tcPr>
            <w:tcW w:w="1876" w:type="dxa"/>
            <w:shd w:val="clear" w:color="auto" w:fill="D9E2F3"/>
            <w:vAlign w:val="center"/>
          </w:tcPr>
          <w:p w14:paraId="3512E0EC" w14:textId="77777777" w:rsidR="00990B14" w:rsidRDefault="00000000">
            <w:pPr>
              <w:spacing w:before="20" w:after="20"/>
              <w:jc w:val="both"/>
            </w:pPr>
            <w:r>
              <w:rPr>
                <w:sz w:val="18"/>
                <w:szCs w:val="18"/>
              </w:rPr>
              <w:t>Presupuesto operativo</w:t>
            </w:r>
          </w:p>
        </w:tc>
        <w:tc>
          <w:tcPr>
            <w:tcW w:w="1876" w:type="dxa"/>
            <w:shd w:val="clear" w:color="auto" w:fill="D9E2F3"/>
            <w:vAlign w:val="center"/>
          </w:tcPr>
          <w:p w14:paraId="304B8E5C" w14:textId="77777777" w:rsidR="00990B14" w:rsidRDefault="00000000">
            <w:pPr>
              <w:spacing w:before="20" w:after="20"/>
              <w:jc w:val="both"/>
            </w:pPr>
            <w:r>
              <w:rPr>
                <w:sz w:val="18"/>
                <w:szCs w:val="18"/>
              </w:rPr>
              <w:t>Está incompleto.</w:t>
            </w:r>
          </w:p>
        </w:tc>
        <w:tc>
          <w:tcPr>
            <w:tcW w:w="1876" w:type="dxa"/>
            <w:shd w:val="clear" w:color="auto" w:fill="D9E2F3"/>
            <w:vAlign w:val="center"/>
          </w:tcPr>
          <w:p w14:paraId="5DA123FB" w14:textId="77777777" w:rsidR="00990B14" w:rsidRDefault="00000000">
            <w:pPr>
              <w:spacing w:before="20" w:after="20"/>
              <w:jc w:val="both"/>
            </w:pPr>
            <w:r>
              <w:rPr>
                <w:sz w:val="18"/>
                <w:szCs w:val="18"/>
              </w:rPr>
              <w:t>Integra los presupuestos de ventas, producción y costos de operación.</w:t>
            </w:r>
          </w:p>
        </w:tc>
        <w:tc>
          <w:tcPr>
            <w:tcW w:w="1877" w:type="dxa"/>
            <w:shd w:val="clear" w:color="auto" w:fill="D9E2F3"/>
            <w:vAlign w:val="center"/>
          </w:tcPr>
          <w:p w14:paraId="09EE35BE" w14:textId="77777777" w:rsidR="00990B14" w:rsidRDefault="00000000">
            <w:pPr>
              <w:spacing w:before="20" w:after="20"/>
              <w:jc w:val="both"/>
            </w:pPr>
            <w:r>
              <w:rPr>
                <w:sz w:val="18"/>
                <w:szCs w:val="18"/>
              </w:rPr>
              <w:t>Relaciona la producción con las ventas y los inventarios.</w:t>
            </w:r>
          </w:p>
        </w:tc>
      </w:tr>
      <w:tr w:rsidR="00990B14" w14:paraId="56FC60FA" w14:textId="77777777">
        <w:trPr>
          <w:cantSplit/>
          <w:jc w:val="center"/>
        </w:trPr>
        <w:tc>
          <w:tcPr>
            <w:tcW w:w="1900" w:type="dxa"/>
            <w:vMerge/>
            <w:shd w:val="clear" w:color="auto" w:fill="4472C4"/>
            <w:vAlign w:val="center"/>
          </w:tcPr>
          <w:p w14:paraId="4C9FB853" w14:textId="77777777" w:rsidR="00990B14" w:rsidRDefault="00990B14">
            <w:pPr>
              <w:spacing w:before="20" w:after="20"/>
            </w:pPr>
          </w:p>
        </w:tc>
        <w:tc>
          <w:tcPr>
            <w:tcW w:w="1876" w:type="dxa"/>
            <w:shd w:val="clear" w:color="auto" w:fill="D9E2F3"/>
            <w:vAlign w:val="center"/>
          </w:tcPr>
          <w:p w14:paraId="266F169B" w14:textId="77777777" w:rsidR="00990B14" w:rsidRDefault="00000000">
            <w:pPr>
              <w:spacing w:before="20" w:after="20"/>
              <w:jc w:val="both"/>
            </w:pPr>
            <w:r>
              <w:rPr>
                <w:sz w:val="18"/>
                <w:szCs w:val="18"/>
              </w:rPr>
              <w:t>Presupuesto financiero</w:t>
            </w:r>
          </w:p>
        </w:tc>
        <w:tc>
          <w:tcPr>
            <w:tcW w:w="1876" w:type="dxa"/>
            <w:shd w:val="clear" w:color="auto" w:fill="D9E2F3"/>
            <w:vAlign w:val="center"/>
          </w:tcPr>
          <w:p w14:paraId="0EC2F29B" w14:textId="77777777" w:rsidR="00990B14" w:rsidRDefault="00000000">
            <w:pPr>
              <w:spacing w:before="20" w:after="20"/>
              <w:jc w:val="both"/>
            </w:pPr>
            <w:r>
              <w:rPr>
                <w:sz w:val="18"/>
                <w:szCs w:val="18"/>
              </w:rPr>
              <w:t>No concilia con el operativo.</w:t>
            </w:r>
          </w:p>
        </w:tc>
        <w:tc>
          <w:tcPr>
            <w:tcW w:w="1876" w:type="dxa"/>
            <w:shd w:val="clear" w:color="auto" w:fill="D9E2F3"/>
            <w:vAlign w:val="center"/>
          </w:tcPr>
          <w:p w14:paraId="67E1E3EC" w14:textId="77777777" w:rsidR="00990B14" w:rsidRDefault="00000000">
            <w:pPr>
              <w:spacing w:before="20" w:after="20"/>
              <w:jc w:val="both"/>
            </w:pPr>
            <w:r>
              <w:rPr>
                <w:sz w:val="18"/>
                <w:szCs w:val="18"/>
              </w:rPr>
              <w:t>Elabora el presupuesto de efectivo y los estados proyectados.</w:t>
            </w:r>
          </w:p>
        </w:tc>
        <w:tc>
          <w:tcPr>
            <w:tcW w:w="1877" w:type="dxa"/>
            <w:shd w:val="clear" w:color="auto" w:fill="D9E2F3"/>
            <w:vAlign w:val="center"/>
          </w:tcPr>
          <w:p w14:paraId="5FF1B6BD" w14:textId="77777777" w:rsidR="00990B14" w:rsidRDefault="00000000">
            <w:pPr>
              <w:spacing w:before="20" w:after="20"/>
              <w:jc w:val="both"/>
            </w:pPr>
            <w:r>
              <w:rPr>
                <w:sz w:val="18"/>
                <w:szCs w:val="18"/>
              </w:rPr>
              <w:t>Analiza el efecto de la inflación y del tipo de cambio.</w:t>
            </w:r>
          </w:p>
        </w:tc>
      </w:tr>
      <w:tr w:rsidR="00990B14" w14:paraId="17CF7D3C" w14:textId="77777777">
        <w:trPr>
          <w:cantSplit/>
          <w:jc w:val="center"/>
        </w:trPr>
        <w:tc>
          <w:tcPr>
            <w:tcW w:w="1900" w:type="dxa"/>
            <w:vMerge/>
            <w:shd w:val="clear" w:color="auto" w:fill="4472C4"/>
            <w:vAlign w:val="center"/>
          </w:tcPr>
          <w:p w14:paraId="2B213B60" w14:textId="77777777" w:rsidR="00990B14" w:rsidRDefault="00990B14">
            <w:pPr>
              <w:spacing w:before="20" w:after="20"/>
            </w:pPr>
          </w:p>
        </w:tc>
        <w:tc>
          <w:tcPr>
            <w:tcW w:w="1876" w:type="dxa"/>
            <w:shd w:val="clear" w:color="auto" w:fill="D9E2F3"/>
            <w:vAlign w:val="center"/>
          </w:tcPr>
          <w:p w14:paraId="34EFA293" w14:textId="77777777" w:rsidR="00990B14" w:rsidRDefault="00000000">
            <w:pPr>
              <w:spacing w:before="20" w:after="20"/>
              <w:jc w:val="both"/>
            </w:pPr>
            <w:r>
              <w:rPr>
                <w:sz w:val="18"/>
                <w:szCs w:val="18"/>
              </w:rPr>
              <w:t>Trabajo en equipo</w:t>
            </w:r>
          </w:p>
        </w:tc>
        <w:tc>
          <w:tcPr>
            <w:tcW w:w="1876" w:type="dxa"/>
            <w:shd w:val="clear" w:color="auto" w:fill="D9E2F3"/>
            <w:vAlign w:val="center"/>
          </w:tcPr>
          <w:p w14:paraId="683CACEE" w14:textId="77777777" w:rsidR="00990B14" w:rsidRDefault="00000000">
            <w:pPr>
              <w:spacing w:before="20" w:after="20"/>
              <w:jc w:val="both"/>
            </w:pPr>
            <w:r>
              <w:rPr>
                <w:sz w:val="18"/>
                <w:szCs w:val="18"/>
              </w:rPr>
              <w:t>La participación es desigual.</w:t>
            </w:r>
          </w:p>
        </w:tc>
        <w:tc>
          <w:tcPr>
            <w:tcW w:w="1876" w:type="dxa"/>
            <w:shd w:val="clear" w:color="auto" w:fill="D9E2F3"/>
            <w:vAlign w:val="center"/>
          </w:tcPr>
          <w:p w14:paraId="7AC303E5" w14:textId="77777777" w:rsidR="00990B14" w:rsidRDefault="00000000">
            <w:pPr>
              <w:spacing w:before="20" w:after="20"/>
              <w:jc w:val="both"/>
            </w:pPr>
            <w:r>
              <w:rPr>
                <w:sz w:val="18"/>
                <w:szCs w:val="18"/>
              </w:rPr>
              <w:t>Todos los integrantes participan.</w:t>
            </w:r>
          </w:p>
        </w:tc>
        <w:tc>
          <w:tcPr>
            <w:tcW w:w="1877" w:type="dxa"/>
            <w:shd w:val="clear" w:color="auto" w:fill="D9E2F3"/>
            <w:vAlign w:val="center"/>
          </w:tcPr>
          <w:p w14:paraId="26795570" w14:textId="77777777" w:rsidR="00990B14" w:rsidRDefault="00000000">
            <w:pPr>
              <w:spacing w:before="20" w:after="20"/>
              <w:jc w:val="both"/>
            </w:pPr>
            <w:r>
              <w:rPr>
                <w:sz w:val="18"/>
                <w:szCs w:val="18"/>
              </w:rPr>
              <w:t>El equipo sustenta sus supuestos ante el curso.</w:t>
            </w:r>
          </w:p>
        </w:tc>
      </w:tr>
      <w:tr w:rsidR="00990B14" w14:paraId="1336F435" w14:textId="77777777">
        <w:trPr>
          <w:cantSplit/>
          <w:jc w:val="center"/>
        </w:trPr>
        <w:tc>
          <w:tcPr>
            <w:tcW w:w="7528" w:type="dxa"/>
            <w:gridSpan w:val="4"/>
            <w:shd w:val="clear" w:color="auto" w:fill="4472C4"/>
            <w:vAlign w:val="center"/>
          </w:tcPr>
          <w:p w14:paraId="0E042E95" w14:textId="77777777" w:rsidR="00990B14" w:rsidRDefault="00000000">
            <w:pPr>
              <w:keepNext/>
              <w:spacing w:before="20" w:after="20"/>
              <w:jc w:val="center"/>
            </w:pPr>
            <w:r>
              <w:rPr>
                <w:b/>
                <w:bCs/>
                <w:i/>
                <w:iCs/>
                <w:color w:val="FFFFFF"/>
                <w:sz w:val="18"/>
                <w:szCs w:val="18"/>
              </w:rPr>
              <w:t>TOTAL</w:t>
            </w:r>
          </w:p>
        </w:tc>
        <w:tc>
          <w:tcPr>
            <w:tcW w:w="1877" w:type="dxa"/>
            <w:shd w:val="clear" w:color="auto" w:fill="4472C4"/>
            <w:vAlign w:val="center"/>
          </w:tcPr>
          <w:p w14:paraId="517BBE0E" w14:textId="77777777" w:rsidR="00990B14" w:rsidRDefault="00000000">
            <w:pPr>
              <w:keepNext/>
              <w:spacing w:before="20" w:after="20"/>
              <w:jc w:val="center"/>
            </w:pPr>
            <w:r>
              <w:rPr>
                <w:b/>
                <w:bCs/>
                <w:i/>
                <w:iCs/>
                <w:color w:val="FFFFFF"/>
                <w:sz w:val="18"/>
                <w:szCs w:val="18"/>
              </w:rPr>
              <w:t>100%</w:t>
            </w:r>
          </w:p>
        </w:tc>
      </w:tr>
    </w:tbl>
    <w:p w14:paraId="3E4355EB"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9405"/>
      </w:tblGrid>
      <w:tr w:rsidR="00990B14" w14:paraId="5BF795F3" w14:textId="77777777">
        <w:trPr>
          <w:jc w:val="center"/>
        </w:trPr>
        <w:tc>
          <w:tcPr>
            <w:tcW w:w="9405" w:type="dxa"/>
            <w:shd w:val="clear" w:color="auto" w:fill="D9E2F3"/>
          </w:tcPr>
          <w:p w14:paraId="3843E8D8" w14:textId="77777777" w:rsidR="00990B14" w:rsidRDefault="00000000">
            <w:pPr>
              <w:spacing w:before="40" w:after="40"/>
              <w:jc w:val="both"/>
            </w:pPr>
            <w:r>
              <w:rPr>
                <w:b/>
                <w:bCs/>
                <w:i/>
                <w:iCs/>
                <w:sz w:val="18"/>
                <w:szCs w:val="18"/>
              </w:rPr>
              <w:t>Bibliografía básica:</w:t>
            </w:r>
          </w:p>
          <w:p w14:paraId="20488375" w14:textId="77777777" w:rsidR="00990B14" w:rsidRDefault="00000000">
            <w:pPr>
              <w:numPr>
                <w:ilvl w:val="0"/>
                <w:numId w:val="140"/>
              </w:numPr>
              <w:spacing w:after="20"/>
              <w:jc w:val="both"/>
            </w:pPr>
            <w:r>
              <w:rPr>
                <w:sz w:val="18"/>
                <w:szCs w:val="18"/>
              </w:rPr>
              <w:t>Código de Comercio de Bolivia y sus reglamentos.</w:t>
            </w:r>
          </w:p>
          <w:p w14:paraId="18E7E2F1" w14:textId="77777777" w:rsidR="00990B14" w:rsidRDefault="00000000">
            <w:pPr>
              <w:numPr>
                <w:ilvl w:val="0"/>
                <w:numId w:val="140"/>
              </w:numPr>
              <w:spacing w:after="20"/>
              <w:jc w:val="both"/>
            </w:pPr>
            <w:r>
              <w:rPr>
                <w:sz w:val="18"/>
                <w:szCs w:val="18"/>
              </w:rPr>
              <w:t>Código de Salud de Bolivia y sus reglamentos.</w:t>
            </w:r>
          </w:p>
          <w:p w14:paraId="12F9FD50" w14:textId="77777777" w:rsidR="00990B14" w:rsidRDefault="00000000">
            <w:pPr>
              <w:numPr>
                <w:ilvl w:val="0"/>
                <w:numId w:val="140"/>
              </w:numPr>
              <w:spacing w:after="20"/>
              <w:jc w:val="both"/>
            </w:pPr>
            <w:r>
              <w:rPr>
                <w:sz w:val="18"/>
                <w:szCs w:val="18"/>
              </w:rPr>
              <w:t>Código Tributario de Bolivia, Ley N.º 843 y sus reglamentos; Ley N.º 2492, Código Tributario Boliviano, de 2 de agosto de 2003.</w:t>
            </w:r>
          </w:p>
          <w:p w14:paraId="1B779DA9" w14:textId="77777777" w:rsidR="00990B14" w:rsidRDefault="00000000">
            <w:pPr>
              <w:numPr>
                <w:ilvl w:val="0"/>
                <w:numId w:val="140"/>
              </w:numPr>
              <w:spacing w:after="20"/>
              <w:jc w:val="both"/>
            </w:pPr>
            <w:r>
              <w:rPr>
                <w:sz w:val="18"/>
                <w:szCs w:val="18"/>
              </w:rPr>
              <w:t xml:space="preserve">Colegio de Auditores o Contadores Públicos de Bolivia, CAUB – Consejo Técnico Nacional de Auditoría y Contabilidad, CTNAC (2023). </w:t>
            </w:r>
            <w:r>
              <w:rPr>
                <w:i/>
                <w:iCs/>
                <w:sz w:val="18"/>
                <w:szCs w:val="18"/>
              </w:rPr>
              <w:t>Compendio de Normas de Contabilidad y Auditoría</w:t>
            </w:r>
            <w:r>
              <w:rPr>
                <w:sz w:val="18"/>
                <w:szCs w:val="18"/>
              </w:rPr>
              <w:t>. Santa Cruz – Bolivia.</w:t>
            </w:r>
          </w:p>
          <w:p w14:paraId="56E82DB1" w14:textId="77777777" w:rsidR="00990B14" w:rsidRDefault="00000000">
            <w:pPr>
              <w:numPr>
                <w:ilvl w:val="0"/>
                <w:numId w:val="140"/>
              </w:numPr>
              <w:spacing w:after="20"/>
              <w:jc w:val="both"/>
            </w:pPr>
            <w:r>
              <w:rPr>
                <w:sz w:val="18"/>
                <w:szCs w:val="18"/>
              </w:rPr>
              <w:t>Decreto Supremo N.º 24051, Reglamento del Impuesto sobre las Utilidades de las Empresas, de 29 de junio de 1995.</w:t>
            </w:r>
          </w:p>
          <w:p w14:paraId="242DBC37" w14:textId="77777777" w:rsidR="00990B14" w:rsidRDefault="00000000">
            <w:pPr>
              <w:numPr>
                <w:ilvl w:val="0"/>
                <w:numId w:val="140"/>
              </w:numPr>
              <w:spacing w:after="20"/>
              <w:jc w:val="both"/>
            </w:pPr>
            <w:r>
              <w:rPr>
                <w:sz w:val="18"/>
                <w:szCs w:val="18"/>
              </w:rPr>
              <w:t>Decreto Supremo N.º 5516, de 13 de enero de 2026, que fija el salario mínimo nacional.</w:t>
            </w:r>
          </w:p>
          <w:p w14:paraId="099A4674" w14:textId="77777777" w:rsidR="00990B14" w:rsidRDefault="00000000">
            <w:pPr>
              <w:numPr>
                <w:ilvl w:val="0"/>
                <w:numId w:val="140"/>
              </w:numPr>
              <w:spacing w:after="20"/>
              <w:jc w:val="both"/>
            </w:pPr>
            <w:r>
              <w:rPr>
                <w:sz w:val="18"/>
                <w:szCs w:val="18"/>
              </w:rPr>
              <w:t xml:space="preserve">Fundación de Normas Internacionales de Información Financiera, Fundación IFRS – Consejo de Normas Internacionales de Contabilidad, IASB (2023). </w:t>
            </w:r>
            <w:r>
              <w:rPr>
                <w:i/>
                <w:iCs/>
                <w:sz w:val="18"/>
                <w:szCs w:val="18"/>
              </w:rPr>
              <w:t>Normas Internacionales de Información Financiera 2023</w:t>
            </w:r>
            <w:r>
              <w:rPr>
                <w:sz w:val="18"/>
                <w:szCs w:val="18"/>
              </w:rPr>
              <w:t>. Londres.</w:t>
            </w:r>
          </w:p>
          <w:p w14:paraId="7E8D73A7" w14:textId="77777777" w:rsidR="00990B14" w:rsidRDefault="00000000">
            <w:pPr>
              <w:numPr>
                <w:ilvl w:val="0"/>
                <w:numId w:val="140"/>
              </w:numPr>
              <w:spacing w:after="20"/>
              <w:jc w:val="both"/>
            </w:pPr>
            <w:r>
              <w:rPr>
                <w:sz w:val="18"/>
                <w:szCs w:val="18"/>
              </w:rPr>
              <w:t xml:space="preserve">Fundación del Comité de Normas Internacionales de Contabilidad, IASCF – Consejo de Normas Internacionales de Contabilidad, IASB (2015). </w:t>
            </w:r>
            <w:r>
              <w:rPr>
                <w:i/>
                <w:iCs/>
                <w:sz w:val="18"/>
                <w:szCs w:val="18"/>
              </w:rPr>
              <w:t>NIIF para las PYMES</w:t>
            </w:r>
            <w:r>
              <w:rPr>
                <w:sz w:val="18"/>
                <w:szCs w:val="18"/>
              </w:rPr>
              <w:t>. Londres.</w:t>
            </w:r>
          </w:p>
          <w:p w14:paraId="139AD19F" w14:textId="77777777" w:rsidR="00990B14" w:rsidRDefault="00000000">
            <w:pPr>
              <w:numPr>
                <w:ilvl w:val="0"/>
                <w:numId w:val="140"/>
              </w:numPr>
              <w:spacing w:after="20"/>
              <w:jc w:val="both"/>
            </w:pPr>
            <w:r>
              <w:rPr>
                <w:sz w:val="18"/>
                <w:szCs w:val="18"/>
              </w:rPr>
              <w:t xml:space="preserve">Fundación IFRS (2016). </w:t>
            </w:r>
            <w:r>
              <w:rPr>
                <w:i/>
                <w:iCs/>
                <w:sz w:val="18"/>
                <w:szCs w:val="18"/>
              </w:rPr>
              <w:t>Documento Informativo para Presidentes de Corporaciones, Directores Ejecutivos, Comités de Auditoría y Consejos de Administración</w:t>
            </w:r>
            <w:r>
              <w:rPr>
                <w:sz w:val="18"/>
                <w:szCs w:val="18"/>
              </w:rPr>
              <w:t>. Londres.</w:t>
            </w:r>
          </w:p>
          <w:p w14:paraId="35686F4B" w14:textId="77777777" w:rsidR="00990B14" w:rsidRDefault="00000000">
            <w:pPr>
              <w:numPr>
                <w:ilvl w:val="0"/>
                <w:numId w:val="140"/>
              </w:numPr>
              <w:spacing w:after="20"/>
              <w:jc w:val="both"/>
            </w:pPr>
            <w:r>
              <w:rPr>
                <w:sz w:val="18"/>
                <w:szCs w:val="18"/>
              </w:rPr>
              <w:t xml:space="preserve">Fundación IFRS – Consejo de Normas Internacionales de Contabilidad, IASB (2013). </w:t>
            </w:r>
            <w:r>
              <w:rPr>
                <w:i/>
                <w:iCs/>
                <w:sz w:val="18"/>
                <w:szCs w:val="18"/>
              </w:rPr>
              <w:t>Una Guía para Micro Entidades que Apliquen la NIIF para las PYMES</w:t>
            </w:r>
            <w:r>
              <w:rPr>
                <w:sz w:val="18"/>
                <w:szCs w:val="18"/>
              </w:rPr>
              <w:t>. Londres.</w:t>
            </w:r>
          </w:p>
          <w:p w14:paraId="0282625F" w14:textId="77777777" w:rsidR="00990B14" w:rsidRDefault="00000000">
            <w:pPr>
              <w:numPr>
                <w:ilvl w:val="0"/>
                <w:numId w:val="140"/>
              </w:numPr>
              <w:spacing w:after="20"/>
              <w:jc w:val="both"/>
            </w:pPr>
            <w:r>
              <w:rPr>
                <w:sz w:val="18"/>
                <w:szCs w:val="18"/>
              </w:rPr>
              <w:t>Ley de Pensiones N.º 065, de 10 de diciembre de 2010, y sus reglamentos.</w:t>
            </w:r>
          </w:p>
          <w:p w14:paraId="5F048CFC" w14:textId="77777777" w:rsidR="00990B14" w:rsidRDefault="00000000">
            <w:pPr>
              <w:numPr>
                <w:ilvl w:val="0"/>
                <w:numId w:val="140"/>
              </w:numPr>
              <w:spacing w:after="20"/>
              <w:jc w:val="both"/>
            </w:pPr>
            <w:r>
              <w:rPr>
                <w:sz w:val="18"/>
                <w:szCs w:val="18"/>
              </w:rPr>
              <w:t>Ley General del Trabajo, de 8 de diciembre de 1942, y sus reglamentos.</w:t>
            </w:r>
          </w:p>
          <w:p w14:paraId="4CA17B69" w14:textId="77777777" w:rsidR="00990B14" w:rsidRDefault="00000000">
            <w:pPr>
              <w:numPr>
                <w:ilvl w:val="0"/>
                <w:numId w:val="140"/>
              </w:numPr>
              <w:spacing w:after="20"/>
              <w:jc w:val="both"/>
            </w:pPr>
            <w:r>
              <w:rPr>
                <w:sz w:val="18"/>
                <w:szCs w:val="18"/>
              </w:rPr>
              <w:t>Normas legales (resoluciones y otras) relacionadas con la aprobación de normas contables y la preparación de estados financieros.</w:t>
            </w:r>
          </w:p>
          <w:p w14:paraId="6A085025" w14:textId="77777777" w:rsidR="00990B14" w:rsidRDefault="00000000">
            <w:pPr>
              <w:numPr>
                <w:ilvl w:val="0"/>
                <w:numId w:val="140"/>
              </w:numPr>
              <w:spacing w:after="20"/>
              <w:jc w:val="both"/>
            </w:pPr>
            <w:r>
              <w:rPr>
                <w:sz w:val="18"/>
                <w:szCs w:val="18"/>
              </w:rPr>
              <w:t>Normas tributarias relacionadas con la preparación de estados financieros.</w:t>
            </w:r>
          </w:p>
        </w:tc>
      </w:tr>
      <w:tr w:rsidR="00990B14" w14:paraId="477DA2FA" w14:textId="77777777">
        <w:trPr>
          <w:jc w:val="center"/>
        </w:trPr>
        <w:tc>
          <w:tcPr>
            <w:tcW w:w="9405" w:type="dxa"/>
            <w:shd w:val="clear" w:color="auto" w:fill="D9E2F3"/>
          </w:tcPr>
          <w:p w14:paraId="44406471" w14:textId="77777777" w:rsidR="00990B14" w:rsidRDefault="00000000">
            <w:pPr>
              <w:spacing w:before="40" w:after="40"/>
              <w:jc w:val="both"/>
            </w:pPr>
            <w:r>
              <w:rPr>
                <w:b/>
                <w:bCs/>
                <w:i/>
                <w:iCs/>
                <w:sz w:val="18"/>
                <w:szCs w:val="18"/>
              </w:rPr>
              <w:t>Bibliografía complementaria:</w:t>
            </w:r>
          </w:p>
          <w:p w14:paraId="755A22BB" w14:textId="77777777" w:rsidR="00990B14" w:rsidRDefault="00000000">
            <w:pPr>
              <w:numPr>
                <w:ilvl w:val="0"/>
                <w:numId w:val="140"/>
              </w:numPr>
              <w:spacing w:after="20"/>
              <w:jc w:val="both"/>
            </w:pPr>
            <w:r>
              <w:rPr>
                <w:sz w:val="18"/>
                <w:szCs w:val="18"/>
              </w:rPr>
              <w:t xml:space="preserve">Amat, O. y Soldevila, P. (2011). </w:t>
            </w:r>
            <w:r>
              <w:rPr>
                <w:i/>
                <w:iCs/>
                <w:sz w:val="18"/>
                <w:szCs w:val="18"/>
              </w:rPr>
              <w:t>Contabilidad y Gestión de Costes</w:t>
            </w:r>
            <w:r>
              <w:rPr>
                <w:sz w:val="18"/>
                <w:szCs w:val="18"/>
              </w:rPr>
              <w:t>. 7ª ed., Barcelona – España: Profit Editorial, S.L.</w:t>
            </w:r>
          </w:p>
          <w:p w14:paraId="1DF35E6A" w14:textId="77777777" w:rsidR="00990B14" w:rsidRDefault="00000000">
            <w:pPr>
              <w:numPr>
                <w:ilvl w:val="0"/>
                <w:numId w:val="140"/>
              </w:numPr>
              <w:spacing w:after="20"/>
              <w:jc w:val="both"/>
            </w:pPr>
            <w:r w:rsidRPr="00BD34F7">
              <w:rPr>
                <w:sz w:val="18"/>
                <w:szCs w:val="18"/>
                <w:lang w:val="en-US"/>
              </w:rPr>
              <w:t xml:space="preserve">Barfield, J., Raiborn, C. y Kinney, M. (2005). </w:t>
            </w:r>
            <w:r>
              <w:rPr>
                <w:i/>
                <w:iCs/>
                <w:sz w:val="18"/>
                <w:szCs w:val="18"/>
              </w:rPr>
              <w:t>Contabilidad de Costos: Tradiciones e Innovaciones</w:t>
            </w:r>
            <w:r>
              <w:rPr>
                <w:sz w:val="18"/>
                <w:szCs w:val="18"/>
              </w:rPr>
              <w:t>. 5ª ed. en español.</w:t>
            </w:r>
          </w:p>
          <w:p w14:paraId="1C79D35D" w14:textId="77777777" w:rsidR="00990B14" w:rsidRDefault="00000000">
            <w:pPr>
              <w:numPr>
                <w:ilvl w:val="0"/>
                <w:numId w:val="140"/>
              </w:numPr>
              <w:spacing w:after="20"/>
              <w:jc w:val="both"/>
            </w:pPr>
            <w:r w:rsidRPr="00BD34F7">
              <w:rPr>
                <w:sz w:val="18"/>
                <w:szCs w:val="18"/>
                <w:lang w:val="en-US"/>
              </w:rPr>
              <w:t xml:space="preserve">Blocher, E., Stout, D., Juras, P. y Cokins, G. (2013). </w:t>
            </w:r>
            <w:r>
              <w:rPr>
                <w:i/>
                <w:iCs/>
                <w:sz w:val="18"/>
                <w:szCs w:val="18"/>
              </w:rPr>
              <w:t>Administración de Costos: un enfoque estratégico</w:t>
            </w:r>
            <w:r>
              <w:rPr>
                <w:sz w:val="18"/>
                <w:szCs w:val="18"/>
              </w:rPr>
              <w:t>. 5ª ed., México: McGraw-Hill.</w:t>
            </w:r>
          </w:p>
          <w:p w14:paraId="08AE5BDF" w14:textId="77777777" w:rsidR="00990B14" w:rsidRDefault="00000000">
            <w:pPr>
              <w:numPr>
                <w:ilvl w:val="0"/>
                <w:numId w:val="140"/>
              </w:numPr>
              <w:spacing w:after="20"/>
              <w:jc w:val="both"/>
            </w:pPr>
            <w:r>
              <w:rPr>
                <w:sz w:val="18"/>
                <w:szCs w:val="18"/>
              </w:rPr>
              <w:t>Consejo de Normas Internacionales de Contabilidad (IASB). NIC 2 Inventarios.</w:t>
            </w:r>
          </w:p>
          <w:p w14:paraId="24073F9F" w14:textId="77777777" w:rsidR="00990B14" w:rsidRDefault="00000000">
            <w:pPr>
              <w:numPr>
                <w:ilvl w:val="0"/>
                <w:numId w:val="140"/>
              </w:numPr>
              <w:spacing w:after="20"/>
              <w:jc w:val="both"/>
            </w:pPr>
            <w:r>
              <w:rPr>
                <w:sz w:val="18"/>
                <w:szCs w:val="18"/>
              </w:rPr>
              <w:t xml:space="preserve">Cuervo Tafur, J. y Osorio Agudelo, J. A. (2014). </w:t>
            </w:r>
            <w:r>
              <w:rPr>
                <w:i/>
                <w:iCs/>
                <w:sz w:val="18"/>
                <w:szCs w:val="18"/>
              </w:rPr>
              <w:t>Costeo Basado en Actividades ABC, Gestión Basada en Actividades ABM</w:t>
            </w:r>
            <w:r>
              <w:rPr>
                <w:sz w:val="18"/>
                <w:szCs w:val="18"/>
              </w:rPr>
              <w:t>. Bogotá – Colombia.</w:t>
            </w:r>
          </w:p>
          <w:p w14:paraId="452086C9" w14:textId="77777777" w:rsidR="00990B14" w:rsidRDefault="00000000">
            <w:pPr>
              <w:numPr>
                <w:ilvl w:val="0"/>
                <w:numId w:val="140"/>
              </w:numPr>
              <w:spacing w:after="20"/>
              <w:jc w:val="both"/>
            </w:pPr>
            <w:r>
              <w:rPr>
                <w:sz w:val="18"/>
                <w:szCs w:val="18"/>
              </w:rPr>
              <w:t xml:space="preserve">Del Río González, C. (2015). </w:t>
            </w:r>
            <w:r>
              <w:rPr>
                <w:i/>
                <w:iCs/>
                <w:sz w:val="18"/>
                <w:szCs w:val="18"/>
              </w:rPr>
              <w:t>Contabilidad de Costos I y II</w:t>
            </w:r>
            <w:r>
              <w:rPr>
                <w:sz w:val="18"/>
                <w:szCs w:val="18"/>
              </w:rPr>
              <w:t>. México.</w:t>
            </w:r>
          </w:p>
          <w:p w14:paraId="0BDFA690" w14:textId="77777777" w:rsidR="00990B14" w:rsidRDefault="00000000">
            <w:pPr>
              <w:numPr>
                <w:ilvl w:val="0"/>
                <w:numId w:val="140"/>
              </w:numPr>
              <w:spacing w:after="20"/>
              <w:jc w:val="both"/>
            </w:pPr>
            <w:r>
              <w:rPr>
                <w:sz w:val="18"/>
                <w:szCs w:val="18"/>
              </w:rPr>
              <w:t xml:space="preserve">Hansen, D. y Mowen, M. (2007). </w:t>
            </w:r>
            <w:r>
              <w:rPr>
                <w:i/>
                <w:iCs/>
                <w:sz w:val="18"/>
                <w:szCs w:val="18"/>
              </w:rPr>
              <w:t>Administración de Costos, Contabilidad y Control</w:t>
            </w:r>
            <w:r>
              <w:rPr>
                <w:sz w:val="18"/>
                <w:szCs w:val="18"/>
              </w:rPr>
              <w:t>. Internacional Thomson Editores, S.A. de C.V.</w:t>
            </w:r>
          </w:p>
          <w:p w14:paraId="1E05981D" w14:textId="77777777" w:rsidR="00990B14" w:rsidRDefault="00000000">
            <w:pPr>
              <w:numPr>
                <w:ilvl w:val="0"/>
                <w:numId w:val="140"/>
              </w:numPr>
              <w:spacing w:after="20"/>
              <w:jc w:val="both"/>
            </w:pPr>
            <w:r>
              <w:rPr>
                <w:sz w:val="18"/>
                <w:szCs w:val="18"/>
              </w:rPr>
              <w:t xml:space="preserve">Horngren, C. T., Datar, S. M. y Foster, G. (2007). </w:t>
            </w:r>
            <w:r>
              <w:rPr>
                <w:i/>
                <w:iCs/>
                <w:sz w:val="18"/>
                <w:szCs w:val="18"/>
              </w:rPr>
              <w:t>Contabilidad de Costos</w:t>
            </w:r>
            <w:r>
              <w:rPr>
                <w:sz w:val="18"/>
                <w:szCs w:val="18"/>
              </w:rPr>
              <w:t>. 12ª ed.</w:t>
            </w:r>
          </w:p>
          <w:p w14:paraId="57A9540B" w14:textId="77777777" w:rsidR="00990B14" w:rsidRDefault="00000000">
            <w:pPr>
              <w:numPr>
                <w:ilvl w:val="0"/>
                <w:numId w:val="140"/>
              </w:numPr>
              <w:spacing w:after="20"/>
              <w:jc w:val="both"/>
            </w:pPr>
            <w:r>
              <w:rPr>
                <w:sz w:val="18"/>
                <w:szCs w:val="18"/>
              </w:rPr>
              <w:t>Instituto Nacional de Estadística. Clasificación de Actividades Económicas de Bolivia CAEB-2022 e índice de precios al consumidor.</w:t>
            </w:r>
          </w:p>
          <w:p w14:paraId="160A1D17" w14:textId="77777777" w:rsidR="00990B14" w:rsidRDefault="00000000">
            <w:pPr>
              <w:numPr>
                <w:ilvl w:val="0"/>
                <w:numId w:val="140"/>
              </w:numPr>
              <w:spacing w:after="20"/>
              <w:jc w:val="both"/>
            </w:pPr>
            <w:r>
              <w:rPr>
                <w:sz w:val="18"/>
                <w:szCs w:val="18"/>
              </w:rPr>
              <w:t xml:space="preserve">Kaplan, R. S. y Cooper, R. (1999). </w:t>
            </w:r>
            <w:r>
              <w:rPr>
                <w:i/>
                <w:iCs/>
                <w:sz w:val="18"/>
                <w:szCs w:val="18"/>
              </w:rPr>
              <w:t>Coste y Efecto</w:t>
            </w:r>
            <w:r>
              <w:rPr>
                <w:sz w:val="18"/>
                <w:szCs w:val="18"/>
              </w:rPr>
              <w:t>. Barcelona – España: Ediciones Gestión 2000.</w:t>
            </w:r>
          </w:p>
          <w:p w14:paraId="1D0AAED5" w14:textId="77777777" w:rsidR="00990B14" w:rsidRDefault="00000000">
            <w:pPr>
              <w:numPr>
                <w:ilvl w:val="0"/>
                <w:numId w:val="140"/>
              </w:numPr>
              <w:spacing w:after="20"/>
              <w:jc w:val="both"/>
            </w:pPr>
            <w:r>
              <w:rPr>
                <w:sz w:val="18"/>
                <w:szCs w:val="18"/>
              </w:rPr>
              <w:t xml:space="preserve">Mendoza, E. J. Á. (2023). </w:t>
            </w:r>
            <w:r>
              <w:rPr>
                <w:i/>
                <w:iCs/>
                <w:sz w:val="18"/>
                <w:szCs w:val="18"/>
              </w:rPr>
              <w:t>Contabilidad y Gestión de Costos</w:t>
            </w:r>
            <w:r>
              <w:rPr>
                <w:sz w:val="18"/>
                <w:szCs w:val="18"/>
              </w:rPr>
              <w:t>. 1ª ed.</w:t>
            </w:r>
          </w:p>
          <w:p w14:paraId="3DE1F30D" w14:textId="77777777" w:rsidR="00990B14" w:rsidRDefault="00000000">
            <w:pPr>
              <w:numPr>
                <w:ilvl w:val="0"/>
                <w:numId w:val="140"/>
              </w:numPr>
              <w:spacing w:after="20"/>
              <w:jc w:val="both"/>
            </w:pPr>
            <w:r>
              <w:rPr>
                <w:sz w:val="18"/>
                <w:szCs w:val="18"/>
              </w:rPr>
              <w:t>Ministerio de Economía y Finanzas Públicas. Resolución Ministerial N.º 245, de 26 de junio de 2026, del régimen de tipo de cambio flexible.</w:t>
            </w:r>
          </w:p>
          <w:p w14:paraId="2036131D" w14:textId="77777777" w:rsidR="00990B14" w:rsidRDefault="00000000">
            <w:pPr>
              <w:numPr>
                <w:ilvl w:val="0"/>
                <w:numId w:val="140"/>
              </w:numPr>
              <w:spacing w:after="20"/>
              <w:jc w:val="both"/>
            </w:pPr>
            <w:r>
              <w:rPr>
                <w:sz w:val="18"/>
                <w:szCs w:val="18"/>
              </w:rPr>
              <w:t xml:space="preserve">Polimeni, R., Fabozzi, F. y Adelberg, A. (2003). </w:t>
            </w:r>
            <w:r>
              <w:rPr>
                <w:i/>
                <w:iCs/>
                <w:sz w:val="18"/>
                <w:szCs w:val="18"/>
              </w:rPr>
              <w:t>Contabilidad de Costos</w:t>
            </w:r>
            <w:r>
              <w:rPr>
                <w:sz w:val="18"/>
                <w:szCs w:val="18"/>
              </w:rPr>
              <w:t>. 6ª ed.</w:t>
            </w:r>
          </w:p>
          <w:p w14:paraId="55880DC2" w14:textId="77777777" w:rsidR="00990B14" w:rsidRDefault="00000000">
            <w:pPr>
              <w:numPr>
                <w:ilvl w:val="0"/>
                <w:numId w:val="140"/>
              </w:numPr>
              <w:spacing w:after="20"/>
              <w:jc w:val="both"/>
            </w:pPr>
            <w:r>
              <w:rPr>
                <w:sz w:val="18"/>
                <w:szCs w:val="18"/>
              </w:rPr>
              <w:t xml:space="preserve">Quisbert Blanco, Á. (2023). </w:t>
            </w:r>
            <w:r>
              <w:rPr>
                <w:i/>
                <w:iCs/>
                <w:sz w:val="18"/>
                <w:szCs w:val="18"/>
              </w:rPr>
              <w:t>Gestión y Control de Costos I y II (Administración y Contabilidad)</w:t>
            </w:r>
            <w:r>
              <w:rPr>
                <w:sz w:val="18"/>
                <w:szCs w:val="18"/>
              </w:rPr>
              <w:t>. 1ª ed.</w:t>
            </w:r>
          </w:p>
          <w:p w14:paraId="5F84BD97" w14:textId="77777777" w:rsidR="00990B14" w:rsidRDefault="00000000">
            <w:pPr>
              <w:numPr>
                <w:ilvl w:val="0"/>
                <w:numId w:val="140"/>
              </w:numPr>
              <w:spacing w:after="20"/>
              <w:jc w:val="both"/>
            </w:pPr>
            <w:r>
              <w:rPr>
                <w:sz w:val="18"/>
                <w:szCs w:val="18"/>
              </w:rPr>
              <w:t xml:space="preserve">Ramírez Padilla, D. N. (2019). </w:t>
            </w:r>
            <w:r>
              <w:rPr>
                <w:i/>
                <w:iCs/>
                <w:sz w:val="18"/>
                <w:szCs w:val="18"/>
              </w:rPr>
              <w:t>Contabilidad Administrativa</w:t>
            </w:r>
            <w:r>
              <w:rPr>
                <w:sz w:val="18"/>
                <w:szCs w:val="18"/>
              </w:rPr>
              <w:t>. 10ª ed., McGraw-Hill.</w:t>
            </w:r>
          </w:p>
          <w:p w14:paraId="026A3C33" w14:textId="77777777" w:rsidR="00990B14" w:rsidRDefault="00000000">
            <w:pPr>
              <w:numPr>
                <w:ilvl w:val="0"/>
                <w:numId w:val="140"/>
              </w:numPr>
              <w:spacing w:after="20"/>
              <w:jc w:val="both"/>
            </w:pPr>
            <w:r>
              <w:rPr>
                <w:sz w:val="18"/>
                <w:szCs w:val="18"/>
              </w:rPr>
              <w:t xml:space="preserve">Sinisterra Valencia, G. (2015). </w:t>
            </w:r>
            <w:r>
              <w:rPr>
                <w:i/>
                <w:iCs/>
                <w:sz w:val="18"/>
                <w:szCs w:val="18"/>
              </w:rPr>
              <w:t>Contabilidad de Costos</w:t>
            </w:r>
            <w:r>
              <w:rPr>
                <w:sz w:val="18"/>
                <w:szCs w:val="18"/>
              </w:rPr>
              <w:t>. Bogotá – Colombia: Ediciones ECOE.</w:t>
            </w:r>
          </w:p>
          <w:p w14:paraId="40942B0C" w14:textId="77777777" w:rsidR="00990B14" w:rsidRDefault="00000000">
            <w:pPr>
              <w:numPr>
                <w:ilvl w:val="0"/>
                <w:numId w:val="140"/>
              </w:numPr>
              <w:spacing w:after="20"/>
              <w:jc w:val="both"/>
            </w:pPr>
            <w:r>
              <w:rPr>
                <w:sz w:val="18"/>
                <w:szCs w:val="18"/>
              </w:rPr>
              <w:t>Sitios web oficiales: www.ine.gob.bo, www.impuestos.gob.bo, www.gestora.bo y www.auditores.org.bo.</w:t>
            </w:r>
          </w:p>
          <w:p w14:paraId="0F443FE2" w14:textId="77777777" w:rsidR="00990B14" w:rsidRDefault="00000000">
            <w:pPr>
              <w:numPr>
                <w:ilvl w:val="0"/>
                <w:numId w:val="140"/>
              </w:numPr>
              <w:spacing w:after="20"/>
              <w:jc w:val="both"/>
            </w:pPr>
            <w:r>
              <w:rPr>
                <w:sz w:val="18"/>
                <w:szCs w:val="18"/>
              </w:rPr>
              <w:t xml:space="preserve">Torrez Orihuela, G. (2016). </w:t>
            </w:r>
            <w:r>
              <w:rPr>
                <w:i/>
                <w:iCs/>
                <w:sz w:val="18"/>
                <w:szCs w:val="18"/>
              </w:rPr>
              <w:t>Tratado de Contabilidad de Costos por Sectores Económicos</w:t>
            </w:r>
            <w:r>
              <w:rPr>
                <w:sz w:val="18"/>
                <w:szCs w:val="18"/>
              </w:rPr>
              <w:t>. Lima – Perú: Marketing Consultores S.A.</w:t>
            </w:r>
          </w:p>
          <w:p w14:paraId="48538762" w14:textId="77777777" w:rsidR="00990B14" w:rsidRDefault="00000000">
            <w:pPr>
              <w:numPr>
                <w:ilvl w:val="0"/>
                <w:numId w:val="140"/>
              </w:numPr>
              <w:spacing w:after="20"/>
              <w:jc w:val="both"/>
            </w:pPr>
            <w:r w:rsidRPr="00BD34F7">
              <w:rPr>
                <w:sz w:val="18"/>
                <w:szCs w:val="18"/>
                <w:lang w:val="en-US"/>
              </w:rPr>
              <w:t xml:space="preserve">Vanderbeck, E. y Mitchell, M. (s.f.). </w:t>
            </w:r>
            <w:r>
              <w:rPr>
                <w:i/>
                <w:iCs/>
                <w:sz w:val="18"/>
                <w:szCs w:val="18"/>
              </w:rPr>
              <w:t>Principios de Contabilidad de Costos</w:t>
            </w:r>
            <w:r>
              <w:rPr>
                <w:sz w:val="18"/>
                <w:szCs w:val="18"/>
              </w:rPr>
              <w:t>. 17ª ed., Ediciones Cengage Learning.</w:t>
            </w:r>
          </w:p>
        </w:tc>
      </w:tr>
    </w:tbl>
    <w:p w14:paraId="39E22BA2" w14:textId="77777777" w:rsidR="00990B14" w:rsidRDefault="00000000">
      <w:pPr>
        <w:pStyle w:val="TituloPlanAsignatura"/>
        <w:keepNext/>
        <w:pageBreakBefore/>
        <w:spacing w:after="120"/>
        <w:jc w:val="center"/>
        <w:outlineLvl w:val="2"/>
      </w:pPr>
      <w:bookmarkStart w:id="166" w:name="_Toc000000107"/>
      <w:r>
        <w:rPr>
          <w:b/>
          <w:bCs/>
          <w:sz w:val="24"/>
          <w:szCs w:val="24"/>
        </w:rPr>
        <w:t>CPA-303 Contabilidad de Bancos y Entidades Financieras</w:t>
      </w:r>
      <w:bookmarkEnd w:id="166"/>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249"/>
        <w:gridCol w:w="1100"/>
        <w:gridCol w:w="149"/>
        <w:gridCol w:w="635"/>
        <w:gridCol w:w="615"/>
        <w:gridCol w:w="952"/>
        <w:gridCol w:w="298"/>
        <w:gridCol w:w="1250"/>
        <w:gridCol w:w="20"/>
        <w:gridCol w:w="385"/>
        <w:gridCol w:w="398"/>
        <w:gridCol w:w="447"/>
        <w:gridCol w:w="1907"/>
      </w:tblGrid>
      <w:tr w:rsidR="00990B14" w14:paraId="2023D51E" w14:textId="77777777">
        <w:trPr>
          <w:cantSplit/>
          <w:jc w:val="center"/>
        </w:trPr>
        <w:tc>
          <w:tcPr>
            <w:tcW w:w="2349" w:type="dxa"/>
            <w:gridSpan w:val="2"/>
            <w:shd w:val="clear" w:color="auto" w:fill="4472C4"/>
            <w:vAlign w:val="center"/>
          </w:tcPr>
          <w:p w14:paraId="34B0C563" w14:textId="77777777" w:rsidR="00990B14" w:rsidRDefault="00000000">
            <w:pPr>
              <w:keepNext/>
              <w:spacing w:before="20" w:after="20"/>
              <w:jc w:val="center"/>
            </w:pPr>
            <w:r>
              <w:rPr>
                <w:b/>
                <w:bCs/>
                <w:i/>
                <w:iCs/>
                <w:color w:val="FFFFFF"/>
                <w:sz w:val="18"/>
                <w:szCs w:val="18"/>
              </w:rPr>
              <w:t>Asignatura</w:t>
            </w:r>
          </w:p>
        </w:tc>
        <w:tc>
          <w:tcPr>
            <w:tcW w:w="2351" w:type="dxa"/>
            <w:gridSpan w:val="4"/>
            <w:shd w:val="clear" w:color="auto" w:fill="4472C4"/>
            <w:vAlign w:val="center"/>
          </w:tcPr>
          <w:p w14:paraId="7C913124" w14:textId="77777777" w:rsidR="00990B14" w:rsidRDefault="00000000">
            <w:pPr>
              <w:keepNext/>
              <w:spacing w:before="20" w:after="20"/>
              <w:jc w:val="center"/>
            </w:pPr>
            <w:r>
              <w:rPr>
                <w:b/>
                <w:bCs/>
                <w:i/>
                <w:iCs/>
                <w:color w:val="FFFFFF"/>
                <w:sz w:val="18"/>
                <w:szCs w:val="18"/>
              </w:rPr>
              <w:t>Sigla</w:t>
            </w:r>
          </w:p>
        </w:tc>
        <w:tc>
          <w:tcPr>
            <w:tcW w:w="2351" w:type="dxa"/>
            <w:gridSpan w:val="5"/>
            <w:shd w:val="clear" w:color="auto" w:fill="4472C4"/>
            <w:vAlign w:val="center"/>
          </w:tcPr>
          <w:p w14:paraId="69172B89" w14:textId="77777777" w:rsidR="00990B14" w:rsidRDefault="00000000">
            <w:pPr>
              <w:keepNext/>
              <w:spacing w:before="20" w:after="20"/>
              <w:jc w:val="center"/>
            </w:pPr>
            <w:r>
              <w:rPr>
                <w:b/>
                <w:bCs/>
                <w:i/>
                <w:iCs/>
                <w:color w:val="FFFFFF"/>
                <w:sz w:val="18"/>
                <w:szCs w:val="18"/>
              </w:rPr>
              <w:t>Nivel/Área</w:t>
            </w:r>
          </w:p>
        </w:tc>
        <w:tc>
          <w:tcPr>
            <w:tcW w:w="2354" w:type="dxa"/>
            <w:gridSpan w:val="2"/>
            <w:shd w:val="clear" w:color="auto" w:fill="4472C4"/>
            <w:vAlign w:val="center"/>
          </w:tcPr>
          <w:p w14:paraId="38EE118B" w14:textId="77777777" w:rsidR="00990B14" w:rsidRDefault="00000000">
            <w:pPr>
              <w:keepNext/>
              <w:spacing w:before="20" w:after="20"/>
              <w:jc w:val="center"/>
            </w:pPr>
            <w:r>
              <w:rPr>
                <w:b/>
                <w:bCs/>
                <w:i/>
                <w:iCs/>
                <w:color w:val="FFFFFF"/>
                <w:sz w:val="18"/>
                <w:szCs w:val="18"/>
              </w:rPr>
              <w:t>Prerrequisito</w:t>
            </w:r>
          </w:p>
        </w:tc>
      </w:tr>
      <w:tr w:rsidR="00990B14" w14:paraId="64ED7A63" w14:textId="77777777">
        <w:trPr>
          <w:cantSplit/>
          <w:jc w:val="center"/>
        </w:trPr>
        <w:tc>
          <w:tcPr>
            <w:tcW w:w="2349" w:type="dxa"/>
            <w:gridSpan w:val="2"/>
            <w:shd w:val="clear" w:color="auto" w:fill="D9E2F3"/>
            <w:vAlign w:val="center"/>
          </w:tcPr>
          <w:p w14:paraId="19B3AEA7" w14:textId="77777777" w:rsidR="00990B14" w:rsidRDefault="00000000">
            <w:pPr>
              <w:spacing w:before="20" w:after="20"/>
              <w:jc w:val="center"/>
            </w:pPr>
            <w:r>
              <w:rPr>
                <w:b/>
                <w:bCs/>
                <w:i/>
                <w:iCs/>
                <w:sz w:val="18"/>
                <w:szCs w:val="18"/>
              </w:rPr>
              <w:t>Contabilidad de Bancos y Entidades Financieras</w:t>
            </w:r>
          </w:p>
        </w:tc>
        <w:tc>
          <w:tcPr>
            <w:tcW w:w="2351" w:type="dxa"/>
            <w:gridSpan w:val="4"/>
            <w:shd w:val="clear" w:color="auto" w:fill="D9E2F3"/>
            <w:vAlign w:val="center"/>
          </w:tcPr>
          <w:p w14:paraId="1D3FEC7A" w14:textId="77777777" w:rsidR="00990B14" w:rsidRDefault="00000000">
            <w:pPr>
              <w:spacing w:before="20" w:after="20"/>
              <w:jc w:val="center"/>
            </w:pPr>
            <w:r>
              <w:rPr>
                <w:b/>
                <w:bCs/>
                <w:i/>
                <w:iCs/>
                <w:sz w:val="18"/>
                <w:szCs w:val="18"/>
              </w:rPr>
              <w:t>CPA-303</w:t>
            </w:r>
          </w:p>
        </w:tc>
        <w:tc>
          <w:tcPr>
            <w:tcW w:w="2351" w:type="dxa"/>
            <w:gridSpan w:val="5"/>
            <w:shd w:val="clear" w:color="auto" w:fill="D9E2F3"/>
            <w:vAlign w:val="center"/>
          </w:tcPr>
          <w:p w14:paraId="385FB373" w14:textId="77777777" w:rsidR="00990B14" w:rsidRDefault="00000000">
            <w:pPr>
              <w:spacing w:before="20" w:after="20"/>
              <w:jc w:val="center"/>
            </w:pPr>
            <w:r>
              <w:rPr>
                <w:b/>
                <w:bCs/>
                <w:i/>
                <w:iCs/>
                <w:sz w:val="18"/>
                <w:szCs w:val="18"/>
              </w:rPr>
              <w:t>Información Financiera</w:t>
            </w:r>
          </w:p>
        </w:tc>
        <w:tc>
          <w:tcPr>
            <w:tcW w:w="2354" w:type="dxa"/>
            <w:gridSpan w:val="2"/>
            <w:shd w:val="clear" w:color="auto" w:fill="D9E2F3"/>
            <w:vAlign w:val="center"/>
          </w:tcPr>
          <w:p w14:paraId="4A742648" w14:textId="77777777" w:rsidR="00990B14" w:rsidRDefault="00000000">
            <w:pPr>
              <w:spacing w:before="20" w:after="20"/>
              <w:jc w:val="center"/>
            </w:pPr>
            <w:r>
              <w:rPr>
                <w:b/>
                <w:bCs/>
                <w:i/>
                <w:iCs/>
                <w:sz w:val="18"/>
                <w:szCs w:val="18"/>
              </w:rPr>
              <w:t>CPA-201, CPA-202, CPA-203</w:t>
            </w:r>
          </w:p>
        </w:tc>
      </w:tr>
      <w:tr w:rsidR="00990B14" w14:paraId="2A6FC44B" w14:textId="77777777">
        <w:trPr>
          <w:cantSplit/>
          <w:jc w:val="center"/>
        </w:trPr>
        <w:tc>
          <w:tcPr>
            <w:tcW w:w="7498" w:type="dxa"/>
            <w:gridSpan w:val="12"/>
            <w:shd w:val="clear" w:color="auto" w:fill="4472C4"/>
            <w:vAlign w:val="center"/>
          </w:tcPr>
          <w:p w14:paraId="057D06D4" w14:textId="77777777" w:rsidR="00990B14" w:rsidRDefault="00000000">
            <w:pPr>
              <w:keepNext/>
              <w:spacing w:before="20" w:after="20"/>
              <w:jc w:val="center"/>
            </w:pPr>
            <w:r>
              <w:rPr>
                <w:b/>
                <w:bCs/>
                <w:i/>
                <w:iCs/>
                <w:color w:val="FFFFFF"/>
                <w:sz w:val="18"/>
                <w:szCs w:val="18"/>
              </w:rPr>
              <w:t>Carga Horaria</w:t>
            </w:r>
          </w:p>
        </w:tc>
        <w:tc>
          <w:tcPr>
            <w:tcW w:w="1907" w:type="dxa"/>
            <w:shd w:val="clear" w:color="auto" w:fill="4472C4"/>
            <w:vAlign w:val="center"/>
          </w:tcPr>
          <w:p w14:paraId="287BA4D8" w14:textId="77777777" w:rsidR="00990B14" w:rsidRDefault="00000000">
            <w:pPr>
              <w:keepNext/>
              <w:spacing w:before="20" w:after="20"/>
              <w:jc w:val="center"/>
            </w:pPr>
            <w:r>
              <w:rPr>
                <w:b/>
                <w:bCs/>
                <w:i/>
                <w:iCs/>
                <w:color w:val="FFFFFF"/>
                <w:sz w:val="18"/>
                <w:szCs w:val="18"/>
              </w:rPr>
              <w:t>Créditos</w:t>
            </w:r>
          </w:p>
        </w:tc>
      </w:tr>
      <w:tr w:rsidR="00990B14" w14:paraId="5C659D7B" w14:textId="77777777">
        <w:trPr>
          <w:cantSplit/>
          <w:jc w:val="center"/>
        </w:trPr>
        <w:tc>
          <w:tcPr>
            <w:tcW w:w="1249" w:type="dxa"/>
            <w:shd w:val="clear" w:color="auto" w:fill="4472C4"/>
            <w:vAlign w:val="center"/>
          </w:tcPr>
          <w:p w14:paraId="1CCA3236" w14:textId="77777777" w:rsidR="00990B14" w:rsidRDefault="00000000">
            <w:pPr>
              <w:keepNext/>
              <w:spacing w:before="20" w:after="20"/>
              <w:jc w:val="center"/>
            </w:pPr>
            <w:r>
              <w:rPr>
                <w:b/>
                <w:bCs/>
                <w:i/>
                <w:iCs/>
                <w:color w:val="FFFFFF"/>
                <w:sz w:val="18"/>
                <w:szCs w:val="18"/>
              </w:rPr>
              <w:t>HP</w:t>
            </w:r>
          </w:p>
        </w:tc>
        <w:tc>
          <w:tcPr>
            <w:tcW w:w="1249" w:type="dxa"/>
            <w:gridSpan w:val="2"/>
            <w:shd w:val="clear" w:color="auto" w:fill="4472C4"/>
            <w:vAlign w:val="center"/>
          </w:tcPr>
          <w:p w14:paraId="13F5079A" w14:textId="77777777" w:rsidR="00990B14" w:rsidRDefault="00000000">
            <w:pPr>
              <w:keepNext/>
              <w:spacing w:before="20" w:after="20"/>
              <w:jc w:val="center"/>
            </w:pPr>
            <w:r>
              <w:rPr>
                <w:b/>
                <w:bCs/>
                <w:i/>
                <w:iCs/>
                <w:color w:val="FFFFFF"/>
                <w:sz w:val="18"/>
                <w:szCs w:val="18"/>
              </w:rPr>
              <w:t>HAA</w:t>
            </w:r>
          </w:p>
        </w:tc>
        <w:tc>
          <w:tcPr>
            <w:tcW w:w="1250" w:type="dxa"/>
            <w:gridSpan w:val="2"/>
            <w:shd w:val="clear" w:color="auto" w:fill="4472C4"/>
            <w:vAlign w:val="center"/>
          </w:tcPr>
          <w:p w14:paraId="3A316B73" w14:textId="77777777" w:rsidR="00990B14" w:rsidRDefault="00000000">
            <w:pPr>
              <w:keepNext/>
              <w:spacing w:before="20" w:after="20"/>
              <w:jc w:val="center"/>
            </w:pPr>
            <w:r>
              <w:rPr>
                <w:b/>
                <w:bCs/>
                <w:i/>
                <w:iCs/>
                <w:color w:val="FFFFFF"/>
                <w:sz w:val="18"/>
                <w:szCs w:val="18"/>
              </w:rPr>
              <w:t>HTG</w:t>
            </w:r>
          </w:p>
        </w:tc>
        <w:tc>
          <w:tcPr>
            <w:tcW w:w="1250" w:type="dxa"/>
            <w:gridSpan w:val="2"/>
            <w:shd w:val="clear" w:color="auto" w:fill="4472C4"/>
            <w:vAlign w:val="center"/>
          </w:tcPr>
          <w:p w14:paraId="14F3DFB7" w14:textId="77777777" w:rsidR="00990B14" w:rsidRDefault="00000000">
            <w:pPr>
              <w:keepNext/>
              <w:spacing w:before="20" w:after="20"/>
              <w:jc w:val="center"/>
            </w:pPr>
            <w:r>
              <w:rPr>
                <w:b/>
                <w:bCs/>
                <w:i/>
                <w:iCs/>
                <w:color w:val="FFFFFF"/>
                <w:sz w:val="18"/>
                <w:szCs w:val="18"/>
              </w:rPr>
              <w:t>HIP</w:t>
            </w:r>
          </w:p>
        </w:tc>
        <w:tc>
          <w:tcPr>
            <w:tcW w:w="1250" w:type="dxa"/>
            <w:shd w:val="clear" w:color="auto" w:fill="4472C4"/>
            <w:vAlign w:val="center"/>
          </w:tcPr>
          <w:p w14:paraId="6ADA2726" w14:textId="77777777" w:rsidR="00990B14" w:rsidRDefault="00000000">
            <w:pPr>
              <w:keepNext/>
              <w:spacing w:before="20" w:after="20"/>
              <w:jc w:val="center"/>
            </w:pPr>
            <w:r>
              <w:rPr>
                <w:b/>
                <w:bCs/>
                <w:i/>
                <w:iCs/>
                <w:color w:val="FFFFFF"/>
                <w:sz w:val="18"/>
                <w:szCs w:val="18"/>
              </w:rPr>
              <w:t>HE</w:t>
            </w:r>
          </w:p>
        </w:tc>
        <w:tc>
          <w:tcPr>
            <w:tcW w:w="1250" w:type="dxa"/>
            <w:gridSpan w:val="4"/>
            <w:shd w:val="clear" w:color="auto" w:fill="4472C4"/>
            <w:vAlign w:val="center"/>
          </w:tcPr>
          <w:p w14:paraId="4E1CDB6F" w14:textId="77777777" w:rsidR="00990B14" w:rsidRDefault="00000000">
            <w:pPr>
              <w:keepNext/>
              <w:spacing w:before="20" w:after="20"/>
              <w:jc w:val="center"/>
            </w:pPr>
            <w:r>
              <w:rPr>
                <w:b/>
                <w:bCs/>
                <w:i/>
                <w:iCs/>
                <w:color w:val="FFFFFF"/>
                <w:sz w:val="18"/>
                <w:szCs w:val="18"/>
              </w:rPr>
              <w:t>TOTAL</w:t>
            </w:r>
          </w:p>
        </w:tc>
        <w:tc>
          <w:tcPr>
            <w:tcW w:w="1907" w:type="dxa"/>
            <w:vMerge w:val="restart"/>
            <w:shd w:val="clear" w:color="auto" w:fill="D9E2F3"/>
            <w:vAlign w:val="center"/>
          </w:tcPr>
          <w:p w14:paraId="441B0A44" w14:textId="77777777" w:rsidR="00990B14" w:rsidRDefault="00000000">
            <w:pPr>
              <w:spacing w:before="20" w:after="20"/>
              <w:jc w:val="center"/>
            </w:pPr>
            <w:r>
              <w:rPr>
                <w:sz w:val="18"/>
                <w:szCs w:val="18"/>
              </w:rPr>
              <w:t>8</w:t>
            </w:r>
          </w:p>
        </w:tc>
      </w:tr>
      <w:tr w:rsidR="00990B14" w14:paraId="03F4227C" w14:textId="77777777">
        <w:trPr>
          <w:cantSplit/>
          <w:jc w:val="center"/>
        </w:trPr>
        <w:tc>
          <w:tcPr>
            <w:tcW w:w="1249" w:type="dxa"/>
            <w:shd w:val="clear" w:color="auto" w:fill="D9E2F3"/>
            <w:vAlign w:val="center"/>
          </w:tcPr>
          <w:p w14:paraId="41575C2A" w14:textId="77777777" w:rsidR="00990B14" w:rsidRDefault="00000000">
            <w:pPr>
              <w:spacing w:before="20" w:after="20"/>
              <w:jc w:val="center"/>
            </w:pPr>
            <w:r>
              <w:rPr>
                <w:sz w:val="18"/>
                <w:szCs w:val="18"/>
              </w:rPr>
              <w:t>160</w:t>
            </w:r>
          </w:p>
        </w:tc>
        <w:tc>
          <w:tcPr>
            <w:tcW w:w="1249" w:type="dxa"/>
            <w:gridSpan w:val="2"/>
            <w:shd w:val="clear" w:color="auto" w:fill="D9E2F3"/>
            <w:vAlign w:val="center"/>
          </w:tcPr>
          <w:p w14:paraId="4F7780FD" w14:textId="77777777" w:rsidR="00990B14" w:rsidRDefault="00000000">
            <w:pPr>
              <w:spacing w:before="20" w:after="20"/>
              <w:jc w:val="center"/>
            </w:pPr>
            <w:r>
              <w:rPr>
                <w:sz w:val="18"/>
                <w:szCs w:val="18"/>
              </w:rPr>
              <w:t>16</w:t>
            </w:r>
          </w:p>
        </w:tc>
        <w:tc>
          <w:tcPr>
            <w:tcW w:w="1250" w:type="dxa"/>
            <w:gridSpan w:val="2"/>
            <w:shd w:val="clear" w:color="auto" w:fill="D9E2F3"/>
            <w:vAlign w:val="center"/>
          </w:tcPr>
          <w:p w14:paraId="369C398F" w14:textId="77777777" w:rsidR="00990B14" w:rsidRDefault="00000000">
            <w:pPr>
              <w:spacing w:before="20" w:after="20"/>
              <w:jc w:val="center"/>
            </w:pPr>
            <w:r>
              <w:rPr>
                <w:sz w:val="18"/>
                <w:szCs w:val="18"/>
              </w:rPr>
              <w:t>32</w:t>
            </w:r>
          </w:p>
        </w:tc>
        <w:tc>
          <w:tcPr>
            <w:tcW w:w="1250" w:type="dxa"/>
            <w:gridSpan w:val="2"/>
            <w:shd w:val="clear" w:color="auto" w:fill="D9E2F3"/>
            <w:vAlign w:val="center"/>
          </w:tcPr>
          <w:p w14:paraId="22590003" w14:textId="77777777" w:rsidR="00990B14" w:rsidRDefault="00000000">
            <w:pPr>
              <w:spacing w:before="20" w:after="20"/>
              <w:jc w:val="center"/>
            </w:pPr>
            <w:r>
              <w:rPr>
                <w:sz w:val="18"/>
                <w:szCs w:val="18"/>
              </w:rPr>
              <w:t>16</w:t>
            </w:r>
          </w:p>
        </w:tc>
        <w:tc>
          <w:tcPr>
            <w:tcW w:w="1250" w:type="dxa"/>
            <w:shd w:val="clear" w:color="auto" w:fill="D9E2F3"/>
            <w:vAlign w:val="center"/>
          </w:tcPr>
          <w:p w14:paraId="4B623D7E" w14:textId="77777777" w:rsidR="00990B14" w:rsidRDefault="00000000">
            <w:pPr>
              <w:spacing w:before="20" w:after="20"/>
              <w:jc w:val="center"/>
            </w:pPr>
            <w:r>
              <w:rPr>
                <w:sz w:val="18"/>
                <w:szCs w:val="18"/>
              </w:rPr>
              <w:t>16</w:t>
            </w:r>
          </w:p>
        </w:tc>
        <w:tc>
          <w:tcPr>
            <w:tcW w:w="1250" w:type="dxa"/>
            <w:gridSpan w:val="4"/>
            <w:shd w:val="clear" w:color="auto" w:fill="D9E2F3"/>
            <w:vAlign w:val="center"/>
          </w:tcPr>
          <w:p w14:paraId="12DDF2C7" w14:textId="77777777" w:rsidR="00990B14" w:rsidRDefault="00000000">
            <w:pPr>
              <w:spacing w:before="20" w:after="20"/>
              <w:jc w:val="center"/>
            </w:pPr>
            <w:r>
              <w:rPr>
                <w:sz w:val="18"/>
                <w:szCs w:val="18"/>
              </w:rPr>
              <w:t>240</w:t>
            </w:r>
          </w:p>
        </w:tc>
        <w:tc>
          <w:tcPr>
            <w:tcW w:w="1907" w:type="dxa"/>
            <w:vMerge/>
            <w:shd w:val="clear" w:color="auto" w:fill="D9E2F3"/>
            <w:vAlign w:val="center"/>
          </w:tcPr>
          <w:p w14:paraId="67B77443" w14:textId="77777777" w:rsidR="00990B14" w:rsidRDefault="00990B14">
            <w:pPr>
              <w:spacing w:before="20" w:after="20"/>
            </w:pPr>
          </w:p>
        </w:tc>
      </w:tr>
      <w:tr w:rsidR="00990B14" w14:paraId="4D561E9D" w14:textId="77777777">
        <w:trPr>
          <w:cantSplit/>
          <w:jc w:val="center"/>
        </w:trPr>
        <w:tc>
          <w:tcPr>
            <w:tcW w:w="9405" w:type="dxa"/>
            <w:gridSpan w:val="13"/>
            <w:shd w:val="clear" w:color="auto" w:fill="4472C4"/>
            <w:vAlign w:val="center"/>
          </w:tcPr>
          <w:p w14:paraId="47DB90FD" w14:textId="77777777" w:rsidR="00990B14" w:rsidRDefault="00000000">
            <w:pPr>
              <w:keepNext/>
              <w:spacing w:before="20" w:after="20"/>
              <w:jc w:val="center"/>
            </w:pPr>
            <w:r>
              <w:rPr>
                <w:b/>
                <w:bCs/>
                <w:i/>
                <w:iCs/>
                <w:color w:val="FFFFFF"/>
                <w:sz w:val="18"/>
                <w:szCs w:val="18"/>
              </w:rPr>
              <w:t>Unidad de Competencia</w:t>
            </w:r>
          </w:p>
        </w:tc>
      </w:tr>
      <w:tr w:rsidR="00990B14" w14:paraId="3DC30BE7" w14:textId="77777777">
        <w:trPr>
          <w:cantSplit/>
          <w:jc w:val="center"/>
        </w:trPr>
        <w:tc>
          <w:tcPr>
            <w:tcW w:w="9405" w:type="dxa"/>
            <w:gridSpan w:val="13"/>
            <w:shd w:val="clear" w:color="auto" w:fill="D9E2F3"/>
            <w:vAlign w:val="center"/>
          </w:tcPr>
          <w:p w14:paraId="7BE14BAB" w14:textId="77777777" w:rsidR="00990B14" w:rsidRDefault="00000000">
            <w:pPr>
              <w:spacing w:before="20" w:after="20"/>
              <w:jc w:val="both"/>
            </w:pPr>
            <w:r>
              <w:rPr>
                <w:sz w:val="18"/>
                <w:szCs w:val="18"/>
              </w:rPr>
              <w:t>Registra las transacciones contables de los bancos y las entidades financieras del Sistema Financiero Nacional para la elaboración de estados financieros conforme al Manual de Cuentas de la Autoridad de Supervisión del Sistema Financiero y a las Normas de Contabilidad Generalmente Aceptadas en Bolivia, de las operaciones activas, pasivas, de servicio y financieras que realiza un banco.</w:t>
            </w:r>
          </w:p>
          <w:p w14:paraId="0D20C8C6" w14:textId="77777777" w:rsidR="00990B14" w:rsidRDefault="00000000">
            <w:pPr>
              <w:spacing w:before="20" w:after="20"/>
              <w:jc w:val="both"/>
            </w:pPr>
            <w:r>
              <w:rPr>
                <w:sz w:val="18"/>
                <w:szCs w:val="18"/>
              </w:rPr>
              <w:t>Describe la estructura del sistema financiero y la banca digital con transparencia, rigor técnico, prevención de la legitimación de ganancias ilícitas y apego a la normativa regulatoria y legal vigente en el país.</w:t>
            </w:r>
          </w:p>
        </w:tc>
      </w:tr>
      <w:tr w:rsidR="00990B14" w14:paraId="3785F6F9" w14:textId="77777777">
        <w:trPr>
          <w:cantSplit/>
          <w:jc w:val="center"/>
        </w:trPr>
        <w:tc>
          <w:tcPr>
            <w:tcW w:w="9405" w:type="dxa"/>
            <w:gridSpan w:val="13"/>
            <w:shd w:val="clear" w:color="auto" w:fill="D9E2F3"/>
            <w:vAlign w:val="center"/>
          </w:tcPr>
          <w:p w14:paraId="7EAC6AB1" w14:textId="77777777" w:rsidR="00990B14" w:rsidRDefault="00000000">
            <w:pPr>
              <w:spacing w:before="20" w:after="20"/>
              <w:jc w:val="both"/>
            </w:pPr>
            <w:r>
              <w:rPr>
                <w:b/>
                <w:bCs/>
                <w:i/>
                <w:iCs/>
                <w:sz w:val="18"/>
                <w:szCs w:val="18"/>
              </w:rPr>
              <w:t xml:space="preserve">Elemento de competencia 1: </w:t>
            </w:r>
            <w:r>
              <w:rPr>
                <w:sz w:val="18"/>
                <w:szCs w:val="18"/>
              </w:rPr>
              <w:t>Describe la estructura del Sistema Financiero Nacional, la clasificación de los bancos y los requisitos de constitución y funcionamiento de las entidades financieras, de acuerdo con la normativa de la Autoridad de Supervisión del Sistema Financiero, y registra las operaciones de disponibilidades y de la cámara de compensación de una entidad financiera, interpretando el saldo de las cuentas y su exposición.</w:t>
            </w:r>
          </w:p>
        </w:tc>
      </w:tr>
      <w:tr w:rsidR="00990B14" w14:paraId="3F149AF3" w14:textId="77777777">
        <w:trPr>
          <w:cantSplit/>
          <w:jc w:val="center"/>
        </w:trPr>
        <w:tc>
          <w:tcPr>
            <w:tcW w:w="3133" w:type="dxa"/>
            <w:gridSpan w:val="4"/>
            <w:shd w:val="clear" w:color="auto" w:fill="4472C4"/>
            <w:vAlign w:val="center"/>
          </w:tcPr>
          <w:p w14:paraId="29606CE0"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733D8C9D"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1B484891" w14:textId="77777777" w:rsidR="00990B14" w:rsidRDefault="00000000">
            <w:pPr>
              <w:keepNext/>
              <w:spacing w:before="20" w:after="20"/>
              <w:jc w:val="center"/>
            </w:pPr>
            <w:r>
              <w:rPr>
                <w:b/>
                <w:bCs/>
                <w:i/>
                <w:iCs/>
                <w:color w:val="FFFFFF"/>
                <w:sz w:val="18"/>
                <w:szCs w:val="18"/>
              </w:rPr>
              <w:t>Evidencias de producto</w:t>
            </w:r>
          </w:p>
        </w:tc>
      </w:tr>
      <w:tr w:rsidR="00990B14" w14:paraId="11226D28" w14:textId="77777777">
        <w:trPr>
          <w:cantSplit/>
          <w:jc w:val="center"/>
        </w:trPr>
        <w:tc>
          <w:tcPr>
            <w:tcW w:w="3133" w:type="dxa"/>
            <w:gridSpan w:val="4"/>
            <w:vMerge w:val="restart"/>
            <w:shd w:val="clear" w:color="auto" w:fill="D9E2F3"/>
            <w:vAlign w:val="center"/>
          </w:tcPr>
          <w:p w14:paraId="14891F91" w14:textId="77777777" w:rsidR="00990B14" w:rsidRDefault="00000000">
            <w:pPr>
              <w:spacing w:before="20" w:after="20"/>
              <w:jc w:val="both"/>
            </w:pPr>
            <w:r>
              <w:rPr>
                <w:sz w:val="18"/>
                <w:szCs w:val="18"/>
              </w:rPr>
              <w:t>1. Describe la estructura del Sistema Financiero Nacional, la normativa y los manuales de la ASFI aplicables, y los requisitos y la forma de constitución de una entidad financiera, exponiendo los rubros en los estados financieros.</w:t>
            </w:r>
          </w:p>
        </w:tc>
        <w:tc>
          <w:tcPr>
            <w:tcW w:w="3135" w:type="dxa"/>
            <w:gridSpan w:val="5"/>
            <w:shd w:val="clear" w:color="auto" w:fill="D9E2F3"/>
            <w:vAlign w:val="center"/>
          </w:tcPr>
          <w:p w14:paraId="6B8CB57F" w14:textId="77777777" w:rsidR="00990B14" w:rsidRDefault="00000000">
            <w:pPr>
              <w:spacing w:before="20" w:after="20"/>
              <w:jc w:val="both"/>
            </w:pPr>
            <w:r>
              <w:rPr>
                <w:sz w:val="18"/>
                <w:szCs w:val="18"/>
              </w:rPr>
              <w:t>1.1 Elabora en equipo el esquema del sistema financiero y describe, según la normativa aplicable de la ASFI, la forma de constitución, los requisitos, el capital mínimo y la licencia de funcionamiento de una entidad financiera.</w:t>
            </w:r>
          </w:p>
        </w:tc>
        <w:tc>
          <w:tcPr>
            <w:tcW w:w="3137" w:type="dxa"/>
            <w:gridSpan w:val="4"/>
            <w:shd w:val="clear" w:color="auto" w:fill="D9E2F3"/>
            <w:vAlign w:val="center"/>
          </w:tcPr>
          <w:p w14:paraId="101BAF58" w14:textId="77777777" w:rsidR="00990B14" w:rsidRDefault="00000000">
            <w:pPr>
              <w:spacing w:before="20" w:after="20"/>
              <w:jc w:val="both"/>
            </w:pPr>
            <w:r>
              <w:rPr>
                <w:b/>
                <w:bCs/>
                <w:sz w:val="18"/>
                <w:szCs w:val="18"/>
              </w:rPr>
              <w:t xml:space="preserve">Producto 1: </w:t>
            </w:r>
            <w:r>
              <w:rPr>
                <w:sz w:val="18"/>
                <w:szCs w:val="18"/>
              </w:rPr>
              <w:t>Esquema del sistema financiero boliviano y de la constitución de una entidad financiera según la normativa aplicable de la ASFI.</w:t>
            </w:r>
          </w:p>
        </w:tc>
      </w:tr>
      <w:tr w:rsidR="00990B14" w14:paraId="7C796DE1" w14:textId="77777777">
        <w:trPr>
          <w:cantSplit/>
          <w:jc w:val="center"/>
        </w:trPr>
        <w:tc>
          <w:tcPr>
            <w:tcW w:w="3133" w:type="dxa"/>
            <w:gridSpan w:val="4"/>
            <w:vMerge/>
            <w:shd w:val="clear" w:color="auto" w:fill="D9E2F3"/>
            <w:vAlign w:val="center"/>
          </w:tcPr>
          <w:p w14:paraId="70C2551F" w14:textId="77777777" w:rsidR="00990B14" w:rsidRDefault="00990B14">
            <w:pPr>
              <w:spacing w:before="20" w:after="20"/>
            </w:pPr>
          </w:p>
        </w:tc>
        <w:tc>
          <w:tcPr>
            <w:tcW w:w="3135" w:type="dxa"/>
            <w:gridSpan w:val="5"/>
            <w:shd w:val="clear" w:color="auto" w:fill="D9E2F3"/>
            <w:vAlign w:val="center"/>
          </w:tcPr>
          <w:p w14:paraId="6A486BF0" w14:textId="77777777" w:rsidR="00990B14" w:rsidRDefault="00000000">
            <w:pPr>
              <w:spacing w:before="20" w:after="20"/>
              <w:jc w:val="both"/>
            </w:pPr>
            <w:r>
              <w:rPr>
                <w:sz w:val="18"/>
                <w:szCs w:val="18"/>
              </w:rPr>
              <w:t>1.2 Aplica el Manual de Cuentas y las normas de valuación de la ASFI (grupos, cuentas y subcuentas) y expone en los estados financieros los diferentes rubros en un caso práctico.</w:t>
            </w:r>
          </w:p>
        </w:tc>
        <w:tc>
          <w:tcPr>
            <w:tcW w:w="3137" w:type="dxa"/>
            <w:gridSpan w:val="4"/>
            <w:shd w:val="clear" w:color="auto" w:fill="D9E2F3"/>
            <w:vAlign w:val="center"/>
          </w:tcPr>
          <w:p w14:paraId="7761C2C1" w14:textId="77777777" w:rsidR="00990B14" w:rsidRDefault="00000000">
            <w:pPr>
              <w:spacing w:before="20" w:after="20"/>
              <w:jc w:val="both"/>
            </w:pPr>
            <w:r>
              <w:rPr>
                <w:b/>
                <w:bCs/>
                <w:sz w:val="18"/>
                <w:szCs w:val="18"/>
              </w:rPr>
              <w:t xml:space="preserve">Producto 2: </w:t>
            </w:r>
            <w:r>
              <w:rPr>
                <w:sz w:val="18"/>
                <w:szCs w:val="18"/>
              </w:rPr>
              <w:t>Exposición en los estados financieros de los diferentes rubros expuestos en los manuales de la ASFI.</w:t>
            </w:r>
          </w:p>
        </w:tc>
      </w:tr>
      <w:tr w:rsidR="00990B14" w14:paraId="2DF6CFFD" w14:textId="77777777">
        <w:trPr>
          <w:cantSplit/>
          <w:jc w:val="center"/>
        </w:trPr>
        <w:tc>
          <w:tcPr>
            <w:tcW w:w="3133" w:type="dxa"/>
            <w:gridSpan w:val="4"/>
            <w:vMerge w:val="restart"/>
            <w:shd w:val="clear" w:color="auto" w:fill="D9E2F3"/>
            <w:vAlign w:val="center"/>
          </w:tcPr>
          <w:p w14:paraId="59795609" w14:textId="77777777" w:rsidR="00990B14" w:rsidRDefault="00000000">
            <w:pPr>
              <w:spacing w:before="20" w:after="20"/>
              <w:jc w:val="both"/>
            </w:pPr>
            <w:r>
              <w:rPr>
                <w:sz w:val="18"/>
                <w:szCs w:val="18"/>
              </w:rPr>
              <w:t>2. Registra las operaciones generales y rutinarias de una entidad financiera (disponibilidades y cámara de compensación), interpretando sus saldos, regularizando faltantes y sobrantes de caja y liquidando cheques y pagos electrónicos, y las expone en los estados financieros.</w:t>
            </w:r>
          </w:p>
        </w:tc>
        <w:tc>
          <w:tcPr>
            <w:tcW w:w="3135" w:type="dxa"/>
            <w:gridSpan w:val="5"/>
            <w:shd w:val="clear" w:color="auto" w:fill="D9E2F3"/>
            <w:vAlign w:val="center"/>
          </w:tcPr>
          <w:p w14:paraId="1EE67681" w14:textId="77777777" w:rsidR="00990B14" w:rsidRDefault="00000000">
            <w:pPr>
              <w:spacing w:before="20" w:after="20"/>
              <w:jc w:val="both"/>
            </w:pPr>
            <w:r>
              <w:rPr>
                <w:sz w:val="18"/>
                <w:szCs w:val="18"/>
              </w:rPr>
              <w:t>2.1 Desarrolla en equipo, en aula, prácticas de disponibilidades y expone sus saldos en los estados financieros.</w:t>
            </w:r>
          </w:p>
        </w:tc>
        <w:tc>
          <w:tcPr>
            <w:tcW w:w="3137" w:type="dxa"/>
            <w:gridSpan w:val="4"/>
            <w:shd w:val="clear" w:color="auto" w:fill="D9E2F3"/>
            <w:vAlign w:val="center"/>
          </w:tcPr>
          <w:p w14:paraId="0A5D0789" w14:textId="77777777" w:rsidR="00990B14" w:rsidRDefault="00000000">
            <w:pPr>
              <w:spacing w:before="20" w:after="20"/>
              <w:jc w:val="both"/>
            </w:pPr>
            <w:r>
              <w:rPr>
                <w:b/>
                <w:bCs/>
                <w:sz w:val="18"/>
                <w:szCs w:val="18"/>
              </w:rPr>
              <w:t xml:space="preserve">Producto 3: </w:t>
            </w:r>
            <w:r>
              <w:rPr>
                <w:sz w:val="18"/>
                <w:szCs w:val="18"/>
              </w:rPr>
              <w:t>Práctica de disponibilidades con su respectiva exposición en los estados financieros.</w:t>
            </w:r>
          </w:p>
        </w:tc>
      </w:tr>
      <w:tr w:rsidR="00990B14" w14:paraId="1D9FBEF9" w14:textId="77777777">
        <w:trPr>
          <w:cantSplit/>
          <w:jc w:val="center"/>
        </w:trPr>
        <w:tc>
          <w:tcPr>
            <w:tcW w:w="3133" w:type="dxa"/>
            <w:gridSpan w:val="4"/>
            <w:vMerge/>
            <w:shd w:val="clear" w:color="auto" w:fill="D9E2F3"/>
            <w:vAlign w:val="center"/>
          </w:tcPr>
          <w:p w14:paraId="7095DFBE" w14:textId="77777777" w:rsidR="00990B14" w:rsidRDefault="00990B14">
            <w:pPr>
              <w:spacing w:before="20" w:after="20"/>
            </w:pPr>
          </w:p>
        </w:tc>
        <w:tc>
          <w:tcPr>
            <w:tcW w:w="3135" w:type="dxa"/>
            <w:gridSpan w:val="5"/>
            <w:shd w:val="clear" w:color="auto" w:fill="D9E2F3"/>
            <w:vAlign w:val="center"/>
          </w:tcPr>
          <w:p w14:paraId="40B57D20" w14:textId="77777777" w:rsidR="00990B14" w:rsidRDefault="00000000">
            <w:pPr>
              <w:spacing w:before="20" w:after="20"/>
              <w:jc w:val="both"/>
            </w:pPr>
            <w:r>
              <w:rPr>
                <w:sz w:val="18"/>
                <w:szCs w:val="18"/>
              </w:rPr>
              <w:t>2.2 Elabora en equipo la práctica de registros de la cámara de compensación (primera y segunda cámara), cuadros, y expone sus saldos en los estados financieros.</w:t>
            </w:r>
          </w:p>
        </w:tc>
        <w:tc>
          <w:tcPr>
            <w:tcW w:w="3137" w:type="dxa"/>
            <w:gridSpan w:val="4"/>
            <w:shd w:val="clear" w:color="auto" w:fill="D9E2F3"/>
            <w:vAlign w:val="center"/>
          </w:tcPr>
          <w:p w14:paraId="0D8E0D45" w14:textId="77777777" w:rsidR="00990B14" w:rsidRDefault="00000000">
            <w:pPr>
              <w:spacing w:before="20" w:after="20"/>
              <w:jc w:val="both"/>
            </w:pPr>
            <w:r>
              <w:rPr>
                <w:b/>
                <w:bCs/>
                <w:sz w:val="18"/>
                <w:szCs w:val="18"/>
              </w:rPr>
              <w:t xml:space="preserve">Producto 4: </w:t>
            </w:r>
            <w:r>
              <w:rPr>
                <w:sz w:val="18"/>
                <w:szCs w:val="18"/>
              </w:rPr>
              <w:t>Práctica de registros de la cámara de compensación con tablas y cuadros, y su exposición en los estados financieros.</w:t>
            </w:r>
          </w:p>
        </w:tc>
      </w:tr>
      <w:tr w:rsidR="00990B14" w14:paraId="609078AE" w14:textId="77777777">
        <w:trPr>
          <w:cantSplit/>
          <w:jc w:val="center"/>
        </w:trPr>
        <w:tc>
          <w:tcPr>
            <w:tcW w:w="9405" w:type="dxa"/>
            <w:gridSpan w:val="13"/>
            <w:shd w:val="clear" w:color="auto" w:fill="4472C4"/>
            <w:vAlign w:val="center"/>
          </w:tcPr>
          <w:p w14:paraId="146E250F" w14:textId="77777777" w:rsidR="00990B14" w:rsidRDefault="00000000">
            <w:pPr>
              <w:keepNext/>
              <w:spacing w:before="20" w:after="20"/>
              <w:jc w:val="center"/>
            </w:pPr>
            <w:r>
              <w:rPr>
                <w:b/>
                <w:bCs/>
                <w:i/>
                <w:iCs/>
                <w:color w:val="FFFFFF"/>
                <w:sz w:val="18"/>
                <w:szCs w:val="18"/>
              </w:rPr>
              <w:t>Evidencias de conocimiento</w:t>
            </w:r>
          </w:p>
        </w:tc>
      </w:tr>
      <w:tr w:rsidR="00990B14" w14:paraId="3B26E880" w14:textId="77777777">
        <w:trPr>
          <w:cantSplit/>
          <w:jc w:val="center"/>
        </w:trPr>
        <w:tc>
          <w:tcPr>
            <w:tcW w:w="2349" w:type="dxa"/>
            <w:gridSpan w:val="2"/>
            <w:shd w:val="clear" w:color="auto" w:fill="4472C4"/>
            <w:vAlign w:val="center"/>
          </w:tcPr>
          <w:p w14:paraId="217288F3"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41FC8EAB" w14:textId="77777777" w:rsidR="00990B14" w:rsidRDefault="00000000">
            <w:pPr>
              <w:keepNext/>
              <w:spacing w:before="20" w:after="20"/>
              <w:jc w:val="both"/>
            </w:pPr>
            <w:r>
              <w:rPr>
                <w:b/>
                <w:bCs/>
                <w:i/>
                <w:iCs/>
                <w:color w:val="FFFFFF"/>
                <w:sz w:val="18"/>
                <w:szCs w:val="18"/>
              </w:rPr>
              <w:t>Contenidos</w:t>
            </w:r>
          </w:p>
          <w:p w14:paraId="10FA1F66"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66934765" w14:textId="77777777" w:rsidR="00990B14" w:rsidRDefault="00000000">
            <w:pPr>
              <w:keepNext/>
              <w:spacing w:before="20" w:after="20"/>
              <w:jc w:val="center"/>
            </w:pPr>
            <w:r>
              <w:rPr>
                <w:b/>
                <w:bCs/>
                <w:i/>
                <w:iCs/>
                <w:color w:val="FFFFFF"/>
                <w:sz w:val="18"/>
                <w:szCs w:val="18"/>
              </w:rPr>
              <w:t>Conocimientos circunstanciales</w:t>
            </w:r>
          </w:p>
        </w:tc>
      </w:tr>
      <w:tr w:rsidR="00990B14" w14:paraId="0F07A228" w14:textId="77777777">
        <w:trPr>
          <w:jc w:val="center"/>
        </w:trPr>
        <w:tc>
          <w:tcPr>
            <w:tcW w:w="2349" w:type="dxa"/>
            <w:gridSpan w:val="2"/>
            <w:shd w:val="clear" w:color="auto" w:fill="D9E2F3"/>
          </w:tcPr>
          <w:p w14:paraId="5EB2452C" w14:textId="77777777" w:rsidR="00990B14" w:rsidRDefault="00000000">
            <w:pPr>
              <w:spacing w:before="20" w:after="40"/>
              <w:jc w:val="both"/>
            </w:pPr>
            <w:r>
              <w:rPr>
                <w:sz w:val="18"/>
                <w:szCs w:val="18"/>
              </w:rPr>
              <w:t>Tema 1: El Sistema Financiero</w:t>
            </w:r>
          </w:p>
          <w:p w14:paraId="78149E8B" w14:textId="77777777" w:rsidR="00990B14" w:rsidRDefault="00000000">
            <w:pPr>
              <w:spacing w:before="20" w:after="40"/>
              <w:jc w:val="both"/>
            </w:pPr>
            <w:r>
              <w:rPr>
                <w:sz w:val="18"/>
                <w:szCs w:val="18"/>
              </w:rPr>
              <w:t>Tema 2: Bancos</w:t>
            </w:r>
          </w:p>
          <w:p w14:paraId="4A133A79" w14:textId="77777777" w:rsidR="00990B14" w:rsidRDefault="00000000">
            <w:pPr>
              <w:spacing w:before="20" w:after="40"/>
              <w:jc w:val="both"/>
            </w:pPr>
            <w:r>
              <w:rPr>
                <w:sz w:val="18"/>
                <w:szCs w:val="18"/>
              </w:rPr>
              <w:t>Tema 3: Normas y Políticas Contables para Bancos y Entidades Financieras</w:t>
            </w:r>
          </w:p>
          <w:p w14:paraId="5EB71716" w14:textId="77777777" w:rsidR="00990B14" w:rsidRDefault="00000000">
            <w:pPr>
              <w:spacing w:before="20" w:after="40"/>
              <w:jc w:val="both"/>
            </w:pPr>
            <w:r>
              <w:rPr>
                <w:sz w:val="18"/>
                <w:szCs w:val="18"/>
              </w:rPr>
              <w:t>Tema 4: Constitución de Bancos y Entidades Financieras</w:t>
            </w:r>
          </w:p>
          <w:p w14:paraId="30FD8CBF" w14:textId="77777777" w:rsidR="00990B14" w:rsidRDefault="00000000">
            <w:pPr>
              <w:spacing w:before="20" w:after="40"/>
              <w:jc w:val="both"/>
            </w:pPr>
            <w:r>
              <w:rPr>
                <w:sz w:val="18"/>
                <w:szCs w:val="18"/>
              </w:rPr>
              <w:t>Tema 5: Disponibilidades</w:t>
            </w:r>
          </w:p>
          <w:p w14:paraId="0A0D487E" w14:textId="77777777" w:rsidR="00990B14" w:rsidRDefault="00000000">
            <w:pPr>
              <w:spacing w:before="20" w:after="40"/>
              <w:jc w:val="both"/>
            </w:pPr>
            <w:r>
              <w:rPr>
                <w:sz w:val="18"/>
                <w:szCs w:val="18"/>
              </w:rPr>
              <w:t>Tema 6: Cámara de Compensación</w:t>
            </w:r>
          </w:p>
        </w:tc>
        <w:tc>
          <w:tcPr>
            <w:tcW w:w="4304" w:type="dxa"/>
            <w:gridSpan w:val="8"/>
            <w:shd w:val="clear" w:color="auto" w:fill="D9E2F3"/>
          </w:tcPr>
          <w:p w14:paraId="3AA2B9BA" w14:textId="77777777" w:rsidR="00990B14" w:rsidRDefault="00000000">
            <w:pPr>
              <w:spacing w:before="60" w:after="20"/>
              <w:jc w:val="both"/>
            </w:pPr>
            <w:r>
              <w:rPr>
                <w:b/>
                <w:bCs/>
                <w:sz w:val="18"/>
                <w:szCs w:val="18"/>
              </w:rPr>
              <w:t>Tema 1:</w:t>
            </w:r>
          </w:p>
          <w:p w14:paraId="0FBBF801" w14:textId="77777777" w:rsidR="00990B14" w:rsidRDefault="00000000">
            <w:pPr>
              <w:spacing w:after="40"/>
              <w:jc w:val="both"/>
            </w:pPr>
            <w:r>
              <w:rPr>
                <w:sz w:val="18"/>
                <w:szCs w:val="18"/>
              </w:rPr>
              <w:t>Introducción y concepto del sistema financiero. (C)</w:t>
            </w:r>
          </w:p>
          <w:p w14:paraId="3925F343" w14:textId="77777777" w:rsidR="00990B14" w:rsidRDefault="00000000">
            <w:pPr>
              <w:spacing w:after="40"/>
              <w:jc w:val="both"/>
            </w:pPr>
            <w:r>
              <w:rPr>
                <w:sz w:val="18"/>
                <w:szCs w:val="18"/>
              </w:rPr>
              <w:t>Elementos del sistema financiero. (C)</w:t>
            </w:r>
          </w:p>
          <w:p w14:paraId="7FF23451" w14:textId="77777777" w:rsidR="00990B14" w:rsidRDefault="00000000">
            <w:pPr>
              <w:spacing w:after="40"/>
              <w:jc w:val="both"/>
            </w:pPr>
            <w:r>
              <w:rPr>
                <w:sz w:val="18"/>
                <w:szCs w:val="18"/>
              </w:rPr>
              <w:t>Sistema de intermediación financiera. (C, A)</w:t>
            </w:r>
          </w:p>
          <w:p w14:paraId="09CE059C" w14:textId="77777777" w:rsidR="00990B14" w:rsidRDefault="00000000">
            <w:pPr>
              <w:spacing w:before="60" w:after="20"/>
              <w:jc w:val="both"/>
            </w:pPr>
            <w:r>
              <w:rPr>
                <w:b/>
                <w:bCs/>
                <w:sz w:val="18"/>
                <w:szCs w:val="18"/>
              </w:rPr>
              <w:t>Tema 2:</w:t>
            </w:r>
          </w:p>
          <w:p w14:paraId="3FB9E0A7" w14:textId="77777777" w:rsidR="00990B14" w:rsidRDefault="00000000">
            <w:pPr>
              <w:spacing w:after="40"/>
              <w:jc w:val="both"/>
            </w:pPr>
            <w:r>
              <w:rPr>
                <w:sz w:val="18"/>
                <w:szCs w:val="18"/>
              </w:rPr>
              <w:t>Introducción al concepto de banco y clasificación de la banca. (C)</w:t>
            </w:r>
          </w:p>
          <w:p w14:paraId="58EC3C3C" w14:textId="77777777" w:rsidR="00990B14" w:rsidRDefault="00000000">
            <w:pPr>
              <w:spacing w:after="40"/>
              <w:jc w:val="both"/>
            </w:pPr>
            <w:r>
              <w:rPr>
                <w:sz w:val="18"/>
                <w:szCs w:val="18"/>
              </w:rPr>
              <w:t>Clasificación de las entidades. (C)</w:t>
            </w:r>
          </w:p>
          <w:p w14:paraId="79CFB444" w14:textId="77777777" w:rsidR="00990B14" w:rsidRDefault="00000000">
            <w:pPr>
              <w:spacing w:after="40"/>
              <w:jc w:val="both"/>
            </w:pPr>
            <w:r>
              <w:rPr>
                <w:sz w:val="18"/>
                <w:szCs w:val="18"/>
              </w:rPr>
              <w:t>Operaciones de un banco, operaciones financieras y organización de las entidades financieras. (C)</w:t>
            </w:r>
          </w:p>
          <w:p w14:paraId="3043992D" w14:textId="77777777" w:rsidR="00990B14" w:rsidRDefault="00000000">
            <w:pPr>
              <w:spacing w:before="60" w:after="20"/>
              <w:jc w:val="both"/>
            </w:pPr>
            <w:r>
              <w:rPr>
                <w:b/>
                <w:bCs/>
                <w:sz w:val="18"/>
                <w:szCs w:val="18"/>
              </w:rPr>
              <w:t>Tema 3:</w:t>
            </w:r>
          </w:p>
          <w:p w14:paraId="2C583295" w14:textId="77777777" w:rsidR="00990B14" w:rsidRDefault="00000000">
            <w:pPr>
              <w:spacing w:after="40"/>
              <w:jc w:val="both"/>
            </w:pPr>
            <w:r>
              <w:rPr>
                <w:sz w:val="18"/>
                <w:szCs w:val="18"/>
              </w:rPr>
              <w:t>Definición de la contabilidad de bancos; documentación contable y manual de cuentas. (C, P)</w:t>
            </w:r>
          </w:p>
          <w:p w14:paraId="4E9952CC" w14:textId="77777777" w:rsidR="00990B14" w:rsidRDefault="00000000">
            <w:pPr>
              <w:spacing w:after="40"/>
              <w:jc w:val="both"/>
            </w:pPr>
            <w:r>
              <w:rPr>
                <w:sz w:val="18"/>
                <w:szCs w:val="18"/>
              </w:rPr>
              <w:t>Cierre de gestión, presentación de estados financieros, auditoría externa, publicación en prensa y memoria anual. (C)</w:t>
            </w:r>
          </w:p>
          <w:p w14:paraId="6B0A3FB0" w14:textId="77777777" w:rsidR="00990B14" w:rsidRDefault="00000000">
            <w:pPr>
              <w:spacing w:after="40"/>
              <w:jc w:val="both"/>
            </w:pPr>
            <w:r>
              <w:rPr>
                <w:sz w:val="18"/>
                <w:szCs w:val="18"/>
              </w:rPr>
              <w:t>Transparencia de la información y atención al consumidor financiero en el marco de la función social de los servicios financieros. (C, A)</w:t>
            </w:r>
          </w:p>
          <w:p w14:paraId="033A2C24" w14:textId="77777777" w:rsidR="00990B14" w:rsidRDefault="00000000">
            <w:pPr>
              <w:spacing w:after="40"/>
              <w:jc w:val="both"/>
            </w:pPr>
            <w:r>
              <w:rPr>
                <w:sz w:val="18"/>
                <w:szCs w:val="18"/>
              </w:rPr>
              <w:t>Normas contables; valuación de activos y pasivos en moneda extranjera y valuación de activos en moneda nacional. (C)</w:t>
            </w:r>
          </w:p>
          <w:p w14:paraId="69BC1573" w14:textId="77777777" w:rsidR="00990B14" w:rsidRDefault="00000000">
            <w:pPr>
              <w:spacing w:after="40"/>
              <w:jc w:val="both"/>
            </w:pPr>
            <w:r>
              <w:rPr>
                <w:sz w:val="18"/>
                <w:szCs w:val="18"/>
              </w:rPr>
              <w:t>Cálculo y exposición de productos por cobrar y cargos por pagar; asignación de costos. (P)</w:t>
            </w:r>
          </w:p>
          <w:p w14:paraId="6F8FDBB5" w14:textId="77777777" w:rsidR="00990B14" w:rsidRDefault="00000000">
            <w:pPr>
              <w:spacing w:after="40"/>
              <w:jc w:val="both"/>
            </w:pPr>
            <w:r>
              <w:rPr>
                <w:sz w:val="18"/>
                <w:szCs w:val="18"/>
              </w:rPr>
              <w:t>Consolidación de oficina central y sucursales; partidas pendientes de imputación. (C)</w:t>
            </w:r>
          </w:p>
          <w:p w14:paraId="7CEC940E" w14:textId="77777777" w:rsidR="00990B14" w:rsidRDefault="00000000">
            <w:pPr>
              <w:spacing w:before="60" w:after="20"/>
              <w:jc w:val="both"/>
            </w:pPr>
            <w:r>
              <w:rPr>
                <w:b/>
                <w:bCs/>
                <w:sz w:val="18"/>
                <w:szCs w:val="18"/>
              </w:rPr>
              <w:t>Tema 4:</w:t>
            </w:r>
          </w:p>
          <w:p w14:paraId="1AF8CD1B" w14:textId="77777777" w:rsidR="00990B14" w:rsidRDefault="00000000">
            <w:pPr>
              <w:spacing w:after="40"/>
              <w:jc w:val="both"/>
            </w:pPr>
            <w:r>
              <w:rPr>
                <w:sz w:val="18"/>
                <w:szCs w:val="18"/>
              </w:rPr>
              <w:t>Marco legal para la constitución y el funcionamiento de bancos y entidades financieras; requisitos de constitución y licencia de funcionamiento. (C)</w:t>
            </w:r>
          </w:p>
          <w:p w14:paraId="55E14D90" w14:textId="77777777" w:rsidR="00990B14" w:rsidRDefault="00000000">
            <w:pPr>
              <w:spacing w:after="40"/>
              <w:jc w:val="both"/>
            </w:pPr>
            <w:r>
              <w:rPr>
                <w:sz w:val="18"/>
                <w:szCs w:val="18"/>
              </w:rPr>
              <w:t>Capital mínimo de Bancos y Entidades Financieras; casos prácticos. (C)</w:t>
            </w:r>
          </w:p>
          <w:p w14:paraId="3F697577" w14:textId="77777777" w:rsidR="00990B14" w:rsidRDefault="00000000">
            <w:pPr>
              <w:spacing w:after="40"/>
              <w:jc w:val="both"/>
            </w:pPr>
            <w:r>
              <w:rPr>
                <w:sz w:val="18"/>
                <w:szCs w:val="18"/>
              </w:rPr>
              <w:t>Terminología financiera en inglés: banking, deposits, loan portfolio, provisions, liquidity y capital adequacy. (C)</w:t>
            </w:r>
          </w:p>
          <w:p w14:paraId="4BCC1C23" w14:textId="77777777" w:rsidR="00990B14" w:rsidRDefault="00000000">
            <w:pPr>
              <w:spacing w:before="60" w:after="20"/>
              <w:jc w:val="both"/>
            </w:pPr>
            <w:r>
              <w:rPr>
                <w:b/>
                <w:bCs/>
                <w:sz w:val="18"/>
                <w:szCs w:val="18"/>
              </w:rPr>
              <w:t>Tema 5:</w:t>
            </w:r>
          </w:p>
          <w:p w14:paraId="7060569C" w14:textId="77777777" w:rsidR="00990B14" w:rsidRDefault="00000000">
            <w:pPr>
              <w:spacing w:after="40"/>
              <w:jc w:val="both"/>
            </w:pPr>
            <w:r>
              <w:rPr>
                <w:sz w:val="18"/>
                <w:szCs w:val="18"/>
              </w:rPr>
              <w:t>Concepto de las disponibilidades; casos de débito y casos de crédito. (C)</w:t>
            </w:r>
          </w:p>
          <w:p w14:paraId="3AE78E17" w14:textId="77777777" w:rsidR="00990B14" w:rsidRDefault="00000000">
            <w:pPr>
              <w:spacing w:after="40"/>
              <w:jc w:val="both"/>
            </w:pPr>
            <w:r>
              <w:rPr>
                <w:sz w:val="18"/>
                <w:szCs w:val="18"/>
              </w:rPr>
              <w:t>Interpretación del saldo de las disponibilidades y papeletas contables. (C)</w:t>
            </w:r>
          </w:p>
          <w:p w14:paraId="6042E617" w14:textId="77777777" w:rsidR="00990B14" w:rsidRDefault="00000000">
            <w:pPr>
              <w:spacing w:after="40"/>
              <w:jc w:val="both"/>
            </w:pPr>
            <w:r>
              <w:rPr>
                <w:sz w:val="18"/>
                <w:szCs w:val="18"/>
              </w:rPr>
              <w:t>Faltantes y sobrantes de caja; procedimientos de regularización; casos prácticos. (P)</w:t>
            </w:r>
          </w:p>
          <w:p w14:paraId="0181E31D" w14:textId="77777777" w:rsidR="00990B14" w:rsidRDefault="00000000">
            <w:pPr>
              <w:spacing w:after="40"/>
              <w:jc w:val="both"/>
            </w:pPr>
            <w:r>
              <w:rPr>
                <w:sz w:val="18"/>
                <w:szCs w:val="18"/>
              </w:rPr>
              <w:t>Control interno del efectivo: arqueos sorpresivos, segregación de funciones y límites de bóveda. (C)</w:t>
            </w:r>
          </w:p>
          <w:p w14:paraId="6EF29272" w14:textId="77777777" w:rsidR="00990B14" w:rsidRDefault="00000000">
            <w:pPr>
              <w:spacing w:before="60" w:after="20"/>
              <w:jc w:val="both"/>
            </w:pPr>
            <w:r>
              <w:rPr>
                <w:b/>
                <w:bCs/>
                <w:sz w:val="18"/>
                <w:szCs w:val="18"/>
              </w:rPr>
              <w:t>Tema 6:</w:t>
            </w:r>
          </w:p>
          <w:p w14:paraId="6AE9011F" w14:textId="77777777" w:rsidR="00990B14" w:rsidRDefault="00000000">
            <w:pPr>
              <w:spacing w:after="40"/>
              <w:jc w:val="both"/>
            </w:pPr>
            <w:r>
              <w:rPr>
                <w:sz w:val="18"/>
                <w:szCs w:val="18"/>
              </w:rPr>
              <w:t>Definición y características de la cámara de compensación; su automatización. (C, T)</w:t>
            </w:r>
          </w:p>
          <w:p w14:paraId="07DCE240" w14:textId="77777777" w:rsidR="00990B14" w:rsidRDefault="00000000">
            <w:pPr>
              <w:spacing w:after="40"/>
              <w:jc w:val="both"/>
            </w:pPr>
            <w:r>
              <w:rPr>
                <w:sz w:val="18"/>
                <w:szCs w:val="18"/>
              </w:rPr>
              <w:t>Importancia del encaje legal en la cámara de compensación y función de la Asociación de Bancos Privados de Bolivia (ASOBAN). (C)</w:t>
            </w:r>
          </w:p>
          <w:p w14:paraId="3FE05896" w14:textId="77777777" w:rsidR="00990B14" w:rsidRDefault="00000000">
            <w:pPr>
              <w:spacing w:after="40"/>
              <w:jc w:val="both"/>
            </w:pPr>
            <w:r>
              <w:rPr>
                <w:sz w:val="18"/>
                <w:szCs w:val="18"/>
              </w:rPr>
              <w:t>Especificaciones, requisitos y material para el diseño de cheques; legibilidad de la información. (P)</w:t>
            </w:r>
          </w:p>
          <w:p w14:paraId="1CB35A32" w14:textId="77777777" w:rsidR="00990B14" w:rsidRDefault="00000000">
            <w:pPr>
              <w:spacing w:after="40"/>
              <w:jc w:val="both"/>
            </w:pPr>
            <w:r>
              <w:rPr>
                <w:sz w:val="18"/>
                <w:szCs w:val="18"/>
              </w:rPr>
              <w:t>Lectura electrónica de cheques y planilla de la cámara de compensación; casos prácticos. (C, T)</w:t>
            </w:r>
          </w:p>
          <w:p w14:paraId="2797F2A1" w14:textId="77777777" w:rsidR="00990B14" w:rsidRDefault="00000000">
            <w:pPr>
              <w:spacing w:after="40"/>
              <w:jc w:val="both"/>
            </w:pPr>
            <w:r>
              <w:rPr>
                <w:sz w:val="18"/>
                <w:szCs w:val="18"/>
              </w:rPr>
              <w:t>Sistemas de pago de alto y de bajo valor: cámara de compensación, liquidación en el Banco Central de Bolivia y pagos electrónicos inmediatos. (C, T)</w:t>
            </w:r>
          </w:p>
          <w:p w14:paraId="0B43C263" w14:textId="77777777" w:rsidR="00990B14" w:rsidRDefault="00000000">
            <w:pPr>
              <w:spacing w:after="40"/>
              <w:jc w:val="both"/>
            </w:pPr>
            <w:r>
              <w:rPr>
                <w:sz w:val="18"/>
                <w:szCs w:val="18"/>
              </w:rPr>
              <w:t>Prevención de la legitimación de ganancias ilícitas en el manejo del efectivo: debida diligencia del cliente, registro de operaciones y reporte de operaciones sospechosas. (P)</w:t>
            </w:r>
          </w:p>
        </w:tc>
        <w:tc>
          <w:tcPr>
            <w:tcW w:w="2752" w:type="dxa"/>
            <w:gridSpan w:val="3"/>
            <w:shd w:val="clear" w:color="auto" w:fill="D9E2F3"/>
          </w:tcPr>
          <w:p w14:paraId="418516C6" w14:textId="77777777" w:rsidR="00990B14" w:rsidRDefault="00000000">
            <w:pPr>
              <w:numPr>
                <w:ilvl w:val="0"/>
                <w:numId w:val="139"/>
              </w:numPr>
              <w:spacing w:before="10" w:after="10"/>
              <w:jc w:val="both"/>
            </w:pPr>
            <w:r>
              <w:rPr>
                <w:sz w:val="18"/>
                <w:szCs w:val="18"/>
              </w:rPr>
              <w:t>Nociones de la historia de la banca y del sistema financiero boliviano.</w:t>
            </w:r>
          </w:p>
          <w:p w14:paraId="29C7765C" w14:textId="77777777" w:rsidR="00990B14" w:rsidRDefault="00000000">
            <w:pPr>
              <w:numPr>
                <w:ilvl w:val="0"/>
                <w:numId w:val="139"/>
              </w:numPr>
              <w:spacing w:before="10" w:after="10"/>
              <w:jc w:val="both"/>
            </w:pPr>
            <w:r>
              <w:rPr>
                <w:sz w:val="18"/>
                <w:szCs w:val="18"/>
              </w:rPr>
              <w:t>Nociones de la organización de una agencia y de una sucursal bancaria.</w:t>
            </w:r>
          </w:p>
          <w:p w14:paraId="64146563" w14:textId="77777777" w:rsidR="00990B14" w:rsidRDefault="00000000">
            <w:pPr>
              <w:numPr>
                <w:ilvl w:val="0"/>
                <w:numId w:val="139"/>
              </w:numPr>
              <w:spacing w:before="10" w:after="10"/>
              <w:jc w:val="both"/>
            </w:pPr>
            <w:r>
              <w:rPr>
                <w:sz w:val="18"/>
                <w:szCs w:val="18"/>
              </w:rPr>
              <w:t>Nociones de identificación de billetes falsificados y de las medidas de seguridad del billete boliviano.</w:t>
            </w:r>
          </w:p>
          <w:p w14:paraId="7D82691E" w14:textId="77777777" w:rsidR="00990B14" w:rsidRDefault="00000000">
            <w:pPr>
              <w:numPr>
                <w:ilvl w:val="0"/>
                <w:numId w:val="139"/>
              </w:numPr>
              <w:spacing w:before="10" w:after="10"/>
              <w:jc w:val="both"/>
            </w:pPr>
            <w:r>
              <w:rPr>
                <w:sz w:val="18"/>
                <w:szCs w:val="18"/>
              </w:rPr>
              <w:t>Nociones de seguridad física y custodia del efectivo en bóveda.</w:t>
            </w:r>
          </w:p>
        </w:tc>
      </w:tr>
      <w:tr w:rsidR="00990B14" w14:paraId="053DB601" w14:textId="77777777">
        <w:trPr>
          <w:cantSplit/>
          <w:jc w:val="center"/>
        </w:trPr>
        <w:tc>
          <w:tcPr>
            <w:tcW w:w="9405" w:type="dxa"/>
            <w:gridSpan w:val="13"/>
            <w:shd w:val="clear" w:color="auto" w:fill="D9E2F3"/>
            <w:vAlign w:val="center"/>
          </w:tcPr>
          <w:p w14:paraId="32E48E8E" w14:textId="77777777" w:rsidR="00990B14" w:rsidRDefault="00000000">
            <w:pPr>
              <w:spacing w:before="20" w:after="20"/>
              <w:jc w:val="both"/>
            </w:pPr>
            <w:r>
              <w:rPr>
                <w:b/>
                <w:bCs/>
                <w:i/>
                <w:iCs/>
                <w:sz w:val="18"/>
                <w:szCs w:val="18"/>
              </w:rPr>
              <w:t xml:space="preserve">Elemento de competencia 2: </w:t>
            </w:r>
            <w:r>
              <w:rPr>
                <w:sz w:val="18"/>
                <w:szCs w:val="18"/>
              </w:rPr>
              <w:t>Aplica el tratamiento contable de los depósitos en cuentas corrientes, en cajas de ahorro y a plazo fijo, y calcula el encaje legal correspondiente.</w:t>
            </w:r>
          </w:p>
        </w:tc>
      </w:tr>
      <w:tr w:rsidR="00990B14" w14:paraId="1AB3EDAE" w14:textId="77777777">
        <w:trPr>
          <w:cantSplit/>
          <w:jc w:val="center"/>
        </w:trPr>
        <w:tc>
          <w:tcPr>
            <w:tcW w:w="3133" w:type="dxa"/>
            <w:gridSpan w:val="4"/>
            <w:shd w:val="clear" w:color="auto" w:fill="4472C4"/>
            <w:vAlign w:val="center"/>
          </w:tcPr>
          <w:p w14:paraId="2B7C04BA"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4FCE2E88"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33DC04E1" w14:textId="77777777" w:rsidR="00990B14" w:rsidRDefault="00000000">
            <w:pPr>
              <w:keepNext/>
              <w:spacing w:before="20" w:after="20"/>
              <w:jc w:val="center"/>
            </w:pPr>
            <w:r>
              <w:rPr>
                <w:b/>
                <w:bCs/>
                <w:i/>
                <w:iCs/>
                <w:color w:val="FFFFFF"/>
                <w:sz w:val="18"/>
                <w:szCs w:val="18"/>
              </w:rPr>
              <w:t>Evidencias de producto</w:t>
            </w:r>
          </w:p>
        </w:tc>
      </w:tr>
      <w:tr w:rsidR="00990B14" w14:paraId="759F09D0" w14:textId="77777777">
        <w:trPr>
          <w:cantSplit/>
          <w:jc w:val="center"/>
        </w:trPr>
        <w:tc>
          <w:tcPr>
            <w:tcW w:w="3133" w:type="dxa"/>
            <w:gridSpan w:val="4"/>
            <w:vMerge w:val="restart"/>
            <w:shd w:val="clear" w:color="auto" w:fill="D9E2F3"/>
            <w:vAlign w:val="center"/>
          </w:tcPr>
          <w:p w14:paraId="03B1D9B2" w14:textId="77777777" w:rsidR="00990B14" w:rsidRDefault="00000000">
            <w:pPr>
              <w:spacing w:before="20" w:after="20"/>
              <w:jc w:val="both"/>
            </w:pPr>
            <w:r>
              <w:rPr>
                <w:sz w:val="18"/>
                <w:szCs w:val="18"/>
              </w:rPr>
              <w:t>1. Registra el movimiento contable de los depósitos en cuentas corrientes y en caja de ahorros, calculando sus intereses conforme a la normativa vigente.</w:t>
            </w:r>
          </w:p>
        </w:tc>
        <w:tc>
          <w:tcPr>
            <w:tcW w:w="3135" w:type="dxa"/>
            <w:gridSpan w:val="5"/>
            <w:shd w:val="clear" w:color="auto" w:fill="D9E2F3"/>
            <w:vAlign w:val="center"/>
          </w:tcPr>
          <w:p w14:paraId="58F93EF4" w14:textId="77777777" w:rsidR="00990B14" w:rsidRDefault="00000000">
            <w:pPr>
              <w:spacing w:before="20" w:after="20"/>
              <w:jc w:val="both"/>
            </w:pPr>
            <w:r>
              <w:rPr>
                <w:sz w:val="18"/>
                <w:szCs w:val="18"/>
              </w:rPr>
              <w:t>1.1 Registra la apertura, el movimiento, la clausura y el cierre de una cuenta corriente</w:t>
            </w:r>
          </w:p>
        </w:tc>
        <w:tc>
          <w:tcPr>
            <w:tcW w:w="3137" w:type="dxa"/>
            <w:gridSpan w:val="4"/>
            <w:shd w:val="clear" w:color="auto" w:fill="D9E2F3"/>
            <w:vAlign w:val="center"/>
          </w:tcPr>
          <w:p w14:paraId="6CF106CE" w14:textId="77777777" w:rsidR="00990B14" w:rsidRDefault="00000000">
            <w:pPr>
              <w:spacing w:before="20" w:after="20"/>
              <w:jc w:val="both"/>
            </w:pPr>
            <w:r>
              <w:rPr>
                <w:b/>
                <w:bCs/>
                <w:sz w:val="18"/>
                <w:szCs w:val="18"/>
              </w:rPr>
              <w:t xml:space="preserve">Producto 5: </w:t>
            </w:r>
            <w:r>
              <w:rPr>
                <w:sz w:val="18"/>
                <w:szCs w:val="18"/>
              </w:rPr>
              <w:t>Movimiento contable de los depósitos en cuenta corriente en un caso práctico y su exposición en los Estados Financieros.</w:t>
            </w:r>
          </w:p>
        </w:tc>
      </w:tr>
      <w:tr w:rsidR="00990B14" w14:paraId="0CF216C3" w14:textId="77777777">
        <w:trPr>
          <w:cantSplit/>
          <w:jc w:val="center"/>
        </w:trPr>
        <w:tc>
          <w:tcPr>
            <w:tcW w:w="3133" w:type="dxa"/>
            <w:gridSpan w:val="4"/>
            <w:vMerge/>
            <w:shd w:val="clear" w:color="auto" w:fill="D9E2F3"/>
            <w:vAlign w:val="center"/>
          </w:tcPr>
          <w:p w14:paraId="71486FDD" w14:textId="77777777" w:rsidR="00990B14" w:rsidRDefault="00990B14">
            <w:pPr>
              <w:spacing w:before="20" w:after="20"/>
            </w:pPr>
          </w:p>
        </w:tc>
        <w:tc>
          <w:tcPr>
            <w:tcW w:w="3135" w:type="dxa"/>
            <w:gridSpan w:val="5"/>
            <w:shd w:val="clear" w:color="auto" w:fill="D9E2F3"/>
            <w:vAlign w:val="center"/>
          </w:tcPr>
          <w:p w14:paraId="02F86282" w14:textId="77777777" w:rsidR="00990B14" w:rsidRDefault="00000000">
            <w:pPr>
              <w:spacing w:before="20" w:after="20"/>
              <w:jc w:val="both"/>
            </w:pPr>
            <w:r>
              <w:rPr>
                <w:sz w:val="18"/>
                <w:szCs w:val="18"/>
              </w:rPr>
              <w:t>1.2 Registra la apertura, el movimiento, cálculo de intereses y la clausura de una caja de ahorro.</w:t>
            </w:r>
          </w:p>
        </w:tc>
        <w:tc>
          <w:tcPr>
            <w:tcW w:w="3137" w:type="dxa"/>
            <w:gridSpan w:val="4"/>
            <w:shd w:val="clear" w:color="auto" w:fill="D9E2F3"/>
            <w:vAlign w:val="center"/>
          </w:tcPr>
          <w:p w14:paraId="0DE7B407" w14:textId="77777777" w:rsidR="00990B14" w:rsidRDefault="00000000">
            <w:pPr>
              <w:spacing w:before="20" w:after="20"/>
              <w:jc w:val="both"/>
            </w:pPr>
            <w:r>
              <w:rPr>
                <w:b/>
                <w:bCs/>
                <w:sz w:val="18"/>
                <w:szCs w:val="18"/>
              </w:rPr>
              <w:t xml:space="preserve">Producto 6: </w:t>
            </w:r>
            <w:r>
              <w:rPr>
                <w:sz w:val="18"/>
                <w:szCs w:val="18"/>
              </w:rPr>
              <w:t>Movimiento contable de los depósitos en caja de ahorro en un caso práctico y su exposición en los Estados Financieros.</w:t>
            </w:r>
          </w:p>
        </w:tc>
      </w:tr>
      <w:tr w:rsidR="00990B14" w14:paraId="78F0FFB7" w14:textId="77777777">
        <w:trPr>
          <w:cantSplit/>
          <w:jc w:val="center"/>
        </w:trPr>
        <w:tc>
          <w:tcPr>
            <w:tcW w:w="3133" w:type="dxa"/>
            <w:gridSpan w:val="4"/>
            <w:vMerge w:val="restart"/>
            <w:shd w:val="clear" w:color="auto" w:fill="D9E2F3"/>
            <w:vAlign w:val="center"/>
          </w:tcPr>
          <w:p w14:paraId="3E5FF362" w14:textId="77777777" w:rsidR="00990B14" w:rsidRDefault="00000000">
            <w:pPr>
              <w:spacing w:before="20" w:after="20"/>
              <w:jc w:val="both"/>
            </w:pPr>
            <w:r>
              <w:rPr>
                <w:sz w:val="18"/>
                <w:szCs w:val="18"/>
              </w:rPr>
              <w:t>2. Registra el movimiento de los depósitos a plazo fijo en moneda nacional y extranjera y determina el encaje legal correspondiente de acuerdo con la normativa</w:t>
            </w:r>
          </w:p>
        </w:tc>
        <w:tc>
          <w:tcPr>
            <w:tcW w:w="3135" w:type="dxa"/>
            <w:gridSpan w:val="5"/>
            <w:shd w:val="clear" w:color="auto" w:fill="D9E2F3"/>
            <w:vAlign w:val="center"/>
          </w:tcPr>
          <w:p w14:paraId="0208C774" w14:textId="77777777" w:rsidR="00990B14" w:rsidRDefault="00000000">
            <w:pPr>
              <w:spacing w:before="20" w:after="20"/>
              <w:jc w:val="both"/>
            </w:pPr>
            <w:r>
              <w:rPr>
                <w:sz w:val="18"/>
                <w:szCs w:val="18"/>
              </w:rPr>
              <w:t>2.1 Registra la apertura, el movimiento, cálculo de intereses y el cierre de un depósito a plazo fijo.</w:t>
            </w:r>
          </w:p>
        </w:tc>
        <w:tc>
          <w:tcPr>
            <w:tcW w:w="3137" w:type="dxa"/>
            <w:gridSpan w:val="4"/>
            <w:shd w:val="clear" w:color="auto" w:fill="D9E2F3"/>
            <w:vAlign w:val="center"/>
          </w:tcPr>
          <w:p w14:paraId="25D8603E" w14:textId="77777777" w:rsidR="00990B14" w:rsidRDefault="00000000">
            <w:pPr>
              <w:spacing w:before="20" w:after="20"/>
              <w:jc w:val="both"/>
            </w:pPr>
            <w:r>
              <w:rPr>
                <w:b/>
                <w:bCs/>
                <w:sz w:val="18"/>
                <w:szCs w:val="18"/>
              </w:rPr>
              <w:t xml:space="preserve">Producto 7: </w:t>
            </w:r>
            <w:r>
              <w:rPr>
                <w:sz w:val="18"/>
                <w:szCs w:val="18"/>
              </w:rPr>
              <w:t>Movimiento contable de los depósitos a plazo fijo en un caso práctico y su exposición en los Estados Financieros.</w:t>
            </w:r>
          </w:p>
        </w:tc>
      </w:tr>
      <w:tr w:rsidR="00990B14" w14:paraId="0FD0B8E4" w14:textId="77777777">
        <w:trPr>
          <w:cantSplit/>
          <w:jc w:val="center"/>
        </w:trPr>
        <w:tc>
          <w:tcPr>
            <w:tcW w:w="3133" w:type="dxa"/>
            <w:gridSpan w:val="4"/>
            <w:vMerge/>
            <w:shd w:val="clear" w:color="auto" w:fill="D9E2F3"/>
            <w:vAlign w:val="center"/>
          </w:tcPr>
          <w:p w14:paraId="508F147A" w14:textId="77777777" w:rsidR="00990B14" w:rsidRDefault="00990B14">
            <w:pPr>
              <w:spacing w:before="20" w:after="20"/>
            </w:pPr>
          </w:p>
        </w:tc>
        <w:tc>
          <w:tcPr>
            <w:tcW w:w="3135" w:type="dxa"/>
            <w:gridSpan w:val="5"/>
            <w:shd w:val="clear" w:color="auto" w:fill="D9E2F3"/>
            <w:vAlign w:val="center"/>
          </w:tcPr>
          <w:p w14:paraId="1C11760C" w14:textId="77777777" w:rsidR="00990B14" w:rsidRDefault="00000000">
            <w:pPr>
              <w:spacing w:before="20" w:after="20"/>
              <w:jc w:val="both"/>
            </w:pPr>
            <w:r>
              <w:rPr>
                <w:sz w:val="18"/>
                <w:szCs w:val="18"/>
              </w:rPr>
              <w:t>2.2 Calcula el encaje legal en efectivo y en títulos determinando el excedente o deficiencia de encaje y la multa correspondiente de un caso práctico.</w:t>
            </w:r>
          </w:p>
        </w:tc>
        <w:tc>
          <w:tcPr>
            <w:tcW w:w="3137" w:type="dxa"/>
            <w:gridSpan w:val="4"/>
            <w:shd w:val="clear" w:color="auto" w:fill="D9E2F3"/>
            <w:vAlign w:val="center"/>
          </w:tcPr>
          <w:p w14:paraId="64EA6926" w14:textId="77777777" w:rsidR="00990B14" w:rsidRDefault="00000000">
            <w:pPr>
              <w:spacing w:before="20" w:after="20"/>
              <w:jc w:val="both"/>
            </w:pPr>
            <w:r>
              <w:rPr>
                <w:b/>
                <w:bCs/>
                <w:sz w:val="18"/>
                <w:szCs w:val="18"/>
              </w:rPr>
              <w:t xml:space="preserve">Producto 8: </w:t>
            </w:r>
            <w:r>
              <w:rPr>
                <w:sz w:val="18"/>
                <w:szCs w:val="18"/>
              </w:rPr>
              <w:t>Cálculo del encaje legal y del Fondo RAL de un caso práctico.</w:t>
            </w:r>
          </w:p>
        </w:tc>
      </w:tr>
      <w:tr w:rsidR="00990B14" w14:paraId="39758F66" w14:textId="77777777">
        <w:trPr>
          <w:cantSplit/>
          <w:jc w:val="center"/>
        </w:trPr>
        <w:tc>
          <w:tcPr>
            <w:tcW w:w="9405" w:type="dxa"/>
            <w:gridSpan w:val="13"/>
            <w:shd w:val="clear" w:color="auto" w:fill="4472C4"/>
            <w:vAlign w:val="center"/>
          </w:tcPr>
          <w:p w14:paraId="5551AD63" w14:textId="77777777" w:rsidR="00990B14" w:rsidRDefault="00000000">
            <w:pPr>
              <w:keepNext/>
              <w:spacing w:before="20" w:after="20"/>
              <w:jc w:val="center"/>
            </w:pPr>
            <w:r>
              <w:rPr>
                <w:b/>
                <w:bCs/>
                <w:i/>
                <w:iCs/>
                <w:color w:val="FFFFFF"/>
                <w:sz w:val="18"/>
                <w:szCs w:val="18"/>
              </w:rPr>
              <w:t>Evidencias de conocimiento</w:t>
            </w:r>
          </w:p>
        </w:tc>
      </w:tr>
      <w:tr w:rsidR="00990B14" w14:paraId="7B144D5F" w14:textId="77777777">
        <w:trPr>
          <w:cantSplit/>
          <w:jc w:val="center"/>
        </w:trPr>
        <w:tc>
          <w:tcPr>
            <w:tcW w:w="2349" w:type="dxa"/>
            <w:gridSpan w:val="2"/>
            <w:shd w:val="clear" w:color="auto" w:fill="4472C4"/>
            <w:vAlign w:val="center"/>
          </w:tcPr>
          <w:p w14:paraId="6E0B0D20"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390372FF" w14:textId="77777777" w:rsidR="00990B14" w:rsidRDefault="00000000">
            <w:pPr>
              <w:keepNext/>
              <w:spacing w:before="20" w:after="20"/>
              <w:jc w:val="both"/>
            </w:pPr>
            <w:r>
              <w:rPr>
                <w:b/>
                <w:bCs/>
                <w:i/>
                <w:iCs/>
                <w:color w:val="FFFFFF"/>
                <w:sz w:val="18"/>
                <w:szCs w:val="18"/>
              </w:rPr>
              <w:t>Contenidos</w:t>
            </w:r>
          </w:p>
          <w:p w14:paraId="545F698B"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6B60C938" w14:textId="77777777" w:rsidR="00990B14" w:rsidRDefault="00000000">
            <w:pPr>
              <w:keepNext/>
              <w:spacing w:before="20" w:after="20"/>
              <w:jc w:val="center"/>
            </w:pPr>
            <w:r>
              <w:rPr>
                <w:b/>
                <w:bCs/>
                <w:i/>
                <w:iCs/>
                <w:color w:val="FFFFFF"/>
                <w:sz w:val="18"/>
                <w:szCs w:val="18"/>
              </w:rPr>
              <w:t>Conocimientos circunstanciales</w:t>
            </w:r>
          </w:p>
        </w:tc>
      </w:tr>
      <w:tr w:rsidR="00990B14" w14:paraId="412C394C" w14:textId="77777777">
        <w:trPr>
          <w:jc w:val="center"/>
        </w:trPr>
        <w:tc>
          <w:tcPr>
            <w:tcW w:w="2349" w:type="dxa"/>
            <w:gridSpan w:val="2"/>
            <w:shd w:val="clear" w:color="auto" w:fill="D9E2F3"/>
          </w:tcPr>
          <w:p w14:paraId="54E9223B" w14:textId="77777777" w:rsidR="00990B14" w:rsidRDefault="00000000">
            <w:pPr>
              <w:spacing w:before="20" w:after="40"/>
              <w:jc w:val="both"/>
            </w:pPr>
            <w:r>
              <w:rPr>
                <w:sz w:val="18"/>
                <w:szCs w:val="18"/>
              </w:rPr>
              <w:t>Tema 7: Depósitos en Cuentas Corrientes</w:t>
            </w:r>
          </w:p>
          <w:p w14:paraId="0ED320DB" w14:textId="77777777" w:rsidR="00990B14" w:rsidRDefault="00000000">
            <w:pPr>
              <w:spacing w:before="20" w:after="40"/>
              <w:jc w:val="both"/>
            </w:pPr>
            <w:r>
              <w:rPr>
                <w:sz w:val="18"/>
                <w:szCs w:val="18"/>
              </w:rPr>
              <w:t>Tema 8: Depósitos en Caja de Ahorros</w:t>
            </w:r>
          </w:p>
          <w:p w14:paraId="54A028DB" w14:textId="77777777" w:rsidR="00990B14" w:rsidRDefault="00000000">
            <w:pPr>
              <w:spacing w:before="20" w:after="40"/>
              <w:jc w:val="both"/>
            </w:pPr>
            <w:r>
              <w:rPr>
                <w:sz w:val="18"/>
                <w:szCs w:val="18"/>
              </w:rPr>
              <w:t>Tema 9: Depósitos a Plazo Fijo</w:t>
            </w:r>
          </w:p>
          <w:p w14:paraId="1F4C3559" w14:textId="77777777" w:rsidR="00990B14" w:rsidRDefault="00000000">
            <w:pPr>
              <w:spacing w:before="20" w:after="40"/>
              <w:jc w:val="both"/>
            </w:pPr>
            <w:r>
              <w:rPr>
                <w:sz w:val="18"/>
                <w:szCs w:val="18"/>
              </w:rPr>
              <w:t>Tema 10: Encaje Legal</w:t>
            </w:r>
          </w:p>
        </w:tc>
        <w:tc>
          <w:tcPr>
            <w:tcW w:w="4304" w:type="dxa"/>
            <w:gridSpan w:val="8"/>
            <w:shd w:val="clear" w:color="auto" w:fill="D9E2F3"/>
          </w:tcPr>
          <w:p w14:paraId="49A75E5D" w14:textId="77777777" w:rsidR="00990B14" w:rsidRDefault="00000000">
            <w:pPr>
              <w:spacing w:before="60" w:after="20"/>
              <w:jc w:val="both"/>
            </w:pPr>
            <w:r>
              <w:rPr>
                <w:b/>
                <w:bCs/>
                <w:sz w:val="18"/>
                <w:szCs w:val="18"/>
              </w:rPr>
              <w:t>Tema 7:</w:t>
            </w:r>
          </w:p>
          <w:p w14:paraId="34DBF71E" w14:textId="77777777" w:rsidR="00990B14" w:rsidRDefault="00000000">
            <w:pPr>
              <w:spacing w:after="40"/>
              <w:jc w:val="both"/>
            </w:pPr>
            <w:r>
              <w:rPr>
                <w:sz w:val="18"/>
                <w:szCs w:val="18"/>
              </w:rPr>
              <w:t>Concepto y clasificación de los depósitos en cuentas corrientes; reglamento de cuentas corrientes. (C)</w:t>
            </w:r>
          </w:p>
          <w:p w14:paraId="75A411DC" w14:textId="77777777" w:rsidR="00990B14" w:rsidRDefault="00000000">
            <w:pPr>
              <w:spacing w:after="40"/>
              <w:jc w:val="both"/>
            </w:pPr>
            <w:r>
              <w:rPr>
                <w:sz w:val="18"/>
                <w:szCs w:val="18"/>
              </w:rPr>
              <w:t>Apertura y funcionamiento de las cuentas corrientes. (C)</w:t>
            </w:r>
          </w:p>
          <w:p w14:paraId="324E2E91" w14:textId="77777777" w:rsidR="00990B14" w:rsidRDefault="00000000">
            <w:pPr>
              <w:spacing w:after="40"/>
              <w:jc w:val="both"/>
            </w:pPr>
            <w:r>
              <w:rPr>
                <w:sz w:val="18"/>
                <w:szCs w:val="18"/>
              </w:rPr>
              <w:t>Clausura y rehabilitación de las cuentas corrientes; periodos de suspensión. (C)</w:t>
            </w:r>
          </w:p>
          <w:p w14:paraId="7C5D3E13" w14:textId="77777777" w:rsidR="00990B14" w:rsidRDefault="00000000">
            <w:pPr>
              <w:spacing w:after="40"/>
              <w:jc w:val="both"/>
            </w:pPr>
            <w:r>
              <w:rPr>
                <w:sz w:val="18"/>
                <w:szCs w:val="18"/>
              </w:rPr>
              <w:t>Errores atribuibles a la entidad bancaria en el manejo de las cuentas corrientes; casos prácticos. (C)</w:t>
            </w:r>
          </w:p>
          <w:p w14:paraId="20235118" w14:textId="77777777" w:rsidR="00990B14" w:rsidRDefault="00000000">
            <w:pPr>
              <w:spacing w:before="60" w:after="20"/>
              <w:jc w:val="both"/>
            </w:pPr>
            <w:r>
              <w:rPr>
                <w:b/>
                <w:bCs/>
                <w:sz w:val="18"/>
                <w:szCs w:val="18"/>
              </w:rPr>
              <w:t>Tema 8:</w:t>
            </w:r>
          </w:p>
          <w:p w14:paraId="05EAD8AB" w14:textId="77777777" w:rsidR="00990B14" w:rsidRDefault="00000000">
            <w:pPr>
              <w:spacing w:after="40"/>
              <w:jc w:val="both"/>
            </w:pPr>
            <w:r>
              <w:rPr>
                <w:sz w:val="18"/>
                <w:szCs w:val="18"/>
              </w:rPr>
              <w:t>Concepto, libretas y clasificación de los depósitos en caja de ahorros. (C)</w:t>
            </w:r>
          </w:p>
          <w:p w14:paraId="1D86CE85" w14:textId="77777777" w:rsidR="00990B14" w:rsidRDefault="00000000">
            <w:pPr>
              <w:spacing w:after="40"/>
              <w:jc w:val="both"/>
            </w:pPr>
            <w:r>
              <w:rPr>
                <w:sz w:val="18"/>
                <w:szCs w:val="18"/>
              </w:rPr>
              <w:t>Apertura de depósitos en caja de ahorros; intereses y cálculo de intereses en cajas de ahorro. (P)</w:t>
            </w:r>
          </w:p>
          <w:p w14:paraId="57AD9936" w14:textId="77777777" w:rsidR="00990B14" w:rsidRDefault="00000000">
            <w:pPr>
              <w:spacing w:after="40"/>
              <w:jc w:val="both"/>
            </w:pPr>
            <w:r>
              <w:rPr>
                <w:sz w:val="18"/>
                <w:szCs w:val="18"/>
              </w:rPr>
              <w:t>Movimiento contable de los depósitos en caja de ahorros; casos prácticos. (C)</w:t>
            </w:r>
          </w:p>
          <w:p w14:paraId="39DB7EBD" w14:textId="77777777" w:rsidR="00990B14" w:rsidRDefault="00000000">
            <w:pPr>
              <w:spacing w:before="60" w:after="20"/>
              <w:jc w:val="both"/>
            </w:pPr>
            <w:r>
              <w:rPr>
                <w:b/>
                <w:bCs/>
                <w:sz w:val="18"/>
                <w:szCs w:val="18"/>
              </w:rPr>
              <w:t>Tema 9:</w:t>
            </w:r>
          </w:p>
          <w:p w14:paraId="3499F57F" w14:textId="77777777" w:rsidR="00990B14" w:rsidRDefault="00000000">
            <w:pPr>
              <w:spacing w:after="40"/>
              <w:jc w:val="both"/>
            </w:pPr>
            <w:r>
              <w:rPr>
                <w:sz w:val="18"/>
                <w:szCs w:val="18"/>
              </w:rPr>
              <w:t>Concepto y constitución de los depósitos a plazo fijo; emisión del certificado de depósito a plazo fijo. (C)</w:t>
            </w:r>
          </w:p>
          <w:p w14:paraId="116BE501" w14:textId="77777777" w:rsidR="00990B14" w:rsidRDefault="00000000">
            <w:pPr>
              <w:spacing w:after="40"/>
              <w:jc w:val="both"/>
            </w:pPr>
            <w:r>
              <w:rPr>
                <w:sz w:val="18"/>
                <w:szCs w:val="18"/>
              </w:rPr>
              <w:t>Normativa de funcionamiento e intereses en los depósitos a plazo fijo; movimiento contable; casos prácticos. (C)</w:t>
            </w:r>
          </w:p>
          <w:p w14:paraId="733CFEFF" w14:textId="77777777" w:rsidR="00990B14" w:rsidRDefault="00000000">
            <w:pPr>
              <w:spacing w:before="60" w:after="20"/>
              <w:jc w:val="both"/>
            </w:pPr>
            <w:r>
              <w:rPr>
                <w:b/>
                <w:bCs/>
                <w:sz w:val="18"/>
                <w:szCs w:val="18"/>
              </w:rPr>
              <w:t>Tema 10:</w:t>
            </w:r>
          </w:p>
          <w:p w14:paraId="060F8037" w14:textId="77777777" w:rsidR="00990B14" w:rsidRDefault="00000000">
            <w:pPr>
              <w:spacing w:after="40"/>
              <w:jc w:val="both"/>
            </w:pPr>
            <w:r>
              <w:rPr>
                <w:sz w:val="18"/>
                <w:szCs w:val="18"/>
              </w:rPr>
              <w:t>Concepto, objetivos y definiciones del encaje legal; el encaje legal y el Fondo de Requerimiento de Activos Líquidos (RAL). (C)</w:t>
            </w:r>
          </w:p>
          <w:p w14:paraId="1BB66FF6" w14:textId="77777777" w:rsidR="00990B14" w:rsidRDefault="00000000">
            <w:pPr>
              <w:spacing w:after="40"/>
              <w:jc w:val="both"/>
            </w:pPr>
            <w:r>
              <w:rPr>
                <w:sz w:val="18"/>
                <w:szCs w:val="18"/>
              </w:rPr>
              <w:t>Tasas de encaje legal; pasivos sujetos y pasivos no sujetos al encaje legal; exenciones. (C)</w:t>
            </w:r>
          </w:p>
          <w:p w14:paraId="40F1E9C3" w14:textId="77777777" w:rsidR="00990B14" w:rsidRDefault="00000000">
            <w:pPr>
              <w:spacing w:after="40"/>
              <w:jc w:val="both"/>
            </w:pPr>
            <w:r>
              <w:rPr>
                <w:sz w:val="18"/>
                <w:szCs w:val="18"/>
              </w:rPr>
              <w:t>Modificaciones de las tasas de encaje legal y su efecto sobre la liquidez del sistema financiero y sobre el crédito. (C)</w:t>
            </w:r>
          </w:p>
          <w:p w14:paraId="1BA1BCED" w14:textId="77777777" w:rsidR="00990B14" w:rsidRDefault="00000000">
            <w:pPr>
              <w:spacing w:after="40"/>
              <w:jc w:val="both"/>
            </w:pPr>
            <w:r>
              <w:rPr>
                <w:sz w:val="18"/>
                <w:szCs w:val="18"/>
              </w:rPr>
              <w:t>Cómputo del encaje legal constituido en efectivo y del encaje legal en títulos. (C)</w:t>
            </w:r>
          </w:p>
          <w:p w14:paraId="26D996D5" w14:textId="77777777" w:rsidR="00990B14" w:rsidRDefault="00000000">
            <w:pPr>
              <w:spacing w:after="40"/>
              <w:jc w:val="both"/>
            </w:pPr>
            <w:r>
              <w:rPr>
                <w:sz w:val="18"/>
                <w:szCs w:val="18"/>
              </w:rPr>
              <w:t>Concepto, constitución y administración del Fondo RAL; crédito de liquidez. (C)</w:t>
            </w:r>
          </w:p>
          <w:p w14:paraId="047C2ED7" w14:textId="77777777" w:rsidR="00990B14" w:rsidRDefault="00000000">
            <w:pPr>
              <w:spacing w:after="40"/>
              <w:jc w:val="both"/>
            </w:pPr>
            <w:r>
              <w:rPr>
                <w:sz w:val="18"/>
                <w:szCs w:val="18"/>
              </w:rPr>
              <w:t>No participación en el Fondo RAL y disolución del Fondo RAL. (C)</w:t>
            </w:r>
          </w:p>
          <w:p w14:paraId="2B1DB032" w14:textId="77777777" w:rsidR="00990B14" w:rsidRDefault="00000000">
            <w:pPr>
              <w:spacing w:after="40"/>
              <w:jc w:val="both"/>
            </w:pPr>
            <w:r>
              <w:rPr>
                <w:sz w:val="18"/>
                <w:szCs w:val="18"/>
              </w:rPr>
              <w:t>Reportes de encaje legal y multas por deficiencias de encaje legal; movimiento contable; casos prácticos. (C)</w:t>
            </w:r>
          </w:p>
          <w:p w14:paraId="2CFD2995" w14:textId="77777777" w:rsidR="00990B14" w:rsidRDefault="00000000">
            <w:pPr>
              <w:spacing w:after="40"/>
              <w:jc w:val="both"/>
            </w:pPr>
            <w:r>
              <w:rPr>
                <w:sz w:val="18"/>
                <w:szCs w:val="18"/>
              </w:rPr>
              <w:t>Protección del ahorrista: Fondo de Protección al Ahorrista previsto en la Ley de Servicios Financieros. (C)</w:t>
            </w:r>
          </w:p>
        </w:tc>
        <w:tc>
          <w:tcPr>
            <w:tcW w:w="2752" w:type="dxa"/>
            <w:gridSpan w:val="3"/>
            <w:shd w:val="clear" w:color="auto" w:fill="D9E2F3"/>
          </w:tcPr>
          <w:p w14:paraId="0731148C" w14:textId="77777777" w:rsidR="00990B14" w:rsidRDefault="00000000">
            <w:pPr>
              <w:numPr>
                <w:ilvl w:val="0"/>
                <w:numId w:val="139"/>
              </w:numPr>
              <w:spacing w:before="10" w:after="10"/>
              <w:jc w:val="both"/>
            </w:pPr>
            <w:r>
              <w:rPr>
                <w:sz w:val="18"/>
                <w:szCs w:val="18"/>
              </w:rPr>
              <w:t>Nociones de verificación de firmas y de documentos de identidad en la apertura de cuentas.</w:t>
            </w:r>
          </w:p>
          <w:p w14:paraId="00EDE30E" w14:textId="77777777" w:rsidR="00990B14" w:rsidRDefault="00000000">
            <w:pPr>
              <w:numPr>
                <w:ilvl w:val="0"/>
                <w:numId w:val="139"/>
              </w:numPr>
              <w:spacing w:before="10" w:after="10"/>
              <w:jc w:val="both"/>
            </w:pPr>
            <w:r>
              <w:rPr>
                <w:sz w:val="18"/>
                <w:szCs w:val="18"/>
              </w:rPr>
              <w:t>Nociones del régimen de capacidad civil y de representación de los titulares de cuentas.</w:t>
            </w:r>
          </w:p>
        </w:tc>
      </w:tr>
      <w:tr w:rsidR="00990B14" w14:paraId="64384961" w14:textId="77777777">
        <w:trPr>
          <w:cantSplit/>
          <w:jc w:val="center"/>
        </w:trPr>
        <w:tc>
          <w:tcPr>
            <w:tcW w:w="9405" w:type="dxa"/>
            <w:gridSpan w:val="13"/>
            <w:shd w:val="clear" w:color="auto" w:fill="D9E2F3"/>
            <w:vAlign w:val="center"/>
          </w:tcPr>
          <w:p w14:paraId="589EEEB4" w14:textId="77777777" w:rsidR="00990B14" w:rsidRDefault="00000000">
            <w:pPr>
              <w:spacing w:before="20" w:after="20"/>
              <w:jc w:val="both"/>
            </w:pPr>
            <w:r>
              <w:rPr>
                <w:b/>
                <w:bCs/>
                <w:i/>
                <w:iCs/>
                <w:sz w:val="18"/>
                <w:szCs w:val="18"/>
              </w:rPr>
              <w:t xml:space="preserve">Elemento de competencia 3: </w:t>
            </w:r>
            <w:r>
              <w:rPr>
                <w:sz w:val="18"/>
                <w:szCs w:val="18"/>
              </w:rPr>
              <w:t>Aplica el tratamiento contable de la cartera de créditos de una entidad financiera, desde el desembolso hasta la recuperación, considerando la previsión, el devengamiento de intereses, los créditos con recursos de segundo piso, la cartera en ejecución y los bienes adjudicados por vía legal.</w:t>
            </w:r>
          </w:p>
        </w:tc>
      </w:tr>
      <w:tr w:rsidR="00990B14" w14:paraId="71E0839A" w14:textId="77777777">
        <w:trPr>
          <w:cantSplit/>
          <w:jc w:val="center"/>
        </w:trPr>
        <w:tc>
          <w:tcPr>
            <w:tcW w:w="3133" w:type="dxa"/>
            <w:gridSpan w:val="4"/>
            <w:shd w:val="clear" w:color="auto" w:fill="4472C4"/>
            <w:vAlign w:val="center"/>
          </w:tcPr>
          <w:p w14:paraId="5E63EDD8"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3AA86EFB"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6AB66228" w14:textId="77777777" w:rsidR="00990B14" w:rsidRDefault="00000000">
            <w:pPr>
              <w:keepNext/>
              <w:spacing w:before="20" w:after="20"/>
              <w:jc w:val="center"/>
            </w:pPr>
            <w:r>
              <w:rPr>
                <w:b/>
                <w:bCs/>
                <w:i/>
                <w:iCs/>
                <w:color w:val="FFFFFF"/>
                <w:sz w:val="18"/>
                <w:szCs w:val="18"/>
              </w:rPr>
              <w:t>Evidencias de producto</w:t>
            </w:r>
          </w:p>
        </w:tc>
      </w:tr>
      <w:tr w:rsidR="00990B14" w14:paraId="3E776620" w14:textId="77777777">
        <w:trPr>
          <w:cantSplit/>
          <w:jc w:val="center"/>
        </w:trPr>
        <w:tc>
          <w:tcPr>
            <w:tcW w:w="3133" w:type="dxa"/>
            <w:gridSpan w:val="4"/>
            <w:vMerge w:val="restart"/>
            <w:shd w:val="clear" w:color="auto" w:fill="D9E2F3"/>
            <w:vAlign w:val="center"/>
          </w:tcPr>
          <w:p w14:paraId="4D259A70" w14:textId="77777777" w:rsidR="00990B14" w:rsidRDefault="00000000">
            <w:pPr>
              <w:spacing w:before="20" w:after="20"/>
              <w:jc w:val="both"/>
            </w:pPr>
            <w:r>
              <w:rPr>
                <w:sz w:val="18"/>
                <w:szCs w:val="18"/>
              </w:rPr>
              <w:t>1. Registra el tratamiento contable individual de los tipos y modalidades de crédito que ofrece una entidad financiera, a lo largo de su ciclo contable: desembolso, previsión, devengamiento de intereses y recuperación.</w:t>
            </w:r>
          </w:p>
        </w:tc>
        <w:tc>
          <w:tcPr>
            <w:tcW w:w="3135" w:type="dxa"/>
            <w:gridSpan w:val="5"/>
            <w:shd w:val="clear" w:color="auto" w:fill="D9E2F3"/>
            <w:vAlign w:val="center"/>
          </w:tcPr>
          <w:p w14:paraId="36A29F51" w14:textId="77777777" w:rsidR="00990B14" w:rsidRDefault="00000000">
            <w:pPr>
              <w:spacing w:before="20" w:after="20"/>
              <w:jc w:val="both"/>
            </w:pPr>
            <w:r>
              <w:rPr>
                <w:sz w:val="18"/>
                <w:szCs w:val="18"/>
              </w:rPr>
              <w:t>1.1 Desarrolla en aula un ejercicio integral de las operaciones de la cartera vigente de una entidad financiera (desembolso, devengamiento de intereses, previsión y recuperación) y lo expone en los estados financieros.</w:t>
            </w:r>
          </w:p>
        </w:tc>
        <w:tc>
          <w:tcPr>
            <w:tcW w:w="3137" w:type="dxa"/>
            <w:gridSpan w:val="4"/>
            <w:shd w:val="clear" w:color="auto" w:fill="D9E2F3"/>
            <w:vAlign w:val="center"/>
          </w:tcPr>
          <w:p w14:paraId="17C6BE18" w14:textId="77777777" w:rsidR="00990B14" w:rsidRDefault="00000000">
            <w:pPr>
              <w:spacing w:before="20" w:after="20"/>
              <w:jc w:val="both"/>
            </w:pPr>
            <w:r>
              <w:rPr>
                <w:b/>
                <w:bCs/>
                <w:sz w:val="18"/>
                <w:szCs w:val="18"/>
              </w:rPr>
              <w:t xml:space="preserve">Producto 9: </w:t>
            </w:r>
            <w:r>
              <w:rPr>
                <w:sz w:val="18"/>
                <w:szCs w:val="18"/>
              </w:rPr>
              <w:t>Ejercicio integral de las operaciones de la cartera vigente de una entidad financiera, con su exposición en los estados financieros.</w:t>
            </w:r>
          </w:p>
        </w:tc>
      </w:tr>
      <w:tr w:rsidR="00990B14" w14:paraId="14304FAD" w14:textId="77777777">
        <w:trPr>
          <w:cantSplit/>
          <w:jc w:val="center"/>
        </w:trPr>
        <w:tc>
          <w:tcPr>
            <w:tcW w:w="3133" w:type="dxa"/>
            <w:gridSpan w:val="4"/>
            <w:vMerge/>
            <w:shd w:val="clear" w:color="auto" w:fill="D9E2F3"/>
            <w:vAlign w:val="center"/>
          </w:tcPr>
          <w:p w14:paraId="0595B770" w14:textId="77777777" w:rsidR="00990B14" w:rsidRDefault="00990B14">
            <w:pPr>
              <w:spacing w:before="20" w:after="20"/>
            </w:pPr>
          </w:p>
        </w:tc>
        <w:tc>
          <w:tcPr>
            <w:tcW w:w="3135" w:type="dxa"/>
            <w:gridSpan w:val="5"/>
            <w:shd w:val="clear" w:color="auto" w:fill="D9E2F3"/>
            <w:vAlign w:val="center"/>
          </w:tcPr>
          <w:p w14:paraId="5BAB070C" w14:textId="77777777" w:rsidR="00990B14" w:rsidRDefault="00000000">
            <w:pPr>
              <w:spacing w:before="20" w:after="20"/>
              <w:jc w:val="both"/>
            </w:pPr>
            <w:r>
              <w:rPr>
                <w:sz w:val="18"/>
                <w:szCs w:val="18"/>
              </w:rPr>
              <w:t>1.2 Desarrolla en equipo un ejercicio integral de las operaciones de la cartera vencida, calculando los intereses vencidos y los intereses penales, y lo expone en los estados financieros.</w:t>
            </w:r>
          </w:p>
        </w:tc>
        <w:tc>
          <w:tcPr>
            <w:tcW w:w="3137" w:type="dxa"/>
            <w:gridSpan w:val="4"/>
            <w:shd w:val="clear" w:color="auto" w:fill="D9E2F3"/>
            <w:vAlign w:val="center"/>
          </w:tcPr>
          <w:p w14:paraId="4B3A3C83" w14:textId="77777777" w:rsidR="00990B14" w:rsidRDefault="00000000">
            <w:pPr>
              <w:spacing w:before="20" w:after="20"/>
              <w:jc w:val="both"/>
            </w:pPr>
            <w:r>
              <w:rPr>
                <w:b/>
                <w:bCs/>
                <w:sz w:val="18"/>
                <w:szCs w:val="18"/>
              </w:rPr>
              <w:t xml:space="preserve">Producto 10: </w:t>
            </w:r>
            <w:r>
              <w:rPr>
                <w:sz w:val="18"/>
                <w:szCs w:val="18"/>
              </w:rPr>
              <w:t>Ejercicio integral de las operaciones de la cartera vencida, con el cálculo de los intereses vencidos y penales y su exposición en los estados financieros.</w:t>
            </w:r>
          </w:p>
        </w:tc>
      </w:tr>
      <w:tr w:rsidR="00990B14" w14:paraId="56586C17" w14:textId="77777777">
        <w:trPr>
          <w:cantSplit/>
          <w:jc w:val="center"/>
        </w:trPr>
        <w:tc>
          <w:tcPr>
            <w:tcW w:w="3133" w:type="dxa"/>
            <w:gridSpan w:val="4"/>
            <w:vMerge w:val="restart"/>
            <w:shd w:val="clear" w:color="auto" w:fill="D9E2F3"/>
            <w:vAlign w:val="center"/>
          </w:tcPr>
          <w:p w14:paraId="1C6D4A69" w14:textId="77777777" w:rsidR="00990B14" w:rsidRDefault="00000000">
            <w:pPr>
              <w:spacing w:before="20" w:after="20"/>
              <w:jc w:val="both"/>
            </w:pPr>
            <w:r>
              <w:rPr>
                <w:sz w:val="18"/>
                <w:szCs w:val="18"/>
              </w:rPr>
              <w:t>2. Registra el tratamiento contable de los créditos con recursos de entidades financieras, de la cartera en ejecución y de la recuperación del crédito mediante bienes adjudicados por vía legal.</w:t>
            </w:r>
          </w:p>
        </w:tc>
        <w:tc>
          <w:tcPr>
            <w:tcW w:w="3135" w:type="dxa"/>
            <w:gridSpan w:val="5"/>
            <w:shd w:val="clear" w:color="auto" w:fill="D9E2F3"/>
            <w:vAlign w:val="center"/>
          </w:tcPr>
          <w:p w14:paraId="27CC5837" w14:textId="77777777" w:rsidR="00990B14" w:rsidRDefault="00000000">
            <w:pPr>
              <w:spacing w:before="20" w:after="20"/>
              <w:jc w:val="both"/>
            </w:pPr>
            <w:r>
              <w:rPr>
                <w:sz w:val="18"/>
                <w:szCs w:val="18"/>
              </w:rPr>
              <w:t>2.1 Registra en aula las operaciones de crédito con recursos de entidades financieras y las expone en los estados financieros.</w:t>
            </w:r>
          </w:p>
        </w:tc>
        <w:tc>
          <w:tcPr>
            <w:tcW w:w="3137" w:type="dxa"/>
            <w:gridSpan w:val="4"/>
            <w:shd w:val="clear" w:color="auto" w:fill="D9E2F3"/>
            <w:vAlign w:val="center"/>
          </w:tcPr>
          <w:p w14:paraId="6561070D" w14:textId="77777777" w:rsidR="00990B14" w:rsidRDefault="00000000">
            <w:pPr>
              <w:spacing w:before="20" w:after="20"/>
              <w:jc w:val="both"/>
            </w:pPr>
            <w:r>
              <w:rPr>
                <w:b/>
                <w:bCs/>
                <w:sz w:val="18"/>
                <w:szCs w:val="18"/>
              </w:rPr>
              <w:t xml:space="preserve">Producto 11: </w:t>
            </w:r>
            <w:r>
              <w:rPr>
                <w:sz w:val="18"/>
                <w:szCs w:val="18"/>
              </w:rPr>
              <w:t>Tratamiento contable de los créditos con recursos de entidades financieras, con su exposición en los estados financieros.</w:t>
            </w:r>
          </w:p>
        </w:tc>
      </w:tr>
      <w:tr w:rsidR="00990B14" w14:paraId="7BD53E5D" w14:textId="77777777">
        <w:trPr>
          <w:cantSplit/>
          <w:jc w:val="center"/>
        </w:trPr>
        <w:tc>
          <w:tcPr>
            <w:tcW w:w="3133" w:type="dxa"/>
            <w:gridSpan w:val="4"/>
            <w:vMerge/>
            <w:shd w:val="clear" w:color="auto" w:fill="D9E2F3"/>
            <w:vAlign w:val="center"/>
          </w:tcPr>
          <w:p w14:paraId="19379D8D" w14:textId="77777777" w:rsidR="00990B14" w:rsidRDefault="00990B14">
            <w:pPr>
              <w:spacing w:before="20" w:after="20"/>
            </w:pPr>
          </w:p>
        </w:tc>
        <w:tc>
          <w:tcPr>
            <w:tcW w:w="3135" w:type="dxa"/>
            <w:gridSpan w:val="5"/>
            <w:shd w:val="clear" w:color="auto" w:fill="D9E2F3"/>
            <w:vAlign w:val="center"/>
          </w:tcPr>
          <w:p w14:paraId="05A3F2FB" w14:textId="77777777" w:rsidR="00990B14" w:rsidRDefault="00000000">
            <w:pPr>
              <w:spacing w:before="20" w:after="20"/>
              <w:jc w:val="both"/>
            </w:pPr>
            <w:r>
              <w:rPr>
                <w:sz w:val="18"/>
                <w:szCs w:val="18"/>
              </w:rPr>
              <w:t>2.2 Registra en equipo el tratamiento contable de la cartera en ejecución y de su recuperación mediante la adjudicación de bienes por vía legal, y lo expone en los estados financieros.</w:t>
            </w:r>
          </w:p>
        </w:tc>
        <w:tc>
          <w:tcPr>
            <w:tcW w:w="3137" w:type="dxa"/>
            <w:gridSpan w:val="4"/>
            <w:shd w:val="clear" w:color="auto" w:fill="D9E2F3"/>
            <w:vAlign w:val="center"/>
          </w:tcPr>
          <w:p w14:paraId="7DAD48F8" w14:textId="77777777" w:rsidR="00990B14" w:rsidRDefault="00000000">
            <w:pPr>
              <w:spacing w:before="20" w:after="20"/>
              <w:jc w:val="both"/>
            </w:pPr>
            <w:r>
              <w:rPr>
                <w:b/>
                <w:bCs/>
                <w:sz w:val="18"/>
                <w:szCs w:val="18"/>
              </w:rPr>
              <w:t xml:space="preserve">Producto 12: </w:t>
            </w:r>
            <w:r>
              <w:rPr>
                <w:sz w:val="18"/>
                <w:szCs w:val="18"/>
              </w:rPr>
              <w:t>Tratamiento contable de la cartera en ejecución y de su recuperación mediante la adjudicación de bienes, con su exposición en los estados financieros.</w:t>
            </w:r>
          </w:p>
        </w:tc>
      </w:tr>
      <w:tr w:rsidR="00990B14" w14:paraId="5BA11F93" w14:textId="77777777">
        <w:trPr>
          <w:cantSplit/>
          <w:jc w:val="center"/>
        </w:trPr>
        <w:tc>
          <w:tcPr>
            <w:tcW w:w="9405" w:type="dxa"/>
            <w:gridSpan w:val="13"/>
            <w:shd w:val="clear" w:color="auto" w:fill="4472C4"/>
            <w:vAlign w:val="center"/>
          </w:tcPr>
          <w:p w14:paraId="3EC661C2" w14:textId="77777777" w:rsidR="00990B14" w:rsidRDefault="00000000">
            <w:pPr>
              <w:keepNext/>
              <w:spacing w:before="20" w:after="20"/>
              <w:jc w:val="center"/>
            </w:pPr>
            <w:r>
              <w:rPr>
                <w:b/>
                <w:bCs/>
                <w:i/>
                <w:iCs/>
                <w:color w:val="FFFFFF"/>
                <w:sz w:val="18"/>
                <w:szCs w:val="18"/>
              </w:rPr>
              <w:t>Evidencias de conocimiento</w:t>
            </w:r>
          </w:p>
        </w:tc>
      </w:tr>
      <w:tr w:rsidR="00990B14" w14:paraId="6E06B727" w14:textId="77777777">
        <w:trPr>
          <w:cantSplit/>
          <w:jc w:val="center"/>
        </w:trPr>
        <w:tc>
          <w:tcPr>
            <w:tcW w:w="2349" w:type="dxa"/>
            <w:gridSpan w:val="2"/>
            <w:shd w:val="clear" w:color="auto" w:fill="4472C4"/>
            <w:vAlign w:val="center"/>
          </w:tcPr>
          <w:p w14:paraId="4F452AE9"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2B8C04B0" w14:textId="77777777" w:rsidR="00990B14" w:rsidRDefault="00000000">
            <w:pPr>
              <w:keepNext/>
              <w:spacing w:before="20" w:after="20"/>
              <w:jc w:val="both"/>
            </w:pPr>
            <w:r>
              <w:rPr>
                <w:b/>
                <w:bCs/>
                <w:i/>
                <w:iCs/>
                <w:color w:val="FFFFFF"/>
                <w:sz w:val="18"/>
                <w:szCs w:val="18"/>
              </w:rPr>
              <w:t>Contenidos</w:t>
            </w:r>
          </w:p>
          <w:p w14:paraId="359C97D3"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537942DB" w14:textId="77777777" w:rsidR="00990B14" w:rsidRDefault="00000000">
            <w:pPr>
              <w:keepNext/>
              <w:spacing w:before="20" w:after="20"/>
              <w:jc w:val="center"/>
            </w:pPr>
            <w:r>
              <w:rPr>
                <w:b/>
                <w:bCs/>
                <w:i/>
                <w:iCs/>
                <w:color w:val="FFFFFF"/>
                <w:sz w:val="18"/>
                <w:szCs w:val="18"/>
              </w:rPr>
              <w:t>Conocimientos circunstanciales</w:t>
            </w:r>
          </w:p>
        </w:tc>
      </w:tr>
      <w:tr w:rsidR="00990B14" w14:paraId="522EB4A2" w14:textId="77777777">
        <w:trPr>
          <w:jc w:val="center"/>
        </w:trPr>
        <w:tc>
          <w:tcPr>
            <w:tcW w:w="2349" w:type="dxa"/>
            <w:gridSpan w:val="2"/>
            <w:shd w:val="clear" w:color="auto" w:fill="D9E2F3"/>
          </w:tcPr>
          <w:p w14:paraId="12AD4D14" w14:textId="77777777" w:rsidR="00990B14" w:rsidRDefault="00000000">
            <w:pPr>
              <w:spacing w:before="20" w:after="40"/>
              <w:jc w:val="both"/>
            </w:pPr>
            <w:r>
              <w:rPr>
                <w:sz w:val="18"/>
                <w:szCs w:val="18"/>
              </w:rPr>
              <w:t>Tema 11: Cartera de Créditos</w:t>
            </w:r>
          </w:p>
          <w:p w14:paraId="1D72C020" w14:textId="77777777" w:rsidR="00990B14" w:rsidRDefault="00000000">
            <w:pPr>
              <w:spacing w:before="20" w:after="40"/>
              <w:jc w:val="both"/>
            </w:pPr>
            <w:r>
              <w:rPr>
                <w:sz w:val="18"/>
                <w:szCs w:val="18"/>
              </w:rPr>
              <w:t>Tema 12: Régimen de Previsiones de Cartera</w:t>
            </w:r>
          </w:p>
          <w:p w14:paraId="56414685" w14:textId="77777777" w:rsidR="00990B14" w:rsidRDefault="00000000">
            <w:pPr>
              <w:spacing w:before="20" w:after="40"/>
              <w:jc w:val="both"/>
            </w:pPr>
            <w:r>
              <w:rPr>
                <w:sz w:val="18"/>
                <w:szCs w:val="18"/>
              </w:rPr>
              <w:t>Tema 13: Adelantos en Cuentas Corrientes</w:t>
            </w:r>
          </w:p>
          <w:p w14:paraId="213B2D51" w14:textId="77777777" w:rsidR="00990B14" w:rsidRDefault="00000000">
            <w:pPr>
              <w:spacing w:before="20" w:after="40"/>
              <w:jc w:val="both"/>
            </w:pPr>
            <w:r>
              <w:rPr>
                <w:sz w:val="18"/>
                <w:szCs w:val="18"/>
              </w:rPr>
              <w:t>Tema 14: Documentos Descontados</w:t>
            </w:r>
          </w:p>
          <w:p w14:paraId="76463D76" w14:textId="77777777" w:rsidR="00990B14" w:rsidRDefault="00000000">
            <w:pPr>
              <w:spacing w:before="20" w:after="40"/>
              <w:jc w:val="both"/>
            </w:pPr>
            <w:r>
              <w:rPr>
                <w:sz w:val="18"/>
                <w:szCs w:val="18"/>
              </w:rPr>
              <w:t>Tema 15: Préstamos a Plazo Fijo</w:t>
            </w:r>
          </w:p>
          <w:p w14:paraId="7FB0CB2E" w14:textId="77777777" w:rsidR="00990B14" w:rsidRDefault="00000000">
            <w:pPr>
              <w:spacing w:before="20" w:after="40"/>
              <w:jc w:val="both"/>
            </w:pPr>
            <w:r>
              <w:rPr>
                <w:sz w:val="18"/>
                <w:szCs w:val="18"/>
              </w:rPr>
              <w:t>Tema 16: Préstamos Amortizables</w:t>
            </w:r>
          </w:p>
          <w:p w14:paraId="3C6F9288" w14:textId="77777777" w:rsidR="00990B14" w:rsidRDefault="00000000">
            <w:pPr>
              <w:spacing w:before="20" w:after="40"/>
              <w:jc w:val="both"/>
            </w:pPr>
            <w:r>
              <w:rPr>
                <w:sz w:val="18"/>
                <w:szCs w:val="18"/>
              </w:rPr>
              <w:t>Tema 17: Tarjetas de Crédito</w:t>
            </w:r>
          </w:p>
          <w:p w14:paraId="1F5537C3" w14:textId="77777777" w:rsidR="00990B14" w:rsidRDefault="00000000">
            <w:pPr>
              <w:spacing w:before="20" w:after="40"/>
              <w:jc w:val="both"/>
            </w:pPr>
            <w:r>
              <w:rPr>
                <w:sz w:val="18"/>
                <w:szCs w:val="18"/>
              </w:rPr>
              <w:t>Tema 18: Préstamos con Recursos del BCB/ Entidades Financieras de Segundo Piso</w:t>
            </w:r>
          </w:p>
          <w:p w14:paraId="2348EAD7" w14:textId="77777777" w:rsidR="00990B14" w:rsidRDefault="00000000">
            <w:pPr>
              <w:spacing w:before="20" w:after="40"/>
              <w:jc w:val="both"/>
            </w:pPr>
            <w:r>
              <w:rPr>
                <w:sz w:val="18"/>
                <w:szCs w:val="18"/>
              </w:rPr>
              <w:t>Tema 19: Cartera en Mora</w:t>
            </w:r>
          </w:p>
          <w:p w14:paraId="3F65FA05" w14:textId="77777777" w:rsidR="00990B14" w:rsidRDefault="00000000">
            <w:pPr>
              <w:spacing w:before="20" w:after="40"/>
              <w:jc w:val="both"/>
            </w:pPr>
            <w:r>
              <w:rPr>
                <w:sz w:val="18"/>
                <w:szCs w:val="18"/>
              </w:rPr>
              <w:t>Tema 20: Bienes Adjudicados</w:t>
            </w:r>
          </w:p>
        </w:tc>
        <w:tc>
          <w:tcPr>
            <w:tcW w:w="4304" w:type="dxa"/>
            <w:gridSpan w:val="8"/>
            <w:shd w:val="clear" w:color="auto" w:fill="D9E2F3"/>
          </w:tcPr>
          <w:p w14:paraId="46356955" w14:textId="77777777" w:rsidR="00990B14" w:rsidRDefault="00000000">
            <w:pPr>
              <w:spacing w:before="60" w:after="20"/>
              <w:jc w:val="both"/>
            </w:pPr>
            <w:r>
              <w:rPr>
                <w:b/>
                <w:bCs/>
                <w:sz w:val="18"/>
                <w:szCs w:val="18"/>
              </w:rPr>
              <w:t>Tema 11:</w:t>
            </w:r>
          </w:p>
          <w:p w14:paraId="0A16C1B7" w14:textId="77777777" w:rsidR="00990B14" w:rsidRDefault="00000000">
            <w:pPr>
              <w:spacing w:after="40"/>
              <w:jc w:val="both"/>
            </w:pPr>
            <w:r>
              <w:rPr>
                <w:sz w:val="18"/>
                <w:szCs w:val="18"/>
              </w:rPr>
              <w:t>Concepto, importancia y función de la cartera de créditos en una entidad financiera. (C)</w:t>
            </w:r>
          </w:p>
          <w:p w14:paraId="2612492C" w14:textId="77777777" w:rsidR="00990B14" w:rsidRDefault="00000000">
            <w:pPr>
              <w:spacing w:after="40"/>
              <w:jc w:val="both"/>
            </w:pPr>
            <w:r>
              <w:rPr>
                <w:sz w:val="18"/>
                <w:szCs w:val="18"/>
              </w:rPr>
              <w:t>Clasificación de los créditos según la Ley de Servicios Financieros y la normativa de la ASFI. (C)</w:t>
            </w:r>
          </w:p>
          <w:p w14:paraId="268DDF99" w14:textId="77777777" w:rsidR="00990B14" w:rsidRDefault="00000000">
            <w:pPr>
              <w:spacing w:after="40"/>
              <w:jc w:val="both"/>
            </w:pPr>
            <w:r>
              <w:rPr>
                <w:sz w:val="18"/>
                <w:szCs w:val="18"/>
              </w:rPr>
              <w:t>Estructura de las cuentas de cartera en el Manual de Cuentas de la ASFI. (C)</w:t>
            </w:r>
          </w:p>
          <w:p w14:paraId="2BC7B66B" w14:textId="77777777" w:rsidR="00990B14" w:rsidRDefault="00000000">
            <w:pPr>
              <w:spacing w:before="60" w:after="20"/>
              <w:jc w:val="both"/>
            </w:pPr>
            <w:r>
              <w:rPr>
                <w:b/>
                <w:bCs/>
                <w:sz w:val="18"/>
                <w:szCs w:val="18"/>
              </w:rPr>
              <w:t>Tema 12:</w:t>
            </w:r>
          </w:p>
          <w:p w14:paraId="27ADE570" w14:textId="77777777" w:rsidR="00990B14" w:rsidRDefault="00000000">
            <w:pPr>
              <w:spacing w:after="40"/>
              <w:jc w:val="both"/>
            </w:pPr>
            <w:r>
              <w:rPr>
                <w:sz w:val="18"/>
                <w:szCs w:val="18"/>
              </w:rPr>
              <w:t>Créditos empresariales: características, destino y tratamiento contable. (C, P)</w:t>
            </w:r>
          </w:p>
          <w:p w14:paraId="5547C6DD" w14:textId="77777777" w:rsidR="00990B14" w:rsidRDefault="00000000">
            <w:pPr>
              <w:spacing w:after="40"/>
              <w:jc w:val="both"/>
            </w:pPr>
            <w:r>
              <w:rPr>
                <w:sz w:val="18"/>
                <w:szCs w:val="18"/>
              </w:rPr>
              <w:t>Créditos PYME y microcréditos: características, destino y tratamiento contable. (C, P)</w:t>
            </w:r>
          </w:p>
          <w:p w14:paraId="3DA4E992" w14:textId="77777777" w:rsidR="00990B14" w:rsidRDefault="00000000">
            <w:pPr>
              <w:spacing w:before="60" w:after="20"/>
              <w:jc w:val="both"/>
            </w:pPr>
            <w:r>
              <w:rPr>
                <w:b/>
                <w:bCs/>
                <w:sz w:val="18"/>
                <w:szCs w:val="18"/>
              </w:rPr>
              <w:t>Tema 13:</w:t>
            </w:r>
          </w:p>
          <w:p w14:paraId="7AA16558" w14:textId="77777777" w:rsidR="00990B14" w:rsidRDefault="00000000">
            <w:pPr>
              <w:spacing w:after="40"/>
              <w:jc w:val="both"/>
            </w:pPr>
            <w:r>
              <w:rPr>
                <w:sz w:val="18"/>
                <w:szCs w:val="18"/>
              </w:rPr>
              <w:t>Créditos de vivienda y de vivienda de interés social: características y tratamiento contable. (C, P)</w:t>
            </w:r>
          </w:p>
          <w:p w14:paraId="1CB9E2F9" w14:textId="77777777" w:rsidR="00990B14" w:rsidRDefault="00000000">
            <w:pPr>
              <w:spacing w:after="40"/>
              <w:jc w:val="both"/>
            </w:pPr>
            <w:r>
              <w:rPr>
                <w:sz w:val="18"/>
                <w:szCs w:val="18"/>
              </w:rPr>
              <w:t>Créditos de consumo y de consumo debitado a una cuenta: características y tratamiento contable. (C, P)</w:t>
            </w:r>
          </w:p>
          <w:p w14:paraId="224523A1" w14:textId="77777777" w:rsidR="00990B14" w:rsidRDefault="00000000">
            <w:pPr>
              <w:spacing w:before="60" w:after="20"/>
              <w:jc w:val="both"/>
            </w:pPr>
            <w:r>
              <w:rPr>
                <w:b/>
                <w:bCs/>
                <w:sz w:val="18"/>
                <w:szCs w:val="18"/>
              </w:rPr>
              <w:t>Tema 14:</w:t>
            </w:r>
          </w:p>
          <w:p w14:paraId="5174A1AB" w14:textId="77777777" w:rsidR="00990B14" w:rsidRDefault="00000000">
            <w:pPr>
              <w:spacing w:after="40"/>
              <w:jc w:val="both"/>
            </w:pPr>
            <w:r>
              <w:rPr>
                <w:sz w:val="18"/>
                <w:szCs w:val="18"/>
              </w:rPr>
              <w:t>Modalidades de crédito: sobregiros, líneas de crédito, descuento de documentos y créditos en cuotas. (C, P)</w:t>
            </w:r>
          </w:p>
          <w:p w14:paraId="026AF038" w14:textId="77777777" w:rsidR="00990B14" w:rsidRDefault="00000000">
            <w:pPr>
              <w:spacing w:after="40"/>
              <w:jc w:val="both"/>
            </w:pPr>
            <w:r>
              <w:rPr>
                <w:sz w:val="18"/>
                <w:szCs w:val="18"/>
              </w:rPr>
              <w:t>Operaciones contingentes: boletas de garantía y cartas de crédito. (C)</w:t>
            </w:r>
          </w:p>
          <w:p w14:paraId="5B8E58AD" w14:textId="77777777" w:rsidR="00990B14" w:rsidRDefault="00000000">
            <w:pPr>
              <w:spacing w:before="60" w:after="20"/>
              <w:jc w:val="both"/>
            </w:pPr>
            <w:r>
              <w:rPr>
                <w:b/>
                <w:bCs/>
                <w:sz w:val="18"/>
                <w:szCs w:val="18"/>
              </w:rPr>
              <w:t>Tema 15:</w:t>
            </w:r>
          </w:p>
          <w:p w14:paraId="7EECD7DD" w14:textId="77777777" w:rsidR="00990B14" w:rsidRDefault="00000000">
            <w:pPr>
              <w:spacing w:after="40"/>
              <w:jc w:val="both"/>
            </w:pPr>
            <w:r>
              <w:rPr>
                <w:sz w:val="18"/>
                <w:szCs w:val="18"/>
              </w:rPr>
              <w:t>Evaluación de la capacidad de pago y responsabilidad en el otorgamiento del crédito. (C, A)</w:t>
            </w:r>
          </w:p>
          <w:p w14:paraId="5F222328" w14:textId="77777777" w:rsidR="00990B14" w:rsidRDefault="00000000">
            <w:pPr>
              <w:spacing w:after="40"/>
              <w:jc w:val="both"/>
            </w:pPr>
            <w:r>
              <w:rPr>
                <w:sz w:val="18"/>
                <w:szCs w:val="18"/>
              </w:rPr>
              <w:t>Garantías del crédito y su tratamiento contable. (C)</w:t>
            </w:r>
          </w:p>
          <w:p w14:paraId="3BABA8B2" w14:textId="77777777" w:rsidR="00990B14" w:rsidRDefault="00000000">
            <w:pPr>
              <w:spacing w:after="40"/>
              <w:jc w:val="both"/>
            </w:pPr>
            <w:r>
              <w:rPr>
                <w:sz w:val="18"/>
                <w:szCs w:val="18"/>
              </w:rPr>
              <w:t>Calificación de la cartera y categorías de riesgo; régimen de previsiones específica, genérica y cíclica. (C, P)</w:t>
            </w:r>
          </w:p>
          <w:p w14:paraId="43739579" w14:textId="77777777" w:rsidR="00990B14" w:rsidRDefault="00000000">
            <w:pPr>
              <w:spacing w:before="60" w:after="20"/>
              <w:jc w:val="both"/>
            </w:pPr>
            <w:r>
              <w:rPr>
                <w:b/>
                <w:bCs/>
                <w:sz w:val="18"/>
                <w:szCs w:val="18"/>
              </w:rPr>
              <w:t>Tema 16:</w:t>
            </w:r>
          </w:p>
          <w:p w14:paraId="443A1082" w14:textId="77777777" w:rsidR="00990B14" w:rsidRDefault="00000000">
            <w:pPr>
              <w:spacing w:after="40"/>
              <w:jc w:val="both"/>
            </w:pPr>
            <w:r>
              <w:rPr>
                <w:sz w:val="18"/>
                <w:szCs w:val="18"/>
              </w:rPr>
              <w:t>Desembolso del crédito: registro contable y comisiones. (P)</w:t>
            </w:r>
          </w:p>
          <w:p w14:paraId="029824FF" w14:textId="77777777" w:rsidR="00990B14" w:rsidRDefault="00000000">
            <w:pPr>
              <w:spacing w:after="40"/>
              <w:jc w:val="both"/>
            </w:pPr>
            <w:r>
              <w:rPr>
                <w:sz w:val="18"/>
                <w:szCs w:val="18"/>
              </w:rPr>
              <w:t>Devengamiento de intereses y productos devengados por cobrar. (C, P)</w:t>
            </w:r>
          </w:p>
          <w:p w14:paraId="21CFEEFB" w14:textId="77777777" w:rsidR="00990B14" w:rsidRDefault="00000000">
            <w:pPr>
              <w:spacing w:after="40"/>
              <w:jc w:val="both"/>
            </w:pPr>
            <w:r>
              <w:rPr>
                <w:sz w:val="18"/>
                <w:szCs w:val="18"/>
              </w:rPr>
              <w:t>Cobro de cuotas, amortización y recuperación de la cartera vigente; plan de pagos en hoja de cálculo. (P, T)</w:t>
            </w:r>
          </w:p>
          <w:p w14:paraId="410FCA55" w14:textId="77777777" w:rsidR="00990B14" w:rsidRDefault="00000000">
            <w:pPr>
              <w:spacing w:after="40"/>
              <w:jc w:val="both"/>
            </w:pPr>
            <w:r>
              <w:rPr>
                <w:sz w:val="18"/>
                <w:szCs w:val="18"/>
              </w:rPr>
              <w:t>Ejercicio integral de la cartera vigente y su exposición en los estados financieros. (P)</w:t>
            </w:r>
          </w:p>
          <w:p w14:paraId="15D203BC" w14:textId="77777777" w:rsidR="00990B14" w:rsidRDefault="00000000">
            <w:pPr>
              <w:spacing w:before="60" w:after="20"/>
              <w:jc w:val="both"/>
            </w:pPr>
            <w:r>
              <w:rPr>
                <w:b/>
                <w:bCs/>
                <w:sz w:val="18"/>
                <w:szCs w:val="18"/>
              </w:rPr>
              <w:t>Tema 17:</w:t>
            </w:r>
          </w:p>
          <w:p w14:paraId="34E60981" w14:textId="77777777" w:rsidR="00990B14" w:rsidRDefault="00000000">
            <w:pPr>
              <w:spacing w:after="40"/>
              <w:jc w:val="both"/>
            </w:pPr>
            <w:r>
              <w:rPr>
                <w:sz w:val="18"/>
                <w:szCs w:val="18"/>
              </w:rPr>
              <w:t>Traspaso de la cartera vigente a cartera vencida; criterios de mora. (C)</w:t>
            </w:r>
          </w:p>
          <w:p w14:paraId="78077B44" w14:textId="77777777" w:rsidR="00990B14" w:rsidRDefault="00000000">
            <w:pPr>
              <w:spacing w:after="40"/>
              <w:jc w:val="both"/>
            </w:pPr>
            <w:r>
              <w:rPr>
                <w:sz w:val="18"/>
                <w:szCs w:val="18"/>
              </w:rPr>
              <w:t>Cálculo y registro de los intereses vencidos y de los intereses penales; suspensión del devengamiento. (P, T)</w:t>
            </w:r>
          </w:p>
          <w:p w14:paraId="5210E500" w14:textId="77777777" w:rsidR="00990B14" w:rsidRDefault="00000000">
            <w:pPr>
              <w:spacing w:after="40"/>
              <w:jc w:val="both"/>
            </w:pPr>
            <w:r>
              <w:rPr>
                <w:sz w:val="18"/>
                <w:szCs w:val="18"/>
              </w:rPr>
              <w:t>Previsión, recuperación y reprogramación de la cartera vencida. (C, P)</w:t>
            </w:r>
          </w:p>
          <w:p w14:paraId="6D2E103B" w14:textId="77777777" w:rsidR="00990B14" w:rsidRDefault="00000000">
            <w:pPr>
              <w:spacing w:after="40"/>
              <w:jc w:val="both"/>
            </w:pPr>
            <w:r>
              <w:rPr>
                <w:sz w:val="18"/>
                <w:szCs w:val="18"/>
              </w:rPr>
              <w:t>Ejercicio integral de la cartera vencida y su exposición en los estados financieros. (P)</w:t>
            </w:r>
          </w:p>
          <w:p w14:paraId="1B31A278" w14:textId="77777777" w:rsidR="00990B14" w:rsidRDefault="00000000">
            <w:pPr>
              <w:spacing w:before="60" w:after="20"/>
              <w:jc w:val="both"/>
            </w:pPr>
            <w:r>
              <w:rPr>
                <w:b/>
                <w:bCs/>
                <w:sz w:val="18"/>
                <w:szCs w:val="18"/>
              </w:rPr>
              <w:t>Tema 18:</w:t>
            </w:r>
          </w:p>
          <w:p w14:paraId="5A3292F5" w14:textId="77777777" w:rsidR="00990B14" w:rsidRDefault="00000000">
            <w:pPr>
              <w:spacing w:after="40"/>
              <w:jc w:val="both"/>
            </w:pPr>
            <w:r>
              <w:rPr>
                <w:sz w:val="18"/>
                <w:szCs w:val="18"/>
              </w:rPr>
              <w:t>Entidades financieras de segundo piso: concepto, función y marco normativo. (C)</w:t>
            </w:r>
          </w:p>
          <w:p w14:paraId="613CB823" w14:textId="77777777" w:rsidR="00990B14" w:rsidRDefault="00000000">
            <w:pPr>
              <w:spacing w:after="40"/>
              <w:jc w:val="both"/>
            </w:pPr>
            <w:r>
              <w:rPr>
                <w:sz w:val="18"/>
                <w:szCs w:val="18"/>
              </w:rPr>
              <w:t>Créditos con recursos del BCB/ segundo piso: obligaciones, desembolso, devengamiento y cancelación; tratamiento contable. (C, P)</w:t>
            </w:r>
          </w:p>
          <w:p w14:paraId="71710F92" w14:textId="77777777" w:rsidR="00990B14" w:rsidRDefault="00000000">
            <w:pPr>
              <w:spacing w:after="40"/>
              <w:jc w:val="both"/>
            </w:pPr>
            <w:r>
              <w:rPr>
                <w:sz w:val="18"/>
                <w:szCs w:val="18"/>
              </w:rPr>
              <w:t>Exposición de las operaciones con recursos de segundo piso en los estados financieros. (P)</w:t>
            </w:r>
          </w:p>
          <w:p w14:paraId="196F53B8" w14:textId="77777777" w:rsidR="00990B14" w:rsidRDefault="00000000">
            <w:pPr>
              <w:spacing w:before="60" w:after="20"/>
              <w:jc w:val="both"/>
            </w:pPr>
            <w:r>
              <w:rPr>
                <w:b/>
                <w:bCs/>
                <w:sz w:val="18"/>
                <w:szCs w:val="18"/>
              </w:rPr>
              <w:t>Tema 19:</w:t>
            </w:r>
          </w:p>
          <w:p w14:paraId="5EEB8119" w14:textId="77777777" w:rsidR="00990B14" w:rsidRDefault="00000000">
            <w:pPr>
              <w:spacing w:after="40"/>
              <w:jc w:val="both"/>
            </w:pPr>
            <w:r>
              <w:rPr>
                <w:sz w:val="18"/>
                <w:szCs w:val="18"/>
              </w:rPr>
              <w:t>Traspaso a cartera en ejecución; inicio de la acción judicial y suspensión de productos. (C)</w:t>
            </w:r>
          </w:p>
          <w:p w14:paraId="0BC49253" w14:textId="77777777" w:rsidR="00990B14" w:rsidRDefault="00000000">
            <w:pPr>
              <w:spacing w:after="40"/>
              <w:jc w:val="both"/>
            </w:pPr>
            <w:r>
              <w:rPr>
                <w:sz w:val="18"/>
                <w:szCs w:val="18"/>
              </w:rPr>
              <w:t>Previsión y registro contable de la cartera en ejecución. (C, P)</w:t>
            </w:r>
          </w:p>
          <w:p w14:paraId="0F2E1F65" w14:textId="77777777" w:rsidR="00990B14" w:rsidRDefault="00000000">
            <w:pPr>
              <w:spacing w:after="40"/>
              <w:jc w:val="both"/>
            </w:pPr>
            <w:r>
              <w:rPr>
                <w:sz w:val="18"/>
                <w:szCs w:val="18"/>
              </w:rPr>
              <w:t>Recuperación de la cartera en ejecución y castigo de créditos. (C)</w:t>
            </w:r>
          </w:p>
          <w:p w14:paraId="777723BB" w14:textId="77777777" w:rsidR="00990B14" w:rsidRDefault="00000000">
            <w:pPr>
              <w:spacing w:before="60" w:after="20"/>
              <w:jc w:val="both"/>
            </w:pPr>
            <w:r>
              <w:rPr>
                <w:b/>
                <w:bCs/>
                <w:sz w:val="18"/>
                <w:szCs w:val="18"/>
              </w:rPr>
              <w:t>Tema 20:</w:t>
            </w:r>
          </w:p>
          <w:p w14:paraId="30A2A60F" w14:textId="77777777" w:rsidR="00990B14" w:rsidRDefault="00000000">
            <w:pPr>
              <w:spacing w:after="40"/>
              <w:jc w:val="both"/>
            </w:pPr>
            <w:r>
              <w:rPr>
                <w:sz w:val="18"/>
                <w:szCs w:val="18"/>
              </w:rPr>
              <w:t>Adjudicación de bienes por vía legal: procedimiento y requisitos. (C)</w:t>
            </w:r>
          </w:p>
          <w:p w14:paraId="6AC9614B" w14:textId="77777777" w:rsidR="00990B14" w:rsidRDefault="00000000">
            <w:pPr>
              <w:spacing w:after="40"/>
              <w:jc w:val="both"/>
            </w:pPr>
            <w:r>
              <w:rPr>
                <w:sz w:val="18"/>
                <w:szCs w:val="18"/>
              </w:rPr>
              <w:t>Registro contable de los bienes adjudicados, previsión por tenencia y enajenación. (C, P)</w:t>
            </w:r>
          </w:p>
          <w:p w14:paraId="4AA65DE7" w14:textId="77777777" w:rsidR="00990B14" w:rsidRDefault="00000000">
            <w:pPr>
              <w:spacing w:after="40"/>
              <w:jc w:val="both"/>
            </w:pPr>
            <w:r>
              <w:rPr>
                <w:sz w:val="18"/>
                <w:szCs w:val="18"/>
              </w:rPr>
              <w:t>Exposición de la cartera en ejecución y de los bienes adjudicados en los estados financieros. (P)</w:t>
            </w:r>
          </w:p>
        </w:tc>
        <w:tc>
          <w:tcPr>
            <w:tcW w:w="2752" w:type="dxa"/>
            <w:gridSpan w:val="3"/>
            <w:shd w:val="clear" w:color="auto" w:fill="D9E2F3"/>
          </w:tcPr>
          <w:p w14:paraId="6B6D30DF" w14:textId="77777777" w:rsidR="00990B14" w:rsidRDefault="00000000">
            <w:pPr>
              <w:numPr>
                <w:ilvl w:val="0"/>
                <w:numId w:val="139"/>
              </w:numPr>
              <w:spacing w:before="10" w:after="10"/>
              <w:jc w:val="both"/>
            </w:pPr>
            <w:r>
              <w:rPr>
                <w:sz w:val="18"/>
                <w:szCs w:val="18"/>
              </w:rPr>
              <w:t>Nociones del proceso de solicitud, evaluación y aprobación del crédito.</w:t>
            </w:r>
          </w:p>
          <w:p w14:paraId="56F8BF90" w14:textId="77777777" w:rsidR="00990B14" w:rsidRDefault="00000000">
            <w:pPr>
              <w:numPr>
                <w:ilvl w:val="0"/>
                <w:numId w:val="139"/>
              </w:numPr>
              <w:spacing w:before="10" w:after="10"/>
              <w:jc w:val="both"/>
            </w:pPr>
            <w:r>
              <w:rPr>
                <w:sz w:val="18"/>
                <w:szCs w:val="18"/>
              </w:rPr>
              <w:t>Nociones de la Central de Información Crediticia y del análisis de riesgo del prestatario.</w:t>
            </w:r>
          </w:p>
          <w:p w14:paraId="1FD9EE87" w14:textId="77777777" w:rsidR="00990B14" w:rsidRDefault="00000000">
            <w:pPr>
              <w:numPr>
                <w:ilvl w:val="0"/>
                <w:numId w:val="139"/>
              </w:numPr>
              <w:spacing w:before="10" w:after="10"/>
              <w:jc w:val="both"/>
            </w:pPr>
            <w:r>
              <w:rPr>
                <w:sz w:val="18"/>
                <w:szCs w:val="18"/>
              </w:rPr>
              <w:t>Nociones del proceso judicial de cobro de créditos.</w:t>
            </w:r>
          </w:p>
          <w:p w14:paraId="06A06426" w14:textId="77777777" w:rsidR="00990B14" w:rsidRDefault="00000000">
            <w:pPr>
              <w:numPr>
                <w:ilvl w:val="0"/>
                <w:numId w:val="139"/>
              </w:numPr>
              <w:spacing w:before="10" w:after="10"/>
              <w:jc w:val="both"/>
            </w:pPr>
            <w:r>
              <w:rPr>
                <w:sz w:val="18"/>
                <w:szCs w:val="18"/>
              </w:rPr>
              <w:t>Nociones de tasación de bienes muebles e inmuebles.</w:t>
            </w:r>
          </w:p>
        </w:tc>
      </w:tr>
      <w:tr w:rsidR="00990B14" w14:paraId="4AF8892F" w14:textId="77777777">
        <w:trPr>
          <w:cantSplit/>
          <w:jc w:val="center"/>
        </w:trPr>
        <w:tc>
          <w:tcPr>
            <w:tcW w:w="9405" w:type="dxa"/>
            <w:gridSpan w:val="13"/>
            <w:shd w:val="clear" w:color="auto" w:fill="D9E2F3"/>
            <w:vAlign w:val="center"/>
          </w:tcPr>
          <w:p w14:paraId="64D498D8" w14:textId="77777777" w:rsidR="00990B14" w:rsidRDefault="00000000">
            <w:pPr>
              <w:spacing w:before="20" w:after="20"/>
              <w:jc w:val="both"/>
            </w:pPr>
            <w:r>
              <w:rPr>
                <w:b/>
                <w:bCs/>
                <w:i/>
                <w:iCs/>
                <w:sz w:val="18"/>
                <w:szCs w:val="18"/>
              </w:rPr>
              <w:t xml:space="preserve">Elemento de competencia 4: </w:t>
            </w:r>
            <w:r>
              <w:rPr>
                <w:sz w:val="18"/>
                <w:szCs w:val="18"/>
              </w:rPr>
              <w:t>Describe, a nivel de nociones, los instrumentos financieros y las operaciones de los agentes de bolsa, las sociedades administradoras de fondos de inversión, las entidades de leasing y las entidades auxiliares financieras, de acuerdo con la normativa del sistema financiero boliviano.</w:t>
            </w:r>
          </w:p>
        </w:tc>
      </w:tr>
      <w:tr w:rsidR="00990B14" w14:paraId="7C4F16B2" w14:textId="77777777">
        <w:trPr>
          <w:cantSplit/>
          <w:jc w:val="center"/>
        </w:trPr>
        <w:tc>
          <w:tcPr>
            <w:tcW w:w="3133" w:type="dxa"/>
            <w:gridSpan w:val="4"/>
            <w:shd w:val="clear" w:color="auto" w:fill="4472C4"/>
            <w:vAlign w:val="center"/>
          </w:tcPr>
          <w:p w14:paraId="3BB3AD6F"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77116199"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70DA2875" w14:textId="77777777" w:rsidR="00990B14" w:rsidRDefault="00000000">
            <w:pPr>
              <w:keepNext/>
              <w:spacing w:before="20" w:after="20"/>
              <w:jc w:val="center"/>
            </w:pPr>
            <w:r>
              <w:rPr>
                <w:b/>
                <w:bCs/>
                <w:i/>
                <w:iCs/>
                <w:color w:val="FFFFFF"/>
                <w:sz w:val="18"/>
                <w:szCs w:val="18"/>
              </w:rPr>
              <w:t>Evidencias de producto</w:t>
            </w:r>
          </w:p>
        </w:tc>
      </w:tr>
      <w:tr w:rsidR="00990B14" w14:paraId="598FD88B" w14:textId="77777777">
        <w:trPr>
          <w:cantSplit/>
          <w:jc w:val="center"/>
        </w:trPr>
        <w:tc>
          <w:tcPr>
            <w:tcW w:w="3133" w:type="dxa"/>
            <w:gridSpan w:val="4"/>
            <w:vMerge w:val="restart"/>
            <w:shd w:val="clear" w:color="auto" w:fill="D9E2F3"/>
            <w:vAlign w:val="center"/>
          </w:tcPr>
          <w:p w14:paraId="0126B729" w14:textId="77777777" w:rsidR="00990B14" w:rsidRDefault="00000000">
            <w:pPr>
              <w:spacing w:before="20" w:after="20"/>
              <w:jc w:val="both"/>
            </w:pPr>
            <w:r>
              <w:rPr>
                <w:sz w:val="18"/>
                <w:szCs w:val="18"/>
              </w:rPr>
              <w:t>1. Describe, a nivel de nociones, los instrumentos financieros y el mercado de valores boliviano, identificando la función de los agentes de bolsa y de las sociedades administradoras de fondos de inversión.</w:t>
            </w:r>
          </w:p>
        </w:tc>
        <w:tc>
          <w:tcPr>
            <w:tcW w:w="3135" w:type="dxa"/>
            <w:gridSpan w:val="5"/>
            <w:shd w:val="clear" w:color="auto" w:fill="D9E2F3"/>
            <w:vAlign w:val="center"/>
          </w:tcPr>
          <w:p w14:paraId="454D4330" w14:textId="77777777" w:rsidR="00990B14" w:rsidRDefault="00000000">
            <w:pPr>
              <w:spacing w:before="20" w:after="20"/>
              <w:jc w:val="both"/>
            </w:pPr>
            <w:r>
              <w:rPr>
                <w:sz w:val="18"/>
                <w:szCs w:val="18"/>
              </w:rPr>
              <w:t>1.1 Clasifica en aula los instrumentos financieros de renta fija y de renta variable, diferenciando los activos y los pasivos financieros.</w:t>
            </w:r>
          </w:p>
        </w:tc>
        <w:tc>
          <w:tcPr>
            <w:tcW w:w="3137" w:type="dxa"/>
            <w:gridSpan w:val="4"/>
            <w:shd w:val="clear" w:color="auto" w:fill="D9E2F3"/>
            <w:vAlign w:val="center"/>
          </w:tcPr>
          <w:p w14:paraId="4017511F" w14:textId="77777777" w:rsidR="00990B14" w:rsidRDefault="00000000">
            <w:pPr>
              <w:spacing w:before="20" w:after="20"/>
              <w:jc w:val="both"/>
            </w:pPr>
            <w:r>
              <w:rPr>
                <w:b/>
                <w:bCs/>
                <w:sz w:val="18"/>
                <w:szCs w:val="18"/>
              </w:rPr>
              <w:t xml:space="preserve">Producto 13: </w:t>
            </w:r>
            <w:r>
              <w:rPr>
                <w:sz w:val="18"/>
                <w:szCs w:val="18"/>
              </w:rPr>
              <w:t>Cuadro de clasificación de los instrumentos financieros de renta fija y de renta variable.</w:t>
            </w:r>
          </w:p>
        </w:tc>
      </w:tr>
      <w:tr w:rsidR="00990B14" w14:paraId="6516F29D" w14:textId="77777777">
        <w:trPr>
          <w:cantSplit/>
          <w:jc w:val="center"/>
        </w:trPr>
        <w:tc>
          <w:tcPr>
            <w:tcW w:w="3133" w:type="dxa"/>
            <w:gridSpan w:val="4"/>
            <w:vMerge/>
            <w:shd w:val="clear" w:color="auto" w:fill="D9E2F3"/>
            <w:vAlign w:val="center"/>
          </w:tcPr>
          <w:p w14:paraId="7E7334DE" w14:textId="77777777" w:rsidR="00990B14" w:rsidRDefault="00990B14">
            <w:pPr>
              <w:spacing w:before="20" w:after="20"/>
            </w:pPr>
          </w:p>
        </w:tc>
        <w:tc>
          <w:tcPr>
            <w:tcW w:w="3135" w:type="dxa"/>
            <w:gridSpan w:val="5"/>
            <w:shd w:val="clear" w:color="auto" w:fill="D9E2F3"/>
            <w:vAlign w:val="center"/>
          </w:tcPr>
          <w:p w14:paraId="24C029D4" w14:textId="77777777" w:rsidR="00990B14" w:rsidRDefault="00000000">
            <w:pPr>
              <w:spacing w:before="20" w:after="20"/>
              <w:jc w:val="both"/>
            </w:pPr>
            <w:r>
              <w:rPr>
                <w:sz w:val="18"/>
                <w:szCs w:val="18"/>
              </w:rPr>
              <w:t>1.2 Expone en equipo las operaciones de un agente de bolsa, de una SAFI y de una entidad auxiliar financiera, y registra en aula la operatoria contable de un contrato de leasing comparándolo con el crédito bancario según la NIIF 16.</w:t>
            </w:r>
          </w:p>
        </w:tc>
        <w:tc>
          <w:tcPr>
            <w:tcW w:w="3137" w:type="dxa"/>
            <w:gridSpan w:val="4"/>
            <w:shd w:val="clear" w:color="auto" w:fill="D9E2F3"/>
            <w:vAlign w:val="center"/>
          </w:tcPr>
          <w:p w14:paraId="7B11632F" w14:textId="77777777" w:rsidR="00990B14" w:rsidRDefault="00000000">
            <w:pPr>
              <w:spacing w:before="20" w:after="20"/>
              <w:jc w:val="both"/>
            </w:pPr>
            <w:r>
              <w:rPr>
                <w:b/>
                <w:bCs/>
                <w:sz w:val="18"/>
                <w:szCs w:val="18"/>
              </w:rPr>
              <w:t xml:space="preserve">Producto 14: </w:t>
            </w:r>
            <w:r>
              <w:rPr>
                <w:sz w:val="18"/>
                <w:szCs w:val="18"/>
              </w:rPr>
              <w:t>Esquema de la operatoria contable de agentes de bolsa, SAFI y entidades auxiliares, y asientos con cuadro comparativo del leasing frente al crédito bancario.</w:t>
            </w:r>
          </w:p>
        </w:tc>
      </w:tr>
      <w:tr w:rsidR="00990B14" w14:paraId="1BB087F3" w14:textId="77777777">
        <w:trPr>
          <w:cantSplit/>
          <w:jc w:val="center"/>
        </w:trPr>
        <w:tc>
          <w:tcPr>
            <w:tcW w:w="3133" w:type="dxa"/>
            <w:gridSpan w:val="4"/>
            <w:vMerge w:val="restart"/>
            <w:shd w:val="clear" w:color="auto" w:fill="D9E2F3"/>
            <w:vAlign w:val="center"/>
          </w:tcPr>
          <w:p w14:paraId="3C666AA5" w14:textId="77777777" w:rsidR="00990B14" w:rsidRDefault="00000000">
            <w:pPr>
              <w:spacing w:before="20" w:after="20"/>
              <w:jc w:val="both"/>
            </w:pPr>
            <w:r>
              <w:rPr>
                <w:sz w:val="18"/>
                <w:szCs w:val="18"/>
              </w:rPr>
              <w:t>2. Describe, a nivel de nociones, las entidades de leasing y las entidades auxiliares financieras, y aplica el concepto de leasing en un caso práctico sencillo.</w:t>
            </w:r>
          </w:p>
        </w:tc>
        <w:tc>
          <w:tcPr>
            <w:tcW w:w="3135" w:type="dxa"/>
            <w:gridSpan w:val="5"/>
            <w:shd w:val="clear" w:color="auto" w:fill="D9E2F3"/>
            <w:vAlign w:val="center"/>
          </w:tcPr>
          <w:p w14:paraId="40160E37" w14:textId="77777777" w:rsidR="00990B14" w:rsidRDefault="00000000">
            <w:pPr>
              <w:spacing w:before="20" w:after="20"/>
              <w:jc w:val="both"/>
            </w:pPr>
            <w:r>
              <w:rPr>
                <w:sz w:val="18"/>
                <w:szCs w:val="18"/>
              </w:rPr>
              <w:t>2.1 Describe en equipo las entidades auxiliares financieras y las empresas de tecnología financiera, con sus principales operaciones y su constitución.</w:t>
            </w:r>
          </w:p>
        </w:tc>
        <w:tc>
          <w:tcPr>
            <w:tcW w:w="3137" w:type="dxa"/>
            <w:gridSpan w:val="4"/>
            <w:shd w:val="clear" w:color="auto" w:fill="D9E2F3"/>
            <w:vAlign w:val="center"/>
          </w:tcPr>
          <w:p w14:paraId="292C1864" w14:textId="77777777" w:rsidR="00990B14" w:rsidRDefault="00000000">
            <w:pPr>
              <w:spacing w:before="20" w:after="20"/>
              <w:jc w:val="both"/>
            </w:pPr>
            <w:r>
              <w:rPr>
                <w:b/>
                <w:bCs/>
                <w:sz w:val="18"/>
                <w:szCs w:val="18"/>
              </w:rPr>
              <w:t xml:space="preserve">Producto 15: </w:t>
            </w:r>
            <w:r>
              <w:rPr>
                <w:sz w:val="18"/>
                <w:szCs w:val="18"/>
              </w:rPr>
              <w:t>Esquema de las entidades auxiliares financieras y de las empresas de tecnología financiera, con sus principales operaciones.</w:t>
            </w:r>
          </w:p>
        </w:tc>
      </w:tr>
      <w:tr w:rsidR="00990B14" w14:paraId="0165D92E" w14:textId="77777777">
        <w:trPr>
          <w:cantSplit/>
          <w:jc w:val="center"/>
        </w:trPr>
        <w:tc>
          <w:tcPr>
            <w:tcW w:w="3133" w:type="dxa"/>
            <w:gridSpan w:val="4"/>
            <w:vMerge/>
            <w:shd w:val="clear" w:color="auto" w:fill="D9E2F3"/>
            <w:vAlign w:val="center"/>
          </w:tcPr>
          <w:p w14:paraId="5E5C4407" w14:textId="77777777" w:rsidR="00990B14" w:rsidRDefault="00990B14">
            <w:pPr>
              <w:spacing w:before="20" w:after="20"/>
            </w:pPr>
          </w:p>
        </w:tc>
        <w:tc>
          <w:tcPr>
            <w:tcW w:w="3135" w:type="dxa"/>
            <w:gridSpan w:val="5"/>
            <w:shd w:val="clear" w:color="auto" w:fill="D9E2F3"/>
            <w:vAlign w:val="center"/>
          </w:tcPr>
          <w:p w14:paraId="14AA96B7" w14:textId="77777777" w:rsidR="00990B14" w:rsidRDefault="00000000">
            <w:pPr>
              <w:spacing w:before="20" w:after="20"/>
              <w:jc w:val="both"/>
            </w:pPr>
            <w:r>
              <w:rPr>
                <w:sz w:val="18"/>
                <w:szCs w:val="18"/>
              </w:rPr>
              <w:t>2.2 Calcula los indicadores de desempeño de una entidad financiera a partir de sus estados publicados y sustenta ante el curso el diagnóstico financiero de un banco boliviano.</w:t>
            </w:r>
          </w:p>
        </w:tc>
        <w:tc>
          <w:tcPr>
            <w:tcW w:w="3137" w:type="dxa"/>
            <w:gridSpan w:val="4"/>
            <w:shd w:val="clear" w:color="auto" w:fill="D9E2F3"/>
            <w:vAlign w:val="center"/>
          </w:tcPr>
          <w:p w14:paraId="6F64999C" w14:textId="77777777" w:rsidR="00990B14" w:rsidRDefault="00000000">
            <w:pPr>
              <w:spacing w:before="20" w:after="20"/>
              <w:jc w:val="both"/>
            </w:pPr>
            <w:r>
              <w:rPr>
                <w:b/>
                <w:bCs/>
                <w:sz w:val="18"/>
                <w:szCs w:val="18"/>
              </w:rPr>
              <w:t xml:space="preserve">Producto 16: </w:t>
            </w:r>
            <w:r>
              <w:rPr>
                <w:sz w:val="18"/>
                <w:szCs w:val="18"/>
              </w:rPr>
              <w:t>Tablero de indicadores de solvencia, liquidez y calidad de cartera e informe de diagnóstico financiero de un banco boliviano.</w:t>
            </w:r>
          </w:p>
        </w:tc>
      </w:tr>
      <w:tr w:rsidR="00990B14" w14:paraId="0C308DA1" w14:textId="77777777">
        <w:trPr>
          <w:cantSplit/>
          <w:jc w:val="center"/>
        </w:trPr>
        <w:tc>
          <w:tcPr>
            <w:tcW w:w="9405" w:type="dxa"/>
            <w:gridSpan w:val="13"/>
            <w:shd w:val="clear" w:color="auto" w:fill="4472C4"/>
            <w:vAlign w:val="center"/>
          </w:tcPr>
          <w:p w14:paraId="3B497594" w14:textId="77777777" w:rsidR="00990B14" w:rsidRDefault="00000000">
            <w:pPr>
              <w:keepNext/>
              <w:spacing w:before="20" w:after="20"/>
              <w:jc w:val="center"/>
            </w:pPr>
            <w:r>
              <w:rPr>
                <w:b/>
                <w:bCs/>
                <w:i/>
                <w:iCs/>
                <w:color w:val="FFFFFF"/>
                <w:sz w:val="18"/>
                <w:szCs w:val="18"/>
              </w:rPr>
              <w:t>Evidencias de conocimiento</w:t>
            </w:r>
          </w:p>
        </w:tc>
      </w:tr>
      <w:tr w:rsidR="00990B14" w14:paraId="67DA7AB0" w14:textId="77777777">
        <w:trPr>
          <w:cantSplit/>
          <w:jc w:val="center"/>
        </w:trPr>
        <w:tc>
          <w:tcPr>
            <w:tcW w:w="2349" w:type="dxa"/>
            <w:gridSpan w:val="2"/>
            <w:shd w:val="clear" w:color="auto" w:fill="4472C4"/>
            <w:vAlign w:val="center"/>
          </w:tcPr>
          <w:p w14:paraId="3DB616C8"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0D94C077" w14:textId="77777777" w:rsidR="00990B14" w:rsidRDefault="00000000">
            <w:pPr>
              <w:keepNext/>
              <w:spacing w:before="20" w:after="20"/>
              <w:jc w:val="both"/>
            </w:pPr>
            <w:r>
              <w:rPr>
                <w:b/>
                <w:bCs/>
                <w:i/>
                <w:iCs/>
                <w:color w:val="FFFFFF"/>
                <w:sz w:val="18"/>
                <w:szCs w:val="18"/>
              </w:rPr>
              <w:t>Contenidos</w:t>
            </w:r>
          </w:p>
          <w:p w14:paraId="1EA8457D"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387E7EFD" w14:textId="77777777" w:rsidR="00990B14" w:rsidRDefault="00000000">
            <w:pPr>
              <w:keepNext/>
              <w:spacing w:before="20" w:after="20"/>
              <w:jc w:val="center"/>
            </w:pPr>
            <w:r>
              <w:rPr>
                <w:b/>
                <w:bCs/>
                <w:i/>
                <w:iCs/>
                <w:color w:val="FFFFFF"/>
                <w:sz w:val="18"/>
                <w:szCs w:val="18"/>
              </w:rPr>
              <w:t>Conocimientos circunstanciales</w:t>
            </w:r>
          </w:p>
        </w:tc>
      </w:tr>
      <w:tr w:rsidR="00990B14" w14:paraId="663FB7B0" w14:textId="77777777">
        <w:trPr>
          <w:jc w:val="center"/>
        </w:trPr>
        <w:tc>
          <w:tcPr>
            <w:tcW w:w="2349" w:type="dxa"/>
            <w:gridSpan w:val="2"/>
            <w:shd w:val="clear" w:color="auto" w:fill="D9E2F3"/>
          </w:tcPr>
          <w:p w14:paraId="43A1966B" w14:textId="77777777" w:rsidR="00990B14" w:rsidRDefault="00000000">
            <w:pPr>
              <w:spacing w:before="20" w:after="40"/>
              <w:jc w:val="both"/>
            </w:pPr>
            <w:r>
              <w:rPr>
                <w:sz w:val="18"/>
                <w:szCs w:val="18"/>
              </w:rPr>
              <w:t>Tema 21: Instrumentos Financieros</w:t>
            </w:r>
          </w:p>
          <w:p w14:paraId="2914509A" w14:textId="77777777" w:rsidR="00990B14" w:rsidRDefault="00000000">
            <w:pPr>
              <w:spacing w:before="20" w:after="40"/>
              <w:jc w:val="both"/>
            </w:pPr>
            <w:r>
              <w:rPr>
                <w:sz w:val="18"/>
                <w:szCs w:val="18"/>
              </w:rPr>
              <w:t>Tema 22: Agentes de Bolsa</w:t>
            </w:r>
          </w:p>
          <w:p w14:paraId="0B64F399" w14:textId="77777777" w:rsidR="00990B14" w:rsidRDefault="00000000">
            <w:pPr>
              <w:spacing w:before="20" w:after="40"/>
              <w:jc w:val="both"/>
            </w:pPr>
            <w:r>
              <w:rPr>
                <w:sz w:val="18"/>
                <w:szCs w:val="18"/>
              </w:rPr>
              <w:t>Tema 23: Sociedades Administradoras de Fondos de Inversión (SAFIs)</w:t>
            </w:r>
          </w:p>
          <w:p w14:paraId="3AE1EB48" w14:textId="77777777" w:rsidR="00990B14" w:rsidRDefault="00000000">
            <w:pPr>
              <w:spacing w:before="20" w:after="40"/>
              <w:jc w:val="both"/>
            </w:pPr>
            <w:r>
              <w:rPr>
                <w:sz w:val="18"/>
                <w:szCs w:val="18"/>
              </w:rPr>
              <w:t>Tema 24: Entidades de Leasing</w:t>
            </w:r>
          </w:p>
          <w:p w14:paraId="080BF390" w14:textId="77777777" w:rsidR="00990B14" w:rsidRDefault="00000000">
            <w:pPr>
              <w:spacing w:before="20" w:after="40"/>
              <w:jc w:val="both"/>
            </w:pPr>
            <w:r>
              <w:rPr>
                <w:sz w:val="18"/>
                <w:szCs w:val="18"/>
              </w:rPr>
              <w:t>Tema 25: Entidades Auxiliares Financieras</w:t>
            </w:r>
          </w:p>
        </w:tc>
        <w:tc>
          <w:tcPr>
            <w:tcW w:w="4304" w:type="dxa"/>
            <w:gridSpan w:val="8"/>
            <w:shd w:val="clear" w:color="auto" w:fill="D9E2F3"/>
          </w:tcPr>
          <w:p w14:paraId="4D8B9CF3" w14:textId="77777777" w:rsidR="00990B14" w:rsidRDefault="00000000">
            <w:pPr>
              <w:spacing w:before="60" w:after="20"/>
              <w:jc w:val="both"/>
            </w:pPr>
            <w:r>
              <w:rPr>
                <w:b/>
                <w:bCs/>
                <w:sz w:val="18"/>
                <w:szCs w:val="18"/>
              </w:rPr>
              <w:t>Tema 21:</w:t>
            </w:r>
          </w:p>
          <w:p w14:paraId="0010F49E" w14:textId="77777777" w:rsidR="00990B14" w:rsidRDefault="00000000">
            <w:pPr>
              <w:spacing w:after="40"/>
              <w:jc w:val="both"/>
            </w:pPr>
            <w:r>
              <w:rPr>
                <w:sz w:val="18"/>
                <w:szCs w:val="18"/>
              </w:rPr>
              <w:t>Concepto y tipos de instrumentos financieros: instrumentos de renta fija e instrumentos de renta variable. (C)</w:t>
            </w:r>
          </w:p>
          <w:p w14:paraId="2584F8D0" w14:textId="77777777" w:rsidR="00990B14" w:rsidRDefault="00000000">
            <w:pPr>
              <w:spacing w:after="40"/>
              <w:jc w:val="both"/>
            </w:pPr>
            <w:r>
              <w:rPr>
                <w:sz w:val="18"/>
                <w:szCs w:val="18"/>
              </w:rPr>
              <w:t>Concepto de activo financiero y de pasivo financiero. (C)</w:t>
            </w:r>
          </w:p>
          <w:p w14:paraId="794A0BDE" w14:textId="77777777" w:rsidR="00990B14" w:rsidRDefault="00000000">
            <w:pPr>
              <w:spacing w:after="40"/>
              <w:jc w:val="both"/>
            </w:pPr>
            <w:r>
              <w:rPr>
                <w:sz w:val="18"/>
                <w:szCs w:val="18"/>
              </w:rPr>
              <w:t>Clasificación y medición de los activos financieros según el modelo de negocio y las características de los flujos contractuales, y deterioro por pérdidas crediticias esperadas conforme a la NIIF 9. (C, P)</w:t>
            </w:r>
          </w:p>
          <w:p w14:paraId="28B635FE" w14:textId="77777777" w:rsidR="00990B14" w:rsidRDefault="00000000">
            <w:pPr>
              <w:spacing w:after="40"/>
              <w:jc w:val="both"/>
            </w:pPr>
            <w:r>
              <w:rPr>
                <w:sz w:val="18"/>
                <w:szCs w:val="18"/>
              </w:rPr>
              <w:t>Registro y revelación de los instrumentos financieros en concordancia con las Normas Internacionales de Información Financiera. (C, P)</w:t>
            </w:r>
          </w:p>
          <w:p w14:paraId="71420BF1" w14:textId="77777777" w:rsidR="00990B14" w:rsidRDefault="00000000">
            <w:pPr>
              <w:spacing w:after="40"/>
              <w:jc w:val="both"/>
            </w:pPr>
            <w:r>
              <w:rPr>
                <w:sz w:val="18"/>
                <w:szCs w:val="18"/>
              </w:rPr>
              <w:t>Bonos verdes, bonos sociales y bonos sostenibles del mercado de valores boliviano y su registro como instrumentos de renta fija. (P, A)</w:t>
            </w:r>
          </w:p>
          <w:p w14:paraId="0DD0FF03" w14:textId="77777777" w:rsidR="00990B14" w:rsidRDefault="00000000">
            <w:pPr>
              <w:spacing w:before="60" w:after="20"/>
              <w:jc w:val="both"/>
            </w:pPr>
            <w:r>
              <w:rPr>
                <w:b/>
                <w:bCs/>
                <w:sz w:val="18"/>
                <w:szCs w:val="18"/>
              </w:rPr>
              <w:t>Tema 22:</w:t>
            </w:r>
          </w:p>
          <w:p w14:paraId="25D3BD47" w14:textId="77777777" w:rsidR="00990B14" w:rsidRDefault="00000000">
            <w:pPr>
              <w:spacing w:after="40"/>
              <w:jc w:val="both"/>
            </w:pPr>
            <w:r>
              <w:rPr>
                <w:sz w:val="18"/>
                <w:szCs w:val="18"/>
              </w:rPr>
              <w:t>Concepto de agentes de bolsa; la Bolsa Boliviana de Valores y los agentes de bolsa en Bolivia. (C, A)</w:t>
            </w:r>
          </w:p>
          <w:p w14:paraId="4711268F" w14:textId="77777777" w:rsidR="00990B14" w:rsidRDefault="00000000">
            <w:pPr>
              <w:spacing w:after="40"/>
              <w:jc w:val="both"/>
            </w:pPr>
            <w:r>
              <w:rPr>
                <w:sz w:val="18"/>
                <w:szCs w:val="18"/>
              </w:rPr>
              <w:t>Mercado de valores, corredor de bolsa, tipos de valores y participantes del mercado de valores; operatoria contable de los agentes de bolsa. (C, A)</w:t>
            </w:r>
          </w:p>
          <w:p w14:paraId="780106A6" w14:textId="77777777" w:rsidR="00990B14" w:rsidRDefault="00000000">
            <w:pPr>
              <w:spacing w:before="60" w:after="20"/>
              <w:jc w:val="both"/>
            </w:pPr>
            <w:r>
              <w:rPr>
                <w:b/>
                <w:bCs/>
                <w:sz w:val="18"/>
                <w:szCs w:val="18"/>
              </w:rPr>
              <w:t>Tema 23:</w:t>
            </w:r>
          </w:p>
          <w:p w14:paraId="5A69122D" w14:textId="77777777" w:rsidR="00990B14" w:rsidRDefault="00000000">
            <w:pPr>
              <w:spacing w:after="40"/>
              <w:jc w:val="both"/>
            </w:pPr>
            <w:r>
              <w:rPr>
                <w:sz w:val="18"/>
                <w:szCs w:val="18"/>
              </w:rPr>
              <w:t>Concepto de las Sociedades Administradoras de Fondos de Inversión (SAFIs) y concepto de fondo de inversión; tipos de fondos de inversión. (C)</w:t>
            </w:r>
          </w:p>
          <w:p w14:paraId="0BEB3C91" w14:textId="77777777" w:rsidR="00990B14" w:rsidRDefault="00000000">
            <w:pPr>
              <w:spacing w:after="40"/>
              <w:jc w:val="both"/>
            </w:pPr>
            <w:r>
              <w:rPr>
                <w:sz w:val="18"/>
                <w:szCs w:val="18"/>
              </w:rPr>
              <w:t>Mercado de SAFIs en Bolivia y su operatoria contable. (C)</w:t>
            </w:r>
          </w:p>
          <w:p w14:paraId="5A7F2F96" w14:textId="77777777" w:rsidR="00990B14" w:rsidRDefault="00000000">
            <w:pPr>
              <w:spacing w:after="40"/>
              <w:jc w:val="both"/>
            </w:pPr>
            <w:r>
              <w:rPr>
                <w:sz w:val="18"/>
                <w:szCs w:val="18"/>
              </w:rPr>
              <w:t>Fondos de inversión abiertos, cerrados y sostenibles del mercado de valores boliviano. (C, A)</w:t>
            </w:r>
          </w:p>
          <w:p w14:paraId="5C516E13" w14:textId="77777777" w:rsidR="00990B14" w:rsidRDefault="00000000">
            <w:pPr>
              <w:spacing w:before="60" w:after="20"/>
              <w:jc w:val="both"/>
            </w:pPr>
            <w:r>
              <w:rPr>
                <w:b/>
                <w:bCs/>
                <w:sz w:val="18"/>
                <w:szCs w:val="18"/>
              </w:rPr>
              <w:t>Tema 24:</w:t>
            </w:r>
          </w:p>
          <w:p w14:paraId="3AF8ADE9" w14:textId="77777777" w:rsidR="00990B14" w:rsidRDefault="00000000">
            <w:pPr>
              <w:spacing w:after="40"/>
              <w:jc w:val="both"/>
            </w:pPr>
            <w:r>
              <w:rPr>
                <w:sz w:val="18"/>
                <w:szCs w:val="18"/>
              </w:rPr>
              <w:t>Concepto de leasing o arrendamiento y tipos de leasing. (C)</w:t>
            </w:r>
          </w:p>
          <w:p w14:paraId="7134A9C5" w14:textId="77777777" w:rsidR="00990B14" w:rsidRDefault="00000000">
            <w:pPr>
              <w:spacing w:after="40"/>
              <w:jc w:val="both"/>
            </w:pPr>
            <w:r>
              <w:rPr>
                <w:sz w:val="18"/>
                <w:szCs w:val="18"/>
              </w:rPr>
              <w:t>Diferencia entre el crédito bancario y el leasing; ventajas y desventajas del leasing. (C)</w:t>
            </w:r>
          </w:p>
          <w:p w14:paraId="0C61DA83" w14:textId="77777777" w:rsidR="00990B14" w:rsidRDefault="00000000">
            <w:pPr>
              <w:spacing w:after="40"/>
              <w:jc w:val="both"/>
            </w:pPr>
            <w:r>
              <w:rPr>
                <w:sz w:val="18"/>
                <w:szCs w:val="18"/>
              </w:rPr>
              <w:t>El leasing en el marco de la Ley de Servicios Financieros; operatoria contable del leasing. (C)</w:t>
            </w:r>
          </w:p>
          <w:p w14:paraId="21089574" w14:textId="77777777" w:rsidR="00990B14" w:rsidRDefault="00000000">
            <w:pPr>
              <w:spacing w:after="40"/>
              <w:jc w:val="both"/>
            </w:pPr>
            <w:r>
              <w:rPr>
                <w:sz w:val="18"/>
                <w:szCs w:val="18"/>
              </w:rPr>
              <w:t>Tratamiento del arrendamiento financiero conforme a la NIIF 16 y su diferencia con el registro regulatorio del Manual de Cuentas. (P)</w:t>
            </w:r>
          </w:p>
          <w:p w14:paraId="615A5004" w14:textId="77777777" w:rsidR="00990B14" w:rsidRDefault="00000000">
            <w:pPr>
              <w:spacing w:before="60" w:after="20"/>
              <w:jc w:val="both"/>
            </w:pPr>
            <w:r>
              <w:rPr>
                <w:b/>
                <w:bCs/>
                <w:sz w:val="18"/>
                <w:szCs w:val="18"/>
              </w:rPr>
              <w:t>Tema 25:</w:t>
            </w:r>
          </w:p>
          <w:p w14:paraId="60BC913A" w14:textId="77777777" w:rsidR="00990B14" w:rsidRDefault="00000000">
            <w:pPr>
              <w:spacing w:after="40"/>
              <w:jc w:val="both"/>
            </w:pPr>
            <w:r>
              <w:rPr>
                <w:sz w:val="18"/>
                <w:szCs w:val="18"/>
              </w:rPr>
              <w:t>Concepto de las entidades auxiliares financieras: empresas de factoraje, almacenes generales de depósito, burós de información y empresas de transporte de material monetario y de valores. (C, A)</w:t>
            </w:r>
          </w:p>
          <w:p w14:paraId="3D1C4DDD" w14:textId="77777777" w:rsidR="00990B14" w:rsidRDefault="00000000">
            <w:pPr>
              <w:spacing w:after="40"/>
              <w:jc w:val="both"/>
            </w:pPr>
            <w:r>
              <w:rPr>
                <w:sz w:val="18"/>
                <w:szCs w:val="18"/>
              </w:rPr>
              <w:t>Principales operaciones y constitución de las entidades auxiliares financieras; esquemas contables. (C)</w:t>
            </w:r>
          </w:p>
          <w:p w14:paraId="01E3F16E" w14:textId="77777777" w:rsidR="00990B14" w:rsidRDefault="00000000">
            <w:pPr>
              <w:spacing w:after="40"/>
              <w:jc w:val="both"/>
            </w:pPr>
            <w:r>
              <w:rPr>
                <w:sz w:val="18"/>
                <w:szCs w:val="18"/>
              </w:rPr>
              <w:t>Empresas de tecnología financiera y servicios de pago: pasarelas de pago, agregadores y facilitadores. (C)</w:t>
            </w:r>
          </w:p>
        </w:tc>
        <w:tc>
          <w:tcPr>
            <w:tcW w:w="2752" w:type="dxa"/>
            <w:gridSpan w:val="3"/>
            <w:shd w:val="clear" w:color="auto" w:fill="D9E2F3"/>
          </w:tcPr>
          <w:p w14:paraId="20B1A9C8" w14:textId="77777777" w:rsidR="00990B14" w:rsidRDefault="00000000">
            <w:pPr>
              <w:numPr>
                <w:ilvl w:val="0"/>
                <w:numId w:val="139"/>
              </w:numPr>
              <w:spacing w:before="10" w:after="10"/>
              <w:jc w:val="both"/>
            </w:pPr>
            <w:r>
              <w:rPr>
                <w:sz w:val="18"/>
                <w:szCs w:val="18"/>
              </w:rPr>
              <w:t>Nociones de lectura de los boletines de precios y rendimientos de la Bolsa Boliviana de Valores.</w:t>
            </w:r>
          </w:p>
          <w:p w14:paraId="5ACB2690" w14:textId="77777777" w:rsidR="00990B14" w:rsidRDefault="00000000">
            <w:pPr>
              <w:numPr>
                <w:ilvl w:val="0"/>
                <w:numId w:val="139"/>
              </w:numPr>
              <w:spacing w:before="10" w:after="10"/>
              <w:jc w:val="both"/>
            </w:pPr>
            <w:r>
              <w:rPr>
                <w:sz w:val="18"/>
                <w:szCs w:val="18"/>
              </w:rPr>
              <w:t>Nociones del contrato de arrendamiento financiero (leasing).</w:t>
            </w:r>
          </w:p>
          <w:p w14:paraId="3E93490A" w14:textId="77777777" w:rsidR="00990B14" w:rsidRDefault="00000000">
            <w:pPr>
              <w:numPr>
                <w:ilvl w:val="0"/>
                <w:numId w:val="139"/>
              </w:numPr>
              <w:spacing w:before="10" w:after="10"/>
              <w:jc w:val="both"/>
            </w:pPr>
            <w:r>
              <w:rPr>
                <w:sz w:val="18"/>
                <w:szCs w:val="18"/>
              </w:rPr>
              <w:t>Nociones del contrato de factoraje y de la cesión de créditos.</w:t>
            </w:r>
          </w:p>
          <w:p w14:paraId="3365DF99" w14:textId="77777777" w:rsidR="00990B14" w:rsidRDefault="00000000">
            <w:pPr>
              <w:numPr>
                <w:ilvl w:val="0"/>
                <w:numId w:val="139"/>
              </w:numPr>
              <w:spacing w:before="10" w:after="10"/>
              <w:jc w:val="both"/>
            </w:pPr>
            <w:r>
              <w:rPr>
                <w:sz w:val="18"/>
                <w:szCs w:val="18"/>
              </w:rPr>
              <w:t>Nociones del funcionamiento de los almacenes generales de depósito y de sus títulos representativos de mercaderías.</w:t>
            </w:r>
          </w:p>
        </w:tc>
      </w:tr>
    </w:tbl>
    <w:p w14:paraId="3576C33D"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2015"/>
        <w:gridCol w:w="1473"/>
        <w:gridCol w:w="1818"/>
        <w:gridCol w:w="1559"/>
        <w:gridCol w:w="2540"/>
      </w:tblGrid>
      <w:tr w:rsidR="00990B14" w14:paraId="5A0E3D04" w14:textId="77777777">
        <w:trPr>
          <w:cantSplit/>
          <w:jc w:val="center"/>
        </w:trPr>
        <w:tc>
          <w:tcPr>
            <w:tcW w:w="9405" w:type="dxa"/>
            <w:gridSpan w:val="5"/>
            <w:shd w:val="clear" w:color="auto" w:fill="4472C4"/>
            <w:vAlign w:val="center"/>
          </w:tcPr>
          <w:p w14:paraId="282CCF02" w14:textId="77777777" w:rsidR="00990B14" w:rsidRDefault="00000000">
            <w:pPr>
              <w:keepNext/>
              <w:spacing w:before="20" w:after="20"/>
              <w:jc w:val="center"/>
            </w:pPr>
            <w:r>
              <w:rPr>
                <w:b/>
                <w:bCs/>
                <w:i/>
                <w:iCs/>
                <w:color w:val="FFFFFF"/>
                <w:sz w:val="18"/>
                <w:szCs w:val="18"/>
              </w:rPr>
              <w:t>Actividades</w:t>
            </w:r>
          </w:p>
        </w:tc>
      </w:tr>
      <w:tr w:rsidR="00990B14" w14:paraId="06729C90" w14:textId="77777777">
        <w:trPr>
          <w:cantSplit/>
          <w:jc w:val="center"/>
        </w:trPr>
        <w:tc>
          <w:tcPr>
            <w:tcW w:w="2015" w:type="dxa"/>
            <w:shd w:val="clear" w:color="auto" w:fill="4472C4"/>
            <w:vAlign w:val="center"/>
          </w:tcPr>
          <w:p w14:paraId="6F47B29E" w14:textId="77777777" w:rsidR="00990B14" w:rsidRDefault="00000000">
            <w:pPr>
              <w:keepNext/>
              <w:spacing w:before="20" w:after="20"/>
              <w:jc w:val="center"/>
            </w:pPr>
            <w:r>
              <w:rPr>
                <w:b/>
                <w:bCs/>
                <w:i/>
                <w:iCs/>
                <w:color w:val="FFFFFF"/>
                <w:sz w:val="18"/>
                <w:szCs w:val="18"/>
              </w:rPr>
              <w:t>En clase</w:t>
            </w:r>
          </w:p>
        </w:tc>
        <w:tc>
          <w:tcPr>
            <w:tcW w:w="1473" w:type="dxa"/>
            <w:shd w:val="clear" w:color="auto" w:fill="4472C4"/>
            <w:vAlign w:val="center"/>
          </w:tcPr>
          <w:p w14:paraId="2C9C5461" w14:textId="77777777" w:rsidR="00990B14" w:rsidRDefault="00000000">
            <w:pPr>
              <w:keepNext/>
              <w:spacing w:before="20" w:after="20"/>
              <w:jc w:val="center"/>
            </w:pPr>
            <w:r>
              <w:rPr>
                <w:b/>
                <w:bCs/>
                <w:i/>
                <w:iCs/>
                <w:color w:val="FFFFFF"/>
                <w:sz w:val="18"/>
                <w:szCs w:val="18"/>
              </w:rPr>
              <w:t>Autónomas</w:t>
            </w:r>
          </w:p>
        </w:tc>
        <w:tc>
          <w:tcPr>
            <w:tcW w:w="1818" w:type="dxa"/>
            <w:shd w:val="clear" w:color="auto" w:fill="4472C4"/>
            <w:vAlign w:val="center"/>
          </w:tcPr>
          <w:p w14:paraId="045DE62F" w14:textId="77777777" w:rsidR="00990B14" w:rsidRDefault="00000000">
            <w:pPr>
              <w:keepNext/>
              <w:spacing w:before="20" w:after="20"/>
              <w:jc w:val="center"/>
            </w:pPr>
            <w:r>
              <w:rPr>
                <w:b/>
                <w:bCs/>
                <w:i/>
                <w:iCs/>
                <w:color w:val="FFFFFF"/>
                <w:sz w:val="18"/>
                <w:szCs w:val="18"/>
              </w:rPr>
              <w:t>B-Learning</w:t>
            </w:r>
          </w:p>
        </w:tc>
        <w:tc>
          <w:tcPr>
            <w:tcW w:w="1559" w:type="dxa"/>
            <w:shd w:val="clear" w:color="auto" w:fill="4472C4"/>
            <w:vAlign w:val="center"/>
          </w:tcPr>
          <w:p w14:paraId="21543D7E" w14:textId="77777777" w:rsidR="00990B14" w:rsidRDefault="00000000">
            <w:pPr>
              <w:keepNext/>
              <w:spacing w:before="20" w:after="20"/>
              <w:jc w:val="center"/>
            </w:pPr>
            <w:r>
              <w:rPr>
                <w:b/>
                <w:bCs/>
                <w:i/>
                <w:iCs/>
                <w:color w:val="FFFFFF"/>
                <w:sz w:val="18"/>
                <w:szCs w:val="18"/>
              </w:rPr>
              <w:t>Taller</w:t>
            </w:r>
          </w:p>
        </w:tc>
        <w:tc>
          <w:tcPr>
            <w:tcW w:w="2540" w:type="dxa"/>
            <w:shd w:val="clear" w:color="auto" w:fill="4472C4"/>
            <w:vAlign w:val="center"/>
          </w:tcPr>
          <w:p w14:paraId="37C7C8E4" w14:textId="77777777" w:rsidR="00990B14" w:rsidRDefault="00000000">
            <w:pPr>
              <w:keepNext/>
              <w:spacing w:before="20" w:after="20"/>
              <w:jc w:val="center"/>
            </w:pPr>
            <w:r>
              <w:rPr>
                <w:b/>
                <w:bCs/>
                <w:i/>
                <w:iCs/>
                <w:color w:val="FFFFFF"/>
                <w:sz w:val="18"/>
                <w:szCs w:val="18"/>
              </w:rPr>
              <w:t>Investigación/Práctica</w:t>
            </w:r>
          </w:p>
        </w:tc>
      </w:tr>
      <w:tr w:rsidR="00990B14" w14:paraId="06A783B4" w14:textId="77777777">
        <w:trPr>
          <w:jc w:val="center"/>
        </w:trPr>
        <w:tc>
          <w:tcPr>
            <w:tcW w:w="2015" w:type="dxa"/>
            <w:shd w:val="clear" w:color="auto" w:fill="D9E2F3"/>
          </w:tcPr>
          <w:p w14:paraId="75ECE998" w14:textId="77777777" w:rsidR="00990B14" w:rsidRDefault="00000000">
            <w:pPr>
              <w:numPr>
                <w:ilvl w:val="0"/>
                <w:numId w:val="139"/>
              </w:numPr>
              <w:spacing w:before="10" w:after="10"/>
              <w:jc w:val="both"/>
            </w:pPr>
            <w:r>
              <w:rPr>
                <w:sz w:val="18"/>
                <w:szCs w:val="18"/>
              </w:rPr>
              <w:t>Exposición dialogada de la estructura del Sistema Financiero Nacional y de la normativa de la ASFI.</w:t>
            </w:r>
          </w:p>
          <w:p w14:paraId="1CCA6FA5" w14:textId="77777777" w:rsidR="00990B14" w:rsidRDefault="00000000">
            <w:pPr>
              <w:numPr>
                <w:ilvl w:val="0"/>
                <w:numId w:val="139"/>
              </w:numPr>
              <w:spacing w:before="10" w:after="10"/>
              <w:jc w:val="both"/>
            </w:pPr>
            <w:r>
              <w:rPr>
                <w:sz w:val="18"/>
                <w:szCs w:val="18"/>
              </w:rPr>
              <w:t>Resolución guiada de papeletas contables de disponibilidades, depósitos y cartera.</w:t>
            </w:r>
          </w:p>
          <w:p w14:paraId="1D29D77F" w14:textId="77777777" w:rsidR="00990B14" w:rsidRDefault="00000000">
            <w:pPr>
              <w:numPr>
                <w:ilvl w:val="0"/>
                <w:numId w:val="139"/>
              </w:numPr>
              <w:spacing w:before="10" w:after="10"/>
              <w:jc w:val="both"/>
            </w:pPr>
            <w:r>
              <w:rPr>
                <w:sz w:val="18"/>
                <w:szCs w:val="18"/>
              </w:rPr>
              <w:t>Demostración del cálculo del encaje legal y de las previsiones de cartera en hoja de cálculo.</w:t>
            </w:r>
          </w:p>
          <w:p w14:paraId="693CF2B5" w14:textId="77777777" w:rsidR="00990B14" w:rsidRDefault="00000000">
            <w:pPr>
              <w:numPr>
                <w:ilvl w:val="0"/>
                <w:numId w:val="139"/>
              </w:numPr>
              <w:spacing w:before="10" w:after="10"/>
              <w:jc w:val="both"/>
            </w:pPr>
            <w:r>
              <w:rPr>
                <w:sz w:val="18"/>
                <w:szCs w:val="18"/>
              </w:rPr>
              <w:t>Análisis de casos de calificación de cartera y de bienes adjudicados de entidades bolivianas.</w:t>
            </w:r>
          </w:p>
          <w:p w14:paraId="62380635" w14:textId="77777777" w:rsidR="00990B14" w:rsidRDefault="00000000">
            <w:pPr>
              <w:numPr>
                <w:ilvl w:val="0"/>
                <w:numId w:val="139"/>
              </w:numPr>
              <w:spacing w:before="10" w:after="10"/>
              <w:jc w:val="both"/>
            </w:pPr>
            <w:r>
              <w:rPr>
                <w:sz w:val="18"/>
                <w:szCs w:val="18"/>
              </w:rPr>
              <w:t>Preguntas de comprensión sobre la dinámica de las cuentas del Manual de Cuentas.</w:t>
            </w:r>
          </w:p>
        </w:tc>
        <w:tc>
          <w:tcPr>
            <w:tcW w:w="1473" w:type="dxa"/>
            <w:shd w:val="clear" w:color="auto" w:fill="D9E2F3"/>
          </w:tcPr>
          <w:p w14:paraId="1A531425" w14:textId="77777777" w:rsidR="00990B14" w:rsidRDefault="00000000">
            <w:pPr>
              <w:numPr>
                <w:ilvl w:val="0"/>
                <w:numId w:val="139"/>
              </w:numPr>
              <w:spacing w:before="10" w:after="10"/>
              <w:jc w:val="both"/>
            </w:pPr>
            <w:r>
              <w:rPr>
                <w:sz w:val="18"/>
                <w:szCs w:val="18"/>
              </w:rPr>
              <w:t>Resolución de ejercicios de registro contable al cierre de cada tema.</w:t>
            </w:r>
          </w:p>
          <w:p w14:paraId="003890B5" w14:textId="77777777" w:rsidR="00990B14" w:rsidRDefault="00000000">
            <w:pPr>
              <w:numPr>
                <w:ilvl w:val="0"/>
                <w:numId w:val="139"/>
              </w:numPr>
              <w:spacing w:before="10" w:after="10"/>
              <w:jc w:val="both"/>
            </w:pPr>
            <w:r>
              <w:rPr>
                <w:sz w:val="18"/>
                <w:szCs w:val="18"/>
              </w:rPr>
              <w:t>Lectura del Manual de Cuentas para Entidades Financieras y de la normativa de la ASFI relacionada con cada tema.</w:t>
            </w:r>
          </w:p>
          <w:p w14:paraId="15142B40" w14:textId="77777777" w:rsidR="00990B14" w:rsidRDefault="00000000">
            <w:pPr>
              <w:numPr>
                <w:ilvl w:val="0"/>
                <w:numId w:val="139"/>
              </w:numPr>
              <w:spacing w:before="10" w:after="10"/>
              <w:jc w:val="both"/>
            </w:pPr>
            <w:r>
              <w:rPr>
                <w:sz w:val="18"/>
                <w:szCs w:val="18"/>
              </w:rPr>
              <w:t>Desarrollo progresivo de un caso práctico integral de una entidad financiera.</w:t>
            </w:r>
          </w:p>
        </w:tc>
        <w:tc>
          <w:tcPr>
            <w:tcW w:w="1818" w:type="dxa"/>
            <w:shd w:val="clear" w:color="auto" w:fill="D9E2F3"/>
          </w:tcPr>
          <w:p w14:paraId="41CBF245" w14:textId="77777777" w:rsidR="00990B14" w:rsidRDefault="00000000">
            <w:pPr>
              <w:numPr>
                <w:ilvl w:val="0"/>
                <w:numId w:val="139"/>
              </w:numPr>
              <w:spacing w:before="10" w:after="10"/>
              <w:jc w:val="both"/>
            </w:pPr>
            <w:r>
              <w:rPr>
                <w:sz w:val="18"/>
                <w:szCs w:val="18"/>
              </w:rPr>
              <w:t>Cuestionarios de comprensión de cada operación financiera en la plataforma Moodle UMSA.</w:t>
            </w:r>
          </w:p>
          <w:p w14:paraId="481A15DE" w14:textId="77777777" w:rsidR="00990B14" w:rsidRDefault="00000000">
            <w:pPr>
              <w:numPr>
                <w:ilvl w:val="0"/>
                <w:numId w:val="139"/>
              </w:numPr>
              <w:spacing w:before="10" w:after="10"/>
              <w:jc w:val="both"/>
            </w:pPr>
            <w:r>
              <w:rPr>
                <w:sz w:val="18"/>
                <w:szCs w:val="18"/>
              </w:rPr>
              <w:t>Foros de consulta sobre el tratamiento contable de la cartera de créditos y de las obligaciones con el público.</w:t>
            </w:r>
          </w:p>
          <w:p w14:paraId="2BC5B8AC" w14:textId="77777777" w:rsidR="00990B14" w:rsidRDefault="00000000">
            <w:pPr>
              <w:numPr>
                <w:ilvl w:val="0"/>
                <w:numId w:val="139"/>
              </w:numPr>
              <w:spacing w:before="10" w:after="10"/>
              <w:jc w:val="both"/>
            </w:pPr>
            <w:r>
              <w:rPr>
                <w:sz w:val="18"/>
                <w:szCs w:val="18"/>
              </w:rPr>
              <w:t>Videotutoriales del cálculo del encaje legal y del Fondo RAL.</w:t>
            </w:r>
          </w:p>
          <w:p w14:paraId="5B4A5BD9" w14:textId="77777777" w:rsidR="00990B14" w:rsidRDefault="00000000">
            <w:pPr>
              <w:numPr>
                <w:ilvl w:val="0"/>
                <w:numId w:val="139"/>
              </w:numPr>
              <w:spacing w:before="10" w:after="10"/>
              <w:jc w:val="both"/>
            </w:pPr>
            <w:r>
              <w:rPr>
                <w:sz w:val="18"/>
                <w:szCs w:val="18"/>
              </w:rPr>
              <w:t>Cuestionarios sobre la normativa de la Recopilación de Normas para Servicios Financieros en la plataforma Moodle UMSA.</w:t>
            </w:r>
          </w:p>
        </w:tc>
        <w:tc>
          <w:tcPr>
            <w:tcW w:w="1559" w:type="dxa"/>
            <w:shd w:val="clear" w:color="auto" w:fill="D9E2F3"/>
          </w:tcPr>
          <w:p w14:paraId="4EB28AF8" w14:textId="77777777" w:rsidR="00990B14" w:rsidRDefault="00000000">
            <w:pPr>
              <w:numPr>
                <w:ilvl w:val="0"/>
                <w:numId w:val="139"/>
              </w:numPr>
              <w:spacing w:before="10" w:after="10"/>
              <w:jc w:val="both"/>
            </w:pPr>
            <w:r>
              <w:rPr>
                <w:sz w:val="18"/>
                <w:szCs w:val="18"/>
              </w:rPr>
              <w:t>Resolución colaborativa de casos de apertura y movimiento de cuentas corrientes, cajas de ahorro y depósitos a plazo fijo.</w:t>
            </w:r>
          </w:p>
          <w:p w14:paraId="328A1E97" w14:textId="77777777" w:rsidR="00990B14" w:rsidRDefault="00000000">
            <w:pPr>
              <w:numPr>
                <w:ilvl w:val="0"/>
                <w:numId w:val="139"/>
              </w:numPr>
              <w:spacing w:before="10" w:after="10"/>
              <w:jc w:val="both"/>
            </w:pPr>
            <w:r>
              <w:rPr>
                <w:sz w:val="18"/>
                <w:szCs w:val="18"/>
              </w:rPr>
              <w:t>Elaboración guiada de la calificación de cartera y de las previsiones de una entidad financiera.</w:t>
            </w:r>
          </w:p>
          <w:p w14:paraId="77C4602B" w14:textId="77777777" w:rsidR="00990B14" w:rsidRDefault="00000000">
            <w:pPr>
              <w:numPr>
                <w:ilvl w:val="0"/>
                <w:numId w:val="139"/>
              </w:numPr>
              <w:spacing w:before="10" w:after="10"/>
              <w:jc w:val="both"/>
            </w:pPr>
            <w:r>
              <w:rPr>
                <w:sz w:val="18"/>
                <w:szCs w:val="18"/>
              </w:rPr>
              <w:t>Revisión cruzada de los estados financieros de una entidad financiera entre equipos.</w:t>
            </w:r>
          </w:p>
          <w:p w14:paraId="43AA3F3E" w14:textId="77777777" w:rsidR="00990B14" w:rsidRDefault="00000000">
            <w:pPr>
              <w:numPr>
                <w:ilvl w:val="0"/>
                <w:numId w:val="139"/>
              </w:numPr>
              <w:spacing w:before="10" w:after="10"/>
              <w:jc w:val="both"/>
            </w:pPr>
            <w:r>
              <w:rPr>
                <w:sz w:val="18"/>
                <w:szCs w:val="18"/>
              </w:rPr>
              <w:t>Resolución de un caso de debida diligencia del cliente y detección de una operación sospechosa.</w:t>
            </w:r>
          </w:p>
        </w:tc>
        <w:tc>
          <w:tcPr>
            <w:tcW w:w="2540" w:type="dxa"/>
            <w:shd w:val="clear" w:color="auto" w:fill="D9E2F3"/>
          </w:tcPr>
          <w:p w14:paraId="7548FD78" w14:textId="77777777" w:rsidR="00990B14" w:rsidRDefault="00000000">
            <w:pPr>
              <w:numPr>
                <w:ilvl w:val="0"/>
                <w:numId w:val="139"/>
              </w:numPr>
              <w:spacing w:before="10" w:after="10"/>
              <w:jc w:val="both"/>
            </w:pPr>
            <w:r>
              <w:rPr>
                <w:sz w:val="18"/>
                <w:szCs w:val="18"/>
              </w:rPr>
              <w:t>Análisis de los estados financieros publicados por bancos bolivianos conforme al modelo de la ASFI.</w:t>
            </w:r>
          </w:p>
          <w:p w14:paraId="0C30DD88" w14:textId="77777777" w:rsidR="00990B14" w:rsidRDefault="00000000">
            <w:pPr>
              <w:numPr>
                <w:ilvl w:val="0"/>
                <w:numId w:val="139"/>
              </w:numPr>
              <w:spacing w:before="10" w:after="10"/>
              <w:jc w:val="both"/>
            </w:pPr>
            <w:r>
              <w:rPr>
                <w:sz w:val="18"/>
                <w:szCs w:val="18"/>
              </w:rPr>
              <w:t>Revisión de circulares y normativa de la ASFI sobre cartera de créditos y encaje legal.</w:t>
            </w:r>
          </w:p>
          <w:p w14:paraId="49AF647A" w14:textId="77777777" w:rsidR="00990B14" w:rsidRDefault="00000000">
            <w:pPr>
              <w:numPr>
                <w:ilvl w:val="0"/>
                <w:numId w:val="139"/>
              </w:numPr>
              <w:spacing w:before="10" w:after="10"/>
              <w:jc w:val="both"/>
            </w:pPr>
            <w:r>
              <w:rPr>
                <w:sz w:val="18"/>
                <w:szCs w:val="18"/>
              </w:rPr>
              <w:t>Comparación de la operatoria contable de un banco, una SAFI y una entidad de leasing.</w:t>
            </w:r>
          </w:p>
          <w:p w14:paraId="68AE6D64" w14:textId="77777777" w:rsidR="00990B14" w:rsidRDefault="00000000">
            <w:pPr>
              <w:numPr>
                <w:ilvl w:val="0"/>
                <w:numId w:val="139"/>
              </w:numPr>
              <w:spacing w:before="10" w:after="10"/>
              <w:jc w:val="both"/>
            </w:pPr>
            <w:r>
              <w:rPr>
                <w:sz w:val="18"/>
                <w:szCs w:val="18"/>
              </w:rPr>
              <w:t>Revisión de los boletines y reportes de la Autoridad de Supervisión del Sistema Financiero sobre la evolución de la cartera y los depósitos.</w:t>
            </w:r>
          </w:p>
        </w:tc>
      </w:tr>
    </w:tbl>
    <w:p w14:paraId="637432DB"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715"/>
        <w:gridCol w:w="1750"/>
        <w:gridCol w:w="2015"/>
        <w:gridCol w:w="1910"/>
        <w:gridCol w:w="2015"/>
      </w:tblGrid>
      <w:tr w:rsidR="00990B14" w14:paraId="6CC1C5AA" w14:textId="77777777">
        <w:trPr>
          <w:jc w:val="center"/>
        </w:trPr>
        <w:tc>
          <w:tcPr>
            <w:tcW w:w="1715" w:type="dxa"/>
            <w:shd w:val="clear" w:color="auto" w:fill="4472C4"/>
            <w:vAlign w:val="center"/>
          </w:tcPr>
          <w:p w14:paraId="7BCFEAAD" w14:textId="77777777" w:rsidR="00990B14" w:rsidRDefault="00000000">
            <w:pPr>
              <w:spacing w:before="20" w:after="20"/>
              <w:jc w:val="center"/>
            </w:pPr>
            <w:r>
              <w:rPr>
                <w:b/>
                <w:bCs/>
                <w:i/>
                <w:iCs/>
                <w:color w:val="FFFFFF"/>
                <w:sz w:val="18"/>
                <w:szCs w:val="18"/>
              </w:rPr>
              <w:t>Estrategias de aprendizaje y enseñanza</w:t>
            </w:r>
          </w:p>
        </w:tc>
        <w:tc>
          <w:tcPr>
            <w:tcW w:w="7690" w:type="dxa"/>
            <w:gridSpan w:val="4"/>
            <w:shd w:val="clear" w:color="auto" w:fill="D9E2F3"/>
            <w:vAlign w:val="center"/>
          </w:tcPr>
          <w:p w14:paraId="726AD6FF" w14:textId="77777777" w:rsidR="00990B14" w:rsidRDefault="00000000">
            <w:pPr>
              <w:numPr>
                <w:ilvl w:val="0"/>
                <w:numId w:val="140"/>
              </w:numPr>
              <w:spacing w:before="10" w:after="10"/>
              <w:jc w:val="both"/>
            </w:pPr>
            <w:r>
              <w:rPr>
                <w:sz w:val="18"/>
                <w:szCs w:val="18"/>
              </w:rPr>
              <w:t>Aprendizaje basado en problemas con operaciones de bancos y entidades financieras bolivianas.</w:t>
            </w:r>
          </w:p>
          <w:p w14:paraId="07C6E110" w14:textId="77777777" w:rsidR="00990B14" w:rsidRDefault="00000000">
            <w:pPr>
              <w:numPr>
                <w:ilvl w:val="0"/>
                <w:numId w:val="140"/>
              </w:numPr>
              <w:spacing w:before="10" w:after="10"/>
              <w:jc w:val="both"/>
            </w:pPr>
            <w:r>
              <w:rPr>
                <w:sz w:val="18"/>
                <w:szCs w:val="18"/>
              </w:rPr>
              <w:t>Resolución guiada de casos prácticos en orden de dificultad creciente por producto financiero.</w:t>
            </w:r>
          </w:p>
          <w:p w14:paraId="73B4CFFE" w14:textId="77777777" w:rsidR="00990B14" w:rsidRDefault="00000000">
            <w:pPr>
              <w:numPr>
                <w:ilvl w:val="0"/>
                <w:numId w:val="140"/>
              </w:numPr>
              <w:spacing w:before="10" w:after="10"/>
              <w:jc w:val="both"/>
            </w:pPr>
            <w:r>
              <w:rPr>
                <w:sz w:val="18"/>
                <w:szCs w:val="18"/>
              </w:rPr>
              <w:t>Caso práctico integral que recorre las operaciones de una entidad financiera hasta sus estados financieros.</w:t>
            </w:r>
          </w:p>
          <w:p w14:paraId="7A9C316A" w14:textId="77777777" w:rsidR="00990B14" w:rsidRDefault="00000000">
            <w:pPr>
              <w:numPr>
                <w:ilvl w:val="0"/>
                <w:numId w:val="140"/>
              </w:numPr>
              <w:spacing w:before="10" w:after="10"/>
              <w:jc w:val="both"/>
            </w:pPr>
            <w:r>
              <w:rPr>
                <w:sz w:val="18"/>
                <w:szCs w:val="18"/>
              </w:rPr>
              <w:t>Estudio de casos de entidades financieras reales del sistema boliviano.</w:t>
            </w:r>
          </w:p>
          <w:p w14:paraId="5520B04F" w14:textId="77777777" w:rsidR="00990B14" w:rsidRDefault="00000000">
            <w:pPr>
              <w:numPr>
                <w:ilvl w:val="0"/>
                <w:numId w:val="140"/>
              </w:numPr>
              <w:spacing w:before="10" w:after="10"/>
              <w:jc w:val="both"/>
            </w:pPr>
            <w:r>
              <w:rPr>
                <w:sz w:val="18"/>
                <w:szCs w:val="18"/>
              </w:rPr>
              <w:t>Trabajo colaborativo en equipos de análisis y resolución de casos normativos.</w:t>
            </w:r>
          </w:p>
          <w:p w14:paraId="6218A9D4" w14:textId="77777777" w:rsidR="00990B14" w:rsidRDefault="00000000">
            <w:pPr>
              <w:numPr>
                <w:ilvl w:val="0"/>
                <w:numId w:val="140"/>
              </w:numPr>
              <w:spacing w:before="10" w:after="10"/>
              <w:jc w:val="both"/>
            </w:pPr>
            <w:r>
              <w:rPr>
                <w:sz w:val="18"/>
                <w:szCs w:val="18"/>
              </w:rPr>
              <w:t>Clase invertida para los contenidos introductorios y normativos de cada capítulo.</w:t>
            </w:r>
          </w:p>
          <w:p w14:paraId="67380FC4" w14:textId="77777777" w:rsidR="00990B14" w:rsidRDefault="00000000">
            <w:pPr>
              <w:numPr>
                <w:ilvl w:val="0"/>
                <w:numId w:val="140"/>
              </w:numPr>
              <w:spacing w:before="10" w:after="10"/>
              <w:jc w:val="both"/>
            </w:pPr>
            <w:r>
              <w:rPr>
                <w:sz w:val="18"/>
                <w:szCs w:val="18"/>
              </w:rPr>
              <w:t>Análisis crítico de los indicadores de una entidad financiera antes de emitir una conclusión sobre su situación.</w:t>
            </w:r>
          </w:p>
        </w:tc>
      </w:tr>
      <w:tr w:rsidR="00990B14" w14:paraId="14D2E002" w14:textId="77777777">
        <w:trPr>
          <w:jc w:val="center"/>
        </w:trPr>
        <w:tc>
          <w:tcPr>
            <w:tcW w:w="1715" w:type="dxa"/>
            <w:shd w:val="clear" w:color="auto" w:fill="4472C4"/>
            <w:vAlign w:val="center"/>
          </w:tcPr>
          <w:p w14:paraId="60C90770" w14:textId="77777777" w:rsidR="00990B14" w:rsidRDefault="00000000">
            <w:pPr>
              <w:spacing w:before="20" w:after="20"/>
              <w:jc w:val="center"/>
            </w:pPr>
            <w:r>
              <w:rPr>
                <w:b/>
                <w:bCs/>
                <w:i/>
                <w:iCs/>
                <w:color w:val="FFFFFF"/>
                <w:sz w:val="18"/>
                <w:szCs w:val="18"/>
              </w:rPr>
              <w:t>Recursos para el aprendizaje</w:t>
            </w:r>
          </w:p>
        </w:tc>
        <w:tc>
          <w:tcPr>
            <w:tcW w:w="7690" w:type="dxa"/>
            <w:gridSpan w:val="4"/>
            <w:shd w:val="clear" w:color="auto" w:fill="D9E2F3"/>
            <w:vAlign w:val="center"/>
          </w:tcPr>
          <w:p w14:paraId="1B2F371F" w14:textId="77777777" w:rsidR="00990B14" w:rsidRDefault="00000000">
            <w:pPr>
              <w:numPr>
                <w:ilvl w:val="0"/>
                <w:numId w:val="140"/>
              </w:numPr>
              <w:spacing w:before="10" w:after="10"/>
              <w:jc w:val="both"/>
            </w:pPr>
            <w:r>
              <w:rPr>
                <w:sz w:val="18"/>
                <w:szCs w:val="18"/>
              </w:rPr>
              <w:t>Plataforma Moodle UMSA.</w:t>
            </w:r>
          </w:p>
          <w:p w14:paraId="7D625528" w14:textId="77777777" w:rsidR="00990B14" w:rsidRDefault="00000000">
            <w:pPr>
              <w:numPr>
                <w:ilvl w:val="0"/>
                <w:numId w:val="140"/>
              </w:numPr>
              <w:spacing w:before="10" w:after="10"/>
              <w:jc w:val="both"/>
            </w:pPr>
            <w:r>
              <w:rPr>
                <w:sz w:val="18"/>
                <w:szCs w:val="18"/>
              </w:rPr>
              <w:t>Manual de Cuentas para Entidades Financieras y Recopilación de Normas para Servicios Financieros de la ASFI.</w:t>
            </w:r>
          </w:p>
          <w:p w14:paraId="4069E8E0" w14:textId="77777777" w:rsidR="00990B14" w:rsidRDefault="00000000">
            <w:pPr>
              <w:numPr>
                <w:ilvl w:val="0"/>
                <w:numId w:val="140"/>
              </w:numPr>
              <w:spacing w:before="10" w:after="10"/>
              <w:jc w:val="both"/>
            </w:pPr>
            <w:r>
              <w:rPr>
                <w:sz w:val="18"/>
                <w:szCs w:val="18"/>
              </w:rPr>
              <w:t>Compendio de Normas de Contabilidad y Auditoría del CAUB.</w:t>
            </w:r>
          </w:p>
          <w:p w14:paraId="3A17B144" w14:textId="77777777" w:rsidR="00990B14" w:rsidRDefault="00000000">
            <w:pPr>
              <w:numPr>
                <w:ilvl w:val="0"/>
                <w:numId w:val="140"/>
              </w:numPr>
              <w:spacing w:before="10" w:after="10"/>
              <w:jc w:val="both"/>
            </w:pPr>
            <w:r>
              <w:rPr>
                <w:sz w:val="18"/>
                <w:szCs w:val="18"/>
              </w:rPr>
              <w:t>Hoja de cálculo para la resolución de casos prácticos de cartera, encaje legal e intereses.</w:t>
            </w:r>
          </w:p>
          <w:p w14:paraId="39F85A04" w14:textId="77777777" w:rsidR="00990B14" w:rsidRDefault="00000000">
            <w:pPr>
              <w:numPr>
                <w:ilvl w:val="0"/>
                <w:numId w:val="140"/>
              </w:numPr>
              <w:spacing w:before="10" w:after="10"/>
              <w:jc w:val="both"/>
            </w:pPr>
            <w:r>
              <w:rPr>
                <w:sz w:val="18"/>
                <w:szCs w:val="18"/>
              </w:rPr>
              <w:t>Guías de ejercicios y casos elaborados por la cátedra.</w:t>
            </w:r>
          </w:p>
          <w:p w14:paraId="07A21CE7" w14:textId="77777777" w:rsidR="00990B14" w:rsidRDefault="00000000">
            <w:pPr>
              <w:numPr>
                <w:ilvl w:val="0"/>
                <w:numId w:val="140"/>
              </w:numPr>
              <w:spacing w:before="10" w:after="10"/>
              <w:jc w:val="both"/>
            </w:pPr>
            <w:r>
              <w:rPr>
                <w:sz w:val="18"/>
                <w:szCs w:val="18"/>
              </w:rPr>
              <w:t>Recopilación de Normas para Servicios Financieros y Manual de Cuentas para Entidades Financieras de la ASFI.</w:t>
            </w:r>
          </w:p>
          <w:p w14:paraId="713B8E66" w14:textId="77777777" w:rsidR="00990B14" w:rsidRDefault="00000000">
            <w:pPr>
              <w:numPr>
                <w:ilvl w:val="0"/>
                <w:numId w:val="140"/>
              </w:numPr>
              <w:spacing w:before="10" w:after="10"/>
              <w:jc w:val="both"/>
            </w:pPr>
            <w:r>
              <w:rPr>
                <w:sz w:val="18"/>
                <w:szCs w:val="18"/>
              </w:rPr>
              <w:t>Hoja de cálculo para el cálculo de intereses, encaje legal y previsiones de cartera.</w:t>
            </w:r>
          </w:p>
        </w:tc>
      </w:tr>
      <w:tr w:rsidR="00990B14" w14:paraId="5C04918A" w14:textId="77777777">
        <w:trPr>
          <w:jc w:val="center"/>
        </w:trPr>
        <w:tc>
          <w:tcPr>
            <w:tcW w:w="1715" w:type="dxa"/>
            <w:shd w:val="clear" w:color="auto" w:fill="4472C4"/>
            <w:vAlign w:val="center"/>
          </w:tcPr>
          <w:p w14:paraId="78E8776D" w14:textId="77777777" w:rsidR="00990B14" w:rsidRDefault="00000000">
            <w:pPr>
              <w:spacing w:before="20" w:after="20"/>
              <w:jc w:val="center"/>
            </w:pPr>
            <w:r>
              <w:rPr>
                <w:b/>
                <w:bCs/>
                <w:i/>
                <w:iCs/>
                <w:color w:val="FFFFFF"/>
                <w:sz w:val="18"/>
                <w:szCs w:val="18"/>
              </w:rPr>
              <w:t>Estrategias de evaluación</w:t>
            </w:r>
          </w:p>
        </w:tc>
        <w:tc>
          <w:tcPr>
            <w:tcW w:w="7690" w:type="dxa"/>
            <w:gridSpan w:val="4"/>
            <w:shd w:val="clear" w:color="auto" w:fill="D9E2F3"/>
            <w:vAlign w:val="center"/>
          </w:tcPr>
          <w:p w14:paraId="093A947A" w14:textId="77777777" w:rsidR="00990B14" w:rsidRDefault="00000000">
            <w:pPr>
              <w:numPr>
                <w:ilvl w:val="0"/>
                <w:numId w:val="140"/>
              </w:numPr>
              <w:spacing w:before="10" w:after="10"/>
              <w:jc w:val="both"/>
            </w:pPr>
            <w:r>
              <w:rPr>
                <w:sz w:val="18"/>
                <w:szCs w:val="18"/>
              </w:rPr>
              <w:t>Evaluación diagnóstica: prueba inicial sobre los conocimientos previos de contabilidad intermedia, contabilidad de sociedades y contabilidad de tributos.</w:t>
            </w:r>
          </w:p>
          <w:p w14:paraId="275EB3CF" w14:textId="77777777" w:rsidR="00990B14" w:rsidRDefault="00000000">
            <w:pPr>
              <w:numPr>
                <w:ilvl w:val="0"/>
                <w:numId w:val="140"/>
              </w:numPr>
              <w:spacing w:before="10" w:after="10"/>
              <w:jc w:val="both"/>
            </w:pPr>
            <w:r>
              <w:rPr>
                <w:sz w:val="18"/>
                <w:szCs w:val="18"/>
              </w:rPr>
              <w:t>Evaluación formativa: preguntas de comprensión y desarrollo de ejercicios prácticos en el aula, con retroalimentación continua, autoevaluación y coevaluación.</w:t>
            </w:r>
          </w:p>
          <w:p w14:paraId="7724DB78" w14:textId="77777777" w:rsidR="00990B14" w:rsidRDefault="00000000">
            <w:pPr>
              <w:numPr>
                <w:ilvl w:val="0"/>
                <w:numId w:val="140"/>
              </w:numPr>
              <w:spacing w:before="10" w:after="10"/>
              <w:jc w:val="both"/>
            </w:pPr>
            <w:r>
              <w:rPr>
                <w:sz w:val="18"/>
                <w:szCs w:val="18"/>
              </w:rPr>
              <w:t>Evaluación sumativa: controles de lectura y asistencia, evaluación de casos prácticos, trabajos de investigación y desarrollo, exámenes parciales y examen final.</w:t>
            </w:r>
          </w:p>
        </w:tc>
      </w:tr>
      <w:tr w:rsidR="00990B14" w14:paraId="7FDF3EFA" w14:textId="77777777">
        <w:trPr>
          <w:jc w:val="center"/>
        </w:trPr>
        <w:tc>
          <w:tcPr>
            <w:tcW w:w="1715" w:type="dxa"/>
            <w:shd w:val="clear" w:color="auto" w:fill="4472C4"/>
            <w:vAlign w:val="center"/>
          </w:tcPr>
          <w:p w14:paraId="36503A38" w14:textId="77777777" w:rsidR="00990B14" w:rsidRDefault="00000000">
            <w:pPr>
              <w:spacing w:before="20" w:after="20"/>
              <w:jc w:val="center"/>
            </w:pPr>
            <w:r>
              <w:rPr>
                <w:b/>
                <w:bCs/>
                <w:i/>
                <w:iCs/>
                <w:color w:val="FFFFFF"/>
                <w:sz w:val="18"/>
                <w:szCs w:val="18"/>
              </w:rPr>
              <w:t>Criterios de calificación</w:t>
            </w:r>
          </w:p>
        </w:tc>
        <w:tc>
          <w:tcPr>
            <w:tcW w:w="7690" w:type="dxa"/>
            <w:gridSpan w:val="4"/>
            <w:shd w:val="clear" w:color="auto" w:fill="D9E2F3"/>
            <w:vAlign w:val="center"/>
          </w:tcPr>
          <w:p w14:paraId="3ED63D14" w14:textId="77777777" w:rsidR="00990B14" w:rsidRDefault="00000000">
            <w:pPr>
              <w:numPr>
                <w:ilvl w:val="0"/>
                <w:numId w:val="140"/>
              </w:numPr>
              <w:spacing w:before="10" w:after="10"/>
              <w:jc w:val="both"/>
            </w:pPr>
            <w:r>
              <w:rPr>
                <w:sz w:val="18"/>
                <w:szCs w:val="18"/>
              </w:rPr>
              <w:t>Nota mínima de aprobación: 51/100.</w:t>
            </w:r>
          </w:p>
          <w:p w14:paraId="3BF1EDBA" w14:textId="77777777" w:rsidR="00990B14" w:rsidRDefault="00000000">
            <w:pPr>
              <w:numPr>
                <w:ilvl w:val="0"/>
                <w:numId w:val="140"/>
              </w:numPr>
              <w:spacing w:before="10" w:after="10"/>
              <w:jc w:val="both"/>
            </w:pPr>
            <w:r>
              <w:rPr>
                <w:sz w:val="18"/>
                <w:szCs w:val="18"/>
              </w:rPr>
              <w:t>Evaluación periódica al finalizar cada tema, basada en evidencias de conocimiento, desempeño y producto.</w:t>
            </w:r>
          </w:p>
          <w:p w14:paraId="4B39BAA8" w14:textId="77777777" w:rsidR="00990B14" w:rsidRDefault="00000000">
            <w:pPr>
              <w:numPr>
                <w:ilvl w:val="0"/>
                <w:numId w:val="140"/>
              </w:numPr>
              <w:spacing w:before="10" w:after="10"/>
              <w:jc w:val="both"/>
            </w:pPr>
            <w:r>
              <w:rPr>
                <w:sz w:val="18"/>
                <w:szCs w:val="18"/>
              </w:rPr>
              <w:t>Cada evidencia de producto se evalúa con su propia rúbrica de tres niveles: Insuficiente, Suficiente y Destacado.</w:t>
            </w:r>
          </w:p>
          <w:p w14:paraId="00BAA0D1" w14:textId="77777777" w:rsidR="00990B14" w:rsidRDefault="00000000">
            <w:pPr>
              <w:numPr>
                <w:ilvl w:val="0"/>
                <w:numId w:val="140"/>
              </w:numPr>
              <w:spacing w:before="10" w:after="10"/>
              <w:jc w:val="both"/>
            </w:pPr>
            <w:r>
              <w:rPr>
                <w:sz w:val="18"/>
                <w:szCs w:val="18"/>
              </w:rPr>
              <w:t>La calificación de cada elemento de competencia suma las calificaciones de sus evidencias de producto.</w:t>
            </w:r>
          </w:p>
          <w:p w14:paraId="12B826FA" w14:textId="77777777" w:rsidR="00990B14" w:rsidRDefault="00000000">
            <w:pPr>
              <w:numPr>
                <w:ilvl w:val="0"/>
                <w:numId w:val="140"/>
              </w:numPr>
              <w:spacing w:before="10" w:after="10"/>
              <w:jc w:val="both"/>
            </w:pPr>
            <w:r>
              <w:rPr>
                <w:sz w:val="18"/>
                <w:szCs w:val="18"/>
              </w:rPr>
              <w:t>Distribución de la calificación por elemento de competencia: Elemento 1, 20 %; Elemento 2, 35 %; Elemento 3, 35 %; Elemento 4, 10 %.</w:t>
            </w:r>
          </w:p>
          <w:p w14:paraId="3DBC0F60" w14:textId="77777777" w:rsidR="00990B14" w:rsidRDefault="00000000">
            <w:pPr>
              <w:numPr>
                <w:ilvl w:val="0"/>
                <w:numId w:val="140"/>
              </w:numPr>
              <w:spacing w:before="10" w:after="10"/>
              <w:jc w:val="both"/>
            </w:pPr>
            <w:r>
              <w:rPr>
                <w:sz w:val="18"/>
                <w:szCs w:val="18"/>
              </w:rPr>
              <w:t>Dentro de cada elemento, los productos prácticos tienen mayor peso que los teóricos.</w:t>
            </w:r>
          </w:p>
          <w:p w14:paraId="72A6B0F3" w14:textId="77777777" w:rsidR="00990B14" w:rsidRDefault="00000000">
            <w:pPr>
              <w:numPr>
                <w:ilvl w:val="0"/>
                <w:numId w:val="140"/>
              </w:numPr>
              <w:spacing w:before="10" w:after="10"/>
              <w:jc w:val="both"/>
            </w:pPr>
            <w:r>
              <w:rPr>
                <w:sz w:val="18"/>
                <w:szCs w:val="18"/>
              </w:rPr>
              <w:t>La nota de cada producto (1–100) se multiplica por su peso porcentual; la suma de los 16 productos da la nota final sobre 100.</w:t>
            </w:r>
          </w:p>
        </w:tc>
      </w:tr>
      <w:tr w:rsidR="00990B14" w14:paraId="65A653BC" w14:textId="77777777">
        <w:trPr>
          <w:cantSplit/>
          <w:jc w:val="center"/>
        </w:trPr>
        <w:tc>
          <w:tcPr>
            <w:tcW w:w="1715" w:type="dxa"/>
            <w:vMerge w:val="restart"/>
            <w:shd w:val="clear" w:color="auto" w:fill="4472C4"/>
            <w:vAlign w:val="center"/>
          </w:tcPr>
          <w:p w14:paraId="328001D2" w14:textId="77777777" w:rsidR="00990B14" w:rsidRDefault="00000000">
            <w:pPr>
              <w:spacing w:before="20" w:after="20"/>
              <w:jc w:val="center"/>
            </w:pPr>
            <w:r>
              <w:rPr>
                <w:b/>
                <w:bCs/>
                <w:i/>
                <w:iCs/>
                <w:color w:val="FFFFFF"/>
                <w:sz w:val="18"/>
                <w:szCs w:val="18"/>
              </w:rPr>
              <w:t>Niveles de logro y distribución de la calificación</w:t>
            </w:r>
          </w:p>
        </w:tc>
        <w:tc>
          <w:tcPr>
            <w:tcW w:w="5675" w:type="dxa"/>
            <w:gridSpan w:val="3"/>
            <w:shd w:val="clear" w:color="auto" w:fill="D9E2F3"/>
            <w:vAlign w:val="center"/>
          </w:tcPr>
          <w:p w14:paraId="73D298A6" w14:textId="77777777" w:rsidR="00990B14" w:rsidRDefault="00000000">
            <w:pPr>
              <w:keepNext/>
              <w:spacing w:before="20" w:after="20"/>
              <w:jc w:val="both"/>
            </w:pPr>
            <w:r>
              <w:rPr>
                <w:b/>
                <w:bCs/>
                <w:i/>
                <w:iCs/>
                <w:sz w:val="18"/>
                <w:szCs w:val="18"/>
              </w:rPr>
              <w:t xml:space="preserve">Producto 1: </w:t>
            </w:r>
            <w:r>
              <w:rPr>
                <w:sz w:val="18"/>
                <w:szCs w:val="18"/>
              </w:rPr>
              <w:t>Esquema del sistema financiero boliviano y de la constitución de una entidad financiera según la normativa aplicable de la ASFI</w:t>
            </w:r>
          </w:p>
        </w:tc>
        <w:tc>
          <w:tcPr>
            <w:tcW w:w="2015" w:type="dxa"/>
            <w:shd w:val="clear" w:color="auto" w:fill="D9E2F3"/>
            <w:vAlign w:val="center"/>
          </w:tcPr>
          <w:p w14:paraId="7136FD75" w14:textId="77777777" w:rsidR="00990B14" w:rsidRDefault="00000000">
            <w:pPr>
              <w:spacing w:before="20" w:after="20"/>
              <w:jc w:val="center"/>
            </w:pPr>
            <w:r>
              <w:rPr>
                <w:b/>
                <w:bCs/>
                <w:sz w:val="18"/>
                <w:szCs w:val="18"/>
              </w:rPr>
              <w:t>3%</w:t>
            </w:r>
          </w:p>
        </w:tc>
      </w:tr>
      <w:tr w:rsidR="00990B14" w14:paraId="1C7A380C" w14:textId="77777777">
        <w:trPr>
          <w:cantSplit/>
          <w:jc w:val="center"/>
        </w:trPr>
        <w:tc>
          <w:tcPr>
            <w:tcW w:w="1715" w:type="dxa"/>
            <w:vMerge/>
            <w:shd w:val="clear" w:color="auto" w:fill="4472C4"/>
            <w:vAlign w:val="center"/>
          </w:tcPr>
          <w:p w14:paraId="38E7323B" w14:textId="77777777" w:rsidR="00990B14" w:rsidRDefault="00990B14">
            <w:pPr>
              <w:spacing w:before="20" w:after="20"/>
            </w:pPr>
          </w:p>
        </w:tc>
        <w:tc>
          <w:tcPr>
            <w:tcW w:w="1750" w:type="dxa"/>
            <w:shd w:val="clear" w:color="auto" w:fill="4472C4"/>
            <w:vAlign w:val="center"/>
          </w:tcPr>
          <w:p w14:paraId="187EE098"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567AF4EB"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4612C312"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58D2725D" w14:textId="77777777" w:rsidR="00990B14" w:rsidRDefault="00000000">
            <w:pPr>
              <w:keepNext/>
              <w:spacing w:before="20" w:after="20"/>
              <w:jc w:val="center"/>
            </w:pPr>
            <w:r>
              <w:rPr>
                <w:b/>
                <w:bCs/>
                <w:i/>
                <w:iCs/>
                <w:color w:val="FFFFFF"/>
                <w:sz w:val="18"/>
                <w:szCs w:val="18"/>
              </w:rPr>
              <w:t>Destacado (81–100)</w:t>
            </w:r>
          </w:p>
        </w:tc>
      </w:tr>
      <w:tr w:rsidR="00990B14" w14:paraId="5BE2C5DF" w14:textId="77777777">
        <w:trPr>
          <w:cantSplit/>
          <w:jc w:val="center"/>
        </w:trPr>
        <w:tc>
          <w:tcPr>
            <w:tcW w:w="1715" w:type="dxa"/>
            <w:vMerge/>
            <w:shd w:val="clear" w:color="auto" w:fill="4472C4"/>
            <w:vAlign w:val="center"/>
          </w:tcPr>
          <w:p w14:paraId="17C4EB2B" w14:textId="77777777" w:rsidR="00990B14" w:rsidRDefault="00990B14">
            <w:pPr>
              <w:spacing w:before="20" w:after="20"/>
            </w:pPr>
          </w:p>
        </w:tc>
        <w:tc>
          <w:tcPr>
            <w:tcW w:w="1750" w:type="dxa"/>
            <w:shd w:val="clear" w:color="auto" w:fill="D9E2F3"/>
            <w:vAlign w:val="center"/>
          </w:tcPr>
          <w:p w14:paraId="787E9D0B" w14:textId="77777777" w:rsidR="00990B14" w:rsidRDefault="00000000">
            <w:pPr>
              <w:spacing w:before="20" w:after="20"/>
              <w:jc w:val="both"/>
            </w:pPr>
            <w:r>
              <w:rPr>
                <w:sz w:val="18"/>
                <w:szCs w:val="18"/>
              </w:rPr>
              <w:t>Estructura del sistema financiero</w:t>
            </w:r>
          </w:p>
        </w:tc>
        <w:tc>
          <w:tcPr>
            <w:tcW w:w="2015" w:type="dxa"/>
            <w:shd w:val="clear" w:color="auto" w:fill="D9E2F3"/>
            <w:vAlign w:val="center"/>
          </w:tcPr>
          <w:p w14:paraId="2C5BB9B1" w14:textId="77777777" w:rsidR="00990B14" w:rsidRDefault="00000000">
            <w:pPr>
              <w:spacing w:before="20" w:after="20"/>
              <w:jc w:val="both"/>
            </w:pPr>
            <w:r>
              <w:rPr>
                <w:sz w:val="18"/>
                <w:szCs w:val="18"/>
              </w:rPr>
              <w:t>Describe las instituciones y los elementos del sistema financiero de forma incompleta o con errores conceptuales.</w:t>
            </w:r>
          </w:p>
        </w:tc>
        <w:tc>
          <w:tcPr>
            <w:tcW w:w="1910" w:type="dxa"/>
            <w:shd w:val="clear" w:color="auto" w:fill="D9E2F3"/>
            <w:vAlign w:val="center"/>
          </w:tcPr>
          <w:p w14:paraId="55EF772B" w14:textId="77777777" w:rsidR="00990B14" w:rsidRDefault="00000000">
            <w:pPr>
              <w:spacing w:before="20" w:after="20"/>
              <w:jc w:val="both"/>
            </w:pPr>
            <w:r>
              <w:rPr>
                <w:sz w:val="18"/>
                <w:szCs w:val="18"/>
              </w:rPr>
              <w:t>Describe las instituciones y los elementos del sistema financiero con las ideas principales y errores menores.</w:t>
            </w:r>
          </w:p>
        </w:tc>
        <w:tc>
          <w:tcPr>
            <w:tcW w:w="2015" w:type="dxa"/>
            <w:shd w:val="clear" w:color="auto" w:fill="D9E2F3"/>
            <w:vAlign w:val="center"/>
          </w:tcPr>
          <w:p w14:paraId="5EBB8B7B" w14:textId="77777777" w:rsidR="00990B14" w:rsidRDefault="00000000">
            <w:pPr>
              <w:spacing w:before="20" w:after="20"/>
              <w:jc w:val="both"/>
            </w:pPr>
            <w:r>
              <w:rPr>
                <w:sz w:val="18"/>
                <w:szCs w:val="18"/>
              </w:rPr>
              <w:t>Describe las instituciones y los elementos del sistema financiero de forma completa, precisa y con sustento normativo.</w:t>
            </w:r>
          </w:p>
        </w:tc>
      </w:tr>
      <w:tr w:rsidR="00990B14" w14:paraId="43EAE0EF" w14:textId="77777777">
        <w:trPr>
          <w:cantSplit/>
          <w:jc w:val="center"/>
        </w:trPr>
        <w:tc>
          <w:tcPr>
            <w:tcW w:w="1715" w:type="dxa"/>
            <w:vMerge/>
            <w:shd w:val="clear" w:color="auto" w:fill="4472C4"/>
            <w:vAlign w:val="center"/>
          </w:tcPr>
          <w:p w14:paraId="25CDF433" w14:textId="77777777" w:rsidR="00990B14" w:rsidRDefault="00990B14">
            <w:pPr>
              <w:spacing w:before="20" w:after="20"/>
            </w:pPr>
          </w:p>
        </w:tc>
        <w:tc>
          <w:tcPr>
            <w:tcW w:w="1750" w:type="dxa"/>
            <w:shd w:val="clear" w:color="auto" w:fill="D9E2F3"/>
            <w:vAlign w:val="center"/>
          </w:tcPr>
          <w:p w14:paraId="691E097D" w14:textId="77777777" w:rsidR="00990B14" w:rsidRDefault="00000000">
            <w:pPr>
              <w:spacing w:before="20" w:after="20"/>
              <w:jc w:val="both"/>
            </w:pPr>
            <w:r>
              <w:rPr>
                <w:sz w:val="18"/>
                <w:szCs w:val="18"/>
              </w:rPr>
              <w:t>Constitución según la normativa de la ASFI</w:t>
            </w:r>
          </w:p>
        </w:tc>
        <w:tc>
          <w:tcPr>
            <w:tcW w:w="2015" w:type="dxa"/>
            <w:shd w:val="clear" w:color="auto" w:fill="D9E2F3"/>
            <w:vAlign w:val="center"/>
          </w:tcPr>
          <w:p w14:paraId="405EECC2" w14:textId="77777777" w:rsidR="00990B14" w:rsidRDefault="00000000">
            <w:pPr>
              <w:spacing w:before="20" w:after="20"/>
              <w:jc w:val="both"/>
            </w:pPr>
            <w:r>
              <w:rPr>
                <w:sz w:val="18"/>
                <w:szCs w:val="18"/>
              </w:rPr>
              <w:t>Describe los requisitos, el capital mínimo y la licencia de funcionamiento de forma incompleta o con errores conceptuales.</w:t>
            </w:r>
          </w:p>
        </w:tc>
        <w:tc>
          <w:tcPr>
            <w:tcW w:w="1910" w:type="dxa"/>
            <w:shd w:val="clear" w:color="auto" w:fill="D9E2F3"/>
            <w:vAlign w:val="center"/>
          </w:tcPr>
          <w:p w14:paraId="14AD9AFB" w14:textId="77777777" w:rsidR="00990B14" w:rsidRDefault="00000000">
            <w:pPr>
              <w:spacing w:before="20" w:after="20"/>
              <w:jc w:val="both"/>
            </w:pPr>
            <w:r>
              <w:rPr>
                <w:sz w:val="18"/>
                <w:szCs w:val="18"/>
              </w:rPr>
              <w:t>Describe los requisitos, el capital mínimo y la licencia de funcionamiento con las ideas principales y errores menores.</w:t>
            </w:r>
          </w:p>
        </w:tc>
        <w:tc>
          <w:tcPr>
            <w:tcW w:w="2015" w:type="dxa"/>
            <w:shd w:val="clear" w:color="auto" w:fill="D9E2F3"/>
            <w:vAlign w:val="center"/>
          </w:tcPr>
          <w:p w14:paraId="631F541E" w14:textId="77777777" w:rsidR="00990B14" w:rsidRDefault="00000000">
            <w:pPr>
              <w:spacing w:before="20" w:after="20"/>
              <w:jc w:val="both"/>
            </w:pPr>
            <w:r>
              <w:rPr>
                <w:sz w:val="18"/>
                <w:szCs w:val="18"/>
              </w:rPr>
              <w:t>Describe los requisitos, el capital mínimo y la licencia de funcionamiento de forma completa, precisa y con sustento normativo.</w:t>
            </w:r>
          </w:p>
        </w:tc>
      </w:tr>
      <w:tr w:rsidR="00990B14" w14:paraId="57D72F5A" w14:textId="77777777">
        <w:trPr>
          <w:cantSplit/>
          <w:jc w:val="center"/>
        </w:trPr>
        <w:tc>
          <w:tcPr>
            <w:tcW w:w="1715" w:type="dxa"/>
            <w:vMerge/>
            <w:shd w:val="clear" w:color="auto" w:fill="4472C4"/>
            <w:vAlign w:val="center"/>
          </w:tcPr>
          <w:p w14:paraId="24C40917" w14:textId="77777777" w:rsidR="00990B14" w:rsidRDefault="00990B14">
            <w:pPr>
              <w:spacing w:before="20" w:after="20"/>
            </w:pPr>
          </w:p>
        </w:tc>
        <w:tc>
          <w:tcPr>
            <w:tcW w:w="1750" w:type="dxa"/>
            <w:shd w:val="clear" w:color="auto" w:fill="D9E2F3"/>
            <w:vAlign w:val="center"/>
          </w:tcPr>
          <w:p w14:paraId="0F9D9026" w14:textId="77777777" w:rsidR="00990B14" w:rsidRDefault="00000000">
            <w:pPr>
              <w:spacing w:before="20" w:after="20"/>
              <w:jc w:val="both"/>
            </w:pPr>
            <w:r>
              <w:rPr>
                <w:sz w:val="18"/>
                <w:szCs w:val="18"/>
              </w:rPr>
              <w:t>Claridad y presentación</w:t>
            </w:r>
          </w:p>
        </w:tc>
        <w:tc>
          <w:tcPr>
            <w:tcW w:w="2015" w:type="dxa"/>
            <w:shd w:val="clear" w:color="auto" w:fill="D9E2F3"/>
            <w:vAlign w:val="center"/>
          </w:tcPr>
          <w:p w14:paraId="2AAFBEA6" w14:textId="77777777" w:rsidR="00990B14" w:rsidRDefault="00000000">
            <w:pPr>
              <w:spacing w:before="20" w:after="20"/>
              <w:jc w:val="both"/>
            </w:pPr>
            <w:r>
              <w:rPr>
                <w:sz w:val="18"/>
                <w:szCs w:val="18"/>
              </w:rPr>
              <w:t>Presentación desordenada o con errores ortográficos frecuentes.</w:t>
            </w:r>
          </w:p>
        </w:tc>
        <w:tc>
          <w:tcPr>
            <w:tcW w:w="1910" w:type="dxa"/>
            <w:shd w:val="clear" w:color="auto" w:fill="D9E2F3"/>
            <w:vAlign w:val="center"/>
          </w:tcPr>
          <w:p w14:paraId="3331ACAA" w14:textId="77777777" w:rsidR="00990B14" w:rsidRDefault="00000000">
            <w:pPr>
              <w:spacing w:before="20" w:after="20"/>
              <w:jc w:val="both"/>
            </w:pPr>
            <w:r>
              <w:rPr>
                <w:sz w:val="18"/>
                <w:szCs w:val="18"/>
              </w:rPr>
              <w:t>Presentación ordenada y comprensible, con omisiones menores.</w:t>
            </w:r>
          </w:p>
        </w:tc>
        <w:tc>
          <w:tcPr>
            <w:tcW w:w="2015" w:type="dxa"/>
            <w:shd w:val="clear" w:color="auto" w:fill="D9E2F3"/>
            <w:vAlign w:val="center"/>
          </w:tcPr>
          <w:p w14:paraId="13B9BEBE" w14:textId="77777777" w:rsidR="00990B14" w:rsidRDefault="00000000">
            <w:pPr>
              <w:spacing w:before="20" w:after="20"/>
              <w:jc w:val="both"/>
            </w:pPr>
            <w:r>
              <w:rPr>
                <w:sz w:val="18"/>
                <w:szCs w:val="18"/>
              </w:rPr>
              <w:t>Presentación clara, jerárquica y sin errores ortográficos.</w:t>
            </w:r>
          </w:p>
        </w:tc>
      </w:tr>
      <w:tr w:rsidR="00990B14" w14:paraId="65F59392" w14:textId="77777777">
        <w:trPr>
          <w:cantSplit/>
          <w:jc w:val="center"/>
        </w:trPr>
        <w:tc>
          <w:tcPr>
            <w:tcW w:w="1715" w:type="dxa"/>
            <w:vMerge/>
            <w:shd w:val="clear" w:color="auto" w:fill="4472C4"/>
            <w:vAlign w:val="center"/>
          </w:tcPr>
          <w:p w14:paraId="75406F9A" w14:textId="77777777" w:rsidR="00990B14" w:rsidRDefault="00990B14">
            <w:pPr>
              <w:spacing w:before="20" w:after="20"/>
            </w:pPr>
          </w:p>
        </w:tc>
        <w:tc>
          <w:tcPr>
            <w:tcW w:w="5675" w:type="dxa"/>
            <w:gridSpan w:val="3"/>
            <w:shd w:val="clear" w:color="auto" w:fill="D9E2F3"/>
            <w:vAlign w:val="center"/>
          </w:tcPr>
          <w:p w14:paraId="440653F7" w14:textId="77777777" w:rsidR="00990B14" w:rsidRDefault="00000000">
            <w:pPr>
              <w:keepNext/>
              <w:spacing w:before="20" w:after="20"/>
              <w:jc w:val="both"/>
            </w:pPr>
            <w:r>
              <w:rPr>
                <w:b/>
                <w:bCs/>
                <w:i/>
                <w:iCs/>
                <w:sz w:val="18"/>
                <w:szCs w:val="18"/>
              </w:rPr>
              <w:t xml:space="preserve">Producto 2: </w:t>
            </w:r>
            <w:r>
              <w:rPr>
                <w:sz w:val="18"/>
                <w:szCs w:val="18"/>
              </w:rPr>
              <w:t>Exposición en los estados financieros de los diferentes rubros expuestos en los manuales de la ASFI</w:t>
            </w:r>
          </w:p>
        </w:tc>
        <w:tc>
          <w:tcPr>
            <w:tcW w:w="2015" w:type="dxa"/>
            <w:shd w:val="clear" w:color="auto" w:fill="D9E2F3"/>
            <w:vAlign w:val="center"/>
          </w:tcPr>
          <w:p w14:paraId="41D00FA9" w14:textId="77777777" w:rsidR="00990B14" w:rsidRDefault="00000000">
            <w:pPr>
              <w:spacing w:before="20" w:after="20"/>
              <w:jc w:val="center"/>
            </w:pPr>
            <w:r>
              <w:rPr>
                <w:b/>
                <w:bCs/>
                <w:sz w:val="18"/>
                <w:szCs w:val="18"/>
              </w:rPr>
              <w:t>5%</w:t>
            </w:r>
          </w:p>
        </w:tc>
      </w:tr>
      <w:tr w:rsidR="00990B14" w14:paraId="017F53BF" w14:textId="77777777">
        <w:trPr>
          <w:cantSplit/>
          <w:jc w:val="center"/>
        </w:trPr>
        <w:tc>
          <w:tcPr>
            <w:tcW w:w="1715" w:type="dxa"/>
            <w:vMerge/>
            <w:shd w:val="clear" w:color="auto" w:fill="4472C4"/>
            <w:vAlign w:val="center"/>
          </w:tcPr>
          <w:p w14:paraId="192B2554" w14:textId="77777777" w:rsidR="00990B14" w:rsidRDefault="00990B14">
            <w:pPr>
              <w:spacing w:before="20" w:after="20"/>
            </w:pPr>
          </w:p>
        </w:tc>
        <w:tc>
          <w:tcPr>
            <w:tcW w:w="1750" w:type="dxa"/>
            <w:shd w:val="clear" w:color="auto" w:fill="4472C4"/>
            <w:vAlign w:val="center"/>
          </w:tcPr>
          <w:p w14:paraId="2743C077"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6D3B4A81"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16A61653"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7CB33182" w14:textId="77777777" w:rsidR="00990B14" w:rsidRDefault="00000000">
            <w:pPr>
              <w:keepNext/>
              <w:spacing w:before="20" w:after="20"/>
              <w:jc w:val="center"/>
            </w:pPr>
            <w:r>
              <w:rPr>
                <w:b/>
                <w:bCs/>
                <w:i/>
                <w:iCs/>
                <w:color w:val="FFFFFF"/>
                <w:sz w:val="18"/>
                <w:szCs w:val="18"/>
              </w:rPr>
              <w:t>Destacado (81–100)</w:t>
            </w:r>
          </w:p>
        </w:tc>
      </w:tr>
      <w:tr w:rsidR="00990B14" w14:paraId="20AFA432" w14:textId="77777777">
        <w:trPr>
          <w:cantSplit/>
          <w:jc w:val="center"/>
        </w:trPr>
        <w:tc>
          <w:tcPr>
            <w:tcW w:w="1715" w:type="dxa"/>
            <w:vMerge/>
            <w:shd w:val="clear" w:color="auto" w:fill="4472C4"/>
            <w:vAlign w:val="center"/>
          </w:tcPr>
          <w:p w14:paraId="0CBC8242" w14:textId="77777777" w:rsidR="00990B14" w:rsidRDefault="00990B14">
            <w:pPr>
              <w:spacing w:before="20" w:after="20"/>
            </w:pPr>
          </w:p>
        </w:tc>
        <w:tc>
          <w:tcPr>
            <w:tcW w:w="1750" w:type="dxa"/>
            <w:shd w:val="clear" w:color="auto" w:fill="D9E2F3"/>
            <w:vAlign w:val="center"/>
          </w:tcPr>
          <w:p w14:paraId="36DDD679" w14:textId="77777777" w:rsidR="00990B14" w:rsidRDefault="00000000">
            <w:pPr>
              <w:spacing w:before="20" w:after="20"/>
              <w:jc w:val="both"/>
            </w:pPr>
            <w:r>
              <w:rPr>
                <w:sz w:val="18"/>
                <w:szCs w:val="18"/>
              </w:rPr>
              <w:t>Aplicación del Manual de Cuentas</w:t>
            </w:r>
          </w:p>
        </w:tc>
        <w:tc>
          <w:tcPr>
            <w:tcW w:w="2015" w:type="dxa"/>
            <w:shd w:val="clear" w:color="auto" w:fill="D9E2F3"/>
            <w:vAlign w:val="center"/>
          </w:tcPr>
          <w:p w14:paraId="7779C3A5" w14:textId="77777777" w:rsidR="00990B14" w:rsidRDefault="00000000">
            <w:pPr>
              <w:spacing w:before="20" w:after="20"/>
              <w:jc w:val="both"/>
            </w:pPr>
            <w:r>
              <w:rPr>
                <w:sz w:val="18"/>
                <w:szCs w:val="18"/>
              </w:rPr>
              <w:t>Clasifica incorrectamente varias cuentas en sus grupos y subcuentas.</w:t>
            </w:r>
          </w:p>
        </w:tc>
        <w:tc>
          <w:tcPr>
            <w:tcW w:w="1910" w:type="dxa"/>
            <w:shd w:val="clear" w:color="auto" w:fill="D9E2F3"/>
            <w:vAlign w:val="center"/>
          </w:tcPr>
          <w:p w14:paraId="155397D1" w14:textId="77777777" w:rsidR="00990B14" w:rsidRDefault="00000000">
            <w:pPr>
              <w:spacing w:before="20" w:after="20"/>
              <w:jc w:val="both"/>
            </w:pPr>
            <w:r>
              <w:rPr>
                <w:sz w:val="18"/>
                <w:szCs w:val="18"/>
              </w:rPr>
              <w:t>Clasifica las cuentas en sus grupos con errores menores.</w:t>
            </w:r>
          </w:p>
        </w:tc>
        <w:tc>
          <w:tcPr>
            <w:tcW w:w="2015" w:type="dxa"/>
            <w:shd w:val="clear" w:color="auto" w:fill="D9E2F3"/>
            <w:vAlign w:val="center"/>
          </w:tcPr>
          <w:p w14:paraId="42F3DE9A" w14:textId="77777777" w:rsidR="00990B14" w:rsidRDefault="00000000">
            <w:pPr>
              <w:spacing w:before="20" w:after="20"/>
              <w:jc w:val="both"/>
            </w:pPr>
            <w:r>
              <w:rPr>
                <w:sz w:val="18"/>
                <w:szCs w:val="18"/>
              </w:rPr>
              <w:t>Clasifica todas las cuentas correctamente según el Manual de Cuentas de la ASFI.</w:t>
            </w:r>
          </w:p>
        </w:tc>
      </w:tr>
      <w:tr w:rsidR="00990B14" w14:paraId="433928B3" w14:textId="77777777">
        <w:trPr>
          <w:cantSplit/>
          <w:jc w:val="center"/>
        </w:trPr>
        <w:tc>
          <w:tcPr>
            <w:tcW w:w="1715" w:type="dxa"/>
            <w:vMerge/>
            <w:shd w:val="clear" w:color="auto" w:fill="4472C4"/>
            <w:vAlign w:val="center"/>
          </w:tcPr>
          <w:p w14:paraId="0D3ADB5F" w14:textId="77777777" w:rsidR="00990B14" w:rsidRDefault="00990B14">
            <w:pPr>
              <w:spacing w:before="20" w:after="20"/>
            </w:pPr>
          </w:p>
        </w:tc>
        <w:tc>
          <w:tcPr>
            <w:tcW w:w="1750" w:type="dxa"/>
            <w:shd w:val="clear" w:color="auto" w:fill="D9E2F3"/>
            <w:vAlign w:val="center"/>
          </w:tcPr>
          <w:p w14:paraId="25FE90BF" w14:textId="77777777" w:rsidR="00990B14" w:rsidRDefault="00000000">
            <w:pPr>
              <w:spacing w:before="20" w:after="20"/>
              <w:jc w:val="both"/>
            </w:pPr>
            <w:r>
              <w:rPr>
                <w:sz w:val="18"/>
                <w:szCs w:val="18"/>
              </w:rPr>
              <w:t>Valuación de activos y pasivos</w:t>
            </w:r>
          </w:p>
        </w:tc>
        <w:tc>
          <w:tcPr>
            <w:tcW w:w="2015" w:type="dxa"/>
            <w:shd w:val="clear" w:color="auto" w:fill="D9E2F3"/>
            <w:vAlign w:val="center"/>
          </w:tcPr>
          <w:p w14:paraId="3203C2EF" w14:textId="77777777" w:rsidR="00990B14" w:rsidRDefault="00000000">
            <w:pPr>
              <w:spacing w:before="20" w:after="20"/>
              <w:jc w:val="both"/>
            </w:pPr>
            <w:r>
              <w:rPr>
                <w:sz w:val="18"/>
                <w:szCs w:val="18"/>
              </w:rPr>
              <w:t>El cálculo de la valuación de activos y pasivos en moneda nacional y extranjera es incorrecto o está incompleto.</w:t>
            </w:r>
          </w:p>
        </w:tc>
        <w:tc>
          <w:tcPr>
            <w:tcW w:w="1910" w:type="dxa"/>
            <w:shd w:val="clear" w:color="auto" w:fill="D9E2F3"/>
            <w:vAlign w:val="center"/>
          </w:tcPr>
          <w:p w14:paraId="555A129B" w14:textId="77777777" w:rsidR="00990B14" w:rsidRDefault="00000000">
            <w:pPr>
              <w:spacing w:before="20" w:after="20"/>
              <w:jc w:val="both"/>
            </w:pPr>
            <w:r>
              <w:rPr>
                <w:sz w:val="18"/>
                <w:szCs w:val="18"/>
              </w:rPr>
              <w:t>Calcula la valuación de activos y pasivos en moneda nacional y extranjera con diferencias menores.</w:t>
            </w:r>
          </w:p>
        </w:tc>
        <w:tc>
          <w:tcPr>
            <w:tcW w:w="2015" w:type="dxa"/>
            <w:shd w:val="clear" w:color="auto" w:fill="D9E2F3"/>
            <w:vAlign w:val="center"/>
          </w:tcPr>
          <w:p w14:paraId="7B889E98" w14:textId="77777777" w:rsidR="00990B14" w:rsidRDefault="00000000">
            <w:pPr>
              <w:spacing w:before="20" w:after="20"/>
              <w:jc w:val="both"/>
            </w:pPr>
            <w:r>
              <w:rPr>
                <w:sz w:val="18"/>
                <w:szCs w:val="18"/>
              </w:rPr>
              <w:t>Calcula la valuación de activos y pasivos en moneda nacional y extranjera con exactitud y explica el procedimiento.</w:t>
            </w:r>
          </w:p>
        </w:tc>
      </w:tr>
      <w:tr w:rsidR="00990B14" w14:paraId="4EC2017F" w14:textId="77777777">
        <w:trPr>
          <w:cantSplit/>
          <w:jc w:val="center"/>
        </w:trPr>
        <w:tc>
          <w:tcPr>
            <w:tcW w:w="1715" w:type="dxa"/>
            <w:vMerge/>
            <w:shd w:val="clear" w:color="auto" w:fill="4472C4"/>
            <w:vAlign w:val="center"/>
          </w:tcPr>
          <w:p w14:paraId="02DB420F" w14:textId="77777777" w:rsidR="00990B14" w:rsidRDefault="00990B14">
            <w:pPr>
              <w:spacing w:before="20" w:after="20"/>
            </w:pPr>
          </w:p>
        </w:tc>
        <w:tc>
          <w:tcPr>
            <w:tcW w:w="1750" w:type="dxa"/>
            <w:shd w:val="clear" w:color="auto" w:fill="D9E2F3"/>
            <w:vAlign w:val="center"/>
          </w:tcPr>
          <w:p w14:paraId="3081E38F" w14:textId="77777777" w:rsidR="00990B14" w:rsidRDefault="00000000">
            <w:pPr>
              <w:spacing w:before="20" w:after="20"/>
              <w:jc w:val="both"/>
            </w:pPr>
            <w:r>
              <w:rPr>
                <w:sz w:val="18"/>
                <w:szCs w:val="18"/>
              </w:rPr>
              <w:t>Exposición en los estados financieros</w:t>
            </w:r>
          </w:p>
        </w:tc>
        <w:tc>
          <w:tcPr>
            <w:tcW w:w="2015" w:type="dxa"/>
            <w:shd w:val="clear" w:color="auto" w:fill="D9E2F3"/>
            <w:vAlign w:val="center"/>
          </w:tcPr>
          <w:p w14:paraId="0203C1F1" w14:textId="77777777" w:rsidR="00990B14" w:rsidRDefault="00000000">
            <w:pPr>
              <w:spacing w:before="20" w:after="20"/>
              <w:jc w:val="both"/>
            </w:pPr>
            <w:r>
              <w:rPr>
                <w:sz w:val="18"/>
                <w:szCs w:val="18"/>
              </w:rPr>
              <w:t>No expone las operaciones o las expone con errores graves.</w:t>
            </w:r>
          </w:p>
        </w:tc>
        <w:tc>
          <w:tcPr>
            <w:tcW w:w="1910" w:type="dxa"/>
            <w:shd w:val="clear" w:color="auto" w:fill="D9E2F3"/>
            <w:vAlign w:val="center"/>
          </w:tcPr>
          <w:p w14:paraId="6533EEA0" w14:textId="77777777" w:rsidR="00990B14" w:rsidRDefault="00000000">
            <w:pPr>
              <w:spacing w:before="20" w:after="20"/>
              <w:jc w:val="both"/>
            </w:pPr>
            <w:r>
              <w:rPr>
                <w:sz w:val="18"/>
                <w:szCs w:val="18"/>
              </w:rPr>
              <w:t>Expone las operaciones en los estados financieros con errores menores.</w:t>
            </w:r>
          </w:p>
        </w:tc>
        <w:tc>
          <w:tcPr>
            <w:tcW w:w="2015" w:type="dxa"/>
            <w:shd w:val="clear" w:color="auto" w:fill="D9E2F3"/>
            <w:vAlign w:val="center"/>
          </w:tcPr>
          <w:p w14:paraId="1456532F" w14:textId="77777777" w:rsidR="00990B14" w:rsidRDefault="00000000">
            <w:pPr>
              <w:spacing w:before="20" w:after="20"/>
              <w:jc w:val="both"/>
            </w:pPr>
            <w:r>
              <w:rPr>
                <w:sz w:val="18"/>
                <w:szCs w:val="18"/>
              </w:rPr>
              <w:t>Expone todas las operaciones correctamente, con saldos que cuadran.</w:t>
            </w:r>
          </w:p>
        </w:tc>
      </w:tr>
      <w:tr w:rsidR="00990B14" w14:paraId="48763E72" w14:textId="77777777">
        <w:trPr>
          <w:cantSplit/>
          <w:jc w:val="center"/>
        </w:trPr>
        <w:tc>
          <w:tcPr>
            <w:tcW w:w="1715" w:type="dxa"/>
            <w:vMerge/>
            <w:shd w:val="clear" w:color="auto" w:fill="4472C4"/>
            <w:vAlign w:val="center"/>
          </w:tcPr>
          <w:p w14:paraId="03C053A9" w14:textId="77777777" w:rsidR="00990B14" w:rsidRDefault="00990B14">
            <w:pPr>
              <w:spacing w:before="20" w:after="20"/>
            </w:pPr>
          </w:p>
        </w:tc>
        <w:tc>
          <w:tcPr>
            <w:tcW w:w="5675" w:type="dxa"/>
            <w:gridSpan w:val="3"/>
            <w:shd w:val="clear" w:color="auto" w:fill="D9E2F3"/>
            <w:vAlign w:val="center"/>
          </w:tcPr>
          <w:p w14:paraId="04562ACD" w14:textId="77777777" w:rsidR="00990B14" w:rsidRDefault="00000000">
            <w:pPr>
              <w:keepNext/>
              <w:spacing w:before="20" w:after="20"/>
              <w:jc w:val="both"/>
            </w:pPr>
            <w:r>
              <w:rPr>
                <w:b/>
                <w:bCs/>
                <w:i/>
                <w:iCs/>
                <w:sz w:val="18"/>
                <w:szCs w:val="18"/>
              </w:rPr>
              <w:t xml:space="preserve">Producto 3: </w:t>
            </w:r>
            <w:r>
              <w:rPr>
                <w:sz w:val="18"/>
                <w:szCs w:val="18"/>
              </w:rPr>
              <w:t>Práctica de disponibilidades con su respectiva exposición en los estados financieros</w:t>
            </w:r>
          </w:p>
        </w:tc>
        <w:tc>
          <w:tcPr>
            <w:tcW w:w="2015" w:type="dxa"/>
            <w:shd w:val="clear" w:color="auto" w:fill="D9E2F3"/>
            <w:vAlign w:val="center"/>
          </w:tcPr>
          <w:p w14:paraId="78B4BAFC" w14:textId="77777777" w:rsidR="00990B14" w:rsidRDefault="00000000">
            <w:pPr>
              <w:spacing w:before="20" w:after="20"/>
              <w:jc w:val="center"/>
            </w:pPr>
            <w:r>
              <w:rPr>
                <w:b/>
                <w:bCs/>
                <w:sz w:val="18"/>
                <w:szCs w:val="18"/>
              </w:rPr>
              <w:t>6%</w:t>
            </w:r>
          </w:p>
        </w:tc>
      </w:tr>
      <w:tr w:rsidR="00990B14" w14:paraId="72309870" w14:textId="77777777">
        <w:trPr>
          <w:cantSplit/>
          <w:jc w:val="center"/>
        </w:trPr>
        <w:tc>
          <w:tcPr>
            <w:tcW w:w="1715" w:type="dxa"/>
            <w:vMerge/>
            <w:shd w:val="clear" w:color="auto" w:fill="4472C4"/>
            <w:vAlign w:val="center"/>
          </w:tcPr>
          <w:p w14:paraId="7B4680A4" w14:textId="77777777" w:rsidR="00990B14" w:rsidRDefault="00990B14">
            <w:pPr>
              <w:spacing w:before="20" w:after="20"/>
            </w:pPr>
          </w:p>
        </w:tc>
        <w:tc>
          <w:tcPr>
            <w:tcW w:w="1750" w:type="dxa"/>
            <w:shd w:val="clear" w:color="auto" w:fill="4472C4"/>
            <w:vAlign w:val="center"/>
          </w:tcPr>
          <w:p w14:paraId="5AC1FCA0"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5F057970"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7010AC6E"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4AB3E3A2" w14:textId="77777777" w:rsidR="00990B14" w:rsidRDefault="00000000">
            <w:pPr>
              <w:keepNext/>
              <w:spacing w:before="20" w:after="20"/>
              <w:jc w:val="center"/>
            </w:pPr>
            <w:r>
              <w:rPr>
                <w:b/>
                <w:bCs/>
                <w:i/>
                <w:iCs/>
                <w:color w:val="FFFFFF"/>
                <w:sz w:val="18"/>
                <w:szCs w:val="18"/>
              </w:rPr>
              <w:t>Destacado (81–100)</w:t>
            </w:r>
          </w:p>
        </w:tc>
      </w:tr>
      <w:tr w:rsidR="00990B14" w14:paraId="779909F1" w14:textId="77777777">
        <w:trPr>
          <w:cantSplit/>
          <w:jc w:val="center"/>
        </w:trPr>
        <w:tc>
          <w:tcPr>
            <w:tcW w:w="1715" w:type="dxa"/>
            <w:vMerge/>
            <w:shd w:val="clear" w:color="auto" w:fill="4472C4"/>
            <w:vAlign w:val="center"/>
          </w:tcPr>
          <w:p w14:paraId="4D54F1AE" w14:textId="77777777" w:rsidR="00990B14" w:rsidRDefault="00990B14">
            <w:pPr>
              <w:spacing w:before="20" w:after="20"/>
            </w:pPr>
          </w:p>
        </w:tc>
        <w:tc>
          <w:tcPr>
            <w:tcW w:w="1750" w:type="dxa"/>
            <w:shd w:val="clear" w:color="auto" w:fill="D9E2F3"/>
            <w:vAlign w:val="center"/>
          </w:tcPr>
          <w:p w14:paraId="4EC876C1" w14:textId="77777777" w:rsidR="00990B14" w:rsidRDefault="00000000">
            <w:pPr>
              <w:spacing w:before="20" w:after="20"/>
              <w:jc w:val="both"/>
            </w:pPr>
            <w:r>
              <w:rPr>
                <w:sz w:val="18"/>
                <w:szCs w:val="18"/>
              </w:rPr>
              <w:t>Registro de papeletas contables</w:t>
            </w:r>
          </w:p>
        </w:tc>
        <w:tc>
          <w:tcPr>
            <w:tcW w:w="2015" w:type="dxa"/>
            <w:shd w:val="clear" w:color="auto" w:fill="D9E2F3"/>
            <w:vAlign w:val="center"/>
          </w:tcPr>
          <w:p w14:paraId="7B809C15" w14:textId="77777777" w:rsidR="00990B14" w:rsidRDefault="00000000">
            <w:pPr>
              <w:spacing w:before="20" w:after="20"/>
              <w:jc w:val="both"/>
            </w:pPr>
            <w:r>
              <w:rPr>
                <w:sz w:val="18"/>
                <w:szCs w:val="18"/>
              </w:rPr>
              <w:t>Omite operaciones o registra incorrectamente las operaciones de disponibilidades.</w:t>
            </w:r>
          </w:p>
        </w:tc>
        <w:tc>
          <w:tcPr>
            <w:tcW w:w="1910" w:type="dxa"/>
            <w:shd w:val="clear" w:color="auto" w:fill="D9E2F3"/>
            <w:vAlign w:val="center"/>
          </w:tcPr>
          <w:p w14:paraId="0FF0C6E5" w14:textId="77777777" w:rsidR="00990B14" w:rsidRDefault="00000000">
            <w:pPr>
              <w:spacing w:before="20" w:after="20"/>
              <w:jc w:val="both"/>
            </w:pPr>
            <w:r>
              <w:rPr>
                <w:sz w:val="18"/>
                <w:szCs w:val="18"/>
              </w:rPr>
              <w:t>Registra las operaciones de disponibilidades con errores menores.</w:t>
            </w:r>
          </w:p>
        </w:tc>
        <w:tc>
          <w:tcPr>
            <w:tcW w:w="2015" w:type="dxa"/>
            <w:shd w:val="clear" w:color="auto" w:fill="D9E2F3"/>
            <w:vAlign w:val="center"/>
          </w:tcPr>
          <w:p w14:paraId="230AFD02" w14:textId="77777777" w:rsidR="00990B14" w:rsidRDefault="00000000">
            <w:pPr>
              <w:spacing w:before="20" w:after="20"/>
              <w:jc w:val="both"/>
            </w:pPr>
            <w:r>
              <w:rPr>
                <w:sz w:val="18"/>
                <w:szCs w:val="18"/>
              </w:rPr>
              <w:t>Registra las operaciones de disponibilidades correctamente, con asientos y respaldos completos.</w:t>
            </w:r>
          </w:p>
        </w:tc>
      </w:tr>
      <w:tr w:rsidR="00990B14" w14:paraId="504CE931" w14:textId="77777777">
        <w:trPr>
          <w:cantSplit/>
          <w:jc w:val="center"/>
        </w:trPr>
        <w:tc>
          <w:tcPr>
            <w:tcW w:w="1715" w:type="dxa"/>
            <w:vMerge/>
            <w:shd w:val="clear" w:color="auto" w:fill="4472C4"/>
            <w:vAlign w:val="center"/>
          </w:tcPr>
          <w:p w14:paraId="451F690C" w14:textId="77777777" w:rsidR="00990B14" w:rsidRDefault="00990B14">
            <w:pPr>
              <w:spacing w:before="20" w:after="20"/>
            </w:pPr>
          </w:p>
        </w:tc>
        <w:tc>
          <w:tcPr>
            <w:tcW w:w="1750" w:type="dxa"/>
            <w:shd w:val="clear" w:color="auto" w:fill="D9E2F3"/>
            <w:vAlign w:val="center"/>
          </w:tcPr>
          <w:p w14:paraId="610DCCFF" w14:textId="77777777" w:rsidR="00990B14" w:rsidRDefault="00000000">
            <w:pPr>
              <w:spacing w:before="20" w:after="20"/>
              <w:jc w:val="both"/>
            </w:pPr>
            <w:r>
              <w:rPr>
                <w:sz w:val="18"/>
                <w:szCs w:val="18"/>
              </w:rPr>
              <w:t>Faltantes, sobrantes y saldos</w:t>
            </w:r>
          </w:p>
        </w:tc>
        <w:tc>
          <w:tcPr>
            <w:tcW w:w="2015" w:type="dxa"/>
            <w:shd w:val="clear" w:color="auto" w:fill="D9E2F3"/>
            <w:vAlign w:val="center"/>
          </w:tcPr>
          <w:p w14:paraId="697E3218" w14:textId="77777777" w:rsidR="00990B14" w:rsidRDefault="00000000">
            <w:pPr>
              <w:spacing w:before="20" w:after="20"/>
              <w:jc w:val="both"/>
            </w:pPr>
            <w:r>
              <w:rPr>
                <w:sz w:val="18"/>
                <w:szCs w:val="18"/>
              </w:rPr>
              <w:t>No regulariza los faltantes y sobrantes o interpreta mal los saldos.</w:t>
            </w:r>
          </w:p>
        </w:tc>
        <w:tc>
          <w:tcPr>
            <w:tcW w:w="1910" w:type="dxa"/>
            <w:shd w:val="clear" w:color="auto" w:fill="D9E2F3"/>
            <w:vAlign w:val="center"/>
          </w:tcPr>
          <w:p w14:paraId="2954AC4B" w14:textId="77777777" w:rsidR="00990B14" w:rsidRDefault="00000000">
            <w:pPr>
              <w:spacing w:before="20" w:after="20"/>
              <w:jc w:val="both"/>
            </w:pPr>
            <w:r>
              <w:rPr>
                <w:sz w:val="18"/>
                <w:szCs w:val="18"/>
              </w:rPr>
              <w:t>Regulariza los faltantes y sobrantes e interpreta los saldos con errores menores.</w:t>
            </w:r>
          </w:p>
        </w:tc>
        <w:tc>
          <w:tcPr>
            <w:tcW w:w="2015" w:type="dxa"/>
            <w:shd w:val="clear" w:color="auto" w:fill="D9E2F3"/>
            <w:vAlign w:val="center"/>
          </w:tcPr>
          <w:p w14:paraId="30629077" w14:textId="77777777" w:rsidR="00990B14" w:rsidRDefault="00000000">
            <w:pPr>
              <w:spacing w:before="20" w:after="20"/>
              <w:jc w:val="both"/>
            </w:pPr>
            <w:r>
              <w:rPr>
                <w:sz w:val="18"/>
                <w:szCs w:val="18"/>
              </w:rPr>
              <w:t>Regulariza correctamente y explica el saldo de cada cuenta de disponibilidades.</w:t>
            </w:r>
          </w:p>
        </w:tc>
      </w:tr>
      <w:tr w:rsidR="00990B14" w14:paraId="0B4563E8" w14:textId="77777777">
        <w:trPr>
          <w:cantSplit/>
          <w:jc w:val="center"/>
        </w:trPr>
        <w:tc>
          <w:tcPr>
            <w:tcW w:w="1715" w:type="dxa"/>
            <w:vMerge/>
            <w:shd w:val="clear" w:color="auto" w:fill="4472C4"/>
            <w:vAlign w:val="center"/>
          </w:tcPr>
          <w:p w14:paraId="319ACCFA" w14:textId="77777777" w:rsidR="00990B14" w:rsidRDefault="00990B14">
            <w:pPr>
              <w:spacing w:before="20" w:after="20"/>
            </w:pPr>
          </w:p>
        </w:tc>
        <w:tc>
          <w:tcPr>
            <w:tcW w:w="1750" w:type="dxa"/>
            <w:shd w:val="clear" w:color="auto" w:fill="D9E2F3"/>
            <w:vAlign w:val="center"/>
          </w:tcPr>
          <w:p w14:paraId="1AB653F0" w14:textId="77777777" w:rsidR="00990B14" w:rsidRDefault="00000000">
            <w:pPr>
              <w:spacing w:before="20" w:after="20"/>
              <w:jc w:val="both"/>
            </w:pPr>
            <w:r>
              <w:rPr>
                <w:sz w:val="18"/>
                <w:szCs w:val="18"/>
              </w:rPr>
              <w:t>Exposición en los estados financieros</w:t>
            </w:r>
          </w:p>
        </w:tc>
        <w:tc>
          <w:tcPr>
            <w:tcW w:w="2015" w:type="dxa"/>
            <w:shd w:val="clear" w:color="auto" w:fill="D9E2F3"/>
            <w:vAlign w:val="center"/>
          </w:tcPr>
          <w:p w14:paraId="5FBECBBE" w14:textId="77777777" w:rsidR="00990B14" w:rsidRDefault="00000000">
            <w:pPr>
              <w:spacing w:before="20" w:after="20"/>
              <w:jc w:val="both"/>
            </w:pPr>
            <w:r>
              <w:rPr>
                <w:sz w:val="18"/>
                <w:szCs w:val="18"/>
              </w:rPr>
              <w:t>No expone las operaciones o las expone con errores graves.</w:t>
            </w:r>
          </w:p>
        </w:tc>
        <w:tc>
          <w:tcPr>
            <w:tcW w:w="1910" w:type="dxa"/>
            <w:shd w:val="clear" w:color="auto" w:fill="D9E2F3"/>
            <w:vAlign w:val="center"/>
          </w:tcPr>
          <w:p w14:paraId="359B22A6" w14:textId="77777777" w:rsidR="00990B14" w:rsidRDefault="00000000">
            <w:pPr>
              <w:spacing w:before="20" w:after="20"/>
              <w:jc w:val="both"/>
            </w:pPr>
            <w:r>
              <w:rPr>
                <w:sz w:val="18"/>
                <w:szCs w:val="18"/>
              </w:rPr>
              <w:t>Expone las operaciones en los estados financieros con errores menores.</w:t>
            </w:r>
          </w:p>
        </w:tc>
        <w:tc>
          <w:tcPr>
            <w:tcW w:w="2015" w:type="dxa"/>
            <w:shd w:val="clear" w:color="auto" w:fill="D9E2F3"/>
            <w:vAlign w:val="center"/>
          </w:tcPr>
          <w:p w14:paraId="1B8CFFFE" w14:textId="77777777" w:rsidR="00990B14" w:rsidRDefault="00000000">
            <w:pPr>
              <w:spacing w:before="20" w:after="20"/>
              <w:jc w:val="both"/>
            </w:pPr>
            <w:r>
              <w:rPr>
                <w:sz w:val="18"/>
                <w:szCs w:val="18"/>
              </w:rPr>
              <w:t>Expone todas las operaciones correctamente, con saldos que cuadran.</w:t>
            </w:r>
          </w:p>
        </w:tc>
      </w:tr>
      <w:tr w:rsidR="00990B14" w14:paraId="7C748736" w14:textId="77777777">
        <w:trPr>
          <w:cantSplit/>
          <w:jc w:val="center"/>
        </w:trPr>
        <w:tc>
          <w:tcPr>
            <w:tcW w:w="1715" w:type="dxa"/>
            <w:vMerge/>
            <w:shd w:val="clear" w:color="auto" w:fill="4472C4"/>
            <w:vAlign w:val="center"/>
          </w:tcPr>
          <w:p w14:paraId="00166A57" w14:textId="77777777" w:rsidR="00990B14" w:rsidRDefault="00990B14">
            <w:pPr>
              <w:spacing w:before="20" w:after="20"/>
            </w:pPr>
          </w:p>
        </w:tc>
        <w:tc>
          <w:tcPr>
            <w:tcW w:w="5675" w:type="dxa"/>
            <w:gridSpan w:val="3"/>
            <w:shd w:val="clear" w:color="auto" w:fill="D9E2F3"/>
            <w:vAlign w:val="center"/>
          </w:tcPr>
          <w:p w14:paraId="76FA41C7" w14:textId="77777777" w:rsidR="00990B14" w:rsidRDefault="00000000">
            <w:pPr>
              <w:keepNext/>
              <w:spacing w:before="20" w:after="20"/>
              <w:jc w:val="both"/>
            </w:pPr>
            <w:r>
              <w:rPr>
                <w:b/>
                <w:bCs/>
                <w:i/>
                <w:iCs/>
                <w:sz w:val="18"/>
                <w:szCs w:val="18"/>
              </w:rPr>
              <w:t xml:space="preserve">Producto 4: </w:t>
            </w:r>
            <w:r>
              <w:rPr>
                <w:sz w:val="18"/>
                <w:szCs w:val="18"/>
              </w:rPr>
              <w:t>Práctica de registros de la cámara de compensación con tablas y cuadros, y su exposición en los estados financieros</w:t>
            </w:r>
          </w:p>
        </w:tc>
        <w:tc>
          <w:tcPr>
            <w:tcW w:w="2015" w:type="dxa"/>
            <w:shd w:val="clear" w:color="auto" w:fill="D9E2F3"/>
            <w:vAlign w:val="center"/>
          </w:tcPr>
          <w:p w14:paraId="79BA55A5" w14:textId="77777777" w:rsidR="00990B14" w:rsidRDefault="00000000">
            <w:pPr>
              <w:spacing w:before="20" w:after="20"/>
              <w:jc w:val="center"/>
            </w:pPr>
            <w:r>
              <w:rPr>
                <w:b/>
                <w:bCs/>
                <w:sz w:val="18"/>
                <w:szCs w:val="18"/>
              </w:rPr>
              <w:t>6%</w:t>
            </w:r>
          </w:p>
        </w:tc>
      </w:tr>
      <w:tr w:rsidR="00990B14" w14:paraId="12F78FEC" w14:textId="77777777">
        <w:trPr>
          <w:cantSplit/>
          <w:jc w:val="center"/>
        </w:trPr>
        <w:tc>
          <w:tcPr>
            <w:tcW w:w="1715" w:type="dxa"/>
            <w:vMerge/>
            <w:shd w:val="clear" w:color="auto" w:fill="4472C4"/>
            <w:vAlign w:val="center"/>
          </w:tcPr>
          <w:p w14:paraId="1D740E97" w14:textId="77777777" w:rsidR="00990B14" w:rsidRDefault="00990B14">
            <w:pPr>
              <w:spacing w:before="20" w:after="20"/>
            </w:pPr>
          </w:p>
        </w:tc>
        <w:tc>
          <w:tcPr>
            <w:tcW w:w="1750" w:type="dxa"/>
            <w:shd w:val="clear" w:color="auto" w:fill="4472C4"/>
            <w:vAlign w:val="center"/>
          </w:tcPr>
          <w:p w14:paraId="086086F5"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7A261F25"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2385CCD9"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5F1064CA" w14:textId="77777777" w:rsidR="00990B14" w:rsidRDefault="00000000">
            <w:pPr>
              <w:keepNext/>
              <w:spacing w:before="20" w:after="20"/>
              <w:jc w:val="center"/>
            </w:pPr>
            <w:r>
              <w:rPr>
                <w:b/>
                <w:bCs/>
                <w:i/>
                <w:iCs/>
                <w:color w:val="FFFFFF"/>
                <w:sz w:val="18"/>
                <w:szCs w:val="18"/>
              </w:rPr>
              <w:t>Destacado (81–100)</w:t>
            </w:r>
          </w:p>
        </w:tc>
      </w:tr>
      <w:tr w:rsidR="00990B14" w14:paraId="6E8A7E02" w14:textId="77777777">
        <w:trPr>
          <w:cantSplit/>
          <w:jc w:val="center"/>
        </w:trPr>
        <w:tc>
          <w:tcPr>
            <w:tcW w:w="1715" w:type="dxa"/>
            <w:vMerge/>
            <w:shd w:val="clear" w:color="auto" w:fill="4472C4"/>
            <w:vAlign w:val="center"/>
          </w:tcPr>
          <w:p w14:paraId="3E5911D9" w14:textId="77777777" w:rsidR="00990B14" w:rsidRDefault="00990B14">
            <w:pPr>
              <w:spacing w:before="20" w:after="20"/>
            </w:pPr>
          </w:p>
        </w:tc>
        <w:tc>
          <w:tcPr>
            <w:tcW w:w="1750" w:type="dxa"/>
            <w:shd w:val="clear" w:color="auto" w:fill="D9E2F3"/>
            <w:vAlign w:val="center"/>
          </w:tcPr>
          <w:p w14:paraId="7A0E85C0" w14:textId="77777777" w:rsidR="00990B14" w:rsidRDefault="00000000">
            <w:pPr>
              <w:spacing w:before="20" w:after="20"/>
              <w:jc w:val="both"/>
            </w:pPr>
            <w:r>
              <w:rPr>
                <w:sz w:val="18"/>
                <w:szCs w:val="18"/>
              </w:rPr>
              <w:t>Registros de la primera y segunda cámara</w:t>
            </w:r>
          </w:p>
        </w:tc>
        <w:tc>
          <w:tcPr>
            <w:tcW w:w="2015" w:type="dxa"/>
            <w:shd w:val="clear" w:color="auto" w:fill="D9E2F3"/>
            <w:vAlign w:val="center"/>
          </w:tcPr>
          <w:p w14:paraId="1A2E0160" w14:textId="77777777" w:rsidR="00990B14" w:rsidRDefault="00000000">
            <w:pPr>
              <w:spacing w:before="20" w:after="20"/>
              <w:jc w:val="both"/>
            </w:pPr>
            <w:r>
              <w:rPr>
                <w:sz w:val="18"/>
                <w:szCs w:val="18"/>
              </w:rPr>
              <w:t>Omite operaciones o registra incorrectamente los cheques de la primera y de la segunda cámara de compensación.</w:t>
            </w:r>
          </w:p>
        </w:tc>
        <w:tc>
          <w:tcPr>
            <w:tcW w:w="1910" w:type="dxa"/>
            <w:shd w:val="clear" w:color="auto" w:fill="D9E2F3"/>
            <w:vAlign w:val="center"/>
          </w:tcPr>
          <w:p w14:paraId="71F785A1" w14:textId="77777777" w:rsidR="00990B14" w:rsidRDefault="00000000">
            <w:pPr>
              <w:spacing w:before="20" w:after="20"/>
              <w:jc w:val="both"/>
            </w:pPr>
            <w:r>
              <w:rPr>
                <w:sz w:val="18"/>
                <w:szCs w:val="18"/>
              </w:rPr>
              <w:t>Registra los cheques de la primera y de la segunda cámara de compensación con errores menores.</w:t>
            </w:r>
          </w:p>
        </w:tc>
        <w:tc>
          <w:tcPr>
            <w:tcW w:w="2015" w:type="dxa"/>
            <w:shd w:val="clear" w:color="auto" w:fill="D9E2F3"/>
            <w:vAlign w:val="center"/>
          </w:tcPr>
          <w:p w14:paraId="3FCE75D0" w14:textId="77777777" w:rsidR="00990B14" w:rsidRDefault="00000000">
            <w:pPr>
              <w:spacing w:before="20" w:after="20"/>
              <w:jc w:val="both"/>
            </w:pPr>
            <w:r>
              <w:rPr>
                <w:sz w:val="18"/>
                <w:szCs w:val="18"/>
              </w:rPr>
              <w:t>Registra los cheques de la primera y de la segunda cámara de compensación correctamente, con asientos y respaldos completos.</w:t>
            </w:r>
          </w:p>
        </w:tc>
      </w:tr>
      <w:tr w:rsidR="00990B14" w14:paraId="7CCB4985" w14:textId="77777777">
        <w:trPr>
          <w:cantSplit/>
          <w:jc w:val="center"/>
        </w:trPr>
        <w:tc>
          <w:tcPr>
            <w:tcW w:w="1715" w:type="dxa"/>
            <w:vMerge/>
            <w:shd w:val="clear" w:color="auto" w:fill="4472C4"/>
            <w:vAlign w:val="center"/>
          </w:tcPr>
          <w:p w14:paraId="5210FD93" w14:textId="77777777" w:rsidR="00990B14" w:rsidRDefault="00990B14">
            <w:pPr>
              <w:spacing w:before="20" w:after="20"/>
            </w:pPr>
          </w:p>
        </w:tc>
        <w:tc>
          <w:tcPr>
            <w:tcW w:w="1750" w:type="dxa"/>
            <w:shd w:val="clear" w:color="auto" w:fill="D9E2F3"/>
            <w:vAlign w:val="center"/>
          </w:tcPr>
          <w:p w14:paraId="70DCCB23" w14:textId="77777777" w:rsidR="00990B14" w:rsidRDefault="00000000">
            <w:pPr>
              <w:spacing w:before="20" w:after="20"/>
              <w:jc w:val="both"/>
            </w:pPr>
            <w:r>
              <w:rPr>
                <w:sz w:val="18"/>
                <w:szCs w:val="18"/>
              </w:rPr>
              <w:t>Tablas y cuadros de la cámara</w:t>
            </w:r>
          </w:p>
        </w:tc>
        <w:tc>
          <w:tcPr>
            <w:tcW w:w="2015" w:type="dxa"/>
            <w:shd w:val="clear" w:color="auto" w:fill="D9E2F3"/>
            <w:vAlign w:val="center"/>
          </w:tcPr>
          <w:p w14:paraId="6169FCA4" w14:textId="77777777" w:rsidR="00990B14" w:rsidRDefault="00000000">
            <w:pPr>
              <w:spacing w:before="20" w:after="20"/>
              <w:jc w:val="both"/>
            </w:pPr>
            <w:r>
              <w:rPr>
                <w:sz w:val="18"/>
                <w:szCs w:val="18"/>
              </w:rPr>
              <w:t>Tablas incompletas o con saldos que no cuadran.</w:t>
            </w:r>
          </w:p>
        </w:tc>
        <w:tc>
          <w:tcPr>
            <w:tcW w:w="1910" w:type="dxa"/>
            <w:shd w:val="clear" w:color="auto" w:fill="D9E2F3"/>
            <w:vAlign w:val="center"/>
          </w:tcPr>
          <w:p w14:paraId="3A0E1464" w14:textId="77777777" w:rsidR="00990B14" w:rsidRDefault="00000000">
            <w:pPr>
              <w:spacing w:before="20" w:after="20"/>
              <w:jc w:val="both"/>
            </w:pPr>
            <w:r>
              <w:rPr>
                <w:sz w:val="18"/>
                <w:szCs w:val="18"/>
              </w:rPr>
              <w:t>Tablas completas, con diferencias menores.</w:t>
            </w:r>
          </w:p>
        </w:tc>
        <w:tc>
          <w:tcPr>
            <w:tcW w:w="2015" w:type="dxa"/>
            <w:shd w:val="clear" w:color="auto" w:fill="D9E2F3"/>
            <w:vAlign w:val="center"/>
          </w:tcPr>
          <w:p w14:paraId="493120FC" w14:textId="77777777" w:rsidR="00990B14" w:rsidRDefault="00000000">
            <w:pPr>
              <w:spacing w:before="20" w:after="20"/>
              <w:jc w:val="both"/>
            </w:pPr>
            <w:r>
              <w:rPr>
                <w:sz w:val="18"/>
                <w:szCs w:val="18"/>
              </w:rPr>
              <w:t>Tablas y cuadros completos, que cuadran y se explican.</w:t>
            </w:r>
          </w:p>
        </w:tc>
      </w:tr>
      <w:tr w:rsidR="00990B14" w14:paraId="291D0FF0" w14:textId="77777777">
        <w:trPr>
          <w:cantSplit/>
          <w:jc w:val="center"/>
        </w:trPr>
        <w:tc>
          <w:tcPr>
            <w:tcW w:w="1715" w:type="dxa"/>
            <w:vMerge/>
            <w:shd w:val="clear" w:color="auto" w:fill="4472C4"/>
            <w:vAlign w:val="center"/>
          </w:tcPr>
          <w:p w14:paraId="1DD07BB0" w14:textId="77777777" w:rsidR="00990B14" w:rsidRDefault="00990B14">
            <w:pPr>
              <w:spacing w:before="20" w:after="20"/>
            </w:pPr>
          </w:p>
        </w:tc>
        <w:tc>
          <w:tcPr>
            <w:tcW w:w="1750" w:type="dxa"/>
            <w:shd w:val="clear" w:color="auto" w:fill="D9E2F3"/>
            <w:vAlign w:val="center"/>
          </w:tcPr>
          <w:p w14:paraId="6225D8E4" w14:textId="77777777" w:rsidR="00990B14" w:rsidRDefault="00000000">
            <w:pPr>
              <w:spacing w:before="20" w:after="20"/>
              <w:jc w:val="both"/>
            </w:pPr>
            <w:r>
              <w:rPr>
                <w:sz w:val="18"/>
                <w:szCs w:val="18"/>
              </w:rPr>
              <w:t>Exposición en los estados financieros</w:t>
            </w:r>
          </w:p>
        </w:tc>
        <w:tc>
          <w:tcPr>
            <w:tcW w:w="2015" w:type="dxa"/>
            <w:shd w:val="clear" w:color="auto" w:fill="D9E2F3"/>
            <w:vAlign w:val="center"/>
          </w:tcPr>
          <w:p w14:paraId="60FE8761" w14:textId="77777777" w:rsidR="00990B14" w:rsidRDefault="00000000">
            <w:pPr>
              <w:spacing w:before="20" w:after="20"/>
              <w:jc w:val="both"/>
            </w:pPr>
            <w:r>
              <w:rPr>
                <w:sz w:val="18"/>
                <w:szCs w:val="18"/>
              </w:rPr>
              <w:t>No expone las operaciones o las expone con errores graves.</w:t>
            </w:r>
          </w:p>
        </w:tc>
        <w:tc>
          <w:tcPr>
            <w:tcW w:w="1910" w:type="dxa"/>
            <w:shd w:val="clear" w:color="auto" w:fill="D9E2F3"/>
            <w:vAlign w:val="center"/>
          </w:tcPr>
          <w:p w14:paraId="1F9C8B4D" w14:textId="77777777" w:rsidR="00990B14" w:rsidRDefault="00000000">
            <w:pPr>
              <w:spacing w:before="20" w:after="20"/>
              <w:jc w:val="both"/>
            </w:pPr>
            <w:r>
              <w:rPr>
                <w:sz w:val="18"/>
                <w:szCs w:val="18"/>
              </w:rPr>
              <w:t>Expone las operaciones en los estados financieros con errores menores.</w:t>
            </w:r>
          </w:p>
        </w:tc>
        <w:tc>
          <w:tcPr>
            <w:tcW w:w="2015" w:type="dxa"/>
            <w:shd w:val="clear" w:color="auto" w:fill="D9E2F3"/>
            <w:vAlign w:val="center"/>
          </w:tcPr>
          <w:p w14:paraId="5398D480" w14:textId="77777777" w:rsidR="00990B14" w:rsidRDefault="00000000">
            <w:pPr>
              <w:spacing w:before="20" w:after="20"/>
              <w:jc w:val="both"/>
            </w:pPr>
            <w:r>
              <w:rPr>
                <w:sz w:val="18"/>
                <w:szCs w:val="18"/>
              </w:rPr>
              <w:t>Expone todas las operaciones correctamente, con saldos que cuadran.</w:t>
            </w:r>
          </w:p>
        </w:tc>
      </w:tr>
      <w:tr w:rsidR="00990B14" w14:paraId="7D8AC46F" w14:textId="77777777">
        <w:trPr>
          <w:cantSplit/>
          <w:jc w:val="center"/>
        </w:trPr>
        <w:tc>
          <w:tcPr>
            <w:tcW w:w="1715" w:type="dxa"/>
            <w:vMerge/>
            <w:shd w:val="clear" w:color="auto" w:fill="4472C4"/>
            <w:vAlign w:val="center"/>
          </w:tcPr>
          <w:p w14:paraId="5AF93111" w14:textId="77777777" w:rsidR="00990B14" w:rsidRDefault="00990B14">
            <w:pPr>
              <w:spacing w:before="20" w:after="20"/>
            </w:pPr>
          </w:p>
        </w:tc>
        <w:tc>
          <w:tcPr>
            <w:tcW w:w="5675" w:type="dxa"/>
            <w:gridSpan w:val="3"/>
            <w:shd w:val="clear" w:color="auto" w:fill="D9E2F3"/>
            <w:vAlign w:val="center"/>
          </w:tcPr>
          <w:p w14:paraId="24DC52F0" w14:textId="77777777" w:rsidR="00990B14" w:rsidRDefault="00000000">
            <w:pPr>
              <w:keepNext/>
              <w:spacing w:before="20" w:after="20"/>
              <w:jc w:val="both"/>
            </w:pPr>
            <w:r>
              <w:rPr>
                <w:b/>
                <w:bCs/>
                <w:i/>
                <w:iCs/>
                <w:sz w:val="18"/>
                <w:szCs w:val="18"/>
              </w:rPr>
              <w:t xml:space="preserve">Producto 5: </w:t>
            </w:r>
            <w:r>
              <w:rPr>
                <w:sz w:val="18"/>
                <w:szCs w:val="18"/>
              </w:rPr>
              <w:t>Movimiento contable de los depósitos en cuenta corriente en un caso práctico y su exposición en los estados financieros</w:t>
            </w:r>
          </w:p>
        </w:tc>
        <w:tc>
          <w:tcPr>
            <w:tcW w:w="2015" w:type="dxa"/>
            <w:shd w:val="clear" w:color="auto" w:fill="D9E2F3"/>
            <w:vAlign w:val="center"/>
          </w:tcPr>
          <w:p w14:paraId="33667B09" w14:textId="77777777" w:rsidR="00990B14" w:rsidRDefault="00000000">
            <w:pPr>
              <w:spacing w:before="20" w:after="20"/>
              <w:jc w:val="center"/>
            </w:pPr>
            <w:r>
              <w:rPr>
                <w:b/>
                <w:bCs/>
                <w:sz w:val="18"/>
                <w:szCs w:val="18"/>
              </w:rPr>
              <w:t>9%</w:t>
            </w:r>
          </w:p>
        </w:tc>
      </w:tr>
      <w:tr w:rsidR="00990B14" w14:paraId="37CE4E8E" w14:textId="77777777">
        <w:trPr>
          <w:cantSplit/>
          <w:jc w:val="center"/>
        </w:trPr>
        <w:tc>
          <w:tcPr>
            <w:tcW w:w="1715" w:type="dxa"/>
            <w:vMerge/>
            <w:shd w:val="clear" w:color="auto" w:fill="4472C4"/>
            <w:vAlign w:val="center"/>
          </w:tcPr>
          <w:p w14:paraId="4F9ED10E" w14:textId="77777777" w:rsidR="00990B14" w:rsidRDefault="00990B14">
            <w:pPr>
              <w:spacing w:before="20" w:after="20"/>
            </w:pPr>
          </w:p>
        </w:tc>
        <w:tc>
          <w:tcPr>
            <w:tcW w:w="1750" w:type="dxa"/>
            <w:shd w:val="clear" w:color="auto" w:fill="4472C4"/>
            <w:vAlign w:val="center"/>
          </w:tcPr>
          <w:p w14:paraId="1AC6F44F"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5D973597"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0CEFD938"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686CFA61" w14:textId="77777777" w:rsidR="00990B14" w:rsidRDefault="00000000">
            <w:pPr>
              <w:keepNext/>
              <w:spacing w:before="20" w:after="20"/>
              <w:jc w:val="center"/>
            </w:pPr>
            <w:r>
              <w:rPr>
                <w:b/>
                <w:bCs/>
                <w:i/>
                <w:iCs/>
                <w:color w:val="FFFFFF"/>
                <w:sz w:val="18"/>
                <w:szCs w:val="18"/>
              </w:rPr>
              <w:t>Destacado (81–100)</w:t>
            </w:r>
          </w:p>
        </w:tc>
      </w:tr>
      <w:tr w:rsidR="00990B14" w14:paraId="0D1EF4FD" w14:textId="77777777">
        <w:trPr>
          <w:cantSplit/>
          <w:jc w:val="center"/>
        </w:trPr>
        <w:tc>
          <w:tcPr>
            <w:tcW w:w="1715" w:type="dxa"/>
            <w:vMerge/>
            <w:shd w:val="clear" w:color="auto" w:fill="4472C4"/>
            <w:vAlign w:val="center"/>
          </w:tcPr>
          <w:p w14:paraId="00A865F9" w14:textId="77777777" w:rsidR="00990B14" w:rsidRDefault="00990B14">
            <w:pPr>
              <w:spacing w:before="20" w:after="20"/>
            </w:pPr>
          </w:p>
        </w:tc>
        <w:tc>
          <w:tcPr>
            <w:tcW w:w="1750" w:type="dxa"/>
            <w:shd w:val="clear" w:color="auto" w:fill="D9E2F3"/>
            <w:vAlign w:val="center"/>
          </w:tcPr>
          <w:p w14:paraId="575CA067" w14:textId="77777777" w:rsidR="00990B14" w:rsidRDefault="00000000">
            <w:pPr>
              <w:spacing w:before="20" w:after="20"/>
              <w:jc w:val="both"/>
            </w:pPr>
            <w:r>
              <w:rPr>
                <w:sz w:val="18"/>
                <w:szCs w:val="18"/>
              </w:rPr>
              <w:t>Apertura, movimiento y clausura</w:t>
            </w:r>
          </w:p>
        </w:tc>
        <w:tc>
          <w:tcPr>
            <w:tcW w:w="2015" w:type="dxa"/>
            <w:shd w:val="clear" w:color="auto" w:fill="D9E2F3"/>
            <w:vAlign w:val="center"/>
          </w:tcPr>
          <w:p w14:paraId="178269EF" w14:textId="77777777" w:rsidR="00990B14" w:rsidRDefault="00000000">
            <w:pPr>
              <w:spacing w:before="20" w:after="20"/>
              <w:jc w:val="both"/>
            </w:pPr>
            <w:r>
              <w:rPr>
                <w:sz w:val="18"/>
                <w:szCs w:val="18"/>
              </w:rPr>
              <w:t>Omite operaciones o registra incorrectamente la apertura, el movimiento y la clausura de la cuenta corriente.</w:t>
            </w:r>
          </w:p>
        </w:tc>
        <w:tc>
          <w:tcPr>
            <w:tcW w:w="1910" w:type="dxa"/>
            <w:shd w:val="clear" w:color="auto" w:fill="D9E2F3"/>
            <w:vAlign w:val="center"/>
          </w:tcPr>
          <w:p w14:paraId="0126C4F4" w14:textId="77777777" w:rsidR="00990B14" w:rsidRDefault="00000000">
            <w:pPr>
              <w:spacing w:before="20" w:after="20"/>
              <w:jc w:val="both"/>
            </w:pPr>
            <w:r>
              <w:rPr>
                <w:sz w:val="18"/>
                <w:szCs w:val="18"/>
              </w:rPr>
              <w:t>Registra la apertura, el movimiento y la clausura de la cuenta corriente con errores menores.</w:t>
            </w:r>
          </w:p>
        </w:tc>
        <w:tc>
          <w:tcPr>
            <w:tcW w:w="2015" w:type="dxa"/>
            <w:shd w:val="clear" w:color="auto" w:fill="D9E2F3"/>
            <w:vAlign w:val="center"/>
          </w:tcPr>
          <w:p w14:paraId="475E70EC" w14:textId="77777777" w:rsidR="00990B14" w:rsidRDefault="00000000">
            <w:pPr>
              <w:spacing w:before="20" w:after="20"/>
              <w:jc w:val="both"/>
            </w:pPr>
            <w:r>
              <w:rPr>
                <w:sz w:val="18"/>
                <w:szCs w:val="18"/>
              </w:rPr>
              <w:t>Registra la apertura, el movimiento y la clausura de la cuenta corriente correctamente, con asientos y respaldos completos.</w:t>
            </w:r>
          </w:p>
        </w:tc>
      </w:tr>
      <w:tr w:rsidR="00990B14" w14:paraId="5B4ABE23" w14:textId="77777777">
        <w:trPr>
          <w:cantSplit/>
          <w:jc w:val="center"/>
        </w:trPr>
        <w:tc>
          <w:tcPr>
            <w:tcW w:w="1715" w:type="dxa"/>
            <w:vMerge/>
            <w:shd w:val="clear" w:color="auto" w:fill="4472C4"/>
            <w:vAlign w:val="center"/>
          </w:tcPr>
          <w:p w14:paraId="77A95863" w14:textId="77777777" w:rsidR="00990B14" w:rsidRDefault="00990B14">
            <w:pPr>
              <w:spacing w:before="20" w:after="20"/>
            </w:pPr>
          </w:p>
        </w:tc>
        <w:tc>
          <w:tcPr>
            <w:tcW w:w="1750" w:type="dxa"/>
            <w:shd w:val="clear" w:color="auto" w:fill="D9E2F3"/>
            <w:vAlign w:val="center"/>
          </w:tcPr>
          <w:p w14:paraId="36B0BCEF" w14:textId="77777777" w:rsidR="00990B14" w:rsidRDefault="00000000">
            <w:pPr>
              <w:spacing w:before="20" w:after="20"/>
              <w:jc w:val="both"/>
            </w:pPr>
            <w:r>
              <w:rPr>
                <w:sz w:val="18"/>
                <w:szCs w:val="18"/>
              </w:rPr>
              <w:t>Cálculo de saldos y cierre</w:t>
            </w:r>
          </w:p>
        </w:tc>
        <w:tc>
          <w:tcPr>
            <w:tcW w:w="2015" w:type="dxa"/>
            <w:shd w:val="clear" w:color="auto" w:fill="D9E2F3"/>
            <w:vAlign w:val="center"/>
          </w:tcPr>
          <w:p w14:paraId="354CF71D" w14:textId="77777777" w:rsidR="00990B14" w:rsidRDefault="00000000">
            <w:pPr>
              <w:spacing w:before="20" w:after="20"/>
              <w:jc w:val="both"/>
            </w:pPr>
            <w:r>
              <w:rPr>
                <w:sz w:val="18"/>
                <w:szCs w:val="18"/>
              </w:rPr>
              <w:t>El cálculo de los saldos y el cierre de la cuenta corriente es incorrecto o está incompleto.</w:t>
            </w:r>
          </w:p>
        </w:tc>
        <w:tc>
          <w:tcPr>
            <w:tcW w:w="1910" w:type="dxa"/>
            <w:shd w:val="clear" w:color="auto" w:fill="D9E2F3"/>
            <w:vAlign w:val="center"/>
          </w:tcPr>
          <w:p w14:paraId="64B0E8A7" w14:textId="77777777" w:rsidR="00990B14" w:rsidRDefault="00000000">
            <w:pPr>
              <w:spacing w:before="20" w:after="20"/>
              <w:jc w:val="both"/>
            </w:pPr>
            <w:r>
              <w:rPr>
                <w:sz w:val="18"/>
                <w:szCs w:val="18"/>
              </w:rPr>
              <w:t>Calcula los saldos y el cierre de la cuenta corriente con diferencias menores.</w:t>
            </w:r>
          </w:p>
        </w:tc>
        <w:tc>
          <w:tcPr>
            <w:tcW w:w="2015" w:type="dxa"/>
            <w:shd w:val="clear" w:color="auto" w:fill="D9E2F3"/>
            <w:vAlign w:val="center"/>
          </w:tcPr>
          <w:p w14:paraId="71DA35B1" w14:textId="77777777" w:rsidR="00990B14" w:rsidRDefault="00000000">
            <w:pPr>
              <w:spacing w:before="20" w:after="20"/>
              <w:jc w:val="both"/>
            </w:pPr>
            <w:r>
              <w:rPr>
                <w:sz w:val="18"/>
                <w:szCs w:val="18"/>
              </w:rPr>
              <w:t>Calcula los saldos y el cierre de la cuenta corriente con exactitud y explica el procedimiento.</w:t>
            </w:r>
          </w:p>
        </w:tc>
      </w:tr>
      <w:tr w:rsidR="00990B14" w14:paraId="41E90659" w14:textId="77777777">
        <w:trPr>
          <w:cantSplit/>
          <w:jc w:val="center"/>
        </w:trPr>
        <w:tc>
          <w:tcPr>
            <w:tcW w:w="1715" w:type="dxa"/>
            <w:vMerge/>
            <w:shd w:val="clear" w:color="auto" w:fill="4472C4"/>
            <w:vAlign w:val="center"/>
          </w:tcPr>
          <w:p w14:paraId="5D6D21D9" w14:textId="77777777" w:rsidR="00990B14" w:rsidRDefault="00990B14">
            <w:pPr>
              <w:spacing w:before="20" w:after="20"/>
            </w:pPr>
          </w:p>
        </w:tc>
        <w:tc>
          <w:tcPr>
            <w:tcW w:w="1750" w:type="dxa"/>
            <w:shd w:val="clear" w:color="auto" w:fill="D9E2F3"/>
            <w:vAlign w:val="center"/>
          </w:tcPr>
          <w:p w14:paraId="3EB87991" w14:textId="77777777" w:rsidR="00990B14" w:rsidRDefault="00000000">
            <w:pPr>
              <w:spacing w:before="20" w:after="20"/>
              <w:jc w:val="both"/>
            </w:pPr>
            <w:r>
              <w:rPr>
                <w:sz w:val="18"/>
                <w:szCs w:val="18"/>
              </w:rPr>
              <w:t>Exposición en los estados financieros</w:t>
            </w:r>
          </w:p>
        </w:tc>
        <w:tc>
          <w:tcPr>
            <w:tcW w:w="2015" w:type="dxa"/>
            <w:shd w:val="clear" w:color="auto" w:fill="D9E2F3"/>
            <w:vAlign w:val="center"/>
          </w:tcPr>
          <w:p w14:paraId="461C938E" w14:textId="77777777" w:rsidR="00990B14" w:rsidRDefault="00000000">
            <w:pPr>
              <w:spacing w:before="20" w:after="20"/>
              <w:jc w:val="both"/>
            </w:pPr>
            <w:r>
              <w:rPr>
                <w:sz w:val="18"/>
                <w:szCs w:val="18"/>
              </w:rPr>
              <w:t>No expone las operaciones o las expone con errores graves.</w:t>
            </w:r>
          </w:p>
        </w:tc>
        <w:tc>
          <w:tcPr>
            <w:tcW w:w="1910" w:type="dxa"/>
            <w:shd w:val="clear" w:color="auto" w:fill="D9E2F3"/>
            <w:vAlign w:val="center"/>
          </w:tcPr>
          <w:p w14:paraId="51558D4B" w14:textId="77777777" w:rsidR="00990B14" w:rsidRDefault="00000000">
            <w:pPr>
              <w:spacing w:before="20" w:after="20"/>
              <w:jc w:val="both"/>
            </w:pPr>
            <w:r>
              <w:rPr>
                <w:sz w:val="18"/>
                <w:szCs w:val="18"/>
              </w:rPr>
              <w:t>Expone las operaciones en los estados financieros con errores menores.</w:t>
            </w:r>
          </w:p>
        </w:tc>
        <w:tc>
          <w:tcPr>
            <w:tcW w:w="2015" w:type="dxa"/>
            <w:shd w:val="clear" w:color="auto" w:fill="D9E2F3"/>
            <w:vAlign w:val="center"/>
          </w:tcPr>
          <w:p w14:paraId="5A1A66DD" w14:textId="77777777" w:rsidR="00990B14" w:rsidRDefault="00000000">
            <w:pPr>
              <w:spacing w:before="20" w:after="20"/>
              <w:jc w:val="both"/>
            </w:pPr>
            <w:r>
              <w:rPr>
                <w:sz w:val="18"/>
                <w:szCs w:val="18"/>
              </w:rPr>
              <w:t>Expone todas las operaciones correctamente, con saldos que cuadran.</w:t>
            </w:r>
          </w:p>
        </w:tc>
      </w:tr>
      <w:tr w:rsidR="00990B14" w14:paraId="18EBB4EF" w14:textId="77777777">
        <w:trPr>
          <w:cantSplit/>
          <w:jc w:val="center"/>
        </w:trPr>
        <w:tc>
          <w:tcPr>
            <w:tcW w:w="1715" w:type="dxa"/>
            <w:vMerge/>
            <w:shd w:val="clear" w:color="auto" w:fill="4472C4"/>
            <w:vAlign w:val="center"/>
          </w:tcPr>
          <w:p w14:paraId="23A56AE9" w14:textId="77777777" w:rsidR="00990B14" w:rsidRDefault="00990B14">
            <w:pPr>
              <w:spacing w:before="20" w:after="20"/>
            </w:pPr>
          </w:p>
        </w:tc>
        <w:tc>
          <w:tcPr>
            <w:tcW w:w="5675" w:type="dxa"/>
            <w:gridSpan w:val="3"/>
            <w:shd w:val="clear" w:color="auto" w:fill="D9E2F3"/>
            <w:vAlign w:val="center"/>
          </w:tcPr>
          <w:p w14:paraId="1C0339AC" w14:textId="77777777" w:rsidR="00990B14" w:rsidRDefault="00000000">
            <w:pPr>
              <w:keepNext/>
              <w:spacing w:before="20" w:after="20"/>
              <w:jc w:val="both"/>
            </w:pPr>
            <w:r>
              <w:rPr>
                <w:b/>
                <w:bCs/>
                <w:i/>
                <w:iCs/>
                <w:sz w:val="18"/>
                <w:szCs w:val="18"/>
              </w:rPr>
              <w:t xml:space="preserve">Producto 6: </w:t>
            </w:r>
            <w:r>
              <w:rPr>
                <w:sz w:val="18"/>
                <w:szCs w:val="18"/>
              </w:rPr>
              <w:t>Movimiento contable de los depósitos en caja de ahorro en un caso práctico y su exposición en los estados financieros</w:t>
            </w:r>
          </w:p>
        </w:tc>
        <w:tc>
          <w:tcPr>
            <w:tcW w:w="2015" w:type="dxa"/>
            <w:shd w:val="clear" w:color="auto" w:fill="D9E2F3"/>
            <w:vAlign w:val="center"/>
          </w:tcPr>
          <w:p w14:paraId="42C84AD5" w14:textId="77777777" w:rsidR="00990B14" w:rsidRDefault="00000000">
            <w:pPr>
              <w:spacing w:before="20" w:after="20"/>
              <w:jc w:val="center"/>
            </w:pPr>
            <w:r>
              <w:rPr>
                <w:b/>
                <w:bCs/>
                <w:sz w:val="18"/>
                <w:szCs w:val="18"/>
              </w:rPr>
              <w:t>8%</w:t>
            </w:r>
          </w:p>
        </w:tc>
      </w:tr>
      <w:tr w:rsidR="00990B14" w14:paraId="0EA138FC" w14:textId="77777777">
        <w:trPr>
          <w:cantSplit/>
          <w:jc w:val="center"/>
        </w:trPr>
        <w:tc>
          <w:tcPr>
            <w:tcW w:w="1715" w:type="dxa"/>
            <w:vMerge/>
            <w:shd w:val="clear" w:color="auto" w:fill="4472C4"/>
            <w:vAlign w:val="center"/>
          </w:tcPr>
          <w:p w14:paraId="2588E95A" w14:textId="77777777" w:rsidR="00990B14" w:rsidRDefault="00990B14">
            <w:pPr>
              <w:spacing w:before="20" w:after="20"/>
            </w:pPr>
          </w:p>
        </w:tc>
        <w:tc>
          <w:tcPr>
            <w:tcW w:w="1750" w:type="dxa"/>
            <w:shd w:val="clear" w:color="auto" w:fill="4472C4"/>
            <w:vAlign w:val="center"/>
          </w:tcPr>
          <w:p w14:paraId="106CE1D6"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3C2094CD"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48F94FF1"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1F7CB7BB" w14:textId="77777777" w:rsidR="00990B14" w:rsidRDefault="00000000">
            <w:pPr>
              <w:keepNext/>
              <w:spacing w:before="20" w:after="20"/>
              <w:jc w:val="center"/>
            </w:pPr>
            <w:r>
              <w:rPr>
                <w:b/>
                <w:bCs/>
                <w:i/>
                <w:iCs/>
                <w:color w:val="FFFFFF"/>
                <w:sz w:val="18"/>
                <w:szCs w:val="18"/>
              </w:rPr>
              <w:t>Destacado (81–100)</w:t>
            </w:r>
          </w:p>
        </w:tc>
      </w:tr>
      <w:tr w:rsidR="00990B14" w14:paraId="4EA53FEC" w14:textId="77777777">
        <w:trPr>
          <w:cantSplit/>
          <w:jc w:val="center"/>
        </w:trPr>
        <w:tc>
          <w:tcPr>
            <w:tcW w:w="1715" w:type="dxa"/>
            <w:vMerge/>
            <w:shd w:val="clear" w:color="auto" w:fill="4472C4"/>
            <w:vAlign w:val="center"/>
          </w:tcPr>
          <w:p w14:paraId="5A13C9ED" w14:textId="77777777" w:rsidR="00990B14" w:rsidRDefault="00990B14">
            <w:pPr>
              <w:spacing w:before="20" w:after="20"/>
            </w:pPr>
          </w:p>
        </w:tc>
        <w:tc>
          <w:tcPr>
            <w:tcW w:w="1750" w:type="dxa"/>
            <w:shd w:val="clear" w:color="auto" w:fill="D9E2F3"/>
            <w:vAlign w:val="center"/>
          </w:tcPr>
          <w:p w14:paraId="443673A5" w14:textId="77777777" w:rsidR="00990B14" w:rsidRDefault="00000000">
            <w:pPr>
              <w:spacing w:before="20" w:after="20"/>
              <w:jc w:val="both"/>
            </w:pPr>
            <w:r>
              <w:rPr>
                <w:sz w:val="18"/>
                <w:szCs w:val="18"/>
              </w:rPr>
              <w:t>Apertura, movimiento y clausura</w:t>
            </w:r>
          </w:p>
        </w:tc>
        <w:tc>
          <w:tcPr>
            <w:tcW w:w="2015" w:type="dxa"/>
            <w:shd w:val="clear" w:color="auto" w:fill="D9E2F3"/>
            <w:vAlign w:val="center"/>
          </w:tcPr>
          <w:p w14:paraId="77FF6604" w14:textId="77777777" w:rsidR="00990B14" w:rsidRDefault="00000000">
            <w:pPr>
              <w:spacing w:before="20" w:after="20"/>
              <w:jc w:val="both"/>
            </w:pPr>
            <w:r>
              <w:rPr>
                <w:sz w:val="18"/>
                <w:szCs w:val="18"/>
              </w:rPr>
              <w:t>Omite operaciones o registra incorrectamente la apertura, el movimiento y la clausura de la caja de ahorro.</w:t>
            </w:r>
          </w:p>
        </w:tc>
        <w:tc>
          <w:tcPr>
            <w:tcW w:w="1910" w:type="dxa"/>
            <w:shd w:val="clear" w:color="auto" w:fill="D9E2F3"/>
            <w:vAlign w:val="center"/>
          </w:tcPr>
          <w:p w14:paraId="1BF9A8EF" w14:textId="77777777" w:rsidR="00990B14" w:rsidRDefault="00000000">
            <w:pPr>
              <w:spacing w:before="20" w:after="20"/>
              <w:jc w:val="both"/>
            </w:pPr>
            <w:r>
              <w:rPr>
                <w:sz w:val="18"/>
                <w:szCs w:val="18"/>
              </w:rPr>
              <w:t>Registra la apertura, el movimiento y la clausura de la caja de ahorro con errores menores.</w:t>
            </w:r>
          </w:p>
        </w:tc>
        <w:tc>
          <w:tcPr>
            <w:tcW w:w="2015" w:type="dxa"/>
            <w:shd w:val="clear" w:color="auto" w:fill="D9E2F3"/>
            <w:vAlign w:val="center"/>
          </w:tcPr>
          <w:p w14:paraId="53D28781" w14:textId="77777777" w:rsidR="00990B14" w:rsidRDefault="00000000">
            <w:pPr>
              <w:spacing w:before="20" w:after="20"/>
              <w:jc w:val="both"/>
            </w:pPr>
            <w:r>
              <w:rPr>
                <w:sz w:val="18"/>
                <w:szCs w:val="18"/>
              </w:rPr>
              <w:t>Registra la apertura, el movimiento y la clausura de la caja de ahorro correctamente, con asientos y respaldos completos.</w:t>
            </w:r>
          </w:p>
        </w:tc>
      </w:tr>
      <w:tr w:rsidR="00990B14" w14:paraId="6B1637A4" w14:textId="77777777">
        <w:trPr>
          <w:cantSplit/>
          <w:jc w:val="center"/>
        </w:trPr>
        <w:tc>
          <w:tcPr>
            <w:tcW w:w="1715" w:type="dxa"/>
            <w:vMerge/>
            <w:shd w:val="clear" w:color="auto" w:fill="4472C4"/>
            <w:vAlign w:val="center"/>
          </w:tcPr>
          <w:p w14:paraId="34921554" w14:textId="77777777" w:rsidR="00990B14" w:rsidRDefault="00990B14">
            <w:pPr>
              <w:spacing w:before="20" w:after="20"/>
            </w:pPr>
          </w:p>
        </w:tc>
        <w:tc>
          <w:tcPr>
            <w:tcW w:w="1750" w:type="dxa"/>
            <w:shd w:val="clear" w:color="auto" w:fill="D9E2F3"/>
            <w:vAlign w:val="center"/>
          </w:tcPr>
          <w:p w14:paraId="63491420" w14:textId="77777777" w:rsidR="00990B14" w:rsidRDefault="00000000">
            <w:pPr>
              <w:spacing w:before="20" w:after="20"/>
              <w:jc w:val="both"/>
            </w:pPr>
            <w:r>
              <w:rPr>
                <w:sz w:val="18"/>
                <w:szCs w:val="18"/>
              </w:rPr>
              <w:t>Cálculo de intereses</w:t>
            </w:r>
          </w:p>
        </w:tc>
        <w:tc>
          <w:tcPr>
            <w:tcW w:w="2015" w:type="dxa"/>
            <w:shd w:val="clear" w:color="auto" w:fill="D9E2F3"/>
            <w:vAlign w:val="center"/>
          </w:tcPr>
          <w:p w14:paraId="0595FCF3" w14:textId="77777777" w:rsidR="00990B14" w:rsidRDefault="00000000">
            <w:pPr>
              <w:spacing w:before="20" w:after="20"/>
              <w:jc w:val="both"/>
            </w:pPr>
            <w:r>
              <w:rPr>
                <w:sz w:val="18"/>
                <w:szCs w:val="18"/>
              </w:rPr>
              <w:t>El cálculo de los intereses de la caja de ahorro es incorrecto o está incompleto.</w:t>
            </w:r>
          </w:p>
        </w:tc>
        <w:tc>
          <w:tcPr>
            <w:tcW w:w="1910" w:type="dxa"/>
            <w:shd w:val="clear" w:color="auto" w:fill="D9E2F3"/>
            <w:vAlign w:val="center"/>
          </w:tcPr>
          <w:p w14:paraId="6615AA47" w14:textId="77777777" w:rsidR="00990B14" w:rsidRDefault="00000000">
            <w:pPr>
              <w:spacing w:before="20" w:after="20"/>
              <w:jc w:val="both"/>
            </w:pPr>
            <w:r>
              <w:rPr>
                <w:sz w:val="18"/>
                <w:szCs w:val="18"/>
              </w:rPr>
              <w:t>Calcula los intereses de la caja de ahorro con diferencias menores.</w:t>
            </w:r>
          </w:p>
        </w:tc>
        <w:tc>
          <w:tcPr>
            <w:tcW w:w="2015" w:type="dxa"/>
            <w:shd w:val="clear" w:color="auto" w:fill="D9E2F3"/>
            <w:vAlign w:val="center"/>
          </w:tcPr>
          <w:p w14:paraId="683241E1" w14:textId="77777777" w:rsidR="00990B14" w:rsidRDefault="00000000">
            <w:pPr>
              <w:spacing w:before="20" w:after="20"/>
              <w:jc w:val="both"/>
            </w:pPr>
            <w:r>
              <w:rPr>
                <w:sz w:val="18"/>
                <w:szCs w:val="18"/>
              </w:rPr>
              <w:t>Calcula los intereses de la caja de ahorro con exactitud y explica el procedimiento.</w:t>
            </w:r>
          </w:p>
        </w:tc>
      </w:tr>
      <w:tr w:rsidR="00990B14" w14:paraId="7D297EC1" w14:textId="77777777">
        <w:trPr>
          <w:cantSplit/>
          <w:jc w:val="center"/>
        </w:trPr>
        <w:tc>
          <w:tcPr>
            <w:tcW w:w="1715" w:type="dxa"/>
            <w:vMerge/>
            <w:shd w:val="clear" w:color="auto" w:fill="4472C4"/>
            <w:vAlign w:val="center"/>
          </w:tcPr>
          <w:p w14:paraId="4E6185CA" w14:textId="77777777" w:rsidR="00990B14" w:rsidRDefault="00990B14">
            <w:pPr>
              <w:spacing w:before="20" w:after="20"/>
            </w:pPr>
          </w:p>
        </w:tc>
        <w:tc>
          <w:tcPr>
            <w:tcW w:w="1750" w:type="dxa"/>
            <w:shd w:val="clear" w:color="auto" w:fill="D9E2F3"/>
            <w:vAlign w:val="center"/>
          </w:tcPr>
          <w:p w14:paraId="0E566FED" w14:textId="77777777" w:rsidR="00990B14" w:rsidRDefault="00000000">
            <w:pPr>
              <w:spacing w:before="20" w:after="20"/>
              <w:jc w:val="both"/>
            </w:pPr>
            <w:r>
              <w:rPr>
                <w:sz w:val="18"/>
                <w:szCs w:val="18"/>
              </w:rPr>
              <w:t>Exposición en los estados financieros</w:t>
            </w:r>
          </w:p>
        </w:tc>
        <w:tc>
          <w:tcPr>
            <w:tcW w:w="2015" w:type="dxa"/>
            <w:shd w:val="clear" w:color="auto" w:fill="D9E2F3"/>
            <w:vAlign w:val="center"/>
          </w:tcPr>
          <w:p w14:paraId="25108CE6" w14:textId="77777777" w:rsidR="00990B14" w:rsidRDefault="00000000">
            <w:pPr>
              <w:spacing w:before="20" w:after="20"/>
              <w:jc w:val="both"/>
            </w:pPr>
            <w:r>
              <w:rPr>
                <w:sz w:val="18"/>
                <w:szCs w:val="18"/>
              </w:rPr>
              <w:t>No expone las operaciones o las expone con errores graves.</w:t>
            </w:r>
          </w:p>
        </w:tc>
        <w:tc>
          <w:tcPr>
            <w:tcW w:w="1910" w:type="dxa"/>
            <w:shd w:val="clear" w:color="auto" w:fill="D9E2F3"/>
            <w:vAlign w:val="center"/>
          </w:tcPr>
          <w:p w14:paraId="06FA1712" w14:textId="77777777" w:rsidR="00990B14" w:rsidRDefault="00000000">
            <w:pPr>
              <w:spacing w:before="20" w:after="20"/>
              <w:jc w:val="both"/>
            </w:pPr>
            <w:r>
              <w:rPr>
                <w:sz w:val="18"/>
                <w:szCs w:val="18"/>
              </w:rPr>
              <w:t>Expone las operaciones en los estados financieros con errores menores.</w:t>
            </w:r>
          </w:p>
        </w:tc>
        <w:tc>
          <w:tcPr>
            <w:tcW w:w="2015" w:type="dxa"/>
            <w:shd w:val="clear" w:color="auto" w:fill="D9E2F3"/>
            <w:vAlign w:val="center"/>
          </w:tcPr>
          <w:p w14:paraId="4353B3E7" w14:textId="77777777" w:rsidR="00990B14" w:rsidRDefault="00000000">
            <w:pPr>
              <w:spacing w:before="20" w:after="20"/>
              <w:jc w:val="both"/>
            </w:pPr>
            <w:r>
              <w:rPr>
                <w:sz w:val="18"/>
                <w:szCs w:val="18"/>
              </w:rPr>
              <w:t>Expone todas las operaciones correctamente, con saldos que cuadran.</w:t>
            </w:r>
          </w:p>
        </w:tc>
      </w:tr>
      <w:tr w:rsidR="00990B14" w14:paraId="4701ACDD" w14:textId="77777777">
        <w:trPr>
          <w:cantSplit/>
          <w:jc w:val="center"/>
        </w:trPr>
        <w:tc>
          <w:tcPr>
            <w:tcW w:w="1715" w:type="dxa"/>
            <w:vMerge/>
            <w:shd w:val="clear" w:color="auto" w:fill="4472C4"/>
            <w:vAlign w:val="center"/>
          </w:tcPr>
          <w:p w14:paraId="3BF0AA26" w14:textId="77777777" w:rsidR="00990B14" w:rsidRDefault="00990B14">
            <w:pPr>
              <w:spacing w:before="20" w:after="20"/>
            </w:pPr>
          </w:p>
        </w:tc>
        <w:tc>
          <w:tcPr>
            <w:tcW w:w="5675" w:type="dxa"/>
            <w:gridSpan w:val="3"/>
            <w:shd w:val="clear" w:color="auto" w:fill="D9E2F3"/>
            <w:vAlign w:val="center"/>
          </w:tcPr>
          <w:p w14:paraId="1ABC4D59" w14:textId="77777777" w:rsidR="00990B14" w:rsidRDefault="00000000">
            <w:pPr>
              <w:keepNext/>
              <w:spacing w:before="20" w:after="20"/>
              <w:jc w:val="both"/>
            </w:pPr>
            <w:r>
              <w:rPr>
                <w:b/>
                <w:bCs/>
                <w:i/>
                <w:iCs/>
                <w:sz w:val="18"/>
                <w:szCs w:val="18"/>
              </w:rPr>
              <w:t xml:space="preserve">Producto 7: </w:t>
            </w:r>
            <w:r>
              <w:rPr>
                <w:sz w:val="18"/>
                <w:szCs w:val="18"/>
              </w:rPr>
              <w:t>Movimiento contable de los depósitos a plazo fijo en un caso práctico y su exposición en los estados financieros</w:t>
            </w:r>
          </w:p>
        </w:tc>
        <w:tc>
          <w:tcPr>
            <w:tcW w:w="2015" w:type="dxa"/>
            <w:shd w:val="clear" w:color="auto" w:fill="D9E2F3"/>
            <w:vAlign w:val="center"/>
          </w:tcPr>
          <w:p w14:paraId="44F00521" w14:textId="77777777" w:rsidR="00990B14" w:rsidRDefault="00000000">
            <w:pPr>
              <w:spacing w:before="20" w:after="20"/>
              <w:jc w:val="center"/>
            </w:pPr>
            <w:r>
              <w:rPr>
                <w:b/>
                <w:bCs/>
                <w:sz w:val="18"/>
                <w:szCs w:val="18"/>
              </w:rPr>
              <w:t>9%</w:t>
            </w:r>
          </w:p>
        </w:tc>
      </w:tr>
      <w:tr w:rsidR="00990B14" w14:paraId="37E719E0" w14:textId="77777777">
        <w:trPr>
          <w:cantSplit/>
          <w:jc w:val="center"/>
        </w:trPr>
        <w:tc>
          <w:tcPr>
            <w:tcW w:w="1715" w:type="dxa"/>
            <w:vMerge/>
            <w:shd w:val="clear" w:color="auto" w:fill="4472C4"/>
            <w:vAlign w:val="center"/>
          </w:tcPr>
          <w:p w14:paraId="26516703" w14:textId="77777777" w:rsidR="00990B14" w:rsidRDefault="00990B14">
            <w:pPr>
              <w:spacing w:before="20" w:after="20"/>
            </w:pPr>
          </w:p>
        </w:tc>
        <w:tc>
          <w:tcPr>
            <w:tcW w:w="1750" w:type="dxa"/>
            <w:shd w:val="clear" w:color="auto" w:fill="4472C4"/>
            <w:vAlign w:val="center"/>
          </w:tcPr>
          <w:p w14:paraId="1BE9B7EE"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7041F721"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2DB2ACBE"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3A99C353" w14:textId="77777777" w:rsidR="00990B14" w:rsidRDefault="00000000">
            <w:pPr>
              <w:keepNext/>
              <w:spacing w:before="20" w:after="20"/>
              <w:jc w:val="center"/>
            </w:pPr>
            <w:r>
              <w:rPr>
                <w:b/>
                <w:bCs/>
                <w:i/>
                <w:iCs/>
                <w:color w:val="FFFFFF"/>
                <w:sz w:val="18"/>
                <w:szCs w:val="18"/>
              </w:rPr>
              <w:t>Destacado (81–100)</w:t>
            </w:r>
          </w:p>
        </w:tc>
      </w:tr>
      <w:tr w:rsidR="00990B14" w14:paraId="4B765260" w14:textId="77777777">
        <w:trPr>
          <w:cantSplit/>
          <w:jc w:val="center"/>
        </w:trPr>
        <w:tc>
          <w:tcPr>
            <w:tcW w:w="1715" w:type="dxa"/>
            <w:vMerge/>
            <w:shd w:val="clear" w:color="auto" w:fill="4472C4"/>
            <w:vAlign w:val="center"/>
          </w:tcPr>
          <w:p w14:paraId="37D86E3B" w14:textId="77777777" w:rsidR="00990B14" w:rsidRDefault="00990B14">
            <w:pPr>
              <w:spacing w:before="20" w:after="20"/>
            </w:pPr>
          </w:p>
        </w:tc>
        <w:tc>
          <w:tcPr>
            <w:tcW w:w="1750" w:type="dxa"/>
            <w:shd w:val="clear" w:color="auto" w:fill="D9E2F3"/>
            <w:vAlign w:val="center"/>
          </w:tcPr>
          <w:p w14:paraId="0509AEB2" w14:textId="77777777" w:rsidR="00990B14" w:rsidRDefault="00000000">
            <w:pPr>
              <w:spacing w:before="20" w:after="20"/>
              <w:jc w:val="both"/>
            </w:pPr>
            <w:r>
              <w:rPr>
                <w:sz w:val="18"/>
                <w:szCs w:val="18"/>
              </w:rPr>
              <w:t>Apertura, movimiento y cierre</w:t>
            </w:r>
          </w:p>
        </w:tc>
        <w:tc>
          <w:tcPr>
            <w:tcW w:w="2015" w:type="dxa"/>
            <w:shd w:val="clear" w:color="auto" w:fill="D9E2F3"/>
            <w:vAlign w:val="center"/>
          </w:tcPr>
          <w:p w14:paraId="5F7F8D4C" w14:textId="77777777" w:rsidR="00990B14" w:rsidRDefault="00000000">
            <w:pPr>
              <w:spacing w:before="20" w:after="20"/>
              <w:jc w:val="both"/>
            </w:pPr>
            <w:r>
              <w:rPr>
                <w:sz w:val="18"/>
                <w:szCs w:val="18"/>
              </w:rPr>
              <w:t>Omite operaciones o registra incorrectamente la apertura, el movimiento y el cierre del depósito a plazo fijo en moneda nacional y extranjera.</w:t>
            </w:r>
          </w:p>
        </w:tc>
        <w:tc>
          <w:tcPr>
            <w:tcW w:w="1910" w:type="dxa"/>
            <w:shd w:val="clear" w:color="auto" w:fill="D9E2F3"/>
            <w:vAlign w:val="center"/>
          </w:tcPr>
          <w:p w14:paraId="3B5C8403" w14:textId="77777777" w:rsidR="00990B14" w:rsidRDefault="00000000">
            <w:pPr>
              <w:spacing w:before="20" w:after="20"/>
              <w:jc w:val="both"/>
            </w:pPr>
            <w:r>
              <w:rPr>
                <w:sz w:val="18"/>
                <w:szCs w:val="18"/>
              </w:rPr>
              <w:t>Registra la apertura, el movimiento y el cierre del depósito a plazo fijo en moneda nacional y extranjera con errores menores.</w:t>
            </w:r>
          </w:p>
        </w:tc>
        <w:tc>
          <w:tcPr>
            <w:tcW w:w="2015" w:type="dxa"/>
            <w:shd w:val="clear" w:color="auto" w:fill="D9E2F3"/>
            <w:vAlign w:val="center"/>
          </w:tcPr>
          <w:p w14:paraId="6741340A" w14:textId="77777777" w:rsidR="00990B14" w:rsidRDefault="00000000">
            <w:pPr>
              <w:spacing w:before="20" w:after="20"/>
              <w:jc w:val="both"/>
            </w:pPr>
            <w:r>
              <w:rPr>
                <w:sz w:val="18"/>
                <w:szCs w:val="18"/>
              </w:rPr>
              <w:t>Registra la apertura, el movimiento y el cierre del depósito a plazo fijo en moneda nacional y extranjera correctamente, con asientos y respaldos completos.</w:t>
            </w:r>
          </w:p>
        </w:tc>
      </w:tr>
      <w:tr w:rsidR="00990B14" w14:paraId="1BCBC428" w14:textId="77777777">
        <w:trPr>
          <w:cantSplit/>
          <w:jc w:val="center"/>
        </w:trPr>
        <w:tc>
          <w:tcPr>
            <w:tcW w:w="1715" w:type="dxa"/>
            <w:vMerge/>
            <w:shd w:val="clear" w:color="auto" w:fill="4472C4"/>
            <w:vAlign w:val="center"/>
          </w:tcPr>
          <w:p w14:paraId="1543188D" w14:textId="77777777" w:rsidR="00990B14" w:rsidRDefault="00990B14">
            <w:pPr>
              <w:spacing w:before="20" w:after="20"/>
            </w:pPr>
          </w:p>
        </w:tc>
        <w:tc>
          <w:tcPr>
            <w:tcW w:w="1750" w:type="dxa"/>
            <w:shd w:val="clear" w:color="auto" w:fill="D9E2F3"/>
            <w:vAlign w:val="center"/>
          </w:tcPr>
          <w:p w14:paraId="4A118D5F" w14:textId="77777777" w:rsidR="00990B14" w:rsidRDefault="00000000">
            <w:pPr>
              <w:spacing w:before="20" w:after="20"/>
              <w:jc w:val="both"/>
            </w:pPr>
            <w:r>
              <w:rPr>
                <w:sz w:val="18"/>
                <w:szCs w:val="18"/>
              </w:rPr>
              <w:t>Cálculo de intereses</w:t>
            </w:r>
          </w:p>
        </w:tc>
        <w:tc>
          <w:tcPr>
            <w:tcW w:w="2015" w:type="dxa"/>
            <w:shd w:val="clear" w:color="auto" w:fill="D9E2F3"/>
            <w:vAlign w:val="center"/>
          </w:tcPr>
          <w:p w14:paraId="1E695F8A" w14:textId="77777777" w:rsidR="00990B14" w:rsidRDefault="00000000">
            <w:pPr>
              <w:spacing w:before="20" w:after="20"/>
              <w:jc w:val="both"/>
            </w:pPr>
            <w:r>
              <w:rPr>
                <w:sz w:val="18"/>
                <w:szCs w:val="18"/>
              </w:rPr>
              <w:t>El cálculo de los intereses del depósito a plazo fijo es incorrecto o está incompleto.</w:t>
            </w:r>
          </w:p>
        </w:tc>
        <w:tc>
          <w:tcPr>
            <w:tcW w:w="1910" w:type="dxa"/>
            <w:shd w:val="clear" w:color="auto" w:fill="D9E2F3"/>
            <w:vAlign w:val="center"/>
          </w:tcPr>
          <w:p w14:paraId="4B82E56F" w14:textId="77777777" w:rsidR="00990B14" w:rsidRDefault="00000000">
            <w:pPr>
              <w:spacing w:before="20" w:after="20"/>
              <w:jc w:val="both"/>
            </w:pPr>
            <w:r>
              <w:rPr>
                <w:sz w:val="18"/>
                <w:szCs w:val="18"/>
              </w:rPr>
              <w:t>Calcula los intereses del depósito a plazo fijo con diferencias menores.</w:t>
            </w:r>
          </w:p>
        </w:tc>
        <w:tc>
          <w:tcPr>
            <w:tcW w:w="2015" w:type="dxa"/>
            <w:shd w:val="clear" w:color="auto" w:fill="D9E2F3"/>
            <w:vAlign w:val="center"/>
          </w:tcPr>
          <w:p w14:paraId="77A8A4EB" w14:textId="77777777" w:rsidR="00990B14" w:rsidRDefault="00000000">
            <w:pPr>
              <w:spacing w:before="20" w:after="20"/>
              <w:jc w:val="both"/>
            </w:pPr>
            <w:r>
              <w:rPr>
                <w:sz w:val="18"/>
                <w:szCs w:val="18"/>
              </w:rPr>
              <w:t>Calcula los intereses del depósito a plazo fijo con exactitud y explica el procedimiento.</w:t>
            </w:r>
          </w:p>
        </w:tc>
      </w:tr>
      <w:tr w:rsidR="00990B14" w14:paraId="4D186A75" w14:textId="77777777">
        <w:trPr>
          <w:cantSplit/>
          <w:jc w:val="center"/>
        </w:trPr>
        <w:tc>
          <w:tcPr>
            <w:tcW w:w="1715" w:type="dxa"/>
            <w:vMerge/>
            <w:shd w:val="clear" w:color="auto" w:fill="4472C4"/>
            <w:vAlign w:val="center"/>
          </w:tcPr>
          <w:p w14:paraId="733104E0" w14:textId="77777777" w:rsidR="00990B14" w:rsidRDefault="00990B14">
            <w:pPr>
              <w:spacing w:before="20" w:after="20"/>
            </w:pPr>
          </w:p>
        </w:tc>
        <w:tc>
          <w:tcPr>
            <w:tcW w:w="1750" w:type="dxa"/>
            <w:shd w:val="clear" w:color="auto" w:fill="D9E2F3"/>
            <w:vAlign w:val="center"/>
          </w:tcPr>
          <w:p w14:paraId="3A94F71E" w14:textId="77777777" w:rsidR="00990B14" w:rsidRDefault="00000000">
            <w:pPr>
              <w:spacing w:before="20" w:after="20"/>
              <w:jc w:val="both"/>
            </w:pPr>
            <w:r>
              <w:rPr>
                <w:sz w:val="18"/>
                <w:szCs w:val="18"/>
              </w:rPr>
              <w:t>Exposición en los estados financieros</w:t>
            </w:r>
          </w:p>
        </w:tc>
        <w:tc>
          <w:tcPr>
            <w:tcW w:w="2015" w:type="dxa"/>
            <w:shd w:val="clear" w:color="auto" w:fill="D9E2F3"/>
            <w:vAlign w:val="center"/>
          </w:tcPr>
          <w:p w14:paraId="7FD9098B" w14:textId="77777777" w:rsidR="00990B14" w:rsidRDefault="00000000">
            <w:pPr>
              <w:spacing w:before="20" w:after="20"/>
              <w:jc w:val="both"/>
            </w:pPr>
            <w:r>
              <w:rPr>
                <w:sz w:val="18"/>
                <w:szCs w:val="18"/>
              </w:rPr>
              <w:t>No expone las operaciones o las expone con errores graves.</w:t>
            </w:r>
          </w:p>
        </w:tc>
        <w:tc>
          <w:tcPr>
            <w:tcW w:w="1910" w:type="dxa"/>
            <w:shd w:val="clear" w:color="auto" w:fill="D9E2F3"/>
            <w:vAlign w:val="center"/>
          </w:tcPr>
          <w:p w14:paraId="44501CEC" w14:textId="77777777" w:rsidR="00990B14" w:rsidRDefault="00000000">
            <w:pPr>
              <w:spacing w:before="20" w:after="20"/>
              <w:jc w:val="both"/>
            </w:pPr>
            <w:r>
              <w:rPr>
                <w:sz w:val="18"/>
                <w:szCs w:val="18"/>
              </w:rPr>
              <w:t>Expone las operaciones en los estados financieros con errores menores.</w:t>
            </w:r>
          </w:p>
        </w:tc>
        <w:tc>
          <w:tcPr>
            <w:tcW w:w="2015" w:type="dxa"/>
            <w:shd w:val="clear" w:color="auto" w:fill="D9E2F3"/>
            <w:vAlign w:val="center"/>
          </w:tcPr>
          <w:p w14:paraId="5072544A" w14:textId="77777777" w:rsidR="00990B14" w:rsidRDefault="00000000">
            <w:pPr>
              <w:spacing w:before="20" w:after="20"/>
              <w:jc w:val="both"/>
            </w:pPr>
            <w:r>
              <w:rPr>
                <w:sz w:val="18"/>
                <w:szCs w:val="18"/>
              </w:rPr>
              <w:t>Expone todas las operaciones correctamente, con saldos que cuadran.</w:t>
            </w:r>
          </w:p>
        </w:tc>
      </w:tr>
      <w:tr w:rsidR="00990B14" w14:paraId="27CEC72F" w14:textId="77777777">
        <w:trPr>
          <w:cantSplit/>
          <w:jc w:val="center"/>
        </w:trPr>
        <w:tc>
          <w:tcPr>
            <w:tcW w:w="1715" w:type="dxa"/>
            <w:vMerge/>
            <w:shd w:val="clear" w:color="auto" w:fill="4472C4"/>
            <w:vAlign w:val="center"/>
          </w:tcPr>
          <w:p w14:paraId="3CB8E099" w14:textId="77777777" w:rsidR="00990B14" w:rsidRDefault="00990B14">
            <w:pPr>
              <w:spacing w:before="20" w:after="20"/>
            </w:pPr>
          </w:p>
        </w:tc>
        <w:tc>
          <w:tcPr>
            <w:tcW w:w="5675" w:type="dxa"/>
            <w:gridSpan w:val="3"/>
            <w:shd w:val="clear" w:color="auto" w:fill="D9E2F3"/>
            <w:vAlign w:val="center"/>
          </w:tcPr>
          <w:p w14:paraId="1B8D1C1C" w14:textId="77777777" w:rsidR="00990B14" w:rsidRDefault="00000000">
            <w:pPr>
              <w:keepNext/>
              <w:spacing w:before="20" w:after="20"/>
              <w:jc w:val="both"/>
            </w:pPr>
            <w:r>
              <w:rPr>
                <w:b/>
                <w:bCs/>
                <w:i/>
                <w:iCs/>
                <w:sz w:val="18"/>
                <w:szCs w:val="18"/>
              </w:rPr>
              <w:t xml:space="preserve">Producto 8: </w:t>
            </w:r>
            <w:r>
              <w:rPr>
                <w:sz w:val="18"/>
                <w:szCs w:val="18"/>
              </w:rPr>
              <w:t>Cálculo del encaje legal y del Fondo RAL de un caso práctico</w:t>
            </w:r>
          </w:p>
        </w:tc>
        <w:tc>
          <w:tcPr>
            <w:tcW w:w="2015" w:type="dxa"/>
            <w:shd w:val="clear" w:color="auto" w:fill="D9E2F3"/>
            <w:vAlign w:val="center"/>
          </w:tcPr>
          <w:p w14:paraId="0F7C1F70" w14:textId="77777777" w:rsidR="00990B14" w:rsidRDefault="00000000">
            <w:pPr>
              <w:spacing w:before="20" w:after="20"/>
              <w:jc w:val="center"/>
            </w:pPr>
            <w:r>
              <w:rPr>
                <w:b/>
                <w:bCs/>
                <w:sz w:val="18"/>
                <w:szCs w:val="18"/>
              </w:rPr>
              <w:t>9%</w:t>
            </w:r>
          </w:p>
        </w:tc>
      </w:tr>
      <w:tr w:rsidR="00990B14" w14:paraId="44D423F3" w14:textId="77777777">
        <w:trPr>
          <w:cantSplit/>
          <w:jc w:val="center"/>
        </w:trPr>
        <w:tc>
          <w:tcPr>
            <w:tcW w:w="1715" w:type="dxa"/>
            <w:vMerge/>
            <w:shd w:val="clear" w:color="auto" w:fill="4472C4"/>
            <w:vAlign w:val="center"/>
          </w:tcPr>
          <w:p w14:paraId="42BC1218" w14:textId="77777777" w:rsidR="00990B14" w:rsidRDefault="00990B14">
            <w:pPr>
              <w:spacing w:before="20" w:after="20"/>
            </w:pPr>
          </w:p>
        </w:tc>
        <w:tc>
          <w:tcPr>
            <w:tcW w:w="1750" w:type="dxa"/>
            <w:shd w:val="clear" w:color="auto" w:fill="4472C4"/>
            <w:vAlign w:val="center"/>
          </w:tcPr>
          <w:p w14:paraId="440EE927"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0B134D1F"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7E824A77"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676FBDE0" w14:textId="77777777" w:rsidR="00990B14" w:rsidRDefault="00000000">
            <w:pPr>
              <w:keepNext/>
              <w:spacing w:before="20" w:after="20"/>
              <w:jc w:val="center"/>
            </w:pPr>
            <w:r>
              <w:rPr>
                <w:b/>
                <w:bCs/>
                <w:i/>
                <w:iCs/>
                <w:color w:val="FFFFFF"/>
                <w:sz w:val="18"/>
                <w:szCs w:val="18"/>
              </w:rPr>
              <w:t>Destacado (81–100)</w:t>
            </w:r>
          </w:p>
        </w:tc>
      </w:tr>
      <w:tr w:rsidR="00990B14" w14:paraId="008E520F" w14:textId="77777777">
        <w:trPr>
          <w:cantSplit/>
          <w:jc w:val="center"/>
        </w:trPr>
        <w:tc>
          <w:tcPr>
            <w:tcW w:w="1715" w:type="dxa"/>
            <w:vMerge/>
            <w:shd w:val="clear" w:color="auto" w:fill="4472C4"/>
            <w:vAlign w:val="center"/>
          </w:tcPr>
          <w:p w14:paraId="1973F87F" w14:textId="77777777" w:rsidR="00990B14" w:rsidRDefault="00990B14">
            <w:pPr>
              <w:spacing w:before="20" w:after="20"/>
            </w:pPr>
          </w:p>
        </w:tc>
        <w:tc>
          <w:tcPr>
            <w:tcW w:w="1750" w:type="dxa"/>
            <w:shd w:val="clear" w:color="auto" w:fill="D9E2F3"/>
            <w:vAlign w:val="center"/>
          </w:tcPr>
          <w:p w14:paraId="1110E41A" w14:textId="77777777" w:rsidR="00990B14" w:rsidRDefault="00000000">
            <w:pPr>
              <w:spacing w:before="20" w:after="20"/>
              <w:jc w:val="both"/>
            </w:pPr>
            <w:r>
              <w:rPr>
                <w:sz w:val="18"/>
                <w:szCs w:val="18"/>
              </w:rPr>
              <w:t>Encaje legal en efectivo y en títulos</w:t>
            </w:r>
          </w:p>
        </w:tc>
        <w:tc>
          <w:tcPr>
            <w:tcW w:w="2015" w:type="dxa"/>
            <w:shd w:val="clear" w:color="auto" w:fill="D9E2F3"/>
            <w:vAlign w:val="center"/>
          </w:tcPr>
          <w:p w14:paraId="500B6341" w14:textId="77777777" w:rsidR="00990B14" w:rsidRDefault="00000000">
            <w:pPr>
              <w:spacing w:before="20" w:after="20"/>
              <w:jc w:val="both"/>
            </w:pPr>
            <w:r>
              <w:rPr>
                <w:sz w:val="18"/>
                <w:szCs w:val="18"/>
              </w:rPr>
              <w:t>El cálculo del encaje legal requerido y constituido en efectivo y en títulos es incorrecto o está incompleto.</w:t>
            </w:r>
          </w:p>
        </w:tc>
        <w:tc>
          <w:tcPr>
            <w:tcW w:w="1910" w:type="dxa"/>
            <w:shd w:val="clear" w:color="auto" w:fill="D9E2F3"/>
            <w:vAlign w:val="center"/>
          </w:tcPr>
          <w:p w14:paraId="5FEB9C16" w14:textId="77777777" w:rsidR="00990B14" w:rsidRDefault="00000000">
            <w:pPr>
              <w:spacing w:before="20" w:after="20"/>
              <w:jc w:val="both"/>
            </w:pPr>
            <w:r>
              <w:rPr>
                <w:sz w:val="18"/>
                <w:szCs w:val="18"/>
              </w:rPr>
              <w:t>Calcula el encaje legal requerido y constituido en efectivo y en títulos con diferencias menores.</w:t>
            </w:r>
          </w:p>
        </w:tc>
        <w:tc>
          <w:tcPr>
            <w:tcW w:w="2015" w:type="dxa"/>
            <w:shd w:val="clear" w:color="auto" w:fill="D9E2F3"/>
            <w:vAlign w:val="center"/>
          </w:tcPr>
          <w:p w14:paraId="6CCFF246" w14:textId="77777777" w:rsidR="00990B14" w:rsidRDefault="00000000">
            <w:pPr>
              <w:spacing w:before="20" w:after="20"/>
              <w:jc w:val="both"/>
            </w:pPr>
            <w:r>
              <w:rPr>
                <w:sz w:val="18"/>
                <w:szCs w:val="18"/>
              </w:rPr>
              <w:t>Calcula el encaje legal requerido y constituido en efectivo y en títulos con exactitud y explica el procedimiento.</w:t>
            </w:r>
          </w:p>
        </w:tc>
      </w:tr>
      <w:tr w:rsidR="00990B14" w14:paraId="2A0F1CB7" w14:textId="77777777">
        <w:trPr>
          <w:cantSplit/>
          <w:jc w:val="center"/>
        </w:trPr>
        <w:tc>
          <w:tcPr>
            <w:tcW w:w="1715" w:type="dxa"/>
            <w:vMerge/>
            <w:shd w:val="clear" w:color="auto" w:fill="4472C4"/>
            <w:vAlign w:val="center"/>
          </w:tcPr>
          <w:p w14:paraId="6EEEA8D7" w14:textId="77777777" w:rsidR="00990B14" w:rsidRDefault="00990B14">
            <w:pPr>
              <w:spacing w:before="20" w:after="20"/>
            </w:pPr>
          </w:p>
        </w:tc>
        <w:tc>
          <w:tcPr>
            <w:tcW w:w="1750" w:type="dxa"/>
            <w:shd w:val="clear" w:color="auto" w:fill="D9E2F3"/>
            <w:vAlign w:val="center"/>
          </w:tcPr>
          <w:p w14:paraId="54D0446E" w14:textId="77777777" w:rsidR="00990B14" w:rsidRDefault="00000000">
            <w:pPr>
              <w:spacing w:before="20" w:after="20"/>
              <w:jc w:val="both"/>
            </w:pPr>
            <w:r>
              <w:rPr>
                <w:sz w:val="18"/>
                <w:szCs w:val="18"/>
              </w:rPr>
              <w:t>Excedente, deficiencia y multa</w:t>
            </w:r>
          </w:p>
        </w:tc>
        <w:tc>
          <w:tcPr>
            <w:tcW w:w="2015" w:type="dxa"/>
            <w:shd w:val="clear" w:color="auto" w:fill="D9E2F3"/>
            <w:vAlign w:val="center"/>
          </w:tcPr>
          <w:p w14:paraId="54DE0CCC" w14:textId="77777777" w:rsidR="00990B14" w:rsidRDefault="00000000">
            <w:pPr>
              <w:spacing w:before="20" w:after="20"/>
              <w:jc w:val="both"/>
            </w:pPr>
            <w:r>
              <w:rPr>
                <w:sz w:val="18"/>
                <w:szCs w:val="18"/>
              </w:rPr>
              <w:t>El cálculo del excedente o la deficiencia de encaje y la multa correspondiente es incorrecto o está incompleto.</w:t>
            </w:r>
          </w:p>
        </w:tc>
        <w:tc>
          <w:tcPr>
            <w:tcW w:w="1910" w:type="dxa"/>
            <w:shd w:val="clear" w:color="auto" w:fill="D9E2F3"/>
            <w:vAlign w:val="center"/>
          </w:tcPr>
          <w:p w14:paraId="659DC9F8" w14:textId="77777777" w:rsidR="00990B14" w:rsidRDefault="00000000">
            <w:pPr>
              <w:spacing w:before="20" w:after="20"/>
              <w:jc w:val="both"/>
            </w:pPr>
            <w:r>
              <w:rPr>
                <w:sz w:val="18"/>
                <w:szCs w:val="18"/>
              </w:rPr>
              <w:t>Calcula el excedente o la deficiencia de encaje y la multa correspondiente con diferencias menores.</w:t>
            </w:r>
          </w:p>
        </w:tc>
        <w:tc>
          <w:tcPr>
            <w:tcW w:w="2015" w:type="dxa"/>
            <w:shd w:val="clear" w:color="auto" w:fill="D9E2F3"/>
            <w:vAlign w:val="center"/>
          </w:tcPr>
          <w:p w14:paraId="715A2374" w14:textId="77777777" w:rsidR="00990B14" w:rsidRDefault="00000000">
            <w:pPr>
              <w:spacing w:before="20" w:after="20"/>
              <w:jc w:val="both"/>
            </w:pPr>
            <w:r>
              <w:rPr>
                <w:sz w:val="18"/>
                <w:szCs w:val="18"/>
              </w:rPr>
              <w:t>Calcula el excedente o la deficiencia de encaje y la multa correspondiente con exactitud y explica el procedimiento.</w:t>
            </w:r>
          </w:p>
        </w:tc>
      </w:tr>
      <w:tr w:rsidR="00990B14" w14:paraId="7941C8C9" w14:textId="77777777">
        <w:trPr>
          <w:cantSplit/>
          <w:jc w:val="center"/>
        </w:trPr>
        <w:tc>
          <w:tcPr>
            <w:tcW w:w="1715" w:type="dxa"/>
            <w:vMerge/>
            <w:shd w:val="clear" w:color="auto" w:fill="4472C4"/>
            <w:vAlign w:val="center"/>
          </w:tcPr>
          <w:p w14:paraId="20CD70D3" w14:textId="77777777" w:rsidR="00990B14" w:rsidRDefault="00990B14">
            <w:pPr>
              <w:spacing w:before="20" w:after="20"/>
            </w:pPr>
          </w:p>
        </w:tc>
        <w:tc>
          <w:tcPr>
            <w:tcW w:w="1750" w:type="dxa"/>
            <w:shd w:val="clear" w:color="auto" w:fill="D9E2F3"/>
            <w:vAlign w:val="center"/>
          </w:tcPr>
          <w:p w14:paraId="046E080D" w14:textId="77777777" w:rsidR="00990B14" w:rsidRDefault="00000000">
            <w:pPr>
              <w:spacing w:before="20" w:after="20"/>
              <w:jc w:val="both"/>
            </w:pPr>
            <w:r>
              <w:rPr>
                <w:sz w:val="18"/>
                <w:szCs w:val="18"/>
              </w:rPr>
              <w:t>Fondo RAL y presentación</w:t>
            </w:r>
          </w:p>
        </w:tc>
        <w:tc>
          <w:tcPr>
            <w:tcW w:w="2015" w:type="dxa"/>
            <w:shd w:val="clear" w:color="auto" w:fill="D9E2F3"/>
            <w:vAlign w:val="center"/>
          </w:tcPr>
          <w:p w14:paraId="0C379372" w14:textId="77777777" w:rsidR="00990B14" w:rsidRDefault="00000000">
            <w:pPr>
              <w:spacing w:before="20" w:after="20"/>
              <w:jc w:val="both"/>
            </w:pPr>
            <w:r>
              <w:rPr>
                <w:sz w:val="18"/>
                <w:szCs w:val="18"/>
              </w:rPr>
              <w:t>No calcula el Fondo RAL o presenta el cálculo con errores graves.</w:t>
            </w:r>
          </w:p>
        </w:tc>
        <w:tc>
          <w:tcPr>
            <w:tcW w:w="1910" w:type="dxa"/>
            <w:shd w:val="clear" w:color="auto" w:fill="D9E2F3"/>
            <w:vAlign w:val="center"/>
          </w:tcPr>
          <w:p w14:paraId="4B204325" w14:textId="77777777" w:rsidR="00990B14" w:rsidRDefault="00000000">
            <w:pPr>
              <w:spacing w:before="20" w:after="20"/>
              <w:jc w:val="both"/>
            </w:pPr>
            <w:r>
              <w:rPr>
                <w:sz w:val="18"/>
                <w:szCs w:val="18"/>
              </w:rPr>
              <w:t>Calcula el Fondo RAL con errores menores y presenta el caso de forma ordenada.</w:t>
            </w:r>
          </w:p>
        </w:tc>
        <w:tc>
          <w:tcPr>
            <w:tcW w:w="2015" w:type="dxa"/>
            <w:shd w:val="clear" w:color="auto" w:fill="D9E2F3"/>
            <w:vAlign w:val="center"/>
          </w:tcPr>
          <w:p w14:paraId="2FBCCE44" w14:textId="77777777" w:rsidR="00990B14" w:rsidRDefault="00000000">
            <w:pPr>
              <w:spacing w:before="20" w:after="20"/>
              <w:jc w:val="both"/>
            </w:pPr>
            <w:r>
              <w:rPr>
                <w:sz w:val="18"/>
                <w:szCs w:val="18"/>
              </w:rPr>
              <w:t>Calcula el Fondo RAL correctamente y presenta el caso de forma clara y completa.</w:t>
            </w:r>
          </w:p>
        </w:tc>
      </w:tr>
      <w:tr w:rsidR="00990B14" w14:paraId="387326F8" w14:textId="77777777">
        <w:trPr>
          <w:cantSplit/>
          <w:jc w:val="center"/>
        </w:trPr>
        <w:tc>
          <w:tcPr>
            <w:tcW w:w="1715" w:type="dxa"/>
            <w:vMerge/>
            <w:shd w:val="clear" w:color="auto" w:fill="4472C4"/>
            <w:vAlign w:val="center"/>
          </w:tcPr>
          <w:p w14:paraId="6BC0CF29" w14:textId="77777777" w:rsidR="00990B14" w:rsidRDefault="00990B14">
            <w:pPr>
              <w:spacing w:before="20" w:after="20"/>
            </w:pPr>
          </w:p>
        </w:tc>
        <w:tc>
          <w:tcPr>
            <w:tcW w:w="5675" w:type="dxa"/>
            <w:gridSpan w:val="3"/>
            <w:shd w:val="clear" w:color="auto" w:fill="D9E2F3"/>
            <w:vAlign w:val="center"/>
          </w:tcPr>
          <w:p w14:paraId="5ED859BE" w14:textId="77777777" w:rsidR="00990B14" w:rsidRDefault="00000000">
            <w:pPr>
              <w:keepNext/>
              <w:spacing w:before="20" w:after="20"/>
              <w:jc w:val="both"/>
            </w:pPr>
            <w:r>
              <w:rPr>
                <w:b/>
                <w:bCs/>
                <w:i/>
                <w:iCs/>
                <w:sz w:val="18"/>
                <w:szCs w:val="18"/>
              </w:rPr>
              <w:t xml:space="preserve">Producto 9: </w:t>
            </w:r>
            <w:r>
              <w:rPr>
                <w:sz w:val="18"/>
                <w:szCs w:val="18"/>
              </w:rPr>
              <w:t>Ejercicio integral de las operaciones de la cartera vigente de una entidad financiera, con su exposición en los estados financieros</w:t>
            </w:r>
          </w:p>
        </w:tc>
        <w:tc>
          <w:tcPr>
            <w:tcW w:w="2015" w:type="dxa"/>
            <w:shd w:val="clear" w:color="auto" w:fill="D9E2F3"/>
            <w:vAlign w:val="center"/>
          </w:tcPr>
          <w:p w14:paraId="2CF7C5FC" w14:textId="77777777" w:rsidR="00990B14" w:rsidRDefault="00000000">
            <w:pPr>
              <w:spacing w:before="20" w:after="20"/>
              <w:jc w:val="center"/>
            </w:pPr>
            <w:r>
              <w:rPr>
                <w:b/>
                <w:bCs/>
                <w:sz w:val="18"/>
                <w:szCs w:val="18"/>
              </w:rPr>
              <w:t>10%</w:t>
            </w:r>
          </w:p>
        </w:tc>
      </w:tr>
      <w:tr w:rsidR="00990B14" w14:paraId="292BB0A0" w14:textId="77777777">
        <w:trPr>
          <w:cantSplit/>
          <w:jc w:val="center"/>
        </w:trPr>
        <w:tc>
          <w:tcPr>
            <w:tcW w:w="1715" w:type="dxa"/>
            <w:vMerge/>
            <w:shd w:val="clear" w:color="auto" w:fill="4472C4"/>
            <w:vAlign w:val="center"/>
          </w:tcPr>
          <w:p w14:paraId="34AACA71" w14:textId="77777777" w:rsidR="00990B14" w:rsidRDefault="00990B14">
            <w:pPr>
              <w:spacing w:before="20" w:after="20"/>
            </w:pPr>
          </w:p>
        </w:tc>
        <w:tc>
          <w:tcPr>
            <w:tcW w:w="1750" w:type="dxa"/>
            <w:shd w:val="clear" w:color="auto" w:fill="4472C4"/>
            <w:vAlign w:val="center"/>
          </w:tcPr>
          <w:p w14:paraId="17251C6E"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05C07777"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43B3B8FE"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60CCBAEB" w14:textId="77777777" w:rsidR="00990B14" w:rsidRDefault="00000000">
            <w:pPr>
              <w:keepNext/>
              <w:spacing w:before="20" w:after="20"/>
              <w:jc w:val="center"/>
            </w:pPr>
            <w:r>
              <w:rPr>
                <w:b/>
                <w:bCs/>
                <w:i/>
                <w:iCs/>
                <w:color w:val="FFFFFF"/>
                <w:sz w:val="18"/>
                <w:szCs w:val="18"/>
              </w:rPr>
              <w:t>Destacado (81–100)</w:t>
            </w:r>
          </w:p>
        </w:tc>
      </w:tr>
      <w:tr w:rsidR="00990B14" w14:paraId="0842343F" w14:textId="77777777">
        <w:trPr>
          <w:cantSplit/>
          <w:jc w:val="center"/>
        </w:trPr>
        <w:tc>
          <w:tcPr>
            <w:tcW w:w="1715" w:type="dxa"/>
            <w:vMerge/>
            <w:shd w:val="clear" w:color="auto" w:fill="4472C4"/>
            <w:vAlign w:val="center"/>
          </w:tcPr>
          <w:p w14:paraId="0C23A925" w14:textId="77777777" w:rsidR="00990B14" w:rsidRDefault="00990B14">
            <w:pPr>
              <w:spacing w:before="20" w:after="20"/>
            </w:pPr>
          </w:p>
        </w:tc>
        <w:tc>
          <w:tcPr>
            <w:tcW w:w="1750" w:type="dxa"/>
            <w:shd w:val="clear" w:color="auto" w:fill="D9E2F3"/>
            <w:vAlign w:val="center"/>
          </w:tcPr>
          <w:p w14:paraId="4F1C9AB3" w14:textId="77777777" w:rsidR="00990B14" w:rsidRDefault="00000000">
            <w:pPr>
              <w:spacing w:before="20" w:after="20"/>
              <w:jc w:val="both"/>
            </w:pPr>
            <w:r>
              <w:rPr>
                <w:sz w:val="18"/>
                <w:szCs w:val="18"/>
              </w:rPr>
              <w:t>Desembolso y recuperación</w:t>
            </w:r>
          </w:p>
        </w:tc>
        <w:tc>
          <w:tcPr>
            <w:tcW w:w="2015" w:type="dxa"/>
            <w:shd w:val="clear" w:color="auto" w:fill="D9E2F3"/>
            <w:vAlign w:val="center"/>
          </w:tcPr>
          <w:p w14:paraId="1767AFF4" w14:textId="77777777" w:rsidR="00990B14" w:rsidRDefault="00000000">
            <w:pPr>
              <w:spacing w:before="20" w:after="20"/>
              <w:jc w:val="both"/>
            </w:pPr>
            <w:r>
              <w:rPr>
                <w:sz w:val="18"/>
                <w:szCs w:val="18"/>
              </w:rPr>
              <w:t>Omite operaciones o registra incorrectamente el desembolso, el cobro de cuotas y la recuperación de los créditos vigentes.</w:t>
            </w:r>
          </w:p>
        </w:tc>
        <w:tc>
          <w:tcPr>
            <w:tcW w:w="1910" w:type="dxa"/>
            <w:shd w:val="clear" w:color="auto" w:fill="D9E2F3"/>
            <w:vAlign w:val="center"/>
          </w:tcPr>
          <w:p w14:paraId="7FD5DED5" w14:textId="77777777" w:rsidR="00990B14" w:rsidRDefault="00000000">
            <w:pPr>
              <w:spacing w:before="20" w:after="20"/>
              <w:jc w:val="both"/>
            </w:pPr>
            <w:r>
              <w:rPr>
                <w:sz w:val="18"/>
                <w:szCs w:val="18"/>
              </w:rPr>
              <w:t>Registra el desembolso, el cobro de cuotas y la recuperación de los créditos vigentes con errores menores.</w:t>
            </w:r>
          </w:p>
        </w:tc>
        <w:tc>
          <w:tcPr>
            <w:tcW w:w="2015" w:type="dxa"/>
            <w:shd w:val="clear" w:color="auto" w:fill="D9E2F3"/>
            <w:vAlign w:val="center"/>
          </w:tcPr>
          <w:p w14:paraId="4AD27E40" w14:textId="77777777" w:rsidR="00990B14" w:rsidRDefault="00000000">
            <w:pPr>
              <w:spacing w:before="20" w:after="20"/>
              <w:jc w:val="both"/>
            </w:pPr>
            <w:r>
              <w:rPr>
                <w:sz w:val="18"/>
                <w:szCs w:val="18"/>
              </w:rPr>
              <w:t>Registra el desembolso, el cobro de cuotas y la recuperación de los créditos vigentes correctamente, con asientos y respaldos completos.</w:t>
            </w:r>
          </w:p>
        </w:tc>
      </w:tr>
      <w:tr w:rsidR="00990B14" w14:paraId="7837E3D2" w14:textId="77777777">
        <w:trPr>
          <w:cantSplit/>
          <w:jc w:val="center"/>
        </w:trPr>
        <w:tc>
          <w:tcPr>
            <w:tcW w:w="1715" w:type="dxa"/>
            <w:vMerge/>
            <w:shd w:val="clear" w:color="auto" w:fill="4472C4"/>
            <w:vAlign w:val="center"/>
          </w:tcPr>
          <w:p w14:paraId="6EDB03F0" w14:textId="77777777" w:rsidR="00990B14" w:rsidRDefault="00990B14">
            <w:pPr>
              <w:spacing w:before="20" w:after="20"/>
            </w:pPr>
          </w:p>
        </w:tc>
        <w:tc>
          <w:tcPr>
            <w:tcW w:w="1750" w:type="dxa"/>
            <w:shd w:val="clear" w:color="auto" w:fill="D9E2F3"/>
            <w:vAlign w:val="center"/>
          </w:tcPr>
          <w:p w14:paraId="63331116" w14:textId="77777777" w:rsidR="00990B14" w:rsidRDefault="00000000">
            <w:pPr>
              <w:spacing w:before="20" w:after="20"/>
              <w:jc w:val="both"/>
            </w:pPr>
            <w:r>
              <w:rPr>
                <w:sz w:val="18"/>
                <w:szCs w:val="18"/>
              </w:rPr>
              <w:t>Devengamiento de intereses y previsión</w:t>
            </w:r>
          </w:p>
        </w:tc>
        <w:tc>
          <w:tcPr>
            <w:tcW w:w="2015" w:type="dxa"/>
            <w:shd w:val="clear" w:color="auto" w:fill="D9E2F3"/>
            <w:vAlign w:val="center"/>
          </w:tcPr>
          <w:p w14:paraId="39235F6B" w14:textId="77777777" w:rsidR="00990B14" w:rsidRDefault="00000000">
            <w:pPr>
              <w:spacing w:before="20" w:after="20"/>
              <w:jc w:val="both"/>
            </w:pPr>
            <w:r>
              <w:rPr>
                <w:sz w:val="18"/>
                <w:szCs w:val="18"/>
              </w:rPr>
              <w:t>El cálculo de los intereses devengados y la previsión de la cartera vigente es incorrecto o está incompleto.</w:t>
            </w:r>
          </w:p>
        </w:tc>
        <w:tc>
          <w:tcPr>
            <w:tcW w:w="1910" w:type="dxa"/>
            <w:shd w:val="clear" w:color="auto" w:fill="D9E2F3"/>
            <w:vAlign w:val="center"/>
          </w:tcPr>
          <w:p w14:paraId="1D107154" w14:textId="77777777" w:rsidR="00990B14" w:rsidRDefault="00000000">
            <w:pPr>
              <w:spacing w:before="20" w:after="20"/>
              <w:jc w:val="both"/>
            </w:pPr>
            <w:r>
              <w:rPr>
                <w:sz w:val="18"/>
                <w:szCs w:val="18"/>
              </w:rPr>
              <w:t>Calcula los intereses devengados y la previsión de la cartera vigente con diferencias menores.</w:t>
            </w:r>
          </w:p>
        </w:tc>
        <w:tc>
          <w:tcPr>
            <w:tcW w:w="2015" w:type="dxa"/>
            <w:shd w:val="clear" w:color="auto" w:fill="D9E2F3"/>
            <w:vAlign w:val="center"/>
          </w:tcPr>
          <w:p w14:paraId="1AD854BF" w14:textId="77777777" w:rsidR="00990B14" w:rsidRDefault="00000000">
            <w:pPr>
              <w:spacing w:before="20" w:after="20"/>
              <w:jc w:val="both"/>
            </w:pPr>
            <w:r>
              <w:rPr>
                <w:sz w:val="18"/>
                <w:szCs w:val="18"/>
              </w:rPr>
              <w:t>Calcula los intereses devengados y la previsión de la cartera vigente con exactitud y explica el procedimiento.</w:t>
            </w:r>
          </w:p>
        </w:tc>
      </w:tr>
      <w:tr w:rsidR="00990B14" w14:paraId="385525CA" w14:textId="77777777">
        <w:trPr>
          <w:cantSplit/>
          <w:jc w:val="center"/>
        </w:trPr>
        <w:tc>
          <w:tcPr>
            <w:tcW w:w="1715" w:type="dxa"/>
            <w:vMerge/>
            <w:shd w:val="clear" w:color="auto" w:fill="4472C4"/>
            <w:vAlign w:val="center"/>
          </w:tcPr>
          <w:p w14:paraId="132BF796" w14:textId="77777777" w:rsidR="00990B14" w:rsidRDefault="00990B14">
            <w:pPr>
              <w:spacing w:before="20" w:after="20"/>
            </w:pPr>
          </w:p>
        </w:tc>
        <w:tc>
          <w:tcPr>
            <w:tcW w:w="1750" w:type="dxa"/>
            <w:shd w:val="clear" w:color="auto" w:fill="D9E2F3"/>
            <w:vAlign w:val="center"/>
          </w:tcPr>
          <w:p w14:paraId="18C5F88E" w14:textId="77777777" w:rsidR="00990B14" w:rsidRDefault="00000000">
            <w:pPr>
              <w:spacing w:before="20" w:after="20"/>
              <w:jc w:val="both"/>
            </w:pPr>
            <w:r>
              <w:rPr>
                <w:sz w:val="18"/>
                <w:szCs w:val="18"/>
              </w:rPr>
              <w:t>Exposición en los estados financieros</w:t>
            </w:r>
          </w:p>
        </w:tc>
        <w:tc>
          <w:tcPr>
            <w:tcW w:w="2015" w:type="dxa"/>
            <w:shd w:val="clear" w:color="auto" w:fill="D9E2F3"/>
            <w:vAlign w:val="center"/>
          </w:tcPr>
          <w:p w14:paraId="7DDD28DD" w14:textId="77777777" w:rsidR="00990B14" w:rsidRDefault="00000000">
            <w:pPr>
              <w:spacing w:before="20" w:after="20"/>
              <w:jc w:val="both"/>
            </w:pPr>
            <w:r>
              <w:rPr>
                <w:sz w:val="18"/>
                <w:szCs w:val="18"/>
              </w:rPr>
              <w:t>No expone las operaciones o las expone con errores graves.</w:t>
            </w:r>
          </w:p>
        </w:tc>
        <w:tc>
          <w:tcPr>
            <w:tcW w:w="1910" w:type="dxa"/>
            <w:shd w:val="clear" w:color="auto" w:fill="D9E2F3"/>
            <w:vAlign w:val="center"/>
          </w:tcPr>
          <w:p w14:paraId="287598DA" w14:textId="77777777" w:rsidR="00990B14" w:rsidRDefault="00000000">
            <w:pPr>
              <w:spacing w:before="20" w:after="20"/>
              <w:jc w:val="both"/>
            </w:pPr>
            <w:r>
              <w:rPr>
                <w:sz w:val="18"/>
                <w:szCs w:val="18"/>
              </w:rPr>
              <w:t>Expone las operaciones en los estados financieros con errores menores.</w:t>
            </w:r>
          </w:p>
        </w:tc>
        <w:tc>
          <w:tcPr>
            <w:tcW w:w="2015" w:type="dxa"/>
            <w:shd w:val="clear" w:color="auto" w:fill="D9E2F3"/>
            <w:vAlign w:val="center"/>
          </w:tcPr>
          <w:p w14:paraId="4275B2B2" w14:textId="77777777" w:rsidR="00990B14" w:rsidRDefault="00000000">
            <w:pPr>
              <w:spacing w:before="20" w:after="20"/>
              <w:jc w:val="both"/>
            </w:pPr>
            <w:r>
              <w:rPr>
                <w:sz w:val="18"/>
                <w:szCs w:val="18"/>
              </w:rPr>
              <w:t>Expone todas las operaciones correctamente, con saldos que cuadran.</w:t>
            </w:r>
          </w:p>
        </w:tc>
      </w:tr>
      <w:tr w:rsidR="00990B14" w14:paraId="192C8140" w14:textId="77777777">
        <w:trPr>
          <w:cantSplit/>
          <w:jc w:val="center"/>
        </w:trPr>
        <w:tc>
          <w:tcPr>
            <w:tcW w:w="1715" w:type="dxa"/>
            <w:vMerge/>
            <w:shd w:val="clear" w:color="auto" w:fill="4472C4"/>
            <w:vAlign w:val="center"/>
          </w:tcPr>
          <w:p w14:paraId="35978908" w14:textId="77777777" w:rsidR="00990B14" w:rsidRDefault="00990B14">
            <w:pPr>
              <w:spacing w:before="20" w:after="20"/>
            </w:pPr>
          </w:p>
        </w:tc>
        <w:tc>
          <w:tcPr>
            <w:tcW w:w="5675" w:type="dxa"/>
            <w:gridSpan w:val="3"/>
            <w:shd w:val="clear" w:color="auto" w:fill="D9E2F3"/>
            <w:vAlign w:val="center"/>
          </w:tcPr>
          <w:p w14:paraId="1170B8CC" w14:textId="77777777" w:rsidR="00990B14" w:rsidRDefault="00000000">
            <w:pPr>
              <w:keepNext/>
              <w:spacing w:before="20" w:after="20"/>
              <w:jc w:val="both"/>
            </w:pPr>
            <w:r>
              <w:rPr>
                <w:b/>
                <w:bCs/>
                <w:i/>
                <w:iCs/>
                <w:sz w:val="18"/>
                <w:szCs w:val="18"/>
              </w:rPr>
              <w:t xml:space="preserve">Producto 10: </w:t>
            </w:r>
            <w:r>
              <w:rPr>
                <w:sz w:val="18"/>
                <w:szCs w:val="18"/>
              </w:rPr>
              <w:t>Ejercicio integral de las operaciones de la cartera vencida, con el cálculo de los intereses vencidos y penales y su exposición en los estados financieros</w:t>
            </w:r>
          </w:p>
        </w:tc>
        <w:tc>
          <w:tcPr>
            <w:tcW w:w="2015" w:type="dxa"/>
            <w:shd w:val="clear" w:color="auto" w:fill="D9E2F3"/>
            <w:vAlign w:val="center"/>
          </w:tcPr>
          <w:p w14:paraId="2C6E2920" w14:textId="77777777" w:rsidR="00990B14" w:rsidRDefault="00000000">
            <w:pPr>
              <w:spacing w:before="20" w:after="20"/>
              <w:jc w:val="center"/>
            </w:pPr>
            <w:r>
              <w:rPr>
                <w:b/>
                <w:bCs/>
                <w:sz w:val="18"/>
                <w:szCs w:val="18"/>
              </w:rPr>
              <w:t>10%</w:t>
            </w:r>
          </w:p>
        </w:tc>
      </w:tr>
      <w:tr w:rsidR="00990B14" w14:paraId="7287EADE" w14:textId="77777777">
        <w:trPr>
          <w:cantSplit/>
          <w:jc w:val="center"/>
        </w:trPr>
        <w:tc>
          <w:tcPr>
            <w:tcW w:w="1715" w:type="dxa"/>
            <w:vMerge/>
            <w:shd w:val="clear" w:color="auto" w:fill="4472C4"/>
            <w:vAlign w:val="center"/>
          </w:tcPr>
          <w:p w14:paraId="5B6738CF" w14:textId="77777777" w:rsidR="00990B14" w:rsidRDefault="00990B14">
            <w:pPr>
              <w:spacing w:before="20" w:after="20"/>
            </w:pPr>
          </w:p>
        </w:tc>
        <w:tc>
          <w:tcPr>
            <w:tcW w:w="1750" w:type="dxa"/>
            <w:shd w:val="clear" w:color="auto" w:fill="4472C4"/>
            <w:vAlign w:val="center"/>
          </w:tcPr>
          <w:p w14:paraId="21FB3EC2"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3EA35EFC"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1C7FC077"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6C0763AE" w14:textId="77777777" w:rsidR="00990B14" w:rsidRDefault="00000000">
            <w:pPr>
              <w:keepNext/>
              <w:spacing w:before="20" w:after="20"/>
              <w:jc w:val="center"/>
            </w:pPr>
            <w:r>
              <w:rPr>
                <w:b/>
                <w:bCs/>
                <w:i/>
                <w:iCs/>
                <w:color w:val="FFFFFF"/>
                <w:sz w:val="18"/>
                <w:szCs w:val="18"/>
              </w:rPr>
              <w:t>Destacado (81–100)</w:t>
            </w:r>
          </w:p>
        </w:tc>
      </w:tr>
      <w:tr w:rsidR="00990B14" w14:paraId="72F188C0" w14:textId="77777777">
        <w:trPr>
          <w:cantSplit/>
          <w:jc w:val="center"/>
        </w:trPr>
        <w:tc>
          <w:tcPr>
            <w:tcW w:w="1715" w:type="dxa"/>
            <w:vMerge/>
            <w:shd w:val="clear" w:color="auto" w:fill="4472C4"/>
            <w:vAlign w:val="center"/>
          </w:tcPr>
          <w:p w14:paraId="634A2CC6" w14:textId="77777777" w:rsidR="00990B14" w:rsidRDefault="00990B14">
            <w:pPr>
              <w:spacing w:before="20" w:after="20"/>
            </w:pPr>
          </w:p>
        </w:tc>
        <w:tc>
          <w:tcPr>
            <w:tcW w:w="1750" w:type="dxa"/>
            <w:shd w:val="clear" w:color="auto" w:fill="D9E2F3"/>
            <w:vAlign w:val="center"/>
          </w:tcPr>
          <w:p w14:paraId="2FA497F3" w14:textId="77777777" w:rsidR="00990B14" w:rsidRDefault="00000000">
            <w:pPr>
              <w:spacing w:before="20" w:after="20"/>
              <w:jc w:val="both"/>
            </w:pPr>
            <w:r>
              <w:rPr>
                <w:sz w:val="18"/>
                <w:szCs w:val="18"/>
              </w:rPr>
              <w:t>Traspaso y registro de la cartera vencida</w:t>
            </w:r>
          </w:p>
        </w:tc>
        <w:tc>
          <w:tcPr>
            <w:tcW w:w="2015" w:type="dxa"/>
            <w:shd w:val="clear" w:color="auto" w:fill="D9E2F3"/>
            <w:vAlign w:val="center"/>
          </w:tcPr>
          <w:p w14:paraId="58660DF5" w14:textId="77777777" w:rsidR="00990B14" w:rsidRDefault="00000000">
            <w:pPr>
              <w:spacing w:before="20" w:after="20"/>
              <w:jc w:val="both"/>
            </w:pPr>
            <w:r>
              <w:rPr>
                <w:sz w:val="18"/>
                <w:szCs w:val="18"/>
              </w:rPr>
              <w:t>Omite operaciones o registra incorrectamente el traspaso y las operaciones de la cartera vencida.</w:t>
            </w:r>
          </w:p>
        </w:tc>
        <w:tc>
          <w:tcPr>
            <w:tcW w:w="1910" w:type="dxa"/>
            <w:shd w:val="clear" w:color="auto" w:fill="D9E2F3"/>
            <w:vAlign w:val="center"/>
          </w:tcPr>
          <w:p w14:paraId="5E32512F" w14:textId="77777777" w:rsidR="00990B14" w:rsidRDefault="00000000">
            <w:pPr>
              <w:spacing w:before="20" w:after="20"/>
              <w:jc w:val="both"/>
            </w:pPr>
            <w:r>
              <w:rPr>
                <w:sz w:val="18"/>
                <w:szCs w:val="18"/>
              </w:rPr>
              <w:t>Registra el traspaso y las operaciones de la cartera vencida con errores menores.</w:t>
            </w:r>
          </w:p>
        </w:tc>
        <w:tc>
          <w:tcPr>
            <w:tcW w:w="2015" w:type="dxa"/>
            <w:shd w:val="clear" w:color="auto" w:fill="D9E2F3"/>
            <w:vAlign w:val="center"/>
          </w:tcPr>
          <w:p w14:paraId="4B616877" w14:textId="77777777" w:rsidR="00990B14" w:rsidRDefault="00000000">
            <w:pPr>
              <w:spacing w:before="20" w:after="20"/>
              <w:jc w:val="both"/>
            </w:pPr>
            <w:r>
              <w:rPr>
                <w:sz w:val="18"/>
                <w:szCs w:val="18"/>
              </w:rPr>
              <w:t>Registra el traspaso y las operaciones de la cartera vencida correctamente, con asientos y respaldos completos.</w:t>
            </w:r>
          </w:p>
        </w:tc>
      </w:tr>
      <w:tr w:rsidR="00990B14" w14:paraId="4EE31C31" w14:textId="77777777">
        <w:trPr>
          <w:cantSplit/>
          <w:jc w:val="center"/>
        </w:trPr>
        <w:tc>
          <w:tcPr>
            <w:tcW w:w="1715" w:type="dxa"/>
            <w:vMerge/>
            <w:shd w:val="clear" w:color="auto" w:fill="4472C4"/>
            <w:vAlign w:val="center"/>
          </w:tcPr>
          <w:p w14:paraId="371820B1" w14:textId="77777777" w:rsidR="00990B14" w:rsidRDefault="00990B14">
            <w:pPr>
              <w:spacing w:before="20" w:after="20"/>
            </w:pPr>
          </w:p>
        </w:tc>
        <w:tc>
          <w:tcPr>
            <w:tcW w:w="1750" w:type="dxa"/>
            <w:shd w:val="clear" w:color="auto" w:fill="D9E2F3"/>
            <w:vAlign w:val="center"/>
          </w:tcPr>
          <w:p w14:paraId="33AAF25B" w14:textId="77777777" w:rsidR="00990B14" w:rsidRDefault="00000000">
            <w:pPr>
              <w:spacing w:before="20" w:after="20"/>
              <w:jc w:val="both"/>
            </w:pPr>
            <w:r>
              <w:rPr>
                <w:sz w:val="18"/>
                <w:szCs w:val="18"/>
              </w:rPr>
              <w:t>Intereses vencidos y penales</w:t>
            </w:r>
          </w:p>
        </w:tc>
        <w:tc>
          <w:tcPr>
            <w:tcW w:w="2015" w:type="dxa"/>
            <w:shd w:val="clear" w:color="auto" w:fill="D9E2F3"/>
            <w:vAlign w:val="center"/>
          </w:tcPr>
          <w:p w14:paraId="40204E8C" w14:textId="77777777" w:rsidR="00990B14" w:rsidRDefault="00000000">
            <w:pPr>
              <w:spacing w:before="20" w:after="20"/>
              <w:jc w:val="both"/>
            </w:pPr>
            <w:r>
              <w:rPr>
                <w:sz w:val="18"/>
                <w:szCs w:val="18"/>
              </w:rPr>
              <w:t>El cálculo de los intereses vencidos y los intereses penales es incorrecto o está incompleto.</w:t>
            </w:r>
          </w:p>
        </w:tc>
        <w:tc>
          <w:tcPr>
            <w:tcW w:w="1910" w:type="dxa"/>
            <w:shd w:val="clear" w:color="auto" w:fill="D9E2F3"/>
            <w:vAlign w:val="center"/>
          </w:tcPr>
          <w:p w14:paraId="32722142" w14:textId="77777777" w:rsidR="00990B14" w:rsidRDefault="00000000">
            <w:pPr>
              <w:spacing w:before="20" w:after="20"/>
              <w:jc w:val="both"/>
            </w:pPr>
            <w:r>
              <w:rPr>
                <w:sz w:val="18"/>
                <w:szCs w:val="18"/>
              </w:rPr>
              <w:t>Calcula los intereses vencidos y los intereses penales con diferencias menores.</w:t>
            </w:r>
          </w:p>
        </w:tc>
        <w:tc>
          <w:tcPr>
            <w:tcW w:w="2015" w:type="dxa"/>
            <w:shd w:val="clear" w:color="auto" w:fill="D9E2F3"/>
            <w:vAlign w:val="center"/>
          </w:tcPr>
          <w:p w14:paraId="5F72B6FE" w14:textId="77777777" w:rsidR="00990B14" w:rsidRDefault="00000000">
            <w:pPr>
              <w:spacing w:before="20" w:after="20"/>
              <w:jc w:val="both"/>
            </w:pPr>
            <w:r>
              <w:rPr>
                <w:sz w:val="18"/>
                <w:szCs w:val="18"/>
              </w:rPr>
              <w:t>Calcula los intereses vencidos y los intereses penales con exactitud y explica el procedimiento.</w:t>
            </w:r>
          </w:p>
        </w:tc>
      </w:tr>
      <w:tr w:rsidR="00990B14" w14:paraId="74F34690" w14:textId="77777777">
        <w:trPr>
          <w:cantSplit/>
          <w:jc w:val="center"/>
        </w:trPr>
        <w:tc>
          <w:tcPr>
            <w:tcW w:w="1715" w:type="dxa"/>
            <w:vMerge/>
            <w:shd w:val="clear" w:color="auto" w:fill="4472C4"/>
            <w:vAlign w:val="center"/>
          </w:tcPr>
          <w:p w14:paraId="79BD6F8B" w14:textId="77777777" w:rsidR="00990B14" w:rsidRDefault="00990B14">
            <w:pPr>
              <w:spacing w:before="20" w:after="20"/>
            </w:pPr>
          </w:p>
        </w:tc>
        <w:tc>
          <w:tcPr>
            <w:tcW w:w="1750" w:type="dxa"/>
            <w:shd w:val="clear" w:color="auto" w:fill="D9E2F3"/>
            <w:vAlign w:val="center"/>
          </w:tcPr>
          <w:p w14:paraId="736D2F57" w14:textId="77777777" w:rsidR="00990B14" w:rsidRDefault="00000000">
            <w:pPr>
              <w:spacing w:before="20" w:after="20"/>
              <w:jc w:val="both"/>
            </w:pPr>
            <w:r>
              <w:rPr>
                <w:sz w:val="18"/>
                <w:szCs w:val="18"/>
              </w:rPr>
              <w:t>Exposición en los estados financieros</w:t>
            </w:r>
          </w:p>
        </w:tc>
        <w:tc>
          <w:tcPr>
            <w:tcW w:w="2015" w:type="dxa"/>
            <w:shd w:val="clear" w:color="auto" w:fill="D9E2F3"/>
            <w:vAlign w:val="center"/>
          </w:tcPr>
          <w:p w14:paraId="3EBE0295" w14:textId="77777777" w:rsidR="00990B14" w:rsidRDefault="00000000">
            <w:pPr>
              <w:spacing w:before="20" w:after="20"/>
              <w:jc w:val="both"/>
            </w:pPr>
            <w:r>
              <w:rPr>
                <w:sz w:val="18"/>
                <w:szCs w:val="18"/>
              </w:rPr>
              <w:t>No expone las operaciones o las expone con errores graves.</w:t>
            </w:r>
          </w:p>
        </w:tc>
        <w:tc>
          <w:tcPr>
            <w:tcW w:w="1910" w:type="dxa"/>
            <w:shd w:val="clear" w:color="auto" w:fill="D9E2F3"/>
            <w:vAlign w:val="center"/>
          </w:tcPr>
          <w:p w14:paraId="1A75F036" w14:textId="77777777" w:rsidR="00990B14" w:rsidRDefault="00000000">
            <w:pPr>
              <w:spacing w:before="20" w:after="20"/>
              <w:jc w:val="both"/>
            </w:pPr>
            <w:r>
              <w:rPr>
                <w:sz w:val="18"/>
                <w:szCs w:val="18"/>
              </w:rPr>
              <w:t>Expone las operaciones en los estados financieros con errores menores.</w:t>
            </w:r>
          </w:p>
        </w:tc>
        <w:tc>
          <w:tcPr>
            <w:tcW w:w="2015" w:type="dxa"/>
            <w:shd w:val="clear" w:color="auto" w:fill="D9E2F3"/>
            <w:vAlign w:val="center"/>
          </w:tcPr>
          <w:p w14:paraId="398D188A" w14:textId="77777777" w:rsidR="00990B14" w:rsidRDefault="00000000">
            <w:pPr>
              <w:spacing w:before="20" w:after="20"/>
              <w:jc w:val="both"/>
            </w:pPr>
            <w:r>
              <w:rPr>
                <w:sz w:val="18"/>
                <w:szCs w:val="18"/>
              </w:rPr>
              <w:t>Expone todas las operaciones correctamente, con saldos que cuadran.</w:t>
            </w:r>
          </w:p>
        </w:tc>
      </w:tr>
      <w:tr w:rsidR="00990B14" w14:paraId="711F943C" w14:textId="77777777">
        <w:trPr>
          <w:cantSplit/>
          <w:jc w:val="center"/>
        </w:trPr>
        <w:tc>
          <w:tcPr>
            <w:tcW w:w="1715" w:type="dxa"/>
            <w:vMerge/>
            <w:shd w:val="clear" w:color="auto" w:fill="4472C4"/>
            <w:vAlign w:val="center"/>
          </w:tcPr>
          <w:p w14:paraId="33E6F9C0" w14:textId="77777777" w:rsidR="00990B14" w:rsidRDefault="00990B14">
            <w:pPr>
              <w:spacing w:before="20" w:after="20"/>
            </w:pPr>
          </w:p>
        </w:tc>
        <w:tc>
          <w:tcPr>
            <w:tcW w:w="5675" w:type="dxa"/>
            <w:gridSpan w:val="3"/>
            <w:shd w:val="clear" w:color="auto" w:fill="D9E2F3"/>
            <w:vAlign w:val="center"/>
          </w:tcPr>
          <w:p w14:paraId="3F0802E8" w14:textId="77777777" w:rsidR="00990B14" w:rsidRDefault="00000000">
            <w:pPr>
              <w:keepNext/>
              <w:spacing w:before="20" w:after="20"/>
              <w:jc w:val="both"/>
            </w:pPr>
            <w:r>
              <w:rPr>
                <w:b/>
                <w:bCs/>
                <w:i/>
                <w:iCs/>
                <w:sz w:val="18"/>
                <w:szCs w:val="18"/>
              </w:rPr>
              <w:t xml:space="preserve">Producto 11: </w:t>
            </w:r>
            <w:r>
              <w:rPr>
                <w:sz w:val="18"/>
                <w:szCs w:val="18"/>
              </w:rPr>
              <w:t>Tratamiento contable de los créditos con recursos de entidades financieras, con su exposición en los estados financieros</w:t>
            </w:r>
          </w:p>
        </w:tc>
        <w:tc>
          <w:tcPr>
            <w:tcW w:w="2015" w:type="dxa"/>
            <w:shd w:val="clear" w:color="auto" w:fill="D9E2F3"/>
            <w:vAlign w:val="center"/>
          </w:tcPr>
          <w:p w14:paraId="3164550D" w14:textId="77777777" w:rsidR="00990B14" w:rsidRDefault="00000000">
            <w:pPr>
              <w:spacing w:before="20" w:after="20"/>
              <w:jc w:val="center"/>
            </w:pPr>
            <w:r>
              <w:rPr>
                <w:b/>
                <w:bCs/>
                <w:sz w:val="18"/>
                <w:szCs w:val="18"/>
              </w:rPr>
              <w:t>7%</w:t>
            </w:r>
          </w:p>
        </w:tc>
      </w:tr>
      <w:tr w:rsidR="00990B14" w14:paraId="5F5A471A" w14:textId="77777777">
        <w:trPr>
          <w:cantSplit/>
          <w:jc w:val="center"/>
        </w:trPr>
        <w:tc>
          <w:tcPr>
            <w:tcW w:w="1715" w:type="dxa"/>
            <w:vMerge/>
            <w:shd w:val="clear" w:color="auto" w:fill="4472C4"/>
            <w:vAlign w:val="center"/>
          </w:tcPr>
          <w:p w14:paraId="6386AAB2" w14:textId="77777777" w:rsidR="00990B14" w:rsidRDefault="00990B14">
            <w:pPr>
              <w:spacing w:before="20" w:after="20"/>
            </w:pPr>
          </w:p>
        </w:tc>
        <w:tc>
          <w:tcPr>
            <w:tcW w:w="1750" w:type="dxa"/>
            <w:shd w:val="clear" w:color="auto" w:fill="4472C4"/>
            <w:vAlign w:val="center"/>
          </w:tcPr>
          <w:p w14:paraId="404F53E4"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3E523AE1"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73A99689"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4C010CF1" w14:textId="77777777" w:rsidR="00990B14" w:rsidRDefault="00000000">
            <w:pPr>
              <w:keepNext/>
              <w:spacing w:before="20" w:after="20"/>
              <w:jc w:val="center"/>
            </w:pPr>
            <w:r>
              <w:rPr>
                <w:b/>
                <w:bCs/>
                <w:i/>
                <w:iCs/>
                <w:color w:val="FFFFFF"/>
                <w:sz w:val="18"/>
                <w:szCs w:val="18"/>
              </w:rPr>
              <w:t>Destacado (81–100)</w:t>
            </w:r>
          </w:p>
        </w:tc>
      </w:tr>
      <w:tr w:rsidR="00990B14" w14:paraId="090F53AF" w14:textId="77777777">
        <w:trPr>
          <w:cantSplit/>
          <w:jc w:val="center"/>
        </w:trPr>
        <w:tc>
          <w:tcPr>
            <w:tcW w:w="1715" w:type="dxa"/>
            <w:vMerge/>
            <w:shd w:val="clear" w:color="auto" w:fill="4472C4"/>
            <w:vAlign w:val="center"/>
          </w:tcPr>
          <w:p w14:paraId="25668A36" w14:textId="77777777" w:rsidR="00990B14" w:rsidRDefault="00990B14">
            <w:pPr>
              <w:spacing w:before="20" w:after="20"/>
            </w:pPr>
          </w:p>
        </w:tc>
        <w:tc>
          <w:tcPr>
            <w:tcW w:w="1750" w:type="dxa"/>
            <w:shd w:val="clear" w:color="auto" w:fill="D9E2F3"/>
            <w:vAlign w:val="center"/>
          </w:tcPr>
          <w:p w14:paraId="69D10452" w14:textId="77777777" w:rsidR="00990B14" w:rsidRDefault="00000000">
            <w:pPr>
              <w:spacing w:before="20" w:after="20"/>
              <w:jc w:val="both"/>
            </w:pPr>
            <w:r>
              <w:rPr>
                <w:sz w:val="18"/>
                <w:szCs w:val="18"/>
              </w:rPr>
              <w:t>Obligación y desembolso</w:t>
            </w:r>
          </w:p>
        </w:tc>
        <w:tc>
          <w:tcPr>
            <w:tcW w:w="2015" w:type="dxa"/>
            <w:shd w:val="clear" w:color="auto" w:fill="D9E2F3"/>
            <w:vAlign w:val="center"/>
          </w:tcPr>
          <w:p w14:paraId="129F9B4D" w14:textId="77777777" w:rsidR="00990B14" w:rsidRDefault="00000000">
            <w:pPr>
              <w:spacing w:before="20" w:after="20"/>
              <w:jc w:val="both"/>
            </w:pPr>
            <w:r>
              <w:rPr>
                <w:sz w:val="18"/>
                <w:szCs w:val="18"/>
              </w:rPr>
              <w:t>Omite operaciones o registra incorrectamente la obligación y el desembolso del crédito con recursos de segundo piso.</w:t>
            </w:r>
          </w:p>
        </w:tc>
        <w:tc>
          <w:tcPr>
            <w:tcW w:w="1910" w:type="dxa"/>
            <w:shd w:val="clear" w:color="auto" w:fill="D9E2F3"/>
            <w:vAlign w:val="center"/>
          </w:tcPr>
          <w:p w14:paraId="1015A6D4" w14:textId="77777777" w:rsidR="00990B14" w:rsidRDefault="00000000">
            <w:pPr>
              <w:spacing w:before="20" w:after="20"/>
              <w:jc w:val="both"/>
            </w:pPr>
            <w:r>
              <w:rPr>
                <w:sz w:val="18"/>
                <w:szCs w:val="18"/>
              </w:rPr>
              <w:t>Registra la obligación y el desembolso del crédito con recursos de segundo piso con errores menores.</w:t>
            </w:r>
          </w:p>
        </w:tc>
        <w:tc>
          <w:tcPr>
            <w:tcW w:w="2015" w:type="dxa"/>
            <w:shd w:val="clear" w:color="auto" w:fill="D9E2F3"/>
            <w:vAlign w:val="center"/>
          </w:tcPr>
          <w:p w14:paraId="29ADBBEE" w14:textId="77777777" w:rsidR="00990B14" w:rsidRDefault="00000000">
            <w:pPr>
              <w:spacing w:before="20" w:after="20"/>
              <w:jc w:val="both"/>
            </w:pPr>
            <w:r>
              <w:rPr>
                <w:sz w:val="18"/>
                <w:szCs w:val="18"/>
              </w:rPr>
              <w:t>Registra la obligación y el desembolso del crédito con recursos de segundo piso correctamente, con asientos y respaldos completos.</w:t>
            </w:r>
          </w:p>
        </w:tc>
      </w:tr>
      <w:tr w:rsidR="00990B14" w14:paraId="7AD01995" w14:textId="77777777">
        <w:trPr>
          <w:cantSplit/>
          <w:jc w:val="center"/>
        </w:trPr>
        <w:tc>
          <w:tcPr>
            <w:tcW w:w="1715" w:type="dxa"/>
            <w:vMerge/>
            <w:shd w:val="clear" w:color="auto" w:fill="4472C4"/>
            <w:vAlign w:val="center"/>
          </w:tcPr>
          <w:p w14:paraId="2C0A1939" w14:textId="77777777" w:rsidR="00990B14" w:rsidRDefault="00990B14">
            <w:pPr>
              <w:spacing w:before="20" w:after="20"/>
            </w:pPr>
          </w:p>
        </w:tc>
        <w:tc>
          <w:tcPr>
            <w:tcW w:w="1750" w:type="dxa"/>
            <w:shd w:val="clear" w:color="auto" w:fill="D9E2F3"/>
            <w:vAlign w:val="center"/>
          </w:tcPr>
          <w:p w14:paraId="1A765F79" w14:textId="77777777" w:rsidR="00990B14" w:rsidRDefault="00000000">
            <w:pPr>
              <w:spacing w:before="20" w:after="20"/>
              <w:jc w:val="both"/>
            </w:pPr>
            <w:r>
              <w:rPr>
                <w:sz w:val="18"/>
                <w:szCs w:val="18"/>
              </w:rPr>
              <w:t>Devengamiento y cancelación</w:t>
            </w:r>
          </w:p>
        </w:tc>
        <w:tc>
          <w:tcPr>
            <w:tcW w:w="2015" w:type="dxa"/>
            <w:shd w:val="clear" w:color="auto" w:fill="D9E2F3"/>
            <w:vAlign w:val="center"/>
          </w:tcPr>
          <w:p w14:paraId="4A396E89" w14:textId="77777777" w:rsidR="00990B14" w:rsidRDefault="00000000">
            <w:pPr>
              <w:spacing w:before="20" w:after="20"/>
              <w:jc w:val="both"/>
            </w:pPr>
            <w:r>
              <w:rPr>
                <w:sz w:val="18"/>
                <w:szCs w:val="18"/>
              </w:rPr>
              <w:t>El cálculo de los intereses devengados y la cancelación de la obligación es incorrecto o está incompleto.</w:t>
            </w:r>
          </w:p>
        </w:tc>
        <w:tc>
          <w:tcPr>
            <w:tcW w:w="1910" w:type="dxa"/>
            <w:shd w:val="clear" w:color="auto" w:fill="D9E2F3"/>
            <w:vAlign w:val="center"/>
          </w:tcPr>
          <w:p w14:paraId="185265D9" w14:textId="77777777" w:rsidR="00990B14" w:rsidRDefault="00000000">
            <w:pPr>
              <w:spacing w:before="20" w:after="20"/>
              <w:jc w:val="both"/>
            </w:pPr>
            <w:r>
              <w:rPr>
                <w:sz w:val="18"/>
                <w:szCs w:val="18"/>
              </w:rPr>
              <w:t>Calcula los intereses devengados y la cancelación de la obligación con diferencias menores.</w:t>
            </w:r>
          </w:p>
        </w:tc>
        <w:tc>
          <w:tcPr>
            <w:tcW w:w="2015" w:type="dxa"/>
            <w:shd w:val="clear" w:color="auto" w:fill="D9E2F3"/>
            <w:vAlign w:val="center"/>
          </w:tcPr>
          <w:p w14:paraId="2C19F4C6" w14:textId="77777777" w:rsidR="00990B14" w:rsidRDefault="00000000">
            <w:pPr>
              <w:spacing w:before="20" w:after="20"/>
              <w:jc w:val="both"/>
            </w:pPr>
            <w:r>
              <w:rPr>
                <w:sz w:val="18"/>
                <w:szCs w:val="18"/>
              </w:rPr>
              <w:t>Calcula los intereses devengados y la cancelación de la obligación con exactitud y explica el procedimiento.</w:t>
            </w:r>
          </w:p>
        </w:tc>
      </w:tr>
      <w:tr w:rsidR="00990B14" w14:paraId="2F2FB9DC" w14:textId="77777777">
        <w:trPr>
          <w:cantSplit/>
          <w:jc w:val="center"/>
        </w:trPr>
        <w:tc>
          <w:tcPr>
            <w:tcW w:w="1715" w:type="dxa"/>
            <w:vMerge/>
            <w:shd w:val="clear" w:color="auto" w:fill="4472C4"/>
            <w:vAlign w:val="center"/>
          </w:tcPr>
          <w:p w14:paraId="1C72582D" w14:textId="77777777" w:rsidR="00990B14" w:rsidRDefault="00990B14">
            <w:pPr>
              <w:spacing w:before="20" w:after="20"/>
            </w:pPr>
          </w:p>
        </w:tc>
        <w:tc>
          <w:tcPr>
            <w:tcW w:w="1750" w:type="dxa"/>
            <w:shd w:val="clear" w:color="auto" w:fill="D9E2F3"/>
            <w:vAlign w:val="center"/>
          </w:tcPr>
          <w:p w14:paraId="69AD7150" w14:textId="77777777" w:rsidR="00990B14" w:rsidRDefault="00000000">
            <w:pPr>
              <w:spacing w:before="20" w:after="20"/>
              <w:jc w:val="both"/>
            </w:pPr>
            <w:r>
              <w:rPr>
                <w:sz w:val="18"/>
                <w:szCs w:val="18"/>
              </w:rPr>
              <w:t>Exposición en los estados financieros</w:t>
            </w:r>
          </w:p>
        </w:tc>
        <w:tc>
          <w:tcPr>
            <w:tcW w:w="2015" w:type="dxa"/>
            <w:shd w:val="clear" w:color="auto" w:fill="D9E2F3"/>
            <w:vAlign w:val="center"/>
          </w:tcPr>
          <w:p w14:paraId="3DE10864" w14:textId="77777777" w:rsidR="00990B14" w:rsidRDefault="00000000">
            <w:pPr>
              <w:spacing w:before="20" w:after="20"/>
              <w:jc w:val="both"/>
            </w:pPr>
            <w:r>
              <w:rPr>
                <w:sz w:val="18"/>
                <w:szCs w:val="18"/>
              </w:rPr>
              <w:t>No expone las operaciones o las expone con errores graves.</w:t>
            </w:r>
          </w:p>
        </w:tc>
        <w:tc>
          <w:tcPr>
            <w:tcW w:w="1910" w:type="dxa"/>
            <w:shd w:val="clear" w:color="auto" w:fill="D9E2F3"/>
            <w:vAlign w:val="center"/>
          </w:tcPr>
          <w:p w14:paraId="7D0BC79B" w14:textId="77777777" w:rsidR="00990B14" w:rsidRDefault="00000000">
            <w:pPr>
              <w:spacing w:before="20" w:after="20"/>
              <w:jc w:val="both"/>
            </w:pPr>
            <w:r>
              <w:rPr>
                <w:sz w:val="18"/>
                <w:szCs w:val="18"/>
              </w:rPr>
              <w:t>Expone las operaciones en los estados financieros con errores menores.</w:t>
            </w:r>
          </w:p>
        </w:tc>
        <w:tc>
          <w:tcPr>
            <w:tcW w:w="2015" w:type="dxa"/>
            <w:shd w:val="clear" w:color="auto" w:fill="D9E2F3"/>
            <w:vAlign w:val="center"/>
          </w:tcPr>
          <w:p w14:paraId="47F578FF" w14:textId="77777777" w:rsidR="00990B14" w:rsidRDefault="00000000">
            <w:pPr>
              <w:spacing w:before="20" w:after="20"/>
              <w:jc w:val="both"/>
            </w:pPr>
            <w:r>
              <w:rPr>
                <w:sz w:val="18"/>
                <w:szCs w:val="18"/>
              </w:rPr>
              <w:t>Expone todas las operaciones correctamente, con saldos que cuadran.</w:t>
            </w:r>
          </w:p>
        </w:tc>
      </w:tr>
      <w:tr w:rsidR="00990B14" w14:paraId="11091DE9" w14:textId="77777777">
        <w:trPr>
          <w:cantSplit/>
          <w:jc w:val="center"/>
        </w:trPr>
        <w:tc>
          <w:tcPr>
            <w:tcW w:w="1715" w:type="dxa"/>
            <w:vMerge/>
            <w:shd w:val="clear" w:color="auto" w:fill="4472C4"/>
            <w:vAlign w:val="center"/>
          </w:tcPr>
          <w:p w14:paraId="54FA03FD" w14:textId="77777777" w:rsidR="00990B14" w:rsidRDefault="00990B14">
            <w:pPr>
              <w:spacing w:before="20" w:after="20"/>
            </w:pPr>
          </w:p>
        </w:tc>
        <w:tc>
          <w:tcPr>
            <w:tcW w:w="5675" w:type="dxa"/>
            <w:gridSpan w:val="3"/>
            <w:shd w:val="clear" w:color="auto" w:fill="D9E2F3"/>
            <w:vAlign w:val="center"/>
          </w:tcPr>
          <w:p w14:paraId="1677DD4D" w14:textId="77777777" w:rsidR="00990B14" w:rsidRDefault="00000000">
            <w:pPr>
              <w:keepNext/>
              <w:spacing w:before="20" w:after="20"/>
              <w:jc w:val="both"/>
            </w:pPr>
            <w:r>
              <w:rPr>
                <w:b/>
                <w:bCs/>
                <w:i/>
                <w:iCs/>
                <w:sz w:val="18"/>
                <w:szCs w:val="18"/>
              </w:rPr>
              <w:t xml:space="preserve">Producto 12: </w:t>
            </w:r>
            <w:r>
              <w:rPr>
                <w:sz w:val="18"/>
                <w:szCs w:val="18"/>
              </w:rPr>
              <w:t>Tratamiento contable de la cartera en ejecución y de su recuperación mediante la adjudicación de bienes, con su exposición en los estados financieros</w:t>
            </w:r>
          </w:p>
        </w:tc>
        <w:tc>
          <w:tcPr>
            <w:tcW w:w="2015" w:type="dxa"/>
            <w:shd w:val="clear" w:color="auto" w:fill="D9E2F3"/>
            <w:vAlign w:val="center"/>
          </w:tcPr>
          <w:p w14:paraId="0F718507" w14:textId="77777777" w:rsidR="00990B14" w:rsidRDefault="00000000">
            <w:pPr>
              <w:spacing w:before="20" w:after="20"/>
              <w:jc w:val="center"/>
            </w:pPr>
            <w:r>
              <w:rPr>
                <w:b/>
                <w:bCs/>
                <w:sz w:val="18"/>
                <w:szCs w:val="18"/>
              </w:rPr>
              <w:t>8%</w:t>
            </w:r>
          </w:p>
        </w:tc>
      </w:tr>
      <w:tr w:rsidR="00990B14" w14:paraId="3913DC4D" w14:textId="77777777">
        <w:trPr>
          <w:cantSplit/>
          <w:jc w:val="center"/>
        </w:trPr>
        <w:tc>
          <w:tcPr>
            <w:tcW w:w="1715" w:type="dxa"/>
            <w:vMerge/>
            <w:shd w:val="clear" w:color="auto" w:fill="4472C4"/>
            <w:vAlign w:val="center"/>
          </w:tcPr>
          <w:p w14:paraId="25CD283F" w14:textId="77777777" w:rsidR="00990B14" w:rsidRDefault="00990B14">
            <w:pPr>
              <w:spacing w:before="20" w:after="20"/>
            </w:pPr>
          </w:p>
        </w:tc>
        <w:tc>
          <w:tcPr>
            <w:tcW w:w="1750" w:type="dxa"/>
            <w:shd w:val="clear" w:color="auto" w:fill="4472C4"/>
            <w:vAlign w:val="center"/>
          </w:tcPr>
          <w:p w14:paraId="4A8DBFFE"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3B0B5B93"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3DC4EA3F"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465B568B" w14:textId="77777777" w:rsidR="00990B14" w:rsidRDefault="00000000">
            <w:pPr>
              <w:keepNext/>
              <w:spacing w:before="20" w:after="20"/>
              <w:jc w:val="center"/>
            </w:pPr>
            <w:r>
              <w:rPr>
                <w:b/>
                <w:bCs/>
                <w:i/>
                <w:iCs/>
                <w:color w:val="FFFFFF"/>
                <w:sz w:val="18"/>
                <w:szCs w:val="18"/>
              </w:rPr>
              <w:t>Destacado (81–100)</w:t>
            </w:r>
          </w:p>
        </w:tc>
      </w:tr>
      <w:tr w:rsidR="00990B14" w14:paraId="5C205B97" w14:textId="77777777">
        <w:trPr>
          <w:cantSplit/>
          <w:jc w:val="center"/>
        </w:trPr>
        <w:tc>
          <w:tcPr>
            <w:tcW w:w="1715" w:type="dxa"/>
            <w:vMerge/>
            <w:shd w:val="clear" w:color="auto" w:fill="4472C4"/>
            <w:vAlign w:val="center"/>
          </w:tcPr>
          <w:p w14:paraId="49F74C97" w14:textId="77777777" w:rsidR="00990B14" w:rsidRDefault="00990B14">
            <w:pPr>
              <w:spacing w:before="20" w:after="20"/>
            </w:pPr>
          </w:p>
        </w:tc>
        <w:tc>
          <w:tcPr>
            <w:tcW w:w="1750" w:type="dxa"/>
            <w:shd w:val="clear" w:color="auto" w:fill="D9E2F3"/>
            <w:vAlign w:val="center"/>
          </w:tcPr>
          <w:p w14:paraId="2F4215CC" w14:textId="77777777" w:rsidR="00990B14" w:rsidRDefault="00000000">
            <w:pPr>
              <w:spacing w:before="20" w:after="20"/>
              <w:jc w:val="both"/>
            </w:pPr>
            <w:r>
              <w:rPr>
                <w:sz w:val="18"/>
                <w:szCs w:val="18"/>
              </w:rPr>
              <w:t>Cartera en ejecución</w:t>
            </w:r>
          </w:p>
        </w:tc>
        <w:tc>
          <w:tcPr>
            <w:tcW w:w="2015" w:type="dxa"/>
            <w:shd w:val="clear" w:color="auto" w:fill="D9E2F3"/>
            <w:vAlign w:val="center"/>
          </w:tcPr>
          <w:p w14:paraId="154AFDE4" w14:textId="77777777" w:rsidR="00990B14" w:rsidRDefault="00000000">
            <w:pPr>
              <w:spacing w:before="20" w:after="20"/>
              <w:jc w:val="both"/>
            </w:pPr>
            <w:r>
              <w:rPr>
                <w:sz w:val="18"/>
                <w:szCs w:val="18"/>
              </w:rPr>
              <w:t>Omite operaciones o registra incorrectamente el traspaso, la previsión y la recuperación de la cartera en ejecución.</w:t>
            </w:r>
          </w:p>
        </w:tc>
        <w:tc>
          <w:tcPr>
            <w:tcW w:w="1910" w:type="dxa"/>
            <w:shd w:val="clear" w:color="auto" w:fill="D9E2F3"/>
            <w:vAlign w:val="center"/>
          </w:tcPr>
          <w:p w14:paraId="78FAD1F1" w14:textId="77777777" w:rsidR="00990B14" w:rsidRDefault="00000000">
            <w:pPr>
              <w:spacing w:before="20" w:after="20"/>
              <w:jc w:val="both"/>
            </w:pPr>
            <w:r>
              <w:rPr>
                <w:sz w:val="18"/>
                <w:szCs w:val="18"/>
              </w:rPr>
              <w:t>Registra el traspaso, la previsión y la recuperación de la cartera en ejecución con errores menores.</w:t>
            </w:r>
          </w:p>
        </w:tc>
        <w:tc>
          <w:tcPr>
            <w:tcW w:w="2015" w:type="dxa"/>
            <w:shd w:val="clear" w:color="auto" w:fill="D9E2F3"/>
            <w:vAlign w:val="center"/>
          </w:tcPr>
          <w:p w14:paraId="4954FAA5" w14:textId="77777777" w:rsidR="00990B14" w:rsidRDefault="00000000">
            <w:pPr>
              <w:spacing w:before="20" w:after="20"/>
              <w:jc w:val="both"/>
            </w:pPr>
            <w:r>
              <w:rPr>
                <w:sz w:val="18"/>
                <w:szCs w:val="18"/>
              </w:rPr>
              <w:t>Registra el traspaso, la previsión y la recuperación de la cartera en ejecución correctamente, con asientos y respaldos completos.</w:t>
            </w:r>
          </w:p>
        </w:tc>
      </w:tr>
      <w:tr w:rsidR="00990B14" w14:paraId="5B9443A4" w14:textId="77777777">
        <w:trPr>
          <w:cantSplit/>
          <w:jc w:val="center"/>
        </w:trPr>
        <w:tc>
          <w:tcPr>
            <w:tcW w:w="1715" w:type="dxa"/>
            <w:vMerge/>
            <w:shd w:val="clear" w:color="auto" w:fill="4472C4"/>
            <w:vAlign w:val="center"/>
          </w:tcPr>
          <w:p w14:paraId="60668CEA" w14:textId="77777777" w:rsidR="00990B14" w:rsidRDefault="00990B14">
            <w:pPr>
              <w:spacing w:before="20" w:after="20"/>
            </w:pPr>
          </w:p>
        </w:tc>
        <w:tc>
          <w:tcPr>
            <w:tcW w:w="1750" w:type="dxa"/>
            <w:shd w:val="clear" w:color="auto" w:fill="D9E2F3"/>
            <w:vAlign w:val="center"/>
          </w:tcPr>
          <w:p w14:paraId="5938DDC6" w14:textId="77777777" w:rsidR="00990B14" w:rsidRDefault="00000000">
            <w:pPr>
              <w:spacing w:before="20" w:after="20"/>
              <w:jc w:val="both"/>
            </w:pPr>
            <w:r>
              <w:rPr>
                <w:sz w:val="18"/>
                <w:szCs w:val="18"/>
              </w:rPr>
              <w:t>Adjudicación de bienes por vía legal</w:t>
            </w:r>
          </w:p>
        </w:tc>
        <w:tc>
          <w:tcPr>
            <w:tcW w:w="2015" w:type="dxa"/>
            <w:shd w:val="clear" w:color="auto" w:fill="D9E2F3"/>
            <w:vAlign w:val="center"/>
          </w:tcPr>
          <w:p w14:paraId="75A0DCED" w14:textId="77777777" w:rsidR="00990B14" w:rsidRDefault="00000000">
            <w:pPr>
              <w:spacing w:before="20" w:after="20"/>
              <w:jc w:val="both"/>
            </w:pPr>
            <w:r>
              <w:rPr>
                <w:sz w:val="18"/>
                <w:szCs w:val="18"/>
              </w:rPr>
              <w:t>Omite operaciones o registra incorrectamente la adjudicación de bienes, su previsión y su enajenación.</w:t>
            </w:r>
          </w:p>
        </w:tc>
        <w:tc>
          <w:tcPr>
            <w:tcW w:w="1910" w:type="dxa"/>
            <w:shd w:val="clear" w:color="auto" w:fill="D9E2F3"/>
            <w:vAlign w:val="center"/>
          </w:tcPr>
          <w:p w14:paraId="374874CC" w14:textId="77777777" w:rsidR="00990B14" w:rsidRDefault="00000000">
            <w:pPr>
              <w:spacing w:before="20" w:after="20"/>
              <w:jc w:val="both"/>
            </w:pPr>
            <w:r>
              <w:rPr>
                <w:sz w:val="18"/>
                <w:szCs w:val="18"/>
              </w:rPr>
              <w:t>Registra la adjudicación de bienes, su previsión y su enajenación con errores menores.</w:t>
            </w:r>
          </w:p>
        </w:tc>
        <w:tc>
          <w:tcPr>
            <w:tcW w:w="2015" w:type="dxa"/>
            <w:shd w:val="clear" w:color="auto" w:fill="D9E2F3"/>
            <w:vAlign w:val="center"/>
          </w:tcPr>
          <w:p w14:paraId="71B583F5" w14:textId="77777777" w:rsidR="00990B14" w:rsidRDefault="00000000">
            <w:pPr>
              <w:spacing w:before="20" w:after="20"/>
              <w:jc w:val="both"/>
            </w:pPr>
            <w:r>
              <w:rPr>
                <w:sz w:val="18"/>
                <w:szCs w:val="18"/>
              </w:rPr>
              <w:t>Registra la adjudicación de bienes, su previsión y su enajenación correctamente, con asientos y respaldos completos.</w:t>
            </w:r>
          </w:p>
        </w:tc>
      </w:tr>
      <w:tr w:rsidR="00990B14" w14:paraId="40C16B75" w14:textId="77777777">
        <w:trPr>
          <w:cantSplit/>
          <w:jc w:val="center"/>
        </w:trPr>
        <w:tc>
          <w:tcPr>
            <w:tcW w:w="1715" w:type="dxa"/>
            <w:vMerge/>
            <w:shd w:val="clear" w:color="auto" w:fill="4472C4"/>
            <w:vAlign w:val="center"/>
          </w:tcPr>
          <w:p w14:paraId="61F3CB4F" w14:textId="77777777" w:rsidR="00990B14" w:rsidRDefault="00990B14">
            <w:pPr>
              <w:spacing w:before="20" w:after="20"/>
            </w:pPr>
          </w:p>
        </w:tc>
        <w:tc>
          <w:tcPr>
            <w:tcW w:w="1750" w:type="dxa"/>
            <w:shd w:val="clear" w:color="auto" w:fill="D9E2F3"/>
            <w:vAlign w:val="center"/>
          </w:tcPr>
          <w:p w14:paraId="60CB82A5" w14:textId="77777777" w:rsidR="00990B14" w:rsidRDefault="00000000">
            <w:pPr>
              <w:spacing w:before="20" w:after="20"/>
              <w:jc w:val="both"/>
            </w:pPr>
            <w:r>
              <w:rPr>
                <w:sz w:val="18"/>
                <w:szCs w:val="18"/>
              </w:rPr>
              <w:t>Exposición en los estados financieros</w:t>
            </w:r>
          </w:p>
        </w:tc>
        <w:tc>
          <w:tcPr>
            <w:tcW w:w="2015" w:type="dxa"/>
            <w:shd w:val="clear" w:color="auto" w:fill="D9E2F3"/>
            <w:vAlign w:val="center"/>
          </w:tcPr>
          <w:p w14:paraId="7A5FD1D3" w14:textId="77777777" w:rsidR="00990B14" w:rsidRDefault="00000000">
            <w:pPr>
              <w:spacing w:before="20" w:after="20"/>
              <w:jc w:val="both"/>
            </w:pPr>
            <w:r>
              <w:rPr>
                <w:sz w:val="18"/>
                <w:szCs w:val="18"/>
              </w:rPr>
              <w:t>No expone las operaciones o las expone con errores graves.</w:t>
            </w:r>
          </w:p>
        </w:tc>
        <w:tc>
          <w:tcPr>
            <w:tcW w:w="1910" w:type="dxa"/>
            <w:shd w:val="clear" w:color="auto" w:fill="D9E2F3"/>
            <w:vAlign w:val="center"/>
          </w:tcPr>
          <w:p w14:paraId="49017C58" w14:textId="77777777" w:rsidR="00990B14" w:rsidRDefault="00000000">
            <w:pPr>
              <w:spacing w:before="20" w:after="20"/>
              <w:jc w:val="both"/>
            </w:pPr>
            <w:r>
              <w:rPr>
                <w:sz w:val="18"/>
                <w:szCs w:val="18"/>
              </w:rPr>
              <w:t>Expone las operaciones en los estados financieros con errores menores.</w:t>
            </w:r>
          </w:p>
        </w:tc>
        <w:tc>
          <w:tcPr>
            <w:tcW w:w="2015" w:type="dxa"/>
            <w:shd w:val="clear" w:color="auto" w:fill="D9E2F3"/>
            <w:vAlign w:val="center"/>
          </w:tcPr>
          <w:p w14:paraId="590C1D00" w14:textId="77777777" w:rsidR="00990B14" w:rsidRDefault="00000000">
            <w:pPr>
              <w:spacing w:before="20" w:after="20"/>
              <w:jc w:val="both"/>
            </w:pPr>
            <w:r>
              <w:rPr>
                <w:sz w:val="18"/>
                <w:szCs w:val="18"/>
              </w:rPr>
              <w:t>Expone todas las operaciones correctamente, con saldos que cuadran.</w:t>
            </w:r>
          </w:p>
        </w:tc>
      </w:tr>
      <w:tr w:rsidR="00990B14" w14:paraId="359B40BC" w14:textId="77777777">
        <w:trPr>
          <w:cantSplit/>
          <w:jc w:val="center"/>
        </w:trPr>
        <w:tc>
          <w:tcPr>
            <w:tcW w:w="1715" w:type="dxa"/>
            <w:vMerge/>
            <w:shd w:val="clear" w:color="auto" w:fill="4472C4"/>
            <w:vAlign w:val="center"/>
          </w:tcPr>
          <w:p w14:paraId="574434E7" w14:textId="77777777" w:rsidR="00990B14" w:rsidRDefault="00990B14">
            <w:pPr>
              <w:spacing w:before="20" w:after="20"/>
            </w:pPr>
          </w:p>
        </w:tc>
        <w:tc>
          <w:tcPr>
            <w:tcW w:w="5675" w:type="dxa"/>
            <w:gridSpan w:val="3"/>
            <w:shd w:val="clear" w:color="auto" w:fill="D9E2F3"/>
            <w:vAlign w:val="center"/>
          </w:tcPr>
          <w:p w14:paraId="6EAE741B" w14:textId="77777777" w:rsidR="00990B14" w:rsidRDefault="00000000">
            <w:pPr>
              <w:keepNext/>
              <w:spacing w:before="20" w:after="20"/>
              <w:jc w:val="both"/>
            </w:pPr>
            <w:r>
              <w:rPr>
                <w:b/>
                <w:bCs/>
                <w:i/>
                <w:iCs/>
                <w:sz w:val="18"/>
                <w:szCs w:val="18"/>
              </w:rPr>
              <w:t xml:space="preserve">Producto 13: </w:t>
            </w:r>
            <w:r>
              <w:rPr>
                <w:sz w:val="18"/>
                <w:szCs w:val="18"/>
              </w:rPr>
              <w:t>Cuadro de clasificación de los instrumentos financieros de renta fija y de renta variable</w:t>
            </w:r>
          </w:p>
        </w:tc>
        <w:tc>
          <w:tcPr>
            <w:tcW w:w="2015" w:type="dxa"/>
            <w:shd w:val="clear" w:color="auto" w:fill="D9E2F3"/>
            <w:vAlign w:val="center"/>
          </w:tcPr>
          <w:p w14:paraId="35A9291E" w14:textId="77777777" w:rsidR="00990B14" w:rsidRDefault="00000000">
            <w:pPr>
              <w:spacing w:before="20" w:after="20"/>
              <w:jc w:val="center"/>
            </w:pPr>
            <w:r>
              <w:rPr>
                <w:b/>
                <w:bCs/>
                <w:sz w:val="18"/>
                <w:szCs w:val="18"/>
              </w:rPr>
              <w:t>2%</w:t>
            </w:r>
          </w:p>
        </w:tc>
      </w:tr>
      <w:tr w:rsidR="00990B14" w14:paraId="749785C0" w14:textId="77777777">
        <w:trPr>
          <w:cantSplit/>
          <w:jc w:val="center"/>
        </w:trPr>
        <w:tc>
          <w:tcPr>
            <w:tcW w:w="1715" w:type="dxa"/>
            <w:vMerge/>
            <w:shd w:val="clear" w:color="auto" w:fill="4472C4"/>
            <w:vAlign w:val="center"/>
          </w:tcPr>
          <w:p w14:paraId="200F4829" w14:textId="77777777" w:rsidR="00990B14" w:rsidRDefault="00990B14">
            <w:pPr>
              <w:spacing w:before="20" w:after="20"/>
            </w:pPr>
          </w:p>
        </w:tc>
        <w:tc>
          <w:tcPr>
            <w:tcW w:w="1750" w:type="dxa"/>
            <w:shd w:val="clear" w:color="auto" w:fill="4472C4"/>
            <w:vAlign w:val="center"/>
          </w:tcPr>
          <w:p w14:paraId="05501AE6"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6D24A066"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312A67C2"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42DB5D4F" w14:textId="77777777" w:rsidR="00990B14" w:rsidRDefault="00000000">
            <w:pPr>
              <w:keepNext/>
              <w:spacing w:before="20" w:after="20"/>
              <w:jc w:val="center"/>
            </w:pPr>
            <w:r>
              <w:rPr>
                <w:b/>
                <w:bCs/>
                <w:i/>
                <w:iCs/>
                <w:color w:val="FFFFFF"/>
                <w:sz w:val="18"/>
                <w:szCs w:val="18"/>
              </w:rPr>
              <w:t>Destacado (81–100)</w:t>
            </w:r>
          </w:p>
        </w:tc>
      </w:tr>
      <w:tr w:rsidR="00990B14" w14:paraId="26338779" w14:textId="77777777">
        <w:trPr>
          <w:cantSplit/>
          <w:jc w:val="center"/>
        </w:trPr>
        <w:tc>
          <w:tcPr>
            <w:tcW w:w="1715" w:type="dxa"/>
            <w:vMerge/>
            <w:shd w:val="clear" w:color="auto" w:fill="4472C4"/>
            <w:vAlign w:val="center"/>
          </w:tcPr>
          <w:p w14:paraId="73F2FFB9" w14:textId="77777777" w:rsidR="00990B14" w:rsidRDefault="00990B14">
            <w:pPr>
              <w:spacing w:before="20" w:after="20"/>
            </w:pPr>
          </w:p>
        </w:tc>
        <w:tc>
          <w:tcPr>
            <w:tcW w:w="1750" w:type="dxa"/>
            <w:shd w:val="clear" w:color="auto" w:fill="D9E2F3"/>
            <w:vAlign w:val="center"/>
          </w:tcPr>
          <w:p w14:paraId="4C49487A" w14:textId="77777777" w:rsidR="00990B14" w:rsidRDefault="00000000">
            <w:pPr>
              <w:spacing w:before="20" w:after="20"/>
              <w:jc w:val="both"/>
            </w:pPr>
            <w:r>
              <w:rPr>
                <w:sz w:val="18"/>
                <w:szCs w:val="18"/>
              </w:rPr>
              <w:t>Clasificación de los instrumentos</w:t>
            </w:r>
          </w:p>
        </w:tc>
        <w:tc>
          <w:tcPr>
            <w:tcW w:w="2015" w:type="dxa"/>
            <w:shd w:val="clear" w:color="auto" w:fill="D9E2F3"/>
            <w:vAlign w:val="center"/>
          </w:tcPr>
          <w:p w14:paraId="326E5C4B" w14:textId="77777777" w:rsidR="00990B14" w:rsidRDefault="00000000">
            <w:pPr>
              <w:spacing w:before="20" w:after="20"/>
              <w:jc w:val="both"/>
            </w:pPr>
            <w:r>
              <w:rPr>
                <w:sz w:val="18"/>
                <w:szCs w:val="18"/>
              </w:rPr>
              <w:t>Describe los instrumentos de renta fija y de renta variable de forma incompleta o con errores conceptuales.</w:t>
            </w:r>
          </w:p>
        </w:tc>
        <w:tc>
          <w:tcPr>
            <w:tcW w:w="1910" w:type="dxa"/>
            <w:shd w:val="clear" w:color="auto" w:fill="D9E2F3"/>
            <w:vAlign w:val="center"/>
          </w:tcPr>
          <w:p w14:paraId="4ED77945" w14:textId="77777777" w:rsidR="00990B14" w:rsidRDefault="00000000">
            <w:pPr>
              <w:spacing w:before="20" w:after="20"/>
              <w:jc w:val="both"/>
            </w:pPr>
            <w:r>
              <w:rPr>
                <w:sz w:val="18"/>
                <w:szCs w:val="18"/>
              </w:rPr>
              <w:t>Describe los instrumentos de renta fija y de renta variable con las ideas principales y errores menores.</w:t>
            </w:r>
          </w:p>
        </w:tc>
        <w:tc>
          <w:tcPr>
            <w:tcW w:w="2015" w:type="dxa"/>
            <w:shd w:val="clear" w:color="auto" w:fill="D9E2F3"/>
            <w:vAlign w:val="center"/>
          </w:tcPr>
          <w:p w14:paraId="3B54259B" w14:textId="77777777" w:rsidR="00990B14" w:rsidRDefault="00000000">
            <w:pPr>
              <w:spacing w:before="20" w:after="20"/>
              <w:jc w:val="both"/>
            </w:pPr>
            <w:r>
              <w:rPr>
                <w:sz w:val="18"/>
                <w:szCs w:val="18"/>
              </w:rPr>
              <w:t>Describe los instrumentos de renta fija y de renta variable de forma completa, precisa y con sustento normativo.</w:t>
            </w:r>
          </w:p>
        </w:tc>
      </w:tr>
      <w:tr w:rsidR="00990B14" w14:paraId="1F4B2DBF" w14:textId="77777777">
        <w:trPr>
          <w:cantSplit/>
          <w:jc w:val="center"/>
        </w:trPr>
        <w:tc>
          <w:tcPr>
            <w:tcW w:w="1715" w:type="dxa"/>
            <w:vMerge/>
            <w:shd w:val="clear" w:color="auto" w:fill="4472C4"/>
            <w:vAlign w:val="center"/>
          </w:tcPr>
          <w:p w14:paraId="21E0F078" w14:textId="77777777" w:rsidR="00990B14" w:rsidRDefault="00990B14">
            <w:pPr>
              <w:spacing w:before="20" w:after="20"/>
            </w:pPr>
          </w:p>
        </w:tc>
        <w:tc>
          <w:tcPr>
            <w:tcW w:w="1750" w:type="dxa"/>
            <w:shd w:val="clear" w:color="auto" w:fill="D9E2F3"/>
            <w:vAlign w:val="center"/>
          </w:tcPr>
          <w:p w14:paraId="4D75F852" w14:textId="77777777" w:rsidR="00990B14" w:rsidRDefault="00000000">
            <w:pPr>
              <w:spacing w:before="20" w:after="20"/>
              <w:jc w:val="both"/>
            </w:pPr>
            <w:r>
              <w:rPr>
                <w:sz w:val="18"/>
                <w:szCs w:val="18"/>
              </w:rPr>
              <w:t>Activos y pasivos financieros</w:t>
            </w:r>
          </w:p>
        </w:tc>
        <w:tc>
          <w:tcPr>
            <w:tcW w:w="2015" w:type="dxa"/>
            <w:shd w:val="clear" w:color="auto" w:fill="D9E2F3"/>
            <w:vAlign w:val="center"/>
          </w:tcPr>
          <w:p w14:paraId="41C43BA1" w14:textId="77777777" w:rsidR="00990B14" w:rsidRDefault="00000000">
            <w:pPr>
              <w:spacing w:before="20" w:after="20"/>
              <w:jc w:val="both"/>
            </w:pPr>
            <w:r>
              <w:rPr>
                <w:sz w:val="18"/>
                <w:szCs w:val="18"/>
              </w:rPr>
              <w:t>Describe los conceptos de activo financiero y de pasivo financiero de forma incompleta o con errores conceptuales.</w:t>
            </w:r>
          </w:p>
        </w:tc>
        <w:tc>
          <w:tcPr>
            <w:tcW w:w="1910" w:type="dxa"/>
            <w:shd w:val="clear" w:color="auto" w:fill="D9E2F3"/>
            <w:vAlign w:val="center"/>
          </w:tcPr>
          <w:p w14:paraId="2030612A" w14:textId="77777777" w:rsidR="00990B14" w:rsidRDefault="00000000">
            <w:pPr>
              <w:spacing w:before="20" w:after="20"/>
              <w:jc w:val="both"/>
            </w:pPr>
            <w:r>
              <w:rPr>
                <w:sz w:val="18"/>
                <w:szCs w:val="18"/>
              </w:rPr>
              <w:t>Describe los conceptos de activo financiero y de pasivo financiero con las ideas principales y errores menores.</w:t>
            </w:r>
          </w:p>
        </w:tc>
        <w:tc>
          <w:tcPr>
            <w:tcW w:w="2015" w:type="dxa"/>
            <w:shd w:val="clear" w:color="auto" w:fill="D9E2F3"/>
            <w:vAlign w:val="center"/>
          </w:tcPr>
          <w:p w14:paraId="7B0C3B48" w14:textId="77777777" w:rsidR="00990B14" w:rsidRDefault="00000000">
            <w:pPr>
              <w:spacing w:before="20" w:after="20"/>
              <w:jc w:val="both"/>
            </w:pPr>
            <w:r>
              <w:rPr>
                <w:sz w:val="18"/>
                <w:szCs w:val="18"/>
              </w:rPr>
              <w:t>Describe los conceptos de activo financiero y de pasivo financiero de forma completa, precisa y con sustento normativo.</w:t>
            </w:r>
          </w:p>
        </w:tc>
      </w:tr>
      <w:tr w:rsidR="00990B14" w14:paraId="70020A49" w14:textId="77777777">
        <w:trPr>
          <w:cantSplit/>
          <w:jc w:val="center"/>
        </w:trPr>
        <w:tc>
          <w:tcPr>
            <w:tcW w:w="1715" w:type="dxa"/>
            <w:vMerge/>
            <w:shd w:val="clear" w:color="auto" w:fill="4472C4"/>
            <w:vAlign w:val="center"/>
          </w:tcPr>
          <w:p w14:paraId="2226C424" w14:textId="77777777" w:rsidR="00990B14" w:rsidRDefault="00990B14">
            <w:pPr>
              <w:spacing w:before="20" w:after="20"/>
            </w:pPr>
          </w:p>
        </w:tc>
        <w:tc>
          <w:tcPr>
            <w:tcW w:w="1750" w:type="dxa"/>
            <w:shd w:val="clear" w:color="auto" w:fill="D9E2F3"/>
            <w:vAlign w:val="center"/>
          </w:tcPr>
          <w:p w14:paraId="443F650E" w14:textId="77777777" w:rsidR="00990B14" w:rsidRDefault="00000000">
            <w:pPr>
              <w:spacing w:before="20" w:after="20"/>
              <w:jc w:val="both"/>
            </w:pPr>
            <w:r>
              <w:rPr>
                <w:sz w:val="18"/>
                <w:szCs w:val="18"/>
              </w:rPr>
              <w:t>Claridad y presentación</w:t>
            </w:r>
          </w:p>
        </w:tc>
        <w:tc>
          <w:tcPr>
            <w:tcW w:w="2015" w:type="dxa"/>
            <w:shd w:val="clear" w:color="auto" w:fill="D9E2F3"/>
            <w:vAlign w:val="center"/>
          </w:tcPr>
          <w:p w14:paraId="4F14AAF8" w14:textId="77777777" w:rsidR="00990B14" w:rsidRDefault="00000000">
            <w:pPr>
              <w:spacing w:before="20" w:after="20"/>
              <w:jc w:val="both"/>
            </w:pPr>
            <w:r>
              <w:rPr>
                <w:sz w:val="18"/>
                <w:szCs w:val="18"/>
              </w:rPr>
              <w:t>Presentación desordenada o con errores ortográficos frecuentes.</w:t>
            </w:r>
          </w:p>
        </w:tc>
        <w:tc>
          <w:tcPr>
            <w:tcW w:w="1910" w:type="dxa"/>
            <w:shd w:val="clear" w:color="auto" w:fill="D9E2F3"/>
            <w:vAlign w:val="center"/>
          </w:tcPr>
          <w:p w14:paraId="66EFC09C" w14:textId="77777777" w:rsidR="00990B14" w:rsidRDefault="00000000">
            <w:pPr>
              <w:spacing w:before="20" w:after="20"/>
              <w:jc w:val="both"/>
            </w:pPr>
            <w:r>
              <w:rPr>
                <w:sz w:val="18"/>
                <w:szCs w:val="18"/>
              </w:rPr>
              <w:t>Presentación ordenada y comprensible, con omisiones menores.</w:t>
            </w:r>
          </w:p>
        </w:tc>
        <w:tc>
          <w:tcPr>
            <w:tcW w:w="2015" w:type="dxa"/>
            <w:shd w:val="clear" w:color="auto" w:fill="D9E2F3"/>
            <w:vAlign w:val="center"/>
          </w:tcPr>
          <w:p w14:paraId="16BD1CAE" w14:textId="77777777" w:rsidR="00990B14" w:rsidRDefault="00000000">
            <w:pPr>
              <w:spacing w:before="20" w:after="20"/>
              <w:jc w:val="both"/>
            </w:pPr>
            <w:r>
              <w:rPr>
                <w:sz w:val="18"/>
                <w:szCs w:val="18"/>
              </w:rPr>
              <w:t>Presentación clara, jerárquica y sin errores ortográficos.</w:t>
            </w:r>
          </w:p>
        </w:tc>
      </w:tr>
      <w:tr w:rsidR="00990B14" w14:paraId="1EBFAB83" w14:textId="77777777">
        <w:trPr>
          <w:cantSplit/>
          <w:jc w:val="center"/>
        </w:trPr>
        <w:tc>
          <w:tcPr>
            <w:tcW w:w="1715" w:type="dxa"/>
            <w:vMerge/>
            <w:shd w:val="clear" w:color="auto" w:fill="4472C4"/>
            <w:vAlign w:val="center"/>
          </w:tcPr>
          <w:p w14:paraId="195192E0" w14:textId="77777777" w:rsidR="00990B14" w:rsidRDefault="00990B14">
            <w:pPr>
              <w:spacing w:before="20" w:after="20"/>
            </w:pPr>
          </w:p>
        </w:tc>
        <w:tc>
          <w:tcPr>
            <w:tcW w:w="5675" w:type="dxa"/>
            <w:gridSpan w:val="3"/>
            <w:shd w:val="clear" w:color="auto" w:fill="D9E2F3"/>
            <w:vAlign w:val="center"/>
          </w:tcPr>
          <w:p w14:paraId="697C54B1" w14:textId="77777777" w:rsidR="00990B14" w:rsidRDefault="00000000">
            <w:pPr>
              <w:keepNext/>
              <w:spacing w:before="20" w:after="20"/>
              <w:jc w:val="both"/>
            </w:pPr>
            <w:r>
              <w:rPr>
                <w:b/>
                <w:bCs/>
                <w:i/>
                <w:iCs/>
                <w:sz w:val="18"/>
                <w:szCs w:val="18"/>
              </w:rPr>
              <w:t xml:space="preserve">Producto 14: </w:t>
            </w:r>
            <w:r>
              <w:rPr>
                <w:sz w:val="18"/>
                <w:szCs w:val="18"/>
              </w:rPr>
              <w:t>Esquema del mercado de valores boliviano con los agentes de bolsa, las SAFI y los tipos de fondos de inversión</w:t>
            </w:r>
          </w:p>
        </w:tc>
        <w:tc>
          <w:tcPr>
            <w:tcW w:w="2015" w:type="dxa"/>
            <w:shd w:val="clear" w:color="auto" w:fill="D9E2F3"/>
            <w:vAlign w:val="center"/>
          </w:tcPr>
          <w:p w14:paraId="61CA08C7" w14:textId="77777777" w:rsidR="00990B14" w:rsidRDefault="00000000">
            <w:pPr>
              <w:spacing w:before="20" w:after="20"/>
              <w:jc w:val="center"/>
            </w:pPr>
            <w:r>
              <w:rPr>
                <w:b/>
                <w:bCs/>
                <w:sz w:val="18"/>
                <w:szCs w:val="18"/>
              </w:rPr>
              <w:t>2%</w:t>
            </w:r>
          </w:p>
        </w:tc>
      </w:tr>
      <w:tr w:rsidR="00990B14" w14:paraId="63D84FC1" w14:textId="77777777">
        <w:trPr>
          <w:cantSplit/>
          <w:jc w:val="center"/>
        </w:trPr>
        <w:tc>
          <w:tcPr>
            <w:tcW w:w="1715" w:type="dxa"/>
            <w:vMerge/>
            <w:shd w:val="clear" w:color="auto" w:fill="4472C4"/>
            <w:vAlign w:val="center"/>
          </w:tcPr>
          <w:p w14:paraId="3A2385AD" w14:textId="77777777" w:rsidR="00990B14" w:rsidRDefault="00990B14">
            <w:pPr>
              <w:spacing w:before="20" w:after="20"/>
            </w:pPr>
          </w:p>
        </w:tc>
        <w:tc>
          <w:tcPr>
            <w:tcW w:w="1750" w:type="dxa"/>
            <w:shd w:val="clear" w:color="auto" w:fill="4472C4"/>
            <w:vAlign w:val="center"/>
          </w:tcPr>
          <w:p w14:paraId="7FCC0374"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50AD6F87"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289C6796"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133E9B4B" w14:textId="77777777" w:rsidR="00990B14" w:rsidRDefault="00000000">
            <w:pPr>
              <w:keepNext/>
              <w:spacing w:before="20" w:after="20"/>
              <w:jc w:val="center"/>
            </w:pPr>
            <w:r>
              <w:rPr>
                <w:b/>
                <w:bCs/>
                <w:i/>
                <w:iCs/>
                <w:color w:val="FFFFFF"/>
                <w:sz w:val="18"/>
                <w:szCs w:val="18"/>
              </w:rPr>
              <w:t>Destacado (81–100)</w:t>
            </w:r>
          </w:p>
        </w:tc>
      </w:tr>
      <w:tr w:rsidR="00990B14" w14:paraId="0D798292" w14:textId="77777777">
        <w:trPr>
          <w:cantSplit/>
          <w:jc w:val="center"/>
        </w:trPr>
        <w:tc>
          <w:tcPr>
            <w:tcW w:w="1715" w:type="dxa"/>
            <w:vMerge/>
            <w:shd w:val="clear" w:color="auto" w:fill="4472C4"/>
            <w:vAlign w:val="center"/>
          </w:tcPr>
          <w:p w14:paraId="7C789233" w14:textId="77777777" w:rsidR="00990B14" w:rsidRDefault="00990B14">
            <w:pPr>
              <w:spacing w:before="20" w:after="20"/>
            </w:pPr>
          </w:p>
        </w:tc>
        <w:tc>
          <w:tcPr>
            <w:tcW w:w="1750" w:type="dxa"/>
            <w:shd w:val="clear" w:color="auto" w:fill="D9E2F3"/>
            <w:vAlign w:val="center"/>
          </w:tcPr>
          <w:p w14:paraId="388DAEBB" w14:textId="77777777" w:rsidR="00990B14" w:rsidRDefault="00000000">
            <w:pPr>
              <w:spacing w:before="20" w:after="20"/>
              <w:jc w:val="both"/>
            </w:pPr>
            <w:r>
              <w:rPr>
                <w:sz w:val="18"/>
                <w:szCs w:val="18"/>
              </w:rPr>
              <w:t>Organización del mercado de valores</w:t>
            </w:r>
          </w:p>
        </w:tc>
        <w:tc>
          <w:tcPr>
            <w:tcW w:w="2015" w:type="dxa"/>
            <w:shd w:val="clear" w:color="auto" w:fill="D9E2F3"/>
            <w:vAlign w:val="center"/>
          </w:tcPr>
          <w:p w14:paraId="2E750DAF" w14:textId="77777777" w:rsidR="00990B14" w:rsidRDefault="00000000">
            <w:pPr>
              <w:spacing w:before="20" w:after="20"/>
              <w:jc w:val="both"/>
            </w:pPr>
            <w:r>
              <w:rPr>
                <w:sz w:val="18"/>
                <w:szCs w:val="18"/>
              </w:rPr>
              <w:t>Describe los participantes del mercado de valores boliviano de forma incompleta o con errores conceptuales.</w:t>
            </w:r>
          </w:p>
        </w:tc>
        <w:tc>
          <w:tcPr>
            <w:tcW w:w="1910" w:type="dxa"/>
            <w:shd w:val="clear" w:color="auto" w:fill="D9E2F3"/>
            <w:vAlign w:val="center"/>
          </w:tcPr>
          <w:p w14:paraId="5B9AAC91" w14:textId="77777777" w:rsidR="00990B14" w:rsidRDefault="00000000">
            <w:pPr>
              <w:spacing w:before="20" w:after="20"/>
              <w:jc w:val="both"/>
            </w:pPr>
            <w:r>
              <w:rPr>
                <w:sz w:val="18"/>
                <w:szCs w:val="18"/>
              </w:rPr>
              <w:t>Describe los participantes del mercado de valores boliviano con las ideas principales y errores menores.</w:t>
            </w:r>
          </w:p>
        </w:tc>
        <w:tc>
          <w:tcPr>
            <w:tcW w:w="2015" w:type="dxa"/>
            <w:shd w:val="clear" w:color="auto" w:fill="D9E2F3"/>
            <w:vAlign w:val="center"/>
          </w:tcPr>
          <w:p w14:paraId="57DB2724" w14:textId="77777777" w:rsidR="00990B14" w:rsidRDefault="00000000">
            <w:pPr>
              <w:spacing w:before="20" w:after="20"/>
              <w:jc w:val="both"/>
            </w:pPr>
            <w:r>
              <w:rPr>
                <w:sz w:val="18"/>
                <w:szCs w:val="18"/>
              </w:rPr>
              <w:t>Describe los participantes del mercado de valores boliviano de forma completa, precisa y con sustento normativo.</w:t>
            </w:r>
          </w:p>
        </w:tc>
      </w:tr>
      <w:tr w:rsidR="00990B14" w14:paraId="1B7F5A04" w14:textId="77777777">
        <w:trPr>
          <w:cantSplit/>
          <w:jc w:val="center"/>
        </w:trPr>
        <w:tc>
          <w:tcPr>
            <w:tcW w:w="1715" w:type="dxa"/>
            <w:vMerge/>
            <w:shd w:val="clear" w:color="auto" w:fill="4472C4"/>
            <w:vAlign w:val="center"/>
          </w:tcPr>
          <w:p w14:paraId="0992E380" w14:textId="77777777" w:rsidR="00990B14" w:rsidRDefault="00990B14">
            <w:pPr>
              <w:spacing w:before="20" w:after="20"/>
            </w:pPr>
          </w:p>
        </w:tc>
        <w:tc>
          <w:tcPr>
            <w:tcW w:w="1750" w:type="dxa"/>
            <w:shd w:val="clear" w:color="auto" w:fill="D9E2F3"/>
            <w:vAlign w:val="center"/>
          </w:tcPr>
          <w:p w14:paraId="632E4B69" w14:textId="77777777" w:rsidR="00990B14" w:rsidRDefault="00000000">
            <w:pPr>
              <w:spacing w:before="20" w:after="20"/>
              <w:jc w:val="both"/>
            </w:pPr>
            <w:r>
              <w:rPr>
                <w:sz w:val="18"/>
                <w:szCs w:val="18"/>
              </w:rPr>
              <w:t>Agentes de bolsa y SAFI</w:t>
            </w:r>
          </w:p>
        </w:tc>
        <w:tc>
          <w:tcPr>
            <w:tcW w:w="2015" w:type="dxa"/>
            <w:shd w:val="clear" w:color="auto" w:fill="D9E2F3"/>
            <w:vAlign w:val="center"/>
          </w:tcPr>
          <w:p w14:paraId="020FF7E7" w14:textId="77777777" w:rsidR="00990B14" w:rsidRDefault="00000000">
            <w:pPr>
              <w:spacing w:before="20" w:after="20"/>
              <w:jc w:val="both"/>
            </w:pPr>
            <w:r>
              <w:rPr>
                <w:sz w:val="18"/>
                <w:szCs w:val="18"/>
              </w:rPr>
              <w:t>Describe la función de los agentes de bolsa, de las SAFI y de los tipos de fondos de forma incompleta o con errores conceptuales.</w:t>
            </w:r>
          </w:p>
        </w:tc>
        <w:tc>
          <w:tcPr>
            <w:tcW w:w="1910" w:type="dxa"/>
            <w:shd w:val="clear" w:color="auto" w:fill="D9E2F3"/>
            <w:vAlign w:val="center"/>
          </w:tcPr>
          <w:p w14:paraId="39A61CF4" w14:textId="77777777" w:rsidR="00990B14" w:rsidRDefault="00000000">
            <w:pPr>
              <w:spacing w:before="20" w:after="20"/>
              <w:jc w:val="both"/>
            </w:pPr>
            <w:r>
              <w:rPr>
                <w:sz w:val="18"/>
                <w:szCs w:val="18"/>
              </w:rPr>
              <w:t>Describe la función de los agentes de bolsa, de las SAFI y de los tipos de fondos con las ideas principales y errores menores.</w:t>
            </w:r>
          </w:p>
        </w:tc>
        <w:tc>
          <w:tcPr>
            <w:tcW w:w="2015" w:type="dxa"/>
            <w:shd w:val="clear" w:color="auto" w:fill="D9E2F3"/>
            <w:vAlign w:val="center"/>
          </w:tcPr>
          <w:p w14:paraId="34B193C9" w14:textId="77777777" w:rsidR="00990B14" w:rsidRDefault="00000000">
            <w:pPr>
              <w:spacing w:before="20" w:after="20"/>
              <w:jc w:val="both"/>
            </w:pPr>
            <w:r>
              <w:rPr>
                <w:sz w:val="18"/>
                <w:szCs w:val="18"/>
              </w:rPr>
              <w:t>Describe la función de los agentes de bolsa, de las SAFI y de los tipos de fondos de forma completa, precisa y con sustento normativo.</w:t>
            </w:r>
          </w:p>
        </w:tc>
      </w:tr>
      <w:tr w:rsidR="00990B14" w14:paraId="796BE8E2" w14:textId="77777777">
        <w:trPr>
          <w:cantSplit/>
          <w:jc w:val="center"/>
        </w:trPr>
        <w:tc>
          <w:tcPr>
            <w:tcW w:w="1715" w:type="dxa"/>
            <w:vMerge/>
            <w:shd w:val="clear" w:color="auto" w:fill="4472C4"/>
            <w:vAlign w:val="center"/>
          </w:tcPr>
          <w:p w14:paraId="7FAD16AD" w14:textId="77777777" w:rsidR="00990B14" w:rsidRDefault="00990B14">
            <w:pPr>
              <w:spacing w:before="20" w:after="20"/>
            </w:pPr>
          </w:p>
        </w:tc>
        <w:tc>
          <w:tcPr>
            <w:tcW w:w="1750" w:type="dxa"/>
            <w:shd w:val="clear" w:color="auto" w:fill="D9E2F3"/>
            <w:vAlign w:val="center"/>
          </w:tcPr>
          <w:p w14:paraId="2E4BF923" w14:textId="77777777" w:rsidR="00990B14" w:rsidRDefault="00000000">
            <w:pPr>
              <w:spacing w:before="20" w:after="20"/>
              <w:jc w:val="both"/>
            </w:pPr>
            <w:r>
              <w:rPr>
                <w:sz w:val="18"/>
                <w:szCs w:val="18"/>
              </w:rPr>
              <w:t>Claridad y presentación</w:t>
            </w:r>
          </w:p>
        </w:tc>
        <w:tc>
          <w:tcPr>
            <w:tcW w:w="2015" w:type="dxa"/>
            <w:shd w:val="clear" w:color="auto" w:fill="D9E2F3"/>
            <w:vAlign w:val="center"/>
          </w:tcPr>
          <w:p w14:paraId="33A18B28" w14:textId="77777777" w:rsidR="00990B14" w:rsidRDefault="00000000">
            <w:pPr>
              <w:spacing w:before="20" w:after="20"/>
              <w:jc w:val="both"/>
            </w:pPr>
            <w:r>
              <w:rPr>
                <w:sz w:val="18"/>
                <w:szCs w:val="18"/>
              </w:rPr>
              <w:t>Presentación desordenada o con errores ortográficos frecuentes.</w:t>
            </w:r>
          </w:p>
        </w:tc>
        <w:tc>
          <w:tcPr>
            <w:tcW w:w="1910" w:type="dxa"/>
            <w:shd w:val="clear" w:color="auto" w:fill="D9E2F3"/>
            <w:vAlign w:val="center"/>
          </w:tcPr>
          <w:p w14:paraId="57645665" w14:textId="77777777" w:rsidR="00990B14" w:rsidRDefault="00000000">
            <w:pPr>
              <w:spacing w:before="20" w:after="20"/>
              <w:jc w:val="both"/>
            </w:pPr>
            <w:r>
              <w:rPr>
                <w:sz w:val="18"/>
                <w:szCs w:val="18"/>
              </w:rPr>
              <w:t>Presentación ordenada y comprensible, con omisiones menores.</w:t>
            </w:r>
          </w:p>
        </w:tc>
        <w:tc>
          <w:tcPr>
            <w:tcW w:w="2015" w:type="dxa"/>
            <w:shd w:val="clear" w:color="auto" w:fill="D9E2F3"/>
            <w:vAlign w:val="center"/>
          </w:tcPr>
          <w:p w14:paraId="3F534ADD" w14:textId="77777777" w:rsidR="00990B14" w:rsidRDefault="00000000">
            <w:pPr>
              <w:spacing w:before="20" w:after="20"/>
              <w:jc w:val="both"/>
            </w:pPr>
            <w:r>
              <w:rPr>
                <w:sz w:val="18"/>
                <w:szCs w:val="18"/>
              </w:rPr>
              <w:t>Presentación clara, jerárquica y sin errores ortográficos.</w:t>
            </w:r>
          </w:p>
        </w:tc>
      </w:tr>
      <w:tr w:rsidR="00990B14" w14:paraId="02306869" w14:textId="77777777">
        <w:trPr>
          <w:cantSplit/>
          <w:jc w:val="center"/>
        </w:trPr>
        <w:tc>
          <w:tcPr>
            <w:tcW w:w="1715" w:type="dxa"/>
            <w:vMerge/>
            <w:shd w:val="clear" w:color="auto" w:fill="4472C4"/>
            <w:vAlign w:val="center"/>
          </w:tcPr>
          <w:p w14:paraId="3BD215D2" w14:textId="77777777" w:rsidR="00990B14" w:rsidRDefault="00990B14">
            <w:pPr>
              <w:spacing w:before="20" w:after="20"/>
            </w:pPr>
          </w:p>
        </w:tc>
        <w:tc>
          <w:tcPr>
            <w:tcW w:w="5675" w:type="dxa"/>
            <w:gridSpan w:val="3"/>
            <w:shd w:val="clear" w:color="auto" w:fill="D9E2F3"/>
            <w:vAlign w:val="center"/>
          </w:tcPr>
          <w:p w14:paraId="059BEC8A" w14:textId="77777777" w:rsidR="00990B14" w:rsidRDefault="00000000">
            <w:pPr>
              <w:keepNext/>
              <w:spacing w:before="20" w:after="20"/>
              <w:jc w:val="both"/>
            </w:pPr>
            <w:r>
              <w:rPr>
                <w:b/>
                <w:bCs/>
                <w:i/>
                <w:iCs/>
                <w:sz w:val="18"/>
                <w:szCs w:val="18"/>
              </w:rPr>
              <w:t xml:space="preserve">Producto 15: </w:t>
            </w:r>
            <w:r>
              <w:rPr>
                <w:sz w:val="18"/>
                <w:szCs w:val="18"/>
              </w:rPr>
              <w:t>Esquema de las entidades auxiliares financieras y de las empresas de tecnología financiera, con sus principales operaciones</w:t>
            </w:r>
          </w:p>
        </w:tc>
        <w:tc>
          <w:tcPr>
            <w:tcW w:w="2015" w:type="dxa"/>
            <w:shd w:val="clear" w:color="auto" w:fill="D9E2F3"/>
            <w:vAlign w:val="center"/>
          </w:tcPr>
          <w:p w14:paraId="49CE160A" w14:textId="77777777" w:rsidR="00990B14" w:rsidRDefault="00000000">
            <w:pPr>
              <w:spacing w:before="20" w:after="20"/>
              <w:jc w:val="center"/>
            </w:pPr>
            <w:r>
              <w:rPr>
                <w:b/>
                <w:bCs/>
                <w:sz w:val="18"/>
                <w:szCs w:val="18"/>
              </w:rPr>
              <w:t>2%</w:t>
            </w:r>
          </w:p>
        </w:tc>
      </w:tr>
      <w:tr w:rsidR="00990B14" w14:paraId="2450B438" w14:textId="77777777">
        <w:trPr>
          <w:cantSplit/>
          <w:jc w:val="center"/>
        </w:trPr>
        <w:tc>
          <w:tcPr>
            <w:tcW w:w="1715" w:type="dxa"/>
            <w:vMerge/>
            <w:shd w:val="clear" w:color="auto" w:fill="4472C4"/>
            <w:vAlign w:val="center"/>
          </w:tcPr>
          <w:p w14:paraId="16223167" w14:textId="77777777" w:rsidR="00990B14" w:rsidRDefault="00990B14">
            <w:pPr>
              <w:spacing w:before="20" w:after="20"/>
            </w:pPr>
          </w:p>
        </w:tc>
        <w:tc>
          <w:tcPr>
            <w:tcW w:w="1750" w:type="dxa"/>
            <w:shd w:val="clear" w:color="auto" w:fill="4472C4"/>
            <w:vAlign w:val="center"/>
          </w:tcPr>
          <w:p w14:paraId="38CE0B2C"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538F5DCA"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3E0E012C"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3A4FD950" w14:textId="77777777" w:rsidR="00990B14" w:rsidRDefault="00000000">
            <w:pPr>
              <w:keepNext/>
              <w:spacing w:before="20" w:after="20"/>
              <w:jc w:val="center"/>
            </w:pPr>
            <w:r>
              <w:rPr>
                <w:b/>
                <w:bCs/>
                <w:i/>
                <w:iCs/>
                <w:color w:val="FFFFFF"/>
                <w:sz w:val="18"/>
                <w:szCs w:val="18"/>
              </w:rPr>
              <w:t>Destacado (81–100)</w:t>
            </w:r>
          </w:p>
        </w:tc>
      </w:tr>
      <w:tr w:rsidR="00990B14" w14:paraId="72A83CD6" w14:textId="77777777">
        <w:trPr>
          <w:cantSplit/>
          <w:jc w:val="center"/>
        </w:trPr>
        <w:tc>
          <w:tcPr>
            <w:tcW w:w="1715" w:type="dxa"/>
            <w:vMerge/>
            <w:shd w:val="clear" w:color="auto" w:fill="4472C4"/>
            <w:vAlign w:val="center"/>
          </w:tcPr>
          <w:p w14:paraId="471EA03C" w14:textId="77777777" w:rsidR="00990B14" w:rsidRDefault="00990B14">
            <w:pPr>
              <w:spacing w:before="20" w:after="20"/>
            </w:pPr>
          </w:p>
        </w:tc>
        <w:tc>
          <w:tcPr>
            <w:tcW w:w="1750" w:type="dxa"/>
            <w:shd w:val="clear" w:color="auto" w:fill="D9E2F3"/>
            <w:vAlign w:val="center"/>
          </w:tcPr>
          <w:p w14:paraId="7CF5FA1B" w14:textId="77777777" w:rsidR="00990B14" w:rsidRDefault="00000000">
            <w:pPr>
              <w:spacing w:before="20" w:after="20"/>
              <w:jc w:val="both"/>
            </w:pPr>
            <w:r>
              <w:rPr>
                <w:sz w:val="18"/>
                <w:szCs w:val="18"/>
              </w:rPr>
              <w:t>Tipos de entidades auxiliares</w:t>
            </w:r>
          </w:p>
        </w:tc>
        <w:tc>
          <w:tcPr>
            <w:tcW w:w="2015" w:type="dxa"/>
            <w:shd w:val="clear" w:color="auto" w:fill="D9E2F3"/>
            <w:vAlign w:val="center"/>
          </w:tcPr>
          <w:p w14:paraId="0388D59F" w14:textId="77777777" w:rsidR="00990B14" w:rsidRDefault="00000000">
            <w:pPr>
              <w:spacing w:before="20" w:after="20"/>
              <w:jc w:val="both"/>
            </w:pPr>
            <w:r>
              <w:rPr>
                <w:sz w:val="18"/>
                <w:szCs w:val="18"/>
              </w:rPr>
              <w:t>Describe las entidades auxiliares financieras y las empresas de tecnología financiera de forma incompleta o con errores conceptuales.</w:t>
            </w:r>
          </w:p>
        </w:tc>
        <w:tc>
          <w:tcPr>
            <w:tcW w:w="1910" w:type="dxa"/>
            <w:shd w:val="clear" w:color="auto" w:fill="D9E2F3"/>
            <w:vAlign w:val="center"/>
          </w:tcPr>
          <w:p w14:paraId="3377F952" w14:textId="77777777" w:rsidR="00990B14" w:rsidRDefault="00000000">
            <w:pPr>
              <w:spacing w:before="20" w:after="20"/>
              <w:jc w:val="both"/>
            </w:pPr>
            <w:r>
              <w:rPr>
                <w:sz w:val="18"/>
                <w:szCs w:val="18"/>
              </w:rPr>
              <w:t>Describe las entidades auxiliares financieras y las empresas de tecnología financiera con las ideas principales y errores menores.</w:t>
            </w:r>
          </w:p>
        </w:tc>
        <w:tc>
          <w:tcPr>
            <w:tcW w:w="2015" w:type="dxa"/>
            <w:shd w:val="clear" w:color="auto" w:fill="D9E2F3"/>
            <w:vAlign w:val="center"/>
          </w:tcPr>
          <w:p w14:paraId="1CA4A059" w14:textId="77777777" w:rsidR="00990B14" w:rsidRDefault="00000000">
            <w:pPr>
              <w:spacing w:before="20" w:after="20"/>
              <w:jc w:val="both"/>
            </w:pPr>
            <w:r>
              <w:rPr>
                <w:sz w:val="18"/>
                <w:szCs w:val="18"/>
              </w:rPr>
              <w:t>Describe las entidades auxiliares financieras y las empresas de tecnología financiera de forma completa, precisa y con sustento normativo.</w:t>
            </w:r>
          </w:p>
        </w:tc>
      </w:tr>
      <w:tr w:rsidR="00990B14" w14:paraId="4B58F4B1" w14:textId="77777777">
        <w:trPr>
          <w:cantSplit/>
          <w:jc w:val="center"/>
        </w:trPr>
        <w:tc>
          <w:tcPr>
            <w:tcW w:w="1715" w:type="dxa"/>
            <w:vMerge/>
            <w:shd w:val="clear" w:color="auto" w:fill="4472C4"/>
            <w:vAlign w:val="center"/>
          </w:tcPr>
          <w:p w14:paraId="3B32DB06" w14:textId="77777777" w:rsidR="00990B14" w:rsidRDefault="00990B14">
            <w:pPr>
              <w:spacing w:before="20" w:after="20"/>
            </w:pPr>
          </w:p>
        </w:tc>
        <w:tc>
          <w:tcPr>
            <w:tcW w:w="1750" w:type="dxa"/>
            <w:shd w:val="clear" w:color="auto" w:fill="D9E2F3"/>
            <w:vAlign w:val="center"/>
          </w:tcPr>
          <w:p w14:paraId="290943A2" w14:textId="77777777" w:rsidR="00990B14" w:rsidRDefault="00000000">
            <w:pPr>
              <w:spacing w:before="20" w:after="20"/>
              <w:jc w:val="both"/>
            </w:pPr>
            <w:r>
              <w:rPr>
                <w:sz w:val="18"/>
                <w:szCs w:val="18"/>
              </w:rPr>
              <w:t>Operaciones y constitución</w:t>
            </w:r>
          </w:p>
        </w:tc>
        <w:tc>
          <w:tcPr>
            <w:tcW w:w="2015" w:type="dxa"/>
            <w:shd w:val="clear" w:color="auto" w:fill="D9E2F3"/>
            <w:vAlign w:val="center"/>
          </w:tcPr>
          <w:p w14:paraId="63745825" w14:textId="77777777" w:rsidR="00990B14" w:rsidRDefault="00000000">
            <w:pPr>
              <w:spacing w:before="20" w:after="20"/>
              <w:jc w:val="both"/>
            </w:pPr>
            <w:r>
              <w:rPr>
                <w:sz w:val="18"/>
                <w:szCs w:val="18"/>
              </w:rPr>
              <w:t>Describe las principales operaciones y la constitución de estas entidades de forma incompleta o con errores conceptuales.</w:t>
            </w:r>
          </w:p>
        </w:tc>
        <w:tc>
          <w:tcPr>
            <w:tcW w:w="1910" w:type="dxa"/>
            <w:shd w:val="clear" w:color="auto" w:fill="D9E2F3"/>
            <w:vAlign w:val="center"/>
          </w:tcPr>
          <w:p w14:paraId="0166696C" w14:textId="77777777" w:rsidR="00990B14" w:rsidRDefault="00000000">
            <w:pPr>
              <w:spacing w:before="20" w:after="20"/>
              <w:jc w:val="both"/>
            </w:pPr>
            <w:r>
              <w:rPr>
                <w:sz w:val="18"/>
                <w:szCs w:val="18"/>
              </w:rPr>
              <w:t>Describe las principales operaciones y la constitución de estas entidades con las ideas principales y errores menores.</w:t>
            </w:r>
          </w:p>
        </w:tc>
        <w:tc>
          <w:tcPr>
            <w:tcW w:w="2015" w:type="dxa"/>
            <w:shd w:val="clear" w:color="auto" w:fill="D9E2F3"/>
            <w:vAlign w:val="center"/>
          </w:tcPr>
          <w:p w14:paraId="50E70FE0" w14:textId="77777777" w:rsidR="00990B14" w:rsidRDefault="00000000">
            <w:pPr>
              <w:spacing w:before="20" w:after="20"/>
              <w:jc w:val="both"/>
            </w:pPr>
            <w:r>
              <w:rPr>
                <w:sz w:val="18"/>
                <w:szCs w:val="18"/>
              </w:rPr>
              <w:t>Describe las principales operaciones y la constitución de estas entidades de forma completa, precisa y con sustento normativo.</w:t>
            </w:r>
          </w:p>
        </w:tc>
      </w:tr>
      <w:tr w:rsidR="00990B14" w14:paraId="040F96A5" w14:textId="77777777">
        <w:trPr>
          <w:cantSplit/>
          <w:jc w:val="center"/>
        </w:trPr>
        <w:tc>
          <w:tcPr>
            <w:tcW w:w="1715" w:type="dxa"/>
            <w:vMerge/>
            <w:shd w:val="clear" w:color="auto" w:fill="4472C4"/>
            <w:vAlign w:val="center"/>
          </w:tcPr>
          <w:p w14:paraId="2EB01A52" w14:textId="77777777" w:rsidR="00990B14" w:rsidRDefault="00990B14">
            <w:pPr>
              <w:spacing w:before="20" w:after="20"/>
            </w:pPr>
          </w:p>
        </w:tc>
        <w:tc>
          <w:tcPr>
            <w:tcW w:w="1750" w:type="dxa"/>
            <w:shd w:val="clear" w:color="auto" w:fill="D9E2F3"/>
            <w:vAlign w:val="center"/>
          </w:tcPr>
          <w:p w14:paraId="34EE8478" w14:textId="77777777" w:rsidR="00990B14" w:rsidRDefault="00000000">
            <w:pPr>
              <w:spacing w:before="20" w:after="20"/>
              <w:jc w:val="both"/>
            </w:pPr>
            <w:r>
              <w:rPr>
                <w:sz w:val="18"/>
                <w:szCs w:val="18"/>
              </w:rPr>
              <w:t>Claridad y presentación</w:t>
            </w:r>
          </w:p>
        </w:tc>
        <w:tc>
          <w:tcPr>
            <w:tcW w:w="2015" w:type="dxa"/>
            <w:shd w:val="clear" w:color="auto" w:fill="D9E2F3"/>
            <w:vAlign w:val="center"/>
          </w:tcPr>
          <w:p w14:paraId="3D5CD0C7" w14:textId="77777777" w:rsidR="00990B14" w:rsidRDefault="00000000">
            <w:pPr>
              <w:spacing w:before="20" w:after="20"/>
              <w:jc w:val="both"/>
            </w:pPr>
            <w:r>
              <w:rPr>
                <w:sz w:val="18"/>
                <w:szCs w:val="18"/>
              </w:rPr>
              <w:t>Presentación desordenada o con errores ortográficos frecuentes.</w:t>
            </w:r>
          </w:p>
        </w:tc>
        <w:tc>
          <w:tcPr>
            <w:tcW w:w="1910" w:type="dxa"/>
            <w:shd w:val="clear" w:color="auto" w:fill="D9E2F3"/>
            <w:vAlign w:val="center"/>
          </w:tcPr>
          <w:p w14:paraId="2CC22C53" w14:textId="77777777" w:rsidR="00990B14" w:rsidRDefault="00000000">
            <w:pPr>
              <w:spacing w:before="20" w:after="20"/>
              <w:jc w:val="both"/>
            </w:pPr>
            <w:r>
              <w:rPr>
                <w:sz w:val="18"/>
                <w:szCs w:val="18"/>
              </w:rPr>
              <w:t>Presentación ordenada y comprensible, con omisiones menores.</w:t>
            </w:r>
          </w:p>
        </w:tc>
        <w:tc>
          <w:tcPr>
            <w:tcW w:w="2015" w:type="dxa"/>
            <w:shd w:val="clear" w:color="auto" w:fill="D9E2F3"/>
            <w:vAlign w:val="center"/>
          </w:tcPr>
          <w:p w14:paraId="302B3150" w14:textId="77777777" w:rsidR="00990B14" w:rsidRDefault="00000000">
            <w:pPr>
              <w:spacing w:before="20" w:after="20"/>
              <w:jc w:val="both"/>
            </w:pPr>
            <w:r>
              <w:rPr>
                <w:sz w:val="18"/>
                <w:szCs w:val="18"/>
              </w:rPr>
              <w:t>Presentación clara, jerárquica y sin errores ortográficos.</w:t>
            </w:r>
          </w:p>
        </w:tc>
      </w:tr>
      <w:tr w:rsidR="00990B14" w14:paraId="3F3626FA" w14:textId="77777777">
        <w:trPr>
          <w:cantSplit/>
          <w:jc w:val="center"/>
        </w:trPr>
        <w:tc>
          <w:tcPr>
            <w:tcW w:w="1715" w:type="dxa"/>
            <w:vMerge/>
            <w:shd w:val="clear" w:color="auto" w:fill="4472C4"/>
            <w:vAlign w:val="center"/>
          </w:tcPr>
          <w:p w14:paraId="6512DD7B" w14:textId="77777777" w:rsidR="00990B14" w:rsidRDefault="00990B14">
            <w:pPr>
              <w:spacing w:before="20" w:after="20"/>
            </w:pPr>
          </w:p>
        </w:tc>
        <w:tc>
          <w:tcPr>
            <w:tcW w:w="5675" w:type="dxa"/>
            <w:gridSpan w:val="3"/>
            <w:shd w:val="clear" w:color="auto" w:fill="D9E2F3"/>
            <w:vAlign w:val="center"/>
          </w:tcPr>
          <w:p w14:paraId="1FC7919A" w14:textId="77777777" w:rsidR="00990B14" w:rsidRDefault="00000000">
            <w:pPr>
              <w:keepNext/>
              <w:spacing w:before="20" w:after="20"/>
              <w:jc w:val="both"/>
            </w:pPr>
            <w:r>
              <w:rPr>
                <w:b/>
                <w:bCs/>
                <w:i/>
                <w:iCs/>
                <w:sz w:val="18"/>
                <w:szCs w:val="18"/>
              </w:rPr>
              <w:t xml:space="preserve">Producto 16: </w:t>
            </w:r>
            <w:r>
              <w:rPr>
                <w:sz w:val="18"/>
                <w:szCs w:val="18"/>
              </w:rPr>
              <w:t>Caso práctico de leasing con su registro contable básico y cuadro comparativo frente al crédito bancario</w:t>
            </w:r>
          </w:p>
        </w:tc>
        <w:tc>
          <w:tcPr>
            <w:tcW w:w="2015" w:type="dxa"/>
            <w:shd w:val="clear" w:color="auto" w:fill="D9E2F3"/>
            <w:vAlign w:val="center"/>
          </w:tcPr>
          <w:p w14:paraId="46297339" w14:textId="77777777" w:rsidR="00990B14" w:rsidRDefault="00000000">
            <w:pPr>
              <w:spacing w:before="20" w:after="20"/>
              <w:jc w:val="center"/>
            </w:pPr>
            <w:r>
              <w:rPr>
                <w:b/>
                <w:bCs/>
                <w:sz w:val="18"/>
                <w:szCs w:val="18"/>
              </w:rPr>
              <w:t>4%</w:t>
            </w:r>
          </w:p>
        </w:tc>
      </w:tr>
      <w:tr w:rsidR="00990B14" w14:paraId="37493F7F" w14:textId="77777777">
        <w:trPr>
          <w:cantSplit/>
          <w:jc w:val="center"/>
        </w:trPr>
        <w:tc>
          <w:tcPr>
            <w:tcW w:w="1715" w:type="dxa"/>
            <w:vMerge/>
            <w:shd w:val="clear" w:color="auto" w:fill="4472C4"/>
            <w:vAlign w:val="center"/>
          </w:tcPr>
          <w:p w14:paraId="1B82136C" w14:textId="77777777" w:rsidR="00990B14" w:rsidRDefault="00990B14">
            <w:pPr>
              <w:spacing w:before="20" w:after="20"/>
            </w:pPr>
          </w:p>
        </w:tc>
        <w:tc>
          <w:tcPr>
            <w:tcW w:w="1750" w:type="dxa"/>
            <w:shd w:val="clear" w:color="auto" w:fill="4472C4"/>
            <w:vAlign w:val="center"/>
          </w:tcPr>
          <w:p w14:paraId="682FDE77"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0F7658F8"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4A3FDE7C"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0F472453" w14:textId="77777777" w:rsidR="00990B14" w:rsidRDefault="00000000">
            <w:pPr>
              <w:keepNext/>
              <w:spacing w:before="20" w:after="20"/>
              <w:jc w:val="center"/>
            </w:pPr>
            <w:r>
              <w:rPr>
                <w:b/>
                <w:bCs/>
                <w:i/>
                <w:iCs/>
                <w:color w:val="FFFFFF"/>
                <w:sz w:val="18"/>
                <w:szCs w:val="18"/>
              </w:rPr>
              <w:t>Destacado (81–100)</w:t>
            </w:r>
          </w:p>
        </w:tc>
      </w:tr>
      <w:tr w:rsidR="00990B14" w14:paraId="3D541730" w14:textId="77777777">
        <w:trPr>
          <w:cantSplit/>
          <w:jc w:val="center"/>
        </w:trPr>
        <w:tc>
          <w:tcPr>
            <w:tcW w:w="1715" w:type="dxa"/>
            <w:vMerge/>
            <w:shd w:val="clear" w:color="auto" w:fill="4472C4"/>
            <w:vAlign w:val="center"/>
          </w:tcPr>
          <w:p w14:paraId="1015BF96" w14:textId="77777777" w:rsidR="00990B14" w:rsidRDefault="00990B14">
            <w:pPr>
              <w:spacing w:before="20" w:after="20"/>
            </w:pPr>
          </w:p>
        </w:tc>
        <w:tc>
          <w:tcPr>
            <w:tcW w:w="1750" w:type="dxa"/>
            <w:shd w:val="clear" w:color="auto" w:fill="D9E2F3"/>
            <w:vAlign w:val="center"/>
          </w:tcPr>
          <w:p w14:paraId="2D6385CE" w14:textId="77777777" w:rsidR="00990B14" w:rsidRDefault="00000000">
            <w:pPr>
              <w:spacing w:before="20" w:after="20"/>
              <w:jc w:val="both"/>
            </w:pPr>
            <w:r>
              <w:rPr>
                <w:sz w:val="18"/>
                <w:szCs w:val="18"/>
              </w:rPr>
              <w:t>Cálculo de la cuota</w:t>
            </w:r>
          </w:p>
        </w:tc>
        <w:tc>
          <w:tcPr>
            <w:tcW w:w="2015" w:type="dxa"/>
            <w:shd w:val="clear" w:color="auto" w:fill="D9E2F3"/>
            <w:vAlign w:val="center"/>
          </w:tcPr>
          <w:p w14:paraId="5E10FF09" w14:textId="77777777" w:rsidR="00990B14" w:rsidRDefault="00000000">
            <w:pPr>
              <w:spacing w:before="20" w:after="20"/>
              <w:jc w:val="both"/>
            </w:pPr>
            <w:r>
              <w:rPr>
                <w:sz w:val="18"/>
                <w:szCs w:val="18"/>
              </w:rPr>
              <w:t>El cálculo de la cuota del contrato de leasing es incorrecto o está incompleto.</w:t>
            </w:r>
          </w:p>
        </w:tc>
        <w:tc>
          <w:tcPr>
            <w:tcW w:w="1910" w:type="dxa"/>
            <w:shd w:val="clear" w:color="auto" w:fill="D9E2F3"/>
            <w:vAlign w:val="center"/>
          </w:tcPr>
          <w:p w14:paraId="4D14D5E2" w14:textId="77777777" w:rsidR="00990B14" w:rsidRDefault="00000000">
            <w:pPr>
              <w:spacing w:before="20" w:after="20"/>
              <w:jc w:val="both"/>
            </w:pPr>
            <w:r>
              <w:rPr>
                <w:sz w:val="18"/>
                <w:szCs w:val="18"/>
              </w:rPr>
              <w:t>Calcula la cuota del contrato de leasing con diferencias menores.</w:t>
            </w:r>
          </w:p>
        </w:tc>
        <w:tc>
          <w:tcPr>
            <w:tcW w:w="2015" w:type="dxa"/>
            <w:shd w:val="clear" w:color="auto" w:fill="D9E2F3"/>
            <w:vAlign w:val="center"/>
          </w:tcPr>
          <w:p w14:paraId="335E223C" w14:textId="77777777" w:rsidR="00990B14" w:rsidRDefault="00000000">
            <w:pPr>
              <w:spacing w:before="20" w:after="20"/>
              <w:jc w:val="both"/>
            </w:pPr>
            <w:r>
              <w:rPr>
                <w:sz w:val="18"/>
                <w:szCs w:val="18"/>
              </w:rPr>
              <w:t>Calcula la cuota del contrato de leasing con exactitud y explica el procedimiento.</w:t>
            </w:r>
          </w:p>
        </w:tc>
      </w:tr>
      <w:tr w:rsidR="00990B14" w14:paraId="07725AA5" w14:textId="77777777">
        <w:trPr>
          <w:cantSplit/>
          <w:jc w:val="center"/>
        </w:trPr>
        <w:tc>
          <w:tcPr>
            <w:tcW w:w="1715" w:type="dxa"/>
            <w:vMerge/>
            <w:shd w:val="clear" w:color="auto" w:fill="4472C4"/>
            <w:vAlign w:val="center"/>
          </w:tcPr>
          <w:p w14:paraId="5E0A598A" w14:textId="77777777" w:rsidR="00990B14" w:rsidRDefault="00990B14">
            <w:pPr>
              <w:spacing w:before="20" w:after="20"/>
            </w:pPr>
          </w:p>
        </w:tc>
        <w:tc>
          <w:tcPr>
            <w:tcW w:w="1750" w:type="dxa"/>
            <w:shd w:val="clear" w:color="auto" w:fill="D9E2F3"/>
            <w:vAlign w:val="center"/>
          </w:tcPr>
          <w:p w14:paraId="4E19D973" w14:textId="77777777" w:rsidR="00990B14" w:rsidRDefault="00000000">
            <w:pPr>
              <w:spacing w:before="20" w:after="20"/>
              <w:jc w:val="both"/>
            </w:pPr>
            <w:r>
              <w:rPr>
                <w:sz w:val="18"/>
                <w:szCs w:val="18"/>
              </w:rPr>
              <w:t>Registro contable básico</w:t>
            </w:r>
          </w:p>
        </w:tc>
        <w:tc>
          <w:tcPr>
            <w:tcW w:w="2015" w:type="dxa"/>
            <w:shd w:val="clear" w:color="auto" w:fill="D9E2F3"/>
            <w:vAlign w:val="center"/>
          </w:tcPr>
          <w:p w14:paraId="50B7F435" w14:textId="77777777" w:rsidR="00990B14" w:rsidRDefault="00000000">
            <w:pPr>
              <w:spacing w:before="20" w:after="20"/>
              <w:jc w:val="both"/>
            </w:pPr>
            <w:r>
              <w:rPr>
                <w:sz w:val="18"/>
                <w:szCs w:val="18"/>
              </w:rPr>
              <w:t>Omite operaciones o registra incorrectamente las operaciones del contrato de leasing.</w:t>
            </w:r>
          </w:p>
        </w:tc>
        <w:tc>
          <w:tcPr>
            <w:tcW w:w="1910" w:type="dxa"/>
            <w:shd w:val="clear" w:color="auto" w:fill="D9E2F3"/>
            <w:vAlign w:val="center"/>
          </w:tcPr>
          <w:p w14:paraId="3C207084" w14:textId="77777777" w:rsidR="00990B14" w:rsidRDefault="00000000">
            <w:pPr>
              <w:spacing w:before="20" w:after="20"/>
              <w:jc w:val="both"/>
            </w:pPr>
            <w:r>
              <w:rPr>
                <w:sz w:val="18"/>
                <w:szCs w:val="18"/>
              </w:rPr>
              <w:t>Registra las operaciones del contrato de leasing con errores menores.</w:t>
            </w:r>
          </w:p>
        </w:tc>
        <w:tc>
          <w:tcPr>
            <w:tcW w:w="2015" w:type="dxa"/>
            <w:shd w:val="clear" w:color="auto" w:fill="D9E2F3"/>
            <w:vAlign w:val="center"/>
          </w:tcPr>
          <w:p w14:paraId="43895AEF" w14:textId="77777777" w:rsidR="00990B14" w:rsidRDefault="00000000">
            <w:pPr>
              <w:spacing w:before="20" w:after="20"/>
              <w:jc w:val="both"/>
            </w:pPr>
            <w:r>
              <w:rPr>
                <w:sz w:val="18"/>
                <w:szCs w:val="18"/>
              </w:rPr>
              <w:t>Registra las operaciones del contrato de leasing correctamente, con asientos y respaldos completos.</w:t>
            </w:r>
          </w:p>
        </w:tc>
      </w:tr>
      <w:tr w:rsidR="00990B14" w14:paraId="60B05A91" w14:textId="77777777">
        <w:trPr>
          <w:cantSplit/>
          <w:jc w:val="center"/>
        </w:trPr>
        <w:tc>
          <w:tcPr>
            <w:tcW w:w="1715" w:type="dxa"/>
            <w:vMerge/>
            <w:shd w:val="clear" w:color="auto" w:fill="4472C4"/>
            <w:vAlign w:val="center"/>
          </w:tcPr>
          <w:p w14:paraId="490C1AEC" w14:textId="77777777" w:rsidR="00990B14" w:rsidRDefault="00990B14">
            <w:pPr>
              <w:spacing w:before="20" w:after="20"/>
            </w:pPr>
          </w:p>
        </w:tc>
        <w:tc>
          <w:tcPr>
            <w:tcW w:w="1750" w:type="dxa"/>
            <w:shd w:val="clear" w:color="auto" w:fill="D9E2F3"/>
            <w:vAlign w:val="center"/>
          </w:tcPr>
          <w:p w14:paraId="7071A54D" w14:textId="77777777" w:rsidR="00990B14" w:rsidRDefault="00000000">
            <w:pPr>
              <w:spacing w:before="20" w:after="20"/>
              <w:jc w:val="both"/>
            </w:pPr>
            <w:r>
              <w:rPr>
                <w:sz w:val="18"/>
                <w:szCs w:val="18"/>
              </w:rPr>
              <w:t>Comparación con el crédito bancario</w:t>
            </w:r>
          </w:p>
        </w:tc>
        <w:tc>
          <w:tcPr>
            <w:tcW w:w="2015" w:type="dxa"/>
            <w:shd w:val="clear" w:color="auto" w:fill="D9E2F3"/>
            <w:vAlign w:val="center"/>
          </w:tcPr>
          <w:p w14:paraId="52DF6572" w14:textId="77777777" w:rsidR="00990B14" w:rsidRDefault="00000000">
            <w:pPr>
              <w:spacing w:before="20" w:after="20"/>
              <w:jc w:val="both"/>
            </w:pPr>
            <w:r>
              <w:rPr>
                <w:sz w:val="18"/>
                <w:szCs w:val="18"/>
              </w:rPr>
              <w:t>La comparación es incompleta o contiene errores conceptuales.</w:t>
            </w:r>
          </w:p>
        </w:tc>
        <w:tc>
          <w:tcPr>
            <w:tcW w:w="1910" w:type="dxa"/>
            <w:shd w:val="clear" w:color="auto" w:fill="D9E2F3"/>
            <w:vAlign w:val="center"/>
          </w:tcPr>
          <w:p w14:paraId="5F43A499" w14:textId="77777777" w:rsidR="00990B14" w:rsidRDefault="00000000">
            <w:pPr>
              <w:spacing w:before="20" w:after="20"/>
              <w:jc w:val="both"/>
            </w:pPr>
            <w:r>
              <w:rPr>
                <w:sz w:val="18"/>
                <w:szCs w:val="18"/>
              </w:rPr>
              <w:t>Compara el leasing con el crédito bancario con diferencias y ventajas principales.</w:t>
            </w:r>
          </w:p>
        </w:tc>
        <w:tc>
          <w:tcPr>
            <w:tcW w:w="2015" w:type="dxa"/>
            <w:shd w:val="clear" w:color="auto" w:fill="D9E2F3"/>
            <w:vAlign w:val="center"/>
          </w:tcPr>
          <w:p w14:paraId="410E67C9" w14:textId="77777777" w:rsidR="00990B14" w:rsidRDefault="00000000">
            <w:pPr>
              <w:spacing w:before="20" w:after="20"/>
              <w:jc w:val="both"/>
            </w:pPr>
            <w:r>
              <w:rPr>
                <w:sz w:val="18"/>
                <w:szCs w:val="18"/>
              </w:rPr>
              <w:t>Compara con precisión, incluye ventajas y desventajas y concluye con fundamento.</w:t>
            </w:r>
          </w:p>
        </w:tc>
      </w:tr>
      <w:tr w:rsidR="00990B14" w14:paraId="0D0035C2" w14:textId="77777777">
        <w:trPr>
          <w:cantSplit/>
          <w:jc w:val="center"/>
        </w:trPr>
        <w:tc>
          <w:tcPr>
            <w:tcW w:w="7390" w:type="dxa"/>
            <w:gridSpan w:val="4"/>
            <w:shd w:val="clear" w:color="auto" w:fill="4472C4"/>
            <w:vAlign w:val="center"/>
          </w:tcPr>
          <w:p w14:paraId="688F50A1" w14:textId="77777777" w:rsidR="00990B14" w:rsidRDefault="00000000">
            <w:pPr>
              <w:keepNext/>
              <w:spacing w:before="20" w:after="20"/>
              <w:jc w:val="center"/>
            </w:pPr>
            <w:r>
              <w:rPr>
                <w:b/>
                <w:bCs/>
                <w:i/>
                <w:iCs/>
                <w:color w:val="FFFFFF"/>
                <w:sz w:val="18"/>
                <w:szCs w:val="18"/>
              </w:rPr>
              <w:t>TOTAL</w:t>
            </w:r>
          </w:p>
        </w:tc>
        <w:tc>
          <w:tcPr>
            <w:tcW w:w="2015" w:type="dxa"/>
            <w:shd w:val="clear" w:color="auto" w:fill="4472C4"/>
            <w:vAlign w:val="center"/>
          </w:tcPr>
          <w:p w14:paraId="5D15162A" w14:textId="77777777" w:rsidR="00990B14" w:rsidRDefault="00000000">
            <w:pPr>
              <w:keepNext/>
              <w:spacing w:before="20" w:after="20"/>
              <w:jc w:val="center"/>
            </w:pPr>
            <w:r>
              <w:rPr>
                <w:b/>
                <w:bCs/>
                <w:i/>
                <w:iCs/>
                <w:color w:val="FFFFFF"/>
                <w:sz w:val="18"/>
                <w:szCs w:val="18"/>
              </w:rPr>
              <w:t>100%</w:t>
            </w:r>
          </w:p>
        </w:tc>
      </w:tr>
    </w:tbl>
    <w:p w14:paraId="5C1B078D"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9405"/>
      </w:tblGrid>
      <w:tr w:rsidR="00990B14" w14:paraId="5D94E173" w14:textId="77777777">
        <w:trPr>
          <w:jc w:val="center"/>
        </w:trPr>
        <w:tc>
          <w:tcPr>
            <w:tcW w:w="9405" w:type="dxa"/>
            <w:shd w:val="clear" w:color="auto" w:fill="D9E2F3"/>
          </w:tcPr>
          <w:p w14:paraId="13FD8F48" w14:textId="77777777" w:rsidR="00990B14" w:rsidRDefault="00000000">
            <w:pPr>
              <w:spacing w:before="40" w:after="40"/>
              <w:jc w:val="both"/>
            </w:pPr>
            <w:r>
              <w:rPr>
                <w:b/>
                <w:bCs/>
                <w:i/>
                <w:iCs/>
                <w:sz w:val="18"/>
                <w:szCs w:val="18"/>
              </w:rPr>
              <w:t>Bibliografía básica:</w:t>
            </w:r>
          </w:p>
          <w:p w14:paraId="016E7595" w14:textId="77777777" w:rsidR="00990B14" w:rsidRDefault="00000000">
            <w:pPr>
              <w:numPr>
                <w:ilvl w:val="0"/>
                <w:numId w:val="140"/>
              </w:numPr>
              <w:spacing w:after="20"/>
              <w:jc w:val="both"/>
            </w:pPr>
            <w:r>
              <w:rPr>
                <w:sz w:val="18"/>
                <w:szCs w:val="18"/>
              </w:rPr>
              <w:t xml:space="preserve">Autoridad de Supervisión del Sistema Financiero, ASFI (s.f.). </w:t>
            </w:r>
            <w:r>
              <w:rPr>
                <w:i/>
                <w:iCs/>
                <w:sz w:val="18"/>
                <w:szCs w:val="18"/>
              </w:rPr>
              <w:t>Circulares de Servicios Financieros</w:t>
            </w:r>
            <w:r>
              <w:rPr>
                <w:sz w:val="18"/>
                <w:szCs w:val="18"/>
              </w:rPr>
              <w:t>. La Paz – Bolivia.</w:t>
            </w:r>
          </w:p>
          <w:p w14:paraId="05A17FFE" w14:textId="77777777" w:rsidR="00990B14" w:rsidRDefault="00000000">
            <w:pPr>
              <w:numPr>
                <w:ilvl w:val="0"/>
                <w:numId w:val="140"/>
              </w:numPr>
              <w:spacing w:after="20"/>
              <w:jc w:val="both"/>
            </w:pPr>
            <w:r>
              <w:rPr>
                <w:sz w:val="18"/>
                <w:szCs w:val="18"/>
              </w:rPr>
              <w:t xml:space="preserve">Autoridad de Supervisión del Sistema Financiero, ASFI (s.f.). </w:t>
            </w:r>
            <w:r>
              <w:rPr>
                <w:i/>
                <w:iCs/>
                <w:sz w:val="18"/>
                <w:szCs w:val="18"/>
              </w:rPr>
              <w:t>Manual de Cuentas para Entidades Financieras</w:t>
            </w:r>
            <w:r>
              <w:rPr>
                <w:sz w:val="18"/>
                <w:szCs w:val="18"/>
              </w:rPr>
              <w:t>. La Paz – Bolivia.</w:t>
            </w:r>
          </w:p>
          <w:p w14:paraId="1FB7E2DB" w14:textId="77777777" w:rsidR="00990B14" w:rsidRDefault="00000000">
            <w:pPr>
              <w:numPr>
                <w:ilvl w:val="0"/>
                <w:numId w:val="140"/>
              </w:numPr>
              <w:spacing w:after="20"/>
              <w:jc w:val="both"/>
            </w:pPr>
            <w:r>
              <w:rPr>
                <w:sz w:val="18"/>
                <w:szCs w:val="18"/>
              </w:rPr>
              <w:t xml:space="preserve">Autoridad de Supervisión del Sistema Financiero, ASFI (s.f.). </w:t>
            </w:r>
            <w:r>
              <w:rPr>
                <w:i/>
                <w:iCs/>
                <w:sz w:val="18"/>
                <w:szCs w:val="18"/>
              </w:rPr>
              <w:t>Recopilación de Normas para Servicios Financieros</w:t>
            </w:r>
            <w:r>
              <w:rPr>
                <w:sz w:val="18"/>
                <w:szCs w:val="18"/>
              </w:rPr>
              <w:t>. La Paz – Bolivia.</w:t>
            </w:r>
          </w:p>
          <w:p w14:paraId="6C86B7A4" w14:textId="77777777" w:rsidR="00990B14" w:rsidRDefault="00000000">
            <w:pPr>
              <w:numPr>
                <w:ilvl w:val="0"/>
                <w:numId w:val="140"/>
              </w:numPr>
              <w:spacing w:after="20"/>
              <w:jc w:val="both"/>
            </w:pPr>
            <w:r>
              <w:rPr>
                <w:sz w:val="18"/>
                <w:szCs w:val="18"/>
              </w:rPr>
              <w:t>Autoridad de Supervisión del Sistema Financiero. Circular ASFI N.º 749/2022, sobre los lineamientos para la emisión de bonos verdes, sociales y sostenibles.</w:t>
            </w:r>
          </w:p>
          <w:p w14:paraId="07400575" w14:textId="77777777" w:rsidR="00990B14" w:rsidRDefault="00000000">
            <w:pPr>
              <w:numPr>
                <w:ilvl w:val="0"/>
                <w:numId w:val="140"/>
              </w:numPr>
              <w:spacing w:after="20"/>
              <w:jc w:val="both"/>
            </w:pPr>
            <w:r>
              <w:rPr>
                <w:sz w:val="18"/>
                <w:szCs w:val="18"/>
              </w:rPr>
              <w:t>Autoridad de Supervisión del Sistema Financiero. Resolución ASFI/540/2025, de 3 de julio de 2025, Reglamento para Empresas de Tecnología Financiera.</w:t>
            </w:r>
          </w:p>
          <w:p w14:paraId="3E1E008B" w14:textId="77777777" w:rsidR="00990B14" w:rsidRDefault="00000000">
            <w:pPr>
              <w:numPr>
                <w:ilvl w:val="0"/>
                <w:numId w:val="140"/>
              </w:numPr>
              <w:spacing w:after="20"/>
              <w:jc w:val="both"/>
            </w:pPr>
            <w:r>
              <w:rPr>
                <w:sz w:val="18"/>
                <w:szCs w:val="18"/>
              </w:rPr>
              <w:t>Banco Central de Bolivia. Resolución de Directorio N.º 079/2022, de 6 de septiembre de 2022, Reglamento de Servicios de Pago, Instrumentos Electrónicos de Pago, Compensación y Liquidación.</w:t>
            </w:r>
          </w:p>
          <w:p w14:paraId="2007A053" w14:textId="77777777" w:rsidR="00990B14" w:rsidRDefault="00000000">
            <w:pPr>
              <w:numPr>
                <w:ilvl w:val="0"/>
                <w:numId w:val="140"/>
              </w:numPr>
              <w:spacing w:after="20"/>
              <w:jc w:val="both"/>
            </w:pPr>
            <w:r>
              <w:rPr>
                <w:sz w:val="18"/>
                <w:szCs w:val="18"/>
              </w:rPr>
              <w:t>Banco Central de Bolivia. Resolución de Directorio N.º 118/2026, de 31 de julio de 2026, que modifica el Reglamento de Encaje Legal.</w:t>
            </w:r>
          </w:p>
          <w:p w14:paraId="5F9E6319" w14:textId="77777777" w:rsidR="00990B14" w:rsidRDefault="00000000">
            <w:pPr>
              <w:numPr>
                <w:ilvl w:val="0"/>
                <w:numId w:val="140"/>
              </w:numPr>
              <w:spacing w:after="20"/>
              <w:jc w:val="both"/>
            </w:pPr>
            <w:r>
              <w:rPr>
                <w:sz w:val="18"/>
                <w:szCs w:val="18"/>
              </w:rPr>
              <w:t>Código de Comercio, Decreto Ley N.º 14379, de 25 de febrero de 1977.</w:t>
            </w:r>
          </w:p>
          <w:p w14:paraId="5A4C92D8" w14:textId="77777777" w:rsidR="00990B14" w:rsidRDefault="00000000">
            <w:pPr>
              <w:numPr>
                <w:ilvl w:val="0"/>
                <w:numId w:val="140"/>
              </w:numPr>
              <w:spacing w:after="20"/>
              <w:jc w:val="both"/>
            </w:pPr>
            <w:r>
              <w:rPr>
                <w:sz w:val="18"/>
                <w:szCs w:val="18"/>
              </w:rPr>
              <w:t>Código Tributario Boliviano, Ley N.º 2492, de 2 de agosto de 2003.</w:t>
            </w:r>
          </w:p>
          <w:p w14:paraId="46AA3D5D" w14:textId="77777777" w:rsidR="00990B14" w:rsidRDefault="00000000">
            <w:pPr>
              <w:numPr>
                <w:ilvl w:val="0"/>
                <w:numId w:val="140"/>
              </w:numPr>
              <w:spacing w:after="20"/>
              <w:jc w:val="both"/>
            </w:pPr>
            <w:r>
              <w:rPr>
                <w:sz w:val="18"/>
                <w:szCs w:val="18"/>
              </w:rPr>
              <w:t xml:space="preserve">Colegio de Auditores o Contadores Públicos de Bolivia, CAUB – Consejo Técnico Nacional de Auditoría y Contabilidad, CTNAC (2023). </w:t>
            </w:r>
            <w:r>
              <w:rPr>
                <w:i/>
                <w:iCs/>
                <w:sz w:val="18"/>
                <w:szCs w:val="18"/>
              </w:rPr>
              <w:t>Compendio de Normas de Contabilidad y Auditoría</w:t>
            </w:r>
            <w:r>
              <w:rPr>
                <w:sz w:val="18"/>
                <w:szCs w:val="18"/>
              </w:rPr>
              <w:t>. Santa Cruz – Bolivia.</w:t>
            </w:r>
          </w:p>
          <w:p w14:paraId="0C00EAE9" w14:textId="77777777" w:rsidR="00990B14" w:rsidRDefault="00000000">
            <w:pPr>
              <w:numPr>
                <w:ilvl w:val="0"/>
                <w:numId w:val="140"/>
              </w:numPr>
              <w:spacing w:after="20"/>
              <w:jc w:val="both"/>
            </w:pPr>
            <w:r>
              <w:rPr>
                <w:sz w:val="18"/>
                <w:szCs w:val="18"/>
              </w:rPr>
              <w:t>Decreto Supremo N.º 0530, Aplicación del Interés Penal.</w:t>
            </w:r>
          </w:p>
          <w:p w14:paraId="1A40A31F" w14:textId="77777777" w:rsidR="00990B14" w:rsidRDefault="00000000">
            <w:pPr>
              <w:numPr>
                <w:ilvl w:val="0"/>
                <w:numId w:val="140"/>
              </w:numPr>
              <w:spacing w:after="20"/>
              <w:jc w:val="both"/>
            </w:pPr>
            <w:r>
              <w:rPr>
                <w:sz w:val="18"/>
                <w:szCs w:val="18"/>
              </w:rPr>
              <w:t>Decreto Supremo N.º 1842, Tasas de Interés y Niveles de Cartera.</w:t>
            </w:r>
          </w:p>
          <w:p w14:paraId="3CBE91C3" w14:textId="77777777" w:rsidR="00990B14" w:rsidRDefault="00000000">
            <w:pPr>
              <w:numPr>
                <w:ilvl w:val="0"/>
                <w:numId w:val="140"/>
              </w:numPr>
              <w:spacing w:after="20"/>
              <w:jc w:val="both"/>
            </w:pPr>
            <w:r>
              <w:rPr>
                <w:sz w:val="18"/>
                <w:szCs w:val="18"/>
              </w:rPr>
              <w:t>Decreto Supremo N.º 2055, Aplicación de Tasas de Interés Mínimas para Depósitos del Público.</w:t>
            </w:r>
          </w:p>
          <w:p w14:paraId="75EAB3D6" w14:textId="77777777" w:rsidR="00990B14" w:rsidRDefault="00000000">
            <w:pPr>
              <w:numPr>
                <w:ilvl w:val="0"/>
                <w:numId w:val="140"/>
              </w:numPr>
              <w:spacing w:after="20"/>
              <w:jc w:val="both"/>
            </w:pPr>
            <w:r>
              <w:rPr>
                <w:sz w:val="18"/>
                <w:szCs w:val="18"/>
              </w:rPr>
              <w:t>Decreto Supremo N.º 4904, de 5 de abril de 2023, Reglamento de la Unidad de Investigaciones Financieras.</w:t>
            </w:r>
          </w:p>
          <w:p w14:paraId="48021C51" w14:textId="77777777" w:rsidR="00990B14" w:rsidRDefault="00000000">
            <w:pPr>
              <w:numPr>
                <w:ilvl w:val="0"/>
                <w:numId w:val="140"/>
              </w:numPr>
              <w:spacing w:after="20"/>
              <w:jc w:val="both"/>
            </w:pPr>
            <w:r>
              <w:rPr>
                <w:sz w:val="18"/>
                <w:szCs w:val="18"/>
              </w:rPr>
              <w:t>Ley N.º 1670 del Banco Central de Bolivia, de 31 de octubre de 1995.</w:t>
            </w:r>
          </w:p>
          <w:p w14:paraId="140527C5" w14:textId="77777777" w:rsidR="00990B14" w:rsidRDefault="00000000">
            <w:pPr>
              <w:numPr>
                <w:ilvl w:val="0"/>
                <w:numId w:val="140"/>
              </w:numPr>
              <w:spacing w:after="20"/>
              <w:jc w:val="both"/>
            </w:pPr>
            <w:r>
              <w:rPr>
                <w:sz w:val="18"/>
                <w:szCs w:val="18"/>
              </w:rPr>
              <w:t>Ley N.º 393 de Servicios Financieros, de 21 de agosto de 2013.</w:t>
            </w:r>
          </w:p>
          <w:p w14:paraId="24D369F7" w14:textId="77777777" w:rsidR="00990B14" w:rsidRDefault="00000000">
            <w:pPr>
              <w:numPr>
                <w:ilvl w:val="0"/>
                <w:numId w:val="140"/>
              </w:numPr>
              <w:spacing w:after="20"/>
              <w:jc w:val="both"/>
            </w:pPr>
            <w:r>
              <w:rPr>
                <w:sz w:val="18"/>
                <w:szCs w:val="18"/>
              </w:rPr>
              <w:t xml:space="preserve">Mejía Flores, N. R. (2021). </w:t>
            </w:r>
            <w:r>
              <w:rPr>
                <w:i/>
                <w:iCs/>
                <w:sz w:val="18"/>
                <w:szCs w:val="18"/>
              </w:rPr>
              <w:t>El “ABC” de la Contabilidad de Bancos y Entidades Financieras</w:t>
            </w:r>
            <w:r>
              <w:rPr>
                <w:sz w:val="18"/>
                <w:szCs w:val="18"/>
              </w:rPr>
              <w:t>. Primera parte. La Paz – Bolivia.</w:t>
            </w:r>
          </w:p>
        </w:tc>
      </w:tr>
      <w:tr w:rsidR="00990B14" w14:paraId="0549CF9C" w14:textId="77777777">
        <w:trPr>
          <w:jc w:val="center"/>
        </w:trPr>
        <w:tc>
          <w:tcPr>
            <w:tcW w:w="9405" w:type="dxa"/>
            <w:shd w:val="clear" w:color="auto" w:fill="D9E2F3"/>
          </w:tcPr>
          <w:p w14:paraId="3399E5E0" w14:textId="77777777" w:rsidR="00990B14" w:rsidRDefault="00000000">
            <w:pPr>
              <w:spacing w:before="40" w:after="40"/>
              <w:jc w:val="both"/>
            </w:pPr>
            <w:r>
              <w:rPr>
                <w:b/>
                <w:bCs/>
                <w:i/>
                <w:iCs/>
                <w:sz w:val="18"/>
                <w:szCs w:val="18"/>
              </w:rPr>
              <w:t>Bibliografía complementaria:</w:t>
            </w:r>
          </w:p>
          <w:p w14:paraId="321487D6" w14:textId="77777777" w:rsidR="00990B14" w:rsidRDefault="00000000">
            <w:pPr>
              <w:numPr>
                <w:ilvl w:val="0"/>
                <w:numId w:val="140"/>
              </w:numPr>
              <w:spacing w:after="20"/>
              <w:jc w:val="both"/>
            </w:pPr>
            <w:r>
              <w:rPr>
                <w:sz w:val="18"/>
                <w:szCs w:val="18"/>
              </w:rPr>
              <w:t xml:space="preserve">Alvarado Ralde, H. (2023). </w:t>
            </w:r>
            <w:r>
              <w:rPr>
                <w:i/>
                <w:iCs/>
                <w:sz w:val="18"/>
                <w:szCs w:val="18"/>
              </w:rPr>
              <w:t>Contabilidad para Entidades Financieras con Excel</w:t>
            </w:r>
            <w:r>
              <w:rPr>
                <w:sz w:val="18"/>
                <w:szCs w:val="18"/>
              </w:rPr>
              <w:t>. La Paz – Bolivia.</w:t>
            </w:r>
          </w:p>
          <w:p w14:paraId="58ABDED4" w14:textId="77777777" w:rsidR="00990B14" w:rsidRDefault="00000000">
            <w:pPr>
              <w:numPr>
                <w:ilvl w:val="0"/>
                <w:numId w:val="140"/>
              </w:numPr>
              <w:spacing w:after="20"/>
              <w:jc w:val="both"/>
            </w:pPr>
            <w:r>
              <w:rPr>
                <w:sz w:val="18"/>
                <w:szCs w:val="18"/>
              </w:rPr>
              <w:t>Autoridad de Supervisión del Sistema Financiero. Boletín informativo trimestral y reportes del sistema financiero.</w:t>
            </w:r>
          </w:p>
          <w:p w14:paraId="54904CCC" w14:textId="77777777" w:rsidR="00990B14" w:rsidRDefault="00000000">
            <w:pPr>
              <w:numPr>
                <w:ilvl w:val="0"/>
                <w:numId w:val="140"/>
              </w:numPr>
              <w:spacing w:after="20"/>
              <w:jc w:val="both"/>
            </w:pPr>
            <w:r>
              <w:rPr>
                <w:sz w:val="18"/>
                <w:szCs w:val="18"/>
              </w:rPr>
              <w:t xml:space="preserve">Comité de Supervisión Bancaria de Basilea (2011). </w:t>
            </w:r>
            <w:r>
              <w:rPr>
                <w:i/>
                <w:iCs/>
                <w:sz w:val="18"/>
                <w:szCs w:val="18"/>
              </w:rPr>
              <w:t>Basilea III: marco regulador global para reforzar los bancos y sistemas bancarios</w:t>
            </w:r>
            <w:r>
              <w:rPr>
                <w:sz w:val="18"/>
                <w:szCs w:val="18"/>
              </w:rPr>
              <w:t>. Basilea: Banco de Pagos Internacionales.</w:t>
            </w:r>
          </w:p>
          <w:p w14:paraId="3EDF0986" w14:textId="77777777" w:rsidR="00990B14" w:rsidRDefault="00000000">
            <w:pPr>
              <w:numPr>
                <w:ilvl w:val="0"/>
                <w:numId w:val="140"/>
              </w:numPr>
              <w:spacing w:after="20"/>
              <w:jc w:val="both"/>
            </w:pPr>
            <w:r>
              <w:rPr>
                <w:sz w:val="18"/>
                <w:szCs w:val="18"/>
              </w:rPr>
              <w:t>Consejo de Normas Internacionales de Contabilidad (IASB). NIIF 9 Instrumentos Financieros y NIIF 16 Arrendamientos.</w:t>
            </w:r>
          </w:p>
          <w:p w14:paraId="0D7D243D" w14:textId="77777777" w:rsidR="00990B14" w:rsidRDefault="00000000">
            <w:pPr>
              <w:numPr>
                <w:ilvl w:val="0"/>
                <w:numId w:val="140"/>
              </w:numPr>
              <w:spacing w:after="20"/>
              <w:jc w:val="both"/>
            </w:pPr>
            <w:r>
              <w:rPr>
                <w:sz w:val="18"/>
                <w:szCs w:val="18"/>
              </w:rPr>
              <w:t xml:space="preserve">Mendoza Mendoza, L. A. (2023). </w:t>
            </w:r>
            <w:r>
              <w:rPr>
                <w:i/>
                <w:iCs/>
                <w:sz w:val="18"/>
                <w:szCs w:val="18"/>
              </w:rPr>
              <w:t>Contabilidad de Bancos y Entidades Financieras</w:t>
            </w:r>
            <w:r>
              <w:rPr>
                <w:sz w:val="18"/>
                <w:szCs w:val="18"/>
              </w:rPr>
              <w:t>. La Paz – Bolivia: Ediciones Punto e Imagen.</w:t>
            </w:r>
          </w:p>
          <w:p w14:paraId="14E3E160" w14:textId="77777777" w:rsidR="00990B14" w:rsidRDefault="00000000">
            <w:pPr>
              <w:numPr>
                <w:ilvl w:val="0"/>
                <w:numId w:val="140"/>
              </w:numPr>
              <w:spacing w:after="20"/>
              <w:jc w:val="both"/>
            </w:pPr>
            <w:r>
              <w:rPr>
                <w:sz w:val="18"/>
                <w:szCs w:val="18"/>
              </w:rPr>
              <w:t>Sitios web oficiales: www.asfi.gob.bo, www.bcb.gob.bo, www.bbv.com.bo y www.uif.gob.bo.</w:t>
            </w:r>
          </w:p>
        </w:tc>
      </w:tr>
    </w:tbl>
    <w:p w14:paraId="7BAE3BD5" w14:textId="77777777" w:rsidR="00990B14" w:rsidRDefault="00000000">
      <w:pPr>
        <w:pStyle w:val="TituloPlanAsignatura"/>
        <w:keepNext/>
        <w:pageBreakBefore/>
        <w:spacing w:after="120"/>
        <w:jc w:val="center"/>
        <w:outlineLvl w:val="2"/>
      </w:pPr>
      <w:bookmarkStart w:id="167" w:name="_Toc000000108"/>
      <w:r>
        <w:rPr>
          <w:b/>
          <w:bCs/>
          <w:sz w:val="24"/>
          <w:szCs w:val="24"/>
        </w:rPr>
        <w:t>CPA-304 Presupuesto y Contabilidad Gubernamental</w:t>
      </w:r>
      <w:bookmarkEnd w:id="167"/>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249"/>
        <w:gridCol w:w="1100"/>
        <w:gridCol w:w="149"/>
        <w:gridCol w:w="635"/>
        <w:gridCol w:w="615"/>
        <w:gridCol w:w="952"/>
        <w:gridCol w:w="298"/>
        <w:gridCol w:w="1250"/>
        <w:gridCol w:w="20"/>
        <w:gridCol w:w="385"/>
        <w:gridCol w:w="398"/>
        <w:gridCol w:w="447"/>
        <w:gridCol w:w="1907"/>
      </w:tblGrid>
      <w:tr w:rsidR="00990B14" w14:paraId="2AC29484" w14:textId="77777777">
        <w:trPr>
          <w:cantSplit/>
          <w:jc w:val="center"/>
        </w:trPr>
        <w:tc>
          <w:tcPr>
            <w:tcW w:w="2349" w:type="dxa"/>
            <w:gridSpan w:val="2"/>
            <w:shd w:val="clear" w:color="auto" w:fill="4472C4"/>
            <w:vAlign w:val="center"/>
          </w:tcPr>
          <w:p w14:paraId="663A4201" w14:textId="77777777" w:rsidR="00990B14" w:rsidRDefault="00000000">
            <w:pPr>
              <w:keepNext/>
              <w:spacing w:before="20" w:after="20"/>
              <w:jc w:val="center"/>
            </w:pPr>
            <w:r>
              <w:rPr>
                <w:b/>
                <w:bCs/>
                <w:i/>
                <w:iCs/>
                <w:color w:val="FFFFFF"/>
                <w:sz w:val="18"/>
                <w:szCs w:val="18"/>
              </w:rPr>
              <w:t>Asignatura</w:t>
            </w:r>
          </w:p>
        </w:tc>
        <w:tc>
          <w:tcPr>
            <w:tcW w:w="2351" w:type="dxa"/>
            <w:gridSpan w:val="4"/>
            <w:shd w:val="clear" w:color="auto" w:fill="4472C4"/>
            <w:vAlign w:val="center"/>
          </w:tcPr>
          <w:p w14:paraId="6403024B" w14:textId="77777777" w:rsidR="00990B14" w:rsidRDefault="00000000">
            <w:pPr>
              <w:keepNext/>
              <w:spacing w:before="20" w:after="20"/>
              <w:jc w:val="center"/>
            </w:pPr>
            <w:r>
              <w:rPr>
                <w:b/>
                <w:bCs/>
                <w:i/>
                <w:iCs/>
                <w:color w:val="FFFFFF"/>
                <w:sz w:val="18"/>
                <w:szCs w:val="18"/>
              </w:rPr>
              <w:t>Sigla</w:t>
            </w:r>
          </w:p>
        </w:tc>
        <w:tc>
          <w:tcPr>
            <w:tcW w:w="2351" w:type="dxa"/>
            <w:gridSpan w:val="5"/>
            <w:shd w:val="clear" w:color="auto" w:fill="4472C4"/>
            <w:vAlign w:val="center"/>
          </w:tcPr>
          <w:p w14:paraId="627BE098" w14:textId="77777777" w:rsidR="00990B14" w:rsidRDefault="00000000">
            <w:pPr>
              <w:keepNext/>
              <w:spacing w:before="20" w:after="20"/>
              <w:jc w:val="center"/>
            </w:pPr>
            <w:r>
              <w:rPr>
                <w:b/>
                <w:bCs/>
                <w:i/>
                <w:iCs/>
                <w:color w:val="FFFFFF"/>
                <w:sz w:val="18"/>
                <w:szCs w:val="18"/>
              </w:rPr>
              <w:t>Nivel/Área</w:t>
            </w:r>
          </w:p>
        </w:tc>
        <w:tc>
          <w:tcPr>
            <w:tcW w:w="2354" w:type="dxa"/>
            <w:gridSpan w:val="2"/>
            <w:shd w:val="clear" w:color="auto" w:fill="4472C4"/>
            <w:vAlign w:val="center"/>
          </w:tcPr>
          <w:p w14:paraId="45640FE5" w14:textId="77777777" w:rsidR="00990B14" w:rsidRDefault="00000000">
            <w:pPr>
              <w:keepNext/>
              <w:spacing w:before="20" w:after="20"/>
              <w:jc w:val="center"/>
            </w:pPr>
            <w:r>
              <w:rPr>
                <w:b/>
                <w:bCs/>
                <w:i/>
                <w:iCs/>
                <w:color w:val="FFFFFF"/>
                <w:sz w:val="18"/>
                <w:szCs w:val="18"/>
              </w:rPr>
              <w:t>Prerrequisito</w:t>
            </w:r>
          </w:p>
        </w:tc>
      </w:tr>
      <w:tr w:rsidR="00990B14" w14:paraId="664DD129" w14:textId="77777777">
        <w:trPr>
          <w:cantSplit/>
          <w:jc w:val="center"/>
        </w:trPr>
        <w:tc>
          <w:tcPr>
            <w:tcW w:w="2349" w:type="dxa"/>
            <w:gridSpan w:val="2"/>
            <w:shd w:val="clear" w:color="auto" w:fill="D9E2F3"/>
            <w:vAlign w:val="center"/>
          </w:tcPr>
          <w:p w14:paraId="05C85B02" w14:textId="77777777" w:rsidR="00990B14" w:rsidRDefault="00000000">
            <w:pPr>
              <w:spacing w:before="20" w:after="20"/>
              <w:jc w:val="center"/>
            </w:pPr>
            <w:r>
              <w:rPr>
                <w:b/>
                <w:bCs/>
                <w:i/>
                <w:iCs/>
                <w:sz w:val="18"/>
                <w:szCs w:val="18"/>
              </w:rPr>
              <w:t>Presupuesto y Contabilidad Gubernamental</w:t>
            </w:r>
          </w:p>
        </w:tc>
        <w:tc>
          <w:tcPr>
            <w:tcW w:w="2351" w:type="dxa"/>
            <w:gridSpan w:val="4"/>
            <w:shd w:val="clear" w:color="auto" w:fill="D9E2F3"/>
            <w:vAlign w:val="center"/>
          </w:tcPr>
          <w:p w14:paraId="7258010A" w14:textId="77777777" w:rsidR="00990B14" w:rsidRDefault="00000000">
            <w:pPr>
              <w:spacing w:before="20" w:after="20"/>
              <w:jc w:val="center"/>
            </w:pPr>
            <w:r>
              <w:rPr>
                <w:b/>
                <w:bCs/>
                <w:i/>
                <w:iCs/>
                <w:sz w:val="18"/>
                <w:szCs w:val="18"/>
              </w:rPr>
              <w:t>CPA-304</w:t>
            </w:r>
          </w:p>
        </w:tc>
        <w:tc>
          <w:tcPr>
            <w:tcW w:w="2351" w:type="dxa"/>
            <w:gridSpan w:val="5"/>
            <w:shd w:val="clear" w:color="auto" w:fill="D9E2F3"/>
            <w:vAlign w:val="center"/>
          </w:tcPr>
          <w:p w14:paraId="352CC802" w14:textId="77777777" w:rsidR="00990B14" w:rsidRDefault="00000000">
            <w:pPr>
              <w:spacing w:before="20" w:after="20"/>
              <w:jc w:val="center"/>
            </w:pPr>
            <w:r>
              <w:rPr>
                <w:b/>
                <w:bCs/>
                <w:i/>
                <w:iCs/>
                <w:sz w:val="18"/>
                <w:szCs w:val="18"/>
              </w:rPr>
              <w:t>Información Financiera</w:t>
            </w:r>
          </w:p>
        </w:tc>
        <w:tc>
          <w:tcPr>
            <w:tcW w:w="2354" w:type="dxa"/>
            <w:gridSpan w:val="2"/>
            <w:shd w:val="clear" w:color="auto" w:fill="D9E2F3"/>
            <w:vAlign w:val="center"/>
          </w:tcPr>
          <w:p w14:paraId="1201B372" w14:textId="77777777" w:rsidR="00990B14" w:rsidRDefault="00000000">
            <w:pPr>
              <w:spacing w:before="20" w:after="20"/>
              <w:jc w:val="center"/>
            </w:pPr>
            <w:r>
              <w:rPr>
                <w:b/>
                <w:bCs/>
                <w:i/>
                <w:iCs/>
                <w:sz w:val="18"/>
                <w:szCs w:val="18"/>
              </w:rPr>
              <w:t>CPA-201, CPA-202, CPA-203</w:t>
            </w:r>
          </w:p>
        </w:tc>
      </w:tr>
      <w:tr w:rsidR="00990B14" w14:paraId="6119BE80" w14:textId="77777777">
        <w:trPr>
          <w:cantSplit/>
          <w:jc w:val="center"/>
        </w:trPr>
        <w:tc>
          <w:tcPr>
            <w:tcW w:w="7498" w:type="dxa"/>
            <w:gridSpan w:val="12"/>
            <w:shd w:val="clear" w:color="auto" w:fill="4472C4"/>
            <w:vAlign w:val="center"/>
          </w:tcPr>
          <w:p w14:paraId="525E0D4D" w14:textId="77777777" w:rsidR="00990B14" w:rsidRDefault="00000000">
            <w:pPr>
              <w:keepNext/>
              <w:spacing w:before="20" w:after="20"/>
              <w:jc w:val="center"/>
            </w:pPr>
            <w:r>
              <w:rPr>
                <w:b/>
                <w:bCs/>
                <w:i/>
                <w:iCs/>
                <w:color w:val="FFFFFF"/>
                <w:sz w:val="18"/>
                <w:szCs w:val="18"/>
              </w:rPr>
              <w:t>Carga Horaria</w:t>
            </w:r>
          </w:p>
        </w:tc>
        <w:tc>
          <w:tcPr>
            <w:tcW w:w="1907" w:type="dxa"/>
            <w:shd w:val="clear" w:color="auto" w:fill="4472C4"/>
            <w:vAlign w:val="center"/>
          </w:tcPr>
          <w:p w14:paraId="7D312307" w14:textId="77777777" w:rsidR="00990B14" w:rsidRDefault="00000000">
            <w:pPr>
              <w:keepNext/>
              <w:spacing w:before="20" w:after="20"/>
              <w:jc w:val="center"/>
            </w:pPr>
            <w:r>
              <w:rPr>
                <w:b/>
                <w:bCs/>
                <w:i/>
                <w:iCs/>
                <w:color w:val="FFFFFF"/>
                <w:sz w:val="18"/>
                <w:szCs w:val="18"/>
              </w:rPr>
              <w:t>Créditos</w:t>
            </w:r>
          </w:p>
        </w:tc>
      </w:tr>
      <w:tr w:rsidR="00990B14" w14:paraId="0C77DEA0" w14:textId="77777777">
        <w:trPr>
          <w:cantSplit/>
          <w:jc w:val="center"/>
        </w:trPr>
        <w:tc>
          <w:tcPr>
            <w:tcW w:w="1249" w:type="dxa"/>
            <w:shd w:val="clear" w:color="auto" w:fill="4472C4"/>
            <w:vAlign w:val="center"/>
          </w:tcPr>
          <w:p w14:paraId="33AE1130" w14:textId="77777777" w:rsidR="00990B14" w:rsidRDefault="00000000">
            <w:pPr>
              <w:keepNext/>
              <w:spacing w:before="20" w:after="20"/>
              <w:jc w:val="center"/>
            </w:pPr>
            <w:r>
              <w:rPr>
                <w:b/>
                <w:bCs/>
                <w:i/>
                <w:iCs/>
                <w:color w:val="FFFFFF"/>
                <w:sz w:val="18"/>
                <w:szCs w:val="18"/>
              </w:rPr>
              <w:t>HP</w:t>
            </w:r>
          </w:p>
        </w:tc>
        <w:tc>
          <w:tcPr>
            <w:tcW w:w="1249" w:type="dxa"/>
            <w:gridSpan w:val="2"/>
            <w:shd w:val="clear" w:color="auto" w:fill="4472C4"/>
            <w:vAlign w:val="center"/>
          </w:tcPr>
          <w:p w14:paraId="37D62C5D" w14:textId="77777777" w:rsidR="00990B14" w:rsidRDefault="00000000">
            <w:pPr>
              <w:keepNext/>
              <w:spacing w:before="20" w:after="20"/>
              <w:jc w:val="center"/>
            </w:pPr>
            <w:r>
              <w:rPr>
                <w:b/>
                <w:bCs/>
                <w:i/>
                <w:iCs/>
                <w:color w:val="FFFFFF"/>
                <w:sz w:val="18"/>
                <w:szCs w:val="18"/>
              </w:rPr>
              <w:t>HAA</w:t>
            </w:r>
          </w:p>
        </w:tc>
        <w:tc>
          <w:tcPr>
            <w:tcW w:w="1250" w:type="dxa"/>
            <w:gridSpan w:val="2"/>
            <w:shd w:val="clear" w:color="auto" w:fill="4472C4"/>
            <w:vAlign w:val="center"/>
          </w:tcPr>
          <w:p w14:paraId="2E70C207" w14:textId="77777777" w:rsidR="00990B14" w:rsidRDefault="00000000">
            <w:pPr>
              <w:keepNext/>
              <w:spacing w:before="20" w:after="20"/>
              <w:jc w:val="center"/>
            </w:pPr>
            <w:r>
              <w:rPr>
                <w:b/>
                <w:bCs/>
                <w:i/>
                <w:iCs/>
                <w:color w:val="FFFFFF"/>
                <w:sz w:val="18"/>
                <w:szCs w:val="18"/>
              </w:rPr>
              <w:t>HTG</w:t>
            </w:r>
          </w:p>
        </w:tc>
        <w:tc>
          <w:tcPr>
            <w:tcW w:w="1250" w:type="dxa"/>
            <w:gridSpan w:val="2"/>
            <w:shd w:val="clear" w:color="auto" w:fill="4472C4"/>
            <w:vAlign w:val="center"/>
          </w:tcPr>
          <w:p w14:paraId="36D06301" w14:textId="77777777" w:rsidR="00990B14" w:rsidRDefault="00000000">
            <w:pPr>
              <w:keepNext/>
              <w:spacing w:before="20" w:after="20"/>
              <w:jc w:val="center"/>
            </w:pPr>
            <w:r>
              <w:rPr>
                <w:b/>
                <w:bCs/>
                <w:i/>
                <w:iCs/>
                <w:color w:val="FFFFFF"/>
                <w:sz w:val="18"/>
                <w:szCs w:val="18"/>
              </w:rPr>
              <w:t>HIP</w:t>
            </w:r>
          </w:p>
        </w:tc>
        <w:tc>
          <w:tcPr>
            <w:tcW w:w="1250" w:type="dxa"/>
            <w:shd w:val="clear" w:color="auto" w:fill="4472C4"/>
            <w:vAlign w:val="center"/>
          </w:tcPr>
          <w:p w14:paraId="7372FCBF" w14:textId="77777777" w:rsidR="00990B14" w:rsidRDefault="00000000">
            <w:pPr>
              <w:keepNext/>
              <w:spacing w:before="20" w:after="20"/>
              <w:jc w:val="center"/>
            </w:pPr>
            <w:r>
              <w:rPr>
                <w:b/>
                <w:bCs/>
                <w:i/>
                <w:iCs/>
                <w:color w:val="FFFFFF"/>
                <w:sz w:val="18"/>
                <w:szCs w:val="18"/>
              </w:rPr>
              <w:t>HE</w:t>
            </w:r>
          </w:p>
        </w:tc>
        <w:tc>
          <w:tcPr>
            <w:tcW w:w="1250" w:type="dxa"/>
            <w:gridSpan w:val="4"/>
            <w:shd w:val="clear" w:color="auto" w:fill="4472C4"/>
            <w:vAlign w:val="center"/>
          </w:tcPr>
          <w:p w14:paraId="1D570DFF" w14:textId="77777777" w:rsidR="00990B14" w:rsidRDefault="00000000">
            <w:pPr>
              <w:keepNext/>
              <w:spacing w:before="20" w:after="20"/>
              <w:jc w:val="center"/>
            </w:pPr>
            <w:r>
              <w:rPr>
                <w:b/>
                <w:bCs/>
                <w:i/>
                <w:iCs/>
                <w:color w:val="FFFFFF"/>
                <w:sz w:val="18"/>
                <w:szCs w:val="18"/>
              </w:rPr>
              <w:t>TOTAL</w:t>
            </w:r>
          </w:p>
        </w:tc>
        <w:tc>
          <w:tcPr>
            <w:tcW w:w="1907" w:type="dxa"/>
            <w:vMerge w:val="restart"/>
            <w:shd w:val="clear" w:color="auto" w:fill="D9E2F3"/>
            <w:vAlign w:val="center"/>
          </w:tcPr>
          <w:p w14:paraId="2FC0A49D" w14:textId="77777777" w:rsidR="00990B14" w:rsidRDefault="00000000">
            <w:pPr>
              <w:spacing w:before="20" w:after="20"/>
              <w:jc w:val="center"/>
            </w:pPr>
            <w:r>
              <w:rPr>
                <w:sz w:val="18"/>
                <w:szCs w:val="18"/>
              </w:rPr>
              <w:t>8</w:t>
            </w:r>
          </w:p>
        </w:tc>
      </w:tr>
      <w:tr w:rsidR="00990B14" w14:paraId="6878953C" w14:textId="77777777">
        <w:trPr>
          <w:cantSplit/>
          <w:jc w:val="center"/>
        </w:trPr>
        <w:tc>
          <w:tcPr>
            <w:tcW w:w="1249" w:type="dxa"/>
            <w:shd w:val="clear" w:color="auto" w:fill="D9E2F3"/>
            <w:vAlign w:val="center"/>
          </w:tcPr>
          <w:p w14:paraId="6DA44D74" w14:textId="77777777" w:rsidR="00990B14" w:rsidRDefault="00000000">
            <w:pPr>
              <w:spacing w:before="20" w:after="20"/>
              <w:jc w:val="center"/>
            </w:pPr>
            <w:r>
              <w:rPr>
                <w:sz w:val="18"/>
                <w:szCs w:val="18"/>
              </w:rPr>
              <w:t>160</w:t>
            </w:r>
          </w:p>
        </w:tc>
        <w:tc>
          <w:tcPr>
            <w:tcW w:w="1249" w:type="dxa"/>
            <w:gridSpan w:val="2"/>
            <w:shd w:val="clear" w:color="auto" w:fill="D9E2F3"/>
            <w:vAlign w:val="center"/>
          </w:tcPr>
          <w:p w14:paraId="533C5739" w14:textId="77777777" w:rsidR="00990B14" w:rsidRDefault="00000000">
            <w:pPr>
              <w:spacing w:before="20" w:after="20"/>
              <w:jc w:val="center"/>
            </w:pPr>
            <w:r>
              <w:rPr>
                <w:sz w:val="18"/>
                <w:szCs w:val="18"/>
              </w:rPr>
              <w:t>20</w:t>
            </w:r>
          </w:p>
        </w:tc>
        <w:tc>
          <w:tcPr>
            <w:tcW w:w="1250" w:type="dxa"/>
            <w:gridSpan w:val="2"/>
            <w:shd w:val="clear" w:color="auto" w:fill="D9E2F3"/>
            <w:vAlign w:val="center"/>
          </w:tcPr>
          <w:p w14:paraId="4CEAF7C1" w14:textId="77777777" w:rsidR="00990B14" w:rsidRDefault="00000000">
            <w:pPr>
              <w:spacing w:before="20" w:after="20"/>
              <w:jc w:val="center"/>
            </w:pPr>
            <w:r>
              <w:rPr>
                <w:sz w:val="18"/>
                <w:szCs w:val="18"/>
              </w:rPr>
              <w:t>20</w:t>
            </w:r>
          </w:p>
        </w:tc>
        <w:tc>
          <w:tcPr>
            <w:tcW w:w="1250" w:type="dxa"/>
            <w:gridSpan w:val="2"/>
            <w:shd w:val="clear" w:color="auto" w:fill="D9E2F3"/>
            <w:vAlign w:val="center"/>
          </w:tcPr>
          <w:p w14:paraId="6D2F7CFB" w14:textId="77777777" w:rsidR="00990B14" w:rsidRDefault="00000000">
            <w:pPr>
              <w:spacing w:before="20" w:after="20"/>
              <w:jc w:val="center"/>
            </w:pPr>
            <w:r>
              <w:rPr>
                <w:sz w:val="18"/>
                <w:szCs w:val="18"/>
              </w:rPr>
              <w:t>20</w:t>
            </w:r>
          </w:p>
        </w:tc>
        <w:tc>
          <w:tcPr>
            <w:tcW w:w="1250" w:type="dxa"/>
            <w:shd w:val="clear" w:color="auto" w:fill="D9E2F3"/>
            <w:vAlign w:val="center"/>
          </w:tcPr>
          <w:p w14:paraId="51DA892A" w14:textId="77777777" w:rsidR="00990B14" w:rsidRDefault="00000000">
            <w:pPr>
              <w:spacing w:before="20" w:after="20"/>
              <w:jc w:val="center"/>
            </w:pPr>
            <w:r>
              <w:rPr>
                <w:sz w:val="18"/>
                <w:szCs w:val="18"/>
              </w:rPr>
              <w:t>20</w:t>
            </w:r>
          </w:p>
        </w:tc>
        <w:tc>
          <w:tcPr>
            <w:tcW w:w="1250" w:type="dxa"/>
            <w:gridSpan w:val="4"/>
            <w:shd w:val="clear" w:color="auto" w:fill="D9E2F3"/>
            <w:vAlign w:val="center"/>
          </w:tcPr>
          <w:p w14:paraId="47CD0452" w14:textId="77777777" w:rsidR="00990B14" w:rsidRDefault="00000000">
            <w:pPr>
              <w:spacing w:before="20" w:after="20"/>
              <w:jc w:val="center"/>
            </w:pPr>
            <w:r>
              <w:rPr>
                <w:sz w:val="18"/>
                <w:szCs w:val="18"/>
              </w:rPr>
              <w:t>240</w:t>
            </w:r>
          </w:p>
        </w:tc>
        <w:tc>
          <w:tcPr>
            <w:tcW w:w="1907" w:type="dxa"/>
            <w:vMerge/>
            <w:shd w:val="clear" w:color="auto" w:fill="D9E2F3"/>
            <w:vAlign w:val="center"/>
          </w:tcPr>
          <w:p w14:paraId="1F2BA57E" w14:textId="77777777" w:rsidR="00990B14" w:rsidRDefault="00990B14">
            <w:pPr>
              <w:spacing w:before="20" w:after="20"/>
            </w:pPr>
          </w:p>
        </w:tc>
      </w:tr>
      <w:tr w:rsidR="00990B14" w14:paraId="6855EF41" w14:textId="77777777">
        <w:trPr>
          <w:cantSplit/>
          <w:jc w:val="center"/>
        </w:trPr>
        <w:tc>
          <w:tcPr>
            <w:tcW w:w="9405" w:type="dxa"/>
            <w:gridSpan w:val="13"/>
            <w:shd w:val="clear" w:color="auto" w:fill="4472C4"/>
            <w:vAlign w:val="center"/>
          </w:tcPr>
          <w:p w14:paraId="7501FD0E" w14:textId="77777777" w:rsidR="00990B14" w:rsidRDefault="00000000">
            <w:pPr>
              <w:keepNext/>
              <w:spacing w:before="20" w:after="20"/>
              <w:jc w:val="center"/>
            </w:pPr>
            <w:r>
              <w:rPr>
                <w:b/>
                <w:bCs/>
                <w:i/>
                <w:iCs/>
                <w:color w:val="FFFFFF"/>
                <w:sz w:val="18"/>
                <w:szCs w:val="18"/>
              </w:rPr>
              <w:t>Unidad de Competencia</w:t>
            </w:r>
          </w:p>
        </w:tc>
      </w:tr>
      <w:tr w:rsidR="00990B14" w14:paraId="7E68CA9D" w14:textId="77777777">
        <w:trPr>
          <w:cantSplit/>
          <w:jc w:val="center"/>
        </w:trPr>
        <w:tc>
          <w:tcPr>
            <w:tcW w:w="9405" w:type="dxa"/>
            <w:gridSpan w:val="13"/>
            <w:shd w:val="clear" w:color="auto" w:fill="D9E2F3"/>
            <w:vAlign w:val="center"/>
          </w:tcPr>
          <w:p w14:paraId="43C8837A" w14:textId="77777777" w:rsidR="00990B14" w:rsidRDefault="00000000">
            <w:pPr>
              <w:spacing w:before="20" w:after="20"/>
              <w:jc w:val="both"/>
            </w:pPr>
            <w:r>
              <w:rPr>
                <w:sz w:val="18"/>
                <w:szCs w:val="18"/>
              </w:rPr>
              <w:t>Formula el presupuesto de recursos y gastos y elabora los estados financieros de una entidad pública boliviana, analizando la estructura del Estado y la planificación integral, explicando los sistemas de administración y control gubernamental y el régimen de responsabilidad por la función pública, registrando los hechos presupuestarios, económicos y financieros en los momentos presupuestarios, contables y de tesorería del Sistema de Contabilidad Integrada y aplicando las Normas de Contabilidad Integrada y Normas Internacionales del Sector Público, con precisión técnica, ética profesional, transparencia y apego a las políticas y normas vigentes del Órgano Rector.</w:t>
            </w:r>
          </w:p>
        </w:tc>
      </w:tr>
      <w:tr w:rsidR="00990B14" w14:paraId="376E93AA" w14:textId="77777777">
        <w:trPr>
          <w:cantSplit/>
          <w:jc w:val="center"/>
        </w:trPr>
        <w:tc>
          <w:tcPr>
            <w:tcW w:w="9405" w:type="dxa"/>
            <w:gridSpan w:val="13"/>
            <w:shd w:val="clear" w:color="auto" w:fill="D9E2F3"/>
            <w:vAlign w:val="center"/>
          </w:tcPr>
          <w:p w14:paraId="1531ED70" w14:textId="77777777" w:rsidR="00990B14" w:rsidRDefault="00000000">
            <w:pPr>
              <w:spacing w:before="20" w:after="20"/>
              <w:jc w:val="both"/>
            </w:pPr>
            <w:r>
              <w:rPr>
                <w:b/>
                <w:bCs/>
                <w:i/>
                <w:iCs/>
                <w:sz w:val="18"/>
                <w:szCs w:val="18"/>
              </w:rPr>
              <w:t xml:space="preserve">Elemento de competencia 1: </w:t>
            </w:r>
            <w:r>
              <w:rPr>
                <w:sz w:val="18"/>
                <w:szCs w:val="18"/>
              </w:rPr>
              <w:t>Conoce la estructura del Estado boliviano y el modelo de planificación integral gubernamental, articulando el Plan Estratégico Institucional, el Programa de Operaciones Anual con el Plan de Desarrollo Económico y Social y el Presupuesto General del Estado</w:t>
            </w:r>
          </w:p>
        </w:tc>
      </w:tr>
      <w:tr w:rsidR="00990B14" w14:paraId="054F289C" w14:textId="77777777">
        <w:trPr>
          <w:cantSplit/>
          <w:jc w:val="center"/>
        </w:trPr>
        <w:tc>
          <w:tcPr>
            <w:tcW w:w="3133" w:type="dxa"/>
            <w:gridSpan w:val="4"/>
            <w:shd w:val="clear" w:color="auto" w:fill="4472C4"/>
            <w:vAlign w:val="center"/>
          </w:tcPr>
          <w:p w14:paraId="2823C085"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7E9D6709"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7786B15D" w14:textId="77777777" w:rsidR="00990B14" w:rsidRDefault="00000000">
            <w:pPr>
              <w:keepNext/>
              <w:spacing w:before="20" w:after="20"/>
              <w:jc w:val="center"/>
            </w:pPr>
            <w:r>
              <w:rPr>
                <w:b/>
                <w:bCs/>
                <w:i/>
                <w:iCs/>
                <w:color w:val="FFFFFF"/>
                <w:sz w:val="18"/>
                <w:szCs w:val="18"/>
              </w:rPr>
              <w:t>Evidencias de producto</w:t>
            </w:r>
          </w:p>
        </w:tc>
      </w:tr>
      <w:tr w:rsidR="00990B14" w14:paraId="26166016" w14:textId="77777777">
        <w:trPr>
          <w:cantSplit/>
          <w:jc w:val="center"/>
        </w:trPr>
        <w:tc>
          <w:tcPr>
            <w:tcW w:w="3133" w:type="dxa"/>
            <w:gridSpan w:val="4"/>
            <w:vMerge w:val="restart"/>
            <w:shd w:val="clear" w:color="auto" w:fill="D9E2F3"/>
            <w:vAlign w:val="center"/>
          </w:tcPr>
          <w:p w14:paraId="48D5AAD5" w14:textId="77777777" w:rsidR="00990B14" w:rsidRDefault="00000000">
            <w:pPr>
              <w:spacing w:before="20" w:after="20"/>
              <w:jc w:val="both"/>
            </w:pPr>
            <w:r>
              <w:rPr>
                <w:sz w:val="18"/>
                <w:szCs w:val="18"/>
              </w:rPr>
              <w:t>1. Describe la estructura del Estado Boliviano, la organización y funciones de la Administración Pública: Órganos del Estado, entidades territoriales, autónomas e independientes.</w:t>
            </w:r>
          </w:p>
        </w:tc>
        <w:tc>
          <w:tcPr>
            <w:tcW w:w="3135" w:type="dxa"/>
            <w:gridSpan w:val="5"/>
            <w:shd w:val="clear" w:color="auto" w:fill="D9E2F3"/>
            <w:vAlign w:val="center"/>
          </w:tcPr>
          <w:p w14:paraId="48079621" w14:textId="77777777" w:rsidR="00990B14" w:rsidRDefault="00000000">
            <w:pPr>
              <w:spacing w:before="20" w:after="20"/>
              <w:jc w:val="both"/>
            </w:pPr>
            <w:r>
              <w:rPr>
                <w:sz w:val="18"/>
                <w:szCs w:val="18"/>
              </w:rPr>
              <w:t>1.1 Expone la estructura del Estado boliviano y la organización de la Administración Pública.</w:t>
            </w:r>
          </w:p>
        </w:tc>
        <w:tc>
          <w:tcPr>
            <w:tcW w:w="3137" w:type="dxa"/>
            <w:gridSpan w:val="4"/>
            <w:shd w:val="clear" w:color="auto" w:fill="D9E2F3"/>
            <w:vAlign w:val="center"/>
          </w:tcPr>
          <w:p w14:paraId="66174747" w14:textId="77777777" w:rsidR="00990B14" w:rsidRDefault="00000000">
            <w:pPr>
              <w:spacing w:before="20" w:after="20"/>
              <w:jc w:val="both"/>
            </w:pPr>
            <w:r>
              <w:rPr>
                <w:b/>
                <w:bCs/>
                <w:sz w:val="18"/>
                <w:szCs w:val="18"/>
              </w:rPr>
              <w:t xml:space="preserve">Producto 1: </w:t>
            </w:r>
            <w:r>
              <w:rPr>
                <w:sz w:val="18"/>
                <w:szCs w:val="18"/>
              </w:rPr>
              <w:t>Esquema de la estructura del Estado boliviano y Administración Pública</w:t>
            </w:r>
          </w:p>
        </w:tc>
      </w:tr>
      <w:tr w:rsidR="00990B14" w14:paraId="5FA61B73" w14:textId="77777777">
        <w:trPr>
          <w:cantSplit/>
          <w:jc w:val="center"/>
        </w:trPr>
        <w:tc>
          <w:tcPr>
            <w:tcW w:w="3133" w:type="dxa"/>
            <w:gridSpan w:val="4"/>
            <w:vMerge/>
            <w:shd w:val="clear" w:color="auto" w:fill="D9E2F3"/>
            <w:vAlign w:val="center"/>
          </w:tcPr>
          <w:p w14:paraId="4370F80B" w14:textId="77777777" w:rsidR="00990B14" w:rsidRDefault="00990B14">
            <w:pPr>
              <w:spacing w:before="20" w:after="20"/>
            </w:pPr>
          </w:p>
        </w:tc>
        <w:tc>
          <w:tcPr>
            <w:tcW w:w="3135" w:type="dxa"/>
            <w:gridSpan w:val="5"/>
            <w:shd w:val="clear" w:color="auto" w:fill="D9E2F3"/>
            <w:vAlign w:val="center"/>
          </w:tcPr>
          <w:p w14:paraId="5FE8A5D8" w14:textId="77777777" w:rsidR="00990B14" w:rsidRDefault="00000000">
            <w:pPr>
              <w:spacing w:before="20" w:after="20"/>
              <w:jc w:val="both"/>
            </w:pPr>
            <w:r>
              <w:rPr>
                <w:sz w:val="18"/>
                <w:szCs w:val="18"/>
              </w:rPr>
              <w:t>1.2 Explica en aula los deberes del Estado y las funciones de las Entidades de la Administración Pública</w:t>
            </w:r>
          </w:p>
        </w:tc>
        <w:tc>
          <w:tcPr>
            <w:tcW w:w="3137" w:type="dxa"/>
            <w:gridSpan w:val="4"/>
            <w:shd w:val="clear" w:color="auto" w:fill="D9E2F3"/>
            <w:vAlign w:val="center"/>
          </w:tcPr>
          <w:p w14:paraId="7B2F463A" w14:textId="77777777" w:rsidR="00990B14" w:rsidRDefault="00000000">
            <w:pPr>
              <w:spacing w:before="20" w:after="20"/>
              <w:jc w:val="both"/>
            </w:pPr>
            <w:r>
              <w:rPr>
                <w:b/>
                <w:bCs/>
                <w:sz w:val="18"/>
                <w:szCs w:val="18"/>
              </w:rPr>
              <w:t xml:space="preserve">Producto 2: </w:t>
            </w:r>
            <w:r>
              <w:rPr>
                <w:sz w:val="18"/>
                <w:szCs w:val="18"/>
              </w:rPr>
              <w:t>Cuadro resumen de los deberes del Estado y funciones de la Administración Pública.</w:t>
            </w:r>
          </w:p>
        </w:tc>
      </w:tr>
      <w:tr w:rsidR="00990B14" w14:paraId="573E3008" w14:textId="77777777">
        <w:trPr>
          <w:cantSplit/>
          <w:jc w:val="center"/>
        </w:trPr>
        <w:tc>
          <w:tcPr>
            <w:tcW w:w="3133" w:type="dxa"/>
            <w:gridSpan w:val="4"/>
            <w:vMerge w:val="restart"/>
            <w:shd w:val="clear" w:color="auto" w:fill="D9E2F3"/>
            <w:vAlign w:val="center"/>
          </w:tcPr>
          <w:p w14:paraId="0277F8B4" w14:textId="77777777" w:rsidR="00990B14" w:rsidRDefault="00000000">
            <w:pPr>
              <w:spacing w:before="20" w:after="20"/>
              <w:jc w:val="both"/>
            </w:pPr>
            <w:r>
              <w:rPr>
                <w:sz w:val="18"/>
                <w:szCs w:val="18"/>
              </w:rPr>
              <w:t>2. Articula el Plan Estratégico Institucional y el Programa de Operaciones Anual de una entidad pública con el Plan de Desarrollo Económico y Social, y el Presupuesto General del Estado.</w:t>
            </w:r>
          </w:p>
        </w:tc>
        <w:tc>
          <w:tcPr>
            <w:tcW w:w="3135" w:type="dxa"/>
            <w:gridSpan w:val="5"/>
            <w:shd w:val="clear" w:color="auto" w:fill="D9E2F3"/>
            <w:vAlign w:val="center"/>
          </w:tcPr>
          <w:p w14:paraId="4F8CB069" w14:textId="77777777" w:rsidR="00990B14" w:rsidRDefault="00000000">
            <w:pPr>
              <w:spacing w:before="20" w:after="20"/>
              <w:jc w:val="both"/>
            </w:pPr>
            <w:r>
              <w:rPr>
                <w:sz w:val="18"/>
                <w:szCs w:val="18"/>
              </w:rPr>
              <w:t>2.1 Elabora un esquema de articulación de los planes de corto y mediano plazo institucionales con los planes nacionales de largo plazo.</w:t>
            </w:r>
          </w:p>
        </w:tc>
        <w:tc>
          <w:tcPr>
            <w:tcW w:w="3137" w:type="dxa"/>
            <w:gridSpan w:val="4"/>
            <w:shd w:val="clear" w:color="auto" w:fill="D9E2F3"/>
            <w:vAlign w:val="center"/>
          </w:tcPr>
          <w:p w14:paraId="63588DA0" w14:textId="77777777" w:rsidR="00990B14" w:rsidRDefault="00000000">
            <w:pPr>
              <w:spacing w:before="20" w:after="20"/>
              <w:jc w:val="both"/>
            </w:pPr>
            <w:r>
              <w:rPr>
                <w:b/>
                <w:bCs/>
                <w:sz w:val="18"/>
                <w:szCs w:val="18"/>
              </w:rPr>
              <w:t xml:space="preserve">Producto 3: </w:t>
            </w:r>
            <w:r>
              <w:rPr>
                <w:sz w:val="18"/>
                <w:szCs w:val="18"/>
              </w:rPr>
              <w:t>Esquema de comprensión de articulación de los planes institucionales con los planes nacionales.</w:t>
            </w:r>
          </w:p>
        </w:tc>
      </w:tr>
      <w:tr w:rsidR="00990B14" w14:paraId="319DFE0B" w14:textId="77777777">
        <w:trPr>
          <w:cantSplit/>
          <w:jc w:val="center"/>
        </w:trPr>
        <w:tc>
          <w:tcPr>
            <w:tcW w:w="3133" w:type="dxa"/>
            <w:gridSpan w:val="4"/>
            <w:vMerge/>
            <w:shd w:val="clear" w:color="auto" w:fill="D9E2F3"/>
            <w:vAlign w:val="center"/>
          </w:tcPr>
          <w:p w14:paraId="07C574E2" w14:textId="77777777" w:rsidR="00990B14" w:rsidRDefault="00990B14">
            <w:pPr>
              <w:spacing w:before="20" w:after="20"/>
            </w:pPr>
          </w:p>
        </w:tc>
        <w:tc>
          <w:tcPr>
            <w:tcW w:w="3135" w:type="dxa"/>
            <w:gridSpan w:val="5"/>
            <w:shd w:val="clear" w:color="auto" w:fill="D9E2F3"/>
            <w:vAlign w:val="center"/>
          </w:tcPr>
          <w:p w14:paraId="3D21AAA3" w14:textId="77777777" w:rsidR="00990B14" w:rsidRDefault="00000000">
            <w:pPr>
              <w:spacing w:before="20" w:after="20"/>
              <w:jc w:val="both"/>
            </w:pPr>
            <w:r>
              <w:rPr>
                <w:sz w:val="18"/>
                <w:szCs w:val="18"/>
              </w:rPr>
              <w:t>2.2 Analiza en equipo la articulación del Plan Estratégico Institucional con el Presupuesto General del Estado</w:t>
            </w:r>
          </w:p>
        </w:tc>
        <w:tc>
          <w:tcPr>
            <w:tcW w:w="3137" w:type="dxa"/>
            <w:gridSpan w:val="4"/>
            <w:shd w:val="clear" w:color="auto" w:fill="D9E2F3"/>
            <w:vAlign w:val="center"/>
          </w:tcPr>
          <w:p w14:paraId="4F9C1352" w14:textId="77777777" w:rsidR="00990B14" w:rsidRDefault="00000000">
            <w:pPr>
              <w:spacing w:before="20" w:after="20"/>
              <w:jc w:val="both"/>
            </w:pPr>
            <w:r>
              <w:rPr>
                <w:b/>
                <w:bCs/>
                <w:sz w:val="18"/>
                <w:szCs w:val="18"/>
              </w:rPr>
              <w:t xml:space="preserve">Producto 4: </w:t>
            </w:r>
            <w:r>
              <w:rPr>
                <w:sz w:val="18"/>
                <w:szCs w:val="18"/>
              </w:rPr>
              <w:t>Cuadro de articulación del Plan Estratégico Institucional, el Programa de Operaciones Anual y Presupuesto General del Estado.</w:t>
            </w:r>
          </w:p>
        </w:tc>
      </w:tr>
      <w:tr w:rsidR="00990B14" w14:paraId="2DAD44A7" w14:textId="77777777">
        <w:trPr>
          <w:cantSplit/>
          <w:jc w:val="center"/>
        </w:trPr>
        <w:tc>
          <w:tcPr>
            <w:tcW w:w="9405" w:type="dxa"/>
            <w:gridSpan w:val="13"/>
            <w:shd w:val="clear" w:color="auto" w:fill="4472C4"/>
            <w:vAlign w:val="center"/>
          </w:tcPr>
          <w:p w14:paraId="1527A9E4" w14:textId="77777777" w:rsidR="00990B14" w:rsidRDefault="00000000">
            <w:pPr>
              <w:keepNext/>
              <w:spacing w:before="20" w:after="20"/>
              <w:jc w:val="center"/>
            </w:pPr>
            <w:r>
              <w:rPr>
                <w:b/>
                <w:bCs/>
                <w:i/>
                <w:iCs/>
                <w:color w:val="FFFFFF"/>
                <w:sz w:val="18"/>
                <w:szCs w:val="18"/>
              </w:rPr>
              <w:t>Evidencias de conocimiento</w:t>
            </w:r>
          </w:p>
        </w:tc>
      </w:tr>
      <w:tr w:rsidR="00990B14" w14:paraId="76ABAA92" w14:textId="77777777">
        <w:trPr>
          <w:cantSplit/>
          <w:jc w:val="center"/>
        </w:trPr>
        <w:tc>
          <w:tcPr>
            <w:tcW w:w="2349" w:type="dxa"/>
            <w:gridSpan w:val="2"/>
            <w:shd w:val="clear" w:color="auto" w:fill="4472C4"/>
            <w:vAlign w:val="center"/>
          </w:tcPr>
          <w:p w14:paraId="6B2F96AD"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1BB46D27" w14:textId="77777777" w:rsidR="00990B14" w:rsidRDefault="00000000">
            <w:pPr>
              <w:keepNext/>
              <w:spacing w:before="20" w:after="20"/>
              <w:jc w:val="both"/>
            </w:pPr>
            <w:r>
              <w:rPr>
                <w:b/>
                <w:bCs/>
                <w:i/>
                <w:iCs/>
                <w:color w:val="FFFFFF"/>
                <w:sz w:val="18"/>
                <w:szCs w:val="18"/>
              </w:rPr>
              <w:t>Contenidos</w:t>
            </w:r>
          </w:p>
          <w:p w14:paraId="73CC1FD8"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78EEA7E3" w14:textId="77777777" w:rsidR="00990B14" w:rsidRDefault="00000000">
            <w:pPr>
              <w:keepNext/>
              <w:spacing w:before="20" w:after="20"/>
              <w:jc w:val="center"/>
            </w:pPr>
            <w:r>
              <w:rPr>
                <w:b/>
                <w:bCs/>
                <w:i/>
                <w:iCs/>
                <w:color w:val="FFFFFF"/>
                <w:sz w:val="18"/>
                <w:szCs w:val="18"/>
              </w:rPr>
              <w:t>Conocimientos circunstanciales</w:t>
            </w:r>
          </w:p>
        </w:tc>
      </w:tr>
      <w:tr w:rsidR="00990B14" w14:paraId="71C5FF60" w14:textId="77777777">
        <w:trPr>
          <w:jc w:val="center"/>
        </w:trPr>
        <w:tc>
          <w:tcPr>
            <w:tcW w:w="2349" w:type="dxa"/>
            <w:gridSpan w:val="2"/>
            <w:shd w:val="clear" w:color="auto" w:fill="D9E2F3"/>
          </w:tcPr>
          <w:p w14:paraId="32BB8DAA" w14:textId="77777777" w:rsidR="00990B14" w:rsidRDefault="00000000">
            <w:pPr>
              <w:spacing w:before="20" w:after="40"/>
              <w:jc w:val="both"/>
            </w:pPr>
            <w:r>
              <w:rPr>
                <w:sz w:val="18"/>
                <w:szCs w:val="18"/>
              </w:rPr>
              <w:t>Tema 1: El Estado Boliviano</w:t>
            </w:r>
          </w:p>
          <w:p w14:paraId="60367884" w14:textId="77777777" w:rsidR="00990B14" w:rsidRDefault="00000000">
            <w:pPr>
              <w:spacing w:before="20" w:after="40"/>
              <w:jc w:val="both"/>
            </w:pPr>
            <w:r>
              <w:rPr>
                <w:sz w:val="18"/>
                <w:szCs w:val="18"/>
              </w:rPr>
              <w:t>Tema 2: La Planificación Integral estratégica del Estado.</w:t>
            </w:r>
          </w:p>
        </w:tc>
        <w:tc>
          <w:tcPr>
            <w:tcW w:w="4304" w:type="dxa"/>
            <w:gridSpan w:val="8"/>
            <w:shd w:val="clear" w:color="auto" w:fill="D9E2F3"/>
          </w:tcPr>
          <w:p w14:paraId="24BA3DEA" w14:textId="77777777" w:rsidR="00990B14" w:rsidRDefault="00000000">
            <w:pPr>
              <w:spacing w:after="40"/>
              <w:jc w:val="both"/>
            </w:pPr>
            <w:r>
              <w:rPr>
                <w:sz w:val="18"/>
                <w:szCs w:val="18"/>
              </w:rPr>
              <w:t>El Estado Boliviano, la Constitución Política del Estado y los elementos: población, territorio y gobierno. (C)</w:t>
            </w:r>
          </w:p>
          <w:p w14:paraId="17E60B4F" w14:textId="77777777" w:rsidR="00990B14" w:rsidRDefault="00000000">
            <w:pPr>
              <w:spacing w:after="40"/>
              <w:jc w:val="both"/>
            </w:pPr>
            <w:r>
              <w:rPr>
                <w:sz w:val="18"/>
                <w:szCs w:val="18"/>
              </w:rPr>
              <w:t>Organización del Estado: Órganos del Estado, entidades territoriales, autónomas e independientes. (C)</w:t>
            </w:r>
          </w:p>
          <w:p w14:paraId="6F4C8C3F" w14:textId="77777777" w:rsidR="00990B14" w:rsidRDefault="00000000">
            <w:pPr>
              <w:spacing w:after="40"/>
              <w:jc w:val="both"/>
            </w:pPr>
            <w:r>
              <w:rPr>
                <w:sz w:val="18"/>
                <w:szCs w:val="18"/>
              </w:rPr>
              <w:t>Derechos, deberes y funciones del Estado y los ciudadanos. (C)</w:t>
            </w:r>
          </w:p>
          <w:p w14:paraId="66AD2FB7" w14:textId="77777777" w:rsidR="00990B14" w:rsidRDefault="00000000">
            <w:pPr>
              <w:spacing w:after="40"/>
              <w:jc w:val="both"/>
            </w:pPr>
            <w:r>
              <w:rPr>
                <w:sz w:val="18"/>
                <w:szCs w:val="18"/>
              </w:rPr>
              <w:t>Políticas financiera, económica, monetaria y fiscal. (C)</w:t>
            </w:r>
          </w:p>
          <w:p w14:paraId="1D0C6FCD" w14:textId="77777777" w:rsidR="00990B14" w:rsidRDefault="00000000">
            <w:pPr>
              <w:spacing w:after="40"/>
              <w:jc w:val="both"/>
            </w:pPr>
            <w:r>
              <w:rPr>
                <w:sz w:val="18"/>
                <w:szCs w:val="18"/>
              </w:rPr>
              <w:t>Competencias y roles de las entidades públicas: privativas, compartidas, concurrentes y exclusivas. (C)</w:t>
            </w:r>
          </w:p>
          <w:p w14:paraId="0129C9AB" w14:textId="77777777" w:rsidR="00990B14" w:rsidRDefault="00000000">
            <w:pPr>
              <w:spacing w:after="40"/>
              <w:jc w:val="both"/>
            </w:pPr>
            <w:r>
              <w:rPr>
                <w:sz w:val="18"/>
                <w:szCs w:val="18"/>
              </w:rPr>
              <w:t>Sistemas de gobierno, la administración pública y las políticas públicas. (C)</w:t>
            </w:r>
          </w:p>
          <w:p w14:paraId="3B2A4F75" w14:textId="77777777" w:rsidR="00990B14" w:rsidRDefault="00000000">
            <w:pPr>
              <w:spacing w:after="40"/>
              <w:jc w:val="both"/>
            </w:pPr>
            <w:r>
              <w:rPr>
                <w:sz w:val="18"/>
                <w:szCs w:val="18"/>
              </w:rPr>
              <w:t>Control Social, roles, competencias y actores sociales. (C, A)</w:t>
            </w:r>
          </w:p>
          <w:p w14:paraId="61370708" w14:textId="77777777" w:rsidR="00990B14" w:rsidRDefault="00000000">
            <w:pPr>
              <w:spacing w:after="40"/>
              <w:jc w:val="both"/>
            </w:pPr>
            <w:r>
              <w:rPr>
                <w:sz w:val="18"/>
                <w:szCs w:val="18"/>
              </w:rPr>
              <w:t>La planificación integral del Estado. (C)</w:t>
            </w:r>
          </w:p>
          <w:p w14:paraId="1715A6CF" w14:textId="77777777" w:rsidR="00990B14" w:rsidRDefault="00000000">
            <w:pPr>
              <w:spacing w:after="40"/>
              <w:jc w:val="both"/>
            </w:pPr>
            <w:r>
              <w:rPr>
                <w:sz w:val="18"/>
                <w:szCs w:val="18"/>
              </w:rPr>
              <w:t>Objetivos de Desarrollo Sostenible y su incorporación en los planes de desarrollo del Estado. (C, A)</w:t>
            </w:r>
          </w:p>
          <w:p w14:paraId="34AD1211" w14:textId="77777777" w:rsidR="00990B14" w:rsidRDefault="00000000">
            <w:pPr>
              <w:spacing w:after="40"/>
              <w:jc w:val="both"/>
            </w:pPr>
            <w:r>
              <w:rPr>
                <w:sz w:val="18"/>
                <w:szCs w:val="18"/>
              </w:rPr>
              <w:t>Estructura Programática de planificación estratégica. (C)</w:t>
            </w:r>
          </w:p>
          <w:p w14:paraId="6E9AD8DC" w14:textId="77777777" w:rsidR="00990B14" w:rsidRDefault="00000000">
            <w:pPr>
              <w:spacing w:after="40"/>
              <w:jc w:val="both"/>
            </w:pPr>
            <w:r>
              <w:rPr>
                <w:sz w:val="18"/>
                <w:szCs w:val="18"/>
              </w:rPr>
              <w:t>Clasificación y tipos de planes: nacionales, territoriales y sectoriales. (C)</w:t>
            </w:r>
          </w:p>
          <w:p w14:paraId="457E6316" w14:textId="77777777" w:rsidR="00990B14" w:rsidRDefault="00000000">
            <w:pPr>
              <w:spacing w:after="40"/>
              <w:jc w:val="both"/>
            </w:pPr>
            <w:r>
              <w:rPr>
                <w:sz w:val="18"/>
                <w:szCs w:val="18"/>
              </w:rPr>
              <w:t>Formulación del Plan Estratégico Institucional articulado con los planes nacionales. (C, P)</w:t>
            </w:r>
          </w:p>
          <w:p w14:paraId="1CAC23E0" w14:textId="77777777" w:rsidR="00990B14" w:rsidRDefault="00000000">
            <w:pPr>
              <w:spacing w:after="40"/>
              <w:jc w:val="both"/>
            </w:pPr>
            <w:r>
              <w:rPr>
                <w:sz w:val="18"/>
                <w:szCs w:val="18"/>
              </w:rPr>
              <w:t>Formulación del Plan Estratégico institucional articulado con los planes nacionales. (C, P)</w:t>
            </w:r>
          </w:p>
          <w:p w14:paraId="12E91CE6" w14:textId="77777777" w:rsidR="00990B14" w:rsidRDefault="00000000">
            <w:pPr>
              <w:spacing w:after="40"/>
              <w:jc w:val="both"/>
            </w:pPr>
            <w:r>
              <w:rPr>
                <w:sz w:val="18"/>
                <w:szCs w:val="18"/>
              </w:rPr>
              <w:t>El Presupuesto General del Estado y su articulación con los planes nacionales. (C, P)</w:t>
            </w:r>
          </w:p>
        </w:tc>
        <w:tc>
          <w:tcPr>
            <w:tcW w:w="2752" w:type="dxa"/>
            <w:gridSpan w:val="3"/>
            <w:shd w:val="clear" w:color="auto" w:fill="D9E2F3"/>
          </w:tcPr>
          <w:p w14:paraId="140652D6" w14:textId="77777777" w:rsidR="00990B14" w:rsidRDefault="00000000">
            <w:pPr>
              <w:numPr>
                <w:ilvl w:val="0"/>
                <w:numId w:val="139"/>
              </w:numPr>
              <w:spacing w:before="10" w:after="10"/>
              <w:jc w:val="both"/>
            </w:pPr>
            <w:r>
              <w:rPr>
                <w:sz w:val="18"/>
                <w:szCs w:val="18"/>
              </w:rPr>
              <w:t>Constitución Política del Estado de Bolivia.</w:t>
            </w:r>
          </w:p>
          <w:p w14:paraId="51A4A6D2" w14:textId="77777777" w:rsidR="00990B14" w:rsidRDefault="00000000">
            <w:pPr>
              <w:numPr>
                <w:ilvl w:val="0"/>
                <w:numId w:val="139"/>
              </w:numPr>
              <w:spacing w:before="10" w:after="10"/>
              <w:jc w:val="both"/>
            </w:pPr>
            <w:r>
              <w:rPr>
                <w:sz w:val="18"/>
                <w:szCs w:val="18"/>
              </w:rPr>
              <w:t>Teorías y fundamentos del Estado: origen, naturaleza, elementos, fines y funciones.</w:t>
            </w:r>
          </w:p>
          <w:p w14:paraId="34A0A047" w14:textId="77777777" w:rsidR="00990B14" w:rsidRDefault="00000000">
            <w:pPr>
              <w:numPr>
                <w:ilvl w:val="0"/>
                <w:numId w:val="139"/>
              </w:numPr>
              <w:spacing w:before="10" w:after="10"/>
              <w:jc w:val="both"/>
            </w:pPr>
            <w:r>
              <w:rPr>
                <w:sz w:val="18"/>
                <w:szCs w:val="18"/>
              </w:rPr>
              <w:t>Nociones de organización política y administrativa del Estado, sistemas de gobierno, administración pública, políticas públicas, competencias gubernamentales, participación ciudadana y control social.</w:t>
            </w:r>
          </w:p>
          <w:p w14:paraId="1131A368" w14:textId="77777777" w:rsidR="00990B14" w:rsidRDefault="00000000">
            <w:pPr>
              <w:numPr>
                <w:ilvl w:val="0"/>
                <w:numId w:val="139"/>
              </w:numPr>
              <w:spacing w:before="10" w:after="10"/>
              <w:jc w:val="both"/>
            </w:pPr>
            <w:r>
              <w:rPr>
                <w:sz w:val="18"/>
                <w:szCs w:val="18"/>
              </w:rPr>
              <w:t>▪ Teorías y enfoques de la planificación estratégica, del desarrollo y gestión pública por resultados.</w:t>
            </w:r>
          </w:p>
          <w:p w14:paraId="38567791" w14:textId="77777777" w:rsidR="00990B14" w:rsidRDefault="00000000">
            <w:pPr>
              <w:numPr>
                <w:ilvl w:val="0"/>
                <w:numId w:val="139"/>
              </w:numPr>
              <w:spacing w:before="10" w:after="10"/>
              <w:jc w:val="both"/>
            </w:pPr>
            <w:r>
              <w:rPr>
                <w:sz w:val="18"/>
                <w:szCs w:val="18"/>
              </w:rPr>
              <w:t>▪ Nociones de planificación nacional, sectorial, territorial, institucional, operativa y financiera.</w:t>
            </w:r>
          </w:p>
          <w:p w14:paraId="6835C4A6" w14:textId="77777777" w:rsidR="00990B14" w:rsidRDefault="00000000">
            <w:pPr>
              <w:numPr>
                <w:ilvl w:val="0"/>
                <w:numId w:val="139"/>
              </w:numPr>
              <w:spacing w:before="10" w:after="10"/>
              <w:jc w:val="both"/>
            </w:pPr>
            <w:r>
              <w:rPr>
                <w:sz w:val="18"/>
                <w:szCs w:val="18"/>
              </w:rPr>
              <w:t>▪ Ley 777 del Sistema de Planificación Integral del Estado y Ley 1178 de Administración y Control Gubernamental.</w:t>
            </w:r>
          </w:p>
        </w:tc>
      </w:tr>
      <w:tr w:rsidR="00990B14" w14:paraId="44EBFBC7" w14:textId="77777777">
        <w:trPr>
          <w:cantSplit/>
          <w:jc w:val="center"/>
        </w:trPr>
        <w:tc>
          <w:tcPr>
            <w:tcW w:w="9405" w:type="dxa"/>
            <w:gridSpan w:val="13"/>
            <w:shd w:val="clear" w:color="auto" w:fill="D9E2F3"/>
            <w:vAlign w:val="center"/>
          </w:tcPr>
          <w:p w14:paraId="53E2F55E" w14:textId="77777777" w:rsidR="00990B14" w:rsidRDefault="00000000">
            <w:pPr>
              <w:spacing w:before="20" w:after="20"/>
              <w:jc w:val="both"/>
            </w:pPr>
            <w:r>
              <w:rPr>
                <w:b/>
                <w:bCs/>
                <w:i/>
                <w:iCs/>
                <w:sz w:val="18"/>
                <w:szCs w:val="18"/>
              </w:rPr>
              <w:t xml:space="preserve">Elemento de competencia 2: </w:t>
            </w:r>
            <w:r>
              <w:rPr>
                <w:sz w:val="18"/>
                <w:szCs w:val="18"/>
              </w:rPr>
              <w:t>Describe los sistemas de administración y control gubernamental y los tipos de responsabilidad por la función pública, relacionando la rendición de cuentas con la gestión por resultados de una entidad pública.</w:t>
            </w:r>
          </w:p>
        </w:tc>
      </w:tr>
      <w:tr w:rsidR="00990B14" w14:paraId="6382FD62" w14:textId="77777777">
        <w:trPr>
          <w:cantSplit/>
          <w:jc w:val="center"/>
        </w:trPr>
        <w:tc>
          <w:tcPr>
            <w:tcW w:w="3133" w:type="dxa"/>
            <w:gridSpan w:val="4"/>
            <w:shd w:val="clear" w:color="auto" w:fill="4472C4"/>
            <w:vAlign w:val="center"/>
          </w:tcPr>
          <w:p w14:paraId="2C26D8F6"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695E1CC6"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5A82B5BD" w14:textId="77777777" w:rsidR="00990B14" w:rsidRDefault="00000000">
            <w:pPr>
              <w:keepNext/>
              <w:spacing w:before="20" w:after="20"/>
              <w:jc w:val="center"/>
            </w:pPr>
            <w:r>
              <w:rPr>
                <w:b/>
                <w:bCs/>
                <w:i/>
                <w:iCs/>
                <w:color w:val="FFFFFF"/>
                <w:sz w:val="18"/>
                <w:szCs w:val="18"/>
              </w:rPr>
              <w:t>Evidencias de producto</w:t>
            </w:r>
          </w:p>
        </w:tc>
      </w:tr>
      <w:tr w:rsidR="00990B14" w14:paraId="78F90E6C" w14:textId="77777777">
        <w:trPr>
          <w:cantSplit/>
          <w:jc w:val="center"/>
        </w:trPr>
        <w:tc>
          <w:tcPr>
            <w:tcW w:w="3133" w:type="dxa"/>
            <w:gridSpan w:val="4"/>
            <w:vMerge w:val="restart"/>
            <w:shd w:val="clear" w:color="auto" w:fill="D9E2F3"/>
            <w:vAlign w:val="center"/>
          </w:tcPr>
          <w:p w14:paraId="333F7DC2" w14:textId="77777777" w:rsidR="00990B14" w:rsidRDefault="00000000">
            <w:pPr>
              <w:spacing w:before="20" w:after="20"/>
              <w:jc w:val="both"/>
            </w:pPr>
            <w:r>
              <w:rPr>
                <w:sz w:val="18"/>
                <w:szCs w:val="18"/>
              </w:rPr>
              <w:t>1. Conoce el modelo de gestión pública y los sistemas de administración y control gubernamental, y la gestión por resultados.</w:t>
            </w:r>
          </w:p>
        </w:tc>
        <w:tc>
          <w:tcPr>
            <w:tcW w:w="3135" w:type="dxa"/>
            <w:gridSpan w:val="5"/>
            <w:shd w:val="clear" w:color="auto" w:fill="D9E2F3"/>
            <w:vAlign w:val="center"/>
          </w:tcPr>
          <w:p w14:paraId="25C83732" w14:textId="77777777" w:rsidR="00990B14" w:rsidRDefault="00000000">
            <w:pPr>
              <w:spacing w:before="20" w:after="20"/>
              <w:jc w:val="both"/>
            </w:pPr>
            <w:r>
              <w:rPr>
                <w:sz w:val="18"/>
                <w:szCs w:val="18"/>
              </w:rPr>
              <w:t>1.1 Explica los sistemas de administración y control gubernamental y su aplicación.</w:t>
            </w:r>
          </w:p>
        </w:tc>
        <w:tc>
          <w:tcPr>
            <w:tcW w:w="3137" w:type="dxa"/>
            <w:gridSpan w:val="4"/>
            <w:shd w:val="clear" w:color="auto" w:fill="D9E2F3"/>
            <w:vAlign w:val="center"/>
          </w:tcPr>
          <w:p w14:paraId="0CFA4A17" w14:textId="77777777" w:rsidR="00990B14" w:rsidRDefault="00000000">
            <w:pPr>
              <w:spacing w:before="20" w:after="20"/>
              <w:jc w:val="both"/>
            </w:pPr>
            <w:r>
              <w:rPr>
                <w:b/>
                <w:bCs/>
                <w:sz w:val="18"/>
                <w:szCs w:val="18"/>
              </w:rPr>
              <w:t xml:space="preserve">Producto 5: </w:t>
            </w:r>
            <w:r>
              <w:rPr>
                <w:sz w:val="18"/>
                <w:szCs w:val="18"/>
              </w:rPr>
              <w:t>Esquema de los sistemas para programar, organizar, ejecutar y controlar la gestión pública.</w:t>
            </w:r>
          </w:p>
        </w:tc>
      </w:tr>
      <w:tr w:rsidR="00990B14" w14:paraId="16C142D9" w14:textId="77777777">
        <w:trPr>
          <w:cantSplit/>
          <w:jc w:val="center"/>
        </w:trPr>
        <w:tc>
          <w:tcPr>
            <w:tcW w:w="3133" w:type="dxa"/>
            <w:gridSpan w:val="4"/>
            <w:vMerge/>
            <w:shd w:val="clear" w:color="auto" w:fill="D9E2F3"/>
            <w:vAlign w:val="center"/>
          </w:tcPr>
          <w:p w14:paraId="05AB3CAD" w14:textId="77777777" w:rsidR="00990B14" w:rsidRDefault="00990B14">
            <w:pPr>
              <w:spacing w:before="20" w:after="20"/>
            </w:pPr>
          </w:p>
        </w:tc>
        <w:tc>
          <w:tcPr>
            <w:tcW w:w="3135" w:type="dxa"/>
            <w:gridSpan w:val="5"/>
            <w:shd w:val="clear" w:color="auto" w:fill="D9E2F3"/>
            <w:vAlign w:val="center"/>
          </w:tcPr>
          <w:p w14:paraId="15435AA5" w14:textId="77777777" w:rsidR="00990B14" w:rsidRDefault="00000000">
            <w:pPr>
              <w:spacing w:before="20" w:after="20"/>
              <w:jc w:val="both"/>
            </w:pPr>
            <w:r>
              <w:rPr>
                <w:sz w:val="18"/>
                <w:szCs w:val="18"/>
              </w:rPr>
              <w:t>1.2 Describe la gestión por resultados en la Administración Pública y la rendición de cuentas</w:t>
            </w:r>
          </w:p>
        </w:tc>
        <w:tc>
          <w:tcPr>
            <w:tcW w:w="3137" w:type="dxa"/>
            <w:gridSpan w:val="4"/>
            <w:shd w:val="clear" w:color="auto" w:fill="D9E2F3"/>
            <w:vAlign w:val="center"/>
          </w:tcPr>
          <w:p w14:paraId="53F91C58" w14:textId="77777777" w:rsidR="00990B14" w:rsidRDefault="00000000">
            <w:pPr>
              <w:spacing w:before="20" w:after="20"/>
              <w:jc w:val="both"/>
            </w:pPr>
            <w:r>
              <w:rPr>
                <w:b/>
                <w:bCs/>
                <w:sz w:val="18"/>
                <w:szCs w:val="18"/>
              </w:rPr>
              <w:t xml:space="preserve">Producto 6: </w:t>
            </w:r>
            <w:r>
              <w:rPr>
                <w:sz w:val="18"/>
                <w:szCs w:val="18"/>
              </w:rPr>
              <w:t>Informe de gestión institucional por resultados y su rendición de cuentas.</w:t>
            </w:r>
          </w:p>
        </w:tc>
      </w:tr>
      <w:tr w:rsidR="00990B14" w14:paraId="7B69E80C" w14:textId="77777777">
        <w:trPr>
          <w:cantSplit/>
          <w:jc w:val="center"/>
        </w:trPr>
        <w:tc>
          <w:tcPr>
            <w:tcW w:w="3133" w:type="dxa"/>
            <w:gridSpan w:val="4"/>
            <w:vMerge w:val="restart"/>
            <w:shd w:val="clear" w:color="auto" w:fill="D9E2F3"/>
            <w:vAlign w:val="center"/>
          </w:tcPr>
          <w:p w14:paraId="0F2E415F" w14:textId="77777777" w:rsidR="00990B14" w:rsidRDefault="00000000">
            <w:pPr>
              <w:spacing w:before="20" w:after="20"/>
              <w:jc w:val="both"/>
            </w:pPr>
            <w:r>
              <w:rPr>
                <w:sz w:val="18"/>
                <w:szCs w:val="18"/>
              </w:rPr>
              <w:t>2. Determina el tipo de responsabilidad por la función pública, relacionándola con la gestión por resultados.</w:t>
            </w:r>
          </w:p>
        </w:tc>
        <w:tc>
          <w:tcPr>
            <w:tcW w:w="3135" w:type="dxa"/>
            <w:gridSpan w:val="5"/>
            <w:shd w:val="clear" w:color="auto" w:fill="D9E2F3"/>
            <w:vAlign w:val="center"/>
          </w:tcPr>
          <w:p w14:paraId="7C8E9860" w14:textId="77777777" w:rsidR="00990B14" w:rsidRDefault="00000000">
            <w:pPr>
              <w:spacing w:before="20" w:after="20"/>
              <w:jc w:val="both"/>
            </w:pPr>
            <w:r>
              <w:rPr>
                <w:sz w:val="18"/>
                <w:szCs w:val="18"/>
              </w:rPr>
              <w:t>2.1 Elabora un cuadro comparativo de los tipos de responsabilidad por la función pública y sus características.</w:t>
            </w:r>
          </w:p>
        </w:tc>
        <w:tc>
          <w:tcPr>
            <w:tcW w:w="3137" w:type="dxa"/>
            <w:gridSpan w:val="4"/>
            <w:shd w:val="clear" w:color="auto" w:fill="D9E2F3"/>
            <w:vAlign w:val="center"/>
          </w:tcPr>
          <w:p w14:paraId="057883EE" w14:textId="77777777" w:rsidR="00990B14" w:rsidRDefault="00000000">
            <w:pPr>
              <w:spacing w:before="20" w:after="20"/>
              <w:jc w:val="both"/>
            </w:pPr>
            <w:r>
              <w:rPr>
                <w:b/>
                <w:bCs/>
                <w:sz w:val="18"/>
                <w:szCs w:val="18"/>
              </w:rPr>
              <w:t xml:space="preserve">Producto 7: </w:t>
            </w:r>
            <w:r>
              <w:rPr>
                <w:sz w:val="18"/>
                <w:szCs w:val="18"/>
              </w:rPr>
              <w:t>Cuadro comparativo de los tipos de responsabilidad por la función pública.</w:t>
            </w:r>
          </w:p>
        </w:tc>
      </w:tr>
      <w:tr w:rsidR="00990B14" w14:paraId="01DDF6F4" w14:textId="77777777">
        <w:trPr>
          <w:cantSplit/>
          <w:jc w:val="center"/>
        </w:trPr>
        <w:tc>
          <w:tcPr>
            <w:tcW w:w="3133" w:type="dxa"/>
            <w:gridSpan w:val="4"/>
            <w:vMerge/>
            <w:shd w:val="clear" w:color="auto" w:fill="D9E2F3"/>
            <w:vAlign w:val="center"/>
          </w:tcPr>
          <w:p w14:paraId="28F8031B" w14:textId="77777777" w:rsidR="00990B14" w:rsidRDefault="00990B14">
            <w:pPr>
              <w:spacing w:before="20" w:after="20"/>
            </w:pPr>
          </w:p>
        </w:tc>
        <w:tc>
          <w:tcPr>
            <w:tcW w:w="3135" w:type="dxa"/>
            <w:gridSpan w:val="5"/>
            <w:shd w:val="clear" w:color="auto" w:fill="D9E2F3"/>
            <w:vAlign w:val="center"/>
          </w:tcPr>
          <w:p w14:paraId="4D9BE844" w14:textId="77777777" w:rsidR="00990B14" w:rsidRDefault="00000000">
            <w:pPr>
              <w:spacing w:before="20" w:after="20"/>
              <w:jc w:val="both"/>
            </w:pPr>
            <w:r>
              <w:rPr>
                <w:sz w:val="18"/>
                <w:szCs w:val="18"/>
              </w:rPr>
              <w:t>2.2 Explica casos prácticos por tipos de responsabilidad por la función pública.</w:t>
            </w:r>
          </w:p>
        </w:tc>
        <w:tc>
          <w:tcPr>
            <w:tcW w:w="3137" w:type="dxa"/>
            <w:gridSpan w:val="4"/>
            <w:shd w:val="clear" w:color="auto" w:fill="D9E2F3"/>
            <w:vAlign w:val="center"/>
          </w:tcPr>
          <w:p w14:paraId="712A6127" w14:textId="77777777" w:rsidR="00990B14" w:rsidRDefault="00000000">
            <w:pPr>
              <w:spacing w:before="20" w:after="20"/>
              <w:jc w:val="both"/>
            </w:pPr>
            <w:r>
              <w:rPr>
                <w:b/>
                <w:bCs/>
                <w:sz w:val="18"/>
                <w:szCs w:val="18"/>
              </w:rPr>
              <w:t xml:space="preserve">Producto 8: </w:t>
            </w:r>
            <w:r>
              <w:rPr>
                <w:sz w:val="18"/>
                <w:szCs w:val="18"/>
              </w:rPr>
              <w:t>Informe del caso, identificando el tipo de responsabilidad y su sanción.</w:t>
            </w:r>
          </w:p>
        </w:tc>
      </w:tr>
      <w:tr w:rsidR="00990B14" w14:paraId="2C3267BB" w14:textId="77777777">
        <w:trPr>
          <w:cantSplit/>
          <w:jc w:val="center"/>
        </w:trPr>
        <w:tc>
          <w:tcPr>
            <w:tcW w:w="9405" w:type="dxa"/>
            <w:gridSpan w:val="13"/>
            <w:shd w:val="clear" w:color="auto" w:fill="4472C4"/>
            <w:vAlign w:val="center"/>
          </w:tcPr>
          <w:p w14:paraId="3B57A3C4" w14:textId="77777777" w:rsidR="00990B14" w:rsidRDefault="00000000">
            <w:pPr>
              <w:keepNext/>
              <w:spacing w:before="20" w:after="20"/>
              <w:jc w:val="center"/>
            </w:pPr>
            <w:r>
              <w:rPr>
                <w:b/>
                <w:bCs/>
                <w:i/>
                <w:iCs/>
                <w:color w:val="FFFFFF"/>
                <w:sz w:val="18"/>
                <w:szCs w:val="18"/>
              </w:rPr>
              <w:t>Evidencias de conocimiento</w:t>
            </w:r>
          </w:p>
        </w:tc>
      </w:tr>
      <w:tr w:rsidR="00990B14" w14:paraId="535B06DB" w14:textId="77777777">
        <w:trPr>
          <w:cantSplit/>
          <w:jc w:val="center"/>
        </w:trPr>
        <w:tc>
          <w:tcPr>
            <w:tcW w:w="2349" w:type="dxa"/>
            <w:gridSpan w:val="2"/>
            <w:shd w:val="clear" w:color="auto" w:fill="4472C4"/>
            <w:vAlign w:val="center"/>
          </w:tcPr>
          <w:p w14:paraId="24C22D07"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484632F2" w14:textId="77777777" w:rsidR="00990B14" w:rsidRDefault="00000000">
            <w:pPr>
              <w:keepNext/>
              <w:spacing w:before="20" w:after="20"/>
              <w:jc w:val="both"/>
            </w:pPr>
            <w:r>
              <w:rPr>
                <w:b/>
                <w:bCs/>
                <w:i/>
                <w:iCs/>
                <w:color w:val="FFFFFF"/>
                <w:sz w:val="18"/>
                <w:szCs w:val="18"/>
              </w:rPr>
              <w:t>Contenidos</w:t>
            </w:r>
          </w:p>
          <w:p w14:paraId="481D39BE"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243D00F9" w14:textId="77777777" w:rsidR="00990B14" w:rsidRDefault="00000000">
            <w:pPr>
              <w:keepNext/>
              <w:spacing w:before="20" w:after="20"/>
              <w:jc w:val="center"/>
            </w:pPr>
            <w:r>
              <w:rPr>
                <w:b/>
                <w:bCs/>
                <w:i/>
                <w:iCs/>
                <w:color w:val="FFFFFF"/>
                <w:sz w:val="18"/>
                <w:szCs w:val="18"/>
              </w:rPr>
              <w:t>Conocimientos circunstanciales</w:t>
            </w:r>
          </w:p>
        </w:tc>
      </w:tr>
      <w:tr w:rsidR="00990B14" w14:paraId="198DC096" w14:textId="77777777">
        <w:trPr>
          <w:jc w:val="center"/>
        </w:trPr>
        <w:tc>
          <w:tcPr>
            <w:tcW w:w="2349" w:type="dxa"/>
            <w:gridSpan w:val="2"/>
            <w:shd w:val="clear" w:color="auto" w:fill="D9E2F3"/>
          </w:tcPr>
          <w:p w14:paraId="6622D473" w14:textId="77777777" w:rsidR="00990B14" w:rsidRDefault="00000000">
            <w:pPr>
              <w:spacing w:before="20" w:after="40"/>
              <w:jc w:val="both"/>
            </w:pPr>
            <w:r>
              <w:rPr>
                <w:sz w:val="18"/>
                <w:szCs w:val="18"/>
              </w:rPr>
              <w:t>Tema 3: El modelo de gestión pública</w:t>
            </w:r>
          </w:p>
          <w:p w14:paraId="613D3843" w14:textId="77777777" w:rsidR="00990B14" w:rsidRDefault="00000000">
            <w:pPr>
              <w:spacing w:before="20" w:after="40"/>
              <w:jc w:val="both"/>
            </w:pPr>
            <w:r>
              <w:rPr>
                <w:sz w:val="18"/>
                <w:szCs w:val="18"/>
              </w:rPr>
              <w:t>Tema 4: Régimen de Responsabilidad Pública por la gestión Pública</w:t>
            </w:r>
          </w:p>
        </w:tc>
        <w:tc>
          <w:tcPr>
            <w:tcW w:w="4304" w:type="dxa"/>
            <w:gridSpan w:val="8"/>
            <w:shd w:val="clear" w:color="auto" w:fill="D9E2F3"/>
          </w:tcPr>
          <w:p w14:paraId="04A43F2E" w14:textId="77777777" w:rsidR="00990B14" w:rsidRDefault="00000000">
            <w:pPr>
              <w:spacing w:after="40"/>
              <w:jc w:val="both"/>
            </w:pPr>
            <w:r>
              <w:rPr>
                <w:sz w:val="18"/>
                <w:szCs w:val="18"/>
              </w:rPr>
              <w:t>El modelo de gestión pública en Bolivia. (C)</w:t>
            </w:r>
          </w:p>
          <w:p w14:paraId="2C187D36" w14:textId="77777777" w:rsidR="00990B14" w:rsidRDefault="00000000">
            <w:pPr>
              <w:spacing w:after="40"/>
              <w:jc w:val="both"/>
            </w:pPr>
            <w:r>
              <w:rPr>
                <w:sz w:val="18"/>
                <w:szCs w:val="18"/>
              </w:rPr>
              <w:t>Tipos de modelos de gestión pública en la región. (C)</w:t>
            </w:r>
          </w:p>
          <w:p w14:paraId="42884E9E" w14:textId="77777777" w:rsidR="00990B14" w:rsidRDefault="00000000">
            <w:pPr>
              <w:spacing w:after="40"/>
              <w:jc w:val="both"/>
            </w:pPr>
            <w:r>
              <w:rPr>
                <w:sz w:val="18"/>
                <w:szCs w:val="18"/>
              </w:rPr>
              <w:t>Ámbito de aplicación de los sistemas de administración y control gubernamental. (C)</w:t>
            </w:r>
          </w:p>
          <w:p w14:paraId="023CE09D" w14:textId="77777777" w:rsidR="00990B14" w:rsidRDefault="00000000">
            <w:pPr>
              <w:spacing w:after="40"/>
              <w:jc w:val="both"/>
            </w:pPr>
            <w:r>
              <w:rPr>
                <w:sz w:val="18"/>
                <w:szCs w:val="18"/>
              </w:rPr>
              <w:t>Sistemas para programar: Sistema de Programación de Operaciones, Sistema de Presupuesto. (C)</w:t>
            </w:r>
          </w:p>
          <w:p w14:paraId="74819902" w14:textId="77777777" w:rsidR="00990B14" w:rsidRDefault="00000000">
            <w:pPr>
              <w:spacing w:after="40"/>
              <w:jc w:val="both"/>
            </w:pPr>
            <w:r>
              <w:rPr>
                <w:sz w:val="18"/>
                <w:szCs w:val="18"/>
              </w:rPr>
              <w:t>Sistema para organizar: Sistema de Organización Administrativa. (C)</w:t>
            </w:r>
          </w:p>
          <w:p w14:paraId="2AD7E7DA" w14:textId="77777777" w:rsidR="00990B14" w:rsidRDefault="00000000">
            <w:pPr>
              <w:spacing w:after="40"/>
              <w:jc w:val="both"/>
            </w:pPr>
            <w:r>
              <w:rPr>
                <w:sz w:val="18"/>
                <w:szCs w:val="18"/>
              </w:rPr>
              <w:t>Sistemas para ejecutar: Sistema de Administración de Personal, Sistema de Administración de Bienes y Servicios, Sistema de Crédito Público, Sistema de Tesorería y Sistema de Contabilidad Integrada. (C)</w:t>
            </w:r>
          </w:p>
          <w:p w14:paraId="37E665FF" w14:textId="77777777" w:rsidR="00990B14" w:rsidRDefault="00000000">
            <w:pPr>
              <w:spacing w:after="40"/>
              <w:jc w:val="both"/>
            </w:pPr>
            <w:r>
              <w:rPr>
                <w:sz w:val="18"/>
                <w:szCs w:val="18"/>
              </w:rPr>
              <w:t>Sistema para controlar: Sistema de Control Gubernamental. (C)</w:t>
            </w:r>
          </w:p>
          <w:p w14:paraId="1CE3AC46" w14:textId="77777777" w:rsidR="00990B14" w:rsidRDefault="00000000">
            <w:pPr>
              <w:spacing w:after="40"/>
              <w:jc w:val="both"/>
            </w:pPr>
            <w:r>
              <w:rPr>
                <w:sz w:val="18"/>
                <w:szCs w:val="18"/>
              </w:rPr>
              <w:t>Concepto, historia y evolución de la responsabilidad por la función pública. (C, A)</w:t>
            </w:r>
          </w:p>
          <w:p w14:paraId="6554BB97" w14:textId="77777777" w:rsidR="00990B14" w:rsidRDefault="00000000">
            <w:pPr>
              <w:spacing w:after="40"/>
              <w:jc w:val="both"/>
            </w:pPr>
            <w:r>
              <w:rPr>
                <w:sz w:val="18"/>
                <w:szCs w:val="18"/>
              </w:rPr>
              <w:t>Tipos de responsabilidad por la función pública: administrativa, ejecutiva, civil y penal. (C, P, A)</w:t>
            </w:r>
          </w:p>
          <w:p w14:paraId="7EAD789A" w14:textId="77777777" w:rsidR="00990B14" w:rsidRDefault="00000000">
            <w:pPr>
              <w:spacing w:after="40"/>
              <w:jc w:val="both"/>
            </w:pPr>
            <w:r>
              <w:rPr>
                <w:sz w:val="18"/>
                <w:szCs w:val="18"/>
              </w:rPr>
              <w:t>Los servidores públicos y la responsabilidad por la función pública. (C, A)</w:t>
            </w:r>
          </w:p>
          <w:p w14:paraId="5FF8A999" w14:textId="77777777" w:rsidR="00990B14" w:rsidRDefault="00000000">
            <w:pPr>
              <w:spacing w:after="40"/>
              <w:jc w:val="both"/>
            </w:pPr>
            <w:r>
              <w:rPr>
                <w:sz w:val="18"/>
                <w:szCs w:val="18"/>
              </w:rPr>
              <w:t>La gestión por resultados y la responsabilidad por la función pública. (C, A)</w:t>
            </w:r>
          </w:p>
          <w:p w14:paraId="618F43F2" w14:textId="77777777" w:rsidR="00990B14" w:rsidRDefault="00000000">
            <w:pPr>
              <w:spacing w:after="40"/>
              <w:jc w:val="both"/>
            </w:pPr>
            <w:r>
              <w:rPr>
                <w:sz w:val="18"/>
                <w:szCs w:val="18"/>
              </w:rPr>
              <w:t>La transparencia institucional. (C, A)</w:t>
            </w:r>
          </w:p>
          <w:p w14:paraId="502E944C" w14:textId="77777777" w:rsidR="00990B14" w:rsidRDefault="00000000">
            <w:pPr>
              <w:spacing w:after="40"/>
              <w:jc w:val="both"/>
            </w:pPr>
            <w:r>
              <w:rPr>
                <w:sz w:val="18"/>
                <w:szCs w:val="18"/>
              </w:rPr>
              <w:t>La rendición de cuentas. (C, P, A)</w:t>
            </w:r>
          </w:p>
          <w:p w14:paraId="25FC0B57" w14:textId="77777777" w:rsidR="00990B14" w:rsidRDefault="00000000">
            <w:pPr>
              <w:spacing w:after="40"/>
              <w:jc w:val="both"/>
            </w:pPr>
            <w:r>
              <w:rPr>
                <w:sz w:val="18"/>
                <w:szCs w:val="18"/>
              </w:rPr>
              <w:t>El Rol de la Contraloría General del Estado. (C)</w:t>
            </w:r>
          </w:p>
        </w:tc>
        <w:tc>
          <w:tcPr>
            <w:tcW w:w="2752" w:type="dxa"/>
            <w:gridSpan w:val="3"/>
            <w:shd w:val="clear" w:color="auto" w:fill="D9E2F3"/>
          </w:tcPr>
          <w:p w14:paraId="514BD961" w14:textId="77777777" w:rsidR="00990B14" w:rsidRDefault="00000000">
            <w:pPr>
              <w:numPr>
                <w:ilvl w:val="0"/>
                <w:numId w:val="139"/>
              </w:numPr>
              <w:spacing w:before="10" w:after="10"/>
              <w:jc w:val="both"/>
            </w:pPr>
            <w:r>
              <w:rPr>
                <w:sz w:val="18"/>
                <w:szCs w:val="18"/>
              </w:rPr>
              <w:t>▪ Teorías y enfoques de la administración pública, modelos de gestión pública y gestión por resultados.</w:t>
            </w:r>
          </w:p>
          <w:p w14:paraId="65DF30BB" w14:textId="77777777" w:rsidR="00990B14" w:rsidRDefault="00000000">
            <w:pPr>
              <w:numPr>
                <w:ilvl w:val="0"/>
                <w:numId w:val="139"/>
              </w:numPr>
              <w:spacing w:before="10" w:after="10"/>
              <w:jc w:val="both"/>
            </w:pPr>
            <w:r>
              <w:rPr>
                <w:sz w:val="18"/>
                <w:szCs w:val="18"/>
              </w:rPr>
              <w:t>▪ Nociones de organización, funcionamiento, administración y control de las entidades públicas.</w:t>
            </w:r>
          </w:p>
          <w:p w14:paraId="3E5D759D" w14:textId="77777777" w:rsidR="00990B14" w:rsidRDefault="00000000">
            <w:pPr>
              <w:numPr>
                <w:ilvl w:val="0"/>
                <w:numId w:val="139"/>
              </w:numPr>
              <w:spacing w:before="10" w:after="10"/>
              <w:jc w:val="both"/>
            </w:pPr>
            <w:r>
              <w:rPr>
                <w:sz w:val="18"/>
                <w:szCs w:val="18"/>
              </w:rPr>
              <w:t>▪ Ley de Administración y Control Gubernamentales.</w:t>
            </w:r>
          </w:p>
          <w:p w14:paraId="2275CF4B" w14:textId="77777777" w:rsidR="00990B14" w:rsidRDefault="00000000">
            <w:pPr>
              <w:numPr>
                <w:ilvl w:val="0"/>
                <w:numId w:val="139"/>
              </w:numPr>
              <w:spacing w:before="10" w:after="10"/>
              <w:jc w:val="both"/>
            </w:pPr>
            <w:r>
              <w:rPr>
                <w:sz w:val="18"/>
                <w:szCs w:val="18"/>
              </w:rPr>
              <w:t>▪ Normas Básicas de los Sistemas de Administración y Control Gubernamentales.</w:t>
            </w:r>
          </w:p>
          <w:p w14:paraId="1C9E401F" w14:textId="77777777" w:rsidR="00990B14" w:rsidRDefault="00000000">
            <w:pPr>
              <w:numPr>
                <w:ilvl w:val="0"/>
                <w:numId w:val="139"/>
              </w:numPr>
              <w:spacing w:before="10" w:after="10"/>
              <w:jc w:val="both"/>
            </w:pPr>
            <w:r>
              <w:rPr>
                <w:sz w:val="18"/>
                <w:szCs w:val="18"/>
              </w:rPr>
              <w:t>▪ Teorías y principios de la responsabilidad por la función pública, ética, transparencia y rendición de cuentas.</w:t>
            </w:r>
          </w:p>
          <w:p w14:paraId="7E0EB0DC" w14:textId="77777777" w:rsidR="00990B14" w:rsidRDefault="00000000">
            <w:pPr>
              <w:numPr>
                <w:ilvl w:val="0"/>
                <w:numId w:val="139"/>
              </w:numPr>
              <w:spacing w:before="10" w:after="10"/>
              <w:jc w:val="both"/>
            </w:pPr>
            <w:r>
              <w:rPr>
                <w:sz w:val="18"/>
                <w:szCs w:val="18"/>
              </w:rPr>
              <w:t>▪ Nociones de gestión pública por resultados, responsabilidad por la función pública.</w:t>
            </w:r>
          </w:p>
          <w:p w14:paraId="14A3F2B1" w14:textId="77777777" w:rsidR="00990B14" w:rsidRDefault="00000000">
            <w:pPr>
              <w:numPr>
                <w:ilvl w:val="0"/>
                <w:numId w:val="139"/>
              </w:numPr>
              <w:spacing w:before="10" w:after="10"/>
              <w:jc w:val="both"/>
            </w:pPr>
            <w:r>
              <w:rPr>
                <w:sz w:val="18"/>
                <w:szCs w:val="18"/>
              </w:rPr>
              <w:t>▪ Ley de Administración y Control Gubernamentales y DS 23318-A, Responsabilidad por la Función Pública.</w:t>
            </w:r>
          </w:p>
          <w:p w14:paraId="70A2330F" w14:textId="77777777" w:rsidR="00990B14" w:rsidRDefault="00000000">
            <w:pPr>
              <w:numPr>
                <w:ilvl w:val="0"/>
                <w:numId w:val="139"/>
              </w:numPr>
              <w:spacing w:before="10" w:after="10"/>
              <w:jc w:val="both"/>
            </w:pPr>
            <w:r>
              <w:rPr>
                <w:sz w:val="18"/>
                <w:szCs w:val="18"/>
              </w:rPr>
              <w:t>▪ Ley 004 de Lucha contra la Corrupción.</w:t>
            </w:r>
          </w:p>
        </w:tc>
      </w:tr>
      <w:tr w:rsidR="00990B14" w14:paraId="27260F98" w14:textId="77777777">
        <w:trPr>
          <w:cantSplit/>
          <w:jc w:val="center"/>
        </w:trPr>
        <w:tc>
          <w:tcPr>
            <w:tcW w:w="9405" w:type="dxa"/>
            <w:gridSpan w:val="13"/>
            <w:shd w:val="clear" w:color="auto" w:fill="D9E2F3"/>
            <w:vAlign w:val="center"/>
          </w:tcPr>
          <w:p w14:paraId="6E21F0F6" w14:textId="77777777" w:rsidR="00990B14" w:rsidRDefault="00000000">
            <w:pPr>
              <w:spacing w:before="20" w:after="20"/>
              <w:jc w:val="both"/>
            </w:pPr>
            <w:r>
              <w:rPr>
                <w:b/>
                <w:bCs/>
                <w:i/>
                <w:iCs/>
                <w:sz w:val="18"/>
                <w:szCs w:val="18"/>
              </w:rPr>
              <w:t xml:space="preserve">Elemento de competencia 3: </w:t>
            </w:r>
            <w:r>
              <w:rPr>
                <w:sz w:val="18"/>
                <w:szCs w:val="18"/>
              </w:rPr>
              <w:t>Formula el presupuesto de recursos y gastos de una entidad pública apropiando: partidas, rubros, fuentes, organismos y categorías programáticas, según los clasificadores presupuestarios vigentes, incluido el registro de las modificaciones presupuestarias.</w:t>
            </w:r>
          </w:p>
        </w:tc>
      </w:tr>
      <w:tr w:rsidR="00990B14" w14:paraId="4AB03801" w14:textId="77777777">
        <w:trPr>
          <w:cantSplit/>
          <w:jc w:val="center"/>
        </w:trPr>
        <w:tc>
          <w:tcPr>
            <w:tcW w:w="3133" w:type="dxa"/>
            <w:gridSpan w:val="4"/>
            <w:shd w:val="clear" w:color="auto" w:fill="4472C4"/>
            <w:vAlign w:val="center"/>
          </w:tcPr>
          <w:p w14:paraId="7A31085E"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461AE94C"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1174D8DC" w14:textId="77777777" w:rsidR="00990B14" w:rsidRDefault="00000000">
            <w:pPr>
              <w:keepNext/>
              <w:spacing w:before="20" w:after="20"/>
              <w:jc w:val="center"/>
            </w:pPr>
            <w:r>
              <w:rPr>
                <w:b/>
                <w:bCs/>
                <w:i/>
                <w:iCs/>
                <w:color w:val="FFFFFF"/>
                <w:sz w:val="18"/>
                <w:szCs w:val="18"/>
              </w:rPr>
              <w:t>Evidencias de producto</w:t>
            </w:r>
          </w:p>
        </w:tc>
      </w:tr>
      <w:tr w:rsidR="00990B14" w14:paraId="46E69972" w14:textId="77777777">
        <w:trPr>
          <w:cantSplit/>
          <w:jc w:val="center"/>
        </w:trPr>
        <w:tc>
          <w:tcPr>
            <w:tcW w:w="3133" w:type="dxa"/>
            <w:gridSpan w:val="4"/>
            <w:vMerge w:val="restart"/>
            <w:shd w:val="clear" w:color="auto" w:fill="D9E2F3"/>
            <w:vAlign w:val="center"/>
          </w:tcPr>
          <w:p w14:paraId="65614E29" w14:textId="77777777" w:rsidR="00990B14" w:rsidRDefault="00000000">
            <w:pPr>
              <w:spacing w:before="20" w:after="20"/>
              <w:jc w:val="both"/>
            </w:pPr>
            <w:r>
              <w:rPr>
                <w:sz w:val="18"/>
                <w:szCs w:val="18"/>
              </w:rPr>
              <w:t>1. Formula el presupuesto de recursos y gastos de acuerdo con los clasificadores presupuestarios y normativa vigente.</w:t>
            </w:r>
          </w:p>
        </w:tc>
        <w:tc>
          <w:tcPr>
            <w:tcW w:w="3135" w:type="dxa"/>
            <w:gridSpan w:val="5"/>
            <w:shd w:val="clear" w:color="auto" w:fill="D9E2F3"/>
            <w:vAlign w:val="center"/>
          </w:tcPr>
          <w:p w14:paraId="610065E4" w14:textId="77777777" w:rsidR="00990B14" w:rsidRDefault="00000000">
            <w:pPr>
              <w:spacing w:before="20" w:after="20"/>
              <w:jc w:val="both"/>
            </w:pPr>
            <w:r>
              <w:rPr>
                <w:sz w:val="18"/>
                <w:szCs w:val="18"/>
              </w:rPr>
              <w:t>1.1 Formula el presupuesto de recursos y gastos, articulado con los planes: operativo, estratégico y nacional.</w:t>
            </w:r>
          </w:p>
        </w:tc>
        <w:tc>
          <w:tcPr>
            <w:tcW w:w="3137" w:type="dxa"/>
            <w:gridSpan w:val="4"/>
            <w:shd w:val="clear" w:color="auto" w:fill="D9E2F3"/>
            <w:vAlign w:val="center"/>
          </w:tcPr>
          <w:p w14:paraId="6751C45A" w14:textId="77777777" w:rsidR="00990B14" w:rsidRDefault="00000000">
            <w:pPr>
              <w:spacing w:before="20" w:after="20"/>
              <w:jc w:val="both"/>
            </w:pPr>
            <w:r>
              <w:rPr>
                <w:b/>
                <w:bCs/>
                <w:sz w:val="18"/>
                <w:szCs w:val="18"/>
              </w:rPr>
              <w:t xml:space="preserve">Producto 9: </w:t>
            </w:r>
            <w:r>
              <w:rPr>
                <w:sz w:val="18"/>
                <w:szCs w:val="18"/>
              </w:rPr>
              <w:t>Cuadro de Formulación Presupuestaria de recursos y gastos, de acuerdo con los clasificadores presupuestarios.</w:t>
            </w:r>
          </w:p>
        </w:tc>
      </w:tr>
      <w:tr w:rsidR="00990B14" w14:paraId="58EFF20D" w14:textId="77777777">
        <w:trPr>
          <w:cantSplit/>
          <w:jc w:val="center"/>
        </w:trPr>
        <w:tc>
          <w:tcPr>
            <w:tcW w:w="3133" w:type="dxa"/>
            <w:gridSpan w:val="4"/>
            <w:vMerge/>
            <w:shd w:val="clear" w:color="auto" w:fill="D9E2F3"/>
            <w:vAlign w:val="center"/>
          </w:tcPr>
          <w:p w14:paraId="179981B5" w14:textId="77777777" w:rsidR="00990B14" w:rsidRDefault="00990B14">
            <w:pPr>
              <w:spacing w:before="20" w:after="20"/>
            </w:pPr>
          </w:p>
        </w:tc>
        <w:tc>
          <w:tcPr>
            <w:tcW w:w="3135" w:type="dxa"/>
            <w:gridSpan w:val="5"/>
            <w:shd w:val="clear" w:color="auto" w:fill="D9E2F3"/>
            <w:vAlign w:val="center"/>
          </w:tcPr>
          <w:p w14:paraId="7711C7AE" w14:textId="77777777" w:rsidR="00990B14" w:rsidRDefault="00000000">
            <w:pPr>
              <w:spacing w:before="20" w:after="20"/>
              <w:jc w:val="both"/>
            </w:pPr>
            <w:r>
              <w:rPr>
                <w:sz w:val="18"/>
                <w:szCs w:val="18"/>
              </w:rPr>
              <w:t>1.2 Aplica la metodología, el marco normativo y las técnicas de formulación presupuestaria.</w:t>
            </w:r>
          </w:p>
        </w:tc>
        <w:tc>
          <w:tcPr>
            <w:tcW w:w="3137" w:type="dxa"/>
            <w:gridSpan w:val="4"/>
            <w:shd w:val="clear" w:color="auto" w:fill="D9E2F3"/>
            <w:vAlign w:val="center"/>
          </w:tcPr>
          <w:p w14:paraId="002650A1" w14:textId="77777777" w:rsidR="00990B14" w:rsidRDefault="00000000">
            <w:pPr>
              <w:spacing w:before="20" w:after="20"/>
              <w:jc w:val="both"/>
            </w:pPr>
            <w:r>
              <w:rPr>
                <w:b/>
                <w:bCs/>
                <w:sz w:val="18"/>
                <w:szCs w:val="18"/>
              </w:rPr>
              <w:t xml:space="preserve">Producto 10: </w:t>
            </w:r>
            <w:r>
              <w:rPr>
                <w:sz w:val="18"/>
                <w:szCs w:val="18"/>
              </w:rPr>
              <w:t>Esquema de comprensión de uso de la metodología, marco normativo y técnicas.</w:t>
            </w:r>
          </w:p>
        </w:tc>
      </w:tr>
      <w:tr w:rsidR="00990B14" w14:paraId="763360BA" w14:textId="77777777">
        <w:trPr>
          <w:cantSplit/>
          <w:jc w:val="center"/>
        </w:trPr>
        <w:tc>
          <w:tcPr>
            <w:tcW w:w="3133" w:type="dxa"/>
            <w:gridSpan w:val="4"/>
            <w:vMerge w:val="restart"/>
            <w:shd w:val="clear" w:color="auto" w:fill="D9E2F3"/>
            <w:vAlign w:val="center"/>
          </w:tcPr>
          <w:p w14:paraId="0825B418" w14:textId="77777777" w:rsidR="00990B14" w:rsidRDefault="00000000">
            <w:pPr>
              <w:spacing w:before="20" w:after="20"/>
              <w:jc w:val="both"/>
            </w:pPr>
            <w:r>
              <w:rPr>
                <w:sz w:val="18"/>
                <w:szCs w:val="18"/>
              </w:rPr>
              <w:t>2. Registra las modificaciones presupuestarias: interinstitucionales, intrainstitucionales y adicionales.</w:t>
            </w:r>
          </w:p>
        </w:tc>
        <w:tc>
          <w:tcPr>
            <w:tcW w:w="3135" w:type="dxa"/>
            <w:gridSpan w:val="5"/>
            <w:shd w:val="clear" w:color="auto" w:fill="D9E2F3"/>
            <w:vAlign w:val="center"/>
          </w:tcPr>
          <w:p w14:paraId="297AB6A4" w14:textId="77777777" w:rsidR="00990B14" w:rsidRDefault="00000000">
            <w:pPr>
              <w:spacing w:before="20" w:after="20"/>
              <w:jc w:val="both"/>
            </w:pPr>
            <w:r>
              <w:rPr>
                <w:sz w:val="18"/>
                <w:szCs w:val="18"/>
              </w:rPr>
              <w:t>2.1 Analiza la necesidad y justificación del cambio en el presupuesto de recursos y gastos</w:t>
            </w:r>
          </w:p>
        </w:tc>
        <w:tc>
          <w:tcPr>
            <w:tcW w:w="3137" w:type="dxa"/>
            <w:gridSpan w:val="4"/>
            <w:shd w:val="clear" w:color="auto" w:fill="D9E2F3"/>
            <w:vAlign w:val="center"/>
          </w:tcPr>
          <w:p w14:paraId="63BD74B6" w14:textId="77777777" w:rsidR="00990B14" w:rsidRDefault="00000000">
            <w:pPr>
              <w:spacing w:before="20" w:after="20"/>
              <w:jc w:val="both"/>
            </w:pPr>
            <w:r>
              <w:rPr>
                <w:b/>
                <w:bCs/>
                <w:sz w:val="18"/>
                <w:szCs w:val="18"/>
              </w:rPr>
              <w:t xml:space="preserve">Producto 11: </w:t>
            </w:r>
            <w:r>
              <w:rPr>
                <w:sz w:val="18"/>
                <w:szCs w:val="18"/>
              </w:rPr>
              <w:t>Esquema de análisis de comprensión y justificación del cambio o modificación presupuestaria.</w:t>
            </w:r>
          </w:p>
        </w:tc>
      </w:tr>
      <w:tr w:rsidR="00990B14" w14:paraId="7F763E31" w14:textId="77777777">
        <w:trPr>
          <w:cantSplit/>
          <w:jc w:val="center"/>
        </w:trPr>
        <w:tc>
          <w:tcPr>
            <w:tcW w:w="3133" w:type="dxa"/>
            <w:gridSpan w:val="4"/>
            <w:vMerge/>
            <w:shd w:val="clear" w:color="auto" w:fill="D9E2F3"/>
            <w:vAlign w:val="center"/>
          </w:tcPr>
          <w:p w14:paraId="2C12AE04" w14:textId="77777777" w:rsidR="00990B14" w:rsidRDefault="00990B14">
            <w:pPr>
              <w:spacing w:before="20" w:after="20"/>
            </w:pPr>
          </w:p>
        </w:tc>
        <w:tc>
          <w:tcPr>
            <w:tcW w:w="3135" w:type="dxa"/>
            <w:gridSpan w:val="5"/>
            <w:shd w:val="clear" w:color="auto" w:fill="D9E2F3"/>
            <w:vAlign w:val="center"/>
          </w:tcPr>
          <w:p w14:paraId="63AA9F66" w14:textId="77777777" w:rsidR="00990B14" w:rsidRDefault="00000000">
            <w:pPr>
              <w:spacing w:before="20" w:after="20"/>
              <w:jc w:val="both"/>
            </w:pPr>
            <w:r>
              <w:rPr>
                <w:sz w:val="18"/>
                <w:szCs w:val="18"/>
              </w:rPr>
              <w:t>2.2 Elabora cambios y modificaciones en el presupuesto de recursos y gastos.</w:t>
            </w:r>
          </w:p>
        </w:tc>
        <w:tc>
          <w:tcPr>
            <w:tcW w:w="3137" w:type="dxa"/>
            <w:gridSpan w:val="4"/>
            <w:shd w:val="clear" w:color="auto" w:fill="D9E2F3"/>
            <w:vAlign w:val="center"/>
          </w:tcPr>
          <w:p w14:paraId="23B204FE" w14:textId="77777777" w:rsidR="00990B14" w:rsidRDefault="00000000">
            <w:pPr>
              <w:spacing w:before="20" w:after="20"/>
              <w:jc w:val="both"/>
            </w:pPr>
            <w:r>
              <w:rPr>
                <w:b/>
                <w:bCs/>
                <w:sz w:val="18"/>
                <w:szCs w:val="18"/>
              </w:rPr>
              <w:t xml:space="preserve">Producto 12: </w:t>
            </w:r>
            <w:r>
              <w:rPr>
                <w:sz w:val="18"/>
                <w:szCs w:val="18"/>
              </w:rPr>
              <w:t>Cuadro de modificación incluyendo informe y documentación de respaldo.</w:t>
            </w:r>
          </w:p>
        </w:tc>
      </w:tr>
      <w:tr w:rsidR="00990B14" w14:paraId="14B6A539" w14:textId="77777777">
        <w:trPr>
          <w:cantSplit/>
          <w:jc w:val="center"/>
        </w:trPr>
        <w:tc>
          <w:tcPr>
            <w:tcW w:w="9405" w:type="dxa"/>
            <w:gridSpan w:val="13"/>
            <w:shd w:val="clear" w:color="auto" w:fill="4472C4"/>
            <w:vAlign w:val="center"/>
          </w:tcPr>
          <w:p w14:paraId="763CC74C" w14:textId="77777777" w:rsidR="00990B14" w:rsidRDefault="00000000">
            <w:pPr>
              <w:keepNext/>
              <w:spacing w:before="20" w:after="20"/>
              <w:jc w:val="center"/>
            </w:pPr>
            <w:r>
              <w:rPr>
                <w:b/>
                <w:bCs/>
                <w:i/>
                <w:iCs/>
                <w:color w:val="FFFFFF"/>
                <w:sz w:val="18"/>
                <w:szCs w:val="18"/>
              </w:rPr>
              <w:t>Evidencias de conocimiento</w:t>
            </w:r>
          </w:p>
        </w:tc>
      </w:tr>
      <w:tr w:rsidR="00990B14" w14:paraId="27BBEEEA" w14:textId="77777777">
        <w:trPr>
          <w:cantSplit/>
          <w:jc w:val="center"/>
        </w:trPr>
        <w:tc>
          <w:tcPr>
            <w:tcW w:w="2349" w:type="dxa"/>
            <w:gridSpan w:val="2"/>
            <w:shd w:val="clear" w:color="auto" w:fill="4472C4"/>
            <w:vAlign w:val="center"/>
          </w:tcPr>
          <w:p w14:paraId="3DED43DD"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52514C0D" w14:textId="77777777" w:rsidR="00990B14" w:rsidRDefault="00000000">
            <w:pPr>
              <w:keepNext/>
              <w:spacing w:before="20" w:after="20"/>
              <w:jc w:val="both"/>
            </w:pPr>
            <w:r>
              <w:rPr>
                <w:b/>
                <w:bCs/>
                <w:i/>
                <w:iCs/>
                <w:color w:val="FFFFFF"/>
                <w:sz w:val="18"/>
                <w:szCs w:val="18"/>
              </w:rPr>
              <w:t>Contenidos</w:t>
            </w:r>
          </w:p>
          <w:p w14:paraId="13DF759A"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7EAF577A" w14:textId="77777777" w:rsidR="00990B14" w:rsidRDefault="00000000">
            <w:pPr>
              <w:keepNext/>
              <w:spacing w:before="20" w:after="20"/>
              <w:jc w:val="center"/>
            </w:pPr>
            <w:r>
              <w:rPr>
                <w:b/>
                <w:bCs/>
                <w:i/>
                <w:iCs/>
                <w:color w:val="FFFFFF"/>
                <w:sz w:val="18"/>
                <w:szCs w:val="18"/>
              </w:rPr>
              <w:t>Conocimientos circunstanciales</w:t>
            </w:r>
          </w:p>
        </w:tc>
      </w:tr>
      <w:tr w:rsidR="00990B14" w14:paraId="6C85F8AC" w14:textId="77777777">
        <w:trPr>
          <w:jc w:val="center"/>
        </w:trPr>
        <w:tc>
          <w:tcPr>
            <w:tcW w:w="2349" w:type="dxa"/>
            <w:gridSpan w:val="2"/>
            <w:shd w:val="clear" w:color="auto" w:fill="D9E2F3"/>
          </w:tcPr>
          <w:p w14:paraId="6FC949C4" w14:textId="77777777" w:rsidR="00990B14" w:rsidRDefault="00000000">
            <w:pPr>
              <w:spacing w:before="20" w:after="40"/>
              <w:jc w:val="both"/>
            </w:pPr>
            <w:r>
              <w:rPr>
                <w:sz w:val="18"/>
                <w:szCs w:val="18"/>
              </w:rPr>
              <w:t>Tema 5: El Sistema de Presupuesto</w:t>
            </w:r>
          </w:p>
          <w:p w14:paraId="181FDE57" w14:textId="77777777" w:rsidR="00990B14" w:rsidRDefault="00000000">
            <w:pPr>
              <w:spacing w:before="20" w:after="40"/>
              <w:jc w:val="both"/>
            </w:pPr>
            <w:r>
              <w:rPr>
                <w:sz w:val="18"/>
                <w:szCs w:val="18"/>
              </w:rPr>
              <w:t>Tema 6: Formulación Presupuestaria</w:t>
            </w:r>
          </w:p>
        </w:tc>
        <w:tc>
          <w:tcPr>
            <w:tcW w:w="4304" w:type="dxa"/>
            <w:gridSpan w:val="8"/>
            <w:shd w:val="clear" w:color="auto" w:fill="D9E2F3"/>
          </w:tcPr>
          <w:p w14:paraId="19A16615" w14:textId="77777777" w:rsidR="00990B14" w:rsidRDefault="00000000">
            <w:pPr>
              <w:spacing w:after="40"/>
              <w:jc w:val="both"/>
            </w:pPr>
            <w:r>
              <w:rPr>
                <w:sz w:val="18"/>
                <w:szCs w:val="18"/>
              </w:rPr>
              <w:t>Concepto y características del presupuesto; el presupuesto corriente, de inversión pública y plurianual. (C)</w:t>
            </w:r>
          </w:p>
          <w:p w14:paraId="5FD5E920" w14:textId="77777777" w:rsidR="00990B14" w:rsidRDefault="00000000">
            <w:pPr>
              <w:spacing w:after="40"/>
              <w:jc w:val="both"/>
            </w:pPr>
            <w:r>
              <w:rPr>
                <w:sz w:val="18"/>
                <w:szCs w:val="18"/>
              </w:rPr>
              <w:t>Principios del presupuesto; la visión macro y micro del presupuesto y etapas del presupuesto. (C)</w:t>
            </w:r>
          </w:p>
          <w:p w14:paraId="2C5D64FD" w14:textId="77777777" w:rsidR="00990B14" w:rsidRDefault="00000000">
            <w:pPr>
              <w:spacing w:after="40"/>
              <w:jc w:val="both"/>
            </w:pPr>
            <w:r>
              <w:rPr>
                <w:sz w:val="18"/>
                <w:szCs w:val="18"/>
              </w:rPr>
              <w:t>Las directrices de formulación presupuestaria y la estructura programática del Plan de Desarrollo Económico y Social. (C)</w:t>
            </w:r>
          </w:p>
          <w:p w14:paraId="15F81B20" w14:textId="77777777" w:rsidR="00990B14" w:rsidRDefault="00000000">
            <w:pPr>
              <w:spacing w:after="40"/>
              <w:jc w:val="both"/>
            </w:pPr>
            <w:r>
              <w:rPr>
                <w:sz w:val="18"/>
                <w:szCs w:val="18"/>
              </w:rPr>
              <w:t>Las políticas presupuestarias; proyección de los recursos y estimación de los gastos y memorias de cálculo. (C, P)</w:t>
            </w:r>
          </w:p>
          <w:p w14:paraId="6A354C9A" w14:textId="77777777" w:rsidR="00990B14" w:rsidRDefault="00000000">
            <w:pPr>
              <w:spacing w:after="40"/>
              <w:jc w:val="both"/>
            </w:pPr>
            <w:r>
              <w:rPr>
                <w:sz w:val="18"/>
                <w:szCs w:val="18"/>
              </w:rPr>
              <w:t>Categorías programáticas, direcciones administrativas y unidades ejecutoras. (C)</w:t>
            </w:r>
          </w:p>
          <w:p w14:paraId="19C88FB5" w14:textId="77777777" w:rsidR="00990B14" w:rsidRDefault="00000000">
            <w:pPr>
              <w:spacing w:after="40"/>
              <w:jc w:val="both"/>
            </w:pPr>
            <w:r>
              <w:rPr>
                <w:sz w:val="18"/>
                <w:szCs w:val="18"/>
              </w:rPr>
              <w:t>Los clasificadores presupuestarios: institucional, objeto de gasto, recursos, fuente, organismo, geográfico, económico y finalidad y por función. (C, P)</w:t>
            </w:r>
          </w:p>
          <w:p w14:paraId="3E3DCB7A" w14:textId="77777777" w:rsidR="00990B14" w:rsidRDefault="00000000">
            <w:pPr>
              <w:spacing w:after="40"/>
              <w:jc w:val="both"/>
            </w:pPr>
            <w:r>
              <w:rPr>
                <w:sz w:val="18"/>
                <w:szCs w:val="18"/>
              </w:rPr>
              <w:t>Proceso de formulación presupuestaria, visión macro y micro, de acuerdo con las políticas y normas del Órgano Rector. (C, P, T)</w:t>
            </w:r>
          </w:p>
          <w:p w14:paraId="63B3CE0D" w14:textId="77777777" w:rsidR="00990B14" w:rsidRDefault="00000000">
            <w:pPr>
              <w:spacing w:after="40"/>
              <w:jc w:val="both"/>
            </w:pPr>
            <w:r>
              <w:rPr>
                <w:sz w:val="18"/>
                <w:szCs w:val="18"/>
              </w:rPr>
              <w:t>Introducción, concepto, características y naturaleza de las modificaciones presupuestarias. (C)</w:t>
            </w:r>
          </w:p>
          <w:p w14:paraId="03F4B48C" w14:textId="77777777" w:rsidR="00990B14" w:rsidRDefault="00000000">
            <w:pPr>
              <w:spacing w:after="40"/>
              <w:jc w:val="both"/>
            </w:pPr>
            <w:r>
              <w:rPr>
                <w:sz w:val="18"/>
                <w:szCs w:val="18"/>
              </w:rPr>
              <w:t>Marco normativo de las modificaciones presupuestarias. (C)</w:t>
            </w:r>
          </w:p>
          <w:p w14:paraId="5DBF20F2" w14:textId="77777777" w:rsidR="00990B14" w:rsidRDefault="00000000">
            <w:pPr>
              <w:spacing w:after="40"/>
              <w:jc w:val="both"/>
            </w:pPr>
            <w:r>
              <w:rPr>
                <w:sz w:val="18"/>
                <w:szCs w:val="18"/>
              </w:rPr>
              <w:t>Tipos de Modificaciones presupuestarias: intrainstitucional, interinstitucional y adicional. (C)</w:t>
            </w:r>
          </w:p>
          <w:p w14:paraId="085FC5B3" w14:textId="77777777" w:rsidR="00990B14" w:rsidRDefault="00000000">
            <w:pPr>
              <w:spacing w:after="40"/>
              <w:jc w:val="both"/>
            </w:pPr>
            <w:r>
              <w:rPr>
                <w:sz w:val="18"/>
                <w:szCs w:val="18"/>
              </w:rPr>
              <w:t>Análisis de justificación de modificaciones presupuestarias. (C)</w:t>
            </w:r>
          </w:p>
          <w:p w14:paraId="5D301913" w14:textId="77777777" w:rsidR="00990B14" w:rsidRDefault="00000000">
            <w:pPr>
              <w:spacing w:after="40"/>
              <w:jc w:val="both"/>
            </w:pPr>
            <w:r>
              <w:rPr>
                <w:sz w:val="18"/>
                <w:szCs w:val="18"/>
              </w:rPr>
              <w:t>Elaboración de matriz de modificación presupuestaria: rubros, partidas, fuente, organismo y otros. (C, P)</w:t>
            </w:r>
          </w:p>
          <w:p w14:paraId="193EDED2" w14:textId="77777777" w:rsidR="00990B14" w:rsidRDefault="00000000">
            <w:pPr>
              <w:spacing w:after="40"/>
              <w:jc w:val="both"/>
            </w:pPr>
            <w:r>
              <w:rPr>
                <w:sz w:val="18"/>
                <w:szCs w:val="18"/>
              </w:rPr>
              <w:t>Elaboración de informes de modificación presupuestaria. (C, P)</w:t>
            </w:r>
          </w:p>
          <w:p w14:paraId="1BF6EDDE" w14:textId="77777777" w:rsidR="00990B14" w:rsidRDefault="00000000">
            <w:pPr>
              <w:spacing w:after="40"/>
              <w:jc w:val="both"/>
            </w:pPr>
            <w:r>
              <w:rPr>
                <w:sz w:val="18"/>
                <w:szCs w:val="18"/>
              </w:rPr>
              <w:t>Análisis de consistencia del estado de ejecución presupuestaria de recursos y gastos, y las modificaciones presupuestarias. (P)</w:t>
            </w:r>
          </w:p>
        </w:tc>
        <w:tc>
          <w:tcPr>
            <w:tcW w:w="2752" w:type="dxa"/>
            <w:gridSpan w:val="3"/>
            <w:shd w:val="clear" w:color="auto" w:fill="D9E2F3"/>
          </w:tcPr>
          <w:p w14:paraId="6B100D60" w14:textId="77777777" w:rsidR="00990B14" w:rsidRDefault="00000000">
            <w:pPr>
              <w:numPr>
                <w:ilvl w:val="0"/>
                <w:numId w:val="139"/>
              </w:numPr>
              <w:spacing w:before="10" w:after="10"/>
              <w:jc w:val="both"/>
            </w:pPr>
            <w:r>
              <w:rPr>
                <w:sz w:val="18"/>
                <w:szCs w:val="18"/>
              </w:rPr>
              <w:t>Ley de Administración y Control Gubernamental.</w:t>
            </w:r>
          </w:p>
          <w:p w14:paraId="61DE10C3" w14:textId="77777777" w:rsidR="00990B14" w:rsidRDefault="00000000">
            <w:pPr>
              <w:numPr>
                <w:ilvl w:val="0"/>
                <w:numId w:val="139"/>
              </w:numPr>
              <w:spacing w:before="10" w:after="10"/>
              <w:jc w:val="both"/>
            </w:pPr>
            <w:r>
              <w:rPr>
                <w:sz w:val="18"/>
                <w:szCs w:val="18"/>
              </w:rPr>
              <w:t>Norma Básica del Sistema de Presupuesto</w:t>
            </w:r>
          </w:p>
          <w:p w14:paraId="1F35F078" w14:textId="77777777" w:rsidR="00990B14" w:rsidRDefault="00000000">
            <w:pPr>
              <w:numPr>
                <w:ilvl w:val="0"/>
                <w:numId w:val="139"/>
              </w:numPr>
              <w:spacing w:before="10" w:after="10"/>
              <w:jc w:val="both"/>
            </w:pPr>
            <w:r>
              <w:rPr>
                <w:sz w:val="18"/>
                <w:szCs w:val="18"/>
              </w:rPr>
              <w:t>Ley del Presupuesto General del Estado</w:t>
            </w:r>
          </w:p>
          <w:p w14:paraId="7356E716" w14:textId="77777777" w:rsidR="00990B14" w:rsidRDefault="00000000">
            <w:pPr>
              <w:numPr>
                <w:ilvl w:val="0"/>
                <w:numId w:val="139"/>
              </w:numPr>
              <w:spacing w:before="10" w:after="10"/>
              <w:jc w:val="both"/>
            </w:pPr>
            <w:r>
              <w:rPr>
                <w:sz w:val="18"/>
                <w:szCs w:val="18"/>
              </w:rPr>
              <w:t>Directrices de Formulación Presupuestaria</w:t>
            </w:r>
          </w:p>
          <w:p w14:paraId="67EC195F" w14:textId="77777777" w:rsidR="00990B14" w:rsidRDefault="00000000">
            <w:pPr>
              <w:numPr>
                <w:ilvl w:val="0"/>
                <w:numId w:val="139"/>
              </w:numPr>
              <w:spacing w:before="10" w:after="10"/>
              <w:jc w:val="both"/>
            </w:pPr>
            <w:r>
              <w:rPr>
                <w:sz w:val="18"/>
                <w:szCs w:val="18"/>
              </w:rPr>
              <w:t>Clasificadores Presupuestarios</w:t>
            </w:r>
          </w:p>
          <w:p w14:paraId="67963E61" w14:textId="77777777" w:rsidR="00990B14" w:rsidRDefault="00000000">
            <w:pPr>
              <w:numPr>
                <w:ilvl w:val="0"/>
                <w:numId w:val="139"/>
              </w:numPr>
              <w:spacing w:before="10" w:after="10"/>
              <w:jc w:val="both"/>
            </w:pPr>
            <w:r>
              <w:rPr>
                <w:sz w:val="18"/>
                <w:szCs w:val="18"/>
              </w:rPr>
              <w:t>Nociones de gestión del presupuesto</w:t>
            </w:r>
          </w:p>
          <w:p w14:paraId="09E40C86" w14:textId="77777777" w:rsidR="00990B14" w:rsidRDefault="00000000">
            <w:pPr>
              <w:numPr>
                <w:ilvl w:val="0"/>
                <w:numId w:val="139"/>
              </w:numPr>
              <w:spacing w:before="10" w:after="10"/>
              <w:jc w:val="both"/>
            </w:pPr>
            <w:r>
              <w:rPr>
                <w:sz w:val="18"/>
                <w:szCs w:val="18"/>
              </w:rPr>
              <w:t>Ley de Administración y Control Gubernamental.</w:t>
            </w:r>
          </w:p>
          <w:p w14:paraId="0CC118C5" w14:textId="77777777" w:rsidR="00990B14" w:rsidRDefault="00000000">
            <w:pPr>
              <w:numPr>
                <w:ilvl w:val="0"/>
                <w:numId w:val="139"/>
              </w:numPr>
              <w:spacing w:before="10" w:after="10"/>
              <w:jc w:val="both"/>
            </w:pPr>
            <w:r>
              <w:rPr>
                <w:sz w:val="18"/>
                <w:szCs w:val="18"/>
              </w:rPr>
              <w:t>Norma Básica del Sistema de Presupuesto</w:t>
            </w:r>
          </w:p>
          <w:p w14:paraId="66DFF7DC" w14:textId="77777777" w:rsidR="00990B14" w:rsidRDefault="00000000">
            <w:pPr>
              <w:numPr>
                <w:ilvl w:val="0"/>
                <w:numId w:val="139"/>
              </w:numPr>
              <w:spacing w:before="10" w:after="10"/>
              <w:jc w:val="both"/>
            </w:pPr>
            <w:r>
              <w:rPr>
                <w:sz w:val="18"/>
                <w:szCs w:val="18"/>
              </w:rPr>
              <w:t>Ley del Presupuesto General del Estado</w:t>
            </w:r>
          </w:p>
          <w:p w14:paraId="393498E6" w14:textId="77777777" w:rsidR="00990B14" w:rsidRDefault="00000000">
            <w:pPr>
              <w:numPr>
                <w:ilvl w:val="0"/>
                <w:numId w:val="139"/>
              </w:numPr>
              <w:spacing w:before="10" w:after="10"/>
              <w:jc w:val="both"/>
            </w:pPr>
            <w:r>
              <w:rPr>
                <w:sz w:val="18"/>
                <w:szCs w:val="18"/>
              </w:rPr>
              <w:t>Directrices de Formulación Presupuestaria</w:t>
            </w:r>
          </w:p>
          <w:p w14:paraId="31DA9190" w14:textId="77777777" w:rsidR="00990B14" w:rsidRDefault="00000000">
            <w:pPr>
              <w:numPr>
                <w:ilvl w:val="0"/>
                <w:numId w:val="139"/>
              </w:numPr>
              <w:spacing w:before="10" w:after="10"/>
              <w:jc w:val="both"/>
            </w:pPr>
            <w:r>
              <w:rPr>
                <w:sz w:val="18"/>
                <w:szCs w:val="18"/>
              </w:rPr>
              <w:t>Clasificadores Presupuestarios</w:t>
            </w:r>
          </w:p>
          <w:p w14:paraId="290F0B45" w14:textId="77777777" w:rsidR="00990B14" w:rsidRDefault="00000000">
            <w:pPr>
              <w:numPr>
                <w:ilvl w:val="0"/>
                <w:numId w:val="139"/>
              </w:numPr>
              <w:spacing w:before="10" w:after="10"/>
              <w:jc w:val="both"/>
            </w:pPr>
            <w:r>
              <w:rPr>
                <w:sz w:val="18"/>
                <w:szCs w:val="18"/>
              </w:rPr>
              <w:t>Decreto Supremo de modificaciones presupuestarias.</w:t>
            </w:r>
          </w:p>
          <w:p w14:paraId="41301442" w14:textId="77777777" w:rsidR="00990B14" w:rsidRDefault="00000000">
            <w:pPr>
              <w:numPr>
                <w:ilvl w:val="0"/>
                <w:numId w:val="139"/>
              </w:numPr>
              <w:spacing w:before="10" w:after="10"/>
              <w:jc w:val="both"/>
            </w:pPr>
            <w:r>
              <w:rPr>
                <w:sz w:val="18"/>
                <w:szCs w:val="18"/>
              </w:rPr>
              <w:t>Manual de modificaciones presupuestarias.</w:t>
            </w:r>
          </w:p>
        </w:tc>
      </w:tr>
      <w:tr w:rsidR="00990B14" w14:paraId="5CC3D04F" w14:textId="77777777">
        <w:trPr>
          <w:cantSplit/>
          <w:jc w:val="center"/>
        </w:trPr>
        <w:tc>
          <w:tcPr>
            <w:tcW w:w="9405" w:type="dxa"/>
            <w:gridSpan w:val="13"/>
            <w:shd w:val="clear" w:color="auto" w:fill="D9E2F3"/>
            <w:vAlign w:val="center"/>
          </w:tcPr>
          <w:p w14:paraId="6AA1D060" w14:textId="77777777" w:rsidR="00990B14" w:rsidRDefault="00000000">
            <w:pPr>
              <w:spacing w:before="20" w:after="20"/>
              <w:jc w:val="both"/>
            </w:pPr>
            <w:r>
              <w:rPr>
                <w:b/>
                <w:bCs/>
                <w:i/>
                <w:iCs/>
                <w:sz w:val="18"/>
                <w:szCs w:val="18"/>
              </w:rPr>
              <w:t xml:space="preserve">Elemento de competencia 4: </w:t>
            </w:r>
            <w:r>
              <w:rPr>
                <w:sz w:val="18"/>
                <w:szCs w:val="18"/>
              </w:rPr>
              <w:t>Registra los hechos presupuestarios, administrativos, económicos y financieros ocurridos en una entidad pública en momentos: presupuestarios, contables y de tesorería de acuerdo al Plan Único de Cuentas y con las políticas y normas emitidas por el Órgano Rector.</w:t>
            </w:r>
          </w:p>
        </w:tc>
      </w:tr>
      <w:tr w:rsidR="00990B14" w14:paraId="7C1472CF" w14:textId="77777777">
        <w:trPr>
          <w:cantSplit/>
          <w:jc w:val="center"/>
        </w:trPr>
        <w:tc>
          <w:tcPr>
            <w:tcW w:w="3133" w:type="dxa"/>
            <w:gridSpan w:val="4"/>
            <w:shd w:val="clear" w:color="auto" w:fill="4472C4"/>
            <w:vAlign w:val="center"/>
          </w:tcPr>
          <w:p w14:paraId="5F1B53F1"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36703E4F"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0B133CE9" w14:textId="77777777" w:rsidR="00990B14" w:rsidRDefault="00000000">
            <w:pPr>
              <w:keepNext/>
              <w:spacing w:before="20" w:after="20"/>
              <w:jc w:val="center"/>
            </w:pPr>
            <w:r>
              <w:rPr>
                <w:b/>
                <w:bCs/>
                <w:i/>
                <w:iCs/>
                <w:color w:val="FFFFFF"/>
                <w:sz w:val="18"/>
                <w:szCs w:val="18"/>
              </w:rPr>
              <w:t>Evidencias de producto</w:t>
            </w:r>
          </w:p>
        </w:tc>
      </w:tr>
      <w:tr w:rsidR="00990B14" w14:paraId="3C7FD597" w14:textId="77777777">
        <w:trPr>
          <w:cantSplit/>
          <w:jc w:val="center"/>
        </w:trPr>
        <w:tc>
          <w:tcPr>
            <w:tcW w:w="3133" w:type="dxa"/>
            <w:gridSpan w:val="4"/>
            <w:vMerge w:val="restart"/>
            <w:shd w:val="clear" w:color="auto" w:fill="D9E2F3"/>
            <w:vAlign w:val="center"/>
          </w:tcPr>
          <w:p w14:paraId="378569EF" w14:textId="77777777" w:rsidR="00990B14" w:rsidRDefault="00000000">
            <w:pPr>
              <w:spacing w:before="20" w:after="20"/>
              <w:jc w:val="both"/>
            </w:pPr>
            <w:r>
              <w:rPr>
                <w:sz w:val="18"/>
                <w:szCs w:val="18"/>
              </w:rPr>
              <w:t>1. Conoce la gestión de recursos humanos, contratación de bienes y servicios, para su registro en la contabilidad integrada.</w:t>
            </w:r>
          </w:p>
        </w:tc>
        <w:tc>
          <w:tcPr>
            <w:tcW w:w="3135" w:type="dxa"/>
            <w:gridSpan w:val="5"/>
            <w:shd w:val="clear" w:color="auto" w:fill="D9E2F3"/>
            <w:vAlign w:val="center"/>
          </w:tcPr>
          <w:p w14:paraId="143DBDAF" w14:textId="77777777" w:rsidR="00990B14" w:rsidRDefault="00000000">
            <w:pPr>
              <w:spacing w:before="20" w:after="20"/>
              <w:jc w:val="both"/>
            </w:pPr>
            <w:r>
              <w:rPr>
                <w:sz w:val="18"/>
                <w:szCs w:val="18"/>
              </w:rPr>
              <w:t>1.1 Aplica el modelo de gestión de recursos humanos, en relación con la contabilidad integrada.</w:t>
            </w:r>
          </w:p>
        </w:tc>
        <w:tc>
          <w:tcPr>
            <w:tcW w:w="3137" w:type="dxa"/>
            <w:gridSpan w:val="4"/>
            <w:shd w:val="clear" w:color="auto" w:fill="D9E2F3"/>
            <w:vAlign w:val="center"/>
          </w:tcPr>
          <w:p w14:paraId="1FA29D78" w14:textId="77777777" w:rsidR="00990B14" w:rsidRDefault="00000000">
            <w:pPr>
              <w:spacing w:before="20" w:after="20"/>
              <w:jc w:val="both"/>
            </w:pPr>
            <w:r>
              <w:rPr>
                <w:b/>
                <w:bCs/>
                <w:sz w:val="18"/>
                <w:szCs w:val="18"/>
              </w:rPr>
              <w:t xml:space="preserve">Producto 13: </w:t>
            </w:r>
            <w:r>
              <w:rPr>
                <w:sz w:val="18"/>
                <w:szCs w:val="18"/>
              </w:rPr>
              <w:t>Informe de gestión de recursos humanos, relacionado con la contabilidad integrada.</w:t>
            </w:r>
          </w:p>
        </w:tc>
      </w:tr>
      <w:tr w:rsidR="00990B14" w14:paraId="56744AC7" w14:textId="77777777">
        <w:trPr>
          <w:cantSplit/>
          <w:jc w:val="center"/>
        </w:trPr>
        <w:tc>
          <w:tcPr>
            <w:tcW w:w="3133" w:type="dxa"/>
            <w:gridSpan w:val="4"/>
            <w:vMerge/>
            <w:shd w:val="clear" w:color="auto" w:fill="D9E2F3"/>
            <w:vAlign w:val="center"/>
          </w:tcPr>
          <w:p w14:paraId="0F31E943" w14:textId="77777777" w:rsidR="00990B14" w:rsidRDefault="00990B14">
            <w:pPr>
              <w:spacing w:before="20" w:after="20"/>
            </w:pPr>
          </w:p>
        </w:tc>
        <w:tc>
          <w:tcPr>
            <w:tcW w:w="3135" w:type="dxa"/>
            <w:gridSpan w:val="5"/>
            <w:shd w:val="clear" w:color="auto" w:fill="D9E2F3"/>
            <w:vAlign w:val="center"/>
          </w:tcPr>
          <w:p w14:paraId="08CE55EE" w14:textId="77777777" w:rsidR="00990B14" w:rsidRDefault="00000000">
            <w:pPr>
              <w:spacing w:before="20" w:after="20"/>
              <w:jc w:val="both"/>
            </w:pPr>
            <w:r>
              <w:rPr>
                <w:sz w:val="18"/>
                <w:szCs w:val="18"/>
              </w:rPr>
              <w:t>1.2 Aplica el modelo de gestión de contratación de bienes y servicios, en relación con la contabilidad integrada.</w:t>
            </w:r>
          </w:p>
        </w:tc>
        <w:tc>
          <w:tcPr>
            <w:tcW w:w="3137" w:type="dxa"/>
            <w:gridSpan w:val="4"/>
            <w:shd w:val="clear" w:color="auto" w:fill="D9E2F3"/>
            <w:vAlign w:val="center"/>
          </w:tcPr>
          <w:p w14:paraId="6EC353D7" w14:textId="77777777" w:rsidR="00990B14" w:rsidRDefault="00000000">
            <w:pPr>
              <w:spacing w:before="20" w:after="20"/>
              <w:jc w:val="both"/>
            </w:pPr>
            <w:r>
              <w:rPr>
                <w:b/>
                <w:bCs/>
                <w:sz w:val="18"/>
                <w:szCs w:val="18"/>
              </w:rPr>
              <w:t xml:space="preserve">Producto 14: </w:t>
            </w:r>
            <w:r>
              <w:rPr>
                <w:sz w:val="18"/>
                <w:szCs w:val="18"/>
              </w:rPr>
              <w:t>Informe del proceso de contratación de bienes y servicios, relacionado con la contabilidad integrada.</w:t>
            </w:r>
          </w:p>
        </w:tc>
      </w:tr>
      <w:tr w:rsidR="00990B14" w14:paraId="6C34B44A" w14:textId="77777777">
        <w:trPr>
          <w:cantSplit/>
          <w:jc w:val="center"/>
        </w:trPr>
        <w:tc>
          <w:tcPr>
            <w:tcW w:w="3133" w:type="dxa"/>
            <w:gridSpan w:val="4"/>
            <w:vMerge w:val="restart"/>
            <w:shd w:val="clear" w:color="auto" w:fill="D9E2F3"/>
            <w:vAlign w:val="center"/>
          </w:tcPr>
          <w:p w14:paraId="46658EE2" w14:textId="77777777" w:rsidR="00990B14" w:rsidRDefault="00000000">
            <w:pPr>
              <w:spacing w:before="20" w:after="20"/>
              <w:jc w:val="both"/>
            </w:pPr>
            <w:r>
              <w:rPr>
                <w:sz w:val="18"/>
                <w:szCs w:val="18"/>
              </w:rPr>
              <w:t>2. Registra los hechos presupuestarios, económicos y financieros en los momentos contables y de tesorería</w:t>
            </w:r>
          </w:p>
        </w:tc>
        <w:tc>
          <w:tcPr>
            <w:tcW w:w="3135" w:type="dxa"/>
            <w:gridSpan w:val="5"/>
            <w:shd w:val="clear" w:color="auto" w:fill="D9E2F3"/>
            <w:vAlign w:val="center"/>
          </w:tcPr>
          <w:p w14:paraId="41273EBB" w14:textId="77777777" w:rsidR="00990B14" w:rsidRDefault="00000000">
            <w:pPr>
              <w:spacing w:before="20" w:after="20"/>
              <w:jc w:val="both"/>
            </w:pPr>
            <w:r>
              <w:rPr>
                <w:sz w:val="18"/>
                <w:szCs w:val="18"/>
              </w:rPr>
              <w:t>2.1 Analiza y define las políticas contables, presupuestarias y de tesorería, de acuerdo a normativa del Órgano Rector</w:t>
            </w:r>
          </w:p>
        </w:tc>
        <w:tc>
          <w:tcPr>
            <w:tcW w:w="3137" w:type="dxa"/>
            <w:gridSpan w:val="4"/>
            <w:shd w:val="clear" w:color="auto" w:fill="D9E2F3"/>
            <w:vAlign w:val="center"/>
          </w:tcPr>
          <w:p w14:paraId="199E627A" w14:textId="77777777" w:rsidR="00990B14" w:rsidRDefault="00000000">
            <w:pPr>
              <w:spacing w:before="20" w:after="20"/>
              <w:jc w:val="both"/>
            </w:pPr>
            <w:r>
              <w:rPr>
                <w:b/>
                <w:bCs/>
                <w:sz w:val="18"/>
                <w:szCs w:val="18"/>
              </w:rPr>
              <w:t xml:space="preserve">Producto 15: </w:t>
            </w:r>
            <w:r>
              <w:rPr>
                <w:sz w:val="18"/>
                <w:szCs w:val="18"/>
              </w:rPr>
              <w:t>Esquema de análisis de definición de políticas contables, presupuestarias y de tesorería.</w:t>
            </w:r>
          </w:p>
        </w:tc>
      </w:tr>
      <w:tr w:rsidR="00990B14" w14:paraId="57047F51" w14:textId="77777777">
        <w:trPr>
          <w:cantSplit/>
          <w:jc w:val="center"/>
        </w:trPr>
        <w:tc>
          <w:tcPr>
            <w:tcW w:w="3133" w:type="dxa"/>
            <w:gridSpan w:val="4"/>
            <w:vMerge/>
            <w:shd w:val="clear" w:color="auto" w:fill="D9E2F3"/>
            <w:vAlign w:val="center"/>
          </w:tcPr>
          <w:p w14:paraId="3CF57025" w14:textId="77777777" w:rsidR="00990B14" w:rsidRDefault="00990B14">
            <w:pPr>
              <w:spacing w:before="20" w:after="20"/>
            </w:pPr>
          </w:p>
        </w:tc>
        <w:tc>
          <w:tcPr>
            <w:tcW w:w="3135" w:type="dxa"/>
            <w:gridSpan w:val="5"/>
            <w:shd w:val="clear" w:color="auto" w:fill="D9E2F3"/>
            <w:vAlign w:val="center"/>
          </w:tcPr>
          <w:p w14:paraId="2EDC1F9F" w14:textId="77777777" w:rsidR="00990B14" w:rsidRDefault="00000000">
            <w:pPr>
              <w:spacing w:before="20" w:after="20"/>
              <w:jc w:val="both"/>
            </w:pPr>
            <w:r>
              <w:rPr>
                <w:sz w:val="18"/>
                <w:szCs w:val="18"/>
              </w:rPr>
              <w:t>2.2 Apropia los hechos presupuestarios, administrativos, económicos y financieros, incluido ajustes contables</w:t>
            </w:r>
          </w:p>
        </w:tc>
        <w:tc>
          <w:tcPr>
            <w:tcW w:w="3137" w:type="dxa"/>
            <w:gridSpan w:val="4"/>
            <w:shd w:val="clear" w:color="auto" w:fill="D9E2F3"/>
            <w:vAlign w:val="center"/>
          </w:tcPr>
          <w:p w14:paraId="4DB5EAFB" w14:textId="77777777" w:rsidR="00990B14" w:rsidRDefault="00000000">
            <w:pPr>
              <w:spacing w:before="20" w:after="20"/>
              <w:jc w:val="both"/>
            </w:pPr>
            <w:r>
              <w:rPr>
                <w:b/>
                <w:bCs/>
                <w:sz w:val="18"/>
                <w:szCs w:val="18"/>
              </w:rPr>
              <w:t xml:space="preserve">Producto 16: </w:t>
            </w:r>
            <w:r>
              <w:rPr>
                <w:sz w:val="18"/>
                <w:szCs w:val="18"/>
              </w:rPr>
              <w:t>Documento Comprobantes contables y presupuestarios de registro.</w:t>
            </w:r>
          </w:p>
        </w:tc>
      </w:tr>
      <w:tr w:rsidR="00990B14" w14:paraId="0E45BF67" w14:textId="77777777">
        <w:trPr>
          <w:cantSplit/>
          <w:jc w:val="center"/>
        </w:trPr>
        <w:tc>
          <w:tcPr>
            <w:tcW w:w="9405" w:type="dxa"/>
            <w:gridSpan w:val="13"/>
            <w:shd w:val="clear" w:color="auto" w:fill="4472C4"/>
            <w:vAlign w:val="center"/>
          </w:tcPr>
          <w:p w14:paraId="629521FD" w14:textId="77777777" w:rsidR="00990B14" w:rsidRDefault="00000000">
            <w:pPr>
              <w:keepNext/>
              <w:spacing w:before="20" w:after="20"/>
              <w:jc w:val="center"/>
            </w:pPr>
            <w:r>
              <w:rPr>
                <w:b/>
                <w:bCs/>
                <w:i/>
                <w:iCs/>
                <w:color w:val="FFFFFF"/>
                <w:sz w:val="18"/>
                <w:szCs w:val="18"/>
              </w:rPr>
              <w:t>Evidencias de conocimiento</w:t>
            </w:r>
          </w:p>
        </w:tc>
      </w:tr>
      <w:tr w:rsidR="00990B14" w14:paraId="78CBB270" w14:textId="77777777">
        <w:trPr>
          <w:cantSplit/>
          <w:jc w:val="center"/>
        </w:trPr>
        <w:tc>
          <w:tcPr>
            <w:tcW w:w="2349" w:type="dxa"/>
            <w:gridSpan w:val="2"/>
            <w:shd w:val="clear" w:color="auto" w:fill="4472C4"/>
            <w:vAlign w:val="center"/>
          </w:tcPr>
          <w:p w14:paraId="24CC99C0"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58333197" w14:textId="77777777" w:rsidR="00990B14" w:rsidRDefault="00000000">
            <w:pPr>
              <w:keepNext/>
              <w:spacing w:before="20" w:after="20"/>
              <w:jc w:val="both"/>
            </w:pPr>
            <w:r>
              <w:rPr>
                <w:b/>
                <w:bCs/>
                <w:i/>
                <w:iCs/>
                <w:color w:val="FFFFFF"/>
                <w:sz w:val="18"/>
                <w:szCs w:val="18"/>
              </w:rPr>
              <w:t>Contenidos</w:t>
            </w:r>
          </w:p>
          <w:p w14:paraId="3F025BB3"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5884C6CE" w14:textId="77777777" w:rsidR="00990B14" w:rsidRDefault="00000000">
            <w:pPr>
              <w:keepNext/>
              <w:spacing w:before="20" w:after="20"/>
              <w:jc w:val="center"/>
            </w:pPr>
            <w:r>
              <w:rPr>
                <w:b/>
                <w:bCs/>
                <w:i/>
                <w:iCs/>
                <w:color w:val="FFFFFF"/>
                <w:sz w:val="18"/>
                <w:szCs w:val="18"/>
              </w:rPr>
              <w:t>Conocimientos circunstanciales</w:t>
            </w:r>
          </w:p>
        </w:tc>
      </w:tr>
      <w:tr w:rsidR="00990B14" w14:paraId="618B1A83" w14:textId="77777777">
        <w:trPr>
          <w:jc w:val="center"/>
        </w:trPr>
        <w:tc>
          <w:tcPr>
            <w:tcW w:w="2349" w:type="dxa"/>
            <w:gridSpan w:val="2"/>
            <w:shd w:val="clear" w:color="auto" w:fill="D9E2F3"/>
          </w:tcPr>
          <w:p w14:paraId="39895837" w14:textId="77777777" w:rsidR="00990B14" w:rsidRDefault="00000000">
            <w:pPr>
              <w:spacing w:before="20" w:after="40"/>
              <w:jc w:val="both"/>
            </w:pPr>
            <w:r>
              <w:rPr>
                <w:sz w:val="18"/>
                <w:szCs w:val="18"/>
              </w:rPr>
              <w:t>Tema 7: Los sistemas administrativos y la contabilidad integrada</w:t>
            </w:r>
          </w:p>
          <w:p w14:paraId="650A149D" w14:textId="77777777" w:rsidR="00990B14" w:rsidRDefault="00000000">
            <w:pPr>
              <w:spacing w:before="20" w:after="40"/>
              <w:jc w:val="both"/>
            </w:pPr>
            <w:r>
              <w:rPr>
                <w:sz w:val="18"/>
                <w:szCs w:val="18"/>
              </w:rPr>
              <w:t>Tema 8: El sistema de contabilidad integrada</w:t>
            </w:r>
          </w:p>
        </w:tc>
        <w:tc>
          <w:tcPr>
            <w:tcW w:w="4304" w:type="dxa"/>
            <w:gridSpan w:val="8"/>
            <w:shd w:val="clear" w:color="auto" w:fill="D9E2F3"/>
          </w:tcPr>
          <w:p w14:paraId="4EC5B4AF" w14:textId="77777777" w:rsidR="00990B14" w:rsidRDefault="00000000">
            <w:pPr>
              <w:spacing w:after="40"/>
              <w:jc w:val="both"/>
            </w:pPr>
            <w:r>
              <w:rPr>
                <w:sz w:val="18"/>
                <w:szCs w:val="18"/>
              </w:rPr>
              <w:t>Los sistemas de administración y la contabilidad integrada. (C)</w:t>
            </w:r>
          </w:p>
          <w:p w14:paraId="11B17BC3" w14:textId="77777777" w:rsidR="00990B14" w:rsidRDefault="00000000">
            <w:pPr>
              <w:spacing w:after="40"/>
              <w:jc w:val="both"/>
            </w:pPr>
            <w:r>
              <w:rPr>
                <w:sz w:val="18"/>
                <w:szCs w:val="18"/>
              </w:rPr>
              <w:t>Marco normativo, instrumentos y técnicas en la gestión administrativa. (C)</w:t>
            </w:r>
          </w:p>
          <w:p w14:paraId="60E5A7AD" w14:textId="77777777" w:rsidR="00990B14" w:rsidRDefault="00000000">
            <w:pPr>
              <w:spacing w:after="40"/>
              <w:jc w:val="both"/>
            </w:pPr>
            <w:r>
              <w:rPr>
                <w:sz w:val="18"/>
                <w:szCs w:val="18"/>
              </w:rPr>
              <w:t>El Sistema de Organización Administrativa. (C)</w:t>
            </w:r>
          </w:p>
          <w:p w14:paraId="655E8EC2" w14:textId="77777777" w:rsidR="00990B14" w:rsidRDefault="00000000">
            <w:pPr>
              <w:spacing w:after="40"/>
              <w:jc w:val="both"/>
            </w:pPr>
            <w:r>
              <w:rPr>
                <w:sz w:val="18"/>
                <w:szCs w:val="18"/>
              </w:rPr>
              <w:t>El Sistema de Administración de Personal. (C, P)</w:t>
            </w:r>
          </w:p>
          <w:p w14:paraId="77978C6E" w14:textId="77777777" w:rsidR="00990B14" w:rsidRDefault="00000000">
            <w:pPr>
              <w:spacing w:after="40"/>
              <w:jc w:val="both"/>
            </w:pPr>
            <w:r>
              <w:rPr>
                <w:sz w:val="18"/>
                <w:szCs w:val="18"/>
              </w:rPr>
              <w:t>El Sistema de Administración de Bienes y Servicios. (C, P)</w:t>
            </w:r>
          </w:p>
          <w:p w14:paraId="0BF33DA4" w14:textId="77777777" w:rsidR="00990B14" w:rsidRDefault="00000000">
            <w:pPr>
              <w:spacing w:after="40"/>
              <w:jc w:val="both"/>
            </w:pPr>
            <w:r>
              <w:rPr>
                <w:sz w:val="18"/>
                <w:szCs w:val="18"/>
              </w:rPr>
              <w:t>La gestión de manejo de bienes públicos. (C, A)</w:t>
            </w:r>
          </w:p>
          <w:p w14:paraId="0D9082CA" w14:textId="77777777" w:rsidR="00990B14" w:rsidRDefault="00000000">
            <w:pPr>
              <w:spacing w:after="40"/>
              <w:jc w:val="both"/>
            </w:pPr>
            <w:r>
              <w:rPr>
                <w:sz w:val="18"/>
                <w:szCs w:val="18"/>
              </w:rPr>
              <w:t>Registro de los hechos administrativos en los momentos de la contabilidad. (C, P)</w:t>
            </w:r>
          </w:p>
          <w:p w14:paraId="7BF63A6C" w14:textId="77777777" w:rsidR="00990B14" w:rsidRDefault="00000000">
            <w:pPr>
              <w:spacing w:after="40"/>
              <w:jc w:val="both"/>
            </w:pPr>
            <w:r>
              <w:rPr>
                <w:sz w:val="18"/>
                <w:szCs w:val="18"/>
              </w:rPr>
              <w:t>Concepto, características, naturaleza y principios de la contabilidad integrada. (C)</w:t>
            </w:r>
          </w:p>
          <w:p w14:paraId="302C4688" w14:textId="77777777" w:rsidR="00990B14" w:rsidRDefault="00000000">
            <w:pPr>
              <w:spacing w:after="40"/>
              <w:jc w:val="both"/>
            </w:pPr>
            <w:r>
              <w:rPr>
                <w:sz w:val="18"/>
                <w:szCs w:val="18"/>
              </w:rPr>
              <w:t>Módulos del Sistema de Contabilidad Integrada. (C)</w:t>
            </w:r>
          </w:p>
          <w:p w14:paraId="2D9AAEA4" w14:textId="77777777" w:rsidR="00990B14" w:rsidRDefault="00000000">
            <w:pPr>
              <w:spacing w:after="40"/>
              <w:jc w:val="both"/>
            </w:pPr>
            <w:r>
              <w:rPr>
                <w:sz w:val="18"/>
                <w:szCs w:val="18"/>
              </w:rPr>
              <w:t>Sistema de Presupuesto. (C)</w:t>
            </w:r>
          </w:p>
          <w:p w14:paraId="222A9E40" w14:textId="77777777" w:rsidR="00990B14" w:rsidRDefault="00000000">
            <w:pPr>
              <w:spacing w:after="40"/>
              <w:jc w:val="both"/>
            </w:pPr>
            <w:r>
              <w:rPr>
                <w:sz w:val="18"/>
                <w:szCs w:val="18"/>
              </w:rPr>
              <w:t>Sistema de Tesorería. (C)</w:t>
            </w:r>
          </w:p>
          <w:p w14:paraId="5805BA77" w14:textId="77777777" w:rsidR="00990B14" w:rsidRDefault="00000000">
            <w:pPr>
              <w:spacing w:after="40"/>
              <w:jc w:val="both"/>
            </w:pPr>
            <w:r>
              <w:rPr>
                <w:sz w:val="18"/>
                <w:szCs w:val="18"/>
              </w:rPr>
              <w:t>Sistema de Crédito Público. (C)</w:t>
            </w:r>
          </w:p>
          <w:p w14:paraId="6ECF506D" w14:textId="77777777" w:rsidR="00990B14" w:rsidRDefault="00000000">
            <w:pPr>
              <w:spacing w:after="40"/>
              <w:jc w:val="both"/>
            </w:pPr>
            <w:r>
              <w:rPr>
                <w:sz w:val="18"/>
                <w:szCs w:val="18"/>
              </w:rPr>
              <w:t>Elaboración de comprobantes presupuestarios y contables. (C, P)</w:t>
            </w:r>
          </w:p>
          <w:p w14:paraId="224D66B4" w14:textId="77777777" w:rsidR="00990B14" w:rsidRDefault="00000000">
            <w:pPr>
              <w:spacing w:after="40"/>
              <w:jc w:val="both"/>
            </w:pPr>
            <w:r>
              <w:rPr>
                <w:sz w:val="18"/>
                <w:szCs w:val="18"/>
              </w:rPr>
              <w:t>Respaldo de evidencia de los registros presupuestarios, contables y de tesorería; proceso de registro presupuestario de recursos y gastos. (P, A)</w:t>
            </w:r>
          </w:p>
          <w:p w14:paraId="0E69B9AC" w14:textId="77777777" w:rsidR="00990B14" w:rsidRDefault="00000000">
            <w:pPr>
              <w:spacing w:after="40"/>
              <w:jc w:val="both"/>
            </w:pPr>
            <w:r>
              <w:rPr>
                <w:sz w:val="18"/>
                <w:szCs w:val="18"/>
              </w:rPr>
              <w:t>Registro en el Sistema de Gestión Pública de los comprobantes presupuestarios y contables. (P, T)</w:t>
            </w:r>
          </w:p>
        </w:tc>
        <w:tc>
          <w:tcPr>
            <w:tcW w:w="2752" w:type="dxa"/>
            <w:gridSpan w:val="3"/>
            <w:shd w:val="clear" w:color="auto" w:fill="D9E2F3"/>
          </w:tcPr>
          <w:p w14:paraId="0904AA65" w14:textId="77777777" w:rsidR="00990B14" w:rsidRDefault="00000000">
            <w:pPr>
              <w:numPr>
                <w:ilvl w:val="0"/>
                <w:numId w:val="139"/>
              </w:numPr>
              <w:spacing w:before="10" w:after="10"/>
              <w:jc w:val="both"/>
            </w:pPr>
            <w:r>
              <w:rPr>
                <w:sz w:val="18"/>
                <w:szCs w:val="18"/>
              </w:rPr>
              <w:t>Ley de Administración y Control Gubernamentales.</w:t>
            </w:r>
          </w:p>
          <w:p w14:paraId="13098CEE" w14:textId="77777777" w:rsidR="00990B14" w:rsidRDefault="00000000">
            <w:pPr>
              <w:numPr>
                <w:ilvl w:val="0"/>
                <w:numId w:val="139"/>
              </w:numPr>
              <w:spacing w:before="10" w:after="10"/>
              <w:jc w:val="both"/>
            </w:pPr>
            <w:r>
              <w:rPr>
                <w:sz w:val="18"/>
                <w:szCs w:val="18"/>
              </w:rPr>
              <w:t>Normas Básicas emitidas por el Órgano Rector.</w:t>
            </w:r>
          </w:p>
          <w:p w14:paraId="70704EB0" w14:textId="77777777" w:rsidR="00990B14" w:rsidRDefault="00000000">
            <w:pPr>
              <w:numPr>
                <w:ilvl w:val="0"/>
                <w:numId w:val="139"/>
              </w:numPr>
              <w:spacing w:before="10" w:after="10"/>
              <w:jc w:val="both"/>
            </w:pPr>
            <w:r>
              <w:rPr>
                <w:sz w:val="18"/>
                <w:szCs w:val="18"/>
              </w:rPr>
              <w:t>Nociones de gestión de personal, bienes y servicios.</w:t>
            </w:r>
          </w:p>
          <w:p w14:paraId="1F87BA0A" w14:textId="77777777" w:rsidR="00990B14" w:rsidRDefault="00000000">
            <w:pPr>
              <w:numPr>
                <w:ilvl w:val="0"/>
                <w:numId w:val="139"/>
              </w:numPr>
              <w:spacing w:before="10" w:after="10"/>
              <w:jc w:val="both"/>
            </w:pPr>
            <w:r>
              <w:rPr>
                <w:sz w:val="18"/>
                <w:szCs w:val="18"/>
              </w:rPr>
              <w:t>Guías y manuales de gestión de personal, bienes y servicios.</w:t>
            </w:r>
          </w:p>
          <w:p w14:paraId="34F8CE1A" w14:textId="77777777" w:rsidR="00990B14" w:rsidRDefault="00000000">
            <w:pPr>
              <w:numPr>
                <w:ilvl w:val="0"/>
                <w:numId w:val="139"/>
              </w:numPr>
              <w:spacing w:before="10" w:after="10"/>
              <w:jc w:val="both"/>
            </w:pPr>
            <w:r>
              <w:rPr>
                <w:sz w:val="18"/>
                <w:szCs w:val="18"/>
              </w:rPr>
              <w:t>Teorías y principios de la administración pública, gestión administrativa y control de los recursos.</w:t>
            </w:r>
          </w:p>
          <w:p w14:paraId="48078553" w14:textId="77777777" w:rsidR="00990B14" w:rsidRDefault="00000000">
            <w:pPr>
              <w:numPr>
                <w:ilvl w:val="0"/>
                <w:numId w:val="139"/>
              </w:numPr>
              <w:spacing w:before="10" w:after="10"/>
              <w:jc w:val="both"/>
            </w:pPr>
            <w:r>
              <w:rPr>
                <w:sz w:val="18"/>
                <w:szCs w:val="18"/>
              </w:rPr>
              <w:t>Teorías, principios y fundamentos de la contabilidad gubernamental integrada.</w:t>
            </w:r>
          </w:p>
          <w:p w14:paraId="63929EBC" w14:textId="77777777" w:rsidR="00990B14" w:rsidRDefault="00000000">
            <w:pPr>
              <w:numPr>
                <w:ilvl w:val="0"/>
                <w:numId w:val="139"/>
              </w:numPr>
              <w:spacing w:before="10" w:after="10"/>
              <w:jc w:val="both"/>
            </w:pPr>
            <w:r>
              <w:rPr>
                <w:sz w:val="18"/>
                <w:szCs w:val="18"/>
              </w:rPr>
              <w:t>Nociones de gestión presupuestaria, contable, económica, financiera y de tesorería.</w:t>
            </w:r>
          </w:p>
          <w:p w14:paraId="0AE08D7C" w14:textId="77777777" w:rsidR="00990B14" w:rsidRDefault="00000000">
            <w:pPr>
              <w:numPr>
                <w:ilvl w:val="0"/>
                <w:numId w:val="139"/>
              </w:numPr>
              <w:spacing w:before="10" w:after="10"/>
              <w:jc w:val="both"/>
            </w:pPr>
            <w:r>
              <w:rPr>
                <w:sz w:val="18"/>
                <w:szCs w:val="18"/>
              </w:rPr>
              <w:t>Ley de Administración y Control Gubernamentales.</w:t>
            </w:r>
          </w:p>
          <w:p w14:paraId="63A072D6" w14:textId="77777777" w:rsidR="00990B14" w:rsidRDefault="00000000">
            <w:pPr>
              <w:numPr>
                <w:ilvl w:val="0"/>
                <w:numId w:val="139"/>
              </w:numPr>
              <w:spacing w:before="10" w:after="10"/>
              <w:jc w:val="both"/>
            </w:pPr>
            <w:r>
              <w:rPr>
                <w:sz w:val="18"/>
                <w:szCs w:val="18"/>
              </w:rPr>
              <w:t>Normas Básicas de los sistemas de administración.</w:t>
            </w:r>
          </w:p>
          <w:p w14:paraId="1D625CB4" w14:textId="77777777" w:rsidR="00990B14" w:rsidRDefault="00000000">
            <w:pPr>
              <w:numPr>
                <w:ilvl w:val="0"/>
                <w:numId w:val="139"/>
              </w:numPr>
              <w:spacing w:before="10" w:after="10"/>
              <w:jc w:val="both"/>
            </w:pPr>
            <w:r>
              <w:rPr>
                <w:sz w:val="18"/>
                <w:szCs w:val="18"/>
              </w:rPr>
              <w:t>Guías, manuales e instructivos de contabilidad integrada y del Sistema de Gestión Pública (SIGEP).</w:t>
            </w:r>
          </w:p>
        </w:tc>
      </w:tr>
      <w:tr w:rsidR="00990B14" w14:paraId="7B1612C5" w14:textId="77777777">
        <w:trPr>
          <w:cantSplit/>
          <w:jc w:val="center"/>
        </w:trPr>
        <w:tc>
          <w:tcPr>
            <w:tcW w:w="9405" w:type="dxa"/>
            <w:gridSpan w:val="13"/>
            <w:shd w:val="clear" w:color="auto" w:fill="D9E2F3"/>
            <w:vAlign w:val="center"/>
          </w:tcPr>
          <w:p w14:paraId="30850B7A" w14:textId="77777777" w:rsidR="00990B14" w:rsidRDefault="00000000">
            <w:pPr>
              <w:spacing w:before="20" w:after="20"/>
              <w:jc w:val="both"/>
            </w:pPr>
            <w:r>
              <w:rPr>
                <w:b/>
                <w:bCs/>
                <w:i/>
                <w:iCs/>
                <w:sz w:val="18"/>
                <w:szCs w:val="18"/>
              </w:rPr>
              <w:t xml:space="preserve">Elemento de competencia 5: </w:t>
            </w:r>
            <w:r>
              <w:rPr>
                <w:sz w:val="18"/>
                <w:szCs w:val="18"/>
              </w:rPr>
              <w:t>Prepara y presenta los estados financieros básicos, información financiera complementaria y notas a los estados financieros de una entidad pública de acuerdo con las políticas, normas e instructivos del Órgano Rector.</w:t>
            </w:r>
          </w:p>
        </w:tc>
      </w:tr>
      <w:tr w:rsidR="00990B14" w14:paraId="7A482D1A" w14:textId="77777777">
        <w:trPr>
          <w:cantSplit/>
          <w:jc w:val="center"/>
        </w:trPr>
        <w:tc>
          <w:tcPr>
            <w:tcW w:w="3133" w:type="dxa"/>
            <w:gridSpan w:val="4"/>
            <w:shd w:val="clear" w:color="auto" w:fill="4472C4"/>
            <w:vAlign w:val="center"/>
          </w:tcPr>
          <w:p w14:paraId="18DB0C66"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26777036"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4F188236" w14:textId="77777777" w:rsidR="00990B14" w:rsidRDefault="00000000">
            <w:pPr>
              <w:keepNext/>
              <w:spacing w:before="20" w:after="20"/>
              <w:jc w:val="center"/>
            </w:pPr>
            <w:r>
              <w:rPr>
                <w:b/>
                <w:bCs/>
                <w:i/>
                <w:iCs/>
                <w:color w:val="FFFFFF"/>
                <w:sz w:val="18"/>
                <w:szCs w:val="18"/>
              </w:rPr>
              <w:t>Evidencias de producto</w:t>
            </w:r>
          </w:p>
        </w:tc>
      </w:tr>
      <w:tr w:rsidR="00990B14" w14:paraId="31AE5E56" w14:textId="77777777">
        <w:trPr>
          <w:cantSplit/>
          <w:jc w:val="center"/>
        </w:trPr>
        <w:tc>
          <w:tcPr>
            <w:tcW w:w="3133" w:type="dxa"/>
            <w:gridSpan w:val="4"/>
            <w:vMerge w:val="restart"/>
            <w:shd w:val="clear" w:color="auto" w:fill="D9E2F3"/>
            <w:vAlign w:val="center"/>
          </w:tcPr>
          <w:p w14:paraId="3DF73655" w14:textId="77777777" w:rsidR="00990B14" w:rsidRDefault="00000000">
            <w:pPr>
              <w:spacing w:before="20" w:after="20"/>
              <w:jc w:val="both"/>
            </w:pPr>
            <w:r>
              <w:rPr>
                <w:sz w:val="18"/>
                <w:szCs w:val="18"/>
              </w:rPr>
              <w:t>1. Elabora los estados financieros básicos y complementarios de una entidad pública conforme a los formatos del Órgano Rector.</w:t>
            </w:r>
          </w:p>
        </w:tc>
        <w:tc>
          <w:tcPr>
            <w:tcW w:w="3135" w:type="dxa"/>
            <w:gridSpan w:val="5"/>
            <w:shd w:val="clear" w:color="auto" w:fill="D9E2F3"/>
            <w:vAlign w:val="center"/>
          </w:tcPr>
          <w:p w14:paraId="4FEC2655" w14:textId="77777777" w:rsidR="00990B14" w:rsidRDefault="00000000">
            <w:pPr>
              <w:spacing w:before="20" w:after="20"/>
              <w:jc w:val="both"/>
            </w:pPr>
            <w:r>
              <w:rPr>
                <w:sz w:val="18"/>
                <w:szCs w:val="18"/>
              </w:rPr>
              <w:t>1.1 Realiza análisis de consistencia y ajustes de corrección a los estados financieros.</w:t>
            </w:r>
          </w:p>
        </w:tc>
        <w:tc>
          <w:tcPr>
            <w:tcW w:w="3137" w:type="dxa"/>
            <w:gridSpan w:val="4"/>
            <w:shd w:val="clear" w:color="auto" w:fill="D9E2F3"/>
            <w:vAlign w:val="center"/>
          </w:tcPr>
          <w:p w14:paraId="31876159" w14:textId="77777777" w:rsidR="00990B14" w:rsidRDefault="00000000">
            <w:pPr>
              <w:spacing w:before="20" w:after="20"/>
              <w:jc w:val="both"/>
            </w:pPr>
            <w:r>
              <w:rPr>
                <w:b/>
                <w:bCs/>
                <w:sz w:val="18"/>
                <w:szCs w:val="18"/>
              </w:rPr>
              <w:t xml:space="preserve">Producto 17: </w:t>
            </w:r>
            <w:r>
              <w:rPr>
                <w:sz w:val="18"/>
                <w:szCs w:val="18"/>
              </w:rPr>
              <w:t>Cuadro de consistencia de los estados financieros básicos e información complementaria.</w:t>
            </w:r>
          </w:p>
        </w:tc>
      </w:tr>
      <w:tr w:rsidR="00990B14" w14:paraId="18C19090" w14:textId="77777777">
        <w:trPr>
          <w:cantSplit/>
          <w:jc w:val="center"/>
        </w:trPr>
        <w:tc>
          <w:tcPr>
            <w:tcW w:w="3133" w:type="dxa"/>
            <w:gridSpan w:val="4"/>
            <w:vMerge/>
            <w:shd w:val="clear" w:color="auto" w:fill="D9E2F3"/>
            <w:vAlign w:val="center"/>
          </w:tcPr>
          <w:p w14:paraId="0965DC44" w14:textId="77777777" w:rsidR="00990B14" w:rsidRDefault="00990B14">
            <w:pPr>
              <w:spacing w:before="20" w:after="20"/>
            </w:pPr>
          </w:p>
        </w:tc>
        <w:tc>
          <w:tcPr>
            <w:tcW w:w="3135" w:type="dxa"/>
            <w:gridSpan w:val="5"/>
            <w:shd w:val="clear" w:color="auto" w:fill="D9E2F3"/>
            <w:vAlign w:val="center"/>
          </w:tcPr>
          <w:p w14:paraId="23BFDA12" w14:textId="77777777" w:rsidR="00990B14" w:rsidRDefault="00000000">
            <w:pPr>
              <w:spacing w:before="20" w:after="20"/>
              <w:jc w:val="both"/>
            </w:pPr>
            <w:r>
              <w:rPr>
                <w:sz w:val="18"/>
                <w:szCs w:val="18"/>
              </w:rPr>
              <w:t>1.2 Prepara los estados financieros e información complementaria de una entidad pública.</w:t>
            </w:r>
          </w:p>
        </w:tc>
        <w:tc>
          <w:tcPr>
            <w:tcW w:w="3137" w:type="dxa"/>
            <w:gridSpan w:val="4"/>
            <w:shd w:val="clear" w:color="auto" w:fill="D9E2F3"/>
            <w:vAlign w:val="center"/>
          </w:tcPr>
          <w:p w14:paraId="121DB551" w14:textId="77777777" w:rsidR="00990B14" w:rsidRDefault="00000000">
            <w:pPr>
              <w:spacing w:before="20" w:after="20"/>
              <w:jc w:val="both"/>
            </w:pPr>
            <w:r>
              <w:rPr>
                <w:b/>
                <w:bCs/>
                <w:sz w:val="18"/>
                <w:szCs w:val="18"/>
              </w:rPr>
              <w:t xml:space="preserve">Producto 18: </w:t>
            </w:r>
            <w:r>
              <w:rPr>
                <w:sz w:val="18"/>
                <w:szCs w:val="18"/>
              </w:rPr>
              <w:t>Documento Estados financieros básicos e información complementaria</w:t>
            </w:r>
          </w:p>
        </w:tc>
      </w:tr>
      <w:tr w:rsidR="00990B14" w14:paraId="494CD120" w14:textId="77777777">
        <w:trPr>
          <w:cantSplit/>
          <w:jc w:val="center"/>
        </w:trPr>
        <w:tc>
          <w:tcPr>
            <w:tcW w:w="3133" w:type="dxa"/>
            <w:gridSpan w:val="4"/>
            <w:vMerge w:val="restart"/>
            <w:shd w:val="clear" w:color="auto" w:fill="D9E2F3"/>
            <w:vAlign w:val="center"/>
          </w:tcPr>
          <w:p w14:paraId="54D39743" w14:textId="77777777" w:rsidR="00990B14" w:rsidRDefault="00000000">
            <w:pPr>
              <w:spacing w:before="20" w:after="20"/>
              <w:jc w:val="both"/>
            </w:pPr>
            <w:r>
              <w:rPr>
                <w:sz w:val="18"/>
                <w:szCs w:val="18"/>
              </w:rPr>
              <w:t>2. Presenta las notas a los estados financieros, evaluando la ejecución presupuestaria de la entidad.</w:t>
            </w:r>
          </w:p>
        </w:tc>
        <w:tc>
          <w:tcPr>
            <w:tcW w:w="3135" w:type="dxa"/>
            <w:gridSpan w:val="5"/>
            <w:shd w:val="clear" w:color="auto" w:fill="D9E2F3"/>
            <w:vAlign w:val="center"/>
          </w:tcPr>
          <w:p w14:paraId="545ED2F6" w14:textId="77777777" w:rsidR="00990B14" w:rsidRDefault="00000000">
            <w:pPr>
              <w:spacing w:before="20" w:after="20"/>
              <w:jc w:val="both"/>
            </w:pPr>
            <w:r>
              <w:rPr>
                <w:sz w:val="18"/>
                <w:szCs w:val="18"/>
              </w:rPr>
              <w:t>2.1 Redacta las notas a los estados financieros de un caso práctico.</w:t>
            </w:r>
          </w:p>
        </w:tc>
        <w:tc>
          <w:tcPr>
            <w:tcW w:w="3137" w:type="dxa"/>
            <w:gridSpan w:val="4"/>
            <w:shd w:val="clear" w:color="auto" w:fill="D9E2F3"/>
            <w:vAlign w:val="center"/>
          </w:tcPr>
          <w:p w14:paraId="54CFF73D" w14:textId="77777777" w:rsidR="00990B14" w:rsidRDefault="00000000">
            <w:pPr>
              <w:spacing w:before="20" w:after="20"/>
              <w:jc w:val="both"/>
            </w:pPr>
            <w:r>
              <w:rPr>
                <w:b/>
                <w:bCs/>
                <w:sz w:val="18"/>
                <w:szCs w:val="18"/>
              </w:rPr>
              <w:t xml:space="preserve">Producto 19: </w:t>
            </w:r>
            <w:r>
              <w:rPr>
                <w:sz w:val="18"/>
                <w:szCs w:val="18"/>
              </w:rPr>
              <w:t>Documento Notas a los estados financieros de una entidad pública.</w:t>
            </w:r>
          </w:p>
        </w:tc>
      </w:tr>
      <w:tr w:rsidR="00990B14" w14:paraId="4CB53C84" w14:textId="77777777">
        <w:trPr>
          <w:cantSplit/>
          <w:jc w:val="center"/>
        </w:trPr>
        <w:tc>
          <w:tcPr>
            <w:tcW w:w="3133" w:type="dxa"/>
            <w:gridSpan w:val="4"/>
            <w:vMerge/>
            <w:shd w:val="clear" w:color="auto" w:fill="D9E2F3"/>
            <w:vAlign w:val="center"/>
          </w:tcPr>
          <w:p w14:paraId="22FF9D08" w14:textId="77777777" w:rsidR="00990B14" w:rsidRDefault="00990B14">
            <w:pPr>
              <w:spacing w:before="20" w:after="20"/>
            </w:pPr>
          </w:p>
        </w:tc>
        <w:tc>
          <w:tcPr>
            <w:tcW w:w="3135" w:type="dxa"/>
            <w:gridSpan w:val="5"/>
            <w:shd w:val="clear" w:color="auto" w:fill="D9E2F3"/>
            <w:vAlign w:val="center"/>
          </w:tcPr>
          <w:p w14:paraId="4337FEAB" w14:textId="77777777" w:rsidR="00990B14" w:rsidRDefault="00000000">
            <w:pPr>
              <w:spacing w:before="20" w:after="20"/>
              <w:jc w:val="both"/>
            </w:pPr>
            <w:r>
              <w:rPr>
                <w:sz w:val="18"/>
                <w:szCs w:val="18"/>
              </w:rPr>
              <w:t>2.2 Realiza un análisis de resultados alcanzados en los estados financieros.</w:t>
            </w:r>
          </w:p>
        </w:tc>
        <w:tc>
          <w:tcPr>
            <w:tcW w:w="3137" w:type="dxa"/>
            <w:gridSpan w:val="4"/>
            <w:shd w:val="clear" w:color="auto" w:fill="D9E2F3"/>
            <w:vAlign w:val="center"/>
          </w:tcPr>
          <w:p w14:paraId="5631B9E4" w14:textId="77777777" w:rsidR="00990B14" w:rsidRDefault="00000000">
            <w:pPr>
              <w:spacing w:before="20" w:after="20"/>
              <w:jc w:val="both"/>
            </w:pPr>
            <w:r>
              <w:rPr>
                <w:b/>
                <w:bCs/>
                <w:sz w:val="18"/>
                <w:szCs w:val="18"/>
              </w:rPr>
              <w:t xml:space="preserve">Producto 20: </w:t>
            </w:r>
            <w:r>
              <w:rPr>
                <w:sz w:val="18"/>
                <w:szCs w:val="18"/>
              </w:rPr>
              <w:t>Informe de interpretación de resultados obtenidos en los estados financieros.</w:t>
            </w:r>
          </w:p>
        </w:tc>
      </w:tr>
      <w:tr w:rsidR="00990B14" w14:paraId="17BACAFC" w14:textId="77777777">
        <w:trPr>
          <w:cantSplit/>
          <w:jc w:val="center"/>
        </w:trPr>
        <w:tc>
          <w:tcPr>
            <w:tcW w:w="9405" w:type="dxa"/>
            <w:gridSpan w:val="13"/>
            <w:shd w:val="clear" w:color="auto" w:fill="4472C4"/>
            <w:vAlign w:val="center"/>
          </w:tcPr>
          <w:p w14:paraId="5FDF61E0" w14:textId="77777777" w:rsidR="00990B14" w:rsidRDefault="00000000">
            <w:pPr>
              <w:keepNext/>
              <w:spacing w:before="20" w:after="20"/>
              <w:jc w:val="center"/>
            </w:pPr>
            <w:r>
              <w:rPr>
                <w:b/>
                <w:bCs/>
                <w:i/>
                <w:iCs/>
                <w:color w:val="FFFFFF"/>
                <w:sz w:val="18"/>
                <w:szCs w:val="18"/>
              </w:rPr>
              <w:t>Evidencias de conocimiento</w:t>
            </w:r>
          </w:p>
        </w:tc>
      </w:tr>
      <w:tr w:rsidR="00990B14" w14:paraId="5CB3C266" w14:textId="77777777">
        <w:trPr>
          <w:cantSplit/>
          <w:jc w:val="center"/>
        </w:trPr>
        <w:tc>
          <w:tcPr>
            <w:tcW w:w="2349" w:type="dxa"/>
            <w:gridSpan w:val="2"/>
            <w:shd w:val="clear" w:color="auto" w:fill="4472C4"/>
            <w:vAlign w:val="center"/>
          </w:tcPr>
          <w:p w14:paraId="7409DBA4"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393C2853" w14:textId="77777777" w:rsidR="00990B14" w:rsidRDefault="00000000">
            <w:pPr>
              <w:keepNext/>
              <w:spacing w:before="20" w:after="20"/>
              <w:jc w:val="both"/>
            </w:pPr>
            <w:r>
              <w:rPr>
                <w:b/>
                <w:bCs/>
                <w:i/>
                <w:iCs/>
                <w:color w:val="FFFFFF"/>
                <w:sz w:val="18"/>
                <w:szCs w:val="18"/>
              </w:rPr>
              <w:t>Contenidos</w:t>
            </w:r>
          </w:p>
          <w:p w14:paraId="53E3DAD5"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674EFFAF" w14:textId="77777777" w:rsidR="00990B14" w:rsidRDefault="00000000">
            <w:pPr>
              <w:keepNext/>
              <w:spacing w:before="20" w:after="20"/>
              <w:jc w:val="center"/>
            </w:pPr>
            <w:r>
              <w:rPr>
                <w:b/>
                <w:bCs/>
                <w:i/>
                <w:iCs/>
                <w:color w:val="FFFFFF"/>
                <w:sz w:val="18"/>
                <w:szCs w:val="18"/>
              </w:rPr>
              <w:t>Conocimientos circunstanciales</w:t>
            </w:r>
          </w:p>
        </w:tc>
      </w:tr>
      <w:tr w:rsidR="00990B14" w14:paraId="139ED829" w14:textId="77777777">
        <w:trPr>
          <w:jc w:val="center"/>
        </w:trPr>
        <w:tc>
          <w:tcPr>
            <w:tcW w:w="2349" w:type="dxa"/>
            <w:gridSpan w:val="2"/>
            <w:shd w:val="clear" w:color="auto" w:fill="D9E2F3"/>
          </w:tcPr>
          <w:p w14:paraId="7735BD7C" w14:textId="77777777" w:rsidR="00990B14" w:rsidRDefault="00000000">
            <w:pPr>
              <w:spacing w:before="20" w:after="40"/>
              <w:jc w:val="both"/>
            </w:pPr>
            <w:r>
              <w:rPr>
                <w:sz w:val="18"/>
                <w:szCs w:val="18"/>
              </w:rPr>
              <w:t>Tema 9: Estados Financieros Básicos y Complementarios y notas a los estados financieros</w:t>
            </w:r>
          </w:p>
        </w:tc>
        <w:tc>
          <w:tcPr>
            <w:tcW w:w="4304" w:type="dxa"/>
            <w:gridSpan w:val="8"/>
            <w:shd w:val="clear" w:color="auto" w:fill="D9E2F3"/>
          </w:tcPr>
          <w:p w14:paraId="63B3369B" w14:textId="77777777" w:rsidR="00990B14" w:rsidRDefault="00000000">
            <w:pPr>
              <w:spacing w:after="40"/>
              <w:jc w:val="both"/>
            </w:pPr>
            <w:r>
              <w:rPr>
                <w:sz w:val="18"/>
                <w:szCs w:val="18"/>
              </w:rPr>
              <w:t>Concepto y características de los estados financieros del sector público. (C)</w:t>
            </w:r>
          </w:p>
          <w:p w14:paraId="6D42BC30" w14:textId="77777777" w:rsidR="00990B14" w:rsidRDefault="00000000">
            <w:pPr>
              <w:spacing w:after="40"/>
              <w:jc w:val="both"/>
            </w:pPr>
            <w:r>
              <w:rPr>
                <w:sz w:val="18"/>
                <w:szCs w:val="18"/>
              </w:rPr>
              <w:t>Políticas contables, presupuestarias y de tesorería aplicables a la presentación de los estados financieros. (C)</w:t>
            </w:r>
          </w:p>
          <w:p w14:paraId="343A5C26" w14:textId="77777777" w:rsidR="00990B14" w:rsidRDefault="00000000">
            <w:pPr>
              <w:spacing w:after="40"/>
              <w:jc w:val="both"/>
            </w:pPr>
            <w:r>
              <w:rPr>
                <w:sz w:val="18"/>
                <w:szCs w:val="18"/>
              </w:rPr>
              <w:t>Estados financieros de las entidades públicas. (C)</w:t>
            </w:r>
          </w:p>
          <w:p w14:paraId="3DEDE80F" w14:textId="77777777" w:rsidR="00990B14" w:rsidRDefault="00000000">
            <w:pPr>
              <w:spacing w:after="40"/>
              <w:jc w:val="both"/>
            </w:pPr>
            <w:r>
              <w:rPr>
                <w:sz w:val="18"/>
                <w:szCs w:val="18"/>
              </w:rPr>
              <w:t>Elaboración de estados financieros: Balance General, Recursos y Gastos Corrientes, Flujo de Efectivo, Evolución del Patrimonio Neto, Ejecución Presupuestaria de Recursos, Ejecución Presupuestaria de Gastos, Cuenta, Ahorro, Inversión y Financiamiento. (P)</w:t>
            </w:r>
          </w:p>
          <w:p w14:paraId="6AEC6183" w14:textId="77777777" w:rsidR="00990B14" w:rsidRDefault="00000000">
            <w:pPr>
              <w:spacing w:after="40"/>
              <w:jc w:val="both"/>
            </w:pPr>
            <w:r>
              <w:rPr>
                <w:sz w:val="18"/>
                <w:szCs w:val="18"/>
              </w:rPr>
              <w:t>Elaboración de notas a los estados financieros y la información financiera complementaria. (P)</w:t>
            </w:r>
          </w:p>
          <w:p w14:paraId="0965C52C" w14:textId="77777777" w:rsidR="00990B14" w:rsidRDefault="00000000">
            <w:pPr>
              <w:spacing w:after="40"/>
              <w:jc w:val="both"/>
            </w:pPr>
            <w:r>
              <w:rPr>
                <w:sz w:val="18"/>
                <w:szCs w:val="18"/>
              </w:rPr>
              <w:t>Análisis de consistencia de los estados financieros. (P, T)</w:t>
            </w:r>
          </w:p>
          <w:p w14:paraId="2049CFB9" w14:textId="77777777" w:rsidR="00990B14" w:rsidRDefault="00000000">
            <w:pPr>
              <w:spacing w:after="40"/>
              <w:jc w:val="both"/>
            </w:pPr>
            <w:r>
              <w:rPr>
                <w:sz w:val="18"/>
                <w:szCs w:val="18"/>
              </w:rPr>
              <w:t>Cierre, presentación y publicación de los estados financieros. (P, A, T)</w:t>
            </w:r>
          </w:p>
        </w:tc>
        <w:tc>
          <w:tcPr>
            <w:tcW w:w="2752" w:type="dxa"/>
            <w:gridSpan w:val="3"/>
            <w:shd w:val="clear" w:color="auto" w:fill="D9E2F3"/>
          </w:tcPr>
          <w:p w14:paraId="4AB2C286" w14:textId="77777777" w:rsidR="00990B14" w:rsidRDefault="00000000">
            <w:pPr>
              <w:numPr>
                <w:ilvl w:val="0"/>
                <w:numId w:val="139"/>
              </w:numPr>
              <w:spacing w:before="10" w:after="10"/>
              <w:jc w:val="both"/>
            </w:pPr>
            <w:r>
              <w:rPr>
                <w:sz w:val="18"/>
                <w:szCs w:val="18"/>
              </w:rPr>
              <w:t>Teorías, principios y fundamentos de la contabilidad y la información financiera del sector público.</w:t>
            </w:r>
          </w:p>
          <w:p w14:paraId="46DD721C" w14:textId="77777777" w:rsidR="00990B14" w:rsidRDefault="00000000">
            <w:pPr>
              <w:numPr>
                <w:ilvl w:val="0"/>
                <w:numId w:val="139"/>
              </w:numPr>
              <w:spacing w:before="10" w:after="10"/>
              <w:jc w:val="both"/>
            </w:pPr>
            <w:r>
              <w:rPr>
                <w:sz w:val="18"/>
                <w:szCs w:val="18"/>
              </w:rPr>
              <w:t>Nociones de gestión presupuestaria, económica y financiera, e interpretación de estados financieros.</w:t>
            </w:r>
          </w:p>
          <w:p w14:paraId="386F776F" w14:textId="77777777" w:rsidR="00990B14" w:rsidRDefault="00000000">
            <w:pPr>
              <w:numPr>
                <w:ilvl w:val="0"/>
                <w:numId w:val="139"/>
              </w:numPr>
              <w:spacing w:before="10" w:after="10"/>
              <w:jc w:val="both"/>
            </w:pPr>
            <w:r>
              <w:rPr>
                <w:sz w:val="18"/>
                <w:szCs w:val="18"/>
              </w:rPr>
              <w:t>Ley de Administración y Control Gubernamentales.</w:t>
            </w:r>
          </w:p>
          <w:p w14:paraId="2745C04E" w14:textId="77777777" w:rsidR="00990B14" w:rsidRDefault="00000000">
            <w:pPr>
              <w:numPr>
                <w:ilvl w:val="0"/>
                <w:numId w:val="139"/>
              </w:numPr>
              <w:spacing w:before="10" w:after="10"/>
              <w:jc w:val="both"/>
            </w:pPr>
            <w:r>
              <w:rPr>
                <w:sz w:val="18"/>
                <w:szCs w:val="18"/>
              </w:rPr>
              <w:t>Normas Básicas del Sistema de Contabilidad Integrada y normas contables nacionales aplicables al sector público.</w:t>
            </w:r>
          </w:p>
          <w:p w14:paraId="39EF4827" w14:textId="77777777" w:rsidR="00990B14" w:rsidRDefault="00000000">
            <w:pPr>
              <w:numPr>
                <w:ilvl w:val="0"/>
                <w:numId w:val="139"/>
              </w:numPr>
              <w:spacing w:before="10" w:after="10"/>
              <w:jc w:val="both"/>
            </w:pPr>
            <w:r>
              <w:rPr>
                <w:sz w:val="18"/>
                <w:szCs w:val="18"/>
              </w:rPr>
              <w:t>Normas Internacionales de Contabilidad del Sector Público.</w:t>
            </w:r>
          </w:p>
          <w:p w14:paraId="2BAFD583" w14:textId="77777777" w:rsidR="00990B14" w:rsidRDefault="00000000">
            <w:pPr>
              <w:numPr>
                <w:ilvl w:val="0"/>
                <w:numId w:val="139"/>
              </w:numPr>
              <w:spacing w:before="10" w:after="10"/>
              <w:jc w:val="both"/>
            </w:pPr>
            <w:r>
              <w:rPr>
                <w:sz w:val="18"/>
                <w:szCs w:val="18"/>
              </w:rPr>
              <w:t>Guías, manuales e instructivos emitidos por el Órgano Rector.</w:t>
            </w:r>
          </w:p>
        </w:tc>
      </w:tr>
      <w:tr w:rsidR="00990B14" w14:paraId="14B1417A" w14:textId="77777777">
        <w:trPr>
          <w:cantSplit/>
          <w:jc w:val="center"/>
        </w:trPr>
        <w:tc>
          <w:tcPr>
            <w:tcW w:w="9405" w:type="dxa"/>
            <w:gridSpan w:val="13"/>
            <w:shd w:val="clear" w:color="auto" w:fill="D9E2F3"/>
            <w:vAlign w:val="center"/>
          </w:tcPr>
          <w:p w14:paraId="4FD76101" w14:textId="77777777" w:rsidR="00990B14" w:rsidRDefault="00000000">
            <w:pPr>
              <w:spacing w:before="20" w:after="20"/>
              <w:jc w:val="both"/>
            </w:pPr>
            <w:r>
              <w:rPr>
                <w:b/>
                <w:bCs/>
                <w:i/>
                <w:iCs/>
                <w:sz w:val="18"/>
                <w:szCs w:val="18"/>
              </w:rPr>
              <w:t xml:space="preserve">Elemento de competencia 6: </w:t>
            </w:r>
            <w:r>
              <w:rPr>
                <w:sz w:val="18"/>
                <w:szCs w:val="18"/>
              </w:rPr>
              <w:t>Aplica las Normas Internacionales de Contabilidad del Sector Público, en consistencia con las normas de contabilidad integrada en Bolivia, en la preparación y presentación de los Estados financieros.</w:t>
            </w:r>
          </w:p>
        </w:tc>
      </w:tr>
      <w:tr w:rsidR="00990B14" w14:paraId="6EFCE5EC" w14:textId="77777777">
        <w:trPr>
          <w:cantSplit/>
          <w:jc w:val="center"/>
        </w:trPr>
        <w:tc>
          <w:tcPr>
            <w:tcW w:w="3133" w:type="dxa"/>
            <w:gridSpan w:val="4"/>
            <w:shd w:val="clear" w:color="auto" w:fill="4472C4"/>
            <w:vAlign w:val="center"/>
          </w:tcPr>
          <w:p w14:paraId="6F299E30"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2AA69279"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534DE953" w14:textId="77777777" w:rsidR="00990B14" w:rsidRDefault="00000000">
            <w:pPr>
              <w:keepNext/>
              <w:spacing w:before="20" w:after="20"/>
              <w:jc w:val="center"/>
            </w:pPr>
            <w:r>
              <w:rPr>
                <w:b/>
                <w:bCs/>
                <w:i/>
                <w:iCs/>
                <w:color w:val="FFFFFF"/>
                <w:sz w:val="18"/>
                <w:szCs w:val="18"/>
              </w:rPr>
              <w:t>Evidencias de producto</w:t>
            </w:r>
          </w:p>
        </w:tc>
      </w:tr>
      <w:tr w:rsidR="00990B14" w14:paraId="7BFF1C2D" w14:textId="77777777">
        <w:trPr>
          <w:cantSplit/>
          <w:jc w:val="center"/>
        </w:trPr>
        <w:tc>
          <w:tcPr>
            <w:tcW w:w="3133" w:type="dxa"/>
            <w:gridSpan w:val="4"/>
            <w:vMerge w:val="restart"/>
            <w:shd w:val="clear" w:color="auto" w:fill="D9E2F3"/>
            <w:vAlign w:val="center"/>
          </w:tcPr>
          <w:p w14:paraId="770D8797" w14:textId="77777777" w:rsidR="00990B14" w:rsidRDefault="00000000">
            <w:pPr>
              <w:spacing w:before="20" w:after="20"/>
              <w:jc w:val="both"/>
            </w:pPr>
            <w:r>
              <w:rPr>
                <w:sz w:val="18"/>
                <w:szCs w:val="18"/>
              </w:rPr>
              <w:t>1. Explica el marco conceptual y los elementos de los estados financieros según las Normas Internacionales de Contabilidad del Sector Público.</w:t>
            </w:r>
          </w:p>
        </w:tc>
        <w:tc>
          <w:tcPr>
            <w:tcW w:w="3135" w:type="dxa"/>
            <w:gridSpan w:val="5"/>
            <w:shd w:val="clear" w:color="auto" w:fill="D9E2F3"/>
            <w:vAlign w:val="center"/>
          </w:tcPr>
          <w:p w14:paraId="5D17AB9B" w14:textId="77777777" w:rsidR="00990B14" w:rsidRDefault="00000000">
            <w:pPr>
              <w:spacing w:before="20" w:after="20"/>
              <w:jc w:val="both"/>
            </w:pPr>
            <w:r>
              <w:rPr>
                <w:sz w:val="18"/>
                <w:szCs w:val="18"/>
              </w:rPr>
              <w:t>1.1 Describe el marco de conceptos de las Normas Internacionales de Contabilidad del Sector Público.</w:t>
            </w:r>
          </w:p>
        </w:tc>
        <w:tc>
          <w:tcPr>
            <w:tcW w:w="3137" w:type="dxa"/>
            <w:gridSpan w:val="4"/>
            <w:shd w:val="clear" w:color="auto" w:fill="D9E2F3"/>
            <w:vAlign w:val="center"/>
          </w:tcPr>
          <w:p w14:paraId="701F4DF8" w14:textId="77777777" w:rsidR="00990B14" w:rsidRDefault="00000000">
            <w:pPr>
              <w:spacing w:before="20" w:after="20"/>
              <w:jc w:val="both"/>
            </w:pPr>
            <w:r>
              <w:rPr>
                <w:b/>
                <w:bCs/>
                <w:sz w:val="18"/>
                <w:szCs w:val="18"/>
              </w:rPr>
              <w:t xml:space="preserve">Producto 21: </w:t>
            </w:r>
            <w:r>
              <w:rPr>
                <w:sz w:val="18"/>
                <w:szCs w:val="18"/>
              </w:rPr>
              <w:t>Esquema del marco de conceptos y de los estados financieros.</w:t>
            </w:r>
          </w:p>
        </w:tc>
      </w:tr>
      <w:tr w:rsidR="00990B14" w14:paraId="2AEA31BB" w14:textId="77777777">
        <w:trPr>
          <w:cantSplit/>
          <w:jc w:val="center"/>
        </w:trPr>
        <w:tc>
          <w:tcPr>
            <w:tcW w:w="3133" w:type="dxa"/>
            <w:gridSpan w:val="4"/>
            <w:vMerge/>
            <w:shd w:val="clear" w:color="auto" w:fill="D9E2F3"/>
            <w:vAlign w:val="center"/>
          </w:tcPr>
          <w:p w14:paraId="04E8D892" w14:textId="77777777" w:rsidR="00990B14" w:rsidRDefault="00990B14">
            <w:pPr>
              <w:spacing w:before="20" w:after="20"/>
            </w:pPr>
          </w:p>
        </w:tc>
        <w:tc>
          <w:tcPr>
            <w:tcW w:w="3135" w:type="dxa"/>
            <w:gridSpan w:val="5"/>
            <w:shd w:val="clear" w:color="auto" w:fill="D9E2F3"/>
            <w:vAlign w:val="center"/>
          </w:tcPr>
          <w:p w14:paraId="73C91401" w14:textId="77777777" w:rsidR="00990B14" w:rsidRDefault="00000000">
            <w:pPr>
              <w:spacing w:before="20" w:after="20"/>
              <w:jc w:val="both"/>
            </w:pPr>
            <w:r>
              <w:rPr>
                <w:sz w:val="18"/>
                <w:szCs w:val="18"/>
              </w:rPr>
              <w:t>1.2 Aplica las normas internacionales contables para la presentación de estados financieros.</w:t>
            </w:r>
          </w:p>
        </w:tc>
        <w:tc>
          <w:tcPr>
            <w:tcW w:w="3137" w:type="dxa"/>
            <w:gridSpan w:val="4"/>
            <w:shd w:val="clear" w:color="auto" w:fill="D9E2F3"/>
            <w:vAlign w:val="center"/>
          </w:tcPr>
          <w:p w14:paraId="041168B2" w14:textId="77777777" w:rsidR="00990B14" w:rsidRDefault="00000000">
            <w:pPr>
              <w:spacing w:before="20" w:after="20"/>
              <w:jc w:val="both"/>
            </w:pPr>
            <w:r>
              <w:rPr>
                <w:b/>
                <w:bCs/>
                <w:sz w:val="18"/>
                <w:szCs w:val="18"/>
              </w:rPr>
              <w:t xml:space="preserve">Producto 22: </w:t>
            </w:r>
            <w:r>
              <w:rPr>
                <w:sz w:val="18"/>
                <w:szCs w:val="18"/>
              </w:rPr>
              <w:t>Documento Registros contables de aplicación de las normas internacionales de contabilidad del sector público.</w:t>
            </w:r>
          </w:p>
        </w:tc>
      </w:tr>
      <w:tr w:rsidR="00990B14" w14:paraId="26941F31" w14:textId="77777777">
        <w:trPr>
          <w:cantSplit/>
          <w:jc w:val="center"/>
        </w:trPr>
        <w:tc>
          <w:tcPr>
            <w:tcW w:w="3133" w:type="dxa"/>
            <w:gridSpan w:val="4"/>
            <w:vMerge w:val="restart"/>
            <w:shd w:val="clear" w:color="auto" w:fill="D9E2F3"/>
            <w:vAlign w:val="center"/>
          </w:tcPr>
          <w:p w14:paraId="7582AE31" w14:textId="77777777" w:rsidR="00990B14" w:rsidRDefault="00000000">
            <w:pPr>
              <w:spacing w:before="20" w:after="20"/>
              <w:jc w:val="both"/>
            </w:pPr>
            <w:r>
              <w:rPr>
                <w:sz w:val="18"/>
                <w:szCs w:val="18"/>
              </w:rPr>
              <w:t>2. Compara las normas de contabilidad integrada con las normas locales e internacionales de contabilidad gubernamental en el sector público</w:t>
            </w:r>
          </w:p>
        </w:tc>
        <w:tc>
          <w:tcPr>
            <w:tcW w:w="3135" w:type="dxa"/>
            <w:gridSpan w:val="5"/>
            <w:shd w:val="clear" w:color="auto" w:fill="D9E2F3"/>
            <w:vAlign w:val="center"/>
          </w:tcPr>
          <w:p w14:paraId="31619725" w14:textId="77777777" w:rsidR="00990B14" w:rsidRDefault="00000000">
            <w:pPr>
              <w:spacing w:before="20" w:after="20"/>
              <w:jc w:val="both"/>
            </w:pPr>
            <w:r>
              <w:rPr>
                <w:sz w:val="18"/>
                <w:szCs w:val="18"/>
              </w:rPr>
              <w:t>2.1 Elabora un cuadro comparativo entre ambos marcos normativos.</w:t>
            </w:r>
          </w:p>
        </w:tc>
        <w:tc>
          <w:tcPr>
            <w:tcW w:w="3137" w:type="dxa"/>
            <w:gridSpan w:val="4"/>
            <w:shd w:val="clear" w:color="auto" w:fill="D9E2F3"/>
            <w:vAlign w:val="center"/>
          </w:tcPr>
          <w:p w14:paraId="07F03E56" w14:textId="77777777" w:rsidR="00990B14" w:rsidRDefault="00000000">
            <w:pPr>
              <w:spacing w:before="20" w:after="20"/>
              <w:jc w:val="both"/>
            </w:pPr>
            <w:r>
              <w:rPr>
                <w:b/>
                <w:bCs/>
                <w:sz w:val="18"/>
                <w:szCs w:val="18"/>
              </w:rPr>
              <w:t xml:space="preserve">Producto 23: </w:t>
            </w:r>
            <w:r>
              <w:rPr>
                <w:sz w:val="18"/>
                <w:szCs w:val="18"/>
              </w:rPr>
              <w:t>Cuadro comparativo de las normas de contabilidad integrada y las normas internacionales del sector público.</w:t>
            </w:r>
          </w:p>
        </w:tc>
      </w:tr>
      <w:tr w:rsidR="00990B14" w14:paraId="44898C18" w14:textId="77777777">
        <w:trPr>
          <w:cantSplit/>
          <w:jc w:val="center"/>
        </w:trPr>
        <w:tc>
          <w:tcPr>
            <w:tcW w:w="3133" w:type="dxa"/>
            <w:gridSpan w:val="4"/>
            <w:vMerge/>
            <w:shd w:val="clear" w:color="auto" w:fill="D9E2F3"/>
            <w:vAlign w:val="center"/>
          </w:tcPr>
          <w:p w14:paraId="1B7D6C40" w14:textId="77777777" w:rsidR="00990B14" w:rsidRDefault="00990B14">
            <w:pPr>
              <w:spacing w:before="20" w:after="20"/>
            </w:pPr>
          </w:p>
        </w:tc>
        <w:tc>
          <w:tcPr>
            <w:tcW w:w="3135" w:type="dxa"/>
            <w:gridSpan w:val="5"/>
            <w:shd w:val="clear" w:color="auto" w:fill="D9E2F3"/>
            <w:vAlign w:val="center"/>
          </w:tcPr>
          <w:p w14:paraId="35AE97BC" w14:textId="77777777" w:rsidR="00990B14" w:rsidRDefault="00000000">
            <w:pPr>
              <w:spacing w:before="20" w:after="20"/>
              <w:jc w:val="both"/>
            </w:pPr>
            <w:r>
              <w:rPr>
                <w:sz w:val="18"/>
                <w:szCs w:val="18"/>
              </w:rPr>
              <w:t>2.2 Analiza las diferencias entre la base de efectivo y la base de devengado en un caso práctico.</w:t>
            </w:r>
          </w:p>
        </w:tc>
        <w:tc>
          <w:tcPr>
            <w:tcW w:w="3137" w:type="dxa"/>
            <w:gridSpan w:val="4"/>
            <w:shd w:val="clear" w:color="auto" w:fill="D9E2F3"/>
            <w:vAlign w:val="center"/>
          </w:tcPr>
          <w:p w14:paraId="05FFE1E4" w14:textId="77777777" w:rsidR="00990B14" w:rsidRDefault="00000000">
            <w:pPr>
              <w:spacing w:before="20" w:after="20"/>
              <w:jc w:val="both"/>
            </w:pPr>
            <w:r>
              <w:rPr>
                <w:b/>
                <w:bCs/>
                <w:sz w:val="18"/>
                <w:szCs w:val="18"/>
              </w:rPr>
              <w:t xml:space="preserve">Producto 24: </w:t>
            </w:r>
            <w:r>
              <w:rPr>
                <w:sz w:val="18"/>
                <w:szCs w:val="18"/>
              </w:rPr>
              <w:t>Informe de las diferencias entre la base de efectivo y la base de devengado.</w:t>
            </w:r>
          </w:p>
        </w:tc>
      </w:tr>
      <w:tr w:rsidR="00990B14" w14:paraId="30E41B50" w14:textId="77777777">
        <w:trPr>
          <w:cantSplit/>
          <w:jc w:val="center"/>
        </w:trPr>
        <w:tc>
          <w:tcPr>
            <w:tcW w:w="9405" w:type="dxa"/>
            <w:gridSpan w:val="13"/>
            <w:shd w:val="clear" w:color="auto" w:fill="4472C4"/>
            <w:vAlign w:val="center"/>
          </w:tcPr>
          <w:p w14:paraId="6BD04B42" w14:textId="77777777" w:rsidR="00990B14" w:rsidRDefault="00000000">
            <w:pPr>
              <w:keepNext/>
              <w:spacing w:before="20" w:after="20"/>
              <w:jc w:val="center"/>
            </w:pPr>
            <w:r>
              <w:rPr>
                <w:b/>
                <w:bCs/>
                <w:i/>
                <w:iCs/>
                <w:color w:val="FFFFFF"/>
                <w:sz w:val="18"/>
                <w:szCs w:val="18"/>
              </w:rPr>
              <w:t>Evidencias de conocimiento</w:t>
            </w:r>
          </w:p>
        </w:tc>
      </w:tr>
      <w:tr w:rsidR="00990B14" w14:paraId="1CFA8C28" w14:textId="77777777">
        <w:trPr>
          <w:cantSplit/>
          <w:jc w:val="center"/>
        </w:trPr>
        <w:tc>
          <w:tcPr>
            <w:tcW w:w="2349" w:type="dxa"/>
            <w:gridSpan w:val="2"/>
            <w:shd w:val="clear" w:color="auto" w:fill="4472C4"/>
            <w:vAlign w:val="center"/>
          </w:tcPr>
          <w:p w14:paraId="39F89B1D"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11637337" w14:textId="77777777" w:rsidR="00990B14" w:rsidRDefault="00000000">
            <w:pPr>
              <w:keepNext/>
              <w:spacing w:before="20" w:after="20"/>
              <w:jc w:val="both"/>
            </w:pPr>
            <w:r>
              <w:rPr>
                <w:b/>
                <w:bCs/>
                <w:i/>
                <w:iCs/>
                <w:color w:val="FFFFFF"/>
                <w:sz w:val="18"/>
                <w:szCs w:val="18"/>
              </w:rPr>
              <w:t>Contenidos</w:t>
            </w:r>
          </w:p>
          <w:p w14:paraId="2F47C9FE"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701CD3E9" w14:textId="77777777" w:rsidR="00990B14" w:rsidRDefault="00000000">
            <w:pPr>
              <w:keepNext/>
              <w:spacing w:before="20" w:after="20"/>
              <w:jc w:val="center"/>
            </w:pPr>
            <w:r>
              <w:rPr>
                <w:b/>
                <w:bCs/>
                <w:i/>
                <w:iCs/>
                <w:color w:val="FFFFFF"/>
                <w:sz w:val="18"/>
                <w:szCs w:val="18"/>
              </w:rPr>
              <w:t>Conocimientos circunstanciales</w:t>
            </w:r>
          </w:p>
        </w:tc>
      </w:tr>
      <w:tr w:rsidR="00990B14" w14:paraId="6BAABEA8" w14:textId="77777777">
        <w:trPr>
          <w:jc w:val="center"/>
        </w:trPr>
        <w:tc>
          <w:tcPr>
            <w:tcW w:w="2349" w:type="dxa"/>
            <w:gridSpan w:val="2"/>
            <w:shd w:val="clear" w:color="auto" w:fill="D9E2F3"/>
          </w:tcPr>
          <w:p w14:paraId="52DF8D68" w14:textId="77777777" w:rsidR="00990B14" w:rsidRDefault="00000000">
            <w:pPr>
              <w:spacing w:before="20" w:after="40"/>
              <w:jc w:val="both"/>
            </w:pPr>
            <w:r>
              <w:rPr>
                <w:sz w:val="18"/>
                <w:szCs w:val="18"/>
              </w:rPr>
              <w:t>Tema 10: Normas Internacionales de Contabilidad del Sector Público</w:t>
            </w:r>
          </w:p>
        </w:tc>
        <w:tc>
          <w:tcPr>
            <w:tcW w:w="4304" w:type="dxa"/>
            <w:gridSpan w:val="8"/>
            <w:shd w:val="clear" w:color="auto" w:fill="D9E2F3"/>
          </w:tcPr>
          <w:p w14:paraId="6540B56E" w14:textId="77777777" w:rsidR="00990B14" w:rsidRDefault="00000000">
            <w:pPr>
              <w:spacing w:after="40"/>
              <w:jc w:val="both"/>
            </w:pPr>
            <w:r>
              <w:rPr>
                <w:sz w:val="18"/>
                <w:szCs w:val="18"/>
              </w:rPr>
              <w:t>Introducción y marco de conceptos de las Normas Internacionales de Contabilidad del Sector Público. (C)</w:t>
            </w:r>
          </w:p>
          <w:p w14:paraId="7E7D3751" w14:textId="77777777" w:rsidR="00990B14" w:rsidRDefault="00000000">
            <w:pPr>
              <w:spacing w:after="40"/>
              <w:jc w:val="both"/>
            </w:pPr>
            <w:r>
              <w:rPr>
                <w:sz w:val="18"/>
                <w:szCs w:val="18"/>
              </w:rPr>
              <w:t>Normas de presentación de estados financieros y estados financieros bajo normativa internacional. (C)</w:t>
            </w:r>
          </w:p>
          <w:p w14:paraId="24C01005" w14:textId="77777777" w:rsidR="00990B14" w:rsidRDefault="00000000">
            <w:pPr>
              <w:spacing w:after="40"/>
              <w:jc w:val="both"/>
            </w:pPr>
            <w:r>
              <w:rPr>
                <w:sz w:val="18"/>
                <w:szCs w:val="18"/>
              </w:rPr>
              <w:t>Los elementos de los estados financieros según las normas internacionales del sector público. (C)</w:t>
            </w:r>
          </w:p>
          <w:p w14:paraId="77335160" w14:textId="77777777" w:rsidR="00990B14" w:rsidRDefault="00000000">
            <w:pPr>
              <w:spacing w:after="40"/>
              <w:jc w:val="both"/>
            </w:pPr>
            <w:r>
              <w:rPr>
                <w:sz w:val="18"/>
                <w:szCs w:val="18"/>
              </w:rPr>
              <w:t>Los estados financieros, en el marco de las normas internacionales de contabilidad del sector público. (C, P)</w:t>
            </w:r>
          </w:p>
          <w:p w14:paraId="06C5CD9C" w14:textId="77777777" w:rsidR="00990B14" w:rsidRDefault="00000000">
            <w:pPr>
              <w:spacing w:after="40"/>
              <w:jc w:val="both"/>
            </w:pPr>
            <w:r>
              <w:rPr>
                <w:sz w:val="18"/>
                <w:szCs w:val="18"/>
              </w:rPr>
              <w:t>Políticas y bases de registro contable en la preparación y presentación de estados financieros. (C, P)</w:t>
            </w:r>
          </w:p>
          <w:p w14:paraId="6D6D855A" w14:textId="77777777" w:rsidR="00990B14" w:rsidRDefault="00000000">
            <w:pPr>
              <w:spacing w:after="40"/>
              <w:jc w:val="both"/>
            </w:pPr>
            <w:r>
              <w:rPr>
                <w:sz w:val="18"/>
                <w:szCs w:val="18"/>
              </w:rPr>
              <w:t>Usuarios internos y externos de los estados financieros y la toma de decisiones. (C)</w:t>
            </w:r>
          </w:p>
          <w:p w14:paraId="1DA1C9EE" w14:textId="77777777" w:rsidR="00990B14" w:rsidRDefault="00000000">
            <w:pPr>
              <w:spacing w:after="40"/>
              <w:jc w:val="both"/>
            </w:pPr>
            <w:r>
              <w:rPr>
                <w:sz w:val="18"/>
                <w:szCs w:val="18"/>
              </w:rPr>
              <w:t>Análisis comparativo de las Normas de Contabilidad Integrada, Normas Locales y Normas Internacionales. (C, P)</w:t>
            </w:r>
          </w:p>
          <w:p w14:paraId="62CC693B" w14:textId="77777777" w:rsidR="00990B14" w:rsidRDefault="00000000">
            <w:pPr>
              <w:spacing w:after="40"/>
              <w:jc w:val="both"/>
            </w:pPr>
            <w:r>
              <w:rPr>
                <w:sz w:val="18"/>
                <w:szCs w:val="18"/>
              </w:rPr>
              <w:t>Aplicación práctica de las Normas Internacionales de Contabilidad del Sector Público. (P)</w:t>
            </w:r>
          </w:p>
        </w:tc>
        <w:tc>
          <w:tcPr>
            <w:tcW w:w="2752" w:type="dxa"/>
            <w:gridSpan w:val="3"/>
            <w:shd w:val="clear" w:color="auto" w:fill="D9E2F3"/>
          </w:tcPr>
          <w:p w14:paraId="56EDD7FF" w14:textId="77777777" w:rsidR="00990B14" w:rsidRDefault="00000000">
            <w:pPr>
              <w:numPr>
                <w:ilvl w:val="0"/>
                <w:numId w:val="139"/>
              </w:numPr>
              <w:spacing w:before="10" w:after="10"/>
              <w:jc w:val="both"/>
            </w:pPr>
            <w:r>
              <w:rPr>
                <w:sz w:val="18"/>
                <w:szCs w:val="18"/>
              </w:rPr>
              <w:t>Teorías, principios y fundamentos de la contabilidad gubernamental y la armonización internacional.</w:t>
            </w:r>
          </w:p>
          <w:p w14:paraId="7D842A20" w14:textId="77777777" w:rsidR="00990B14" w:rsidRDefault="00000000">
            <w:pPr>
              <w:numPr>
                <w:ilvl w:val="0"/>
                <w:numId w:val="139"/>
              </w:numPr>
              <w:spacing w:before="10" w:after="10"/>
              <w:jc w:val="both"/>
            </w:pPr>
            <w:r>
              <w:rPr>
                <w:sz w:val="18"/>
                <w:szCs w:val="18"/>
              </w:rPr>
              <w:t>Nociones de reconocimiento, medición, presentación y revelación de la información financiera del sector público.</w:t>
            </w:r>
          </w:p>
          <w:p w14:paraId="5250FB52" w14:textId="77777777" w:rsidR="00990B14" w:rsidRDefault="00000000">
            <w:pPr>
              <w:numPr>
                <w:ilvl w:val="0"/>
                <w:numId w:val="139"/>
              </w:numPr>
              <w:spacing w:before="10" w:after="10"/>
              <w:jc w:val="both"/>
            </w:pPr>
            <w:r>
              <w:rPr>
                <w:sz w:val="18"/>
                <w:szCs w:val="18"/>
              </w:rPr>
              <w:t>Normas Internacionales de Contabilidad del Sector Público.</w:t>
            </w:r>
          </w:p>
          <w:p w14:paraId="07C64FA2" w14:textId="77777777" w:rsidR="00990B14" w:rsidRDefault="00000000">
            <w:pPr>
              <w:numPr>
                <w:ilvl w:val="0"/>
                <w:numId w:val="139"/>
              </w:numPr>
              <w:spacing w:before="10" w:after="10"/>
              <w:jc w:val="both"/>
            </w:pPr>
            <w:r>
              <w:rPr>
                <w:sz w:val="18"/>
                <w:szCs w:val="18"/>
              </w:rPr>
              <w:t>Norma Básica del Sistema de Contabilidad Integrada</w:t>
            </w:r>
          </w:p>
          <w:p w14:paraId="5DE9C155" w14:textId="77777777" w:rsidR="00990B14" w:rsidRDefault="00000000">
            <w:pPr>
              <w:numPr>
                <w:ilvl w:val="0"/>
                <w:numId w:val="139"/>
              </w:numPr>
              <w:spacing w:before="10" w:after="10"/>
              <w:jc w:val="both"/>
            </w:pPr>
            <w:r>
              <w:rPr>
                <w:sz w:val="18"/>
                <w:szCs w:val="18"/>
              </w:rPr>
              <w:t>Normas nacionales y pronunciamientos técnicos aplicables.</w:t>
            </w:r>
          </w:p>
        </w:tc>
      </w:tr>
    </w:tbl>
    <w:p w14:paraId="106118A3"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957"/>
        <w:gridCol w:w="1805"/>
        <w:gridCol w:w="1881"/>
        <w:gridCol w:w="1881"/>
        <w:gridCol w:w="1881"/>
      </w:tblGrid>
      <w:tr w:rsidR="00990B14" w14:paraId="6F183BCC" w14:textId="77777777">
        <w:trPr>
          <w:cantSplit/>
          <w:jc w:val="center"/>
        </w:trPr>
        <w:tc>
          <w:tcPr>
            <w:tcW w:w="9405" w:type="dxa"/>
            <w:gridSpan w:val="5"/>
            <w:shd w:val="clear" w:color="auto" w:fill="4472C4"/>
            <w:vAlign w:val="center"/>
          </w:tcPr>
          <w:p w14:paraId="77FAE460" w14:textId="77777777" w:rsidR="00990B14" w:rsidRDefault="00000000">
            <w:pPr>
              <w:keepNext/>
              <w:spacing w:before="20" w:after="20"/>
              <w:jc w:val="center"/>
            </w:pPr>
            <w:r>
              <w:rPr>
                <w:b/>
                <w:bCs/>
                <w:i/>
                <w:iCs/>
                <w:color w:val="FFFFFF"/>
                <w:sz w:val="18"/>
                <w:szCs w:val="18"/>
              </w:rPr>
              <w:t>Actividades</w:t>
            </w:r>
          </w:p>
        </w:tc>
      </w:tr>
      <w:tr w:rsidR="00990B14" w14:paraId="20E0300F" w14:textId="77777777">
        <w:trPr>
          <w:cantSplit/>
          <w:jc w:val="center"/>
        </w:trPr>
        <w:tc>
          <w:tcPr>
            <w:tcW w:w="1957" w:type="dxa"/>
            <w:shd w:val="clear" w:color="auto" w:fill="4472C4"/>
            <w:vAlign w:val="center"/>
          </w:tcPr>
          <w:p w14:paraId="0FBAE3F1" w14:textId="77777777" w:rsidR="00990B14" w:rsidRDefault="00000000">
            <w:pPr>
              <w:keepNext/>
              <w:spacing w:before="20" w:after="20"/>
              <w:jc w:val="center"/>
            </w:pPr>
            <w:r>
              <w:rPr>
                <w:b/>
                <w:bCs/>
                <w:i/>
                <w:iCs/>
                <w:color w:val="FFFFFF"/>
                <w:sz w:val="18"/>
                <w:szCs w:val="18"/>
              </w:rPr>
              <w:t>En clase</w:t>
            </w:r>
          </w:p>
        </w:tc>
        <w:tc>
          <w:tcPr>
            <w:tcW w:w="1805" w:type="dxa"/>
            <w:shd w:val="clear" w:color="auto" w:fill="4472C4"/>
            <w:vAlign w:val="center"/>
          </w:tcPr>
          <w:p w14:paraId="0FC75E82" w14:textId="77777777" w:rsidR="00990B14" w:rsidRDefault="00000000">
            <w:pPr>
              <w:keepNext/>
              <w:spacing w:before="20" w:after="20"/>
              <w:jc w:val="center"/>
            </w:pPr>
            <w:r>
              <w:rPr>
                <w:b/>
                <w:bCs/>
                <w:i/>
                <w:iCs/>
                <w:color w:val="FFFFFF"/>
                <w:sz w:val="18"/>
                <w:szCs w:val="18"/>
              </w:rPr>
              <w:t>Autónomas</w:t>
            </w:r>
          </w:p>
        </w:tc>
        <w:tc>
          <w:tcPr>
            <w:tcW w:w="1881" w:type="dxa"/>
            <w:shd w:val="clear" w:color="auto" w:fill="4472C4"/>
            <w:vAlign w:val="center"/>
          </w:tcPr>
          <w:p w14:paraId="6E815F6A" w14:textId="77777777" w:rsidR="00990B14" w:rsidRDefault="00000000">
            <w:pPr>
              <w:keepNext/>
              <w:spacing w:before="20" w:after="20"/>
              <w:jc w:val="center"/>
            </w:pPr>
            <w:r>
              <w:rPr>
                <w:b/>
                <w:bCs/>
                <w:i/>
                <w:iCs/>
                <w:color w:val="FFFFFF"/>
                <w:sz w:val="18"/>
                <w:szCs w:val="18"/>
              </w:rPr>
              <w:t>B-Learning</w:t>
            </w:r>
          </w:p>
        </w:tc>
        <w:tc>
          <w:tcPr>
            <w:tcW w:w="1881" w:type="dxa"/>
            <w:shd w:val="clear" w:color="auto" w:fill="4472C4"/>
            <w:vAlign w:val="center"/>
          </w:tcPr>
          <w:p w14:paraId="74365C91" w14:textId="77777777" w:rsidR="00990B14" w:rsidRDefault="00000000">
            <w:pPr>
              <w:keepNext/>
              <w:spacing w:before="20" w:after="20"/>
              <w:jc w:val="center"/>
            </w:pPr>
            <w:r>
              <w:rPr>
                <w:b/>
                <w:bCs/>
                <w:i/>
                <w:iCs/>
                <w:color w:val="FFFFFF"/>
                <w:sz w:val="18"/>
                <w:szCs w:val="18"/>
              </w:rPr>
              <w:t>Taller</w:t>
            </w:r>
          </w:p>
        </w:tc>
        <w:tc>
          <w:tcPr>
            <w:tcW w:w="1881" w:type="dxa"/>
            <w:shd w:val="clear" w:color="auto" w:fill="4472C4"/>
            <w:vAlign w:val="center"/>
          </w:tcPr>
          <w:p w14:paraId="648A18A4" w14:textId="77777777" w:rsidR="00990B14" w:rsidRDefault="00000000">
            <w:pPr>
              <w:keepNext/>
              <w:spacing w:before="20" w:after="20"/>
              <w:jc w:val="center"/>
            </w:pPr>
            <w:r>
              <w:rPr>
                <w:b/>
                <w:bCs/>
                <w:i/>
                <w:iCs/>
                <w:color w:val="FFFFFF"/>
                <w:sz w:val="18"/>
                <w:szCs w:val="18"/>
              </w:rPr>
              <w:t>Investigación/Práctica</w:t>
            </w:r>
          </w:p>
        </w:tc>
      </w:tr>
      <w:tr w:rsidR="00990B14" w14:paraId="446C5917" w14:textId="77777777">
        <w:trPr>
          <w:jc w:val="center"/>
        </w:trPr>
        <w:tc>
          <w:tcPr>
            <w:tcW w:w="1957" w:type="dxa"/>
            <w:shd w:val="clear" w:color="auto" w:fill="D9E2F3"/>
          </w:tcPr>
          <w:p w14:paraId="53A0792E" w14:textId="77777777" w:rsidR="00990B14" w:rsidRDefault="00000000">
            <w:pPr>
              <w:numPr>
                <w:ilvl w:val="0"/>
                <w:numId w:val="139"/>
              </w:numPr>
              <w:spacing w:before="10" w:after="10"/>
              <w:jc w:val="both"/>
            </w:pPr>
            <w:r>
              <w:rPr>
                <w:sz w:val="18"/>
                <w:szCs w:val="18"/>
              </w:rPr>
              <w:t>Exposición dialogada de la estructura del Estado boliviano, la Constitución Política del Estado, los órganos del Estado, las entidades territoriales autónomas y las competencias de las entidades públicas.</w:t>
            </w:r>
          </w:p>
          <w:p w14:paraId="4E55A95C" w14:textId="77777777" w:rsidR="00990B14" w:rsidRDefault="00000000">
            <w:pPr>
              <w:numPr>
                <w:ilvl w:val="0"/>
                <w:numId w:val="139"/>
              </w:numPr>
              <w:spacing w:before="10" w:after="10"/>
              <w:jc w:val="both"/>
            </w:pPr>
            <w:r>
              <w:rPr>
                <w:sz w:val="18"/>
                <w:szCs w:val="18"/>
              </w:rPr>
              <w:t>Exposición dialogada de la planificación integral del Estado y de la articulación del Plan de Desarrollo Económico y Social, el Plan Estratégico Institucional, el Programa de Operaciones Anual y el Presupuesto General del Estado.</w:t>
            </w:r>
          </w:p>
          <w:p w14:paraId="474F0B7C" w14:textId="77777777" w:rsidR="00990B14" w:rsidRDefault="00000000">
            <w:pPr>
              <w:numPr>
                <w:ilvl w:val="0"/>
                <w:numId w:val="139"/>
              </w:numPr>
              <w:spacing w:before="10" w:after="10"/>
              <w:jc w:val="both"/>
            </w:pPr>
            <w:r>
              <w:rPr>
                <w:sz w:val="18"/>
                <w:szCs w:val="18"/>
              </w:rPr>
              <w:t>Exposición dialogada de los sistemas de administración y control gubernamental de la Ley N.º 1178 y del modelo de gestión pública, con ejemplos de entidades bolivianas.</w:t>
            </w:r>
          </w:p>
          <w:p w14:paraId="3E785E73" w14:textId="77777777" w:rsidR="00990B14" w:rsidRDefault="00000000">
            <w:pPr>
              <w:numPr>
                <w:ilvl w:val="0"/>
                <w:numId w:val="139"/>
              </w:numPr>
              <w:spacing w:before="10" w:after="10"/>
              <w:jc w:val="both"/>
            </w:pPr>
            <w:r>
              <w:rPr>
                <w:sz w:val="18"/>
                <w:szCs w:val="18"/>
              </w:rPr>
              <w:t>Análisis de casos de responsabilidad por la función pública emitidos por la Contraloría General del Estado, identificando el tipo de responsabilidad, la sanción y la instancia que la aplica.</w:t>
            </w:r>
          </w:p>
          <w:p w14:paraId="2ACC49C8" w14:textId="77777777" w:rsidR="00990B14" w:rsidRDefault="00000000">
            <w:pPr>
              <w:numPr>
                <w:ilvl w:val="0"/>
                <w:numId w:val="139"/>
              </w:numPr>
              <w:spacing w:before="10" w:after="10"/>
              <w:jc w:val="both"/>
            </w:pPr>
            <w:r>
              <w:rPr>
                <w:sz w:val="18"/>
                <w:szCs w:val="18"/>
              </w:rPr>
              <w:t>Resolución guiada de la formulación presupuestaria con los clasificadores presupuestarios y la estructura programática, y de las modificaciones presupuestarias intrainstitucionales, interinstitucionales y adicionales.</w:t>
            </w:r>
          </w:p>
          <w:p w14:paraId="7A3735A0" w14:textId="77777777" w:rsidR="00990B14" w:rsidRDefault="00000000">
            <w:pPr>
              <w:numPr>
                <w:ilvl w:val="0"/>
                <w:numId w:val="139"/>
              </w:numPr>
              <w:spacing w:before="10" w:after="10"/>
              <w:jc w:val="both"/>
            </w:pPr>
            <w:r>
              <w:rPr>
                <w:sz w:val="18"/>
                <w:szCs w:val="18"/>
              </w:rPr>
              <w:t>Demostración del registro de los hechos administrativos, presupuestarios, económicos y financieros en los momentos presupuestarios, contables y de tesorería, en un caso simulado del Sistema de Gestión Pública.</w:t>
            </w:r>
          </w:p>
          <w:p w14:paraId="33112F44" w14:textId="77777777" w:rsidR="00990B14" w:rsidRDefault="00000000">
            <w:pPr>
              <w:numPr>
                <w:ilvl w:val="0"/>
                <w:numId w:val="139"/>
              </w:numPr>
              <w:spacing w:before="10" w:after="10"/>
              <w:jc w:val="both"/>
            </w:pPr>
            <w:r>
              <w:rPr>
                <w:sz w:val="18"/>
                <w:szCs w:val="18"/>
              </w:rPr>
              <w:t>Resolución guiada de la elaboración de los estados financieros básicos, la información complementaria y las notas, con análisis de consistencia de saldos.</w:t>
            </w:r>
          </w:p>
          <w:p w14:paraId="354F0C29" w14:textId="77777777" w:rsidR="00990B14" w:rsidRDefault="00000000">
            <w:pPr>
              <w:numPr>
                <w:ilvl w:val="0"/>
                <w:numId w:val="139"/>
              </w:numPr>
              <w:spacing w:before="10" w:after="10"/>
              <w:jc w:val="both"/>
            </w:pPr>
            <w:r>
              <w:rPr>
                <w:sz w:val="18"/>
                <w:szCs w:val="18"/>
              </w:rPr>
              <w:t>Exposición dialogada de las Normas Internacionales de Contabilidad del Sector Público (NICSP) y comparación con las normas de contabilidad integrada y las normas locales, con ejemplos de la base de efectivo y la base de devengado.</w:t>
            </w:r>
          </w:p>
          <w:p w14:paraId="34924D2C" w14:textId="77777777" w:rsidR="00990B14" w:rsidRDefault="00000000">
            <w:pPr>
              <w:numPr>
                <w:ilvl w:val="0"/>
                <w:numId w:val="139"/>
              </w:numPr>
              <w:spacing w:before="10" w:after="10"/>
              <w:jc w:val="both"/>
            </w:pPr>
            <w:r>
              <w:rPr>
                <w:sz w:val="18"/>
                <w:szCs w:val="18"/>
              </w:rPr>
              <w:t>Preguntas de comprensión sobre la relación entre la ejecución presupuestaria y los estados financieros, al cierre de cada tema.</w:t>
            </w:r>
          </w:p>
        </w:tc>
        <w:tc>
          <w:tcPr>
            <w:tcW w:w="1805" w:type="dxa"/>
            <w:shd w:val="clear" w:color="auto" w:fill="D9E2F3"/>
          </w:tcPr>
          <w:p w14:paraId="6BA76760" w14:textId="77777777" w:rsidR="00990B14" w:rsidRDefault="00000000">
            <w:pPr>
              <w:numPr>
                <w:ilvl w:val="0"/>
                <w:numId w:val="139"/>
              </w:numPr>
              <w:spacing w:before="10" w:after="10"/>
              <w:jc w:val="both"/>
            </w:pPr>
            <w:r>
              <w:rPr>
                <w:sz w:val="18"/>
                <w:szCs w:val="18"/>
              </w:rPr>
              <w:t>Lectura de la Constitución Política del Estado, la Ley N.º 1178, la Ley N.º 777, el régimen de responsabilidad por la función pública y las Normas Básicas de los Sistemas de Presupuesto, Contabilidad Integrada, Tesorería y Crédito Público, como preparación de cada tema.</w:t>
            </w:r>
          </w:p>
          <w:p w14:paraId="1035B847" w14:textId="77777777" w:rsidR="00990B14" w:rsidRDefault="00000000">
            <w:pPr>
              <w:numPr>
                <w:ilvl w:val="0"/>
                <w:numId w:val="139"/>
              </w:numPr>
              <w:spacing w:before="10" w:after="10"/>
              <w:jc w:val="both"/>
            </w:pPr>
            <w:r>
              <w:rPr>
                <w:sz w:val="18"/>
                <w:szCs w:val="18"/>
              </w:rPr>
              <w:t>Elaboración de esquemas y cuadros comparativos de la estructura del Estado, la articulación de los planes, los sistemas de administración y control gubernamental y los tipos de responsabilidad por la función pública.</w:t>
            </w:r>
          </w:p>
          <w:p w14:paraId="77EB2C91" w14:textId="77777777" w:rsidR="00990B14" w:rsidRDefault="00000000">
            <w:pPr>
              <w:numPr>
                <w:ilvl w:val="0"/>
                <w:numId w:val="139"/>
              </w:numPr>
              <w:spacing w:before="10" w:after="10"/>
              <w:jc w:val="both"/>
            </w:pPr>
            <w:r>
              <w:rPr>
                <w:sz w:val="18"/>
                <w:szCs w:val="18"/>
              </w:rPr>
              <w:t>Resolución de ejercicios de formulación presupuestaria, memorias de cálculo y modificaciones presupuestarias al cierre de cada tema.</w:t>
            </w:r>
          </w:p>
          <w:p w14:paraId="1419C066" w14:textId="77777777" w:rsidR="00990B14" w:rsidRDefault="00000000">
            <w:pPr>
              <w:numPr>
                <w:ilvl w:val="0"/>
                <w:numId w:val="139"/>
              </w:numPr>
              <w:spacing w:before="10" w:after="10"/>
              <w:jc w:val="both"/>
            </w:pPr>
            <w:r>
              <w:rPr>
                <w:sz w:val="18"/>
                <w:szCs w:val="18"/>
              </w:rPr>
              <w:t>Registro de comprobantes presupuestarios y contables de ejercicios de práctica, con su respaldo documental.</w:t>
            </w:r>
          </w:p>
          <w:p w14:paraId="3AF6B723" w14:textId="77777777" w:rsidR="00990B14" w:rsidRDefault="00000000">
            <w:pPr>
              <w:numPr>
                <w:ilvl w:val="0"/>
                <w:numId w:val="139"/>
              </w:numPr>
              <w:spacing w:before="10" w:after="10"/>
              <w:jc w:val="both"/>
            </w:pPr>
            <w:r>
              <w:rPr>
                <w:sz w:val="18"/>
                <w:szCs w:val="18"/>
              </w:rPr>
              <w:t>Desarrollo progresivo de un caso práctico integral de una entidad pública, desde la formulación del presupuesto hasta los estados financieros y sus notas.</w:t>
            </w:r>
          </w:p>
          <w:p w14:paraId="25DC8864" w14:textId="77777777" w:rsidR="00990B14" w:rsidRDefault="00000000">
            <w:pPr>
              <w:numPr>
                <w:ilvl w:val="0"/>
                <w:numId w:val="139"/>
              </w:numPr>
              <w:spacing w:before="10" w:after="10"/>
              <w:jc w:val="both"/>
            </w:pPr>
            <w:r>
              <w:rPr>
                <w:sz w:val="18"/>
                <w:szCs w:val="18"/>
              </w:rPr>
              <w:t>Cálculo de la ejecución presupuestaria, análisis de consistencia e indicadores de los estados financieros en hoja de cálculo.</w:t>
            </w:r>
          </w:p>
          <w:p w14:paraId="18693388" w14:textId="77777777" w:rsidR="00990B14" w:rsidRDefault="00000000">
            <w:pPr>
              <w:numPr>
                <w:ilvl w:val="0"/>
                <w:numId w:val="139"/>
              </w:numPr>
              <w:spacing w:before="10" w:after="10"/>
              <w:jc w:val="both"/>
            </w:pPr>
            <w:r>
              <w:rPr>
                <w:sz w:val="18"/>
                <w:szCs w:val="18"/>
              </w:rPr>
              <w:t>Lectura de las NICSP 1 y 24 y elaboración de un cuadro comparativo con las normas de contabilidad integrada.</w:t>
            </w:r>
          </w:p>
          <w:p w14:paraId="16EA9BA9" w14:textId="77777777" w:rsidR="00990B14" w:rsidRDefault="00000000">
            <w:pPr>
              <w:numPr>
                <w:ilvl w:val="0"/>
                <w:numId w:val="139"/>
              </w:numPr>
              <w:spacing w:before="10" w:after="10"/>
              <w:jc w:val="both"/>
            </w:pPr>
            <w:r>
              <w:rPr>
                <w:sz w:val="18"/>
                <w:szCs w:val="18"/>
              </w:rPr>
              <w:t>Uso de herramientas de inteligencia artificial generativa para organizar la normativa, con verificación de sus resultados en la fuente oficial y responsabilidad profesional sobre lo que se presenta.</w:t>
            </w:r>
          </w:p>
        </w:tc>
        <w:tc>
          <w:tcPr>
            <w:tcW w:w="1881" w:type="dxa"/>
            <w:shd w:val="clear" w:color="auto" w:fill="D9E2F3"/>
          </w:tcPr>
          <w:p w14:paraId="41625F29" w14:textId="77777777" w:rsidR="00990B14" w:rsidRDefault="00000000">
            <w:pPr>
              <w:numPr>
                <w:ilvl w:val="0"/>
                <w:numId w:val="139"/>
              </w:numPr>
              <w:spacing w:before="10" w:after="10"/>
              <w:jc w:val="both"/>
            </w:pPr>
            <w:r>
              <w:rPr>
                <w:sz w:val="18"/>
                <w:szCs w:val="18"/>
              </w:rPr>
              <w:t>Cuestionarios de comprensión de cada sistema de administración y control gubernamental en la plataforma Moodle UMSA.</w:t>
            </w:r>
          </w:p>
          <w:p w14:paraId="75E98DA5" w14:textId="77777777" w:rsidR="00990B14" w:rsidRDefault="00000000">
            <w:pPr>
              <w:numPr>
                <w:ilvl w:val="0"/>
                <w:numId w:val="139"/>
              </w:numPr>
              <w:spacing w:before="10" w:after="10"/>
              <w:jc w:val="both"/>
            </w:pPr>
            <w:r>
              <w:rPr>
                <w:sz w:val="18"/>
                <w:szCs w:val="18"/>
              </w:rPr>
              <w:t>Foros de consulta sobre los momentos de registro presupuestario y contable y sobre las modificaciones presupuestarias.</w:t>
            </w:r>
          </w:p>
          <w:p w14:paraId="1BEBE669" w14:textId="77777777" w:rsidR="00990B14" w:rsidRDefault="00000000">
            <w:pPr>
              <w:numPr>
                <w:ilvl w:val="0"/>
                <w:numId w:val="139"/>
              </w:numPr>
              <w:spacing w:before="10" w:after="10"/>
              <w:jc w:val="both"/>
            </w:pPr>
            <w:r>
              <w:rPr>
                <w:sz w:val="18"/>
                <w:szCs w:val="18"/>
              </w:rPr>
              <w:t>Foro de debate sobre transparencia, rendición de cuentas y control social, con respeto a la opinión ajena.</w:t>
            </w:r>
          </w:p>
          <w:p w14:paraId="43F2FA2C" w14:textId="77777777" w:rsidR="00990B14" w:rsidRDefault="00000000">
            <w:pPr>
              <w:numPr>
                <w:ilvl w:val="0"/>
                <w:numId w:val="139"/>
              </w:numPr>
              <w:spacing w:before="10" w:after="10"/>
              <w:jc w:val="both"/>
            </w:pPr>
            <w:r>
              <w:rPr>
                <w:sz w:val="18"/>
                <w:szCs w:val="18"/>
              </w:rPr>
              <w:t>Videotutoriales de formulación del presupuesto por programas, de los clasificadores presupuestarios y del registro en el Sistema de Gestión Pública.</w:t>
            </w:r>
          </w:p>
          <w:p w14:paraId="5B745462" w14:textId="77777777" w:rsidR="00990B14" w:rsidRDefault="00000000">
            <w:pPr>
              <w:numPr>
                <w:ilvl w:val="0"/>
                <w:numId w:val="139"/>
              </w:numPr>
              <w:spacing w:before="10" w:after="10"/>
              <w:jc w:val="both"/>
            </w:pPr>
            <w:r>
              <w:rPr>
                <w:sz w:val="18"/>
                <w:szCs w:val="18"/>
              </w:rPr>
              <w:t>Recorrido guiado de los módulos del Sistema de Gestión Pública y de las directrices presupuestarias vigentes.</w:t>
            </w:r>
          </w:p>
          <w:p w14:paraId="18D60ABF" w14:textId="77777777" w:rsidR="00990B14" w:rsidRDefault="00000000">
            <w:pPr>
              <w:numPr>
                <w:ilvl w:val="0"/>
                <w:numId w:val="139"/>
              </w:numPr>
              <w:spacing w:before="10" w:after="10"/>
              <w:jc w:val="both"/>
            </w:pPr>
            <w:r>
              <w:rPr>
                <w:sz w:val="18"/>
                <w:szCs w:val="18"/>
              </w:rPr>
              <w:t>Entrega de productos y retroalimentación continua en la plataforma.</w:t>
            </w:r>
          </w:p>
        </w:tc>
        <w:tc>
          <w:tcPr>
            <w:tcW w:w="1881" w:type="dxa"/>
            <w:shd w:val="clear" w:color="auto" w:fill="D9E2F3"/>
          </w:tcPr>
          <w:p w14:paraId="6666FE60" w14:textId="77777777" w:rsidR="00990B14" w:rsidRDefault="00000000">
            <w:pPr>
              <w:numPr>
                <w:ilvl w:val="0"/>
                <w:numId w:val="139"/>
              </w:numPr>
              <w:spacing w:before="10" w:after="10"/>
              <w:jc w:val="both"/>
            </w:pPr>
            <w:r>
              <w:rPr>
                <w:sz w:val="18"/>
                <w:szCs w:val="18"/>
              </w:rPr>
              <w:t>Resolución colaborativa de casos de formulación presupuestaria de recursos y gastos y de modificaciones presupuestarias, con informe y documentación de respaldo.</w:t>
            </w:r>
          </w:p>
          <w:p w14:paraId="1839A389" w14:textId="77777777" w:rsidR="00990B14" w:rsidRDefault="00000000">
            <w:pPr>
              <w:numPr>
                <w:ilvl w:val="0"/>
                <w:numId w:val="139"/>
              </w:numPr>
              <w:spacing w:before="10" w:after="10"/>
              <w:jc w:val="both"/>
            </w:pPr>
            <w:r>
              <w:rPr>
                <w:sz w:val="18"/>
                <w:szCs w:val="18"/>
              </w:rPr>
              <w:t>Análisis en equipo de la articulación del Plan Estratégico Institucional, el Programa de Operaciones Anual y el Presupuesto General del Estado de una entidad pública.</w:t>
            </w:r>
          </w:p>
          <w:p w14:paraId="76437F81" w14:textId="77777777" w:rsidR="00990B14" w:rsidRDefault="00000000">
            <w:pPr>
              <w:numPr>
                <w:ilvl w:val="0"/>
                <w:numId w:val="139"/>
              </w:numPr>
              <w:spacing w:before="10" w:after="10"/>
              <w:jc w:val="both"/>
            </w:pPr>
            <w:r>
              <w:rPr>
                <w:sz w:val="18"/>
                <w:szCs w:val="18"/>
              </w:rPr>
              <w:t>Determinación del tipo de responsabilidad por la función pública en un caso de la Contraloría General del Estado.</w:t>
            </w:r>
          </w:p>
          <w:p w14:paraId="167F75AC" w14:textId="77777777" w:rsidR="00990B14" w:rsidRDefault="00000000">
            <w:pPr>
              <w:numPr>
                <w:ilvl w:val="0"/>
                <w:numId w:val="139"/>
              </w:numPr>
              <w:spacing w:before="10" w:after="10"/>
              <w:jc w:val="both"/>
            </w:pPr>
            <w:r>
              <w:rPr>
                <w:sz w:val="18"/>
                <w:szCs w:val="18"/>
              </w:rPr>
              <w:t>Revisión cruzada de los momentos de registro presupuestario y contable entre equipos.</w:t>
            </w:r>
          </w:p>
          <w:p w14:paraId="32D1FA10" w14:textId="77777777" w:rsidR="00990B14" w:rsidRDefault="00000000">
            <w:pPr>
              <w:numPr>
                <w:ilvl w:val="0"/>
                <w:numId w:val="139"/>
              </w:numPr>
              <w:spacing w:before="10" w:after="10"/>
              <w:jc w:val="both"/>
            </w:pPr>
            <w:r>
              <w:rPr>
                <w:sz w:val="18"/>
                <w:szCs w:val="18"/>
              </w:rPr>
              <w:t>Elaboración guiada de los estados financieros básicos, la información complementaria y las notas de una entidad pública, con análisis de consistencia en hoja de cálculo.</w:t>
            </w:r>
          </w:p>
          <w:p w14:paraId="3C730297" w14:textId="77777777" w:rsidR="00990B14" w:rsidRDefault="00000000">
            <w:pPr>
              <w:numPr>
                <w:ilvl w:val="0"/>
                <w:numId w:val="139"/>
              </w:numPr>
              <w:spacing w:before="10" w:after="10"/>
              <w:jc w:val="both"/>
            </w:pPr>
            <w:r>
              <w:rPr>
                <w:sz w:val="18"/>
                <w:szCs w:val="18"/>
              </w:rPr>
              <w:t>Aplicación de las NICSP y comparación de la base de efectivo y la base de devengado en un caso práctico.</w:t>
            </w:r>
          </w:p>
          <w:p w14:paraId="23373F56" w14:textId="77777777" w:rsidR="00990B14" w:rsidRDefault="00000000">
            <w:pPr>
              <w:numPr>
                <w:ilvl w:val="0"/>
                <w:numId w:val="139"/>
              </w:numPr>
              <w:spacing w:before="10" w:after="10"/>
              <w:jc w:val="both"/>
            </w:pPr>
            <w:r>
              <w:rPr>
                <w:sz w:val="18"/>
                <w:szCs w:val="18"/>
              </w:rPr>
              <w:t>Debate de dilemas de ética profesional, transparencia y responsabilidad en la gestión de bienes públicos, con participación de todos los integrantes.</w:t>
            </w:r>
          </w:p>
        </w:tc>
        <w:tc>
          <w:tcPr>
            <w:tcW w:w="1881" w:type="dxa"/>
            <w:shd w:val="clear" w:color="auto" w:fill="D9E2F3"/>
          </w:tcPr>
          <w:p w14:paraId="19858FF9" w14:textId="77777777" w:rsidR="00990B14" w:rsidRDefault="00000000">
            <w:pPr>
              <w:numPr>
                <w:ilvl w:val="0"/>
                <w:numId w:val="139"/>
              </w:numPr>
              <w:spacing w:before="10" w:after="10"/>
              <w:jc w:val="both"/>
            </w:pPr>
            <w:r>
              <w:rPr>
                <w:sz w:val="18"/>
                <w:szCs w:val="18"/>
              </w:rPr>
              <w:t>Análisis de los presupuestos institucionales publicados por entidades públicas bolivianas.</w:t>
            </w:r>
          </w:p>
          <w:p w14:paraId="33F1131B" w14:textId="77777777" w:rsidR="00990B14" w:rsidRDefault="00000000">
            <w:pPr>
              <w:numPr>
                <w:ilvl w:val="0"/>
                <w:numId w:val="139"/>
              </w:numPr>
              <w:spacing w:before="10" w:after="10"/>
              <w:jc w:val="both"/>
            </w:pPr>
            <w:r>
              <w:rPr>
                <w:sz w:val="18"/>
                <w:szCs w:val="18"/>
              </w:rPr>
              <w:t>Revisión de directrices, clasificadores e instructivos del Ministerio de Economía y Finanzas Públicas.</w:t>
            </w:r>
          </w:p>
          <w:p w14:paraId="4276CFDF" w14:textId="77777777" w:rsidR="00990B14" w:rsidRDefault="00000000">
            <w:pPr>
              <w:numPr>
                <w:ilvl w:val="0"/>
                <w:numId w:val="139"/>
              </w:numPr>
              <w:spacing w:before="10" w:after="10"/>
              <w:jc w:val="both"/>
            </w:pPr>
            <w:r>
              <w:rPr>
                <w:sz w:val="18"/>
                <w:szCs w:val="18"/>
              </w:rPr>
              <w:t>Revisión del presupuesto y de la ejecución presupuestaria publicados por una entidad pública boliviana, con elaboración de su informe de gestión por resultados y rendición de cuentas.</w:t>
            </w:r>
          </w:p>
          <w:p w14:paraId="6311686A" w14:textId="77777777" w:rsidR="00990B14" w:rsidRDefault="00000000">
            <w:pPr>
              <w:numPr>
                <w:ilvl w:val="0"/>
                <w:numId w:val="139"/>
              </w:numPr>
              <w:spacing w:before="10" w:after="10"/>
              <w:jc w:val="both"/>
            </w:pPr>
            <w:r>
              <w:rPr>
                <w:sz w:val="18"/>
                <w:szCs w:val="18"/>
              </w:rPr>
              <w:t>Análisis de la gestión de personal y de la contratación de bienes y servicios de una entidad pública, y de su registro en la contabilidad integrada.</w:t>
            </w:r>
          </w:p>
          <w:p w14:paraId="2DDF9282" w14:textId="77777777" w:rsidR="00990B14" w:rsidRDefault="00000000">
            <w:pPr>
              <w:numPr>
                <w:ilvl w:val="0"/>
                <w:numId w:val="139"/>
              </w:numPr>
              <w:spacing w:before="10" w:after="10"/>
              <w:jc w:val="both"/>
            </w:pPr>
            <w:r>
              <w:rPr>
                <w:sz w:val="18"/>
                <w:szCs w:val="18"/>
              </w:rPr>
              <w:t>Comparación de los estados financieros de una entidad pública bajo normas locales y bajo las NICSP, con cálculo e interpretación de indicadores.</w:t>
            </w:r>
          </w:p>
          <w:p w14:paraId="7504638F" w14:textId="77777777" w:rsidR="00990B14" w:rsidRDefault="00000000">
            <w:pPr>
              <w:numPr>
                <w:ilvl w:val="0"/>
                <w:numId w:val="139"/>
              </w:numPr>
              <w:spacing w:before="10" w:after="10"/>
              <w:jc w:val="both"/>
            </w:pPr>
            <w:r>
              <w:rPr>
                <w:sz w:val="18"/>
                <w:szCs w:val="18"/>
              </w:rPr>
              <w:t>Difusión a organizaciones sociales o a la comunidad universitaria de los resultados del análisis del presupuesto y la rendición de cuentas de una entidad pública, en apoyo al control social (extensión universitaria).</w:t>
            </w:r>
          </w:p>
        </w:tc>
      </w:tr>
    </w:tbl>
    <w:p w14:paraId="0BA28FD1"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850"/>
        <w:gridCol w:w="1867"/>
        <w:gridCol w:w="1910"/>
        <w:gridCol w:w="1910"/>
        <w:gridCol w:w="1868"/>
      </w:tblGrid>
      <w:tr w:rsidR="00990B14" w14:paraId="04BDCCD4" w14:textId="77777777">
        <w:trPr>
          <w:jc w:val="center"/>
        </w:trPr>
        <w:tc>
          <w:tcPr>
            <w:tcW w:w="1850" w:type="dxa"/>
            <w:shd w:val="clear" w:color="auto" w:fill="4472C4"/>
            <w:vAlign w:val="center"/>
          </w:tcPr>
          <w:p w14:paraId="7673EAD6" w14:textId="77777777" w:rsidR="00990B14" w:rsidRDefault="00000000">
            <w:pPr>
              <w:spacing w:before="20" w:after="20"/>
              <w:jc w:val="center"/>
            </w:pPr>
            <w:r>
              <w:rPr>
                <w:b/>
                <w:bCs/>
                <w:i/>
                <w:iCs/>
                <w:color w:val="FFFFFF"/>
                <w:sz w:val="18"/>
                <w:szCs w:val="18"/>
              </w:rPr>
              <w:t>Estrategias de aprendizaje y enseñanza</w:t>
            </w:r>
          </w:p>
        </w:tc>
        <w:tc>
          <w:tcPr>
            <w:tcW w:w="7555" w:type="dxa"/>
            <w:gridSpan w:val="4"/>
            <w:shd w:val="clear" w:color="auto" w:fill="D9E2F3"/>
            <w:vAlign w:val="center"/>
          </w:tcPr>
          <w:p w14:paraId="5805107F" w14:textId="77777777" w:rsidR="00990B14" w:rsidRDefault="00000000">
            <w:pPr>
              <w:numPr>
                <w:ilvl w:val="0"/>
                <w:numId w:val="140"/>
              </w:numPr>
              <w:spacing w:before="10" w:after="10"/>
              <w:jc w:val="both"/>
            </w:pPr>
            <w:r>
              <w:rPr>
                <w:sz w:val="18"/>
                <w:szCs w:val="18"/>
              </w:rPr>
              <w:t>Aprendizaje basado en problemas con casos de entidades públicas bolivianas, desde la planificación hasta los estados financieros y su interpretación.</w:t>
            </w:r>
          </w:p>
          <w:p w14:paraId="5556C29C" w14:textId="77777777" w:rsidR="00990B14" w:rsidRDefault="00000000">
            <w:pPr>
              <w:numPr>
                <w:ilvl w:val="0"/>
                <w:numId w:val="140"/>
              </w:numPr>
              <w:spacing w:before="10" w:after="10"/>
              <w:jc w:val="both"/>
            </w:pPr>
            <w:r>
              <w:rPr>
                <w:sz w:val="18"/>
                <w:szCs w:val="18"/>
              </w:rPr>
              <w:t>Clase invertida para los contenidos introductorios y normativos de cada tema, con lectura previa de la norma y cuestionario en Moodle UMSA.</w:t>
            </w:r>
          </w:p>
          <w:p w14:paraId="7C74B8C7" w14:textId="77777777" w:rsidR="00990B14" w:rsidRDefault="00000000">
            <w:pPr>
              <w:numPr>
                <w:ilvl w:val="0"/>
                <w:numId w:val="140"/>
              </w:numPr>
              <w:spacing w:before="10" w:after="10"/>
              <w:jc w:val="both"/>
            </w:pPr>
            <w:r>
              <w:rPr>
                <w:sz w:val="18"/>
                <w:szCs w:val="18"/>
              </w:rPr>
              <w:t>Exposición dialogada con apoyo de esquemas y cuadros de articulación de los planes, los sistemas y los clasificadores presupuestarios.</w:t>
            </w:r>
          </w:p>
          <w:p w14:paraId="24E1AFE4" w14:textId="77777777" w:rsidR="00990B14" w:rsidRDefault="00000000">
            <w:pPr>
              <w:numPr>
                <w:ilvl w:val="0"/>
                <w:numId w:val="140"/>
              </w:numPr>
              <w:spacing w:before="10" w:after="10"/>
              <w:jc w:val="both"/>
            </w:pPr>
            <w:r>
              <w:rPr>
                <w:sz w:val="18"/>
                <w:szCs w:val="18"/>
              </w:rPr>
              <w:t>Resolución guiada de ejercicios en orden de dificultad creciente: formulación, modificaciones, registro de los momentos contables y estados financieros.</w:t>
            </w:r>
          </w:p>
          <w:p w14:paraId="01259294" w14:textId="77777777" w:rsidR="00990B14" w:rsidRDefault="00000000">
            <w:pPr>
              <w:numPr>
                <w:ilvl w:val="0"/>
                <w:numId w:val="140"/>
              </w:numPr>
              <w:spacing w:before="10" w:after="10"/>
              <w:jc w:val="both"/>
            </w:pPr>
            <w:r>
              <w:rPr>
                <w:sz w:val="18"/>
                <w:szCs w:val="18"/>
              </w:rPr>
              <w:t>Caso práctico integral desde la formulación del presupuesto hasta los estados financieros de una entidad pública.</w:t>
            </w:r>
          </w:p>
          <w:p w14:paraId="1974D597" w14:textId="77777777" w:rsidR="00990B14" w:rsidRDefault="00000000">
            <w:pPr>
              <w:numPr>
                <w:ilvl w:val="0"/>
                <w:numId w:val="140"/>
              </w:numPr>
              <w:spacing w:before="10" w:after="10"/>
              <w:jc w:val="both"/>
            </w:pPr>
            <w:r>
              <w:rPr>
                <w:sz w:val="18"/>
                <w:szCs w:val="18"/>
              </w:rPr>
              <w:t>Estudio de casos de entidades públicas reales y de casos de responsabilidad por la función pública de la Contraloría General del Estado.</w:t>
            </w:r>
          </w:p>
          <w:p w14:paraId="3232C093" w14:textId="77777777" w:rsidR="00990B14" w:rsidRDefault="00000000">
            <w:pPr>
              <w:numPr>
                <w:ilvl w:val="0"/>
                <w:numId w:val="140"/>
              </w:numPr>
              <w:spacing w:before="10" w:after="10"/>
              <w:jc w:val="both"/>
            </w:pPr>
            <w:r>
              <w:rPr>
                <w:sz w:val="18"/>
                <w:szCs w:val="18"/>
              </w:rPr>
              <w:t>Trabajo colaborativo en equipos de análisis y resolución de casos normativos, con roles definidos y revisión entre pares.</w:t>
            </w:r>
          </w:p>
          <w:p w14:paraId="601287A7" w14:textId="77777777" w:rsidR="00990B14" w:rsidRDefault="00000000">
            <w:pPr>
              <w:numPr>
                <w:ilvl w:val="0"/>
                <w:numId w:val="140"/>
              </w:numPr>
              <w:spacing w:before="10" w:after="10"/>
              <w:jc w:val="both"/>
            </w:pPr>
            <w:r>
              <w:rPr>
                <w:sz w:val="18"/>
                <w:szCs w:val="18"/>
              </w:rPr>
              <w:t>Práctica con tecnología: registro en el Sistema de Gestión Pública y hoja de cálculo para la ejecución presupuestaria y el análisis de consistencia, con verificación de los resultados de la inteligencia artificial en la fuente oficial.</w:t>
            </w:r>
          </w:p>
          <w:p w14:paraId="41EAF55C" w14:textId="77777777" w:rsidR="00990B14" w:rsidRDefault="00000000">
            <w:pPr>
              <w:numPr>
                <w:ilvl w:val="0"/>
                <w:numId w:val="140"/>
              </w:numPr>
              <w:spacing w:before="10" w:after="10"/>
              <w:jc w:val="both"/>
            </w:pPr>
            <w:r>
              <w:rPr>
                <w:sz w:val="18"/>
                <w:szCs w:val="18"/>
              </w:rPr>
              <w:t>Análisis crítico de la ejecución presupuestaria de una entidad pública antes de emitir una conclusión sobre su gestión.</w:t>
            </w:r>
          </w:p>
          <w:p w14:paraId="6DD3AAED" w14:textId="77777777" w:rsidR="00990B14" w:rsidRDefault="00000000">
            <w:pPr>
              <w:numPr>
                <w:ilvl w:val="0"/>
                <w:numId w:val="140"/>
              </w:numPr>
              <w:spacing w:before="10" w:after="10"/>
              <w:jc w:val="both"/>
            </w:pPr>
            <w:r>
              <w:rPr>
                <w:sz w:val="18"/>
                <w:szCs w:val="18"/>
              </w:rPr>
              <w:t>Debate dirigido sobre ética profesional, transparencia, rendición de cuentas y control social.</w:t>
            </w:r>
          </w:p>
          <w:p w14:paraId="6C514480" w14:textId="77777777" w:rsidR="00990B14" w:rsidRDefault="00000000">
            <w:pPr>
              <w:numPr>
                <w:ilvl w:val="0"/>
                <w:numId w:val="140"/>
              </w:numPr>
              <w:spacing w:before="10" w:after="10"/>
              <w:jc w:val="both"/>
            </w:pPr>
            <w:r>
              <w:rPr>
                <w:sz w:val="18"/>
                <w:szCs w:val="18"/>
              </w:rPr>
              <w:t>Vinculación con la comunidad: difusión de resultados del análisis de entidades públicas (extensión universitaria).</w:t>
            </w:r>
          </w:p>
        </w:tc>
      </w:tr>
      <w:tr w:rsidR="00990B14" w14:paraId="207CF9F3" w14:textId="77777777">
        <w:trPr>
          <w:jc w:val="center"/>
        </w:trPr>
        <w:tc>
          <w:tcPr>
            <w:tcW w:w="1850" w:type="dxa"/>
            <w:shd w:val="clear" w:color="auto" w:fill="4472C4"/>
            <w:vAlign w:val="center"/>
          </w:tcPr>
          <w:p w14:paraId="00678AE8" w14:textId="77777777" w:rsidR="00990B14" w:rsidRDefault="00000000">
            <w:pPr>
              <w:spacing w:before="20" w:after="20"/>
              <w:jc w:val="center"/>
            </w:pPr>
            <w:r>
              <w:rPr>
                <w:b/>
                <w:bCs/>
                <w:i/>
                <w:iCs/>
                <w:color w:val="FFFFFF"/>
                <w:sz w:val="18"/>
                <w:szCs w:val="18"/>
              </w:rPr>
              <w:t>Recursos para el aprendizaje</w:t>
            </w:r>
          </w:p>
        </w:tc>
        <w:tc>
          <w:tcPr>
            <w:tcW w:w="7555" w:type="dxa"/>
            <w:gridSpan w:val="4"/>
            <w:shd w:val="clear" w:color="auto" w:fill="D9E2F3"/>
            <w:vAlign w:val="center"/>
          </w:tcPr>
          <w:p w14:paraId="1F488800" w14:textId="77777777" w:rsidR="00990B14" w:rsidRDefault="00000000">
            <w:pPr>
              <w:numPr>
                <w:ilvl w:val="0"/>
                <w:numId w:val="140"/>
              </w:numPr>
              <w:spacing w:before="10" w:after="10"/>
              <w:jc w:val="both"/>
            </w:pPr>
            <w:r>
              <w:rPr>
                <w:sz w:val="18"/>
                <w:szCs w:val="18"/>
              </w:rPr>
              <w:t>Plataforma Moodle UMSA.</w:t>
            </w:r>
          </w:p>
          <w:p w14:paraId="3C9637CD" w14:textId="77777777" w:rsidR="00990B14" w:rsidRDefault="00000000">
            <w:pPr>
              <w:numPr>
                <w:ilvl w:val="0"/>
                <w:numId w:val="140"/>
              </w:numPr>
              <w:spacing w:before="10" w:after="10"/>
              <w:jc w:val="both"/>
            </w:pPr>
            <w:r>
              <w:rPr>
                <w:sz w:val="18"/>
                <w:szCs w:val="18"/>
              </w:rPr>
              <w:t>Constitución Política del Estado, Ley N.º 1178, Ley N.º 777, Ley N.º 2042, Ley N.º 004, Decreto Supremo N.º 23318-A y Ley del Presupuesto General del Estado vigente.</w:t>
            </w:r>
          </w:p>
          <w:p w14:paraId="69E7867E" w14:textId="77777777" w:rsidR="00990B14" w:rsidRDefault="00000000">
            <w:pPr>
              <w:numPr>
                <w:ilvl w:val="0"/>
                <w:numId w:val="140"/>
              </w:numPr>
              <w:spacing w:before="10" w:after="10"/>
              <w:jc w:val="both"/>
            </w:pPr>
            <w:r>
              <w:rPr>
                <w:sz w:val="18"/>
                <w:szCs w:val="18"/>
              </w:rPr>
              <w:t>Normas Básicas de los Sistemas de Presupuesto, Contabilidad Integrada, Tesorería y Crédito Público, y Manual de contabilidad del sector público.</w:t>
            </w:r>
          </w:p>
          <w:p w14:paraId="721F7380" w14:textId="77777777" w:rsidR="00990B14" w:rsidRDefault="00000000">
            <w:pPr>
              <w:numPr>
                <w:ilvl w:val="0"/>
                <w:numId w:val="140"/>
              </w:numPr>
              <w:spacing w:before="10" w:after="10"/>
              <w:jc w:val="both"/>
            </w:pPr>
            <w:r>
              <w:rPr>
                <w:sz w:val="18"/>
                <w:szCs w:val="18"/>
              </w:rPr>
              <w:t>Plan Único de Cuentas, directrices de formulación presupuestaria y clasificadores presupuestarios del Ministerio de Economía y Finanzas Públicas.</w:t>
            </w:r>
          </w:p>
          <w:p w14:paraId="3B9EECA3" w14:textId="77777777" w:rsidR="00990B14" w:rsidRDefault="00000000">
            <w:pPr>
              <w:numPr>
                <w:ilvl w:val="0"/>
                <w:numId w:val="140"/>
              </w:numPr>
              <w:spacing w:before="10" w:after="10"/>
              <w:jc w:val="both"/>
            </w:pPr>
            <w:r>
              <w:rPr>
                <w:sz w:val="18"/>
                <w:szCs w:val="18"/>
              </w:rPr>
              <w:t>Sistema de Gestión Pública y sus guías operativas, en caso simulado.</w:t>
            </w:r>
          </w:p>
          <w:p w14:paraId="5AE8FBDC" w14:textId="77777777" w:rsidR="00990B14" w:rsidRDefault="00000000">
            <w:pPr>
              <w:numPr>
                <w:ilvl w:val="0"/>
                <w:numId w:val="140"/>
              </w:numPr>
              <w:spacing w:before="10" w:after="10"/>
              <w:jc w:val="both"/>
            </w:pPr>
            <w:r>
              <w:rPr>
                <w:sz w:val="18"/>
                <w:szCs w:val="18"/>
              </w:rPr>
              <w:t>Normas Internacionales de Contabilidad del Sector Público y Compendio de Normas de Contabilidad y Auditoría del CAUB.</w:t>
            </w:r>
          </w:p>
          <w:p w14:paraId="37130E2D" w14:textId="77777777" w:rsidR="00990B14" w:rsidRDefault="00000000">
            <w:pPr>
              <w:numPr>
                <w:ilvl w:val="0"/>
                <w:numId w:val="140"/>
              </w:numPr>
              <w:spacing w:before="10" w:after="10"/>
              <w:jc w:val="both"/>
            </w:pPr>
            <w:r>
              <w:rPr>
                <w:sz w:val="18"/>
                <w:szCs w:val="18"/>
              </w:rPr>
              <w:t>Portales oficiales del Ministerio de Economía y Finanzas Públicas, del Ministerio de Planificación del Desarrollo y de la Contraloría General del Estado, con presupuestos, ejecuciones, estados financieros e informes publicados.</w:t>
            </w:r>
          </w:p>
          <w:p w14:paraId="7113935C" w14:textId="77777777" w:rsidR="00990B14" w:rsidRDefault="00000000">
            <w:pPr>
              <w:numPr>
                <w:ilvl w:val="0"/>
                <w:numId w:val="140"/>
              </w:numPr>
              <w:spacing w:before="10" w:after="10"/>
              <w:jc w:val="both"/>
            </w:pPr>
            <w:r>
              <w:rPr>
                <w:sz w:val="18"/>
                <w:szCs w:val="18"/>
              </w:rPr>
              <w:t>Hoja de cálculo para formulación, ejecución, consistencia e indicadores.</w:t>
            </w:r>
          </w:p>
          <w:p w14:paraId="17092769" w14:textId="77777777" w:rsidR="00990B14" w:rsidRDefault="00000000">
            <w:pPr>
              <w:numPr>
                <w:ilvl w:val="0"/>
                <w:numId w:val="140"/>
              </w:numPr>
              <w:spacing w:before="10" w:after="10"/>
              <w:jc w:val="both"/>
            </w:pPr>
            <w:r>
              <w:rPr>
                <w:sz w:val="18"/>
                <w:szCs w:val="18"/>
              </w:rPr>
              <w:t>Guías de ejercicios y casos elaborados por la cátedra.</w:t>
            </w:r>
          </w:p>
          <w:p w14:paraId="5539ABB4" w14:textId="77777777" w:rsidR="00990B14" w:rsidRDefault="00000000">
            <w:pPr>
              <w:numPr>
                <w:ilvl w:val="0"/>
                <w:numId w:val="140"/>
              </w:numPr>
              <w:spacing w:before="10" w:after="10"/>
              <w:jc w:val="both"/>
            </w:pPr>
            <w:r>
              <w:rPr>
                <w:sz w:val="18"/>
                <w:szCs w:val="18"/>
              </w:rPr>
              <w:t>Seguimiento y análisis de la ejecución presupuestaria.</w:t>
            </w:r>
          </w:p>
        </w:tc>
      </w:tr>
      <w:tr w:rsidR="00990B14" w14:paraId="732A74FC" w14:textId="77777777">
        <w:trPr>
          <w:jc w:val="center"/>
        </w:trPr>
        <w:tc>
          <w:tcPr>
            <w:tcW w:w="1850" w:type="dxa"/>
            <w:shd w:val="clear" w:color="auto" w:fill="4472C4"/>
            <w:vAlign w:val="center"/>
          </w:tcPr>
          <w:p w14:paraId="758DA5C8" w14:textId="77777777" w:rsidR="00990B14" w:rsidRDefault="00000000">
            <w:pPr>
              <w:spacing w:before="20" w:after="20"/>
              <w:jc w:val="center"/>
            </w:pPr>
            <w:r>
              <w:rPr>
                <w:b/>
                <w:bCs/>
                <w:i/>
                <w:iCs/>
                <w:color w:val="FFFFFF"/>
                <w:sz w:val="18"/>
                <w:szCs w:val="18"/>
              </w:rPr>
              <w:t>Estrategias de evaluación</w:t>
            </w:r>
          </w:p>
        </w:tc>
        <w:tc>
          <w:tcPr>
            <w:tcW w:w="7555" w:type="dxa"/>
            <w:gridSpan w:val="4"/>
            <w:shd w:val="clear" w:color="auto" w:fill="D9E2F3"/>
            <w:vAlign w:val="center"/>
          </w:tcPr>
          <w:p w14:paraId="561DE6EF" w14:textId="77777777" w:rsidR="00990B14" w:rsidRDefault="00000000">
            <w:pPr>
              <w:numPr>
                <w:ilvl w:val="0"/>
                <w:numId w:val="140"/>
              </w:numPr>
              <w:spacing w:before="10" w:after="10"/>
              <w:jc w:val="both"/>
            </w:pPr>
            <w:r>
              <w:rPr>
                <w:sz w:val="18"/>
                <w:szCs w:val="18"/>
              </w:rPr>
              <w:t>Evaluación diagnóstica: prueba inicial sobre los conocimientos previos de contabilidad intermedia, contabilidad de sociedades y contabilidad de tributos, y sobre nociones de organización del Estado y gestión presupuestaria, al inicio de la asignatura y de cada elemento de competencia.</w:t>
            </w:r>
          </w:p>
          <w:p w14:paraId="543153A3" w14:textId="77777777" w:rsidR="00990B14" w:rsidRDefault="00000000">
            <w:pPr>
              <w:numPr>
                <w:ilvl w:val="0"/>
                <w:numId w:val="140"/>
              </w:numPr>
              <w:spacing w:before="10" w:after="10"/>
              <w:jc w:val="both"/>
            </w:pPr>
            <w:r>
              <w:rPr>
                <w:sz w:val="18"/>
                <w:szCs w:val="18"/>
              </w:rPr>
              <w:t>Evaluación formativa: preguntas de comprensión, cuestionarios en Moodle UMSA y ejercicios prácticos de formulación, modificaciones, comprobantes y estados financieros, con retroalimentación continua, revisión entre pares, autoevaluación y seguimiento del caso práctico integral.</w:t>
            </w:r>
          </w:p>
          <w:p w14:paraId="036274E0" w14:textId="77777777" w:rsidR="00990B14" w:rsidRDefault="00000000">
            <w:pPr>
              <w:numPr>
                <w:ilvl w:val="0"/>
                <w:numId w:val="140"/>
              </w:numPr>
              <w:spacing w:before="10" w:after="10"/>
              <w:jc w:val="both"/>
            </w:pPr>
            <w:r>
              <w:rPr>
                <w:sz w:val="18"/>
                <w:szCs w:val="18"/>
              </w:rPr>
              <w:t>Evaluación sumativa: controles de lectura de las normas, evaluación de casos prácticos, trabajos de investigación y desarrollo, sustentación de los 24 productos con sus rúbricas, exámenes parciales por elemento de competencia y examen final integrador.</w:t>
            </w:r>
          </w:p>
        </w:tc>
      </w:tr>
      <w:tr w:rsidR="00990B14" w14:paraId="7EAE1360" w14:textId="77777777">
        <w:trPr>
          <w:jc w:val="center"/>
        </w:trPr>
        <w:tc>
          <w:tcPr>
            <w:tcW w:w="1850" w:type="dxa"/>
            <w:shd w:val="clear" w:color="auto" w:fill="4472C4"/>
            <w:vAlign w:val="center"/>
          </w:tcPr>
          <w:p w14:paraId="3ED6EFEB" w14:textId="77777777" w:rsidR="00990B14" w:rsidRDefault="00000000">
            <w:pPr>
              <w:spacing w:before="20" w:after="20"/>
              <w:jc w:val="center"/>
            </w:pPr>
            <w:r>
              <w:rPr>
                <w:b/>
                <w:bCs/>
                <w:i/>
                <w:iCs/>
                <w:color w:val="FFFFFF"/>
                <w:sz w:val="18"/>
                <w:szCs w:val="18"/>
              </w:rPr>
              <w:t>Criterios de calificación</w:t>
            </w:r>
          </w:p>
        </w:tc>
        <w:tc>
          <w:tcPr>
            <w:tcW w:w="7555" w:type="dxa"/>
            <w:gridSpan w:val="4"/>
            <w:shd w:val="clear" w:color="auto" w:fill="D9E2F3"/>
            <w:vAlign w:val="center"/>
          </w:tcPr>
          <w:p w14:paraId="56BED453" w14:textId="77777777" w:rsidR="00990B14" w:rsidRDefault="00000000">
            <w:pPr>
              <w:numPr>
                <w:ilvl w:val="0"/>
                <w:numId w:val="140"/>
              </w:numPr>
              <w:spacing w:before="10" w:after="10"/>
              <w:jc w:val="both"/>
            </w:pPr>
            <w:r>
              <w:rPr>
                <w:sz w:val="18"/>
                <w:szCs w:val="18"/>
              </w:rPr>
              <w:t>Nota mínima de aprobación: 51/100.</w:t>
            </w:r>
          </w:p>
          <w:p w14:paraId="71E458B4" w14:textId="77777777" w:rsidR="00990B14" w:rsidRDefault="00000000">
            <w:pPr>
              <w:numPr>
                <w:ilvl w:val="0"/>
                <w:numId w:val="140"/>
              </w:numPr>
              <w:spacing w:before="10" w:after="10"/>
              <w:jc w:val="both"/>
            </w:pPr>
            <w:r>
              <w:rPr>
                <w:sz w:val="18"/>
                <w:szCs w:val="18"/>
              </w:rPr>
              <w:t>Evaluación periódica al finalizar cada tema, basada en evidencias de conocimiento, desempeño y producto.</w:t>
            </w:r>
          </w:p>
          <w:p w14:paraId="602BE873" w14:textId="77777777" w:rsidR="00990B14" w:rsidRDefault="00000000">
            <w:pPr>
              <w:numPr>
                <w:ilvl w:val="0"/>
                <w:numId w:val="140"/>
              </w:numPr>
              <w:spacing w:before="10" w:after="10"/>
              <w:jc w:val="both"/>
            </w:pPr>
            <w:r>
              <w:rPr>
                <w:sz w:val="18"/>
                <w:szCs w:val="18"/>
              </w:rPr>
              <w:t>Calificación por productos: cada uno de los 24 productos se evalúa con su propia rúbrica de tres criterios y tres niveles: Insuficiente (1–50), Suficiente (51–80) y Destacado (81–100).</w:t>
            </w:r>
          </w:p>
          <w:p w14:paraId="0F8175BF" w14:textId="77777777" w:rsidR="00990B14" w:rsidRDefault="00000000">
            <w:pPr>
              <w:numPr>
                <w:ilvl w:val="0"/>
                <w:numId w:val="140"/>
              </w:numPr>
              <w:spacing w:before="10" w:after="10"/>
              <w:jc w:val="both"/>
            </w:pPr>
            <w:r>
              <w:rPr>
                <w:sz w:val="18"/>
                <w:szCs w:val="18"/>
              </w:rPr>
              <w:t>La nota de cada producto se pondera con su porcentaje; la suma de los 24 productos es 100 %.</w:t>
            </w:r>
          </w:p>
          <w:p w14:paraId="748EDE6D" w14:textId="77777777" w:rsidR="00990B14" w:rsidRDefault="00000000">
            <w:pPr>
              <w:numPr>
                <w:ilvl w:val="0"/>
                <w:numId w:val="140"/>
              </w:numPr>
              <w:spacing w:before="10" w:after="10"/>
              <w:jc w:val="both"/>
            </w:pPr>
            <w:r>
              <w:rPr>
                <w:sz w:val="18"/>
                <w:szCs w:val="18"/>
              </w:rPr>
              <w:t>La calificación de cada elemento de competencia suma las calificaciones de sus productos: elemento 1, 8 %; elemento 2, 14 %; elemento 3, 9 %; elemento 4, 23 %; elemento 5, 27 %; elemento 6, 19 %.</w:t>
            </w:r>
          </w:p>
          <w:p w14:paraId="27F7E4B9" w14:textId="77777777" w:rsidR="00990B14" w:rsidRDefault="00000000">
            <w:pPr>
              <w:numPr>
                <w:ilvl w:val="0"/>
                <w:numId w:val="140"/>
              </w:numPr>
              <w:spacing w:before="10" w:after="10"/>
              <w:jc w:val="both"/>
            </w:pPr>
            <w:r>
              <w:rPr>
                <w:sz w:val="18"/>
                <w:szCs w:val="18"/>
              </w:rPr>
              <w:t>Los controles de lectura, los exámenes parciales y el examen final se califican con las rúbricas de los productos que sustentan, sin porcentajes adicionales.</w:t>
            </w:r>
          </w:p>
          <w:p w14:paraId="6C0E610D" w14:textId="77777777" w:rsidR="00990B14" w:rsidRDefault="00000000">
            <w:pPr>
              <w:numPr>
                <w:ilvl w:val="0"/>
                <w:numId w:val="140"/>
              </w:numPr>
              <w:spacing w:before="10" w:after="10"/>
              <w:jc w:val="both"/>
            </w:pPr>
            <w:r>
              <w:rPr>
                <w:sz w:val="18"/>
                <w:szCs w:val="18"/>
              </w:rPr>
              <w:t>Los productos en equipo se califican con la participación de todos los integrantes, la ética profesional y el cumplimiento de los plazos.</w:t>
            </w:r>
          </w:p>
        </w:tc>
      </w:tr>
      <w:tr w:rsidR="00990B14" w14:paraId="65732CC4" w14:textId="77777777">
        <w:trPr>
          <w:cantSplit/>
          <w:jc w:val="center"/>
        </w:trPr>
        <w:tc>
          <w:tcPr>
            <w:tcW w:w="1850" w:type="dxa"/>
            <w:vMerge w:val="restart"/>
            <w:shd w:val="clear" w:color="auto" w:fill="4472C4"/>
            <w:vAlign w:val="center"/>
          </w:tcPr>
          <w:p w14:paraId="772A3A31" w14:textId="77777777" w:rsidR="00990B14" w:rsidRDefault="00000000">
            <w:pPr>
              <w:spacing w:before="20" w:after="20"/>
              <w:jc w:val="center"/>
            </w:pPr>
            <w:r>
              <w:rPr>
                <w:b/>
                <w:bCs/>
                <w:i/>
                <w:iCs/>
                <w:color w:val="FFFFFF"/>
                <w:sz w:val="18"/>
                <w:szCs w:val="18"/>
              </w:rPr>
              <w:t>Niveles de logro y distribución de la calificación</w:t>
            </w:r>
          </w:p>
        </w:tc>
        <w:tc>
          <w:tcPr>
            <w:tcW w:w="5687" w:type="dxa"/>
            <w:gridSpan w:val="3"/>
            <w:shd w:val="clear" w:color="auto" w:fill="D9E2F3"/>
            <w:vAlign w:val="center"/>
          </w:tcPr>
          <w:p w14:paraId="2A074E6E" w14:textId="77777777" w:rsidR="00990B14" w:rsidRDefault="00000000">
            <w:pPr>
              <w:keepNext/>
              <w:spacing w:before="20" w:after="20"/>
              <w:jc w:val="both"/>
            </w:pPr>
            <w:r>
              <w:rPr>
                <w:b/>
                <w:bCs/>
                <w:i/>
                <w:iCs/>
                <w:sz w:val="18"/>
                <w:szCs w:val="18"/>
              </w:rPr>
              <w:t xml:space="preserve">Producto 1: </w:t>
            </w:r>
            <w:r>
              <w:rPr>
                <w:sz w:val="18"/>
                <w:szCs w:val="18"/>
              </w:rPr>
              <w:t>Esquema de la estructura del Estado boliviano y Administración Pública</w:t>
            </w:r>
          </w:p>
        </w:tc>
        <w:tc>
          <w:tcPr>
            <w:tcW w:w="1868" w:type="dxa"/>
            <w:shd w:val="clear" w:color="auto" w:fill="D9E2F3"/>
            <w:vAlign w:val="center"/>
          </w:tcPr>
          <w:p w14:paraId="7558A9B3" w14:textId="77777777" w:rsidR="00990B14" w:rsidRDefault="00000000">
            <w:pPr>
              <w:spacing w:before="20" w:after="20"/>
              <w:jc w:val="center"/>
            </w:pPr>
            <w:r>
              <w:rPr>
                <w:b/>
                <w:bCs/>
                <w:sz w:val="18"/>
                <w:szCs w:val="18"/>
              </w:rPr>
              <w:t>2%</w:t>
            </w:r>
          </w:p>
        </w:tc>
      </w:tr>
      <w:tr w:rsidR="00990B14" w14:paraId="6DD02430" w14:textId="77777777">
        <w:trPr>
          <w:cantSplit/>
          <w:jc w:val="center"/>
        </w:trPr>
        <w:tc>
          <w:tcPr>
            <w:tcW w:w="1850" w:type="dxa"/>
            <w:vMerge/>
            <w:shd w:val="clear" w:color="auto" w:fill="4472C4"/>
            <w:vAlign w:val="center"/>
          </w:tcPr>
          <w:p w14:paraId="0E89350C" w14:textId="77777777" w:rsidR="00990B14" w:rsidRDefault="00990B14">
            <w:pPr>
              <w:spacing w:before="20" w:after="20"/>
            </w:pPr>
          </w:p>
        </w:tc>
        <w:tc>
          <w:tcPr>
            <w:tcW w:w="1867" w:type="dxa"/>
            <w:shd w:val="clear" w:color="auto" w:fill="4472C4"/>
            <w:vAlign w:val="center"/>
          </w:tcPr>
          <w:p w14:paraId="40C4B8AB"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55ED5182"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0C5CDCD2" w14:textId="77777777" w:rsidR="00990B14" w:rsidRDefault="00000000">
            <w:pPr>
              <w:keepNext/>
              <w:spacing w:before="20" w:after="20"/>
              <w:jc w:val="center"/>
            </w:pPr>
            <w:r>
              <w:rPr>
                <w:b/>
                <w:bCs/>
                <w:i/>
                <w:iCs/>
                <w:color w:val="FFFFFF"/>
                <w:sz w:val="18"/>
                <w:szCs w:val="18"/>
              </w:rPr>
              <w:t>Suficiente (51–80)</w:t>
            </w:r>
          </w:p>
        </w:tc>
        <w:tc>
          <w:tcPr>
            <w:tcW w:w="1868" w:type="dxa"/>
            <w:shd w:val="clear" w:color="auto" w:fill="4472C4"/>
            <w:vAlign w:val="center"/>
          </w:tcPr>
          <w:p w14:paraId="619009AD" w14:textId="77777777" w:rsidR="00990B14" w:rsidRDefault="00000000">
            <w:pPr>
              <w:keepNext/>
              <w:spacing w:before="20" w:after="20"/>
              <w:jc w:val="center"/>
            </w:pPr>
            <w:r>
              <w:rPr>
                <w:b/>
                <w:bCs/>
                <w:i/>
                <w:iCs/>
                <w:color w:val="FFFFFF"/>
                <w:sz w:val="18"/>
                <w:szCs w:val="18"/>
              </w:rPr>
              <w:t>Destacado (81–100)</w:t>
            </w:r>
          </w:p>
        </w:tc>
      </w:tr>
      <w:tr w:rsidR="00990B14" w14:paraId="7F35764E" w14:textId="77777777">
        <w:trPr>
          <w:cantSplit/>
          <w:jc w:val="center"/>
        </w:trPr>
        <w:tc>
          <w:tcPr>
            <w:tcW w:w="1850" w:type="dxa"/>
            <w:vMerge/>
            <w:shd w:val="clear" w:color="auto" w:fill="4472C4"/>
            <w:vAlign w:val="center"/>
          </w:tcPr>
          <w:p w14:paraId="65092651" w14:textId="77777777" w:rsidR="00990B14" w:rsidRDefault="00990B14">
            <w:pPr>
              <w:spacing w:before="20" w:after="20"/>
            </w:pPr>
          </w:p>
        </w:tc>
        <w:tc>
          <w:tcPr>
            <w:tcW w:w="1867" w:type="dxa"/>
            <w:shd w:val="clear" w:color="auto" w:fill="D9E2F3"/>
            <w:vAlign w:val="center"/>
          </w:tcPr>
          <w:p w14:paraId="2B0FEC62" w14:textId="77777777" w:rsidR="00990B14" w:rsidRDefault="00000000">
            <w:pPr>
              <w:spacing w:before="20" w:after="20"/>
              <w:jc w:val="both"/>
            </w:pPr>
            <w:r>
              <w:rPr>
                <w:sz w:val="18"/>
                <w:szCs w:val="18"/>
              </w:rPr>
              <w:t>Elementos del Estado</w:t>
            </w:r>
          </w:p>
        </w:tc>
        <w:tc>
          <w:tcPr>
            <w:tcW w:w="1910" w:type="dxa"/>
            <w:shd w:val="clear" w:color="auto" w:fill="D9E2F3"/>
            <w:vAlign w:val="center"/>
          </w:tcPr>
          <w:p w14:paraId="1CEC4837" w14:textId="77777777" w:rsidR="00990B14" w:rsidRDefault="00000000">
            <w:pPr>
              <w:spacing w:before="20" w:after="20"/>
              <w:jc w:val="both"/>
            </w:pPr>
            <w:r>
              <w:rPr>
                <w:sz w:val="18"/>
                <w:szCs w:val="18"/>
              </w:rPr>
              <w:t>Omite los elementos del Estado.</w:t>
            </w:r>
          </w:p>
        </w:tc>
        <w:tc>
          <w:tcPr>
            <w:tcW w:w="1910" w:type="dxa"/>
            <w:shd w:val="clear" w:color="auto" w:fill="D9E2F3"/>
            <w:vAlign w:val="center"/>
          </w:tcPr>
          <w:p w14:paraId="2F9B2CF0" w14:textId="77777777" w:rsidR="00990B14" w:rsidRDefault="00000000">
            <w:pPr>
              <w:spacing w:before="20" w:after="20"/>
              <w:jc w:val="both"/>
            </w:pPr>
            <w:r>
              <w:rPr>
                <w:sz w:val="18"/>
                <w:szCs w:val="18"/>
              </w:rPr>
              <w:t>Representa población, territorio y gobierno.</w:t>
            </w:r>
          </w:p>
        </w:tc>
        <w:tc>
          <w:tcPr>
            <w:tcW w:w="1868" w:type="dxa"/>
            <w:shd w:val="clear" w:color="auto" w:fill="D9E2F3"/>
            <w:vAlign w:val="center"/>
          </w:tcPr>
          <w:p w14:paraId="6F17CD8C" w14:textId="77777777" w:rsidR="00990B14" w:rsidRDefault="00000000">
            <w:pPr>
              <w:spacing w:before="20" w:after="20"/>
              <w:jc w:val="both"/>
            </w:pPr>
            <w:r>
              <w:rPr>
                <w:sz w:val="18"/>
                <w:szCs w:val="18"/>
              </w:rPr>
              <w:t>Relaciona y describe los elementos del Estado.</w:t>
            </w:r>
          </w:p>
        </w:tc>
      </w:tr>
      <w:tr w:rsidR="00990B14" w14:paraId="51907503" w14:textId="77777777">
        <w:trPr>
          <w:cantSplit/>
          <w:jc w:val="center"/>
        </w:trPr>
        <w:tc>
          <w:tcPr>
            <w:tcW w:w="1850" w:type="dxa"/>
            <w:vMerge/>
            <w:shd w:val="clear" w:color="auto" w:fill="4472C4"/>
            <w:vAlign w:val="center"/>
          </w:tcPr>
          <w:p w14:paraId="410897AE" w14:textId="77777777" w:rsidR="00990B14" w:rsidRDefault="00990B14">
            <w:pPr>
              <w:spacing w:before="20" w:after="20"/>
            </w:pPr>
          </w:p>
        </w:tc>
        <w:tc>
          <w:tcPr>
            <w:tcW w:w="1867" w:type="dxa"/>
            <w:shd w:val="clear" w:color="auto" w:fill="D9E2F3"/>
            <w:vAlign w:val="center"/>
          </w:tcPr>
          <w:p w14:paraId="01AFC61B" w14:textId="77777777" w:rsidR="00990B14" w:rsidRDefault="00000000">
            <w:pPr>
              <w:spacing w:before="20" w:after="20"/>
              <w:jc w:val="both"/>
            </w:pPr>
            <w:r>
              <w:rPr>
                <w:sz w:val="18"/>
                <w:szCs w:val="18"/>
              </w:rPr>
              <w:t>Órganos del Estado</w:t>
            </w:r>
          </w:p>
        </w:tc>
        <w:tc>
          <w:tcPr>
            <w:tcW w:w="1910" w:type="dxa"/>
            <w:shd w:val="clear" w:color="auto" w:fill="D9E2F3"/>
            <w:vAlign w:val="center"/>
          </w:tcPr>
          <w:p w14:paraId="4F4FAFC2" w14:textId="77777777" w:rsidR="00990B14" w:rsidRDefault="00000000">
            <w:pPr>
              <w:spacing w:before="20" w:after="20"/>
              <w:jc w:val="both"/>
            </w:pPr>
            <w:r>
              <w:rPr>
                <w:sz w:val="18"/>
                <w:szCs w:val="18"/>
              </w:rPr>
              <w:t>Confunde las funciones de los órganos.</w:t>
            </w:r>
          </w:p>
        </w:tc>
        <w:tc>
          <w:tcPr>
            <w:tcW w:w="1910" w:type="dxa"/>
            <w:shd w:val="clear" w:color="auto" w:fill="D9E2F3"/>
            <w:vAlign w:val="center"/>
          </w:tcPr>
          <w:p w14:paraId="3F1676ED" w14:textId="77777777" w:rsidR="00990B14" w:rsidRDefault="00000000">
            <w:pPr>
              <w:spacing w:before="20" w:after="20"/>
              <w:jc w:val="both"/>
            </w:pPr>
            <w:r>
              <w:rPr>
                <w:sz w:val="18"/>
                <w:szCs w:val="18"/>
              </w:rPr>
              <w:t>Describe la organización y las funciones de los órganos.</w:t>
            </w:r>
          </w:p>
        </w:tc>
        <w:tc>
          <w:tcPr>
            <w:tcW w:w="1868" w:type="dxa"/>
            <w:shd w:val="clear" w:color="auto" w:fill="D9E2F3"/>
            <w:vAlign w:val="center"/>
          </w:tcPr>
          <w:p w14:paraId="5BDD3D95" w14:textId="77777777" w:rsidR="00990B14" w:rsidRDefault="00000000">
            <w:pPr>
              <w:spacing w:before="20" w:after="20"/>
              <w:jc w:val="both"/>
            </w:pPr>
            <w:r>
              <w:rPr>
                <w:sz w:val="18"/>
                <w:szCs w:val="18"/>
              </w:rPr>
              <w:t>Identifica las entidades que dependen de cada órgano.</w:t>
            </w:r>
          </w:p>
        </w:tc>
      </w:tr>
      <w:tr w:rsidR="00990B14" w14:paraId="03EE0468" w14:textId="77777777">
        <w:trPr>
          <w:cantSplit/>
          <w:jc w:val="center"/>
        </w:trPr>
        <w:tc>
          <w:tcPr>
            <w:tcW w:w="1850" w:type="dxa"/>
            <w:vMerge/>
            <w:shd w:val="clear" w:color="auto" w:fill="4472C4"/>
            <w:vAlign w:val="center"/>
          </w:tcPr>
          <w:p w14:paraId="2DE5E5E8" w14:textId="77777777" w:rsidR="00990B14" w:rsidRDefault="00990B14">
            <w:pPr>
              <w:spacing w:before="20" w:after="20"/>
            </w:pPr>
          </w:p>
        </w:tc>
        <w:tc>
          <w:tcPr>
            <w:tcW w:w="1867" w:type="dxa"/>
            <w:shd w:val="clear" w:color="auto" w:fill="D9E2F3"/>
            <w:vAlign w:val="center"/>
          </w:tcPr>
          <w:p w14:paraId="67B1CBBF" w14:textId="77777777" w:rsidR="00990B14" w:rsidRDefault="00000000">
            <w:pPr>
              <w:spacing w:before="20" w:after="20"/>
              <w:jc w:val="both"/>
            </w:pPr>
            <w:r>
              <w:rPr>
                <w:sz w:val="18"/>
                <w:szCs w:val="18"/>
              </w:rPr>
              <w:t>Presentación del esquema</w:t>
            </w:r>
          </w:p>
        </w:tc>
        <w:tc>
          <w:tcPr>
            <w:tcW w:w="1910" w:type="dxa"/>
            <w:shd w:val="clear" w:color="auto" w:fill="D9E2F3"/>
            <w:vAlign w:val="center"/>
          </w:tcPr>
          <w:p w14:paraId="2AE24FC1" w14:textId="77777777" w:rsidR="00990B14" w:rsidRDefault="00000000">
            <w:pPr>
              <w:spacing w:before="20" w:after="20"/>
              <w:jc w:val="both"/>
            </w:pPr>
            <w:r>
              <w:rPr>
                <w:sz w:val="18"/>
                <w:szCs w:val="18"/>
              </w:rPr>
              <w:t>El esquema es desordenado o incompleto.</w:t>
            </w:r>
          </w:p>
        </w:tc>
        <w:tc>
          <w:tcPr>
            <w:tcW w:w="1910" w:type="dxa"/>
            <w:shd w:val="clear" w:color="auto" w:fill="D9E2F3"/>
            <w:vAlign w:val="center"/>
          </w:tcPr>
          <w:p w14:paraId="471A7222" w14:textId="77777777" w:rsidR="00990B14" w:rsidRDefault="00000000">
            <w:pPr>
              <w:spacing w:before="20" w:after="20"/>
              <w:jc w:val="both"/>
            </w:pPr>
            <w:r>
              <w:rPr>
                <w:sz w:val="18"/>
                <w:szCs w:val="18"/>
              </w:rPr>
              <w:t>Presenta un esquema ordenado de los elementos y los órganos del Estado.</w:t>
            </w:r>
          </w:p>
        </w:tc>
        <w:tc>
          <w:tcPr>
            <w:tcW w:w="1868" w:type="dxa"/>
            <w:shd w:val="clear" w:color="auto" w:fill="D9E2F3"/>
            <w:vAlign w:val="center"/>
          </w:tcPr>
          <w:p w14:paraId="5C996614" w14:textId="77777777" w:rsidR="00990B14" w:rsidRDefault="00000000">
            <w:pPr>
              <w:spacing w:before="20" w:after="20"/>
              <w:jc w:val="both"/>
            </w:pPr>
            <w:r>
              <w:rPr>
                <w:sz w:val="18"/>
                <w:szCs w:val="18"/>
              </w:rPr>
              <w:t>Presenta un esquema claro, jerarquizado y con referencia a la Constitución Política del Estado.</w:t>
            </w:r>
          </w:p>
        </w:tc>
      </w:tr>
      <w:tr w:rsidR="00990B14" w14:paraId="2612CA18" w14:textId="77777777">
        <w:trPr>
          <w:cantSplit/>
          <w:jc w:val="center"/>
        </w:trPr>
        <w:tc>
          <w:tcPr>
            <w:tcW w:w="1850" w:type="dxa"/>
            <w:vMerge/>
            <w:shd w:val="clear" w:color="auto" w:fill="4472C4"/>
            <w:vAlign w:val="center"/>
          </w:tcPr>
          <w:p w14:paraId="5D2BB5EA" w14:textId="77777777" w:rsidR="00990B14" w:rsidRDefault="00990B14">
            <w:pPr>
              <w:spacing w:before="20" w:after="20"/>
            </w:pPr>
          </w:p>
        </w:tc>
        <w:tc>
          <w:tcPr>
            <w:tcW w:w="5687" w:type="dxa"/>
            <w:gridSpan w:val="3"/>
            <w:shd w:val="clear" w:color="auto" w:fill="D9E2F3"/>
            <w:vAlign w:val="center"/>
          </w:tcPr>
          <w:p w14:paraId="70EEAB52" w14:textId="77777777" w:rsidR="00990B14" w:rsidRDefault="00000000">
            <w:pPr>
              <w:keepNext/>
              <w:spacing w:before="20" w:after="20"/>
              <w:jc w:val="both"/>
            </w:pPr>
            <w:r>
              <w:rPr>
                <w:b/>
                <w:bCs/>
                <w:i/>
                <w:iCs/>
                <w:sz w:val="18"/>
                <w:szCs w:val="18"/>
              </w:rPr>
              <w:t xml:space="preserve">Producto 2: </w:t>
            </w:r>
            <w:r>
              <w:rPr>
                <w:sz w:val="18"/>
                <w:szCs w:val="18"/>
              </w:rPr>
              <w:t>Cuadro resumen de los deberes del Estado y funciones de la Administración Pública.</w:t>
            </w:r>
          </w:p>
        </w:tc>
        <w:tc>
          <w:tcPr>
            <w:tcW w:w="1868" w:type="dxa"/>
            <w:shd w:val="clear" w:color="auto" w:fill="D9E2F3"/>
            <w:vAlign w:val="center"/>
          </w:tcPr>
          <w:p w14:paraId="0F2F566A" w14:textId="77777777" w:rsidR="00990B14" w:rsidRDefault="00000000">
            <w:pPr>
              <w:spacing w:before="20" w:after="20"/>
              <w:jc w:val="center"/>
            </w:pPr>
            <w:r>
              <w:rPr>
                <w:b/>
                <w:bCs/>
                <w:sz w:val="18"/>
                <w:szCs w:val="18"/>
              </w:rPr>
              <w:t>2%</w:t>
            </w:r>
          </w:p>
        </w:tc>
      </w:tr>
      <w:tr w:rsidR="00990B14" w14:paraId="2B1F679E" w14:textId="77777777">
        <w:trPr>
          <w:cantSplit/>
          <w:jc w:val="center"/>
        </w:trPr>
        <w:tc>
          <w:tcPr>
            <w:tcW w:w="1850" w:type="dxa"/>
            <w:vMerge/>
            <w:shd w:val="clear" w:color="auto" w:fill="4472C4"/>
            <w:vAlign w:val="center"/>
          </w:tcPr>
          <w:p w14:paraId="39DFCD4A" w14:textId="77777777" w:rsidR="00990B14" w:rsidRDefault="00990B14">
            <w:pPr>
              <w:spacing w:before="20" w:after="20"/>
            </w:pPr>
          </w:p>
        </w:tc>
        <w:tc>
          <w:tcPr>
            <w:tcW w:w="1867" w:type="dxa"/>
            <w:shd w:val="clear" w:color="auto" w:fill="4472C4"/>
            <w:vAlign w:val="center"/>
          </w:tcPr>
          <w:p w14:paraId="59D3702A"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1F82E4C2"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7B8EB6B9" w14:textId="77777777" w:rsidR="00990B14" w:rsidRDefault="00000000">
            <w:pPr>
              <w:keepNext/>
              <w:spacing w:before="20" w:after="20"/>
              <w:jc w:val="center"/>
            </w:pPr>
            <w:r>
              <w:rPr>
                <w:b/>
                <w:bCs/>
                <w:i/>
                <w:iCs/>
                <w:color w:val="FFFFFF"/>
                <w:sz w:val="18"/>
                <w:szCs w:val="18"/>
              </w:rPr>
              <w:t>Suficiente (51–80)</w:t>
            </w:r>
          </w:p>
        </w:tc>
        <w:tc>
          <w:tcPr>
            <w:tcW w:w="1868" w:type="dxa"/>
            <w:shd w:val="clear" w:color="auto" w:fill="4472C4"/>
            <w:vAlign w:val="center"/>
          </w:tcPr>
          <w:p w14:paraId="2D04C5A7" w14:textId="77777777" w:rsidR="00990B14" w:rsidRDefault="00000000">
            <w:pPr>
              <w:keepNext/>
              <w:spacing w:before="20" w:after="20"/>
              <w:jc w:val="center"/>
            </w:pPr>
            <w:r>
              <w:rPr>
                <w:b/>
                <w:bCs/>
                <w:i/>
                <w:iCs/>
                <w:color w:val="FFFFFF"/>
                <w:sz w:val="18"/>
                <w:szCs w:val="18"/>
              </w:rPr>
              <w:t>Destacado (81–100)</w:t>
            </w:r>
          </w:p>
        </w:tc>
      </w:tr>
      <w:tr w:rsidR="00990B14" w14:paraId="0B41F9C2" w14:textId="77777777">
        <w:trPr>
          <w:cantSplit/>
          <w:jc w:val="center"/>
        </w:trPr>
        <w:tc>
          <w:tcPr>
            <w:tcW w:w="1850" w:type="dxa"/>
            <w:vMerge/>
            <w:shd w:val="clear" w:color="auto" w:fill="4472C4"/>
            <w:vAlign w:val="center"/>
          </w:tcPr>
          <w:p w14:paraId="6ED6EAF8" w14:textId="77777777" w:rsidR="00990B14" w:rsidRDefault="00990B14">
            <w:pPr>
              <w:spacing w:before="20" w:after="20"/>
            </w:pPr>
          </w:p>
        </w:tc>
        <w:tc>
          <w:tcPr>
            <w:tcW w:w="1867" w:type="dxa"/>
            <w:shd w:val="clear" w:color="auto" w:fill="D9E2F3"/>
            <w:vAlign w:val="center"/>
          </w:tcPr>
          <w:p w14:paraId="46010C60" w14:textId="77777777" w:rsidR="00990B14" w:rsidRDefault="00000000">
            <w:pPr>
              <w:spacing w:before="20" w:after="20"/>
              <w:jc w:val="both"/>
            </w:pPr>
            <w:r>
              <w:rPr>
                <w:sz w:val="18"/>
                <w:szCs w:val="18"/>
              </w:rPr>
              <w:t>Deberes del Estado</w:t>
            </w:r>
          </w:p>
        </w:tc>
        <w:tc>
          <w:tcPr>
            <w:tcW w:w="1910" w:type="dxa"/>
            <w:shd w:val="clear" w:color="auto" w:fill="D9E2F3"/>
            <w:vAlign w:val="center"/>
          </w:tcPr>
          <w:p w14:paraId="3144A873" w14:textId="77777777" w:rsidR="00990B14" w:rsidRDefault="00000000">
            <w:pPr>
              <w:spacing w:before="20" w:after="20"/>
              <w:jc w:val="both"/>
            </w:pPr>
            <w:r>
              <w:rPr>
                <w:sz w:val="18"/>
                <w:szCs w:val="18"/>
              </w:rPr>
              <w:t>Menciona algunos deberes sin sustento normativo.</w:t>
            </w:r>
          </w:p>
        </w:tc>
        <w:tc>
          <w:tcPr>
            <w:tcW w:w="1910" w:type="dxa"/>
            <w:shd w:val="clear" w:color="auto" w:fill="D9E2F3"/>
            <w:vAlign w:val="center"/>
          </w:tcPr>
          <w:p w14:paraId="31FF1AFF" w14:textId="77777777" w:rsidR="00990B14" w:rsidRDefault="00000000">
            <w:pPr>
              <w:spacing w:before="20" w:after="20"/>
              <w:jc w:val="both"/>
            </w:pPr>
            <w:r>
              <w:rPr>
                <w:sz w:val="18"/>
                <w:szCs w:val="18"/>
              </w:rPr>
              <w:t>Describe los deberes del Estado según la Constitución Política.</w:t>
            </w:r>
          </w:p>
        </w:tc>
        <w:tc>
          <w:tcPr>
            <w:tcW w:w="1868" w:type="dxa"/>
            <w:shd w:val="clear" w:color="auto" w:fill="D9E2F3"/>
            <w:vAlign w:val="center"/>
          </w:tcPr>
          <w:p w14:paraId="22BB6C99" w14:textId="77777777" w:rsidR="00990B14" w:rsidRDefault="00000000">
            <w:pPr>
              <w:spacing w:before="20" w:after="20"/>
              <w:jc w:val="both"/>
            </w:pPr>
            <w:r>
              <w:rPr>
                <w:sz w:val="18"/>
                <w:szCs w:val="18"/>
              </w:rPr>
              <w:t>Describe los deberes y los relaciona con las funciones de la Administración Pública.</w:t>
            </w:r>
          </w:p>
        </w:tc>
      </w:tr>
      <w:tr w:rsidR="00990B14" w14:paraId="3B6C1615" w14:textId="77777777">
        <w:trPr>
          <w:cantSplit/>
          <w:jc w:val="center"/>
        </w:trPr>
        <w:tc>
          <w:tcPr>
            <w:tcW w:w="1850" w:type="dxa"/>
            <w:vMerge/>
            <w:shd w:val="clear" w:color="auto" w:fill="4472C4"/>
            <w:vAlign w:val="center"/>
          </w:tcPr>
          <w:p w14:paraId="7D174896" w14:textId="77777777" w:rsidR="00990B14" w:rsidRDefault="00990B14">
            <w:pPr>
              <w:spacing w:before="20" w:after="20"/>
            </w:pPr>
          </w:p>
        </w:tc>
        <w:tc>
          <w:tcPr>
            <w:tcW w:w="1867" w:type="dxa"/>
            <w:shd w:val="clear" w:color="auto" w:fill="D9E2F3"/>
            <w:vAlign w:val="center"/>
          </w:tcPr>
          <w:p w14:paraId="01489CC8" w14:textId="77777777" w:rsidR="00990B14" w:rsidRDefault="00000000">
            <w:pPr>
              <w:spacing w:before="20" w:after="20"/>
              <w:jc w:val="both"/>
            </w:pPr>
            <w:r>
              <w:rPr>
                <w:sz w:val="18"/>
                <w:szCs w:val="18"/>
              </w:rPr>
              <w:t>Funciones de la Administración Pública</w:t>
            </w:r>
          </w:p>
        </w:tc>
        <w:tc>
          <w:tcPr>
            <w:tcW w:w="1910" w:type="dxa"/>
            <w:shd w:val="clear" w:color="auto" w:fill="D9E2F3"/>
            <w:vAlign w:val="center"/>
          </w:tcPr>
          <w:p w14:paraId="59B3428D" w14:textId="77777777" w:rsidR="00990B14" w:rsidRDefault="00000000">
            <w:pPr>
              <w:spacing w:before="20" w:after="20"/>
              <w:jc w:val="both"/>
            </w:pPr>
            <w:r>
              <w:rPr>
                <w:sz w:val="18"/>
                <w:szCs w:val="18"/>
              </w:rPr>
              <w:t>Confunde las funciones con los deberes del Estado.</w:t>
            </w:r>
          </w:p>
        </w:tc>
        <w:tc>
          <w:tcPr>
            <w:tcW w:w="1910" w:type="dxa"/>
            <w:shd w:val="clear" w:color="auto" w:fill="D9E2F3"/>
            <w:vAlign w:val="center"/>
          </w:tcPr>
          <w:p w14:paraId="4D0D0745" w14:textId="77777777" w:rsidR="00990B14" w:rsidRDefault="00000000">
            <w:pPr>
              <w:spacing w:before="20" w:after="20"/>
              <w:jc w:val="both"/>
            </w:pPr>
            <w:r>
              <w:rPr>
                <w:sz w:val="18"/>
                <w:szCs w:val="18"/>
              </w:rPr>
              <w:t>Identifica las funciones de la Administración Pública.</w:t>
            </w:r>
          </w:p>
        </w:tc>
        <w:tc>
          <w:tcPr>
            <w:tcW w:w="1868" w:type="dxa"/>
            <w:shd w:val="clear" w:color="auto" w:fill="D9E2F3"/>
            <w:vAlign w:val="center"/>
          </w:tcPr>
          <w:p w14:paraId="07DCC487" w14:textId="77777777" w:rsidR="00990B14" w:rsidRDefault="00000000">
            <w:pPr>
              <w:spacing w:before="20" w:after="20"/>
              <w:jc w:val="both"/>
            </w:pPr>
            <w:r>
              <w:rPr>
                <w:sz w:val="18"/>
                <w:szCs w:val="18"/>
              </w:rPr>
              <w:t>Clasifica las funciones y explica su aporte al cumplimiento de los deberes del Estado.</w:t>
            </w:r>
          </w:p>
        </w:tc>
      </w:tr>
      <w:tr w:rsidR="00990B14" w14:paraId="7112DD97" w14:textId="77777777">
        <w:trPr>
          <w:cantSplit/>
          <w:jc w:val="center"/>
        </w:trPr>
        <w:tc>
          <w:tcPr>
            <w:tcW w:w="1850" w:type="dxa"/>
            <w:vMerge/>
            <w:shd w:val="clear" w:color="auto" w:fill="4472C4"/>
            <w:vAlign w:val="center"/>
          </w:tcPr>
          <w:p w14:paraId="3C97EF75" w14:textId="77777777" w:rsidR="00990B14" w:rsidRDefault="00990B14">
            <w:pPr>
              <w:spacing w:before="20" w:after="20"/>
            </w:pPr>
          </w:p>
        </w:tc>
        <w:tc>
          <w:tcPr>
            <w:tcW w:w="1867" w:type="dxa"/>
            <w:shd w:val="clear" w:color="auto" w:fill="D9E2F3"/>
            <w:vAlign w:val="center"/>
          </w:tcPr>
          <w:p w14:paraId="2BCA2E73" w14:textId="77777777" w:rsidR="00990B14" w:rsidRDefault="00000000">
            <w:pPr>
              <w:spacing w:before="20" w:after="20"/>
              <w:jc w:val="both"/>
            </w:pPr>
            <w:r>
              <w:rPr>
                <w:sz w:val="18"/>
                <w:szCs w:val="18"/>
              </w:rPr>
              <w:t>Sustento normativo</w:t>
            </w:r>
          </w:p>
        </w:tc>
        <w:tc>
          <w:tcPr>
            <w:tcW w:w="1910" w:type="dxa"/>
            <w:shd w:val="clear" w:color="auto" w:fill="D9E2F3"/>
            <w:vAlign w:val="center"/>
          </w:tcPr>
          <w:p w14:paraId="0664CE8B" w14:textId="77777777" w:rsidR="00990B14" w:rsidRDefault="00000000">
            <w:pPr>
              <w:spacing w:before="20" w:after="20"/>
              <w:jc w:val="both"/>
            </w:pPr>
            <w:r>
              <w:rPr>
                <w:sz w:val="18"/>
                <w:szCs w:val="18"/>
              </w:rPr>
              <w:t>No cita la norma que respalda los deberes y las funciones.</w:t>
            </w:r>
          </w:p>
        </w:tc>
        <w:tc>
          <w:tcPr>
            <w:tcW w:w="1910" w:type="dxa"/>
            <w:shd w:val="clear" w:color="auto" w:fill="D9E2F3"/>
            <w:vAlign w:val="center"/>
          </w:tcPr>
          <w:p w14:paraId="64545906" w14:textId="77777777" w:rsidR="00990B14" w:rsidRDefault="00000000">
            <w:pPr>
              <w:spacing w:before="20" w:after="20"/>
              <w:jc w:val="both"/>
            </w:pPr>
            <w:r>
              <w:rPr>
                <w:sz w:val="18"/>
                <w:szCs w:val="18"/>
              </w:rPr>
              <w:t>Cita los artículos de la Constitución Política del Estado y de la normativa aplicable.</w:t>
            </w:r>
          </w:p>
        </w:tc>
        <w:tc>
          <w:tcPr>
            <w:tcW w:w="1868" w:type="dxa"/>
            <w:shd w:val="clear" w:color="auto" w:fill="D9E2F3"/>
            <w:vAlign w:val="center"/>
          </w:tcPr>
          <w:p w14:paraId="12E833AB" w14:textId="77777777" w:rsidR="00990B14" w:rsidRDefault="00000000">
            <w:pPr>
              <w:spacing w:before="20" w:after="20"/>
              <w:jc w:val="both"/>
            </w:pPr>
            <w:r>
              <w:rPr>
                <w:sz w:val="18"/>
                <w:szCs w:val="18"/>
              </w:rPr>
              <w:t>Relaciona cada deber y función con su base normativa vigente.</w:t>
            </w:r>
          </w:p>
        </w:tc>
      </w:tr>
      <w:tr w:rsidR="00990B14" w14:paraId="63FDAF05" w14:textId="77777777">
        <w:trPr>
          <w:cantSplit/>
          <w:jc w:val="center"/>
        </w:trPr>
        <w:tc>
          <w:tcPr>
            <w:tcW w:w="1850" w:type="dxa"/>
            <w:vMerge/>
            <w:shd w:val="clear" w:color="auto" w:fill="4472C4"/>
            <w:vAlign w:val="center"/>
          </w:tcPr>
          <w:p w14:paraId="7BCBEC14" w14:textId="77777777" w:rsidR="00990B14" w:rsidRDefault="00990B14">
            <w:pPr>
              <w:spacing w:before="20" w:after="20"/>
            </w:pPr>
          </w:p>
        </w:tc>
        <w:tc>
          <w:tcPr>
            <w:tcW w:w="5687" w:type="dxa"/>
            <w:gridSpan w:val="3"/>
            <w:shd w:val="clear" w:color="auto" w:fill="D9E2F3"/>
            <w:vAlign w:val="center"/>
          </w:tcPr>
          <w:p w14:paraId="592CAFC7" w14:textId="77777777" w:rsidR="00990B14" w:rsidRDefault="00000000">
            <w:pPr>
              <w:keepNext/>
              <w:spacing w:before="20" w:after="20"/>
              <w:jc w:val="both"/>
            </w:pPr>
            <w:r>
              <w:rPr>
                <w:b/>
                <w:bCs/>
                <w:i/>
                <w:iCs/>
                <w:sz w:val="18"/>
                <w:szCs w:val="18"/>
              </w:rPr>
              <w:t xml:space="preserve">Producto 3: </w:t>
            </w:r>
            <w:r>
              <w:rPr>
                <w:sz w:val="18"/>
                <w:szCs w:val="18"/>
              </w:rPr>
              <w:t>Esquema de comprensión de articulación de los planes institucionales con los planes nacionales.</w:t>
            </w:r>
          </w:p>
        </w:tc>
        <w:tc>
          <w:tcPr>
            <w:tcW w:w="1868" w:type="dxa"/>
            <w:shd w:val="clear" w:color="auto" w:fill="D9E2F3"/>
            <w:vAlign w:val="center"/>
          </w:tcPr>
          <w:p w14:paraId="22605084" w14:textId="77777777" w:rsidR="00990B14" w:rsidRDefault="00000000">
            <w:pPr>
              <w:spacing w:before="20" w:after="20"/>
              <w:jc w:val="center"/>
            </w:pPr>
            <w:r>
              <w:rPr>
                <w:b/>
                <w:bCs/>
                <w:sz w:val="18"/>
                <w:szCs w:val="18"/>
              </w:rPr>
              <w:t>2%</w:t>
            </w:r>
          </w:p>
        </w:tc>
      </w:tr>
      <w:tr w:rsidR="00990B14" w14:paraId="68858F5A" w14:textId="77777777">
        <w:trPr>
          <w:cantSplit/>
          <w:jc w:val="center"/>
        </w:trPr>
        <w:tc>
          <w:tcPr>
            <w:tcW w:w="1850" w:type="dxa"/>
            <w:vMerge/>
            <w:shd w:val="clear" w:color="auto" w:fill="4472C4"/>
            <w:vAlign w:val="center"/>
          </w:tcPr>
          <w:p w14:paraId="16302F35" w14:textId="77777777" w:rsidR="00990B14" w:rsidRDefault="00990B14">
            <w:pPr>
              <w:spacing w:before="20" w:after="20"/>
            </w:pPr>
          </w:p>
        </w:tc>
        <w:tc>
          <w:tcPr>
            <w:tcW w:w="1867" w:type="dxa"/>
            <w:shd w:val="clear" w:color="auto" w:fill="4472C4"/>
            <w:vAlign w:val="center"/>
          </w:tcPr>
          <w:p w14:paraId="518FB64E"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1151B511"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069C01C7" w14:textId="77777777" w:rsidR="00990B14" w:rsidRDefault="00000000">
            <w:pPr>
              <w:keepNext/>
              <w:spacing w:before="20" w:after="20"/>
              <w:jc w:val="center"/>
            </w:pPr>
            <w:r>
              <w:rPr>
                <w:b/>
                <w:bCs/>
                <w:i/>
                <w:iCs/>
                <w:color w:val="FFFFFF"/>
                <w:sz w:val="18"/>
                <w:szCs w:val="18"/>
              </w:rPr>
              <w:t>Suficiente (51–80)</w:t>
            </w:r>
          </w:p>
        </w:tc>
        <w:tc>
          <w:tcPr>
            <w:tcW w:w="1868" w:type="dxa"/>
            <w:shd w:val="clear" w:color="auto" w:fill="4472C4"/>
            <w:vAlign w:val="center"/>
          </w:tcPr>
          <w:p w14:paraId="29FCF667" w14:textId="77777777" w:rsidR="00990B14" w:rsidRDefault="00000000">
            <w:pPr>
              <w:keepNext/>
              <w:spacing w:before="20" w:after="20"/>
              <w:jc w:val="center"/>
            </w:pPr>
            <w:r>
              <w:rPr>
                <w:b/>
                <w:bCs/>
                <w:i/>
                <w:iCs/>
                <w:color w:val="FFFFFF"/>
                <w:sz w:val="18"/>
                <w:szCs w:val="18"/>
              </w:rPr>
              <w:t>Destacado (81–100)</w:t>
            </w:r>
          </w:p>
        </w:tc>
      </w:tr>
      <w:tr w:rsidR="00990B14" w14:paraId="17348C6C" w14:textId="77777777">
        <w:trPr>
          <w:cantSplit/>
          <w:jc w:val="center"/>
        </w:trPr>
        <w:tc>
          <w:tcPr>
            <w:tcW w:w="1850" w:type="dxa"/>
            <w:vMerge/>
            <w:shd w:val="clear" w:color="auto" w:fill="4472C4"/>
            <w:vAlign w:val="center"/>
          </w:tcPr>
          <w:p w14:paraId="66D969E7" w14:textId="77777777" w:rsidR="00990B14" w:rsidRDefault="00990B14">
            <w:pPr>
              <w:spacing w:before="20" w:after="20"/>
            </w:pPr>
          </w:p>
        </w:tc>
        <w:tc>
          <w:tcPr>
            <w:tcW w:w="1867" w:type="dxa"/>
            <w:shd w:val="clear" w:color="auto" w:fill="D9E2F3"/>
            <w:vAlign w:val="center"/>
          </w:tcPr>
          <w:p w14:paraId="3DC0A693" w14:textId="77777777" w:rsidR="00990B14" w:rsidRDefault="00000000">
            <w:pPr>
              <w:spacing w:before="20" w:after="20"/>
              <w:jc w:val="both"/>
            </w:pPr>
            <w:r>
              <w:rPr>
                <w:sz w:val="18"/>
                <w:szCs w:val="18"/>
              </w:rPr>
              <w:t>Niveles de planificación</w:t>
            </w:r>
          </w:p>
        </w:tc>
        <w:tc>
          <w:tcPr>
            <w:tcW w:w="1910" w:type="dxa"/>
            <w:shd w:val="clear" w:color="auto" w:fill="D9E2F3"/>
            <w:vAlign w:val="center"/>
          </w:tcPr>
          <w:p w14:paraId="22C31F35" w14:textId="77777777" w:rsidR="00990B14" w:rsidRDefault="00000000">
            <w:pPr>
              <w:spacing w:before="20" w:after="20"/>
              <w:jc w:val="both"/>
            </w:pPr>
            <w:r>
              <w:rPr>
                <w:sz w:val="18"/>
                <w:szCs w:val="18"/>
              </w:rPr>
              <w:t>Omite niveles de planificación (PDES, PSDI, PEI, POA).</w:t>
            </w:r>
          </w:p>
        </w:tc>
        <w:tc>
          <w:tcPr>
            <w:tcW w:w="1910" w:type="dxa"/>
            <w:shd w:val="clear" w:color="auto" w:fill="D9E2F3"/>
            <w:vAlign w:val="center"/>
          </w:tcPr>
          <w:p w14:paraId="32910ADF" w14:textId="77777777" w:rsidR="00990B14" w:rsidRDefault="00000000">
            <w:pPr>
              <w:spacing w:before="20" w:after="20"/>
              <w:jc w:val="both"/>
            </w:pPr>
            <w:r>
              <w:rPr>
                <w:sz w:val="18"/>
                <w:szCs w:val="18"/>
              </w:rPr>
              <w:t>Identifica los niveles de planificación nacional e institucional.</w:t>
            </w:r>
          </w:p>
        </w:tc>
        <w:tc>
          <w:tcPr>
            <w:tcW w:w="1868" w:type="dxa"/>
            <w:shd w:val="clear" w:color="auto" w:fill="D9E2F3"/>
            <w:vAlign w:val="center"/>
          </w:tcPr>
          <w:p w14:paraId="015AE5F5" w14:textId="77777777" w:rsidR="00990B14" w:rsidRDefault="00000000">
            <w:pPr>
              <w:spacing w:before="20" w:after="20"/>
              <w:jc w:val="both"/>
            </w:pPr>
            <w:r>
              <w:rPr>
                <w:sz w:val="18"/>
                <w:szCs w:val="18"/>
              </w:rPr>
              <w:t>Explica el rol y la jerarquía de cada nivel de planificación.</w:t>
            </w:r>
          </w:p>
        </w:tc>
      </w:tr>
      <w:tr w:rsidR="00990B14" w14:paraId="0DB14341" w14:textId="77777777">
        <w:trPr>
          <w:cantSplit/>
          <w:jc w:val="center"/>
        </w:trPr>
        <w:tc>
          <w:tcPr>
            <w:tcW w:w="1850" w:type="dxa"/>
            <w:vMerge/>
            <w:shd w:val="clear" w:color="auto" w:fill="4472C4"/>
            <w:vAlign w:val="center"/>
          </w:tcPr>
          <w:p w14:paraId="55FBC95A" w14:textId="77777777" w:rsidR="00990B14" w:rsidRDefault="00990B14">
            <w:pPr>
              <w:spacing w:before="20" w:after="20"/>
            </w:pPr>
          </w:p>
        </w:tc>
        <w:tc>
          <w:tcPr>
            <w:tcW w:w="1867" w:type="dxa"/>
            <w:shd w:val="clear" w:color="auto" w:fill="D9E2F3"/>
            <w:vAlign w:val="center"/>
          </w:tcPr>
          <w:p w14:paraId="376856ED" w14:textId="77777777" w:rsidR="00990B14" w:rsidRDefault="00000000">
            <w:pPr>
              <w:spacing w:before="20" w:after="20"/>
              <w:jc w:val="both"/>
            </w:pPr>
            <w:r>
              <w:rPr>
                <w:sz w:val="18"/>
                <w:szCs w:val="18"/>
              </w:rPr>
              <w:t>Articulación entre planes</w:t>
            </w:r>
          </w:p>
        </w:tc>
        <w:tc>
          <w:tcPr>
            <w:tcW w:w="1910" w:type="dxa"/>
            <w:shd w:val="clear" w:color="auto" w:fill="D9E2F3"/>
            <w:vAlign w:val="center"/>
          </w:tcPr>
          <w:p w14:paraId="38DBA05C" w14:textId="77777777" w:rsidR="00990B14" w:rsidRDefault="00000000">
            <w:pPr>
              <w:spacing w:before="20" w:after="20"/>
              <w:jc w:val="both"/>
            </w:pPr>
            <w:r>
              <w:rPr>
                <w:sz w:val="18"/>
                <w:szCs w:val="18"/>
              </w:rPr>
              <w:t>Presenta relaciones sin lógica o incorrectas.</w:t>
            </w:r>
          </w:p>
        </w:tc>
        <w:tc>
          <w:tcPr>
            <w:tcW w:w="1910" w:type="dxa"/>
            <w:shd w:val="clear" w:color="auto" w:fill="D9E2F3"/>
            <w:vAlign w:val="center"/>
          </w:tcPr>
          <w:p w14:paraId="5CA3B03A" w14:textId="77777777" w:rsidR="00990B14" w:rsidRDefault="00000000">
            <w:pPr>
              <w:spacing w:before="20" w:after="20"/>
              <w:jc w:val="both"/>
            </w:pPr>
            <w:r>
              <w:rPr>
                <w:sz w:val="18"/>
                <w:szCs w:val="18"/>
              </w:rPr>
              <w:t>Muestra la articulación entre los planes nacionales e institucionales.</w:t>
            </w:r>
          </w:p>
        </w:tc>
        <w:tc>
          <w:tcPr>
            <w:tcW w:w="1868" w:type="dxa"/>
            <w:shd w:val="clear" w:color="auto" w:fill="D9E2F3"/>
            <w:vAlign w:val="center"/>
          </w:tcPr>
          <w:p w14:paraId="0EAC93DD" w14:textId="77777777" w:rsidR="00990B14" w:rsidRDefault="00000000">
            <w:pPr>
              <w:spacing w:before="20" w:after="20"/>
              <w:jc w:val="both"/>
            </w:pPr>
            <w:r>
              <w:rPr>
                <w:sz w:val="18"/>
                <w:szCs w:val="18"/>
              </w:rPr>
              <w:t>Evidencia la coherencia entre ejes, objetivos, metas y resultados.</w:t>
            </w:r>
          </w:p>
        </w:tc>
      </w:tr>
      <w:tr w:rsidR="00990B14" w14:paraId="30E81910" w14:textId="77777777">
        <w:trPr>
          <w:cantSplit/>
          <w:jc w:val="center"/>
        </w:trPr>
        <w:tc>
          <w:tcPr>
            <w:tcW w:w="1850" w:type="dxa"/>
            <w:vMerge/>
            <w:shd w:val="clear" w:color="auto" w:fill="4472C4"/>
            <w:vAlign w:val="center"/>
          </w:tcPr>
          <w:p w14:paraId="646DD067" w14:textId="77777777" w:rsidR="00990B14" w:rsidRDefault="00990B14">
            <w:pPr>
              <w:spacing w:before="20" w:after="20"/>
            </w:pPr>
          </w:p>
        </w:tc>
        <w:tc>
          <w:tcPr>
            <w:tcW w:w="1867" w:type="dxa"/>
            <w:shd w:val="clear" w:color="auto" w:fill="D9E2F3"/>
            <w:vAlign w:val="center"/>
          </w:tcPr>
          <w:p w14:paraId="63E0FDAC" w14:textId="77777777" w:rsidR="00990B14" w:rsidRDefault="00000000">
            <w:pPr>
              <w:spacing w:before="20" w:after="20"/>
              <w:jc w:val="both"/>
            </w:pPr>
            <w:r>
              <w:rPr>
                <w:sz w:val="18"/>
                <w:szCs w:val="18"/>
              </w:rPr>
              <w:t>Presentación del esquema</w:t>
            </w:r>
          </w:p>
        </w:tc>
        <w:tc>
          <w:tcPr>
            <w:tcW w:w="1910" w:type="dxa"/>
            <w:shd w:val="clear" w:color="auto" w:fill="D9E2F3"/>
            <w:vAlign w:val="center"/>
          </w:tcPr>
          <w:p w14:paraId="49708BCC" w14:textId="77777777" w:rsidR="00990B14" w:rsidRDefault="00000000">
            <w:pPr>
              <w:spacing w:before="20" w:after="20"/>
              <w:jc w:val="both"/>
            </w:pPr>
            <w:r>
              <w:rPr>
                <w:sz w:val="18"/>
                <w:szCs w:val="18"/>
              </w:rPr>
              <w:t>El esquema es desordenado o incompleto.</w:t>
            </w:r>
          </w:p>
        </w:tc>
        <w:tc>
          <w:tcPr>
            <w:tcW w:w="1910" w:type="dxa"/>
            <w:shd w:val="clear" w:color="auto" w:fill="D9E2F3"/>
            <w:vAlign w:val="center"/>
          </w:tcPr>
          <w:p w14:paraId="7DAFE28E" w14:textId="77777777" w:rsidR="00990B14" w:rsidRDefault="00000000">
            <w:pPr>
              <w:spacing w:before="20" w:after="20"/>
              <w:jc w:val="both"/>
            </w:pPr>
            <w:r>
              <w:rPr>
                <w:sz w:val="18"/>
                <w:szCs w:val="18"/>
              </w:rPr>
              <w:t>Presenta un esquema ordenado de los planes y su articulación.</w:t>
            </w:r>
          </w:p>
        </w:tc>
        <w:tc>
          <w:tcPr>
            <w:tcW w:w="1868" w:type="dxa"/>
            <w:shd w:val="clear" w:color="auto" w:fill="D9E2F3"/>
            <w:vAlign w:val="center"/>
          </w:tcPr>
          <w:p w14:paraId="5F934C6F" w14:textId="77777777" w:rsidR="00990B14" w:rsidRDefault="00000000">
            <w:pPr>
              <w:spacing w:before="20" w:after="20"/>
              <w:jc w:val="both"/>
            </w:pPr>
            <w:r>
              <w:rPr>
                <w:sz w:val="18"/>
                <w:szCs w:val="18"/>
              </w:rPr>
              <w:t>Presenta un esquema claro con el ejemplo de una entidad pública.</w:t>
            </w:r>
          </w:p>
        </w:tc>
      </w:tr>
      <w:tr w:rsidR="00990B14" w14:paraId="4953076A" w14:textId="77777777">
        <w:trPr>
          <w:cantSplit/>
          <w:jc w:val="center"/>
        </w:trPr>
        <w:tc>
          <w:tcPr>
            <w:tcW w:w="1850" w:type="dxa"/>
            <w:vMerge/>
            <w:shd w:val="clear" w:color="auto" w:fill="4472C4"/>
            <w:vAlign w:val="center"/>
          </w:tcPr>
          <w:p w14:paraId="53165360" w14:textId="77777777" w:rsidR="00990B14" w:rsidRDefault="00990B14">
            <w:pPr>
              <w:spacing w:before="20" w:after="20"/>
            </w:pPr>
          </w:p>
        </w:tc>
        <w:tc>
          <w:tcPr>
            <w:tcW w:w="5687" w:type="dxa"/>
            <w:gridSpan w:val="3"/>
            <w:shd w:val="clear" w:color="auto" w:fill="D9E2F3"/>
            <w:vAlign w:val="center"/>
          </w:tcPr>
          <w:p w14:paraId="1A897E8A" w14:textId="77777777" w:rsidR="00990B14" w:rsidRDefault="00000000">
            <w:pPr>
              <w:keepNext/>
              <w:spacing w:before="20" w:after="20"/>
              <w:jc w:val="both"/>
            </w:pPr>
            <w:r>
              <w:rPr>
                <w:b/>
                <w:bCs/>
                <w:i/>
                <w:iCs/>
                <w:sz w:val="18"/>
                <w:szCs w:val="18"/>
              </w:rPr>
              <w:t xml:space="preserve">Producto 4: </w:t>
            </w:r>
            <w:r>
              <w:rPr>
                <w:sz w:val="18"/>
                <w:szCs w:val="18"/>
              </w:rPr>
              <w:t>Cuadro de articulación del Plan Estratégico Institucional, el Programa de Operaciones Anual y Presupuesto General del Estado.</w:t>
            </w:r>
          </w:p>
        </w:tc>
        <w:tc>
          <w:tcPr>
            <w:tcW w:w="1868" w:type="dxa"/>
            <w:shd w:val="clear" w:color="auto" w:fill="D9E2F3"/>
            <w:vAlign w:val="center"/>
          </w:tcPr>
          <w:p w14:paraId="27C846DB" w14:textId="77777777" w:rsidR="00990B14" w:rsidRDefault="00000000">
            <w:pPr>
              <w:spacing w:before="20" w:after="20"/>
              <w:jc w:val="center"/>
            </w:pPr>
            <w:r>
              <w:rPr>
                <w:b/>
                <w:bCs/>
                <w:sz w:val="18"/>
                <w:szCs w:val="18"/>
              </w:rPr>
              <w:t>2%</w:t>
            </w:r>
          </w:p>
        </w:tc>
      </w:tr>
      <w:tr w:rsidR="00990B14" w14:paraId="701D3E22" w14:textId="77777777">
        <w:trPr>
          <w:cantSplit/>
          <w:jc w:val="center"/>
        </w:trPr>
        <w:tc>
          <w:tcPr>
            <w:tcW w:w="1850" w:type="dxa"/>
            <w:vMerge/>
            <w:shd w:val="clear" w:color="auto" w:fill="4472C4"/>
            <w:vAlign w:val="center"/>
          </w:tcPr>
          <w:p w14:paraId="11504EC5" w14:textId="77777777" w:rsidR="00990B14" w:rsidRDefault="00990B14">
            <w:pPr>
              <w:spacing w:before="20" w:after="20"/>
            </w:pPr>
          </w:p>
        </w:tc>
        <w:tc>
          <w:tcPr>
            <w:tcW w:w="1867" w:type="dxa"/>
            <w:shd w:val="clear" w:color="auto" w:fill="4472C4"/>
            <w:vAlign w:val="center"/>
          </w:tcPr>
          <w:p w14:paraId="50EA8633"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502B39ED"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255A2C6A" w14:textId="77777777" w:rsidR="00990B14" w:rsidRDefault="00000000">
            <w:pPr>
              <w:keepNext/>
              <w:spacing w:before="20" w:after="20"/>
              <w:jc w:val="center"/>
            </w:pPr>
            <w:r>
              <w:rPr>
                <w:b/>
                <w:bCs/>
                <w:i/>
                <w:iCs/>
                <w:color w:val="FFFFFF"/>
                <w:sz w:val="18"/>
                <w:szCs w:val="18"/>
              </w:rPr>
              <w:t>Suficiente (51–80)</w:t>
            </w:r>
          </w:p>
        </w:tc>
        <w:tc>
          <w:tcPr>
            <w:tcW w:w="1868" w:type="dxa"/>
            <w:shd w:val="clear" w:color="auto" w:fill="4472C4"/>
            <w:vAlign w:val="center"/>
          </w:tcPr>
          <w:p w14:paraId="0F66A6E4" w14:textId="77777777" w:rsidR="00990B14" w:rsidRDefault="00000000">
            <w:pPr>
              <w:keepNext/>
              <w:spacing w:before="20" w:after="20"/>
              <w:jc w:val="center"/>
            </w:pPr>
            <w:r>
              <w:rPr>
                <w:b/>
                <w:bCs/>
                <w:i/>
                <w:iCs/>
                <w:color w:val="FFFFFF"/>
                <w:sz w:val="18"/>
                <w:szCs w:val="18"/>
              </w:rPr>
              <w:t>Destacado (81–100)</w:t>
            </w:r>
          </w:p>
        </w:tc>
      </w:tr>
      <w:tr w:rsidR="00990B14" w14:paraId="6EA38FD3" w14:textId="77777777">
        <w:trPr>
          <w:cantSplit/>
          <w:jc w:val="center"/>
        </w:trPr>
        <w:tc>
          <w:tcPr>
            <w:tcW w:w="1850" w:type="dxa"/>
            <w:vMerge/>
            <w:shd w:val="clear" w:color="auto" w:fill="4472C4"/>
            <w:vAlign w:val="center"/>
          </w:tcPr>
          <w:p w14:paraId="2CE59F3B" w14:textId="77777777" w:rsidR="00990B14" w:rsidRDefault="00990B14">
            <w:pPr>
              <w:spacing w:before="20" w:after="20"/>
            </w:pPr>
          </w:p>
        </w:tc>
        <w:tc>
          <w:tcPr>
            <w:tcW w:w="1867" w:type="dxa"/>
            <w:shd w:val="clear" w:color="auto" w:fill="D9E2F3"/>
            <w:vAlign w:val="center"/>
          </w:tcPr>
          <w:p w14:paraId="001A5E19" w14:textId="77777777" w:rsidR="00990B14" w:rsidRDefault="00000000">
            <w:pPr>
              <w:spacing w:before="20" w:after="20"/>
              <w:jc w:val="both"/>
            </w:pPr>
            <w:r>
              <w:rPr>
                <w:sz w:val="18"/>
                <w:szCs w:val="18"/>
              </w:rPr>
              <w:t>Vinculación PEI – POA</w:t>
            </w:r>
          </w:p>
        </w:tc>
        <w:tc>
          <w:tcPr>
            <w:tcW w:w="1910" w:type="dxa"/>
            <w:shd w:val="clear" w:color="auto" w:fill="D9E2F3"/>
            <w:vAlign w:val="center"/>
          </w:tcPr>
          <w:p w14:paraId="0E989963" w14:textId="77777777" w:rsidR="00990B14" w:rsidRDefault="00000000">
            <w:pPr>
              <w:spacing w:before="20" w:after="20"/>
              <w:jc w:val="both"/>
            </w:pPr>
            <w:r>
              <w:rPr>
                <w:sz w:val="18"/>
                <w:szCs w:val="18"/>
              </w:rPr>
              <w:t>Presenta los instrumentos sin relacionarlos.</w:t>
            </w:r>
          </w:p>
        </w:tc>
        <w:tc>
          <w:tcPr>
            <w:tcW w:w="1910" w:type="dxa"/>
            <w:shd w:val="clear" w:color="auto" w:fill="D9E2F3"/>
            <w:vAlign w:val="center"/>
          </w:tcPr>
          <w:p w14:paraId="0F411634" w14:textId="77777777" w:rsidR="00990B14" w:rsidRDefault="00000000">
            <w:pPr>
              <w:spacing w:before="20" w:after="20"/>
              <w:jc w:val="both"/>
            </w:pPr>
            <w:r>
              <w:rPr>
                <w:sz w:val="18"/>
                <w:szCs w:val="18"/>
              </w:rPr>
              <w:t>Relaciona los objetivos del PEI con las operaciones del POA.</w:t>
            </w:r>
          </w:p>
        </w:tc>
        <w:tc>
          <w:tcPr>
            <w:tcW w:w="1868" w:type="dxa"/>
            <w:shd w:val="clear" w:color="auto" w:fill="D9E2F3"/>
            <w:vAlign w:val="center"/>
          </w:tcPr>
          <w:p w14:paraId="4EFD8351" w14:textId="77777777" w:rsidR="00990B14" w:rsidRDefault="00000000">
            <w:pPr>
              <w:spacing w:before="20" w:after="20"/>
              <w:jc w:val="both"/>
            </w:pPr>
            <w:r>
              <w:rPr>
                <w:sz w:val="18"/>
                <w:szCs w:val="18"/>
              </w:rPr>
              <w:t>Relaciona objetivos, operaciones, indicadores y metas de forma coherente.</w:t>
            </w:r>
          </w:p>
        </w:tc>
      </w:tr>
      <w:tr w:rsidR="00990B14" w14:paraId="6F23DA75" w14:textId="77777777">
        <w:trPr>
          <w:cantSplit/>
          <w:jc w:val="center"/>
        </w:trPr>
        <w:tc>
          <w:tcPr>
            <w:tcW w:w="1850" w:type="dxa"/>
            <w:vMerge/>
            <w:shd w:val="clear" w:color="auto" w:fill="4472C4"/>
            <w:vAlign w:val="center"/>
          </w:tcPr>
          <w:p w14:paraId="13D1760F" w14:textId="77777777" w:rsidR="00990B14" w:rsidRDefault="00990B14">
            <w:pPr>
              <w:spacing w:before="20" w:after="20"/>
            </w:pPr>
          </w:p>
        </w:tc>
        <w:tc>
          <w:tcPr>
            <w:tcW w:w="1867" w:type="dxa"/>
            <w:shd w:val="clear" w:color="auto" w:fill="D9E2F3"/>
            <w:vAlign w:val="center"/>
          </w:tcPr>
          <w:p w14:paraId="65AAE035" w14:textId="77777777" w:rsidR="00990B14" w:rsidRDefault="00000000">
            <w:pPr>
              <w:spacing w:before="20" w:after="20"/>
              <w:jc w:val="both"/>
            </w:pPr>
            <w:r>
              <w:rPr>
                <w:sz w:val="18"/>
                <w:szCs w:val="18"/>
              </w:rPr>
              <w:t>Vinculación POA – Presupuesto</w:t>
            </w:r>
          </w:p>
        </w:tc>
        <w:tc>
          <w:tcPr>
            <w:tcW w:w="1910" w:type="dxa"/>
            <w:shd w:val="clear" w:color="auto" w:fill="D9E2F3"/>
            <w:vAlign w:val="center"/>
          </w:tcPr>
          <w:p w14:paraId="67684B63" w14:textId="77777777" w:rsidR="00990B14" w:rsidRDefault="00000000">
            <w:pPr>
              <w:spacing w:before="20" w:after="20"/>
              <w:jc w:val="both"/>
            </w:pPr>
            <w:r>
              <w:rPr>
                <w:sz w:val="18"/>
                <w:szCs w:val="18"/>
              </w:rPr>
              <w:t>No vincula las operaciones con el presupuesto.</w:t>
            </w:r>
          </w:p>
        </w:tc>
        <w:tc>
          <w:tcPr>
            <w:tcW w:w="1910" w:type="dxa"/>
            <w:shd w:val="clear" w:color="auto" w:fill="D9E2F3"/>
            <w:vAlign w:val="center"/>
          </w:tcPr>
          <w:p w14:paraId="2720F1A7" w14:textId="77777777" w:rsidR="00990B14" w:rsidRDefault="00000000">
            <w:pPr>
              <w:spacing w:before="20" w:after="20"/>
              <w:jc w:val="both"/>
            </w:pPr>
            <w:r>
              <w:rPr>
                <w:sz w:val="18"/>
                <w:szCs w:val="18"/>
              </w:rPr>
              <w:t>Asocia las operaciones con partidas y recursos presupuestarios.</w:t>
            </w:r>
          </w:p>
        </w:tc>
        <w:tc>
          <w:tcPr>
            <w:tcW w:w="1868" w:type="dxa"/>
            <w:shd w:val="clear" w:color="auto" w:fill="D9E2F3"/>
            <w:vAlign w:val="center"/>
          </w:tcPr>
          <w:p w14:paraId="35E36198" w14:textId="77777777" w:rsidR="00990B14" w:rsidRDefault="00000000">
            <w:pPr>
              <w:spacing w:before="20" w:after="20"/>
              <w:jc w:val="both"/>
            </w:pPr>
            <w:r>
              <w:rPr>
                <w:sz w:val="18"/>
                <w:szCs w:val="18"/>
              </w:rPr>
              <w:t>Verifica la consistencia de montos, fuentes y destino del gasto con el Presupuesto General del Estado.</w:t>
            </w:r>
          </w:p>
        </w:tc>
      </w:tr>
      <w:tr w:rsidR="00990B14" w14:paraId="75E88F08" w14:textId="77777777">
        <w:trPr>
          <w:cantSplit/>
          <w:jc w:val="center"/>
        </w:trPr>
        <w:tc>
          <w:tcPr>
            <w:tcW w:w="1850" w:type="dxa"/>
            <w:vMerge/>
            <w:shd w:val="clear" w:color="auto" w:fill="4472C4"/>
            <w:vAlign w:val="center"/>
          </w:tcPr>
          <w:p w14:paraId="4D80BD54" w14:textId="77777777" w:rsidR="00990B14" w:rsidRDefault="00990B14">
            <w:pPr>
              <w:spacing w:before="20" w:after="20"/>
            </w:pPr>
          </w:p>
        </w:tc>
        <w:tc>
          <w:tcPr>
            <w:tcW w:w="1867" w:type="dxa"/>
            <w:shd w:val="clear" w:color="auto" w:fill="D9E2F3"/>
            <w:vAlign w:val="center"/>
          </w:tcPr>
          <w:p w14:paraId="5EEC1F0C" w14:textId="77777777" w:rsidR="00990B14" w:rsidRDefault="00000000">
            <w:pPr>
              <w:spacing w:before="20" w:after="20"/>
              <w:jc w:val="both"/>
            </w:pPr>
            <w:r>
              <w:rPr>
                <w:sz w:val="18"/>
                <w:szCs w:val="18"/>
              </w:rPr>
              <w:t>Sustento normativo</w:t>
            </w:r>
          </w:p>
        </w:tc>
        <w:tc>
          <w:tcPr>
            <w:tcW w:w="1910" w:type="dxa"/>
            <w:shd w:val="clear" w:color="auto" w:fill="D9E2F3"/>
            <w:vAlign w:val="center"/>
          </w:tcPr>
          <w:p w14:paraId="236FFFE7" w14:textId="77777777" w:rsidR="00990B14" w:rsidRDefault="00000000">
            <w:pPr>
              <w:spacing w:before="20" w:after="20"/>
              <w:jc w:val="both"/>
            </w:pPr>
            <w:r>
              <w:rPr>
                <w:sz w:val="18"/>
                <w:szCs w:val="18"/>
              </w:rPr>
              <w:t>No identifica la normativa de planificación y presupuesto.</w:t>
            </w:r>
          </w:p>
        </w:tc>
        <w:tc>
          <w:tcPr>
            <w:tcW w:w="1910" w:type="dxa"/>
            <w:shd w:val="clear" w:color="auto" w:fill="D9E2F3"/>
            <w:vAlign w:val="center"/>
          </w:tcPr>
          <w:p w14:paraId="1AB91404" w14:textId="77777777" w:rsidR="00990B14" w:rsidRDefault="00000000">
            <w:pPr>
              <w:spacing w:before="20" w:after="20"/>
              <w:jc w:val="both"/>
            </w:pPr>
            <w:r>
              <w:rPr>
                <w:sz w:val="18"/>
                <w:szCs w:val="18"/>
              </w:rPr>
              <w:t>Identifica las normas que regulan el PEI, el POA y el presupuesto.</w:t>
            </w:r>
          </w:p>
        </w:tc>
        <w:tc>
          <w:tcPr>
            <w:tcW w:w="1868" w:type="dxa"/>
            <w:shd w:val="clear" w:color="auto" w:fill="D9E2F3"/>
            <w:vAlign w:val="center"/>
          </w:tcPr>
          <w:p w14:paraId="4941A1CA" w14:textId="77777777" w:rsidR="00990B14" w:rsidRDefault="00000000">
            <w:pPr>
              <w:spacing w:before="20" w:after="20"/>
              <w:jc w:val="both"/>
            </w:pPr>
            <w:r>
              <w:rPr>
                <w:sz w:val="18"/>
                <w:szCs w:val="18"/>
              </w:rPr>
              <w:t>Aplica la normativa vigente para justificar la articulación de los instrumentos.</w:t>
            </w:r>
          </w:p>
        </w:tc>
      </w:tr>
      <w:tr w:rsidR="00990B14" w14:paraId="43B26B04" w14:textId="77777777">
        <w:trPr>
          <w:cantSplit/>
          <w:jc w:val="center"/>
        </w:trPr>
        <w:tc>
          <w:tcPr>
            <w:tcW w:w="1850" w:type="dxa"/>
            <w:vMerge/>
            <w:shd w:val="clear" w:color="auto" w:fill="4472C4"/>
            <w:vAlign w:val="center"/>
          </w:tcPr>
          <w:p w14:paraId="75C41F23" w14:textId="77777777" w:rsidR="00990B14" w:rsidRDefault="00990B14">
            <w:pPr>
              <w:spacing w:before="20" w:after="20"/>
            </w:pPr>
          </w:p>
        </w:tc>
        <w:tc>
          <w:tcPr>
            <w:tcW w:w="5687" w:type="dxa"/>
            <w:gridSpan w:val="3"/>
            <w:shd w:val="clear" w:color="auto" w:fill="D9E2F3"/>
            <w:vAlign w:val="center"/>
          </w:tcPr>
          <w:p w14:paraId="7FEB7E04" w14:textId="77777777" w:rsidR="00990B14" w:rsidRDefault="00000000">
            <w:pPr>
              <w:keepNext/>
              <w:spacing w:before="20" w:after="20"/>
              <w:jc w:val="both"/>
            </w:pPr>
            <w:r>
              <w:rPr>
                <w:b/>
                <w:bCs/>
                <w:i/>
                <w:iCs/>
                <w:sz w:val="18"/>
                <w:szCs w:val="18"/>
              </w:rPr>
              <w:t xml:space="preserve">Producto 5: </w:t>
            </w:r>
            <w:r>
              <w:rPr>
                <w:sz w:val="18"/>
                <w:szCs w:val="18"/>
              </w:rPr>
              <w:t>Esquema de los sistemas para programar, organizar, ejecutar y controlar la gestión pública.</w:t>
            </w:r>
          </w:p>
        </w:tc>
        <w:tc>
          <w:tcPr>
            <w:tcW w:w="1868" w:type="dxa"/>
            <w:shd w:val="clear" w:color="auto" w:fill="D9E2F3"/>
            <w:vAlign w:val="center"/>
          </w:tcPr>
          <w:p w14:paraId="084E6CD9" w14:textId="77777777" w:rsidR="00990B14" w:rsidRDefault="00000000">
            <w:pPr>
              <w:spacing w:before="20" w:after="20"/>
              <w:jc w:val="center"/>
            </w:pPr>
            <w:r>
              <w:rPr>
                <w:b/>
                <w:bCs/>
                <w:sz w:val="18"/>
                <w:szCs w:val="18"/>
              </w:rPr>
              <w:t>2%</w:t>
            </w:r>
          </w:p>
        </w:tc>
      </w:tr>
      <w:tr w:rsidR="00990B14" w14:paraId="09BE80D0" w14:textId="77777777">
        <w:trPr>
          <w:cantSplit/>
          <w:jc w:val="center"/>
        </w:trPr>
        <w:tc>
          <w:tcPr>
            <w:tcW w:w="1850" w:type="dxa"/>
            <w:vMerge/>
            <w:shd w:val="clear" w:color="auto" w:fill="4472C4"/>
            <w:vAlign w:val="center"/>
          </w:tcPr>
          <w:p w14:paraId="2EC05C69" w14:textId="77777777" w:rsidR="00990B14" w:rsidRDefault="00990B14">
            <w:pPr>
              <w:spacing w:before="20" w:after="20"/>
            </w:pPr>
          </w:p>
        </w:tc>
        <w:tc>
          <w:tcPr>
            <w:tcW w:w="1867" w:type="dxa"/>
            <w:shd w:val="clear" w:color="auto" w:fill="4472C4"/>
            <w:vAlign w:val="center"/>
          </w:tcPr>
          <w:p w14:paraId="24A5E776"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0BAD6001"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1548BA71" w14:textId="77777777" w:rsidR="00990B14" w:rsidRDefault="00000000">
            <w:pPr>
              <w:keepNext/>
              <w:spacing w:before="20" w:after="20"/>
              <w:jc w:val="center"/>
            </w:pPr>
            <w:r>
              <w:rPr>
                <w:b/>
                <w:bCs/>
                <w:i/>
                <w:iCs/>
                <w:color w:val="FFFFFF"/>
                <w:sz w:val="18"/>
                <w:szCs w:val="18"/>
              </w:rPr>
              <w:t>Suficiente (51–80)</w:t>
            </w:r>
          </w:p>
        </w:tc>
        <w:tc>
          <w:tcPr>
            <w:tcW w:w="1868" w:type="dxa"/>
            <w:shd w:val="clear" w:color="auto" w:fill="4472C4"/>
            <w:vAlign w:val="center"/>
          </w:tcPr>
          <w:p w14:paraId="22253DBF" w14:textId="77777777" w:rsidR="00990B14" w:rsidRDefault="00000000">
            <w:pPr>
              <w:keepNext/>
              <w:spacing w:before="20" w:after="20"/>
              <w:jc w:val="center"/>
            </w:pPr>
            <w:r>
              <w:rPr>
                <w:b/>
                <w:bCs/>
                <w:i/>
                <w:iCs/>
                <w:color w:val="FFFFFF"/>
                <w:sz w:val="18"/>
                <w:szCs w:val="18"/>
              </w:rPr>
              <w:t>Destacado (81–100)</w:t>
            </w:r>
          </w:p>
        </w:tc>
      </w:tr>
      <w:tr w:rsidR="00990B14" w14:paraId="18878B3A" w14:textId="77777777">
        <w:trPr>
          <w:cantSplit/>
          <w:jc w:val="center"/>
        </w:trPr>
        <w:tc>
          <w:tcPr>
            <w:tcW w:w="1850" w:type="dxa"/>
            <w:vMerge/>
            <w:shd w:val="clear" w:color="auto" w:fill="4472C4"/>
            <w:vAlign w:val="center"/>
          </w:tcPr>
          <w:p w14:paraId="6C60566B" w14:textId="77777777" w:rsidR="00990B14" w:rsidRDefault="00990B14">
            <w:pPr>
              <w:spacing w:before="20" w:after="20"/>
            </w:pPr>
          </w:p>
        </w:tc>
        <w:tc>
          <w:tcPr>
            <w:tcW w:w="1867" w:type="dxa"/>
            <w:shd w:val="clear" w:color="auto" w:fill="D9E2F3"/>
            <w:vAlign w:val="center"/>
          </w:tcPr>
          <w:p w14:paraId="46E0432D" w14:textId="77777777" w:rsidR="00990B14" w:rsidRDefault="00000000">
            <w:pPr>
              <w:spacing w:before="20" w:after="20"/>
              <w:jc w:val="both"/>
            </w:pPr>
            <w:r>
              <w:rPr>
                <w:sz w:val="18"/>
                <w:szCs w:val="18"/>
              </w:rPr>
              <w:t>Sistemas de programación y organización</w:t>
            </w:r>
          </w:p>
        </w:tc>
        <w:tc>
          <w:tcPr>
            <w:tcW w:w="1910" w:type="dxa"/>
            <w:shd w:val="clear" w:color="auto" w:fill="D9E2F3"/>
            <w:vAlign w:val="center"/>
          </w:tcPr>
          <w:p w14:paraId="247DFC60" w14:textId="77777777" w:rsidR="00990B14" w:rsidRDefault="00000000">
            <w:pPr>
              <w:spacing w:before="20" w:after="20"/>
              <w:jc w:val="both"/>
            </w:pPr>
            <w:r>
              <w:rPr>
                <w:sz w:val="18"/>
                <w:szCs w:val="18"/>
              </w:rPr>
              <w:t>Omite o confunde los sistemas.</w:t>
            </w:r>
          </w:p>
        </w:tc>
        <w:tc>
          <w:tcPr>
            <w:tcW w:w="1910" w:type="dxa"/>
            <w:shd w:val="clear" w:color="auto" w:fill="D9E2F3"/>
            <w:vAlign w:val="center"/>
          </w:tcPr>
          <w:p w14:paraId="1047BF5A" w14:textId="77777777" w:rsidR="00990B14" w:rsidRDefault="00000000">
            <w:pPr>
              <w:spacing w:before="20" w:after="20"/>
              <w:jc w:val="both"/>
            </w:pPr>
            <w:r>
              <w:rPr>
                <w:sz w:val="18"/>
                <w:szCs w:val="18"/>
              </w:rPr>
              <w:t>Identifica los sistemas de programación y organización.</w:t>
            </w:r>
          </w:p>
        </w:tc>
        <w:tc>
          <w:tcPr>
            <w:tcW w:w="1868" w:type="dxa"/>
            <w:shd w:val="clear" w:color="auto" w:fill="D9E2F3"/>
            <w:vAlign w:val="center"/>
          </w:tcPr>
          <w:p w14:paraId="2B849652" w14:textId="77777777" w:rsidR="00990B14" w:rsidRDefault="00000000">
            <w:pPr>
              <w:spacing w:before="20" w:after="20"/>
              <w:jc w:val="both"/>
            </w:pPr>
            <w:r>
              <w:rPr>
                <w:sz w:val="18"/>
                <w:szCs w:val="18"/>
              </w:rPr>
              <w:t>Explica su finalidad y su relación con los demás sistemas.</w:t>
            </w:r>
          </w:p>
        </w:tc>
      </w:tr>
      <w:tr w:rsidR="00990B14" w14:paraId="47CD32C9" w14:textId="77777777">
        <w:trPr>
          <w:cantSplit/>
          <w:jc w:val="center"/>
        </w:trPr>
        <w:tc>
          <w:tcPr>
            <w:tcW w:w="1850" w:type="dxa"/>
            <w:vMerge/>
            <w:shd w:val="clear" w:color="auto" w:fill="4472C4"/>
            <w:vAlign w:val="center"/>
          </w:tcPr>
          <w:p w14:paraId="22F4F5D5" w14:textId="77777777" w:rsidR="00990B14" w:rsidRDefault="00990B14">
            <w:pPr>
              <w:spacing w:before="20" w:after="20"/>
            </w:pPr>
          </w:p>
        </w:tc>
        <w:tc>
          <w:tcPr>
            <w:tcW w:w="1867" w:type="dxa"/>
            <w:shd w:val="clear" w:color="auto" w:fill="D9E2F3"/>
            <w:vAlign w:val="center"/>
          </w:tcPr>
          <w:p w14:paraId="2A87A3FA" w14:textId="77777777" w:rsidR="00990B14" w:rsidRDefault="00000000">
            <w:pPr>
              <w:spacing w:before="20" w:after="20"/>
              <w:jc w:val="both"/>
            </w:pPr>
            <w:r>
              <w:rPr>
                <w:sz w:val="18"/>
                <w:szCs w:val="18"/>
              </w:rPr>
              <w:t>Sistemas de ejecución</w:t>
            </w:r>
          </w:p>
        </w:tc>
        <w:tc>
          <w:tcPr>
            <w:tcW w:w="1910" w:type="dxa"/>
            <w:shd w:val="clear" w:color="auto" w:fill="D9E2F3"/>
            <w:vAlign w:val="center"/>
          </w:tcPr>
          <w:p w14:paraId="30AA7F1E" w14:textId="77777777" w:rsidR="00990B14" w:rsidRDefault="00000000">
            <w:pPr>
              <w:spacing w:before="20" w:after="20"/>
              <w:jc w:val="both"/>
            </w:pPr>
            <w:r>
              <w:rPr>
                <w:sz w:val="18"/>
                <w:szCs w:val="18"/>
              </w:rPr>
              <w:t>Omite sistemas de ejecución (bienes y servicios, personal, tesorería, contabilidad).</w:t>
            </w:r>
          </w:p>
        </w:tc>
        <w:tc>
          <w:tcPr>
            <w:tcW w:w="1910" w:type="dxa"/>
            <w:shd w:val="clear" w:color="auto" w:fill="D9E2F3"/>
            <w:vAlign w:val="center"/>
          </w:tcPr>
          <w:p w14:paraId="17DB7ED0" w14:textId="77777777" w:rsidR="00990B14" w:rsidRDefault="00000000">
            <w:pPr>
              <w:spacing w:before="20" w:after="20"/>
              <w:jc w:val="both"/>
            </w:pPr>
            <w:r>
              <w:rPr>
                <w:sz w:val="18"/>
                <w:szCs w:val="18"/>
              </w:rPr>
              <w:t>Describe los sistemas de ejecución de la gestión pública.</w:t>
            </w:r>
          </w:p>
        </w:tc>
        <w:tc>
          <w:tcPr>
            <w:tcW w:w="1868" w:type="dxa"/>
            <w:shd w:val="clear" w:color="auto" w:fill="D9E2F3"/>
            <w:vAlign w:val="center"/>
          </w:tcPr>
          <w:p w14:paraId="5A9CAE07" w14:textId="77777777" w:rsidR="00990B14" w:rsidRDefault="00000000">
            <w:pPr>
              <w:spacing w:before="20" w:after="20"/>
              <w:jc w:val="both"/>
            </w:pPr>
            <w:r>
              <w:rPr>
                <w:sz w:val="18"/>
                <w:szCs w:val="18"/>
              </w:rPr>
              <w:t>Explica cómo interactúan los sistemas de ejecución en el ciclo de gestión.</w:t>
            </w:r>
          </w:p>
        </w:tc>
      </w:tr>
      <w:tr w:rsidR="00990B14" w14:paraId="6E10DC12" w14:textId="77777777">
        <w:trPr>
          <w:cantSplit/>
          <w:jc w:val="center"/>
        </w:trPr>
        <w:tc>
          <w:tcPr>
            <w:tcW w:w="1850" w:type="dxa"/>
            <w:vMerge/>
            <w:shd w:val="clear" w:color="auto" w:fill="4472C4"/>
            <w:vAlign w:val="center"/>
          </w:tcPr>
          <w:p w14:paraId="2622269B" w14:textId="77777777" w:rsidR="00990B14" w:rsidRDefault="00990B14">
            <w:pPr>
              <w:spacing w:before="20" w:after="20"/>
            </w:pPr>
          </w:p>
        </w:tc>
        <w:tc>
          <w:tcPr>
            <w:tcW w:w="1867" w:type="dxa"/>
            <w:shd w:val="clear" w:color="auto" w:fill="D9E2F3"/>
            <w:vAlign w:val="center"/>
          </w:tcPr>
          <w:p w14:paraId="072FDD22" w14:textId="77777777" w:rsidR="00990B14" w:rsidRDefault="00000000">
            <w:pPr>
              <w:spacing w:before="20" w:after="20"/>
              <w:jc w:val="both"/>
            </w:pPr>
            <w:r>
              <w:rPr>
                <w:sz w:val="18"/>
                <w:szCs w:val="18"/>
              </w:rPr>
              <w:t>Control gubernamental</w:t>
            </w:r>
          </w:p>
        </w:tc>
        <w:tc>
          <w:tcPr>
            <w:tcW w:w="1910" w:type="dxa"/>
            <w:shd w:val="clear" w:color="auto" w:fill="D9E2F3"/>
            <w:vAlign w:val="center"/>
          </w:tcPr>
          <w:p w14:paraId="52430624" w14:textId="77777777" w:rsidR="00990B14" w:rsidRDefault="00000000">
            <w:pPr>
              <w:spacing w:before="20" w:after="20"/>
              <w:jc w:val="both"/>
            </w:pPr>
            <w:r>
              <w:rPr>
                <w:sz w:val="18"/>
                <w:szCs w:val="18"/>
              </w:rPr>
              <w:t>No identifica el control gubernamental.</w:t>
            </w:r>
          </w:p>
        </w:tc>
        <w:tc>
          <w:tcPr>
            <w:tcW w:w="1910" w:type="dxa"/>
            <w:shd w:val="clear" w:color="auto" w:fill="D9E2F3"/>
            <w:vAlign w:val="center"/>
          </w:tcPr>
          <w:p w14:paraId="704F7408" w14:textId="77777777" w:rsidR="00990B14" w:rsidRDefault="00000000">
            <w:pPr>
              <w:spacing w:before="20" w:after="20"/>
              <w:jc w:val="both"/>
            </w:pPr>
            <w:r>
              <w:rPr>
                <w:sz w:val="18"/>
                <w:szCs w:val="18"/>
              </w:rPr>
              <w:t>Distingue el control interno y el control externo.</w:t>
            </w:r>
          </w:p>
        </w:tc>
        <w:tc>
          <w:tcPr>
            <w:tcW w:w="1868" w:type="dxa"/>
            <w:shd w:val="clear" w:color="auto" w:fill="D9E2F3"/>
            <w:vAlign w:val="center"/>
          </w:tcPr>
          <w:p w14:paraId="332358C2" w14:textId="77777777" w:rsidR="00990B14" w:rsidRDefault="00000000">
            <w:pPr>
              <w:spacing w:before="20" w:after="20"/>
              <w:jc w:val="both"/>
            </w:pPr>
            <w:r>
              <w:rPr>
                <w:sz w:val="18"/>
                <w:szCs w:val="18"/>
              </w:rPr>
              <w:t>Explica el rol del control en la transparencia y la responsabilidad por la función pública.</w:t>
            </w:r>
          </w:p>
        </w:tc>
      </w:tr>
      <w:tr w:rsidR="00990B14" w14:paraId="397EC13D" w14:textId="77777777">
        <w:trPr>
          <w:cantSplit/>
          <w:jc w:val="center"/>
        </w:trPr>
        <w:tc>
          <w:tcPr>
            <w:tcW w:w="1850" w:type="dxa"/>
            <w:vMerge/>
            <w:shd w:val="clear" w:color="auto" w:fill="4472C4"/>
            <w:vAlign w:val="center"/>
          </w:tcPr>
          <w:p w14:paraId="17D79754" w14:textId="77777777" w:rsidR="00990B14" w:rsidRDefault="00990B14">
            <w:pPr>
              <w:spacing w:before="20" w:after="20"/>
            </w:pPr>
          </w:p>
        </w:tc>
        <w:tc>
          <w:tcPr>
            <w:tcW w:w="5687" w:type="dxa"/>
            <w:gridSpan w:val="3"/>
            <w:shd w:val="clear" w:color="auto" w:fill="D9E2F3"/>
            <w:vAlign w:val="center"/>
          </w:tcPr>
          <w:p w14:paraId="44D51D80" w14:textId="77777777" w:rsidR="00990B14" w:rsidRDefault="00000000">
            <w:pPr>
              <w:keepNext/>
              <w:spacing w:before="20" w:after="20"/>
              <w:jc w:val="both"/>
            </w:pPr>
            <w:r>
              <w:rPr>
                <w:b/>
                <w:bCs/>
                <w:i/>
                <w:iCs/>
                <w:sz w:val="18"/>
                <w:szCs w:val="18"/>
              </w:rPr>
              <w:t xml:space="preserve">Producto 6: </w:t>
            </w:r>
            <w:r>
              <w:rPr>
                <w:sz w:val="18"/>
                <w:szCs w:val="18"/>
              </w:rPr>
              <w:t>Informe de gestión institucional por resultados y su rendición de cuentas.</w:t>
            </w:r>
          </w:p>
        </w:tc>
        <w:tc>
          <w:tcPr>
            <w:tcW w:w="1868" w:type="dxa"/>
            <w:shd w:val="clear" w:color="auto" w:fill="D9E2F3"/>
            <w:vAlign w:val="center"/>
          </w:tcPr>
          <w:p w14:paraId="3ED982E1" w14:textId="77777777" w:rsidR="00990B14" w:rsidRDefault="00000000">
            <w:pPr>
              <w:spacing w:before="20" w:after="20"/>
              <w:jc w:val="center"/>
            </w:pPr>
            <w:r>
              <w:rPr>
                <w:b/>
                <w:bCs/>
                <w:sz w:val="18"/>
                <w:szCs w:val="18"/>
              </w:rPr>
              <w:t>5%</w:t>
            </w:r>
          </w:p>
        </w:tc>
      </w:tr>
      <w:tr w:rsidR="00990B14" w14:paraId="05E1480A" w14:textId="77777777">
        <w:trPr>
          <w:cantSplit/>
          <w:jc w:val="center"/>
        </w:trPr>
        <w:tc>
          <w:tcPr>
            <w:tcW w:w="1850" w:type="dxa"/>
            <w:vMerge/>
            <w:shd w:val="clear" w:color="auto" w:fill="4472C4"/>
            <w:vAlign w:val="center"/>
          </w:tcPr>
          <w:p w14:paraId="4EC81049" w14:textId="77777777" w:rsidR="00990B14" w:rsidRDefault="00990B14">
            <w:pPr>
              <w:spacing w:before="20" w:after="20"/>
            </w:pPr>
          </w:p>
        </w:tc>
        <w:tc>
          <w:tcPr>
            <w:tcW w:w="1867" w:type="dxa"/>
            <w:shd w:val="clear" w:color="auto" w:fill="4472C4"/>
            <w:vAlign w:val="center"/>
          </w:tcPr>
          <w:p w14:paraId="6C25932A"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788B9982"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1E8CF5C2" w14:textId="77777777" w:rsidR="00990B14" w:rsidRDefault="00000000">
            <w:pPr>
              <w:keepNext/>
              <w:spacing w:before="20" w:after="20"/>
              <w:jc w:val="center"/>
            </w:pPr>
            <w:r>
              <w:rPr>
                <w:b/>
                <w:bCs/>
                <w:i/>
                <w:iCs/>
                <w:color w:val="FFFFFF"/>
                <w:sz w:val="18"/>
                <w:szCs w:val="18"/>
              </w:rPr>
              <w:t>Suficiente (51–80)</w:t>
            </w:r>
          </w:p>
        </w:tc>
        <w:tc>
          <w:tcPr>
            <w:tcW w:w="1868" w:type="dxa"/>
            <w:shd w:val="clear" w:color="auto" w:fill="4472C4"/>
            <w:vAlign w:val="center"/>
          </w:tcPr>
          <w:p w14:paraId="20BCCBC0" w14:textId="77777777" w:rsidR="00990B14" w:rsidRDefault="00000000">
            <w:pPr>
              <w:keepNext/>
              <w:spacing w:before="20" w:after="20"/>
              <w:jc w:val="center"/>
            </w:pPr>
            <w:r>
              <w:rPr>
                <w:b/>
                <w:bCs/>
                <w:i/>
                <w:iCs/>
                <w:color w:val="FFFFFF"/>
                <w:sz w:val="18"/>
                <w:szCs w:val="18"/>
              </w:rPr>
              <w:t>Destacado (81–100)</w:t>
            </w:r>
          </w:p>
        </w:tc>
      </w:tr>
      <w:tr w:rsidR="00990B14" w14:paraId="1CBD0681" w14:textId="77777777">
        <w:trPr>
          <w:cantSplit/>
          <w:jc w:val="center"/>
        </w:trPr>
        <w:tc>
          <w:tcPr>
            <w:tcW w:w="1850" w:type="dxa"/>
            <w:vMerge/>
            <w:shd w:val="clear" w:color="auto" w:fill="4472C4"/>
            <w:vAlign w:val="center"/>
          </w:tcPr>
          <w:p w14:paraId="2E955F75" w14:textId="77777777" w:rsidR="00990B14" w:rsidRDefault="00990B14">
            <w:pPr>
              <w:spacing w:before="20" w:after="20"/>
            </w:pPr>
          </w:p>
        </w:tc>
        <w:tc>
          <w:tcPr>
            <w:tcW w:w="1867" w:type="dxa"/>
            <w:shd w:val="clear" w:color="auto" w:fill="D9E2F3"/>
            <w:vAlign w:val="center"/>
          </w:tcPr>
          <w:p w14:paraId="337BCB58" w14:textId="77777777" w:rsidR="00990B14" w:rsidRDefault="00000000">
            <w:pPr>
              <w:spacing w:before="20" w:after="20"/>
              <w:jc w:val="both"/>
            </w:pPr>
            <w:r>
              <w:rPr>
                <w:sz w:val="18"/>
                <w:szCs w:val="18"/>
              </w:rPr>
              <w:t>Resultados de la gestión</w:t>
            </w:r>
          </w:p>
        </w:tc>
        <w:tc>
          <w:tcPr>
            <w:tcW w:w="1910" w:type="dxa"/>
            <w:shd w:val="clear" w:color="auto" w:fill="D9E2F3"/>
            <w:vAlign w:val="center"/>
          </w:tcPr>
          <w:p w14:paraId="2F34BF85" w14:textId="77777777" w:rsidR="00990B14" w:rsidRDefault="00000000">
            <w:pPr>
              <w:spacing w:before="20" w:after="20"/>
              <w:jc w:val="both"/>
            </w:pPr>
            <w:r>
              <w:rPr>
                <w:sz w:val="18"/>
                <w:szCs w:val="18"/>
              </w:rPr>
              <w:t>No presenta resultados o los presenta sin respaldo.</w:t>
            </w:r>
          </w:p>
        </w:tc>
        <w:tc>
          <w:tcPr>
            <w:tcW w:w="1910" w:type="dxa"/>
            <w:shd w:val="clear" w:color="auto" w:fill="D9E2F3"/>
            <w:vAlign w:val="center"/>
          </w:tcPr>
          <w:p w14:paraId="15A40EE9" w14:textId="77777777" w:rsidR="00990B14" w:rsidRDefault="00000000">
            <w:pPr>
              <w:spacing w:before="20" w:after="20"/>
              <w:jc w:val="both"/>
            </w:pPr>
            <w:r>
              <w:rPr>
                <w:sz w:val="18"/>
                <w:szCs w:val="18"/>
              </w:rPr>
              <w:t>Presenta resultados con indicadores de gestión.</w:t>
            </w:r>
          </w:p>
        </w:tc>
        <w:tc>
          <w:tcPr>
            <w:tcW w:w="1868" w:type="dxa"/>
            <w:shd w:val="clear" w:color="auto" w:fill="D9E2F3"/>
            <w:vAlign w:val="center"/>
          </w:tcPr>
          <w:p w14:paraId="51DCBFF5" w14:textId="77777777" w:rsidR="00990B14" w:rsidRDefault="00000000">
            <w:pPr>
              <w:spacing w:before="20" w:after="20"/>
              <w:jc w:val="both"/>
            </w:pPr>
            <w:r>
              <w:rPr>
                <w:sz w:val="18"/>
                <w:szCs w:val="18"/>
              </w:rPr>
              <w:t>Analiza el cumplimiento de metas y justifica las desviaciones.</w:t>
            </w:r>
          </w:p>
        </w:tc>
      </w:tr>
      <w:tr w:rsidR="00990B14" w14:paraId="06CD3ECE" w14:textId="77777777">
        <w:trPr>
          <w:cantSplit/>
          <w:jc w:val="center"/>
        </w:trPr>
        <w:tc>
          <w:tcPr>
            <w:tcW w:w="1850" w:type="dxa"/>
            <w:vMerge/>
            <w:shd w:val="clear" w:color="auto" w:fill="4472C4"/>
            <w:vAlign w:val="center"/>
          </w:tcPr>
          <w:p w14:paraId="1AAF36F1" w14:textId="77777777" w:rsidR="00990B14" w:rsidRDefault="00990B14">
            <w:pPr>
              <w:spacing w:before="20" w:after="20"/>
            </w:pPr>
          </w:p>
        </w:tc>
        <w:tc>
          <w:tcPr>
            <w:tcW w:w="1867" w:type="dxa"/>
            <w:shd w:val="clear" w:color="auto" w:fill="D9E2F3"/>
            <w:vAlign w:val="center"/>
          </w:tcPr>
          <w:p w14:paraId="4EDB783E" w14:textId="77777777" w:rsidR="00990B14" w:rsidRDefault="00000000">
            <w:pPr>
              <w:spacing w:before="20" w:after="20"/>
              <w:jc w:val="both"/>
            </w:pPr>
            <w:r>
              <w:rPr>
                <w:sz w:val="18"/>
                <w:szCs w:val="18"/>
              </w:rPr>
              <w:t>Ejecución de recursos</w:t>
            </w:r>
          </w:p>
        </w:tc>
        <w:tc>
          <w:tcPr>
            <w:tcW w:w="1910" w:type="dxa"/>
            <w:shd w:val="clear" w:color="auto" w:fill="D9E2F3"/>
            <w:vAlign w:val="center"/>
          </w:tcPr>
          <w:p w14:paraId="54A0C14F" w14:textId="77777777" w:rsidR="00990B14" w:rsidRDefault="00000000">
            <w:pPr>
              <w:spacing w:before="20" w:after="20"/>
              <w:jc w:val="both"/>
            </w:pPr>
            <w:r>
              <w:rPr>
                <w:sz w:val="18"/>
                <w:szCs w:val="18"/>
              </w:rPr>
              <w:t>Omite información de ejecución presupuestaria.</w:t>
            </w:r>
          </w:p>
        </w:tc>
        <w:tc>
          <w:tcPr>
            <w:tcW w:w="1910" w:type="dxa"/>
            <w:shd w:val="clear" w:color="auto" w:fill="D9E2F3"/>
            <w:vAlign w:val="center"/>
          </w:tcPr>
          <w:p w14:paraId="3624C4EC" w14:textId="77777777" w:rsidR="00990B14" w:rsidRDefault="00000000">
            <w:pPr>
              <w:spacing w:before="20" w:after="20"/>
              <w:jc w:val="both"/>
            </w:pPr>
            <w:r>
              <w:rPr>
                <w:sz w:val="18"/>
                <w:szCs w:val="18"/>
              </w:rPr>
              <w:t>Presenta la ejecución de recursos y gastos de la gestión.</w:t>
            </w:r>
          </w:p>
        </w:tc>
        <w:tc>
          <w:tcPr>
            <w:tcW w:w="1868" w:type="dxa"/>
            <w:shd w:val="clear" w:color="auto" w:fill="D9E2F3"/>
            <w:vAlign w:val="center"/>
          </w:tcPr>
          <w:p w14:paraId="3BA367AD" w14:textId="77777777" w:rsidR="00990B14" w:rsidRDefault="00000000">
            <w:pPr>
              <w:spacing w:before="20" w:after="20"/>
              <w:jc w:val="both"/>
            </w:pPr>
            <w:r>
              <w:rPr>
                <w:sz w:val="18"/>
                <w:szCs w:val="18"/>
              </w:rPr>
              <w:t>Relaciona la ejecución presupuestaria con los resultados alcanzados.</w:t>
            </w:r>
          </w:p>
        </w:tc>
      </w:tr>
      <w:tr w:rsidR="00990B14" w14:paraId="41DB3D77" w14:textId="77777777">
        <w:trPr>
          <w:cantSplit/>
          <w:jc w:val="center"/>
        </w:trPr>
        <w:tc>
          <w:tcPr>
            <w:tcW w:w="1850" w:type="dxa"/>
            <w:vMerge/>
            <w:shd w:val="clear" w:color="auto" w:fill="4472C4"/>
            <w:vAlign w:val="center"/>
          </w:tcPr>
          <w:p w14:paraId="0AEF07FB" w14:textId="77777777" w:rsidR="00990B14" w:rsidRDefault="00990B14">
            <w:pPr>
              <w:spacing w:before="20" w:after="20"/>
            </w:pPr>
          </w:p>
        </w:tc>
        <w:tc>
          <w:tcPr>
            <w:tcW w:w="1867" w:type="dxa"/>
            <w:shd w:val="clear" w:color="auto" w:fill="D9E2F3"/>
            <w:vAlign w:val="center"/>
          </w:tcPr>
          <w:p w14:paraId="0F11E2EE" w14:textId="77777777" w:rsidR="00990B14" w:rsidRDefault="00000000">
            <w:pPr>
              <w:spacing w:before="20" w:after="20"/>
              <w:jc w:val="both"/>
            </w:pPr>
            <w:r>
              <w:rPr>
                <w:sz w:val="18"/>
                <w:szCs w:val="18"/>
              </w:rPr>
              <w:t>Rendición de cuentas</w:t>
            </w:r>
          </w:p>
        </w:tc>
        <w:tc>
          <w:tcPr>
            <w:tcW w:w="1910" w:type="dxa"/>
            <w:shd w:val="clear" w:color="auto" w:fill="D9E2F3"/>
            <w:vAlign w:val="center"/>
          </w:tcPr>
          <w:p w14:paraId="3C3B8786" w14:textId="77777777" w:rsidR="00990B14" w:rsidRDefault="00000000">
            <w:pPr>
              <w:spacing w:before="20" w:after="20"/>
              <w:jc w:val="both"/>
            </w:pPr>
            <w:r>
              <w:rPr>
                <w:sz w:val="18"/>
                <w:szCs w:val="18"/>
              </w:rPr>
              <w:t>No incluye la rendición de cuentas.</w:t>
            </w:r>
          </w:p>
        </w:tc>
        <w:tc>
          <w:tcPr>
            <w:tcW w:w="1910" w:type="dxa"/>
            <w:shd w:val="clear" w:color="auto" w:fill="D9E2F3"/>
            <w:vAlign w:val="center"/>
          </w:tcPr>
          <w:p w14:paraId="52CAE8F5" w14:textId="77777777" w:rsidR="00990B14" w:rsidRDefault="00000000">
            <w:pPr>
              <w:spacing w:before="20" w:after="20"/>
              <w:jc w:val="both"/>
            </w:pPr>
            <w:r>
              <w:rPr>
                <w:sz w:val="18"/>
                <w:szCs w:val="18"/>
              </w:rPr>
              <w:t>Incluye una rendición de cuentas con información básica.</w:t>
            </w:r>
          </w:p>
        </w:tc>
        <w:tc>
          <w:tcPr>
            <w:tcW w:w="1868" w:type="dxa"/>
            <w:shd w:val="clear" w:color="auto" w:fill="D9E2F3"/>
            <w:vAlign w:val="center"/>
          </w:tcPr>
          <w:p w14:paraId="4D57F192" w14:textId="77777777" w:rsidR="00990B14" w:rsidRDefault="00000000">
            <w:pPr>
              <w:spacing w:before="20" w:after="20"/>
              <w:jc w:val="both"/>
            </w:pPr>
            <w:r>
              <w:rPr>
                <w:sz w:val="18"/>
                <w:szCs w:val="18"/>
              </w:rPr>
              <w:t>Presenta una rendición de cuentas clara, oportuna, transparente y sustentada.</w:t>
            </w:r>
          </w:p>
        </w:tc>
      </w:tr>
      <w:tr w:rsidR="00990B14" w14:paraId="0990941A" w14:textId="77777777">
        <w:trPr>
          <w:cantSplit/>
          <w:jc w:val="center"/>
        </w:trPr>
        <w:tc>
          <w:tcPr>
            <w:tcW w:w="1850" w:type="dxa"/>
            <w:vMerge/>
            <w:shd w:val="clear" w:color="auto" w:fill="4472C4"/>
            <w:vAlign w:val="center"/>
          </w:tcPr>
          <w:p w14:paraId="12D1C664" w14:textId="77777777" w:rsidR="00990B14" w:rsidRDefault="00990B14">
            <w:pPr>
              <w:spacing w:before="20" w:after="20"/>
            </w:pPr>
          </w:p>
        </w:tc>
        <w:tc>
          <w:tcPr>
            <w:tcW w:w="5687" w:type="dxa"/>
            <w:gridSpan w:val="3"/>
            <w:shd w:val="clear" w:color="auto" w:fill="D9E2F3"/>
            <w:vAlign w:val="center"/>
          </w:tcPr>
          <w:p w14:paraId="14B49ABC" w14:textId="77777777" w:rsidR="00990B14" w:rsidRDefault="00000000">
            <w:pPr>
              <w:keepNext/>
              <w:spacing w:before="20" w:after="20"/>
              <w:jc w:val="both"/>
            </w:pPr>
            <w:r>
              <w:rPr>
                <w:b/>
                <w:bCs/>
                <w:i/>
                <w:iCs/>
                <w:sz w:val="18"/>
                <w:szCs w:val="18"/>
              </w:rPr>
              <w:t xml:space="preserve">Producto 7: </w:t>
            </w:r>
            <w:r>
              <w:rPr>
                <w:sz w:val="18"/>
                <w:szCs w:val="18"/>
              </w:rPr>
              <w:t>Cuadro comparativo de los tipos de responsabilidad por la función pública.</w:t>
            </w:r>
          </w:p>
        </w:tc>
        <w:tc>
          <w:tcPr>
            <w:tcW w:w="1868" w:type="dxa"/>
            <w:shd w:val="clear" w:color="auto" w:fill="D9E2F3"/>
            <w:vAlign w:val="center"/>
          </w:tcPr>
          <w:p w14:paraId="6FA0DECF" w14:textId="77777777" w:rsidR="00990B14" w:rsidRDefault="00000000">
            <w:pPr>
              <w:spacing w:before="20" w:after="20"/>
              <w:jc w:val="center"/>
            </w:pPr>
            <w:r>
              <w:rPr>
                <w:b/>
                <w:bCs/>
                <w:sz w:val="18"/>
                <w:szCs w:val="18"/>
              </w:rPr>
              <w:t>2%</w:t>
            </w:r>
          </w:p>
        </w:tc>
      </w:tr>
      <w:tr w:rsidR="00990B14" w14:paraId="40850545" w14:textId="77777777">
        <w:trPr>
          <w:cantSplit/>
          <w:jc w:val="center"/>
        </w:trPr>
        <w:tc>
          <w:tcPr>
            <w:tcW w:w="1850" w:type="dxa"/>
            <w:vMerge/>
            <w:shd w:val="clear" w:color="auto" w:fill="4472C4"/>
            <w:vAlign w:val="center"/>
          </w:tcPr>
          <w:p w14:paraId="0A8E6850" w14:textId="77777777" w:rsidR="00990B14" w:rsidRDefault="00990B14">
            <w:pPr>
              <w:spacing w:before="20" w:after="20"/>
            </w:pPr>
          </w:p>
        </w:tc>
        <w:tc>
          <w:tcPr>
            <w:tcW w:w="1867" w:type="dxa"/>
            <w:shd w:val="clear" w:color="auto" w:fill="4472C4"/>
            <w:vAlign w:val="center"/>
          </w:tcPr>
          <w:p w14:paraId="144487C0"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24189D8E"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5F610B07" w14:textId="77777777" w:rsidR="00990B14" w:rsidRDefault="00000000">
            <w:pPr>
              <w:keepNext/>
              <w:spacing w:before="20" w:after="20"/>
              <w:jc w:val="center"/>
            </w:pPr>
            <w:r>
              <w:rPr>
                <w:b/>
                <w:bCs/>
                <w:i/>
                <w:iCs/>
                <w:color w:val="FFFFFF"/>
                <w:sz w:val="18"/>
                <w:szCs w:val="18"/>
              </w:rPr>
              <w:t>Suficiente (51–80)</w:t>
            </w:r>
          </w:p>
        </w:tc>
        <w:tc>
          <w:tcPr>
            <w:tcW w:w="1868" w:type="dxa"/>
            <w:shd w:val="clear" w:color="auto" w:fill="4472C4"/>
            <w:vAlign w:val="center"/>
          </w:tcPr>
          <w:p w14:paraId="28F0FF75" w14:textId="77777777" w:rsidR="00990B14" w:rsidRDefault="00000000">
            <w:pPr>
              <w:keepNext/>
              <w:spacing w:before="20" w:after="20"/>
              <w:jc w:val="center"/>
            </w:pPr>
            <w:r>
              <w:rPr>
                <w:b/>
                <w:bCs/>
                <w:i/>
                <w:iCs/>
                <w:color w:val="FFFFFF"/>
                <w:sz w:val="18"/>
                <w:szCs w:val="18"/>
              </w:rPr>
              <w:t>Destacado (81–100)</w:t>
            </w:r>
          </w:p>
        </w:tc>
      </w:tr>
      <w:tr w:rsidR="00990B14" w14:paraId="6711B793" w14:textId="77777777">
        <w:trPr>
          <w:cantSplit/>
          <w:jc w:val="center"/>
        </w:trPr>
        <w:tc>
          <w:tcPr>
            <w:tcW w:w="1850" w:type="dxa"/>
            <w:vMerge/>
            <w:shd w:val="clear" w:color="auto" w:fill="4472C4"/>
            <w:vAlign w:val="center"/>
          </w:tcPr>
          <w:p w14:paraId="4A27F2C5" w14:textId="77777777" w:rsidR="00990B14" w:rsidRDefault="00990B14">
            <w:pPr>
              <w:spacing w:before="20" w:after="20"/>
            </w:pPr>
          </w:p>
        </w:tc>
        <w:tc>
          <w:tcPr>
            <w:tcW w:w="1867" w:type="dxa"/>
            <w:shd w:val="clear" w:color="auto" w:fill="D9E2F3"/>
            <w:vAlign w:val="center"/>
          </w:tcPr>
          <w:p w14:paraId="79994D13" w14:textId="77777777" w:rsidR="00990B14" w:rsidRDefault="00000000">
            <w:pPr>
              <w:spacing w:before="20" w:after="20"/>
              <w:jc w:val="both"/>
            </w:pPr>
            <w:r>
              <w:rPr>
                <w:sz w:val="18"/>
                <w:szCs w:val="18"/>
              </w:rPr>
              <w:t>Tipos de responsabilidad</w:t>
            </w:r>
          </w:p>
        </w:tc>
        <w:tc>
          <w:tcPr>
            <w:tcW w:w="1910" w:type="dxa"/>
            <w:shd w:val="clear" w:color="auto" w:fill="D9E2F3"/>
            <w:vAlign w:val="center"/>
          </w:tcPr>
          <w:p w14:paraId="092EC61F" w14:textId="77777777" w:rsidR="00990B14" w:rsidRDefault="00000000">
            <w:pPr>
              <w:spacing w:before="20" w:after="20"/>
              <w:jc w:val="both"/>
            </w:pPr>
            <w:r>
              <w:rPr>
                <w:sz w:val="18"/>
                <w:szCs w:val="18"/>
              </w:rPr>
              <w:t>Identifica solo uno o confunde los tipos (administrativa, ejecutiva, civil y penal).</w:t>
            </w:r>
          </w:p>
        </w:tc>
        <w:tc>
          <w:tcPr>
            <w:tcW w:w="1910" w:type="dxa"/>
            <w:shd w:val="clear" w:color="auto" w:fill="D9E2F3"/>
            <w:vAlign w:val="center"/>
          </w:tcPr>
          <w:p w14:paraId="62733C3F" w14:textId="77777777" w:rsidR="00990B14" w:rsidRDefault="00000000">
            <w:pPr>
              <w:spacing w:before="20" w:after="20"/>
              <w:jc w:val="both"/>
            </w:pPr>
            <w:r>
              <w:rPr>
                <w:sz w:val="18"/>
                <w:szCs w:val="18"/>
              </w:rPr>
              <w:t>Identifica los cuatro tipos de responsabilidad.</w:t>
            </w:r>
          </w:p>
        </w:tc>
        <w:tc>
          <w:tcPr>
            <w:tcW w:w="1868" w:type="dxa"/>
            <w:shd w:val="clear" w:color="auto" w:fill="D9E2F3"/>
            <w:vAlign w:val="center"/>
          </w:tcPr>
          <w:p w14:paraId="79DB246F" w14:textId="77777777" w:rsidR="00990B14" w:rsidRDefault="00000000">
            <w:pPr>
              <w:spacing w:before="20" w:after="20"/>
              <w:jc w:val="both"/>
            </w:pPr>
            <w:r>
              <w:rPr>
                <w:sz w:val="18"/>
                <w:szCs w:val="18"/>
              </w:rPr>
              <w:t>Define cada tipo con precisión y ejemplos de la función pública.</w:t>
            </w:r>
          </w:p>
        </w:tc>
      </w:tr>
      <w:tr w:rsidR="00990B14" w14:paraId="0C875081" w14:textId="77777777">
        <w:trPr>
          <w:cantSplit/>
          <w:jc w:val="center"/>
        </w:trPr>
        <w:tc>
          <w:tcPr>
            <w:tcW w:w="1850" w:type="dxa"/>
            <w:vMerge/>
            <w:shd w:val="clear" w:color="auto" w:fill="4472C4"/>
            <w:vAlign w:val="center"/>
          </w:tcPr>
          <w:p w14:paraId="2DBC68FB" w14:textId="77777777" w:rsidR="00990B14" w:rsidRDefault="00990B14">
            <w:pPr>
              <w:spacing w:before="20" w:after="20"/>
            </w:pPr>
          </w:p>
        </w:tc>
        <w:tc>
          <w:tcPr>
            <w:tcW w:w="1867" w:type="dxa"/>
            <w:shd w:val="clear" w:color="auto" w:fill="D9E2F3"/>
            <w:vAlign w:val="center"/>
          </w:tcPr>
          <w:p w14:paraId="30143236" w14:textId="77777777" w:rsidR="00990B14" w:rsidRDefault="00000000">
            <w:pPr>
              <w:spacing w:before="20" w:after="20"/>
              <w:jc w:val="both"/>
            </w:pPr>
            <w:r>
              <w:rPr>
                <w:sz w:val="18"/>
                <w:szCs w:val="18"/>
              </w:rPr>
              <w:t>Criterios de comparación</w:t>
            </w:r>
          </w:p>
        </w:tc>
        <w:tc>
          <w:tcPr>
            <w:tcW w:w="1910" w:type="dxa"/>
            <w:shd w:val="clear" w:color="auto" w:fill="D9E2F3"/>
            <w:vAlign w:val="center"/>
          </w:tcPr>
          <w:p w14:paraId="11D710F8" w14:textId="77777777" w:rsidR="00990B14" w:rsidRDefault="00000000">
            <w:pPr>
              <w:spacing w:before="20" w:after="20"/>
              <w:jc w:val="both"/>
            </w:pPr>
            <w:r>
              <w:rPr>
                <w:sz w:val="18"/>
                <w:szCs w:val="18"/>
              </w:rPr>
              <w:t>Compara sin criterios definidos.</w:t>
            </w:r>
          </w:p>
        </w:tc>
        <w:tc>
          <w:tcPr>
            <w:tcW w:w="1910" w:type="dxa"/>
            <w:shd w:val="clear" w:color="auto" w:fill="D9E2F3"/>
            <w:vAlign w:val="center"/>
          </w:tcPr>
          <w:p w14:paraId="02B2BB49" w14:textId="77777777" w:rsidR="00990B14" w:rsidRDefault="00000000">
            <w:pPr>
              <w:spacing w:before="20" w:after="20"/>
              <w:jc w:val="both"/>
            </w:pPr>
            <w:r>
              <w:rPr>
                <w:sz w:val="18"/>
                <w:szCs w:val="18"/>
              </w:rPr>
              <w:t>Compara por origen, órgano competente y sanción.</w:t>
            </w:r>
          </w:p>
        </w:tc>
        <w:tc>
          <w:tcPr>
            <w:tcW w:w="1868" w:type="dxa"/>
            <w:shd w:val="clear" w:color="auto" w:fill="D9E2F3"/>
            <w:vAlign w:val="center"/>
          </w:tcPr>
          <w:p w14:paraId="1DC7940C" w14:textId="77777777" w:rsidR="00990B14" w:rsidRDefault="00000000">
            <w:pPr>
              <w:spacing w:before="20" w:after="20"/>
              <w:jc w:val="both"/>
            </w:pPr>
            <w:r>
              <w:rPr>
                <w:sz w:val="18"/>
                <w:szCs w:val="18"/>
              </w:rPr>
              <w:t>Compara por origen, procedimiento, sanción y prescripción.</w:t>
            </w:r>
          </w:p>
        </w:tc>
      </w:tr>
      <w:tr w:rsidR="00990B14" w14:paraId="25A99E87" w14:textId="77777777">
        <w:trPr>
          <w:cantSplit/>
          <w:jc w:val="center"/>
        </w:trPr>
        <w:tc>
          <w:tcPr>
            <w:tcW w:w="1850" w:type="dxa"/>
            <w:vMerge/>
            <w:shd w:val="clear" w:color="auto" w:fill="4472C4"/>
            <w:vAlign w:val="center"/>
          </w:tcPr>
          <w:p w14:paraId="3E281B90" w14:textId="77777777" w:rsidR="00990B14" w:rsidRDefault="00990B14">
            <w:pPr>
              <w:spacing w:before="20" w:after="20"/>
            </w:pPr>
          </w:p>
        </w:tc>
        <w:tc>
          <w:tcPr>
            <w:tcW w:w="1867" w:type="dxa"/>
            <w:shd w:val="clear" w:color="auto" w:fill="D9E2F3"/>
            <w:vAlign w:val="center"/>
          </w:tcPr>
          <w:p w14:paraId="23B62DB8" w14:textId="77777777" w:rsidR="00990B14" w:rsidRDefault="00000000">
            <w:pPr>
              <w:spacing w:before="20" w:after="20"/>
              <w:jc w:val="both"/>
            </w:pPr>
            <w:r>
              <w:rPr>
                <w:sz w:val="18"/>
                <w:szCs w:val="18"/>
              </w:rPr>
              <w:t>Sustento normativo</w:t>
            </w:r>
          </w:p>
        </w:tc>
        <w:tc>
          <w:tcPr>
            <w:tcW w:w="1910" w:type="dxa"/>
            <w:shd w:val="clear" w:color="auto" w:fill="D9E2F3"/>
            <w:vAlign w:val="center"/>
          </w:tcPr>
          <w:p w14:paraId="1F04AD7C" w14:textId="77777777" w:rsidR="00990B14" w:rsidRDefault="00000000">
            <w:pPr>
              <w:spacing w:before="20" w:after="20"/>
              <w:jc w:val="both"/>
            </w:pPr>
            <w:r>
              <w:rPr>
                <w:sz w:val="18"/>
                <w:szCs w:val="18"/>
              </w:rPr>
              <w:t>No cita la normativa de la responsabilidad por la función pública.</w:t>
            </w:r>
          </w:p>
        </w:tc>
        <w:tc>
          <w:tcPr>
            <w:tcW w:w="1910" w:type="dxa"/>
            <w:shd w:val="clear" w:color="auto" w:fill="D9E2F3"/>
            <w:vAlign w:val="center"/>
          </w:tcPr>
          <w:p w14:paraId="11802605" w14:textId="77777777" w:rsidR="00990B14" w:rsidRDefault="00000000">
            <w:pPr>
              <w:spacing w:before="20" w:after="20"/>
              <w:jc w:val="both"/>
            </w:pPr>
            <w:r>
              <w:rPr>
                <w:sz w:val="18"/>
                <w:szCs w:val="18"/>
              </w:rPr>
              <w:t>Cita la Ley N.º 1178 y el reglamento de la responsabilidad por la función pública.</w:t>
            </w:r>
          </w:p>
        </w:tc>
        <w:tc>
          <w:tcPr>
            <w:tcW w:w="1868" w:type="dxa"/>
            <w:shd w:val="clear" w:color="auto" w:fill="D9E2F3"/>
            <w:vAlign w:val="center"/>
          </w:tcPr>
          <w:p w14:paraId="7C3F5B97" w14:textId="77777777" w:rsidR="00990B14" w:rsidRDefault="00000000">
            <w:pPr>
              <w:spacing w:before="20" w:after="20"/>
              <w:jc w:val="both"/>
            </w:pPr>
            <w:r>
              <w:rPr>
                <w:sz w:val="18"/>
                <w:szCs w:val="18"/>
              </w:rPr>
              <w:t>Relaciona cada tipo de responsabilidad con los artículos de la norma aplicable.</w:t>
            </w:r>
          </w:p>
        </w:tc>
      </w:tr>
      <w:tr w:rsidR="00990B14" w14:paraId="0B5A87CE" w14:textId="77777777">
        <w:trPr>
          <w:cantSplit/>
          <w:jc w:val="center"/>
        </w:trPr>
        <w:tc>
          <w:tcPr>
            <w:tcW w:w="1850" w:type="dxa"/>
            <w:vMerge/>
            <w:shd w:val="clear" w:color="auto" w:fill="4472C4"/>
            <w:vAlign w:val="center"/>
          </w:tcPr>
          <w:p w14:paraId="77335F75" w14:textId="77777777" w:rsidR="00990B14" w:rsidRDefault="00990B14">
            <w:pPr>
              <w:spacing w:before="20" w:after="20"/>
            </w:pPr>
          </w:p>
        </w:tc>
        <w:tc>
          <w:tcPr>
            <w:tcW w:w="5687" w:type="dxa"/>
            <w:gridSpan w:val="3"/>
            <w:shd w:val="clear" w:color="auto" w:fill="D9E2F3"/>
            <w:vAlign w:val="center"/>
          </w:tcPr>
          <w:p w14:paraId="08E1F11C" w14:textId="77777777" w:rsidR="00990B14" w:rsidRDefault="00000000">
            <w:pPr>
              <w:keepNext/>
              <w:spacing w:before="20" w:after="20"/>
              <w:jc w:val="both"/>
            </w:pPr>
            <w:r>
              <w:rPr>
                <w:b/>
                <w:bCs/>
                <w:i/>
                <w:iCs/>
                <w:sz w:val="18"/>
                <w:szCs w:val="18"/>
              </w:rPr>
              <w:t xml:space="preserve">Producto 8: </w:t>
            </w:r>
            <w:r>
              <w:rPr>
                <w:sz w:val="18"/>
                <w:szCs w:val="18"/>
              </w:rPr>
              <w:t>Informe del caso, identificando el tipo de responsabilidad y su sanción.</w:t>
            </w:r>
          </w:p>
        </w:tc>
        <w:tc>
          <w:tcPr>
            <w:tcW w:w="1868" w:type="dxa"/>
            <w:shd w:val="clear" w:color="auto" w:fill="D9E2F3"/>
            <w:vAlign w:val="center"/>
          </w:tcPr>
          <w:p w14:paraId="5EEB7E56" w14:textId="77777777" w:rsidR="00990B14" w:rsidRDefault="00000000">
            <w:pPr>
              <w:spacing w:before="20" w:after="20"/>
              <w:jc w:val="center"/>
            </w:pPr>
            <w:r>
              <w:rPr>
                <w:b/>
                <w:bCs/>
                <w:sz w:val="18"/>
                <w:szCs w:val="18"/>
              </w:rPr>
              <w:t>5%</w:t>
            </w:r>
          </w:p>
        </w:tc>
      </w:tr>
      <w:tr w:rsidR="00990B14" w14:paraId="607598EB" w14:textId="77777777">
        <w:trPr>
          <w:cantSplit/>
          <w:jc w:val="center"/>
        </w:trPr>
        <w:tc>
          <w:tcPr>
            <w:tcW w:w="1850" w:type="dxa"/>
            <w:vMerge/>
            <w:shd w:val="clear" w:color="auto" w:fill="4472C4"/>
            <w:vAlign w:val="center"/>
          </w:tcPr>
          <w:p w14:paraId="2B18A628" w14:textId="77777777" w:rsidR="00990B14" w:rsidRDefault="00990B14">
            <w:pPr>
              <w:spacing w:before="20" w:after="20"/>
            </w:pPr>
          </w:p>
        </w:tc>
        <w:tc>
          <w:tcPr>
            <w:tcW w:w="1867" w:type="dxa"/>
            <w:shd w:val="clear" w:color="auto" w:fill="4472C4"/>
            <w:vAlign w:val="center"/>
          </w:tcPr>
          <w:p w14:paraId="6BAB0879"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1B70EFCA"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56ABC62A" w14:textId="77777777" w:rsidR="00990B14" w:rsidRDefault="00000000">
            <w:pPr>
              <w:keepNext/>
              <w:spacing w:before="20" w:after="20"/>
              <w:jc w:val="center"/>
            </w:pPr>
            <w:r>
              <w:rPr>
                <w:b/>
                <w:bCs/>
                <w:i/>
                <w:iCs/>
                <w:color w:val="FFFFFF"/>
                <w:sz w:val="18"/>
                <w:szCs w:val="18"/>
              </w:rPr>
              <w:t>Suficiente (51–80)</w:t>
            </w:r>
          </w:p>
        </w:tc>
        <w:tc>
          <w:tcPr>
            <w:tcW w:w="1868" w:type="dxa"/>
            <w:shd w:val="clear" w:color="auto" w:fill="4472C4"/>
            <w:vAlign w:val="center"/>
          </w:tcPr>
          <w:p w14:paraId="16DE126D" w14:textId="77777777" w:rsidR="00990B14" w:rsidRDefault="00000000">
            <w:pPr>
              <w:keepNext/>
              <w:spacing w:before="20" w:after="20"/>
              <w:jc w:val="center"/>
            </w:pPr>
            <w:r>
              <w:rPr>
                <w:b/>
                <w:bCs/>
                <w:i/>
                <w:iCs/>
                <w:color w:val="FFFFFF"/>
                <w:sz w:val="18"/>
                <w:szCs w:val="18"/>
              </w:rPr>
              <w:t>Destacado (81–100)</w:t>
            </w:r>
          </w:p>
        </w:tc>
      </w:tr>
      <w:tr w:rsidR="00990B14" w14:paraId="2BFF6126" w14:textId="77777777">
        <w:trPr>
          <w:cantSplit/>
          <w:jc w:val="center"/>
        </w:trPr>
        <w:tc>
          <w:tcPr>
            <w:tcW w:w="1850" w:type="dxa"/>
            <w:vMerge/>
            <w:shd w:val="clear" w:color="auto" w:fill="4472C4"/>
            <w:vAlign w:val="center"/>
          </w:tcPr>
          <w:p w14:paraId="1A78477D" w14:textId="77777777" w:rsidR="00990B14" w:rsidRDefault="00990B14">
            <w:pPr>
              <w:spacing w:before="20" w:after="20"/>
            </w:pPr>
          </w:p>
        </w:tc>
        <w:tc>
          <w:tcPr>
            <w:tcW w:w="1867" w:type="dxa"/>
            <w:shd w:val="clear" w:color="auto" w:fill="D9E2F3"/>
            <w:vAlign w:val="center"/>
          </w:tcPr>
          <w:p w14:paraId="135B5144" w14:textId="77777777" w:rsidR="00990B14" w:rsidRDefault="00000000">
            <w:pPr>
              <w:spacing w:before="20" w:after="20"/>
              <w:jc w:val="both"/>
            </w:pPr>
            <w:r>
              <w:rPr>
                <w:sz w:val="18"/>
                <w:szCs w:val="18"/>
              </w:rPr>
              <w:t>Análisis de los hechos</w:t>
            </w:r>
          </w:p>
        </w:tc>
        <w:tc>
          <w:tcPr>
            <w:tcW w:w="1910" w:type="dxa"/>
            <w:shd w:val="clear" w:color="auto" w:fill="D9E2F3"/>
            <w:vAlign w:val="center"/>
          </w:tcPr>
          <w:p w14:paraId="314962CA" w14:textId="77777777" w:rsidR="00990B14" w:rsidRDefault="00000000">
            <w:pPr>
              <w:spacing w:before="20" w:after="20"/>
              <w:jc w:val="both"/>
            </w:pPr>
            <w:r>
              <w:rPr>
                <w:sz w:val="18"/>
                <w:szCs w:val="18"/>
              </w:rPr>
              <w:t>Describe los hechos de forma incompleta.</w:t>
            </w:r>
          </w:p>
        </w:tc>
        <w:tc>
          <w:tcPr>
            <w:tcW w:w="1910" w:type="dxa"/>
            <w:shd w:val="clear" w:color="auto" w:fill="D9E2F3"/>
            <w:vAlign w:val="center"/>
          </w:tcPr>
          <w:p w14:paraId="675FA4FD" w14:textId="77777777" w:rsidR="00990B14" w:rsidRDefault="00000000">
            <w:pPr>
              <w:spacing w:before="20" w:after="20"/>
              <w:jc w:val="both"/>
            </w:pPr>
            <w:r>
              <w:rPr>
                <w:sz w:val="18"/>
                <w:szCs w:val="18"/>
              </w:rPr>
              <w:t>Describe los hechos relevantes del caso.</w:t>
            </w:r>
          </w:p>
        </w:tc>
        <w:tc>
          <w:tcPr>
            <w:tcW w:w="1868" w:type="dxa"/>
            <w:shd w:val="clear" w:color="auto" w:fill="D9E2F3"/>
            <w:vAlign w:val="center"/>
          </w:tcPr>
          <w:p w14:paraId="5B49744C" w14:textId="77777777" w:rsidR="00990B14" w:rsidRDefault="00000000">
            <w:pPr>
              <w:spacing w:before="20" w:after="20"/>
              <w:jc w:val="both"/>
            </w:pPr>
            <w:r>
              <w:rPr>
                <w:sz w:val="18"/>
                <w:szCs w:val="18"/>
              </w:rPr>
              <w:t>Analiza los hechos, identifica las personas y el acto u omisión.</w:t>
            </w:r>
          </w:p>
        </w:tc>
      </w:tr>
      <w:tr w:rsidR="00990B14" w14:paraId="52A94C0F" w14:textId="77777777">
        <w:trPr>
          <w:cantSplit/>
          <w:jc w:val="center"/>
        </w:trPr>
        <w:tc>
          <w:tcPr>
            <w:tcW w:w="1850" w:type="dxa"/>
            <w:vMerge/>
            <w:shd w:val="clear" w:color="auto" w:fill="4472C4"/>
            <w:vAlign w:val="center"/>
          </w:tcPr>
          <w:p w14:paraId="7F3ECAF7" w14:textId="77777777" w:rsidR="00990B14" w:rsidRDefault="00990B14">
            <w:pPr>
              <w:spacing w:before="20" w:after="20"/>
            </w:pPr>
          </w:p>
        </w:tc>
        <w:tc>
          <w:tcPr>
            <w:tcW w:w="1867" w:type="dxa"/>
            <w:shd w:val="clear" w:color="auto" w:fill="D9E2F3"/>
            <w:vAlign w:val="center"/>
          </w:tcPr>
          <w:p w14:paraId="26FD4F9B" w14:textId="77777777" w:rsidR="00990B14" w:rsidRDefault="00000000">
            <w:pPr>
              <w:spacing w:before="20" w:after="20"/>
              <w:jc w:val="both"/>
            </w:pPr>
            <w:r>
              <w:rPr>
                <w:sz w:val="18"/>
                <w:szCs w:val="18"/>
              </w:rPr>
              <w:t>Tipo de responsabilidad</w:t>
            </w:r>
          </w:p>
        </w:tc>
        <w:tc>
          <w:tcPr>
            <w:tcW w:w="1910" w:type="dxa"/>
            <w:shd w:val="clear" w:color="auto" w:fill="D9E2F3"/>
            <w:vAlign w:val="center"/>
          </w:tcPr>
          <w:p w14:paraId="5EE3BA1C" w14:textId="77777777" w:rsidR="00990B14" w:rsidRDefault="00000000">
            <w:pPr>
              <w:spacing w:before="20" w:after="20"/>
              <w:jc w:val="both"/>
            </w:pPr>
            <w:r>
              <w:rPr>
                <w:sz w:val="18"/>
                <w:szCs w:val="18"/>
              </w:rPr>
              <w:t>Identifica mal el tipo de responsabilidad.</w:t>
            </w:r>
          </w:p>
        </w:tc>
        <w:tc>
          <w:tcPr>
            <w:tcW w:w="1910" w:type="dxa"/>
            <w:shd w:val="clear" w:color="auto" w:fill="D9E2F3"/>
            <w:vAlign w:val="center"/>
          </w:tcPr>
          <w:p w14:paraId="6167A4FA" w14:textId="77777777" w:rsidR="00990B14" w:rsidRDefault="00000000">
            <w:pPr>
              <w:spacing w:before="20" w:after="20"/>
              <w:jc w:val="both"/>
            </w:pPr>
            <w:r>
              <w:rPr>
                <w:sz w:val="18"/>
                <w:szCs w:val="18"/>
              </w:rPr>
              <w:t>Identifica el tipo de responsabilidad.</w:t>
            </w:r>
          </w:p>
        </w:tc>
        <w:tc>
          <w:tcPr>
            <w:tcW w:w="1868" w:type="dxa"/>
            <w:shd w:val="clear" w:color="auto" w:fill="D9E2F3"/>
            <w:vAlign w:val="center"/>
          </w:tcPr>
          <w:p w14:paraId="6030FEBC" w14:textId="77777777" w:rsidR="00990B14" w:rsidRDefault="00000000">
            <w:pPr>
              <w:spacing w:before="20" w:after="20"/>
              <w:jc w:val="both"/>
            </w:pPr>
            <w:r>
              <w:rPr>
                <w:sz w:val="18"/>
                <w:szCs w:val="18"/>
              </w:rPr>
              <w:t>Fundamenta el tipo de responsabilidad con la normativa aplicable.</w:t>
            </w:r>
          </w:p>
        </w:tc>
      </w:tr>
      <w:tr w:rsidR="00990B14" w14:paraId="43522782" w14:textId="77777777">
        <w:trPr>
          <w:cantSplit/>
          <w:jc w:val="center"/>
        </w:trPr>
        <w:tc>
          <w:tcPr>
            <w:tcW w:w="1850" w:type="dxa"/>
            <w:vMerge/>
            <w:shd w:val="clear" w:color="auto" w:fill="4472C4"/>
            <w:vAlign w:val="center"/>
          </w:tcPr>
          <w:p w14:paraId="43D7CC84" w14:textId="77777777" w:rsidR="00990B14" w:rsidRDefault="00990B14">
            <w:pPr>
              <w:spacing w:before="20" w:after="20"/>
            </w:pPr>
          </w:p>
        </w:tc>
        <w:tc>
          <w:tcPr>
            <w:tcW w:w="1867" w:type="dxa"/>
            <w:shd w:val="clear" w:color="auto" w:fill="D9E2F3"/>
            <w:vAlign w:val="center"/>
          </w:tcPr>
          <w:p w14:paraId="48CDC177" w14:textId="77777777" w:rsidR="00990B14" w:rsidRDefault="00000000">
            <w:pPr>
              <w:spacing w:before="20" w:after="20"/>
              <w:jc w:val="both"/>
            </w:pPr>
            <w:r>
              <w:rPr>
                <w:sz w:val="18"/>
                <w:szCs w:val="18"/>
              </w:rPr>
              <w:t>Sanción</w:t>
            </w:r>
          </w:p>
        </w:tc>
        <w:tc>
          <w:tcPr>
            <w:tcW w:w="1910" w:type="dxa"/>
            <w:shd w:val="clear" w:color="auto" w:fill="D9E2F3"/>
            <w:vAlign w:val="center"/>
          </w:tcPr>
          <w:p w14:paraId="1883C015" w14:textId="77777777" w:rsidR="00990B14" w:rsidRDefault="00000000">
            <w:pPr>
              <w:spacing w:before="20" w:after="20"/>
              <w:jc w:val="both"/>
            </w:pPr>
            <w:r>
              <w:rPr>
                <w:sz w:val="18"/>
                <w:szCs w:val="18"/>
              </w:rPr>
              <w:t>No determina la sanción o es incorrecta.</w:t>
            </w:r>
          </w:p>
        </w:tc>
        <w:tc>
          <w:tcPr>
            <w:tcW w:w="1910" w:type="dxa"/>
            <w:shd w:val="clear" w:color="auto" w:fill="D9E2F3"/>
            <w:vAlign w:val="center"/>
          </w:tcPr>
          <w:p w14:paraId="116CB4E8" w14:textId="77777777" w:rsidR="00990B14" w:rsidRDefault="00000000">
            <w:pPr>
              <w:spacing w:before="20" w:after="20"/>
              <w:jc w:val="both"/>
            </w:pPr>
            <w:r>
              <w:rPr>
                <w:sz w:val="18"/>
                <w:szCs w:val="18"/>
              </w:rPr>
              <w:t>Determina la sanción correspondiente.</w:t>
            </w:r>
          </w:p>
        </w:tc>
        <w:tc>
          <w:tcPr>
            <w:tcW w:w="1868" w:type="dxa"/>
            <w:shd w:val="clear" w:color="auto" w:fill="D9E2F3"/>
            <w:vAlign w:val="center"/>
          </w:tcPr>
          <w:p w14:paraId="1264E281" w14:textId="77777777" w:rsidR="00990B14" w:rsidRDefault="00000000">
            <w:pPr>
              <w:spacing w:before="20" w:after="20"/>
              <w:jc w:val="both"/>
            </w:pPr>
            <w:r>
              <w:rPr>
                <w:sz w:val="18"/>
                <w:szCs w:val="18"/>
              </w:rPr>
              <w:t>Determina la sanción, el procedimiento y la instancia que la aplica.</w:t>
            </w:r>
          </w:p>
        </w:tc>
      </w:tr>
      <w:tr w:rsidR="00990B14" w14:paraId="09ED6531" w14:textId="77777777">
        <w:trPr>
          <w:cantSplit/>
          <w:jc w:val="center"/>
        </w:trPr>
        <w:tc>
          <w:tcPr>
            <w:tcW w:w="1850" w:type="dxa"/>
            <w:vMerge/>
            <w:shd w:val="clear" w:color="auto" w:fill="4472C4"/>
            <w:vAlign w:val="center"/>
          </w:tcPr>
          <w:p w14:paraId="41C28C5B" w14:textId="77777777" w:rsidR="00990B14" w:rsidRDefault="00990B14">
            <w:pPr>
              <w:spacing w:before="20" w:after="20"/>
            </w:pPr>
          </w:p>
        </w:tc>
        <w:tc>
          <w:tcPr>
            <w:tcW w:w="5687" w:type="dxa"/>
            <w:gridSpan w:val="3"/>
            <w:shd w:val="clear" w:color="auto" w:fill="D9E2F3"/>
            <w:vAlign w:val="center"/>
          </w:tcPr>
          <w:p w14:paraId="5F8F48A3" w14:textId="77777777" w:rsidR="00990B14" w:rsidRDefault="00000000">
            <w:pPr>
              <w:keepNext/>
              <w:spacing w:before="20" w:after="20"/>
              <w:jc w:val="both"/>
            </w:pPr>
            <w:r>
              <w:rPr>
                <w:b/>
                <w:bCs/>
                <w:i/>
                <w:iCs/>
                <w:sz w:val="18"/>
                <w:szCs w:val="18"/>
              </w:rPr>
              <w:t xml:space="preserve">Producto 9: </w:t>
            </w:r>
            <w:r>
              <w:rPr>
                <w:sz w:val="18"/>
                <w:szCs w:val="18"/>
              </w:rPr>
              <w:t>Cuadro de Formulación Presupuestaria de recursos y gastos, de acuerdo con los clasificadores presupuestarios.</w:t>
            </w:r>
          </w:p>
        </w:tc>
        <w:tc>
          <w:tcPr>
            <w:tcW w:w="1868" w:type="dxa"/>
            <w:shd w:val="clear" w:color="auto" w:fill="D9E2F3"/>
            <w:vAlign w:val="center"/>
          </w:tcPr>
          <w:p w14:paraId="16E27D4B" w14:textId="77777777" w:rsidR="00990B14" w:rsidRDefault="00000000">
            <w:pPr>
              <w:spacing w:before="20" w:after="20"/>
              <w:jc w:val="center"/>
            </w:pPr>
            <w:r>
              <w:rPr>
                <w:b/>
                <w:bCs/>
                <w:sz w:val="18"/>
                <w:szCs w:val="18"/>
              </w:rPr>
              <w:t>3%</w:t>
            </w:r>
          </w:p>
        </w:tc>
      </w:tr>
      <w:tr w:rsidR="00990B14" w14:paraId="1C03935A" w14:textId="77777777">
        <w:trPr>
          <w:cantSplit/>
          <w:jc w:val="center"/>
        </w:trPr>
        <w:tc>
          <w:tcPr>
            <w:tcW w:w="1850" w:type="dxa"/>
            <w:vMerge/>
            <w:shd w:val="clear" w:color="auto" w:fill="4472C4"/>
            <w:vAlign w:val="center"/>
          </w:tcPr>
          <w:p w14:paraId="734FAC17" w14:textId="77777777" w:rsidR="00990B14" w:rsidRDefault="00990B14">
            <w:pPr>
              <w:spacing w:before="20" w:after="20"/>
            </w:pPr>
          </w:p>
        </w:tc>
        <w:tc>
          <w:tcPr>
            <w:tcW w:w="1867" w:type="dxa"/>
            <w:shd w:val="clear" w:color="auto" w:fill="4472C4"/>
            <w:vAlign w:val="center"/>
          </w:tcPr>
          <w:p w14:paraId="5289DD66"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0DFF7364"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1BFA74EF" w14:textId="77777777" w:rsidR="00990B14" w:rsidRDefault="00000000">
            <w:pPr>
              <w:keepNext/>
              <w:spacing w:before="20" w:after="20"/>
              <w:jc w:val="center"/>
            </w:pPr>
            <w:r>
              <w:rPr>
                <w:b/>
                <w:bCs/>
                <w:i/>
                <w:iCs/>
                <w:color w:val="FFFFFF"/>
                <w:sz w:val="18"/>
                <w:szCs w:val="18"/>
              </w:rPr>
              <w:t>Suficiente (51–80)</w:t>
            </w:r>
          </w:p>
        </w:tc>
        <w:tc>
          <w:tcPr>
            <w:tcW w:w="1868" w:type="dxa"/>
            <w:shd w:val="clear" w:color="auto" w:fill="4472C4"/>
            <w:vAlign w:val="center"/>
          </w:tcPr>
          <w:p w14:paraId="7264B1BD" w14:textId="77777777" w:rsidR="00990B14" w:rsidRDefault="00000000">
            <w:pPr>
              <w:keepNext/>
              <w:spacing w:before="20" w:after="20"/>
              <w:jc w:val="center"/>
            </w:pPr>
            <w:r>
              <w:rPr>
                <w:b/>
                <w:bCs/>
                <w:i/>
                <w:iCs/>
                <w:color w:val="FFFFFF"/>
                <w:sz w:val="18"/>
                <w:szCs w:val="18"/>
              </w:rPr>
              <w:t>Destacado (81–100)</w:t>
            </w:r>
          </w:p>
        </w:tc>
      </w:tr>
      <w:tr w:rsidR="00990B14" w14:paraId="3958DB09" w14:textId="77777777">
        <w:trPr>
          <w:cantSplit/>
          <w:jc w:val="center"/>
        </w:trPr>
        <w:tc>
          <w:tcPr>
            <w:tcW w:w="1850" w:type="dxa"/>
            <w:vMerge/>
            <w:shd w:val="clear" w:color="auto" w:fill="4472C4"/>
            <w:vAlign w:val="center"/>
          </w:tcPr>
          <w:p w14:paraId="5038A88E" w14:textId="77777777" w:rsidR="00990B14" w:rsidRDefault="00990B14">
            <w:pPr>
              <w:spacing w:before="20" w:after="20"/>
            </w:pPr>
          </w:p>
        </w:tc>
        <w:tc>
          <w:tcPr>
            <w:tcW w:w="1867" w:type="dxa"/>
            <w:shd w:val="clear" w:color="auto" w:fill="D9E2F3"/>
            <w:vAlign w:val="center"/>
          </w:tcPr>
          <w:p w14:paraId="28A726A8" w14:textId="77777777" w:rsidR="00990B14" w:rsidRDefault="00000000">
            <w:pPr>
              <w:spacing w:before="20" w:after="20"/>
              <w:jc w:val="both"/>
            </w:pPr>
            <w:r>
              <w:rPr>
                <w:sz w:val="18"/>
                <w:szCs w:val="18"/>
              </w:rPr>
              <w:t>Recursos</w:t>
            </w:r>
          </w:p>
        </w:tc>
        <w:tc>
          <w:tcPr>
            <w:tcW w:w="1910" w:type="dxa"/>
            <w:shd w:val="clear" w:color="auto" w:fill="D9E2F3"/>
            <w:vAlign w:val="center"/>
          </w:tcPr>
          <w:p w14:paraId="2F82B10E" w14:textId="77777777" w:rsidR="00990B14" w:rsidRDefault="00000000">
            <w:pPr>
              <w:spacing w:before="20" w:after="20"/>
              <w:jc w:val="both"/>
            </w:pPr>
            <w:r>
              <w:rPr>
                <w:sz w:val="18"/>
                <w:szCs w:val="18"/>
              </w:rPr>
              <w:t>Clasifica incorrectamente los recursos.</w:t>
            </w:r>
          </w:p>
        </w:tc>
        <w:tc>
          <w:tcPr>
            <w:tcW w:w="1910" w:type="dxa"/>
            <w:shd w:val="clear" w:color="auto" w:fill="D9E2F3"/>
            <w:vAlign w:val="center"/>
          </w:tcPr>
          <w:p w14:paraId="43CF3E80" w14:textId="77777777" w:rsidR="00990B14" w:rsidRDefault="00000000">
            <w:pPr>
              <w:spacing w:before="20" w:after="20"/>
              <w:jc w:val="both"/>
            </w:pPr>
            <w:r>
              <w:rPr>
                <w:sz w:val="18"/>
                <w:szCs w:val="18"/>
              </w:rPr>
              <w:t>Clasifica los recursos por rubro y fuente de financiamiento.</w:t>
            </w:r>
          </w:p>
        </w:tc>
        <w:tc>
          <w:tcPr>
            <w:tcW w:w="1868" w:type="dxa"/>
            <w:shd w:val="clear" w:color="auto" w:fill="D9E2F3"/>
            <w:vAlign w:val="center"/>
          </w:tcPr>
          <w:p w14:paraId="009D9B3B" w14:textId="77777777" w:rsidR="00990B14" w:rsidRDefault="00000000">
            <w:pPr>
              <w:spacing w:before="20" w:after="20"/>
              <w:jc w:val="both"/>
            </w:pPr>
            <w:r>
              <w:rPr>
                <w:sz w:val="18"/>
                <w:szCs w:val="18"/>
              </w:rPr>
              <w:t>Clasifica y proyecta los recursos con sustento técnico.</w:t>
            </w:r>
          </w:p>
        </w:tc>
      </w:tr>
      <w:tr w:rsidR="00990B14" w14:paraId="04F299C7" w14:textId="77777777">
        <w:trPr>
          <w:cantSplit/>
          <w:jc w:val="center"/>
        </w:trPr>
        <w:tc>
          <w:tcPr>
            <w:tcW w:w="1850" w:type="dxa"/>
            <w:vMerge/>
            <w:shd w:val="clear" w:color="auto" w:fill="4472C4"/>
            <w:vAlign w:val="center"/>
          </w:tcPr>
          <w:p w14:paraId="20D7AF61" w14:textId="77777777" w:rsidR="00990B14" w:rsidRDefault="00990B14">
            <w:pPr>
              <w:spacing w:before="20" w:after="20"/>
            </w:pPr>
          </w:p>
        </w:tc>
        <w:tc>
          <w:tcPr>
            <w:tcW w:w="1867" w:type="dxa"/>
            <w:shd w:val="clear" w:color="auto" w:fill="D9E2F3"/>
            <w:vAlign w:val="center"/>
          </w:tcPr>
          <w:p w14:paraId="0D6FE9A5" w14:textId="77777777" w:rsidR="00990B14" w:rsidRDefault="00000000">
            <w:pPr>
              <w:spacing w:before="20" w:after="20"/>
              <w:jc w:val="both"/>
            </w:pPr>
            <w:r>
              <w:rPr>
                <w:sz w:val="18"/>
                <w:szCs w:val="18"/>
              </w:rPr>
              <w:t>Gastos</w:t>
            </w:r>
          </w:p>
        </w:tc>
        <w:tc>
          <w:tcPr>
            <w:tcW w:w="1910" w:type="dxa"/>
            <w:shd w:val="clear" w:color="auto" w:fill="D9E2F3"/>
            <w:vAlign w:val="center"/>
          </w:tcPr>
          <w:p w14:paraId="19630469" w14:textId="77777777" w:rsidR="00990B14" w:rsidRDefault="00000000">
            <w:pPr>
              <w:spacing w:before="20" w:after="20"/>
              <w:jc w:val="both"/>
            </w:pPr>
            <w:r>
              <w:rPr>
                <w:sz w:val="18"/>
                <w:szCs w:val="18"/>
              </w:rPr>
              <w:t>Clasifica incorrectamente los gastos.</w:t>
            </w:r>
          </w:p>
        </w:tc>
        <w:tc>
          <w:tcPr>
            <w:tcW w:w="1910" w:type="dxa"/>
            <w:shd w:val="clear" w:color="auto" w:fill="D9E2F3"/>
            <w:vAlign w:val="center"/>
          </w:tcPr>
          <w:p w14:paraId="06ACDCBB" w14:textId="77777777" w:rsidR="00990B14" w:rsidRDefault="00000000">
            <w:pPr>
              <w:spacing w:before="20" w:after="20"/>
              <w:jc w:val="both"/>
            </w:pPr>
            <w:r>
              <w:rPr>
                <w:sz w:val="18"/>
                <w:szCs w:val="18"/>
              </w:rPr>
              <w:t>Clasifica los gastos según los clasificadores presupuestarios.</w:t>
            </w:r>
          </w:p>
        </w:tc>
        <w:tc>
          <w:tcPr>
            <w:tcW w:w="1868" w:type="dxa"/>
            <w:shd w:val="clear" w:color="auto" w:fill="D9E2F3"/>
            <w:vAlign w:val="center"/>
          </w:tcPr>
          <w:p w14:paraId="309CA855" w14:textId="77777777" w:rsidR="00990B14" w:rsidRDefault="00000000">
            <w:pPr>
              <w:spacing w:before="20" w:after="20"/>
              <w:jc w:val="both"/>
            </w:pPr>
            <w:r>
              <w:rPr>
                <w:sz w:val="18"/>
                <w:szCs w:val="18"/>
              </w:rPr>
              <w:t>Clasifica los gastos por objeto, institucional y económico con coherencia.</w:t>
            </w:r>
          </w:p>
        </w:tc>
      </w:tr>
      <w:tr w:rsidR="00990B14" w14:paraId="7F4551CC" w14:textId="77777777">
        <w:trPr>
          <w:cantSplit/>
          <w:jc w:val="center"/>
        </w:trPr>
        <w:tc>
          <w:tcPr>
            <w:tcW w:w="1850" w:type="dxa"/>
            <w:vMerge/>
            <w:shd w:val="clear" w:color="auto" w:fill="4472C4"/>
            <w:vAlign w:val="center"/>
          </w:tcPr>
          <w:p w14:paraId="6A02130D" w14:textId="77777777" w:rsidR="00990B14" w:rsidRDefault="00990B14">
            <w:pPr>
              <w:spacing w:before="20" w:after="20"/>
            </w:pPr>
          </w:p>
        </w:tc>
        <w:tc>
          <w:tcPr>
            <w:tcW w:w="1867" w:type="dxa"/>
            <w:shd w:val="clear" w:color="auto" w:fill="D9E2F3"/>
            <w:vAlign w:val="center"/>
          </w:tcPr>
          <w:p w14:paraId="6CA1B68E" w14:textId="77777777" w:rsidR="00990B14" w:rsidRDefault="00000000">
            <w:pPr>
              <w:spacing w:before="20" w:after="20"/>
              <w:jc w:val="both"/>
            </w:pPr>
            <w:r>
              <w:rPr>
                <w:sz w:val="18"/>
                <w:szCs w:val="18"/>
              </w:rPr>
              <w:t>Equilibrio presupuestario</w:t>
            </w:r>
          </w:p>
        </w:tc>
        <w:tc>
          <w:tcPr>
            <w:tcW w:w="1910" w:type="dxa"/>
            <w:shd w:val="clear" w:color="auto" w:fill="D9E2F3"/>
            <w:vAlign w:val="center"/>
          </w:tcPr>
          <w:p w14:paraId="12E567D0" w14:textId="77777777" w:rsidR="00990B14" w:rsidRDefault="00000000">
            <w:pPr>
              <w:spacing w:before="20" w:after="20"/>
              <w:jc w:val="both"/>
            </w:pPr>
            <w:r>
              <w:rPr>
                <w:sz w:val="18"/>
                <w:szCs w:val="18"/>
              </w:rPr>
              <w:t>Los recursos y los gastos no se igualan.</w:t>
            </w:r>
          </w:p>
        </w:tc>
        <w:tc>
          <w:tcPr>
            <w:tcW w:w="1910" w:type="dxa"/>
            <w:shd w:val="clear" w:color="auto" w:fill="D9E2F3"/>
            <w:vAlign w:val="center"/>
          </w:tcPr>
          <w:p w14:paraId="05CC64B7" w14:textId="77777777" w:rsidR="00990B14" w:rsidRDefault="00000000">
            <w:pPr>
              <w:spacing w:before="20" w:after="20"/>
              <w:jc w:val="both"/>
            </w:pPr>
            <w:r>
              <w:rPr>
                <w:sz w:val="18"/>
                <w:szCs w:val="18"/>
              </w:rPr>
              <w:t>Los recursos y los gastos están equilibrados.</w:t>
            </w:r>
          </w:p>
        </w:tc>
        <w:tc>
          <w:tcPr>
            <w:tcW w:w="1868" w:type="dxa"/>
            <w:shd w:val="clear" w:color="auto" w:fill="D9E2F3"/>
            <w:vAlign w:val="center"/>
          </w:tcPr>
          <w:p w14:paraId="0D408545" w14:textId="77777777" w:rsidR="00990B14" w:rsidRDefault="00000000">
            <w:pPr>
              <w:spacing w:before="20" w:after="20"/>
              <w:jc w:val="both"/>
            </w:pPr>
            <w:r>
              <w:rPr>
                <w:sz w:val="18"/>
                <w:szCs w:val="18"/>
              </w:rPr>
              <w:t>Verifica el equilibrio y justifica los montos asignados.</w:t>
            </w:r>
          </w:p>
        </w:tc>
      </w:tr>
      <w:tr w:rsidR="00990B14" w14:paraId="50FB9A5C" w14:textId="77777777">
        <w:trPr>
          <w:cantSplit/>
          <w:jc w:val="center"/>
        </w:trPr>
        <w:tc>
          <w:tcPr>
            <w:tcW w:w="1850" w:type="dxa"/>
            <w:vMerge/>
            <w:shd w:val="clear" w:color="auto" w:fill="4472C4"/>
            <w:vAlign w:val="center"/>
          </w:tcPr>
          <w:p w14:paraId="216005FC" w14:textId="77777777" w:rsidR="00990B14" w:rsidRDefault="00990B14">
            <w:pPr>
              <w:spacing w:before="20" w:after="20"/>
            </w:pPr>
          </w:p>
        </w:tc>
        <w:tc>
          <w:tcPr>
            <w:tcW w:w="5687" w:type="dxa"/>
            <w:gridSpan w:val="3"/>
            <w:shd w:val="clear" w:color="auto" w:fill="D9E2F3"/>
            <w:vAlign w:val="center"/>
          </w:tcPr>
          <w:p w14:paraId="7BD24639" w14:textId="77777777" w:rsidR="00990B14" w:rsidRDefault="00000000">
            <w:pPr>
              <w:keepNext/>
              <w:spacing w:before="20" w:after="20"/>
              <w:jc w:val="both"/>
            </w:pPr>
            <w:r>
              <w:rPr>
                <w:b/>
                <w:bCs/>
                <w:i/>
                <w:iCs/>
                <w:sz w:val="18"/>
                <w:szCs w:val="18"/>
              </w:rPr>
              <w:t xml:space="preserve">Producto 10: </w:t>
            </w:r>
            <w:r>
              <w:rPr>
                <w:sz w:val="18"/>
                <w:szCs w:val="18"/>
              </w:rPr>
              <w:t>Esquema de comprensión de uso de la metodología, marco normativo y técnicas.</w:t>
            </w:r>
          </w:p>
        </w:tc>
        <w:tc>
          <w:tcPr>
            <w:tcW w:w="1868" w:type="dxa"/>
            <w:shd w:val="clear" w:color="auto" w:fill="D9E2F3"/>
            <w:vAlign w:val="center"/>
          </w:tcPr>
          <w:p w14:paraId="4CDCE2F4" w14:textId="77777777" w:rsidR="00990B14" w:rsidRDefault="00000000">
            <w:pPr>
              <w:spacing w:before="20" w:after="20"/>
              <w:jc w:val="center"/>
            </w:pPr>
            <w:r>
              <w:rPr>
                <w:b/>
                <w:bCs/>
                <w:sz w:val="18"/>
                <w:szCs w:val="18"/>
              </w:rPr>
              <w:t>2%</w:t>
            </w:r>
          </w:p>
        </w:tc>
      </w:tr>
      <w:tr w:rsidR="00990B14" w14:paraId="2B99155C" w14:textId="77777777">
        <w:trPr>
          <w:cantSplit/>
          <w:jc w:val="center"/>
        </w:trPr>
        <w:tc>
          <w:tcPr>
            <w:tcW w:w="1850" w:type="dxa"/>
            <w:vMerge/>
            <w:shd w:val="clear" w:color="auto" w:fill="4472C4"/>
            <w:vAlign w:val="center"/>
          </w:tcPr>
          <w:p w14:paraId="5F5D8E97" w14:textId="77777777" w:rsidR="00990B14" w:rsidRDefault="00990B14">
            <w:pPr>
              <w:spacing w:before="20" w:after="20"/>
            </w:pPr>
          </w:p>
        </w:tc>
        <w:tc>
          <w:tcPr>
            <w:tcW w:w="1867" w:type="dxa"/>
            <w:shd w:val="clear" w:color="auto" w:fill="4472C4"/>
            <w:vAlign w:val="center"/>
          </w:tcPr>
          <w:p w14:paraId="23342886"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23036536"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544E9BDD" w14:textId="77777777" w:rsidR="00990B14" w:rsidRDefault="00000000">
            <w:pPr>
              <w:keepNext/>
              <w:spacing w:before="20" w:after="20"/>
              <w:jc w:val="center"/>
            </w:pPr>
            <w:r>
              <w:rPr>
                <w:b/>
                <w:bCs/>
                <w:i/>
                <w:iCs/>
                <w:color w:val="FFFFFF"/>
                <w:sz w:val="18"/>
                <w:szCs w:val="18"/>
              </w:rPr>
              <w:t>Suficiente (51–80)</w:t>
            </w:r>
          </w:p>
        </w:tc>
        <w:tc>
          <w:tcPr>
            <w:tcW w:w="1868" w:type="dxa"/>
            <w:shd w:val="clear" w:color="auto" w:fill="4472C4"/>
            <w:vAlign w:val="center"/>
          </w:tcPr>
          <w:p w14:paraId="66BE3F8E" w14:textId="77777777" w:rsidR="00990B14" w:rsidRDefault="00000000">
            <w:pPr>
              <w:keepNext/>
              <w:spacing w:before="20" w:after="20"/>
              <w:jc w:val="center"/>
            </w:pPr>
            <w:r>
              <w:rPr>
                <w:b/>
                <w:bCs/>
                <w:i/>
                <w:iCs/>
                <w:color w:val="FFFFFF"/>
                <w:sz w:val="18"/>
                <w:szCs w:val="18"/>
              </w:rPr>
              <w:t>Destacado (81–100)</w:t>
            </w:r>
          </w:p>
        </w:tc>
      </w:tr>
      <w:tr w:rsidR="00990B14" w14:paraId="124FA9CD" w14:textId="77777777">
        <w:trPr>
          <w:cantSplit/>
          <w:jc w:val="center"/>
        </w:trPr>
        <w:tc>
          <w:tcPr>
            <w:tcW w:w="1850" w:type="dxa"/>
            <w:vMerge/>
            <w:shd w:val="clear" w:color="auto" w:fill="4472C4"/>
            <w:vAlign w:val="center"/>
          </w:tcPr>
          <w:p w14:paraId="2AD53E0B" w14:textId="77777777" w:rsidR="00990B14" w:rsidRDefault="00990B14">
            <w:pPr>
              <w:spacing w:before="20" w:after="20"/>
            </w:pPr>
          </w:p>
        </w:tc>
        <w:tc>
          <w:tcPr>
            <w:tcW w:w="1867" w:type="dxa"/>
            <w:shd w:val="clear" w:color="auto" w:fill="D9E2F3"/>
            <w:vAlign w:val="center"/>
          </w:tcPr>
          <w:p w14:paraId="51B9FABF" w14:textId="77777777" w:rsidR="00990B14" w:rsidRDefault="00000000">
            <w:pPr>
              <w:spacing w:before="20" w:after="20"/>
              <w:jc w:val="both"/>
            </w:pPr>
            <w:r>
              <w:rPr>
                <w:sz w:val="18"/>
                <w:szCs w:val="18"/>
              </w:rPr>
              <w:t>Metodología</w:t>
            </w:r>
          </w:p>
        </w:tc>
        <w:tc>
          <w:tcPr>
            <w:tcW w:w="1910" w:type="dxa"/>
            <w:shd w:val="clear" w:color="auto" w:fill="D9E2F3"/>
            <w:vAlign w:val="center"/>
          </w:tcPr>
          <w:p w14:paraId="66D5478D" w14:textId="77777777" w:rsidR="00990B14" w:rsidRDefault="00000000">
            <w:pPr>
              <w:spacing w:before="20" w:after="20"/>
              <w:jc w:val="both"/>
            </w:pPr>
            <w:r>
              <w:rPr>
                <w:sz w:val="18"/>
                <w:szCs w:val="18"/>
              </w:rPr>
              <w:t>Omite pasos de la metodología.</w:t>
            </w:r>
          </w:p>
        </w:tc>
        <w:tc>
          <w:tcPr>
            <w:tcW w:w="1910" w:type="dxa"/>
            <w:shd w:val="clear" w:color="auto" w:fill="D9E2F3"/>
            <w:vAlign w:val="center"/>
          </w:tcPr>
          <w:p w14:paraId="1F26E815" w14:textId="77777777" w:rsidR="00990B14" w:rsidRDefault="00000000">
            <w:pPr>
              <w:spacing w:before="20" w:after="20"/>
              <w:jc w:val="both"/>
            </w:pPr>
            <w:r>
              <w:rPr>
                <w:sz w:val="18"/>
                <w:szCs w:val="18"/>
              </w:rPr>
              <w:t>Describe los pasos de la metodología.</w:t>
            </w:r>
          </w:p>
        </w:tc>
        <w:tc>
          <w:tcPr>
            <w:tcW w:w="1868" w:type="dxa"/>
            <w:shd w:val="clear" w:color="auto" w:fill="D9E2F3"/>
            <w:vAlign w:val="center"/>
          </w:tcPr>
          <w:p w14:paraId="32A22AC6" w14:textId="77777777" w:rsidR="00990B14" w:rsidRDefault="00000000">
            <w:pPr>
              <w:spacing w:before="20" w:after="20"/>
              <w:jc w:val="both"/>
            </w:pPr>
            <w:r>
              <w:rPr>
                <w:sz w:val="18"/>
                <w:szCs w:val="18"/>
              </w:rPr>
              <w:t>Explica la metodología y su aplicación en un ejemplo.</w:t>
            </w:r>
          </w:p>
        </w:tc>
      </w:tr>
      <w:tr w:rsidR="00990B14" w14:paraId="3CDA5CB4" w14:textId="77777777">
        <w:trPr>
          <w:cantSplit/>
          <w:jc w:val="center"/>
        </w:trPr>
        <w:tc>
          <w:tcPr>
            <w:tcW w:w="1850" w:type="dxa"/>
            <w:vMerge/>
            <w:shd w:val="clear" w:color="auto" w:fill="4472C4"/>
            <w:vAlign w:val="center"/>
          </w:tcPr>
          <w:p w14:paraId="1531D5F9" w14:textId="77777777" w:rsidR="00990B14" w:rsidRDefault="00990B14">
            <w:pPr>
              <w:spacing w:before="20" w:after="20"/>
            </w:pPr>
          </w:p>
        </w:tc>
        <w:tc>
          <w:tcPr>
            <w:tcW w:w="1867" w:type="dxa"/>
            <w:shd w:val="clear" w:color="auto" w:fill="D9E2F3"/>
            <w:vAlign w:val="center"/>
          </w:tcPr>
          <w:p w14:paraId="33EA6349" w14:textId="77777777" w:rsidR="00990B14" w:rsidRDefault="00000000">
            <w:pPr>
              <w:spacing w:before="20" w:after="20"/>
              <w:jc w:val="both"/>
            </w:pPr>
            <w:r>
              <w:rPr>
                <w:sz w:val="18"/>
                <w:szCs w:val="18"/>
              </w:rPr>
              <w:t>Marco normativo</w:t>
            </w:r>
          </w:p>
        </w:tc>
        <w:tc>
          <w:tcPr>
            <w:tcW w:w="1910" w:type="dxa"/>
            <w:shd w:val="clear" w:color="auto" w:fill="D9E2F3"/>
            <w:vAlign w:val="center"/>
          </w:tcPr>
          <w:p w14:paraId="41EFB957" w14:textId="77777777" w:rsidR="00990B14" w:rsidRDefault="00000000">
            <w:pPr>
              <w:spacing w:before="20" w:after="20"/>
              <w:jc w:val="both"/>
            </w:pPr>
            <w:r>
              <w:rPr>
                <w:sz w:val="18"/>
                <w:szCs w:val="18"/>
              </w:rPr>
              <w:t>No identifica la normativa.</w:t>
            </w:r>
          </w:p>
        </w:tc>
        <w:tc>
          <w:tcPr>
            <w:tcW w:w="1910" w:type="dxa"/>
            <w:shd w:val="clear" w:color="auto" w:fill="D9E2F3"/>
            <w:vAlign w:val="center"/>
          </w:tcPr>
          <w:p w14:paraId="24A625EF" w14:textId="77777777" w:rsidR="00990B14" w:rsidRDefault="00000000">
            <w:pPr>
              <w:spacing w:before="20" w:after="20"/>
              <w:jc w:val="both"/>
            </w:pPr>
            <w:r>
              <w:rPr>
                <w:sz w:val="18"/>
                <w:szCs w:val="18"/>
              </w:rPr>
              <w:t>Identifica la normativa aplicable.</w:t>
            </w:r>
          </w:p>
        </w:tc>
        <w:tc>
          <w:tcPr>
            <w:tcW w:w="1868" w:type="dxa"/>
            <w:shd w:val="clear" w:color="auto" w:fill="D9E2F3"/>
            <w:vAlign w:val="center"/>
          </w:tcPr>
          <w:p w14:paraId="150A07CF" w14:textId="77777777" w:rsidR="00990B14" w:rsidRDefault="00000000">
            <w:pPr>
              <w:spacing w:before="20" w:after="20"/>
              <w:jc w:val="both"/>
            </w:pPr>
            <w:r>
              <w:rPr>
                <w:sz w:val="18"/>
                <w:szCs w:val="18"/>
              </w:rPr>
              <w:t>Relaciona la normativa con cada etapa del proceso.</w:t>
            </w:r>
          </w:p>
        </w:tc>
      </w:tr>
      <w:tr w:rsidR="00990B14" w14:paraId="103BCEE7" w14:textId="77777777">
        <w:trPr>
          <w:cantSplit/>
          <w:jc w:val="center"/>
        </w:trPr>
        <w:tc>
          <w:tcPr>
            <w:tcW w:w="1850" w:type="dxa"/>
            <w:vMerge/>
            <w:shd w:val="clear" w:color="auto" w:fill="4472C4"/>
            <w:vAlign w:val="center"/>
          </w:tcPr>
          <w:p w14:paraId="20232A54" w14:textId="77777777" w:rsidR="00990B14" w:rsidRDefault="00990B14">
            <w:pPr>
              <w:spacing w:before="20" w:after="20"/>
            </w:pPr>
          </w:p>
        </w:tc>
        <w:tc>
          <w:tcPr>
            <w:tcW w:w="1867" w:type="dxa"/>
            <w:shd w:val="clear" w:color="auto" w:fill="D9E2F3"/>
            <w:vAlign w:val="center"/>
          </w:tcPr>
          <w:p w14:paraId="001B9031" w14:textId="77777777" w:rsidR="00990B14" w:rsidRDefault="00000000">
            <w:pPr>
              <w:spacing w:before="20" w:after="20"/>
              <w:jc w:val="both"/>
            </w:pPr>
            <w:r>
              <w:rPr>
                <w:sz w:val="18"/>
                <w:szCs w:val="18"/>
              </w:rPr>
              <w:t>Técnicas</w:t>
            </w:r>
          </w:p>
        </w:tc>
        <w:tc>
          <w:tcPr>
            <w:tcW w:w="1910" w:type="dxa"/>
            <w:shd w:val="clear" w:color="auto" w:fill="D9E2F3"/>
            <w:vAlign w:val="center"/>
          </w:tcPr>
          <w:p w14:paraId="3C7759B4" w14:textId="77777777" w:rsidR="00990B14" w:rsidRDefault="00000000">
            <w:pPr>
              <w:spacing w:before="20" w:after="20"/>
              <w:jc w:val="both"/>
            </w:pPr>
            <w:r>
              <w:rPr>
                <w:sz w:val="18"/>
                <w:szCs w:val="18"/>
              </w:rPr>
              <w:t>Confunde las técnicas.</w:t>
            </w:r>
          </w:p>
        </w:tc>
        <w:tc>
          <w:tcPr>
            <w:tcW w:w="1910" w:type="dxa"/>
            <w:shd w:val="clear" w:color="auto" w:fill="D9E2F3"/>
            <w:vAlign w:val="center"/>
          </w:tcPr>
          <w:p w14:paraId="49B9272F" w14:textId="77777777" w:rsidR="00990B14" w:rsidRDefault="00000000">
            <w:pPr>
              <w:spacing w:before="20" w:after="20"/>
              <w:jc w:val="both"/>
            </w:pPr>
            <w:r>
              <w:rPr>
                <w:sz w:val="18"/>
                <w:szCs w:val="18"/>
              </w:rPr>
              <w:t>Describe las técnicas de uso.</w:t>
            </w:r>
          </w:p>
        </w:tc>
        <w:tc>
          <w:tcPr>
            <w:tcW w:w="1868" w:type="dxa"/>
            <w:shd w:val="clear" w:color="auto" w:fill="D9E2F3"/>
            <w:vAlign w:val="center"/>
          </w:tcPr>
          <w:p w14:paraId="5F21014D" w14:textId="77777777" w:rsidR="00990B14" w:rsidRDefault="00000000">
            <w:pPr>
              <w:spacing w:before="20" w:after="20"/>
              <w:jc w:val="both"/>
            </w:pPr>
            <w:r>
              <w:rPr>
                <w:sz w:val="18"/>
                <w:szCs w:val="18"/>
              </w:rPr>
              <w:t>Selecciona la técnica adecuada y justifica su uso.</w:t>
            </w:r>
          </w:p>
        </w:tc>
      </w:tr>
      <w:tr w:rsidR="00990B14" w14:paraId="4BCE91E2" w14:textId="77777777">
        <w:trPr>
          <w:cantSplit/>
          <w:jc w:val="center"/>
        </w:trPr>
        <w:tc>
          <w:tcPr>
            <w:tcW w:w="1850" w:type="dxa"/>
            <w:vMerge/>
            <w:shd w:val="clear" w:color="auto" w:fill="4472C4"/>
            <w:vAlign w:val="center"/>
          </w:tcPr>
          <w:p w14:paraId="617D24EB" w14:textId="77777777" w:rsidR="00990B14" w:rsidRDefault="00990B14">
            <w:pPr>
              <w:spacing w:before="20" w:after="20"/>
            </w:pPr>
          </w:p>
        </w:tc>
        <w:tc>
          <w:tcPr>
            <w:tcW w:w="5687" w:type="dxa"/>
            <w:gridSpan w:val="3"/>
            <w:shd w:val="clear" w:color="auto" w:fill="D9E2F3"/>
            <w:vAlign w:val="center"/>
          </w:tcPr>
          <w:p w14:paraId="18FE43A2" w14:textId="77777777" w:rsidR="00990B14" w:rsidRDefault="00000000">
            <w:pPr>
              <w:keepNext/>
              <w:spacing w:before="20" w:after="20"/>
              <w:jc w:val="both"/>
            </w:pPr>
            <w:r>
              <w:rPr>
                <w:b/>
                <w:bCs/>
                <w:i/>
                <w:iCs/>
                <w:sz w:val="18"/>
                <w:szCs w:val="18"/>
              </w:rPr>
              <w:t xml:space="preserve">Producto 11: </w:t>
            </w:r>
            <w:r>
              <w:rPr>
                <w:sz w:val="18"/>
                <w:szCs w:val="18"/>
              </w:rPr>
              <w:t>Esquema de análisis de comprensión y justificación del cambio o modificación presupuestaria.</w:t>
            </w:r>
          </w:p>
        </w:tc>
        <w:tc>
          <w:tcPr>
            <w:tcW w:w="1868" w:type="dxa"/>
            <w:shd w:val="clear" w:color="auto" w:fill="D9E2F3"/>
            <w:vAlign w:val="center"/>
          </w:tcPr>
          <w:p w14:paraId="6D7565C8" w14:textId="77777777" w:rsidR="00990B14" w:rsidRDefault="00000000">
            <w:pPr>
              <w:spacing w:before="20" w:after="20"/>
              <w:jc w:val="center"/>
            </w:pPr>
            <w:r>
              <w:rPr>
                <w:b/>
                <w:bCs/>
                <w:sz w:val="18"/>
                <w:szCs w:val="18"/>
              </w:rPr>
              <w:t>2%</w:t>
            </w:r>
          </w:p>
        </w:tc>
      </w:tr>
      <w:tr w:rsidR="00990B14" w14:paraId="7AC67035" w14:textId="77777777">
        <w:trPr>
          <w:cantSplit/>
          <w:jc w:val="center"/>
        </w:trPr>
        <w:tc>
          <w:tcPr>
            <w:tcW w:w="1850" w:type="dxa"/>
            <w:vMerge/>
            <w:shd w:val="clear" w:color="auto" w:fill="4472C4"/>
            <w:vAlign w:val="center"/>
          </w:tcPr>
          <w:p w14:paraId="4EBF580D" w14:textId="77777777" w:rsidR="00990B14" w:rsidRDefault="00990B14">
            <w:pPr>
              <w:spacing w:before="20" w:after="20"/>
            </w:pPr>
          </w:p>
        </w:tc>
        <w:tc>
          <w:tcPr>
            <w:tcW w:w="1867" w:type="dxa"/>
            <w:shd w:val="clear" w:color="auto" w:fill="4472C4"/>
            <w:vAlign w:val="center"/>
          </w:tcPr>
          <w:p w14:paraId="1DA1D978"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652095E7"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2E23996F" w14:textId="77777777" w:rsidR="00990B14" w:rsidRDefault="00000000">
            <w:pPr>
              <w:keepNext/>
              <w:spacing w:before="20" w:after="20"/>
              <w:jc w:val="center"/>
            </w:pPr>
            <w:r>
              <w:rPr>
                <w:b/>
                <w:bCs/>
                <w:i/>
                <w:iCs/>
                <w:color w:val="FFFFFF"/>
                <w:sz w:val="18"/>
                <w:szCs w:val="18"/>
              </w:rPr>
              <w:t>Suficiente (51–80)</w:t>
            </w:r>
          </w:p>
        </w:tc>
        <w:tc>
          <w:tcPr>
            <w:tcW w:w="1868" w:type="dxa"/>
            <w:shd w:val="clear" w:color="auto" w:fill="4472C4"/>
            <w:vAlign w:val="center"/>
          </w:tcPr>
          <w:p w14:paraId="26C1FAFD" w14:textId="77777777" w:rsidR="00990B14" w:rsidRDefault="00000000">
            <w:pPr>
              <w:keepNext/>
              <w:spacing w:before="20" w:after="20"/>
              <w:jc w:val="center"/>
            </w:pPr>
            <w:r>
              <w:rPr>
                <w:b/>
                <w:bCs/>
                <w:i/>
                <w:iCs/>
                <w:color w:val="FFFFFF"/>
                <w:sz w:val="18"/>
                <w:szCs w:val="18"/>
              </w:rPr>
              <w:t>Destacado (81–100)</w:t>
            </w:r>
          </w:p>
        </w:tc>
      </w:tr>
      <w:tr w:rsidR="00990B14" w14:paraId="7A1AEA46" w14:textId="77777777">
        <w:trPr>
          <w:cantSplit/>
          <w:jc w:val="center"/>
        </w:trPr>
        <w:tc>
          <w:tcPr>
            <w:tcW w:w="1850" w:type="dxa"/>
            <w:vMerge/>
            <w:shd w:val="clear" w:color="auto" w:fill="4472C4"/>
            <w:vAlign w:val="center"/>
          </w:tcPr>
          <w:p w14:paraId="29CB9937" w14:textId="77777777" w:rsidR="00990B14" w:rsidRDefault="00990B14">
            <w:pPr>
              <w:spacing w:before="20" w:after="20"/>
            </w:pPr>
          </w:p>
        </w:tc>
        <w:tc>
          <w:tcPr>
            <w:tcW w:w="1867" w:type="dxa"/>
            <w:shd w:val="clear" w:color="auto" w:fill="D9E2F3"/>
            <w:vAlign w:val="center"/>
          </w:tcPr>
          <w:p w14:paraId="02C1A57B" w14:textId="77777777" w:rsidR="00990B14" w:rsidRDefault="00000000">
            <w:pPr>
              <w:spacing w:before="20" w:after="20"/>
              <w:jc w:val="both"/>
            </w:pPr>
            <w:r>
              <w:rPr>
                <w:sz w:val="18"/>
                <w:szCs w:val="18"/>
              </w:rPr>
              <w:t>Tipo de modificación</w:t>
            </w:r>
          </w:p>
        </w:tc>
        <w:tc>
          <w:tcPr>
            <w:tcW w:w="1910" w:type="dxa"/>
            <w:shd w:val="clear" w:color="auto" w:fill="D9E2F3"/>
            <w:vAlign w:val="center"/>
          </w:tcPr>
          <w:p w14:paraId="59F612A2" w14:textId="77777777" w:rsidR="00990B14" w:rsidRDefault="00000000">
            <w:pPr>
              <w:spacing w:before="20" w:after="20"/>
              <w:jc w:val="both"/>
            </w:pPr>
            <w:r>
              <w:rPr>
                <w:sz w:val="18"/>
                <w:szCs w:val="18"/>
              </w:rPr>
              <w:t>No distingue los tipos de modificación.</w:t>
            </w:r>
          </w:p>
        </w:tc>
        <w:tc>
          <w:tcPr>
            <w:tcW w:w="1910" w:type="dxa"/>
            <w:shd w:val="clear" w:color="auto" w:fill="D9E2F3"/>
            <w:vAlign w:val="center"/>
          </w:tcPr>
          <w:p w14:paraId="5035BE79" w14:textId="77777777" w:rsidR="00990B14" w:rsidRDefault="00000000">
            <w:pPr>
              <w:spacing w:before="20" w:after="20"/>
              <w:jc w:val="both"/>
            </w:pPr>
            <w:r>
              <w:rPr>
                <w:sz w:val="18"/>
                <w:szCs w:val="18"/>
              </w:rPr>
              <w:t>Identifica el tipo de modificación presupuestaria.</w:t>
            </w:r>
          </w:p>
        </w:tc>
        <w:tc>
          <w:tcPr>
            <w:tcW w:w="1868" w:type="dxa"/>
            <w:shd w:val="clear" w:color="auto" w:fill="D9E2F3"/>
            <w:vAlign w:val="center"/>
          </w:tcPr>
          <w:p w14:paraId="38D90ED6" w14:textId="77777777" w:rsidR="00990B14" w:rsidRDefault="00000000">
            <w:pPr>
              <w:spacing w:before="20" w:after="20"/>
              <w:jc w:val="both"/>
            </w:pPr>
            <w:r>
              <w:rPr>
                <w:sz w:val="18"/>
                <w:szCs w:val="18"/>
              </w:rPr>
              <w:t>Diferencia los tipos de modificación y sus condiciones de aplicación.</w:t>
            </w:r>
          </w:p>
        </w:tc>
      </w:tr>
      <w:tr w:rsidR="00990B14" w14:paraId="1BDFF756" w14:textId="77777777">
        <w:trPr>
          <w:cantSplit/>
          <w:jc w:val="center"/>
        </w:trPr>
        <w:tc>
          <w:tcPr>
            <w:tcW w:w="1850" w:type="dxa"/>
            <w:vMerge/>
            <w:shd w:val="clear" w:color="auto" w:fill="4472C4"/>
            <w:vAlign w:val="center"/>
          </w:tcPr>
          <w:p w14:paraId="759A8B05" w14:textId="77777777" w:rsidR="00990B14" w:rsidRDefault="00990B14">
            <w:pPr>
              <w:spacing w:before="20" w:after="20"/>
            </w:pPr>
          </w:p>
        </w:tc>
        <w:tc>
          <w:tcPr>
            <w:tcW w:w="1867" w:type="dxa"/>
            <w:shd w:val="clear" w:color="auto" w:fill="D9E2F3"/>
            <w:vAlign w:val="center"/>
          </w:tcPr>
          <w:p w14:paraId="44D427F1" w14:textId="77777777" w:rsidR="00990B14" w:rsidRDefault="00000000">
            <w:pPr>
              <w:spacing w:before="20" w:after="20"/>
              <w:jc w:val="both"/>
            </w:pPr>
            <w:r>
              <w:rPr>
                <w:sz w:val="18"/>
                <w:szCs w:val="18"/>
              </w:rPr>
              <w:t>Justificación del cambio</w:t>
            </w:r>
          </w:p>
        </w:tc>
        <w:tc>
          <w:tcPr>
            <w:tcW w:w="1910" w:type="dxa"/>
            <w:shd w:val="clear" w:color="auto" w:fill="D9E2F3"/>
            <w:vAlign w:val="center"/>
          </w:tcPr>
          <w:p w14:paraId="1A0D1C66" w14:textId="77777777" w:rsidR="00990B14" w:rsidRDefault="00000000">
            <w:pPr>
              <w:spacing w:before="20" w:after="20"/>
              <w:jc w:val="both"/>
            </w:pPr>
            <w:r>
              <w:rPr>
                <w:sz w:val="18"/>
                <w:szCs w:val="18"/>
              </w:rPr>
              <w:t>La justificación es insuficiente o inexistente.</w:t>
            </w:r>
          </w:p>
        </w:tc>
        <w:tc>
          <w:tcPr>
            <w:tcW w:w="1910" w:type="dxa"/>
            <w:shd w:val="clear" w:color="auto" w:fill="D9E2F3"/>
            <w:vAlign w:val="center"/>
          </w:tcPr>
          <w:p w14:paraId="0407325A" w14:textId="77777777" w:rsidR="00990B14" w:rsidRDefault="00000000">
            <w:pPr>
              <w:spacing w:before="20" w:after="20"/>
              <w:jc w:val="both"/>
            </w:pPr>
            <w:r>
              <w:rPr>
                <w:sz w:val="18"/>
                <w:szCs w:val="18"/>
              </w:rPr>
              <w:t>Justifica el cambio con razones técnicas.</w:t>
            </w:r>
          </w:p>
        </w:tc>
        <w:tc>
          <w:tcPr>
            <w:tcW w:w="1868" w:type="dxa"/>
            <w:shd w:val="clear" w:color="auto" w:fill="D9E2F3"/>
            <w:vAlign w:val="center"/>
          </w:tcPr>
          <w:p w14:paraId="23234A23" w14:textId="77777777" w:rsidR="00990B14" w:rsidRDefault="00000000">
            <w:pPr>
              <w:spacing w:before="20" w:after="20"/>
              <w:jc w:val="both"/>
            </w:pPr>
            <w:r>
              <w:rPr>
                <w:sz w:val="18"/>
                <w:szCs w:val="18"/>
              </w:rPr>
              <w:t>Justifica el cambio con sustento técnico, legal y financiero.</w:t>
            </w:r>
          </w:p>
        </w:tc>
      </w:tr>
      <w:tr w:rsidR="00990B14" w14:paraId="0E2DF99F" w14:textId="77777777">
        <w:trPr>
          <w:cantSplit/>
          <w:jc w:val="center"/>
        </w:trPr>
        <w:tc>
          <w:tcPr>
            <w:tcW w:w="1850" w:type="dxa"/>
            <w:vMerge/>
            <w:shd w:val="clear" w:color="auto" w:fill="4472C4"/>
            <w:vAlign w:val="center"/>
          </w:tcPr>
          <w:p w14:paraId="7A2050D1" w14:textId="77777777" w:rsidR="00990B14" w:rsidRDefault="00990B14">
            <w:pPr>
              <w:spacing w:before="20" w:after="20"/>
            </w:pPr>
          </w:p>
        </w:tc>
        <w:tc>
          <w:tcPr>
            <w:tcW w:w="1867" w:type="dxa"/>
            <w:shd w:val="clear" w:color="auto" w:fill="D9E2F3"/>
            <w:vAlign w:val="center"/>
          </w:tcPr>
          <w:p w14:paraId="44C95311" w14:textId="77777777" w:rsidR="00990B14" w:rsidRDefault="00000000">
            <w:pPr>
              <w:spacing w:before="20" w:after="20"/>
              <w:jc w:val="both"/>
            </w:pPr>
            <w:r>
              <w:rPr>
                <w:sz w:val="18"/>
                <w:szCs w:val="18"/>
              </w:rPr>
              <w:t>Efecto en el presupuesto</w:t>
            </w:r>
          </w:p>
        </w:tc>
        <w:tc>
          <w:tcPr>
            <w:tcW w:w="1910" w:type="dxa"/>
            <w:shd w:val="clear" w:color="auto" w:fill="D9E2F3"/>
            <w:vAlign w:val="center"/>
          </w:tcPr>
          <w:p w14:paraId="7A8497CD" w14:textId="77777777" w:rsidR="00990B14" w:rsidRDefault="00000000">
            <w:pPr>
              <w:spacing w:before="20" w:after="20"/>
              <w:jc w:val="both"/>
            </w:pPr>
            <w:r>
              <w:rPr>
                <w:sz w:val="18"/>
                <w:szCs w:val="18"/>
              </w:rPr>
              <w:t>No identifica el efecto.</w:t>
            </w:r>
          </w:p>
        </w:tc>
        <w:tc>
          <w:tcPr>
            <w:tcW w:w="1910" w:type="dxa"/>
            <w:shd w:val="clear" w:color="auto" w:fill="D9E2F3"/>
            <w:vAlign w:val="center"/>
          </w:tcPr>
          <w:p w14:paraId="4BC09180" w14:textId="77777777" w:rsidR="00990B14" w:rsidRDefault="00000000">
            <w:pPr>
              <w:spacing w:before="20" w:after="20"/>
              <w:jc w:val="both"/>
            </w:pPr>
            <w:r>
              <w:rPr>
                <w:sz w:val="18"/>
                <w:szCs w:val="18"/>
              </w:rPr>
              <w:t>Identifica el efecto en las partidas y los montos.</w:t>
            </w:r>
          </w:p>
        </w:tc>
        <w:tc>
          <w:tcPr>
            <w:tcW w:w="1868" w:type="dxa"/>
            <w:shd w:val="clear" w:color="auto" w:fill="D9E2F3"/>
            <w:vAlign w:val="center"/>
          </w:tcPr>
          <w:p w14:paraId="359AC96C" w14:textId="77777777" w:rsidR="00990B14" w:rsidRDefault="00000000">
            <w:pPr>
              <w:spacing w:before="20" w:after="20"/>
              <w:jc w:val="both"/>
            </w:pPr>
            <w:r>
              <w:rPr>
                <w:sz w:val="18"/>
                <w:szCs w:val="18"/>
              </w:rPr>
              <w:t>Analiza el efecto en el equilibrio presupuestario y en el POA.</w:t>
            </w:r>
          </w:p>
        </w:tc>
      </w:tr>
      <w:tr w:rsidR="00990B14" w14:paraId="3DF1C579" w14:textId="77777777">
        <w:trPr>
          <w:cantSplit/>
          <w:jc w:val="center"/>
        </w:trPr>
        <w:tc>
          <w:tcPr>
            <w:tcW w:w="1850" w:type="dxa"/>
            <w:vMerge/>
            <w:shd w:val="clear" w:color="auto" w:fill="4472C4"/>
            <w:vAlign w:val="center"/>
          </w:tcPr>
          <w:p w14:paraId="14CE03E2" w14:textId="77777777" w:rsidR="00990B14" w:rsidRDefault="00990B14">
            <w:pPr>
              <w:spacing w:before="20" w:after="20"/>
            </w:pPr>
          </w:p>
        </w:tc>
        <w:tc>
          <w:tcPr>
            <w:tcW w:w="5687" w:type="dxa"/>
            <w:gridSpan w:val="3"/>
            <w:shd w:val="clear" w:color="auto" w:fill="D9E2F3"/>
            <w:vAlign w:val="center"/>
          </w:tcPr>
          <w:p w14:paraId="3E77B4A4" w14:textId="77777777" w:rsidR="00990B14" w:rsidRDefault="00000000">
            <w:pPr>
              <w:keepNext/>
              <w:spacing w:before="20" w:after="20"/>
              <w:jc w:val="both"/>
            </w:pPr>
            <w:r>
              <w:rPr>
                <w:b/>
                <w:bCs/>
                <w:i/>
                <w:iCs/>
                <w:sz w:val="18"/>
                <w:szCs w:val="18"/>
              </w:rPr>
              <w:t xml:space="preserve">Producto 12: </w:t>
            </w:r>
            <w:r>
              <w:rPr>
                <w:sz w:val="18"/>
                <w:szCs w:val="18"/>
              </w:rPr>
              <w:t>Cuadro de modificación incluyendo informe y documentación de respaldo.</w:t>
            </w:r>
          </w:p>
        </w:tc>
        <w:tc>
          <w:tcPr>
            <w:tcW w:w="1868" w:type="dxa"/>
            <w:shd w:val="clear" w:color="auto" w:fill="D9E2F3"/>
            <w:vAlign w:val="center"/>
          </w:tcPr>
          <w:p w14:paraId="1159D29F" w14:textId="77777777" w:rsidR="00990B14" w:rsidRDefault="00000000">
            <w:pPr>
              <w:spacing w:before="20" w:after="20"/>
              <w:jc w:val="center"/>
            </w:pPr>
            <w:r>
              <w:rPr>
                <w:b/>
                <w:bCs/>
                <w:sz w:val="18"/>
                <w:szCs w:val="18"/>
              </w:rPr>
              <w:t>2%</w:t>
            </w:r>
          </w:p>
        </w:tc>
      </w:tr>
      <w:tr w:rsidR="00990B14" w14:paraId="07692F08" w14:textId="77777777">
        <w:trPr>
          <w:cantSplit/>
          <w:jc w:val="center"/>
        </w:trPr>
        <w:tc>
          <w:tcPr>
            <w:tcW w:w="1850" w:type="dxa"/>
            <w:vMerge/>
            <w:shd w:val="clear" w:color="auto" w:fill="4472C4"/>
            <w:vAlign w:val="center"/>
          </w:tcPr>
          <w:p w14:paraId="7F319722" w14:textId="77777777" w:rsidR="00990B14" w:rsidRDefault="00990B14">
            <w:pPr>
              <w:spacing w:before="20" w:after="20"/>
            </w:pPr>
          </w:p>
        </w:tc>
        <w:tc>
          <w:tcPr>
            <w:tcW w:w="1867" w:type="dxa"/>
            <w:shd w:val="clear" w:color="auto" w:fill="4472C4"/>
            <w:vAlign w:val="center"/>
          </w:tcPr>
          <w:p w14:paraId="2C7FEDF0"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42D7C9F5"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6B6B9790" w14:textId="77777777" w:rsidR="00990B14" w:rsidRDefault="00000000">
            <w:pPr>
              <w:keepNext/>
              <w:spacing w:before="20" w:after="20"/>
              <w:jc w:val="center"/>
            </w:pPr>
            <w:r>
              <w:rPr>
                <w:b/>
                <w:bCs/>
                <w:i/>
                <w:iCs/>
                <w:color w:val="FFFFFF"/>
                <w:sz w:val="18"/>
                <w:szCs w:val="18"/>
              </w:rPr>
              <w:t>Suficiente (51–80)</w:t>
            </w:r>
          </w:p>
        </w:tc>
        <w:tc>
          <w:tcPr>
            <w:tcW w:w="1868" w:type="dxa"/>
            <w:shd w:val="clear" w:color="auto" w:fill="4472C4"/>
            <w:vAlign w:val="center"/>
          </w:tcPr>
          <w:p w14:paraId="19A26E2B" w14:textId="77777777" w:rsidR="00990B14" w:rsidRDefault="00000000">
            <w:pPr>
              <w:keepNext/>
              <w:spacing w:before="20" w:after="20"/>
              <w:jc w:val="center"/>
            </w:pPr>
            <w:r>
              <w:rPr>
                <w:b/>
                <w:bCs/>
                <w:i/>
                <w:iCs/>
                <w:color w:val="FFFFFF"/>
                <w:sz w:val="18"/>
                <w:szCs w:val="18"/>
              </w:rPr>
              <w:t>Destacado (81–100)</w:t>
            </w:r>
          </w:p>
        </w:tc>
      </w:tr>
      <w:tr w:rsidR="00990B14" w14:paraId="2EA7A6C6" w14:textId="77777777">
        <w:trPr>
          <w:cantSplit/>
          <w:jc w:val="center"/>
        </w:trPr>
        <w:tc>
          <w:tcPr>
            <w:tcW w:w="1850" w:type="dxa"/>
            <w:vMerge/>
            <w:shd w:val="clear" w:color="auto" w:fill="4472C4"/>
            <w:vAlign w:val="center"/>
          </w:tcPr>
          <w:p w14:paraId="693DFD5A" w14:textId="77777777" w:rsidR="00990B14" w:rsidRDefault="00990B14">
            <w:pPr>
              <w:spacing w:before="20" w:after="20"/>
            </w:pPr>
          </w:p>
        </w:tc>
        <w:tc>
          <w:tcPr>
            <w:tcW w:w="1867" w:type="dxa"/>
            <w:shd w:val="clear" w:color="auto" w:fill="D9E2F3"/>
            <w:vAlign w:val="center"/>
          </w:tcPr>
          <w:p w14:paraId="0A2D4F6C" w14:textId="77777777" w:rsidR="00990B14" w:rsidRDefault="00000000">
            <w:pPr>
              <w:spacing w:before="20" w:after="20"/>
              <w:jc w:val="both"/>
            </w:pPr>
            <w:r>
              <w:rPr>
                <w:sz w:val="18"/>
                <w:szCs w:val="18"/>
              </w:rPr>
              <w:t>Registro de la modificación</w:t>
            </w:r>
          </w:p>
        </w:tc>
        <w:tc>
          <w:tcPr>
            <w:tcW w:w="1910" w:type="dxa"/>
            <w:shd w:val="clear" w:color="auto" w:fill="D9E2F3"/>
            <w:vAlign w:val="center"/>
          </w:tcPr>
          <w:p w14:paraId="074CA107" w14:textId="77777777" w:rsidR="00990B14" w:rsidRDefault="00000000">
            <w:pPr>
              <w:spacing w:before="20" w:after="20"/>
              <w:jc w:val="both"/>
            </w:pPr>
            <w:r>
              <w:rPr>
                <w:sz w:val="18"/>
                <w:szCs w:val="18"/>
              </w:rPr>
              <w:t>Registra datos incompletos o erróneos.</w:t>
            </w:r>
          </w:p>
        </w:tc>
        <w:tc>
          <w:tcPr>
            <w:tcW w:w="1910" w:type="dxa"/>
            <w:shd w:val="clear" w:color="auto" w:fill="D9E2F3"/>
            <w:vAlign w:val="center"/>
          </w:tcPr>
          <w:p w14:paraId="21CA4543" w14:textId="77777777" w:rsidR="00990B14" w:rsidRDefault="00000000">
            <w:pPr>
              <w:spacing w:before="20" w:after="20"/>
              <w:jc w:val="both"/>
            </w:pPr>
            <w:r>
              <w:rPr>
                <w:sz w:val="18"/>
                <w:szCs w:val="18"/>
              </w:rPr>
              <w:t>Registra partidas, montos, origen y destino.</w:t>
            </w:r>
          </w:p>
        </w:tc>
        <w:tc>
          <w:tcPr>
            <w:tcW w:w="1868" w:type="dxa"/>
            <w:shd w:val="clear" w:color="auto" w:fill="D9E2F3"/>
            <w:vAlign w:val="center"/>
          </w:tcPr>
          <w:p w14:paraId="67CFEC43" w14:textId="77777777" w:rsidR="00990B14" w:rsidRDefault="00000000">
            <w:pPr>
              <w:spacing w:before="20" w:after="20"/>
              <w:jc w:val="both"/>
            </w:pPr>
            <w:r>
              <w:rPr>
                <w:sz w:val="18"/>
                <w:szCs w:val="18"/>
              </w:rPr>
              <w:t>Registra la modificación con coherencia y trazabilidad.</w:t>
            </w:r>
          </w:p>
        </w:tc>
      </w:tr>
      <w:tr w:rsidR="00990B14" w14:paraId="1EAB6A89" w14:textId="77777777">
        <w:trPr>
          <w:cantSplit/>
          <w:jc w:val="center"/>
        </w:trPr>
        <w:tc>
          <w:tcPr>
            <w:tcW w:w="1850" w:type="dxa"/>
            <w:vMerge/>
            <w:shd w:val="clear" w:color="auto" w:fill="4472C4"/>
            <w:vAlign w:val="center"/>
          </w:tcPr>
          <w:p w14:paraId="70B5CB00" w14:textId="77777777" w:rsidR="00990B14" w:rsidRDefault="00990B14">
            <w:pPr>
              <w:spacing w:before="20" w:after="20"/>
            </w:pPr>
          </w:p>
        </w:tc>
        <w:tc>
          <w:tcPr>
            <w:tcW w:w="1867" w:type="dxa"/>
            <w:shd w:val="clear" w:color="auto" w:fill="D9E2F3"/>
            <w:vAlign w:val="center"/>
          </w:tcPr>
          <w:p w14:paraId="0939AD60" w14:textId="77777777" w:rsidR="00990B14" w:rsidRDefault="00000000">
            <w:pPr>
              <w:spacing w:before="20" w:after="20"/>
              <w:jc w:val="both"/>
            </w:pPr>
            <w:r>
              <w:rPr>
                <w:sz w:val="18"/>
                <w:szCs w:val="18"/>
              </w:rPr>
              <w:t>Informe de modificación</w:t>
            </w:r>
          </w:p>
        </w:tc>
        <w:tc>
          <w:tcPr>
            <w:tcW w:w="1910" w:type="dxa"/>
            <w:shd w:val="clear" w:color="auto" w:fill="D9E2F3"/>
            <w:vAlign w:val="center"/>
          </w:tcPr>
          <w:p w14:paraId="04BCDE6C" w14:textId="77777777" w:rsidR="00990B14" w:rsidRDefault="00000000">
            <w:pPr>
              <w:spacing w:before="20" w:after="20"/>
              <w:jc w:val="both"/>
            </w:pPr>
            <w:r>
              <w:rPr>
                <w:sz w:val="18"/>
                <w:szCs w:val="18"/>
              </w:rPr>
              <w:t>No elabora el informe o está incompleto.</w:t>
            </w:r>
          </w:p>
        </w:tc>
        <w:tc>
          <w:tcPr>
            <w:tcW w:w="1910" w:type="dxa"/>
            <w:shd w:val="clear" w:color="auto" w:fill="D9E2F3"/>
            <w:vAlign w:val="center"/>
          </w:tcPr>
          <w:p w14:paraId="5CAD7E98" w14:textId="77777777" w:rsidR="00990B14" w:rsidRDefault="00000000">
            <w:pPr>
              <w:spacing w:before="20" w:after="20"/>
              <w:jc w:val="both"/>
            </w:pPr>
            <w:r>
              <w:rPr>
                <w:sz w:val="18"/>
                <w:szCs w:val="18"/>
              </w:rPr>
              <w:t>Elabora un informe con la justificación.</w:t>
            </w:r>
          </w:p>
        </w:tc>
        <w:tc>
          <w:tcPr>
            <w:tcW w:w="1868" w:type="dxa"/>
            <w:shd w:val="clear" w:color="auto" w:fill="D9E2F3"/>
            <w:vAlign w:val="center"/>
          </w:tcPr>
          <w:p w14:paraId="06DE7140" w14:textId="77777777" w:rsidR="00990B14" w:rsidRDefault="00000000">
            <w:pPr>
              <w:spacing w:before="20" w:after="20"/>
              <w:jc w:val="both"/>
            </w:pPr>
            <w:r>
              <w:rPr>
                <w:sz w:val="18"/>
                <w:szCs w:val="18"/>
              </w:rPr>
              <w:t>Elabora un informe técnico y legal con conclusiones claras.</w:t>
            </w:r>
          </w:p>
        </w:tc>
      </w:tr>
      <w:tr w:rsidR="00990B14" w14:paraId="5AD0202D" w14:textId="77777777">
        <w:trPr>
          <w:cantSplit/>
          <w:jc w:val="center"/>
        </w:trPr>
        <w:tc>
          <w:tcPr>
            <w:tcW w:w="1850" w:type="dxa"/>
            <w:vMerge/>
            <w:shd w:val="clear" w:color="auto" w:fill="4472C4"/>
            <w:vAlign w:val="center"/>
          </w:tcPr>
          <w:p w14:paraId="3122CBC8" w14:textId="77777777" w:rsidR="00990B14" w:rsidRDefault="00990B14">
            <w:pPr>
              <w:spacing w:before="20" w:after="20"/>
            </w:pPr>
          </w:p>
        </w:tc>
        <w:tc>
          <w:tcPr>
            <w:tcW w:w="1867" w:type="dxa"/>
            <w:shd w:val="clear" w:color="auto" w:fill="D9E2F3"/>
            <w:vAlign w:val="center"/>
          </w:tcPr>
          <w:p w14:paraId="1EF09279" w14:textId="77777777" w:rsidR="00990B14" w:rsidRDefault="00000000">
            <w:pPr>
              <w:spacing w:before="20" w:after="20"/>
              <w:jc w:val="both"/>
            </w:pPr>
            <w:r>
              <w:rPr>
                <w:sz w:val="18"/>
                <w:szCs w:val="18"/>
              </w:rPr>
              <w:t>Documentación de respaldo</w:t>
            </w:r>
          </w:p>
        </w:tc>
        <w:tc>
          <w:tcPr>
            <w:tcW w:w="1910" w:type="dxa"/>
            <w:shd w:val="clear" w:color="auto" w:fill="D9E2F3"/>
            <w:vAlign w:val="center"/>
          </w:tcPr>
          <w:p w14:paraId="0E2FE521" w14:textId="77777777" w:rsidR="00990B14" w:rsidRDefault="00000000">
            <w:pPr>
              <w:spacing w:before="20" w:after="20"/>
              <w:jc w:val="both"/>
            </w:pPr>
            <w:r>
              <w:rPr>
                <w:sz w:val="18"/>
                <w:szCs w:val="18"/>
              </w:rPr>
              <w:t>No adjunta respaldo.</w:t>
            </w:r>
          </w:p>
        </w:tc>
        <w:tc>
          <w:tcPr>
            <w:tcW w:w="1910" w:type="dxa"/>
            <w:shd w:val="clear" w:color="auto" w:fill="D9E2F3"/>
            <w:vAlign w:val="center"/>
          </w:tcPr>
          <w:p w14:paraId="5E75ED2A" w14:textId="77777777" w:rsidR="00990B14" w:rsidRDefault="00000000">
            <w:pPr>
              <w:spacing w:before="20" w:after="20"/>
              <w:jc w:val="both"/>
            </w:pPr>
            <w:r>
              <w:rPr>
                <w:sz w:val="18"/>
                <w:szCs w:val="18"/>
              </w:rPr>
              <w:t>Adjunta la documentación de respaldo.</w:t>
            </w:r>
          </w:p>
        </w:tc>
        <w:tc>
          <w:tcPr>
            <w:tcW w:w="1868" w:type="dxa"/>
            <w:shd w:val="clear" w:color="auto" w:fill="D9E2F3"/>
            <w:vAlign w:val="center"/>
          </w:tcPr>
          <w:p w14:paraId="6D185DB7" w14:textId="77777777" w:rsidR="00990B14" w:rsidRDefault="00000000">
            <w:pPr>
              <w:spacing w:before="20" w:after="20"/>
              <w:jc w:val="both"/>
            </w:pPr>
            <w:r>
              <w:rPr>
                <w:sz w:val="18"/>
                <w:szCs w:val="18"/>
              </w:rPr>
              <w:t>Adjunta, referencia y archiva la documentación de forma ordenada.</w:t>
            </w:r>
          </w:p>
        </w:tc>
      </w:tr>
      <w:tr w:rsidR="00990B14" w14:paraId="10FDD869" w14:textId="77777777">
        <w:trPr>
          <w:cantSplit/>
          <w:jc w:val="center"/>
        </w:trPr>
        <w:tc>
          <w:tcPr>
            <w:tcW w:w="1850" w:type="dxa"/>
            <w:vMerge/>
            <w:shd w:val="clear" w:color="auto" w:fill="4472C4"/>
            <w:vAlign w:val="center"/>
          </w:tcPr>
          <w:p w14:paraId="7D6F515C" w14:textId="77777777" w:rsidR="00990B14" w:rsidRDefault="00990B14">
            <w:pPr>
              <w:spacing w:before="20" w:after="20"/>
            </w:pPr>
          </w:p>
        </w:tc>
        <w:tc>
          <w:tcPr>
            <w:tcW w:w="5687" w:type="dxa"/>
            <w:gridSpan w:val="3"/>
            <w:shd w:val="clear" w:color="auto" w:fill="D9E2F3"/>
            <w:vAlign w:val="center"/>
          </w:tcPr>
          <w:p w14:paraId="32912FA8" w14:textId="77777777" w:rsidR="00990B14" w:rsidRDefault="00000000">
            <w:pPr>
              <w:keepNext/>
              <w:spacing w:before="20" w:after="20"/>
              <w:jc w:val="both"/>
            </w:pPr>
            <w:r>
              <w:rPr>
                <w:b/>
                <w:bCs/>
                <w:i/>
                <w:iCs/>
                <w:sz w:val="18"/>
                <w:szCs w:val="18"/>
              </w:rPr>
              <w:t xml:space="preserve">Producto 13: </w:t>
            </w:r>
            <w:r>
              <w:rPr>
                <w:sz w:val="18"/>
                <w:szCs w:val="18"/>
              </w:rPr>
              <w:t>Informe de gestión de recursos humanos, relacionado con la contabilidad integrada.</w:t>
            </w:r>
          </w:p>
        </w:tc>
        <w:tc>
          <w:tcPr>
            <w:tcW w:w="1868" w:type="dxa"/>
            <w:shd w:val="clear" w:color="auto" w:fill="D9E2F3"/>
            <w:vAlign w:val="center"/>
          </w:tcPr>
          <w:p w14:paraId="06DE15FA" w14:textId="77777777" w:rsidR="00990B14" w:rsidRDefault="00000000">
            <w:pPr>
              <w:spacing w:before="20" w:after="20"/>
              <w:jc w:val="center"/>
            </w:pPr>
            <w:r>
              <w:rPr>
                <w:b/>
                <w:bCs/>
                <w:sz w:val="18"/>
                <w:szCs w:val="18"/>
              </w:rPr>
              <w:t>5%</w:t>
            </w:r>
          </w:p>
        </w:tc>
      </w:tr>
      <w:tr w:rsidR="00990B14" w14:paraId="5B74FDB2" w14:textId="77777777">
        <w:trPr>
          <w:cantSplit/>
          <w:jc w:val="center"/>
        </w:trPr>
        <w:tc>
          <w:tcPr>
            <w:tcW w:w="1850" w:type="dxa"/>
            <w:vMerge/>
            <w:shd w:val="clear" w:color="auto" w:fill="4472C4"/>
            <w:vAlign w:val="center"/>
          </w:tcPr>
          <w:p w14:paraId="7563FDA5" w14:textId="77777777" w:rsidR="00990B14" w:rsidRDefault="00990B14">
            <w:pPr>
              <w:spacing w:before="20" w:after="20"/>
            </w:pPr>
          </w:p>
        </w:tc>
        <w:tc>
          <w:tcPr>
            <w:tcW w:w="1867" w:type="dxa"/>
            <w:shd w:val="clear" w:color="auto" w:fill="4472C4"/>
            <w:vAlign w:val="center"/>
          </w:tcPr>
          <w:p w14:paraId="1806AA6A"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52C46791"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53C61551" w14:textId="77777777" w:rsidR="00990B14" w:rsidRDefault="00000000">
            <w:pPr>
              <w:keepNext/>
              <w:spacing w:before="20" w:after="20"/>
              <w:jc w:val="center"/>
            </w:pPr>
            <w:r>
              <w:rPr>
                <w:b/>
                <w:bCs/>
                <w:i/>
                <w:iCs/>
                <w:color w:val="FFFFFF"/>
                <w:sz w:val="18"/>
                <w:szCs w:val="18"/>
              </w:rPr>
              <w:t>Suficiente (51–80)</w:t>
            </w:r>
          </w:p>
        </w:tc>
        <w:tc>
          <w:tcPr>
            <w:tcW w:w="1868" w:type="dxa"/>
            <w:shd w:val="clear" w:color="auto" w:fill="4472C4"/>
            <w:vAlign w:val="center"/>
          </w:tcPr>
          <w:p w14:paraId="712CB6FD" w14:textId="77777777" w:rsidR="00990B14" w:rsidRDefault="00000000">
            <w:pPr>
              <w:keepNext/>
              <w:spacing w:before="20" w:after="20"/>
              <w:jc w:val="center"/>
            </w:pPr>
            <w:r>
              <w:rPr>
                <w:b/>
                <w:bCs/>
                <w:i/>
                <w:iCs/>
                <w:color w:val="FFFFFF"/>
                <w:sz w:val="18"/>
                <w:szCs w:val="18"/>
              </w:rPr>
              <w:t>Destacado (81–100)</w:t>
            </w:r>
          </w:p>
        </w:tc>
      </w:tr>
      <w:tr w:rsidR="00990B14" w14:paraId="2FA50D9C" w14:textId="77777777">
        <w:trPr>
          <w:cantSplit/>
          <w:jc w:val="center"/>
        </w:trPr>
        <w:tc>
          <w:tcPr>
            <w:tcW w:w="1850" w:type="dxa"/>
            <w:vMerge/>
            <w:shd w:val="clear" w:color="auto" w:fill="4472C4"/>
            <w:vAlign w:val="center"/>
          </w:tcPr>
          <w:p w14:paraId="3235842F" w14:textId="77777777" w:rsidR="00990B14" w:rsidRDefault="00990B14">
            <w:pPr>
              <w:spacing w:before="20" w:after="20"/>
            </w:pPr>
          </w:p>
        </w:tc>
        <w:tc>
          <w:tcPr>
            <w:tcW w:w="1867" w:type="dxa"/>
            <w:shd w:val="clear" w:color="auto" w:fill="D9E2F3"/>
            <w:vAlign w:val="center"/>
          </w:tcPr>
          <w:p w14:paraId="4A1CD5D7" w14:textId="77777777" w:rsidR="00990B14" w:rsidRDefault="00000000">
            <w:pPr>
              <w:spacing w:before="20" w:after="20"/>
              <w:jc w:val="both"/>
            </w:pPr>
            <w:r>
              <w:rPr>
                <w:sz w:val="18"/>
                <w:szCs w:val="18"/>
              </w:rPr>
              <w:t>Registro de remuneraciones</w:t>
            </w:r>
          </w:p>
        </w:tc>
        <w:tc>
          <w:tcPr>
            <w:tcW w:w="1910" w:type="dxa"/>
            <w:shd w:val="clear" w:color="auto" w:fill="D9E2F3"/>
            <w:vAlign w:val="center"/>
          </w:tcPr>
          <w:p w14:paraId="4F447FFB" w14:textId="77777777" w:rsidR="00990B14" w:rsidRDefault="00000000">
            <w:pPr>
              <w:spacing w:before="20" w:after="20"/>
              <w:jc w:val="both"/>
            </w:pPr>
            <w:r>
              <w:rPr>
                <w:sz w:val="18"/>
                <w:szCs w:val="18"/>
              </w:rPr>
              <w:t>Registra remuneraciones con errores.</w:t>
            </w:r>
          </w:p>
        </w:tc>
        <w:tc>
          <w:tcPr>
            <w:tcW w:w="1910" w:type="dxa"/>
            <w:shd w:val="clear" w:color="auto" w:fill="D9E2F3"/>
            <w:vAlign w:val="center"/>
          </w:tcPr>
          <w:p w14:paraId="11EEA916" w14:textId="77777777" w:rsidR="00990B14" w:rsidRDefault="00000000">
            <w:pPr>
              <w:spacing w:before="20" w:after="20"/>
              <w:jc w:val="both"/>
            </w:pPr>
            <w:r>
              <w:rPr>
                <w:sz w:val="18"/>
                <w:szCs w:val="18"/>
              </w:rPr>
              <w:t>Registra las planillas de sueldos y las obligaciones laborales.</w:t>
            </w:r>
          </w:p>
        </w:tc>
        <w:tc>
          <w:tcPr>
            <w:tcW w:w="1868" w:type="dxa"/>
            <w:shd w:val="clear" w:color="auto" w:fill="D9E2F3"/>
            <w:vAlign w:val="center"/>
          </w:tcPr>
          <w:p w14:paraId="0BD96FDC" w14:textId="77777777" w:rsidR="00990B14" w:rsidRDefault="00000000">
            <w:pPr>
              <w:spacing w:before="20" w:after="20"/>
              <w:jc w:val="both"/>
            </w:pPr>
            <w:r>
              <w:rPr>
                <w:sz w:val="18"/>
                <w:szCs w:val="18"/>
              </w:rPr>
              <w:t>Registra y concilia las planillas con el presupuesto y la contabilidad.</w:t>
            </w:r>
          </w:p>
        </w:tc>
      </w:tr>
      <w:tr w:rsidR="00990B14" w14:paraId="6E151F8F" w14:textId="77777777">
        <w:trPr>
          <w:cantSplit/>
          <w:jc w:val="center"/>
        </w:trPr>
        <w:tc>
          <w:tcPr>
            <w:tcW w:w="1850" w:type="dxa"/>
            <w:vMerge/>
            <w:shd w:val="clear" w:color="auto" w:fill="4472C4"/>
            <w:vAlign w:val="center"/>
          </w:tcPr>
          <w:p w14:paraId="6A07E679" w14:textId="77777777" w:rsidR="00990B14" w:rsidRDefault="00990B14">
            <w:pPr>
              <w:spacing w:before="20" w:after="20"/>
            </w:pPr>
          </w:p>
        </w:tc>
        <w:tc>
          <w:tcPr>
            <w:tcW w:w="1867" w:type="dxa"/>
            <w:shd w:val="clear" w:color="auto" w:fill="D9E2F3"/>
            <w:vAlign w:val="center"/>
          </w:tcPr>
          <w:p w14:paraId="4C2190C4" w14:textId="77777777" w:rsidR="00990B14" w:rsidRDefault="00000000">
            <w:pPr>
              <w:spacing w:before="20" w:after="20"/>
              <w:jc w:val="both"/>
            </w:pPr>
            <w:r>
              <w:rPr>
                <w:sz w:val="18"/>
                <w:szCs w:val="18"/>
              </w:rPr>
              <w:t>Aportes</w:t>
            </w:r>
          </w:p>
        </w:tc>
        <w:tc>
          <w:tcPr>
            <w:tcW w:w="1910" w:type="dxa"/>
            <w:shd w:val="clear" w:color="auto" w:fill="D9E2F3"/>
            <w:vAlign w:val="center"/>
          </w:tcPr>
          <w:p w14:paraId="3EBB7CC1" w14:textId="77777777" w:rsidR="00990B14" w:rsidRDefault="00000000">
            <w:pPr>
              <w:spacing w:before="20" w:after="20"/>
              <w:jc w:val="both"/>
            </w:pPr>
            <w:r>
              <w:rPr>
                <w:sz w:val="18"/>
                <w:szCs w:val="18"/>
              </w:rPr>
              <w:t>Omite aportes</w:t>
            </w:r>
          </w:p>
        </w:tc>
        <w:tc>
          <w:tcPr>
            <w:tcW w:w="1910" w:type="dxa"/>
            <w:shd w:val="clear" w:color="auto" w:fill="D9E2F3"/>
            <w:vAlign w:val="center"/>
          </w:tcPr>
          <w:p w14:paraId="39ADD1E1" w14:textId="77777777" w:rsidR="00990B14" w:rsidRDefault="00000000">
            <w:pPr>
              <w:spacing w:before="20" w:after="20"/>
              <w:jc w:val="both"/>
            </w:pPr>
            <w:r>
              <w:rPr>
                <w:sz w:val="18"/>
                <w:szCs w:val="18"/>
              </w:rPr>
              <w:t>Calcula y registra aportes</w:t>
            </w:r>
          </w:p>
        </w:tc>
        <w:tc>
          <w:tcPr>
            <w:tcW w:w="1868" w:type="dxa"/>
            <w:shd w:val="clear" w:color="auto" w:fill="D9E2F3"/>
            <w:vAlign w:val="center"/>
          </w:tcPr>
          <w:p w14:paraId="5C596F71" w14:textId="77777777" w:rsidR="00990B14" w:rsidRDefault="00000000">
            <w:pPr>
              <w:spacing w:before="20" w:after="20"/>
              <w:jc w:val="both"/>
            </w:pPr>
            <w:r>
              <w:rPr>
                <w:sz w:val="18"/>
                <w:szCs w:val="18"/>
              </w:rPr>
              <w:t>Calcula, registra y explica las obligaciones por pagar.</w:t>
            </w:r>
          </w:p>
        </w:tc>
      </w:tr>
      <w:tr w:rsidR="00990B14" w14:paraId="5599A073" w14:textId="77777777">
        <w:trPr>
          <w:cantSplit/>
          <w:jc w:val="center"/>
        </w:trPr>
        <w:tc>
          <w:tcPr>
            <w:tcW w:w="1850" w:type="dxa"/>
            <w:vMerge/>
            <w:shd w:val="clear" w:color="auto" w:fill="4472C4"/>
            <w:vAlign w:val="center"/>
          </w:tcPr>
          <w:p w14:paraId="3B68A52A" w14:textId="77777777" w:rsidR="00990B14" w:rsidRDefault="00990B14">
            <w:pPr>
              <w:spacing w:before="20" w:after="20"/>
            </w:pPr>
          </w:p>
        </w:tc>
        <w:tc>
          <w:tcPr>
            <w:tcW w:w="1867" w:type="dxa"/>
            <w:shd w:val="clear" w:color="auto" w:fill="D9E2F3"/>
            <w:vAlign w:val="center"/>
          </w:tcPr>
          <w:p w14:paraId="38950B9C" w14:textId="77777777" w:rsidR="00990B14" w:rsidRDefault="00000000">
            <w:pPr>
              <w:spacing w:before="20" w:after="20"/>
              <w:jc w:val="both"/>
            </w:pPr>
            <w:r>
              <w:rPr>
                <w:sz w:val="18"/>
                <w:szCs w:val="18"/>
              </w:rPr>
              <w:t>Integración contable</w:t>
            </w:r>
          </w:p>
        </w:tc>
        <w:tc>
          <w:tcPr>
            <w:tcW w:w="1910" w:type="dxa"/>
            <w:shd w:val="clear" w:color="auto" w:fill="D9E2F3"/>
            <w:vAlign w:val="center"/>
          </w:tcPr>
          <w:p w14:paraId="48EB20DC" w14:textId="77777777" w:rsidR="00990B14" w:rsidRDefault="00000000">
            <w:pPr>
              <w:spacing w:before="20" w:after="20"/>
              <w:jc w:val="both"/>
            </w:pPr>
            <w:r>
              <w:rPr>
                <w:sz w:val="18"/>
                <w:szCs w:val="18"/>
              </w:rPr>
              <w:t>No relaciona el informe con la contabilidad.</w:t>
            </w:r>
          </w:p>
        </w:tc>
        <w:tc>
          <w:tcPr>
            <w:tcW w:w="1910" w:type="dxa"/>
            <w:shd w:val="clear" w:color="auto" w:fill="D9E2F3"/>
            <w:vAlign w:val="center"/>
          </w:tcPr>
          <w:p w14:paraId="7F5872CE" w14:textId="77777777" w:rsidR="00990B14" w:rsidRDefault="00000000">
            <w:pPr>
              <w:spacing w:before="20" w:after="20"/>
              <w:jc w:val="both"/>
            </w:pPr>
            <w:r>
              <w:rPr>
                <w:sz w:val="18"/>
                <w:szCs w:val="18"/>
              </w:rPr>
              <w:t>Relaciona el informe con los registros contables.</w:t>
            </w:r>
          </w:p>
        </w:tc>
        <w:tc>
          <w:tcPr>
            <w:tcW w:w="1868" w:type="dxa"/>
            <w:shd w:val="clear" w:color="auto" w:fill="D9E2F3"/>
            <w:vAlign w:val="center"/>
          </w:tcPr>
          <w:p w14:paraId="7F3955B3" w14:textId="77777777" w:rsidR="00990B14" w:rsidRDefault="00000000">
            <w:pPr>
              <w:spacing w:before="20" w:after="20"/>
              <w:jc w:val="both"/>
            </w:pPr>
            <w:r>
              <w:rPr>
                <w:sz w:val="18"/>
                <w:szCs w:val="18"/>
              </w:rPr>
              <w:t>Muestra la integración presupuestaria, contable y de tesorería.</w:t>
            </w:r>
          </w:p>
        </w:tc>
      </w:tr>
      <w:tr w:rsidR="00990B14" w14:paraId="34A27DA8" w14:textId="77777777">
        <w:trPr>
          <w:cantSplit/>
          <w:jc w:val="center"/>
        </w:trPr>
        <w:tc>
          <w:tcPr>
            <w:tcW w:w="1850" w:type="dxa"/>
            <w:vMerge/>
            <w:shd w:val="clear" w:color="auto" w:fill="4472C4"/>
            <w:vAlign w:val="center"/>
          </w:tcPr>
          <w:p w14:paraId="01AD2F54" w14:textId="77777777" w:rsidR="00990B14" w:rsidRDefault="00990B14">
            <w:pPr>
              <w:spacing w:before="20" w:after="20"/>
            </w:pPr>
          </w:p>
        </w:tc>
        <w:tc>
          <w:tcPr>
            <w:tcW w:w="5687" w:type="dxa"/>
            <w:gridSpan w:val="3"/>
            <w:shd w:val="clear" w:color="auto" w:fill="D9E2F3"/>
            <w:vAlign w:val="center"/>
          </w:tcPr>
          <w:p w14:paraId="6BFD4AEE" w14:textId="77777777" w:rsidR="00990B14" w:rsidRDefault="00000000">
            <w:pPr>
              <w:keepNext/>
              <w:spacing w:before="20" w:after="20"/>
              <w:jc w:val="both"/>
            </w:pPr>
            <w:r>
              <w:rPr>
                <w:b/>
                <w:bCs/>
                <w:i/>
                <w:iCs/>
                <w:sz w:val="18"/>
                <w:szCs w:val="18"/>
              </w:rPr>
              <w:t xml:space="preserve">Producto 14: </w:t>
            </w:r>
            <w:r>
              <w:rPr>
                <w:sz w:val="18"/>
                <w:szCs w:val="18"/>
              </w:rPr>
              <w:t>Informe del proceso de contratación de bienes y servicios, relacionado con la contabilidad integrada.</w:t>
            </w:r>
          </w:p>
        </w:tc>
        <w:tc>
          <w:tcPr>
            <w:tcW w:w="1868" w:type="dxa"/>
            <w:shd w:val="clear" w:color="auto" w:fill="D9E2F3"/>
            <w:vAlign w:val="center"/>
          </w:tcPr>
          <w:p w14:paraId="6F308D1D" w14:textId="77777777" w:rsidR="00990B14" w:rsidRDefault="00000000">
            <w:pPr>
              <w:spacing w:before="20" w:after="20"/>
              <w:jc w:val="center"/>
            </w:pPr>
            <w:r>
              <w:rPr>
                <w:b/>
                <w:bCs/>
                <w:sz w:val="18"/>
                <w:szCs w:val="18"/>
              </w:rPr>
              <w:t>5%</w:t>
            </w:r>
          </w:p>
        </w:tc>
      </w:tr>
      <w:tr w:rsidR="00990B14" w14:paraId="27FAED37" w14:textId="77777777">
        <w:trPr>
          <w:cantSplit/>
          <w:jc w:val="center"/>
        </w:trPr>
        <w:tc>
          <w:tcPr>
            <w:tcW w:w="1850" w:type="dxa"/>
            <w:vMerge/>
            <w:shd w:val="clear" w:color="auto" w:fill="4472C4"/>
            <w:vAlign w:val="center"/>
          </w:tcPr>
          <w:p w14:paraId="58BB7411" w14:textId="77777777" w:rsidR="00990B14" w:rsidRDefault="00990B14">
            <w:pPr>
              <w:spacing w:before="20" w:after="20"/>
            </w:pPr>
          </w:p>
        </w:tc>
        <w:tc>
          <w:tcPr>
            <w:tcW w:w="1867" w:type="dxa"/>
            <w:shd w:val="clear" w:color="auto" w:fill="4472C4"/>
            <w:vAlign w:val="center"/>
          </w:tcPr>
          <w:p w14:paraId="2A608871"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545F2FD7"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62BB2E4F" w14:textId="77777777" w:rsidR="00990B14" w:rsidRDefault="00000000">
            <w:pPr>
              <w:keepNext/>
              <w:spacing w:before="20" w:after="20"/>
              <w:jc w:val="center"/>
            </w:pPr>
            <w:r>
              <w:rPr>
                <w:b/>
                <w:bCs/>
                <w:i/>
                <w:iCs/>
                <w:color w:val="FFFFFF"/>
                <w:sz w:val="18"/>
                <w:szCs w:val="18"/>
              </w:rPr>
              <w:t>Suficiente (51–80)</w:t>
            </w:r>
          </w:p>
        </w:tc>
        <w:tc>
          <w:tcPr>
            <w:tcW w:w="1868" w:type="dxa"/>
            <w:shd w:val="clear" w:color="auto" w:fill="4472C4"/>
            <w:vAlign w:val="center"/>
          </w:tcPr>
          <w:p w14:paraId="41EC796C" w14:textId="77777777" w:rsidR="00990B14" w:rsidRDefault="00000000">
            <w:pPr>
              <w:keepNext/>
              <w:spacing w:before="20" w:after="20"/>
              <w:jc w:val="center"/>
            </w:pPr>
            <w:r>
              <w:rPr>
                <w:b/>
                <w:bCs/>
                <w:i/>
                <w:iCs/>
                <w:color w:val="FFFFFF"/>
                <w:sz w:val="18"/>
                <w:szCs w:val="18"/>
              </w:rPr>
              <w:t>Destacado (81–100)</w:t>
            </w:r>
          </w:p>
        </w:tc>
      </w:tr>
      <w:tr w:rsidR="00990B14" w14:paraId="78676559" w14:textId="77777777">
        <w:trPr>
          <w:cantSplit/>
          <w:jc w:val="center"/>
        </w:trPr>
        <w:tc>
          <w:tcPr>
            <w:tcW w:w="1850" w:type="dxa"/>
            <w:vMerge/>
            <w:shd w:val="clear" w:color="auto" w:fill="4472C4"/>
            <w:vAlign w:val="center"/>
          </w:tcPr>
          <w:p w14:paraId="606B2DAC" w14:textId="77777777" w:rsidR="00990B14" w:rsidRDefault="00990B14">
            <w:pPr>
              <w:spacing w:before="20" w:after="20"/>
            </w:pPr>
          </w:p>
        </w:tc>
        <w:tc>
          <w:tcPr>
            <w:tcW w:w="1867" w:type="dxa"/>
            <w:shd w:val="clear" w:color="auto" w:fill="D9E2F3"/>
            <w:vAlign w:val="center"/>
          </w:tcPr>
          <w:p w14:paraId="0AC3FF65" w14:textId="77777777" w:rsidR="00990B14" w:rsidRDefault="00000000">
            <w:pPr>
              <w:spacing w:before="20" w:after="20"/>
              <w:jc w:val="both"/>
            </w:pPr>
            <w:r>
              <w:rPr>
                <w:sz w:val="18"/>
                <w:szCs w:val="18"/>
              </w:rPr>
              <w:t>Modalidad de contratación</w:t>
            </w:r>
          </w:p>
        </w:tc>
        <w:tc>
          <w:tcPr>
            <w:tcW w:w="1910" w:type="dxa"/>
            <w:shd w:val="clear" w:color="auto" w:fill="D9E2F3"/>
            <w:vAlign w:val="center"/>
          </w:tcPr>
          <w:p w14:paraId="1C298C5A" w14:textId="77777777" w:rsidR="00990B14" w:rsidRDefault="00000000">
            <w:pPr>
              <w:spacing w:before="20" w:after="20"/>
              <w:jc w:val="both"/>
            </w:pPr>
            <w:r>
              <w:rPr>
                <w:sz w:val="18"/>
                <w:szCs w:val="18"/>
              </w:rPr>
              <w:t>No identifica la modalidad.</w:t>
            </w:r>
          </w:p>
        </w:tc>
        <w:tc>
          <w:tcPr>
            <w:tcW w:w="1910" w:type="dxa"/>
            <w:shd w:val="clear" w:color="auto" w:fill="D9E2F3"/>
            <w:vAlign w:val="center"/>
          </w:tcPr>
          <w:p w14:paraId="00FA1731" w14:textId="77777777" w:rsidR="00990B14" w:rsidRDefault="00000000">
            <w:pPr>
              <w:spacing w:before="20" w:after="20"/>
              <w:jc w:val="both"/>
            </w:pPr>
            <w:r>
              <w:rPr>
                <w:sz w:val="18"/>
                <w:szCs w:val="18"/>
              </w:rPr>
              <w:t>Identifica la modalidad según la normativa.</w:t>
            </w:r>
          </w:p>
        </w:tc>
        <w:tc>
          <w:tcPr>
            <w:tcW w:w="1868" w:type="dxa"/>
            <w:shd w:val="clear" w:color="auto" w:fill="D9E2F3"/>
            <w:vAlign w:val="center"/>
          </w:tcPr>
          <w:p w14:paraId="155852A6" w14:textId="77777777" w:rsidR="00990B14" w:rsidRDefault="00000000">
            <w:pPr>
              <w:spacing w:before="20" w:after="20"/>
              <w:jc w:val="both"/>
            </w:pPr>
            <w:r>
              <w:rPr>
                <w:sz w:val="18"/>
                <w:szCs w:val="18"/>
              </w:rPr>
              <w:t>Justifica la modalidad aplicada con la normativa de contrataciones.</w:t>
            </w:r>
          </w:p>
        </w:tc>
      </w:tr>
      <w:tr w:rsidR="00990B14" w14:paraId="0577E193" w14:textId="77777777">
        <w:trPr>
          <w:cantSplit/>
          <w:jc w:val="center"/>
        </w:trPr>
        <w:tc>
          <w:tcPr>
            <w:tcW w:w="1850" w:type="dxa"/>
            <w:vMerge/>
            <w:shd w:val="clear" w:color="auto" w:fill="4472C4"/>
            <w:vAlign w:val="center"/>
          </w:tcPr>
          <w:p w14:paraId="31A7F1C5" w14:textId="77777777" w:rsidR="00990B14" w:rsidRDefault="00990B14">
            <w:pPr>
              <w:spacing w:before="20" w:after="20"/>
            </w:pPr>
          </w:p>
        </w:tc>
        <w:tc>
          <w:tcPr>
            <w:tcW w:w="1867" w:type="dxa"/>
            <w:shd w:val="clear" w:color="auto" w:fill="D9E2F3"/>
            <w:vAlign w:val="center"/>
          </w:tcPr>
          <w:p w14:paraId="12F2DA20" w14:textId="77777777" w:rsidR="00990B14" w:rsidRDefault="00000000">
            <w:pPr>
              <w:spacing w:before="20" w:after="20"/>
              <w:jc w:val="both"/>
            </w:pPr>
            <w:r>
              <w:rPr>
                <w:sz w:val="18"/>
                <w:szCs w:val="18"/>
              </w:rPr>
              <w:t>Etapas del proceso</w:t>
            </w:r>
          </w:p>
        </w:tc>
        <w:tc>
          <w:tcPr>
            <w:tcW w:w="1910" w:type="dxa"/>
            <w:shd w:val="clear" w:color="auto" w:fill="D9E2F3"/>
            <w:vAlign w:val="center"/>
          </w:tcPr>
          <w:p w14:paraId="09A6C303" w14:textId="77777777" w:rsidR="00990B14" w:rsidRDefault="00000000">
            <w:pPr>
              <w:spacing w:before="20" w:after="20"/>
              <w:jc w:val="both"/>
            </w:pPr>
            <w:r>
              <w:rPr>
                <w:sz w:val="18"/>
                <w:szCs w:val="18"/>
              </w:rPr>
              <w:t>Omite etapas del proceso.</w:t>
            </w:r>
          </w:p>
        </w:tc>
        <w:tc>
          <w:tcPr>
            <w:tcW w:w="1910" w:type="dxa"/>
            <w:shd w:val="clear" w:color="auto" w:fill="D9E2F3"/>
            <w:vAlign w:val="center"/>
          </w:tcPr>
          <w:p w14:paraId="5D940535" w14:textId="77777777" w:rsidR="00990B14" w:rsidRDefault="00000000">
            <w:pPr>
              <w:spacing w:before="20" w:after="20"/>
              <w:jc w:val="both"/>
            </w:pPr>
            <w:r>
              <w:rPr>
                <w:sz w:val="18"/>
                <w:szCs w:val="18"/>
              </w:rPr>
              <w:t>Describe las etapas del proceso de contratación.</w:t>
            </w:r>
          </w:p>
        </w:tc>
        <w:tc>
          <w:tcPr>
            <w:tcW w:w="1868" w:type="dxa"/>
            <w:shd w:val="clear" w:color="auto" w:fill="D9E2F3"/>
            <w:vAlign w:val="center"/>
          </w:tcPr>
          <w:p w14:paraId="1298A829" w14:textId="77777777" w:rsidR="00990B14" w:rsidRDefault="00000000">
            <w:pPr>
              <w:spacing w:before="20" w:after="20"/>
              <w:jc w:val="both"/>
            </w:pPr>
            <w:r>
              <w:rPr>
                <w:sz w:val="18"/>
                <w:szCs w:val="18"/>
              </w:rPr>
              <w:t>Describe las etapas con los documentos y los responsables.</w:t>
            </w:r>
          </w:p>
        </w:tc>
      </w:tr>
      <w:tr w:rsidR="00990B14" w14:paraId="117C23FF" w14:textId="77777777">
        <w:trPr>
          <w:cantSplit/>
          <w:jc w:val="center"/>
        </w:trPr>
        <w:tc>
          <w:tcPr>
            <w:tcW w:w="1850" w:type="dxa"/>
            <w:vMerge/>
            <w:shd w:val="clear" w:color="auto" w:fill="4472C4"/>
            <w:vAlign w:val="center"/>
          </w:tcPr>
          <w:p w14:paraId="63156C1D" w14:textId="77777777" w:rsidR="00990B14" w:rsidRDefault="00990B14">
            <w:pPr>
              <w:spacing w:before="20" w:after="20"/>
            </w:pPr>
          </w:p>
        </w:tc>
        <w:tc>
          <w:tcPr>
            <w:tcW w:w="1867" w:type="dxa"/>
            <w:shd w:val="clear" w:color="auto" w:fill="D9E2F3"/>
            <w:vAlign w:val="center"/>
          </w:tcPr>
          <w:p w14:paraId="47E178B7" w14:textId="77777777" w:rsidR="00990B14" w:rsidRDefault="00000000">
            <w:pPr>
              <w:spacing w:before="20" w:after="20"/>
              <w:jc w:val="both"/>
            </w:pPr>
            <w:r>
              <w:rPr>
                <w:sz w:val="18"/>
                <w:szCs w:val="18"/>
              </w:rPr>
              <w:t>Registro contable y presupuestario</w:t>
            </w:r>
          </w:p>
        </w:tc>
        <w:tc>
          <w:tcPr>
            <w:tcW w:w="1910" w:type="dxa"/>
            <w:shd w:val="clear" w:color="auto" w:fill="D9E2F3"/>
            <w:vAlign w:val="center"/>
          </w:tcPr>
          <w:p w14:paraId="2FE0D8B4" w14:textId="77777777" w:rsidR="00990B14" w:rsidRDefault="00000000">
            <w:pPr>
              <w:spacing w:before="20" w:after="20"/>
              <w:jc w:val="both"/>
            </w:pPr>
            <w:r>
              <w:rPr>
                <w:sz w:val="18"/>
                <w:szCs w:val="18"/>
              </w:rPr>
              <w:t>No registra el proceso.</w:t>
            </w:r>
          </w:p>
        </w:tc>
        <w:tc>
          <w:tcPr>
            <w:tcW w:w="1910" w:type="dxa"/>
            <w:shd w:val="clear" w:color="auto" w:fill="D9E2F3"/>
            <w:vAlign w:val="center"/>
          </w:tcPr>
          <w:p w14:paraId="5FE62B29" w14:textId="77777777" w:rsidR="00990B14" w:rsidRDefault="00000000">
            <w:pPr>
              <w:spacing w:before="20" w:after="20"/>
              <w:jc w:val="both"/>
            </w:pPr>
            <w:r>
              <w:rPr>
                <w:sz w:val="18"/>
                <w:szCs w:val="18"/>
              </w:rPr>
              <w:t>Registra el compromiso y el devengado.</w:t>
            </w:r>
          </w:p>
        </w:tc>
        <w:tc>
          <w:tcPr>
            <w:tcW w:w="1868" w:type="dxa"/>
            <w:shd w:val="clear" w:color="auto" w:fill="D9E2F3"/>
            <w:vAlign w:val="center"/>
          </w:tcPr>
          <w:p w14:paraId="1C129F76" w14:textId="77777777" w:rsidR="00990B14" w:rsidRDefault="00000000">
            <w:pPr>
              <w:spacing w:before="20" w:after="20"/>
              <w:jc w:val="both"/>
            </w:pPr>
            <w:r>
              <w:rPr>
                <w:sz w:val="18"/>
                <w:szCs w:val="18"/>
              </w:rPr>
              <w:t>Registra todas las etapas del gasto con su sustento documental.</w:t>
            </w:r>
          </w:p>
        </w:tc>
      </w:tr>
      <w:tr w:rsidR="00990B14" w14:paraId="79660EE5" w14:textId="77777777">
        <w:trPr>
          <w:cantSplit/>
          <w:jc w:val="center"/>
        </w:trPr>
        <w:tc>
          <w:tcPr>
            <w:tcW w:w="1850" w:type="dxa"/>
            <w:vMerge/>
            <w:shd w:val="clear" w:color="auto" w:fill="4472C4"/>
            <w:vAlign w:val="center"/>
          </w:tcPr>
          <w:p w14:paraId="627DB4F7" w14:textId="77777777" w:rsidR="00990B14" w:rsidRDefault="00990B14">
            <w:pPr>
              <w:spacing w:before="20" w:after="20"/>
            </w:pPr>
          </w:p>
        </w:tc>
        <w:tc>
          <w:tcPr>
            <w:tcW w:w="5687" w:type="dxa"/>
            <w:gridSpan w:val="3"/>
            <w:shd w:val="clear" w:color="auto" w:fill="D9E2F3"/>
            <w:vAlign w:val="center"/>
          </w:tcPr>
          <w:p w14:paraId="0B9464F0" w14:textId="77777777" w:rsidR="00990B14" w:rsidRDefault="00000000">
            <w:pPr>
              <w:keepNext/>
              <w:spacing w:before="20" w:after="20"/>
              <w:jc w:val="both"/>
            </w:pPr>
            <w:r>
              <w:rPr>
                <w:b/>
                <w:bCs/>
                <w:i/>
                <w:iCs/>
                <w:sz w:val="18"/>
                <w:szCs w:val="18"/>
              </w:rPr>
              <w:t xml:space="preserve">Producto 15: </w:t>
            </w:r>
            <w:r>
              <w:rPr>
                <w:sz w:val="18"/>
                <w:szCs w:val="18"/>
              </w:rPr>
              <w:t>Esquema de análisis de definición de políticas contables, presupuestarias y de tesorería.</w:t>
            </w:r>
          </w:p>
        </w:tc>
        <w:tc>
          <w:tcPr>
            <w:tcW w:w="1868" w:type="dxa"/>
            <w:shd w:val="clear" w:color="auto" w:fill="D9E2F3"/>
            <w:vAlign w:val="center"/>
          </w:tcPr>
          <w:p w14:paraId="56F112AB" w14:textId="77777777" w:rsidR="00990B14" w:rsidRDefault="00000000">
            <w:pPr>
              <w:spacing w:before="20" w:after="20"/>
              <w:jc w:val="center"/>
            </w:pPr>
            <w:r>
              <w:rPr>
                <w:b/>
                <w:bCs/>
                <w:sz w:val="18"/>
                <w:szCs w:val="18"/>
              </w:rPr>
              <w:t>3%</w:t>
            </w:r>
          </w:p>
        </w:tc>
      </w:tr>
      <w:tr w:rsidR="00990B14" w14:paraId="32A4E1D2" w14:textId="77777777">
        <w:trPr>
          <w:cantSplit/>
          <w:jc w:val="center"/>
        </w:trPr>
        <w:tc>
          <w:tcPr>
            <w:tcW w:w="1850" w:type="dxa"/>
            <w:vMerge/>
            <w:shd w:val="clear" w:color="auto" w:fill="4472C4"/>
            <w:vAlign w:val="center"/>
          </w:tcPr>
          <w:p w14:paraId="5B567328" w14:textId="77777777" w:rsidR="00990B14" w:rsidRDefault="00990B14">
            <w:pPr>
              <w:spacing w:before="20" w:after="20"/>
            </w:pPr>
          </w:p>
        </w:tc>
        <w:tc>
          <w:tcPr>
            <w:tcW w:w="1867" w:type="dxa"/>
            <w:shd w:val="clear" w:color="auto" w:fill="4472C4"/>
            <w:vAlign w:val="center"/>
          </w:tcPr>
          <w:p w14:paraId="1E8CAB10"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158B3D03"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19B05869" w14:textId="77777777" w:rsidR="00990B14" w:rsidRDefault="00000000">
            <w:pPr>
              <w:keepNext/>
              <w:spacing w:before="20" w:after="20"/>
              <w:jc w:val="center"/>
            </w:pPr>
            <w:r>
              <w:rPr>
                <w:b/>
                <w:bCs/>
                <w:i/>
                <w:iCs/>
                <w:color w:val="FFFFFF"/>
                <w:sz w:val="18"/>
                <w:szCs w:val="18"/>
              </w:rPr>
              <w:t>Suficiente (51–80)</w:t>
            </w:r>
          </w:p>
        </w:tc>
        <w:tc>
          <w:tcPr>
            <w:tcW w:w="1868" w:type="dxa"/>
            <w:shd w:val="clear" w:color="auto" w:fill="4472C4"/>
            <w:vAlign w:val="center"/>
          </w:tcPr>
          <w:p w14:paraId="1D3C7017" w14:textId="77777777" w:rsidR="00990B14" w:rsidRDefault="00000000">
            <w:pPr>
              <w:keepNext/>
              <w:spacing w:before="20" w:after="20"/>
              <w:jc w:val="center"/>
            </w:pPr>
            <w:r>
              <w:rPr>
                <w:b/>
                <w:bCs/>
                <w:i/>
                <w:iCs/>
                <w:color w:val="FFFFFF"/>
                <w:sz w:val="18"/>
                <w:szCs w:val="18"/>
              </w:rPr>
              <w:t>Destacado (81–100)</w:t>
            </w:r>
          </w:p>
        </w:tc>
      </w:tr>
      <w:tr w:rsidR="00990B14" w14:paraId="4F9662F6" w14:textId="77777777">
        <w:trPr>
          <w:cantSplit/>
          <w:jc w:val="center"/>
        </w:trPr>
        <w:tc>
          <w:tcPr>
            <w:tcW w:w="1850" w:type="dxa"/>
            <w:vMerge/>
            <w:shd w:val="clear" w:color="auto" w:fill="4472C4"/>
            <w:vAlign w:val="center"/>
          </w:tcPr>
          <w:p w14:paraId="7A78095B" w14:textId="77777777" w:rsidR="00990B14" w:rsidRDefault="00990B14">
            <w:pPr>
              <w:spacing w:before="20" w:after="20"/>
            </w:pPr>
          </w:p>
        </w:tc>
        <w:tc>
          <w:tcPr>
            <w:tcW w:w="1867" w:type="dxa"/>
            <w:shd w:val="clear" w:color="auto" w:fill="D9E2F3"/>
            <w:vAlign w:val="center"/>
          </w:tcPr>
          <w:p w14:paraId="6A0BE09E" w14:textId="77777777" w:rsidR="00990B14" w:rsidRDefault="00000000">
            <w:pPr>
              <w:spacing w:before="20" w:after="20"/>
              <w:jc w:val="both"/>
            </w:pPr>
            <w:r>
              <w:rPr>
                <w:sz w:val="18"/>
                <w:szCs w:val="18"/>
              </w:rPr>
              <w:t>Políticas contables</w:t>
            </w:r>
          </w:p>
        </w:tc>
        <w:tc>
          <w:tcPr>
            <w:tcW w:w="1910" w:type="dxa"/>
            <w:shd w:val="clear" w:color="auto" w:fill="D9E2F3"/>
            <w:vAlign w:val="center"/>
          </w:tcPr>
          <w:p w14:paraId="64B4F147" w14:textId="77777777" w:rsidR="00990B14" w:rsidRDefault="00000000">
            <w:pPr>
              <w:spacing w:before="20" w:after="20"/>
              <w:jc w:val="both"/>
            </w:pPr>
            <w:r>
              <w:rPr>
                <w:sz w:val="18"/>
                <w:szCs w:val="18"/>
              </w:rPr>
              <w:t>Omite las políticas contables.</w:t>
            </w:r>
          </w:p>
        </w:tc>
        <w:tc>
          <w:tcPr>
            <w:tcW w:w="1910" w:type="dxa"/>
            <w:shd w:val="clear" w:color="auto" w:fill="D9E2F3"/>
            <w:vAlign w:val="center"/>
          </w:tcPr>
          <w:p w14:paraId="0C990F81" w14:textId="77777777" w:rsidR="00990B14" w:rsidRDefault="00000000">
            <w:pPr>
              <w:spacing w:before="20" w:after="20"/>
              <w:jc w:val="both"/>
            </w:pPr>
            <w:r>
              <w:rPr>
                <w:sz w:val="18"/>
                <w:szCs w:val="18"/>
              </w:rPr>
              <w:t>Define las políticas contables básicas.</w:t>
            </w:r>
          </w:p>
        </w:tc>
        <w:tc>
          <w:tcPr>
            <w:tcW w:w="1868" w:type="dxa"/>
            <w:shd w:val="clear" w:color="auto" w:fill="D9E2F3"/>
            <w:vAlign w:val="center"/>
          </w:tcPr>
          <w:p w14:paraId="66F4921D" w14:textId="77777777" w:rsidR="00990B14" w:rsidRDefault="00000000">
            <w:pPr>
              <w:spacing w:before="20" w:after="20"/>
              <w:jc w:val="both"/>
            </w:pPr>
            <w:r>
              <w:rPr>
                <w:sz w:val="18"/>
                <w:szCs w:val="18"/>
              </w:rPr>
              <w:t>Define las políticas contables y las relaciona con las normas aplicables.</w:t>
            </w:r>
          </w:p>
        </w:tc>
      </w:tr>
      <w:tr w:rsidR="00990B14" w14:paraId="7CE4B950" w14:textId="77777777">
        <w:trPr>
          <w:cantSplit/>
          <w:jc w:val="center"/>
        </w:trPr>
        <w:tc>
          <w:tcPr>
            <w:tcW w:w="1850" w:type="dxa"/>
            <w:vMerge/>
            <w:shd w:val="clear" w:color="auto" w:fill="4472C4"/>
            <w:vAlign w:val="center"/>
          </w:tcPr>
          <w:p w14:paraId="575F5DF1" w14:textId="77777777" w:rsidR="00990B14" w:rsidRDefault="00990B14">
            <w:pPr>
              <w:spacing w:before="20" w:after="20"/>
            </w:pPr>
          </w:p>
        </w:tc>
        <w:tc>
          <w:tcPr>
            <w:tcW w:w="1867" w:type="dxa"/>
            <w:shd w:val="clear" w:color="auto" w:fill="D9E2F3"/>
            <w:vAlign w:val="center"/>
          </w:tcPr>
          <w:p w14:paraId="00A3D9F2" w14:textId="77777777" w:rsidR="00990B14" w:rsidRDefault="00000000">
            <w:pPr>
              <w:spacing w:before="20" w:after="20"/>
              <w:jc w:val="both"/>
            </w:pPr>
            <w:r>
              <w:rPr>
                <w:sz w:val="18"/>
                <w:szCs w:val="18"/>
              </w:rPr>
              <w:t>Políticas presupuestarias</w:t>
            </w:r>
          </w:p>
        </w:tc>
        <w:tc>
          <w:tcPr>
            <w:tcW w:w="1910" w:type="dxa"/>
            <w:shd w:val="clear" w:color="auto" w:fill="D9E2F3"/>
            <w:vAlign w:val="center"/>
          </w:tcPr>
          <w:p w14:paraId="28ECC1E7" w14:textId="77777777" w:rsidR="00990B14" w:rsidRDefault="00000000">
            <w:pPr>
              <w:spacing w:before="20" w:after="20"/>
              <w:jc w:val="both"/>
            </w:pPr>
            <w:r>
              <w:rPr>
                <w:sz w:val="18"/>
                <w:szCs w:val="18"/>
              </w:rPr>
              <w:t>Omite las políticas presupuestarias.</w:t>
            </w:r>
          </w:p>
        </w:tc>
        <w:tc>
          <w:tcPr>
            <w:tcW w:w="1910" w:type="dxa"/>
            <w:shd w:val="clear" w:color="auto" w:fill="D9E2F3"/>
            <w:vAlign w:val="center"/>
          </w:tcPr>
          <w:p w14:paraId="1DD77C1C" w14:textId="77777777" w:rsidR="00990B14" w:rsidRDefault="00000000">
            <w:pPr>
              <w:spacing w:before="20" w:after="20"/>
              <w:jc w:val="both"/>
            </w:pPr>
            <w:r>
              <w:rPr>
                <w:sz w:val="18"/>
                <w:szCs w:val="18"/>
              </w:rPr>
              <w:t>Define las políticas presupuestarias.</w:t>
            </w:r>
          </w:p>
        </w:tc>
        <w:tc>
          <w:tcPr>
            <w:tcW w:w="1868" w:type="dxa"/>
            <w:shd w:val="clear" w:color="auto" w:fill="D9E2F3"/>
            <w:vAlign w:val="center"/>
          </w:tcPr>
          <w:p w14:paraId="6EC0FE32" w14:textId="77777777" w:rsidR="00990B14" w:rsidRDefault="00000000">
            <w:pPr>
              <w:spacing w:before="20" w:after="20"/>
              <w:jc w:val="both"/>
            </w:pPr>
            <w:r>
              <w:rPr>
                <w:sz w:val="18"/>
                <w:szCs w:val="18"/>
              </w:rPr>
              <w:t>Define las políticas y las vincula con la programación de operaciones.</w:t>
            </w:r>
          </w:p>
        </w:tc>
      </w:tr>
      <w:tr w:rsidR="00990B14" w14:paraId="6E3827AA" w14:textId="77777777">
        <w:trPr>
          <w:cantSplit/>
          <w:jc w:val="center"/>
        </w:trPr>
        <w:tc>
          <w:tcPr>
            <w:tcW w:w="1850" w:type="dxa"/>
            <w:vMerge/>
            <w:shd w:val="clear" w:color="auto" w:fill="4472C4"/>
            <w:vAlign w:val="center"/>
          </w:tcPr>
          <w:p w14:paraId="6DA61EEE" w14:textId="77777777" w:rsidR="00990B14" w:rsidRDefault="00990B14">
            <w:pPr>
              <w:spacing w:before="20" w:after="20"/>
            </w:pPr>
          </w:p>
        </w:tc>
        <w:tc>
          <w:tcPr>
            <w:tcW w:w="1867" w:type="dxa"/>
            <w:shd w:val="clear" w:color="auto" w:fill="D9E2F3"/>
            <w:vAlign w:val="center"/>
          </w:tcPr>
          <w:p w14:paraId="18FD8DD2" w14:textId="77777777" w:rsidR="00990B14" w:rsidRDefault="00000000">
            <w:pPr>
              <w:spacing w:before="20" w:after="20"/>
              <w:jc w:val="both"/>
            </w:pPr>
            <w:r>
              <w:rPr>
                <w:sz w:val="18"/>
                <w:szCs w:val="18"/>
              </w:rPr>
              <w:t>Políticas de tesorería</w:t>
            </w:r>
          </w:p>
        </w:tc>
        <w:tc>
          <w:tcPr>
            <w:tcW w:w="1910" w:type="dxa"/>
            <w:shd w:val="clear" w:color="auto" w:fill="D9E2F3"/>
            <w:vAlign w:val="center"/>
          </w:tcPr>
          <w:p w14:paraId="5236606B" w14:textId="77777777" w:rsidR="00990B14" w:rsidRDefault="00000000">
            <w:pPr>
              <w:spacing w:before="20" w:after="20"/>
              <w:jc w:val="both"/>
            </w:pPr>
            <w:r>
              <w:rPr>
                <w:sz w:val="18"/>
                <w:szCs w:val="18"/>
              </w:rPr>
              <w:t>Omite las políticas de tesorería.</w:t>
            </w:r>
          </w:p>
        </w:tc>
        <w:tc>
          <w:tcPr>
            <w:tcW w:w="1910" w:type="dxa"/>
            <w:shd w:val="clear" w:color="auto" w:fill="D9E2F3"/>
            <w:vAlign w:val="center"/>
          </w:tcPr>
          <w:p w14:paraId="0B1DCC61" w14:textId="77777777" w:rsidR="00990B14" w:rsidRDefault="00000000">
            <w:pPr>
              <w:spacing w:before="20" w:after="20"/>
              <w:jc w:val="both"/>
            </w:pPr>
            <w:r>
              <w:rPr>
                <w:sz w:val="18"/>
                <w:szCs w:val="18"/>
              </w:rPr>
              <w:t>Define las políticas de tesorería.</w:t>
            </w:r>
          </w:p>
        </w:tc>
        <w:tc>
          <w:tcPr>
            <w:tcW w:w="1868" w:type="dxa"/>
            <w:shd w:val="clear" w:color="auto" w:fill="D9E2F3"/>
            <w:vAlign w:val="center"/>
          </w:tcPr>
          <w:p w14:paraId="1136611C" w14:textId="77777777" w:rsidR="00990B14" w:rsidRDefault="00000000">
            <w:pPr>
              <w:spacing w:before="20" w:after="20"/>
              <w:jc w:val="both"/>
            </w:pPr>
            <w:r>
              <w:rPr>
                <w:sz w:val="18"/>
                <w:szCs w:val="18"/>
              </w:rPr>
              <w:t>Define las políticas y su efecto en el flujo de caja.</w:t>
            </w:r>
          </w:p>
        </w:tc>
      </w:tr>
      <w:tr w:rsidR="00990B14" w14:paraId="143B09B5" w14:textId="77777777">
        <w:trPr>
          <w:cantSplit/>
          <w:jc w:val="center"/>
        </w:trPr>
        <w:tc>
          <w:tcPr>
            <w:tcW w:w="1850" w:type="dxa"/>
            <w:vMerge/>
            <w:shd w:val="clear" w:color="auto" w:fill="4472C4"/>
            <w:vAlign w:val="center"/>
          </w:tcPr>
          <w:p w14:paraId="7B56A34F" w14:textId="77777777" w:rsidR="00990B14" w:rsidRDefault="00990B14">
            <w:pPr>
              <w:spacing w:before="20" w:after="20"/>
            </w:pPr>
          </w:p>
        </w:tc>
        <w:tc>
          <w:tcPr>
            <w:tcW w:w="5687" w:type="dxa"/>
            <w:gridSpan w:val="3"/>
            <w:shd w:val="clear" w:color="auto" w:fill="D9E2F3"/>
            <w:vAlign w:val="center"/>
          </w:tcPr>
          <w:p w14:paraId="45C405F6" w14:textId="77777777" w:rsidR="00990B14" w:rsidRDefault="00000000">
            <w:pPr>
              <w:keepNext/>
              <w:spacing w:before="20" w:after="20"/>
              <w:jc w:val="both"/>
            </w:pPr>
            <w:r>
              <w:rPr>
                <w:b/>
                <w:bCs/>
                <w:i/>
                <w:iCs/>
                <w:sz w:val="18"/>
                <w:szCs w:val="18"/>
              </w:rPr>
              <w:t xml:space="preserve">Producto 16: </w:t>
            </w:r>
            <w:r>
              <w:rPr>
                <w:sz w:val="18"/>
                <w:szCs w:val="18"/>
              </w:rPr>
              <w:t>Documento Comprobantes contables y presupuestarios de registro.</w:t>
            </w:r>
          </w:p>
        </w:tc>
        <w:tc>
          <w:tcPr>
            <w:tcW w:w="1868" w:type="dxa"/>
            <w:shd w:val="clear" w:color="auto" w:fill="D9E2F3"/>
            <w:vAlign w:val="center"/>
          </w:tcPr>
          <w:p w14:paraId="0C257660" w14:textId="77777777" w:rsidR="00990B14" w:rsidRDefault="00000000">
            <w:pPr>
              <w:spacing w:before="20" w:after="20"/>
              <w:jc w:val="center"/>
            </w:pPr>
            <w:r>
              <w:rPr>
                <w:b/>
                <w:bCs/>
                <w:sz w:val="18"/>
                <w:szCs w:val="18"/>
              </w:rPr>
              <w:t>10%</w:t>
            </w:r>
          </w:p>
        </w:tc>
      </w:tr>
      <w:tr w:rsidR="00990B14" w14:paraId="3CF9F10E" w14:textId="77777777">
        <w:trPr>
          <w:cantSplit/>
          <w:jc w:val="center"/>
        </w:trPr>
        <w:tc>
          <w:tcPr>
            <w:tcW w:w="1850" w:type="dxa"/>
            <w:vMerge/>
            <w:shd w:val="clear" w:color="auto" w:fill="4472C4"/>
            <w:vAlign w:val="center"/>
          </w:tcPr>
          <w:p w14:paraId="37F02D83" w14:textId="77777777" w:rsidR="00990B14" w:rsidRDefault="00990B14">
            <w:pPr>
              <w:spacing w:before="20" w:after="20"/>
            </w:pPr>
          </w:p>
        </w:tc>
        <w:tc>
          <w:tcPr>
            <w:tcW w:w="1867" w:type="dxa"/>
            <w:shd w:val="clear" w:color="auto" w:fill="4472C4"/>
            <w:vAlign w:val="center"/>
          </w:tcPr>
          <w:p w14:paraId="140EBC61"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145D9B26"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6615C656" w14:textId="77777777" w:rsidR="00990B14" w:rsidRDefault="00000000">
            <w:pPr>
              <w:keepNext/>
              <w:spacing w:before="20" w:after="20"/>
              <w:jc w:val="center"/>
            </w:pPr>
            <w:r>
              <w:rPr>
                <w:b/>
                <w:bCs/>
                <w:i/>
                <w:iCs/>
                <w:color w:val="FFFFFF"/>
                <w:sz w:val="18"/>
                <w:szCs w:val="18"/>
              </w:rPr>
              <w:t>Suficiente (51–80)</w:t>
            </w:r>
          </w:p>
        </w:tc>
        <w:tc>
          <w:tcPr>
            <w:tcW w:w="1868" w:type="dxa"/>
            <w:shd w:val="clear" w:color="auto" w:fill="4472C4"/>
            <w:vAlign w:val="center"/>
          </w:tcPr>
          <w:p w14:paraId="6C66C0A8" w14:textId="77777777" w:rsidR="00990B14" w:rsidRDefault="00000000">
            <w:pPr>
              <w:keepNext/>
              <w:spacing w:before="20" w:after="20"/>
              <w:jc w:val="center"/>
            </w:pPr>
            <w:r>
              <w:rPr>
                <w:b/>
                <w:bCs/>
                <w:i/>
                <w:iCs/>
                <w:color w:val="FFFFFF"/>
                <w:sz w:val="18"/>
                <w:szCs w:val="18"/>
              </w:rPr>
              <w:t>Destacado (81–100)</w:t>
            </w:r>
          </w:p>
        </w:tc>
      </w:tr>
      <w:tr w:rsidR="00990B14" w14:paraId="5716C0CB" w14:textId="77777777">
        <w:trPr>
          <w:cantSplit/>
          <w:jc w:val="center"/>
        </w:trPr>
        <w:tc>
          <w:tcPr>
            <w:tcW w:w="1850" w:type="dxa"/>
            <w:vMerge/>
            <w:shd w:val="clear" w:color="auto" w:fill="4472C4"/>
            <w:vAlign w:val="center"/>
          </w:tcPr>
          <w:p w14:paraId="5BA18206" w14:textId="77777777" w:rsidR="00990B14" w:rsidRDefault="00990B14">
            <w:pPr>
              <w:spacing w:before="20" w:after="20"/>
            </w:pPr>
          </w:p>
        </w:tc>
        <w:tc>
          <w:tcPr>
            <w:tcW w:w="1867" w:type="dxa"/>
            <w:shd w:val="clear" w:color="auto" w:fill="D9E2F3"/>
            <w:vAlign w:val="center"/>
          </w:tcPr>
          <w:p w14:paraId="5E05F526" w14:textId="77777777" w:rsidR="00990B14" w:rsidRDefault="00000000">
            <w:pPr>
              <w:spacing w:before="20" w:after="20"/>
              <w:jc w:val="both"/>
            </w:pPr>
            <w:r>
              <w:rPr>
                <w:sz w:val="18"/>
                <w:szCs w:val="18"/>
              </w:rPr>
              <w:t>Datos del comprobante</w:t>
            </w:r>
          </w:p>
        </w:tc>
        <w:tc>
          <w:tcPr>
            <w:tcW w:w="1910" w:type="dxa"/>
            <w:shd w:val="clear" w:color="auto" w:fill="D9E2F3"/>
            <w:vAlign w:val="center"/>
          </w:tcPr>
          <w:p w14:paraId="259A8BE5" w14:textId="77777777" w:rsidR="00990B14" w:rsidRDefault="00000000">
            <w:pPr>
              <w:spacing w:before="20" w:after="20"/>
              <w:jc w:val="both"/>
            </w:pPr>
            <w:r>
              <w:rPr>
                <w:sz w:val="18"/>
                <w:szCs w:val="18"/>
              </w:rPr>
              <w:t>Omite datos obligatorios (fecha, número, glosa).</w:t>
            </w:r>
          </w:p>
        </w:tc>
        <w:tc>
          <w:tcPr>
            <w:tcW w:w="1910" w:type="dxa"/>
            <w:shd w:val="clear" w:color="auto" w:fill="D9E2F3"/>
            <w:vAlign w:val="center"/>
          </w:tcPr>
          <w:p w14:paraId="34F5A8E8" w14:textId="77777777" w:rsidR="00990B14" w:rsidRDefault="00000000">
            <w:pPr>
              <w:spacing w:before="20" w:after="20"/>
              <w:jc w:val="both"/>
            </w:pPr>
            <w:r>
              <w:rPr>
                <w:sz w:val="18"/>
                <w:szCs w:val="18"/>
              </w:rPr>
              <w:t>Completa los datos obligatorios del comprobante.</w:t>
            </w:r>
          </w:p>
        </w:tc>
        <w:tc>
          <w:tcPr>
            <w:tcW w:w="1868" w:type="dxa"/>
            <w:shd w:val="clear" w:color="auto" w:fill="D9E2F3"/>
            <w:vAlign w:val="center"/>
          </w:tcPr>
          <w:p w14:paraId="4F5DA884" w14:textId="77777777" w:rsidR="00990B14" w:rsidRDefault="00000000">
            <w:pPr>
              <w:spacing w:before="20" w:after="20"/>
              <w:jc w:val="both"/>
            </w:pPr>
            <w:r>
              <w:rPr>
                <w:sz w:val="18"/>
                <w:szCs w:val="18"/>
              </w:rPr>
              <w:t>Completa los datos con glosa clara y trazabilidad.</w:t>
            </w:r>
          </w:p>
        </w:tc>
      </w:tr>
      <w:tr w:rsidR="00990B14" w14:paraId="2B57FC91" w14:textId="77777777">
        <w:trPr>
          <w:cantSplit/>
          <w:jc w:val="center"/>
        </w:trPr>
        <w:tc>
          <w:tcPr>
            <w:tcW w:w="1850" w:type="dxa"/>
            <w:vMerge/>
            <w:shd w:val="clear" w:color="auto" w:fill="4472C4"/>
            <w:vAlign w:val="center"/>
          </w:tcPr>
          <w:p w14:paraId="1EEF1AB8" w14:textId="77777777" w:rsidR="00990B14" w:rsidRDefault="00990B14">
            <w:pPr>
              <w:spacing w:before="20" w:after="20"/>
            </w:pPr>
          </w:p>
        </w:tc>
        <w:tc>
          <w:tcPr>
            <w:tcW w:w="1867" w:type="dxa"/>
            <w:shd w:val="clear" w:color="auto" w:fill="D9E2F3"/>
            <w:vAlign w:val="center"/>
          </w:tcPr>
          <w:p w14:paraId="55E0B8B1" w14:textId="77777777" w:rsidR="00990B14" w:rsidRDefault="00000000">
            <w:pPr>
              <w:spacing w:before="20" w:after="20"/>
              <w:jc w:val="both"/>
            </w:pPr>
            <w:r>
              <w:rPr>
                <w:sz w:val="18"/>
                <w:szCs w:val="18"/>
              </w:rPr>
              <w:t>Imputación contable y presupuestaria</w:t>
            </w:r>
          </w:p>
        </w:tc>
        <w:tc>
          <w:tcPr>
            <w:tcW w:w="1910" w:type="dxa"/>
            <w:shd w:val="clear" w:color="auto" w:fill="D9E2F3"/>
            <w:vAlign w:val="center"/>
          </w:tcPr>
          <w:p w14:paraId="291A52D1" w14:textId="77777777" w:rsidR="00990B14" w:rsidRDefault="00000000">
            <w:pPr>
              <w:spacing w:before="20" w:after="20"/>
              <w:jc w:val="both"/>
            </w:pPr>
            <w:r>
              <w:rPr>
                <w:sz w:val="18"/>
                <w:szCs w:val="18"/>
              </w:rPr>
              <w:t>Imputa cuentas o partidas incorrectas.</w:t>
            </w:r>
          </w:p>
        </w:tc>
        <w:tc>
          <w:tcPr>
            <w:tcW w:w="1910" w:type="dxa"/>
            <w:shd w:val="clear" w:color="auto" w:fill="D9E2F3"/>
            <w:vAlign w:val="center"/>
          </w:tcPr>
          <w:p w14:paraId="71E7E0B5" w14:textId="77777777" w:rsidR="00990B14" w:rsidRDefault="00000000">
            <w:pPr>
              <w:spacing w:before="20" w:after="20"/>
              <w:jc w:val="both"/>
            </w:pPr>
            <w:r>
              <w:rPr>
                <w:sz w:val="18"/>
                <w:szCs w:val="18"/>
              </w:rPr>
              <w:t>Imputa correctamente cuentas y partidas.</w:t>
            </w:r>
          </w:p>
        </w:tc>
        <w:tc>
          <w:tcPr>
            <w:tcW w:w="1868" w:type="dxa"/>
            <w:shd w:val="clear" w:color="auto" w:fill="D9E2F3"/>
            <w:vAlign w:val="center"/>
          </w:tcPr>
          <w:p w14:paraId="67A47637" w14:textId="77777777" w:rsidR="00990B14" w:rsidRDefault="00000000">
            <w:pPr>
              <w:spacing w:before="20" w:after="20"/>
              <w:jc w:val="both"/>
            </w:pPr>
            <w:r>
              <w:rPr>
                <w:sz w:val="18"/>
                <w:szCs w:val="18"/>
              </w:rPr>
              <w:t>Imputa correctamente y verifica el equilibrio debe/haber y la ejecución presupuestaria.</w:t>
            </w:r>
          </w:p>
        </w:tc>
      </w:tr>
      <w:tr w:rsidR="00990B14" w14:paraId="328A37A8" w14:textId="77777777">
        <w:trPr>
          <w:cantSplit/>
          <w:jc w:val="center"/>
        </w:trPr>
        <w:tc>
          <w:tcPr>
            <w:tcW w:w="1850" w:type="dxa"/>
            <w:vMerge/>
            <w:shd w:val="clear" w:color="auto" w:fill="4472C4"/>
            <w:vAlign w:val="center"/>
          </w:tcPr>
          <w:p w14:paraId="6980FF52" w14:textId="77777777" w:rsidR="00990B14" w:rsidRDefault="00990B14">
            <w:pPr>
              <w:spacing w:before="20" w:after="20"/>
            </w:pPr>
          </w:p>
        </w:tc>
        <w:tc>
          <w:tcPr>
            <w:tcW w:w="1867" w:type="dxa"/>
            <w:shd w:val="clear" w:color="auto" w:fill="D9E2F3"/>
            <w:vAlign w:val="center"/>
          </w:tcPr>
          <w:p w14:paraId="14CFD2EB" w14:textId="77777777" w:rsidR="00990B14" w:rsidRDefault="00000000">
            <w:pPr>
              <w:spacing w:before="20" w:after="20"/>
              <w:jc w:val="both"/>
            </w:pPr>
            <w:r>
              <w:rPr>
                <w:sz w:val="18"/>
                <w:szCs w:val="18"/>
              </w:rPr>
              <w:t>Respaldo documental</w:t>
            </w:r>
          </w:p>
        </w:tc>
        <w:tc>
          <w:tcPr>
            <w:tcW w:w="1910" w:type="dxa"/>
            <w:shd w:val="clear" w:color="auto" w:fill="D9E2F3"/>
            <w:vAlign w:val="center"/>
          </w:tcPr>
          <w:p w14:paraId="03DB4AF4" w14:textId="77777777" w:rsidR="00990B14" w:rsidRDefault="00000000">
            <w:pPr>
              <w:spacing w:before="20" w:after="20"/>
              <w:jc w:val="both"/>
            </w:pPr>
            <w:r>
              <w:rPr>
                <w:sz w:val="18"/>
                <w:szCs w:val="18"/>
              </w:rPr>
              <w:t>No adjunta la documentación de respaldo.</w:t>
            </w:r>
          </w:p>
        </w:tc>
        <w:tc>
          <w:tcPr>
            <w:tcW w:w="1910" w:type="dxa"/>
            <w:shd w:val="clear" w:color="auto" w:fill="D9E2F3"/>
            <w:vAlign w:val="center"/>
          </w:tcPr>
          <w:p w14:paraId="0ED7345B" w14:textId="77777777" w:rsidR="00990B14" w:rsidRDefault="00000000">
            <w:pPr>
              <w:spacing w:before="20" w:after="20"/>
              <w:jc w:val="both"/>
            </w:pPr>
            <w:r>
              <w:rPr>
                <w:sz w:val="18"/>
                <w:szCs w:val="18"/>
              </w:rPr>
              <w:t>Adjunta la documentación de respaldo de cada comprobante.</w:t>
            </w:r>
          </w:p>
        </w:tc>
        <w:tc>
          <w:tcPr>
            <w:tcW w:w="1868" w:type="dxa"/>
            <w:shd w:val="clear" w:color="auto" w:fill="D9E2F3"/>
            <w:vAlign w:val="center"/>
          </w:tcPr>
          <w:p w14:paraId="710045FF" w14:textId="77777777" w:rsidR="00990B14" w:rsidRDefault="00000000">
            <w:pPr>
              <w:spacing w:before="20" w:after="20"/>
              <w:jc w:val="both"/>
            </w:pPr>
            <w:r>
              <w:rPr>
                <w:sz w:val="18"/>
                <w:szCs w:val="18"/>
              </w:rPr>
              <w:t>Verifica la validez y la integridad de la documentación de respaldo.</w:t>
            </w:r>
          </w:p>
        </w:tc>
      </w:tr>
      <w:tr w:rsidR="00990B14" w14:paraId="001CCE78" w14:textId="77777777">
        <w:trPr>
          <w:cantSplit/>
          <w:jc w:val="center"/>
        </w:trPr>
        <w:tc>
          <w:tcPr>
            <w:tcW w:w="1850" w:type="dxa"/>
            <w:vMerge/>
            <w:shd w:val="clear" w:color="auto" w:fill="4472C4"/>
            <w:vAlign w:val="center"/>
          </w:tcPr>
          <w:p w14:paraId="7B85F0C9" w14:textId="77777777" w:rsidR="00990B14" w:rsidRDefault="00990B14">
            <w:pPr>
              <w:spacing w:before="20" w:after="20"/>
            </w:pPr>
          </w:p>
        </w:tc>
        <w:tc>
          <w:tcPr>
            <w:tcW w:w="5687" w:type="dxa"/>
            <w:gridSpan w:val="3"/>
            <w:shd w:val="clear" w:color="auto" w:fill="D9E2F3"/>
            <w:vAlign w:val="center"/>
          </w:tcPr>
          <w:p w14:paraId="5C73372B" w14:textId="77777777" w:rsidR="00990B14" w:rsidRDefault="00000000">
            <w:pPr>
              <w:keepNext/>
              <w:spacing w:before="20" w:after="20"/>
              <w:jc w:val="both"/>
            </w:pPr>
            <w:r>
              <w:rPr>
                <w:b/>
                <w:bCs/>
                <w:i/>
                <w:iCs/>
                <w:sz w:val="18"/>
                <w:szCs w:val="18"/>
              </w:rPr>
              <w:t xml:space="preserve">Producto 17: </w:t>
            </w:r>
            <w:r>
              <w:rPr>
                <w:sz w:val="18"/>
                <w:szCs w:val="18"/>
              </w:rPr>
              <w:t>Cuadro de consistencia de los estados financieros básicos e información complementaria.</w:t>
            </w:r>
          </w:p>
        </w:tc>
        <w:tc>
          <w:tcPr>
            <w:tcW w:w="1868" w:type="dxa"/>
            <w:shd w:val="clear" w:color="auto" w:fill="D9E2F3"/>
            <w:vAlign w:val="center"/>
          </w:tcPr>
          <w:p w14:paraId="4B18590B" w14:textId="77777777" w:rsidR="00990B14" w:rsidRDefault="00000000">
            <w:pPr>
              <w:spacing w:before="20" w:after="20"/>
              <w:jc w:val="center"/>
            </w:pPr>
            <w:r>
              <w:rPr>
                <w:b/>
                <w:bCs/>
                <w:sz w:val="18"/>
                <w:szCs w:val="18"/>
              </w:rPr>
              <w:t>2%</w:t>
            </w:r>
          </w:p>
        </w:tc>
      </w:tr>
      <w:tr w:rsidR="00990B14" w14:paraId="52180AF2" w14:textId="77777777">
        <w:trPr>
          <w:cantSplit/>
          <w:jc w:val="center"/>
        </w:trPr>
        <w:tc>
          <w:tcPr>
            <w:tcW w:w="1850" w:type="dxa"/>
            <w:vMerge/>
            <w:shd w:val="clear" w:color="auto" w:fill="4472C4"/>
            <w:vAlign w:val="center"/>
          </w:tcPr>
          <w:p w14:paraId="6C299268" w14:textId="77777777" w:rsidR="00990B14" w:rsidRDefault="00990B14">
            <w:pPr>
              <w:spacing w:before="20" w:after="20"/>
            </w:pPr>
          </w:p>
        </w:tc>
        <w:tc>
          <w:tcPr>
            <w:tcW w:w="1867" w:type="dxa"/>
            <w:shd w:val="clear" w:color="auto" w:fill="4472C4"/>
            <w:vAlign w:val="center"/>
          </w:tcPr>
          <w:p w14:paraId="11E27E32"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391000EF"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36009037" w14:textId="77777777" w:rsidR="00990B14" w:rsidRDefault="00000000">
            <w:pPr>
              <w:keepNext/>
              <w:spacing w:before="20" w:after="20"/>
              <w:jc w:val="center"/>
            </w:pPr>
            <w:r>
              <w:rPr>
                <w:b/>
                <w:bCs/>
                <w:i/>
                <w:iCs/>
                <w:color w:val="FFFFFF"/>
                <w:sz w:val="18"/>
                <w:szCs w:val="18"/>
              </w:rPr>
              <w:t>Suficiente (51–80)</w:t>
            </w:r>
          </w:p>
        </w:tc>
        <w:tc>
          <w:tcPr>
            <w:tcW w:w="1868" w:type="dxa"/>
            <w:shd w:val="clear" w:color="auto" w:fill="4472C4"/>
            <w:vAlign w:val="center"/>
          </w:tcPr>
          <w:p w14:paraId="4EA95B15" w14:textId="77777777" w:rsidR="00990B14" w:rsidRDefault="00000000">
            <w:pPr>
              <w:keepNext/>
              <w:spacing w:before="20" w:after="20"/>
              <w:jc w:val="center"/>
            </w:pPr>
            <w:r>
              <w:rPr>
                <w:b/>
                <w:bCs/>
                <w:i/>
                <w:iCs/>
                <w:color w:val="FFFFFF"/>
                <w:sz w:val="18"/>
                <w:szCs w:val="18"/>
              </w:rPr>
              <w:t>Destacado (81–100)</w:t>
            </w:r>
          </w:p>
        </w:tc>
      </w:tr>
      <w:tr w:rsidR="00990B14" w14:paraId="3C55B500" w14:textId="77777777">
        <w:trPr>
          <w:cantSplit/>
          <w:jc w:val="center"/>
        </w:trPr>
        <w:tc>
          <w:tcPr>
            <w:tcW w:w="1850" w:type="dxa"/>
            <w:vMerge/>
            <w:shd w:val="clear" w:color="auto" w:fill="4472C4"/>
            <w:vAlign w:val="center"/>
          </w:tcPr>
          <w:p w14:paraId="7F68C957" w14:textId="77777777" w:rsidR="00990B14" w:rsidRDefault="00990B14">
            <w:pPr>
              <w:spacing w:before="20" w:after="20"/>
            </w:pPr>
          </w:p>
        </w:tc>
        <w:tc>
          <w:tcPr>
            <w:tcW w:w="1867" w:type="dxa"/>
            <w:shd w:val="clear" w:color="auto" w:fill="D9E2F3"/>
            <w:vAlign w:val="center"/>
          </w:tcPr>
          <w:p w14:paraId="7201103B" w14:textId="77777777" w:rsidR="00990B14" w:rsidRDefault="00000000">
            <w:pPr>
              <w:spacing w:before="20" w:after="20"/>
              <w:jc w:val="both"/>
            </w:pPr>
            <w:r>
              <w:rPr>
                <w:sz w:val="18"/>
                <w:szCs w:val="18"/>
              </w:rPr>
              <w:t>Relación entre estados</w:t>
            </w:r>
          </w:p>
        </w:tc>
        <w:tc>
          <w:tcPr>
            <w:tcW w:w="1910" w:type="dxa"/>
            <w:shd w:val="clear" w:color="auto" w:fill="D9E2F3"/>
            <w:vAlign w:val="center"/>
          </w:tcPr>
          <w:p w14:paraId="2DD88A91" w14:textId="77777777" w:rsidR="00990B14" w:rsidRDefault="00000000">
            <w:pPr>
              <w:spacing w:before="20" w:after="20"/>
              <w:jc w:val="both"/>
            </w:pPr>
            <w:r>
              <w:rPr>
                <w:sz w:val="18"/>
                <w:szCs w:val="18"/>
              </w:rPr>
              <w:t>No relaciona los estados financieros.</w:t>
            </w:r>
          </w:p>
        </w:tc>
        <w:tc>
          <w:tcPr>
            <w:tcW w:w="1910" w:type="dxa"/>
            <w:shd w:val="clear" w:color="auto" w:fill="D9E2F3"/>
            <w:vAlign w:val="center"/>
          </w:tcPr>
          <w:p w14:paraId="67489C23" w14:textId="77777777" w:rsidR="00990B14" w:rsidRDefault="00000000">
            <w:pPr>
              <w:spacing w:before="20" w:after="20"/>
              <w:jc w:val="both"/>
            </w:pPr>
            <w:r>
              <w:rPr>
                <w:sz w:val="18"/>
                <w:szCs w:val="18"/>
              </w:rPr>
              <w:t>Relaciona los estados financieros básicos.</w:t>
            </w:r>
          </w:p>
        </w:tc>
        <w:tc>
          <w:tcPr>
            <w:tcW w:w="1868" w:type="dxa"/>
            <w:shd w:val="clear" w:color="auto" w:fill="D9E2F3"/>
            <w:vAlign w:val="center"/>
          </w:tcPr>
          <w:p w14:paraId="679AE525" w14:textId="77777777" w:rsidR="00990B14" w:rsidRDefault="00000000">
            <w:pPr>
              <w:spacing w:before="20" w:after="20"/>
              <w:jc w:val="both"/>
            </w:pPr>
            <w:r>
              <w:rPr>
                <w:sz w:val="18"/>
                <w:szCs w:val="18"/>
              </w:rPr>
              <w:t>Explica la relación entre los estados y sus cifras.</w:t>
            </w:r>
          </w:p>
        </w:tc>
      </w:tr>
      <w:tr w:rsidR="00990B14" w14:paraId="2CECF49B" w14:textId="77777777">
        <w:trPr>
          <w:cantSplit/>
          <w:jc w:val="center"/>
        </w:trPr>
        <w:tc>
          <w:tcPr>
            <w:tcW w:w="1850" w:type="dxa"/>
            <w:vMerge/>
            <w:shd w:val="clear" w:color="auto" w:fill="4472C4"/>
            <w:vAlign w:val="center"/>
          </w:tcPr>
          <w:p w14:paraId="3F0DA4CE" w14:textId="77777777" w:rsidR="00990B14" w:rsidRDefault="00990B14">
            <w:pPr>
              <w:spacing w:before="20" w:after="20"/>
            </w:pPr>
          </w:p>
        </w:tc>
        <w:tc>
          <w:tcPr>
            <w:tcW w:w="1867" w:type="dxa"/>
            <w:shd w:val="clear" w:color="auto" w:fill="D9E2F3"/>
            <w:vAlign w:val="center"/>
          </w:tcPr>
          <w:p w14:paraId="09784A95" w14:textId="77777777" w:rsidR="00990B14" w:rsidRDefault="00000000">
            <w:pPr>
              <w:spacing w:before="20" w:after="20"/>
              <w:jc w:val="both"/>
            </w:pPr>
            <w:r>
              <w:rPr>
                <w:sz w:val="18"/>
                <w:szCs w:val="18"/>
              </w:rPr>
              <w:t>Consistencia de saldos</w:t>
            </w:r>
          </w:p>
        </w:tc>
        <w:tc>
          <w:tcPr>
            <w:tcW w:w="1910" w:type="dxa"/>
            <w:shd w:val="clear" w:color="auto" w:fill="D9E2F3"/>
            <w:vAlign w:val="center"/>
          </w:tcPr>
          <w:p w14:paraId="66D1DE23" w14:textId="77777777" w:rsidR="00990B14" w:rsidRDefault="00000000">
            <w:pPr>
              <w:spacing w:before="20" w:after="20"/>
              <w:jc w:val="both"/>
            </w:pPr>
            <w:r>
              <w:rPr>
                <w:sz w:val="18"/>
                <w:szCs w:val="18"/>
              </w:rPr>
              <w:t>Presenta saldos que no coinciden.</w:t>
            </w:r>
          </w:p>
        </w:tc>
        <w:tc>
          <w:tcPr>
            <w:tcW w:w="1910" w:type="dxa"/>
            <w:shd w:val="clear" w:color="auto" w:fill="D9E2F3"/>
            <w:vAlign w:val="center"/>
          </w:tcPr>
          <w:p w14:paraId="1C43E4C5" w14:textId="77777777" w:rsidR="00990B14" w:rsidRDefault="00000000">
            <w:pPr>
              <w:spacing w:before="20" w:after="20"/>
              <w:jc w:val="both"/>
            </w:pPr>
            <w:r>
              <w:rPr>
                <w:sz w:val="18"/>
                <w:szCs w:val="18"/>
              </w:rPr>
              <w:t>Verifica que los saldos coincidan.</w:t>
            </w:r>
          </w:p>
        </w:tc>
        <w:tc>
          <w:tcPr>
            <w:tcW w:w="1868" w:type="dxa"/>
            <w:shd w:val="clear" w:color="auto" w:fill="D9E2F3"/>
            <w:vAlign w:val="center"/>
          </w:tcPr>
          <w:p w14:paraId="73AC1D4C" w14:textId="77777777" w:rsidR="00990B14" w:rsidRDefault="00000000">
            <w:pPr>
              <w:spacing w:before="20" w:after="20"/>
              <w:jc w:val="both"/>
            </w:pPr>
            <w:r>
              <w:rPr>
                <w:sz w:val="18"/>
                <w:szCs w:val="18"/>
              </w:rPr>
              <w:t>Verifica, concilia y explica diferencias en los saldos.</w:t>
            </w:r>
          </w:p>
        </w:tc>
      </w:tr>
      <w:tr w:rsidR="00990B14" w14:paraId="20437B88" w14:textId="77777777">
        <w:trPr>
          <w:cantSplit/>
          <w:jc w:val="center"/>
        </w:trPr>
        <w:tc>
          <w:tcPr>
            <w:tcW w:w="1850" w:type="dxa"/>
            <w:vMerge/>
            <w:shd w:val="clear" w:color="auto" w:fill="4472C4"/>
            <w:vAlign w:val="center"/>
          </w:tcPr>
          <w:p w14:paraId="1970ABDD" w14:textId="77777777" w:rsidR="00990B14" w:rsidRDefault="00990B14">
            <w:pPr>
              <w:spacing w:before="20" w:after="20"/>
            </w:pPr>
          </w:p>
        </w:tc>
        <w:tc>
          <w:tcPr>
            <w:tcW w:w="1867" w:type="dxa"/>
            <w:shd w:val="clear" w:color="auto" w:fill="D9E2F3"/>
            <w:vAlign w:val="center"/>
          </w:tcPr>
          <w:p w14:paraId="127DF0B0" w14:textId="77777777" w:rsidR="00990B14" w:rsidRDefault="00000000">
            <w:pPr>
              <w:spacing w:before="20" w:after="20"/>
              <w:jc w:val="both"/>
            </w:pPr>
            <w:r>
              <w:rPr>
                <w:sz w:val="18"/>
                <w:szCs w:val="18"/>
              </w:rPr>
              <w:t>Información complementaria</w:t>
            </w:r>
          </w:p>
        </w:tc>
        <w:tc>
          <w:tcPr>
            <w:tcW w:w="1910" w:type="dxa"/>
            <w:shd w:val="clear" w:color="auto" w:fill="D9E2F3"/>
            <w:vAlign w:val="center"/>
          </w:tcPr>
          <w:p w14:paraId="04875AA5" w14:textId="77777777" w:rsidR="00990B14" w:rsidRDefault="00000000">
            <w:pPr>
              <w:spacing w:before="20" w:after="20"/>
              <w:jc w:val="both"/>
            </w:pPr>
            <w:r>
              <w:rPr>
                <w:sz w:val="18"/>
                <w:szCs w:val="18"/>
              </w:rPr>
              <w:t>Omite información complementaria.</w:t>
            </w:r>
          </w:p>
        </w:tc>
        <w:tc>
          <w:tcPr>
            <w:tcW w:w="1910" w:type="dxa"/>
            <w:shd w:val="clear" w:color="auto" w:fill="D9E2F3"/>
            <w:vAlign w:val="center"/>
          </w:tcPr>
          <w:p w14:paraId="57AD2316" w14:textId="77777777" w:rsidR="00990B14" w:rsidRDefault="00000000">
            <w:pPr>
              <w:spacing w:before="20" w:after="20"/>
              <w:jc w:val="both"/>
            </w:pPr>
            <w:r>
              <w:rPr>
                <w:sz w:val="18"/>
                <w:szCs w:val="18"/>
              </w:rPr>
              <w:t>Incluye información complementaria básica.</w:t>
            </w:r>
          </w:p>
        </w:tc>
        <w:tc>
          <w:tcPr>
            <w:tcW w:w="1868" w:type="dxa"/>
            <w:shd w:val="clear" w:color="auto" w:fill="D9E2F3"/>
            <w:vAlign w:val="center"/>
          </w:tcPr>
          <w:p w14:paraId="2827F735" w14:textId="77777777" w:rsidR="00990B14" w:rsidRDefault="00000000">
            <w:pPr>
              <w:spacing w:before="20" w:after="20"/>
              <w:jc w:val="both"/>
            </w:pPr>
            <w:r>
              <w:rPr>
                <w:sz w:val="18"/>
                <w:szCs w:val="18"/>
              </w:rPr>
              <w:t>Vincula la información complementaria con cada estado.</w:t>
            </w:r>
          </w:p>
        </w:tc>
      </w:tr>
      <w:tr w:rsidR="00990B14" w14:paraId="0AD1D144" w14:textId="77777777">
        <w:trPr>
          <w:cantSplit/>
          <w:jc w:val="center"/>
        </w:trPr>
        <w:tc>
          <w:tcPr>
            <w:tcW w:w="1850" w:type="dxa"/>
            <w:vMerge/>
            <w:shd w:val="clear" w:color="auto" w:fill="4472C4"/>
            <w:vAlign w:val="center"/>
          </w:tcPr>
          <w:p w14:paraId="57E6CAA0" w14:textId="77777777" w:rsidR="00990B14" w:rsidRDefault="00990B14">
            <w:pPr>
              <w:spacing w:before="20" w:after="20"/>
            </w:pPr>
          </w:p>
        </w:tc>
        <w:tc>
          <w:tcPr>
            <w:tcW w:w="5687" w:type="dxa"/>
            <w:gridSpan w:val="3"/>
            <w:shd w:val="clear" w:color="auto" w:fill="D9E2F3"/>
            <w:vAlign w:val="center"/>
          </w:tcPr>
          <w:p w14:paraId="4BF83B22" w14:textId="77777777" w:rsidR="00990B14" w:rsidRDefault="00000000">
            <w:pPr>
              <w:keepNext/>
              <w:spacing w:before="20" w:after="20"/>
              <w:jc w:val="both"/>
            </w:pPr>
            <w:r>
              <w:rPr>
                <w:b/>
                <w:bCs/>
                <w:i/>
                <w:iCs/>
                <w:sz w:val="18"/>
                <w:szCs w:val="18"/>
              </w:rPr>
              <w:t xml:space="preserve">Producto 18: </w:t>
            </w:r>
            <w:r>
              <w:rPr>
                <w:sz w:val="18"/>
                <w:szCs w:val="18"/>
              </w:rPr>
              <w:t>Documento Estados financieros básicos e información complementaria</w:t>
            </w:r>
          </w:p>
        </w:tc>
        <w:tc>
          <w:tcPr>
            <w:tcW w:w="1868" w:type="dxa"/>
            <w:shd w:val="clear" w:color="auto" w:fill="D9E2F3"/>
            <w:vAlign w:val="center"/>
          </w:tcPr>
          <w:p w14:paraId="0D016D7B" w14:textId="77777777" w:rsidR="00990B14" w:rsidRDefault="00000000">
            <w:pPr>
              <w:spacing w:before="20" w:after="20"/>
              <w:jc w:val="center"/>
            </w:pPr>
            <w:r>
              <w:rPr>
                <w:b/>
                <w:bCs/>
                <w:sz w:val="18"/>
                <w:szCs w:val="18"/>
              </w:rPr>
              <w:t>10%</w:t>
            </w:r>
          </w:p>
        </w:tc>
      </w:tr>
      <w:tr w:rsidR="00990B14" w14:paraId="5F960CD0" w14:textId="77777777">
        <w:trPr>
          <w:cantSplit/>
          <w:jc w:val="center"/>
        </w:trPr>
        <w:tc>
          <w:tcPr>
            <w:tcW w:w="1850" w:type="dxa"/>
            <w:vMerge/>
            <w:shd w:val="clear" w:color="auto" w:fill="4472C4"/>
            <w:vAlign w:val="center"/>
          </w:tcPr>
          <w:p w14:paraId="2E55DF6B" w14:textId="77777777" w:rsidR="00990B14" w:rsidRDefault="00990B14">
            <w:pPr>
              <w:spacing w:before="20" w:after="20"/>
            </w:pPr>
          </w:p>
        </w:tc>
        <w:tc>
          <w:tcPr>
            <w:tcW w:w="1867" w:type="dxa"/>
            <w:shd w:val="clear" w:color="auto" w:fill="4472C4"/>
            <w:vAlign w:val="center"/>
          </w:tcPr>
          <w:p w14:paraId="2F68CAD0"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62395737"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4CD3C806" w14:textId="77777777" w:rsidR="00990B14" w:rsidRDefault="00000000">
            <w:pPr>
              <w:keepNext/>
              <w:spacing w:before="20" w:after="20"/>
              <w:jc w:val="center"/>
            </w:pPr>
            <w:r>
              <w:rPr>
                <w:b/>
                <w:bCs/>
                <w:i/>
                <w:iCs/>
                <w:color w:val="FFFFFF"/>
                <w:sz w:val="18"/>
                <w:szCs w:val="18"/>
              </w:rPr>
              <w:t>Suficiente (51–80)</w:t>
            </w:r>
          </w:p>
        </w:tc>
        <w:tc>
          <w:tcPr>
            <w:tcW w:w="1868" w:type="dxa"/>
            <w:shd w:val="clear" w:color="auto" w:fill="4472C4"/>
            <w:vAlign w:val="center"/>
          </w:tcPr>
          <w:p w14:paraId="73AD6F5C" w14:textId="77777777" w:rsidR="00990B14" w:rsidRDefault="00000000">
            <w:pPr>
              <w:keepNext/>
              <w:spacing w:before="20" w:after="20"/>
              <w:jc w:val="center"/>
            </w:pPr>
            <w:r>
              <w:rPr>
                <w:b/>
                <w:bCs/>
                <w:i/>
                <w:iCs/>
                <w:color w:val="FFFFFF"/>
                <w:sz w:val="18"/>
                <w:szCs w:val="18"/>
              </w:rPr>
              <w:t>Destacado (81–100)</w:t>
            </w:r>
          </w:p>
        </w:tc>
      </w:tr>
      <w:tr w:rsidR="00990B14" w14:paraId="65C3735A" w14:textId="77777777">
        <w:trPr>
          <w:cantSplit/>
          <w:jc w:val="center"/>
        </w:trPr>
        <w:tc>
          <w:tcPr>
            <w:tcW w:w="1850" w:type="dxa"/>
            <w:vMerge/>
            <w:shd w:val="clear" w:color="auto" w:fill="4472C4"/>
            <w:vAlign w:val="center"/>
          </w:tcPr>
          <w:p w14:paraId="1A767316" w14:textId="77777777" w:rsidR="00990B14" w:rsidRDefault="00990B14">
            <w:pPr>
              <w:spacing w:before="20" w:after="20"/>
            </w:pPr>
          </w:p>
        </w:tc>
        <w:tc>
          <w:tcPr>
            <w:tcW w:w="1867" w:type="dxa"/>
            <w:shd w:val="clear" w:color="auto" w:fill="D9E2F3"/>
            <w:vAlign w:val="center"/>
          </w:tcPr>
          <w:p w14:paraId="4D29DF92" w14:textId="77777777" w:rsidR="00990B14" w:rsidRDefault="00000000">
            <w:pPr>
              <w:spacing w:before="20" w:after="20"/>
              <w:jc w:val="both"/>
            </w:pPr>
            <w:r>
              <w:rPr>
                <w:sz w:val="18"/>
                <w:szCs w:val="18"/>
              </w:rPr>
              <w:t>Ejecución de recursos</w:t>
            </w:r>
          </w:p>
        </w:tc>
        <w:tc>
          <w:tcPr>
            <w:tcW w:w="1910" w:type="dxa"/>
            <w:shd w:val="clear" w:color="auto" w:fill="D9E2F3"/>
            <w:vAlign w:val="center"/>
          </w:tcPr>
          <w:p w14:paraId="5A72AFF1" w14:textId="77777777" w:rsidR="00990B14" w:rsidRDefault="00000000">
            <w:pPr>
              <w:spacing w:before="20" w:after="20"/>
              <w:jc w:val="both"/>
            </w:pPr>
            <w:r>
              <w:rPr>
                <w:sz w:val="18"/>
                <w:szCs w:val="18"/>
              </w:rPr>
              <w:t>Presenta errores.</w:t>
            </w:r>
          </w:p>
        </w:tc>
        <w:tc>
          <w:tcPr>
            <w:tcW w:w="1910" w:type="dxa"/>
            <w:shd w:val="clear" w:color="auto" w:fill="D9E2F3"/>
            <w:vAlign w:val="center"/>
          </w:tcPr>
          <w:p w14:paraId="7CD48A76" w14:textId="77777777" w:rsidR="00990B14" w:rsidRDefault="00000000">
            <w:pPr>
              <w:spacing w:before="20" w:after="20"/>
              <w:jc w:val="both"/>
            </w:pPr>
            <w:r>
              <w:rPr>
                <w:sz w:val="18"/>
                <w:szCs w:val="18"/>
              </w:rPr>
              <w:t>Presenta la ejecución de recursos.</w:t>
            </w:r>
          </w:p>
        </w:tc>
        <w:tc>
          <w:tcPr>
            <w:tcW w:w="1868" w:type="dxa"/>
            <w:shd w:val="clear" w:color="auto" w:fill="D9E2F3"/>
            <w:vAlign w:val="center"/>
          </w:tcPr>
          <w:p w14:paraId="00D0CFE0" w14:textId="77777777" w:rsidR="00990B14" w:rsidRDefault="00000000">
            <w:pPr>
              <w:spacing w:before="20" w:after="20"/>
              <w:jc w:val="both"/>
            </w:pPr>
            <w:r>
              <w:rPr>
                <w:sz w:val="18"/>
                <w:szCs w:val="18"/>
              </w:rPr>
              <w:t>Explica las desviaciones.</w:t>
            </w:r>
          </w:p>
        </w:tc>
      </w:tr>
      <w:tr w:rsidR="00990B14" w14:paraId="06D08ABA" w14:textId="77777777">
        <w:trPr>
          <w:cantSplit/>
          <w:jc w:val="center"/>
        </w:trPr>
        <w:tc>
          <w:tcPr>
            <w:tcW w:w="1850" w:type="dxa"/>
            <w:vMerge/>
            <w:shd w:val="clear" w:color="auto" w:fill="4472C4"/>
            <w:vAlign w:val="center"/>
          </w:tcPr>
          <w:p w14:paraId="162D3FA1" w14:textId="77777777" w:rsidR="00990B14" w:rsidRDefault="00990B14">
            <w:pPr>
              <w:spacing w:before="20" w:after="20"/>
            </w:pPr>
          </w:p>
        </w:tc>
        <w:tc>
          <w:tcPr>
            <w:tcW w:w="1867" w:type="dxa"/>
            <w:shd w:val="clear" w:color="auto" w:fill="D9E2F3"/>
            <w:vAlign w:val="center"/>
          </w:tcPr>
          <w:p w14:paraId="60EED30F" w14:textId="77777777" w:rsidR="00990B14" w:rsidRDefault="00000000">
            <w:pPr>
              <w:spacing w:before="20" w:after="20"/>
              <w:jc w:val="both"/>
            </w:pPr>
            <w:r>
              <w:rPr>
                <w:sz w:val="18"/>
                <w:szCs w:val="18"/>
              </w:rPr>
              <w:t>Ejecución de gastos</w:t>
            </w:r>
          </w:p>
        </w:tc>
        <w:tc>
          <w:tcPr>
            <w:tcW w:w="1910" w:type="dxa"/>
            <w:shd w:val="clear" w:color="auto" w:fill="D9E2F3"/>
            <w:vAlign w:val="center"/>
          </w:tcPr>
          <w:p w14:paraId="4523E2E8" w14:textId="77777777" w:rsidR="00990B14" w:rsidRDefault="00000000">
            <w:pPr>
              <w:spacing w:before="20" w:after="20"/>
              <w:jc w:val="both"/>
            </w:pPr>
            <w:r>
              <w:rPr>
                <w:sz w:val="18"/>
                <w:szCs w:val="18"/>
              </w:rPr>
              <w:t>Presenta errores.</w:t>
            </w:r>
          </w:p>
        </w:tc>
        <w:tc>
          <w:tcPr>
            <w:tcW w:w="1910" w:type="dxa"/>
            <w:shd w:val="clear" w:color="auto" w:fill="D9E2F3"/>
            <w:vAlign w:val="center"/>
          </w:tcPr>
          <w:p w14:paraId="0CC4ACCF" w14:textId="77777777" w:rsidR="00990B14" w:rsidRDefault="00000000">
            <w:pPr>
              <w:spacing w:before="20" w:after="20"/>
              <w:jc w:val="both"/>
            </w:pPr>
            <w:r>
              <w:rPr>
                <w:sz w:val="18"/>
                <w:szCs w:val="18"/>
              </w:rPr>
              <w:t>Presenta la ejecución de gastos por objeto.</w:t>
            </w:r>
          </w:p>
        </w:tc>
        <w:tc>
          <w:tcPr>
            <w:tcW w:w="1868" w:type="dxa"/>
            <w:shd w:val="clear" w:color="auto" w:fill="D9E2F3"/>
            <w:vAlign w:val="center"/>
          </w:tcPr>
          <w:p w14:paraId="70264276" w14:textId="77777777" w:rsidR="00990B14" w:rsidRDefault="00000000">
            <w:pPr>
              <w:spacing w:before="20" w:after="20"/>
              <w:jc w:val="both"/>
            </w:pPr>
            <w:r>
              <w:rPr>
                <w:sz w:val="18"/>
                <w:szCs w:val="18"/>
              </w:rPr>
              <w:t>Calcula el grado de ejecución en hoja de cálculo.</w:t>
            </w:r>
          </w:p>
        </w:tc>
      </w:tr>
      <w:tr w:rsidR="00990B14" w14:paraId="66E4B242" w14:textId="77777777">
        <w:trPr>
          <w:cantSplit/>
          <w:jc w:val="center"/>
        </w:trPr>
        <w:tc>
          <w:tcPr>
            <w:tcW w:w="1850" w:type="dxa"/>
            <w:vMerge/>
            <w:shd w:val="clear" w:color="auto" w:fill="4472C4"/>
            <w:vAlign w:val="center"/>
          </w:tcPr>
          <w:p w14:paraId="0966BDBE" w14:textId="77777777" w:rsidR="00990B14" w:rsidRDefault="00990B14">
            <w:pPr>
              <w:spacing w:before="20" w:after="20"/>
            </w:pPr>
          </w:p>
        </w:tc>
        <w:tc>
          <w:tcPr>
            <w:tcW w:w="1867" w:type="dxa"/>
            <w:shd w:val="clear" w:color="auto" w:fill="D9E2F3"/>
            <w:vAlign w:val="center"/>
          </w:tcPr>
          <w:p w14:paraId="4589D008" w14:textId="77777777" w:rsidR="00990B14" w:rsidRDefault="00000000">
            <w:pPr>
              <w:spacing w:before="20" w:after="20"/>
              <w:jc w:val="both"/>
            </w:pPr>
            <w:r>
              <w:rPr>
                <w:sz w:val="18"/>
                <w:szCs w:val="18"/>
              </w:rPr>
              <w:t>Estados financieros básicos</w:t>
            </w:r>
          </w:p>
        </w:tc>
        <w:tc>
          <w:tcPr>
            <w:tcW w:w="1910" w:type="dxa"/>
            <w:shd w:val="clear" w:color="auto" w:fill="D9E2F3"/>
            <w:vAlign w:val="center"/>
          </w:tcPr>
          <w:p w14:paraId="52FE8A9D" w14:textId="77777777" w:rsidR="00990B14" w:rsidRDefault="00000000">
            <w:pPr>
              <w:spacing w:before="20" w:after="20"/>
              <w:jc w:val="both"/>
            </w:pPr>
            <w:r>
              <w:rPr>
                <w:sz w:val="18"/>
                <w:szCs w:val="18"/>
              </w:rPr>
              <w:t>Omite estados financieros básicos o presenta errores de cuadre.</w:t>
            </w:r>
          </w:p>
        </w:tc>
        <w:tc>
          <w:tcPr>
            <w:tcW w:w="1910" w:type="dxa"/>
            <w:shd w:val="clear" w:color="auto" w:fill="D9E2F3"/>
            <w:vAlign w:val="center"/>
          </w:tcPr>
          <w:p w14:paraId="0A187C5C" w14:textId="77777777" w:rsidR="00990B14" w:rsidRDefault="00000000">
            <w:pPr>
              <w:spacing w:before="20" w:after="20"/>
              <w:jc w:val="both"/>
            </w:pPr>
            <w:r>
              <w:rPr>
                <w:sz w:val="18"/>
                <w:szCs w:val="18"/>
              </w:rPr>
              <w:t>Elabora los estados financieros básicos y la información complementaria.</w:t>
            </w:r>
          </w:p>
        </w:tc>
        <w:tc>
          <w:tcPr>
            <w:tcW w:w="1868" w:type="dxa"/>
            <w:shd w:val="clear" w:color="auto" w:fill="D9E2F3"/>
            <w:vAlign w:val="center"/>
          </w:tcPr>
          <w:p w14:paraId="6867884C" w14:textId="77777777" w:rsidR="00990B14" w:rsidRDefault="00000000">
            <w:pPr>
              <w:spacing w:before="20" w:after="20"/>
              <w:jc w:val="both"/>
            </w:pPr>
            <w:r>
              <w:rPr>
                <w:sz w:val="18"/>
                <w:szCs w:val="18"/>
              </w:rPr>
              <w:t>Verifica la consistencia entre los estados financieros y la ejecución presupuestaria.</w:t>
            </w:r>
          </w:p>
        </w:tc>
      </w:tr>
      <w:tr w:rsidR="00990B14" w14:paraId="3CE082AF" w14:textId="77777777">
        <w:trPr>
          <w:cantSplit/>
          <w:jc w:val="center"/>
        </w:trPr>
        <w:tc>
          <w:tcPr>
            <w:tcW w:w="1850" w:type="dxa"/>
            <w:vMerge/>
            <w:shd w:val="clear" w:color="auto" w:fill="4472C4"/>
            <w:vAlign w:val="center"/>
          </w:tcPr>
          <w:p w14:paraId="6E978855" w14:textId="77777777" w:rsidR="00990B14" w:rsidRDefault="00990B14">
            <w:pPr>
              <w:spacing w:before="20" w:after="20"/>
            </w:pPr>
          </w:p>
        </w:tc>
        <w:tc>
          <w:tcPr>
            <w:tcW w:w="5687" w:type="dxa"/>
            <w:gridSpan w:val="3"/>
            <w:shd w:val="clear" w:color="auto" w:fill="D9E2F3"/>
            <w:vAlign w:val="center"/>
          </w:tcPr>
          <w:p w14:paraId="46561678" w14:textId="77777777" w:rsidR="00990B14" w:rsidRDefault="00000000">
            <w:pPr>
              <w:keepNext/>
              <w:spacing w:before="20" w:after="20"/>
              <w:jc w:val="both"/>
            </w:pPr>
            <w:r>
              <w:rPr>
                <w:b/>
                <w:bCs/>
                <w:i/>
                <w:iCs/>
                <w:sz w:val="18"/>
                <w:szCs w:val="18"/>
              </w:rPr>
              <w:t xml:space="preserve">Producto 19: </w:t>
            </w:r>
            <w:r>
              <w:rPr>
                <w:sz w:val="18"/>
                <w:szCs w:val="18"/>
              </w:rPr>
              <w:t>Documento Notas a los estados financieros de una entidad pública.</w:t>
            </w:r>
          </w:p>
        </w:tc>
        <w:tc>
          <w:tcPr>
            <w:tcW w:w="1868" w:type="dxa"/>
            <w:shd w:val="clear" w:color="auto" w:fill="D9E2F3"/>
            <w:vAlign w:val="center"/>
          </w:tcPr>
          <w:p w14:paraId="6FA8E184" w14:textId="77777777" w:rsidR="00990B14" w:rsidRDefault="00000000">
            <w:pPr>
              <w:spacing w:before="20" w:after="20"/>
              <w:jc w:val="center"/>
            </w:pPr>
            <w:r>
              <w:rPr>
                <w:b/>
                <w:bCs/>
                <w:sz w:val="18"/>
                <w:szCs w:val="18"/>
              </w:rPr>
              <w:t>10%</w:t>
            </w:r>
          </w:p>
        </w:tc>
      </w:tr>
      <w:tr w:rsidR="00990B14" w14:paraId="4AD849DE" w14:textId="77777777">
        <w:trPr>
          <w:cantSplit/>
          <w:jc w:val="center"/>
        </w:trPr>
        <w:tc>
          <w:tcPr>
            <w:tcW w:w="1850" w:type="dxa"/>
            <w:vMerge/>
            <w:shd w:val="clear" w:color="auto" w:fill="4472C4"/>
            <w:vAlign w:val="center"/>
          </w:tcPr>
          <w:p w14:paraId="0C0245A0" w14:textId="77777777" w:rsidR="00990B14" w:rsidRDefault="00990B14">
            <w:pPr>
              <w:spacing w:before="20" w:after="20"/>
            </w:pPr>
          </w:p>
        </w:tc>
        <w:tc>
          <w:tcPr>
            <w:tcW w:w="1867" w:type="dxa"/>
            <w:shd w:val="clear" w:color="auto" w:fill="4472C4"/>
            <w:vAlign w:val="center"/>
          </w:tcPr>
          <w:p w14:paraId="4E35BAA1"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7E459278"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4E10F995" w14:textId="77777777" w:rsidR="00990B14" w:rsidRDefault="00000000">
            <w:pPr>
              <w:keepNext/>
              <w:spacing w:before="20" w:after="20"/>
              <w:jc w:val="center"/>
            </w:pPr>
            <w:r>
              <w:rPr>
                <w:b/>
                <w:bCs/>
                <w:i/>
                <w:iCs/>
                <w:color w:val="FFFFFF"/>
                <w:sz w:val="18"/>
                <w:szCs w:val="18"/>
              </w:rPr>
              <w:t>Suficiente (51–80)</w:t>
            </w:r>
          </w:p>
        </w:tc>
        <w:tc>
          <w:tcPr>
            <w:tcW w:w="1868" w:type="dxa"/>
            <w:shd w:val="clear" w:color="auto" w:fill="4472C4"/>
            <w:vAlign w:val="center"/>
          </w:tcPr>
          <w:p w14:paraId="7C43A9DC" w14:textId="77777777" w:rsidR="00990B14" w:rsidRDefault="00000000">
            <w:pPr>
              <w:keepNext/>
              <w:spacing w:before="20" w:after="20"/>
              <w:jc w:val="center"/>
            </w:pPr>
            <w:r>
              <w:rPr>
                <w:b/>
                <w:bCs/>
                <w:i/>
                <w:iCs/>
                <w:color w:val="FFFFFF"/>
                <w:sz w:val="18"/>
                <w:szCs w:val="18"/>
              </w:rPr>
              <w:t>Destacado (81–100)</w:t>
            </w:r>
          </w:p>
        </w:tc>
      </w:tr>
      <w:tr w:rsidR="00990B14" w14:paraId="2935BE7D" w14:textId="77777777">
        <w:trPr>
          <w:cantSplit/>
          <w:jc w:val="center"/>
        </w:trPr>
        <w:tc>
          <w:tcPr>
            <w:tcW w:w="1850" w:type="dxa"/>
            <w:vMerge/>
            <w:shd w:val="clear" w:color="auto" w:fill="4472C4"/>
            <w:vAlign w:val="center"/>
          </w:tcPr>
          <w:p w14:paraId="6696A7AE" w14:textId="77777777" w:rsidR="00990B14" w:rsidRDefault="00990B14">
            <w:pPr>
              <w:spacing w:before="20" w:after="20"/>
            </w:pPr>
          </w:p>
        </w:tc>
        <w:tc>
          <w:tcPr>
            <w:tcW w:w="1867" w:type="dxa"/>
            <w:shd w:val="clear" w:color="auto" w:fill="D9E2F3"/>
            <w:vAlign w:val="center"/>
          </w:tcPr>
          <w:p w14:paraId="3CABBCD7" w14:textId="77777777" w:rsidR="00990B14" w:rsidRDefault="00000000">
            <w:pPr>
              <w:spacing w:before="20" w:after="20"/>
              <w:jc w:val="both"/>
            </w:pPr>
            <w:r>
              <w:rPr>
                <w:sz w:val="18"/>
                <w:szCs w:val="18"/>
              </w:rPr>
              <w:t>Interpretación</w:t>
            </w:r>
          </w:p>
        </w:tc>
        <w:tc>
          <w:tcPr>
            <w:tcW w:w="1910" w:type="dxa"/>
            <w:shd w:val="clear" w:color="auto" w:fill="D9E2F3"/>
            <w:vAlign w:val="center"/>
          </w:tcPr>
          <w:p w14:paraId="23785CE6" w14:textId="77777777" w:rsidR="00990B14" w:rsidRDefault="00000000">
            <w:pPr>
              <w:spacing w:before="20" w:after="20"/>
              <w:jc w:val="both"/>
            </w:pPr>
            <w:r>
              <w:rPr>
                <w:sz w:val="18"/>
                <w:szCs w:val="18"/>
              </w:rPr>
              <w:t>Describe cifras sin interpretarlas.</w:t>
            </w:r>
          </w:p>
        </w:tc>
        <w:tc>
          <w:tcPr>
            <w:tcW w:w="1910" w:type="dxa"/>
            <w:shd w:val="clear" w:color="auto" w:fill="D9E2F3"/>
            <w:vAlign w:val="center"/>
          </w:tcPr>
          <w:p w14:paraId="5B90A065" w14:textId="77777777" w:rsidR="00990B14" w:rsidRDefault="00000000">
            <w:pPr>
              <w:spacing w:before="20" w:after="20"/>
              <w:jc w:val="both"/>
            </w:pPr>
            <w:r>
              <w:rPr>
                <w:sz w:val="18"/>
                <w:szCs w:val="18"/>
              </w:rPr>
              <w:t>Interpreta los resultados principales.</w:t>
            </w:r>
          </w:p>
        </w:tc>
        <w:tc>
          <w:tcPr>
            <w:tcW w:w="1868" w:type="dxa"/>
            <w:shd w:val="clear" w:color="auto" w:fill="D9E2F3"/>
            <w:vAlign w:val="center"/>
          </w:tcPr>
          <w:p w14:paraId="56662F69" w14:textId="77777777" w:rsidR="00990B14" w:rsidRDefault="00000000">
            <w:pPr>
              <w:spacing w:before="20" w:after="20"/>
              <w:jc w:val="both"/>
            </w:pPr>
            <w:r>
              <w:rPr>
                <w:sz w:val="18"/>
                <w:szCs w:val="18"/>
              </w:rPr>
              <w:t>Interpreta resultados y explica sus causas y efectos.</w:t>
            </w:r>
          </w:p>
        </w:tc>
      </w:tr>
      <w:tr w:rsidR="00990B14" w14:paraId="50D31F13" w14:textId="77777777">
        <w:trPr>
          <w:cantSplit/>
          <w:jc w:val="center"/>
        </w:trPr>
        <w:tc>
          <w:tcPr>
            <w:tcW w:w="1850" w:type="dxa"/>
            <w:vMerge/>
            <w:shd w:val="clear" w:color="auto" w:fill="4472C4"/>
            <w:vAlign w:val="center"/>
          </w:tcPr>
          <w:p w14:paraId="0DD9981B" w14:textId="77777777" w:rsidR="00990B14" w:rsidRDefault="00990B14">
            <w:pPr>
              <w:spacing w:before="20" w:after="20"/>
            </w:pPr>
          </w:p>
        </w:tc>
        <w:tc>
          <w:tcPr>
            <w:tcW w:w="1867" w:type="dxa"/>
            <w:shd w:val="clear" w:color="auto" w:fill="D9E2F3"/>
            <w:vAlign w:val="center"/>
          </w:tcPr>
          <w:p w14:paraId="6FACFD5A" w14:textId="77777777" w:rsidR="00990B14" w:rsidRDefault="00000000">
            <w:pPr>
              <w:spacing w:before="20" w:after="20"/>
              <w:jc w:val="both"/>
            </w:pPr>
            <w:r>
              <w:rPr>
                <w:sz w:val="18"/>
                <w:szCs w:val="18"/>
              </w:rPr>
              <w:t>Contenido de las notas</w:t>
            </w:r>
          </w:p>
        </w:tc>
        <w:tc>
          <w:tcPr>
            <w:tcW w:w="1910" w:type="dxa"/>
            <w:shd w:val="clear" w:color="auto" w:fill="D9E2F3"/>
            <w:vAlign w:val="center"/>
          </w:tcPr>
          <w:p w14:paraId="5A8052B7" w14:textId="77777777" w:rsidR="00990B14" w:rsidRDefault="00000000">
            <w:pPr>
              <w:spacing w:before="20" w:after="20"/>
              <w:jc w:val="both"/>
            </w:pPr>
            <w:r>
              <w:rPr>
                <w:sz w:val="18"/>
                <w:szCs w:val="18"/>
              </w:rPr>
              <w:t>Las notas omiten las políticas contables o la composición de los rubros.</w:t>
            </w:r>
          </w:p>
        </w:tc>
        <w:tc>
          <w:tcPr>
            <w:tcW w:w="1910" w:type="dxa"/>
            <w:shd w:val="clear" w:color="auto" w:fill="D9E2F3"/>
            <w:vAlign w:val="center"/>
          </w:tcPr>
          <w:p w14:paraId="07F21B6A" w14:textId="77777777" w:rsidR="00990B14" w:rsidRDefault="00000000">
            <w:pPr>
              <w:spacing w:before="20" w:after="20"/>
              <w:jc w:val="both"/>
            </w:pPr>
            <w:r>
              <w:rPr>
                <w:sz w:val="18"/>
                <w:szCs w:val="18"/>
              </w:rPr>
              <w:t>Las notas exponen las políticas contables y la composición de los rubros principales.</w:t>
            </w:r>
          </w:p>
        </w:tc>
        <w:tc>
          <w:tcPr>
            <w:tcW w:w="1868" w:type="dxa"/>
            <w:shd w:val="clear" w:color="auto" w:fill="D9E2F3"/>
            <w:vAlign w:val="center"/>
          </w:tcPr>
          <w:p w14:paraId="6E125851" w14:textId="77777777" w:rsidR="00990B14" w:rsidRDefault="00000000">
            <w:pPr>
              <w:spacing w:before="20" w:after="20"/>
              <w:jc w:val="both"/>
            </w:pPr>
            <w:r>
              <w:rPr>
                <w:sz w:val="18"/>
                <w:szCs w:val="18"/>
              </w:rPr>
              <w:t>Las notas revelan con claridad la información relevante conforme a la normativa vigente.</w:t>
            </w:r>
          </w:p>
        </w:tc>
      </w:tr>
      <w:tr w:rsidR="00990B14" w14:paraId="23A954FB" w14:textId="77777777">
        <w:trPr>
          <w:cantSplit/>
          <w:jc w:val="center"/>
        </w:trPr>
        <w:tc>
          <w:tcPr>
            <w:tcW w:w="1850" w:type="dxa"/>
            <w:vMerge/>
            <w:shd w:val="clear" w:color="auto" w:fill="4472C4"/>
            <w:vAlign w:val="center"/>
          </w:tcPr>
          <w:p w14:paraId="4E5BFB49" w14:textId="77777777" w:rsidR="00990B14" w:rsidRDefault="00990B14">
            <w:pPr>
              <w:spacing w:before="20" w:after="20"/>
            </w:pPr>
          </w:p>
        </w:tc>
        <w:tc>
          <w:tcPr>
            <w:tcW w:w="1867" w:type="dxa"/>
            <w:shd w:val="clear" w:color="auto" w:fill="D9E2F3"/>
            <w:vAlign w:val="center"/>
          </w:tcPr>
          <w:p w14:paraId="39C40220" w14:textId="77777777" w:rsidR="00990B14" w:rsidRDefault="00000000">
            <w:pPr>
              <w:spacing w:before="20" w:after="20"/>
              <w:jc w:val="both"/>
            </w:pPr>
            <w:r>
              <w:rPr>
                <w:sz w:val="18"/>
                <w:szCs w:val="18"/>
              </w:rPr>
              <w:t>Presentación</w:t>
            </w:r>
          </w:p>
        </w:tc>
        <w:tc>
          <w:tcPr>
            <w:tcW w:w="1910" w:type="dxa"/>
            <w:shd w:val="clear" w:color="auto" w:fill="D9E2F3"/>
            <w:vAlign w:val="center"/>
          </w:tcPr>
          <w:p w14:paraId="2F9260F7" w14:textId="77777777" w:rsidR="00990B14" w:rsidRDefault="00000000">
            <w:pPr>
              <w:spacing w:before="20" w:after="20"/>
              <w:jc w:val="both"/>
            </w:pPr>
            <w:r>
              <w:rPr>
                <w:sz w:val="18"/>
                <w:szCs w:val="18"/>
              </w:rPr>
              <w:t>Las notas son desordenadas y no se vinculan con los estados financieros.</w:t>
            </w:r>
          </w:p>
        </w:tc>
        <w:tc>
          <w:tcPr>
            <w:tcW w:w="1910" w:type="dxa"/>
            <w:shd w:val="clear" w:color="auto" w:fill="D9E2F3"/>
            <w:vAlign w:val="center"/>
          </w:tcPr>
          <w:p w14:paraId="1D9EA751" w14:textId="77777777" w:rsidR="00990B14" w:rsidRDefault="00000000">
            <w:pPr>
              <w:spacing w:before="20" w:after="20"/>
              <w:jc w:val="both"/>
            </w:pPr>
            <w:r>
              <w:rPr>
                <w:sz w:val="18"/>
                <w:szCs w:val="18"/>
              </w:rPr>
              <w:t>Las notas están ordenadas y referenciadas a los estados financieros.</w:t>
            </w:r>
          </w:p>
        </w:tc>
        <w:tc>
          <w:tcPr>
            <w:tcW w:w="1868" w:type="dxa"/>
            <w:shd w:val="clear" w:color="auto" w:fill="D9E2F3"/>
            <w:vAlign w:val="center"/>
          </w:tcPr>
          <w:p w14:paraId="6A85A21E" w14:textId="77777777" w:rsidR="00990B14" w:rsidRDefault="00000000">
            <w:pPr>
              <w:spacing w:before="20" w:after="20"/>
              <w:jc w:val="both"/>
            </w:pPr>
            <w:r>
              <w:rPr>
                <w:sz w:val="18"/>
                <w:szCs w:val="18"/>
              </w:rPr>
              <w:t>Las notas son claras, completas y referenciadas a cada partida de los estados financieros.</w:t>
            </w:r>
          </w:p>
        </w:tc>
      </w:tr>
      <w:tr w:rsidR="00990B14" w14:paraId="14213DA2" w14:textId="77777777">
        <w:trPr>
          <w:cantSplit/>
          <w:jc w:val="center"/>
        </w:trPr>
        <w:tc>
          <w:tcPr>
            <w:tcW w:w="1850" w:type="dxa"/>
            <w:vMerge/>
            <w:shd w:val="clear" w:color="auto" w:fill="4472C4"/>
            <w:vAlign w:val="center"/>
          </w:tcPr>
          <w:p w14:paraId="322DF33B" w14:textId="77777777" w:rsidR="00990B14" w:rsidRDefault="00990B14">
            <w:pPr>
              <w:spacing w:before="20" w:after="20"/>
            </w:pPr>
          </w:p>
        </w:tc>
        <w:tc>
          <w:tcPr>
            <w:tcW w:w="5687" w:type="dxa"/>
            <w:gridSpan w:val="3"/>
            <w:shd w:val="clear" w:color="auto" w:fill="D9E2F3"/>
            <w:vAlign w:val="center"/>
          </w:tcPr>
          <w:p w14:paraId="27D8F44E" w14:textId="77777777" w:rsidR="00990B14" w:rsidRDefault="00000000">
            <w:pPr>
              <w:keepNext/>
              <w:spacing w:before="20" w:after="20"/>
              <w:jc w:val="both"/>
            </w:pPr>
            <w:r>
              <w:rPr>
                <w:b/>
                <w:bCs/>
                <w:i/>
                <w:iCs/>
                <w:sz w:val="18"/>
                <w:szCs w:val="18"/>
              </w:rPr>
              <w:t xml:space="preserve">Producto 20: </w:t>
            </w:r>
            <w:r>
              <w:rPr>
                <w:sz w:val="18"/>
                <w:szCs w:val="18"/>
              </w:rPr>
              <w:t>Informe de interpretación de resultados obtenidos en los estados financieros.</w:t>
            </w:r>
          </w:p>
        </w:tc>
        <w:tc>
          <w:tcPr>
            <w:tcW w:w="1868" w:type="dxa"/>
            <w:shd w:val="clear" w:color="auto" w:fill="D9E2F3"/>
            <w:vAlign w:val="center"/>
          </w:tcPr>
          <w:p w14:paraId="49210DF5" w14:textId="77777777" w:rsidR="00990B14" w:rsidRDefault="00000000">
            <w:pPr>
              <w:spacing w:before="20" w:after="20"/>
              <w:jc w:val="center"/>
            </w:pPr>
            <w:r>
              <w:rPr>
                <w:b/>
                <w:bCs/>
                <w:sz w:val="18"/>
                <w:szCs w:val="18"/>
              </w:rPr>
              <w:t>5%</w:t>
            </w:r>
          </w:p>
        </w:tc>
      </w:tr>
      <w:tr w:rsidR="00990B14" w14:paraId="4E14652A" w14:textId="77777777">
        <w:trPr>
          <w:cantSplit/>
          <w:jc w:val="center"/>
        </w:trPr>
        <w:tc>
          <w:tcPr>
            <w:tcW w:w="1850" w:type="dxa"/>
            <w:vMerge/>
            <w:shd w:val="clear" w:color="auto" w:fill="4472C4"/>
            <w:vAlign w:val="center"/>
          </w:tcPr>
          <w:p w14:paraId="5A462A38" w14:textId="77777777" w:rsidR="00990B14" w:rsidRDefault="00990B14">
            <w:pPr>
              <w:spacing w:before="20" w:after="20"/>
            </w:pPr>
          </w:p>
        </w:tc>
        <w:tc>
          <w:tcPr>
            <w:tcW w:w="1867" w:type="dxa"/>
            <w:shd w:val="clear" w:color="auto" w:fill="4472C4"/>
            <w:vAlign w:val="center"/>
          </w:tcPr>
          <w:p w14:paraId="50CE934A"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1FF55BC5"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22CE5EE6" w14:textId="77777777" w:rsidR="00990B14" w:rsidRDefault="00000000">
            <w:pPr>
              <w:keepNext/>
              <w:spacing w:before="20" w:after="20"/>
              <w:jc w:val="center"/>
            </w:pPr>
            <w:r>
              <w:rPr>
                <w:b/>
                <w:bCs/>
                <w:i/>
                <w:iCs/>
                <w:color w:val="FFFFFF"/>
                <w:sz w:val="18"/>
                <w:szCs w:val="18"/>
              </w:rPr>
              <w:t>Suficiente (51–80)</w:t>
            </w:r>
          </w:p>
        </w:tc>
        <w:tc>
          <w:tcPr>
            <w:tcW w:w="1868" w:type="dxa"/>
            <w:shd w:val="clear" w:color="auto" w:fill="4472C4"/>
            <w:vAlign w:val="center"/>
          </w:tcPr>
          <w:p w14:paraId="621B5839" w14:textId="77777777" w:rsidR="00990B14" w:rsidRDefault="00000000">
            <w:pPr>
              <w:keepNext/>
              <w:spacing w:before="20" w:after="20"/>
              <w:jc w:val="center"/>
            </w:pPr>
            <w:r>
              <w:rPr>
                <w:b/>
                <w:bCs/>
                <w:i/>
                <w:iCs/>
                <w:color w:val="FFFFFF"/>
                <w:sz w:val="18"/>
                <w:szCs w:val="18"/>
              </w:rPr>
              <w:t>Destacado (81–100)</w:t>
            </w:r>
          </w:p>
        </w:tc>
      </w:tr>
      <w:tr w:rsidR="00990B14" w14:paraId="34568D93" w14:textId="77777777">
        <w:trPr>
          <w:cantSplit/>
          <w:jc w:val="center"/>
        </w:trPr>
        <w:tc>
          <w:tcPr>
            <w:tcW w:w="1850" w:type="dxa"/>
            <w:vMerge/>
            <w:shd w:val="clear" w:color="auto" w:fill="4472C4"/>
            <w:vAlign w:val="center"/>
          </w:tcPr>
          <w:p w14:paraId="7F79C9A8" w14:textId="77777777" w:rsidR="00990B14" w:rsidRDefault="00990B14">
            <w:pPr>
              <w:spacing w:before="20" w:after="20"/>
            </w:pPr>
          </w:p>
        </w:tc>
        <w:tc>
          <w:tcPr>
            <w:tcW w:w="1867" w:type="dxa"/>
            <w:shd w:val="clear" w:color="auto" w:fill="D9E2F3"/>
            <w:vAlign w:val="center"/>
          </w:tcPr>
          <w:p w14:paraId="7E3A2438" w14:textId="77777777" w:rsidR="00990B14" w:rsidRDefault="00000000">
            <w:pPr>
              <w:spacing w:before="20" w:after="20"/>
              <w:jc w:val="both"/>
            </w:pPr>
            <w:r>
              <w:rPr>
                <w:sz w:val="18"/>
                <w:szCs w:val="18"/>
              </w:rPr>
              <w:t>Análisis de indicadores</w:t>
            </w:r>
          </w:p>
        </w:tc>
        <w:tc>
          <w:tcPr>
            <w:tcW w:w="1910" w:type="dxa"/>
            <w:shd w:val="clear" w:color="auto" w:fill="D9E2F3"/>
            <w:vAlign w:val="center"/>
          </w:tcPr>
          <w:p w14:paraId="178C71A8" w14:textId="77777777" w:rsidR="00990B14" w:rsidRDefault="00000000">
            <w:pPr>
              <w:spacing w:before="20" w:after="20"/>
              <w:jc w:val="both"/>
            </w:pPr>
            <w:r>
              <w:rPr>
                <w:sz w:val="18"/>
                <w:szCs w:val="18"/>
              </w:rPr>
              <w:t>No calcula indicadores o los calcula mal.</w:t>
            </w:r>
          </w:p>
        </w:tc>
        <w:tc>
          <w:tcPr>
            <w:tcW w:w="1910" w:type="dxa"/>
            <w:shd w:val="clear" w:color="auto" w:fill="D9E2F3"/>
            <w:vAlign w:val="center"/>
          </w:tcPr>
          <w:p w14:paraId="01F0F082" w14:textId="77777777" w:rsidR="00990B14" w:rsidRDefault="00000000">
            <w:pPr>
              <w:spacing w:before="20" w:after="20"/>
              <w:jc w:val="both"/>
            </w:pPr>
            <w:r>
              <w:rPr>
                <w:sz w:val="18"/>
                <w:szCs w:val="18"/>
              </w:rPr>
              <w:t>Calcula indicadores financieros básicos.</w:t>
            </w:r>
          </w:p>
        </w:tc>
        <w:tc>
          <w:tcPr>
            <w:tcW w:w="1868" w:type="dxa"/>
            <w:shd w:val="clear" w:color="auto" w:fill="D9E2F3"/>
            <w:vAlign w:val="center"/>
          </w:tcPr>
          <w:p w14:paraId="134760BA" w14:textId="77777777" w:rsidR="00990B14" w:rsidRDefault="00000000">
            <w:pPr>
              <w:spacing w:before="20" w:after="20"/>
              <w:jc w:val="both"/>
            </w:pPr>
            <w:r>
              <w:rPr>
                <w:sz w:val="18"/>
                <w:szCs w:val="18"/>
              </w:rPr>
              <w:t>Calcula y compara indicadores de liquidez, endeudamiento y resultado.</w:t>
            </w:r>
          </w:p>
        </w:tc>
      </w:tr>
      <w:tr w:rsidR="00990B14" w14:paraId="66E697C7" w14:textId="77777777">
        <w:trPr>
          <w:cantSplit/>
          <w:jc w:val="center"/>
        </w:trPr>
        <w:tc>
          <w:tcPr>
            <w:tcW w:w="1850" w:type="dxa"/>
            <w:vMerge/>
            <w:shd w:val="clear" w:color="auto" w:fill="4472C4"/>
            <w:vAlign w:val="center"/>
          </w:tcPr>
          <w:p w14:paraId="77820E40" w14:textId="77777777" w:rsidR="00990B14" w:rsidRDefault="00990B14">
            <w:pPr>
              <w:spacing w:before="20" w:after="20"/>
            </w:pPr>
          </w:p>
        </w:tc>
        <w:tc>
          <w:tcPr>
            <w:tcW w:w="1867" w:type="dxa"/>
            <w:shd w:val="clear" w:color="auto" w:fill="D9E2F3"/>
            <w:vAlign w:val="center"/>
          </w:tcPr>
          <w:p w14:paraId="5369A2E3" w14:textId="77777777" w:rsidR="00990B14" w:rsidRDefault="00000000">
            <w:pPr>
              <w:spacing w:before="20" w:after="20"/>
              <w:jc w:val="both"/>
            </w:pPr>
            <w:r>
              <w:rPr>
                <w:sz w:val="18"/>
                <w:szCs w:val="18"/>
              </w:rPr>
              <w:t>Interpretación</w:t>
            </w:r>
          </w:p>
        </w:tc>
        <w:tc>
          <w:tcPr>
            <w:tcW w:w="1910" w:type="dxa"/>
            <w:shd w:val="clear" w:color="auto" w:fill="D9E2F3"/>
            <w:vAlign w:val="center"/>
          </w:tcPr>
          <w:p w14:paraId="169ABF33" w14:textId="77777777" w:rsidR="00990B14" w:rsidRDefault="00000000">
            <w:pPr>
              <w:spacing w:before="20" w:after="20"/>
              <w:jc w:val="both"/>
            </w:pPr>
            <w:r>
              <w:rPr>
                <w:sz w:val="18"/>
                <w:szCs w:val="18"/>
              </w:rPr>
              <w:t>Describe cifras sin interpretarlas.</w:t>
            </w:r>
          </w:p>
        </w:tc>
        <w:tc>
          <w:tcPr>
            <w:tcW w:w="1910" w:type="dxa"/>
            <w:shd w:val="clear" w:color="auto" w:fill="D9E2F3"/>
            <w:vAlign w:val="center"/>
          </w:tcPr>
          <w:p w14:paraId="49A5CE1C" w14:textId="77777777" w:rsidR="00990B14" w:rsidRDefault="00000000">
            <w:pPr>
              <w:spacing w:before="20" w:after="20"/>
              <w:jc w:val="both"/>
            </w:pPr>
            <w:r>
              <w:rPr>
                <w:sz w:val="18"/>
                <w:szCs w:val="18"/>
              </w:rPr>
              <w:t>Interpreta los resultados principales.</w:t>
            </w:r>
          </w:p>
        </w:tc>
        <w:tc>
          <w:tcPr>
            <w:tcW w:w="1868" w:type="dxa"/>
            <w:shd w:val="clear" w:color="auto" w:fill="D9E2F3"/>
            <w:vAlign w:val="center"/>
          </w:tcPr>
          <w:p w14:paraId="78E0E60E" w14:textId="77777777" w:rsidR="00990B14" w:rsidRDefault="00000000">
            <w:pPr>
              <w:spacing w:before="20" w:after="20"/>
              <w:jc w:val="both"/>
            </w:pPr>
            <w:r>
              <w:rPr>
                <w:sz w:val="18"/>
                <w:szCs w:val="18"/>
              </w:rPr>
              <w:t>Interpreta resultados y explica sus causas y efectos.</w:t>
            </w:r>
          </w:p>
        </w:tc>
      </w:tr>
      <w:tr w:rsidR="00990B14" w14:paraId="7F6296CB" w14:textId="77777777">
        <w:trPr>
          <w:cantSplit/>
          <w:jc w:val="center"/>
        </w:trPr>
        <w:tc>
          <w:tcPr>
            <w:tcW w:w="1850" w:type="dxa"/>
            <w:vMerge/>
            <w:shd w:val="clear" w:color="auto" w:fill="4472C4"/>
            <w:vAlign w:val="center"/>
          </w:tcPr>
          <w:p w14:paraId="37598E53" w14:textId="77777777" w:rsidR="00990B14" w:rsidRDefault="00990B14">
            <w:pPr>
              <w:spacing w:before="20" w:after="20"/>
            </w:pPr>
          </w:p>
        </w:tc>
        <w:tc>
          <w:tcPr>
            <w:tcW w:w="1867" w:type="dxa"/>
            <w:shd w:val="clear" w:color="auto" w:fill="D9E2F3"/>
            <w:vAlign w:val="center"/>
          </w:tcPr>
          <w:p w14:paraId="01B5E89D" w14:textId="77777777" w:rsidR="00990B14" w:rsidRDefault="00000000">
            <w:pPr>
              <w:spacing w:before="20" w:after="20"/>
              <w:jc w:val="both"/>
            </w:pPr>
            <w:r>
              <w:rPr>
                <w:sz w:val="18"/>
                <w:szCs w:val="18"/>
              </w:rPr>
              <w:t>Conclusiones y recomendaciones</w:t>
            </w:r>
          </w:p>
        </w:tc>
        <w:tc>
          <w:tcPr>
            <w:tcW w:w="1910" w:type="dxa"/>
            <w:shd w:val="clear" w:color="auto" w:fill="D9E2F3"/>
            <w:vAlign w:val="center"/>
          </w:tcPr>
          <w:p w14:paraId="3AA97613" w14:textId="77777777" w:rsidR="00990B14" w:rsidRDefault="00000000">
            <w:pPr>
              <w:spacing w:before="20" w:after="20"/>
              <w:jc w:val="both"/>
            </w:pPr>
            <w:r>
              <w:rPr>
                <w:sz w:val="18"/>
                <w:szCs w:val="18"/>
              </w:rPr>
              <w:t>No formula conclusiones.</w:t>
            </w:r>
          </w:p>
        </w:tc>
        <w:tc>
          <w:tcPr>
            <w:tcW w:w="1910" w:type="dxa"/>
            <w:shd w:val="clear" w:color="auto" w:fill="D9E2F3"/>
            <w:vAlign w:val="center"/>
          </w:tcPr>
          <w:p w14:paraId="122382BC" w14:textId="77777777" w:rsidR="00990B14" w:rsidRDefault="00000000">
            <w:pPr>
              <w:spacing w:before="20" w:after="20"/>
              <w:jc w:val="both"/>
            </w:pPr>
            <w:r>
              <w:rPr>
                <w:sz w:val="18"/>
                <w:szCs w:val="18"/>
              </w:rPr>
              <w:t>Formula conclusiones a partir de los resultados.</w:t>
            </w:r>
          </w:p>
        </w:tc>
        <w:tc>
          <w:tcPr>
            <w:tcW w:w="1868" w:type="dxa"/>
            <w:shd w:val="clear" w:color="auto" w:fill="D9E2F3"/>
            <w:vAlign w:val="center"/>
          </w:tcPr>
          <w:p w14:paraId="775B29E1" w14:textId="77777777" w:rsidR="00990B14" w:rsidRDefault="00000000">
            <w:pPr>
              <w:spacing w:before="20" w:after="20"/>
              <w:jc w:val="both"/>
            </w:pPr>
            <w:r>
              <w:rPr>
                <w:sz w:val="18"/>
                <w:szCs w:val="18"/>
              </w:rPr>
              <w:t>Formula conclusiones y recomendaciones para la toma de decisiones de la entidad.</w:t>
            </w:r>
          </w:p>
        </w:tc>
      </w:tr>
      <w:tr w:rsidR="00990B14" w14:paraId="4DA92449" w14:textId="77777777">
        <w:trPr>
          <w:cantSplit/>
          <w:jc w:val="center"/>
        </w:trPr>
        <w:tc>
          <w:tcPr>
            <w:tcW w:w="1850" w:type="dxa"/>
            <w:vMerge/>
            <w:shd w:val="clear" w:color="auto" w:fill="4472C4"/>
            <w:vAlign w:val="center"/>
          </w:tcPr>
          <w:p w14:paraId="043FE5E8" w14:textId="77777777" w:rsidR="00990B14" w:rsidRDefault="00990B14">
            <w:pPr>
              <w:spacing w:before="20" w:after="20"/>
            </w:pPr>
          </w:p>
        </w:tc>
        <w:tc>
          <w:tcPr>
            <w:tcW w:w="5687" w:type="dxa"/>
            <w:gridSpan w:val="3"/>
            <w:shd w:val="clear" w:color="auto" w:fill="D9E2F3"/>
            <w:vAlign w:val="center"/>
          </w:tcPr>
          <w:p w14:paraId="2263A803" w14:textId="77777777" w:rsidR="00990B14" w:rsidRDefault="00000000">
            <w:pPr>
              <w:keepNext/>
              <w:spacing w:before="20" w:after="20"/>
              <w:jc w:val="both"/>
            </w:pPr>
            <w:r>
              <w:rPr>
                <w:b/>
                <w:bCs/>
                <w:i/>
                <w:iCs/>
                <w:sz w:val="18"/>
                <w:szCs w:val="18"/>
              </w:rPr>
              <w:t xml:space="preserve">Producto 21: </w:t>
            </w:r>
            <w:r>
              <w:rPr>
                <w:sz w:val="18"/>
                <w:szCs w:val="18"/>
              </w:rPr>
              <w:t>Esquema del marco de conceptos y de los estados financieros.</w:t>
            </w:r>
          </w:p>
        </w:tc>
        <w:tc>
          <w:tcPr>
            <w:tcW w:w="1868" w:type="dxa"/>
            <w:shd w:val="clear" w:color="auto" w:fill="D9E2F3"/>
            <w:vAlign w:val="center"/>
          </w:tcPr>
          <w:p w14:paraId="64312D71" w14:textId="77777777" w:rsidR="00990B14" w:rsidRDefault="00000000">
            <w:pPr>
              <w:spacing w:before="20" w:after="20"/>
              <w:jc w:val="center"/>
            </w:pPr>
            <w:r>
              <w:rPr>
                <w:b/>
                <w:bCs/>
                <w:sz w:val="18"/>
                <w:szCs w:val="18"/>
              </w:rPr>
              <w:t>2%</w:t>
            </w:r>
          </w:p>
        </w:tc>
      </w:tr>
      <w:tr w:rsidR="00990B14" w14:paraId="5E38ECBB" w14:textId="77777777">
        <w:trPr>
          <w:cantSplit/>
          <w:jc w:val="center"/>
        </w:trPr>
        <w:tc>
          <w:tcPr>
            <w:tcW w:w="1850" w:type="dxa"/>
            <w:vMerge/>
            <w:shd w:val="clear" w:color="auto" w:fill="4472C4"/>
            <w:vAlign w:val="center"/>
          </w:tcPr>
          <w:p w14:paraId="6CE1F55C" w14:textId="77777777" w:rsidR="00990B14" w:rsidRDefault="00990B14">
            <w:pPr>
              <w:spacing w:before="20" w:after="20"/>
            </w:pPr>
          </w:p>
        </w:tc>
        <w:tc>
          <w:tcPr>
            <w:tcW w:w="1867" w:type="dxa"/>
            <w:shd w:val="clear" w:color="auto" w:fill="4472C4"/>
            <w:vAlign w:val="center"/>
          </w:tcPr>
          <w:p w14:paraId="338EB964"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056B0B9F"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76A98184" w14:textId="77777777" w:rsidR="00990B14" w:rsidRDefault="00000000">
            <w:pPr>
              <w:keepNext/>
              <w:spacing w:before="20" w:after="20"/>
              <w:jc w:val="center"/>
            </w:pPr>
            <w:r>
              <w:rPr>
                <w:b/>
                <w:bCs/>
                <w:i/>
                <w:iCs/>
                <w:color w:val="FFFFFF"/>
                <w:sz w:val="18"/>
                <w:szCs w:val="18"/>
              </w:rPr>
              <w:t>Suficiente (51–80)</w:t>
            </w:r>
          </w:p>
        </w:tc>
        <w:tc>
          <w:tcPr>
            <w:tcW w:w="1868" w:type="dxa"/>
            <w:shd w:val="clear" w:color="auto" w:fill="4472C4"/>
            <w:vAlign w:val="center"/>
          </w:tcPr>
          <w:p w14:paraId="5FDA8BFA" w14:textId="77777777" w:rsidR="00990B14" w:rsidRDefault="00000000">
            <w:pPr>
              <w:keepNext/>
              <w:spacing w:before="20" w:after="20"/>
              <w:jc w:val="center"/>
            </w:pPr>
            <w:r>
              <w:rPr>
                <w:b/>
                <w:bCs/>
                <w:i/>
                <w:iCs/>
                <w:color w:val="FFFFFF"/>
                <w:sz w:val="18"/>
                <w:szCs w:val="18"/>
              </w:rPr>
              <w:t>Destacado (81–100)</w:t>
            </w:r>
          </w:p>
        </w:tc>
      </w:tr>
      <w:tr w:rsidR="00990B14" w14:paraId="2258DBAE" w14:textId="77777777">
        <w:trPr>
          <w:cantSplit/>
          <w:jc w:val="center"/>
        </w:trPr>
        <w:tc>
          <w:tcPr>
            <w:tcW w:w="1850" w:type="dxa"/>
            <w:vMerge/>
            <w:shd w:val="clear" w:color="auto" w:fill="4472C4"/>
            <w:vAlign w:val="center"/>
          </w:tcPr>
          <w:p w14:paraId="48DEA5E3" w14:textId="77777777" w:rsidR="00990B14" w:rsidRDefault="00990B14">
            <w:pPr>
              <w:spacing w:before="20" w:after="20"/>
            </w:pPr>
          </w:p>
        </w:tc>
        <w:tc>
          <w:tcPr>
            <w:tcW w:w="1867" w:type="dxa"/>
            <w:shd w:val="clear" w:color="auto" w:fill="D9E2F3"/>
            <w:vAlign w:val="center"/>
          </w:tcPr>
          <w:p w14:paraId="208EDB25" w14:textId="77777777" w:rsidR="00990B14" w:rsidRDefault="00000000">
            <w:pPr>
              <w:spacing w:before="20" w:after="20"/>
              <w:jc w:val="both"/>
            </w:pPr>
            <w:r>
              <w:rPr>
                <w:sz w:val="18"/>
                <w:szCs w:val="18"/>
              </w:rPr>
              <w:t>Marco conceptual</w:t>
            </w:r>
          </w:p>
        </w:tc>
        <w:tc>
          <w:tcPr>
            <w:tcW w:w="1910" w:type="dxa"/>
            <w:shd w:val="clear" w:color="auto" w:fill="D9E2F3"/>
            <w:vAlign w:val="center"/>
          </w:tcPr>
          <w:p w14:paraId="2379E094" w14:textId="77777777" w:rsidR="00990B14" w:rsidRDefault="00000000">
            <w:pPr>
              <w:spacing w:before="20" w:after="20"/>
              <w:jc w:val="both"/>
            </w:pPr>
            <w:r>
              <w:rPr>
                <w:sz w:val="18"/>
                <w:szCs w:val="18"/>
              </w:rPr>
              <w:t>Omite los conceptos básicos.</w:t>
            </w:r>
          </w:p>
        </w:tc>
        <w:tc>
          <w:tcPr>
            <w:tcW w:w="1910" w:type="dxa"/>
            <w:shd w:val="clear" w:color="auto" w:fill="D9E2F3"/>
            <w:vAlign w:val="center"/>
          </w:tcPr>
          <w:p w14:paraId="15A941D8" w14:textId="77777777" w:rsidR="00990B14" w:rsidRDefault="00000000">
            <w:pPr>
              <w:spacing w:before="20" w:after="20"/>
              <w:jc w:val="both"/>
            </w:pPr>
            <w:r>
              <w:rPr>
                <w:sz w:val="18"/>
                <w:szCs w:val="18"/>
              </w:rPr>
              <w:t>Describe los conceptos del marco conceptual.</w:t>
            </w:r>
          </w:p>
        </w:tc>
        <w:tc>
          <w:tcPr>
            <w:tcW w:w="1868" w:type="dxa"/>
            <w:shd w:val="clear" w:color="auto" w:fill="D9E2F3"/>
            <w:vAlign w:val="center"/>
          </w:tcPr>
          <w:p w14:paraId="194FB82A" w14:textId="77777777" w:rsidR="00990B14" w:rsidRDefault="00000000">
            <w:pPr>
              <w:spacing w:before="20" w:after="20"/>
              <w:jc w:val="both"/>
            </w:pPr>
            <w:r>
              <w:rPr>
                <w:sz w:val="18"/>
                <w:szCs w:val="18"/>
              </w:rPr>
              <w:t>Explica objetivos, características y elementos de los estados financieros.</w:t>
            </w:r>
          </w:p>
        </w:tc>
      </w:tr>
      <w:tr w:rsidR="00990B14" w14:paraId="4FFE4ACC" w14:textId="77777777">
        <w:trPr>
          <w:cantSplit/>
          <w:jc w:val="center"/>
        </w:trPr>
        <w:tc>
          <w:tcPr>
            <w:tcW w:w="1850" w:type="dxa"/>
            <w:vMerge/>
            <w:shd w:val="clear" w:color="auto" w:fill="4472C4"/>
            <w:vAlign w:val="center"/>
          </w:tcPr>
          <w:p w14:paraId="45F0736F" w14:textId="77777777" w:rsidR="00990B14" w:rsidRDefault="00990B14">
            <w:pPr>
              <w:spacing w:before="20" w:after="20"/>
            </w:pPr>
          </w:p>
        </w:tc>
        <w:tc>
          <w:tcPr>
            <w:tcW w:w="1867" w:type="dxa"/>
            <w:shd w:val="clear" w:color="auto" w:fill="D9E2F3"/>
            <w:vAlign w:val="center"/>
          </w:tcPr>
          <w:p w14:paraId="34893F45" w14:textId="77777777" w:rsidR="00990B14" w:rsidRDefault="00000000">
            <w:pPr>
              <w:spacing w:before="20" w:after="20"/>
              <w:jc w:val="both"/>
            </w:pPr>
            <w:r>
              <w:rPr>
                <w:sz w:val="18"/>
                <w:szCs w:val="18"/>
              </w:rPr>
              <w:t>Estados financieros</w:t>
            </w:r>
          </w:p>
        </w:tc>
        <w:tc>
          <w:tcPr>
            <w:tcW w:w="1910" w:type="dxa"/>
            <w:shd w:val="clear" w:color="auto" w:fill="D9E2F3"/>
            <w:vAlign w:val="center"/>
          </w:tcPr>
          <w:p w14:paraId="104CFAA8" w14:textId="77777777" w:rsidR="00990B14" w:rsidRDefault="00000000">
            <w:pPr>
              <w:spacing w:before="20" w:after="20"/>
              <w:jc w:val="both"/>
            </w:pPr>
            <w:r>
              <w:rPr>
                <w:sz w:val="18"/>
                <w:szCs w:val="18"/>
              </w:rPr>
              <w:t>Confunde los estados financieros.</w:t>
            </w:r>
          </w:p>
        </w:tc>
        <w:tc>
          <w:tcPr>
            <w:tcW w:w="1910" w:type="dxa"/>
            <w:shd w:val="clear" w:color="auto" w:fill="D9E2F3"/>
            <w:vAlign w:val="center"/>
          </w:tcPr>
          <w:p w14:paraId="7438C888" w14:textId="77777777" w:rsidR="00990B14" w:rsidRDefault="00000000">
            <w:pPr>
              <w:spacing w:before="20" w:after="20"/>
              <w:jc w:val="both"/>
            </w:pPr>
            <w:r>
              <w:rPr>
                <w:sz w:val="18"/>
                <w:szCs w:val="18"/>
              </w:rPr>
              <w:t>Identifica los estados financieros y su finalidad.</w:t>
            </w:r>
          </w:p>
        </w:tc>
        <w:tc>
          <w:tcPr>
            <w:tcW w:w="1868" w:type="dxa"/>
            <w:shd w:val="clear" w:color="auto" w:fill="D9E2F3"/>
            <w:vAlign w:val="center"/>
          </w:tcPr>
          <w:p w14:paraId="417210E0" w14:textId="77777777" w:rsidR="00990B14" w:rsidRDefault="00000000">
            <w:pPr>
              <w:spacing w:before="20" w:after="20"/>
              <w:jc w:val="both"/>
            </w:pPr>
            <w:r>
              <w:rPr>
                <w:sz w:val="18"/>
                <w:szCs w:val="18"/>
              </w:rPr>
              <w:t>Relaciona cada estado con el concepto y su uso.</w:t>
            </w:r>
          </w:p>
        </w:tc>
      </w:tr>
      <w:tr w:rsidR="00990B14" w14:paraId="2432A0BF" w14:textId="77777777">
        <w:trPr>
          <w:cantSplit/>
          <w:jc w:val="center"/>
        </w:trPr>
        <w:tc>
          <w:tcPr>
            <w:tcW w:w="1850" w:type="dxa"/>
            <w:vMerge/>
            <w:shd w:val="clear" w:color="auto" w:fill="4472C4"/>
            <w:vAlign w:val="center"/>
          </w:tcPr>
          <w:p w14:paraId="698863C0" w14:textId="77777777" w:rsidR="00990B14" w:rsidRDefault="00990B14">
            <w:pPr>
              <w:spacing w:before="20" w:after="20"/>
            </w:pPr>
          </w:p>
        </w:tc>
        <w:tc>
          <w:tcPr>
            <w:tcW w:w="1867" w:type="dxa"/>
            <w:shd w:val="clear" w:color="auto" w:fill="D9E2F3"/>
            <w:vAlign w:val="center"/>
          </w:tcPr>
          <w:p w14:paraId="3067AF51" w14:textId="77777777" w:rsidR="00990B14" w:rsidRDefault="00000000">
            <w:pPr>
              <w:spacing w:before="20" w:after="20"/>
              <w:jc w:val="both"/>
            </w:pPr>
            <w:r>
              <w:rPr>
                <w:sz w:val="18"/>
                <w:szCs w:val="18"/>
              </w:rPr>
              <w:t>Estructura del esquema</w:t>
            </w:r>
          </w:p>
        </w:tc>
        <w:tc>
          <w:tcPr>
            <w:tcW w:w="1910" w:type="dxa"/>
            <w:shd w:val="clear" w:color="auto" w:fill="D9E2F3"/>
            <w:vAlign w:val="center"/>
          </w:tcPr>
          <w:p w14:paraId="14BD85DA" w14:textId="77777777" w:rsidR="00990B14" w:rsidRDefault="00000000">
            <w:pPr>
              <w:spacing w:before="20" w:after="20"/>
              <w:jc w:val="both"/>
            </w:pPr>
            <w:r>
              <w:rPr>
                <w:sz w:val="18"/>
                <w:szCs w:val="18"/>
              </w:rPr>
              <w:t>El esquema es confuso.</w:t>
            </w:r>
          </w:p>
        </w:tc>
        <w:tc>
          <w:tcPr>
            <w:tcW w:w="1910" w:type="dxa"/>
            <w:shd w:val="clear" w:color="auto" w:fill="D9E2F3"/>
            <w:vAlign w:val="center"/>
          </w:tcPr>
          <w:p w14:paraId="45C4C45A" w14:textId="77777777" w:rsidR="00990B14" w:rsidRDefault="00000000">
            <w:pPr>
              <w:spacing w:before="20" w:after="20"/>
              <w:jc w:val="both"/>
            </w:pPr>
            <w:r>
              <w:rPr>
                <w:sz w:val="18"/>
                <w:szCs w:val="18"/>
              </w:rPr>
              <w:t>El esquema es ordenado.</w:t>
            </w:r>
          </w:p>
        </w:tc>
        <w:tc>
          <w:tcPr>
            <w:tcW w:w="1868" w:type="dxa"/>
            <w:shd w:val="clear" w:color="auto" w:fill="D9E2F3"/>
            <w:vAlign w:val="center"/>
          </w:tcPr>
          <w:p w14:paraId="28AD8777" w14:textId="77777777" w:rsidR="00990B14" w:rsidRDefault="00000000">
            <w:pPr>
              <w:spacing w:before="20" w:after="20"/>
              <w:jc w:val="both"/>
            </w:pPr>
            <w:r>
              <w:rPr>
                <w:sz w:val="18"/>
                <w:szCs w:val="18"/>
              </w:rPr>
              <w:t>El esquema es claro, jerárquico y sintético.</w:t>
            </w:r>
          </w:p>
        </w:tc>
      </w:tr>
      <w:tr w:rsidR="00990B14" w14:paraId="517F1AAC" w14:textId="77777777">
        <w:trPr>
          <w:cantSplit/>
          <w:jc w:val="center"/>
        </w:trPr>
        <w:tc>
          <w:tcPr>
            <w:tcW w:w="1850" w:type="dxa"/>
            <w:vMerge/>
            <w:shd w:val="clear" w:color="auto" w:fill="4472C4"/>
            <w:vAlign w:val="center"/>
          </w:tcPr>
          <w:p w14:paraId="454D81EC" w14:textId="77777777" w:rsidR="00990B14" w:rsidRDefault="00990B14">
            <w:pPr>
              <w:spacing w:before="20" w:after="20"/>
            </w:pPr>
          </w:p>
        </w:tc>
        <w:tc>
          <w:tcPr>
            <w:tcW w:w="5687" w:type="dxa"/>
            <w:gridSpan w:val="3"/>
            <w:shd w:val="clear" w:color="auto" w:fill="D9E2F3"/>
            <w:vAlign w:val="center"/>
          </w:tcPr>
          <w:p w14:paraId="497E1FF6" w14:textId="77777777" w:rsidR="00990B14" w:rsidRDefault="00000000">
            <w:pPr>
              <w:keepNext/>
              <w:spacing w:before="20" w:after="20"/>
              <w:jc w:val="both"/>
            </w:pPr>
            <w:r>
              <w:rPr>
                <w:b/>
                <w:bCs/>
                <w:i/>
                <w:iCs/>
                <w:sz w:val="18"/>
                <w:szCs w:val="18"/>
              </w:rPr>
              <w:t xml:space="preserve">Producto 22: </w:t>
            </w:r>
            <w:r>
              <w:rPr>
                <w:sz w:val="18"/>
                <w:szCs w:val="18"/>
              </w:rPr>
              <w:t>Documento Registros contables de aplicación de las normas internacionales de contabilidad del sector público.</w:t>
            </w:r>
          </w:p>
        </w:tc>
        <w:tc>
          <w:tcPr>
            <w:tcW w:w="1868" w:type="dxa"/>
            <w:shd w:val="clear" w:color="auto" w:fill="D9E2F3"/>
            <w:vAlign w:val="center"/>
          </w:tcPr>
          <w:p w14:paraId="069D096C" w14:textId="77777777" w:rsidR="00990B14" w:rsidRDefault="00000000">
            <w:pPr>
              <w:spacing w:before="20" w:after="20"/>
              <w:jc w:val="center"/>
            </w:pPr>
            <w:r>
              <w:rPr>
                <w:b/>
                <w:bCs/>
                <w:sz w:val="18"/>
                <w:szCs w:val="18"/>
              </w:rPr>
              <w:t>10%</w:t>
            </w:r>
          </w:p>
        </w:tc>
      </w:tr>
      <w:tr w:rsidR="00990B14" w14:paraId="4F8201ED" w14:textId="77777777">
        <w:trPr>
          <w:cantSplit/>
          <w:jc w:val="center"/>
        </w:trPr>
        <w:tc>
          <w:tcPr>
            <w:tcW w:w="1850" w:type="dxa"/>
            <w:vMerge/>
            <w:shd w:val="clear" w:color="auto" w:fill="4472C4"/>
            <w:vAlign w:val="center"/>
          </w:tcPr>
          <w:p w14:paraId="142F194B" w14:textId="77777777" w:rsidR="00990B14" w:rsidRDefault="00990B14">
            <w:pPr>
              <w:spacing w:before="20" w:after="20"/>
            </w:pPr>
          </w:p>
        </w:tc>
        <w:tc>
          <w:tcPr>
            <w:tcW w:w="1867" w:type="dxa"/>
            <w:shd w:val="clear" w:color="auto" w:fill="4472C4"/>
            <w:vAlign w:val="center"/>
          </w:tcPr>
          <w:p w14:paraId="6DEA1FCB"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49D2AEE0"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328B923B" w14:textId="77777777" w:rsidR="00990B14" w:rsidRDefault="00000000">
            <w:pPr>
              <w:keepNext/>
              <w:spacing w:before="20" w:after="20"/>
              <w:jc w:val="center"/>
            </w:pPr>
            <w:r>
              <w:rPr>
                <w:b/>
                <w:bCs/>
                <w:i/>
                <w:iCs/>
                <w:color w:val="FFFFFF"/>
                <w:sz w:val="18"/>
                <w:szCs w:val="18"/>
              </w:rPr>
              <w:t>Suficiente (51–80)</w:t>
            </w:r>
          </w:p>
        </w:tc>
        <w:tc>
          <w:tcPr>
            <w:tcW w:w="1868" w:type="dxa"/>
            <w:shd w:val="clear" w:color="auto" w:fill="4472C4"/>
            <w:vAlign w:val="center"/>
          </w:tcPr>
          <w:p w14:paraId="2F75A685" w14:textId="77777777" w:rsidR="00990B14" w:rsidRDefault="00000000">
            <w:pPr>
              <w:keepNext/>
              <w:spacing w:before="20" w:after="20"/>
              <w:jc w:val="center"/>
            </w:pPr>
            <w:r>
              <w:rPr>
                <w:b/>
                <w:bCs/>
                <w:i/>
                <w:iCs/>
                <w:color w:val="FFFFFF"/>
                <w:sz w:val="18"/>
                <w:szCs w:val="18"/>
              </w:rPr>
              <w:t>Destacado (81–100)</w:t>
            </w:r>
          </w:p>
        </w:tc>
      </w:tr>
      <w:tr w:rsidR="00990B14" w14:paraId="346D0873" w14:textId="77777777">
        <w:trPr>
          <w:cantSplit/>
          <w:jc w:val="center"/>
        </w:trPr>
        <w:tc>
          <w:tcPr>
            <w:tcW w:w="1850" w:type="dxa"/>
            <w:vMerge/>
            <w:shd w:val="clear" w:color="auto" w:fill="4472C4"/>
            <w:vAlign w:val="center"/>
          </w:tcPr>
          <w:p w14:paraId="4990B11F" w14:textId="77777777" w:rsidR="00990B14" w:rsidRDefault="00990B14">
            <w:pPr>
              <w:spacing w:before="20" w:after="20"/>
            </w:pPr>
          </w:p>
        </w:tc>
        <w:tc>
          <w:tcPr>
            <w:tcW w:w="1867" w:type="dxa"/>
            <w:shd w:val="clear" w:color="auto" w:fill="D9E2F3"/>
            <w:vAlign w:val="center"/>
          </w:tcPr>
          <w:p w14:paraId="4EE7CBCD" w14:textId="77777777" w:rsidR="00990B14" w:rsidRDefault="00000000">
            <w:pPr>
              <w:spacing w:before="20" w:after="20"/>
              <w:jc w:val="both"/>
            </w:pPr>
            <w:r>
              <w:rPr>
                <w:sz w:val="18"/>
                <w:szCs w:val="18"/>
              </w:rPr>
              <w:t>Norma aplicable</w:t>
            </w:r>
          </w:p>
        </w:tc>
        <w:tc>
          <w:tcPr>
            <w:tcW w:w="1910" w:type="dxa"/>
            <w:shd w:val="clear" w:color="auto" w:fill="D9E2F3"/>
            <w:vAlign w:val="center"/>
          </w:tcPr>
          <w:p w14:paraId="2D8253A3" w14:textId="77777777" w:rsidR="00990B14" w:rsidRDefault="00000000">
            <w:pPr>
              <w:spacing w:before="20" w:after="20"/>
              <w:jc w:val="both"/>
            </w:pPr>
            <w:r>
              <w:rPr>
                <w:sz w:val="18"/>
                <w:szCs w:val="18"/>
              </w:rPr>
              <w:t>No identifica la norma aplicable.</w:t>
            </w:r>
          </w:p>
        </w:tc>
        <w:tc>
          <w:tcPr>
            <w:tcW w:w="1910" w:type="dxa"/>
            <w:shd w:val="clear" w:color="auto" w:fill="D9E2F3"/>
            <w:vAlign w:val="center"/>
          </w:tcPr>
          <w:p w14:paraId="7BCF57B9" w14:textId="77777777" w:rsidR="00990B14" w:rsidRDefault="00000000">
            <w:pPr>
              <w:spacing w:before="20" w:after="20"/>
              <w:jc w:val="both"/>
            </w:pPr>
            <w:r>
              <w:rPr>
                <w:sz w:val="18"/>
                <w:szCs w:val="18"/>
              </w:rPr>
              <w:t>Identifica la norma internacional aplicable.</w:t>
            </w:r>
          </w:p>
        </w:tc>
        <w:tc>
          <w:tcPr>
            <w:tcW w:w="1868" w:type="dxa"/>
            <w:shd w:val="clear" w:color="auto" w:fill="D9E2F3"/>
            <w:vAlign w:val="center"/>
          </w:tcPr>
          <w:p w14:paraId="5C65474C" w14:textId="77777777" w:rsidR="00990B14" w:rsidRDefault="00000000">
            <w:pPr>
              <w:spacing w:before="20" w:after="20"/>
              <w:jc w:val="both"/>
            </w:pPr>
            <w:r>
              <w:rPr>
                <w:sz w:val="18"/>
                <w:szCs w:val="18"/>
              </w:rPr>
              <w:t>Identifica y justifica la norma para cada transacción.</w:t>
            </w:r>
          </w:p>
        </w:tc>
      </w:tr>
      <w:tr w:rsidR="00990B14" w14:paraId="69154B79" w14:textId="77777777">
        <w:trPr>
          <w:cantSplit/>
          <w:jc w:val="center"/>
        </w:trPr>
        <w:tc>
          <w:tcPr>
            <w:tcW w:w="1850" w:type="dxa"/>
            <w:vMerge/>
            <w:shd w:val="clear" w:color="auto" w:fill="4472C4"/>
            <w:vAlign w:val="center"/>
          </w:tcPr>
          <w:p w14:paraId="55E9F573" w14:textId="77777777" w:rsidR="00990B14" w:rsidRDefault="00990B14">
            <w:pPr>
              <w:spacing w:before="20" w:after="20"/>
            </w:pPr>
          </w:p>
        </w:tc>
        <w:tc>
          <w:tcPr>
            <w:tcW w:w="1867" w:type="dxa"/>
            <w:shd w:val="clear" w:color="auto" w:fill="D9E2F3"/>
            <w:vAlign w:val="center"/>
          </w:tcPr>
          <w:p w14:paraId="0B7A162C" w14:textId="77777777" w:rsidR="00990B14" w:rsidRDefault="00000000">
            <w:pPr>
              <w:spacing w:before="20" w:after="20"/>
              <w:jc w:val="both"/>
            </w:pPr>
            <w:r>
              <w:rPr>
                <w:sz w:val="18"/>
                <w:szCs w:val="18"/>
              </w:rPr>
              <w:t>Reconocimiento y medición</w:t>
            </w:r>
          </w:p>
        </w:tc>
        <w:tc>
          <w:tcPr>
            <w:tcW w:w="1910" w:type="dxa"/>
            <w:shd w:val="clear" w:color="auto" w:fill="D9E2F3"/>
            <w:vAlign w:val="center"/>
          </w:tcPr>
          <w:p w14:paraId="65B13DD8" w14:textId="77777777" w:rsidR="00990B14" w:rsidRDefault="00000000">
            <w:pPr>
              <w:spacing w:before="20" w:after="20"/>
              <w:jc w:val="both"/>
            </w:pPr>
            <w:r>
              <w:rPr>
                <w:sz w:val="18"/>
                <w:szCs w:val="18"/>
              </w:rPr>
              <w:t>Reconoce o mide incorrectamente.</w:t>
            </w:r>
          </w:p>
        </w:tc>
        <w:tc>
          <w:tcPr>
            <w:tcW w:w="1910" w:type="dxa"/>
            <w:shd w:val="clear" w:color="auto" w:fill="D9E2F3"/>
            <w:vAlign w:val="center"/>
          </w:tcPr>
          <w:p w14:paraId="5B9E7995" w14:textId="77777777" w:rsidR="00990B14" w:rsidRDefault="00000000">
            <w:pPr>
              <w:spacing w:before="20" w:after="20"/>
              <w:jc w:val="both"/>
            </w:pPr>
            <w:r>
              <w:rPr>
                <w:sz w:val="18"/>
                <w:szCs w:val="18"/>
              </w:rPr>
              <w:t>Reconoce y mide la transacción.</w:t>
            </w:r>
          </w:p>
        </w:tc>
        <w:tc>
          <w:tcPr>
            <w:tcW w:w="1868" w:type="dxa"/>
            <w:shd w:val="clear" w:color="auto" w:fill="D9E2F3"/>
            <w:vAlign w:val="center"/>
          </w:tcPr>
          <w:p w14:paraId="69AB3B78" w14:textId="77777777" w:rsidR="00990B14" w:rsidRDefault="00000000">
            <w:pPr>
              <w:spacing w:before="20" w:after="20"/>
              <w:jc w:val="both"/>
            </w:pPr>
            <w:r>
              <w:rPr>
                <w:sz w:val="18"/>
                <w:szCs w:val="18"/>
              </w:rPr>
              <w:t>Reconoce y mide con criterios de la norma y respaldo.</w:t>
            </w:r>
          </w:p>
        </w:tc>
      </w:tr>
      <w:tr w:rsidR="00990B14" w14:paraId="6D16C5CE" w14:textId="77777777">
        <w:trPr>
          <w:cantSplit/>
          <w:jc w:val="center"/>
        </w:trPr>
        <w:tc>
          <w:tcPr>
            <w:tcW w:w="1850" w:type="dxa"/>
            <w:vMerge/>
            <w:shd w:val="clear" w:color="auto" w:fill="4472C4"/>
            <w:vAlign w:val="center"/>
          </w:tcPr>
          <w:p w14:paraId="70FD5BD6" w14:textId="77777777" w:rsidR="00990B14" w:rsidRDefault="00990B14">
            <w:pPr>
              <w:spacing w:before="20" w:after="20"/>
            </w:pPr>
          </w:p>
        </w:tc>
        <w:tc>
          <w:tcPr>
            <w:tcW w:w="1867" w:type="dxa"/>
            <w:shd w:val="clear" w:color="auto" w:fill="D9E2F3"/>
            <w:vAlign w:val="center"/>
          </w:tcPr>
          <w:p w14:paraId="42B91CC0" w14:textId="77777777" w:rsidR="00990B14" w:rsidRDefault="00000000">
            <w:pPr>
              <w:spacing w:before="20" w:after="20"/>
              <w:jc w:val="both"/>
            </w:pPr>
            <w:r>
              <w:rPr>
                <w:sz w:val="18"/>
                <w:szCs w:val="18"/>
              </w:rPr>
              <w:t>Registro contable</w:t>
            </w:r>
          </w:p>
        </w:tc>
        <w:tc>
          <w:tcPr>
            <w:tcW w:w="1910" w:type="dxa"/>
            <w:shd w:val="clear" w:color="auto" w:fill="D9E2F3"/>
            <w:vAlign w:val="center"/>
          </w:tcPr>
          <w:p w14:paraId="5290BCE7" w14:textId="77777777" w:rsidR="00990B14" w:rsidRDefault="00000000">
            <w:pPr>
              <w:spacing w:before="20" w:after="20"/>
              <w:jc w:val="both"/>
            </w:pPr>
            <w:r>
              <w:rPr>
                <w:sz w:val="18"/>
                <w:szCs w:val="18"/>
              </w:rPr>
              <w:t>El asiento contable es incorrecto.</w:t>
            </w:r>
          </w:p>
        </w:tc>
        <w:tc>
          <w:tcPr>
            <w:tcW w:w="1910" w:type="dxa"/>
            <w:shd w:val="clear" w:color="auto" w:fill="D9E2F3"/>
            <w:vAlign w:val="center"/>
          </w:tcPr>
          <w:p w14:paraId="15ABCAE1" w14:textId="77777777" w:rsidR="00990B14" w:rsidRDefault="00000000">
            <w:pPr>
              <w:spacing w:before="20" w:after="20"/>
              <w:jc w:val="both"/>
            </w:pPr>
            <w:r>
              <w:rPr>
                <w:sz w:val="18"/>
                <w:szCs w:val="18"/>
              </w:rPr>
              <w:t>El asiento contable es correcto.</w:t>
            </w:r>
          </w:p>
        </w:tc>
        <w:tc>
          <w:tcPr>
            <w:tcW w:w="1868" w:type="dxa"/>
            <w:shd w:val="clear" w:color="auto" w:fill="D9E2F3"/>
            <w:vAlign w:val="center"/>
          </w:tcPr>
          <w:p w14:paraId="7A92CEDC" w14:textId="77777777" w:rsidR="00990B14" w:rsidRDefault="00000000">
            <w:pPr>
              <w:spacing w:before="20" w:after="20"/>
              <w:jc w:val="both"/>
            </w:pPr>
            <w:r>
              <w:rPr>
                <w:sz w:val="18"/>
                <w:szCs w:val="18"/>
              </w:rPr>
              <w:t>El asiento es correcto y se explica su efecto en los estados financieros.</w:t>
            </w:r>
          </w:p>
        </w:tc>
      </w:tr>
      <w:tr w:rsidR="00990B14" w14:paraId="3F6A7EE8" w14:textId="77777777">
        <w:trPr>
          <w:cantSplit/>
          <w:jc w:val="center"/>
        </w:trPr>
        <w:tc>
          <w:tcPr>
            <w:tcW w:w="1850" w:type="dxa"/>
            <w:vMerge/>
            <w:shd w:val="clear" w:color="auto" w:fill="4472C4"/>
            <w:vAlign w:val="center"/>
          </w:tcPr>
          <w:p w14:paraId="1DAF61A8" w14:textId="77777777" w:rsidR="00990B14" w:rsidRDefault="00990B14">
            <w:pPr>
              <w:spacing w:before="20" w:after="20"/>
            </w:pPr>
          </w:p>
        </w:tc>
        <w:tc>
          <w:tcPr>
            <w:tcW w:w="5687" w:type="dxa"/>
            <w:gridSpan w:val="3"/>
            <w:shd w:val="clear" w:color="auto" w:fill="D9E2F3"/>
            <w:vAlign w:val="center"/>
          </w:tcPr>
          <w:p w14:paraId="6C421A35" w14:textId="77777777" w:rsidR="00990B14" w:rsidRDefault="00000000">
            <w:pPr>
              <w:keepNext/>
              <w:spacing w:before="20" w:after="20"/>
              <w:jc w:val="both"/>
            </w:pPr>
            <w:r>
              <w:rPr>
                <w:b/>
                <w:bCs/>
                <w:i/>
                <w:iCs/>
                <w:sz w:val="18"/>
                <w:szCs w:val="18"/>
              </w:rPr>
              <w:t xml:space="preserve">Producto 23: </w:t>
            </w:r>
            <w:r>
              <w:rPr>
                <w:sz w:val="18"/>
                <w:szCs w:val="18"/>
              </w:rPr>
              <w:t>Cuadro comparativo de las normas de contabilidad integrada y las normas internacionales del sector público.</w:t>
            </w:r>
          </w:p>
        </w:tc>
        <w:tc>
          <w:tcPr>
            <w:tcW w:w="1868" w:type="dxa"/>
            <w:shd w:val="clear" w:color="auto" w:fill="D9E2F3"/>
            <w:vAlign w:val="center"/>
          </w:tcPr>
          <w:p w14:paraId="3EF45B97" w14:textId="77777777" w:rsidR="00990B14" w:rsidRDefault="00000000">
            <w:pPr>
              <w:spacing w:before="20" w:after="20"/>
              <w:jc w:val="center"/>
            </w:pPr>
            <w:r>
              <w:rPr>
                <w:b/>
                <w:bCs/>
                <w:sz w:val="18"/>
                <w:szCs w:val="18"/>
              </w:rPr>
              <w:t>2%</w:t>
            </w:r>
          </w:p>
        </w:tc>
      </w:tr>
      <w:tr w:rsidR="00990B14" w14:paraId="047BBE7C" w14:textId="77777777">
        <w:trPr>
          <w:cantSplit/>
          <w:jc w:val="center"/>
        </w:trPr>
        <w:tc>
          <w:tcPr>
            <w:tcW w:w="1850" w:type="dxa"/>
            <w:vMerge/>
            <w:shd w:val="clear" w:color="auto" w:fill="4472C4"/>
            <w:vAlign w:val="center"/>
          </w:tcPr>
          <w:p w14:paraId="739355F5" w14:textId="77777777" w:rsidR="00990B14" w:rsidRDefault="00990B14">
            <w:pPr>
              <w:spacing w:before="20" w:after="20"/>
            </w:pPr>
          </w:p>
        </w:tc>
        <w:tc>
          <w:tcPr>
            <w:tcW w:w="1867" w:type="dxa"/>
            <w:shd w:val="clear" w:color="auto" w:fill="4472C4"/>
            <w:vAlign w:val="center"/>
          </w:tcPr>
          <w:p w14:paraId="76558360"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499DDEF4"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487F11D4" w14:textId="77777777" w:rsidR="00990B14" w:rsidRDefault="00000000">
            <w:pPr>
              <w:keepNext/>
              <w:spacing w:before="20" w:after="20"/>
              <w:jc w:val="center"/>
            </w:pPr>
            <w:r>
              <w:rPr>
                <w:b/>
                <w:bCs/>
                <w:i/>
                <w:iCs/>
                <w:color w:val="FFFFFF"/>
                <w:sz w:val="18"/>
                <w:szCs w:val="18"/>
              </w:rPr>
              <w:t>Suficiente (51–80)</w:t>
            </w:r>
          </w:p>
        </w:tc>
        <w:tc>
          <w:tcPr>
            <w:tcW w:w="1868" w:type="dxa"/>
            <w:shd w:val="clear" w:color="auto" w:fill="4472C4"/>
            <w:vAlign w:val="center"/>
          </w:tcPr>
          <w:p w14:paraId="4DDBCE07" w14:textId="77777777" w:rsidR="00990B14" w:rsidRDefault="00000000">
            <w:pPr>
              <w:keepNext/>
              <w:spacing w:before="20" w:after="20"/>
              <w:jc w:val="center"/>
            </w:pPr>
            <w:r>
              <w:rPr>
                <w:b/>
                <w:bCs/>
                <w:i/>
                <w:iCs/>
                <w:color w:val="FFFFFF"/>
                <w:sz w:val="18"/>
                <w:szCs w:val="18"/>
              </w:rPr>
              <w:t>Destacado (81–100)</w:t>
            </w:r>
          </w:p>
        </w:tc>
      </w:tr>
      <w:tr w:rsidR="00990B14" w14:paraId="12271225" w14:textId="77777777">
        <w:trPr>
          <w:cantSplit/>
          <w:jc w:val="center"/>
        </w:trPr>
        <w:tc>
          <w:tcPr>
            <w:tcW w:w="1850" w:type="dxa"/>
            <w:vMerge/>
            <w:shd w:val="clear" w:color="auto" w:fill="4472C4"/>
            <w:vAlign w:val="center"/>
          </w:tcPr>
          <w:p w14:paraId="1A4749A8" w14:textId="77777777" w:rsidR="00990B14" w:rsidRDefault="00990B14">
            <w:pPr>
              <w:spacing w:before="20" w:after="20"/>
            </w:pPr>
          </w:p>
        </w:tc>
        <w:tc>
          <w:tcPr>
            <w:tcW w:w="1867" w:type="dxa"/>
            <w:shd w:val="clear" w:color="auto" w:fill="D9E2F3"/>
            <w:vAlign w:val="center"/>
          </w:tcPr>
          <w:p w14:paraId="3BE164C2" w14:textId="77777777" w:rsidR="00990B14" w:rsidRDefault="00000000">
            <w:pPr>
              <w:spacing w:before="20" w:after="20"/>
              <w:jc w:val="both"/>
            </w:pPr>
            <w:r>
              <w:rPr>
                <w:sz w:val="18"/>
                <w:szCs w:val="18"/>
              </w:rPr>
              <w:t>Criterios de comparación</w:t>
            </w:r>
          </w:p>
        </w:tc>
        <w:tc>
          <w:tcPr>
            <w:tcW w:w="1910" w:type="dxa"/>
            <w:shd w:val="clear" w:color="auto" w:fill="D9E2F3"/>
            <w:vAlign w:val="center"/>
          </w:tcPr>
          <w:p w14:paraId="50E33F31" w14:textId="77777777" w:rsidR="00990B14" w:rsidRDefault="00000000">
            <w:pPr>
              <w:spacing w:before="20" w:after="20"/>
              <w:jc w:val="both"/>
            </w:pPr>
            <w:r>
              <w:rPr>
                <w:sz w:val="18"/>
                <w:szCs w:val="18"/>
              </w:rPr>
              <w:t>Compara sin criterios.</w:t>
            </w:r>
          </w:p>
        </w:tc>
        <w:tc>
          <w:tcPr>
            <w:tcW w:w="1910" w:type="dxa"/>
            <w:shd w:val="clear" w:color="auto" w:fill="D9E2F3"/>
            <w:vAlign w:val="center"/>
          </w:tcPr>
          <w:p w14:paraId="38FC170A" w14:textId="77777777" w:rsidR="00990B14" w:rsidRDefault="00000000">
            <w:pPr>
              <w:spacing w:before="20" w:after="20"/>
              <w:jc w:val="both"/>
            </w:pPr>
            <w:r>
              <w:rPr>
                <w:sz w:val="18"/>
                <w:szCs w:val="18"/>
              </w:rPr>
              <w:t>Compara por reconocimiento, medición y presentación.</w:t>
            </w:r>
          </w:p>
        </w:tc>
        <w:tc>
          <w:tcPr>
            <w:tcW w:w="1868" w:type="dxa"/>
            <w:shd w:val="clear" w:color="auto" w:fill="D9E2F3"/>
            <w:vAlign w:val="center"/>
          </w:tcPr>
          <w:p w14:paraId="3A0CA51D" w14:textId="77777777" w:rsidR="00990B14" w:rsidRDefault="00000000">
            <w:pPr>
              <w:spacing w:before="20" w:after="20"/>
              <w:jc w:val="both"/>
            </w:pPr>
            <w:r>
              <w:rPr>
                <w:sz w:val="18"/>
                <w:szCs w:val="18"/>
              </w:rPr>
              <w:t>Compara con criterios amplios y ejemplos de aplicación.</w:t>
            </w:r>
          </w:p>
        </w:tc>
      </w:tr>
      <w:tr w:rsidR="00990B14" w14:paraId="0DF0E90B" w14:textId="77777777">
        <w:trPr>
          <w:cantSplit/>
          <w:jc w:val="center"/>
        </w:trPr>
        <w:tc>
          <w:tcPr>
            <w:tcW w:w="1850" w:type="dxa"/>
            <w:vMerge/>
            <w:shd w:val="clear" w:color="auto" w:fill="4472C4"/>
            <w:vAlign w:val="center"/>
          </w:tcPr>
          <w:p w14:paraId="7FEFC94A" w14:textId="77777777" w:rsidR="00990B14" w:rsidRDefault="00990B14">
            <w:pPr>
              <w:spacing w:before="20" w:after="20"/>
            </w:pPr>
          </w:p>
        </w:tc>
        <w:tc>
          <w:tcPr>
            <w:tcW w:w="1867" w:type="dxa"/>
            <w:shd w:val="clear" w:color="auto" w:fill="D9E2F3"/>
            <w:vAlign w:val="center"/>
          </w:tcPr>
          <w:p w14:paraId="2D0A1066" w14:textId="77777777" w:rsidR="00990B14" w:rsidRDefault="00000000">
            <w:pPr>
              <w:spacing w:before="20" w:after="20"/>
              <w:jc w:val="both"/>
            </w:pPr>
            <w:r>
              <w:rPr>
                <w:sz w:val="18"/>
                <w:szCs w:val="18"/>
              </w:rPr>
              <w:t>Diferencias y similitudes</w:t>
            </w:r>
          </w:p>
        </w:tc>
        <w:tc>
          <w:tcPr>
            <w:tcW w:w="1910" w:type="dxa"/>
            <w:shd w:val="clear" w:color="auto" w:fill="D9E2F3"/>
            <w:vAlign w:val="center"/>
          </w:tcPr>
          <w:p w14:paraId="7623DDE9" w14:textId="77777777" w:rsidR="00990B14" w:rsidRDefault="00000000">
            <w:pPr>
              <w:spacing w:before="20" w:after="20"/>
              <w:jc w:val="both"/>
            </w:pPr>
            <w:r>
              <w:rPr>
                <w:sz w:val="18"/>
                <w:szCs w:val="18"/>
              </w:rPr>
              <w:t>Identifica pocas diferencias o son erróneas.</w:t>
            </w:r>
          </w:p>
        </w:tc>
        <w:tc>
          <w:tcPr>
            <w:tcW w:w="1910" w:type="dxa"/>
            <w:shd w:val="clear" w:color="auto" w:fill="D9E2F3"/>
            <w:vAlign w:val="center"/>
          </w:tcPr>
          <w:p w14:paraId="59053113" w14:textId="77777777" w:rsidR="00990B14" w:rsidRDefault="00000000">
            <w:pPr>
              <w:spacing w:before="20" w:after="20"/>
              <w:jc w:val="both"/>
            </w:pPr>
            <w:r>
              <w:rPr>
                <w:sz w:val="18"/>
                <w:szCs w:val="18"/>
              </w:rPr>
              <w:t>Identifica las principales diferencias y similitudes.</w:t>
            </w:r>
          </w:p>
        </w:tc>
        <w:tc>
          <w:tcPr>
            <w:tcW w:w="1868" w:type="dxa"/>
            <w:shd w:val="clear" w:color="auto" w:fill="D9E2F3"/>
            <w:vAlign w:val="center"/>
          </w:tcPr>
          <w:p w14:paraId="37388271" w14:textId="77777777" w:rsidR="00990B14" w:rsidRDefault="00000000">
            <w:pPr>
              <w:spacing w:before="20" w:after="20"/>
              <w:jc w:val="both"/>
            </w:pPr>
            <w:r>
              <w:rPr>
                <w:sz w:val="18"/>
                <w:szCs w:val="18"/>
              </w:rPr>
              <w:t>Explica las diferencias y su efecto en la información financiera.</w:t>
            </w:r>
          </w:p>
        </w:tc>
      </w:tr>
      <w:tr w:rsidR="00990B14" w14:paraId="2C329B3A" w14:textId="77777777">
        <w:trPr>
          <w:cantSplit/>
          <w:jc w:val="center"/>
        </w:trPr>
        <w:tc>
          <w:tcPr>
            <w:tcW w:w="1850" w:type="dxa"/>
            <w:vMerge/>
            <w:shd w:val="clear" w:color="auto" w:fill="4472C4"/>
            <w:vAlign w:val="center"/>
          </w:tcPr>
          <w:p w14:paraId="6E29031D" w14:textId="77777777" w:rsidR="00990B14" w:rsidRDefault="00990B14">
            <w:pPr>
              <w:spacing w:before="20" w:after="20"/>
            </w:pPr>
          </w:p>
        </w:tc>
        <w:tc>
          <w:tcPr>
            <w:tcW w:w="1867" w:type="dxa"/>
            <w:shd w:val="clear" w:color="auto" w:fill="D9E2F3"/>
            <w:vAlign w:val="center"/>
          </w:tcPr>
          <w:p w14:paraId="3669719D" w14:textId="77777777" w:rsidR="00990B14" w:rsidRDefault="00000000">
            <w:pPr>
              <w:spacing w:before="20" w:after="20"/>
              <w:jc w:val="both"/>
            </w:pPr>
            <w:r>
              <w:rPr>
                <w:sz w:val="18"/>
                <w:szCs w:val="18"/>
              </w:rPr>
              <w:t>Conclusión</w:t>
            </w:r>
          </w:p>
        </w:tc>
        <w:tc>
          <w:tcPr>
            <w:tcW w:w="1910" w:type="dxa"/>
            <w:shd w:val="clear" w:color="auto" w:fill="D9E2F3"/>
            <w:vAlign w:val="center"/>
          </w:tcPr>
          <w:p w14:paraId="0638541A" w14:textId="77777777" w:rsidR="00990B14" w:rsidRDefault="00000000">
            <w:pPr>
              <w:spacing w:before="20" w:after="20"/>
              <w:jc w:val="both"/>
            </w:pPr>
            <w:r>
              <w:rPr>
                <w:sz w:val="18"/>
                <w:szCs w:val="18"/>
              </w:rPr>
              <w:t>No presenta conclusión.</w:t>
            </w:r>
          </w:p>
        </w:tc>
        <w:tc>
          <w:tcPr>
            <w:tcW w:w="1910" w:type="dxa"/>
            <w:shd w:val="clear" w:color="auto" w:fill="D9E2F3"/>
            <w:vAlign w:val="center"/>
          </w:tcPr>
          <w:p w14:paraId="39FF2889" w14:textId="77777777" w:rsidR="00990B14" w:rsidRDefault="00000000">
            <w:pPr>
              <w:spacing w:before="20" w:after="20"/>
              <w:jc w:val="both"/>
            </w:pPr>
            <w:r>
              <w:rPr>
                <w:sz w:val="18"/>
                <w:szCs w:val="18"/>
              </w:rPr>
              <w:t>Presenta una conclusión general.</w:t>
            </w:r>
          </w:p>
        </w:tc>
        <w:tc>
          <w:tcPr>
            <w:tcW w:w="1868" w:type="dxa"/>
            <w:shd w:val="clear" w:color="auto" w:fill="D9E2F3"/>
            <w:vAlign w:val="center"/>
          </w:tcPr>
          <w:p w14:paraId="0CC2E75D" w14:textId="77777777" w:rsidR="00990B14" w:rsidRDefault="00000000">
            <w:pPr>
              <w:spacing w:before="20" w:after="20"/>
              <w:jc w:val="both"/>
            </w:pPr>
            <w:r>
              <w:rPr>
                <w:sz w:val="18"/>
                <w:szCs w:val="18"/>
              </w:rPr>
              <w:t>Concluye sobre la convergencia y los retos de aplicación.</w:t>
            </w:r>
          </w:p>
        </w:tc>
      </w:tr>
      <w:tr w:rsidR="00990B14" w14:paraId="3968F33C" w14:textId="77777777">
        <w:trPr>
          <w:cantSplit/>
          <w:jc w:val="center"/>
        </w:trPr>
        <w:tc>
          <w:tcPr>
            <w:tcW w:w="1850" w:type="dxa"/>
            <w:vMerge/>
            <w:shd w:val="clear" w:color="auto" w:fill="4472C4"/>
            <w:vAlign w:val="center"/>
          </w:tcPr>
          <w:p w14:paraId="2C79BBA4" w14:textId="77777777" w:rsidR="00990B14" w:rsidRDefault="00990B14">
            <w:pPr>
              <w:spacing w:before="20" w:after="20"/>
            </w:pPr>
          </w:p>
        </w:tc>
        <w:tc>
          <w:tcPr>
            <w:tcW w:w="5687" w:type="dxa"/>
            <w:gridSpan w:val="3"/>
            <w:shd w:val="clear" w:color="auto" w:fill="D9E2F3"/>
            <w:vAlign w:val="center"/>
          </w:tcPr>
          <w:p w14:paraId="55204590" w14:textId="77777777" w:rsidR="00990B14" w:rsidRDefault="00000000">
            <w:pPr>
              <w:keepNext/>
              <w:spacing w:before="20" w:after="20"/>
              <w:jc w:val="both"/>
            </w:pPr>
            <w:r>
              <w:rPr>
                <w:b/>
                <w:bCs/>
                <w:i/>
                <w:iCs/>
                <w:sz w:val="18"/>
                <w:szCs w:val="18"/>
              </w:rPr>
              <w:t xml:space="preserve">Producto 24: </w:t>
            </w:r>
            <w:r>
              <w:rPr>
                <w:sz w:val="18"/>
                <w:szCs w:val="18"/>
              </w:rPr>
              <w:t>Informe de las diferencias entre la base de efectivo y la base de devengado.</w:t>
            </w:r>
          </w:p>
        </w:tc>
        <w:tc>
          <w:tcPr>
            <w:tcW w:w="1868" w:type="dxa"/>
            <w:shd w:val="clear" w:color="auto" w:fill="D9E2F3"/>
            <w:vAlign w:val="center"/>
          </w:tcPr>
          <w:p w14:paraId="52198DFD" w14:textId="77777777" w:rsidR="00990B14" w:rsidRDefault="00000000">
            <w:pPr>
              <w:spacing w:before="20" w:after="20"/>
              <w:jc w:val="center"/>
            </w:pPr>
            <w:r>
              <w:rPr>
                <w:b/>
                <w:bCs/>
                <w:sz w:val="18"/>
                <w:szCs w:val="18"/>
              </w:rPr>
              <w:t>5%</w:t>
            </w:r>
          </w:p>
        </w:tc>
      </w:tr>
      <w:tr w:rsidR="00990B14" w14:paraId="54E46374" w14:textId="77777777">
        <w:trPr>
          <w:cantSplit/>
          <w:jc w:val="center"/>
        </w:trPr>
        <w:tc>
          <w:tcPr>
            <w:tcW w:w="1850" w:type="dxa"/>
            <w:vMerge/>
            <w:shd w:val="clear" w:color="auto" w:fill="4472C4"/>
            <w:vAlign w:val="center"/>
          </w:tcPr>
          <w:p w14:paraId="0A4813DA" w14:textId="77777777" w:rsidR="00990B14" w:rsidRDefault="00990B14">
            <w:pPr>
              <w:spacing w:before="20" w:after="20"/>
            </w:pPr>
          </w:p>
        </w:tc>
        <w:tc>
          <w:tcPr>
            <w:tcW w:w="1867" w:type="dxa"/>
            <w:shd w:val="clear" w:color="auto" w:fill="4472C4"/>
            <w:vAlign w:val="center"/>
          </w:tcPr>
          <w:p w14:paraId="0A2E3783"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2A14619A"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6AF10F95" w14:textId="77777777" w:rsidR="00990B14" w:rsidRDefault="00000000">
            <w:pPr>
              <w:keepNext/>
              <w:spacing w:before="20" w:after="20"/>
              <w:jc w:val="center"/>
            </w:pPr>
            <w:r>
              <w:rPr>
                <w:b/>
                <w:bCs/>
                <w:i/>
                <w:iCs/>
                <w:color w:val="FFFFFF"/>
                <w:sz w:val="18"/>
                <w:szCs w:val="18"/>
              </w:rPr>
              <w:t>Suficiente (51–80)</w:t>
            </w:r>
          </w:p>
        </w:tc>
        <w:tc>
          <w:tcPr>
            <w:tcW w:w="1868" w:type="dxa"/>
            <w:shd w:val="clear" w:color="auto" w:fill="4472C4"/>
            <w:vAlign w:val="center"/>
          </w:tcPr>
          <w:p w14:paraId="3CEFC1A3" w14:textId="77777777" w:rsidR="00990B14" w:rsidRDefault="00000000">
            <w:pPr>
              <w:keepNext/>
              <w:spacing w:before="20" w:after="20"/>
              <w:jc w:val="center"/>
            </w:pPr>
            <w:r>
              <w:rPr>
                <w:b/>
                <w:bCs/>
                <w:i/>
                <w:iCs/>
                <w:color w:val="FFFFFF"/>
                <w:sz w:val="18"/>
                <w:szCs w:val="18"/>
              </w:rPr>
              <w:t>Destacado (81–100)</w:t>
            </w:r>
          </w:p>
        </w:tc>
      </w:tr>
      <w:tr w:rsidR="00990B14" w14:paraId="520F0C52" w14:textId="77777777">
        <w:trPr>
          <w:cantSplit/>
          <w:jc w:val="center"/>
        </w:trPr>
        <w:tc>
          <w:tcPr>
            <w:tcW w:w="1850" w:type="dxa"/>
            <w:vMerge/>
            <w:shd w:val="clear" w:color="auto" w:fill="4472C4"/>
            <w:vAlign w:val="center"/>
          </w:tcPr>
          <w:p w14:paraId="58C83FCB" w14:textId="77777777" w:rsidR="00990B14" w:rsidRDefault="00990B14">
            <w:pPr>
              <w:spacing w:before="20" w:after="20"/>
            </w:pPr>
          </w:p>
        </w:tc>
        <w:tc>
          <w:tcPr>
            <w:tcW w:w="1867" w:type="dxa"/>
            <w:shd w:val="clear" w:color="auto" w:fill="D9E2F3"/>
            <w:vAlign w:val="center"/>
          </w:tcPr>
          <w:p w14:paraId="154422BE" w14:textId="77777777" w:rsidR="00990B14" w:rsidRDefault="00000000">
            <w:pPr>
              <w:spacing w:before="20" w:after="20"/>
              <w:jc w:val="both"/>
            </w:pPr>
            <w:r>
              <w:rPr>
                <w:sz w:val="18"/>
                <w:szCs w:val="18"/>
              </w:rPr>
              <w:t>Conceptos de las bases</w:t>
            </w:r>
          </w:p>
        </w:tc>
        <w:tc>
          <w:tcPr>
            <w:tcW w:w="1910" w:type="dxa"/>
            <w:shd w:val="clear" w:color="auto" w:fill="D9E2F3"/>
            <w:vAlign w:val="center"/>
          </w:tcPr>
          <w:p w14:paraId="71F59E40" w14:textId="77777777" w:rsidR="00990B14" w:rsidRDefault="00000000">
            <w:pPr>
              <w:spacing w:before="20" w:after="20"/>
              <w:jc w:val="both"/>
            </w:pPr>
            <w:r>
              <w:rPr>
                <w:sz w:val="18"/>
                <w:szCs w:val="18"/>
              </w:rPr>
              <w:t>Confunde las bases de registro.</w:t>
            </w:r>
          </w:p>
        </w:tc>
        <w:tc>
          <w:tcPr>
            <w:tcW w:w="1910" w:type="dxa"/>
            <w:shd w:val="clear" w:color="auto" w:fill="D9E2F3"/>
            <w:vAlign w:val="center"/>
          </w:tcPr>
          <w:p w14:paraId="76C4E52C" w14:textId="77777777" w:rsidR="00990B14" w:rsidRDefault="00000000">
            <w:pPr>
              <w:spacing w:before="20" w:after="20"/>
              <w:jc w:val="both"/>
            </w:pPr>
            <w:r>
              <w:rPr>
                <w:sz w:val="18"/>
                <w:szCs w:val="18"/>
              </w:rPr>
              <w:t>Define la base de efectivo y la base de devengado.</w:t>
            </w:r>
          </w:p>
        </w:tc>
        <w:tc>
          <w:tcPr>
            <w:tcW w:w="1868" w:type="dxa"/>
            <w:shd w:val="clear" w:color="auto" w:fill="D9E2F3"/>
            <w:vAlign w:val="center"/>
          </w:tcPr>
          <w:p w14:paraId="7A98C6C9" w14:textId="77777777" w:rsidR="00990B14" w:rsidRDefault="00000000">
            <w:pPr>
              <w:spacing w:before="20" w:after="20"/>
              <w:jc w:val="both"/>
            </w:pPr>
            <w:r>
              <w:rPr>
                <w:sz w:val="18"/>
                <w:szCs w:val="18"/>
              </w:rPr>
              <w:t>Define ambas bases y explica sus ventajas y limitaciones.</w:t>
            </w:r>
          </w:p>
        </w:tc>
      </w:tr>
      <w:tr w:rsidR="00990B14" w14:paraId="3813E3F1" w14:textId="77777777">
        <w:trPr>
          <w:cantSplit/>
          <w:jc w:val="center"/>
        </w:trPr>
        <w:tc>
          <w:tcPr>
            <w:tcW w:w="1850" w:type="dxa"/>
            <w:vMerge/>
            <w:shd w:val="clear" w:color="auto" w:fill="4472C4"/>
            <w:vAlign w:val="center"/>
          </w:tcPr>
          <w:p w14:paraId="26589702" w14:textId="77777777" w:rsidR="00990B14" w:rsidRDefault="00990B14">
            <w:pPr>
              <w:spacing w:before="20" w:after="20"/>
            </w:pPr>
          </w:p>
        </w:tc>
        <w:tc>
          <w:tcPr>
            <w:tcW w:w="1867" w:type="dxa"/>
            <w:shd w:val="clear" w:color="auto" w:fill="D9E2F3"/>
            <w:vAlign w:val="center"/>
          </w:tcPr>
          <w:p w14:paraId="2FA5ECD0" w14:textId="77777777" w:rsidR="00990B14" w:rsidRDefault="00000000">
            <w:pPr>
              <w:spacing w:before="20" w:after="20"/>
              <w:jc w:val="both"/>
            </w:pPr>
            <w:r>
              <w:rPr>
                <w:sz w:val="18"/>
                <w:szCs w:val="18"/>
              </w:rPr>
              <w:t>Aplicación en transacciones</w:t>
            </w:r>
          </w:p>
        </w:tc>
        <w:tc>
          <w:tcPr>
            <w:tcW w:w="1910" w:type="dxa"/>
            <w:shd w:val="clear" w:color="auto" w:fill="D9E2F3"/>
            <w:vAlign w:val="center"/>
          </w:tcPr>
          <w:p w14:paraId="0B7AAD2D" w14:textId="77777777" w:rsidR="00990B14" w:rsidRDefault="00000000">
            <w:pPr>
              <w:spacing w:before="20" w:after="20"/>
              <w:jc w:val="both"/>
            </w:pPr>
            <w:r>
              <w:rPr>
                <w:sz w:val="18"/>
                <w:szCs w:val="18"/>
              </w:rPr>
              <w:t>No aplica ejemplos o son incorrectos.</w:t>
            </w:r>
          </w:p>
        </w:tc>
        <w:tc>
          <w:tcPr>
            <w:tcW w:w="1910" w:type="dxa"/>
            <w:shd w:val="clear" w:color="auto" w:fill="D9E2F3"/>
            <w:vAlign w:val="center"/>
          </w:tcPr>
          <w:p w14:paraId="7C524101" w14:textId="77777777" w:rsidR="00990B14" w:rsidRDefault="00000000">
            <w:pPr>
              <w:spacing w:before="20" w:after="20"/>
              <w:jc w:val="both"/>
            </w:pPr>
            <w:r>
              <w:rPr>
                <w:sz w:val="18"/>
                <w:szCs w:val="18"/>
              </w:rPr>
              <w:t>Aplica ejemplos básicos con ambas bases.</w:t>
            </w:r>
          </w:p>
        </w:tc>
        <w:tc>
          <w:tcPr>
            <w:tcW w:w="1868" w:type="dxa"/>
            <w:shd w:val="clear" w:color="auto" w:fill="D9E2F3"/>
            <w:vAlign w:val="center"/>
          </w:tcPr>
          <w:p w14:paraId="7A94C343" w14:textId="77777777" w:rsidR="00990B14" w:rsidRDefault="00000000">
            <w:pPr>
              <w:spacing w:before="20" w:after="20"/>
              <w:jc w:val="both"/>
            </w:pPr>
            <w:r>
              <w:rPr>
                <w:sz w:val="18"/>
                <w:szCs w:val="18"/>
              </w:rPr>
              <w:t>Aplica ejemplos con cifras y compara los registros.</w:t>
            </w:r>
          </w:p>
        </w:tc>
      </w:tr>
      <w:tr w:rsidR="00990B14" w14:paraId="6FD2E712" w14:textId="77777777">
        <w:trPr>
          <w:cantSplit/>
          <w:jc w:val="center"/>
        </w:trPr>
        <w:tc>
          <w:tcPr>
            <w:tcW w:w="1850" w:type="dxa"/>
            <w:vMerge/>
            <w:shd w:val="clear" w:color="auto" w:fill="4472C4"/>
            <w:vAlign w:val="center"/>
          </w:tcPr>
          <w:p w14:paraId="6E1C5F1A" w14:textId="77777777" w:rsidR="00990B14" w:rsidRDefault="00990B14">
            <w:pPr>
              <w:spacing w:before="20" w:after="20"/>
            </w:pPr>
          </w:p>
        </w:tc>
        <w:tc>
          <w:tcPr>
            <w:tcW w:w="1867" w:type="dxa"/>
            <w:shd w:val="clear" w:color="auto" w:fill="D9E2F3"/>
            <w:vAlign w:val="center"/>
          </w:tcPr>
          <w:p w14:paraId="51795E62" w14:textId="77777777" w:rsidR="00990B14" w:rsidRDefault="00000000">
            <w:pPr>
              <w:spacing w:before="20" w:after="20"/>
              <w:jc w:val="both"/>
            </w:pPr>
            <w:r>
              <w:rPr>
                <w:sz w:val="18"/>
                <w:szCs w:val="18"/>
              </w:rPr>
              <w:t>Efecto en los estados financieros</w:t>
            </w:r>
          </w:p>
        </w:tc>
        <w:tc>
          <w:tcPr>
            <w:tcW w:w="1910" w:type="dxa"/>
            <w:shd w:val="clear" w:color="auto" w:fill="D9E2F3"/>
            <w:vAlign w:val="center"/>
          </w:tcPr>
          <w:p w14:paraId="3826ABD8" w14:textId="77777777" w:rsidR="00990B14" w:rsidRDefault="00000000">
            <w:pPr>
              <w:spacing w:before="20" w:after="20"/>
              <w:jc w:val="both"/>
            </w:pPr>
            <w:r>
              <w:rPr>
                <w:sz w:val="18"/>
                <w:szCs w:val="18"/>
              </w:rPr>
              <w:t>No identifica el efecto.</w:t>
            </w:r>
          </w:p>
        </w:tc>
        <w:tc>
          <w:tcPr>
            <w:tcW w:w="1910" w:type="dxa"/>
            <w:shd w:val="clear" w:color="auto" w:fill="D9E2F3"/>
            <w:vAlign w:val="center"/>
          </w:tcPr>
          <w:p w14:paraId="3E9B59EE" w14:textId="77777777" w:rsidR="00990B14" w:rsidRDefault="00000000">
            <w:pPr>
              <w:spacing w:before="20" w:after="20"/>
              <w:jc w:val="both"/>
            </w:pPr>
            <w:r>
              <w:rPr>
                <w:sz w:val="18"/>
                <w:szCs w:val="18"/>
              </w:rPr>
              <w:t>Identifica el efecto en los resultados y saldos.</w:t>
            </w:r>
          </w:p>
        </w:tc>
        <w:tc>
          <w:tcPr>
            <w:tcW w:w="1868" w:type="dxa"/>
            <w:shd w:val="clear" w:color="auto" w:fill="D9E2F3"/>
            <w:vAlign w:val="center"/>
          </w:tcPr>
          <w:p w14:paraId="68D5DED8" w14:textId="77777777" w:rsidR="00990B14" w:rsidRDefault="00000000">
            <w:pPr>
              <w:spacing w:before="20" w:after="20"/>
              <w:jc w:val="both"/>
            </w:pPr>
            <w:r>
              <w:rPr>
                <w:sz w:val="18"/>
                <w:szCs w:val="18"/>
              </w:rPr>
              <w:t>Analiza el efecto en la información financiera y en la toma de decisiones.</w:t>
            </w:r>
          </w:p>
        </w:tc>
      </w:tr>
      <w:tr w:rsidR="00990B14" w14:paraId="33F9D2BD" w14:textId="77777777">
        <w:trPr>
          <w:cantSplit/>
          <w:jc w:val="center"/>
        </w:trPr>
        <w:tc>
          <w:tcPr>
            <w:tcW w:w="7537" w:type="dxa"/>
            <w:gridSpan w:val="4"/>
            <w:shd w:val="clear" w:color="auto" w:fill="4472C4"/>
            <w:vAlign w:val="center"/>
          </w:tcPr>
          <w:p w14:paraId="08F79F3E" w14:textId="77777777" w:rsidR="00990B14" w:rsidRDefault="00000000">
            <w:pPr>
              <w:keepNext/>
              <w:spacing w:before="20" w:after="20"/>
              <w:jc w:val="center"/>
            </w:pPr>
            <w:r>
              <w:rPr>
                <w:b/>
                <w:bCs/>
                <w:i/>
                <w:iCs/>
                <w:color w:val="FFFFFF"/>
                <w:sz w:val="18"/>
                <w:szCs w:val="18"/>
              </w:rPr>
              <w:t>TOTAL</w:t>
            </w:r>
          </w:p>
        </w:tc>
        <w:tc>
          <w:tcPr>
            <w:tcW w:w="1868" w:type="dxa"/>
            <w:shd w:val="clear" w:color="auto" w:fill="4472C4"/>
            <w:vAlign w:val="center"/>
          </w:tcPr>
          <w:p w14:paraId="1EA4D130" w14:textId="77777777" w:rsidR="00990B14" w:rsidRDefault="00000000">
            <w:pPr>
              <w:keepNext/>
              <w:spacing w:before="20" w:after="20"/>
              <w:jc w:val="center"/>
            </w:pPr>
            <w:r>
              <w:rPr>
                <w:b/>
                <w:bCs/>
                <w:i/>
                <w:iCs/>
                <w:color w:val="FFFFFF"/>
                <w:sz w:val="18"/>
                <w:szCs w:val="18"/>
              </w:rPr>
              <w:t>100%</w:t>
            </w:r>
          </w:p>
        </w:tc>
      </w:tr>
    </w:tbl>
    <w:p w14:paraId="12166E43"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9405"/>
      </w:tblGrid>
      <w:tr w:rsidR="00990B14" w14:paraId="64621782" w14:textId="77777777">
        <w:trPr>
          <w:jc w:val="center"/>
        </w:trPr>
        <w:tc>
          <w:tcPr>
            <w:tcW w:w="9405" w:type="dxa"/>
            <w:shd w:val="clear" w:color="auto" w:fill="D9E2F3"/>
          </w:tcPr>
          <w:p w14:paraId="0190AC67" w14:textId="77777777" w:rsidR="00990B14" w:rsidRDefault="00000000">
            <w:pPr>
              <w:spacing w:before="40" w:after="40"/>
              <w:jc w:val="both"/>
            </w:pPr>
            <w:r>
              <w:rPr>
                <w:b/>
                <w:bCs/>
                <w:i/>
                <w:iCs/>
                <w:sz w:val="18"/>
                <w:szCs w:val="18"/>
              </w:rPr>
              <w:t>Bibliografía básica:</w:t>
            </w:r>
          </w:p>
          <w:p w14:paraId="26329767" w14:textId="77777777" w:rsidR="00990B14" w:rsidRDefault="00000000">
            <w:pPr>
              <w:numPr>
                <w:ilvl w:val="0"/>
                <w:numId w:val="140"/>
              </w:numPr>
              <w:spacing w:after="20"/>
              <w:jc w:val="both"/>
            </w:pPr>
            <w:r>
              <w:rPr>
                <w:sz w:val="18"/>
                <w:szCs w:val="18"/>
              </w:rPr>
              <w:t>Colegio de Auditores o Contadores Públicos de Bolivia, CAUB – Consejo Técnico Nacional de Auditoría y Contabilidad, CTNAC (2023). Compendio de Normas de Contabilidad y Auditoría. Santa Cruz, Bolivia: CAUB.</w:t>
            </w:r>
          </w:p>
          <w:p w14:paraId="7DE715CB" w14:textId="77777777" w:rsidR="00990B14" w:rsidRDefault="00000000">
            <w:pPr>
              <w:numPr>
                <w:ilvl w:val="0"/>
                <w:numId w:val="140"/>
              </w:numPr>
              <w:spacing w:after="20"/>
              <w:jc w:val="both"/>
            </w:pPr>
            <w:r>
              <w:rPr>
                <w:sz w:val="18"/>
                <w:szCs w:val="18"/>
              </w:rPr>
              <w:t>Consejo de Normas Internacionales de Contabilidad del Sector Público, IPSASB (2022). Normas Internacionales de Contabilidad del Sector Público. Nueva York: Federación Internacional de Contadores, IFAC.</w:t>
            </w:r>
          </w:p>
          <w:p w14:paraId="253C0E1D" w14:textId="77777777" w:rsidR="00990B14" w:rsidRDefault="00000000">
            <w:pPr>
              <w:numPr>
                <w:ilvl w:val="0"/>
                <w:numId w:val="140"/>
              </w:numPr>
              <w:spacing w:after="20"/>
              <w:jc w:val="both"/>
            </w:pPr>
            <w:r>
              <w:rPr>
                <w:sz w:val="18"/>
                <w:szCs w:val="18"/>
              </w:rPr>
              <w:t>Estado Plurinacional de Bolivia (1990). Ley N.º 1178, de Administración y Control Gubernamentales, de 20 de julio de 1990. La Paz: Gaceta Oficial de Bolivia.</w:t>
            </w:r>
          </w:p>
          <w:p w14:paraId="0BF6260F" w14:textId="77777777" w:rsidR="00990B14" w:rsidRDefault="00000000">
            <w:pPr>
              <w:numPr>
                <w:ilvl w:val="0"/>
                <w:numId w:val="140"/>
              </w:numPr>
              <w:spacing w:after="20"/>
              <w:jc w:val="both"/>
            </w:pPr>
            <w:r>
              <w:rPr>
                <w:sz w:val="18"/>
                <w:szCs w:val="18"/>
              </w:rPr>
              <w:t>Estado Plurinacional de Bolivia (1992). Decreto Supremo N.º 23215, Atribuciones de la Contraloría General de la República, hoy Contraloría General del Estado. La Paz: Gaceta Oficial de Bolivia.</w:t>
            </w:r>
          </w:p>
          <w:p w14:paraId="7D1ED7C6" w14:textId="77777777" w:rsidR="00990B14" w:rsidRDefault="00000000">
            <w:pPr>
              <w:numPr>
                <w:ilvl w:val="0"/>
                <w:numId w:val="140"/>
              </w:numPr>
              <w:spacing w:after="20"/>
              <w:jc w:val="both"/>
            </w:pPr>
            <w:r>
              <w:rPr>
                <w:sz w:val="18"/>
                <w:szCs w:val="18"/>
              </w:rPr>
              <w:t>Estado Plurinacional de Bolivia (1992). Decreto Supremo N.º 23318-A, Régimen de Responsabilidad por la Función Pública, modificado por el Decreto Supremo N.º 26237. La Paz: Gaceta Oficial de Bolivia.</w:t>
            </w:r>
          </w:p>
          <w:p w14:paraId="2348CE54" w14:textId="77777777" w:rsidR="00990B14" w:rsidRDefault="00000000">
            <w:pPr>
              <w:numPr>
                <w:ilvl w:val="0"/>
                <w:numId w:val="140"/>
              </w:numPr>
              <w:spacing w:after="20"/>
              <w:jc w:val="both"/>
            </w:pPr>
            <w:r>
              <w:rPr>
                <w:sz w:val="18"/>
                <w:szCs w:val="18"/>
              </w:rPr>
              <w:t>Estado Plurinacional de Bolivia (1999). Ley N.º 2042, de Administración Presupuestaria. La Paz: Gaceta Oficial de Bolivia.</w:t>
            </w:r>
          </w:p>
          <w:p w14:paraId="3B2028AF" w14:textId="77777777" w:rsidR="00990B14" w:rsidRDefault="00000000">
            <w:pPr>
              <w:numPr>
                <w:ilvl w:val="0"/>
                <w:numId w:val="140"/>
              </w:numPr>
              <w:spacing w:after="20"/>
              <w:jc w:val="both"/>
            </w:pPr>
            <w:r>
              <w:rPr>
                <w:sz w:val="18"/>
                <w:szCs w:val="18"/>
              </w:rPr>
              <w:t>Estado Plurinacional de Bolivia (2009). Constitución Política del Estado, de 7 de febrero de 2009. La Paz: Gaceta Oficial de Bolivia.</w:t>
            </w:r>
          </w:p>
          <w:p w14:paraId="5BC595F1" w14:textId="77777777" w:rsidR="00990B14" w:rsidRDefault="00000000">
            <w:pPr>
              <w:numPr>
                <w:ilvl w:val="0"/>
                <w:numId w:val="140"/>
              </w:numPr>
              <w:spacing w:after="20"/>
              <w:jc w:val="both"/>
            </w:pPr>
            <w:r>
              <w:rPr>
                <w:sz w:val="18"/>
                <w:szCs w:val="18"/>
              </w:rPr>
              <w:t>Estado Plurinacional de Bolivia (2010). Ley N.º 004, Ley de Lucha contra la Corrupción, Enriquecimiento Ilícito e Investigación de Fortunas "Marcelo Quiroga Santa Cruz", de 31 de marzo de 2010. La Paz: Gaceta Oficial de Bolivia.</w:t>
            </w:r>
          </w:p>
          <w:p w14:paraId="46162C9F" w14:textId="77777777" w:rsidR="00990B14" w:rsidRDefault="00000000">
            <w:pPr>
              <w:numPr>
                <w:ilvl w:val="0"/>
                <w:numId w:val="140"/>
              </w:numPr>
              <w:spacing w:after="20"/>
              <w:jc w:val="both"/>
            </w:pPr>
            <w:r>
              <w:rPr>
                <w:sz w:val="18"/>
                <w:szCs w:val="18"/>
              </w:rPr>
              <w:t>Estado Plurinacional de Bolivia (2016). Ley N.º 777, del Sistema de Planificación Integral del Estado, de 21 de enero de 2016. La Paz: Gaceta Oficial de Bolivia.</w:t>
            </w:r>
          </w:p>
          <w:p w14:paraId="5BBAA315" w14:textId="77777777" w:rsidR="00990B14" w:rsidRDefault="00000000">
            <w:pPr>
              <w:numPr>
                <w:ilvl w:val="0"/>
                <w:numId w:val="140"/>
              </w:numPr>
              <w:spacing w:after="20"/>
              <w:jc w:val="both"/>
            </w:pPr>
            <w:r>
              <w:rPr>
                <w:sz w:val="18"/>
                <w:szCs w:val="18"/>
              </w:rPr>
              <w:t>Estado Plurinacional de Bolivia (2025). Ley N.º 1705, que aprueba el Presupuesto General del Estado de la gestión 2026, de 31 de diciembre de 2025. La Paz: Gaceta Oficial de Bolivia.</w:t>
            </w:r>
          </w:p>
          <w:p w14:paraId="220F35DF" w14:textId="77777777" w:rsidR="00990B14" w:rsidRDefault="00000000">
            <w:pPr>
              <w:numPr>
                <w:ilvl w:val="0"/>
                <w:numId w:val="140"/>
              </w:numPr>
              <w:spacing w:after="20"/>
              <w:jc w:val="both"/>
            </w:pPr>
            <w:r>
              <w:rPr>
                <w:sz w:val="18"/>
                <w:szCs w:val="18"/>
              </w:rPr>
              <w:t>Ministerio de Economía y Finanzas Públicas (s.f.). Clasificadores Presupuestarios. La Paz, Bolivia.</w:t>
            </w:r>
          </w:p>
          <w:p w14:paraId="3C926C4D" w14:textId="77777777" w:rsidR="00990B14" w:rsidRDefault="00000000">
            <w:pPr>
              <w:numPr>
                <w:ilvl w:val="0"/>
                <w:numId w:val="140"/>
              </w:numPr>
              <w:spacing w:after="20"/>
              <w:jc w:val="both"/>
            </w:pPr>
            <w:r>
              <w:rPr>
                <w:sz w:val="18"/>
                <w:szCs w:val="18"/>
              </w:rPr>
              <w:t>Ministerio de Economía y Finanzas Públicas (s.f.). Directrices de Formulación Presupuestaria y Guías Operativas del Sistema de Gestión Pública (SIGEP). La Paz, Bolivia.</w:t>
            </w:r>
          </w:p>
          <w:p w14:paraId="585199F7" w14:textId="77777777" w:rsidR="00990B14" w:rsidRDefault="00000000">
            <w:pPr>
              <w:numPr>
                <w:ilvl w:val="0"/>
                <w:numId w:val="140"/>
              </w:numPr>
              <w:spacing w:after="20"/>
              <w:jc w:val="both"/>
            </w:pPr>
            <w:r>
              <w:rPr>
                <w:sz w:val="18"/>
                <w:szCs w:val="18"/>
              </w:rPr>
              <w:t>Ministerio de Economía y Finanzas Públicas (s.f.). Instructivos y Guías. La Paz, Bolivia.</w:t>
            </w:r>
          </w:p>
          <w:p w14:paraId="4D8C8A52" w14:textId="77777777" w:rsidR="00990B14" w:rsidRDefault="00000000">
            <w:pPr>
              <w:numPr>
                <w:ilvl w:val="0"/>
                <w:numId w:val="140"/>
              </w:numPr>
              <w:spacing w:after="20"/>
              <w:jc w:val="both"/>
            </w:pPr>
            <w:r>
              <w:rPr>
                <w:sz w:val="18"/>
                <w:szCs w:val="18"/>
              </w:rPr>
              <w:t>Ministerio de Economía y Finanzas Públicas (s.f.). Manual de contabilidad del sector público. La Paz, Bolivia.</w:t>
            </w:r>
          </w:p>
          <w:p w14:paraId="23A353B7" w14:textId="77777777" w:rsidR="00990B14" w:rsidRDefault="00000000">
            <w:pPr>
              <w:numPr>
                <w:ilvl w:val="0"/>
                <w:numId w:val="140"/>
              </w:numPr>
              <w:spacing w:after="20"/>
              <w:jc w:val="both"/>
            </w:pPr>
            <w:r>
              <w:rPr>
                <w:sz w:val="18"/>
                <w:szCs w:val="18"/>
              </w:rPr>
              <w:t>Ministerio de Economía y Finanzas Públicas (s.f.). Normas Básicas del Sistema de Contabilidad Integrada. La Paz, Bolivia.</w:t>
            </w:r>
          </w:p>
          <w:p w14:paraId="4BCF6AD9" w14:textId="77777777" w:rsidR="00990B14" w:rsidRDefault="00000000">
            <w:pPr>
              <w:numPr>
                <w:ilvl w:val="0"/>
                <w:numId w:val="140"/>
              </w:numPr>
              <w:spacing w:after="20"/>
              <w:jc w:val="both"/>
            </w:pPr>
            <w:r>
              <w:rPr>
                <w:sz w:val="18"/>
                <w:szCs w:val="18"/>
              </w:rPr>
              <w:t>Ministerio de Economía y Finanzas Públicas (s.f.). Normas Básicas del Sistema de Crédito Público. La Paz, Bolivia.</w:t>
            </w:r>
          </w:p>
          <w:p w14:paraId="6F42D8BA" w14:textId="77777777" w:rsidR="00990B14" w:rsidRDefault="00000000">
            <w:pPr>
              <w:numPr>
                <w:ilvl w:val="0"/>
                <w:numId w:val="140"/>
              </w:numPr>
              <w:spacing w:after="20"/>
              <w:jc w:val="both"/>
            </w:pPr>
            <w:r>
              <w:rPr>
                <w:sz w:val="18"/>
                <w:szCs w:val="18"/>
              </w:rPr>
              <w:t>Ministerio de Economía y Finanzas Públicas (s.f.). Normas Básicas del Sistema de Presupuesto. La Paz, Bolivia.</w:t>
            </w:r>
          </w:p>
          <w:p w14:paraId="728145DD" w14:textId="77777777" w:rsidR="00990B14" w:rsidRDefault="00000000">
            <w:pPr>
              <w:numPr>
                <w:ilvl w:val="0"/>
                <w:numId w:val="140"/>
              </w:numPr>
              <w:spacing w:after="20"/>
              <w:jc w:val="both"/>
            </w:pPr>
            <w:r>
              <w:rPr>
                <w:sz w:val="18"/>
                <w:szCs w:val="18"/>
              </w:rPr>
              <w:t>Ministerio de Economía y Finanzas Públicas (s.f.). Normas Básicas del Sistema de Tesorería. La Paz, Bolivia.</w:t>
            </w:r>
          </w:p>
        </w:tc>
      </w:tr>
      <w:tr w:rsidR="00990B14" w14:paraId="1DEFD9D7" w14:textId="77777777">
        <w:trPr>
          <w:jc w:val="center"/>
        </w:trPr>
        <w:tc>
          <w:tcPr>
            <w:tcW w:w="9405" w:type="dxa"/>
            <w:shd w:val="clear" w:color="auto" w:fill="D9E2F3"/>
          </w:tcPr>
          <w:p w14:paraId="222CC98B" w14:textId="77777777" w:rsidR="00990B14" w:rsidRDefault="00000000">
            <w:pPr>
              <w:spacing w:before="40" w:after="40"/>
              <w:jc w:val="both"/>
            </w:pPr>
            <w:r>
              <w:rPr>
                <w:b/>
                <w:bCs/>
                <w:i/>
                <w:iCs/>
                <w:sz w:val="18"/>
                <w:szCs w:val="18"/>
              </w:rPr>
              <w:t>Bibliografía complementaria:</w:t>
            </w:r>
          </w:p>
          <w:p w14:paraId="2B3CA1E1" w14:textId="77777777" w:rsidR="00990B14" w:rsidRDefault="00000000">
            <w:pPr>
              <w:numPr>
                <w:ilvl w:val="0"/>
                <w:numId w:val="140"/>
              </w:numPr>
              <w:spacing w:after="20"/>
              <w:jc w:val="both"/>
            </w:pPr>
            <w:r>
              <w:rPr>
                <w:sz w:val="18"/>
                <w:szCs w:val="18"/>
              </w:rPr>
              <w:t>Consejo de Normas Internacionales de Contabilidad del Sector Público, IPSASB (s.f.). NICSP 1 Presentación de estados financieros y NICSP 24 Presentación de información del presupuesto en los estados financieros. Nueva York: Federación Internacional de Contadores, IFAC.</w:t>
            </w:r>
          </w:p>
          <w:p w14:paraId="501AFA0C" w14:textId="77777777" w:rsidR="00990B14" w:rsidRDefault="00000000">
            <w:pPr>
              <w:numPr>
                <w:ilvl w:val="0"/>
                <w:numId w:val="140"/>
              </w:numPr>
              <w:spacing w:after="20"/>
              <w:jc w:val="both"/>
            </w:pPr>
            <w:r>
              <w:rPr>
                <w:sz w:val="18"/>
                <w:szCs w:val="18"/>
              </w:rPr>
              <w:t>Contraloría General del Estado (s.f.). Normas Básicas de Control Gubernamental y guías de auditoría gubernamental. La Paz, Bolivia.</w:t>
            </w:r>
          </w:p>
          <w:p w14:paraId="35F778E0" w14:textId="77777777" w:rsidR="00990B14" w:rsidRDefault="00000000">
            <w:pPr>
              <w:numPr>
                <w:ilvl w:val="0"/>
                <w:numId w:val="140"/>
              </w:numPr>
              <w:spacing w:after="20"/>
              <w:jc w:val="both"/>
            </w:pPr>
            <w:r>
              <w:rPr>
                <w:sz w:val="18"/>
                <w:szCs w:val="18"/>
              </w:rPr>
              <w:t>Lafuente Araníbar, J. (2012). Contabilidad Integrada Gubernamental. 5ª ed. Editorial Educación y Cultura.</w:t>
            </w:r>
          </w:p>
          <w:p w14:paraId="71E4ED08" w14:textId="77777777" w:rsidR="00990B14" w:rsidRDefault="00000000">
            <w:pPr>
              <w:numPr>
                <w:ilvl w:val="0"/>
                <w:numId w:val="140"/>
              </w:numPr>
              <w:spacing w:after="20"/>
              <w:jc w:val="both"/>
            </w:pPr>
            <w:r>
              <w:rPr>
                <w:sz w:val="18"/>
                <w:szCs w:val="18"/>
              </w:rPr>
              <w:t>Marca Aguilar, F. (2016). Contabilidad Integrada: Ejercicios 100% Prácticos. Cochabamba, Bolivia: Editorial Mite.</w:t>
            </w:r>
          </w:p>
          <w:p w14:paraId="76664CEE" w14:textId="77777777" w:rsidR="00990B14" w:rsidRDefault="00000000">
            <w:pPr>
              <w:numPr>
                <w:ilvl w:val="0"/>
                <w:numId w:val="140"/>
              </w:numPr>
              <w:spacing w:after="20"/>
              <w:jc w:val="both"/>
            </w:pPr>
            <w:r>
              <w:rPr>
                <w:sz w:val="18"/>
                <w:szCs w:val="18"/>
              </w:rPr>
              <w:t>Marca Aguilar, F. (2017). Contabilidad Integrada Gubernamental: Ajustes y Análisis de Consistencia Presupuestario. Cochabamba, Bolivia: Editorial Mite.</w:t>
            </w:r>
          </w:p>
          <w:p w14:paraId="4DA23E92" w14:textId="77777777" w:rsidR="00990B14" w:rsidRDefault="00000000">
            <w:pPr>
              <w:numPr>
                <w:ilvl w:val="0"/>
                <w:numId w:val="140"/>
              </w:numPr>
              <w:spacing w:after="20"/>
              <w:jc w:val="both"/>
            </w:pPr>
            <w:r>
              <w:rPr>
                <w:sz w:val="18"/>
                <w:szCs w:val="18"/>
              </w:rPr>
              <w:t>Ministerio de Planificación del Desarrollo (s.f.). Plan de Desarrollo Económico y Social y Plan General de Desarrollo Económico y Social vigentes. La Paz, Bolivia.</w:t>
            </w:r>
          </w:p>
          <w:p w14:paraId="64474778" w14:textId="77777777" w:rsidR="00990B14" w:rsidRDefault="00000000">
            <w:pPr>
              <w:numPr>
                <w:ilvl w:val="0"/>
                <w:numId w:val="140"/>
              </w:numPr>
              <w:spacing w:after="20"/>
              <w:jc w:val="both"/>
            </w:pPr>
            <w:r>
              <w:rPr>
                <w:sz w:val="18"/>
                <w:szCs w:val="18"/>
              </w:rPr>
              <w:t>Sitios web oficiales: Ministerio de Economía y Finanzas Públicas, www.economiayfinanzas.gob.bo; Ministerio de Planificación del Desarrollo, www.planificacion.gob.bo; Contraloría General del Estado, www.contraloria.gob.bo.</w:t>
            </w:r>
          </w:p>
          <w:p w14:paraId="1D8DBE08" w14:textId="77777777" w:rsidR="00990B14" w:rsidRDefault="00000000">
            <w:pPr>
              <w:numPr>
                <w:ilvl w:val="0"/>
                <w:numId w:val="140"/>
              </w:numPr>
              <w:spacing w:after="20"/>
              <w:jc w:val="both"/>
            </w:pPr>
            <w:r>
              <w:rPr>
                <w:sz w:val="18"/>
                <w:szCs w:val="18"/>
              </w:rPr>
              <w:t>Yañez Mendoza, R. y Apaza Poma, H. (2018a). Contabilidad Gubernamental Integral. La Paz, Bolivia: Grafic Printer Impresores.</w:t>
            </w:r>
          </w:p>
          <w:p w14:paraId="61C000E9" w14:textId="77777777" w:rsidR="00990B14" w:rsidRDefault="00000000">
            <w:pPr>
              <w:numPr>
                <w:ilvl w:val="0"/>
                <w:numId w:val="140"/>
              </w:numPr>
              <w:spacing w:after="20"/>
              <w:jc w:val="both"/>
            </w:pPr>
            <w:r>
              <w:rPr>
                <w:sz w:val="18"/>
                <w:szCs w:val="18"/>
              </w:rPr>
              <w:t>Yañez Mendoza, R. y Apaza Poma, H. (2018b). Presupuesto Público Institucional. La Paz, Bolivia: Grafic Printer Impresores.</w:t>
            </w:r>
          </w:p>
        </w:tc>
      </w:tr>
    </w:tbl>
    <w:p w14:paraId="1584D5DD" w14:textId="77777777" w:rsidR="00990B14" w:rsidRDefault="00000000">
      <w:pPr>
        <w:pStyle w:val="TituloPlanAsignatura"/>
        <w:keepNext/>
        <w:pageBreakBefore/>
        <w:spacing w:after="120"/>
        <w:jc w:val="center"/>
        <w:outlineLvl w:val="2"/>
      </w:pPr>
      <w:bookmarkStart w:id="168" w:name="_Toc000000109"/>
      <w:r>
        <w:rPr>
          <w:b/>
          <w:bCs/>
          <w:sz w:val="24"/>
          <w:szCs w:val="24"/>
        </w:rPr>
        <w:t>CPA-305 Sistemas Contables ERP y Análisis de Datos</w:t>
      </w:r>
      <w:bookmarkEnd w:id="168"/>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249"/>
        <w:gridCol w:w="1100"/>
        <w:gridCol w:w="149"/>
        <w:gridCol w:w="635"/>
        <w:gridCol w:w="615"/>
        <w:gridCol w:w="952"/>
        <w:gridCol w:w="298"/>
        <w:gridCol w:w="1250"/>
        <w:gridCol w:w="20"/>
        <w:gridCol w:w="385"/>
        <w:gridCol w:w="398"/>
        <w:gridCol w:w="447"/>
        <w:gridCol w:w="1907"/>
      </w:tblGrid>
      <w:tr w:rsidR="00990B14" w14:paraId="5267E460" w14:textId="77777777">
        <w:trPr>
          <w:cantSplit/>
          <w:jc w:val="center"/>
        </w:trPr>
        <w:tc>
          <w:tcPr>
            <w:tcW w:w="2349" w:type="dxa"/>
            <w:gridSpan w:val="2"/>
            <w:shd w:val="clear" w:color="auto" w:fill="4472C4"/>
            <w:vAlign w:val="center"/>
          </w:tcPr>
          <w:p w14:paraId="240D4113" w14:textId="77777777" w:rsidR="00990B14" w:rsidRDefault="00000000">
            <w:pPr>
              <w:keepNext/>
              <w:spacing w:before="20" w:after="20"/>
              <w:jc w:val="center"/>
            </w:pPr>
            <w:r>
              <w:rPr>
                <w:b/>
                <w:bCs/>
                <w:i/>
                <w:iCs/>
                <w:color w:val="FFFFFF"/>
                <w:sz w:val="18"/>
                <w:szCs w:val="18"/>
              </w:rPr>
              <w:t>Asignatura</w:t>
            </w:r>
          </w:p>
        </w:tc>
        <w:tc>
          <w:tcPr>
            <w:tcW w:w="2351" w:type="dxa"/>
            <w:gridSpan w:val="4"/>
            <w:shd w:val="clear" w:color="auto" w:fill="4472C4"/>
            <w:vAlign w:val="center"/>
          </w:tcPr>
          <w:p w14:paraId="2B863BD0" w14:textId="77777777" w:rsidR="00990B14" w:rsidRDefault="00000000">
            <w:pPr>
              <w:keepNext/>
              <w:spacing w:before="20" w:after="20"/>
              <w:jc w:val="center"/>
            </w:pPr>
            <w:r>
              <w:rPr>
                <w:b/>
                <w:bCs/>
                <w:i/>
                <w:iCs/>
                <w:color w:val="FFFFFF"/>
                <w:sz w:val="18"/>
                <w:szCs w:val="18"/>
              </w:rPr>
              <w:t>Sigla</w:t>
            </w:r>
          </w:p>
        </w:tc>
        <w:tc>
          <w:tcPr>
            <w:tcW w:w="2351" w:type="dxa"/>
            <w:gridSpan w:val="5"/>
            <w:shd w:val="clear" w:color="auto" w:fill="4472C4"/>
            <w:vAlign w:val="center"/>
          </w:tcPr>
          <w:p w14:paraId="57B16018" w14:textId="77777777" w:rsidR="00990B14" w:rsidRDefault="00000000">
            <w:pPr>
              <w:keepNext/>
              <w:spacing w:before="20" w:after="20"/>
              <w:jc w:val="center"/>
            </w:pPr>
            <w:r>
              <w:rPr>
                <w:b/>
                <w:bCs/>
                <w:i/>
                <w:iCs/>
                <w:color w:val="FFFFFF"/>
                <w:sz w:val="18"/>
                <w:szCs w:val="18"/>
              </w:rPr>
              <w:t>Nivel/Área</w:t>
            </w:r>
          </w:p>
        </w:tc>
        <w:tc>
          <w:tcPr>
            <w:tcW w:w="2354" w:type="dxa"/>
            <w:gridSpan w:val="2"/>
            <w:shd w:val="clear" w:color="auto" w:fill="4472C4"/>
            <w:vAlign w:val="center"/>
          </w:tcPr>
          <w:p w14:paraId="4AC06823" w14:textId="77777777" w:rsidR="00990B14" w:rsidRDefault="00000000">
            <w:pPr>
              <w:keepNext/>
              <w:spacing w:before="20" w:after="20"/>
              <w:jc w:val="center"/>
            </w:pPr>
            <w:r>
              <w:rPr>
                <w:b/>
                <w:bCs/>
                <w:i/>
                <w:iCs/>
                <w:color w:val="FFFFFF"/>
                <w:sz w:val="18"/>
                <w:szCs w:val="18"/>
              </w:rPr>
              <w:t>Prerrequisito</w:t>
            </w:r>
          </w:p>
        </w:tc>
      </w:tr>
      <w:tr w:rsidR="00990B14" w14:paraId="0B528BC7" w14:textId="77777777">
        <w:trPr>
          <w:cantSplit/>
          <w:jc w:val="center"/>
        </w:trPr>
        <w:tc>
          <w:tcPr>
            <w:tcW w:w="2349" w:type="dxa"/>
            <w:gridSpan w:val="2"/>
            <w:shd w:val="clear" w:color="auto" w:fill="D9E2F3"/>
            <w:vAlign w:val="center"/>
          </w:tcPr>
          <w:p w14:paraId="76B112A9" w14:textId="77777777" w:rsidR="00990B14" w:rsidRDefault="00000000">
            <w:pPr>
              <w:spacing w:before="20" w:after="20"/>
              <w:jc w:val="center"/>
            </w:pPr>
            <w:r>
              <w:rPr>
                <w:b/>
                <w:bCs/>
                <w:i/>
                <w:iCs/>
                <w:sz w:val="18"/>
                <w:szCs w:val="18"/>
              </w:rPr>
              <w:t>Sistemas Contables ERP y Análisis de Datos</w:t>
            </w:r>
          </w:p>
        </w:tc>
        <w:tc>
          <w:tcPr>
            <w:tcW w:w="2351" w:type="dxa"/>
            <w:gridSpan w:val="4"/>
            <w:shd w:val="clear" w:color="auto" w:fill="D9E2F3"/>
            <w:vAlign w:val="center"/>
          </w:tcPr>
          <w:p w14:paraId="0225CACB" w14:textId="77777777" w:rsidR="00990B14" w:rsidRDefault="00000000">
            <w:pPr>
              <w:spacing w:before="20" w:after="20"/>
              <w:jc w:val="center"/>
            </w:pPr>
            <w:r>
              <w:rPr>
                <w:b/>
                <w:bCs/>
                <w:i/>
                <w:iCs/>
                <w:sz w:val="18"/>
                <w:szCs w:val="18"/>
              </w:rPr>
              <w:t>CPA-305</w:t>
            </w:r>
          </w:p>
        </w:tc>
        <w:tc>
          <w:tcPr>
            <w:tcW w:w="2351" w:type="dxa"/>
            <w:gridSpan w:val="5"/>
            <w:shd w:val="clear" w:color="auto" w:fill="D9E2F3"/>
            <w:vAlign w:val="center"/>
          </w:tcPr>
          <w:p w14:paraId="7EE188B6" w14:textId="77777777" w:rsidR="00990B14" w:rsidRDefault="00000000">
            <w:pPr>
              <w:spacing w:before="20" w:after="20"/>
              <w:jc w:val="center"/>
            </w:pPr>
            <w:r>
              <w:rPr>
                <w:b/>
                <w:bCs/>
                <w:i/>
                <w:iCs/>
                <w:sz w:val="18"/>
                <w:szCs w:val="18"/>
              </w:rPr>
              <w:t>Información Financiera</w:t>
            </w:r>
          </w:p>
        </w:tc>
        <w:tc>
          <w:tcPr>
            <w:tcW w:w="2354" w:type="dxa"/>
            <w:gridSpan w:val="2"/>
            <w:shd w:val="clear" w:color="auto" w:fill="D9E2F3"/>
            <w:vAlign w:val="center"/>
          </w:tcPr>
          <w:p w14:paraId="2D46AC73" w14:textId="77777777" w:rsidR="00990B14" w:rsidRDefault="00000000">
            <w:pPr>
              <w:spacing w:before="20" w:after="20"/>
              <w:jc w:val="center"/>
            </w:pPr>
            <w:r>
              <w:rPr>
                <w:b/>
                <w:bCs/>
                <w:i/>
                <w:iCs/>
                <w:sz w:val="18"/>
                <w:szCs w:val="18"/>
              </w:rPr>
              <w:t>CPA-102, CPA-201, CPA-202, CPA-203</w:t>
            </w:r>
          </w:p>
        </w:tc>
      </w:tr>
      <w:tr w:rsidR="00990B14" w14:paraId="7C8713F1" w14:textId="77777777">
        <w:trPr>
          <w:cantSplit/>
          <w:jc w:val="center"/>
        </w:trPr>
        <w:tc>
          <w:tcPr>
            <w:tcW w:w="7498" w:type="dxa"/>
            <w:gridSpan w:val="12"/>
            <w:shd w:val="clear" w:color="auto" w:fill="4472C4"/>
            <w:vAlign w:val="center"/>
          </w:tcPr>
          <w:p w14:paraId="78C8F628" w14:textId="77777777" w:rsidR="00990B14" w:rsidRDefault="00000000">
            <w:pPr>
              <w:keepNext/>
              <w:spacing w:before="20" w:after="20"/>
              <w:jc w:val="center"/>
            </w:pPr>
            <w:r>
              <w:rPr>
                <w:b/>
                <w:bCs/>
                <w:i/>
                <w:iCs/>
                <w:color w:val="FFFFFF"/>
                <w:sz w:val="18"/>
                <w:szCs w:val="18"/>
              </w:rPr>
              <w:t>Carga Horaria</w:t>
            </w:r>
          </w:p>
        </w:tc>
        <w:tc>
          <w:tcPr>
            <w:tcW w:w="1907" w:type="dxa"/>
            <w:shd w:val="clear" w:color="auto" w:fill="4472C4"/>
            <w:vAlign w:val="center"/>
          </w:tcPr>
          <w:p w14:paraId="50984475" w14:textId="77777777" w:rsidR="00990B14" w:rsidRDefault="00000000">
            <w:pPr>
              <w:keepNext/>
              <w:spacing w:before="20" w:after="20"/>
              <w:jc w:val="center"/>
            </w:pPr>
            <w:r>
              <w:rPr>
                <w:b/>
                <w:bCs/>
                <w:i/>
                <w:iCs/>
                <w:color w:val="FFFFFF"/>
                <w:sz w:val="18"/>
                <w:szCs w:val="18"/>
              </w:rPr>
              <w:t>Créditos</w:t>
            </w:r>
          </w:p>
        </w:tc>
      </w:tr>
      <w:tr w:rsidR="00990B14" w14:paraId="218CD77D" w14:textId="77777777">
        <w:trPr>
          <w:cantSplit/>
          <w:jc w:val="center"/>
        </w:trPr>
        <w:tc>
          <w:tcPr>
            <w:tcW w:w="1249" w:type="dxa"/>
            <w:shd w:val="clear" w:color="auto" w:fill="4472C4"/>
            <w:vAlign w:val="center"/>
          </w:tcPr>
          <w:p w14:paraId="651503C7" w14:textId="77777777" w:rsidR="00990B14" w:rsidRDefault="00000000">
            <w:pPr>
              <w:keepNext/>
              <w:spacing w:before="20" w:after="20"/>
              <w:jc w:val="center"/>
            </w:pPr>
            <w:r>
              <w:rPr>
                <w:b/>
                <w:bCs/>
                <w:i/>
                <w:iCs/>
                <w:color w:val="FFFFFF"/>
                <w:sz w:val="18"/>
                <w:szCs w:val="18"/>
              </w:rPr>
              <w:t>HP</w:t>
            </w:r>
          </w:p>
        </w:tc>
        <w:tc>
          <w:tcPr>
            <w:tcW w:w="1249" w:type="dxa"/>
            <w:gridSpan w:val="2"/>
            <w:shd w:val="clear" w:color="auto" w:fill="4472C4"/>
            <w:vAlign w:val="center"/>
          </w:tcPr>
          <w:p w14:paraId="723ED39D" w14:textId="77777777" w:rsidR="00990B14" w:rsidRDefault="00000000">
            <w:pPr>
              <w:keepNext/>
              <w:spacing w:before="20" w:after="20"/>
              <w:jc w:val="center"/>
            </w:pPr>
            <w:r>
              <w:rPr>
                <w:b/>
                <w:bCs/>
                <w:i/>
                <w:iCs/>
                <w:color w:val="FFFFFF"/>
                <w:sz w:val="18"/>
                <w:szCs w:val="18"/>
              </w:rPr>
              <w:t>HAA</w:t>
            </w:r>
          </w:p>
        </w:tc>
        <w:tc>
          <w:tcPr>
            <w:tcW w:w="1250" w:type="dxa"/>
            <w:gridSpan w:val="2"/>
            <w:shd w:val="clear" w:color="auto" w:fill="4472C4"/>
            <w:vAlign w:val="center"/>
          </w:tcPr>
          <w:p w14:paraId="6F492492" w14:textId="77777777" w:rsidR="00990B14" w:rsidRDefault="00000000">
            <w:pPr>
              <w:keepNext/>
              <w:spacing w:before="20" w:after="20"/>
              <w:jc w:val="center"/>
            </w:pPr>
            <w:r>
              <w:rPr>
                <w:b/>
                <w:bCs/>
                <w:i/>
                <w:iCs/>
                <w:color w:val="FFFFFF"/>
                <w:sz w:val="18"/>
                <w:szCs w:val="18"/>
              </w:rPr>
              <w:t>HTG</w:t>
            </w:r>
          </w:p>
        </w:tc>
        <w:tc>
          <w:tcPr>
            <w:tcW w:w="1250" w:type="dxa"/>
            <w:gridSpan w:val="2"/>
            <w:shd w:val="clear" w:color="auto" w:fill="4472C4"/>
            <w:vAlign w:val="center"/>
          </w:tcPr>
          <w:p w14:paraId="640CDCAA" w14:textId="77777777" w:rsidR="00990B14" w:rsidRDefault="00000000">
            <w:pPr>
              <w:keepNext/>
              <w:spacing w:before="20" w:after="20"/>
              <w:jc w:val="center"/>
            </w:pPr>
            <w:r>
              <w:rPr>
                <w:b/>
                <w:bCs/>
                <w:i/>
                <w:iCs/>
                <w:color w:val="FFFFFF"/>
                <w:sz w:val="18"/>
                <w:szCs w:val="18"/>
              </w:rPr>
              <w:t>HIP</w:t>
            </w:r>
          </w:p>
        </w:tc>
        <w:tc>
          <w:tcPr>
            <w:tcW w:w="1250" w:type="dxa"/>
            <w:shd w:val="clear" w:color="auto" w:fill="4472C4"/>
            <w:vAlign w:val="center"/>
          </w:tcPr>
          <w:p w14:paraId="5C7A47B0" w14:textId="77777777" w:rsidR="00990B14" w:rsidRDefault="00000000">
            <w:pPr>
              <w:keepNext/>
              <w:spacing w:before="20" w:after="20"/>
              <w:jc w:val="center"/>
            </w:pPr>
            <w:r>
              <w:rPr>
                <w:b/>
                <w:bCs/>
                <w:i/>
                <w:iCs/>
                <w:color w:val="FFFFFF"/>
                <w:sz w:val="18"/>
                <w:szCs w:val="18"/>
              </w:rPr>
              <w:t>HE</w:t>
            </w:r>
          </w:p>
        </w:tc>
        <w:tc>
          <w:tcPr>
            <w:tcW w:w="1250" w:type="dxa"/>
            <w:gridSpan w:val="4"/>
            <w:shd w:val="clear" w:color="auto" w:fill="4472C4"/>
            <w:vAlign w:val="center"/>
          </w:tcPr>
          <w:p w14:paraId="5A1D1449" w14:textId="77777777" w:rsidR="00990B14" w:rsidRDefault="00000000">
            <w:pPr>
              <w:keepNext/>
              <w:spacing w:before="20" w:after="20"/>
              <w:jc w:val="center"/>
            </w:pPr>
            <w:r>
              <w:rPr>
                <w:b/>
                <w:bCs/>
                <w:i/>
                <w:iCs/>
                <w:color w:val="FFFFFF"/>
                <w:sz w:val="18"/>
                <w:szCs w:val="18"/>
              </w:rPr>
              <w:t>TOTAL</w:t>
            </w:r>
          </w:p>
        </w:tc>
        <w:tc>
          <w:tcPr>
            <w:tcW w:w="1907" w:type="dxa"/>
            <w:vMerge w:val="restart"/>
            <w:shd w:val="clear" w:color="auto" w:fill="D9E2F3"/>
            <w:vAlign w:val="center"/>
          </w:tcPr>
          <w:p w14:paraId="28A01D32" w14:textId="77777777" w:rsidR="00990B14" w:rsidRDefault="00000000">
            <w:pPr>
              <w:spacing w:before="20" w:after="20"/>
              <w:jc w:val="center"/>
            </w:pPr>
            <w:r>
              <w:rPr>
                <w:sz w:val="18"/>
                <w:szCs w:val="18"/>
              </w:rPr>
              <w:t>7</w:t>
            </w:r>
          </w:p>
        </w:tc>
      </w:tr>
      <w:tr w:rsidR="00990B14" w14:paraId="27C01DBB" w14:textId="77777777">
        <w:trPr>
          <w:cantSplit/>
          <w:jc w:val="center"/>
        </w:trPr>
        <w:tc>
          <w:tcPr>
            <w:tcW w:w="1249" w:type="dxa"/>
            <w:shd w:val="clear" w:color="auto" w:fill="D9E2F3"/>
            <w:vAlign w:val="center"/>
          </w:tcPr>
          <w:p w14:paraId="3333A576" w14:textId="77777777" w:rsidR="00990B14" w:rsidRDefault="00000000">
            <w:pPr>
              <w:spacing w:before="20" w:after="20"/>
              <w:jc w:val="center"/>
            </w:pPr>
            <w:r>
              <w:rPr>
                <w:sz w:val="18"/>
                <w:szCs w:val="18"/>
              </w:rPr>
              <w:t>160</w:t>
            </w:r>
          </w:p>
        </w:tc>
        <w:tc>
          <w:tcPr>
            <w:tcW w:w="1249" w:type="dxa"/>
            <w:gridSpan w:val="2"/>
            <w:shd w:val="clear" w:color="auto" w:fill="D9E2F3"/>
            <w:vAlign w:val="center"/>
          </w:tcPr>
          <w:p w14:paraId="5F5F6B8B" w14:textId="77777777" w:rsidR="00990B14" w:rsidRDefault="00000000">
            <w:pPr>
              <w:spacing w:before="20" w:after="20"/>
              <w:jc w:val="center"/>
            </w:pPr>
            <w:r>
              <w:rPr>
                <w:sz w:val="18"/>
                <w:szCs w:val="18"/>
              </w:rPr>
              <w:t>13</w:t>
            </w:r>
          </w:p>
        </w:tc>
        <w:tc>
          <w:tcPr>
            <w:tcW w:w="1250" w:type="dxa"/>
            <w:gridSpan w:val="2"/>
            <w:shd w:val="clear" w:color="auto" w:fill="D9E2F3"/>
            <w:vAlign w:val="center"/>
          </w:tcPr>
          <w:p w14:paraId="6AAD9EDE" w14:textId="77777777" w:rsidR="00990B14" w:rsidRDefault="00000000">
            <w:pPr>
              <w:spacing w:before="20" w:after="20"/>
              <w:jc w:val="center"/>
            </w:pPr>
            <w:r>
              <w:rPr>
                <w:sz w:val="18"/>
                <w:szCs w:val="18"/>
              </w:rPr>
              <w:t>13</w:t>
            </w:r>
          </w:p>
        </w:tc>
        <w:tc>
          <w:tcPr>
            <w:tcW w:w="1250" w:type="dxa"/>
            <w:gridSpan w:val="2"/>
            <w:shd w:val="clear" w:color="auto" w:fill="D9E2F3"/>
            <w:vAlign w:val="center"/>
          </w:tcPr>
          <w:p w14:paraId="21B48FA7" w14:textId="77777777" w:rsidR="00990B14" w:rsidRDefault="00000000">
            <w:pPr>
              <w:spacing w:before="20" w:after="20"/>
              <w:jc w:val="center"/>
            </w:pPr>
            <w:r>
              <w:rPr>
                <w:sz w:val="18"/>
                <w:szCs w:val="18"/>
              </w:rPr>
              <w:t>12</w:t>
            </w:r>
          </w:p>
        </w:tc>
        <w:tc>
          <w:tcPr>
            <w:tcW w:w="1250" w:type="dxa"/>
            <w:shd w:val="clear" w:color="auto" w:fill="D9E2F3"/>
            <w:vAlign w:val="center"/>
          </w:tcPr>
          <w:p w14:paraId="26F7CDD0" w14:textId="77777777" w:rsidR="00990B14" w:rsidRDefault="00000000">
            <w:pPr>
              <w:spacing w:before="20" w:after="20"/>
              <w:jc w:val="center"/>
            </w:pPr>
            <w:r>
              <w:rPr>
                <w:sz w:val="18"/>
                <w:szCs w:val="18"/>
              </w:rPr>
              <w:t>12</w:t>
            </w:r>
          </w:p>
        </w:tc>
        <w:tc>
          <w:tcPr>
            <w:tcW w:w="1250" w:type="dxa"/>
            <w:gridSpan w:val="4"/>
            <w:shd w:val="clear" w:color="auto" w:fill="D9E2F3"/>
            <w:vAlign w:val="center"/>
          </w:tcPr>
          <w:p w14:paraId="0B9F7DBB" w14:textId="77777777" w:rsidR="00990B14" w:rsidRDefault="00000000">
            <w:pPr>
              <w:spacing w:before="20" w:after="20"/>
              <w:jc w:val="center"/>
            </w:pPr>
            <w:r>
              <w:rPr>
                <w:sz w:val="18"/>
                <w:szCs w:val="18"/>
              </w:rPr>
              <w:t>210</w:t>
            </w:r>
          </w:p>
        </w:tc>
        <w:tc>
          <w:tcPr>
            <w:tcW w:w="1907" w:type="dxa"/>
            <w:vMerge/>
            <w:shd w:val="clear" w:color="auto" w:fill="D9E2F3"/>
            <w:vAlign w:val="center"/>
          </w:tcPr>
          <w:p w14:paraId="00A72842" w14:textId="77777777" w:rsidR="00990B14" w:rsidRDefault="00990B14">
            <w:pPr>
              <w:spacing w:before="20" w:after="20"/>
            </w:pPr>
          </w:p>
        </w:tc>
      </w:tr>
      <w:tr w:rsidR="00990B14" w14:paraId="361E6AF8" w14:textId="77777777">
        <w:trPr>
          <w:cantSplit/>
          <w:jc w:val="center"/>
        </w:trPr>
        <w:tc>
          <w:tcPr>
            <w:tcW w:w="9405" w:type="dxa"/>
            <w:gridSpan w:val="13"/>
            <w:shd w:val="clear" w:color="auto" w:fill="4472C4"/>
            <w:vAlign w:val="center"/>
          </w:tcPr>
          <w:p w14:paraId="104159CB" w14:textId="77777777" w:rsidR="00990B14" w:rsidRDefault="00000000">
            <w:pPr>
              <w:keepNext/>
              <w:spacing w:before="20" w:after="20"/>
              <w:jc w:val="center"/>
            </w:pPr>
            <w:r>
              <w:rPr>
                <w:b/>
                <w:bCs/>
                <w:i/>
                <w:iCs/>
                <w:color w:val="FFFFFF"/>
                <w:sz w:val="18"/>
                <w:szCs w:val="18"/>
              </w:rPr>
              <w:t>Unidad de Competencia</w:t>
            </w:r>
          </w:p>
        </w:tc>
      </w:tr>
      <w:tr w:rsidR="00990B14" w14:paraId="701ACD2A" w14:textId="77777777">
        <w:trPr>
          <w:cantSplit/>
          <w:jc w:val="center"/>
        </w:trPr>
        <w:tc>
          <w:tcPr>
            <w:tcW w:w="9405" w:type="dxa"/>
            <w:gridSpan w:val="13"/>
            <w:shd w:val="clear" w:color="auto" w:fill="D9E2F3"/>
            <w:vAlign w:val="center"/>
          </w:tcPr>
          <w:p w14:paraId="47FA805A" w14:textId="77777777" w:rsidR="00990B14" w:rsidRDefault="00000000">
            <w:pPr>
              <w:spacing w:before="20" w:after="20"/>
              <w:jc w:val="both"/>
            </w:pPr>
            <w:r>
              <w:rPr>
                <w:sz w:val="18"/>
                <w:szCs w:val="18"/>
              </w:rPr>
              <w:t>Gestiona la información financiera y operativa de entidades económicas mediante la implementación y operación de sistemas contables de escritorio y en la nube, ERP y herramientas de análisis de datos, asegurando el cumplimiento de la normativa contable, tributaria y laboral boliviana, para la toma de decisiones gerenciales, aplicando principios de ética y seguridad de la información</w:t>
            </w:r>
          </w:p>
        </w:tc>
      </w:tr>
      <w:tr w:rsidR="00990B14" w14:paraId="101F6F2F" w14:textId="77777777">
        <w:trPr>
          <w:cantSplit/>
          <w:jc w:val="center"/>
        </w:trPr>
        <w:tc>
          <w:tcPr>
            <w:tcW w:w="9405" w:type="dxa"/>
            <w:gridSpan w:val="13"/>
            <w:shd w:val="clear" w:color="auto" w:fill="D9E2F3"/>
            <w:vAlign w:val="center"/>
          </w:tcPr>
          <w:p w14:paraId="4F3DC79B" w14:textId="77777777" w:rsidR="00990B14" w:rsidRDefault="00000000">
            <w:pPr>
              <w:spacing w:before="20" w:after="20"/>
              <w:jc w:val="both"/>
            </w:pPr>
            <w:r>
              <w:rPr>
                <w:b/>
                <w:bCs/>
                <w:i/>
                <w:iCs/>
                <w:sz w:val="18"/>
                <w:szCs w:val="18"/>
              </w:rPr>
              <w:t xml:space="preserve">Elemento de competencia 1: </w:t>
            </w:r>
            <w:r>
              <w:rPr>
                <w:sz w:val="18"/>
                <w:szCs w:val="18"/>
              </w:rPr>
              <w:t>Gestiona un sistema contable automatizado de escritorio y en la nube, diseñando y cargando el plan de cuentas, los registros de compras y ventas del IVA, los estados financieros y los reportes de un modelo de negocio.</w:t>
            </w:r>
          </w:p>
        </w:tc>
      </w:tr>
      <w:tr w:rsidR="00990B14" w14:paraId="7B6D4FAF" w14:textId="77777777">
        <w:trPr>
          <w:cantSplit/>
          <w:jc w:val="center"/>
        </w:trPr>
        <w:tc>
          <w:tcPr>
            <w:tcW w:w="3133" w:type="dxa"/>
            <w:gridSpan w:val="4"/>
            <w:shd w:val="clear" w:color="auto" w:fill="4472C4"/>
            <w:vAlign w:val="center"/>
          </w:tcPr>
          <w:p w14:paraId="20F92ACE"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11EBD451"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1F3CD2BD" w14:textId="77777777" w:rsidR="00990B14" w:rsidRDefault="00000000">
            <w:pPr>
              <w:keepNext/>
              <w:spacing w:before="20" w:after="20"/>
              <w:jc w:val="center"/>
            </w:pPr>
            <w:r>
              <w:rPr>
                <w:b/>
                <w:bCs/>
                <w:i/>
                <w:iCs/>
                <w:color w:val="FFFFFF"/>
                <w:sz w:val="18"/>
                <w:szCs w:val="18"/>
              </w:rPr>
              <w:t>Evidencias de producto</w:t>
            </w:r>
          </w:p>
        </w:tc>
      </w:tr>
      <w:tr w:rsidR="00990B14" w14:paraId="15EBC410" w14:textId="77777777">
        <w:trPr>
          <w:cantSplit/>
          <w:jc w:val="center"/>
        </w:trPr>
        <w:tc>
          <w:tcPr>
            <w:tcW w:w="3133" w:type="dxa"/>
            <w:gridSpan w:val="4"/>
            <w:vMerge w:val="restart"/>
            <w:shd w:val="clear" w:color="auto" w:fill="D9E2F3"/>
            <w:vAlign w:val="center"/>
          </w:tcPr>
          <w:p w14:paraId="2B96E12A" w14:textId="77777777" w:rsidR="00990B14" w:rsidRDefault="00000000">
            <w:pPr>
              <w:spacing w:before="20" w:after="20"/>
              <w:jc w:val="both"/>
            </w:pPr>
            <w:r>
              <w:rPr>
                <w:sz w:val="18"/>
                <w:szCs w:val="18"/>
              </w:rPr>
              <w:t>1. Configura un sistema contable automatizado de escritorio, generando el plan de cuentas, los comprobantes, los mayores y el balance de comprobación de un modelo de negocio.</w:t>
            </w:r>
          </w:p>
        </w:tc>
        <w:tc>
          <w:tcPr>
            <w:tcW w:w="3135" w:type="dxa"/>
            <w:gridSpan w:val="5"/>
            <w:shd w:val="clear" w:color="auto" w:fill="D9E2F3"/>
            <w:vAlign w:val="center"/>
          </w:tcPr>
          <w:p w14:paraId="5648D402" w14:textId="77777777" w:rsidR="00990B14" w:rsidRDefault="00000000">
            <w:pPr>
              <w:spacing w:before="20" w:after="20"/>
              <w:jc w:val="both"/>
            </w:pPr>
            <w:r>
              <w:rPr>
                <w:sz w:val="18"/>
                <w:szCs w:val="18"/>
              </w:rPr>
              <w:t>1.1 Instala y configura en el laboratorio de cómputo un sistema contable de escritorio con una nueva empresa y una nueva gestión.</w:t>
            </w:r>
          </w:p>
        </w:tc>
        <w:tc>
          <w:tcPr>
            <w:tcW w:w="3137" w:type="dxa"/>
            <w:gridSpan w:val="4"/>
            <w:shd w:val="clear" w:color="auto" w:fill="D9E2F3"/>
            <w:vAlign w:val="center"/>
          </w:tcPr>
          <w:p w14:paraId="42FA4311" w14:textId="77777777" w:rsidR="00990B14" w:rsidRDefault="00000000">
            <w:pPr>
              <w:spacing w:before="20" w:after="20"/>
              <w:jc w:val="both"/>
            </w:pPr>
            <w:r>
              <w:rPr>
                <w:b/>
                <w:bCs/>
                <w:sz w:val="18"/>
                <w:szCs w:val="18"/>
              </w:rPr>
              <w:t xml:space="preserve">Producto 1: </w:t>
            </w:r>
            <w:r>
              <w:rPr>
                <w:sz w:val="18"/>
                <w:szCs w:val="18"/>
              </w:rPr>
              <w:t>Sistema contable configurado con el plan de cuentas de un caso práctico.</w:t>
            </w:r>
          </w:p>
        </w:tc>
      </w:tr>
      <w:tr w:rsidR="00990B14" w14:paraId="50654FA6" w14:textId="77777777">
        <w:trPr>
          <w:cantSplit/>
          <w:jc w:val="center"/>
        </w:trPr>
        <w:tc>
          <w:tcPr>
            <w:tcW w:w="3133" w:type="dxa"/>
            <w:gridSpan w:val="4"/>
            <w:vMerge/>
            <w:shd w:val="clear" w:color="auto" w:fill="D9E2F3"/>
            <w:vAlign w:val="center"/>
          </w:tcPr>
          <w:p w14:paraId="10CD47F9" w14:textId="77777777" w:rsidR="00990B14" w:rsidRDefault="00990B14">
            <w:pPr>
              <w:spacing w:before="20" w:after="20"/>
            </w:pPr>
          </w:p>
        </w:tc>
        <w:tc>
          <w:tcPr>
            <w:tcW w:w="3135" w:type="dxa"/>
            <w:gridSpan w:val="5"/>
            <w:shd w:val="clear" w:color="auto" w:fill="D9E2F3"/>
            <w:vAlign w:val="center"/>
          </w:tcPr>
          <w:p w14:paraId="2E4ECABD" w14:textId="77777777" w:rsidR="00990B14" w:rsidRDefault="00000000">
            <w:pPr>
              <w:spacing w:before="20" w:after="20"/>
              <w:jc w:val="both"/>
            </w:pPr>
            <w:r>
              <w:rPr>
                <w:sz w:val="18"/>
                <w:szCs w:val="18"/>
              </w:rPr>
              <w:t>1.2 Registra los comprobantes de ingreso, egreso y traspaso de un caso y emite los mayores y el balance de comprobación.</w:t>
            </w:r>
          </w:p>
        </w:tc>
        <w:tc>
          <w:tcPr>
            <w:tcW w:w="3137" w:type="dxa"/>
            <w:gridSpan w:val="4"/>
            <w:shd w:val="clear" w:color="auto" w:fill="D9E2F3"/>
            <w:vAlign w:val="center"/>
          </w:tcPr>
          <w:p w14:paraId="1FC47FBE" w14:textId="77777777" w:rsidR="00990B14" w:rsidRDefault="00000000">
            <w:pPr>
              <w:spacing w:before="20" w:after="20"/>
              <w:jc w:val="both"/>
            </w:pPr>
            <w:r>
              <w:rPr>
                <w:b/>
                <w:bCs/>
                <w:sz w:val="18"/>
                <w:szCs w:val="18"/>
              </w:rPr>
              <w:t xml:space="preserve">Producto 2: </w:t>
            </w:r>
            <w:r>
              <w:rPr>
                <w:sz w:val="18"/>
                <w:szCs w:val="18"/>
              </w:rPr>
              <w:t>Libro diario, mayores y balance de comprobación emitidos por el sistema.</w:t>
            </w:r>
          </w:p>
        </w:tc>
      </w:tr>
      <w:tr w:rsidR="00990B14" w14:paraId="43486516" w14:textId="77777777">
        <w:trPr>
          <w:cantSplit/>
          <w:jc w:val="center"/>
        </w:trPr>
        <w:tc>
          <w:tcPr>
            <w:tcW w:w="3133" w:type="dxa"/>
            <w:gridSpan w:val="4"/>
            <w:vMerge w:val="restart"/>
            <w:shd w:val="clear" w:color="auto" w:fill="D9E2F3"/>
            <w:vAlign w:val="center"/>
          </w:tcPr>
          <w:p w14:paraId="59AD72E9" w14:textId="77777777" w:rsidR="00990B14" w:rsidRDefault="00000000">
            <w:pPr>
              <w:spacing w:before="20" w:after="20"/>
              <w:jc w:val="both"/>
            </w:pPr>
            <w:r>
              <w:rPr>
                <w:sz w:val="18"/>
                <w:szCs w:val="18"/>
              </w:rPr>
              <w:t>2. Genera los estados financieros y los registros de compras y ventas del IVA en un sistema contable de escritorio y en la nube, evaluando los riesgos de seguridad de la información.</w:t>
            </w:r>
          </w:p>
        </w:tc>
        <w:tc>
          <w:tcPr>
            <w:tcW w:w="3135" w:type="dxa"/>
            <w:gridSpan w:val="5"/>
            <w:shd w:val="clear" w:color="auto" w:fill="D9E2F3"/>
            <w:vAlign w:val="center"/>
          </w:tcPr>
          <w:p w14:paraId="6E1E4C27" w14:textId="77777777" w:rsidR="00990B14" w:rsidRDefault="00000000">
            <w:pPr>
              <w:spacing w:before="20" w:after="20"/>
              <w:jc w:val="both"/>
            </w:pPr>
            <w:r>
              <w:rPr>
                <w:sz w:val="18"/>
                <w:szCs w:val="18"/>
              </w:rPr>
              <w:t>2.1 Genera los reportes de estados financieros, de flujo de caja y del registro de compras y ventas del IVA de un caso práctico.</w:t>
            </w:r>
          </w:p>
        </w:tc>
        <w:tc>
          <w:tcPr>
            <w:tcW w:w="3137" w:type="dxa"/>
            <w:gridSpan w:val="4"/>
            <w:shd w:val="clear" w:color="auto" w:fill="D9E2F3"/>
            <w:vAlign w:val="center"/>
          </w:tcPr>
          <w:p w14:paraId="1B5C6982" w14:textId="77777777" w:rsidR="00990B14" w:rsidRDefault="00000000">
            <w:pPr>
              <w:spacing w:before="20" w:after="20"/>
              <w:jc w:val="both"/>
            </w:pPr>
            <w:r>
              <w:rPr>
                <w:b/>
                <w:bCs/>
                <w:sz w:val="18"/>
                <w:szCs w:val="18"/>
              </w:rPr>
              <w:t xml:space="preserve">Producto 3: </w:t>
            </w:r>
            <w:r>
              <w:rPr>
                <w:sz w:val="18"/>
                <w:szCs w:val="18"/>
              </w:rPr>
              <w:t>Reportes de estados financieros y del registro de compras y ventas del IVA.</w:t>
            </w:r>
          </w:p>
        </w:tc>
      </w:tr>
      <w:tr w:rsidR="00990B14" w14:paraId="5A513E42" w14:textId="77777777">
        <w:trPr>
          <w:cantSplit/>
          <w:jc w:val="center"/>
        </w:trPr>
        <w:tc>
          <w:tcPr>
            <w:tcW w:w="3133" w:type="dxa"/>
            <w:gridSpan w:val="4"/>
            <w:vMerge/>
            <w:shd w:val="clear" w:color="auto" w:fill="D9E2F3"/>
            <w:vAlign w:val="center"/>
          </w:tcPr>
          <w:p w14:paraId="4B5AD40F" w14:textId="77777777" w:rsidR="00990B14" w:rsidRDefault="00990B14">
            <w:pPr>
              <w:spacing w:before="20" w:after="20"/>
            </w:pPr>
          </w:p>
        </w:tc>
        <w:tc>
          <w:tcPr>
            <w:tcW w:w="3135" w:type="dxa"/>
            <w:gridSpan w:val="5"/>
            <w:shd w:val="clear" w:color="auto" w:fill="D9E2F3"/>
            <w:vAlign w:val="center"/>
          </w:tcPr>
          <w:p w14:paraId="76861FD5" w14:textId="77777777" w:rsidR="00990B14" w:rsidRDefault="00000000">
            <w:pPr>
              <w:spacing w:before="20" w:after="20"/>
              <w:jc w:val="both"/>
            </w:pPr>
            <w:r>
              <w:rPr>
                <w:sz w:val="18"/>
                <w:szCs w:val="18"/>
              </w:rPr>
              <w:t>2.2 Compara ante el curso un sistema contable de escritorio y uno en la nube según su licenciamiento, su seguridad, su soporte y su costo total.</w:t>
            </w:r>
          </w:p>
        </w:tc>
        <w:tc>
          <w:tcPr>
            <w:tcW w:w="3137" w:type="dxa"/>
            <w:gridSpan w:val="4"/>
            <w:shd w:val="clear" w:color="auto" w:fill="D9E2F3"/>
            <w:vAlign w:val="center"/>
          </w:tcPr>
          <w:p w14:paraId="12802D29" w14:textId="77777777" w:rsidR="00990B14" w:rsidRDefault="00000000">
            <w:pPr>
              <w:spacing w:before="20" w:after="20"/>
              <w:jc w:val="both"/>
            </w:pPr>
            <w:r>
              <w:rPr>
                <w:b/>
                <w:bCs/>
                <w:sz w:val="18"/>
                <w:szCs w:val="18"/>
              </w:rPr>
              <w:t xml:space="preserve">Producto 4: </w:t>
            </w:r>
            <w:r>
              <w:rPr>
                <w:sz w:val="18"/>
                <w:szCs w:val="18"/>
              </w:rPr>
              <w:t>Cuadro comparativo entre un sistema contable de escritorio y un sistema contable en la nube.</w:t>
            </w:r>
          </w:p>
        </w:tc>
      </w:tr>
      <w:tr w:rsidR="00990B14" w14:paraId="793798A8" w14:textId="77777777">
        <w:trPr>
          <w:cantSplit/>
          <w:jc w:val="center"/>
        </w:trPr>
        <w:tc>
          <w:tcPr>
            <w:tcW w:w="9405" w:type="dxa"/>
            <w:gridSpan w:val="13"/>
            <w:shd w:val="clear" w:color="auto" w:fill="4472C4"/>
            <w:vAlign w:val="center"/>
          </w:tcPr>
          <w:p w14:paraId="79CE44F0" w14:textId="77777777" w:rsidR="00990B14" w:rsidRDefault="00000000">
            <w:pPr>
              <w:keepNext/>
              <w:spacing w:before="20" w:after="20"/>
              <w:jc w:val="center"/>
            </w:pPr>
            <w:r>
              <w:rPr>
                <w:b/>
                <w:bCs/>
                <w:i/>
                <w:iCs/>
                <w:color w:val="FFFFFF"/>
                <w:sz w:val="18"/>
                <w:szCs w:val="18"/>
              </w:rPr>
              <w:t>Evidencias de conocimiento</w:t>
            </w:r>
          </w:p>
        </w:tc>
      </w:tr>
      <w:tr w:rsidR="00990B14" w14:paraId="2FCAE18C" w14:textId="77777777">
        <w:trPr>
          <w:cantSplit/>
          <w:jc w:val="center"/>
        </w:trPr>
        <w:tc>
          <w:tcPr>
            <w:tcW w:w="2349" w:type="dxa"/>
            <w:gridSpan w:val="2"/>
            <w:shd w:val="clear" w:color="auto" w:fill="4472C4"/>
            <w:vAlign w:val="center"/>
          </w:tcPr>
          <w:p w14:paraId="64E84D68"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3EEE69AB" w14:textId="77777777" w:rsidR="00990B14" w:rsidRDefault="00000000">
            <w:pPr>
              <w:keepNext/>
              <w:spacing w:before="20" w:after="20"/>
              <w:jc w:val="both"/>
            </w:pPr>
            <w:r>
              <w:rPr>
                <w:b/>
                <w:bCs/>
                <w:i/>
                <w:iCs/>
                <w:color w:val="FFFFFF"/>
                <w:sz w:val="18"/>
                <w:szCs w:val="18"/>
              </w:rPr>
              <w:t>Contenidos</w:t>
            </w:r>
          </w:p>
          <w:p w14:paraId="5B58AB9F"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73BCDF2E" w14:textId="77777777" w:rsidR="00990B14" w:rsidRDefault="00000000">
            <w:pPr>
              <w:keepNext/>
              <w:spacing w:before="20" w:after="20"/>
              <w:jc w:val="center"/>
            </w:pPr>
            <w:r>
              <w:rPr>
                <w:b/>
                <w:bCs/>
                <w:i/>
                <w:iCs/>
                <w:color w:val="FFFFFF"/>
                <w:sz w:val="18"/>
                <w:szCs w:val="18"/>
              </w:rPr>
              <w:t>Conocimientos circunstanciales</w:t>
            </w:r>
          </w:p>
        </w:tc>
      </w:tr>
      <w:tr w:rsidR="00990B14" w14:paraId="4564E85D" w14:textId="77777777">
        <w:trPr>
          <w:jc w:val="center"/>
        </w:trPr>
        <w:tc>
          <w:tcPr>
            <w:tcW w:w="2349" w:type="dxa"/>
            <w:gridSpan w:val="2"/>
            <w:shd w:val="clear" w:color="auto" w:fill="D9E2F3"/>
          </w:tcPr>
          <w:p w14:paraId="153B78D3" w14:textId="77777777" w:rsidR="00990B14" w:rsidRDefault="00000000">
            <w:pPr>
              <w:spacing w:before="20" w:after="40"/>
              <w:jc w:val="both"/>
            </w:pPr>
            <w:r>
              <w:rPr>
                <w:sz w:val="18"/>
                <w:szCs w:val="18"/>
              </w:rPr>
              <w:t>Tema 1: Sistemas Contables de Escritorio</w:t>
            </w:r>
          </w:p>
          <w:p w14:paraId="2596FCA3" w14:textId="77777777" w:rsidR="00990B14" w:rsidRDefault="00000000">
            <w:pPr>
              <w:spacing w:before="20" w:after="40"/>
              <w:jc w:val="both"/>
            </w:pPr>
            <w:r>
              <w:rPr>
                <w:sz w:val="18"/>
                <w:szCs w:val="18"/>
              </w:rPr>
              <w:t>Tema 2: Sistemas Contables en la Nube</w:t>
            </w:r>
          </w:p>
        </w:tc>
        <w:tc>
          <w:tcPr>
            <w:tcW w:w="4304" w:type="dxa"/>
            <w:gridSpan w:val="8"/>
            <w:shd w:val="clear" w:color="auto" w:fill="D9E2F3"/>
          </w:tcPr>
          <w:p w14:paraId="2C66C5B8" w14:textId="77777777" w:rsidR="00990B14" w:rsidRDefault="00000000">
            <w:pPr>
              <w:spacing w:after="40"/>
              <w:jc w:val="both"/>
            </w:pPr>
            <w:r>
              <w:rPr>
                <w:sz w:val="18"/>
                <w:szCs w:val="18"/>
              </w:rPr>
              <w:t>Introducción e instalación del software del sistema contable; adición de una nueva empresa, de una nueva gestión y de la instalación en red. (C, T)</w:t>
            </w:r>
          </w:p>
          <w:p w14:paraId="7DBBE8C6" w14:textId="77777777" w:rsidR="00990B14" w:rsidRDefault="00000000">
            <w:pPr>
              <w:spacing w:after="40"/>
              <w:jc w:val="both"/>
            </w:pPr>
            <w:r>
              <w:rPr>
                <w:sz w:val="18"/>
                <w:szCs w:val="18"/>
              </w:rPr>
              <w:t>Importación de variaciones cambiarias y análisis de los sistemas contables computarizados de escritorio; marco normativo. (C, T)</w:t>
            </w:r>
          </w:p>
          <w:p w14:paraId="2CDDF854" w14:textId="77777777" w:rsidR="00990B14" w:rsidRDefault="00000000">
            <w:pPr>
              <w:spacing w:after="40"/>
              <w:jc w:val="both"/>
            </w:pPr>
            <w:r>
              <w:rPr>
                <w:sz w:val="18"/>
                <w:szCs w:val="18"/>
              </w:rPr>
              <w:t>Plan de cuentas y libro diario con los comprobantes de traspaso, ingreso y egreso. (C)</w:t>
            </w:r>
          </w:p>
          <w:p w14:paraId="5A8C86DB" w14:textId="77777777" w:rsidR="00990B14" w:rsidRDefault="00000000">
            <w:pPr>
              <w:spacing w:after="40"/>
              <w:jc w:val="both"/>
            </w:pPr>
            <w:r>
              <w:rPr>
                <w:sz w:val="18"/>
                <w:szCs w:val="18"/>
              </w:rPr>
              <w:t>Mayores analíticos y esquemáticos, y balance de comprobación de sumas y saldos. (C)</w:t>
            </w:r>
          </w:p>
          <w:p w14:paraId="5C1E5F51" w14:textId="77777777" w:rsidR="00990B14" w:rsidRDefault="00000000">
            <w:pPr>
              <w:spacing w:after="40"/>
              <w:jc w:val="both"/>
            </w:pPr>
            <w:r>
              <w:rPr>
                <w:sz w:val="18"/>
                <w:szCs w:val="18"/>
              </w:rPr>
              <w:t>Reportes de los estados financieros y registros de compra y venta del IVA. (P)</w:t>
            </w:r>
          </w:p>
          <w:p w14:paraId="143B8583" w14:textId="77777777" w:rsidR="00990B14" w:rsidRDefault="00000000">
            <w:pPr>
              <w:spacing w:after="40"/>
              <w:jc w:val="both"/>
            </w:pPr>
            <w:r>
              <w:rPr>
                <w:sz w:val="18"/>
                <w:szCs w:val="18"/>
              </w:rPr>
              <w:t>Flujo de caja, presupuestos, y análisis y proyección de estados financieros. (C)</w:t>
            </w:r>
          </w:p>
          <w:p w14:paraId="4A7DB952" w14:textId="77777777" w:rsidR="00990B14" w:rsidRDefault="00000000">
            <w:pPr>
              <w:spacing w:after="40"/>
              <w:jc w:val="both"/>
            </w:pPr>
            <w:r>
              <w:rPr>
                <w:sz w:val="18"/>
                <w:szCs w:val="18"/>
              </w:rPr>
              <w:t>Importación y exportación de datos; respaldo y recuperación de la información (backup). (C)</w:t>
            </w:r>
          </w:p>
          <w:p w14:paraId="543B6A9C" w14:textId="77777777" w:rsidR="00990B14" w:rsidRDefault="00000000">
            <w:pPr>
              <w:spacing w:after="40"/>
              <w:jc w:val="both"/>
            </w:pPr>
            <w:r>
              <w:rPr>
                <w:sz w:val="18"/>
                <w:szCs w:val="18"/>
              </w:rPr>
              <w:t>Políticas de respaldo y plan de continuidad: periodicidad, custodia externa y pruebas de restauración. (P)</w:t>
            </w:r>
          </w:p>
          <w:p w14:paraId="0675CB20" w14:textId="77777777" w:rsidR="00990B14" w:rsidRDefault="00000000">
            <w:pPr>
              <w:spacing w:after="40"/>
              <w:jc w:val="both"/>
            </w:pPr>
            <w:r>
              <w:rPr>
                <w:sz w:val="18"/>
                <w:szCs w:val="18"/>
              </w:rPr>
              <w:t>Aplicaciones prácticas del sistema contable de escritorio. (C, T)</w:t>
            </w:r>
          </w:p>
          <w:p w14:paraId="6FFE460A" w14:textId="77777777" w:rsidR="00990B14" w:rsidRDefault="00000000">
            <w:pPr>
              <w:spacing w:after="40"/>
              <w:jc w:val="both"/>
            </w:pPr>
            <w:r>
              <w:rPr>
                <w:sz w:val="18"/>
                <w:szCs w:val="18"/>
              </w:rPr>
              <w:t>Fundamentos de computación en la nube y virtualización; diferencias entre los ambientes tradicionales y los ambientes cloud. (C, T)</w:t>
            </w:r>
          </w:p>
          <w:p w14:paraId="08D1EF6A" w14:textId="77777777" w:rsidR="00990B14" w:rsidRDefault="00000000">
            <w:pPr>
              <w:spacing w:after="40"/>
              <w:jc w:val="both"/>
            </w:pPr>
            <w:r>
              <w:rPr>
                <w:sz w:val="18"/>
                <w:szCs w:val="18"/>
              </w:rPr>
              <w:t>Contabilidad colaborativa y plataformas cloud. (C, T)</w:t>
            </w:r>
          </w:p>
          <w:p w14:paraId="78DA59B2" w14:textId="77777777" w:rsidR="00990B14" w:rsidRDefault="00000000">
            <w:pPr>
              <w:spacing w:after="40"/>
              <w:jc w:val="both"/>
            </w:pPr>
            <w:r>
              <w:rPr>
                <w:sz w:val="18"/>
                <w:szCs w:val="18"/>
              </w:rPr>
              <w:t>Software contable en la nube y sus aplicaciones prácticas. (C, T)</w:t>
            </w:r>
          </w:p>
          <w:p w14:paraId="6BAFF799" w14:textId="77777777" w:rsidR="00990B14" w:rsidRDefault="00000000">
            <w:pPr>
              <w:spacing w:after="40"/>
              <w:jc w:val="both"/>
            </w:pPr>
            <w:r>
              <w:rPr>
                <w:sz w:val="18"/>
                <w:szCs w:val="18"/>
              </w:rPr>
              <w:t>Criterios de selección de un sistema contable: licenciamiento, soporte, interoperabilidad, costo total y continuidad del servicio. (C, T)</w:t>
            </w:r>
          </w:p>
          <w:p w14:paraId="58BAA530" w14:textId="77777777" w:rsidR="00990B14" w:rsidRDefault="00000000">
            <w:pPr>
              <w:spacing w:after="40"/>
              <w:jc w:val="both"/>
            </w:pPr>
            <w:r>
              <w:rPr>
                <w:sz w:val="18"/>
                <w:szCs w:val="18"/>
              </w:rPr>
              <w:t>Seguridad de la información en los sistemas contables: control de accesos por usuario, perfiles, pistas de auditoría y confidencialidad de los datos. (C, A, T)</w:t>
            </w:r>
          </w:p>
          <w:p w14:paraId="0B5FFEFA" w14:textId="77777777" w:rsidR="00990B14" w:rsidRDefault="00000000">
            <w:pPr>
              <w:spacing w:after="40"/>
              <w:jc w:val="both"/>
            </w:pPr>
            <w:r>
              <w:rPr>
                <w:sz w:val="18"/>
                <w:szCs w:val="18"/>
              </w:rPr>
              <w:t>Terminología de sistemas en inglés: cloud computing, backup, dashboard, data analytics y audit trail. (C)</w:t>
            </w:r>
          </w:p>
        </w:tc>
        <w:tc>
          <w:tcPr>
            <w:tcW w:w="2752" w:type="dxa"/>
            <w:gridSpan w:val="3"/>
            <w:shd w:val="clear" w:color="auto" w:fill="D9E2F3"/>
          </w:tcPr>
          <w:p w14:paraId="7CC57CCE" w14:textId="77777777" w:rsidR="00990B14" w:rsidRDefault="00000000">
            <w:pPr>
              <w:numPr>
                <w:ilvl w:val="0"/>
                <w:numId w:val="139"/>
              </w:numPr>
              <w:spacing w:before="10" w:after="10"/>
              <w:jc w:val="both"/>
            </w:pPr>
            <w:r>
              <w:rPr>
                <w:sz w:val="18"/>
                <w:szCs w:val="18"/>
              </w:rPr>
              <w:t>Nociones de instalación de software y de configuración.</w:t>
            </w:r>
          </w:p>
          <w:p w14:paraId="3F51EFAF" w14:textId="77777777" w:rsidR="00990B14" w:rsidRDefault="00000000">
            <w:pPr>
              <w:numPr>
                <w:ilvl w:val="0"/>
                <w:numId w:val="139"/>
              </w:numPr>
              <w:spacing w:before="10" w:after="10"/>
              <w:jc w:val="both"/>
            </w:pPr>
            <w:r>
              <w:rPr>
                <w:sz w:val="18"/>
                <w:szCs w:val="18"/>
              </w:rPr>
              <w:t>Nociones de licenciamiento de software y de contratos de servicios en la nube.</w:t>
            </w:r>
          </w:p>
        </w:tc>
      </w:tr>
      <w:tr w:rsidR="00990B14" w14:paraId="7E667941" w14:textId="77777777">
        <w:trPr>
          <w:cantSplit/>
          <w:jc w:val="center"/>
        </w:trPr>
        <w:tc>
          <w:tcPr>
            <w:tcW w:w="9405" w:type="dxa"/>
            <w:gridSpan w:val="13"/>
            <w:shd w:val="clear" w:color="auto" w:fill="D9E2F3"/>
            <w:vAlign w:val="center"/>
          </w:tcPr>
          <w:p w14:paraId="4B32FED1" w14:textId="77777777" w:rsidR="00990B14" w:rsidRDefault="00000000">
            <w:pPr>
              <w:spacing w:before="20" w:after="20"/>
              <w:jc w:val="both"/>
            </w:pPr>
            <w:r>
              <w:rPr>
                <w:b/>
                <w:bCs/>
                <w:i/>
                <w:iCs/>
                <w:sz w:val="18"/>
                <w:szCs w:val="18"/>
              </w:rPr>
              <w:t xml:space="preserve">Elemento de competencia 2: </w:t>
            </w:r>
            <w:r>
              <w:rPr>
                <w:sz w:val="18"/>
                <w:szCs w:val="18"/>
              </w:rPr>
              <w:t>Gestiona un sistema automatizado de activos fijos, desde el ingreso, actualización, depreciación, revalúo y otros relacionados hasta la generación de reportes para la toma de decisiones.</w:t>
            </w:r>
          </w:p>
        </w:tc>
      </w:tr>
      <w:tr w:rsidR="00990B14" w14:paraId="779E008B" w14:textId="77777777">
        <w:trPr>
          <w:cantSplit/>
          <w:jc w:val="center"/>
        </w:trPr>
        <w:tc>
          <w:tcPr>
            <w:tcW w:w="3133" w:type="dxa"/>
            <w:gridSpan w:val="4"/>
            <w:shd w:val="clear" w:color="auto" w:fill="4472C4"/>
            <w:vAlign w:val="center"/>
          </w:tcPr>
          <w:p w14:paraId="3C46B0F1"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7EFEF0FA"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156FA873" w14:textId="77777777" w:rsidR="00990B14" w:rsidRDefault="00000000">
            <w:pPr>
              <w:keepNext/>
              <w:spacing w:before="20" w:after="20"/>
              <w:jc w:val="center"/>
            </w:pPr>
            <w:r>
              <w:rPr>
                <w:b/>
                <w:bCs/>
                <w:i/>
                <w:iCs/>
                <w:color w:val="FFFFFF"/>
                <w:sz w:val="18"/>
                <w:szCs w:val="18"/>
              </w:rPr>
              <w:t>Evidencias de producto</w:t>
            </w:r>
          </w:p>
        </w:tc>
      </w:tr>
      <w:tr w:rsidR="00990B14" w14:paraId="09DB774E" w14:textId="77777777">
        <w:trPr>
          <w:cantSplit/>
          <w:jc w:val="center"/>
        </w:trPr>
        <w:tc>
          <w:tcPr>
            <w:tcW w:w="3133" w:type="dxa"/>
            <w:gridSpan w:val="4"/>
            <w:vMerge w:val="restart"/>
            <w:shd w:val="clear" w:color="auto" w:fill="D9E2F3"/>
            <w:vAlign w:val="center"/>
          </w:tcPr>
          <w:p w14:paraId="0387BA41" w14:textId="77777777" w:rsidR="00990B14" w:rsidRDefault="00000000">
            <w:pPr>
              <w:spacing w:before="20" w:after="20"/>
              <w:jc w:val="both"/>
            </w:pPr>
            <w:r>
              <w:rPr>
                <w:sz w:val="18"/>
                <w:szCs w:val="18"/>
              </w:rPr>
              <w:t>1. Registra el ingreso, la modificación, la transferencia y la baja de los activos fijos en un sistema automatizado, conservando su información física y valorada.</w:t>
            </w:r>
          </w:p>
        </w:tc>
        <w:tc>
          <w:tcPr>
            <w:tcW w:w="3135" w:type="dxa"/>
            <w:gridSpan w:val="5"/>
            <w:shd w:val="clear" w:color="auto" w:fill="D9E2F3"/>
            <w:vAlign w:val="center"/>
          </w:tcPr>
          <w:p w14:paraId="0900F681" w14:textId="77777777" w:rsidR="00990B14" w:rsidRDefault="00000000">
            <w:pPr>
              <w:spacing w:before="20" w:after="20"/>
              <w:jc w:val="both"/>
            </w:pPr>
            <w:r>
              <w:rPr>
                <w:sz w:val="18"/>
                <w:szCs w:val="18"/>
              </w:rPr>
              <w:t>1.1 Registra en el laboratorio de cómputo la incorporación, la transferencia y la baja de los activos fijos de un caso práctico.</w:t>
            </w:r>
          </w:p>
        </w:tc>
        <w:tc>
          <w:tcPr>
            <w:tcW w:w="3137" w:type="dxa"/>
            <w:gridSpan w:val="4"/>
            <w:shd w:val="clear" w:color="auto" w:fill="D9E2F3"/>
            <w:vAlign w:val="center"/>
          </w:tcPr>
          <w:p w14:paraId="04FD70C2" w14:textId="77777777" w:rsidR="00990B14" w:rsidRDefault="00000000">
            <w:pPr>
              <w:spacing w:before="20" w:after="20"/>
              <w:jc w:val="both"/>
            </w:pPr>
            <w:r>
              <w:rPr>
                <w:b/>
                <w:bCs/>
                <w:sz w:val="18"/>
                <w:szCs w:val="18"/>
              </w:rPr>
              <w:t xml:space="preserve">Producto 5: </w:t>
            </w:r>
            <w:r>
              <w:rPr>
                <w:sz w:val="18"/>
                <w:szCs w:val="18"/>
              </w:rPr>
              <w:t>Ficha de incorporación de un activo fijo con su información física y valorada.</w:t>
            </w:r>
          </w:p>
        </w:tc>
      </w:tr>
      <w:tr w:rsidR="00990B14" w14:paraId="08C3EB8C" w14:textId="77777777">
        <w:trPr>
          <w:cantSplit/>
          <w:jc w:val="center"/>
        </w:trPr>
        <w:tc>
          <w:tcPr>
            <w:tcW w:w="3133" w:type="dxa"/>
            <w:gridSpan w:val="4"/>
            <w:vMerge/>
            <w:shd w:val="clear" w:color="auto" w:fill="D9E2F3"/>
            <w:vAlign w:val="center"/>
          </w:tcPr>
          <w:p w14:paraId="437CA0FC" w14:textId="77777777" w:rsidR="00990B14" w:rsidRDefault="00990B14">
            <w:pPr>
              <w:spacing w:before="20" w:after="20"/>
            </w:pPr>
          </w:p>
        </w:tc>
        <w:tc>
          <w:tcPr>
            <w:tcW w:w="3135" w:type="dxa"/>
            <w:gridSpan w:val="5"/>
            <w:shd w:val="clear" w:color="auto" w:fill="D9E2F3"/>
            <w:vAlign w:val="center"/>
          </w:tcPr>
          <w:p w14:paraId="1F38BF7C" w14:textId="77777777" w:rsidR="00990B14" w:rsidRDefault="00000000">
            <w:pPr>
              <w:spacing w:before="20" w:after="20"/>
              <w:jc w:val="both"/>
            </w:pPr>
            <w:r>
              <w:rPr>
                <w:sz w:val="18"/>
                <w:szCs w:val="18"/>
              </w:rPr>
              <w:t>1.2 Concilia en equipo el inventario físico de activos fijos levantado con códigos QR con los saldos del sistema.</w:t>
            </w:r>
          </w:p>
        </w:tc>
        <w:tc>
          <w:tcPr>
            <w:tcW w:w="3137" w:type="dxa"/>
            <w:gridSpan w:val="4"/>
            <w:shd w:val="clear" w:color="auto" w:fill="D9E2F3"/>
            <w:vAlign w:val="center"/>
          </w:tcPr>
          <w:p w14:paraId="5F16CD04" w14:textId="77777777" w:rsidR="00990B14" w:rsidRDefault="00000000">
            <w:pPr>
              <w:spacing w:before="20" w:after="20"/>
              <w:jc w:val="both"/>
            </w:pPr>
            <w:r>
              <w:rPr>
                <w:b/>
                <w:bCs/>
                <w:sz w:val="18"/>
                <w:szCs w:val="18"/>
              </w:rPr>
              <w:t xml:space="preserve">Producto 6: </w:t>
            </w:r>
            <w:r>
              <w:rPr>
                <w:sz w:val="18"/>
                <w:szCs w:val="18"/>
              </w:rPr>
              <w:t>Acta de conciliación del inventario físico de activos fijos con el sistema.</w:t>
            </w:r>
          </w:p>
        </w:tc>
      </w:tr>
      <w:tr w:rsidR="00990B14" w14:paraId="10F1FB3E" w14:textId="77777777">
        <w:trPr>
          <w:cantSplit/>
          <w:jc w:val="center"/>
        </w:trPr>
        <w:tc>
          <w:tcPr>
            <w:tcW w:w="3133" w:type="dxa"/>
            <w:gridSpan w:val="4"/>
            <w:vMerge w:val="restart"/>
            <w:shd w:val="clear" w:color="auto" w:fill="D9E2F3"/>
            <w:vAlign w:val="center"/>
          </w:tcPr>
          <w:p w14:paraId="5F300C36" w14:textId="77777777" w:rsidR="00990B14" w:rsidRDefault="00000000">
            <w:pPr>
              <w:spacing w:before="20" w:after="20"/>
              <w:jc w:val="both"/>
            </w:pPr>
            <w:r>
              <w:rPr>
                <w:sz w:val="18"/>
                <w:szCs w:val="18"/>
              </w:rPr>
              <w:t>2. Calcula la actualización, la depreciación y el revalúo de los activos fijos en el sistema, parametrizando sus vidas útiles conforme a la normativa tributaria y a la política contable.</w:t>
            </w:r>
          </w:p>
        </w:tc>
        <w:tc>
          <w:tcPr>
            <w:tcW w:w="3135" w:type="dxa"/>
            <w:gridSpan w:val="5"/>
            <w:shd w:val="clear" w:color="auto" w:fill="D9E2F3"/>
            <w:vAlign w:val="center"/>
          </w:tcPr>
          <w:p w14:paraId="51514FDA" w14:textId="77777777" w:rsidR="00990B14" w:rsidRDefault="00000000">
            <w:pPr>
              <w:spacing w:before="20" w:after="20"/>
              <w:jc w:val="both"/>
            </w:pPr>
            <w:r>
              <w:rPr>
                <w:sz w:val="18"/>
                <w:szCs w:val="18"/>
              </w:rPr>
              <w:t>2.1 Parametriza las vidas útiles y los coeficientes de depreciación del sistema de activos fijos.</w:t>
            </w:r>
          </w:p>
        </w:tc>
        <w:tc>
          <w:tcPr>
            <w:tcW w:w="3137" w:type="dxa"/>
            <w:gridSpan w:val="4"/>
            <w:shd w:val="clear" w:color="auto" w:fill="D9E2F3"/>
            <w:vAlign w:val="center"/>
          </w:tcPr>
          <w:p w14:paraId="37714F0A" w14:textId="77777777" w:rsidR="00990B14" w:rsidRDefault="00000000">
            <w:pPr>
              <w:spacing w:before="20" w:after="20"/>
              <w:jc w:val="both"/>
            </w:pPr>
            <w:r>
              <w:rPr>
                <w:b/>
                <w:bCs/>
                <w:sz w:val="18"/>
                <w:szCs w:val="18"/>
              </w:rPr>
              <w:t xml:space="preserve">Producto 7: </w:t>
            </w:r>
            <w:r>
              <w:rPr>
                <w:sz w:val="18"/>
                <w:szCs w:val="18"/>
              </w:rPr>
              <w:t>Tabla de parámetros de vidas útiles y coeficientes de depreciación.</w:t>
            </w:r>
          </w:p>
        </w:tc>
      </w:tr>
      <w:tr w:rsidR="00990B14" w14:paraId="0813ADC4" w14:textId="77777777">
        <w:trPr>
          <w:cantSplit/>
          <w:jc w:val="center"/>
        </w:trPr>
        <w:tc>
          <w:tcPr>
            <w:tcW w:w="3133" w:type="dxa"/>
            <w:gridSpan w:val="4"/>
            <w:vMerge/>
            <w:shd w:val="clear" w:color="auto" w:fill="D9E2F3"/>
            <w:vAlign w:val="center"/>
          </w:tcPr>
          <w:p w14:paraId="2E402D60" w14:textId="77777777" w:rsidR="00990B14" w:rsidRDefault="00990B14">
            <w:pPr>
              <w:spacing w:before="20" w:after="20"/>
            </w:pPr>
          </w:p>
        </w:tc>
        <w:tc>
          <w:tcPr>
            <w:tcW w:w="3135" w:type="dxa"/>
            <w:gridSpan w:val="5"/>
            <w:shd w:val="clear" w:color="auto" w:fill="D9E2F3"/>
            <w:vAlign w:val="center"/>
          </w:tcPr>
          <w:p w14:paraId="6F198A06" w14:textId="77777777" w:rsidR="00990B14" w:rsidRDefault="00000000">
            <w:pPr>
              <w:spacing w:before="20" w:after="20"/>
              <w:jc w:val="both"/>
            </w:pPr>
            <w:r>
              <w:rPr>
                <w:sz w:val="18"/>
                <w:szCs w:val="18"/>
              </w:rPr>
              <w:t>2.2 Calcula en equipo la depreciación y el revalúo de un activo fijo y genera los reportes del sistema.</w:t>
            </w:r>
          </w:p>
        </w:tc>
        <w:tc>
          <w:tcPr>
            <w:tcW w:w="3137" w:type="dxa"/>
            <w:gridSpan w:val="4"/>
            <w:shd w:val="clear" w:color="auto" w:fill="D9E2F3"/>
            <w:vAlign w:val="center"/>
          </w:tcPr>
          <w:p w14:paraId="41D0F354" w14:textId="77777777" w:rsidR="00990B14" w:rsidRDefault="00000000">
            <w:pPr>
              <w:spacing w:before="20" w:after="20"/>
              <w:jc w:val="both"/>
            </w:pPr>
            <w:r>
              <w:rPr>
                <w:b/>
                <w:bCs/>
                <w:sz w:val="18"/>
                <w:szCs w:val="18"/>
              </w:rPr>
              <w:t xml:space="preserve">Producto 8: </w:t>
            </w:r>
            <w:r>
              <w:rPr>
                <w:sz w:val="18"/>
                <w:szCs w:val="18"/>
              </w:rPr>
              <w:t>Reportes de depreciación y revalúo de activos fijos de un caso práctico.</w:t>
            </w:r>
          </w:p>
        </w:tc>
      </w:tr>
      <w:tr w:rsidR="00990B14" w14:paraId="2C5DC052" w14:textId="77777777">
        <w:trPr>
          <w:cantSplit/>
          <w:jc w:val="center"/>
        </w:trPr>
        <w:tc>
          <w:tcPr>
            <w:tcW w:w="9405" w:type="dxa"/>
            <w:gridSpan w:val="13"/>
            <w:shd w:val="clear" w:color="auto" w:fill="4472C4"/>
            <w:vAlign w:val="center"/>
          </w:tcPr>
          <w:p w14:paraId="75FE0048" w14:textId="77777777" w:rsidR="00990B14" w:rsidRDefault="00000000">
            <w:pPr>
              <w:keepNext/>
              <w:spacing w:before="20" w:after="20"/>
              <w:jc w:val="center"/>
            </w:pPr>
            <w:r>
              <w:rPr>
                <w:b/>
                <w:bCs/>
                <w:i/>
                <w:iCs/>
                <w:color w:val="FFFFFF"/>
                <w:sz w:val="18"/>
                <w:szCs w:val="18"/>
              </w:rPr>
              <w:t>Evidencias de conocimiento</w:t>
            </w:r>
          </w:p>
        </w:tc>
      </w:tr>
      <w:tr w:rsidR="00990B14" w14:paraId="58708DF4" w14:textId="77777777">
        <w:trPr>
          <w:cantSplit/>
          <w:jc w:val="center"/>
        </w:trPr>
        <w:tc>
          <w:tcPr>
            <w:tcW w:w="2349" w:type="dxa"/>
            <w:gridSpan w:val="2"/>
            <w:shd w:val="clear" w:color="auto" w:fill="4472C4"/>
            <w:vAlign w:val="center"/>
          </w:tcPr>
          <w:p w14:paraId="23A7CE80"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77A9CDA0" w14:textId="77777777" w:rsidR="00990B14" w:rsidRDefault="00000000">
            <w:pPr>
              <w:keepNext/>
              <w:spacing w:before="20" w:after="20"/>
              <w:jc w:val="both"/>
            </w:pPr>
            <w:r>
              <w:rPr>
                <w:b/>
                <w:bCs/>
                <w:i/>
                <w:iCs/>
                <w:color w:val="FFFFFF"/>
                <w:sz w:val="18"/>
                <w:szCs w:val="18"/>
              </w:rPr>
              <w:t>Contenidos</w:t>
            </w:r>
          </w:p>
          <w:p w14:paraId="48427E1E"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39ED1CA4" w14:textId="77777777" w:rsidR="00990B14" w:rsidRDefault="00000000">
            <w:pPr>
              <w:keepNext/>
              <w:spacing w:before="20" w:after="20"/>
              <w:jc w:val="center"/>
            </w:pPr>
            <w:r>
              <w:rPr>
                <w:b/>
                <w:bCs/>
                <w:i/>
                <w:iCs/>
                <w:color w:val="FFFFFF"/>
                <w:sz w:val="18"/>
                <w:szCs w:val="18"/>
              </w:rPr>
              <w:t>Conocimientos circunstanciales</w:t>
            </w:r>
          </w:p>
        </w:tc>
      </w:tr>
      <w:tr w:rsidR="00990B14" w14:paraId="2D8FDF8F" w14:textId="77777777">
        <w:trPr>
          <w:jc w:val="center"/>
        </w:trPr>
        <w:tc>
          <w:tcPr>
            <w:tcW w:w="2349" w:type="dxa"/>
            <w:gridSpan w:val="2"/>
            <w:shd w:val="clear" w:color="auto" w:fill="D9E2F3"/>
          </w:tcPr>
          <w:p w14:paraId="7102A354" w14:textId="77777777" w:rsidR="00990B14" w:rsidRDefault="00000000">
            <w:pPr>
              <w:spacing w:before="20" w:after="40"/>
              <w:jc w:val="both"/>
            </w:pPr>
            <w:r>
              <w:rPr>
                <w:sz w:val="18"/>
                <w:szCs w:val="18"/>
              </w:rPr>
              <w:t>Tema 3: Sistema de Activos Fijos</w:t>
            </w:r>
          </w:p>
        </w:tc>
        <w:tc>
          <w:tcPr>
            <w:tcW w:w="4304" w:type="dxa"/>
            <w:gridSpan w:val="8"/>
            <w:shd w:val="clear" w:color="auto" w:fill="D9E2F3"/>
          </w:tcPr>
          <w:p w14:paraId="0D40B79E" w14:textId="77777777" w:rsidR="00990B14" w:rsidRDefault="00000000">
            <w:pPr>
              <w:spacing w:after="40"/>
              <w:jc w:val="both"/>
            </w:pPr>
            <w:r>
              <w:rPr>
                <w:sz w:val="18"/>
                <w:szCs w:val="18"/>
              </w:rPr>
              <w:t>Instalación del software de activos fijos; adición de una nueva empresa, de una nueva gestión y de la instalación en red. (C, T)</w:t>
            </w:r>
          </w:p>
          <w:p w14:paraId="06D0E3AC" w14:textId="77777777" w:rsidR="00990B14" w:rsidRDefault="00000000">
            <w:pPr>
              <w:spacing w:after="40"/>
              <w:jc w:val="both"/>
            </w:pPr>
            <w:r>
              <w:rPr>
                <w:sz w:val="18"/>
                <w:szCs w:val="18"/>
              </w:rPr>
              <w:t>Registro y control de activos fijos; tablas básicas e incorporación del activo fijo. (P)</w:t>
            </w:r>
          </w:p>
          <w:p w14:paraId="16BAE49A" w14:textId="77777777" w:rsidR="00990B14" w:rsidRDefault="00000000">
            <w:pPr>
              <w:spacing w:after="40"/>
              <w:jc w:val="both"/>
            </w:pPr>
            <w:r>
              <w:rPr>
                <w:sz w:val="18"/>
                <w:szCs w:val="18"/>
              </w:rPr>
              <w:t>Información física y valorada, e ingreso y entrega del activo fijo. (C)</w:t>
            </w:r>
          </w:p>
          <w:p w14:paraId="1AE09461" w14:textId="77777777" w:rsidR="00990B14" w:rsidRDefault="00000000">
            <w:pPr>
              <w:spacing w:after="40"/>
              <w:jc w:val="both"/>
            </w:pPr>
            <w:r>
              <w:rPr>
                <w:sz w:val="18"/>
                <w:szCs w:val="18"/>
              </w:rPr>
              <w:t>Modificación y transferencia del activo fijo. (C)</w:t>
            </w:r>
          </w:p>
          <w:p w14:paraId="34A91C10" w14:textId="77777777" w:rsidR="00990B14" w:rsidRDefault="00000000">
            <w:pPr>
              <w:spacing w:after="40"/>
              <w:jc w:val="both"/>
            </w:pPr>
            <w:r>
              <w:rPr>
                <w:sz w:val="18"/>
                <w:szCs w:val="18"/>
              </w:rPr>
              <w:t>Baja y revalúo de activos fijos. (C)</w:t>
            </w:r>
          </w:p>
          <w:p w14:paraId="56A66EF3" w14:textId="77777777" w:rsidR="00990B14" w:rsidRDefault="00000000">
            <w:pPr>
              <w:spacing w:after="40"/>
              <w:jc w:val="both"/>
            </w:pPr>
            <w:r>
              <w:rPr>
                <w:sz w:val="18"/>
                <w:szCs w:val="18"/>
              </w:rPr>
              <w:t>Actualización y depreciación de activos fijos. (C)</w:t>
            </w:r>
          </w:p>
          <w:p w14:paraId="49FB31A6" w14:textId="77777777" w:rsidR="00990B14" w:rsidRDefault="00000000">
            <w:pPr>
              <w:spacing w:after="40"/>
              <w:jc w:val="both"/>
            </w:pPr>
            <w:r>
              <w:rPr>
                <w:sz w:val="18"/>
                <w:szCs w:val="18"/>
              </w:rPr>
              <w:t>Parametrización de las vidas útiles y de los coeficientes de depreciación del sistema conforme a la normativa tributaria y a la política contable de la empresa. (C)</w:t>
            </w:r>
          </w:p>
          <w:p w14:paraId="44AC912F" w14:textId="77777777" w:rsidR="00990B14" w:rsidRDefault="00000000">
            <w:pPr>
              <w:spacing w:after="40"/>
              <w:jc w:val="both"/>
            </w:pPr>
            <w:r>
              <w:rPr>
                <w:sz w:val="18"/>
                <w:szCs w:val="18"/>
              </w:rPr>
              <w:t>Reportes de activos fijos. (C)</w:t>
            </w:r>
          </w:p>
          <w:p w14:paraId="2B4A96C9" w14:textId="77777777" w:rsidR="00990B14" w:rsidRDefault="00000000">
            <w:pPr>
              <w:spacing w:after="40"/>
              <w:jc w:val="both"/>
            </w:pPr>
            <w:r>
              <w:rPr>
                <w:sz w:val="18"/>
                <w:szCs w:val="18"/>
              </w:rPr>
              <w:t>Inventario físico de activos fijos con lectura de códigos de barras o QR y conciliación con los saldos del sistema. (P)</w:t>
            </w:r>
          </w:p>
          <w:p w14:paraId="67876745" w14:textId="77777777" w:rsidR="00990B14" w:rsidRDefault="00000000">
            <w:pPr>
              <w:spacing w:after="40"/>
              <w:jc w:val="both"/>
            </w:pPr>
            <w:r>
              <w:rPr>
                <w:sz w:val="18"/>
                <w:szCs w:val="18"/>
              </w:rPr>
              <w:t>Respaldo y recuperación de la información (backup); importación y exportación de datos. (C)</w:t>
            </w:r>
          </w:p>
          <w:p w14:paraId="5091C27E" w14:textId="77777777" w:rsidR="00990B14" w:rsidRDefault="00000000">
            <w:pPr>
              <w:spacing w:after="40"/>
              <w:jc w:val="both"/>
            </w:pPr>
            <w:r>
              <w:rPr>
                <w:sz w:val="18"/>
                <w:szCs w:val="18"/>
              </w:rPr>
              <w:t>Aplicaciones prácticas del sistema de activos fijos. (C)</w:t>
            </w:r>
          </w:p>
          <w:p w14:paraId="02DF425B" w14:textId="77777777" w:rsidR="00990B14" w:rsidRDefault="00000000">
            <w:pPr>
              <w:spacing w:after="40"/>
              <w:jc w:val="both"/>
            </w:pPr>
            <w:r>
              <w:rPr>
                <w:sz w:val="18"/>
                <w:szCs w:val="18"/>
              </w:rPr>
              <w:t>Control interno de activos fijos: asignación de responsables, autorización de altas y bajas, y seguimiento de los bienes en arrendamiento o comodato. (P)</w:t>
            </w:r>
          </w:p>
        </w:tc>
        <w:tc>
          <w:tcPr>
            <w:tcW w:w="2752" w:type="dxa"/>
            <w:gridSpan w:val="3"/>
            <w:shd w:val="clear" w:color="auto" w:fill="D9E2F3"/>
          </w:tcPr>
          <w:p w14:paraId="4A0143B9" w14:textId="77777777" w:rsidR="00990B14" w:rsidRDefault="00000000">
            <w:pPr>
              <w:numPr>
                <w:ilvl w:val="0"/>
                <w:numId w:val="139"/>
              </w:numPr>
              <w:spacing w:before="10" w:after="10"/>
              <w:jc w:val="both"/>
            </w:pPr>
            <w:r>
              <w:rPr>
                <w:sz w:val="18"/>
                <w:szCs w:val="18"/>
              </w:rPr>
              <w:t>Nociones del uso de lectoras de códigos de barras y de etiquetas QR para el control de bienes.</w:t>
            </w:r>
          </w:p>
        </w:tc>
      </w:tr>
      <w:tr w:rsidR="00990B14" w14:paraId="6B82BBE6" w14:textId="77777777">
        <w:trPr>
          <w:cantSplit/>
          <w:jc w:val="center"/>
        </w:trPr>
        <w:tc>
          <w:tcPr>
            <w:tcW w:w="9405" w:type="dxa"/>
            <w:gridSpan w:val="13"/>
            <w:shd w:val="clear" w:color="auto" w:fill="D9E2F3"/>
            <w:vAlign w:val="center"/>
          </w:tcPr>
          <w:p w14:paraId="03804925" w14:textId="77777777" w:rsidR="00990B14" w:rsidRDefault="00000000">
            <w:pPr>
              <w:spacing w:before="20" w:after="20"/>
              <w:jc w:val="both"/>
            </w:pPr>
            <w:r>
              <w:rPr>
                <w:b/>
                <w:bCs/>
                <w:i/>
                <w:iCs/>
                <w:sz w:val="18"/>
                <w:szCs w:val="18"/>
              </w:rPr>
              <w:t xml:space="preserve">Elemento de competencia 3: </w:t>
            </w:r>
            <w:r>
              <w:rPr>
                <w:sz w:val="18"/>
                <w:szCs w:val="18"/>
              </w:rPr>
              <w:t>Gestiona el sistema de inventarios de escritorio, en la nube y de punto de venta, valuando las existencias y generando los reportes de kardex, de clientes y de proveedores de un modelo de negocio.</w:t>
            </w:r>
          </w:p>
        </w:tc>
      </w:tr>
      <w:tr w:rsidR="00990B14" w14:paraId="26D6341D" w14:textId="77777777">
        <w:trPr>
          <w:cantSplit/>
          <w:jc w:val="center"/>
        </w:trPr>
        <w:tc>
          <w:tcPr>
            <w:tcW w:w="3133" w:type="dxa"/>
            <w:gridSpan w:val="4"/>
            <w:shd w:val="clear" w:color="auto" w:fill="4472C4"/>
            <w:vAlign w:val="center"/>
          </w:tcPr>
          <w:p w14:paraId="116F4DE2"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760B9D28"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3699015E" w14:textId="77777777" w:rsidR="00990B14" w:rsidRDefault="00000000">
            <w:pPr>
              <w:keepNext/>
              <w:spacing w:before="20" w:after="20"/>
              <w:jc w:val="center"/>
            </w:pPr>
            <w:r>
              <w:rPr>
                <w:b/>
                <w:bCs/>
                <w:i/>
                <w:iCs/>
                <w:color w:val="FFFFFF"/>
                <w:sz w:val="18"/>
                <w:szCs w:val="18"/>
              </w:rPr>
              <w:t>Evidencias de producto</w:t>
            </w:r>
          </w:p>
        </w:tc>
      </w:tr>
      <w:tr w:rsidR="00990B14" w14:paraId="4BCBBCBF" w14:textId="77777777">
        <w:trPr>
          <w:cantSplit/>
          <w:jc w:val="center"/>
        </w:trPr>
        <w:tc>
          <w:tcPr>
            <w:tcW w:w="3133" w:type="dxa"/>
            <w:gridSpan w:val="4"/>
            <w:vMerge w:val="restart"/>
            <w:shd w:val="clear" w:color="auto" w:fill="D9E2F3"/>
            <w:vAlign w:val="center"/>
          </w:tcPr>
          <w:p w14:paraId="029A0286" w14:textId="77777777" w:rsidR="00990B14" w:rsidRDefault="00000000">
            <w:pPr>
              <w:spacing w:before="20" w:after="20"/>
              <w:jc w:val="both"/>
            </w:pPr>
            <w:r>
              <w:rPr>
                <w:sz w:val="18"/>
                <w:szCs w:val="18"/>
              </w:rPr>
              <w:t>1. Analiza las desviaciones entre el inventario físico y el sistema, proponiendo medidas de control interno preventivas</w:t>
            </w:r>
          </w:p>
        </w:tc>
        <w:tc>
          <w:tcPr>
            <w:tcW w:w="3135" w:type="dxa"/>
            <w:gridSpan w:val="5"/>
            <w:shd w:val="clear" w:color="auto" w:fill="D9E2F3"/>
            <w:vAlign w:val="center"/>
          </w:tcPr>
          <w:p w14:paraId="695F74D1" w14:textId="77777777" w:rsidR="00990B14" w:rsidRDefault="00000000">
            <w:pPr>
              <w:spacing w:before="20" w:after="20"/>
              <w:jc w:val="both"/>
            </w:pPr>
            <w:r>
              <w:rPr>
                <w:sz w:val="18"/>
                <w:szCs w:val="18"/>
              </w:rPr>
              <w:t>1.1 Codifica y parametriza en el laboratorio de cómputo los productos de un caso práctico en el sistema de inventarios.</w:t>
            </w:r>
          </w:p>
        </w:tc>
        <w:tc>
          <w:tcPr>
            <w:tcW w:w="3137" w:type="dxa"/>
            <w:gridSpan w:val="4"/>
            <w:shd w:val="clear" w:color="auto" w:fill="D9E2F3"/>
            <w:vAlign w:val="center"/>
          </w:tcPr>
          <w:p w14:paraId="0E11613B" w14:textId="77777777" w:rsidR="00990B14" w:rsidRDefault="00000000">
            <w:pPr>
              <w:spacing w:before="20" w:after="20"/>
              <w:jc w:val="both"/>
            </w:pPr>
            <w:r>
              <w:rPr>
                <w:b/>
                <w:bCs/>
                <w:sz w:val="18"/>
                <w:szCs w:val="18"/>
              </w:rPr>
              <w:t xml:space="preserve">Producto 9: </w:t>
            </w:r>
            <w:r>
              <w:rPr>
                <w:sz w:val="18"/>
                <w:szCs w:val="18"/>
              </w:rPr>
              <w:t>Catálogo de productos codificado y parametrizado en el sistema.</w:t>
            </w:r>
          </w:p>
        </w:tc>
      </w:tr>
      <w:tr w:rsidR="00990B14" w14:paraId="6D23E8F0" w14:textId="77777777">
        <w:trPr>
          <w:cantSplit/>
          <w:jc w:val="center"/>
        </w:trPr>
        <w:tc>
          <w:tcPr>
            <w:tcW w:w="3133" w:type="dxa"/>
            <w:gridSpan w:val="4"/>
            <w:vMerge/>
            <w:shd w:val="clear" w:color="auto" w:fill="D9E2F3"/>
            <w:vAlign w:val="center"/>
          </w:tcPr>
          <w:p w14:paraId="6214BA96" w14:textId="77777777" w:rsidR="00990B14" w:rsidRDefault="00990B14">
            <w:pPr>
              <w:spacing w:before="20" w:after="20"/>
            </w:pPr>
          </w:p>
        </w:tc>
        <w:tc>
          <w:tcPr>
            <w:tcW w:w="3135" w:type="dxa"/>
            <w:gridSpan w:val="5"/>
            <w:shd w:val="clear" w:color="auto" w:fill="D9E2F3"/>
            <w:vAlign w:val="center"/>
          </w:tcPr>
          <w:p w14:paraId="5046E61B" w14:textId="77777777" w:rsidR="00990B14" w:rsidRDefault="00000000">
            <w:pPr>
              <w:spacing w:before="20" w:after="20"/>
              <w:jc w:val="both"/>
            </w:pPr>
            <w:r>
              <w:rPr>
                <w:sz w:val="18"/>
                <w:szCs w:val="18"/>
              </w:rPr>
              <w:t>1.2 Registra las entradas, salidas y traspasos de almacén de un caso y emite reportes el kardex físico valorado.</w:t>
            </w:r>
          </w:p>
        </w:tc>
        <w:tc>
          <w:tcPr>
            <w:tcW w:w="3137" w:type="dxa"/>
            <w:gridSpan w:val="4"/>
            <w:shd w:val="clear" w:color="auto" w:fill="D9E2F3"/>
            <w:vAlign w:val="center"/>
          </w:tcPr>
          <w:p w14:paraId="4AF67CF0" w14:textId="77777777" w:rsidR="00990B14" w:rsidRDefault="00000000">
            <w:pPr>
              <w:spacing w:before="20" w:after="20"/>
              <w:jc w:val="both"/>
            </w:pPr>
            <w:r>
              <w:rPr>
                <w:b/>
                <w:bCs/>
                <w:sz w:val="18"/>
                <w:szCs w:val="18"/>
              </w:rPr>
              <w:t xml:space="preserve">Producto 10: </w:t>
            </w:r>
            <w:r>
              <w:rPr>
                <w:sz w:val="18"/>
                <w:szCs w:val="18"/>
              </w:rPr>
              <w:t>Kardex físico valorado con su método de valuación.</w:t>
            </w:r>
          </w:p>
        </w:tc>
      </w:tr>
      <w:tr w:rsidR="00990B14" w14:paraId="0115BFFA" w14:textId="77777777">
        <w:trPr>
          <w:cantSplit/>
          <w:jc w:val="center"/>
        </w:trPr>
        <w:tc>
          <w:tcPr>
            <w:tcW w:w="3133" w:type="dxa"/>
            <w:gridSpan w:val="4"/>
            <w:vMerge w:val="restart"/>
            <w:shd w:val="clear" w:color="auto" w:fill="D9E2F3"/>
            <w:vAlign w:val="center"/>
          </w:tcPr>
          <w:p w14:paraId="15AC32A8" w14:textId="77777777" w:rsidR="00990B14" w:rsidRDefault="00000000">
            <w:pPr>
              <w:spacing w:before="20" w:after="20"/>
              <w:jc w:val="both"/>
            </w:pPr>
            <w:r>
              <w:rPr>
                <w:sz w:val="18"/>
                <w:szCs w:val="18"/>
              </w:rPr>
              <w:t>2. Integra el sistema de punto de venta con la facturación en línea y con el inventario, generando los reportes de clientes, proveedores y saldos.</w:t>
            </w:r>
          </w:p>
        </w:tc>
        <w:tc>
          <w:tcPr>
            <w:tcW w:w="3135" w:type="dxa"/>
            <w:gridSpan w:val="5"/>
            <w:shd w:val="clear" w:color="auto" w:fill="D9E2F3"/>
            <w:vAlign w:val="center"/>
          </w:tcPr>
          <w:p w14:paraId="0A200710" w14:textId="77777777" w:rsidR="00990B14" w:rsidRDefault="00000000">
            <w:pPr>
              <w:spacing w:before="20" w:after="20"/>
              <w:jc w:val="both"/>
            </w:pPr>
            <w:r>
              <w:rPr>
                <w:sz w:val="18"/>
                <w:szCs w:val="18"/>
              </w:rPr>
              <w:t>2.1 Configura en equipo un punto de venta integrado con el módulo de inventarios y con la facturación en línea.</w:t>
            </w:r>
          </w:p>
        </w:tc>
        <w:tc>
          <w:tcPr>
            <w:tcW w:w="3137" w:type="dxa"/>
            <w:gridSpan w:val="4"/>
            <w:shd w:val="clear" w:color="auto" w:fill="D9E2F3"/>
            <w:vAlign w:val="center"/>
          </w:tcPr>
          <w:p w14:paraId="09BBB4DA" w14:textId="77777777" w:rsidR="00990B14" w:rsidRDefault="00000000">
            <w:pPr>
              <w:spacing w:before="20" w:after="20"/>
              <w:jc w:val="both"/>
            </w:pPr>
            <w:r>
              <w:rPr>
                <w:b/>
                <w:bCs/>
                <w:sz w:val="18"/>
                <w:szCs w:val="18"/>
              </w:rPr>
              <w:t xml:space="preserve">Producto 11: </w:t>
            </w:r>
            <w:r>
              <w:rPr>
                <w:sz w:val="18"/>
                <w:szCs w:val="18"/>
              </w:rPr>
              <w:t>Punto de venta configurado e integrado con inventarios y facturación.</w:t>
            </w:r>
          </w:p>
        </w:tc>
      </w:tr>
      <w:tr w:rsidR="00990B14" w14:paraId="2304F40D" w14:textId="77777777">
        <w:trPr>
          <w:cantSplit/>
          <w:jc w:val="center"/>
        </w:trPr>
        <w:tc>
          <w:tcPr>
            <w:tcW w:w="3133" w:type="dxa"/>
            <w:gridSpan w:val="4"/>
            <w:vMerge/>
            <w:shd w:val="clear" w:color="auto" w:fill="D9E2F3"/>
            <w:vAlign w:val="center"/>
          </w:tcPr>
          <w:p w14:paraId="3A7296D0" w14:textId="77777777" w:rsidR="00990B14" w:rsidRDefault="00990B14">
            <w:pPr>
              <w:spacing w:before="20" w:after="20"/>
            </w:pPr>
          </w:p>
        </w:tc>
        <w:tc>
          <w:tcPr>
            <w:tcW w:w="3135" w:type="dxa"/>
            <w:gridSpan w:val="5"/>
            <w:shd w:val="clear" w:color="auto" w:fill="D9E2F3"/>
            <w:vAlign w:val="center"/>
          </w:tcPr>
          <w:p w14:paraId="59107DDB" w14:textId="77777777" w:rsidR="00990B14" w:rsidRDefault="00000000">
            <w:pPr>
              <w:spacing w:before="20" w:after="20"/>
              <w:jc w:val="both"/>
            </w:pPr>
            <w:r>
              <w:rPr>
                <w:sz w:val="18"/>
                <w:szCs w:val="18"/>
              </w:rPr>
              <w:t>2.2 Concilia ante el curso la toma física de inventarios con el kardex del sistema y explica el tratamiento de las diferencias.</w:t>
            </w:r>
          </w:p>
        </w:tc>
        <w:tc>
          <w:tcPr>
            <w:tcW w:w="3137" w:type="dxa"/>
            <w:gridSpan w:val="4"/>
            <w:shd w:val="clear" w:color="auto" w:fill="D9E2F3"/>
            <w:vAlign w:val="center"/>
          </w:tcPr>
          <w:p w14:paraId="68B92D1F" w14:textId="77777777" w:rsidR="00990B14" w:rsidRDefault="00000000">
            <w:pPr>
              <w:spacing w:before="20" w:after="20"/>
              <w:jc w:val="both"/>
            </w:pPr>
            <w:r>
              <w:rPr>
                <w:b/>
                <w:bCs/>
                <w:sz w:val="18"/>
                <w:szCs w:val="18"/>
              </w:rPr>
              <w:t xml:space="preserve">Producto 12: </w:t>
            </w:r>
            <w:r>
              <w:rPr>
                <w:sz w:val="18"/>
                <w:szCs w:val="18"/>
              </w:rPr>
              <w:t>Reporte de conciliación de la toma física con el kardex.</w:t>
            </w:r>
          </w:p>
        </w:tc>
      </w:tr>
      <w:tr w:rsidR="00990B14" w14:paraId="522BB481" w14:textId="77777777">
        <w:trPr>
          <w:cantSplit/>
          <w:jc w:val="center"/>
        </w:trPr>
        <w:tc>
          <w:tcPr>
            <w:tcW w:w="9405" w:type="dxa"/>
            <w:gridSpan w:val="13"/>
            <w:shd w:val="clear" w:color="auto" w:fill="4472C4"/>
            <w:vAlign w:val="center"/>
          </w:tcPr>
          <w:p w14:paraId="10135EE2" w14:textId="77777777" w:rsidR="00990B14" w:rsidRDefault="00000000">
            <w:pPr>
              <w:keepNext/>
              <w:spacing w:before="20" w:after="20"/>
              <w:jc w:val="center"/>
            </w:pPr>
            <w:r>
              <w:rPr>
                <w:b/>
                <w:bCs/>
                <w:i/>
                <w:iCs/>
                <w:color w:val="FFFFFF"/>
                <w:sz w:val="18"/>
                <w:szCs w:val="18"/>
              </w:rPr>
              <w:t>Evidencias de conocimiento</w:t>
            </w:r>
          </w:p>
        </w:tc>
      </w:tr>
      <w:tr w:rsidR="00990B14" w14:paraId="4CDCE1DB" w14:textId="77777777">
        <w:trPr>
          <w:cantSplit/>
          <w:jc w:val="center"/>
        </w:trPr>
        <w:tc>
          <w:tcPr>
            <w:tcW w:w="2349" w:type="dxa"/>
            <w:gridSpan w:val="2"/>
            <w:shd w:val="clear" w:color="auto" w:fill="4472C4"/>
            <w:vAlign w:val="center"/>
          </w:tcPr>
          <w:p w14:paraId="71B89FBD"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52D4FE8F" w14:textId="77777777" w:rsidR="00990B14" w:rsidRDefault="00000000">
            <w:pPr>
              <w:keepNext/>
              <w:spacing w:before="20" w:after="20"/>
              <w:jc w:val="both"/>
            </w:pPr>
            <w:r>
              <w:rPr>
                <w:b/>
                <w:bCs/>
                <w:i/>
                <w:iCs/>
                <w:color w:val="FFFFFF"/>
                <w:sz w:val="18"/>
                <w:szCs w:val="18"/>
              </w:rPr>
              <w:t>Contenidos</w:t>
            </w:r>
          </w:p>
          <w:p w14:paraId="5036992D"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599F3C65" w14:textId="77777777" w:rsidR="00990B14" w:rsidRDefault="00000000">
            <w:pPr>
              <w:keepNext/>
              <w:spacing w:before="20" w:after="20"/>
              <w:jc w:val="center"/>
            </w:pPr>
            <w:r>
              <w:rPr>
                <w:b/>
                <w:bCs/>
                <w:i/>
                <w:iCs/>
                <w:color w:val="FFFFFF"/>
                <w:sz w:val="18"/>
                <w:szCs w:val="18"/>
              </w:rPr>
              <w:t>Conocimientos circunstanciales</w:t>
            </w:r>
          </w:p>
        </w:tc>
      </w:tr>
      <w:tr w:rsidR="00990B14" w14:paraId="5DE5004B" w14:textId="77777777">
        <w:trPr>
          <w:jc w:val="center"/>
        </w:trPr>
        <w:tc>
          <w:tcPr>
            <w:tcW w:w="2349" w:type="dxa"/>
            <w:gridSpan w:val="2"/>
            <w:shd w:val="clear" w:color="auto" w:fill="D9E2F3"/>
          </w:tcPr>
          <w:p w14:paraId="50D16F5E" w14:textId="77777777" w:rsidR="00990B14" w:rsidRDefault="00000000">
            <w:pPr>
              <w:spacing w:before="20" w:after="40"/>
              <w:jc w:val="both"/>
            </w:pPr>
            <w:r>
              <w:rPr>
                <w:sz w:val="18"/>
                <w:szCs w:val="18"/>
              </w:rPr>
              <w:t>Tema 4: Sistema de Inventarios de Escritorio</w:t>
            </w:r>
          </w:p>
          <w:p w14:paraId="0DAA36B4" w14:textId="77777777" w:rsidR="00990B14" w:rsidRDefault="00000000">
            <w:pPr>
              <w:spacing w:before="20" w:after="40"/>
              <w:jc w:val="both"/>
            </w:pPr>
            <w:r>
              <w:rPr>
                <w:sz w:val="18"/>
                <w:szCs w:val="18"/>
              </w:rPr>
              <w:t>Tema 5: Sistema de Inventarios en la Nube</w:t>
            </w:r>
          </w:p>
        </w:tc>
        <w:tc>
          <w:tcPr>
            <w:tcW w:w="4304" w:type="dxa"/>
            <w:gridSpan w:val="8"/>
            <w:shd w:val="clear" w:color="auto" w:fill="D9E2F3"/>
          </w:tcPr>
          <w:p w14:paraId="56014ACA" w14:textId="77777777" w:rsidR="00990B14" w:rsidRDefault="00000000">
            <w:pPr>
              <w:spacing w:after="40"/>
              <w:jc w:val="both"/>
            </w:pPr>
            <w:r>
              <w:rPr>
                <w:sz w:val="18"/>
                <w:szCs w:val="18"/>
              </w:rPr>
              <w:t>Instalación del software de inventarios; adición de una nueva empresa, de una nueva gestión y de la instalación en red. (C, T)</w:t>
            </w:r>
          </w:p>
          <w:p w14:paraId="0A9F1874" w14:textId="77777777" w:rsidR="00990B14" w:rsidRDefault="00000000">
            <w:pPr>
              <w:spacing w:after="40"/>
              <w:jc w:val="both"/>
            </w:pPr>
            <w:r>
              <w:rPr>
                <w:sz w:val="18"/>
                <w:szCs w:val="18"/>
              </w:rPr>
              <w:t>Codificación con código QR y parametrización del sistema de inventarios. (C)</w:t>
            </w:r>
          </w:p>
          <w:p w14:paraId="1479D14A" w14:textId="77777777" w:rsidR="00990B14" w:rsidRDefault="00000000">
            <w:pPr>
              <w:spacing w:after="40"/>
              <w:jc w:val="both"/>
            </w:pPr>
            <w:r>
              <w:rPr>
                <w:sz w:val="18"/>
                <w:szCs w:val="18"/>
              </w:rPr>
              <w:t>Entradas, salidas y traspasos de almacén; modificación de entradas y salidas. (P)</w:t>
            </w:r>
          </w:p>
          <w:p w14:paraId="205ED1BC" w14:textId="77777777" w:rsidR="00990B14" w:rsidRDefault="00000000">
            <w:pPr>
              <w:spacing w:after="40"/>
              <w:jc w:val="both"/>
            </w:pPr>
            <w:r>
              <w:rPr>
                <w:sz w:val="18"/>
                <w:szCs w:val="18"/>
              </w:rPr>
              <w:t>Ventas y costo de ventas; adición, modificación y eliminación de ítems o productos. (C)</w:t>
            </w:r>
          </w:p>
          <w:p w14:paraId="70A0E892" w14:textId="77777777" w:rsidR="00990B14" w:rsidRDefault="00000000">
            <w:pPr>
              <w:spacing w:after="40"/>
              <w:jc w:val="both"/>
            </w:pPr>
            <w:r>
              <w:rPr>
                <w:sz w:val="18"/>
                <w:szCs w:val="18"/>
              </w:rPr>
              <w:t>Adición, edición y reporte de clientes y proveedores. (C)</w:t>
            </w:r>
          </w:p>
          <w:p w14:paraId="6807099F" w14:textId="77777777" w:rsidR="00990B14" w:rsidRDefault="00000000">
            <w:pPr>
              <w:spacing w:after="40"/>
              <w:jc w:val="both"/>
            </w:pPr>
            <w:r>
              <w:rPr>
                <w:sz w:val="18"/>
                <w:szCs w:val="18"/>
              </w:rPr>
              <w:t>Métodos de valuación de inventarios. (C)</w:t>
            </w:r>
          </w:p>
          <w:p w14:paraId="7108F7D8" w14:textId="77777777" w:rsidR="00990B14" w:rsidRDefault="00000000">
            <w:pPr>
              <w:spacing w:after="40"/>
              <w:jc w:val="both"/>
            </w:pPr>
            <w:r>
              <w:rPr>
                <w:sz w:val="18"/>
                <w:szCs w:val="18"/>
              </w:rPr>
              <w:t>Medición de los inventarios conforme a la NIC 2 y su correspondencia con el método parametrizado en el sistema. (P)</w:t>
            </w:r>
          </w:p>
          <w:p w14:paraId="00190692" w14:textId="77777777" w:rsidR="00990B14" w:rsidRDefault="00000000">
            <w:pPr>
              <w:spacing w:after="40"/>
              <w:jc w:val="both"/>
            </w:pPr>
            <w:r>
              <w:rPr>
                <w:sz w:val="18"/>
                <w:szCs w:val="18"/>
              </w:rPr>
              <w:t>Reporte de productos, reporte diario de entradas y salidas, y reporte de kardex físico valorado. (C)</w:t>
            </w:r>
          </w:p>
          <w:p w14:paraId="5B1DAE22" w14:textId="77777777" w:rsidR="00990B14" w:rsidRDefault="00000000">
            <w:pPr>
              <w:spacing w:after="40"/>
              <w:jc w:val="both"/>
            </w:pPr>
            <w:r>
              <w:rPr>
                <w:sz w:val="18"/>
                <w:szCs w:val="18"/>
              </w:rPr>
              <w:t>Reporte general de salidas y entradas, reporte de clientes y proveedores, y reporte de consulta de saldos. (C)</w:t>
            </w:r>
          </w:p>
          <w:p w14:paraId="1CAE36CE" w14:textId="77777777" w:rsidR="00990B14" w:rsidRDefault="00000000">
            <w:pPr>
              <w:spacing w:after="40"/>
              <w:jc w:val="both"/>
            </w:pPr>
            <w:r>
              <w:rPr>
                <w:sz w:val="18"/>
                <w:szCs w:val="18"/>
              </w:rPr>
              <w:t>Actualización de inventarios; importación y exportación de datos; respaldo y recuperación de la información (backup). (C)</w:t>
            </w:r>
          </w:p>
          <w:p w14:paraId="627945E4" w14:textId="77777777" w:rsidR="00990B14" w:rsidRDefault="00000000">
            <w:pPr>
              <w:spacing w:after="40"/>
              <w:jc w:val="both"/>
            </w:pPr>
            <w:r>
              <w:rPr>
                <w:sz w:val="18"/>
                <w:szCs w:val="18"/>
              </w:rPr>
              <w:t>Configuración y principales características del software de inventarios en la nube; sistemas de inventarios colaborativos. (C, T)</w:t>
            </w:r>
          </w:p>
          <w:p w14:paraId="617B197D" w14:textId="77777777" w:rsidR="00990B14" w:rsidRDefault="00000000">
            <w:pPr>
              <w:spacing w:after="40"/>
              <w:jc w:val="both"/>
            </w:pPr>
            <w:r>
              <w:rPr>
                <w:sz w:val="18"/>
                <w:szCs w:val="18"/>
              </w:rPr>
              <w:t>Habilitación de usuarios, sistemas de seguridad y generación de reportes del sistema de inventarios en la nube. (C)</w:t>
            </w:r>
          </w:p>
          <w:p w14:paraId="4A8DAC32" w14:textId="77777777" w:rsidR="00990B14" w:rsidRDefault="00000000">
            <w:pPr>
              <w:spacing w:after="40"/>
              <w:jc w:val="both"/>
            </w:pPr>
            <w:r>
              <w:rPr>
                <w:sz w:val="18"/>
                <w:szCs w:val="18"/>
              </w:rPr>
              <w:t>Sistema de puntos de venta: selección de aplicaciones, configuración e ingreso de datos. (C)</w:t>
            </w:r>
          </w:p>
          <w:p w14:paraId="3813E78F" w14:textId="77777777" w:rsidR="00990B14" w:rsidRDefault="00000000">
            <w:pPr>
              <w:spacing w:after="40"/>
              <w:jc w:val="both"/>
            </w:pPr>
            <w:r>
              <w:rPr>
                <w:sz w:val="18"/>
                <w:szCs w:val="18"/>
              </w:rPr>
              <w:t>Integración de los sistemas de facturación e inventarios; habilitación de usuarios y sistemas de seguridad del punto de venta. (C)</w:t>
            </w:r>
          </w:p>
          <w:p w14:paraId="6EA73A47" w14:textId="77777777" w:rsidR="00990B14" w:rsidRDefault="00000000">
            <w:pPr>
              <w:spacing w:after="40"/>
              <w:jc w:val="both"/>
            </w:pPr>
            <w:r>
              <w:rPr>
                <w:sz w:val="18"/>
                <w:szCs w:val="18"/>
              </w:rPr>
              <w:t>Modalidades del Sistema de Facturación boliviano: electrónica en línea, computarizada en línea y portal web en línea; código de autorización y código QR de la factura. (C, T)</w:t>
            </w:r>
          </w:p>
          <w:p w14:paraId="2073B420" w14:textId="77777777" w:rsidR="00990B14" w:rsidRDefault="00000000">
            <w:pPr>
              <w:spacing w:after="40"/>
              <w:jc w:val="both"/>
            </w:pPr>
            <w:r>
              <w:rPr>
                <w:sz w:val="18"/>
                <w:szCs w:val="18"/>
              </w:rPr>
              <w:t>Control interno de inventarios: toma física periódica, conciliación con el kardex y tratamiento de las diferencias. (P)</w:t>
            </w:r>
          </w:p>
        </w:tc>
        <w:tc>
          <w:tcPr>
            <w:tcW w:w="2752" w:type="dxa"/>
            <w:gridSpan w:val="3"/>
            <w:shd w:val="clear" w:color="auto" w:fill="D9E2F3"/>
          </w:tcPr>
          <w:p w14:paraId="11D1ECB2" w14:textId="77777777" w:rsidR="00990B14" w:rsidRDefault="00000000">
            <w:pPr>
              <w:numPr>
                <w:ilvl w:val="0"/>
                <w:numId w:val="139"/>
              </w:numPr>
              <w:spacing w:before="10" w:after="10"/>
              <w:jc w:val="both"/>
            </w:pPr>
            <w:r>
              <w:rPr>
                <w:sz w:val="18"/>
                <w:szCs w:val="18"/>
              </w:rPr>
              <w:t>Configuración de impresoras térmicas y lectores de punto de venta.</w:t>
            </w:r>
          </w:p>
          <w:p w14:paraId="3D721D90" w14:textId="77777777" w:rsidR="00990B14" w:rsidRDefault="00000000">
            <w:pPr>
              <w:numPr>
                <w:ilvl w:val="0"/>
                <w:numId w:val="139"/>
              </w:numPr>
              <w:spacing w:before="10" w:after="10"/>
              <w:jc w:val="both"/>
            </w:pPr>
            <w:r>
              <w:rPr>
                <w:sz w:val="18"/>
                <w:szCs w:val="18"/>
              </w:rPr>
              <w:t>Codificación de productos con el estándar internacional GS1.</w:t>
            </w:r>
          </w:p>
        </w:tc>
      </w:tr>
      <w:tr w:rsidR="00990B14" w14:paraId="4FB9DC28" w14:textId="77777777">
        <w:trPr>
          <w:cantSplit/>
          <w:jc w:val="center"/>
        </w:trPr>
        <w:tc>
          <w:tcPr>
            <w:tcW w:w="9405" w:type="dxa"/>
            <w:gridSpan w:val="13"/>
            <w:shd w:val="clear" w:color="auto" w:fill="D9E2F3"/>
            <w:vAlign w:val="center"/>
          </w:tcPr>
          <w:p w14:paraId="35491510" w14:textId="77777777" w:rsidR="00990B14" w:rsidRDefault="00000000">
            <w:pPr>
              <w:spacing w:before="20" w:after="20"/>
              <w:jc w:val="both"/>
            </w:pPr>
            <w:r>
              <w:rPr>
                <w:b/>
                <w:bCs/>
                <w:i/>
                <w:iCs/>
                <w:sz w:val="18"/>
                <w:szCs w:val="18"/>
              </w:rPr>
              <w:t xml:space="preserve">Elemento de competencia 4: </w:t>
            </w:r>
            <w:r>
              <w:rPr>
                <w:sz w:val="18"/>
                <w:szCs w:val="18"/>
              </w:rPr>
              <w:t>Elabora la planilla de sueldos y salarios de una empresa en un sistema automatizado de escritorio o en la nube, calculando las cotizaciones y los aportes laborales y patronales, y generando los reportes tributarios y de beneficios sociales.</w:t>
            </w:r>
          </w:p>
        </w:tc>
      </w:tr>
      <w:tr w:rsidR="00990B14" w14:paraId="03256DE7" w14:textId="77777777">
        <w:trPr>
          <w:cantSplit/>
          <w:jc w:val="center"/>
        </w:trPr>
        <w:tc>
          <w:tcPr>
            <w:tcW w:w="3133" w:type="dxa"/>
            <w:gridSpan w:val="4"/>
            <w:shd w:val="clear" w:color="auto" w:fill="4472C4"/>
            <w:vAlign w:val="center"/>
          </w:tcPr>
          <w:p w14:paraId="283FC01A"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30B9698E"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54134AB2" w14:textId="77777777" w:rsidR="00990B14" w:rsidRDefault="00000000">
            <w:pPr>
              <w:keepNext/>
              <w:spacing w:before="20" w:after="20"/>
              <w:jc w:val="center"/>
            </w:pPr>
            <w:r>
              <w:rPr>
                <w:b/>
                <w:bCs/>
                <w:i/>
                <w:iCs/>
                <w:color w:val="FFFFFF"/>
                <w:sz w:val="18"/>
                <w:szCs w:val="18"/>
              </w:rPr>
              <w:t>Evidencias de producto</w:t>
            </w:r>
          </w:p>
        </w:tc>
      </w:tr>
      <w:tr w:rsidR="00990B14" w14:paraId="083991F5" w14:textId="77777777">
        <w:trPr>
          <w:cantSplit/>
          <w:jc w:val="center"/>
        </w:trPr>
        <w:tc>
          <w:tcPr>
            <w:tcW w:w="3133" w:type="dxa"/>
            <w:gridSpan w:val="4"/>
            <w:vMerge w:val="restart"/>
            <w:shd w:val="clear" w:color="auto" w:fill="D9E2F3"/>
            <w:vAlign w:val="center"/>
          </w:tcPr>
          <w:p w14:paraId="4DF5E539" w14:textId="77777777" w:rsidR="00990B14" w:rsidRDefault="00000000">
            <w:pPr>
              <w:spacing w:before="20" w:after="20"/>
              <w:jc w:val="both"/>
            </w:pPr>
            <w:r>
              <w:rPr>
                <w:sz w:val="18"/>
                <w:szCs w:val="18"/>
              </w:rPr>
              <w:t>1. Elabora la planilla de sueldos y salarios en un sistema automatizado, registrando los descuentos y calculando las cotizaciones y los aportes laborales y patronales.</w:t>
            </w:r>
          </w:p>
        </w:tc>
        <w:tc>
          <w:tcPr>
            <w:tcW w:w="3135" w:type="dxa"/>
            <w:gridSpan w:val="5"/>
            <w:shd w:val="clear" w:color="auto" w:fill="D9E2F3"/>
            <w:vAlign w:val="center"/>
          </w:tcPr>
          <w:p w14:paraId="6D679F49" w14:textId="77777777" w:rsidR="00990B14" w:rsidRDefault="00000000">
            <w:pPr>
              <w:spacing w:before="20" w:after="20"/>
              <w:jc w:val="both"/>
            </w:pPr>
            <w:r>
              <w:rPr>
                <w:sz w:val="18"/>
                <w:szCs w:val="18"/>
              </w:rPr>
              <w:t>1.1 Parametriza en el laboratorio de cómputo los empleados, los aportes y el bono de antigüedad en el sistema de planillas.</w:t>
            </w:r>
          </w:p>
        </w:tc>
        <w:tc>
          <w:tcPr>
            <w:tcW w:w="3137" w:type="dxa"/>
            <w:gridSpan w:val="4"/>
            <w:shd w:val="clear" w:color="auto" w:fill="D9E2F3"/>
            <w:vAlign w:val="center"/>
          </w:tcPr>
          <w:p w14:paraId="3B56B3B9" w14:textId="77777777" w:rsidR="00990B14" w:rsidRDefault="00000000">
            <w:pPr>
              <w:spacing w:before="20" w:after="20"/>
              <w:jc w:val="both"/>
            </w:pPr>
            <w:r>
              <w:rPr>
                <w:b/>
                <w:bCs/>
                <w:sz w:val="18"/>
                <w:szCs w:val="18"/>
              </w:rPr>
              <w:t xml:space="preserve">Producto 13: </w:t>
            </w:r>
            <w:r>
              <w:rPr>
                <w:sz w:val="18"/>
                <w:szCs w:val="18"/>
              </w:rPr>
              <w:t>Registro de empleados parametrizado en el sistema de planillas.</w:t>
            </w:r>
          </w:p>
        </w:tc>
      </w:tr>
      <w:tr w:rsidR="00990B14" w14:paraId="1FFB0AA5" w14:textId="77777777">
        <w:trPr>
          <w:cantSplit/>
          <w:jc w:val="center"/>
        </w:trPr>
        <w:tc>
          <w:tcPr>
            <w:tcW w:w="3133" w:type="dxa"/>
            <w:gridSpan w:val="4"/>
            <w:vMerge/>
            <w:shd w:val="clear" w:color="auto" w:fill="D9E2F3"/>
            <w:vAlign w:val="center"/>
          </w:tcPr>
          <w:p w14:paraId="23A11E00" w14:textId="77777777" w:rsidR="00990B14" w:rsidRDefault="00990B14">
            <w:pPr>
              <w:spacing w:before="20" w:after="20"/>
            </w:pPr>
          </w:p>
        </w:tc>
        <w:tc>
          <w:tcPr>
            <w:tcW w:w="3135" w:type="dxa"/>
            <w:gridSpan w:val="5"/>
            <w:shd w:val="clear" w:color="auto" w:fill="D9E2F3"/>
            <w:vAlign w:val="center"/>
          </w:tcPr>
          <w:p w14:paraId="7708B01A" w14:textId="77777777" w:rsidR="00990B14" w:rsidRDefault="00000000">
            <w:pPr>
              <w:spacing w:before="20" w:after="20"/>
              <w:jc w:val="both"/>
            </w:pPr>
            <w:r>
              <w:rPr>
                <w:sz w:val="18"/>
                <w:szCs w:val="18"/>
              </w:rPr>
              <w:t>1.2 Registra la planilla mensual de un caso con anticipos, descuentos y aportes, y efectúa su cierre.</w:t>
            </w:r>
          </w:p>
        </w:tc>
        <w:tc>
          <w:tcPr>
            <w:tcW w:w="3137" w:type="dxa"/>
            <w:gridSpan w:val="4"/>
            <w:shd w:val="clear" w:color="auto" w:fill="D9E2F3"/>
            <w:vAlign w:val="center"/>
          </w:tcPr>
          <w:p w14:paraId="2358C7F0" w14:textId="77777777" w:rsidR="00990B14" w:rsidRDefault="00000000">
            <w:pPr>
              <w:spacing w:before="20" w:after="20"/>
              <w:jc w:val="both"/>
            </w:pPr>
            <w:r>
              <w:rPr>
                <w:b/>
                <w:bCs/>
                <w:sz w:val="18"/>
                <w:szCs w:val="18"/>
              </w:rPr>
              <w:t xml:space="preserve">Producto 14: </w:t>
            </w:r>
            <w:r>
              <w:rPr>
                <w:sz w:val="18"/>
                <w:szCs w:val="18"/>
              </w:rPr>
              <w:t>Planilla mensual de sueldos y salarios con su cierre.</w:t>
            </w:r>
          </w:p>
        </w:tc>
      </w:tr>
      <w:tr w:rsidR="00990B14" w14:paraId="6F3CB3C0" w14:textId="77777777">
        <w:trPr>
          <w:cantSplit/>
          <w:jc w:val="center"/>
        </w:trPr>
        <w:tc>
          <w:tcPr>
            <w:tcW w:w="3133" w:type="dxa"/>
            <w:gridSpan w:val="4"/>
            <w:vMerge w:val="restart"/>
            <w:shd w:val="clear" w:color="auto" w:fill="D9E2F3"/>
            <w:vAlign w:val="center"/>
          </w:tcPr>
          <w:p w14:paraId="7CD42837" w14:textId="77777777" w:rsidR="00990B14" w:rsidRDefault="00000000">
            <w:pPr>
              <w:spacing w:before="20" w:after="20"/>
              <w:jc w:val="both"/>
            </w:pPr>
            <w:r>
              <w:rPr>
                <w:sz w:val="18"/>
                <w:szCs w:val="18"/>
              </w:rPr>
              <w:t>2. Genera reportes tributarios, patronales y de beneficios sociales de la planilla, verificando su consistencia con la normativa laboral y de seguridad social.</w:t>
            </w:r>
          </w:p>
        </w:tc>
        <w:tc>
          <w:tcPr>
            <w:tcW w:w="3135" w:type="dxa"/>
            <w:gridSpan w:val="5"/>
            <w:shd w:val="clear" w:color="auto" w:fill="D9E2F3"/>
            <w:vAlign w:val="center"/>
          </w:tcPr>
          <w:p w14:paraId="7217C2BC" w14:textId="77777777" w:rsidR="00990B14" w:rsidRDefault="00000000">
            <w:pPr>
              <w:spacing w:before="20" w:after="20"/>
              <w:jc w:val="both"/>
            </w:pPr>
            <w:r>
              <w:rPr>
                <w:sz w:val="18"/>
                <w:szCs w:val="18"/>
              </w:rPr>
              <w:t>2.1 Genera en equipo los reportes de aportes laborales, de planilla tributaria y de planilla patronal de un caso.</w:t>
            </w:r>
          </w:p>
        </w:tc>
        <w:tc>
          <w:tcPr>
            <w:tcW w:w="3137" w:type="dxa"/>
            <w:gridSpan w:val="4"/>
            <w:shd w:val="clear" w:color="auto" w:fill="D9E2F3"/>
            <w:vAlign w:val="center"/>
          </w:tcPr>
          <w:p w14:paraId="149690C6" w14:textId="77777777" w:rsidR="00990B14" w:rsidRDefault="00000000">
            <w:pPr>
              <w:spacing w:before="20" w:after="20"/>
              <w:jc w:val="both"/>
            </w:pPr>
            <w:r>
              <w:rPr>
                <w:b/>
                <w:bCs/>
                <w:sz w:val="18"/>
                <w:szCs w:val="18"/>
              </w:rPr>
              <w:t xml:space="preserve">Producto 15: </w:t>
            </w:r>
            <w:r>
              <w:rPr>
                <w:sz w:val="18"/>
                <w:szCs w:val="18"/>
              </w:rPr>
              <w:t>Reportes de planilla tributaria, de aportes laborales y patronal.</w:t>
            </w:r>
          </w:p>
        </w:tc>
      </w:tr>
      <w:tr w:rsidR="00990B14" w14:paraId="3CE32602" w14:textId="77777777">
        <w:trPr>
          <w:cantSplit/>
          <w:jc w:val="center"/>
        </w:trPr>
        <w:tc>
          <w:tcPr>
            <w:tcW w:w="3133" w:type="dxa"/>
            <w:gridSpan w:val="4"/>
            <w:vMerge/>
            <w:shd w:val="clear" w:color="auto" w:fill="D9E2F3"/>
            <w:vAlign w:val="center"/>
          </w:tcPr>
          <w:p w14:paraId="06C8B2F5" w14:textId="77777777" w:rsidR="00990B14" w:rsidRDefault="00990B14">
            <w:pPr>
              <w:spacing w:before="20" w:after="20"/>
            </w:pPr>
          </w:p>
        </w:tc>
        <w:tc>
          <w:tcPr>
            <w:tcW w:w="3135" w:type="dxa"/>
            <w:gridSpan w:val="5"/>
            <w:shd w:val="clear" w:color="auto" w:fill="D9E2F3"/>
            <w:vAlign w:val="center"/>
          </w:tcPr>
          <w:p w14:paraId="5C860B30" w14:textId="77777777" w:rsidR="00990B14" w:rsidRDefault="00000000">
            <w:pPr>
              <w:spacing w:before="20" w:after="20"/>
              <w:jc w:val="both"/>
            </w:pPr>
            <w:r>
              <w:rPr>
                <w:sz w:val="18"/>
                <w:szCs w:val="18"/>
              </w:rPr>
              <w:t>2.2 Emite ante el curso las papeletas de pago de un caso desde un software de planillas en la nube.</w:t>
            </w:r>
          </w:p>
        </w:tc>
        <w:tc>
          <w:tcPr>
            <w:tcW w:w="3137" w:type="dxa"/>
            <w:gridSpan w:val="4"/>
            <w:shd w:val="clear" w:color="auto" w:fill="D9E2F3"/>
            <w:vAlign w:val="center"/>
          </w:tcPr>
          <w:p w14:paraId="1D681465" w14:textId="77777777" w:rsidR="00990B14" w:rsidRDefault="00000000">
            <w:pPr>
              <w:spacing w:before="20" w:after="20"/>
              <w:jc w:val="both"/>
            </w:pPr>
            <w:r>
              <w:rPr>
                <w:b/>
                <w:bCs/>
                <w:sz w:val="18"/>
                <w:szCs w:val="18"/>
              </w:rPr>
              <w:t xml:space="preserve">Producto 16: </w:t>
            </w:r>
            <w:r>
              <w:rPr>
                <w:sz w:val="18"/>
                <w:szCs w:val="18"/>
              </w:rPr>
              <w:t>Papeletas de pago de los empleados de un caso práctico.</w:t>
            </w:r>
          </w:p>
        </w:tc>
      </w:tr>
      <w:tr w:rsidR="00990B14" w14:paraId="3B00325C" w14:textId="77777777">
        <w:trPr>
          <w:cantSplit/>
          <w:jc w:val="center"/>
        </w:trPr>
        <w:tc>
          <w:tcPr>
            <w:tcW w:w="9405" w:type="dxa"/>
            <w:gridSpan w:val="13"/>
            <w:shd w:val="clear" w:color="auto" w:fill="4472C4"/>
            <w:vAlign w:val="center"/>
          </w:tcPr>
          <w:p w14:paraId="7135E0DB" w14:textId="77777777" w:rsidR="00990B14" w:rsidRDefault="00000000">
            <w:pPr>
              <w:keepNext/>
              <w:spacing w:before="20" w:after="20"/>
              <w:jc w:val="center"/>
            </w:pPr>
            <w:r>
              <w:rPr>
                <w:b/>
                <w:bCs/>
                <w:i/>
                <w:iCs/>
                <w:color w:val="FFFFFF"/>
                <w:sz w:val="18"/>
                <w:szCs w:val="18"/>
              </w:rPr>
              <w:t>Evidencias de conocimiento</w:t>
            </w:r>
          </w:p>
        </w:tc>
      </w:tr>
      <w:tr w:rsidR="00990B14" w14:paraId="40722927" w14:textId="77777777">
        <w:trPr>
          <w:cantSplit/>
          <w:jc w:val="center"/>
        </w:trPr>
        <w:tc>
          <w:tcPr>
            <w:tcW w:w="2349" w:type="dxa"/>
            <w:gridSpan w:val="2"/>
            <w:shd w:val="clear" w:color="auto" w:fill="4472C4"/>
            <w:vAlign w:val="center"/>
          </w:tcPr>
          <w:p w14:paraId="1198D68E"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2F6BC4FA" w14:textId="77777777" w:rsidR="00990B14" w:rsidRDefault="00000000">
            <w:pPr>
              <w:keepNext/>
              <w:spacing w:before="20" w:after="20"/>
              <w:jc w:val="both"/>
            </w:pPr>
            <w:r>
              <w:rPr>
                <w:b/>
                <w:bCs/>
                <w:i/>
                <w:iCs/>
                <w:color w:val="FFFFFF"/>
                <w:sz w:val="18"/>
                <w:szCs w:val="18"/>
              </w:rPr>
              <w:t>Contenidos</w:t>
            </w:r>
          </w:p>
          <w:p w14:paraId="547077EC"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79B56F0C" w14:textId="77777777" w:rsidR="00990B14" w:rsidRDefault="00000000">
            <w:pPr>
              <w:keepNext/>
              <w:spacing w:before="20" w:after="20"/>
              <w:jc w:val="center"/>
            </w:pPr>
            <w:r>
              <w:rPr>
                <w:b/>
                <w:bCs/>
                <w:i/>
                <w:iCs/>
                <w:color w:val="FFFFFF"/>
                <w:sz w:val="18"/>
                <w:szCs w:val="18"/>
              </w:rPr>
              <w:t>Conocimientos circunstanciales</w:t>
            </w:r>
          </w:p>
        </w:tc>
      </w:tr>
      <w:tr w:rsidR="00990B14" w14:paraId="55434CC2" w14:textId="77777777">
        <w:trPr>
          <w:jc w:val="center"/>
        </w:trPr>
        <w:tc>
          <w:tcPr>
            <w:tcW w:w="2349" w:type="dxa"/>
            <w:gridSpan w:val="2"/>
            <w:shd w:val="clear" w:color="auto" w:fill="D9E2F3"/>
          </w:tcPr>
          <w:p w14:paraId="76A19881" w14:textId="77777777" w:rsidR="00990B14" w:rsidRDefault="00000000">
            <w:pPr>
              <w:spacing w:before="20" w:after="40"/>
              <w:jc w:val="both"/>
            </w:pPr>
            <w:r>
              <w:rPr>
                <w:sz w:val="18"/>
                <w:szCs w:val="18"/>
              </w:rPr>
              <w:t>Tema 6: Sistema de Planillas de Escritorio</w:t>
            </w:r>
          </w:p>
          <w:p w14:paraId="306476D0" w14:textId="77777777" w:rsidR="00990B14" w:rsidRDefault="00000000">
            <w:pPr>
              <w:spacing w:before="20" w:after="40"/>
              <w:jc w:val="both"/>
            </w:pPr>
            <w:r>
              <w:rPr>
                <w:sz w:val="18"/>
                <w:szCs w:val="18"/>
              </w:rPr>
              <w:t>Tema 7: Software de Planilla de Sueldos y Salarios en la Nube</w:t>
            </w:r>
          </w:p>
        </w:tc>
        <w:tc>
          <w:tcPr>
            <w:tcW w:w="4304" w:type="dxa"/>
            <w:gridSpan w:val="8"/>
            <w:shd w:val="clear" w:color="auto" w:fill="D9E2F3"/>
          </w:tcPr>
          <w:p w14:paraId="192EDD69" w14:textId="77777777" w:rsidR="00990B14" w:rsidRDefault="00000000">
            <w:pPr>
              <w:spacing w:after="40"/>
              <w:jc w:val="both"/>
            </w:pPr>
            <w:r>
              <w:rPr>
                <w:sz w:val="18"/>
                <w:szCs w:val="18"/>
              </w:rPr>
              <w:t>Instalación del software de planilla de sueldos; adición de una nueva empresa, administración de empleados y de una nueva gestión. (C, T)</w:t>
            </w:r>
          </w:p>
          <w:p w14:paraId="35F0C270" w14:textId="77777777" w:rsidR="00990B14" w:rsidRDefault="00000000">
            <w:pPr>
              <w:spacing w:after="40"/>
              <w:jc w:val="both"/>
            </w:pPr>
            <w:r>
              <w:rPr>
                <w:sz w:val="18"/>
                <w:szCs w:val="18"/>
              </w:rPr>
              <w:t>Codificación y parametrización del sistema de planillas; adición, modificación y baja de empleados. (C)</w:t>
            </w:r>
          </w:p>
          <w:p w14:paraId="70600C7D" w14:textId="77777777" w:rsidR="00990B14" w:rsidRDefault="00000000">
            <w:pPr>
              <w:spacing w:after="40"/>
              <w:jc w:val="both"/>
            </w:pPr>
            <w:r>
              <w:rPr>
                <w:sz w:val="18"/>
                <w:szCs w:val="18"/>
              </w:rPr>
              <w:t>Registro de datos de anticipos, deudas y otros descuentos; bono de antigüedad. (P)</w:t>
            </w:r>
          </w:p>
          <w:p w14:paraId="2FCC1464" w14:textId="77777777" w:rsidR="00990B14" w:rsidRDefault="00000000">
            <w:pPr>
              <w:spacing w:after="40"/>
              <w:jc w:val="both"/>
            </w:pPr>
            <w:r>
              <w:rPr>
                <w:sz w:val="18"/>
                <w:szCs w:val="18"/>
              </w:rPr>
              <w:t>Cotizaciones y aportes laborales y patronales; saldo a favor del fisco o del dependiente. (C)</w:t>
            </w:r>
          </w:p>
          <w:p w14:paraId="43371945" w14:textId="77777777" w:rsidR="00990B14" w:rsidRDefault="00000000">
            <w:pPr>
              <w:spacing w:after="40"/>
              <w:jc w:val="both"/>
            </w:pPr>
            <w:r>
              <w:rPr>
                <w:sz w:val="18"/>
                <w:szCs w:val="18"/>
              </w:rPr>
              <w:t>Parametrización de los aportes a la Gestora Pública de la Seguridad Social de Largo Plazo y a la caja de salud, y del salario mínimo nacional vigente. (C)</w:t>
            </w:r>
          </w:p>
          <w:p w14:paraId="33D136D9" w14:textId="77777777" w:rsidR="00990B14" w:rsidRDefault="00000000">
            <w:pPr>
              <w:spacing w:after="40"/>
              <w:jc w:val="both"/>
            </w:pPr>
            <w:r>
              <w:rPr>
                <w:sz w:val="18"/>
                <w:szCs w:val="18"/>
              </w:rPr>
              <w:t>Cierre mensual de planillas y reporte de consulta de saldos. (C)</w:t>
            </w:r>
          </w:p>
          <w:p w14:paraId="7C31E0F2" w14:textId="77777777" w:rsidR="00990B14" w:rsidRDefault="00000000">
            <w:pPr>
              <w:spacing w:after="40"/>
              <w:jc w:val="both"/>
            </w:pPr>
            <w:r>
              <w:rPr>
                <w:sz w:val="18"/>
                <w:szCs w:val="18"/>
              </w:rPr>
              <w:t>Reporte de planilla de aportes laborales, reporte de planilla tributaria y reporte de planilla patronal y beneficios sociales. (C)</w:t>
            </w:r>
          </w:p>
          <w:p w14:paraId="208F9402" w14:textId="77777777" w:rsidR="00990B14" w:rsidRDefault="00000000">
            <w:pPr>
              <w:spacing w:after="40"/>
              <w:jc w:val="both"/>
            </w:pPr>
            <w:r>
              <w:rPr>
                <w:sz w:val="18"/>
                <w:szCs w:val="18"/>
              </w:rPr>
              <w:t>Reporte de papeletas de pago; importación y exportación de datos; respaldo y recuperación de la información (backup). (C)</w:t>
            </w:r>
          </w:p>
          <w:p w14:paraId="3F2DE060" w14:textId="77777777" w:rsidR="00990B14" w:rsidRDefault="00000000">
            <w:pPr>
              <w:spacing w:after="40"/>
              <w:jc w:val="both"/>
            </w:pPr>
            <w:r>
              <w:rPr>
                <w:sz w:val="18"/>
                <w:szCs w:val="18"/>
              </w:rPr>
              <w:t>Principales características y configuración del software de planilla de sueldos y salarios en la nube. (C, T)</w:t>
            </w:r>
          </w:p>
          <w:p w14:paraId="5E059FEF" w14:textId="77777777" w:rsidR="00990B14" w:rsidRDefault="00000000">
            <w:pPr>
              <w:spacing w:after="40"/>
              <w:jc w:val="both"/>
            </w:pPr>
            <w:r>
              <w:rPr>
                <w:sz w:val="18"/>
                <w:szCs w:val="18"/>
              </w:rPr>
              <w:t>Parámetros para la selección del sistema en la nube y alimentación del sistema. (C)</w:t>
            </w:r>
          </w:p>
          <w:p w14:paraId="18D58498" w14:textId="77777777" w:rsidR="00990B14" w:rsidRDefault="00000000">
            <w:pPr>
              <w:spacing w:after="40"/>
              <w:jc w:val="both"/>
            </w:pPr>
            <w:r>
              <w:rPr>
                <w:sz w:val="18"/>
                <w:szCs w:val="18"/>
              </w:rPr>
              <w:t>Sistema colaborativo e integración con las normas laborales y tributarias vigentes. (C)</w:t>
            </w:r>
          </w:p>
          <w:p w14:paraId="524C7CDB" w14:textId="77777777" w:rsidR="00990B14" w:rsidRDefault="00000000">
            <w:pPr>
              <w:spacing w:after="40"/>
              <w:jc w:val="both"/>
            </w:pPr>
            <w:r>
              <w:rPr>
                <w:sz w:val="18"/>
                <w:szCs w:val="18"/>
              </w:rPr>
              <w:t>Actualización del sistema ante los cambios del salario mínimo, de las alícuotas de aportes y del Régimen Complementario al IVA. (C)</w:t>
            </w:r>
          </w:p>
          <w:p w14:paraId="5B5EBBE4" w14:textId="77777777" w:rsidR="00990B14" w:rsidRDefault="00000000">
            <w:pPr>
              <w:spacing w:after="40"/>
              <w:jc w:val="both"/>
            </w:pPr>
            <w:r>
              <w:rPr>
                <w:sz w:val="18"/>
                <w:szCs w:val="18"/>
              </w:rPr>
              <w:t>Generación de reportes y aplicación práctica del sistema de planillas en la nube. (P)</w:t>
            </w:r>
          </w:p>
          <w:p w14:paraId="5C5B0DF7" w14:textId="77777777" w:rsidR="00990B14" w:rsidRDefault="00000000">
            <w:pPr>
              <w:spacing w:after="40"/>
              <w:jc w:val="both"/>
            </w:pPr>
            <w:r>
              <w:rPr>
                <w:sz w:val="18"/>
                <w:szCs w:val="18"/>
              </w:rPr>
              <w:t>Confidencialidad de los datos de los trabajadores en el sistema de planillas: perfiles de acceso y resguardo de la información salarial. (C, A)</w:t>
            </w:r>
          </w:p>
        </w:tc>
        <w:tc>
          <w:tcPr>
            <w:tcW w:w="2752" w:type="dxa"/>
            <w:gridSpan w:val="3"/>
            <w:shd w:val="clear" w:color="auto" w:fill="D9E2F3"/>
          </w:tcPr>
          <w:p w14:paraId="2C33AB67" w14:textId="77777777" w:rsidR="00990B14" w:rsidRDefault="00000000">
            <w:pPr>
              <w:numPr>
                <w:ilvl w:val="0"/>
                <w:numId w:val="139"/>
              </w:numPr>
              <w:spacing w:before="10" w:after="10"/>
              <w:jc w:val="both"/>
            </w:pPr>
            <w:r>
              <w:rPr>
                <w:sz w:val="18"/>
                <w:szCs w:val="18"/>
              </w:rPr>
              <w:t>Nociones de los formatos de archivo de carga masiva de planillas en los portales de aportes.</w:t>
            </w:r>
          </w:p>
        </w:tc>
      </w:tr>
      <w:tr w:rsidR="00990B14" w14:paraId="080654D3" w14:textId="77777777">
        <w:trPr>
          <w:cantSplit/>
          <w:jc w:val="center"/>
        </w:trPr>
        <w:tc>
          <w:tcPr>
            <w:tcW w:w="9405" w:type="dxa"/>
            <w:gridSpan w:val="13"/>
            <w:shd w:val="clear" w:color="auto" w:fill="D9E2F3"/>
            <w:vAlign w:val="center"/>
          </w:tcPr>
          <w:p w14:paraId="11E48D1D" w14:textId="77777777" w:rsidR="00990B14" w:rsidRDefault="00000000">
            <w:pPr>
              <w:spacing w:before="20" w:after="20"/>
              <w:jc w:val="both"/>
            </w:pPr>
            <w:r>
              <w:rPr>
                <w:b/>
                <w:bCs/>
                <w:i/>
                <w:iCs/>
                <w:sz w:val="18"/>
                <w:szCs w:val="18"/>
              </w:rPr>
              <w:t xml:space="preserve">Elemento de competencia 5: </w:t>
            </w:r>
            <w:r>
              <w:rPr>
                <w:sz w:val="18"/>
                <w:szCs w:val="18"/>
              </w:rPr>
              <w:t>Gestiona el cumplimiento de las obligaciones tributarias formales mediante el uso eficiente de las plataformas del SIAT, garantizando la consistencia entre los registros contables y las declaraciones</w:t>
            </w:r>
          </w:p>
        </w:tc>
      </w:tr>
      <w:tr w:rsidR="00990B14" w14:paraId="13A85E02" w14:textId="77777777">
        <w:trPr>
          <w:cantSplit/>
          <w:jc w:val="center"/>
        </w:trPr>
        <w:tc>
          <w:tcPr>
            <w:tcW w:w="3133" w:type="dxa"/>
            <w:gridSpan w:val="4"/>
            <w:shd w:val="clear" w:color="auto" w:fill="4472C4"/>
            <w:vAlign w:val="center"/>
          </w:tcPr>
          <w:p w14:paraId="75F0DA79"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33FA3A29"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21960772" w14:textId="77777777" w:rsidR="00990B14" w:rsidRDefault="00000000">
            <w:pPr>
              <w:keepNext/>
              <w:spacing w:before="20" w:after="20"/>
              <w:jc w:val="center"/>
            </w:pPr>
            <w:r>
              <w:rPr>
                <w:b/>
                <w:bCs/>
                <w:i/>
                <w:iCs/>
                <w:color w:val="FFFFFF"/>
                <w:sz w:val="18"/>
                <w:szCs w:val="18"/>
              </w:rPr>
              <w:t>Evidencias de producto</w:t>
            </w:r>
          </w:p>
        </w:tc>
      </w:tr>
      <w:tr w:rsidR="00990B14" w14:paraId="33D31AA7" w14:textId="77777777">
        <w:trPr>
          <w:cantSplit/>
          <w:jc w:val="center"/>
        </w:trPr>
        <w:tc>
          <w:tcPr>
            <w:tcW w:w="3133" w:type="dxa"/>
            <w:gridSpan w:val="4"/>
            <w:vMerge w:val="restart"/>
            <w:shd w:val="clear" w:color="auto" w:fill="D9E2F3"/>
            <w:vAlign w:val="center"/>
          </w:tcPr>
          <w:p w14:paraId="3D2B320B" w14:textId="77777777" w:rsidR="00990B14" w:rsidRDefault="00000000">
            <w:pPr>
              <w:spacing w:before="20" w:after="20"/>
              <w:jc w:val="both"/>
            </w:pPr>
            <w:r>
              <w:rPr>
                <w:sz w:val="18"/>
                <w:szCs w:val="18"/>
              </w:rPr>
              <w:t>1. Llena los estados financieros y sus anexos en el SIAT Formulario 605, verificando los datos requeridos por el sistema.</w:t>
            </w:r>
          </w:p>
        </w:tc>
        <w:tc>
          <w:tcPr>
            <w:tcW w:w="3135" w:type="dxa"/>
            <w:gridSpan w:val="5"/>
            <w:shd w:val="clear" w:color="auto" w:fill="D9E2F3"/>
            <w:vAlign w:val="center"/>
          </w:tcPr>
          <w:p w14:paraId="3D2B9621" w14:textId="77777777" w:rsidR="00990B14" w:rsidRDefault="00000000">
            <w:pPr>
              <w:spacing w:before="20" w:after="20"/>
              <w:jc w:val="both"/>
            </w:pPr>
            <w:r>
              <w:rPr>
                <w:sz w:val="18"/>
                <w:szCs w:val="18"/>
              </w:rPr>
              <w:t>1.1 Llena en el laboratorio de cómputo los estados financieros y los anexos de inventarios y de activos fijos de un caso en el SIAT Formulario 605.</w:t>
            </w:r>
          </w:p>
        </w:tc>
        <w:tc>
          <w:tcPr>
            <w:tcW w:w="3137" w:type="dxa"/>
            <w:gridSpan w:val="4"/>
            <w:shd w:val="clear" w:color="auto" w:fill="D9E2F3"/>
            <w:vAlign w:val="center"/>
          </w:tcPr>
          <w:p w14:paraId="4C2B4A6D" w14:textId="77777777" w:rsidR="00990B14" w:rsidRDefault="00000000">
            <w:pPr>
              <w:spacing w:before="20" w:after="20"/>
              <w:jc w:val="both"/>
            </w:pPr>
            <w:r>
              <w:rPr>
                <w:b/>
                <w:bCs/>
                <w:sz w:val="18"/>
                <w:szCs w:val="18"/>
              </w:rPr>
              <w:t xml:space="preserve">Producto 17: </w:t>
            </w:r>
            <w:r>
              <w:rPr>
                <w:sz w:val="18"/>
                <w:szCs w:val="18"/>
              </w:rPr>
              <w:t>Estados financieros y anexos llenados en el SIAT Formulario 605.</w:t>
            </w:r>
          </w:p>
        </w:tc>
      </w:tr>
      <w:tr w:rsidR="00990B14" w14:paraId="70F11585" w14:textId="77777777">
        <w:trPr>
          <w:cantSplit/>
          <w:jc w:val="center"/>
        </w:trPr>
        <w:tc>
          <w:tcPr>
            <w:tcW w:w="3133" w:type="dxa"/>
            <w:gridSpan w:val="4"/>
            <w:vMerge/>
            <w:shd w:val="clear" w:color="auto" w:fill="D9E2F3"/>
            <w:vAlign w:val="center"/>
          </w:tcPr>
          <w:p w14:paraId="44B25774" w14:textId="77777777" w:rsidR="00990B14" w:rsidRDefault="00990B14">
            <w:pPr>
              <w:spacing w:before="20" w:after="20"/>
            </w:pPr>
          </w:p>
        </w:tc>
        <w:tc>
          <w:tcPr>
            <w:tcW w:w="3135" w:type="dxa"/>
            <w:gridSpan w:val="5"/>
            <w:shd w:val="clear" w:color="auto" w:fill="D9E2F3"/>
            <w:vAlign w:val="center"/>
          </w:tcPr>
          <w:p w14:paraId="08D1CE5E" w14:textId="77777777" w:rsidR="00990B14" w:rsidRDefault="00000000">
            <w:pPr>
              <w:spacing w:before="20" w:after="20"/>
              <w:jc w:val="both"/>
            </w:pPr>
            <w:r>
              <w:rPr>
                <w:sz w:val="18"/>
                <w:szCs w:val="18"/>
              </w:rPr>
              <w:t>1.2 Verifica en equipo la consistencia entre el Formulario 605 y los reportes del sistema contable de la empresa con tablas dinámicas.</w:t>
            </w:r>
          </w:p>
        </w:tc>
        <w:tc>
          <w:tcPr>
            <w:tcW w:w="3137" w:type="dxa"/>
            <w:gridSpan w:val="4"/>
            <w:shd w:val="clear" w:color="auto" w:fill="D9E2F3"/>
            <w:vAlign w:val="center"/>
          </w:tcPr>
          <w:p w14:paraId="73E69BBA" w14:textId="77777777" w:rsidR="00990B14" w:rsidRDefault="00000000">
            <w:pPr>
              <w:spacing w:before="20" w:after="20"/>
              <w:jc w:val="both"/>
            </w:pPr>
            <w:r>
              <w:rPr>
                <w:b/>
                <w:bCs/>
                <w:sz w:val="18"/>
                <w:szCs w:val="18"/>
              </w:rPr>
              <w:t xml:space="preserve">Producto 18: </w:t>
            </w:r>
            <w:r>
              <w:rPr>
                <w:sz w:val="18"/>
                <w:szCs w:val="18"/>
              </w:rPr>
              <w:t>Hoja de verificación de consistencia entre el Formulario 605 y el sistema contable.</w:t>
            </w:r>
          </w:p>
        </w:tc>
      </w:tr>
      <w:tr w:rsidR="00990B14" w14:paraId="65F38F29" w14:textId="77777777">
        <w:trPr>
          <w:cantSplit/>
          <w:jc w:val="center"/>
        </w:trPr>
        <w:tc>
          <w:tcPr>
            <w:tcW w:w="3133" w:type="dxa"/>
            <w:gridSpan w:val="4"/>
            <w:vMerge w:val="restart"/>
            <w:shd w:val="clear" w:color="auto" w:fill="D9E2F3"/>
            <w:vAlign w:val="center"/>
          </w:tcPr>
          <w:p w14:paraId="6BD37F55" w14:textId="77777777" w:rsidR="00990B14" w:rsidRDefault="00000000">
            <w:pPr>
              <w:spacing w:before="20" w:after="20"/>
              <w:jc w:val="both"/>
            </w:pPr>
            <w:r>
              <w:rPr>
                <w:sz w:val="18"/>
                <w:szCs w:val="18"/>
              </w:rPr>
              <w:t>2. Valida los registros de compras y ventas en el SIAT RCV y consolida la planilla tributaria en el SIAT Planillas, corrigiendo los errores de registro y de consolidación.</w:t>
            </w:r>
          </w:p>
        </w:tc>
        <w:tc>
          <w:tcPr>
            <w:tcW w:w="3135" w:type="dxa"/>
            <w:gridSpan w:val="5"/>
            <w:shd w:val="clear" w:color="auto" w:fill="D9E2F3"/>
            <w:vAlign w:val="center"/>
          </w:tcPr>
          <w:p w14:paraId="2BC8CF00" w14:textId="77777777" w:rsidR="00990B14" w:rsidRDefault="00000000">
            <w:pPr>
              <w:spacing w:before="20" w:after="20"/>
              <w:jc w:val="both"/>
            </w:pPr>
            <w:r>
              <w:rPr>
                <w:sz w:val="18"/>
                <w:szCs w:val="18"/>
              </w:rPr>
              <w:t>2.1 Valida los registros de compras y ventas de un caso en el SIAT RCV y los concilia con las facturas emitidas.</w:t>
            </w:r>
          </w:p>
        </w:tc>
        <w:tc>
          <w:tcPr>
            <w:tcW w:w="3137" w:type="dxa"/>
            <w:gridSpan w:val="4"/>
            <w:shd w:val="clear" w:color="auto" w:fill="D9E2F3"/>
            <w:vAlign w:val="center"/>
          </w:tcPr>
          <w:p w14:paraId="51B9F4DC" w14:textId="77777777" w:rsidR="00990B14" w:rsidRDefault="00000000">
            <w:pPr>
              <w:spacing w:before="20" w:after="20"/>
              <w:jc w:val="both"/>
            </w:pPr>
            <w:r>
              <w:rPr>
                <w:b/>
                <w:bCs/>
                <w:sz w:val="18"/>
                <w:szCs w:val="18"/>
              </w:rPr>
              <w:t xml:space="preserve">Producto 19: </w:t>
            </w:r>
            <w:r>
              <w:rPr>
                <w:sz w:val="18"/>
                <w:szCs w:val="18"/>
              </w:rPr>
              <w:t>Registro validado de compras y ventas con su conciliación.</w:t>
            </w:r>
          </w:p>
        </w:tc>
      </w:tr>
      <w:tr w:rsidR="00990B14" w14:paraId="795619FC" w14:textId="77777777">
        <w:trPr>
          <w:cantSplit/>
          <w:jc w:val="center"/>
        </w:trPr>
        <w:tc>
          <w:tcPr>
            <w:tcW w:w="3133" w:type="dxa"/>
            <w:gridSpan w:val="4"/>
            <w:vMerge/>
            <w:shd w:val="clear" w:color="auto" w:fill="D9E2F3"/>
            <w:vAlign w:val="center"/>
          </w:tcPr>
          <w:p w14:paraId="4BC7FFAB" w14:textId="77777777" w:rsidR="00990B14" w:rsidRDefault="00990B14">
            <w:pPr>
              <w:spacing w:before="20" w:after="20"/>
            </w:pPr>
          </w:p>
        </w:tc>
        <w:tc>
          <w:tcPr>
            <w:tcW w:w="3135" w:type="dxa"/>
            <w:gridSpan w:val="5"/>
            <w:shd w:val="clear" w:color="auto" w:fill="D9E2F3"/>
            <w:vAlign w:val="center"/>
          </w:tcPr>
          <w:p w14:paraId="52A832EA" w14:textId="77777777" w:rsidR="00990B14" w:rsidRDefault="00000000">
            <w:pPr>
              <w:spacing w:before="20" w:after="20"/>
              <w:jc w:val="both"/>
            </w:pPr>
            <w:r>
              <w:rPr>
                <w:sz w:val="18"/>
                <w:szCs w:val="18"/>
              </w:rPr>
              <w:t>2.2 Consolida en equipo la planilla tributaria en el Formulario 110 y el Formulario 608 y genera los certificados de retiro.</w:t>
            </w:r>
          </w:p>
        </w:tc>
        <w:tc>
          <w:tcPr>
            <w:tcW w:w="3137" w:type="dxa"/>
            <w:gridSpan w:val="4"/>
            <w:shd w:val="clear" w:color="auto" w:fill="D9E2F3"/>
            <w:vAlign w:val="center"/>
          </w:tcPr>
          <w:p w14:paraId="19B61526" w14:textId="77777777" w:rsidR="00990B14" w:rsidRDefault="00000000">
            <w:pPr>
              <w:spacing w:before="20" w:after="20"/>
              <w:jc w:val="both"/>
            </w:pPr>
            <w:r>
              <w:rPr>
                <w:b/>
                <w:bCs/>
                <w:sz w:val="18"/>
                <w:szCs w:val="18"/>
              </w:rPr>
              <w:t xml:space="preserve">Producto 20: </w:t>
            </w:r>
            <w:r>
              <w:rPr>
                <w:sz w:val="18"/>
                <w:szCs w:val="18"/>
              </w:rPr>
              <w:t>Planilla consolidada y certificados generados en el SIAT Planillas.</w:t>
            </w:r>
          </w:p>
        </w:tc>
      </w:tr>
      <w:tr w:rsidR="00990B14" w14:paraId="7F116CB9" w14:textId="77777777">
        <w:trPr>
          <w:cantSplit/>
          <w:jc w:val="center"/>
        </w:trPr>
        <w:tc>
          <w:tcPr>
            <w:tcW w:w="9405" w:type="dxa"/>
            <w:gridSpan w:val="13"/>
            <w:shd w:val="clear" w:color="auto" w:fill="4472C4"/>
            <w:vAlign w:val="center"/>
          </w:tcPr>
          <w:p w14:paraId="772FC7D0" w14:textId="77777777" w:rsidR="00990B14" w:rsidRDefault="00000000">
            <w:pPr>
              <w:keepNext/>
              <w:spacing w:before="20" w:after="20"/>
              <w:jc w:val="center"/>
            </w:pPr>
            <w:r>
              <w:rPr>
                <w:b/>
                <w:bCs/>
                <w:i/>
                <w:iCs/>
                <w:color w:val="FFFFFF"/>
                <w:sz w:val="18"/>
                <w:szCs w:val="18"/>
              </w:rPr>
              <w:t>Evidencias de conocimiento</w:t>
            </w:r>
          </w:p>
        </w:tc>
      </w:tr>
      <w:tr w:rsidR="00990B14" w14:paraId="755CFA90" w14:textId="77777777">
        <w:trPr>
          <w:cantSplit/>
          <w:jc w:val="center"/>
        </w:trPr>
        <w:tc>
          <w:tcPr>
            <w:tcW w:w="2349" w:type="dxa"/>
            <w:gridSpan w:val="2"/>
            <w:shd w:val="clear" w:color="auto" w:fill="4472C4"/>
            <w:vAlign w:val="center"/>
          </w:tcPr>
          <w:p w14:paraId="5A84E047"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369CF35D" w14:textId="77777777" w:rsidR="00990B14" w:rsidRDefault="00000000">
            <w:pPr>
              <w:keepNext/>
              <w:spacing w:before="20" w:after="20"/>
              <w:jc w:val="both"/>
            </w:pPr>
            <w:r>
              <w:rPr>
                <w:b/>
                <w:bCs/>
                <w:i/>
                <w:iCs/>
                <w:color w:val="FFFFFF"/>
                <w:sz w:val="18"/>
                <w:szCs w:val="18"/>
              </w:rPr>
              <w:t>Contenidos</w:t>
            </w:r>
          </w:p>
          <w:p w14:paraId="3E30FC05"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78411F5C" w14:textId="77777777" w:rsidR="00990B14" w:rsidRDefault="00000000">
            <w:pPr>
              <w:keepNext/>
              <w:spacing w:before="20" w:after="20"/>
              <w:jc w:val="center"/>
            </w:pPr>
            <w:r>
              <w:rPr>
                <w:b/>
                <w:bCs/>
                <w:i/>
                <w:iCs/>
                <w:color w:val="FFFFFF"/>
                <w:sz w:val="18"/>
                <w:szCs w:val="18"/>
              </w:rPr>
              <w:t>Conocimientos circunstanciales</w:t>
            </w:r>
          </w:p>
        </w:tc>
      </w:tr>
      <w:tr w:rsidR="00990B14" w14:paraId="5DA04382" w14:textId="77777777">
        <w:trPr>
          <w:jc w:val="center"/>
        </w:trPr>
        <w:tc>
          <w:tcPr>
            <w:tcW w:w="2349" w:type="dxa"/>
            <w:gridSpan w:val="2"/>
            <w:shd w:val="clear" w:color="auto" w:fill="D9E2F3"/>
          </w:tcPr>
          <w:p w14:paraId="0B05671E" w14:textId="77777777" w:rsidR="00990B14" w:rsidRDefault="00000000">
            <w:pPr>
              <w:spacing w:before="20" w:after="40"/>
              <w:jc w:val="both"/>
            </w:pPr>
            <w:r>
              <w:rPr>
                <w:sz w:val="18"/>
                <w:szCs w:val="18"/>
              </w:rPr>
              <w:t>Tema 8: SIAT en Línea</w:t>
            </w:r>
          </w:p>
          <w:p w14:paraId="6951A6AA" w14:textId="77777777" w:rsidR="00990B14" w:rsidRDefault="00000000">
            <w:pPr>
              <w:spacing w:before="20" w:after="40"/>
              <w:jc w:val="both"/>
            </w:pPr>
            <w:r>
              <w:rPr>
                <w:sz w:val="18"/>
                <w:szCs w:val="18"/>
              </w:rPr>
              <w:t>Tema 9: SIAT Estados Financieros Formulario 605</w:t>
            </w:r>
          </w:p>
          <w:p w14:paraId="7C73AD82" w14:textId="77777777" w:rsidR="00990B14" w:rsidRDefault="00000000">
            <w:pPr>
              <w:spacing w:before="20" w:after="40"/>
              <w:jc w:val="both"/>
            </w:pPr>
            <w:r>
              <w:rPr>
                <w:sz w:val="18"/>
                <w:szCs w:val="18"/>
              </w:rPr>
              <w:t>Tema 10: SIAT RCV</w:t>
            </w:r>
          </w:p>
          <w:p w14:paraId="7CD447B0" w14:textId="77777777" w:rsidR="00990B14" w:rsidRDefault="00000000">
            <w:pPr>
              <w:spacing w:before="20" w:after="40"/>
              <w:jc w:val="both"/>
            </w:pPr>
            <w:r>
              <w:rPr>
                <w:sz w:val="18"/>
                <w:szCs w:val="18"/>
              </w:rPr>
              <w:t>Tema 11: SIAT Planillas</w:t>
            </w:r>
          </w:p>
        </w:tc>
        <w:tc>
          <w:tcPr>
            <w:tcW w:w="4304" w:type="dxa"/>
            <w:gridSpan w:val="8"/>
            <w:shd w:val="clear" w:color="auto" w:fill="D9E2F3"/>
          </w:tcPr>
          <w:p w14:paraId="76CF27B1" w14:textId="77777777" w:rsidR="00990B14" w:rsidRDefault="00000000">
            <w:pPr>
              <w:spacing w:after="40"/>
              <w:jc w:val="both"/>
            </w:pPr>
            <w:r>
              <w:rPr>
                <w:sz w:val="18"/>
                <w:szCs w:val="18"/>
              </w:rPr>
              <w:t>SIAT en línea: formas de ingreso y datos necesarios para el ingreso al sistema. (C, T)</w:t>
            </w:r>
          </w:p>
          <w:p w14:paraId="04329BC7" w14:textId="77777777" w:rsidR="00990B14" w:rsidRDefault="00000000">
            <w:pPr>
              <w:spacing w:after="40"/>
              <w:jc w:val="both"/>
            </w:pPr>
            <w:r>
              <w:rPr>
                <w:sz w:val="18"/>
                <w:szCs w:val="18"/>
              </w:rPr>
              <w:t>Opciones disponibles en el SIAT en línea e información relevante que debe conocer todo contador público al respecto. (C, T)</w:t>
            </w:r>
          </w:p>
          <w:p w14:paraId="248ED91E" w14:textId="77777777" w:rsidR="00990B14" w:rsidRDefault="00000000">
            <w:pPr>
              <w:spacing w:after="40"/>
              <w:jc w:val="both"/>
            </w:pPr>
            <w:r>
              <w:rPr>
                <w:sz w:val="18"/>
                <w:szCs w:val="18"/>
              </w:rPr>
              <w:t>Pruebas con equipos para el ingreso al SIAT en línea. (P, T)</w:t>
            </w:r>
          </w:p>
          <w:p w14:paraId="172C13BD" w14:textId="77777777" w:rsidR="00990B14" w:rsidRDefault="00000000">
            <w:pPr>
              <w:spacing w:after="40"/>
              <w:jc w:val="both"/>
            </w:pPr>
            <w:r>
              <w:rPr>
                <w:sz w:val="18"/>
                <w:szCs w:val="18"/>
              </w:rPr>
              <w:t>SIAT Estados Financieros: apertura de empresa e importancia del ingreso de datos del contador, del representante legal, de las fechas de registro y del auditor. (P, T)</w:t>
            </w:r>
          </w:p>
          <w:p w14:paraId="10FE0A36" w14:textId="77777777" w:rsidR="00990B14" w:rsidRDefault="00000000">
            <w:pPr>
              <w:spacing w:after="40"/>
              <w:jc w:val="both"/>
            </w:pPr>
            <w:r>
              <w:rPr>
                <w:sz w:val="18"/>
                <w:szCs w:val="18"/>
              </w:rPr>
              <w:t>Presentación digital de los estados financieros y de la información tributaria complementaria, y obligación del dictamen de auditoría externa según el nivel de ingresos del contribuyente. (P, T)</w:t>
            </w:r>
          </w:p>
          <w:p w14:paraId="7CDA7734" w14:textId="77777777" w:rsidR="00990B14" w:rsidRDefault="00000000">
            <w:pPr>
              <w:spacing w:after="40"/>
              <w:jc w:val="both"/>
            </w:pPr>
            <w:r>
              <w:rPr>
                <w:sz w:val="18"/>
                <w:szCs w:val="18"/>
              </w:rPr>
              <w:t>Tipo de opinión y llenado de los estados financieros en el SIAT Formulario 605. (C, T)</w:t>
            </w:r>
          </w:p>
          <w:p w14:paraId="641C11EE" w14:textId="77777777" w:rsidR="00990B14" w:rsidRDefault="00000000">
            <w:pPr>
              <w:spacing w:after="40"/>
              <w:jc w:val="both"/>
            </w:pPr>
            <w:r>
              <w:rPr>
                <w:sz w:val="18"/>
                <w:szCs w:val="18"/>
              </w:rPr>
              <w:t>Llenado del anexo de inventarios y aspectos que se deben cuidar en su llenado. (C)</w:t>
            </w:r>
          </w:p>
          <w:p w14:paraId="23E8C409" w14:textId="77777777" w:rsidR="00990B14" w:rsidRDefault="00000000">
            <w:pPr>
              <w:spacing w:after="40"/>
              <w:jc w:val="both"/>
            </w:pPr>
            <w:r>
              <w:rPr>
                <w:sz w:val="18"/>
                <w:szCs w:val="18"/>
              </w:rPr>
              <w:t>Llenado del anexo de activos fijos y aspectos que se deben cuidar en su llenado. (C)</w:t>
            </w:r>
          </w:p>
          <w:p w14:paraId="33B54850" w14:textId="77777777" w:rsidR="00990B14" w:rsidRDefault="00000000">
            <w:pPr>
              <w:spacing w:after="40"/>
              <w:jc w:val="both"/>
            </w:pPr>
            <w:r>
              <w:rPr>
                <w:sz w:val="18"/>
                <w:szCs w:val="18"/>
              </w:rPr>
              <w:t>SIAT RCV: validación de ventas y compras, y tratamiento de registros manuales y automáticos. (P, T)</w:t>
            </w:r>
          </w:p>
          <w:p w14:paraId="4CA403FF" w14:textId="77777777" w:rsidR="00990B14" w:rsidRDefault="00000000">
            <w:pPr>
              <w:spacing w:after="40"/>
              <w:jc w:val="both"/>
            </w:pPr>
            <w:r>
              <w:rPr>
                <w:sz w:val="18"/>
                <w:szCs w:val="18"/>
              </w:rPr>
              <w:t>Importancia de los periodos de registro y consolidación en el SIAT RCV. (P, T)</w:t>
            </w:r>
          </w:p>
          <w:p w14:paraId="4B3A2CCC" w14:textId="77777777" w:rsidR="00990B14" w:rsidRDefault="00000000">
            <w:pPr>
              <w:spacing w:after="40"/>
              <w:jc w:val="both"/>
            </w:pPr>
            <w:r>
              <w:rPr>
                <w:sz w:val="18"/>
                <w:szCs w:val="18"/>
              </w:rPr>
              <w:t>Conciliación del registro de compras y ventas con los libros del sistema contable y con las facturas emitidas en línea. (P, T)</w:t>
            </w:r>
          </w:p>
          <w:p w14:paraId="11D55BD0" w14:textId="77777777" w:rsidR="00990B14" w:rsidRDefault="00000000">
            <w:pPr>
              <w:spacing w:after="40"/>
              <w:jc w:val="both"/>
            </w:pPr>
            <w:r>
              <w:rPr>
                <w:sz w:val="18"/>
                <w:szCs w:val="18"/>
              </w:rPr>
              <w:t>Corrección de errores y presentación de los registros del SIAT RCV. (P, T)</w:t>
            </w:r>
          </w:p>
          <w:p w14:paraId="412FFBE6" w14:textId="77777777" w:rsidR="00990B14" w:rsidRDefault="00000000">
            <w:pPr>
              <w:spacing w:after="40"/>
              <w:jc w:val="both"/>
            </w:pPr>
            <w:r>
              <w:rPr>
                <w:sz w:val="18"/>
                <w:szCs w:val="18"/>
              </w:rPr>
              <w:t>SIAT Planillas: personalización y generación de códigos para dependientes. (C, T)</w:t>
            </w:r>
          </w:p>
          <w:p w14:paraId="68DF8F61" w14:textId="77777777" w:rsidR="00990B14" w:rsidRDefault="00000000">
            <w:pPr>
              <w:spacing w:after="40"/>
              <w:jc w:val="both"/>
            </w:pPr>
            <w:r>
              <w:rPr>
                <w:sz w:val="18"/>
                <w:szCs w:val="18"/>
              </w:rPr>
              <w:t>Formulario 110 y consolidación para el Formulario 608. (C)</w:t>
            </w:r>
          </w:p>
          <w:p w14:paraId="638C5A7F" w14:textId="77777777" w:rsidR="00990B14" w:rsidRDefault="00000000">
            <w:pPr>
              <w:spacing w:after="40"/>
              <w:jc w:val="both"/>
            </w:pPr>
            <w:r>
              <w:rPr>
                <w:sz w:val="18"/>
                <w:szCs w:val="18"/>
              </w:rPr>
              <w:t>Generación de certificados en caso de retiro y traslación de saldos a favor en el SIAT Planillas. (C, T)</w:t>
            </w:r>
          </w:p>
          <w:p w14:paraId="1A78A74F" w14:textId="77777777" w:rsidR="00990B14" w:rsidRDefault="00000000">
            <w:pPr>
              <w:spacing w:after="40"/>
              <w:jc w:val="both"/>
            </w:pPr>
            <w:r>
              <w:rPr>
                <w:sz w:val="18"/>
                <w:szCs w:val="18"/>
              </w:rPr>
              <w:t>Corrección de errores y recepción digital de los formularios 110. (C, T)</w:t>
            </w:r>
          </w:p>
          <w:p w14:paraId="21B74E21" w14:textId="77777777" w:rsidR="00990B14" w:rsidRDefault="00000000">
            <w:pPr>
              <w:spacing w:after="40"/>
              <w:jc w:val="both"/>
            </w:pPr>
            <w:r>
              <w:rPr>
                <w:sz w:val="18"/>
                <w:szCs w:val="18"/>
              </w:rPr>
              <w:t>Remisión al Servicio de Impuestos Nacionales de la planilla consolidada. (C)</w:t>
            </w:r>
          </w:p>
          <w:p w14:paraId="103D05F5" w14:textId="77777777" w:rsidR="00990B14" w:rsidRDefault="00000000">
            <w:pPr>
              <w:spacing w:after="40"/>
              <w:jc w:val="both"/>
            </w:pPr>
            <w:r>
              <w:rPr>
                <w:sz w:val="18"/>
                <w:szCs w:val="18"/>
              </w:rPr>
              <w:t>Analítica de datos aplicada a la información contable y tributaria: tablas dinámicas y tableros de control para la revisión de consistencia. (C, T)</w:t>
            </w:r>
          </w:p>
          <w:p w14:paraId="101A43CD" w14:textId="77777777" w:rsidR="00990B14" w:rsidRDefault="00000000">
            <w:pPr>
              <w:spacing w:after="40"/>
              <w:jc w:val="both"/>
            </w:pPr>
            <w:r>
              <w:rPr>
                <w:sz w:val="18"/>
                <w:szCs w:val="18"/>
              </w:rPr>
              <w:t>Ética y responsabilidad profesional del contador público en la información declarada ante la Administración Tributaria. (C, A)</w:t>
            </w:r>
          </w:p>
        </w:tc>
        <w:tc>
          <w:tcPr>
            <w:tcW w:w="2752" w:type="dxa"/>
            <w:gridSpan w:val="3"/>
            <w:shd w:val="clear" w:color="auto" w:fill="D9E2F3"/>
          </w:tcPr>
          <w:p w14:paraId="5AA7C100" w14:textId="77777777" w:rsidR="00990B14" w:rsidRDefault="00000000">
            <w:pPr>
              <w:numPr>
                <w:ilvl w:val="0"/>
                <w:numId w:val="139"/>
              </w:numPr>
              <w:spacing w:before="10" w:after="10"/>
              <w:jc w:val="both"/>
            </w:pPr>
            <w:r>
              <w:rPr>
                <w:sz w:val="18"/>
                <w:szCs w:val="18"/>
              </w:rPr>
              <w:t>Nociones de los requisitos técnicos del equipo y del navegador para el acceso al SIAT.</w:t>
            </w:r>
          </w:p>
          <w:p w14:paraId="70A3F94F" w14:textId="77777777" w:rsidR="00990B14" w:rsidRDefault="00000000">
            <w:pPr>
              <w:numPr>
                <w:ilvl w:val="0"/>
                <w:numId w:val="139"/>
              </w:numPr>
              <w:spacing w:before="10" w:after="10"/>
              <w:jc w:val="both"/>
            </w:pPr>
            <w:r>
              <w:rPr>
                <w:sz w:val="18"/>
                <w:szCs w:val="18"/>
              </w:rPr>
              <w:t>Nociones de custodia de credenciales y contraseñas de acceso del contribuyente.</w:t>
            </w:r>
          </w:p>
        </w:tc>
      </w:tr>
      <w:tr w:rsidR="00990B14" w14:paraId="16473C5D" w14:textId="77777777">
        <w:trPr>
          <w:cantSplit/>
          <w:jc w:val="center"/>
        </w:trPr>
        <w:tc>
          <w:tcPr>
            <w:tcW w:w="9405" w:type="dxa"/>
            <w:gridSpan w:val="13"/>
            <w:shd w:val="clear" w:color="auto" w:fill="D9E2F3"/>
            <w:vAlign w:val="center"/>
          </w:tcPr>
          <w:p w14:paraId="684ABD26" w14:textId="77777777" w:rsidR="00990B14" w:rsidRDefault="00000000">
            <w:pPr>
              <w:spacing w:before="20" w:after="20"/>
              <w:jc w:val="both"/>
            </w:pPr>
            <w:r>
              <w:rPr>
                <w:b/>
                <w:bCs/>
                <w:i/>
                <w:iCs/>
                <w:sz w:val="18"/>
                <w:szCs w:val="18"/>
              </w:rPr>
              <w:t xml:space="preserve">Elemento de competencia 6: </w:t>
            </w:r>
            <w:r>
              <w:rPr>
                <w:sz w:val="18"/>
                <w:szCs w:val="18"/>
              </w:rPr>
              <w:t>Gestiona un sistema de recursos empresariales, parametrizando sus módulos contable, de compras, ventas e inventarios, y elabora tableros de indicadores financieros con herramientas de inteligencia de negocios a partir de los datos del sistema.</w:t>
            </w:r>
          </w:p>
        </w:tc>
      </w:tr>
      <w:tr w:rsidR="00990B14" w14:paraId="007B536A" w14:textId="77777777">
        <w:trPr>
          <w:cantSplit/>
          <w:jc w:val="center"/>
        </w:trPr>
        <w:tc>
          <w:tcPr>
            <w:tcW w:w="3133" w:type="dxa"/>
            <w:gridSpan w:val="4"/>
            <w:shd w:val="clear" w:color="auto" w:fill="4472C4"/>
            <w:vAlign w:val="center"/>
          </w:tcPr>
          <w:p w14:paraId="45E3824B"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440A4E2A"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5A656FB5" w14:textId="77777777" w:rsidR="00990B14" w:rsidRDefault="00000000">
            <w:pPr>
              <w:keepNext/>
              <w:spacing w:before="20" w:after="20"/>
              <w:jc w:val="center"/>
            </w:pPr>
            <w:r>
              <w:rPr>
                <w:b/>
                <w:bCs/>
                <w:i/>
                <w:iCs/>
                <w:color w:val="FFFFFF"/>
                <w:sz w:val="18"/>
                <w:szCs w:val="18"/>
              </w:rPr>
              <w:t>Evidencias de producto</w:t>
            </w:r>
          </w:p>
        </w:tc>
      </w:tr>
      <w:tr w:rsidR="00990B14" w14:paraId="1CB4C985" w14:textId="77777777">
        <w:trPr>
          <w:cantSplit/>
          <w:jc w:val="center"/>
        </w:trPr>
        <w:tc>
          <w:tcPr>
            <w:tcW w:w="3133" w:type="dxa"/>
            <w:gridSpan w:val="4"/>
            <w:vMerge w:val="restart"/>
            <w:shd w:val="clear" w:color="auto" w:fill="D9E2F3"/>
            <w:vAlign w:val="center"/>
          </w:tcPr>
          <w:p w14:paraId="163BC920" w14:textId="77777777" w:rsidR="00990B14" w:rsidRDefault="00000000">
            <w:pPr>
              <w:spacing w:before="20" w:after="20"/>
              <w:jc w:val="both"/>
            </w:pPr>
            <w:r>
              <w:rPr>
                <w:sz w:val="18"/>
                <w:szCs w:val="18"/>
              </w:rPr>
              <w:t>1. Parametriza y Gestiona un sistema de planificación de recursos empresariales, integrando los módulos contable, de compras, ventas e inventarios y evaluando sus controles de aplicación.</w:t>
            </w:r>
          </w:p>
        </w:tc>
        <w:tc>
          <w:tcPr>
            <w:tcW w:w="3135" w:type="dxa"/>
            <w:gridSpan w:val="5"/>
            <w:shd w:val="clear" w:color="auto" w:fill="D9E2F3"/>
            <w:vAlign w:val="center"/>
          </w:tcPr>
          <w:p w14:paraId="0E9F8C46" w14:textId="77777777" w:rsidR="00990B14" w:rsidRDefault="00000000">
            <w:pPr>
              <w:spacing w:before="20" w:after="20"/>
              <w:jc w:val="both"/>
            </w:pPr>
            <w:r>
              <w:rPr>
                <w:sz w:val="18"/>
                <w:szCs w:val="18"/>
              </w:rPr>
              <w:t>1.1 Parametriza en el laboratorio de cómputo una empresa en un ERP de uso académico con su plan de cuentas, monedas, impuestos y perfiles de usuario.</w:t>
            </w:r>
          </w:p>
        </w:tc>
        <w:tc>
          <w:tcPr>
            <w:tcW w:w="3137" w:type="dxa"/>
            <w:gridSpan w:val="4"/>
            <w:shd w:val="clear" w:color="auto" w:fill="D9E2F3"/>
            <w:vAlign w:val="center"/>
          </w:tcPr>
          <w:p w14:paraId="19D50886" w14:textId="77777777" w:rsidR="00990B14" w:rsidRDefault="00000000">
            <w:pPr>
              <w:spacing w:before="20" w:after="20"/>
              <w:jc w:val="both"/>
            </w:pPr>
            <w:r>
              <w:rPr>
                <w:b/>
                <w:bCs/>
                <w:sz w:val="18"/>
                <w:szCs w:val="18"/>
              </w:rPr>
              <w:t xml:space="preserve">Producto 21: </w:t>
            </w:r>
            <w:r>
              <w:rPr>
                <w:sz w:val="18"/>
                <w:szCs w:val="18"/>
              </w:rPr>
              <w:t>Empresa parametrizada en el ERP con sus perfiles de usuario.</w:t>
            </w:r>
          </w:p>
        </w:tc>
      </w:tr>
      <w:tr w:rsidR="00990B14" w14:paraId="5F638DD2" w14:textId="77777777">
        <w:trPr>
          <w:cantSplit/>
          <w:jc w:val="center"/>
        </w:trPr>
        <w:tc>
          <w:tcPr>
            <w:tcW w:w="3133" w:type="dxa"/>
            <w:gridSpan w:val="4"/>
            <w:vMerge/>
            <w:shd w:val="clear" w:color="auto" w:fill="D9E2F3"/>
            <w:vAlign w:val="center"/>
          </w:tcPr>
          <w:p w14:paraId="5EA3C46D" w14:textId="77777777" w:rsidR="00990B14" w:rsidRDefault="00990B14">
            <w:pPr>
              <w:spacing w:before="20" w:after="20"/>
            </w:pPr>
          </w:p>
        </w:tc>
        <w:tc>
          <w:tcPr>
            <w:tcW w:w="3135" w:type="dxa"/>
            <w:gridSpan w:val="5"/>
            <w:shd w:val="clear" w:color="auto" w:fill="D9E2F3"/>
            <w:vAlign w:val="center"/>
          </w:tcPr>
          <w:p w14:paraId="4BB36845" w14:textId="77777777" w:rsidR="00990B14" w:rsidRDefault="00000000">
            <w:pPr>
              <w:spacing w:before="20" w:after="20"/>
              <w:jc w:val="both"/>
            </w:pPr>
            <w:r>
              <w:rPr>
                <w:sz w:val="18"/>
                <w:szCs w:val="18"/>
              </w:rPr>
              <w:t>1.2 Registra en equipo un ciclo completo de compras, ventas e inventarios en el ERP, verificando los asientos automáticos y el cierre del periodo.</w:t>
            </w:r>
          </w:p>
        </w:tc>
        <w:tc>
          <w:tcPr>
            <w:tcW w:w="3137" w:type="dxa"/>
            <w:gridSpan w:val="4"/>
            <w:shd w:val="clear" w:color="auto" w:fill="D9E2F3"/>
            <w:vAlign w:val="center"/>
          </w:tcPr>
          <w:p w14:paraId="3CB3F8FB" w14:textId="77777777" w:rsidR="00990B14" w:rsidRDefault="00000000">
            <w:pPr>
              <w:spacing w:before="20" w:after="20"/>
              <w:jc w:val="both"/>
            </w:pPr>
            <w:r>
              <w:rPr>
                <w:b/>
                <w:bCs/>
                <w:sz w:val="18"/>
                <w:szCs w:val="18"/>
              </w:rPr>
              <w:t xml:space="preserve">Producto 22: </w:t>
            </w:r>
            <w:r>
              <w:rPr>
                <w:sz w:val="18"/>
                <w:szCs w:val="18"/>
              </w:rPr>
              <w:t>Ciclo de operaciones registrado en el ERP con el cierre del periodo.</w:t>
            </w:r>
          </w:p>
        </w:tc>
      </w:tr>
      <w:tr w:rsidR="00990B14" w14:paraId="18DA06B2" w14:textId="77777777">
        <w:trPr>
          <w:cantSplit/>
          <w:jc w:val="center"/>
        </w:trPr>
        <w:tc>
          <w:tcPr>
            <w:tcW w:w="3133" w:type="dxa"/>
            <w:gridSpan w:val="4"/>
            <w:vMerge w:val="restart"/>
            <w:shd w:val="clear" w:color="auto" w:fill="D9E2F3"/>
            <w:vAlign w:val="center"/>
          </w:tcPr>
          <w:p w14:paraId="0944ACED" w14:textId="77777777" w:rsidR="00990B14" w:rsidRDefault="00000000">
            <w:pPr>
              <w:spacing w:before="20" w:after="20"/>
              <w:jc w:val="both"/>
            </w:pPr>
            <w:r>
              <w:rPr>
                <w:sz w:val="18"/>
                <w:szCs w:val="18"/>
              </w:rPr>
              <w:t>2. Elabora un tablero de indicadores financieros con herramientas de inteligencia de negocios a partir de los datos depurados del sistema, interpretando sus resultados.</w:t>
            </w:r>
          </w:p>
        </w:tc>
        <w:tc>
          <w:tcPr>
            <w:tcW w:w="3135" w:type="dxa"/>
            <w:gridSpan w:val="5"/>
            <w:shd w:val="clear" w:color="auto" w:fill="D9E2F3"/>
            <w:vAlign w:val="center"/>
          </w:tcPr>
          <w:p w14:paraId="2AAAA856" w14:textId="77777777" w:rsidR="00990B14" w:rsidRDefault="00000000">
            <w:pPr>
              <w:spacing w:before="20" w:after="20"/>
              <w:jc w:val="both"/>
            </w:pPr>
            <w:r>
              <w:rPr>
                <w:sz w:val="18"/>
                <w:szCs w:val="18"/>
              </w:rPr>
              <w:t>2.1 Extrae y depura en el laboratorio de cómputo los datos contables del ERP con Power Query.</w:t>
            </w:r>
          </w:p>
        </w:tc>
        <w:tc>
          <w:tcPr>
            <w:tcW w:w="3137" w:type="dxa"/>
            <w:gridSpan w:val="4"/>
            <w:shd w:val="clear" w:color="auto" w:fill="D9E2F3"/>
            <w:vAlign w:val="center"/>
          </w:tcPr>
          <w:p w14:paraId="7008B378" w14:textId="77777777" w:rsidR="00990B14" w:rsidRDefault="00000000">
            <w:pPr>
              <w:spacing w:before="20" w:after="20"/>
              <w:jc w:val="both"/>
            </w:pPr>
            <w:r>
              <w:rPr>
                <w:b/>
                <w:bCs/>
                <w:sz w:val="18"/>
                <w:szCs w:val="18"/>
              </w:rPr>
              <w:t xml:space="preserve">Producto 23: </w:t>
            </w:r>
            <w:r>
              <w:rPr>
                <w:sz w:val="18"/>
                <w:szCs w:val="18"/>
              </w:rPr>
              <w:t>Base de datos contables depurada para el análisis.</w:t>
            </w:r>
          </w:p>
        </w:tc>
      </w:tr>
      <w:tr w:rsidR="00990B14" w14:paraId="5CEE7A60" w14:textId="77777777">
        <w:trPr>
          <w:cantSplit/>
          <w:jc w:val="center"/>
        </w:trPr>
        <w:tc>
          <w:tcPr>
            <w:tcW w:w="3133" w:type="dxa"/>
            <w:gridSpan w:val="4"/>
            <w:vMerge/>
            <w:shd w:val="clear" w:color="auto" w:fill="D9E2F3"/>
            <w:vAlign w:val="center"/>
          </w:tcPr>
          <w:p w14:paraId="7F3F9721" w14:textId="77777777" w:rsidR="00990B14" w:rsidRDefault="00990B14">
            <w:pPr>
              <w:spacing w:before="20" w:after="20"/>
            </w:pPr>
          </w:p>
        </w:tc>
        <w:tc>
          <w:tcPr>
            <w:tcW w:w="3135" w:type="dxa"/>
            <w:gridSpan w:val="5"/>
            <w:shd w:val="clear" w:color="auto" w:fill="D9E2F3"/>
            <w:vAlign w:val="center"/>
          </w:tcPr>
          <w:p w14:paraId="4595BD3B" w14:textId="77777777" w:rsidR="00990B14" w:rsidRDefault="00000000">
            <w:pPr>
              <w:spacing w:before="20" w:after="20"/>
              <w:jc w:val="both"/>
            </w:pPr>
            <w:r>
              <w:rPr>
                <w:sz w:val="18"/>
                <w:szCs w:val="18"/>
              </w:rPr>
              <w:t>2.2 Presenta ante el curso el tablero de indicadores financieros de la empresa del caso con su interpretación.</w:t>
            </w:r>
          </w:p>
        </w:tc>
        <w:tc>
          <w:tcPr>
            <w:tcW w:w="3137" w:type="dxa"/>
            <w:gridSpan w:val="4"/>
            <w:shd w:val="clear" w:color="auto" w:fill="D9E2F3"/>
            <w:vAlign w:val="center"/>
          </w:tcPr>
          <w:p w14:paraId="1C895E2C" w14:textId="77777777" w:rsidR="00990B14" w:rsidRDefault="00000000">
            <w:pPr>
              <w:spacing w:before="20" w:after="20"/>
              <w:jc w:val="both"/>
            </w:pPr>
            <w:r>
              <w:rPr>
                <w:b/>
                <w:bCs/>
                <w:sz w:val="18"/>
                <w:szCs w:val="18"/>
              </w:rPr>
              <w:t xml:space="preserve">Producto 24: </w:t>
            </w:r>
            <w:r>
              <w:rPr>
                <w:sz w:val="18"/>
                <w:szCs w:val="18"/>
              </w:rPr>
              <w:t>Informe gerencial interpretando los datos financieros y sugiriendo estrategias, basado en el tablero de indicadores de Power BI</w:t>
            </w:r>
          </w:p>
        </w:tc>
      </w:tr>
      <w:tr w:rsidR="00990B14" w14:paraId="0E94F984" w14:textId="77777777">
        <w:trPr>
          <w:cantSplit/>
          <w:jc w:val="center"/>
        </w:trPr>
        <w:tc>
          <w:tcPr>
            <w:tcW w:w="9405" w:type="dxa"/>
            <w:gridSpan w:val="13"/>
            <w:shd w:val="clear" w:color="auto" w:fill="4472C4"/>
            <w:vAlign w:val="center"/>
          </w:tcPr>
          <w:p w14:paraId="43D99E26" w14:textId="77777777" w:rsidR="00990B14" w:rsidRDefault="00000000">
            <w:pPr>
              <w:keepNext/>
              <w:spacing w:before="20" w:after="20"/>
              <w:jc w:val="center"/>
            </w:pPr>
            <w:r>
              <w:rPr>
                <w:b/>
                <w:bCs/>
                <w:i/>
                <w:iCs/>
                <w:color w:val="FFFFFF"/>
                <w:sz w:val="18"/>
                <w:szCs w:val="18"/>
              </w:rPr>
              <w:t>Evidencias de conocimiento</w:t>
            </w:r>
          </w:p>
        </w:tc>
      </w:tr>
      <w:tr w:rsidR="00990B14" w14:paraId="13CF27CF" w14:textId="77777777">
        <w:trPr>
          <w:cantSplit/>
          <w:jc w:val="center"/>
        </w:trPr>
        <w:tc>
          <w:tcPr>
            <w:tcW w:w="2349" w:type="dxa"/>
            <w:gridSpan w:val="2"/>
            <w:shd w:val="clear" w:color="auto" w:fill="4472C4"/>
            <w:vAlign w:val="center"/>
          </w:tcPr>
          <w:p w14:paraId="0434EB0A"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7D2986F1" w14:textId="77777777" w:rsidR="00990B14" w:rsidRDefault="00000000">
            <w:pPr>
              <w:keepNext/>
              <w:spacing w:before="20" w:after="20"/>
              <w:jc w:val="both"/>
            </w:pPr>
            <w:r>
              <w:rPr>
                <w:b/>
                <w:bCs/>
                <w:i/>
                <w:iCs/>
                <w:color w:val="FFFFFF"/>
                <w:sz w:val="18"/>
                <w:szCs w:val="18"/>
              </w:rPr>
              <w:t>Contenidos</w:t>
            </w:r>
          </w:p>
          <w:p w14:paraId="3D2AC11D"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2C3F4F3A" w14:textId="77777777" w:rsidR="00990B14" w:rsidRDefault="00000000">
            <w:pPr>
              <w:keepNext/>
              <w:spacing w:before="20" w:after="20"/>
              <w:jc w:val="center"/>
            </w:pPr>
            <w:r>
              <w:rPr>
                <w:b/>
                <w:bCs/>
                <w:i/>
                <w:iCs/>
                <w:color w:val="FFFFFF"/>
                <w:sz w:val="18"/>
                <w:szCs w:val="18"/>
              </w:rPr>
              <w:t>Conocimientos circunstanciales</w:t>
            </w:r>
          </w:p>
        </w:tc>
      </w:tr>
      <w:tr w:rsidR="00990B14" w14:paraId="11AB5EAC" w14:textId="77777777">
        <w:trPr>
          <w:jc w:val="center"/>
        </w:trPr>
        <w:tc>
          <w:tcPr>
            <w:tcW w:w="2349" w:type="dxa"/>
            <w:gridSpan w:val="2"/>
            <w:shd w:val="clear" w:color="auto" w:fill="D9E2F3"/>
          </w:tcPr>
          <w:p w14:paraId="0D36EB79" w14:textId="77777777" w:rsidR="00990B14" w:rsidRDefault="00000000">
            <w:pPr>
              <w:spacing w:before="20" w:after="40"/>
              <w:jc w:val="both"/>
            </w:pPr>
            <w:r>
              <w:rPr>
                <w:sz w:val="18"/>
                <w:szCs w:val="18"/>
              </w:rPr>
              <w:t>Tema 12: Sistemas de planificación de recursos empresariales</w:t>
            </w:r>
          </w:p>
          <w:p w14:paraId="0EF42813" w14:textId="77777777" w:rsidR="00990B14" w:rsidRDefault="00000000">
            <w:pPr>
              <w:spacing w:before="20" w:after="40"/>
              <w:jc w:val="both"/>
            </w:pPr>
            <w:r>
              <w:rPr>
                <w:sz w:val="18"/>
                <w:szCs w:val="18"/>
              </w:rPr>
              <w:t>Tema 13: Análisis de datos financieros e inteligencia de negocios</w:t>
            </w:r>
          </w:p>
        </w:tc>
        <w:tc>
          <w:tcPr>
            <w:tcW w:w="4304" w:type="dxa"/>
            <w:gridSpan w:val="8"/>
            <w:shd w:val="clear" w:color="auto" w:fill="D9E2F3"/>
          </w:tcPr>
          <w:p w14:paraId="47B20D56" w14:textId="77777777" w:rsidR="00990B14" w:rsidRDefault="00000000">
            <w:pPr>
              <w:spacing w:after="40"/>
              <w:jc w:val="both"/>
            </w:pPr>
            <w:r>
              <w:rPr>
                <w:sz w:val="18"/>
                <w:szCs w:val="18"/>
              </w:rPr>
              <w:t>Sistemas de planificación de recursos empresariales: concepto, arquitectura modular e integración de los procesos de negocio. (C)</w:t>
            </w:r>
          </w:p>
          <w:p w14:paraId="14B66B12" w14:textId="77777777" w:rsidR="00990B14" w:rsidRDefault="00000000">
            <w:pPr>
              <w:spacing w:after="40"/>
              <w:jc w:val="both"/>
            </w:pPr>
            <w:r>
              <w:rPr>
                <w:sz w:val="18"/>
                <w:szCs w:val="18"/>
              </w:rPr>
              <w:t>Principales sistemas ERP del mercado: SAP Business One, Oracle NetSuite y Odoo; licenciamiento y versiones de uso académico. (C)</w:t>
            </w:r>
          </w:p>
          <w:p w14:paraId="35364850" w14:textId="77777777" w:rsidR="00990B14" w:rsidRDefault="00000000">
            <w:pPr>
              <w:spacing w:after="40"/>
              <w:jc w:val="both"/>
            </w:pPr>
            <w:r>
              <w:rPr>
                <w:sz w:val="18"/>
                <w:szCs w:val="18"/>
              </w:rPr>
              <w:t>Parametrización de la empresa en el ERP: plan de cuentas, monedas, impuestos, periodos contables y usuarios con perfiles de acceso. (C)</w:t>
            </w:r>
          </w:p>
          <w:p w14:paraId="7E80F66E" w14:textId="77777777" w:rsidR="00990B14" w:rsidRDefault="00000000">
            <w:pPr>
              <w:spacing w:after="40"/>
              <w:jc w:val="both"/>
            </w:pPr>
            <w:r>
              <w:rPr>
                <w:sz w:val="18"/>
                <w:szCs w:val="18"/>
              </w:rPr>
              <w:t>Integración de los módulos de compras, ventas, inventarios y contabilidad: del documento comercial al asiento contable automático. (C)</w:t>
            </w:r>
          </w:p>
          <w:p w14:paraId="347AE434" w14:textId="77777777" w:rsidR="00990B14" w:rsidRDefault="00000000">
            <w:pPr>
              <w:spacing w:after="40"/>
              <w:jc w:val="both"/>
            </w:pPr>
            <w:r>
              <w:rPr>
                <w:sz w:val="18"/>
                <w:szCs w:val="18"/>
              </w:rPr>
              <w:t>Cierre del periodo y emisión de los estados financieros desde el ERP. (C)</w:t>
            </w:r>
          </w:p>
          <w:p w14:paraId="69917DAC" w14:textId="77777777" w:rsidR="00990B14" w:rsidRDefault="00000000">
            <w:pPr>
              <w:spacing w:after="40"/>
              <w:jc w:val="both"/>
            </w:pPr>
            <w:r>
              <w:rPr>
                <w:sz w:val="18"/>
                <w:szCs w:val="18"/>
              </w:rPr>
              <w:t>Controles de aplicación, pistas de auditoría y segregación de funciones en el ERP. (P)</w:t>
            </w:r>
          </w:p>
          <w:p w14:paraId="0D8F2713" w14:textId="77777777" w:rsidR="00990B14" w:rsidRDefault="00000000">
            <w:pPr>
              <w:spacing w:after="40"/>
              <w:jc w:val="both"/>
            </w:pPr>
            <w:r>
              <w:rPr>
                <w:sz w:val="18"/>
                <w:szCs w:val="18"/>
              </w:rPr>
              <w:t>Extracción y depuración de datos contables: exportación desde el ERP y transformación con Power Query. (C)</w:t>
            </w:r>
          </w:p>
          <w:p w14:paraId="47DAB37B" w14:textId="77777777" w:rsidR="00990B14" w:rsidRDefault="00000000">
            <w:pPr>
              <w:spacing w:after="40"/>
              <w:jc w:val="both"/>
            </w:pPr>
            <w:r>
              <w:rPr>
                <w:sz w:val="18"/>
                <w:szCs w:val="18"/>
              </w:rPr>
              <w:t>Modelo de datos e indicadores financieros con Power BI: relaciones, medidas y tablero de control gerencial. (C, T)</w:t>
            </w:r>
          </w:p>
          <w:p w14:paraId="2C245CA3" w14:textId="77777777" w:rsidR="00990B14" w:rsidRDefault="00000000">
            <w:pPr>
              <w:spacing w:after="40"/>
              <w:jc w:val="both"/>
            </w:pPr>
            <w:r>
              <w:rPr>
                <w:sz w:val="18"/>
                <w:szCs w:val="18"/>
              </w:rPr>
              <w:t>Analítica descriptiva y detección de valores atípicos en la información contable. (C, A)</w:t>
            </w:r>
          </w:p>
          <w:p w14:paraId="0A02A2B9" w14:textId="77777777" w:rsidR="00990B14" w:rsidRDefault="00000000">
            <w:pPr>
              <w:spacing w:after="40"/>
              <w:jc w:val="both"/>
            </w:pPr>
            <w:r>
              <w:rPr>
                <w:sz w:val="18"/>
                <w:szCs w:val="18"/>
              </w:rPr>
              <w:t>Reportes financieros digitales e interpretación de los indicadores para la toma de decisiones. (C, T)</w:t>
            </w:r>
          </w:p>
        </w:tc>
        <w:tc>
          <w:tcPr>
            <w:tcW w:w="2752" w:type="dxa"/>
            <w:gridSpan w:val="3"/>
            <w:shd w:val="clear" w:color="auto" w:fill="D9E2F3"/>
          </w:tcPr>
          <w:p w14:paraId="22294DF4" w14:textId="77777777" w:rsidR="00990B14" w:rsidRDefault="00000000">
            <w:pPr>
              <w:numPr>
                <w:ilvl w:val="0"/>
                <w:numId w:val="139"/>
              </w:numPr>
              <w:spacing w:before="10" w:after="10"/>
              <w:jc w:val="both"/>
            </w:pPr>
            <w:r>
              <w:rPr>
                <w:sz w:val="18"/>
                <w:szCs w:val="18"/>
              </w:rPr>
              <w:t>Nociones del lenguaje DAX para el cálculo de medidas en Power BI.</w:t>
            </w:r>
          </w:p>
          <w:p w14:paraId="25A04CB4" w14:textId="77777777" w:rsidR="00990B14" w:rsidRDefault="00000000">
            <w:pPr>
              <w:numPr>
                <w:ilvl w:val="0"/>
                <w:numId w:val="139"/>
              </w:numPr>
              <w:spacing w:before="10" w:after="10"/>
              <w:jc w:val="both"/>
            </w:pPr>
            <w:r>
              <w:rPr>
                <w:sz w:val="18"/>
                <w:szCs w:val="18"/>
              </w:rPr>
              <w:t>Nociones de modelado de procesos de negocio con notación BPMN.</w:t>
            </w:r>
          </w:p>
        </w:tc>
      </w:tr>
    </w:tbl>
    <w:p w14:paraId="765BB8AF"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595"/>
        <w:gridCol w:w="1700"/>
        <w:gridCol w:w="1805"/>
        <w:gridCol w:w="1805"/>
        <w:gridCol w:w="2500"/>
      </w:tblGrid>
      <w:tr w:rsidR="00990B14" w14:paraId="362C42F1" w14:textId="77777777">
        <w:trPr>
          <w:cantSplit/>
          <w:jc w:val="center"/>
        </w:trPr>
        <w:tc>
          <w:tcPr>
            <w:tcW w:w="9405" w:type="dxa"/>
            <w:gridSpan w:val="5"/>
            <w:shd w:val="clear" w:color="auto" w:fill="4472C4"/>
            <w:vAlign w:val="center"/>
          </w:tcPr>
          <w:p w14:paraId="37C9075D" w14:textId="77777777" w:rsidR="00990B14" w:rsidRDefault="00000000">
            <w:pPr>
              <w:keepNext/>
              <w:spacing w:before="20" w:after="20"/>
              <w:jc w:val="center"/>
            </w:pPr>
            <w:r>
              <w:rPr>
                <w:b/>
                <w:bCs/>
                <w:i/>
                <w:iCs/>
                <w:color w:val="FFFFFF"/>
                <w:sz w:val="18"/>
                <w:szCs w:val="18"/>
              </w:rPr>
              <w:t>Actividades</w:t>
            </w:r>
          </w:p>
        </w:tc>
      </w:tr>
      <w:tr w:rsidR="00990B14" w14:paraId="7AE82791" w14:textId="77777777">
        <w:trPr>
          <w:cantSplit/>
          <w:jc w:val="center"/>
        </w:trPr>
        <w:tc>
          <w:tcPr>
            <w:tcW w:w="1595" w:type="dxa"/>
            <w:shd w:val="clear" w:color="auto" w:fill="4472C4"/>
            <w:vAlign w:val="center"/>
          </w:tcPr>
          <w:p w14:paraId="5B10EE51" w14:textId="77777777" w:rsidR="00990B14" w:rsidRDefault="00000000">
            <w:pPr>
              <w:keepNext/>
              <w:spacing w:before="20" w:after="20"/>
              <w:jc w:val="center"/>
            </w:pPr>
            <w:r>
              <w:rPr>
                <w:b/>
                <w:bCs/>
                <w:i/>
                <w:iCs/>
                <w:color w:val="FFFFFF"/>
                <w:sz w:val="18"/>
                <w:szCs w:val="18"/>
              </w:rPr>
              <w:t>En clase</w:t>
            </w:r>
          </w:p>
        </w:tc>
        <w:tc>
          <w:tcPr>
            <w:tcW w:w="1700" w:type="dxa"/>
            <w:shd w:val="clear" w:color="auto" w:fill="4472C4"/>
            <w:vAlign w:val="center"/>
          </w:tcPr>
          <w:p w14:paraId="3393804E" w14:textId="77777777" w:rsidR="00990B14" w:rsidRDefault="00000000">
            <w:pPr>
              <w:keepNext/>
              <w:spacing w:before="20" w:after="20"/>
              <w:jc w:val="center"/>
            </w:pPr>
            <w:r>
              <w:rPr>
                <w:b/>
                <w:bCs/>
                <w:i/>
                <w:iCs/>
                <w:color w:val="FFFFFF"/>
                <w:sz w:val="18"/>
                <w:szCs w:val="18"/>
              </w:rPr>
              <w:t>Autónomas</w:t>
            </w:r>
          </w:p>
        </w:tc>
        <w:tc>
          <w:tcPr>
            <w:tcW w:w="1805" w:type="dxa"/>
            <w:shd w:val="clear" w:color="auto" w:fill="4472C4"/>
            <w:vAlign w:val="center"/>
          </w:tcPr>
          <w:p w14:paraId="3CADF2DF" w14:textId="77777777" w:rsidR="00990B14" w:rsidRDefault="00000000">
            <w:pPr>
              <w:keepNext/>
              <w:spacing w:before="20" w:after="20"/>
              <w:jc w:val="center"/>
            </w:pPr>
            <w:r>
              <w:rPr>
                <w:b/>
                <w:bCs/>
                <w:i/>
                <w:iCs/>
                <w:color w:val="FFFFFF"/>
                <w:sz w:val="18"/>
                <w:szCs w:val="18"/>
              </w:rPr>
              <w:t>B-Learning</w:t>
            </w:r>
          </w:p>
        </w:tc>
        <w:tc>
          <w:tcPr>
            <w:tcW w:w="1805" w:type="dxa"/>
            <w:shd w:val="clear" w:color="auto" w:fill="4472C4"/>
            <w:vAlign w:val="center"/>
          </w:tcPr>
          <w:p w14:paraId="784B3A3D" w14:textId="77777777" w:rsidR="00990B14" w:rsidRDefault="00000000">
            <w:pPr>
              <w:keepNext/>
              <w:spacing w:before="20" w:after="20"/>
              <w:jc w:val="center"/>
            </w:pPr>
            <w:r>
              <w:rPr>
                <w:b/>
                <w:bCs/>
                <w:i/>
                <w:iCs/>
                <w:color w:val="FFFFFF"/>
                <w:sz w:val="18"/>
                <w:szCs w:val="18"/>
              </w:rPr>
              <w:t>Taller</w:t>
            </w:r>
          </w:p>
        </w:tc>
        <w:tc>
          <w:tcPr>
            <w:tcW w:w="2500" w:type="dxa"/>
            <w:shd w:val="clear" w:color="auto" w:fill="4472C4"/>
            <w:vAlign w:val="center"/>
          </w:tcPr>
          <w:p w14:paraId="79061F35" w14:textId="77777777" w:rsidR="00990B14" w:rsidRDefault="00000000">
            <w:pPr>
              <w:keepNext/>
              <w:spacing w:before="20" w:after="20"/>
              <w:jc w:val="center"/>
            </w:pPr>
            <w:r>
              <w:rPr>
                <w:b/>
                <w:bCs/>
                <w:i/>
                <w:iCs/>
                <w:color w:val="FFFFFF"/>
                <w:sz w:val="18"/>
                <w:szCs w:val="18"/>
              </w:rPr>
              <w:t>Investigación/Práctica</w:t>
            </w:r>
          </w:p>
        </w:tc>
      </w:tr>
      <w:tr w:rsidR="00990B14" w14:paraId="425A9059" w14:textId="77777777">
        <w:trPr>
          <w:jc w:val="center"/>
        </w:trPr>
        <w:tc>
          <w:tcPr>
            <w:tcW w:w="1595" w:type="dxa"/>
            <w:shd w:val="clear" w:color="auto" w:fill="D9E2F3"/>
          </w:tcPr>
          <w:p w14:paraId="3742D47F" w14:textId="77777777" w:rsidR="00990B14" w:rsidRDefault="00000000">
            <w:pPr>
              <w:numPr>
                <w:ilvl w:val="0"/>
                <w:numId w:val="139"/>
              </w:numPr>
              <w:spacing w:before="10" w:after="10"/>
              <w:jc w:val="both"/>
            </w:pPr>
            <w:r>
              <w:rPr>
                <w:sz w:val="18"/>
                <w:szCs w:val="18"/>
              </w:rPr>
              <w:t>Demostración en el laboratorio de la instalación y configuración de cada sistema automatizado.</w:t>
            </w:r>
          </w:p>
          <w:p w14:paraId="19DED87E" w14:textId="77777777" w:rsidR="00990B14" w:rsidRDefault="00000000">
            <w:pPr>
              <w:numPr>
                <w:ilvl w:val="0"/>
                <w:numId w:val="139"/>
              </w:numPr>
              <w:spacing w:before="10" w:after="10"/>
              <w:jc w:val="both"/>
            </w:pPr>
            <w:r>
              <w:rPr>
                <w:sz w:val="18"/>
                <w:szCs w:val="18"/>
              </w:rPr>
              <w:t>Resolución guiada del registro de un caso integral en el sistema contable y en sus módulos.</w:t>
            </w:r>
          </w:p>
          <w:p w14:paraId="152410C6" w14:textId="77777777" w:rsidR="00990B14" w:rsidRDefault="00000000">
            <w:pPr>
              <w:numPr>
                <w:ilvl w:val="0"/>
                <w:numId w:val="139"/>
              </w:numPr>
              <w:spacing w:before="10" w:after="10"/>
              <w:jc w:val="both"/>
            </w:pPr>
            <w:r>
              <w:rPr>
                <w:sz w:val="18"/>
                <w:szCs w:val="18"/>
              </w:rPr>
              <w:t>Demostración del llenado del Formulario 605 y de la validación del RCV en el SIAT.</w:t>
            </w:r>
          </w:p>
          <w:p w14:paraId="23A43BD8" w14:textId="77777777" w:rsidR="00990B14" w:rsidRDefault="00000000">
            <w:pPr>
              <w:numPr>
                <w:ilvl w:val="0"/>
                <w:numId w:val="139"/>
              </w:numPr>
              <w:spacing w:before="10" w:after="10"/>
              <w:jc w:val="both"/>
            </w:pPr>
            <w:r>
              <w:rPr>
                <w:sz w:val="18"/>
                <w:szCs w:val="18"/>
              </w:rPr>
              <w:t>Análisis de los errores frecuentes de registro y de consolidación en los sistemas y en el SIAT.</w:t>
            </w:r>
          </w:p>
          <w:p w14:paraId="6E98A4FC" w14:textId="77777777" w:rsidR="00990B14" w:rsidRDefault="00000000">
            <w:pPr>
              <w:numPr>
                <w:ilvl w:val="0"/>
                <w:numId w:val="139"/>
              </w:numPr>
              <w:spacing w:before="10" w:after="10"/>
              <w:jc w:val="both"/>
            </w:pPr>
            <w:r>
              <w:rPr>
                <w:sz w:val="18"/>
                <w:szCs w:val="18"/>
              </w:rPr>
              <w:t>Preguntas de comprensión sobre la integración de los módulos de un ERP y sus controles.</w:t>
            </w:r>
          </w:p>
        </w:tc>
        <w:tc>
          <w:tcPr>
            <w:tcW w:w="1700" w:type="dxa"/>
            <w:shd w:val="clear" w:color="auto" w:fill="D9E2F3"/>
          </w:tcPr>
          <w:p w14:paraId="70FE3761" w14:textId="77777777" w:rsidR="00990B14" w:rsidRDefault="00000000">
            <w:pPr>
              <w:numPr>
                <w:ilvl w:val="0"/>
                <w:numId w:val="139"/>
              </w:numPr>
              <w:spacing w:before="10" w:after="10"/>
              <w:jc w:val="both"/>
            </w:pPr>
            <w:r>
              <w:rPr>
                <w:sz w:val="18"/>
                <w:szCs w:val="18"/>
              </w:rPr>
              <w:t>Instalación y configuración de un sistema contable, de activos fijos, de inventarios y de planillas en equipos propios o de laboratorio.</w:t>
            </w:r>
          </w:p>
          <w:p w14:paraId="639F6A5D" w14:textId="77777777" w:rsidR="00990B14" w:rsidRDefault="00000000">
            <w:pPr>
              <w:numPr>
                <w:ilvl w:val="0"/>
                <w:numId w:val="139"/>
              </w:numPr>
              <w:spacing w:before="10" w:after="10"/>
              <w:jc w:val="both"/>
            </w:pPr>
            <w:r>
              <w:rPr>
                <w:sz w:val="18"/>
                <w:szCs w:val="18"/>
              </w:rPr>
              <w:t>Lectura de los manuales de usuario de los sistemas contables automatizados y de las guías del SIAT.</w:t>
            </w:r>
          </w:p>
          <w:p w14:paraId="75C061CD" w14:textId="77777777" w:rsidR="00990B14" w:rsidRDefault="00000000">
            <w:pPr>
              <w:numPr>
                <w:ilvl w:val="0"/>
                <w:numId w:val="139"/>
              </w:numPr>
              <w:spacing w:before="10" w:after="10"/>
              <w:jc w:val="both"/>
            </w:pPr>
            <w:r>
              <w:rPr>
                <w:sz w:val="18"/>
                <w:szCs w:val="18"/>
              </w:rPr>
              <w:t>Desarrollo progresivo de un caso práctico integral de un modelo de negocio en los distintos sistemas automatizados.</w:t>
            </w:r>
          </w:p>
        </w:tc>
        <w:tc>
          <w:tcPr>
            <w:tcW w:w="1805" w:type="dxa"/>
            <w:shd w:val="clear" w:color="auto" w:fill="D9E2F3"/>
          </w:tcPr>
          <w:p w14:paraId="7074E484" w14:textId="77777777" w:rsidR="00990B14" w:rsidRDefault="00000000">
            <w:pPr>
              <w:numPr>
                <w:ilvl w:val="0"/>
                <w:numId w:val="139"/>
              </w:numPr>
              <w:spacing w:before="10" w:after="10"/>
              <w:jc w:val="both"/>
            </w:pPr>
            <w:r>
              <w:rPr>
                <w:sz w:val="18"/>
                <w:szCs w:val="18"/>
              </w:rPr>
              <w:t>Cuestionarios de comprensión de cada sistema automatizado en la plataforma Moodle UMSA.</w:t>
            </w:r>
          </w:p>
          <w:p w14:paraId="4F6F7D49" w14:textId="77777777" w:rsidR="00990B14" w:rsidRDefault="00000000">
            <w:pPr>
              <w:numPr>
                <w:ilvl w:val="0"/>
                <w:numId w:val="139"/>
              </w:numPr>
              <w:spacing w:before="10" w:after="10"/>
              <w:jc w:val="both"/>
            </w:pPr>
            <w:r>
              <w:rPr>
                <w:sz w:val="18"/>
                <w:szCs w:val="18"/>
              </w:rPr>
              <w:t>Foros de consulta sobre errores frecuentes de registro en los sistemas contables y en el SIAT.</w:t>
            </w:r>
          </w:p>
          <w:p w14:paraId="03263190" w14:textId="77777777" w:rsidR="00990B14" w:rsidRDefault="00000000">
            <w:pPr>
              <w:numPr>
                <w:ilvl w:val="0"/>
                <w:numId w:val="139"/>
              </w:numPr>
              <w:spacing w:before="10" w:after="10"/>
              <w:jc w:val="both"/>
            </w:pPr>
            <w:r>
              <w:rPr>
                <w:sz w:val="18"/>
                <w:szCs w:val="18"/>
              </w:rPr>
              <w:t>Videotutoriales de configuración e ingreso de datos en cada sistema automatizado.</w:t>
            </w:r>
          </w:p>
          <w:p w14:paraId="6B482532" w14:textId="77777777" w:rsidR="00990B14" w:rsidRDefault="00000000">
            <w:pPr>
              <w:numPr>
                <w:ilvl w:val="0"/>
                <w:numId w:val="139"/>
              </w:numPr>
              <w:spacing w:before="10" w:after="10"/>
              <w:jc w:val="both"/>
            </w:pPr>
            <w:r>
              <w:rPr>
                <w:sz w:val="18"/>
                <w:szCs w:val="18"/>
              </w:rPr>
              <w:t>Prácticas guiadas en el ambiente de pruebas del Sistema de Facturación del Servicio de Impuestos Nacionales.</w:t>
            </w:r>
          </w:p>
        </w:tc>
        <w:tc>
          <w:tcPr>
            <w:tcW w:w="1805" w:type="dxa"/>
            <w:shd w:val="clear" w:color="auto" w:fill="D9E2F3"/>
          </w:tcPr>
          <w:p w14:paraId="49C7DEBC" w14:textId="77777777" w:rsidR="00990B14" w:rsidRDefault="00000000">
            <w:pPr>
              <w:numPr>
                <w:ilvl w:val="0"/>
                <w:numId w:val="139"/>
              </w:numPr>
              <w:spacing w:before="10" w:after="10"/>
              <w:jc w:val="both"/>
            </w:pPr>
            <w:r>
              <w:rPr>
                <w:sz w:val="18"/>
                <w:szCs w:val="18"/>
              </w:rPr>
              <w:t>Resolución colaborativa de casos de registro en el sistema contable, de activos fijos, de inventarios y de planillas.</w:t>
            </w:r>
          </w:p>
          <w:p w14:paraId="13B8AE89" w14:textId="77777777" w:rsidR="00990B14" w:rsidRDefault="00000000">
            <w:pPr>
              <w:numPr>
                <w:ilvl w:val="0"/>
                <w:numId w:val="139"/>
              </w:numPr>
              <w:spacing w:before="10" w:after="10"/>
              <w:jc w:val="both"/>
            </w:pPr>
            <w:r>
              <w:rPr>
                <w:sz w:val="18"/>
                <w:szCs w:val="18"/>
              </w:rPr>
              <w:t>Elaboración guiada del llenado de los formularios del SIAT de un caso práctico.</w:t>
            </w:r>
          </w:p>
          <w:p w14:paraId="2F0C8840" w14:textId="77777777" w:rsidR="00990B14" w:rsidRDefault="00000000">
            <w:pPr>
              <w:numPr>
                <w:ilvl w:val="0"/>
                <w:numId w:val="139"/>
              </w:numPr>
              <w:spacing w:before="10" w:after="10"/>
              <w:jc w:val="both"/>
            </w:pPr>
            <w:r>
              <w:rPr>
                <w:sz w:val="18"/>
                <w:szCs w:val="18"/>
              </w:rPr>
              <w:t>Revisión cruzada de los reportes generados por cada sistema automatizado entre equipos.</w:t>
            </w:r>
          </w:p>
          <w:p w14:paraId="0ED3C7DC" w14:textId="77777777" w:rsidR="00990B14" w:rsidRDefault="00000000">
            <w:pPr>
              <w:numPr>
                <w:ilvl w:val="0"/>
                <w:numId w:val="139"/>
              </w:numPr>
              <w:spacing w:before="10" w:after="10"/>
              <w:jc w:val="both"/>
            </w:pPr>
            <w:r>
              <w:rPr>
                <w:sz w:val="18"/>
                <w:szCs w:val="18"/>
              </w:rPr>
              <w:t>Revisión de los perfiles de acceso y de las pistas de auditoría de un sistema contable.</w:t>
            </w:r>
          </w:p>
          <w:p w14:paraId="6DA6F6C5" w14:textId="77777777" w:rsidR="00990B14" w:rsidRDefault="00000000">
            <w:pPr>
              <w:numPr>
                <w:ilvl w:val="0"/>
                <w:numId w:val="139"/>
              </w:numPr>
              <w:spacing w:before="10" w:after="10"/>
              <w:jc w:val="both"/>
            </w:pPr>
            <w:r>
              <w:rPr>
                <w:sz w:val="18"/>
                <w:szCs w:val="18"/>
              </w:rPr>
              <w:t>Parametrización guiada de una empresa en un ERP de uso académico y elaboración de su tablero de indicadores.</w:t>
            </w:r>
          </w:p>
        </w:tc>
        <w:tc>
          <w:tcPr>
            <w:tcW w:w="2500" w:type="dxa"/>
            <w:shd w:val="clear" w:color="auto" w:fill="D9E2F3"/>
          </w:tcPr>
          <w:p w14:paraId="3955D815" w14:textId="77777777" w:rsidR="00990B14" w:rsidRDefault="00000000">
            <w:pPr>
              <w:numPr>
                <w:ilvl w:val="0"/>
                <w:numId w:val="139"/>
              </w:numPr>
              <w:spacing w:before="10" w:after="10"/>
              <w:jc w:val="both"/>
            </w:pPr>
            <w:r>
              <w:rPr>
                <w:sz w:val="18"/>
                <w:szCs w:val="18"/>
              </w:rPr>
              <w:t>Análisis comparativo de los sistemas contables computarizados de escritorio y en la nube disponibles en el mercado boliviano.</w:t>
            </w:r>
          </w:p>
          <w:p w14:paraId="2D4F627D" w14:textId="77777777" w:rsidR="00990B14" w:rsidRDefault="00000000">
            <w:pPr>
              <w:numPr>
                <w:ilvl w:val="0"/>
                <w:numId w:val="139"/>
              </w:numPr>
              <w:spacing w:before="10" w:after="10"/>
              <w:jc w:val="both"/>
            </w:pPr>
            <w:r>
              <w:rPr>
                <w:sz w:val="18"/>
                <w:szCs w:val="18"/>
              </w:rPr>
              <w:t>Revisión de las guías y opciones del SIAT en línea publicadas por el Servicio de Impuestos Nacionales.</w:t>
            </w:r>
          </w:p>
          <w:p w14:paraId="59822C7A" w14:textId="77777777" w:rsidR="00990B14" w:rsidRDefault="00000000">
            <w:pPr>
              <w:numPr>
                <w:ilvl w:val="0"/>
                <w:numId w:val="139"/>
              </w:numPr>
              <w:spacing w:before="10" w:after="10"/>
              <w:jc w:val="both"/>
            </w:pPr>
            <w:r>
              <w:rPr>
                <w:sz w:val="18"/>
                <w:szCs w:val="18"/>
              </w:rPr>
              <w:t>Comparación de plataformas de facturación e inventarios en la nube utilizadas por empresas bolivianas.</w:t>
            </w:r>
          </w:p>
          <w:p w14:paraId="71F120B4" w14:textId="77777777" w:rsidR="00990B14" w:rsidRDefault="00000000">
            <w:pPr>
              <w:numPr>
                <w:ilvl w:val="0"/>
                <w:numId w:val="139"/>
              </w:numPr>
              <w:spacing w:before="10" w:after="10"/>
              <w:jc w:val="both"/>
            </w:pPr>
            <w:r>
              <w:rPr>
                <w:sz w:val="18"/>
                <w:szCs w:val="18"/>
              </w:rPr>
              <w:t>Análisis de un tablero de control elaborado con los datos de un sistema contable automatizado.</w:t>
            </w:r>
          </w:p>
          <w:p w14:paraId="4A80982B" w14:textId="77777777" w:rsidR="00990B14" w:rsidRDefault="00000000">
            <w:pPr>
              <w:numPr>
                <w:ilvl w:val="0"/>
                <w:numId w:val="139"/>
              </w:numPr>
              <w:spacing w:before="10" w:after="10"/>
              <w:jc w:val="both"/>
            </w:pPr>
            <w:r>
              <w:rPr>
                <w:sz w:val="18"/>
                <w:szCs w:val="18"/>
              </w:rPr>
              <w:t>Análisis del sistema ERP utilizado por una empresa boliviana y de los reportes que genera para la gerencia.</w:t>
            </w:r>
          </w:p>
        </w:tc>
      </w:tr>
    </w:tbl>
    <w:p w14:paraId="2760814C"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660"/>
        <w:gridCol w:w="1910"/>
        <w:gridCol w:w="1910"/>
        <w:gridCol w:w="2015"/>
        <w:gridCol w:w="1910"/>
      </w:tblGrid>
      <w:tr w:rsidR="00990B14" w14:paraId="05824834" w14:textId="77777777">
        <w:trPr>
          <w:jc w:val="center"/>
        </w:trPr>
        <w:tc>
          <w:tcPr>
            <w:tcW w:w="1660" w:type="dxa"/>
            <w:shd w:val="clear" w:color="auto" w:fill="4472C4"/>
            <w:vAlign w:val="center"/>
          </w:tcPr>
          <w:p w14:paraId="3C4D07B8" w14:textId="77777777" w:rsidR="00990B14" w:rsidRDefault="00000000">
            <w:pPr>
              <w:spacing w:before="20" w:after="20"/>
              <w:jc w:val="center"/>
            </w:pPr>
            <w:r>
              <w:rPr>
                <w:b/>
                <w:bCs/>
                <w:i/>
                <w:iCs/>
                <w:color w:val="FFFFFF"/>
                <w:sz w:val="18"/>
                <w:szCs w:val="18"/>
              </w:rPr>
              <w:t>Estrategias de aprendizaje y enseñanza</w:t>
            </w:r>
          </w:p>
        </w:tc>
        <w:tc>
          <w:tcPr>
            <w:tcW w:w="7745" w:type="dxa"/>
            <w:gridSpan w:val="4"/>
            <w:shd w:val="clear" w:color="auto" w:fill="D9E2F3"/>
            <w:vAlign w:val="center"/>
          </w:tcPr>
          <w:p w14:paraId="722DDFC7" w14:textId="77777777" w:rsidR="00990B14" w:rsidRDefault="00000000">
            <w:pPr>
              <w:numPr>
                <w:ilvl w:val="0"/>
                <w:numId w:val="140"/>
              </w:numPr>
              <w:spacing w:before="10" w:after="10"/>
              <w:jc w:val="both"/>
            </w:pPr>
            <w:r>
              <w:rPr>
                <w:sz w:val="18"/>
                <w:szCs w:val="18"/>
              </w:rPr>
              <w:t>Aprendizaje basado en problemas con la implementación de sistemas automatizados en modelos de negocio bolivianos.</w:t>
            </w:r>
          </w:p>
          <w:p w14:paraId="64EECF80" w14:textId="77777777" w:rsidR="00990B14" w:rsidRDefault="00000000">
            <w:pPr>
              <w:numPr>
                <w:ilvl w:val="0"/>
                <w:numId w:val="140"/>
              </w:numPr>
              <w:spacing w:before="10" w:after="10"/>
              <w:jc w:val="both"/>
            </w:pPr>
            <w:r>
              <w:rPr>
                <w:sz w:val="18"/>
                <w:szCs w:val="18"/>
              </w:rPr>
              <w:t>Resolución guiada de ejercicios en orden de dificultad creciente por sistema automatizado.</w:t>
            </w:r>
          </w:p>
          <w:p w14:paraId="389B453B" w14:textId="77777777" w:rsidR="00990B14" w:rsidRDefault="00000000">
            <w:pPr>
              <w:numPr>
                <w:ilvl w:val="0"/>
                <w:numId w:val="140"/>
              </w:numPr>
              <w:spacing w:before="10" w:after="10"/>
              <w:jc w:val="both"/>
            </w:pPr>
            <w:r>
              <w:rPr>
                <w:sz w:val="18"/>
                <w:szCs w:val="18"/>
              </w:rPr>
              <w:t>Caso práctico integral que recorre la implementación de un sistema contable hasta la presentación de sus obligaciones en el SIAT.</w:t>
            </w:r>
          </w:p>
          <w:p w14:paraId="37BBB935" w14:textId="77777777" w:rsidR="00990B14" w:rsidRDefault="00000000">
            <w:pPr>
              <w:numPr>
                <w:ilvl w:val="0"/>
                <w:numId w:val="140"/>
              </w:numPr>
              <w:spacing w:before="10" w:after="10"/>
              <w:jc w:val="both"/>
            </w:pPr>
            <w:r>
              <w:rPr>
                <w:sz w:val="18"/>
                <w:szCs w:val="18"/>
              </w:rPr>
              <w:t>Estudio de casos de implementación de sistemas contables en empresas reales.</w:t>
            </w:r>
          </w:p>
          <w:p w14:paraId="37BCF8C0" w14:textId="77777777" w:rsidR="00990B14" w:rsidRDefault="00000000">
            <w:pPr>
              <w:numPr>
                <w:ilvl w:val="0"/>
                <w:numId w:val="140"/>
              </w:numPr>
              <w:spacing w:before="10" w:after="10"/>
              <w:jc w:val="both"/>
            </w:pPr>
            <w:r>
              <w:rPr>
                <w:sz w:val="18"/>
                <w:szCs w:val="18"/>
              </w:rPr>
              <w:t>Trabajo colaborativo en equipos de configuración y resolución de casos en los sistemas automatizados.</w:t>
            </w:r>
          </w:p>
          <w:p w14:paraId="679FB710" w14:textId="77777777" w:rsidR="00990B14" w:rsidRDefault="00000000">
            <w:pPr>
              <w:numPr>
                <w:ilvl w:val="0"/>
                <w:numId w:val="140"/>
              </w:numPr>
              <w:spacing w:before="10" w:after="10"/>
              <w:jc w:val="both"/>
            </w:pPr>
            <w:r>
              <w:rPr>
                <w:sz w:val="18"/>
                <w:szCs w:val="18"/>
              </w:rPr>
              <w:t>Clase invertida para los contenidos introductorios y de instalación de cada sistema.</w:t>
            </w:r>
          </w:p>
          <w:p w14:paraId="753ECE6E" w14:textId="77777777" w:rsidR="00990B14" w:rsidRDefault="00000000">
            <w:pPr>
              <w:numPr>
                <w:ilvl w:val="0"/>
                <w:numId w:val="140"/>
              </w:numPr>
              <w:spacing w:before="10" w:after="10"/>
              <w:jc w:val="both"/>
            </w:pPr>
            <w:r>
              <w:rPr>
                <w:sz w:val="18"/>
                <w:szCs w:val="18"/>
              </w:rPr>
              <w:t>Análisis crítico de la consistencia de los reportes de un sistema automatizado antes de su presentación.</w:t>
            </w:r>
          </w:p>
        </w:tc>
      </w:tr>
      <w:tr w:rsidR="00990B14" w14:paraId="2C1BB8B1" w14:textId="77777777">
        <w:trPr>
          <w:jc w:val="center"/>
        </w:trPr>
        <w:tc>
          <w:tcPr>
            <w:tcW w:w="1660" w:type="dxa"/>
            <w:shd w:val="clear" w:color="auto" w:fill="4472C4"/>
            <w:vAlign w:val="center"/>
          </w:tcPr>
          <w:p w14:paraId="72189847" w14:textId="77777777" w:rsidR="00990B14" w:rsidRDefault="00000000">
            <w:pPr>
              <w:spacing w:before="20" w:after="20"/>
              <w:jc w:val="center"/>
            </w:pPr>
            <w:r>
              <w:rPr>
                <w:b/>
                <w:bCs/>
                <w:i/>
                <w:iCs/>
                <w:color w:val="FFFFFF"/>
                <w:sz w:val="18"/>
                <w:szCs w:val="18"/>
              </w:rPr>
              <w:t>Recursos para el aprendizaje</w:t>
            </w:r>
          </w:p>
        </w:tc>
        <w:tc>
          <w:tcPr>
            <w:tcW w:w="7745" w:type="dxa"/>
            <w:gridSpan w:val="4"/>
            <w:shd w:val="clear" w:color="auto" w:fill="D9E2F3"/>
            <w:vAlign w:val="center"/>
          </w:tcPr>
          <w:p w14:paraId="3496CE22" w14:textId="77777777" w:rsidR="00990B14" w:rsidRDefault="00000000">
            <w:pPr>
              <w:numPr>
                <w:ilvl w:val="0"/>
                <w:numId w:val="140"/>
              </w:numPr>
              <w:spacing w:before="10" w:after="10"/>
              <w:jc w:val="both"/>
            </w:pPr>
            <w:r>
              <w:rPr>
                <w:sz w:val="18"/>
                <w:szCs w:val="18"/>
              </w:rPr>
              <w:t>Plataforma Moodle UMSA.</w:t>
            </w:r>
          </w:p>
          <w:p w14:paraId="186ECF63" w14:textId="77777777" w:rsidR="00990B14" w:rsidRDefault="00000000">
            <w:pPr>
              <w:numPr>
                <w:ilvl w:val="0"/>
                <w:numId w:val="140"/>
              </w:numPr>
              <w:spacing w:before="10" w:after="10"/>
              <w:jc w:val="both"/>
            </w:pPr>
            <w:r>
              <w:rPr>
                <w:sz w:val="18"/>
                <w:szCs w:val="18"/>
              </w:rPr>
              <w:t>Software contable, de activos fijos, de inventarios y de planillas de uso académico, de escritorio y en la nube.</w:t>
            </w:r>
          </w:p>
          <w:p w14:paraId="6E16C50E" w14:textId="77777777" w:rsidR="00990B14" w:rsidRDefault="00000000">
            <w:pPr>
              <w:numPr>
                <w:ilvl w:val="0"/>
                <w:numId w:val="140"/>
              </w:numPr>
              <w:spacing w:before="10" w:after="10"/>
              <w:jc w:val="both"/>
            </w:pPr>
            <w:r>
              <w:rPr>
                <w:sz w:val="18"/>
                <w:szCs w:val="18"/>
              </w:rPr>
              <w:t>Plataforma SIAT en línea del Servicio de Impuestos Nacionales.</w:t>
            </w:r>
          </w:p>
          <w:p w14:paraId="7A929DD9" w14:textId="77777777" w:rsidR="00990B14" w:rsidRDefault="00000000">
            <w:pPr>
              <w:numPr>
                <w:ilvl w:val="0"/>
                <w:numId w:val="140"/>
              </w:numPr>
              <w:spacing w:before="10" w:after="10"/>
              <w:jc w:val="both"/>
            </w:pPr>
            <w:r>
              <w:rPr>
                <w:sz w:val="18"/>
                <w:szCs w:val="18"/>
              </w:rPr>
              <w:t>Equipos de cómputo y conexión a internet para las aplicaciones prácticas.</w:t>
            </w:r>
          </w:p>
          <w:p w14:paraId="65BE8019" w14:textId="77777777" w:rsidR="00990B14" w:rsidRDefault="00000000">
            <w:pPr>
              <w:numPr>
                <w:ilvl w:val="0"/>
                <w:numId w:val="140"/>
              </w:numPr>
              <w:spacing w:before="10" w:after="10"/>
              <w:jc w:val="both"/>
            </w:pPr>
            <w:r>
              <w:rPr>
                <w:sz w:val="18"/>
                <w:szCs w:val="18"/>
              </w:rPr>
              <w:t>Guías de ejercicios y casos elaborados por la cátedra.</w:t>
            </w:r>
          </w:p>
          <w:p w14:paraId="58451912" w14:textId="77777777" w:rsidR="00990B14" w:rsidRDefault="00000000">
            <w:pPr>
              <w:numPr>
                <w:ilvl w:val="0"/>
                <w:numId w:val="140"/>
              </w:numPr>
              <w:spacing w:before="10" w:after="10"/>
              <w:jc w:val="both"/>
            </w:pPr>
            <w:r>
              <w:rPr>
                <w:sz w:val="18"/>
                <w:szCs w:val="18"/>
              </w:rPr>
              <w:t>Hoja de cálculo con tablas dinámicas y herramientas de tableros de control para el análisis de los reportes.</w:t>
            </w:r>
          </w:p>
          <w:p w14:paraId="6DDFA725" w14:textId="77777777" w:rsidR="00990B14" w:rsidRDefault="00000000">
            <w:pPr>
              <w:numPr>
                <w:ilvl w:val="0"/>
                <w:numId w:val="140"/>
              </w:numPr>
              <w:spacing w:before="10" w:after="10"/>
              <w:jc w:val="both"/>
            </w:pPr>
            <w:r>
              <w:rPr>
                <w:sz w:val="18"/>
                <w:szCs w:val="18"/>
              </w:rPr>
              <w:t>Normativa del Sistema de Facturación y guías del SIAT publicadas por el Servicio de Impuestos Nacionales.</w:t>
            </w:r>
          </w:p>
          <w:p w14:paraId="381C2DF4" w14:textId="77777777" w:rsidR="00990B14" w:rsidRDefault="00000000">
            <w:pPr>
              <w:numPr>
                <w:ilvl w:val="0"/>
                <w:numId w:val="140"/>
              </w:numPr>
              <w:spacing w:before="10" w:after="10"/>
              <w:jc w:val="both"/>
            </w:pPr>
            <w:r>
              <w:rPr>
                <w:sz w:val="18"/>
                <w:szCs w:val="18"/>
              </w:rPr>
              <w:t>Sistema ERP de uso académico, como Odoo en su versión comunitaria, y Power BI Desktop.</w:t>
            </w:r>
          </w:p>
        </w:tc>
      </w:tr>
      <w:tr w:rsidR="00990B14" w14:paraId="75B29F6C" w14:textId="77777777">
        <w:trPr>
          <w:jc w:val="center"/>
        </w:trPr>
        <w:tc>
          <w:tcPr>
            <w:tcW w:w="1660" w:type="dxa"/>
            <w:shd w:val="clear" w:color="auto" w:fill="4472C4"/>
            <w:vAlign w:val="center"/>
          </w:tcPr>
          <w:p w14:paraId="3E8929FB" w14:textId="77777777" w:rsidR="00990B14" w:rsidRDefault="00000000">
            <w:pPr>
              <w:spacing w:before="20" w:after="20"/>
              <w:jc w:val="center"/>
            </w:pPr>
            <w:r>
              <w:rPr>
                <w:b/>
                <w:bCs/>
                <w:i/>
                <w:iCs/>
                <w:color w:val="FFFFFF"/>
                <w:sz w:val="18"/>
                <w:szCs w:val="18"/>
              </w:rPr>
              <w:t>Estrategias de evaluación</w:t>
            </w:r>
          </w:p>
        </w:tc>
        <w:tc>
          <w:tcPr>
            <w:tcW w:w="7745" w:type="dxa"/>
            <w:gridSpan w:val="4"/>
            <w:shd w:val="clear" w:color="auto" w:fill="D9E2F3"/>
            <w:vAlign w:val="center"/>
          </w:tcPr>
          <w:p w14:paraId="2F1C4732" w14:textId="77777777" w:rsidR="00990B14" w:rsidRDefault="00000000">
            <w:pPr>
              <w:numPr>
                <w:ilvl w:val="0"/>
                <w:numId w:val="140"/>
              </w:numPr>
              <w:spacing w:before="10" w:after="10"/>
              <w:jc w:val="both"/>
            </w:pPr>
            <w:r>
              <w:rPr>
                <w:sz w:val="18"/>
                <w:szCs w:val="18"/>
              </w:rPr>
              <w:t>Evaluación diagnóstica: prueba inicial sobre los conocimientos previos de tecnologías de la información y de contabilidad Básica, intermedia, de sociedades y de tributos.</w:t>
            </w:r>
          </w:p>
          <w:p w14:paraId="6AE407CD" w14:textId="77777777" w:rsidR="00990B14" w:rsidRDefault="00000000">
            <w:pPr>
              <w:numPr>
                <w:ilvl w:val="0"/>
                <w:numId w:val="140"/>
              </w:numPr>
              <w:spacing w:before="10" w:after="10"/>
              <w:jc w:val="both"/>
            </w:pPr>
            <w:r>
              <w:rPr>
                <w:sz w:val="18"/>
                <w:szCs w:val="18"/>
              </w:rPr>
              <w:t>Evaluación formativa: preguntas de comprensión y desarrollo de ejercicios prácticos, con retroalimentación continua, autoevaluación y coevaluación.</w:t>
            </w:r>
          </w:p>
          <w:p w14:paraId="490C3DFB" w14:textId="77777777" w:rsidR="00990B14" w:rsidRDefault="00000000">
            <w:pPr>
              <w:numPr>
                <w:ilvl w:val="0"/>
                <w:numId w:val="140"/>
              </w:numPr>
              <w:spacing w:before="10" w:after="10"/>
              <w:jc w:val="both"/>
            </w:pPr>
            <w:r>
              <w:rPr>
                <w:sz w:val="18"/>
                <w:szCs w:val="18"/>
              </w:rPr>
              <w:t>Evaluación sumativa: controles de lectura y asistencia, evaluación de realización casos prácticos, trabajos de investigación y desarrollo, exámenes parciales y examen final.</w:t>
            </w:r>
          </w:p>
        </w:tc>
      </w:tr>
      <w:tr w:rsidR="00990B14" w14:paraId="6C033655" w14:textId="77777777">
        <w:trPr>
          <w:jc w:val="center"/>
        </w:trPr>
        <w:tc>
          <w:tcPr>
            <w:tcW w:w="1660" w:type="dxa"/>
            <w:shd w:val="clear" w:color="auto" w:fill="4472C4"/>
            <w:vAlign w:val="center"/>
          </w:tcPr>
          <w:p w14:paraId="609AD8E2" w14:textId="77777777" w:rsidR="00990B14" w:rsidRDefault="00000000">
            <w:pPr>
              <w:spacing w:before="20" w:after="20"/>
              <w:jc w:val="center"/>
            </w:pPr>
            <w:r>
              <w:rPr>
                <w:b/>
                <w:bCs/>
                <w:i/>
                <w:iCs/>
                <w:color w:val="FFFFFF"/>
                <w:sz w:val="18"/>
                <w:szCs w:val="18"/>
              </w:rPr>
              <w:t>Criterios de calificación</w:t>
            </w:r>
          </w:p>
        </w:tc>
        <w:tc>
          <w:tcPr>
            <w:tcW w:w="7745" w:type="dxa"/>
            <w:gridSpan w:val="4"/>
            <w:shd w:val="clear" w:color="auto" w:fill="D9E2F3"/>
            <w:vAlign w:val="center"/>
          </w:tcPr>
          <w:p w14:paraId="2F7F509C" w14:textId="77777777" w:rsidR="00990B14" w:rsidRDefault="00000000">
            <w:pPr>
              <w:numPr>
                <w:ilvl w:val="0"/>
                <w:numId w:val="140"/>
              </w:numPr>
              <w:spacing w:before="10" w:after="10"/>
              <w:jc w:val="both"/>
            </w:pPr>
            <w:r>
              <w:rPr>
                <w:sz w:val="18"/>
                <w:szCs w:val="18"/>
              </w:rPr>
              <w:t>Nota mínima de aprobación: 51/100.</w:t>
            </w:r>
          </w:p>
          <w:p w14:paraId="424449D6" w14:textId="77777777" w:rsidR="00990B14" w:rsidRDefault="00000000">
            <w:pPr>
              <w:numPr>
                <w:ilvl w:val="0"/>
                <w:numId w:val="140"/>
              </w:numPr>
              <w:spacing w:before="10" w:after="10"/>
              <w:jc w:val="both"/>
            </w:pPr>
            <w:r>
              <w:rPr>
                <w:sz w:val="18"/>
                <w:szCs w:val="18"/>
              </w:rPr>
              <w:t>Evaluación periódica al finalizar cada unidad competencial, basada en evidencias de conocimiento, desempeño y producto.</w:t>
            </w:r>
          </w:p>
          <w:p w14:paraId="50D1766D" w14:textId="77777777" w:rsidR="00990B14" w:rsidRDefault="00000000">
            <w:pPr>
              <w:numPr>
                <w:ilvl w:val="0"/>
                <w:numId w:val="140"/>
              </w:numPr>
              <w:spacing w:before="10" w:after="10"/>
              <w:jc w:val="both"/>
            </w:pPr>
            <w:r>
              <w:rPr>
                <w:sz w:val="18"/>
                <w:szCs w:val="18"/>
              </w:rPr>
              <w:t>Cada evidencia de producto se evalúa con su propia rúbrica de tres niveles: Insuficiente, Suficiente y Destacado.</w:t>
            </w:r>
          </w:p>
          <w:p w14:paraId="0EB90BB7" w14:textId="77777777" w:rsidR="00990B14" w:rsidRDefault="00000000">
            <w:pPr>
              <w:numPr>
                <w:ilvl w:val="0"/>
                <w:numId w:val="140"/>
              </w:numPr>
              <w:spacing w:before="10" w:after="10"/>
              <w:jc w:val="both"/>
            </w:pPr>
            <w:r>
              <w:rPr>
                <w:sz w:val="18"/>
                <w:szCs w:val="18"/>
              </w:rPr>
              <w:t>La calificación de cada elemento de competencia suma las calificaciones de sus evidencias de producto.</w:t>
            </w:r>
          </w:p>
        </w:tc>
      </w:tr>
      <w:tr w:rsidR="00990B14" w14:paraId="520876A0" w14:textId="77777777">
        <w:trPr>
          <w:cantSplit/>
          <w:jc w:val="center"/>
        </w:trPr>
        <w:tc>
          <w:tcPr>
            <w:tcW w:w="1660" w:type="dxa"/>
            <w:vMerge w:val="restart"/>
            <w:shd w:val="clear" w:color="auto" w:fill="4472C4"/>
            <w:vAlign w:val="center"/>
          </w:tcPr>
          <w:p w14:paraId="52484653" w14:textId="77777777" w:rsidR="00990B14" w:rsidRDefault="00000000">
            <w:pPr>
              <w:spacing w:before="20" w:after="20"/>
              <w:jc w:val="center"/>
            </w:pPr>
            <w:r>
              <w:rPr>
                <w:b/>
                <w:bCs/>
                <w:i/>
                <w:iCs/>
                <w:color w:val="FFFFFF"/>
                <w:sz w:val="18"/>
                <w:szCs w:val="18"/>
              </w:rPr>
              <w:t>Niveles de logro y distribución de la calificación</w:t>
            </w:r>
          </w:p>
        </w:tc>
        <w:tc>
          <w:tcPr>
            <w:tcW w:w="5835" w:type="dxa"/>
            <w:gridSpan w:val="3"/>
            <w:shd w:val="clear" w:color="auto" w:fill="D9E2F3"/>
            <w:vAlign w:val="center"/>
          </w:tcPr>
          <w:p w14:paraId="39BECA46" w14:textId="77777777" w:rsidR="00990B14" w:rsidRDefault="00000000">
            <w:pPr>
              <w:keepNext/>
              <w:spacing w:before="20" w:after="20"/>
              <w:jc w:val="both"/>
            </w:pPr>
            <w:r>
              <w:rPr>
                <w:b/>
                <w:bCs/>
                <w:i/>
                <w:iCs/>
                <w:sz w:val="18"/>
                <w:szCs w:val="18"/>
              </w:rPr>
              <w:t xml:space="preserve">Producto 1: </w:t>
            </w:r>
            <w:r>
              <w:rPr>
                <w:sz w:val="18"/>
                <w:szCs w:val="18"/>
              </w:rPr>
              <w:t>Sistema contable configurado</w:t>
            </w:r>
          </w:p>
        </w:tc>
        <w:tc>
          <w:tcPr>
            <w:tcW w:w="1910" w:type="dxa"/>
            <w:shd w:val="clear" w:color="auto" w:fill="D9E2F3"/>
            <w:vAlign w:val="center"/>
          </w:tcPr>
          <w:p w14:paraId="6762BD63" w14:textId="77777777" w:rsidR="00990B14" w:rsidRDefault="00000000">
            <w:pPr>
              <w:spacing w:before="20" w:after="20"/>
              <w:jc w:val="center"/>
            </w:pPr>
            <w:r>
              <w:rPr>
                <w:b/>
                <w:bCs/>
                <w:sz w:val="18"/>
                <w:szCs w:val="18"/>
              </w:rPr>
              <w:t>4%</w:t>
            </w:r>
          </w:p>
        </w:tc>
      </w:tr>
      <w:tr w:rsidR="00990B14" w14:paraId="1C16B1B6" w14:textId="77777777">
        <w:trPr>
          <w:cantSplit/>
          <w:jc w:val="center"/>
        </w:trPr>
        <w:tc>
          <w:tcPr>
            <w:tcW w:w="1660" w:type="dxa"/>
            <w:vMerge/>
            <w:shd w:val="clear" w:color="auto" w:fill="4472C4"/>
            <w:vAlign w:val="center"/>
          </w:tcPr>
          <w:p w14:paraId="29BBB50A" w14:textId="77777777" w:rsidR="00990B14" w:rsidRDefault="00990B14">
            <w:pPr>
              <w:spacing w:before="20" w:after="20"/>
            </w:pPr>
          </w:p>
        </w:tc>
        <w:tc>
          <w:tcPr>
            <w:tcW w:w="1910" w:type="dxa"/>
            <w:shd w:val="clear" w:color="auto" w:fill="4472C4"/>
            <w:vAlign w:val="center"/>
          </w:tcPr>
          <w:p w14:paraId="211CFD1A"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70269852"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13AE85BE"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294D788E" w14:textId="77777777" w:rsidR="00990B14" w:rsidRDefault="00000000">
            <w:pPr>
              <w:keepNext/>
              <w:spacing w:before="20" w:after="20"/>
              <w:jc w:val="center"/>
            </w:pPr>
            <w:r>
              <w:rPr>
                <w:b/>
                <w:bCs/>
                <w:i/>
                <w:iCs/>
                <w:color w:val="FFFFFF"/>
                <w:sz w:val="18"/>
                <w:szCs w:val="18"/>
              </w:rPr>
              <w:t>Destacado (81–100)</w:t>
            </w:r>
          </w:p>
        </w:tc>
      </w:tr>
      <w:tr w:rsidR="00990B14" w14:paraId="0CFB63FC" w14:textId="77777777">
        <w:trPr>
          <w:cantSplit/>
          <w:jc w:val="center"/>
        </w:trPr>
        <w:tc>
          <w:tcPr>
            <w:tcW w:w="1660" w:type="dxa"/>
            <w:vMerge/>
            <w:shd w:val="clear" w:color="auto" w:fill="4472C4"/>
            <w:vAlign w:val="center"/>
          </w:tcPr>
          <w:p w14:paraId="2DAC4997" w14:textId="77777777" w:rsidR="00990B14" w:rsidRDefault="00990B14">
            <w:pPr>
              <w:spacing w:before="20" w:after="20"/>
            </w:pPr>
          </w:p>
        </w:tc>
        <w:tc>
          <w:tcPr>
            <w:tcW w:w="1910" w:type="dxa"/>
            <w:shd w:val="clear" w:color="auto" w:fill="D9E2F3"/>
            <w:vAlign w:val="center"/>
          </w:tcPr>
          <w:p w14:paraId="459001B8" w14:textId="77777777" w:rsidR="00990B14" w:rsidRDefault="00000000">
            <w:pPr>
              <w:spacing w:before="20" w:after="20"/>
              <w:jc w:val="both"/>
            </w:pPr>
            <w:r>
              <w:rPr>
                <w:sz w:val="18"/>
                <w:szCs w:val="18"/>
              </w:rPr>
              <w:t>Instalación y configuración</w:t>
            </w:r>
          </w:p>
        </w:tc>
        <w:tc>
          <w:tcPr>
            <w:tcW w:w="1910" w:type="dxa"/>
            <w:shd w:val="clear" w:color="auto" w:fill="D9E2F3"/>
            <w:vAlign w:val="center"/>
          </w:tcPr>
          <w:p w14:paraId="409EBDD8" w14:textId="77777777" w:rsidR="00990B14" w:rsidRDefault="00000000">
            <w:pPr>
              <w:spacing w:before="20" w:after="20"/>
              <w:jc w:val="both"/>
            </w:pPr>
            <w:r>
              <w:rPr>
                <w:sz w:val="18"/>
                <w:szCs w:val="18"/>
              </w:rPr>
              <w:t>La empresa o la gestión quedan mal configuradas.</w:t>
            </w:r>
          </w:p>
        </w:tc>
        <w:tc>
          <w:tcPr>
            <w:tcW w:w="2015" w:type="dxa"/>
            <w:shd w:val="clear" w:color="auto" w:fill="D9E2F3"/>
            <w:vAlign w:val="center"/>
          </w:tcPr>
          <w:p w14:paraId="24E5E4AE" w14:textId="77777777" w:rsidR="00990B14" w:rsidRDefault="00000000">
            <w:pPr>
              <w:spacing w:before="20" w:after="20"/>
              <w:jc w:val="both"/>
            </w:pPr>
            <w:r>
              <w:rPr>
                <w:sz w:val="18"/>
                <w:szCs w:val="18"/>
              </w:rPr>
              <w:t>Configura la empresa, la gestión y los usuarios.</w:t>
            </w:r>
          </w:p>
        </w:tc>
        <w:tc>
          <w:tcPr>
            <w:tcW w:w="1910" w:type="dxa"/>
            <w:shd w:val="clear" w:color="auto" w:fill="D9E2F3"/>
            <w:vAlign w:val="center"/>
          </w:tcPr>
          <w:p w14:paraId="2282BF8E" w14:textId="77777777" w:rsidR="00990B14" w:rsidRDefault="00000000">
            <w:pPr>
              <w:spacing w:before="20" w:after="20"/>
              <w:jc w:val="both"/>
            </w:pPr>
            <w:r>
              <w:rPr>
                <w:sz w:val="18"/>
                <w:szCs w:val="18"/>
              </w:rPr>
              <w:t>Configura la instalación en red y los perfiles de acceso.</w:t>
            </w:r>
          </w:p>
        </w:tc>
      </w:tr>
      <w:tr w:rsidR="00990B14" w14:paraId="46838403" w14:textId="77777777">
        <w:trPr>
          <w:cantSplit/>
          <w:jc w:val="center"/>
        </w:trPr>
        <w:tc>
          <w:tcPr>
            <w:tcW w:w="1660" w:type="dxa"/>
            <w:vMerge/>
            <w:shd w:val="clear" w:color="auto" w:fill="4472C4"/>
            <w:vAlign w:val="center"/>
          </w:tcPr>
          <w:p w14:paraId="23377345" w14:textId="77777777" w:rsidR="00990B14" w:rsidRDefault="00990B14">
            <w:pPr>
              <w:spacing w:before="20" w:after="20"/>
            </w:pPr>
          </w:p>
        </w:tc>
        <w:tc>
          <w:tcPr>
            <w:tcW w:w="1910" w:type="dxa"/>
            <w:shd w:val="clear" w:color="auto" w:fill="D9E2F3"/>
            <w:vAlign w:val="center"/>
          </w:tcPr>
          <w:p w14:paraId="214DE4CD" w14:textId="77777777" w:rsidR="00990B14" w:rsidRDefault="00000000">
            <w:pPr>
              <w:spacing w:before="20" w:after="20"/>
              <w:jc w:val="both"/>
            </w:pPr>
            <w:r>
              <w:rPr>
                <w:sz w:val="18"/>
                <w:szCs w:val="18"/>
              </w:rPr>
              <w:t>Plan de cuentas</w:t>
            </w:r>
          </w:p>
        </w:tc>
        <w:tc>
          <w:tcPr>
            <w:tcW w:w="1910" w:type="dxa"/>
            <w:shd w:val="clear" w:color="auto" w:fill="D9E2F3"/>
            <w:vAlign w:val="center"/>
          </w:tcPr>
          <w:p w14:paraId="444F51EE" w14:textId="77777777" w:rsidR="00990B14" w:rsidRDefault="00000000">
            <w:pPr>
              <w:spacing w:before="20" w:after="20"/>
              <w:jc w:val="both"/>
            </w:pPr>
            <w:r>
              <w:rPr>
                <w:sz w:val="18"/>
                <w:szCs w:val="18"/>
              </w:rPr>
              <w:t>El plan no responde al modelo de negocio.</w:t>
            </w:r>
          </w:p>
        </w:tc>
        <w:tc>
          <w:tcPr>
            <w:tcW w:w="2015" w:type="dxa"/>
            <w:shd w:val="clear" w:color="auto" w:fill="D9E2F3"/>
            <w:vAlign w:val="center"/>
          </w:tcPr>
          <w:p w14:paraId="3206FFEA" w14:textId="77777777" w:rsidR="00990B14" w:rsidRDefault="00000000">
            <w:pPr>
              <w:spacing w:before="20" w:after="20"/>
              <w:jc w:val="both"/>
            </w:pPr>
            <w:r>
              <w:rPr>
                <w:sz w:val="18"/>
                <w:szCs w:val="18"/>
              </w:rPr>
              <w:t>Carga un plan de cuentas acorde al negocio.</w:t>
            </w:r>
          </w:p>
        </w:tc>
        <w:tc>
          <w:tcPr>
            <w:tcW w:w="1910" w:type="dxa"/>
            <w:shd w:val="clear" w:color="auto" w:fill="D9E2F3"/>
            <w:vAlign w:val="center"/>
          </w:tcPr>
          <w:p w14:paraId="51946F6D" w14:textId="77777777" w:rsidR="00990B14" w:rsidRDefault="00000000">
            <w:pPr>
              <w:spacing w:before="20" w:after="20"/>
              <w:jc w:val="both"/>
            </w:pPr>
            <w:r>
              <w:rPr>
                <w:sz w:val="18"/>
                <w:szCs w:val="18"/>
              </w:rPr>
              <w:t>Justifica la estructura del plan con la normativa contable.</w:t>
            </w:r>
          </w:p>
        </w:tc>
      </w:tr>
      <w:tr w:rsidR="00990B14" w14:paraId="0589886E" w14:textId="77777777">
        <w:trPr>
          <w:cantSplit/>
          <w:jc w:val="center"/>
        </w:trPr>
        <w:tc>
          <w:tcPr>
            <w:tcW w:w="1660" w:type="dxa"/>
            <w:vMerge/>
            <w:shd w:val="clear" w:color="auto" w:fill="4472C4"/>
            <w:vAlign w:val="center"/>
          </w:tcPr>
          <w:p w14:paraId="3E6C31A5" w14:textId="77777777" w:rsidR="00990B14" w:rsidRDefault="00990B14">
            <w:pPr>
              <w:spacing w:before="20" w:after="20"/>
            </w:pPr>
          </w:p>
        </w:tc>
        <w:tc>
          <w:tcPr>
            <w:tcW w:w="1910" w:type="dxa"/>
            <w:shd w:val="clear" w:color="auto" w:fill="D9E2F3"/>
            <w:vAlign w:val="center"/>
          </w:tcPr>
          <w:p w14:paraId="57B95684" w14:textId="77777777" w:rsidR="00990B14" w:rsidRDefault="00000000">
            <w:pPr>
              <w:spacing w:before="20" w:after="20"/>
              <w:jc w:val="both"/>
            </w:pPr>
            <w:r>
              <w:rPr>
                <w:sz w:val="18"/>
                <w:szCs w:val="18"/>
              </w:rPr>
              <w:t>Respaldo de información</w:t>
            </w:r>
          </w:p>
        </w:tc>
        <w:tc>
          <w:tcPr>
            <w:tcW w:w="1910" w:type="dxa"/>
            <w:shd w:val="clear" w:color="auto" w:fill="D9E2F3"/>
            <w:vAlign w:val="center"/>
          </w:tcPr>
          <w:p w14:paraId="7C38DC0B" w14:textId="77777777" w:rsidR="00990B14" w:rsidRDefault="00000000">
            <w:pPr>
              <w:spacing w:before="20" w:after="20"/>
              <w:jc w:val="both"/>
            </w:pPr>
            <w:r>
              <w:rPr>
                <w:sz w:val="18"/>
                <w:szCs w:val="18"/>
              </w:rPr>
              <w:t>No genera el respaldo.</w:t>
            </w:r>
          </w:p>
        </w:tc>
        <w:tc>
          <w:tcPr>
            <w:tcW w:w="2015" w:type="dxa"/>
            <w:shd w:val="clear" w:color="auto" w:fill="D9E2F3"/>
            <w:vAlign w:val="center"/>
          </w:tcPr>
          <w:p w14:paraId="2C5E86E3" w14:textId="77777777" w:rsidR="00990B14" w:rsidRDefault="00000000">
            <w:pPr>
              <w:spacing w:before="20" w:after="20"/>
              <w:jc w:val="both"/>
            </w:pPr>
            <w:r>
              <w:rPr>
                <w:sz w:val="18"/>
                <w:szCs w:val="18"/>
              </w:rPr>
              <w:t>Genera y restaura un respaldo del sistema.</w:t>
            </w:r>
          </w:p>
        </w:tc>
        <w:tc>
          <w:tcPr>
            <w:tcW w:w="1910" w:type="dxa"/>
            <w:shd w:val="clear" w:color="auto" w:fill="D9E2F3"/>
            <w:vAlign w:val="center"/>
          </w:tcPr>
          <w:p w14:paraId="416973BA" w14:textId="77777777" w:rsidR="00990B14" w:rsidRDefault="00000000">
            <w:pPr>
              <w:spacing w:before="20" w:after="20"/>
              <w:jc w:val="both"/>
            </w:pPr>
            <w:r>
              <w:rPr>
                <w:sz w:val="18"/>
                <w:szCs w:val="18"/>
              </w:rPr>
              <w:t>Propone una política de respaldo y de custodia externa.</w:t>
            </w:r>
          </w:p>
        </w:tc>
      </w:tr>
      <w:tr w:rsidR="00990B14" w14:paraId="571A67E7" w14:textId="77777777">
        <w:trPr>
          <w:cantSplit/>
          <w:jc w:val="center"/>
        </w:trPr>
        <w:tc>
          <w:tcPr>
            <w:tcW w:w="1660" w:type="dxa"/>
            <w:vMerge/>
            <w:shd w:val="clear" w:color="auto" w:fill="4472C4"/>
            <w:vAlign w:val="center"/>
          </w:tcPr>
          <w:p w14:paraId="08439FFB" w14:textId="77777777" w:rsidR="00990B14" w:rsidRDefault="00990B14">
            <w:pPr>
              <w:spacing w:before="20" w:after="20"/>
            </w:pPr>
          </w:p>
        </w:tc>
        <w:tc>
          <w:tcPr>
            <w:tcW w:w="5835" w:type="dxa"/>
            <w:gridSpan w:val="3"/>
            <w:shd w:val="clear" w:color="auto" w:fill="D9E2F3"/>
            <w:vAlign w:val="center"/>
          </w:tcPr>
          <w:p w14:paraId="255D269E" w14:textId="77777777" w:rsidR="00990B14" w:rsidRDefault="00000000">
            <w:pPr>
              <w:keepNext/>
              <w:spacing w:before="20" w:after="20"/>
              <w:jc w:val="both"/>
            </w:pPr>
            <w:r>
              <w:rPr>
                <w:b/>
                <w:bCs/>
                <w:i/>
                <w:iCs/>
                <w:sz w:val="18"/>
                <w:szCs w:val="18"/>
              </w:rPr>
              <w:t xml:space="preserve">Producto 2: </w:t>
            </w:r>
            <w:r>
              <w:rPr>
                <w:sz w:val="18"/>
                <w:szCs w:val="18"/>
              </w:rPr>
              <w:t>Libro diario, mayores y balance</w:t>
            </w:r>
          </w:p>
        </w:tc>
        <w:tc>
          <w:tcPr>
            <w:tcW w:w="1910" w:type="dxa"/>
            <w:shd w:val="clear" w:color="auto" w:fill="D9E2F3"/>
            <w:vAlign w:val="center"/>
          </w:tcPr>
          <w:p w14:paraId="019F4B5A" w14:textId="77777777" w:rsidR="00990B14" w:rsidRDefault="00000000">
            <w:pPr>
              <w:spacing w:before="20" w:after="20"/>
              <w:jc w:val="center"/>
            </w:pPr>
            <w:r>
              <w:rPr>
                <w:b/>
                <w:bCs/>
                <w:sz w:val="18"/>
                <w:szCs w:val="18"/>
              </w:rPr>
              <w:t>4%</w:t>
            </w:r>
          </w:p>
        </w:tc>
      </w:tr>
      <w:tr w:rsidR="00990B14" w14:paraId="4CDB8C04" w14:textId="77777777">
        <w:trPr>
          <w:cantSplit/>
          <w:jc w:val="center"/>
        </w:trPr>
        <w:tc>
          <w:tcPr>
            <w:tcW w:w="1660" w:type="dxa"/>
            <w:vMerge/>
            <w:shd w:val="clear" w:color="auto" w:fill="4472C4"/>
            <w:vAlign w:val="center"/>
          </w:tcPr>
          <w:p w14:paraId="2B10E934" w14:textId="77777777" w:rsidR="00990B14" w:rsidRDefault="00990B14">
            <w:pPr>
              <w:spacing w:before="20" w:after="20"/>
            </w:pPr>
          </w:p>
        </w:tc>
        <w:tc>
          <w:tcPr>
            <w:tcW w:w="1910" w:type="dxa"/>
            <w:shd w:val="clear" w:color="auto" w:fill="4472C4"/>
            <w:vAlign w:val="center"/>
          </w:tcPr>
          <w:p w14:paraId="42CF3E7E"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239D3002"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60477419"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303DC5D7" w14:textId="77777777" w:rsidR="00990B14" w:rsidRDefault="00000000">
            <w:pPr>
              <w:keepNext/>
              <w:spacing w:before="20" w:after="20"/>
              <w:jc w:val="center"/>
            </w:pPr>
            <w:r>
              <w:rPr>
                <w:b/>
                <w:bCs/>
                <w:i/>
                <w:iCs/>
                <w:color w:val="FFFFFF"/>
                <w:sz w:val="18"/>
                <w:szCs w:val="18"/>
              </w:rPr>
              <w:t>Destacado (81–100)</w:t>
            </w:r>
          </w:p>
        </w:tc>
      </w:tr>
      <w:tr w:rsidR="00990B14" w14:paraId="0296E29E" w14:textId="77777777">
        <w:trPr>
          <w:cantSplit/>
          <w:jc w:val="center"/>
        </w:trPr>
        <w:tc>
          <w:tcPr>
            <w:tcW w:w="1660" w:type="dxa"/>
            <w:vMerge/>
            <w:shd w:val="clear" w:color="auto" w:fill="4472C4"/>
            <w:vAlign w:val="center"/>
          </w:tcPr>
          <w:p w14:paraId="1D975729" w14:textId="77777777" w:rsidR="00990B14" w:rsidRDefault="00990B14">
            <w:pPr>
              <w:spacing w:before="20" w:after="20"/>
            </w:pPr>
          </w:p>
        </w:tc>
        <w:tc>
          <w:tcPr>
            <w:tcW w:w="1910" w:type="dxa"/>
            <w:shd w:val="clear" w:color="auto" w:fill="D9E2F3"/>
            <w:vAlign w:val="center"/>
          </w:tcPr>
          <w:p w14:paraId="51F79457" w14:textId="77777777" w:rsidR="00990B14" w:rsidRDefault="00000000">
            <w:pPr>
              <w:spacing w:before="20" w:after="20"/>
              <w:jc w:val="both"/>
            </w:pPr>
            <w:r>
              <w:rPr>
                <w:sz w:val="18"/>
                <w:szCs w:val="18"/>
              </w:rPr>
              <w:t>Registro de comprobantes</w:t>
            </w:r>
          </w:p>
        </w:tc>
        <w:tc>
          <w:tcPr>
            <w:tcW w:w="1910" w:type="dxa"/>
            <w:shd w:val="clear" w:color="auto" w:fill="D9E2F3"/>
            <w:vAlign w:val="center"/>
          </w:tcPr>
          <w:p w14:paraId="22029C48" w14:textId="77777777" w:rsidR="00990B14" w:rsidRDefault="00000000">
            <w:pPr>
              <w:spacing w:before="20" w:after="20"/>
              <w:jc w:val="both"/>
            </w:pPr>
            <w:r>
              <w:rPr>
                <w:sz w:val="18"/>
                <w:szCs w:val="18"/>
              </w:rPr>
              <w:t>Usa un tipo de comprobante equivocado.</w:t>
            </w:r>
          </w:p>
        </w:tc>
        <w:tc>
          <w:tcPr>
            <w:tcW w:w="2015" w:type="dxa"/>
            <w:shd w:val="clear" w:color="auto" w:fill="D9E2F3"/>
            <w:vAlign w:val="center"/>
          </w:tcPr>
          <w:p w14:paraId="5932455B" w14:textId="77777777" w:rsidR="00990B14" w:rsidRDefault="00000000">
            <w:pPr>
              <w:spacing w:before="20" w:after="20"/>
              <w:jc w:val="both"/>
            </w:pPr>
            <w:r>
              <w:rPr>
                <w:sz w:val="18"/>
                <w:szCs w:val="18"/>
              </w:rPr>
              <w:t>Registra cada operación en el comprobante que corresponde.</w:t>
            </w:r>
          </w:p>
        </w:tc>
        <w:tc>
          <w:tcPr>
            <w:tcW w:w="1910" w:type="dxa"/>
            <w:shd w:val="clear" w:color="auto" w:fill="D9E2F3"/>
            <w:vAlign w:val="center"/>
          </w:tcPr>
          <w:p w14:paraId="789B8DAB" w14:textId="77777777" w:rsidR="00990B14" w:rsidRDefault="00000000">
            <w:pPr>
              <w:spacing w:before="20" w:after="20"/>
              <w:jc w:val="both"/>
            </w:pPr>
            <w:r>
              <w:rPr>
                <w:sz w:val="18"/>
                <w:szCs w:val="18"/>
              </w:rPr>
              <w:t>Adjunta el respaldo documental de cada comprobante.</w:t>
            </w:r>
          </w:p>
        </w:tc>
      </w:tr>
      <w:tr w:rsidR="00990B14" w14:paraId="678485DC" w14:textId="77777777">
        <w:trPr>
          <w:cantSplit/>
          <w:jc w:val="center"/>
        </w:trPr>
        <w:tc>
          <w:tcPr>
            <w:tcW w:w="1660" w:type="dxa"/>
            <w:vMerge/>
            <w:shd w:val="clear" w:color="auto" w:fill="4472C4"/>
            <w:vAlign w:val="center"/>
          </w:tcPr>
          <w:p w14:paraId="718086DC" w14:textId="77777777" w:rsidR="00990B14" w:rsidRDefault="00990B14">
            <w:pPr>
              <w:spacing w:before="20" w:after="20"/>
            </w:pPr>
          </w:p>
        </w:tc>
        <w:tc>
          <w:tcPr>
            <w:tcW w:w="1910" w:type="dxa"/>
            <w:shd w:val="clear" w:color="auto" w:fill="D9E2F3"/>
            <w:vAlign w:val="center"/>
          </w:tcPr>
          <w:p w14:paraId="6AC2A05B" w14:textId="77777777" w:rsidR="00990B14" w:rsidRDefault="00000000">
            <w:pPr>
              <w:spacing w:before="20" w:after="20"/>
              <w:jc w:val="both"/>
            </w:pPr>
            <w:r>
              <w:rPr>
                <w:sz w:val="18"/>
                <w:szCs w:val="18"/>
              </w:rPr>
              <w:t>Mayores y balance</w:t>
            </w:r>
          </w:p>
        </w:tc>
        <w:tc>
          <w:tcPr>
            <w:tcW w:w="1910" w:type="dxa"/>
            <w:shd w:val="clear" w:color="auto" w:fill="D9E2F3"/>
            <w:vAlign w:val="center"/>
          </w:tcPr>
          <w:p w14:paraId="478EAC55" w14:textId="77777777" w:rsidR="00990B14" w:rsidRDefault="00000000">
            <w:pPr>
              <w:spacing w:before="20" w:after="20"/>
              <w:jc w:val="both"/>
            </w:pPr>
            <w:r>
              <w:rPr>
                <w:sz w:val="18"/>
                <w:szCs w:val="18"/>
              </w:rPr>
              <w:t>El balance no cuadra.</w:t>
            </w:r>
          </w:p>
        </w:tc>
        <w:tc>
          <w:tcPr>
            <w:tcW w:w="2015" w:type="dxa"/>
            <w:shd w:val="clear" w:color="auto" w:fill="D9E2F3"/>
            <w:vAlign w:val="center"/>
          </w:tcPr>
          <w:p w14:paraId="47761A96" w14:textId="77777777" w:rsidR="00990B14" w:rsidRDefault="00000000">
            <w:pPr>
              <w:spacing w:before="20" w:after="20"/>
              <w:jc w:val="both"/>
            </w:pPr>
            <w:r>
              <w:rPr>
                <w:sz w:val="18"/>
                <w:szCs w:val="18"/>
              </w:rPr>
              <w:t>Emite mayores y un balance de sumas y saldos cuadrado.</w:t>
            </w:r>
          </w:p>
        </w:tc>
        <w:tc>
          <w:tcPr>
            <w:tcW w:w="1910" w:type="dxa"/>
            <w:shd w:val="clear" w:color="auto" w:fill="D9E2F3"/>
            <w:vAlign w:val="center"/>
          </w:tcPr>
          <w:p w14:paraId="18E6C0F0" w14:textId="77777777" w:rsidR="00990B14" w:rsidRDefault="00000000">
            <w:pPr>
              <w:spacing w:before="20" w:after="20"/>
              <w:jc w:val="both"/>
            </w:pPr>
            <w:r>
              <w:rPr>
                <w:sz w:val="18"/>
                <w:szCs w:val="18"/>
              </w:rPr>
              <w:t>Analiza los saldos inusuales del balance.</w:t>
            </w:r>
          </w:p>
        </w:tc>
      </w:tr>
      <w:tr w:rsidR="00990B14" w14:paraId="472A0AEA" w14:textId="77777777">
        <w:trPr>
          <w:cantSplit/>
          <w:jc w:val="center"/>
        </w:trPr>
        <w:tc>
          <w:tcPr>
            <w:tcW w:w="1660" w:type="dxa"/>
            <w:vMerge/>
            <w:shd w:val="clear" w:color="auto" w:fill="4472C4"/>
            <w:vAlign w:val="center"/>
          </w:tcPr>
          <w:p w14:paraId="62103E7C" w14:textId="77777777" w:rsidR="00990B14" w:rsidRDefault="00990B14">
            <w:pPr>
              <w:spacing w:before="20" w:after="20"/>
            </w:pPr>
          </w:p>
        </w:tc>
        <w:tc>
          <w:tcPr>
            <w:tcW w:w="1910" w:type="dxa"/>
            <w:shd w:val="clear" w:color="auto" w:fill="D9E2F3"/>
            <w:vAlign w:val="center"/>
          </w:tcPr>
          <w:p w14:paraId="2439F4AA" w14:textId="77777777" w:rsidR="00990B14" w:rsidRDefault="00000000">
            <w:pPr>
              <w:spacing w:before="20" w:after="20"/>
              <w:jc w:val="both"/>
            </w:pPr>
            <w:r>
              <w:rPr>
                <w:sz w:val="18"/>
                <w:szCs w:val="18"/>
              </w:rPr>
              <w:t>Exactitud</w:t>
            </w:r>
          </w:p>
        </w:tc>
        <w:tc>
          <w:tcPr>
            <w:tcW w:w="1910" w:type="dxa"/>
            <w:shd w:val="clear" w:color="auto" w:fill="D9E2F3"/>
            <w:vAlign w:val="center"/>
          </w:tcPr>
          <w:p w14:paraId="5E6BDA86" w14:textId="77777777" w:rsidR="00990B14" w:rsidRDefault="00000000">
            <w:pPr>
              <w:spacing w:before="20" w:after="20"/>
              <w:jc w:val="both"/>
            </w:pPr>
            <w:r>
              <w:rPr>
                <w:sz w:val="18"/>
                <w:szCs w:val="18"/>
              </w:rPr>
              <w:t>Presenta errores de registro.</w:t>
            </w:r>
          </w:p>
        </w:tc>
        <w:tc>
          <w:tcPr>
            <w:tcW w:w="2015" w:type="dxa"/>
            <w:shd w:val="clear" w:color="auto" w:fill="D9E2F3"/>
            <w:vAlign w:val="center"/>
          </w:tcPr>
          <w:p w14:paraId="6AAB2C6E" w14:textId="77777777" w:rsidR="00990B14" w:rsidRDefault="00000000">
            <w:pPr>
              <w:spacing w:before="20" w:after="20"/>
              <w:jc w:val="both"/>
            </w:pPr>
            <w:r>
              <w:rPr>
                <w:sz w:val="18"/>
                <w:szCs w:val="18"/>
              </w:rPr>
              <w:t>Los registros son exactos.</w:t>
            </w:r>
          </w:p>
        </w:tc>
        <w:tc>
          <w:tcPr>
            <w:tcW w:w="1910" w:type="dxa"/>
            <w:shd w:val="clear" w:color="auto" w:fill="D9E2F3"/>
            <w:vAlign w:val="center"/>
          </w:tcPr>
          <w:p w14:paraId="43D46B6D" w14:textId="77777777" w:rsidR="00990B14" w:rsidRDefault="00000000">
            <w:pPr>
              <w:spacing w:before="20" w:after="20"/>
              <w:jc w:val="both"/>
            </w:pPr>
            <w:r>
              <w:rPr>
                <w:sz w:val="18"/>
                <w:szCs w:val="18"/>
              </w:rPr>
              <w:t>Verifica los saldos con los documentos fuente.</w:t>
            </w:r>
          </w:p>
        </w:tc>
      </w:tr>
      <w:tr w:rsidR="00990B14" w14:paraId="73F19DDD" w14:textId="77777777">
        <w:trPr>
          <w:cantSplit/>
          <w:jc w:val="center"/>
        </w:trPr>
        <w:tc>
          <w:tcPr>
            <w:tcW w:w="1660" w:type="dxa"/>
            <w:vMerge/>
            <w:shd w:val="clear" w:color="auto" w:fill="4472C4"/>
            <w:vAlign w:val="center"/>
          </w:tcPr>
          <w:p w14:paraId="32F19670" w14:textId="77777777" w:rsidR="00990B14" w:rsidRDefault="00990B14">
            <w:pPr>
              <w:spacing w:before="20" w:after="20"/>
            </w:pPr>
          </w:p>
        </w:tc>
        <w:tc>
          <w:tcPr>
            <w:tcW w:w="5835" w:type="dxa"/>
            <w:gridSpan w:val="3"/>
            <w:shd w:val="clear" w:color="auto" w:fill="D9E2F3"/>
            <w:vAlign w:val="center"/>
          </w:tcPr>
          <w:p w14:paraId="792521F2" w14:textId="77777777" w:rsidR="00990B14" w:rsidRDefault="00000000">
            <w:pPr>
              <w:keepNext/>
              <w:spacing w:before="20" w:after="20"/>
              <w:jc w:val="both"/>
            </w:pPr>
            <w:r>
              <w:rPr>
                <w:b/>
                <w:bCs/>
                <w:i/>
                <w:iCs/>
                <w:sz w:val="18"/>
                <w:szCs w:val="18"/>
              </w:rPr>
              <w:t xml:space="preserve">Producto 3: </w:t>
            </w:r>
            <w:r>
              <w:rPr>
                <w:sz w:val="18"/>
                <w:szCs w:val="18"/>
              </w:rPr>
              <w:t>Reportes financieros y del IVA</w:t>
            </w:r>
          </w:p>
        </w:tc>
        <w:tc>
          <w:tcPr>
            <w:tcW w:w="1910" w:type="dxa"/>
            <w:shd w:val="clear" w:color="auto" w:fill="D9E2F3"/>
            <w:vAlign w:val="center"/>
          </w:tcPr>
          <w:p w14:paraId="20944A43" w14:textId="77777777" w:rsidR="00990B14" w:rsidRDefault="00000000">
            <w:pPr>
              <w:spacing w:before="20" w:after="20"/>
              <w:jc w:val="center"/>
            </w:pPr>
            <w:r>
              <w:rPr>
                <w:b/>
                <w:bCs/>
                <w:sz w:val="18"/>
                <w:szCs w:val="18"/>
              </w:rPr>
              <w:t>4%</w:t>
            </w:r>
          </w:p>
        </w:tc>
      </w:tr>
      <w:tr w:rsidR="00990B14" w14:paraId="63BEEFA3" w14:textId="77777777">
        <w:trPr>
          <w:cantSplit/>
          <w:jc w:val="center"/>
        </w:trPr>
        <w:tc>
          <w:tcPr>
            <w:tcW w:w="1660" w:type="dxa"/>
            <w:vMerge/>
            <w:shd w:val="clear" w:color="auto" w:fill="4472C4"/>
            <w:vAlign w:val="center"/>
          </w:tcPr>
          <w:p w14:paraId="174229F7" w14:textId="77777777" w:rsidR="00990B14" w:rsidRDefault="00990B14">
            <w:pPr>
              <w:spacing w:before="20" w:after="20"/>
            </w:pPr>
          </w:p>
        </w:tc>
        <w:tc>
          <w:tcPr>
            <w:tcW w:w="1910" w:type="dxa"/>
            <w:shd w:val="clear" w:color="auto" w:fill="4472C4"/>
            <w:vAlign w:val="center"/>
          </w:tcPr>
          <w:p w14:paraId="605093D0"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0E437D6A"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4E2EFFBB"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7C1599EC" w14:textId="77777777" w:rsidR="00990B14" w:rsidRDefault="00000000">
            <w:pPr>
              <w:keepNext/>
              <w:spacing w:before="20" w:after="20"/>
              <w:jc w:val="center"/>
            </w:pPr>
            <w:r>
              <w:rPr>
                <w:b/>
                <w:bCs/>
                <w:i/>
                <w:iCs/>
                <w:color w:val="FFFFFF"/>
                <w:sz w:val="18"/>
                <w:szCs w:val="18"/>
              </w:rPr>
              <w:t>Destacado (81–100)</w:t>
            </w:r>
          </w:p>
        </w:tc>
      </w:tr>
      <w:tr w:rsidR="00990B14" w14:paraId="2660FDCC" w14:textId="77777777">
        <w:trPr>
          <w:cantSplit/>
          <w:jc w:val="center"/>
        </w:trPr>
        <w:tc>
          <w:tcPr>
            <w:tcW w:w="1660" w:type="dxa"/>
            <w:vMerge/>
            <w:shd w:val="clear" w:color="auto" w:fill="4472C4"/>
            <w:vAlign w:val="center"/>
          </w:tcPr>
          <w:p w14:paraId="2EFC38A0" w14:textId="77777777" w:rsidR="00990B14" w:rsidRDefault="00990B14">
            <w:pPr>
              <w:spacing w:before="20" w:after="20"/>
            </w:pPr>
          </w:p>
        </w:tc>
        <w:tc>
          <w:tcPr>
            <w:tcW w:w="1910" w:type="dxa"/>
            <w:shd w:val="clear" w:color="auto" w:fill="D9E2F3"/>
            <w:vAlign w:val="center"/>
          </w:tcPr>
          <w:p w14:paraId="1D1527FF" w14:textId="77777777" w:rsidR="00990B14" w:rsidRDefault="00000000">
            <w:pPr>
              <w:spacing w:before="20" w:after="20"/>
              <w:jc w:val="both"/>
            </w:pPr>
            <w:r>
              <w:rPr>
                <w:sz w:val="18"/>
                <w:szCs w:val="18"/>
              </w:rPr>
              <w:t>Estados financieros</w:t>
            </w:r>
          </w:p>
        </w:tc>
        <w:tc>
          <w:tcPr>
            <w:tcW w:w="1910" w:type="dxa"/>
            <w:shd w:val="clear" w:color="auto" w:fill="D9E2F3"/>
            <w:vAlign w:val="center"/>
          </w:tcPr>
          <w:p w14:paraId="4FAC1B42" w14:textId="77777777" w:rsidR="00990B14" w:rsidRDefault="00000000">
            <w:pPr>
              <w:spacing w:before="20" w:after="20"/>
              <w:jc w:val="both"/>
            </w:pPr>
            <w:r>
              <w:rPr>
                <w:sz w:val="18"/>
                <w:szCs w:val="18"/>
              </w:rPr>
              <w:t>Los reportes no corresponden a los registros.</w:t>
            </w:r>
          </w:p>
        </w:tc>
        <w:tc>
          <w:tcPr>
            <w:tcW w:w="2015" w:type="dxa"/>
            <w:shd w:val="clear" w:color="auto" w:fill="D9E2F3"/>
            <w:vAlign w:val="center"/>
          </w:tcPr>
          <w:p w14:paraId="189E809B" w14:textId="77777777" w:rsidR="00990B14" w:rsidRDefault="00000000">
            <w:pPr>
              <w:spacing w:before="20" w:after="20"/>
              <w:jc w:val="both"/>
            </w:pPr>
            <w:r>
              <w:rPr>
                <w:sz w:val="18"/>
                <w:szCs w:val="18"/>
              </w:rPr>
              <w:t>Emite los estados financieros completos del caso.</w:t>
            </w:r>
          </w:p>
        </w:tc>
        <w:tc>
          <w:tcPr>
            <w:tcW w:w="1910" w:type="dxa"/>
            <w:shd w:val="clear" w:color="auto" w:fill="D9E2F3"/>
            <w:vAlign w:val="center"/>
          </w:tcPr>
          <w:p w14:paraId="13B874AE" w14:textId="77777777" w:rsidR="00990B14" w:rsidRDefault="00000000">
            <w:pPr>
              <w:spacing w:before="20" w:after="20"/>
              <w:jc w:val="both"/>
            </w:pPr>
            <w:r>
              <w:rPr>
                <w:sz w:val="18"/>
                <w:szCs w:val="18"/>
              </w:rPr>
              <w:t>Analiza y proyecta los estados emitidos.</w:t>
            </w:r>
          </w:p>
        </w:tc>
      </w:tr>
      <w:tr w:rsidR="00990B14" w14:paraId="71145AD1" w14:textId="77777777">
        <w:trPr>
          <w:cantSplit/>
          <w:jc w:val="center"/>
        </w:trPr>
        <w:tc>
          <w:tcPr>
            <w:tcW w:w="1660" w:type="dxa"/>
            <w:vMerge/>
            <w:shd w:val="clear" w:color="auto" w:fill="4472C4"/>
            <w:vAlign w:val="center"/>
          </w:tcPr>
          <w:p w14:paraId="71F532A1" w14:textId="77777777" w:rsidR="00990B14" w:rsidRDefault="00990B14">
            <w:pPr>
              <w:spacing w:before="20" w:after="20"/>
            </w:pPr>
          </w:p>
        </w:tc>
        <w:tc>
          <w:tcPr>
            <w:tcW w:w="1910" w:type="dxa"/>
            <w:shd w:val="clear" w:color="auto" w:fill="D9E2F3"/>
            <w:vAlign w:val="center"/>
          </w:tcPr>
          <w:p w14:paraId="66A43B2E" w14:textId="77777777" w:rsidR="00990B14" w:rsidRDefault="00000000">
            <w:pPr>
              <w:spacing w:before="20" w:after="20"/>
              <w:jc w:val="both"/>
            </w:pPr>
            <w:r>
              <w:rPr>
                <w:sz w:val="18"/>
                <w:szCs w:val="18"/>
              </w:rPr>
              <w:t>Registro del IVA</w:t>
            </w:r>
          </w:p>
        </w:tc>
        <w:tc>
          <w:tcPr>
            <w:tcW w:w="1910" w:type="dxa"/>
            <w:shd w:val="clear" w:color="auto" w:fill="D9E2F3"/>
            <w:vAlign w:val="center"/>
          </w:tcPr>
          <w:p w14:paraId="457F34BE" w14:textId="77777777" w:rsidR="00990B14" w:rsidRDefault="00000000">
            <w:pPr>
              <w:spacing w:before="20" w:after="20"/>
              <w:jc w:val="both"/>
            </w:pPr>
            <w:r>
              <w:rPr>
                <w:sz w:val="18"/>
                <w:szCs w:val="18"/>
              </w:rPr>
              <w:t>Omite facturas en el registro.</w:t>
            </w:r>
          </w:p>
        </w:tc>
        <w:tc>
          <w:tcPr>
            <w:tcW w:w="2015" w:type="dxa"/>
            <w:shd w:val="clear" w:color="auto" w:fill="D9E2F3"/>
            <w:vAlign w:val="center"/>
          </w:tcPr>
          <w:p w14:paraId="3C173F7B" w14:textId="77777777" w:rsidR="00990B14" w:rsidRDefault="00000000">
            <w:pPr>
              <w:spacing w:before="20" w:after="20"/>
              <w:jc w:val="both"/>
            </w:pPr>
            <w:r>
              <w:rPr>
                <w:sz w:val="18"/>
                <w:szCs w:val="18"/>
              </w:rPr>
              <w:t>Emite el registro de compras y ventas completo.</w:t>
            </w:r>
          </w:p>
        </w:tc>
        <w:tc>
          <w:tcPr>
            <w:tcW w:w="1910" w:type="dxa"/>
            <w:shd w:val="clear" w:color="auto" w:fill="D9E2F3"/>
            <w:vAlign w:val="center"/>
          </w:tcPr>
          <w:p w14:paraId="62EB1F15" w14:textId="77777777" w:rsidR="00990B14" w:rsidRDefault="00000000">
            <w:pPr>
              <w:spacing w:before="20" w:after="20"/>
              <w:jc w:val="both"/>
            </w:pPr>
            <w:r>
              <w:rPr>
                <w:sz w:val="18"/>
                <w:szCs w:val="18"/>
              </w:rPr>
              <w:t>Concilia el registro con el débito y el crédito fiscal.</w:t>
            </w:r>
          </w:p>
        </w:tc>
      </w:tr>
      <w:tr w:rsidR="00990B14" w14:paraId="209247D5" w14:textId="77777777">
        <w:trPr>
          <w:cantSplit/>
          <w:jc w:val="center"/>
        </w:trPr>
        <w:tc>
          <w:tcPr>
            <w:tcW w:w="1660" w:type="dxa"/>
            <w:vMerge/>
            <w:shd w:val="clear" w:color="auto" w:fill="4472C4"/>
            <w:vAlign w:val="center"/>
          </w:tcPr>
          <w:p w14:paraId="34ECFD3C" w14:textId="77777777" w:rsidR="00990B14" w:rsidRDefault="00990B14">
            <w:pPr>
              <w:spacing w:before="20" w:after="20"/>
            </w:pPr>
          </w:p>
        </w:tc>
        <w:tc>
          <w:tcPr>
            <w:tcW w:w="1910" w:type="dxa"/>
            <w:shd w:val="clear" w:color="auto" w:fill="D9E2F3"/>
            <w:vAlign w:val="center"/>
          </w:tcPr>
          <w:p w14:paraId="02BBC3A3" w14:textId="77777777" w:rsidR="00990B14" w:rsidRDefault="00000000">
            <w:pPr>
              <w:spacing w:before="20" w:after="20"/>
              <w:jc w:val="both"/>
            </w:pPr>
            <w:r>
              <w:rPr>
                <w:sz w:val="18"/>
                <w:szCs w:val="18"/>
              </w:rPr>
              <w:t>Trabajo en equipo</w:t>
            </w:r>
          </w:p>
        </w:tc>
        <w:tc>
          <w:tcPr>
            <w:tcW w:w="1910" w:type="dxa"/>
            <w:shd w:val="clear" w:color="auto" w:fill="D9E2F3"/>
            <w:vAlign w:val="center"/>
          </w:tcPr>
          <w:p w14:paraId="784CF9B6" w14:textId="77777777" w:rsidR="00990B14" w:rsidRDefault="00000000">
            <w:pPr>
              <w:spacing w:before="20" w:after="20"/>
              <w:jc w:val="both"/>
            </w:pPr>
            <w:r>
              <w:rPr>
                <w:sz w:val="18"/>
                <w:szCs w:val="18"/>
              </w:rPr>
              <w:t>La participación de los integrantes es desigual.</w:t>
            </w:r>
          </w:p>
        </w:tc>
        <w:tc>
          <w:tcPr>
            <w:tcW w:w="2015" w:type="dxa"/>
            <w:shd w:val="clear" w:color="auto" w:fill="D9E2F3"/>
            <w:vAlign w:val="center"/>
          </w:tcPr>
          <w:p w14:paraId="3C14AF7C" w14:textId="77777777" w:rsidR="00990B14" w:rsidRDefault="00000000">
            <w:pPr>
              <w:spacing w:before="20" w:after="20"/>
              <w:jc w:val="both"/>
            </w:pPr>
            <w:r>
              <w:rPr>
                <w:sz w:val="18"/>
                <w:szCs w:val="18"/>
              </w:rPr>
              <w:t>Todos los integrantes participan.</w:t>
            </w:r>
          </w:p>
        </w:tc>
        <w:tc>
          <w:tcPr>
            <w:tcW w:w="1910" w:type="dxa"/>
            <w:shd w:val="clear" w:color="auto" w:fill="D9E2F3"/>
            <w:vAlign w:val="center"/>
          </w:tcPr>
          <w:p w14:paraId="009CF5E7" w14:textId="77777777" w:rsidR="00990B14" w:rsidRDefault="00000000">
            <w:pPr>
              <w:spacing w:before="20" w:after="20"/>
              <w:jc w:val="both"/>
            </w:pPr>
            <w:r>
              <w:rPr>
                <w:sz w:val="18"/>
                <w:szCs w:val="18"/>
              </w:rPr>
              <w:t>El equipo explica los reportes ante el curso.</w:t>
            </w:r>
          </w:p>
        </w:tc>
      </w:tr>
      <w:tr w:rsidR="00990B14" w14:paraId="06B21559" w14:textId="77777777">
        <w:trPr>
          <w:cantSplit/>
          <w:jc w:val="center"/>
        </w:trPr>
        <w:tc>
          <w:tcPr>
            <w:tcW w:w="1660" w:type="dxa"/>
            <w:vMerge/>
            <w:shd w:val="clear" w:color="auto" w:fill="4472C4"/>
            <w:vAlign w:val="center"/>
          </w:tcPr>
          <w:p w14:paraId="26DA709A" w14:textId="77777777" w:rsidR="00990B14" w:rsidRDefault="00990B14">
            <w:pPr>
              <w:spacing w:before="20" w:after="20"/>
            </w:pPr>
          </w:p>
        </w:tc>
        <w:tc>
          <w:tcPr>
            <w:tcW w:w="5835" w:type="dxa"/>
            <w:gridSpan w:val="3"/>
            <w:shd w:val="clear" w:color="auto" w:fill="D9E2F3"/>
            <w:vAlign w:val="center"/>
          </w:tcPr>
          <w:p w14:paraId="251E8818" w14:textId="77777777" w:rsidR="00990B14" w:rsidRDefault="00000000">
            <w:pPr>
              <w:keepNext/>
              <w:spacing w:before="20" w:after="20"/>
              <w:jc w:val="both"/>
            </w:pPr>
            <w:r>
              <w:rPr>
                <w:b/>
                <w:bCs/>
                <w:i/>
                <w:iCs/>
                <w:sz w:val="18"/>
                <w:szCs w:val="18"/>
              </w:rPr>
              <w:t xml:space="preserve">Producto 4: </w:t>
            </w:r>
            <w:r>
              <w:rPr>
                <w:sz w:val="18"/>
                <w:szCs w:val="18"/>
              </w:rPr>
              <w:t>Cuadro comparativo escritorio y nube</w:t>
            </w:r>
          </w:p>
        </w:tc>
        <w:tc>
          <w:tcPr>
            <w:tcW w:w="1910" w:type="dxa"/>
            <w:shd w:val="clear" w:color="auto" w:fill="D9E2F3"/>
            <w:vAlign w:val="center"/>
          </w:tcPr>
          <w:p w14:paraId="1F57CF22" w14:textId="77777777" w:rsidR="00990B14" w:rsidRDefault="00000000">
            <w:pPr>
              <w:spacing w:before="20" w:after="20"/>
              <w:jc w:val="center"/>
            </w:pPr>
            <w:r>
              <w:rPr>
                <w:b/>
                <w:bCs/>
                <w:sz w:val="18"/>
                <w:szCs w:val="18"/>
              </w:rPr>
              <w:t>3%</w:t>
            </w:r>
          </w:p>
        </w:tc>
      </w:tr>
      <w:tr w:rsidR="00990B14" w14:paraId="01E6E178" w14:textId="77777777">
        <w:trPr>
          <w:cantSplit/>
          <w:jc w:val="center"/>
        </w:trPr>
        <w:tc>
          <w:tcPr>
            <w:tcW w:w="1660" w:type="dxa"/>
            <w:vMerge/>
            <w:shd w:val="clear" w:color="auto" w:fill="4472C4"/>
            <w:vAlign w:val="center"/>
          </w:tcPr>
          <w:p w14:paraId="78E9A5D2" w14:textId="77777777" w:rsidR="00990B14" w:rsidRDefault="00990B14">
            <w:pPr>
              <w:spacing w:before="20" w:after="20"/>
            </w:pPr>
          </w:p>
        </w:tc>
        <w:tc>
          <w:tcPr>
            <w:tcW w:w="1910" w:type="dxa"/>
            <w:shd w:val="clear" w:color="auto" w:fill="4472C4"/>
            <w:vAlign w:val="center"/>
          </w:tcPr>
          <w:p w14:paraId="368B7179"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1E8CFAB6"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217AE419"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028D4D9B" w14:textId="77777777" w:rsidR="00990B14" w:rsidRDefault="00000000">
            <w:pPr>
              <w:keepNext/>
              <w:spacing w:before="20" w:after="20"/>
              <w:jc w:val="center"/>
            </w:pPr>
            <w:r>
              <w:rPr>
                <w:b/>
                <w:bCs/>
                <w:i/>
                <w:iCs/>
                <w:color w:val="FFFFFF"/>
                <w:sz w:val="18"/>
                <w:szCs w:val="18"/>
              </w:rPr>
              <w:t>Destacado (81–100)</w:t>
            </w:r>
          </w:p>
        </w:tc>
      </w:tr>
      <w:tr w:rsidR="00990B14" w14:paraId="75AA05C5" w14:textId="77777777">
        <w:trPr>
          <w:cantSplit/>
          <w:jc w:val="center"/>
        </w:trPr>
        <w:tc>
          <w:tcPr>
            <w:tcW w:w="1660" w:type="dxa"/>
            <w:vMerge/>
            <w:shd w:val="clear" w:color="auto" w:fill="4472C4"/>
            <w:vAlign w:val="center"/>
          </w:tcPr>
          <w:p w14:paraId="116467E1" w14:textId="77777777" w:rsidR="00990B14" w:rsidRDefault="00990B14">
            <w:pPr>
              <w:spacing w:before="20" w:after="20"/>
            </w:pPr>
          </w:p>
        </w:tc>
        <w:tc>
          <w:tcPr>
            <w:tcW w:w="1910" w:type="dxa"/>
            <w:shd w:val="clear" w:color="auto" w:fill="D9E2F3"/>
            <w:vAlign w:val="center"/>
          </w:tcPr>
          <w:p w14:paraId="53F1DE73" w14:textId="77777777" w:rsidR="00990B14" w:rsidRDefault="00000000">
            <w:pPr>
              <w:spacing w:before="20" w:after="20"/>
              <w:jc w:val="both"/>
            </w:pPr>
            <w:r>
              <w:rPr>
                <w:sz w:val="18"/>
                <w:szCs w:val="18"/>
              </w:rPr>
              <w:t>Criterios de selección</w:t>
            </w:r>
          </w:p>
        </w:tc>
        <w:tc>
          <w:tcPr>
            <w:tcW w:w="1910" w:type="dxa"/>
            <w:shd w:val="clear" w:color="auto" w:fill="D9E2F3"/>
            <w:vAlign w:val="center"/>
          </w:tcPr>
          <w:p w14:paraId="00EFD172" w14:textId="77777777" w:rsidR="00990B14" w:rsidRDefault="00000000">
            <w:pPr>
              <w:spacing w:before="20" w:after="20"/>
              <w:jc w:val="both"/>
            </w:pPr>
            <w:r>
              <w:rPr>
                <w:sz w:val="18"/>
                <w:szCs w:val="18"/>
              </w:rPr>
              <w:t>Omite criterios relevantes.</w:t>
            </w:r>
          </w:p>
        </w:tc>
        <w:tc>
          <w:tcPr>
            <w:tcW w:w="2015" w:type="dxa"/>
            <w:shd w:val="clear" w:color="auto" w:fill="D9E2F3"/>
            <w:vAlign w:val="center"/>
          </w:tcPr>
          <w:p w14:paraId="0B42A064" w14:textId="77777777" w:rsidR="00990B14" w:rsidRDefault="00000000">
            <w:pPr>
              <w:spacing w:before="20" w:after="20"/>
              <w:jc w:val="both"/>
            </w:pPr>
            <w:r>
              <w:rPr>
                <w:sz w:val="18"/>
                <w:szCs w:val="18"/>
              </w:rPr>
              <w:t>Compara licenciamiento, soporte, interoperabilidad y costo.</w:t>
            </w:r>
          </w:p>
        </w:tc>
        <w:tc>
          <w:tcPr>
            <w:tcW w:w="1910" w:type="dxa"/>
            <w:shd w:val="clear" w:color="auto" w:fill="D9E2F3"/>
            <w:vAlign w:val="center"/>
          </w:tcPr>
          <w:p w14:paraId="160FC29F" w14:textId="77777777" w:rsidR="00990B14" w:rsidRDefault="00000000">
            <w:pPr>
              <w:spacing w:before="20" w:after="20"/>
              <w:jc w:val="both"/>
            </w:pPr>
            <w:r>
              <w:rPr>
                <w:sz w:val="18"/>
                <w:szCs w:val="18"/>
              </w:rPr>
              <w:t>Recomienda un sistema según el modelo de negocio.</w:t>
            </w:r>
          </w:p>
        </w:tc>
      </w:tr>
      <w:tr w:rsidR="00990B14" w14:paraId="2B78639A" w14:textId="77777777">
        <w:trPr>
          <w:cantSplit/>
          <w:jc w:val="center"/>
        </w:trPr>
        <w:tc>
          <w:tcPr>
            <w:tcW w:w="1660" w:type="dxa"/>
            <w:vMerge/>
            <w:shd w:val="clear" w:color="auto" w:fill="4472C4"/>
            <w:vAlign w:val="center"/>
          </w:tcPr>
          <w:p w14:paraId="16AC3B03" w14:textId="77777777" w:rsidR="00990B14" w:rsidRDefault="00990B14">
            <w:pPr>
              <w:spacing w:before="20" w:after="20"/>
            </w:pPr>
          </w:p>
        </w:tc>
        <w:tc>
          <w:tcPr>
            <w:tcW w:w="1910" w:type="dxa"/>
            <w:shd w:val="clear" w:color="auto" w:fill="D9E2F3"/>
            <w:vAlign w:val="center"/>
          </w:tcPr>
          <w:p w14:paraId="68609544" w14:textId="77777777" w:rsidR="00990B14" w:rsidRDefault="00000000">
            <w:pPr>
              <w:spacing w:before="20" w:after="20"/>
              <w:jc w:val="both"/>
            </w:pPr>
            <w:r>
              <w:rPr>
                <w:sz w:val="18"/>
                <w:szCs w:val="18"/>
              </w:rPr>
              <w:t>Seguridad de la información</w:t>
            </w:r>
          </w:p>
        </w:tc>
        <w:tc>
          <w:tcPr>
            <w:tcW w:w="1910" w:type="dxa"/>
            <w:shd w:val="clear" w:color="auto" w:fill="D9E2F3"/>
            <w:vAlign w:val="center"/>
          </w:tcPr>
          <w:p w14:paraId="5C4B2DDD" w14:textId="77777777" w:rsidR="00990B14" w:rsidRDefault="00000000">
            <w:pPr>
              <w:spacing w:before="20" w:after="20"/>
              <w:jc w:val="both"/>
            </w:pPr>
            <w:r>
              <w:rPr>
                <w:sz w:val="18"/>
                <w:szCs w:val="18"/>
              </w:rPr>
              <w:t>No evalúa la seguridad.</w:t>
            </w:r>
          </w:p>
        </w:tc>
        <w:tc>
          <w:tcPr>
            <w:tcW w:w="2015" w:type="dxa"/>
            <w:shd w:val="clear" w:color="auto" w:fill="D9E2F3"/>
            <w:vAlign w:val="center"/>
          </w:tcPr>
          <w:p w14:paraId="4B2B6129" w14:textId="77777777" w:rsidR="00990B14" w:rsidRDefault="00000000">
            <w:pPr>
              <w:spacing w:before="20" w:after="20"/>
              <w:jc w:val="both"/>
            </w:pPr>
            <w:r>
              <w:rPr>
                <w:sz w:val="18"/>
                <w:szCs w:val="18"/>
              </w:rPr>
              <w:t>Evalúa accesos, perfiles y pistas de auditoría.</w:t>
            </w:r>
          </w:p>
        </w:tc>
        <w:tc>
          <w:tcPr>
            <w:tcW w:w="1910" w:type="dxa"/>
            <w:shd w:val="clear" w:color="auto" w:fill="D9E2F3"/>
            <w:vAlign w:val="center"/>
          </w:tcPr>
          <w:p w14:paraId="5A3B2E9F" w14:textId="77777777" w:rsidR="00990B14" w:rsidRDefault="00000000">
            <w:pPr>
              <w:spacing w:before="20" w:after="20"/>
              <w:jc w:val="both"/>
            </w:pPr>
            <w:r>
              <w:rPr>
                <w:sz w:val="18"/>
                <w:szCs w:val="18"/>
              </w:rPr>
              <w:t>Propone controles a los riesgos de la nube.</w:t>
            </w:r>
          </w:p>
        </w:tc>
      </w:tr>
      <w:tr w:rsidR="00990B14" w14:paraId="3283E249" w14:textId="77777777">
        <w:trPr>
          <w:cantSplit/>
          <w:jc w:val="center"/>
        </w:trPr>
        <w:tc>
          <w:tcPr>
            <w:tcW w:w="1660" w:type="dxa"/>
            <w:vMerge/>
            <w:shd w:val="clear" w:color="auto" w:fill="4472C4"/>
            <w:vAlign w:val="center"/>
          </w:tcPr>
          <w:p w14:paraId="4491DC9E" w14:textId="77777777" w:rsidR="00990B14" w:rsidRDefault="00990B14">
            <w:pPr>
              <w:spacing w:before="20" w:after="20"/>
            </w:pPr>
          </w:p>
        </w:tc>
        <w:tc>
          <w:tcPr>
            <w:tcW w:w="1910" w:type="dxa"/>
            <w:shd w:val="clear" w:color="auto" w:fill="D9E2F3"/>
            <w:vAlign w:val="center"/>
          </w:tcPr>
          <w:p w14:paraId="2AC972CA" w14:textId="77777777" w:rsidR="00990B14" w:rsidRDefault="00000000">
            <w:pPr>
              <w:spacing w:before="20" w:after="20"/>
              <w:jc w:val="both"/>
            </w:pPr>
            <w:r>
              <w:rPr>
                <w:sz w:val="18"/>
                <w:szCs w:val="18"/>
              </w:rPr>
              <w:t>Claridad de la exposición</w:t>
            </w:r>
          </w:p>
        </w:tc>
        <w:tc>
          <w:tcPr>
            <w:tcW w:w="1910" w:type="dxa"/>
            <w:shd w:val="clear" w:color="auto" w:fill="D9E2F3"/>
            <w:vAlign w:val="center"/>
          </w:tcPr>
          <w:p w14:paraId="0D457D9D" w14:textId="77777777" w:rsidR="00990B14" w:rsidRDefault="00000000">
            <w:pPr>
              <w:spacing w:before="20" w:after="20"/>
              <w:jc w:val="both"/>
            </w:pPr>
            <w:r>
              <w:rPr>
                <w:sz w:val="18"/>
                <w:szCs w:val="18"/>
              </w:rPr>
              <w:t>La exposición es confusa.</w:t>
            </w:r>
          </w:p>
        </w:tc>
        <w:tc>
          <w:tcPr>
            <w:tcW w:w="2015" w:type="dxa"/>
            <w:shd w:val="clear" w:color="auto" w:fill="D9E2F3"/>
            <w:vAlign w:val="center"/>
          </w:tcPr>
          <w:p w14:paraId="3DF0956D" w14:textId="77777777" w:rsidR="00990B14" w:rsidRDefault="00000000">
            <w:pPr>
              <w:spacing w:before="20" w:after="20"/>
              <w:jc w:val="both"/>
            </w:pPr>
            <w:r>
              <w:rPr>
                <w:sz w:val="18"/>
                <w:szCs w:val="18"/>
              </w:rPr>
              <w:t>Expone con claridad el cuadro.</w:t>
            </w:r>
          </w:p>
        </w:tc>
        <w:tc>
          <w:tcPr>
            <w:tcW w:w="1910" w:type="dxa"/>
            <w:shd w:val="clear" w:color="auto" w:fill="D9E2F3"/>
            <w:vAlign w:val="center"/>
          </w:tcPr>
          <w:p w14:paraId="51A14293" w14:textId="77777777" w:rsidR="00990B14" w:rsidRDefault="00000000">
            <w:pPr>
              <w:spacing w:before="20" w:after="20"/>
              <w:jc w:val="both"/>
            </w:pPr>
            <w:r>
              <w:rPr>
                <w:sz w:val="18"/>
                <w:szCs w:val="18"/>
              </w:rPr>
              <w:t>Responde con fundamento las preguntas del curso.</w:t>
            </w:r>
          </w:p>
        </w:tc>
      </w:tr>
      <w:tr w:rsidR="00990B14" w14:paraId="30FF5300" w14:textId="77777777">
        <w:trPr>
          <w:cantSplit/>
          <w:jc w:val="center"/>
        </w:trPr>
        <w:tc>
          <w:tcPr>
            <w:tcW w:w="1660" w:type="dxa"/>
            <w:vMerge/>
            <w:shd w:val="clear" w:color="auto" w:fill="4472C4"/>
            <w:vAlign w:val="center"/>
          </w:tcPr>
          <w:p w14:paraId="088CDF0B" w14:textId="77777777" w:rsidR="00990B14" w:rsidRDefault="00990B14">
            <w:pPr>
              <w:spacing w:before="20" w:after="20"/>
            </w:pPr>
          </w:p>
        </w:tc>
        <w:tc>
          <w:tcPr>
            <w:tcW w:w="5835" w:type="dxa"/>
            <w:gridSpan w:val="3"/>
            <w:shd w:val="clear" w:color="auto" w:fill="D9E2F3"/>
            <w:vAlign w:val="center"/>
          </w:tcPr>
          <w:p w14:paraId="1F555847" w14:textId="77777777" w:rsidR="00990B14" w:rsidRDefault="00000000">
            <w:pPr>
              <w:keepNext/>
              <w:spacing w:before="20" w:after="20"/>
              <w:jc w:val="both"/>
            </w:pPr>
            <w:r>
              <w:rPr>
                <w:b/>
                <w:bCs/>
                <w:i/>
                <w:iCs/>
                <w:sz w:val="18"/>
                <w:szCs w:val="18"/>
              </w:rPr>
              <w:t xml:space="preserve">Producto 5: </w:t>
            </w:r>
            <w:r>
              <w:rPr>
                <w:sz w:val="18"/>
                <w:szCs w:val="18"/>
              </w:rPr>
              <w:t>Ficha de incorporación del activo fijo</w:t>
            </w:r>
          </w:p>
        </w:tc>
        <w:tc>
          <w:tcPr>
            <w:tcW w:w="1910" w:type="dxa"/>
            <w:shd w:val="clear" w:color="auto" w:fill="D9E2F3"/>
            <w:vAlign w:val="center"/>
          </w:tcPr>
          <w:p w14:paraId="282866DF" w14:textId="77777777" w:rsidR="00990B14" w:rsidRDefault="00000000">
            <w:pPr>
              <w:spacing w:before="20" w:after="20"/>
              <w:jc w:val="center"/>
            </w:pPr>
            <w:r>
              <w:rPr>
                <w:b/>
                <w:bCs/>
                <w:sz w:val="18"/>
                <w:szCs w:val="18"/>
              </w:rPr>
              <w:t>3%</w:t>
            </w:r>
          </w:p>
        </w:tc>
      </w:tr>
      <w:tr w:rsidR="00990B14" w14:paraId="217EBFD9" w14:textId="77777777">
        <w:trPr>
          <w:cantSplit/>
          <w:jc w:val="center"/>
        </w:trPr>
        <w:tc>
          <w:tcPr>
            <w:tcW w:w="1660" w:type="dxa"/>
            <w:vMerge/>
            <w:shd w:val="clear" w:color="auto" w:fill="4472C4"/>
            <w:vAlign w:val="center"/>
          </w:tcPr>
          <w:p w14:paraId="4E20069C" w14:textId="77777777" w:rsidR="00990B14" w:rsidRDefault="00990B14">
            <w:pPr>
              <w:spacing w:before="20" w:after="20"/>
            </w:pPr>
          </w:p>
        </w:tc>
        <w:tc>
          <w:tcPr>
            <w:tcW w:w="1910" w:type="dxa"/>
            <w:shd w:val="clear" w:color="auto" w:fill="4472C4"/>
            <w:vAlign w:val="center"/>
          </w:tcPr>
          <w:p w14:paraId="3DAA5FD2"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4C2ACA43"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209E576A"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758C46A3" w14:textId="77777777" w:rsidR="00990B14" w:rsidRDefault="00000000">
            <w:pPr>
              <w:keepNext/>
              <w:spacing w:before="20" w:after="20"/>
              <w:jc w:val="center"/>
            </w:pPr>
            <w:r>
              <w:rPr>
                <w:b/>
                <w:bCs/>
                <w:i/>
                <w:iCs/>
                <w:color w:val="FFFFFF"/>
                <w:sz w:val="18"/>
                <w:szCs w:val="18"/>
              </w:rPr>
              <w:t>Destacado (81–100)</w:t>
            </w:r>
          </w:p>
        </w:tc>
      </w:tr>
      <w:tr w:rsidR="00990B14" w14:paraId="20A66FC3" w14:textId="77777777">
        <w:trPr>
          <w:cantSplit/>
          <w:jc w:val="center"/>
        </w:trPr>
        <w:tc>
          <w:tcPr>
            <w:tcW w:w="1660" w:type="dxa"/>
            <w:vMerge/>
            <w:shd w:val="clear" w:color="auto" w:fill="4472C4"/>
            <w:vAlign w:val="center"/>
          </w:tcPr>
          <w:p w14:paraId="16929936" w14:textId="77777777" w:rsidR="00990B14" w:rsidRDefault="00990B14">
            <w:pPr>
              <w:spacing w:before="20" w:after="20"/>
            </w:pPr>
          </w:p>
        </w:tc>
        <w:tc>
          <w:tcPr>
            <w:tcW w:w="1910" w:type="dxa"/>
            <w:shd w:val="clear" w:color="auto" w:fill="D9E2F3"/>
            <w:vAlign w:val="center"/>
          </w:tcPr>
          <w:p w14:paraId="110C7AFF" w14:textId="77777777" w:rsidR="00990B14" w:rsidRDefault="00000000">
            <w:pPr>
              <w:spacing w:before="20" w:after="20"/>
              <w:jc w:val="both"/>
            </w:pPr>
            <w:r>
              <w:rPr>
                <w:sz w:val="18"/>
                <w:szCs w:val="18"/>
              </w:rPr>
              <w:t>Información física</w:t>
            </w:r>
          </w:p>
        </w:tc>
        <w:tc>
          <w:tcPr>
            <w:tcW w:w="1910" w:type="dxa"/>
            <w:shd w:val="clear" w:color="auto" w:fill="D9E2F3"/>
            <w:vAlign w:val="center"/>
          </w:tcPr>
          <w:p w14:paraId="26D73BF7" w14:textId="77777777" w:rsidR="00990B14" w:rsidRDefault="00000000">
            <w:pPr>
              <w:spacing w:before="20" w:after="20"/>
              <w:jc w:val="both"/>
            </w:pPr>
            <w:r>
              <w:rPr>
                <w:sz w:val="18"/>
                <w:szCs w:val="18"/>
              </w:rPr>
              <w:t>Omite la ubicación o el responsable.</w:t>
            </w:r>
          </w:p>
        </w:tc>
        <w:tc>
          <w:tcPr>
            <w:tcW w:w="2015" w:type="dxa"/>
            <w:shd w:val="clear" w:color="auto" w:fill="D9E2F3"/>
            <w:vAlign w:val="center"/>
          </w:tcPr>
          <w:p w14:paraId="2A243678" w14:textId="77777777" w:rsidR="00990B14" w:rsidRDefault="00000000">
            <w:pPr>
              <w:spacing w:before="20" w:after="20"/>
              <w:jc w:val="both"/>
            </w:pPr>
            <w:r>
              <w:rPr>
                <w:sz w:val="18"/>
                <w:szCs w:val="18"/>
              </w:rPr>
              <w:t>Registra la ubicación, el responsable y las características.</w:t>
            </w:r>
          </w:p>
        </w:tc>
        <w:tc>
          <w:tcPr>
            <w:tcW w:w="1910" w:type="dxa"/>
            <w:shd w:val="clear" w:color="auto" w:fill="D9E2F3"/>
            <w:vAlign w:val="center"/>
          </w:tcPr>
          <w:p w14:paraId="4A4A54DD" w14:textId="77777777" w:rsidR="00990B14" w:rsidRDefault="00000000">
            <w:pPr>
              <w:spacing w:before="20" w:after="20"/>
              <w:jc w:val="both"/>
            </w:pPr>
            <w:r>
              <w:rPr>
                <w:sz w:val="18"/>
                <w:szCs w:val="18"/>
              </w:rPr>
              <w:t>Asigna un código de identificación verificable.</w:t>
            </w:r>
          </w:p>
        </w:tc>
      </w:tr>
      <w:tr w:rsidR="00990B14" w14:paraId="492F4DE3" w14:textId="77777777">
        <w:trPr>
          <w:cantSplit/>
          <w:jc w:val="center"/>
        </w:trPr>
        <w:tc>
          <w:tcPr>
            <w:tcW w:w="1660" w:type="dxa"/>
            <w:vMerge/>
            <w:shd w:val="clear" w:color="auto" w:fill="4472C4"/>
            <w:vAlign w:val="center"/>
          </w:tcPr>
          <w:p w14:paraId="2C1A5EA3" w14:textId="77777777" w:rsidR="00990B14" w:rsidRDefault="00990B14">
            <w:pPr>
              <w:spacing w:before="20" w:after="20"/>
            </w:pPr>
          </w:p>
        </w:tc>
        <w:tc>
          <w:tcPr>
            <w:tcW w:w="1910" w:type="dxa"/>
            <w:shd w:val="clear" w:color="auto" w:fill="D9E2F3"/>
            <w:vAlign w:val="center"/>
          </w:tcPr>
          <w:p w14:paraId="0AAD620B" w14:textId="77777777" w:rsidR="00990B14" w:rsidRDefault="00000000">
            <w:pPr>
              <w:spacing w:before="20" w:after="20"/>
              <w:jc w:val="both"/>
            </w:pPr>
            <w:r>
              <w:rPr>
                <w:sz w:val="18"/>
                <w:szCs w:val="18"/>
              </w:rPr>
              <w:t>Información valorada</w:t>
            </w:r>
          </w:p>
        </w:tc>
        <w:tc>
          <w:tcPr>
            <w:tcW w:w="1910" w:type="dxa"/>
            <w:shd w:val="clear" w:color="auto" w:fill="D9E2F3"/>
            <w:vAlign w:val="center"/>
          </w:tcPr>
          <w:p w14:paraId="3896F6C5" w14:textId="77777777" w:rsidR="00990B14" w:rsidRDefault="00000000">
            <w:pPr>
              <w:spacing w:before="20" w:after="20"/>
              <w:jc w:val="both"/>
            </w:pPr>
            <w:r>
              <w:rPr>
                <w:sz w:val="18"/>
                <w:szCs w:val="18"/>
              </w:rPr>
              <w:t>Registra el costo con errores.</w:t>
            </w:r>
          </w:p>
        </w:tc>
        <w:tc>
          <w:tcPr>
            <w:tcW w:w="2015" w:type="dxa"/>
            <w:shd w:val="clear" w:color="auto" w:fill="D9E2F3"/>
            <w:vAlign w:val="center"/>
          </w:tcPr>
          <w:p w14:paraId="1285B4F1" w14:textId="77777777" w:rsidR="00990B14" w:rsidRDefault="00000000">
            <w:pPr>
              <w:spacing w:before="20" w:after="20"/>
              <w:jc w:val="both"/>
            </w:pPr>
            <w:r>
              <w:rPr>
                <w:sz w:val="18"/>
                <w:szCs w:val="18"/>
              </w:rPr>
              <w:t>Registra el costo y la fecha de incorporación.</w:t>
            </w:r>
          </w:p>
        </w:tc>
        <w:tc>
          <w:tcPr>
            <w:tcW w:w="1910" w:type="dxa"/>
            <w:shd w:val="clear" w:color="auto" w:fill="D9E2F3"/>
            <w:vAlign w:val="center"/>
          </w:tcPr>
          <w:p w14:paraId="2E7B3F11" w14:textId="77777777" w:rsidR="00990B14" w:rsidRDefault="00000000">
            <w:pPr>
              <w:spacing w:before="20" w:after="20"/>
              <w:jc w:val="both"/>
            </w:pPr>
            <w:r>
              <w:rPr>
                <w:sz w:val="18"/>
                <w:szCs w:val="18"/>
              </w:rPr>
              <w:t>Respalda el valor con la documentación de compra.</w:t>
            </w:r>
          </w:p>
        </w:tc>
      </w:tr>
      <w:tr w:rsidR="00990B14" w14:paraId="1C1D33AE" w14:textId="77777777">
        <w:trPr>
          <w:cantSplit/>
          <w:jc w:val="center"/>
        </w:trPr>
        <w:tc>
          <w:tcPr>
            <w:tcW w:w="1660" w:type="dxa"/>
            <w:vMerge/>
            <w:shd w:val="clear" w:color="auto" w:fill="4472C4"/>
            <w:vAlign w:val="center"/>
          </w:tcPr>
          <w:p w14:paraId="36CBC7B8" w14:textId="77777777" w:rsidR="00990B14" w:rsidRDefault="00990B14">
            <w:pPr>
              <w:spacing w:before="20" w:after="20"/>
            </w:pPr>
          </w:p>
        </w:tc>
        <w:tc>
          <w:tcPr>
            <w:tcW w:w="1910" w:type="dxa"/>
            <w:shd w:val="clear" w:color="auto" w:fill="D9E2F3"/>
            <w:vAlign w:val="center"/>
          </w:tcPr>
          <w:p w14:paraId="42B9B7E8" w14:textId="77777777" w:rsidR="00990B14" w:rsidRDefault="00000000">
            <w:pPr>
              <w:spacing w:before="20" w:after="20"/>
              <w:jc w:val="both"/>
            </w:pPr>
            <w:r>
              <w:rPr>
                <w:sz w:val="18"/>
                <w:szCs w:val="18"/>
              </w:rPr>
              <w:t>Movimientos del activo</w:t>
            </w:r>
          </w:p>
        </w:tc>
        <w:tc>
          <w:tcPr>
            <w:tcW w:w="1910" w:type="dxa"/>
            <w:shd w:val="clear" w:color="auto" w:fill="D9E2F3"/>
            <w:vAlign w:val="center"/>
          </w:tcPr>
          <w:p w14:paraId="69D125DB" w14:textId="77777777" w:rsidR="00990B14" w:rsidRDefault="00000000">
            <w:pPr>
              <w:spacing w:before="20" w:after="20"/>
              <w:jc w:val="both"/>
            </w:pPr>
            <w:r>
              <w:rPr>
                <w:sz w:val="18"/>
                <w:szCs w:val="18"/>
              </w:rPr>
              <w:t>No registra la transferencia o la baja.</w:t>
            </w:r>
          </w:p>
        </w:tc>
        <w:tc>
          <w:tcPr>
            <w:tcW w:w="2015" w:type="dxa"/>
            <w:shd w:val="clear" w:color="auto" w:fill="D9E2F3"/>
            <w:vAlign w:val="center"/>
          </w:tcPr>
          <w:p w14:paraId="17A635F3" w14:textId="77777777" w:rsidR="00990B14" w:rsidRDefault="00000000">
            <w:pPr>
              <w:spacing w:before="20" w:after="20"/>
              <w:jc w:val="both"/>
            </w:pPr>
            <w:r>
              <w:rPr>
                <w:sz w:val="18"/>
                <w:szCs w:val="18"/>
              </w:rPr>
              <w:t>Registra la transferencia y la baja autorizadas.</w:t>
            </w:r>
          </w:p>
        </w:tc>
        <w:tc>
          <w:tcPr>
            <w:tcW w:w="1910" w:type="dxa"/>
            <w:shd w:val="clear" w:color="auto" w:fill="D9E2F3"/>
            <w:vAlign w:val="center"/>
          </w:tcPr>
          <w:p w14:paraId="5E707AA0" w14:textId="77777777" w:rsidR="00990B14" w:rsidRDefault="00000000">
            <w:pPr>
              <w:spacing w:before="20" w:after="20"/>
              <w:jc w:val="both"/>
            </w:pPr>
            <w:r>
              <w:rPr>
                <w:sz w:val="18"/>
                <w:szCs w:val="18"/>
              </w:rPr>
              <w:t>Verifica la autorización de cada movimiento.</w:t>
            </w:r>
          </w:p>
        </w:tc>
      </w:tr>
      <w:tr w:rsidR="00990B14" w14:paraId="6DC0A2E0" w14:textId="77777777">
        <w:trPr>
          <w:cantSplit/>
          <w:jc w:val="center"/>
        </w:trPr>
        <w:tc>
          <w:tcPr>
            <w:tcW w:w="1660" w:type="dxa"/>
            <w:vMerge/>
            <w:shd w:val="clear" w:color="auto" w:fill="4472C4"/>
            <w:vAlign w:val="center"/>
          </w:tcPr>
          <w:p w14:paraId="27544EBD" w14:textId="77777777" w:rsidR="00990B14" w:rsidRDefault="00990B14">
            <w:pPr>
              <w:spacing w:before="20" w:after="20"/>
            </w:pPr>
          </w:p>
        </w:tc>
        <w:tc>
          <w:tcPr>
            <w:tcW w:w="5835" w:type="dxa"/>
            <w:gridSpan w:val="3"/>
            <w:shd w:val="clear" w:color="auto" w:fill="D9E2F3"/>
            <w:vAlign w:val="center"/>
          </w:tcPr>
          <w:p w14:paraId="685D68CC" w14:textId="77777777" w:rsidR="00990B14" w:rsidRDefault="00000000">
            <w:pPr>
              <w:keepNext/>
              <w:spacing w:before="20" w:after="20"/>
              <w:jc w:val="both"/>
            </w:pPr>
            <w:r>
              <w:rPr>
                <w:b/>
                <w:bCs/>
                <w:i/>
                <w:iCs/>
                <w:sz w:val="18"/>
                <w:szCs w:val="18"/>
              </w:rPr>
              <w:t xml:space="preserve">Producto 6: </w:t>
            </w:r>
            <w:r>
              <w:rPr>
                <w:sz w:val="18"/>
                <w:szCs w:val="18"/>
              </w:rPr>
              <w:t>Acta de conciliación de activos fijos</w:t>
            </w:r>
          </w:p>
        </w:tc>
        <w:tc>
          <w:tcPr>
            <w:tcW w:w="1910" w:type="dxa"/>
            <w:shd w:val="clear" w:color="auto" w:fill="D9E2F3"/>
            <w:vAlign w:val="center"/>
          </w:tcPr>
          <w:p w14:paraId="628A4687" w14:textId="77777777" w:rsidR="00990B14" w:rsidRDefault="00000000">
            <w:pPr>
              <w:spacing w:before="20" w:after="20"/>
              <w:jc w:val="center"/>
            </w:pPr>
            <w:r>
              <w:rPr>
                <w:b/>
                <w:bCs/>
                <w:sz w:val="18"/>
                <w:szCs w:val="18"/>
              </w:rPr>
              <w:t>3%</w:t>
            </w:r>
          </w:p>
        </w:tc>
      </w:tr>
      <w:tr w:rsidR="00990B14" w14:paraId="379EC9A4" w14:textId="77777777">
        <w:trPr>
          <w:cantSplit/>
          <w:jc w:val="center"/>
        </w:trPr>
        <w:tc>
          <w:tcPr>
            <w:tcW w:w="1660" w:type="dxa"/>
            <w:vMerge/>
            <w:shd w:val="clear" w:color="auto" w:fill="4472C4"/>
            <w:vAlign w:val="center"/>
          </w:tcPr>
          <w:p w14:paraId="1235528E" w14:textId="77777777" w:rsidR="00990B14" w:rsidRDefault="00990B14">
            <w:pPr>
              <w:spacing w:before="20" w:after="20"/>
            </w:pPr>
          </w:p>
        </w:tc>
        <w:tc>
          <w:tcPr>
            <w:tcW w:w="1910" w:type="dxa"/>
            <w:shd w:val="clear" w:color="auto" w:fill="4472C4"/>
            <w:vAlign w:val="center"/>
          </w:tcPr>
          <w:p w14:paraId="22ACC9B6"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59C30077"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28F5BBA9"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762D017B" w14:textId="77777777" w:rsidR="00990B14" w:rsidRDefault="00000000">
            <w:pPr>
              <w:keepNext/>
              <w:spacing w:before="20" w:after="20"/>
              <w:jc w:val="center"/>
            </w:pPr>
            <w:r>
              <w:rPr>
                <w:b/>
                <w:bCs/>
                <w:i/>
                <w:iCs/>
                <w:color w:val="FFFFFF"/>
                <w:sz w:val="18"/>
                <w:szCs w:val="18"/>
              </w:rPr>
              <w:t>Destacado (81–100)</w:t>
            </w:r>
          </w:p>
        </w:tc>
      </w:tr>
      <w:tr w:rsidR="00990B14" w14:paraId="4CE41FB0" w14:textId="77777777">
        <w:trPr>
          <w:cantSplit/>
          <w:jc w:val="center"/>
        </w:trPr>
        <w:tc>
          <w:tcPr>
            <w:tcW w:w="1660" w:type="dxa"/>
            <w:vMerge/>
            <w:shd w:val="clear" w:color="auto" w:fill="4472C4"/>
            <w:vAlign w:val="center"/>
          </w:tcPr>
          <w:p w14:paraId="61AA5917" w14:textId="77777777" w:rsidR="00990B14" w:rsidRDefault="00990B14">
            <w:pPr>
              <w:spacing w:before="20" w:after="20"/>
            </w:pPr>
          </w:p>
        </w:tc>
        <w:tc>
          <w:tcPr>
            <w:tcW w:w="1910" w:type="dxa"/>
            <w:shd w:val="clear" w:color="auto" w:fill="D9E2F3"/>
            <w:vAlign w:val="center"/>
          </w:tcPr>
          <w:p w14:paraId="5F28B041" w14:textId="77777777" w:rsidR="00990B14" w:rsidRDefault="00000000">
            <w:pPr>
              <w:spacing w:before="20" w:after="20"/>
              <w:jc w:val="both"/>
            </w:pPr>
            <w:r>
              <w:rPr>
                <w:sz w:val="18"/>
                <w:szCs w:val="18"/>
              </w:rPr>
              <w:t>Toma física</w:t>
            </w:r>
          </w:p>
        </w:tc>
        <w:tc>
          <w:tcPr>
            <w:tcW w:w="1910" w:type="dxa"/>
            <w:shd w:val="clear" w:color="auto" w:fill="D9E2F3"/>
            <w:vAlign w:val="center"/>
          </w:tcPr>
          <w:p w14:paraId="36FE92D8" w14:textId="77777777" w:rsidR="00990B14" w:rsidRDefault="00000000">
            <w:pPr>
              <w:spacing w:before="20" w:after="20"/>
              <w:jc w:val="both"/>
            </w:pPr>
            <w:r>
              <w:rPr>
                <w:sz w:val="18"/>
                <w:szCs w:val="18"/>
              </w:rPr>
              <w:t>El recuento es incompleto.</w:t>
            </w:r>
          </w:p>
        </w:tc>
        <w:tc>
          <w:tcPr>
            <w:tcW w:w="2015" w:type="dxa"/>
            <w:shd w:val="clear" w:color="auto" w:fill="D9E2F3"/>
            <w:vAlign w:val="center"/>
          </w:tcPr>
          <w:p w14:paraId="5F542B27" w14:textId="77777777" w:rsidR="00990B14" w:rsidRDefault="00000000">
            <w:pPr>
              <w:spacing w:before="20" w:after="20"/>
              <w:jc w:val="both"/>
            </w:pPr>
            <w:r>
              <w:rPr>
                <w:sz w:val="18"/>
                <w:szCs w:val="18"/>
              </w:rPr>
              <w:t>Registra todos los bienes en la toma física.</w:t>
            </w:r>
          </w:p>
        </w:tc>
        <w:tc>
          <w:tcPr>
            <w:tcW w:w="1910" w:type="dxa"/>
            <w:shd w:val="clear" w:color="auto" w:fill="D9E2F3"/>
            <w:vAlign w:val="center"/>
          </w:tcPr>
          <w:p w14:paraId="3B086A55" w14:textId="77777777" w:rsidR="00990B14" w:rsidRDefault="00000000">
            <w:pPr>
              <w:spacing w:before="20" w:after="20"/>
              <w:jc w:val="both"/>
            </w:pPr>
            <w:r>
              <w:rPr>
                <w:sz w:val="18"/>
                <w:szCs w:val="18"/>
              </w:rPr>
              <w:t>Identifica bienes en arrendamiento o comodato.</w:t>
            </w:r>
          </w:p>
        </w:tc>
      </w:tr>
      <w:tr w:rsidR="00990B14" w14:paraId="3050C095" w14:textId="77777777">
        <w:trPr>
          <w:cantSplit/>
          <w:jc w:val="center"/>
        </w:trPr>
        <w:tc>
          <w:tcPr>
            <w:tcW w:w="1660" w:type="dxa"/>
            <w:vMerge/>
            <w:shd w:val="clear" w:color="auto" w:fill="4472C4"/>
            <w:vAlign w:val="center"/>
          </w:tcPr>
          <w:p w14:paraId="66A0707C" w14:textId="77777777" w:rsidR="00990B14" w:rsidRDefault="00990B14">
            <w:pPr>
              <w:spacing w:before="20" w:after="20"/>
            </w:pPr>
          </w:p>
        </w:tc>
        <w:tc>
          <w:tcPr>
            <w:tcW w:w="1910" w:type="dxa"/>
            <w:shd w:val="clear" w:color="auto" w:fill="D9E2F3"/>
            <w:vAlign w:val="center"/>
          </w:tcPr>
          <w:p w14:paraId="3408452D" w14:textId="77777777" w:rsidR="00990B14" w:rsidRDefault="00000000">
            <w:pPr>
              <w:spacing w:before="20" w:after="20"/>
              <w:jc w:val="both"/>
            </w:pPr>
            <w:r>
              <w:rPr>
                <w:sz w:val="18"/>
                <w:szCs w:val="18"/>
              </w:rPr>
              <w:t>Conciliación</w:t>
            </w:r>
          </w:p>
        </w:tc>
        <w:tc>
          <w:tcPr>
            <w:tcW w:w="1910" w:type="dxa"/>
            <w:shd w:val="clear" w:color="auto" w:fill="D9E2F3"/>
            <w:vAlign w:val="center"/>
          </w:tcPr>
          <w:p w14:paraId="3C529A0D" w14:textId="77777777" w:rsidR="00990B14" w:rsidRDefault="00000000">
            <w:pPr>
              <w:spacing w:before="20" w:after="20"/>
              <w:jc w:val="both"/>
            </w:pPr>
            <w:r>
              <w:rPr>
                <w:sz w:val="18"/>
                <w:szCs w:val="18"/>
              </w:rPr>
              <w:t>No concilia las diferencias.</w:t>
            </w:r>
          </w:p>
        </w:tc>
        <w:tc>
          <w:tcPr>
            <w:tcW w:w="2015" w:type="dxa"/>
            <w:shd w:val="clear" w:color="auto" w:fill="D9E2F3"/>
            <w:vAlign w:val="center"/>
          </w:tcPr>
          <w:p w14:paraId="47ECC23C" w14:textId="77777777" w:rsidR="00990B14" w:rsidRDefault="00000000">
            <w:pPr>
              <w:spacing w:before="20" w:after="20"/>
              <w:jc w:val="both"/>
            </w:pPr>
            <w:r>
              <w:rPr>
                <w:sz w:val="18"/>
                <w:szCs w:val="18"/>
              </w:rPr>
              <w:t>Concilia el recuento con los saldos del sistema.</w:t>
            </w:r>
          </w:p>
        </w:tc>
        <w:tc>
          <w:tcPr>
            <w:tcW w:w="1910" w:type="dxa"/>
            <w:shd w:val="clear" w:color="auto" w:fill="D9E2F3"/>
            <w:vAlign w:val="center"/>
          </w:tcPr>
          <w:p w14:paraId="60E445A5" w14:textId="77777777" w:rsidR="00990B14" w:rsidRDefault="00000000">
            <w:pPr>
              <w:spacing w:before="20" w:after="20"/>
              <w:jc w:val="both"/>
            </w:pPr>
            <w:r>
              <w:rPr>
                <w:sz w:val="18"/>
                <w:szCs w:val="18"/>
              </w:rPr>
              <w:t>Propone el ajuste de cada diferencia.</w:t>
            </w:r>
          </w:p>
        </w:tc>
      </w:tr>
      <w:tr w:rsidR="00990B14" w14:paraId="32D682F9" w14:textId="77777777">
        <w:trPr>
          <w:cantSplit/>
          <w:jc w:val="center"/>
        </w:trPr>
        <w:tc>
          <w:tcPr>
            <w:tcW w:w="1660" w:type="dxa"/>
            <w:vMerge/>
            <w:shd w:val="clear" w:color="auto" w:fill="4472C4"/>
            <w:vAlign w:val="center"/>
          </w:tcPr>
          <w:p w14:paraId="24F8CE5A" w14:textId="77777777" w:rsidR="00990B14" w:rsidRDefault="00990B14">
            <w:pPr>
              <w:spacing w:before="20" w:after="20"/>
            </w:pPr>
          </w:p>
        </w:tc>
        <w:tc>
          <w:tcPr>
            <w:tcW w:w="1910" w:type="dxa"/>
            <w:shd w:val="clear" w:color="auto" w:fill="D9E2F3"/>
            <w:vAlign w:val="center"/>
          </w:tcPr>
          <w:p w14:paraId="78110B57" w14:textId="77777777" w:rsidR="00990B14" w:rsidRDefault="00000000">
            <w:pPr>
              <w:spacing w:before="20" w:after="20"/>
              <w:jc w:val="both"/>
            </w:pPr>
            <w:r>
              <w:rPr>
                <w:sz w:val="18"/>
                <w:szCs w:val="18"/>
              </w:rPr>
              <w:t>Trabajo en equipo</w:t>
            </w:r>
          </w:p>
        </w:tc>
        <w:tc>
          <w:tcPr>
            <w:tcW w:w="1910" w:type="dxa"/>
            <w:shd w:val="clear" w:color="auto" w:fill="D9E2F3"/>
            <w:vAlign w:val="center"/>
          </w:tcPr>
          <w:p w14:paraId="40ECEEBC" w14:textId="77777777" w:rsidR="00990B14" w:rsidRDefault="00000000">
            <w:pPr>
              <w:spacing w:before="20" w:after="20"/>
              <w:jc w:val="both"/>
            </w:pPr>
            <w:r>
              <w:rPr>
                <w:sz w:val="18"/>
                <w:szCs w:val="18"/>
              </w:rPr>
              <w:t>La participación de los integrantes es desigual.</w:t>
            </w:r>
          </w:p>
        </w:tc>
        <w:tc>
          <w:tcPr>
            <w:tcW w:w="2015" w:type="dxa"/>
            <w:shd w:val="clear" w:color="auto" w:fill="D9E2F3"/>
            <w:vAlign w:val="center"/>
          </w:tcPr>
          <w:p w14:paraId="5C8F6BF3" w14:textId="77777777" w:rsidR="00990B14" w:rsidRDefault="00000000">
            <w:pPr>
              <w:spacing w:before="20" w:after="20"/>
              <w:jc w:val="both"/>
            </w:pPr>
            <w:r>
              <w:rPr>
                <w:sz w:val="18"/>
                <w:szCs w:val="18"/>
              </w:rPr>
              <w:t>Todos los integrantes participan.</w:t>
            </w:r>
          </w:p>
        </w:tc>
        <w:tc>
          <w:tcPr>
            <w:tcW w:w="1910" w:type="dxa"/>
            <w:shd w:val="clear" w:color="auto" w:fill="D9E2F3"/>
            <w:vAlign w:val="center"/>
          </w:tcPr>
          <w:p w14:paraId="052D3853" w14:textId="77777777" w:rsidR="00990B14" w:rsidRDefault="00000000">
            <w:pPr>
              <w:spacing w:before="20" w:after="20"/>
              <w:jc w:val="both"/>
            </w:pPr>
            <w:r>
              <w:rPr>
                <w:sz w:val="18"/>
                <w:szCs w:val="18"/>
              </w:rPr>
              <w:t>El equipo distribuye las tareas de recuento con orden.</w:t>
            </w:r>
          </w:p>
        </w:tc>
      </w:tr>
      <w:tr w:rsidR="00990B14" w14:paraId="535F764D" w14:textId="77777777">
        <w:trPr>
          <w:cantSplit/>
          <w:jc w:val="center"/>
        </w:trPr>
        <w:tc>
          <w:tcPr>
            <w:tcW w:w="1660" w:type="dxa"/>
            <w:vMerge/>
            <w:shd w:val="clear" w:color="auto" w:fill="4472C4"/>
            <w:vAlign w:val="center"/>
          </w:tcPr>
          <w:p w14:paraId="6A6B547C" w14:textId="77777777" w:rsidR="00990B14" w:rsidRDefault="00990B14">
            <w:pPr>
              <w:spacing w:before="20" w:after="20"/>
            </w:pPr>
          </w:p>
        </w:tc>
        <w:tc>
          <w:tcPr>
            <w:tcW w:w="5835" w:type="dxa"/>
            <w:gridSpan w:val="3"/>
            <w:shd w:val="clear" w:color="auto" w:fill="D9E2F3"/>
            <w:vAlign w:val="center"/>
          </w:tcPr>
          <w:p w14:paraId="32950492" w14:textId="77777777" w:rsidR="00990B14" w:rsidRDefault="00000000">
            <w:pPr>
              <w:keepNext/>
              <w:spacing w:before="20" w:after="20"/>
              <w:jc w:val="both"/>
            </w:pPr>
            <w:r>
              <w:rPr>
                <w:b/>
                <w:bCs/>
                <w:i/>
                <w:iCs/>
                <w:sz w:val="18"/>
                <w:szCs w:val="18"/>
              </w:rPr>
              <w:t xml:space="preserve">Producto 7: </w:t>
            </w:r>
            <w:r>
              <w:rPr>
                <w:sz w:val="18"/>
                <w:szCs w:val="18"/>
              </w:rPr>
              <w:t>Tabla de parámetros de depreciación</w:t>
            </w:r>
          </w:p>
        </w:tc>
        <w:tc>
          <w:tcPr>
            <w:tcW w:w="1910" w:type="dxa"/>
            <w:shd w:val="clear" w:color="auto" w:fill="D9E2F3"/>
            <w:vAlign w:val="center"/>
          </w:tcPr>
          <w:p w14:paraId="19DD219E" w14:textId="77777777" w:rsidR="00990B14" w:rsidRDefault="00000000">
            <w:pPr>
              <w:spacing w:before="20" w:after="20"/>
              <w:jc w:val="center"/>
            </w:pPr>
            <w:r>
              <w:rPr>
                <w:b/>
                <w:bCs/>
                <w:sz w:val="18"/>
                <w:szCs w:val="18"/>
              </w:rPr>
              <w:t>2%</w:t>
            </w:r>
          </w:p>
        </w:tc>
      </w:tr>
      <w:tr w:rsidR="00990B14" w14:paraId="4E35E579" w14:textId="77777777">
        <w:trPr>
          <w:cantSplit/>
          <w:jc w:val="center"/>
        </w:trPr>
        <w:tc>
          <w:tcPr>
            <w:tcW w:w="1660" w:type="dxa"/>
            <w:vMerge/>
            <w:shd w:val="clear" w:color="auto" w:fill="4472C4"/>
            <w:vAlign w:val="center"/>
          </w:tcPr>
          <w:p w14:paraId="104A41E4" w14:textId="77777777" w:rsidR="00990B14" w:rsidRDefault="00990B14">
            <w:pPr>
              <w:spacing w:before="20" w:after="20"/>
            </w:pPr>
          </w:p>
        </w:tc>
        <w:tc>
          <w:tcPr>
            <w:tcW w:w="1910" w:type="dxa"/>
            <w:shd w:val="clear" w:color="auto" w:fill="4472C4"/>
            <w:vAlign w:val="center"/>
          </w:tcPr>
          <w:p w14:paraId="0BCE7A1C"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0B2F3315"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2CC754DE"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760F90E0" w14:textId="77777777" w:rsidR="00990B14" w:rsidRDefault="00000000">
            <w:pPr>
              <w:keepNext/>
              <w:spacing w:before="20" w:after="20"/>
              <w:jc w:val="center"/>
            </w:pPr>
            <w:r>
              <w:rPr>
                <w:b/>
                <w:bCs/>
                <w:i/>
                <w:iCs/>
                <w:color w:val="FFFFFF"/>
                <w:sz w:val="18"/>
                <w:szCs w:val="18"/>
              </w:rPr>
              <w:t>Destacado (81–100)</w:t>
            </w:r>
          </w:p>
        </w:tc>
      </w:tr>
      <w:tr w:rsidR="00990B14" w14:paraId="00DF9AA4" w14:textId="77777777">
        <w:trPr>
          <w:cantSplit/>
          <w:jc w:val="center"/>
        </w:trPr>
        <w:tc>
          <w:tcPr>
            <w:tcW w:w="1660" w:type="dxa"/>
            <w:vMerge/>
            <w:shd w:val="clear" w:color="auto" w:fill="4472C4"/>
            <w:vAlign w:val="center"/>
          </w:tcPr>
          <w:p w14:paraId="04B135CB" w14:textId="77777777" w:rsidR="00990B14" w:rsidRDefault="00990B14">
            <w:pPr>
              <w:spacing w:before="20" w:after="20"/>
            </w:pPr>
          </w:p>
        </w:tc>
        <w:tc>
          <w:tcPr>
            <w:tcW w:w="1910" w:type="dxa"/>
            <w:shd w:val="clear" w:color="auto" w:fill="D9E2F3"/>
            <w:vAlign w:val="center"/>
          </w:tcPr>
          <w:p w14:paraId="1D695044" w14:textId="77777777" w:rsidR="00990B14" w:rsidRDefault="00000000">
            <w:pPr>
              <w:spacing w:before="20" w:after="20"/>
              <w:jc w:val="both"/>
            </w:pPr>
            <w:r>
              <w:rPr>
                <w:sz w:val="18"/>
                <w:szCs w:val="18"/>
              </w:rPr>
              <w:t>Vidas útiles</w:t>
            </w:r>
          </w:p>
        </w:tc>
        <w:tc>
          <w:tcPr>
            <w:tcW w:w="1910" w:type="dxa"/>
            <w:shd w:val="clear" w:color="auto" w:fill="D9E2F3"/>
            <w:vAlign w:val="center"/>
          </w:tcPr>
          <w:p w14:paraId="6C38F7EC" w14:textId="77777777" w:rsidR="00990B14" w:rsidRDefault="00000000">
            <w:pPr>
              <w:spacing w:before="20" w:after="20"/>
              <w:jc w:val="both"/>
            </w:pPr>
            <w:r>
              <w:rPr>
                <w:sz w:val="18"/>
                <w:szCs w:val="18"/>
              </w:rPr>
              <w:t>Asigna vidas útiles incorrectas.</w:t>
            </w:r>
          </w:p>
        </w:tc>
        <w:tc>
          <w:tcPr>
            <w:tcW w:w="2015" w:type="dxa"/>
            <w:shd w:val="clear" w:color="auto" w:fill="D9E2F3"/>
            <w:vAlign w:val="center"/>
          </w:tcPr>
          <w:p w14:paraId="608C13EA" w14:textId="77777777" w:rsidR="00990B14" w:rsidRDefault="00000000">
            <w:pPr>
              <w:spacing w:before="20" w:after="20"/>
              <w:jc w:val="both"/>
            </w:pPr>
            <w:r>
              <w:rPr>
                <w:sz w:val="18"/>
                <w:szCs w:val="18"/>
              </w:rPr>
              <w:t>Asigna las vidas útiles según la normativa tributaria.</w:t>
            </w:r>
          </w:p>
        </w:tc>
        <w:tc>
          <w:tcPr>
            <w:tcW w:w="1910" w:type="dxa"/>
            <w:shd w:val="clear" w:color="auto" w:fill="D9E2F3"/>
            <w:vAlign w:val="center"/>
          </w:tcPr>
          <w:p w14:paraId="78E4E985" w14:textId="77777777" w:rsidR="00990B14" w:rsidRDefault="00000000">
            <w:pPr>
              <w:spacing w:before="20" w:after="20"/>
              <w:jc w:val="both"/>
            </w:pPr>
            <w:r>
              <w:rPr>
                <w:sz w:val="18"/>
                <w:szCs w:val="18"/>
              </w:rPr>
              <w:t>Distingue la vida útil tributaria de la contable.</w:t>
            </w:r>
          </w:p>
        </w:tc>
      </w:tr>
      <w:tr w:rsidR="00990B14" w14:paraId="0160DBDC" w14:textId="77777777">
        <w:trPr>
          <w:cantSplit/>
          <w:jc w:val="center"/>
        </w:trPr>
        <w:tc>
          <w:tcPr>
            <w:tcW w:w="1660" w:type="dxa"/>
            <w:vMerge/>
            <w:shd w:val="clear" w:color="auto" w:fill="4472C4"/>
            <w:vAlign w:val="center"/>
          </w:tcPr>
          <w:p w14:paraId="1D3C3ADB" w14:textId="77777777" w:rsidR="00990B14" w:rsidRDefault="00990B14">
            <w:pPr>
              <w:spacing w:before="20" w:after="20"/>
            </w:pPr>
          </w:p>
        </w:tc>
        <w:tc>
          <w:tcPr>
            <w:tcW w:w="1910" w:type="dxa"/>
            <w:shd w:val="clear" w:color="auto" w:fill="D9E2F3"/>
            <w:vAlign w:val="center"/>
          </w:tcPr>
          <w:p w14:paraId="2AAA9CA8" w14:textId="77777777" w:rsidR="00990B14" w:rsidRDefault="00000000">
            <w:pPr>
              <w:spacing w:before="20" w:after="20"/>
              <w:jc w:val="both"/>
            </w:pPr>
            <w:r>
              <w:rPr>
                <w:sz w:val="18"/>
                <w:szCs w:val="18"/>
              </w:rPr>
              <w:t>Coeficientes</w:t>
            </w:r>
          </w:p>
        </w:tc>
        <w:tc>
          <w:tcPr>
            <w:tcW w:w="1910" w:type="dxa"/>
            <w:shd w:val="clear" w:color="auto" w:fill="D9E2F3"/>
            <w:vAlign w:val="center"/>
          </w:tcPr>
          <w:p w14:paraId="6E48A7BE" w14:textId="77777777" w:rsidR="00990B14" w:rsidRDefault="00000000">
            <w:pPr>
              <w:spacing w:before="20" w:after="20"/>
              <w:jc w:val="both"/>
            </w:pPr>
            <w:r>
              <w:rPr>
                <w:sz w:val="18"/>
                <w:szCs w:val="18"/>
              </w:rPr>
              <w:t>Carga coeficientes con errores.</w:t>
            </w:r>
          </w:p>
        </w:tc>
        <w:tc>
          <w:tcPr>
            <w:tcW w:w="2015" w:type="dxa"/>
            <w:shd w:val="clear" w:color="auto" w:fill="D9E2F3"/>
            <w:vAlign w:val="center"/>
          </w:tcPr>
          <w:p w14:paraId="745809E3" w14:textId="77777777" w:rsidR="00990B14" w:rsidRDefault="00000000">
            <w:pPr>
              <w:spacing w:before="20" w:after="20"/>
              <w:jc w:val="both"/>
            </w:pPr>
            <w:r>
              <w:rPr>
                <w:sz w:val="18"/>
                <w:szCs w:val="18"/>
              </w:rPr>
              <w:t>Carga los coeficientes correctos en el sistema.</w:t>
            </w:r>
          </w:p>
        </w:tc>
        <w:tc>
          <w:tcPr>
            <w:tcW w:w="1910" w:type="dxa"/>
            <w:shd w:val="clear" w:color="auto" w:fill="D9E2F3"/>
            <w:vAlign w:val="center"/>
          </w:tcPr>
          <w:p w14:paraId="7080343C" w14:textId="77777777" w:rsidR="00990B14" w:rsidRDefault="00000000">
            <w:pPr>
              <w:spacing w:before="20" w:after="20"/>
              <w:jc w:val="both"/>
            </w:pPr>
            <w:r>
              <w:rPr>
                <w:sz w:val="18"/>
                <w:szCs w:val="18"/>
              </w:rPr>
              <w:t>Explica el efecto de cada coeficiente en el resultado.</w:t>
            </w:r>
          </w:p>
        </w:tc>
      </w:tr>
      <w:tr w:rsidR="00990B14" w14:paraId="47920FB6" w14:textId="77777777">
        <w:trPr>
          <w:cantSplit/>
          <w:jc w:val="center"/>
        </w:trPr>
        <w:tc>
          <w:tcPr>
            <w:tcW w:w="1660" w:type="dxa"/>
            <w:vMerge/>
            <w:shd w:val="clear" w:color="auto" w:fill="4472C4"/>
            <w:vAlign w:val="center"/>
          </w:tcPr>
          <w:p w14:paraId="7BDF3659" w14:textId="77777777" w:rsidR="00990B14" w:rsidRDefault="00990B14">
            <w:pPr>
              <w:spacing w:before="20" w:after="20"/>
            </w:pPr>
          </w:p>
        </w:tc>
        <w:tc>
          <w:tcPr>
            <w:tcW w:w="1910" w:type="dxa"/>
            <w:shd w:val="clear" w:color="auto" w:fill="D9E2F3"/>
            <w:vAlign w:val="center"/>
          </w:tcPr>
          <w:p w14:paraId="3D34F3B6" w14:textId="77777777" w:rsidR="00990B14" w:rsidRDefault="00000000">
            <w:pPr>
              <w:spacing w:before="20" w:after="20"/>
              <w:jc w:val="both"/>
            </w:pPr>
            <w:r>
              <w:rPr>
                <w:sz w:val="18"/>
                <w:szCs w:val="18"/>
              </w:rPr>
              <w:t>Presentación</w:t>
            </w:r>
          </w:p>
        </w:tc>
        <w:tc>
          <w:tcPr>
            <w:tcW w:w="1910" w:type="dxa"/>
            <w:shd w:val="clear" w:color="auto" w:fill="D9E2F3"/>
            <w:vAlign w:val="center"/>
          </w:tcPr>
          <w:p w14:paraId="33766A67" w14:textId="77777777" w:rsidR="00990B14" w:rsidRDefault="00000000">
            <w:pPr>
              <w:spacing w:before="20" w:after="20"/>
              <w:jc w:val="both"/>
            </w:pPr>
            <w:r>
              <w:rPr>
                <w:sz w:val="18"/>
                <w:szCs w:val="18"/>
              </w:rPr>
              <w:t>La tabla es incompleta.</w:t>
            </w:r>
          </w:p>
        </w:tc>
        <w:tc>
          <w:tcPr>
            <w:tcW w:w="2015" w:type="dxa"/>
            <w:shd w:val="clear" w:color="auto" w:fill="D9E2F3"/>
            <w:vAlign w:val="center"/>
          </w:tcPr>
          <w:p w14:paraId="60DCD0BA" w14:textId="77777777" w:rsidR="00990B14" w:rsidRDefault="00000000">
            <w:pPr>
              <w:spacing w:before="20" w:after="20"/>
              <w:jc w:val="both"/>
            </w:pPr>
            <w:r>
              <w:rPr>
                <w:sz w:val="18"/>
                <w:szCs w:val="18"/>
              </w:rPr>
              <w:t>La tabla es clara y completa.</w:t>
            </w:r>
          </w:p>
        </w:tc>
        <w:tc>
          <w:tcPr>
            <w:tcW w:w="1910" w:type="dxa"/>
            <w:shd w:val="clear" w:color="auto" w:fill="D9E2F3"/>
            <w:vAlign w:val="center"/>
          </w:tcPr>
          <w:p w14:paraId="12404B36" w14:textId="77777777" w:rsidR="00990B14" w:rsidRDefault="00000000">
            <w:pPr>
              <w:spacing w:before="20" w:after="20"/>
              <w:jc w:val="both"/>
            </w:pPr>
            <w:r>
              <w:rPr>
                <w:sz w:val="18"/>
                <w:szCs w:val="18"/>
              </w:rPr>
              <w:t>La tabla cita la norma de cada parámetro.</w:t>
            </w:r>
          </w:p>
        </w:tc>
      </w:tr>
      <w:tr w:rsidR="00990B14" w14:paraId="50BD4CF7" w14:textId="77777777">
        <w:trPr>
          <w:cantSplit/>
          <w:jc w:val="center"/>
        </w:trPr>
        <w:tc>
          <w:tcPr>
            <w:tcW w:w="1660" w:type="dxa"/>
            <w:vMerge/>
            <w:shd w:val="clear" w:color="auto" w:fill="4472C4"/>
            <w:vAlign w:val="center"/>
          </w:tcPr>
          <w:p w14:paraId="4971A2B1" w14:textId="77777777" w:rsidR="00990B14" w:rsidRDefault="00990B14">
            <w:pPr>
              <w:spacing w:before="20" w:after="20"/>
            </w:pPr>
          </w:p>
        </w:tc>
        <w:tc>
          <w:tcPr>
            <w:tcW w:w="5835" w:type="dxa"/>
            <w:gridSpan w:val="3"/>
            <w:shd w:val="clear" w:color="auto" w:fill="D9E2F3"/>
            <w:vAlign w:val="center"/>
          </w:tcPr>
          <w:p w14:paraId="277B3785" w14:textId="77777777" w:rsidR="00990B14" w:rsidRDefault="00000000">
            <w:pPr>
              <w:keepNext/>
              <w:spacing w:before="20" w:after="20"/>
              <w:jc w:val="both"/>
            </w:pPr>
            <w:r>
              <w:rPr>
                <w:b/>
                <w:bCs/>
                <w:i/>
                <w:iCs/>
                <w:sz w:val="18"/>
                <w:szCs w:val="18"/>
              </w:rPr>
              <w:t xml:space="preserve">Producto 8: </w:t>
            </w:r>
            <w:r>
              <w:rPr>
                <w:sz w:val="18"/>
                <w:szCs w:val="18"/>
              </w:rPr>
              <w:t>Reportes de depreciación y revalúo</w:t>
            </w:r>
          </w:p>
        </w:tc>
        <w:tc>
          <w:tcPr>
            <w:tcW w:w="1910" w:type="dxa"/>
            <w:shd w:val="clear" w:color="auto" w:fill="D9E2F3"/>
            <w:vAlign w:val="center"/>
          </w:tcPr>
          <w:p w14:paraId="3D0DAD47" w14:textId="77777777" w:rsidR="00990B14" w:rsidRDefault="00000000">
            <w:pPr>
              <w:spacing w:before="20" w:after="20"/>
              <w:jc w:val="center"/>
            </w:pPr>
            <w:r>
              <w:rPr>
                <w:b/>
                <w:bCs/>
                <w:sz w:val="18"/>
                <w:szCs w:val="18"/>
              </w:rPr>
              <w:t>2%</w:t>
            </w:r>
          </w:p>
        </w:tc>
      </w:tr>
      <w:tr w:rsidR="00990B14" w14:paraId="79694A23" w14:textId="77777777">
        <w:trPr>
          <w:cantSplit/>
          <w:jc w:val="center"/>
        </w:trPr>
        <w:tc>
          <w:tcPr>
            <w:tcW w:w="1660" w:type="dxa"/>
            <w:vMerge/>
            <w:shd w:val="clear" w:color="auto" w:fill="4472C4"/>
            <w:vAlign w:val="center"/>
          </w:tcPr>
          <w:p w14:paraId="093E8736" w14:textId="77777777" w:rsidR="00990B14" w:rsidRDefault="00990B14">
            <w:pPr>
              <w:spacing w:before="20" w:after="20"/>
            </w:pPr>
          </w:p>
        </w:tc>
        <w:tc>
          <w:tcPr>
            <w:tcW w:w="1910" w:type="dxa"/>
            <w:shd w:val="clear" w:color="auto" w:fill="4472C4"/>
            <w:vAlign w:val="center"/>
          </w:tcPr>
          <w:p w14:paraId="3ED5D02D"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2BA0129C"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36F6B05B"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30D86A0D" w14:textId="77777777" w:rsidR="00990B14" w:rsidRDefault="00000000">
            <w:pPr>
              <w:keepNext/>
              <w:spacing w:before="20" w:after="20"/>
              <w:jc w:val="center"/>
            </w:pPr>
            <w:r>
              <w:rPr>
                <w:b/>
                <w:bCs/>
                <w:i/>
                <w:iCs/>
                <w:color w:val="FFFFFF"/>
                <w:sz w:val="18"/>
                <w:szCs w:val="18"/>
              </w:rPr>
              <w:t>Destacado (81–100)</w:t>
            </w:r>
          </w:p>
        </w:tc>
      </w:tr>
      <w:tr w:rsidR="00990B14" w14:paraId="2D261659" w14:textId="77777777">
        <w:trPr>
          <w:cantSplit/>
          <w:jc w:val="center"/>
        </w:trPr>
        <w:tc>
          <w:tcPr>
            <w:tcW w:w="1660" w:type="dxa"/>
            <w:vMerge/>
            <w:shd w:val="clear" w:color="auto" w:fill="4472C4"/>
            <w:vAlign w:val="center"/>
          </w:tcPr>
          <w:p w14:paraId="574E239D" w14:textId="77777777" w:rsidR="00990B14" w:rsidRDefault="00990B14">
            <w:pPr>
              <w:spacing w:before="20" w:after="20"/>
            </w:pPr>
          </w:p>
        </w:tc>
        <w:tc>
          <w:tcPr>
            <w:tcW w:w="1910" w:type="dxa"/>
            <w:shd w:val="clear" w:color="auto" w:fill="D9E2F3"/>
            <w:vAlign w:val="center"/>
          </w:tcPr>
          <w:p w14:paraId="6BB92476" w14:textId="77777777" w:rsidR="00990B14" w:rsidRDefault="00000000">
            <w:pPr>
              <w:spacing w:before="20" w:after="20"/>
              <w:jc w:val="both"/>
            </w:pPr>
            <w:r>
              <w:rPr>
                <w:sz w:val="18"/>
                <w:szCs w:val="18"/>
              </w:rPr>
              <w:t>Depreciación y actualización</w:t>
            </w:r>
          </w:p>
        </w:tc>
        <w:tc>
          <w:tcPr>
            <w:tcW w:w="1910" w:type="dxa"/>
            <w:shd w:val="clear" w:color="auto" w:fill="D9E2F3"/>
            <w:vAlign w:val="center"/>
          </w:tcPr>
          <w:p w14:paraId="38B8A852" w14:textId="77777777" w:rsidR="00990B14" w:rsidRDefault="00000000">
            <w:pPr>
              <w:spacing w:before="20" w:after="20"/>
              <w:jc w:val="both"/>
            </w:pPr>
            <w:r>
              <w:rPr>
                <w:sz w:val="18"/>
                <w:szCs w:val="18"/>
              </w:rPr>
              <w:t>Calcula la depreciación con errores.</w:t>
            </w:r>
          </w:p>
        </w:tc>
        <w:tc>
          <w:tcPr>
            <w:tcW w:w="2015" w:type="dxa"/>
            <w:shd w:val="clear" w:color="auto" w:fill="D9E2F3"/>
            <w:vAlign w:val="center"/>
          </w:tcPr>
          <w:p w14:paraId="1F1E2988" w14:textId="77777777" w:rsidR="00990B14" w:rsidRDefault="00000000">
            <w:pPr>
              <w:spacing w:before="20" w:after="20"/>
              <w:jc w:val="both"/>
            </w:pPr>
            <w:r>
              <w:rPr>
                <w:sz w:val="18"/>
                <w:szCs w:val="18"/>
              </w:rPr>
              <w:t>Calcula la actualización y la depreciación del periodo.</w:t>
            </w:r>
          </w:p>
        </w:tc>
        <w:tc>
          <w:tcPr>
            <w:tcW w:w="1910" w:type="dxa"/>
            <w:shd w:val="clear" w:color="auto" w:fill="D9E2F3"/>
            <w:vAlign w:val="center"/>
          </w:tcPr>
          <w:p w14:paraId="632C14C8" w14:textId="77777777" w:rsidR="00990B14" w:rsidRDefault="00000000">
            <w:pPr>
              <w:spacing w:before="20" w:after="20"/>
              <w:jc w:val="both"/>
            </w:pPr>
            <w:r>
              <w:rPr>
                <w:sz w:val="18"/>
                <w:szCs w:val="18"/>
              </w:rPr>
              <w:t>Verifica el cálculo del sistema con un cálculo manual.</w:t>
            </w:r>
          </w:p>
        </w:tc>
      </w:tr>
      <w:tr w:rsidR="00990B14" w14:paraId="74A6CA35" w14:textId="77777777">
        <w:trPr>
          <w:cantSplit/>
          <w:jc w:val="center"/>
        </w:trPr>
        <w:tc>
          <w:tcPr>
            <w:tcW w:w="1660" w:type="dxa"/>
            <w:vMerge/>
            <w:shd w:val="clear" w:color="auto" w:fill="4472C4"/>
            <w:vAlign w:val="center"/>
          </w:tcPr>
          <w:p w14:paraId="29341812" w14:textId="77777777" w:rsidR="00990B14" w:rsidRDefault="00990B14">
            <w:pPr>
              <w:spacing w:before="20" w:after="20"/>
            </w:pPr>
          </w:p>
        </w:tc>
        <w:tc>
          <w:tcPr>
            <w:tcW w:w="1910" w:type="dxa"/>
            <w:shd w:val="clear" w:color="auto" w:fill="D9E2F3"/>
            <w:vAlign w:val="center"/>
          </w:tcPr>
          <w:p w14:paraId="4E8C25CF" w14:textId="77777777" w:rsidR="00990B14" w:rsidRDefault="00000000">
            <w:pPr>
              <w:spacing w:before="20" w:after="20"/>
              <w:jc w:val="both"/>
            </w:pPr>
            <w:r>
              <w:rPr>
                <w:sz w:val="18"/>
                <w:szCs w:val="18"/>
              </w:rPr>
              <w:t>Revalúo</w:t>
            </w:r>
          </w:p>
        </w:tc>
        <w:tc>
          <w:tcPr>
            <w:tcW w:w="1910" w:type="dxa"/>
            <w:shd w:val="clear" w:color="auto" w:fill="D9E2F3"/>
            <w:vAlign w:val="center"/>
          </w:tcPr>
          <w:p w14:paraId="719343AC" w14:textId="77777777" w:rsidR="00990B14" w:rsidRDefault="00000000">
            <w:pPr>
              <w:spacing w:before="20" w:after="20"/>
              <w:jc w:val="both"/>
            </w:pPr>
            <w:r>
              <w:rPr>
                <w:sz w:val="18"/>
                <w:szCs w:val="18"/>
              </w:rPr>
              <w:t>Registra el revalúo con errores.</w:t>
            </w:r>
          </w:p>
        </w:tc>
        <w:tc>
          <w:tcPr>
            <w:tcW w:w="2015" w:type="dxa"/>
            <w:shd w:val="clear" w:color="auto" w:fill="D9E2F3"/>
            <w:vAlign w:val="center"/>
          </w:tcPr>
          <w:p w14:paraId="399816A5" w14:textId="77777777" w:rsidR="00990B14" w:rsidRDefault="00000000">
            <w:pPr>
              <w:spacing w:before="20" w:after="20"/>
              <w:jc w:val="both"/>
            </w:pPr>
            <w:r>
              <w:rPr>
                <w:sz w:val="18"/>
                <w:szCs w:val="18"/>
              </w:rPr>
              <w:t>Registra el revalúo y su efecto en los reportes.</w:t>
            </w:r>
          </w:p>
        </w:tc>
        <w:tc>
          <w:tcPr>
            <w:tcW w:w="1910" w:type="dxa"/>
            <w:shd w:val="clear" w:color="auto" w:fill="D9E2F3"/>
            <w:vAlign w:val="center"/>
          </w:tcPr>
          <w:p w14:paraId="1AA986D8" w14:textId="77777777" w:rsidR="00990B14" w:rsidRDefault="00000000">
            <w:pPr>
              <w:spacing w:before="20" w:after="20"/>
              <w:jc w:val="both"/>
            </w:pPr>
            <w:r>
              <w:rPr>
                <w:sz w:val="18"/>
                <w:szCs w:val="18"/>
              </w:rPr>
              <w:t>Analiza el efecto del revalúo en el patrimonio.</w:t>
            </w:r>
          </w:p>
        </w:tc>
      </w:tr>
      <w:tr w:rsidR="00990B14" w14:paraId="5E12E730" w14:textId="77777777">
        <w:trPr>
          <w:cantSplit/>
          <w:jc w:val="center"/>
        </w:trPr>
        <w:tc>
          <w:tcPr>
            <w:tcW w:w="1660" w:type="dxa"/>
            <w:vMerge/>
            <w:shd w:val="clear" w:color="auto" w:fill="4472C4"/>
            <w:vAlign w:val="center"/>
          </w:tcPr>
          <w:p w14:paraId="3DA846DE" w14:textId="77777777" w:rsidR="00990B14" w:rsidRDefault="00990B14">
            <w:pPr>
              <w:spacing w:before="20" w:after="20"/>
            </w:pPr>
          </w:p>
        </w:tc>
        <w:tc>
          <w:tcPr>
            <w:tcW w:w="1910" w:type="dxa"/>
            <w:shd w:val="clear" w:color="auto" w:fill="D9E2F3"/>
            <w:vAlign w:val="center"/>
          </w:tcPr>
          <w:p w14:paraId="7BB396F9" w14:textId="77777777" w:rsidR="00990B14" w:rsidRDefault="00000000">
            <w:pPr>
              <w:spacing w:before="20" w:after="20"/>
              <w:jc w:val="both"/>
            </w:pPr>
            <w:r>
              <w:rPr>
                <w:sz w:val="18"/>
                <w:szCs w:val="18"/>
              </w:rPr>
              <w:t>Trabajo en equipo</w:t>
            </w:r>
          </w:p>
        </w:tc>
        <w:tc>
          <w:tcPr>
            <w:tcW w:w="1910" w:type="dxa"/>
            <w:shd w:val="clear" w:color="auto" w:fill="D9E2F3"/>
            <w:vAlign w:val="center"/>
          </w:tcPr>
          <w:p w14:paraId="33B3D6FA" w14:textId="77777777" w:rsidR="00990B14" w:rsidRDefault="00000000">
            <w:pPr>
              <w:spacing w:before="20" w:after="20"/>
              <w:jc w:val="both"/>
            </w:pPr>
            <w:r>
              <w:rPr>
                <w:sz w:val="18"/>
                <w:szCs w:val="18"/>
              </w:rPr>
              <w:t>La participación de los integrantes es desigual.</w:t>
            </w:r>
          </w:p>
        </w:tc>
        <w:tc>
          <w:tcPr>
            <w:tcW w:w="2015" w:type="dxa"/>
            <w:shd w:val="clear" w:color="auto" w:fill="D9E2F3"/>
            <w:vAlign w:val="center"/>
          </w:tcPr>
          <w:p w14:paraId="154B0CDD" w14:textId="77777777" w:rsidR="00990B14" w:rsidRDefault="00000000">
            <w:pPr>
              <w:spacing w:before="20" w:after="20"/>
              <w:jc w:val="both"/>
            </w:pPr>
            <w:r>
              <w:rPr>
                <w:sz w:val="18"/>
                <w:szCs w:val="18"/>
              </w:rPr>
              <w:t>Todos los integrantes participan.</w:t>
            </w:r>
          </w:p>
        </w:tc>
        <w:tc>
          <w:tcPr>
            <w:tcW w:w="1910" w:type="dxa"/>
            <w:shd w:val="clear" w:color="auto" w:fill="D9E2F3"/>
            <w:vAlign w:val="center"/>
          </w:tcPr>
          <w:p w14:paraId="7B393E2B" w14:textId="77777777" w:rsidR="00990B14" w:rsidRDefault="00000000">
            <w:pPr>
              <w:spacing w:before="20" w:after="20"/>
              <w:jc w:val="both"/>
            </w:pPr>
            <w:r>
              <w:rPr>
                <w:sz w:val="18"/>
                <w:szCs w:val="18"/>
              </w:rPr>
              <w:t>El equipo sustenta los reportes ante el curso.</w:t>
            </w:r>
          </w:p>
        </w:tc>
      </w:tr>
      <w:tr w:rsidR="00990B14" w14:paraId="7F38133E" w14:textId="77777777">
        <w:trPr>
          <w:cantSplit/>
          <w:jc w:val="center"/>
        </w:trPr>
        <w:tc>
          <w:tcPr>
            <w:tcW w:w="1660" w:type="dxa"/>
            <w:vMerge/>
            <w:shd w:val="clear" w:color="auto" w:fill="4472C4"/>
            <w:vAlign w:val="center"/>
          </w:tcPr>
          <w:p w14:paraId="163C081D" w14:textId="77777777" w:rsidR="00990B14" w:rsidRDefault="00990B14">
            <w:pPr>
              <w:spacing w:before="20" w:after="20"/>
            </w:pPr>
          </w:p>
        </w:tc>
        <w:tc>
          <w:tcPr>
            <w:tcW w:w="5835" w:type="dxa"/>
            <w:gridSpan w:val="3"/>
            <w:shd w:val="clear" w:color="auto" w:fill="D9E2F3"/>
            <w:vAlign w:val="center"/>
          </w:tcPr>
          <w:p w14:paraId="180FF4B0" w14:textId="77777777" w:rsidR="00990B14" w:rsidRDefault="00000000">
            <w:pPr>
              <w:keepNext/>
              <w:spacing w:before="20" w:after="20"/>
              <w:jc w:val="both"/>
            </w:pPr>
            <w:r>
              <w:rPr>
                <w:b/>
                <w:bCs/>
                <w:i/>
                <w:iCs/>
                <w:sz w:val="18"/>
                <w:szCs w:val="18"/>
              </w:rPr>
              <w:t xml:space="preserve">Producto 9: </w:t>
            </w:r>
            <w:r>
              <w:rPr>
                <w:sz w:val="18"/>
                <w:szCs w:val="18"/>
              </w:rPr>
              <w:t>Catálogo de productos</w:t>
            </w:r>
          </w:p>
        </w:tc>
        <w:tc>
          <w:tcPr>
            <w:tcW w:w="1910" w:type="dxa"/>
            <w:shd w:val="clear" w:color="auto" w:fill="D9E2F3"/>
            <w:vAlign w:val="center"/>
          </w:tcPr>
          <w:p w14:paraId="372AC799" w14:textId="77777777" w:rsidR="00990B14" w:rsidRDefault="00000000">
            <w:pPr>
              <w:spacing w:before="20" w:after="20"/>
              <w:jc w:val="center"/>
            </w:pPr>
            <w:r>
              <w:rPr>
                <w:b/>
                <w:bCs/>
                <w:sz w:val="18"/>
                <w:szCs w:val="18"/>
              </w:rPr>
              <w:t>4%</w:t>
            </w:r>
          </w:p>
        </w:tc>
      </w:tr>
      <w:tr w:rsidR="00990B14" w14:paraId="19E5ADDD" w14:textId="77777777">
        <w:trPr>
          <w:cantSplit/>
          <w:jc w:val="center"/>
        </w:trPr>
        <w:tc>
          <w:tcPr>
            <w:tcW w:w="1660" w:type="dxa"/>
            <w:vMerge/>
            <w:shd w:val="clear" w:color="auto" w:fill="4472C4"/>
            <w:vAlign w:val="center"/>
          </w:tcPr>
          <w:p w14:paraId="2547297C" w14:textId="77777777" w:rsidR="00990B14" w:rsidRDefault="00990B14">
            <w:pPr>
              <w:spacing w:before="20" w:after="20"/>
            </w:pPr>
          </w:p>
        </w:tc>
        <w:tc>
          <w:tcPr>
            <w:tcW w:w="1910" w:type="dxa"/>
            <w:shd w:val="clear" w:color="auto" w:fill="4472C4"/>
            <w:vAlign w:val="center"/>
          </w:tcPr>
          <w:p w14:paraId="360F4C8B"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03F849D1"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673477D1"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62E58329" w14:textId="77777777" w:rsidR="00990B14" w:rsidRDefault="00000000">
            <w:pPr>
              <w:keepNext/>
              <w:spacing w:before="20" w:after="20"/>
              <w:jc w:val="center"/>
            </w:pPr>
            <w:r>
              <w:rPr>
                <w:b/>
                <w:bCs/>
                <w:i/>
                <w:iCs/>
                <w:color w:val="FFFFFF"/>
                <w:sz w:val="18"/>
                <w:szCs w:val="18"/>
              </w:rPr>
              <w:t>Destacado (81–100)</w:t>
            </w:r>
          </w:p>
        </w:tc>
      </w:tr>
      <w:tr w:rsidR="00990B14" w14:paraId="27AD1958" w14:textId="77777777">
        <w:trPr>
          <w:cantSplit/>
          <w:jc w:val="center"/>
        </w:trPr>
        <w:tc>
          <w:tcPr>
            <w:tcW w:w="1660" w:type="dxa"/>
            <w:vMerge/>
            <w:shd w:val="clear" w:color="auto" w:fill="4472C4"/>
            <w:vAlign w:val="center"/>
          </w:tcPr>
          <w:p w14:paraId="1B4BB554" w14:textId="77777777" w:rsidR="00990B14" w:rsidRDefault="00990B14">
            <w:pPr>
              <w:spacing w:before="20" w:after="20"/>
            </w:pPr>
          </w:p>
        </w:tc>
        <w:tc>
          <w:tcPr>
            <w:tcW w:w="1910" w:type="dxa"/>
            <w:shd w:val="clear" w:color="auto" w:fill="D9E2F3"/>
            <w:vAlign w:val="center"/>
          </w:tcPr>
          <w:p w14:paraId="42781A47" w14:textId="77777777" w:rsidR="00990B14" w:rsidRDefault="00000000">
            <w:pPr>
              <w:spacing w:before="20" w:after="20"/>
              <w:jc w:val="both"/>
            </w:pPr>
            <w:r>
              <w:rPr>
                <w:sz w:val="18"/>
                <w:szCs w:val="18"/>
              </w:rPr>
              <w:t>Codificación</w:t>
            </w:r>
          </w:p>
        </w:tc>
        <w:tc>
          <w:tcPr>
            <w:tcW w:w="1910" w:type="dxa"/>
            <w:shd w:val="clear" w:color="auto" w:fill="D9E2F3"/>
            <w:vAlign w:val="center"/>
          </w:tcPr>
          <w:p w14:paraId="1494E991" w14:textId="77777777" w:rsidR="00990B14" w:rsidRDefault="00000000">
            <w:pPr>
              <w:spacing w:before="20" w:after="20"/>
              <w:jc w:val="both"/>
            </w:pPr>
            <w:r>
              <w:rPr>
                <w:sz w:val="18"/>
                <w:szCs w:val="18"/>
              </w:rPr>
              <w:t>Los códigos se repiten o son incoherentes.</w:t>
            </w:r>
          </w:p>
        </w:tc>
        <w:tc>
          <w:tcPr>
            <w:tcW w:w="2015" w:type="dxa"/>
            <w:shd w:val="clear" w:color="auto" w:fill="D9E2F3"/>
            <w:vAlign w:val="center"/>
          </w:tcPr>
          <w:p w14:paraId="2FD11600" w14:textId="77777777" w:rsidR="00990B14" w:rsidRDefault="00000000">
            <w:pPr>
              <w:spacing w:before="20" w:after="20"/>
              <w:jc w:val="both"/>
            </w:pPr>
            <w:r>
              <w:rPr>
                <w:sz w:val="18"/>
                <w:szCs w:val="18"/>
              </w:rPr>
              <w:t>Asigna códigos únicos y ordenados.</w:t>
            </w:r>
          </w:p>
        </w:tc>
        <w:tc>
          <w:tcPr>
            <w:tcW w:w="1910" w:type="dxa"/>
            <w:shd w:val="clear" w:color="auto" w:fill="D9E2F3"/>
            <w:vAlign w:val="center"/>
          </w:tcPr>
          <w:p w14:paraId="0345CBEE" w14:textId="77777777" w:rsidR="00990B14" w:rsidRDefault="00000000">
            <w:pPr>
              <w:spacing w:before="20" w:after="20"/>
              <w:jc w:val="both"/>
            </w:pPr>
            <w:r>
              <w:rPr>
                <w:sz w:val="18"/>
                <w:szCs w:val="18"/>
              </w:rPr>
              <w:t>Usa códigos QR legibles por el sistema.</w:t>
            </w:r>
          </w:p>
        </w:tc>
      </w:tr>
      <w:tr w:rsidR="00990B14" w14:paraId="5AEC1A8D" w14:textId="77777777">
        <w:trPr>
          <w:cantSplit/>
          <w:jc w:val="center"/>
        </w:trPr>
        <w:tc>
          <w:tcPr>
            <w:tcW w:w="1660" w:type="dxa"/>
            <w:vMerge/>
            <w:shd w:val="clear" w:color="auto" w:fill="4472C4"/>
            <w:vAlign w:val="center"/>
          </w:tcPr>
          <w:p w14:paraId="36B1FB12" w14:textId="77777777" w:rsidR="00990B14" w:rsidRDefault="00990B14">
            <w:pPr>
              <w:spacing w:before="20" w:after="20"/>
            </w:pPr>
          </w:p>
        </w:tc>
        <w:tc>
          <w:tcPr>
            <w:tcW w:w="1910" w:type="dxa"/>
            <w:shd w:val="clear" w:color="auto" w:fill="D9E2F3"/>
            <w:vAlign w:val="center"/>
          </w:tcPr>
          <w:p w14:paraId="64F9B190" w14:textId="77777777" w:rsidR="00990B14" w:rsidRDefault="00000000">
            <w:pPr>
              <w:spacing w:before="20" w:after="20"/>
              <w:jc w:val="both"/>
            </w:pPr>
            <w:r>
              <w:rPr>
                <w:sz w:val="18"/>
                <w:szCs w:val="18"/>
              </w:rPr>
              <w:t>Parametrización</w:t>
            </w:r>
          </w:p>
        </w:tc>
        <w:tc>
          <w:tcPr>
            <w:tcW w:w="1910" w:type="dxa"/>
            <w:shd w:val="clear" w:color="auto" w:fill="D9E2F3"/>
            <w:vAlign w:val="center"/>
          </w:tcPr>
          <w:p w14:paraId="5A1DBADA" w14:textId="77777777" w:rsidR="00990B14" w:rsidRDefault="00000000">
            <w:pPr>
              <w:spacing w:before="20" w:after="20"/>
              <w:jc w:val="both"/>
            </w:pPr>
            <w:r>
              <w:rPr>
                <w:sz w:val="18"/>
                <w:szCs w:val="18"/>
              </w:rPr>
              <w:t>Omite unidades de medida o métodos.</w:t>
            </w:r>
          </w:p>
        </w:tc>
        <w:tc>
          <w:tcPr>
            <w:tcW w:w="2015" w:type="dxa"/>
            <w:shd w:val="clear" w:color="auto" w:fill="D9E2F3"/>
            <w:vAlign w:val="center"/>
          </w:tcPr>
          <w:p w14:paraId="4196195B" w14:textId="77777777" w:rsidR="00990B14" w:rsidRDefault="00000000">
            <w:pPr>
              <w:spacing w:before="20" w:after="20"/>
              <w:jc w:val="both"/>
            </w:pPr>
            <w:r>
              <w:rPr>
                <w:sz w:val="18"/>
                <w:szCs w:val="18"/>
              </w:rPr>
              <w:t>Parametriza las unidades, los almacenes y el método de valuación.</w:t>
            </w:r>
          </w:p>
        </w:tc>
        <w:tc>
          <w:tcPr>
            <w:tcW w:w="1910" w:type="dxa"/>
            <w:shd w:val="clear" w:color="auto" w:fill="D9E2F3"/>
            <w:vAlign w:val="center"/>
          </w:tcPr>
          <w:p w14:paraId="3657A1EF" w14:textId="77777777" w:rsidR="00990B14" w:rsidRDefault="00000000">
            <w:pPr>
              <w:spacing w:before="20" w:after="20"/>
              <w:jc w:val="both"/>
            </w:pPr>
            <w:r>
              <w:rPr>
                <w:sz w:val="18"/>
                <w:szCs w:val="18"/>
              </w:rPr>
              <w:t>Justifica el método elegido conforme a la NIC 2.</w:t>
            </w:r>
          </w:p>
        </w:tc>
      </w:tr>
      <w:tr w:rsidR="00990B14" w14:paraId="5D3FACD1" w14:textId="77777777">
        <w:trPr>
          <w:cantSplit/>
          <w:jc w:val="center"/>
        </w:trPr>
        <w:tc>
          <w:tcPr>
            <w:tcW w:w="1660" w:type="dxa"/>
            <w:vMerge/>
            <w:shd w:val="clear" w:color="auto" w:fill="4472C4"/>
            <w:vAlign w:val="center"/>
          </w:tcPr>
          <w:p w14:paraId="2EC36D10" w14:textId="77777777" w:rsidR="00990B14" w:rsidRDefault="00990B14">
            <w:pPr>
              <w:spacing w:before="20" w:after="20"/>
            </w:pPr>
          </w:p>
        </w:tc>
        <w:tc>
          <w:tcPr>
            <w:tcW w:w="1910" w:type="dxa"/>
            <w:shd w:val="clear" w:color="auto" w:fill="D9E2F3"/>
            <w:vAlign w:val="center"/>
          </w:tcPr>
          <w:p w14:paraId="1A3BD07D" w14:textId="77777777" w:rsidR="00990B14" w:rsidRDefault="00000000">
            <w:pPr>
              <w:spacing w:before="20" w:after="20"/>
              <w:jc w:val="both"/>
            </w:pPr>
            <w:r>
              <w:rPr>
                <w:sz w:val="18"/>
                <w:szCs w:val="18"/>
              </w:rPr>
              <w:t>Presentación</w:t>
            </w:r>
          </w:p>
        </w:tc>
        <w:tc>
          <w:tcPr>
            <w:tcW w:w="1910" w:type="dxa"/>
            <w:shd w:val="clear" w:color="auto" w:fill="D9E2F3"/>
            <w:vAlign w:val="center"/>
          </w:tcPr>
          <w:p w14:paraId="03B9FE71" w14:textId="77777777" w:rsidR="00990B14" w:rsidRDefault="00000000">
            <w:pPr>
              <w:spacing w:before="20" w:after="20"/>
              <w:jc w:val="both"/>
            </w:pPr>
            <w:r>
              <w:rPr>
                <w:sz w:val="18"/>
                <w:szCs w:val="18"/>
              </w:rPr>
              <w:t>El catálogo es incompleto.</w:t>
            </w:r>
          </w:p>
        </w:tc>
        <w:tc>
          <w:tcPr>
            <w:tcW w:w="2015" w:type="dxa"/>
            <w:shd w:val="clear" w:color="auto" w:fill="D9E2F3"/>
            <w:vAlign w:val="center"/>
          </w:tcPr>
          <w:p w14:paraId="1162DCEA" w14:textId="77777777" w:rsidR="00990B14" w:rsidRDefault="00000000">
            <w:pPr>
              <w:spacing w:before="20" w:after="20"/>
              <w:jc w:val="both"/>
            </w:pPr>
            <w:r>
              <w:rPr>
                <w:sz w:val="18"/>
                <w:szCs w:val="18"/>
              </w:rPr>
              <w:t>El catálogo es claro y completo.</w:t>
            </w:r>
          </w:p>
        </w:tc>
        <w:tc>
          <w:tcPr>
            <w:tcW w:w="1910" w:type="dxa"/>
            <w:shd w:val="clear" w:color="auto" w:fill="D9E2F3"/>
            <w:vAlign w:val="center"/>
          </w:tcPr>
          <w:p w14:paraId="18C1C8C3" w14:textId="77777777" w:rsidR="00990B14" w:rsidRDefault="00000000">
            <w:pPr>
              <w:spacing w:before="20" w:after="20"/>
              <w:jc w:val="both"/>
            </w:pPr>
            <w:r>
              <w:rPr>
                <w:sz w:val="18"/>
                <w:szCs w:val="18"/>
              </w:rPr>
              <w:t>El catálogo admite la importación masiva de datos.</w:t>
            </w:r>
          </w:p>
        </w:tc>
      </w:tr>
      <w:tr w:rsidR="00990B14" w14:paraId="17FC157E" w14:textId="77777777">
        <w:trPr>
          <w:cantSplit/>
          <w:jc w:val="center"/>
        </w:trPr>
        <w:tc>
          <w:tcPr>
            <w:tcW w:w="1660" w:type="dxa"/>
            <w:vMerge/>
            <w:shd w:val="clear" w:color="auto" w:fill="4472C4"/>
            <w:vAlign w:val="center"/>
          </w:tcPr>
          <w:p w14:paraId="6ED5AECE" w14:textId="77777777" w:rsidR="00990B14" w:rsidRDefault="00990B14">
            <w:pPr>
              <w:spacing w:before="20" w:after="20"/>
            </w:pPr>
          </w:p>
        </w:tc>
        <w:tc>
          <w:tcPr>
            <w:tcW w:w="5835" w:type="dxa"/>
            <w:gridSpan w:val="3"/>
            <w:shd w:val="clear" w:color="auto" w:fill="D9E2F3"/>
            <w:vAlign w:val="center"/>
          </w:tcPr>
          <w:p w14:paraId="16A00FB9" w14:textId="77777777" w:rsidR="00990B14" w:rsidRDefault="00000000">
            <w:pPr>
              <w:keepNext/>
              <w:spacing w:before="20" w:after="20"/>
              <w:jc w:val="both"/>
            </w:pPr>
            <w:r>
              <w:rPr>
                <w:b/>
                <w:bCs/>
                <w:i/>
                <w:iCs/>
                <w:sz w:val="18"/>
                <w:szCs w:val="18"/>
              </w:rPr>
              <w:t xml:space="preserve">Producto 10: </w:t>
            </w:r>
            <w:r>
              <w:rPr>
                <w:sz w:val="18"/>
                <w:szCs w:val="18"/>
              </w:rPr>
              <w:t>Kardex físico valorado</w:t>
            </w:r>
          </w:p>
        </w:tc>
        <w:tc>
          <w:tcPr>
            <w:tcW w:w="1910" w:type="dxa"/>
            <w:shd w:val="clear" w:color="auto" w:fill="D9E2F3"/>
            <w:vAlign w:val="center"/>
          </w:tcPr>
          <w:p w14:paraId="1587DB7D" w14:textId="77777777" w:rsidR="00990B14" w:rsidRDefault="00000000">
            <w:pPr>
              <w:spacing w:before="20" w:after="20"/>
              <w:jc w:val="center"/>
            </w:pPr>
            <w:r>
              <w:rPr>
                <w:b/>
                <w:bCs/>
                <w:sz w:val="18"/>
                <w:szCs w:val="18"/>
              </w:rPr>
              <w:t>4%</w:t>
            </w:r>
          </w:p>
        </w:tc>
      </w:tr>
      <w:tr w:rsidR="00990B14" w14:paraId="7F2EB410" w14:textId="77777777">
        <w:trPr>
          <w:cantSplit/>
          <w:jc w:val="center"/>
        </w:trPr>
        <w:tc>
          <w:tcPr>
            <w:tcW w:w="1660" w:type="dxa"/>
            <w:vMerge/>
            <w:shd w:val="clear" w:color="auto" w:fill="4472C4"/>
            <w:vAlign w:val="center"/>
          </w:tcPr>
          <w:p w14:paraId="3CD13666" w14:textId="77777777" w:rsidR="00990B14" w:rsidRDefault="00990B14">
            <w:pPr>
              <w:spacing w:before="20" w:after="20"/>
            </w:pPr>
          </w:p>
        </w:tc>
        <w:tc>
          <w:tcPr>
            <w:tcW w:w="1910" w:type="dxa"/>
            <w:shd w:val="clear" w:color="auto" w:fill="4472C4"/>
            <w:vAlign w:val="center"/>
          </w:tcPr>
          <w:p w14:paraId="4120C6AA"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217238E8"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35FDEB42"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693707AF" w14:textId="77777777" w:rsidR="00990B14" w:rsidRDefault="00000000">
            <w:pPr>
              <w:keepNext/>
              <w:spacing w:before="20" w:after="20"/>
              <w:jc w:val="center"/>
            </w:pPr>
            <w:r>
              <w:rPr>
                <w:b/>
                <w:bCs/>
                <w:i/>
                <w:iCs/>
                <w:color w:val="FFFFFF"/>
                <w:sz w:val="18"/>
                <w:szCs w:val="18"/>
              </w:rPr>
              <w:t>Destacado (81–100)</w:t>
            </w:r>
          </w:p>
        </w:tc>
      </w:tr>
      <w:tr w:rsidR="00990B14" w14:paraId="363672F9" w14:textId="77777777">
        <w:trPr>
          <w:cantSplit/>
          <w:jc w:val="center"/>
        </w:trPr>
        <w:tc>
          <w:tcPr>
            <w:tcW w:w="1660" w:type="dxa"/>
            <w:vMerge/>
            <w:shd w:val="clear" w:color="auto" w:fill="4472C4"/>
            <w:vAlign w:val="center"/>
          </w:tcPr>
          <w:p w14:paraId="3DBED4CE" w14:textId="77777777" w:rsidR="00990B14" w:rsidRDefault="00990B14">
            <w:pPr>
              <w:spacing w:before="20" w:after="20"/>
            </w:pPr>
          </w:p>
        </w:tc>
        <w:tc>
          <w:tcPr>
            <w:tcW w:w="1910" w:type="dxa"/>
            <w:shd w:val="clear" w:color="auto" w:fill="D9E2F3"/>
            <w:vAlign w:val="center"/>
          </w:tcPr>
          <w:p w14:paraId="5CF6BA93" w14:textId="77777777" w:rsidR="00990B14" w:rsidRDefault="00000000">
            <w:pPr>
              <w:spacing w:before="20" w:after="20"/>
              <w:jc w:val="both"/>
            </w:pPr>
            <w:r>
              <w:rPr>
                <w:sz w:val="18"/>
                <w:szCs w:val="18"/>
              </w:rPr>
              <w:t>Registro de movimientos</w:t>
            </w:r>
          </w:p>
        </w:tc>
        <w:tc>
          <w:tcPr>
            <w:tcW w:w="1910" w:type="dxa"/>
            <w:shd w:val="clear" w:color="auto" w:fill="D9E2F3"/>
            <w:vAlign w:val="center"/>
          </w:tcPr>
          <w:p w14:paraId="00608E25" w14:textId="77777777" w:rsidR="00990B14" w:rsidRDefault="00000000">
            <w:pPr>
              <w:spacing w:before="20" w:after="20"/>
              <w:jc w:val="both"/>
            </w:pPr>
            <w:r>
              <w:rPr>
                <w:sz w:val="18"/>
                <w:szCs w:val="18"/>
              </w:rPr>
              <w:t>Omite movimientos del caso.</w:t>
            </w:r>
          </w:p>
        </w:tc>
        <w:tc>
          <w:tcPr>
            <w:tcW w:w="2015" w:type="dxa"/>
            <w:shd w:val="clear" w:color="auto" w:fill="D9E2F3"/>
            <w:vAlign w:val="center"/>
          </w:tcPr>
          <w:p w14:paraId="1339D4C5" w14:textId="77777777" w:rsidR="00990B14" w:rsidRDefault="00000000">
            <w:pPr>
              <w:spacing w:before="20" w:after="20"/>
              <w:jc w:val="both"/>
            </w:pPr>
            <w:r>
              <w:rPr>
                <w:sz w:val="18"/>
                <w:szCs w:val="18"/>
              </w:rPr>
              <w:t>Registra todas las entradas, salidas y traspasos.</w:t>
            </w:r>
          </w:p>
        </w:tc>
        <w:tc>
          <w:tcPr>
            <w:tcW w:w="1910" w:type="dxa"/>
            <w:shd w:val="clear" w:color="auto" w:fill="D9E2F3"/>
            <w:vAlign w:val="center"/>
          </w:tcPr>
          <w:p w14:paraId="2CA44D4E" w14:textId="77777777" w:rsidR="00990B14" w:rsidRDefault="00000000">
            <w:pPr>
              <w:spacing w:before="20" w:after="20"/>
              <w:jc w:val="both"/>
            </w:pPr>
            <w:r>
              <w:rPr>
                <w:sz w:val="18"/>
                <w:szCs w:val="18"/>
              </w:rPr>
              <w:t>Corrige los movimientos erróneos con el procedimiento del sistema.</w:t>
            </w:r>
          </w:p>
        </w:tc>
      </w:tr>
      <w:tr w:rsidR="00990B14" w14:paraId="1DEDA6F8" w14:textId="77777777">
        <w:trPr>
          <w:cantSplit/>
          <w:jc w:val="center"/>
        </w:trPr>
        <w:tc>
          <w:tcPr>
            <w:tcW w:w="1660" w:type="dxa"/>
            <w:vMerge/>
            <w:shd w:val="clear" w:color="auto" w:fill="4472C4"/>
            <w:vAlign w:val="center"/>
          </w:tcPr>
          <w:p w14:paraId="61E58B01" w14:textId="77777777" w:rsidR="00990B14" w:rsidRDefault="00990B14">
            <w:pPr>
              <w:spacing w:before="20" w:after="20"/>
            </w:pPr>
          </w:p>
        </w:tc>
        <w:tc>
          <w:tcPr>
            <w:tcW w:w="1910" w:type="dxa"/>
            <w:shd w:val="clear" w:color="auto" w:fill="D9E2F3"/>
            <w:vAlign w:val="center"/>
          </w:tcPr>
          <w:p w14:paraId="3E128951" w14:textId="77777777" w:rsidR="00990B14" w:rsidRDefault="00000000">
            <w:pPr>
              <w:spacing w:before="20" w:after="20"/>
              <w:jc w:val="both"/>
            </w:pPr>
            <w:r>
              <w:rPr>
                <w:sz w:val="18"/>
                <w:szCs w:val="18"/>
              </w:rPr>
              <w:t>Valuación</w:t>
            </w:r>
          </w:p>
        </w:tc>
        <w:tc>
          <w:tcPr>
            <w:tcW w:w="1910" w:type="dxa"/>
            <w:shd w:val="clear" w:color="auto" w:fill="D9E2F3"/>
            <w:vAlign w:val="center"/>
          </w:tcPr>
          <w:p w14:paraId="682ACE1A" w14:textId="77777777" w:rsidR="00990B14" w:rsidRDefault="00000000">
            <w:pPr>
              <w:spacing w:before="20" w:after="20"/>
              <w:jc w:val="both"/>
            </w:pPr>
            <w:r>
              <w:rPr>
                <w:sz w:val="18"/>
                <w:szCs w:val="18"/>
              </w:rPr>
              <w:t>Aplica el método con errores.</w:t>
            </w:r>
          </w:p>
        </w:tc>
        <w:tc>
          <w:tcPr>
            <w:tcW w:w="2015" w:type="dxa"/>
            <w:shd w:val="clear" w:color="auto" w:fill="D9E2F3"/>
            <w:vAlign w:val="center"/>
          </w:tcPr>
          <w:p w14:paraId="4D31A7F1" w14:textId="77777777" w:rsidR="00990B14" w:rsidRDefault="00000000">
            <w:pPr>
              <w:spacing w:before="20" w:after="20"/>
              <w:jc w:val="both"/>
            </w:pPr>
            <w:r>
              <w:rPr>
                <w:sz w:val="18"/>
                <w:szCs w:val="18"/>
              </w:rPr>
              <w:t>Valúa las existencias con el método parametrizado.</w:t>
            </w:r>
          </w:p>
        </w:tc>
        <w:tc>
          <w:tcPr>
            <w:tcW w:w="1910" w:type="dxa"/>
            <w:shd w:val="clear" w:color="auto" w:fill="D9E2F3"/>
            <w:vAlign w:val="center"/>
          </w:tcPr>
          <w:p w14:paraId="0504A2FE" w14:textId="77777777" w:rsidR="00990B14" w:rsidRDefault="00000000">
            <w:pPr>
              <w:spacing w:before="20" w:after="20"/>
              <w:jc w:val="both"/>
            </w:pPr>
            <w:r>
              <w:rPr>
                <w:sz w:val="18"/>
                <w:szCs w:val="18"/>
              </w:rPr>
              <w:t>Compara el resultado con otro método de valuación.</w:t>
            </w:r>
          </w:p>
        </w:tc>
      </w:tr>
      <w:tr w:rsidR="00990B14" w14:paraId="3FEBC312" w14:textId="77777777">
        <w:trPr>
          <w:cantSplit/>
          <w:jc w:val="center"/>
        </w:trPr>
        <w:tc>
          <w:tcPr>
            <w:tcW w:w="1660" w:type="dxa"/>
            <w:vMerge/>
            <w:shd w:val="clear" w:color="auto" w:fill="4472C4"/>
            <w:vAlign w:val="center"/>
          </w:tcPr>
          <w:p w14:paraId="412B3084" w14:textId="77777777" w:rsidR="00990B14" w:rsidRDefault="00990B14">
            <w:pPr>
              <w:spacing w:before="20" w:after="20"/>
            </w:pPr>
          </w:p>
        </w:tc>
        <w:tc>
          <w:tcPr>
            <w:tcW w:w="1910" w:type="dxa"/>
            <w:shd w:val="clear" w:color="auto" w:fill="D9E2F3"/>
            <w:vAlign w:val="center"/>
          </w:tcPr>
          <w:p w14:paraId="30F1092D" w14:textId="77777777" w:rsidR="00990B14" w:rsidRDefault="00000000">
            <w:pPr>
              <w:spacing w:before="20" w:after="20"/>
              <w:jc w:val="both"/>
            </w:pPr>
            <w:r>
              <w:rPr>
                <w:sz w:val="18"/>
                <w:szCs w:val="18"/>
              </w:rPr>
              <w:t>Costo de ventas</w:t>
            </w:r>
          </w:p>
        </w:tc>
        <w:tc>
          <w:tcPr>
            <w:tcW w:w="1910" w:type="dxa"/>
            <w:shd w:val="clear" w:color="auto" w:fill="D9E2F3"/>
            <w:vAlign w:val="center"/>
          </w:tcPr>
          <w:p w14:paraId="29F9D94B" w14:textId="77777777" w:rsidR="00990B14" w:rsidRDefault="00000000">
            <w:pPr>
              <w:spacing w:before="20" w:after="20"/>
              <w:jc w:val="both"/>
            </w:pPr>
            <w:r>
              <w:rPr>
                <w:sz w:val="18"/>
                <w:szCs w:val="18"/>
              </w:rPr>
              <w:t>No determina el costo de ventas.</w:t>
            </w:r>
          </w:p>
        </w:tc>
        <w:tc>
          <w:tcPr>
            <w:tcW w:w="2015" w:type="dxa"/>
            <w:shd w:val="clear" w:color="auto" w:fill="D9E2F3"/>
            <w:vAlign w:val="center"/>
          </w:tcPr>
          <w:p w14:paraId="7111D2D5" w14:textId="77777777" w:rsidR="00990B14" w:rsidRDefault="00000000">
            <w:pPr>
              <w:spacing w:before="20" w:after="20"/>
              <w:jc w:val="both"/>
            </w:pPr>
            <w:r>
              <w:rPr>
                <w:sz w:val="18"/>
                <w:szCs w:val="18"/>
              </w:rPr>
              <w:t>Determina el costo de ventas del periodo.</w:t>
            </w:r>
          </w:p>
        </w:tc>
        <w:tc>
          <w:tcPr>
            <w:tcW w:w="1910" w:type="dxa"/>
            <w:shd w:val="clear" w:color="auto" w:fill="D9E2F3"/>
            <w:vAlign w:val="center"/>
          </w:tcPr>
          <w:p w14:paraId="53D2253F" w14:textId="77777777" w:rsidR="00990B14" w:rsidRDefault="00000000">
            <w:pPr>
              <w:spacing w:before="20" w:after="20"/>
              <w:jc w:val="both"/>
            </w:pPr>
            <w:r>
              <w:rPr>
                <w:sz w:val="18"/>
                <w:szCs w:val="18"/>
              </w:rPr>
              <w:t>Concilia el costo de ventas con la contabilidad.</w:t>
            </w:r>
          </w:p>
        </w:tc>
      </w:tr>
      <w:tr w:rsidR="00990B14" w14:paraId="7622D9DC" w14:textId="77777777">
        <w:trPr>
          <w:cantSplit/>
          <w:jc w:val="center"/>
        </w:trPr>
        <w:tc>
          <w:tcPr>
            <w:tcW w:w="1660" w:type="dxa"/>
            <w:vMerge/>
            <w:shd w:val="clear" w:color="auto" w:fill="4472C4"/>
            <w:vAlign w:val="center"/>
          </w:tcPr>
          <w:p w14:paraId="52A75391" w14:textId="77777777" w:rsidR="00990B14" w:rsidRDefault="00990B14">
            <w:pPr>
              <w:spacing w:before="20" w:after="20"/>
            </w:pPr>
          </w:p>
        </w:tc>
        <w:tc>
          <w:tcPr>
            <w:tcW w:w="5835" w:type="dxa"/>
            <w:gridSpan w:val="3"/>
            <w:shd w:val="clear" w:color="auto" w:fill="D9E2F3"/>
            <w:vAlign w:val="center"/>
          </w:tcPr>
          <w:p w14:paraId="783DCD32" w14:textId="77777777" w:rsidR="00990B14" w:rsidRDefault="00000000">
            <w:pPr>
              <w:keepNext/>
              <w:spacing w:before="20" w:after="20"/>
              <w:jc w:val="both"/>
            </w:pPr>
            <w:r>
              <w:rPr>
                <w:b/>
                <w:bCs/>
                <w:i/>
                <w:iCs/>
                <w:sz w:val="18"/>
                <w:szCs w:val="18"/>
              </w:rPr>
              <w:t xml:space="preserve">Producto 11: </w:t>
            </w:r>
            <w:r>
              <w:rPr>
                <w:sz w:val="18"/>
                <w:szCs w:val="18"/>
              </w:rPr>
              <w:t>Punto de venta integrado</w:t>
            </w:r>
          </w:p>
        </w:tc>
        <w:tc>
          <w:tcPr>
            <w:tcW w:w="1910" w:type="dxa"/>
            <w:shd w:val="clear" w:color="auto" w:fill="D9E2F3"/>
            <w:vAlign w:val="center"/>
          </w:tcPr>
          <w:p w14:paraId="75F5EA1A" w14:textId="77777777" w:rsidR="00990B14" w:rsidRDefault="00000000">
            <w:pPr>
              <w:spacing w:before="20" w:after="20"/>
              <w:jc w:val="center"/>
            </w:pPr>
            <w:r>
              <w:rPr>
                <w:b/>
                <w:bCs/>
                <w:sz w:val="18"/>
                <w:szCs w:val="18"/>
              </w:rPr>
              <w:t>4%</w:t>
            </w:r>
          </w:p>
        </w:tc>
      </w:tr>
      <w:tr w:rsidR="00990B14" w14:paraId="0ACD8551" w14:textId="77777777">
        <w:trPr>
          <w:cantSplit/>
          <w:jc w:val="center"/>
        </w:trPr>
        <w:tc>
          <w:tcPr>
            <w:tcW w:w="1660" w:type="dxa"/>
            <w:vMerge/>
            <w:shd w:val="clear" w:color="auto" w:fill="4472C4"/>
            <w:vAlign w:val="center"/>
          </w:tcPr>
          <w:p w14:paraId="320CB4D9" w14:textId="77777777" w:rsidR="00990B14" w:rsidRDefault="00990B14">
            <w:pPr>
              <w:spacing w:before="20" w:after="20"/>
            </w:pPr>
          </w:p>
        </w:tc>
        <w:tc>
          <w:tcPr>
            <w:tcW w:w="1910" w:type="dxa"/>
            <w:shd w:val="clear" w:color="auto" w:fill="4472C4"/>
            <w:vAlign w:val="center"/>
          </w:tcPr>
          <w:p w14:paraId="2C82C046"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2F17164C"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23BF256C"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770B6278" w14:textId="77777777" w:rsidR="00990B14" w:rsidRDefault="00000000">
            <w:pPr>
              <w:keepNext/>
              <w:spacing w:before="20" w:after="20"/>
              <w:jc w:val="center"/>
            </w:pPr>
            <w:r>
              <w:rPr>
                <w:b/>
                <w:bCs/>
                <w:i/>
                <w:iCs/>
                <w:color w:val="FFFFFF"/>
                <w:sz w:val="18"/>
                <w:szCs w:val="18"/>
              </w:rPr>
              <w:t>Destacado (81–100)</w:t>
            </w:r>
          </w:p>
        </w:tc>
      </w:tr>
      <w:tr w:rsidR="00990B14" w14:paraId="29298A18" w14:textId="77777777">
        <w:trPr>
          <w:cantSplit/>
          <w:jc w:val="center"/>
        </w:trPr>
        <w:tc>
          <w:tcPr>
            <w:tcW w:w="1660" w:type="dxa"/>
            <w:vMerge/>
            <w:shd w:val="clear" w:color="auto" w:fill="4472C4"/>
            <w:vAlign w:val="center"/>
          </w:tcPr>
          <w:p w14:paraId="09802150" w14:textId="77777777" w:rsidR="00990B14" w:rsidRDefault="00990B14">
            <w:pPr>
              <w:spacing w:before="20" w:after="20"/>
            </w:pPr>
          </w:p>
        </w:tc>
        <w:tc>
          <w:tcPr>
            <w:tcW w:w="1910" w:type="dxa"/>
            <w:shd w:val="clear" w:color="auto" w:fill="D9E2F3"/>
            <w:vAlign w:val="center"/>
          </w:tcPr>
          <w:p w14:paraId="138AA5F9" w14:textId="77777777" w:rsidR="00990B14" w:rsidRDefault="00000000">
            <w:pPr>
              <w:spacing w:before="20" w:after="20"/>
              <w:jc w:val="both"/>
            </w:pPr>
            <w:r>
              <w:rPr>
                <w:sz w:val="18"/>
                <w:szCs w:val="18"/>
              </w:rPr>
              <w:t>Configuración del punto de venta</w:t>
            </w:r>
          </w:p>
        </w:tc>
        <w:tc>
          <w:tcPr>
            <w:tcW w:w="1910" w:type="dxa"/>
            <w:shd w:val="clear" w:color="auto" w:fill="D9E2F3"/>
            <w:vAlign w:val="center"/>
          </w:tcPr>
          <w:p w14:paraId="490E05DE" w14:textId="77777777" w:rsidR="00990B14" w:rsidRDefault="00000000">
            <w:pPr>
              <w:spacing w:before="20" w:after="20"/>
              <w:jc w:val="both"/>
            </w:pPr>
            <w:r>
              <w:rPr>
                <w:sz w:val="18"/>
                <w:szCs w:val="18"/>
              </w:rPr>
              <w:t>La configuración es incompleta.</w:t>
            </w:r>
          </w:p>
        </w:tc>
        <w:tc>
          <w:tcPr>
            <w:tcW w:w="2015" w:type="dxa"/>
            <w:shd w:val="clear" w:color="auto" w:fill="D9E2F3"/>
            <w:vAlign w:val="center"/>
          </w:tcPr>
          <w:p w14:paraId="3A03E945" w14:textId="77777777" w:rsidR="00990B14" w:rsidRDefault="00000000">
            <w:pPr>
              <w:spacing w:before="20" w:after="20"/>
              <w:jc w:val="both"/>
            </w:pPr>
            <w:r>
              <w:rPr>
                <w:sz w:val="18"/>
                <w:szCs w:val="18"/>
              </w:rPr>
              <w:t>Configura los productos, los precios y los usuarios.</w:t>
            </w:r>
          </w:p>
        </w:tc>
        <w:tc>
          <w:tcPr>
            <w:tcW w:w="1910" w:type="dxa"/>
            <w:shd w:val="clear" w:color="auto" w:fill="D9E2F3"/>
            <w:vAlign w:val="center"/>
          </w:tcPr>
          <w:p w14:paraId="4318CAD1" w14:textId="77777777" w:rsidR="00990B14" w:rsidRDefault="00000000">
            <w:pPr>
              <w:spacing w:before="20" w:after="20"/>
              <w:jc w:val="both"/>
            </w:pPr>
            <w:r>
              <w:rPr>
                <w:sz w:val="18"/>
                <w:szCs w:val="18"/>
              </w:rPr>
              <w:t>Habilita los perfiles de seguridad por usuario.</w:t>
            </w:r>
          </w:p>
        </w:tc>
      </w:tr>
      <w:tr w:rsidR="00990B14" w14:paraId="3BEC6FD2" w14:textId="77777777">
        <w:trPr>
          <w:cantSplit/>
          <w:jc w:val="center"/>
        </w:trPr>
        <w:tc>
          <w:tcPr>
            <w:tcW w:w="1660" w:type="dxa"/>
            <w:vMerge/>
            <w:shd w:val="clear" w:color="auto" w:fill="4472C4"/>
            <w:vAlign w:val="center"/>
          </w:tcPr>
          <w:p w14:paraId="39A39036" w14:textId="77777777" w:rsidR="00990B14" w:rsidRDefault="00990B14">
            <w:pPr>
              <w:spacing w:before="20" w:after="20"/>
            </w:pPr>
          </w:p>
        </w:tc>
        <w:tc>
          <w:tcPr>
            <w:tcW w:w="1910" w:type="dxa"/>
            <w:shd w:val="clear" w:color="auto" w:fill="D9E2F3"/>
            <w:vAlign w:val="center"/>
          </w:tcPr>
          <w:p w14:paraId="52E04B1F" w14:textId="77777777" w:rsidR="00990B14" w:rsidRDefault="00000000">
            <w:pPr>
              <w:spacing w:before="20" w:after="20"/>
              <w:jc w:val="both"/>
            </w:pPr>
            <w:r>
              <w:rPr>
                <w:sz w:val="18"/>
                <w:szCs w:val="18"/>
              </w:rPr>
              <w:t>Integración</w:t>
            </w:r>
          </w:p>
        </w:tc>
        <w:tc>
          <w:tcPr>
            <w:tcW w:w="1910" w:type="dxa"/>
            <w:shd w:val="clear" w:color="auto" w:fill="D9E2F3"/>
            <w:vAlign w:val="center"/>
          </w:tcPr>
          <w:p w14:paraId="01AEC67F" w14:textId="77777777" w:rsidR="00990B14" w:rsidRDefault="00000000">
            <w:pPr>
              <w:spacing w:before="20" w:after="20"/>
              <w:jc w:val="both"/>
            </w:pPr>
            <w:r>
              <w:rPr>
                <w:sz w:val="18"/>
                <w:szCs w:val="18"/>
              </w:rPr>
              <w:t>La venta no descarga el inventario.</w:t>
            </w:r>
          </w:p>
        </w:tc>
        <w:tc>
          <w:tcPr>
            <w:tcW w:w="2015" w:type="dxa"/>
            <w:shd w:val="clear" w:color="auto" w:fill="D9E2F3"/>
            <w:vAlign w:val="center"/>
          </w:tcPr>
          <w:p w14:paraId="2901AEA2" w14:textId="77777777" w:rsidR="00990B14" w:rsidRDefault="00000000">
            <w:pPr>
              <w:spacing w:before="20" w:after="20"/>
              <w:jc w:val="both"/>
            </w:pPr>
            <w:r>
              <w:rPr>
                <w:sz w:val="18"/>
                <w:szCs w:val="18"/>
              </w:rPr>
              <w:t>La venta descarga el inventario y emite la factura.</w:t>
            </w:r>
          </w:p>
        </w:tc>
        <w:tc>
          <w:tcPr>
            <w:tcW w:w="1910" w:type="dxa"/>
            <w:shd w:val="clear" w:color="auto" w:fill="D9E2F3"/>
            <w:vAlign w:val="center"/>
          </w:tcPr>
          <w:p w14:paraId="4095550B" w14:textId="77777777" w:rsidR="00990B14" w:rsidRDefault="00000000">
            <w:pPr>
              <w:spacing w:before="20" w:after="20"/>
              <w:jc w:val="both"/>
            </w:pPr>
            <w:r>
              <w:rPr>
                <w:sz w:val="18"/>
                <w:szCs w:val="18"/>
              </w:rPr>
              <w:t>Verifica el código de autorización y el código QR de la factura.</w:t>
            </w:r>
          </w:p>
        </w:tc>
      </w:tr>
      <w:tr w:rsidR="00990B14" w14:paraId="058D3622" w14:textId="77777777">
        <w:trPr>
          <w:cantSplit/>
          <w:jc w:val="center"/>
        </w:trPr>
        <w:tc>
          <w:tcPr>
            <w:tcW w:w="1660" w:type="dxa"/>
            <w:vMerge/>
            <w:shd w:val="clear" w:color="auto" w:fill="4472C4"/>
            <w:vAlign w:val="center"/>
          </w:tcPr>
          <w:p w14:paraId="788AA98C" w14:textId="77777777" w:rsidR="00990B14" w:rsidRDefault="00990B14">
            <w:pPr>
              <w:spacing w:before="20" w:after="20"/>
            </w:pPr>
          </w:p>
        </w:tc>
        <w:tc>
          <w:tcPr>
            <w:tcW w:w="1910" w:type="dxa"/>
            <w:shd w:val="clear" w:color="auto" w:fill="D9E2F3"/>
            <w:vAlign w:val="center"/>
          </w:tcPr>
          <w:p w14:paraId="7A974D07" w14:textId="77777777" w:rsidR="00990B14" w:rsidRDefault="00000000">
            <w:pPr>
              <w:spacing w:before="20" w:after="20"/>
              <w:jc w:val="both"/>
            </w:pPr>
            <w:r>
              <w:rPr>
                <w:sz w:val="18"/>
                <w:szCs w:val="18"/>
              </w:rPr>
              <w:t>Trabajo en equipo</w:t>
            </w:r>
          </w:p>
        </w:tc>
        <w:tc>
          <w:tcPr>
            <w:tcW w:w="1910" w:type="dxa"/>
            <w:shd w:val="clear" w:color="auto" w:fill="D9E2F3"/>
            <w:vAlign w:val="center"/>
          </w:tcPr>
          <w:p w14:paraId="1972F869" w14:textId="77777777" w:rsidR="00990B14" w:rsidRDefault="00000000">
            <w:pPr>
              <w:spacing w:before="20" w:after="20"/>
              <w:jc w:val="both"/>
            </w:pPr>
            <w:r>
              <w:rPr>
                <w:sz w:val="18"/>
                <w:szCs w:val="18"/>
              </w:rPr>
              <w:t>La participación de los integrantes es desigual.</w:t>
            </w:r>
          </w:p>
        </w:tc>
        <w:tc>
          <w:tcPr>
            <w:tcW w:w="2015" w:type="dxa"/>
            <w:shd w:val="clear" w:color="auto" w:fill="D9E2F3"/>
            <w:vAlign w:val="center"/>
          </w:tcPr>
          <w:p w14:paraId="6AB09927" w14:textId="77777777" w:rsidR="00990B14" w:rsidRDefault="00000000">
            <w:pPr>
              <w:spacing w:before="20" w:after="20"/>
              <w:jc w:val="both"/>
            </w:pPr>
            <w:r>
              <w:rPr>
                <w:sz w:val="18"/>
                <w:szCs w:val="18"/>
              </w:rPr>
              <w:t>Todos los integrantes participan.</w:t>
            </w:r>
          </w:p>
        </w:tc>
        <w:tc>
          <w:tcPr>
            <w:tcW w:w="1910" w:type="dxa"/>
            <w:shd w:val="clear" w:color="auto" w:fill="D9E2F3"/>
            <w:vAlign w:val="center"/>
          </w:tcPr>
          <w:p w14:paraId="13F0522D" w14:textId="77777777" w:rsidR="00990B14" w:rsidRDefault="00000000">
            <w:pPr>
              <w:spacing w:before="20" w:after="20"/>
              <w:jc w:val="both"/>
            </w:pPr>
            <w:r>
              <w:rPr>
                <w:sz w:val="18"/>
                <w:szCs w:val="18"/>
              </w:rPr>
              <w:t>El equipo demuestra el funcionamiento ante el curso.</w:t>
            </w:r>
          </w:p>
        </w:tc>
      </w:tr>
      <w:tr w:rsidR="00990B14" w14:paraId="2FD41AEB" w14:textId="77777777">
        <w:trPr>
          <w:cantSplit/>
          <w:jc w:val="center"/>
        </w:trPr>
        <w:tc>
          <w:tcPr>
            <w:tcW w:w="1660" w:type="dxa"/>
            <w:vMerge/>
            <w:shd w:val="clear" w:color="auto" w:fill="4472C4"/>
            <w:vAlign w:val="center"/>
          </w:tcPr>
          <w:p w14:paraId="15626928" w14:textId="77777777" w:rsidR="00990B14" w:rsidRDefault="00990B14">
            <w:pPr>
              <w:spacing w:before="20" w:after="20"/>
            </w:pPr>
          </w:p>
        </w:tc>
        <w:tc>
          <w:tcPr>
            <w:tcW w:w="5835" w:type="dxa"/>
            <w:gridSpan w:val="3"/>
            <w:shd w:val="clear" w:color="auto" w:fill="D9E2F3"/>
            <w:vAlign w:val="center"/>
          </w:tcPr>
          <w:p w14:paraId="7B68DCD9" w14:textId="77777777" w:rsidR="00990B14" w:rsidRDefault="00000000">
            <w:pPr>
              <w:keepNext/>
              <w:spacing w:before="20" w:after="20"/>
              <w:jc w:val="both"/>
            </w:pPr>
            <w:r>
              <w:rPr>
                <w:b/>
                <w:bCs/>
                <w:i/>
                <w:iCs/>
                <w:sz w:val="18"/>
                <w:szCs w:val="18"/>
              </w:rPr>
              <w:t xml:space="preserve">Producto 12: </w:t>
            </w:r>
            <w:r>
              <w:rPr>
                <w:sz w:val="18"/>
                <w:szCs w:val="18"/>
              </w:rPr>
              <w:t>Reporte de conciliación de inventarios</w:t>
            </w:r>
          </w:p>
        </w:tc>
        <w:tc>
          <w:tcPr>
            <w:tcW w:w="1910" w:type="dxa"/>
            <w:shd w:val="clear" w:color="auto" w:fill="D9E2F3"/>
            <w:vAlign w:val="center"/>
          </w:tcPr>
          <w:p w14:paraId="00ED6F51" w14:textId="77777777" w:rsidR="00990B14" w:rsidRDefault="00000000">
            <w:pPr>
              <w:spacing w:before="20" w:after="20"/>
              <w:jc w:val="center"/>
            </w:pPr>
            <w:r>
              <w:rPr>
                <w:b/>
                <w:bCs/>
                <w:sz w:val="18"/>
                <w:szCs w:val="18"/>
              </w:rPr>
              <w:t>3%</w:t>
            </w:r>
          </w:p>
        </w:tc>
      </w:tr>
      <w:tr w:rsidR="00990B14" w14:paraId="28C74C5C" w14:textId="77777777">
        <w:trPr>
          <w:cantSplit/>
          <w:jc w:val="center"/>
        </w:trPr>
        <w:tc>
          <w:tcPr>
            <w:tcW w:w="1660" w:type="dxa"/>
            <w:vMerge/>
            <w:shd w:val="clear" w:color="auto" w:fill="4472C4"/>
            <w:vAlign w:val="center"/>
          </w:tcPr>
          <w:p w14:paraId="77196E74" w14:textId="77777777" w:rsidR="00990B14" w:rsidRDefault="00990B14">
            <w:pPr>
              <w:spacing w:before="20" w:after="20"/>
            </w:pPr>
          </w:p>
        </w:tc>
        <w:tc>
          <w:tcPr>
            <w:tcW w:w="1910" w:type="dxa"/>
            <w:shd w:val="clear" w:color="auto" w:fill="4472C4"/>
            <w:vAlign w:val="center"/>
          </w:tcPr>
          <w:p w14:paraId="25AF4F9E"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518E18D2"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535B0183"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6555D488" w14:textId="77777777" w:rsidR="00990B14" w:rsidRDefault="00000000">
            <w:pPr>
              <w:keepNext/>
              <w:spacing w:before="20" w:after="20"/>
              <w:jc w:val="center"/>
            </w:pPr>
            <w:r>
              <w:rPr>
                <w:b/>
                <w:bCs/>
                <w:i/>
                <w:iCs/>
                <w:color w:val="FFFFFF"/>
                <w:sz w:val="18"/>
                <w:szCs w:val="18"/>
              </w:rPr>
              <w:t>Destacado (81–100)</w:t>
            </w:r>
          </w:p>
        </w:tc>
      </w:tr>
      <w:tr w:rsidR="00990B14" w14:paraId="25AB09B4" w14:textId="77777777">
        <w:trPr>
          <w:cantSplit/>
          <w:jc w:val="center"/>
        </w:trPr>
        <w:tc>
          <w:tcPr>
            <w:tcW w:w="1660" w:type="dxa"/>
            <w:vMerge/>
            <w:shd w:val="clear" w:color="auto" w:fill="4472C4"/>
            <w:vAlign w:val="center"/>
          </w:tcPr>
          <w:p w14:paraId="00C92EEE" w14:textId="77777777" w:rsidR="00990B14" w:rsidRDefault="00990B14">
            <w:pPr>
              <w:spacing w:before="20" w:after="20"/>
            </w:pPr>
          </w:p>
        </w:tc>
        <w:tc>
          <w:tcPr>
            <w:tcW w:w="1910" w:type="dxa"/>
            <w:shd w:val="clear" w:color="auto" w:fill="D9E2F3"/>
            <w:vAlign w:val="center"/>
          </w:tcPr>
          <w:p w14:paraId="411A1B34" w14:textId="77777777" w:rsidR="00990B14" w:rsidRDefault="00000000">
            <w:pPr>
              <w:spacing w:before="20" w:after="20"/>
              <w:jc w:val="both"/>
            </w:pPr>
            <w:r>
              <w:rPr>
                <w:sz w:val="18"/>
                <w:szCs w:val="18"/>
              </w:rPr>
              <w:t>Toma física</w:t>
            </w:r>
          </w:p>
        </w:tc>
        <w:tc>
          <w:tcPr>
            <w:tcW w:w="1910" w:type="dxa"/>
            <w:shd w:val="clear" w:color="auto" w:fill="D9E2F3"/>
            <w:vAlign w:val="center"/>
          </w:tcPr>
          <w:p w14:paraId="21928351" w14:textId="77777777" w:rsidR="00990B14" w:rsidRDefault="00000000">
            <w:pPr>
              <w:spacing w:before="20" w:after="20"/>
              <w:jc w:val="both"/>
            </w:pPr>
            <w:r>
              <w:rPr>
                <w:sz w:val="18"/>
                <w:szCs w:val="18"/>
              </w:rPr>
              <w:t>El recuento es incompleto.</w:t>
            </w:r>
          </w:p>
        </w:tc>
        <w:tc>
          <w:tcPr>
            <w:tcW w:w="2015" w:type="dxa"/>
            <w:shd w:val="clear" w:color="auto" w:fill="D9E2F3"/>
            <w:vAlign w:val="center"/>
          </w:tcPr>
          <w:p w14:paraId="0CC48F2C" w14:textId="77777777" w:rsidR="00990B14" w:rsidRDefault="00000000">
            <w:pPr>
              <w:spacing w:before="20" w:after="20"/>
              <w:jc w:val="both"/>
            </w:pPr>
            <w:r>
              <w:rPr>
                <w:sz w:val="18"/>
                <w:szCs w:val="18"/>
              </w:rPr>
              <w:t>Registra el recuento de todos los productos.</w:t>
            </w:r>
          </w:p>
        </w:tc>
        <w:tc>
          <w:tcPr>
            <w:tcW w:w="1910" w:type="dxa"/>
            <w:shd w:val="clear" w:color="auto" w:fill="D9E2F3"/>
            <w:vAlign w:val="center"/>
          </w:tcPr>
          <w:p w14:paraId="6BB54F2B" w14:textId="77777777" w:rsidR="00990B14" w:rsidRDefault="00000000">
            <w:pPr>
              <w:spacing w:before="20" w:after="20"/>
              <w:jc w:val="both"/>
            </w:pPr>
            <w:r>
              <w:rPr>
                <w:sz w:val="18"/>
                <w:szCs w:val="18"/>
              </w:rPr>
              <w:t>Organiza el recuento por almacén y responsable.</w:t>
            </w:r>
          </w:p>
        </w:tc>
      </w:tr>
      <w:tr w:rsidR="00990B14" w14:paraId="586905BC" w14:textId="77777777">
        <w:trPr>
          <w:cantSplit/>
          <w:jc w:val="center"/>
        </w:trPr>
        <w:tc>
          <w:tcPr>
            <w:tcW w:w="1660" w:type="dxa"/>
            <w:vMerge/>
            <w:shd w:val="clear" w:color="auto" w:fill="4472C4"/>
            <w:vAlign w:val="center"/>
          </w:tcPr>
          <w:p w14:paraId="2D9FF337" w14:textId="77777777" w:rsidR="00990B14" w:rsidRDefault="00990B14">
            <w:pPr>
              <w:spacing w:before="20" w:after="20"/>
            </w:pPr>
          </w:p>
        </w:tc>
        <w:tc>
          <w:tcPr>
            <w:tcW w:w="1910" w:type="dxa"/>
            <w:shd w:val="clear" w:color="auto" w:fill="D9E2F3"/>
            <w:vAlign w:val="center"/>
          </w:tcPr>
          <w:p w14:paraId="6C4260FD" w14:textId="77777777" w:rsidR="00990B14" w:rsidRDefault="00000000">
            <w:pPr>
              <w:spacing w:before="20" w:after="20"/>
              <w:jc w:val="both"/>
            </w:pPr>
            <w:r>
              <w:rPr>
                <w:sz w:val="18"/>
                <w:szCs w:val="18"/>
              </w:rPr>
              <w:t>Tratamiento de diferencias</w:t>
            </w:r>
          </w:p>
        </w:tc>
        <w:tc>
          <w:tcPr>
            <w:tcW w:w="1910" w:type="dxa"/>
            <w:shd w:val="clear" w:color="auto" w:fill="D9E2F3"/>
            <w:vAlign w:val="center"/>
          </w:tcPr>
          <w:p w14:paraId="498FCC36" w14:textId="77777777" w:rsidR="00990B14" w:rsidRDefault="00000000">
            <w:pPr>
              <w:spacing w:before="20" w:after="20"/>
              <w:jc w:val="both"/>
            </w:pPr>
            <w:r>
              <w:rPr>
                <w:sz w:val="18"/>
                <w:szCs w:val="18"/>
              </w:rPr>
              <w:t>No explica las diferencias.</w:t>
            </w:r>
          </w:p>
        </w:tc>
        <w:tc>
          <w:tcPr>
            <w:tcW w:w="2015" w:type="dxa"/>
            <w:shd w:val="clear" w:color="auto" w:fill="D9E2F3"/>
            <w:vAlign w:val="center"/>
          </w:tcPr>
          <w:p w14:paraId="2C9A08AA" w14:textId="77777777" w:rsidR="00990B14" w:rsidRDefault="00000000">
            <w:pPr>
              <w:spacing w:before="20" w:after="20"/>
              <w:jc w:val="both"/>
            </w:pPr>
            <w:r>
              <w:rPr>
                <w:sz w:val="18"/>
                <w:szCs w:val="18"/>
              </w:rPr>
              <w:t>Ajusta las diferencias en el sistema.</w:t>
            </w:r>
          </w:p>
        </w:tc>
        <w:tc>
          <w:tcPr>
            <w:tcW w:w="1910" w:type="dxa"/>
            <w:shd w:val="clear" w:color="auto" w:fill="D9E2F3"/>
            <w:vAlign w:val="center"/>
          </w:tcPr>
          <w:p w14:paraId="2C4B1B74" w14:textId="77777777" w:rsidR="00990B14" w:rsidRDefault="00000000">
            <w:pPr>
              <w:spacing w:before="20" w:after="20"/>
              <w:jc w:val="both"/>
            </w:pPr>
            <w:r>
              <w:rPr>
                <w:sz w:val="18"/>
                <w:szCs w:val="18"/>
              </w:rPr>
              <w:t>Analiza la causa de cada diferencia.</w:t>
            </w:r>
          </w:p>
        </w:tc>
      </w:tr>
      <w:tr w:rsidR="00990B14" w14:paraId="37BB7FF2" w14:textId="77777777">
        <w:trPr>
          <w:cantSplit/>
          <w:jc w:val="center"/>
        </w:trPr>
        <w:tc>
          <w:tcPr>
            <w:tcW w:w="1660" w:type="dxa"/>
            <w:vMerge/>
            <w:shd w:val="clear" w:color="auto" w:fill="4472C4"/>
            <w:vAlign w:val="center"/>
          </w:tcPr>
          <w:p w14:paraId="500DD9E8" w14:textId="77777777" w:rsidR="00990B14" w:rsidRDefault="00990B14">
            <w:pPr>
              <w:spacing w:before="20" w:after="20"/>
            </w:pPr>
          </w:p>
        </w:tc>
        <w:tc>
          <w:tcPr>
            <w:tcW w:w="1910" w:type="dxa"/>
            <w:shd w:val="clear" w:color="auto" w:fill="D9E2F3"/>
            <w:vAlign w:val="center"/>
          </w:tcPr>
          <w:p w14:paraId="3E6D869A" w14:textId="77777777" w:rsidR="00990B14" w:rsidRDefault="00000000">
            <w:pPr>
              <w:spacing w:before="20" w:after="20"/>
              <w:jc w:val="both"/>
            </w:pPr>
            <w:r>
              <w:rPr>
                <w:sz w:val="18"/>
                <w:szCs w:val="18"/>
              </w:rPr>
              <w:t>Reportes del sistema</w:t>
            </w:r>
          </w:p>
        </w:tc>
        <w:tc>
          <w:tcPr>
            <w:tcW w:w="1910" w:type="dxa"/>
            <w:shd w:val="clear" w:color="auto" w:fill="D9E2F3"/>
            <w:vAlign w:val="center"/>
          </w:tcPr>
          <w:p w14:paraId="0AD19C50" w14:textId="77777777" w:rsidR="00990B14" w:rsidRDefault="00000000">
            <w:pPr>
              <w:spacing w:before="20" w:after="20"/>
              <w:jc w:val="both"/>
            </w:pPr>
            <w:r>
              <w:rPr>
                <w:sz w:val="18"/>
                <w:szCs w:val="18"/>
              </w:rPr>
              <w:t>No emite los reportes.</w:t>
            </w:r>
          </w:p>
        </w:tc>
        <w:tc>
          <w:tcPr>
            <w:tcW w:w="2015" w:type="dxa"/>
            <w:shd w:val="clear" w:color="auto" w:fill="D9E2F3"/>
            <w:vAlign w:val="center"/>
          </w:tcPr>
          <w:p w14:paraId="26665ECA" w14:textId="77777777" w:rsidR="00990B14" w:rsidRDefault="00000000">
            <w:pPr>
              <w:spacing w:before="20" w:after="20"/>
              <w:jc w:val="both"/>
            </w:pPr>
            <w:r>
              <w:rPr>
                <w:sz w:val="18"/>
                <w:szCs w:val="18"/>
              </w:rPr>
              <w:t>Emite los reportes de clientes, proveedores y saldos.</w:t>
            </w:r>
          </w:p>
        </w:tc>
        <w:tc>
          <w:tcPr>
            <w:tcW w:w="1910" w:type="dxa"/>
            <w:shd w:val="clear" w:color="auto" w:fill="D9E2F3"/>
            <w:vAlign w:val="center"/>
          </w:tcPr>
          <w:p w14:paraId="404F27ED" w14:textId="77777777" w:rsidR="00990B14" w:rsidRDefault="00000000">
            <w:pPr>
              <w:spacing w:before="20" w:after="20"/>
              <w:jc w:val="both"/>
            </w:pPr>
            <w:r>
              <w:rPr>
                <w:sz w:val="18"/>
                <w:szCs w:val="18"/>
              </w:rPr>
              <w:t>Usa los reportes para el control de existencias.</w:t>
            </w:r>
          </w:p>
        </w:tc>
      </w:tr>
      <w:tr w:rsidR="00990B14" w14:paraId="0F22B65C" w14:textId="77777777">
        <w:trPr>
          <w:cantSplit/>
          <w:jc w:val="center"/>
        </w:trPr>
        <w:tc>
          <w:tcPr>
            <w:tcW w:w="1660" w:type="dxa"/>
            <w:vMerge/>
            <w:shd w:val="clear" w:color="auto" w:fill="4472C4"/>
            <w:vAlign w:val="center"/>
          </w:tcPr>
          <w:p w14:paraId="2F284061" w14:textId="77777777" w:rsidR="00990B14" w:rsidRDefault="00990B14">
            <w:pPr>
              <w:spacing w:before="20" w:after="20"/>
            </w:pPr>
          </w:p>
        </w:tc>
        <w:tc>
          <w:tcPr>
            <w:tcW w:w="5835" w:type="dxa"/>
            <w:gridSpan w:val="3"/>
            <w:shd w:val="clear" w:color="auto" w:fill="D9E2F3"/>
            <w:vAlign w:val="center"/>
          </w:tcPr>
          <w:p w14:paraId="363A9E6F" w14:textId="77777777" w:rsidR="00990B14" w:rsidRDefault="00000000">
            <w:pPr>
              <w:keepNext/>
              <w:spacing w:before="20" w:after="20"/>
              <w:jc w:val="both"/>
            </w:pPr>
            <w:r>
              <w:rPr>
                <w:b/>
                <w:bCs/>
                <w:i/>
                <w:iCs/>
                <w:sz w:val="18"/>
                <w:szCs w:val="18"/>
              </w:rPr>
              <w:t xml:space="preserve">Producto 13: </w:t>
            </w:r>
            <w:r>
              <w:rPr>
                <w:sz w:val="18"/>
                <w:szCs w:val="18"/>
              </w:rPr>
              <w:t>Registro de empleados parametrizado</w:t>
            </w:r>
          </w:p>
        </w:tc>
        <w:tc>
          <w:tcPr>
            <w:tcW w:w="1910" w:type="dxa"/>
            <w:shd w:val="clear" w:color="auto" w:fill="D9E2F3"/>
            <w:vAlign w:val="center"/>
          </w:tcPr>
          <w:p w14:paraId="01DCCFF6" w14:textId="77777777" w:rsidR="00990B14" w:rsidRDefault="00000000">
            <w:pPr>
              <w:spacing w:before="20" w:after="20"/>
              <w:jc w:val="center"/>
            </w:pPr>
            <w:r>
              <w:rPr>
                <w:b/>
                <w:bCs/>
                <w:sz w:val="18"/>
                <w:szCs w:val="18"/>
              </w:rPr>
              <w:t>4%</w:t>
            </w:r>
          </w:p>
        </w:tc>
      </w:tr>
      <w:tr w:rsidR="00990B14" w14:paraId="2CDAD2D2" w14:textId="77777777">
        <w:trPr>
          <w:cantSplit/>
          <w:jc w:val="center"/>
        </w:trPr>
        <w:tc>
          <w:tcPr>
            <w:tcW w:w="1660" w:type="dxa"/>
            <w:vMerge/>
            <w:shd w:val="clear" w:color="auto" w:fill="4472C4"/>
            <w:vAlign w:val="center"/>
          </w:tcPr>
          <w:p w14:paraId="41BA9E6C" w14:textId="77777777" w:rsidR="00990B14" w:rsidRDefault="00990B14">
            <w:pPr>
              <w:spacing w:before="20" w:after="20"/>
            </w:pPr>
          </w:p>
        </w:tc>
        <w:tc>
          <w:tcPr>
            <w:tcW w:w="1910" w:type="dxa"/>
            <w:shd w:val="clear" w:color="auto" w:fill="4472C4"/>
            <w:vAlign w:val="center"/>
          </w:tcPr>
          <w:p w14:paraId="2F5C6C27"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07ADE29F"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34DBA80F"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69CB0710" w14:textId="77777777" w:rsidR="00990B14" w:rsidRDefault="00000000">
            <w:pPr>
              <w:keepNext/>
              <w:spacing w:before="20" w:after="20"/>
              <w:jc w:val="center"/>
            </w:pPr>
            <w:r>
              <w:rPr>
                <w:b/>
                <w:bCs/>
                <w:i/>
                <w:iCs/>
                <w:color w:val="FFFFFF"/>
                <w:sz w:val="18"/>
                <w:szCs w:val="18"/>
              </w:rPr>
              <w:t>Destacado (81–100)</w:t>
            </w:r>
          </w:p>
        </w:tc>
      </w:tr>
      <w:tr w:rsidR="00990B14" w14:paraId="04B7BD49" w14:textId="77777777">
        <w:trPr>
          <w:cantSplit/>
          <w:jc w:val="center"/>
        </w:trPr>
        <w:tc>
          <w:tcPr>
            <w:tcW w:w="1660" w:type="dxa"/>
            <w:vMerge/>
            <w:shd w:val="clear" w:color="auto" w:fill="4472C4"/>
            <w:vAlign w:val="center"/>
          </w:tcPr>
          <w:p w14:paraId="61D68C3E" w14:textId="77777777" w:rsidR="00990B14" w:rsidRDefault="00990B14">
            <w:pPr>
              <w:spacing w:before="20" w:after="20"/>
            </w:pPr>
          </w:p>
        </w:tc>
        <w:tc>
          <w:tcPr>
            <w:tcW w:w="1910" w:type="dxa"/>
            <w:shd w:val="clear" w:color="auto" w:fill="D9E2F3"/>
            <w:vAlign w:val="center"/>
          </w:tcPr>
          <w:p w14:paraId="7ECF0B13" w14:textId="77777777" w:rsidR="00990B14" w:rsidRDefault="00000000">
            <w:pPr>
              <w:spacing w:before="20" w:after="20"/>
              <w:jc w:val="both"/>
            </w:pPr>
            <w:r>
              <w:rPr>
                <w:sz w:val="18"/>
                <w:szCs w:val="18"/>
              </w:rPr>
              <w:t>Datos de empleados</w:t>
            </w:r>
          </w:p>
        </w:tc>
        <w:tc>
          <w:tcPr>
            <w:tcW w:w="1910" w:type="dxa"/>
            <w:shd w:val="clear" w:color="auto" w:fill="D9E2F3"/>
            <w:vAlign w:val="center"/>
          </w:tcPr>
          <w:p w14:paraId="67E8CEF6" w14:textId="77777777" w:rsidR="00990B14" w:rsidRDefault="00000000">
            <w:pPr>
              <w:spacing w:before="20" w:after="20"/>
              <w:jc w:val="both"/>
            </w:pPr>
            <w:r>
              <w:rPr>
                <w:sz w:val="18"/>
                <w:szCs w:val="18"/>
              </w:rPr>
              <w:t>Omite datos de los empleados.</w:t>
            </w:r>
          </w:p>
        </w:tc>
        <w:tc>
          <w:tcPr>
            <w:tcW w:w="2015" w:type="dxa"/>
            <w:shd w:val="clear" w:color="auto" w:fill="D9E2F3"/>
            <w:vAlign w:val="center"/>
          </w:tcPr>
          <w:p w14:paraId="6958A555" w14:textId="77777777" w:rsidR="00990B14" w:rsidRDefault="00000000">
            <w:pPr>
              <w:spacing w:before="20" w:after="20"/>
              <w:jc w:val="both"/>
            </w:pPr>
            <w:r>
              <w:rPr>
                <w:sz w:val="18"/>
                <w:szCs w:val="18"/>
              </w:rPr>
              <w:t>Registra los datos completos de cada empleado.</w:t>
            </w:r>
          </w:p>
        </w:tc>
        <w:tc>
          <w:tcPr>
            <w:tcW w:w="1910" w:type="dxa"/>
            <w:shd w:val="clear" w:color="auto" w:fill="D9E2F3"/>
            <w:vAlign w:val="center"/>
          </w:tcPr>
          <w:p w14:paraId="08CB9249" w14:textId="77777777" w:rsidR="00990B14" w:rsidRDefault="00000000">
            <w:pPr>
              <w:spacing w:before="20" w:after="20"/>
              <w:jc w:val="both"/>
            </w:pPr>
            <w:r>
              <w:rPr>
                <w:sz w:val="18"/>
                <w:szCs w:val="18"/>
              </w:rPr>
              <w:t>Controla las altas y bajas con su respaldo.</w:t>
            </w:r>
          </w:p>
        </w:tc>
      </w:tr>
      <w:tr w:rsidR="00990B14" w14:paraId="0D293588" w14:textId="77777777">
        <w:trPr>
          <w:cantSplit/>
          <w:jc w:val="center"/>
        </w:trPr>
        <w:tc>
          <w:tcPr>
            <w:tcW w:w="1660" w:type="dxa"/>
            <w:vMerge/>
            <w:shd w:val="clear" w:color="auto" w:fill="4472C4"/>
            <w:vAlign w:val="center"/>
          </w:tcPr>
          <w:p w14:paraId="17E546EE" w14:textId="77777777" w:rsidR="00990B14" w:rsidRDefault="00990B14">
            <w:pPr>
              <w:spacing w:before="20" w:after="20"/>
            </w:pPr>
          </w:p>
        </w:tc>
        <w:tc>
          <w:tcPr>
            <w:tcW w:w="1910" w:type="dxa"/>
            <w:shd w:val="clear" w:color="auto" w:fill="D9E2F3"/>
            <w:vAlign w:val="center"/>
          </w:tcPr>
          <w:p w14:paraId="51DECEC8" w14:textId="77777777" w:rsidR="00990B14" w:rsidRDefault="00000000">
            <w:pPr>
              <w:spacing w:before="20" w:after="20"/>
              <w:jc w:val="both"/>
            </w:pPr>
            <w:r>
              <w:rPr>
                <w:sz w:val="18"/>
                <w:szCs w:val="18"/>
              </w:rPr>
              <w:t>Parámetros de aportes</w:t>
            </w:r>
          </w:p>
        </w:tc>
        <w:tc>
          <w:tcPr>
            <w:tcW w:w="1910" w:type="dxa"/>
            <w:shd w:val="clear" w:color="auto" w:fill="D9E2F3"/>
            <w:vAlign w:val="center"/>
          </w:tcPr>
          <w:p w14:paraId="6BAFC2F1" w14:textId="77777777" w:rsidR="00990B14" w:rsidRDefault="00000000">
            <w:pPr>
              <w:spacing w:before="20" w:after="20"/>
              <w:jc w:val="both"/>
            </w:pPr>
            <w:r>
              <w:rPr>
                <w:sz w:val="18"/>
                <w:szCs w:val="18"/>
              </w:rPr>
              <w:t>Carga alícuotas erróneas.</w:t>
            </w:r>
          </w:p>
        </w:tc>
        <w:tc>
          <w:tcPr>
            <w:tcW w:w="2015" w:type="dxa"/>
            <w:shd w:val="clear" w:color="auto" w:fill="D9E2F3"/>
            <w:vAlign w:val="center"/>
          </w:tcPr>
          <w:p w14:paraId="50D69428" w14:textId="77777777" w:rsidR="00990B14" w:rsidRDefault="00000000">
            <w:pPr>
              <w:spacing w:before="20" w:after="20"/>
              <w:jc w:val="both"/>
            </w:pPr>
            <w:r>
              <w:rPr>
                <w:sz w:val="18"/>
                <w:szCs w:val="18"/>
              </w:rPr>
              <w:t>Parametriza los aportes y el salario mínimo vigentes.</w:t>
            </w:r>
          </w:p>
        </w:tc>
        <w:tc>
          <w:tcPr>
            <w:tcW w:w="1910" w:type="dxa"/>
            <w:shd w:val="clear" w:color="auto" w:fill="D9E2F3"/>
            <w:vAlign w:val="center"/>
          </w:tcPr>
          <w:p w14:paraId="52FE9F11" w14:textId="77777777" w:rsidR="00990B14" w:rsidRDefault="00000000">
            <w:pPr>
              <w:spacing w:before="20" w:after="20"/>
              <w:jc w:val="both"/>
            </w:pPr>
            <w:r>
              <w:rPr>
                <w:sz w:val="18"/>
                <w:szCs w:val="18"/>
              </w:rPr>
              <w:t>Actualiza los parámetros ante un cambio normativo.</w:t>
            </w:r>
          </w:p>
        </w:tc>
      </w:tr>
      <w:tr w:rsidR="00990B14" w14:paraId="4EFFB1B6" w14:textId="77777777">
        <w:trPr>
          <w:cantSplit/>
          <w:jc w:val="center"/>
        </w:trPr>
        <w:tc>
          <w:tcPr>
            <w:tcW w:w="1660" w:type="dxa"/>
            <w:vMerge/>
            <w:shd w:val="clear" w:color="auto" w:fill="4472C4"/>
            <w:vAlign w:val="center"/>
          </w:tcPr>
          <w:p w14:paraId="00F75A88" w14:textId="77777777" w:rsidR="00990B14" w:rsidRDefault="00990B14">
            <w:pPr>
              <w:spacing w:before="20" w:after="20"/>
            </w:pPr>
          </w:p>
        </w:tc>
        <w:tc>
          <w:tcPr>
            <w:tcW w:w="1910" w:type="dxa"/>
            <w:shd w:val="clear" w:color="auto" w:fill="D9E2F3"/>
            <w:vAlign w:val="center"/>
          </w:tcPr>
          <w:p w14:paraId="2C58C8C2" w14:textId="77777777" w:rsidR="00990B14" w:rsidRDefault="00000000">
            <w:pPr>
              <w:spacing w:before="20" w:after="20"/>
              <w:jc w:val="both"/>
            </w:pPr>
            <w:r>
              <w:rPr>
                <w:sz w:val="18"/>
                <w:szCs w:val="18"/>
              </w:rPr>
              <w:t>Confidencialidad</w:t>
            </w:r>
          </w:p>
        </w:tc>
        <w:tc>
          <w:tcPr>
            <w:tcW w:w="1910" w:type="dxa"/>
            <w:shd w:val="clear" w:color="auto" w:fill="D9E2F3"/>
            <w:vAlign w:val="center"/>
          </w:tcPr>
          <w:p w14:paraId="651A7A8A" w14:textId="77777777" w:rsidR="00990B14" w:rsidRDefault="00000000">
            <w:pPr>
              <w:spacing w:before="20" w:after="20"/>
              <w:jc w:val="both"/>
            </w:pPr>
            <w:r>
              <w:rPr>
                <w:sz w:val="18"/>
                <w:szCs w:val="18"/>
              </w:rPr>
              <w:t>No restringe el acceso.</w:t>
            </w:r>
          </w:p>
        </w:tc>
        <w:tc>
          <w:tcPr>
            <w:tcW w:w="2015" w:type="dxa"/>
            <w:shd w:val="clear" w:color="auto" w:fill="D9E2F3"/>
            <w:vAlign w:val="center"/>
          </w:tcPr>
          <w:p w14:paraId="43DBF116" w14:textId="77777777" w:rsidR="00990B14" w:rsidRDefault="00000000">
            <w:pPr>
              <w:spacing w:before="20" w:after="20"/>
              <w:jc w:val="both"/>
            </w:pPr>
            <w:r>
              <w:rPr>
                <w:sz w:val="18"/>
                <w:szCs w:val="18"/>
              </w:rPr>
              <w:t>Define perfiles de acceso a la información salarial.</w:t>
            </w:r>
          </w:p>
        </w:tc>
        <w:tc>
          <w:tcPr>
            <w:tcW w:w="1910" w:type="dxa"/>
            <w:shd w:val="clear" w:color="auto" w:fill="D9E2F3"/>
            <w:vAlign w:val="center"/>
          </w:tcPr>
          <w:p w14:paraId="67BCBF31" w14:textId="77777777" w:rsidR="00990B14" w:rsidRDefault="00000000">
            <w:pPr>
              <w:spacing w:before="20" w:after="20"/>
              <w:jc w:val="both"/>
            </w:pPr>
            <w:r>
              <w:rPr>
                <w:sz w:val="18"/>
                <w:szCs w:val="18"/>
              </w:rPr>
              <w:t>Revisa la pista de auditoría de los cambios.</w:t>
            </w:r>
          </w:p>
        </w:tc>
      </w:tr>
      <w:tr w:rsidR="00990B14" w14:paraId="46110FC2" w14:textId="77777777">
        <w:trPr>
          <w:cantSplit/>
          <w:jc w:val="center"/>
        </w:trPr>
        <w:tc>
          <w:tcPr>
            <w:tcW w:w="1660" w:type="dxa"/>
            <w:vMerge/>
            <w:shd w:val="clear" w:color="auto" w:fill="4472C4"/>
            <w:vAlign w:val="center"/>
          </w:tcPr>
          <w:p w14:paraId="42517712" w14:textId="77777777" w:rsidR="00990B14" w:rsidRDefault="00990B14">
            <w:pPr>
              <w:spacing w:before="20" w:after="20"/>
            </w:pPr>
          </w:p>
        </w:tc>
        <w:tc>
          <w:tcPr>
            <w:tcW w:w="5835" w:type="dxa"/>
            <w:gridSpan w:val="3"/>
            <w:shd w:val="clear" w:color="auto" w:fill="D9E2F3"/>
            <w:vAlign w:val="center"/>
          </w:tcPr>
          <w:p w14:paraId="4A51D337" w14:textId="77777777" w:rsidR="00990B14" w:rsidRDefault="00000000">
            <w:pPr>
              <w:keepNext/>
              <w:spacing w:before="20" w:after="20"/>
              <w:jc w:val="both"/>
            </w:pPr>
            <w:r>
              <w:rPr>
                <w:b/>
                <w:bCs/>
                <w:i/>
                <w:iCs/>
                <w:sz w:val="18"/>
                <w:szCs w:val="18"/>
              </w:rPr>
              <w:t xml:space="preserve">Producto 14: </w:t>
            </w:r>
            <w:r>
              <w:rPr>
                <w:sz w:val="18"/>
                <w:szCs w:val="18"/>
              </w:rPr>
              <w:t>Planilla mensual de sueldos</w:t>
            </w:r>
          </w:p>
        </w:tc>
        <w:tc>
          <w:tcPr>
            <w:tcW w:w="1910" w:type="dxa"/>
            <w:shd w:val="clear" w:color="auto" w:fill="D9E2F3"/>
            <w:vAlign w:val="center"/>
          </w:tcPr>
          <w:p w14:paraId="4020D17A" w14:textId="77777777" w:rsidR="00990B14" w:rsidRDefault="00000000">
            <w:pPr>
              <w:spacing w:before="20" w:after="20"/>
              <w:jc w:val="center"/>
            </w:pPr>
            <w:r>
              <w:rPr>
                <w:b/>
                <w:bCs/>
                <w:sz w:val="18"/>
                <w:szCs w:val="18"/>
              </w:rPr>
              <w:t>4%</w:t>
            </w:r>
          </w:p>
        </w:tc>
      </w:tr>
      <w:tr w:rsidR="00990B14" w14:paraId="46E903B5" w14:textId="77777777">
        <w:trPr>
          <w:cantSplit/>
          <w:jc w:val="center"/>
        </w:trPr>
        <w:tc>
          <w:tcPr>
            <w:tcW w:w="1660" w:type="dxa"/>
            <w:vMerge/>
            <w:shd w:val="clear" w:color="auto" w:fill="4472C4"/>
            <w:vAlign w:val="center"/>
          </w:tcPr>
          <w:p w14:paraId="17966889" w14:textId="77777777" w:rsidR="00990B14" w:rsidRDefault="00990B14">
            <w:pPr>
              <w:spacing w:before="20" w:after="20"/>
            </w:pPr>
          </w:p>
        </w:tc>
        <w:tc>
          <w:tcPr>
            <w:tcW w:w="1910" w:type="dxa"/>
            <w:shd w:val="clear" w:color="auto" w:fill="4472C4"/>
            <w:vAlign w:val="center"/>
          </w:tcPr>
          <w:p w14:paraId="00350832"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0D881107"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3801E920"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3C593F95" w14:textId="77777777" w:rsidR="00990B14" w:rsidRDefault="00000000">
            <w:pPr>
              <w:keepNext/>
              <w:spacing w:before="20" w:after="20"/>
              <w:jc w:val="center"/>
            </w:pPr>
            <w:r>
              <w:rPr>
                <w:b/>
                <w:bCs/>
                <w:i/>
                <w:iCs/>
                <w:color w:val="FFFFFF"/>
                <w:sz w:val="18"/>
                <w:szCs w:val="18"/>
              </w:rPr>
              <w:t>Destacado (81–100)</w:t>
            </w:r>
          </w:p>
        </w:tc>
      </w:tr>
      <w:tr w:rsidR="00990B14" w14:paraId="4DDE5520" w14:textId="77777777">
        <w:trPr>
          <w:cantSplit/>
          <w:jc w:val="center"/>
        </w:trPr>
        <w:tc>
          <w:tcPr>
            <w:tcW w:w="1660" w:type="dxa"/>
            <w:vMerge/>
            <w:shd w:val="clear" w:color="auto" w:fill="4472C4"/>
            <w:vAlign w:val="center"/>
          </w:tcPr>
          <w:p w14:paraId="744002A7" w14:textId="77777777" w:rsidR="00990B14" w:rsidRDefault="00990B14">
            <w:pPr>
              <w:spacing w:before="20" w:after="20"/>
            </w:pPr>
          </w:p>
        </w:tc>
        <w:tc>
          <w:tcPr>
            <w:tcW w:w="1910" w:type="dxa"/>
            <w:shd w:val="clear" w:color="auto" w:fill="D9E2F3"/>
            <w:vAlign w:val="center"/>
          </w:tcPr>
          <w:p w14:paraId="56B2C0F2" w14:textId="77777777" w:rsidR="00990B14" w:rsidRDefault="00000000">
            <w:pPr>
              <w:spacing w:before="20" w:after="20"/>
              <w:jc w:val="both"/>
            </w:pPr>
            <w:r>
              <w:rPr>
                <w:sz w:val="18"/>
                <w:szCs w:val="18"/>
              </w:rPr>
              <w:t>Haberes y descuentos</w:t>
            </w:r>
          </w:p>
        </w:tc>
        <w:tc>
          <w:tcPr>
            <w:tcW w:w="1910" w:type="dxa"/>
            <w:shd w:val="clear" w:color="auto" w:fill="D9E2F3"/>
            <w:vAlign w:val="center"/>
          </w:tcPr>
          <w:p w14:paraId="22A0DC8E" w14:textId="77777777" w:rsidR="00990B14" w:rsidRDefault="00000000">
            <w:pPr>
              <w:spacing w:before="20" w:after="20"/>
              <w:jc w:val="both"/>
            </w:pPr>
            <w:r>
              <w:rPr>
                <w:sz w:val="18"/>
                <w:szCs w:val="18"/>
              </w:rPr>
              <w:t>Omite anticipos o descuentos.</w:t>
            </w:r>
          </w:p>
        </w:tc>
        <w:tc>
          <w:tcPr>
            <w:tcW w:w="2015" w:type="dxa"/>
            <w:shd w:val="clear" w:color="auto" w:fill="D9E2F3"/>
            <w:vAlign w:val="center"/>
          </w:tcPr>
          <w:p w14:paraId="103A08DC" w14:textId="77777777" w:rsidR="00990B14" w:rsidRDefault="00000000">
            <w:pPr>
              <w:spacing w:before="20" w:after="20"/>
              <w:jc w:val="both"/>
            </w:pPr>
            <w:r>
              <w:rPr>
                <w:sz w:val="18"/>
                <w:szCs w:val="18"/>
              </w:rPr>
              <w:t>Registra haberes, anticipos y descuentos.</w:t>
            </w:r>
          </w:p>
        </w:tc>
        <w:tc>
          <w:tcPr>
            <w:tcW w:w="1910" w:type="dxa"/>
            <w:shd w:val="clear" w:color="auto" w:fill="D9E2F3"/>
            <w:vAlign w:val="center"/>
          </w:tcPr>
          <w:p w14:paraId="1D728829" w14:textId="77777777" w:rsidR="00990B14" w:rsidRDefault="00000000">
            <w:pPr>
              <w:spacing w:before="20" w:after="20"/>
              <w:jc w:val="both"/>
            </w:pPr>
            <w:r>
              <w:rPr>
                <w:sz w:val="18"/>
                <w:szCs w:val="18"/>
              </w:rPr>
              <w:t>Verifica cada descuento con su respaldo.</w:t>
            </w:r>
          </w:p>
        </w:tc>
      </w:tr>
      <w:tr w:rsidR="00990B14" w14:paraId="2DA36C62" w14:textId="77777777">
        <w:trPr>
          <w:cantSplit/>
          <w:jc w:val="center"/>
        </w:trPr>
        <w:tc>
          <w:tcPr>
            <w:tcW w:w="1660" w:type="dxa"/>
            <w:vMerge/>
            <w:shd w:val="clear" w:color="auto" w:fill="4472C4"/>
            <w:vAlign w:val="center"/>
          </w:tcPr>
          <w:p w14:paraId="65748A5C" w14:textId="77777777" w:rsidR="00990B14" w:rsidRDefault="00990B14">
            <w:pPr>
              <w:spacing w:before="20" w:after="20"/>
            </w:pPr>
          </w:p>
        </w:tc>
        <w:tc>
          <w:tcPr>
            <w:tcW w:w="1910" w:type="dxa"/>
            <w:shd w:val="clear" w:color="auto" w:fill="D9E2F3"/>
            <w:vAlign w:val="center"/>
          </w:tcPr>
          <w:p w14:paraId="42ECCE2D" w14:textId="77777777" w:rsidR="00990B14" w:rsidRDefault="00000000">
            <w:pPr>
              <w:spacing w:before="20" w:after="20"/>
              <w:jc w:val="both"/>
            </w:pPr>
            <w:r>
              <w:rPr>
                <w:sz w:val="18"/>
                <w:szCs w:val="18"/>
              </w:rPr>
              <w:t>Aportes</w:t>
            </w:r>
          </w:p>
        </w:tc>
        <w:tc>
          <w:tcPr>
            <w:tcW w:w="1910" w:type="dxa"/>
            <w:shd w:val="clear" w:color="auto" w:fill="D9E2F3"/>
            <w:vAlign w:val="center"/>
          </w:tcPr>
          <w:p w14:paraId="11AE7DA0" w14:textId="77777777" w:rsidR="00990B14" w:rsidRDefault="00000000">
            <w:pPr>
              <w:spacing w:before="20" w:after="20"/>
              <w:jc w:val="both"/>
            </w:pPr>
            <w:r>
              <w:rPr>
                <w:sz w:val="18"/>
                <w:szCs w:val="18"/>
              </w:rPr>
              <w:t>Calcula los aportes con errores.</w:t>
            </w:r>
          </w:p>
        </w:tc>
        <w:tc>
          <w:tcPr>
            <w:tcW w:w="2015" w:type="dxa"/>
            <w:shd w:val="clear" w:color="auto" w:fill="D9E2F3"/>
            <w:vAlign w:val="center"/>
          </w:tcPr>
          <w:p w14:paraId="6E161E77" w14:textId="77777777" w:rsidR="00990B14" w:rsidRDefault="00000000">
            <w:pPr>
              <w:spacing w:before="20" w:after="20"/>
              <w:jc w:val="both"/>
            </w:pPr>
            <w:r>
              <w:rPr>
                <w:sz w:val="18"/>
                <w:szCs w:val="18"/>
              </w:rPr>
              <w:t>Calcula los aportes laborales y patronales.</w:t>
            </w:r>
          </w:p>
        </w:tc>
        <w:tc>
          <w:tcPr>
            <w:tcW w:w="1910" w:type="dxa"/>
            <w:shd w:val="clear" w:color="auto" w:fill="D9E2F3"/>
            <w:vAlign w:val="center"/>
          </w:tcPr>
          <w:p w14:paraId="619BB609" w14:textId="77777777" w:rsidR="00990B14" w:rsidRDefault="00000000">
            <w:pPr>
              <w:spacing w:before="20" w:after="20"/>
              <w:jc w:val="both"/>
            </w:pPr>
            <w:r>
              <w:rPr>
                <w:sz w:val="18"/>
                <w:szCs w:val="18"/>
              </w:rPr>
              <w:t>Explica el destino de cada aporte.</w:t>
            </w:r>
          </w:p>
        </w:tc>
      </w:tr>
      <w:tr w:rsidR="00990B14" w14:paraId="4B063C68" w14:textId="77777777">
        <w:trPr>
          <w:cantSplit/>
          <w:jc w:val="center"/>
        </w:trPr>
        <w:tc>
          <w:tcPr>
            <w:tcW w:w="1660" w:type="dxa"/>
            <w:vMerge/>
            <w:shd w:val="clear" w:color="auto" w:fill="4472C4"/>
            <w:vAlign w:val="center"/>
          </w:tcPr>
          <w:p w14:paraId="7181C1C4" w14:textId="77777777" w:rsidR="00990B14" w:rsidRDefault="00990B14">
            <w:pPr>
              <w:spacing w:before="20" w:after="20"/>
            </w:pPr>
          </w:p>
        </w:tc>
        <w:tc>
          <w:tcPr>
            <w:tcW w:w="1910" w:type="dxa"/>
            <w:shd w:val="clear" w:color="auto" w:fill="D9E2F3"/>
            <w:vAlign w:val="center"/>
          </w:tcPr>
          <w:p w14:paraId="19F37810" w14:textId="77777777" w:rsidR="00990B14" w:rsidRDefault="00000000">
            <w:pPr>
              <w:spacing w:before="20" w:after="20"/>
              <w:jc w:val="both"/>
            </w:pPr>
            <w:r>
              <w:rPr>
                <w:sz w:val="18"/>
                <w:szCs w:val="18"/>
              </w:rPr>
              <w:t>Cierre mensual</w:t>
            </w:r>
          </w:p>
        </w:tc>
        <w:tc>
          <w:tcPr>
            <w:tcW w:w="1910" w:type="dxa"/>
            <w:shd w:val="clear" w:color="auto" w:fill="D9E2F3"/>
            <w:vAlign w:val="center"/>
          </w:tcPr>
          <w:p w14:paraId="2C51BB08" w14:textId="77777777" w:rsidR="00990B14" w:rsidRDefault="00000000">
            <w:pPr>
              <w:spacing w:before="20" w:after="20"/>
              <w:jc w:val="both"/>
            </w:pPr>
            <w:r>
              <w:rPr>
                <w:sz w:val="18"/>
                <w:szCs w:val="18"/>
              </w:rPr>
              <w:t>No efectúa el cierre.</w:t>
            </w:r>
          </w:p>
        </w:tc>
        <w:tc>
          <w:tcPr>
            <w:tcW w:w="2015" w:type="dxa"/>
            <w:shd w:val="clear" w:color="auto" w:fill="D9E2F3"/>
            <w:vAlign w:val="center"/>
          </w:tcPr>
          <w:p w14:paraId="5680E4BE" w14:textId="77777777" w:rsidR="00990B14" w:rsidRDefault="00000000">
            <w:pPr>
              <w:spacing w:before="20" w:after="20"/>
              <w:jc w:val="both"/>
            </w:pPr>
            <w:r>
              <w:rPr>
                <w:sz w:val="18"/>
                <w:szCs w:val="18"/>
              </w:rPr>
              <w:t>Efectúa el cierre y determina el saldo del RC-IVA.</w:t>
            </w:r>
          </w:p>
        </w:tc>
        <w:tc>
          <w:tcPr>
            <w:tcW w:w="1910" w:type="dxa"/>
            <w:shd w:val="clear" w:color="auto" w:fill="D9E2F3"/>
            <w:vAlign w:val="center"/>
          </w:tcPr>
          <w:p w14:paraId="29D427C3" w14:textId="77777777" w:rsidR="00990B14" w:rsidRDefault="00000000">
            <w:pPr>
              <w:spacing w:before="20" w:after="20"/>
              <w:jc w:val="both"/>
            </w:pPr>
            <w:r>
              <w:rPr>
                <w:sz w:val="18"/>
                <w:szCs w:val="18"/>
              </w:rPr>
              <w:t>Concilia el cierre con el registro contable.</w:t>
            </w:r>
          </w:p>
        </w:tc>
      </w:tr>
      <w:tr w:rsidR="00990B14" w14:paraId="4F4F5E8E" w14:textId="77777777">
        <w:trPr>
          <w:cantSplit/>
          <w:jc w:val="center"/>
        </w:trPr>
        <w:tc>
          <w:tcPr>
            <w:tcW w:w="1660" w:type="dxa"/>
            <w:vMerge/>
            <w:shd w:val="clear" w:color="auto" w:fill="4472C4"/>
            <w:vAlign w:val="center"/>
          </w:tcPr>
          <w:p w14:paraId="49483015" w14:textId="77777777" w:rsidR="00990B14" w:rsidRDefault="00990B14">
            <w:pPr>
              <w:spacing w:before="20" w:after="20"/>
            </w:pPr>
          </w:p>
        </w:tc>
        <w:tc>
          <w:tcPr>
            <w:tcW w:w="5835" w:type="dxa"/>
            <w:gridSpan w:val="3"/>
            <w:shd w:val="clear" w:color="auto" w:fill="D9E2F3"/>
            <w:vAlign w:val="center"/>
          </w:tcPr>
          <w:p w14:paraId="71696859" w14:textId="77777777" w:rsidR="00990B14" w:rsidRDefault="00000000">
            <w:pPr>
              <w:keepNext/>
              <w:spacing w:before="20" w:after="20"/>
              <w:jc w:val="both"/>
            </w:pPr>
            <w:r>
              <w:rPr>
                <w:b/>
                <w:bCs/>
                <w:i/>
                <w:iCs/>
                <w:sz w:val="18"/>
                <w:szCs w:val="18"/>
              </w:rPr>
              <w:t xml:space="preserve">Producto 15: </w:t>
            </w:r>
            <w:r>
              <w:rPr>
                <w:sz w:val="18"/>
                <w:szCs w:val="18"/>
              </w:rPr>
              <w:t>Reportes de planillas</w:t>
            </w:r>
          </w:p>
        </w:tc>
        <w:tc>
          <w:tcPr>
            <w:tcW w:w="1910" w:type="dxa"/>
            <w:shd w:val="clear" w:color="auto" w:fill="D9E2F3"/>
            <w:vAlign w:val="center"/>
          </w:tcPr>
          <w:p w14:paraId="73D50C8C" w14:textId="77777777" w:rsidR="00990B14" w:rsidRDefault="00000000">
            <w:pPr>
              <w:spacing w:before="20" w:after="20"/>
              <w:jc w:val="center"/>
            </w:pPr>
            <w:r>
              <w:rPr>
                <w:b/>
                <w:bCs/>
                <w:sz w:val="18"/>
                <w:szCs w:val="18"/>
              </w:rPr>
              <w:t>4%</w:t>
            </w:r>
          </w:p>
        </w:tc>
      </w:tr>
      <w:tr w:rsidR="00990B14" w14:paraId="3920DB29" w14:textId="77777777">
        <w:trPr>
          <w:cantSplit/>
          <w:jc w:val="center"/>
        </w:trPr>
        <w:tc>
          <w:tcPr>
            <w:tcW w:w="1660" w:type="dxa"/>
            <w:vMerge/>
            <w:shd w:val="clear" w:color="auto" w:fill="4472C4"/>
            <w:vAlign w:val="center"/>
          </w:tcPr>
          <w:p w14:paraId="32EB45A1" w14:textId="77777777" w:rsidR="00990B14" w:rsidRDefault="00990B14">
            <w:pPr>
              <w:spacing w:before="20" w:after="20"/>
            </w:pPr>
          </w:p>
        </w:tc>
        <w:tc>
          <w:tcPr>
            <w:tcW w:w="1910" w:type="dxa"/>
            <w:shd w:val="clear" w:color="auto" w:fill="4472C4"/>
            <w:vAlign w:val="center"/>
          </w:tcPr>
          <w:p w14:paraId="06DAF561"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19042D15"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504243DD"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193248D5" w14:textId="77777777" w:rsidR="00990B14" w:rsidRDefault="00000000">
            <w:pPr>
              <w:keepNext/>
              <w:spacing w:before="20" w:after="20"/>
              <w:jc w:val="center"/>
            </w:pPr>
            <w:r>
              <w:rPr>
                <w:b/>
                <w:bCs/>
                <w:i/>
                <w:iCs/>
                <w:color w:val="FFFFFF"/>
                <w:sz w:val="18"/>
                <w:szCs w:val="18"/>
              </w:rPr>
              <w:t>Destacado (81–100)</w:t>
            </w:r>
          </w:p>
        </w:tc>
      </w:tr>
      <w:tr w:rsidR="00990B14" w14:paraId="0056CD7F" w14:textId="77777777">
        <w:trPr>
          <w:cantSplit/>
          <w:jc w:val="center"/>
        </w:trPr>
        <w:tc>
          <w:tcPr>
            <w:tcW w:w="1660" w:type="dxa"/>
            <w:vMerge/>
            <w:shd w:val="clear" w:color="auto" w:fill="4472C4"/>
            <w:vAlign w:val="center"/>
          </w:tcPr>
          <w:p w14:paraId="3C848E2F" w14:textId="77777777" w:rsidR="00990B14" w:rsidRDefault="00990B14">
            <w:pPr>
              <w:spacing w:before="20" w:after="20"/>
            </w:pPr>
          </w:p>
        </w:tc>
        <w:tc>
          <w:tcPr>
            <w:tcW w:w="1910" w:type="dxa"/>
            <w:shd w:val="clear" w:color="auto" w:fill="D9E2F3"/>
            <w:vAlign w:val="center"/>
          </w:tcPr>
          <w:p w14:paraId="444F7631" w14:textId="77777777" w:rsidR="00990B14" w:rsidRDefault="00000000">
            <w:pPr>
              <w:spacing w:before="20" w:after="20"/>
              <w:jc w:val="both"/>
            </w:pPr>
            <w:r>
              <w:rPr>
                <w:sz w:val="18"/>
                <w:szCs w:val="18"/>
              </w:rPr>
              <w:t>Planilla tributaria</w:t>
            </w:r>
          </w:p>
        </w:tc>
        <w:tc>
          <w:tcPr>
            <w:tcW w:w="1910" w:type="dxa"/>
            <w:shd w:val="clear" w:color="auto" w:fill="D9E2F3"/>
            <w:vAlign w:val="center"/>
          </w:tcPr>
          <w:p w14:paraId="37761CD4" w14:textId="77777777" w:rsidR="00990B14" w:rsidRDefault="00000000">
            <w:pPr>
              <w:spacing w:before="20" w:after="20"/>
              <w:jc w:val="both"/>
            </w:pPr>
            <w:r>
              <w:rPr>
                <w:sz w:val="18"/>
                <w:szCs w:val="18"/>
              </w:rPr>
              <w:t>El saldo del RC-IVA es erróneo.</w:t>
            </w:r>
          </w:p>
        </w:tc>
        <w:tc>
          <w:tcPr>
            <w:tcW w:w="2015" w:type="dxa"/>
            <w:shd w:val="clear" w:color="auto" w:fill="D9E2F3"/>
            <w:vAlign w:val="center"/>
          </w:tcPr>
          <w:p w14:paraId="493CC17D" w14:textId="77777777" w:rsidR="00990B14" w:rsidRDefault="00000000">
            <w:pPr>
              <w:spacing w:before="20" w:after="20"/>
              <w:jc w:val="both"/>
            </w:pPr>
            <w:r>
              <w:rPr>
                <w:sz w:val="18"/>
                <w:szCs w:val="18"/>
              </w:rPr>
              <w:t>Determina el saldo a favor del fisco o del dependiente.</w:t>
            </w:r>
          </w:p>
        </w:tc>
        <w:tc>
          <w:tcPr>
            <w:tcW w:w="1910" w:type="dxa"/>
            <w:shd w:val="clear" w:color="auto" w:fill="D9E2F3"/>
            <w:vAlign w:val="center"/>
          </w:tcPr>
          <w:p w14:paraId="3AD7B566" w14:textId="77777777" w:rsidR="00990B14" w:rsidRDefault="00000000">
            <w:pPr>
              <w:spacing w:before="20" w:after="20"/>
              <w:jc w:val="both"/>
            </w:pPr>
            <w:r>
              <w:rPr>
                <w:sz w:val="18"/>
                <w:szCs w:val="18"/>
              </w:rPr>
              <w:t>Explica la traslación de saldos a favor.</w:t>
            </w:r>
          </w:p>
        </w:tc>
      </w:tr>
      <w:tr w:rsidR="00990B14" w14:paraId="55BB5C1E" w14:textId="77777777">
        <w:trPr>
          <w:cantSplit/>
          <w:jc w:val="center"/>
        </w:trPr>
        <w:tc>
          <w:tcPr>
            <w:tcW w:w="1660" w:type="dxa"/>
            <w:vMerge/>
            <w:shd w:val="clear" w:color="auto" w:fill="4472C4"/>
            <w:vAlign w:val="center"/>
          </w:tcPr>
          <w:p w14:paraId="1D162089" w14:textId="77777777" w:rsidR="00990B14" w:rsidRDefault="00990B14">
            <w:pPr>
              <w:spacing w:before="20" w:after="20"/>
            </w:pPr>
          </w:p>
        </w:tc>
        <w:tc>
          <w:tcPr>
            <w:tcW w:w="1910" w:type="dxa"/>
            <w:shd w:val="clear" w:color="auto" w:fill="D9E2F3"/>
            <w:vAlign w:val="center"/>
          </w:tcPr>
          <w:p w14:paraId="74EADF5D" w14:textId="77777777" w:rsidR="00990B14" w:rsidRDefault="00000000">
            <w:pPr>
              <w:spacing w:before="20" w:after="20"/>
              <w:jc w:val="both"/>
            </w:pPr>
            <w:r>
              <w:rPr>
                <w:sz w:val="18"/>
                <w:szCs w:val="18"/>
              </w:rPr>
              <w:t>Aportes y beneficios</w:t>
            </w:r>
          </w:p>
        </w:tc>
        <w:tc>
          <w:tcPr>
            <w:tcW w:w="1910" w:type="dxa"/>
            <w:shd w:val="clear" w:color="auto" w:fill="D9E2F3"/>
            <w:vAlign w:val="center"/>
          </w:tcPr>
          <w:p w14:paraId="7187F8D4" w14:textId="77777777" w:rsidR="00990B14" w:rsidRDefault="00000000">
            <w:pPr>
              <w:spacing w:before="20" w:after="20"/>
              <w:jc w:val="both"/>
            </w:pPr>
            <w:r>
              <w:rPr>
                <w:sz w:val="18"/>
                <w:szCs w:val="18"/>
              </w:rPr>
              <w:t>Omite beneficios sociales.</w:t>
            </w:r>
          </w:p>
        </w:tc>
        <w:tc>
          <w:tcPr>
            <w:tcW w:w="2015" w:type="dxa"/>
            <w:shd w:val="clear" w:color="auto" w:fill="D9E2F3"/>
            <w:vAlign w:val="center"/>
          </w:tcPr>
          <w:p w14:paraId="0861DB93" w14:textId="77777777" w:rsidR="00990B14" w:rsidRDefault="00000000">
            <w:pPr>
              <w:spacing w:before="20" w:after="20"/>
              <w:jc w:val="both"/>
            </w:pPr>
            <w:r>
              <w:rPr>
                <w:sz w:val="18"/>
                <w:szCs w:val="18"/>
              </w:rPr>
              <w:t>Emite los reportes de aportes y de beneficios sociales.</w:t>
            </w:r>
          </w:p>
        </w:tc>
        <w:tc>
          <w:tcPr>
            <w:tcW w:w="1910" w:type="dxa"/>
            <w:shd w:val="clear" w:color="auto" w:fill="D9E2F3"/>
            <w:vAlign w:val="center"/>
          </w:tcPr>
          <w:p w14:paraId="2D3141F0" w14:textId="77777777" w:rsidR="00990B14" w:rsidRDefault="00000000">
            <w:pPr>
              <w:spacing w:before="20" w:after="20"/>
              <w:jc w:val="both"/>
            </w:pPr>
            <w:r>
              <w:rPr>
                <w:sz w:val="18"/>
                <w:szCs w:val="18"/>
              </w:rPr>
              <w:t>Verifica su consistencia con la normativa laboral.</w:t>
            </w:r>
          </w:p>
        </w:tc>
      </w:tr>
      <w:tr w:rsidR="00990B14" w14:paraId="29CA1204" w14:textId="77777777">
        <w:trPr>
          <w:cantSplit/>
          <w:jc w:val="center"/>
        </w:trPr>
        <w:tc>
          <w:tcPr>
            <w:tcW w:w="1660" w:type="dxa"/>
            <w:vMerge/>
            <w:shd w:val="clear" w:color="auto" w:fill="4472C4"/>
            <w:vAlign w:val="center"/>
          </w:tcPr>
          <w:p w14:paraId="0FC9D321" w14:textId="77777777" w:rsidR="00990B14" w:rsidRDefault="00990B14">
            <w:pPr>
              <w:spacing w:before="20" w:after="20"/>
            </w:pPr>
          </w:p>
        </w:tc>
        <w:tc>
          <w:tcPr>
            <w:tcW w:w="1910" w:type="dxa"/>
            <w:shd w:val="clear" w:color="auto" w:fill="D9E2F3"/>
            <w:vAlign w:val="center"/>
          </w:tcPr>
          <w:p w14:paraId="4CB53F80" w14:textId="77777777" w:rsidR="00990B14" w:rsidRDefault="00000000">
            <w:pPr>
              <w:spacing w:before="20" w:after="20"/>
              <w:jc w:val="both"/>
            </w:pPr>
            <w:r>
              <w:rPr>
                <w:sz w:val="18"/>
                <w:szCs w:val="18"/>
              </w:rPr>
              <w:t>Trabajo en equipo</w:t>
            </w:r>
          </w:p>
        </w:tc>
        <w:tc>
          <w:tcPr>
            <w:tcW w:w="1910" w:type="dxa"/>
            <w:shd w:val="clear" w:color="auto" w:fill="D9E2F3"/>
            <w:vAlign w:val="center"/>
          </w:tcPr>
          <w:p w14:paraId="6051F946" w14:textId="77777777" w:rsidR="00990B14" w:rsidRDefault="00000000">
            <w:pPr>
              <w:spacing w:before="20" w:after="20"/>
              <w:jc w:val="both"/>
            </w:pPr>
            <w:r>
              <w:rPr>
                <w:sz w:val="18"/>
                <w:szCs w:val="18"/>
              </w:rPr>
              <w:t>La participación de los integrantes es desigual.</w:t>
            </w:r>
          </w:p>
        </w:tc>
        <w:tc>
          <w:tcPr>
            <w:tcW w:w="2015" w:type="dxa"/>
            <w:shd w:val="clear" w:color="auto" w:fill="D9E2F3"/>
            <w:vAlign w:val="center"/>
          </w:tcPr>
          <w:p w14:paraId="43D4E239" w14:textId="77777777" w:rsidR="00990B14" w:rsidRDefault="00000000">
            <w:pPr>
              <w:spacing w:before="20" w:after="20"/>
              <w:jc w:val="both"/>
            </w:pPr>
            <w:r>
              <w:rPr>
                <w:sz w:val="18"/>
                <w:szCs w:val="18"/>
              </w:rPr>
              <w:t>Todos los integrantes participan.</w:t>
            </w:r>
          </w:p>
        </w:tc>
        <w:tc>
          <w:tcPr>
            <w:tcW w:w="1910" w:type="dxa"/>
            <w:shd w:val="clear" w:color="auto" w:fill="D9E2F3"/>
            <w:vAlign w:val="center"/>
          </w:tcPr>
          <w:p w14:paraId="58F77ED8" w14:textId="77777777" w:rsidR="00990B14" w:rsidRDefault="00000000">
            <w:pPr>
              <w:spacing w:before="20" w:after="20"/>
              <w:jc w:val="both"/>
            </w:pPr>
            <w:r>
              <w:rPr>
                <w:sz w:val="18"/>
                <w:szCs w:val="18"/>
              </w:rPr>
              <w:t>El equipo explica los reportes ante el curso.</w:t>
            </w:r>
          </w:p>
        </w:tc>
      </w:tr>
      <w:tr w:rsidR="00990B14" w14:paraId="2C2BF83E" w14:textId="77777777">
        <w:trPr>
          <w:cantSplit/>
          <w:jc w:val="center"/>
        </w:trPr>
        <w:tc>
          <w:tcPr>
            <w:tcW w:w="1660" w:type="dxa"/>
            <w:vMerge/>
            <w:shd w:val="clear" w:color="auto" w:fill="4472C4"/>
            <w:vAlign w:val="center"/>
          </w:tcPr>
          <w:p w14:paraId="4821EC5C" w14:textId="77777777" w:rsidR="00990B14" w:rsidRDefault="00990B14">
            <w:pPr>
              <w:spacing w:before="20" w:after="20"/>
            </w:pPr>
          </w:p>
        </w:tc>
        <w:tc>
          <w:tcPr>
            <w:tcW w:w="5835" w:type="dxa"/>
            <w:gridSpan w:val="3"/>
            <w:shd w:val="clear" w:color="auto" w:fill="D9E2F3"/>
            <w:vAlign w:val="center"/>
          </w:tcPr>
          <w:p w14:paraId="58755525" w14:textId="77777777" w:rsidR="00990B14" w:rsidRDefault="00000000">
            <w:pPr>
              <w:keepNext/>
              <w:spacing w:before="20" w:after="20"/>
              <w:jc w:val="both"/>
            </w:pPr>
            <w:r>
              <w:rPr>
                <w:b/>
                <w:bCs/>
                <w:i/>
                <w:iCs/>
                <w:sz w:val="18"/>
                <w:szCs w:val="18"/>
              </w:rPr>
              <w:t xml:space="preserve">Producto 16: </w:t>
            </w:r>
            <w:r>
              <w:rPr>
                <w:sz w:val="18"/>
                <w:szCs w:val="18"/>
              </w:rPr>
              <w:t>Papeletas de pago</w:t>
            </w:r>
          </w:p>
        </w:tc>
        <w:tc>
          <w:tcPr>
            <w:tcW w:w="1910" w:type="dxa"/>
            <w:shd w:val="clear" w:color="auto" w:fill="D9E2F3"/>
            <w:vAlign w:val="center"/>
          </w:tcPr>
          <w:p w14:paraId="28505079" w14:textId="77777777" w:rsidR="00990B14" w:rsidRDefault="00000000">
            <w:pPr>
              <w:spacing w:before="20" w:after="20"/>
              <w:jc w:val="center"/>
            </w:pPr>
            <w:r>
              <w:rPr>
                <w:b/>
                <w:bCs/>
                <w:sz w:val="18"/>
                <w:szCs w:val="18"/>
              </w:rPr>
              <w:t>3%</w:t>
            </w:r>
          </w:p>
        </w:tc>
      </w:tr>
      <w:tr w:rsidR="00990B14" w14:paraId="7A8A06DA" w14:textId="77777777">
        <w:trPr>
          <w:cantSplit/>
          <w:jc w:val="center"/>
        </w:trPr>
        <w:tc>
          <w:tcPr>
            <w:tcW w:w="1660" w:type="dxa"/>
            <w:vMerge/>
            <w:shd w:val="clear" w:color="auto" w:fill="4472C4"/>
            <w:vAlign w:val="center"/>
          </w:tcPr>
          <w:p w14:paraId="2DDF2489" w14:textId="77777777" w:rsidR="00990B14" w:rsidRDefault="00990B14">
            <w:pPr>
              <w:spacing w:before="20" w:after="20"/>
            </w:pPr>
          </w:p>
        </w:tc>
        <w:tc>
          <w:tcPr>
            <w:tcW w:w="1910" w:type="dxa"/>
            <w:shd w:val="clear" w:color="auto" w:fill="4472C4"/>
            <w:vAlign w:val="center"/>
          </w:tcPr>
          <w:p w14:paraId="64897695"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089711AB"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268D70F0"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1B327A49" w14:textId="77777777" w:rsidR="00990B14" w:rsidRDefault="00000000">
            <w:pPr>
              <w:keepNext/>
              <w:spacing w:before="20" w:after="20"/>
              <w:jc w:val="center"/>
            </w:pPr>
            <w:r>
              <w:rPr>
                <w:b/>
                <w:bCs/>
                <w:i/>
                <w:iCs/>
                <w:color w:val="FFFFFF"/>
                <w:sz w:val="18"/>
                <w:szCs w:val="18"/>
              </w:rPr>
              <w:t>Destacado (81–100)</w:t>
            </w:r>
          </w:p>
        </w:tc>
      </w:tr>
      <w:tr w:rsidR="00990B14" w14:paraId="7083F844" w14:textId="77777777">
        <w:trPr>
          <w:cantSplit/>
          <w:jc w:val="center"/>
        </w:trPr>
        <w:tc>
          <w:tcPr>
            <w:tcW w:w="1660" w:type="dxa"/>
            <w:vMerge/>
            <w:shd w:val="clear" w:color="auto" w:fill="4472C4"/>
            <w:vAlign w:val="center"/>
          </w:tcPr>
          <w:p w14:paraId="1C35CC36" w14:textId="77777777" w:rsidR="00990B14" w:rsidRDefault="00990B14">
            <w:pPr>
              <w:spacing w:before="20" w:after="20"/>
            </w:pPr>
          </w:p>
        </w:tc>
        <w:tc>
          <w:tcPr>
            <w:tcW w:w="1910" w:type="dxa"/>
            <w:shd w:val="clear" w:color="auto" w:fill="D9E2F3"/>
            <w:vAlign w:val="center"/>
          </w:tcPr>
          <w:p w14:paraId="56E80690" w14:textId="77777777" w:rsidR="00990B14" w:rsidRDefault="00000000">
            <w:pPr>
              <w:spacing w:before="20" w:after="20"/>
              <w:jc w:val="both"/>
            </w:pPr>
            <w:r>
              <w:rPr>
                <w:sz w:val="18"/>
                <w:szCs w:val="18"/>
              </w:rPr>
              <w:t>Contenido de la papeleta</w:t>
            </w:r>
          </w:p>
        </w:tc>
        <w:tc>
          <w:tcPr>
            <w:tcW w:w="1910" w:type="dxa"/>
            <w:shd w:val="clear" w:color="auto" w:fill="D9E2F3"/>
            <w:vAlign w:val="center"/>
          </w:tcPr>
          <w:p w14:paraId="1E509F13" w14:textId="77777777" w:rsidR="00990B14" w:rsidRDefault="00000000">
            <w:pPr>
              <w:spacing w:before="20" w:after="20"/>
              <w:jc w:val="both"/>
            </w:pPr>
            <w:r>
              <w:rPr>
                <w:sz w:val="18"/>
                <w:szCs w:val="18"/>
              </w:rPr>
              <w:t>Omite conceptos de pago o descuento.</w:t>
            </w:r>
          </w:p>
        </w:tc>
        <w:tc>
          <w:tcPr>
            <w:tcW w:w="2015" w:type="dxa"/>
            <w:shd w:val="clear" w:color="auto" w:fill="D9E2F3"/>
            <w:vAlign w:val="center"/>
          </w:tcPr>
          <w:p w14:paraId="15F370CD" w14:textId="77777777" w:rsidR="00990B14" w:rsidRDefault="00000000">
            <w:pPr>
              <w:spacing w:before="20" w:after="20"/>
              <w:jc w:val="both"/>
            </w:pPr>
            <w:r>
              <w:rPr>
                <w:sz w:val="18"/>
                <w:szCs w:val="18"/>
              </w:rPr>
              <w:t>Detalla haberes, descuentos y líquido pagable.</w:t>
            </w:r>
          </w:p>
        </w:tc>
        <w:tc>
          <w:tcPr>
            <w:tcW w:w="1910" w:type="dxa"/>
            <w:shd w:val="clear" w:color="auto" w:fill="D9E2F3"/>
            <w:vAlign w:val="center"/>
          </w:tcPr>
          <w:p w14:paraId="373B143B" w14:textId="77777777" w:rsidR="00990B14" w:rsidRDefault="00000000">
            <w:pPr>
              <w:spacing w:before="20" w:after="20"/>
              <w:jc w:val="both"/>
            </w:pPr>
            <w:r>
              <w:rPr>
                <w:sz w:val="18"/>
                <w:szCs w:val="18"/>
              </w:rPr>
              <w:t>Incluye el detalle de los aportes patronales.</w:t>
            </w:r>
          </w:p>
        </w:tc>
      </w:tr>
      <w:tr w:rsidR="00990B14" w14:paraId="5DDC90FF" w14:textId="77777777">
        <w:trPr>
          <w:cantSplit/>
          <w:jc w:val="center"/>
        </w:trPr>
        <w:tc>
          <w:tcPr>
            <w:tcW w:w="1660" w:type="dxa"/>
            <w:vMerge/>
            <w:shd w:val="clear" w:color="auto" w:fill="4472C4"/>
            <w:vAlign w:val="center"/>
          </w:tcPr>
          <w:p w14:paraId="11D84AEF" w14:textId="77777777" w:rsidR="00990B14" w:rsidRDefault="00990B14">
            <w:pPr>
              <w:spacing w:before="20" w:after="20"/>
            </w:pPr>
          </w:p>
        </w:tc>
        <w:tc>
          <w:tcPr>
            <w:tcW w:w="1910" w:type="dxa"/>
            <w:shd w:val="clear" w:color="auto" w:fill="D9E2F3"/>
            <w:vAlign w:val="center"/>
          </w:tcPr>
          <w:p w14:paraId="31BF5A9D" w14:textId="77777777" w:rsidR="00990B14" w:rsidRDefault="00000000">
            <w:pPr>
              <w:spacing w:before="20" w:after="20"/>
              <w:jc w:val="both"/>
            </w:pPr>
            <w:r>
              <w:rPr>
                <w:sz w:val="18"/>
                <w:szCs w:val="18"/>
              </w:rPr>
              <w:t>Uso del sistema en la nube</w:t>
            </w:r>
          </w:p>
        </w:tc>
        <w:tc>
          <w:tcPr>
            <w:tcW w:w="1910" w:type="dxa"/>
            <w:shd w:val="clear" w:color="auto" w:fill="D9E2F3"/>
            <w:vAlign w:val="center"/>
          </w:tcPr>
          <w:p w14:paraId="1503FDD3" w14:textId="77777777" w:rsidR="00990B14" w:rsidRDefault="00000000">
            <w:pPr>
              <w:spacing w:before="20" w:after="20"/>
              <w:jc w:val="both"/>
            </w:pPr>
            <w:r>
              <w:rPr>
                <w:sz w:val="18"/>
                <w:szCs w:val="18"/>
              </w:rPr>
              <w:t>No configura el sistema.</w:t>
            </w:r>
          </w:p>
        </w:tc>
        <w:tc>
          <w:tcPr>
            <w:tcW w:w="2015" w:type="dxa"/>
            <w:shd w:val="clear" w:color="auto" w:fill="D9E2F3"/>
            <w:vAlign w:val="center"/>
          </w:tcPr>
          <w:p w14:paraId="552D3163" w14:textId="77777777" w:rsidR="00990B14" w:rsidRDefault="00000000">
            <w:pPr>
              <w:spacing w:before="20" w:after="20"/>
              <w:jc w:val="both"/>
            </w:pPr>
            <w:r>
              <w:rPr>
                <w:sz w:val="18"/>
                <w:szCs w:val="18"/>
              </w:rPr>
              <w:t>Configura y alimenta el sistema en la nube.</w:t>
            </w:r>
          </w:p>
        </w:tc>
        <w:tc>
          <w:tcPr>
            <w:tcW w:w="1910" w:type="dxa"/>
            <w:shd w:val="clear" w:color="auto" w:fill="D9E2F3"/>
            <w:vAlign w:val="center"/>
          </w:tcPr>
          <w:p w14:paraId="41CC8379" w14:textId="77777777" w:rsidR="00990B14" w:rsidRDefault="00000000">
            <w:pPr>
              <w:spacing w:before="20" w:after="20"/>
              <w:jc w:val="both"/>
            </w:pPr>
            <w:r>
              <w:rPr>
                <w:sz w:val="18"/>
                <w:szCs w:val="18"/>
              </w:rPr>
              <w:t>Compara el resultado con el sistema de escritorio.</w:t>
            </w:r>
          </w:p>
        </w:tc>
      </w:tr>
      <w:tr w:rsidR="00990B14" w14:paraId="5AF96AA9" w14:textId="77777777">
        <w:trPr>
          <w:cantSplit/>
          <w:jc w:val="center"/>
        </w:trPr>
        <w:tc>
          <w:tcPr>
            <w:tcW w:w="1660" w:type="dxa"/>
            <w:vMerge/>
            <w:shd w:val="clear" w:color="auto" w:fill="4472C4"/>
            <w:vAlign w:val="center"/>
          </w:tcPr>
          <w:p w14:paraId="71B370E2" w14:textId="77777777" w:rsidR="00990B14" w:rsidRDefault="00990B14">
            <w:pPr>
              <w:spacing w:before="20" w:after="20"/>
            </w:pPr>
          </w:p>
        </w:tc>
        <w:tc>
          <w:tcPr>
            <w:tcW w:w="1910" w:type="dxa"/>
            <w:shd w:val="clear" w:color="auto" w:fill="D9E2F3"/>
            <w:vAlign w:val="center"/>
          </w:tcPr>
          <w:p w14:paraId="0BFE7DAC" w14:textId="77777777" w:rsidR="00990B14" w:rsidRDefault="00000000">
            <w:pPr>
              <w:spacing w:before="20" w:after="20"/>
              <w:jc w:val="both"/>
            </w:pPr>
            <w:r>
              <w:rPr>
                <w:sz w:val="18"/>
                <w:szCs w:val="18"/>
              </w:rPr>
              <w:t>Presentación</w:t>
            </w:r>
          </w:p>
        </w:tc>
        <w:tc>
          <w:tcPr>
            <w:tcW w:w="1910" w:type="dxa"/>
            <w:shd w:val="clear" w:color="auto" w:fill="D9E2F3"/>
            <w:vAlign w:val="center"/>
          </w:tcPr>
          <w:p w14:paraId="3D27F4CB" w14:textId="77777777" w:rsidR="00990B14" w:rsidRDefault="00000000">
            <w:pPr>
              <w:spacing w:before="20" w:after="20"/>
              <w:jc w:val="both"/>
            </w:pPr>
            <w:r>
              <w:rPr>
                <w:sz w:val="18"/>
                <w:szCs w:val="18"/>
              </w:rPr>
              <w:t>La papeleta es confusa.</w:t>
            </w:r>
          </w:p>
        </w:tc>
        <w:tc>
          <w:tcPr>
            <w:tcW w:w="2015" w:type="dxa"/>
            <w:shd w:val="clear" w:color="auto" w:fill="D9E2F3"/>
            <w:vAlign w:val="center"/>
          </w:tcPr>
          <w:p w14:paraId="40E6EA42" w14:textId="77777777" w:rsidR="00990B14" w:rsidRDefault="00000000">
            <w:pPr>
              <w:spacing w:before="20" w:after="20"/>
              <w:jc w:val="both"/>
            </w:pPr>
            <w:r>
              <w:rPr>
                <w:sz w:val="18"/>
                <w:szCs w:val="18"/>
              </w:rPr>
              <w:t>La papeleta es clara y legible.</w:t>
            </w:r>
          </w:p>
        </w:tc>
        <w:tc>
          <w:tcPr>
            <w:tcW w:w="1910" w:type="dxa"/>
            <w:shd w:val="clear" w:color="auto" w:fill="D9E2F3"/>
            <w:vAlign w:val="center"/>
          </w:tcPr>
          <w:p w14:paraId="75B5CFFF" w14:textId="77777777" w:rsidR="00990B14" w:rsidRDefault="00000000">
            <w:pPr>
              <w:spacing w:before="20" w:after="20"/>
              <w:jc w:val="both"/>
            </w:pPr>
            <w:r>
              <w:rPr>
                <w:sz w:val="18"/>
                <w:szCs w:val="18"/>
              </w:rPr>
              <w:t>La papeleta resguarda los datos personales del trabajador.</w:t>
            </w:r>
          </w:p>
        </w:tc>
      </w:tr>
      <w:tr w:rsidR="00990B14" w14:paraId="5D6B19B0" w14:textId="77777777">
        <w:trPr>
          <w:cantSplit/>
          <w:jc w:val="center"/>
        </w:trPr>
        <w:tc>
          <w:tcPr>
            <w:tcW w:w="1660" w:type="dxa"/>
            <w:vMerge/>
            <w:shd w:val="clear" w:color="auto" w:fill="4472C4"/>
            <w:vAlign w:val="center"/>
          </w:tcPr>
          <w:p w14:paraId="2D7DCD82" w14:textId="77777777" w:rsidR="00990B14" w:rsidRDefault="00990B14">
            <w:pPr>
              <w:spacing w:before="20" w:after="20"/>
            </w:pPr>
          </w:p>
        </w:tc>
        <w:tc>
          <w:tcPr>
            <w:tcW w:w="5835" w:type="dxa"/>
            <w:gridSpan w:val="3"/>
            <w:shd w:val="clear" w:color="auto" w:fill="D9E2F3"/>
            <w:vAlign w:val="center"/>
          </w:tcPr>
          <w:p w14:paraId="4E41AE38" w14:textId="77777777" w:rsidR="00990B14" w:rsidRDefault="00000000">
            <w:pPr>
              <w:keepNext/>
              <w:spacing w:before="20" w:after="20"/>
              <w:jc w:val="both"/>
            </w:pPr>
            <w:r>
              <w:rPr>
                <w:b/>
                <w:bCs/>
                <w:i/>
                <w:iCs/>
                <w:sz w:val="18"/>
                <w:szCs w:val="18"/>
              </w:rPr>
              <w:t xml:space="preserve">Producto 17: </w:t>
            </w:r>
            <w:r>
              <w:rPr>
                <w:sz w:val="18"/>
                <w:szCs w:val="18"/>
              </w:rPr>
              <w:t>Formulario 605 y anexos</w:t>
            </w:r>
          </w:p>
        </w:tc>
        <w:tc>
          <w:tcPr>
            <w:tcW w:w="1910" w:type="dxa"/>
            <w:shd w:val="clear" w:color="auto" w:fill="D9E2F3"/>
            <w:vAlign w:val="center"/>
          </w:tcPr>
          <w:p w14:paraId="48C58AD0" w14:textId="77777777" w:rsidR="00990B14" w:rsidRDefault="00000000">
            <w:pPr>
              <w:spacing w:before="20" w:after="20"/>
              <w:jc w:val="center"/>
            </w:pPr>
            <w:r>
              <w:rPr>
                <w:b/>
                <w:bCs/>
                <w:sz w:val="18"/>
                <w:szCs w:val="18"/>
              </w:rPr>
              <w:t>8%</w:t>
            </w:r>
          </w:p>
        </w:tc>
      </w:tr>
      <w:tr w:rsidR="00990B14" w14:paraId="7293D571" w14:textId="77777777">
        <w:trPr>
          <w:cantSplit/>
          <w:jc w:val="center"/>
        </w:trPr>
        <w:tc>
          <w:tcPr>
            <w:tcW w:w="1660" w:type="dxa"/>
            <w:vMerge/>
            <w:shd w:val="clear" w:color="auto" w:fill="4472C4"/>
            <w:vAlign w:val="center"/>
          </w:tcPr>
          <w:p w14:paraId="70C563C1" w14:textId="77777777" w:rsidR="00990B14" w:rsidRDefault="00990B14">
            <w:pPr>
              <w:spacing w:before="20" w:after="20"/>
            </w:pPr>
          </w:p>
        </w:tc>
        <w:tc>
          <w:tcPr>
            <w:tcW w:w="1910" w:type="dxa"/>
            <w:shd w:val="clear" w:color="auto" w:fill="4472C4"/>
            <w:vAlign w:val="center"/>
          </w:tcPr>
          <w:p w14:paraId="5F90D5C1"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526523A8"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0D15B602"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14F41344" w14:textId="77777777" w:rsidR="00990B14" w:rsidRDefault="00000000">
            <w:pPr>
              <w:keepNext/>
              <w:spacing w:before="20" w:after="20"/>
              <w:jc w:val="center"/>
            </w:pPr>
            <w:r>
              <w:rPr>
                <w:b/>
                <w:bCs/>
                <w:i/>
                <w:iCs/>
                <w:color w:val="FFFFFF"/>
                <w:sz w:val="18"/>
                <w:szCs w:val="18"/>
              </w:rPr>
              <w:t>Destacado (81–100)</w:t>
            </w:r>
          </w:p>
        </w:tc>
      </w:tr>
      <w:tr w:rsidR="00990B14" w14:paraId="0CFBCC24" w14:textId="77777777">
        <w:trPr>
          <w:cantSplit/>
          <w:jc w:val="center"/>
        </w:trPr>
        <w:tc>
          <w:tcPr>
            <w:tcW w:w="1660" w:type="dxa"/>
            <w:vMerge/>
            <w:shd w:val="clear" w:color="auto" w:fill="4472C4"/>
            <w:vAlign w:val="center"/>
          </w:tcPr>
          <w:p w14:paraId="2C7043AB" w14:textId="77777777" w:rsidR="00990B14" w:rsidRDefault="00990B14">
            <w:pPr>
              <w:spacing w:before="20" w:after="20"/>
            </w:pPr>
          </w:p>
        </w:tc>
        <w:tc>
          <w:tcPr>
            <w:tcW w:w="1910" w:type="dxa"/>
            <w:shd w:val="clear" w:color="auto" w:fill="D9E2F3"/>
            <w:vAlign w:val="center"/>
          </w:tcPr>
          <w:p w14:paraId="69E0B516" w14:textId="77777777" w:rsidR="00990B14" w:rsidRDefault="00000000">
            <w:pPr>
              <w:spacing w:before="20" w:after="20"/>
              <w:jc w:val="both"/>
            </w:pPr>
            <w:r>
              <w:rPr>
                <w:sz w:val="18"/>
                <w:szCs w:val="18"/>
              </w:rPr>
              <w:t>Datos de la empresa</w:t>
            </w:r>
          </w:p>
        </w:tc>
        <w:tc>
          <w:tcPr>
            <w:tcW w:w="1910" w:type="dxa"/>
            <w:shd w:val="clear" w:color="auto" w:fill="D9E2F3"/>
            <w:vAlign w:val="center"/>
          </w:tcPr>
          <w:p w14:paraId="6C8FEF25" w14:textId="77777777" w:rsidR="00990B14" w:rsidRDefault="00000000">
            <w:pPr>
              <w:spacing w:before="20" w:after="20"/>
              <w:jc w:val="both"/>
            </w:pPr>
            <w:r>
              <w:rPr>
                <w:sz w:val="18"/>
                <w:szCs w:val="18"/>
              </w:rPr>
              <w:t>Registra datos erróneos del contador o del auditor.</w:t>
            </w:r>
          </w:p>
        </w:tc>
        <w:tc>
          <w:tcPr>
            <w:tcW w:w="2015" w:type="dxa"/>
            <w:shd w:val="clear" w:color="auto" w:fill="D9E2F3"/>
            <w:vAlign w:val="center"/>
          </w:tcPr>
          <w:p w14:paraId="68D65CB2" w14:textId="77777777" w:rsidR="00990B14" w:rsidRDefault="00000000">
            <w:pPr>
              <w:spacing w:before="20" w:after="20"/>
              <w:jc w:val="both"/>
            </w:pPr>
            <w:r>
              <w:rPr>
                <w:sz w:val="18"/>
                <w:szCs w:val="18"/>
              </w:rPr>
              <w:t>Registra correctamente los datos de la empresa y de los responsables.</w:t>
            </w:r>
          </w:p>
        </w:tc>
        <w:tc>
          <w:tcPr>
            <w:tcW w:w="1910" w:type="dxa"/>
            <w:shd w:val="clear" w:color="auto" w:fill="D9E2F3"/>
            <w:vAlign w:val="center"/>
          </w:tcPr>
          <w:p w14:paraId="02AEF50E" w14:textId="77777777" w:rsidR="00990B14" w:rsidRDefault="00000000">
            <w:pPr>
              <w:spacing w:before="20" w:after="20"/>
              <w:jc w:val="both"/>
            </w:pPr>
            <w:r>
              <w:rPr>
                <w:sz w:val="18"/>
                <w:szCs w:val="18"/>
              </w:rPr>
              <w:t>Verifica las fechas de registro y el tipo de opinión.</w:t>
            </w:r>
          </w:p>
        </w:tc>
      </w:tr>
      <w:tr w:rsidR="00990B14" w14:paraId="78962C98" w14:textId="77777777">
        <w:trPr>
          <w:cantSplit/>
          <w:jc w:val="center"/>
        </w:trPr>
        <w:tc>
          <w:tcPr>
            <w:tcW w:w="1660" w:type="dxa"/>
            <w:vMerge/>
            <w:shd w:val="clear" w:color="auto" w:fill="4472C4"/>
            <w:vAlign w:val="center"/>
          </w:tcPr>
          <w:p w14:paraId="32D34172" w14:textId="77777777" w:rsidR="00990B14" w:rsidRDefault="00990B14">
            <w:pPr>
              <w:spacing w:before="20" w:after="20"/>
            </w:pPr>
          </w:p>
        </w:tc>
        <w:tc>
          <w:tcPr>
            <w:tcW w:w="1910" w:type="dxa"/>
            <w:shd w:val="clear" w:color="auto" w:fill="D9E2F3"/>
            <w:vAlign w:val="center"/>
          </w:tcPr>
          <w:p w14:paraId="6D827E01" w14:textId="77777777" w:rsidR="00990B14" w:rsidRDefault="00000000">
            <w:pPr>
              <w:spacing w:before="20" w:after="20"/>
              <w:jc w:val="both"/>
            </w:pPr>
            <w:r>
              <w:rPr>
                <w:sz w:val="18"/>
                <w:szCs w:val="18"/>
              </w:rPr>
              <w:t>Estados financieros</w:t>
            </w:r>
          </w:p>
        </w:tc>
        <w:tc>
          <w:tcPr>
            <w:tcW w:w="1910" w:type="dxa"/>
            <w:shd w:val="clear" w:color="auto" w:fill="D9E2F3"/>
            <w:vAlign w:val="center"/>
          </w:tcPr>
          <w:p w14:paraId="4228E7E2" w14:textId="77777777" w:rsidR="00990B14" w:rsidRDefault="00000000">
            <w:pPr>
              <w:spacing w:before="20" w:after="20"/>
              <w:jc w:val="both"/>
            </w:pPr>
            <w:r>
              <w:rPr>
                <w:sz w:val="18"/>
                <w:szCs w:val="18"/>
              </w:rPr>
              <w:t>Los importes no corresponden al caso.</w:t>
            </w:r>
          </w:p>
        </w:tc>
        <w:tc>
          <w:tcPr>
            <w:tcW w:w="2015" w:type="dxa"/>
            <w:shd w:val="clear" w:color="auto" w:fill="D9E2F3"/>
            <w:vAlign w:val="center"/>
          </w:tcPr>
          <w:p w14:paraId="3654A08B" w14:textId="77777777" w:rsidR="00990B14" w:rsidRDefault="00000000">
            <w:pPr>
              <w:spacing w:before="20" w:after="20"/>
              <w:jc w:val="both"/>
            </w:pPr>
            <w:r>
              <w:rPr>
                <w:sz w:val="18"/>
                <w:szCs w:val="18"/>
              </w:rPr>
              <w:t>Llena los estados financieros completos.</w:t>
            </w:r>
          </w:p>
        </w:tc>
        <w:tc>
          <w:tcPr>
            <w:tcW w:w="1910" w:type="dxa"/>
            <w:shd w:val="clear" w:color="auto" w:fill="D9E2F3"/>
            <w:vAlign w:val="center"/>
          </w:tcPr>
          <w:p w14:paraId="679FCD5C" w14:textId="77777777" w:rsidR="00990B14" w:rsidRDefault="00000000">
            <w:pPr>
              <w:spacing w:before="20" w:after="20"/>
              <w:jc w:val="both"/>
            </w:pPr>
            <w:r>
              <w:rPr>
                <w:sz w:val="18"/>
                <w:szCs w:val="18"/>
              </w:rPr>
              <w:t>Detecta y corrige las inconsistencias antes del envío.</w:t>
            </w:r>
          </w:p>
        </w:tc>
      </w:tr>
      <w:tr w:rsidR="00990B14" w14:paraId="4BECDC76" w14:textId="77777777">
        <w:trPr>
          <w:cantSplit/>
          <w:jc w:val="center"/>
        </w:trPr>
        <w:tc>
          <w:tcPr>
            <w:tcW w:w="1660" w:type="dxa"/>
            <w:vMerge/>
            <w:shd w:val="clear" w:color="auto" w:fill="4472C4"/>
            <w:vAlign w:val="center"/>
          </w:tcPr>
          <w:p w14:paraId="3439ABD2" w14:textId="77777777" w:rsidR="00990B14" w:rsidRDefault="00990B14">
            <w:pPr>
              <w:spacing w:before="20" w:after="20"/>
            </w:pPr>
          </w:p>
        </w:tc>
        <w:tc>
          <w:tcPr>
            <w:tcW w:w="1910" w:type="dxa"/>
            <w:shd w:val="clear" w:color="auto" w:fill="D9E2F3"/>
            <w:vAlign w:val="center"/>
          </w:tcPr>
          <w:p w14:paraId="238160A5" w14:textId="77777777" w:rsidR="00990B14" w:rsidRDefault="00000000">
            <w:pPr>
              <w:spacing w:before="20" w:after="20"/>
              <w:jc w:val="both"/>
            </w:pPr>
            <w:r>
              <w:rPr>
                <w:sz w:val="18"/>
                <w:szCs w:val="18"/>
              </w:rPr>
              <w:t>Anexos</w:t>
            </w:r>
          </w:p>
        </w:tc>
        <w:tc>
          <w:tcPr>
            <w:tcW w:w="1910" w:type="dxa"/>
            <w:shd w:val="clear" w:color="auto" w:fill="D9E2F3"/>
            <w:vAlign w:val="center"/>
          </w:tcPr>
          <w:p w14:paraId="35656D1D" w14:textId="77777777" w:rsidR="00990B14" w:rsidRDefault="00000000">
            <w:pPr>
              <w:spacing w:before="20" w:after="20"/>
              <w:jc w:val="both"/>
            </w:pPr>
            <w:r>
              <w:rPr>
                <w:sz w:val="18"/>
                <w:szCs w:val="18"/>
              </w:rPr>
              <w:t>Omite los anexos.</w:t>
            </w:r>
          </w:p>
        </w:tc>
        <w:tc>
          <w:tcPr>
            <w:tcW w:w="2015" w:type="dxa"/>
            <w:shd w:val="clear" w:color="auto" w:fill="D9E2F3"/>
            <w:vAlign w:val="center"/>
          </w:tcPr>
          <w:p w14:paraId="0F17BCD7" w14:textId="77777777" w:rsidR="00990B14" w:rsidRDefault="00000000">
            <w:pPr>
              <w:spacing w:before="20" w:after="20"/>
              <w:jc w:val="both"/>
            </w:pPr>
            <w:r>
              <w:rPr>
                <w:sz w:val="18"/>
                <w:szCs w:val="18"/>
              </w:rPr>
              <w:t>Llena los anexos de inventarios y de activos fijos.</w:t>
            </w:r>
          </w:p>
        </w:tc>
        <w:tc>
          <w:tcPr>
            <w:tcW w:w="1910" w:type="dxa"/>
            <w:shd w:val="clear" w:color="auto" w:fill="D9E2F3"/>
            <w:vAlign w:val="center"/>
          </w:tcPr>
          <w:p w14:paraId="1CB44CA3" w14:textId="77777777" w:rsidR="00990B14" w:rsidRDefault="00000000">
            <w:pPr>
              <w:spacing w:before="20" w:after="20"/>
              <w:jc w:val="both"/>
            </w:pPr>
            <w:r>
              <w:rPr>
                <w:sz w:val="18"/>
                <w:szCs w:val="18"/>
              </w:rPr>
              <w:t>Concilia los anexos con los reportes de cada sistema.</w:t>
            </w:r>
          </w:p>
        </w:tc>
      </w:tr>
      <w:tr w:rsidR="00990B14" w14:paraId="5D8A46A8" w14:textId="77777777">
        <w:trPr>
          <w:cantSplit/>
          <w:jc w:val="center"/>
        </w:trPr>
        <w:tc>
          <w:tcPr>
            <w:tcW w:w="1660" w:type="dxa"/>
            <w:vMerge/>
            <w:shd w:val="clear" w:color="auto" w:fill="4472C4"/>
            <w:vAlign w:val="center"/>
          </w:tcPr>
          <w:p w14:paraId="58D26D23" w14:textId="77777777" w:rsidR="00990B14" w:rsidRDefault="00990B14">
            <w:pPr>
              <w:spacing w:before="20" w:after="20"/>
            </w:pPr>
          </w:p>
        </w:tc>
        <w:tc>
          <w:tcPr>
            <w:tcW w:w="5835" w:type="dxa"/>
            <w:gridSpan w:val="3"/>
            <w:shd w:val="clear" w:color="auto" w:fill="D9E2F3"/>
            <w:vAlign w:val="center"/>
          </w:tcPr>
          <w:p w14:paraId="1BB1C27D" w14:textId="77777777" w:rsidR="00990B14" w:rsidRDefault="00000000">
            <w:pPr>
              <w:keepNext/>
              <w:spacing w:before="20" w:after="20"/>
              <w:jc w:val="both"/>
            </w:pPr>
            <w:r>
              <w:rPr>
                <w:b/>
                <w:bCs/>
                <w:i/>
                <w:iCs/>
                <w:sz w:val="18"/>
                <w:szCs w:val="18"/>
              </w:rPr>
              <w:t xml:space="preserve">Producto 18: </w:t>
            </w:r>
            <w:r>
              <w:rPr>
                <w:sz w:val="18"/>
                <w:szCs w:val="18"/>
              </w:rPr>
              <w:t>Hoja de verificación de consistencia</w:t>
            </w:r>
          </w:p>
        </w:tc>
        <w:tc>
          <w:tcPr>
            <w:tcW w:w="1910" w:type="dxa"/>
            <w:shd w:val="clear" w:color="auto" w:fill="D9E2F3"/>
            <w:vAlign w:val="center"/>
          </w:tcPr>
          <w:p w14:paraId="0D7F0909" w14:textId="77777777" w:rsidR="00990B14" w:rsidRDefault="00000000">
            <w:pPr>
              <w:spacing w:before="20" w:after="20"/>
              <w:jc w:val="center"/>
            </w:pPr>
            <w:r>
              <w:rPr>
                <w:b/>
                <w:bCs/>
                <w:sz w:val="18"/>
                <w:szCs w:val="18"/>
              </w:rPr>
              <w:t>8%</w:t>
            </w:r>
          </w:p>
        </w:tc>
      </w:tr>
      <w:tr w:rsidR="00990B14" w14:paraId="34FC1D0A" w14:textId="77777777">
        <w:trPr>
          <w:cantSplit/>
          <w:jc w:val="center"/>
        </w:trPr>
        <w:tc>
          <w:tcPr>
            <w:tcW w:w="1660" w:type="dxa"/>
            <w:vMerge/>
            <w:shd w:val="clear" w:color="auto" w:fill="4472C4"/>
            <w:vAlign w:val="center"/>
          </w:tcPr>
          <w:p w14:paraId="1CC57134" w14:textId="77777777" w:rsidR="00990B14" w:rsidRDefault="00990B14">
            <w:pPr>
              <w:spacing w:before="20" w:after="20"/>
            </w:pPr>
          </w:p>
        </w:tc>
        <w:tc>
          <w:tcPr>
            <w:tcW w:w="1910" w:type="dxa"/>
            <w:shd w:val="clear" w:color="auto" w:fill="4472C4"/>
            <w:vAlign w:val="center"/>
          </w:tcPr>
          <w:p w14:paraId="5D948705"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260CAE53"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4F886205"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3E2538AD" w14:textId="77777777" w:rsidR="00990B14" w:rsidRDefault="00000000">
            <w:pPr>
              <w:keepNext/>
              <w:spacing w:before="20" w:after="20"/>
              <w:jc w:val="center"/>
            </w:pPr>
            <w:r>
              <w:rPr>
                <w:b/>
                <w:bCs/>
                <w:i/>
                <w:iCs/>
                <w:color w:val="FFFFFF"/>
                <w:sz w:val="18"/>
                <w:szCs w:val="18"/>
              </w:rPr>
              <w:t>Destacado (81–100)</w:t>
            </w:r>
          </w:p>
        </w:tc>
      </w:tr>
      <w:tr w:rsidR="00990B14" w14:paraId="2B9557F8" w14:textId="77777777">
        <w:trPr>
          <w:cantSplit/>
          <w:jc w:val="center"/>
        </w:trPr>
        <w:tc>
          <w:tcPr>
            <w:tcW w:w="1660" w:type="dxa"/>
            <w:vMerge/>
            <w:shd w:val="clear" w:color="auto" w:fill="4472C4"/>
            <w:vAlign w:val="center"/>
          </w:tcPr>
          <w:p w14:paraId="46F2DA74" w14:textId="77777777" w:rsidR="00990B14" w:rsidRDefault="00990B14">
            <w:pPr>
              <w:spacing w:before="20" w:after="20"/>
            </w:pPr>
          </w:p>
        </w:tc>
        <w:tc>
          <w:tcPr>
            <w:tcW w:w="1910" w:type="dxa"/>
            <w:shd w:val="clear" w:color="auto" w:fill="D9E2F3"/>
            <w:vAlign w:val="center"/>
          </w:tcPr>
          <w:p w14:paraId="6DB37B77" w14:textId="77777777" w:rsidR="00990B14" w:rsidRDefault="00000000">
            <w:pPr>
              <w:spacing w:before="20" w:after="20"/>
              <w:jc w:val="both"/>
            </w:pPr>
            <w:r>
              <w:rPr>
                <w:sz w:val="18"/>
                <w:szCs w:val="18"/>
              </w:rPr>
              <w:t>Cruce de información</w:t>
            </w:r>
          </w:p>
        </w:tc>
        <w:tc>
          <w:tcPr>
            <w:tcW w:w="1910" w:type="dxa"/>
            <w:shd w:val="clear" w:color="auto" w:fill="D9E2F3"/>
            <w:vAlign w:val="center"/>
          </w:tcPr>
          <w:p w14:paraId="19947094" w14:textId="77777777" w:rsidR="00990B14" w:rsidRDefault="00000000">
            <w:pPr>
              <w:spacing w:before="20" w:after="20"/>
              <w:jc w:val="both"/>
            </w:pPr>
            <w:r>
              <w:rPr>
                <w:sz w:val="18"/>
                <w:szCs w:val="18"/>
              </w:rPr>
              <w:t>No cruza la información.</w:t>
            </w:r>
          </w:p>
        </w:tc>
        <w:tc>
          <w:tcPr>
            <w:tcW w:w="2015" w:type="dxa"/>
            <w:shd w:val="clear" w:color="auto" w:fill="D9E2F3"/>
            <w:vAlign w:val="center"/>
          </w:tcPr>
          <w:p w14:paraId="6EAFAA6A" w14:textId="77777777" w:rsidR="00990B14" w:rsidRDefault="00000000">
            <w:pPr>
              <w:spacing w:before="20" w:after="20"/>
              <w:jc w:val="both"/>
            </w:pPr>
            <w:r>
              <w:rPr>
                <w:sz w:val="18"/>
                <w:szCs w:val="18"/>
              </w:rPr>
              <w:t>Cruza los saldos declarados con los del sistema.</w:t>
            </w:r>
          </w:p>
        </w:tc>
        <w:tc>
          <w:tcPr>
            <w:tcW w:w="1910" w:type="dxa"/>
            <w:shd w:val="clear" w:color="auto" w:fill="D9E2F3"/>
            <w:vAlign w:val="center"/>
          </w:tcPr>
          <w:p w14:paraId="64299DBD" w14:textId="77777777" w:rsidR="00990B14" w:rsidRDefault="00000000">
            <w:pPr>
              <w:spacing w:before="20" w:after="20"/>
              <w:jc w:val="both"/>
            </w:pPr>
            <w:r>
              <w:rPr>
                <w:sz w:val="18"/>
                <w:szCs w:val="18"/>
              </w:rPr>
              <w:t>Explica el origen de cada diferencia.</w:t>
            </w:r>
          </w:p>
        </w:tc>
      </w:tr>
      <w:tr w:rsidR="00990B14" w14:paraId="1DA688CC" w14:textId="77777777">
        <w:trPr>
          <w:cantSplit/>
          <w:jc w:val="center"/>
        </w:trPr>
        <w:tc>
          <w:tcPr>
            <w:tcW w:w="1660" w:type="dxa"/>
            <w:vMerge/>
            <w:shd w:val="clear" w:color="auto" w:fill="4472C4"/>
            <w:vAlign w:val="center"/>
          </w:tcPr>
          <w:p w14:paraId="1B5C85AF" w14:textId="77777777" w:rsidR="00990B14" w:rsidRDefault="00990B14">
            <w:pPr>
              <w:spacing w:before="20" w:after="20"/>
            </w:pPr>
          </w:p>
        </w:tc>
        <w:tc>
          <w:tcPr>
            <w:tcW w:w="1910" w:type="dxa"/>
            <w:shd w:val="clear" w:color="auto" w:fill="D9E2F3"/>
            <w:vAlign w:val="center"/>
          </w:tcPr>
          <w:p w14:paraId="47815414" w14:textId="77777777" w:rsidR="00990B14" w:rsidRDefault="00000000">
            <w:pPr>
              <w:spacing w:before="20" w:after="20"/>
              <w:jc w:val="both"/>
            </w:pPr>
            <w:r>
              <w:rPr>
                <w:sz w:val="18"/>
                <w:szCs w:val="18"/>
              </w:rPr>
              <w:t>Uso de tablas dinámicas</w:t>
            </w:r>
          </w:p>
        </w:tc>
        <w:tc>
          <w:tcPr>
            <w:tcW w:w="1910" w:type="dxa"/>
            <w:shd w:val="clear" w:color="auto" w:fill="D9E2F3"/>
            <w:vAlign w:val="center"/>
          </w:tcPr>
          <w:p w14:paraId="4783645F" w14:textId="77777777" w:rsidR="00990B14" w:rsidRDefault="00000000">
            <w:pPr>
              <w:spacing w:before="20" w:after="20"/>
              <w:jc w:val="both"/>
            </w:pPr>
            <w:r>
              <w:rPr>
                <w:sz w:val="18"/>
                <w:szCs w:val="18"/>
              </w:rPr>
              <w:t>No usa herramientas de análisis.</w:t>
            </w:r>
          </w:p>
        </w:tc>
        <w:tc>
          <w:tcPr>
            <w:tcW w:w="2015" w:type="dxa"/>
            <w:shd w:val="clear" w:color="auto" w:fill="D9E2F3"/>
            <w:vAlign w:val="center"/>
          </w:tcPr>
          <w:p w14:paraId="16AE79F0" w14:textId="77777777" w:rsidR="00990B14" w:rsidRDefault="00000000">
            <w:pPr>
              <w:spacing w:before="20" w:after="20"/>
              <w:jc w:val="both"/>
            </w:pPr>
            <w:r>
              <w:rPr>
                <w:sz w:val="18"/>
                <w:szCs w:val="18"/>
              </w:rPr>
              <w:t>Usa tablas dinámicas para el cruce.</w:t>
            </w:r>
          </w:p>
        </w:tc>
        <w:tc>
          <w:tcPr>
            <w:tcW w:w="1910" w:type="dxa"/>
            <w:shd w:val="clear" w:color="auto" w:fill="D9E2F3"/>
            <w:vAlign w:val="center"/>
          </w:tcPr>
          <w:p w14:paraId="3E88B578" w14:textId="77777777" w:rsidR="00990B14" w:rsidRDefault="00000000">
            <w:pPr>
              <w:spacing w:before="20" w:after="20"/>
              <w:jc w:val="both"/>
            </w:pPr>
            <w:r>
              <w:rPr>
                <w:sz w:val="18"/>
                <w:szCs w:val="18"/>
              </w:rPr>
              <w:t>Construye un tablero de control de consistencia.</w:t>
            </w:r>
          </w:p>
        </w:tc>
      </w:tr>
      <w:tr w:rsidR="00990B14" w14:paraId="063C4CFA" w14:textId="77777777">
        <w:trPr>
          <w:cantSplit/>
          <w:jc w:val="center"/>
        </w:trPr>
        <w:tc>
          <w:tcPr>
            <w:tcW w:w="1660" w:type="dxa"/>
            <w:vMerge/>
            <w:shd w:val="clear" w:color="auto" w:fill="4472C4"/>
            <w:vAlign w:val="center"/>
          </w:tcPr>
          <w:p w14:paraId="18DAC989" w14:textId="77777777" w:rsidR="00990B14" w:rsidRDefault="00990B14">
            <w:pPr>
              <w:spacing w:before="20" w:after="20"/>
            </w:pPr>
          </w:p>
        </w:tc>
        <w:tc>
          <w:tcPr>
            <w:tcW w:w="1910" w:type="dxa"/>
            <w:shd w:val="clear" w:color="auto" w:fill="D9E2F3"/>
            <w:vAlign w:val="center"/>
          </w:tcPr>
          <w:p w14:paraId="1C7254EE" w14:textId="77777777" w:rsidR="00990B14" w:rsidRDefault="00000000">
            <w:pPr>
              <w:spacing w:before="20" w:after="20"/>
              <w:jc w:val="both"/>
            </w:pPr>
            <w:r>
              <w:rPr>
                <w:sz w:val="18"/>
                <w:szCs w:val="18"/>
              </w:rPr>
              <w:t>Ética profesional</w:t>
            </w:r>
          </w:p>
        </w:tc>
        <w:tc>
          <w:tcPr>
            <w:tcW w:w="1910" w:type="dxa"/>
            <w:shd w:val="clear" w:color="auto" w:fill="D9E2F3"/>
            <w:vAlign w:val="center"/>
          </w:tcPr>
          <w:p w14:paraId="6930DEDD" w14:textId="77777777" w:rsidR="00990B14" w:rsidRDefault="00000000">
            <w:pPr>
              <w:spacing w:before="20" w:after="20"/>
              <w:jc w:val="both"/>
            </w:pPr>
            <w:r>
              <w:rPr>
                <w:sz w:val="18"/>
                <w:szCs w:val="18"/>
              </w:rPr>
              <w:t>Ignora las diferencias detectadas.</w:t>
            </w:r>
          </w:p>
        </w:tc>
        <w:tc>
          <w:tcPr>
            <w:tcW w:w="2015" w:type="dxa"/>
            <w:shd w:val="clear" w:color="auto" w:fill="D9E2F3"/>
            <w:vAlign w:val="center"/>
          </w:tcPr>
          <w:p w14:paraId="12E2AB2A" w14:textId="77777777" w:rsidR="00990B14" w:rsidRDefault="00000000">
            <w:pPr>
              <w:spacing w:before="20" w:after="20"/>
              <w:jc w:val="both"/>
            </w:pPr>
            <w:r>
              <w:rPr>
                <w:sz w:val="18"/>
                <w:szCs w:val="18"/>
              </w:rPr>
              <w:t>Informa las diferencias detectadas.</w:t>
            </w:r>
          </w:p>
        </w:tc>
        <w:tc>
          <w:tcPr>
            <w:tcW w:w="1910" w:type="dxa"/>
            <w:shd w:val="clear" w:color="auto" w:fill="D9E2F3"/>
            <w:vAlign w:val="center"/>
          </w:tcPr>
          <w:p w14:paraId="1CCD2CCC" w14:textId="77777777" w:rsidR="00990B14" w:rsidRDefault="00000000">
            <w:pPr>
              <w:spacing w:before="20" w:after="20"/>
              <w:jc w:val="both"/>
            </w:pPr>
            <w:r>
              <w:rPr>
                <w:sz w:val="18"/>
                <w:szCs w:val="18"/>
              </w:rPr>
              <w:t>Propone la rectificación oportuna ante la Administración Tributaria.</w:t>
            </w:r>
          </w:p>
        </w:tc>
      </w:tr>
      <w:tr w:rsidR="00990B14" w14:paraId="7329143E" w14:textId="77777777">
        <w:trPr>
          <w:cantSplit/>
          <w:jc w:val="center"/>
        </w:trPr>
        <w:tc>
          <w:tcPr>
            <w:tcW w:w="1660" w:type="dxa"/>
            <w:vMerge/>
            <w:shd w:val="clear" w:color="auto" w:fill="4472C4"/>
            <w:vAlign w:val="center"/>
          </w:tcPr>
          <w:p w14:paraId="5261D581" w14:textId="77777777" w:rsidR="00990B14" w:rsidRDefault="00990B14">
            <w:pPr>
              <w:spacing w:before="20" w:after="20"/>
            </w:pPr>
          </w:p>
        </w:tc>
        <w:tc>
          <w:tcPr>
            <w:tcW w:w="5835" w:type="dxa"/>
            <w:gridSpan w:val="3"/>
            <w:shd w:val="clear" w:color="auto" w:fill="D9E2F3"/>
            <w:vAlign w:val="center"/>
          </w:tcPr>
          <w:p w14:paraId="0E48A908" w14:textId="77777777" w:rsidR="00990B14" w:rsidRDefault="00000000">
            <w:pPr>
              <w:keepNext/>
              <w:spacing w:before="20" w:after="20"/>
              <w:jc w:val="both"/>
            </w:pPr>
            <w:r>
              <w:rPr>
                <w:b/>
                <w:bCs/>
                <w:i/>
                <w:iCs/>
                <w:sz w:val="18"/>
                <w:szCs w:val="18"/>
              </w:rPr>
              <w:t xml:space="preserve">Producto 19: </w:t>
            </w:r>
            <w:r>
              <w:rPr>
                <w:sz w:val="18"/>
                <w:szCs w:val="18"/>
              </w:rPr>
              <w:t>Registro validado de compras y ventas</w:t>
            </w:r>
          </w:p>
        </w:tc>
        <w:tc>
          <w:tcPr>
            <w:tcW w:w="1910" w:type="dxa"/>
            <w:shd w:val="clear" w:color="auto" w:fill="D9E2F3"/>
            <w:vAlign w:val="center"/>
          </w:tcPr>
          <w:p w14:paraId="1489525A" w14:textId="77777777" w:rsidR="00990B14" w:rsidRDefault="00000000">
            <w:pPr>
              <w:spacing w:before="20" w:after="20"/>
              <w:jc w:val="center"/>
            </w:pPr>
            <w:r>
              <w:rPr>
                <w:b/>
                <w:bCs/>
                <w:sz w:val="18"/>
                <w:szCs w:val="18"/>
              </w:rPr>
              <w:t>7%</w:t>
            </w:r>
          </w:p>
        </w:tc>
      </w:tr>
      <w:tr w:rsidR="00990B14" w14:paraId="78F6EEF6" w14:textId="77777777">
        <w:trPr>
          <w:cantSplit/>
          <w:jc w:val="center"/>
        </w:trPr>
        <w:tc>
          <w:tcPr>
            <w:tcW w:w="1660" w:type="dxa"/>
            <w:vMerge/>
            <w:shd w:val="clear" w:color="auto" w:fill="4472C4"/>
            <w:vAlign w:val="center"/>
          </w:tcPr>
          <w:p w14:paraId="09FA8EA8" w14:textId="77777777" w:rsidR="00990B14" w:rsidRDefault="00990B14">
            <w:pPr>
              <w:spacing w:before="20" w:after="20"/>
            </w:pPr>
          </w:p>
        </w:tc>
        <w:tc>
          <w:tcPr>
            <w:tcW w:w="1910" w:type="dxa"/>
            <w:shd w:val="clear" w:color="auto" w:fill="4472C4"/>
            <w:vAlign w:val="center"/>
          </w:tcPr>
          <w:p w14:paraId="6C3F6785"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577344C3"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7C21D8F5"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398D3354" w14:textId="77777777" w:rsidR="00990B14" w:rsidRDefault="00000000">
            <w:pPr>
              <w:keepNext/>
              <w:spacing w:before="20" w:after="20"/>
              <w:jc w:val="center"/>
            </w:pPr>
            <w:r>
              <w:rPr>
                <w:b/>
                <w:bCs/>
                <w:i/>
                <w:iCs/>
                <w:color w:val="FFFFFF"/>
                <w:sz w:val="18"/>
                <w:szCs w:val="18"/>
              </w:rPr>
              <w:t>Destacado (81–100)</w:t>
            </w:r>
          </w:p>
        </w:tc>
      </w:tr>
      <w:tr w:rsidR="00990B14" w14:paraId="5F5FBD92" w14:textId="77777777">
        <w:trPr>
          <w:cantSplit/>
          <w:jc w:val="center"/>
        </w:trPr>
        <w:tc>
          <w:tcPr>
            <w:tcW w:w="1660" w:type="dxa"/>
            <w:vMerge/>
            <w:shd w:val="clear" w:color="auto" w:fill="4472C4"/>
            <w:vAlign w:val="center"/>
          </w:tcPr>
          <w:p w14:paraId="343A3E37" w14:textId="77777777" w:rsidR="00990B14" w:rsidRDefault="00990B14">
            <w:pPr>
              <w:spacing w:before="20" w:after="20"/>
            </w:pPr>
          </w:p>
        </w:tc>
        <w:tc>
          <w:tcPr>
            <w:tcW w:w="1910" w:type="dxa"/>
            <w:shd w:val="clear" w:color="auto" w:fill="D9E2F3"/>
            <w:vAlign w:val="center"/>
          </w:tcPr>
          <w:p w14:paraId="39719EB8" w14:textId="77777777" w:rsidR="00990B14" w:rsidRDefault="00000000">
            <w:pPr>
              <w:spacing w:before="20" w:after="20"/>
              <w:jc w:val="both"/>
            </w:pPr>
            <w:r>
              <w:rPr>
                <w:sz w:val="18"/>
                <w:szCs w:val="18"/>
              </w:rPr>
              <w:t>Validación</w:t>
            </w:r>
          </w:p>
        </w:tc>
        <w:tc>
          <w:tcPr>
            <w:tcW w:w="1910" w:type="dxa"/>
            <w:shd w:val="clear" w:color="auto" w:fill="D9E2F3"/>
            <w:vAlign w:val="center"/>
          </w:tcPr>
          <w:p w14:paraId="56E2D168" w14:textId="77777777" w:rsidR="00990B14" w:rsidRDefault="00000000">
            <w:pPr>
              <w:spacing w:before="20" w:after="20"/>
              <w:jc w:val="both"/>
            </w:pPr>
            <w:r>
              <w:rPr>
                <w:sz w:val="18"/>
                <w:szCs w:val="18"/>
              </w:rPr>
              <w:t>Deja registros sin validar.</w:t>
            </w:r>
          </w:p>
        </w:tc>
        <w:tc>
          <w:tcPr>
            <w:tcW w:w="2015" w:type="dxa"/>
            <w:shd w:val="clear" w:color="auto" w:fill="D9E2F3"/>
            <w:vAlign w:val="center"/>
          </w:tcPr>
          <w:p w14:paraId="56887772" w14:textId="77777777" w:rsidR="00990B14" w:rsidRDefault="00000000">
            <w:pPr>
              <w:spacing w:before="20" w:after="20"/>
              <w:jc w:val="both"/>
            </w:pPr>
            <w:r>
              <w:rPr>
                <w:sz w:val="18"/>
                <w:szCs w:val="18"/>
              </w:rPr>
              <w:t>Valida los registros manuales y automáticos.</w:t>
            </w:r>
          </w:p>
        </w:tc>
        <w:tc>
          <w:tcPr>
            <w:tcW w:w="1910" w:type="dxa"/>
            <w:shd w:val="clear" w:color="auto" w:fill="D9E2F3"/>
            <w:vAlign w:val="center"/>
          </w:tcPr>
          <w:p w14:paraId="4C5B2322" w14:textId="77777777" w:rsidR="00990B14" w:rsidRDefault="00000000">
            <w:pPr>
              <w:spacing w:before="20" w:after="20"/>
              <w:jc w:val="both"/>
            </w:pPr>
            <w:r>
              <w:rPr>
                <w:sz w:val="18"/>
                <w:szCs w:val="18"/>
              </w:rPr>
              <w:t>Respeta los periodos de registro y consolidación.</w:t>
            </w:r>
          </w:p>
        </w:tc>
      </w:tr>
      <w:tr w:rsidR="00990B14" w14:paraId="716FD83E" w14:textId="77777777">
        <w:trPr>
          <w:cantSplit/>
          <w:jc w:val="center"/>
        </w:trPr>
        <w:tc>
          <w:tcPr>
            <w:tcW w:w="1660" w:type="dxa"/>
            <w:vMerge/>
            <w:shd w:val="clear" w:color="auto" w:fill="4472C4"/>
            <w:vAlign w:val="center"/>
          </w:tcPr>
          <w:p w14:paraId="76F86B4B" w14:textId="77777777" w:rsidR="00990B14" w:rsidRDefault="00990B14">
            <w:pPr>
              <w:spacing w:before="20" w:after="20"/>
            </w:pPr>
          </w:p>
        </w:tc>
        <w:tc>
          <w:tcPr>
            <w:tcW w:w="1910" w:type="dxa"/>
            <w:shd w:val="clear" w:color="auto" w:fill="D9E2F3"/>
            <w:vAlign w:val="center"/>
          </w:tcPr>
          <w:p w14:paraId="3339139C" w14:textId="77777777" w:rsidR="00990B14" w:rsidRDefault="00000000">
            <w:pPr>
              <w:spacing w:before="20" w:after="20"/>
              <w:jc w:val="both"/>
            </w:pPr>
            <w:r>
              <w:rPr>
                <w:sz w:val="18"/>
                <w:szCs w:val="18"/>
              </w:rPr>
              <w:t>Conciliación</w:t>
            </w:r>
          </w:p>
        </w:tc>
        <w:tc>
          <w:tcPr>
            <w:tcW w:w="1910" w:type="dxa"/>
            <w:shd w:val="clear" w:color="auto" w:fill="D9E2F3"/>
            <w:vAlign w:val="center"/>
          </w:tcPr>
          <w:p w14:paraId="2FB208C9" w14:textId="77777777" w:rsidR="00990B14" w:rsidRDefault="00000000">
            <w:pPr>
              <w:spacing w:before="20" w:after="20"/>
              <w:jc w:val="both"/>
            </w:pPr>
            <w:r>
              <w:rPr>
                <w:sz w:val="18"/>
                <w:szCs w:val="18"/>
              </w:rPr>
              <w:t>No concilia con los libros.</w:t>
            </w:r>
          </w:p>
        </w:tc>
        <w:tc>
          <w:tcPr>
            <w:tcW w:w="2015" w:type="dxa"/>
            <w:shd w:val="clear" w:color="auto" w:fill="D9E2F3"/>
            <w:vAlign w:val="center"/>
          </w:tcPr>
          <w:p w14:paraId="5C07DAF0" w14:textId="77777777" w:rsidR="00990B14" w:rsidRDefault="00000000">
            <w:pPr>
              <w:spacing w:before="20" w:after="20"/>
              <w:jc w:val="both"/>
            </w:pPr>
            <w:r>
              <w:rPr>
                <w:sz w:val="18"/>
                <w:szCs w:val="18"/>
              </w:rPr>
              <w:t>Concilia el RCV con los libros y las facturas.</w:t>
            </w:r>
          </w:p>
        </w:tc>
        <w:tc>
          <w:tcPr>
            <w:tcW w:w="1910" w:type="dxa"/>
            <w:shd w:val="clear" w:color="auto" w:fill="D9E2F3"/>
            <w:vAlign w:val="center"/>
          </w:tcPr>
          <w:p w14:paraId="346713D0" w14:textId="77777777" w:rsidR="00990B14" w:rsidRDefault="00000000">
            <w:pPr>
              <w:spacing w:before="20" w:after="20"/>
              <w:jc w:val="both"/>
            </w:pPr>
            <w:r>
              <w:rPr>
                <w:sz w:val="18"/>
                <w:szCs w:val="18"/>
              </w:rPr>
              <w:t>Explica el efecto de cada diferencia en el IVA.</w:t>
            </w:r>
          </w:p>
        </w:tc>
      </w:tr>
      <w:tr w:rsidR="00990B14" w14:paraId="4A770C54" w14:textId="77777777">
        <w:trPr>
          <w:cantSplit/>
          <w:jc w:val="center"/>
        </w:trPr>
        <w:tc>
          <w:tcPr>
            <w:tcW w:w="1660" w:type="dxa"/>
            <w:vMerge/>
            <w:shd w:val="clear" w:color="auto" w:fill="4472C4"/>
            <w:vAlign w:val="center"/>
          </w:tcPr>
          <w:p w14:paraId="6AC7BFE0" w14:textId="77777777" w:rsidR="00990B14" w:rsidRDefault="00990B14">
            <w:pPr>
              <w:spacing w:before="20" w:after="20"/>
            </w:pPr>
          </w:p>
        </w:tc>
        <w:tc>
          <w:tcPr>
            <w:tcW w:w="1910" w:type="dxa"/>
            <w:shd w:val="clear" w:color="auto" w:fill="D9E2F3"/>
            <w:vAlign w:val="center"/>
          </w:tcPr>
          <w:p w14:paraId="0C18F03C" w14:textId="77777777" w:rsidR="00990B14" w:rsidRDefault="00000000">
            <w:pPr>
              <w:spacing w:before="20" w:after="20"/>
              <w:jc w:val="both"/>
            </w:pPr>
            <w:r>
              <w:rPr>
                <w:sz w:val="18"/>
                <w:szCs w:val="18"/>
              </w:rPr>
              <w:t>Corrección de errores</w:t>
            </w:r>
          </w:p>
        </w:tc>
        <w:tc>
          <w:tcPr>
            <w:tcW w:w="1910" w:type="dxa"/>
            <w:shd w:val="clear" w:color="auto" w:fill="D9E2F3"/>
            <w:vAlign w:val="center"/>
          </w:tcPr>
          <w:p w14:paraId="33C4EB04" w14:textId="77777777" w:rsidR="00990B14" w:rsidRDefault="00000000">
            <w:pPr>
              <w:spacing w:before="20" w:after="20"/>
              <w:jc w:val="both"/>
            </w:pPr>
            <w:r>
              <w:rPr>
                <w:sz w:val="18"/>
                <w:szCs w:val="18"/>
              </w:rPr>
              <w:t>No corrige los errores.</w:t>
            </w:r>
          </w:p>
        </w:tc>
        <w:tc>
          <w:tcPr>
            <w:tcW w:w="2015" w:type="dxa"/>
            <w:shd w:val="clear" w:color="auto" w:fill="D9E2F3"/>
            <w:vAlign w:val="center"/>
          </w:tcPr>
          <w:p w14:paraId="2478BB4B" w14:textId="77777777" w:rsidR="00990B14" w:rsidRDefault="00000000">
            <w:pPr>
              <w:spacing w:before="20" w:after="20"/>
              <w:jc w:val="both"/>
            </w:pPr>
            <w:r>
              <w:rPr>
                <w:sz w:val="18"/>
                <w:szCs w:val="18"/>
              </w:rPr>
              <w:t>Corrige los errores antes de la presentación.</w:t>
            </w:r>
          </w:p>
        </w:tc>
        <w:tc>
          <w:tcPr>
            <w:tcW w:w="1910" w:type="dxa"/>
            <w:shd w:val="clear" w:color="auto" w:fill="D9E2F3"/>
            <w:vAlign w:val="center"/>
          </w:tcPr>
          <w:p w14:paraId="46B5E09F" w14:textId="77777777" w:rsidR="00990B14" w:rsidRDefault="00000000">
            <w:pPr>
              <w:spacing w:before="20" w:after="20"/>
              <w:jc w:val="both"/>
            </w:pPr>
            <w:r>
              <w:rPr>
                <w:sz w:val="18"/>
                <w:szCs w:val="18"/>
              </w:rPr>
              <w:t>Documenta la causa de cada corrección.</w:t>
            </w:r>
          </w:p>
        </w:tc>
      </w:tr>
      <w:tr w:rsidR="00990B14" w14:paraId="51911227" w14:textId="77777777">
        <w:trPr>
          <w:cantSplit/>
          <w:jc w:val="center"/>
        </w:trPr>
        <w:tc>
          <w:tcPr>
            <w:tcW w:w="1660" w:type="dxa"/>
            <w:vMerge/>
            <w:shd w:val="clear" w:color="auto" w:fill="4472C4"/>
            <w:vAlign w:val="center"/>
          </w:tcPr>
          <w:p w14:paraId="5420C0D1" w14:textId="77777777" w:rsidR="00990B14" w:rsidRDefault="00990B14">
            <w:pPr>
              <w:spacing w:before="20" w:after="20"/>
            </w:pPr>
          </w:p>
        </w:tc>
        <w:tc>
          <w:tcPr>
            <w:tcW w:w="5835" w:type="dxa"/>
            <w:gridSpan w:val="3"/>
            <w:shd w:val="clear" w:color="auto" w:fill="D9E2F3"/>
            <w:vAlign w:val="center"/>
          </w:tcPr>
          <w:p w14:paraId="0791E4A6" w14:textId="77777777" w:rsidR="00990B14" w:rsidRDefault="00000000">
            <w:pPr>
              <w:keepNext/>
              <w:spacing w:before="20" w:after="20"/>
              <w:jc w:val="both"/>
            </w:pPr>
            <w:r>
              <w:rPr>
                <w:b/>
                <w:bCs/>
                <w:i/>
                <w:iCs/>
                <w:sz w:val="18"/>
                <w:szCs w:val="18"/>
              </w:rPr>
              <w:t xml:space="preserve">Producto 20: </w:t>
            </w:r>
            <w:r>
              <w:rPr>
                <w:sz w:val="18"/>
                <w:szCs w:val="18"/>
              </w:rPr>
              <w:t>Planilla consolidada del SIAT</w:t>
            </w:r>
          </w:p>
        </w:tc>
        <w:tc>
          <w:tcPr>
            <w:tcW w:w="1910" w:type="dxa"/>
            <w:shd w:val="clear" w:color="auto" w:fill="D9E2F3"/>
            <w:vAlign w:val="center"/>
          </w:tcPr>
          <w:p w14:paraId="02FD7C2A" w14:textId="77777777" w:rsidR="00990B14" w:rsidRDefault="00000000">
            <w:pPr>
              <w:spacing w:before="20" w:after="20"/>
              <w:jc w:val="center"/>
            </w:pPr>
            <w:r>
              <w:rPr>
                <w:b/>
                <w:bCs/>
                <w:sz w:val="18"/>
                <w:szCs w:val="18"/>
              </w:rPr>
              <w:t>7%</w:t>
            </w:r>
          </w:p>
        </w:tc>
      </w:tr>
      <w:tr w:rsidR="00990B14" w14:paraId="6B4A6A2D" w14:textId="77777777">
        <w:trPr>
          <w:cantSplit/>
          <w:jc w:val="center"/>
        </w:trPr>
        <w:tc>
          <w:tcPr>
            <w:tcW w:w="1660" w:type="dxa"/>
            <w:vMerge/>
            <w:shd w:val="clear" w:color="auto" w:fill="4472C4"/>
            <w:vAlign w:val="center"/>
          </w:tcPr>
          <w:p w14:paraId="4572332B" w14:textId="77777777" w:rsidR="00990B14" w:rsidRDefault="00990B14">
            <w:pPr>
              <w:spacing w:before="20" w:after="20"/>
            </w:pPr>
          </w:p>
        </w:tc>
        <w:tc>
          <w:tcPr>
            <w:tcW w:w="1910" w:type="dxa"/>
            <w:shd w:val="clear" w:color="auto" w:fill="4472C4"/>
            <w:vAlign w:val="center"/>
          </w:tcPr>
          <w:p w14:paraId="4921D0A9"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314ECDA5"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3733FC26"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605D0309" w14:textId="77777777" w:rsidR="00990B14" w:rsidRDefault="00000000">
            <w:pPr>
              <w:keepNext/>
              <w:spacing w:before="20" w:after="20"/>
              <w:jc w:val="center"/>
            </w:pPr>
            <w:r>
              <w:rPr>
                <w:b/>
                <w:bCs/>
                <w:i/>
                <w:iCs/>
                <w:color w:val="FFFFFF"/>
                <w:sz w:val="18"/>
                <w:szCs w:val="18"/>
              </w:rPr>
              <w:t>Destacado (81–100)</w:t>
            </w:r>
          </w:p>
        </w:tc>
      </w:tr>
      <w:tr w:rsidR="00990B14" w14:paraId="26C9F5D4" w14:textId="77777777">
        <w:trPr>
          <w:cantSplit/>
          <w:jc w:val="center"/>
        </w:trPr>
        <w:tc>
          <w:tcPr>
            <w:tcW w:w="1660" w:type="dxa"/>
            <w:vMerge/>
            <w:shd w:val="clear" w:color="auto" w:fill="4472C4"/>
            <w:vAlign w:val="center"/>
          </w:tcPr>
          <w:p w14:paraId="20D82E7F" w14:textId="77777777" w:rsidR="00990B14" w:rsidRDefault="00990B14">
            <w:pPr>
              <w:spacing w:before="20" w:after="20"/>
            </w:pPr>
          </w:p>
        </w:tc>
        <w:tc>
          <w:tcPr>
            <w:tcW w:w="1910" w:type="dxa"/>
            <w:shd w:val="clear" w:color="auto" w:fill="D9E2F3"/>
            <w:vAlign w:val="center"/>
          </w:tcPr>
          <w:p w14:paraId="207C7237" w14:textId="77777777" w:rsidR="00990B14" w:rsidRDefault="00000000">
            <w:pPr>
              <w:spacing w:before="20" w:after="20"/>
              <w:jc w:val="both"/>
            </w:pPr>
            <w:r>
              <w:rPr>
                <w:sz w:val="18"/>
                <w:szCs w:val="18"/>
              </w:rPr>
              <w:t>Consolidación</w:t>
            </w:r>
          </w:p>
        </w:tc>
        <w:tc>
          <w:tcPr>
            <w:tcW w:w="1910" w:type="dxa"/>
            <w:shd w:val="clear" w:color="auto" w:fill="D9E2F3"/>
            <w:vAlign w:val="center"/>
          </w:tcPr>
          <w:p w14:paraId="613664AC" w14:textId="77777777" w:rsidR="00990B14" w:rsidRDefault="00000000">
            <w:pPr>
              <w:spacing w:before="20" w:after="20"/>
              <w:jc w:val="both"/>
            </w:pPr>
            <w:r>
              <w:rPr>
                <w:sz w:val="18"/>
                <w:szCs w:val="18"/>
              </w:rPr>
              <w:t>La consolidación tiene errores.</w:t>
            </w:r>
          </w:p>
        </w:tc>
        <w:tc>
          <w:tcPr>
            <w:tcW w:w="2015" w:type="dxa"/>
            <w:shd w:val="clear" w:color="auto" w:fill="D9E2F3"/>
            <w:vAlign w:val="center"/>
          </w:tcPr>
          <w:p w14:paraId="7EC0F944" w14:textId="77777777" w:rsidR="00990B14" w:rsidRDefault="00000000">
            <w:pPr>
              <w:spacing w:before="20" w:after="20"/>
              <w:jc w:val="both"/>
            </w:pPr>
            <w:r>
              <w:rPr>
                <w:sz w:val="18"/>
                <w:szCs w:val="18"/>
              </w:rPr>
              <w:t>Consolida los formularios 110 en el Formulario 608.</w:t>
            </w:r>
          </w:p>
        </w:tc>
        <w:tc>
          <w:tcPr>
            <w:tcW w:w="1910" w:type="dxa"/>
            <w:shd w:val="clear" w:color="auto" w:fill="D9E2F3"/>
            <w:vAlign w:val="center"/>
          </w:tcPr>
          <w:p w14:paraId="4C279D4A" w14:textId="77777777" w:rsidR="00990B14" w:rsidRDefault="00000000">
            <w:pPr>
              <w:spacing w:before="20" w:after="20"/>
              <w:jc w:val="both"/>
            </w:pPr>
            <w:r>
              <w:rPr>
                <w:sz w:val="18"/>
                <w:szCs w:val="18"/>
              </w:rPr>
              <w:t>Verifica la recepción digital de cada formulario.</w:t>
            </w:r>
          </w:p>
        </w:tc>
      </w:tr>
      <w:tr w:rsidR="00990B14" w14:paraId="3958B348" w14:textId="77777777">
        <w:trPr>
          <w:cantSplit/>
          <w:jc w:val="center"/>
        </w:trPr>
        <w:tc>
          <w:tcPr>
            <w:tcW w:w="1660" w:type="dxa"/>
            <w:vMerge/>
            <w:shd w:val="clear" w:color="auto" w:fill="4472C4"/>
            <w:vAlign w:val="center"/>
          </w:tcPr>
          <w:p w14:paraId="2CE8869B" w14:textId="77777777" w:rsidR="00990B14" w:rsidRDefault="00990B14">
            <w:pPr>
              <w:spacing w:before="20" w:after="20"/>
            </w:pPr>
          </w:p>
        </w:tc>
        <w:tc>
          <w:tcPr>
            <w:tcW w:w="1910" w:type="dxa"/>
            <w:shd w:val="clear" w:color="auto" w:fill="D9E2F3"/>
            <w:vAlign w:val="center"/>
          </w:tcPr>
          <w:p w14:paraId="6F80B1D0" w14:textId="77777777" w:rsidR="00990B14" w:rsidRDefault="00000000">
            <w:pPr>
              <w:spacing w:before="20" w:after="20"/>
              <w:jc w:val="both"/>
            </w:pPr>
            <w:r>
              <w:rPr>
                <w:sz w:val="18"/>
                <w:szCs w:val="18"/>
              </w:rPr>
              <w:t>Certificados</w:t>
            </w:r>
          </w:p>
        </w:tc>
        <w:tc>
          <w:tcPr>
            <w:tcW w:w="1910" w:type="dxa"/>
            <w:shd w:val="clear" w:color="auto" w:fill="D9E2F3"/>
            <w:vAlign w:val="center"/>
          </w:tcPr>
          <w:p w14:paraId="373259AC" w14:textId="77777777" w:rsidR="00990B14" w:rsidRDefault="00000000">
            <w:pPr>
              <w:spacing w:before="20" w:after="20"/>
              <w:jc w:val="both"/>
            </w:pPr>
            <w:r>
              <w:rPr>
                <w:sz w:val="18"/>
                <w:szCs w:val="18"/>
              </w:rPr>
              <w:t>No genera los certificados.</w:t>
            </w:r>
          </w:p>
        </w:tc>
        <w:tc>
          <w:tcPr>
            <w:tcW w:w="2015" w:type="dxa"/>
            <w:shd w:val="clear" w:color="auto" w:fill="D9E2F3"/>
            <w:vAlign w:val="center"/>
          </w:tcPr>
          <w:p w14:paraId="21A6DE8C" w14:textId="77777777" w:rsidR="00990B14" w:rsidRDefault="00000000">
            <w:pPr>
              <w:spacing w:before="20" w:after="20"/>
              <w:jc w:val="both"/>
            </w:pPr>
            <w:r>
              <w:rPr>
                <w:sz w:val="18"/>
                <w:szCs w:val="18"/>
              </w:rPr>
              <w:t>Genera los certificados de retiro y la traslación de saldos.</w:t>
            </w:r>
          </w:p>
        </w:tc>
        <w:tc>
          <w:tcPr>
            <w:tcW w:w="1910" w:type="dxa"/>
            <w:shd w:val="clear" w:color="auto" w:fill="D9E2F3"/>
            <w:vAlign w:val="center"/>
          </w:tcPr>
          <w:p w14:paraId="19B46A24" w14:textId="77777777" w:rsidR="00990B14" w:rsidRDefault="00000000">
            <w:pPr>
              <w:spacing w:before="20" w:after="20"/>
              <w:jc w:val="both"/>
            </w:pPr>
            <w:r>
              <w:rPr>
                <w:sz w:val="18"/>
                <w:szCs w:val="18"/>
              </w:rPr>
              <w:t>Explica el efecto del certificado para el dependiente.</w:t>
            </w:r>
          </w:p>
        </w:tc>
      </w:tr>
      <w:tr w:rsidR="00990B14" w14:paraId="6305AB61" w14:textId="77777777">
        <w:trPr>
          <w:cantSplit/>
          <w:jc w:val="center"/>
        </w:trPr>
        <w:tc>
          <w:tcPr>
            <w:tcW w:w="1660" w:type="dxa"/>
            <w:vMerge/>
            <w:shd w:val="clear" w:color="auto" w:fill="4472C4"/>
            <w:vAlign w:val="center"/>
          </w:tcPr>
          <w:p w14:paraId="1AE2A095" w14:textId="77777777" w:rsidR="00990B14" w:rsidRDefault="00990B14">
            <w:pPr>
              <w:spacing w:before="20" w:after="20"/>
            </w:pPr>
          </w:p>
        </w:tc>
        <w:tc>
          <w:tcPr>
            <w:tcW w:w="1910" w:type="dxa"/>
            <w:shd w:val="clear" w:color="auto" w:fill="D9E2F3"/>
            <w:vAlign w:val="center"/>
          </w:tcPr>
          <w:p w14:paraId="03373C4A" w14:textId="77777777" w:rsidR="00990B14" w:rsidRDefault="00000000">
            <w:pPr>
              <w:spacing w:before="20" w:after="20"/>
              <w:jc w:val="both"/>
            </w:pPr>
            <w:r>
              <w:rPr>
                <w:sz w:val="18"/>
                <w:szCs w:val="18"/>
              </w:rPr>
              <w:t>Trabajo en equipo</w:t>
            </w:r>
          </w:p>
        </w:tc>
        <w:tc>
          <w:tcPr>
            <w:tcW w:w="1910" w:type="dxa"/>
            <w:shd w:val="clear" w:color="auto" w:fill="D9E2F3"/>
            <w:vAlign w:val="center"/>
          </w:tcPr>
          <w:p w14:paraId="79109349" w14:textId="77777777" w:rsidR="00990B14" w:rsidRDefault="00000000">
            <w:pPr>
              <w:spacing w:before="20" w:after="20"/>
              <w:jc w:val="both"/>
            </w:pPr>
            <w:r>
              <w:rPr>
                <w:sz w:val="18"/>
                <w:szCs w:val="18"/>
              </w:rPr>
              <w:t>La participación de los integrantes es desigual.</w:t>
            </w:r>
          </w:p>
        </w:tc>
        <w:tc>
          <w:tcPr>
            <w:tcW w:w="2015" w:type="dxa"/>
            <w:shd w:val="clear" w:color="auto" w:fill="D9E2F3"/>
            <w:vAlign w:val="center"/>
          </w:tcPr>
          <w:p w14:paraId="0BEF3E67" w14:textId="77777777" w:rsidR="00990B14" w:rsidRDefault="00000000">
            <w:pPr>
              <w:spacing w:before="20" w:after="20"/>
              <w:jc w:val="both"/>
            </w:pPr>
            <w:r>
              <w:rPr>
                <w:sz w:val="18"/>
                <w:szCs w:val="18"/>
              </w:rPr>
              <w:t>Todos los integrantes participan.</w:t>
            </w:r>
          </w:p>
        </w:tc>
        <w:tc>
          <w:tcPr>
            <w:tcW w:w="1910" w:type="dxa"/>
            <w:shd w:val="clear" w:color="auto" w:fill="D9E2F3"/>
            <w:vAlign w:val="center"/>
          </w:tcPr>
          <w:p w14:paraId="7439A897" w14:textId="77777777" w:rsidR="00990B14" w:rsidRDefault="00000000">
            <w:pPr>
              <w:spacing w:before="20" w:after="20"/>
              <w:jc w:val="both"/>
            </w:pPr>
            <w:r>
              <w:rPr>
                <w:sz w:val="18"/>
                <w:szCs w:val="18"/>
              </w:rPr>
              <w:t>El equipo distribuye y revisa las tareas de consolidación.</w:t>
            </w:r>
          </w:p>
        </w:tc>
      </w:tr>
      <w:tr w:rsidR="00990B14" w14:paraId="2470D188" w14:textId="77777777">
        <w:trPr>
          <w:cantSplit/>
          <w:jc w:val="center"/>
        </w:trPr>
        <w:tc>
          <w:tcPr>
            <w:tcW w:w="1660" w:type="dxa"/>
            <w:vMerge/>
            <w:shd w:val="clear" w:color="auto" w:fill="4472C4"/>
            <w:vAlign w:val="center"/>
          </w:tcPr>
          <w:p w14:paraId="6B8C9242" w14:textId="77777777" w:rsidR="00990B14" w:rsidRDefault="00990B14">
            <w:pPr>
              <w:spacing w:before="20" w:after="20"/>
            </w:pPr>
          </w:p>
        </w:tc>
        <w:tc>
          <w:tcPr>
            <w:tcW w:w="5835" w:type="dxa"/>
            <w:gridSpan w:val="3"/>
            <w:shd w:val="clear" w:color="auto" w:fill="D9E2F3"/>
            <w:vAlign w:val="center"/>
          </w:tcPr>
          <w:p w14:paraId="0AD3EF02" w14:textId="77777777" w:rsidR="00990B14" w:rsidRDefault="00000000">
            <w:pPr>
              <w:keepNext/>
              <w:spacing w:before="20" w:after="20"/>
              <w:jc w:val="both"/>
            </w:pPr>
            <w:r>
              <w:rPr>
                <w:b/>
                <w:bCs/>
                <w:i/>
                <w:iCs/>
                <w:sz w:val="18"/>
                <w:szCs w:val="18"/>
              </w:rPr>
              <w:t xml:space="preserve">Producto 21: </w:t>
            </w:r>
            <w:r>
              <w:rPr>
                <w:sz w:val="18"/>
                <w:szCs w:val="18"/>
              </w:rPr>
              <w:t>Empresa parametrizada en el ERP</w:t>
            </w:r>
          </w:p>
        </w:tc>
        <w:tc>
          <w:tcPr>
            <w:tcW w:w="1910" w:type="dxa"/>
            <w:shd w:val="clear" w:color="auto" w:fill="D9E2F3"/>
            <w:vAlign w:val="center"/>
          </w:tcPr>
          <w:p w14:paraId="7F84CB1B" w14:textId="77777777" w:rsidR="00990B14" w:rsidRDefault="00000000">
            <w:pPr>
              <w:spacing w:before="20" w:after="20"/>
              <w:jc w:val="center"/>
            </w:pPr>
            <w:r>
              <w:rPr>
                <w:b/>
                <w:bCs/>
                <w:sz w:val="18"/>
                <w:szCs w:val="18"/>
              </w:rPr>
              <w:t>4%</w:t>
            </w:r>
          </w:p>
        </w:tc>
      </w:tr>
      <w:tr w:rsidR="00990B14" w14:paraId="21321ECB" w14:textId="77777777">
        <w:trPr>
          <w:cantSplit/>
          <w:jc w:val="center"/>
        </w:trPr>
        <w:tc>
          <w:tcPr>
            <w:tcW w:w="1660" w:type="dxa"/>
            <w:vMerge/>
            <w:shd w:val="clear" w:color="auto" w:fill="4472C4"/>
            <w:vAlign w:val="center"/>
          </w:tcPr>
          <w:p w14:paraId="172318AA" w14:textId="77777777" w:rsidR="00990B14" w:rsidRDefault="00990B14">
            <w:pPr>
              <w:spacing w:before="20" w:after="20"/>
            </w:pPr>
          </w:p>
        </w:tc>
        <w:tc>
          <w:tcPr>
            <w:tcW w:w="1910" w:type="dxa"/>
            <w:shd w:val="clear" w:color="auto" w:fill="4472C4"/>
            <w:vAlign w:val="center"/>
          </w:tcPr>
          <w:p w14:paraId="3875E576"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1DF0A015"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333A12A8"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55EA8661" w14:textId="77777777" w:rsidR="00990B14" w:rsidRDefault="00000000">
            <w:pPr>
              <w:keepNext/>
              <w:spacing w:before="20" w:after="20"/>
              <w:jc w:val="center"/>
            </w:pPr>
            <w:r>
              <w:rPr>
                <w:b/>
                <w:bCs/>
                <w:i/>
                <w:iCs/>
                <w:color w:val="FFFFFF"/>
                <w:sz w:val="18"/>
                <w:szCs w:val="18"/>
              </w:rPr>
              <w:t>Destacado (81–100)</w:t>
            </w:r>
          </w:p>
        </w:tc>
      </w:tr>
      <w:tr w:rsidR="00990B14" w14:paraId="62D60F34" w14:textId="77777777">
        <w:trPr>
          <w:cantSplit/>
          <w:jc w:val="center"/>
        </w:trPr>
        <w:tc>
          <w:tcPr>
            <w:tcW w:w="1660" w:type="dxa"/>
            <w:vMerge/>
            <w:shd w:val="clear" w:color="auto" w:fill="4472C4"/>
            <w:vAlign w:val="center"/>
          </w:tcPr>
          <w:p w14:paraId="1AD40646" w14:textId="77777777" w:rsidR="00990B14" w:rsidRDefault="00990B14">
            <w:pPr>
              <w:spacing w:before="20" w:after="20"/>
            </w:pPr>
          </w:p>
        </w:tc>
        <w:tc>
          <w:tcPr>
            <w:tcW w:w="1910" w:type="dxa"/>
            <w:shd w:val="clear" w:color="auto" w:fill="D9E2F3"/>
            <w:vAlign w:val="center"/>
          </w:tcPr>
          <w:p w14:paraId="53016B91" w14:textId="77777777" w:rsidR="00990B14" w:rsidRDefault="00000000">
            <w:pPr>
              <w:spacing w:before="20" w:after="20"/>
              <w:jc w:val="both"/>
            </w:pPr>
            <w:r>
              <w:rPr>
                <w:sz w:val="18"/>
                <w:szCs w:val="18"/>
              </w:rPr>
              <w:t>Datos maestros</w:t>
            </w:r>
          </w:p>
        </w:tc>
        <w:tc>
          <w:tcPr>
            <w:tcW w:w="1910" w:type="dxa"/>
            <w:shd w:val="clear" w:color="auto" w:fill="D9E2F3"/>
            <w:vAlign w:val="center"/>
          </w:tcPr>
          <w:p w14:paraId="78888618" w14:textId="77777777" w:rsidR="00990B14" w:rsidRDefault="00000000">
            <w:pPr>
              <w:spacing w:before="20" w:after="20"/>
              <w:jc w:val="both"/>
            </w:pPr>
            <w:r>
              <w:rPr>
                <w:sz w:val="18"/>
                <w:szCs w:val="18"/>
              </w:rPr>
              <w:t>Omite monedas o impuestos.</w:t>
            </w:r>
          </w:p>
        </w:tc>
        <w:tc>
          <w:tcPr>
            <w:tcW w:w="2015" w:type="dxa"/>
            <w:shd w:val="clear" w:color="auto" w:fill="D9E2F3"/>
            <w:vAlign w:val="center"/>
          </w:tcPr>
          <w:p w14:paraId="288D408E" w14:textId="77777777" w:rsidR="00990B14" w:rsidRDefault="00000000">
            <w:pPr>
              <w:spacing w:before="20" w:after="20"/>
              <w:jc w:val="both"/>
            </w:pPr>
            <w:r>
              <w:rPr>
                <w:sz w:val="18"/>
                <w:szCs w:val="18"/>
              </w:rPr>
              <w:t>Parametriza el plan de cuentas, las monedas, los impuestos y los periodos.</w:t>
            </w:r>
          </w:p>
        </w:tc>
        <w:tc>
          <w:tcPr>
            <w:tcW w:w="1910" w:type="dxa"/>
            <w:shd w:val="clear" w:color="auto" w:fill="D9E2F3"/>
            <w:vAlign w:val="center"/>
          </w:tcPr>
          <w:p w14:paraId="4DF2488C" w14:textId="77777777" w:rsidR="00990B14" w:rsidRDefault="00000000">
            <w:pPr>
              <w:spacing w:before="20" w:after="20"/>
              <w:jc w:val="both"/>
            </w:pPr>
            <w:r>
              <w:rPr>
                <w:sz w:val="18"/>
                <w:szCs w:val="18"/>
              </w:rPr>
              <w:t>Adapta la parametrización a la normativa boliviana.</w:t>
            </w:r>
          </w:p>
        </w:tc>
      </w:tr>
      <w:tr w:rsidR="00990B14" w14:paraId="5E0E8BE0" w14:textId="77777777">
        <w:trPr>
          <w:cantSplit/>
          <w:jc w:val="center"/>
        </w:trPr>
        <w:tc>
          <w:tcPr>
            <w:tcW w:w="1660" w:type="dxa"/>
            <w:vMerge/>
            <w:shd w:val="clear" w:color="auto" w:fill="4472C4"/>
            <w:vAlign w:val="center"/>
          </w:tcPr>
          <w:p w14:paraId="491230C1" w14:textId="77777777" w:rsidR="00990B14" w:rsidRDefault="00990B14">
            <w:pPr>
              <w:spacing w:before="20" w:after="20"/>
            </w:pPr>
          </w:p>
        </w:tc>
        <w:tc>
          <w:tcPr>
            <w:tcW w:w="1910" w:type="dxa"/>
            <w:shd w:val="clear" w:color="auto" w:fill="D9E2F3"/>
            <w:vAlign w:val="center"/>
          </w:tcPr>
          <w:p w14:paraId="59E54769" w14:textId="77777777" w:rsidR="00990B14" w:rsidRDefault="00000000">
            <w:pPr>
              <w:spacing w:before="20" w:after="20"/>
              <w:jc w:val="both"/>
            </w:pPr>
            <w:r>
              <w:rPr>
                <w:sz w:val="18"/>
                <w:szCs w:val="18"/>
              </w:rPr>
              <w:t>Perfiles de usuario</w:t>
            </w:r>
          </w:p>
        </w:tc>
        <w:tc>
          <w:tcPr>
            <w:tcW w:w="1910" w:type="dxa"/>
            <w:shd w:val="clear" w:color="auto" w:fill="D9E2F3"/>
            <w:vAlign w:val="center"/>
          </w:tcPr>
          <w:p w14:paraId="4BF1652E" w14:textId="77777777" w:rsidR="00990B14" w:rsidRDefault="00000000">
            <w:pPr>
              <w:spacing w:before="20" w:after="20"/>
              <w:jc w:val="both"/>
            </w:pPr>
            <w:r>
              <w:rPr>
                <w:sz w:val="18"/>
                <w:szCs w:val="18"/>
              </w:rPr>
              <w:t>Asigna todos los permisos a un usuario.</w:t>
            </w:r>
          </w:p>
        </w:tc>
        <w:tc>
          <w:tcPr>
            <w:tcW w:w="2015" w:type="dxa"/>
            <w:shd w:val="clear" w:color="auto" w:fill="D9E2F3"/>
            <w:vAlign w:val="center"/>
          </w:tcPr>
          <w:p w14:paraId="06C36DFB" w14:textId="77777777" w:rsidR="00990B14" w:rsidRDefault="00000000">
            <w:pPr>
              <w:spacing w:before="20" w:after="20"/>
              <w:jc w:val="both"/>
            </w:pPr>
            <w:r>
              <w:rPr>
                <w:sz w:val="18"/>
                <w:szCs w:val="18"/>
              </w:rPr>
              <w:t>Define perfiles según las funciones.</w:t>
            </w:r>
          </w:p>
        </w:tc>
        <w:tc>
          <w:tcPr>
            <w:tcW w:w="1910" w:type="dxa"/>
            <w:shd w:val="clear" w:color="auto" w:fill="D9E2F3"/>
            <w:vAlign w:val="center"/>
          </w:tcPr>
          <w:p w14:paraId="125EE89D" w14:textId="77777777" w:rsidR="00990B14" w:rsidRDefault="00000000">
            <w:pPr>
              <w:spacing w:before="20" w:after="20"/>
              <w:jc w:val="both"/>
            </w:pPr>
            <w:r>
              <w:rPr>
                <w:sz w:val="18"/>
                <w:szCs w:val="18"/>
              </w:rPr>
              <w:t>Evalúa la segregación de funciones de los perfiles.</w:t>
            </w:r>
          </w:p>
        </w:tc>
      </w:tr>
      <w:tr w:rsidR="00990B14" w14:paraId="7711AAC0" w14:textId="77777777">
        <w:trPr>
          <w:cantSplit/>
          <w:jc w:val="center"/>
        </w:trPr>
        <w:tc>
          <w:tcPr>
            <w:tcW w:w="1660" w:type="dxa"/>
            <w:vMerge/>
            <w:shd w:val="clear" w:color="auto" w:fill="4472C4"/>
            <w:vAlign w:val="center"/>
          </w:tcPr>
          <w:p w14:paraId="6F18FD18" w14:textId="77777777" w:rsidR="00990B14" w:rsidRDefault="00990B14">
            <w:pPr>
              <w:spacing w:before="20" w:after="20"/>
            </w:pPr>
          </w:p>
        </w:tc>
        <w:tc>
          <w:tcPr>
            <w:tcW w:w="1910" w:type="dxa"/>
            <w:shd w:val="clear" w:color="auto" w:fill="D9E2F3"/>
            <w:vAlign w:val="center"/>
          </w:tcPr>
          <w:p w14:paraId="2CB27110" w14:textId="77777777" w:rsidR="00990B14" w:rsidRDefault="00000000">
            <w:pPr>
              <w:spacing w:before="20" w:after="20"/>
              <w:jc w:val="both"/>
            </w:pPr>
            <w:r>
              <w:rPr>
                <w:sz w:val="18"/>
                <w:szCs w:val="18"/>
              </w:rPr>
              <w:t>Documentación</w:t>
            </w:r>
          </w:p>
        </w:tc>
        <w:tc>
          <w:tcPr>
            <w:tcW w:w="1910" w:type="dxa"/>
            <w:shd w:val="clear" w:color="auto" w:fill="D9E2F3"/>
            <w:vAlign w:val="center"/>
          </w:tcPr>
          <w:p w14:paraId="54A849A7" w14:textId="77777777" w:rsidR="00990B14" w:rsidRDefault="00000000">
            <w:pPr>
              <w:spacing w:before="20" w:after="20"/>
              <w:jc w:val="both"/>
            </w:pPr>
            <w:r>
              <w:rPr>
                <w:sz w:val="18"/>
                <w:szCs w:val="18"/>
              </w:rPr>
              <w:t>No documenta la parametrización.</w:t>
            </w:r>
          </w:p>
        </w:tc>
        <w:tc>
          <w:tcPr>
            <w:tcW w:w="2015" w:type="dxa"/>
            <w:shd w:val="clear" w:color="auto" w:fill="D9E2F3"/>
            <w:vAlign w:val="center"/>
          </w:tcPr>
          <w:p w14:paraId="571E7983" w14:textId="77777777" w:rsidR="00990B14" w:rsidRDefault="00000000">
            <w:pPr>
              <w:spacing w:before="20" w:after="20"/>
              <w:jc w:val="both"/>
            </w:pPr>
            <w:r>
              <w:rPr>
                <w:sz w:val="18"/>
                <w:szCs w:val="18"/>
              </w:rPr>
              <w:t>Documenta los parámetros cargados.</w:t>
            </w:r>
          </w:p>
        </w:tc>
        <w:tc>
          <w:tcPr>
            <w:tcW w:w="1910" w:type="dxa"/>
            <w:shd w:val="clear" w:color="auto" w:fill="D9E2F3"/>
            <w:vAlign w:val="center"/>
          </w:tcPr>
          <w:p w14:paraId="47287B5E" w14:textId="77777777" w:rsidR="00990B14" w:rsidRDefault="00000000">
            <w:pPr>
              <w:spacing w:before="20" w:after="20"/>
              <w:jc w:val="both"/>
            </w:pPr>
            <w:r>
              <w:rPr>
                <w:sz w:val="18"/>
                <w:szCs w:val="18"/>
              </w:rPr>
              <w:t>Elabora una guía reutilizable de parametrización.</w:t>
            </w:r>
          </w:p>
        </w:tc>
      </w:tr>
      <w:tr w:rsidR="00990B14" w14:paraId="01BC44F2" w14:textId="77777777">
        <w:trPr>
          <w:cantSplit/>
          <w:jc w:val="center"/>
        </w:trPr>
        <w:tc>
          <w:tcPr>
            <w:tcW w:w="1660" w:type="dxa"/>
            <w:vMerge/>
            <w:shd w:val="clear" w:color="auto" w:fill="4472C4"/>
            <w:vAlign w:val="center"/>
          </w:tcPr>
          <w:p w14:paraId="7BD06D46" w14:textId="77777777" w:rsidR="00990B14" w:rsidRDefault="00990B14">
            <w:pPr>
              <w:spacing w:before="20" w:after="20"/>
            </w:pPr>
          </w:p>
        </w:tc>
        <w:tc>
          <w:tcPr>
            <w:tcW w:w="5835" w:type="dxa"/>
            <w:gridSpan w:val="3"/>
            <w:shd w:val="clear" w:color="auto" w:fill="D9E2F3"/>
            <w:vAlign w:val="center"/>
          </w:tcPr>
          <w:p w14:paraId="05FD1B6E" w14:textId="77777777" w:rsidR="00990B14" w:rsidRDefault="00000000">
            <w:pPr>
              <w:keepNext/>
              <w:spacing w:before="20" w:after="20"/>
              <w:jc w:val="both"/>
            </w:pPr>
            <w:r>
              <w:rPr>
                <w:b/>
                <w:bCs/>
                <w:i/>
                <w:iCs/>
                <w:sz w:val="18"/>
                <w:szCs w:val="18"/>
              </w:rPr>
              <w:t xml:space="preserve">Producto 22: </w:t>
            </w:r>
            <w:r>
              <w:rPr>
                <w:sz w:val="18"/>
                <w:szCs w:val="18"/>
              </w:rPr>
              <w:t>Ciclo de Operaciones en el ERP</w:t>
            </w:r>
          </w:p>
        </w:tc>
        <w:tc>
          <w:tcPr>
            <w:tcW w:w="1910" w:type="dxa"/>
            <w:shd w:val="clear" w:color="auto" w:fill="D9E2F3"/>
            <w:vAlign w:val="center"/>
          </w:tcPr>
          <w:p w14:paraId="5A120E52" w14:textId="77777777" w:rsidR="00990B14" w:rsidRDefault="00000000">
            <w:pPr>
              <w:spacing w:before="20" w:after="20"/>
              <w:jc w:val="center"/>
            </w:pPr>
            <w:r>
              <w:rPr>
                <w:b/>
                <w:bCs/>
                <w:sz w:val="18"/>
                <w:szCs w:val="18"/>
              </w:rPr>
              <w:t>4%</w:t>
            </w:r>
          </w:p>
        </w:tc>
      </w:tr>
      <w:tr w:rsidR="00990B14" w14:paraId="106DFE8B" w14:textId="77777777">
        <w:trPr>
          <w:cantSplit/>
          <w:jc w:val="center"/>
        </w:trPr>
        <w:tc>
          <w:tcPr>
            <w:tcW w:w="1660" w:type="dxa"/>
            <w:vMerge/>
            <w:shd w:val="clear" w:color="auto" w:fill="4472C4"/>
            <w:vAlign w:val="center"/>
          </w:tcPr>
          <w:p w14:paraId="2EADB3A2" w14:textId="77777777" w:rsidR="00990B14" w:rsidRDefault="00990B14">
            <w:pPr>
              <w:spacing w:before="20" w:after="20"/>
            </w:pPr>
          </w:p>
        </w:tc>
        <w:tc>
          <w:tcPr>
            <w:tcW w:w="1910" w:type="dxa"/>
            <w:shd w:val="clear" w:color="auto" w:fill="4472C4"/>
            <w:vAlign w:val="center"/>
          </w:tcPr>
          <w:p w14:paraId="58D11EC6"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6996895D"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4F20A327"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321FFE5D" w14:textId="77777777" w:rsidR="00990B14" w:rsidRDefault="00000000">
            <w:pPr>
              <w:keepNext/>
              <w:spacing w:before="20" w:after="20"/>
              <w:jc w:val="center"/>
            </w:pPr>
            <w:r>
              <w:rPr>
                <w:b/>
                <w:bCs/>
                <w:i/>
                <w:iCs/>
                <w:color w:val="FFFFFF"/>
                <w:sz w:val="18"/>
                <w:szCs w:val="18"/>
              </w:rPr>
              <w:t>Destacado (81–100)</w:t>
            </w:r>
          </w:p>
        </w:tc>
      </w:tr>
      <w:tr w:rsidR="00990B14" w14:paraId="32E96BA8" w14:textId="77777777">
        <w:trPr>
          <w:cantSplit/>
          <w:jc w:val="center"/>
        </w:trPr>
        <w:tc>
          <w:tcPr>
            <w:tcW w:w="1660" w:type="dxa"/>
            <w:vMerge/>
            <w:shd w:val="clear" w:color="auto" w:fill="4472C4"/>
            <w:vAlign w:val="center"/>
          </w:tcPr>
          <w:p w14:paraId="66CADC48" w14:textId="77777777" w:rsidR="00990B14" w:rsidRDefault="00990B14">
            <w:pPr>
              <w:spacing w:before="20" w:after="20"/>
            </w:pPr>
          </w:p>
        </w:tc>
        <w:tc>
          <w:tcPr>
            <w:tcW w:w="1910" w:type="dxa"/>
            <w:shd w:val="clear" w:color="auto" w:fill="D9E2F3"/>
            <w:vAlign w:val="center"/>
          </w:tcPr>
          <w:p w14:paraId="0F71A26E" w14:textId="77777777" w:rsidR="00990B14" w:rsidRDefault="00000000">
            <w:pPr>
              <w:spacing w:before="20" w:after="20"/>
              <w:jc w:val="both"/>
            </w:pPr>
            <w:r>
              <w:rPr>
                <w:sz w:val="18"/>
                <w:szCs w:val="18"/>
              </w:rPr>
              <w:t>Ciclo de compras y ventas</w:t>
            </w:r>
          </w:p>
        </w:tc>
        <w:tc>
          <w:tcPr>
            <w:tcW w:w="1910" w:type="dxa"/>
            <w:shd w:val="clear" w:color="auto" w:fill="D9E2F3"/>
            <w:vAlign w:val="center"/>
          </w:tcPr>
          <w:p w14:paraId="15711B7F" w14:textId="77777777" w:rsidR="00990B14" w:rsidRDefault="00000000">
            <w:pPr>
              <w:spacing w:before="20" w:after="20"/>
              <w:jc w:val="both"/>
            </w:pPr>
            <w:r>
              <w:rPr>
                <w:sz w:val="18"/>
                <w:szCs w:val="18"/>
              </w:rPr>
              <w:t>Omite documentos del ciclo.</w:t>
            </w:r>
          </w:p>
        </w:tc>
        <w:tc>
          <w:tcPr>
            <w:tcW w:w="2015" w:type="dxa"/>
            <w:shd w:val="clear" w:color="auto" w:fill="D9E2F3"/>
            <w:vAlign w:val="center"/>
          </w:tcPr>
          <w:p w14:paraId="2F38A031" w14:textId="77777777" w:rsidR="00990B14" w:rsidRDefault="00000000">
            <w:pPr>
              <w:spacing w:before="20" w:after="20"/>
              <w:jc w:val="both"/>
            </w:pPr>
            <w:r>
              <w:rPr>
                <w:sz w:val="18"/>
                <w:szCs w:val="18"/>
              </w:rPr>
              <w:t>Registra el ciclo desde el documento comercial hasta el cobro o pago.</w:t>
            </w:r>
          </w:p>
        </w:tc>
        <w:tc>
          <w:tcPr>
            <w:tcW w:w="1910" w:type="dxa"/>
            <w:shd w:val="clear" w:color="auto" w:fill="D9E2F3"/>
            <w:vAlign w:val="center"/>
          </w:tcPr>
          <w:p w14:paraId="2A665576" w14:textId="77777777" w:rsidR="00990B14" w:rsidRDefault="00000000">
            <w:pPr>
              <w:spacing w:before="20" w:after="20"/>
              <w:jc w:val="both"/>
            </w:pPr>
            <w:r>
              <w:rPr>
                <w:sz w:val="18"/>
                <w:szCs w:val="18"/>
              </w:rPr>
              <w:t>Explica la integración entre módulos.</w:t>
            </w:r>
          </w:p>
        </w:tc>
      </w:tr>
      <w:tr w:rsidR="00990B14" w14:paraId="71A5EEEF" w14:textId="77777777">
        <w:trPr>
          <w:cantSplit/>
          <w:jc w:val="center"/>
        </w:trPr>
        <w:tc>
          <w:tcPr>
            <w:tcW w:w="1660" w:type="dxa"/>
            <w:vMerge/>
            <w:shd w:val="clear" w:color="auto" w:fill="4472C4"/>
            <w:vAlign w:val="center"/>
          </w:tcPr>
          <w:p w14:paraId="3FD3D310" w14:textId="77777777" w:rsidR="00990B14" w:rsidRDefault="00990B14">
            <w:pPr>
              <w:spacing w:before="20" w:after="20"/>
            </w:pPr>
          </w:p>
        </w:tc>
        <w:tc>
          <w:tcPr>
            <w:tcW w:w="1910" w:type="dxa"/>
            <w:shd w:val="clear" w:color="auto" w:fill="D9E2F3"/>
            <w:vAlign w:val="center"/>
          </w:tcPr>
          <w:p w14:paraId="3C54EE25" w14:textId="77777777" w:rsidR="00990B14" w:rsidRDefault="00000000">
            <w:pPr>
              <w:spacing w:before="20" w:after="20"/>
              <w:jc w:val="both"/>
            </w:pPr>
            <w:r>
              <w:rPr>
                <w:sz w:val="18"/>
                <w:szCs w:val="18"/>
              </w:rPr>
              <w:t>Asientos automáticos</w:t>
            </w:r>
          </w:p>
        </w:tc>
        <w:tc>
          <w:tcPr>
            <w:tcW w:w="1910" w:type="dxa"/>
            <w:shd w:val="clear" w:color="auto" w:fill="D9E2F3"/>
            <w:vAlign w:val="center"/>
          </w:tcPr>
          <w:p w14:paraId="2140D969" w14:textId="77777777" w:rsidR="00990B14" w:rsidRDefault="00000000">
            <w:pPr>
              <w:spacing w:before="20" w:after="20"/>
              <w:jc w:val="both"/>
            </w:pPr>
            <w:r>
              <w:rPr>
                <w:sz w:val="18"/>
                <w:szCs w:val="18"/>
              </w:rPr>
              <w:t>No verifica los asientos.</w:t>
            </w:r>
          </w:p>
        </w:tc>
        <w:tc>
          <w:tcPr>
            <w:tcW w:w="2015" w:type="dxa"/>
            <w:shd w:val="clear" w:color="auto" w:fill="D9E2F3"/>
            <w:vAlign w:val="center"/>
          </w:tcPr>
          <w:p w14:paraId="4FE14E10" w14:textId="77777777" w:rsidR="00990B14" w:rsidRDefault="00000000">
            <w:pPr>
              <w:spacing w:before="20" w:after="20"/>
              <w:jc w:val="both"/>
            </w:pPr>
            <w:r>
              <w:rPr>
                <w:sz w:val="18"/>
                <w:szCs w:val="18"/>
              </w:rPr>
              <w:t>Verifica los asientos generados por el sistema.</w:t>
            </w:r>
          </w:p>
        </w:tc>
        <w:tc>
          <w:tcPr>
            <w:tcW w:w="1910" w:type="dxa"/>
            <w:shd w:val="clear" w:color="auto" w:fill="D9E2F3"/>
            <w:vAlign w:val="center"/>
          </w:tcPr>
          <w:p w14:paraId="117C8924" w14:textId="77777777" w:rsidR="00990B14" w:rsidRDefault="00000000">
            <w:pPr>
              <w:spacing w:before="20" w:after="20"/>
              <w:jc w:val="both"/>
            </w:pPr>
            <w:r>
              <w:rPr>
                <w:sz w:val="18"/>
                <w:szCs w:val="18"/>
              </w:rPr>
              <w:t>Detecta errores de parametrización en los asientos.</w:t>
            </w:r>
          </w:p>
        </w:tc>
      </w:tr>
      <w:tr w:rsidR="00990B14" w14:paraId="63DEDDAF" w14:textId="77777777">
        <w:trPr>
          <w:cantSplit/>
          <w:jc w:val="center"/>
        </w:trPr>
        <w:tc>
          <w:tcPr>
            <w:tcW w:w="1660" w:type="dxa"/>
            <w:vMerge/>
            <w:shd w:val="clear" w:color="auto" w:fill="4472C4"/>
            <w:vAlign w:val="center"/>
          </w:tcPr>
          <w:p w14:paraId="05CC4442" w14:textId="77777777" w:rsidR="00990B14" w:rsidRDefault="00990B14">
            <w:pPr>
              <w:spacing w:before="20" w:after="20"/>
            </w:pPr>
          </w:p>
        </w:tc>
        <w:tc>
          <w:tcPr>
            <w:tcW w:w="1910" w:type="dxa"/>
            <w:shd w:val="clear" w:color="auto" w:fill="D9E2F3"/>
            <w:vAlign w:val="center"/>
          </w:tcPr>
          <w:p w14:paraId="08634E27" w14:textId="77777777" w:rsidR="00990B14" w:rsidRDefault="00000000">
            <w:pPr>
              <w:spacing w:before="20" w:after="20"/>
              <w:jc w:val="both"/>
            </w:pPr>
            <w:r>
              <w:rPr>
                <w:sz w:val="18"/>
                <w:szCs w:val="18"/>
              </w:rPr>
              <w:t>Trabajo en equipo</w:t>
            </w:r>
          </w:p>
        </w:tc>
        <w:tc>
          <w:tcPr>
            <w:tcW w:w="1910" w:type="dxa"/>
            <w:shd w:val="clear" w:color="auto" w:fill="D9E2F3"/>
            <w:vAlign w:val="center"/>
          </w:tcPr>
          <w:p w14:paraId="64B9EE28" w14:textId="77777777" w:rsidR="00990B14" w:rsidRDefault="00000000">
            <w:pPr>
              <w:spacing w:before="20" w:after="20"/>
              <w:jc w:val="both"/>
            </w:pPr>
            <w:r>
              <w:rPr>
                <w:sz w:val="18"/>
                <w:szCs w:val="18"/>
              </w:rPr>
              <w:t>La participación de los integrantes es desigual.</w:t>
            </w:r>
          </w:p>
        </w:tc>
        <w:tc>
          <w:tcPr>
            <w:tcW w:w="2015" w:type="dxa"/>
            <w:shd w:val="clear" w:color="auto" w:fill="D9E2F3"/>
            <w:vAlign w:val="center"/>
          </w:tcPr>
          <w:p w14:paraId="4BF25304" w14:textId="77777777" w:rsidR="00990B14" w:rsidRDefault="00000000">
            <w:pPr>
              <w:spacing w:before="20" w:after="20"/>
              <w:jc w:val="both"/>
            </w:pPr>
            <w:r>
              <w:rPr>
                <w:sz w:val="18"/>
                <w:szCs w:val="18"/>
              </w:rPr>
              <w:t>Todos los integrantes participan.</w:t>
            </w:r>
          </w:p>
        </w:tc>
        <w:tc>
          <w:tcPr>
            <w:tcW w:w="1910" w:type="dxa"/>
            <w:shd w:val="clear" w:color="auto" w:fill="D9E2F3"/>
            <w:vAlign w:val="center"/>
          </w:tcPr>
          <w:p w14:paraId="2A679C2B" w14:textId="77777777" w:rsidR="00990B14" w:rsidRDefault="00000000">
            <w:pPr>
              <w:spacing w:before="20" w:after="20"/>
              <w:jc w:val="both"/>
            </w:pPr>
            <w:r>
              <w:rPr>
                <w:sz w:val="18"/>
                <w:szCs w:val="18"/>
              </w:rPr>
              <w:t>El equipo presenta el cierre y los estados financieros emitidos.</w:t>
            </w:r>
          </w:p>
        </w:tc>
      </w:tr>
      <w:tr w:rsidR="00990B14" w14:paraId="308E48F9" w14:textId="77777777">
        <w:trPr>
          <w:cantSplit/>
          <w:jc w:val="center"/>
        </w:trPr>
        <w:tc>
          <w:tcPr>
            <w:tcW w:w="1660" w:type="dxa"/>
            <w:vMerge/>
            <w:shd w:val="clear" w:color="auto" w:fill="4472C4"/>
            <w:vAlign w:val="center"/>
          </w:tcPr>
          <w:p w14:paraId="77EB6806" w14:textId="77777777" w:rsidR="00990B14" w:rsidRDefault="00990B14">
            <w:pPr>
              <w:spacing w:before="20" w:after="20"/>
            </w:pPr>
          </w:p>
        </w:tc>
        <w:tc>
          <w:tcPr>
            <w:tcW w:w="5835" w:type="dxa"/>
            <w:gridSpan w:val="3"/>
            <w:shd w:val="clear" w:color="auto" w:fill="D9E2F3"/>
            <w:vAlign w:val="center"/>
          </w:tcPr>
          <w:p w14:paraId="1D02AC23" w14:textId="77777777" w:rsidR="00990B14" w:rsidRDefault="00000000">
            <w:pPr>
              <w:keepNext/>
              <w:spacing w:before="20" w:after="20"/>
              <w:jc w:val="both"/>
            </w:pPr>
            <w:r>
              <w:rPr>
                <w:b/>
                <w:bCs/>
                <w:i/>
                <w:iCs/>
                <w:sz w:val="18"/>
                <w:szCs w:val="18"/>
              </w:rPr>
              <w:t xml:space="preserve">Producto 23: </w:t>
            </w:r>
            <w:r>
              <w:rPr>
                <w:sz w:val="18"/>
                <w:szCs w:val="18"/>
              </w:rPr>
              <w:t>Base de datos contables depurada</w:t>
            </w:r>
          </w:p>
        </w:tc>
        <w:tc>
          <w:tcPr>
            <w:tcW w:w="1910" w:type="dxa"/>
            <w:shd w:val="clear" w:color="auto" w:fill="D9E2F3"/>
            <w:vAlign w:val="center"/>
          </w:tcPr>
          <w:p w14:paraId="0A927B3B" w14:textId="77777777" w:rsidR="00990B14" w:rsidRDefault="00000000">
            <w:pPr>
              <w:spacing w:before="20" w:after="20"/>
              <w:jc w:val="center"/>
            </w:pPr>
            <w:r>
              <w:rPr>
                <w:b/>
                <w:bCs/>
                <w:sz w:val="18"/>
                <w:szCs w:val="18"/>
              </w:rPr>
              <w:t>4%</w:t>
            </w:r>
          </w:p>
        </w:tc>
      </w:tr>
      <w:tr w:rsidR="00990B14" w14:paraId="5E1BDF0B" w14:textId="77777777">
        <w:trPr>
          <w:cantSplit/>
          <w:jc w:val="center"/>
        </w:trPr>
        <w:tc>
          <w:tcPr>
            <w:tcW w:w="1660" w:type="dxa"/>
            <w:vMerge/>
            <w:shd w:val="clear" w:color="auto" w:fill="4472C4"/>
            <w:vAlign w:val="center"/>
          </w:tcPr>
          <w:p w14:paraId="5D923752" w14:textId="77777777" w:rsidR="00990B14" w:rsidRDefault="00990B14">
            <w:pPr>
              <w:spacing w:before="20" w:after="20"/>
            </w:pPr>
          </w:p>
        </w:tc>
        <w:tc>
          <w:tcPr>
            <w:tcW w:w="1910" w:type="dxa"/>
            <w:shd w:val="clear" w:color="auto" w:fill="4472C4"/>
            <w:vAlign w:val="center"/>
          </w:tcPr>
          <w:p w14:paraId="4D612DD7"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24285DE9"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3BA76E17"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213735E9" w14:textId="77777777" w:rsidR="00990B14" w:rsidRDefault="00000000">
            <w:pPr>
              <w:keepNext/>
              <w:spacing w:before="20" w:after="20"/>
              <w:jc w:val="center"/>
            </w:pPr>
            <w:r>
              <w:rPr>
                <w:b/>
                <w:bCs/>
                <w:i/>
                <w:iCs/>
                <w:color w:val="FFFFFF"/>
                <w:sz w:val="18"/>
                <w:szCs w:val="18"/>
              </w:rPr>
              <w:t>Destacado (81–100)</w:t>
            </w:r>
          </w:p>
        </w:tc>
      </w:tr>
      <w:tr w:rsidR="00990B14" w14:paraId="1421AC03" w14:textId="77777777">
        <w:trPr>
          <w:cantSplit/>
          <w:jc w:val="center"/>
        </w:trPr>
        <w:tc>
          <w:tcPr>
            <w:tcW w:w="1660" w:type="dxa"/>
            <w:vMerge/>
            <w:shd w:val="clear" w:color="auto" w:fill="4472C4"/>
            <w:vAlign w:val="center"/>
          </w:tcPr>
          <w:p w14:paraId="6E489A0F" w14:textId="77777777" w:rsidR="00990B14" w:rsidRDefault="00990B14">
            <w:pPr>
              <w:spacing w:before="20" w:after="20"/>
            </w:pPr>
          </w:p>
        </w:tc>
        <w:tc>
          <w:tcPr>
            <w:tcW w:w="1910" w:type="dxa"/>
            <w:shd w:val="clear" w:color="auto" w:fill="D9E2F3"/>
            <w:vAlign w:val="center"/>
          </w:tcPr>
          <w:p w14:paraId="724B3552" w14:textId="77777777" w:rsidR="00990B14" w:rsidRDefault="00000000">
            <w:pPr>
              <w:spacing w:before="20" w:after="20"/>
              <w:jc w:val="both"/>
            </w:pPr>
            <w:r>
              <w:rPr>
                <w:sz w:val="18"/>
                <w:szCs w:val="18"/>
              </w:rPr>
              <w:t>Extracción</w:t>
            </w:r>
          </w:p>
        </w:tc>
        <w:tc>
          <w:tcPr>
            <w:tcW w:w="1910" w:type="dxa"/>
            <w:shd w:val="clear" w:color="auto" w:fill="D9E2F3"/>
            <w:vAlign w:val="center"/>
          </w:tcPr>
          <w:p w14:paraId="4A497F01" w14:textId="77777777" w:rsidR="00990B14" w:rsidRDefault="00000000">
            <w:pPr>
              <w:spacing w:before="20" w:after="20"/>
              <w:jc w:val="both"/>
            </w:pPr>
            <w:r>
              <w:rPr>
                <w:sz w:val="18"/>
                <w:szCs w:val="18"/>
              </w:rPr>
              <w:t>Los datos extraídos están incompletos.</w:t>
            </w:r>
          </w:p>
        </w:tc>
        <w:tc>
          <w:tcPr>
            <w:tcW w:w="2015" w:type="dxa"/>
            <w:shd w:val="clear" w:color="auto" w:fill="D9E2F3"/>
            <w:vAlign w:val="center"/>
          </w:tcPr>
          <w:p w14:paraId="009A18B7" w14:textId="77777777" w:rsidR="00990B14" w:rsidRDefault="00000000">
            <w:pPr>
              <w:spacing w:before="20" w:after="20"/>
              <w:jc w:val="both"/>
            </w:pPr>
            <w:r>
              <w:rPr>
                <w:sz w:val="18"/>
                <w:szCs w:val="18"/>
              </w:rPr>
              <w:t>Exporta los datos completos del periodo.</w:t>
            </w:r>
          </w:p>
        </w:tc>
        <w:tc>
          <w:tcPr>
            <w:tcW w:w="1910" w:type="dxa"/>
            <w:shd w:val="clear" w:color="auto" w:fill="D9E2F3"/>
            <w:vAlign w:val="center"/>
          </w:tcPr>
          <w:p w14:paraId="32B2E5AB" w14:textId="77777777" w:rsidR="00990B14" w:rsidRDefault="00000000">
            <w:pPr>
              <w:spacing w:before="20" w:after="20"/>
              <w:jc w:val="both"/>
            </w:pPr>
            <w:r>
              <w:rPr>
                <w:sz w:val="18"/>
                <w:szCs w:val="18"/>
              </w:rPr>
              <w:t>Automatiza la actualización de la extracción.</w:t>
            </w:r>
          </w:p>
        </w:tc>
      </w:tr>
      <w:tr w:rsidR="00990B14" w14:paraId="4138B2E0" w14:textId="77777777">
        <w:trPr>
          <w:cantSplit/>
          <w:jc w:val="center"/>
        </w:trPr>
        <w:tc>
          <w:tcPr>
            <w:tcW w:w="1660" w:type="dxa"/>
            <w:vMerge/>
            <w:shd w:val="clear" w:color="auto" w:fill="4472C4"/>
            <w:vAlign w:val="center"/>
          </w:tcPr>
          <w:p w14:paraId="6AD0BABA" w14:textId="77777777" w:rsidR="00990B14" w:rsidRDefault="00990B14">
            <w:pPr>
              <w:spacing w:before="20" w:after="20"/>
            </w:pPr>
          </w:p>
        </w:tc>
        <w:tc>
          <w:tcPr>
            <w:tcW w:w="1910" w:type="dxa"/>
            <w:shd w:val="clear" w:color="auto" w:fill="D9E2F3"/>
            <w:vAlign w:val="center"/>
          </w:tcPr>
          <w:p w14:paraId="64986CA3" w14:textId="77777777" w:rsidR="00990B14" w:rsidRDefault="00000000">
            <w:pPr>
              <w:spacing w:before="20" w:after="20"/>
              <w:jc w:val="both"/>
            </w:pPr>
            <w:r>
              <w:rPr>
                <w:sz w:val="18"/>
                <w:szCs w:val="18"/>
              </w:rPr>
              <w:t>Depuración</w:t>
            </w:r>
          </w:p>
        </w:tc>
        <w:tc>
          <w:tcPr>
            <w:tcW w:w="1910" w:type="dxa"/>
            <w:shd w:val="clear" w:color="auto" w:fill="D9E2F3"/>
            <w:vAlign w:val="center"/>
          </w:tcPr>
          <w:p w14:paraId="468CA393" w14:textId="77777777" w:rsidR="00990B14" w:rsidRDefault="00000000">
            <w:pPr>
              <w:spacing w:before="20" w:after="20"/>
              <w:jc w:val="both"/>
            </w:pPr>
            <w:r>
              <w:rPr>
                <w:sz w:val="18"/>
                <w:szCs w:val="18"/>
              </w:rPr>
              <w:t>Deja duplicados o errores de formato.</w:t>
            </w:r>
          </w:p>
        </w:tc>
        <w:tc>
          <w:tcPr>
            <w:tcW w:w="2015" w:type="dxa"/>
            <w:shd w:val="clear" w:color="auto" w:fill="D9E2F3"/>
            <w:vAlign w:val="center"/>
          </w:tcPr>
          <w:p w14:paraId="1C6C09A2" w14:textId="77777777" w:rsidR="00990B14" w:rsidRDefault="00000000">
            <w:pPr>
              <w:spacing w:before="20" w:after="20"/>
              <w:jc w:val="both"/>
            </w:pPr>
            <w:r>
              <w:rPr>
                <w:sz w:val="18"/>
                <w:szCs w:val="18"/>
              </w:rPr>
              <w:t>Depura y transforma los datos correctamente.</w:t>
            </w:r>
          </w:p>
        </w:tc>
        <w:tc>
          <w:tcPr>
            <w:tcW w:w="1910" w:type="dxa"/>
            <w:shd w:val="clear" w:color="auto" w:fill="D9E2F3"/>
            <w:vAlign w:val="center"/>
          </w:tcPr>
          <w:p w14:paraId="77BA4D69" w14:textId="77777777" w:rsidR="00990B14" w:rsidRDefault="00000000">
            <w:pPr>
              <w:spacing w:before="20" w:after="20"/>
              <w:jc w:val="both"/>
            </w:pPr>
            <w:r>
              <w:rPr>
                <w:sz w:val="18"/>
                <w:szCs w:val="18"/>
              </w:rPr>
              <w:t>Detecta valores atípicos en la información.</w:t>
            </w:r>
          </w:p>
        </w:tc>
      </w:tr>
      <w:tr w:rsidR="00990B14" w14:paraId="7411CEA6" w14:textId="77777777">
        <w:trPr>
          <w:cantSplit/>
          <w:jc w:val="center"/>
        </w:trPr>
        <w:tc>
          <w:tcPr>
            <w:tcW w:w="1660" w:type="dxa"/>
            <w:vMerge/>
            <w:shd w:val="clear" w:color="auto" w:fill="4472C4"/>
            <w:vAlign w:val="center"/>
          </w:tcPr>
          <w:p w14:paraId="37330D6C" w14:textId="77777777" w:rsidR="00990B14" w:rsidRDefault="00990B14">
            <w:pPr>
              <w:spacing w:before="20" w:after="20"/>
            </w:pPr>
          </w:p>
        </w:tc>
        <w:tc>
          <w:tcPr>
            <w:tcW w:w="1910" w:type="dxa"/>
            <w:shd w:val="clear" w:color="auto" w:fill="D9E2F3"/>
            <w:vAlign w:val="center"/>
          </w:tcPr>
          <w:p w14:paraId="3C96BE1A" w14:textId="77777777" w:rsidR="00990B14" w:rsidRDefault="00000000">
            <w:pPr>
              <w:spacing w:before="20" w:after="20"/>
              <w:jc w:val="both"/>
            </w:pPr>
            <w:r>
              <w:rPr>
                <w:sz w:val="18"/>
                <w:szCs w:val="18"/>
              </w:rPr>
              <w:t>Integridad</w:t>
            </w:r>
          </w:p>
        </w:tc>
        <w:tc>
          <w:tcPr>
            <w:tcW w:w="1910" w:type="dxa"/>
            <w:shd w:val="clear" w:color="auto" w:fill="D9E2F3"/>
            <w:vAlign w:val="center"/>
          </w:tcPr>
          <w:p w14:paraId="7E07CB6D" w14:textId="77777777" w:rsidR="00990B14" w:rsidRDefault="00000000">
            <w:pPr>
              <w:spacing w:before="20" w:after="20"/>
              <w:jc w:val="both"/>
            </w:pPr>
            <w:r>
              <w:rPr>
                <w:sz w:val="18"/>
                <w:szCs w:val="18"/>
              </w:rPr>
              <w:t>Los totales no cuadran con el ERP.</w:t>
            </w:r>
          </w:p>
        </w:tc>
        <w:tc>
          <w:tcPr>
            <w:tcW w:w="2015" w:type="dxa"/>
            <w:shd w:val="clear" w:color="auto" w:fill="D9E2F3"/>
            <w:vAlign w:val="center"/>
          </w:tcPr>
          <w:p w14:paraId="0C140897" w14:textId="77777777" w:rsidR="00990B14" w:rsidRDefault="00000000">
            <w:pPr>
              <w:spacing w:before="20" w:after="20"/>
              <w:jc w:val="both"/>
            </w:pPr>
            <w:r>
              <w:rPr>
                <w:sz w:val="18"/>
                <w:szCs w:val="18"/>
              </w:rPr>
              <w:t>Los totales coinciden con el ERP.</w:t>
            </w:r>
          </w:p>
        </w:tc>
        <w:tc>
          <w:tcPr>
            <w:tcW w:w="1910" w:type="dxa"/>
            <w:shd w:val="clear" w:color="auto" w:fill="D9E2F3"/>
            <w:vAlign w:val="center"/>
          </w:tcPr>
          <w:p w14:paraId="779A4339" w14:textId="77777777" w:rsidR="00990B14" w:rsidRDefault="00000000">
            <w:pPr>
              <w:spacing w:before="20" w:after="20"/>
              <w:jc w:val="both"/>
            </w:pPr>
            <w:r>
              <w:rPr>
                <w:sz w:val="18"/>
                <w:szCs w:val="18"/>
              </w:rPr>
              <w:t>Documenta cada transformación aplicada.</w:t>
            </w:r>
          </w:p>
        </w:tc>
      </w:tr>
      <w:tr w:rsidR="00990B14" w14:paraId="6BD95162" w14:textId="77777777">
        <w:trPr>
          <w:cantSplit/>
          <w:jc w:val="center"/>
        </w:trPr>
        <w:tc>
          <w:tcPr>
            <w:tcW w:w="1660" w:type="dxa"/>
            <w:vMerge/>
            <w:shd w:val="clear" w:color="auto" w:fill="4472C4"/>
            <w:vAlign w:val="center"/>
          </w:tcPr>
          <w:p w14:paraId="6A31BAB3" w14:textId="77777777" w:rsidR="00990B14" w:rsidRDefault="00990B14">
            <w:pPr>
              <w:spacing w:before="20" w:after="20"/>
            </w:pPr>
          </w:p>
        </w:tc>
        <w:tc>
          <w:tcPr>
            <w:tcW w:w="5835" w:type="dxa"/>
            <w:gridSpan w:val="3"/>
            <w:shd w:val="clear" w:color="auto" w:fill="D9E2F3"/>
            <w:vAlign w:val="center"/>
          </w:tcPr>
          <w:p w14:paraId="10D463BC" w14:textId="77777777" w:rsidR="00990B14" w:rsidRDefault="00000000">
            <w:pPr>
              <w:keepNext/>
              <w:spacing w:before="20" w:after="20"/>
              <w:jc w:val="both"/>
            </w:pPr>
            <w:r>
              <w:rPr>
                <w:b/>
                <w:bCs/>
                <w:i/>
                <w:iCs/>
                <w:sz w:val="18"/>
                <w:szCs w:val="18"/>
              </w:rPr>
              <w:t xml:space="preserve">Producto 24: </w:t>
            </w:r>
            <w:r>
              <w:rPr>
                <w:sz w:val="18"/>
                <w:szCs w:val="18"/>
              </w:rPr>
              <w:t>Tablero de indicadores en Power BI</w:t>
            </w:r>
          </w:p>
        </w:tc>
        <w:tc>
          <w:tcPr>
            <w:tcW w:w="1910" w:type="dxa"/>
            <w:shd w:val="clear" w:color="auto" w:fill="D9E2F3"/>
            <w:vAlign w:val="center"/>
          </w:tcPr>
          <w:p w14:paraId="3F02DCB1" w14:textId="77777777" w:rsidR="00990B14" w:rsidRDefault="00000000">
            <w:pPr>
              <w:spacing w:before="20" w:after="20"/>
              <w:jc w:val="center"/>
            </w:pPr>
            <w:r>
              <w:rPr>
                <w:b/>
                <w:bCs/>
                <w:sz w:val="18"/>
                <w:szCs w:val="18"/>
              </w:rPr>
              <w:t>3%</w:t>
            </w:r>
          </w:p>
        </w:tc>
      </w:tr>
      <w:tr w:rsidR="00990B14" w14:paraId="28494293" w14:textId="77777777">
        <w:trPr>
          <w:cantSplit/>
          <w:jc w:val="center"/>
        </w:trPr>
        <w:tc>
          <w:tcPr>
            <w:tcW w:w="1660" w:type="dxa"/>
            <w:vMerge/>
            <w:shd w:val="clear" w:color="auto" w:fill="4472C4"/>
            <w:vAlign w:val="center"/>
          </w:tcPr>
          <w:p w14:paraId="0B1409B3" w14:textId="77777777" w:rsidR="00990B14" w:rsidRDefault="00990B14">
            <w:pPr>
              <w:spacing w:before="20" w:after="20"/>
            </w:pPr>
          </w:p>
        </w:tc>
        <w:tc>
          <w:tcPr>
            <w:tcW w:w="1910" w:type="dxa"/>
            <w:shd w:val="clear" w:color="auto" w:fill="4472C4"/>
            <w:vAlign w:val="center"/>
          </w:tcPr>
          <w:p w14:paraId="1AC4DD7D"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0D71C680"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60D8D7EB"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79E02DC8" w14:textId="77777777" w:rsidR="00990B14" w:rsidRDefault="00000000">
            <w:pPr>
              <w:keepNext/>
              <w:spacing w:before="20" w:after="20"/>
              <w:jc w:val="center"/>
            </w:pPr>
            <w:r>
              <w:rPr>
                <w:b/>
                <w:bCs/>
                <w:i/>
                <w:iCs/>
                <w:color w:val="FFFFFF"/>
                <w:sz w:val="18"/>
                <w:szCs w:val="18"/>
              </w:rPr>
              <w:t>Destacado (81–100)</w:t>
            </w:r>
          </w:p>
        </w:tc>
      </w:tr>
      <w:tr w:rsidR="00990B14" w14:paraId="38A7EA21" w14:textId="77777777">
        <w:trPr>
          <w:cantSplit/>
          <w:jc w:val="center"/>
        </w:trPr>
        <w:tc>
          <w:tcPr>
            <w:tcW w:w="1660" w:type="dxa"/>
            <w:vMerge/>
            <w:shd w:val="clear" w:color="auto" w:fill="4472C4"/>
            <w:vAlign w:val="center"/>
          </w:tcPr>
          <w:p w14:paraId="1D8BD10E" w14:textId="77777777" w:rsidR="00990B14" w:rsidRDefault="00990B14">
            <w:pPr>
              <w:spacing w:before="20" w:after="20"/>
            </w:pPr>
          </w:p>
        </w:tc>
        <w:tc>
          <w:tcPr>
            <w:tcW w:w="1910" w:type="dxa"/>
            <w:shd w:val="clear" w:color="auto" w:fill="D9E2F3"/>
            <w:vAlign w:val="center"/>
          </w:tcPr>
          <w:p w14:paraId="17DFBCC9" w14:textId="77777777" w:rsidR="00990B14" w:rsidRDefault="00000000">
            <w:pPr>
              <w:spacing w:before="20" w:after="20"/>
              <w:jc w:val="both"/>
            </w:pPr>
            <w:r>
              <w:rPr>
                <w:sz w:val="18"/>
                <w:szCs w:val="18"/>
              </w:rPr>
              <w:t>Modelo de datos</w:t>
            </w:r>
          </w:p>
        </w:tc>
        <w:tc>
          <w:tcPr>
            <w:tcW w:w="1910" w:type="dxa"/>
            <w:shd w:val="clear" w:color="auto" w:fill="D9E2F3"/>
            <w:vAlign w:val="center"/>
          </w:tcPr>
          <w:p w14:paraId="7D5A356B" w14:textId="77777777" w:rsidR="00990B14" w:rsidRDefault="00000000">
            <w:pPr>
              <w:spacing w:before="20" w:after="20"/>
              <w:jc w:val="both"/>
            </w:pPr>
            <w:r>
              <w:rPr>
                <w:sz w:val="18"/>
                <w:szCs w:val="18"/>
              </w:rPr>
              <w:t>Las relaciones entre tablas son erróneas.</w:t>
            </w:r>
          </w:p>
        </w:tc>
        <w:tc>
          <w:tcPr>
            <w:tcW w:w="2015" w:type="dxa"/>
            <w:shd w:val="clear" w:color="auto" w:fill="D9E2F3"/>
            <w:vAlign w:val="center"/>
          </w:tcPr>
          <w:p w14:paraId="08C0583D" w14:textId="77777777" w:rsidR="00990B14" w:rsidRDefault="00000000">
            <w:pPr>
              <w:spacing w:before="20" w:after="20"/>
              <w:jc w:val="both"/>
            </w:pPr>
            <w:r>
              <w:rPr>
                <w:sz w:val="18"/>
                <w:szCs w:val="18"/>
              </w:rPr>
              <w:t>Construye el modelo con relaciones y medidas correctas.</w:t>
            </w:r>
          </w:p>
        </w:tc>
        <w:tc>
          <w:tcPr>
            <w:tcW w:w="1910" w:type="dxa"/>
            <w:shd w:val="clear" w:color="auto" w:fill="D9E2F3"/>
            <w:vAlign w:val="center"/>
          </w:tcPr>
          <w:p w14:paraId="5605D421" w14:textId="77777777" w:rsidR="00990B14" w:rsidRDefault="00000000">
            <w:pPr>
              <w:spacing w:before="20" w:after="20"/>
              <w:jc w:val="both"/>
            </w:pPr>
            <w:r>
              <w:rPr>
                <w:sz w:val="18"/>
                <w:szCs w:val="18"/>
              </w:rPr>
              <w:t>Optimiza el modelo para su actualización periódica.</w:t>
            </w:r>
          </w:p>
        </w:tc>
      </w:tr>
      <w:tr w:rsidR="00990B14" w14:paraId="37AA0A2A" w14:textId="77777777">
        <w:trPr>
          <w:cantSplit/>
          <w:jc w:val="center"/>
        </w:trPr>
        <w:tc>
          <w:tcPr>
            <w:tcW w:w="1660" w:type="dxa"/>
            <w:vMerge/>
            <w:shd w:val="clear" w:color="auto" w:fill="4472C4"/>
            <w:vAlign w:val="center"/>
          </w:tcPr>
          <w:p w14:paraId="1CCDBC4C" w14:textId="77777777" w:rsidR="00990B14" w:rsidRDefault="00990B14">
            <w:pPr>
              <w:spacing w:before="20" w:after="20"/>
            </w:pPr>
          </w:p>
        </w:tc>
        <w:tc>
          <w:tcPr>
            <w:tcW w:w="1910" w:type="dxa"/>
            <w:shd w:val="clear" w:color="auto" w:fill="D9E2F3"/>
            <w:vAlign w:val="center"/>
          </w:tcPr>
          <w:p w14:paraId="1BBD6DF4" w14:textId="77777777" w:rsidR="00990B14" w:rsidRDefault="00000000">
            <w:pPr>
              <w:spacing w:before="20" w:after="20"/>
              <w:jc w:val="both"/>
            </w:pPr>
            <w:r>
              <w:rPr>
                <w:sz w:val="18"/>
                <w:szCs w:val="18"/>
              </w:rPr>
              <w:t>Indicadores</w:t>
            </w:r>
          </w:p>
        </w:tc>
        <w:tc>
          <w:tcPr>
            <w:tcW w:w="1910" w:type="dxa"/>
            <w:shd w:val="clear" w:color="auto" w:fill="D9E2F3"/>
            <w:vAlign w:val="center"/>
          </w:tcPr>
          <w:p w14:paraId="4D2FE1E9" w14:textId="77777777" w:rsidR="00990B14" w:rsidRDefault="00000000">
            <w:pPr>
              <w:spacing w:before="20" w:after="20"/>
              <w:jc w:val="both"/>
            </w:pPr>
            <w:r>
              <w:rPr>
                <w:sz w:val="18"/>
                <w:szCs w:val="18"/>
              </w:rPr>
              <w:t>Los indicadores no son pertinentes.</w:t>
            </w:r>
          </w:p>
        </w:tc>
        <w:tc>
          <w:tcPr>
            <w:tcW w:w="2015" w:type="dxa"/>
            <w:shd w:val="clear" w:color="auto" w:fill="D9E2F3"/>
            <w:vAlign w:val="center"/>
          </w:tcPr>
          <w:p w14:paraId="40FA914B" w14:textId="77777777" w:rsidR="00990B14" w:rsidRDefault="00000000">
            <w:pPr>
              <w:spacing w:before="20" w:after="20"/>
              <w:jc w:val="both"/>
            </w:pPr>
            <w:r>
              <w:rPr>
                <w:sz w:val="18"/>
                <w:szCs w:val="18"/>
              </w:rPr>
              <w:t>Presenta indicadores pertinentes al negocio.</w:t>
            </w:r>
          </w:p>
        </w:tc>
        <w:tc>
          <w:tcPr>
            <w:tcW w:w="1910" w:type="dxa"/>
            <w:shd w:val="clear" w:color="auto" w:fill="D9E2F3"/>
            <w:vAlign w:val="center"/>
          </w:tcPr>
          <w:p w14:paraId="67A4C86E" w14:textId="77777777" w:rsidR="00990B14" w:rsidRDefault="00000000">
            <w:pPr>
              <w:spacing w:before="20" w:after="20"/>
              <w:jc w:val="both"/>
            </w:pPr>
            <w:r>
              <w:rPr>
                <w:sz w:val="18"/>
                <w:szCs w:val="18"/>
              </w:rPr>
              <w:t>Interpreta los indicadores para la toma de decisiones.</w:t>
            </w:r>
          </w:p>
        </w:tc>
      </w:tr>
      <w:tr w:rsidR="00990B14" w14:paraId="33CAA4A4" w14:textId="77777777">
        <w:trPr>
          <w:cantSplit/>
          <w:jc w:val="center"/>
        </w:trPr>
        <w:tc>
          <w:tcPr>
            <w:tcW w:w="1660" w:type="dxa"/>
            <w:vMerge/>
            <w:shd w:val="clear" w:color="auto" w:fill="4472C4"/>
            <w:vAlign w:val="center"/>
          </w:tcPr>
          <w:p w14:paraId="1154BDCF" w14:textId="77777777" w:rsidR="00990B14" w:rsidRDefault="00990B14">
            <w:pPr>
              <w:spacing w:before="20" w:after="20"/>
            </w:pPr>
          </w:p>
        </w:tc>
        <w:tc>
          <w:tcPr>
            <w:tcW w:w="1910" w:type="dxa"/>
            <w:shd w:val="clear" w:color="auto" w:fill="D9E2F3"/>
            <w:vAlign w:val="center"/>
          </w:tcPr>
          <w:p w14:paraId="7B026BC9" w14:textId="77777777" w:rsidR="00990B14" w:rsidRDefault="00000000">
            <w:pPr>
              <w:spacing w:before="20" w:after="20"/>
              <w:jc w:val="both"/>
            </w:pPr>
            <w:r>
              <w:rPr>
                <w:sz w:val="18"/>
                <w:szCs w:val="18"/>
              </w:rPr>
              <w:t>Claridad de la presentación</w:t>
            </w:r>
          </w:p>
        </w:tc>
        <w:tc>
          <w:tcPr>
            <w:tcW w:w="1910" w:type="dxa"/>
            <w:shd w:val="clear" w:color="auto" w:fill="D9E2F3"/>
            <w:vAlign w:val="center"/>
          </w:tcPr>
          <w:p w14:paraId="26EE0A10" w14:textId="77777777" w:rsidR="00990B14" w:rsidRDefault="00000000">
            <w:pPr>
              <w:spacing w:before="20" w:after="20"/>
              <w:jc w:val="both"/>
            </w:pPr>
            <w:r>
              <w:rPr>
                <w:sz w:val="18"/>
                <w:szCs w:val="18"/>
              </w:rPr>
              <w:t>La presentación es confusa.</w:t>
            </w:r>
          </w:p>
        </w:tc>
        <w:tc>
          <w:tcPr>
            <w:tcW w:w="2015" w:type="dxa"/>
            <w:shd w:val="clear" w:color="auto" w:fill="D9E2F3"/>
            <w:vAlign w:val="center"/>
          </w:tcPr>
          <w:p w14:paraId="1504CE06" w14:textId="77777777" w:rsidR="00990B14" w:rsidRDefault="00000000">
            <w:pPr>
              <w:spacing w:before="20" w:after="20"/>
              <w:jc w:val="both"/>
            </w:pPr>
            <w:r>
              <w:rPr>
                <w:sz w:val="18"/>
                <w:szCs w:val="18"/>
              </w:rPr>
              <w:t>Presenta el tablero con claridad.</w:t>
            </w:r>
          </w:p>
        </w:tc>
        <w:tc>
          <w:tcPr>
            <w:tcW w:w="1910" w:type="dxa"/>
            <w:shd w:val="clear" w:color="auto" w:fill="D9E2F3"/>
            <w:vAlign w:val="center"/>
          </w:tcPr>
          <w:p w14:paraId="74607738" w14:textId="77777777" w:rsidR="00990B14" w:rsidRDefault="00000000">
            <w:pPr>
              <w:spacing w:before="20" w:after="20"/>
              <w:jc w:val="both"/>
            </w:pPr>
            <w:r>
              <w:rPr>
                <w:sz w:val="18"/>
                <w:szCs w:val="18"/>
              </w:rPr>
              <w:t>Responde con fundamento las preguntas del curso.</w:t>
            </w:r>
          </w:p>
        </w:tc>
      </w:tr>
      <w:tr w:rsidR="00990B14" w14:paraId="04B77105" w14:textId="77777777">
        <w:trPr>
          <w:cantSplit/>
          <w:jc w:val="center"/>
        </w:trPr>
        <w:tc>
          <w:tcPr>
            <w:tcW w:w="7495" w:type="dxa"/>
            <w:gridSpan w:val="4"/>
            <w:shd w:val="clear" w:color="auto" w:fill="4472C4"/>
            <w:vAlign w:val="center"/>
          </w:tcPr>
          <w:p w14:paraId="001B06D1" w14:textId="77777777" w:rsidR="00990B14" w:rsidRDefault="00000000">
            <w:pPr>
              <w:keepNext/>
              <w:spacing w:before="20" w:after="20"/>
              <w:jc w:val="center"/>
            </w:pPr>
            <w:r>
              <w:rPr>
                <w:b/>
                <w:bCs/>
                <w:i/>
                <w:iCs/>
                <w:color w:val="FFFFFF"/>
                <w:sz w:val="18"/>
                <w:szCs w:val="18"/>
              </w:rPr>
              <w:t>TOTAL</w:t>
            </w:r>
          </w:p>
        </w:tc>
        <w:tc>
          <w:tcPr>
            <w:tcW w:w="1910" w:type="dxa"/>
            <w:shd w:val="clear" w:color="auto" w:fill="4472C4"/>
            <w:vAlign w:val="center"/>
          </w:tcPr>
          <w:p w14:paraId="27E12E3C" w14:textId="77777777" w:rsidR="00990B14" w:rsidRDefault="00000000">
            <w:pPr>
              <w:keepNext/>
              <w:spacing w:before="20" w:after="20"/>
              <w:jc w:val="center"/>
            </w:pPr>
            <w:r>
              <w:rPr>
                <w:b/>
                <w:bCs/>
                <w:i/>
                <w:iCs/>
                <w:color w:val="FFFFFF"/>
                <w:sz w:val="18"/>
                <w:szCs w:val="18"/>
              </w:rPr>
              <w:t>100%</w:t>
            </w:r>
          </w:p>
        </w:tc>
      </w:tr>
    </w:tbl>
    <w:p w14:paraId="0C7777AE"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9405"/>
      </w:tblGrid>
      <w:tr w:rsidR="00990B14" w14:paraId="4A2E8316" w14:textId="77777777">
        <w:trPr>
          <w:jc w:val="center"/>
        </w:trPr>
        <w:tc>
          <w:tcPr>
            <w:tcW w:w="9405" w:type="dxa"/>
            <w:shd w:val="clear" w:color="auto" w:fill="D9E2F3"/>
          </w:tcPr>
          <w:p w14:paraId="5E36FDCA" w14:textId="77777777" w:rsidR="00990B14" w:rsidRDefault="00000000">
            <w:pPr>
              <w:spacing w:before="40" w:after="40"/>
              <w:jc w:val="both"/>
            </w:pPr>
            <w:r>
              <w:rPr>
                <w:b/>
                <w:bCs/>
                <w:i/>
                <w:iCs/>
                <w:sz w:val="18"/>
                <w:szCs w:val="18"/>
              </w:rPr>
              <w:t>Bibliografía básica:</w:t>
            </w:r>
          </w:p>
          <w:p w14:paraId="7EB31555" w14:textId="77777777" w:rsidR="00990B14" w:rsidRDefault="00000000">
            <w:pPr>
              <w:numPr>
                <w:ilvl w:val="0"/>
                <w:numId w:val="140"/>
              </w:numPr>
              <w:spacing w:after="20"/>
              <w:jc w:val="both"/>
            </w:pPr>
            <w:r>
              <w:rPr>
                <w:sz w:val="18"/>
                <w:szCs w:val="18"/>
              </w:rPr>
              <w:t>Código Tributario Boliviano, Ley N.º 2492, de 2 de agosto de 2003.</w:t>
            </w:r>
          </w:p>
          <w:p w14:paraId="37464DBF" w14:textId="77777777" w:rsidR="00990B14" w:rsidRDefault="00000000">
            <w:pPr>
              <w:numPr>
                <w:ilvl w:val="0"/>
                <w:numId w:val="140"/>
              </w:numPr>
              <w:spacing w:after="20"/>
              <w:jc w:val="both"/>
            </w:pPr>
            <w:r>
              <w:rPr>
                <w:sz w:val="18"/>
                <w:szCs w:val="18"/>
              </w:rPr>
              <w:t xml:space="preserve">Colegio de Auditores o Contadores Públicos de Bolivia, CAUB – Consejo Técnico Nacional de Auditoría y Contabilidad, CTNAC (2023). </w:t>
            </w:r>
            <w:r>
              <w:rPr>
                <w:i/>
                <w:iCs/>
                <w:sz w:val="18"/>
                <w:szCs w:val="18"/>
              </w:rPr>
              <w:t>Compendio de Normas de Contabilidad y Auditoría</w:t>
            </w:r>
            <w:r>
              <w:rPr>
                <w:sz w:val="18"/>
                <w:szCs w:val="18"/>
              </w:rPr>
              <w:t>. Santa Cruz – Bolivia.</w:t>
            </w:r>
          </w:p>
          <w:p w14:paraId="1F217992" w14:textId="77777777" w:rsidR="00990B14" w:rsidRDefault="00000000">
            <w:pPr>
              <w:numPr>
                <w:ilvl w:val="0"/>
                <w:numId w:val="140"/>
              </w:numPr>
              <w:spacing w:after="20"/>
              <w:jc w:val="both"/>
            </w:pPr>
            <w:r>
              <w:rPr>
                <w:sz w:val="18"/>
                <w:szCs w:val="18"/>
              </w:rPr>
              <w:t>Decreto Supremo N.º 24051, Reglamento del Impuesto sobre las Utilidades de las Empresas, de 29 de junio de 1995.</w:t>
            </w:r>
          </w:p>
          <w:p w14:paraId="6241A011" w14:textId="77777777" w:rsidR="00990B14" w:rsidRDefault="00000000">
            <w:pPr>
              <w:numPr>
                <w:ilvl w:val="0"/>
                <w:numId w:val="140"/>
              </w:numPr>
              <w:spacing w:after="20"/>
              <w:jc w:val="both"/>
            </w:pPr>
            <w:r>
              <w:rPr>
                <w:sz w:val="18"/>
                <w:szCs w:val="18"/>
              </w:rPr>
              <w:t>Decreto Supremo N.º 5516, de 13 de enero de 2026, que fija el salario mínimo nacional, y Ley N.º 065, de Pensiones, de 10 de diciembre de 2010.</w:t>
            </w:r>
          </w:p>
          <w:p w14:paraId="0AA697B4" w14:textId="77777777" w:rsidR="00990B14" w:rsidRDefault="00000000">
            <w:pPr>
              <w:numPr>
                <w:ilvl w:val="0"/>
                <w:numId w:val="140"/>
              </w:numPr>
              <w:spacing w:after="20"/>
              <w:jc w:val="both"/>
            </w:pPr>
            <w:r>
              <w:rPr>
                <w:sz w:val="18"/>
                <w:szCs w:val="18"/>
              </w:rPr>
              <w:t xml:space="preserve">Fundación de Normas Internacionales de Información Financiera, Fundación IFRS – Consejo de Normas Internacionales de Contabilidad, IASB (2023). </w:t>
            </w:r>
            <w:r>
              <w:rPr>
                <w:i/>
                <w:iCs/>
                <w:sz w:val="18"/>
                <w:szCs w:val="18"/>
              </w:rPr>
              <w:t>Normas Internacionales de Información Financiera 2023</w:t>
            </w:r>
            <w:r>
              <w:rPr>
                <w:sz w:val="18"/>
                <w:szCs w:val="18"/>
              </w:rPr>
              <w:t>. Londres.</w:t>
            </w:r>
          </w:p>
          <w:p w14:paraId="34167A9B" w14:textId="77777777" w:rsidR="00990B14" w:rsidRDefault="00000000">
            <w:pPr>
              <w:numPr>
                <w:ilvl w:val="0"/>
                <w:numId w:val="140"/>
              </w:numPr>
              <w:spacing w:after="20"/>
              <w:jc w:val="both"/>
            </w:pPr>
            <w:r w:rsidRPr="00BD34F7">
              <w:rPr>
                <w:sz w:val="18"/>
                <w:szCs w:val="18"/>
                <w:lang w:val="en-US"/>
              </w:rPr>
              <w:t xml:space="preserve">Monk, E. y Wagner, B. (2013). </w:t>
            </w:r>
            <w:r w:rsidRPr="00BD34F7">
              <w:rPr>
                <w:i/>
                <w:iCs/>
                <w:sz w:val="18"/>
                <w:szCs w:val="18"/>
                <w:lang w:val="en-US"/>
              </w:rPr>
              <w:t>Concepts in Enterprise Resource Planning</w:t>
            </w:r>
            <w:r w:rsidRPr="00BD34F7">
              <w:rPr>
                <w:sz w:val="18"/>
                <w:szCs w:val="18"/>
                <w:lang w:val="en-US"/>
              </w:rPr>
              <w:t xml:space="preserve">. </w:t>
            </w:r>
            <w:r>
              <w:rPr>
                <w:sz w:val="18"/>
                <w:szCs w:val="18"/>
              </w:rPr>
              <w:t>4.ª ed. Boston: Cengage Learning.</w:t>
            </w:r>
          </w:p>
          <w:p w14:paraId="5D6A5836" w14:textId="77777777" w:rsidR="00990B14" w:rsidRDefault="00000000">
            <w:pPr>
              <w:numPr>
                <w:ilvl w:val="0"/>
                <w:numId w:val="140"/>
              </w:numPr>
              <w:spacing w:after="20"/>
              <w:jc w:val="both"/>
            </w:pPr>
            <w:r>
              <w:rPr>
                <w:sz w:val="18"/>
                <w:szCs w:val="18"/>
              </w:rPr>
              <w:t>Normas legales (resoluciones y otras) relacionadas con la aprobación de normas contables y la preparación de estados financieros.</w:t>
            </w:r>
          </w:p>
          <w:p w14:paraId="53C6E988" w14:textId="77777777" w:rsidR="00990B14" w:rsidRDefault="00000000">
            <w:pPr>
              <w:numPr>
                <w:ilvl w:val="0"/>
                <w:numId w:val="140"/>
              </w:numPr>
              <w:spacing w:after="20"/>
              <w:jc w:val="both"/>
            </w:pPr>
            <w:r>
              <w:rPr>
                <w:sz w:val="18"/>
                <w:szCs w:val="18"/>
              </w:rPr>
              <w:t>Normas tributarias relacionadas con la preparación de estados financieros.</w:t>
            </w:r>
          </w:p>
          <w:p w14:paraId="10F9DF0D" w14:textId="77777777" w:rsidR="00990B14" w:rsidRDefault="00000000">
            <w:pPr>
              <w:numPr>
                <w:ilvl w:val="0"/>
                <w:numId w:val="140"/>
              </w:numPr>
              <w:spacing w:after="20"/>
              <w:jc w:val="both"/>
            </w:pPr>
            <w:r>
              <w:rPr>
                <w:sz w:val="18"/>
                <w:szCs w:val="18"/>
              </w:rPr>
              <w:t>Servicio de Impuestos Nacionales. Resolución Normativa de Directorio N.º 102100000011, de 11 de agosto de 2021, del Sistema de Facturación, y sus modificaciones.</w:t>
            </w:r>
          </w:p>
          <w:p w14:paraId="5CEEA4A0" w14:textId="77777777" w:rsidR="00990B14" w:rsidRDefault="00000000">
            <w:pPr>
              <w:numPr>
                <w:ilvl w:val="0"/>
                <w:numId w:val="140"/>
              </w:numPr>
              <w:spacing w:after="20"/>
              <w:jc w:val="both"/>
            </w:pPr>
            <w:r>
              <w:rPr>
                <w:sz w:val="18"/>
                <w:szCs w:val="18"/>
              </w:rPr>
              <w:t>Servicio de Impuestos Nacionales. Resolución Normativa de Directorio N.º 102600000014, de 16 de abril de 2026, sobre la presentación digital de estados financieros e información tributaria.</w:t>
            </w:r>
          </w:p>
        </w:tc>
      </w:tr>
      <w:tr w:rsidR="00990B14" w:rsidRPr="002F7F2E" w14:paraId="56BD37F0" w14:textId="77777777">
        <w:trPr>
          <w:jc w:val="center"/>
        </w:trPr>
        <w:tc>
          <w:tcPr>
            <w:tcW w:w="9405" w:type="dxa"/>
            <w:shd w:val="clear" w:color="auto" w:fill="D9E2F3"/>
          </w:tcPr>
          <w:p w14:paraId="7567D195" w14:textId="77777777" w:rsidR="00990B14" w:rsidRDefault="00000000">
            <w:pPr>
              <w:spacing w:before="40" w:after="40"/>
              <w:jc w:val="both"/>
            </w:pPr>
            <w:r>
              <w:rPr>
                <w:b/>
                <w:bCs/>
                <w:i/>
                <w:iCs/>
                <w:sz w:val="18"/>
                <w:szCs w:val="18"/>
              </w:rPr>
              <w:t>Bibliografía complementaria:</w:t>
            </w:r>
          </w:p>
          <w:p w14:paraId="2AE0453B" w14:textId="77777777" w:rsidR="00990B14" w:rsidRDefault="00000000">
            <w:pPr>
              <w:numPr>
                <w:ilvl w:val="0"/>
                <w:numId w:val="140"/>
              </w:numPr>
              <w:spacing w:after="20"/>
              <w:jc w:val="both"/>
            </w:pPr>
            <w:r>
              <w:rPr>
                <w:sz w:val="18"/>
                <w:szCs w:val="18"/>
              </w:rPr>
              <w:t>Consejo de Normas Internacionales de Contabilidad (IASB). NIC 2 Inventarios.</w:t>
            </w:r>
          </w:p>
          <w:p w14:paraId="78CCA4E6" w14:textId="77777777" w:rsidR="00990B14" w:rsidRDefault="00000000">
            <w:pPr>
              <w:numPr>
                <w:ilvl w:val="0"/>
                <w:numId w:val="140"/>
              </w:numPr>
              <w:spacing w:after="20"/>
              <w:jc w:val="both"/>
            </w:pPr>
            <w:r>
              <w:rPr>
                <w:sz w:val="18"/>
                <w:szCs w:val="18"/>
              </w:rPr>
              <w:t>Gestora Pública de la Seguridad Social de Largo Plazo: https://www.gestora.bo/</w:t>
            </w:r>
          </w:p>
          <w:p w14:paraId="5DDEFBCC" w14:textId="77777777" w:rsidR="00990B14" w:rsidRPr="00BD34F7" w:rsidRDefault="00000000">
            <w:pPr>
              <w:numPr>
                <w:ilvl w:val="0"/>
                <w:numId w:val="140"/>
              </w:numPr>
              <w:spacing w:after="20"/>
              <w:jc w:val="both"/>
              <w:rPr>
                <w:lang w:val="en-US"/>
              </w:rPr>
            </w:pPr>
            <w:r w:rsidRPr="00BD34F7">
              <w:rPr>
                <w:sz w:val="18"/>
                <w:szCs w:val="18"/>
                <w:lang w:val="en-US"/>
              </w:rPr>
              <w:t>IFRS Foundation: https://www.ifrs.org/</w:t>
            </w:r>
          </w:p>
          <w:p w14:paraId="4E6E9ED8" w14:textId="77777777" w:rsidR="00990B14" w:rsidRDefault="00000000">
            <w:pPr>
              <w:numPr>
                <w:ilvl w:val="0"/>
                <w:numId w:val="140"/>
              </w:numPr>
              <w:spacing w:after="20"/>
              <w:jc w:val="both"/>
            </w:pPr>
            <w:r w:rsidRPr="00BD34F7">
              <w:rPr>
                <w:sz w:val="18"/>
                <w:szCs w:val="18"/>
                <w:lang w:val="en-US"/>
              </w:rPr>
              <w:t xml:space="preserve">ISACA (2019). </w:t>
            </w:r>
            <w:r w:rsidRPr="00BD34F7">
              <w:rPr>
                <w:i/>
                <w:iCs/>
                <w:sz w:val="18"/>
                <w:szCs w:val="18"/>
                <w:lang w:val="en-US"/>
              </w:rPr>
              <w:t>COBIT 2019 Framework: Governance and Management Objectives</w:t>
            </w:r>
            <w:r w:rsidRPr="00BD34F7">
              <w:rPr>
                <w:sz w:val="18"/>
                <w:szCs w:val="18"/>
                <w:lang w:val="en-US"/>
              </w:rPr>
              <w:t xml:space="preserve">. </w:t>
            </w:r>
            <w:r>
              <w:rPr>
                <w:sz w:val="18"/>
                <w:szCs w:val="18"/>
              </w:rPr>
              <w:t>Schaumburg – Estados Unidos.</w:t>
            </w:r>
          </w:p>
          <w:p w14:paraId="04D0A73A" w14:textId="77777777" w:rsidR="00990B14" w:rsidRPr="00BD34F7" w:rsidRDefault="00000000">
            <w:pPr>
              <w:numPr>
                <w:ilvl w:val="0"/>
                <w:numId w:val="140"/>
              </w:numPr>
              <w:spacing w:after="20"/>
              <w:jc w:val="both"/>
              <w:rPr>
                <w:lang w:val="en-US"/>
              </w:rPr>
            </w:pPr>
            <w:r w:rsidRPr="00BD34F7">
              <w:rPr>
                <w:sz w:val="18"/>
                <w:szCs w:val="18"/>
                <w:lang w:val="en-US"/>
              </w:rPr>
              <w:t>Microsoft Power BI: https://powerbi.microsoft.com/es-es/</w:t>
            </w:r>
          </w:p>
          <w:p w14:paraId="53AC1EFB" w14:textId="77777777" w:rsidR="00990B14" w:rsidRDefault="00000000">
            <w:pPr>
              <w:numPr>
                <w:ilvl w:val="0"/>
                <w:numId w:val="140"/>
              </w:numPr>
              <w:spacing w:after="20"/>
              <w:jc w:val="both"/>
            </w:pPr>
            <w:r>
              <w:rPr>
                <w:sz w:val="18"/>
                <w:szCs w:val="18"/>
              </w:rPr>
              <w:t>SAP Latinoamérica: https://www.sap.com/latinamerica/index.html?url_id=auto_hp_redirect_latinamerica</w:t>
            </w:r>
          </w:p>
          <w:p w14:paraId="0D2D64E5" w14:textId="77777777" w:rsidR="00990B14" w:rsidRDefault="00000000">
            <w:pPr>
              <w:numPr>
                <w:ilvl w:val="0"/>
                <w:numId w:val="140"/>
              </w:numPr>
              <w:spacing w:after="20"/>
              <w:jc w:val="both"/>
            </w:pPr>
            <w:r>
              <w:rPr>
                <w:sz w:val="18"/>
                <w:szCs w:val="18"/>
              </w:rPr>
              <w:t>Servicio de Impuestos Nacionales de Bolivia: https://www.impuestos.gob.bo/</w:t>
            </w:r>
          </w:p>
          <w:p w14:paraId="21845346" w14:textId="77777777" w:rsidR="00990B14" w:rsidRDefault="00000000">
            <w:pPr>
              <w:numPr>
                <w:ilvl w:val="0"/>
                <w:numId w:val="140"/>
              </w:numPr>
              <w:spacing w:after="20"/>
              <w:jc w:val="both"/>
            </w:pPr>
            <w:r>
              <w:rPr>
                <w:sz w:val="18"/>
                <w:szCs w:val="18"/>
              </w:rPr>
              <w:t>Servicio de Impuestos Nacionales: https://siatinfo.impuestos.gob.bo/</w:t>
            </w:r>
          </w:p>
          <w:p w14:paraId="6C7B731A" w14:textId="77777777" w:rsidR="00990B14" w:rsidRDefault="00000000">
            <w:pPr>
              <w:numPr>
                <w:ilvl w:val="0"/>
                <w:numId w:val="140"/>
              </w:numPr>
              <w:spacing w:after="20"/>
              <w:jc w:val="both"/>
            </w:pPr>
            <w:r>
              <w:rPr>
                <w:sz w:val="18"/>
                <w:szCs w:val="18"/>
              </w:rPr>
              <w:t>Servicio de Registro de Comercio de Bolivia (SEPREC): https://www.seprec.gob.bo/</w:t>
            </w:r>
          </w:p>
          <w:p w14:paraId="56FBA202" w14:textId="77777777" w:rsidR="00990B14" w:rsidRDefault="00000000">
            <w:pPr>
              <w:numPr>
                <w:ilvl w:val="0"/>
                <w:numId w:val="140"/>
              </w:numPr>
              <w:spacing w:after="20"/>
              <w:jc w:val="both"/>
            </w:pPr>
            <w:r>
              <w:rPr>
                <w:sz w:val="18"/>
                <w:szCs w:val="18"/>
              </w:rPr>
              <w:t xml:space="preserve">Solano Rodríguez, O. J. y Riascos Erazo, S. C. (s.f.). </w:t>
            </w:r>
            <w:r>
              <w:rPr>
                <w:i/>
                <w:iCs/>
                <w:sz w:val="18"/>
                <w:szCs w:val="18"/>
              </w:rPr>
              <w:t>Sistema de Información Contable en la Era Digital: Marco de Referencia para su Administración y Control</w:t>
            </w:r>
            <w:r>
              <w:rPr>
                <w:sz w:val="18"/>
                <w:szCs w:val="18"/>
              </w:rPr>
              <w:t>.</w:t>
            </w:r>
          </w:p>
          <w:p w14:paraId="0E83006B" w14:textId="77777777" w:rsidR="00990B14" w:rsidRDefault="00000000">
            <w:pPr>
              <w:numPr>
                <w:ilvl w:val="0"/>
                <w:numId w:val="140"/>
              </w:numPr>
              <w:spacing w:after="20"/>
              <w:jc w:val="both"/>
            </w:pPr>
            <w:r>
              <w:rPr>
                <w:sz w:val="18"/>
                <w:szCs w:val="18"/>
              </w:rPr>
              <w:t xml:space="preserve">Uribe Medina, L. R. (s.f.). </w:t>
            </w:r>
            <w:r>
              <w:rPr>
                <w:i/>
                <w:iCs/>
                <w:sz w:val="18"/>
                <w:szCs w:val="18"/>
              </w:rPr>
              <w:t>Plan de Cuentas para Sistemas Contables 2023</w:t>
            </w:r>
            <w:r>
              <w:rPr>
                <w:sz w:val="18"/>
                <w:szCs w:val="18"/>
              </w:rPr>
              <w:t>. 8ª ed.</w:t>
            </w:r>
          </w:p>
          <w:p w14:paraId="52B3CC9B" w14:textId="77777777" w:rsidR="00990B14" w:rsidRPr="00BD34F7" w:rsidRDefault="00000000">
            <w:pPr>
              <w:numPr>
                <w:ilvl w:val="0"/>
                <w:numId w:val="140"/>
              </w:numPr>
              <w:spacing w:after="20"/>
              <w:jc w:val="both"/>
              <w:rPr>
                <w:lang w:val="en-US"/>
              </w:rPr>
            </w:pPr>
            <w:r w:rsidRPr="00BD34F7">
              <w:rPr>
                <w:sz w:val="18"/>
                <w:szCs w:val="18"/>
                <w:lang w:val="en-US"/>
              </w:rPr>
              <w:t>XBRL International: https://www.xbrl.org/</w:t>
            </w:r>
          </w:p>
        </w:tc>
      </w:tr>
    </w:tbl>
    <w:p w14:paraId="3417E607" w14:textId="77777777" w:rsidR="00990B14" w:rsidRDefault="00000000">
      <w:pPr>
        <w:pStyle w:val="TituloPlanAsignatura"/>
        <w:keepNext/>
        <w:pageBreakBefore/>
        <w:spacing w:after="120"/>
        <w:jc w:val="center"/>
        <w:outlineLvl w:val="2"/>
      </w:pPr>
      <w:bookmarkStart w:id="169" w:name="_Toc000000110"/>
      <w:r>
        <w:rPr>
          <w:b/>
          <w:bCs/>
          <w:sz w:val="24"/>
          <w:szCs w:val="24"/>
        </w:rPr>
        <w:t>ADM-301 Desarrollo Organizacional y Comportamiento Organizacional</w:t>
      </w:r>
      <w:bookmarkEnd w:id="169"/>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249"/>
        <w:gridCol w:w="1100"/>
        <w:gridCol w:w="149"/>
        <w:gridCol w:w="635"/>
        <w:gridCol w:w="615"/>
        <w:gridCol w:w="952"/>
        <w:gridCol w:w="298"/>
        <w:gridCol w:w="1250"/>
        <w:gridCol w:w="20"/>
        <w:gridCol w:w="385"/>
        <w:gridCol w:w="398"/>
        <w:gridCol w:w="447"/>
        <w:gridCol w:w="1907"/>
      </w:tblGrid>
      <w:tr w:rsidR="00990B14" w14:paraId="2797AC06" w14:textId="77777777">
        <w:trPr>
          <w:cantSplit/>
          <w:jc w:val="center"/>
        </w:trPr>
        <w:tc>
          <w:tcPr>
            <w:tcW w:w="2349" w:type="dxa"/>
            <w:gridSpan w:val="2"/>
            <w:shd w:val="clear" w:color="auto" w:fill="4472C4"/>
            <w:vAlign w:val="center"/>
          </w:tcPr>
          <w:p w14:paraId="13E06D57" w14:textId="77777777" w:rsidR="00990B14" w:rsidRDefault="00000000">
            <w:pPr>
              <w:keepNext/>
              <w:spacing w:before="20" w:after="20"/>
              <w:jc w:val="center"/>
            </w:pPr>
            <w:r>
              <w:rPr>
                <w:b/>
                <w:bCs/>
                <w:i/>
                <w:iCs/>
                <w:color w:val="FFFFFF"/>
                <w:sz w:val="18"/>
                <w:szCs w:val="18"/>
              </w:rPr>
              <w:t>Asignatura</w:t>
            </w:r>
          </w:p>
        </w:tc>
        <w:tc>
          <w:tcPr>
            <w:tcW w:w="2351" w:type="dxa"/>
            <w:gridSpan w:val="4"/>
            <w:shd w:val="clear" w:color="auto" w:fill="4472C4"/>
            <w:vAlign w:val="center"/>
          </w:tcPr>
          <w:p w14:paraId="23CF716F" w14:textId="77777777" w:rsidR="00990B14" w:rsidRDefault="00000000">
            <w:pPr>
              <w:keepNext/>
              <w:spacing w:before="20" w:after="20"/>
              <w:jc w:val="center"/>
            </w:pPr>
            <w:r>
              <w:rPr>
                <w:b/>
                <w:bCs/>
                <w:i/>
                <w:iCs/>
                <w:color w:val="FFFFFF"/>
                <w:sz w:val="18"/>
                <w:szCs w:val="18"/>
              </w:rPr>
              <w:t>Sigla</w:t>
            </w:r>
          </w:p>
        </w:tc>
        <w:tc>
          <w:tcPr>
            <w:tcW w:w="2351" w:type="dxa"/>
            <w:gridSpan w:val="5"/>
            <w:shd w:val="clear" w:color="auto" w:fill="4472C4"/>
            <w:vAlign w:val="center"/>
          </w:tcPr>
          <w:p w14:paraId="683F6618" w14:textId="77777777" w:rsidR="00990B14" w:rsidRDefault="00000000">
            <w:pPr>
              <w:keepNext/>
              <w:spacing w:before="20" w:after="20"/>
              <w:jc w:val="center"/>
            </w:pPr>
            <w:r>
              <w:rPr>
                <w:b/>
                <w:bCs/>
                <w:i/>
                <w:iCs/>
                <w:color w:val="FFFFFF"/>
                <w:sz w:val="18"/>
                <w:szCs w:val="18"/>
              </w:rPr>
              <w:t>Nivel/Área</w:t>
            </w:r>
          </w:p>
        </w:tc>
        <w:tc>
          <w:tcPr>
            <w:tcW w:w="2354" w:type="dxa"/>
            <w:gridSpan w:val="2"/>
            <w:shd w:val="clear" w:color="auto" w:fill="4472C4"/>
            <w:vAlign w:val="center"/>
          </w:tcPr>
          <w:p w14:paraId="633C9E74" w14:textId="77777777" w:rsidR="00990B14" w:rsidRDefault="00000000">
            <w:pPr>
              <w:keepNext/>
              <w:spacing w:before="20" w:after="20"/>
              <w:jc w:val="center"/>
            </w:pPr>
            <w:r>
              <w:rPr>
                <w:b/>
                <w:bCs/>
                <w:i/>
                <w:iCs/>
                <w:color w:val="FFFFFF"/>
                <w:sz w:val="18"/>
                <w:szCs w:val="18"/>
              </w:rPr>
              <w:t>Prerrequisito</w:t>
            </w:r>
          </w:p>
        </w:tc>
      </w:tr>
      <w:tr w:rsidR="00990B14" w14:paraId="1A8A100E" w14:textId="77777777">
        <w:trPr>
          <w:cantSplit/>
          <w:jc w:val="center"/>
        </w:trPr>
        <w:tc>
          <w:tcPr>
            <w:tcW w:w="2349" w:type="dxa"/>
            <w:gridSpan w:val="2"/>
            <w:shd w:val="clear" w:color="auto" w:fill="D9E2F3"/>
            <w:vAlign w:val="center"/>
          </w:tcPr>
          <w:p w14:paraId="00AF1A88" w14:textId="77777777" w:rsidR="00990B14" w:rsidRDefault="00000000">
            <w:pPr>
              <w:spacing w:before="20" w:after="20"/>
              <w:jc w:val="center"/>
            </w:pPr>
            <w:r>
              <w:rPr>
                <w:b/>
                <w:bCs/>
                <w:i/>
                <w:iCs/>
                <w:sz w:val="18"/>
                <w:szCs w:val="18"/>
              </w:rPr>
              <w:t>Desarrollo Organizacional y Comportamiento Organizacional</w:t>
            </w:r>
          </w:p>
        </w:tc>
        <w:tc>
          <w:tcPr>
            <w:tcW w:w="2351" w:type="dxa"/>
            <w:gridSpan w:val="4"/>
            <w:shd w:val="clear" w:color="auto" w:fill="D9E2F3"/>
            <w:vAlign w:val="center"/>
          </w:tcPr>
          <w:p w14:paraId="5899774C" w14:textId="77777777" w:rsidR="00990B14" w:rsidRDefault="00000000">
            <w:pPr>
              <w:spacing w:before="20" w:after="20"/>
              <w:jc w:val="center"/>
            </w:pPr>
            <w:r>
              <w:rPr>
                <w:b/>
                <w:bCs/>
                <w:i/>
                <w:iCs/>
                <w:sz w:val="18"/>
                <w:szCs w:val="18"/>
              </w:rPr>
              <w:t>ADM-301</w:t>
            </w:r>
          </w:p>
        </w:tc>
        <w:tc>
          <w:tcPr>
            <w:tcW w:w="2351" w:type="dxa"/>
            <w:gridSpan w:val="5"/>
            <w:shd w:val="clear" w:color="auto" w:fill="D9E2F3"/>
            <w:vAlign w:val="center"/>
          </w:tcPr>
          <w:p w14:paraId="128278AD" w14:textId="77777777" w:rsidR="00990B14" w:rsidRDefault="00000000">
            <w:pPr>
              <w:spacing w:before="20" w:after="20"/>
              <w:jc w:val="center"/>
            </w:pPr>
            <w:r>
              <w:rPr>
                <w:b/>
                <w:bCs/>
                <w:i/>
                <w:iCs/>
                <w:sz w:val="18"/>
                <w:szCs w:val="18"/>
              </w:rPr>
              <w:t>Administración</w:t>
            </w:r>
          </w:p>
        </w:tc>
        <w:tc>
          <w:tcPr>
            <w:tcW w:w="2354" w:type="dxa"/>
            <w:gridSpan w:val="2"/>
            <w:shd w:val="clear" w:color="auto" w:fill="D9E2F3"/>
            <w:vAlign w:val="center"/>
          </w:tcPr>
          <w:p w14:paraId="325C5087" w14:textId="77777777" w:rsidR="00990B14" w:rsidRDefault="00000000">
            <w:pPr>
              <w:spacing w:before="20" w:after="20"/>
              <w:jc w:val="center"/>
            </w:pPr>
            <w:r>
              <w:rPr>
                <w:b/>
                <w:bCs/>
                <w:i/>
                <w:iCs/>
                <w:sz w:val="18"/>
                <w:szCs w:val="18"/>
              </w:rPr>
              <w:t>ADM-201</w:t>
            </w:r>
          </w:p>
        </w:tc>
      </w:tr>
      <w:tr w:rsidR="00990B14" w14:paraId="31176BA5" w14:textId="77777777">
        <w:trPr>
          <w:cantSplit/>
          <w:jc w:val="center"/>
        </w:trPr>
        <w:tc>
          <w:tcPr>
            <w:tcW w:w="7498" w:type="dxa"/>
            <w:gridSpan w:val="12"/>
            <w:shd w:val="clear" w:color="auto" w:fill="4472C4"/>
            <w:vAlign w:val="center"/>
          </w:tcPr>
          <w:p w14:paraId="3D96A7BA" w14:textId="77777777" w:rsidR="00990B14" w:rsidRDefault="00000000">
            <w:pPr>
              <w:keepNext/>
              <w:spacing w:before="20" w:after="20"/>
              <w:jc w:val="center"/>
            </w:pPr>
            <w:r>
              <w:rPr>
                <w:b/>
                <w:bCs/>
                <w:i/>
                <w:iCs/>
                <w:color w:val="FFFFFF"/>
                <w:sz w:val="18"/>
                <w:szCs w:val="18"/>
              </w:rPr>
              <w:t>Carga Horaria</w:t>
            </w:r>
          </w:p>
        </w:tc>
        <w:tc>
          <w:tcPr>
            <w:tcW w:w="1907" w:type="dxa"/>
            <w:shd w:val="clear" w:color="auto" w:fill="4472C4"/>
            <w:vAlign w:val="center"/>
          </w:tcPr>
          <w:p w14:paraId="57AD5EB7" w14:textId="77777777" w:rsidR="00990B14" w:rsidRDefault="00000000">
            <w:pPr>
              <w:keepNext/>
              <w:spacing w:before="20" w:after="20"/>
              <w:jc w:val="center"/>
            </w:pPr>
            <w:r>
              <w:rPr>
                <w:b/>
                <w:bCs/>
                <w:i/>
                <w:iCs/>
                <w:color w:val="FFFFFF"/>
                <w:sz w:val="18"/>
                <w:szCs w:val="18"/>
              </w:rPr>
              <w:t>Créditos</w:t>
            </w:r>
          </w:p>
        </w:tc>
      </w:tr>
      <w:tr w:rsidR="00990B14" w14:paraId="4C68FFD0" w14:textId="77777777">
        <w:trPr>
          <w:cantSplit/>
          <w:jc w:val="center"/>
        </w:trPr>
        <w:tc>
          <w:tcPr>
            <w:tcW w:w="1249" w:type="dxa"/>
            <w:shd w:val="clear" w:color="auto" w:fill="4472C4"/>
            <w:vAlign w:val="center"/>
          </w:tcPr>
          <w:p w14:paraId="6A89789F" w14:textId="77777777" w:rsidR="00990B14" w:rsidRDefault="00000000">
            <w:pPr>
              <w:keepNext/>
              <w:spacing w:before="20" w:after="20"/>
              <w:jc w:val="center"/>
            </w:pPr>
            <w:r>
              <w:rPr>
                <w:b/>
                <w:bCs/>
                <w:i/>
                <w:iCs/>
                <w:color w:val="FFFFFF"/>
                <w:sz w:val="18"/>
                <w:szCs w:val="18"/>
              </w:rPr>
              <w:t>HP</w:t>
            </w:r>
          </w:p>
        </w:tc>
        <w:tc>
          <w:tcPr>
            <w:tcW w:w="1249" w:type="dxa"/>
            <w:gridSpan w:val="2"/>
            <w:shd w:val="clear" w:color="auto" w:fill="4472C4"/>
            <w:vAlign w:val="center"/>
          </w:tcPr>
          <w:p w14:paraId="36E56A3E" w14:textId="77777777" w:rsidR="00990B14" w:rsidRDefault="00000000">
            <w:pPr>
              <w:keepNext/>
              <w:spacing w:before="20" w:after="20"/>
              <w:jc w:val="center"/>
            </w:pPr>
            <w:r>
              <w:rPr>
                <w:b/>
                <w:bCs/>
                <w:i/>
                <w:iCs/>
                <w:color w:val="FFFFFF"/>
                <w:sz w:val="18"/>
                <w:szCs w:val="18"/>
              </w:rPr>
              <w:t>HAA</w:t>
            </w:r>
          </w:p>
        </w:tc>
        <w:tc>
          <w:tcPr>
            <w:tcW w:w="1250" w:type="dxa"/>
            <w:gridSpan w:val="2"/>
            <w:shd w:val="clear" w:color="auto" w:fill="4472C4"/>
            <w:vAlign w:val="center"/>
          </w:tcPr>
          <w:p w14:paraId="1A299761" w14:textId="77777777" w:rsidR="00990B14" w:rsidRDefault="00000000">
            <w:pPr>
              <w:keepNext/>
              <w:spacing w:before="20" w:after="20"/>
              <w:jc w:val="center"/>
            </w:pPr>
            <w:r>
              <w:rPr>
                <w:b/>
                <w:bCs/>
                <w:i/>
                <w:iCs/>
                <w:color w:val="FFFFFF"/>
                <w:sz w:val="18"/>
                <w:szCs w:val="18"/>
              </w:rPr>
              <w:t>HTG</w:t>
            </w:r>
          </w:p>
        </w:tc>
        <w:tc>
          <w:tcPr>
            <w:tcW w:w="1250" w:type="dxa"/>
            <w:gridSpan w:val="2"/>
            <w:shd w:val="clear" w:color="auto" w:fill="4472C4"/>
            <w:vAlign w:val="center"/>
          </w:tcPr>
          <w:p w14:paraId="48A12952" w14:textId="77777777" w:rsidR="00990B14" w:rsidRDefault="00000000">
            <w:pPr>
              <w:keepNext/>
              <w:spacing w:before="20" w:after="20"/>
              <w:jc w:val="center"/>
            </w:pPr>
            <w:r>
              <w:rPr>
                <w:b/>
                <w:bCs/>
                <w:i/>
                <w:iCs/>
                <w:color w:val="FFFFFF"/>
                <w:sz w:val="18"/>
                <w:szCs w:val="18"/>
              </w:rPr>
              <w:t>HIP</w:t>
            </w:r>
          </w:p>
        </w:tc>
        <w:tc>
          <w:tcPr>
            <w:tcW w:w="1250" w:type="dxa"/>
            <w:shd w:val="clear" w:color="auto" w:fill="4472C4"/>
            <w:vAlign w:val="center"/>
          </w:tcPr>
          <w:p w14:paraId="69BB1AC2" w14:textId="77777777" w:rsidR="00990B14" w:rsidRDefault="00000000">
            <w:pPr>
              <w:keepNext/>
              <w:spacing w:before="20" w:after="20"/>
              <w:jc w:val="center"/>
            </w:pPr>
            <w:r>
              <w:rPr>
                <w:b/>
                <w:bCs/>
                <w:i/>
                <w:iCs/>
                <w:color w:val="FFFFFF"/>
                <w:sz w:val="18"/>
                <w:szCs w:val="18"/>
              </w:rPr>
              <w:t>HE</w:t>
            </w:r>
          </w:p>
        </w:tc>
        <w:tc>
          <w:tcPr>
            <w:tcW w:w="1250" w:type="dxa"/>
            <w:gridSpan w:val="4"/>
            <w:shd w:val="clear" w:color="auto" w:fill="4472C4"/>
            <w:vAlign w:val="center"/>
          </w:tcPr>
          <w:p w14:paraId="49FE7ADD" w14:textId="77777777" w:rsidR="00990B14" w:rsidRDefault="00000000">
            <w:pPr>
              <w:keepNext/>
              <w:spacing w:before="20" w:after="20"/>
              <w:jc w:val="center"/>
            </w:pPr>
            <w:r>
              <w:rPr>
                <w:b/>
                <w:bCs/>
                <w:i/>
                <w:iCs/>
                <w:color w:val="FFFFFF"/>
                <w:sz w:val="18"/>
                <w:szCs w:val="18"/>
              </w:rPr>
              <w:t>TOTAL</w:t>
            </w:r>
          </w:p>
        </w:tc>
        <w:tc>
          <w:tcPr>
            <w:tcW w:w="1907" w:type="dxa"/>
            <w:vMerge w:val="restart"/>
            <w:shd w:val="clear" w:color="auto" w:fill="D9E2F3"/>
            <w:vAlign w:val="center"/>
          </w:tcPr>
          <w:p w14:paraId="42BC49D3" w14:textId="77777777" w:rsidR="00990B14" w:rsidRDefault="00000000">
            <w:pPr>
              <w:spacing w:before="20" w:after="20"/>
              <w:jc w:val="center"/>
            </w:pPr>
            <w:r>
              <w:rPr>
                <w:sz w:val="18"/>
                <w:szCs w:val="18"/>
              </w:rPr>
              <w:t>7</w:t>
            </w:r>
          </w:p>
        </w:tc>
      </w:tr>
      <w:tr w:rsidR="00990B14" w14:paraId="68025479" w14:textId="77777777">
        <w:trPr>
          <w:cantSplit/>
          <w:jc w:val="center"/>
        </w:trPr>
        <w:tc>
          <w:tcPr>
            <w:tcW w:w="1249" w:type="dxa"/>
            <w:shd w:val="clear" w:color="auto" w:fill="D9E2F3"/>
            <w:vAlign w:val="center"/>
          </w:tcPr>
          <w:p w14:paraId="732AB86F" w14:textId="77777777" w:rsidR="00990B14" w:rsidRDefault="00000000">
            <w:pPr>
              <w:spacing w:before="20" w:after="20"/>
              <w:jc w:val="center"/>
            </w:pPr>
            <w:r>
              <w:rPr>
                <w:sz w:val="18"/>
                <w:szCs w:val="18"/>
              </w:rPr>
              <w:t>160</w:t>
            </w:r>
          </w:p>
        </w:tc>
        <w:tc>
          <w:tcPr>
            <w:tcW w:w="1249" w:type="dxa"/>
            <w:gridSpan w:val="2"/>
            <w:shd w:val="clear" w:color="auto" w:fill="D9E2F3"/>
            <w:vAlign w:val="center"/>
          </w:tcPr>
          <w:p w14:paraId="48F26D6A" w14:textId="77777777" w:rsidR="00990B14" w:rsidRDefault="00000000">
            <w:pPr>
              <w:spacing w:before="20" w:after="20"/>
              <w:jc w:val="center"/>
            </w:pPr>
            <w:r>
              <w:rPr>
                <w:sz w:val="18"/>
                <w:szCs w:val="18"/>
              </w:rPr>
              <w:t>13</w:t>
            </w:r>
          </w:p>
        </w:tc>
        <w:tc>
          <w:tcPr>
            <w:tcW w:w="1250" w:type="dxa"/>
            <w:gridSpan w:val="2"/>
            <w:shd w:val="clear" w:color="auto" w:fill="D9E2F3"/>
            <w:vAlign w:val="center"/>
          </w:tcPr>
          <w:p w14:paraId="175C555A" w14:textId="77777777" w:rsidR="00990B14" w:rsidRDefault="00000000">
            <w:pPr>
              <w:spacing w:before="20" w:after="20"/>
              <w:jc w:val="center"/>
            </w:pPr>
            <w:r>
              <w:rPr>
                <w:sz w:val="18"/>
                <w:szCs w:val="18"/>
              </w:rPr>
              <w:t>13</w:t>
            </w:r>
          </w:p>
        </w:tc>
        <w:tc>
          <w:tcPr>
            <w:tcW w:w="1250" w:type="dxa"/>
            <w:gridSpan w:val="2"/>
            <w:shd w:val="clear" w:color="auto" w:fill="D9E2F3"/>
            <w:vAlign w:val="center"/>
          </w:tcPr>
          <w:p w14:paraId="4C430901" w14:textId="77777777" w:rsidR="00990B14" w:rsidRDefault="00000000">
            <w:pPr>
              <w:spacing w:before="20" w:after="20"/>
              <w:jc w:val="center"/>
            </w:pPr>
            <w:r>
              <w:rPr>
                <w:sz w:val="18"/>
                <w:szCs w:val="18"/>
              </w:rPr>
              <w:t>12</w:t>
            </w:r>
          </w:p>
        </w:tc>
        <w:tc>
          <w:tcPr>
            <w:tcW w:w="1250" w:type="dxa"/>
            <w:shd w:val="clear" w:color="auto" w:fill="D9E2F3"/>
            <w:vAlign w:val="center"/>
          </w:tcPr>
          <w:p w14:paraId="42BD44C1" w14:textId="77777777" w:rsidR="00990B14" w:rsidRDefault="00000000">
            <w:pPr>
              <w:spacing w:before="20" w:after="20"/>
              <w:jc w:val="center"/>
            </w:pPr>
            <w:r>
              <w:rPr>
                <w:sz w:val="18"/>
                <w:szCs w:val="18"/>
              </w:rPr>
              <w:t>12</w:t>
            </w:r>
          </w:p>
        </w:tc>
        <w:tc>
          <w:tcPr>
            <w:tcW w:w="1250" w:type="dxa"/>
            <w:gridSpan w:val="4"/>
            <w:shd w:val="clear" w:color="auto" w:fill="D9E2F3"/>
            <w:vAlign w:val="center"/>
          </w:tcPr>
          <w:p w14:paraId="72036E56" w14:textId="77777777" w:rsidR="00990B14" w:rsidRDefault="00000000">
            <w:pPr>
              <w:spacing w:before="20" w:after="20"/>
              <w:jc w:val="center"/>
            </w:pPr>
            <w:r>
              <w:rPr>
                <w:sz w:val="18"/>
                <w:szCs w:val="18"/>
              </w:rPr>
              <w:t>210</w:t>
            </w:r>
          </w:p>
        </w:tc>
        <w:tc>
          <w:tcPr>
            <w:tcW w:w="1907" w:type="dxa"/>
            <w:vMerge/>
            <w:shd w:val="clear" w:color="auto" w:fill="D9E2F3"/>
            <w:vAlign w:val="center"/>
          </w:tcPr>
          <w:p w14:paraId="08ACCB5D" w14:textId="77777777" w:rsidR="00990B14" w:rsidRDefault="00990B14">
            <w:pPr>
              <w:spacing w:before="20" w:after="20"/>
            </w:pPr>
          </w:p>
        </w:tc>
      </w:tr>
      <w:tr w:rsidR="00990B14" w14:paraId="1EA00E9A" w14:textId="77777777">
        <w:trPr>
          <w:cantSplit/>
          <w:jc w:val="center"/>
        </w:trPr>
        <w:tc>
          <w:tcPr>
            <w:tcW w:w="9405" w:type="dxa"/>
            <w:gridSpan w:val="13"/>
            <w:shd w:val="clear" w:color="auto" w:fill="4472C4"/>
            <w:vAlign w:val="center"/>
          </w:tcPr>
          <w:p w14:paraId="3C6F8DCF" w14:textId="77777777" w:rsidR="00990B14" w:rsidRDefault="00000000">
            <w:pPr>
              <w:keepNext/>
              <w:spacing w:before="20" w:after="20"/>
              <w:jc w:val="center"/>
            </w:pPr>
            <w:r>
              <w:rPr>
                <w:b/>
                <w:bCs/>
                <w:i/>
                <w:iCs/>
                <w:color w:val="FFFFFF"/>
                <w:sz w:val="18"/>
                <w:szCs w:val="18"/>
              </w:rPr>
              <w:t>Unidad de Competencia</w:t>
            </w:r>
          </w:p>
        </w:tc>
      </w:tr>
      <w:tr w:rsidR="00990B14" w14:paraId="6E14B080" w14:textId="77777777">
        <w:trPr>
          <w:cantSplit/>
          <w:jc w:val="center"/>
        </w:trPr>
        <w:tc>
          <w:tcPr>
            <w:tcW w:w="9405" w:type="dxa"/>
            <w:gridSpan w:val="13"/>
            <w:shd w:val="clear" w:color="auto" w:fill="D9E2F3"/>
            <w:vAlign w:val="center"/>
          </w:tcPr>
          <w:p w14:paraId="7D5CD999" w14:textId="77777777" w:rsidR="00990B14" w:rsidRDefault="00000000">
            <w:pPr>
              <w:spacing w:before="20" w:after="20"/>
              <w:jc w:val="both"/>
            </w:pPr>
            <w:r>
              <w:rPr>
                <w:sz w:val="18"/>
                <w:szCs w:val="18"/>
              </w:rPr>
              <w:t>Conduce el desarrollo organizacional de entidades públicas y privadas bolivianas, fortaleciendo su cultura, aprendizaje e innovación, implementando el cambio, fundamentando las decisiones gerenciales con modelos de decisión e información de gestión, y formulando modelos y planes de negocio con apoyo del marketing, la transformación digital y la inteligencia artificial, con liderazgo ético, pensamiento crítico, trabajo en equipo, respeto a la diversidad y responsabilidad social.</w:t>
            </w:r>
          </w:p>
        </w:tc>
      </w:tr>
      <w:tr w:rsidR="00990B14" w14:paraId="3DCCD451" w14:textId="77777777">
        <w:trPr>
          <w:cantSplit/>
          <w:jc w:val="center"/>
        </w:trPr>
        <w:tc>
          <w:tcPr>
            <w:tcW w:w="9405" w:type="dxa"/>
            <w:gridSpan w:val="13"/>
            <w:shd w:val="clear" w:color="auto" w:fill="D9E2F3"/>
            <w:vAlign w:val="center"/>
          </w:tcPr>
          <w:p w14:paraId="2AC40A53" w14:textId="77777777" w:rsidR="00990B14" w:rsidRDefault="00000000">
            <w:pPr>
              <w:spacing w:before="20" w:after="20"/>
              <w:jc w:val="both"/>
            </w:pPr>
            <w:r>
              <w:rPr>
                <w:b/>
                <w:bCs/>
                <w:i/>
                <w:iCs/>
                <w:sz w:val="18"/>
                <w:szCs w:val="18"/>
              </w:rPr>
              <w:t xml:space="preserve">Elemento de competencia 1: </w:t>
            </w:r>
            <w:r>
              <w:rPr>
                <w:sz w:val="18"/>
                <w:szCs w:val="18"/>
              </w:rPr>
              <w:t>Analiza el comportamiento de las personas y los grupos y los procesos de gestión del talento humano de una organización, relacionando la motivación, la comunicación y el liderazgo con su desempeño.</w:t>
            </w:r>
          </w:p>
        </w:tc>
      </w:tr>
      <w:tr w:rsidR="00990B14" w14:paraId="27CD3256" w14:textId="77777777">
        <w:trPr>
          <w:cantSplit/>
          <w:jc w:val="center"/>
        </w:trPr>
        <w:tc>
          <w:tcPr>
            <w:tcW w:w="3133" w:type="dxa"/>
            <w:gridSpan w:val="4"/>
            <w:shd w:val="clear" w:color="auto" w:fill="4472C4"/>
            <w:vAlign w:val="center"/>
          </w:tcPr>
          <w:p w14:paraId="75F9E9CF"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0F8BA7DB"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7BB3478F" w14:textId="77777777" w:rsidR="00990B14" w:rsidRDefault="00000000">
            <w:pPr>
              <w:keepNext/>
              <w:spacing w:before="20" w:after="20"/>
              <w:jc w:val="center"/>
            </w:pPr>
            <w:r>
              <w:rPr>
                <w:b/>
                <w:bCs/>
                <w:i/>
                <w:iCs/>
                <w:color w:val="FFFFFF"/>
                <w:sz w:val="18"/>
                <w:szCs w:val="18"/>
              </w:rPr>
              <w:t>Evidencias de producto</w:t>
            </w:r>
          </w:p>
        </w:tc>
      </w:tr>
      <w:tr w:rsidR="00990B14" w14:paraId="361219F6" w14:textId="77777777">
        <w:trPr>
          <w:cantSplit/>
          <w:jc w:val="center"/>
        </w:trPr>
        <w:tc>
          <w:tcPr>
            <w:tcW w:w="3133" w:type="dxa"/>
            <w:gridSpan w:val="4"/>
            <w:vMerge w:val="restart"/>
            <w:shd w:val="clear" w:color="auto" w:fill="D9E2F3"/>
            <w:vAlign w:val="center"/>
          </w:tcPr>
          <w:p w14:paraId="0610CA9D" w14:textId="77777777" w:rsidR="00990B14" w:rsidRDefault="00000000">
            <w:pPr>
              <w:spacing w:before="20" w:after="20"/>
              <w:jc w:val="both"/>
            </w:pPr>
            <w:r>
              <w:rPr>
                <w:sz w:val="18"/>
                <w:szCs w:val="18"/>
              </w:rPr>
              <w:t>1. Analiza el comportamiento individual y grupal de una organización, relacionando la motivación, la comunicación, el liderazgo y el conflicto con su desempeño y su clima ético.</w:t>
            </w:r>
          </w:p>
        </w:tc>
        <w:tc>
          <w:tcPr>
            <w:tcW w:w="3135" w:type="dxa"/>
            <w:gridSpan w:val="5"/>
            <w:shd w:val="clear" w:color="auto" w:fill="D9E2F3"/>
            <w:vAlign w:val="center"/>
          </w:tcPr>
          <w:p w14:paraId="4D399372" w14:textId="77777777" w:rsidR="00990B14" w:rsidRDefault="00000000">
            <w:pPr>
              <w:spacing w:before="20" w:after="20"/>
              <w:jc w:val="both"/>
            </w:pPr>
            <w:r>
              <w:rPr>
                <w:sz w:val="18"/>
                <w:szCs w:val="18"/>
              </w:rPr>
              <w:t>1.1 Analiza en equipo un caso de comportamiento organizacional de una organización.</w:t>
            </w:r>
          </w:p>
        </w:tc>
        <w:tc>
          <w:tcPr>
            <w:tcW w:w="3137" w:type="dxa"/>
            <w:gridSpan w:val="4"/>
            <w:shd w:val="clear" w:color="auto" w:fill="D9E2F3"/>
            <w:vAlign w:val="center"/>
          </w:tcPr>
          <w:p w14:paraId="34DA4EE9" w14:textId="77777777" w:rsidR="00990B14" w:rsidRDefault="00000000">
            <w:pPr>
              <w:spacing w:before="20" w:after="20"/>
              <w:jc w:val="both"/>
            </w:pPr>
            <w:r>
              <w:rPr>
                <w:b/>
                <w:bCs/>
                <w:sz w:val="18"/>
                <w:szCs w:val="18"/>
              </w:rPr>
              <w:t xml:space="preserve">Producto 1: </w:t>
            </w:r>
            <w:r>
              <w:rPr>
                <w:sz w:val="18"/>
                <w:szCs w:val="18"/>
              </w:rPr>
              <w:t>Informe de análisis del comportamiento individual y grupal de una organización.</w:t>
            </w:r>
          </w:p>
        </w:tc>
      </w:tr>
      <w:tr w:rsidR="00990B14" w14:paraId="0CE3AE18" w14:textId="77777777">
        <w:trPr>
          <w:cantSplit/>
          <w:jc w:val="center"/>
        </w:trPr>
        <w:tc>
          <w:tcPr>
            <w:tcW w:w="3133" w:type="dxa"/>
            <w:gridSpan w:val="4"/>
            <w:vMerge/>
            <w:shd w:val="clear" w:color="auto" w:fill="D9E2F3"/>
            <w:vAlign w:val="center"/>
          </w:tcPr>
          <w:p w14:paraId="6F7AB99F" w14:textId="77777777" w:rsidR="00990B14" w:rsidRDefault="00990B14">
            <w:pPr>
              <w:spacing w:before="20" w:after="20"/>
            </w:pPr>
          </w:p>
        </w:tc>
        <w:tc>
          <w:tcPr>
            <w:tcW w:w="3135" w:type="dxa"/>
            <w:gridSpan w:val="5"/>
            <w:shd w:val="clear" w:color="auto" w:fill="D9E2F3"/>
            <w:vAlign w:val="center"/>
          </w:tcPr>
          <w:p w14:paraId="522FFEFF" w14:textId="77777777" w:rsidR="00990B14" w:rsidRDefault="00000000">
            <w:pPr>
              <w:spacing w:before="20" w:after="20"/>
              <w:jc w:val="both"/>
            </w:pPr>
            <w:r>
              <w:rPr>
                <w:sz w:val="18"/>
                <w:szCs w:val="18"/>
              </w:rPr>
              <w:t>1.2 Ejerce en aula el rol de líder en un juego de roles de conflicto y negociación.</w:t>
            </w:r>
          </w:p>
        </w:tc>
        <w:tc>
          <w:tcPr>
            <w:tcW w:w="3137" w:type="dxa"/>
            <w:gridSpan w:val="4"/>
            <w:shd w:val="clear" w:color="auto" w:fill="D9E2F3"/>
            <w:vAlign w:val="center"/>
          </w:tcPr>
          <w:p w14:paraId="16566EC1" w14:textId="77777777" w:rsidR="00990B14" w:rsidRDefault="00000000">
            <w:pPr>
              <w:spacing w:before="20" w:after="20"/>
              <w:jc w:val="both"/>
            </w:pPr>
            <w:r>
              <w:rPr>
                <w:b/>
                <w:bCs/>
                <w:sz w:val="18"/>
                <w:szCs w:val="18"/>
              </w:rPr>
              <w:t xml:space="preserve">Producto 2: </w:t>
            </w:r>
            <w:r>
              <w:rPr>
                <w:sz w:val="18"/>
                <w:szCs w:val="18"/>
              </w:rPr>
              <w:t>Bitácora del juego de roles con el estilo de liderazgo aplicado y la negociación realizada.</w:t>
            </w:r>
          </w:p>
        </w:tc>
      </w:tr>
      <w:tr w:rsidR="00990B14" w14:paraId="552449A3" w14:textId="77777777">
        <w:trPr>
          <w:cantSplit/>
          <w:jc w:val="center"/>
        </w:trPr>
        <w:tc>
          <w:tcPr>
            <w:tcW w:w="3133" w:type="dxa"/>
            <w:gridSpan w:val="4"/>
            <w:vMerge w:val="restart"/>
            <w:shd w:val="clear" w:color="auto" w:fill="D9E2F3"/>
            <w:vAlign w:val="center"/>
          </w:tcPr>
          <w:p w14:paraId="159A893E" w14:textId="77777777" w:rsidR="00990B14" w:rsidRDefault="00000000">
            <w:pPr>
              <w:spacing w:before="20" w:after="20"/>
              <w:jc w:val="both"/>
            </w:pPr>
            <w:r>
              <w:rPr>
                <w:sz w:val="18"/>
                <w:szCs w:val="18"/>
              </w:rPr>
              <w:t>2. Evalúa los procesos de gestión del talento humano de una organización con indicadores de rotación, desempeño y costo laboral, respetando la confidencialidad de los datos del personal.</w:t>
            </w:r>
          </w:p>
        </w:tc>
        <w:tc>
          <w:tcPr>
            <w:tcW w:w="3135" w:type="dxa"/>
            <w:gridSpan w:val="5"/>
            <w:shd w:val="clear" w:color="auto" w:fill="D9E2F3"/>
            <w:vAlign w:val="center"/>
          </w:tcPr>
          <w:p w14:paraId="648FBDAD" w14:textId="77777777" w:rsidR="00990B14" w:rsidRDefault="00000000">
            <w:pPr>
              <w:spacing w:before="20" w:after="20"/>
              <w:jc w:val="both"/>
            </w:pPr>
            <w:r>
              <w:rPr>
                <w:sz w:val="18"/>
                <w:szCs w:val="18"/>
              </w:rPr>
              <w:t>2.1 Describe ante el curso los procesos de admisión, aplicación, compensación, desarrollo, mantenimiento y monitoreo de una organización.</w:t>
            </w:r>
          </w:p>
        </w:tc>
        <w:tc>
          <w:tcPr>
            <w:tcW w:w="3137" w:type="dxa"/>
            <w:gridSpan w:val="4"/>
            <w:shd w:val="clear" w:color="auto" w:fill="D9E2F3"/>
            <w:vAlign w:val="center"/>
          </w:tcPr>
          <w:p w14:paraId="796C91DA" w14:textId="77777777" w:rsidR="00990B14" w:rsidRDefault="00000000">
            <w:pPr>
              <w:spacing w:before="20" w:after="20"/>
              <w:jc w:val="both"/>
            </w:pPr>
            <w:r>
              <w:rPr>
                <w:b/>
                <w:bCs/>
                <w:sz w:val="18"/>
                <w:szCs w:val="18"/>
              </w:rPr>
              <w:t xml:space="preserve">Producto 3: </w:t>
            </w:r>
            <w:r>
              <w:rPr>
                <w:sz w:val="18"/>
                <w:szCs w:val="18"/>
              </w:rPr>
              <w:t>Mapa de los procesos de gestión del talento humano de una organización.</w:t>
            </w:r>
          </w:p>
        </w:tc>
      </w:tr>
      <w:tr w:rsidR="00990B14" w14:paraId="7F2A286C" w14:textId="77777777">
        <w:trPr>
          <w:cantSplit/>
          <w:jc w:val="center"/>
        </w:trPr>
        <w:tc>
          <w:tcPr>
            <w:tcW w:w="3133" w:type="dxa"/>
            <w:gridSpan w:val="4"/>
            <w:vMerge/>
            <w:shd w:val="clear" w:color="auto" w:fill="D9E2F3"/>
            <w:vAlign w:val="center"/>
          </w:tcPr>
          <w:p w14:paraId="6C29CC5A" w14:textId="77777777" w:rsidR="00990B14" w:rsidRDefault="00990B14">
            <w:pPr>
              <w:spacing w:before="20" w:after="20"/>
            </w:pPr>
          </w:p>
        </w:tc>
        <w:tc>
          <w:tcPr>
            <w:tcW w:w="3135" w:type="dxa"/>
            <w:gridSpan w:val="5"/>
            <w:shd w:val="clear" w:color="auto" w:fill="D9E2F3"/>
            <w:vAlign w:val="center"/>
          </w:tcPr>
          <w:p w14:paraId="1A91863E" w14:textId="77777777" w:rsidR="00990B14" w:rsidRDefault="00000000">
            <w:pPr>
              <w:spacing w:before="20" w:after="20"/>
              <w:jc w:val="both"/>
            </w:pPr>
            <w:r>
              <w:rPr>
                <w:sz w:val="18"/>
                <w:szCs w:val="18"/>
              </w:rPr>
              <w:t>2.2 Calcula en equipo los indicadores de rotación, ausentismo, capacitación y costo laboral en hoja de cálculo.</w:t>
            </w:r>
          </w:p>
        </w:tc>
        <w:tc>
          <w:tcPr>
            <w:tcW w:w="3137" w:type="dxa"/>
            <w:gridSpan w:val="4"/>
            <w:shd w:val="clear" w:color="auto" w:fill="D9E2F3"/>
            <w:vAlign w:val="center"/>
          </w:tcPr>
          <w:p w14:paraId="5BD7C194" w14:textId="77777777" w:rsidR="00990B14" w:rsidRDefault="00000000">
            <w:pPr>
              <w:spacing w:before="20" w:after="20"/>
              <w:jc w:val="both"/>
            </w:pPr>
            <w:r>
              <w:rPr>
                <w:b/>
                <w:bCs/>
                <w:sz w:val="18"/>
                <w:szCs w:val="18"/>
              </w:rPr>
              <w:t xml:space="preserve">Producto 4: </w:t>
            </w:r>
            <w:r>
              <w:rPr>
                <w:sz w:val="18"/>
                <w:szCs w:val="18"/>
              </w:rPr>
              <w:t>Tablero de indicadores del talento humano en hoja de cálculo.</w:t>
            </w:r>
          </w:p>
        </w:tc>
      </w:tr>
      <w:tr w:rsidR="00990B14" w14:paraId="199DD213" w14:textId="77777777">
        <w:trPr>
          <w:cantSplit/>
          <w:jc w:val="center"/>
        </w:trPr>
        <w:tc>
          <w:tcPr>
            <w:tcW w:w="9405" w:type="dxa"/>
            <w:gridSpan w:val="13"/>
            <w:shd w:val="clear" w:color="auto" w:fill="4472C4"/>
            <w:vAlign w:val="center"/>
          </w:tcPr>
          <w:p w14:paraId="0F5DB963" w14:textId="77777777" w:rsidR="00990B14" w:rsidRDefault="00000000">
            <w:pPr>
              <w:keepNext/>
              <w:spacing w:before="20" w:after="20"/>
              <w:jc w:val="center"/>
            </w:pPr>
            <w:r>
              <w:rPr>
                <w:b/>
                <w:bCs/>
                <w:i/>
                <w:iCs/>
                <w:color w:val="FFFFFF"/>
                <w:sz w:val="18"/>
                <w:szCs w:val="18"/>
              </w:rPr>
              <w:t>Evidencias de conocimiento</w:t>
            </w:r>
          </w:p>
        </w:tc>
      </w:tr>
      <w:tr w:rsidR="00990B14" w14:paraId="26B6B91B" w14:textId="77777777">
        <w:trPr>
          <w:cantSplit/>
          <w:jc w:val="center"/>
        </w:trPr>
        <w:tc>
          <w:tcPr>
            <w:tcW w:w="2349" w:type="dxa"/>
            <w:gridSpan w:val="2"/>
            <w:shd w:val="clear" w:color="auto" w:fill="4472C4"/>
            <w:vAlign w:val="center"/>
          </w:tcPr>
          <w:p w14:paraId="5690E4D7"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0FA7DFF4" w14:textId="77777777" w:rsidR="00990B14" w:rsidRDefault="00000000">
            <w:pPr>
              <w:keepNext/>
              <w:spacing w:before="20" w:after="20"/>
              <w:jc w:val="both"/>
            </w:pPr>
            <w:r>
              <w:rPr>
                <w:b/>
                <w:bCs/>
                <w:i/>
                <w:iCs/>
                <w:color w:val="FFFFFF"/>
                <w:sz w:val="18"/>
                <w:szCs w:val="18"/>
              </w:rPr>
              <w:t>Contenidos</w:t>
            </w:r>
          </w:p>
          <w:p w14:paraId="364750EF"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68F8AAA0" w14:textId="77777777" w:rsidR="00990B14" w:rsidRDefault="00000000">
            <w:pPr>
              <w:keepNext/>
              <w:spacing w:before="20" w:after="20"/>
              <w:jc w:val="center"/>
            </w:pPr>
            <w:r>
              <w:rPr>
                <w:b/>
                <w:bCs/>
                <w:i/>
                <w:iCs/>
                <w:color w:val="FFFFFF"/>
                <w:sz w:val="18"/>
                <w:szCs w:val="18"/>
              </w:rPr>
              <w:t>Conocimientos circunstanciales</w:t>
            </w:r>
          </w:p>
        </w:tc>
      </w:tr>
      <w:tr w:rsidR="00990B14" w14:paraId="09C46BA7" w14:textId="77777777">
        <w:trPr>
          <w:jc w:val="center"/>
        </w:trPr>
        <w:tc>
          <w:tcPr>
            <w:tcW w:w="2349" w:type="dxa"/>
            <w:gridSpan w:val="2"/>
            <w:shd w:val="clear" w:color="auto" w:fill="D9E2F3"/>
          </w:tcPr>
          <w:p w14:paraId="4AE819C0" w14:textId="77777777" w:rsidR="00990B14" w:rsidRDefault="00000000">
            <w:pPr>
              <w:spacing w:before="20" w:after="40"/>
              <w:jc w:val="both"/>
            </w:pPr>
            <w:r>
              <w:rPr>
                <w:sz w:val="18"/>
                <w:szCs w:val="18"/>
              </w:rPr>
              <w:t>Tema 1: Comportamiento Organizacional</w:t>
            </w:r>
          </w:p>
          <w:p w14:paraId="4530A587" w14:textId="77777777" w:rsidR="00990B14" w:rsidRDefault="00000000">
            <w:pPr>
              <w:spacing w:before="20" w:after="40"/>
              <w:jc w:val="both"/>
            </w:pPr>
            <w:r>
              <w:rPr>
                <w:sz w:val="18"/>
                <w:szCs w:val="18"/>
              </w:rPr>
              <w:t>Tema 2: Gestión del Talento Humano</w:t>
            </w:r>
          </w:p>
        </w:tc>
        <w:tc>
          <w:tcPr>
            <w:tcW w:w="4304" w:type="dxa"/>
            <w:gridSpan w:val="8"/>
            <w:shd w:val="clear" w:color="auto" w:fill="D9E2F3"/>
          </w:tcPr>
          <w:p w14:paraId="764B1085" w14:textId="77777777" w:rsidR="00990B14" w:rsidRDefault="00000000">
            <w:pPr>
              <w:spacing w:after="40"/>
              <w:jc w:val="both"/>
            </w:pPr>
            <w:r>
              <w:rPr>
                <w:sz w:val="18"/>
                <w:szCs w:val="18"/>
              </w:rPr>
              <w:t>1.Concepto y características del comportamiento organizacional; niveles y perspectivas del comportamiento organizacional. (C)</w:t>
            </w:r>
          </w:p>
          <w:p w14:paraId="38C5AE69" w14:textId="77777777" w:rsidR="00990B14" w:rsidRDefault="00000000">
            <w:pPr>
              <w:spacing w:after="40"/>
              <w:jc w:val="both"/>
            </w:pPr>
            <w:r>
              <w:rPr>
                <w:sz w:val="18"/>
                <w:szCs w:val="18"/>
              </w:rPr>
              <w:t>2.Las personas y los grupos en las organizaciones; la dinámica de la organización. (C)</w:t>
            </w:r>
          </w:p>
          <w:p w14:paraId="12C0C1CC" w14:textId="77777777" w:rsidR="00990B14" w:rsidRDefault="00000000">
            <w:pPr>
              <w:spacing w:after="40"/>
              <w:jc w:val="both"/>
            </w:pPr>
            <w:r>
              <w:rPr>
                <w:sz w:val="18"/>
                <w:szCs w:val="18"/>
              </w:rPr>
              <w:t>3.Conceptos básicos de motivación y su relación con la toma de decisiones; teorías de contenido y de proceso de la motivación. (C)</w:t>
            </w:r>
          </w:p>
          <w:p w14:paraId="07D765D0" w14:textId="77777777" w:rsidR="00990B14" w:rsidRDefault="00000000">
            <w:pPr>
              <w:spacing w:after="40"/>
              <w:jc w:val="both"/>
            </w:pPr>
            <w:r>
              <w:rPr>
                <w:sz w:val="18"/>
                <w:szCs w:val="18"/>
              </w:rPr>
              <w:t>4.Comunicación, poder y política en las organizaciones; conflicto y negociación. (C, P)</w:t>
            </w:r>
          </w:p>
          <w:p w14:paraId="6D69809A" w14:textId="77777777" w:rsidR="00990B14" w:rsidRDefault="00000000">
            <w:pPr>
              <w:spacing w:after="40"/>
              <w:jc w:val="both"/>
            </w:pPr>
            <w:r>
              <w:rPr>
                <w:sz w:val="18"/>
                <w:szCs w:val="18"/>
              </w:rPr>
              <w:t>5.Ética organizacional y clima ético: actuación íntegra ante el conflicto de intereses, uso de los canales de denuncia y prevención del acoso laboral. (C, A)</w:t>
            </w:r>
          </w:p>
          <w:p w14:paraId="03777BF3" w14:textId="77777777" w:rsidR="00990B14" w:rsidRDefault="00000000">
            <w:pPr>
              <w:spacing w:after="40"/>
              <w:jc w:val="both"/>
            </w:pPr>
            <w:r>
              <w:rPr>
                <w:sz w:val="18"/>
                <w:szCs w:val="18"/>
              </w:rPr>
              <w:t>6.El liderazgo: definición, importancia y características del líder; el liderazgo como cualidad personal y como función dentro de la organización. (C)</w:t>
            </w:r>
          </w:p>
          <w:p w14:paraId="19DAD140" w14:textId="77777777" w:rsidR="00990B14" w:rsidRDefault="00000000">
            <w:pPr>
              <w:spacing w:after="40"/>
              <w:jc w:val="both"/>
            </w:pPr>
            <w:r>
              <w:rPr>
                <w:sz w:val="18"/>
                <w:szCs w:val="18"/>
              </w:rPr>
              <w:t>7.Tendencias del liderazgo: edades del liderazgo de conquista, comercial, de organización, de innovación, de la información y de la nueva edad. (C)</w:t>
            </w:r>
          </w:p>
          <w:p w14:paraId="7A9A5206" w14:textId="77777777" w:rsidR="00990B14" w:rsidRDefault="00000000">
            <w:pPr>
              <w:spacing w:after="40"/>
              <w:jc w:val="both"/>
            </w:pPr>
            <w:r>
              <w:rPr>
                <w:sz w:val="18"/>
                <w:szCs w:val="18"/>
              </w:rPr>
              <w:t>8.Estilos de liderazgo: autócrata, participativo, liberal o de rienda suelta; liderazgo transaccional y transformacional. (C)</w:t>
            </w:r>
          </w:p>
          <w:p w14:paraId="0D499EDA" w14:textId="77777777" w:rsidR="00990B14" w:rsidRDefault="00000000">
            <w:pPr>
              <w:spacing w:after="40"/>
              <w:jc w:val="both"/>
            </w:pPr>
            <w:r>
              <w:rPr>
                <w:sz w:val="18"/>
                <w:szCs w:val="18"/>
              </w:rPr>
              <w:t>9.Enfoques situacionales o de contingencia del liderazgo: enfoque de Fiedler y dimensiones críticas de la situación; enfoque del camino-meta. (C, P)</w:t>
            </w:r>
          </w:p>
          <w:p w14:paraId="5C5FCF9C" w14:textId="77777777" w:rsidR="00990B14" w:rsidRDefault="00000000">
            <w:pPr>
              <w:spacing w:after="40"/>
              <w:jc w:val="both"/>
            </w:pPr>
            <w:r>
              <w:rPr>
                <w:sz w:val="18"/>
                <w:szCs w:val="18"/>
              </w:rPr>
              <w:t>10.Liderazgo ético y responsable: coherencia entre el discurso y la práctica, y rendición de cuentas ante los equipos. (A)</w:t>
            </w:r>
          </w:p>
          <w:p w14:paraId="62AC7946" w14:textId="77777777" w:rsidR="00990B14" w:rsidRDefault="00000000">
            <w:pPr>
              <w:spacing w:after="40"/>
              <w:jc w:val="both"/>
            </w:pPr>
            <w:r>
              <w:rPr>
                <w:sz w:val="18"/>
                <w:szCs w:val="18"/>
              </w:rPr>
              <w:t>11.Los nuevos desafíos y el contexto de la gestión del talento humano; objetivos de la gestión del talento humano; las personas como socias de la organización. (C)</w:t>
            </w:r>
          </w:p>
          <w:p w14:paraId="0DB557F6" w14:textId="77777777" w:rsidR="00990B14" w:rsidRDefault="00000000">
            <w:pPr>
              <w:spacing w:after="40"/>
              <w:jc w:val="both"/>
            </w:pPr>
            <w:r>
              <w:rPr>
                <w:sz w:val="18"/>
                <w:szCs w:val="18"/>
              </w:rPr>
              <w:t>12.La gestión del talento humano en un ambiente dinámico y competitivo; cambios y transformaciones en la función de recursos humanos. (C)</w:t>
            </w:r>
          </w:p>
          <w:p w14:paraId="00FC3091" w14:textId="77777777" w:rsidR="00990B14" w:rsidRDefault="00000000">
            <w:pPr>
              <w:spacing w:after="40"/>
              <w:jc w:val="both"/>
            </w:pPr>
            <w:r>
              <w:rPr>
                <w:sz w:val="18"/>
                <w:szCs w:val="18"/>
              </w:rPr>
              <w:t>13.Planeación estratégica del talento humano. (C, P)</w:t>
            </w:r>
          </w:p>
          <w:p w14:paraId="65DFE6FE" w14:textId="77777777" w:rsidR="00990B14" w:rsidRDefault="00000000">
            <w:pPr>
              <w:spacing w:after="40"/>
              <w:jc w:val="both"/>
            </w:pPr>
            <w:r>
              <w:rPr>
                <w:sz w:val="18"/>
                <w:szCs w:val="18"/>
              </w:rPr>
              <w:t>14.Los procesos de la gestión del talento humano: admisión, aplicación, compensación, desarrollo, mantenimiento y monitoreo. (C, P)</w:t>
            </w:r>
          </w:p>
          <w:p w14:paraId="59AD8094" w14:textId="77777777" w:rsidR="00990B14" w:rsidRDefault="00000000">
            <w:pPr>
              <w:spacing w:after="40"/>
              <w:jc w:val="both"/>
            </w:pPr>
            <w:r>
              <w:rPr>
                <w:sz w:val="18"/>
                <w:szCs w:val="18"/>
              </w:rPr>
              <w:t>15.Integración de los sistemas de incentivos y de compensación con los objetivos estratégicos y la creación de valor. (C)</w:t>
            </w:r>
          </w:p>
          <w:p w14:paraId="702A9F0E" w14:textId="77777777" w:rsidR="00990B14" w:rsidRDefault="00000000">
            <w:pPr>
              <w:spacing w:after="40"/>
              <w:jc w:val="both"/>
            </w:pPr>
            <w:r>
              <w:rPr>
                <w:sz w:val="18"/>
                <w:szCs w:val="18"/>
              </w:rPr>
              <w:t>16.Modalidades de trabajo remoto e híbrido y su efecto en la supervisión, la compensación y el bienestar del personal. (C)</w:t>
            </w:r>
          </w:p>
          <w:p w14:paraId="2E24CE81" w14:textId="77777777" w:rsidR="00990B14" w:rsidRDefault="00000000">
            <w:pPr>
              <w:spacing w:after="40"/>
              <w:jc w:val="both"/>
            </w:pPr>
            <w:r>
              <w:rPr>
                <w:sz w:val="18"/>
                <w:szCs w:val="18"/>
              </w:rPr>
              <w:t>17.Evaluación del talento humano: cálculo de indicadores de rotación, ausentismo, desempeño, capacitación y costo laboral en hoja de cálculo. (P, T)</w:t>
            </w:r>
          </w:p>
          <w:p w14:paraId="5512EC6D" w14:textId="77777777" w:rsidR="00990B14" w:rsidRDefault="00000000">
            <w:pPr>
              <w:spacing w:after="40"/>
              <w:jc w:val="both"/>
            </w:pPr>
            <w:r>
              <w:rPr>
                <w:sz w:val="18"/>
                <w:szCs w:val="18"/>
              </w:rPr>
              <w:t>18.Confidencialidad y uso responsable de los datos del personal. (A)</w:t>
            </w:r>
          </w:p>
        </w:tc>
        <w:tc>
          <w:tcPr>
            <w:tcW w:w="2752" w:type="dxa"/>
            <w:gridSpan w:val="3"/>
            <w:shd w:val="clear" w:color="auto" w:fill="D9E2F3"/>
          </w:tcPr>
          <w:p w14:paraId="5204E8F7" w14:textId="77777777" w:rsidR="00990B14" w:rsidRDefault="00000000">
            <w:pPr>
              <w:numPr>
                <w:ilvl w:val="0"/>
                <w:numId w:val="139"/>
              </w:numPr>
              <w:spacing w:before="10" w:after="10"/>
              <w:jc w:val="both"/>
            </w:pPr>
            <w:r>
              <w:rPr>
                <w:sz w:val="18"/>
                <w:szCs w:val="18"/>
              </w:rPr>
              <w:t>Aportes de la escuela de las relaciones humanas y de la teoría del comportamiento como antecedente del comportamiento organizacional.</w:t>
            </w:r>
          </w:p>
          <w:p w14:paraId="216A1DA1" w14:textId="77777777" w:rsidR="00990B14" w:rsidRDefault="00000000">
            <w:pPr>
              <w:numPr>
                <w:ilvl w:val="0"/>
                <w:numId w:val="139"/>
              </w:numPr>
              <w:spacing w:before="10" w:after="10"/>
              <w:jc w:val="both"/>
            </w:pPr>
            <w:r>
              <w:rPr>
                <w:sz w:val="18"/>
                <w:szCs w:val="18"/>
              </w:rPr>
              <w:t>La función de dirección del proceso administrativo como</w:t>
            </w:r>
          </w:p>
          <w:p w14:paraId="7EFF716A" w14:textId="77777777" w:rsidR="00990B14" w:rsidRDefault="00000000">
            <w:pPr>
              <w:numPr>
                <w:ilvl w:val="0"/>
                <w:numId w:val="139"/>
              </w:numPr>
              <w:spacing w:before="10" w:after="10"/>
              <w:jc w:val="both"/>
            </w:pPr>
            <w:r>
              <w:rPr>
                <w:sz w:val="18"/>
                <w:szCs w:val="18"/>
              </w:rPr>
              <w:t>base del liderazgo, la motivación y la comunicación.</w:t>
            </w:r>
          </w:p>
          <w:p w14:paraId="28AEFE19" w14:textId="77777777" w:rsidR="00990B14" w:rsidRDefault="00000000">
            <w:pPr>
              <w:numPr>
                <w:ilvl w:val="0"/>
                <w:numId w:val="139"/>
              </w:numPr>
              <w:spacing w:before="10" w:after="10"/>
              <w:jc w:val="both"/>
            </w:pPr>
            <w:r>
              <w:rPr>
                <w:sz w:val="18"/>
                <w:szCs w:val="18"/>
              </w:rPr>
              <w:t>El sistema organizativo como marco de los procesos de gestión del talento humano.</w:t>
            </w:r>
          </w:p>
          <w:p w14:paraId="5C56D208" w14:textId="77777777" w:rsidR="00990B14" w:rsidRDefault="00000000">
            <w:pPr>
              <w:numPr>
                <w:ilvl w:val="0"/>
                <w:numId w:val="139"/>
              </w:numPr>
              <w:spacing w:before="10" w:after="10"/>
              <w:jc w:val="both"/>
            </w:pPr>
            <w:r>
              <w:rPr>
                <w:sz w:val="18"/>
                <w:szCs w:val="18"/>
              </w:rPr>
              <w:t>Prevención del acoso laboral y de la discriminación en el ambiente de trabajo en el marco de la Ley N.º 348 y de la Ley N.º 045.</w:t>
            </w:r>
          </w:p>
        </w:tc>
      </w:tr>
      <w:tr w:rsidR="00990B14" w14:paraId="17461356" w14:textId="77777777">
        <w:trPr>
          <w:cantSplit/>
          <w:jc w:val="center"/>
        </w:trPr>
        <w:tc>
          <w:tcPr>
            <w:tcW w:w="9405" w:type="dxa"/>
            <w:gridSpan w:val="13"/>
            <w:shd w:val="clear" w:color="auto" w:fill="D9E2F3"/>
            <w:vAlign w:val="center"/>
          </w:tcPr>
          <w:p w14:paraId="4F62AAFA" w14:textId="77777777" w:rsidR="00990B14" w:rsidRDefault="00000000">
            <w:pPr>
              <w:spacing w:before="20" w:after="20"/>
              <w:jc w:val="both"/>
            </w:pPr>
            <w:r>
              <w:rPr>
                <w:b/>
                <w:bCs/>
                <w:i/>
                <w:iCs/>
                <w:sz w:val="18"/>
                <w:szCs w:val="18"/>
              </w:rPr>
              <w:t xml:space="preserve">Elemento de competencia 2: </w:t>
            </w:r>
            <w:r>
              <w:rPr>
                <w:sz w:val="18"/>
                <w:szCs w:val="18"/>
              </w:rPr>
              <w:t>Diagnostica una organización desde los fundamentos del desarrollo organizacional (D.O.), integrándolo con la gestión estratégica.</w:t>
            </w:r>
          </w:p>
        </w:tc>
      </w:tr>
      <w:tr w:rsidR="00990B14" w14:paraId="0F58DBD0" w14:textId="77777777">
        <w:trPr>
          <w:cantSplit/>
          <w:jc w:val="center"/>
        </w:trPr>
        <w:tc>
          <w:tcPr>
            <w:tcW w:w="3133" w:type="dxa"/>
            <w:gridSpan w:val="4"/>
            <w:shd w:val="clear" w:color="auto" w:fill="4472C4"/>
            <w:vAlign w:val="center"/>
          </w:tcPr>
          <w:p w14:paraId="76608DE6"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7130B194"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741972DF" w14:textId="77777777" w:rsidR="00990B14" w:rsidRDefault="00000000">
            <w:pPr>
              <w:keepNext/>
              <w:spacing w:before="20" w:after="20"/>
              <w:jc w:val="center"/>
            </w:pPr>
            <w:r>
              <w:rPr>
                <w:b/>
                <w:bCs/>
                <w:i/>
                <w:iCs/>
                <w:color w:val="FFFFFF"/>
                <w:sz w:val="18"/>
                <w:szCs w:val="18"/>
              </w:rPr>
              <w:t>Evidencias de producto</w:t>
            </w:r>
          </w:p>
        </w:tc>
      </w:tr>
      <w:tr w:rsidR="00990B14" w14:paraId="1A99DA47" w14:textId="77777777">
        <w:trPr>
          <w:cantSplit/>
          <w:jc w:val="center"/>
        </w:trPr>
        <w:tc>
          <w:tcPr>
            <w:tcW w:w="3133" w:type="dxa"/>
            <w:gridSpan w:val="4"/>
            <w:vMerge w:val="restart"/>
            <w:shd w:val="clear" w:color="auto" w:fill="D9E2F3"/>
            <w:vAlign w:val="center"/>
          </w:tcPr>
          <w:p w14:paraId="5EF56558" w14:textId="77777777" w:rsidR="00990B14" w:rsidRDefault="00000000">
            <w:pPr>
              <w:spacing w:before="20" w:after="20"/>
              <w:jc w:val="both"/>
            </w:pPr>
            <w:r>
              <w:rPr>
                <w:sz w:val="18"/>
                <w:szCs w:val="18"/>
              </w:rPr>
              <w:t>1. Explica los fundamentos, los procesos, los modelos y las intervenciones del desarrollo organizacional en organizaciones públicas y privadas.</w:t>
            </w:r>
          </w:p>
        </w:tc>
        <w:tc>
          <w:tcPr>
            <w:tcW w:w="3135" w:type="dxa"/>
            <w:gridSpan w:val="5"/>
            <w:shd w:val="clear" w:color="auto" w:fill="D9E2F3"/>
            <w:vAlign w:val="center"/>
          </w:tcPr>
          <w:p w14:paraId="073DD64F" w14:textId="77777777" w:rsidR="00990B14" w:rsidRDefault="00000000">
            <w:pPr>
              <w:spacing w:before="20" w:after="20"/>
              <w:jc w:val="both"/>
            </w:pPr>
            <w:r>
              <w:rPr>
                <w:sz w:val="18"/>
                <w:szCs w:val="18"/>
              </w:rPr>
              <w:t>1.1 Expone en aula los modelos de planeación, de investigación-acción y de cambio planeado de Faria Mello.</w:t>
            </w:r>
          </w:p>
        </w:tc>
        <w:tc>
          <w:tcPr>
            <w:tcW w:w="3137" w:type="dxa"/>
            <w:gridSpan w:val="4"/>
            <w:shd w:val="clear" w:color="auto" w:fill="D9E2F3"/>
            <w:vAlign w:val="center"/>
          </w:tcPr>
          <w:p w14:paraId="6A535968" w14:textId="77777777" w:rsidR="00990B14" w:rsidRDefault="00000000">
            <w:pPr>
              <w:spacing w:before="20" w:after="20"/>
              <w:jc w:val="both"/>
            </w:pPr>
            <w:r>
              <w:rPr>
                <w:b/>
                <w:bCs/>
                <w:sz w:val="18"/>
                <w:szCs w:val="18"/>
              </w:rPr>
              <w:t xml:space="preserve">Producto 5: </w:t>
            </w:r>
            <w:r>
              <w:rPr>
                <w:sz w:val="18"/>
                <w:szCs w:val="18"/>
              </w:rPr>
              <w:t>Cuadro comparativo de los modelos de desarrollo organizacional.</w:t>
            </w:r>
          </w:p>
        </w:tc>
      </w:tr>
      <w:tr w:rsidR="00990B14" w14:paraId="7CECEF25" w14:textId="77777777">
        <w:trPr>
          <w:cantSplit/>
          <w:jc w:val="center"/>
        </w:trPr>
        <w:tc>
          <w:tcPr>
            <w:tcW w:w="3133" w:type="dxa"/>
            <w:gridSpan w:val="4"/>
            <w:vMerge/>
            <w:shd w:val="clear" w:color="auto" w:fill="D9E2F3"/>
            <w:vAlign w:val="center"/>
          </w:tcPr>
          <w:p w14:paraId="1B579410" w14:textId="77777777" w:rsidR="00990B14" w:rsidRDefault="00990B14">
            <w:pPr>
              <w:spacing w:before="20" w:after="20"/>
            </w:pPr>
          </w:p>
        </w:tc>
        <w:tc>
          <w:tcPr>
            <w:tcW w:w="3135" w:type="dxa"/>
            <w:gridSpan w:val="5"/>
            <w:shd w:val="clear" w:color="auto" w:fill="D9E2F3"/>
            <w:vAlign w:val="center"/>
          </w:tcPr>
          <w:p w14:paraId="09D7DB1E" w14:textId="77777777" w:rsidR="00990B14" w:rsidRDefault="00000000">
            <w:pPr>
              <w:spacing w:before="20" w:after="20"/>
              <w:jc w:val="both"/>
            </w:pPr>
            <w:r>
              <w:rPr>
                <w:sz w:val="18"/>
                <w:szCs w:val="18"/>
              </w:rPr>
              <w:t>1.2 Analiza en equipo una intervención de desarrollo organizacional realizada en una organización boliviana.</w:t>
            </w:r>
          </w:p>
        </w:tc>
        <w:tc>
          <w:tcPr>
            <w:tcW w:w="3137" w:type="dxa"/>
            <w:gridSpan w:val="4"/>
            <w:shd w:val="clear" w:color="auto" w:fill="D9E2F3"/>
            <w:vAlign w:val="center"/>
          </w:tcPr>
          <w:p w14:paraId="38FDD54E" w14:textId="77777777" w:rsidR="00990B14" w:rsidRDefault="00000000">
            <w:pPr>
              <w:spacing w:before="20" w:after="20"/>
              <w:jc w:val="both"/>
            </w:pPr>
            <w:r>
              <w:rPr>
                <w:b/>
                <w:bCs/>
                <w:sz w:val="18"/>
                <w:szCs w:val="18"/>
              </w:rPr>
              <w:t xml:space="preserve">Producto 6: </w:t>
            </w:r>
            <w:r>
              <w:rPr>
                <w:sz w:val="18"/>
                <w:szCs w:val="18"/>
              </w:rPr>
              <w:t>Análisis de una intervención de desarrollo organizacional.</w:t>
            </w:r>
          </w:p>
        </w:tc>
      </w:tr>
      <w:tr w:rsidR="00990B14" w14:paraId="721269E2" w14:textId="77777777">
        <w:trPr>
          <w:cantSplit/>
          <w:jc w:val="center"/>
        </w:trPr>
        <w:tc>
          <w:tcPr>
            <w:tcW w:w="3133" w:type="dxa"/>
            <w:gridSpan w:val="4"/>
            <w:vMerge w:val="restart"/>
            <w:shd w:val="clear" w:color="auto" w:fill="D9E2F3"/>
            <w:vAlign w:val="center"/>
          </w:tcPr>
          <w:p w14:paraId="289F482B" w14:textId="77777777" w:rsidR="00990B14" w:rsidRDefault="00000000">
            <w:pPr>
              <w:spacing w:before="20" w:after="20"/>
              <w:jc w:val="both"/>
            </w:pPr>
            <w:r>
              <w:rPr>
                <w:sz w:val="18"/>
                <w:szCs w:val="18"/>
              </w:rPr>
              <w:t>2. Diagnostica una organización con análisis retrospectivo y prospectivo, integrando el análisis estratégico de su entorno y de sus capacidades internas, y formula su dirección estratégica con objetividad.</w:t>
            </w:r>
          </w:p>
        </w:tc>
        <w:tc>
          <w:tcPr>
            <w:tcW w:w="3135" w:type="dxa"/>
            <w:gridSpan w:val="5"/>
            <w:shd w:val="clear" w:color="auto" w:fill="D9E2F3"/>
            <w:vAlign w:val="center"/>
          </w:tcPr>
          <w:p w14:paraId="01A0587D" w14:textId="77777777" w:rsidR="00990B14" w:rsidRDefault="00000000">
            <w:pPr>
              <w:spacing w:before="20" w:after="20"/>
              <w:jc w:val="both"/>
            </w:pPr>
            <w:r>
              <w:rPr>
                <w:sz w:val="18"/>
                <w:szCs w:val="18"/>
              </w:rPr>
              <w:t>2.1 Diagnostica en equipo una empresa boliviana con un modelo de diagnóstico organizacional y estratégico.</w:t>
            </w:r>
          </w:p>
        </w:tc>
        <w:tc>
          <w:tcPr>
            <w:tcW w:w="3137" w:type="dxa"/>
            <w:gridSpan w:val="4"/>
            <w:shd w:val="clear" w:color="auto" w:fill="D9E2F3"/>
            <w:vAlign w:val="center"/>
          </w:tcPr>
          <w:p w14:paraId="7F6F7618" w14:textId="77777777" w:rsidR="00990B14" w:rsidRDefault="00000000">
            <w:pPr>
              <w:spacing w:before="20" w:after="20"/>
              <w:jc w:val="both"/>
            </w:pPr>
            <w:r>
              <w:rPr>
                <w:b/>
                <w:bCs/>
                <w:sz w:val="18"/>
                <w:szCs w:val="18"/>
              </w:rPr>
              <w:t xml:space="preserve">Producto 7: </w:t>
            </w:r>
            <w:r>
              <w:rPr>
                <w:sz w:val="18"/>
                <w:szCs w:val="18"/>
              </w:rPr>
              <w:t>Informe de diagnóstico organizacional y estratégico de una organización.</w:t>
            </w:r>
          </w:p>
        </w:tc>
      </w:tr>
      <w:tr w:rsidR="00990B14" w14:paraId="0EE8F0A3" w14:textId="77777777">
        <w:trPr>
          <w:cantSplit/>
          <w:jc w:val="center"/>
        </w:trPr>
        <w:tc>
          <w:tcPr>
            <w:tcW w:w="3133" w:type="dxa"/>
            <w:gridSpan w:val="4"/>
            <w:vMerge/>
            <w:shd w:val="clear" w:color="auto" w:fill="D9E2F3"/>
            <w:vAlign w:val="center"/>
          </w:tcPr>
          <w:p w14:paraId="4774EF86" w14:textId="77777777" w:rsidR="00990B14" w:rsidRDefault="00990B14">
            <w:pPr>
              <w:spacing w:before="20" w:after="20"/>
            </w:pPr>
          </w:p>
        </w:tc>
        <w:tc>
          <w:tcPr>
            <w:tcW w:w="3135" w:type="dxa"/>
            <w:gridSpan w:val="5"/>
            <w:shd w:val="clear" w:color="auto" w:fill="D9E2F3"/>
            <w:vAlign w:val="center"/>
          </w:tcPr>
          <w:p w14:paraId="6C15BB39" w14:textId="77777777" w:rsidR="00990B14" w:rsidRDefault="00000000">
            <w:pPr>
              <w:spacing w:before="20" w:after="20"/>
              <w:jc w:val="both"/>
            </w:pPr>
            <w:r>
              <w:rPr>
                <w:sz w:val="18"/>
                <w:szCs w:val="18"/>
              </w:rPr>
              <w:t>2.2 Formula en equipo la misión, la visión, los valores, los objetivos y las alternativas estratégicas de la organización diagnosticada.</w:t>
            </w:r>
          </w:p>
        </w:tc>
        <w:tc>
          <w:tcPr>
            <w:tcW w:w="3137" w:type="dxa"/>
            <w:gridSpan w:val="4"/>
            <w:shd w:val="clear" w:color="auto" w:fill="D9E2F3"/>
            <w:vAlign w:val="center"/>
          </w:tcPr>
          <w:p w14:paraId="18BC67DB" w14:textId="77777777" w:rsidR="00990B14" w:rsidRDefault="00000000">
            <w:pPr>
              <w:spacing w:before="20" w:after="20"/>
              <w:jc w:val="both"/>
            </w:pPr>
            <w:r>
              <w:rPr>
                <w:b/>
                <w:bCs/>
                <w:sz w:val="18"/>
                <w:szCs w:val="18"/>
              </w:rPr>
              <w:t xml:space="preserve">Producto 8: </w:t>
            </w:r>
            <w:r>
              <w:rPr>
                <w:sz w:val="18"/>
                <w:szCs w:val="18"/>
              </w:rPr>
              <w:t>Matriz de formulación estratégica de la organización.</w:t>
            </w:r>
          </w:p>
        </w:tc>
      </w:tr>
      <w:tr w:rsidR="00990B14" w14:paraId="39D9F811" w14:textId="77777777">
        <w:trPr>
          <w:cantSplit/>
          <w:jc w:val="center"/>
        </w:trPr>
        <w:tc>
          <w:tcPr>
            <w:tcW w:w="9405" w:type="dxa"/>
            <w:gridSpan w:val="13"/>
            <w:shd w:val="clear" w:color="auto" w:fill="4472C4"/>
            <w:vAlign w:val="center"/>
          </w:tcPr>
          <w:p w14:paraId="196459E9" w14:textId="77777777" w:rsidR="00990B14" w:rsidRDefault="00000000">
            <w:pPr>
              <w:keepNext/>
              <w:spacing w:before="20" w:after="20"/>
              <w:jc w:val="center"/>
            </w:pPr>
            <w:r>
              <w:rPr>
                <w:b/>
                <w:bCs/>
                <w:i/>
                <w:iCs/>
                <w:color w:val="FFFFFF"/>
                <w:sz w:val="18"/>
                <w:szCs w:val="18"/>
              </w:rPr>
              <w:t>Evidencias de conocimiento</w:t>
            </w:r>
          </w:p>
        </w:tc>
      </w:tr>
      <w:tr w:rsidR="00990B14" w14:paraId="31627692" w14:textId="77777777">
        <w:trPr>
          <w:cantSplit/>
          <w:jc w:val="center"/>
        </w:trPr>
        <w:tc>
          <w:tcPr>
            <w:tcW w:w="2349" w:type="dxa"/>
            <w:gridSpan w:val="2"/>
            <w:shd w:val="clear" w:color="auto" w:fill="4472C4"/>
            <w:vAlign w:val="center"/>
          </w:tcPr>
          <w:p w14:paraId="7A0E7565"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17BAA000" w14:textId="77777777" w:rsidR="00990B14" w:rsidRDefault="00000000">
            <w:pPr>
              <w:keepNext/>
              <w:spacing w:before="20" w:after="20"/>
              <w:jc w:val="both"/>
            </w:pPr>
            <w:r>
              <w:rPr>
                <w:b/>
                <w:bCs/>
                <w:i/>
                <w:iCs/>
                <w:color w:val="FFFFFF"/>
                <w:sz w:val="18"/>
                <w:szCs w:val="18"/>
              </w:rPr>
              <w:t>Contenidos</w:t>
            </w:r>
          </w:p>
          <w:p w14:paraId="6D98E0A9"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1CEFAA3C" w14:textId="77777777" w:rsidR="00990B14" w:rsidRDefault="00000000">
            <w:pPr>
              <w:keepNext/>
              <w:spacing w:before="20" w:after="20"/>
              <w:jc w:val="center"/>
            </w:pPr>
            <w:r>
              <w:rPr>
                <w:b/>
                <w:bCs/>
                <w:i/>
                <w:iCs/>
                <w:color w:val="FFFFFF"/>
                <w:sz w:val="18"/>
                <w:szCs w:val="18"/>
              </w:rPr>
              <w:t>Conocimientos circunstanciales</w:t>
            </w:r>
          </w:p>
        </w:tc>
      </w:tr>
      <w:tr w:rsidR="00990B14" w14:paraId="52D4ADB8" w14:textId="77777777">
        <w:trPr>
          <w:jc w:val="center"/>
        </w:trPr>
        <w:tc>
          <w:tcPr>
            <w:tcW w:w="2349" w:type="dxa"/>
            <w:gridSpan w:val="2"/>
            <w:shd w:val="clear" w:color="auto" w:fill="D9E2F3"/>
          </w:tcPr>
          <w:p w14:paraId="296B906A" w14:textId="77777777" w:rsidR="00990B14" w:rsidRDefault="00000000">
            <w:pPr>
              <w:spacing w:before="20" w:after="40"/>
              <w:jc w:val="both"/>
            </w:pPr>
            <w:r>
              <w:rPr>
                <w:sz w:val="18"/>
                <w:szCs w:val="18"/>
              </w:rPr>
              <w:t>Tema 3: Desarrollo Organizacional</w:t>
            </w:r>
          </w:p>
          <w:p w14:paraId="1E8FF007" w14:textId="77777777" w:rsidR="00990B14" w:rsidRDefault="00000000">
            <w:pPr>
              <w:spacing w:before="20" w:after="40"/>
              <w:jc w:val="both"/>
            </w:pPr>
            <w:r>
              <w:rPr>
                <w:sz w:val="18"/>
                <w:szCs w:val="18"/>
              </w:rPr>
              <w:t>Tema 4: Diagnóstico Organizacional y Gestión Estratégica</w:t>
            </w:r>
          </w:p>
        </w:tc>
        <w:tc>
          <w:tcPr>
            <w:tcW w:w="4304" w:type="dxa"/>
            <w:gridSpan w:val="8"/>
            <w:shd w:val="clear" w:color="auto" w:fill="D9E2F3"/>
          </w:tcPr>
          <w:p w14:paraId="12F7F4E4" w14:textId="77777777" w:rsidR="00990B14" w:rsidRDefault="00000000">
            <w:pPr>
              <w:spacing w:after="40"/>
              <w:jc w:val="both"/>
            </w:pPr>
            <w:r>
              <w:rPr>
                <w:sz w:val="18"/>
                <w:szCs w:val="18"/>
              </w:rPr>
              <w:t>1.Introducción general al desarrollo organizacional: fundamentos, características y términos básicos. (C)</w:t>
            </w:r>
          </w:p>
          <w:p w14:paraId="4D7A9915" w14:textId="77777777" w:rsidR="00990B14" w:rsidRDefault="00000000">
            <w:pPr>
              <w:spacing w:after="40"/>
              <w:jc w:val="both"/>
            </w:pPr>
            <w:r>
              <w:rPr>
                <w:sz w:val="18"/>
                <w:szCs w:val="18"/>
              </w:rPr>
              <w:t>2.Orígenes, evolución y resultados del desarrollo organizacional en Bolivia y en el extranjero. (C)</w:t>
            </w:r>
          </w:p>
          <w:p w14:paraId="734F94B1" w14:textId="77777777" w:rsidR="00990B14" w:rsidRDefault="00000000">
            <w:pPr>
              <w:spacing w:after="40"/>
              <w:jc w:val="both"/>
            </w:pPr>
            <w:r>
              <w:rPr>
                <w:sz w:val="18"/>
                <w:szCs w:val="18"/>
              </w:rPr>
              <w:t>3.Procesos del desarrollo organizacional; el desarrollo organizacional desde el enfoque sistémico. (C)</w:t>
            </w:r>
          </w:p>
          <w:p w14:paraId="4F0830E1" w14:textId="77777777" w:rsidR="00990B14" w:rsidRDefault="00000000">
            <w:pPr>
              <w:spacing w:after="40"/>
              <w:jc w:val="both"/>
            </w:pPr>
            <w:r>
              <w:rPr>
                <w:sz w:val="18"/>
                <w:szCs w:val="18"/>
              </w:rPr>
              <w:t>4.El modelo de planeación, el modelo de investigación-acción y el modelo de cambio planeado de Faria Mello. (C, P)</w:t>
            </w:r>
          </w:p>
          <w:p w14:paraId="0847F4D8" w14:textId="77777777" w:rsidR="00990B14" w:rsidRDefault="00000000">
            <w:pPr>
              <w:spacing w:after="40"/>
              <w:jc w:val="both"/>
            </w:pPr>
            <w:r>
              <w:rPr>
                <w:sz w:val="18"/>
                <w:szCs w:val="18"/>
              </w:rPr>
              <w:t>5.Recopilación de información; el desarrollo organizacional y su función en la empresa. (C, P)</w:t>
            </w:r>
          </w:p>
          <w:p w14:paraId="4B88B26C" w14:textId="77777777" w:rsidR="00990B14" w:rsidRDefault="00000000">
            <w:pPr>
              <w:spacing w:after="40"/>
              <w:jc w:val="both"/>
            </w:pPr>
            <w:r>
              <w:rPr>
                <w:sz w:val="18"/>
                <w:szCs w:val="18"/>
              </w:rPr>
              <w:t>6.Intervenciones en procesos humanos y enfoques de calidad de vida del trabajo. (C)</w:t>
            </w:r>
          </w:p>
          <w:p w14:paraId="5631BCAA" w14:textId="77777777" w:rsidR="00990B14" w:rsidRDefault="00000000">
            <w:pPr>
              <w:spacing w:after="40"/>
              <w:jc w:val="both"/>
            </w:pPr>
            <w:r>
              <w:rPr>
                <w:sz w:val="18"/>
                <w:szCs w:val="18"/>
              </w:rPr>
              <w:t>7.El desarrollo organizacional en el sector público. (C)</w:t>
            </w:r>
          </w:p>
          <w:p w14:paraId="4D1FA105" w14:textId="77777777" w:rsidR="00990B14" w:rsidRDefault="00000000">
            <w:pPr>
              <w:spacing w:after="40"/>
              <w:jc w:val="both"/>
            </w:pPr>
            <w:r>
              <w:rPr>
                <w:sz w:val="18"/>
                <w:szCs w:val="18"/>
              </w:rPr>
              <w:t>8.Gobierno corporativo, responsabilidad social empresarial y criterios ambientales, sociales y de gobernanza: compromiso de la organización con sus grupos de interés. (C, A)</w:t>
            </w:r>
          </w:p>
          <w:p w14:paraId="51711FCC" w14:textId="77777777" w:rsidR="00990B14" w:rsidRDefault="00000000">
            <w:pPr>
              <w:spacing w:after="40"/>
              <w:jc w:val="both"/>
            </w:pPr>
            <w:r>
              <w:rPr>
                <w:sz w:val="18"/>
                <w:szCs w:val="18"/>
              </w:rPr>
              <w:t>9.Concepto, importancia y necesidad del diagnóstico organizacional; diagnóstico y eficiencia organizacional. (C)</w:t>
            </w:r>
          </w:p>
          <w:p w14:paraId="7BDDACEC" w14:textId="77777777" w:rsidR="00990B14" w:rsidRDefault="00000000">
            <w:pPr>
              <w:spacing w:after="40"/>
              <w:jc w:val="both"/>
            </w:pPr>
            <w:r>
              <w:rPr>
                <w:sz w:val="18"/>
                <w:szCs w:val="18"/>
              </w:rPr>
              <w:t>10.Modelos de diagnóstico organizacional: análisis retrospectivo y análisis prospectivo; escenarios prospectivos. (C, P)</w:t>
            </w:r>
          </w:p>
          <w:p w14:paraId="023FD572" w14:textId="77777777" w:rsidR="00990B14" w:rsidRDefault="00000000">
            <w:pPr>
              <w:spacing w:after="40"/>
              <w:jc w:val="both"/>
            </w:pPr>
            <w:r>
              <w:rPr>
                <w:sz w:val="18"/>
                <w:szCs w:val="18"/>
              </w:rPr>
              <w:t>11.Administración estratégica y pensamiento estratégico; niveles estratégicos corporativo, de negocio y funcional; creación de valor a largo plazo. (C)</w:t>
            </w:r>
          </w:p>
          <w:p w14:paraId="65EC25B1" w14:textId="77777777" w:rsidR="00990B14" w:rsidRDefault="00000000">
            <w:pPr>
              <w:spacing w:after="40"/>
              <w:jc w:val="both"/>
            </w:pPr>
            <w:r>
              <w:rPr>
                <w:sz w:val="18"/>
                <w:szCs w:val="18"/>
              </w:rPr>
              <w:t>12.Análisis del entorno político, económico, social, tecnológico, ecológico y legal, conocido como PESTEL; sector, competencia y tendencias de mercado. (C, P)</w:t>
            </w:r>
          </w:p>
          <w:p w14:paraId="2F6EE8BF" w14:textId="77777777" w:rsidR="00990B14" w:rsidRDefault="00000000">
            <w:pPr>
              <w:spacing w:after="40"/>
              <w:jc w:val="both"/>
            </w:pPr>
            <w:r>
              <w:rPr>
                <w:sz w:val="18"/>
                <w:szCs w:val="18"/>
              </w:rPr>
              <w:t>13.Diagnóstico de capacidades internas: recursos tangibles e intangibles, capacidades dinámicas y competencias distintivas; ventajas y desventajas competitivas. (C, P)</w:t>
            </w:r>
          </w:p>
          <w:p w14:paraId="4CE3B204" w14:textId="77777777" w:rsidR="00990B14" w:rsidRDefault="00000000">
            <w:pPr>
              <w:spacing w:after="40"/>
              <w:jc w:val="both"/>
            </w:pPr>
            <w:r>
              <w:rPr>
                <w:sz w:val="18"/>
                <w:szCs w:val="18"/>
              </w:rPr>
              <w:t>14.Misión, visión, valores y objetivos estratégicos: formulación y alineación con el propósito de la organización. (C, P)</w:t>
            </w:r>
          </w:p>
          <w:p w14:paraId="563119FF" w14:textId="77777777" w:rsidR="00990B14" w:rsidRDefault="00000000">
            <w:pPr>
              <w:spacing w:after="40"/>
              <w:jc w:val="both"/>
            </w:pPr>
            <w:r>
              <w:rPr>
                <w:sz w:val="18"/>
                <w:szCs w:val="18"/>
              </w:rPr>
              <w:t>15.Estrategias genéricas y de crecimiento; generación, evaluación y priorización de alternativas estratégicas. (C, P)</w:t>
            </w:r>
          </w:p>
          <w:p w14:paraId="34BF1D9C" w14:textId="77777777" w:rsidR="00990B14" w:rsidRDefault="00000000">
            <w:pPr>
              <w:spacing w:after="40"/>
              <w:jc w:val="both"/>
            </w:pPr>
            <w:r>
              <w:rPr>
                <w:sz w:val="18"/>
                <w:szCs w:val="18"/>
              </w:rPr>
              <w:t>16.Objetividad y confidencialidad en la recolección y el uso de la información del diagnóstico. (A)</w:t>
            </w:r>
          </w:p>
        </w:tc>
        <w:tc>
          <w:tcPr>
            <w:tcW w:w="2752" w:type="dxa"/>
            <w:gridSpan w:val="3"/>
            <w:shd w:val="clear" w:color="auto" w:fill="D9E2F3"/>
          </w:tcPr>
          <w:p w14:paraId="22DFB893" w14:textId="77777777" w:rsidR="00990B14" w:rsidRDefault="00000000">
            <w:pPr>
              <w:numPr>
                <w:ilvl w:val="0"/>
                <w:numId w:val="139"/>
              </w:numPr>
              <w:spacing w:before="10" w:after="10"/>
              <w:jc w:val="both"/>
            </w:pPr>
            <w:r>
              <w:rPr>
                <w:sz w:val="18"/>
                <w:szCs w:val="18"/>
              </w:rPr>
              <w:t>Articulación con ADM-201 Administración de Sistemas Gerenciales: el enfoque de sistemas y el enfoque de contingencia como fundamento del desarrollo organizacional.</w:t>
            </w:r>
          </w:p>
          <w:p w14:paraId="7BB89D24" w14:textId="77777777" w:rsidR="00990B14" w:rsidRDefault="00000000">
            <w:pPr>
              <w:numPr>
                <w:ilvl w:val="0"/>
                <w:numId w:val="139"/>
              </w:numPr>
              <w:spacing w:before="10" w:after="10"/>
              <w:jc w:val="both"/>
            </w:pPr>
            <w:r>
              <w:rPr>
                <w:sz w:val="18"/>
                <w:szCs w:val="18"/>
              </w:rPr>
              <w:t>Articulación con ADM-201 Administración de Sistemas Gerenciales: el sistema de planificación y la planificación corporativa integrada como base de la gestión estratégica.</w:t>
            </w:r>
          </w:p>
          <w:p w14:paraId="747161B1" w14:textId="77777777" w:rsidR="00990B14" w:rsidRDefault="00000000">
            <w:pPr>
              <w:numPr>
                <w:ilvl w:val="0"/>
                <w:numId w:val="139"/>
              </w:numPr>
              <w:spacing w:before="10" w:after="10"/>
              <w:jc w:val="both"/>
            </w:pPr>
            <w:r>
              <w:rPr>
                <w:sz w:val="18"/>
                <w:szCs w:val="18"/>
              </w:rPr>
              <w:t>Articulación con ADM-201 Administración de Sistemas Gerenciales: los fines, el objeto y los niveles de objetivos de la organización como insumo de la formulación estratégica.</w:t>
            </w:r>
          </w:p>
          <w:p w14:paraId="3CBDA7A1" w14:textId="77777777" w:rsidR="00990B14" w:rsidRDefault="00000000">
            <w:pPr>
              <w:numPr>
                <w:ilvl w:val="0"/>
                <w:numId w:val="139"/>
              </w:numPr>
              <w:spacing w:before="10" w:after="10"/>
              <w:jc w:val="both"/>
            </w:pPr>
            <w:r>
              <w:rPr>
                <w:sz w:val="18"/>
                <w:szCs w:val="18"/>
              </w:rPr>
              <w:t>Nociones de técnicas de investigación cuali/cuantitativa para el diagnóstico: entrevista, grupo focal y observación.</w:t>
            </w:r>
          </w:p>
        </w:tc>
      </w:tr>
      <w:tr w:rsidR="00990B14" w14:paraId="1953B395" w14:textId="77777777">
        <w:trPr>
          <w:cantSplit/>
          <w:jc w:val="center"/>
        </w:trPr>
        <w:tc>
          <w:tcPr>
            <w:tcW w:w="9405" w:type="dxa"/>
            <w:gridSpan w:val="13"/>
            <w:shd w:val="clear" w:color="auto" w:fill="D9E2F3"/>
            <w:vAlign w:val="center"/>
          </w:tcPr>
          <w:p w14:paraId="44194AB4" w14:textId="77777777" w:rsidR="00990B14" w:rsidRDefault="00000000">
            <w:pPr>
              <w:spacing w:before="20" w:after="20"/>
              <w:jc w:val="both"/>
            </w:pPr>
            <w:r>
              <w:rPr>
                <w:b/>
                <w:bCs/>
                <w:i/>
                <w:iCs/>
                <w:sz w:val="18"/>
                <w:szCs w:val="18"/>
              </w:rPr>
              <w:t xml:space="preserve">Elemento de competencia 3: </w:t>
            </w:r>
            <w:r>
              <w:rPr>
                <w:sz w:val="18"/>
                <w:szCs w:val="18"/>
              </w:rPr>
              <w:t>Planifica una intervención de cambio organizacional, considerando la cultura, el aprendizaje y la innovación de la organización y gestionando la resistencia al cambio y la implementación de la estrategia.</w:t>
            </w:r>
          </w:p>
        </w:tc>
      </w:tr>
      <w:tr w:rsidR="00990B14" w14:paraId="36A37EC0" w14:textId="77777777">
        <w:trPr>
          <w:cantSplit/>
          <w:jc w:val="center"/>
        </w:trPr>
        <w:tc>
          <w:tcPr>
            <w:tcW w:w="3133" w:type="dxa"/>
            <w:gridSpan w:val="4"/>
            <w:shd w:val="clear" w:color="auto" w:fill="4472C4"/>
            <w:vAlign w:val="center"/>
          </w:tcPr>
          <w:p w14:paraId="3B1D2CF4"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69524D9A"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1577F94B" w14:textId="77777777" w:rsidR="00990B14" w:rsidRDefault="00000000">
            <w:pPr>
              <w:keepNext/>
              <w:spacing w:before="20" w:after="20"/>
              <w:jc w:val="center"/>
            </w:pPr>
            <w:r>
              <w:rPr>
                <w:b/>
                <w:bCs/>
                <w:i/>
                <w:iCs/>
                <w:color w:val="FFFFFF"/>
                <w:sz w:val="18"/>
                <w:szCs w:val="18"/>
              </w:rPr>
              <w:t>Evidencias de producto</w:t>
            </w:r>
          </w:p>
        </w:tc>
      </w:tr>
      <w:tr w:rsidR="00990B14" w14:paraId="0B20C6FB" w14:textId="77777777">
        <w:trPr>
          <w:cantSplit/>
          <w:jc w:val="center"/>
        </w:trPr>
        <w:tc>
          <w:tcPr>
            <w:tcW w:w="3133" w:type="dxa"/>
            <w:gridSpan w:val="4"/>
            <w:vMerge w:val="restart"/>
            <w:shd w:val="clear" w:color="auto" w:fill="D9E2F3"/>
            <w:vAlign w:val="center"/>
          </w:tcPr>
          <w:p w14:paraId="394250AF" w14:textId="77777777" w:rsidR="00990B14" w:rsidRDefault="00000000">
            <w:pPr>
              <w:spacing w:before="20" w:after="20"/>
              <w:jc w:val="both"/>
            </w:pPr>
            <w:r>
              <w:rPr>
                <w:sz w:val="18"/>
                <w:szCs w:val="18"/>
              </w:rPr>
              <w:t>1. Evalúa la cultura, el clima y la capacidad de aprendizaje e innovación de una organización, con objetividad y respeto a la diversidad.</w:t>
            </w:r>
          </w:p>
        </w:tc>
        <w:tc>
          <w:tcPr>
            <w:tcW w:w="3135" w:type="dxa"/>
            <w:gridSpan w:val="5"/>
            <w:shd w:val="clear" w:color="auto" w:fill="D9E2F3"/>
            <w:vAlign w:val="center"/>
          </w:tcPr>
          <w:p w14:paraId="401E279C" w14:textId="77777777" w:rsidR="00990B14" w:rsidRDefault="00000000">
            <w:pPr>
              <w:spacing w:before="20" w:after="20"/>
              <w:jc w:val="both"/>
            </w:pPr>
            <w:r>
              <w:rPr>
                <w:sz w:val="18"/>
                <w:szCs w:val="18"/>
              </w:rPr>
              <w:t>1.1 Aplica en equipo una encuesta de clima organizacional y procesa sus resultados en hoja de cálculo.</w:t>
            </w:r>
          </w:p>
        </w:tc>
        <w:tc>
          <w:tcPr>
            <w:tcW w:w="3137" w:type="dxa"/>
            <w:gridSpan w:val="4"/>
            <w:shd w:val="clear" w:color="auto" w:fill="D9E2F3"/>
            <w:vAlign w:val="center"/>
          </w:tcPr>
          <w:p w14:paraId="5FE263F0" w14:textId="77777777" w:rsidR="00990B14" w:rsidRDefault="00000000">
            <w:pPr>
              <w:spacing w:before="20" w:after="20"/>
              <w:jc w:val="both"/>
            </w:pPr>
            <w:r>
              <w:rPr>
                <w:b/>
                <w:bCs/>
                <w:sz w:val="18"/>
                <w:szCs w:val="18"/>
              </w:rPr>
              <w:t xml:space="preserve">Producto 9: </w:t>
            </w:r>
            <w:r>
              <w:rPr>
                <w:sz w:val="18"/>
                <w:szCs w:val="18"/>
              </w:rPr>
              <w:t>Informe del clima organizacional con el procesamiento de los instrumentos.</w:t>
            </w:r>
          </w:p>
        </w:tc>
      </w:tr>
      <w:tr w:rsidR="00990B14" w14:paraId="3626A63F" w14:textId="77777777">
        <w:trPr>
          <w:cantSplit/>
          <w:jc w:val="center"/>
        </w:trPr>
        <w:tc>
          <w:tcPr>
            <w:tcW w:w="3133" w:type="dxa"/>
            <w:gridSpan w:val="4"/>
            <w:vMerge/>
            <w:shd w:val="clear" w:color="auto" w:fill="D9E2F3"/>
            <w:vAlign w:val="center"/>
          </w:tcPr>
          <w:p w14:paraId="037E4808" w14:textId="77777777" w:rsidR="00990B14" w:rsidRDefault="00990B14">
            <w:pPr>
              <w:spacing w:before="20" w:after="20"/>
            </w:pPr>
          </w:p>
        </w:tc>
        <w:tc>
          <w:tcPr>
            <w:tcW w:w="3135" w:type="dxa"/>
            <w:gridSpan w:val="5"/>
            <w:shd w:val="clear" w:color="auto" w:fill="D9E2F3"/>
            <w:vAlign w:val="center"/>
          </w:tcPr>
          <w:p w14:paraId="1E9DFAE7" w14:textId="77777777" w:rsidR="00990B14" w:rsidRDefault="00000000">
            <w:pPr>
              <w:spacing w:before="20" w:after="20"/>
              <w:jc w:val="both"/>
            </w:pPr>
            <w:r>
              <w:rPr>
                <w:sz w:val="18"/>
                <w:szCs w:val="18"/>
              </w:rPr>
              <w:t>1.2 Describe en aula la cultura de una organización boliviana según sus niveles y su capacidad de aprendizaje e innovación.</w:t>
            </w:r>
          </w:p>
        </w:tc>
        <w:tc>
          <w:tcPr>
            <w:tcW w:w="3137" w:type="dxa"/>
            <w:gridSpan w:val="4"/>
            <w:shd w:val="clear" w:color="auto" w:fill="D9E2F3"/>
            <w:vAlign w:val="center"/>
          </w:tcPr>
          <w:p w14:paraId="2DAF38E6" w14:textId="77777777" w:rsidR="00990B14" w:rsidRDefault="00000000">
            <w:pPr>
              <w:spacing w:before="20" w:after="20"/>
              <w:jc w:val="both"/>
            </w:pPr>
            <w:r>
              <w:rPr>
                <w:b/>
                <w:bCs/>
                <w:sz w:val="18"/>
                <w:szCs w:val="18"/>
              </w:rPr>
              <w:t xml:space="preserve">Producto 10: </w:t>
            </w:r>
            <w:r>
              <w:rPr>
                <w:sz w:val="18"/>
                <w:szCs w:val="18"/>
              </w:rPr>
              <w:t>Informe diagnóstico de la cultura organizacional y de la capacidad de aprendizaje e innovación.</w:t>
            </w:r>
          </w:p>
        </w:tc>
      </w:tr>
      <w:tr w:rsidR="00990B14" w14:paraId="24C8E7A9" w14:textId="77777777">
        <w:trPr>
          <w:cantSplit/>
          <w:jc w:val="center"/>
        </w:trPr>
        <w:tc>
          <w:tcPr>
            <w:tcW w:w="3133" w:type="dxa"/>
            <w:gridSpan w:val="4"/>
            <w:vMerge w:val="restart"/>
            <w:shd w:val="clear" w:color="auto" w:fill="D9E2F3"/>
            <w:vAlign w:val="center"/>
          </w:tcPr>
          <w:p w14:paraId="03C49ECD" w14:textId="77777777" w:rsidR="00990B14" w:rsidRDefault="00000000">
            <w:pPr>
              <w:spacing w:before="20" w:after="20"/>
              <w:jc w:val="both"/>
            </w:pPr>
            <w:r>
              <w:rPr>
                <w:sz w:val="18"/>
                <w:szCs w:val="18"/>
              </w:rPr>
              <w:t>2. Planifica una intervención de desarrollo organizacional con el modelo de Faria Mello o de Kurt Lewin, gestionando la resistencia al cambio y la implementación de la estrategia con indicadores.</w:t>
            </w:r>
          </w:p>
        </w:tc>
        <w:tc>
          <w:tcPr>
            <w:tcW w:w="3135" w:type="dxa"/>
            <w:gridSpan w:val="5"/>
            <w:shd w:val="clear" w:color="auto" w:fill="D9E2F3"/>
            <w:vAlign w:val="center"/>
          </w:tcPr>
          <w:p w14:paraId="290CBEC5" w14:textId="77777777" w:rsidR="00990B14" w:rsidRDefault="00000000">
            <w:pPr>
              <w:spacing w:before="20" w:after="20"/>
              <w:jc w:val="both"/>
            </w:pPr>
            <w:r>
              <w:rPr>
                <w:sz w:val="18"/>
                <w:szCs w:val="18"/>
              </w:rPr>
              <w:t>2.1 Propone ante el curso un plan de intervención de desarrollo organizacional y su estrategia ante la resistencia al cambio.</w:t>
            </w:r>
          </w:p>
        </w:tc>
        <w:tc>
          <w:tcPr>
            <w:tcW w:w="3137" w:type="dxa"/>
            <w:gridSpan w:val="4"/>
            <w:shd w:val="clear" w:color="auto" w:fill="D9E2F3"/>
            <w:vAlign w:val="center"/>
          </w:tcPr>
          <w:p w14:paraId="68FF4A0E" w14:textId="77777777" w:rsidR="00990B14" w:rsidRDefault="00000000">
            <w:pPr>
              <w:spacing w:before="20" w:after="20"/>
              <w:jc w:val="both"/>
            </w:pPr>
            <w:r>
              <w:rPr>
                <w:b/>
                <w:bCs/>
                <w:sz w:val="18"/>
                <w:szCs w:val="18"/>
              </w:rPr>
              <w:t xml:space="preserve">Producto 11: </w:t>
            </w:r>
            <w:r>
              <w:rPr>
                <w:sz w:val="18"/>
                <w:szCs w:val="18"/>
              </w:rPr>
              <w:t>Plan de intervención de desarrollo organizacional.</w:t>
            </w:r>
          </w:p>
        </w:tc>
      </w:tr>
      <w:tr w:rsidR="00990B14" w14:paraId="3B27D170" w14:textId="77777777">
        <w:trPr>
          <w:cantSplit/>
          <w:jc w:val="center"/>
        </w:trPr>
        <w:tc>
          <w:tcPr>
            <w:tcW w:w="3133" w:type="dxa"/>
            <w:gridSpan w:val="4"/>
            <w:vMerge/>
            <w:shd w:val="clear" w:color="auto" w:fill="D9E2F3"/>
            <w:vAlign w:val="center"/>
          </w:tcPr>
          <w:p w14:paraId="4A6BF970" w14:textId="77777777" w:rsidR="00990B14" w:rsidRDefault="00990B14">
            <w:pPr>
              <w:spacing w:before="20" w:after="20"/>
            </w:pPr>
          </w:p>
        </w:tc>
        <w:tc>
          <w:tcPr>
            <w:tcW w:w="3135" w:type="dxa"/>
            <w:gridSpan w:val="5"/>
            <w:shd w:val="clear" w:color="auto" w:fill="D9E2F3"/>
            <w:vAlign w:val="center"/>
          </w:tcPr>
          <w:p w14:paraId="2B4D1CA0" w14:textId="77777777" w:rsidR="00990B14" w:rsidRDefault="00000000">
            <w:pPr>
              <w:spacing w:before="20" w:after="20"/>
              <w:jc w:val="both"/>
            </w:pPr>
            <w:r>
              <w:rPr>
                <w:sz w:val="18"/>
                <w:szCs w:val="18"/>
              </w:rPr>
              <w:t>2.2 Diseña en equipo el plan de implementación de la estrategia con responsables, cronograma e indicadores clave de desempeño.</w:t>
            </w:r>
          </w:p>
        </w:tc>
        <w:tc>
          <w:tcPr>
            <w:tcW w:w="3137" w:type="dxa"/>
            <w:gridSpan w:val="4"/>
            <w:shd w:val="clear" w:color="auto" w:fill="D9E2F3"/>
            <w:vAlign w:val="center"/>
          </w:tcPr>
          <w:p w14:paraId="484FDEEC" w14:textId="77777777" w:rsidR="00990B14" w:rsidRDefault="00000000">
            <w:pPr>
              <w:spacing w:before="20" w:after="20"/>
              <w:jc w:val="both"/>
            </w:pPr>
            <w:r>
              <w:rPr>
                <w:b/>
                <w:bCs/>
                <w:sz w:val="18"/>
                <w:szCs w:val="18"/>
              </w:rPr>
              <w:t xml:space="preserve">Producto 12: </w:t>
            </w:r>
            <w:r>
              <w:rPr>
                <w:sz w:val="18"/>
                <w:szCs w:val="18"/>
              </w:rPr>
              <w:t>Plan de implementación de la estrategia con indicadores.</w:t>
            </w:r>
          </w:p>
        </w:tc>
      </w:tr>
      <w:tr w:rsidR="00990B14" w14:paraId="1DD50A02" w14:textId="77777777">
        <w:trPr>
          <w:cantSplit/>
          <w:jc w:val="center"/>
        </w:trPr>
        <w:tc>
          <w:tcPr>
            <w:tcW w:w="9405" w:type="dxa"/>
            <w:gridSpan w:val="13"/>
            <w:shd w:val="clear" w:color="auto" w:fill="4472C4"/>
            <w:vAlign w:val="center"/>
          </w:tcPr>
          <w:p w14:paraId="019A7707" w14:textId="77777777" w:rsidR="00990B14" w:rsidRDefault="00000000">
            <w:pPr>
              <w:keepNext/>
              <w:spacing w:before="20" w:after="20"/>
              <w:jc w:val="center"/>
            </w:pPr>
            <w:r>
              <w:rPr>
                <w:b/>
                <w:bCs/>
                <w:i/>
                <w:iCs/>
                <w:color w:val="FFFFFF"/>
                <w:sz w:val="18"/>
                <w:szCs w:val="18"/>
              </w:rPr>
              <w:t>Evidencias de conocimiento</w:t>
            </w:r>
          </w:p>
        </w:tc>
      </w:tr>
      <w:tr w:rsidR="00990B14" w14:paraId="106C610D" w14:textId="77777777">
        <w:trPr>
          <w:cantSplit/>
          <w:jc w:val="center"/>
        </w:trPr>
        <w:tc>
          <w:tcPr>
            <w:tcW w:w="2349" w:type="dxa"/>
            <w:gridSpan w:val="2"/>
            <w:shd w:val="clear" w:color="auto" w:fill="4472C4"/>
            <w:vAlign w:val="center"/>
          </w:tcPr>
          <w:p w14:paraId="10EDA6A1"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081E1A70" w14:textId="77777777" w:rsidR="00990B14" w:rsidRDefault="00000000">
            <w:pPr>
              <w:keepNext/>
              <w:spacing w:before="20" w:after="20"/>
              <w:jc w:val="both"/>
            </w:pPr>
            <w:r>
              <w:rPr>
                <w:b/>
                <w:bCs/>
                <w:i/>
                <w:iCs/>
                <w:color w:val="FFFFFF"/>
                <w:sz w:val="18"/>
                <w:szCs w:val="18"/>
              </w:rPr>
              <w:t>Contenidos</w:t>
            </w:r>
          </w:p>
          <w:p w14:paraId="05E8EF67"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543500CB" w14:textId="77777777" w:rsidR="00990B14" w:rsidRDefault="00000000">
            <w:pPr>
              <w:keepNext/>
              <w:spacing w:before="20" w:after="20"/>
              <w:jc w:val="center"/>
            </w:pPr>
            <w:r>
              <w:rPr>
                <w:b/>
                <w:bCs/>
                <w:i/>
                <w:iCs/>
                <w:color w:val="FFFFFF"/>
                <w:sz w:val="18"/>
                <w:szCs w:val="18"/>
              </w:rPr>
              <w:t>Conocimientos circunstanciales</w:t>
            </w:r>
          </w:p>
        </w:tc>
      </w:tr>
      <w:tr w:rsidR="00990B14" w14:paraId="15920A9A" w14:textId="77777777">
        <w:trPr>
          <w:jc w:val="center"/>
        </w:trPr>
        <w:tc>
          <w:tcPr>
            <w:tcW w:w="2349" w:type="dxa"/>
            <w:gridSpan w:val="2"/>
            <w:shd w:val="clear" w:color="auto" w:fill="D9E2F3"/>
          </w:tcPr>
          <w:p w14:paraId="28D3DDBB" w14:textId="77777777" w:rsidR="00990B14" w:rsidRDefault="00000000">
            <w:pPr>
              <w:spacing w:before="20" w:after="40"/>
              <w:jc w:val="both"/>
            </w:pPr>
            <w:r>
              <w:rPr>
                <w:sz w:val="18"/>
                <w:szCs w:val="18"/>
              </w:rPr>
              <w:t>Tema 5: Cultura, Aprendizaje e Innovación Organizacional</w:t>
            </w:r>
          </w:p>
          <w:p w14:paraId="62EE16A3" w14:textId="77777777" w:rsidR="00990B14" w:rsidRDefault="00000000">
            <w:pPr>
              <w:spacing w:before="20" w:after="40"/>
              <w:jc w:val="both"/>
            </w:pPr>
            <w:r>
              <w:rPr>
                <w:sz w:val="18"/>
                <w:szCs w:val="18"/>
              </w:rPr>
              <w:t>Tema 6: Cambio Organizacional e Implementación de la Estrategia</w:t>
            </w:r>
          </w:p>
        </w:tc>
        <w:tc>
          <w:tcPr>
            <w:tcW w:w="4304" w:type="dxa"/>
            <w:gridSpan w:val="8"/>
            <w:shd w:val="clear" w:color="auto" w:fill="D9E2F3"/>
          </w:tcPr>
          <w:p w14:paraId="62E764E6" w14:textId="77777777" w:rsidR="00990B14" w:rsidRDefault="00000000">
            <w:pPr>
              <w:spacing w:after="40"/>
              <w:jc w:val="both"/>
            </w:pPr>
            <w:r>
              <w:rPr>
                <w:sz w:val="18"/>
                <w:szCs w:val="18"/>
              </w:rPr>
              <w:t>1.Cultura organizacional: concepto, niveles de artefactos, valores y supuestos básicos, funciones y tipos. (C)</w:t>
            </w:r>
          </w:p>
          <w:p w14:paraId="6216A4CB" w14:textId="77777777" w:rsidR="00990B14" w:rsidRDefault="00000000">
            <w:pPr>
              <w:spacing w:after="40"/>
              <w:jc w:val="both"/>
            </w:pPr>
            <w:r>
              <w:rPr>
                <w:sz w:val="18"/>
                <w:szCs w:val="18"/>
              </w:rPr>
              <w:t>2.Creación, mantenimiento y transmisión de la cultura; socialización del personal. (C)</w:t>
            </w:r>
          </w:p>
          <w:p w14:paraId="19BCE667" w14:textId="77777777" w:rsidR="00990B14" w:rsidRDefault="00000000">
            <w:pPr>
              <w:spacing w:after="40"/>
              <w:jc w:val="both"/>
            </w:pPr>
            <w:r>
              <w:rPr>
                <w:sz w:val="18"/>
                <w:szCs w:val="18"/>
              </w:rPr>
              <w:t>3.Clima organizacional: concepto, dimensiones y diferencia con la cultura organizacional. (C)</w:t>
            </w:r>
          </w:p>
          <w:p w14:paraId="7EDFAB0C" w14:textId="77777777" w:rsidR="00990B14" w:rsidRDefault="00000000">
            <w:pPr>
              <w:spacing w:after="40"/>
              <w:jc w:val="both"/>
            </w:pPr>
            <w:r>
              <w:rPr>
                <w:sz w:val="18"/>
                <w:szCs w:val="18"/>
              </w:rPr>
              <w:t>4.Medición del clima organizacional: diseño de la encuesta y procesamiento de sus resultados en hoja de cálculo; indicadores de rotación, ausentismo y satisfacción. (P, T)</w:t>
            </w:r>
          </w:p>
          <w:p w14:paraId="65B1DCF3" w14:textId="77777777" w:rsidR="00990B14" w:rsidRDefault="00000000">
            <w:pPr>
              <w:spacing w:after="40"/>
              <w:jc w:val="both"/>
            </w:pPr>
            <w:r>
              <w:rPr>
                <w:sz w:val="18"/>
                <w:szCs w:val="18"/>
              </w:rPr>
              <w:t>5.Administración de la toma de decisiones y el aprendizaje. (C)</w:t>
            </w:r>
          </w:p>
          <w:p w14:paraId="73763E33" w14:textId="77777777" w:rsidR="00990B14" w:rsidRDefault="00000000">
            <w:pPr>
              <w:spacing w:after="40"/>
              <w:jc w:val="both"/>
            </w:pPr>
            <w:r>
              <w:rPr>
                <w:sz w:val="18"/>
                <w:szCs w:val="18"/>
              </w:rPr>
              <w:t>6.La organización que aprende y la gestión del conocimiento. (C, P)</w:t>
            </w:r>
          </w:p>
          <w:p w14:paraId="1A3D2842" w14:textId="77777777" w:rsidR="00990B14" w:rsidRDefault="00000000">
            <w:pPr>
              <w:spacing w:after="40"/>
              <w:jc w:val="both"/>
            </w:pPr>
            <w:r>
              <w:rPr>
                <w:sz w:val="18"/>
                <w:szCs w:val="18"/>
              </w:rPr>
              <w:t>7.Administración del cambio y la innovación. (C)</w:t>
            </w:r>
          </w:p>
          <w:p w14:paraId="373E3E06" w14:textId="77777777" w:rsidR="00990B14" w:rsidRDefault="00000000">
            <w:pPr>
              <w:spacing w:after="40"/>
              <w:jc w:val="both"/>
            </w:pPr>
            <w:r>
              <w:rPr>
                <w:sz w:val="18"/>
                <w:szCs w:val="18"/>
              </w:rPr>
              <w:t>8.Innovación organizacional: tipos de innovación, creatividad en los equipos y condiciones que la favorecen. (C, P)</w:t>
            </w:r>
          </w:p>
          <w:p w14:paraId="69DE420C" w14:textId="77777777" w:rsidR="00990B14" w:rsidRDefault="00000000">
            <w:pPr>
              <w:spacing w:after="40"/>
              <w:jc w:val="both"/>
            </w:pPr>
            <w:r>
              <w:rPr>
                <w:sz w:val="18"/>
                <w:szCs w:val="18"/>
              </w:rPr>
              <w:t>9.Diversidad, equidad e inclusión en el ambiente laboral: respeto a la diversidad y apertura a ideas distintas. (C, A)</w:t>
            </w:r>
          </w:p>
          <w:p w14:paraId="0E98A659" w14:textId="77777777" w:rsidR="00990B14" w:rsidRDefault="00000000">
            <w:pPr>
              <w:spacing w:after="40"/>
              <w:jc w:val="both"/>
            </w:pPr>
            <w:r>
              <w:rPr>
                <w:sz w:val="18"/>
                <w:szCs w:val="18"/>
              </w:rPr>
              <w:t>10.Concepto de cambio organizacional; factores internos y externos que impulsan el cambio. (C)</w:t>
            </w:r>
          </w:p>
          <w:p w14:paraId="11324B99" w14:textId="77777777" w:rsidR="00990B14" w:rsidRDefault="00000000">
            <w:pPr>
              <w:spacing w:after="40"/>
              <w:jc w:val="both"/>
            </w:pPr>
            <w:r>
              <w:rPr>
                <w:sz w:val="18"/>
                <w:szCs w:val="18"/>
              </w:rPr>
              <w:t>11.Tipos de cambio y resistencia al cambio. (C)</w:t>
            </w:r>
          </w:p>
          <w:p w14:paraId="518AE6F3" w14:textId="77777777" w:rsidR="00990B14" w:rsidRDefault="00000000">
            <w:pPr>
              <w:spacing w:after="40"/>
              <w:jc w:val="both"/>
            </w:pPr>
            <w:r>
              <w:rPr>
                <w:sz w:val="18"/>
                <w:szCs w:val="18"/>
              </w:rPr>
              <w:t>12.El modelo de cambio de Kurt Lewin; el modelo de ocho pasos de Kotter. (C, P)</w:t>
            </w:r>
          </w:p>
          <w:p w14:paraId="58CAE539" w14:textId="77777777" w:rsidR="00990B14" w:rsidRDefault="00000000">
            <w:pPr>
              <w:spacing w:after="40"/>
              <w:jc w:val="both"/>
            </w:pPr>
            <w:r>
              <w:rPr>
                <w:sz w:val="18"/>
                <w:szCs w:val="18"/>
              </w:rPr>
              <w:t>13.Investigación y acción para el cambio; liderazgo como agente de cambio. (C, P)</w:t>
            </w:r>
          </w:p>
          <w:p w14:paraId="7AC89997" w14:textId="77777777" w:rsidR="00990B14" w:rsidRDefault="00000000">
            <w:pPr>
              <w:spacing w:after="40"/>
              <w:jc w:val="both"/>
            </w:pPr>
            <w:r>
              <w:rPr>
                <w:sz w:val="18"/>
                <w:szCs w:val="18"/>
              </w:rPr>
              <w:t>14.Cultura y clima organizacional frente al cambio. (C)</w:t>
            </w:r>
          </w:p>
          <w:p w14:paraId="7CB9268B" w14:textId="77777777" w:rsidR="00990B14" w:rsidRDefault="00000000">
            <w:pPr>
              <w:spacing w:after="40"/>
              <w:jc w:val="both"/>
            </w:pPr>
            <w:r>
              <w:rPr>
                <w:sz w:val="18"/>
                <w:szCs w:val="18"/>
              </w:rPr>
              <w:t>15.Técnicas de intervención para aplicar el cambio; administración y evaluación del cambio. (C, P)</w:t>
            </w:r>
          </w:p>
          <w:p w14:paraId="6608A9E4" w14:textId="77777777" w:rsidR="00990B14" w:rsidRDefault="00000000">
            <w:pPr>
              <w:spacing w:after="40"/>
              <w:jc w:val="both"/>
            </w:pPr>
            <w:r>
              <w:rPr>
                <w:sz w:val="18"/>
                <w:szCs w:val="18"/>
              </w:rPr>
              <w:t>16.Implementación de la estrategia: planes tácticos y operativos, responsables, cronogramas y asignación de recursos. (P)</w:t>
            </w:r>
          </w:p>
          <w:p w14:paraId="756A725B" w14:textId="77777777" w:rsidR="00990B14" w:rsidRPr="00BD34F7" w:rsidRDefault="00000000">
            <w:pPr>
              <w:spacing w:after="40"/>
              <w:jc w:val="both"/>
              <w:rPr>
                <w:lang w:val="en-US"/>
              </w:rPr>
            </w:pPr>
            <w:r>
              <w:rPr>
                <w:sz w:val="18"/>
                <w:szCs w:val="18"/>
              </w:rPr>
              <w:t xml:space="preserve">17.Control estratégico: indicadores clave de desempeño, desviaciones y acciones correctivas. </w:t>
            </w:r>
            <w:r w:rsidRPr="00BD34F7">
              <w:rPr>
                <w:sz w:val="18"/>
                <w:szCs w:val="18"/>
                <w:lang w:val="en-US"/>
              </w:rPr>
              <w:t>(C, P)</w:t>
            </w:r>
          </w:p>
          <w:p w14:paraId="0FB207CB" w14:textId="77777777" w:rsidR="00990B14" w:rsidRDefault="00000000">
            <w:pPr>
              <w:spacing w:after="40"/>
              <w:jc w:val="both"/>
            </w:pPr>
            <w:r w:rsidRPr="00BD34F7">
              <w:rPr>
                <w:sz w:val="18"/>
                <w:szCs w:val="18"/>
                <w:lang w:val="en-US"/>
              </w:rPr>
              <w:t xml:space="preserve">18.Terminología organizacional en inglés: organizational development, change management, stakeholders, performance y accountability. </w:t>
            </w:r>
            <w:r>
              <w:rPr>
                <w:sz w:val="18"/>
                <w:szCs w:val="18"/>
              </w:rPr>
              <w:t>(C)</w:t>
            </w:r>
          </w:p>
        </w:tc>
        <w:tc>
          <w:tcPr>
            <w:tcW w:w="2752" w:type="dxa"/>
            <w:gridSpan w:val="3"/>
            <w:shd w:val="clear" w:color="auto" w:fill="D9E2F3"/>
          </w:tcPr>
          <w:p w14:paraId="3BE1BE9A" w14:textId="77777777" w:rsidR="00990B14" w:rsidRDefault="00000000">
            <w:pPr>
              <w:numPr>
                <w:ilvl w:val="0"/>
                <w:numId w:val="139"/>
              </w:numPr>
              <w:spacing w:before="10" w:after="10"/>
              <w:jc w:val="both"/>
            </w:pPr>
            <w:r>
              <w:rPr>
                <w:sz w:val="18"/>
                <w:szCs w:val="18"/>
              </w:rPr>
              <w:t>Modelos gerenciales de dirección por involucración y por consenso como</w:t>
            </w:r>
          </w:p>
          <w:p w14:paraId="5E59FB33" w14:textId="77777777" w:rsidR="00990B14" w:rsidRDefault="00000000">
            <w:pPr>
              <w:numPr>
                <w:ilvl w:val="0"/>
                <w:numId w:val="139"/>
              </w:numPr>
              <w:spacing w:before="10" w:after="10"/>
              <w:jc w:val="both"/>
            </w:pPr>
            <w:r>
              <w:rPr>
                <w:sz w:val="18"/>
                <w:szCs w:val="18"/>
              </w:rPr>
              <w:t>antecedente de la gestión participativa de la cultura y del cambio.</w:t>
            </w:r>
          </w:p>
          <w:p w14:paraId="3D06CAE3" w14:textId="77777777" w:rsidR="00990B14" w:rsidRDefault="00000000">
            <w:pPr>
              <w:numPr>
                <w:ilvl w:val="0"/>
                <w:numId w:val="139"/>
              </w:numPr>
              <w:spacing w:before="10" w:after="10"/>
              <w:jc w:val="both"/>
            </w:pPr>
            <w:r>
              <w:rPr>
                <w:sz w:val="18"/>
                <w:szCs w:val="18"/>
              </w:rPr>
              <w:t>Sistema de control integrado como base del seguimiento y evaluación.</w:t>
            </w:r>
          </w:p>
          <w:p w14:paraId="48A24DDE" w14:textId="77777777" w:rsidR="00990B14" w:rsidRDefault="00000000">
            <w:pPr>
              <w:numPr>
                <w:ilvl w:val="0"/>
                <w:numId w:val="139"/>
              </w:numPr>
              <w:spacing w:before="10" w:after="10"/>
              <w:jc w:val="both"/>
            </w:pPr>
            <w:r>
              <w:rPr>
                <w:sz w:val="18"/>
                <w:szCs w:val="18"/>
              </w:rPr>
              <w:t>La función de organización y la delegación de autoridad como base de la asignación de responsables en la implementación.</w:t>
            </w:r>
          </w:p>
        </w:tc>
      </w:tr>
      <w:tr w:rsidR="00990B14" w14:paraId="00D421D4" w14:textId="77777777">
        <w:trPr>
          <w:cantSplit/>
          <w:jc w:val="center"/>
        </w:trPr>
        <w:tc>
          <w:tcPr>
            <w:tcW w:w="9405" w:type="dxa"/>
            <w:gridSpan w:val="13"/>
            <w:shd w:val="clear" w:color="auto" w:fill="D9E2F3"/>
            <w:vAlign w:val="center"/>
          </w:tcPr>
          <w:p w14:paraId="1EAD7E54" w14:textId="77777777" w:rsidR="00990B14" w:rsidRDefault="00000000">
            <w:pPr>
              <w:spacing w:before="20" w:after="20"/>
              <w:jc w:val="both"/>
            </w:pPr>
            <w:r>
              <w:rPr>
                <w:b/>
                <w:bCs/>
                <w:i/>
                <w:iCs/>
                <w:sz w:val="18"/>
                <w:szCs w:val="18"/>
              </w:rPr>
              <w:t xml:space="preserve">Elemento de competencia 4: </w:t>
            </w:r>
            <w:r>
              <w:rPr>
                <w:sz w:val="18"/>
                <w:szCs w:val="18"/>
              </w:rPr>
              <w:t>Fundamenta decisiones gerenciales con modelos de decisión e información de gestión, evaluando sus riesgos y presentándolas en factores para la toma de decisiones.</w:t>
            </w:r>
          </w:p>
        </w:tc>
      </w:tr>
      <w:tr w:rsidR="00990B14" w14:paraId="19E4952D" w14:textId="77777777">
        <w:trPr>
          <w:cantSplit/>
          <w:jc w:val="center"/>
        </w:trPr>
        <w:tc>
          <w:tcPr>
            <w:tcW w:w="3133" w:type="dxa"/>
            <w:gridSpan w:val="4"/>
            <w:shd w:val="clear" w:color="auto" w:fill="4472C4"/>
            <w:vAlign w:val="center"/>
          </w:tcPr>
          <w:p w14:paraId="6522762A"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761C1348"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2E1C9749" w14:textId="77777777" w:rsidR="00990B14" w:rsidRDefault="00000000">
            <w:pPr>
              <w:keepNext/>
              <w:spacing w:before="20" w:after="20"/>
              <w:jc w:val="center"/>
            </w:pPr>
            <w:r>
              <w:rPr>
                <w:b/>
                <w:bCs/>
                <w:i/>
                <w:iCs/>
                <w:color w:val="FFFFFF"/>
                <w:sz w:val="18"/>
                <w:szCs w:val="18"/>
              </w:rPr>
              <w:t>Evidencias de producto</w:t>
            </w:r>
          </w:p>
        </w:tc>
      </w:tr>
      <w:tr w:rsidR="00990B14" w14:paraId="24547AFA" w14:textId="77777777">
        <w:trPr>
          <w:cantSplit/>
          <w:jc w:val="center"/>
        </w:trPr>
        <w:tc>
          <w:tcPr>
            <w:tcW w:w="3133" w:type="dxa"/>
            <w:gridSpan w:val="4"/>
            <w:vMerge w:val="restart"/>
            <w:shd w:val="clear" w:color="auto" w:fill="D9E2F3"/>
            <w:vAlign w:val="center"/>
          </w:tcPr>
          <w:p w14:paraId="713BA807" w14:textId="77777777" w:rsidR="00990B14" w:rsidRDefault="00000000">
            <w:pPr>
              <w:spacing w:before="20" w:after="20"/>
              <w:jc w:val="both"/>
            </w:pPr>
            <w:r>
              <w:rPr>
                <w:sz w:val="18"/>
                <w:szCs w:val="18"/>
              </w:rPr>
              <w:t>1. Evalúa alternativas de decisión con modelos cualitativos y cuantitativos, reconociendo los sesgos que afectan el juicio directivo.</w:t>
            </w:r>
          </w:p>
        </w:tc>
        <w:tc>
          <w:tcPr>
            <w:tcW w:w="3135" w:type="dxa"/>
            <w:gridSpan w:val="5"/>
            <w:shd w:val="clear" w:color="auto" w:fill="D9E2F3"/>
            <w:vAlign w:val="center"/>
          </w:tcPr>
          <w:p w14:paraId="18A9F5BA" w14:textId="77777777" w:rsidR="00990B14" w:rsidRDefault="00000000">
            <w:pPr>
              <w:spacing w:before="20" w:after="20"/>
              <w:jc w:val="both"/>
            </w:pPr>
            <w:r>
              <w:rPr>
                <w:sz w:val="18"/>
                <w:szCs w:val="18"/>
              </w:rPr>
              <w:t>1.1 Evalúa en aula las alternativas de decisión de un caso con un árbol de decisión y una matriz de criterios ponderados.</w:t>
            </w:r>
          </w:p>
        </w:tc>
        <w:tc>
          <w:tcPr>
            <w:tcW w:w="3137" w:type="dxa"/>
            <w:gridSpan w:val="4"/>
            <w:shd w:val="clear" w:color="auto" w:fill="D9E2F3"/>
            <w:vAlign w:val="center"/>
          </w:tcPr>
          <w:p w14:paraId="4B44AAAD" w14:textId="77777777" w:rsidR="00990B14" w:rsidRDefault="00000000">
            <w:pPr>
              <w:spacing w:before="20" w:after="20"/>
              <w:jc w:val="both"/>
            </w:pPr>
            <w:r>
              <w:rPr>
                <w:b/>
                <w:bCs/>
                <w:sz w:val="18"/>
                <w:szCs w:val="18"/>
              </w:rPr>
              <w:t xml:space="preserve">Producto 13: </w:t>
            </w:r>
            <w:r>
              <w:rPr>
                <w:sz w:val="18"/>
                <w:szCs w:val="18"/>
              </w:rPr>
              <w:t>Matriz de evaluación de alternativas de decisión.</w:t>
            </w:r>
          </w:p>
        </w:tc>
      </w:tr>
      <w:tr w:rsidR="00990B14" w14:paraId="7D5CC1DB" w14:textId="77777777">
        <w:trPr>
          <w:cantSplit/>
          <w:jc w:val="center"/>
        </w:trPr>
        <w:tc>
          <w:tcPr>
            <w:tcW w:w="3133" w:type="dxa"/>
            <w:gridSpan w:val="4"/>
            <w:vMerge/>
            <w:shd w:val="clear" w:color="auto" w:fill="D9E2F3"/>
            <w:vAlign w:val="center"/>
          </w:tcPr>
          <w:p w14:paraId="57FE9146" w14:textId="77777777" w:rsidR="00990B14" w:rsidRDefault="00990B14">
            <w:pPr>
              <w:spacing w:before="20" w:after="20"/>
            </w:pPr>
          </w:p>
        </w:tc>
        <w:tc>
          <w:tcPr>
            <w:tcW w:w="3135" w:type="dxa"/>
            <w:gridSpan w:val="5"/>
            <w:shd w:val="clear" w:color="auto" w:fill="D9E2F3"/>
            <w:vAlign w:val="center"/>
          </w:tcPr>
          <w:p w14:paraId="5C181D12" w14:textId="77777777" w:rsidR="00990B14" w:rsidRDefault="00000000">
            <w:pPr>
              <w:spacing w:before="20" w:after="20"/>
              <w:jc w:val="both"/>
            </w:pPr>
            <w:r>
              <w:rPr>
                <w:sz w:val="18"/>
                <w:szCs w:val="18"/>
              </w:rPr>
              <w:t>1.2 Analiza en equipo los sesgos cognitivos presentes en una decisión directiva real.</w:t>
            </w:r>
          </w:p>
        </w:tc>
        <w:tc>
          <w:tcPr>
            <w:tcW w:w="3137" w:type="dxa"/>
            <w:gridSpan w:val="4"/>
            <w:shd w:val="clear" w:color="auto" w:fill="D9E2F3"/>
            <w:vAlign w:val="center"/>
          </w:tcPr>
          <w:p w14:paraId="242011EF" w14:textId="77777777" w:rsidR="00990B14" w:rsidRDefault="00000000">
            <w:pPr>
              <w:spacing w:before="20" w:after="20"/>
              <w:jc w:val="both"/>
            </w:pPr>
            <w:r>
              <w:rPr>
                <w:b/>
                <w:bCs/>
                <w:sz w:val="18"/>
                <w:szCs w:val="18"/>
              </w:rPr>
              <w:t xml:space="preserve">Producto 14: </w:t>
            </w:r>
            <w:r>
              <w:rPr>
                <w:sz w:val="18"/>
                <w:szCs w:val="18"/>
              </w:rPr>
              <w:t>Informe de análisis de los sesgos en una decisión directiva.</w:t>
            </w:r>
          </w:p>
        </w:tc>
      </w:tr>
      <w:tr w:rsidR="00990B14" w14:paraId="73975FFF" w14:textId="77777777">
        <w:trPr>
          <w:cantSplit/>
          <w:jc w:val="center"/>
        </w:trPr>
        <w:tc>
          <w:tcPr>
            <w:tcW w:w="3133" w:type="dxa"/>
            <w:gridSpan w:val="4"/>
            <w:vMerge w:val="restart"/>
            <w:shd w:val="clear" w:color="auto" w:fill="D9E2F3"/>
            <w:vAlign w:val="center"/>
          </w:tcPr>
          <w:p w14:paraId="6A85EC10" w14:textId="77777777" w:rsidR="00990B14" w:rsidRDefault="00000000">
            <w:pPr>
              <w:spacing w:before="20" w:after="20"/>
              <w:jc w:val="both"/>
            </w:pPr>
            <w:r>
              <w:rPr>
                <w:sz w:val="18"/>
                <w:szCs w:val="18"/>
              </w:rPr>
              <w:t>2. Gestiona los riesgos de una decisión y diseña tableros para su seguimiento, verificando la información con responsabilidad profesional.</w:t>
            </w:r>
          </w:p>
        </w:tc>
        <w:tc>
          <w:tcPr>
            <w:tcW w:w="3135" w:type="dxa"/>
            <w:gridSpan w:val="5"/>
            <w:shd w:val="clear" w:color="auto" w:fill="D9E2F3"/>
            <w:vAlign w:val="center"/>
          </w:tcPr>
          <w:p w14:paraId="2EBE053E" w14:textId="77777777" w:rsidR="00990B14" w:rsidRDefault="00000000">
            <w:pPr>
              <w:spacing w:before="20" w:after="20"/>
              <w:jc w:val="both"/>
            </w:pPr>
            <w:r>
              <w:rPr>
                <w:sz w:val="18"/>
                <w:szCs w:val="18"/>
              </w:rPr>
              <w:t>2.1 Elabora en equipo la matriz de riesgos, los escenarios y el plan de contingencia de una decisión.</w:t>
            </w:r>
          </w:p>
        </w:tc>
        <w:tc>
          <w:tcPr>
            <w:tcW w:w="3137" w:type="dxa"/>
            <w:gridSpan w:val="4"/>
            <w:shd w:val="clear" w:color="auto" w:fill="D9E2F3"/>
            <w:vAlign w:val="center"/>
          </w:tcPr>
          <w:p w14:paraId="4ADBF6C9" w14:textId="77777777" w:rsidR="00990B14" w:rsidRDefault="00000000">
            <w:pPr>
              <w:spacing w:before="20" w:after="20"/>
              <w:jc w:val="both"/>
            </w:pPr>
            <w:r>
              <w:rPr>
                <w:b/>
                <w:bCs/>
                <w:sz w:val="18"/>
                <w:szCs w:val="18"/>
              </w:rPr>
              <w:t xml:space="preserve">Producto 15: </w:t>
            </w:r>
            <w:r>
              <w:rPr>
                <w:sz w:val="18"/>
                <w:szCs w:val="18"/>
              </w:rPr>
              <w:t>Matriz de riesgos con escenarios y plan de contingencia.</w:t>
            </w:r>
          </w:p>
        </w:tc>
      </w:tr>
      <w:tr w:rsidR="00990B14" w14:paraId="74FB5F79" w14:textId="77777777">
        <w:trPr>
          <w:cantSplit/>
          <w:jc w:val="center"/>
        </w:trPr>
        <w:tc>
          <w:tcPr>
            <w:tcW w:w="3133" w:type="dxa"/>
            <w:gridSpan w:val="4"/>
            <w:vMerge/>
            <w:shd w:val="clear" w:color="auto" w:fill="D9E2F3"/>
            <w:vAlign w:val="center"/>
          </w:tcPr>
          <w:p w14:paraId="114AB7D2" w14:textId="77777777" w:rsidR="00990B14" w:rsidRDefault="00990B14">
            <w:pPr>
              <w:spacing w:before="20" w:after="20"/>
            </w:pPr>
          </w:p>
        </w:tc>
        <w:tc>
          <w:tcPr>
            <w:tcW w:w="3135" w:type="dxa"/>
            <w:gridSpan w:val="5"/>
            <w:shd w:val="clear" w:color="auto" w:fill="D9E2F3"/>
            <w:vAlign w:val="center"/>
          </w:tcPr>
          <w:p w14:paraId="7A7AA244" w14:textId="77777777" w:rsidR="00990B14" w:rsidRDefault="00000000">
            <w:pPr>
              <w:spacing w:before="20" w:after="20"/>
              <w:jc w:val="both"/>
            </w:pPr>
            <w:r>
              <w:rPr>
                <w:sz w:val="18"/>
                <w:szCs w:val="18"/>
              </w:rPr>
              <w:t>2.2 Diseña en equipo un tablero directivo de indicadores de gestión para el seguimiento de una decisión.</w:t>
            </w:r>
          </w:p>
        </w:tc>
        <w:tc>
          <w:tcPr>
            <w:tcW w:w="3137" w:type="dxa"/>
            <w:gridSpan w:val="4"/>
            <w:shd w:val="clear" w:color="auto" w:fill="D9E2F3"/>
            <w:vAlign w:val="center"/>
          </w:tcPr>
          <w:p w14:paraId="4DB006A2" w14:textId="77777777" w:rsidR="00990B14" w:rsidRDefault="00000000">
            <w:pPr>
              <w:spacing w:before="20" w:after="20"/>
              <w:jc w:val="both"/>
            </w:pPr>
            <w:r>
              <w:rPr>
                <w:b/>
                <w:bCs/>
                <w:sz w:val="18"/>
                <w:szCs w:val="18"/>
              </w:rPr>
              <w:t xml:space="preserve">Producto 16: </w:t>
            </w:r>
            <w:r>
              <w:rPr>
                <w:sz w:val="18"/>
                <w:szCs w:val="18"/>
              </w:rPr>
              <w:t>Tablero directivo de indicadores para la decisión.</w:t>
            </w:r>
          </w:p>
        </w:tc>
      </w:tr>
      <w:tr w:rsidR="00990B14" w14:paraId="60E9AA81" w14:textId="77777777">
        <w:trPr>
          <w:cantSplit/>
          <w:jc w:val="center"/>
        </w:trPr>
        <w:tc>
          <w:tcPr>
            <w:tcW w:w="9405" w:type="dxa"/>
            <w:gridSpan w:val="13"/>
            <w:shd w:val="clear" w:color="auto" w:fill="4472C4"/>
            <w:vAlign w:val="center"/>
          </w:tcPr>
          <w:p w14:paraId="6A8A9100" w14:textId="77777777" w:rsidR="00990B14" w:rsidRDefault="00000000">
            <w:pPr>
              <w:keepNext/>
              <w:spacing w:before="20" w:after="20"/>
              <w:jc w:val="center"/>
            </w:pPr>
            <w:r>
              <w:rPr>
                <w:b/>
                <w:bCs/>
                <w:i/>
                <w:iCs/>
                <w:color w:val="FFFFFF"/>
                <w:sz w:val="18"/>
                <w:szCs w:val="18"/>
              </w:rPr>
              <w:t>Evidencias de conocimiento</w:t>
            </w:r>
          </w:p>
        </w:tc>
      </w:tr>
      <w:tr w:rsidR="00990B14" w14:paraId="5E207F67" w14:textId="77777777">
        <w:trPr>
          <w:cantSplit/>
          <w:jc w:val="center"/>
        </w:trPr>
        <w:tc>
          <w:tcPr>
            <w:tcW w:w="2349" w:type="dxa"/>
            <w:gridSpan w:val="2"/>
            <w:shd w:val="clear" w:color="auto" w:fill="4472C4"/>
            <w:vAlign w:val="center"/>
          </w:tcPr>
          <w:p w14:paraId="7F3EFA37"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2E120AA4" w14:textId="77777777" w:rsidR="00990B14" w:rsidRDefault="00000000">
            <w:pPr>
              <w:keepNext/>
              <w:spacing w:before="20" w:after="20"/>
              <w:jc w:val="both"/>
            </w:pPr>
            <w:r>
              <w:rPr>
                <w:b/>
                <w:bCs/>
                <w:i/>
                <w:iCs/>
                <w:color w:val="FFFFFF"/>
                <w:sz w:val="18"/>
                <w:szCs w:val="18"/>
              </w:rPr>
              <w:t>Contenidos</w:t>
            </w:r>
          </w:p>
          <w:p w14:paraId="052EF665"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75AF38BC" w14:textId="77777777" w:rsidR="00990B14" w:rsidRDefault="00000000">
            <w:pPr>
              <w:keepNext/>
              <w:spacing w:before="20" w:after="20"/>
              <w:jc w:val="center"/>
            </w:pPr>
            <w:r>
              <w:rPr>
                <w:b/>
                <w:bCs/>
                <w:i/>
                <w:iCs/>
                <w:color w:val="FFFFFF"/>
                <w:sz w:val="18"/>
                <w:szCs w:val="18"/>
              </w:rPr>
              <w:t>Conocimientos circunstanciales</w:t>
            </w:r>
          </w:p>
        </w:tc>
      </w:tr>
      <w:tr w:rsidR="00990B14" w14:paraId="3459A691" w14:textId="77777777">
        <w:trPr>
          <w:jc w:val="center"/>
        </w:trPr>
        <w:tc>
          <w:tcPr>
            <w:tcW w:w="2349" w:type="dxa"/>
            <w:gridSpan w:val="2"/>
            <w:shd w:val="clear" w:color="auto" w:fill="D9E2F3"/>
          </w:tcPr>
          <w:p w14:paraId="1FC47D0B" w14:textId="77777777" w:rsidR="00990B14" w:rsidRDefault="00000000">
            <w:pPr>
              <w:spacing w:before="20" w:after="40"/>
              <w:jc w:val="both"/>
            </w:pPr>
            <w:r>
              <w:rPr>
                <w:sz w:val="18"/>
                <w:szCs w:val="18"/>
              </w:rPr>
              <w:t>Tema 7: Toma de Decisiones Gerenciales, Riesgos y Cuadro de Mando para la Decisión</w:t>
            </w:r>
          </w:p>
        </w:tc>
        <w:tc>
          <w:tcPr>
            <w:tcW w:w="4304" w:type="dxa"/>
            <w:gridSpan w:val="8"/>
            <w:shd w:val="clear" w:color="auto" w:fill="D9E2F3"/>
          </w:tcPr>
          <w:p w14:paraId="4FFDD4AE" w14:textId="77777777" w:rsidR="00990B14" w:rsidRDefault="00000000">
            <w:pPr>
              <w:spacing w:after="40"/>
              <w:jc w:val="both"/>
            </w:pPr>
            <w:r>
              <w:rPr>
                <w:sz w:val="18"/>
                <w:szCs w:val="18"/>
              </w:rPr>
              <w:t>1.El proceso de decisión en la alta dirección: racionalidad limitada, intuición frente al análisis formal y juicio gerencial. (C)</w:t>
            </w:r>
          </w:p>
          <w:p w14:paraId="57D4EE34" w14:textId="77777777" w:rsidR="00990B14" w:rsidRDefault="00000000">
            <w:pPr>
              <w:spacing w:after="40"/>
              <w:jc w:val="both"/>
            </w:pPr>
            <w:r>
              <w:rPr>
                <w:sz w:val="18"/>
                <w:szCs w:val="18"/>
              </w:rPr>
              <w:t>2.Tipos de decisiones: programadas y no programadas; decisiones en condiciones de certeza, riesgo e incertidumbre. (C)</w:t>
            </w:r>
          </w:p>
          <w:p w14:paraId="1EC31650" w14:textId="77777777" w:rsidR="00990B14" w:rsidRDefault="00000000">
            <w:pPr>
              <w:spacing w:after="40"/>
              <w:jc w:val="both"/>
            </w:pPr>
            <w:r>
              <w:rPr>
                <w:sz w:val="18"/>
                <w:szCs w:val="18"/>
              </w:rPr>
              <w:t>3.Sesgos cognitivos, heurísticas y trampas psicológicas; su identificación y mitigación en los equipos directivos. (C, A)</w:t>
            </w:r>
          </w:p>
          <w:p w14:paraId="3D3BB13C" w14:textId="77777777" w:rsidR="00990B14" w:rsidRDefault="00000000">
            <w:pPr>
              <w:spacing w:after="40"/>
              <w:jc w:val="both"/>
            </w:pPr>
            <w:r>
              <w:rPr>
                <w:sz w:val="18"/>
                <w:szCs w:val="18"/>
              </w:rPr>
              <w:t>4.La decisión grupal: participación, consenso y legitimidad de la decisión. (C, A)</w:t>
            </w:r>
          </w:p>
          <w:p w14:paraId="360B3126" w14:textId="77777777" w:rsidR="00990B14" w:rsidRDefault="00000000">
            <w:pPr>
              <w:spacing w:after="40"/>
              <w:jc w:val="both"/>
            </w:pPr>
            <w:r>
              <w:rPr>
                <w:sz w:val="18"/>
                <w:szCs w:val="18"/>
              </w:rPr>
              <w:t>5.El papel de la información en las empresas y los flujos de información; sistemas de información y bancos de datos. (C)</w:t>
            </w:r>
          </w:p>
          <w:p w14:paraId="66695D4A" w14:textId="77777777" w:rsidR="00990B14" w:rsidRDefault="00000000">
            <w:pPr>
              <w:spacing w:after="40"/>
              <w:jc w:val="both"/>
            </w:pPr>
            <w:r>
              <w:rPr>
                <w:sz w:val="18"/>
                <w:szCs w:val="18"/>
              </w:rPr>
              <w:t>6.Modelos de decisión cualitativos y cuantitativos: árboles de decisión, matrices de criterios ponderados y técnicas de priorización. (C, P)</w:t>
            </w:r>
          </w:p>
          <w:p w14:paraId="732CBB98" w14:textId="77777777" w:rsidR="00990B14" w:rsidRDefault="00000000">
            <w:pPr>
              <w:spacing w:after="40"/>
              <w:jc w:val="both"/>
            </w:pPr>
            <w:r>
              <w:rPr>
                <w:sz w:val="18"/>
                <w:szCs w:val="18"/>
              </w:rPr>
              <w:t>7.Gestión de riesgos: identificación de riesgos, evaluación de su impacto y probabilidad, y matriz de riesgos. (C, P)</w:t>
            </w:r>
          </w:p>
          <w:p w14:paraId="16259CA6" w14:textId="77777777" w:rsidR="00990B14" w:rsidRDefault="00000000">
            <w:pPr>
              <w:spacing w:after="40"/>
              <w:jc w:val="both"/>
            </w:pPr>
            <w:r>
              <w:rPr>
                <w:sz w:val="18"/>
                <w:szCs w:val="18"/>
              </w:rPr>
              <w:t>8.Escenarios y planes de contingencia; resiliencia organizacional ante escenarios adversos. (C, P)</w:t>
            </w:r>
          </w:p>
          <w:p w14:paraId="3BF74B78" w14:textId="77777777" w:rsidR="00990B14" w:rsidRDefault="00000000">
            <w:pPr>
              <w:spacing w:after="40"/>
              <w:jc w:val="both"/>
            </w:pPr>
            <w:r>
              <w:rPr>
                <w:sz w:val="18"/>
                <w:szCs w:val="18"/>
              </w:rPr>
              <w:t>9.Tableros de control e indicadores de gestión; sistemas de soporte a decisiones, inteligencia de negocios y cuadro de mando integral. (C, P)</w:t>
            </w:r>
          </w:p>
          <w:p w14:paraId="19171928" w14:textId="77777777" w:rsidR="00990B14" w:rsidRDefault="00000000">
            <w:pPr>
              <w:spacing w:after="40"/>
              <w:jc w:val="both"/>
            </w:pPr>
            <w:r>
              <w:rPr>
                <w:sz w:val="18"/>
                <w:szCs w:val="18"/>
              </w:rPr>
              <w:t>10.Responsabilidad profesional sobre la información que sustenta una decisión. (A)</w:t>
            </w:r>
          </w:p>
        </w:tc>
        <w:tc>
          <w:tcPr>
            <w:tcW w:w="2752" w:type="dxa"/>
            <w:gridSpan w:val="3"/>
            <w:shd w:val="clear" w:color="auto" w:fill="D9E2F3"/>
          </w:tcPr>
          <w:p w14:paraId="262CCFDA" w14:textId="77777777" w:rsidR="00990B14" w:rsidRDefault="00000000">
            <w:pPr>
              <w:numPr>
                <w:ilvl w:val="0"/>
                <w:numId w:val="139"/>
              </w:numPr>
              <w:spacing w:before="10" w:after="10"/>
              <w:jc w:val="both"/>
            </w:pPr>
            <w:r>
              <w:rPr>
                <w:sz w:val="18"/>
                <w:szCs w:val="18"/>
              </w:rPr>
              <w:t>La toma de decisiones como parte de la planeación y sus etapas básicas.</w:t>
            </w:r>
          </w:p>
          <w:p w14:paraId="202E9A24" w14:textId="77777777" w:rsidR="00990B14" w:rsidRDefault="00000000">
            <w:pPr>
              <w:numPr>
                <w:ilvl w:val="0"/>
                <w:numId w:val="139"/>
              </w:numPr>
              <w:spacing w:before="10" w:after="10"/>
              <w:jc w:val="both"/>
            </w:pPr>
            <w:r>
              <w:rPr>
                <w:sz w:val="18"/>
                <w:szCs w:val="18"/>
              </w:rPr>
              <w:t>El sistema de información para la administración y su clasificación como insumo de la decisión gerencial.</w:t>
            </w:r>
          </w:p>
          <w:p w14:paraId="36DC168B" w14:textId="77777777" w:rsidR="00990B14" w:rsidRDefault="00000000">
            <w:pPr>
              <w:numPr>
                <w:ilvl w:val="0"/>
                <w:numId w:val="139"/>
              </w:numPr>
              <w:spacing w:before="10" w:after="10"/>
              <w:jc w:val="both"/>
            </w:pPr>
            <w:r>
              <w:rPr>
                <w:sz w:val="18"/>
                <w:szCs w:val="18"/>
              </w:rPr>
              <w:t>El sistema de control y el control integrado como base de los tableros e indicadores.</w:t>
            </w:r>
          </w:p>
        </w:tc>
      </w:tr>
      <w:tr w:rsidR="00990B14" w14:paraId="3B7480D1" w14:textId="77777777">
        <w:trPr>
          <w:cantSplit/>
          <w:jc w:val="center"/>
        </w:trPr>
        <w:tc>
          <w:tcPr>
            <w:tcW w:w="9405" w:type="dxa"/>
            <w:gridSpan w:val="13"/>
            <w:shd w:val="clear" w:color="auto" w:fill="D9E2F3"/>
            <w:vAlign w:val="center"/>
          </w:tcPr>
          <w:p w14:paraId="6E57DADF" w14:textId="77777777" w:rsidR="00990B14" w:rsidRDefault="00000000">
            <w:pPr>
              <w:spacing w:before="20" w:after="20"/>
              <w:jc w:val="both"/>
            </w:pPr>
            <w:r>
              <w:rPr>
                <w:b/>
                <w:bCs/>
                <w:i/>
                <w:iCs/>
                <w:sz w:val="18"/>
                <w:szCs w:val="18"/>
              </w:rPr>
              <w:t xml:space="preserve">Elemento de competencia 5: </w:t>
            </w:r>
            <w:r>
              <w:rPr>
                <w:sz w:val="18"/>
                <w:szCs w:val="18"/>
              </w:rPr>
              <w:t>Diseña la estrategia de marketing y el modelo de negocio de un emprendimiento o de una línea de crecimiento, relacionando el comportamiento del consumidor con la propuesta de valor y la innovación.</w:t>
            </w:r>
          </w:p>
        </w:tc>
      </w:tr>
      <w:tr w:rsidR="00990B14" w14:paraId="3010B07E" w14:textId="77777777">
        <w:trPr>
          <w:cantSplit/>
          <w:jc w:val="center"/>
        </w:trPr>
        <w:tc>
          <w:tcPr>
            <w:tcW w:w="3133" w:type="dxa"/>
            <w:gridSpan w:val="4"/>
            <w:shd w:val="clear" w:color="auto" w:fill="4472C4"/>
            <w:vAlign w:val="center"/>
          </w:tcPr>
          <w:p w14:paraId="7F7EA9AA"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393FD37F"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60A188F9" w14:textId="77777777" w:rsidR="00990B14" w:rsidRDefault="00000000">
            <w:pPr>
              <w:keepNext/>
              <w:spacing w:before="20" w:after="20"/>
              <w:jc w:val="center"/>
            </w:pPr>
            <w:r>
              <w:rPr>
                <w:b/>
                <w:bCs/>
                <w:i/>
                <w:iCs/>
                <w:color w:val="FFFFFF"/>
                <w:sz w:val="18"/>
                <w:szCs w:val="18"/>
              </w:rPr>
              <w:t>Evidencias de producto</w:t>
            </w:r>
          </w:p>
        </w:tc>
      </w:tr>
      <w:tr w:rsidR="00990B14" w14:paraId="076B5C74" w14:textId="77777777">
        <w:trPr>
          <w:cantSplit/>
          <w:jc w:val="center"/>
        </w:trPr>
        <w:tc>
          <w:tcPr>
            <w:tcW w:w="3133" w:type="dxa"/>
            <w:gridSpan w:val="4"/>
            <w:vMerge w:val="restart"/>
            <w:shd w:val="clear" w:color="auto" w:fill="D9E2F3"/>
            <w:vAlign w:val="center"/>
          </w:tcPr>
          <w:p w14:paraId="0B4FAB2B" w14:textId="77777777" w:rsidR="00990B14" w:rsidRDefault="00000000">
            <w:pPr>
              <w:spacing w:before="20" w:after="20"/>
              <w:jc w:val="both"/>
            </w:pPr>
            <w:r>
              <w:rPr>
                <w:sz w:val="18"/>
                <w:szCs w:val="18"/>
              </w:rPr>
              <w:t>1. Diseña la estrategia de marketing mix de un producto o servicio, relacionando el comportamiento del consumidor.</w:t>
            </w:r>
          </w:p>
        </w:tc>
        <w:tc>
          <w:tcPr>
            <w:tcW w:w="3135" w:type="dxa"/>
            <w:gridSpan w:val="5"/>
            <w:shd w:val="clear" w:color="auto" w:fill="D9E2F3"/>
            <w:vAlign w:val="center"/>
          </w:tcPr>
          <w:p w14:paraId="0A66387D" w14:textId="77777777" w:rsidR="00990B14" w:rsidRDefault="00000000">
            <w:pPr>
              <w:spacing w:before="20" w:after="20"/>
              <w:jc w:val="both"/>
            </w:pPr>
            <w:r>
              <w:rPr>
                <w:sz w:val="18"/>
                <w:szCs w:val="18"/>
              </w:rPr>
              <w:t>1.1 Diseña en equipo una estrategia de marketing de producto, precio, distribución y comunicación para un caso práctico.</w:t>
            </w:r>
          </w:p>
        </w:tc>
        <w:tc>
          <w:tcPr>
            <w:tcW w:w="3137" w:type="dxa"/>
            <w:gridSpan w:val="4"/>
            <w:shd w:val="clear" w:color="auto" w:fill="D9E2F3"/>
            <w:vAlign w:val="center"/>
          </w:tcPr>
          <w:p w14:paraId="0E91B8CD" w14:textId="77777777" w:rsidR="00990B14" w:rsidRDefault="00000000">
            <w:pPr>
              <w:spacing w:before="20" w:after="20"/>
              <w:jc w:val="both"/>
            </w:pPr>
            <w:r>
              <w:rPr>
                <w:b/>
                <w:bCs/>
                <w:sz w:val="18"/>
                <w:szCs w:val="18"/>
              </w:rPr>
              <w:t xml:space="preserve">Producto 17: </w:t>
            </w:r>
            <w:r>
              <w:rPr>
                <w:sz w:val="18"/>
                <w:szCs w:val="18"/>
              </w:rPr>
              <w:t>Plan de estrategia de marketing de un producto o servicio.</w:t>
            </w:r>
          </w:p>
        </w:tc>
      </w:tr>
      <w:tr w:rsidR="00990B14" w14:paraId="0E90A6C0" w14:textId="77777777">
        <w:trPr>
          <w:cantSplit/>
          <w:jc w:val="center"/>
        </w:trPr>
        <w:tc>
          <w:tcPr>
            <w:tcW w:w="3133" w:type="dxa"/>
            <w:gridSpan w:val="4"/>
            <w:vMerge/>
            <w:shd w:val="clear" w:color="auto" w:fill="D9E2F3"/>
            <w:vAlign w:val="center"/>
          </w:tcPr>
          <w:p w14:paraId="3CC688A9" w14:textId="77777777" w:rsidR="00990B14" w:rsidRDefault="00990B14">
            <w:pPr>
              <w:spacing w:before="20" w:after="20"/>
            </w:pPr>
          </w:p>
        </w:tc>
        <w:tc>
          <w:tcPr>
            <w:tcW w:w="3135" w:type="dxa"/>
            <w:gridSpan w:val="5"/>
            <w:shd w:val="clear" w:color="auto" w:fill="D9E2F3"/>
            <w:vAlign w:val="center"/>
          </w:tcPr>
          <w:p w14:paraId="27758FEA" w14:textId="77777777" w:rsidR="00990B14" w:rsidRDefault="00000000">
            <w:pPr>
              <w:spacing w:before="20" w:after="20"/>
              <w:jc w:val="both"/>
            </w:pPr>
            <w:r>
              <w:rPr>
                <w:sz w:val="18"/>
                <w:szCs w:val="18"/>
              </w:rPr>
              <w:t>1.2 Compara en equipo las estrategias de marketing digital de empresas con indicadores de alcance y conversión.</w:t>
            </w:r>
          </w:p>
        </w:tc>
        <w:tc>
          <w:tcPr>
            <w:tcW w:w="3137" w:type="dxa"/>
            <w:gridSpan w:val="4"/>
            <w:shd w:val="clear" w:color="auto" w:fill="D9E2F3"/>
            <w:vAlign w:val="center"/>
          </w:tcPr>
          <w:p w14:paraId="641ED9A6" w14:textId="77777777" w:rsidR="00990B14" w:rsidRDefault="00000000">
            <w:pPr>
              <w:spacing w:before="20" w:after="20"/>
              <w:jc w:val="both"/>
            </w:pPr>
            <w:r>
              <w:rPr>
                <w:b/>
                <w:bCs/>
                <w:sz w:val="18"/>
                <w:szCs w:val="18"/>
              </w:rPr>
              <w:t xml:space="preserve">Producto 18: </w:t>
            </w:r>
            <w:r>
              <w:rPr>
                <w:sz w:val="18"/>
                <w:szCs w:val="18"/>
              </w:rPr>
              <w:t>Informe de comparación de estrategias de marketing digital.</w:t>
            </w:r>
          </w:p>
        </w:tc>
      </w:tr>
      <w:tr w:rsidR="00990B14" w14:paraId="44FA1023" w14:textId="77777777">
        <w:trPr>
          <w:cantSplit/>
          <w:jc w:val="center"/>
        </w:trPr>
        <w:tc>
          <w:tcPr>
            <w:tcW w:w="3133" w:type="dxa"/>
            <w:gridSpan w:val="4"/>
            <w:vMerge w:val="restart"/>
            <w:shd w:val="clear" w:color="auto" w:fill="D9E2F3"/>
            <w:vAlign w:val="center"/>
          </w:tcPr>
          <w:p w14:paraId="5E59C760" w14:textId="77777777" w:rsidR="00990B14" w:rsidRDefault="00000000">
            <w:pPr>
              <w:spacing w:before="20" w:after="20"/>
              <w:jc w:val="both"/>
            </w:pPr>
            <w:r>
              <w:rPr>
                <w:sz w:val="18"/>
                <w:szCs w:val="18"/>
              </w:rPr>
              <w:t>2. Diseña y valida el modelo de negocio de un emprendimiento, evaluando su escalabilidad, viabilidad, sostenibilidad e innovación.</w:t>
            </w:r>
          </w:p>
        </w:tc>
        <w:tc>
          <w:tcPr>
            <w:tcW w:w="3135" w:type="dxa"/>
            <w:gridSpan w:val="5"/>
            <w:shd w:val="clear" w:color="auto" w:fill="D9E2F3"/>
            <w:vAlign w:val="center"/>
          </w:tcPr>
          <w:p w14:paraId="35428D7C" w14:textId="77777777" w:rsidR="00990B14" w:rsidRDefault="00000000">
            <w:pPr>
              <w:spacing w:before="20" w:after="20"/>
              <w:jc w:val="both"/>
            </w:pPr>
            <w:r>
              <w:rPr>
                <w:sz w:val="18"/>
                <w:szCs w:val="18"/>
              </w:rPr>
              <w:t>2.1 Genera en equipo ideas de negocio con técnicas de creatividad y selecciona la más viable.</w:t>
            </w:r>
          </w:p>
        </w:tc>
        <w:tc>
          <w:tcPr>
            <w:tcW w:w="3137" w:type="dxa"/>
            <w:gridSpan w:val="4"/>
            <w:shd w:val="clear" w:color="auto" w:fill="D9E2F3"/>
            <w:vAlign w:val="center"/>
          </w:tcPr>
          <w:p w14:paraId="553A9F31" w14:textId="77777777" w:rsidR="00990B14" w:rsidRDefault="00000000">
            <w:pPr>
              <w:spacing w:before="20" w:after="20"/>
              <w:jc w:val="both"/>
            </w:pPr>
            <w:r>
              <w:rPr>
                <w:b/>
                <w:bCs/>
                <w:sz w:val="18"/>
                <w:szCs w:val="18"/>
              </w:rPr>
              <w:t xml:space="preserve">Producto 19: </w:t>
            </w:r>
            <w:r>
              <w:rPr>
                <w:sz w:val="18"/>
                <w:szCs w:val="18"/>
              </w:rPr>
              <w:t>Ficha de la idea de negocio con su evaluación de viabilidad.</w:t>
            </w:r>
          </w:p>
        </w:tc>
      </w:tr>
      <w:tr w:rsidR="00990B14" w14:paraId="48E7C502" w14:textId="77777777">
        <w:trPr>
          <w:cantSplit/>
          <w:jc w:val="center"/>
        </w:trPr>
        <w:tc>
          <w:tcPr>
            <w:tcW w:w="3133" w:type="dxa"/>
            <w:gridSpan w:val="4"/>
            <w:vMerge/>
            <w:shd w:val="clear" w:color="auto" w:fill="D9E2F3"/>
            <w:vAlign w:val="center"/>
          </w:tcPr>
          <w:p w14:paraId="4849F9CA" w14:textId="77777777" w:rsidR="00990B14" w:rsidRDefault="00990B14">
            <w:pPr>
              <w:spacing w:before="20" w:after="20"/>
            </w:pPr>
          </w:p>
        </w:tc>
        <w:tc>
          <w:tcPr>
            <w:tcW w:w="3135" w:type="dxa"/>
            <w:gridSpan w:val="5"/>
            <w:shd w:val="clear" w:color="auto" w:fill="D9E2F3"/>
            <w:vAlign w:val="center"/>
          </w:tcPr>
          <w:p w14:paraId="59008383" w14:textId="77777777" w:rsidR="00990B14" w:rsidRDefault="00000000">
            <w:pPr>
              <w:spacing w:before="20" w:after="20"/>
              <w:jc w:val="both"/>
            </w:pPr>
            <w:r>
              <w:rPr>
                <w:sz w:val="18"/>
                <w:szCs w:val="18"/>
              </w:rPr>
              <w:t>2.2 Sustenta ante el curso el lienzo del modelo de negocio validado.</w:t>
            </w:r>
          </w:p>
        </w:tc>
        <w:tc>
          <w:tcPr>
            <w:tcW w:w="3137" w:type="dxa"/>
            <w:gridSpan w:val="4"/>
            <w:shd w:val="clear" w:color="auto" w:fill="D9E2F3"/>
            <w:vAlign w:val="center"/>
          </w:tcPr>
          <w:p w14:paraId="03C21D39" w14:textId="77777777" w:rsidR="00990B14" w:rsidRDefault="00000000">
            <w:pPr>
              <w:spacing w:before="20" w:after="20"/>
              <w:jc w:val="both"/>
            </w:pPr>
            <w:r>
              <w:rPr>
                <w:b/>
                <w:bCs/>
                <w:sz w:val="18"/>
                <w:szCs w:val="18"/>
              </w:rPr>
              <w:t xml:space="preserve">Producto 20: </w:t>
            </w:r>
            <w:r>
              <w:rPr>
                <w:sz w:val="18"/>
                <w:szCs w:val="18"/>
              </w:rPr>
              <w:t>Lienzo modelo de negocio Canvas con su validación.</w:t>
            </w:r>
          </w:p>
        </w:tc>
      </w:tr>
      <w:tr w:rsidR="00990B14" w14:paraId="3AF4A4F3" w14:textId="77777777">
        <w:trPr>
          <w:cantSplit/>
          <w:jc w:val="center"/>
        </w:trPr>
        <w:tc>
          <w:tcPr>
            <w:tcW w:w="9405" w:type="dxa"/>
            <w:gridSpan w:val="13"/>
            <w:shd w:val="clear" w:color="auto" w:fill="4472C4"/>
            <w:vAlign w:val="center"/>
          </w:tcPr>
          <w:p w14:paraId="7E7DCB7E" w14:textId="77777777" w:rsidR="00990B14" w:rsidRDefault="00000000">
            <w:pPr>
              <w:keepNext/>
              <w:spacing w:before="20" w:after="20"/>
              <w:jc w:val="center"/>
            </w:pPr>
            <w:r>
              <w:rPr>
                <w:b/>
                <w:bCs/>
                <w:i/>
                <w:iCs/>
                <w:color w:val="FFFFFF"/>
                <w:sz w:val="18"/>
                <w:szCs w:val="18"/>
              </w:rPr>
              <w:t>Evidencias de conocimiento</w:t>
            </w:r>
          </w:p>
        </w:tc>
      </w:tr>
      <w:tr w:rsidR="00990B14" w14:paraId="79246E7D" w14:textId="77777777">
        <w:trPr>
          <w:cantSplit/>
          <w:jc w:val="center"/>
        </w:trPr>
        <w:tc>
          <w:tcPr>
            <w:tcW w:w="2349" w:type="dxa"/>
            <w:gridSpan w:val="2"/>
            <w:shd w:val="clear" w:color="auto" w:fill="4472C4"/>
            <w:vAlign w:val="center"/>
          </w:tcPr>
          <w:p w14:paraId="5668C1A3"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0BD96F5F" w14:textId="77777777" w:rsidR="00990B14" w:rsidRDefault="00000000">
            <w:pPr>
              <w:keepNext/>
              <w:spacing w:before="20" w:after="20"/>
              <w:jc w:val="both"/>
            </w:pPr>
            <w:r>
              <w:rPr>
                <w:b/>
                <w:bCs/>
                <w:i/>
                <w:iCs/>
                <w:color w:val="FFFFFF"/>
                <w:sz w:val="18"/>
                <w:szCs w:val="18"/>
              </w:rPr>
              <w:t>Contenidos</w:t>
            </w:r>
          </w:p>
          <w:p w14:paraId="2F924B3B"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1A5CE75C" w14:textId="77777777" w:rsidR="00990B14" w:rsidRDefault="00000000">
            <w:pPr>
              <w:keepNext/>
              <w:spacing w:before="20" w:after="20"/>
              <w:jc w:val="center"/>
            </w:pPr>
            <w:r>
              <w:rPr>
                <w:b/>
                <w:bCs/>
                <w:i/>
                <w:iCs/>
                <w:color w:val="FFFFFF"/>
                <w:sz w:val="18"/>
                <w:szCs w:val="18"/>
              </w:rPr>
              <w:t>Conocimientos circunstanciales</w:t>
            </w:r>
          </w:p>
        </w:tc>
      </w:tr>
      <w:tr w:rsidR="00990B14" w14:paraId="66512AC3" w14:textId="77777777">
        <w:trPr>
          <w:jc w:val="center"/>
        </w:trPr>
        <w:tc>
          <w:tcPr>
            <w:tcW w:w="2349" w:type="dxa"/>
            <w:gridSpan w:val="2"/>
            <w:shd w:val="clear" w:color="auto" w:fill="D9E2F3"/>
          </w:tcPr>
          <w:p w14:paraId="05AFA8DA" w14:textId="77777777" w:rsidR="00990B14" w:rsidRDefault="00000000">
            <w:pPr>
              <w:spacing w:before="20" w:after="40"/>
              <w:jc w:val="both"/>
            </w:pPr>
            <w:r>
              <w:rPr>
                <w:sz w:val="18"/>
                <w:szCs w:val="18"/>
              </w:rPr>
              <w:t>Tema 8: Gestión de Marketing</w:t>
            </w:r>
          </w:p>
          <w:p w14:paraId="3EED54FD" w14:textId="77777777" w:rsidR="00990B14" w:rsidRDefault="00000000">
            <w:pPr>
              <w:spacing w:before="20" w:after="40"/>
              <w:jc w:val="both"/>
            </w:pPr>
            <w:r>
              <w:rPr>
                <w:sz w:val="18"/>
                <w:szCs w:val="18"/>
              </w:rPr>
              <w:t>Tema 9: Emprendimiento, Innovación y Modelos de Negocio</w:t>
            </w:r>
          </w:p>
        </w:tc>
        <w:tc>
          <w:tcPr>
            <w:tcW w:w="4304" w:type="dxa"/>
            <w:gridSpan w:val="8"/>
            <w:shd w:val="clear" w:color="auto" w:fill="D9E2F3"/>
          </w:tcPr>
          <w:p w14:paraId="31E244AE" w14:textId="77777777" w:rsidR="00990B14" w:rsidRDefault="00000000">
            <w:pPr>
              <w:spacing w:after="40"/>
              <w:jc w:val="both"/>
            </w:pPr>
            <w:r>
              <w:rPr>
                <w:sz w:val="18"/>
                <w:szCs w:val="18"/>
              </w:rPr>
              <w:t>1.Concepto de marketing; el proceso de intercambio; la evolución del marketing; estrategia de marketing y comportamiento del consumidor. (C)</w:t>
            </w:r>
          </w:p>
          <w:p w14:paraId="507187B9" w14:textId="77777777" w:rsidR="00990B14" w:rsidRDefault="00000000">
            <w:pPr>
              <w:spacing w:after="40"/>
              <w:jc w:val="both"/>
            </w:pPr>
            <w:r>
              <w:rPr>
                <w:sz w:val="18"/>
                <w:szCs w:val="18"/>
              </w:rPr>
              <w:t>2.Estrategia del producto: la marca, el desarrollo de nuevos productos y el ciclo de vida del producto; estrategias de precio y de distribución. (C, P)</w:t>
            </w:r>
          </w:p>
          <w:p w14:paraId="2E70AD1C" w14:textId="77777777" w:rsidR="00990B14" w:rsidRDefault="00000000">
            <w:pPr>
              <w:spacing w:after="40"/>
              <w:jc w:val="both"/>
            </w:pPr>
            <w:r>
              <w:rPr>
                <w:sz w:val="18"/>
                <w:szCs w:val="18"/>
              </w:rPr>
              <w:t>3.Estrategias de comunicación: publicidad, promoción de ventas, relaciones públicas y venta personal; marketing del color, neuromarketing y marketing digital. (C)</w:t>
            </w:r>
          </w:p>
          <w:p w14:paraId="33ADCA0A" w14:textId="77777777" w:rsidR="00990B14" w:rsidRDefault="00000000">
            <w:pPr>
              <w:spacing w:after="40"/>
              <w:jc w:val="both"/>
            </w:pPr>
            <w:r>
              <w:rPr>
                <w:sz w:val="18"/>
                <w:szCs w:val="18"/>
              </w:rPr>
              <w:t>4.Marketing digital: redes sociales, comercio electrónico y medición de resultados con indicadores de alcance y conversión. (P, T)</w:t>
            </w:r>
          </w:p>
          <w:p w14:paraId="2D2CA452" w14:textId="77777777" w:rsidR="00990B14" w:rsidRDefault="00000000">
            <w:pPr>
              <w:spacing w:after="40"/>
              <w:jc w:val="both"/>
            </w:pPr>
            <w:r>
              <w:rPr>
                <w:sz w:val="18"/>
                <w:szCs w:val="18"/>
              </w:rPr>
              <w:t>5.Marketing sostenible y comunicación responsable: coherencia entre el mensaje y las prácticas ambientales y sociales de la empresa. (C, A)</w:t>
            </w:r>
          </w:p>
          <w:p w14:paraId="24A8AA98" w14:textId="77777777" w:rsidR="00990B14" w:rsidRDefault="00000000">
            <w:pPr>
              <w:spacing w:after="40"/>
              <w:jc w:val="both"/>
            </w:pPr>
            <w:r>
              <w:rPr>
                <w:sz w:val="18"/>
                <w:szCs w:val="18"/>
              </w:rPr>
              <w:t>6.El espíritu emprendedor: características del emprendedor, ventajas y desventajas de ser emprendedor; ideas de negocio y diseño del negocio. (C)</w:t>
            </w:r>
          </w:p>
          <w:p w14:paraId="75A543A9" w14:textId="77777777" w:rsidR="00990B14" w:rsidRDefault="00000000">
            <w:pPr>
              <w:spacing w:after="40"/>
              <w:jc w:val="both"/>
            </w:pPr>
            <w:r>
              <w:rPr>
                <w:sz w:val="18"/>
                <w:szCs w:val="18"/>
              </w:rPr>
              <w:t>7.Generación de ideas de negocio con técnicas de creatividad y evaluación de su viabilidad. (P)</w:t>
            </w:r>
          </w:p>
          <w:p w14:paraId="60219E4F" w14:textId="77777777" w:rsidR="00990B14" w:rsidRDefault="00000000">
            <w:pPr>
              <w:spacing w:after="40"/>
              <w:jc w:val="both"/>
            </w:pPr>
            <w:r>
              <w:rPr>
                <w:sz w:val="18"/>
                <w:szCs w:val="18"/>
              </w:rPr>
              <w:t>8.Modelo de negocio con el lienzo conocido como Business Model Canvas: propuesta de valor, segmentos de clientes, canales, relación con los clientes, recursos, actividades, socios, costos e ingresos. (C, P)</w:t>
            </w:r>
          </w:p>
          <w:p w14:paraId="04C3168B" w14:textId="77777777" w:rsidR="00990B14" w:rsidRDefault="00000000">
            <w:pPr>
              <w:spacing w:after="40"/>
              <w:jc w:val="both"/>
            </w:pPr>
            <w:r>
              <w:rPr>
                <w:sz w:val="18"/>
                <w:szCs w:val="18"/>
              </w:rPr>
              <w:t>9.Validación de hipótesis de valor y experimentación en el mercado; escalabilidad, viabilidad y sostenibilidad del modelo de negocio. (C, P)</w:t>
            </w:r>
          </w:p>
          <w:p w14:paraId="4B447DCE" w14:textId="77777777" w:rsidR="00990B14" w:rsidRDefault="00000000">
            <w:pPr>
              <w:spacing w:after="40"/>
              <w:jc w:val="both"/>
            </w:pPr>
            <w:r>
              <w:rPr>
                <w:sz w:val="18"/>
                <w:szCs w:val="18"/>
              </w:rPr>
              <w:t>10.Innovación de modelos de negocio: innovación disruptiva y nuevos modelos de negocio digitales. (C)</w:t>
            </w:r>
          </w:p>
          <w:p w14:paraId="1D9B213A" w14:textId="77777777" w:rsidR="00990B14" w:rsidRDefault="00000000">
            <w:pPr>
              <w:spacing w:after="40"/>
              <w:jc w:val="both"/>
            </w:pPr>
            <w:r>
              <w:rPr>
                <w:sz w:val="18"/>
                <w:szCs w:val="18"/>
              </w:rPr>
              <w:t>11.Emprendimiento y crecimiento organizacional: nuevos negocios y líneas de crecimiento de la empresa. (C)</w:t>
            </w:r>
          </w:p>
        </w:tc>
        <w:tc>
          <w:tcPr>
            <w:tcW w:w="2752" w:type="dxa"/>
            <w:gridSpan w:val="3"/>
            <w:shd w:val="clear" w:color="auto" w:fill="D9E2F3"/>
          </w:tcPr>
          <w:p w14:paraId="63567C4B" w14:textId="77777777" w:rsidR="00990B14" w:rsidRDefault="00000000">
            <w:pPr>
              <w:numPr>
                <w:ilvl w:val="0"/>
                <w:numId w:val="139"/>
              </w:numPr>
              <w:spacing w:before="10" w:after="10"/>
              <w:jc w:val="both"/>
            </w:pPr>
            <w:r>
              <w:rPr>
                <w:sz w:val="18"/>
                <w:szCs w:val="18"/>
              </w:rPr>
              <w:t>La empresa y la gestión de marketing.</w:t>
            </w:r>
          </w:p>
          <w:p w14:paraId="07EB3B5E" w14:textId="77777777" w:rsidR="00990B14" w:rsidRDefault="00000000">
            <w:pPr>
              <w:numPr>
                <w:ilvl w:val="0"/>
                <w:numId w:val="139"/>
              </w:numPr>
              <w:spacing w:before="10" w:after="10"/>
              <w:jc w:val="both"/>
            </w:pPr>
            <w:r>
              <w:rPr>
                <w:sz w:val="18"/>
                <w:szCs w:val="18"/>
              </w:rPr>
              <w:t>La empresa como sistema y su relación con el medio ambiente como base del diseño del modelo de negocio.</w:t>
            </w:r>
          </w:p>
        </w:tc>
      </w:tr>
      <w:tr w:rsidR="00990B14" w14:paraId="50E59CBA" w14:textId="77777777">
        <w:trPr>
          <w:cantSplit/>
          <w:jc w:val="center"/>
        </w:trPr>
        <w:tc>
          <w:tcPr>
            <w:tcW w:w="9405" w:type="dxa"/>
            <w:gridSpan w:val="13"/>
            <w:shd w:val="clear" w:color="auto" w:fill="D9E2F3"/>
            <w:vAlign w:val="center"/>
          </w:tcPr>
          <w:p w14:paraId="52E25BB9" w14:textId="77777777" w:rsidR="00990B14" w:rsidRDefault="00000000">
            <w:pPr>
              <w:spacing w:before="20" w:after="20"/>
              <w:jc w:val="both"/>
            </w:pPr>
            <w:r>
              <w:rPr>
                <w:b/>
                <w:bCs/>
                <w:i/>
                <w:iCs/>
                <w:sz w:val="18"/>
                <w:szCs w:val="18"/>
              </w:rPr>
              <w:t xml:space="preserve">Elemento de competencia 6: </w:t>
            </w:r>
            <w:r>
              <w:rPr>
                <w:sz w:val="18"/>
                <w:szCs w:val="18"/>
              </w:rPr>
              <w:t>Formula el plan de negocios de un emprendimiento o de una línea de crecimiento, integrando la transformación digital y el uso responsable de la inteligencia artificial.</w:t>
            </w:r>
          </w:p>
        </w:tc>
      </w:tr>
      <w:tr w:rsidR="00990B14" w14:paraId="20E4B360" w14:textId="77777777">
        <w:trPr>
          <w:cantSplit/>
          <w:jc w:val="center"/>
        </w:trPr>
        <w:tc>
          <w:tcPr>
            <w:tcW w:w="3133" w:type="dxa"/>
            <w:gridSpan w:val="4"/>
            <w:shd w:val="clear" w:color="auto" w:fill="4472C4"/>
            <w:vAlign w:val="center"/>
          </w:tcPr>
          <w:p w14:paraId="13BA6137"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7030460E"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06FC8771" w14:textId="77777777" w:rsidR="00990B14" w:rsidRDefault="00000000">
            <w:pPr>
              <w:keepNext/>
              <w:spacing w:before="20" w:after="20"/>
              <w:jc w:val="center"/>
            </w:pPr>
            <w:r>
              <w:rPr>
                <w:b/>
                <w:bCs/>
                <w:i/>
                <w:iCs/>
                <w:color w:val="FFFFFF"/>
                <w:sz w:val="18"/>
                <w:szCs w:val="18"/>
              </w:rPr>
              <w:t>Evidencias de producto</w:t>
            </w:r>
          </w:p>
        </w:tc>
      </w:tr>
      <w:tr w:rsidR="00990B14" w14:paraId="1E38F533" w14:textId="77777777">
        <w:trPr>
          <w:cantSplit/>
          <w:jc w:val="center"/>
        </w:trPr>
        <w:tc>
          <w:tcPr>
            <w:tcW w:w="3133" w:type="dxa"/>
            <w:gridSpan w:val="4"/>
            <w:vMerge w:val="restart"/>
            <w:shd w:val="clear" w:color="auto" w:fill="D9E2F3"/>
            <w:vAlign w:val="center"/>
          </w:tcPr>
          <w:p w14:paraId="00C21BA2" w14:textId="77777777" w:rsidR="00990B14" w:rsidRDefault="00000000">
            <w:pPr>
              <w:spacing w:before="20" w:after="20"/>
              <w:jc w:val="both"/>
            </w:pPr>
            <w:r>
              <w:rPr>
                <w:sz w:val="18"/>
                <w:szCs w:val="18"/>
              </w:rPr>
              <w:t>1. Evalúa la incorporación de la transformación digital y la inteligencia artificial en una organización, verificando sus resultados y su efecto en las personas.</w:t>
            </w:r>
          </w:p>
        </w:tc>
        <w:tc>
          <w:tcPr>
            <w:tcW w:w="3135" w:type="dxa"/>
            <w:gridSpan w:val="5"/>
            <w:shd w:val="clear" w:color="auto" w:fill="D9E2F3"/>
            <w:vAlign w:val="center"/>
          </w:tcPr>
          <w:p w14:paraId="31AABA58" w14:textId="77777777" w:rsidR="00990B14" w:rsidRDefault="00000000">
            <w:pPr>
              <w:spacing w:before="20" w:after="20"/>
              <w:jc w:val="both"/>
            </w:pPr>
            <w:r>
              <w:rPr>
                <w:sz w:val="18"/>
                <w:szCs w:val="18"/>
              </w:rPr>
              <w:t>1.1 Analiza en aula un caso de uso de inteligencia artificial en una organización, verificando sus resultados.</w:t>
            </w:r>
          </w:p>
        </w:tc>
        <w:tc>
          <w:tcPr>
            <w:tcW w:w="3137" w:type="dxa"/>
            <w:gridSpan w:val="4"/>
            <w:shd w:val="clear" w:color="auto" w:fill="D9E2F3"/>
            <w:vAlign w:val="center"/>
          </w:tcPr>
          <w:p w14:paraId="7DBB870D" w14:textId="77777777" w:rsidR="00990B14" w:rsidRDefault="00000000">
            <w:pPr>
              <w:spacing w:before="20" w:after="20"/>
              <w:jc w:val="both"/>
            </w:pPr>
            <w:r>
              <w:rPr>
                <w:b/>
                <w:bCs/>
                <w:sz w:val="18"/>
                <w:szCs w:val="18"/>
              </w:rPr>
              <w:t xml:space="preserve">Producto 21: </w:t>
            </w:r>
            <w:r>
              <w:rPr>
                <w:sz w:val="18"/>
                <w:szCs w:val="18"/>
              </w:rPr>
              <w:t>Evaluación del uso responsable de la inteligencia artificial en una organización.</w:t>
            </w:r>
          </w:p>
        </w:tc>
      </w:tr>
      <w:tr w:rsidR="00990B14" w14:paraId="67E66E00" w14:textId="77777777">
        <w:trPr>
          <w:cantSplit/>
          <w:jc w:val="center"/>
        </w:trPr>
        <w:tc>
          <w:tcPr>
            <w:tcW w:w="3133" w:type="dxa"/>
            <w:gridSpan w:val="4"/>
            <w:vMerge/>
            <w:shd w:val="clear" w:color="auto" w:fill="D9E2F3"/>
            <w:vAlign w:val="center"/>
          </w:tcPr>
          <w:p w14:paraId="0A235DF4" w14:textId="77777777" w:rsidR="00990B14" w:rsidRDefault="00990B14">
            <w:pPr>
              <w:spacing w:before="20" w:after="20"/>
            </w:pPr>
          </w:p>
        </w:tc>
        <w:tc>
          <w:tcPr>
            <w:tcW w:w="3135" w:type="dxa"/>
            <w:gridSpan w:val="5"/>
            <w:shd w:val="clear" w:color="auto" w:fill="D9E2F3"/>
            <w:vAlign w:val="center"/>
          </w:tcPr>
          <w:p w14:paraId="09D80481" w14:textId="77777777" w:rsidR="00990B14" w:rsidRDefault="00000000">
            <w:pPr>
              <w:spacing w:before="20" w:after="20"/>
              <w:jc w:val="both"/>
            </w:pPr>
            <w:r>
              <w:rPr>
                <w:sz w:val="18"/>
                <w:szCs w:val="18"/>
              </w:rPr>
              <w:t>1.2 Propone en equipo la automatización de un proceso gerencial u operativo con herramientas digitales.</w:t>
            </w:r>
          </w:p>
        </w:tc>
        <w:tc>
          <w:tcPr>
            <w:tcW w:w="3137" w:type="dxa"/>
            <w:gridSpan w:val="4"/>
            <w:shd w:val="clear" w:color="auto" w:fill="D9E2F3"/>
            <w:vAlign w:val="center"/>
          </w:tcPr>
          <w:p w14:paraId="3F317871" w14:textId="77777777" w:rsidR="00990B14" w:rsidRDefault="00000000">
            <w:pPr>
              <w:spacing w:before="20" w:after="20"/>
              <w:jc w:val="both"/>
            </w:pPr>
            <w:r>
              <w:rPr>
                <w:b/>
                <w:bCs/>
                <w:sz w:val="18"/>
                <w:szCs w:val="18"/>
              </w:rPr>
              <w:t xml:space="preserve">Producto 22: </w:t>
            </w:r>
            <w:r>
              <w:rPr>
                <w:sz w:val="18"/>
                <w:szCs w:val="18"/>
              </w:rPr>
              <w:t>Propuesta de automatización de un proceso con su efecto en el personal.</w:t>
            </w:r>
          </w:p>
        </w:tc>
      </w:tr>
      <w:tr w:rsidR="00990B14" w14:paraId="1AD85E6A" w14:textId="77777777">
        <w:trPr>
          <w:cantSplit/>
          <w:jc w:val="center"/>
        </w:trPr>
        <w:tc>
          <w:tcPr>
            <w:tcW w:w="3133" w:type="dxa"/>
            <w:gridSpan w:val="4"/>
            <w:vMerge w:val="restart"/>
            <w:shd w:val="clear" w:color="auto" w:fill="D9E2F3"/>
            <w:vAlign w:val="center"/>
          </w:tcPr>
          <w:p w14:paraId="0E16E5DF" w14:textId="77777777" w:rsidR="00990B14" w:rsidRDefault="00000000">
            <w:pPr>
              <w:spacing w:before="20" w:after="20"/>
              <w:jc w:val="both"/>
            </w:pPr>
            <w:r>
              <w:rPr>
                <w:sz w:val="18"/>
                <w:szCs w:val="18"/>
              </w:rPr>
              <w:t>2. Formula un plan de negocios con sus componentes comercial, técnico, operativo y organizacional y una estimación económica, sustentando su viabilidad con ética y realismo.</w:t>
            </w:r>
          </w:p>
        </w:tc>
        <w:tc>
          <w:tcPr>
            <w:tcW w:w="3135" w:type="dxa"/>
            <w:gridSpan w:val="5"/>
            <w:shd w:val="clear" w:color="auto" w:fill="D9E2F3"/>
            <w:vAlign w:val="center"/>
          </w:tcPr>
          <w:p w14:paraId="1F7D56C2" w14:textId="77777777" w:rsidR="00990B14" w:rsidRDefault="00000000">
            <w:pPr>
              <w:spacing w:before="20" w:after="20"/>
              <w:jc w:val="both"/>
            </w:pPr>
            <w:r>
              <w:rPr>
                <w:sz w:val="18"/>
                <w:szCs w:val="18"/>
              </w:rPr>
              <w:t>2.1 Elabora en equipo el plan de negocios del modelo validado.</w:t>
            </w:r>
          </w:p>
        </w:tc>
        <w:tc>
          <w:tcPr>
            <w:tcW w:w="3137" w:type="dxa"/>
            <w:gridSpan w:val="4"/>
            <w:shd w:val="clear" w:color="auto" w:fill="D9E2F3"/>
            <w:vAlign w:val="center"/>
          </w:tcPr>
          <w:p w14:paraId="2676138A" w14:textId="77777777" w:rsidR="00990B14" w:rsidRDefault="00000000">
            <w:pPr>
              <w:spacing w:before="20" w:after="20"/>
              <w:jc w:val="both"/>
            </w:pPr>
            <w:r>
              <w:rPr>
                <w:b/>
                <w:bCs/>
                <w:sz w:val="18"/>
                <w:szCs w:val="18"/>
              </w:rPr>
              <w:t xml:space="preserve">Producto 23: </w:t>
            </w:r>
            <w:r>
              <w:rPr>
                <w:sz w:val="18"/>
                <w:szCs w:val="18"/>
              </w:rPr>
              <w:t>Plan de negocios.</w:t>
            </w:r>
          </w:p>
        </w:tc>
      </w:tr>
      <w:tr w:rsidR="00990B14" w14:paraId="1A732A70" w14:textId="77777777">
        <w:trPr>
          <w:cantSplit/>
          <w:jc w:val="center"/>
        </w:trPr>
        <w:tc>
          <w:tcPr>
            <w:tcW w:w="3133" w:type="dxa"/>
            <w:gridSpan w:val="4"/>
            <w:vMerge/>
            <w:shd w:val="clear" w:color="auto" w:fill="D9E2F3"/>
            <w:vAlign w:val="center"/>
          </w:tcPr>
          <w:p w14:paraId="79AAD4B5" w14:textId="77777777" w:rsidR="00990B14" w:rsidRDefault="00990B14">
            <w:pPr>
              <w:spacing w:before="20" w:after="20"/>
            </w:pPr>
          </w:p>
        </w:tc>
        <w:tc>
          <w:tcPr>
            <w:tcW w:w="3135" w:type="dxa"/>
            <w:gridSpan w:val="5"/>
            <w:shd w:val="clear" w:color="auto" w:fill="D9E2F3"/>
            <w:vAlign w:val="center"/>
          </w:tcPr>
          <w:p w14:paraId="29AF198B" w14:textId="77777777" w:rsidR="00990B14" w:rsidRDefault="00000000">
            <w:pPr>
              <w:spacing w:before="20" w:after="20"/>
              <w:jc w:val="both"/>
            </w:pPr>
            <w:r>
              <w:rPr>
                <w:sz w:val="18"/>
                <w:szCs w:val="18"/>
              </w:rPr>
              <w:t>2.2 Expone ante el curso un pitch ejecutivo del plan de negocios.</w:t>
            </w:r>
          </w:p>
        </w:tc>
        <w:tc>
          <w:tcPr>
            <w:tcW w:w="3137" w:type="dxa"/>
            <w:gridSpan w:val="4"/>
            <w:shd w:val="clear" w:color="auto" w:fill="D9E2F3"/>
            <w:vAlign w:val="center"/>
          </w:tcPr>
          <w:p w14:paraId="3D73B1A7" w14:textId="77777777" w:rsidR="00990B14" w:rsidRDefault="00000000">
            <w:pPr>
              <w:spacing w:before="20" w:after="20"/>
              <w:jc w:val="both"/>
            </w:pPr>
            <w:r>
              <w:rPr>
                <w:b/>
                <w:bCs/>
                <w:sz w:val="18"/>
                <w:szCs w:val="18"/>
              </w:rPr>
              <w:t xml:space="preserve">Producto 24: </w:t>
            </w:r>
            <w:r>
              <w:rPr>
                <w:sz w:val="18"/>
                <w:szCs w:val="18"/>
              </w:rPr>
              <w:t>Presentación ejecutiva del plan de negocios.</w:t>
            </w:r>
          </w:p>
        </w:tc>
      </w:tr>
      <w:tr w:rsidR="00990B14" w14:paraId="77934C6D" w14:textId="77777777">
        <w:trPr>
          <w:cantSplit/>
          <w:jc w:val="center"/>
        </w:trPr>
        <w:tc>
          <w:tcPr>
            <w:tcW w:w="9405" w:type="dxa"/>
            <w:gridSpan w:val="13"/>
            <w:shd w:val="clear" w:color="auto" w:fill="4472C4"/>
            <w:vAlign w:val="center"/>
          </w:tcPr>
          <w:p w14:paraId="4F2FCB33" w14:textId="77777777" w:rsidR="00990B14" w:rsidRDefault="00000000">
            <w:pPr>
              <w:keepNext/>
              <w:spacing w:before="20" w:after="20"/>
              <w:jc w:val="center"/>
            </w:pPr>
            <w:r>
              <w:rPr>
                <w:b/>
                <w:bCs/>
                <w:i/>
                <w:iCs/>
                <w:color w:val="FFFFFF"/>
                <w:sz w:val="18"/>
                <w:szCs w:val="18"/>
              </w:rPr>
              <w:t>Evidencias de conocimiento</w:t>
            </w:r>
          </w:p>
        </w:tc>
      </w:tr>
      <w:tr w:rsidR="00990B14" w14:paraId="2137A56D" w14:textId="77777777">
        <w:trPr>
          <w:cantSplit/>
          <w:jc w:val="center"/>
        </w:trPr>
        <w:tc>
          <w:tcPr>
            <w:tcW w:w="2349" w:type="dxa"/>
            <w:gridSpan w:val="2"/>
            <w:shd w:val="clear" w:color="auto" w:fill="4472C4"/>
            <w:vAlign w:val="center"/>
          </w:tcPr>
          <w:p w14:paraId="68E7D6D3"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212945C7" w14:textId="77777777" w:rsidR="00990B14" w:rsidRDefault="00000000">
            <w:pPr>
              <w:keepNext/>
              <w:spacing w:before="20" w:after="20"/>
              <w:jc w:val="both"/>
            </w:pPr>
            <w:r>
              <w:rPr>
                <w:b/>
                <w:bCs/>
                <w:i/>
                <w:iCs/>
                <w:color w:val="FFFFFF"/>
                <w:sz w:val="18"/>
                <w:szCs w:val="18"/>
              </w:rPr>
              <w:t>Contenidos</w:t>
            </w:r>
          </w:p>
          <w:p w14:paraId="4766B710"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4A89BD80" w14:textId="77777777" w:rsidR="00990B14" w:rsidRDefault="00000000">
            <w:pPr>
              <w:keepNext/>
              <w:spacing w:before="20" w:after="20"/>
              <w:jc w:val="center"/>
            </w:pPr>
            <w:r>
              <w:rPr>
                <w:b/>
                <w:bCs/>
                <w:i/>
                <w:iCs/>
                <w:color w:val="FFFFFF"/>
                <w:sz w:val="18"/>
                <w:szCs w:val="18"/>
              </w:rPr>
              <w:t>Conocimientos circunstanciales</w:t>
            </w:r>
          </w:p>
        </w:tc>
      </w:tr>
      <w:tr w:rsidR="00990B14" w14:paraId="46340064" w14:textId="77777777">
        <w:trPr>
          <w:jc w:val="center"/>
        </w:trPr>
        <w:tc>
          <w:tcPr>
            <w:tcW w:w="2349" w:type="dxa"/>
            <w:gridSpan w:val="2"/>
            <w:shd w:val="clear" w:color="auto" w:fill="D9E2F3"/>
          </w:tcPr>
          <w:p w14:paraId="6ED21CD6" w14:textId="77777777" w:rsidR="00990B14" w:rsidRDefault="00000000">
            <w:pPr>
              <w:spacing w:before="20" w:after="40"/>
              <w:jc w:val="both"/>
            </w:pPr>
            <w:r>
              <w:rPr>
                <w:sz w:val="18"/>
                <w:szCs w:val="18"/>
              </w:rPr>
              <w:t>Tema 10: Transformación Digital e Inteligencia Artificial en las Organizaciones</w:t>
            </w:r>
          </w:p>
          <w:p w14:paraId="0DA94092" w14:textId="77777777" w:rsidR="00990B14" w:rsidRDefault="00000000">
            <w:pPr>
              <w:spacing w:before="20" w:after="40"/>
              <w:jc w:val="both"/>
            </w:pPr>
            <w:r>
              <w:rPr>
                <w:sz w:val="18"/>
                <w:szCs w:val="18"/>
              </w:rPr>
              <w:t>Tema 11: Plan de Negocios</w:t>
            </w:r>
          </w:p>
        </w:tc>
        <w:tc>
          <w:tcPr>
            <w:tcW w:w="4304" w:type="dxa"/>
            <w:gridSpan w:val="8"/>
            <w:shd w:val="clear" w:color="auto" w:fill="D9E2F3"/>
          </w:tcPr>
          <w:p w14:paraId="311EDA36" w14:textId="77777777" w:rsidR="00990B14" w:rsidRDefault="00000000">
            <w:pPr>
              <w:spacing w:after="40"/>
              <w:jc w:val="both"/>
            </w:pPr>
            <w:r>
              <w:rPr>
                <w:sz w:val="18"/>
                <w:szCs w:val="18"/>
              </w:rPr>
              <w:t>1.Transformación digital de las organizaciones: rediseño de procesos, trabajo remoto e híbrido, cultura digital y plataformas digitales. (C)</w:t>
            </w:r>
          </w:p>
          <w:p w14:paraId="07A613CD" w14:textId="77777777" w:rsidR="00990B14" w:rsidRDefault="00000000">
            <w:pPr>
              <w:spacing w:after="40"/>
              <w:jc w:val="both"/>
            </w:pPr>
            <w:r>
              <w:rPr>
                <w:sz w:val="18"/>
                <w:szCs w:val="18"/>
              </w:rPr>
              <w:t>2.El programa de desarrollo informático y sus metas en el sector privado y público; papel del administrador en los sistemas de información. (C)</w:t>
            </w:r>
          </w:p>
          <w:p w14:paraId="09524C35" w14:textId="77777777" w:rsidR="00990B14" w:rsidRDefault="00000000">
            <w:pPr>
              <w:spacing w:after="40"/>
              <w:jc w:val="both"/>
            </w:pPr>
            <w:r>
              <w:rPr>
                <w:sz w:val="18"/>
                <w:szCs w:val="18"/>
              </w:rPr>
              <w:t>3.Automatización de procesos gerenciales y operativos con herramientas digitales. (P, T)</w:t>
            </w:r>
          </w:p>
          <w:p w14:paraId="35425197" w14:textId="77777777" w:rsidR="00990B14" w:rsidRDefault="00000000">
            <w:pPr>
              <w:spacing w:after="40"/>
              <w:jc w:val="both"/>
            </w:pPr>
            <w:r>
              <w:rPr>
                <w:sz w:val="18"/>
                <w:szCs w:val="18"/>
              </w:rPr>
              <w:t>4.Inteligencia artificial para el análisis de datos y el soporte a las decisiones: uso de herramientas de inteligencia artificial generativa con verificación de sus resultados. (P, T)</w:t>
            </w:r>
          </w:p>
          <w:p w14:paraId="4C40DA82" w14:textId="77777777" w:rsidR="00990B14" w:rsidRDefault="00000000">
            <w:pPr>
              <w:spacing w:after="40"/>
              <w:jc w:val="both"/>
            </w:pPr>
            <w:r>
              <w:rPr>
                <w:sz w:val="18"/>
                <w:szCs w:val="18"/>
              </w:rPr>
              <w:t>5.Oportunidades, ventajas competitivas y riesgos de la adopción de la inteligencia artificial. (C)</w:t>
            </w:r>
          </w:p>
          <w:p w14:paraId="6F0B8018" w14:textId="77777777" w:rsidR="00990B14" w:rsidRDefault="00000000">
            <w:pPr>
              <w:spacing w:after="40"/>
              <w:jc w:val="both"/>
            </w:pPr>
            <w:r>
              <w:rPr>
                <w:sz w:val="18"/>
                <w:szCs w:val="18"/>
              </w:rPr>
              <w:t>6.Ética y uso responsable de la inteligencia artificial: gobernanza de datos, transparencia, mitigación de sesgos y responsabilidad profesional sobre lo que se firma. (C, A)</w:t>
            </w:r>
          </w:p>
          <w:p w14:paraId="273E14E0" w14:textId="77777777" w:rsidR="00990B14" w:rsidRDefault="00000000">
            <w:pPr>
              <w:spacing w:after="40"/>
              <w:jc w:val="both"/>
            </w:pPr>
            <w:r>
              <w:rPr>
                <w:sz w:val="18"/>
                <w:szCs w:val="18"/>
              </w:rPr>
              <w:t>7.Ética en el uso de los datos de clientes y trabajadores, y protección de la información de la organización. (C, A)</w:t>
            </w:r>
          </w:p>
          <w:p w14:paraId="13B3AE78" w14:textId="77777777" w:rsidR="00990B14" w:rsidRDefault="00000000">
            <w:pPr>
              <w:spacing w:after="40"/>
              <w:jc w:val="both"/>
            </w:pPr>
            <w:r>
              <w:rPr>
                <w:sz w:val="18"/>
                <w:szCs w:val="18"/>
              </w:rPr>
              <w:t>8.Efecto de la transformación digital y la inteligencia artificial en el comportamiento, las competencias y el empleo de las personas. (C)</w:t>
            </w:r>
          </w:p>
          <w:p w14:paraId="6F38E3F1" w14:textId="77777777" w:rsidR="00990B14" w:rsidRDefault="00000000">
            <w:pPr>
              <w:spacing w:after="40"/>
              <w:jc w:val="both"/>
            </w:pPr>
            <w:r>
              <w:rPr>
                <w:sz w:val="18"/>
                <w:szCs w:val="18"/>
              </w:rPr>
              <w:t>9.Plan de negocios: concepto, finalidad y estructura del documento. (C)</w:t>
            </w:r>
          </w:p>
          <w:p w14:paraId="748D9726" w14:textId="77777777" w:rsidR="00990B14" w:rsidRDefault="00000000">
            <w:pPr>
              <w:spacing w:after="40"/>
              <w:jc w:val="both"/>
            </w:pPr>
            <w:r>
              <w:rPr>
                <w:sz w:val="18"/>
                <w:szCs w:val="18"/>
              </w:rPr>
              <w:t>10.Estudio de mercado y plan comercial del negocio. (C, P)</w:t>
            </w:r>
          </w:p>
          <w:p w14:paraId="76EC7DB8" w14:textId="77777777" w:rsidR="00990B14" w:rsidRDefault="00000000">
            <w:pPr>
              <w:spacing w:after="40"/>
              <w:jc w:val="both"/>
            </w:pPr>
            <w:r>
              <w:rPr>
                <w:sz w:val="18"/>
                <w:szCs w:val="18"/>
              </w:rPr>
              <w:t>11.Plan técnico y operativo: procesos, capacidad y recursos requeridos. (C, P)</w:t>
            </w:r>
          </w:p>
          <w:p w14:paraId="699FF1DB" w14:textId="77777777" w:rsidR="00990B14" w:rsidRDefault="00000000">
            <w:pPr>
              <w:spacing w:after="40"/>
              <w:jc w:val="both"/>
            </w:pPr>
            <w:r>
              <w:rPr>
                <w:sz w:val="18"/>
                <w:szCs w:val="18"/>
              </w:rPr>
              <w:t>12.Plan organizacional: estructura, talento humano y cultura del nuevo negocio. (C, P)</w:t>
            </w:r>
          </w:p>
          <w:p w14:paraId="380E3BB2" w14:textId="77777777" w:rsidR="00990B14" w:rsidRDefault="00000000">
            <w:pPr>
              <w:spacing w:after="40"/>
              <w:jc w:val="both"/>
            </w:pPr>
            <w:r>
              <w:rPr>
                <w:sz w:val="18"/>
                <w:szCs w:val="18"/>
              </w:rPr>
              <w:t>13.Estimación económica básica del negocio: inversión inicial requerida, fuentes de financiamiento e ingresos y costos esperados. (C)</w:t>
            </w:r>
          </w:p>
          <w:p w14:paraId="1514ED0A" w14:textId="77777777" w:rsidR="00990B14" w:rsidRDefault="00000000">
            <w:pPr>
              <w:spacing w:after="40"/>
              <w:jc w:val="both"/>
            </w:pPr>
            <w:r>
              <w:rPr>
                <w:sz w:val="18"/>
                <w:szCs w:val="18"/>
              </w:rPr>
              <w:t>14.Presentación ejecutiva del plan de negocios con claridad, veracidad y trabajo en equipo. (P, A)</w:t>
            </w:r>
          </w:p>
        </w:tc>
        <w:tc>
          <w:tcPr>
            <w:tcW w:w="2752" w:type="dxa"/>
            <w:gridSpan w:val="3"/>
            <w:shd w:val="clear" w:color="auto" w:fill="D9E2F3"/>
          </w:tcPr>
          <w:p w14:paraId="5ED65626" w14:textId="77777777" w:rsidR="00990B14" w:rsidRDefault="00000000">
            <w:pPr>
              <w:numPr>
                <w:ilvl w:val="0"/>
                <w:numId w:val="139"/>
              </w:numPr>
              <w:spacing w:before="10" w:after="10"/>
              <w:jc w:val="both"/>
            </w:pPr>
            <w:r>
              <w:rPr>
                <w:sz w:val="18"/>
                <w:szCs w:val="18"/>
              </w:rPr>
              <w:t>Los sistemas de información, el uso del ordenador y la información integrada como antecedente de la transformación digital.</w:t>
            </w:r>
          </w:p>
          <w:p w14:paraId="5FB3CE83" w14:textId="77777777" w:rsidR="00990B14" w:rsidRDefault="00000000">
            <w:pPr>
              <w:numPr>
                <w:ilvl w:val="0"/>
                <w:numId w:val="139"/>
              </w:numPr>
              <w:spacing w:before="10" w:after="10"/>
              <w:jc w:val="both"/>
            </w:pPr>
            <w:r>
              <w:rPr>
                <w:sz w:val="18"/>
                <w:szCs w:val="18"/>
              </w:rPr>
              <w:t>El proceso administrativo como estructura de los planes técnico, operativo y organizacional del plan de negocios.</w:t>
            </w:r>
          </w:p>
          <w:p w14:paraId="10066836" w14:textId="77777777" w:rsidR="00990B14" w:rsidRDefault="00000000">
            <w:pPr>
              <w:numPr>
                <w:ilvl w:val="0"/>
                <w:numId w:val="139"/>
              </w:numPr>
              <w:spacing w:before="10" w:after="10"/>
              <w:jc w:val="both"/>
            </w:pPr>
            <w:r>
              <w:rPr>
                <w:sz w:val="18"/>
                <w:szCs w:val="18"/>
              </w:rPr>
              <w:t>El sistema de planificación y el esquema gradual de los planes como base de la elaboración del plan de negocios.</w:t>
            </w:r>
          </w:p>
          <w:p w14:paraId="60D89351" w14:textId="77777777" w:rsidR="00990B14" w:rsidRDefault="00000000">
            <w:pPr>
              <w:numPr>
                <w:ilvl w:val="0"/>
                <w:numId w:val="139"/>
              </w:numPr>
              <w:spacing w:before="10" w:after="10"/>
              <w:jc w:val="both"/>
            </w:pPr>
            <w:r>
              <w:rPr>
                <w:sz w:val="18"/>
                <w:szCs w:val="18"/>
              </w:rPr>
              <w:t>Criterios de gobernanza de datos para el uso ético, transparente y responsable de la inteligencia artificial.</w:t>
            </w:r>
          </w:p>
          <w:p w14:paraId="6F987100" w14:textId="77777777" w:rsidR="00990B14" w:rsidRDefault="00000000">
            <w:pPr>
              <w:numPr>
                <w:ilvl w:val="0"/>
                <w:numId w:val="139"/>
              </w:numPr>
              <w:spacing w:before="10" w:after="10"/>
              <w:jc w:val="both"/>
            </w:pPr>
            <w:r>
              <w:rPr>
                <w:sz w:val="18"/>
                <w:szCs w:val="18"/>
              </w:rPr>
              <w:t>Experiencia con chatbot de acuerdo al modelo de negocios.</w:t>
            </w:r>
          </w:p>
        </w:tc>
      </w:tr>
    </w:tbl>
    <w:p w14:paraId="53FFCBAD"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2109"/>
        <w:gridCol w:w="1805"/>
        <w:gridCol w:w="1805"/>
        <w:gridCol w:w="1805"/>
        <w:gridCol w:w="1881"/>
      </w:tblGrid>
      <w:tr w:rsidR="00990B14" w14:paraId="7D648AF0" w14:textId="77777777">
        <w:trPr>
          <w:cantSplit/>
          <w:jc w:val="center"/>
        </w:trPr>
        <w:tc>
          <w:tcPr>
            <w:tcW w:w="9405" w:type="dxa"/>
            <w:gridSpan w:val="5"/>
            <w:shd w:val="clear" w:color="auto" w:fill="4472C4"/>
            <w:vAlign w:val="center"/>
          </w:tcPr>
          <w:p w14:paraId="17359367" w14:textId="77777777" w:rsidR="00990B14" w:rsidRDefault="00000000">
            <w:pPr>
              <w:keepNext/>
              <w:spacing w:before="20" w:after="20"/>
              <w:jc w:val="center"/>
            </w:pPr>
            <w:r>
              <w:rPr>
                <w:b/>
                <w:bCs/>
                <w:i/>
                <w:iCs/>
                <w:color w:val="FFFFFF"/>
                <w:sz w:val="18"/>
                <w:szCs w:val="18"/>
              </w:rPr>
              <w:t>Actividades</w:t>
            </w:r>
          </w:p>
        </w:tc>
      </w:tr>
      <w:tr w:rsidR="00990B14" w14:paraId="75CA11C5" w14:textId="77777777">
        <w:trPr>
          <w:cantSplit/>
          <w:jc w:val="center"/>
        </w:trPr>
        <w:tc>
          <w:tcPr>
            <w:tcW w:w="2109" w:type="dxa"/>
            <w:shd w:val="clear" w:color="auto" w:fill="4472C4"/>
            <w:vAlign w:val="center"/>
          </w:tcPr>
          <w:p w14:paraId="1533260E" w14:textId="77777777" w:rsidR="00990B14" w:rsidRDefault="00000000">
            <w:pPr>
              <w:keepNext/>
              <w:spacing w:before="20" w:after="20"/>
              <w:jc w:val="center"/>
            </w:pPr>
            <w:r>
              <w:rPr>
                <w:b/>
                <w:bCs/>
                <w:i/>
                <w:iCs/>
                <w:color w:val="FFFFFF"/>
                <w:sz w:val="18"/>
                <w:szCs w:val="18"/>
              </w:rPr>
              <w:t>En clase</w:t>
            </w:r>
          </w:p>
        </w:tc>
        <w:tc>
          <w:tcPr>
            <w:tcW w:w="1805" w:type="dxa"/>
            <w:shd w:val="clear" w:color="auto" w:fill="4472C4"/>
            <w:vAlign w:val="center"/>
          </w:tcPr>
          <w:p w14:paraId="6647AD24" w14:textId="77777777" w:rsidR="00990B14" w:rsidRDefault="00000000">
            <w:pPr>
              <w:keepNext/>
              <w:spacing w:before="20" w:after="20"/>
              <w:jc w:val="center"/>
            </w:pPr>
            <w:r>
              <w:rPr>
                <w:b/>
                <w:bCs/>
                <w:i/>
                <w:iCs/>
                <w:color w:val="FFFFFF"/>
                <w:sz w:val="18"/>
                <w:szCs w:val="18"/>
              </w:rPr>
              <w:t>Autónomas</w:t>
            </w:r>
          </w:p>
        </w:tc>
        <w:tc>
          <w:tcPr>
            <w:tcW w:w="1805" w:type="dxa"/>
            <w:shd w:val="clear" w:color="auto" w:fill="4472C4"/>
            <w:vAlign w:val="center"/>
          </w:tcPr>
          <w:p w14:paraId="66CA37E9" w14:textId="77777777" w:rsidR="00990B14" w:rsidRDefault="00000000">
            <w:pPr>
              <w:keepNext/>
              <w:spacing w:before="20" w:after="20"/>
              <w:jc w:val="center"/>
            </w:pPr>
            <w:r>
              <w:rPr>
                <w:b/>
                <w:bCs/>
                <w:i/>
                <w:iCs/>
                <w:color w:val="FFFFFF"/>
                <w:sz w:val="18"/>
                <w:szCs w:val="18"/>
              </w:rPr>
              <w:t>B-Learning</w:t>
            </w:r>
          </w:p>
        </w:tc>
        <w:tc>
          <w:tcPr>
            <w:tcW w:w="1805" w:type="dxa"/>
            <w:shd w:val="clear" w:color="auto" w:fill="4472C4"/>
            <w:vAlign w:val="center"/>
          </w:tcPr>
          <w:p w14:paraId="76CFCCD1" w14:textId="77777777" w:rsidR="00990B14" w:rsidRDefault="00000000">
            <w:pPr>
              <w:keepNext/>
              <w:spacing w:before="20" w:after="20"/>
              <w:jc w:val="center"/>
            </w:pPr>
            <w:r>
              <w:rPr>
                <w:b/>
                <w:bCs/>
                <w:i/>
                <w:iCs/>
                <w:color w:val="FFFFFF"/>
                <w:sz w:val="18"/>
                <w:szCs w:val="18"/>
              </w:rPr>
              <w:t>Taller</w:t>
            </w:r>
          </w:p>
        </w:tc>
        <w:tc>
          <w:tcPr>
            <w:tcW w:w="1881" w:type="dxa"/>
            <w:shd w:val="clear" w:color="auto" w:fill="4472C4"/>
            <w:vAlign w:val="center"/>
          </w:tcPr>
          <w:p w14:paraId="1CF172B4" w14:textId="77777777" w:rsidR="00990B14" w:rsidRDefault="00000000">
            <w:pPr>
              <w:keepNext/>
              <w:spacing w:before="20" w:after="20"/>
              <w:jc w:val="center"/>
            </w:pPr>
            <w:r>
              <w:rPr>
                <w:b/>
                <w:bCs/>
                <w:i/>
                <w:iCs/>
                <w:color w:val="FFFFFF"/>
                <w:sz w:val="18"/>
                <w:szCs w:val="18"/>
              </w:rPr>
              <w:t>Investigación/Práctica</w:t>
            </w:r>
          </w:p>
        </w:tc>
      </w:tr>
      <w:tr w:rsidR="00990B14" w14:paraId="5F93971C" w14:textId="77777777">
        <w:trPr>
          <w:jc w:val="center"/>
        </w:trPr>
        <w:tc>
          <w:tcPr>
            <w:tcW w:w="2109" w:type="dxa"/>
            <w:shd w:val="clear" w:color="auto" w:fill="D9E2F3"/>
          </w:tcPr>
          <w:p w14:paraId="64189D1D" w14:textId="77777777" w:rsidR="00990B14" w:rsidRDefault="00000000">
            <w:pPr>
              <w:numPr>
                <w:ilvl w:val="0"/>
                <w:numId w:val="139"/>
              </w:numPr>
              <w:spacing w:before="10" w:after="10"/>
              <w:jc w:val="both"/>
            </w:pPr>
            <w:r>
              <w:rPr>
                <w:sz w:val="18"/>
                <w:szCs w:val="18"/>
              </w:rPr>
              <w:t>Clases expositivas teórico-prácticas.</w:t>
            </w:r>
          </w:p>
          <w:p w14:paraId="1F5046C4" w14:textId="77777777" w:rsidR="00990B14" w:rsidRDefault="00000000">
            <w:pPr>
              <w:numPr>
                <w:ilvl w:val="0"/>
                <w:numId w:val="139"/>
              </w:numPr>
              <w:spacing w:before="10" w:after="10"/>
              <w:jc w:val="both"/>
            </w:pPr>
            <w:r>
              <w:rPr>
                <w:sz w:val="18"/>
                <w:szCs w:val="18"/>
              </w:rPr>
              <w:t>Método de casos.</w:t>
            </w:r>
          </w:p>
          <w:p w14:paraId="65B78FE3" w14:textId="77777777" w:rsidR="00990B14" w:rsidRDefault="00000000">
            <w:pPr>
              <w:numPr>
                <w:ilvl w:val="0"/>
                <w:numId w:val="139"/>
              </w:numPr>
              <w:spacing w:before="10" w:after="10"/>
              <w:jc w:val="both"/>
            </w:pPr>
            <w:r>
              <w:rPr>
                <w:sz w:val="18"/>
                <w:szCs w:val="18"/>
              </w:rPr>
              <w:t>Análisis de videos sobre motivación y visión, y de películas sobre liderazgo.</w:t>
            </w:r>
          </w:p>
          <w:p w14:paraId="4E17EAA1" w14:textId="77777777" w:rsidR="00990B14" w:rsidRDefault="00000000">
            <w:pPr>
              <w:numPr>
                <w:ilvl w:val="0"/>
                <w:numId w:val="139"/>
              </w:numPr>
              <w:spacing w:before="10" w:after="10"/>
              <w:jc w:val="both"/>
            </w:pPr>
            <w:r>
              <w:rPr>
                <w:sz w:val="18"/>
                <w:szCs w:val="18"/>
              </w:rPr>
              <w:t>Preguntas de comprensión y resolución guiada de ejercicios al cierre de cada tema.</w:t>
            </w:r>
          </w:p>
        </w:tc>
        <w:tc>
          <w:tcPr>
            <w:tcW w:w="1805" w:type="dxa"/>
            <w:shd w:val="clear" w:color="auto" w:fill="D9E2F3"/>
          </w:tcPr>
          <w:p w14:paraId="0691034D" w14:textId="77777777" w:rsidR="00990B14" w:rsidRDefault="00000000">
            <w:pPr>
              <w:numPr>
                <w:ilvl w:val="0"/>
                <w:numId w:val="139"/>
              </w:numPr>
              <w:spacing w:before="10" w:after="10"/>
              <w:jc w:val="both"/>
            </w:pPr>
            <w:r>
              <w:rPr>
                <w:sz w:val="18"/>
                <w:szCs w:val="18"/>
              </w:rPr>
              <w:t>Resolución de ejercicios y casos al cierre de cada tema.</w:t>
            </w:r>
          </w:p>
          <w:p w14:paraId="0438482A" w14:textId="77777777" w:rsidR="00990B14" w:rsidRDefault="00000000">
            <w:pPr>
              <w:numPr>
                <w:ilvl w:val="0"/>
                <w:numId w:val="139"/>
              </w:numPr>
              <w:spacing w:before="10" w:after="10"/>
              <w:jc w:val="both"/>
            </w:pPr>
            <w:r>
              <w:rPr>
                <w:sz w:val="18"/>
                <w:szCs w:val="18"/>
              </w:rPr>
              <w:t>Lectura de los textos de comportamiento organizacional, desarrollo organizacional, gestión estratégica y emprendimiento asignados por la cátedra.</w:t>
            </w:r>
          </w:p>
          <w:p w14:paraId="7E3526A8" w14:textId="77777777" w:rsidR="00990B14" w:rsidRDefault="00000000">
            <w:pPr>
              <w:numPr>
                <w:ilvl w:val="0"/>
                <w:numId w:val="139"/>
              </w:numPr>
              <w:spacing w:before="10" w:after="10"/>
              <w:jc w:val="both"/>
            </w:pPr>
            <w:r>
              <w:rPr>
                <w:sz w:val="18"/>
                <w:szCs w:val="18"/>
              </w:rPr>
              <w:t>Avance progresivo del caso práctico integral sobre una misma organización.</w:t>
            </w:r>
          </w:p>
          <w:p w14:paraId="5818EC19" w14:textId="77777777" w:rsidR="00990B14" w:rsidRDefault="00000000">
            <w:pPr>
              <w:numPr>
                <w:ilvl w:val="0"/>
                <w:numId w:val="139"/>
              </w:numPr>
              <w:spacing w:before="10" w:after="10"/>
              <w:jc w:val="both"/>
            </w:pPr>
            <w:r>
              <w:rPr>
                <w:sz w:val="18"/>
                <w:szCs w:val="18"/>
              </w:rPr>
              <w:t>Avance progresivo del modelo de negocio y del plan de negocios del equipo.</w:t>
            </w:r>
          </w:p>
        </w:tc>
        <w:tc>
          <w:tcPr>
            <w:tcW w:w="1805" w:type="dxa"/>
            <w:shd w:val="clear" w:color="auto" w:fill="D9E2F3"/>
          </w:tcPr>
          <w:p w14:paraId="4F2658AB" w14:textId="77777777" w:rsidR="00990B14" w:rsidRDefault="00000000">
            <w:pPr>
              <w:numPr>
                <w:ilvl w:val="0"/>
                <w:numId w:val="139"/>
              </w:numPr>
              <w:spacing w:before="10" w:after="10"/>
              <w:jc w:val="both"/>
            </w:pPr>
            <w:r>
              <w:rPr>
                <w:sz w:val="18"/>
                <w:szCs w:val="18"/>
              </w:rPr>
              <w:t>Consultas de artículos en el aula virtual.</w:t>
            </w:r>
          </w:p>
          <w:p w14:paraId="0D246CF1" w14:textId="77777777" w:rsidR="00990B14" w:rsidRDefault="00000000">
            <w:pPr>
              <w:numPr>
                <w:ilvl w:val="0"/>
                <w:numId w:val="139"/>
              </w:numPr>
              <w:spacing w:before="10" w:after="10"/>
              <w:jc w:val="both"/>
            </w:pPr>
            <w:r>
              <w:rPr>
                <w:sz w:val="18"/>
                <w:szCs w:val="18"/>
              </w:rPr>
              <w:t>Cuestionarios de comprensión de cada tema en la plataforma que corresponda.</w:t>
            </w:r>
          </w:p>
          <w:p w14:paraId="497424B4" w14:textId="77777777" w:rsidR="00990B14" w:rsidRDefault="00000000">
            <w:pPr>
              <w:numPr>
                <w:ilvl w:val="0"/>
                <w:numId w:val="139"/>
              </w:numPr>
              <w:spacing w:before="10" w:after="10"/>
              <w:jc w:val="both"/>
            </w:pPr>
            <w:r>
              <w:rPr>
                <w:sz w:val="18"/>
                <w:szCs w:val="18"/>
              </w:rPr>
              <w:t>Foros sobre cultura, cambio organizacional, liderazgo y transformación digital.</w:t>
            </w:r>
          </w:p>
          <w:p w14:paraId="07B0EE5A" w14:textId="77777777" w:rsidR="00990B14" w:rsidRDefault="00000000">
            <w:pPr>
              <w:numPr>
                <w:ilvl w:val="0"/>
                <w:numId w:val="139"/>
              </w:numPr>
              <w:spacing w:before="10" w:after="10"/>
              <w:jc w:val="both"/>
            </w:pPr>
            <w:r>
              <w:rPr>
                <w:sz w:val="18"/>
                <w:szCs w:val="18"/>
              </w:rPr>
              <w:t>Videotutoriales de árboles de decisión, tableros de indicadores y lienzo del modelo de negocio.</w:t>
            </w:r>
          </w:p>
        </w:tc>
        <w:tc>
          <w:tcPr>
            <w:tcW w:w="1805" w:type="dxa"/>
            <w:shd w:val="clear" w:color="auto" w:fill="D9E2F3"/>
          </w:tcPr>
          <w:p w14:paraId="29B4A7D2" w14:textId="77777777" w:rsidR="00990B14" w:rsidRDefault="00000000">
            <w:pPr>
              <w:numPr>
                <w:ilvl w:val="0"/>
                <w:numId w:val="139"/>
              </w:numPr>
              <w:spacing w:before="10" w:after="10"/>
              <w:jc w:val="both"/>
            </w:pPr>
            <w:r>
              <w:rPr>
                <w:sz w:val="18"/>
                <w:szCs w:val="18"/>
              </w:rPr>
              <w:t>Trabajos en grupo, role-playing y dinámicas de grupo.</w:t>
            </w:r>
          </w:p>
          <w:p w14:paraId="1296F4D0" w14:textId="77777777" w:rsidR="00990B14" w:rsidRDefault="00000000">
            <w:pPr>
              <w:numPr>
                <w:ilvl w:val="0"/>
                <w:numId w:val="139"/>
              </w:numPr>
              <w:spacing w:before="10" w:after="10"/>
              <w:jc w:val="both"/>
            </w:pPr>
            <w:r>
              <w:rPr>
                <w:sz w:val="18"/>
                <w:szCs w:val="18"/>
              </w:rPr>
              <w:t>Simulación de un conflicto y de su negociación con roles asignados.</w:t>
            </w:r>
          </w:p>
          <w:p w14:paraId="443A9B04" w14:textId="77777777" w:rsidR="00990B14" w:rsidRDefault="00000000">
            <w:pPr>
              <w:numPr>
                <w:ilvl w:val="0"/>
                <w:numId w:val="139"/>
              </w:numPr>
              <w:spacing w:before="10" w:after="10"/>
              <w:jc w:val="both"/>
            </w:pPr>
            <w:r>
              <w:rPr>
                <w:sz w:val="18"/>
                <w:szCs w:val="18"/>
              </w:rPr>
              <w:t>Elaboración guiada del diagnóstico, del plan de intervención y del plan de implementación.</w:t>
            </w:r>
          </w:p>
          <w:p w14:paraId="1759BEEC" w14:textId="77777777" w:rsidR="00990B14" w:rsidRDefault="00000000">
            <w:pPr>
              <w:numPr>
                <w:ilvl w:val="0"/>
                <w:numId w:val="139"/>
              </w:numPr>
              <w:spacing w:before="10" w:after="10"/>
              <w:jc w:val="both"/>
            </w:pPr>
            <w:r>
              <w:rPr>
                <w:sz w:val="18"/>
                <w:szCs w:val="18"/>
              </w:rPr>
              <w:t>Sesiones de creatividad para generar ideas de negocio y pitch ejecutivo del plan de negocios.</w:t>
            </w:r>
          </w:p>
          <w:p w14:paraId="68FE2EBC" w14:textId="77777777" w:rsidR="00990B14" w:rsidRDefault="00000000">
            <w:pPr>
              <w:numPr>
                <w:ilvl w:val="0"/>
                <w:numId w:val="139"/>
              </w:numPr>
              <w:spacing w:before="10" w:after="10"/>
              <w:jc w:val="both"/>
            </w:pPr>
            <w:r>
              <w:rPr>
                <w:sz w:val="18"/>
                <w:szCs w:val="18"/>
              </w:rPr>
              <w:t>Discusión de un dilema ético del ambiente laboral y de las vías de denuncia disponibles.</w:t>
            </w:r>
          </w:p>
        </w:tc>
        <w:tc>
          <w:tcPr>
            <w:tcW w:w="1881" w:type="dxa"/>
            <w:shd w:val="clear" w:color="auto" w:fill="D9E2F3"/>
          </w:tcPr>
          <w:p w14:paraId="7A53DBAD" w14:textId="77777777" w:rsidR="00990B14" w:rsidRDefault="00000000">
            <w:pPr>
              <w:numPr>
                <w:ilvl w:val="0"/>
                <w:numId w:val="139"/>
              </w:numPr>
              <w:spacing w:before="10" w:after="10"/>
              <w:jc w:val="both"/>
            </w:pPr>
            <w:r>
              <w:rPr>
                <w:sz w:val="18"/>
                <w:szCs w:val="18"/>
              </w:rPr>
              <w:t>Trabajo de investigación en empresas del medio.</w:t>
            </w:r>
          </w:p>
          <w:p w14:paraId="7E1F85F0" w14:textId="77777777" w:rsidR="00990B14" w:rsidRDefault="00000000">
            <w:pPr>
              <w:numPr>
                <w:ilvl w:val="0"/>
                <w:numId w:val="139"/>
              </w:numPr>
              <w:spacing w:before="10" w:after="10"/>
              <w:jc w:val="both"/>
            </w:pPr>
            <w:r>
              <w:rPr>
                <w:sz w:val="18"/>
                <w:szCs w:val="18"/>
              </w:rPr>
              <w:t>Medición del clima organizacional de una organización con una prueba piloto.</w:t>
            </w:r>
          </w:p>
          <w:p w14:paraId="1A623F67" w14:textId="77777777" w:rsidR="00990B14" w:rsidRDefault="00000000">
            <w:pPr>
              <w:numPr>
                <w:ilvl w:val="0"/>
                <w:numId w:val="139"/>
              </w:numPr>
              <w:spacing w:before="10" w:after="10"/>
              <w:jc w:val="both"/>
            </w:pPr>
            <w:r>
              <w:rPr>
                <w:sz w:val="18"/>
                <w:szCs w:val="18"/>
              </w:rPr>
              <w:t>Diagnóstico estratégico de una empresa.</w:t>
            </w:r>
          </w:p>
          <w:p w14:paraId="46270598" w14:textId="77777777" w:rsidR="00990B14" w:rsidRDefault="00000000">
            <w:pPr>
              <w:numPr>
                <w:ilvl w:val="0"/>
                <w:numId w:val="139"/>
              </w:numPr>
              <w:spacing w:before="10" w:after="10"/>
              <w:jc w:val="both"/>
            </w:pPr>
            <w:r>
              <w:rPr>
                <w:sz w:val="18"/>
                <w:szCs w:val="18"/>
              </w:rPr>
              <w:t>Validación de hipótesis de valor del modelo de negocio con consumidores reales.</w:t>
            </w:r>
          </w:p>
          <w:p w14:paraId="620E7461" w14:textId="77777777" w:rsidR="00990B14" w:rsidRDefault="00000000">
            <w:pPr>
              <w:numPr>
                <w:ilvl w:val="0"/>
                <w:numId w:val="139"/>
              </w:numPr>
              <w:spacing w:before="10" w:after="10"/>
              <w:jc w:val="both"/>
            </w:pPr>
            <w:r>
              <w:rPr>
                <w:sz w:val="18"/>
                <w:szCs w:val="18"/>
              </w:rPr>
              <w:t>Extensión universitaria: proyecto de interacción social “Impulsando el Desarrollo Organizacional y el Comportamiento Organizacional en las Instituciones”, con stands de difusión y feria de planes de negocio en el atrio de la Universidad o en sesión virtual.</w:t>
            </w:r>
          </w:p>
        </w:tc>
      </w:tr>
    </w:tbl>
    <w:p w14:paraId="3C190043"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635"/>
        <w:gridCol w:w="1910"/>
        <w:gridCol w:w="1910"/>
        <w:gridCol w:w="1830"/>
        <w:gridCol w:w="2120"/>
      </w:tblGrid>
      <w:tr w:rsidR="00990B14" w14:paraId="0294EE8D" w14:textId="77777777">
        <w:trPr>
          <w:jc w:val="center"/>
        </w:trPr>
        <w:tc>
          <w:tcPr>
            <w:tcW w:w="1635" w:type="dxa"/>
            <w:shd w:val="clear" w:color="auto" w:fill="4472C4"/>
            <w:vAlign w:val="center"/>
          </w:tcPr>
          <w:p w14:paraId="262BE42E" w14:textId="77777777" w:rsidR="00990B14" w:rsidRDefault="00000000">
            <w:pPr>
              <w:spacing w:before="20" w:after="20"/>
              <w:jc w:val="center"/>
            </w:pPr>
            <w:r>
              <w:rPr>
                <w:b/>
                <w:bCs/>
                <w:i/>
                <w:iCs/>
                <w:color w:val="FFFFFF"/>
                <w:sz w:val="18"/>
                <w:szCs w:val="18"/>
              </w:rPr>
              <w:t>Estrategias de aprendizaje y enseñanza</w:t>
            </w:r>
          </w:p>
        </w:tc>
        <w:tc>
          <w:tcPr>
            <w:tcW w:w="7770" w:type="dxa"/>
            <w:gridSpan w:val="4"/>
            <w:shd w:val="clear" w:color="auto" w:fill="D9E2F3"/>
            <w:vAlign w:val="center"/>
          </w:tcPr>
          <w:p w14:paraId="7CDD8A61" w14:textId="77777777" w:rsidR="00990B14" w:rsidRDefault="00000000">
            <w:pPr>
              <w:numPr>
                <w:ilvl w:val="0"/>
                <w:numId w:val="140"/>
              </w:numPr>
              <w:spacing w:before="10" w:after="10"/>
              <w:jc w:val="both"/>
            </w:pPr>
            <w:r>
              <w:rPr>
                <w:sz w:val="18"/>
                <w:szCs w:val="18"/>
              </w:rPr>
              <w:t>Aprendizaje basado en problemas con casos de organizaciones bolivianas.</w:t>
            </w:r>
          </w:p>
          <w:p w14:paraId="5A12AAFD" w14:textId="77777777" w:rsidR="00990B14" w:rsidRDefault="00000000">
            <w:pPr>
              <w:numPr>
                <w:ilvl w:val="0"/>
                <w:numId w:val="140"/>
              </w:numPr>
              <w:spacing w:before="10" w:after="10"/>
              <w:jc w:val="both"/>
            </w:pPr>
            <w:r>
              <w:rPr>
                <w:sz w:val="18"/>
                <w:szCs w:val="18"/>
              </w:rPr>
              <w:t>Caso práctico integral sobre una misma organización que recorre el diagnóstico, la cultura, el cambio y la decisión gerencial.</w:t>
            </w:r>
          </w:p>
          <w:p w14:paraId="1936A094" w14:textId="77777777" w:rsidR="00990B14" w:rsidRDefault="00000000">
            <w:pPr>
              <w:numPr>
                <w:ilvl w:val="0"/>
                <w:numId w:val="140"/>
              </w:numPr>
              <w:spacing w:before="10" w:after="10"/>
              <w:jc w:val="both"/>
            </w:pPr>
            <w:r>
              <w:rPr>
                <w:sz w:val="18"/>
                <w:szCs w:val="18"/>
              </w:rPr>
              <w:t>Aprendizaje basado en proyectos: modelo de negocio y plan de negocios elaborados por equipos a lo largo de la gestión.</w:t>
            </w:r>
          </w:p>
          <w:p w14:paraId="5FBAFA1F" w14:textId="77777777" w:rsidR="00990B14" w:rsidRDefault="00000000">
            <w:pPr>
              <w:numPr>
                <w:ilvl w:val="0"/>
                <w:numId w:val="140"/>
              </w:numPr>
              <w:spacing w:before="10" w:after="10"/>
              <w:jc w:val="both"/>
            </w:pPr>
            <w:r>
              <w:rPr>
                <w:sz w:val="18"/>
                <w:szCs w:val="18"/>
              </w:rPr>
              <w:t>Simulaciones, trabajos en grupo y método de casos.</w:t>
            </w:r>
          </w:p>
          <w:p w14:paraId="231A657C" w14:textId="77777777" w:rsidR="00990B14" w:rsidRDefault="00000000">
            <w:pPr>
              <w:numPr>
                <w:ilvl w:val="0"/>
                <w:numId w:val="140"/>
              </w:numPr>
              <w:spacing w:before="10" w:after="10"/>
              <w:jc w:val="both"/>
            </w:pPr>
            <w:r>
              <w:rPr>
                <w:sz w:val="18"/>
                <w:szCs w:val="18"/>
              </w:rPr>
              <w:t>Clase invertida para los contenidos introductorios y conceptuales de cada tema.</w:t>
            </w:r>
          </w:p>
          <w:p w14:paraId="46B400F1" w14:textId="77777777" w:rsidR="00990B14" w:rsidRDefault="00000000">
            <w:pPr>
              <w:numPr>
                <w:ilvl w:val="0"/>
                <w:numId w:val="140"/>
              </w:numPr>
              <w:spacing w:before="10" w:after="10"/>
              <w:jc w:val="both"/>
            </w:pPr>
            <w:r>
              <w:rPr>
                <w:sz w:val="18"/>
                <w:szCs w:val="18"/>
              </w:rPr>
              <w:t>Uso guiado de hoja de cálculo, herramientas de inteligencia de negocios e inteligencia artificial generativa, con verificación de sus resultados.</w:t>
            </w:r>
          </w:p>
        </w:tc>
      </w:tr>
      <w:tr w:rsidR="00990B14" w14:paraId="62BA392B" w14:textId="77777777">
        <w:trPr>
          <w:jc w:val="center"/>
        </w:trPr>
        <w:tc>
          <w:tcPr>
            <w:tcW w:w="1635" w:type="dxa"/>
            <w:shd w:val="clear" w:color="auto" w:fill="4472C4"/>
            <w:vAlign w:val="center"/>
          </w:tcPr>
          <w:p w14:paraId="26905843" w14:textId="77777777" w:rsidR="00990B14" w:rsidRDefault="00000000">
            <w:pPr>
              <w:spacing w:before="20" w:after="20"/>
              <w:jc w:val="center"/>
            </w:pPr>
            <w:r>
              <w:rPr>
                <w:b/>
                <w:bCs/>
                <w:i/>
                <w:iCs/>
                <w:color w:val="FFFFFF"/>
                <w:sz w:val="18"/>
                <w:szCs w:val="18"/>
              </w:rPr>
              <w:t>Recursos para el aprendizaje</w:t>
            </w:r>
          </w:p>
        </w:tc>
        <w:tc>
          <w:tcPr>
            <w:tcW w:w="7770" w:type="dxa"/>
            <w:gridSpan w:val="4"/>
            <w:shd w:val="clear" w:color="auto" w:fill="D9E2F3"/>
            <w:vAlign w:val="center"/>
          </w:tcPr>
          <w:p w14:paraId="0A96CF4C" w14:textId="77777777" w:rsidR="00990B14" w:rsidRDefault="00000000">
            <w:pPr>
              <w:numPr>
                <w:ilvl w:val="0"/>
                <w:numId w:val="140"/>
              </w:numPr>
              <w:spacing w:before="10" w:after="10"/>
              <w:jc w:val="both"/>
            </w:pPr>
            <w:r>
              <w:rPr>
                <w:sz w:val="18"/>
                <w:szCs w:val="18"/>
              </w:rPr>
              <w:t>Plataforma Moodle UMSA.</w:t>
            </w:r>
          </w:p>
          <w:p w14:paraId="569B4FA1" w14:textId="77777777" w:rsidR="00990B14" w:rsidRDefault="00000000">
            <w:pPr>
              <w:numPr>
                <w:ilvl w:val="0"/>
                <w:numId w:val="140"/>
              </w:numPr>
              <w:spacing w:before="10" w:after="10"/>
              <w:jc w:val="both"/>
            </w:pPr>
            <w:r>
              <w:rPr>
                <w:sz w:val="18"/>
                <w:szCs w:val="18"/>
              </w:rPr>
              <w:t>Libros, artículos, videos e imágenes.</w:t>
            </w:r>
          </w:p>
          <w:p w14:paraId="1F4AB619" w14:textId="77777777" w:rsidR="00990B14" w:rsidRDefault="00000000">
            <w:pPr>
              <w:numPr>
                <w:ilvl w:val="0"/>
                <w:numId w:val="140"/>
              </w:numPr>
              <w:spacing w:before="10" w:after="10"/>
              <w:jc w:val="both"/>
            </w:pPr>
            <w:r>
              <w:rPr>
                <w:sz w:val="18"/>
                <w:szCs w:val="18"/>
              </w:rPr>
              <w:t>Textos de comportamiento organizacional, desarrollo organizacional, gestión estratégica y emprendimiento de la bibliografía básica.</w:t>
            </w:r>
          </w:p>
          <w:p w14:paraId="1038920F" w14:textId="77777777" w:rsidR="00990B14" w:rsidRDefault="00000000">
            <w:pPr>
              <w:numPr>
                <w:ilvl w:val="0"/>
                <w:numId w:val="140"/>
              </w:numPr>
              <w:spacing w:before="10" w:after="10"/>
              <w:jc w:val="both"/>
            </w:pPr>
            <w:r>
              <w:rPr>
                <w:sz w:val="18"/>
                <w:szCs w:val="18"/>
              </w:rPr>
              <w:t>Guías de ejercicios y casos elaborados por la cátedra.</w:t>
            </w:r>
          </w:p>
          <w:p w14:paraId="65480D08" w14:textId="77777777" w:rsidR="00990B14" w:rsidRDefault="00000000">
            <w:pPr>
              <w:numPr>
                <w:ilvl w:val="0"/>
                <w:numId w:val="140"/>
              </w:numPr>
              <w:spacing w:before="10" w:after="10"/>
              <w:jc w:val="both"/>
            </w:pPr>
            <w:r>
              <w:rPr>
                <w:sz w:val="18"/>
                <w:szCs w:val="18"/>
              </w:rPr>
              <w:t>Casos de estudio de organizaciones bolivianas.</w:t>
            </w:r>
          </w:p>
          <w:p w14:paraId="1828E5F8" w14:textId="77777777" w:rsidR="00990B14" w:rsidRDefault="00000000">
            <w:pPr>
              <w:numPr>
                <w:ilvl w:val="0"/>
                <w:numId w:val="140"/>
              </w:numPr>
              <w:spacing w:before="10" w:after="10"/>
              <w:jc w:val="both"/>
            </w:pPr>
            <w:r>
              <w:rPr>
                <w:sz w:val="18"/>
                <w:szCs w:val="18"/>
              </w:rPr>
              <w:t>Hoja de cálculo para encuestas de clima e indicadores de talento humano.</w:t>
            </w:r>
          </w:p>
          <w:p w14:paraId="740B0A72" w14:textId="77777777" w:rsidR="00990B14" w:rsidRDefault="00000000">
            <w:pPr>
              <w:numPr>
                <w:ilvl w:val="0"/>
                <w:numId w:val="140"/>
              </w:numPr>
              <w:spacing w:before="10" w:after="10"/>
              <w:jc w:val="both"/>
            </w:pPr>
            <w:r>
              <w:rPr>
                <w:sz w:val="18"/>
                <w:szCs w:val="18"/>
              </w:rPr>
              <w:t>Plantilla del lienzo del modelo de negocio y del plan de negocios.</w:t>
            </w:r>
          </w:p>
          <w:p w14:paraId="669CAFD2" w14:textId="77777777" w:rsidR="00990B14" w:rsidRDefault="00000000">
            <w:pPr>
              <w:numPr>
                <w:ilvl w:val="0"/>
                <w:numId w:val="140"/>
              </w:numPr>
              <w:spacing w:before="10" w:after="10"/>
              <w:jc w:val="both"/>
            </w:pPr>
            <w:r>
              <w:rPr>
                <w:sz w:val="18"/>
                <w:szCs w:val="18"/>
              </w:rPr>
              <w:t>Herramientas de inteligencia de negocios e inteligencia artificial generativa.</w:t>
            </w:r>
          </w:p>
          <w:p w14:paraId="24120799" w14:textId="77777777" w:rsidR="00990B14" w:rsidRDefault="00000000">
            <w:pPr>
              <w:numPr>
                <w:ilvl w:val="0"/>
                <w:numId w:val="140"/>
              </w:numPr>
              <w:spacing w:before="10" w:after="10"/>
              <w:jc w:val="both"/>
            </w:pPr>
            <w:r>
              <w:rPr>
                <w:sz w:val="18"/>
                <w:szCs w:val="18"/>
              </w:rPr>
              <w:t>Informes sectoriales oficiales de instituciones bolivianas.</w:t>
            </w:r>
          </w:p>
        </w:tc>
      </w:tr>
      <w:tr w:rsidR="00990B14" w14:paraId="3B2B7FAB" w14:textId="77777777">
        <w:trPr>
          <w:jc w:val="center"/>
        </w:trPr>
        <w:tc>
          <w:tcPr>
            <w:tcW w:w="1635" w:type="dxa"/>
            <w:shd w:val="clear" w:color="auto" w:fill="4472C4"/>
            <w:vAlign w:val="center"/>
          </w:tcPr>
          <w:p w14:paraId="1D30167E" w14:textId="77777777" w:rsidR="00990B14" w:rsidRDefault="00000000">
            <w:pPr>
              <w:spacing w:before="20" w:after="20"/>
              <w:jc w:val="center"/>
            </w:pPr>
            <w:r>
              <w:rPr>
                <w:b/>
                <w:bCs/>
                <w:i/>
                <w:iCs/>
                <w:color w:val="FFFFFF"/>
                <w:sz w:val="18"/>
                <w:szCs w:val="18"/>
              </w:rPr>
              <w:t>Estrategias de evaluación</w:t>
            </w:r>
          </w:p>
        </w:tc>
        <w:tc>
          <w:tcPr>
            <w:tcW w:w="7770" w:type="dxa"/>
            <w:gridSpan w:val="4"/>
            <w:shd w:val="clear" w:color="auto" w:fill="D9E2F3"/>
            <w:vAlign w:val="center"/>
          </w:tcPr>
          <w:p w14:paraId="58DB9A84" w14:textId="77777777" w:rsidR="00990B14" w:rsidRDefault="00000000">
            <w:pPr>
              <w:numPr>
                <w:ilvl w:val="0"/>
                <w:numId w:val="140"/>
              </w:numPr>
              <w:spacing w:before="10" w:after="10"/>
              <w:jc w:val="both"/>
            </w:pPr>
            <w:r>
              <w:rPr>
                <w:sz w:val="18"/>
                <w:szCs w:val="18"/>
              </w:rPr>
              <w:t>Evaluación diagnóstica: prueba inicial sobre los conocimientos previos de administración de sistemas gerenciales.</w:t>
            </w:r>
          </w:p>
          <w:p w14:paraId="7BC3A360" w14:textId="77777777" w:rsidR="00990B14" w:rsidRDefault="00000000">
            <w:pPr>
              <w:numPr>
                <w:ilvl w:val="0"/>
                <w:numId w:val="140"/>
              </w:numPr>
              <w:spacing w:before="10" w:after="10"/>
              <w:jc w:val="both"/>
            </w:pPr>
            <w:r>
              <w:rPr>
                <w:sz w:val="18"/>
                <w:szCs w:val="18"/>
              </w:rPr>
              <w:t>Evaluación formativa: registros de participación, planillas de observación y entrega progresiva de trabajos, con retroalimentación continua, autoevaluación y coevaluación.</w:t>
            </w:r>
          </w:p>
          <w:p w14:paraId="1B5F8985" w14:textId="77777777" w:rsidR="00990B14" w:rsidRDefault="00000000">
            <w:pPr>
              <w:numPr>
                <w:ilvl w:val="0"/>
                <w:numId w:val="140"/>
              </w:numPr>
              <w:spacing w:before="10" w:after="10"/>
              <w:jc w:val="both"/>
            </w:pPr>
            <w:r>
              <w:rPr>
                <w:sz w:val="18"/>
                <w:szCs w:val="18"/>
              </w:rPr>
              <w:t>Evaluación sumativa: calificación de los 24 productos con su rúbrica, que integra las pruebas escritas de cada elemento.</w:t>
            </w:r>
          </w:p>
        </w:tc>
      </w:tr>
      <w:tr w:rsidR="00990B14" w14:paraId="02AD0191" w14:textId="77777777">
        <w:trPr>
          <w:jc w:val="center"/>
        </w:trPr>
        <w:tc>
          <w:tcPr>
            <w:tcW w:w="1635" w:type="dxa"/>
            <w:shd w:val="clear" w:color="auto" w:fill="4472C4"/>
            <w:vAlign w:val="center"/>
          </w:tcPr>
          <w:p w14:paraId="0ECDA07C" w14:textId="77777777" w:rsidR="00990B14" w:rsidRDefault="00000000">
            <w:pPr>
              <w:spacing w:before="20" w:after="20"/>
              <w:jc w:val="center"/>
            </w:pPr>
            <w:r>
              <w:rPr>
                <w:b/>
                <w:bCs/>
                <w:i/>
                <w:iCs/>
                <w:color w:val="FFFFFF"/>
                <w:sz w:val="18"/>
                <w:szCs w:val="18"/>
              </w:rPr>
              <w:t>Criterios de calificación</w:t>
            </w:r>
          </w:p>
        </w:tc>
        <w:tc>
          <w:tcPr>
            <w:tcW w:w="7770" w:type="dxa"/>
            <w:gridSpan w:val="4"/>
            <w:shd w:val="clear" w:color="auto" w:fill="D9E2F3"/>
            <w:vAlign w:val="center"/>
          </w:tcPr>
          <w:p w14:paraId="019274F7" w14:textId="77777777" w:rsidR="00990B14" w:rsidRDefault="00000000">
            <w:pPr>
              <w:numPr>
                <w:ilvl w:val="0"/>
                <w:numId w:val="140"/>
              </w:numPr>
              <w:spacing w:before="10" w:after="10"/>
              <w:jc w:val="both"/>
            </w:pPr>
            <w:r>
              <w:rPr>
                <w:sz w:val="18"/>
                <w:szCs w:val="18"/>
              </w:rPr>
              <w:t>Nota mínima de aprobación: 51/100.</w:t>
            </w:r>
          </w:p>
          <w:p w14:paraId="6A9DD8E2" w14:textId="77777777" w:rsidR="00990B14" w:rsidRDefault="00000000">
            <w:pPr>
              <w:numPr>
                <w:ilvl w:val="0"/>
                <w:numId w:val="140"/>
              </w:numPr>
              <w:spacing w:before="10" w:after="10"/>
              <w:jc w:val="both"/>
            </w:pPr>
            <w:r>
              <w:rPr>
                <w:sz w:val="18"/>
                <w:szCs w:val="18"/>
              </w:rPr>
              <w:t>La calificación final es la suma de las calificaciones ponderadas de los 24 productos, cuyos pesos suman 100 %.</w:t>
            </w:r>
          </w:p>
          <w:p w14:paraId="449635F0" w14:textId="77777777" w:rsidR="00990B14" w:rsidRDefault="00000000">
            <w:pPr>
              <w:numPr>
                <w:ilvl w:val="0"/>
                <w:numId w:val="140"/>
              </w:numPr>
              <w:spacing w:before="10" w:after="10"/>
              <w:jc w:val="both"/>
            </w:pPr>
            <w:r>
              <w:rPr>
                <w:sz w:val="18"/>
                <w:szCs w:val="18"/>
              </w:rPr>
              <w:t>Cada producto se evalúa con su propia rúbrica de tres criterios y tres niveles de logro: Insuficiente (1–50), Suficiente (51–80) y Destacado (81–100).</w:t>
            </w:r>
          </w:p>
          <w:p w14:paraId="51A00357" w14:textId="77777777" w:rsidR="00990B14" w:rsidRDefault="00000000">
            <w:pPr>
              <w:numPr>
                <w:ilvl w:val="0"/>
                <w:numId w:val="140"/>
              </w:numPr>
              <w:spacing w:before="10" w:after="10"/>
              <w:jc w:val="both"/>
            </w:pPr>
            <w:r>
              <w:rPr>
                <w:sz w:val="18"/>
                <w:szCs w:val="18"/>
              </w:rPr>
              <w:t>Evaluación periódica al finalizar cada tema, basada en evidencias de conocimiento, desempeño y producto.</w:t>
            </w:r>
          </w:p>
        </w:tc>
      </w:tr>
      <w:tr w:rsidR="00990B14" w14:paraId="18B3081F" w14:textId="77777777">
        <w:trPr>
          <w:cantSplit/>
          <w:jc w:val="center"/>
        </w:trPr>
        <w:tc>
          <w:tcPr>
            <w:tcW w:w="1635" w:type="dxa"/>
            <w:vMerge w:val="restart"/>
            <w:shd w:val="clear" w:color="auto" w:fill="4472C4"/>
            <w:vAlign w:val="center"/>
          </w:tcPr>
          <w:p w14:paraId="4221CCCD" w14:textId="77777777" w:rsidR="00990B14" w:rsidRDefault="00000000">
            <w:pPr>
              <w:spacing w:before="20" w:after="20"/>
              <w:jc w:val="center"/>
            </w:pPr>
            <w:r>
              <w:rPr>
                <w:b/>
                <w:bCs/>
                <w:i/>
                <w:iCs/>
                <w:color w:val="FFFFFF"/>
                <w:sz w:val="18"/>
                <w:szCs w:val="18"/>
              </w:rPr>
              <w:t>Niveles de logro y distribución de la calificación</w:t>
            </w:r>
          </w:p>
        </w:tc>
        <w:tc>
          <w:tcPr>
            <w:tcW w:w="5650" w:type="dxa"/>
            <w:gridSpan w:val="3"/>
            <w:shd w:val="clear" w:color="auto" w:fill="D9E2F3"/>
            <w:vAlign w:val="center"/>
          </w:tcPr>
          <w:p w14:paraId="25BAA600" w14:textId="77777777" w:rsidR="00990B14" w:rsidRDefault="00000000">
            <w:pPr>
              <w:keepNext/>
              <w:spacing w:before="20" w:after="20"/>
              <w:jc w:val="both"/>
            </w:pPr>
            <w:r>
              <w:rPr>
                <w:b/>
                <w:bCs/>
                <w:i/>
                <w:iCs/>
                <w:sz w:val="18"/>
                <w:szCs w:val="18"/>
              </w:rPr>
              <w:t xml:space="preserve">Producto 1: </w:t>
            </w:r>
            <w:r>
              <w:rPr>
                <w:sz w:val="18"/>
                <w:szCs w:val="18"/>
              </w:rPr>
              <w:t>Informe de análisis del comportamiento individual y grupal</w:t>
            </w:r>
          </w:p>
        </w:tc>
        <w:tc>
          <w:tcPr>
            <w:tcW w:w="2120" w:type="dxa"/>
            <w:shd w:val="clear" w:color="auto" w:fill="D9E2F3"/>
            <w:vAlign w:val="center"/>
          </w:tcPr>
          <w:p w14:paraId="047F0A19" w14:textId="77777777" w:rsidR="00990B14" w:rsidRDefault="00000000">
            <w:pPr>
              <w:spacing w:before="20" w:after="20"/>
              <w:jc w:val="center"/>
            </w:pPr>
            <w:r>
              <w:rPr>
                <w:b/>
                <w:bCs/>
                <w:sz w:val="18"/>
                <w:szCs w:val="18"/>
              </w:rPr>
              <w:t>5%</w:t>
            </w:r>
          </w:p>
        </w:tc>
      </w:tr>
      <w:tr w:rsidR="00990B14" w14:paraId="68DAA092" w14:textId="77777777">
        <w:trPr>
          <w:cantSplit/>
          <w:jc w:val="center"/>
        </w:trPr>
        <w:tc>
          <w:tcPr>
            <w:tcW w:w="1635" w:type="dxa"/>
            <w:vMerge/>
            <w:shd w:val="clear" w:color="auto" w:fill="4472C4"/>
            <w:vAlign w:val="center"/>
          </w:tcPr>
          <w:p w14:paraId="274B5917" w14:textId="77777777" w:rsidR="00990B14" w:rsidRDefault="00990B14">
            <w:pPr>
              <w:spacing w:before="20" w:after="20"/>
            </w:pPr>
          </w:p>
        </w:tc>
        <w:tc>
          <w:tcPr>
            <w:tcW w:w="1910" w:type="dxa"/>
            <w:shd w:val="clear" w:color="auto" w:fill="4472C4"/>
            <w:vAlign w:val="center"/>
          </w:tcPr>
          <w:p w14:paraId="10A59A4E"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3C1D58BC" w14:textId="77777777" w:rsidR="00990B14" w:rsidRDefault="00000000">
            <w:pPr>
              <w:keepNext/>
              <w:spacing w:before="20" w:after="20"/>
              <w:jc w:val="center"/>
            </w:pPr>
            <w:r>
              <w:rPr>
                <w:b/>
                <w:bCs/>
                <w:i/>
                <w:iCs/>
                <w:color w:val="FFFFFF"/>
                <w:sz w:val="18"/>
                <w:szCs w:val="18"/>
              </w:rPr>
              <w:t>Insuficiente (1–50)</w:t>
            </w:r>
          </w:p>
        </w:tc>
        <w:tc>
          <w:tcPr>
            <w:tcW w:w="1830" w:type="dxa"/>
            <w:shd w:val="clear" w:color="auto" w:fill="4472C4"/>
            <w:vAlign w:val="center"/>
          </w:tcPr>
          <w:p w14:paraId="4CE1F931"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14219EED" w14:textId="77777777" w:rsidR="00990B14" w:rsidRDefault="00000000">
            <w:pPr>
              <w:keepNext/>
              <w:spacing w:before="20" w:after="20"/>
              <w:jc w:val="center"/>
            </w:pPr>
            <w:r>
              <w:rPr>
                <w:b/>
                <w:bCs/>
                <w:i/>
                <w:iCs/>
                <w:color w:val="FFFFFF"/>
                <w:sz w:val="18"/>
                <w:szCs w:val="18"/>
              </w:rPr>
              <w:t>Destacado (81–100)</w:t>
            </w:r>
          </w:p>
        </w:tc>
      </w:tr>
      <w:tr w:rsidR="00990B14" w14:paraId="45D3C1BA" w14:textId="77777777">
        <w:trPr>
          <w:cantSplit/>
          <w:jc w:val="center"/>
        </w:trPr>
        <w:tc>
          <w:tcPr>
            <w:tcW w:w="1635" w:type="dxa"/>
            <w:vMerge/>
            <w:shd w:val="clear" w:color="auto" w:fill="4472C4"/>
            <w:vAlign w:val="center"/>
          </w:tcPr>
          <w:p w14:paraId="264EDCE7" w14:textId="77777777" w:rsidR="00990B14" w:rsidRDefault="00990B14">
            <w:pPr>
              <w:spacing w:before="20" w:after="20"/>
            </w:pPr>
          </w:p>
        </w:tc>
        <w:tc>
          <w:tcPr>
            <w:tcW w:w="1910" w:type="dxa"/>
            <w:shd w:val="clear" w:color="auto" w:fill="D9E2F3"/>
            <w:vAlign w:val="center"/>
          </w:tcPr>
          <w:p w14:paraId="3A7D57EB" w14:textId="77777777" w:rsidR="00990B14" w:rsidRDefault="00000000">
            <w:pPr>
              <w:spacing w:before="20" w:after="20"/>
              <w:jc w:val="both"/>
            </w:pPr>
            <w:r>
              <w:rPr>
                <w:sz w:val="18"/>
                <w:szCs w:val="18"/>
              </w:rPr>
              <w:t>Niveles del comportamiento</w:t>
            </w:r>
          </w:p>
        </w:tc>
        <w:tc>
          <w:tcPr>
            <w:tcW w:w="1910" w:type="dxa"/>
            <w:shd w:val="clear" w:color="auto" w:fill="D9E2F3"/>
            <w:vAlign w:val="center"/>
          </w:tcPr>
          <w:p w14:paraId="75A2AF94" w14:textId="77777777" w:rsidR="00990B14" w:rsidRDefault="00000000">
            <w:pPr>
              <w:spacing w:before="20" w:after="20"/>
              <w:jc w:val="both"/>
            </w:pPr>
            <w:r>
              <w:rPr>
                <w:sz w:val="18"/>
                <w:szCs w:val="18"/>
              </w:rPr>
              <w:t>Confunde los niveles individual, grupal y organizacional.</w:t>
            </w:r>
          </w:p>
        </w:tc>
        <w:tc>
          <w:tcPr>
            <w:tcW w:w="1830" w:type="dxa"/>
            <w:shd w:val="clear" w:color="auto" w:fill="D9E2F3"/>
            <w:vAlign w:val="center"/>
          </w:tcPr>
          <w:p w14:paraId="7D36BF77" w14:textId="77777777" w:rsidR="00990B14" w:rsidRDefault="00000000">
            <w:pPr>
              <w:spacing w:before="20" w:after="20"/>
              <w:jc w:val="both"/>
            </w:pPr>
            <w:r>
              <w:rPr>
                <w:sz w:val="18"/>
                <w:szCs w:val="18"/>
              </w:rPr>
              <w:t>Identifica correctamente los tres niveles en el caso.</w:t>
            </w:r>
          </w:p>
        </w:tc>
        <w:tc>
          <w:tcPr>
            <w:tcW w:w="2120" w:type="dxa"/>
            <w:shd w:val="clear" w:color="auto" w:fill="D9E2F3"/>
            <w:vAlign w:val="center"/>
          </w:tcPr>
          <w:p w14:paraId="385C3E6E" w14:textId="77777777" w:rsidR="00990B14" w:rsidRDefault="00000000">
            <w:pPr>
              <w:spacing w:before="20" w:after="20"/>
              <w:jc w:val="both"/>
            </w:pPr>
            <w:r>
              <w:rPr>
                <w:sz w:val="18"/>
                <w:szCs w:val="18"/>
              </w:rPr>
              <w:t>Explica cómo cada nivel influye en el desempeño de la organización.</w:t>
            </w:r>
          </w:p>
        </w:tc>
      </w:tr>
      <w:tr w:rsidR="00990B14" w14:paraId="5D65E50D" w14:textId="77777777">
        <w:trPr>
          <w:cantSplit/>
          <w:jc w:val="center"/>
        </w:trPr>
        <w:tc>
          <w:tcPr>
            <w:tcW w:w="1635" w:type="dxa"/>
            <w:vMerge/>
            <w:shd w:val="clear" w:color="auto" w:fill="4472C4"/>
            <w:vAlign w:val="center"/>
          </w:tcPr>
          <w:p w14:paraId="67BBC626" w14:textId="77777777" w:rsidR="00990B14" w:rsidRDefault="00990B14">
            <w:pPr>
              <w:spacing w:before="20" w:after="20"/>
            </w:pPr>
          </w:p>
        </w:tc>
        <w:tc>
          <w:tcPr>
            <w:tcW w:w="1910" w:type="dxa"/>
            <w:shd w:val="clear" w:color="auto" w:fill="D9E2F3"/>
            <w:vAlign w:val="center"/>
          </w:tcPr>
          <w:p w14:paraId="29AD87E2" w14:textId="77777777" w:rsidR="00990B14" w:rsidRDefault="00000000">
            <w:pPr>
              <w:spacing w:before="20" w:after="20"/>
              <w:jc w:val="both"/>
            </w:pPr>
            <w:r>
              <w:rPr>
                <w:sz w:val="18"/>
                <w:szCs w:val="18"/>
              </w:rPr>
              <w:t>Motivación y comunicación</w:t>
            </w:r>
          </w:p>
        </w:tc>
        <w:tc>
          <w:tcPr>
            <w:tcW w:w="1910" w:type="dxa"/>
            <w:shd w:val="clear" w:color="auto" w:fill="D9E2F3"/>
            <w:vAlign w:val="center"/>
          </w:tcPr>
          <w:p w14:paraId="0142A80C" w14:textId="77777777" w:rsidR="00990B14" w:rsidRDefault="00000000">
            <w:pPr>
              <w:spacing w:before="20" w:after="20"/>
              <w:jc w:val="both"/>
            </w:pPr>
            <w:r>
              <w:rPr>
                <w:sz w:val="18"/>
                <w:szCs w:val="18"/>
              </w:rPr>
              <w:t>No relaciona la motivación ni la comunicación con el caso.</w:t>
            </w:r>
          </w:p>
        </w:tc>
        <w:tc>
          <w:tcPr>
            <w:tcW w:w="1830" w:type="dxa"/>
            <w:shd w:val="clear" w:color="auto" w:fill="D9E2F3"/>
            <w:vAlign w:val="center"/>
          </w:tcPr>
          <w:p w14:paraId="753577A6" w14:textId="77777777" w:rsidR="00990B14" w:rsidRDefault="00000000">
            <w:pPr>
              <w:spacing w:before="20" w:after="20"/>
              <w:jc w:val="both"/>
            </w:pPr>
            <w:r>
              <w:rPr>
                <w:sz w:val="18"/>
                <w:szCs w:val="18"/>
              </w:rPr>
              <w:t>Aplica una teoría de la motivación y analiza la comunicación del caso.</w:t>
            </w:r>
          </w:p>
        </w:tc>
        <w:tc>
          <w:tcPr>
            <w:tcW w:w="2120" w:type="dxa"/>
            <w:shd w:val="clear" w:color="auto" w:fill="D9E2F3"/>
            <w:vAlign w:val="center"/>
          </w:tcPr>
          <w:p w14:paraId="1F3C0A5A" w14:textId="77777777" w:rsidR="00990B14" w:rsidRDefault="00000000">
            <w:pPr>
              <w:spacing w:before="20" w:after="20"/>
              <w:jc w:val="both"/>
            </w:pPr>
            <w:r>
              <w:rPr>
                <w:sz w:val="18"/>
                <w:szCs w:val="18"/>
              </w:rPr>
              <w:t>Propone mejoras sustentadas en la teoría de la motivación aplicada.</w:t>
            </w:r>
          </w:p>
        </w:tc>
      </w:tr>
      <w:tr w:rsidR="00990B14" w14:paraId="6ED17577" w14:textId="77777777">
        <w:trPr>
          <w:cantSplit/>
          <w:jc w:val="center"/>
        </w:trPr>
        <w:tc>
          <w:tcPr>
            <w:tcW w:w="1635" w:type="dxa"/>
            <w:vMerge/>
            <w:shd w:val="clear" w:color="auto" w:fill="4472C4"/>
            <w:vAlign w:val="center"/>
          </w:tcPr>
          <w:p w14:paraId="29111311" w14:textId="77777777" w:rsidR="00990B14" w:rsidRDefault="00990B14">
            <w:pPr>
              <w:spacing w:before="20" w:after="20"/>
            </w:pPr>
          </w:p>
        </w:tc>
        <w:tc>
          <w:tcPr>
            <w:tcW w:w="1910" w:type="dxa"/>
            <w:shd w:val="clear" w:color="auto" w:fill="D9E2F3"/>
            <w:vAlign w:val="center"/>
          </w:tcPr>
          <w:p w14:paraId="0F1549DF" w14:textId="77777777" w:rsidR="00990B14" w:rsidRDefault="00000000">
            <w:pPr>
              <w:spacing w:before="20" w:after="20"/>
              <w:jc w:val="both"/>
            </w:pPr>
            <w:r>
              <w:rPr>
                <w:sz w:val="18"/>
                <w:szCs w:val="18"/>
              </w:rPr>
              <w:t>Clima ético</w:t>
            </w:r>
          </w:p>
        </w:tc>
        <w:tc>
          <w:tcPr>
            <w:tcW w:w="1910" w:type="dxa"/>
            <w:shd w:val="clear" w:color="auto" w:fill="D9E2F3"/>
            <w:vAlign w:val="center"/>
          </w:tcPr>
          <w:p w14:paraId="3EBFA98F" w14:textId="77777777" w:rsidR="00990B14" w:rsidRDefault="00000000">
            <w:pPr>
              <w:spacing w:before="20" w:after="20"/>
              <w:jc w:val="both"/>
            </w:pPr>
            <w:r>
              <w:rPr>
                <w:sz w:val="18"/>
                <w:szCs w:val="18"/>
              </w:rPr>
              <w:t>No identifica las situaciones de riesgo ético del caso.</w:t>
            </w:r>
          </w:p>
        </w:tc>
        <w:tc>
          <w:tcPr>
            <w:tcW w:w="1830" w:type="dxa"/>
            <w:shd w:val="clear" w:color="auto" w:fill="D9E2F3"/>
            <w:vAlign w:val="center"/>
          </w:tcPr>
          <w:p w14:paraId="59D8999B" w14:textId="77777777" w:rsidR="00990B14" w:rsidRDefault="00000000">
            <w:pPr>
              <w:spacing w:before="20" w:after="20"/>
              <w:jc w:val="both"/>
            </w:pPr>
            <w:r>
              <w:rPr>
                <w:sz w:val="18"/>
                <w:szCs w:val="18"/>
              </w:rPr>
              <w:t>Identifica conflictos de interés y situaciones de riesgo ético.</w:t>
            </w:r>
          </w:p>
        </w:tc>
        <w:tc>
          <w:tcPr>
            <w:tcW w:w="2120" w:type="dxa"/>
            <w:shd w:val="clear" w:color="auto" w:fill="D9E2F3"/>
            <w:vAlign w:val="center"/>
          </w:tcPr>
          <w:p w14:paraId="6589B429" w14:textId="77777777" w:rsidR="00990B14" w:rsidRDefault="00000000">
            <w:pPr>
              <w:spacing w:before="20" w:after="20"/>
              <w:jc w:val="both"/>
            </w:pPr>
            <w:r>
              <w:rPr>
                <w:sz w:val="18"/>
                <w:szCs w:val="18"/>
              </w:rPr>
              <w:t>Propone acciones para fortalecer el clima ético.</w:t>
            </w:r>
          </w:p>
        </w:tc>
      </w:tr>
      <w:tr w:rsidR="00990B14" w14:paraId="2694C061" w14:textId="77777777">
        <w:trPr>
          <w:cantSplit/>
          <w:jc w:val="center"/>
        </w:trPr>
        <w:tc>
          <w:tcPr>
            <w:tcW w:w="1635" w:type="dxa"/>
            <w:vMerge/>
            <w:shd w:val="clear" w:color="auto" w:fill="4472C4"/>
            <w:vAlign w:val="center"/>
          </w:tcPr>
          <w:p w14:paraId="749437A2" w14:textId="77777777" w:rsidR="00990B14" w:rsidRDefault="00990B14">
            <w:pPr>
              <w:spacing w:before="20" w:after="20"/>
            </w:pPr>
          </w:p>
        </w:tc>
        <w:tc>
          <w:tcPr>
            <w:tcW w:w="5650" w:type="dxa"/>
            <w:gridSpan w:val="3"/>
            <w:shd w:val="clear" w:color="auto" w:fill="D9E2F3"/>
            <w:vAlign w:val="center"/>
          </w:tcPr>
          <w:p w14:paraId="75274725" w14:textId="77777777" w:rsidR="00990B14" w:rsidRDefault="00000000">
            <w:pPr>
              <w:keepNext/>
              <w:spacing w:before="20" w:after="20"/>
              <w:jc w:val="both"/>
            </w:pPr>
            <w:r>
              <w:rPr>
                <w:b/>
                <w:bCs/>
                <w:i/>
                <w:iCs/>
                <w:sz w:val="18"/>
                <w:szCs w:val="18"/>
              </w:rPr>
              <w:t xml:space="preserve">Producto 2: </w:t>
            </w:r>
            <w:r>
              <w:rPr>
                <w:sz w:val="18"/>
                <w:szCs w:val="18"/>
              </w:rPr>
              <w:t>Bitácora del juego de roles de liderazgo y negociación</w:t>
            </w:r>
          </w:p>
        </w:tc>
        <w:tc>
          <w:tcPr>
            <w:tcW w:w="2120" w:type="dxa"/>
            <w:shd w:val="clear" w:color="auto" w:fill="D9E2F3"/>
            <w:vAlign w:val="center"/>
          </w:tcPr>
          <w:p w14:paraId="7EE15C09" w14:textId="77777777" w:rsidR="00990B14" w:rsidRDefault="00000000">
            <w:pPr>
              <w:spacing w:before="20" w:after="20"/>
              <w:jc w:val="center"/>
            </w:pPr>
            <w:r>
              <w:rPr>
                <w:b/>
                <w:bCs/>
                <w:sz w:val="18"/>
                <w:szCs w:val="18"/>
              </w:rPr>
              <w:t>5%</w:t>
            </w:r>
          </w:p>
        </w:tc>
      </w:tr>
      <w:tr w:rsidR="00990B14" w14:paraId="6B8CD98A" w14:textId="77777777">
        <w:trPr>
          <w:cantSplit/>
          <w:jc w:val="center"/>
        </w:trPr>
        <w:tc>
          <w:tcPr>
            <w:tcW w:w="1635" w:type="dxa"/>
            <w:vMerge/>
            <w:shd w:val="clear" w:color="auto" w:fill="4472C4"/>
            <w:vAlign w:val="center"/>
          </w:tcPr>
          <w:p w14:paraId="33A50D80" w14:textId="77777777" w:rsidR="00990B14" w:rsidRDefault="00990B14">
            <w:pPr>
              <w:spacing w:before="20" w:after="20"/>
            </w:pPr>
          </w:p>
        </w:tc>
        <w:tc>
          <w:tcPr>
            <w:tcW w:w="1910" w:type="dxa"/>
            <w:shd w:val="clear" w:color="auto" w:fill="4472C4"/>
            <w:vAlign w:val="center"/>
          </w:tcPr>
          <w:p w14:paraId="5E03AD2F"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4E17BB11" w14:textId="77777777" w:rsidR="00990B14" w:rsidRDefault="00000000">
            <w:pPr>
              <w:keepNext/>
              <w:spacing w:before="20" w:after="20"/>
              <w:jc w:val="center"/>
            </w:pPr>
            <w:r>
              <w:rPr>
                <w:b/>
                <w:bCs/>
                <w:i/>
                <w:iCs/>
                <w:color w:val="FFFFFF"/>
                <w:sz w:val="18"/>
                <w:szCs w:val="18"/>
              </w:rPr>
              <w:t>Insuficiente (1–50)</w:t>
            </w:r>
          </w:p>
        </w:tc>
        <w:tc>
          <w:tcPr>
            <w:tcW w:w="1830" w:type="dxa"/>
            <w:shd w:val="clear" w:color="auto" w:fill="4472C4"/>
            <w:vAlign w:val="center"/>
          </w:tcPr>
          <w:p w14:paraId="7F705097"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12D0B3C2" w14:textId="77777777" w:rsidR="00990B14" w:rsidRDefault="00000000">
            <w:pPr>
              <w:keepNext/>
              <w:spacing w:before="20" w:after="20"/>
              <w:jc w:val="center"/>
            </w:pPr>
            <w:r>
              <w:rPr>
                <w:b/>
                <w:bCs/>
                <w:i/>
                <w:iCs/>
                <w:color w:val="FFFFFF"/>
                <w:sz w:val="18"/>
                <w:szCs w:val="18"/>
              </w:rPr>
              <w:t>Destacado (81–100)</w:t>
            </w:r>
          </w:p>
        </w:tc>
      </w:tr>
      <w:tr w:rsidR="00990B14" w14:paraId="50BFF4A1" w14:textId="77777777">
        <w:trPr>
          <w:cantSplit/>
          <w:jc w:val="center"/>
        </w:trPr>
        <w:tc>
          <w:tcPr>
            <w:tcW w:w="1635" w:type="dxa"/>
            <w:vMerge/>
            <w:shd w:val="clear" w:color="auto" w:fill="4472C4"/>
            <w:vAlign w:val="center"/>
          </w:tcPr>
          <w:p w14:paraId="15826897" w14:textId="77777777" w:rsidR="00990B14" w:rsidRDefault="00990B14">
            <w:pPr>
              <w:spacing w:before="20" w:after="20"/>
            </w:pPr>
          </w:p>
        </w:tc>
        <w:tc>
          <w:tcPr>
            <w:tcW w:w="1910" w:type="dxa"/>
            <w:shd w:val="clear" w:color="auto" w:fill="D9E2F3"/>
            <w:vAlign w:val="center"/>
          </w:tcPr>
          <w:p w14:paraId="46F31A3C" w14:textId="77777777" w:rsidR="00990B14" w:rsidRDefault="00000000">
            <w:pPr>
              <w:spacing w:before="20" w:after="20"/>
              <w:jc w:val="both"/>
            </w:pPr>
            <w:r>
              <w:rPr>
                <w:sz w:val="18"/>
                <w:szCs w:val="18"/>
              </w:rPr>
              <w:t>Estilo de liderazgo</w:t>
            </w:r>
          </w:p>
        </w:tc>
        <w:tc>
          <w:tcPr>
            <w:tcW w:w="1910" w:type="dxa"/>
            <w:shd w:val="clear" w:color="auto" w:fill="D9E2F3"/>
            <w:vAlign w:val="center"/>
          </w:tcPr>
          <w:p w14:paraId="77423E2B" w14:textId="77777777" w:rsidR="00990B14" w:rsidRDefault="00000000">
            <w:pPr>
              <w:spacing w:before="20" w:after="20"/>
              <w:jc w:val="both"/>
            </w:pPr>
            <w:r>
              <w:rPr>
                <w:sz w:val="18"/>
                <w:szCs w:val="18"/>
              </w:rPr>
              <w:t>No identifica el estilo de liderazgo aplicado.</w:t>
            </w:r>
          </w:p>
        </w:tc>
        <w:tc>
          <w:tcPr>
            <w:tcW w:w="1830" w:type="dxa"/>
            <w:shd w:val="clear" w:color="auto" w:fill="D9E2F3"/>
            <w:vAlign w:val="center"/>
          </w:tcPr>
          <w:p w14:paraId="4357F7AC" w14:textId="77777777" w:rsidR="00990B14" w:rsidRDefault="00000000">
            <w:pPr>
              <w:spacing w:before="20" w:after="20"/>
              <w:jc w:val="both"/>
            </w:pPr>
            <w:r>
              <w:rPr>
                <w:sz w:val="18"/>
                <w:szCs w:val="18"/>
              </w:rPr>
              <w:t>Identifica el estilo aplicado según Fiedler o el camino-meta.</w:t>
            </w:r>
          </w:p>
        </w:tc>
        <w:tc>
          <w:tcPr>
            <w:tcW w:w="2120" w:type="dxa"/>
            <w:shd w:val="clear" w:color="auto" w:fill="D9E2F3"/>
            <w:vAlign w:val="center"/>
          </w:tcPr>
          <w:p w14:paraId="20C56BA9" w14:textId="77777777" w:rsidR="00990B14" w:rsidRDefault="00000000">
            <w:pPr>
              <w:spacing w:before="20" w:after="20"/>
              <w:jc w:val="both"/>
            </w:pPr>
            <w:r>
              <w:rPr>
                <w:sz w:val="18"/>
                <w:szCs w:val="18"/>
              </w:rPr>
              <w:t>Justifica la pertinencia del estilo según la situación.</w:t>
            </w:r>
          </w:p>
        </w:tc>
      </w:tr>
      <w:tr w:rsidR="00990B14" w14:paraId="57C129EE" w14:textId="77777777">
        <w:trPr>
          <w:cantSplit/>
          <w:jc w:val="center"/>
        </w:trPr>
        <w:tc>
          <w:tcPr>
            <w:tcW w:w="1635" w:type="dxa"/>
            <w:vMerge/>
            <w:shd w:val="clear" w:color="auto" w:fill="4472C4"/>
            <w:vAlign w:val="center"/>
          </w:tcPr>
          <w:p w14:paraId="6F18B434" w14:textId="77777777" w:rsidR="00990B14" w:rsidRDefault="00990B14">
            <w:pPr>
              <w:spacing w:before="20" w:after="20"/>
            </w:pPr>
          </w:p>
        </w:tc>
        <w:tc>
          <w:tcPr>
            <w:tcW w:w="1910" w:type="dxa"/>
            <w:shd w:val="clear" w:color="auto" w:fill="D9E2F3"/>
            <w:vAlign w:val="center"/>
          </w:tcPr>
          <w:p w14:paraId="21C6286D" w14:textId="77777777" w:rsidR="00990B14" w:rsidRDefault="00000000">
            <w:pPr>
              <w:spacing w:before="20" w:after="20"/>
              <w:jc w:val="both"/>
            </w:pPr>
            <w:r>
              <w:rPr>
                <w:sz w:val="18"/>
                <w:szCs w:val="18"/>
              </w:rPr>
              <w:t>Manejo del conflicto</w:t>
            </w:r>
          </w:p>
        </w:tc>
        <w:tc>
          <w:tcPr>
            <w:tcW w:w="1910" w:type="dxa"/>
            <w:shd w:val="clear" w:color="auto" w:fill="D9E2F3"/>
            <w:vAlign w:val="center"/>
          </w:tcPr>
          <w:p w14:paraId="4A09A90D" w14:textId="77777777" w:rsidR="00990B14" w:rsidRDefault="00000000">
            <w:pPr>
              <w:spacing w:before="20" w:after="20"/>
              <w:jc w:val="both"/>
            </w:pPr>
            <w:r>
              <w:rPr>
                <w:sz w:val="18"/>
                <w:szCs w:val="18"/>
              </w:rPr>
              <w:t>No registra el conflicto ni la negociación.</w:t>
            </w:r>
          </w:p>
        </w:tc>
        <w:tc>
          <w:tcPr>
            <w:tcW w:w="1830" w:type="dxa"/>
            <w:shd w:val="clear" w:color="auto" w:fill="D9E2F3"/>
            <w:vAlign w:val="center"/>
          </w:tcPr>
          <w:p w14:paraId="6FA72E30" w14:textId="77777777" w:rsidR="00990B14" w:rsidRDefault="00000000">
            <w:pPr>
              <w:spacing w:before="20" w:after="20"/>
              <w:jc w:val="both"/>
            </w:pPr>
            <w:r>
              <w:rPr>
                <w:sz w:val="18"/>
                <w:szCs w:val="18"/>
              </w:rPr>
              <w:t>Describe las fuentes del conflicto y la estrategia de negociación.</w:t>
            </w:r>
          </w:p>
        </w:tc>
        <w:tc>
          <w:tcPr>
            <w:tcW w:w="2120" w:type="dxa"/>
            <w:shd w:val="clear" w:color="auto" w:fill="D9E2F3"/>
            <w:vAlign w:val="center"/>
          </w:tcPr>
          <w:p w14:paraId="7BA3D8CD" w14:textId="77777777" w:rsidR="00990B14" w:rsidRDefault="00000000">
            <w:pPr>
              <w:spacing w:before="20" w:after="20"/>
              <w:jc w:val="both"/>
            </w:pPr>
            <w:r>
              <w:rPr>
                <w:sz w:val="18"/>
                <w:szCs w:val="18"/>
              </w:rPr>
              <w:t>Evalúa el resultado de la negociación y propone alternativas.</w:t>
            </w:r>
          </w:p>
        </w:tc>
      </w:tr>
      <w:tr w:rsidR="00990B14" w14:paraId="5E3ECDE3" w14:textId="77777777">
        <w:trPr>
          <w:cantSplit/>
          <w:jc w:val="center"/>
        </w:trPr>
        <w:tc>
          <w:tcPr>
            <w:tcW w:w="1635" w:type="dxa"/>
            <w:vMerge/>
            <w:shd w:val="clear" w:color="auto" w:fill="4472C4"/>
            <w:vAlign w:val="center"/>
          </w:tcPr>
          <w:p w14:paraId="28727A3C" w14:textId="77777777" w:rsidR="00990B14" w:rsidRDefault="00990B14">
            <w:pPr>
              <w:spacing w:before="20" w:after="20"/>
            </w:pPr>
          </w:p>
        </w:tc>
        <w:tc>
          <w:tcPr>
            <w:tcW w:w="1910" w:type="dxa"/>
            <w:shd w:val="clear" w:color="auto" w:fill="D9E2F3"/>
            <w:vAlign w:val="center"/>
          </w:tcPr>
          <w:p w14:paraId="4AC8236B" w14:textId="77777777" w:rsidR="00990B14" w:rsidRDefault="00000000">
            <w:pPr>
              <w:spacing w:before="20" w:after="20"/>
              <w:jc w:val="both"/>
            </w:pPr>
            <w:r>
              <w:rPr>
                <w:sz w:val="18"/>
                <w:szCs w:val="18"/>
              </w:rPr>
              <w:t>Trabajo en equipo</w:t>
            </w:r>
          </w:p>
        </w:tc>
        <w:tc>
          <w:tcPr>
            <w:tcW w:w="1910" w:type="dxa"/>
            <w:shd w:val="clear" w:color="auto" w:fill="D9E2F3"/>
            <w:vAlign w:val="center"/>
          </w:tcPr>
          <w:p w14:paraId="7B038E9E" w14:textId="77777777" w:rsidR="00990B14" w:rsidRDefault="00000000">
            <w:pPr>
              <w:spacing w:before="20" w:after="20"/>
              <w:jc w:val="both"/>
            </w:pPr>
            <w:r>
              <w:rPr>
                <w:sz w:val="18"/>
                <w:szCs w:val="18"/>
              </w:rPr>
              <w:t>No todos los integrantes participan.</w:t>
            </w:r>
          </w:p>
        </w:tc>
        <w:tc>
          <w:tcPr>
            <w:tcW w:w="1830" w:type="dxa"/>
            <w:shd w:val="clear" w:color="auto" w:fill="D9E2F3"/>
            <w:vAlign w:val="center"/>
          </w:tcPr>
          <w:p w14:paraId="52833FEE" w14:textId="77777777" w:rsidR="00990B14" w:rsidRDefault="00000000">
            <w:pPr>
              <w:spacing w:before="20" w:after="20"/>
              <w:jc w:val="both"/>
            </w:pPr>
            <w:r>
              <w:rPr>
                <w:sz w:val="18"/>
                <w:szCs w:val="18"/>
              </w:rPr>
              <w:t>Todos los integrantes participan y respetan las opiniones ajenas.</w:t>
            </w:r>
          </w:p>
        </w:tc>
        <w:tc>
          <w:tcPr>
            <w:tcW w:w="2120" w:type="dxa"/>
            <w:shd w:val="clear" w:color="auto" w:fill="D9E2F3"/>
            <w:vAlign w:val="center"/>
          </w:tcPr>
          <w:p w14:paraId="1038631B" w14:textId="77777777" w:rsidR="00990B14" w:rsidRDefault="00000000">
            <w:pPr>
              <w:spacing w:before="20" w:after="20"/>
              <w:jc w:val="both"/>
            </w:pPr>
            <w:r>
              <w:rPr>
                <w:sz w:val="18"/>
                <w:szCs w:val="18"/>
              </w:rPr>
              <w:t>El equipo llega a acuerdos con ética y objetividad.</w:t>
            </w:r>
          </w:p>
        </w:tc>
      </w:tr>
      <w:tr w:rsidR="00990B14" w14:paraId="3A678088" w14:textId="77777777">
        <w:trPr>
          <w:cantSplit/>
          <w:jc w:val="center"/>
        </w:trPr>
        <w:tc>
          <w:tcPr>
            <w:tcW w:w="1635" w:type="dxa"/>
            <w:vMerge/>
            <w:shd w:val="clear" w:color="auto" w:fill="4472C4"/>
            <w:vAlign w:val="center"/>
          </w:tcPr>
          <w:p w14:paraId="2A6D5775" w14:textId="77777777" w:rsidR="00990B14" w:rsidRDefault="00990B14">
            <w:pPr>
              <w:spacing w:before="20" w:after="20"/>
            </w:pPr>
          </w:p>
        </w:tc>
        <w:tc>
          <w:tcPr>
            <w:tcW w:w="5650" w:type="dxa"/>
            <w:gridSpan w:val="3"/>
            <w:shd w:val="clear" w:color="auto" w:fill="D9E2F3"/>
            <w:vAlign w:val="center"/>
          </w:tcPr>
          <w:p w14:paraId="3FC0DCC0" w14:textId="77777777" w:rsidR="00990B14" w:rsidRDefault="00000000">
            <w:pPr>
              <w:keepNext/>
              <w:spacing w:before="20" w:after="20"/>
              <w:jc w:val="both"/>
            </w:pPr>
            <w:r>
              <w:rPr>
                <w:b/>
                <w:bCs/>
                <w:i/>
                <w:iCs/>
                <w:sz w:val="18"/>
                <w:szCs w:val="18"/>
              </w:rPr>
              <w:t xml:space="preserve">Producto 3: </w:t>
            </w:r>
            <w:r>
              <w:rPr>
                <w:sz w:val="18"/>
                <w:szCs w:val="18"/>
              </w:rPr>
              <w:t>Mapa de los procesos de gestión del talento humano</w:t>
            </w:r>
          </w:p>
        </w:tc>
        <w:tc>
          <w:tcPr>
            <w:tcW w:w="2120" w:type="dxa"/>
            <w:shd w:val="clear" w:color="auto" w:fill="D9E2F3"/>
            <w:vAlign w:val="center"/>
          </w:tcPr>
          <w:p w14:paraId="64E182E5" w14:textId="77777777" w:rsidR="00990B14" w:rsidRDefault="00000000">
            <w:pPr>
              <w:spacing w:before="20" w:after="20"/>
              <w:jc w:val="center"/>
            </w:pPr>
            <w:r>
              <w:rPr>
                <w:b/>
                <w:bCs/>
                <w:sz w:val="18"/>
                <w:szCs w:val="18"/>
              </w:rPr>
              <w:t>5%</w:t>
            </w:r>
          </w:p>
        </w:tc>
      </w:tr>
      <w:tr w:rsidR="00990B14" w14:paraId="31E9DEB7" w14:textId="77777777">
        <w:trPr>
          <w:cantSplit/>
          <w:jc w:val="center"/>
        </w:trPr>
        <w:tc>
          <w:tcPr>
            <w:tcW w:w="1635" w:type="dxa"/>
            <w:vMerge/>
            <w:shd w:val="clear" w:color="auto" w:fill="4472C4"/>
            <w:vAlign w:val="center"/>
          </w:tcPr>
          <w:p w14:paraId="2FBAA61E" w14:textId="77777777" w:rsidR="00990B14" w:rsidRDefault="00990B14">
            <w:pPr>
              <w:spacing w:before="20" w:after="20"/>
            </w:pPr>
          </w:p>
        </w:tc>
        <w:tc>
          <w:tcPr>
            <w:tcW w:w="1910" w:type="dxa"/>
            <w:shd w:val="clear" w:color="auto" w:fill="4472C4"/>
            <w:vAlign w:val="center"/>
          </w:tcPr>
          <w:p w14:paraId="26839608"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211F6F2D" w14:textId="77777777" w:rsidR="00990B14" w:rsidRDefault="00000000">
            <w:pPr>
              <w:keepNext/>
              <w:spacing w:before="20" w:after="20"/>
              <w:jc w:val="center"/>
            </w:pPr>
            <w:r>
              <w:rPr>
                <w:b/>
                <w:bCs/>
                <w:i/>
                <w:iCs/>
                <w:color w:val="FFFFFF"/>
                <w:sz w:val="18"/>
                <w:szCs w:val="18"/>
              </w:rPr>
              <w:t>Insuficiente (1–50)</w:t>
            </w:r>
          </w:p>
        </w:tc>
        <w:tc>
          <w:tcPr>
            <w:tcW w:w="1830" w:type="dxa"/>
            <w:shd w:val="clear" w:color="auto" w:fill="4472C4"/>
            <w:vAlign w:val="center"/>
          </w:tcPr>
          <w:p w14:paraId="4DF8C2A6"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5B504813" w14:textId="77777777" w:rsidR="00990B14" w:rsidRDefault="00000000">
            <w:pPr>
              <w:keepNext/>
              <w:spacing w:before="20" w:after="20"/>
              <w:jc w:val="center"/>
            </w:pPr>
            <w:r>
              <w:rPr>
                <w:b/>
                <w:bCs/>
                <w:i/>
                <w:iCs/>
                <w:color w:val="FFFFFF"/>
                <w:sz w:val="18"/>
                <w:szCs w:val="18"/>
              </w:rPr>
              <w:t>Destacado (81–100)</w:t>
            </w:r>
          </w:p>
        </w:tc>
      </w:tr>
      <w:tr w:rsidR="00990B14" w14:paraId="0A449749" w14:textId="77777777">
        <w:trPr>
          <w:cantSplit/>
          <w:jc w:val="center"/>
        </w:trPr>
        <w:tc>
          <w:tcPr>
            <w:tcW w:w="1635" w:type="dxa"/>
            <w:vMerge/>
            <w:shd w:val="clear" w:color="auto" w:fill="4472C4"/>
            <w:vAlign w:val="center"/>
          </w:tcPr>
          <w:p w14:paraId="7411D5D7" w14:textId="77777777" w:rsidR="00990B14" w:rsidRDefault="00990B14">
            <w:pPr>
              <w:spacing w:before="20" w:after="20"/>
            </w:pPr>
          </w:p>
        </w:tc>
        <w:tc>
          <w:tcPr>
            <w:tcW w:w="1910" w:type="dxa"/>
            <w:shd w:val="clear" w:color="auto" w:fill="D9E2F3"/>
            <w:vAlign w:val="center"/>
          </w:tcPr>
          <w:p w14:paraId="6B457E42" w14:textId="77777777" w:rsidR="00990B14" w:rsidRDefault="00000000">
            <w:pPr>
              <w:spacing w:before="20" w:after="20"/>
              <w:jc w:val="both"/>
            </w:pPr>
            <w:r>
              <w:rPr>
                <w:sz w:val="18"/>
                <w:szCs w:val="18"/>
              </w:rPr>
              <w:t>Procesos completos</w:t>
            </w:r>
          </w:p>
        </w:tc>
        <w:tc>
          <w:tcPr>
            <w:tcW w:w="1910" w:type="dxa"/>
            <w:shd w:val="clear" w:color="auto" w:fill="D9E2F3"/>
            <w:vAlign w:val="center"/>
          </w:tcPr>
          <w:p w14:paraId="64098C35" w14:textId="77777777" w:rsidR="00990B14" w:rsidRDefault="00000000">
            <w:pPr>
              <w:spacing w:before="20" w:after="20"/>
              <w:jc w:val="both"/>
            </w:pPr>
            <w:r>
              <w:rPr>
                <w:sz w:val="18"/>
                <w:szCs w:val="18"/>
              </w:rPr>
              <w:t>Omite uno o más procesos.</w:t>
            </w:r>
          </w:p>
        </w:tc>
        <w:tc>
          <w:tcPr>
            <w:tcW w:w="1830" w:type="dxa"/>
            <w:shd w:val="clear" w:color="auto" w:fill="D9E2F3"/>
            <w:vAlign w:val="center"/>
          </w:tcPr>
          <w:p w14:paraId="5D54AC30" w14:textId="77777777" w:rsidR="00990B14" w:rsidRDefault="00000000">
            <w:pPr>
              <w:spacing w:before="20" w:after="20"/>
              <w:jc w:val="both"/>
            </w:pPr>
            <w:r>
              <w:rPr>
                <w:sz w:val="18"/>
                <w:szCs w:val="18"/>
              </w:rPr>
              <w:t>Representa los seis procesos de la gestión del talento humano.</w:t>
            </w:r>
          </w:p>
        </w:tc>
        <w:tc>
          <w:tcPr>
            <w:tcW w:w="2120" w:type="dxa"/>
            <w:shd w:val="clear" w:color="auto" w:fill="D9E2F3"/>
            <w:vAlign w:val="center"/>
          </w:tcPr>
          <w:p w14:paraId="145E8C99" w14:textId="77777777" w:rsidR="00990B14" w:rsidRDefault="00000000">
            <w:pPr>
              <w:spacing w:before="20" w:after="20"/>
              <w:jc w:val="both"/>
            </w:pPr>
            <w:r>
              <w:rPr>
                <w:sz w:val="18"/>
                <w:szCs w:val="18"/>
              </w:rPr>
              <w:t>Relaciona los procesos con la planeación estratégica del talento humano.</w:t>
            </w:r>
          </w:p>
        </w:tc>
      </w:tr>
      <w:tr w:rsidR="00990B14" w14:paraId="054924C6" w14:textId="77777777">
        <w:trPr>
          <w:cantSplit/>
          <w:jc w:val="center"/>
        </w:trPr>
        <w:tc>
          <w:tcPr>
            <w:tcW w:w="1635" w:type="dxa"/>
            <w:vMerge/>
            <w:shd w:val="clear" w:color="auto" w:fill="4472C4"/>
            <w:vAlign w:val="center"/>
          </w:tcPr>
          <w:p w14:paraId="046C8CDC" w14:textId="77777777" w:rsidR="00990B14" w:rsidRDefault="00990B14">
            <w:pPr>
              <w:spacing w:before="20" w:after="20"/>
            </w:pPr>
          </w:p>
        </w:tc>
        <w:tc>
          <w:tcPr>
            <w:tcW w:w="1910" w:type="dxa"/>
            <w:shd w:val="clear" w:color="auto" w:fill="D9E2F3"/>
            <w:vAlign w:val="center"/>
          </w:tcPr>
          <w:p w14:paraId="53649662" w14:textId="77777777" w:rsidR="00990B14" w:rsidRDefault="00000000">
            <w:pPr>
              <w:spacing w:before="20" w:after="20"/>
              <w:jc w:val="both"/>
            </w:pPr>
            <w:r>
              <w:rPr>
                <w:sz w:val="18"/>
                <w:szCs w:val="18"/>
              </w:rPr>
              <w:t>Secuencia y responsables</w:t>
            </w:r>
          </w:p>
        </w:tc>
        <w:tc>
          <w:tcPr>
            <w:tcW w:w="1910" w:type="dxa"/>
            <w:shd w:val="clear" w:color="auto" w:fill="D9E2F3"/>
            <w:vAlign w:val="center"/>
          </w:tcPr>
          <w:p w14:paraId="54EA0BDC" w14:textId="77777777" w:rsidR="00990B14" w:rsidRDefault="00000000">
            <w:pPr>
              <w:spacing w:before="20" w:after="20"/>
              <w:jc w:val="both"/>
            </w:pPr>
            <w:r>
              <w:rPr>
                <w:sz w:val="18"/>
                <w:szCs w:val="18"/>
              </w:rPr>
              <w:t>El mapa no muestra la secuencia ni los responsables.</w:t>
            </w:r>
          </w:p>
        </w:tc>
        <w:tc>
          <w:tcPr>
            <w:tcW w:w="1830" w:type="dxa"/>
            <w:shd w:val="clear" w:color="auto" w:fill="D9E2F3"/>
            <w:vAlign w:val="center"/>
          </w:tcPr>
          <w:p w14:paraId="31D5E418" w14:textId="77777777" w:rsidR="00990B14" w:rsidRDefault="00000000">
            <w:pPr>
              <w:spacing w:before="20" w:after="20"/>
              <w:jc w:val="both"/>
            </w:pPr>
            <w:r>
              <w:rPr>
                <w:sz w:val="18"/>
                <w:szCs w:val="18"/>
              </w:rPr>
              <w:t>Muestra la secuencia y los responsables de cada proceso.</w:t>
            </w:r>
          </w:p>
        </w:tc>
        <w:tc>
          <w:tcPr>
            <w:tcW w:w="2120" w:type="dxa"/>
            <w:shd w:val="clear" w:color="auto" w:fill="D9E2F3"/>
            <w:vAlign w:val="center"/>
          </w:tcPr>
          <w:p w14:paraId="759C3925" w14:textId="77777777" w:rsidR="00990B14" w:rsidRDefault="00000000">
            <w:pPr>
              <w:spacing w:before="20" w:after="20"/>
              <w:jc w:val="both"/>
            </w:pPr>
            <w:r>
              <w:rPr>
                <w:sz w:val="18"/>
                <w:szCs w:val="18"/>
              </w:rPr>
              <w:t>Identifica puntos críticos y propone mejoras.</w:t>
            </w:r>
          </w:p>
        </w:tc>
      </w:tr>
      <w:tr w:rsidR="00990B14" w14:paraId="347871CF" w14:textId="77777777">
        <w:trPr>
          <w:cantSplit/>
          <w:jc w:val="center"/>
        </w:trPr>
        <w:tc>
          <w:tcPr>
            <w:tcW w:w="1635" w:type="dxa"/>
            <w:vMerge/>
            <w:shd w:val="clear" w:color="auto" w:fill="4472C4"/>
            <w:vAlign w:val="center"/>
          </w:tcPr>
          <w:p w14:paraId="62147BCC" w14:textId="77777777" w:rsidR="00990B14" w:rsidRDefault="00990B14">
            <w:pPr>
              <w:spacing w:before="20" w:after="20"/>
            </w:pPr>
          </w:p>
        </w:tc>
        <w:tc>
          <w:tcPr>
            <w:tcW w:w="1910" w:type="dxa"/>
            <w:shd w:val="clear" w:color="auto" w:fill="D9E2F3"/>
            <w:vAlign w:val="center"/>
          </w:tcPr>
          <w:p w14:paraId="46DE1FF8" w14:textId="77777777" w:rsidR="00990B14" w:rsidRDefault="00000000">
            <w:pPr>
              <w:spacing w:before="20" w:after="20"/>
              <w:jc w:val="both"/>
            </w:pPr>
            <w:r>
              <w:rPr>
                <w:sz w:val="18"/>
                <w:szCs w:val="18"/>
              </w:rPr>
              <w:t>Claridad de la sustentación</w:t>
            </w:r>
          </w:p>
        </w:tc>
        <w:tc>
          <w:tcPr>
            <w:tcW w:w="1910" w:type="dxa"/>
            <w:shd w:val="clear" w:color="auto" w:fill="D9E2F3"/>
            <w:vAlign w:val="center"/>
          </w:tcPr>
          <w:p w14:paraId="527D4549" w14:textId="77777777" w:rsidR="00990B14" w:rsidRDefault="00000000">
            <w:pPr>
              <w:spacing w:before="20" w:after="20"/>
              <w:jc w:val="both"/>
            </w:pPr>
            <w:r>
              <w:rPr>
                <w:sz w:val="18"/>
                <w:szCs w:val="18"/>
              </w:rPr>
              <w:t>La exposición es confusa.</w:t>
            </w:r>
          </w:p>
        </w:tc>
        <w:tc>
          <w:tcPr>
            <w:tcW w:w="1830" w:type="dxa"/>
            <w:shd w:val="clear" w:color="auto" w:fill="D9E2F3"/>
            <w:vAlign w:val="center"/>
          </w:tcPr>
          <w:p w14:paraId="2AD7D358" w14:textId="77777777" w:rsidR="00990B14" w:rsidRDefault="00000000">
            <w:pPr>
              <w:spacing w:before="20" w:after="20"/>
              <w:jc w:val="both"/>
            </w:pPr>
            <w:r>
              <w:rPr>
                <w:sz w:val="18"/>
                <w:szCs w:val="18"/>
              </w:rPr>
              <w:t>Expone el mapa con claridad.</w:t>
            </w:r>
          </w:p>
        </w:tc>
        <w:tc>
          <w:tcPr>
            <w:tcW w:w="2120" w:type="dxa"/>
            <w:shd w:val="clear" w:color="auto" w:fill="D9E2F3"/>
            <w:vAlign w:val="center"/>
          </w:tcPr>
          <w:p w14:paraId="34D397EF" w14:textId="77777777" w:rsidR="00990B14" w:rsidRDefault="00000000">
            <w:pPr>
              <w:spacing w:before="20" w:after="20"/>
              <w:jc w:val="both"/>
            </w:pPr>
            <w:r>
              <w:rPr>
                <w:sz w:val="18"/>
                <w:szCs w:val="18"/>
              </w:rPr>
              <w:t>Responde con solvencia las preguntas del curso.</w:t>
            </w:r>
          </w:p>
        </w:tc>
      </w:tr>
      <w:tr w:rsidR="00990B14" w14:paraId="1241E3B5" w14:textId="77777777">
        <w:trPr>
          <w:cantSplit/>
          <w:jc w:val="center"/>
        </w:trPr>
        <w:tc>
          <w:tcPr>
            <w:tcW w:w="1635" w:type="dxa"/>
            <w:vMerge/>
            <w:shd w:val="clear" w:color="auto" w:fill="4472C4"/>
            <w:vAlign w:val="center"/>
          </w:tcPr>
          <w:p w14:paraId="0BB2DEB4" w14:textId="77777777" w:rsidR="00990B14" w:rsidRDefault="00990B14">
            <w:pPr>
              <w:spacing w:before="20" w:after="20"/>
            </w:pPr>
          </w:p>
        </w:tc>
        <w:tc>
          <w:tcPr>
            <w:tcW w:w="5650" w:type="dxa"/>
            <w:gridSpan w:val="3"/>
            <w:shd w:val="clear" w:color="auto" w:fill="D9E2F3"/>
            <w:vAlign w:val="center"/>
          </w:tcPr>
          <w:p w14:paraId="68166453" w14:textId="77777777" w:rsidR="00990B14" w:rsidRDefault="00000000">
            <w:pPr>
              <w:keepNext/>
              <w:spacing w:before="20" w:after="20"/>
              <w:jc w:val="both"/>
            </w:pPr>
            <w:r>
              <w:rPr>
                <w:b/>
                <w:bCs/>
                <w:i/>
                <w:iCs/>
                <w:sz w:val="18"/>
                <w:szCs w:val="18"/>
              </w:rPr>
              <w:t xml:space="preserve">Producto 4: </w:t>
            </w:r>
            <w:r>
              <w:rPr>
                <w:sz w:val="18"/>
                <w:szCs w:val="18"/>
              </w:rPr>
              <w:t>Tablero de indicadores del talento humano</w:t>
            </w:r>
          </w:p>
        </w:tc>
        <w:tc>
          <w:tcPr>
            <w:tcW w:w="2120" w:type="dxa"/>
            <w:shd w:val="clear" w:color="auto" w:fill="D9E2F3"/>
            <w:vAlign w:val="center"/>
          </w:tcPr>
          <w:p w14:paraId="3E13A230" w14:textId="77777777" w:rsidR="00990B14" w:rsidRDefault="00000000">
            <w:pPr>
              <w:spacing w:before="20" w:after="20"/>
              <w:jc w:val="center"/>
            </w:pPr>
            <w:r>
              <w:rPr>
                <w:b/>
                <w:bCs/>
                <w:sz w:val="18"/>
                <w:szCs w:val="18"/>
              </w:rPr>
              <w:t>5%</w:t>
            </w:r>
          </w:p>
        </w:tc>
      </w:tr>
      <w:tr w:rsidR="00990B14" w14:paraId="17BB5903" w14:textId="77777777">
        <w:trPr>
          <w:cantSplit/>
          <w:jc w:val="center"/>
        </w:trPr>
        <w:tc>
          <w:tcPr>
            <w:tcW w:w="1635" w:type="dxa"/>
            <w:vMerge/>
            <w:shd w:val="clear" w:color="auto" w:fill="4472C4"/>
            <w:vAlign w:val="center"/>
          </w:tcPr>
          <w:p w14:paraId="04C9492F" w14:textId="77777777" w:rsidR="00990B14" w:rsidRDefault="00990B14">
            <w:pPr>
              <w:spacing w:before="20" w:after="20"/>
            </w:pPr>
          </w:p>
        </w:tc>
        <w:tc>
          <w:tcPr>
            <w:tcW w:w="1910" w:type="dxa"/>
            <w:shd w:val="clear" w:color="auto" w:fill="4472C4"/>
            <w:vAlign w:val="center"/>
          </w:tcPr>
          <w:p w14:paraId="39094CEB"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34D899BB" w14:textId="77777777" w:rsidR="00990B14" w:rsidRDefault="00000000">
            <w:pPr>
              <w:keepNext/>
              <w:spacing w:before="20" w:after="20"/>
              <w:jc w:val="center"/>
            </w:pPr>
            <w:r>
              <w:rPr>
                <w:b/>
                <w:bCs/>
                <w:i/>
                <w:iCs/>
                <w:color w:val="FFFFFF"/>
                <w:sz w:val="18"/>
                <w:szCs w:val="18"/>
              </w:rPr>
              <w:t>Insuficiente (1–50)</w:t>
            </w:r>
          </w:p>
        </w:tc>
        <w:tc>
          <w:tcPr>
            <w:tcW w:w="1830" w:type="dxa"/>
            <w:shd w:val="clear" w:color="auto" w:fill="4472C4"/>
            <w:vAlign w:val="center"/>
          </w:tcPr>
          <w:p w14:paraId="748E63E9"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159BDEB4" w14:textId="77777777" w:rsidR="00990B14" w:rsidRDefault="00000000">
            <w:pPr>
              <w:keepNext/>
              <w:spacing w:before="20" w:after="20"/>
              <w:jc w:val="center"/>
            </w:pPr>
            <w:r>
              <w:rPr>
                <w:b/>
                <w:bCs/>
                <w:i/>
                <w:iCs/>
                <w:color w:val="FFFFFF"/>
                <w:sz w:val="18"/>
                <w:szCs w:val="18"/>
              </w:rPr>
              <w:t>Destacado (81–100)</w:t>
            </w:r>
          </w:p>
        </w:tc>
      </w:tr>
      <w:tr w:rsidR="00990B14" w14:paraId="126E0C98" w14:textId="77777777">
        <w:trPr>
          <w:cantSplit/>
          <w:jc w:val="center"/>
        </w:trPr>
        <w:tc>
          <w:tcPr>
            <w:tcW w:w="1635" w:type="dxa"/>
            <w:vMerge/>
            <w:shd w:val="clear" w:color="auto" w:fill="4472C4"/>
            <w:vAlign w:val="center"/>
          </w:tcPr>
          <w:p w14:paraId="095295B8" w14:textId="77777777" w:rsidR="00990B14" w:rsidRDefault="00990B14">
            <w:pPr>
              <w:spacing w:before="20" w:after="20"/>
            </w:pPr>
          </w:p>
        </w:tc>
        <w:tc>
          <w:tcPr>
            <w:tcW w:w="1910" w:type="dxa"/>
            <w:shd w:val="clear" w:color="auto" w:fill="D9E2F3"/>
            <w:vAlign w:val="center"/>
          </w:tcPr>
          <w:p w14:paraId="40466E37" w14:textId="77777777" w:rsidR="00990B14" w:rsidRDefault="00000000">
            <w:pPr>
              <w:spacing w:before="20" w:after="20"/>
              <w:jc w:val="both"/>
            </w:pPr>
            <w:r>
              <w:rPr>
                <w:sz w:val="18"/>
                <w:szCs w:val="18"/>
              </w:rPr>
              <w:t>Cálculo de indicadores</w:t>
            </w:r>
          </w:p>
        </w:tc>
        <w:tc>
          <w:tcPr>
            <w:tcW w:w="1910" w:type="dxa"/>
            <w:shd w:val="clear" w:color="auto" w:fill="D9E2F3"/>
            <w:vAlign w:val="center"/>
          </w:tcPr>
          <w:p w14:paraId="68FEFA90" w14:textId="77777777" w:rsidR="00990B14" w:rsidRDefault="00000000">
            <w:pPr>
              <w:spacing w:before="20" w:after="20"/>
              <w:jc w:val="both"/>
            </w:pPr>
            <w:r>
              <w:rPr>
                <w:sz w:val="18"/>
                <w:szCs w:val="18"/>
              </w:rPr>
              <w:t>Calcula erróneamente los indicadores.</w:t>
            </w:r>
          </w:p>
        </w:tc>
        <w:tc>
          <w:tcPr>
            <w:tcW w:w="1830" w:type="dxa"/>
            <w:shd w:val="clear" w:color="auto" w:fill="D9E2F3"/>
            <w:vAlign w:val="center"/>
          </w:tcPr>
          <w:p w14:paraId="18DF4433" w14:textId="77777777" w:rsidR="00990B14" w:rsidRDefault="00000000">
            <w:pPr>
              <w:spacing w:before="20" w:after="20"/>
              <w:jc w:val="both"/>
            </w:pPr>
            <w:r>
              <w:rPr>
                <w:sz w:val="18"/>
                <w:szCs w:val="18"/>
              </w:rPr>
              <w:t>Calcula correctamente la rotación, el ausentismo, la capacitación y el costo laboral.</w:t>
            </w:r>
          </w:p>
        </w:tc>
        <w:tc>
          <w:tcPr>
            <w:tcW w:w="2120" w:type="dxa"/>
            <w:shd w:val="clear" w:color="auto" w:fill="D9E2F3"/>
            <w:vAlign w:val="center"/>
          </w:tcPr>
          <w:p w14:paraId="484822DB" w14:textId="77777777" w:rsidR="00990B14" w:rsidRDefault="00000000">
            <w:pPr>
              <w:spacing w:before="20" w:after="20"/>
              <w:jc w:val="both"/>
            </w:pPr>
            <w:r>
              <w:rPr>
                <w:sz w:val="18"/>
                <w:szCs w:val="18"/>
              </w:rPr>
              <w:t>Interpreta las tendencias de los indicadores.</w:t>
            </w:r>
          </w:p>
        </w:tc>
      </w:tr>
      <w:tr w:rsidR="00990B14" w14:paraId="1ABA7E09" w14:textId="77777777">
        <w:trPr>
          <w:cantSplit/>
          <w:jc w:val="center"/>
        </w:trPr>
        <w:tc>
          <w:tcPr>
            <w:tcW w:w="1635" w:type="dxa"/>
            <w:vMerge/>
            <w:shd w:val="clear" w:color="auto" w:fill="4472C4"/>
            <w:vAlign w:val="center"/>
          </w:tcPr>
          <w:p w14:paraId="22E5DF50" w14:textId="77777777" w:rsidR="00990B14" w:rsidRDefault="00990B14">
            <w:pPr>
              <w:spacing w:before="20" w:after="20"/>
            </w:pPr>
          </w:p>
        </w:tc>
        <w:tc>
          <w:tcPr>
            <w:tcW w:w="1910" w:type="dxa"/>
            <w:shd w:val="clear" w:color="auto" w:fill="D9E2F3"/>
            <w:vAlign w:val="center"/>
          </w:tcPr>
          <w:p w14:paraId="67B4CD76" w14:textId="77777777" w:rsidR="00990B14" w:rsidRDefault="00000000">
            <w:pPr>
              <w:spacing w:before="20" w:after="20"/>
              <w:jc w:val="both"/>
            </w:pPr>
            <w:r>
              <w:rPr>
                <w:sz w:val="18"/>
                <w:szCs w:val="18"/>
              </w:rPr>
              <w:t>Uso de la hoja de cálculo</w:t>
            </w:r>
          </w:p>
        </w:tc>
        <w:tc>
          <w:tcPr>
            <w:tcW w:w="1910" w:type="dxa"/>
            <w:shd w:val="clear" w:color="auto" w:fill="D9E2F3"/>
            <w:vAlign w:val="center"/>
          </w:tcPr>
          <w:p w14:paraId="1E3B1A0F" w14:textId="77777777" w:rsidR="00990B14" w:rsidRDefault="00000000">
            <w:pPr>
              <w:spacing w:before="20" w:after="20"/>
              <w:jc w:val="both"/>
            </w:pPr>
            <w:r>
              <w:rPr>
                <w:sz w:val="18"/>
                <w:szCs w:val="18"/>
              </w:rPr>
              <w:t>No usa fórmulas.</w:t>
            </w:r>
          </w:p>
        </w:tc>
        <w:tc>
          <w:tcPr>
            <w:tcW w:w="1830" w:type="dxa"/>
            <w:shd w:val="clear" w:color="auto" w:fill="D9E2F3"/>
            <w:vAlign w:val="center"/>
          </w:tcPr>
          <w:p w14:paraId="5C638465" w14:textId="77777777" w:rsidR="00990B14" w:rsidRDefault="00000000">
            <w:pPr>
              <w:spacing w:before="20" w:after="20"/>
              <w:jc w:val="both"/>
            </w:pPr>
            <w:r>
              <w:rPr>
                <w:sz w:val="18"/>
                <w:szCs w:val="18"/>
              </w:rPr>
              <w:t>Usa fórmulas y gráficos.</w:t>
            </w:r>
          </w:p>
        </w:tc>
        <w:tc>
          <w:tcPr>
            <w:tcW w:w="2120" w:type="dxa"/>
            <w:shd w:val="clear" w:color="auto" w:fill="D9E2F3"/>
            <w:vAlign w:val="center"/>
          </w:tcPr>
          <w:p w14:paraId="70DAF373" w14:textId="77777777" w:rsidR="00990B14" w:rsidRDefault="00000000">
            <w:pPr>
              <w:spacing w:before="20" w:after="20"/>
              <w:jc w:val="both"/>
            </w:pPr>
            <w:r>
              <w:rPr>
                <w:sz w:val="18"/>
                <w:szCs w:val="18"/>
              </w:rPr>
              <w:t>El tablero es reutilizable y verificable.</w:t>
            </w:r>
          </w:p>
        </w:tc>
      </w:tr>
      <w:tr w:rsidR="00990B14" w14:paraId="6FE97B78" w14:textId="77777777">
        <w:trPr>
          <w:cantSplit/>
          <w:jc w:val="center"/>
        </w:trPr>
        <w:tc>
          <w:tcPr>
            <w:tcW w:w="1635" w:type="dxa"/>
            <w:vMerge/>
            <w:shd w:val="clear" w:color="auto" w:fill="4472C4"/>
            <w:vAlign w:val="center"/>
          </w:tcPr>
          <w:p w14:paraId="7F81F176" w14:textId="77777777" w:rsidR="00990B14" w:rsidRDefault="00990B14">
            <w:pPr>
              <w:spacing w:before="20" w:after="20"/>
            </w:pPr>
          </w:p>
        </w:tc>
        <w:tc>
          <w:tcPr>
            <w:tcW w:w="1910" w:type="dxa"/>
            <w:shd w:val="clear" w:color="auto" w:fill="D9E2F3"/>
            <w:vAlign w:val="center"/>
          </w:tcPr>
          <w:p w14:paraId="37194609" w14:textId="77777777" w:rsidR="00990B14" w:rsidRDefault="00000000">
            <w:pPr>
              <w:spacing w:before="20" w:after="20"/>
              <w:jc w:val="both"/>
            </w:pPr>
            <w:r>
              <w:rPr>
                <w:sz w:val="18"/>
                <w:szCs w:val="18"/>
              </w:rPr>
              <w:t>Confidencialidad de datos</w:t>
            </w:r>
          </w:p>
        </w:tc>
        <w:tc>
          <w:tcPr>
            <w:tcW w:w="1910" w:type="dxa"/>
            <w:shd w:val="clear" w:color="auto" w:fill="D9E2F3"/>
            <w:vAlign w:val="center"/>
          </w:tcPr>
          <w:p w14:paraId="5FA09F02" w14:textId="77777777" w:rsidR="00990B14" w:rsidRDefault="00000000">
            <w:pPr>
              <w:spacing w:before="20" w:after="20"/>
              <w:jc w:val="both"/>
            </w:pPr>
            <w:r>
              <w:rPr>
                <w:sz w:val="18"/>
                <w:szCs w:val="18"/>
              </w:rPr>
              <w:t>Expone datos personales identificables.</w:t>
            </w:r>
          </w:p>
        </w:tc>
        <w:tc>
          <w:tcPr>
            <w:tcW w:w="1830" w:type="dxa"/>
            <w:shd w:val="clear" w:color="auto" w:fill="D9E2F3"/>
            <w:vAlign w:val="center"/>
          </w:tcPr>
          <w:p w14:paraId="30010477" w14:textId="77777777" w:rsidR="00990B14" w:rsidRDefault="00000000">
            <w:pPr>
              <w:spacing w:before="20" w:after="20"/>
              <w:jc w:val="both"/>
            </w:pPr>
            <w:r>
              <w:rPr>
                <w:sz w:val="18"/>
                <w:szCs w:val="18"/>
              </w:rPr>
              <w:t>Usa datos agregados y protege la identidad del personal.</w:t>
            </w:r>
          </w:p>
        </w:tc>
        <w:tc>
          <w:tcPr>
            <w:tcW w:w="2120" w:type="dxa"/>
            <w:shd w:val="clear" w:color="auto" w:fill="D9E2F3"/>
            <w:vAlign w:val="center"/>
          </w:tcPr>
          <w:p w14:paraId="321522EC" w14:textId="77777777" w:rsidR="00990B14" w:rsidRDefault="00000000">
            <w:pPr>
              <w:spacing w:before="20" w:after="20"/>
              <w:jc w:val="both"/>
            </w:pPr>
            <w:r>
              <w:rPr>
                <w:sz w:val="18"/>
                <w:szCs w:val="18"/>
              </w:rPr>
              <w:t>Justifica las medidas de confidencialidad aplicadas.</w:t>
            </w:r>
          </w:p>
        </w:tc>
      </w:tr>
      <w:tr w:rsidR="00990B14" w14:paraId="0667689F" w14:textId="77777777">
        <w:trPr>
          <w:cantSplit/>
          <w:jc w:val="center"/>
        </w:trPr>
        <w:tc>
          <w:tcPr>
            <w:tcW w:w="1635" w:type="dxa"/>
            <w:vMerge/>
            <w:shd w:val="clear" w:color="auto" w:fill="4472C4"/>
            <w:vAlign w:val="center"/>
          </w:tcPr>
          <w:p w14:paraId="6B328C39" w14:textId="77777777" w:rsidR="00990B14" w:rsidRDefault="00990B14">
            <w:pPr>
              <w:spacing w:before="20" w:after="20"/>
            </w:pPr>
          </w:p>
        </w:tc>
        <w:tc>
          <w:tcPr>
            <w:tcW w:w="5650" w:type="dxa"/>
            <w:gridSpan w:val="3"/>
            <w:shd w:val="clear" w:color="auto" w:fill="D9E2F3"/>
            <w:vAlign w:val="center"/>
          </w:tcPr>
          <w:p w14:paraId="0D3A5AA0" w14:textId="77777777" w:rsidR="00990B14" w:rsidRDefault="00000000">
            <w:pPr>
              <w:keepNext/>
              <w:spacing w:before="20" w:after="20"/>
              <w:jc w:val="both"/>
            </w:pPr>
            <w:r>
              <w:rPr>
                <w:b/>
                <w:bCs/>
                <w:i/>
                <w:iCs/>
                <w:sz w:val="18"/>
                <w:szCs w:val="18"/>
              </w:rPr>
              <w:t xml:space="preserve">Producto 5: </w:t>
            </w:r>
            <w:r>
              <w:rPr>
                <w:sz w:val="18"/>
                <w:szCs w:val="18"/>
              </w:rPr>
              <w:t>Cuadro comparativo de los modelos de desarrollo organizacional</w:t>
            </w:r>
          </w:p>
        </w:tc>
        <w:tc>
          <w:tcPr>
            <w:tcW w:w="2120" w:type="dxa"/>
            <w:shd w:val="clear" w:color="auto" w:fill="D9E2F3"/>
            <w:vAlign w:val="center"/>
          </w:tcPr>
          <w:p w14:paraId="12B35F9B" w14:textId="77777777" w:rsidR="00990B14" w:rsidRDefault="00000000">
            <w:pPr>
              <w:spacing w:before="20" w:after="20"/>
              <w:jc w:val="center"/>
            </w:pPr>
            <w:r>
              <w:rPr>
                <w:b/>
                <w:bCs/>
                <w:sz w:val="18"/>
                <w:szCs w:val="18"/>
              </w:rPr>
              <w:t>5%</w:t>
            </w:r>
          </w:p>
        </w:tc>
      </w:tr>
      <w:tr w:rsidR="00990B14" w14:paraId="34278B1D" w14:textId="77777777">
        <w:trPr>
          <w:cantSplit/>
          <w:jc w:val="center"/>
        </w:trPr>
        <w:tc>
          <w:tcPr>
            <w:tcW w:w="1635" w:type="dxa"/>
            <w:vMerge/>
            <w:shd w:val="clear" w:color="auto" w:fill="4472C4"/>
            <w:vAlign w:val="center"/>
          </w:tcPr>
          <w:p w14:paraId="48254ECA" w14:textId="77777777" w:rsidR="00990B14" w:rsidRDefault="00990B14">
            <w:pPr>
              <w:spacing w:before="20" w:after="20"/>
            </w:pPr>
          </w:p>
        </w:tc>
        <w:tc>
          <w:tcPr>
            <w:tcW w:w="1910" w:type="dxa"/>
            <w:shd w:val="clear" w:color="auto" w:fill="4472C4"/>
            <w:vAlign w:val="center"/>
          </w:tcPr>
          <w:p w14:paraId="5A4C699B"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407C516D" w14:textId="77777777" w:rsidR="00990B14" w:rsidRDefault="00000000">
            <w:pPr>
              <w:keepNext/>
              <w:spacing w:before="20" w:after="20"/>
              <w:jc w:val="center"/>
            </w:pPr>
            <w:r>
              <w:rPr>
                <w:b/>
                <w:bCs/>
                <w:i/>
                <w:iCs/>
                <w:color w:val="FFFFFF"/>
                <w:sz w:val="18"/>
                <w:szCs w:val="18"/>
              </w:rPr>
              <w:t>Insuficiente (1–50)</w:t>
            </w:r>
          </w:p>
        </w:tc>
        <w:tc>
          <w:tcPr>
            <w:tcW w:w="1830" w:type="dxa"/>
            <w:shd w:val="clear" w:color="auto" w:fill="4472C4"/>
            <w:vAlign w:val="center"/>
          </w:tcPr>
          <w:p w14:paraId="7C4C8E92"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20067E49" w14:textId="77777777" w:rsidR="00990B14" w:rsidRDefault="00000000">
            <w:pPr>
              <w:keepNext/>
              <w:spacing w:before="20" w:after="20"/>
              <w:jc w:val="center"/>
            </w:pPr>
            <w:r>
              <w:rPr>
                <w:b/>
                <w:bCs/>
                <w:i/>
                <w:iCs/>
                <w:color w:val="FFFFFF"/>
                <w:sz w:val="18"/>
                <w:szCs w:val="18"/>
              </w:rPr>
              <w:t>Destacado (81–100)</w:t>
            </w:r>
          </w:p>
        </w:tc>
      </w:tr>
      <w:tr w:rsidR="00990B14" w14:paraId="1466A6A0" w14:textId="77777777">
        <w:trPr>
          <w:cantSplit/>
          <w:jc w:val="center"/>
        </w:trPr>
        <w:tc>
          <w:tcPr>
            <w:tcW w:w="1635" w:type="dxa"/>
            <w:vMerge/>
            <w:shd w:val="clear" w:color="auto" w:fill="4472C4"/>
            <w:vAlign w:val="center"/>
          </w:tcPr>
          <w:p w14:paraId="6C10B425" w14:textId="77777777" w:rsidR="00990B14" w:rsidRDefault="00990B14">
            <w:pPr>
              <w:spacing w:before="20" w:after="20"/>
            </w:pPr>
          </w:p>
        </w:tc>
        <w:tc>
          <w:tcPr>
            <w:tcW w:w="1910" w:type="dxa"/>
            <w:shd w:val="clear" w:color="auto" w:fill="D9E2F3"/>
            <w:vAlign w:val="center"/>
          </w:tcPr>
          <w:p w14:paraId="57DBDCC3" w14:textId="77777777" w:rsidR="00990B14" w:rsidRDefault="00000000">
            <w:pPr>
              <w:spacing w:before="20" w:after="20"/>
              <w:jc w:val="both"/>
            </w:pPr>
            <w:r>
              <w:rPr>
                <w:sz w:val="18"/>
                <w:szCs w:val="18"/>
              </w:rPr>
              <w:t>Fases de cada modelo</w:t>
            </w:r>
          </w:p>
        </w:tc>
        <w:tc>
          <w:tcPr>
            <w:tcW w:w="1910" w:type="dxa"/>
            <w:shd w:val="clear" w:color="auto" w:fill="D9E2F3"/>
            <w:vAlign w:val="center"/>
          </w:tcPr>
          <w:p w14:paraId="28B0FF48" w14:textId="77777777" w:rsidR="00990B14" w:rsidRDefault="00000000">
            <w:pPr>
              <w:spacing w:before="20" w:after="20"/>
              <w:jc w:val="both"/>
            </w:pPr>
            <w:r>
              <w:rPr>
                <w:sz w:val="18"/>
                <w:szCs w:val="18"/>
              </w:rPr>
              <w:t>Omite fases de algún modelo.</w:t>
            </w:r>
          </w:p>
        </w:tc>
        <w:tc>
          <w:tcPr>
            <w:tcW w:w="1830" w:type="dxa"/>
            <w:shd w:val="clear" w:color="auto" w:fill="D9E2F3"/>
            <w:vAlign w:val="center"/>
          </w:tcPr>
          <w:p w14:paraId="293E29DA" w14:textId="77777777" w:rsidR="00990B14" w:rsidRDefault="00000000">
            <w:pPr>
              <w:spacing w:before="20" w:after="20"/>
              <w:jc w:val="both"/>
            </w:pPr>
            <w:r>
              <w:rPr>
                <w:sz w:val="18"/>
                <w:szCs w:val="18"/>
              </w:rPr>
              <w:t>Describe correctamente las fases de los tres modelos.</w:t>
            </w:r>
          </w:p>
        </w:tc>
        <w:tc>
          <w:tcPr>
            <w:tcW w:w="2120" w:type="dxa"/>
            <w:shd w:val="clear" w:color="auto" w:fill="D9E2F3"/>
            <w:vAlign w:val="center"/>
          </w:tcPr>
          <w:p w14:paraId="50D8489E" w14:textId="77777777" w:rsidR="00990B14" w:rsidRDefault="00000000">
            <w:pPr>
              <w:spacing w:before="20" w:after="20"/>
              <w:jc w:val="both"/>
            </w:pPr>
            <w:r>
              <w:rPr>
                <w:sz w:val="18"/>
                <w:szCs w:val="18"/>
              </w:rPr>
              <w:t>Explica las diferencias de enfoque entre los modelos.</w:t>
            </w:r>
          </w:p>
        </w:tc>
      </w:tr>
      <w:tr w:rsidR="00990B14" w14:paraId="749A6370" w14:textId="77777777">
        <w:trPr>
          <w:cantSplit/>
          <w:jc w:val="center"/>
        </w:trPr>
        <w:tc>
          <w:tcPr>
            <w:tcW w:w="1635" w:type="dxa"/>
            <w:vMerge/>
            <w:shd w:val="clear" w:color="auto" w:fill="4472C4"/>
            <w:vAlign w:val="center"/>
          </w:tcPr>
          <w:p w14:paraId="4112F7B4" w14:textId="77777777" w:rsidR="00990B14" w:rsidRDefault="00990B14">
            <w:pPr>
              <w:spacing w:before="20" w:after="20"/>
            </w:pPr>
          </w:p>
        </w:tc>
        <w:tc>
          <w:tcPr>
            <w:tcW w:w="1910" w:type="dxa"/>
            <w:shd w:val="clear" w:color="auto" w:fill="D9E2F3"/>
            <w:vAlign w:val="center"/>
          </w:tcPr>
          <w:p w14:paraId="0FB59B58" w14:textId="77777777" w:rsidR="00990B14" w:rsidRDefault="00000000">
            <w:pPr>
              <w:spacing w:before="20" w:after="20"/>
              <w:jc w:val="both"/>
            </w:pPr>
            <w:r>
              <w:rPr>
                <w:sz w:val="18"/>
                <w:szCs w:val="18"/>
              </w:rPr>
              <w:t>Criterios de comparación</w:t>
            </w:r>
          </w:p>
        </w:tc>
        <w:tc>
          <w:tcPr>
            <w:tcW w:w="1910" w:type="dxa"/>
            <w:shd w:val="clear" w:color="auto" w:fill="D9E2F3"/>
            <w:vAlign w:val="center"/>
          </w:tcPr>
          <w:p w14:paraId="45154879" w14:textId="77777777" w:rsidR="00990B14" w:rsidRDefault="00000000">
            <w:pPr>
              <w:spacing w:before="20" w:after="20"/>
              <w:jc w:val="both"/>
            </w:pPr>
            <w:r>
              <w:rPr>
                <w:sz w:val="18"/>
                <w:szCs w:val="18"/>
              </w:rPr>
              <w:t>Los criterios de comparación son vagos.</w:t>
            </w:r>
          </w:p>
        </w:tc>
        <w:tc>
          <w:tcPr>
            <w:tcW w:w="1830" w:type="dxa"/>
            <w:shd w:val="clear" w:color="auto" w:fill="D9E2F3"/>
            <w:vAlign w:val="center"/>
          </w:tcPr>
          <w:p w14:paraId="5C8A2B10" w14:textId="77777777" w:rsidR="00990B14" w:rsidRDefault="00000000">
            <w:pPr>
              <w:spacing w:before="20" w:after="20"/>
              <w:jc w:val="both"/>
            </w:pPr>
            <w:r>
              <w:rPr>
                <w:sz w:val="18"/>
                <w:szCs w:val="18"/>
              </w:rPr>
              <w:t>Compara los modelos con criterios pertinentes.</w:t>
            </w:r>
          </w:p>
        </w:tc>
        <w:tc>
          <w:tcPr>
            <w:tcW w:w="2120" w:type="dxa"/>
            <w:shd w:val="clear" w:color="auto" w:fill="D9E2F3"/>
            <w:vAlign w:val="center"/>
          </w:tcPr>
          <w:p w14:paraId="3BA2EE3D" w14:textId="77777777" w:rsidR="00990B14" w:rsidRDefault="00000000">
            <w:pPr>
              <w:spacing w:before="20" w:after="20"/>
              <w:jc w:val="both"/>
            </w:pPr>
            <w:r>
              <w:rPr>
                <w:sz w:val="18"/>
                <w:szCs w:val="18"/>
              </w:rPr>
              <w:t>Señala en qué situación conviene cada modelo.</w:t>
            </w:r>
          </w:p>
        </w:tc>
      </w:tr>
      <w:tr w:rsidR="00990B14" w14:paraId="16DF517B" w14:textId="77777777">
        <w:trPr>
          <w:cantSplit/>
          <w:jc w:val="center"/>
        </w:trPr>
        <w:tc>
          <w:tcPr>
            <w:tcW w:w="1635" w:type="dxa"/>
            <w:vMerge/>
            <w:shd w:val="clear" w:color="auto" w:fill="4472C4"/>
            <w:vAlign w:val="center"/>
          </w:tcPr>
          <w:p w14:paraId="61E5B240" w14:textId="77777777" w:rsidR="00990B14" w:rsidRDefault="00990B14">
            <w:pPr>
              <w:spacing w:before="20" w:after="20"/>
            </w:pPr>
          </w:p>
        </w:tc>
        <w:tc>
          <w:tcPr>
            <w:tcW w:w="1910" w:type="dxa"/>
            <w:shd w:val="clear" w:color="auto" w:fill="D9E2F3"/>
            <w:vAlign w:val="center"/>
          </w:tcPr>
          <w:p w14:paraId="43F4371D" w14:textId="77777777" w:rsidR="00990B14" w:rsidRDefault="00000000">
            <w:pPr>
              <w:spacing w:before="20" w:after="20"/>
              <w:jc w:val="both"/>
            </w:pPr>
            <w:r>
              <w:rPr>
                <w:sz w:val="18"/>
                <w:szCs w:val="18"/>
              </w:rPr>
              <w:t>Sustento bibliográfico</w:t>
            </w:r>
          </w:p>
        </w:tc>
        <w:tc>
          <w:tcPr>
            <w:tcW w:w="1910" w:type="dxa"/>
            <w:shd w:val="clear" w:color="auto" w:fill="D9E2F3"/>
            <w:vAlign w:val="center"/>
          </w:tcPr>
          <w:p w14:paraId="0AF322AA" w14:textId="77777777" w:rsidR="00990B14" w:rsidRDefault="00000000">
            <w:pPr>
              <w:spacing w:before="20" w:after="20"/>
              <w:jc w:val="both"/>
            </w:pPr>
            <w:r>
              <w:rPr>
                <w:sz w:val="18"/>
                <w:szCs w:val="18"/>
              </w:rPr>
              <w:t>No cita fuentes.</w:t>
            </w:r>
          </w:p>
        </w:tc>
        <w:tc>
          <w:tcPr>
            <w:tcW w:w="1830" w:type="dxa"/>
            <w:shd w:val="clear" w:color="auto" w:fill="D9E2F3"/>
            <w:vAlign w:val="center"/>
          </w:tcPr>
          <w:p w14:paraId="2C85800B" w14:textId="77777777" w:rsidR="00990B14" w:rsidRDefault="00000000">
            <w:pPr>
              <w:spacing w:before="20" w:after="20"/>
              <w:jc w:val="both"/>
            </w:pPr>
            <w:r>
              <w:rPr>
                <w:sz w:val="18"/>
                <w:szCs w:val="18"/>
              </w:rPr>
              <w:t>Sustenta el cuadro en la bibliografía básica.</w:t>
            </w:r>
          </w:p>
        </w:tc>
        <w:tc>
          <w:tcPr>
            <w:tcW w:w="2120" w:type="dxa"/>
            <w:shd w:val="clear" w:color="auto" w:fill="D9E2F3"/>
            <w:vAlign w:val="center"/>
          </w:tcPr>
          <w:p w14:paraId="188DE6E3" w14:textId="77777777" w:rsidR="00990B14" w:rsidRDefault="00000000">
            <w:pPr>
              <w:spacing w:before="20" w:after="20"/>
              <w:jc w:val="both"/>
            </w:pPr>
            <w:r>
              <w:rPr>
                <w:sz w:val="18"/>
                <w:szCs w:val="18"/>
              </w:rPr>
              <w:t>Contrasta la posición de varios autores.</w:t>
            </w:r>
          </w:p>
        </w:tc>
      </w:tr>
      <w:tr w:rsidR="00990B14" w14:paraId="6D21EE46" w14:textId="77777777">
        <w:trPr>
          <w:cantSplit/>
          <w:jc w:val="center"/>
        </w:trPr>
        <w:tc>
          <w:tcPr>
            <w:tcW w:w="1635" w:type="dxa"/>
            <w:vMerge/>
            <w:shd w:val="clear" w:color="auto" w:fill="4472C4"/>
            <w:vAlign w:val="center"/>
          </w:tcPr>
          <w:p w14:paraId="1045AC4F" w14:textId="77777777" w:rsidR="00990B14" w:rsidRDefault="00990B14">
            <w:pPr>
              <w:spacing w:before="20" w:after="20"/>
            </w:pPr>
          </w:p>
        </w:tc>
        <w:tc>
          <w:tcPr>
            <w:tcW w:w="5650" w:type="dxa"/>
            <w:gridSpan w:val="3"/>
            <w:shd w:val="clear" w:color="auto" w:fill="D9E2F3"/>
            <w:vAlign w:val="center"/>
          </w:tcPr>
          <w:p w14:paraId="5BF01742" w14:textId="77777777" w:rsidR="00990B14" w:rsidRDefault="00000000">
            <w:pPr>
              <w:keepNext/>
              <w:spacing w:before="20" w:after="20"/>
              <w:jc w:val="both"/>
            </w:pPr>
            <w:r>
              <w:rPr>
                <w:b/>
                <w:bCs/>
                <w:i/>
                <w:iCs/>
                <w:sz w:val="18"/>
                <w:szCs w:val="18"/>
              </w:rPr>
              <w:t xml:space="preserve">Producto 6: </w:t>
            </w:r>
            <w:r>
              <w:rPr>
                <w:sz w:val="18"/>
                <w:szCs w:val="18"/>
              </w:rPr>
              <w:t>Informe de análisis de una intervención de desarrollo organizacional</w:t>
            </w:r>
          </w:p>
        </w:tc>
        <w:tc>
          <w:tcPr>
            <w:tcW w:w="2120" w:type="dxa"/>
            <w:shd w:val="clear" w:color="auto" w:fill="D9E2F3"/>
            <w:vAlign w:val="center"/>
          </w:tcPr>
          <w:p w14:paraId="24B92089" w14:textId="77777777" w:rsidR="00990B14" w:rsidRDefault="00000000">
            <w:pPr>
              <w:spacing w:before="20" w:after="20"/>
              <w:jc w:val="center"/>
            </w:pPr>
            <w:r>
              <w:rPr>
                <w:b/>
                <w:bCs/>
                <w:sz w:val="18"/>
                <w:szCs w:val="18"/>
              </w:rPr>
              <w:t>5%</w:t>
            </w:r>
          </w:p>
        </w:tc>
      </w:tr>
      <w:tr w:rsidR="00990B14" w14:paraId="109648A2" w14:textId="77777777">
        <w:trPr>
          <w:cantSplit/>
          <w:jc w:val="center"/>
        </w:trPr>
        <w:tc>
          <w:tcPr>
            <w:tcW w:w="1635" w:type="dxa"/>
            <w:vMerge/>
            <w:shd w:val="clear" w:color="auto" w:fill="4472C4"/>
            <w:vAlign w:val="center"/>
          </w:tcPr>
          <w:p w14:paraId="49BEF0B6" w14:textId="77777777" w:rsidR="00990B14" w:rsidRDefault="00990B14">
            <w:pPr>
              <w:spacing w:before="20" w:after="20"/>
            </w:pPr>
          </w:p>
        </w:tc>
        <w:tc>
          <w:tcPr>
            <w:tcW w:w="1910" w:type="dxa"/>
            <w:shd w:val="clear" w:color="auto" w:fill="4472C4"/>
            <w:vAlign w:val="center"/>
          </w:tcPr>
          <w:p w14:paraId="3D254491"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59C44F55" w14:textId="77777777" w:rsidR="00990B14" w:rsidRDefault="00000000">
            <w:pPr>
              <w:keepNext/>
              <w:spacing w:before="20" w:after="20"/>
              <w:jc w:val="center"/>
            </w:pPr>
            <w:r>
              <w:rPr>
                <w:b/>
                <w:bCs/>
                <w:i/>
                <w:iCs/>
                <w:color w:val="FFFFFF"/>
                <w:sz w:val="18"/>
                <w:szCs w:val="18"/>
              </w:rPr>
              <w:t>Insuficiente (1–50)</w:t>
            </w:r>
          </w:p>
        </w:tc>
        <w:tc>
          <w:tcPr>
            <w:tcW w:w="1830" w:type="dxa"/>
            <w:shd w:val="clear" w:color="auto" w:fill="4472C4"/>
            <w:vAlign w:val="center"/>
          </w:tcPr>
          <w:p w14:paraId="5B2455DB"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1BFE9491" w14:textId="77777777" w:rsidR="00990B14" w:rsidRDefault="00000000">
            <w:pPr>
              <w:keepNext/>
              <w:spacing w:before="20" w:after="20"/>
              <w:jc w:val="center"/>
            </w:pPr>
            <w:r>
              <w:rPr>
                <w:b/>
                <w:bCs/>
                <w:i/>
                <w:iCs/>
                <w:color w:val="FFFFFF"/>
                <w:sz w:val="18"/>
                <w:szCs w:val="18"/>
              </w:rPr>
              <w:t>Destacado (81–100)</w:t>
            </w:r>
          </w:p>
        </w:tc>
      </w:tr>
      <w:tr w:rsidR="00990B14" w14:paraId="351E1C98" w14:textId="77777777">
        <w:trPr>
          <w:cantSplit/>
          <w:jc w:val="center"/>
        </w:trPr>
        <w:tc>
          <w:tcPr>
            <w:tcW w:w="1635" w:type="dxa"/>
            <w:vMerge/>
            <w:shd w:val="clear" w:color="auto" w:fill="4472C4"/>
            <w:vAlign w:val="center"/>
          </w:tcPr>
          <w:p w14:paraId="706D2D0A" w14:textId="77777777" w:rsidR="00990B14" w:rsidRDefault="00990B14">
            <w:pPr>
              <w:spacing w:before="20" w:after="20"/>
            </w:pPr>
          </w:p>
        </w:tc>
        <w:tc>
          <w:tcPr>
            <w:tcW w:w="1910" w:type="dxa"/>
            <w:shd w:val="clear" w:color="auto" w:fill="D9E2F3"/>
            <w:vAlign w:val="center"/>
          </w:tcPr>
          <w:p w14:paraId="2765CFB2" w14:textId="77777777" w:rsidR="00990B14" w:rsidRDefault="00000000">
            <w:pPr>
              <w:spacing w:before="20" w:after="20"/>
              <w:jc w:val="both"/>
            </w:pPr>
            <w:r>
              <w:rPr>
                <w:sz w:val="18"/>
                <w:szCs w:val="18"/>
              </w:rPr>
              <w:t>Descripción de la intervención</w:t>
            </w:r>
          </w:p>
        </w:tc>
        <w:tc>
          <w:tcPr>
            <w:tcW w:w="1910" w:type="dxa"/>
            <w:shd w:val="clear" w:color="auto" w:fill="D9E2F3"/>
            <w:vAlign w:val="center"/>
          </w:tcPr>
          <w:p w14:paraId="07DDAB45" w14:textId="77777777" w:rsidR="00990B14" w:rsidRDefault="00000000">
            <w:pPr>
              <w:spacing w:before="20" w:after="20"/>
              <w:jc w:val="both"/>
            </w:pPr>
            <w:r>
              <w:rPr>
                <w:sz w:val="18"/>
                <w:szCs w:val="18"/>
              </w:rPr>
              <w:t>No identifica el problema ni la intervención aplicada.</w:t>
            </w:r>
          </w:p>
        </w:tc>
        <w:tc>
          <w:tcPr>
            <w:tcW w:w="1830" w:type="dxa"/>
            <w:shd w:val="clear" w:color="auto" w:fill="D9E2F3"/>
            <w:vAlign w:val="center"/>
          </w:tcPr>
          <w:p w14:paraId="5E00341B" w14:textId="77777777" w:rsidR="00990B14" w:rsidRDefault="00000000">
            <w:pPr>
              <w:spacing w:before="20" w:after="20"/>
              <w:jc w:val="both"/>
            </w:pPr>
            <w:r>
              <w:rPr>
                <w:sz w:val="18"/>
                <w:szCs w:val="18"/>
              </w:rPr>
              <w:t>Describe el problema, la intervención y sus etapas.</w:t>
            </w:r>
          </w:p>
        </w:tc>
        <w:tc>
          <w:tcPr>
            <w:tcW w:w="2120" w:type="dxa"/>
            <w:shd w:val="clear" w:color="auto" w:fill="D9E2F3"/>
            <w:vAlign w:val="center"/>
          </w:tcPr>
          <w:p w14:paraId="48DBD8EF" w14:textId="77777777" w:rsidR="00990B14" w:rsidRDefault="00000000">
            <w:pPr>
              <w:spacing w:before="20" w:after="20"/>
              <w:jc w:val="both"/>
            </w:pPr>
            <w:r>
              <w:rPr>
                <w:sz w:val="18"/>
                <w:szCs w:val="18"/>
              </w:rPr>
              <w:t>Relaciona la intervención con un modelo de desarrollo organizacional.</w:t>
            </w:r>
          </w:p>
        </w:tc>
      </w:tr>
      <w:tr w:rsidR="00990B14" w14:paraId="60AFBE56" w14:textId="77777777">
        <w:trPr>
          <w:cantSplit/>
          <w:jc w:val="center"/>
        </w:trPr>
        <w:tc>
          <w:tcPr>
            <w:tcW w:w="1635" w:type="dxa"/>
            <w:vMerge/>
            <w:shd w:val="clear" w:color="auto" w:fill="4472C4"/>
            <w:vAlign w:val="center"/>
          </w:tcPr>
          <w:p w14:paraId="5F3BCFE7" w14:textId="77777777" w:rsidR="00990B14" w:rsidRDefault="00990B14">
            <w:pPr>
              <w:spacing w:before="20" w:after="20"/>
            </w:pPr>
          </w:p>
        </w:tc>
        <w:tc>
          <w:tcPr>
            <w:tcW w:w="1910" w:type="dxa"/>
            <w:shd w:val="clear" w:color="auto" w:fill="D9E2F3"/>
            <w:vAlign w:val="center"/>
          </w:tcPr>
          <w:p w14:paraId="14A3C536" w14:textId="77777777" w:rsidR="00990B14" w:rsidRDefault="00000000">
            <w:pPr>
              <w:spacing w:before="20" w:after="20"/>
              <w:jc w:val="both"/>
            </w:pPr>
            <w:r>
              <w:rPr>
                <w:sz w:val="18"/>
                <w:szCs w:val="18"/>
              </w:rPr>
              <w:t>Resultados obtenidos</w:t>
            </w:r>
          </w:p>
        </w:tc>
        <w:tc>
          <w:tcPr>
            <w:tcW w:w="1910" w:type="dxa"/>
            <w:shd w:val="clear" w:color="auto" w:fill="D9E2F3"/>
            <w:vAlign w:val="center"/>
          </w:tcPr>
          <w:p w14:paraId="69D1587F" w14:textId="77777777" w:rsidR="00990B14" w:rsidRDefault="00000000">
            <w:pPr>
              <w:spacing w:before="20" w:after="20"/>
              <w:jc w:val="both"/>
            </w:pPr>
            <w:r>
              <w:rPr>
                <w:sz w:val="18"/>
                <w:szCs w:val="18"/>
              </w:rPr>
              <w:t>No identifica los resultados de la intervención.</w:t>
            </w:r>
          </w:p>
        </w:tc>
        <w:tc>
          <w:tcPr>
            <w:tcW w:w="1830" w:type="dxa"/>
            <w:shd w:val="clear" w:color="auto" w:fill="D9E2F3"/>
            <w:vAlign w:val="center"/>
          </w:tcPr>
          <w:p w14:paraId="1F3CDC9A" w14:textId="77777777" w:rsidR="00990B14" w:rsidRDefault="00000000">
            <w:pPr>
              <w:spacing w:before="20" w:after="20"/>
              <w:jc w:val="both"/>
            </w:pPr>
            <w:r>
              <w:rPr>
                <w:sz w:val="18"/>
                <w:szCs w:val="18"/>
              </w:rPr>
              <w:t>Describe los resultados con evidencia.</w:t>
            </w:r>
          </w:p>
        </w:tc>
        <w:tc>
          <w:tcPr>
            <w:tcW w:w="2120" w:type="dxa"/>
            <w:shd w:val="clear" w:color="auto" w:fill="D9E2F3"/>
            <w:vAlign w:val="center"/>
          </w:tcPr>
          <w:p w14:paraId="7CE7B8F6" w14:textId="77777777" w:rsidR="00990B14" w:rsidRDefault="00000000">
            <w:pPr>
              <w:spacing w:before="20" w:after="20"/>
              <w:jc w:val="both"/>
            </w:pPr>
            <w:r>
              <w:rPr>
                <w:sz w:val="18"/>
                <w:szCs w:val="18"/>
              </w:rPr>
              <w:t>Evalúa críticamente los resultados y sus causas.</w:t>
            </w:r>
          </w:p>
        </w:tc>
      </w:tr>
      <w:tr w:rsidR="00990B14" w14:paraId="4DD84130" w14:textId="77777777">
        <w:trPr>
          <w:cantSplit/>
          <w:jc w:val="center"/>
        </w:trPr>
        <w:tc>
          <w:tcPr>
            <w:tcW w:w="1635" w:type="dxa"/>
            <w:vMerge/>
            <w:shd w:val="clear" w:color="auto" w:fill="4472C4"/>
            <w:vAlign w:val="center"/>
          </w:tcPr>
          <w:p w14:paraId="5125C494" w14:textId="77777777" w:rsidR="00990B14" w:rsidRDefault="00990B14">
            <w:pPr>
              <w:spacing w:before="20" w:after="20"/>
            </w:pPr>
          </w:p>
        </w:tc>
        <w:tc>
          <w:tcPr>
            <w:tcW w:w="1910" w:type="dxa"/>
            <w:shd w:val="clear" w:color="auto" w:fill="D9E2F3"/>
            <w:vAlign w:val="center"/>
          </w:tcPr>
          <w:p w14:paraId="30F34BB7" w14:textId="77777777" w:rsidR="00990B14" w:rsidRDefault="00000000">
            <w:pPr>
              <w:spacing w:before="20" w:after="20"/>
              <w:jc w:val="both"/>
            </w:pPr>
            <w:r>
              <w:rPr>
                <w:sz w:val="18"/>
                <w:szCs w:val="18"/>
              </w:rPr>
              <w:t>Lecciones aprendidas</w:t>
            </w:r>
          </w:p>
        </w:tc>
        <w:tc>
          <w:tcPr>
            <w:tcW w:w="1910" w:type="dxa"/>
            <w:shd w:val="clear" w:color="auto" w:fill="D9E2F3"/>
            <w:vAlign w:val="center"/>
          </w:tcPr>
          <w:p w14:paraId="00AC7F2E" w14:textId="77777777" w:rsidR="00990B14" w:rsidRDefault="00000000">
            <w:pPr>
              <w:spacing w:before="20" w:after="20"/>
              <w:jc w:val="both"/>
            </w:pPr>
            <w:r>
              <w:rPr>
                <w:sz w:val="18"/>
                <w:szCs w:val="18"/>
              </w:rPr>
              <w:t>No formula aprendizajes.</w:t>
            </w:r>
          </w:p>
        </w:tc>
        <w:tc>
          <w:tcPr>
            <w:tcW w:w="1830" w:type="dxa"/>
            <w:shd w:val="clear" w:color="auto" w:fill="D9E2F3"/>
            <w:vAlign w:val="center"/>
          </w:tcPr>
          <w:p w14:paraId="7497B710" w14:textId="77777777" w:rsidR="00990B14" w:rsidRDefault="00000000">
            <w:pPr>
              <w:spacing w:before="20" w:after="20"/>
              <w:jc w:val="both"/>
            </w:pPr>
            <w:r>
              <w:rPr>
                <w:sz w:val="18"/>
                <w:szCs w:val="18"/>
              </w:rPr>
              <w:t>Formula aprendizajes pertinentes al caso.</w:t>
            </w:r>
          </w:p>
        </w:tc>
        <w:tc>
          <w:tcPr>
            <w:tcW w:w="2120" w:type="dxa"/>
            <w:shd w:val="clear" w:color="auto" w:fill="D9E2F3"/>
            <w:vAlign w:val="center"/>
          </w:tcPr>
          <w:p w14:paraId="7B56D938" w14:textId="77777777" w:rsidR="00990B14" w:rsidRDefault="00000000">
            <w:pPr>
              <w:spacing w:before="20" w:after="20"/>
              <w:jc w:val="both"/>
            </w:pPr>
            <w:r>
              <w:rPr>
                <w:sz w:val="18"/>
                <w:szCs w:val="18"/>
              </w:rPr>
              <w:t>Propone mejoras aplicables a otras organizaciones.</w:t>
            </w:r>
          </w:p>
        </w:tc>
      </w:tr>
      <w:tr w:rsidR="00990B14" w14:paraId="6BE4BDD5" w14:textId="77777777">
        <w:trPr>
          <w:cantSplit/>
          <w:jc w:val="center"/>
        </w:trPr>
        <w:tc>
          <w:tcPr>
            <w:tcW w:w="1635" w:type="dxa"/>
            <w:vMerge/>
            <w:shd w:val="clear" w:color="auto" w:fill="4472C4"/>
            <w:vAlign w:val="center"/>
          </w:tcPr>
          <w:p w14:paraId="7C49B469" w14:textId="77777777" w:rsidR="00990B14" w:rsidRDefault="00990B14">
            <w:pPr>
              <w:spacing w:before="20" w:after="20"/>
            </w:pPr>
          </w:p>
        </w:tc>
        <w:tc>
          <w:tcPr>
            <w:tcW w:w="5650" w:type="dxa"/>
            <w:gridSpan w:val="3"/>
            <w:shd w:val="clear" w:color="auto" w:fill="D9E2F3"/>
            <w:vAlign w:val="center"/>
          </w:tcPr>
          <w:p w14:paraId="329B2884" w14:textId="77777777" w:rsidR="00990B14" w:rsidRDefault="00000000">
            <w:pPr>
              <w:keepNext/>
              <w:spacing w:before="20" w:after="20"/>
              <w:jc w:val="both"/>
            </w:pPr>
            <w:r>
              <w:rPr>
                <w:b/>
                <w:bCs/>
                <w:i/>
                <w:iCs/>
                <w:sz w:val="18"/>
                <w:szCs w:val="18"/>
              </w:rPr>
              <w:t xml:space="preserve">Producto 7: </w:t>
            </w:r>
            <w:r>
              <w:rPr>
                <w:sz w:val="18"/>
                <w:szCs w:val="18"/>
              </w:rPr>
              <w:t>Informe de diagnóstico organizacional y estratégico</w:t>
            </w:r>
          </w:p>
        </w:tc>
        <w:tc>
          <w:tcPr>
            <w:tcW w:w="2120" w:type="dxa"/>
            <w:shd w:val="clear" w:color="auto" w:fill="D9E2F3"/>
            <w:vAlign w:val="center"/>
          </w:tcPr>
          <w:p w14:paraId="056E19E9" w14:textId="77777777" w:rsidR="00990B14" w:rsidRDefault="00000000">
            <w:pPr>
              <w:spacing w:before="20" w:after="20"/>
              <w:jc w:val="center"/>
            </w:pPr>
            <w:r>
              <w:rPr>
                <w:b/>
                <w:bCs/>
                <w:sz w:val="18"/>
                <w:szCs w:val="18"/>
              </w:rPr>
              <w:t>5%</w:t>
            </w:r>
          </w:p>
        </w:tc>
      </w:tr>
      <w:tr w:rsidR="00990B14" w14:paraId="1104E3BC" w14:textId="77777777">
        <w:trPr>
          <w:cantSplit/>
          <w:jc w:val="center"/>
        </w:trPr>
        <w:tc>
          <w:tcPr>
            <w:tcW w:w="1635" w:type="dxa"/>
            <w:vMerge/>
            <w:shd w:val="clear" w:color="auto" w:fill="4472C4"/>
            <w:vAlign w:val="center"/>
          </w:tcPr>
          <w:p w14:paraId="41538B71" w14:textId="77777777" w:rsidR="00990B14" w:rsidRDefault="00990B14">
            <w:pPr>
              <w:spacing w:before="20" w:after="20"/>
            </w:pPr>
          </w:p>
        </w:tc>
        <w:tc>
          <w:tcPr>
            <w:tcW w:w="1910" w:type="dxa"/>
            <w:shd w:val="clear" w:color="auto" w:fill="4472C4"/>
            <w:vAlign w:val="center"/>
          </w:tcPr>
          <w:p w14:paraId="3D1939A7"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0BC5A013" w14:textId="77777777" w:rsidR="00990B14" w:rsidRDefault="00000000">
            <w:pPr>
              <w:keepNext/>
              <w:spacing w:before="20" w:after="20"/>
              <w:jc w:val="center"/>
            </w:pPr>
            <w:r>
              <w:rPr>
                <w:b/>
                <w:bCs/>
                <w:i/>
                <w:iCs/>
                <w:color w:val="FFFFFF"/>
                <w:sz w:val="18"/>
                <w:szCs w:val="18"/>
              </w:rPr>
              <w:t>Insuficiente (1–50)</w:t>
            </w:r>
          </w:p>
        </w:tc>
        <w:tc>
          <w:tcPr>
            <w:tcW w:w="1830" w:type="dxa"/>
            <w:shd w:val="clear" w:color="auto" w:fill="4472C4"/>
            <w:vAlign w:val="center"/>
          </w:tcPr>
          <w:p w14:paraId="379ABBAA"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461E3C87" w14:textId="77777777" w:rsidR="00990B14" w:rsidRDefault="00000000">
            <w:pPr>
              <w:keepNext/>
              <w:spacing w:before="20" w:after="20"/>
              <w:jc w:val="center"/>
            </w:pPr>
            <w:r>
              <w:rPr>
                <w:b/>
                <w:bCs/>
                <w:i/>
                <w:iCs/>
                <w:color w:val="FFFFFF"/>
                <w:sz w:val="18"/>
                <w:szCs w:val="18"/>
              </w:rPr>
              <w:t>Destacado (81–100)</w:t>
            </w:r>
          </w:p>
        </w:tc>
      </w:tr>
      <w:tr w:rsidR="00990B14" w14:paraId="7E83242F" w14:textId="77777777">
        <w:trPr>
          <w:cantSplit/>
          <w:jc w:val="center"/>
        </w:trPr>
        <w:tc>
          <w:tcPr>
            <w:tcW w:w="1635" w:type="dxa"/>
            <w:vMerge/>
            <w:shd w:val="clear" w:color="auto" w:fill="4472C4"/>
            <w:vAlign w:val="center"/>
          </w:tcPr>
          <w:p w14:paraId="03A14ADD" w14:textId="77777777" w:rsidR="00990B14" w:rsidRDefault="00990B14">
            <w:pPr>
              <w:spacing w:before="20" w:after="20"/>
            </w:pPr>
          </w:p>
        </w:tc>
        <w:tc>
          <w:tcPr>
            <w:tcW w:w="1910" w:type="dxa"/>
            <w:shd w:val="clear" w:color="auto" w:fill="D9E2F3"/>
            <w:vAlign w:val="center"/>
          </w:tcPr>
          <w:p w14:paraId="5DC1B02A" w14:textId="77777777" w:rsidR="00990B14" w:rsidRDefault="00000000">
            <w:pPr>
              <w:spacing w:before="20" w:after="20"/>
              <w:jc w:val="both"/>
            </w:pPr>
            <w:r>
              <w:rPr>
                <w:sz w:val="18"/>
                <w:szCs w:val="18"/>
              </w:rPr>
              <w:t>Análisis retrospectivo y prospectivo</w:t>
            </w:r>
          </w:p>
        </w:tc>
        <w:tc>
          <w:tcPr>
            <w:tcW w:w="1910" w:type="dxa"/>
            <w:shd w:val="clear" w:color="auto" w:fill="D9E2F3"/>
            <w:vAlign w:val="center"/>
          </w:tcPr>
          <w:p w14:paraId="6A9017B8" w14:textId="77777777" w:rsidR="00990B14" w:rsidRDefault="00000000">
            <w:pPr>
              <w:spacing w:before="20" w:after="20"/>
              <w:jc w:val="both"/>
            </w:pPr>
            <w:r>
              <w:rPr>
                <w:sz w:val="18"/>
                <w:szCs w:val="18"/>
              </w:rPr>
              <w:t>El diagnóstico no identifica los problemas de la organización.</w:t>
            </w:r>
          </w:p>
        </w:tc>
        <w:tc>
          <w:tcPr>
            <w:tcW w:w="1830" w:type="dxa"/>
            <w:shd w:val="clear" w:color="auto" w:fill="D9E2F3"/>
            <w:vAlign w:val="center"/>
          </w:tcPr>
          <w:p w14:paraId="34EACD3A" w14:textId="77777777" w:rsidR="00990B14" w:rsidRDefault="00000000">
            <w:pPr>
              <w:spacing w:before="20" w:after="20"/>
              <w:jc w:val="both"/>
            </w:pPr>
            <w:r>
              <w:rPr>
                <w:sz w:val="18"/>
                <w:szCs w:val="18"/>
              </w:rPr>
              <w:t>Elabora el análisis retrospectivo y prospectivo con un modelo de diagnóstico.</w:t>
            </w:r>
          </w:p>
        </w:tc>
        <w:tc>
          <w:tcPr>
            <w:tcW w:w="2120" w:type="dxa"/>
            <w:shd w:val="clear" w:color="auto" w:fill="D9E2F3"/>
            <w:vAlign w:val="center"/>
          </w:tcPr>
          <w:p w14:paraId="2ED00CAD" w14:textId="77777777" w:rsidR="00990B14" w:rsidRDefault="00000000">
            <w:pPr>
              <w:spacing w:before="20" w:after="20"/>
              <w:jc w:val="both"/>
            </w:pPr>
            <w:r>
              <w:rPr>
                <w:sz w:val="18"/>
                <w:szCs w:val="18"/>
              </w:rPr>
              <w:t>Construye escenarios prospectivos sustentados.</w:t>
            </w:r>
          </w:p>
        </w:tc>
      </w:tr>
      <w:tr w:rsidR="00990B14" w14:paraId="03211D44" w14:textId="77777777">
        <w:trPr>
          <w:cantSplit/>
          <w:jc w:val="center"/>
        </w:trPr>
        <w:tc>
          <w:tcPr>
            <w:tcW w:w="1635" w:type="dxa"/>
            <w:vMerge/>
            <w:shd w:val="clear" w:color="auto" w:fill="4472C4"/>
            <w:vAlign w:val="center"/>
          </w:tcPr>
          <w:p w14:paraId="08100907" w14:textId="77777777" w:rsidR="00990B14" w:rsidRDefault="00990B14">
            <w:pPr>
              <w:spacing w:before="20" w:after="20"/>
            </w:pPr>
          </w:p>
        </w:tc>
        <w:tc>
          <w:tcPr>
            <w:tcW w:w="1910" w:type="dxa"/>
            <w:shd w:val="clear" w:color="auto" w:fill="D9E2F3"/>
            <w:vAlign w:val="center"/>
          </w:tcPr>
          <w:p w14:paraId="6A36FF06" w14:textId="77777777" w:rsidR="00990B14" w:rsidRDefault="00000000">
            <w:pPr>
              <w:spacing w:before="20" w:after="20"/>
              <w:jc w:val="both"/>
            </w:pPr>
            <w:r>
              <w:rPr>
                <w:sz w:val="18"/>
                <w:szCs w:val="18"/>
              </w:rPr>
              <w:t>Análisis estratégico</w:t>
            </w:r>
          </w:p>
        </w:tc>
        <w:tc>
          <w:tcPr>
            <w:tcW w:w="1910" w:type="dxa"/>
            <w:shd w:val="clear" w:color="auto" w:fill="D9E2F3"/>
            <w:vAlign w:val="center"/>
          </w:tcPr>
          <w:p w14:paraId="5AE26CD5" w14:textId="77777777" w:rsidR="00990B14" w:rsidRDefault="00000000">
            <w:pPr>
              <w:spacing w:before="20" w:after="20"/>
              <w:jc w:val="both"/>
            </w:pPr>
            <w:r>
              <w:rPr>
                <w:sz w:val="18"/>
                <w:szCs w:val="18"/>
              </w:rPr>
              <w:t>Omite el entorno, la competencia o las capacidades internas.</w:t>
            </w:r>
          </w:p>
        </w:tc>
        <w:tc>
          <w:tcPr>
            <w:tcW w:w="1830" w:type="dxa"/>
            <w:shd w:val="clear" w:color="auto" w:fill="D9E2F3"/>
            <w:vAlign w:val="center"/>
          </w:tcPr>
          <w:p w14:paraId="3B76178C" w14:textId="77777777" w:rsidR="00990B14" w:rsidRDefault="00000000">
            <w:pPr>
              <w:spacing w:before="20" w:after="20"/>
              <w:jc w:val="both"/>
            </w:pPr>
            <w:r>
              <w:rPr>
                <w:sz w:val="18"/>
                <w:szCs w:val="18"/>
              </w:rPr>
              <w:t>Analiza el entorno, la competencia y las capacidades internas.</w:t>
            </w:r>
          </w:p>
        </w:tc>
        <w:tc>
          <w:tcPr>
            <w:tcW w:w="2120" w:type="dxa"/>
            <w:shd w:val="clear" w:color="auto" w:fill="D9E2F3"/>
            <w:vAlign w:val="center"/>
          </w:tcPr>
          <w:p w14:paraId="3C722C7A" w14:textId="77777777" w:rsidR="00990B14" w:rsidRDefault="00000000">
            <w:pPr>
              <w:spacing w:before="20" w:after="20"/>
              <w:jc w:val="both"/>
            </w:pPr>
            <w:r>
              <w:rPr>
                <w:sz w:val="18"/>
                <w:szCs w:val="18"/>
              </w:rPr>
              <w:t>Integra las ventajas y desventajas competitivas al diagnóstico organizacional.</w:t>
            </w:r>
          </w:p>
        </w:tc>
      </w:tr>
      <w:tr w:rsidR="00990B14" w14:paraId="696876A5" w14:textId="77777777">
        <w:trPr>
          <w:cantSplit/>
          <w:jc w:val="center"/>
        </w:trPr>
        <w:tc>
          <w:tcPr>
            <w:tcW w:w="1635" w:type="dxa"/>
            <w:vMerge/>
            <w:shd w:val="clear" w:color="auto" w:fill="4472C4"/>
            <w:vAlign w:val="center"/>
          </w:tcPr>
          <w:p w14:paraId="286C5E1F" w14:textId="77777777" w:rsidR="00990B14" w:rsidRDefault="00990B14">
            <w:pPr>
              <w:spacing w:before="20" w:after="20"/>
            </w:pPr>
          </w:p>
        </w:tc>
        <w:tc>
          <w:tcPr>
            <w:tcW w:w="1910" w:type="dxa"/>
            <w:shd w:val="clear" w:color="auto" w:fill="D9E2F3"/>
            <w:vAlign w:val="center"/>
          </w:tcPr>
          <w:p w14:paraId="60638961" w14:textId="77777777" w:rsidR="00990B14" w:rsidRDefault="00000000">
            <w:pPr>
              <w:spacing w:before="20" w:after="20"/>
              <w:jc w:val="both"/>
            </w:pPr>
            <w:r>
              <w:rPr>
                <w:sz w:val="18"/>
                <w:szCs w:val="18"/>
              </w:rPr>
              <w:t>Objetividad de la información</w:t>
            </w:r>
          </w:p>
        </w:tc>
        <w:tc>
          <w:tcPr>
            <w:tcW w:w="1910" w:type="dxa"/>
            <w:shd w:val="clear" w:color="auto" w:fill="D9E2F3"/>
            <w:vAlign w:val="center"/>
          </w:tcPr>
          <w:p w14:paraId="659A2EF8" w14:textId="77777777" w:rsidR="00990B14" w:rsidRDefault="00000000">
            <w:pPr>
              <w:spacing w:before="20" w:after="20"/>
              <w:jc w:val="both"/>
            </w:pPr>
            <w:r>
              <w:rPr>
                <w:sz w:val="18"/>
                <w:szCs w:val="18"/>
              </w:rPr>
              <w:t>No identifica sus fuentes.</w:t>
            </w:r>
          </w:p>
        </w:tc>
        <w:tc>
          <w:tcPr>
            <w:tcW w:w="1830" w:type="dxa"/>
            <w:shd w:val="clear" w:color="auto" w:fill="D9E2F3"/>
            <w:vAlign w:val="center"/>
          </w:tcPr>
          <w:p w14:paraId="6708CD0A" w14:textId="77777777" w:rsidR="00990B14" w:rsidRDefault="00000000">
            <w:pPr>
              <w:spacing w:before="20" w:after="20"/>
              <w:jc w:val="both"/>
            </w:pPr>
            <w:r>
              <w:rPr>
                <w:sz w:val="18"/>
                <w:szCs w:val="18"/>
              </w:rPr>
              <w:t>Usa fuentes verificables y las cita.</w:t>
            </w:r>
          </w:p>
        </w:tc>
        <w:tc>
          <w:tcPr>
            <w:tcW w:w="2120" w:type="dxa"/>
            <w:shd w:val="clear" w:color="auto" w:fill="D9E2F3"/>
            <w:vAlign w:val="center"/>
          </w:tcPr>
          <w:p w14:paraId="57AED684" w14:textId="77777777" w:rsidR="00990B14" w:rsidRDefault="00000000">
            <w:pPr>
              <w:spacing w:before="20" w:after="20"/>
              <w:jc w:val="both"/>
            </w:pPr>
            <w:r>
              <w:rPr>
                <w:sz w:val="18"/>
                <w:szCs w:val="18"/>
              </w:rPr>
              <w:t>Contrasta las fuentes y respeta la confidencialidad de la información.</w:t>
            </w:r>
          </w:p>
        </w:tc>
      </w:tr>
      <w:tr w:rsidR="00990B14" w14:paraId="7995C80B" w14:textId="77777777">
        <w:trPr>
          <w:cantSplit/>
          <w:jc w:val="center"/>
        </w:trPr>
        <w:tc>
          <w:tcPr>
            <w:tcW w:w="1635" w:type="dxa"/>
            <w:vMerge/>
            <w:shd w:val="clear" w:color="auto" w:fill="4472C4"/>
            <w:vAlign w:val="center"/>
          </w:tcPr>
          <w:p w14:paraId="679C78F9" w14:textId="77777777" w:rsidR="00990B14" w:rsidRDefault="00990B14">
            <w:pPr>
              <w:spacing w:before="20" w:after="20"/>
            </w:pPr>
          </w:p>
        </w:tc>
        <w:tc>
          <w:tcPr>
            <w:tcW w:w="5650" w:type="dxa"/>
            <w:gridSpan w:val="3"/>
            <w:shd w:val="clear" w:color="auto" w:fill="D9E2F3"/>
            <w:vAlign w:val="center"/>
          </w:tcPr>
          <w:p w14:paraId="78D9CAE9" w14:textId="77777777" w:rsidR="00990B14" w:rsidRDefault="00000000">
            <w:pPr>
              <w:keepNext/>
              <w:spacing w:before="20" w:after="20"/>
              <w:jc w:val="both"/>
            </w:pPr>
            <w:r>
              <w:rPr>
                <w:b/>
                <w:bCs/>
                <w:i/>
                <w:iCs/>
                <w:sz w:val="18"/>
                <w:szCs w:val="18"/>
              </w:rPr>
              <w:t xml:space="preserve">Producto 8: </w:t>
            </w:r>
            <w:r>
              <w:rPr>
                <w:sz w:val="18"/>
                <w:szCs w:val="18"/>
              </w:rPr>
              <w:t>Matriz de formulación estratégica de la organización</w:t>
            </w:r>
          </w:p>
        </w:tc>
        <w:tc>
          <w:tcPr>
            <w:tcW w:w="2120" w:type="dxa"/>
            <w:shd w:val="clear" w:color="auto" w:fill="D9E2F3"/>
            <w:vAlign w:val="center"/>
          </w:tcPr>
          <w:p w14:paraId="564A4068" w14:textId="77777777" w:rsidR="00990B14" w:rsidRDefault="00000000">
            <w:pPr>
              <w:spacing w:before="20" w:after="20"/>
              <w:jc w:val="center"/>
            </w:pPr>
            <w:r>
              <w:rPr>
                <w:b/>
                <w:bCs/>
                <w:sz w:val="18"/>
                <w:szCs w:val="18"/>
              </w:rPr>
              <w:t>5%</w:t>
            </w:r>
          </w:p>
        </w:tc>
      </w:tr>
      <w:tr w:rsidR="00990B14" w14:paraId="169B0D90" w14:textId="77777777">
        <w:trPr>
          <w:cantSplit/>
          <w:jc w:val="center"/>
        </w:trPr>
        <w:tc>
          <w:tcPr>
            <w:tcW w:w="1635" w:type="dxa"/>
            <w:vMerge/>
            <w:shd w:val="clear" w:color="auto" w:fill="4472C4"/>
            <w:vAlign w:val="center"/>
          </w:tcPr>
          <w:p w14:paraId="02284E47" w14:textId="77777777" w:rsidR="00990B14" w:rsidRDefault="00990B14">
            <w:pPr>
              <w:spacing w:before="20" w:after="20"/>
            </w:pPr>
          </w:p>
        </w:tc>
        <w:tc>
          <w:tcPr>
            <w:tcW w:w="1910" w:type="dxa"/>
            <w:shd w:val="clear" w:color="auto" w:fill="4472C4"/>
            <w:vAlign w:val="center"/>
          </w:tcPr>
          <w:p w14:paraId="5F4FAC11"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0E8903D0" w14:textId="77777777" w:rsidR="00990B14" w:rsidRDefault="00000000">
            <w:pPr>
              <w:keepNext/>
              <w:spacing w:before="20" w:after="20"/>
              <w:jc w:val="center"/>
            </w:pPr>
            <w:r>
              <w:rPr>
                <w:b/>
                <w:bCs/>
                <w:i/>
                <w:iCs/>
                <w:color w:val="FFFFFF"/>
                <w:sz w:val="18"/>
                <w:szCs w:val="18"/>
              </w:rPr>
              <w:t>Insuficiente (1–50)</w:t>
            </w:r>
          </w:p>
        </w:tc>
        <w:tc>
          <w:tcPr>
            <w:tcW w:w="1830" w:type="dxa"/>
            <w:shd w:val="clear" w:color="auto" w:fill="4472C4"/>
            <w:vAlign w:val="center"/>
          </w:tcPr>
          <w:p w14:paraId="396401CD"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4CA5FB00" w14:textId="77777777" w:rsidR="00990B14" w:rsidRDefault="00000000">
            <w:pPr>
              <w:keepNext/>
              <w:spacing w:before="20" w:after="20"/>
              <w:jc w:val="center"/>
            </w:pPr>
            <w:r>
              <w:rPr>
                <w:b/>
                <w:bCs/>
                <w:i/>
                <w:iCs/>
                <w:color w:val="FFFFFF"/>
                <w:sz w:val="18"/>
                <w:szCs w:val="18"/>
              </w:rPr>
              <w:t>Destacado (81–100)</w:t>
            </w:r>
          </w:p>
        </w:tc>
      </w:tr>
      <w:tr w:rsidR="00990B14" w14:paraId="7C3A48DC" w14:textId="77777777">
        <w:trPr>
          <w:cantSplit/>
          <w:jc w:val="center"/>
        </w:trPr>
        <w:tc>
          <w:tcPr>
            <w:tcW w:w="1635" w:type="dxa"/>
            <w:vMerge/>
            <w:shd w:val="clear" w:color="auto" w:fill="4472C4"/>
            <w:vAlign w:val="center"/>
          </w:tcPr>
          <w:p w14:paraId="556409A1" w14:textId="77777777" w:rsidR="00990B14" w:rsidRDefault="00990B14">
            <w:pPr>
              <w:spacing w:before="20" w:after="20"/>
            </w:pPr>
          </w:p>
        </w:tc>
        <w:tc>
          <w:tcPr>
            <w:tcW w:w="1910" w:type="dxa"/>
            <w:shd w:val="clear" w:color="auto" w:fill="D9E2F3"/>
            <w:vAlign w:val="center"/>
          </w:tcPr>
          <w:p w14:paraId="79D247CA" w14:textId="77777777" w:rsidR="00990B14" w:rsidRDefault="00000000">
            <w:pPr>
              <w:spacing w:before="20" w:after="20"/>
              <w:jc w:val="both"/>
            </w:pPr>
            <w:r>
              <w:rPr>
                <w:sz w:val="18"/>
                <w:szCs w:val="18"/>
              </w:rPr>
              <w:t>Misión y visión</w:t>
            </w:r>
          </w:p>
        </w:tc>
        <w:tc>
          <w:tcPr>
            <w:tcW w:w="1910" w:type="dxa"/>
            <w:shd w:val="clear" w:color="auto" w:fill="D9E2F3"/>
            <w:vAlign w:val="center"/>
          </w:tcPr>
          <w:p w14:paraId="13191C94" w14:textId="77777777" w:rsidR="00990B14" w:rsidRDefault="00000000">
            <w:pPr>
              <w:spacing w:before="20" w:after="20"/>
              <w:jc w:val="both"/>
            </w:pPr>
            <w:r>
              <w:rPr>
                <w:sz w:val="18"/>
                <w:szCs w:val="18"/>
              </w:rPr>
              <w:t>La misión o la visión son imprecisas.</w:t>
            </w:r>
          </w:p>
        </w:tc>
        <w:tc>
          <w:tcPr>
            <w:tcW w:w="1830" w:type="dxa"/>
            <w:shd w:val="clear" w:color="auto" w:fill="D9E2F3"/>
            <w:vAlign w:val="center"/>
          </w:tcPr>
          <w:p w14:paraId="456A078C" w14:textId="77777777" w:rsidR="00990B14" w:rsidRDefault="00000000">
            <w:pPr>
              <w:spacing w:before="20" w:after="20"/>
              <w:jc w:val="both"/>
            </w:pPr>
            <w:r>
              <w:rPr>
                <w:sz w:val="18"/>
                <w:szCs w:val="18"/>
              </w:rPr>
              <w:t>Formula una misión y una visión claras y coherentes.</w:t>
            </w:r>
          </w:p>
        </w:tc>
        <w:tc>
          <w:tcPr>
            <w:tcW w:w="2120" w:type="dxa"/>
            <w:shd w:val="clear" w:color="auto" w:fill="D9E2F3"/>
            <w:vAlign w:val="center"/>
          </w:tcPr>
          <w:p w14:paraId="0FB05F07" w14:textId="77777777" w:rsidR="00990B14" w:rsidRDefault="00000000">
            <w:pPr>
              <w:spacing w:before="20" w:after="20"/>
              <w:jc w:val="both"/>
            </w:pPr>
            <w:r>
              <w:rPr>
                <w:sz w:val="18"/>
                <w:szCs w:val="18"/>
              </w:rPr>
              <w:t>Alinea la misión y la visión con la cultura de la organización.</w:t>
            </w:r>
          </w:p>
        </w:tc>
      </w:tr>
      <w:tr w:rsidR="00990B14" w14:paraId="71E32FC7" w14:textId="77777777">
        <w:trPr>
          <w:cantSplit/>
          <w:jc w:val="center"/>
        </w:trPr>
        <w:tc>
          <w:tcPr>
            <w:tcW w:w="1635" w:type="dxa"/>
            <w:vMerge/>
            <w:shd w:val="clear" w:color="auto" w:fill="4472C4"/>
            <w:vAlign w:val="center"/>
          </w:tcPr>
          <w:p w14:paraId="630A1E66" w14:textId="77777777" w:rsidR="00990B14" w:rsidRDefault="00990B14">
            <w:pPr>
              <w:spacing w:before="20" w:after="20"/>
            </w:pPr>
          </w:p>
        </w:tc>
        <w:tc>
          <w:tcPr>
            <w:tcW w:w="1910" w:type="dxa"/>
            <w:shd w:val="clear" w:color="auto" w:fill="D9E2F3"/>
            <w:vAlign w:val="center"/>
          </w:tcPr>
          <w:p w14:paraId="163D2046" w14:textId="77777777" w:rsidR="00990B14" w:rsidRDefault="00000000">
            <w:pPr>
              <w:spacing w:before="20" w:after="20"/>
              <w:jc w:val="both"/>
            </w:pPr>
            <w:r>
              <w:rPr>
                <w:sz w:val="18"/>
                <w:szCs w:val="18"/>
              </w:rPr>
              <w:t>Objetivos y alternativas</w:t>
            </w:r>
          </w:p>
        </w:tc>
        <w:tc>
          <w:tcPr>
            <w:tcW w:w="1910" w:type="dxa"/>
            <w:shd w:val="clear" w:color="auto" w:fill="D9E2F3"/>
            <w:vAlign w:val="center"/>
          </w:tcPr>
          <w:p w14:paraId="420BE284" w14:textId="77777777" w:rsidR="00990B14" w:rsidRDefault="00000000">
            <w:pPr>
              <w:spacing w:before="20" w:after="20"/>
              <w:jc w:val="both"/>
            </w:pPr>
            <w:r>
              <w:rPr>
                <w:sz w:val="18"/>
                <w:szCs w:val="18"/>
              </w:rPr>
              <w:t>Los objetivos no son medibles o faltan alternativas.</w:t>
            </w:r>
          </w:p>
        </w:tc>
        <w:tc>
          <w:tcPr>
            <w:tcW w:w="1830" w:type="dxa"/>
            <w:shd w:val="clear" w:color="auto" w:fill="D9E2F3"/>
            <w:vAlign w:val="center"/>
          </w:tcPr>
          <w:p w14:paraId="5CFDA78F" w14:textId="77777777" w:rsidR="00990B14" w:rsidRDefault="00000000">
            <w:pPr>
              <w:spacing w:before="20" w:after="20"/>
              <w:jc w:val="both"/>
            </w:pPr>
            <w:r>
              <w:rPr>
                <w:sz w:val="18"/>
                <w:szCs w:val="18"/>
              </w:rPr>
              <w:t>Formula objetivos medibles y alternativas estratégicas.</w:t>
            </w:r>
          </w:p>
        </w:tc>
        <w:tc>
          <w:tcPr>
            <w:tcW w:w="2120" w:type="dxa"/>
            <w:shd w:val="clear" w:color="auto" w:fill="D9E2F3"/>
            <w:vAlign w:val="center"/>
          </w:tcPr>
          <w:p w14:paraId="0A120F57" w14:textId="77777777" w:rsidR="00990B14" w:rsidRDefault="00000000">
            <w:pPr>
              <w:spacing w:before="20" w:after="20"/>
              <w:jc w:val="both"/>
            </w:pPr>
            <w:r>
              <w:rPr>
                <w:sz w:val="18"/>
                <w:szCs w:val="18"/>
              </w:rPr>
              <w:t>Prioriza las alternativas con una técnica matricial.</w:t>
            </w:r>
          </w:p>
        </w:tc>
      </w:tr>
      <w:tr w:rsidR="00990B14" w14:paraId="39EB786B" w14:textId="77777777">
        <w:trPr>
          <w:cantSplit/>
          <w:jc w:val="center"/>
        </w:trPr>
        <w:tc>
          <w:tcPr>
            <w:tcW w:w="1635" w:type="dxa"/>
            <w:vMerge/>
            <w:shd w:val="clear" w:color="auto" w:fill="4472C4"/>
            <w:vAlign w:val="center"/>
          </w:tcPr>
          <w:p w14:paraId="33ACE7D2" w14:textId="77777777" w:rsidR="00990B14" w:rsidRDefault="00990B14">
            <w:pPr>
              <w:spacing w:before="20" w:after="20"/>
            </w:pPr>
          </w:p>
        </w:tc>
        <w:tc>
          <w:tcPr>
            <w:tcW w:w="1910" w:type="dxa"/>
            <w:shd w:val="clear" w:color="auto" w:fill="D9E2F3"/>
            <w:vAlign w:val="center"/>
          </w:tcPr>
          <w:p w14:paraId="0B4626F4" w14:textId="77777777" w:rsidR="00990B14" w:rsidRDefault="00000000">
            <w:pPr>
              <w:spacing w:before="20" w:after="20"/>
              <w:jc w:val="both"/>
            </w:pPr>
            <w:r>
              <w:rPr>
                <w:sz w:val="18"/>
                <w:szCs w:val="18"/>
              </w:rPr>
              <w:t>Coherencia con el diagnóstico</w:t>
            </w:r>
          </w:p>
        </w:tc>
        <w:tc>
          <w:tcPr>
            <w:tcW w:w="1910" w:type="dxa"/>
            <w:shd w:val="clear" w:color="auto" w:fill="D9E2F3"/>
            <w:vAlign w:val="center"/>
          </w:tcPr>
          <w:p w14:paraId="1D5112F1" w14:textId="77777777" w:rsidR="00990B14" w:rsidRDefault="00000000">
            <w:pPr>
              <w:spacing w:before="20" w:after="20"/>
              <w:jc w:val="both"/>
            </w:pPr>
            <w:r>
              <w:rPr>
                <w:sz w:val="18"/>
                <w:szCs w:val="18"/>
              </w:rPr>
              <w:t>La formulación no responde al diagnóstico.</w:t>
            </w:r>
          </w:p>
        </w:tc>
        <w:tc>
          <w:tcPr>
            <w:tcW w:w="1830" w:type="dxa"/>
            <w:shd w:val="clear" w:color="auto" w:fill="D9E2F3"/>
            <w:vAlign w:val="center"/>
          </w:tcPr>
          <w:p w14:paraId="4A507926" w14:textId="77777777" w:rsidR="00990B14" w:rsidRDefault="00000000">
            <w:pPr>
              <w:spacing w:before="20" w:after="20"/>
              <w:jc w:val="both"/>
            </w:pPr>
            <w:r>
              <w:rPr>
                <w:sz w:val="18"/>
                <w:szCs w:val="18"/>
              </w:rPr>
              <w:t>La formulación responde a los hallazgos del diagnóstico.</w:t>
            </w:r>
          </w:p>
        </w:tc>
        <w:tc>
          <w:tcPr>
            <w:tcW w:w="2120" w:type="dxa"/>
            <w:shd w:val="clear" w:color="auto" w:fill="D9E2F3"/>
            <w:vAlign w:val="center"/>
          </w:tcPr>
          <w:p w14:paraId="0C44793B" w14:textId="77777777" w:rsidR="00990B14" w:rsidRDefault="00000000">
            <w:pPr>
              <w:spacing w:before="20" w:after="20"/>
              <w:jc w:val="both"/>
            </w:pPr>
            <w:r>
              <w:rPr>
                <w:sz w:val="18"/>
                <w:szCs w:val="18"/>
              </w:rPr>
              <w:t>Justifica cada elemento con un hallazgo del diagnóstico.</w:t>
            </w:r>
          </w:p>
        </w:tc>
      </w:tr>
      <w:tr w:rsidR="00990B14" w14:paraId="5CDA5A05" w14:textId="77777777">
        <w:trPr>
          <w:cantSplit/>
          <w:jc w:val="center"/>
        </w:trPr>
        <w:tc>
          <w:tcPr>
            <w:tcW w:w="1635" w:type="dxa"/>
            <w:vMerge/>
            <w:shd w:val="clear" w:color="auto" w:fill="4472C4"/>
            <w:vAlign w:val="center"/>
          </w:tcPr>
          <w:p w14:paraId="19776C40" w14:textId="77777777" w:rsidR="00990B14" w:rsidRDefault="00990B14">
            <w:pPr>
              <w:spacing w:before="20" w:after="20"/>
            </w:pPr>
          </w:p>
        </w:tc>
        <w:tc>
          <w:tcPr>
            <w:tcW w:w="5650" w:type="dxa"/>
            <w:gridSpan w:val="3"/>
            <w:shd w:val="clear" w:color="auto" w:fill="D9E2F3"/>
            <w:vAlign w:val="center"/>
          </w:tcPr>
          <w:p w14:paraId="1580A2C0" w14:textId="77777777" w:rsidR="00990B14" w:rsidRDefault="00000000">
            <w:pPr>
              <w:keepNext/>
              <w:spacing w:before="20" w:after="20"/>
              <w:jc w:val="both"/>
            </w:pPr>
            <w:r>
              <w:rPr>
                <w:b/>
                <w:bCs/>
                <w:i/>
                <w:iCs/>
                <w:sz w:val="18"/>
                <w:szCs w:val="18"/>
              </w:rPr>
              <w:t xml:space="preserve">Producto 9: </w:t>
            </w:r>
            <w:r>
              <w:rPr>
                <w:sz w:val="18"/>
                <w:szCs w:val="18"/>
              </w:rPr>
              <w:t>Informe de medición del clima organizacional</w:t>
            </w:r>
          </w:p>
        </w:tc>
        <w:tc>
          <w:tcPr>
            <w:tcW w:w="2120" w:type="dxa"/>
            <w:shd w:val="clear" w:color="auto" w:fill="D9E2F3"/>
            <w:vAlign w:val="center"/>
          </w:tcPr>
          <w:p w14:paraId="02F06EE1" w14:textId="77777777" w:rsidR="00990B14" w:rsidRDefault="00000000">
            <w:pPr>
              <w:spacing w:before="20" w:after="20"/>
              <w:jc w:val="center"/>
            </w:pPr>
            <w:r>
              <w:rPr>
                <w:b/>
                <w:bCs/>
                <w:sz w:val="18"/>
                <w:szCs w:val="18"/>
              </w:rPr>
              <w:t>5%</w:t>
            </w:r>
          </w:p>
        </w:tc>
      </w:tr>
      <w:tr w:rsidR="00990B14" w14:paraId="4CD06E25" w14:textId="77777777">
        <w:trPr>
          <w:cantSplit/>
          <w:jc w:val="center"/>
        </w:trPr>
        <w:tc>
          <w:tcPr>
            <w:tcW w:w="1635" w:type="dxa"/>
            <w:vMerge/>
            <w:shd w:val="clear" w:color="auto" w:fill="4472C4"/>
            <w:vAlign w:val="center"/>
          </w:tcPr>
          <w:p w14:paraId="3FBC5912" w14:textId="77777777" w:rsidR="00990B14" w:rsidRDefault="00990B14">
            <w:pPr>
              <w:spacing w:before="20" w:after="20"/>
            </w:pPr>
          </w:p>
        </w:tc>
        <w:tc>
          <w:tcPr>
            <w:tcW w:w="1910" w:type="dxa"/>
            <w:shd w:val="clear" w:color="auto" w:fill="4472C4"/>
            <w:vAlign w:val="center"/>
          </w:tcPr>
          <w:p w14:paraId="37B1DD8F"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3D8D7E82" w14:textId="77777777" w:rsidR="00990B14" w:rsidRDefault="00000000">
            <w:pPr>
              <w:keepNext/>
              <w:spacing w:before="20" w:after="20"/>
              <w:jc w:val="center"/>
            </w:pPr>
            <w:r>
              <w:rPr>
                <w:b/>
                <w:bCs/>
                <w:i/>
                <w:iCs/>
                <w:color w:val="FFFFFF"/>
                <w:sz w:val="18"/>
                <w:szCs w:val="18"/>
              </w:rPr>
              <w:t>Insuficiente (1–50)</w:t>
            </w:r>
          </w:p>
        </w:tc>
        <w:tc>
          <w:tcPr>
            <w:tcW w:w="1830" w:type="dxa"/>
            <w:shd w:val="clear" w:color="auto" w:fill="4472C4"/>
            <w:vAlign w:val="center"/>
          </w:tcPr>
          <w:p w14:paraId="783B069B"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0B797028" w14:textId="77777777" w:rsidR="00990B14" w:rsidRDefault="00000000">
            <w:pPr>
              <w:keepNext/>
              <w:spacing w:before="20" w:after="20"/>
              <w:jc w:val="center"/>
            </w:pPr>
            <w:r>
              <w:rPr>
                <w:b/>
                <w:bCs/>
                <w:i/>
                <w:iCs/>
                <w:color w:val="FFFFFF"/>
                <w:sz w:val="18"/>
                <w:szCs w:val="18"/>
              </w:rPr>
              <w:t>Destacado (81–100)</w:t>
            </w:r>
          </w:p>
        </w:tc>
      </w:tr>
      <w:tr w:rsidR="00990B14" w14:paraId="538C8D8E" w14:textId="77777777">
        <w:trPr>
          <w:cantSplit/>
          <w:jc w:val="center"/>
        </w:trPr>
        <w:tc>
          <w:tcPr>
            <w:tcW w:w="1635" w:type="dxa"/>
            <w:vMerge/>
            <w:shd w:val="clear" w:color="auto" w:fill="4472C4"/>
            <w:vAlign w:val="center"/>
          </w:tcPr>
          <w:p w14:paraId="731E6372" w14:textId="77777777" w:rsidR="00990B14" w:rsidRDefault="00990B14">
            <w:pPr>
              <w:spacing w:before="20" w:after="20"/>
            </w:pPr>
          </w:p>
        </w:tc>
        <w:tc>
          <w:tcPr>
            <w:tcW w:w="1910" w:type="dxa"/>
            <w:shd w:val="clear" w:color="auto" w:fill="D9E2F3"/>
            <w:vAlign w:val="center"/>
          </w:tcPr>
          <w:p w14:paraId="6FD9FCBB" w14:textId="77777777" w:rsidR="00990B14" w:rsidRDefault="00000000">
            <w:pPr>
              <w:spacing w:before="20" w:after="20"/>
              <w:jc w:val="both"/>
            </w:pPr>
            <w:r>
              <w:rPr>
                <w:sz w:val="18"/>
                <w:szCs w:val="18"/>
              </w:rPr>
              <w:t>Diseño de la encuesta</w:t>
            </w:r>
          </w:p>
        </w:tc>
        <w:tc>
          <w:tcPr>
            <w:tcW w:w="1910" w:type="dxa"/>
            <w:shd w:val="clear" w:color="auto" w:fill="D9E2F3"/>
            <w:vAlign w:val="center"/>
          </w:tcPr>
          <w:p w14:paraId="18C17691" w14:textId="77777777" w:rsidR="00990B14" w:rsidRDefault="00000000">
            <w:pPr>
              <w:spacing w:before="20" w:after="20"/>
              <w:jc w:val="both"/>
            </w:pPr>
            <w:r>
              <w:rPr>
                <w:sz w:val="18"/>
                <w:szCs w:val="18"/>
              </w:rPr>
              <w:t>Las preguntas no cubren las dimensiones del clima.</w:t>
            </w:r>
          </w:p>
        </w:tc>
        <w:tc>
          <w:tcPr>
            <w:tcW w:w="1830" w:type="dxa"/>
            <w:shd w:val="clear" w:color="auto" w:fill="D9E2F3"/>
            <w:vAlign w:val="center"/>
          </w:tcPr>
          <w:p w14:paraId="50EE4A0E" w14:textId="77777777" w:rsidR="00990B14" w:rsidRDefault="00000000">
            <w:pPr>
              <w:spacing w:before="20" w:after="20"/>
              <w:jc w:val="both"/>
            </w:pPr>
            <w:r>
              <w:rPr>
                <w:sz w:val="18"/>
                <w:szCs w:val="18"/>
              </w:rPr>
              <w:t>La encuesta cubre las dimensiones del clima organizacional.</w:t>
            </w:r>
          </w:p>
        </w:tc>
        <w:tc>
          <w:tcPr>
            <w:tcW w:w="2120" w:type="dxa"/>
            <w:shd w:val="clear" w:color="auto" w:fill="D9E2F3"/>
            <w:vAlign w:val="center"/>
          </w:tcPr>
          <w:p w14:paraId="609BC976" w14:textId="77777777" w:rsidR="00990B14" w:rsidRDefault="00000000">
            <w:pPr>
              <w:spacing w:before="20" w:after="20"/>
              <w:jc w:val="both"/>
            </w:pPr>
            <w:r>
              <w:rPr>
                <w:sz w:val="18"/>
                <w:szCs w:val="18"/>
              </w:rPr>
              <w:t>Valida la encuesta antes de aplicarla.</w:t>
            </w:r>
          </w:p>
        </w:tc>
      </w:tr>
      <w:tr w:rsidR="00990B14" w14:paraId="6C8F6E9C" w14:textId="77777777">
        <w:trPr>
          <w:cantSplit/>
          <w:jc w:val="center"/>
        </w:trPr>
        <w:tc>
          <w:tcPr>
            <w:tcW w:w="1635" w:type="dxa"/>
            <w:vMerge/>
            <w:shd w:val="clear" w:color="auto" w:fill="4472C4"/>
            <w:vAlign w:val="center"/>
          </w:tcPr>
          <w:p w14:paraId="521F6AAF" w14:textId="77777777" w:rsidR="00990B14" w:rsidRDefault="00990B14">
            <w:pPr>
              <w:spacing w:before="20" w:after="20"/>
            </w:pPr>
          </w:p>
        </w:tc>
        <w:tc>
          <w:tcPr>
            <w:tcW w:w="1910" w:type="dxa"/>
            <w:shd w:val="clear" w:color="auto" w:fill="D9E2F3"/>
            <w:vAlign w:val="center"/>
          </w:tcPr>
          <w:p w14:paraId="1A4C9D35" w14:textId="77777777" w:rsidR="00990B14" w:rsidRDefault="00000000">
            <w:pPr>
              <w:spacing w:before="20" w:after="20"/>
              <w:jc w:val="both"/>
            </w:pPr>
            <w:r>
              <w:rPr>
                <w:sz w:val="18"/>
                <w:szCs w:val="18"/>
              </w:rPr>
              <w:t>Procesamiento de datos</w:t>
            </w:r>
          </w:p>
        </w:tc>
        <w:tc>
          <w:tcPr>
            <w:tcW w:w="1910" w:type="dxa"/>
            <w:shd w:val="clear" w:color="auto" w:fill="D9E2F3"/>
            <w:vAlign w:val="center"/>
          </w:tcPr>
          <w:p w14:paraId="0837C7BC" w14:textId="77777777" w:rsidR="00990B14" w:rsidRDefault="00000000">
            <w:pPr>
              <w:spacing w:before="20" w:after="20"/>
              <w:jc w:val="both"/>
            </w:pPr>
            <w:r>
              <w:rPr>
                <w:sz w:val="18"/>
                <w:szCs w:val="18"/>
              </w:rPr>
              <w:t>El procesamiento tiene errores.</w:t>
            </w:r>
          </w:p>
        </w:tc>
        <w:tc>
          <w:tcPr>
            <w:tcW w:w="1830" w:type="dxa"/>
            <w:shd w:val="clear" w:color="auto" w:fill="D9E2F3"/>
            <w:vAlign w:val="center"/>
          </w:tcPr>
          <w:p w14:paraId="5EF623BA" w14:textId="77777777" w:rsidR="00990B14" w:rsidRDefault="00000000">
            <w:pPr>
              <w:spacing w:before="20" w:after="20"/>
              <w:jc w:val="both"/>
            </w:pPr>
            <w:r>
              <w:rPr>
                <w:sz w:val="18"/>
                <w:szCs w:val="18"/>
              </w:rPr>
              <w:t>Procesa correctamente los resultados en hoja de cálculo.</w:t>
            </w:r>
          </w:p>
        </w:tc>
        <w:tc>
          <w:tcPr>
            <w:tcW w:w="2120" w:type="dxa"/>
            <w:shd w:val="clear" w:color="auto" w:fill="D9E2F3"/>
            <w:vAlign w:val="center"/>
          </w:tcPr>
          <w:p w14:paraId="23C58BC3" w14:textId="77777777" w:rsidR="00990B14" w:rsidRDefault="00000000">
            <w:pPr>
              <w:spacing w:before="20" w:after="20"/>
              <w:jc w:val="both"/>
            </w:pPr>
            <w:r>
              <w:rPr>
                <w:sz w:val="18"/>
                <w:szCs w:val="18"/>
              </w:rPr>
              <w:t>Relaciona los resultados con la rotación, el ausentismo y la satisfacción.</w:t>
            </w:r>
          </w:p>
        </w:tc>
      </w:tr>
      <w:tr w:rsidR="00990B14" w14:paraId="4EEE08B0" w14:textId="77777777">
        <w:trPr>
          <w:cantSplit/>
          <w:jc w:val="center"/>
        </w:trPr>
        <w:tc>
          <w:tcPr>
            <w:tcW w:w="1635" w:type="dxa"/>
            <w:vMerge/>
            <w:shd w:val="clear" w:color="auto" w:fill="4472C4"/>
            <w:vAlign w:val="center"/>
          </w:tcPr>
          <w:p w14:paraId="55934E68" w14:textId="77777777" w:rsidR="00990B14" w:rsidRDefault="00990B14">
            <w:pPr>
              <w:spacing w:before="20" w:after="20"/>
            </w:pPr>
          </w:p>
        </w:tc>
        <w:tc>
          <w:tcPr>
            <w:tcW w:w="1910" w:type="dxa"/>
            <w:shd w:val="clear" w:color="auto" w:fill="D9E2F3"/>
            <w:vAlign w:val="center"/>
          </w:tcPr>
          <w:p w14:paraId="0F33CFD0" w14:textId="77777777" w:rsidR="00990B14" w:rsidRDefault="00000000">
            <w:pPr>
              <w:spacing w:before="20" w:after="20"/>
              <w:jc w:val="both"/>
            </w:pPr>
            <w:r>
              <w:rPr>
                <w:sz w:val="18"/>
                <w:szCs w:val="18"/>
              </w:rPr>
              <w:t>Conclusiones y propuestas</w:t>
            </w:r>
          </w:p>
        </w:tc>
        <w:tc>
          <w:tcPr>
            <w:tcW w:w="1910" w:type="dxa"/>
            <w:shd w:val="clear" w:color="auto" w:fill="D9E2F3"/>
            <w:vAlign w:val="center"/>
          </w:tcPr>
          <w:p w14:paraId="51B824D8" w14:textId="77777777" w:rsidR="00990B14" w:rsidRDefault="00000000">
            <w:pPr>
              <w:spacing w:before="20" w:after="20"/>
              <w:jc w:val="both"/>
            </w:pPr>
            <w:r>
              <w:rPr>
                <w:sz w:val="18"/>
                <w:szCs w:val="18"/>
              </w:rPr>
              <w:t>Las conclusiones no se desprenden de los datos.</w:t>
            </w:r>
          </w:p>
        </w:tc>
        <w:tc>
          <w:tcPr>
            <w:tcW w:w="1830" w:type="dxa"/>
            <w:shd w:val="clear" w:color="auto" w:fill="D9E2F3"/>
            <w:vAlign w:val="center"/>
          </w:tcPr>
          <w:p w14:paraId="206A5AD9" w14:textId="77777777" w:rsidR="00990B14" w:rsidRDefault="00000000">
            <w:pPr>
              <w:spacing w:before="20" w:after="20"/>
              <w:jc w:val="both"/>
            </w:pPr>
            <w:r>
              <w:rPr>
                <w:sz w:val="18"/>
                <w:szCs w:val="18"/>
              </w:rPr>
              <w:t>Formula conclusiones coherentes con los resultados.</w:t>
            </w:r>
          </w:p>
        </w:tc>
        <w:tc>
          <w:tcPr>
            <w:tcW w:w="2120" w:type="dxa"/>
            <w:shd w:val="clear" w:color="auto" w:fill="D9E2F3"/>
            <w:vAlign w:val="center"/>
          </w:tcPr>
          <w:p w14:paraId="2B2BEB49" w14:textId="77777777" w:rsidR="00990B14" w:rsidRDefault="00000000">
            <w:pPr>
              <w:spacing w:before="20" w:after="20"/>
              <w:jc w:val="both"/>
            </w:pPr>
            <w:r>
              <w:rPr>
                <w:sz w:val="18"/>
                <w:szCs w:val="18"/>
              </w:rPr>
              <w:t>Propone acciones de mejora del clima.</w:t>
            </w:r>
          </w:p>
        </w:tc>
      </w:tr>
      <w:tr w:rsidR="00990B14" w14:paraId="12F949EE" w14:textId="77777777">
        <w:trPr>
          <w:cantSplit/>
          <w:jc w:val="center"/>
        </w:trPr>
        <w:tc>
          <w:tcPr>
            <w:tcW w:w="1635" w:type="dxa"/>
            <w:vMerge/>
            <w:shd w:val="clear" w:color="auto" w:fill="4472C4"/>
            <w:vAlign w:val="center"/>
          </w:tcPr>
          <w:p w14:paraId="1CD0387B" w14:textId="77777777" w:rsidR="00990B14" w:rsidRDefault="00990B14">
            <w:pPr>
              <w:spacing w:before="20" w:after="20"/>
            </w:pPr>
          </w:p>
        </w:tc>
        <w:tc>
          <w:tcPr>
            <w:tcW w:w="5650" w:type="dxa"/>
            <w:gridSpan w:val="3"/>
            <w:shd w:val="clear" w:color="auto" w:fill="D9E2F3"/>
            <w:vAlign w:val="center"/>
          </w:tcPr>
          <w:p w14:paraId="7B1399C7" w14:textId="77777777" w:rsidR="00990B14" w:rsidRDefault="00000000">
            <w:pPr>
              <w:keepNext/>
              <w:spacing w:before="20" w:after="20"/>
              <w:jc w:val="both"/>
            </w:pPr>
            <w:r>
              <w:rPr>
                <w:b/>
                <w:bCs/>
                <w:i/>
                <w:iCs/>
                <w:sz w:val="18"/>
                <w:szCs w:val="18"/>
              </w:rPr>
              <w:t xml:space="preserve">Producto 10: </w:t>
            </w:r>
            <w:r>
              <w:rPr>
                <w:sz w:val="18"/>
                <w:szCs w:val="18"/>
              </w:rPr>
              <w:t>Informe de diagnóstico de la cultura y de la capacidad de aprendizaje e innovación</w:t>
            </w:r>
          </w:p>
        </w:tc>
        <w:tc>
          <w:tcPr>
            <w:tcW w:w="2120" w:type="dxa"/>
            <w:shd w:val="clear" w:color="auto" w:fill="D9E2F3"/>
            <w:vAlign w:val="center"/>
          </w:tcPr>
          <w:p w14:paraId="39FF51FE" w14:textId="77777777" w:rsidR="00990B14" w:rsidRDefault="00000000">
            <w:pPr>
              <w:spacing w:before="20" w:after="20"/>
              <w:jc w:val="center"/>
            </w:pPr>
            <w:r>
              <w:rPr>
                <w:b/>
                <w:bCs/>
                <w:sz w:val="18"/>
                <w:szCs w:val="18"/>
              </w:rPr>
              <w:t>5%</w:t>
            </w:r>
          </w:p>
        </w:tc>
      </w:tr>
      <w:tr w:rsidR="00990B14" w14:paraId="7BFAED0B" w14:textId="77777777">
        <w:trPr>
          <w:cantSplit/>
          <w:jc w:val="center"/>
        </w:trPr>
        <w:tc>
          <w:tcPr>
            <w:tcW w:w="1635" w:type="dxa"/>
            <w:vMerge/>
            <w:shd w:val="clear" w:color="auto" w:fill="4472C4"/>
            <w:vAlign w:val="center"/>
          </w:tcPr>
          <w:p w14:paraId="0095DBF9" w14:textId="77777777" w:rsidR="00990B14" w:rsidRDefault="00990B14">
            <w:pPr>
              <w:spacing w:before="20" w:after="20"/>
            </w:pPr>
          </w:p>
        </w:tc>
        <w:tc>
          <w:tcPr>
            <w:tcW w:w="1910" w:type="dxa"/>
            <w:shd w:val="clear" w:color="auto" w:fill="4472C4"/>
            <w:vAlign w:val="center"/>
          </w:tcPr>
          <w:p w14:paraId="10248EE4"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658A737B" w14:textId="77777777" w:rsidR="00990B14" w:rsidRDefault="00000000">
            <w:pPr>
              <w:keepNext/>
              <w:spacing w:before="20" w:after="20"/>
              <w:jc w:val="center"/>
            </w:pPr>
            <w:r>
              <w:rPr>
                <w:b/>
                <w:bCs/>
                <w:i/>
                <w:iCs/>
                <w:color w:val="FFFFFF"/>
                <w:sz w:val="18"/>
                <w:szCs w:val="18"/>
              </w:rPr>
              <w:t>Insuficiente (1–50)</w:t>
            </w:r>
          </w:p>
        </w:tc>
        <w:tc>
          <w:tcPr>
            <w:tcW w:w="1830" w:type="dxa"/>
            <w:shd w:val="clear" w:color="auto" w:fill="4472C4"/>
            <w:vAlign w:val="center"/>
          </w:tcPr>
          <w:p w14:paraId="0B7D12EF"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584C2381" w14:textId="77777777" w:rsidR="00990B14" w:rsidRDefault="00000000">
            <w:pPr>
              <w:keepNext/>
              <w:spacing w:before="20" w:after="20"/>
              <w:jc w:val="center"/>
            </w:pPr>
            <w:r>
              <w:rPr>
                <w:b/>
                <w:bCs/>
                <w:i/>
                <w:iCs/>
                <w:color w:val="FFFFFF"/>
                <w:sz w:val="18"/>
                <w:szCs w:val="18"/>
              </w:rPr>
              <w:t>Destacado (81–100)</w:t>
            </w:r>
          </w:p>
        </w:tc>
      </w:tr>
      <w:tr w:rsidR="00990B14" w14:paraId="066B45F7" w14:textId="77777777">
        <w:trPr>
          <w:cantSplit/>
          <w:jc w:val="center"/>
        </w:trPr>
        <w:tc>
          <w:tcPr>
            <w:tcW w:w="1635" w:type="dxa"/>
            <w:vMerge/>
            <w:shd w:val="clear" w:color="auto" w:fill="4472C4"/>
            <w:vAlign w:val="center"/>
          </w:tcPr>
          <w:p w14:paraId="6464AF63" w14:textId="77777777" w:rsidR="00990B14" w:rsidRDefault="00990B14">
            <w:pPr>
              <w:spacing w:before="20" w:after="20"/>
            </w:pPr>
          </w:p>
        </w:tc>
        <w:tc>
          <w:tcPr>
            <w:tcW w:w="1910" w:type="dxa"/>
            <w:shd w:val="clear" w:color="auto" w:fill="D9E2F3"/>
            <w:vAlign w:val="center"/>
          </w:tcPr>
          <w:p w14:paraId="05A9547E" w14:textId="77777777" w:rsidR="00990B14" w:rsidRDefault="00000000">
            <w:pPr>
              <w:spacing w:before="20" w:after="20"/>
              <w:jc w:val="both"/>
            </w:pPr>
            <w:r>
              <w:rPr>
                <w:sz w:val="18"/>
                <w:szCs w:val="18"/>
              </w:rPr>
              <w:t>Niveles de la cultura</w:t>
            </w:r>
          </w:p>
        </w:tc>
        <w:tc>
          <w:tcPr>
            <w:tcW w:w="1910" w:type="dxa"/>
            <w:shd w:val="clear" w:color="auto" w:fill="D9E2F3"/>
            <w:vAlign w:val="center"/>
          </w:tcPr>
          <w:p w14:paraId="4C1B0BFD" w14:textId="77777777" w:rsidR="00990B14" w:rsidRDefault="00000000">
            <w:pPr>
              <w:spacing w:before="20" w:after="20"/>
              <w:jc w:val="both"/>
            </w:pPr>
            <w:r>
              <w:rPr>
                <w:sz w:val="18"/>
                <w:szCs w:val="18"/>
              </w:rPr>
              <w:t>Confunde la cultura con el clima organizacional.</w:t>
            </w:r>
          </w:p>
        </w:tc>
        <w:tc>
          <w:tcPr>
            <w:tcW w:w="1830" w:type="dxa"/>
            <w:shd w:val="clear" w:color="auto" w:fill="D9E2F3"/>
            <w:vAlign w:val="center"/>
          </w:tcPr>
          <w:p w14:paraId="44A7B4D0" w14:textId="77777777" w:rsidR="00990B14" w:rsidRDefault="00000000">
            <w:pPr>
              <w:spacing w:before="20" w:after="20"/>
              <w:jc w:val="both"/>
            </w:pPr>
            <w:r>
              <w:rPr>
                <w:sz w:val="18"/>
                <w:szCs w:val="18"/>
              </w:rPr>
              <w:t>Describe los artefactos, los valores y los supuestos básicos de la organización.</w:t>
            </w:r>
          </w:p>
        </w:tc>
        <w:tc>
          <w:tcPr>
            <w:tcW w:w="2120" w:type="dxa"/>
            <w:shd w:val="clear" w:color="auto" w:fill="D9E2F3"/>
            <w:vAlign w:val="center"/>
          </w:tcPr>
          <w:p w14:paraId="70D06979" w14:textId="77777777" w:rsidR="00990B14" w:rsidRDefault="00000000">
            <w:pPr>
              <w:spacing w:before="20" w:after="20"/>
              <w:jc w:val="both"/>
            </w:pPr>
            <w:r>
              <w:rPr>
                <w:sz w:val="18"/>
                <w:szCs w:val="18"/>
              </w:rPr>
              <w:t>Relaciona la cultura con el desempeño y la disposición al cambio.</w:t>
            </w:r>
          </w:p>
        </w:tc>
      </w:tr>
      <w:tr w:rsidR="00990B14" w14:paraId="31858BC3" w14:textId="77777777">
        <w:trPr>
          <w:cantSplit/>
          <w:jc w:val="center"/>
        </w:trPr>
        <w:tc>
          <w:tcPr>
            <w:tcW w:w="1635" w:type="dxa"/>
            <w:vMerge/>
            <w:shd w:val="clear" w:color="auto" w:fill="4472C4"/>
            <w:vAlign w:val="center"/>
          </w:tcPr>
          <w:p w14:paraId="5C67C3B6" w14:textId="77777777" w:rsidR="00990B14" w:rsidRDefault="00990B14">
            <w:pPr>
              <w:spacing w:before="20" w:after="20"/>
            </w:pPr>
          </w:p>
        </w:tc>
        <w:tc>
          <w:tcPr>
            <w:tcW w:w="1910" w:type="dxa"/>
            <w:shd w:val="clear" w:color="auto" w:fill="D9E2F3"/>
            <w:vAlign w:val="center"/>
          </w:tcPr>
          <w:p w14:paraId="13CBF2B0" w14:textId="77777777" w:rsidR="00990B14" w:rsidRDefault="00000000">
            <w:pPr>
              <w:spacing w:before="20" w:after="20"/>
              <w:jc w:val="both"/>
            </w:pPr>
            <w:r>
              <w:rPr>
                <w:sz w:val="18"/>
                <w:szCs w:val="18"/>
              </w:rPr>
              <w:t>Aprendizaje e innovación</w:t>
            </w:r>
          </w:p>
        </w:tc>
        <w:tc>
          <w:tcPr>
            <w:tcW w:w="1910" w:type="dxa"/>
            <w:shd w:val="clear" w:color="auto" w:fill="D9E2F3"/>
            <w:vAlign w:val="center"/>
          </w:tcPr>
          <w:p w14:paraId="122A0E0D" w14:textId="77777777" w:rsidR="00990B14" w:rsidRDefault="00000000">
            <w:pPr>
              <w:spacing w:before="20" w:after="20"/>
              <w:jc w:val="both"/>
            </w:pPr>
            <w:r>
              <w:rPr>
                <w:sz w:val="18"/>
                <w:szCs w:val="18"/>
              </w:rPr>
              <w:t>No identifica prácticas de aprendizaje ni de innovación.</w:t>
            </w:r>
          </w:p>
        </w:tc>
        <w:tc>
          <w:tcPr>
            <w:tcW w:w="1830" w:type="dxa"/>
            <w:shd w:val="clear" w:color="auto" w:fill="D9E2F3"/>
            <w:vAlign w:val="center"/>
          </w:tcPr>
          <w:p w14:paraId="7269C077" w14:textId="77777777" w:rsidR="00990B14" w:rsidRDefault="00000000">
            <w:pPr>
              <w:spacing w:before="20" w:after="20"/>
              <w:jc w:val="both"/>
            </w:pPr>
            <w:r>
              <w:rPr>
                <w:sz w:val="18"/>
                <w:szCs w:val="18"/>
              </w:rPr>
              <w:t>Describe cómo la organización aprende e innova.</w:t>
            </w:r>
          </w:p>
        </w:tc>
        <w:tc>
          <w:tcPr>
            <w:tcW w:w="2120" w:type="dxa"/>
            <w:shd w:val="clear" w:color="auto" w:fill="D9E2F3"/>
            <w:vAlign w:val="center"/>
          </w:tcPr>
          <w:p w14:paraId="5E099AD3" w14:textId="77777777" w:rsidR="00990B14" w:rsidRDefault="00000000">
            <w:pPr>
              <w:spacing w:before="20" w:after="20"/>
              <w:jc w:val="both"/>
            </w:pPr>
            <w:r>
              <w:rPr>
                <w:sz w:val="18"/>
                <w:szCs w:val="18"/>
              </w:rPr>
              <w:t>Propone prácticas para fortalecer el aprendizaje y la innovación.</w:t>
            </w:r>
          </w:p>
        </w:tc>
      </w:tr>
      <w:tr w:rsidR="00990B14" w14:paraId="1F206356" w14:textId="77777777">
        <w:trPr>
          <w:cantSplit/>
          <w:jc w:val="center"/>
        </w:trPr>
        <w:tc>
          <w:tcPr>
            <w:tcW w:w="1635" w:type="dxa"/>
            <w:vMerge/>
            <w:shd w:val="clear" w:color="auto" w:fill="4472C4"/>
            <w:vAlign w:val="center"/>
          </w:tcPr>
          <w:p w14:paraId="6B4F7C06" w14:textId="77777777" w:rsidR="00990B14" w:rsidRDefault="00990B14">
            <w:pPr>
              <w:spacing w:before="20" w:after="20"/>
            </w:pPr>
          </w:p>
        </w:tc>
        <w:tc>
          <w:tcPr>
            <w:tcW w:w="1910" w:type="dxa"/>
            <w:shd w:val="clear" w:color="auto" w:fill="D9E2F3"/>
            <w:vAlign w:val="center"/>
          </w:tcPr>
          <w:p w14:paraId="6355D742" w14:textId="77777777" w:rsidR="00990B14" w:rsidRDefault="00000000">
            <w:pPr>
              <w:spacing w:before="20" w:after="20"/>
              <w:jc w:val="both"/>
            </w:pPr>
            <w:r>
              <w:rPr>
                <w:sz w:val="18"/>
                <w:szCs w:val="18"/>
              </w:rPr>
              <w:t>Objetividad del análisis</w:t>
            </w:r>
          </w:p>
        </w:tc>
        <w:tc>
          <w:tcPr>
            <w:tcW w:w="1910" w:type="dxa"/>
            <w:shd w:val="clear" w:color="auto" w:fill="D9E2F3"/>
            <w:vAlign w:val="center"/>
          </w:tcPr>
          <w:p w14:paraId="6F2FDA29" w14:textId="77777777" w:rsidR="00990B14" w:rsidRDefault="00000000">
            <w:pPr>
              <w:spacing w:before="20" w:after="20"/>
              <w:jc w:val="both"/>
            </w:pPr>
            <w:r>
              <w:rPr>
                <w:sz w:val="18"/>
                <w:szCs w:val="18"/>
              </w:rPr>
              <w:t>El análisis se basa en opiniones sin evidencia.</w:t>
            </w:r>
          </w:p>
        </w:tc>
        <w:tc>
          <w:tcPr>
            <w:tcW w:w="1830" w:type="dxa"/>
            <w:shd w:val="clear" w:color="auto" w:fill="D9E2F3"/>
            <w:vAlign w:val="center"/>
          </w:tcPr>
          <w:p w14:paraId="19D15946" w14:textId="77777777" w:rsidR="00990B14" w:rsidRDefault="00000000">
            <w:pPr>
              <w:spacing w:before="20" w:after="20"/>
              <w:jc w:val="both"/>
            </w:pPr>
            <w:r>
              <w:rPr>
                <w:sz w:val="18"/>
                <w:szCs w:val="18"/>
              </w:rPr>
              <w:t>Sustenta el análisis con evidencia recolectada en la organización.</w:t>
            </w:r>
          </w:p>
        </w:tc>
        <w:tc>
          <w:tcPr>
            <w:tcW w:w="2120" w:type="dxa"/>
            <w:shd w:val="clear" w:color="auto" w:fill="D9E2F3"/>
            <w:vAlign w:val="center"/>
          </w:tcPr>
          <w:p w14:paraId="0F5A8802" w14:textId="77777777" w:rsidR="00990B14" w:rsidRDefault="00000000">
            <w:pPr>
              <w:spacing w:before="20" w:after="20"/>
              <w:jc w:val="both"/>
            </w:pPr>
            <w:r>
              <w:rPr>
                <w:sz w:val="18"/>
                <w:szCs w:val="18"/>
              </w:rPr>
              <w:t>Contrasta varias fuentes con respeto a la diversidad de opiniones.</w:t>
            </w:r>
          </w:p>
        </w:tc>
      </w:tr>
      <w:tr w:rsidR="00990B14" w14:paraId="655F9E3D" w14:textId="77777777">
        <w:trPr>
          <w:cantSplit/>
          <w:jc w:val="center"/>
        </w:trPr>
        <w:tc>
          <w:tcPr>
            <w:tcW w:w="1635" w:type="dxa"/>
            <w:vMerge/>
            <w:shd w:val="clear" w:color="auto" w:fill="4472C4"/>
            <w:vAlign w:val="center"/>
          </w:tcPr>
          <w:p w14:paraId="388F8CF8" w14:textId="77777777" w:rsidR="00990B14" w:rsidRDefault="00990B14">
            <w:pPr>
              <w:spacing w:before="20" w:after="20"/>
            </w:pPr>
          </w:p>
        </w:tc>
        <w:tc>
          <w:tcPr>
            <w:tcW w:w="5650" w:type="dxa"/>
            <w:gridSpan w:val="3"/>
            <w:shd w:val="clear" w:color="auto" w:fill="D9E2F3"/>
            <w:vAlign w:val="center"/>
          </w:tcPr>
          <w:p w14:paraId="761FDECE" w14:textId="77777777" w:rsidR="00990B14" w:rsidRDefault="00000000">
            <w:pPr>
              <w:keepNext/>
              <w:spacing w:before="20" w:after="20"/>
              <w:jc w:val="both"/>
            </w:pPr>
            <w:r>
              <w:rPr>
                <w:b/>
                <w:bCs/>
                <w:i/>
                <w:iCs/>
                <w:sz w:val="18"/>
                <w:szCs w:val="18"/>
              </w:rPr>
              <w:t xml:space="preserve">Producto 11: </w:t>
            </w:r>
            <w:r>
              <w:rPr>
                <w:sz w:val="18"/>
                <w:szCs w:val="18"/>
              </w:rPr>
              <w:t>Plan de intervención de desarrollo organizacional</w:t>
            </w:r>
          </w:p>
        </w:tc>
        <w:tc>
          <w:tcPr>
            <w:tcW w:w="2120" w:type="dxa"/>
            <w:shd w:val="clear" w:color="auto" w:fill="D9E2F3"/>
            <w:vAlign w:val="center"/>
          </w:tcPr>
          <w:p w14:paraId="3FB38770" w14:textId="77777777" w:rsidR="00990B14" w:rsidRDefault="00000000">
            <w:pPr>
              <w:spacing w:before="20" w:after="20"/>
              <w:jc w:val="center"/>
            </w:pPr>
            <w:r>
              <w:rPr>
                <w:b/>
                <w:bCs/>
                <w:sz w:val="18"/>
                <w:szCs w:val="18"/>
              </w:rPr>
              <w:t>5%</w:t>
            </w:r>
          </w:p>
        </w:tc>
      </w:tr>
      <w:tr w:rsidR="00990B14" w14:paraId="75C28AEB" w14:textId="77777777">
        <w:trPr>
          <w:cantSplit/>
          <w:jc w:val="center"/>
        </w:trPr>
        <w:tc>
          <w:tcPr>
            <w:tcW w:w="1635" w:type="dxa"/>
            <w:vMerge/>
            <w:shd w:val="clear" w:color="auto" w:fill="4472C4"/>
            <w:vAlign w:val="center"/>
          </w:tcPr>
          <w:p w14:paraId="20468019" w14:textId="77777777" w:rsidR="00990B14" w:rsidRDefault="00990B14">
            <w:pPr>
              <w:spacing w:before="20" w:after="20"/>
            </w:pPr>
          </w:p>
        </w:tc>
        <w:tc>
          <w:tcPr>
            <w:tcW w:w="1910" w:type="dxa"/>
            <w:shd w:val="clear" w:color="auto" w:fill="4472C4"/>
            <w:vAlign w:val="center"/>
          </w:tcPr>
          <w:p w14:paraId="4BAD152D"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4A122DDF" w14:textId="77777777" w:rsidR="00990B14" w:rsidRDefault="00000000">
            <w:pPr>
              <w:keepNext/>
              <w:spacing w:before="20" w:after="20"/>
              <w:jc w:val="center"/>
            </w:pPr>
            <w:r>
              <w:rPr>
                <w:b/>
                <w:bCs/>
                <w:i/>
                <w:iCs/>
                <w:color w:val="FFFFFF"/>
                <w:sz w:val="18"/>
                <w:szCs w:val="18"/>
              </w:rPr>
              <w:t>Insuficiente (1–50)</w:t>
            </w:r>
          </w:p>
        </w:tc>
        <w:tc>
          <w:tcPr>
            <w:tcW w:w="1830" w:type="dxa"/>
            <w:shd w:val="clear" w:color="auto" w:fill="4472C4"/>
            <w:vAlign w:val="center"/>
          </w:tcPr>
          <w:p w14:paraId="3676ABA3"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01A36E13" w14:textId="77777777" w:rsidR="00990B14" w:rsidRDefault="00000000">
            <w:pPr>
              <w:keepNext/>
              <w:spacing w:before="20" w:after="20"/>
              <w:jc w:val="center"/>
            </w:pPr>
            <w:r>
              <w:rPr>
                <w:b/>
                <w:bCs/>
                <w:i/>
                <w:iCs/>
                <w:color w:val="FFFFFF"/>
                <w:sz w:val="18"/>
                <w:szCs w:val="18"/>
              </w:rPr>
              <w:t>Destacado (81–100)</w:t>
            </w:r>
          </w:p>
        </w:tc>
      </w:tr>
      <w:tr w:rsidR="00990B14" w14:paraId="0A24B428" w14:textId="77777777">
        <w:trPr>
          <w:cantSplit/>
          <w:jc w:val="center"/>
        </w:trPr>
        <w:tc>
          <w:tcPr>
            <w:tcW w:w="1635" w:type="dxa"/>
            <w:vMerge/>
            <w:shd w:val="clear" w:color="auto" w:fill="4472C4"/>
            <w:vAlign w:val="center"/>
          </w:tcPr>
          <w:p w14:paraId="4358462B" w14:textId="77777777" w:rsidR="00990B14" w:rsidRDefault="00990B14">
            <w:pPr>
              <w:spacing w:before="20" w:after="20"/>
            </w:pPr>
          </w:p>
        </w:tc>
        <w:tc>
          <w:tcPr>
            <w:tcW w:w="1910" w:type="dxa"/>
            <w:shd w:val="clear" w:color="auto" w:fill="D9E2F3"/>
            <w:vAlign w:val="center"/>
          </w:tcPr>
          <w:p w14:paraId="2C88BB1C" w14:textId="77777777" w:rsidR="00990B14" w:rsidRDefault="00000000">
            <w:pPr>
              <w:spacing w:before="20" w:after="20"/>
              <w:jc w:val="both"/>
            </w:pPr>
            <w:r>
              <w:rPr>
                <w:sz w:val="18"/>
                <w:szCs w:val="18"/>
              </w:rPr>
              <w:t>Modelo de cambio</w:t>
            </w:r>
          </w:p>
        </w:tc>
        <w:tc>
          <w:tcPr>
            <w:tcW w:w="1910" w:type="dxa"/>
            <w:shd w:val="clear" w:color="auto" w:fill="D9E2F3"/>
            <w:vAlign w:val="center"/>
          </w:tcPr>
          <w:p w14:paraId="147EF2B2" w14:textId="77777777" w:rsidR="00990B14" w:rsidRDefault="00000000">
            <w:pPr>
              <w:spacing w:before="20" w:after="20"/>
              <w:jc w:val="both"/>
            </w:pPr>
            <w:r>
              <w:rPr>
                <w:sz w:val="18"/>
                <w:szCs w:val="18"/>
              </w:rPr>
              <w:t>El plan no se sustenta en un modelo de desarrollo organizacional.</w:t>
            </w:r>
          </w:p>
        </w:tc>
        <w:tc>
          <w:tcPr>
            <w:tcW w:w="1830" w:type="dxa"/>
            <w:shd w:val="clear" w:color="auto" w:fill="D9E2F3"/>
            <w:vAlign w:val="center"/>
          </w:tcPr>
          <w:p w14:paraId="6531621D" w14:textId="77777777" w:rsidR="00990B14" w:rsidRDefault="00000000">
            <w:pPr>
              <w:spacing w:before="20" w:after="20"/>
              <w:jc w:val="both"/>
            </w:pPr>
            <w:r>
              <w:rPr>
                <w:sz w:val="18"/>
                <w:szCs w:val="18"/>
              </w:rPr>
              <w:t>Aplica correctamente el modelo de Faria Mello o de Kurt Lewin.</w:t>
            </w:r>
          </w:p>
        </w:tc>
        <w:tc>
          <w:tcPr>
            <w:tcW w:w="2120" w:type="dxa"/>
            <w:shd w:val="clear" w:color="auto" w:fill="D9E2F3"/>
            <w:vAlign w:val="center"/>
          </w:tcPr>
          <w:p w14:paraId="328DEF5E" w14:textId="77777777" w:rsidR="00990B14" w:rsidRDefault="00000000">
            <w:pPr>
              <w:spacing w:before="20" w:after="20"/>
              <w:jc w:val="both"/>
            </w:pPr>
            <w:r>
              <w:rPr>
                <w:sz w:val="18"/>
                <w:szCs w:val="18"/>
              </w:rPr>
              <w:t>Justifica la elección del modelo según el diagnóstico.</w:t>
            </w:r>
          </w:p>
        </w:tc>
      </w:tr>
      <w:tr w:rsidR="00990B14" w14:paraId="3F3C045F" w14:textId="77777777">
        <w:trPr>
          <w:cantSplit/>
          <w:jc w:val="center"/>
        </w:trPr>
        <w:tc>
          <w:tcPr>
            <w:tcW w:w="1635" w:type="dxa"/>
            <w:vMerge/>
            <w:shd w:val="clear" w:color="auto" w:fill="4472C4"/>
            <w:vAlign w:val="center"/>
          </w:tcPr>
          <w:p w14:paraId="3D200F30" w14:textId="77777777" w:rsidR="00990B14" w:rsidRDefault="00990B14">
            <w:pPr>
              <w:spacing w:before="20" w:after="20"/>
            </w:pPr>
          </w:p>
        </w:tc>
        <w:tc>
          <w:tcPr>
            <w:tcW w:w="1910" w:type="dxa"/>
            <w:shd w:val="clear" w:color="auto" w:fill="D9E2F3"/>
            <w:vAlign w:val="center"/>
          </w:tcPr>
          <w:p w14:paraId="11F3882C" w14:textId="77777777" w:rsidR="00990B14" w:rsidRDefault="00000000">
            <w:pPr>
              <w:spacing w:before="20" w:after="20"/>
              <w:jc w:val="both"/>
            </w:pPr>
            <w:r>
              <w:rPr>
                <w:sz w:val="18"/>
                <w:szCs w:val="18"/>
              </w:rPr>
              <w:t>Técnica de intervención</w:t>
            </w:r>
          </w:p>
        </w:tc>
        <w:tc>
          <w:tcPr>
            <w:tcW w:w="1910" w:type="dxa"/>
            <w:shd w:val="clear" w:color="auto" w:fill="D9E2F3"/>
            <w:vAlign w:val="center"/>
          </w:tcPr>
          <w:p w14:paraId="46BBAA65" w14:textId="77777777" w:rsidR="00990B14" w:rsidRDefault="00000000">
            <w:pPr>
              <w:spacing w:before="20" w:after="20"/>
              <w:jc w:val="both"/>
            </w:pPr>
            <w:r>
              <w:rPr>
                <w:sz w:val="18"/>
                <w:szCs w:val="18"/>
              </w:rPr>
              <w:t>La técnica no corresponde al problema diagnosticado.</w:t>
            </w:r>
          </w:p>
        </w:tc>
        <w:tc>
          <w:tcPr>
            <w:tcW w:w="1830" w:type="dxa"/>
            <w:shd w:val="clear" w:color="auto" w:fill="D9E2F3"/>
            <w:vAlign w:val="center"/>
          </w:tcPr>
          <w:p w14:paraId="2884B730" w14:textId="77777777" w:rsidR="00990B14" w:rsidRDefault="00000000">
            <w:pPr>
              <w:spacing w:before="20" w:after="20"/>
              <w:jc w:val="both"/>
            </w:pPr>
            <w:r>
              <w:rPr>
                <w:sz w:val="18"/>
                <w:szCs w:val="18"/>
              </w:rPr>
              <w:t>Propone una técnica de intervención pertinente.</w:t>
            </w:r>
          </w:p>
        </w:tc>
        <w:tc>
          <w:tcPr>
            <w:tcW w:w="2120" w:type="dxa"/>
            <w:shd w:val="clear" w:color="auto" w:fill="D9E2F3"/>
            <w:vAlign w:val="center"/>
          </w:tcPr>
          <w:p w14:paraId="067485C2" w14:textId="77777777" w:rsidR="00990B14" w:rsidRDefault="00000000">
            <w:pPr>
              <w:spacing w:before="20" w:after="20"/>
              <w:jc w:val="both"/>
            </w:pPr>
            <w:r>
              <w:rPr>
                <w:sz w:val="18"/>
                <w:szCs w:val="18"/>
              </w:rPr>
              <w:t>Anticipa los efectos de la técnica en la cultura y el clima.</w:t>
            </w:r>
          </w:p>
        </w:tc>
      </w:tr>
      <w:tr w:rsidR="00990B14" w14:paraId="4F4DAFF8" w14:textId="77777777">
        <w:trPr>
          <w:cantSplit/>
          <w:jc w:val="center"/>
        </w:trPr>
        <w:tc>
          <w:tcPr>
            <w:tcW w:w="1635" w:type="dxa"/>
            <w:vMerge/>
            <w:shd w:val="clear" w:color="auto" w:fill="4472C4"/>
            <w:vAlign w:val="center"/>
          </w:tcPr>
          <w:p w14:paraId="7C808062" w14:textId="77777777" w:rsidR="00990B14" w:rsidRDefault="00990B14">
            <w:pPr>
              <w:spacing w:before="20" w:after="20"/>
            </w:pPr>
          </w:p>
        </w:tc>
        <w:tc>
          <w:tcPr>
            <w:tcW w:w="1910" w:type="dxa"/>
            <w:shd w:val="clear" w:color="auto" w:fill="D9E2F3"/>
            <w:vAlign w:val="center"/>
          </w:tcPr>
          <w:p w14:paraId="68CA2191" w14:textId="77777777" w:rsidR="00990B14" w:rsidRDefault="00000000">
            <w:pPr>
              <w:spacing w:before="20" w:after="20"/>
              <w:jc w:val="both"/>
            </w:pPr>
            <w:r>
              <w:rPr>
                <w:sz w:val="18"/>
                <w:szCs w:val="18"/>
              </w:rPr>
              <w:t>Resistencia al cambio</w:t>
            </w:r>
          </w:p>
        </w:tc>
        <w:tc>
          <w:tcPr>
            <w:tcW w:w="1910" w:type="dxa"/>
            <w:shd w:val="clear" w:color="auto" w:fill="D9E2F3"/>
            <w:vAlign w:val="center"/>
          </w:tcPr>
          <w:p w14:paraId="2D769C28" w14:textId="77777777" w:rsidR="00990B14" w:rsidRDefault="00000000">
            <w:pPr>
              <w:spacing w:before="20" w:after="20"/>
              <w:jc w:val="both"/>
            </w:pPr>
            <w:r>
              <w:rPr>
                <w:sz w:val="18"/>
                <w:szCs w:val="18"/>
              </w:rPr>
              <w:t>No considera la resistencia al cambio.</w:t>
            </w:r>
          </w:p>
        </w:tc>
        <w:tc>
          <w:tcPr>
            <w:tcW w:w="1830" w:type="dxa"/>
            <w:shd w:val="clear" w:color="auto" w:fill="D9E2F3"/>
            <w:vAlign w:val="center"/>
          </w:tcPr>
          <w:p w14:paraId="3A517443" w14:textId="77777777" w:rsidR="00990B14" w:rsidRDefault="00000000">
            <w:pPr>
              <w:spacing w:before="20" w:after="20"/>
              <w:jc w:val="both"/>
            </w:pPr>
            <w:r>
              <w:rPr>
                <w:sz w:val="18"/>
                <w:szCs w:val="18"/>
              </w:rPr>
              <w:t>Identifica las causas de la resistencia y propone estrategias.</w:t>
            </w:r>
          </w:p>
        </w:tc>
        <w:tc>
          <w:tcPr>
            <w:tcW w:w="2120" w:type="dxa"/>
            <w:shd w:val="clear" w:color="auto" w:fill="D9E2F3"/>
            <w:vAlign w:val="center"/>
          </w:tcPr>
          <w:p w14:paraId="61E5FDFD" w14:textId="77777777" w:rsidR="00990B14" w:rsidRDefault="00000000">
            <w:pPr>
              <w:spacing w:before="20" w:after="20"/>
              <w:jc w:val="both"/>
            </w:pPr>
            <w:r>
              <w:rPr>
                <w:sz w:val="18"/>
                <w:szCs w:val="18"/>
              </w:rPr>
              <w:t>Propone estrategias que respetan la diversidad y la participación de las personas.</w:t>
            </w:r>
          </w:p>
        </w:tc>
      </w:tr>
      <w:tr w:rsidR="00990B14" w14:paraId="3443C451" w14:textId="77777777">
        <w:trPr>
          <w:cantSplit/>
          <w:jc w:val="center"/>
        </w:trPr>
        <w:tc>
          <w:tcPr>
            <w:tcW w:w="1635" w:type="dxa"/>
            <w:vMerge/>
            <w:shd w:val="clear" w:color="auto" w:fill="4472C4"/>
            <w:vAlign w:val="center"/>
          </w:tcPr>
          <w:p w14:paraId="7264ADDC" w14:textId="77777777" w:rsidR="00990B14" w:rsidRDefault="00990B14">
            <w:pPr>
              <w:spacing w:before="20" w:after="20"/>
            </w:pPr>
          </w:p>
        </w:tc>
        <w:tc>
          <w:tcPr>
            <w:tcW w:w="5650" w:type="dxa"/>
            <w:gridSpan w:val="3"/>
            <w:shd w:val="clear" w:color="auto" w:fill="D9E2F3"/>
            <w:vAlign w:val="center"/>
          </w:tcPr>
          <w:p w14:paraId="1B6EB8ED" w14:textId="77777777" w:rsidR="00990B14" w:rsidRDefault="00000000">
            <w:pPr>
              <w:keepNext/>
              <w:spacing w:before="20" w:after="20"/>
              <w:jc w:val="both"/>
            </w:pPr>
            <w:r>
              <w:rPr>
                <w:b/>
                <w:bCs/>
                <w:i/>
                <w:iCs/>
                <w:sz w:val="18"/>
                <w:szCs w:val="18"/>
              </w:rPr>
              <w:t xml:space="preserve">Producto 12: </w:t>
            </w:r>
            <w:r>
              <w:rPr>
                <w:sz w:val="18"/>
                <w:szCs w:val="18"/>
              </w:rPr>
              <w:t>Plan de implementación de la estrategia con su tablero de indicadores</w:t>
            </w:r>
          </w:p>
        </w:tc>
        <w:tc>
          <w:tcPr>
            <w:tcW w:w="2120" w:type="dxa"/>
            <w:shd w:val="clear" w:color="auto" w:fill="D9E2F3"/>
            <w:vAlign w:val="center"/>
          </w:tcPr>
          <w:p w14:paraId="01B91413" w14:textId="77777777" w:rsidR="00990B14" w:rsidRDefault="00000000">
            <w:pPr>
              <w:spacing w:before="20" w:after="20"/>
              <w:jc w:val="center"/>
            </w:pPr>
            <w:r>
              <w:rPr>
                <w:b/>
                <w:bCs/>
                <w:sz w:val="18"/>
                <w:szCs w:val="18"/>
              </w:rPr>
              <w:t>5%</w:t>
            </w:r>
          </w:p>
        </w:tc>
      </w:tr>
      <w:tr w:rsidR="00990B14" w14:paraId="55887310" w14:textId="77777777">
        <w:trPr>
          <w:cantSplit/>
          <w:jc w:val="center"/>
        </w:trPr>
        <w:tc>
          <w:tcPr>
            <w:tcW w:w="1635" w:type="dxa"/>
            <w:vMerge/>
            <w:shd w:val="clear" w:color="auto" w:fill="4472C4"/>
            <w:vAlign w:val="center"/>
          </w:tcPr>
          <w:p w14:paraId="26CF1FBC" w14:textId="77777777" w:rsidR="00990B14" w:rsidRDefault="00990B14">
            <w:pPr>
              <w:spacing w:before="20" w:after="20"/>
            </w:pPr>
          </w:p>
        </w:tc>
        <w:tc>
          <w:tcPr>
            <w:tcW w:w="1910" w:type="dxa"/>
            <w:shd w:val="clear" w:color="auto" w:fill="4472C4"/>
            <w:vAlign w:val="center"/>
          </w:tcPr>
          <w:p w14:paraId="730144A3"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12B31D26" w14:textId="77777777" w:rsidR="00990B14" w:rsidRDefault="00000000">
            <w:pPr>
              <w:keepNext/>
              <w:spacing w:before="20" w:after="20"/>
              <w:jc w:val="center"/>
            </w:pPr>
            <w:r>
              <w:rPr>
                <w:b/>
                <w:bCs/>
                <w:i/>
                <w:iCs/>
                <w:color w:val="FFFFFF"/>
                <w:sz w:val="18"/>
                <w:szCs w:val="18"/>
              </w:rPr>
              <w:t>Insuficiente (1–50)</w:t>
            </w:r>
          </w:p>
        </w:tc>
        <w:tc>
          <w:tcPr>
            <w:tcW w:w="1830" w:type="dxa"/>
            <w:shd w:val="clear" w:color="auto" w:fill="4472C4"/>
            <w:vAlign w:val="center"/>
          </w:tcPr>
          <w:p w14:paraId="7C71FF10"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3C52F4DC" w14:textId="77777777" w:rsidR="00990B14" w:rsidRDefault="00000000">
            <w:pPr>
              <w:keepNext/>
              <w:spacing w:before="20" w:after="20"/>
              <w:jc w:val="center"/>
            </w:pPr>
            <w:r>
              <w:rPr>
                <w:b/>
                <w:bCs/>
                <w:i/>
                <w:iCs/>
                <w:color w:val="FFFFFF"/>
                <w:sz w:val="18"/>
                <w:szCs w:val="18"/>
              </w:rPr>
              <w:t>Destacado (81–100)</w:t>
            </w:r>
          </w:p>
        </w:tc>
      </w:tr>
      <w:tr w:rsidR="00990B14" w14:paraId="2C8542EF" w14:textId="77777777">
        <w:trPr>
          <w:cantSplit/>
          <w:jc w:val="center"/>
        </w:trPr>
        <w:tc>
          <w:tcPr>
            <w:tcW w:w="1635" w:type="dxa"/>
            <w:vMerge/>
            <w:shd w:val="clear" w:color="auto" w:fill="4472C4"/>
            <w:vAlign w:val="center"/>
          </w:tcPr>
          <w:p w14:paraId="6EB3102A" w14:textId="77777777" w:rsidR="00990B14" w:rsidRDefault="00990B14">
            <w:pPr>
              <w:spacing w:before="20" w:after="20"/>
            </w:pPr>
          </w:p>
        </w:tc>
        <w:tc>
          <w:tcPr>
            <w:tcW w:w="1910" w:type="dxa"/>
            <w:shd w:val="clear" w:color="auto" w:fill="D9E2F3"/>
            <w:vAlign w:val="center"/>
          </w:tcPr>
          <w:p w14:paraId="668015EA" w14:textId="77777777" w:rsidR="00990B14" w:rsidRDefault="00000000">
            <w:pPr>
              <w:spacing w:before="20" w:after="20"/>
              <w:jc w:val="both"/>
            </w:pPr>
            <w:r>
              <w:rPr>
                <w:sz w:val="18"/>
                <w:szCs w:val="18"/>
              </w:rPr>
              <w:t>Planes de acción</w:t>
            </w:r>
          </w:p>
        </w:tc>
        <w:tc>
          <w:tcPr>
            <w:tcW w:w="1910" w:type="dxa"/>
            <w:shd w:val="clear" w:color="auto" w:fill="D9E2F3"/>
            <w:vAlign w:val="center"/>
          </w:tcPr>
          <w:p w14:paraId="5AD5992F" w14:textId="77777777" w:rsidR="00990B14" w:rsidRDefault="00000000">
            <w:pPr>
              <w:spacing w:before="20" w:after="20"/>
              <w:jc w:val="both"/>
            </w:pPr>
            <w:r>
              <w:rPr>
                <w:sz w:val="18"/>
                <w:szCs w:val="18"/>
              </w:rPr>
              <w:t>Faltan responsables, plazos o recursos.</w:t>
            </w:r>
          </w:p>
        </w:tc>
        <w:tc>
          <w:tcPr>
            <w:tcW w:w="1830" w:type="dxa"/>
            <w:shd w:val="clear" w:color="auto" w:fill="D9E2F3"/>
            <w:vAlign w:val="center"/>
          </w:tcPr>
          <w:p w14:paraId="4F627E7C" w14:textId="77777777" w:rsidR="00990B14" w:rsidRDefault="00000000">
            <w:pPr>
              <w:spacing w:before="20" w:after="20"/>
              <w:jc w:val="both"/>
            </w:pPr>
            <w:r>
              <w:rPr>
                <w:sz w:val="18"/>
                <w:szCs w:val="18"/>
              </w:rPr>
              <w:t>Define responsables, cronogramas y recursos.</w:t>
            </w:r>
          </w:p>
        </w:tc>
        <w:tc>
          <w:tcPr>
            <w:tcW w:w="2120" w:type="dxa"/>
            <w:shd w:val="clear" w:color="auto" w:fill="D9E2F3"/>
            <w:vAlign w:val="center"/>
          </w:tcPr>
          <w:p w14:paraId="109B2FCB" w14:textId="77777777" w:rsidR="00990B14" w:rsidRDefault="00000000">
            <w:pPr>
              <w:spacing w:before="20" w:after="20"/>
              <w:jc w:val="both"/>
            </w:pPr>
            <w:r>
              <w:rPr>
                <w:sz w:val="18"/>
                <w:szCs w:val="18"/>
              </w:rPr>
              <w:t>Prioriza las acciones según su impacto.</w:t>
            </w:r>
          </w:p>
        </w:tc>
      </w:tr>
      <w:tr w:rsidR="00990B14" w14:paraId="7853A241" w14:textId="77777777">
        <w:trPr>
          <w:cantSplit/>
          <w:jc w:val="center"/>
        </w:trPr>
        <w:tc>
          <w:tcPr>
            <w:tcW w:w="1635" w:type="dxa"/>
            <w:vMerge/>
            <w:shd w:val="clear" w:color="auto" w:fill="4472C4"/>
            <w:vAlign w:val="center"/>
          </w:tcPr>
          <w:p w14:paraId="0F65898B" w14:textId="77777777" w:rsidR="00990B14" w:rsidRDefault="00990B14">
            <w:pPr>
              <w:spacing w:before="20" w:after="20"/>
            </w:pPr>
          </w:p>
        </w:tc>
        <w:tc>
          <w:tcPr>
            <w:tcW w:w="1910" w:type="dxa"/>
            <w:shd w:val="clear" w:color="auto" w:fill="D9E2F3"/>
            <w:vAlign w:val="center"/>
          </w:tcPr>
          <w:p w14:paraId="455A4E3F" w14:textId="77777777" w:rsidR="00990B14" w:rsidRDefault="00000000">
            <w:pPr>
              <w:spacing w:before="20" w:after="20"/>
              <w:jc w:val="both"/>
            </w:pPr>
            <w:r>
              <w:rPr>
                <w:sz w:val="18"/>
                <w:szCs w:val="18"/>
              </w:rPr>
              <w:t>Indicadores clave</w:t>
            </w:r>
          </w:p>
        </w:tc>
        <w:tc>
          <w:tcPr>
            <w:tcW w:w="1910" w:type="dxa"/>
            <w:shd w:val="clear" w:color="auto" w:fill="D9E2F3"/>
            <w:vAlign w:val="center"/>
          </w:tcPr>
          <w:p w14:paraId="34789BEE" w14:textId="77777777" w:rsidR="00990B14" w:rsidRDefault="00000000">
            <w:pPr>
              <w:spacing w:before="20" w:after="20"/>
              <w:jc w:val="both"/>
            </w:pPr>
            <w:r>
              <w:rPr>
                <w:sz w:val="18"/>
                <w:szCs w:val="18"/>
              </w:rPr>
              <w:t>Los indicadores no miden el avance de la estrategia.</w:t>
            </w:r>
          </w:p>
        </w:tc>
        <w:tc>
          <w:tcPr>
            <w:tcW w:w="1830" w:type="dxa"/>
            <w:shd w:val="clear" w:color="auto" w:fill="D9E2F3"/>
            <w:vAlign w:val="center"/>
          </w:tcPr>
          <w:p w14:paraId="1202D986" w14:textId="77777777" w:rsidR="00990B14" w:rsidRDefault="00000000">
            <w:pPr>
              <w:spacing w:before="20" w:after="20"/>
              <w:jc w:val="both"/>
            </w:pPr>
            <w:r>
              <w:rPr>
                <w:sz w:val="18"/>
                <w:szCs w:val="18"/>
              </w:rPr>
              <w:t>Define indicadores clave de desempeño con metas.</w:t>
            </w:r>
          </w:p>
        </w:tc>
        <w:tc>
          <w:tcPr>
            <w:tcW w:w="2120" w:type="dxa"/>
            <w:shd w:val="clear" w:color="auto" w:fill="D9E2F3"/>
            <w:vAlign w:val="center"/>
          </w:tcPr>
          <w:p w14:paraId="125F97EA" w14:textId="77777777" w:rsidR="00990B14" w:rsidRDefault="00000000">
            <w:pPr>
              <w:spacing w:before="20" w:after="20"/>
              <w:jc w:val="both"/>
            </w:pPr>
            <w:r>
              <w:rPr>
                <w:sz w:val="18"/>
                <w:szCs w:val="18"/>
              </w:rPr>
              <w:t>Establece acciones correctivas ante las desviaciones.</w:t>
            </w:r>
          </w:p>
        </w:tc>
      </w:tr>
      <w:tr w:rsidR="00990B14" w14:paraId="599EF870" w14:textId="77777777">
        <w:trPr>
          <w:cantSplit/>
          <w:jc w:val="center"/>
        </w:trPr>
        <w:tc>
          <w:tcPr>
            <w:tcW w:w="1635" w:type="dxa"/>
            <w:vMerge/>
            <w:shd w:val="clear" w:color="auto" w:fill="4472C4"/>
            <w:vAlign w:val="center"/>
          </w:tcPr>
          <w:p w14:paraId="3B8484EF" w14:textId="77777777" w:rsidR="00990B14" w:rsidRDefault="00990B14">
            <w:pPr>
              <w:spacing w:before="20" w:after="20"/>
            </w:pPr>
          </w:p>
        </w:tc>
        <w:tc>
          <w:tcPr>
            <w:tcW w:w="1910" w:type="dxa"/>
            <w:shd w:val="clear" w:color="auto" w:fill="D9E2F3"/>
            <w:vAlign w:val="center"/>
          </w:tcPr>
          <w:p w14:paraId="65EC9F43" w14:textId="77777777" w:rsidR="00990B14" w:rsidRDefault="00000000">
            <w:pPr>
              <w:spacing w:before="20" w:after="20"/>
              <w:jc w:val="both"/>
            </w:pPr>
            <w:r>
              <w:rPr>
                <w:sz w:val="18"/>
                <w:szCs w:val="18"/>
              </w:rPr>
              <w:t>Coherencia estratégica</w:t>
            </w:r>
          </w:p>
        </w:tc>
        <w:tc>
          <w:tcPr>
            <w:tcW w:w="1910" w:type="dxa"/>
            <w:shd w:val="clear" w:color="auto" w:fill="D9E2F3"/>
            <w:vAlign w:val="center"/>
          </w:tcPr>
          <w:p w14:paraId="41A6B065" w14:textId="77777777" w:rsidR="00990B14" w:rsidRDefault="00000000">
            <w:pPr>
              <w:spacing w:before="20" w:after="20"/>
              <w:jc w:val="both"/>
            </w:pPr>
            <w:r>
              <w:rPr>
                <w:sz w:val="18"/>
                <w:szCs w:val="18"/>
              </w:rPr>
              <w:t>El plan no se relaciona con los objetivos estratégicos.</w:t>
            </w:r>
          </w:p>
        </w:tc>
        <w:tc>
          <w:tcPr>
            <w:tcW w:w="1830" w:type="dxa"/>
            <w:shd w:val="clear" w:color="auto" w:fill="D9E2F3"/>
            <w:vAlign w:val="center"/>
          </w:tcPr>
          <w:p w14:paraId="32C9F17A" w14:textId="77777777" w:rsidR="00990B14" w:rsidRDefault="00000000">
            <w:pPr>
              <w:spacing w:before="20" w:after="20"/>
              <w:jc w:val="both"/>
            </w:pPr>
            <w:r>
              <w:rPr>
                <w:sz w:val="18"/>
                <w:szCs w:val="18"/>
              </w:rPr>
              <w:t>Cada acción responde a un objetivo estratégico.</w:t>
            </w:r>
          </w:p>
        </w:tc>
        <w:tc>
          <w:tcPr>
            <w:tcW w:w="2120" w:type="dxa"/>
            <w:shd w:val="clear" w:color="auto" w:fill="D9E2F3"/>
            <w:vAlign w:val="center"/>
          </w:tcPr>
          <w:p w14:paraId="0841A68C" w14:textId="77777777" w:rsidR="00990B14" w:rsidRDefault="00000000">
            <w:pPr>
              <w:spacing w:before="20" w:after="20"/>
              <w:jc w:val="both"/>
            </w:pPr>
            <w:r>
              <w:rPr>
                <w:sz w:val="18"/>
                <w:szCs w:val="18"/>
              </w:rPr>
              <w:t>Integra la intervención de desarrollo organizacional con la implementación.</w:t>
            </w:r>
          </w:p>
        </w:tc>
      </w:tr>
      <w:tr w:rsidR="00990B14" w14:paraId="2FBB2BB9" w14:textId="77777777">
        <w:trPr>
          <w:cantSplit/>
          <w:jc w:val="center"/>
        </w:trPr>
        <w:tc>
          <w:tcPr>
            <w:tcW w:w="1635" w:type="dxa"/>
            <w:vMerge/>
            <w:shd w:val="clear" w:color="auto" w:fill="4472C4"/>
            <w:vAlign w:val="center"/>
          </w:tcPr>
          <w:p w14:paraId="42ADC7A4" w14:textId="77777777" w:rsidR="00990B14" w:rsidRDefault="00990B14">
            <w:pPr>
              <w:spacing w:before="20" w:after="20"/>
            </w:pPr>
          </w:p>
        </w:tc>
        <w:tc>
          <w:tcPr>
            <w:tcW w:w="5650" w:type="dxa"/>
            <w:gridSpan w:val="3"/>
            <w:shd w:val="clear" w:color="auto" w:fill="D9E2F3"/>
            <w:vAlign w:val="center"/>
          </w:tcPr>
          <w:p w14:paraId="1FD0A816" w14:textId="77777777" w:rsidR="00990B14" w:rsidRDefault="00000000">
            <w:pPr>
              <w:keepNext/>
              <w:spacing w:before="20" w:after="20"/>
              <w:jc w:val="both"/>
            </w:pPr>
            <w:r>
              <w:rPr>
                <w:b/>
                <w:bCs/>
                <w:i/>
                <w:iCs/>
                <w:sz w:val="18"/>
                <w:szCs w:val="18"/>
              </w:rPr>
              <w:t xml:space="preserve">Producto 13: </w:t>
            </w:r>
            <w:r>
              <w:rPr>
                <w:sz w:val="18"/>
                <w:szCs w:val="18"/>
              </w:rPr>
              <w:t>Matriz de evaluación de alternativas de decisión</w:t>
            </w:r>
          </w:p>
        </w:tc>
        <w:tc>
          <w:tcPr>
            <w:tcW w:w="2120" w:type="dxa"/>
            <w:shd w:val="clear" w:color="auto" w:fill="D9E2F3"/>
            <w:vAlign w:val="center"/>
          </w:tcPr>
          <w:p w14:paraId="22CD0EBD" w14:textId="77777777" w:rsidR="00990B14" w:rsidRDefault="00000000">
            <w:pPr>
              <w:spacing w:before="20" w:after="20"/>
              <w:jc w:val="center"/>
            </w:pPr>
            <w:r>
              <w:rPr>
                <w:b/>
                <w:bCs/>
                <w:sz w:val="18"/>
                <w:szCs w:val="18"/>
              </w:rPr>
              <w:t>4%</w:t>
            </w:r>
          </w:p>
        </w:tc>
      </w:tr>
      <w:tr w:rsidR="00990B14" w14:paraId="5F0337A9" w14:textId="77777777">
        <w:trPr>
          <w:cantSplit/>
          <w:jc w:val="center"/>
        </w:trPr>
        <w:tc>
          <w:tcPr>
            <w:tcW w:w="1635" w:type="dxa"/>
            <w:vMerge/>
            <w:shd w:val="clear" w:color="auto" w:fill="4472C4"/>
            <w:vAlign w:val="center"/>
          </w:tcPr>
          <w:p w14:paraId="3A89217D" w14:textId="77777777" w:rsidR="00990B14" w:rsidRDefault="00990B14">
            <w:pPr>
              <w:spacing w:before="20" w:after="20"/>
            </w:pPr>
          </w:p>
        </w:tc>
        <w:tc>
          <w:tcPr>
            <w:tcW w:w="1910" w:type="dxa"/>
            <w:shd w:val="clear" w:color="auto" w:fill="4472C4"/>
            <w:vAlign w:val="center"/>
          </w:tcPr>
          <w:p w14:paraId="39D6849D"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75AA4A75" w14:textId="77777777" w:rsidR="00990B14" w:rsidRDefault="00000000">
            <w:pPr>
              <w:keepNext/>
              <w:spacing w:before="20" w:after="20"/>
              <w:jc w:val="center"/>
            </w:pPr>
            <w:r>
              <w:rPr>
                <w:b/>
                <w:bCs/>
                <w:i/>
                <w:iCs/>
                <w:color w:val="FFFFFF"/>
                <w:sz w:val="18"/>
                <w:szCs w:val="18"/>
              </w:rPr>
              <w:t>Insuficiente (1–50)</w:t>
            </w:r>
          </w:p>
        </w:tc>
        <w:tc>
          <w:tcPr>
            <w:tcW w:w="1830" w:type="dxa"/>
            <w:shd w:val="clear" w:color="auto" w:fill="4472C4"/>
            <w:vAlign w:val="center"/>
          </w:tcPr>
          <w:p w14:paraId="20F75906"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4C1F1205" w14:textId="77777777" w:rsidR="00990B14" w:rsidRDefault="00000000">
            <w:pPr>
              <w:keepNext/>
              <w:spacing w:before="20" w:after="20"/>
              <w:jc w:val="center"/>
            </w:pPr>
            <w:r>
              <w:rPr>
                <w:b/>
                <w:bCs/>
                <w:i/>
                <w:iCs/>
                <w:color w:val="FFFFFF"/>
                <w:sz w:val="18"/>
                <w:szCs w:val="18"/>
              </w:rPr>
              <w:t>Destacado (81–100)</w:t>
            </w:r>
          </w:p>
        </w:tc>
      </w:tr>
      <w:tr w:rsidR="00990B14" w14:paraId="45066CE4" w14:textId="77777777">
        <w:trPr>
          <w:cantSplit/>
          <w:jc w:val="center"/>
        </w:trPr>
        <w:tc>
          <w:tcPr>
            <w:tcW w:w="1635" w:type="dxa"/>
            <w:vMerge/>
            <w:shd w:val="clear" w:color="auto" w:fill="4472C4"/>
            <w:vAlign w:val="center"/>
          </w:tcPr>
          <w:p w14:paraId="197B332D" w14:textId="77777777" w:rsidR="00990B14" w:rsidRDefault="00990B14">
            <w:pPr>
              <w:spacing w:before="20" w:after="20"/>
            </w:pPr>
          </w:p>
        </w:tc>
        <w:tc>
          <w:tcPr>
            <w:tcW w:w="1910" w:type="dxa"/>
            <w:shd w:val="clear" w:color="auto" w:fill="D9E2F3"/>
            <w:vAlign w:val="center"/>
          </w:tcPr>
          <w:p w14:paraId="26670497" w14:textId="77777777" w:rsidR="00990B14" w:rsidRDefault="00000000">
            <w:pPr>
              <w:spacing w:before="20" w:after="20"/>
              <w:jc w:val="both"/>
            </w:pPr>
            <w:r>
              <w:rPr>
                <w:sz w:val="18"/>
                <w:szCs w:val="18"/>
              </w:rPr>
              <w:t>Criterios de evaluación</w:t>
            </w:r>
          </w:p>
        </w:tc>
        <w:tc>
          <w:tcPr>
            <w:tcW w:w="1910" w:type="dxa"/>
            <w:shd w:val="clear" w:color="auto" w:fill="D9E2F3"/>
            <w:vAlign w:val="center"/>
          </w:tcPr>
          <w:p w14:paraId="5927D405" w14:textId="77777777" w:rsidR="00990B14" w:rsidRDefault="00000000">
            <w:pPr>
              <w:spacing w:before="20" w:after="20"/>
              <w:jc w:val="both"/>
            </w:pPr>
            <w:r>
              <w:rPr>
                <w:sz w:val="18"/>
                <w:szCs w:val="18"/>
              </w:rPr>
              <w:t>Los criterios no son pertinentes a la decisión.</w:t>
            </w:r>
          </w:p>
        </w:tc>
        <w:tc>
          <w:tcPr>
            <w:tcW w:w="1830" w:type="dxa"/>
            <w:shd w:val="clear" w:color="auto" w:fill="D9E2F3"/>
            <w:vAlign w:val="center"/>
          </w:tcPr>
          <w:p w14:paraId="67FDA260" w14:textId="77777777" w:rsidR="00990B14" w:rsidRDefault="00000000">
            <w:pPr>
              <w:spacing w:before="20" w:after="20"/>
              <w:jc w:val="both"/>
            </w:pPr>
            <w:r>
              <w:rPr>
                <w:sz w:val="18"/>
                <w:szCs w:val="18"/>
              </w:rPr>
              <w:t>Define y pondera criterios pertinentes a la decisión.</w:t>
            </w:r>
          </w:p>
        </w:tc>
        <w:tc>
          <w:tcPr>
            <w:tcW w:w="2120" w:type="dxa"/>
            <w:shd w:val="clear" w:color="auto" w:fill="D9E2F3"/>
            <w:vAlign w:val="center"/>
          </w:tcPr>
          <w:p w14:paraId="084B1F8F" w14:textId="77777777" w:rsidR="00990B14" w:rsidRDefault="00000000">
            <w:pPr>
              <w:spacing w:before="20" w:after="20"/>
              <w:jc w:val="both"/>
            </w:pPr>
            <w:r>
              <w:rPr>
                <w:sz w:val="18"/>
                <w:szCs w:val="18"/>
              </w:rPr>
              <w:t>Justifica la ponderación de cada criterio.</w:t>
            </w:r>
          </w:p>
        </w:tc>
      </w:tr>
      <w:tr w:rsidR="00990B14" w14:paraId="661BA23B" w14:textId="77777777">
        <w:trPr>
          <w:cantSplit/>
          <w:jc w:val="center"/>
        </w:trPr>
        <w:tc>
          <w:tcPr>
            <w:tcW w:w="1635" w:type="dxa"/>
            <w:vMerge/>
            <w:shd w:val="clear" w:color="auto" w:fill="4472C4"/>
            <w:vAlign w:val="center"/>
          </w:tcPr>
          <w:p w14:paraId="228C4CA8" w14:textId="77777777" w:rsidR="00990B14" w:rsidRDefault="00990B14">
            <w:pPr>
              <w:spacing w:before="20" w:after="20"/>
            </w:pPr>
          </w:p>
        </w:tc>
        <w:tc>
          <w:tcPr>
            <w:tcW w:w="1910" w:type="dxa"/>
            <w:shd w:val="clear" w:color="auto" w:fill="D9E2F3"/>
            <w:vAlign w:val="center"/>
          </w:tcPr>
          <w:p w14:paraId="7B659D19" w14:textId="77777777" w:rsidR="00990B14" w:rsidRDefault="00000000">
            <w:pPr>
              <w:spacing w:before="20" w:after="20"/>
              <w:jc w:val="both"/>
            </w:pPr>
            <w:r>
              <w:rPr>
                <w:sz w:val="18"/>
                <w:szCs w:val="18"/>
              </w:rPr>
              <w:t>Modelo de decisión</w:t>
            </w:r>
          </w:p>
        </w:tc>
        <w:tc>
          <w:tcPr>
            <w:tcW w:w="1910" w:type="dxa"/>
            <w:shd w:val="clear" w:color="auto" w:fill="D9E2F3"/>
            <w:vAlign w:val="center"/>
          </w:tcPr>
          <w:p w14:paraId="0448C0A5" w14:textId="77777777" w:rsidR="00990B14" w:rsidRDefault="00000000">
            <w:pPr>
              <w:spacing w:before="20" w:after="20"/>
              <w:jc w:val="both"/>
            </w:pPr>
            <w:r>
              <w:rPr>
                <w:sz w:val="18"/>
                <w:szCs w:val="18"/>
              </w:rPr>
              <w:t>El árbol de decisión o la matriz son incorrectos.</w:t>
            </w:r>
          </w:p>
        </w:tc>
        <w:tc>
          <w:tcPr>
            <w:tcW w:w="1830" w:type="dxa"/>
            <w:shd w:val="clear" w:color="auto" w:fill="D9E2F3"/>
            <w:vAlign w:val="center"/>
          </w:tcPr>
          <w:p w14:paraId="76133774" w14:textId="77777777" w:rsidR="00990B14" w:rsidRDefault="00000000">
            <w:pPr>
              <w:spacing w:before="20" w:after="20"/>
              <w:jc w:val="both"/>
            </w:pPr>
            <w:r>
              <w:rPr>
                <w:sz w:val="18"/>
                <w:szCs w:val="18"/>
              </w:rPr>
              <w:t>Aplica correctamente el árbol de decisión y la matriz de criterios ponderados.</w:t>
            </w:r>
          </w:p>
        </w:tc>
        <w:tc>
          <w:tcPr>
            <w:tcW w:w="2120" w:type="dxa"/>
            <w:shd w:val="clear" w:color="auto" w:fill="D9E2F3"/>
            <w:vAlign w:val="center"/>
          </w:tcPr>
          <w:p w14:paraId="5A436236" w14:textId="77777777" w:rsidR="00990B14" w:rsidRDefault="00000000">
            <w:pPr>
              <w:spacing w:before="20" w:after="20"/>
              <w:jc w:val="both"/>
            </w:pPr>
            <w:r>
              <w:rPr>
                <w:sz w:val="18"/>
                <w:szCs w:val="18"/>
              </w:rPr>
              <w:t>Justifica la elección considerando la incertidumbre.</w:t>
            </w:r>
          </w:p>
        </w:tc>
      </w:tr>
      <w:tr w:rsidR="00990B14" w14:paraId="5E3FE5A0" w14:textId="77777777">
        <w:trPr>
          <w:cantSplit/>
          <w:jc w:val="center"/>
        </w:trPr>
        <w:tc>
          <w:tcPr>
            <w:tcW w:w="1635" w:type="dxa"/>
            <w:vMerge/>
            <w:shd w:val="clear" w:color="auto" w:fill="4472C4"/>
            <w:vAlign w:val="center"/>
          </w:tcPr>
          <w:p w14:paraId="4D2BB1DC" w14:textId="77777777" w:rsidR="00990B14" w:rsidRDefault="00990B14">
            <w:pPr>
              <w:spacing w:before="20" w:after="20"/>
            </w:pPr>
          </w:p>
        </w:tc>
        <w:tc>
          <w:tcPr>
            <w:tcW w:w="1910" w:type="dxa"/>
            <w:shd w:val="clear" w:color="auto" w:fill="D9E2F3"/>
            <w:vAlign w:val="center"/>
          </w:tcPr>
          <w:p w14:paraId="20532B80" w14:textId="77777777" w:rsidR="00990B14" w:rsidRDefault="00000000">
            <w:pPr>
              <w:spacing w:before="20" w:after="20"/>
              <w:jc w:val="both"/>
            </w:pPr>
            <w:r>
              <w:rPr>
                <w:sz w:val="18"/>
                <w:szCs w:val="18"/>
              </w:rPr>
              <w:t>Objetividad de la elección</w:t>
            </w:r>
          </w:p>
        </w:tc>
        <w:tc>
          <w:tcPr>
            <w:tcW w:w="1910" w:type="dxa"/>
            <w:shd w:val="clear" w:color="auto" w:fill="D9E2F3"/>
            <w:vAlign w:val="center"/>
          </w:tcPr>
          <w:p w14:paraId="31B89A87" w14:textId="77777777" w:rsidR="00990B14" w:rsidRDefault="00000000">
            <w:pPr>
              <w:spacing w:before="20" w:after="20"/>
              <w:jc w:val="both"/>
            </w:pPr>
            <w:r>
              <w:rPr>
                <w:sz w:val="18"/>
                <w:szCs w:val="18"/>
              </w:rPr>
              <w:t>La elección se basa en preferencias personales.</w:t>
            </w:r>
          </w:p>
        </w:tc>
        <w:tc>
          <w:tcPr>
            <w:tcW w:w="1830" w:type="dxa"/>
            <w:shd w:val="clear" w:color="auto" w:fill="D9E2F3"/>
            <w:vAlign w:val="center"/>
          </w:tcPr>
          <w:p w14:paraId="120CFC65" w14:textId="77777777" w:rsidR="00990B14" w:rsidRDefault="00000000">
            <w:pPr>
              <w:spacing w:before="20" w:after="20"/>
              <w:jc w:val="both"/>
            </w:pPr>
            <w:r>
              <w:rPr>
                <w:sz w:val="18"/>
                <w:szCs w:val="18"/>
              </w:rPr>
              <w:t>La elección se sustenta en los resultados del modelo.</w:t>
            </w:r>
          </w:p>
        </w:tc>
        <w:tc>
          <w:tcPr>
            <w:tcW w:w="2120" w:type="dxa"/>
            <w:shd w:val="clear" w:color="auto" w:fill="D9E2F3"/>
            <w:vAlign w:val="center"/>
          </w:tcPr>
          <w:p w14:paraId="173B6FE2" w14:textId="77777777" w:rsidR="00990B14" w:rsidRDefault="00000000">
            <w:pPr>
              <w:spacing w:before="20" w:after="20"/>
              <w:jc w:val="both"/>
            </w:pPr>
            <w:r>
              <w:rPr>
                <w:sz w:val="18"/>
                <w:szCs w:val="18"/>
              </w:rPr>
              <w:t>Reconoce los límites del modelo y los sesgos posibles.</w:t>
            </w:r>
          </w:p>
        </w:tc>
      </w:tr>
      <w:tr w:rsidR="00990B14" w14:paraId="60C13ED7" w14:textId="77777777">
        <w:trPr>
          <w:cantSplit/>
          <w:jc w:val="center"/>
        </w:trPr>
        <w:tc>
          <w:tcPr>
            <w:tcW w:w="1635" w:type="dxa"/>
            <w:vMerge/>
            <w:shd w:val="clear" w:color="auto" w:fill="4472C4"/>
            <w:vAlign w:val="center"/>
          </w:tcPr>
          <w:p w14:paraId="545911A0" w14:textId="77777777" w:rsidR="00990B14" w:rsidRDefault="00990B14">
            <w:pPr>
              <w:spacing w:before="20" w:after="20"/>
            </w:pPr>
          </w:p>
        </w:tc>
        <w:tc>
          <w:tcPr>
            <w:tcW w:w="5650" w:type="dxa"/>
            <w:gridSpan w:val="3"/>
            <w:shd w:val="clear" w:color="auto" w:fill="D9E2F3"/>
            <w:vAlign w:val="center"/>
          </w:tcPr>
          <w:p w14:paraId="7806138B" w14:textId="77777777" w:rsidR="00990B14" w:rsidRDefault="00000000">
            <w:pPr>
              <w:keepNext/>
              <w:spacing w:before="20" w:after="20"/>
              <w:jc w:val="both"/>
            </w:pPr>
            <w:r>
              <w:rPr>
                <w:b/>
                <w:bCs/>
                <w:i/>
                <w:iCs/>
                <w:sz w:val="18"/>
                <w:szCs w:val="18"/>
              </w:rPr>
              <w:t xml:space="preserve">Producto 14: </w:t>
            </w:r>
            <w:r>
              <w:rPr>
                <w:sz w:val="18"/>
                <w:szCs w:val="18"/>
              </w:rPr>
              <w:t>Informe de análisis de los sesgos en una decisión directiva</w:t>
            </w:r>
          </w:p>
        </w:tc>
        <w:tc>
          <w:tcPr>
            <w:tcW w:w="2120" w:type="dxa"/>
            <w:shd w:val="clear" w:color="auto" w:fill="D9E2F3"/>
            <w:vAlign w:val="center"/>
          </w:tcPr>
          <w:p w14:paraId="1C28B555" w14:textId="77777777" w:rsidR="00990B14" w:rsidRDefault="00000000">
            <w:pPr>
              <w:spacing w:before="20" w:after="20"/>
              <w:jc w:val="center"/>
            </w:pPr>
            <w:r>
              <w:rPr>
                <w:b/>
                <w:bCs/>
                <w:sz w:val="18"/>
                <w:szCs w:val="18"/>
              </w:rPr>
              <w:t>4%</w:t>
            </w:r>
          </w:p>
        </w:tc>
      </w:tr>
      <w:tr w:rsidR="00990B14" w14:paraId="4CF53623" w14:textId="77777777">
        <w:trPr>
          <w:cantSplit/>
          <w:jc w:val="center"/>
        </w:trPr>
        <w:tc>
          <w:tcPr>
            <w:tcW w:w="1635" w:type="dxa"/>
            <w:vMerge/>
            <w:shd w:val="clear" w:color="auto" w:fill="4472C4"/>
            <w:vAlign w:val="center"/>
          </w:tcPr>
          <w:p w14:paraId="7094AA73" w14:textId="77777777" w:rsidR="00990B14" w:rsidRDefault="00990B14">
            <w:pPr>
              <w:spacing w:before="20" w:after="20"/>
            </w:pPr>
          </w:p>
        </w:tc>
        <w:tc>
          <w:tcPr>
            <w:tcW w:w="1910" w:type="dxa"/>
            <w:shd w:val="clear" w:color="auto" w:fill="4472C4"/>
            <w:vAlign w:val="center"/>
          </w:tcPr>
          <w:p w14:paraId="125BF0A5"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6C2BAEF3" w14:textId="77777777" w:rsidR="00990B14" w:rsidRDefault="00000000">
            <w:pPr>
              <w:keepNext/>
              <w:spacing w:before="20" w:after="20"/>
              <w:jc w:val="center"/>
            </w:pPr>
            <w:r>
              <w:rPr>
                <w:b/>
                <w:bCs/>
                <w:i/>
                <w:iCs/>
                <w:color w:val="FFFFFF"/>
                <w:sz w:val="18"/>
                <w:szCs w:val="18"/>
              </w:rPr>
              <w:t>Insuficiente (1–50)</w:t>
            </w:r>
          </w:p>
        </w:tc>
        <w:tc>
          <w:tcPr>
            <w:tcW w:w="1830" w:type="dxa"/>
            <w:shd w:val="clear" w:color="auto" w:fill="4472C4"/>
            <w:vAlign w:val="center"/>
          </w:tcPr>
          <w:p w14:paraId="62E38547"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4D7CEF4D" w14:textId="77777777" w:rsidR="00990B14" w:rsidRDefault="00000000">
            <w:pPr>
              <w:keepNext/>
              <w:spacing w:before="20" w:after="20"/>
              <w:jc w:val="center"/>
            </w:pPr>
            <w:r>
              <w:rPr>
                <w:b/>
                <w:bCs/>
                <w:i/>
                <w:iCs/>
                <w:color w:val="FFFFFF"/>
                <w:sz w:val="18"/>
                <w:szCs w:val="18"/>
              </w:rPr>
              <w:t>Destacado (81–100)</w:t>
            </w:r>
          </w:p>
        </w:tc>
      </w:tr>
      <w:tr w:rsidR="00990B14" w14:paraId="52A3A12B" w14:textId="77777777">
        <w:trPr>
          <w:cantSplit/>
          <w:jc w:val="center"/>
        </w:trPr>
        <w:tc>
          <w:tcPr>
            <w:tcW w:w="1635" w:type="dxa"/>
            <w:vMerge/>
            <w:shd w:val="clear" w:color="auto" w:fill="4472C4"/>
            <w:vAlign w:val="center"/>
          </w:tcPr>
          <w:p w14:paraId="762ABC65" w14:textId="77777777" w:rsidR="00990B14" w:rsidRDefault="00990B14">
            <w:pPr>
              <w:spacing w:before="20" w:after="20"/>
            </w:pPr>
          </w:p>
        </w:tc>
        <w:tc>
          <w:tcPr>
            <w:tcW w:w="1910" w:type="dxa"/>
            <w:shd w:val="clear" w:color="auto" w:fill="D9E2F3"/>
            <w:vAlign w:val="center"/>
          </w:tcPr>
          <w:p w14:paraId="608A6D2B" w14:textId="77777777" w:rsidR="00990B14" w:rsidRDefault="00000000">
            <w:pPr>
              <w:spacing w:before="20" w:after="20"/>
              <w:jc w:val="both"/>
            </w:pPr>
            <w:r>
              <w:rPr>
                <w:sz w:val="18"/>
                <w:szCs w:val="18"/>
              </w:rPr>
              <w:t>Identificación de sesgos</w:t>
            </w:r>
          </w:p>
        </w:tc>
        <w:tc>
          <w:tcPr>
            <w:tcW w:w="1910" w:type="dxa"/>
            <w:shd w:val="clear" w:color="auto" w:fill="D9E2F3"/>
            <w:vAlign w:val="center"/>
          </w:tcPr>
          <w:p w14:paraId="398AFBD7" w14:textId="77777777" w:rsidR="00990B14" w:rsidRDefault="00000000">
            <w:pPr>
              <w:spacing w:before="20" w:after="20"/>
              <w:jc w:val="both"/>
            </w:pPr>
            <w:r>
              <w:rPr>
                <w:sz w:val="18"/>
                <w:szCs w:val="18"/>
              </w:rPr>
              <w:t>No identifica los sesgos presentes en la decisión.</w:t>
            </w:r>
          </w:p>
        </w:tc>
        <w:tc>
          <w:tcPr>
            <w:tcW w:w="1830" w:type="dxa"/>
            <w:shd w:val="clear" w:color="auto" w:fill="D9E2F3"/>
            <w:vAlign w:val="center"/>
          </w:tcPr>
          <w:p w14:paraId="23EC2C31" w14:textId="77777777" w:rsidR="00990B14" w:rsidRDefault="00000000">
            <w:pPr>
              <w:spacing w:before="20" w:after="20"/>
              <w:jc w:val="both"/>
            </w:pPr>
            <w:r>
              <w:rPr>
                <w:sz w:val="18"/>
                <w:szCs w:val="18"/>
              </w:rPr>
              <w:t>Identifica los sesgos y las heurísticas que intervinieron.</w:t>
            </w:r>
          </w:p>
        </w:tc>
        <w:tc>
          <w:tcPr>
            <w:tcW w:w="2120" w:type="dxa"/>
            <w:shd w:val="clear" w:color="auto" w:fill="D9E2F3"/>
            <w:vAlign w:val="center"/>
          </w:tcPr>
          <w:p w14:paraId="36681969" w14:textId="77777777" w:rsidR="00990B14" w:rsidRDefault="00000000">
            <w:pPr>
              <w:spacing w:before="20" w:after="20"/>
              <w:jc w:val="both"/>
            </w:pPr>
            <w:r>
              <w:rPr>
                <w:sz w:val="18"/>
                <w:szCs w:val="18"/>
              </w:rPr>
              <w:t>Explica cómo cada sesgo afectó el resultado de la decisión.</w:t>
            </w:r>
          </w:p>
        </w:tc>
      </w:tr>
      <w:tr w:rsidR="00990B14" w14:paraId="6209269F" w14:textId="77777777">
        <w:trPr>
          <w:cantSplit/>
          <w:jc w:val="center"/>
        </w:trPr>
        <w:tc>
          <w:tcPr>
            <w:tcW w:w="1635" w:type="dxa"/>
            <w:vMerge/>
            <w:shd w:val="clear" w:color="auto" w:fill="4472C4"/>
            <w:vAlign w:val="center"/>
          </w:tcPr>
          <w:p w14:paraId="6A6AC828" w14:textId="77777777" w:rsidR="00990B14" w:rsidRDefault="00990B14">
            <w:pPr>
              <w:spacing w:before="20" w:after="20"/>
            </w:pPr>
          </w:p>
        </w:tc>
        <w:tc>
          <w:tcPr>
            <w:tcW w:w="1910" w:type="dxa"/>
            <w:shd w:val="clear" w:color="auto" w:fill="D9E2F3"/>
            <w:vAlign w:val="center"/>
          </w:tcPr>
          <w:p w14:paraId="1D8DA90F" w14:textId="77777777" w:rsidR="00990B14" w:rsidRDefault="00000000">
            <w:pPr>
              <w:spacing w:before="20" w:after="20"/>
              <w:jc w:val="both"/>
            </w:pPr>
            <w:r>
              <w:rPr>
                <w:sz w:val="18"/>
                <w:szCs w:val="18"/>
              </w:rPr>
              <w:t>Proceso de decisión</w:t>
            </w:r>
          </w:p>
        </w:tc>
        <w:tc>
          <w:tcPr>
            <w:tcW w:w="1910" w:type="dxa"/>
            <w:shd w:val="clear" w:color="auto" w:fill="D9E2F3"/>
            <w:vAlign w:val="center"/>
          </w:tcPr>
          <w:p w14:paraId="5E9B67F5" w14:textId="77777777" w:rsidR="00990B14" w:rsidRDefault="00000000">
            <w:pPr>
              <w:spacing w:before="20" w:after="20"/>
              <w:jc w:val="both"/>
            </w:pPr>
            <w:r>
              <w:rPr>
                <w:sz w:val="18"/>
                <w:szCs w:val="18"/>
              </w:rPr>
              <w:t>No describe el proceso seguido.</w:t>
            </w:r>
          </w:p>
        </w:tc>
        <w:tc>
          <w:tcPr>
            <w:tcW w:w="1830" w:type="dxa"/>
            <w:shd w:val="clear" w:color="auto" w:fill="D9E2F3"/>
            <w:vAlign w:val="center"/>
          </w:tcPr>
          <w:p w14:paraId="0AF01519" w14:textId="77777777" w:rsidR="00990B14" w:rsidRDefault="00000000">
            <w:pPr>
              <w:spacing w:before="20" w:after="20"/>
              <w:jc w:val="both"/>
            </w:pPr>
            <w:r>
              <w:rPr>
                <w:sz w:val="18"/>
                <w:szCs w:val="18"/>
              </w:rPr>
              <w:t>Describe el proceso de decisión y la información utilizada.</w:t>
            </w:r>
          </w:p>
        </w:tc>
        <w:tc>
          <w:tcPr>
            <w:tcW w:w="2120" w:type="dxa"/>
            <w:shd w:val="clear" w:color="auto" w:fill="D9E2F3"/>
            <w:vAlign w:val="center"/>
          </w:tcPr>
          <w:p w14:paraId="3766138F" w14:textId="77777777" w:rsidR="00990B14" w:rsidRDefault="00000000">
            <w:pPr>
              <w:spacing w:before="20" w:after="20"/>
              <w:jc w:val="both"/>
            </w:pPr>
            <w:r>
              <w:rPr>
                <w:sz w:val="18"/>
                <w:szCs w:val="18"/>
              </w:rPr>
              <w:t>Compara el proceso seguido con un análisis formal.</w:t>
            </w:r>
          </w:p>
        </w:tc>
      </w:tr>
      <w:tr w:rsidR="00990B14" w14:paraId="021F5308" w14:textId="77777777">
        <w:trPr>
          <w:cantSplit/>
          <w:jc w:val="center"/>
        </w:trPr>
        <w:tc>
          <w:tcPr>
            <w:tcW w:w="1635" w:type="dxa"/>
            <w:vMerge/>
            <w:shd w:val="clear" w:color="auto" w:fill="4472C4"/>
            <w:vAlign w:val="center"/>
          </w:tcPr>
          <w:p w14:paraId="141B7B27" w14:textId="77777777" w:rsidR="00990B14" w:rsidRDefault="00990B14">
            <w:pPr>
              <w:spacing w:before="20" w:after="20"/>
            </w:pPr>
          </w:p>
        </w:tc>
        <w:tc>
          <w:tcPr>
            <w:tcW w:w="1910" w:type="dxa"/>
            <w:shd w:val="clear" w:color="auto" w:fill="D9E2F3"/>
            <w:vAlign w:val="center"/>
          </w:tcPr>
          <w:p w14:paraId="7D505564" w14:textId="77777777" w:rsidR="00990B14" w:rsidRDefault="00000000">
            <w:pPr>
              <w:spacing w:before="20" w:after="20"/>
              <w:jc w:val="both"/>
            </w:pPr>
            <w:r>
              <w:rPr>
                <w:sz w:val="18"/>
                <w:szCs w:val="18"/>
              </w:rPr>
              <w:t>Medidas de mitigación</w:t>
            </w:r>
          </w:p>
        </w:tc>
        <w:tc>
          <w:tcPr>
            <w:tcW w:w="1910" w:type="dxa"/>
            <w:shd w:val="clear" w:color="auto" w:fill="D9E2F3"/>
            <w:vAlign w:val="center"/>
          </w:tcPr>
          <w:p w14:paraId="0DE8CF73" w14:textId="77777777" w:rsidR="00990B14" w:rsidRDefault="00000000">
            <w:pPr>
              <w:spacing w:before="20" w:after="20"/>
              <w:jc w:val="both"/>
            </w:pPr>
            <w:r>
              <w:rPr>
                <w:sz w:val="18"/>
                <w:szCs w:val="18"/>
              </w:rPr>
              <w:t>No propone medidas.</w:t>
            </w:r>
          </w:p>
        </w:tc>
        <w:tc>
          <w:tcPr>
            <w:tcW w:w="1830" w:type="dxa"/>
            <w:shd w:val="clear" w:color="auto" w:fill="D9E2F3"/>
            <w:vAlign w:val="center"/>
          </w:tcPr>
          <w:p w14:paraId="376B1478" w14:textId="77777777" w:rsidR="00990B14" w:rsidRDefault="00000000">
            <w:pPr>
              <w:spacing w:before="20" w:after="20"/>
              <w:jc w:val="both"/>
            </w:pPr>
            <w:r>
              <w:rPr>
                <w:sz w:val="18"/>
                <w:szCs w:val="18"/>
              </w:rPr>
              <w:t>Propone medidas para mitigar los sesgos.</w:t>
            </w:r>
          </w:p>
        </w:tc>
        <w:tc>
          <w:tcPr>
            <w:tcW w:w="2120" w:type="dxa"/>
            <w:shd w:val="clear" w:color="auto" w:fill="D9E2F3"/>
            <w:vAlign w:val="center"/>
          </w:tcPr>
          <w:p w14:paraId="21FD0115" w14:textId="77777777" w:rsidR="00990B14" w:rsidRDefault="00000000">
            <w:pPr>
              <w:spacing w:before="20" w:after="20"/>
              <w:jc w:val="both"/>
            </w:pPr>
            <w:r>
              <w:rPr>
                <w:sz w:val="18"/>
                <w:szCs w:val="18"/>
              </w:rPr>
              <w:t>Justifica las medidas con objetividad y evidencia.</w:t>
            </w:r>
          </w:p>
        </w:tc>
      </w:tr>
      <w:tr w:rsidR="00990B14" w14:paraId="456B3075" w14:textId="77777777">
        <w:trPr>
          <w:cantSplit/>
          <w:jc w:val="center"/>
        </w:trPr>
        <w:tc>
          <w:tcPr>
            <w:tcW w:w="1635" w:type="dxa"/>
            <w:vMerge/>
            <w:shd w:val="clear" w:color="auto" w:fill="4472C4"/>
            <w:vAlign w:val="center"/>
          </w:tcPr>
          <w:p w14:paraId="06C10991" w14:textId="77777777" w:rsidR="00990B14" w:rsidRDefault="00990B14">
            <w:pPr>
              <w:spacing w:before="20" w:after="20"/>
            </w:pPr>
          </w:p>
        </w:tc>
        <w:tc>
          <w:tcPr>
            <w:tcW w:w="5650" w:type="dxa"/>
            <w:gridSpan w:val="3"/>
            <w:shd w:val="clear" w:color="auto" w:fill="D9E2F3"/>
            <w:vAlign w:val="center"/>
          </w:tcPr>
          <w:p w14:paraId="3698A0DF" w14:textId="77777777" w:rsidR="00990B14" w:rsidRDefault="00000000">
            <w:pPr>
              <w:keepNext/>
              <w:spacing w:before="20" w:after="20"/>
              <w:jc w:val="both"/>
            </w:pPr>
            <w:r>
              <w:rPr>
                <w:b/>
                <w:bCs/>
                <w:i/>
                <w:iCs/>
                <w:sz w:val="18"/>
                <w:szCs w:val="18"/>
              </w:rPr>
              <w:t xml:space="preserve">Producto 15: </w:t>
            </w:r>
            <w:r>
              <w:rPr>
                <w:sz w:val="18"/>
                <w:szCs w:val="18"/>
              </w:rPr>
              <w:t>Matriz de riesgos con escenarios y plan de contingencia</w:t>
            </w:r>
          </w:p>
        </w:tc>
        <w:tc>
          <w:tcPr>
            <w:tcW w:w="2120" w:type="dxa"/>
            <w:shd w:val="clear" w:color="auto" w:fill="D9E2F3"/>
            <w:vAlign w:val="center"/>
          </w:tcPr>
          <w:p w14:paraId="18606764" w14:textId="77777777" w:rsidR="00990B14" w:rsidRDefault="00000000">
            <w:pPr>
              <w:spacing w:before="20" w:after="20"/>
              <w:jc w:val="center"/>
            </w:pPr>
            <w:r>
              <w:rPr>
                <w:b/>
                <w:bCs/>
                <w:sz w:val="18"/>
                <w:szCs w:val="18"/>
              </w:rPr>
              <w:t>4%</w:t>
            </w:r>
          </w:p>
        </w:tc>
      </w:tr>
      <w:tr w:rsidR="00990B14" w14:paraId="6EC95CE4" w14:textId="77777777">
        <w:trPr>
          <w:cantSplit/>
          <w:jc w:val="center"/>
        </w:trPr>
        <w:tc>
          <w:tcPr>
            <w:tcW w:w="1635" w:type="dxa"/>
            <w:vMerge/>
            <w:shd w:val="clear" w:color="auto" w:fill="4472C4"/>
            <w:vAlign w:val="center"/>
          </w:tcPr>
          <w:p w14:paraId="3C2EDD22" w14:textId="77777777" w:rsidR="00990B14" w:rsidRDefault="00990B14">
            <w:pPr>
              <w:spacing w:before="20" w:after="20"/>
            </w:pPr>
          </w:p>
        </w:tc>
        <w:tc>
          <w:tcPr>
            <w:tcW w:w="1910" w:type="dxa"/>
            <w:shd w:val="clear" w:color="auto" w:fill="4472C4"/>
            <w:vAlign w:val="center"/>
          </w:tcPr>
          <w:p w14:paraId="6CE63904"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57263C39" w14:textId="77777777" w:rsidR="00990B14" w:rsidRDefault="00000000">
            <w:pPr>
              <w:keepNext/>
              <w:spacing w:before="20" w:after="20"/>
              <w:jc w:val="center"/>
            </w:pPr>
            <w:r>
              <w:rPr>
                <w:b/>
                <w:bCs/>
                <w:i/>
                <w:iCs/>
                <w:color w:val="FFFFFF"/>
                <w:sz w:val="18"/>
                <w:szCs w:val="18"/>
              </w:rPr>
              <w:t>Insuficiente (1–50)</w:t>
            </w:r>
          </w:p>
        </w:tc>
        <w:tc>
          <w:tcPr>
            <w:tcW w:w="1830" w:type="dxa"/>
            <w:shd w:val="clear" w:color="auto" w:fill="4472C4"/>
            <w:vAlign w:val="center"/>
          </w:tcPr>
          <w:p w14:paraId="70E13497"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0AAB758D" w14:textId="77777777" w:rsidR="00990B14" w:rsidRDefault="00000000">
            <w:pPr>
              <w:keepNext/>
              <w:spacing w:before="20" w:after="20"/>
              <w:jc w:val="center"/>
            </w:pPr>
            <w:r>
              <w:rPr>
                <w:b/>
                <w:bCs/>
                <w:i/>
                <w:iCs/>
                <w:color w:val="FFFFFF"/>
                <w:sz w:val="18"/>
                <w:szCs w:val="18"/>
              </w:rPr>
              <w:t>Destacado (81–100)</w:t>
            </w:r>
          </w:p>
        </w:tc>
      </w:tr>
      <w:tr w:rsidR="00990B14" w14:paraId="7226944A" w14:textId="77777777">
        <w:trPr>
          <w:cantSplit/>
          <w:jc w:val="center"/>
        </w:trPr>
        <w:tc>
          <w:tcPr>
            <w:tcW w:w="1635" w:type="dxa"/>
            <w:vMerge/>
            <w:shd w:val="clear" w:color="auto" w:fill="4472C4"/>
            <w:vAlign w:val="center"/>
          </w:tcPr>
          <w:p w14:paraId="3DFD7949" w14:textId="77777777" w:rsidR="00990B14" w:rsidRDefault="00990B14">
            <w:pPr>
              <w:spacing w:before="20" w:after="20"/>
            </w:pPr>
          </w:p>
        </w:tc>
        <w:tc>
          <w:tcPr>
            <w:tcW w:w="1910" w:type="dxa"/>
            <w:shd w:val="clear" w:color="auto" w:fill="D9E2F3"/>
            <w:vAlign w:val="center"/>
          </w:tcPr>
          <w:p w14:paraId="4022B312" w14:textId="77777777" w:rsidR="00990B14" w:rsidRDefault="00000000">
            <w:pPr>
              <w:spacing w:before="20" w:after="20"/>
              <w:jc w:val="both"/>
            </w:pPr>
            <w:r>
              <w:rPr>
                <w:sz w:val="18"/>
                <w:szCs w:val="18"/>
              </w:rPr>
              <w:t>Identificación de riesgos</w:t>
            </w:r>
          </w:p>
        </w:tc>
        <w:tc>
          <w:tcPr>
            <w:tcW w:w="1910" w:type="dxa"/>
            <w:shd w:val="clear" w:color="auto" w:fill="D9E2F3"/>
            <w:vAlign w:val="center"/>
          </w:tcPr>
          <w:p w14:paraId="0E3C934E" w14:textId="77777777" w:rsidR="00990B14" w:rsidRDefault="00000000">
            <w:pPr>
              <w:spacing w:before="20" w:after="20"/>
              <w:jc w:val="both"/>
            </w:pPr>
            <w:r>
              <w:rPr>
                <w:sz w:val="18"/>
                <w:szCs w:val="18"/>
              </w:rPr>
              <w:t>Omite riesgos relevantes.</w:t>
            </w:r>
          </w:p>
        </w:tc>
        <w:tc>
          <w:tcPr>
            <w:tcW w:w="1830" w:type="dxa"/>
            <w:shd w:val="clear" w:color="auto" w:fill="D9E2F3"/>
            <w:vAlign w:val="center"/>
          </w:tcPr>
          <w:p w14:paraId="44EBE20A" w14:textId="77777777" w:rsidR="00990B14" w:rsidRDefault="00000000">
            <w:pPr>
              <w:spacing w:before="20" w:after="20"/>
              <w:jc w:val="both"/>
            </w:pPr>
            <w:r>
              <w:rPr>
                <w:sz w:val="18"/>
                <w:szCs w:val="18"/>
              </w:rPr>
              <w:t>Identifica los riesgos operativos, estratégicos y del entorno.</w:t>
            </w:r>
          </w:p>
        </w:tc>
        <w:tc>
          <w:tcPr>
            <w:tcW w:w="2120" w:type="dxa"/>
            <w:shd w:val="clear" w:color="auto" w:fill="D9E2F3"/>
            <w:vAlign w:val="center"/>
          </w:tcPr>
          <w:p w14:paraId="284B7725" w14:textId="77777777" w:rsidR="00990B14" w:rsidRDefault="00000000">
            <w:pPr>
              <w:spacing w:before="20" w:after="20"/>
              <w:jc w:val="both"/>
            </w:pPr>
            <w:r>
              <w:rPr>
                <w:sz w:val="18"/>
                <w:szCs w:val="18"/>
              </w:rPr>
              <w:t>Clasifica los riesgos según su impacto y probabilidad.</w:t>
            </w:r>
          </w:p>
        </w:tc>
      </w:tr>
      <w:tr w:rsidR="00990B14" w14:paraId="7984C54D" w14:textId="77777777">
        <w:trPr>
          <w:cantSplit/>
          <w:jc w:val="center"/>
        </w:trPr>
        <w:tc>
          <w:tcPr>
            <w:tcW w:w="1635" w:type="dxa"/>
            <w:vMerge/>
            <w:shd w:val="clear" w:color="auto" w:fill="4472C4"/>
            <w:vAlign w:val="center"/>
          </w:tcPr>
          <w:p w14:paraId="4D13D085" w14:textId="77777777" w:rsidR="00990B14" w:rsidRDefault="00990B14">
            <w:pPr>
              <w:spacing w:before="20" w:after="20"/>
            </w:pPr>
          </w:p>
        </w:tc>
        <w:tc>
          <w:tcPr>
            <w:tcW w:w="1910" w:type="dxa"/>
            <w:shd w:val="clear" w:color="auto" w:fill="D9E2F3"/>
            <w:vAlign w:val="center"/>
          </w:tcPr>
          <w:p w14:paraId="0C335F0D" w14:textId="77777777" w:rsidR="00990B14" w:rsidRDefault="00000000">
            <w:pPr>
              <w:spacing w:before="20" w:after="20"/>
              <w:jc w:val="both"/>
            </w:pPr>
            <w:r>
              <w:rPr>
                <w:sz w:val="18"/>
                <w:szCs w:val="18"/>
              </w:rPr>
              <w:t>Escenarios</w:t>
            </w:r>
          </w:p>
        </w:tc>
        <w:tc>
          <w:tcPr>
            <w:tcW w:w="1910" w:type="dxa"/>
            <w:shd w:val="clear" w:color="auto" w:fill="D9E2F3"/>
            <w:vAlign w:val="center"/>
          </w:tcPr>
          <w:p w14:paraId="29D23C4F" w14:textId="77777777" w:rsidR="00990B14" w:rsidRDefault="00000000">
            <w:pPr>
              <w:spacing w:before="20" w:after="20"/>
              <w:jc w:val="both"/>
            </w:pPr>
            <w:r>
              <w:rPr>
                <w:sz w:val="18"/>
                <w:szCs w:val="18"/>
              </w:rPr>
              <w:t>No plantea escenarios.</w:t>
            </w:r>
          </w:p>
        </w:tc>
        <w:tc>
          <w:tcPr>
            <w:tcW w:w="1830" w:type="dxa"/>
            <w:shd w:val="clear" w:color="auto" w:fill="D9E2F3"/>
            <w:vAlign w:val="center"/>
          </w:tcPr>
          <w:p w14:paraId="01605A3A" w14:textId="77777777" w:rsidR="00990B14" w:rsidRDefault="00000000">
            <w:pPr>
              <w:spacing w:before="20" w:after="20"/>
              <w:jc w:val="both"/>
            </w:pPr>
            <w:r>
              <w:rPr>
                <w:sz w:val="18"/>
                <w:szCs w:val="18"/>
              </w:rPr>
              <w:t>Plantea escenarios optimista, probable y pesimista.</w:t>
            </w:r>
          </w:p>
        </w:tc>
        <w:tc>
          <w:tcPr>
            <w:tcW w:w="2120" w:type="dxa"/>
            <w:shd w:val="clear" w:color="auto" w:fill="D9E2F3"/>
            <w:vAlign w:val="center"/>
          </w:tcPr>
          <w:p w14:paraId="68720709" w14:textId="77777777" w:rsidR="00990B14" w:rsidRDefault="00000000">
            <w:pPr>
              <w:spacing w:before="20" w:after="20"/>
              <w:jc w:val="both"/>
            </w:pPr>
            <w:r>
              <w:rPr>
                <w:sz w:val="18"/>
                <w:szCs w:val="18"/>
              </w:rPr>
              <w:t>Describe las señales que anticipan cada escenario.</w:t>
            </w:r>
          </w:p>
        </w:tc>
      </w:tr>
      <w:tr w:rsidR="00990B14" w14:paraId="5DE5F5F4" w14:textId="77777777">
        <w:trPr>
          <w:cantSplit/>
          <w:jc w:val="center"/>
        </w:trPr>
        <w:tc>
          <w:tcPr>
            <w:tcW w:w="1635" w:type="dxa"/>
            <w:vMerge/>
            <w:shd w:val="clear" w:color="auto" w:fill="4472C4"/>
            <w:vAlign w:val="center"/>
          </w:tcPr>
          <w:p w14:paraId="759208E4" w14:textId="77777777" w:rsidR="00990B14" w:rsidRDefault="00990B14">
            <w:pPr>
              <w:spacing w:before="20" w:after="20"/>
            </w:pPr>
          </w:p>
        </w:tc>
        <w:tc>
          <w:tcPr>
            <w:tcW w:w="1910" w:type="dxa"/>
            <w:shd w:val="clear" w:color="auto" w:fill="D9E2F3"/>
            <w:vAlign w:val="center"/>
          </w:tcPr>
          <w:p w14:paraId="7E6BFEA5" w14:textId="77777777" w:rsidR="00990B14" w:rsidRDefault="00000000">
            <w:pPr>
              <w:spacing w:before="20" w:after="20"/>
              <w:jc w:val="both"/>
            </w:pPr>
            <w:r>
              <w:rPr>
                <w:sz w:val="18"/>
                <w:szCs w:val="18"/>
              </w:rPr>
              <w:t>Plan de contingencia</w:t>
            </w:r>
          </w:p>
        </w:tc>
        <w:tc>
          <w:tcPr>
            <w:tcW w:w="1910" w:type="dxa"/>
            <w:shd w:val="clear" w:color="auto" w:fill="D9E2F3"/>
            <w:vAlign w:val="center"/>
          </w:tcPr>
          <w:p w14:paraId="10150ED5" w14:textId="77777777" w:rsidR="00990B14" w:rsidRDefault="00000000">
            <w:pPr>
              <w:spacing w:before="20" w:after="20"/>
              <w:jc w:val="both"/>
            </w:pPr>
            <w:r>
              <w:rPr>
                <w:sz w:val="18"/>
                <w:szCs w:val="18"/>
              </w:rPr>
              <w:t>El plan no responde a los riesgos identificados.</w:t>
            </w:r>
          </w:p>
        </w:tc>
        <w:tc>
          <w:tcPr>
            <w:tcW w:w="1830" w:type="dxa"/>
            <w:shd w:val="clear" w:color="auto" w:fill="D9E2F3"/>
            <w:vAlign w:val="center"/>
          </w:tcPr>
          <w:p w14:paraId="12E6C3D8" w14:textId="77777777" w:rsidR="00990B14" w:rsidRDefault="00000000">
            <w:pPr>
              <w:spacing w:before="20" w:after="20"/>
              <w:jc w:val="both"/>
            </w:pPr>
            <w:r>
              <w:rPr>
                <w:sz w:val="18"/>
                <w:szCs w:val="18"/>
              </w:rPr>
              <w:t>Define respuestas y responsables para los riesgos críticos.</w:t>
            </w:r>
          </w:p>
        </w:tc>
        <w:tc>
          <w:tcPr>
            <w:tcW w:w="2120" w:type="dxa"/>
            <w:shd w:val="clear" w:color="auto" w:fill="D9E2F3"/>
            <w:vAlign w:val="center"/>
          </w:tcPr>
          <w:p w14:paraId="39F3ED5E" w14:textId="77777777" w:rsidR="00990B14" w:rsidRDefault="00000000">
            <w:pPr>
              <w:spacing w:before="20" w:after="20"/>
              <w:jc w:val="both"/>
            </w:pPr>
            <w:r>
              <w:rPr>
                <w:sz w:val="18"/>
                <w:szCs w:val="18"/>
              </w:rPr>
              <w:t>Prevé mecanismos de seguimiento y de resiliencia.</w:t>
            </w:r>
          </w:p>
        </w:tc>
      </w:tr>
      <w:tr w:rsidR="00990B14" w14:paraId="1949C087" w14:textId="77777777">
        <w:trPr>
          <w:cantSplit/>
          <w:jc w:val="center"/>
        </w:trPr>
        <w:tc>
          <w:tcPr>
            <w:tcW w:w="1635" w:type="dxa"/>
            <w:vMerge/>
            <w:shd w:val="clear" w:color="auto" w:fill="4472C4"/>
            <w:vAlign w:val="center"/>
          </w:tcPr>
          <w:p w14:paraId="5A19846E" w14:textId="77777777" w:rsidR="00990B14" w:rsidRDefault="00990B14">
            <w:pPr>
              <w:spacing w:before="20" w:after="20"/>
            </w:pPr>
          </w:p>
        </w:tc>
        <w:tc>
          <w:tcPr>
            <w:tcW w:w="5650" w:type="dxa"/>
            <w:gridSpan w:val="3"/>
            <w:shd w:val="clear" w:color="auto" w:fill="D9E2F3"/>
            <w:vAlign w:val="center"/>
          </w:tcPr>
          <w:p w14:paraId="1FFA544B" w14:textId="77777777" w:rsidR="00990B14" w:rsidRDefault="00000000">
            <w:pPr>
              <w:keepNext/>
              <w:spacing w:before="20" w:after="20"/>
              <w:jc w:val="both"/>
            </w:pPr>
            <w:r>
              <w:rPr>
                <w:b/>
                <w:bCs/>
                <w:i/>
                <w:iCs/>
                <w:sz w:val="18"/>
                <w:szCs w:val="18"/>
              </w:rPr>
              <w:t xml:space="preserve">Producto 16: </w:t>
            </w:r>
            <w:r>
              <w:rPr>
                <w:sz w:val="18"/>
                <w:szCs w:val="18"/>
              </w:rPr>
              <w:t>Tablero directivo de indicadores para la decisión</w:t>
            </w:r>
          </w:p>
        </w:tc>
        <w:tc>
          <w:tcPr>
            <w:tcW w:w="2120" w:type="dxa"/>
            <w:shd w:val="clear" w:color="auto" w:fill="D9E2F3"/>
            <w:vAlign w:val="center"/>
          </w:tcPr>
          <w:p w14:paraId="61807D0A" w14:textId="77777777" w:rsidR="00990B14" w:rsidRDefault="00000000">
            <w:pPr>
              <w:spacing w:before="20" w:after="20"/>
              <w:jc w:val="center"/>
            </w:pPr>
            <w:r>
              <w:rPr>
                <w:b/>
                <w:bCs/>
                <w:sz w:val="18"/>
                <w:szCs w:val="18"/>
              </w:rPr>
              <w:t>3%</w:t>
            </w:r>
          </w:p>
        </w:tc>
      </w:tr>
      <w:tr w:rsidR="00990B14" w14:paraId="06CAD20D" w14:textId="77777777">
        <w:trPr>
          <w:cantSplit/>
          <w:jc w:val="center"/>
        </w:trPr>
        <w:tc>
          <w:tcPr>
            <w:tcW w:w="1635" w:type="dxa"/>
            <w:vMerge/>
            <w:shd w:val="clear" w:color="auto" w:fill="4472C4"/>
            <w:vAlign w:val="center"/>
          </w:tcPr>
          <w:p w14:paraId="3D6BB0FE" w14:textId="77777777" w:rsidR="00990B14" w:rsidRDefault="00990B14">
            <w:pPr>
              <w:spacing w:before="20" w:after="20"/>
            </w:pPr>
          </w:p>
        </w:tc>
        <w:tc>
          <w:tcPr>
            <w:tcW w:w="1910" w:type="dxa"/>
            <w:shd w:val="clear" w:color="auto" w:fill="4472C4"/>
            <w:vAlign w:val="center"/>
          </w:tcPr>
          <w:p w14:paraId="6771D1B8"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14876AB2" w14:textId="77777777" w:rsidR="00990B14" w:rsidRDefault="00000000">
            <w:pPr>
              <w:keepNext/>
              <w:spacing w:before="20" w:after="20"/>
              <w:jc w:val="center"/>
            </w:pPr>
            <w:r>
              <w:rPr>
                <w:b/>
                <w:bCs/>
                <w:i/>
                <w:iCs/>
                <w:color w:val="FFFFFF"/>
                <w:sz w:val="18"/>
                <w:szCs w:val="18"/>
              </w:rPr>
              <w:t>Insuficiente (1–50)</w:t>
            </w:r>
          </w:p>
        </w:tc>
        <w:tc>
          <w:tcPr>
            <w:tcW w:w="1830" w:type="dxa"/>
            <w:shd w:val="clear" w:color="auto" w:fill="4472C4"/>
            <w:vAlign w:val="center"/>
          </w:tcPr>
          <w:p w14:paraId="2A14E2E4"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7E510F74" w14:textId="77777777" w:rsidR="00990B14" w:rsidRDefault="00000000">
            <w:pPr>
              <w:keepNext/>
              <w:spacing w:before="20" w:after="20"/>
              <w:jc w:val="center"/>
            </w:pPr>
            <w:r>
              <w:rPr>
                <w:b/>
                <w:bCs/>
                <w:i/>
                <w:iCs/>
                <w:color w:val="FFFFFF"/>
                <w:sz w:val="18"/>
                <w:szCs w:val="18"/>
              </w:rPr>
              <w:t>Destacado (81–100)</w:t>
            </w:r>
          </w:p>
        </w:tc>
      </w:tr>
      <w:tr w:rsidR="00990B14" w14:paraId="3A8699F3" w14:textId="77777777">
        <w:trPr>
          <w:cantSplit/>
          <w:jc w:val="center"/>
        </w:trPr>
        <w:tc>
          <w:tcPr>
            <w:tcW w:w="1635" w:type="dxa"/>
            <w:vMerge/>
            <w:shd w:val="clear" w:color="auto" w:fill="4472C4"/>
            <w:vAlign w:val="center"/>
          </w:tcPr>
          <w:p w14:paraId="2DE8E868" w14:textId="77777777" w:rsidR="00990B14" w:rsidRDefault="00990B14">
            <w:pPr>
              <w:spacing w:before="20" w:after="20"/>
            </w:pPr>
          </w:p>
        </w:tc>
        <w:tc>
          <w:tcPr>
            <w:tcW w:w="1910" w:type="dxa"/>
            <w:shd w:val="clear" w:color="auto" w:fill="D9E2F3"/>
            <w:vAlign w:val="center"/>
          </w:tcPr>
          <w:p w14:paraId="5B28B3A6" w14:textId="77777777" w:rsidR="00990B14" w:rsidRDefault="00000000">
            <w:pPr>
              <w:spacing w:before="20" w:after="20"/>
              <w:jc w:val="both"/>
            </w:pPr>
            <w:r>
              <w:rPr>
                <w:sz w:val="18"/>
                <w:szCs w:val="18"/>
              </w:rPr>
              <w:t>Selección de indicadores</w:t>
            </w:r>
          </w:p>
        </w:tc>
        <w:tc>
          <w:tcPr>
            <w:tcW w:w="1910" w:type="dxa"/>
            <w:shd w:val="clear" w:color="auto" w:fill="D9E2F3"/>
            <w:vAlign w:val="center"/>
          </w:tcPr>
          <w:p w14:paraId="4380C74A" w14:textId="77777777" w:rsidR="00990B14" w:rsidRDefault="00000000">
            <w:pPr>
              <w:spacing w:before="20" w:after="20"/>
              <w:jc w:val="both"/>
            </w:pPr>
            <w:r>
              <w:rPr>
                <w:sz w:val="18"/>
                <w:szCs w:val="18"/>
              </w:rPr>
              <w:t>Los indicadores no responden a los objetivos.</w:t>
            </w:r>
          </w:p>
        </w:tc>
        <w:tc>
          <w:tcPr>
            <w:tcW w:w="1830" w:type="dxa"/>
            <w:shd w:val="clear" w:color="auto" w:fill="D9E2F3"/>
            <w:vAlign w:val="center"/>
          </w:tcPr>
          <w:p w14:paraId="3E6A2F82" w14:textId="77777777" w:rsidR="00990B14" w:rsidRDefault="00000000">
            <w:pPr>
              <w:spacing w:before="20" w:after="20"/>
              <w:jc w:val="both"/>
            </w:pPr>
            <w:r>
              <w:rPr>
                <w:sz w:val="18"/>
                <w:szCs w:val="18"/>
              </w:rPr>
              <w:t>Selecciona indicadores de gestión alineados con los objetivos.</w:t>
            </w:r>
          </w:p>
        </w:tc>
        <w:tc>
          <w:tcPr>
            <w:tcW w:w="2120" w:type="dxa"/>
            <w:shd w:val="clear" w:color="auto" w:fill="D9E2F3"/>
            <w:vAlign w:val="center"/>
          </w:tcPr>
          <w:p w14:paraId="0AAD6EF6" w14:textId="77777777" w:rsidR="00990B14" w:rsidRDefault="00000000">
            <w:pPr>
              <w:spacing w:before="20" w:after="20"/>
              <w:jc w:val="both"/>
            </w:pPr>
            <w:r>
              <w:rPr>
                <w:sz w:val="18"/>
                <w:szCs w:val="18"/>
              </w:rPr>
              <w:t>Organiza los indicadores en las perspectivas del cuadro de mando integral.</w:t>
            </w:r>
          </w:p>
        </w:tc>
      </w:tr>
      <w:tr w:rsidR="00990B14" w14:paraId="78691AB9" w14:textId="77777777">
        <w:trPr>
          <w:cantSplit/>
          <w:jc w:val="center"/>
        </w:trPr>
        <w:tc>
          <w:tcPr>
            <w:tcW w:w="1635" w:type="dxa"/>
            <w:vMerge/>
            <w:shd w:val="clear" w:color="auto" w:fill="4472C4"/>
            <w:vAlign w:val="center"/>
          </w:tcPr>
          <w:p w14:paraId="58CCDD29" w14:textId="77777777" w:rsidR="00990B14" w:rsidRDefault="00990B14">
            <w:pPr>
              <w:spacing w:before="20" w:after="20"/>
            </w:pPr>
          </w:p>
        </w:tc>
        <w:tc>
          <w:tcPr>
            <w:tcW w:w="1910" w:type="dxa"/>
            <w:shd w:val="clear" w:color="auto" w:fill="D9E2F3"/>
            <w:vAlign w:val="center"/>
          </w:tcPr>
          <w:p w14:paraId="464D5E96" w14:textId="77777777" w:rsidR="00990B14" w:rsidRDefault="00000000">
            <w:pPr>
              <w:spacing w:before="20" w:after="20"/>
              <w:jc w:val="both"/>
            </w:pPr>
            <w:r>
              <w:rPr>
                <w:sz w:val="18"/>
                <w:szCs w:val="18"/>
              </w:rPr>
              <w:t>Diseño y visualización</w:t>
            </w:r>
          </w:p>
        </w:tc>
        <w:tc>
          <w:tcPr>
            <w:tcW w:w="1910" w:type="dxa"/>
            <w:shd w:val="clear" w:color="auto" w:fill="D9E2F3"/>
            <w:vAlign w:val="center"/>
          </w:tcPr>
          <w:p w14:paraId="21328187" w14:textId="77777777" w:rsidR="00990B14" w:rsidRDefault="00000000">
            <w:pPr>
              <w:spacing w:before="20" w:after="20"/>
              <w:jc w:val="both"/>
            </w:pPr>
            <w:r>
              <w:rPr>
                <w:sz w:val="18"/>
                <w:szCs w:val="18"/>
              </w:rPr>
              <w:t>El tablero es confuso.</w:t>
            </w:r>
          </w:p>
        </w:tc>
        <w:tc>
          <w:tcPr>
            <w:tcW w:w="1830" w:type="dxa"/>
            <w:shd w:val="clear" w:color="auto" w:fill="D9E2F3"/>
            <w:vAlign w:val="center"/>
          </w:tcPr>
          <w:p w14:paraId="299FD423" w14:textId="77777777" w:rsidR="00990B14" w:rsidRDefault="00000000">
            <w:pPr>
              <w:spacing w:before="20" w:after="20"/>
              <w:jc w:val="both"/>
            </w:pPr>
            <w:r>
              <w:rPr>
                <w:sz w:val="18"/>
                <w:szCs w:val="18"/>
              </w:rPr>
              <w:t>El tablero es claro y legible.</w:t>
            </w:r>
          </w:p>
        </w:tc>
        <w:tc>
          <w:tcPr>
            <w:tcW w:w="2120" w:type="dxa"/>
            <w:shd w:val="clear" w:color="auto" w:fill="D9E2F3"/>
            <w:vAlign w:val="center"/>
          </w:tcPr>
          <w:p w14:paraId="739A101D" w14:textId="77777777" w:rsidR="00990B14" w:rsidRDefault="00000000">
            <w:pPr>
              <w:spacing w:before="20" w:after="20"/>
              <w:jc w:val="both"/>
            </w:pPr>
            <w:r>
              <w:rPr>
                <w:sz w:val="18"/>
                <w:szCs w:val="18"/>
              </w:rPr>
              <w:t>El tablero permite detectar las desviaciones de un vistazo.</w:t>
            </w:r>
          </w:p>
        </w:tc>
      </w:tr>
      <w:tr w:rsidR="00990B14" w14:paraId="47275D65" w14:textId="77777777">
        <w:trPr>
          <w:cantSplit/>
          <w:jc w:val="center"/>
        </w:trPr>
        <w:tc>
          <w:tcPr>
            <w:tcW w:w="1635" w:type="dxa"/>
            <w:vMerge/>
            <w:shd w:val="clear" w:color="auto" w:fill="4472C4"/>
            <w:vAlign w:val="center"/>
          </w:tcPr>
          <w:p w14:paraId="73332483" w14:textId="77777777" w:rsidR="00990B14" w:rsidRDefault="00990B14">
            <w:pPr>
              <w:spacing w:before="20" w:after="20"/>
            </w:pPr>
          </w:p>
        </w:tc>
        <w:tc>
          <w:tcPr>
            <w:tcW w:w="1910" w:type="dxa"/>
            <w:shd w:val="clear" w:color="auto" w:fill="D9E2F3"/>
            <w:vAlign w:val="center"/>
          </w:tcPr>
          <w:p w14:paraId="0C0CB8CB" w14:textId="77777777" w:rsidR="00990B14" w:rsidRDefault="00000000">
            <w:pPr>
              <w:spacing w:before="20" w:after="20"/>
              <w:jc w:val="both"/>
            </w:pPr>
            <w:r>
              <w:rPr>
                <w:sz w:val="18"/>
                <w:szCs w:val="18"/>
              </w:rPr>
              <w:t>Utilidad para la decisión</w:t>
            </w:r>
          </w:p>
        </w:tc>
        <w:tc>
          <w:tcPr>
            <w:tcW w:w="1910" w:type="dxa"/>
            <w:shd w:val="clear" w:color="auto" w:fill="D9E2F3"/>
            <w:vAlign w:val="center"/>
          </w:tcPr>
          <w:p w14:paraId="5F19F951" w14:textId="77777777" w:rsidR="00990B14" w:rsidRDefault="00000000">
            <w:pPr>
              <w:spacing w:before="20" w:after="20"/>
              <w:jc w:val="both"/>
            </w:pPr>
            <w:r>
              <w:rPr>
                <w:sz w:val="18"/>
                <w:szCs w:val="18"/>
              </w:rPr>
              <w:t>El tablero no permite tomar decisiones.</w:t>
            </w:r>
          </w:p>
        </w:tc>
        <w:tc>
          <w:tcPr>
            <w:tcW w:w="1830" w:type="dxa"/>
            <w:shd w:val="clear" w:color="auto" w:fill="D9E2F3"/>
            <w:vAlign w:val="center"/>
          </w:tcPr>
          <w:p w14:paraId="027E93C3" w14:textId="77777777" w:rsidR="00990B14" w:rsidRDefault="00000000">
            <w:pPr>
              <w:spacing w:before="20" w:after="20"/>
              <w:jc w:val="both"/>
            </w:pPr>
            <w:r>
              <w:rPr>
                <w:sz w:val="18"/>
                <w:szCs w:val="18"/>
              </w:rPr>
              <w:t>El tablero muestra la información necesaria para decidir.</w:t>
            </w:r>
          </w:p>
        </w:tc>
        <w:tc>
          <w:tcPr>
            <w:tcW w:w="2120" w:type="dxa"/>
            <w:shd w:val="clear" w:color="auto" w:fill="D9E2F3"/>
            <w:vAlign w:val="center"/>
          </w:tcPr>
          <w:p w14:paraId="4CF75291" w14:textId="77777777" w:rsidR="00990B14" w:rsidRDefault="00000000">
            <w:pPr>
              <w:spacing w:before="20" w:after="20"/>
              <w:jc w:val="both"/>
            </w:pPr>
            <w:r>
              <w:rPr>
                <w:sz w:val="18"/>
                <w:szCs w:val="18"/>
              </w:rPr>
              <w:t>El tablero señala alertas y responsables de actuar.</w:t>
            </w:r>
          </w:p>
        </w:tc>
      </w:tr>
      <w:tr w:rsidR="00990B14" w14:paraId="1217242E" w14:textId="77777777">
        <w:trPr>
          <w:cantSplit/>
          <w:jc w:val="center"/>
        </w:trPr>
        <w:tc>
          <w:tcPr>
            <w:tcW w:w="1635" w:type="dxa"/>
            <w:vMerge/>
            <w:shd w:val="clear" w:color="auto" w:fill="4472C4"/>
            <w:vAlign w:val="center"/>
          </w:tcPr>
          <w:p w14:paraId="4C36B891" w14:textId="77777777" w:rsidR="00990B14" w:rsidRDefault="00990B14">
            <w:pPr>
              <w:spacing w:before="20" w:after="20"/>
            </w:pPr>
          </w:p>
        </w:tc>
        <w:tc>
          <w:tcPr>
            <w:tcW w:w="5650" w:type="dxa"/>
            <w:gridSpan w:val="3"/>
            <w:shd w:val="clear" w:color="auto" w:fill="D9E2F3"/>
            <w:vAlign w:val="center"/>
          </w:tcPr>
          <w:p w14:paraId="6A537A73" w14:textId="77777777" w:rsidR="00990B14" w:rsidRDefault="00000000">
            <w:pPr>
              <w:keepNext/>
              <w:spacing w:before="20" w:after="20"/>
              <w:jc w:val="both"/>
            </w:pPr>
            <w:r>
              <w:rPr>
                <w:b/>
                <w:bCs/>
                <w:i/>
                <w:iCs/>
                <w:sz w:val="18"/>
                <w:szCs w:val="18"/>
              </w:rPr>
              <w:t xml:space="preserve">Producto 17: </w:t>
            </w:r>
            <w:r>
              <w:rPr>
                <w:sz w:val="18"/>
                <w:szCs w:val="18"/>
              </w:rPr>
              <w:t>Plan de estrategia de marketing de un producto o servicio</w:t>
            </w:r>
          </w:p>
        </w:tc>
        <w:tc>
          <w:tcPr>
            <w:tcW w:w="2120" w:type="dxa"/>
            <w:shd w:val="clear" w:color="auto" w:fill="D9E2F3"/>
            <w:vAlign w:val="center"/>
          </w:tcPr>
          <w:p w14:paraId="1F8D7D93" w14:textId="77777777" w:rsidR="00990B14" w:rsidRDefault="00000000">
            <w:pPr>
              <w:spacing w:before="20" w:after="20"/>
              <w:jc w:val="center"/>
            </w:pPr>
            <w:r>
              <w:rPr>
                <w:b/>
                <w:bCs/>
                <w:sz w:val="18"/>
                <w:szCs w:val="18"/>
              </w:rPr>
              <w:t>3%</w:t>
            </w:r>
          </w:p>
        </w:tc>
      </w:tr>
      <w:tr w:rsidR="00990B14" w14:paraId="1CE6D223" w14:textId="77777777">
        <w:trPr>
          <w:cantSplit/>
          <w:jc w:val="center"/>
        </w:trPr>
        <w:tc>
          <w:tcPr>
            <w:tcW w:w="1635" w:type="dxa"/>
            <w:vMerge/>
            <w:shd w:val="clear" w:color="auto" w:fill="4472C4"/>
            <w:vAlign w:val="center"/>
          </w:tcPr>
          <w:p w14:paraId="1CD3BFE5" w14:textId="77777777" w:rsidR="00990B14" w:rsidRDefault="00990B14">
            <w:pPr>
              <w:spacing w:before="20" w:after="20"/>
            </w:pPr>
          </w:p>
        </w:tc>
        <w:tc>
          <w:tcPr>
            <w:tcW w:w="1910" w:type="dxa"/>
            <w:shd w:val="clear" w:color="auto" w:fill="4472C4"/>
            <w:vAlign w:val="center"/>
          </w:tcPr>
          <w:p w14:paraId="02757D1A"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704CF7CE" w14:textId="77777777" w:rsidR="00990B14" w:rsidRDefault="00000000">
            <w:pPr>
              <w:keepNext/>
              <w:spacing w:before="20" w:after="20"/>
              <w:jc w:val="center"/>
            </w:pPr>
            <w:r>
              <w:rPr>
                <w:b/>
                <w:bCs/>
                <w:i/>
                <w:iCs/>
                <w:color w:val="FFFFFF"/>
                <w:sz w:val="18"/>
                <w:szCs w:val="18"/>
              </w:rPr>
              <w:t>Insuficiente (1–50)</w:t>
            </w:r>
          </w:p>
        </w:tc>
        <w:tc>
          <w:tcPr>
            <w:tcW w:w="1830" w:type="dxa"/>
            <w:shd w:val="clear" w:color="auto" w:fill="4472C4"/>
            <w:vAlign w:val="center"/>
          </w:tcPr>
          <w:p w14:paraId="53CB7DDE"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40A88AEF" w14:textId="77777777" w:rsidR="00990B14" w:rsidRDefault="00000000">
            <w:pPr>
              <w:keepNext/>
              <w:spacing w:before="20" w:after="20"/>
              <w:jc w:val="center"/>
            </w:pPr>
            <w:r>
              <w:rPr>
                <w:b/>
                <w:bCs/>
                <w:i/>
                <w:iCs/>
                <w:color w:val="FFFFFF"/>
                <w:sz w:val="18"/>
                <w:szCs w:val="18"/>
              </w:rPr>
              <w:t>Destacado (81–100)</w:t>
            </w:r>
          </w:p>
        </w:tc>
      </w:tr>
      <w:tr w:rsidR="00990B14" w14:paraId="69E3F01F" w14:textId="77777777">
        <w:trPr>
          <w:cantSplit/>
          <w:jc w:val="center"/>
        </w:trPr>
        <w:tc>
          <w:tcPr>
            <w:tcW w:w="1635" w:type="dxa"/>
            <w:vMerge/>
            <w:shd w:val="clear" w:color="auto" w:fill="4472C4"/>
            <w:vAlign w:val="center"/>
          </w:tcPr>
          <w:p w14:paraId="5E183DFD" w14:textId="77777777" w:rsidR="00990B14" w:rsidRDefault="00990B14">
            <w:pPr>
              <w:spacing w:before="20" w:after="20"/>
            </w:pPr>
          </w:p>
        </w:tc>
        <w:tc>
          <w:tcPr>
            <w:tcW w:w="1910" w:type="dxa"/>
            <w:shd w:val="clear" w:color="auto" w:fill="D9E2F3"/>
            <w:vAlign w:val="center"/>
          </w:tcPr>
          <w:p w14:paraId="630EF25E" w14:textId="77777777" w:rsidR="00990B14" w:rsidRDefault="00000000">
            <w:pPr>
              <w:spacing w:before="20" w:after="20"/>
              <w:jc w:val="both"/>
            </w:pPr>
            <w:r>
              <w:rPr>
                <w:sz w:val="18"/>
                <w:szCs w:val="18"/>
              </w:rPr>
              <w:t>Cuatro componentes</w:t>
            </w:r>
          </w:p>
        </w:tc>
        <w:tc>
          <w:tcPr>
            <w:tcW w:w="1910" w:type="dxa"/>
            <w:shd w:val="clear" w:color="auto" w:fill="D9E2F3"/>
            <w:vAlign w:val="center"/>
          </w:tcPr>
          <w:p w14:paraId="4F74E9B9" w14:textId="77777777" w:rsidR="00990B14" w:rsidRDefault="00000000">
            <w:pPr>
              <w:spacing w:before="20" w:after="20"/>
              <w:jc w:val="both"/>
            </w:pPr>
            <w:r>
              <w:rPr>
                <w:sz w:val="18"/>
                <w:szCs w:val="18"/>
              </w:rPr>
              <w:t>No considera el producto, el precio, la distribución o la comunicación.</w:t>
            </w:r>
          </w:p>
        </w:tc>
        <w:tc>
          <w:tcPr>
            <w:tcW w:w="1830" w:type="dxa"/>
            <w:shd w:val="clear" w:color="auto" w:fill="D9E2F3"/>
            <w:vAlign w:val="center"/>
          </w:tcPr>
          <w:p w14:paraId="5337356C" w14:textId="77777777" w:rsidR="00990B14" w:rsidRDefault="00000000">
            <w:pPr>
              <w:spacing w:before="20" w:after="20"/>
              <w:jc w:val="both"/>
            </w:pPr>
            <w:r>
              <w:rPr>
                <w:sz w:val="18"/>
                <w:szCs w:val="18"/>
              </w:rPr>
              <w:t>Diseña la estrategia con sus cuatro componentes.</w:t>
            </w:r>
          </w:p>
        </w:tc>
        <w:tc>
          <w:tcPr>
            <w:tcW w:w="2120" w:type="dxa"/>
            <w:shd w:val="clear" w:color="auto" w:fill="D9E2F3"/>
            <w:vAlign w:val="center"/>
          </w:tcPr>
          <w:p w14:paraId="08095A90" w14:textId="77777777" w:rsidR="00990B14" w:rsidRDefault="00000000">
            <w:pPr>
              <w:spacing w:before="20" w:after="20"/>
              <w:jc w:val="both"/>
            </w:pPr>
            <w:r>
              <w:rPr>
                <w:sz w:val="18"/>
                <w:szCs w:val="18"/>
              </w:rPr>
              <w:t>Integra los componentes de forma coherente con el posicionamiento buscado.</w:t>
            </w:r>
          </w:p>
        </w:tc>
      </w:tr>
      <w:tr w:rsidR="00990B14" w14:paraId="7687B90B" w14:textId="77777777">
        <w:trPr>
          <w:cantSplit/>
          <w:jc w:val="center"/>
        </w:trPr>
        <w:tc>
          <w:tcPr>
            <w:tcW w:w="1635" w:type="dxa"/>
            <w:vMerge/>
            <w:shd w:val="clear" w:color="auto" w:fill="4472C4"/>
            <w:vAlign w:val="center"/>
          </w:tcPr>
          <w:p w14:paraId="687FBCBC" w14:textId="77777777" w:rsidR="00990B14" w:rsidRDefault="00990B14">
            <w:pPr>
              <w:spacing w:before="20" w:after="20"/>
            </w:pPr>
          </w:p>
        </w:tc>
        <w:tc>
          <w:tcPr>
            <w:tcW w:w="1910" w:type="dxa"/>
            <w:shd w:val="clear" w:color="auto" w:fill="D9E2F3"/>
            <w:vAlign w:val="center"/>
          </w:tcPr>
          <w:p w14:paraId="07787295" w14:textId="77777777" w:rsidR="00990B14" w:rsidRDefault="00000000">
            <w:pPr>
              <w:spacing w:before="20" w:after="20"/>
              <w:jc w:val="both"/>
            </w:pPr>
            <w:r>
              <w:rPr>
                <w:sz w:val="18"/>
                <w:szCs w:val="18"/>
              </w:rPr>
              <w:t>Comportamiento del consumidor</w:t>
            </w:r>
          </w:p>
        </w:tc>
        <w:tc>
          <w:tcPr>
            <w:tcW w:w="1910" w:type="dxa"/>
            <w:shd w:val="clear" w:color="auto" w:fill="D9E2F3"/>
            <w:vAlign w:val="center"/>
          </w:tcPr>
          <w:p w14:paraId="32D08264" w14:textId="77777777" w:rsidR="00990B14" w:rsidRDefault="00000000">
            <w:pPr>
              <w:spacing w:before="20" w:after="20"/>
              <w:jc w:val="both"/>
            </w:pPr>
            <w:r>
              <w:rPr>
                <w:sz w:val="18"/>
                <w:szCs w:val="18"/>
              </w:rPr>
              <w:t>No relaciona la estrategia con el consumidor.</w:t>
            </w:r>
          </w:p>
        </w:tc>
        <w:tc>
          <w:tcPr>
            <w:tcW w:w="1830" w:type="dxa"/>
            <w:shd w:val="clear" w:color="auto" w:fill="D9E2F3"/>
            <w:vAlign w:val="center"/>
          </w:tcPr>
          <w:p w14:paraId="0426FC04" w14:textId="77777777" w:rsidR="00990B14" w:rsidRDefault="00000000">
            <w:pPr>
              <w:spacing w:before="20" w:after="20"/>
              <w:jc w:val="both"/>
            </w:pPr>
            <w:r>
              <w:rPr>
                <w:sz w:val="18"/>
                <w:szCs w:val="18"/>
              </w:rPr>
              <w:t>Relaciona la estrategia con el comportamiento del consumidor.</w:t>
            </w:r>
          </w:p>
        </w:tc>
        <w:tc>
          <w:tcPr>
            <w:tcW w:w="2120" w:type="dxa"/>
            <w:shd w:val="clear" w:color="auto" w:fill="D9E2F3"/>
            <w:vAlign w:val="center"/>
          </w:tcPr>
          <w:p w14:paraId="669ED614" w14:textId="77777777" w:rsidR="00990B14" w:rsidRDefault="00000000">
            <w:pPr>
              <w:spacing w:before="20" w:after="20"/>
              <w:jc w:val="both"/>
            </w:pPr>
            <w:r>
              <w:rPr>
                <w:sz w:val="18"/>
                <w:szCs w:val="18"/>
              </w:rPr>
              <w:t>Sustenta la estrategia con el ciclo de vida del producto.</w:t>
            </w:r>
          </w:p>
        </w:tc>
      </w:tr>
      <w:tr w:rsidR="00990B14" w14:paraId="41369738" w14:textId="77777777">
        <w:trPr>
          <w:cantSplit/>
          <w:jc w:val="center"/>
        </w:trPr>
        <w:tc>
          <w:tcPr>
            <w:tcW w:w="1635" w:type="dxa"/>
            <w:vMerge/>
            <w:shd w:val="clear" w:color="auto" w:fill="4472C4"/>
            <w:vAlign w:val="center"/>
          </w:tcPr>
          <w:p w14:paraId="4FD2DDE5" w14:textId="77777777" w:rsidR="00990B14" w:rsidRDefault="00990B14">
            <w:pPr>
              <w:spacing w:before="20" w:after="20"/>
            </w:pPr>
          </w:p>
        </w:tc>
        <w:tc>
          <w:tcPr>
            <w:tcW w:w="1910" w:type="dxa"/>
            <w:shd w:val="clear" w:color="auto" w:fill="D9E2F3"/>
            <w:vAlign w:val="center"/>
          </w:tcPr>
          <w:p w14:paraId="6797809E" w14:textId="77777777" w:rsidR="00990B14" w:rsidRDefault="00000000">
            <w:pPr>
              <w:spacing w:before="20" w:after="20"/>
              <w:jc w:val="both"/>
            </w:pPr>
            <w:r>
              <w:rPr>
                <w:sz w:val="18"/>
                <w:szCs w:val="18"/>
              </w:rPr>
              <w:t>Comunicación responsable</w:t>
            </w:r>
          </w:p>
        </w:tc>
        <w:tc>
          <w:tcPr>
            <w:tcW w:w="1910" w:type="dxa"/>
            <w:shd w:val="clear" w:color="auto" w:fill="D9E2F3"/>
            <w:vAlign w:val="center"/>
          </w:tcPr>
          <w:p w14:paraId="3A2E12DA" w14:textId="77777777" w:rsidR="00990B14" w:rsidRDefault="00000000">
            <w:pPr>
              <w:spacing w:before="20" w:after="20"/>
              <w:jc w:val="both"/>
            </w:pPr>
            <w:r>
              <w:rPr>
                <w:sz w:val="18"/>
                <w:szCs w:val="18"/>
              </w:rPr>
              <w:t>El mensaje no es coherente con las prácticas de la empresa.</w:t>
            </w:r>
          </w:p>
        </w:tc>
        <w:tc>
          <w:tcPr>
            <w:tcW w:w="1830" w:type="dxa"/>
            <w:shd w:val="clear" w:color="auto" w:fill="D9E2F3"/>
            <w:vAlign w:val="center"/>
          </w:tcPr>
          <w:p w14:paraId="14960CCA" w14:textId="77777777" w:rsidR="00990B14" w:rsidRDefault="00000000">
            <w:pPr>
              <w:spacing w:before="20" w:after="20"/>
              <w:jc w:val="both"/>
            </w:pPr>
            <w:r>
              <w:rPr>
                <w:sz w:val="18"/>
                <w:szCs w:val="18"/>
              </w:rPr>
              <w:t>El mensaje es veraz y coherente con las prácticas de la empresa.</w:t>
            </w:r>
          </w:p>
        </w:tc>
        <w:tc>
          <w:tcPr>
            <w:tcW w:w="2120" w:type="dxa"/>
            <w:shd w:val="clear" w:color="auto" w:fill="D9E2F3"/>
            <w:vAlign w:val="center"/>
          </w:tcPr>
          <w:p w14:paraId="5B7561D2" w14:textId="77777777" w:rsidR="00990B14" w:rsidRDefault="00000000">
            <w:pPr>
              <w:spacing w:before="20" w:after="20"/>
              <w:jc w:val="both"/>
            </w:pPr>
            <w:r>
              <w:rPr>
                <w:sz w:val="18"/>
                <w:szCs w:val="18"/>
              </w:rPr>
              <w:t>Integra criterios de sostenibilidad en la comunicación.</w:t>
            </w:r>
          </w:p>
        </w:tc>
      </w:tr>
      <w:tr w:rsidR="00990B14" w14:paraId="29F04B7E" w14:textId="77777777">
        <w:trPr>
          <w:cantSplit/>
          <w:jc w:val="center"/>
        </w:trPr>
        <w:tc>
          <w:tcPr>
            <w:tcW w:w="1635" w:type="dxa"/>
            <w:vMerge/>
            <w:shd w:val="clear" w:color="auto" w:fill="4472C4"/>
            <w:vAlign w:val="center"/>
          </w:tcPr>
          <w:p w14:paraId="665428B1" w14:textId="77777777" w:rsidR="00990B14" w:rsidRDefault="00990B14">
            <w:pPr>
              <w:spacing w:before="20" w:after="20"/>
            </w:pPr>
          </w:p>
        </w:tc>
        <w:tc>
          <w:tcPr>
            <w:tcW w:w="5650" w:type="dxa"/>
            <w:gridSpan w:val="3"/>
            <w:shd w:val="clear" w:color="auto" w:fill="D9E2F3"/>
            <w:vAlign w:val="center"/>
          </w:tcPr>
          <w:p w14:paraId="45A9F6FA" w14:textId="77777777" w:rsidR="00990B14" w:rsidRDefault="00000000">
            <w:pPr>
              <w:keepNext/>
              <w:spacing w:before="20" w:after="20"/>
              <w:jc w:val="both"/>
            </w:pPr>
            <w:r>
              <w:rPr>
                <w:b/>
                <w:bCs/>
                <w:i/>
                <w:iCs/>
                <w:sz w:val="18"/>
                <w:szCs w:val="18"/>
              </w:rPr>
              <w:t xml:space="preserve">Producto 18: </w:t>
            </w:r>
            <w:r>
              <w:rPr>
                <w:sz w:val="18"/>
                <w:szCs w:val="18"/>
              </w:rPr>
              <w:t>Informe comparativo de estrategias de marketing digital</w:t>
            </w:r>
          </w:p>
        </w:tc>
        <w:tc>
          <w:tcPr>
            <w:tcW w:w="2120" w:type="dxa"/>
            <w:shd w:val="clear" w:color="auto" w:fill="D9E2F3"/>
            <w:vAlign w:val="center"/>
          </w:tcPr>
          <w:p w14:paraId="2474A525" w14:textId="77777777" w:rsidR="00990B14" w:rsidRDefault="00000000">
            <w:pPr>
              <w:spacing w:before="20" w:after="20"/>
              <w:jc w:val="center"/>
            </w:pPr>
            <w:r>
              <w:rPr>
                <w:b/>
                <w:bCs/>
                <w:sz w:val="18"/>
                <w:szCs w:val="18"/>
              </w:rPr>
              <w:t>3%</w:t>
            </w:r>
          </w:p>
        </w:tc>
      </w:tr>
      <w:tr w:rsidR="00990B14" w14:paraId="2ED9455D" w14:textId="77777777">
        <w:trPr>
          <w:cantSplit/>
          <w:jc w:val="center"/>
        </w:trPr>
        <w:tc>
          <w:tcPr>
            <w:tcW w:w="1635" w:type="dxa"/>
            <w:vMerge/>
            <w:shd w:val="clear" w:color="auto" w:fill="4472C4"/>
            <w:vAlign w:val="center"/>
          </w:tcPr>
          <w:p w14:paraId="028CEC75" w14:textId="77777777" w:rsidR="00990B14" w:rsidRDefault="00990B14">
            <w:pPr>
              <w:spacing w:before="20" w:after="20"/>
            </w:pPr>
          </w:p>
        </w:tc>
        <w:tc>
          <w:tcPr>
            <w:tcW w:w="1910" w:type="dxa"/>
            <w:shd w:val="clear" w:color="auto" w:fill="4472C4"/>
            <w:vAlign w:val="center"/>
          </w:tcPr>
          <w:p w14:paraId="7357E326"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0DB20DD0" w14:textId="77777777" w:rsidR="00990B14" w:rsidRDefault="00000000">
            <w:pPr>
              <w:keepNext/>
              <w:spacing w:before="20" w:after="20"/>
              <w:jc w:val="center"/>
            </w:pPr>
            <w:r>
              <w:rPr>
                <w:b/>
                <w:bCs/>
                <w:i/>
                <w:iCs/>
                <w:color w:val="FFFFFF"/>
                <w:sz w:val="18"/>
                <w:szCs w:val="18"/>
              </w:rPr>
              <w:t>Insuficiente (1–50)</w:t>
            </w:r>
          </w:p>
        </w:tc>
        <w:tc>
          <w:tcPr>
            <w:tcW w:w="1830" w:type="dxa"/>
            <w:shd w:val="clear" w:color="auto" w:fill="4472C4"/>
            <w:vAlign w:val="center"/>
          </w:tcPr>
          <w:p w14:paraId="02C8A96D"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67186B4D" w14:textId="77777777" w:rsidR="00990B14" w:rsidRDefault="00000000">
            <w:pPr>
              <w:keepNext/>
              <w:spacing w:before="20" w:after="20"/>
              <w:jc w:val="center"/>
            </w:pPr>
            <w:r>
              <w:rPr>
                <w:b/>
                <w:bCs/>
                <w:i/>
                <w:iCs/>
                <w:color w:val="FFFFFF"/>
                <w:sz w:val="18"/>
                <w:szCs w:val="18"/>
              </w:rPr>
              <w:t>Destacado (81–100)</w:t>
            </w:r>
          </w:p>
        </w:tc>
      </w:tr>
      <w:tr w:rsidR="00990B14" w14:paraId="66C75016" w14:textId="77777777">
        <w:trPr>
          <w:cantSplit/>
          <w:jc w:val="center"/>
        </w:trPr>
        <w:tc>
          <w:tcPr>
            <w:tcW w:w="1635" w:type="dxa"/>
            <w:vMerge/>
            <w:shd w:val="clear" w:color="auto" w:fill="4472C4"/>
            <w:vAlign w:val="center"/>
          </w:tcPr>
          <w:p w14:paraId="6046C9D7" w14:textId="77777777" w:rsidR="00990B14" w:rsidRDefault="00990B14">
            <w:pPr>
              <w:spacing w:before="20" w:after="20"/>
            </w:pPr>
          </w:p>
        </w:tc>
        <w:tc>
          <w:tcPr>
            <w:tcW w:w="1910" w:type="dxa"/>
            <w:shd w:val="clear" w:color="auto" w:fill="D9E2F3"/>
            <w:vAlign w:val="center"/>
          </w:tcPr>
          <w:p w14:paraId="16BA1AC5" w14:textId="77777777" w:rsidR="00990B14" w:rsidRDefault="00000000">
            <w:pPr>
              <w:spacing w:before="20" w:after="20"/>
              <w:jc w:val="both"/>
            </w:pPr>
            <w:r>
              <w:rPr>
                <w:sz w:val="18"/>
                <w:szCs w:val="18"/>
              </w:rPr>
              <w:t>Selección de casos</w:t>
            </w:r>
          </w:p>
        </w:tc>
        <w:tc>
          <w:tcPr>
            <w:tcW w:w="1910" w:type="dxa"/>
            <w:shd w:val="clear" w:color="auto" w:fill="D9E2F3"/>
            <w:vAlign w:val="center"/>
          </w:tcPr>
          <w:p w14:paraId="7CA1ACFD" w14:textId="77777777" w:rsidR="00990B14" w:rsidRDefault="00000000">
            <w:pPr>
              <w:spacing w:before="20" w:after="20"/>
              <w:jc w:val="both"/>
            </w:pPr>
            <w:r>
              <w:rPr>
                <w:sz w:val="18"/>
                <w:szCs w:val="18"/>
              </w:rPr>
              <w:t>Los casos no son comparables.</w:t>
            </w:r>
          </w:p>
        </w:tc>
        <w:tc>
          <w:tcPr>
            <w:tcW w:w="1830" w:type="dxa"/>
            <w:shd w:val="clear" w:color="auto" w:fill="D9E2F3"/>
            <w:vAlign w:val="center"/>
          </w:tcPr>
          <w:p w14:paraId="6176534E" w14:textId="77777777" w:rsidR="00990B14" w:rsidRDefault="00000000">
            <w:pPr>
              <w:spacing w:before="20" w:after="20"/>
              <w:jc w:val="both"/>
            </w:pPr>
            <w:r>
              <w:rPr>
                <w:sz w:val="18"/>
                <w:szCs w:val="18"/>
              </w:rPr>
              <w:t>Selecciona empresas bolivianas comparables.</w:t>
            </w:r>
          </w:p>
        </w:tc>
        <w:tc>
          <w:tcPr>
            <w:tcW w:w="2120" w:type="dxa"/>
            <w:shd w:val="clear" w:color="auto" w:fill="D9E2F3"/>
            <w:vAlign w:val="center"/>
          </w:tcPr>
          <w:p w14:paraId="1366B8AC" w14:textId="77777777" w:rsidR="00990B14" w:rsidRDefault="00000000">
            <w:pPr>
              <w:spacing w:before="20" w:after="20"/>
              <w:jc w:val="both"/>
            </w:pPr>
            <w:r>
              <w:rPr>
                <w:sz w:val="18"/>
                <w:szCs w:val="18"/>
              </w:rPr>
              <w:t>Justifica la selección según el sector y el público objetivo.</w:t>
            </w:r>
          </w:p>
        </w:tc>
      </w:tr>
      <w:tr w:rsidR="00990B14" w14:paraId="3FA92568" w14:textId="77777777">
        <w:trPr>
          <w:cantSplit/>
          <w:jc w:val="center"/>
        </w:trPr>
        <w:tc>
          <w:tcPr>
            <w:tcW w:w="1635" w:type="dxa"/>
            <w:vMerge/>
            <w:shd w:val="clear" w:color="auto" w:fill="4472C4"/>
            <w:vAlign w:val="center"/>
          </w:tcPr>
          <w:p w14:paraId="07583F47" w14:textId="77777777" w:rsidR="00990B14" w:rsidRDefault="00990B14">
            <w:pPr>
              <w:spacing w:before="20" w:after="20"/>
            </w:pPr>
          </w:p>
        </w:tc>
        <w:tc>
          <w:tcPr>
            <w:tcW w:w="1910" w:type="dxa"/>
            <w:shd w:val="clear" w:color="auto" w:fill="D9E2F3"/>
            <w:vAlign w:val="center"/>
          </w:tcPr>
          <w:p w14:paraId="5F802DC1" w14:textId="77777777" w:rsidR="00990B14" w:rsidRDefault="00000000">
            <w:pPr>
              <w:spacing w:before="20" w:after="20"/>
              <w:jc w:val="both"/>
            </w:pPr>
            <w:r>
              <w:rPr>
                <w:sz w:val="18"/>
                <w:szCs w:val="18"/>
              </w:rPr>
              <w:t>Indicadores digitales</w:t>
            </w:r>
          </w:p>
        </w:tc>
        <w:tc>
          <w:tcPr>
            <w:tcW w:w="1910" w:type="dxa"/>
            <w:shd w:val="clear" w:color="auto" w:fill="D9E2F3"/>
            <w:vAlign w:val="center"/>
          </w:tcPr>
          <w:p w14:paraId="53683056" w14:textId="77777777" w:rsidR="00990B14" w:rsidRDefault="00000000">
            <w:pPr>
              <w:spacing w:before="20" w:after="20"/>
              <w:jc w:val="both"/>
            </w:pPr>
            <w:r>
              <w:rPr>
                <w:sz w:val="18"/>
                <w:szCs w:val="18"/>
              </w:rPr>
              <w:t>No usa indicadores de resultados.</w:t>
            </w:r>
          </w:p>
        </w:tc>
        <w:tc>
          <w:tcPr>
            <w:tcW w:w="1830" w:type="dxa"/>
            <w:shd w:val="clear" w:color="auto" w:fill="D9E2F3"/>
            <w:vAlign w:val="center"/>
          </w:tcPr>
          <w:p w14:paraId="5F132A4F" w14:textId="77777777" w:rsidR="00990B14" w:rsidRDefault="00000000">
            <w:pPr>
              <w:spacing w:before="20" w:after="20"/>
              <w:jc w:val="both"/>
            </w:pPr>
            <w:r>
              <w:rPr>
                <w:sz w:val="18"/>
                <w:szCs w:val="18"/>
              </w:rPr>
              <w:t>Compara las estrategias con indicadores de alcance y conversión.</w:t>
            </w:r>
          </w:p>
        </w:tc>
        <w:tc>
          <w:tcPr>
            <w:tcW w:w="2120" w:type="dxa"/>
            <w:shd w:val="clear" w:color="auto" w:fill="D9E2F3"/>
            <w:vAlign w:val="center"/>
          </w:tcPr>
          <w:p w14:paraId="7D4AF515" w14:textId="77777777" w:rsidR="00990B14" w:rsidRDefault="00000000">
            <w:pPr>
              <w:spacing w:before="20" w:after="20"/>
              <w:jc w:val="both"/>
            </w:pPr>
            <w:r>
              <w:rPr>
                <w:sz w:val="18"/>
                <w:szCs w:val="18"/>
              </w:rPr>
              <w:t>Interpreta las diferencias de desempeño entre las empresas.</w:t>
            </w:r>
          </w:p>
        </w:tc>
      </w:tr>
      <w:tr w:rsidR="00990B14" w14:paraId="1903A01D" w14:textId="77777777">
        <w:trPr>
          <w:cantSplit/>
          <w:jc w:val="center"/>
        </w:trPr>
        <w:tc>
          <w:tcPr>
            <w:tcW w:w="1635" w:type="dxa"/>
            <w:vMerge/>
            <w:shd w:val="clear" w:color="auto" w:fill="4472C4"/>
            <w:vAlign w:val="center"/>
          </w:tcPr>
          <w:p w14:paraId="570CED82" w14:textId="77777777" w:rsidR="00990B14" w:rsidRDefault="00990B14">
            <w:pPr>
              <w:spacing w:before="20" w:after="20"/>
            </w:pPr>
          </w:p>
        </w:tc>
        <w:tc>
          <w:tcPr>
            <w:tcW w:w="1910" w:type="dxa"/>
            <w:shd w:val="clear" w:color="auto" w:fill="D9E2F3"/>
            <w:vAlign w:val="center"/>
          </w:tcPr>
          <w:p w14:paraId="26006F31" w14:textId="77777777" w:rsidR="00990B14" w:rsidRDefault="00000000">
            <w:pPr>
              <w:spacing w:before="20" w:after="20"/>
              <w:jc w:val="both"/>
            </w:pPr>
            <w:r>
              <w:rPr>
                <w:sz w:val="18"/>
                <w:szCs w:val="18"/>
              </w:rPr>
              <w:t>Recomendaciones</w:t>
            </w:r>
          </w:p>
        </w:tc>
        <w:tc>
          <w:tcPr>
            <w:tcW w:w="1910" w:type="dxa"/>
            <w:shd w:val="clear" w:color="auto" w:fill="D9E2F3"/>
            <w:vAlign w:val="center"/>
          </w:tcPr>
          <w:p w14:paraId="79B671E8" w14:textId="77777777" w:rsidR="00990B14" w:rsidRDefault="00000000">
            <w:pPr>
              <w:spacing w:before="20" w:after="20"/>
              <w:jc w:val="both"/>
            </w:pPr>
            <w:r>
              <w:rPr>
                <w:sz w:val="18"/>
                <w:szCs w:val="18"/>
              </w:rPr>
              <w:t>No formula recomendaciones.</w:t>
            </w:r>
          </w:p>
        </w:tc>
        <w:tc>
          <w:tcPr>
            <w:tcW w:w="1830" w:type="dxa"/>
            <w:shd w:val="clear" w:color="auto" w:fill="D9E2F3"/>
            <w:vAlign w:val="center"/>
          </w:tcPr>
          <w:p w14:paraId="673CB994" w14:textId="77777777" w:rsidR="00990B14" w:rsidRDefault="00000000">
            <w:pPr>
              <w:spacing w:before="20" w:after="20"/>
              <w:jc w:val="both"/>
            </w:pPr>
            <w:r>
              <w:rPr>
                <w:sz w:val="18"/>
                <w:szCs w:val="18"/>
              </w:rPr>
              <w:t>Formula recomendaciones pertinentes.</w:t>
            </w:r>
          </w:p>
        </w:tc>
        <w:tc>
          <w:tcPr>
            <w:tcW w:w="2120" w:type="dxa"/>
            <w:shd w:val="clear" w:color="auto" w:fill="D9E2F3"/>
            <w:vAlign w:val="center"/>
          </w:tcPr>
          <w:p w14:paraId="1FA85CFA" w14:textId="77777777" w:rsidR="00990B14" w:rsidRDefault="00000000">
            <w:pPr>
              <w:spacing w:before="20" w:after="20"/>
              <w:jc w:val="both"/>
            </w:pPr>
            <w:r>
              <w:rPr>
                <w:sz w:val="18"/>
                <w:szCs w:val="18"/>
              </w:rPr>
              <w:t>Prioriza las recomendaciones según su costo y su impacto.</w:t>
            </w:r>
          </w:p>
        </w:tc>
      </w:tr>
      <w:tr w:rsidR="00990B14" w14:paraId="7188CC15" w14:textId="77777777">
        <w:trPr>
          <w:cantSplit/>
          <w:jc w:val="center"/>
        </w:trPr>
        <w:tc>
          <w:tcPr>
            <w:tcW w:w="1635" w:type="dxa"/>
            <w:vMerge/>
            <w:shd w:val="clear" w:color="auto" w:fill="4472C4"/>
            <w:vAlign w:val="center"/>
          </w:tcPr>
          <w:p w14:paraId="3B224257" w14:textId="77777777" w:rsidR="00990B14" w:rsidRDefault="00990B14">
            <w:pPr>
              <w:spacing w:before="20" w:after="20"/>
            </w:pPr>
          </w:p>
        </w:tc>
        <w:tc>
          <w:tcPr>
            <w:tcW w:w="5650" w:type="dxa"/>
            <w:gridSpan w:val="3"/>
            <w:shd w:val="clear" w:color="auto" w:fill="D9E2F3"/>
            <w:vAlign w:val="center"/>
          </w:tcPr>
          <w:p w14:paraId="2C57DA39" w14:textId="77777777" w:rsidR="00990B14" w:rsidRDefault="00000000">
            <w:pPr>
              <w:keepNext/>
              <w:spacing w:before="20" w:after="20"/>
              <w:jc w:val="both"/>
            </w:pPr>
            <w:r>
              <w:rPr>
                <w:b/>
                <w:bCs/>
                <w:i/>
                <w:iCs/>
                <w:sz w:val="18"/>
                <w:szCs w:val="18"/>
              </w:rPr>
              <w:t xml:space="preserve">Producto 19: </w:t>
            </w:r>
            <w:r>
              <w:rPr>
                <w:sz w:val="18"/>
                <w:szCs w:val="18"/>
              </w:rPr>
              <w:t>Ficha de la idea de negocio con su evaluación de viabilidad</w:t>
            </w:r>
          </w:p>
        </w:tc>
        <w:tc>
          <w:tcPr>
            <w:tcW w:w="2120" w:type="dxa"/>
            <w:shd w:val="clear" w:color="auto" w:fill="D9E2F3"/>
            <w:vAlign w:val="center"/>
          </w:tcPr>
          <w:p w14:paraId="415B95A6" w14:textId="77777777" w:rsidR="00990B14" w:rsidRDefault="00000000">
            <w:pPr>
              <w:spacing w:before="20" w:after="20"/>
              <w:jc w:val="center"/>
            </w:pPr>
            <w:r>
              <w:rPr>
                <w:b/>
                <w:bCs/>
                <w:sz w:val="18"/>
                <w:szCs w:val="18"/>
              </w:rPr>
              <w:t>3%</w:t>
            </w:r>
          </w:p>
        </w:tc>
      </w:tr>
      <w:tr w:rsidR="00990B14" w14:paraId="2DCD772F" w14:textId="77777777">
        <w:trPr>
          <w:cantSplit/>
          <w:jc w:val="center"/>
        </w:trPr>
        <w:tc>
          <w:tcPr>
            <w:tcW w:w="1635" w:type="dxa"/>
            <w:vMerge/>
            <w:shd w:val="clear" w:color="auto" w:fill="4472C4"/>
            <w:vAlign w:val="center"/>
          </w:tcPr>
          <w:p w14:paraId="280A261C" w14:textId="77777777" w:rsidR="00990B14" w:rsidRDefault="00990B14">
            <w:pPr>
              <w:spacing w:before="20" w:after="20"/>
            </w:pPr>
          </w:p>
        </w:tc>
        <w:tc>
          <w:tcPr>
            <w:tcW w:w="1910" w:type="dxa"/>
            <w:shd w:val="clear" w:color="auto" w:fill="4472C4"/>
            <w:vAlign w:val="center"/>
          </w:tcPr>
          <w:p w14:paraId="2864C9FA"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3DA55270" w14:textId="77777777" w:rsidR="00990B14" w:rsidRDefault="00000000">
            <w:pPr>
              <w:keepNext/>
              <w:spacing w:before="20" w:after="20"/>
              <w:jc w:val="center"/>
            </w:pPr>
            <w:r>
              <w:rPr>
                <w:b/>
                <w:bCs/>
                <w:i/>
                <w:iCs/>
                <w:color w:val="FFFFFF"/>
                <w:sz w:val="18"/>
                <w:szCs w:val="18"/>
              </w:rPr>
              <w:t>Insuficiente (1–50)</w:t>
            </w:r>
          </w:p>
        </w:tc>
        <w:tc>
          <w:tcPr>
            <w:tcW w:w="1830" w:type="dxa"/>
            <w:shd w:val="clear" w:color="auto" w:fill="4472C4"/>
            <w:vAlign w:val="center"/>
          </w:tcPr>
          <w:p w14:paraId="0A586BA2"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7D25CA43" w14:textId="77777777" w:rsidR="00990B14" w:rsidRDefault="00000000">
            <w:pPr>
              <w:keepNext/>
              <w:spacing w:before="20" w:after="20"/>
              <w:jc w:val="center"/>
            </w:pPr>
            <w:r>
              <w:rPr>
                <w:b/>
                <w:bCs/>
                <w:i/>
                <w:iCs/>
                <w:color w:val="FFFFFF"/>
                <w:sz w:val="18"/>
                <w:szCs w:val="18"/>
              </w:rPr>
              <w:t>Destacado (81–100)</w:t>
            </w:r>
          </w:p>
        </w:tc>
      </w:tr>
      <w:tr w:rsidR="00990B14" w14:paraId="43392A67" w14:textId="77777777">
        <w:trPr>
          <w:cantSplit/>
          <w:jc w:val="center"/>
        </w:trPr>
        <w:tc>
          <w:tcPr>
            <w:tcW w:w="1635" w:type="dxa"/>
            <w:vMerge/>
            <w:shd w:val="clear" w:color="auto" w:fill="4472C4"/>
            <w:vAlign w:val="center"/>
          </w:tcPr>
          <w:p w14:paraId="3E620FE1" w14:textId="77777777" w:rsidR="00990B14" w:rsidRDefault="00990B14">
            <w:pPr>
              <w:spacing w:before="20" w:after="20"/>
            </w:pPr>
          </w:p>
        </w:tc>
        <w:tc>
          <w:tcPr>
            <w:tcW w:w="1910" w:type="dxa"/>
            <w:shd w:val="clear" w:color="auto" w:fill="D9E2F3"/>
            <w:vAlign w:val="center"/>
          </w:tcPr>
          <w:p w14:paraId="5308015B" w14:textId="77777777" w:rsidR="00990B14" w:rsidRDefault="00000000">
            <w:pPr>
              <w:spacing w:before="20" w:after="20"/>
              <w:jc w:val="both"/>
            </w:pPr>
            <w:r>
              <w:rPr>
                <w:sz w:val="18"/>
                <w:szCs w:val="18"/>
              </w:rPr>
              <w:t>Generación de ideas</w:t>
            </w:r>
          </w:p>
        </w:tc>
        <w:tc>
          <w:tcPr>
            <w:tcW w:w="1910" w:type="dxa"/>
            <w:shd w:val="clear" w:color="auto" w:fill="D9E2F3"/>
            <w:vAlign w:val="center"/>
          </w:tcPr>
          <w:p w14:paraId="7528D8FF" w14:textId="77777777" w:rsidR="00990B14" w:rsidRDefault="00000000">
            <w:pPr>
              <w:spacing w:before="20" w:after="20"/>
              <w:jc w:val="both"/>
            </w:pPr>
            <w:r>
              <w:rPr>
                <w:sz w:val="18"/>
                <w:szCs w:val="18"/>
              </w:rPr>
              <w:t>Presenta una sola idea sin proceso creativo.</w:t>
            </w:r>
          </w:p>
        </w:tc>
        <w:tc>
          <w:tcPr>
            <w:tcW w:w="1830" w:type="dxa"/>
            <w:shd w:val="clear" w:color="auto" w:fill="D9E2F3"/>
            <w:vAlign w:val="center"/>
          </w:tcPr>
          <w:p w14:paraId="3B199FC7" w14:textId="77777777" w:rsidR="00990B14" w:rsidRDefault="00000000">
            <w:pPr>
              <w:spacing w:before="20" w:after="20"/>
              <w:jc w:val="both"/>
            </w:pPr>
            <w:r>
              <w:rPr>
                <w:sz w:val="18"/>
                <w:szCs w:val="18"/>
              </w:rPr>
              <w:t>Genera varias ideas con una técnica de creatividad.</w:t>
            </w:r>
          </w:p>
        </w:tc>
        <w:tc>
          <w:tcPr>
            <w:tcW w:w="2120" w:type="dxa"/>
            <w:shd w:val="clear" w:color="auto" w:fill="D9E2F3"/>
            <w:vAlign w:val="center"/>
          </w:tcPr>
          <w:p w14:paraId="611379EC" w14:textId="77777777" w:rsidR="00990B14" w:rsidRDefault="00000000">
            <w:pPr>
              <w:spacing w:before="20" w:after="20"/>
              <w:jc w:val="both"/>
            </w:pPr>
            <w:r>
              <w:rPr>
                <w:sz w:val="18"/>
                <w:szCs w:val="18"/>
              </w:rPr>
              <w:t>Combina ideas para mejorar la propuesta.</w:t>
            </w:r>
          </w:p>
        </w:tc>
      </w:tr>
      <w:tr w:rsidR="00990B14" w14:paraId="4A160A8E" w14:textId="77777777">
        <w:trPr>
          <w:cantSplit/>
          <w:jc w:val="center"/>
        </w:trPr>
        <w:tc>
          <w:tcPr>
            <w:tcW w:w="1635" w:type="dxa"/>
            <w:vMerge/>
            <w:shd w:val="clear" w:color="auto" w:fill="4472C4"/>
            <w:vAlign w:val="center"/>
          </w:tcPr>
          <w:p w14:paraId="031C78D4" w14:textId="77777777" w:rsidR="00990B14" w:rsidRDefault="00990B14">
            <w:pPr>
              <w:spacing w:before="20" w:after="20"/>
            </w:pPr>
          </w:p>
        </w:tc>
        <w:tc>
          <w:tcPr>
            <w:tcW w:w="1910" w:type="dxa"/>
            <w:shd w:val="clear" w:color="auto" w:fill="D9E2F3"/>
            <w:vAlign w:val="center"/>
          </w:tcPr>
          <w:p w14:paraId="76541476" w14:textId="77777777" w:rsidR="00990B14" w:rsidRDefault="00000000">
            <w:pPr>
              <w:spacing w:before="20" w:after="20"/>
              <w:jc w:val="both"/>
            </w:pPr>
            <w:r>
              <w:rPr>
                <w:sz w:val="18"/>
                <w:szCs w:val="18"/>
              </w:rPr>
              <w:t>Evaluación de viabilidad</w:t>
            </w:r>
          </w:p>
        </w:tc>
        <w:tc>
          <w:tcPr>
            <w:tcW w:w="1910" w:type="dxa"/>
            <w:shd w:val="clear" w:color="auto" w:fill="D9E2F3"/>
            <w:vAlign w:val="center"/>
          </w:tcPr>
          <w:p w14:paraId="12A1DC99" w14:textId="77777777" w:rsidR="00990B14" w:rsidRDefault="00000000">
            <w:pPr>
              <w:spacing w:before="20" w:after="20"/>
              <w:jc w:val="both"/>
            </w:pPr>
            <w:r>
              <w:rPr>
                <w:sz w:val="18"/>
                <w:szCs w:val="18"/>
              </w:rPr>
              <w:t>No evalúa la viabilidad de la idea.</w:t>
            </w:r>
          </w:p>
        </w:tc>
        <w:tc>
          <w:tcPr>
            <w:tcW w:w="1830" w:type="dxa"/>
            <w:shd w:val="clear" w:color="auto" w:fill="D9E2F3"/>
            <w:vAlign w:val="center"/>
          </w:tcPr>
          <w:p w14:paraId="66988902" w14:textId="77777777" w:rsidR="00990B14" w:rsidRDefault="00000000">
            <w:pPr>
              <w:spacing w:before="20" w:after="20"/>
              <w:jc w:val="both"/>
            </w:pPr>
            <w:r>
              <w:rPr>
                <w:sz w:val="18"/>
                <w:szCs w:val="18"/>
              </w:rPr>
              <w:t>Evalúa la viabilidad comercial, técnica y financiera inicial.</w:t>
            </w:r>
          </w:p>
        </w:tc>
        <w:tc>
          <w:tcPr>
            <w:tcW w:w="2120" w:type="dxa"/>
            <w:shd w:val="clear" w:color="auto" w:fill="D9E2F3"/>
            <w:vAlign w:val="center"/>
          </w:tcPr>
          <w:p w14:paraId="04CD111C" w14:textId="77777777" w:rsidR="00990B14" w:rsidRDefault="00000000">
            <w:pPr>
              <w:spacing w:before="20" w:after="20"/>
              <w:jc w:val="both"/>
            </w:pPr>
            <w:r>
              <w:rPr>
                <w:sz w:val="18"/>
                <w:szCs w:val="18"/>
              </w:rPr>
              <w:t>Justifica la selección con criterios ponderados.</w:t>
            </w:r>
          </w:p>
        </w:tc>
      </w:tr>
      <w:tr w:rsidR="00990B14" w14:paraId="629EA9C6" w14:textId="77777777">
        <w:trPr>
          <w:cantSplit/>
          <w:jc w:val="center"/>
        </w:trPr>
        <w:tc>
          <w:tcPr>
            <w:tcW w:w="1635" w:type="dxa"/>
            <w:vMerge/>
            <w:shd w:val="clear" w:color="auto" w:fill="4472C4"/>
            <w:vAlign w:val="center"/>
          </w:tcPr>
          <w:p w14:paraId="4A9FC9F2" w14:textId="77777777" w:rsidR="00990B14" w:rsidRDefault="00990B14">
            <w:pPr>
              <w:spacing w:before="20" w:after="20"/>
            </w:pPr>
          </w:p>
        </w:tc>
        <w:tc>
          <w:tcPr>
            <w:tcW w:w="1910" w:type="dxa"/>
            <w:shd w:val="clear" w:color="auto" w:fill="D9E2F3"/>
            <w:vAlign w:val="center"/>
          </w:tcPr>
          <w:p w14:paraId="6F131304" w14:textId="77777777" w:rsidR="00990B14" w:rsidRDefault="00000000">
            <w:pPr>
              <w:spacing w:before="20" w:after="20"/>
              <w:jc w:val="both"/>
            </w:pPr>
            <w:r>
              <w:rPr>
                <w:sz w:val="18"/>
                <w:szCs w:val="18"/>
              </w:rPr>
              <w:t>Trabajo en equipo</w:t>
            </w:r>
          </w:p>
        </w:tc>
        <w:tc>
          <w:tcPr>
            <w:tcW w:w="1910" w:type="dxa"/>
            <w:shd w:val="clear" w:color="auto" w:fill="D9E2F3"/>
            <w:vAlign w:val="center"/>
          </w:tcPr>
          <w:p w14:paraId="49CD72F1" w14:textId="77777777" w:rsidR="00990B14" w:rsidRDefault="00000000">
            <w:pPr>
              <w:spacing w:before="20" w:after="20"/>
              <w:jc w:val="both"/>
            </w:pPr>
            <w:r>
              <w:rPr>
                <w:sz w:val="18"/>
                <w:szCs w:val="18"/>
              </w:rPr>
              <w:t>No todos los integrantes participan.</w:t>
            </w:r>
          </w:p>
        </w:tc>
        <w:tc>
          <w:tcPr>
            <w:tcW w:w="1830" w:type="dxa"/>
            <w:shd w:val="clear" w:color="auto" w:fill="D9E2F3"/>
            <w:vAlign w:val="center"/>
          </w:tcPr>
          <w:p w14:paraId="69BF765E" w14:textId="77777777" w:rsidR="00990B14" w:rsidRDefault="00000000">
            <w:pPr>
              <w:spacing w:before="20" w:after="20"/>
              <w:jc w:val="both"/>
            </w:pPr>
            <w:r>
              <w:rPr>
                <w:sz w:val="18"/>
                <w:szCs w:val="18"/>
              </w:rPr>
              <w:t>Todos los integrantes aportan ideas y respetan las ajenas.</w:t>
            </w:r>
          </w:p>
        </w:tc>
        <w:tc>
          <w:tcPr>
            <w:tcW w:w="2120" w:type="dxa"/>
            <w:shd w:val="clear" w:color="auto" w:fill="D9E2F3"/>
            <w:vAlign w:val="center"/>
          </w:tcPr>
          <w:p w14:paraId="712CE6C9" w14:textId="77777777" w:rsidR="00990B14" w:rsidRDefault="00000000">
            <w:pPr>
              <w:spacing w:before="20" w:after="20"/>
              <w:jc w:val="both"/>
            </w:pPr>
            <w:r>
              <w:rPr>
                <w:sz w:val="18"/>
                <w:szCs w:val="18"/>
              </w:rPr>
              <w:t>El equipo construye acuerdos y distribuye responsabilidades.</w:t>
            </w:r>
          </w:p>
        </w:tc>
      </w:tr>
      <w:tr w:rsidR="00990B14" w14:paraId="69974689" w14:textId="77777777">
        <w:trPr>
          <w:cantSplit/>
          <w:jc w:val="center"/>
        </w:trPr>
        <w:tc>
          <w:tcPr>
            <w:tcW w:w="1635" w:type="dxa"/>
            <w:vMerge/>
            <w:shd w:val="clear" w:color="auto" w:fill="4472C4"/>
            <w:vAlign w:val="center"/>
          </w:tcPr>
          <w:p w14:paraId="7BE3FB66" w14:textId="77777777" w:rsidR="00990B14" w:rsidRDefault="00990B14">
            <w:pPr>
              <w:spacing w:before="20" w:after="20"/>
            </w:pPr>
          </w:p>
        </w:tc>
        <w:tc>
          <w:tcPr>
            <w:tcW w:w="5650" w:type="dxa"/>
            <w:gridSpan w:val="3"/>
            <w:shd w:val="clear" w:color="auto" w:fill="D9E2F3"/>
            <w:vAlign w:val="center"/>
          </w:tcPr>
          <w:p w14:paraId="74307C86" w14:textId="77777777" w:rsidR="00990B14" w:rsidRDefault="00000000">
            <w:pPr>
              <w:keepNext/>
              <w:spacing w:before="20" w:after="20"/>
              <w:jc w:val="both"/>
            </w:pPr>
            <w:r>
              <w:rPr>
                <w:b/>
                <w:bCs/>
                <w:i/>
                <w:iCs/>
                <w:sz w:val="18"/>
                <w:szCs w:val="18"/>
              </w:rPr>
              <w:t xml:space="preserve">Producto 20: </w:t>
            </w:r>
            <w:r>
              <w:rPr>
                <w:sz w:val="18"/>
                <w:szCs w:val="18"/>
              </w:rPr>
              <w:t>Lienzo del modelo de negocio con su validación</w:t>
            </w:r>
          </w:p>
        </w:tc>
        <w:tc>
          <w:tcPr>
            <w:tcW w:w="2120" w:type="dxa"/>
            <w:shd w:val="clear" w:color="auto" w:fill="D9E2F3"/>
            <w:vAlign w:val="center"/>
          </w:tcPr>
          <w:p w14:paraId="03262648" w14:textId="77777777" w:rsidR="00990B14" w:rsidRDefault="00000000">
            <w:pPr>
              <w:spacing w:before="20" w:after="20"/>
              <w:jc w:val="center"/>
            </w:pPr>
            <w:r>
              <w:rPr>
                <w:b/>
                <w:bCs/>
                <w:sz w:val="18"/>
                <w:szCs w:val="18"/>
              </w:rPr>
              <w:t>3%</w:t>
            </w:r>
          </w:p>
        </w:tc>
      </w:tr>
      <w:tr w:rsidR="00990B14" w14:paraId="0D9646D9" w14:textId="77777777">
        <w:trPr>
          <w:cantSplit/>
          <w:jc w:val="center"/>
        </w:trPr>
        <w:tc>
          <w:tcPr>
            <w:tcW w:w="1635" w:type="dxa"/>
            <w:vMerge/>
            <w:shd w:val="clear" w:color="auto" w:fill="4472C4"/>
            <w:vAlign w:val="center"/>
          </w:tcPr>
          <w:p w14:paraId="6B79E051" w14:textId="77777777" w:rsidR="00990B14" w:rsidRDefault="00990B14">
            <w:pPr>
              <w:spacing w:before="20" w:after="20"/>
            </w:pPr>
          </w:p>
        </w:tc>
        <w:tc>
          <w:tcPr>
            <w:tcW w:w="1910" w:type="dxa"/>
            <w:shd w:val="clear" w:color="auto" w:fill="4472C4"/>
            <w:vAlign w:val="center"/>
          </w:tcPr>
          <w:p w14:paraId="3D9F7F82"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2AEB7046" w14:textId="77777777" w:rsidR="00990B14" w:rsidRDefault="00000000">
            <w:pPr>
              <w:keepNext/>
              <w:spacing w:before="20" w:after="20"/>
              <w:jc w:val="center"/>
            </w:pPr>
            <w:r>
              <w:rPr>
                <w:b/>
                <w:bCs/>
                <w:i/>
                <w:iCs/>
                <w:color w:val="FFFFFF"/>
                <w:sz w:val="18"/>
                <w:szCs w:val="18"/>
              </w:rPr>
              <w:t>Insuficiente (1–50)</w:t>
            </w:r>
          </w:p>
        </w:tc>
        <w:tc>
          <w:tcPr>
            <w:tcW w:w="1830" w:type="dxa"/>
            <w:shd w:val="clear" w:color="auto" w:fill="4472C4"/>
            <w:vAlign w:val="center"/>
          </w:tcPr>
          <w:p w14:paraId="253F034D"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7D6E5A97" w14:textId="77777777" w:rsidR="00990B14" w:rsidRDefault="00000000">
            <w:pPr>
              <w:keepNext/>
              <w:spacing w:before="20" w:after="20"/>
              <w:jc w:val="center"/>
            </w:pPr>
            <w:r>
              <w:rPr>
                <w:b/>
                <w:bCs/>
                <w:i/>
                <w:iCs/>
                <w:color w:val="FFFFFF"/>
                <w:sz w:val="18"/>
                <w:szCs w:val="18"/>
              </w:rPr>
              <w:t>Destacado (81–100)</w:t>
            </w:r>
          </w:p>
        </w:tc>
      </w:tr>
      <w:tr w:rsidR="00990B14" w14:paraId="5F91FB88" w14:textId="77777777">
        <w:trPr>
          <w:cantSplit/>
          <w:jc w:val="center"/>
        </w:trPr>
        <w:tc>
          <w:tcPr>
            <w:tcW w:w="1635" w:type="dxa"/>
            <w:vMerge/>
            <w:shd w:val="clear" w:color="auto" w:fill="4472C4"/>
            <w:vAlign w:val="center"/>
          </w:tcPr>
          <w:p w14:paraId="5928AD33" w14:textId="77777777" w:rsidR="00990B14" w:rsidRDefault="00990B14">
            <w:pPr>
              <w:spacing w:before="20" w:after="20"/>
            </w:pPr>
          </w:p>
        </w:tc>
        <w:tc>
          <w:tcPr>
            <w:tcW w:w="1910" w:type="dxa"/>
            <w:shd w:val="clear" w:color="auto" w:fill="D9E2F3"/>
            <w:vAlign w:val="center"/>
          </w:tcPr>
          <w:p w14:paraId="08896A7A" w14:textId="77777777" w:rsidR="00990B14" w:rsidRDefault="00000000">
            <w:pPr>
              <w:spacing w:before="20" w:after="20"/>
              <w:jc w:val="both"/>
            </w:pPr>
            <w:r>
              <w:rPr>
                <w:sz w:val="18"/>
                <w:szCs w:val="18"/>
              </w:rPr>
              <w:t>Bloques del lienzo</w:t>
            </w:r>
          </w:p>
        </w:tc>
        <w:tc>
          <w:tcPr>
            <w:tcW w:w="1910" w:type="dxa"/>
            <w:shd w:val="clear" w:color="auto" w:fill="D9E2F3"/>
            <w:vAlign w:val="center"/>
          </w:tcPr>
          <w:p w14:paraId="1AC681D8" w14:textId="77777777" w:rsidR="00990B14" w:rsidRDefault="00000000">
            <w:pPr>
              <w:spacing w:before="20" w:after="20"/>
              <w:jc w:val="both"/>
            </w:pPr>
            <w:r>
              <w:rPr>
                <w:sz w:val="18"/>
                <w:szCs w:val="18"/>
              </w:rPr>
              <w:t>Omite bloques del lienzo.</w:t>
            </w:r>
          </w:p>
        </w:tc>
        <w:tc>
          <w:tcPr>
            <w:tcW w:w="1830" w:type="dxa"/>
            <w:shd w:val="clear" w:color="auto" w:fill="D9E2F3"/>
            <w:vAlign w:val="center"/>
          </w:tcPr>
          <w:p w14:paraId="4C7005CC" w14:textId="77777777" w:rsidR="00990B14" w:rsidRDefault="00000000">
            <w:pPr>
              <w:spacing w:before="20" w:after="20"/>
              <w:jc w:val="both"/>
            </w:pPr>
            <w:r>
              <w:rPr>
                <w:sz w:val="18"/>
                <w:szCs w:val="18"/>
              </w:rPr>
              <w:t>Completa los nueve bloques de forma coherente.</w:t>
            </w:r>
          </w:p>
        </w:tc>
        <w:tc>
          <w:tcPr>
            <w:tcW w:w="2120" w:type="dxa"/>
            <w:shd w:val="clear" w:color="auto" w:fill="D9E2F3"/>
            <w:vAlign w:val="center"/>
          </w:tcPr>
          <w:p w14:paraId="009B4425" w14:textId="77777777" w:rsidR="00990B14" w:rsidRDefault="00000000">
            <w:pPr>
              <w:spacing w:before="20" w:after="20"/>
              <w:jc w:val="both"/>
            </w:pPr>
            <w:r>
              <w:rPr>
                <w:sz w:val="18"/>
                <w:szCs w:val="18"/>
              </w:rPr>
              <w:t>Destaca una propuesta de valor diferenciada.</w:t>
            </w:r>
          </w:p>
        </w:tc>
      </w:tr>
      <w:tr w:rsidR="00990B14" w14:paraId="40925461" w14:textId="77777777">
        <w:trPr>
          <w:cantSplit/>
          <w:jc w:val="center"/>
        </w:trPr>
        <w:tc>
          <w:tcPr>
            <w:tcW w:w="1635" w:type="dxa"/>
            <w:vMerge/>
            <w:shd w:val="clear" w:color="auto" w:fill="4472C4"/>
            <w:vAlign w:val="center"/>
          </w:tcPr>
          <w:p w14:paraId="7E6B842B" w14:textId="77777777" w:rsidR="00990B14" w:rsidRDefault="00990B14">
            <w:pPr>
              <w:spacing w:before="20" w:after="20"/>
            </w:pPr>
          </w:p>
        </w:tc>
        <w:tc>
          <w:tcPr>
            <w:tcW w:w="1910" w:type="dxa"/>
            <w:shd w:val="clear" w:color="auto" w:fill="D9E2F3"/>
            <w:vAlign w:val="center"/>
          </w:tcPr>
          <w:p w14:paraId="7DBA6346" w14:textId="77777777" w:rsidR="00990B14" w:rsidRDefault="00000000">
            <w:pPr>
              <w:spacing w:before="20" w:after="20"/>
              <w:jc w:val="both"/>
            </w:pPr>
            <w:r>
              <w:rPr>
                <w:sz w:val="18"/>
                <w:szCs w:val="18"/>
              </w:rPr>
              <w:t>Validación de hipótesis</w:t>
            </w:r>
          </w:p>
        </w:tc>
        <w:tc>
          <w:tcPr>
            <w:tcW w:w="1910" w:type="dxa"/>
            <w:shd w:val="clear" w:color="auto" w:fill="D9E2F3"/>
            <w:vAlign w:val="center"/>
          </w:tcPr>
          <w:p w14:paraId="727F65CB" w14:textId="77777777" w:rsidR="00990B14" w:rsidRDefault="00000000">
            <w:pPr>
              <w:spacing w:before="20" w:after="20"/>
              <w:jc w:val="both"/>
            </w:pPr>
            <w:r>
              <w:rPr>
                <w:sz w:val="18"/>
                <w:szCs w:val="18"/>
              </w:rPr>
              <w:t>No valida las hipótesis de valor.</w:t>
            </w:r>
          </w:p>
        </w:tc>
        <w:tc>
          <w:tcPr>
            <w:tcW w:w="1830" w:type="dxa"/>
            <w:shd w:val="clear" w:color="auto" w:fill="D9E2F3"/>
            <w:vAlign w:val="center"/>
          </w:tcPr>
          <w:p w14:paraId="1C711635" w14:textId="77777777" w:rsidR="00990B14" w:rsidRDefault="00000000">
            <w:pPr>
              <w:spacing w:before="20" w:after="20"/>
              <w:jc w:val="both"/>
            </w:pPr>
            <w:r>
              <w:rPr>
                <w:sz w:val="18"/>
                <w:szCs w:val="18"/>
              </w:rPr>
              <w:t>Valida las hipótesis con evidencia del mercado.</w:t>
            </w:r>
          </w:p>
        </w:tc>
        <w:tc>
          <w:tcPr>
            <w:tcW w:w="2120" w:type="dxa"/>
            <w:shd w:val="clear" w:color="auto" w:fill="D9E2F3"/>
            <w:vAlign w:val="center"/>
          </w:tcPr>
          <w:p w14:paraId="396DB3AA" w14:textId="77777777" w:rsidR="00990B14" w:rsidRDefault="00000000">
            <w:pPr>
              <w:spacing w:before="20" w:after="20"/>
              <w:jc w:val="both"/>
            </w:pPr>
            <w:r>
              <w:rPr>
                <w:sz w:val="18"/>
                <w:szCs w:val="18"/>
              </w:rPr>
              <w:t>Ajusta el modelo según los resultados de la validación.</w:t>
            </w:r>
          </w:p>
        </w:tc>
      </w:tr>
      <w:tr w:rsidR="00990B14" w14:paraId="797CE45D" w14:textId="77777777">
        <w:trPr>
          <w:cantSplit/>
          <w:jc w:val="center"/>
        </w:trPr>
        <w:tc>
          <w:tcPr>
            <w:tcW w:w="1635" w:type="dxa"/>
            <w:vMerge/>
            <w:shd w:val="clear" w:color="auto" w:fill="4472C4"/>
            <w:vAlign w:val="center"/>
          </w:tcPr>
          <w:p w14:paraId="48BBDBFD" w14:textId="77777777" w:rsidR="00990B14" w:rsidRDefault="00990B14">
            <w:pPr>
              <w:spacing w:before="20" w:after="20"/>
            </w:pPr>
          </w:p>
        </w:tc>
        <w:tc>
          <w:tcPr>
            <w:tcW w:w="1910" w:type="dxa"/>
            <w:shd w:val="clear" w:color="auto" w:fill="D9E2F3"/>
            <w:vAlign w:val="center"/>
          </w:tcPr>
          <w:p w14:paraId="69F34F13" w14:textId="77777777" w:rsidR="00990B14" w:rsidRDefault="00000000">
            <w:pPr>
              <w:spacing w:before="20" w:after="20"/>
              <w:jc w:val="both"/>
            </w:pPr>
            <w:r>
              <w:rPr>
                <w:sz w:val="18"/>
                <w:szCs w:val="18"/>
              </w:rPr>
              <w:t>Innovación y sostenibilidad</w:t>
            </w:r>
          </w:p>
        </w:tc>
        <w:tc>
          <w:tcPr>
            <w:tcW w:w="1910" w:type="dxa"/>
            <w:shd w:val="clear" w:color="auto" w:fill="D9E2F3"/>
            <w:vAlign w:val="center"/>
          </w:tcPr>
          <w:p w14:paraId="362D87C2" w14:textId="77777777" w:rsidR="00990B14" w:rsidRDefault="00000000">
            <w:pPr>
              <w:spacing w:before="20" w:after="20"/>
              <w:jc w:val="both"/>
            </w:pPr>
            <w:r>
              <w:rPr>
                <w:sz w:val="18"/>
                <w:szCs w:val="18"/>
              </w:rPr>
              <w:t>El modelo no presenta elementos innovadores.</w:t>
            </w:r>
          </w:p>
        </w:tc>
        <w:tc>
          <w:tcPr>
            <w:tcW w:w="1830" w:type="dxa"/>
            <w:shd w:val="clear" w:color="auto" w:fill="D9E2F3"/>
            <w:vAlign w:val="center"/>
          </w:tcPr>
          <w:p w14:paraId="0BBE00FC" w14:textId="77777777" w:rsidR="00990B14" w:rsidRDefault="00000000">
            <w:pPr>
              <w:spacing w:before="20" w:after="20"/>
              <w:jc w:val="both"/>
            </w:pPr>
            <w:r>
              <w:rPr>
                <w:sz w:val="18"/>
                <w:szCs w:val="18"/>
              </w:rPr>
              <w:t>Identifica los elementos innovadores y la sostenibilidad del modelo.</w:t>
            </w:r>
          </w:p>
        </w:tc>
        <w:tc>
          <w:tcPr>
            <w:tcW w:w="2120" w:type="dxa"/>
            <w:shd w:val="clear" w:color="auto" w:fill="D9E2F3"/>
            <w:vAlign w:val="center"/>
          </w:tcPr>
          <w:p w14:paraId="13387F6B" w14:textId="77777777" w:rsidR="00990B14" w:rsidRDefault="00000000">
            <w:pPr>
              <w:spacing w:before="20" w:after="20"/>
              <w:jc w:val="both"/>
            </w:pPr>
            <w:r>
              <w:rPr>
                <w:sz w:val="18"/>
                <w:szCs w:val="18"/>
              </w:rPr>
              <w:t>Evalúa la escalabilidad del modelo.</w:t>
            </w:r>
          </w:p>
        </w:tc>
      </w:tr>
      <w:tr w:rsidR="00990B14" w14:paraId="27223CF9" w14:textId="77777777">
        <w:trPr>
          <w:cantSplit/>
          <w:jc w:val="center"/>
        </w:trPr>
        <w:tc>
          <w:tcPr>
            <w:tcW w:w="1635" w:type="dxa"/>
            <w:vMerge/>
            <w:shd w:val="clear" w:color="auto" w:fill="4472C4"/>
            <w:vAlign w:val="center"/>
          </w:tcPr>
          <w:p w14:paraId="4751C257" w14:textId="77777777" w:rsidR="00990B14" w:rsidRDefault="00990B14">
            <w:pPr>
              <w:spacing w:before="20" w:after="20"/>
            </w:pPr>
          </w:p>
        </w:tc>
        <w:tc>
          <w:tcPr>
            <w:tcW w:w="5650" w:type="dxa"/>
            <w:gridSpan w:val="3"/>
            <w:shd w:val="clear" w:color="auto" w:fill="D9E2F3"/>
            <w:vAlign w:val="center"/>
          </w:tcPr>
          <w:p w14:paraId="26995581" w14:textId="77777777" w:rsidR="00990B14" w:rsidRDefault="00000000">
            <w:pPr>
              <w:keepNext/>
              <w:spacing w:before="20" w:after="20"/>
              <w:jc w:val="both"/>
            </w:pPr>
            <w:r>
              <w:rPr>
                <w:b/>
                <w:bCs/>
                <w:i/>
                <w:iCs/>
                <w:sz w:val="18"/>
                <w:szCs w:val="18"/>
              </w:rPr>
              <w:t xml:space="preserve">Producto 21: </w:t>
            </w:r>
            <w:r>
              <w:rPr>
                <w:sz w:val="18"/>
                <w:szCs w:val="18"/>
              </w:rPr>
              <w:t>Evaluación del uso responsable de la inteligencia artificial</w:t>
            </w:r>
          </w:p>
        </w:tc>
        <w:tc>
          <w:tcPr>
            <w:tcW w:w="2120" w:type="dxa"/>
            <w:shd w:val="clear" w:color="auto" w:fill="D9E2F3"/>
            <w:vAlign w:val="center"/>
          </w:tcPr>
          <w:p w14:paraId="6371FDCB" w14:textId="77777777" w:rsidR="00990B14" w:rsidRDefault="00000000">
            <w:pPr>
              <w:spacing w:before="20" w:after="20"/>
              <w:jc w:val="center"/>
            </w:pPr>
            <w:r>
              <w:rPr>
                <w:b/>
                <w:bCs/>
                <w:sz w:val="18"/>
                <w:szCs w:val="18"/>
              </w:rPr>
              <w:t>3%</w:t>
            </w:r>
          </w:p>
        </w:tc>
      </w:tr>
      <w:tr w:rsidR="00990B14" w14:paraId="4F8192B3" w14:textId="77777777">
        <w:trPr>
          <w:cantSplit/>
          <w:jc w:val="center"/>
        </w:trPr>
        <w:tc>
          <w:tcPr>
            <w:tcW w:w="1635" w:type="dxa"/>
            <w:vMerge/>
            <w:shd w:val="clear" w:color="auto" w:fill="4472C4"/>
            <w:vAlign w:val="center"/>
          </w:tcPr>
          <w:p w14:paraId="6789E955" w14:textId="77777777" w:rsidR="00990B14" w:rsidRDefault="00990B14">
            <w:pPr>
              <w:spacing w:before="20" w:after="20"/>
            </w:pPr>
          </w:p>
        </w:tc>
        <w:tc>
          <w:tcPr>
            <w:tcW w:w="1910" w:type="dxa"/>
            <w:shd w:val="clear" w:color="auto" w:fill="4472C4"/>
            <w:vAlign w:val="center"/>
          </w:tcPr>
          <w:p w14:paraId="30C949A8"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351B7B76" w14:textId="77777777" w:rsidR="00990B14" w:rsidRDefault="00000000">
            <w:pPr>
              <w:keepNext/>
              <w:spacing w:before="20" w:after="20"/>
              <w:jc w:val="center"/>
            </w:pPr>
            <w:r>
              <w:rPr>
                <w:b/>
                <w:bCs/>
                <w:i/>
                <w:iCs/>
                <w:color w:val="FFFFFF"/>
                <w:sz w:val="18"/>
                <w:szCs w:val="18"/>
              </w:rPr>
              <w:t>Insuficiente (1–50)</w:t>
            </w:r>
          </w:p>
        </w:tc>
        <w:tc>
          <w:tcPr>
            <w:tcW w:w="1830" w:type="dxa"/>
            <w:shd w:val="clear" w:color="auto" w:fill="4472C4"/>
            <w:vAlign w:val="center"/>
          </w:tcPr>
          <w:p w14:paraId="7A5C3801"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3EDD6BE9" w14:textId="77777777" w:rsidR="00990B14" w:rsidRDefault="00000000">
            <w:pPr>
              <w:keepNext/>
              <w:spacing w:before="20" w:after="20"/>
              <w:jc w:val="center"/>
            </w:pPr>
            <w:r>
              <w:rPr>
                <w:b/>
                <w:bCs/>
                <w:i/>
                <w:iCs/>
                <w:color w:val="FFFFFF"/>
                <w:sz w:val="18"/>
                <w:szCs w:val="18"/>
              </w:rPr>
              <w:t>Destacado (81–100)</w:t>
            </w:r>
          </w:p>
        </w:tc>
      </w:tr>
      <w:tr w:rsidR="00990B14" w14:paraId="51949CC1" w14:textId="77777777">
        <w:trPr>
          <w:cantSplit/>
          <w:jc w:val="center"/>
        </w:trPr>
        <w:tc>
          <w:tcPr>
            <w:tcW w:w="1635" w:type="dxa"/>
            <w:vMerge/>
            <w:shd w:val="clear" w:color="auto" w:fill="4472C4"/>
            <w:vAlign w:val="center"/>
          </w:tcPr>
          <w:p w14:paraId="38E5BAB0" w14:textId="77777777" w:rsidR="00990B14" w:rsidRDefault="00990B14">
            <w:pPr>
              <w:spacing w:before="20" w:after="20"/>
            </w:pPr>
          </w:p>
        </w:tc>
        <w:tc>
          <w:tcPr>
            <w:tcW w:w="1910" w:type="dxa"/>
            <w:shd w:val="clear" w:color="auto" w:fill="D9E2F3"/>
            <w:vAlign w:val="center"/>
          </w:tcPr>
          <w:p w14:paraId="6037CDB9" w14:textId="77777777" w:rsidR="00990B14" w:rsidRDefault="00000000">
            <w:pPr>
              <w:spacing w:before="20" w:after="20"/>
              <w:jc w:val="both"/>
            </w:pPr>
            <w:r>
              <w:rPr>
                <w:sz w:val="18"/>
                <w:szCs w:val="18"/>
              </w:rPr>
              <w:t>Oportunidades y riesgos</w:t>
            </w:r>
          </w:p>
        </w:tc>
        <w:tc>
          <w:tcPr>
            <w:tcW w:w="1910" w:type="dxa"/>
            <w:shd w:val="clear" w:color="auto" w:fill="D9E2F3"/>
            <w:vAlign w:val="center"/>
          </w:tcPr>
          <w:p w14:paraId="57DC1F9A" w14:textId="77777777" w:rsidR="00990B14" w:rsidRDefault="00000000">
            <w:pPr>
              <w:spacing w:before="20" w:after="20"/>
              <w:jc w:val="both"/>
            </w:pPr>
            <w:r>
              <w:rPr>
                <w:sz w:val="18"/>
                <w:szCs w:val="18"/>
              </w:rPr>
              <w:t>No identifica oportunidades ni riesgos.</w:t>
            </w:r>
          </w:p>
        </w:tc>
        <w:tc>
          <w:tcPr>
            <w:tcW w:w="1830" w:type="dxa"/>
            <w:shd w:val="clear" w:color="auto" w:fill="D9E2F3"/>
            <w:vAlign w:val="center"/>
          </w:tcPr>
          <w:p w14:paraId="32B53847" w14:textId="77777777" w:rsidR="00990B14" w:rsidRDefault="00000000">
            <w:pPr>
              <w:spacing w:before="20" w:after="20"/>
              <w:jc w:val="both"/>
            </w:pPr>
            <w:r>
              <w:rPr>
                <w:sz w:val="18"/>
                <w:szCs w:val="18"/>
              </w:rPr>
              <w:t>Identifica las oportunidades y los riesgos del uso de la inteligencia artificial en el caso.</w:t>
            </w:r>
          </w:p>
        </w:tc>
        <w:tc>
          <w:tcPr>
            <w:tcW w:w="2120" w:type="dxa"/>
            <w:shd w:val="clear" w:color="auto" w:fill="D9E2F3"/>
            <w:vAlign w:val="center"/>
          </w:tcPr>
          <w:p w14:paraId="6D3CD3C2" w14:textId="77777777" w:rsidR="00990B14" w:rsidRDefault="00000000">
            <w:pPr>
              <w:spacing w:before="20" w:after="20"/>
              <w:jc w:val="both"/>
            </w:pPr>
            <w:r>
              <w:rPr>
                <w:sz w:val="18"/>
                <w:szCs w:val="18"/>
              </w:rPr>
              <w:t>Pondera oportunidades y riesgos con criterios de gobernanza de datos.</w:t>
            </w:r>
          </w:p>
        </w:tc>
      </w:tr>
      <w:tr w:rsidR="00990B14" w14:paraId="4CB91199" w14:textId="77777777">
        <w:trPr>
          <w:cantSplit/>
          <w:jc w:val="center"/>
        </w:trPr>
        <w:tc>
          <w:tcPr>
            <w:tcW w:w="1635" w:type="dxa"/>
            <w:vMerge/>
            <w:shd w:val="clear" w:color="auto" w:fill="4472C4"/>
            <w:vAlign w:val="center"/>
          </w:tcPr>
          <w:p w14:paraId="4D4E8BE1" w14:textId="77777777" w:rsidR="00990B14" w:rsidRDefault="00990B14">
            <w:pPr>
              <w:spacing w:before="20" w:after="20"/>
            </w:pPr>
          </w:p>
        </w:tc>
        <w:tc>
          <w:tcPr>
            <w:tcW w:w="1910" w:type="dxa"/>
            <w:shd w:val="clear" w:color="auto" w:fill="D9E2F3"/>
            <w:vAlign w:val="center"/>
          </w:tcPr>
          <w:p w14:paraId="59590291" w14:textId="77777777" w:rsidR="00990B14" w:rsidRDefault="00000000">
            <w:pPr>
              <w:spacing w:before="20" w:after="20"/>
              <w:jc w:val="both"/>
            </w:pPr>
            <w:r>
              <w:rPr>
                <w:sz w:val="18"/>
                <w:szCs w:val="18"/>
              </w:rPr>
              <w:t>Verificación de resultados</w:t>
            </w:r>
          </w:p>
        </w:tc>
        <w:tc>
          <w:tcPr>
            <w:tcW w:w="1910" w:type="dxa"/>
            <w:shd w:val="clear" w:color="auto" w:fill="D9E2F3"/>
            <w:vAlign w:val="center"/>
          </w:tcPr>
          <w:p w14:paraId="46C4479F" w14:textId="77777777" w:rsidR="00990B14" w:rsidRDefault="00000000">
            <w:pPr>
              <w:spacing w:before="20" w:after="20"/>
              <w:jc w:val="both"/>
            </w:pPr>
            <w:r>
              <w:rPr>
                <w:sz w:val="18"/>
                <w:szCs w:val="18"/>
              </w:rPr>
              <w:t>Acepta los resultados de la inteligencia artificial sin verificarlos.</w:t>
            </w:r>
          </w:p>
        </w:tc>
        <w:tc>
          <w:tcPr>
            <w:tcW w:w="1830" w:type="dxa"/>
            <w:shd w:val="clear" w:color="auto" w:fill="D9E2F3"/>
            <w:vAlign w:val="center"/>
          </w:tcPr>
          <w:p w14:paraId="72FC7B85" w14:textId="77777777" w:rsidR="00990B14" w:rsidRDefault="00000000">
            <w:pPr>
              <w:spacing w:before="20" w:after="20"/>
              <w:jc w:val="both"/>
            </w:pPr>
            <w:r>
              <w:rPr>
                <w:sz w:val="18"/>
                <w:szCs w:val="18"/>
              </w:rPr>
              <w:t>Verifica los resultados con fuentes confiables.</w:t>
            </w:r>
          </w:p>
        </w:tc>
        <w:tc>
          <w:tcPr>
            <w:tcW w:w="2120" w:type="dxa"/>
            <w:shd w:val="clear" w:color="auto" w:fill="D9E2F3"/>
            <w:vAlign w:val="center"/>
          </w:tcPr>
          <w:p w14:paraId="5B1B9892" w14:textId="77777777" w:rsidR="00990B14" w:rsidRDefault="00000000">
            <w:pPr>
              <w:spacing w:before="20" w:after="20"/>
              <w:jc w:val="both"/>
            </w:pPr>
            <w:r>
              <w:rPr>
                <w:sz w:val="18"/>
                <w:szCs w:val="18"/>
              </w:rPr>
              <w:t>Documenta el proceso de verificación y sus hallazgos.</w:t>
            </w:r>
          </w:p>
        </w:tc>
      </w:tr>
      <w:tr w:rsidR="00990B14" w14:paraId="0CA69FC0" w14:textId="77777777">
        <w:trPr>
          <w:cantSplit/>
          <w:jc w:val="center"/>
        </w:trPr>
        <w:tc>
          <w:tcPr>
            <w:tcW w:w="1635" w:type="dxa"/>
            <w:vMerge/>
            <w:shd w:val="clear" w:color="auto" w:fill="4472C4"/>
            <w:vAlign w:val="center"/>
          </w:tcPr>
          <w:p w14:paraId="72E4FE62" w14:textId="77777777" w:rsidR="00990B14" w:rsidRDefault="00990B14">
            <w:pPr>
              <w:spacing w:before="20" w:after="20"/>
            </w:pPr>
          </w:p>
        </w:tc>
        <w:tc>
          <w:tcPr>
            <w:tcW w:w="1910" w:type="dxa"/>
            <w:shd w:val="clear" w:color="auto" w:fill="D9E2F3"/>
            <w:vAlign w:val="center"/>
          </w:tcPr>
          <w:p w14:paraId="55FFF3B4" w14:textId="77777777" w:rsidR="00990B14" w:rsidRDefault="00000000">
            <w:pPr>
              <w:spacing w:before="20" w:after="20"/>
              <w:jc w:val="both"/>
            </w:pPr>
            <w:r>
              <w:rPr>
                <w:sz w:val="18"/>
                <w:szCs w:val="18"/>
              </w:rPr>
              <w:t>Efecto en las personas</w:t>
            </w:r>
          </w:p>
        </w:tc>
        <w:tc>
          <w:tcPr>
            <w:tcW w:w="1910" w:type="dxa"/>
            <w:shd w:val="clear" w:color="auto" w:fill="D9E2F3"/>
            <w:vAlign w:val="center"/>
          </w:tcPr>
          <w:p w14:paraId="57353534" w14:textId="77777777" w:rsidR="00990B14" w:rsidRDefault="00000000">
            <w:pPr>
              <w:spacing w:before="20" w:after="20"/>
              <w:jc w:val="both"/>
            </w:pPr>
            <w:r>
              <w:rPr>
                <w:sz w:val="18"/>
                <w:szCs w:val="18"/>
              </w:rPr>
              <w:t>No considera el efecto en las personas.</w:t>
            </w:r>
          </w:p>
        </w:tc>
        <w:tc>
          <w:tcPr>
            <w:tcW w:w="1830" w:type="dxa"/>
            <w:shd w:val="clear" w:color="auto" w:fill="D9E2F3"/>
            <w:vAlign w:val="center"/>
          </w:tcPr>
          <w:p w14:paraId="2F46EC8D" w14:textId="77777777" w:rsidR="00990B14" w:rsidRDefault="00000000">
            <w:pPr>
              <w:spacing w:before="20" w:after="20"/>
              <w:jc w:val="both"/>
            </w:pPr>
            <w:r>
              <w:rPr>
                <w:sz w:val="18"/>
                <w:szCs w:val="18"/>
              </w:rPr>
              <w:t>Analiza el efecto en las competencias y el empleo del personal.</w:t>
            </w:r>
          </w:p>
        </w:tc>
        <w:tc>
          <w:tcPr>
            <w:tcW w:w="2120" w:type="dxa"/>
            <w:shd w:val="clear" w:color="auto" w:fill="D9E2F3"/>
            <w:vAlign w:val="center"/>
          </w:tcPr>
          <w:p w14:paraId="4EED9CD6" w14:textId="77777777" w:rsidR="00990B14" w:rsidRDefault="00000000">
            <w:pPr>
              <w:spacing w:before="20" w:after="20"/>
              <w:jc w:val="both"/>
            </w:pPr>
            <w:r>
              <w:rPr>
                <w:sz w:val="18"/>
                <w:szCs w:val="18"/>
              </w:rPr>
              <w:t>Propone acciones de desarrollo del personal con responsabilidad profesional.</w:t>
            </w:r>
          </w:p>
        </w:tc>
      </w:tr>
      <w:tr w:rsidR="00990B14" w14:paraId="02F4754F" w14:textId="77777777">
        <w:trPr>
          <w:cantSplit/>
          <w:jc w:val="center"/>
        </w:trPr>
        <w:tc>
          <w:tcPr>
            <w:tcW w:w="1635" w:type="dxa"/>
            <w:vMerge/>
            <w:shd w:val="clear" w:color="auto" w:fill="4472C4"/>
            <w:vAlign w:val="center"/>
          </w:tcPr>
          <w:p w14:paraId="6F4B52B4" w14:textId="77777777" w:rsidR="00990B14" w:rsidRDefault="00990B14">
            <w:pPr>
              <w:spacing w:before="20" w:after="20"/>
            </w:pPr>
          </w:p>
        </w:tc>
        <w:tc>
          <w:tcPr>
            <w:tcW w:w="5650" w:type="dxa"/>
            <w:gridSpan w:val="3"/>
            <w:shd w:val="clear" w:color="auto" w:fill="D9E2F3"/>
            <w:vAlign w:val="center"/>
          </w:tcPr>
          <w:p w14:paraId="37B0A7F2" w14:textId="77777777" w:rsidR="00990B14" w:rsidRDefault="00000000">
            <w:pPr>
              <w:keepNext/>
              <w:spacing w:before="20" w:after="20"/>
              <w:jc w:val="both"/>
            </w:pPr>
            <w:r>
              <w:rPr>
                <w:b/>
                <w:bCs/>
                <w:i/>
                <w:iCs/>
                <w:sz w:val="18"/>
                <w:szCs w:val="18"/>
              </w:rPr>
              <w:t xml:space="preserve">Producto 22: </w:t>
            </w:r>
            <w:r>
              <w:rPr>
                <w:sz w:val="18"/>
                <w:szCs w:val="18"/>
              </w:rPr>
              <w:t>Propuesta de automatización de un proceso</w:t>
            </w:r>
          </w:p>
        </w:tc>
        <w:tc>
          <w:tcPr>
            <w:tcW w:w="2120" w:type="dxa"/>
            <w:shd w:val="clear" w:color="auto" w:fill="D9E2F3"/>
            <w:vAlign w:val="center"/>
          </w:tcPr>
          <w:p w14:paraId="0F27BFC4" w14:textId="77777777" w:rsidR="00990B14" w:rsidRDefault="00000000">
            <w:pPr>
              <w:spacing w:before="20" w:after="20"/>
              <w:jc w:val="center"/>
            </w:pPr>
            <w:r>
              <w:rPr>
                <w:b/>
                <w:bCs/>
                <w:sz w:val="18"/>
                <w:szCs w:val="18"/>
              </w:rPr>
              <w:t>3%</w:t>
            </w:r>
          </w:p>
        </w:tc>
      </w:tr>
      <w:tr w:rsidR="00990B14" w14:paraId="712463A8" w14:textId="77777777">
        <w:trPr>
          <w:cantSplit/>
          <w:jc w:val="center"/>
        </w:trPr>
        <w:tc>
          <w:tcPr>
            <w:tcW w:w="1635" w:type="dxa"/>
            <w:vMerge/>
            <w:shd w:val="clear" w:color="auto" w:fill="4472C4"/>
            <w:vAlign w:val="center"/>
          </w:tcPr>
          <w:p w14:paraId="77450687" w14:textId="77777777" w:rsidR="00990B14" w:rsidRDefault="00990B14">
            <w:pPr>
              <w:spacing w:before="20" w:after="20"/>
            </w:pPr>
          </w:p>
        </w:tc>
        <w:tc>
          <w:tcPr>
            <w:tcW w:w="1910" w:type="dxa"/>
            <w:shd w:val="clear" w:color="auto" w:fill="4472C4"/>
            <w:vAlign w:val="center"/>
          </w:tcPr>
          <w:p w14:paraId="2E18570B"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76CFFE0F" w14:textId="77777777" w:rsidR="00990B14" w:rsidRDefault="00000000">
            <w:pPr>
              <w:keepNext/>
              <w:spacing w:before="20" w:after="20"/>
              <w:jc w:val="center"/>
            </w:pPr>
            <w:r>
              <w:rPr>
                <w:b/>
                <w:bCs/>
                <w:i/>
                <w:iCs/>
                <w:color w:val="FFFFFF"/>
                <w:sz w:val="18"/>
                <w:szCs w:val="18"/>
              </w:rPr>
              <w:t>Insuficiente (1–50)</w:t>
            </w:r>
          </w:p>
        </w:tc>
        <w:tc>
          <w:tcPr>
            <w:tcW w:w="1830" w:type="dxa"/>
            <w:shd w:val="clear" w:color="auto" w:fill="4472C4"/>
            <w:vAlign w:val="center"/>
          </w:tcPr>
          <w:p w14:paraId="24528714"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0D14C709" w14:textId="77777777" w:rsidR="00990B14" w:rsidRDefault="00000000">
            <w:pPr>
              <w:keepNext/>
              <w:spacing w:before="20" w:after="20"/>
              <w:jc w:val="center"/>
            </w:pPr>
            <w:r>
              <w:rPr>
                <w:b/>
                <w:bCs/>
                <w:i/>
                <w:iCs/>
                <w:color w:val="FFFFFF"/>
                <w:sz w:val="18"/>
                <w:szCs w:val="18"/>
              </w:rPr>
              <w:t>Destacado (81–100)</w:t>
            </w:r>
          </w:p>
        </w:tc>
      </w:tr>
      <w:tr w:rsidR="00990B14" w14:paraId="0269F9D4" w14:textId="77777777">
        <w:trPr>
          <w:cantSplit/>
          <w:jc w:val="center"/>
        </w:trPr>
        <w:tc>
          <w:tcPr>
            <w:tcW w:w="1635" w:type="dxa"/>
            <w:vMerge/>
            <w:shd w:val="clear" w:color="auto" w:fill="4472C4"/>
            <w:vAlign w:val="center"/>
          </w:tcPr>
          <w:p w14:paraId="1C101780" w14:textId="77777777" w:rsidR="00990B14" w:rsidRDefault="00990B14">
            <w:pPr>
              <w:spacing w:before="20" w:after="20"/>
            </w:pPr>
          </w:p>
        </w:tc>
        <w:tc>
          <w:tcPr>
            <w:tcW w:w="1910" w:type="dxa"/>
            <w:shd w:val="clear" w:color="auto" w:fill="D9E2F3"/>
            <w:vAlign w:val="center"/>
          </w:tcPr>
          <w:p w14:paraId="30623988" w14:textId="77777777" w:rsidR="00990B14" w:rsidRDefault="00000000">
            <w:pPr>
              <w:spacing w:before="20" w:after="20"/>
              <w:jc w:val="both"/>
            </w:pPr>
            <w:r>
              <w:rPr>
                <w:sz w:val="18"/>
                <w:szCs w:val="18"/>
              </w:rPr>
              <w:t>Descripción del proceso</w:t>
            </w:r>
          </w:p>
        </w:tc>
        <w:tc>
          <w:tcPr>
            <w:tcW w:w="1910" w:type="dxa"/>
            <w:shd w:val="clear" w:color="auto" w:fill="D9E2F3"/>
            <w:vAlign w:val="center"/>
          </w:tcPr>
          <w:p w14:paraId="4345DA71" w14:textId="77777777" w:rsidR="00990B14" w:rsidRDefault="00000000">
            <w:pPr>
              <w:spacing w:before="20" w:after="20"/>
              <w:jc w:val="both"/>
            </w:pPr>
            <w:r>
              <w:rPr>
                <w:sz w:val="18"/>
                <w:szCs w:val="18"/>
              </w:rPr>
              <w:t>No describe el proceso actual.</w:t>
            </w:r>
          </w:p>
        </w:tc>
        <w:tc>
          <w:tcPr>
            <w:tcW w:w="1830" w:type="dxa"/>
            <w:shd w:val="clear" w:color="auto" w:fill="D9E2F3"/>
            <w:vAlign w:val="center"/>
          </w:tcPr>
          <w:p w14:paraId="69D9F831" w14:textId="77777777" w:rsidR="00990B14" w:rsidRDefault="00000000">
            <w:pPr>
              <w:spacing w:before="20" w:after="20"/>
              <w:jc w:val="both"/>
            </w:pPr>
            <w:r>
              <w:rPr>
                <w:sz w:val="18"/>
                <w:szCs w:val="18"/>
              </w:rPr>
              <w:t>Describe el proceso actual y sus problemas.</w:t>
            </w:r>
          </w:p>
        </w:tc>
        <w:tc>
          <w:tcPr>
            <w:tcW w:w="2120" w:type="dxa"/>
            <w:shd w:val="clear" w:color="auto" w:fill="D9E2F3"/>
            <w:vAlign w:val="center"/>
          </w:tcPr>
          <w:p w14:paraId="6A135327" w14:textId="77777777" w:rsidR="00990B14" w:rsidRDefault="00000000">
            <w:pPr>
              <w:spacing w:before="20" w:after="20"/>
              <w:jc w:val="both"/>
            </w:pPr>
            <w:r>
              <w:rPr>
                <w:sz w:val="18"/>
                <w:szCs w:val="18"/>
              </w:rPr>
              <w:t>Cuantifica los tiempos y costos del proceso actual.</w:t>
            </w:r>
          </w:p>
        </w:tc>
      </w:tr>
      <w:tr w:rsidR="00990B14" w14:paraId="36D0353C" w14:textId="77777777">
        <w:trPr>
          <w:cantSplit/>
          <w:jc w:val="center"/>
        </w:trPr>
        <w:tc>
          <w:tcPr>
            <w:tcW w:w="1635" w:type="dxa"/>
            <w:vMerge/>
            <w:shd w:val="clear" w:color="auto" w:fill="4472C4"/>
            <w:vAlign w:val="center"/>
          </w:tcPr>
          <w:p w14:paraId="36A1FAC1" w14:textId="77777777" w:rsidR="00990B14" w:rsidRDefault="00990B14">
            <w:pPr>
              <w:spacing w:before="20" w:after="20"/>
            </w:pPr>
          </w:p>
        </w:tc>
        <w:tc>
          <w:tcPr>
            <w:tcW w:w="1910" w:type="dxa"/>
            <w:shd w:val="clear" w:color="auto" w:fill="D9E2F3"/>
            <w:vAlign w:val="center"/>
          </w:tcPr>
          <w:p w14:paraId="7F1D958E" w14:textId="77777777" w:rsidR="00990B14" w:rsidRDefault="00000000">
            <w:pPr>
              <w:spacing w:before="20" w:after="20"/>
              <w:jc w:val="both"/>
            </w:pPr>
            <w:r>
              <w:rPr>
                <w:sz w:val="18"/>
                <w:szCs w:val="18"/>
              </w:rPr>
              <w:t>Solución digital</w:t>
            </w:r>
          </w:p>
        </w:tc>
        <w:tc>
          <w:tcPr>
            <w:tcW w:w="1910" w:type="dxa"/>
            <w:shd w:val="clear" w:color="auto" w:fill="D9E2F3"/>
            <w:vAlign w:val="center"/>
          </w:tcPr>
          <w:p w14:paraId="2CFF5875" w14:textId="77777777" w:rsidR="00990B14" w:rsidRDefault="00000000">
            <w:pPr>
              <w:spacing w:before="20" w:after="20"/>
              <w:jc w:val="both"/>
            </w:pPr>
            <w:r>
              <w:rPr>
                <w:sz w:val="18"/>
                <w:szCs w:val="18"/>
              </w:rPr>
              <w:t>La herramienta propuesta no corresponde al proceso.</w:t>
            </w:r>
          </w:p>
        </w:tc>
        <w:tc>
          <w:tcPr>
            <w:tcW w:w="1830" w:type="dxa"/>
            <w:shd w:val="clear" w:color="auto" w:fill="D9E2F3"/>
            <w:vAlign w:val="center"/>
          </w:tcPr>
          <w:p w14:paraId="5AF13B52" w14:textId="77777777" w:rsidR="00990B14" w:rsidRDefault="00000000">
            <w:pPr>
              <w:spacing w:before="20" w:after="20"/>
              <w:jc w:val="both"/>
            </w:pPr>
            <w:r>
              <w:rPr>
                <w:sz w:val="18"/>
                <w:szCs w:val="18"/>
              </w:rPr>
              <w:t>Propone una herramienta digital pertinente.</w:t>
            </w:r>
          </w:p>
        </w:tc>
        <w:tc>
          <w:tcPr>
            <w:tcW w:w="2120" w:type="dxa"/>
            <w:shd w:val="clear" w:color="auto" w:fill="D9E2F3"/>
            <w:vAlign w:val="center"/>
          </w:tcPr>
          <w:p w14:paraId="737DA92E" w14:textId="77777777" w:rsidR="00990B14" w:rsidRDefault="00000000">
            <w:pPr>
              <w:spacing w:before="20" w:after="20"/>
              <w:jc w:val="both"/>
            </w:pPr>
            <w:r>
              <w:rPr>
                <w:sz w:val="18"/>
                <w:szCs w:val="18"/>
              </w:rPr>
              <w:t>Demuestra el funcionamiento de la automatización.</w:t>
            </w:r>
          </w:p>
        </w:tc>
      </w:tr>
      <w:tr w:rsidR="00990B14" w14:paraId="2BB082AC" w14:textId="77777777">
        <w:trPr>
          <w:cantSplit/>
          <w:jc w:val="center"/>
        </w:trPr>
        <w:tc>
          <w:tcPr>
            <w:tcW w:w="1635" w:type="dxa"/>
            <w:vMerge/>
            <w:shd w:val="clear" w:color="auto" w:fill="4472C4"/>
            <w:vAlign w:val="center"/>
          </w:tcPr>
          <w:p w14:paraId="6C970B72" w14:textId="77777777" w:rsidR="00990B14" w:rsidRDefault="00990B14">
            <w:pPr>
              <w:spacing w:before="20" w:after="20"/>
            </w:pPr>
          </w:p>
        </w:tc>
        <w:tc>
          <w:tcPr>
            <w:tcW w:w="1910" w:type="dxa"/>
            <w:shd w:val="clear" w:color="auto" w:fill="D9E2F3"/>
            <w:vAlign w:val="center"/>
          </w:tcPr>
          <w:p w14:paraId="799F0DA5" w14:textId="77777777" w:rsidR="00990B14" w:rsidRDefault="00000000">
            <w:pPr>
              <w:spacing w:before="20" w:after="20"/>
              <w:jc w:val="both"/>
            </w:pPr>
            <w:r>
              <w:rPr>
                <w:sz w:val="18"/>
                <w:szCs w:val="18"/>
              </w:rPr>
              <w:t>Efecto en el personal</w:t>
            </w:r>
          </w:p>
        </w:tc>
        <w:tc>
          <w:tcPr>
            <w:tcW w:w="1910" w:type="dxa"/>
            <w:shd w:val="clear" w:color="auto" w:fill="D9E2F3"/>
            <w:vAlign w:val="center"/>
          </w:tcPr>
          <w:p w14:paraId="65DB6F3F" w14:textId="77777777" w:rsidR="00990B14" w:rsidRDefault="00000000">
            <w:pPr>
              <w:spacing w:before="20" w:after="20"/>
              <w:jc w:val="both"/>
            </w:pPr>
            <w:r>
              <w:rPr>
                <w:sz w:val="18"/>
                <w:szCs w:val="18"/>
              </w:rPr>
              <w:t>No considera el efecto en el personal.</w:t>
            </w:r>
          </w:p>
        </w:tc>
        <w:tc>
          <w:tcPr>
            <w:tcW w:w="1830" w:type="dxa"/>
            <w:shd w:val="clear" w:color="auto" w:fill="D9E2F3"/>
            <w:vAlign w:val="center"/>
          </w:tcPr>
          <w:p w14:paraId="2E47AAEA" w14:textId="77777777" w:rsidR="00990B14" w:rsidRDefault="00000000">
            <w:pPr>
              <w:spacing w:before="20" w:after="20"/>
              <w:jc w:val="both"/>
            </w:pPr>
            <w:r>
              <w:rPr>
                <w:sz w:val="18"/>
                <w:szCs w:val="18"/>
              </w:rPr>
              <w:t>Identifica el efecto en las tareas y las competencias del personal.</w:t>
            </w:r>
          </w:p>
        </w:tc>
        <w:tc>
          <w:tcPr>
            <w:tcW w:w="2120" w:type="dxa"/>
            <w:shd w:val="clear" w:color="auto" w:fill="D9E2F3"/>
            <w:vAlign w:val="center"/>
          </w:tcPr>
          <w:p w14:paraId="0E74A37C" w14:textId="77777777" w:rsidR="00990B14" w:rsidRDefault="00000000">
            <w:pPr>
              <w:spacing w:before="20" w:after="20"/>
              <w:jc w:val="both"/>
            </w:pPr>
            <w:r>
              <w:rPr>
                <w:sz w:val="18"/>
                <w:szCs w:val="18"/>
              </w:rPr>
              <w:t>Propone acciones de capacitación y acompañamiento del cambio.</w:t>
            </w:r>
          </w:p>
        </w:tc>
      </w:tr>
      <w:tr w:rsidR="00990B14" w14:paraId="28DEAA99" w14:textId="77777777">
        <w:trPr>
          <w:cantSplit/>
          <w:jc w:val="center"/>
        </w:trPr>
        <w:tc>
          <w:tcPr>
            <w:tcW w:w="1635" w:type="dxa"/>
            <w:vMerge/>
            <w:shd w:val="clear" w:color="auto" w:fill="4472C4"/>
            <w:vAlign w:val="center"/>
          </w:tcPr>
          <w:p w14:paraId="2D91C3EC" w14:textId="77777777" w:rsidR="00990B14" w:rsidRDefault="00990B14">
            <w:pPr>
              <w:spacing w:before="20" w:after="20"/>
            </w:pPr>
          </w:p>
        </w:tc>
        <w:tc>
          <w:tcPr>
            <w:tcW w:w="5650" w:type="dxa"/>
            <w:gridSpan w:val="3"/>
            <w:shd w:val="clear" w:color="auto" w:fill="D9E2F3"/>
            <w:vAlign w:val="center"/>
          </w:tcPr>
          <w:p w14:paraId="4C15FA7E" w14:textId="77777777" w:rsidR="00990B14" w:rsidRDefault="00000000">
            <w:pPr>
              <w:keepNext/>
              <w:spacing w:before="20" w:after="20"/>
              <w:jc w:val="both"/>
            </w:pPr>
            <w:r>
              <w:rPr>
                <w:b/>
                <w:bCs/>
                <w:i/>
                <w:iCs/>
                <w:sz w:val="18"/>
                <w:szCs w:val="18"/>
              </w:rPr>
              <w:t xml:space="preserve">Producto 23: </w:t>
            </w:r>
            <w:r>
              <w:rPr>
                <w:sz w:val="18"/>
                <w:szCs w:val="18"/>
              </w:rPr>
              <w:t>Plan de negocios</w:t>
            </w:r>
          </w:p>
        </w:tc>
        <w:tc>
          <w:tcPr>
            <w:tcW w:w="2120" w:type="dxa"/>
            <w:shd w:val="clear" w:color="auto" w:fill="D9E2F3"/>
            <w:vAlign w:val="center"/>
          </w:tcPr>
          <w:p w14:paraId="023791BD" w14:textId="77777777" w:rsidR="00990B14" w:rsidRDefault="00000000">
            <w:pPr>
              <w:spacing w:before="20" w:after="20"/>
              <w:jc w:val="center"/>
            </w:pPr>
            <w:r>
              <w:rPr>
                <w:b/>
                <w:bCs/>
                <w:sz w:val="18"/>
                <w:szCs w:val="18"/>
              </w:rPr>
              <w:t>3%</w:t>
            </w:r>
          </w:p>
        </w:tc>
      </w:tr>
      <w:tr w:rsidR="00990B14" w14:paraId="532C997D" w14:textId="77777777">
        <w:trPr>
          <w:cantSplit/>
          <w:jc w:val="center"/>
        </w:trPr>
        <w:tc>
          <w:tcPr>
            <w:tcW w:w="1635" w:type="dxa"/>
            <w:vMerge/>
            <w:shd w:val="clear" w:color="auto" w:fill="4472C4"/>
            <w:vAlign w:val="center"/>
          </w:tcPr>
          <w:p w14:paraId="01436623" w14:textId="77777777" w:rsidR="00990B14" w:rsidRDefault="00990B14">
            <w:pPr>
              <w:spacing w:before="20" w:after="20"/>
            </w:pPr>
          </w:p>
        </w:tc>
        <w:tc>
          <w:tcPr>
            <w:tcW w:w="1910" w:type="dxa"/>
            <w:shd w:val="clear" w:color="auto" w:fill="4472C4"/>
            <w:vAlign w:val="center"/>
          </w:tcPr>
          <w:p w14:paraId="11B1F9D3"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73C9D477" w14:textId="77777777" w:rsidR="00990B14" w:rsidRDefault="00000000">
            <w:pPr>
              <w:keepNext/>
              <w:spacing w:before="20" w:after="20"/>
              <w:jc w:val="center"/>
            </w:pPr>
            <w:r>
              <w:rPr>
                <w:b/>
                <w:bCs/>
                <w:i/>
                <w:iCs/>
                <w:color w:val="FFFFFF"/>
                <w:sz w:val="18"/>
                <w:szCs w:val="18"/>
              </w:rPr>
              <w:t>Insuficiente (1–50)</w:t>
            </w:r>
          </w:p>
        </w:tc>
        <w:tc>
          <w:tcPr>
            <w:tcW w:w="1830" w:type="dxa"/>
            <w:shd w:val="clear" w:color="auto" w:fill="4472C4"/>
            <w:vAlign w:val="center"/>
          </w:tcPr>
          <w:p w14:paraId="20E8C325"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1C931F83" w14:textId="77777777" w:rsidR="00990B14" w:rsidRDefault="00000000">
            <w:pPr>
              <w:keepNext/>
              <w:spacing w:before="20" w:after="20"/>
              <w:jc w:val="center"/>
            </w:pPr>
            <w:r>
              <w:rPr>
                <w:b/>
                <w:bCs/>
                <w:i/>
                <w:iCs/>
                <w:color w:val="FFFFFF"/>
                <w:sz w:val="18"/>
                <w:szCs w:val="18"/>
              </w:rPr>
              <w:t>Destacado (81–100)</w:t>
            </w:r>
          </w:p>
        </w:tc>
      </w:tr>
      <w:tr w:rsidR="00990B14" w14:paraId="361AF4D7" w14:textId="77777777">
        <w:trPr>
          <w:cantSplit/>
          <w:jc w:val="center"/>
        </w:trPr>
        <w:tc>
          <w:tcPr>
            <w:tcW w:w="1635" w:type="dxa"/>
            <w:vMerge/>
            <w:shd w:val="clear" w:color="auto" w:fill="4472C4"/>
            <w:vAlign w:val="center"/>
          </w:tcPr>
          <w:p w14:paraId="71093363" w14:textId="77777777" w:rsidR="00990B14" w:rsidRDefault="00990B14">
            <w:pPr>
              <w:spacing w:before="20" w:after="20"/>
            </w:pPr>
          </w:p>
        </w:tc>
        <w:tc>
          <w:tcPr>
            <w:tcW w:w="1910" w:type="dxa"/>
            <w:shd w:val="clear" w:color="auto" w:fill="D9E2F3"/>
            <w:vAlign w:val="center"/>
          </w:tcPr>
          <w:p w14:paraId="09055B26" w14:textId="77777777" w:rsidR="00990B14" w:rsidRDefault="00000000">
            <w:pPr>
              <w:spacing w:before="20" w:after="20"/>
              <w:jc w:val="both"/>
            </w:pPr>
            <w:r>
              <w:rPr>
                <w:sz w:val="18"/>
                <w:szCs w:val="18"/>
              </w:rPr>
              <w:t>Componentes del plan</w:t>
            </w:r>
          </w:p>
        </w:tc>
        <w:tc>
          <w:tcPr>
            <w:tcW w:w="1910" w:type="dxa"/>
            <w:shd w:val="clear" w:color="auto" w:fill="D9E2F3"/>
            <w:vAlign w:val="center"/>
          </w:tcPr>
          <w:p w14:paraId="2D866FC9" w14:textId="77777777" w:rsidR="00990B14" w:rsidRDefault="00000000">
            <w:pPr>
              <w:spacing w:before="20" w:after="20"/>
              <w:jc w:val="both"/>
            </w:pPr>
            <w:r>
              <w:rPr>
                <w:sz w:val="18"/>
                <w:szCs w:val="18"/>
              </w:rPr>
              <w:t>Omite componentes del plan de negocios.</w:t>
            </w:r>
          </w:p>
        </w:tc>
        <w:tc>
          <w:tcPr>
            <w:tcW w:w="1830" w:type="dxa"/>
            <w:shd w:val="clear" w:color="auto" w:fill="D9E2F3"/>
            <w:vAlign w:val="center"/>
          </w:tcPr>
          <w:p w14:paraId="197B4797" w14:textId="77777777" w:rsidR="00990B14" w:rsidRDefault="00000000">
            <w:pPr>
              <w:spacing w:before="20" w:after="20"/>
              <w:jc w:val="both"/>
            </w:pPr>
            <w:r>
              <w:rPr>
                <w:sz w:val="18"/>
                <w:szCs w:val="18"/>
              </w:rPr>
              <w:t>Desarrolla los componentes comercial, técnico, operativo y organizacional.</w:t>
            </w:r>
          </w:p>
        </w:tc>
        <w:tc>
          <w:tcPr>
            <w:tcW w:w="2120" w:type="dxa"/>
            <w:shd w:val="clear" w:color="auto" w:fill="D9E2F3"/>
            <w:vAlign w:val="center"/>
          </w:tcPr>
          <w:p w14:paraId="29762FF8" w14:textId="77777777" w:rsidR="00990B14" w:rsidRDefault="00000000">
            <w:pPr>
              <w:spacing w:before="20" w:after="20"/>
              <w:jc w:val="both"/>
            </w:pPr>
            <w:r>
              <w:rPr>
                <w:sz w:val="18"/>
                <w:szCs w:val="18"/>
              </w:rPr>
              <w:t>Integra los componentes de forma coherente con el modelo de negocio.</w:t>
            </w:r>
          </w:p>
        </w:tc>
      </w:tr>
      <w:tr w:rsidR="00990B14" w14:paraId="1363EF4F" w14:textId="77777777">
        <w:trPr>
          <w:cantSplit/>
          <w:jc w:val="center"/>
        </w:trPr>
        <w:tc>
          <w:tcPr>
            <w:tcW w:w="1635" w:type="dxa"/>
            <w:vMerge/>
            <w:shd w:val="clear" w:color="auto" w:fill="4472C4"/>
            <w:vAlign w:val="center"/>
          </w:tcPr>
          <w:p w14:paraId="432FBB57" w14:textId="77777777" w:rsidR="00990B14" w:rsidRDefault="00990B14">
            <w:pPr>
              <w:spacing w:before="20" w:after="20"/>
            </w:pPr>
          </w:p>
        </w:tc>
        <w:tc>
          <w:tcPr>
            <w:tcW w:w="1910" w:type="dxa"/>
            <w:shd w:val="clear" w:color="auto" w:fill="D9E2F3"/>
            <w:vAlign w:val="center"/>
          </w:tcPr>
          <w:p w14:paraId="1932CD47" w14:textId="77777777" w:rsidR="00990B14" w:rsidRDefault="00000000">
            <w:pPr>
              <w:spacing w:before="20" w:after="20"/>
              <w:jc w:val="both"/>
            </w:pPr>
            <w:r>
              <w:rPr>
                <w:sz w:val="18"/>
                <w:szCs w:val="18"/>
              </w:rPr>
              <w:t>Estimación económica básica</w:t>
            </w:r>
          </w:p>
        </w:tc>
        <w:tc>
          <w:tcPr>
            <w:tcW w:w="1910" w:type="dxa"/>
            <w:shd w:val="clear" w:color="auto" w:fill="D9E2F3"/>
            <w:vAlign w:val="center"/>
          </w:tcPr>
          <w:p w14:paraId="4CF9DA02" w14:textId="77777777" w:rsidR="00990B14" w:rsidRDefault="00000000">
            <w:pPr>
              <w:spacing w:before="20" w:after="20"/>
              <w:jc w:val="both"/>
            </w:pPr>
            <w:r>
              <w:rPr>
                <w:sz w:val="18"/>
                <w:szCs w:val="18"/>
              </w:rPr>
              <w:t>No estima la inversión ni los ingresos y costos esperados.</w:t>
            </w:r>
          </w:p>
        </w:tc>
        <w:tc>
          <w:tcPr>
            <w:tcW w:w="1830" w:type="dxa"/>
            <w:shd w:val="clear" w:color="auto" w:fill="D9E2F3"/>
            <w:vAlign w:val="center"/>
          </w:tcPr>
          <w:p w14:paraId="282D67ED" w14:textId="77777777" w:rsidR="00990B14" w:rsidRDefault="00000000">
            <w:pPr>
              <w:spacing w:before="20" w:after="20"/>
              <w:jc w:val="both"/>
            </w:pPr>
            <w:r>
              <w:rPr>
                <w:sz w:val="18"/>
                <w:szCs w:val="18"/>
              </w:rPr>
              <w:t>Estima de forma general la inversión, el financiamiento, los ingresos y los costos.</w:t>
            </w:r>
          </w:p>
        </w:tc>
        <w:tc>
          <w:tcPr>
            <w:tcW w:w="2120" w:type="dxa"/>
            <w:shd w:val="clear" w:color="auto" w:fill="D9E2F3"/>
            <w:vAlign w:val="center"/>
          </w:tcPr>
          <w:p w14:paraId="70F8C9D5" w14:textId="77777777" w:rsidR="00990B14" w:rsidRDefault="00000000">
            <w:pPr>
              <w:spacing w:before="20" w:after="20"/>
              <w:jc w:val="both"/>
            </w:pPr>
            <w:r>
              <w:rPr>
                <w:sz w:val="18"/>
                <w:szCs w:val="18"/>
              </w:rPr>
              <w:t>Sustenta las estimaciones con fuentes y supuestos razonables.</w:t>
            </w:r>
          </w:p>
        </w:tc>
      </w:tr>
      <w:tr w:rsidR="00990B14" w14:paraId="56C26447" w14:textId="77777777">
        <w:trPr>
          <w:cantSplit/>
          <w:jc w:val="center"/>
        </w:trPr>
        <w:tc>
          <w:tcPr>
            <w:tcW w:w="1635" w:type="dxa"/>
            <w:vMerge/>
            <w:shd w:val="clear" w:color="auto" w:fill="4472C4"/>
            <w:vAlign w:val="center"/>
          </w:tcPr>
          <w:p w14:paraId="7BE07825" w14:textId="77777777" w:rsidR="00990B14" w:rsidRDefault="00990B14">
            <w:pPr>
              <w:spacing w:before="20" w:after="20"/>
            </w:pPr>
          </w:p>
        </w:tc>
        <w:tc>
          <w:tcPr>
            <w:tcW w:w="1910" w:type="dxa"/>
            <w:shd w:val="clear" w:color="auto" w:fill="D9E2F3"/>
            <w:vAlign w:val="center"/>
          </w:tcPr>
          <w:p w14:paraId="6D6E2A76" w14:textId="77777777" w:rsidR="00990B14" w:rsidRDefault="00000000">
            <w:pPr>
              <w:spacing w:before="20" w:after="20"/>
              <w:jc w:val="both"/>
            </w:pPr>
            <w:r>
              <w:rPr>
                <w:sz w:val="18"/>
                <w:szCs w:val="18"/>
              </w:rPr>
              <w:t>Realismo y ética</w:t>
            </w:r>
          </w:p>
        </w:tc>
        <w:tc>
          <w:tcPr>
            <w:tcW w:w="1910" w:type="dxa"/>
            <w:shd w:val="clear" w:color="auto" w:fill="D9E2F3"/>
            <w:vAlign w:val="center"/>
          </w:tcPr>
          <w:p w14:paraId="365FD6FF" w14:textId="77777777" w:rsidR="00990B14" w:rsidRDefault="00000000">
            <w:pPr>
              <w:spacing w:before="20" w:after="20"/>
              <w:jc w:val="both"/>
            </w:pPr>
            <w:r>
              <w:rPr>
                <w:sz w:val="18"/>
                <w:szCs w:val="18"/>
              </w:rPr>
              <w:t>Los supuestos son irreales o no se declaran.</w:t>
            </w:r>
          </w:p>
        </w:tc>
        <w:tc>
          <w:tcPr>
            <w:tcW w:w="1830" w:type="dxa"/>
            <w:shd w:val="clear" w:color="auto" w:fill="D9E2F3"/>
            <w:vAlign w:val="center"/>
          </w:tcPr>
          <w:p w14:paraId="15C7BE4B" w14:textId="77777777" w:rsidR="00990B14" w:rsidRDefault="00000000">
            <w:pPr>
              <w:spacing w:before="20" w:after="20"/>
              <w:jc w:val="both"/>
            </w:pPr>
            <w:r>
              <w:rPr>
                <w:sz w:val="18"/>
                <w:szCs w:val="18"/>
              </w:rPr>
              <w:t>Declara supuestos realistas y verificables.</w:t>
            </w:r>
          </w:p>
        </w:tc>
        <w:tc>
          <w:tcPr>
            <w:tcW w:w="2120" w:type="dxa"/>
            <w:shd w:val="clear" w:color="auto" w:fill="D9E2F3"/>
            <w:vAlign w:val="center"/>
          </w:tcPr>
          <w:p w14:paraId="2ADC0BEE" w14:textId="77777777" w:rsidR="00990B14" w:rsidRDefault="00000000">
            <w:pPr>
              <w:spacing w:before="20" w:after="20"/>
              <w:jc w:val="both"/>
            </w:pPr>
            <w:r>
              <w:rPr>
                <w:sz w:val="18"/>
                <w:szCs w:val="18"/>
              </w:rPr>
              <w:t>Sustenta los supuestos con fuentes y considera el impacto social y ambiental.</w:t>
            </w:r>
          </w:p>
        </w:tc>
      </w:tr>
      <w:tr w:rsidR="00990B14" w14:paraId="47FC10AB" w14:textId="77777777">
        <w:trPr>
          <w:cantSplit/>
          <w:jc w:val="center"/>
        </w:trPr>
        <w:tc>
          <w:tcPr>
            <w:tcW w:w="1635" w:type="dxa"/>
            <w:vMerge/>
            <w:shd w:val="clear" w:color="auto" w:fill="4472C4"/>
            <w:vAlign w:val="center"/>
          </w:tcPr>
          <w:p w14:paraId="7A8DE82F" w14:textId="77777777" w:rsidR="00990B14" w:rsidRDefault="00990B14">
            <w:pPr>
              <w:spacing w:before="20" w:after="20"/>
            </w:pPr>
          </w:p>
        </w:tc>
        <w:tc>
          <w:tcPr>
            <w:tcW w:w="5650" w:type="dxa"/>
            <w:gridSpan w:val="3"/>
            <w:shd w:val="clear" w:color="auto" w:fill="D9E2F3"/>
            <w:vAlign w:val="center"/>
          </w:tcPr>
          <w:p w14:paraId="31113E99" w14:textId="77777777" w:rsidR="00990B14" w:rsidRDefault="00000000">
            <w:pPr>
              <w:keepNext/>
              <w:spacing w:before="20" w:after="20"/>
              <w:jc w:val="both"/>
            </w:pPr>
            <w:r>
              <w:rPr>
                <w:b/>
                <w:bCs/>
                <w:i/>
                <w:iCs/>
                <w:sz w:val="18"/>
                <w:szCs w:val="18"/>
              </w:rPr>
              <w:t xml:space="preserve">Producto 24: </w:t>
            </w:r>
            <w:r>
              <w:rPr>
                <w:sz w:val="18"/>
                <w:szCs w:val="18"/>
              </w:rPr>
              <w:t>Presentación ejecutiva del plan de negocios</w:t>
            </w:r>
          </w:p>
        </w:tc>
        <w:tc>
          <w:tcPr>
            <w:tcW w:w="2120" w:type="dxa"/>
            <w:shd w:val="clear" w:color="auto" w:fill="D9E2F3"/>
            <w:vAlign w:val="center"/>
          </w:tcPr>
          <w:p w14:paraId="7D9B403B" w14:textId="77777777" w:rsidR="00990B14" w:rsidRDefault="00000000">
            <w:pPr>
              <w:spacing w:before="20" w:after="20"/>
              <w:jc w:val="center"/>
            </w:pPr>
            <w:r>
              <w:rPr>
                <w:b/>
                <w:bCs/>
                <w:sz w:val="18"/>
                <w:szCs w:val="18"/>
              </w:rPr>
              <w:t>4%</w:t>
            </w:r>
          </w:p>
        </w:tc>
      </w:tr>
      <w:tr w:rsidR="00990B14" w14:paraId="0C977EB1" w14:textId="77777777">
        <w:trPr>
          <w:cantSplit/>
          <w:jc w:val="center"/>
        </w:trPr>
        <w:tc>
          <w:tcPr>
            <w:tcW w:w="1635" w:type="dxa"/>
            <w:vMerge/>
            <w:shd w:val="clear" w:color="auto" w:fill="4472C4"/>
            <w:vAlign w:val="center"/>
          </w:tcPr>
          <w:p w14:paraId="2C184611" w14:textId="77777777" w:rsidR="00990B14" w:rsidRDefault="00990B14">
            <w:pPr>
              <w:spacing w:before="20" w:after="20"/>
            </w:pPr>
          </w:p>
        </w:tc>
        <w:tc>
          <w:tcPr>
            <w:tcW w:w="1910" w:type="dxa"/>
            <w:shd w:val="clear" w:color="auto" w:fill="4472C4"/>
            <w:vAlign w:val="center"/>
          </w:tcPr>
          <w:p w14:paraId="3A44BAC4"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79BDBAB4" w14:textId="77777777" w:rsidR="00990B14" w:rsidRDefault="00000000">
            <w:pPr>
              <w:keepNext/>
              <w:spacing w:before="20" w:after="20"/>
              <w:jc w:val="center"/>
            </w:pPr>
            <w:r>
              <w:rPr>
                <w:b/>
                <w:bCs/>
                <w:i/>
                <w:iCs/>
                <w:color w:val="FFFFFF"/>
                <w:sz w:val="18"/>
                <w:szCs w:val="18"/>
              </w:rPr>
              <w:t>Insuficiente (1–50)</w:t>
            </w:r>
          </w:p>
        </w:tc>
        <w:tc>
          <w:tcPr>
            <w:tcW w:w="1830" w:type="dxa"/>
            <w:shd w:val="clear" w:color="auto" w:fill="4472C4"/>
            <w:vAlign w:val="center"/>
          </w:tcPr>
          <w:p w14:paraId="7EB092DC"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56FEEB58" w14:textId="77777777" w:rsidR="00990B14" w:rsidRDefault="00000000">
            <w:pPr>
              <w:keepNext/>
              <w:spacing w:before="20" w:after="20"/>
              <w:jc w:val="center"/>
            </w:pPr>
            <w:r>
              <w:rPr>
                <w:b/>
                <w:bCs/>
                <w:i/>
                <w:iCs/>
                <w:color w:val="FFFFFF"/>
                <w:sz w:val="18"/>
                <w:szCs w:val="18"/>
              </w:rPr>
              <w:t>Destacado (81–100)</w:t>
            </w:r>
          </w:p>
        </w:tc>
      </w:tr>
      <w:tr w:rsidR="00990B14" w14:paraId="36FAA190" w14:textId="77777777">
        <w:trPr>
          <w:cantSplit/>
          <w:jc w:val="center"/>
        </w:trPr>
        <w:tc>
          <w:tcPr>
            <w:tcW w:w="1635" w:type="dxa"/>
            <w:vMerge/>
            <w:shd w:val="clear" w:color="auto" w:fill="4472C4"/>
            <w:vAlign w:val="center"/>
          </w:tcPr>
          <w:p w14:paraId="2AE3F91C" w14:textId="77777777" w:rsidR="00990B14" w:rsidRDefault="00990B14">
            <w:pPr>
              <w:spacing w:before="20" w:after="20"/>
            </w:pPr>
          </w:p>
        </w:tc>
        <w:tc>
          <w:tcPr>
            <w:tcW w:w="1910" w:type="dxa"/>
            <w:shd w:val="clear" w:color="auto" w:fill="D9E2F3"/>
            <w:vAlign w:val="center"/>
          </w:tcPr>
          <w:p w14:paraId="06D8727B" w14:textId="77777777" w:rsidR="00990B14" w:rsidRDefault="00000000">
            <w:pPr>
              <w:spacing w:before="20" w:after="20"/>
              <w:jc w:val="both"/>
            </w:pPr>
            <w:r>
              <w:rPr>
                <w:sz w:val="18"/>
                <w:szCs w:val="18"/>
              </w:rPr>
              <w:t>Claridad del mensaje</w:t>
            </w:r>
          </w:p>
        </w:tc>
        <w:tc>
          <w:tcPr>
            <w:tcW w:w="1910" w:type="dxa"/>
            <w:shd w:val="clear" w:color="auto" w:fill="D9E2F3"/>
            <w:vAlign w:val="center"/>
          </w:tcPr>
          <w:p w14:paraId="38AC7ADA" w14:textId="77777777" w:rsidR="00990B14" w:rsidRDefault="00000000">
            <w:pPr>
              <w:spacing w:before="20" w:after="20"/>
              <w:jc w:val="both"/>
            </w:pPr>
            <w:r>
              <w:rPr>
                <w:sz w:val="18"/>
                <w:szCs w:val="18"/>
              </w:rPr>
              <w:t>La presentación es confusa.</w:t>
            </w:r>
          </w:p>
        </w:tc>
        <w:tc>
          <w:tcPr>
            <w:tcW w:w="1830" w:type="dxa"/>
            <w:shd w:val="clear" w:color="auto" w:fill="D9E2F3"/>
            <w:vAlign w:val="center"/>
          </w:tcPr>
          <w:p w14:paraId="4BF1D071" w14:textId="77777777" w:rsidR="00990B14" w:rsidRDefault="00000000">
            <w:pPr>
              <w:spacing w:before="20" w:after="20"/>
              <w:jc w:val="both"/>
            </w:pPr>
            <w:r>
              <w:rPr>
                <w:sz w:val="18"/>
                <w:szCs w:val="18"/>
              </w:rPr>
              <w:t>Presenta el negocio con claridad y en el tiempo asignado.</w:t>
            </w:r>
          </w:p>
        </w:tc>
        <w:tc>
          <w:tcPr>
            <w:tcW w:w="2120" w:type="dxa"/>
            <w:shd w:val="clear" w:color="auto" w:fill="D9E2F3"/>
            <w:vAlign w:val="center"/>
          </w:tcPr>
          <w:p w14:paraId="16D65153" w14:textId="77777777" w:rsidR="00990B14" w:rsidRDefault="00000000">
            <w:pPr>
              <w:spacing w:before="20" w:after="20"/>
              <w:jc w:val="both"/>
            </w:pPr>
            <w:r>
              <w:rPr>
                <w:sz w:val="18"/>
                <w:szCs w:val="18"/>
              </w:rPr>
              <w:t>Comunica la propuesta de valor de forma persuasiva.</w:t>
            </w:r>
          </w:p>
        </w:tc>
      </w:tr>
      <w:tr w:rsidR="00990B14" w14:paraId="37C49AE0" w14:textId="77777777">
        <w:trPr>
          <w:cantSplit/>
          <w:jc w:val="center"/>
        </w:trPr>
        <w:tc>
          <w:tcPr>
            <w:tcW w:w="1635" w:type="dxa"/>
            <w:vMerge/>
            <w:shd w:val="clear" w:color="auto" w:fill="4472C4"/>
            <w:vAlign w:val="center"/>
          </w:tcPr>
          <w:p w14:paraId="4814E4EF" w14:textId="77777777" w:rsidR="00990B14" w:rsidRDefault="00990B14">
            <w:pPr>
              <w:spacing w:before="20" w:after="20"/>
            </w:pPr>
          </w:p>
        </w:tc>
        <w:tc>
          <w:tcPr>
            <w:tcW w:w="1910" w:type="dxa"/>
            <w:shd w:val="clear" w:color="auto" w:fill="D9E2F3"/>
            <w:vAlign w:val="center"/>
          </w:tcPr>
          <w:p w14:paraId="649F7392" w14:textId="77777777" w:rsidR="00990B14" w:rsidRDefault="00000000">
            <w:pPr>
              <w:spacing w:before="20" w:after="20"/>
              <w:jc w:val="both"/>
            </w:pPr>
            <w:r>
              <w:rPr>
                <w:sz w:val="18"/>
                <w:szCs w:val="18"/>
              </w:rPr>
              <w:t>Sustento del negocio</w:t>
            </w:r>
          </w:p>
        </w:tc>
        <w:tc>
          <w:tcPr>
            <w:tcW w:w="1910" w:type="dxa"/>
            <w:shd w:val="clear" w:color="auto" w:fill="D9E2F3"/>
            <w:vAlign w:val="center"/>
          </w:tcPr>
          <w:p w14:paraId="5421A492" w14:textId="77777777" w:rsidR="00990B14" w:rsidRDefault="00000000">
            <w:pPr>
              <w:spacing w:before="20" w:after="20"/>
              <w:jc w:val="both"/>
            </w:pPr>
            <w:r>
              <w:rPr>
                <w:sz w:val="18"/>
                <w:szCs w:val="18"/>
              </w:rPr>
              <w:t>No presenta evidencia que respalde el negocio.</w:t>
            </w:r>
          </w:p>
        </w:tc>
        <w:tc>
          <w:tcPr>
            <w:tcW w:w="1830" w:type="dxa"/>
            <w:shd w:val="clear" w:color="auto" w:fill="D9E2F3"/>
            <w:vAlign w:val="center"/>
          </w:tcPr>
          <w:p w14:paraId="29B34A89" w14:textId="77777777" w:rsidR="00990B14" w:rsidRDefault="00000000">
            <w:pPr>
              <w:spacing w:before="20" w:after="20"/>
              <w:jc w:val="both"/>
            </w:pPr>
            <w:r>
              <w:rPr>
                <w:sz w:val="18"/>
                <w:szCs w:val="18"/>
              </w:rPr>
              <w:t>Presenta la evidencia clave del mercado y de la operación.</w:t>
            </w:r>
          </w:p>
        </w:tc>
        <w:tc>
          <w:tcPr>
            <w:tcW w:w="2120" w:type="dxa"/>
            <w:shd w:val="clear" w:color="auto" w:fill="D9E2F3"/>
            <w:vAlign w:val="center"/>
          </w:tcPr>
          <w:p w14:paraId="5E3F26E9" w14:textId="77777777" w:rsidR="00990B14" w:rsidRDefault="00000000">
            <w:pPr>
              <w:spacing w:before="20" w:after="20"/>
              <w:jc w:val="both"/>
            </w:pPr>
            <w:r>
              <w:rPr>
                <w:sz w:val="18"/>
                <w:szCs w:val="18"/>
              </w:rPr>
              <w:t>Responde las objeciones con argumentos sólidos.</w:t>
            </w:r>
          </w:p>
        </w:tc>
      </w:tr>
      <w:tr w:rsidR="00990B14" w14:paraId="188D0787" w14:textId="77777777">
        <w:trPr>
          <w:cantSplit/>
          <w:jc w:val="center"/>
        </w:trPr>
        <w:tc>
          <w:tcPr>
            <w:tcW w:w="1635" w:type="dxa"/>
            <w:vMerge/>
            <w:shd w:val="clear" w:color="auto" w:fill="4472C4"/>
            <w:vAlign w:val="center"/>
          </w:tcPr>
          <w:p w14:paraId="0C76623D" w14:textId="77777777" w:rsidR="00990B14" w:rsidRDefault="00990B14">
            <w:pPr>
              <w:spacing w:before="20" w:after="20"/>
            </w:pPr>
          </w:p>
        </w:tc>
        <w:tc>
          <w:tcPr>
            <w:tcW w:w="1910" w:type="dxa"/>
            <w:shd w:val="clear" w:color="auto" w:fill="D9E2F3"/>
            <w:vAlign w:val="center"/>
          </w:tcPr>
          <w:p w14:paraId="34A36FFD" w14:textId="77777777" w:rsidR="00990B14" w:rsidRDefault="00000000">
            <w:pPr>
              <w:spacing w:before="20" w:after="20"/>
              <w:jc w:val="both"/>
            </w:pPr>
            <w:r>
              <w:rPr>
                <w:sz w:val="18"/>
                <w:szCs w:val="18"/>
              </w:rPr>
              <w:t>Trabajo en equipo</w:t>
            </w:r>
          </w:p>
        </w:tc>
        <w:tc>
          <w:tcPr>
            <w:tcW w:w="1910" w:type="dxa"/>
            <w:shd w:val="clear" w:color="auto" w:fill="D9E2F3"/>
            <w:vAlign w:val="center"/>
          </w:tcPr>
          <w:p w14:paraId="7D0C0EBA" w14:textId="77777777" w:rsidR="00990B14" w:rsidRDefault="00000000">
            <w:pPr>
              <w:spacing w:before="20" w:after="20"/>
              <w:jc w:val="both"/>
            </w:pPr>
            <w:r>
              <w:rPr>
                <w:sz w:val="18"/>
                <w:szCs w:val="18"/>
              </w:rPr>
              <w:t>Solo algunos integrantes participan.</w:t>
            </w:r>
          </w:p>
        </w:tc>
        <w:tc>
          <w:tcPr>
            <w:tcW w:w="1830" w:type="dxa"/>
            <w:shd w:val="clear" w:color="auto" w:fill="D9E2F3"/>
            <w:vAlign w:val="center"/>
          </w:tcPr>
          <w:p w14:paraId="529E0342" w14:textId="77777777" w:rsidR="00990B14" w:rsidRDefault="00000000">
            <w:pPr>
              <w:spacing w:before="20" w:after="20"/>
              <w:jc w:val="both"/>
            </w:pPr>
            <w:r>
              <w:rPr>
                <w:sz w:val="18"/>
                <w:szCs w:val="18"/>
              </w:rPr>
              <w:t>Todos los integrantes participan en la presentación.</w:t>
            </w:r>
          </w:p>
        </w:tc>
        <w:tc>
          <w:tcPr>
            <w:tcW w:w="2120" w:type="dxa"/>
            <w:shd w:val="clear" w:color="auto" w:fill="D9E2F3"/>
            <w:vAlign w:val="center"/>
          </w:tcPr>
          <w:p w14:paraId="12EFE767" w14:textId="77777777" w:rsidR="00990B14" w:rsidRDefault="00000000">
            <w:pPr>
              <w:spacing w:before="20" w:after="20"/>
              <w:jc w:val="both"/>
            </w:pPr>
            <w:r>
              <w:rPr>
                <w:sz w:val="18"/>
                <w:szCs w:val="18"/>
              </w:rPr>
              <w:t>El equipo demuestra dominio compartido del plan.</w:t>
            </w:r>
          </w:p>
        </w:tc>
      </w:tr>
      <w:tr w:rsidR="00990B14" w14:paraId="1B31C7D7" w14:textId="77777777">
        <w:trPr>
          <w:cantSplit/>
          <w:jc w:val="center"/>
        </w:trPr>
        <w:tc>
          <w:tcPr>
            <w:tcW w:w="7285" w:type="dxa"/>
            <w:gridSpan w:val="4"/>
            <w:shd w:val="clear" w:color="auto" w:fill="4472C4"/>
            <w:vAlign w:val="center"/>
          </w:tcPr>
          <w:p w14:paraId="756686DA" w14:textId="77777777" w:rsidR="00990B14" w:rsidRDefault="00000000">
            <w:pPr>
              <w:keepNext/>
              <w:spacing w:before="20" w:after="20"/>
              <w:jc w:val="center"/>
            </w:pPr>
            <w:r>
              <w:rPr>
                <w:b/>
                <w:bCs/>
                <w:i/>
                <w:iCs/>
                <w:color w:val="FFFFFF"/>
                <w:sz w:val="18"/>
                <w:szCs w:val="18"/>
              </w:rPr>
              <w:t>TOTAL</w:t>
            </w:r>
          </w:p>
        </w:tc>
        <w:tc>
          <w:tcPr>
            <w:tcW w:w="2120" w:type="dxa"/>
            <w:shd w:val="clear" w:color="auto" w:fill="4472C4"/>
            <w:vAlign w:val="center"/>
          </w:tcPr>
          <w:p w14:paraId="79505DF7" w14:textId="77777777" w:rsidR="00990B14" w:rsidRDefault="00000000">
            <w:pPr>
              <w:keepNext/>
              <w:spacing w:before="20" w:after="20"/>
              <w:jc w:val="center"/>
            </w:pPr>
            <w:r>
              <w:rPr>
                <w:b/>
                <w:bCs/>
                <w:i/>
                <w:iCs/>
                <w:color w:val="FFFFFF"/>
                <w:sz w:val="18"/>
                <w:szCs w:val="18"/>
              </w:rPr>
              <w:t>100%</w:t>
            </w:r>
          </w:p>
        </w:tc>
      </w:tr>
    </w:tbl>
    <w:p w14:paraId="5FCC475D"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9405"/>
      </w:tblGrid>
      <w:tr w:rsidR="00990B14" w14:paraId="0FBFF168" w14:textId="77777777">
        <w:trPr>
          <w:jc w:val="center"/>
        </w:trPr>
        <w:tc>
          <w:tcPr>
            <w:tcW w:w="9405" w:type="dxa"/>
            <w:shd w:val="clear" w:color="auto" w:fill="D9E2F3"/>
          </w:tcPr>
          <w:p w14:paraId="3ADAA6D5" w14:textId="77777777" w:rsidR="00990B14" w:rsidRDefault="00000000">
            <w:pPr>
              <w:spacing w:before="40" w:after="40"/>
              <w:jc w:val="both"/>
            </w:pPr>
            <w:r>
              <w:rPr>
                <w:b/>
                <w:bCs/>
                <w:i/>
                <w:iCs/>
                <w:sz w:val="18"/>
                <w:szCs w:val="18"/>
              </w:rPr>
              <w:t>Bibliografía básica:</w:t>
            </w:r>
          </w:p>
          <w:p w14:paraId="713F105E" w14:textId="77777777" w:rsidR="00990B14" w:rsidRDefault="00000000">
            <w:pPr>
              <w:numPr>
                <w:ilvl w:val="0"/>
                <w:numId w:val="140"/>
              </w:numPr>
              <w:spacing w:after="20"/>
              <w:jc w:val="both"/>
            </w:pPr>
            <w:r>
              <w:rPr>
                <w:sz w:val="18"/>
                <w:szCs w:val="18"/>
              </w:rPr>
              <w:t xml:space="preserve">Chiavenato, I. (2020). </w:t>
            </w:r>
            <w:r>
              <w:rPr>
                <w:i/>
                <w:iCs/>
                <w:sz w:val="18"/>
                <w:szCs w:val="18"/>
              </w:rPr>
              <w:t>Gestión del Talento Humano</w:t>
            </w:r>
            <w:r>
              <w:rPr>
                <w:sz w:val="18"/>
                <w:szCs w:val="18"/>
              </w:rPr>
              <w:t>. 5ª ed. México: McGraw-Hill.</w:t>
            </w:r>
          </w:p>
          <w:p w14:paraId="1B63E1EF" w14:textId="77777777" w:rsidR="00990B14" w:rsidRDefault="00000000">
            <w:pPr>
              <w:numPr>
                <w:ilvl w:val="0"/>
                <w:numId w:val="140"/>
              </w:numPr>
              <w:spacing w:after="20"/>
              <w:jc w:val="both"/>
            </w:pPr>
            <w:r>
              <w:rPr>
                <w:sz w:val="18"/>
                <w:szCs w:val="18"/>
              </w:rPr>
              <w:t xml:space="preserve">Chiavenato, I. (2022). </w:t>
            </w:r>
            <w:r>
              <w:rPr>
                <w:i/>
                <w:iCs/>
                <w:sz w:val="18"/>
                <w:szCs w:val="18"/>
              </w:rPr>
              <w:t>Comportamiento Organizacional</w:t>
            </w:r>
            <w:r>
              <w:rPr>
                <w:sz w:val="18"/>
                <w:szCs w:val="18"/>
              </w:rPr>
              <w:t>. 4ª ed. México: McGraw-Hill.</w:t>
            </w:r>
          </w:p>
          <w:p w14:paraId="61DF43FF" w14:textId="77777777" w:rsidR="00990B14" w:rsidRDefault="00000000">
            <w:pPr>
              <w:numPr>
                <w:ilvl w:val="0"/>
                <w:numId w:val="140"/>
              </w:numPr>
              <w:spacing w:after="20"/>
              <w:jc w:val="both"/>
            </w:pPr>
            <w:r>
              <w:rPr>
                <w:sz w:val="18"/>
                <w:szCs w:val="18"/>
              </w:rPr>
              <w:t xml:space="preserve">David, F. R. (2017). </w:t>
            </w:r>
            <w:r>
              <w:rPr>
                <w:i/>
                <w:iCs/>
                <w:sz w:val="18"/>
                <w:szCs w:val="18"/>
              </w:rPr>
              <w:t>Conceptos de Administración Estratégica</w:t>
            </w:r>
            <w:r>
              <w:rPr>
                <w:sz w:val="18"/>
                <w:szCs w:val="18"/>
              </w:rPr>
              <w:t xml:space="preserve">. 15ª ed. México: Pearson Educación. Guízar Montúfar, R. (2013). </w:t>
            </w:r>
            <w:r>
              <w:rPr>
                <w:i/>
                <w:iCs/>
                <w:sz w:val="18"/>
                <w:szCs w:val="18"/>
              </w:rPr>
              <w:t>Desarrollo Organizacional</w:t>
            </w:r>
            <w:r>
              <w:rPr>
                <w:sz w:val="18"/>
                <w:szCs w:val="18"/>
              </w:rPr>
              <w:t>. 4ª ed. México: McGraw-Hill.</w:t>
            </w:r>
          </w:p>
          <w:p w14:paraId="4D4073FD" w14:textId="77777777" w:rsidR="00990B14" w:rsidRDefault="00000000">
            <w:pPr>
              <w:numPr>
                <w:ilvl w:val="0"/>
                <w:numId w:val="140"/>
              </w:numPr>
              <w:spacing w:after="20"/>
              <w:jc w:val="both"/>
            </w:pPr>
            <w:r>
              <w:rPr>
                <w:sz w:val="18"/>
                <w:szCs w:val="18"/>
              </w:rPr>
              <w:t xml:space="preserve">Osterwalder, A. y Pigneur, Y. (2011). </w:t>
            </w:r>
            <w:r>
              <w:rPr>
                <w:i/>
                <w:iCs/>
                <w:sz w:val="18"/>
                <w:szCs w:val="18"/>
              </w:rPr>
              <w:t>Generación de Modelos de Negocio</w:t>
            </w:r>
            <w:r>
              <w:rPr>
                <w:sz w:val="18"/>
                <w:szCs w:val="18"/>
              </w:rPr>
              <w:t>. Barcelona: Deusto.</w:t>
            </w:r>
          </w:p>
          <w:p w14:paraId="3CAE8F65" w14:textId="77777777" w:rsidR="00990B14" w:rsidRDefault="00000000">
            <w:pPr>
              <w:numPr>
                <w:ilvl w:val="0"/>
                <w:numId w:val="140"/>
              </w:numPr>
              <w:spacing w:after="20"/>
              <w:jc w:val="both"/>
            </w:pPr>
            <w:r w:rsidRPr="00BD34F7">
              <w:rPr>
                <w:sz w:val="18"/>
                <w:szCs w:val="18"/>
                <w:lang w:val="en-US"/>
              </w:rPr>
              <w:t xml:space="preserve">Robbins, S. P. y Judge, T. A. (2023). </w:t>
            </w:r>
            <w:r>
              <w:rPr>
                <w:i/>
                <w:iCs/>
                <w:sz w:val="18"/>
                <w:szCs w:val="18"/>
              </w:rPr>
              <w:t>Comportamiento Organizacional</w:t>
            </w:r>
            <w:r>
              <w:rPr>
                <w:sz w:val="18"/>
                <w:szCs w:val="18"/>
              </w:rPr>
              <w:t>. 18ª ed. México: Pearson.</w:t>
            </w:r>
          </w:p>
        </w:tc>
      </w:tr>
      <w:tr w:rsidR="00990B14" w14:paraId="3190E7BB" w14:textId="77777777">
        <w:trPr>
          <w:jc w:val="center"/>
        </w:trPr>
        <w:tc>
          <w:tcPr>
            <w:tcW w:w="9405" w:type="dxa"/>
            <w:shd w:val="clear" w:color="auto" w:fill="D9E2F3"/>
          </w:tcPr>
          <w:p w14:paraId="519CE2D8" w14:textId="77777777" w:rsidR="00990B14" w:rsidRDefault="00000000">
            <w:pPr>
              <w:spacing w:before="40" w:after="40"/>
              <w:jc w:val="both"/>
            </w:pPr>
            <w:r>
              <w:rPr>
                <w:b/>
                <w:bCs/>
                <w:i/>
                <w:iCs/>
                <w:sz w:val="18"/>
                <w:szCs w:val="18"/>
              </w:rPr>
              <w:t>Bibliografía complementaria:</w:t>
            </w:r>
          </w:p>
          <w:p w14:paraId="0AB75DED" w14:textId="77777777" w:rsidR="00990B14" w:rsidRDefault="00000000">
            <w:pPr>
              <w:numPr>
                <w:ilvl w:val="0"/>
                <w:numId w:val="140"/>
              </w:numPr>
              <w:spacing w:after="20"/>
              <w:jc w:val="both"/>
            </w:pPr>
            <w:r>
              <w:rPr>
                <w:sz w:val="18"/>
                <w:szCs w:val="18"/>
              </w:rPr>
              <w:t xml:space="preserve">Balderas Pedrero, M. (1995). </w:t>
            </w:r>
            <w:r>
              <w:rPr>
                <w:i/>
                <w:iCs/>
                <w:sz w:val="18"/>
                <w:szCs w:val="18"/>
              </w:rPr>
              <w:t>Administración de los Servicios</w:t>
            </w:r>
            <w:r>
              <w:rPr>
                <w:sz w:val="18"/>
                <w:szCs w:val="18"/>
              </w:rPr>
              <w:t>. 3ª ed. México: Editorial Interamericana.</w:t>
            </w:r>
          </w:p>
          <w:p w14:paraId="379AFE54" w14:textId="77777777" w:rsidR="00990B14" w:rsidRDefault="00000000">
            <w:pPr>
              <w:numPr>
                <w:ilvl w:val="0"/>
                <w:numId w:val="140"/>
              </w:numPr>
              <w:spacing w:after="20"/>
              <w:jc w:val="both"/>
            </w:pPr>
            <w:r>
              <w:rPr>
                <w:sz w:val="18"/>
                <w:szCs w:val="18"/>
              </w:rPr>
              <w:t xml:space="preserve">Chiavenato, I. (2019). </w:t>
            </w:r>
            <w:r>
              <w:rPr>
                <w:i/>
                <w:iCs/>
                <w:sz w:val="18"/>
                <w:szCs w:val="18"/>
              </w:rPr>
              <w:t>Introducción a la Teoría General de la Administración</w:t>
            </w:r>
            <w:r>
              <w:rPr>
                <w:sz w:val="18"/>
                <w:szCs w:val="18"/>
              </w:rPr>
              <w:t xml:space="preserve">. 10ª ed. México: McGraw-Hill. Daft, R. L. (2019). </w:t>
            </w:r>
            <w:r>
              <w:rPr>
                <w:i/>
                <w:iCs/>
                <w:sz w:val="18"/>
                <w:szCs w:val="18"/>
              </w:rPr>
              <w:t>Teoría y Diseño Organizacional</w:t>
            </w:r>
            <w:r>
              <w:rPr>
                <w:sz w:val="18"/>
                <w:szCs w:val="18"/>
              </w:rPr>
              <w:t>. 12ª ed. México: Cengage Learning.</w:t>
            </w:r>
          </w:p>
          <w:p w14:paraId="501B9CF4" w14:textId="77777777" w:rsidR="00990B14" w:rsidRDefault="00000000">
            <w:pPr>
              <w:numPr>
                <w:ilvl w:val="0"/>
                <w:numId w:val="140"/>
              </w:numPr>
              <w:spacing w:after="20"/>
              <w:jc w:val="both"/>
            </w:pPr>
            <w:r>
              <w:rPr>
                <w:sz w:val="18"/>
                <w:szCs w:val="18"/>
              </w:rPr>
              <w:t>Decreto Supremo N.º 4218, de 14 de abril de 2020, que regula el teletrabajo en Bolivia.</w:t>
            </w:r>
          </w:p>
          <w:p w14:paraId="4E611E92" w14:textId="77777777" w:rsidR="00990B14" w:rsidRDefault="00000000">
            <w:pPr>
              <w:numPr>
                <w:ilvl w:val="0"/>
                <w:numId w:val="140"/>
              </w:numPr>
              <w:spacing w:after="20"/>
              <w:jc w:val="both"/>
            </w:pPr>
            <w:r>
              <w:rPr>
                <w:sz w:val="18"/>
                <w:szCs w:val="18"/>
              </w:rPr>
              <w:t xml:space="preserve">Faria Mello, F. A. (2005). </w:t>
            </w:r>
            <w:r>
              <w:rPr>
                <w:i/>
                <w:iCs/>
                <w:sz w:val="18"/>
                <w:szCs w:val="18"/>
              </w:rPr>
              <w:t>Desarrollo Organizacional: Enfoque Integral</w:t>
            </w:r>
            <w:r>
              <w:rPr>
                <w:sz w:val="18"/>
                <w:szCs w:val="18"/>
              </w:rPr>
              <w:t>. México: Limusa.</w:t>
            </w:r>
          </w:p>
          <w:p w14:paraId="7EDEB062" w14:textId="77777777" w:rsidR="00990B14" w:rsidRDefault="00000000">
            <w:pPr>
              <w:numPr>
                <w:ilvl w:val="0"/>
                <w:numId w:val="140"/>
              </w:numPr>
              <w:spacing w:after="20"/>
              <w:jc w:val="both"/>
            </w:pPr>
            <w:r w:rsidRPr="00BD34F7">
              <w:rPr>
                <w:sz w:val="18"/>
                <w:szCs w:val="18"/>
                <w:lang w:val="en-US"/>
              </w:rPr>
              <w:t xml:space="preserve">Hitt, M. A., Ireland, R. D. y Hoskisson, R. E. (2015). </w:t>
            </w:r>
            <w:r>
              <w:rPr>
                <w:i/>
                <w:iCs/>
                <w:sz w:val="18"/>
                <w:szCs w:val="18"/>
              </w:rPr>
              <w:t>Administración Estratégica: Competitividad y Globalización</w:t>
            </w:r>
            <w:r>
              <w:rPr>
                <w:sz w:val="18"/>
                <w:szCs w:val="18"/>
              </w:rPr>
              <w:t>. 11ª ed. México: Cengage Learning.</w:t>
            </w:r>
          </w:p>
          <w:p w14:paraId="4021AEA4" w14:textId="77777777" w:rsidR="00990B14" w:rsidRDefault="00000000">
            <w:pPr>
              <w:numPr>
                <w:ilvl w:val="0"/>
                <w:numId w:val="140"/>
              </w:numPr>
              <w:spacing w:after="20"/>
              <w:jc w:val="both"/>
            </w:pPr>
            <w:r w:rsidRPr="00BD34F7">
              <w:rPr>
                <w:sz w:val="18"/>
                <w:szCs w:val="18"/>
                <w:lang w:val="en-US"/>
              </w:rPr>
              <w:t xml:space="preserve">Johnson, G., Scholes, K. y Whittington, R. (2014). </w:t>
            </w:r>
            <w:r>
              <w:rPr>
                <w:i/>
                <w:iCs/>
                <w:sz w:val="18"/>
                <w:szCs w:val="18"/>
              </w:rPr>
              <w:t>Dirección Estratégica</w:t>
            </w:r>
            <w:r>
              <w:rPr>
                <w:sz w:val="18"/>
                <w:szCs w:val="18"/>
              </w:rPr>
              <w:t>. 10ª ed. Madrid: Pearson Educación.</w:t>
            </w:r>
          </w:p>
          <w:p w14:paraId="673599F9" w14:textId="77777777" w:rsidR="00990B14" w:rsidRDefault="00000000">
            <w:pPr>
              <w:numPr>
                <w:ilvl w:val="0"/>
                <w:numId w:val="140"/>
              </w:numPr>
              <w:spacing w:after="20"/>
              <w:jc w:val="both"/>
            </w:pPr>
            <w:r>
              <w:rPr>
                <w:sz w:val="18"/>
                <w:szCs w:val="18"/>
              </w:rPr>
              <w:t xml:space="preserve">Joyanes Aguilar, L. (2015). </w:t>
            </w:r>
            <w:r>
              <w:rPr>
                <w:i/>
                <w:iCs/>
                <w:sz w:val="18"/>
                <w:szCs w:val="18"/>
              </w:rPr>
              <w:t>Sistemas de Información en la Empresa</w:t>
            </w:r>
            <w:r>
              <w:rPr>
                <w:sz w:val="18"/>
                <w:szCs w:val="18"/>
              </w:rPr>
              <w:t>. 1ª ed. México: Alfaomega Grupo Editor.</w:t>
            </w:r>
          </w:p>
          <w:p w14:paraId="0E60E1D7" w14:textId="77777777" w:rsidR="00990B14" w:rsidRDefault="00000000">
            <w:pPr>
              <w:numPr>
                <w:ilvl w:val="0"/>
                <w:numId w:val="140"/>
              </w:numPr>
              <w:spacing w:after="20"/>
              <w:jc w:val="both"/>
            </w:pPr>
            <w:r>
              <w:rPr>
                <w:sz w:val="18"/>
                <w:szCs w:val="18"/>
              </w:rPr>
              <w:t xml:space="preserve">Kaplan, R. S. y Norton, D. P. (2004). </w:t>
            </w:r>
            <w:r>
              <w:rPr>
                <w:i/>
                <w:iCs/>
                <w:sz w:val="18"/>
                <w:szCs w:val="18"/>
              </w:rPr>
              <w:t>Mapas Estratégicos: Convirtiendo los Activos Intangibles en Resultados</w:t>
            </w:r>
            <w:r>
              <w:rPr>
                <w:sz w:val="18"/>
                <w:szCs w:val="18"/>
              </w:rPr>
              <w:t xml:space="preserve"> </w:t>
            </w:r>
            <w:r>
              <w:rPr>
                <w:i/>
                <w:iCs/>
                <w:sz w:val="18"/>
                <w:szCs w:val="18"/>
              </w:rPr>
              <w:t>Tangibles</w:t>
            </w:r>
            <w:r>
              <w:rPr>
                <w:sz w:val="18"/>
                <w:szCs w:val="18"/>
              </w:rPr>
              <w:t>. Barcelona: Gestión 2000.</w:t>
            </w:r>
          </w:p>
          <w:p w14:paraId="35C4BCAA" w14:textId="77777777" w:rsidR="00990B14" w:rsidRDefault="00000000">
            <w:pPr>
              <w:numPr>
                <w:ilvl w:val="0"/>
                <w:numId w:val="140"/>
              </w:numPr>
              <w:spacing w:after="20"/>
              <w:jc w:val="both"/>
            </w:pPr>
            <w:r w:rsidRPr="00BD34F7">
              <w:rPr>
                <w:sz w:val="18"/>
                <w:szCs w:val="18"/>
                <w:lang w:val="en-US"/>
              </w:rPr>
              <w:t xml:space="preserve">Koontz, H., Weihrich, H. y Cannice, M. (2012). </w:t>
            </w:r>
            <w:r>
              <w:rPr>
                <w:i/>
                <w:iCs/>
                <w:sz w:val="18"/>
                <w:szCs w:val="18"/>
              </w:rPr>
              <w:t>Administración: una Perspectiva Global y Empresarial</w:t>
            </w:r>
            <w:r>
              <w:rPr>
                <w:sz w:val="18"/>
                <w:szCs w:val="18"/>
              </w:rPr>
              <w:t>. 14ª ed. México: McGraw-Hill.</w:t>
            </w:r>
          </w:p>
          <w:p w14:paraId="57868B24" w14:textId="77777777" w:rsidR="00990B14" w:rsidRDefault="00000000">
            <w:pPr>
              <w:numPr>
                <w:ilvl w:val="0"/>
                <w:numId w:val="140"/>
              </w:numPr>
              <w:spacing w:after="20"/>
              <w:jc w:val="both"/>
            </w:pPr>
            <w:r>
              <w:rPr>
                <w:sz w:val="18"/>
                <w:szCs w:val="18"/>
              </w:rPr>
              <w:t xml:space="preserve">Kotler, P. (2012). </w:t>
            </w:r>
            <w:r>
              <w:rPr>
                <w:i/>
                <w:iCs/>
                <w:sz w:val="18"/>
                <w:szCs w:val="18"/>
              </w:rPr>
              <w:t>Fundamentos de Marketing</w:t>
            </w:r>
            <w:r>
              <w:rPr>
                <w:sz w:val="18"/>
                <w:szCs w:val="18"/>
              </w:rPr>
              <w:t>. 11ª ed. México: Pearson.</w:t>
            </w:r>
          </w:p>
          <w:p w14:paraId="5F94C58F" w14:textId="77777777" w:rsidR="00990B14" w:rsidRPr="00BD34F7" w:rsidRDefault="00000000">
            <w:pPr>
              <w:numPr>
                <w:ilvl w:val="0"/>
                <w:numId w:val="140"/>
              </w:numPr>
              <w:spacing w:after="20"/>
              <w:jc w:val="both"/>
              <w:rPr>
                <w:lang w:val="en-US"/>
              </w:rPr>
            </w:pPr>
            <w:r w:rsidRPr="00BD34F7">
              <w:rPr>
                <w:sz w:val="18"/>
                <w:szCs w:val="18"/>
                <w:lang w:val="en-US"/>
              </w:rPr>
              <w:t xml:space="preserve">Kotter, J. P. (1996). </w:t>
            </w:r>
            <w:r w:rsidRPr="00BD34F7">
              <w:rPr>
                <w:i/>
                <w:iCs/>
                <w:sz w:val="18"/>
                <w:szCs w:val="18"/>
                <w:lang w:val="en-US"/>
              </w:rPr>
              <w:t>Leading Change</w:t>
            </w:r>
            <w:r w:rsidRPr="00BD34F7">
              <w:rPr>
                <w:sz w:val="18"/>
                <w:szCs w:val="18"/>
                <w:lang w:val="en-US"/>
              </w:rPr>
              <w:t>. Boston: Harvard Business School Press.</w:t>
            </w:r>
          </w:p>
          <w:p w14:paraId="696BE4D9" w14:textId="77777777" w:rsidR="00990B14" w:rsidRDefault="00000000">
            <w:pPr>
              <w:numPr>
                <w:ilvl w:val="0"/>
                <w:numId w:val="140"/>
              </w:numPr>
              <w:spacing w:after="20"/>
              <w:jc w:val="both"/>
            </w:pPr>
            <w:r>
              <w:rPr>
                <w:sz w:val="18"/>
                <w:szCs w:val="18"/>
              </w:rPr>
              <w:t>Ley N.º 045, Contra el Racismo y Toda Forma de Discriminación, de 8 de octubre de 2010.</w:t>
            </w:r>
          </w:p>
          <w:p w14:paraId="6B375A3B" w14:textId="77777777" w:rsidR="00990B14" w:rsidRDefault="00000000">
            <w:pPr>
              <w:numPr>
                <w:ilvl w:val="0"/>
                <w:numId w:val="140"/>
              </w:numPr>
              <w:spacing w:after="20"/>
              <w:jc w:val="both"/>
            </w:pPr>
            <w:r>
              <w:rPr>
                <w:sz w:val="18"/>
                <w:szCs w:val="18"/>
              </w:rPr>
              <w:t>Ley N.º 348, Integral para Garantizar a las Mujeres una Vida Libre de Violencia, de 9 de marzo de 2013.</w:t>
            </w:r>
          </w:p>
          <w:p w14:paraId="458D7DDF" w14:textId="77777777" w:rsidR="00990B14" w:rsidRDefault="00000000">
            <w:pPr>
              <w:numPr>
                <w:ilvl w:val="0"/>
                <w:numId w:val="140"/>
              </w:numPr>
              <w:spacing w:after="20"/>
              <w:jc w:val="both"/>
            </w:pPr>
            <w:r>
              <w:rPr>
                <w:sz w:val="18"/>
                <w:szCs w:val="18"/>
              </w:rPr>
              <w:t xml:space="preserve">Porter, M. E. (2015). </w:t>
            </w:r>
            <w:r>
              <w:rPr>
                <w:i/>
                <w:iCs/>
                <w:sz w:val="18"/>
                <w:szCs w:val="18"/>
              </w:rPr>
              <w:t>Estrategia Competitiva: Técnicas para el Análisis de los Sectores Industriales</w:t>
            </w:r>
            <w:r>
              <w:rPr>
                <w:sz w:val="18"/>
                <w:szCs w:val="18"/>
              </w:rPr>
              <w:t>. Madrid: Ediciones Pirámide.</w:t>
            </w:r>
          </w:p>
          <w:p w14:paraId="6022B857" w14:textId="77777777" w:rsidR="00990B14" w:rsidRDefault="00000000">
            <w:pPr>
              <w:numPr>
                <w:ilvl w:val="0"/>
                <w:numId w:val="140"/>
              </w:numPr>
              <w:spacing w:after="20"/>
              <w:jc w:val="both"/>
            </w:pPr>
            <w:r>
              <w:rPr>
                <w:sz w:val="18"/>
                <w:szCs w:val="18"/>
              </w:rPr>
              <w:t xml:space="preserve">Senge, P. (1990). </w:t>
            </w:r>
            <w:r>
              <w:rPr>
                <w:i/>
                <w:iCs/>
                <w:sz w:val="18"/>
                <w:szCs w:val="18"/>
              </w:rPr>
              <w:t>La Quinta Disciplina: el arte y la práctica de la organización abierta al aprendizaje</w:t>
            </w:r>
            <w:r>
              <w:rPr>
                <w:sz w:val="18"/>
                <w:szCs w:val="18"/>
              </w:rPr>
              <w:t>. Buenos Aires: Ediciones Granica.</w:t>
            </w:r>
          </w:p>
          <w:p w14:paraId="2F06C3C3" w14:textId="77777777" w:rsidR="00990B14" w:rsidRDefault="00000000">
            <w:pPr>
              <w:numPr>
                <w:ilvl w:val="0"/>
                <w:numId w:val="140"/>
              </w:numPr>
              <w:spacing w:after="20"/>
              <w:jc w:val="both"/>
            </w:pPr>
            <w:r>
              <w:rPr>
                <w:sz w:val="18"/>
                <w:szCs w:val="18"/>
              </w:rPr>
              <w:t>Sitios web oficiales: www.mintrabajo.gob.bo, www.seprec.gob.bo, www.asfi.gob.bo y www.bcb.gob.bo.</w:t>
            </w:r>
          </w:p>
        </w:tc>
      </w:tr>
    </w:tbl>
    <w:p w14:paraId="1F16CD3F" w14:textId="77777777" w:rsidR="00990B14" w:rsidRDefault="00000000">
      <w:pPr>
        <w:pStyle w:val="TituloPlanAsignatura"/>
        <w:keepNext/>
        <w:pageBreakBefore/>
        <w:spacing w:after="120"/>
        <w:jc w:val="center"/>
        <w:outlineLvl w:val="2"/>
      </w:pPr>
      <w:bookmarkStart w:id="170" w:name="_Toc000000111"/>
      <w:r>
        <w:rPr>
          <w:b/>
          <w:bCs/>
          <w:sz w:val="24"/>
          <w:szCs w:val="24"/>
        </w:rPr>
        <w:t>ECO-301 Preparación y Evaluación de Proyectos</w:t>
      </w:r>
      <w:bookmarkEnd w:id="170"/>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249"/>
        <w:gridCol w:w="1100"/>
        <w:gridCol w:w="149"/>
        <w:gridCol w:w="635"/>
        <w:gridCol w:w="615"/>
        <w:gridCol w:w="952"/>
        <w:gridCol w:w="298"/>
        <w:gridCol w:w="1250"/>
        <w:gridCol w:w="20"/>
        <w:gridCol w:w="385"/>
        <w:gridCol w:w="398"/>
        <w:gridCol w:w="447"/>
        <w:gridCol w:w="1907"/>
      </w:tblGrid>
      <w:tr w:rsidR="00990B14" w14:paraId="50249618" w14:textId="77777777">
        <w:trPr>
          <w:cantSplit/>
          <w:jc w:val="center"/>
        </w:trPr>
        <w:tc>
          <w:tcPr>
            <w:tcW w:w="2349" w:type="dxa"/>
            <w:gridSpan w:val="2"/>
            <w:shd w:val="clear" w:color="auto" w:fill="4472C4"/>
            <w:vAlign w:val="center"/>
          </w:tcPr>
          <w:p w14:paraId="48CCBB55" w14:textId="77777777" w:rsidR="00990B14" w:rsidRDefault="00000000">
            <w:pPr>
              <w:keepNext/>
              <w:spacing w:before="20" w:after="20"/>
              <w:jc w:val="center"/>
            </w:pPr>
            <w:r>
              <w:rPr>
                <w:b/>
                <w:bCs/>
                <w:i/>
                <w:iCs/>
                <w:color w:val="FFFFFF"/>
                <w:sz w:val="18"/>
                <w:szCs w:val="18"/>
              </w:rPr>
              <w:t>Asignatura</w:t>
            </w:r>
          </w:p>
        </w:tc>
        <w:tc>
          <w:tcPr>
            <w:tcW w:w="2351" w:type="dxa"/>
            <w:gridSpan w:val="4"/>
            <w:shd w:val="clear" w:color="auto" w:fill="4472C4"/>
            <w:vAlign w:val="center"/>
          </w:tcPr>
          <w:p w14:paraId="713B96B9" w14:textId="77777777" w:rsidR="00990B14" w:rsidRDefault="00000000">
            <w:pPr>
              <w:keepNext/>
              <w:spacing w:before="20" w:after="20"/>
              <w:jc w:val="center"/>
            </w:pPr>
            <w:r>
              <w:rPr>
                <w:b/>
                <w:bCs/>
                <w:i/>
                <w:iCs/>
                <w:color w:val="FFFFFF"/>
                <w:sz w:val="18"/>
                <w:szCs w:val="18"/>
              </w:rPr>
              <w:t>Sigla</w:t>
            </w:r>
          </w:p>
        </w:tc>
        <w:tc>
          <w:tcPr>
            <w:tcW w:w="2351" w:type="dxa"/>
            <w:gridSpan w:val="5"/>
            <w:shd w:val="clear" w:color="auto" w:fill="4472C4"/>
            <w:vAlign w:val="center"/>
          </w:tcPr>
          <w:p w14:paraId="16123829" w14:textId="77777777" w:rsidR="00990B14" w:rsidRDefault="00000000">
            <w:pPr>
              <w:keepNext/>
              <w:spacing w:before="20" w:after="20"/>
              <w:jc w:val="center"/>
            </w:pPr>
            <w:r>
              <w:rPr>
                <w:b/>
                <w:bCs/>
                <w:i/>
                <w:iCs/>
                <w:color w:val="FFFFFF"/>
                <w:sz w:val="18"/>
                <w:szCs w:val="18"/>
              </w:rPr>
              <w:t>Nivel/Área</w:t>
            </w:r>
          </w:p>
        </w:tc>
        <w:tc>
          <w:tcPr>
            <w:tcW w:w="2354" w:type="dxa"/>
            <w:gridSpan w:val="2"/>
            <w:shd w:val="clear" w:color="auto" w:fill="4472C4"/>
            <w:vAlign w:val="center"/>
          </w:tcPr>
          <w:p w14:paraId="54014799" w14:textId="77777777" w:rsidR="00990B14" w:rsidRDefault="00000000">
            <w:pPr>
              <w:keepNext/>
              <w:spacing w:before="20" w:after="20"/>
              <w:jc w:val="center"/>
            </w:pPr>
            <w:r>
              <w:rPr>
                <w:b/>
                <w:bCs/>
                <w:i/>
                <w:iCs/>
                <w:color w:val="FFFFFF"/>
                <w:sz w:val="18"/>
                <w:szCs w:val="18"/>
              </w:rPr>
              <w:t>Prerrequisito</w:t>
            </w:r>
          </w:p>
        </w:tc>
      </w:tr>
      <w:tr w:rsidR="00990B14" w14:paraId="37B9A168" w14:textId="77777777">
        <w:trPr>
          <w:cantSplit/>
          <w:jc w:val="center"/>
        </w:trPr>
        <w:tc>
          <w:tcPr>
            <w:tcW w:w="2349" w:type="dxa"/>
            <w:gridSpan w:val="2"/>
            <w:shd w:val="clear" w:color="auto" w:fill="D9E2F3"/>
            <w:vAlign w:val="center"/>
          </w:tcPr>
          <w:p w14:paraId="269EE492" w14:textId="77777777" w:rsidR="00990B14" w:rsidRDefault="00000000">
            <w:pPr>
              <w:spacing w:before="20" w:after="20"/>
              <w:jc w:val="center"/>
            </w:pPr>
            <w:r>
              <w:rPr>
                <w:b/>
                <w:bCs/>
                <w:i/>
                <w:iCs/>
                <w:sz w:val="18"/>
                <w:szCs w:val="18"/>
              </w:rPr>
              <w:t>Preparación y Evaluación de Proyectos</w:t>
            </w:r>
          </w:p>
        </w:tc>
        <w:tc>
          <w:tcPr>
            <w:tcW w:w="2351" w:type="dxa"/>
            <w:gridSpan w:val="4"/>
            <w:shd w:val="clear" w:color="auto" w:fill="D9E2F3"/>
            <w:vAlign w:val="center"/>
          </w:tcPr>
          <w:p w14:paraId="38B38450" w14:textId="77777777" w:rsidR="00990B14" w:rsidRDefault="00000000">
            <w:pPr>
              <w:spacing w:before="20" w:after="20"/>
              <w:jc w:val="center"/>
            </w:pPr>
            <w:r>
              <w:rPr>
                <w:b/>
                <w:bCs/>
                <w:i/>
                <w:iCs/>
                <w:sz w:val="18"/>
                <w:szCs w:val="18"/>
              </w:rPr>
              <w:t>ECO-301</w:t>
            </w:r>
          </w:p>
        </w:tc>
        <w:tc>
          <w:tcPr>
            <w:tcW w:w="2351" w:type="dxa"/>
            <w:gridSpan w:val="5"/>
            <w:shd w:val="clear" w:color="auto" w:fill="D9E2F3"/>
            <w:vAlign w:val="center"/>
          </w:tcPr>
          <w:p w14:paraId="59E7D1A5" w14:textId="77777777" w:rsidR="00990B14" w:rsidRDefault="00000000">
            <w:pPr>
              <w:spacing w:before="20" w:after="20"/>
              <w:jc w:val="center"/>
            </w:pPr>
            <w:r>
              <w:rPr>
                <w:b/>
                <w:bCs/>
                <w:i/>
                <w:iCs/>
                <w:sz w:val="18"/>
                <w:szCs w:val="18"/>
              </w:rPr>
              <w:t>Economía</w:t>
            </w:r>
          </w:p>
        </w:tc>
        <w:tc>
          <w:tcPr>
            <w:tcW w:w="2354" w:type="dxa"/>
            <w:gridSpan w:val="2"/>
            <w:shd w:val="clear" w:color="auto" w:fill="D9E2F3"/>
            <w:vAlign w:val="center"/>
          </w:tcPr>
          <w:p w14:paraId="2D6285F4" w14:textId="77777777" w:rsidR="00990B14" w:rsidRDefault="00000000">
            <w:pPr>
              <w:spacing w:before="20" w:after="20"/>
              <w:jc w:val="center"/>
            </w:pPr>
            <w:r>
              <w:rPr>
                <w:b/>
                <w:bCs/>
                <w:i/>
                <w:iCs/>
                <w:sz w:val="18"/>
                <w:szCs w:val="18"/>
              </w:rPr>
              <w:t>ECO-201</w:t>
            </w:r>
          </w:p>
        </w:tc>
      </w:tr>
      <w:tr w:rsidR="00990B14" w14:paraId="55E9F670" w14:textId="77777777">
        <w:trPr>
          <w:cantSplit/>
          <w:jc w:val="center"/>
        </w:trPr>
        <w:tc>
          <w:tcPr>
            <w:tcW w:w="7498" w:type="dxa"/>
            <w:gridSpan w:val="12"/>
            <w:shd w:val="clear" w:color="auto" w:fill="4472C4"/>
            <w:vAlign w:val="center"/>
          </w:tcPr>
          <w:p w14:paraId="6771DC5C" w14:textId="77777777" w:rsidR="00990B14" w:rsidRDefault="00000000">
            <w:pPr>
              <w:keepNext/>
              <w:spacing w:before="20" w:after="20"/>
              <w:jc w:val="center"/>
            </w:pPr>
            <w:r>
              <w:rPr>
                <w:b/>
                <w:bCs/>
                <w:i/>
                <w:iCs/>
                <w:color w:val="FFFFFF"/>
                <w:sz w:val="18"/>
                <w:szCs w:val="18"/>
              </w:rPr>
              <w:t>Carga Horaria</w:t>
            </w:r>
          </w:p>
        </w:tc>
        <w:tc>
          <w:tcPr>
            <w:tcW w:w="1907" w:type="dxa"/>
            <w:shd w:val="clear" w:color="auto" w:fill="4472C4"/>
            <w:vAlign w:val="center"/>
          </w:tcPr>
          <w:p w14:paraId="161F9D80" w14:textId="77777777" w:rsidR="00990B14" w:rsidRDefault="00000000">
            <w:pPr>
              <w:keepNext/>
              <w:spacing w:before="20" w:after="20"/>
              <w:jc w:val="center"/>
            </w:pPr>
            <w:r>
              <w:rPr>
                <w:b/>
                <w:bCs/>
                <w:i/>
                <w:iCs/>
                <w:color w:val="FFFFFF"/>
                <w:sz w:val="18"/>
                <w:szCs w:val="18"/>
              </w:rPr>
              <w:t>Créditos</w:t>
            </w:r>
          </w:p>
        </w:tc>
      </w:tr>
      <w:tr w:rsidR="00990B14" w14:paraId="5AD9D2CB" w14:textId="77777777">
        <w:trPr>
          <w:cantSplit/>
          <w:jc w:val="center"/>
        </w:trPr>
        <w:tc>
          <w:tcPr>
            <w:tcW w:w="1249" w:type="dxa"/>
            <w:shd w:val="clear" w:color="auto" w:fill="4472C4"/>
            <w:vAlign w:val="center"/>
          </w:tcPr>
          <w:p w14:paraId="0BA016B5" w14:textId="77777777" w:rsidR="00990B14" w:rsidRDefault="00000000">
            <w:pPr>
              <w:keepNext/>
              <w:spacing w:before="20" w:after="20"/>
              <w:jc w:val="center"/>
            </w:pPr>
            <w:r>
              <w:rPr>
                <w:b/>
                <w:bCs/>
                <w:i/>
                <w:iCs/>
                <w:color w:val="FFFFFF"/>
                <w:sz w:val="18"/>
                <w:szCs w:val="18"/>
              </w:rPr>
              <w:t>HP</w:t>
            </w:r>
          </w:p>
        </w:tc>
        <w:tc>
          <w:tcPr>
            <w:tcW w:w="1249" w:type="dxa"/>
            <w:gridSpan w:val="2"/>
            <w:shd w:val="clear" w:color="auto" w:fill="4472C4"/>
            <w:vAlign w:val="center"/>
          </w:tcPr>
          <w:p w14:paraId="1793E670" w14:textId="77777777" w:rsidR="00990B14" w:rsidRDefault="00000000">
            <w:pPr>
              <w:keepNext/>
              <w:spacing w:before="20" w:after="20"/>
              <w:jc w:val="center"/>
            </w:pPr>
            <w:r>
              <w:rPr>
                <w:b/>
                <w:bCs/>
                <w:i/>
                <w:iCs/>
                <w:color w:val="FFFFFF"/>
                <w:sz w:val="18"/>
                <w:szCs w:val="18"/>
              </w:rPr>
              <w:t>HAA</w:t>
            </w:r>
          </w:p>
        </w:tc>
        <w:tc>
          <w:tcPr>
            <w:tcW w:w="1250" w:type="dxa"/>
            <w:gridSpan w:val="2"/>
            <w:shd w:val="clear" w:color="auto" w:fill="4472C4"/>
            <w:vAlign w:val="center"/>
          </w:tcPr>
          <w:p w14:paraId="1FFC1182" w14:textId="77777777" w:rsidR="00990B14" w:rsidRDefault="00000000">
            <w:pPr>
              <w:keepNext/>
              <w:spacing w:before="20" w:after="20"/>
              <w:jc w:val="center"/>
            </w:pPr>
            <w:r>
              <w:rPr>
                <w:b/>
                <w:bCs/>
                <w:i/>
                <w:iCs/>
                <w:color w:val="FFFFFF"/>
                <w:sz w:val="18"/>
                <w:szCs w:val="18"/>
              </w:rPr>
              <w:t>HTG</w:t>
            </w:r>
          </w:p>
        </w:tc>
        <w:tc>
          <w:tcPr>
            <w:tcW w:w="1250" w:type="dxa"/>
            <w:gridSpan w:val="2"/>
            <w:shd w:val="clear" w:color="auto" w:fill="4472C4"/>
            <w:vAlign w:val="center"/>
          </w:tcPr>
          <w:p w14:paraId="24387242" w14:textId="77777777" w:rsidR="00990B14" w:rsidRDefault="00000000">
            <w:pPr>
              <w:keepNext/>
              <w:spacing w:before="20" w:after="20"/>
              <w:jc w:val="center"/>
            </w:pPr>
            <w:r>
              <w:rPr>
                <w:b/>
                <w:bCs/>
                <w:i/>
                <w:iCs/>
                <w:color w:val="FFFFFF"/>
                <w:sz w:val="18"/>
                <w:szCs w:val="18"/>
              </w:rPr>
              <w:t>HIP</w:t>
            </w:r>
          </w:p>
        </w:tc>
        <w:tc>
          <w:tcPr>
            <w:tcW w:w="1250" w:type="dxa"/>
            <w:shd w:val="clear" w:color="auto" w:fill="4472C4"/>
            <w:vAlign w:val="center"/>
          </w:tcPr>
          <w:p w14:paraId="24841323" w14:textId="77777777" w:rsidR="00990B14" w:rsidRDefault="00000000">
            <w:pPr>
              <w:keepNext/>
              <w:spacing w:before="20" w:after="20"/>
              <w:jc w:val="center"/>
            </w:pPr>
            <w:r>
              <w:rPr>
                <w:b/>
                <w:bCs/>
                <w:i/>
                <w:iCs/>
                <w:color w:val="FFFFFF"/>
                <w:sz w:val="18"/>
                <w:szCs w:val="18"/>
              </w:rPr>
              <w:t>HE</w:t>
            </w:r>
          </w:p>
        </w:tc>
        <w:tc>
          <w:tcPr>
            <w:tcW w:w="1250" w:type="dxa"/>
            <w:gridSpan w:val="4"/>
            <w:shd w:val="clear" w:color="auto" w:fill="4472C4"/>
            <w:vAlign w:val="center"/>
          </w:tcPr>
          <w:p w14:paraId="79DEF24A" w14:textId="77777777" w:rsidR="00990B14" w:rsidRDefault="00000000">
            <w:pPr>
              <w:keepNext/>
              <w:spacing w:before="20" w:after="20"/>
              <w:jc w:val="center"/>
            </w:pPr>
            <w:r>
              <w:rPr>
                <w:b/>
                <w:bCs/>
                <w:i/>
                <w:iCs/>
                <w:color w:val="FFFFFF"/>
                <w:sz w:val="18"/>
                <w:szCs w:val="18"/>
              </w:rPr>
              <w:t>TOTAL</w:t>
            </w:r>
          </w:p>
        </w:tc>
        <w:tc>
          <w:tcPr>
            <w:tcW w:w="1907" w:type="dxa"/>
            <w:vMerge w:val="restart"/>
            <w:shd w:val="clear" w:color="auto" w:fill="D9E2F3"/>
            <w:vAlign w:val="center"/>
          </w:tcPr>
          <w:p w14:paraId="7901F325" w14:textId="77777777" w:rsidR="00990B14" w:rsidRDefault="00000000">
            <w:pPr>
              <w:spacing w:before="20" w:after="20"/>
              <w:jc w:val="center"/>
            </w:pPr>
            <w:r>
              <w:rPr>
                <w:sz w:val="18"/>
                <w:szCs w:val="18"/>
              </w:rPr>
              <w:t>7</w:t>
            </w:r>
          </w:p>
        </w:tc>
      </w:tr>
      <w:tr w:rsidR="00990B14" w14:paraId="0CE9EEB7" w14:textId="77777777">
        <w:trPr>
          <w:cantSplit/>
          <w:jc w:val="center"/>
        </w:trPr>
        <w:tc>
          <w:tcPr>
            <w:tcW w:w="1249" w:type="dxa"/>
            <w:shd w:val="clear" w:color="auto" w:fill="D9E2F3"/>
            <w:vAlign w:val="center"/>
          </w:tcPr>
          <w:p w14:paraId="7178956D" w14:textId="77777777" w:rsidR="00990B14" w:rsidRDefault="00000000">
            <w:pPr>
              <w:spacing w:before="20" w:after="20"/>
              <w:jc w:val="center"/>
            </w:pPr>
            <w:r>
              <w:rPr>
                <w:sz w:val="18"/>
                <w:szCs w:val="18"/>
              </w:rPr>
              <w:t>160</w:t>
            </w:r>
          </w:p>
        </w:tc>
        <w:tc>
          <w:tcPr>
            <w:tcW w:w="1249" w:type="dxa"/>
            <w:gridSpan w:val="2"/>
            <w:shd w:val="clear" w:color="auto" w:fill="D9E2F3"/>
            <w:vAlign w:val="center"/>
          </w:tcPr>
          <w:p w14:paraId="3A097514" w14:textId="77777777" w:rsidR="00990B14" w:rsidRDefault="00000000">
            <w:pPr>
              <w:spacing w:before="20" w:after="20"/>
              <w:jc w:val="center"/>
            </w:pPr>
            <w:r>
              <w:rPr>
                <w:sz w:val="18"/>
                <w:szCs w:val="18"/>
              </w:rPr>
              <w:t>10</w:t>
            </w:r>
          </w:p>
        </w:tc>
        <w:tc>
          <w:tcPr>
            <w:tcW w:w="1250" w:type="dxa"/>
            <w:gridSpan w:val="2"/>
            <w:shd w:val="clear" w:color="auto" w:fill="D9E2F3"/>
            <w:vAlign w:val="center"/>
          </w:tcPr>
          <w:p w14:paraId="17DD4B1F" w14:textId="77777777" w:rsidR="00990B14" w:rsidRDefault="00000000">
            <w:pPr>
              <w:spacing w:before="20" w:after="20"/>
              <w:jc w:val="center"/>
            </w:pPr>
            <w:r>
              <w:rPr>
                <w:sz w:val="18"/>
                <w:szCs w:val="18"/>
              </w:rPr>
              <w:t>10</w:t>
            </w:r>
          </w:p>
        </w:tc>
        <w:tc>
          <w:tcPr>
            <w:tcW w:w="1250" w:type="dxa"/>
            <w:gridSpan w:val="2"/>
            <w:shd w:val="clear" w:color="auto" w:fill="D9E2F3"/>
            <w:vAlign w:val="center"/>
          </w:tcPr>
          <w:p w14:paraId="1F97A959" w14:textId="77777777" w:rsidR="00990B14" w:rsidRDefault="00000000">
            <w:pPr>
              <w:spacing w:before="20" w:after="20"/>
              <w:jc w:val="center"/>
            </w:pPr>
            <w:r>
              <w:rPr>
                <w:sz w:val="18"/>
                <w:szCs w:val="18"/>
              </w:rPr>
              <w:t>20</w:t>
            </w:r>
          </w:p>
        </w:tc>
        <w:tc>
          <w:tcPr>
            <w:tcW w:w="1250" w:type="dxa"/>
            <w:shd w:val="clear" w:color="auto" w:fill="D9E2F3"/>
            <w:vAlign w:val="center"/>
          </w:tcPr>
          <w:p w14:paraId="184880F1" w14:textId="77777777" w:rsidR="00990B14" w:rsidRDefault="00000000">
            <w:pPr>
              <w:spacing w:before="20" w:after="20"/>
              <w:jc w:val="center"/>
            </w:pPr>
            <w:r>
              <w:rPr>
                <w:sz w:val="18"/>
                <w:szCs w:val="18"/>
              </w:rPr>
              <w:t>10</w:t>
            </w:r>
          </w:p>
        </w:tc>
        <w:tc>
          <w:tcPr>
            <w:tcW w:w="1250" w:type="dxa"/>
            <w:gridSpan w:val="4"/>
            <w:shd w:val="clear" w:color="auto" w:fill="D9E2F3"/>
            <w:vAlign w:val="center"/>
          </w:tcPr>
          <w:p w14:paraId="30876D93" w14:textId="77777777" w:rsidR="00990B14" w:rsidRDefault="00000000">
            <w:pPr>
              <w:spacing w:before="20" w:after="20"/>
              <w:jc w:val="center"/>
            </w:pPr>
            <w:r>
              <w:rPr>
                <w:sz w:val="18"/>
                <w:szCs w:val="18"/>
              </w:rPr>
              <w:t>210</w:t>
            </w:r>
          </w:p>
        </w:tc>
        <w:tc>
          <w:tcPr>
            <w:tcW w:w="1907" w:type="dxa"/>
            <w:vMerge/>
            <w:shd w:val="clear" w:color="auto" w:fill="D9E2F3"/>
            <w:vAlign w:val="center"/>
          </w:tcPr>
          <w:p w14:paraId="568379F1" w14:textId="77777777" w:rsidR="00990B14" w:rsidRDefault="00990B14">
            <w:pPr>
              <w:spacing w:before="20" w:after="20"/>
            </w:pPr>
          </w:p>
        </w:tc>
      </w:tr>
      <w:tr w:rsidR="00990B14" w14:paraId="5A27CE00" w14:textId="77777777">
        <w:trPr>
          <w:cantSplit/>
          <w:jc w:val="center"/>
        </w:trPr>
        <w:tc>
          <w:tcPr>
            <w:tcW w:w="9405" w:type="dxa"/>
            <w:gridSpan w:val="13"/>
            <w:shd w:val="clear" w:color="auto" w:fill="4472C4"/>
            <w:vAlign w:val="center"/>
          </w:tcPr>
          <w:p w14:paraId="0577A5FF" w14:textId="77777777" w:rsidR="00990B14" w:rsidRDefault="00000000">
            <w:pPr>
              <w:keepNext/>
              <w:spacing w:before="20" w:after="20"/>
              <w:jc w:val="center"/>
            </w:pPr>
            <w:r>
              <w:rPr>
                <w:b/>
                <w:bCs/>
                <w:i/>
                <w:iCs/>
                <w:color w:val="FFFFFF"/>
                <w:sz w:val="18"/>
                <w:szCs w:val="18"/>
              </w:rPr>
              <w:t>Unidad de Competencia</w:t>
            </w:r>
          </w:p>
        </w:tc>
      </w:tr>
      <w:tr w:rsidR="00990B14" w14:paraId="35649CC7" w14:textId="77777777">
        <w:trPr>
          <w:cantSplit/>
          <w:jc w:val="center"/>
        </w:trPr>
        <w:tc>
          <w:tcPr>
            <w:tcW w:w="9405" w:type="dxa"/>
            <w:gridSpan w:val="13"/>
            <w:shd w:val="clear" w:color="auto" w:fill="D9E2F3"/>
            <w:vAlign w:val="center"/>
          </w:tcPr>
          <w:p w14:paraId="4416AFD7" w14:textId="77777777" w:rsidR="00990B14" w:rsidRDefault="00000000">
            <w:pPr>
              <w:spacing w:before="20" w:after="20"/>
              <w:jc w:val="both"/>
            </w:pPr>
            <w:r>
              <w:rPr>
                <w:sz w:val="18"/>
                <w:szCs w:val="18"/>
              </w:rPr>
              <w:t>Elabora un proyecto de inversión privado o público, analizando el mercado y la demanda potencial de un producto o servicio, diseñando el tamaño, la localización y la organización del proyecto, verificando su viabilidad legal y ambiental, calculando los costos y la inversión requerida y midiendo el efecto del riesgo con el análisis de sensibilidad, y elaborando flujos de caja para la evaluación financiera y socioeconómica a nivel privado y público en base a la normativa vigente de inversión pública, con uso de hojas de cálculo, objetividad, rigor técnico, sentido crítico y atención al aporte del proyecto al desarrollo del país.</w:t>
            </w:r>
          </w:p>
        </w:tc>
      </w:tr>
      <w:tr w:rsidR="00990B14" w14:paraId="6633A2CC" w14:textId="77777777">
        <w:trPr>
          <w:cantSplit/>
          <w:jc w:val="center"/>
        </w:trPr>
        <w:tc>
          <w:tcPr>
            <w:tcW w:w="9405" w:type="dxa"/>
            <w:gridSpan w:val="13"/>
            <w:shd w:val="clear" w:color="auto" w:fill="D9E2F3"/>
            <w:vAlign w:val="center"/>
          </w:tcPr>
          <w:p w14:paraId="6FDF57AE" w14:textId="77777777" w:rsidR="00990B14" w:rsidRDefault="00000000">
            <w:pPr>
              <w:spacing w:before="20" w:after="20"/>
              <w:jc w:val="both"/>
            </w:pPr>
            <w:r>
              <w:rPr>
                <w:b/>
                <w:bCs/>
                <w:i/>
                <w:iCs/>
                <w:sz w:val="18"/>
                <w:szCs w:val="18"/>
              </w:rPr>
              <w:t xml:space="preserve">Elemento de competencia 1: </w:t>
            </w:r>
            <w:r>
              <w:rPr>
                <w:sz w:val="18"/>
                <w:szCs w:val="18"/>
              </w:rPr>
              <w:t>Identifica las características y los tiempos de un proyecto de inversión, relacionando la interdependencia circular de sus estudios con el desarrollo económico y social.</w:t>
            </w:r>
          </w:p>
        </w:tc>
      </w:tr>
      <w:tr w:rsidR="00990B14" w14:paraId="4A8FF30B" w14:textId="77777777">
        <w:trPr>
          <w:cantSplit/>
          <w:jc w:val="center"/>
        </w:trPr>
        <w:tc>
          <w:tcPr>
            <w:tcW w:w="3133" w:type="dxa"/>
            <w:gridSpan w:val="4"/>
            <w:shd w:val="clear" w:color="auto" w:fill="4472C4"/>
            <w:vAlign w:val="center"/>
          </w:tcPr>
          <w:p w14:paraId="65F95E39"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2AA0A30D"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6F9BE43D" w14:textId="77777777" w:rsidR="00990B14" w:rsidRDefault="00000000">
            <w:pPr>
              <w:keepNext/>
              <w:spacing w:before="20" w:after="20"/>
              <w:jc w:val="center"/>
            </w:pPr>
            <w:r>
              <w:rPr>
                <w:b/>
                <w:bCs/>
                <w:i/>
                <w:iCs/>
                <w:color w:val="FFFFFF"/>
                <w:sz w:val="18"/>
                <w:szCs w:val="18"/>
              </w:rPr>
              <w:t>Evidencias de producto</w:t>
            </w:r>
          </w:p>
        </w:tc>
      </w:tr>
      <w:tr w:rsidR="00990B14" w14:paraId="084FC26E" w14:textId="77777777">
        <w:trPr>
          <w:cantSplit/>
          <w:jc w:val="center"/>
        </w:trPr>
        <w:tc>
          <w:tcPr>
            <w:tcW w:w="3133" w:type="dxa"/>
            <w:gridSpan w:val="4"/>
            <w:vMerge w:val="restart"/>
            <w:shd w:val="clear" w:color="auto" w:fill="D9E2F3"/>
            <w:vAlign w:val="center"/>
          </w:tcPr>
          <w:p w14:paraId="0F6BC2A4" w14:textId="77777777" w:rsidR="00990B14" w:rsidRDefault="00000000">
            <w:pPr>
              <w:spacing w:before="20" w:after="20"/>
              <w:jc w:val="both"/>
            </w:pPr>
            <w:r>
              <w:rPr>
                <w:sz w:val="18"/>
                <w:szCs w:val="18"/>
              </w:rPr>
              <w:t>1. Identifica las características, los tiempos y el ciclo de vida de un proyecto de inversión, explicando la interdependencia circular de sus estudios de viabilidad.</w:t>
            </w:r>
          </w:p>
        </w:tc>
        <w:tc>
          <w:tcPr>
            <w:tcW w:w="3135" w:type="dxa"/>
            <w:gridSpan w:val="5"/>
            <w:shd w:val="clear" w:color="auto" w:fill="D9E2F3"/>
            <w:vAlign w:val="center"/>
          </w:tcPr>
          <w:p w14:paraId="3416D8A8" w14:textId="77777777" w:rsidR="00990B14" w:rsidRDefault="00000000">
            <w:pPr>
              <w:spacing w:before="20" w:after="20"/>
              <w:jc w:val="both"/>
            </w:pPr>
            <w:r>
              <w:rPr>
                <w:sz w:val="18"/>
                <w:szCs w:val="18"/>
              </w:rPr>
              <w:t>1.1 Expone en equipo las características y los ciclos de un proyecto de inversión con un ejemplo boliviano.</w:t>
            </w:r>
          </w:p>
        </w:tc>
        <w:tc>
          <w:tcPr>
            <w:tcW w:w="3137" w:type="dxa"/>
            <w:gridSpan w:val="4"/>
            <w:shd w:val="clear" w:color="auto" w:fill="D9E2F3"/>
            <w:vAlign w:val="center"/>
          </w:tcPr>
          <w:p w14:paraId="6B827F05" w14:textId="77777777" w:rsidR="00990B14" w:rsidRDefault="00000000">
            <w:pPr>
              <w:spacing w:before="20" w:after="20"/>
              <w:jc w:val="both"/>
            </w:pPr>
            <w:r>
              <w:rPr>
                <w:b/>
                <w:bCs/>
                <w:sz w:val="18"/>
                <w:szCs w:val="18"/>
              </w:rPr>
              <w:t xml:space="preserve">Producto 1: </w:t>
            </w:r>
            <w:r>
              <w:rPr>
                <w:sz w:val="18"/>
                <w:szCs w:val="18"/>
              </w:rPr>
              <w:t>Ficha de caracterización de un proyecto de inversión y de su ciclo de vida.</w:t>
            </w:r>
          </w:p>
        </w:tc>
      </w:tr>
      <w:tr w:rsidR="00990B14" w14:paraId="25BB7316" w14:textId="77777777">
        <w:trPr>
          <w:cantSplit/>
          <w:jc w:val="center"/>
        </w:trPr>
        <w:tc>
          <w:tcPr>
            <w:tcW w:w="3133" w:type="dxa"/>
            <w:gridSpan w:val="4"/>
            <w:vMerge/>
            <w:shd w:val="clear" w:color="auto" w:fill="D9E2F3"/>
            <w:vAlign w:val="center"/>
          </w:tcPr>
          <w:p w14:paraId="76E2A0BE" w14:textId="77777777" w:rsidR="00990B14" w:rsidRDefault="00990B14">
            <w:pPr>
              <w:spacing w:before="20" w:after="20"/>
            </w:pPr>
          </w:p>
        </w:tc>
        <w:tc>
          <w:tcPr>
            <w:tcW w:w="3135" w:type="dxa"/>
            <w:gridSpan w:val="5"/>
            <w:shd w:val="clear" w:color="auto" w:fill="D9E2F3"/>
            <w:vAlign w:val="center"/>
          </w:tcPr>
          <w:p w14:paraId="6F3D8E5C" w14:textId="77777777" w:rsidR="00990B14" w:rsidRDefault="00000000">
            <w:pPr>
              <w:spacing w:before="20" w:after="20"/>
              <w:jc w:val="both"/>
            </w:pPr>
            <w:r>
              <w:rPr>
                <w:sz w:val="18"/>
                <w:szCs w:val="18"/>
              </w:rPr>
              <w:t>1.2 Elabora en aula un esquema de la interdependencia circular de los estudios de un proyecto de inversión.</w:t>
            </w:r>
          </w:p>
        </w:tc>
        <w:tc>
          <w:tcPr>
            <w:tcW w:w="3137" w:type="dxa"/>
            <w:gridSpan w:val="4"/>
            <w:shd w:val="clear" w:color="auto" w:fill="D9E2F3"/>
            <w:vAlign w:val="center"/>
          </w:tcPr>
          <w:p w14:paraId="278B4AA5" w14:textId="77777777" w:rsidR="00990B14" w:rsidRDefault="00000000">
            <w:pPr>
              <w:spacing w:before="20" w:after="20"/>
              <w:jc w:val="both"/>
            </w:pPr>
            <w:r>
              <w:rPr>
                <w:b/>
                <w:bCs/>
                <w:sz w:val="18"/>
                <w:szCs w:val="18"/>
              </w:rPr>
              <w:t xml:space="preserve">Producto 2: </w:t>
            </w:r>
            <w:r>
              <w:rPr>
                <w:sz w:val="18"/>
                <w:szCs w:val="18"/>
              </w:rPr>
              <w:t>Esquema de la interdependencia circular de los estudios de un proyecto.</w:t>
            </w:r>
          </w:p>
        </w:tc>
      </w:tr>
      <w:tr w:rsidR="00990B14" w14:paraId="4924A5B2" w14:textId="77777777">
        <w:trPr>
          <w:cantSplit/>
          <w:jc w:val="center"/>
        </w:trPr>
        <w:tc>
          <w:tcPr>
            <w:tcW w:w="3133" w:type="dxa"/>
            <w:gridSpan w:val="4"/>
            <w:vMerge w:val="restart"/>
            <w:shd w:val="clear" w:color="auto" w:fill="D9E2F3"/>
            <w:vAlign w:val="center"/>
          </w:tcPr>
          <w:p w14:paraId="233ACFFC" w14:textId="77777777" w:rsidR="00990B14" w:rsidRDefault="00000000">
            <w:pPr>
              <w:spacing w:before="20" w:after="20"/>
              <w:jc w:val="both"/>
            </w:pPr>
            <w:r>
              <w:rPr>
                <w:sz w:val="18"/>
                <w:szCs w:val="18"/>
              </w:rPr>
              <w:t>2. Analiza el rol del proyectista de inversión en el desarrollo económico y social, evaluando la contribución social y ambiental del proyecto además de su rentabilidad privada.</w:t>
            </w:r>
          </w:p>
        </w:tc>
        <w:tc>
          <w:tcPr>
            <w:tcW w:w="3135" w:type="dxa"/>
            <w:gridSpan w:val="5"/>
            <w:shd w:val="clear" w:color="auto" w:fill="D9E2F3"/>
            <w:vAlign w:val="center"/>
          </w:tcPr>
          <w:p w14:paraId="2249CAD8" w14:textId="77777777" w:rsidR="00990B14" w:rsidRDefault="00000000">
            <w:pPr>
              <w:spacing w:before="20" w:after="20"/>
              <w:jc w:val="both"/>
            </w:pPr>
            <w:r>
              <w:rPr>
                <w:sz w:val="18"/>
                <w:szCs w:val="18"/>
              </w:rPr>
              <w:t>2.1 Analiza en equipo un proyecto de desarrollo económico y social boliviano y el papel del contador público como proyectista.</w:t>
            </w:r>
          </w:p>
        </w:tc>
        <w:tc>
          <w:tcPr>
            <w:tcW w:w="3137" w:type="dxa"/>
            <w:gridSpan w:val="4"/>
            <w:shd w:val="clear" w:color="auto" w:fill="D9E2F3"/>
            <w:vAlign w:val="center"/>
          </w:tcPr>
          <w:p w14:paraId="03F78136" w14:textId="77777777" w:rsidR="00990B14" w:rsidRDefault="00000000">
            <w:pPr>
              <w:spacing w:before="20" w:after="20"/>
              <w:jc w:val="both"/>
            </w:pPr>
            <w:r>
              <w:rPr>
                <w:b/>
                <w:bCs/>
                <w:sz w:val="18"/>
                <w:szCs w:val="18"/>
              </w:rPr>
              <w:t xml:space="preserve">Producto 3: </w:t>
            </w:r>
            <w:r>
              <w:rPr>
                <w:sz w:val="18"/>
                <w:szCs w:val="18"/>
              </w:rPr>
              <w:t>Informe del rol del proyectista en un proyecto de desarrollo económico y social.</w:t>
            </w:r>
          </w:p>
        </w:tc>
      </w:tr>
      <w:tr w:rsidR="00990B14" w14:paraId="11C8467D" w14:textId="77777777">
        <w:trPr>
          <w:cantSplit/>
          <w:jc w:val="center"/>
        </w:trPr>
        <w:tc>
          <w:tcPr>
            <w:tcW w:w="3133" w:type="dxa"/>
            <w:gridSpan w:val="4"/>
            <w:vMerge/>
            <w:shd w:val="clear" w:color="auto" w:fill="D9E2F3"/>
            <w:vAlign w:val="center"/>
          </w:tcPr>
          <w:p w14:paraId="1DF57688" w14:textId="77777777" w:rsidR="00990B14" w:rsidRDefault="00990B14">
            <w:pPr>
              <w:spacing w:before="20" w:after="20"/>
            </w:pPr>
          </w:p>
        </w:tc>
        <w:tc>
          <w:tcPr>
            <w:tcW w:w="3135" w:type="dxa"/>
            <w:gridSpan w:val="5"/>
            <w:shd w:val="clear" w:color="auto" w:fill="D9E2F3"/>
            <w:vAlign w:val="center"/>
          </w:tcPr>
          <w:p w14:paraId="6CD10337" w14:textId="77777777" w:rsidR="00990B14" w:rsidRDefault="00000000">
            <w:pPr>
              <w:spacing w:before="20" w:after="20"/>
              <w:jc w:val="both"/>
            </w:pPr>
            <w:r>
              <w:rPr>
                <w:sz w:val="18"/>
                <w:szCs w:val="18"/>
              </w:rPr>
              <w:t>2.2 Contrasta ante el curso la rentabilidad privada y la contribución social y ambiental de dos proyectos de inversión.</w:t>
            </w:r>
          </w:p>
        </w:tc>
        <w:tc>
          <w:tcPr>
            <w:tcW w:w="3137" w:type="dxa"/>
            <w:gridSpan w:val="4"/>
            <w:shd w:val="clear" w:color="auto" w:fill="D9E2F3"/>
            <w:vAlign w:val="center"/>
          </w:tcPr>
          <w:p w14:paraId="29753D95" w14:textId="77777777" w:rsidR="00990B14" w:rsidRDefault="00000000">
            <w:pPr>
              <w:spacing w:before="20" w:after="20"/>
              <w:jc w:val="both"/>
            </w:pPr>
            <w:r>
              <w:rPr>
                <w:b/>
                <w:bCs/>
                <w:sz w:val="18"/>
                <w:szCs w:val="18"/>
              </w:rPr>
              <w:t xml:space="preserve">Producto 4: </w:t>
            </w:r>
            <w:r>
              <w:rPr>
                <w:sz w:val="18"/>
                <w:szCs w:val="18"/>
              </w:rPr>
              <w:t>Matriz comparativa de la contribución privada, social y ambiental de proyectos.</w:t>
            </w:r>
          </w:p>
        </w:tc>
      </w:tr>
      <w:tr w:rsidR="00990B14" w14:paraId="2ADAEDA6" w14:textId="77777777">
        <w:trPr>
          <w:cantSplit/>
          <w:jc w:val="center"/>
        </w:trPr>
        <w:tc>
          <w:tcPr>
            <w:tcW w:w="9405" w:type="dxa"/>
            <w:gridSpan w:val="13"/>
            <w:shd w:val="clear" w:color="auto" w:fill="4472C4"/>
            <w:vAlign w:val="center"/>
          </w:tcPr>
          <w:p w14:paraId="4B44D638" w14:textId="77777777" w:rsidR="00990B14" w:rsidRDefault="00000000">
            <w:pPr>
              <w:keepNext/>
              <w:spacing w:before="20" w:after="20"/>
              <w:jc w:val="center"/>
            </w:pPr>
            <w:r>
              <w:rPr>
                <w:b/>
                <w:bCs/>
                <w:i/>
                <w:iCs/>
                <w:color w:val="FFFFFF"/>
                <w:sz w:val="18"/>
                <w:szCs w:val="18"/>
              </w:rPr>
              <w:t>Evidencias de conocimiento</w:t>
            </w:r>
          </w:p>
        </w:tc>
      </w:tr>
      <w:tr w:rsidR="00990B14" w14:paraId="54BD3CAA" w14:textId="77777777">
        <w:trPr>
          <w:cantSplit/>
          <w:jc w:val="center"/>
        </w:trPr>
        <w:tc>
          <w:tcPr>
            <w:tcW w:w="2349" w:type="dxa"/>
            <w:gridSpan w:val="2"/>
            <w:shd w:val="clear" w:color="auto" w:fill="4472C4"/>
            <w:vAlign w:val="center"/>
          </w:tcPr>
          <w:p w14:paraId="2BDBC1D6"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28A801FD" w14:textId="77777777" w:rsidR="00990B14" w:rsidRDefault="00000000">
            <w:pPr>
              <w:keepNext/>
              <w:spacing w:before="20" w:after="20"/>
              <w:jc w:val="both"/>
            </w:pPr>
            <w:r>
              <w:rPr>
                <w:b/>
                <w:bCs/>
                <w:i/>
                <w:iCs/>
                <w:color w:val="FFFFFF"/>
                <w:sz w:val="18"/>
                <w:szCs w:val="18"/>
              </w:rPr>
              <w:t>Contenidos</w:t>
            </w:r>
          </w:p>
          <w:p w14:paraId="5061192E"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380FE47C" w14:textId="77777777" w:rsidR="00990B14" w:rsidRDefault="00000000">
            <w:pPr>
              <w:keepNext/>
              <w:spacing w:before="20" w:after="20"/>
              <w:jc w:val="center"/>
            </w:pPr>
            <w:r>
              <w:rPr>
                <w:b/>
                <w:bCs/>
                <w:i/>
                <w:iCs/>
                <w:color w:val="FFFFFF"/>
                <w:sz w:val="18"/>
                <w:szCs w:val="18"/>
              </w:rPr>
              <w:t>Conocimientos circunstanciales</w:t>
            </w:r>
          </w:p>
        </w:tc>
      </w:tr>
      <w:tr w:rsidR="00990B14" w14:paraId="6E443F44" w14:textId="77777777">
        <w:trPr>
          <w:jc w:val="center"/>
        </w:trPr>
        <w:tc>
          <w:tcPr>
            <w:tcW w:w="2349" w:type="dxa"/>
            <w:gridSpan w:val="2"/>
            <w:shd w:val="clear" w:color="auto" w:fill="D9E2F3"/>
          </w:tcPr>
          <w:p w14:paraId="7ACD3ADE" w14:textId="77777777" w:rsidR="00990B14" w:rsidRDefault="00000000">
            <w:pPr>
              <w:spacing w:before="20" w:after="40"/>
              <w:jc w:val="both"/>
            </w:pPr>
            <w:r>
              <w:rPr>
                <w:sz w:val="18"/>
                <w:szCs w:val="18"/>
              </w:rPr>
              <w:t>Tema 1: Definiciones Básicas sobre Proyectos de Inversión</w:t>
            </w:r>
          </w:p>
        </w:tc>
        <w:tc>
          <w:tcPr>
            <w:tcW w:w="4304" w:type="dxa"/>
            <w:gridSpan w:val="8"/>
            <w:shd w:val="clear" w:color="auto" w:fill="D9E2F3"/>
          </w:tcPr>
          <w:p w14:paraId="2E58532E" w14:textId="77777777" w:rsidR="00990B14" w:rsidRDefault="00000000">
            <w:pPr>
              <w:spacing w:after="40"/>
              <w:jc w:val="both"/>
            </w:pPr>
            <w:r>
              <w:rPr>
                <w:sz w:val="18"/>
                <w:szCs w:val="18"/>
              </w:rPr>
              <w:t>Aplicación de la teoría general de sistemas a los proyectos de inversión. (C, P)</w:t>
            </w:r>
          </w:p>
          <w:p w14:paraId="0D7BE15B" w14:textId="77777777" w:rsidR="00990B14" w:rsidRDefault="00000000">
            <w:pPr>
              <w:spacing w:after="40"/>
              <w:jc w:val="both"/>
            </w:pPr>
            <w:r>
              <w:rPr>
                <w:sz w:val="18"/>
                <w:szCs w:val="18"/>
              </w:rPr>
              <w:t>Tiempos o ciclos de un sistema de proyecto de inversión. (C)</w:t>
            </w:r>
          </w:p>
          <w:p w14:paraId="64812B23" w14:textId="77777777" w:rsidR="00990B14" w:rsidRDefault="00000000">
            <w:pPr>
              <w:spacing w:after="40"/>
              <w:jc w:val="both"/>
            </w:pPr>
            <w:r>
              <w:rPr>
                <w:sz w:val="18"/>
                <w:szCs w:val="18"/>
              </w:rPr>
              <w:t>Significado y características de un proyecto de inversión. (C)</w:t>
            </w:r>
          </w:p>
          <w:p w14:paraId="4A60B7B4" w14:textId="77777777" w:rsidR="00990B14" w:rsidRDefault="00000000">
            <w:pPr>
              <w:spacing w:after="40"/>
              <w:jc w:val="both"/>
            </w:pPr>
            <w:r>
              <w:rPr>
                <w:sz w:val="18"/>
                <w:szCs w:val="18"/>
              </w:rPr>
              <w:t>Interdependencia circular de los estudios de un proyecto de inversión. (C)</w:t>
            </w:r>
          </w:p>
          <w:p w14:paraId="7B7453FF" w14:textId="77777777" w:rsidR="00990B14" w:rsidRDefault="00000000">
            <w:pPr>
              <w:spacing w:after="40"/>
              <w:jc w:val="both"/>
            </w:pPr>
            <w:r>
              <w:rPr>
                <w:sz w:val="18"/>
                <w:szCs w:val="18"/>
              </w:rPr>
              <w:t>Los proyectos de inversión y el desarrollo económico y social. (C)</w:t>
            </w:r>
          </w:p>
          <w:p w14:paraId="38C75526" w14:textId="77777777" w:rsidR="00990B14" w:rsidRDefault="00000000">
            <w:pPr>
              <w:spacing w:after="40"/>
              <w:jc w:val="both"/>
            </w:pPr>
            <w:r>
              <w:rPr>
                <w:sz w:val="18"/>
                <w:szCs w:val="18"/>
              </w:rPr>
              <w:t>Viabilidad legal y ambiental del proyecto como estudio complementario de la viabilidad comercial, técnica y financiera. (C)</w:t>
            </w:r>
          </w:p>
          <w:p w14:paraId="521A61DA" w14:textId="77777777" w:rsidR="00990B14" w:rsidRDefault="00000000">
            <w:pPr>
              <w:spacing w:after="40"/>
              <w:jc w:val="both"/>
            </w:pPr>
            <w:r>
              <w:rPr>
                <w:sz w:val="18"/>
                <w:szCs w:val="18"/>
              </w:rPr>
              <w:t>El rol de investigador del proyectista de inversión. (C)</w:t>
            </w:r>
          </w:p>
          <w:p w14:paraId="5928DA3C" w14:textId="77777777" w:rsidR="00990B14" w:rsidRDefault="00000000">
            <w:pPr>
              <w:spacing w:after="40"/>
              <w:jc w:val="both"/>
            </w:pPr>
            <w:r>
              <w:rPr>
                <w:sz w:val="18"/>
                <w:szCs w:val="18"/>
              </w:rPr>
              <w:t>Ciclo de vida del proyecto: preinversión, inversión y operación, y su correspondencia con el estudio de identificación y el estudio de diseño técnico de preinversión. (P)</w:t>
            </w:r>
          </w:p>
        </w:tc>
        <w:tc>
          <w:tcPr>
            <w:tcW w:w="2752" w:type="dxa"/>
            <w:gridSpan w:val="3"/>
            <w:shd w:val="clear" w:color="auto" w:fill="D9E2F3"/>
          </w:tcPr>
          <w:p w14:paraId="0F491B2C" w14:textId="77777777" w:rsidR="00990B14" w:rsidRDefault="00000000">
            <w:pPr>
              <w:numPr>
                <w:ilvl w:val="0"/>
                <w:numId w:val="139"/>
              </w:numPr>
              <w:spacing w:before="10" w:after="10"/>
              <w:jc w:val="both"/>
            </w:pPr>
            <w:r>
              <w:rPr>
                <w:sz w:val="18"/>
                <w:szCs w:val="18"/>
              </w:rPr>
              <w:t>Nociones de gestión de proyectos y de la organización del equipo formulador.</w:t>
            </w:r>
          </w:p>
          <w:p w14:paraId="02A425A1" w14:textId="77777777" w:rsidR="00990B14" w:rsidRDefault="00000000">
            <w:pPr>
              <w:numPr>
                <w:ilvl w:val="0"/>
                <w:numId w:val="139"/>
              </w:numPr>
              <w:spacing w:before="10" w:after="10"/>
              <w:jc w:val="both"/>
            </w:pPr>
            <w:r>
              <w:rPr>
                <w:sz w:val="18"/>
                <w:szCs w:val="18"/>
              </w:rPr>
              <w:t>Nociones de los sectores productivos bolivianos con mayor inversión pública y privada.</w:t>
            </w:r>
          </w:p>
        </w:tc>
      </w:tr>
      <w:tr w:rsidR="00990B14" w14:paraId="5ABAB532" w14:textId="77777777">
        <w:trPr>
          <w:cantSplit/>
          <w:jc w:val="center"/>
        </w:trPr>
        <w:tc>
          <w:tcPr>
            <w:tcW w:w="9405" w:type="dxa"/>
            <w:gridSpan w:val="13"/>
            <w:shd w:val="clear" w:color="auto" w:fill="D9E2F3"/>
            <w:vAlign w:val="center"/>
          </w:tcPr>
          <w:p w14:paraId="4B3C133C" w14:textId="77777777" w:rsidR="00990B14" w:rsidRDefault="00000000">
            <w:pPr>
              <w:spacing w:before="20" w:after="20"/>
              <w:jc w:val="both"/>
            </w:pPr>
            <w:r>
              <w:rPr>
                <w:b/>
                <w:bCs/>
                <w:i/>
                <w:iCs/>
                <w:sz w:val="18"/>
                <w:szCs w:val="18"/>
              </w:rPr>
              <w:t xml:space="preserve">Elemento de competencia 2: </w:t>
            </w:r>
            <w:r>
              <w:rPr>
                <w:sz w:val="18"/>
                <w:szCs w:val="18"/>
              </w:rPr>
              <w:t>Analiza el mercado de un producto o servicio y el proceso de transformación y el tamaño del proyecto, proyectando el consumo aparente y la demanda futura.</w:t>
            </w:r>
          </w:p>
        </w:tc>
      </w:tr>
      <w:tr w:rsidR="00990B14" w14:paraId="00338648" w14:textId="77777777">
        <w:trPr>
          <w:cantSplit/>
          <w:jc w:val="center"/>
        </w:trPr>
        <w:tc>
          <w:tcPr>
            <w:tcW w:w="3133" w:type="dxa"/>
            <w:gridSpan w:val="4"/>
            <w:shd w:val="clear" w:color="auto" w:fill="4472C4"/>
            <w:vAlign w:val="center"/>
          </w:tcPr>
          <w:p w14:paraId="47C6152E"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152773A2"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258BD33D" w14:textId="77777777" w:rsidR="00990B14" w:rsidRDefault="00000000">
            <w:pPr>
              <w:keepNext/>
              <w:spacing w:before="20" w:after="20"/>
              <w:jc w:val="center"/>
            </w:pPr>
            <w:r>
              <w:rPr>
                <w:b/>
                <w:bCs/>
                <w:i/>
                <w:iCs/>
                <w:color w:val="FFFFFF"/>
                <w:sz w:val="18"/>
                <w:szCs w:val="18"/>
              </w:rPr>
              <w:t>Evidencias de producto</w:t>
            </w:r>
          </w:p>
        </w:tc>
      </w:tr>
      <w:tr w:rsidR="00990B14" w14:paraId="166FFD95" w14:textId="77777777">
        <w:trPr>
          <w:cantSplit/>
          <w:jc w:val="center"/>
        </w:trPr>
        <w:tc>
          <w:tcPr>
            <w:tcW w:w="3133" w:type="dxa"/>
            <w:gridSpan w:val="4"/>
            <w:vMerge w:val="restart"/>
            <w:shd w:val="clear" w:color="auto" w:fill="D9E2F3"/>
            <w:vAlign w:val="center"/>
          </w:tcPr>
          <w:p w14:paraId="53B337B2" w14:textId="77777777" w:rsidR="00990B14" w:rsidRDefault="00000000">
            <w:pPr>
              <w:spacing w:before="20" w:after="20"/>
              <w:jc w:val="both"/>
            </w:pPr>
            <w:r>
              <w:rPr>
                <w:sz w:val="18"/>
                <w:szCs w:val="18"/>
              </w:rPr>
              <w:t>1. Analiza el mercado de un producto o servicio con investigación cualitativa y cuantitativa, proyectando el consumo aparente y la demanda futura con sentido crítico sobre sus fuentes.</w:t>
            </w:r>
          </w:p>
        </w:tc>
        <w:tc>
          <w:tcPr>
            <w:tcW w:w="3135" w:type="dxa"/>
            <w:gridSpan w:val="5"/>
            <w:shd w:val="clear" w:color="auto" w:fill="D9E2F3"/>
            <w:vAlign w:val="center"/>
          </w:tcPr>
          <w:p w14:paraId="1D6C82B5" w14:textId="77777777" w:rsidR="00990B14" w:rsidRDefault="00000000">
            <w:pPr>
              <w:spacing w:before="20" w:after="20"/>
              <w:jc w:val="both"/>
            </w:pPr>
            <w:r>
              <w:rPr>
                <w:sz w:val="18"/>
                <w:szCs w:val="18"/>
              </w:rPr>
              <w:t>1.1 Investiga en equipo el mercado de un producto o servicio con técnicas cualitativas y cuantitativas.</w:t>
            </w:r>
          </w:p>
        </w:tc>
        <w:tc>
          <w:tcPr>
            <w:tcW w:w="3137" w:type="dxa"/>
            <w:gridSpan w:val="4"/>
            <w:shd w:val="clear" w:color="auto" w:fill="D9E2F3"/>
            <w:vAlign w:val="center"/>
          </w:tcPr>
          <w:p w14:paraId="66DF0FDA" w14:textId="77777777" w:rsidR="00990B14" w:rsidRDefault="00000000">
            <w:pPr>
              <w:spacing w:before="20" w:after="20"/>
              <w:jc w:val="both"/>
            </w:pPr>
            <w:r>
              <w:rPr>
                <w:b/>
                <w:bCs/>
                <w:sz w:val="18"/>
                <w:szCs w:val="18"/>
              </w:rPr>
              <w:t xml:space="preserve">Producto 5: </w:t>
            </w:r>
            <w:r>
              <w:rPr>
                <w:sz w:val="18"/>
                <w:szCs w:val="18"/>
              </w:rPr>
              <w:t>Informe de investigación de mercado de un producto o servicio.</w:t>
            </w:r>
          </w:p>
        </w:tc>
      </w:tr>
      <w:tr w:rsidR="00990B14" w14:paraId="46A7AE5A" w14:textId="77777777">
        <w:trPr>
          <w:cantSplit/>
          <w:jc w:val="center"/>
        </w:trPr>
        <w:tc>
          <w:tcPr>
            <w:tcW w:w="3133" w:type="dxa"/>
            <w:gridSpan w:val="4"/>
            <w:vMerge/>
            <w:shd w:val="clear" w:color="auto" w:fill="D9E2F3"/>
            <w:vAlign w:val="center"/>
          </w:tcPr>
          <w:p w14:paraId="615FF95F" w14:textId="77777777" w:rsidR="00990B14" w:rsidRDefault="00990B14">
            <w:pPr>
              <w:spacing w:before="20" w:after="20"/>
            </w:pPr>
          </w:p>
        </w:tc>
        <w:tc>
          <w:tcPr>
            <w:tcW w:w="3135" w:type="dxa"/>
            <w:gridSpan w:val="5"/>
            <w:shd w:val="clear" w:color="auto" w:fill="D9E2F3"/>
            <w:vAlign w:val="center"/>
          </w:tcPr>
          <w:p w14:paraId="39EE8CDA" w14:textId="77777777" w:rsidR="00990B14" w:rsidRDefault="00000000">
            <w:pPr>
              <w:spacing w:before="20" w:after="20"/>
              <w:jc w:val="both"/>
            </w:pPr>
            <w:r>
              <w:rPr>
                <w:sz w:val="18"/>
                <w:szCs w:val="18"/>
              </w:rPr>
              <w:t>1.2 Proyecta el consumo aparente con series históricas y escenarios en hoja de cálculo.</w:t>
            </w:r>
          </w:p>
        </w:tc>
        <w:tc>
          <w:tcPr>
            <w:tcW w:w="3137" w:type="dxa"/>
            <w:gridSpan w:val="4"/>
            <w:shd w:val="clear" w:color="auto" w:fill="D9E2F3"/>
            <w:vAlign w:val="center"/>
          </w:tcPr>
          <w:p w14:paraId="0F9E4AC9" w14:textId="77777777" w:rsidR="00990B14" w:rsidRDefault="00000000">
            <w:pPr>
              <w:spacing w:before="20" w:after="20"/>
              <w:jc w:val="both"/>
            </w:pPr>
            <w:r>
              <w:rPr>
                <w:b/>
                <w:bCs/>
                <w:sz w:val="18"/>
                <w:szCs w:val="18"/>
              </w:rPr>
              <w:t xml:space="preserve">Producto 6: </w:t>
            </w:r>
            <w:r>
              <w:rPr>
                <w:sz w:val="18"/>
                <w:szCs w:val="18"/>
              </w:rPr>
              <w:t>Proyección del consumo aparente y de la demanda futura en hoja de cálculo.</w:t>
            </w:r>
          </w:p>
        </w:tc>
      </w:tr>
      <w:tr w:rsidR="00990B14" w14:paraId="60B8C746" w14:textId="77777777">
        <w:trPr>
          <w:cantSplit/>
          <w:jc w:val="center"/>
        </w:trPr>
        <w:tc>
          <w:tcPr>
            <w:tcW w:w="3133" w:type="dxa"/>
            <w:gridSpan w:val="4"/>
            <w:vMerge w:val="restart"/>
            <w:shd w:val="clear" w:color="auto" w:fill="D9E2F3"/>
            <w:vAlign w:val="center"/>
          </w:tcPr>
          <w:p w14:paraId="29D8886A" w14:textId="77777777" w:rsidR="00990B14" w:rsidRDefault="00000000">
            <w:pPr>
              <w:spacing w:before="20" w:after="20"/>
              <w:jc w:val="both"/>
            </w:pPr>
            <w:r>
              <w:rPr>
                <w:sz w:val="18"/>
                <w:szCs w:val="18"/>
              </w:rPr>
              <w:t>2. Determina el tamaño, la capacidad y el proceso de transformación de un proyecto, diseñando su estrategia comercial y su programa de abastecimiento.</w:t>
            </w:r>
          </w:p>
        </w:tc>
        <w:tc>
          <w:tcPr>
            <w:tcW w:w="3135" w:type="dxa"/>
            <w:gridSpan w:val="5"/>
            <w:shd w:val="clear" w:color="auto" w:fill="D9E2F3"/>
            <w:vAlign w:val="center"/>
          </w:tcPr>
          <w:p w14:paraId="72F61C8D" w14:textId="77777777" w:rsidR="00990B14" w:rsidRDefault="00000000">
            <w:pPr>
              <w:spacing w:before="20" w:after="20"/>
              <w:jc w:val="both"/>
            </w:pPr>
            <w:r>
              <w:rPr>
                <w:sz w:val="18"/>
                <w:szCs w:val="18"/>
              </w:rPr>
              <w:t>2.1 Calcula el tamaño y la capacidad de transformación de un proyecto según sus factores condicionantes.</w:t>
            </w:r>
          </w:p>
        </w:tc>
        <w:tc>
          <w:tcPr>
            <w:tcW w:w="3137" w:type="dxa"/>
            <w:gridSpan w:val="4"/>
            <w:shd w:val="clear" w:color="auto" w:fill="D9E2F3"/>
            <w:vAlign w:val="center"/>
          </w:tcPr>
          <w:p w14:paraId="66B24974" w14:textId="77777777" w:rsidR="00990B14" w:rsidRDefault="00000000">
            <w:pPr>
              <w:spacing w:before="20" w:after="20"/>
              <w:jc w:val="both"/>
            </w:pPr>
            <w:r>
              <w:rPr>
                <w:b/>
                <w:bCs/>
                <w:sz w:val="18"/>
                <w:szCs w:val="18"/>
              </w:rPr>
              <w:t xml:space="preserve">Producto 7: </w:t>
            </w:r>
            <w:r>
              <w:rPr>
                <w:sz w:val="18"/>
                <w:szCs w:val="18"/>
              </w:rPr>
              <w:t>Cálculo del tamaño y de la capacidad de transformación de un proyecto.</w:t>
            </w:r>
          </w:p>
        </w:tc>
      </w:tr>
      <w:tr w:rsidR="00990B14" w14:paraId="3E75839D" w14:textId="77777777">
        <w:trPr>
          <w:cantSplit/>
          <w:jc w:val="center"/>
        </w:trPr>
        <w:tc>
          <w:tcPr>
            <w:tcW w:w="3133" w:type="dxa"/>
            <w:gridSpan w:val="4"/>
            <w:vMerge/>
            <w:shd w:val="clear" w:color="auto" w:fill="D9E2F3"/>
            <w:vAlign w:val="center"/>
          </w:tcPr>
          <w:p w14:paraId="2BC1A3FE" w14:textId="77777777" w:rsidR="00990B14" w:rsidRDefault="00990B14">
            <w:pPr>
              <w:spacing w:before="20" w:after="20"/>
            </w:pPr>
          </w:p>
        </w:tc>
        <w:tc>
          <w:tcPr>
            <w:tcW w:w="3135" w:type="dxa"/>
            <w:gridSpan w:val="5"/>
            <w:shd w:val="clear" w:color="auto" w:fill="D9E2F3"/>
            <w:vAlign w:val="center"/>
          </w:tcPr>
          <w:p w14:paraId="3EBD1FC4" w14:textId="77777777" w:rsidR="00990B14" w:rsidRDefault="00000000">
            <w:pPr>
              <w:spacing w:before="20" w:after="20"/>
              <w:jc w:val="both"/>
            </w:pPr>
            <w:r>
              <w:rPr>
                <w:sz w:val="18"/>
                <w:szCs w:val="18"/>
              </w:rPr>
              <w:t>2.2 Diseña en equipo la estrategia comercial de un proyecto con canales tradicionales y digitales.</w:t>
            </w:r>
          </w:p>
        </w:tc>
        <w:tc>
          <w:tcPr>
            <w:tcW w:w="3137" w:type="dxa"/>
            <w:gridSpan w:val="4"/>
            <w:shd w:val="clear" w:color="auto" w:fill="D9E2F3"/>
            <w:vAlign w:val="center"/>
          </w:tcPr>
          <w:p w14:paraId="78786988" w14:textId="77777777" w:rsidR="00990B14" w:rsidRDefault="00000000">
            <w:pPr>
              <w:spacing w:before="20" w:after="20"/>
              <w:jc w:val="both"/>
            </w:pPr>
            <w:r>
              <w:rPr>
                <w:b/>
                <w:bCs/>
                <w:sz w:val="18"/>
                <w:szCs w:val="18"/>
              </w:rPr>
              <w:t xml:space="preserve">Producto 8: </w:t>
            </w:r>
            <w:r>
              <w:rPr>
                <w:sz w:val="18"/>
                <w:szCs w:val="18"/>
              </w:rPr>
              <w:t>Estrategia comercial de un proyecto de inversión.</w:t>
            </w:r>
          </w:p>
        </w:tc>
      </w:tr>
      <w:tr w:rsidR="00990B14" w14:paraId="63E2BD9A" w14:textId="77777777">
        <w:trPr>
          <w:cantSplit/>
          <w:jc w:val="center"/>
        </w:trPr>
        <w:tc>
          <w:tcPr>
            <w:tcW w:w="9405" w:type="dxa"/>
            <w:gridSpan w:val="13"/>
            <w:shd w:val="clear" w:color="auto" w:fill="4472C4"/>
            <w:vAlign w:val="center"/>
          </w:tcPr>
          <w:p w14:paraId="3D46E598" w14:textId="77777777" w:rsidR="00990B14" w:rsidRDefault="00000000">
            <w:pPr>
              <w:keepNext/>
              <w:spacing w:before="20" w:after="20"/>
              <w:jc w:val="center"/>
            </w:pPr>
            <w:r>
              <w:rPr>
                <w:b/>
                <w:bCs/>
                <w:i/>
                <w:iCs/>
                <w:color w:val="FFFFFF"/>
                <w:sz w:val="18"/>
                <w:szCs w:val="18"/>
              </w:rPr>
              <w:t>Evidencias de conocimiento</w:t>
            </w:r>
          </w:p>
        </w:tc>
      </w:tr>
      <w:tr w:rsidR="00990B14" w14:paraId="48C0176F" w14:textId="77777777">
        <w:trPr>
          <w:cantSplit/>
          <w:jc w:val="center"/>
        </w:trPr>
        <w:tc>
          <w:tcPr>
            <w:tcW w:w="2349" w:type="dxa"/>
            <w:gridSpan w:val="2"/>
            <w:shd w:val="clear" w:color="auto" w:fill="4472C4"/>
            <w:vAlign w:val="center"/>
          </w:tcPr>
          <w:p w14:paraId="0C909E6E"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231AA181" w14:textId="77777777" w:rsidR="00990B14" w:rsidRDefault="00000000">
            <w:pPr>
              <w:keepNext/>
              <w:spacing w:before="20" w:after="20"/>
              <w:jc w:val="both"/>
            </w:pPr>
            <w:r>
              <w:rPr>
                <w:b/>
                <w:bCs/>
                <w:i/>
                <w:iCs/>
                <w:color w:val="FFFFFF"/>
                <w:sz w:val="18"/>
                <w:szCs w:val="18"/>
              </w:rPr>
              <w:t>Contenidos</w:t>
            </w:r>
          </w:p>
          <w:p w14:paraId="4FB2868A"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0EE02A36" w14:textId="77777777" w:rsidR="00990B14" w:rsidRDefault="00000000">
            <w:pPr>
              <w:keepNext/>
              <w:spacing w:before="20" w:after="20"/>
              <w:jc w:val="center"/>
            </w:pPr>
            <w:r>
              <w:rPr>
                <w:b/>
                <w:bCs/>
                <w:i/>
                <w:iCs/>
                <w:color w:val="FFFFFF"/>
                <w:sz w:val="18"/>
                <w:szCs w:val="18"/>
              </w:rPr>
              <w:t>Conocimientos circunstanciales</w:t>
            </w:r>
          </w:p>
        </w:tc>
      </w:tr>
      <w:tr w:rsidR="00990B14" w14:paraId="0F28E48C" w14:textId="77777777">
        <w:trPr>
          <w:jc w:val="center"/>
        </w:trPr>
        <w:tc>
          <w:tcPr>
            <w:tcW w:w="2349" w:type="dxa"/>
            <w:gridSpan w:val="2"/>
            <w:shd w:val="clear" w:color="auto" w:fill="D9E2F3"/>
          </w:tcPr>
          <w:p w14:paraId="0C4FD18C" w14:textId="77777777" w:rsidR="00990B14" w:rsidRDefault="00000000">
            <w:pPr>
              <w:spacing w:before="20" w:after="40"/>
              <w:jc w:val="both"/>
            </w:pPr>
            <w:r>
              <w:rPr>
                <w:sz w:val="18"/>
                <w:szCs w:val="18"/>
              </w:rPr>
              <w:t>Tema 2: Estudio de Mercado</w:t>
            </w:r>
          </w:p>
          <w:p w14:paraId="6D26A1A0" w14:textId="77777777" w:rsidR="00990B14" w:rsidRDefault="00000000">
            <w:pPr>
              <w:spacing w:before="20" w:after="40"/>
              <w:jc w:val="both"/>
            </w:pPr>
            <w:r>
              <w:rPr>
                <w:sz w:val="18"/>
                <w:szCs w:val="18"/>
              </w:rPr>
              <w:t>Tema 3: Proceso de Transformación y Tamaño</w:t>
            </w:r>
          </w:p>
        </w:tc>
        <w:tc>
          <w:tcPr>
            <w:tcW w:w="4304" w:type="dxa"/>
            <w:gridSpan w:val="8"/>
            <w:shd w:val="clear" w:color="auto" w:fill="D9E2F3"/>
          </w:tcPr>
          <w:p w14:paraId="7E13790C" w14:textId="77777777" w:rsidR="00990B14" w:rsidRDefault="00000000">
            <w:pPr>
              <w:spacing w:after="40"/>
              <w:jc w:val="both"/>
            </w:pPr>
            <w:r>
              <w:rPr>
                <w:sz w:val="18"/>
                <w:szCs w:val="18"/>
              </w:rPr>
              <w:t>Introducción y características de los mercados. (C)</w:t>
            </w:r>
          </w:p>
          <w:p w14:paraId="4C17C05D" w14:textId="77777777" w:rsidR="00990B14" w:rsidRDefault="00000000">
            <w:pPr>
              <w:spacing w:after="40"/>
              <w:jc w:val="both"/>
            </w:pPr>
            <w:r>
              <w:rPr>
                <w:sz w:val="18"/>
                <w:szCs w:val="18"/>
              </w:rPr>
              <w:t>La investigación cualitativa aplicada al estudio de mercado. (C)</w:t>
            </w:r>
          </w:p>
          <w:p w14:paraId="463B8521" w14:textId="77777777" w:rsidR="00990B14" w:rsidRDefault="00000000">
            <w:pPr>
              <w:spacing w:after="40"/>
              <w:jc w:val="both"/>
            </w:pPr>
            <w:r>
              <w:rPr>
                <w:sz w:val="18"/>
                <w:szCs w:val="18"/>
              </w:rPr>
              <w:t>La investigación cuantitativa aplicada al estudio de mercado. (C)</w:t>
            </w:r>
          </w:p>
          <w:p w14:paraId="746F188E" w14:textId="77777777" w:rsidR="00990B14" w:rsidRDefault="00000000">
            <w:pPr>
              <w:spacing w:after="40"/>
              <w:jc w:val="both"/>
            </w:pPr>
            <w:r>
              <w:rPr>
                <w:sz w:val="18"/>
                <w:szCs w:val="18"/>
              </w:rPr>
              <w:t>Significado y métodos de proyección del consumo aparente. (C)</w:t>
            </w:r>
          </w:p>
          <w:p w14:paraId="650DEA0F" w14:textId="77777777" w:rsidR="00990B14" w:rsidRDefault="00000000">
            <w:pPr>
              <w:spacing w:after="40"/>
              <w:jc w:val="both"/>
            </w:pPr>
            <w:r>
              <w:rPr>
                <w:sz w:val="18"/>
                <w:szCs w:val="18"/>
              </w:rPr>
              <w:t>Alcance del modelo estadístico de proyección de mercado. (C)</w:t>
            </w:r>
          </w:p>
          <w:p w14:paraId="61D91FA2" w14:textId="77777777" w:rsidR="00990B14" w:rsidRDefault="00000000">
            <w:pPr>
              <w:spacing w:after="40"/>
              <w:jc w:val="both"/>
            </w:pPr>
            <w:r>
              <w:rPr>
                <w:sz w:val="18"/>
                <w:szCs w:val="18"/>
              </w:rPr>
              <w:t>Proyección de la demanda en hoja de cálculo: series históricas, tendencia y análisis de escenarios. (P, T)</w:t>
            </w:r>
          </w:p>
          <w:p w14:paraId="619F700D" w14:textId="77777777" w:rsidR="00990B14" w:rsidRDefault="00000000">
            <w:pPr>
              <w:spacing w:after="40"/>
              <w:jc w:val="both"/>
            </w:pPr>
            <w:r>
              <w:rPr>
                <w:sz w:val="18"/>
                <w:szCs w:val="18"/>
              </w:rPr>
              <w:t>Estrategia comercial del proyecto. (C)</w:t>
            </w:r>
          </w:p>
          <w:p w14:paraId="3C9A99A2" w14:textId="77777777" w:rsidR="00990B14" w:rsidRDefault="00000000">
            <w:pPr>
              <w:spacing w:after="40"/>
              <w:jc w:val="both"/>
            </w:pPr>
            <w:r>
              <w:rPr>
                <w:sz w:val="18"/>
                <w:szCs w:val="18"/>
              </w:rPr>
              <w:t>Canales digitales y comercio electrónico en la estrategia comercial del proyecto. (C, T)</w:t>
            </w:r>
          </w:p>
          <w:p w14:paraId="1204BFCF" w14:textId="77777777" w:rsidR="00990B14" w:rsidRDefault="00000000">
            <w:pPr>
              <w:spacing w:after="40"/>
              <w:jc w:val="both"/>
            </w:pPr>
            <w:r>
              <w:rPr>
                <w:sz w:val="18"/>
                <w:szCs w:val="18"/>
              </w:rPr>
              <w:t>Significado y elementos del proceso de transformación. (C)</w:t>
            </w:r>
          </w:p>
          <w:p w14:paraId="5B3F2783" w14:textId="77777777" w:rsidR="00990B14" w:rsidRDefault="00000000">
            <w:pPr>
              <w:spacing w:after="40"/>
              <w:jc w:val="both"/>
            </w:pPr>
            <w:r>
              <w:rPr>
                <w:sz w:val="18"/>
                <w:szCs w:val="18"/>
              </w:rPr>
              <w:t>Significado y factores del tamaño del proyecto. (C)</w:t>
            </w:r>
          </w:p>
          <w:p w14:paraId="20DBB917" w14:textId="77777777" w:rsidR="00990B14" w:rsidRDefault="00000000">
            <w:pPr>
              <w:spacing w:after="40"/>
              <w:jc w:val="both"/>
            </w:pPr>
            <w:r>
              <w:rPr>
                <w:sz w:val="18"/>
                <w:szCs w:val="18"/>
              </w:rPr>
              <w:t>Formas de capacidad de transformación. (C)</w:t>
            </w:r>
          </w:p>
          <w:p w14:paraId="28585B6F" w14:textId="77777777" w:rsidR="00990B14" w:rsidRDefault="00000000">
            <w:pPr>
              <w:spacing w:after="40"/>
              <w:jc w:val="both"/>
            </w:pPr>
            <w:r>
              <w:rPr>
                <w:sz w:val="18"/>
                <w:szCs w:val="18"/>
              </w:rPr>
              <w:t>Programa de abastecimiento y cuadro de otros elementos del proceso de transformación. (C)</w:t>
            </w:r>
          </w:p>
          <w:p w14:paraId="60B86E04" w14:textId="77777777" w:rsidR="00990B14" w:rsidRDefault="00000000">
            <w:pPr>
              <w:spacing w:after="40"/>
              <w:jc w:val="both"/>
            </w:pPr>
            <w:r>
              <w:rPr>
                <w:sz w:val="18"/>
                <w:szCs w:val="18"/>
              </w:rPr>
              <w:t>Disponibilidad y sostenibilidad del abastecimiento: proveedores locales, insumos importados y riesgo de desabastecimiento. (C)</w:t>
            </w:r>
          </w:p>
        </w:tc>
        <w:tc>
          <w:tcPr>
            <w:tcW w:w="2752" w:type="dxa"/>
            <w:gridSpan w:val="3"/>
            <w:shd w:val="clear" w:color="auto" w:fill="D9E2F3"/>
          </w:tcPr>
          <w:p w14:paraId="1E616E3D" w14:textId="77777777" w:rsidR="00990B14" w:rsidRDefault="00000000">
            <w:pPr>
              <w:numPr>
                <w:ilvl w:val="0"/>
                <w:numId w:val="139"/>
              </w:numPr>
              <w:spacing w:before="10" w:after="10"/>
              <w:jc w:val="both"/>
            </w:pPr>
            <w:r>
              <w:rPr>
                <w:sz w:val="18"/>
                <w:szCs w:val="18"/>
              </w:rPr>
              <w:t>Nociones de segmentación de mercados y de comportamiento del consumidor.</w:t>
            </w:r>
          </w:p>
          <w:p w14:paraId="1ACEEB63" w14:textId="77777777" w:rsidR="00990B14" w:rsidRDefault="00000000">
            <w:pPr>
              <w:numPr>
                <w:ilvl w:val="0"/>
                <w:numId w:val="139"/>
              </w:numPr>
              <w:spacing w:before="10" w:after="10"/>
              <w:jc w:val="both"/>
            </w:pPr>
            <w:r>
              <w:rPr>
                <w:sz w:val="18"/>
                <w:szCs w:val="18"/>
              </w:rPr>
              <w:t>Nociones de ingeniería de procesos productivos y de capacidad instalada de una planta.</w:t>
            </w:r>
          </w:p>
        </w:tc>
      </w:tr>
      <w:tr w:rsidR="00990B14" w14:paraId="2B8FF849" w14:textId="77777777">
        <w:trPr>
          <w:cantSplit/>
          <w:jc w:val="center"/>
        </w:trPr>
        <w:tc>
          <w:tcPr>
            <w:tcW w:w="9405" w:type="dxa"/>
            <w:gridSpan w:val="13"/>
            <w:shd w:val="clear" w:color="auto" w:fill="D9E2F3"/>
            <w:vAlign w:val="center"/>
          </w:tcPr>
          <w:p w14:paraId="2ED48F73" w14:textId="77777777" w:rsidR="00990B14" w:rsidRDefault="00000000">
            <w:pPr>
              <w:spacing w:before="20" w:after="20"/>
              <w:jc w:val="both"/>
            </w:pPr>
            <w:r>
              <w:rPr>
                <w:b/>
                <w:bCs/>
                <w:i/>
                <w:iCs/>
                <w:sz w:val="18"/>
                <w:szCs w:val="18"/>
              </w:rPr>
              <w:t xml:space="preserve">Elemento de competencia 3: </w:t>
            </w:r>
            <w:r>
              <w:rPr>
                <w:sz w:val="18"/>
                <w:szCs w:val="18"/>
              </w:rPr>
              <w:t>Diseña la organización, la estimación de costos de obras civiles y la localización de un proyecto de inversión, aplicando los factores y los métodos de puntaje para la toma de decisiones.</w:t>
            </w:r>
          </w:p>
        </w:tc>
      </w:tr>
      <w:tr w:rsidR="00990B14" w14:paraId="322B8366" w14:textId="77777777">
        <w:trPr>
          <w:cantSplit/>
          <w:jc w:val="center"/>
        </w:trPr>
        <w:tc>
          <w:tcPr>
            <w:tcW w:w="3133" w:type="dxa"/>
            <w:gridSpan w:val="4"/>
            <w:shd w:val="clear" w:color="auto" w:fill="4472C4"/>
            <w:vAlign w:val="center"/>
          </w:tcPr>
          <w:p w14:paraId="4D34C343"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7C33CAC3"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69F68A7B" w14:textId="77777777" w:rsidR="00990B14" w:rsidRDefault="00000000">
            <w:pPr>
              <w:keepNext/>
              <w:spacing w:before="20" w:after="20"/>
              <w:jc w:val="center"/>
            </w:pPr>
            <w:r>
              <w:rPr>
                <w:b/>
                <w:bCs/>
                <w:i/>
                <w:iCs/>
                <w:color w:val="FFFFFF"/>
                <w:sz w:val="18"/>
                <w:szCs w:val="18"/>
              </w:rPr>
              <w:t>Evidencias de producto</w:t>
            </w:r>
          </w:p>
        </w:tc>
      </w:tr>
      <w:tr w:rsidR="00990B14" w14:paraId="49F97E9A" w14:textId="77777777">
        <w:trPr>
          <w:cantSplit/>
          <w:jc w:val="center"/>
        </w:trPr>
        <w:tc>
          <w:tcPr>
            <w:tcW w:w="3133" w:type="dxa"/>
            <w:gridSpan w:val="4"/>
            <w:vMerge w:val="restart"/>
            <w:shd w:val="clear" w:color="auto" w:fill="D9E2F3"/>
            <w:vAlign w:val="center"/>
          </w:tcPr>
          <w:p w14:paraId="4A5CBD6A" w14:textId="77777777" w:rsidR="00990B14" w:rsidRDefault="00000000">
            <w:pPr>
              <w:spacing w:before="20" w:after="20"/>
              <w:jc w:val="both"/>
            </w:pPr>
            <w:r>
              <w:rPr>
                <w:sz w:val="18"/>
                <w:szCs w:val="18"/>
              </w:rPr>
              <w:t>1. Diseña la organización por procesos de un proyecto en tiempo de ejecución y de operación, estimando su costo laboral y el costo de sus obras civiles.</w:t>
            </w:r>
          </w:p>
        </w:tc>
        <w:tc>
          <w:tcPr>
            <w:tcW w:w="3135" w:type="dxa"/>
            <w:gridSpan w:val="5"/>
            <w:shd w:val="clear" w:color="auto" w:fill="D9E2F3"/>
            <w:vAlign w:val="center"/>
          </w:tcPr>
          <w:p w14:paraId="62DB71C8" w14:textId="77777777" w:rsidR="00990B14" w:rsidRDefault="00000000">
            <w:pPr>
              <w:spacing w:before="20" w:after="20"/>
              <w:jc w:val="both"/>
            </w:pPr>
            <w:r>
              <w:rPr>
                <w:sz w:val="18"/>
                <w:szCs w:val="18"/>
              </w:rPr>
              <w:t>1.1 Diseña en equipo la organización por procesos y los puestos de un proyecto de inversión.</w:t>
            </w:r>
          </w:p>
        </w:tc>
        <w:tc>
          <w:tcPr>
            <w:tcW w:w="3137" w:type="dxa"/>
            <w:gridSpan w:val="4"/>
            <w:shd w:val="clear" w:color="auto" w:fill="D9E2F3"/>
            <w:vAlign w:val="center"/>
          </w:tcPr>
          <w:p w14:paraId="17A9038A" w14:textId="77777777" w:rsidR="00990B14" w:rsidRDefault="00000000">
            <w:pPr>
              <w:spacing w:before="20" w:after="20"/>
              <w:jc w:val="both"/>
            </w:pPr>
            <w:r>
              <w:rPr>
                <w:b/>
                <w:bCs/>
                <w:sz w:val="18"/>
                <w:szCs w:val="18"/>
              </w:rPr>
              <w:t xml:space="preserve">Producto 9: </w:t>
            </w:r>
            <w:r>
              <w:rPr>
                <w:sz w:val="18"/>
                <w:szCs w:val="18"/>
              </w:rPr>
              <w:t>Organigrama por procesos con el diseño de puestos y el costo laboral del proyecto.</w:t>
            </w:r>
          </w:p>
        </w:tc>
      </w:tr>
      <w:tr w:rsidR="00990B14" w14:paraId="7849D793" w14:textId="77777777">
        <w:trPr>
          <w:cantSplit/>
          <w:jc w:val="center"/>
        </w:trPr>
        <w:tc>
          <w:tcPr>
            <w:tcW w:w="3133" w:type="dxa"/>
            <w:gridSpan w:val="4"/>
            <w:vMerge/>
            <w:shd w:val="clear" w:color="auto" w:fill="D9E2F3"/>
            <w:vAlign w:val="center"/>
          </w:tcPr>
          <w:p w14:paraId="037AC000" w14:textId="77777777" w:rsidR="00990B14" w:rsidRDefault="00990B14">
            <w:pPr>
              <w:spacing w:before="20" w:after="20"/>
            </w:pPr>
          </w:p>
        </w:tc>
        <w:tc>
          <w:tcPr>
            <w:tcW w:w="3135" w:type="dxa"/>
            <w:gridSpan w:val="5"/>
            <w:shd w:val="clear" w:color="auto" w:fill="D9E2F3"/>
            <w:vAlign w:val="center"/>
          </w:tcPr>
          <w:p w14:paraId="1724829D" w14:textId="77777777" w:rsidR="00990B14" w:rsidRDefault="00000000">
            <w:pPr>
              <w:spacing w:before="20" w:after="20"/>
              <w:jc w:val="both"/>
            </w:pPr>
            <w:r>
              <w:rPr>
                <w:sz w:val="18"/>
                <w:szCs w:val="18"/>
              </w:rPr>
              <w:t>1.2 Estima en aula el costo de las obras civiles de un proyecto a partir del listado de obras por procesos.</w:t>
            </w:r>
          </w:p>
        </w:tc>
        <w:tc>
          <w:tcPr>
            <w:tcW w:w="3137" w:type="dxa"/>
            <w:gridSpan w:val="4"/>
            <w:shd w:val="clear" w:color="auto" w:fill="D9E2F3"/>
            <w:vAlign w:val="center"/>
          </w:tcPr>
          <w:p w14:paraId="6EB386DE" w14:textId="77777777" w:rsidR="00990B14" w:rsidRDefault="00000000">
            <w:pPr>
              <w:spacing w:before="20" w:after="20"/>
              <w:jc w:val="both"/>
            </w:pPr>
            <w:r>
              <w:rPr>
                <w:b/>
                <w:bCs/>
                <w:sz w:val="18"/>
                <w:szCs w:val="18"/>
              </w:rPr>
              <w:t xml:space="preserve">Producto 10: </w:t>
            </w:r>
            <w:r>
              <w:rPr>
                <w:sz w:val="18"/>
                <w:szCs w:val="18"/>
              </w:rPr>
              <w:t>Listado de obras civiles con su estimación de costo.</w:t>
            </w:r>
          </w:p>
        </w:tc>
      </w:tr>
      <w:tr w:rsidR="00990B14" w14:paraId="5289C874" w14:textId="77777777">
        <w:trPr>
          <w:cantSplit/>
          <w:jc w:val="center"/>
        </w:trPr>
        <w:tc>
          <w:tcPr>
            <w:tcW w:w="3133" w:type="dxa"/>
            <w:gridSpan w:val="4"/>
            <w:vMerge w:val="restart"/>
            <w:shd w:val="clear" w:color="auto" w:fill="D9E2F3"/>
            <w:vAlign w:val="center"/>
          </w:tcPr>
          <w:p w14:paraId="43E01604" w14:textId="77777777" w:rsidR="00990B14" w:rsidRDefault="00000000">
            <w:pPr>
              <w:spacing w:before="20" w:after="20"/>
              <w:jc w:val="both"/>
            </w:pPr>
            <w:r>
              <w:rPr>
                <w:sz w:val="18"/>
                <w:szCs w:val="18"/>
              </w:rPr>
              <w:t>2. Determina la localización de un proyecto con el método de puntaje, evaluando su viabilidad legal, ambiental y su impacto social en el área de influencia.</w:t>
            </w:r>
          </w:p>
        </w:tc>
        <w:tc>
          <w:tcPr>
            <w:tcW w:w="3135" w:type="dxa"/>
            <w:gridSpan w:val="5"/>
            <w:shd w:val="clear" w:color="auto" w:fill="D9E2F3"/>
            <w:vAlign w:val="center"/>
          </w:tcPr>
          <w:p w14:paraId="06B97BC9" w14:textId="77777777" w:rsidR="00990B14" w:rsidRDefault="00000000">
            <w:pPr>
              <w:spacing w:before="20" w:after="20"/>
              <w:jc w:val="both"/>
            </w:pPr>
            <w:r>
              <w:rPr>
                <w:sz w:val="18"/>
                <w:szCs w:val="18"/>
              </w:rPr>
              <w:t>2.1 Aplica en aula el método de puntaje para determinar la localización de un caso práctico.</w:t>
            </w:r>
          </w:p>
        </w:tc>
        <w:tc>
          <w:tcPr>
            <w:tcW w:w="3137" w:type="dxa"/>
            <w:gridSpan w:val="4"/>
            <w:shd w:val="clear" w:color="auto" w:fill="D9E2F3"/>
            <w:vAlign w:val="center"/>
          </w:tcPr>
          <w:p w14:paraId="14CE89D1" w14:textId="77777777" w:rsidR="00990B14" w:rsidRDefault="00000000">
            <w:pPr>
              <w:spacing w:before="20" w:after="20"/>
              <w:jc w:val="both"/>
            </w:pPr>
            <w:r>
              <w:rPr>
                <w:b/>
                <w:bCs/>
                <w:sz w:val="18"/>
                <w:szCs w:val="18"/>
              </w:rPr>
              <w:t xml:space="preserve">Producto 11: </w:t>
            </w:r>
            <w:r>
              <w:rPr>
                <w:sz w:val="18"/>
                <w:szCs w:val="18"/>
              </w:rPr>
              <w:t>Matriz de localización por el método de puntaje.</w:t>
            </w:r>
          </w:p>
        </w:tc>
      </w:tr>
      <w:tr w:rsidR="00990B14" w14:paraId="6F4C1E31" w14:textId="77777777">
        <w:trPr>
          <w:cantSplit/>
          <w:jc w:val="center"/>
        </w:trPr>
        <w:tc>
          <w:tcPr>
            <w:tcW w:w="3133" w:type="dxa"/>
            <w:gridSpan w:val="4"/>
            <w:vMerge/>
            <w:shd w:val="clear" w:color="auto" w:fill="D9E2F3"/>
            <w:vAlign w:val="center"/>
          </w:tcPr>
          <w:p w14:paraId="0ADBE675" w14:textId="77777777" w:rsidR="00990B14" w:rsidRDefault="00990B14">
            <w:pPr>
              <w:spacing w:before="20" w:after="20"/>
            </w:pPr>
          </w:p>
        </w:tc>
        <w:tc>
          <w:tcPr>
            <w:tcW w:w="3135" w:type="dxa"/>
            <w:gridSpan w:val="5"/>
            <w:shd w:val="clear" w:color="auto" w:fill="D9E2F3"/>
            <w:vAlign w:val="center"/>
          </w:tcPr>
          <w:p w14:paraId="3124C197" w14:textId="77777777" w:rsidR="00990B14" w:rsidRDefault="00000000">
            <w:pPr>
              <w:spacing w:before="20" w:after="20"/>
              <w:jc w:val="both"/>
            </w:pPr>
            <w:r>
              <w:rPr>
                <w:sz w:val="18"/>
                <w:szCs w:val="18"/>
              </w:rPr>
              <w:t>2.2 Evalúa en equipo los criterios de viabilidad.</w:t>
            </w:r>
          </w:p>
        </w:tc>
        <w:tc>
          <w:tcPr>
            <w:tcW w:w="3137" w:type="dxa"/>
            <w:gridSpan w:val="4"/>
            <w:shd w:val="clear" w:color="auto" w:fill="D9E2F3"/>
            <w:vAlign w:val="center"/>
          </w:tcPr>
          <w:p w14:paraId="6A238256" w14:textId="77777777" w:rsidR="00990B14" w:rsidRDefault="00000000">
            <w:pPr>
              <w:spacing w:before="20" w:after="20"/>
              <w:jc w:val="both"/>
            </w:pPr>
            <w:r>
              <w:rPr>
                <w:b/>
                <w:bCs/>
                <w:sz w:val="18"/>
                <w:szCs w:val="18"/>
              </w:rPr>
              <w:t xml:space="preserve">Producto 12: </w:t>
            </w:r>
            <w:r>
              <w:rPr>
                <w:sz w:val="18"/>
                <w:szCs w:val="18"/>
              </w:rPr>
              <w:t>Informe de viabilidad.</w:t>
            </w:r>
          </w:p>
        </w:tc>
      </w:tr>
      <w:tr w:rsidR="00990B14" w14:paraId="6B22F849" w14:textId="77777777">
        <w:trPr>
          <w:cantSplit/>
          <w:jc w:val="center"/>
        </w:trPr>
        <w:tc>
          <w:tcPr>
            <w:tcW w:w="9405" w:type="dxa"/>
            <w:gridSpan w:val="13"/>
            <w:shd w:val="clear" w:color="auto" w:fill="4472C4"/>
            <w:vAlign w:val="center"/>
          </w:tcPr>
          <w:p w14:paraId="562F2ECB" w14:textId="77777777" w:rsidR="00990B14" w:rsidRDefault="00000000">
            <w:pPr>
              <w:keepNext/>
              <w:spacing w:before="20" w:after="20"/>
              <w:jc w:val="center"/>
            </w:pPr>
            <w:r>
              <w:rPr>
                <w:b/>
                <w:bCs/>
                <w:i/>
                <w:iCs/>
                <w:color w:val="FFFFFF"/>
                <w:sz w:val="18"/>
                <w:szCs w:val="18"/>
              </w:rPr>
              <w:t>Evidencias de conocimiento</w:t>
            </w:r>
          </w:p>
        </w:tc>
      </w:tr>
      <w:tr w:rsidR="00990B14" w14:paraId="687FE722" w14:textId="77777777">
        <w:trPr>
          <w:cantSplit/>
          <w:jc w:val="center"/>
        </w:trPr>
        <w:tc>
          <w:tcPr>
            <w:tcW w:w="2349" w:type="dxa"/>
            <w:gridSpan w:val="2"/>
            <w:shd w:val="clear" w:color="auto" w:fill="4472C4"/>
            <w:vAlign w:val="center"/>
          </w:tcPr>
          <w:p w14:paraId="379C00DB"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76D9A09B" w14:textId="77777777" w:rsidR="00990B14" w:rsidRDefault="00000000">
            <w:pPr>
              <w:keepNext/>
              <w:spacing w:before="20" w:after="20"/>
              <w:jc w:val="both"/>
            </w:pPr>
            <w:r>
              <w:rPr>
                <w:b/>
                <w:bCs/>
                <w:i/>
                <w:iCs/>
                <w:color w:val="FFFFFF"/>
                <w:sz w:val="18"/>
                <w:szCs w:val="18"/>
              </w:rPr>
              <w:t>Contenidos</w:t>
            </w:r>
          </w:p>
          <w:p w14:paraId="15F34C5A"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31C4DDDB" w14:textId="77777777" w:rsidR="00990B14" w:rsidRDefault="00000000">
            <w:pPr>
              <w:keepNext/>
              <w:spacing w:before="20" w:after="20"/>
              <w:jc w:val="center"/>
            </w:pPr>
            <w:r>
              <w:rPr>
                <w:b/>
                <w:bCs/>
                <w:i/>
                <w:iCs/>
                <w:color w:val="FFFFFF"/>
                <w:sz w:val="18"/>
                <w:szCs w:val="18"/>
              </w:rPr>
              <w:t>Conocimientos circunstanciales</w:t>
            </w:r>
          </w:p>
        </w:tc>
      </w:tr>
      <w:tr w:rsidR="00990B14" w14:paraId="363DE9D8" w14:textId="77777777">
        <w:trPr>
          <w:jc w:val="center"/>
        </w:trPr>
        <w:tc>
          <w:tcPr>
            <w:tcW w:w="2349" w:type="dxa"/>
            <w:gridSpan w:val="2"/>
            <w:shd w:val="clear" w:color="auto" w:fill="D9E2F3"/>
          </w:tcPr>
          <w:p w14:paraId="0DD2F59F" w14:textId="77777777" w:rsidR="00990B14" w:rsidRDefault="00000000">
            <w:pPr>
              <w:spacing w:before="20" w:after="40"/>
              <w:jc w:val="both"/>
            </w:pPr>
            <w:r>
              <w:rPr>
                <w:sz w:val="18"/>
                <w:szCs w:val="18"/>
              </w:rPr>
              <w:t>Tema 4: Aspectos de Organización</w:t>
            </w:r>
          </w:p>
          <w:p w14:paraId="7125884F" w14:textId="77777777" w:rsidR="00990B14" w:rsidRDefault="00000000">
            <w:pPr>
              <w:spacing w:before="20" w:after="40"/>
              <w:jc w:val="both"/>
            </w:pPr>
            <w:r>
              <w:rPr>
                <w:sz w:val="18"/>
                <w:szCs w:val="18"/>
              </w:rPr>
              <w:t>Tema 5: Obras Civiles y Localización</w:t>
            </w:r>
          </w:p>
        </w:tc>
        <w:tc>
          <w:tcPr>
            <w:tcW w:w="4304" w:type="dxa"/>
            <w:gridSpan w:val="8"/>
            <w:shd w:val="clear" w:color="auto" w:fill="D9E2F3"/>
          </w:tcPr>
          <w:p w14:paraId="47EB3DB4" w14:textId="77777777" w:rsidR="00990B14" w:rsidRDefault="00000000">
            <w:pPr>
              <w:spacing w:after="40"/>
              <w:jc w:val="both"/>
            </w:pPr>
            <w:r>
              <w:rPr>
                <w:sz w:val="18"/>
                <w:szCs w:val="18"/>
              </w:rPr>
              <w:t>Significado de la organización en el diseño del proyecto. (P)</w:t>
            </w:r>
          </w:p>
          <w:p w14:paraId="26AAF7BC" w14:textId="77777777" w:rsidR="00990B14" w:rsidRDefault="00000000">
            <w:pPr>
              <w:spacing w:after="40"/>
              <w:jc w:val="both"/>
            </w:pPr>
            <w:r>
              <w:rPr>
                <w:sz w:val="18"/>
                <w:szCs w:val="18"/>
              </w:rPr>
              <w:t>Organización por procesos o campos en tiempo de ejecución y en tiempo de operación. (P)</w:t>
            </w:r>
          </w:p>
          <w:p w14:paraId="07EEBCDE" w14:textId="77777777" w:rsidR="00990B14" w:rsidRDefault="00000000">
            <w:pPr>
              <w:spacing w:after="40"/>
              <w:jc w:val="both"/>
            </w:pPr>
            <w:r>
              <w:rPr>
                <w:sz w:val="18"/>
                <w:szCs w:val="18"/>
              </w:rPr>
              <w:t>Factores de organización, diseño de puestos y costo laboral. (P)</w:t>
            </w:r>
          </w:p>
          <w:p w14:paraId="6CD054C1" w14:textId="77777777" w:rsidR="00990B14" w:rsidRDefault="00000000">
            <w:pPr>
              <w:spacing w:after="40"/>
              <w:jc w:val="both"/>
            </w:pPr>
            <w:r>
              <w:rPr>
                <w:sz w:val="18"/>
                <w:szCs w:val="18"/>
              </w:rPr>
              <w:t>Costo laboral del proyecto: salario mínimo nacional, aportes patronales y previsión de beneficios sociales. (C)</w:t>
            </w:r>
          </w:p>
          <w:p w14:paraId="0F507497" w14:textId="77777777" w:rsidR="00990B14" w:rsidRDefault="00000000">
            <w:pPr>
              <w:spacing w:after="40"/>
              <w:jc w:val="both"/>
            </w:pPr>
            <w:r>
              <w:rPr>
                <w:sz w:val="18"/>
                <w:szCs w:val="18"/>
              </w:rPr>
              <w:t>Significado de las obras civiles en el diseño del proyecto y listado de obras civiles por procesos. (P)</w:t>
            </w:r>
          </w:p>
          <w:p w14:paraId="1C957DBB" w14:textId="77777777" w:rsidR="00990B14" w:rsidRDefault="00000000">
            <w:pPr>
              <w:spacing w:after="40"/>
              <w:jc w:val="both"/>
            </w:pPr>
            <w:r>
              <w:rPr>
                <w:sz w:val="18"/>
                <w:szCs w:val="18"/>
              </w:rPr>
              <w:t>Estimación del costo o inversión en obras civiles. (C)</w:t>
            </w:r>
          </w:p>
          <w:p w14:paraId="2E051D3E" w14:textId="77777777" w:rsidR="00990B14" w:rsidRDefault="00000000">
            <w:pPr>
              <w:spacing w:after="40"/>
              <w:jc w:val="both"/>
            </w:pPr>
            <w:r>
              <w:rPr>
                <w:sz w:val="18"/>
                <w:szCs w:val="18"/>
              </w:rPr>
              <w:t>Significado y factores de la localización de un proyecto. (C)</w:t>
            </w:r>
          </w:p>
          <w:p w14:paraId="153F90BE" w14:textId="77777777" w:rsidR="00990B14" w:rsidRDefault="00000000">
            <w:pPr>
              <w:spacing w:after="40"/>
              <w:jc w:val="both"/>
            </w:pPr>
            <w:r>
              <w:rPr>
                <w:sz w:val="18"/>
                <w:szCs w:val="18"/>
              </w:rPr>
              <w:t>Viabilidad legal del proyecto: constitución y registro de la empresa, licencia de funcionamiento municipal y permisos sectoriales. (P)</w:t>
            </w:r>
          </w:p>
          <w:p w14:paraId="42A08BDC" w14:textId="77777777" w:rsidR="00990B14" w:rsidRDefault="00000000">
            <w:pPr>
              <w:spacing w:after="40"/>
              <w:jc w:val="both"/>
            </w:pPr>
            <w:r>
              <w:rPr>
                <w:sz w:val="18"/>
                <w:szCs w:val="18"/>
              </w:rPr>
              <w:t>Método de puntaje en la localización de un proyecto. (C)</w:t>
            </w:r>
          </w:p>
          <w:p w14:paraId="242251A9" w14:textId="77777777" w:rsidR="00990B14" w:rsidRDefault="00000000">
            <w:pPr>
              <w:spacing w:after="40"/>
              <w:jc w:val="both"/>
            </w:pPr>
            <w:r>
              <w:rPr>
                <w:sz w:val="18"/>
                <w:szCs w:val="18"/>
              </w:rPr>
              <w:t>Viabilidad ambiental del proyecto: ficha ambiental, categorización y obtención de la licencia ambiental. (C)</w:t>
            </w:r>
          </w:p>
        </w:tc>
        <w:tc>
          <w:tcPr>
            <w:tcW w:w="2752" w:type="dxa"/>
            <w:gridSpan w:val="3"/>
            <w:shd w:val="clear" w:color="auto" w:fill="D9E2F3"/>
          </w:tcPr>
          <w:p w14:paraId="53A398F5" w14:textId="77777777" w:rsidR="00990B14" w:rsidRDefault="00000000">
            <w:pPr>
              <w:numPr>
                <w:ilvl w:val="0"/>
                <w:numId w:val="139"/>
              </w:numPr>
              <w:spacing w:before="10" w:after="10"/>
              <w:jc w:val="both"/>
            </w:pPr>
            <w:r>
              <w:rPr>
                <w:sz w:val="18"/>
                <w:szCs w:val="18"/>
              </w:rPr>
              <w:t>Nociones de ordenamiento territorial y de uso del suelo urbano y rural.</w:t>
            </w:r>
          </w:p>
          <w:p w14:paraId="462FE3AB" w14:textId="77777777" w:rsidR="00990B14" w:rsidRDefault="00000000">
            <w:pPr>
              <w:numPr>
                <w:ilvl w:val="0"/>
                <w:numId w:val="139"/>
              </w:numPr>
              <w:spacing w:before="10" w:after="10"/>
              <w:jc w:val="both"/>
            </w:pPr>
            <w:r>
              <w:rPr>
                <w:sz w:val="18"/>
                <w:szCs w:val="18"/>
              </w:rPr>
              <w:t>Nociones de cómputos métricos y de precios referenciales de construcción.</w:t>
            </w:r>
          </w:p>
        </w:tc>
      </w:tr>
      <w:tr w:rsidR="00990B14" w14:paraId="50C51069" w14:textId="77777777">
        <w:trPr>
          <w:cantSplit/>
          <w:jc w:val="center"/>
        </w:trPr>
        <w:tc>
          <w:tcPr>
            <w:tcW w:w="9405" w:type="dxa"/>
            <w:gridSpan w:val="13"/>
            <w:shd w:val="clear" w:color="auto" w:fill="D9E2F3"/>
            <w:vAlign w:val="center"/>
          </w:tcPr>
          <w:p w14:paraId="0040CB54" w14:textId="77777777" w:rsidR="00990B14" w:rsidRDefault="00000000">
            <w:pPr>
              <w:spacing w:before="20" w:after="20"/>
              <w:jc w:val="both"/>
            </w:pPr>
            <w:r>
              <w:rPr>
                <w:b/>
                <w:bCs/>
                <w:i/>
                <w:iCs/>
                <w:sz w:val="18"/>
                <w:szCs w:val="18"/>
              </w:rPr>
              <w:t xml:space="preserve">Elemento de competencia 4: </w:t>
            </w:r>
            <w:r>
              <w:rPr>
                <w:sz w:val="18"/>
                <w:szCs w:val="18"/>
              </w:rPr>
              <w:t>Calcula los costos y la inversión de un proyecto, determinando el umbral de rentabilidad y el balance de apertura.</w:t>
            </w:r>
          </w:p>
        </w:tc>
      </w:tr>
      <w:tr w:rsidR="00990B14" w14:paraId="0B918C9B" w14:textId="77777777">
        <w:trPr>
          <w:cantSplit/>
          <w:jc w:val="center"/>
        </w:trPr>
        <w:tc>
          <w:tcPr>
            <w:tcW w:w="3133" w:type="dxa"/>
            <w:gridSpan w:val="4"/>
            <w:shd w:val="clear" w:color="auto" w:fill="4472C4"/>
            <w:vAlign w:val="center"/>
          </w:tcPr>
          <w:p w14:paraId="33135D25"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08E923DE"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7311C3CD" w14:textId="77777777" w:rsidR="00990B14" w:rsidRDefault="00000000">
            <w:pPr>
              <w:keepNext/>
              <w:spacing w:before="20" w:after="20"/>
              <w:jc w:val="center"/>
            </w:pPr>
            <w:r>
              <w:rPr>
                <w:b/>
                <w:bCs/>
                <w:i/>
                <w:iCs/>
                <w:color w:val="FFFFFF"/>
                <w:sz w:val="18"/>
                <w:szCs w:val="18"/>
              </w:rPr>
              <w:t>Evidencias de producto</w:t>
            </w:r>
          </w:p>
        </w:tc>
      </w:tr>
      <w:tr w:rsidR="00990B14" w14:paraId="1DEF5837" w14:textId="77777777">
        <w:trPr>
          <w:cantSplit/>
          <w:jc w:val="center"/>
        </w:trPr>
        <w:tc>
          <w:tcPr>
            <w:tcW w:w="3133" w:type="dxa"/>
            <w:gridSpan w:val="4"/>
            <w:vMerge w:val="restart"/>
            <w:shd w:val="clear" w:color="auto" w:fill="D9E2F3"/>
            <w:vAlign w:val="center"/>
          </w:tcPr>
          <w:p w14:paraId="69CBD6F8" w14:textId="77777777" w:rsidR="00990B14" w:rsidRDefault="00000000">
            <w:pPr>
              <w:spacing w:before="20" w:after="20"/>
              <w:jc w:val="both"/>
            </w:pPr>
            <w:r>
              <w:rPr>
                <w:sz w:val="18"/>
                <w:szCs w:val="18"/>
              </w:rPr>
              <w:t>1. Calcula los costos variables, fijos, totales y unitarios de un proyecto, determinando su umbral de rentabilidad y su sensibilidad.</w:t>
            </w:r>
          </w:p>
        </w:tc>
        <w:tc>
          <w:tcPr>
            <w:tcW w:w="3135" w:type="dxa"/>
            <w:gridSpan w:val="5"/>
            <w:shd w:val="clear" w:color="auto" w:fill="D9E2F3"/>
            <w:vAlign w:val="center"/>
          </w:tcPr>
          <w:p w14:paraId="4C02DEEE" w14:textId="77777777" w:rsidR="00990B14" w:rsidRDefault="00000000">
            <w:pPr>
              <w:spacing w:before="20" w:after="20"/>
              <w:jc w:val="both"/>
            </w:pPr>
            <w:r>
              <w:rPr>
                <w:sz w:val="18"/>
                <w:szCs w:val="18"/>
              </w:rPr>
              <w:t>1.1 Calcula en aula el costo unitario y el umbral de rentabilidad de un caso práctico de proyecto.</w:t>
            </w:r>
          </w:p>
        </w:tc>
        <w:tc>
          <w:tcPr>
            <w:tcW w:w="3137" w:type="dxa"/>
            <w:gridSpan w:val="4"/>
            <w:shd w:val="clear" w:color="auto" w:fill="D9E2F3"/>
            <w:vAlign w:val="center"/>
          </w:tcPr>
          <w:p w14:paraId="252F2D73" w14:textId="77777777" w:rsidR="00990B14" w:rsidRDefault="00000000">
            <w:pPr>
              <w:spacing w:before="20" w:after="20"/>
              <w:jc w:val="both"/>
            </w:pPr>
            <w:r>
              <w:rPr>
                <w:b/>
                <w:bCs/>
                <w:sz w:val="18"/>
                <w:szCs w:val="18"/>
              </w:rPr>
              <w:t xml:space="preserve">Producto 13: </w:t>
            </w:r>
            <w:r>
              <w:rPr>
                <w:sz w:val="18"/>
                <w:szCs w:val="18"/>
              </w:rPr>
              <w:t>Cuadro de costos variables, fijos, totales y unitarios de un proyecto.</w:t>
            </w:r>
          </w:p>
        </w:tc>
      </w:tr>
      <w:tr w:rsidR="00990B14" w14:paraId="1B33BB5E" w14:textId="77777777">
        <w:trPr>
          <w:cantSplit/>
          <w:jc w:val="center"/>
        </w:trPr>
        <w:tc>
          <w:tcPr>
            <w:tcW w:w="3133" w:type="dxa"/>
            <w:gridSpan w:val="4"/>
            <w:vMerge/>
            <w:shd w:val="clear" w:color="auto" w:fill="D9E2F3"/>
            <w:vAlign w:val="center"/>
          </w:tcPr>
          <w:p w14:paraId="0217FBBE" w14:textId="77777777" w:rsidR="00990B14" w:rsidRDefault="00990B14">
            <w:pPr>
              <w:spacing w:before="20" w:after="20"/>
            </w:pPr>
          </w:p>
        </w:tc>
        <w:tc>
          <w:tcPr>
            <w:tcW w:w="3135" w:type="dxa"/>
            <w:gridSpan w:val="5"/>
            <w:shd w:val="clear" w:color="auto" w:fill="D9E2F3"/>
            <w:vAlign w:val="center"/>
          </w:tcPr>
          <w:p w14:paraId="6D215F9E" w14:textId="77777777" w:rsidR="00990B14" w:rsidRDefault="00000000">
            <w:pPr>
              <w:spacing w:before="20" w:after="20"/>
              <w:jc w:val="both"/>
            </w:pPr>
            <w:r>
              <w:rPr>
                <w:sz w:val="18"/>
                <w:szCs w:val="18"/>
              </w:rPr>
              <w:t>1.2 Sensibiliza el umbral de rentabilidad ante cambios del precio y del costo variable.</w:t>
            </w:r>
          </w:p>
        </w:tc>
        <w:tc>
          <w:tcPr>
            <w:tcW w:w="3137" w:type="dxa"/>
            <w:gridSpan w:val="4"/>
            <w:shd w:val="clear" w:color="auto" w:fill="D9E2F3"/>
            <w:vAlign w:val="center"/>
          </w:tcPr>
          <w:p w14:paraId="345E2810" w14:textId="77777777" w:rsidR="00990B14" w:rsidRDefault="00000000">
            <w:pPr>
              <w:spacing w:before="20" w:after="20"/>
              <w:jc w:val="both"/>
            </w:pPr>
            <w:r>
              <w:rPr>
                <w:b/>
                <w:bCs/>
                <w:sz w:val="18"/>
                <w:szCs w:val="18"/>
              </w:rPr>
              <w:t xml:space="preserve">Producto 14: </w:t>
            </w:r>
            <w:r>
              <w:rPr>
                <w:sz w:val="18"/>
                <w:szCs w:val="18"/>
              </w:rPr>
              <w:t>Hoja de cálculo del umbral de rentabilidad con su análisis de sensibilidad.</w:t>
            </w:r>
          </w:p>
        </w:tc>
      </w:tr>
      <w:tr w:rsidR="00990B14" w14:paraId="5C448685" w14:textId="77777777">
        <w:trPr>
          <w:cantSplit/>
          <w:jc w:val="center"/>
        </w:trPr>
        <w:tc>
          <w:tcPr>
            <w:tcW w:w="3133" w:type="dxa"/>
            <w:gridSpan w:val="4"/>
            <w:vMerge w:val="restart"/>
            <w:shd w:val="clear" w:color="auto" w:fill="D9E2F3"/>
            <w:vAlign w:val="center"/>
          </w:tcPr>
          <w:p w14:paraId="2AA7B88D" w14:textId="77777777" w:rsidR="00990B14" w:rsidRDefault="00000000">
            <w:pPr>
              <w:spacing w:before="20" w:after="20"/>
              <w:jc w:val="both"/>
            </w:pPr>
            <w:r>
              <w:rPr>
                <w:sz w:val="18"/>
                <w:szCs w:val="18"/>
              </w:rPr>
              <w:t>2. Elabora el cuadro de inversión y el balance de apertura de un proyecto, evaluando la razonabilidad de la inversión fija, diferida, ambiental y del capital de trabajo.</w:t>
            </w:r>
          </w:p>
        </w:tc>
        <w:tc>
          <w:tcPr>
            <w:tcW w:w="3135" w:type="dxa"/>
            <w:gridSpan w:val="5"/>
            <w:shd w:val="clear" w:color="auto" w:fill="D9E2F3"/>
            <w:vAlign w:val="center"/>
          </w:tcPr>
          <w:p w14:paraId="7F5FC3EC" w14:textId="77777777" w:rsidR="00990B14" w:rsidRDefault="00000000">
            <w:pPr>
              <w:spacing w:before="20" w:after="20"/>
              <w:jc w:val="both"/>
            </w:pPr>
            <w:r>
              <w:rPr>
                <w:sz w:val="18"/>
                <w:szCs w:val="18"/>
              </w:rPr>
              <w:t>2.1 Elabora en equipo el cuadro de inversión de un proyecto con sus notas explicativas.</w:t>
            </w:r>
          </w:p>
        </w:tc>
        <w:tc>
          <w:tcPr>
            <w:tcW w:w="3137" w:type="dxa"/>
            <w:gridSpan w:val="4"/>
            <w:shd w:val="clear" w:color="auto" w:fill="D9E2F3"/>
            <w:vAlign w:val="center"/>
          </w:tcPr>
          <w:p w14:paraId="17EC389C" w14:textId="77777777" w:rsidR="00990B14" w:rsidRDefault="00000000">
            <w:pPr>
              <w:spacing w:before="20" w:after="20"/>
              <w:jc w:val="both"/>
            </w:pPr>
            <w:r>
              <w:rPr>
                <w:b/>
                <w:bCs/>
                <w:sz w:val="18"/>
                <w:szCs w:val="18"/>
              </w:rPr>
              <w:t xml:space="preserve">Producto 15: </w:t>
            </w:r>
            <w:r>
              <w:rPr>
                <w:sz w:val="18"/>
                <w:szCs w:val="18"/>
              </w:rPr>
              <w:t>Cuadro de inversión con sus notas de un proyecto.</w:t>
            </w:r>
          </w:p>
        </w:tc>
      </w:tr>
      <w:tr w:rsidR="00990B14" w14:paraId="409C059C" w14:textId="77777777">
        <w:trPr>
          <w:cantSplit/>
          <w:jc w:val="center"/>
        </w:trPr>
        <w:tc>
          <w:tcPr>
            <w:tcW w:w="3133" w:type="dxa"/>
            <w:gridSpan w:val="4"/>
            <w:vMerge/>
            <w:shd w:val="clear" w:color="auto" w:fill="D9E2F3"/>
            <w:vAlign w:val="center"/>
          </w:tcPr>
          <w:p w14:paraId="4BE991F4" w14:textId="77777777" w:rsidR="00990B14" w:rsidRDefault="00990B14">
            <w:pPr>
              <w:spacing w:before="20" w:after="20"/>
            </w:pPr>
          </w:p>
        </w:tc>
        <w:tc>
          <w:tcPr>
            <w:tcW w:w="3135" w:type="dxa"/>
            <w:gridSpan w:val="5"/>
            <w:shd w:val="clear" w:color="auto" w:fill="D9E2F3"/>
            <w:vAlign w:val="center"/>
          </w:tcPr>
          <w:p w14:paraId="5A911E39" w14:textId="77777777" w:rsidR="00990B14" w:rsidRDefault="00000000">
            <w:pPr>
              <w:spacing w:before="20" w:after="20"/>
              <w:jc w:val="both"/>
            </w:pPr>
            <w:r>
              <w:rPr>
                <w:sz w:val="18"/>
                <w:szCs w:val="18"/>
              </w:rPr>
              <w:t>2.2 Prepara en aula el balance de apertura de un proyecto a partir de su cuadro de inversión y de su financiamiento.</w:t>
            </w:r>
          </w:p>
        </w:tc>
        <w:tc>
          <w:tcPr>
            <w:tcW w:w="3137" w:type="dxa"/>
            <w:gridSpan w:val="4"/>
            <w:shd w:val="clear" w:color="auto" w:fill="D9E2F3"/>
            <w:vAlign w:val="center"/>
          </w:tcPr>
          <w:p w14:paraId="0C414FB8" w14:textId="77777777" w:rsidR="00990B14" w:rsidRDefault="00000000">
            <w:pPr>
              <w:spacing w:before="20" w:after="20"/>
              <w:jc w:val="both"/>
            </w:pPr>
            <w:r>
              <w:rPr>
                <w:b/>
                <w:bCs/>
                <w:sz w:val="18"/>
                <w:szCs w:val="18"/>
              </w:rPr>
              <w:t xml:space="preserve">Producto 16: </w:t>
            </w:r>
            <w:r>
              <w:rPr>
                <w:sz w:val="18"/>
                <w:szCs w:val="18"/>
              </w:rPr>
              <w:t>Balance de apertura de un proyecto de inversión.</w:t>
            </w:r>
          </w:p>
        </w:tc>
      </w:tr>
      <w:tr w:rsidR="00990B14" w14:paraId="7AA6AE52" w14:textId="77777777">
        <w:trPr>
          <w:cantSplit/>
          <w:jc w:val="center"/>
        </w:trPr>
        <w:tc>
          <w:tcPr>
            <w:tcW w:w="9405" w:type="dxa"/>
            <w:gridSpan w:val="13"/>
            <w:shd w:val="clear" w:color="auto" w:fill="4472C4"/>
            <w:vAlign w:val="center"/>
          </w:tcPr>
          <w:p w14:paraId="3C8FFB41" w14:textId="77777777" w:rsidR="00990B14" w:rsidRDefault="00000000">
            <w:pPr>
              <w:keepNext/>
              <w:spacing w:before="20" w:after="20"/>
              <w:jc w:val="center"/>
            </w:pPr>
            <w:r>
              <w:rPr>
                <w:b/>
                <w:bCs/>
                <w:i/>
                <w:iCs/>
                <w:color w:val="FFFFFF"/>
                <w:sz w:val="18"/>
                <w:szCs w:val="18"/>
              </w:rPr>
              <w:t>Evidencias de conocimiento</w:t>
            </w:r>
          </w:p>
        </w:tc>
      </w:tr>
      <w:tr w:rsidR="00990B14" w14:paraId="29B6B686" w14:textId="77777777">
        <w:trPr>
          <w:cantSplit/>
          <w:jc w:val="center"/>
        </w:trPr>
        <w:tc>
          <w:tcPr>
            <w:tcW w:w="2349" w:type="dxa"/>
            <w:gridSpan w:val="2"/>
            <w:shd w:val="clear" w:color="auto" w:fill="4472C4"/>
            <w:vAlign w:val="center"/>
          </w:tcPr>
          <w:p w14:paraId="677A8B74"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6344D128" w14:textId="77777777" w:rsidR="00990B14" w:rsidRDefault="00000000">
            <w:pPr>
              <w:keepNext/>
              <w:spacing w:before="20" w:after="20"/>
              <w:jc w:val="both"/>
            </w:pPr>
            <w:r>
              <w:rPr>
                <w:b/>
                <w:bCs/>
                <w:i/>
                <w:iCs/>
                <w:color w:val="FFFFFF"/>
                <w:sz w:val="18"/>
                <w:szCs w:val="18"/>
              </w:rPr>
              <w:t>Contenidos</w:t>
            </w:r>
          </w:p>
          <w:p w14:paraId="6218DA93"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6E861A95" w14:textId="77777777" w:rsidR="00990B14" w:rsidRDefault="00000000">
            <w:pPr>
              <w:keepNext/>
              <w:spacing w:before="20" w:after="20"/>
              <w:jc w:val="center"/>
            </w:pPr>
            <w:r>
              <w:rPr>
                <w:b/>
                <w:bCs/>
                <w:i/>
                <w:iCs/>
                <w:color w:val="FFFFFF"/>
                <w:sz w:val="18"/>
                <w:szCs w:val="18"/>
              </w:rPr>
              <w:t>Conocimientos circunstanciales</w:t>
            </w:r>
          </w:p>
        </w:tc>
      </w:tr>
      <w:tr w:rsidR="00990B14" w14:paraId="196F4FA2" w14:textId="77777777">
        <w:trPr>
          <w:jc w:val="center"/>
        </w:trPr>
        <w:tc>
          <w:tcPr>
            <w:tcW w:w="2349" w:type="dxa"/>
            <w:gridSpan w:val="2"/>
            <w:shd w:val="clear" w:color="auto" w:fill="D9E2F3"/>
          </w:tcPr>
          <w:p w14:paraId="6184F7D6" w14:textId="77777777" w:rsidR="00990B14" w:rsidRDefault="00000000">
            <w:pPr>
              <w:spacing w:before="20" w:after="40"/>
              <w:jc w:val="both"/>
            </w:pPr>
            <w:r>
              <w:rPr>
                <w:sz w:val="18"/>
                <w:szCs w:val="18"/>
              </w:rPr>
              <w:t>Tema 6: Costos</w:t>
            </w:r>
          </w:p>
          <w:p w14:paraId="4524BFAF" w14:textId="77777777" w:rsidR="00990B14" w:rsidRDefault="00000000">
            <w:pPr>
              <w:spacing w:before="20" w:after="40"/>
              <w:jc w:val="both"/>
            </w:pPr>
            <w:r>
              <w:rPr>
                <w:sz w:val="18"/>
                <w:szCs w:val="18"/>
              </w:rPr>
              <w:t>Tema 7: Inversión</w:t>
            </w:r>
          </w:p>
        </w:tc>
        <w:tc>
          <w:tcPr>
            <w:tcW w:w="4304" w:type="dxa"/>
            <w:gridSpan w:val="8"/>
            <w:shd w:val="clear" w:color="auto" w:fill="D9E2F3"/>
          </w:tcPr>
          <w:p w14:paraId="2DDA687A" w14:textId="77777777" w:rsidR="00990B14" w:rsidRDefault="00000000">
            <w:pPr>
              <w:spacing w:after="40"/>
              <w:jc w:val="both"/>
            </w:pPr>
            <w:r>
              <w:rPr>
                <w:sz w:val="18"/>
                <w:szCs w:val="18"/>
              </w:rPr>
              <w:t>Costo variable y costo medio variable. (C)</w:t>
            </w:r>
          </w:p>
          <w:p w14:paraId="2EE6EA3C" w14:textId="77777777" w:rsidR="00990B14" w:rsidRDefault="00000000">
            <w:pPr>
              <w:spacing w:after="40"/>
              <w:jc w:val="both"/>
            </w:pPr>
            <w:r>
              <w:rPr>
                <w:sz w:val="18"/>
                <w:szCs w:val="18"/>
              </w:rPr>
              <w:t>Costos fijos y costo medio fijo. (C)</w:t>
            </w:r>
          </w:p>
          <w:p w14:paraId="6BB4D86F" w14:textId="77777777" w:rsidR="00990B14" w:rsidRDefault="00000000">
            <w:pPr>
              <w:spacing w:after="40"/>
              <w:jc w:val="both"/>
            </w:pPr>
            <w:r>
              <w:rPr>
                <w:sz w:val="18"/>
                <w:szCs w:val="18"/>
              </w:rPr>
              <w:t>Costos totales y costo unitario. (C)</w:t>
            </w:r>
          </w:p>
          <w:p w14:paraId="13E015F5" w14:textId="77777777" w:rsidR="00990B14" w:rsidRDefault="00000000">
            <w:pPr>
              <w:spacing w:after="40"/>
              <w:jc w:val="both"/>
            </w:pPr>
            <w:r>
              <w:rPr>
                <w:sz w:val="18"/>
                <w:szCs w:val="18"/>
              </w:rPr>
              <w:t>Umbral de rentabilidad de un proyecto. (C)</w:t>
            </w:r>
          </w:p>
          <w:p w14:paraId="16B726C2" w14:textId="77777777" w:rsidR="00990B14" w:rsidRDefault="00000000">
            <w:pPr>
              <w:spacing w:after="40"/>
              <w:jc w:val="both"/>
            </w:pPr>
            <w:r>
              <w:rPr>
                <w:sz w:val="18"/>
                <w:szCs w:val="18"/>
              </w:rPr>
              <w:t>Cálculo del umbral de rentabilidad y sensibilidad del precio y del costo variable en hoja de cálculo. (P, T)</w:t>
            </w:r>
          </w:p>
          <w:p w14:paraId="0B569049" w14:textId="77777777" w:rsidR="00990B14" w:rsidRDefault="00000000">
            <w:pPr>
              <w:spacing w:after="40"/>
              <w:jc w:val="both"/>
            </w:pPr>
            <w:r>
              <w:rPr>
                <w:sz w:val="18"/>
                <w:szCs w:val="18"/>
              </w:rPr>
              <w:t>Significado de inversión y cuadro de inversión. (C)</w:t>
            </w:r>
          </w:p>
          <w:p w14:paraId="12E9EFA7" w14:textId="77777777" w:rsidR="00990B14" w:rsidRDefault="00000000">
            <w:pPr>
              <w:spacing w:after="40"/>
              <w:jc w:val="both"/>
            </w:pPr>
            <w:r>
              <w:rPr>
                <w:sz w:val="18"/>
                <w:szCs w:val="18"/>
              </w:rPr>
              <w:t>Notas al cuadro de inversión. (C)</w:t>
            </w:r>
          </w:p>
          <w:p w14:paraId="339B96CF" w14:textId="77777777" w:rsidR="00990B14" w:rsidRDefault="00000000">
            <w:pPr>
              <w:spacing w:after="40"/>
              <w:jc w:val="both"/>
            </w:pPr>
            <w:r>
              <w:rPr>
                <w:sz w:val="18"/>
                <w:szCs w:val="18"/>
              </w:rPr>
              <w:t>Inversión diferida, capital de trabajo e imprevistos del cuadro de inversión. (C)</w:t>
            </w:r>
          </w:p>
          <w:p w14:paraId="72F5656D" w14:textId="77777777" w:rsidR="00990B14" w:rsidRDefault="00000000">
            <w:pPr>
              <w:spacing w:after="40"/>
              <w:jc w:val="both"/>
            </w:pPr>
            <w:r>
              <w:rPr>
                <w:sz w:val="18"/>
                <w:szCs w:val="18"/>
              </w:rPr>
              <w:t>Balance de apertura de un proyecto de inversión. (C)</w:t>
            </w:r>
          </w:p>
        </w:tc>
        <w:tc>
          <w:tcPr>
            <w:tcW w:w="2752" w:type="dxa"/>
            <w:gridSpan w:val="3"/>
            <w:shd w:val="clear" w:color="auto" w:fill="D9E2F3"/>
          </w:tcPr>
          <w:p w14:paraId="4B410BD2" w14:textId="77777777" w:rsidR="00990B14" w:rsidRDefault="00000000">
            <w:pPr>
              <w:numPr>
                <w:ilvl w:val="0"/>
                <w:numId w:val="139"/>
              </w:numPr>
              <w:spacing w:before="10" w:after="10"/>
              <w:jc w:val="both"/>
            </w:pPr>
            <w:r>
              <w:rPr>
                <w:sz w:val="18"/>
                <w:szCs w:val="18"/>
              </w:rPr>
              <w:t>Nociones de cotización de maquinaria y equipo en el mercado local y externo.</w:t>
            </w:r>
          </w:p>
        </w:tc>
      </w:tr>
      <w:tr w:rsidR="00990B14" w14:paraId="0C3F56F9" w14:textId="77777777">
        <w:trPr>
          <w:cantSplit/>
          <w:jc w:val="center"/>
        </w:trPr>
        <w:tc>
          <w:tcPr>
            <w:tcW w:w="9405" w:type="dxa"/>
            <w:gridSpan w:val="13"/>
            <w:shd w:val="clear" w:color="auto" w:fill="D9E2F3"/>
            <w:vAlign w:val="center"/>
          </w:tcPr>
          <w:p w14:paraId="5E4EB33F" w14:textId="77777777" w:rsidR="00990B14" w:rsidRDefault="00000000">
            <w:pPr>
              <w:spacing w:before="20" w:after="20"/>
              <w:jc w:val="both"/>
            </w:pPr>
            <w:r>
              <w:rPr>
                <w:b/>
                <w:bCs/>
                <w:i/>
                <w:iCs/>
                <w:sz w:val="18"/>
                <w:szCs w:val="18"/>
              </w:rPr>
              <w:t xml:space="preserve">Elemento de competencia 5: </w:t>
            </w:r>
            <w:r>
              <w:rPr>
                <w:sz w:val="18"/>
                <w:szCs w:val="18"/>
              </w:rPr>
              <w:t>Evalúa la viabilidad económica, financiera y sensibilizada de un proyecto de inversión, calculando el valor actual neto y la tasa interna de retorno y planificando su ejecución.</w:t>
            </w:r>
          </w:p>
        </w:tc>
      </w:tr>
      <w:tr w:rsidR="00990B14" w14:paraId="6E25A152" w14:textId="77777777">
        <w:trPr>
          <w:cantSplit/>
          <w:jc w:val="center"/>
        </w:trPr>
        <w:tc>
          <w:tcPr>
            <w:tcW w:w="3133" w:type="dxa"/>
            <w:gridSpan w:val="4"/>
            <w:shd w:val="clear" w:color="auto" w:fill="4472C4"/>
            <w:vAlign w:val="center"/>
          </w:tcPr>
          <w:p w14:paraId="74F85530"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75E8FE42"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066F1281" w14:textId="77777777" w:rsidR="00990B14" w:rsidRDefault="00000000">
            <w:pPr>
              <w:keepNext/>
              <w:spacing w:before="20" w:after="20"/>
              <w:jc w:val="center"/>
            </w:pPr>
            <w:r>
              <w:rPr>
                <w:b/>
                <w:bCs/>
                <w:i/>
                <w:iCs/>
                <w:color w:val="FFFFFF"/>
                <w:sz w:val="18"/>
                <w:szCs w:val="18"/>
              </w:rPr>
              <w:t>Evidencias de producto</w:t>
            </w:r>
          </w:p>
        </w:tc>
      </w:tr>
      <w:tr w:rsidR="00990B14" w14:paraId="5376DE4E" w14:textId="77777777">
        <w:trPr>
          <w:cantSplit/>
          <w:jc w:val="center"/>
        </w:trPr>
        <w:tc>
          <w:tcPr>
            <w:tcW w:w="3133" w:type="dxa"/>
            <w:gridSpan w:val="4"/>
            <w:vMerge w:val="restart"/>
            <w:shd w:val="clear" w:color="auto" w:fill="D9E2F3"/>
            <w:vAlign w:val="center"/>
          </w:tcPr>
          <w:p w14:paraId="34AACB6A" w14:textId="77777777" w:rsidR="00990B14" w:rsidRDefault="00000000">
            <w:pPr>
              <w:spacing w:before="20" w:after="20"/>
              <w:jc w:val="both"/>
            </w:pPr>
            <w:r>
              <w:rPr>
                <w:sz w:val="18"/>
                <w:szCs w:val="18"/>
              </w:rPr>
              <w:t>1. Evalúa la viabilidad económica y financiera de un proyecto, proyectando sus estados financieros y calculando el valor actual neto, la tasa interna de retorno y la razón beneficio-costo.</w:t>
            </w:r>
          </w:p>
        </w:tc>
        <w:tc>
          <w:tcPr>
            <w:tcW w:w="3135" w:type="dxa"/>
            <w:gridSpan w:val="5"/>
            <w:shd w:val="clear" w:color="auto" w:fill="D9E2F3"/>
            <w:vAlign w:val="center"/>
          </w:tcPr>
          <w:p w14:paraId="174A6878" w14:textId="77777777" w:rsidR="00990B14" w:rsidRDefault="00000000">
            <w:pPr>
              <w:spacing w:before="20" w:after="20"/>
              <w:jc w:val="both"/>
            </w:pPr>
            <w:r>
              <w:rPr>
                <w:sz w:val="18"/>
                <w:szCs w:val="18"/>
              </w:rPr>
              <w:t>1.1 Calcula el valor actual neto y la tasa interna de retorno económica de un proyecto con funciones financieras.</w:t>
            </w:r>
          </w:p>
        </w:tc>
        <w:tc>
          <w:tcPr>
            <w:tcW w:w="3137" w:type="dxa"/>
            <w:gridSpan w:val="4"/>
            <w:shd w:val="clear" w:color="auto" w:fill="D9E2F3"/>
            <w:vAlign w:val="center"/>
          </w:tcPr>
          <w:p w14:paraId="1C967799" w14:textId="77777777" w:rsidR="00990B14" w:rsidRDefault="00000000">
            <w:pPr>
              <w:spacing w:before="20" w:after="20"/>
              <w:jc w:val="both"/>
            </w:pPr>
            <w:r>
              <w:rPr>
                <w:b/>
                <w:bCs/>
                <w:sz w:val="18"/>
                <w:szCs w:val="18"/>
              </w:rPr>
              <w:t xml:space="preserve">Producto 17: </w:t>
            </w:r>
            <w:r>
              <w:rPr>
                <w:sz w:val="18"/>
                <w:szCs w:val="18"/>
              </w:rPr>
              <w:t>Proyección de estados financieros con el valor actual neto y la tasa interna de retorno económica.</w:t>
            </w:r>
          </w:p>
        </w:tc>
      </w:tr>
      <w:tr w:rsidR="00990B14" w14:paraId="4F213D03" w14:textId="77777777">
        <w:trPr>
          <w:cantSplit/>
          <w:jc w:val="center"/>
        </w:trPr>
        <w:tc>
          <w:tcPr>
            <w:tcW w:w="3133" w:type="dxa"/>
            <w:gridSpan w:val="4"/>
            <w:vMerge/>
            <w:shd w:val="clear" w:color="auto" w:fill="D9E2F3"/>
            <w:vAlign w:val="center"/>
          </w:tcPr>
          <w:p w14:paraId="123B393F" w14:textId="77777777" w:rsidR="00990B14" w:rsidRDefault="00990B14">
            <w:pPr>
              <w:spacing w:before="20" w:after="20"/>
            </w:pPr>
          </w:p>
        </w:tc>
        <w:tc>
          <w:tcPr>
            <w:tcW w:w="3135" w:type="dxa"/>
            <w:gridSpan w:val="5"/>
            <w:shd w:val="clear" w:color="auto" w:fill="D9E2F3"/>
            <w:vAlign w:val="center"/>
          </w:tcPr>
          <w:p w14:paraId="050FD060" w14:textId="77777777" w:rsidR="00990B14" w:rsidRDefault="00000000">
            <w:pPr>
              <w:spacing w:before="20" w:after="20"/>
              <w:jc w:val="both"/>
            </w:pPr>
            <w:r>
              <w:rPr>
                <w:sz w:val="18"/>
                <w:szCs w:val="18"/>
              </w:rPr>
              <w:t>1.2 Determina el valor actual neto financiero, la tasa interna de retorno, la razón beneficio costo de un proyecto.</w:t>
            </w:r>
          </w:p>
        </w:tc>
        <w:tc>
          <w:tcPr>
            <w:tcW w:w="3137" w:type="dxa"/>
            <w:gridSpan w:val="4"/>
            <w:shd w:val="clear" w:color="auto" w:fill="D9E2F3"/>
            <w:vAlign w:val="center"/>
          </w:tcPr>
          <w:p w14:paraId="4AB9A5FA" w14:textId="77777777" w:rsidR="00990B14" w:rsidRDefault="00000000">
            <w:pPr>
              <w:spacing w:before="20" w:after="20"/>
              <w:jc w:val="both"/>
            </w:pPr>
            <w:r>
              <w:rPr>
                <w:b/>
                <w:bCs/>
                <w:sz w:val="18"/>
                <w:szCs w:val="18"/>
              </w:rPr>
              <w:t xml:space="preserve">Producto 18: </w:t>
            </w:r>
            <w:r>
              <w:rPr>
                <w:sz w:val="18"/>
                <w:szCs w:val="18"/>
              </w:rPr>
              <w:t>Evaluación financiera con indicadores de rentabilidad.</w:t>
            </w:r>
          </w:p>
        </w:tc>
      </w:tr>
      <w:tr w:rsidR="00990B14" w14:paraId="6291BFCA" w14:textId="77777777">
        <w:trPr>
          <w:cantSplit/>
          <w:jc w:val="center"/>
        </w:trPr>
        <w:tc>
          <w:tcPr>
            <w:tcW w:w="3133" w:type="dxa"/>
            <w:gridSpan w:val="4"/>
            <w:vMerge w:val="restart"/>
            <w:shd w:val="clear" w:color="auto" w:fill="D9E2F3"/>
            <w:vAlign w:val="center"/>
          </w:tcPr>
          <w:p w14:paraId="492E8A16" w14:textId="77777777" w:rsidR="00990B14" w:rsidRDefault="00000000">
            <w:pPr>
              <w:spacing w:before="20" w:after="20"/>
              <w:jc w:val="both"/>
            </w:pPr>
            <w:r>
              <w:rPr>
                <w:sz w:val="18"/>
                <w:szCs w:val="18"/>
              </w:rPr>
              <w:t>2. Analiza el riesgo de un proyecto con la sensibilización por inflación y tipo de cambio, y planifica su ejecución con la programación de actividades.</w:t>
            </w:r>
          </w:p>
        </w:tc>
        <w:tc>
          <w:tcPr>
            <w:tcW w:w="3135" w:type="dxa"/>
            <w:gridSpan w:val="5"/>
            <w:shd w:val="clear" w:color="auto" w:fill="D9E2F3"/>
            <w:vAlign w:val="center"/>
          </w:tcPr>
          <w:p w14:paraId="19743A59" w14:textId="77777777" w:rsidR="00990B14" w:rsidRDefault="00000000">
            <w:pPr>
              <w:spacing w:before="20" w:after="20"/>
              <w:jc w:val="both"/>
            </w:pPr>
            <w:r>
              <w:rPr>
                <w:sz w:val="18"/>
                <w:szCs w:val="18"/>
              </w:rPr>
              <w:t>2.1 Sensibiliza en equipo el valor actual neto y la tasa interna de retorno ante expectativas de inflación y tipo de cambio.</w:t>
            </w:r>
          </w:p>
        </w:tc>
        <w:tc>
          <w:tcPr>
            <w:tcW w:w="3137" w:type="dxa"/>
            <w:gridSpan w:val="4"/>
            <w:shd w:val="clear" w:color="auto" w:fill="D9E2F3"/>
            <w:vAlign w:val="center"/>
          </w:tcPr>
          <w:p w14:paraId="1AEF1F55" w14:textId="77777777" w:rsidR="00990B14" w:rsidRDefault="00000000">
            <w:pPr>
              <w:spacing w:before="20" w:after="20"/>
              <w:jc w:val="both"/>
            </w:pPr>
            <w:r>
              <w:rPr>
                <w:b/>
                <w:bCs/>
                <w:sz w:val="18"/>
                <w:szCs w:val="18"/>
              </w:rPr>
              <w:t xml:space="preserve">Producto 19: </w:t>
            </w:r>
            <w:r>
              <w:rPr>
                <w:sz w:val="18"/>
                <w:szCs w:val="18"/>
              </w:rPr>
              <w:t>Informe de evaluación sensibilizada con escenarios y puntos críticos.</w:t>
            </w:r>
          </w:p>
        </w:tc>
      </w:tr>
      <w:tr w:rsidR="00990B14" w14:paraId="259D003F" w14:textId="77777777">
        <w:trPr>
          <w:cantSplit/>
          <w:jc w:val="center"/>
        </w:trPr>
        <w:tc>
          <w:tcPr>
            <w:tcW w:w="3133" w:type="dxa"/>
            <w:gridSpan w:val="4"/>
            <w:vMerge/>
            <w:shd w:val="clear" w:color="auto" w:fill="D9E2F3"/>
            <w:vAlign w:val="center"/>
          </w:tcPr>
          <w:p w14:paraId="0C77A644" w14:textId="77777777" w:rsidR="00990B14" w:rsidRDefault="00990B14">
            <w:pPr>
              <w:spacing w:before="20" w:after="20"/>
            </w:pPr>
          </w:p>
        </w:tc>
        <w:tc>
          <w:tcPr>
            <w:tcW w:w="3135" w:type="dxa"/>
            <w:gridSpan w:val="5"/>
            <w:shd w:val="clear" w:color="auto" w:fill="D9E2F3"/>
            <w:vAlign w:val="center"/>
          </w:tcPr>
          <w:p w14:paraId="6532382C" w14:textId="77777777" w:rsidR="00990B14" w:rsidRDefault="00000000">
            <w:pPr>
              <w:spacing w:before="20" w:after="20"/>
              <w:jc w:val="both"/>
            </w:pPr>
            <w:r>
              <w:rPr>
                <w:sz w:val="18"/>
                <w:szCs w:val="18"/>
              </w:rPr>
              <w:t>2.2 Elabora en aula el plan de ejecución de un proyecto con el cuadro de identificación de actividades.</w:t>
            </w:r>
          </w:p>
        </w:tc>
        <w:tc>
          <w:tcPr>
            <w:tcW w:w="3137" w:type="dxa"/>
            <w:gridSpan w:val="4"/>
            <w:shd w:val="clear" w:color="auto" w:fill="D9E2F3"/>
            <w:vAlign w:val="center"/>
          </w:tcPr>
          <w:p w14:paraId="52A1D609" w14:textId="77777777" w:rsidR="00990B14" w:rsidRDefault="00000000">
            <w:pPr>
              <w:spacing w:before="20" w:after="20"/>
              <w:jc w:val="both"/>
            </w:pPr>
            <w:r>
              <w:rPr>
                <w:b/>
                <w:bCs/>
                <w:sz w:val="18"/>
                <w:szCs w:val="18"/>
              </w:rPr>
              <w:t xml:space="preserve">Producto 20: </w:t>
            </w:r>
            <w:r>
              <w:rPr>
                <w:sz w:val="18"/>
                <w:szCs w:val="18"/>
              </w:rPr>
              <w:t>Plan de ejecución del proyecto con su programación de actividades.</w:t>
            </w:r>
          </w:p>
        </w:tc>
      </w:tr>
      <w:tr w:rsidR="00990B14" w14:paraId="2F8315C6" w14:textId="77777777">
        <w:trPr>
          <w:cantSplit/>
          <w:jc w:val="center"/>
        </w:trPr>
        <w:tc>
          <w:tcPr>
            <w:tcW w:w="9405" w:type="dxa"/>
            <w:gridSpan w:val="13"/>
            <w:shd w:val="clear" w:color="auto" w:fill="4472C4"/>
            <w:vAlign w:val="center"/>
          </w:tcPr>
          <w:p w14:paraId="131F36B9" w14:textId="77777777" w:rsidR="00990B14" w:rsidRDefault="00000000">
            <w:pPr>
              <w:keepNext/>
              <w:spacing w:before="20" w:after="20"/>
              <w:jc w:val="center"/>
            </w:pPr>
            <w:r>
              <w:rPr>
                <w:b/>
                <w:bCs/>
                <w:i/>
                <w:iCs/>
                <w:color w:val="FFFFFF"/>
                <w:sz w:val="18"/>
                <w:szCs w:val="18"/>
              </w:rPr>
              <w:t>Evidencias de conocimiento</w:t>
            </w:r>
          </w:p>
        </w:tc>
      </w:tr>
      <w:tr w:rsidR="00990B14" w14:paraId="22960B2C" w14:textId="77777777">
        <w:trPr>
          <w:cantSplit/>
          <w:jc w:val="center"/>
        </w:trPr>
        <w:tc>
          <w:tcPr>
            <w:tcW w:w="2349" w:type="dxa"/>
            <w:gridSpan w:val="2"/>
            <w:shd w:val="clear" w:color="auto" w:fill="4472C4"/>
            <w:vAlign w:val="center"/>
          </w:tcPr>
          <w:p w14:paraId="52E71A1B"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06E15B19" w14:textId="77777777" w:rsidR="00990B14" w:rsidRDefault="00000000">
            <w:pPr>
              <w:keepNext/>
              <w:spacing w:before="20" w:after="20"/>
              <w:jc w:val="both"/>
            </w:pPr>
            <w:r>
              <w:rPr>
                <w:b/>
                <w:bCs/>
                <w:i/>
                <w:iCs/>
                <w:color w:val="FFFFFF"/>
                <w:sz w:val="18"/>
                <w:szCs w:val="18"/>
              </w:rPr>
              <w:t>Contenidos</w:t>
            </w:r>
          </w:p>
          <w:p w14:paraId="0E708708"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0DF8F32F" w14:textId="77777777" w:rsidR="00990B14" w:rsidRDefault="00000000">
            <w:pPr>
              <w:keepNext/>
              <w:spacing w:before="20" w:after="20"/>
              <w:jc w:val="center"/>
            </w:pPr>
            <w:r>
              <w:rPr>
                <w:b/>
                <w:bCs/>
                <w:i/>
                <w:iCs/>
                <w:color w:val="FFFFFF"/>
                <w:sz w:val="18"/>
                <w:szCs w:val="18"/>
              </w:rPr>
              <w:t>Conocimientos circunstanciales</w:t>
            </w:r>
          </w:p>
        </w:tc>
      </w:tr>
      <w:tr w:rsidR="00990B14" w14:paraId="19EE16D4" w14:textId="77777777">
        <w:trPr>
          <w:jc w:val="center"/>
        </w:trPr>
        <w:tc>
          <w:tcPr>
            <w:tcW w:w="2349" w:type="dxa"/>
            <w:gridSpan w:val="2"/>
            <w:shd w:val="clear" w:color="auto" w:fill="D9E2F3"/>
          </w:tcPr>
          <w:p w14:paraId="71375A31" w14:textId="77777777" w:rsidR="00990B14" w:rsidRDefault="00000000">
            <w:pPr>
              <w:spacing w:before="20" w:after="40"/>
              <w:jc w:val="both"/>
            </w:pPr>
            <w:r>
              <w:rPr>
                <w:sz w:val="18"/>
                <w:szCs w:val="18"/>
              </w:rPr>
              <w:t>Tema 8: Estudio de Evaluación Financiera</w:t>
            </w:r>
          </w:p>
          <w:p w14:paraId="738C0761" w14:textId="77777777" w:rsidR="00990B14" w:rsidRDefault="00000000">
            <w:pPr>
              <w:spacing w:before="20" w:after="40"/>
              <w:jc w:val="both"/>
            </w:pPr>
            <w:r>
              <w:rPr>
                <w:sz w:val="18"/>
                <w:szCs w:val="18"/>
              </w:rPr>
              <w:t>Tema 9: Estudio de Evaluación Económica</w:t>
            </w:r>
          </w:p>
          <w:p w14:paraId="5E03FE8F" w14:textId="77777777" w:rsidR="00990B14" w:rsidRDefault="00000000">
            <w:pPr>
              <w:spacing w:before="20" w:after="40"/>
              <w:jc w:val="both"/>
            </w:pPr>
            <w:r>
              <w:rPr>
                <w:sz w:val="18"/>
                <w:szCs w:val="18"/>
              </w:rPr>
              <w:t>Tema 10: Estudio de Evaluación Sensibilizada</w:t>
            </w:r>
          </w:p>
          <w:p w14:paraId="5A49AA8F" w14:textId="77777777" w:rsidR="00990B14" w:rsidRDefault="00000000">
            <w:pPr>
              <w:spacing w:before="20" w:after="40"/>
              <w:jc w:val="both"/>
            </w:pPr>
            <w:r>
              <w:rPr>
                <w:sz w:val="18"/>
                <w:szCs w:val="18"/>
              </w:rPr>
              <w:t>Tema 11: Plan de Ejecución</w:t>
            </w:r>
          </w:p>
        </w:tc>
        <w:tc>
          <w:tcPr>
            <w:tcW w:w="4304" w:type="dxa"/>
            <w:gridSpan w:val="8"/>
            <w:shd w:val="clear" w:color="auto" w:fill="D9E2F3"/>
          </w:tcPr>
          <w:p w14:paraId="57211E64" w14:textId="77777777" w:rsidR="00990B14" w:rsidRDefault="00000000">
            <w:pPr>
              <w:spacing w:after="40"/>
              <w:jc w:val="both"/>
            </w:pPr>
            <w:r>
              <w:rPr>
                <w:sz w:val="18"/>
                <w:szCs w:val="18"/>
              </w:rPr>
              <w:t>Fuentes de financiamiento y significado de la evaluación privada económica y financiera. (C)</w:t>
            </w:r>
          </w:p>
          <w:p w14:paraId="2C97D87E" w14:textId="77777777" w:rsidR="00990B14" w:rsidRDefault="00000000">
            <w:pPr>
              <w:spacing w:after="40"/>
              <w:jc w:val="both"/>
            </w:pPr>
            <w:r>
              <w:rPr>
                <w:sz w:val="18"/>
                <w:szCs w:val="18"/>
              </w:rPr>
              <w:t>Metodología contable o alternativa en la proyección; proyección de estados financieros. (P)</w:t>
            </w:r>
          </w:p>
          <w:p w14:paraId="58591E68" w14:textId="77777777" w:rsidR="00990B14" w:rsidRDefault="00000000">
            <w:pPr>
              <w:spacing w:after="40"/>
              <w:jc w:val="both"/>
            </w:pPr>
            <w:r>
              <w:rPr>
                <w:sz w:val="18"/>
                <w:szCs w:val="18"/>
              </w:rPr>
              <w:t>Cuadro de origen y uso de fondos; repaso de conceptos financieros. (C)</w:t>
            </w:r>
          </w:p>
          <w:p w14:paraId="6DF0644E" w14:textId="77777777" w:rsidR="00990B14" w:rsidRDefault="00000000">
            <w:pPr>
              <w:spacing w:after="40"/>
              <w:jc w:val="both"/>
            </w:pPr>
            <w:r>
              <w:rPr>
                <w:sz w:val="18"/>
                <w:szCs w:val="18"/>
              </w:rPr>
              <w:t>Valor actual neto, tasa interna de retorno y periodo de amortización de la evaluación económica. (C)</w:t>
            </w:r>
          </w:p>
          <w:p w14:paraId="3A44ED16" w14:textId="77777777" w:rsidR="00990B14" w:rsidRDefault="00000000">
            <w:pPr>
              <w:spacing w:after="40"/>
              <w:jc w:val="both"/>
            </w:pPr>
            <w:r>
              <w:rPr>
                <w:sz w:val="18"/>
                <w:szCs w:val="18"/>
              </w:rPr>
              <w:t>Cálculo del valor actual neto y de la tasa interna de retorno en hoja de cálculo con funciones financieras, y determinación de la tasa de descuento. (P, T)</w:t>
            </w:r>
          </w:p>
          <w:p w14:paraId="01483C70" w14:textId="77777777" w:rsidR="00990B14" w:rsidRDefault="00000000">
            <w:pPr>
              <w:spacing w:after="40"/>
              <w:jc w:val="both"/>
            </w:pPr>
            <w:r>
              <w:rPr>
                <w:sz w:val="18"/>
                <w:szCs w:val="18"/>
              </w:rPr>
              <w:t>Significado de la evaluación financiera y métodos de cálculo del servicio de la deuda. (P)</w:t>
            </w:r>
          </w:p>
          <w:p w14:paraId="4B434730" w14:textId="77777777" w:rsidR="00990B14" w:rsidRDefault="00000000">
            <w:pPr>
              <w:spacing w:after="40"/>
              <w:jc w:val="both"/>
            </w:pPr>
            <w:r>
              <w:rPr>
                <w:sz w:val="18"/>
                <w:szCs w:val="18"/>
              </w:rPr>
              <w:t>Efectos de los intereses sobre el estado de resultados y efecto del servicio de la deuda sobre los saldos de caja. (C)</w:t>
            </w:r>
          </w:p>
          <w:p w14:paraId="6F0EE69C" w14:textId="77777777" w:rsidR="00990B14" w:rsidRDefault="00000000">
            <w:pPr>
              <w:spacing w:after="40"/>
              <w:jc w:val="both"/>
            </w:pPr>
            <w:r>
              <w:rPr>
                <w:sz w:val="18"/>
                <w:szCs w:val="18"/>
              </w:rPr>
              <w:t>Valor actual neto financiero, tasa interna de retorno financiera y apalancamiento. (C)</w:t>
            </w:r>
          </w:p>
          <w:p w14:paraId="29B1E2BD" w14:textId="77777777" w:rsidR="00990B14" w:rsidRDefault="00000000">
            <w:pPr>
              <w:spacing w:after="40"/>
              <w:jc w:val="both"/>
            </w:pPr>
            <w:r>
              <w:rPr>
                <w:sz w:val="18"/>
                <w:szCs w:val="18"/>
              </w:rPr>
              <w:t>Reglamento básico de inversión pública. (C)</w:t>
            </w:r>
          </w:p>
          <w:p w14:paraId="28542E13" w14:textId="77777777" w:rsidR="00990B14" w:rsidRDefault="00000000">
            <w:pPr>
              <w:spacing w:after="40"/>
              <w:jc w:val="both"/>
            </w:pPr>
            <w:r>
              <w:rPr>
                <w:sz w:val="18"/>
                <w:szCs w:val="18"/>
              </w:rPr>
              <w:t>Criterios e indicadores de evaluación económica y social para la inversión pública. (P)</w:t>
            </w:r>
          </w:p>
          <w:p w14:paraId="40785855" w14:textId="77777777" w:rsidR="00990B14" w:rsidRDefault="00000000">
            <w:pPr>
              <w:spacing w:after="40"/>
              <w:jc w:val="both"/>
            </w:pPr>
            <w:r>
              <w:rPr>
                <w:sz w:val="18"/>
                <w:szCs w:val="18"/>
              </w:rPr>
              <w:t>Significado de la sensibilización e incorporación de expectativas de inflación y devaluación. (C)</w:t>
            </w:r>
          </w:p>
          <w:p w14:paraId="63E18F04" w14:textId="77777777" w:rsidR="00990B14" w:rsidRDefault="00000000">
            <w:pPr>
              <w:spacing w:after="40"/>
              <w:jc w:val="both"/>
            </w:pPr>
            <w:r>
              <w:rPr>
                <w:sz w:val="18"/>
                <w:szCs w:val="18"/>
              </w:rPr>
              <w:t>Sensibilización con inflación y tipo de cambio; proyección de estados financieros sensibilizados. (C)</w:t>
            </w:r>
          </w:p>
          <w:p w14:paraId="5F3879FF" w14:textId="77777777" w:rsidR="00990B14" w:rsidRDefault="00000000">
            <w:pPr>
              <w:spacing w:after="40"/>
              <w:jc w:val="both"/>
            </w:pPr>
            <w:r>
              <w:rPr>
                <w:sz w:val="18"/>
                <w:szCs w:val="18"/>
              </w:rPr>
              <w:t>Análisis de escenarios y de puntos críticos: identificación de las variables de mayor incidencia en la rentabilidad del proyecto. (P)</w:t>
            </w:r>
          </w:p>
          <w:p w14:paraId="14AD1AE8" w14:textId="77777777" w:rsidR="00990B14" w:rsidRDefault="00000000">
            <w:pPr>
              <w:spacing w:after="40"/>
              <w:jc w:val="both"/>
            </w:pPr>
            <w:r>
              <w:rPr>
                <w:sz w:val="18"/>
                <w:szCs w:val="18"/>
              </w:rPr>
              <w:t>Valor actual neto sensibilizado y tasa interna de retorno sensibilizada. (C)</w:t>
            </w:r>
          </w:p>
          <w:p w14:paraId="4FEE0601" w14:textId="77777777" w:rsidR="00990B14" w:rsidRDefault="00000000">
            <w:pPr>
              <w:spacing w:after="40"/>
              <w:jc w:val="both"/>
            </w:pPr>
            <w:r>
              <w:rPr>
                <w:sz w:val="18"/>
                <w:szCs w:val="18"/>
              </w:rPr>
              <w:t>Campos de actividad en tiempo de ejecución y cuadro de identificación de actividades. (P)</w:t>
            </w:r>
          </w:p>
          <w:p w14:paraId="79693864" w14:textId="77777777" w:rsidR="00990B14" w:rsidRDefault="00000000">
            <w:pPr>
              <w:spacing w:after="40"/>
              <w:jc w:val="both"/>
            </w:pPr>
            <w:r>
              <w:rPr>
                <w:sz w:val="18"/>
                <w:szCs w:val="18"/>
              </w:rPr>
              <w:t>Planificación con cuadro de identificación de actividades y con red de flechas. (P)</w:t>
            </w:r>
          </w:p>
          <w:p w14:paraId="54A540F9" w14:textId="77777777" w:rsidR="00990B14" w:rsidRDefault="00000000">
            <w:pPr>
              <w:spacing w:after="40"/>
              <w:jc w:val="both"/>
            </w:pPr>
            <w:r>
              <w:rPr>
                <w:sz w:val="18"/>
                <w:szCs w:val="18"/>
              </w:rPr>
              <w:t>Programación con cuadro de secuencia de actividades, con red de flechas y con cuadro de doble entrada. (C)</w:t>
            </w:r>
          </w:p>
          <w:p w14:paraId="62BA78FB" w14:textId="77777777" w:rsidR="00990B14" w:rsidRDefault="00000000">
            <w:pPr>
              <w:spacing w:after="40"/>
              <w:jc w:val="both"/>
            </w:pPr>
            <w:r>
              <w:rPr>
                <w:sz w:val="18"/>
                <w:szCs w:val="18"/>
              </w:rPr>
              <w:t>Gestión de riesgos del proyecto: identificación, valoración y respuesta ante los riesgos de ejecución y de operación. (P)</w:t>
            </w:r>
          </w:p>
        </w:tc>
        <w:tc>
          <w:tcPr>
            <w:tcW w:w="2752" w:type="dxa"/>
            <w:gridSpan w:val="3"/>
            <w:shd w:val="clear" w:color="auto" w:fill="D9E2F3"/>
          </w:tcPr>
          <w:p w14:paraId="26C01DEF" w14:textId="77777777" w:rsidR="00990B14" w:rsidRDefault="00000000">
            <w:pPr>
              <w:numPr>
                <w:ilvl w:val="0"/>
                <w:numId w:val="139"/>
              </w:numPr>
              <w:spacing w:before="10" w:after="10"/>
              <w:jc w:val="both"/>
            </w:pPr>
            <w:r>
              <w:rPr>
                <w:sz w:val="18"/>
                <w:szCs w:val="18"/>
              </w:rPr>
              <w:t>Nociones de las líneas de crédito de la banca de desarrollo para el sector productivo.</w:t>
            </w:r>
          </w:p>
          <w:p w14:paraId="3349311E" w14:textId="77777777" w:rsidR="00990B14" w:rsidRDefault="00000000">
            <w:pPr>
              <w:numPr>
                <w:ilvl w:val="0"/>
                <w:numId w:val="139"/>
              </w:numPr>
              <w:spacing w:before="10" w:after="10"/>
              <w:jc w:val="both"/>
            </w:pPr>
            <w:r>
              <w:rPr>
                <w:sz w:val="18"/>
                <w:szCs w:val="18"/>
              </w:rPr>
              <w:t>Nociones de programas informáticos de gestión de proyectos para la programación de actividades.</w:t>
            </w:r>
          </w:p>
        </w:tc>
      </w:tr>
    </w:tbl>
    <w:p w14:paraId="5DEE8F11"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827"/>
        <w:gridCol w:w="1531"/>
        <w:gridCol w:w="1827"/>
        <w:gridCol w:w="1679"/>
        <w:gridCol w:w="2541"/>
      </w:tblGrid>
      <w:tr w:rsidR="00990B14" w14:paraId="4BC447F1" w14:textId="77777777">
        <w:trPr>
          <w:cantSplit/>
          <w:jc w:val="center"/>
        </w:trPr>
        <w:tc>
          <w:tcPr>
            <w:tcW w:w="9405" w:type="dxa"/>
            <w:gridSpan w:val="5"/>
            <w:shd w:val="clear" w:color="auto" w:fill="4472C4"/>
            <w:vAlign w:val="center"/>
          </w:tcPr>
          <w:p w14:paraId="23F36707" w14:textId="77777777" w:rsidR="00990B14" w:rsidRDefault="00000000">
            <w:pPr>
              <w:keepNext/>
              <w:spacing w:before="20" w:after="20"/>
              <w:jc w:val="center"/>
            </w:pPr>
            <w:r>
              <w:rPr>
                <w:b/>
                <w:bCs/>
                <w:i/>
                <w:iCs/>
                <w:color w:val="FFFFFF"/>
                <w:sz w:val="18"/>
                <w:szCs w:val="18"/>
              </w:rPr>
              <w:t>Actividades</w:t>
            </w:r>
          </w:p>
        </w:tc>
      </w:tr>
      <w:tr w:rsidR="00990B14" w14:paraId="5FD2075A" w14:textId="77777777">
        <w:trPr>
          <w:cantSplit/>
          <w:jc w:val="center"/>
        </w:trPr>
        <w:tc>
          <w:tcPr>
            <w:tcW w:w="1827" w:type="dxa"/>
            <w:shd w:val="clear" w:color="auto" w:fill="4472C4"/>
            <w:vAlign w:val="center"/>
          </w:tcPr>
          <w:p w14:paraId="4408BE92" w14:textId="77777777" w:rsidR="00990B14" w:rsidRDefault="00000000">
            <w:pPr>
              <w:keepNext/>
              <w:spacing w:before="20" w:after="20"/>
              <w:jc w:val="center"/>
            </w:pPr>
            <w:r>
              <w:rPr>
                <w:b/>
                <w:bCs/>
                <w:i/>
                <w:iCs/>
                <w:color w:val="FFFFFF"/>
                <w:sz w:val="18"/>
                <w:szCs w:val="18"/>
              </w:rPr>
              <w:t>En clase</w:t>
            </w:r>
          </w:p>
        </w:tc>
        <w:tc>
          <w:tcPr>
            <w:tcW w:w="1531" w:type="dxa"/>
            <w:shd w:val="clear" w:color="auto" w:fill="4472C4"/>
            <w:vAlign w:val="center"/>
          </w:tcPr>
          <w:p w14:paraId="1E83AE99" w14:textId="77777777" w:rsidR="00990B14" w:rsidRDefault="00000000">
            <w:pPr>
              <w:keepNext/>
              <w:spacing w:before="20" w:after="20"/>
              <w:jc w:val="center"/>
            </w:pPr>
            <w:r>
              <w:rPr>
                <w:b/>
                <w:bCs/>
                <w:i/>
                <w:iCs/>
                <w:color w:val="FFFFFF"/>
                <w:sz w:val="18"/>
                <w:szCs w:val="18"/>
              </w:rPr>
              <w:t>Autónomas</w:t>
            </w:r>
          </w:p>
        </w:tc>
        <w:tc>
          <w:tcPr>
            <w:tcW w:w="1827" w:type="dxa"/>
            <w:shd w:val="clear" w:color="auto" w:fill="4472C4"/>
            <w:vAlign w:val="center"/>
          </w:tcPr>
          <w:p w14:paraId="3CCDE8F7" w14:textId="77777777" w:rsidR="00990B14" w:rsidRDefault="00000000">
            <w:pPr>
              <w:keepNext/>
              <w:spacing w:before="20" w:after="20"/>
              <w:jc w:val="center"/>
            </w:pPr>
            <w:r>
              <w:rPr>
                <w:b/>
                <w:bCs/>
                <w:i/>
                <w:iCs/>
                <w:color w:val="FFFFFF"/>
                <w:sz w:val="18"/>
                <w:szCs w:val="18"/>
              </w:rPr>
              <w:t>B-Learning</w:t>
            </w:r>
          </w:p>
        </w:tc>
        <w:tc>
          <w:tcPr>
            <w:tcW w:w="1679" w:type="dxa"/>
            <w:shd w:val="clear" w:color="auto" w:fill="4472C4"/>
            <w:vAlign w:val="center"/>
          </w:tcPr>
          <w:p w14:paraId="426F2D36" w14:textId="77777777" w:rsidR="00990B14" w:rsidRDefault="00000000">
            <w:pPr>
              <w:keepNext/>
              <w:spacing w:before="20" w:after="20"/>
              <w:jc w:val="center"/>
            </w:pPr>
            <w:r>
              <w:rPr>
                <w:b/>
                <w:bCs/>
                <w:i/>
                <w:iCs/>
                <w:color w:val="FFFFFF"/>
                <w:sz w:val="18"/>
                <w:szCs w:val="18"/>
              </w:rPr>
              <w:t>Taller</w:t>
            </w:r>
          </w:p>
        </w:tc>
        <w:tc>
          <w:tcPr>
            <w:tcW w:w="2541" w:type="dxa"/>
            <w:shd w:val="clear" w:color="auto" w:fill="4472C4"/>
            <w:vAlign w:val="center"/>
          </w:tcPr>
          <w:p w14:paraId="3E265685" w14:textId="77777777" w:rsidR="00990B14" w:rsidRDefault="00000000">
            <w:pPr>
              <w:keepNext/>
              <w:spacing w:before="20" w:after="20"/>
              <w:jc w:val="center"/>
            </w:pPr>
            <w:r>
              <w:rPr>
                <w:b/>
                <w:bCs/>
                <w:i/>
                <w:iCs/>
                <w:color w:val="FFFFFF"/>
                <w:sz w:val="18"/>
                <w:szCs w:val="18"/>
              </w:rPr>
              <w:t>Investigación/Práctica</w:t>
            </w:r>
          </w:p>
        </w:tc>
      </w:tr>
      <w:tr w:rsidR="00990B14" w14:paraId="2B84A22E" w14:textId="77777777">
        <w:trPr>
          <w:jc w:val="center"/>
        </w:trPr>
        <w:tc>
          <w:tcPr>
            <w:tcW w:w="1827" w:type="dxa"/>
            <w:shd w:val="clear" w:color="auto" w:fill="D9E2F3"/>
          </w:tcPr>
          <w:p w14:paraId="1770FC23" w14:textId="77777777" w:rsidR="00990B14" w:rsidRDefault="00000000">
            <w:pPr>
              <w:numPr>
                <w:ilvl w:val="0"/>
                <w:numId w:val="139"/>
              </w:numPr>
              <w:spacing w:before="10" w:after="10"/>
              <w:jc w:val="both"/>
            </w:pPr>
            <w:r>
              <w:rPr>
                <w:sz w:val="18"/>
                <w:szCs w:val="18"/>
              </w:rPr>
              <w:t>Exposición dialogada de los estudios de viabilidad de un proyecto de inversión.</w:t>
            </w:r>
          </w:p>
          <w:p w14:paraId="64858887" w14:textId="77777777" w:rsidR="00990B14" w:rsidRDefault="00000000">
            <w:pPr>
              <w:numPr>
                <w:ilvl w:val="0"/>
                <w:numId w:val="139"/>
              </w:numPr>
              <w:spacing w:before="10" w:after="10"/>
              <w:jc w:val="both"/>
            </w:pPr>
            <w:r>
              <w:rPr>
                <w:sz w:val="18"/>
                <w:szCs w:val="18"/>
              </w:rPr>
              <w:t>Resolución guiada de casos de tamaño, localización, costos e inversión.</w:t>
            </w:r>
          </w:p>
          <w:p w14:paraId="71D39D9F" w14:textId="77777777" w:rsidR="00990B14" w:rsidRDefault="00000000">
            <w:pPr>
              <w:numPr>
                <w:ilvl w:val="0"/>
                <w:numId w:val="139"/>
              </w:numPr>
              <w:spacing w:before="10" w:after="10"/>
              <w:jc w:val="both"/>
            </w:pPr>
            <w:r>
              <w:rPr>
                <w:sz w:val="18"/>
                <w:szCs w:val="18"/>
              </w:rPr>
              <w:t>Demostración en hoja de cálculo del VAN, la TIR y la sensibilización de un proyecto.</w:t>
            </w:r>
          </w:p>
          <w:p w14:paraId="5E52E342" w14:textId="77777777" w:rsidR="00990B14" w:rsidRDefault="00000000">
            <w:pPr>
              <w:numPr>
                <w:ilvl w:val="0"/>
                <w:numId w:val="139"/>
              </w:numPr>
              <w:spacing w:before="10" w:after="10"/>
              <w:jc w:val="both"/>
            </w:pPr>
            <w:r>
              <w:rPr>
                <w:sz w:val="18"/>
                <w:szCs w:val="18"/>
              </w:rPr>
              <w:t>Análisis de casos de proyectos de inversión pública bolivianos y de su preinversión.</w:t>
            </w:r>
          </w:p>
          <w:p w14:paraId="2CE5369E" w14:textId="77777777" w:rsidR="00990B14" w:rsidRDefault="00000000">
            <w:pPr>
              <w:numPr>
                <w:ilvl w:val="0"/>
                <w:numId w:val="139"/>
              </w:numPr>
              <w:spacing w:before="10" w:after="10"/>
              <w:jc w:val="both"/>
            </w:pPr>
            <w:r>
              <w:rPr>
                <w:sz w:val="18"/>
                <w:szCs w:val="18"/>
              </w:rPr>
              <w:t>Preguntas de comprensión sobre evaluación privada y socioeconómica al cierre de cada tema.</w:t>
            </w:r>
          </w:p>
        </w:tc>
        <w:tc>
          <w:tcPr>
            <w:tcW w:w="1531" w:type="dxa"/>
            <w:shd w:val="clear" w:color="auto" w:fill="D9E2F3"/>
          </w:tcPr>
          <w:p w14:paraId="706D047E" w14:textId="77777777" w:rsidR="00990B14" w:rsidRDefault="00000000">
            <w:pPr>
              <w:numPr>
                <w:ilvl w:val="0"/>
                <w:numId w:val="139"/>
              </w:numPr>
              <w:spacing w:before="10" w:after="10"/>
              <w:jc w:val="both"/>
            </w:pPr>
            <w:r>
              <w:rPr>
                <w:sz w:val="18"/>
                <w:szCs w:val="18"/>
              </w:rPr>
              <w:t>Resolución de ejercicios de cálculo de costos, inversión y evaluación financiera al cierre de cada tema.</w:t>
            </w:r>
          </w:p>
          <w:p w14:paraId="21523F59" w14:textId="77777777" w:rsidR="00990B14" w:rsidRDefault="00000000">
            <w:pPr>
              <w:numPr>
                <w:ilvl w:val="0"/>
                <w:numId w:val="139"/>
              </w:numPr>
              <w:spacing w:before="10" w:after="10"/>
              <w:jc w:val="both"/>
            </w:pPr>
            <w:r>
              <w:rPr>
                <w:sz w:val="18"/>
                <w:szCs w:val="18"/>
              </w:rPr>
              <w:t>Lectura de la normativa de Inversión Pública.</w:t>
            </w:r>
          </w:p>
          <w:p w14:paraId="6B55109F" w14:textId="77777777" w:rsidR="00990B14" w:rsidRDefault="00000000">
            <w:pPr>
              <w:numPr>
                <w:ilvl w:val="0"/>
                <w:numId w:val="139"/>
              </w:numPr>
              <w:spacing w:before="10" w:after="10"/>
              <w:jc w:val="both"/>
            </w:pPr>
            <w:r>
              <w:rPr>
                <w:sz w:val="18"/>
                <w:szCs w:val="18"/>
              </w:rPr>
              <w:t>Desarrollo progresivo de un caso práctico integral de preparación y evaluación de un proyecto de inversión.</w:t>
            </w:r>
          </w:p>
          <w:p w14:paraId="396B950E" w14:textId="77777777" w:rsidR="00990B14" w:rsidRDefault="00000000">
            <w:pPr>
              <w:numPr>
                <w:ilvl w:val="0"/>
                <w:numId w:val="139"/>
              </w:numPr>
              <w:spacing w:before="10" w:after="10"/>
              <w:jc w:val="both"/>
            </w:pPr>
            <w:r>
              <w:rPr>
                <w:sz w:val="18"/>
                <w:szCs w:val="18"/>
              </w:rPr>
              <w:t>Elaboración de flujos de caja.</w:t>
            </w:r>
          </w:p>
        </w:tc>
        <w:tc>
          <w:tcPr>
            <w:tcW w:w="1827" w:type="dxa"/>
            <w:shd w:val="clear" w:color="auto" w:fill="D9E2F3"/>
          </w:tcPr>
          <w:p w14:paraId="6F420623" w14:textId="77777777" w:rsidR="00990B14" w:rsidRDefault="00000000">
            <w:pPr>
              <w:numPr>
                <w:ilvl w:val="0"/>
                <w:numId w:val="139"/>
              </w:numPr>
              <w:spacing w:before="10" w:after="10"/>
              <w:jc w:val="both"/>
            </w:pPr>
            <w:r>
              <w:rPr>
                <w:sz w:val="18"/>
                <w:szCs w:val="18"/>
              </w:rPr>
              <w:t>Cuestionarios de comprensión de cada estudio de viabilidad en la plataforma Moodle UMSA.</w:t>
            </w:r>
          </w:p>
          <w:p w14:paraId="52F25491" w14:textId="77777777" w:rsidR="00990B14" w:rsidRDefault="00000000">
            <w:pPr>
              <w:numPr>
                <w:ilvl w:val="0"/>
                <w:numId w:val="139"/>
              </w:numPr>
              <w:spacing w:before="10" w:after="10"/>
              <w:jc w:val="both"/>
            </w:pPr>
            <w:r>
              <w:rPr>
                <w:sz w:val="18"/>
                <w:szCs w:val="18"/>
              </w:rPr>
              <w:t>Foros de consulta sobre el cálculo del valor actual neto y la tasa interna de retorno.</w:t>
            </w:r>
          </w:p>
          <w:p w14:paraId="35A30F3A" w14:textId="77777777" w:rsidR="00990B14" w:rsidRDefault="00000000">
            <w:pPr>
              <w:numPr>
                <w:ilvl w:val="0"/>
                <w:numId w:val="139"/>
              </w:numPr>
              <w:spacing w:before="10" w:after="10"/>
              <w:jc w:val="both"/>
            </w:pPr>
            <w:r>
              <w:rPr>
                <w:sz w:val="18"/>
                <w:szCs w:val="18"/>
              </w:rPr>
              <w:t>Videotutoriales de elaboración del plan de ejecución de un proyecto.</w:t>
            </w:r>
          </w:p>
          <w:p w14:paraId="4B8BE1A9" w14:textId="77777777" w:rsidR="00990B14" w:rsidRDefault="00000000">
            <w:pPr>
              <w:numPr>
                <w:ilvl w:val="0"/>
                <w:numId w:val="139"/>
              </w:numPr>
              <w:spacing w:before="10" w:after="10"/>
              <w:jc w:val="both"/>
            </w:pPr>
            <w:r>
              <w:rPr>
                <w:sz w:val="18"/>
                <w:szCs w:val="18"/>
              </w:rPr>
              <w:t>Ejercicios de valor actual neto, tasa interna de retorno y análisis de escenarios en hoja de cálculo.</w:t>
            </w:r>
          </w:p>
          <w:p w14:paraId="505CF612" w14:textId="77777777" w:rsidR="00990B14" w:rsidRDefault="00000000">
            <w:pPr>
              <w:numPr>
                <w:ilvl w:val="0"/>
                <w:numId w:val="139"/>
              </w:numPr>
              <w:spacing w:before="10" w:after="10"/>
              <w:jc w:val="both"/>
            </w:pPr>
            <w:r>
              <w:rPr>
                <w:sz w:val="18"/>
                <w:szCs w:val="18"/>
              </w:rPr>
              <w:t>Videotutoriales de conversión de flujos de caja a precios cuenta de eficiencia con hoja de cálculo.</w:t>
            </w:r>
          </w:p>
        </w:tc>
        <w:tc>
          <w:tcPr>
            <w:tcW w:w="1679" w:type="dxa"/>
            <w:shd w:val="clear" w:color="auto" w:fill="D9E2F3"/>
          </w:tcPr>
          <w:p w14:paraId="1958FD0A" w14:textId="77777777" w:rsidR="00990B14" w:rsidRDefault="00000000">
            <w:pPr>
              <w:numPr>
                <w:ilvl w:val="0"/>
                <w:numId w:val="139"/>
              </w:numPr>
              <w:spacing w:before="10" w:after="10"/>
              <w:jc w:val="both"/>
            </w:pPr>
            <w:r>
              <w:rPr>
                <w:sz w:val="18"/>
                <w:szCs w:val="18"/>
              </w:rPr>
              <w:t>Resolución colaborativa de casos de estudio de mercado y de tamaño y localización de un proyecto.</w:t>
            </w:r>
          </w:p>
          <w:p w14:paraId="05F01CB6" w14:textId="77777777" w:rsidR="00990B14" w:rsidRDefault="00000000">
            <w:pPr>
              <w:numPr>
                <w:ilvl w:val="0"/>
                <w:numId w:val="139"/>
              </w:numPr>
              <w:spacing w:before="10" w:after="10"/>
              <w:jc w:val="both"/>
            </w:pPr>
            <w:r>
              <w:rPr>
                <w:sz w:val="18"/>
                <w:szCs w:val="18"/>
              </w:rPr>
              <w:t>Elaboración guiada de la evaluación económica, financiera y sensibilizada de un proyecto.</w:t>
            </w:r>
          </w:p>
          <w:p w14:paraId="678A2ECF" w14:textId="77777777" w:rsidR="00990B14" w:rsidRDefault="00000000">
            <w:pPr>
              <w:numPr>
                <w:ilvl w:val="0"/>
                <w:numId w:val="139"/>
              </w:numPr>
              <w:spacing w:before="10" w:after="10"/>
              <w:jc w:val="both"/>
            </w:pPr>
            <w:r>
              <w:rPr>
                <w:sz w:val="18"/>
                <w:szCs w:val="18"/>
              </w:rPr>
              <w:t>Revisión cruzada del plan de ejecución de un proyecto entre equipos.</w:t>
            </w:r>
          </w:p>
        </w:tc>
        <w:tc>
          <w:tcPr>
            <w:tcW w:w="2541" w:type="dxa"/>
            <w:shd w:val="clear" w:color="auto" w:fill="D9E2F3"/>
          </w:tcPr>
          <w:p w14:paraId="3B3299FC" w14:textId="77777777" w:rsidR="00990B14" w:rsidRDefault="00000000">
            <w:pPr>
              <w:numPr>
                <w:ilvl w:val="0"/>
                <w:numId w:val="139"/>
              </w:numPr>
              <w:spacing w:before="10" w:after="10"/>
              <w:jc w:val="both"/>
            </w:pPr>
            <w:r>
              <w:rPr>
                <w:sz w:val="18"/>
                <w:szCs w:val="18"/>
              </w:rPr>
              <w:t>Análisis de proyectos de inversión pública.</w:t>
            </w:r>
          </w:p>
          <w:p w14:paraId="1F4A29C5" w14:textId="77777777" w:rsidR="00990B14" w:rsidRDefault="00000000">
            <w:pPr>
              <w:numPr>
                <w:ilvl w:val="0"/>
                <w:numId w:val="139"/>
              </w:numPr>
              <w:spacing w:before="10" w:after="10"/>
              <w:jc w:val="both"/>
            </w:pPr>
            <w:r>
              <w:rPr>
                <w:sz w:val="18"/>
                <w:szCs w:val="18"/>
              </w:rPr>
              <w:t>Comparación de proyectos de inversión de distintos sectores económicos bolivianos.</w:t>
            </w:r>
          </w:p>
          <w:p w14:paraId="7B314082" w14:textId="77777777" w:rsidR="00990B14" w:rsidRDefault="00000000">
            <w:pPr>
              <w:numPr>
                <w:ilvl w:val="0"/>
                <w:numId w:val="139"/>
              </w:numPr>
              <w:spacing w:before="10" w:after="10"/>
              <w:jc w:val="both"/>
            </w:pPr>
            <w:r>
              <w:rPr>
                <w:sz w:val="18"/>
                <w:szCs w:val="18"/>
              </w:rPr>
              <w:t>Análisis de la articulación de un proyecto de inversión pública con la planificación.</w:t>
            </w:r>
          </w:p>
        </w:tc>
      </w:tr>
    </w:tbl>
    <w:p w14:paraId="1A4E885E"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809"/>
        <w:gridCol w:w="1860"/>
        <w:gridCol w:w="1860"/>
        <w:gridCol w:w="1860"/>
        <w:gridCol w:w="2016"/>
      </w:tblGrid>
      <w:tr w:rsidR="00990B14" w14:paraId="0D129A58" w14:textId="77777777">
        <w:trPr>
          <w:jc w:val="center"/>
        </w:trPr>
        <w:tc>
          <w:tcPr>
            <w:tcW w:w="1809" w:type="dxa"/>
            <w:shd w:val="clear" w:color="auto" w:fill="4472C4"/>
            <w:vAlign w:val="center"/>
          </w:tcPr>
          <w:p w14:paraId="51D246D4" w14:textId="77777777" w:rsidR="00990B14" w:rsidRDefault="00000000">
            <w:pPr>
              <w:spacing w:before="20" w:after="20"/>
              <w:jc w:val="center"/>
            </w:pPr>
            <w:r>
              <w:rPr>
                <w:b/>
                <w:bCs/>
                <w:i/>
                <w:iCs/>
                <w:color w:val="FFFFFF"/>
                <w:sz w:val="18"/>
                <w:szCs w:val="18"/>
              </w:rPr>
              <w:t>Estrategias de aprendizaje y enseñanza</w:t>
            </w:r>
          </w:p>
        </w:tc>
        <w:tc>
          <w:tcPr>
            <w:tcW w:w="7596" w:type="dxa"/>
            <w:gridSpan w:val="4"/>
            <w:shd w:val="clear" w:color="auto" w:fill="D9E2F3"/>
            <w:vAlign w:val="center"/>
          </w:tcPr>
          <w:p w14:paraId="0AF41434" w14:textId="77777777" w:rsidR="00990B14" w:rsidRDefault="00000000">
            <w:pPr>
              <w:numPr>
                <w:ilvl w:val="0"/>
                <w:numId w:val="140"/>
              </w:numPr>
              <w:spacing w:before="10" w:after="10"/>
              <w:jc w:val="both"/>
            </w:pPr>
            <w:r>
              <w:rPr>
                <w:sz w:val="18"/>
                <w:szCs w:val="18"/>
              </w:rPr>
              <w:t>Aprendizaje basado en problemas con la formulación de proyectos de inversión bolivianos.</w:t>
            </w:r>
          </w:p>
          <w:p w14:paraId="50B7B28E" w14:textId="77777777" w:rsidR="00990B14" w:rsidRDefault="00000000">
            <w:pPr>
              <w:numPr>
                <w:ilvl w:val="0"/>
                <w:numId w:val="140"/>
              </w:numPr>
              <w:spacing w:before="10" w:after="10"/>
              <w:jc w:val="both"/>
            </w:pPr>
            <w:r>
              <w:rPr>
                <w:sz w:val="18"/>
                <w:szCs w:val="18"/>
              </w:rPr>
              <w:t>Resolución guiada de ejercicios en orden de dificultad creciente por estudio de viabilidad.</w:t>
            </w:r>
          </w:p>
          <w:p w14:paraId="3249DD1C" w14:textId="77777777" w:rsidR="00990B14" w:rsidRDefault="00000000">
            <w:pPr>
              <w:numPr>
                <w:ilvl w:val="0"/>
                <w:numId w:val="140"/>
              </w:numPr>
              <w:spacing w:before="10" w:after="10"/>
              <w:jc w:val="both"/>
            </w:pPr>
            <w:r>
              <w:rPr>
                <w:sz w:val="18"/>
                <w:szCs w:val="18"/>
              </w:rPr>
              <w:t>Caso práctico integral que recorre el estudio de mercado hasta el plan de ejecución de un proyecto de inversión.</w:t>
            </w:r>
          </w:p>
          <w:p w14:paraId="56B447BF" w14:textId="77777777" w:rsidR="00990B14" w:rsidRDefault="00000000">
            <w:pPr>
              <w:numPr>
                <w:ilvl w:val="0"/>
                <w:numId w:val="140"/>
              </w:numPr>
              <w:spacing w:before="10" w:after="10"/>
              <w:jc w:val="both"/>
            </w:pPr>
            <w:r>
              <w:rPr>
                <w:sz w:val="18"/>
                <w:szCs w:val="18"/>
              </w:rPr>
              <w:t>Estudio de casos de proyectos de inversión reales del país.</w:t>
            </w:r>
          </w:p>
          <w:p w14:paraId="5D315CA7" w14:textId="77777777" w:rsidR="00990B14" w:rsidRDefault="00000000">
            <w:pPr>
              <w:numPr>
                <w:ilvl w:val="0"/>
                <w:numId w:val="140"/>
              </w:numPr>
              <w:spacing w:before="10" w:after="10"/>
              <w:jc w:val="both"/>
            </w:pPr>
            <w:r>
              <w:rPr>
                <w:sz w:val="18"/>
                <w:szCs w:val="18"/>
              </w:rPr>
              <w:t>Trabajo colaborativo en equipos de análisis y resolución de casos de evaluación de proyectos.</w:t>
            </w:r>
          </w:p>
          <w:p w14:paraId="49BC4C95" w14:textId="77777777" w:rsidR="00990B14" w:rsidRDefault="00000000">
            <w:pPr>
              <w:numPr>
                <w:ilvl w:val="0"/>
                <w:numId w:val="140"/>
              </w:numPr>
              <w:spacing w:before="10" w:after="10"/>
              <w:jc w:val="both"/>
            </w:pPr>
            <w:r>
              <w:rPr>
                <w:sz w:val="18"/>
                <w:szCs w:val="18"/>
              </w:rPr>
              <w:t>Clase invertida para los contenidos introductorios y conceptuales de cada capítulo.</w:t>
            </w:r>
          </w:p>
          <w:p w14:paraId="57D2C8C5" w14:textId="77777777" w:rsidR="00990B14" w:rsidRDefault="00000000">
            <w:pPr>
              <w:numPr>
                <w:ilvl w:val="0"/>
                <w:numId w:val="140"/>
              </w:numPr>
              <w:spacing w:before="10" w:after="10"/>
              <w:jc w:val="both"/>
            </w:pPr>
            <w:r>
              <w:rPr>
                <w:sz w:val="18"/>
                <w:szCs w:val="18"/>
              </w:rPr>
              <w:t>Análisis crítico de los supuestos de un proyecto antes de recomendar la decisión de inversión.</w:t>
            </w:r>
          </w:p>
          <w:p w14:paraId="4C6D02D6" w14:textId="77777777" w:rsidR="00990B14" w:rsidRDefault="00000000">
            <w:pPr>
              <w:numPr>
                <w:ilvl w:val="0"/>
                <w:numId w:val="140"/>
              </w:numPr>
              <w:spacing w:before="10" w:after="10"/>
              <w:jc w:val="both"/>
            </w:pPr>
            <w:r>
              <w:rPr>
                <w:sz w:val="18"/>
                <w:szCs w:val="18"/>
              </w:rPr>
              <w:t>Estudio comparativo de la evaluación privada, con flujos de caja a precios de mercado y a precios cuenta de eficiencia.</w:t>
            </w:r>
          </w:p>
        </w:tc>
      </w:tr>
      <w:tr w:rsidR="00990B14" w14:paraId="37D8F975" w14:textId="77777777">
        <w:trPr>
          <w:jc w:val="center"/>
        </w:trPr>
        <w:tc>
          <w:tcPr>
            <w:tcW w:w="1809" w:type="dxa"/>
            <w:shd w:val="clear" w:color="auto" w:fill="4472C4"/>
            <w:vAlign w:val="center"/>
          </w:tcPr>
          <w:p w14:paraId="1DB7EA34" w14:textId="77777777" w:rsidR="00990B14" w:rsidRDefault="00000000">
            <w:pPr>
              <w:spacing w:before="20" w:after="20"/>
              <w:jc w:val="center"/>
            </w:pPr>
            <w:r>
              <w:rPr>
                <w:b/>
                <w:bCs/>
                <w:i/>
                <w:iCs/>
                <w:color w:val="FFFFFF"/>
                <w:sz w:val="18"/>
                <w:szCs w:val="18"/>
              </w:rPr>
              <w:t>Recursos para el aprendizaje</w:t>
            </w:r>
          </w:p>
        </w:tc>
        <w:tc>
          <w:tcPr>
            <w:tcW w:w="7596" w:type="dxa"/>
            <w:gridSpan w:val="4"/>
            <w:shd w:val="clear" w:color="auto" w:fill="D9E2F3"/>
            <w:vAlign w:val="center"/>
          </w:tcPr>
          <w:p w14:paraId="33A08444" w14:textId="77777777" w:rsidR="00990B14" w:rsidRDefault="00000000">
            <w:pPr>
              <w:numPr>
                <w:ilvl w:val="0"/>
                <w:numId w:val="140"/>
              </w:numPr>
              <w:spacing w:before="10" w:after="10"/>
              <w:jc w:val="both"/>
            </w:pPr>
            <w:r>
              <w:rPr>
                <w:sz w:val="18"/>
                <w:szCs w:val="18"/>
              </w:rPr>
              <w:t>Plataforma Moodle UMSA.</w:t>
            </w:r>
          </w:p>
          <w:p w14:paraId="2FFEE119" w14:textId="77777777" w:rsidR="00990B14" w:rsidRDefault="00000000">
            <w:pPr>
              <w:numPr>
                <w:ilvl w:val="0"/>
                <w:numId w:val="140"/>
              </w:numPr>
              <w:spacing w:before="10" w:after="10"/>
              <w:jc w:val="both"/>
            </w:pPr>
            <w:r>
              <w:rPr>
                <w:sz w:val="18"/>
                <w:szCs w:val="18"/>
              </w:rPr>
              <w:t>Normas Básicas del Sistema Nacional de Inversión Pública y Reglamento Básico de Preinversión del Viceministerio de Inversión Pública y Financiamiento Externo.</w:t>
            </w:r>
          </w:p>
          <w:p w14:paraId="600E3EFE" w14:textId="77777777" w:rsidR="00990B14" w:rsidRDefault="00000000">
            <w:pPr>
              <w:numPr>
                <w:ilvl w:val="0"/>
                <w:numId w:val="140"/>
              </w:numPr>
              <w:spacing w:before="10" w:after="10"/>
              <w:jc w:val="both"/>
            </w:pPr>
            <w:r>
              <w:rPr>
                <w:sz w:val="18"/>
                <w:szCs w:val="18"/>
              </w:rPr>
              <w:t>Hoja de cálculo para la resolución de casos prácticos de costos, inversión y evaluación financiera.</w:t>
            </w:r>
          </w:p>
          <w:p w14:paraId="1D9377FB" w14:textId="77777777" w:rsidR="00990B14" w:rsidRDefault="00000000">
            <w:pPr>
              <w:numPr>
                <w:ilvl w:val="0"/>
                <w:numId w:val="140"/>
              </w:numPr>
              <w:spacing w:before="10" w:after="10"/>
              <w:jc w:val="both"/>
            </w:pPr>
            <w:r>
              <w:rPr>
                <w:sz w:val="18"/>
                <w:szCs w:val="18"/>
              </w:rPr>
              <w:t>Guía de los Fundamentos para la Dirección de Proyectos (PMBOK) para el plan de ejecución.</w:t>
            </w:r>
          </w:p>
          <w:p w14:paraId="3D6EACA1" w14:textId="77777777" w:rsidR="00990B14" w:rsidRDefault="00000000">
            <w:pPr>
              <w:numPr>
                <w:ilvl w:val="0"/>
                <w:numId w:val="140"/>
              </w:numPr>
              <w:spacing w:before="10" w:after="10"/>
              <w:jc w:val="both"/>
            </w:pPr>
            <w:r>
              <w:rPr>
                <w:sz w:val="18"/>
                <w:szCs w:val="18"/>
              </w:rPr>
              <w:t>Guías de ejercicios y casos elaborados por la cátedra.</w:t>
            </w:r>
          </w:p>
          <w:p w14:paraId="59E16B29" w14:textId="77777777" w:rsidR="00990B14" w:rsidRDefault="00000000">
            <w:pPr>
              <w:numPr>
                <w:ilvl w:val="0"/>
                <w:numId w:val="140"/>
              </w:numPr>
              <w:spacing w:before="10" w:after="10"/>
              <w:jc w:val="both"/>
            </w:pPr>
            <w:r>
              <w:rPr>
                <w:sz w:val="18"/>
                <w:szCs w:val="18"/>
              </w:rPr>
              <w:t>Funciones financieras y herramientas de escenarios de la hoja de cálculo.</w:t>
            </w:r>
          </w:p>
        </w:tc>
      </w:tr>
      <w:tr w:rsidR="00990B14" w14:paraId="698BFF6F" w14:textId="77777777">
        <w:trPr>
          <w:jc w:val="center"/>
        </w:trPr>
        <w:tc>
          <w:tcPr>
            <w:tcW w:w="1809" w:type="dxa"/>
            <w:shd w:val="clear" w:color="auto" w:fill="4472C4"/>
            <w:vAlign w:val="center"/>
          </w:tcPr>
          <w:p w14:paraId="19E6D71F" w14:textId="77777777" w:rsidR="00990B14" w:rsidRDefault="00000000">
            <w:pPr>
              <w:spacing w:before="20" w:after="20"/>
              <w:jc w:val="center"/>
            </w:pPr>
            <w:r>
              <w:rPr>
                <w:b/>
                <w:bCs/>
                <w:i/>
                <w:iCs/>
                <w:color w:val="FFFFFF"/>
                <w:sz w:val="18"/>
                <w:szCs w:val="18"/>
              </w:rPr>
              <w:t>Estrategias de evaluación</w:t>
            </w:r>
          </w:p>
        </w:tc>
        <w:tc>
          <w:tcPr>
            <w:tcW w:w="7596" w:type="dxa"/>
            <w:gridSpan w:val="4"/>
            <w:shd w:val="clear" w:color="auto" w:fill="D9E2F3"/>
            <w:vAlign w:val="center"/>
          </w:tcPr>
          <w:p w14:paraId="47D77D07" w14:textId="77777777" w:rsidR="00990B14" w:rsidRDefault="00000000">
            <w:pPr>
              <w:numPr>
                <w:ilvl w:val="0"/>
                <w:numId w:val="140"/>
              </w:numPr>
              <w:spacing w:before="10" w:after="10"/>
              <w:jc w:val="both"/>
            </w:pPr>
            <w:r>
              <w:rPr>
                <w:sz w:val="18"/>
                <w:szCs w:val="18"/>
              </w:rPr>
              <w:t>Evaluación diagnóstica: prueba inicial sobre los conocimientos previos.</w:t>
            </w:r>
          </w:p>
          <w:p w14:paraId="30E45B4C" w14:textId="77777777" w:rsidR="00990B14" w:rsidRDefault="00000000">
            <w:pPr>
              <w:numPr>
                <w:ilvl w:val="0"/>
                <w:numId w:val="140"/>
              </w:numPr>
              <w:spacing w:before="10" w:after="10"/>
              <w:jc w:val="both"/>
            </w:pPr>
            <w:r>
              <w:rPr>
                <w:sz w:val="18"/>
                <w:szCs w:val="18"/>
              </w:rPr>
              <w:t>Evaluación formativa: preguntas de comprensión y desarrollo de ejercicios prácticos en el aula, con retroalimentación continua, autoevaluación y coevaluación.</w:t>
            </w:r>
          </w:p>
          <w:p w14:paraId="438F3FB6" w14:textId="77777777" w:rsidR="00990B14" w:rsidRDefault="00000000">
            <w:pPr>
              <w:numPr>
                <w:ilvl w:val="0"/>
                <w:numId w:val="140"/>
              </w:numPr>
              <w:spacing w:before="10" w:after="10"/>
              <w:jc w:val="both"/>
            </w:pPr>
            <w:r>
              <w:rPr>
                <w:sz w:val="18"/>
                <w:szCs w:val="18"/>
              </w:rPr>
              <w:t>Evaluación sumativa: controles de lectura y asistencia, evaluación de casos prácticos, evaluación socioeconómica de un proyecto de inversión pública, trabajos de investigación y desarrollo, exámenes parciales y examen final.</w:t>
            </w:r>
          </w:p>
        </w:tc>
      </w:tr>
      <w:tr w:rsidR="00990B14" w14:paraId="69601AE9" w14:textId="77777777">
        <w:trPr>
          <w:jc w:val="center"/>
        </w:trPr>
        <w:tc>
          <w:tcPr>
            <w:tcW w:w="1809" w:type="dxa"/>
            <w:shd w:val="clear" w:color="auto" w:fill="4472C4"/>
            <w:vAlign w:val="center"/>
          </w:tcPr>
          <w:p w14:paraId="3AD328C1" w14:textId="77777777" w:rsidR="00990B14" w:rsidRDefault="00000000">
            <w:pPr>
              <w:spacing w:before="20" w:after="20"/>
              <w:jc w:val="center"/>
            </w:pPr>
            <w:r>
              <w:rPr>
                <w:b/>
                <w:bCs/>
                <w:i/>
                <w:iCs/>
                <w:color w:val="FFFFFF"/>
                <w:sz w:val="18"/>
                <w:szCs w:val="18"/>
              </w:rPr>
              <w:t>Criterios de calificación</w:t>
            </w:r>
          </w:p>
        </w:tc>
        <w:tc>
          <w:tcPr>
            <w:tcW w:w="7596" w:type="dxa"/>
            <w:gridSpan w:val="4"/>
            <w:shd w:val="clear" w:color="auto" w:fill="D9E2F3"/>
            <w:vAlign w:val="center"/>
          </w:tcPr>
          <w:p w14:paraId="51CF4F60" w14:textId="77777777" w:rsidR="00990B14" w:rsidRDefault="00000000">
            <w:pPr>
              <w:numPr>
                <w:ilvl w:val="0"/>
                <w:numId w:val="140"/>
              </w:numPr>
              <w:spacing w:before="10" w:after="10"/>
              <w:jc w:val="both"/>
            </w:pPr>
            <w:r>
              <w:rPr>
                <w:sz w:val="18"/>
                <w:szCs w:val="18"/>
              </w:rPr>
              <w:t>Nota mínima de aprobación: 51/100.</w:t>
            </w:r>
          </w:p>
          <w:p w14:paraId="1924F8DC" w14:textId="77777777" w:rsidR="00990B14" w:rsidRDefault="00000000">
            <w:pPr>
              <w:numPr>
                <w:ilvl w:val="0"/>
                <w:numId w:val="140"/>
              </w:numPr>
              <w:spacing w:before="10" w:after="10"/>
              <w:jc w:val="both"/>
            </w:pPr>
            <w:r>
              <w:rPr>
                <w:sz w:val="18"/>
                <w:szCs w:val="18"/>
              </w:rPr>
              <w:t>Evaluación periódica al finalizar cada tema, basada en evidencias de conocimiento, desempeño y producto.</w:t>
            </w:r>
          </w:p>
          <w:p w14:paraId="3A6BC160" w14:textId="77777777" w:rsidR="00990B14" w:rsidRDefault="00000000">
            <w:pPr>
              <w:numPr>
                <w:ilvl w:val="0"/>
                <w:numId w:val="140"/>
              </w:numPr>
              <w:spacing w:before="10" w:after="10"/>
              <w:jc w:val="both"/>
            </w:pPr>
            <w:r>
              <w:rPr>
                <w:sz w:val="18"/>
                <w:szCs w:val="18"/>
              </w:rPr>
              <w:t>Cada evidencia de producto se evalúa con su propia rúbrica de tres niveles: Insuficiente, Suficiente y Destacado.</w:t>
            </w:r>
          </w:p>
          <w:p w14:paraId="52E65538" w14:textId="77777777" w:rsidR="00990B14" w:rsidRDefault="00000000">
            <w:pPr>
              <w:numPr>
                <w:ilvl w:val="0"/>
                <w:numId w:val="140"/>
              </w:numPr>
              <w:spacing w:before="10" w:after="10"/>
              <w:jc w:val="both"/>
            </w:pPr>
            <w:r>
              <w:rPr>
                <w:sz w:val="18"/>
                <w:szCs w:val="18"/>
              </w:rPr>
              <w:t>La calificación de cada elemento de competencia suma las calificaciones de sus evidencias de producto.</w:t>
            </w:r>
          </w:p>
        </w:tc>
      </w:tr>
      <w:tr w:rsidR="00990B14" w14:paraId="3FE9B909" w14:textId="77777777">
        <w:trPr>
          <w:cantSplit/>
          <w:jc w:val="center"/>
        </w:trPr>
        <w:tc>
          <w:tcPr>
            <w:tcW w:w="1809" w:type="dxa"/>
            <w:vMerge w:val="restart"/>
            <w:shd w:val="clear" w:color="auto" w:fill="4472C4"/>
            <w:vAlign w:val="center"/>
          </w:tcPr>
          <w:p w14:paraId="26F5471F" w14:textId="77777777" w:rsidR="00990B14" w:rsidRDefault="00000000">
            <w:pPr>
              <w:spacing w:before="20" w:after="20"/>
              <w:jc w:val="center"/>
            </w:pPr>
            <w:r>
              <w:rPr>
                <w:b/>
                <w:bCs/>
                <w:i/>
                <w:iCs/>
                <w:color w:val="FFFFFF"/>
                <w:sz w:val="18"/>
                <w:szCs w:val="18"/>
              </w:rPr>
              <w:t>Niveles de logro y distribución de la calificación</w:t>
            </w:r>
          </w:p>
        </w:tc>
        <w:tc>
          <w:tcPr>
            <w:tcW w:w="5580" w:type="dxa"/>
            <w:gridSpan w:val="3"/>
            <w:shd w:val="clear" w:color="auto" w:fill="D9E2F3"/>
            <w:vAlign w:val="center"/>
          </w:tcPr>
          <w:p w14:paraId="2AB62803" w14:textId="77777777" w:rsidR="00990B14" w:rsidRDefault="00000000">
            <w:pPr>
              <w:keepNext/>
              <w:spacing w:before="20" w:after="20"/>
              <w:jc w:val="both"/>
            </w:pPr>
            <w:r>
              <w:rPr>
                <w:b/>
                <w:bCs/>
                <w:i/>
                <w:iCs/>
                <w:sz w:val="18"/>
                <w:szCs w:val="18"/>
              </w:rPr>
              <w:t xml:space="preserve">Producto 1: </w:t>
            </w:r>
            <w:r>
              <w:rPr>
                <w:sz w:val="18"/>
                <w:szCs w:val="18"/>
              </w:rPr>
              <w:t>Ficha del proyecto de inversión</w:t>
            </w:r>
          </w:p>
        </w:tc>
        <w:tc>
          <w:tcPr>
            <w:tcW w:w="2016" w:type="dxa"/>
            <w:shd w:val="clear" w:color="auto" w:fill="D9E2F3"/>
            <w:vAlign w:val="center"/>
          </w:tcPr>
          <w:p w14:paraId="2929B3F6" w14:textId="77777777" w:rsidR="00990B14" w:rsidRDefault="00000000">
            <w:pPr>
              <w:spacing w:before="20" w:after="20"/>
              <w:jc w:val="center"/>
            </w:pPr>
            <w:r>
              <w:rPr>
                <w:b/>
                <w:bCs/>
                <w:sz w:val="18"/>
                <w:szCs w:val="18"/>
              </w:rPr>
              <w:t>3%</w:t>
            </w:r>
          </w:p>
        </w:tc>
      </w:tr>
      <w:tr w:rsidR="00990B14" w14:paraId="3522E0C4" w14:textId="77777777">
        <w:trPr>
          <w:cantSplit/>
          <w:jc w:val="center"/>
        </w:trPr>
        <w:tc>
          <w:tcPr>
            <w:tcW w:w="1809" w:type="dxa"/>
            <w:vMerge/>
            <w:shd w:val="clear" w:color="auto" w:fill="4472C4"/>
            <w:vAlign w:val="center"/>
          </w:tcPr>
          <w:p w14:paraId="046C71DA" w14:textId="77777777" w:rsidR="00990B14" w:rsidRDefault="00990B14">
            <w:pPr>
              <w:spacing w:before="20" w:after="20"/>
            </w:pPr>
          </w:p>
        </w:tc>
        <w:tc>
          <w:tcPr>
            <w:tcW w:w="1860" w:type="dxa"/>
            <w:shd w:val="clear" w:color="auto" w:fill="4472C4"/>
            <w:vAlign w:val="center"/>
          </w:tcPr>
          <w:p w14:paraId="4F587B08" w14:textId="77777777" w:rsidR="00990B14" w:rsidRDefault="00000000">
            <w:pPr>
              <w:keepNext/>
              <w:spacing w:before="20" w:after="20"/>
              <w:jc w:val="center"/>
            </w:pPr>
            <w:r>
              <w:rPr>
                <w:b/>
                <w:bCs/>
                <w:i/>
                <w:iCs/>
                <w:color w:val="FFFFFF"/>
                <w:sz w:val="18"/>
                <w:szCs w:val="18"/>
              </w:rPr>
              <w:t>Criterio</w:t>
            </w:r>
          </w:p>
        </w:tc>
        <w:tc>
          <w:tcPr>
            <w:tcW w:w="1860" w:type="dxa"/>
            <w:shd w:val="clear" w:color="auto" w:fill="4472C4"/>
            <w:vAlign w:val="center"/>
          </w:tcPr>
          <w:p w14:paraId="1074BCA6" w14:textId="77777777" w:rsidR="00990B14" w:rsidRDefault="00000000">
            <w:pPr>
              <w:keepNext/>
              <w:spacing w:before="20" w:after="20"/>
              <w:jc w:val="center"/>
            </w:pPr>
            <w:r>
              <w:rPr>
                <w:b/>
                <w:bCs/>
                <w:i/>
                <w:iCs/>
                <w:color w:val="FFFFFF"/>
                <w:sz w:val="18"/>
                <w:szCs w:val="18"/>
              </w:rPr>
              <w:t>Insuficiente (1–50)</w:t>
            </w:r>
          </w:p>
        </w:tc>
        <w:tc>
          <w:tcPr>
            <w:tcW w:w="1860" w:type="dxa"/>
            <w:shd w:val="clear" w:color="auto" w:fill="4472C4"/>
            <w:vAlign w:val="center"/>
          </w:tcPr>
          <w:p w14:paraId="6975DE81" w14:textId="77777777" w:rsidR="00990B14" w:rsidRDefault="00000000">
            <w:pPr>
              <w:keepNext/>
              <w:spacing w:before="20" w:after="20"/>
              <w:jc w:val="center"/>
            </w:pPr>
            <w:r>
              <w:rPr>
                <w:b/>
                <w:bCs/>
                <w:i/>
                <w:iCs/>
                <w:color w:val="FFFFFF"/>
                <w:sz w:val="18"/>
                <w:szCs w:val="18"/>
              </w:rPr>
              <w:t>Suficiente (51–80)</w:t>
            </w:r>
          </w:p>
        </w:tc>
        <w:tc>
          <w:tcPr>
            <w:tcW w:w="2016" w:type="dxa"/>
            <w:shd w:val="clear" w:color="auto" w:fill="4472C4"/>
            <w:vAlign w:val="center"/>
          </w:tcPr>
          <w:p w14:paraId="69E5EF86" w14:textId="77777777" w:rsidR="00990B14" w:rsidRDefault="00000000">
            <w:pPr>
              <w:keepNext/>
              <w:spacing w:before="20" w:after="20"/>
              <w:jc w:val="center"/>
            </w:pPr>
            <w:r>
              <w:rPr>
                <w:b/>
                <w:bCs/>
                <w:i/>
                <w:iCs/>
                <w:color w:val="FFFFFF"/>
                <w:sz w:val="18"/>
                <w:szCs w:val="18"/>
              </w:rPr>
              <w:t>Destacado (81–100)</w:t>
            </w:r>
          </w:p>
        </w:tc>
      </w:tr>
      <w:tr w:rsidR="00990B14" w14:paraId="1C59FEA5" w14:textId="77777777">
        <w:trPr>
          <w:cantSplit/>
          <w:jc w:val="center"/>
        </w:trPr>
        <w:tc>
          <w:tcPr>
            <w:tcW w:w="1809" w:type="dxa"/>
            <w:vMerge/>
            <w:shd w:val="clear" w:color="auto" w:fill="4472C4"/>
            <w:vAlign w:val="center"/>
          </w:tcPr>
          <w:p w14:paraId="16158710" w14:textId="77777777" w:rsidR="00990B14" w:rsidRDefault="00990B14">
            <w:pPr>
              <w:spacing w:before="20" w:after="20"/>
            </w:pPr>
          </w:p>
        </w:tc>
        <w:tc>
          <w:tcPr>
            <w:tcW w:w="1860" w:type="dxa"/>
            <w:shd w:val="clear" w:color="auto" w:fill="D9E2F3"/>
            <w:vAlign w:val="center"/>
          </w:tcPr>
          <w:p w14:paraId="52EB2BB5" w14:textId="77777777" w:rsidR="00990B14" w:rsidRDefault="00000000">
            <w:pPr>
              <w:spacing w:before="20" w:after="20"/>
              <w:jc w:val="both"/>
            </w:pPr>
            <w:r>
              <w:rPr>
                <w:sz w:val="18"/>
                <w:szCs w:val="18"/>
              </w:rPr>
              <w:t>Características</w:t>
            </w:r>
          </w:p>
        </w:tc>
        <w:tc>
          <w:tcPr>
            <w:tcW w:w="1860" w:type="dxa"/>
            <w:shd w:val="clear" w:color="auto" w:fill="D9E2F3"/>
            <w:vAlign w:val="center"/>
          </w:tcPr>
          <w:p w14:paraId="22F88FC1" w14:textId="77777777" w:rsidR="00990B14" w:rsidRDefault="00000000">
            <w:pPr>
              <w:spacing w:before="20" w:after="20"/>
              <w:jc w:val="both"/>
            </w:pPr>
            <w:r>
              <w:rPr>
                <w:sz w:val="18"/>
                <w:szCs w:val="18"/>
              </w:rPr>
              <w:t>Describe el proyecto de forma incompleta.</w:t>
            </w:r>
          </w:p>
        </w:tc>
        <w:tc>
          <w:tcPr>
            <w:tcW w:w="1860" w:type="dxa"/>
            <w:shd w:val="clear" w:color="auto" w:fill="D9E2F3"/>
            <w:vAlign w:val="center"/>
          </w:tcPr>
          <w:p w14:paraId="34AFA027" w14:textId="77777777" w:rsidR="00990B14" w:rsidRDefault="00000000">
            <w:pPr>
              <w:spacing w:before="20" w:after="20"/>
              <w:jc w:val="both"/>
            </w:pPr>
            <w:r>
              <w:rPr>
                <w:sz w:val="18"/>
                <w:szCs w:val="18"/>
              </w:rPr>
              <w:t>Identifica las características del proyecto de inversión.</w:t>
            </w:r>
          </w:p>
        </w:tc>
        <w:tc>
          <w:tcPr>
            <w:tcW w:w="2016" w:type="dxa"/>
            <w:shd w:val="clear" w:color="auto" w:fill="D9E2F3"/>
            <w:vAlign w:val="center"/>
          </w:tcPr>
          <w:p w14:paraId="509FC51E" w14:textId="77777777" w:rsidR="00990B14" w:rsidRDefault="00000000">
            <w:pPr>
              <w:spacing w:before="20" w:after="20"/>
              <w:jc w:val="both"/>
            </w:pPr>
            <w:r>
              <w:rPr>
                <w:sz w:val="18"/>
                <w:szCs w:val="18"/>
              </w:rPr>
              <w:t>Diferencia el proyecto de una actividad permanente.</w:t>
            </w:r>
          </w:p>
        </w:tc>
      </w:tr>
      <w:tr w:rsidR="00990B14" w14:paraId="2D52D6DF" w14:textId="77777777">
        <w:trPr>
          <w:cantSplit/>
          <w:jc w:val="center"/>
        </w:trPr>
        <w:tc>
          <w:tcPr>
            <w:tcW w:w="1809" w:type="dxa"/>
            <w:vMerge/>
            <w:shd w:val="clear" w:color="auto" w:fill="4472C4"/>
            <w:vAlign w:val="center"/>
          </w:tcPr>
          <w:p w14:paraId="438AC540" w14:textId="77777777" w:rsidR="00990B14" w:rsidRDefault="00990B14">
            <w:pPr>
              <w:spacing w:before="20" w:after="20"/>
            </w:pPr>
          </w:p>
        </w:tc>
        <w:tc>
          <w:tcPr>
            <w:tcW w:w="1860" w:type="dxa"/>
            <w:shd w:val="clear" w:color="auto" w:fill="D9E2F3"/>
            <w:vAlign w:val="center"/>
          </w:tcPr>
          <w:p w14:paraId="3DBE02C4" w14:textId="77777777" w:rsidR="00990B14" w:rsidRDefault="00000000">
            <w:pPr>
              <w:spacing w:before="20" w:after="20"/>
              <w:jc w:val="both"/>
            </w:pPr>
            <w:r>
              <w:rPr>
                <w:sz w:val="18"/>
                <w:szCs w:val="18"/>
              </w:rPr>
              <w:t>Ciclo de vida</w:t>
            </w:r>
          </w:p>
        </w:tc>
        <w:tc>
          <w:tcPr>
            <w:tcW w:w="1860" w:type="dxa"/>
            <w:shd w:val="clear" w:color="auto" w:fill="D9E2F3"/>
            <w:vAlign w:val="center"/>
          </w:tcPr>
          <w:p w14:paraId="3D7CDCDD" w14:textId="77777777" w:rsidR="00990B14" w:rsidRDefault="00000000">
            <w:pPr>
              <w:spacing w:before="20" w:after="20"/>
              <w:jc w:val="both"/>
            </w:pPr>
            <w:r>
              <w:rPr>
                <w:sz w:val="18"/>
                <w:szCs w:val="18"/>
              </w:rPr>
              <w:t>Confunde las fases del ciclo.</w:t>
            </w:r>
          </w:p>
        </w:tc>
        <w:tc>
          <w:tcPr>
            <w:tcW w:w="1860" w:type="dxa"/>
            <w:shd w:val="clear" w:color="auto" w:fill="D9E2F3"/>
            <w:vAlign w:val="center"/>
          </w:tcPr>
          <w:p w14:paraId="7A31E4F2" w14:textId="77777777" w:rsidR="00990B14" w:rsidRDefault="00000000">
            <w:pPr>
              <w:spacing w:before="20" w:after="20"/>
              <w:jc w:val="both"/>
            </w:pPr>
            <w:r>
              <w:rPr>
                <w:sz w:val="18"/>
                <w:szCs w:val="18"/>
              </w:rPr>
              <w:t>Ubica las fases de preinversión, inversión y operación.</w:t>
            </w:r>
          </w:p>
        </w:tc>
        <w:tc>
          <w:tcPr>
            <w:tcW w:w="2016" w:type="dxa"/>
            <w:shd w:val="clear" w:color="auto" w:fill="D9E2F3"/>
            <w:vAlign w:val="center"/>
          </w:tcPr>
          <w:p w14:paraId="67290FDF" w14:textId="77777777" w:rsidR="00990B14" w:rsidRDefault="00000000">
            <w:pPr>
              <w:spacing w:before="20" w:after="20"/>
              <w:jc w:val="both"/>
            </w:pPr>
            <w:r>
              <w:rPr>
                <w:sz w:val="18"/>
                <w:szCs w:val="18"/>
              </w:rPr>
              <w:t>Relaciona cada fase con sus estudios de preinversión.</w:t>
            </w:r>
          </w:p>
        </w:tc>
      </w:tr>
      <w:tr w:rsidR="00990B14" w14:paraId="161BBC6E" w14:textId="77777777">
        <w:trPr>
          <w:cantSplit/>
          <w:jc w:val="center"/>
        </w:trPr>
        <w:tc>
          <w:tcPr>
            <w:tcW w:w="1809" w:type="dxa"/>
            <w:vMerge/>
            <w:shd w:val="clear" w:color="auto" w:fill="4472C4"/>
            <w:vAlign w:val="center"/>
          </w:tcPr>
          <w:p w14:paraId="5E0A0253" w14:textId="77777777" w:rsidR="00990B14" w:rsidRDefault="00990B14">
            <w:pPr>
              <w:spacing w:before="20" w:after="20"/>
            </w:pPr>
          </w:p>
        </w:tc>
        <w:tc>
          <w:tcPr>
            <w:tcW w:w="1860" w:type="dxa"/>
            <w:shd w:val="clear" w:color="auto" w:fill="D9E2F3"/>
            <w:vAlign w:val="center"/>
          </w:tcPr>
          <w:p w14:paraId="410817C6" w14:textId="77777777" w:rsidR="00990B14" w:rsidRDefault="00000000">
            <w:pPr>
              <w:spacing w:before="20" w:after="20"/>
              <w:jc w:val="both"/>
            </w:pPr>
            <w:r>
              <w:rPr>
                <w:sz w:val="18"/>
                <w:szCs w:val="18"/>
              </w:rPr>
              <w:t>Exposición en equipo</w:t>
            </w:r>
          </w:p>
        </w:tc>
        <w:tc>
          <w:tcPr>
            <w:tcW w:w="1860" w:type="dxa"/>
            <w:shd w:val="clear" w:color="auto" w:fill="D9E2F3"/>
            <w:vAlign w:val="center"/>
          </w:tcPr>
          <w:p w14:paraId="6E84D6CD" w14:textId="77777777" w:rsidR="00990B14" w:rsidRDefault="00000000">
            <w:pPr>
              <w:spacing w:before="20" w:after="20"/>
              <w:jc w:val="both"/>
            </w:pPr>
            <w:r>
              <w:rPr>
                <w:sz w:val="18"/>
                <w:szCs w:val="18"/>
              </w:rPr>
              <w:t>La exposición es desordenada.</w:t>
            </w:r>
          </w:p>
        </w:tc>
        <w:tc>
          <w:tcPr>
            <w:tcW w:w="1860" w:type="dxa"/>
            <w:shd w:val="clear" w:color="auto" w:fill="D9E2F3"/>
            <w:vAlign w:val="center"/>
          </w:tcPr>
          <w:p w14:paraId="7931686F" w14:textId="77777777" w:rsidR="00990B14" w:rsidRDefault="00000000">
            <w:pPr>
              <w:spacing w:before="20" w:after="20"/>
              <w:jc w:val="both"/>
            </w:pPr>
            <w:r>
              <w:rPr>
                <w:sz w:val="18"/>
                <w:szCs w:val="18"/>
              </w:rPr>
              <w:t>Expone con claridad y orden.</w:t>
            </w:r>
          </w:p>
        </w:tc>
        <w:tc>
          <w:tcPr>
            <w:tcW w:w="2016" w:type="dxa"/>
            <w:shd w:val="clear" w:color="auto" w:fill="D9E2F3"/>
            <w:vAlign w:val="center"/>
          </w:tcPr>
          <w:p w14:paraId="7780752A" w14:textId="77777777" w:rsidR="00990B14" w:rsidRDefault="00000000">
            <w:pPr>
              <w:spacing w:before="20" w:after="20"/>
              <w:jc w:val="both"/>
            </w:pPr>
            <w:r>
              <w:rPr>
                <w:sz w:val="18"/>
                <w:szCs w:val="18"/>
              </w:rPr>
              <w:t>Responde con solvencia las preguntas del curso.</w:t>
            </w:r>
          </w:p>
        </w:tc>
      </w:tr>
      <w:tr w:rsidR="00990B14" w14:paraId="2EE1FC46" w14:textId="77777777">
        <w:trPr>
          <w:cantSplit/>
          <w:jc w:val="center"/>
        </w:trPr>
        <w:tc>
          <w:tcPr>
            <w:tcW w:w="1809" w:type="dxa"/>
            <w:vMerge/>
            <w:shd w:val="clear" w:color="auto" w:fill="4472C4"/>
            <w:vAlign w:val="center"/>
          </w:tcPr>
          <w:p w14:paraId="4118784A" w14:textId="77777777" w:rsidR="00990B14" w:rsidRDefault="00990B14">
            <w:pPr>
              <w:spacing w:before="20" w:after="20"/>
            </w:pPr>
          </w:p>
        </w:tc>
        <w:tc>
          <w:tcPr>
            <w:tcW w:w="5580" w:type="dxa"/>
            <w:gridSpan w:val="3"/>
            <w:shd w:val="clear" w:color="auto" w:fill="D9E2F3"/>
            <w:vAlign w:val="center"/>
          </w:tcPr>
          <w:p w14:paraId="62CB8ECA" w14:textId="77777777" w:rsidR="00990B14" w:rsidRDefault="00000000">
            <w:pPr>
              <w:keepNext/>
              <w:spacing w:before="20" w:after="20"/>
              <w:jc w:val="both"/>
            </w:pPr>
            <w:r>
              <w:rPr>
                <w:b/>
                <w:bCs/>
                <w:i/>
                <w:iCs/>
                <w:sz w:val="18"/>
                <w:szCs w:val="18"/>
              </w:rPr>
              <w:t xml:space="preserve">Producto 2: </w:t>
            </w:r>
            <w:r>
              <w:rPr>
                <w:sz w:val="18"/>
                <w:szCs w:val="18"/>
              </w:rPr>
              <w:t>Esquema de interdependencia de estudios</w:t>
            </w:r>
          </w:p>
        </w:tc>
        <w:tc>
          <w:tcPr>
            <w:tcW w:w="2016" w:type="dxa"/>
            <w:shd w:val="clear" w:color="auto" w:fill="D9E2F3"/>
            <w:vAlign w:val="center"/>
          </w:tcPr>
          <w:p w14:paraId="3631C868" w14:textId="77777777" w:rsidR="00990B14" w:rsidRDefault="00000000">
            <w:pPr>
              <w:spacing w:before="20" w:after="20"/>
              <w:jc w:val="center"/>
            </w:pPr>
            <w:r>
              <w:rPr>
                <w:b/>
                <w:bCs/>
                <w:sz w:val="18"/>
                <w:szCs w:val="18"/>
              </w:rPr>
              <w:t>3%</w:t>
            </w:r>
          </w:p>
        </w:tc>
      </w:tr>
      <w:tr w:rsidR="00990B14" w14:paraId="701D8E65" w14:textId="77777777">
        <w:trPr>
          <w:cantSplit/>
          <w:jc w:val="center"/>
        </w:trPr>
        <w:tc>
          <w:tcPr>
            <w:tcW w:w="1809" w:type="dxa"/>
            <w:vMerge/>
            <w:shd w:val="clear" w:color="auto" w:fill="4472C4"/>
            <w:vAlign w:val="center"/>
          </w:tcPr>
          <w:p w14:paraId="2E97CFA4" w14:textId="77777777" w:rsidR="00990B14" w:rsidRDefault="00990B14">
            <w:pPr>
              <w:spacing w:before="20" w:after="20"/>
            </w:pPr>
          </w:p>
        </w:tc>
        <w:tc>
          <w:tcPr>
            <w:tcW w:w="1860" w:type="dxa"/>
            <w:shd w:val="clear" w:color="auto" w:fill="4472C4"/>
            <w:vAlign w:val="center"/>
          </w:tcPr>
          <w:p w14:paraId="110581A0" w14:textId="77777777" w:rsidR="00990B14" w:rsidRDefault="00000000">
            <w:pPr>
              <w:keepNext/>
              <w:spacing w:before="20" w:after="20"/>
              <w:jc w:val="center"/>
            </w:pPr>
            <w:r>
              <w:rPr>
                <w:b/>
                <w:bCs/>
                <w:i/>
                <w:iCs/>
                <w:color w:val="FFFFFF"/>
                <w:sz w:val="18"/>
                <w:szCs w:val="18"/>
              </w:rPr>
              <w:t>Criterio</w:t>
            </w:r>
          </w:p>
        </w:tc>
        <w:tc>
          <w:tcPr>
            <w:tcW w:w="1860" w:type="dxa"/>
            <w:shd w:val="clear" w:color="auto" w:fill="4472C4"/>
            <w:vAlign w:val="center"/>
          </w:tcPr>
          <w:p w14:paraId="1B4A8FB3" w14:textId="77777777" w:rsidR="00990B14" w:rsidRDefault="00000000">
            <w:pPr>
              <w:keepNext/>
              <w:spacing w:before="20" w:after="20"/>
              <w:jc w:val="center"/>
            </w:pPr>
            <w:r>
              <w:rPr>
                <w:b/>
                <w:bCs/>
                <w:i/>
                <w:iCs/>
                <w:color w:val="FFFFFF"/>
                <w:sz w:val="18"/>
                <w:szCs w:val="18"/>
              </w:rPr>
              <w:t>Insuficiente (1–50)</w:t>
            </w:r>
          </w:p>
        </w:tc>
        <w:tc>
          <w:tcPr>
            <w:tcW w:w="1860" w:type="dxa"/>
            <w:shd w:val="clear" w:color="auto" w:fill="4472C4"/>
            <w:vAlign w:val="center"/>
          </w:tcPr>
          <w:p w14:paraId="16777ED3" w14:textId="77777777" w:rsidR="00990B14" w:rsidRDefault="00000000">
            <w:pPr>
              <w:keepNext/>
              <w:spacing w:before="20" w:after="20"/>
              <w:jc w:val="center"/>
            </w:pPr>
            <w:r>
              <w:rPr>
                <w:b/>
                <w:bCs/>
                <w:i/>
                <w:iCs/>
                <w:color w:val="FFFFFF"/>
                <w:sz w:val="18"/>
                <w:szCs w:val="18"/>
              </w:rPr>
              <w:t>Suficiente (51–80)</w:t>
            </w:r>
          </w:p>
        </w:tc>
        <w:tc>
          <w:tcPr>
            <w:tcW w:w="2016" w:type="dxa"/>
            <w:shd w:val="clear" w:color="auto" w:fill="4472C4"/>
            <w:vAlign w:val="center"/>
          </w:tcPr>
          <w:p w14:paraId="0149325B" w14:textId="77777777" w:rsidR="00990B14" w:rsidRDefault="00000000">
            <w:pPr>
              <w:keepNext/>
              <w:spacing w:before="20" w:after="20"/>
              <w:jc w:val="center"/>
            </w:pPr>
            <w:r>
              <w:rPr>
                <w:b/>
                <w:bCs/>
                <w:i/>
                <w:iCs/>
                <w:color w:val="FFFFFF"/>
                <w:sz w:val="18"/>
                <w:szCs w:val="18"/>
              </w:rPr>
              <w:t>Destacado (81–100)</w:t>
            </w:r>
          </w:p>
        </w:tc>
      </w:tr>
      <w:tr w:rsidR="00990B14" w14:paraId="7FB22864" w14:textId="77777777">
        <w:trPr>
          <w:cantSplit/>
          <w:jc w:val="center"/>
        </w:trPr>
        <w:tc>
          <w:tcPr>
            <w:tcW w:w="1809" w:type="dxa"/>
            <w:vMerge/>
            <w:shd w:val="clear" w:color="auto" w:fill="4472C4"/>
            <w:vAlign w:val="center"/>
          </w:tcPr>
          <w:p w14:paraId="38ECA185" w14:textId="77777777" w:rsidR="00990B14" w:rsidRDefault="00990B14">
            <w:pPr>
              <w:spacing w:before="20" w:after="20"/>
            </w:pPr>
          </w:p>
        </w:tc>
        <w:tc>
          <w:tcPr>
            <w:tcW w:w="1860" w:type="dxa"/>
            <w:shd w:val="clear" w:color="auto" w:fill="D9E2F3"/>
            <w:vAlign w:val="center"/>
          </w:tcPr>
          <w:p w14:paraId="68FD2ED3" w14:textId="77777777" w:rsidR="00990B14" w:rsidRDefault="00000000">
            <w:pPr>
              <w:spacing w:before="20" w:after="20"/>
              <w:jc w:val="both"/>
            </w:pPr>
            <w:r>
              <w:rPr>
                <w:sz w:val="18"/>
                <w:szCs w:val="18"/>
              </w:rPr>
              <w:t>Estudios de viabilidad</w:t>
            </w:r>
          </w:p>
        </w:tc>
        <w:tc>
          <w:tcPr>
            <w:tcW w:w="1860" w:type="dxa"/>
            <w:shd w:val="clear" w:color="auto" w:fill="D9E2F3"/>
            <w:vAlign w:val="center"/>
          </w:tcPr>
          <w:p w14:paraId="53FA47BE" w14:textId="77777777" w:rsidR="00990B14" w:rsidRDefault="00000000">
            <w:pPr>
              <w:spacing w:before="20" w:after="20"/>
              <w:jc w:val="both"/>
            </w:pPr>
            <w:r>
              <w:rPr>
                <w:sz w:val="18"/>
                <w:szCs w:val="18"/>
              </w:rPr>
              <w:t>Omite estudios de viabilidad.</w:t>
            </w:r>
          </w:p>
        </w:tc>
        <w:tc>
          <w:tcPr>
            <w:tcW w:w="1860" w:type="dxa"/>
            <w:shd w:val="clear" w:color="auto" w:fill="D9E2F3"/>
            <w:vAlign w:val="center"/>
          </w:tcPr>
          <w:p w14:paraId="439F1DDD" w14:textId="77777777" w:rsidR="00990B14" w:rsidRDefault="00000000">
            <w:pPr>
              <w:spacing w:before="20" w:after="20"/>
              <w:jc w:val="both"/>
            </w:pPr>
            <w:r>
              <w:rPr>
                <w:sz w:val="18"/>
                <w:szCs w:val="18"/>
              </w:rPr>
              <w:t>Incluye los estudios comercial, técnico, financiero, legal y ambiental.</w:t>
            </w:r>
          </w:p>
        </w:tc>
        <w:tc>
          <w:tcPr>
            <w:tcW w:w="2016" w:type="dxa"/>
            <w:shd w:val="clear" w:color="auto" w:fill="D9E2F3"/>
            <w:vAlign w:val="center"/>
          </w:tcPr>
          <w:p w14:paraId="4A4978F5" w14:textId="77777777" w:rsidR="00990B14" w:rsidRDefault="00000000">
            <w:pPr>
              <w:spacing w:before="20" w:after="20"/>
              <w:jc w:val="both"/>
            </w:pPr>
            <w:r>
              <w:rPr>
                <w:sz w:val="18"/>
                <w:szCs w:val="18"/>
              </w:rPr>
              <w:t>Explica cómo cada estudio condiciona a los demás.</w:t>
            </w:r>
          </w:p>
        </w:tc>
      </w:tr>
      <w:tr w:rsidR="00990B14" w14:paraId="5E70549D" w14:textId="77777777">
        <w:trPr>
          <w:cantSplit/>
          <w:jc w:val="center"/>
        </w:trPr>
        <w:tc>
          <w:tcPr>
            <w:tcW w:w="1809" w:type="dxa"/>
            <w:vMerge/>
            <w:shd w:val="clear" w:color="auto" w:fill="4472C4"/>
            <w:vAlign w:val="center"/>
          </w:tcPr>
          <w:p w14:paraId="70C478EA" w14:textId="77777777" w:rsidR="00990B14" w:rsidRDefault="00990B14">
            <w:pPr>
              <w:spacing w:before="20" w:after="20"/>
            </w:pPr>
          </w:p>
        </w:tc>
        <w:tc>
          <w:tcPr>
            <w:tcW w:w="1860" w:type="dxa"/>
            <w:shd w:val="clear" w:color="auto" w:fill="D9E2F3"/>
            <w:vAlign w:val="center"/>
          </w:tcPr>
          <w:p w14:paraId="3C5F9B20" w14:textId="77777777" w:rsidR="00990B14" w:rsidRDefault="00000000">
            <w:pPr>
              <w:spacing w:before="20" w:after="20"/>
              <w:jc w:val="both"/>
            </w:pPr>
            <w:r>
              <w:rPr>
                <w:sz w:val="18"/>
                <w:szCs w:val="18"/>
              </w:rPr>
              <w:t>Enfoque sistémico</w:t>
            </w:r>
          </w:p>
        </w:tc>
        <w:tc>
          <w:tcPr>
            <w:tcW w:w="1860" w:type="dxa"/>
            <w:shd w:val="clear" w:color="auto" w:fill="D9E2F3"/>
            <w:vAlign w:val="center"/>
          </w:tcPr>
          <w:p w14:paraId="3ACEE6AE" w14:textId="77777777" w:rsidR="00990B14" w:rsidRDefault="00000000">
            <w:pPr>
              <w:spacing w:before="20" w:after="20"/>
              <w:jc w:val="both"/>
            </w:pPr>
            <w:r>
              <w:rPr>
                <w:sz w:val="18"/>
                <w:szCs w:val="18"/>
              </w:rPr>
              <w:t>No aplica el enfoque sistémico.</w:t>
            </w:r>
          </w:p>
        </w:tc>
        <w:tc>
          <w:tcPr>
            <w:tcW w:w="1860" w:type="dxa"/>
            <w:shd w:val="clear" w:color="auto" w:fill="D9E2F3"/>
            <w:vAlign w:val="center"/>
          </w:tcPr>
          <w:p w14:paraId="2E7462B3" w14:textId="77777777" w:rsidR="00990B14" w:rsidRDefault="00000000">
            <w:pPr>
              <w:spacing w:before="20" w:after="20"/>
              <w:jc w:val="both"/>
            </w:pPr>
            <w:r>
              <w:rPr>
                <w:sz w:val="18"/>
                <w:szCs w:val="18"/>
              </w:rPr>
              <w:t>Aplica la teoría de sistemas al proyecto.</w:t>
            </w:r>
          </w:p>
        </w:tc>
        <w:tc>
          <w:tcPr>
            <w:tcW w:w="2016" w:type="dxa"/>
            <w:shd w:val="clear" w:color="auto" w:fill="D9E2F3"/>
            <w:vAlign w:val="center"/>
          </w:tcPr>
          <w:p w14:paraId="41FB3D6D" w14:textId="77777777" w:rsidR="00990B14" w:rsidRDefault="00000000">
            <w:pPr>
              <w:spacing w:before="20" w:after="20"/>
              <w:jc w:val="both"/>
            </w:pPr>
            <w:r>
              <w:rPr>
                <w:sz w:val="18"/>
                <w:szCs w:val="18"/>
              </w:rPr>
              <w:t>Identifica los efectos de retroalimentación entre estudios.</w:t>
            </w:r>
          </w:p>
        </w:tc>
      </w:tr>
      <w:tr w:rsidR="00990B14" w14:paraId="59B4634E" w14:textId="77777777">
        <w:trPr>
          <w:cantSplit/>
          <w:jc w:val="center"/>
        </w:trPr>
        <w:tc>
          <w:tcPr>
            <w:tcW w:w="1809" w:type="dxa"/>
            <w:vMerge/>
            <w:shd w:val="clear" w:color="auto" w:fill="4472C4"/>
            <w:vAlign w:val="center"/>
          </w:tcPr>
          <w:p w14:paraId="166AF8F5" w14:textId="77777777" w:rsidR="00990B14" w:rsidRDefault="00990B14">
            <w:pPr>
              <w:spacing w:before="20" w:after="20"/>
            </w:pPr>
          </w:p>
        </w:tc>
        <w:tc>
          <w:tcPr>
            <w:tcW w:w="1860" w:type="dxa"/>
            <w:shd w:val="clear" w:color="auto" w:fill="D9E2F3"/>
            <w:vAlign w:val="center"/>
          </w:tcPr>
          <w:p w14:paraId="20DD9464" w14:textId="77777777" w:rsidR="00990B14" w:rsidRDefault="00000000">
            <w:pPr>
              <w:spacing w:before="20" w:after="20"/>
              <w:jc w:val="both"/>
            </w:pPr>
            <w:r>
              <w:rPr>
                <w:sz w:val="18"/>
                <w:szCs w:val="18"/>
              </w:rPr>
              <w:t>Presentación</w:t>
            </w:r>
          </w:p>
        </w:tc>
        <w:tc>
          <w:tcPr>
            <w:tcW w:w="1860" w:type="dxa"/>
            <w:shd w:val="clear" w:color="auto" w:fill="D9E2F3"/>
            <w:vAlign w:val="center"/>
          </w:tcPr>
          <w:p w14:paraId="6F927B72" w14:textId="77777777" w:rsidR="00990B14" w:rsidRDefault="00000000">
            <w:pPr>
              <w:spacing w:before="20" w:after="20"/>
              <w:jc w:val="both"/>
            </w:pPr>
            <w:r>
              <w:rPr>
                <w:sz w:val="18"/>
                <w:szCs w:val="18"/>
              </w:rPr>
              <w:t>El esquema es confuso.</w:t>
            </w:r>
          </w:p>
        </w:tc>
        <w:tc>
          <w:tcPr>
            <w:tcW w:w="1860" w:type="dxa"/>
            <w:shd w:val="clear" w:color="auto" w:fill="D9E2F3"/>
            <w:vAlign w:val="center"/>
          </w:tcPr>
          <w:p w14:paraId="6196AA51" w14:textId="77777777" w:rsidR="00990B14" w:rsidRDefault="00000000">
            <w:pPr>
              <w:spacing w:before="20" w:after="20"/>
              <w:jc w:val="both"/>
            </w:pPr>
            <w:r>
              <w:rPr>
                <w:sz w:val="18"/>
                <w:szCs w:val="18"/>
              </w:rPr>
              <w:t>El esquema es claro.</w:t>
            </w:r>
          </w:p>
        </w:tc>
        <w:tc>
          <w:tcPr>
            <w:tcW w:w="2016" w:type="dxa"/>
            <w:shd w:val="clear" w:color="auto" w:fill="D9E2F3"/>
            <w:vAlign w:val="center"/>
          </w:tcPr>
          <w:p w14:paraId="6C10C076" w14:textId="77777777" w:rsidR="00990B14" w:rsidRDefault="00000000">
            <w:pPr>
              <w:spacing w:before="20" w:after="20"/>
              <w:jc w:val="both"/>
            </w:pPr>
            <w:r>
              <w:rPr>
                <w:sz w:val="18"/>
                <w:szCs w:val="18"/>
              </w:rPr>
              <w:t>El esquema se apoya en un caso real.</w:t>
            </w:r>
          </w:p>
        </w:tc>
      </w:tr>
      <w:tr w:rsidR="00990B14" w14:paraId="068D859D" w14:textId="77777777">
        <w:trPr>
          <w:cantSplit/>
          <w:jc w:val="center"/>
        </w:trPr>
        <w:tc>
          <w:tcPr>
            <w:tcW w:w="1809" w:type="dxa"/>
            <w:vMerge/>
            <w:shd w:val="clear" w:color="auto" w:fill="4472C4"/>
            <w:vAlign w:val="center"/>
          </w:tcPr>
          <w:p w14:paraId="78528BA9" w14:textId="77777777" w:rsidR="00990B14" w:rsidRDefault="00990B14">
            <w:pPr>
              <w:spacing w:before="20" w:after="20"/>
            </w:pPr>
          </w:p>
        </w:tc>
        <w:tc>
          <w:tcPr>
            <w:tcW w:w="5580" w:type="dxa"/>
            <w:gridSpan w:val="3"/>
            <w:shd w:val="clear" w:color="auto" w:fill="D9E2F3"/>
            <w:vAlign w:val="center"/>
          </w:tcPr>
          <w:p w14:paraId="11C4DAEB" w14:textId="77777777" w:rsidR="00990B14" w:rsidRDefault="00000000">
            <w:pPr>
              <w:keepNext/>
              <w:spacing w:before="20" w:after="20"/>
              <w:jc w:val="both"/>
            </w:pPr>
            <w:r>
              <w:rPr>
                <w:b/>
                <w:bCs/>
                <w:i/>
                <w:iCs/>
                <w:sz w:val="18"/>
                <w:szCs w:val="18"/>
              </w:rPr>
              <w:t xml:space="preserve">Producto 3: </w:t>
            </w:r>
            <w:r>
              <w:rPr>
                <w:sz w:val="18"/>
                <w:szCs w:val="18"/>
              </w:rPr>
              <w:t>Informe del rol del proyectista</w:t>
            </w:r>
          </w:p>
        </w:tc>
        <w:tc>
          <w:tcPr>
            <w:tcW w:w="2016" w:type="dxa"/>
            <w:shd w:val="clear" w:color="auto" w:fill="D9E2F3"/>
            <w:vAlign w:val="center"/>
          </w:tcPr>
          <w:p w14:paraId="480F1B0C" w14:textId="77777777" w:rsidR="00990B14" w:rsidRDefault="00000000">
            <w:pPr>
              <w:spacing w:before="20" w:after="20"/>
              <w:jc w:val="center"/>
            </w:pPr>
            <w:r>
              <w:rPr>
                <w:b/>
                <w:bCs/>
                <w:sz w:val="18"/>
                <w:szCs w:val="18"/>
              </w:rPr>
              <w:t>2%</w:t>
            </w:r>
          </w:p>
        </w:tc>
      </w:tr>
      <w:tr w:rsidR="00990B14" w14:paraId="111C4C0E" w14:textId="77777777">
        <w:trPr>
          <w:cantSplit/>
          <w:jc w:val="center"/>
        </w:trPr>
        <w:tc>
          <w:tcPr>
            <w:tcW w:w="1809" w:type="dxa"/>
            <w:vMerge/>
            <w:shd w:val="clear" w:color="auto" w:fill="4472C4"/>
            <w:vAlign w:val="center"/>
          </w:tcPr>
          <w:p w14:paraId="7E4B7AE0" w14:textId="77777777" w:rsidR="00990B14" w:rsidRDefault="00990B14">
            <w:pPr>
              <w:spacing w:before="20" w:after="20"/>
            </w:pPr>
          </w:p>
        </w:tc>
        <w:tc>
          <w:tcPr>
            <w:tcW w:w="1860" w:type="dxa"/>
            <w:shd w:val="clear" w:color="auto" w:fill="4472C4"/>
            <w:vAlign w:val="center"/>
          </w:tcPr>
          <w:p w14:paraId="30B5CEF9" w14:textId="77777777" w:rsidR="00990B14" w:rsidRDefault="00000000">
            <w:pPr>
              <w:keepNext/>
              <w:spacing w:before="20" w:after="20"/>
              <w:jc w:val="center"/>
            </w:pPr>
            <w:r>
              <w:rPr>
                <w:b/>
                <w:bCs/>
                <w:i/>
                <w:iCs/>
                <w:color w:val="FFFFFF"/>
                <w:sz w:val="18"/>
                <w:szCs w:val="18"/>
              </w:rPr>
              <w:t>Criterio</w:t>
            </w:r>
          </w:p>
        </w:tc>
        <w:tc>
          <w:tcPr>
            <w:tcW w:w="1860" w:type="dxa"/>
            <w:shd w:val="clear" w:color="auto" w:fill="4472C4"/>
            <w:vAlign w:val="center"/>
          </w:tcPr>
          <w:p w14:paraId="49D1FA00" w14:textId="77777777" w:rsidR="00990B14" w:rsidRDefault="00000000">
            <w:pPr>
              <w:keepNext/>
              <w:spacing w:before="20" w:after="20"/>
              <w:jc w:val="center"/>
            </w:pPr>
            <w:r>
              <w:rPr>
                <w:b/>
                <w:bCs/>
                <w:i/>
                <w:iCs/>
                <w:color w:val="FFFFFF"/>
                <w:sz w:val="18"/>
                <w:szCs w:val="18"/>
              </w:rPr>
              <w:t>Insuficiente (1–50)</w:t>
            </w:r>
          </w:p>
        </w:tc>
        <w:tc>
          <w:tcPr>
            <w:tcW w:w="1860" w:type="dxa"/>
            <w:shd w:val="clear" w:color="auto" w:fill="4472C4"/>
            <w:vAlign w:val="center"/>
          </w:tcPr>
          <w:p w14:paraId="1770C026" w14:textId="77777777" w:rsidR="00990B14" w:rsidRDefault="00000000">
            <w:pPr>
              <w:keepNext/>
              <w:spacing w:before="20" w:after="20"/>
              <w:jc w:val="center"/>
            </w:pPr>
            <w:r>
              <w:rPr>
                <w:b/>
                <w:bCs/>
                <w:i/>
                <w:iCs/>
                <w:color w:val="FFFFFF"/>
                <w:sz w:val="18"/>
                <w:szCs w:val="18"/>
              </w:rPr>
              <w:t>Suficiente (51–80)</w:t>
            </w:r>
          </w:p>
        </w:tc>
        <w:tc>
          <w:tcPr>
            <w:tcW w:w="2016" w:type="dxa"/>
            <w:shd w:val="clear" w:color="auto" w:fill="4472C4"/>
            <w:vAlign w:val="center"/>
          </w:tcPr>
          <w:p w14:paraId="5B8825BB" w14:textId="77777777" w:rsidR="00990B14" w:rsidRDefault="00000000">
            <w:pPr>
              <w:keepNext/>
              <w:spacing w:before="20" w:after="20"/>
              <w:jc w:val="center"/>
            </w:pPr>
            <w:r>
              <w:rPr>
                <w:b/>
                <w:bCs/>
                <w:i/>
                <w:iCs/>
                <w:color w:val="FFFFFF"/>
                <w:sz w:val="18"/>
                <w:szCs w:val="18"/>
              </w:rPr>
              <w:t>Destacado (81–100)</w:t>
            </w:r>
          </w:p>
        </w:tc>
      </w:tr>
      <w:tr w:rsidR="00990B14" w14:paraId="4DFA81DA" w14:textId="77777777">
        <w:trPr>
          <w:cantSplit/>
          <w:jc w:val="center"/>
        </w:trPr>
        <w:tc>
          <w:tcPr>
            <w:tcW w:w="1809" w:type="dxa"/>
            <w:vMerge/>
            <w:shd w:val="clear" w:color="auto" w:fill="4472C4"/>
            <w:vAlign w:val="center"/>
          </w:tcPr>
          <w:p w14:paraId="059E75C1" w14:textId="77777777" w:rsidR="00990B14" w:rsidRDefault="00990B14">
            <w:pPr>
              <w:spacing w:before="20" w:after="20"/>
            </w:pPr>
          </w:p>
        </w:tc>
        <w:tc>
          <w:tcPr>
            <w:tcW w:w="1860" w:type="dxa"/>
            <w:shd w:val="clear" w:color="auto" w:fill="D9E2F3"/>
            <w:vAlign w:val="center"/>
          </w:tcPr>
          <w:p w14:paraId="2B181739" w14:textId="77777777" w:rsidR="00990B14" w:rsidRDefault="00000000">
            <w:pPr>
              <w:spacing w:before="20" w:after="20"/>
              <w:jc w:val="both"/>
            </w:pPr>
            <w:r>
              <w:rPr>
                <w:sz w:val="18"/>
                <w:szCs w:val="18"/>
              </w:rPr>
              <w:t>Rol del proyectista</w:t>
            </w:r>
          </w:p>
        </w:tc>
        <w:tc>
          <w:tcPr>
            <w:tcW w:w="1860" w:type="dxa"/>
            <w:shd w:val="clear" w:color="auto" w:fill="D9E2F3"/>
            <w:vAlign w:val="center"/>
          </w:tcPr>
          <w:p w14:paraId="563FC2B1" w14:textId="77777777" w:rsidR="00990B14" w:rsidRDefault="00000000">
            <w:pPr>
              <w:spacing w:before="20" w:after="20"/>
              <w:jc w:val="both"/>
            </w:pPr>
            <w:r>
              <w:rPr>
                <w:sz w:val="18"/>
                <w:szCs w:val="18"/>
              </w:rPr>
              <w:t>Describe el rol de forma general.</w:t>
            </w:r>
          </w:p>
        </w:tc>
        <w:tc>
          <w:tcPr>
            <w:tcW w:w="1860" w:type="dxa"/>
            <w:shd w:val="clear" w:color="auto" w:fill="D9E2F3"/>
            <w:vAlign w:val="center"/>
          </w:tcPr>
          <w:p w14:paraId="671CEA19" w14:textId="77777777" w:rsidR="00990B14" w:rsidRDefault="00000000">
            <w:pPr>
              <w:spacing w:before="20" w:after="20"/>
              <w:jc w:val="both"/>
            </w:pPr>
            <w:r>
              <w:rPr>
                <w:sz w:val="18"/>
                <w:szCs w:val="18"/>
              </w:rPr>
              <w:t>Explica el rol investigador del proyectista.</w:t>
            </w:r>
          </w:p>
        </w:tc>
        <w:tc>
          <w:tcPr>
            <w:tcW w:w="2016" w:type="dxa"/>
            <w:shd w:val="clear" w:color="auto" w:fill="D9E2F3"/>
            <w:vAlign w:val="center"/>
          </w:tcPr>
          <w:p w14:paraId="5B4DAD34" w14:textId="77777777" w:rsidR="00990B14" w:rsidRDefault="00000000">
            <w:pPr>
              <w:spacing w:before="20" w:after="20"/>
              <w:jc w:val="both"/>
            </w:pPr>
            <w:r>
              <w:rPr>
                <w:sz w:val="18"/>
                <w:szCs w:val="18"/>
              </w:rPr>
              <w:t>Relaciona el rol con las competencias del contador público.</w:t>
            </w:r>
          </w:p>
        </w:tc>
      </w:tr>
      <w:tr w:rsidR="00990B14" w14:paraId="170D8801" w14:textId="77777777">
        <w:trPr>
          <w:cantSplit/>
          <w:jc w:val="center"/>
        </w:trPr>
        <w:tc>
          <w:tcPr>
            <w:tcW w:w="1809" w:type="dxa"/>
            <w:vMerge/>
            <w:shd w:val="clear" w:color="auto" w:fill="4472C4"/>
            <w:vAlign w:val="center"/>
          </w:tcPr>
          <w:p w14:paraId="1E54597F" w14:textId="77777777" w:rsidR="00990B14" w:rsidRDefault="00990B14">
            <w:pPr>
              <w:spacing w:before="20" w:after="20"/>
            </w:pPr>
          </w:p>
        </w:tc>
        <w:tc>
          <w:tcPr>
            <w:tcW w:w="1860" w:type="dxa"/>
            <w:shd w:val="clear" w:color="auto" w:fill="D9E2F3"/>
            <w:vAlign w:val="center"/>
          </w:tcPr>
          <w:p w14:paraId="24FA13B0" w14:textId="77777777" w:rsidR="00990B14" w:rsidRDefault="00000000">
            <w:pPr>
              <w:spacing w:before="20" w:after="20"/>
              <w:jc w:val="both"/>
            </w:pPr>
            <w:r>
              <w:rPr>
                <w:sz w:val="18"/>
                <w:szCs w:val="18"/>
              </w:rPr>
              <w:t>Aporte al desarrollo</w:t>
            </w:r>
          </w:p>
        </w:tc>
        <w:tc>
          <w:tcPr>
            <w:tcW w:w="1860" w:type="dxa"/>
            <w:shd w:val="clear" w:color="auto" w:fill="D9E2F3"/>
            <w:vAlign w:val="center"/>
          </w:tcPr>
          <w:p w14:paraId="28D20368" w14:textId="77777777" w:rsidR="00990B14" w:rsidRDefault="00000000">
            <w:pPr>
              <w:spacing w:before="20" w:after="20"/>
              <w:jc w:val="both"/>
            </w:pPr>
            <w:r>
              <w:rPr>
                <w:sz w:val="18"/>
                <w:szCs w:val="18"/>
              </w:rPr>
              <w:t>No identifica el aporte del proyecto.</w:t>
            </w:r>
          </w:p>
        </w:tc>
        <w:tc>
          <w:tcPr>
            <w:tcW w:w="1860" w:type="dxa"/>
            <w:shd w:val="clear" w:color="auto" w:fill="D9E2F3"/>
            <w:vAlign w:val="center"/>
          </w:tcPr>
          <w:p w14:paraId="1BD976AA" w14:textId="77777777" w:rsidR="00990B14" w:rsidRDefault="00000000">
            <w:pPr>
              <w:spacing w:before="20" w:after="20"/>
              <w:jc w:val="both"/>
            </w:pPr>
            <w:r>
              <w:rPr>
                <w:sz w:val="18"/>
                <w:szCs w:val="18"/>
              </w:rPr>
              <w:t>Identifica el aporte económico del proyecto.</w:t>
            </w:r>
          </w:p>
        </w:tc>
        <w:tc>
          <w:tcPr>
            <w:tcW w:w="2016" w:type="dxa"/>
            <w:shd w:val="clear" w:color="auto" w:fill="D9E2F3"/>
            <w:vAlign w:val="center"/>
          </w:tcPr>
          <w:p w14:paraId="00AA0EFC" w14:textId="77777777" w:rsidR="00990B14" w:rsidRDefault="00000000">
            <w:pPr>
              <w:spacing w:before="20" w:after="20"/>
              <w:jc w:val="both"/>
            </w:pPr>
            <w:r>
              <w:rPr>
                <w:sz w:val="18"/>
                <w:szCs w:val="18"/>
              </w:rPr>
              <w:t>Valora los efectos ambientales del proyecto.</w:t>
            </w:r>
          </w:p>
        </w:tc>
      </w:tr>
      <w:tr w:rsidR="00990B14" w14:paraId="7F81AECC" w14:textId="77777777">
        <w:trPr>
          <w:cantSplit/>
          <w:jc w:val="center"/>
        </w:trPr>
        <w:tc>
          <w:tcPr>
            <w:tcW w:w="1809" w:type="dxa"/>
            <w:vMerge/>
            <w:shd w:val="clear" w:color="auto" w:fill="4472C4"/>
            <w:vAlign w:val="center"/>
          </w:tcPr>
          <w:p w14:paraId="7D275984" w14:textId="77777777" w:rsidR="00990B14" w:rsidRDefault="00990B14">
            <w:pPr>
              <w:spacing w:before="20" w:after="20"/>
            </w:pPr>
          </w:p>
        </w:tc>
        <w:tc>
          <w:tcPr>
            <w:tcW w:w="1860" w:type="dxa"/>
            <w:shd w:val="clear" w:color="auto" w:fill="D9E2F3"/>
            <w:vAlign w:val="center"/>
          </w:tcPr>
          <w:p w14:paraId="69A20969" w14:textId="77777777" w:rsidR="00990B14" w:rsidRDefault="00000000">
            <w:pPr>
              <w:spacing w:before="20" w:after="20"/>
              <w:jc w:val="both"/>
            </w:pPr>
            <w:r>
              <w:rPr>
                <w:sz w:val="18"/>
                <w:szCs w:val="18"/>
              </w:rPr>
              <w:t>Redacción</w:t>
            </w:r>
          </w:p>
        </w:tc>
        <w:tc>
          <w:tcPr>
            <w:tcW w:w="1860" w:type="dxa"/>
            <w:shd w:val="clear" w:color="auto" w:fill="D9E2F3"/>
            <w:vAlign w:val="center"/>
          </w:tcPr>
          <w:p w14:paraId="084FEB52" w14:textId="77777777" w:rsidR="00990B14" w:rsidRDefault="00000000">
            <w:pPr>
              <w:spacing w:before="20" w:after="20"/>
              <w:jc w:val="both"/>
            </w:pPr>
            <w:r>
              <w:rPr>
                <w:sz w:val="18"/>
                <w:szCs w:val="18"/>
              </w:rPr>
              <w:t>La redacción es confusa.</w:t>
            </w:r>
          </w:p>
        </w:tc>
        <w:tc>
          <w:tcPr>
            <w:tcW w:w="1860" w:type="dxa"/>
            <w:shd w:val="clear" w:color="auto" w:fill="D9E2F3"/>
            <w:vAlign w:val="center"/>
          </w:tcPr>
          <w:p w14:paraId="7D036B06" w14:textId="77777777" w:rsidR="00990B14" w:rsidRDefault="00000000">
            <w:pPr>
              <w:spacing w:before="20" w:after="20"/>
              <w:jc w:val="both"/>
            </w:pPr>
            <w:r>
              <w:rPr>
                <w:sz w:val="18"/>
                <w:szCs w:val="18"/>
              </w:rPr>
              <w:t>La redacción es clara.</w:t>
            </w:r>
          </w:p>
        </w:tc>
        <w:tc>
          <w:tcPr>
            <w:tcW w:w="2016" w:type="dxa"/>
            <w:shd w:val="clear" w:color="auto" w:fill="D9E2F3"/>
            <w:vAlign w:val="center"/>
          </w:tcPr>
          <w:p w14:paraId="072DB4E7" w14:textId="77777777" w:rsidR="00990B14" w:rsidRDefault="00000000">
            <w:pPr>
              <w:spacing w:before="20" w:after="20"/>
              <w:jc w:val="both"/>
            </w:pPr>
            <w:r>
              <w:rPr>
                <w:sz w:val="18"/>
                <w:szCs w:val="18"/>
              </w:rPr>
              <w:t>Formula conclusiones fundamentadas.</w:t>
            </w:r>
          </w:p>
        </w:tc>
      </w:tr>
      <w:tr w:rsidR="00990B14" w14:paraId="5597D477" w14:textId="77777777">
        <w:trPr>
          <w:cantSplit/>
          <w:jc w:val="center"/>
        </w:trPr>
        <w:tc>
          <w:tcPr>
            <w:tcW w:w="1809" w:type="dxa"/>
            <w:vMerge/>
            <w:shd w:val="clear" w:color="auto" w:fill="4472C4"/>
            <w:vAlign w:val="center"/>
          </w:tcPr>
          <w:p w14:paraId="2D1BC0BF" w14:textId="77777777" w:rsidR="00990B14" w:rsidRDefault="00990B14">
            <w:pPr>
              <w:spacing w:before="20" w:after="20"/>
            </w:pPr>
          </w:p>
        </w:tc>
        <w:tc>
          <w:tcPr>
            <w:tcW w:w="5580" w:type="dxa"/>
            <w:gridSpan w:val="3"/>
            <w:shd w:val="clear" w:color="auto" w:fill="D9E2F3"/>
            <w:vAlign w:val="center"/>
          </w:tcPr>
          <w:p w14:paraId="1CBE23F3" w14:textId="77777777" w:rsidR="00990B14" w:rsidRDefault="00000000">
            <w:pPr>
              <w:keepNext/>
              <w:spacing w:before="20" w:after="20"/>
              <w:jc w:val="both"/>
            </w:pPr>
            <w:r>
              <w:rPr>
                <w:b/>
                <w:bCs/>
                <w:i/>
                <w:iCs/>
                <w:sz w:val="18"/>
                <w:szCs w:val="18"/>
              </w:rPr>
              <w:t xml:space="preserve">Producto 4: </w:t>
            </w:r>
            <w:r>
              <w:rPr>
                <w:sz w:val="18"/>
                <w:szCs w:val="18"/>
              </w:rPr>
              <w:t>Matriz de contribución de proyectos</w:t>
            </w:r>
          </w:p>
        </w:tc>
        <w:tc>
          <w:tcPr>
            <w:tcW w:w="2016" w:type="dxa"/>
            <w:shd w:val="clear" w:color="auto" w:fill="D9E2F3"/>
            <w:vAlign w:val="center"/>
          </w:tcPr>
          <w:p w14:paraId="4575DC78" w14:textId="77777777" w:rsidR="00990B14" w:rsidRDefault="00000000">
            <w:pPr>
              <w:spacing w:before="20" w:after="20"/>
              <w:jc w:val="center"/>
            </w:pPr>
            <w:r>
              <w:rPr>
                <w:b/>
                <w:bCs/>
                <w:sz w:val="18"/>
                <w:szCs w:val="18"/>
              </w:rPr>
              <w:t>2%</w:t>
            </w:r>
          </w:p>
        </w:tc>
      </w:tr>
      <w:tr w:rsidR="00990B14" w14:paraId="42A0770B" w14:textId="77777777">
        <w:trPr>
          <w:cantSplit/>
          <w:jc w:val="center"/>
        </w:trPr>
        <w:tc>
          <w:tcPr>
            <w:tcW w:w="1809" w:type="dxa"/>
            <w:vMerge/>
            <w:shd w:val="clear" w:color="auto" w:fill="4472C4"/>
            <w:vAlign w:val="center"/>
          </w:tcPr>
          <w:p w14:paraId="3CBEB026" w14:textId="77777777" w:rsidR="00990B14" w:rsidRDefault="00990B14">
            <w:pPr>
              <w:spacing w:before="20" w:after="20"/>
            </w:pPr>
          </w:p>
        </w:tc>
        <w:tc>
          <w:tcPr>
            <w:tcW w:w="1860" w:type="dxa"/>
            <w:shd w:val="clear" w:color="auto" w:fill="4472C4"/>
            <w:vAlign w:val="center"/>
          </w:tcPr>
          <w:p w14:paraId="7A787040" w14:textId="77777777" w:rsidR="00990B14" w:rsidRDefault="00000000">
            <w:pPr>
              <w:keepNext/>
              <w:spacing w:before="20" w:after="20"/>
              <w:jc w:val="center"/>
            </w:pPr>
            <w:r>
              <w:rPr>
                <w:b/>
                <w:bCs/>
                <w:i/>
                <w:iCs/>
                <w:color w:val="FFFFFF"/>
                <w:sz w:val="18"/>
                <w:szCs w:val="18"/>
              </w:rPr>
              <w:t>Criterio</w:t>
            </w:r>
          </w:p>
        </w:tc>
        <w:tc>
          <w:tcPr>
            <w:tcW w:w="1860" w:type="dxa"/>
            <w:shd w:val="clear" w:color="auto" w:fill="4472C4"/>
            <w:vAlign w:val="center"/>
          </w:tcPr>
          <w:p w14:paraId="79774E45" w14:textId="77777777" w:rsidR="00990B14" w:rsidRDefault="00000000">
            <w:pPr>
              <w:keepNext/>
              <w:spacing w:before="20" w:after="20"/>
              <w:jc w:val="center"/>
            </w:pPr>
            <w:r>
              <w:rPr>
                <w:b/>
                <w:bCs/>
                <w:i/>
                <w:iCs/>
                <w:color w:val="FFFFFF"/>
                <w:sz w:val="18"/>
                <w:szCs w:val="18"/>
              </w:rPr>
              <w:t>Insuficiente (1–50)</w:t>
            </w:r>
          </w:p>
        </w:tc>
        <w:tc>
          <w:tcPr>
            <w:tcW w:w="1860" w:type="dxa"/>
            <w:shd w:val="clear" w:color="auto" w:fill="4472C4"/>
            <w:vAlign w:val="center"/>
          </w:tcPr>
          <w:p w14:paraId="71029331" w14:textId="77777777" w:rsidR="00990B14" w:rsidRDefault="00000000">
            <w:pPr>
              <w:keepNext/>
              <w:spacing w:before="20" w:after="20"/>
              <w:jc w:val="center"/>
            </w:pPr>
            <w:r>
              <w:rPr>
                <w:b/>
                <w:bCs/>
                <w:i/>
                <w:iCs/>
                <w:color w:val="FFFFFF"/>
                <w:sz w:val="18"/>
                <w:szCs w:val="18"/>
              </w:rPr>
              <w:t>Suficiente (51–80)</w:t>
            </w:r>
          </w:p>
        </w:tc>
        <w:tc>
          <w:tcPr>
            <w:tcW w:w="2016" w:type="dxa"/>
            <w:shd w:val="clear" w:color="auto" w:fill="4472C4"/>
            <w:vAlign w:val="center"/>
          </w:tcPr>
          <w:p w14:paraId="0AD5AED2" w14:textId="77777777" w:rsidR="00990B14" w:rsidRDefault="00000000">
            <w:pPr>
              <w:keepNext/>
              <w:spacing w:before="20" w:after="20"/>
              <w:jc w:val="center"/>
            </w:pPr>
            <w:r>
              <w:rPr>
                <w:b/>
                <w:bCs/>
                <w:i/>
                <w:iCs/>
                <w:color w:val="FFFFFF"/>
                <w:sz w:val="18"/>
                <w:szCs w:val="18"/>
              </w:rPr>
              <w:t>Destacado (81–100)</w:t>
            </w:r>
          </w:p>
        </w:tc>
      </w:tr>
      <w:tr w:rsidR="00990B14" w14:paraId="02C50042" w14:textId="77777777">
        <w:trPr>
          <w:cantSplit/>
          <w:jc w:val="center"/>
        </w:trPr>
        <w:tc>
          <w:tcPr>
            <w:tcW w:w="1809" w:type="dxa"/>
            <w:vMerge/>
            <w:shd w:val="clear" w:color="auto" w:fill="4472C4"/>
            <w:vAlign w:val="center"/>
          </w:tcPr>
          <w:p w14:paraId="2103C926" w14:textId="77777777" w:rsidR="00990B14" w:rsidRDefault="00990B14">
            <w:pPr>
              <w:spacing w:before="20" w:after="20"/>
            </w:pPr>
          </w:p>
        </w:tc>
        <w:tc>
          <w:tcPr>
            <w:tcW w:w="1860" w:type="dxa"/>
            <w:shd w:val="clear" w:color="auto" w:fill="D9E2F3"/>
            <w:vAlign w:val="center"/>
          </w:tcPr>
          <w:p w14:paraId="29487CB7" w14:textId="77777777" w:rsidR="00990B14" w:rsidRDefault="00000000">
            <w:pPr>
              <w:spacing w:before="20" w:after="20"/>
              <w:jc w:val="both"/>
            </w:pPr>
            <w:r>
              <w:rPr>
                <w:sz w:val="18"/>
                <w:szCs w:val="18"/>
              </w:rPr>
              <w:t>Criterios de comparación</w:t>
            </w:r>
          </w:p>
        </w:tc>
        <w:tc>
          <w:tcPr>
            <w:tcW w:w="1860" w:type="dxa"/>
            <w:shd w:val="clear" w:color="auto" w:fill="D9E2F3"/>
            <w:vAlign w:val="center"/>
          </w:tcPr>
          <w:p w14:paraId="5CE53E03" w14:textId="77777777" w:rsidR="00990B14" w:rsidRDefault="00000000">
            <w:pPr>
              <w:spacing w:before="20" w:after="20"/>
              <w:jc w:val="both"/>
            </w:pPr>
            <w:r>
              <w:rPr>
                <w:sz w:val="18"/>
                <w:szCs w:val="18"/>
              </w:rPr>
              <w:t>Usa criterios imprecisos.</w:t>
            </w:r>
          </w:p>
        </w:tc>
        <w:tc>
          <w:tcPr>
            <w:tcW w:w="1860" w:type="dxa"/>
            <w:shd w:val="clear" w:color="auto" w:fill="D9E2F3"/>
            <w:vAlign w:val="center"/>
          </w:tcPr>
          <w:p w14:paraId="6188E882" w14:textId="77777777" w:rsidR="00990B14" w:rsidRDefault="00000000">
            <w:pPr>
              <w:spacing w:before="20" w:after="20"/>
              <w:jc w:val="both"/>
            </w:pPr>
            <w:r>
              <w:rPr>
                <w:sz w:val="18"/>
                <w:szCs w:val="18"/>
              </w:rPr>
              <w:t>Compara con criterios privados y ambientales.</w:t>
            </w:r>
          </w:p>
        </w:tc>
        <w:tc>
          <w:tcPr>
            <w:tcW w:w="2016" w:type="dxa"/>
            <w:shd w:val="clear" w:color="auto" w:fill="D9E2F3"/>
            <w:vAlign w:val="center"/>
          </w:tcPr>
          <w:p w14:paraId="5C4CA0E3" w14:textId="77777777" w:rsidR="00990B14" w:rsidRDefault="00000000">
            <w:pPr>
              <w:spacing w:before="20" w:after="20"/>
              <w:jc w:val="both"/>
            </w:pPr>
            <w:r>
              <w:rPr>
                <w:sz w:val="18"/>
                <w:szCs w:val="18"/>
              </w:rPr>
              <w:t>Pondera los criterios según la prioridad del país.</w:t>
            </w:r>
          </w:p>
        </w:tc>
      </w:tr>
      <w:tr w:rsidR="00990B14" w14:paraId="3AD4F021" w14:textId="77777777">
        <w:trPr>
          <w:cantSplit/>
          <w:jc w:val="center"/>
        </w:trPr>
        <w:tc>
          <w:tcPr>
            <w:tcW w:w="1809" w:type="dxa"/>
            <w:vMerge/>
            <w:shd w:val="clear" w:color="auto" w:fill="4472C4"/>
            <w:vAlign w:val="center"/>
          </w:tcPr>
          <w:p w14:paraId="5AA784A5" w14:textId="77777777" w:rsidR="00990B14" w:rsidRDefault="00990B14">
            <w:pPr>
              <w:spacing w:before="20" w:after="20"/>
            </w:pPr>
          </w:p>
        </w:tc>
        <w:tc>
          <w:tcPr>
            <w:tcW w:w="1860" w:type="dxa"/>
            <w:shd w:val="clear" w:color="auto" w:fill="D9E2F3"/>
            <w:vAlign w:val="center"/>
          </w:tcPr>
          <w:p w14:paraId="67988F46" w14:textId="77777777" w:rsidR="00990B14" w:rsidRDefault="00000000">
            <w:pPr>
              <w:spacing w:before="20" w:after="20"/>
              <w:jc w:val="both"/>
            </w:pPr>
            <w:r>
              <w:rPr>
                <w:sz w:val="18"/>
                <w:szCs w:val="18"/>
              </w:rPr>
              <w:t>Juicio crítico</w:t>
            </w:r>
          </w:p>
        </w:tc>
        <w:tc>
          <w:tcPr>
            <w:tcW w:w="1860" w:type="dxa"/>
            <w:shd w:val="clear" w:color="auto" w:fill="D9E2F3"/>
            <w:vAlign w:val="center"/>
          </w:tcPr>
          <w:p w14:paraId="62BD5F66" w14:textId="77777777" w:rsidR="00990B14" w:rsidRDefault="00000000">
            <w:pPr>
              <w:spacing w:before="20" w:after="20"/>
              <w:jc w:val="both"/>
            </w:pPr>
            <w:r>
              <w:rPr>
                <w:sz w:val="18"/>
                <w:szCs w:val="18"/>
              </w:rPr>
              <w:t>No emite juicio.</w:t>
            </w:r>
          </w:p>
        </w:tc>
        <w:tc>
          <w:tcPr>
            <w:tcW w:w="1860" w:type="dxa"/>
            <w:shd w:val="clear" w:color="auto" w:fill="D9E2F3"/>
            <w:vAlign w:val="center"/>
          </w:tcPr>
          <w:p w14:paraId="1601A645" w14:textId="77777777" w:rsidR="00990B14" w:rsidRDefault="00000000">
            <w:pPr>
              <w:spacing w:before="20" w:after="20"/>
              <w:jc w:val="both"/>
            </w:pPr>
            <w:r>
              <w:rPr>
                <w:sz w:val="18"/>
                <w:szCs w:val="18"/>
              </w:rPr>
              <w:t>Emite un juicio sobre cada proyecto.</w:t>
            </w:r>
          </w:p>
        </w:tc>
        <w:tc>
          <w:tcPr>
            <w:tcW w:w="2016" w:type="dxa"/>
            <w:shd w:val="clear" w:color="auto" w:fill="D9E2F3"/>
            <w:vAlign w:val="center"/>
          </w:tcPr>
          <w:p w14:paraId="58547337" w14:textId="77777777" w:rsidR="00990B14" w:rsidRDefault="00000000">
            <w:pPr>
              <w:spacing w:before="20" w:after="20"/>
              <w:jc w:val="both"/>
            </w:pPr>
            <w:r>
              <w:rPr>
                <w:sz w:val="18"/>
                <w:szCs w:val="18"/>
              </w:rPr>
              <w:t>Recomienda el proyecto con argumentos sólidos.</w:t>
            </w:r>
          </w:p>
        </w:tc>
      </w:tr>
      <w:tr w:rsidR="00990B14" w14:paraId="0A7ACE70" w14:textId="77777777">
        <w:trPr>
          <w:cantSplit/>
          <w:jc w:val="center"/>
        </w:trPr>
        <w:tc>
          <w:tcPr>
            <w:tcW w:w="1809" w:type="dxa"/>
            <w:vMerge/>
            <w:shd w:val="clear" w:color="auto" w:fill="4472C4"/>
            <w:vAlign w:val="center"/>
          </w:tcPr>
          <w:p w14:paraId="160CF217" w14:textId="77777777" w:rsidR="00990B14" w:rsidRDefault="00990B14">
            <w:pPr>
              <w:spacing w:before="20" w:after="20"/>
            </w:pPr>
          </w:p>
        </w:tc>
        <w:tc>
          <w:tcPr>
            <w:tcW w:w="1860" w:type="dxa"/>
            <w:shd w:val="clear" w:color="auto" w:fill="D9E2F3"/>
            <w:vAlign w:val="center"/>
          </w:tcPr>
          <w:p w14:paraId="09B01681" w14:textId="77777777" w:rsidR="00990B14" w:rsidRDefault="00000000">
            <w:pPr>
              <w:spacing w:before="20" w:after="20"/>
              <w:jc w:val="both"/>
            </w:pPr>
            <w:r>
              <w:rPr>
                <w:sz w:val="18"/>
                <w:szCs w:val="18"/>
              </w:rPr>
              <w:t>Terminología técnica</w:t>
            </w:r>
          </w:p>
        </w:tc>
        <w:tc>
          <w:tcPr>
            <w:tcW w:w="1860" w:type="dxa"/>
            <w:shd w:val="clear" w:color="auto" w:fill="D9E2F3"/>
            <w:vAlign w:val="center"/>
          </w:tcPr>
          <w:p w14:paraId="435C048A" w14:textId="77777777" w:rsidR="00990B14" w:rsidRDefault="00000000">
            <w:pPr>
              <w:spacing w:before="20" w:after="20"/>
              <w:jc w:val="both"/>
            </w:pPr>
            <w:r>
              <w:rPr>
                <w:sz w:val="18"/>
                <w:szCs w:val="18"/>
              </w:rPr>
              <w:t>Usa términos imprecisos.</w:t>
            </w:r>
          </w:p>
        </w:tc>
        <w:tc>
          <w:tcPr>
            <w:tcW w:w="1860" w:type="dxa"/>
            <w:shd w:val="clear" w:color="auto" w:fill="D9E2F3"/>
            <w:vAlign w:val="center"/>
          </w:tcPr>
          <w:p w14:paraId="3C270C62" w14:textId="77777777" w:rsidR="00990B14" w:rsidRDefault="00000000">
            <w:pPr>
              <w:spacing w:before="20" w:after="20"/>
              <w:jc w:val="both"/>
            </w:pPr>
            <w:r>
              <w:rPr>
                <w:sz w:val="18"/>
                <w:szCs w:val="18"/>
              </w:rPr>
              <w:t>Usa con propiedad la terminología de proyectos.</w:t>
            </w:r>
          </w:p>
        </w:tc>
        <w:tc>
          <w:tcPr>
            <w:tcW w:w="2016" w:type="dxa"/>
            <w:shd w:val="clear" w:color="auto" w:fill="D9E2F3"/>
            <w:vAlign w:val="center"/>
          </w:tcPr>
          <w:p w14:paraId="4112D4CF" w14:textId="77777777" w:rsidR="00990B14" w:rsidRDefault="00000000">
            <w:pPr>
              <w:spacing w:before="20" w:after="20"/>
              <w:jc w:val="both"/>
            </w:pPr>
            <w:r>
              <w:rPr>
                <w:sz w:val="18"/>
                <w:szCs w:val="18"/>
              </w:rPr>
              <w:t>Incorpora la terminología de manera correcta.</w:t>
            </w:r>
          </w:p>
        </w:tc>
      </w:tr>
      <w:tr w:rsidR="00990B14" w14:paraId="57795563" w14:textId="77777777">
        <w:trPr>
          <w:cantSplit/>
          <w:jc w:val="center"/>
        </w:trPr>
        <w:tc>
          <w:tcPr>
            <w:tcW w:w="1809" w:type="dxa"/>
            <w:vMerge/>
            <w:shd w:val="clear" w:color="auto" w:fill="4472C4"/>
            <w:vAlign w:val="center"/>
          </w:tcPr>
          <w:p w14:paraId="244E4BDF" w14:textId="77777777" w:rsidR="00990B14" w:rsidRDefault="00990B14">
            <w:pPr>
              <w:spacing w:before="20" w:after="20"/>
            </w:pPr>
          </w:p>
        </w:tc>
        <w:tc>
          <w:tcPr>
            <w:tcW w:w="5580" w:type="dxa"/>
            <w:gridSpan w:val="3"/>
            <w:shd w:val="clear" w:color="auto" w:fill="D9E2F3"/>
            <w:vAlign w:val="center"/>
          </w:tcPr>
          <w:p w14:paraId="6AC171CA" w14:textId="77777777" w:rsidR="00990B14" w:rsidRDefault="00000000">
            <w:pPr>
              <w:keepNext/>
              <w:spacing w:before="20" w:after="20"/>
              <w:jc w:val="both"/>
            </w:pPr>
            <w:r>
              <w:rPr>
                <w:b/>
                <w:bCs/>
                <w:i/>
                <w:iCs/>
                <w:sz w:val="18"/>
                <w:szCs w:val="18"/>
              </w:rPr>
              <w:t xml:space="preserve">Producto 5: </w:t>
            </w:r>
            <w:r>
              <w:rPr>
                <w:sz w:val="18"/>
                <w:szCs w:val="18"/>
              </w:rPr>
              <w:t>Informe de investigación de mercado</w:t>
            </w:r>
          </w:p>
        </w:tc>
        <w:tc>
          <w:tcPr>
            <w:tcW w:w="2016" w:type="dxa"/>
            <w:shd w:val="clear" w:color="auto" w:fill="D9E2F3"/>
            <w:vAlign w:val="center"/>
          </w:tcPr>
          <w:p w14:paraId="1A37530A" w14:textId="77777777" w:rsidR="00990B14" w:rsidRDefault="00000000">
            <w:pPr>
              <w:spacing w:before="20" w:after="20"/>
              <w:jc w:val="center"/>
            </w:pPr>
            <w:r>
              <w:rPr>
                <w:b/>
                <w:bCs/>
                <w:sz w:val="18"/>
                <w:szCs w:val="18"/>
              </w:rPr>
              <w:t>10%</w:t>
            </w:r>
          </w:p>
        </w:tc>
      </w:tr>
      <w:tr w:rsidR="00990B14" w14:paraId="26544B40" w14:textId="77777777">
        <w:trPr>
          <w:cantSplit/>
          <w:jc w:val="center"/>
        </w:trPr>
        <w:tc>
          <w:tcPr>
            <w:tcW w:w="1809" w:type="dxa"/>
            <w:vMerge/>
            <w:shd w:val="clear" w:color="auto" w:fill="4472C4"/>
            <w:vAlign w:val="center"/>
          </w:tcPr>
          <w:p w14:paraId="64CD9DFD" w14:textId="77777777" w:rsidR="00990B14" w:rsidRDefault="00990B14">
            <w:pPr>
              <w:spacing w:before="20" w:after="20"/>
            </w:pPr>
          </w:p>
        </w:tc>
        <w:tc>
          <w:tcPr>
            <w:tcW w:w="1860" w:type="dxa"/>
            <w:shd w:val="clear" w:color="auto" w:fill="4472C4"/>
            <w:vAlign w:val="center"/>
          </w:tcPr>
          <w:p w14:paraId="3F32E9BF" w14:textId="77777777" w:rsidR="00990B14" w:rsidRDefault="00000000">
            <w:pPr>
              <w:keepNext/>
              <w:spacing w:before="20" w:after="20"/>
              <w:jc w:val="center"/>
            </w:pPr>
            <w:r>
              <w:rPr>
                <w:b/>
                <w:bCs/>
                <w:i/>
                <w:iCs/>
                <w:color w:val="FFFFFF"/>
                <w:sz w:val="18"/>
                <w:szCs w:val="18"/>
              </w:rPr>
              <w:t>Criterio</w:t>
            </w:r>
          </w:p>
        </w:tc>
        <w:tc>
          <w:tcPr>
            <w:tcW w:w="1860" w:type="dxa"/>
            <w:shd w:val="clear" w:color="auto" w:fill="4472C4"/>
            <w:vAlign w:val="center"/>
          </w:tcPr>
          <w:p w14:paraId="1F3E2160" w14:textId="77777777" w:rsidR="00990B14" w:rsidRDefault="00000000">
            <w:pPr>
              <w:keepNext/>
              <w:spacing w:before="20" w:after="20"/>
              <w:jc w:val="center"/>
            </w:pPr>
            <w:r>
              <w:rPr>
                <w:b/>
                <w:bCs/>
                <w:i/>
                <w:iCs/>
                <w:color w:val="FFFFFF"/>
                <w:sz w:val="18"/>
                <w:szCs w:val="18"/>
              </w:rPr>
              <w:t>Insuficiente (1–50)</w:t>
            </w:r>
          </w:p>
        </w:tc>
        <w:tc>
          <w:tcPr>
            <w:tcW w:w="1860" w:type="dxa"/>
            <w:shd w:val="clear" w:color="auto" w:fill="4472C4"/>
            <w:vAlign w:val="center"/>
          </w:tcPr>
          <w:p w14:paraId="2D932350" w14:textId="77777777" w:rsidR="00990B14" w:rsidRDefault="00000000">
            <w:pPr>
              <w:keepNext/>
              <w:spacing w:before="20" w:after="20"/>
              <w:jc w:val="center"/>
            </w:pPr>
            <w:r>
              <w:rPr>
                <w:b/>
                <w:bCs/>
                <w:i/>
                <w:iCs/>
                <w:color w:val="FFFFFF"/>
                <w:sz w:val="18"/>
                <w:szCs w:val="18"/>
              </w:rPr>
              <w:t>Suficiente (51–80)</w:t>
            </w:r>
          </w:p>
        </w:tc>
        <w:tc>
          <w:tcPr>
            <w:tcW w:w="2016" w:type="dxa"/>
            <w:shd w:val="clear" w:color="auto" w:fill="4472C4"/>
            <w:vAlign w:val="center"/>
          </w:tcPr>
          <w:p w14:paraId="00BE79D3" w14:textId="77777777" w:rsidR="00990B14" w:rsidRDefault="00000000">
            <w:pPr>
              <w:keepNext/>
              <w:spacing w:before="20" w:after="20"/>
              <w:jc w:val="center"/>
            </w:pPr>
            <w:r>
              <w:rPr>
                <w:b/>
                <w:bCs/>
                <w:i/>
                <w:iCs/>
                <w:color w:val="FFFFFF"/>
                <w:sz w:val="18"/>
                <w:szCs w:val="18"/>
              </w:rPr>
              <w:t>Destacado (81–100)</w:t>
            </w:r>
          </w:p>
        </w:tc>
      </w:tr>
      <w:tr w:rsidR="00990B14" w14:paraId="0EE2C62C" w14:textId="77777777">
        <w:trPr>
          <w:cantSplit/>
          <w:jc w:val="center"/>
        </w:trPr>
        <w:tc>
          <w:tcPr>
            <w:tcW w:w="1809" w:type="dxa"/>
            <w:vMerge/>
            <w:shd w:val="clear" w:color="auto" w:fill="4472C4"/>
            <w:vAlign w:val="center"/>
          </w:tcPr>
          <w:p w14:paraId="0AD7A78D" w14:textId="77777777" w:rsidR="00990B14" w:rsidRDefault="00990B14">
            <w:pPr>
              <w:spacing w:before="20" w:after="20"/>
            </w:pPr>
          </w:p>
        </w:tc>
        <w:tc>
          <w:tcPr>
            <w:tcW w:w="1860" w:type="dxa"/>
            <w:shd w:val="clear" w:color="auto" w:fill="D9E2F3"/>
            <w:vAlign w:val="center"/>
          </w:tcPr>
          <w:p w14:paraId="0E438E46" w14:textId="77777777" w:rsidR="00990B14" w:rsidRDefault="00000000">
            <w:pPr>
              <w:spacing w:before="20" w:after="20"/>
              <w:jc w:val="both"/>
            </w:pPr>
            <w:r>
              <w:rPr>
                <w:sz w:val="18"/>
                <w:szCs w:val="18"/>
              </w:rPr>
              <w:t>Diseño de la investigación</w:t>
            </w:r>
          </w:p>
        </w:tc>
        <w:tc>
          <w:tcPr>
            <w:tcW w:w="1860" w:type="dxa"/>
            <w:shd w:val="clear" w:color="auto" w:fill="D9E2F3"/>
            <w:vAlign w:val="center"/>
          </w:tcPr>
          <w:p w14:paraId="50B5DE8B" w14:textId="77777777" w:rsidR="00990B14" w:rsidRDefault="00000000">
            <w:pPr>
              <w:spacing w:before="20" w:after="20"/>
              <w:jc w:val="both"/>
            </w:pPr>
            <w:r>
              <w:rPr>
                <w:sz w:val="18"/>
                <w:szCs w:val="18"/>
              </w:rPr>
              <w:t>No define la información requerida.</w:t>
            </w:r>
          </w:p>
        </w:tc>
        <w:tc>
          <w:tcPr>
            <w:tcW w:w="1860" w:type="dxa"/>
            <w:shd w:val="clear" w:color="auto" w:fill="D9E2F3"/>
            <w:vAlign w:val="center"/>
          </w:tcPr>
          <w:p w14:paraId="6C276B26" w14:textId="77777777" w:rsidR="00990B14" w:rsidRDefault="00000000">
            <w:pPr>
              <w:spacing w:before="20" w:after="20"/>
              <w:jc w:val="both"/>
            </w:pPr>
            <w:r>
              <w:rPr>
                <w:sz w:val="18"/>
                <w:szCs w:val="18"/>
              </w:rPr>
              <w:t>Aplica técnicas cualitativas y cuantitativas pertinentes.</w:t>
            </w:r>
          </w:p>
        </w:tc>
        <w:tc>
          <w:tcPr>
            <w:tcW w:w="2016" w:type="dxa"/>
            <w:shd w:val="clear" w:color="auto" w:fill="D9E2F3"/>
            <w:vAlign w:val="center"/>
          </w:tcPr>
          <w:p w14:paraId="3F46817F" w14:textId="77777777" w:rsidR="00990B14" w:rsidRDefault="00000000">
            <w:pPr>
              <w:spacing w:before="20" w:after="20"/>
              <w:jc w:val="both"/>
            </w:pPr>
            <w:r>
              <w:rPr>
                <w:sz w:val="18"/>
                <w:szCs w:val="18"/>
              </w:rPr>
              <w:t>Justifica la elección de cada técnica.</w:t>
            </w:r>
          </w:p>
        </w:tc>
      </w:tr>
      <w:tr w:rsidR="00990B14" w14:paraId="72CCDD7C" w14:textId="77777777">
        <w:trPr>
          <w:cantSplit/>
          <w:jc w:val="center"/>
        </w:trPr>
        <w:tc>
          <w:tcPr>
            <w:tcW w:w="1809" w:type="dxa"/>
            <w:vMerge/>
            <w:shd w:val="clear" w:color="auto" w:fill="4472C4"/>
            <w:vAlign w:val="center"/>
          </w:tcPr>
          <w:p w14:paraId="2CD94214" w14:textId="77777777" w:rsidR="00990B14" w:rsidRDefault="00990B14">
            <w:pPr>
              <w:spacing w:before="20" w:after="20"/>
            </w:pPr>
          </w:p>
        </w:tc>
        <w:tc>
          <w:tcPr>
            <w:tcW w:w="1860" w:type="dxa"/>
            <w:shd w:val="clear" w:color="auto" w:fill="D9E2F3"/>
            <w:vAlign w:val="center"/>
          </w:tcPr>
          <w:p w14:paraId="25C8C6AB" w14:textId="77777777" w:rsidR="00990B14" w:rsidRDefault="00000000">
            <w:pPr>
              <w:spacing w:before="20" w:after="20"/>
              <w:jc w:val="both"/>
            </w:pPr>
            <w:r>
              <w:rPr>
                <w:sz w:val="18"/>
                <w:szCs w:val="18"/>
              </w:rPr>
              <w:t>Análisis del mercado</w:t>
            </w:r>
          </w:p>
        </w:tc>
        <w:tc>
          <w:tcPr>
            <w:tcW w:w="1860" w:type="dxa"/>
            <w:shd w:val="clear" w:color="auto" w:fill="D9E2F3"/>
            <w:vAlign w:val="center"/>
          </w:tcPr>
          <w:p w14:paraId="227A59F3" w14:textId="77777777" w:rsidR="00990B14" w:rsidRDefault="00000000">
            <w:pPr>
              <w:spacing w:before="20" w:after="20"/>
              <w:jc w:val="both"/>
            </w:pPr>
            <w:r>
              <w:rPr>
                <w:sz w:val="18"/>
                <w:szCs w:val="18"/>
              </w:rPr>
              <w:t>Describe el mercado sin analizarlo.</w:t>
            </w:r>
          </w:p>
        </w:tc>
        <w:tc>
          <w:tcPr>
            <w:tcW w:w="1860" w:type="dxa"/>
            <w:shd w:val="clear" w:color="auto" w:fill="D9E2F3"/>
            <w:vAlign w:val="center"/>
          </w:tcPr>
          <w:p w14:paraId="4AD99239" w14:textId="77777777" w:rsidR="00990B14" w:rsidRDefault="00000000">
            <w:pPr>
              <w:spacing w:before="20" w:after="20"/>
              <w:jc w:val="both"/>
            </w:pPr>
            <w:r>
              <w:rPr>
                <w:sz w:val="18"/>
                <w:szCs w:val="18"/>
              </w:rPr>
              <w:t>Caracteriza la oferta, la demanda y los precios.</w:t>
            </w:r>
          </w:p>
        </w:tc>
        <w:tc>
          <w:tcPr>
            <w:tcW w:w="2016" w:type="dxa"/>
            <w:shd w:val="clear" w:color="auto" w:fill="D9E2F3"/>
            <w:vAlign w:val="center"/>
          </w:tcPr>
          <w:p w14:paraId="17CB7179" w14:textId="77777777" w:rsidR="00990B14" w:rsidRDefault="00000000">
            <w:pPr>
              <w:spacing w:before="20" w:after="20"/>
              <w:jc w:val="both"/>
            </w:pPr>
            <w:r>
              <w:rPr>
                <w:sz w:val="18"/>
                <w:szCs w:val="18"/>
              </w:rPr>
              <w:t>Identifica la demanda insatisfecha.</w:t>
            </w:r>
          </w:p>
        </w:tc>
      </w:tr>
      <w:tr w:rsidR="00990B14" w14:paraId="3620CAE5" w14:textId="77777777">
        <w:trPr>
          <w:cantSplit/>
          <w:jc w:val="center"/>
        </w:trPr>
        <w:tc>
          <w:tcPr>
            <w:tcW w:w="1809" w:type="dxa"/>
            <w:vMerge/>
            <w:shd w:val="clear" w:color="auto" w:fill="4472C4"/>
            <w:vAlign w:val="center"/>
          </w:tcPr>
          <w:p w14:paraId="3859D688" w14:textId="77777777" w:rsidR="00990B14" w:rsidRDefault="00990B14">
            <w:pPr>
              <w:spacing w:before="20" w:after="20"/>
            </w:pPr>
          </w:p>
        </w:tc>
        <w:tc>
          <w:tcPr>
            <w:tcW w:w="1860" w:type="dxa"/>
            <w:shd w:val="clear" w:color="auto" w:fill="D9E2F3"/>
            <w:vAlign w:val="center"/>
          </w:tcPr>
          <w:p w14:paraId="6987FC3D" w14:textId="77777777" w:rsidR="00990B14" w:rsidRDefault="00000000">
            <w:pPr>
              <w:spacing w:before="20" w:after="20"/>
              <w:jc w:val="both"/>
            </w:pPr>
            <w:r>
              <w:rPr>
                <w:sz w:val="18"/>
                <w:szCs w:val="18"/>
              </w:rPr>
              <w:t>Fiabilidad de fuentes</w:t>
            </w:r>
          </w:p>
        </w:tc>
        <w:tc>
          <w:tcPr>
            <w:tcW w:w="1860" w:type="dxa"/>
            <w:shd w:val="clear" w:color="auto" w:fill="D9E2F3"/>
            <w:vAlign w:val="center"/>
          </w:tcPr>
          <w:p w14:paraId="20E4B263" w14:textId="77777777" w:rsidR="00990B14" w:rsidRDefault="00000000">
            <w:pPr>
              <w:spacing w:before="20" w:after="20"/>
              <w:jc w:val="both"/>
            </w:pPr>
            <w:r>
              <w:rPr>
                <w:sz w:val="18"/>
                <w:szCs w:val="18"/>
              </w:rPr>
              <w:t>Usa fuentes no verificadas.</w:t>
            </w:r>
          </w:p>
        </w:tc>
        <w:tc>
          <w:tcPr>
            <w:tcW w:w="1860" w:type="dxa"/>
            <w:shd w:val="clear" w:color="auto" w:fill="D9E2F3"/>
            <w:vAlign w:val="center"/>
          </w:tcPr>
          <w:p w14:paraId="009C4DF8" w14:textId="77777777" w:rsidR="00990B14" w:rsidRDefault="00000000">
            <w:pPr>
              <w:spacing w:before="20" w:after="20"/>
              <w:jc w:val="both"/>
            </w:pPr>
            <w:r>
              <w:rPr>
                <w:sz w:val="18"/>
                <w:szCs w:val="18"/>
              </w:rPr>
              <w:t>Usa fuentes confiables y citadas.</w:t>
            </w:r>
          </w:p>
        </w:tc>
        <w:tc>
          <w:tcPr>
            <w:tcW w:w="2016" w:type="dxa"/>
            <w:shd w:val="clear" w:color="auto" w:fill="D9E2F3"/>
            <w:vAlign w:val="center"/>
          </w:tcPr>
          <w:p w14:paraId="0767D9F2" w14:textId="77777777" w:rsidR="00990B14" w:rsidRDefault="00000000">
            <w:pPr>
              <w:spacing w:before="20" w:after="20"/>
              <w:jc w:val="both"/>
            </w:pPr>
            <w:r>
              <w:rPr>
                <w:sz w:val="18"/>
                <w:szCs w:val="18"/>
              </w:rPr>
              <w:t>Evalúa los sesgos de las fuentes empleadas.</w:t>
            </w:r>
          </w:p>
        </w:tc>
      </w:tr>
      <w:tr w:rsidR="00990B14" w14:paraId="20657724" w14:textId="77777777">
        <w:trPr>
          <w:cantSplit/>
          <w:jc w:val="center"/>
        </w:trPr>
        <w:tc>
          <w:tcPr>
            <w:tcW w:w="1809" w:type="dxa"/>
            <w:vMerge/>
            <w:shd w:val="clear" w:color="auto" w:fill="4472C4"/>
            <w:vAlign w:val="center"/>
          </w:tcPr>
          <w:p w14:paraId="23147817" w14:textId="77777777" w:rsidR="00990B14" w:rsidRDefault="00990B14">
            <w:pPr>
              <w:spacing w:before="20" w:after="20"/>
            </w:pPr>
          </w:p>
        </w:tc>
        <w:tc>
          <w:tcPr>
            <w:tcW w:w="5580" w:type="dxa"/>
            <w:gridSpan w:val="3"/>
            <w:shd w:val="clear" w:color="auto" w:fill="D9E2F3"/>
            <w:vAlign w:val="center"/>
          </w:tcPr>
          <w:p w14:paraId="634FD1AF" w14:textId="77777777" w:rsidR="00990B14" w:rsidRDefault="00000000">
            <w:pPr>
              <w:keepNext/>
              <w:spacing w:before="20" w:after="20"/>
              <w:jc w:val="both"/>
            </w:pPr>
            <w:r>
              <w:rPr>
                <w:b/>
                <w:bCs/>
                <w:i/>
                <w:iCs/>
                <w:sz w:val="18"/>
                <w:szCs w:val="18"/>
              </w:rPr>
              <w:t xml:space="preserve">Producto 6: </w:t>
            </w:r>
            <w:r>
              <w:rPr>
                <w:sz w:val="18"/>
                <w:szCs w:val="18"/>
              </w:rPr>
              <w:t>Proyección de la demanda</w:t>
            </w:r>
          </w:p>
        </w:tc>
        <w:tc>
          <w:tcPr>
            <w:tcW w:w="2016" w:type="dxa"/>
            <w:shd w:val="clear" w:color="auto" w:fill="D9E2F3"/>
            <w:vAlign w:val="center"/>
          </w:tcPr>
          <w:p w14:paraId="082C23C8" w14:textId="77777777" w:rsidR="00990B14" w:rsidRDefault="00000000">
            <w:pPr>
              <w:spacing w:before="20" w:after="20"/>
              <w:jc w:val="center"/>
            </w:pPr>
            <w:r>
              <w:rPr>
                <w:b/>
                <w:bCs/>
                <w:sz w:val="18"/>
                <w:szCs w:val="18"/>
              </w:rPr>
              <w:t>4%</w:t>
            </w:r>
          </w:p>
        </w:tc>
      </w:tr>
      <w:tr w:rsidR="00990B14" w14:paraId="2D997FA0" w14:textId="77777777">
        <w:trPr>
          <w:cantSplit/>
          <w:jc w:val="center"/>
        </w:trPr>
        <w:tc>
          <w:tcPr>
            <w:tcW w:w="1809" w:type="dxa"/>
            <w:vMerge/>
            <w:shd w:val="clear" w:color="auto" w:fill="4472C4"/>
            <w:vAlign w:val="center"/>
          </w:tcPr>
          <w:p w14:paraId="6F985E7E" w14:textId="77777777" w:rsidR="00990B14" w:rsidRDefault="00990B14">
            <w:pPr>
              <w:spacing w:before="20" w:after="20"/>
            </w:pPr>
          </w:p>
        </w:tc>
        <w:tc>
          <w:tcPr>
            <w:tcW w:w="1860" w:type="dxa"/>
            <w:shd w:val="clear" w:color="auto" w:fill="4472C4"/>
            <w:vAlign w:val="center"/>
          </w:tcPr>
          <w:p w14:paraId="436DED60" w14:textId="77777777" w:rsidR="00990B14" w:rsidRDefault="00000000">
            <w:pPr>
              <w:keepNext/>
              <w:spacing w:before="20" w:after="20"/>
              <w:jc w:val="center"/>
            </w:pPr>
            <w:r>
              <w:rPr>
                <w:b/>
                <w:bCs/>
                <w:i/>
                <w:iCs/>
                <w:color w:val="FFFFFF"/>
                <w:sz w:val="18"/>
                <w:szCs w:val="18"/>
              </w:rPr>
              <w:t>Criterio</w:t>
            </w:r>
          </w:p>
        </w:tc>
        <w:tc>
          <w:tcPr>
            <w:tcW w:w="1860" w:type="dxa"/>
            <w:shd w:val="clear" w:color="auto" w:fill="4472C4"/>
            <w:vAlign w:val="center"/>
          </w:tcPr>
          <w:p w14:paraId="6B386167" w14:textId="77777777" w:rsidR="00990B14" w:rsidRDefault="00000000">
            <w:pPr>
              <w:keepNext/>
              <w:spacing w:before="20" w:after="20"/>
              <w:jc w:val="center"/>
            </w:pPr>
            <w:r>
              <w:rPr>
                <w:b/>
                <w:bCs/>
                <w:i/>
                <w:iCs/>
                <w:color w:val="FFFFFF"/>
                <w:sz w:val="18"/>
                <w:szCs w:val="18"/>
              </w:rPr>
              <w:t>Insuficiente (1–50)</w:t>
            </w:r>
          </w:p>
        </w:tc>
        <w:tc>
          <w:tcPr>
            <w:tcW w:w="1860" w:type="dxa"/>
            <w:shd w:val="clear" w:color="auto" w:fill="4472C4"/>
            <w:vAlign w:val="center"/>
          </w:tcPr>
          <w:p w14:paraId="6CFD8AFA" w14:textId="77777777" w:rsidR="00990B14" w:rsidRDefault="00000000">
            <w:pPr>
              <w:keepNext/>
              <w:spacing w:before="20" w:after="20"/>
              <w:jc w:val="center"/>
            </w:pPr>
            <w:r>
              <w:rPr>
                <w:b/>
                <w:bCs/>
                <w:i/>
                <w:iCs/>
                <w:color w:val="FFFFFF"/>
                <w:sz w:val="18"/>
                <w:szCs w:val="18"/>
              </w:rPr>
              <w:t>Suficiente (51–80)</w:t>
            </w:r>
          </w:p>
        </w:tc>
        <w:tc>
          <w:tcPr>
            <w:tcW w:w="2016" w:type="dxa"/>
            <w:shd w:val="clear" w:color="auto" w:fill="4472C4"/>
            <w:vAlign w:val="center"/>
          </w:tcPr>
          <w:p w14:paraId="55C97BA6" w14:textId="77777777" w:rsidR="00990B14" w:rsidRDefault="00000000">
            <w:pPr>
              <w:keepNext/>
              <w:spacing w:before="20" w:after="20"/>
              <w:jc w:val="center"/>
            </w:pPr>
            <w:r>
              <w:rPr>
                <w:b/>
                <w:bCs/>
                <w:i/>
                <w:iCs/>
                <w:color w:val="FFFFFF"/>
                <w:sz w:val="18"/>
                <w:szCs w:val="18"/>
              </w:rPr>
              <w:t>Destacado (81–100)</w:t>
            </w:r>
          </w:p>
        </w:tc>
      </w:tr>
      <w:tr w:rsidR="00990B14" w14:paraId="2112DB67" w14:textId="77777777">
        <w:trPr>
          <w:cantSplit/>
          <w:jc w:val="center"/>
        </w:trPr>
        <w:tc>
          <w:tcPr>
            <w:tcW w:w="1809" w:type="dxa"/>
            <w:vMerge/>
            <w:shd w:val="clear" w:color="auto" w:fill="4472C4"/>
            <w:vAlign w:val="center"/>
          </w:tcPr>
          <w:p w14:paraId="74C1DB50" w14:textId="77777777" w:rsidR="00990B14" w:rsidRDefault="00990B14">
            <w:pPr>
              <w:spacing w:before="20" w:after="20"/>
            </w:pPr>
          </w:p>
        </w:tc>
        <w:tc>
          <w:tcPr>
            <w:tcW w:w="1860" w:type="dxa"/>
            <w:shd w:val="clear" w:color="auto" w:fill="D9E2F3"/>
            <w:vAlign w:val="center"/>
          </w:tcPr>
          <w:p w14:paraId="4C078320" w14:textId="77777777" w:rsidR="00990B14" w:rsidRDefault="00000000">
            <w:pPr>
              <w:spacing w:before="20" w:after="20"/>
              <w:jc w:val="both"/>
            </w:pPr>
            <w:r>
              <w:rPr>
                <w:sz w:val="18"/>
                <w:szCs w:val="18"/>
              </w:rPr>
              <w:t>Consumo aparente</w:t>
            </w:r>
          </w:p>
        </w:tc>
        <w:tc>
          <w:tcPr>
            <w:tcW w:w="1860" w:type="dxa"/>
            <w:shd w:val="clear" w:color="auto" w:fill="D9E2F3"/>
            <w:vAlign w:val="center"/>
          </w:tcPr>
          <w:p w14:paraId="573E2E3A" w14:textId="77777777" w:rsidR="00990B14" w:rsidRDefault="00000000">
            <w:pPr>
              <w:spacing w:before="20" w:after="20"/>
              <w:jc w:val="both"/>
            </w:pPr>
            <w:r>
              <w:rPr>
                <w:sz w:val="18"/>
                <w:szCs w:val="18"/>
              </w:rPr>
              <w:t>Calcula mal el consumo aparente.</w:t>
            </w:r>
          </w:p>
        </w:tc>
        <w:tc>
          <w:tcPr>
            <w:tcW w:w="1860" w:type="dxa"/>
            <w:shd w:val="clear" w:color="auto" w:fill="D9E2F3"/>
            <w:vAlign w:val="center"/>
          </w:tcPr>
          <w:p w14:paraId="07804B7A" w14:textId="77777777" w:rsidR="00990B14" w:rsidRDefault="00000000">
            <w:pPr>
              <w:spacing w:before="20" w:after="20"/>
              <w:jc w:val="both"/>
            </w:pPr>
            <w:r>
              <w:rPr>
                <w:sz w:val="18"/>
                <w:szCs w:val="18"/>
              </w:rPr>
              <w:t>Calcula el consumo aparente con la producción y el comercio exterior.</w:t>
            </w:r>
          </w:p>
        </w:tc>
        <w:tc>
          <w:tcPr>
            <w:tcW w:w="2016" w:type="dxa"/>
            <w:shd w:val="clear" w:color="auto" w:fill="D9E2F3"/>
            <w:vAlign w:val="center"/>
          </w:tcPr>
          <w:p w14:paraId="5FDC4A14" w14:textId="77777777" w:rsidR="00990B14" w:rsidRDefault="00000000">
            <w:pPr>
              <w:spacing w:before="20" w:after="20"/>
              <w:jc w:val="both"/>
            </w:pPr>
            <w:r>
              <w:rPr>
                <w:sz w:val="18"/>
                <w:szCs w:val="18"/>
              </w:rPr>
              <w:t>Depura la serie de datos atípicos.</w:t>
            </w:r>
          </w:p>
        </w:tc>
      </w:tr>
      <w:tr w:rsidR="00990B14" w14:paraId="0FA3C075" w14:textId="77777777">
        <w:trPr>
          <w:cantSplit/>
          <w:jc w:val="center"/>
        </w:trPr>
        <w:tc>
          <w:tcPr>
            <w:tcW w:w="1809" w:type="dxa"/>
            <w:vMerge/>
            <w:shd w:val="clear" w:color="auto" w:fill="4472C4"/>
            <w:vAlign w:val="center"/>
          </w:tcPr>
          <w:p w14:paraId="6B77B4BD" w14:textId="77777777" w:rsidR="00990B14" w:rsidRDefault="00990B14">
            <w:pPr>
              <w:spacing w:before="20" w:after="20"/>
            </w:pPr>
          </w:p>
        </w:tc>
        <w:tc>
          <w:tcPr>
            <w:tcW w:w="1860" w:type="dxa"/>
            <w:shd w:val="clear" w:color="auto" w:fill="D9E2F3"/>
            <w:vAlign w:val="center"/>
          </w:tcPr>
          <w:p w14:paraId="6A5DAAF2" w14:textId="77777777" w:rsidR="00990B14" w:rsidRDefault="00000000">
            <w:pPr>
              <w:spacing w:before="20" w:after="20"/>
              <w:jc w:val="both"/>
            </w:pPr>
            <w:r>
              <w:rPr>
                <w:sz w:val="18"/>
                <w:szCs w:val="18"/>
              </w:rPr>
              <w:t>Método de proyección</w:t>
            </w:r>
          </w:p>
        </w:tc>
        <w:tc>
          <w:tcPr>
            <w:tcW w:w="1860" w:type="dxa"/>
            <w:shd w:val="clear" w:color="auto" w:fill="D9E2F3"/>
            <w:vAlign w:val="center"/>
          </w:tcPr>
          <w:p w14:paraId="26740286" w14:textId="77777777" w:rsidR="00990B14" w:rsidRDefault="00000000">
            <w:pPr>
              <w:spacing w:before="20" w:after="20"/>
              <w:jc w:val="both"/>
            </w:pPr>
            <w:r>
              <w:rPr>
                <w:sz w:val="18"/>
                <w:szCs w:val="18"/>
              </w:rPr>
              <w:t>Aplica un método sin justificarlo.</w:t>
            </w:r>
          </w:p>
        </w:tc>
        <w:tc>
          <w:tcPr>
            <w:tcW w:w="1860" w:type="dxa"/>
            <w:shd w:val="clear" w:color="auto" w:fill="D9E2F3"/>
            <w:vAlign w:val="center"/>
          </w:tcPr>
          <w:p w14:paraId="4B9184C7" w14:textId="77777777" w:rsidR="00990B14" w:rsidRDefault="00000000">
            <w:pPr>
              <w:spacing w:before="20" w:after="20"/>
              <w:jc w:val="both"/>
            </w:pPr>
            <w:r>
              <w:rPr>
                <w:sz w:val="18"/>
                <w:szCs w:val="18"/>
              </w:rPr>
              <w:t>Aplica un método de proyección adecuado.</w:t>
            </w:r>
          </w:p>
        </w:tc>
        <w:tc>
          <w:tcPr>
            <w:tcW w:w="2016" w:type="dxa"/>
            <w:shd w:val="clear" w:color="auto" w:fill="D9E2F3"/>
            <w:vAlign w:val="center"/>
          </w:tcPr>
          <w:p w14:paraId="289FA5AE" w14:textId="77777777" w:rsidR="00990B14" w:rsidRDefault="00000000">
            <w:pPr>
              <w:spacing w:before="20" w:after="20"/>
              <w:jc w:val="both"/>
            </w:pPr>
            <w:r>
              <w:rPr>
                <w:sz w:val="18"/>
                <w:szCs w:val="18"/>
              </w:rPr>
              <w:t>Compara métodos y elige el de mejor ajuste.</w:t>
            </w:r>
          </w:p>
        </w:tc>
      </w:tr>
      <w:tr w:rsidR="00990B14" w14:paraId="26FACA82" w14:textId="77777777">
        <w:trPr>
          <w:cantSplit/>
          <w:jc w:val="center"/>
        </w:trPr>
        <w:tc>
          <w:tcPr>
            <w:tcW w:w="1809" w:type="dxa"/>
            <w:vMerge/>
            <w:shd w:val="clear" w:color="auto" w:fill="4472C4"/>
            <w:vAlign w:val="center"/>
          </w:tcPr>
          <w:p w14:paraId="181AFD7B" w14:textId="77777777" w:rsidR="00990B14" w:rsidRDefault="00990B14">
            <w:pPr>
              <w:spacing w:before="20" w:after="20"/>
            </w:pPr>
          </w:p>
        </w:tc>
        <w:tc>
          <w:tcPr>
            <w:tcW w:w="1860" w:type="dxa"/>
            <w:shd w:val="clear" w:color="auto" w:fill="D9E2F3"/>
            <w:vAlign w:val="center"/>
          </w:tcPr>
          <w:p w14:paraId="5E7B1B44" w14:textId="77777777" w:rsidR="00990B14" w:rsidRDefault="00000000">
            <w:pPr>
              <w:spacing w:before="20" w:after="20"/>
              <w:jc w:val="both"/>
            </w:pPr>
            <w:r>
              <w:rPr>
                <w:sz w:val="18"/>
                <w:szCs w:val="18"/>
              </w:rPr>
              <w:t>Escenarios</w:t>
            </w:r>
          </w:p>
        </w:tc>
        <w:tc>
          <w:tcPr>
            <w:tcW w:w="1860" w:type="dxa"/>
            <w:shd w:val="clear" w:color="auto" w:fill="D9E2F3"/>
            <w:vAlign w:val="center"/>
          </w:tcPr>
          <w:p w14:paraId="33D1F9C3" w14:textId="77777777" w:rsidR="00990B14" w:rsidRDefault="00000000">
            <w:pPr>
              <w:spacing w:before="20" w:after="20"/>
              <w:jc w:val="both"/>
            </w:pPr>
            <w:r>
              <w:rPr>
                <w:sz w:val="18"/>
                <w:szCs w:val="18"/>
              </w:rPr>
              <w:t>Presenta un solo escenario.</w:t>
            </w:r>
          </w:p>
        </w:tc>
        <w:tc>
          <w:tcPr>
            <w:tcW w:w="1860" w:type="dxa"/>
            <w:shd w:val="clear" w:color="auto" w:fill="D9E2F3"/>
            <w:vAlign w:val="center"/>
          </w:tcPr>
          <w:p w14:paraId="1967838F" w14:textId="77777777" w:rsidR="00990B14" w:rsidRDefault="00000000">
            <w:pPr>
              <w:spacing w:before="20" w:after="20"/>
              <w:jc w:val="both"/>
            </w:pPr>
            <w:r>
              <w:rPr>
                <w:sz w:val="18"/>
                <w:szCs w:val="18"/>
              </w:rPr>
              <w:t>Proyecta escenarios optimista, base y pesimista.</w:t>
            </w:r>
          </w:p>
        </w:tc>
        <w:tc>
          <w:tcPr>
            <w:tcW w:w="2016" w:type="dxa"/>
            <w:shd w:val="clear" w:color="auto" w:fill="D9E2F3"/>
            <w:vAlign w:val="center"/>
          </w:tcPr>
          <w:p w14:paraId="332ED6FF" w14:textId="77777777" w:rsidR="00990B14" w:rsidRDefault="00000000">
            <w:pPr>
              <w:spacing w:before="20" w:after="20"/>
              <w:jc w:val="both"/>
            </w:pPr>
            <w:r>
              <w:rPr>
                <w:sz w:val="18"/>
                <w:szCs w:val="18"/>
              </w:rPr>
              <w:t>Analiza los supuestos de cada escenario.</w:t>
            </w:r>
          </w:p>
        </w:tc>
      </w:tr>
      <w:tr w:rsidR="00990B14" w14:paraId="791D5FBD" w14:textId="77777777">
        <w:trPr>
          <w:cantSplit/>
          <w:jc w:val="center"/>
        </w:trPr>
        <w:tc>
          <w:tcPr>
            <w:tcW w:w="1809" w:type="dxa"/>
            <w:vMerge/>
            <w:shd w:val="clear" w:color="auto" w:fill="4472C4"/>
            <w:vAlign w:val="center"/>
          </w:tcPr>
          <w:p w14:paraId="7E3796D8" w14:textId="77777777" w:rsidR="00990B14" w:rsidRDefault="00990B14">
            <w:pPr>
              <w:spacing w:before="20" w:after="20"/>
            </w:pPr>
          </w:p>
        </w:tc>
        <w:tc>
          <w:tcPr>
            <w:tcW w:w="5580" w:type="dxa"/>
            <w:gridSpan w:val="3"/>
            <w:shd w:val="clear" w:color="auto" w:fill="D9E2F3"/>
            <w:vAlign w:val="center"/>
          </w:tcPr>
          <w:p w14:paraId="35A2D075" w14:textId="77777777" w:rsidR="00990B14" w:rsidRDefault="00000000">
            <w:pPr>
              <w:keepNext/>
              <w:spacing w:before="20" w:after="20"/>
              <w:jc w:val="both"/>
            </w:pPr>
            <w:r>
              <w:rPr>
                <w:b/>
                <w:bCs/>
                <w:i/>
                <w:iCs/>
                <w:sz w:val="18"/>
                <w:szCs w:val="18"/>
              </w:rPr>
              <w:t xml:space="preserve">Producto 7: </w:t>
            </w:r>
            <w:r>
              <w:rPr>
                <w:sz w:val="18"/>
                <w:szCs w:val="18"/>
              </w:rPr>
              <w:t>Cálculo del tamaño del proyecto</w:t>
            </w:r>
          </w:p>
        </w:tc>
        <w:tc>
          <w:tcPr>
            <w:tcW w:w="2016" w:type="dxa"/>
            <w:shd w:val="clear" w:color="auto" w:fill="D9E2F3"/>
            <w:vAlign w:val="center"/>
          </w:tcPr>
          <w:p w14:paraId="4223F93D" w14:textId="77777777" w:rsidR="00990B14" w:rsidRDefault="00000000">
            <w:pPr>
              <w:spacing w:before="20" w:after="20"/>
              <w:jc w:val="center"/>
            </w:pPr>
            <w:r>
              <w:rPr>
                <w:b/>
                <w:bCs/>
                <w:sz w:val="18"/>
                <w:szCs w:val="18"/>
              </w:rPr>
              <w:t>4%</w:t>
            </w:r>
          </w:p>
        </w:tc>
      </w:tr>
      <w:tr w:rsidR="00990B14" w14:paraId="263B8320" w14:textId="77777777">
        <w:trPr>
          <w:cantSplit/>
          <w:jc w:val="center"/>
        </w:trPr>
        <w:tc>
          <w:tcPr>
            <w:tcW w:w="1809" w:type="dxa"/>
            <w:vMerge/>
            <w:shd w:val="clear" w:color="auto" w:fill="4472C4"/>
            <w:vAlign w:val="center"/>
          </w:tcPr>
          <w:p w14:paraId="76EED9E8" w14:textId="77777777" w:rsidR="00990B14" w:rsidRDefault="00990B14">
            <w:pPr>
              <w:spacing w:before="20" w:after="20"/>
            </w:pPr>
          </w:p>
        </w:tc>
        <w:tc>
          <w:tcPr>
            <w:tcW w:w="1860" w:type="dxa"/>
            <w:shd w:val="clear" w:color="auto" w:fill="4472C4"/>
            <w:vAlign w:val="center"/>
          </w:tcPr>
          <w:p w14:paraId="442A8A0C" w14:textId="77777777" w:rsidR="00990B14" w:rsidRDefault="00000000">
            <w:pPr>
              <w:keepNext/>
              <w:spacing w:before="20" w:after="20"/>
              <w:jc w:val="center"/>
            </w:pPr>
            <w:r>
              <w:rPr>
                <w:b/>
                <w:bCs/>
                <w:i/>
                <w:iCs/>
                <w:color w:val="FFFFFF"/>
                <w:sz w:val="18"/>
                <w:szCs w:val="18"/>
              </w:rPr>
              <w:t>Criterio</w:t>
            </w:r>
          </w:p>
        </w:tc>
        <w:tc>
          <w:tcPr>
            <w:tcW w:w="1860" w:type="dxa"/>
            <w:shd w:val="clear" w:color="auto" w:fill="4472C4"/>
            <w:vAlign w:val="center"/>
          </w:tcPr>
          <w:p w14:paraId="2EFED670" w14:textId="77777777" w:rsidR="00990B14" w:rsidRDefault="00000000">
            <w:pPr>
              <w:keepNext/>
              <w:spacing w:before="20" w:after="20"/>
              <w:jc w:val="center"/>
            </w:pPr>
            <w:r>
              <w:rPr>
                <w:b/>
                <w:bCs/>
                <w:i/>
                <w:iCs/>
                <w:color w:val="FFFFFF"/>
                <w:sz w:val="18"/>
                <w:szCs w:val="18"/>
              </w:rPr>
              <w:t>Insuficiente (1–50)</w:t>
            </w:r>
          </w:p>
        </w:tc>
        <w:tc>
          <w:tcPr>
            <w:tcW w:w="1860" w:type="dxa"/>
            <w:shd w:val="clear" w:color="auto" w:fill="4472C4"/>
            <w:vAlign w:val="center"/>
          </w:tcPr>
          <w:p w14:paraId="017545A2" w14:textId="77777777" w:rsidR="00990B14" w:rsidRDefault="00000000">
            <w:pPr>
              <w:keepNext/>
              <w:spacing w:before="20" w:after="20"/>
              <w:jc w:val="center"/>
            </w:pPr>
            <w:r>
              <w:rPr>
                <w:b/>
                <w:bCs/>
                <w:i/>
                <w:iCs/>
                <w:color w:val="FFFFFF"/>
                <w:sz w:val="18"/>
                <w:szCs w:val="18"/>
              </w:rPr>
              <w:t>Suficiente (51–80)</w:t>
            </w:r>
          </w:p>
        </w:tc>
        <w:tc>
          <w:tcPr>
            <w:tcW w:w="2016" w:type="dxa"/>
            <w:shd w:val="clear" w:color="auto" w:fill="4472C4"/>
            <w:vAlign w:val="center"/>
          </w:tcPr>
          <w:p w14:paraId="0AFCFB25" w14:textId="77777777" w:rsidR="00990B14" w:rsidRDefault="00000000">
            <w:pPr>
              <w:keepNext/>
              <w:spacing w:before="20" w:after="20"/>
              <w:jc w:val="center"/>
            </w:pPr>
            <w:r>
              <w:rPr>
                <w:b/>
                <w:bCs/>
                <w:i/>
                <w:iCs/>
                <w:color w:val="FFFFFF"/>
                <w:sz w:val="18"/>
                <w:szCs w:val="18"/>
              </w:rPr>
              <w:t>Destacado (81–100)</w:t>
            </w:r>
          </w:p>
        </w:tc>
      </w:tr>
      <w:tr w:rsidR="00990B14" w14:paraId="47A215F1" w14:textId="77777777">
        <w:trPr>
          <w:cantSplit/>
          <w:jc w:val="center"/>
        </w:trPr>
        <w:tc>
          <w:tcPr>
            <w:tcW w:w="1809" w:type="dxa"/>
            <w:vMerge/>
            <w:shd w:val="clear" w:color="auto" w:fill="4472C4"/>
            <w:vAlign w:val="center"/>
          </w:tcPr>
          <w:p w14:paraId="542228F2" w14:textId="77777777" w:rsidR="00990B14" w:rsidRDefault="00990B14">
            <w:pPr>
              <w:spacing w:before="20" w:after="20"/>
            </w:pPr>
          </w:p>
        </w:tc>
        <w:tc>
          <w:tcPr>
            <w:tcW w:w="1860" w:type="dxa"/>
            <w:shd w:val="clear" w:color="auto" w:fill="D9E2F3"/>
            <w:vAlign w:val="center"/>
          </w:tcPr>
          <w:p w14:paraId="3D89A498" w14:textId="77777777" w:rsidR="00990B14" w:rsidRDefault="00000000">
            <w:pPr>
              <w:spacing w:before="20" w:after="20"/>
              <w:jc w:val="both"/>
            </w:pPr>
            <w:r>
              <w:rPr>
                <w:sz w:val="18"/>
                <w:szCs w:val="18"/>
              </w:rPr>
              <w:t>Factores del tamaño</w:t>
            </w:r>
          </w:p>
        </w:tc>
        <w:tc>
          <w:tcPr>
            <w:tcW w:w="1860" w:type="dxa"/>
            <w:shd w:val="clear" w:color="auto" w:fill="D9E2F3"/>
            <w:vAlign w:val="center"/>
          </w:tcPr>
          <w:p w14:paraId="647C20C0" w14:textId="77777777" w:rsidR="00990B14" w:rsidRDefault="00000000">
            <w:pPr>
              <w:spacing w:before="20" w:after="20"/>
              <w:jc w:val="both"/>
            </w:pPr>
            <w:r>
              <w:rPr>
                <w:sz w:val="18"/>
                <w:szCs w:val="18"/>
              </w:rPr>
              <w:t>Omite factores condicionantes.</w:t>
            </w:r>
          </w:p>
        </w:tc>
        <w:tc>
          <w:tcPr>
            <w:tcW w:w="1860" w:type="dxa"/>
            <w:shd w:val="clear" w:color="auto" w:fill="D9E2F3"/>
            <w:vAlign w:val="center"/>
          </w:tcPr>
          <w:p w14:paraId="0901552C" w14:textId="77777777" w:rsidR="00990B14" w:rsidRDefault="00000000">
            <w:pPr>
              <w:spacing w:before="20" w:after="20"/>
              <w:jc w:val="both"/>
            </w:pPr>
            <w:r>
              <w:rPr>
                <w:sz w:val="18"/>
                <w:szCs w:val="18"/>
              </w:rPr>
              <w:t>Analiza el mercado, la tecnología, los insumos y el financiamiento.</w:t>
            </w:r>
          </w:p>
        </w:tc>
        <w:tc>
          <w:tcPr>
            <w:tcW w:w="2016" w:type="dxa"/>
            <w:shd w:val="clear" w:color="auto" w:fill="D9E2F3"/>
            <w:vAlign w:val="center"/>
          </w:tcPr>
          <w:p w14:paraId="132D3049" w14:textId="77777777" w:rsidR="00990B14" w:rsidRDefault="00000000">
            <w:pPr>
              <w:spacing w:before="20" w:after="20"/>
              <w:jc w:val="both"/>
            </w:pPr>
            <w:r>
              <w:rPr>
                <w:sz w:val="18"/>
                <w:szCs w:val="18"/>
              </w:rPr>
              <w:t>Identifica el factor que limita el tamaño.</w:t>
            </w:r>
          </w:p>
        </w:tc>
      </w:tr>
      <w:tr w:rsidR="00990B14" w14:paraId="727CB029" w14:textId="77777777">
        <w:trPr>
          <w:cantSplit/>
          <w:jc w:val="center"/>
        </w:trPr>
        <w:tc>
          <w:tcPr>
            <w:tcW w:w="1809" w:type="dxa"/>
            <w:vMerge/>
            <w:shd w:val="clear" w:color="auto" w:fill="4472C4"/>
            <w:vAlign w:val="center"/>
          </w:tcPr>
          <w:p w14:paraId="3030ABF3" w14:textId="77777777" w:rsidR="00990B14" w:rsidRDefault="00990B14">
            <w:pPr>
              <w:spacing w:before="20" w:after="20"/>
            </w:pPr>
          </w:p>
        </w:tc>
        <w:tc>
          <w:tcPr>
            <w:tcW w:w="1860" w:type="dxa"/>
            <w:shd w:val="clear" w:color="auto" w:fill="D9E2F3"/>
            <w:vAlign w:val="center"/>
          </w:tcPr>
          <w:p w14:paraId="5641443F" w14:textId="77777777" w:rsidR="00990B14" w:rsidRDefault="00000000">
            <w:pPr>
              <w:spacing w:before="20" w:after="20"/>
              <w:jc w:val="both"/>
            </w:pPr>
            <w:r>
              <w:rPr>
                <w:sz w:val="18"/>
                <w:szCs w:val="18"/>
              </w:rPr>
              <w:t>Capacidad</w:t>
            </w:r>
          </w:p>
        </w:tc>
        <w:tc>
          <w:tcPr>
            <w:tcW w:w="1860" w:type="dxa"/>
            <w:shd w:val="clear" w:color="auto" w:fill="D9E2F3"/>
            <w:vAlign w:val="center"/>
          </w:tcPr>
          <w:p w14:paraId="20E3FCDB" w14:textId="77777777" w:rsidR="00990B14" w:rsidRDefault="00000000">
            <w:pPr>
              <w:spacing w:before="20" w:after="20"/>
              <w:jc w:val="both"/>
            </w:pPr>
            <w:r>
              <w:rPr>
                <w:sz w:val="18"/>
                <w:szCs w:val="18"/>
              </w:rPr>
              <w:t>Confunde las formas de capacidad.</w:t>
            </w:r>
          </w:p>
        </w:tc>
        <w:tc>
          <w:tcPr>
            <w:tcW w:w="1860" w:type="dxa"/>
            <w:shd w:val="clear" w:color="auto" w:fill="D9E2F3"/>
            <w:vAlign w:val="center"/>
          </w:tcPr>
          <w:p w14:paraId="65681A79" w14:textId="77777777" w:rsidR="00990B14" w:rsidRDefault="00000000">
            <w:pPr>
              <w:spacing w:before="20" w:after="20"/>
              <w:jc w:val="both"/>
            </w:pPr>
            <w:r>
              <w:rPr>
                <w:sz w:val="18"/>
                <w:szCs w:val="18"/>
              </w:rPr>
              <w:t>Determina la capacidad instalada y la utilizada.</w:t>
            </w:r>
          </w:p>
        </w:tc>
        <w:tc>
          <w:tcPr>
            <w:tcW w:w="2016" w:type="dxa"/>
            <w:shd w:val="clear" w:color="auto" w:fill="D9E2F3"/>
            <w:vAlign w:val="center"/>
          </w:tcPr>
          <w:p w14:paraId="65CC87A5" w14:textId="77777777" w:rsidR="00990B14" w:rsidRDefault="00000000">
            <w:pPr>
              <w:spacing w:before="20" w:after="20"/>
              <w:jc w:val="both"/>
            </w:pPr>
            <w:r>
              <w:rPr>
                <w:sz w:val="18"/>
                <w:szCs w:val="18"/>
              </w:rPr>
              <w:t>Programa el uso de la capacidad en el horizonte del proyecto.</w:t>
            </w:r>
          </w:p>
        </w:tc>
      </w:tr>
      <w:tr w:rsidR="00990B14" w14:paraId="10F8DC5A" w14:textId="77777777">
        <w:trPr>
          <w:cantSplit/>
          <w:jc w:val="center"/>
        </w:trPr>
        <w:tc>
          <w:tcPr>
            <w:tcW w:w="1809" w:type="dxa"/>
            <w:vMerge/>
            <w:shd w:val="clear" w:color="auto" w:fill="4472C4"/>
            <w:vAlign w:val="center"/>
          </w:tcPr>
          <w:p w14:paraId="347F1253" w14:textId="77777777" w:rsidR="00990B14" w:rsidRDefault="00990B14">
            <w:pPr>
              <w:spacing w:before="20" w:after="20"/>
            </w:pPr>
          </w:p>
        </w:tc>
        <w:tc>
          <w:tcPr>
            <w:tcW w:w="1860" w:type="dxa"/>
            <w:shd w:val="clear" w:color="auto" w:fill="D9E2F3"/>
            <w:vAlign w:val="center"/>
          </w:tcPr>
          <w:p w14:paraId="09EED6B1" w14:textId="77777777" w:rsidR="00990B14" w:rsidRDefault="00000000">
            <w:pPr>
              <w:spacing w:before="20" w:after="20"/>
              <w:jc w:val="both"/>
            </w:pPr>
            <w:r>
              <w:rPr>
                <w:sz w:val="18"/>
                <w:szCs w:val="18"/>
              </w:rPr>
              <w:t>Programa de abastecimiento</w:t>
            </w:r>
          </w:p>
        </w:tc>
        <w:tc>
          <w:tcPr>
            <w:tcW w:w="1860" w:type="dxa"/>
            <w:shd w:val="clear" w:color="auto" w:fill="D9E2F3"/>
            <w:vAlign w:val="center"/>
          </w:tcPr>
          <w:p w14:paraId="2AAF044B" w14:textId="77777777" w:rsidR="00990B14" w:rsidRDefault="00000000">
            <w:pPr>
              <w:spacing w:before="20" w:after="20"/>
              <w:jc w:val="both"/>
            </w:pPr>
            <w:r>
              <w:rPr>
                <w:sz w:val="18"/>
                <w:szCs w:val="18"/>
              </w:rPr>
              <w:t>No relaciona el tamaño con los insumos.</w:t>
            </w:r>
          </w:p>
        </w:tc>
        <w:tc>
          <w:tcPr>
            <w:tcW w:w="1860" w:type="dxa"/>
            <w:shd w:val="clear" w:color="auto" w:fill="D9E2F3"/>
            <w:vAlign w:val="center"/>
          </w:tcPr>
          <w:p w14:paraId="1744695F" w14:textId="77777777" w:rsidR="00990B14" w:rsidRDefault="00000000">
            <w:pPr>
              <w:spacing w:before="20" w:after="20"/>
              <w:jc w:val="both"/>
            </w:pPr>
            <w:r>
              <w:rPr>
                <w:sz w:val="18"/>
                <w:szCs w:val="18"/>
              </w:rPr>
              <w:t>Elabora el programa de abastecimiento.</w:t>
            </w:r>
          </w:p>
        </w:tc>
        <w:tc>
          <w:tcPr>
            <w:tcW w:w="2016" w:type="dxa"/>
            <w:shd w:val="clear" w:color="auto" w:fill="D9E2F3"/>
            <w:vAlign w:val="center"/>
          </w:tcPr>
          <w:p w14:paraId="368B16DD" w14:textId="77777777" w:rsidR="00990B14" w:rsidRDefault="00000000">
            <w:pPr>
              <w:spacing w:before="20" w:after="20"/>
              <w:jc w:val="both"/>
            </w:pPr>
            <w:r>
              <w:rPr>
                <w:sz w:val="18"/>
                <w:szCs w:val="18"/>
              </w:rPr>
              <w:t>Evalúa el riesgo de desabastecimiento de insumos importados.</w:t>
            </w:r>
          </w:p>
        </w:tc>
      </w:tr>
      <w:tr w:rsidR="00990B14" w14:paraId="127AB7E4" w14:textId="77777777">
        <w:trPr>
          <w:cantSplit/>
          <w:jc w:val="center"/>
        </w:trPr>
        <w:tc>
          <w:tcPr>
            <w:tcW w:w="1809" w:type="dxa"/>
            <w:vMerge/>
            <w:shd w:val="clear" w:color="auto" w:fill="4472C4"/>
            <w:vAlign w:val="center"/>
          </w:tcPr>
          <w:p w14:paraId="362A27C9" w14:textId="77777777" w:rsidR="00990B14" w:rsidRDefault="00990B14">
            <w:pPr>
              <w:spacing w:before="20" w:after="20"/>
            </w:pPr>
          </w:p>
        </w:tc>
        <w:tc>
          <w:tcPr>
            <w:tcW w:w="5580" w:type="dxa"/>
            <w:gridSpan w:val="3"/>
            <w:shd w:val="clear" w:color="auto" w:fill="D9E2F3"/>
            <w:vAlign w:val="center"/>
          </w:tcPr>
          <w:p w14:paraId="0A45219D" w14:textId="77777777" w:rsidR="00990B14" w:rsidRDefault="00000000">
            <w:pPr>
              <w:keepNext/>
              <w:spacing w:before="20" w:after="20"/>
              <w:jc w:val="both"/>
            </w:pPr>
            <w:r>
              <w:rPr>
                <w:b/>
                <w:bCs/>
                <w:i/>
                <w:iCs/>
                <w:sz w:val="18"/>
                <w:szCs w:val="18"/>
              </w:rPr>
              <w:t xml:space="preserve">Producto 8: </w:t>
            </w:r>
            <w:r>
              <w:rPr>
                <w:sz w:val="18"/>
                <w:szCs w:val="18"/>
              </w:rPr>
              <w:t>Estrategia comercial</w:t>
            </w:r>
          </w:p>
        </w:tc>
        <w:tc>
          <w:tcPr>
            <w:tcW w:w="2016" w:type="dxa"/>
            <w:shd w:val="clear" w:color="auto" w:fill="D9E2F3"/>
            <w:vAlign w:val="center"/>
          </w:tcPr>
          <w:p w14:paraId="1927447A" w14:textId="77777777" w:rsidR="00990B14" w:rsidRDefault="00000000">
            <w:pPr>
              <w:spacing w:before="20" w:after="20"/>
              <w:jc w:val="center"/>
            </w:pPr>
            <w:r>
              <w:rPr>
                <w:b/>
                <w:bCs/>
                <w:sz w:val="18"/>
                <w:szCs w:val="18"/>
              </w:rPr>
              <w:t>3%</w:t>
            </w:r>
          </w:p>
        </w:tc>
      </w:tr>
      <w:tr w:rsidR="00990B14" w14:paraId="7A6103D8" w14:textId="77777777">
        <w:trPr>
          <w:cantSplit/>
          <w:jc w:val="center"/>
        </w:trPr>
        <w:tc>
          <w:tcPr>
            <w:tcW w:w="1809" w:type="dxa"/>
            <w:vMerge/>
            <w:shd w:val="clear" w:color="auto" w:fill="4472C4"/>
            <w:vAlign w:val="center"/>
          </w:tcPr>
          <w:p w14:paraId="08ED68D1" w14:textId="77777777" w:rsidR="00990B14" w:rsidRDefault="00990B14">
            <w:pPr>
              <w:spacing w:before="20" w:after="20"/>
            </w:pPr>
          </w:p>
        </w:tc>
        <w:tc>
          <w:tcPr>
            <w:tcW w:w="1860" w:type="dxa"/>
            <w:shd w:val="clear" w:color="auto" w:fill="4472C4"/>
            <w:vAlign w:val="center"/>
          </w:tcPr>
          <w:p w14:paraId="16DADC3D" w14:textId="77777777" w:rsidR="00990B14" w:rsidRDefault="00000000">
            <w:pPr>
              <w:keepNext/>
              <w:spacing w:before="20" w:after="20"/>
              <w:jc w:val="center"/>
            </w:pPr>
            <w:r>
              <w:rPr>
                <w:b/>
                <w:bCs/>
                <w:i/>
                <w:iCs/>
                <w:color w:val="FFFFFF"/>
                <w:sz w:val="18"/>
                <w:szCs w:val="18"/>
              </w:rPr>
              <w:t>Criterio</w:t>
            </w:r>
          </w:p>
        </w:tc>
        <w:tc>
          <w:tcPr>
            <w:tcW w:w="1860" w:type="dxa"/>
            <w:shd w:val="clear" w:color="auto" w:fill="4472C4"/>
            <w:vAlign w:val="center"/>
          </w:tcPr>
          <w:p w14:paraId="653FE07B" w14:textId="77777777" w:rsidR="00990B14" w:rsidRDefault="00000000">
            <w:pPr>
              <w:keepNext/>
              <w:spacing w:before="20" w:after="20"/>
              <w:jc w:val="center"/>
            </w:pPr>
            <w:r>
              <w:rPr>
                <w:b/>
                <w:bCs/>
                <w:i/>
                <w:iCs/>
                <w:color w:val="FFFFFF"/>
                <w:sz w:val="18"/>
                <w:szCs w:val="18"/>
              </w:rPr>
              <w:t>Insuficiente (1–50)</w:t>
            </w:r>
          </w:p>
        </w:tc>
        <w:tc>
          <w:tcPr>
            <w:tcW w:w="1860" w:type="dxa"/>
            <w:shd w:val="clear" w:color="auto" w:fill="4472C4"/>
            <w:vAlign w:val="center"/>
          </w:tcPr>
          <w:p w14:paraId="5E93C418" w14:textId="77777777" w:rsidR="00990B14" w:rsidRDefault="00000000">
            <w:pPr>
              <w:keepNext/>
              <w:spacing w:before="20" w:after="20"/>
              <w:jc w:val="center"/>
            </w:pPr>
            <w:r>
              <w:rPr>
                <w:b/>
                <w:bCs/>
                <w:i/>
                <w:iCs/>
                <w:color w:val="FFFFFF"/>
                <w:sz w:val="18"/>
                <w:szCs w:val="18"/>
              </w:rPr>
              <w:t>Suficiente (51–80)</w:t>
            </w:r>
          </w:p>
        </w:tc>
        <w:tc>
          <w:tcPr>
            <w:tcW w:w="2016" w:type="dxa"/>
            <w:shd w:val="clear" w:color="auto" w:fill="4472C4"/>
            <w:vAlign w:val="center"/>
          </w:tcPr>
          <w:p w14:paraId="65D6BEC2" w14:textId="77777777" w:rsidR="00990B14" w:rsidRDefault="00000000">
            <w:pPr>
              <w:keepNext/>
              <w:spacing w:before="20" w:after="20"/>
              <w:jc w:val="center"/>
            </w:pPr>
            <w:r>
              <w:rPr>
                <w:b/>
                <w:bCs/>
                <w:i/>
                <w:iCs/>
                <w:color w:val="FFFFFF"/>
                <w:sz w:val="18"/>
                <w:szCs w:val="18"/>
              </w:rPr>
              <w:t>Destacado (81–100)</w:t>
            </w:r>
          </w:p>
        </w:tc>
      </w:tr>
      <w:tr w:rsidR="00990B14" w14:paraId="588B363E" w14:textId="77777777">
        <w:trPr>
          <w:cantSplit/>
          <w:jc w:val="center"/>
        </w:trPr>
        <w:tc>
          <w:tcPr>
            <w:tcW w:w="1809" w:type="dxa"/>
            <w:vMerge/>
            <w:shd w:val="clear" w:color="auto" w:fill="4472C4"/>
            <w:vAlign w:val="center"/>
          </w:tcPr>
          <w:p w14:paraId="76DD80D5" w14:textId="77777777" w:rsidR="00990B14" w:rsidRDefault="00990B14">
            <w:pPr>
              <w:spacing w:before="20" w:after="20"/>
            </w:pPr>
          </w:p>
        </w:tc>
        <w:tc>
          <w:tcPr>
            <w:tcW w:w="1860" w:type="dxa"/>
            <w:shd w:val="clear" w:color="auto" w:fill="D9E2F3"/>
            <w:vAlign w:val="center"/>
          </w:tcPr>
          <w:p w14:paraId="2AA465E3" w14:textId="77777777" w:rsidR="00990B14" w:rsidRDefault="00000000">
            <w:pPr>
              <w:spacing w:before="20" w:after="20"/>
              <w:jc w:val="both"/>
            </w:pPr>
            <w:r>
              <w:rPr>
                <w:sz w:val="18"/>
                <w:szCs w:val="18"/>
              </w:rPr>
              <w:t>Producto y precio</w:t>
            </w:r>
          </w:p>
        </w:tc>
        <w:tc>
          <w:tcPr>
            <w:tcW w:w="1860" w:type="dxa"/>
            <w:shd w:val="clear" w:color="auto" w:fill="D9E2F3"/>
            <w:vAlign w:val="center"/>
          </w:tcPr>
          <w:p w14:paraId="7FE58EB3" w14:textId="77777777" w:rsidR="00990B14" w:rsidRDefault="00000000">
            <w:pPr>
              <w:spacing w:before="20" w:after="20"/>
              <w:jc w:val="both"/>
            </w:pPr>
            <w:r>
              <w:rPr>
                <w:sz w:val="18"/>
                <w:szCs w:val="18"/>
              </w:rPr>
              <w:t>No define el producto o el precio.</w:t>
            </w:r>
          </w:p>
        </w:tc>
        <w:tc>
          <w:tcPr>
            <w:tcW w:w="1860" w:type="dxa"/>
            <w:shd w:val="clear" w:color="auto" w:fill="D9E2F3"/>
            <w:vAlign w:val="center"/>
          </w:tcPr>
          <w:p w14:paraId="24A0760B" w14:textId="77777777" w:rsidR="00990B14" w:rsidRDefault="00000000">
            <w:pPr>
              <w:spacing w:before="20" w:after="20"/>
              <w:jc w:val="both"/>
            </w:pPr>
            <w:r>
              <w:rPr>
                <w:sz w:val="18"/>
                <w:szCs w:val="18"/>
              </w:rPr>
              <w:t>Define el producto y la política de precios.</w:t>
            </w:r>
          </w:p>
        </w:tc>
        <w:tc>
          <w:tcPr>
            <w:tcW w:w="2016" w:type="dxa"/>
            <w:shd w:val="clear" w:color="auto" w:fill="D9E2F3"/>
            <w:vAlign w:val="center"/>
          </w:tcPr>
          <w:p w14:paraId="3ADD5824" w14:textId="77777777" w:rsidR="00990B14" w:rsidRDefault="00000000">
            <w:pPr>
              <w:spacing w:before="20" w:after="20"/>
              <w:jc w:val="both"/>
            </w:pPr>
            <w:r>
              <w:rPr>
                <w:sz w:val="18"/>
                <w:szCs w:val="18"/>
              </w:rPr>
              <w:t>Fundamenta el precio con el análisis de la competencia.</w:t>
            </w:r>
          </w:p>
        </w:tc>
      </w:tr>
      <w:tr w:rsidR="00990B14" w14:paraId="666C538B" w14:textId="77777777">
        <w:trPr>
          <w:cantSplit/>
          <w:jc w:val="center"/>
        </w:trPr>
        <w:tc>
          <w:tcPr>
            <w:tcW w:w="1809" w:type="dxa"/>
            <w:vMerge/>
            <w:shd w:val="clear" w:color="auto" w:fill="4472C4"/>
            <w:vAlign w:val="center"/>
          </w:tcPr>
          <w:p w14:paraId="6FACC834" w14:textId="77777777" w:rsidR="00990B14" w:rsidRDefault="00990B14">
            <w:pPr>
              <w:spacing w:before="20" w:after="20"/>
            </w:pPr>
          </w:p>
        </w:tc>
        <w:tc>
          <w:tcPr>
            <w:tcW w:w="1860" w:type="dxa"/>
            <w:shd w:val="clear" w:color="auto" w:fill="D9E2F3"/>
            <w:vAlign w:val="center"/>
          </w:tcPr>
          <w:p w14:paraId="5289715E" w14:textId="77777777" w:rsidR="00990B14" w:rsidRDefault="00000000">
            <w:pPr>
              <w:spacing w:before="20" w:after="20"/>
              <w:jc w:val="both"/>
            </w:pPr>
            <w:r>
              <w:rPr>
                <w:sz w:val="18"/>
                <w:szCs w:val="18"/>
              </w:rPr>
              <w:t>Canales de venta</w:t>
            </w:r>
          </w:p>
        </w:tc>
        <w:tc>
          <w:tcPr>
            <w:tcW w:w="1860" w:type="dxa"/>
            <w:shd w:val="clear" w:color="auto" w:fill="D9E2F3"/>
            <w:vAlign w:val="center"/>
          </w:tcPr>
          <w:p w14:paraId="7DCF145D" w14:textId="77777777" w:rsidR="00990B14" w:rsidRDefault="00000000">
            <w:pPr>
              <w:spacing w:before="20" w:after="20"/>
              <w:jc w:val="both"/>
            </w:pPr>
            <w:r>
              <w:rPr>
                <w:sz w:val="18"/>
                <w:szCs w:val="18"/>
              </w:rPr>
              <w:t>Omite los canales de distribución.</w:t>
            </w:r>
          </w:p>
        </w:tc>
        <w:tc>
          <w:tcPr>
            <w:tcW w:w="1860" w:type="dxa"/>
            <w:shd w:val="clear" w:color="auto" w:fill="D9E2F3"/>
            <w:vAlign w:val="center"/>
          </w:tcPr>
          <w:p w14:paraId="0C4D1F3C" w14:textId="77777777" w:rsidR="00990B14" w:rsidRDefault="00000000">
            <w:pPr>
              <w:spacing w:before="20" w:after="20"/>
              <w:jc w:val="both"/>
            </w:pPr>
            <w:r>
              <w:rPr>
                <w:sz w:val="18"/>
                <w:szCs w:val="18"/>
              </w:rPr>
              <w:t>Define canales tradicionales y digitales.</w:t>
            </w:r>
          </w:p>
        </w:tc>
        <w:tc>
          <w:tcPr>
            <w:tcW w:w="2016" w:type="dxa"/>
            <w:shd w:val="clear" w:color="auto" w:fill="D9E2F3"/>
            <w:vAlign w:val="center"/>
          </w:tcPr>
          <w:p w14:paraId="05B4068F" w14:textId="77777777" w:rsidR="00990B14" w:rsidRDefault="00000000">
            <w:pPr>
              <w:spacing w:before="20" w:after="20"/>
              <w:jc w:val="both"/>
            </w:pPr>
            <w:r>
              <w:rPr>
                <w:sz w:val="18"/>
                <w:szCs w:val="18"/>
              </w:rPr>
              <w:t>Estima el costo de cada canal.</w:t>
            </w:r>
          </w:p>
        </w:tc>
      </w:tr>
      <w:tr w:rsidR="00990B14" w14:paraId="3E05A263" w14:textId="77777777">
        <w:trPr>
          <w:cantSplit/>
          <w:jc w:val="center"/>
        </w:trPr>
        <w:tc>
          <w:tcPr>
            <w:tcW w:w="1809" w:type="dxa"/>
            <w:vMerge/>
            <w:shd w:val="clear" w:color="auto" w:fill="4472C4"/>
            <w:vAlign w:val="center"/>
          </w:tcPr>
          <w:p w14:paraId="64CDF328" w14:textId="77777777" w:rsidR="00990B14" w:rsidRDefault="00990B14">
            <w:pPr>
              <w:spacing w:before="20" w:after="20"/>
            </w:pPr>
          </w:p>
        </w:tc>
        <w:tc>
          <w:tcPr>
            <w:tcW w:w="1860" w:type="dxa"/>
            <w:shd w:val="clear" w:color="auto" w:fill="D9E2F3"/>
            <w:vAlign w:val="center"/>
          </w:tcPr>
          <w:p w14:paraId="4BF62271" w14:textId="77777777" w:rsidR="00990B14" w:rsidRDefault="00000000">
            <w:pPr>
              <w:spacing w:before="20" w:after="20"/>
              <w:jc w:val="both"/>
            </w:pPr>
            <w:r>
              <w:rPr>
                <w:sz w:val="18"/>
                <w:szCs w:val="18"/>
              </w:rPr>
              <w:t>Trabajo en equipo</w:t>
            </w:r>
          </w:p>
        </w:tc>
        <w:tc>
          <w:tcPr>
            <w:tcW w:w="1860" w:type="dxa"/>
            <w:shd w:val="clear" w:color="auto" w:fill="D9E2F3"/>
            <w:vAlign w:val="center"/>
          </w:tcPr>
          <w:p w14:paraId="3C942BE2" w14:textId="77777777" w:rsidR="00990B14" w:rsidRDefault="00000000">
            <w:pPr>
              <w:spacing w:before="20" w:after="20"/>
              <w:jc w:val="both"/>
            </w:pPr>
            <w:r>
              <w:rPr>
                <w:sz w:val="18"/>
                <w:szCs w:val="18"/>
              </w:rPr>
              <w:t>Participan solo algunos integrantes.</w:t>
            </w:r>
          </w:p>
        </w:tc>
        <w:tc>
          <w:tcPr>
            <w:tcW w:w="1860" w:type="dxa"/>
            <w:shd w:val="clear" w:color="auto" w:fill="D9E2F3"/>
            <w:vAlign w:val="center"/>
          </w:tcPr>
          <w:p w14:paraId="1B6446FC" w14:textId="77777777" w:rsidR="00990B14" w:rsidRDefault="00000000">
            <w:pPr>
              <w:spacing w:before="20" w:after="20"/>
              <w:jc w:val="both"/>
            </w:pPr>
            <w:r>
              <w:rPr>
                <w:sz w:val="18"/>
                <w:szCs w:val="18"/>
              </w:rPr>
              <w:t>Todos los integrantes participan.</w:t>
            </w:r>
          </w:p>
        </w:tc>
        <w:tc>
          <w:tcPr>
            <w:tcW w:w="2016" w:type="dxa"/>
            <w:shd w:val="clear" w:color="auto" w:fill="D9E2F3"/>
            <w:vAlign w:val="center"/>
          </w:tcPr>
          <w:p w14:paraId="7103E8C4" w14:textId="77777777" w:rsidR="00990B14" w:rsidRDefault="00000000">
            <w:pPr>
              <w:spacing w:before="20" w:after="20"/>
              <w:jc w:val="both"/>
            </w:pPr>
            <w:r>
              <w:rPr>
                <w:sz w:val="18"/>
                <w:szCs w:val="18"/>
              </w:rPr>
              <w:t>El equipo integra la estrategia con la proyección de la demanda.</w:t>
            </w:r>
          </w:p>
        </w:tc>
      </w:tr>
      <w:tr w:rsidR="00990B14" w14:paraId="2E3A34A0" w14:textId="77777777">
        <w:trPr>
          <w:cantSplit/>
          <w:jc w:val="center"/>
        </w:trPr>
        <w:tc>
          <w:tcPr>
            <w:tcW w:w="1809" w:type="dxa"/>
            <w:vMerge/>
            <w:shd w:val="clear" w:color="auto" w:fill="4472C4"/>
            <w:vAlign w:val="center"/>
          </w:tcPr>
          <w:p w14:paraId="79337B1D" w14:textId="77777777" w:rsidR="00990B14" w:rsidRDefault="00990B14">
            <w:pPr>
              <w:spacing w:before="20" w:after="20"/>
            </w:pPr>
          </w:p>
        </w:tc>
        <w:tc>
          <w:tcPr>
            <w:tcW w:w="5580" w:type="dxa"/>
            <w:gridSpan w:val="3"/>
            <w:shd w:val="clear" w:color="auto" w:fill="D9E2F3"/>
            <w:vAlign w:val="center"/>
          </w:tcPr>
          <w:p w14:paraId="47070EDB" w14:textId="77777777" w:rsidR="00990B14" w:rsidRDefault="00000000">
            <w:pPr>
              <w:keepNext/>
              <w:spacing w:before="20" w:after="20"/>
              <w:jc w:val="both"/>
            </w:pPr>
            <w:r>
              <w:rPr>
                <w:b/>
                <w:bCs/>
                <w:i/>
                <w:iCs/>
                <w:sz w:val="18"/>
                <w:szCs w:val="18"/>
              </w:rPr>
              <w:t xml:space="preserve">Producto 9: </w:t>
            </w:r>
            <w:r>
              <w:rPr>
                <w:sz w:val="18"/>
                <w:szCs w:val="18"/>
              </w:rPr>
              <w:t>Organigrama y costo laboral</w:t>
            </w:r>
          </w:p>
        </w:tc>
        <w:tc>
          <w:tcPr>
            <w:tcW w:w="2016" w:type="dxa"/>
            <w:shd w:val="clear" w:color="auto" w:fill="D9E2F3"/>
            <w:vAlign w:val="center"/>
          </w:tcPr>
          <w:p w14:paraId="74D1C331" w14:textId="77777777" w:rsidR="00990B14" w:rsidRDefault="00000000">
            <w:pPr>
              <w:spacing w:before="20" w:after="20"/>
              <w:jc w:val="center"/>
            </w:pPr>
            <w:r>
              <w:rPr>
                <w:b/>
                <w:bCs/>
                <w:sz w:val="18"/>
                <w:szCs w:val="18"/>
              </w:rPr>
              <w:t>4%</w:t>
            </w:r>
          </w:p>
        </w:tc>
      </w:tr>
      <w:tr w:rsidR="00990B14" w14:paraId="3B5EAAA2" w14:textId="77777777">
        <w:trPr>
          <w:cantSplit/>
          <w:jc w:val="center"/>
        </w:trPr>
        <w:tc>
          <w:tcPr>
            <w:tcW w:w="1809" w:type="dxa"/>
            <w:vMerge/>
            <w:shd w:val="clear" w:color="auto" w:fill="4472C4"/>
            <w:vAlign w:val="center"/>
          </w:tcPr>
          <w:p w14:paraId="0A01A17D" w14:textId="77777777" w:rsidR="00990B14" w:rsidRDefault="00990B14">
            <w:pPr>
              <w:spacing w:before="20" w:after="20"/>
            </w:pPr>
          </w:p>
        </w:tc>
        <w:tc>
          <w:tcPr>
            <w:tcW w:w="1860" w:type="dxa"/>
            <w:shd w:val="clear" w:color="auto" w:fill="4472C4"/>
            <w:vAlign w:val="center"/>
          </w:tcPr>
          <w:p w14:paraId="7B9CF732" w14:textId="77777777" w:rsidR="00990B14" w:rsidRDefault="00000000">
            <w:pPr>
              <w:keepNext/>
              <w:spacing w:before="20" w:after="20"/>
              <w:jc w:val="center"/>
            </w:pPr>
            <w:r>
              <w:rPr>
                <w:b/>
                <w:bCs/>
                <w:i/>
                <w:iCs/>
                <w:color w:val="FFFFFF"/>
                <w:sz w:val="18"/>
                <w:szCs w:val="18"/>
              </w:rPr>
              <w:t>Criterio</w:t>
            </w:r>
          </w:p>
        </w:tc>
        <w:tc>
          <w:tcPr>
            <w:tcW w:w="1860" w:type="dxa"/>
            <w:shd w:val="clear" w:color="auto" w:fill="4472C4"/>
            <w:vAlign w:val="center"/>
          </w:tcPr>
          <w:p w14:paraId="4FC4419C" w14:textId="77777777" w:rsidR="00990B14" w:rsidRDefault="00000000">
            <w:pPr>
              <w:keepNext/>
              <w:spacing w:before="20" w:after="20"/>
              <w:jc w:val="center"/>
            </w:pPr>
            <w:r>
              <w:rPr>
                <w:b/>
                <w:bCs/>
                <w:i/>
                <w:iCs/>
                <w:color w:val="FFFFFF"/>
                <w:sz w:val="18"/>
                <w:szCs w:val="18"/>
              </w:rPr>
              <w:t>Insuficiente (1–50)</w:t>
            </w:r>
          </w:p>
        </w:tc>
        <w:tc>
          <w:tcPr>
            <w:tcW w:w="1860" w:type="dxa"/>
            <w:shd w:val="clear" w:color="auto" w:fill="4472C4"/>
            <w:vAlign w:val="center"/>
          </w:tcPr>
          <w:p w14:paraId="3715CEAC" w14:textId="77777777" w:rsidR="00990B14" w:rsidRDefault="00000000">
            <w:pPr>
              <w:keepNext/>
              <w:spacing w:before="20" w:after="20"/>
              <w:jc w:val="center"/>
            </w:pPr>
            <w:r>
              <w:rPr>
                <w:b/>
                <w:bCs/>
                <w:i/>
                <w:iCs/>
                <w:color w:val="FFFFFF"/>
                <w:sz w:val="18"/>
                <w:szCs w:val="18"/>
              </w:rPr>
              <w:t>Suficiente (51–80)</w:t>
            </w:r>
          </w:p>
        </w:tc>
        <w:tc>
          <w:tcPr>
            <w:tcW w:w="2016" w:type="dxa"/>
            <w:shd w:val="clear" w:color="auto" w:fill="4472C4"/>
            <w:vAlign w:val="center"/>
          </w:tcPr>
          <w:p w14:paraId="5AA65D85" w14:textId="77777777" w:rsidR="00990B14" w:rsidRDefault="00000000">
            <w:pPr>
              <w:keepNext/>
              <w:spacing w:before="20" w:after="20"/>
              <w:jc w:val="center"/>
            </w:pPr>
            <w:r>
              <w:rPr>
                <w:b/>
                <w:bCs/>
                <w:i/>
                <w:iCs/>
                <w:color w:val="FFFFFF"/>
                <w:sz w:val="18"/>
                <w:szCs w:val="18"/>
              </w:rPr>
              <w:t>Destacado (81–100)</w:t>
            </w:r>
          </w:p>
        </w:tc>
      </w:tr>
      <w:tr w:rsidR="00990B14" w14:paraId="0F56E9D2" w14:textId="77777777">
        <w:trPr>
          <w:cantSplit/>
          <w:jc w:val="center"/>
        </w:trPr>
        <w:tc>
          <w:tcPr>
            <w:tcW w:w="1809" w:type="dxa"/>
            <w:vMerge/>
            <w:shd w:val="clear" w:color="auto" w:fill="4472C4"/>
            <w:vAlign w:val="center"/>
          </w:tcPr>
          <w:p w14:paraId="39C4D13C" w14:textId="77777777" w:rsidR="00990B14" w:rsidRDefault="00990B14">
            <w:pPr>
              <w:spacing w:before="20" w:after="20"/>
            </w:pPr>
          </w:p>
        </w:tc>
        <w:tc>
          <w:tcPr>
            <w:tcW w:w="1860" w:type="dxa"/>
            <w:shd w:val="clear" w:color="auto" w:fill="D9E2F3"/>
            <w:vAlign w:val="center"/>
          </w:tcPr>
          <w:p w14:paraId="4E9BB01B" w14:textId="77777777" w:rsidR="00990B14" w:rsidRDefault="00000000">
            <w:pPr>
              <w:spacing w:before="20" w:after="20"/>
              <w:jc w:val="both"/>
            </w:pPr>
            <w:r>
              <w:rPr>
                <w:sz w:val="18"/>
                <w:szCs w:val="18"/>
              </w:rPr>
              <w:t>Organización por procesos</w:t>
            </w:r>
          </w:p>
        </w:tc>
        <w:tc>
          <w:tcPr>
            <w:tcW w:w="1860" w:type="dxa"/>
            <w:shd w:val="clear" w:color="auto" w:fill="D9E2F3"/>
            <w:vAlign w:val="center"/>
          </w:tcPr>
          <w:p w14:paraId="45BFD652" w14:textId="77777777" w:rsidR="00990B14" w:rsidRDefault="00000000">
            <w:pPr>
              <w:spacing w:before="20" w:after="20"/>
              <w:jc w:val="both"/>
            </w:pPr>
            <w:r>
              <w:rPr>
                <w:sz w:val="18"/>
                <w:szCs w:val="18"/>
              </w:rPr>
              <w:t>Confunde la etapa de ejecución con la de operación.</w:t>
            </w:r>
          </w:p>
        </w:tc>
        <w:tc>
          <w:tcPr>
            <w:tcW w:w="1860" w:type="dxa"/>
            <w:shd w:val="clear" w:color="auto" w:fill="D9E2F3"/>
            <w:vAlign w:val="center"/>
          </w:tcPr>
          <w:p w14:paraId="6B8DF1CF" w14:textId="77777777" w:rsidR="00990B14" w:rsidRDefault="00000000">
            <w:pPr>
              <w:spacing w:before="20" w:after="20"/>
              <w:jc w:val="both"/>
            </w:pPr>
            <w:r>
              <w:rPr>
                <w:sz w:val="18"/>
                <w:szCs w:val="18"/>
              </w:rPr>
              <w:t>Organiza los procesos en tiempo de ejecución y de operación.</w:t>
            </w:r>
          </w:p>
        </w:tc>
        <w:tc>
          <w:tcPr>
            <w:tcW w:w="2016" w:type="dxa"/>
            <w:shd w:val="clear" w:color="auto" w:fill="D9E2F3"/>
            <w:vAlign w:val="center"/>
          </w:tcPr>
          <w:p w14:paraId="3F82933A" w14:textId="77777777" w:rsidR="00990B14" w:rsidRDefault="00000000">
            <w:pPr>
              <w:spacing w:before="20" w:after="20"/>
              <w:jc w:val="both"/>
            </w:pPr>
            <w:r>
              <w:rPr>
                <w:sz w:val="18"/>
                <w:szCs w:val="18"/>
              </w:rPr>
              <w:t>Justifica la estructura según el tamaño del proyecto.</w:t>
            </w:r>
          </w:p>
        </w:tc>
      </w:tr>
      <w:tr w:rsidR="00990B14" w14:paraId="3D2CC730" w14:textId="77777777">
        <w:trPr>
          <w:cantSplit/>
          <w:jc w:val="center"/>
        </w:trPr>
        <w:tc>
          <w:tcPr>
            <w:tcW w:w="1809" w:type="dxa"/>
            <w:vMerge/>
            <w:shd w:val="clear" w:color="auto" w:fill="4472C4"/>
            <w:vAlign w:val="center"/>
          </w:tcPr>
          <w:p w14:paraId="1454D749" w14:textId="77777777" w:rsidR="00990B14" w:rsidRDefault="00990B14">
            <w:pPr>
              <w:spacing w:before="20" w:after="20"/>
            </w:pPr>
          </w:p>
        </w:tc>
        <w:tc>
          <w:tcPr>
            <w:tcW w:w="1860" w:type="dxa"/>
            <w:shd w:val="clear" w:color="auto" w:fill="D9E2F3"/>
            <w:vAlign w:val="center"/>
          </w:tcPr>
          <w:p w14:paraId="15D3D5A0" w14:textId="77777777" w:rsidR="00990B14" w:rsidRDefault="00000000">
            <w:pPr>
              <w:spacing w:before="20" w:after="20"/>
              <w:jc w:val="both"/>
            </w:pPr>
            <w:r>
              <w:rPr>
                <w:sz w:val="18"/>
                <w:szCs w:val="18"/>
              </w:rPr>
              <w:t>Costo laboral</w:t>
            </w:r>
          </w:p>
        </w:tc>
        <w:tc>
          <w:tcPr>
            <w:tcW w:w="1860" w:type="dxa"/>
            <w:shd w:val="clear" w:color="auto" w:fill="D9E2F3"/>
            <w:vAlign w:val="center"/>
          </w:tcPr>
          <w:p w14:paraId="7AB72740" w14:textId="77777777" w:rsidR="00990B14" w:rsidRDefault="00000000">
            <w:pPr>
              <w:spacing w:before="20" w:after="20"/>
              <w:jc w:val="both"/>
            </w:pPr>
            <w:r>
              <w:rPr>
                <w:sz w:val="18"/>
                <w:szCs w:val="18"/>
              </w:rPr>
              <w:t>Omite aportes patronales o beneficios sociales.</w:t>
            </w:r>
          </w:p>
        </w:tc>
        <w:tc>
          <w:tcPr>
            <w:tcW w:w="1860" w:type="dxa"/>
            <w:shd w:val="clear" w:color="auto" w:fill="D9E2F3"/>
            <w:vAlign w:val="center"/>
          </w:tcPr>
          <w:p w14:paraId="5F69B111" w14:textId="77777777" w:rsidR="00990B14" w:rsidRDefault="00000000">
            <w:pPr>
              <w:spacing w:before="20" w:after="20"/>
              <w:jc w:val="both"/>
            </w:pPr>
            <w:r>
              <w:rPr>
                <w:sz w:val="18"/>
                <w:szCs w:val="18"/>
              </w:rPr>
              <w:t>Calcula el costo laboral con aportes y previsiones.</w:t>
            </w:r>
          </w:p>
        </w:tc>
        <w:tc>
          <w:tcPr>
            <w:tcW w:w="2016" w:type="dxa"/>
            <w:shd w:val="clear" w:color="auto" w:fill="D9E2F3"/>
            <w:vAlign w:val="center"/>
          </w:tcPr>
          <w:p w14:paraId="74BACBE3" w14:textId="77777777" w:rsidR="00990B14" w:rsidRDefault="00000000">
            <w:pPr>
              <w:spacing w:before="20" w:after="20"/>
              <w:jc w:val="both"/>
            </w:pPr>
            <w:r>
              <w:rPr>
                <w:sz w:val="18"/>
                <w:szCs w:val="18"/>
              </w:rPr>
              <w:t>Proyecta el costo laboral en el horizonte del proyecto.</w:t>
            </w:r>
          </w:p>
        </w:tc>
      </w:tr>
      <w:tr w:rsidR="00990B14" w14:paraId="0E7EEB51" w14:textId="77777777">
        <w:trPr>
          <w:cantSplit/>
          <w:jc w:val="center"/>
        </w:trPr>
        <w:tc>
          <w:tcPr>
            <w:tcW w:w="1809" w:type="dxa"/>
            <w:vMerge/>
            <w:shd w:val="clear" w:color="auto" w:fill="4472C4"/>
            <w:vAlign w:val="center"/>
          </w:tcPr>
          <w:p w14:paraId="79E262DC" w14:textId="77777777" w:rsidR="00990B14" w:rsidRDefault="00990B14">
            <w:pPr>
              <w:spacing w:before="20" w:after="20"/>
            </w:pPr>
          </w:p>
        </w:tc>
        <w:tc>
          <w:tcPr>
            <w:tcW w:w="1860" w:type="dxa"/>
            <w:shd w:val="clear" w:color="auto" w:fill="D9E2F3"/>
            <w:vAlign w:val="center"/>
          </w:tcPr>
          <w:p w14:paraId="7CF79DBC" w14:textId="77777777" w:rsidR="00990B14" w:rsidRDefault="00000000">
            <w:pPr>
              <w:spacing w:before="20" w:after="20"/>
              <w:jc w:val="both"/>
            </w:pPr>
            <w:r>
              <w:rPr>
                <w:sz w:val="18"/>
                <w:szCs w:val="18"/>
              </w:rPr>
              <w:t>Diseño de puestos</w:t>
            </w:r>
          </w:p>
        </w:tc>
        <w:tc>
          <w:tcPr>
            <w:tcW w:w="1860" w:type="dxa"/>
            <w:shd w:val="clear" w:color="auto" w:fill="D9E2F3"/>
            <w:vAlign w:val="center"/>
          </w:tcPr>
          <w:p w14:paraId="426B3367" w14:textId="77777777" w:rsidR="00990B14" w:rsidRDefault="00000000">
            <w:pPr>
              <w:spacing w:before="20" w:after="20"/>
              <w:jc w:val="both"/>
            </w:pPr>
            <w:r>
              <w:rPr>
                <w:sz w:val="18"/>
                <w:szCs w:val="18"/>
              </w:rPr>
              <w:t>Los puestos no tienen funciones definidas.</w:t>
            </w:r>
          </w:p>
        </w:tc>
        <w:tc>
          <w:tcPr>
            <w:tcW w:w="1860" w:type="dxa"/>
            <w:shd w:val="clear" w:color="auto" w:fill="D9E2F3"/>
            <w:vAlign w:val="center"/>
          </w:tcPr>
          <w:p w14:paraId="259FC4DF" w14:textId="77777777" w:rsidR="00990B14" w:rsidRDefault="00000000">
            <w:pPr>
              <w:spacing w:before="20" w:after="20"/>
              <w:jc w:val="both"/>
            </w:pPr>
            <w:r>
              <w:rPr>
                <w:sz w:val="18"/>
                <w:szCs w:val="18"/>
              </w:rPr>
              <w:t>Define las funciones de cada puesto.</w:t>
            </w:r>
          </w:p>
        </w:tc>
        <w:tc>
          <w:tcPr>
            <w:tcW w:w="2016" w:type="dxa"/>
            <w:shd w:val="clear" w:color="auto" w:fill="D9E2F3"/>
            <w:vAlign w:val="center"/>
          </w:tcPr>
          <w:p w14:paraId="7D50594D" w14:textId="77777777" w:rsidR="00990B14" w:rsidRDefault="00000000">
            <w:pPr>
              <w:spacing w:before="20" w:after="20"/>
              <w:jc w:val="both"/>
            </w:pPr>
            <w:r>
              <w:rPr>
                <w:sz w:val="18"/>
                <w:szCs w:val="18"/>
              </w:rPr>
              <w:t>Establece los perfiles requeridos para cada puesto.</w:t>
            </w:r>
          </w:p>
        </w:tc>
      </w:tr>
      <w:tr w:rsidR="00990B14" w14:paraId="6AE8376A" w14:textId="77777777">
        <w:trPr>
          <w:cantSplit/>
          <w:jc w:val="center"/>
        </w:trPr>
        <w:tc>
          <w:tcPr>
            <w:tcW w:w="1809" w:type="dxa"/>
            <w:vMerge/>
            <w:shd w:val="clear" w:color="auto" w:fill="4472C4"/>
            <w:vAlign w:val="center"/>
          </w:tcPr>
          <w:p w14:paraId="36163E25" w14:textId="77777777" w:rsidR="00990B14" w:rsidRDefault="00990B14">
            <w:pPr>
              <w:spacing w:before="20" w:after="20"/>
            </w:pPr>
          </w:p>
        </w:tc>
        <w:tc>
          <w:tcPr>
            <w:tcW w:w="5580" w:type="dxa"/>
            <w:gridSpan w:val="3"/>
            <w:shd w:val="clear" w:color="auto" w:fill="D9E2F3"/>
            <w:vAlign w:val="center"/>
          </w:tcPr>
          <w:p w14:paraId="0E5AE25E" w14:textId="77777777" w:rsidR="00990B14" w:rsidRDefault="00000000">
            <w:pPr>
              <w:keepNext/>
              <w:spacing w:before="20" w:after="20"/>
              <w:jc w:val="both"/>
            </w:pPr>
            <w:r>
              <w:rPr>
                <w:b/>
                <w:bCs/>
                <w:i/>
                <w:iCs/>
                <w:sz w:val="18"/>
                <w:szCs w:val="18"/>
              </w:rPr>
              <w:t xml:space="preserve">Producto 10: </w:t>
            </w:r>
            <w:r>
              <w:rPr>
                <w:sz w:val="18"/>
                <w:szCs w:val="18"/>
              </w:rPr>
              <w:t>Listado de obras civiles</w:t>
            </w:r>
          </w:p>
        </w:tc>
        <w:tc>
          <w:tcPr>
            <w:tcW w:w="2016" w:type="dxa"/>
            <w:shd w:val="clear" w:color="auto" w:fill="D9E2F3"/>
            <w:vAlign w:val="center"/>
          </w:tcPr>
          <w:p w14:paraId="4FAAEA38" w14:textId="77777777" w:rsidR="00990B14" w:rsidRDefault="00000000">
            <w:pPr>
              <w:spacing w:before="20" w:after="20"/>
              <w:jc w:val="center"/>
            </w:pPr>
            <w:r>
              <w:rPr>
                <w:b/>
                <w:bCs/>
                <w:sz w:val="18"/>
                <w:szCs w:val="18"/>
              </w:rPr>
              <w:t>4%</w:t>
            </w:r>
          </w:p>
        </w:tc>
      </w:tr>
      <w:tr w:rsidR="00990B14" w14:paraId="633A6200" w14:textId="77777777">
        <w:trPr>
          <w:cantSplit/>
          <w:jc w:val="center"/>
        </w:trPr>
        <w:tc>
          <w:tcPr>
            <w:tcW w:w="1809" w:type="dxa"/>
            <w:vMerge/>
            <w:shd w:val="clear" w:color="auto" w:fill="4472C4"/>
            <w:vAlign w:val="center"/>
          </w:tcPr>
          <w:p w14:paraId="69A2CBE0" w14:textId="77777777" w:rsidR="00990B14" w:rsidRDefault="00990B14">
            <w:pPr>
              <w:spacing w:before="20" w:after="20"/>
            </w:pPr>
          </w:p>
        </w:tc>
        <w:tc>
          <w:tcPr>
            <w:tcW w:w="1860" w:type="dxa"/>
            <w:shd w:val="clear" w:color="auto" w:fill="4472C4"/>
            <w:vAlign w:val="center"/>
          </w:tcPr>
          <w:p w14:paraId="25743FA5" w14:textId="77777777" w:rsidR="00990B14" w:rsidRDefault="00000000">
            <w:pPr>
              <w:keepNext/>
              <w:spacing w:before="20" w:after="20"/>
              <w:jc w:val="center"/>
            </w:pPr>
            <w:r>
              <w:rPr>
                <w:b/>
                <w:bCs/>
                <w:i/>
                <w:iCs/>
                <w:color w:val="FFFFFF"/>
                <w:sz w:val="18"/>
                <w:szCs w:val="18"/>
              </w:rPr>
              <w:t>Criterio</w:t>
            </w:r>
          </w:p>
        </w:tc>
        <w:tc>
          <w:tcPr>
            <w:tcW w:w="1860" w:type="dxa"/>
            <w:shd w:val="clear" w:color="auto" w:fill="4472C4"/>
            <w:vAlign w:val="center"/>
          </w:tcPr>
          <w:p w14:paraId="77BA6CA9" w14:textId="77777777" w:rsidR="00990B14" w:rsidRDefault="00000000">
            <w:pPr>
              <w:keepNext/>
              <w:spacing w:before="20" w:after="20"/>
              <w:jc w:val="center"/>
            </w:pPr>
            <w:r>
              <w:rPr>
                <w:b/>
                <w:bCs/>
                <w:i/>
                <w:iCs/>
                <w:color w:val="FFFFFF"/>
                <w:sz w:val="18"/>
                <w:szCs w:val="18"/>
              </w:rPr>
              <w:t>Insuficiente (1–50)</w:t>
            </w:r>
          </w:p>
        </w:tc>
        <w:tc>
          <w:tcPr>
            <w:tcW w:w="1860" w:type="dxa"/>
            <w:shd w:val="clear" w:color="auto" w:fill="4472C4"/>
            <w:vAlign w:val="center"/>
          </w:tcPr>
          <w:p w14:paraId="45E799C9" w14:textId="77777777" w:rsidR="00990B14" w:rsidRDefault="00000000">
            <w:pPr>
              <w:keepNext/>
              <w:spacing w:before="20" w:after="20"/>
              <w:jc w:val="center"/>
            </w:pPr>
            <w:r>
              <w:rPr>
                <w:b/>
                <w:bCs/>
                <w:i/>
                <w:iCs/>
                <w:color w:val="FFFFFF"/>
                <w:sz w:val="18"/>
                <w:szCs w:val="18"/>
              </w:rPr>
              <w:t>Suficiente (51–80)</w:t>
            </w:r>
          </w:p>
        </w:tc>
        <w:tc>
          <w:tcPr>
            <w:tcW w:w="2016" w:type="dxa"/>
            <w:shd w:val="clear" w:color="auto" w:fill="4472C4"/>
            <w:vAlign w:val="center"/>
          </w:tcPr>
          <w:p w14:paraId="6103A0BD" w14:textId="77777777" w:rsidR="00990B14" w:rsidRDefault="00000000">
            <w:pPr>
              <w:keepNext/>
              <w:spacing w:before="20" w:after="20"/>
              <w:jc w:val="center"/>
            </w:pPr>
            <w:r>
              <w:rPr>
                <w:b/>
                <w:bCs/>
                <w:i/>
                <w:iCs/>
                <w:color w:val="FFFFFF"/>
                <w:sz w:val="18"/>
                <w:szCs w:val="18"/>
              </w:rPr>
              <w:t>Destacado (81–100)</w:t>
            </w:r>
          </w:p>
        </w:tc>
      </w:tr>
      <w:tr w:rsidR="00990B14" w14:paraId="63B656F7" w14:textId="77777777">
        <w:trPr>
          <w:cantSplit/>
          <w:jc w:val="center"/>
        </w:trPr>
        <w:tc>
          <w:tcPr>
            <w:tcW w:w="1809" w:type="dxa"/>
            <w:vMerge/>
            <w:shd w:val="clear" w:color="auto" w:fill="4472C4"/>
            <w:vAlign w:val="center"/>
          </w:tcPr>
          <w:p w14:paraId="51CE970E" w14:textId="77777777" w:rsidR="00990B14" w:rsidRDefault="00990B14">
            <w:pPr>
              <w:spacing w:before="20" w:after="20"/>
            </w:pPr>
          </w:p>
        </w:tc>
        <w:tc>
          <w:tcPr>
            <w:tcW w:w="1860" w:type="dxa"/>
            <w:shd w:val="clear" w:color="auto" w:fill="D9E2F3"/>
            <w:vAlign w:val="center"/>
          </w:tcPr>
          <w:p w14:paraId="7D85D3FE" w14:textId="77777777" w:rsidR="00990B14" w:rsidRDefault="00000000">
            <w:pPr>
              <w:spacing w:before="20" w:after="20"/>
              <w:jc w:val="both"/>
            </w:pPr>
            <w:r>
              <w:rPr>
                <w:sz w:val="18"/>
                <w:szCs w:val="18"/>
              </w:rPr>
              <w:t>Estimación de costos</w:t>
            </w:r>
          </w:p>
        </w:tc>
        <w:tc>
          <w:tcPr>
            <w:tcW w:w="1860" w:type="dxa"/>
            <w:shd w:val="clear" w:color="auto" w:fill="D9E2F3"/>
            <w:vAlign w:val="center"/>
          </w:tcPr>
          <w:p w14:paraId="1222A44C" w14:textId="77777777" w:rsidR="00990B14" w:rsidRDefault="00000000">
            <w:pPr>
              <w:spacing w:before="20" w:after="20"/>
              <w:jc w:val="both"/>
            </w:pPr>
            <w:r>
              <w:rPr>
                <w:sz w:val="18"/>
                <w:szCs w:val="18"/>
              </w:rPr>
              <w:t>Los costos carecen de respaldo.</w:t>
            </w:r>
          </w:p>
        </w:tc>
        <w:tc>
          <w:tcPr>
            <w:tcW w:w="1860" w:type="dxa"/>
            <w:shd w:val="clear" w:color="auto" w:fill="D9E2F3"/>
            <w:vAlign w:val="center"/>
          </w:tcPr>
          <w:p w14:paraId="5605B62C" w14:textId="77777777" w:rsidR="00990B14" w:rsidRDefault="00000000">
            <w:pPr>
              <w:spacing w:before="20" w:after="20"/>
              <w:jc w:val="both"/>
            </w:pPr>
            <w:r>
              <w:rPr>
                <w:sz w:val="18"/>
                <w:szCs w:val="18"/>
              </w:rPr>
              <w:t>Estima el costo de cada obra con precios referenciales.</w:t>
            </w:r>
          </w:p>
        </w:tc>
        <w:tc>
          <w:tcPr>
            <w:tcW w:w="2016" w:type="dxa"/>
            <w:shd w:val="clear" w:color="auto" w:fill="D9E2F3"/>
            <w:vAlign w:val="center"/>
          </w:tcPr>
          <w:p w14:paraId="342AA986" w14:textId="77777777" w:rsidR="00990B14" w:rsidRDefault="00000000">
            <w:pPr>
              <w:spacing w:before="20" w:after="20"/>
              <w:jc w:val="both"/>
            </w:pPr>
            <w:r>
              <w:rPr>
                <w:sz w:val="18"/>
                <w:szCs w:val="18"/>
              </w:rPr>
              <w:t>Incluye imprevistos justificados.</w:t>
            </w:r>
          </w:p>
        </w:tc>
      </w:tr>
      <w:tr w:rsidR="00990B14" w14:paraId="66DD9B1E" w14:textId="77777777">
        <w:trPr>
          <w:cantSplit/>
          <w:jc w:val="center"/>
        </w:trPr>
        <w:tc>
          <w:tcPr>
            <w:tcW w:w="1809" w:type="dxa"/>
            <w:vMerge/>
            <w:shd w:val="clear" w:color="auto" w:fill="4472C4"/>
            <w:vAlign w:val="center"/>
          </w:tcPr>
          <w:p w14:paraId="6533210A" w14:textId="77777777" w:rsidR="00990B14" w:rsidRDefault="00990B14">
            <w:pPr>
              <w:spacing w:before="20" w:after="20"/>
            </w:pPr>
          </w:p>
        </w:tc>
        <w:tc>
          <w:tcPr>
            <w:tcW w:w="1860" w:type="dxa"/>
            <w:shd w:val="clear" w:color="auto" w:fill="D9E2F3"/>
            <w:vAlign w:val="center"/>
          </w:tcPr>
          <w:p w14:paraId="75875844" w14:textId="77777777" w:rsidR="00990B14" w:rsidRDefault="00000000">
            <w:pPr>
              <w:spacing w:before="20" w:after="20"/>
              <w:jc w:val="both"/>
            </w:pPr>
            <w:r>
              <w:rPr>
                <w:sz w:val="18"/>
                <w:szCs w:val="18"/>
              </w:rPr>
              <w:t>Exactitud</w:t>
            </w:r>
          </w:p>
        </w:tc>
        <w:tc>
          <w:tcPr>
            <w:tcW w:w="1860" w:type="dxa"/>
            <w:shd w:val="clear" w:color="auto" w:fill="D9E2F3"/>
            <w:vAlign w:val="center"/>
          </w:tcPr>
          <w:p w14:paraId="64522E86" w14:textId="77777777" w:rsidR="00990B14" w:rsidRDefault="00000000">
            <w:pPr>
              <w:spacing w:before="20" w:after="20"/>
              <w:jc w:val="both"/>
            </w:pPr>
            <w:r>
              <w:rPr>
                <w:sz w:val="18"/>
                <w:szCs w:val="18"/>
              </w:rPr>
              <w:t>Presenta errores de cálculo.</w:t>
            </w:r>
          </w:p>
        </w:tc>
        <w:tc>
          <w:tcPr>
            <w:tcW w:w="1860" w:type="dxa"/>
            <w:shd w:val="clear" w:color="auto" w:fill="D9E2F3"/>
            <w:vAlign w:val="center"/>
          </w:tcPr>
          <w:p w14:paraId="3FCFB467" w14:textId="77777777" w:rsidR="00990B14" w:rsidRDefault="00000000">
            <w:pPr>
              <w:spacing w:before="20" w:after="20"/>
              <w:jc w:val="both"/>
            </w:pPr>
            <w:r>
              <w:rPr>
                <w:sz w:val="18"/>
                <w:szCs w:val="18"/>
              </w:rPr>
              <w:t>Los cálculos son correctos.</w:t>
            </w:r>
          </w:p>
        </w:tc>
        <w:tc>
          <w:tcPr>
            <w:tcW w:w="2016" w:type="dxa"/>
            <w:shd w:val="clear" w:color="auto" w:fill="D9E2F3"/>
            <w:vAlign w:val="center"/>
          </w:tcPr>
          <w:p w14:paraId="1E48B893" w14:textId="77777777" w:rsidR="00990B14" w:rsidRDefault="00000000">
            <w:pPr>
              <w:spacing w:before="20" w:after="20"/>
              <w:jc w:val="both"/>
            </w:pPr>
            <w:r>
              <w:rPr>
                <w:sz w:val="18"/>
                <w:szCs w:val="18"/>
              </w:rPr>
              <w:t>Verifica los totales con el cuadro de inversión.</w:t>
            </w:r>
          </w:p>
        </w:tc>
      </w:tr>
      <w:tr w:rsidR="00990B14" w14:paraId="3C9FA128" w14:textId="77777777">
        <w:trPr>
          <w:cantSplit/>
          <w:jc w:val="center"/>
        </w:trPr>
        <w:tc>
          <w:tcPr>
            <w:tcW w:w="1809" w:type="dxa"/>
            <w:vMerge/>
            <w:shd w:val="clear" w:color="auto" w:fill="4472C4"/>
            <w:vAlign w:val="center"/>
          </w:tcPr>
          <w:p w14:paraId="5E94C52F" w14:textId="77777777" w:rsidR="00990B14" w:rsidRDefault="00990B14">
            <w:pPr>
              <w:spacing w:before="20" w:after="20"/>
            </w:pPr>
          </w:p>
        </w:tc>
        <w:tc>
          <w:tcPr>
            <w:tcW w:w="1860" w:type="dxa"/>
            <w:shd w:val="clear" w:color="auto" w:fill="D9E2F3"/>
            <w:vAlign w:val="center"/>
          </w:tcPr>
          <w:p w14:paraId="0C5D7C83" w14:textId="77777777" w:rsidR="00990B14" w:rsidRDefault="00000000">
            <w:pPr>
              <w:spacing w:before="20" w:after="20"/>
              <w:jc w:val="both"/>
            </w:pPr>
            <w:r>
              <w:rPr>
                <w:sz w:val="18"/>
                <w:szCs w:val="18"/>
              </w:rPr>
              <w:t>Presentación</w:t>
            </w:r>
          </w:p>
        </w:tc>
        <w:tc>
          <w:tcPr>
            <w:tcW w:w="1860" w:type="dxa"/>
            <w:shd w:val="clear" w:color="auto" w:fill="D9E2F3"/>
            <w:vAlign w:val="center"/>
          </w:tcPr>
          <w:p w14:paraId="797E584C" w14:textId="77777777" w:rsidR="00990B14" w:rsidRDefault="00000000">
            <w:pPr>
              <w:spacing w:before="20" w:after="20"/>
              <w:jc w:val="both"/>
            </w:pPr>
            <w:r>
              <w:rPr>
                <w:sz w:val="18"/>
                <w:szCs w:val="18"/>
              </w:rPr>
              <w:t>El listado es desordenado o incompleto.</w:t>
            </w:r>
          </w:p>
        </w:tc>
        <w:tc>
          <w:tcPr>
            <w:tcW w:w="1860" w:type="dxa"/>
            <w:shd w:val="clear" w:color="auto" w:fill="D9E2F3"/>
            <w:vAlign w:val="center"/>
          </w:tcPr>
          <w:p w14:paraId="7F0E49FA" w14:textId="77777777" w:rsidR="00990B14" w:rsidRDefault="00000000">
            <w:pPr>
              <w:spacing w:before="20" w:after="20"/>
              <w:jc w:val="both"/>
            </w:pPr>
            <w:r>
              <w:rPr>
                <w:sz w:val="18"/>
                <w:szCs w:val="18"/>
              </w:rPr>
              <w:t>Presenta el listado ordenado por tipo de obra.</w:t>
            </w:r>
          </w:p>
        </w:tc>
        <w:tc>
          <w:tcPr>
            <w:tcW w:w="2016" w:type="dxa"/>
            <w:shd w:val="clear" w:color="auto" w:fill="D9E2F3"/>
            <w:vAlign w:val="center"/>
          </w:tcPr>
          <w:p w14:paraId="6238EB16" w14:textId="77777777" w:rsidR="00990B14" w:rsidRDefault="00000000">
            <w:pPr>
              <w:spacing w:before="20" w:after="20"/>
              <w:jc w:val="both"/>
            </w:pPr>
            <w:r>
              <w:rPr>
                <w:sz w:val="18"/>
                <w:szCs w:val="18"/>
              </w:rPr>
              <w:t>Presenta el listado con especificaciones, cantidades y precios unitarios.</w:t>
            </w:r>
          </w:p>
        </w:tc>
      </w:tr>
      <w:tr w:rsidR="00990B14" w14:paraId="139F7513" w14:textId="77777777">
        <w:trPr>
          <w:cantSplit/>
          <w:jc w:val="center"/>
        </w:trPr>
        <w:tc>
          <w:tcPr>
            <w:tcW w:w="1809" w:type="dxa"/>
            <w:vMerge/>
            <w:shd w:val="clear" w:color="auto" w:fill="4472C4"/>
            <w:vAlign w:val="center"/>
          </w:tcPr>
          <w:p w14:paraId="52F6402A" w14:textId="77777777" w:rsidR="00990B14" w:rsidRDefault="00990B14">
            <w:pPr>
              <w:spacing w:before="20" w:after="20"/>
            </w:pPr>
          </w:p>
        </w:tc>
        <w:tc>
          <w:tcPr>
            <w:tcW w:w="5580" w:type="dxa"/>
            <w:gridSpan w:val="3"/>
            <w:shd w:val="clear" w:color="auto" w:fill="D9E2F3"/>
            <w:vAlign w:val="center"/>
          </w:tcPr>
          <w:p w14:paraId="4C0873C8" w14:textId="77777777" w:rsidR="00990B14" w:rsidRDefault="00000000">
            <w:pPr>
              <w:keepNext/>
              <w:spacing w:before="20" w:after="20"/>
              <w:jc w:val="both"/>
            </w:pPr>
            <w:r>
              <w:rPr>
                <w:b/>
                <w:bCs/>
                <w:i/>
                <w:iCs/>
                <w:sz w:val="18"/>
                <w:szCs w:val="18"/>
              </w:rPr>
              <w:t xml:space="preserve">Producto 11: </w:t>
            </w:r>
            <w:r>
              <w:rPr>
                <w:sz w:val="18"/>
                <w:szCs w:val="18"/>
              </w:rPr>
              <w:t>Matriz de localización</w:t>
            </w:r>
          </w:p>
        </w:tc>
        <w:tc>
          <w:tcPr>
            <w:tcW w:w="2016" w:type="dxa"/>
            <w:shd w:val="clear" w:color="auto" w:fill="D9E2F3"/>
            <w:vAlign w:val="center"/>
          </w:tcPr>
          <w:p w14:paraId="7B4EA867" w14:textId="77777777" w:rsidR="00990B14" w:rsidRDefault="00000000">
            <w:pPr>
              <w:spacing w:before="20" w:after="20"/>
              <w:jc w:val="center"/>
            </w:pPr>
            <w:r>
              <w:rPr>
                <w:b/>
                <w:bCs/>
                <w:sz w:val="18"/>
                <w:szCs w:val="18"/>
              </w:rPr>
              <w:t>4%</w:t>
            </w:r>
          </w:p>
        </w:tc>
      </w:tr>
      <w:tr w:rsidR="00990B14" w14:paraId="70D6A46D" w14:textId="77777777">
        <w:trPr>
          <w:cantSplit/>
          <w:jc w:val="center"/>
        </w:trPr>
        <w:tc>
          <w:tcPr>
            <w:tcW w:w="1809" w:type="dxa"/>
            <w:vMerge/>
            <w:shd w:val="clear" w:color="auto" w:fill="4472C4"/>
            <w:vAlign w:val="center"/>
          </w:tcPr>
          <w:p w14:paraId="675B24E7" w14:textId="77777777" w:rsidR="00990B14" w:rsidRDefault="00990B14">
            <w:pPr>
              <w:spacing w:before="20" w:after="20"/>
            </w:pPr>
          </w:p>
        </w:tc>
        <w:tc>
          <w:tcPr>
            <w:tcW w:w="1860" w:type="dxa"/>
            <w:shd w:val="clear" w:color="auto" w:fill="4472C4"/>
            <w:vAlign w:val="center"/>
          </w:tcPr>
          <w:p w14:paraId="2EA3AB4E" w14:textId="77777777" w:rsidR="00990B14" w:rsidRDefault="00000000">
            <w:pPr>
              <w:keepNext/>
              <w:spacing w:before="20" w:after="20"/>
              <w:jc w:val="center"/>
            </w:pPr>
            <w:r>
              <w:rPr>
                <w:b/>
                <w:bCs/>
                <w:i/>
                <w:iCs/>
                <w:color w:val="FFFFFF"/>
                <w:sz w:val="18"/>
                <w:szCs w:val="18"/>
              </w:rPr>
              <w:t>Criterio</w:t>
            </w:r>
          </w:p>
        </w:tc>
        <w:tc>
          <w:tcPr>
            <w:tcW w:w="1860" w:type="dxa"/>
            <w:shd w:val="clear" w:color="auto" w:fill="4472C4"/>
            <w:vAlign w:val="center"/>
          </w:tcPr>
          <w:p w14:paraId="57EF8CB3" w14:textId="77777777" w:rsidR="00990B14" w:rsidRDefault="00000000">
            <w:pPr>
              <w:keepNext/>
              <w:spacing w:before="20" w:after="20"/>
              <w:jc w:val="center"/>
            </w:pPr>
            <w:r>
              <w:rPr>
                <w:b/>
                <w:bCs/>
                <w:i/>
                <w:iCs/>
                <w:color w:val="FFFFFF"/>
                <w:sz w:val="18"/>
                <w:szCs w:val="18"/>
              </w:rPr>
              <w:t>Insuficiente (1–50)</w:t>
            </w:r>
          </w:p>
        </w:tc>
        <w:tc>
          <w:tcPr>
            <w:tcW w:w="1860" w:type="dxa"/>
            <w:shd w:val="clear" w:color="auto" w:fill="4472C4"/>
            <w:vAlign w:val="center"/>
          </w:tcPr>
          <w:p w14:paraId="1BF5A62A" w14:textId="77777777" w:rsidR="00990B14" w:rsidRDefault="00000000">
            <w:pPr>
              <w:keepNext/>
              <w:spacing w:before="20" w:after="20"/>
              <w:jc w:val="center"/>
            </w:pPr>
            <w:r>
              <w:rPr>
                <w:b/>
                <w:bCs/>
                <w:i/>
                <w:iCs/>
                <w:color w:val="FFFFFF"/>
                <w:sz w:val="18"/>
                <w:szCs w:val="18"/>
              </w:rPr>
              <w:t>Suficiente (51–80)</w:t>
            </w:r>
          </w:p>
        </w:tc>
        <w:tc>
          <w:tcPr>
            <w:tcW w:w="2016" w:type="dxa"/>
            <w:shd w:val="clear" w:color="auto" w:fill="4472C4"/>
            <w:vAlign w:val="center"/>
          </w:tcPr>
          <w:p w14:paraId="39F46BC1" w14:textId="77777777" w:rsidR="00990B14" w:rsidRDefault="00000000">
            <w:pPr>
              <w:keepNext/>
              <w:spacing w:before="20" w:after="20"/>
              <w:jc w:val="center"/>
            </w:pPr>
            <w:r>
              <w:rPr>
                <w:b/>
                <w:bCs/>
                <w:i/>
                <w:iCs/>
                <w:color w:val="FFFFFF"/>
                <w:sz w:val="18"/>
                <w:szCs w:val="18"/>
              </w:rPr>
              <w:t>Destacado (81–100)</w:t>
            </w:r>
          </w:p>
        </w:tc>
      </w:tr>
      <w:tr w:rsidR="00990B14" w14:paraId="65EF4A90" w14:textId="77777777">
        <w:trPr>
          <w:cantSplit/>
          <w:jc w:val="center"/>
        </w:trPr>
        <w:tc>
          <w:tcPr>
            <w:tcW w:w="1809" w:type="dxa"/>
            <w:vMerge/>
            <w:shd w:val="clear" w:color="auto" w:fill="4472C4"/>
            <w:vAlign w:val="center"/>
          </w:tcPr>
          <w:p w14:paraId="756ED737" w14:textId="77777777" w:rsidR="00990B14" w:rsidRDefault="00990B14">
            <w:pPr>
              <w:spacing w:before="20" w:after="20"/>
            </w:pPr>
          </w:p>
        </w:tc>
        <w:tc>
          <w:tcPr>
            <w:tcW w:w="1860" w:type="dxa"/>
            <w:shd w:val="clear" w:color="auto" w:fill="D9E2F3"/>
            <w:vAlign w:val="center"/>
          </w:tcPr>
          <w:p w14:paraId="38434F4B" w14:textId="77777777" w:rsidR="00990B14" w:rsidRDefault="00000000">
            <w:pPr>
              <w:spacing w:before="20" w:after="20"/>
              <w:jc w:val="both"/>
            </w:pPr>
            <w:r>
              <w:rPr>
                <w:sz w:val="18"/>
                <w:szCs w:val="18"/>
              </w:rPr>
              <w:t>Factores de localización</w:t>
            </w:r>
          </w:p>
        </w:tc>
        <w:tc>
          <w:tcPr>
            <w:tcW w:w="1860" w:type="dxa"/>
            <w:shd w:val="clear" w:color="auto" w:fill="D9E2F3"/>
            <w:vAlign w:val="center"/>
          </w:tcPr>
          <w:p w14:paraId="0945C2E5" w14:textId="77777777" w:rsidR="00990B14" w:rsidRDefault="00000000">
            <w:pPr>
              <w:spacing w:before="20" w:after="20"/>
              <w:jc w:val="both"/>
            </w:pPr>
            <w:r>
              <w:rPr>
                <w:sz w:val="18"/>
                <w:szCs w:val="18"/>
              </w:rPr>
              <w:t>Usa factores no pertinentes.</w:t>
            </w:r>
          </w:p>
        </w:tc>
        <w:tc>
          <w:tcPr>
            <w:tcW w:w="1860" w:type="dxa"/>
            <w:shd w:val="clear" w:color="auto" w:fill="D9E2F3"/>
            <w:vAlign w:val="center"/>
          </w:tcPr>
          <w:p w14:paraId="54528C14" w14:textId="77777777" w:rsidR="00990B14" w:rsidRDefault="00000000">
            <w:pPr>
              <w:spacing w:before="20" w:after="20"/>
              <w:jc w:val="both"/>
            </w:pPr>
            <w:r>
              <w:rPr>
                <w:sz w:val="18"/>
                <w:szCs w:val="18"/>
              </w:rPr>
              <w:t>Selecciona los factores de localización relevantes.</w:t>
            </w:r>
          </w:p>
        </w:tc>
        <w:tc>
          <w:tcPr>
            <w:tcW w:w="2016" w:type="dxa"/>
            <w:shd w:val="clear" w:color="auto" w:fill="D9E2F3"/>
            <w:vAlign w:val="center"/>
          </w:tcPr>
          <w:p w14:paraId="7DD4C0A4" w14:textId="77777777" w:rsidR="00990B14" w:rsidRDefault="00000000">
            <w:pPr>
              <w:spacing w:before="20" w:after="20"/>
              <w:jc w:val="both"/>
            </w:pPr>
            <w:r>
              <w:rPr>
                <w:sz w:val="18"/>
                <w:szCs w:val="18"/>
              </w:rPr>
              <w:t>Justifica la ponderación de cada factor.</w:t>
            </w:r>
          </w:p>
        </w:tc>
      </w:tr>
      <w:tr w:rsidR="00990B14" w14:paraId="467ACDAB" w14:textId="77777777">
        <w:trPr>
          <w:cantSplit/>
          <w:jc w:val="center"/>
        </w:trPr>
        <w:tc>
          <w:tcPr>
            <w:tcW w:w="1809" w:type="dxa"/>
            <w:vMerge/>
            <w:shd w:val="clear" w:color="auto" w:fill="4472C4"/>
            <w:vAlign w:val="center"/>
          </w:tcPr>
          <w:p w14:paraId="280C613D" w14:textId="77777777" w:rsidR="00990B14" w:rsidRDefault="00990B14">
            <w:pPr>
              <w:spacing w:before="20" w:after="20"/>
            </w:pPr>
          </w:p>
        </w:tc>
        <w:tc>
          <w:tcPr>
            <w:tcW w:w="1860" w:type="dxa"/>
            <w:shd w:val="clear" w:color="auto" w:fill="D9E2F3"/>
            <w:vAlign w:val="center"/>
          </w:tcPr>
          <w:p w14:paraId="7DFB1C5A" w14:textId="77777777" w:rsidR="00990B14" w:rsidRDefault="00000000">
            <w:pPr>
              <w:spacing w:before="20" w:after="20"/>
              <w:jc w:val="both"/>
            </w:pPr>
            <w:r>
              <w:rPr>
                <w:sz w:val="18"/>
                <w:szCs w:val="18"/>
              </w:rPr>
              <w:t>Calificación</w:t>
            </w:r>
          </w:p>
        </w:tc>
        <w:tc>
          <w:tcPr>
            <w:tcW w:w="1860" w:type="dxa"/>
            <w:shd w:val="clear" w:color="auto" w:fill="D9E2F3"/>
            <w:vAlign w:val="center"/>
          </w:tcPr>
          <w:p w14:paraId="257B9591" w14:textId="77777777" w:rsidR="00990B14" w:rsidRDefault="00000000">
            <w:pPr>
              <w:spacing w:before="20" w:after="20"/>
              <w:jc w:val="both"/>
            </w:pPr>
            <w:r>
              <w:rPr>
                <w:sz w:val="18"/>
                <w:szCs w:val="18"/>
              </w:rPr>
              <w:t>Califica sin criterio.</w:t>
            </w:r>
          </w:p>
        </w:tc>
        <w:tc>
          <w:tcPr>
            <w:tcW w:w="1860" w:type="dxa"/>
            <w:shd w:val="clear" w:color="auto" w:fill="D9E2F3"/>
            <w:vAlign w:val="center"/>
          </w:tcPr>
          <w:p w14:paraId="1125B2AC" w14:textId="77777777" w:rsidR="00990B14" w:rsidRDefault="00000000">
            <w:pPr>
              <w:spacing w:before="20" w:after="20"/>
              <w:jc w:val="both"/>
            </w:pPr>
            <w:r>
              <w:rPr>
                <w:sz w:val="18"/>
                <w:szCs w:val="18"/>
              </w:rPr>
              <w:t>Califica y pondera cada alternativa.</w:t>
            </w:r>
          </w:p>
        </w:tc>
        <w:tc>
          <w:tcPr>
            <w:tcW w:w="2016" w:type="dxa"/>
            <w:shd w:val="clear" w:color="auto" w:fill="D9E2F3"/>
            <w:vAlign w:val="center"/>
          </w:tcPr>
          <w:p w14:paraId="6E441F89" w14:textId="77777777" w:rsidR="00990B14" w:rsidRDefault="00000000">
            <w:pPr>
              <w:spacing w:before="20" w:after="20"/>
              <w:jc w:val="both"/>
            </w:pPr>
            <w:r>
              <w:rPr>
                <w:sz w:val="18"/>
                <w:szCs w:val="18"/>
              </w:rPr>
              <w:t>Analiza la sensibilidad del resultado ante cambios de pesos.</w:t>
            </w:r>
          </w:p>
        </w:tc>
      </w:tr>
      <w:tr w:rsidR="00990B14" w14:paraId="50021EE6" w14:textId="77777777">
        <w:trPr>
          <w:cantSplit/>
          <w:jc w:val="center"/>
        </w:trPr>
        <w:tc>
          <w:tcPr>
            <w:tcW w:w="1809" w:type="dxa"/>
            <w:vMerge/>
            <w:shd w:val="clear" w:color="auto" w:fill="4472C4"/>
            <w:vAlign w:val="center"/>
          </w:tcPr>
          <w:p w14:paraId="7030FF8C" w14:textId="77777777" w:rsidR="00990B14" w:rsidRDefault="00990B14">
            <w:pPr>
              <w:spacing w:before="20" w:after="20"/>
            </w:pPr>
          </w:p>
        </w:tc>
        <w:tc>
          <w:tcPr>
            <w:tcW w:w="1860" w:type="dxa"/>
            <w:shd w:val="clear" w:color="auto" w:fill="D9E2F3"/>
            <w:vAlign w:val="center"/>
          </w:tcPr>
          <w:p w14:paraId="22C88350" w14:textId="77777777" w:rsidR="00990B14" w:rsidRDefault="00000000">
            <w:pPr>
              <w:spacing w:before="20" w:after="20"/>
              <w:jc w:val="both"/>
            </w:pPr>
            <w:r>
              <w:rPr>
                <w:sz w:val="18"/>
                <w:szCs w:val="18"/>
              </w:rPr>
              <w:t>Decisión</w:t>
            </w:r>
          </w:p>
        </w:tc>
        <w:tc>
          <w:tcPr>
            <w:tcW w:w="1860" w:type="dxa"/>
            <w:shd w:val="clear" w:color="auto" w:fill="D9E2F3"/>
            <w:vAlign w:val="center"/>
          </w:tcPr>
          <w:p w14:paraId="01626BCF" w14:textId="77777777" w:rsidR="00990B14" w:rsidRDefault="00000000">
            <w:pPr>
              <w:spacing w:before="20" w:after="20"/>
              <w:jc w:val="both"/>
            </w:pPr>
            <w:r>
              <w:rPr>
                <w:sz w:val="18"/>
                <w:szCs w:val="18"/>
              </w:rPr>
              <w:t>No elige la localización.</w:t>
            </w:r>
          </w:p>
        </w:tc>
        <w:tc>
          <w:tcPr>
            <w:tcW w:w="1860" w:type="dxa"/>
            <w:shd w:val="clear" w:color="auto" w:fill="D9E2F3"/>
            <w:vAlign w:val="center"/>
          </w:tcPr>
          <w:p w14:paraId="37CE8C36" w14:textId="77777777" w:rsidR="00990B14" w:rsidRDefault="00000000">
            <w:pPr>
              <w:spacing w:before="20" w:after="20"/>
              <w:jc w:val="both"/>
            </w:pPr>
            <w:r>
              <w:rPr>
                <w:sz w:val="18"/>
                <w:szCs w:val="18"/>
              </w:rPr>
              <w:t>Elige la localización de mayor puntaje.</w:t>
            </w:r>
          </w:p>
        </w:tc>
        <w:tc>
          <w:tcPr>
            <w:tcW w:w="2016" w:type="dxa"/>
            <w:shd w:val="clear" w:color="auto" w:fill="D9E2F3"/>
            <w:vAlign w:val="center"/>
          </w:tcPr>
          <w:p w14:paraId="09E5CD50" w14:textId="77777777" w:rsidR="00990B14" w:rsidRDefault="00000000">
            <w:pPr>
              <w:spacing w:before="20" w:after="20"/>
              <w:jc w:val="both"/>
            </w:pPr>
            <w:r>
              <w:rPr>
                <w:sz w:val="18"/>
                <w:szCs w:val="18"/>
              </w:rPr>
              <w:t>Sustenta la decisión con información del territorio.</w:t>
            </w:r>
          </w:p>
        </w:tc>
      </w:tr>
      <w:tr w:rsidR="00990B14" w14:paraId="09DA27D7" w14:textId="77777777">
        <w:trPr>
          <w:cantSplit/>
          <w:jc w:val="center"/>
        </w:trPr>
        <w:tc>
          <w:tcPr>
            <w:tcW w:w="1809" w:type="dxa"/>
            <w:vMerge/>
            <w:shd w:val="clear" w:color="auto" w:fill="4472C4"/>
            <w:vAlign w:val="center"/>
          </w:tcPr>
          <w:p w14:paraId="7C68372A" w14:textId="77777777" w:rsidR="00990B14" w:rsidRDefault="00990B14">
            <w:pPr>
              <w:spacing w:before="20" w:after="20"/>
            </w:pPr>
          </w:p>
        </w:tc>
        <w:tc>
          <w:tcPr>
            <w:tcW w:w="5580" w:type="dxa"/>
            <w:gridSpan w:val="3"/>
            <w:shd w:val="clear" w:color="auto" w:fill="D9E2F3"/>
            <w:vAlign w:val="center"/>
          </w:tcPr>
          <w:p w14:paraId="45194FC0" w14:textId="77777777" w:rsidR="00990B14" w:rsidRDefault="00000000">
            <w:pPr>
              <w:keepNext/>
              <w:spacing w:before="20" w:after="20"/>
              <w:jc w:val="both"/>
            </w:pPr>
            <w:r>
              <w:rPr>
                <w:b/>
                <w:bCs/>
                <w:i/>
                <w:iCs/>
                <w:sz w:val="18"/>
                <w:szCs w:val="18"/>
              </w:rPr>
              <w:t xml:space="preserve">Producto 12: </w:t>
            </w:r>
            <w:r>
              <w:rPr>
                <w:sz w:val="18"/>
                <w:szCs w:val="18"/>
              </w:rPr>
              <w:t>Informe de viabilidad.</w:t>
            </w:r>
          </w:p>
        </w:tc>
        <w:tc>
          <w:tcPr>
            <w:tcW w:w="2016" w:type="dxa"/>
            <w:shd w:val="clear" w:color="auto" w:fill="D9E2F3"/>
            <w:vAlign w:val="center"/>
          </w:tcPr>
          <w:p w14:paraId="77155E93" w14:textId="77777777" w:rsidR="00990B14" w:rsidRDefault="00000000">
            <w:pPr>
              <w:spacing w:before="20" w:after="20"/>
              <w:jc w:val="center"/>
            </w:pPr>
            <w:r>
              <w:rPr>
                <w:b/>
                <w:bCs/>
                <w:sz w:val="18"/>
                <w:szCs w:val="18"/>
              </w:rPr>
              <w:t>3%</w:t>
            </w:r>
          </w:p>
        </w:tc>
      </w:tr>
      <w:tr w:rsidR="00990B14" w14:paraId="2845264E" w14:textId="77777777">
        <w:trPr>
          <w:cantSplit/>
          <w:jc w:val="center"/>
        </w:trPr>
        <w:tc>
          <w:tcPr>
            <w:tcW w:w="1809" w:type="dxa"/>
            <w:vMerge/>
            <w:shd w:val="clear" w:color="auto" w:fill="4472C4"/>
            <w:vAlign w:val="center"/>
          </w:tcPr>
          <w:p w14:paraId="11370F17" w14:textId="77777777" w:rsidR="00990B14" w:rsidRDefault="00990B14">
            <w:pPr>
              <w:spacing w:before="20" w:after="20"/>
            </w:pPr>
          </w:p>
        </w:tc>
        <w:tc>
          <w:tcPr>
            <w:tcW w:w="1860" w:type="dxa"/>
            <w:shd w:val="clear" w:color="auto" w:fill="4472C4"/>
            <w:vAlign w:val="center"/>
          </w:tcPr>
          <w:p w14:paraId="084AB0BD" w14:textId="77777777" w:rsidR="00990B14" w:rsidRDefault="00000000">
            <w:pPr>
              <w:keepNext/>
              <w:spacing w:before="20" w:after="20"/>
              <w:jc w:val="center"/>
            </w:pPr>
            <w:r>
              <w:rPr>
                <w:b/>
                <w:bCs/>
                <w:i/>
                <w:iCs/>
                <w:color w:val="FFFFFF"/>
                <w:sz w:val="18"/>
                <w:szCs w:val="18"/>
              </w:rPr>
              <w:t>Criterio</w:t>
            </w:r>
          </w:p>
        </w:tc>
        <w:tc>
          <w:tcPr>
            <w:tcW w:w="1860" w:type="dxa"/>
            <w:shd w:val="clear" w:color="auto" w:fill="4472C4"/>
            <w:vAlign w:val="center"/>
          </w:tcPr>
          <w:p w14:paraId="346AEBCC" w14:textId="77777777" w:rsidR="00990B14" w:rsidRDefault="00000000">
            <w:pPr>
              <w:keepNext/>
              <w:spacing w:before="20" w:after="20"/>
              <w:jc w:val="center"/>
            </w:pPr>
            <w:r>
              <w:rPr>
                <w:b/>
                <w:bCs/>
                <w:i/>
                <w:iCs/>
                <w:color w:val="FFFFFF"/>
                <w:sz w:val="18"/>
                <w:szCs w:val="18"/>
              </w:rPr>
              <w:t>Insuficiente (1–50)</w:t>
            </w:r>
          </w:p>
        </w:tc>
        <w:tc>
          <w:tcPr>
            <w:tcW w:w="1860" w:type="dxa"/>
            <w:shd w:val="clear" w:color="auto" w:fill="4472C4"/>
            <w:vAlign w:val="center"/>
          </w:tcPr>
          <w:p w14:paraId="04E4C03D" w14:textId="77777777" w:rsidR="00990B14" w:rsidRDefault="00000000">
            <w:pPr>
              <w:keepNext/>
              <w:spacing w:before="20" w:after="20"/>
              <w:jc w:val="center"/>
            </w:pPr>
            <w:r>
              <w:rPr>
                <w:b/>
                <w:bCs/>
                <w:i/>
                <w:iCs/>
                <w:color w:val="FFFFFF"/>
                <w:sz w:val="18"/>
                <w:szCs w:val="18"/>
              </w:rPr>
              <w:t>Suficiente (51–80)</w:t>
            </w:r>
          </w:p>
        </w:tc>
        <w:tc>
          <w:tcPr>
            <w:tcW w:w="2016" w:type="dxa"/>
            <w:shd w:val="clear" w:color="auto" w:fill="4472C4"/>
            <w:vAlign w:val="center"/>
          </w:tcPr>
          <w:p w14:paraId="56AF9071" w14:textId="77777777" w:rsidR="00990B14" w:rsidRDefault="00000000">
            <w:pPr>
              <w:keepNext/>
              <w:spacing w:before="20" w:after="20"/>
              <w:jc w:val="center"/>
            </w:pPr>
            <w:r>
              <w:rPr>
                <w:b/>
                <w:bCs/>
                <w:i/>
                <w:iCs/>
                <w:color w:val="FFFFFF"/>
                <w:sz w:val="18"/>
                <w:szCs w:val="18"/>
              </w:rPr>
              <w:t>Destacado (81–100)</w:t>
            </w:r>
          </w:p>
        </w:tc>
      </w:tr>
      <w:tr w:rsidR="00990B14" w14:paraId="6CC21228" w14:textId="77777777">
        <w:trPr>
          <w:cantSplit/>
          <w:jc w:val="center"/>
        </w:trPr>
        <w:tc>
          <w:tcPr>
            <w:tcW w:w="1809" w:type="dxa"/>
            <w:vMerge/>
            <w:shd w:val="clear" w:color="auto" w:fill="4472C4"/>
            <w:vAlign w:val="center"/>
          </w:tcPr>
          <w:p w14:paraId="7FDB3D59" w14:textId="77777777" w:rsidR="00990B14" w:rsidRDefault="00990B14">
            <w:pPr>
              <w:spacing w:before="20" w:after="20"/>
            </w:pPr>
          </w:p>
        </w:tc>
        <w:tc>
          <w:tcPr>
            <w:tcW w:w="1860" w:type="dxa"/>
            <w:shd w:val="clear" w:color="auto" w:fill="D9E2F3"/>
            <w:vAlign w:val="center"/>
          </w:tcPr>
          <w:p w14:paraId="18CD7652" w14:textId="77777777" w:rsidR="00990B14" w:rsidRDefault="00000000">
            <w:pPr>
              <w:spacing w:before="20" w:after="20"/>
              <w:jc w:val="both"/>
            </w:pPr>
            <w:r>
              <w:rPr>
                <w:sz w:val="18"/>
                <w:szCs w:val="18"/>
              </w:rPr>
              <w:t>Informe de viabilidad</w:t>
            </w:r>
          </w:p>
        </w:tc>
        <w:tc>
          <w:tcPr>
            <w:tcW w:w="1860" w:type="dxa"/>
            <w:shd w:val="clear" w:color="auto" w:fill="D9E2F3"/>
            <w:vAlign w:val="center"/>
          </w:tcPr>
          <w:p w14:paraId="1D40EC5A" w14:textId="77777777" w:rsidR="00990B14" w:rsidRDefault="00000000">
            <w:pPr>
              <w:spacing w:before="20" w:after="20"/>
              <w:jc w:val="both"/>
            </w:pPr>
            <w:r>
              <w:rPr>
                <w:sz w:val="18"/>
                <w:szCs w:val="18"/>
              </w:rPr>
              <w:t>No identifica ningún tipo de viabilidad.</w:t>
            </w:r>
          </w:p>
        </w:tc>
        <w:tc>
          <w:tcPr>
            <w:tcW w:w="1860" w:type="dxa"/>
            <w:shd w:val="clear" w:color="auto" w:fill="D9E2F3"/>
            <w:vAlign w:val="center"/>
          </w:tcPr>
          <w:p w14:paraId="5EB7F3E3" w14:textId="77777777" w:rsidR="00990B14" w:rsidRDefault="00000000">
            <w:pPr>
              <w:spacing w:before="20" w:after="20"/>
              <w:jc w:val="both"/>
            </w:pPr>
            <w:r>
              <w:rPr>
                <w:sz w:val="18"/>
                <w:szCs w:val="18"/>
              </w:rPr>
              <w:t>Al menos identifica 3 tipos de viabilidad.</w:t>
            </w:r>
          </w:p>
        </w:tc>
        <w:tc>
          <w:tcPr>
            <w:tcW w:w="2016" w:type="dxa"/>
            <w:shd w:val="clear" w:color="auto" w:fill="D9E2F3"/>
            <w:vAlign w:val="center"/>
          </w:tcPr>
          <w:p w14:paraId="52143856" w14:textId="77777777" w:rsidR="00990B14" w:rsidRDefault="00000000">
            <w:pPr>
              <w:spacing w:before="20" w:after="20"/>
              <w:jc w:val="both"/>
            </w:pPr>
            <w:r>
              <w:rPr>
                <w:sz w:val="18"/>
                <w:szCs w:val="18"/>
              </w:rPr>
              <w:t>Identifica y explica la viabilidad integral del proyecto.</w:t>
            </w:r>
          </w:p>
        </w:tc>
      </w:tr>
      <w:tr w:rsidR="00990B14" w14:paraId="759AC895" w14:textId="77777777">
        <w:trPr>
          <w:cantSplit/>
          <w:jc w:val="center"/>
        </w:trPr>
        <w:tc>
          <w:tcPr>
            <w:tcW w:w="1809" w:type="dxa"/>
            <w:vMerge/>
            <w:shd w:val="clear" w:color="auto" w:fill="4472C4"/>
            <w:vAlign w:val="center"/>
          </w:tcPr>
          <w:p w14:paraId="6C3F7D58" w14:textId="77777777" w:rsidR="00990B14" w:rsidRDefault="00990B14">
            <w:pPr>
              <w:spacing w:before="20" w:after="20"/>
            </w:pPr>
          </w:p>
        </w:tc>
        <w:tc>
          <w:tcPr>
            <w:tcW w:w="1860" w:type="dxa"/>
            <w:shd w:val="clear" w:color="auto" w:fill="D9E2F3"/>
            <w:vAlign w:val="center"/>
          </w:tcPr>
          <w:p w14:paraId="5AB879B3" w14:textId="77777777" w:rsidR="00990B14" w:rsidRDefault="00000000">
            <w:pPr>
              <w:spacing w:before="20" w:after="20"/>
              <w:jc w:val="both"/>
            </w:pPr>
            <w:r>
              <w:rPr>
                <w:sz w:val="18"/>
                <w:szCs w:val="18"/>
              </w:rPr>
              <w:t>Sustento de la viabilidad</w:t>
            </w:r>
          </w:p>
        </w:tc>
        <w:tc>
          <w:tcPr>
            <w:tcW w:w="1860" w:type="dxa"/>
            <w:shd w:val="clear" w:color="auto" w:fill="D9E2F3"/>
            <w:vAlign w:val="center"/>
          </w:tcPr>
          <w:p w14:paraId="7221B50C" w14:textId="77777777" w:rsidR="00990B14" w:rsidRDefault="00000000">
            <w:pPr>
              <w:spacing w:before="20" w:after="20"/>
              <w:jc w:val="both"/>
            </w:pPr>
            <w:r>
              <w:rPr>
                <w:sz w:val="18"/>
                <w:szCs w:val="18"/>
              </w:rPr>
              <w:t>No sustenta la viabilidad con información del proyecto.</w:t>
            </w:r>
          </w:p>
        </w:tc>
        <w:tc>
          <w:tcPr>
            <w:tcW w:w="1860" w:type="dxa"/>
            <w:shd w:val="clear" w:color="auto" w:fill="D9E2F3"/>
            <w:vAlign w:val="center"/>
          </w:tcPr>
          <w:p w14:paraId="122B7237" w14:textId="77777777" w:rsidR="00990B14" w:rsidRDefault="00000000">
            <w:pPr>
              <w:spacing w:before="20" w:after="20"/>
              <w:jc w:val="both"/>
            </w:pPr>
            <w:r>
              <w:rPr>
                <w:sz w:val="18"/>
                <w:szCs w:val="18"/>
              </w:rPr>
              <w:t>Sustenta cada tipo de viabilidad con información del proyecto.</w:t>
            </w:r>
          </w:p>
        </w:tc>
        <w:tc>
          <w:tcPr>
            <w:tcW w:w="2016" w:type="dxa"/>
            <w:shd w:val="clear" w:color="auto" w:fill="D9E2F3"/>
            <w:vAlign w:val="center"/>
          </w:tcPr>
          <w:p w14:paraId="27C96E57" w14:textId="77777777" w:rsidR="00990B14" w:rsidRDefault="00000000">
            <w:pPr>
              <w:spacing w:before="20" w:after="20"/>
              <w:jc w:val="both"/>
            </w:pPr>
            <w:r>
              <w:rPr>
                <w:sz w:val="18"/>
                <w:szCs w:val="18"/>
              </w:rPr>
              <w:t>Sustenta la viabilidad con información verificada y fuentes citadas.</w:t>
            </w:r>
          </w:p>
        </w:tc>
      </w:tr>
      <w:tr w:rsidR="00990B14" w14:paraId="223CD8FF" w14:textId="77777777">
        <w:trPr>
          <w:cantSplit/>
          <w:jc w:val="center"/>
        </w:trPr>
        <w:tc>
          <w:tcPr>
            <w:tcW w:w="1809" w:type="dxa"/>
            <w:vMerge/>
            <w:shd w:val="clear" w:color="auto" w:fill="4472C4"/>
            <w:vAlign w:val="center"/>
          </w:tcPr>
          <w:p w14:paraId="4E0DF92F" w14:textId="77777777" w:rsidR="00990B14" w:rsidRDefault="00990B14">
            <w:pPr>
              <w:spacing w:before="20" w:after="20"/>
            </w:pPr>
          </w:p>
        </w:tc>
        <w:tc>
          <w:tcPr>
            <w:tcW w:w="1860" w:type="dxa"/>
            <w:shd w:val="clear" w:color="auto" w:fill="D9E2F3"/>
            <w:vAlign w:val="center"/>
          </w:tcPr>
          <w:p w14:paraId="091D6010" w14:textId="77777777" w:rsidR="00990B14" w:rsidRDefault="00000000">
            <w:pPr>
              <w:spacing w:before="20" w:after="20"/>
              <w:jc w:val="both"/>
            </w:pPr>
            <w:r>
              <w:rPr>
                <w:sz w:val="18"/>
                <w:szCs w:val="18"/>
              </w:rPr>
              <w:t>Conclusiones</w:t>
            </w:r>
          </w:p>
        </w:tc>
        <w:tc>
          <w:tcPr>
            <w:tcW w:w="1860" w:type="dxa"/>
            <w:shd w:val="clear" w:color="auto" w:fill="D9E2F3"/>
            <w:vAlign w:val="center"/>
          </w:tcPr>
          <w:p w14:paraId="46FAED13" w14:textId="77777777" w:rsidR="00990B14" w:rsidRDefault="00000000">
            <w:pPr>
              <w:spacing w:before="20" w:after="20"/>
              <w:jc w:val="both"/>
            </w:pPr>
            <w:r>
              <w:rPr>
                <w:sz w:val="18"/>
                <w:szCs w:val="18"/>
              </w:rPr>
              <w:t>No formula conclusiones.</w:t>
            </w:r>
          </w:p>
        </w:tc>
        <w:tc>
          <w:tcPr>
            <w:tcW w:w="1860" w:type="dxa"/>
            <w:shd w:val="clear" w:color="auto" w:fill="D9E2F3"/>
            <w:vAlign w:val="center"/>
          </w:tcPr>
          <w:p w14:paraId="2365D2A3" w14:textId="77777777" w:rsidR="00990B14" w:rsidRDefault="00000000">
            <w:pPr>
              <w:spacing w:before="20" w:after="20"/>
              <w:jc w:val="both"/>
            </w:pPr>
            <w:r>
              <w:rPr>
                <w:sz w:val="18"/>
                <w:szCs w:val="18"/>
              </w:rPr>
              <w:t>Formula conclusiones sobre la viabilidad del proyecto.</w:t>
            </w:r>
          </w:p>
        </w:tc>
        <w:tc>
          <w:tcPr>
            <w:tcW w:w="2016" w:type="dxa"/>
            <w:shd w:val="clear" w:color="auto" w:fill="D9E2F3"/>
            <w:vAlign w:val="center"/>
          </w:tcPr>
          <w:p w14:paraId="144E7DCD" w14:textId="77777777" w:rsidR="00990B14" w:rsidRDefault="00000000">
            <w:pPr>
              <w:spacing w:before="20" w:after="20"/>
              <w:jc w:val="both"/>
            </w:pPr>
            <w:r>
              <w:rPr>
                <w:sz w:val="18"/>
                <w:szCs w:val="18"/>
              </w:rPr>
              <w:t>Formula conclusiones y recomendaciones para la toma de decisiones.</w:t>
            </w:r>
          </w:p>
        </w:tc>
      </w:tr>
      <w:tr w:rsidR="00990B14" w14:paraId="53795C02" w14:textId="77777777">
        <w:trPr>
          <w:cantSplit/>
          <w:jc w:val="center"/>
        </w:trPr>
        <w:tc>
          <w:tcPr>
            <w:tcW w:w="1809" w:type="dxa"/>
            <w:vMerge/>
            <w:shd w:val="clear" w:color="auto" w:fill="4472C4"/>
            <w:vAlign w:val="center"/>
          </w:tcPr>
          <w:p w14:paraId="135D78F8" w14:textId="77777777" w:rsidR="00990B14" w:rsidRDefault="00990B14">
            <w:pPr>
              <w:spacing w:before="20" w:after="20"/>
            </w:pPr>
          </w:p>
        </w:tc>
        <w:tc>
          <w:tcPr>
            <w:tcW w:w="5580" w:type="dxa"/>
            <w:gridSpan w:val="3"/>
            <w:shd w:val="clear" w:color="auto" w:fill="D9E2F3"/>
            <w:vAlign w:val="center"/>
          </w:tcPr>
          <w:p w14:paraId="03F67CC4" w14:textId="77777777" w:rsidR="00990B14" w:rsidRDefault="00000000">
            <w:pPr>
              <w:keepNext/>
              <w:spacing w:before="20" w:after="20"/>
              <w:jc w:val="both"/>
            </w:pPr>
            <w:r>
              <w:rPr>
                <w:b/>
                <w:bCs/>
                <w:i/>
                <w:iCs/>
                <w:sz w:val="18"/>
                <w:szCs w:val="18"/>
              </w:rPr>
              <w:t xml:space="preserve">Producto 13: </w:t>
            </w:r>
            <w:r>
              <w:rPr>
                <w:sz w:val="18"/>
                <w:szCs w:val="18"/>
              </w:rPr>
              <w:t>Cuadro de costos del proyecto</w:t>
            </w:r>
          </w:p>
        </w:tc>
        <w:tc>
          <w:tcPr>
            <w:tcW w:w="2016" w:type="dxa"/>
            <w:shd w:val="clear" w:color="auto" w:fill="D9E2F3"/>
            <w:vAlign w:val="center"/>
          </w:tcPr>
          <w:p w14:paraId="221D274C" w14:textId="77777777" w:rsidR="00990B14" w:rsidRDefault="00000000">
            <w:pPr>
              <w:spacing w:before="20" w:after="20"/>
              <w:jc w:val="center"/>
            </w:pPr>
            <w:r>
              <w:rPr>
                <w:b/>
                <w:bCs/>
                <w:sz w:val="18"/>
                <w:szCs w:val="18"/>
              </w:rPr>
              <w:t>7%</w:t>
            </w:r>
          </w:p>
        </w:tc>
      </w:tr>
      <w:tr w:rsidR="00990B14" w14:paraId="1322620B" w14:textId="77777777">
        <w:trPr>
          <w:cantSplit/>
          <w:jc w:val="center"/>
        </w:trPr>
        <w:tc>
          <w:tcPr>
            <w:tcW w:w="1809" w:type="dxa"/>
            <w:vMerge/>
            <w:shd w:val="clear" w:color="auto" w:fill="4472C4"/>
            <w:vAlign w:val="center"/>
          </w:tcPr>
          <w:p w14:paraId="71CBAAEA" w14:textId="77777777" w:rsidR="00990B14" w:rsidRDefault="00990B14">
            <w:pPr>
              <w:spacing w:before="20" w:after="20"/>
            </w:pPr>
          </w:p>
        </w:tc>
        <w:tc>
          <w:tcPr>
            <w:tcW w:w="1860" w:type="dxa"/>
            <w:shd w:val="clear" w:color="auto" w:fill="4472C4"/>
            <w:vAlign w:val="center"/>
          </w:tcPr>
          <w:p w14:paraId="2D68CC51" w14:textId="77777777" w:rsidR="00990B14" w:rsidRDefault="00000000">
            <w:pPr>
              <w:keepNext/>
              <w:spacing w:before="20" w:after="20"/>
              <w:jc w:val="center"/>
            </w:pPr>
            <w:r>
              <w:rPr>
                <w:b/>
                <w:bCs/>
                <w:i/>
                <w:iCs/>
                <w:color w:val="FFFFFF"/>
                <w:sz w:val="18"/>
                <w:szCs w:val="18"/>
              </w:rPr>
              <w:t>Criterio</w:t>
            </w:r>
          </w:p>
        </w:tc>
        <w:tc>
          <w:tcPr>
            <w:tcW w:w="1860" w:type="dxa"/>
            <w:shd w:val="clear" w:color="auto" w:fill="4472C4"/>
            <w:vAlign w:val="center"/>
          </w:tcPr>
          <w:p w14:paraId="28731C44" w14:textId="77777777" w:rsidR="00990B14" w:rsidRDefault="00000000">
            <w:pPr>
              <w:keepNext/>
              <w:spacing w:before="20" w:after="20"/>
              <w:jc w:val="center"/>
            </w:pPr>
            <w:r>
              <w:rPr>
                <w:b/>
                <w:bCs/>
                <w:i/>
                <w:iCs/>
                <w:color w:val="FFFFFF"/>
                <w:sz w:val="18"/>
                <w:szCs w:val="18"/>
              </w:rPr>
              <w:t>Insuficiente (1–50)</w:t>
            </w:r>
          </w:p>
        </w:tc>
        <w:tc>
          <w:tcPr>
            <w:tcW w:w="1860" w:type="dxa"/>
            <w:shd w:val="clear" w:color="auto" w:fill="4472C4"/>
            <w:vAlign w:val="center"/>
          </w:tcPr>
          <w:p w14:paraId="63101233" w14:textId="77777777" w:rsidR="00990B14" w:rsidRDefault="00000000">
            <w:pPr>
              <w:keepNext/>
              <w:spacing w:before="20" w:after="20"/>
              <w:jc w:val="center"/>
            </w:pPr>
            <w:r>
              <w:rPr>
                <w:b/>
                <w:bCs/>
                <w:i/>
                <w:iCs/>
                <w:color w:val="FFFFFF"/>
                <w:sz w:val="18"/>
                <w:szCs w:val="18"/>
              </w:rPr>
              <w:t>Suficiente (51–80)</w:t>
            </w:r>
          </w:p>
        </w:tc>
        <w:tc>
          <w:tcPr>
            <w:tcW w:w="2016" w:type="dxa"/>
            <w:shd w:val="clear" w:color="auto" w:fill="4472C4"/>
            <w:vAlign w:val="center"/>
          </w:tcPr>
          <w:p w14:paraId="7A9722E3" w14:textId="77777777" w:rsidR="00990B14" w:rsidRDefault="00000000">
            <w:pPr>
              <w:keepNext/>
              <w:spacing w:before="20" w:after="20"/>
              <w:jc w:val="center"/>
            </w:pPr>
            <w:r>
              <w:rPr>
                <w:b/>
                <w:bCs/>
                <w:i/>
                <w:iCs/>
                <w:color w:val="FFFFFF"/>
                <w:sz w:val="18"/>
                <w:szCs w:val="18"/>
              </w:rPr>
              <w:t>Destacado (81–100)</w:t>
            </w:r>
          </w:p>
        </w:tc>
      </w:tr>
      <w:tr w:rsidR="00990B14" w14:paraId="0C95FDF9" w14:textId="77777777">
        <w:trPr>
          <w:cantSplit/>
          <w:jc w:val="center"/>
        </w:trPr>
        <w:tc>
          <w:tcPr>
            <w:tcW w:w="1809" w:type="dxa"/>
            <w:vMerge/>
            <w:shd w:val="clear" w:color="auto" w:fill="4472C4"/>
            <w:vAlign w:val="center"/>
          </w:tcPr>
          <w:p w14:paraId="2917F1FA" w14:textId="77777777" w:rsidR="00990B14" w:rsidRDefault="00990B14">
            <w:pPr>
              <w:spacing w:before="20" w:after="20"/>
            </w:pPr>
          </w:p>
        </w:tc>
        <w:tc>
          <w:tcPr>
            <w:tcW w:w="1860" w:type="dxa"/>
            <w:shd w:val="clear" w:color="auto" w:fill="D9E2F3"/>
            <w:vAlign w:val="center"/>
          </w:tcPr>
          <w:p w14:paraId="16AABD38" w14:textId="77777777" w:rsidR="00990B14" w:rsidRDefault="00000000">
            <w:pPr>
              <w:spacing w:before="20" w:after="20"/>
              <w:jc w:val="both"/>
            </w:pPr>
            <w:r>
              <w:rPr>
                <w:sz w:val="18"/>
                <w:szCs w:val="18"/>
              </w:rPr>
              <w:t>Clasificación de costos</w:t>
            </w:r>
          </w:p>
        </w:tc>
        <w:tc>
          <w:tcPr>
            <w:tcW w:w="1860" w:type="dxa"/>
            <w:shd w:val="clear" w:color="auto" w:fill="D9E2F3"/>
            <w:vAlign w:val="center"/>
          </w:tcPr>
          <w:p w14:paraId="2F29C611" w14:textId="77777777" w:rsidR="00990B14" w:rsidRDefault="00000000">
            <w:pPr>
              <w:spacing w:before="20" w:after="20"/>
              <w:jc w:val="both"/>
            </w:pPr>
            <w:r>
              <w:rPr>
                <w:sz w:val="18"/>
                <w:szCs w:val="18"/>
              </w:rPr>
              <w:t>Confunde costos fijos y variables.</w:t>
            </w:r>
          </w:p>
        </w:tc>
        <w:tc>
          <w:tcPr>
            <w:tcW w:w="1860" w:type="dxa"/>
            <w:shd w:val="clear" w:color="auto" w:fill="D9E2F3"/>
            <w:vAlign w:val="center"/>
          </w:tcPr>
          <w:p w14:paraId="70A040E8" w14:textId="77777777" w:rsidR="00990B14" w:rsidRDefault="00000000">
            <w:pPr>
              <w:spacing w:before="20" w:after="20"/>
              <w:jc w:val="both"/>
            </w:pPr>
            <w:r>
              <w:rPr>
                <w:sz w:val="18"/>
                <w:szCs w:val="18"/>
              </w:rPr>
              <w:t>Clasifica correctamente los costos del proyecto.</w:t>
            </w:r>
          </w:p>
        </w:tc>
        <w:tc>
          <w:tcPr>
            <w:tcW w:w="2016" w:type="dxa"/>
            <w:shd w:val="clear" w:color="auto" w:fill="D9E2F3"/>
            <w:vAlign w:val="center"/>
          </w:tcPr>
          <w:p w14:paraId="4EE6F01A" w14:textId="77777777" w:rsidR="00990B14" w:rsidRDefault="00000000">
            <w:pPr>
              <w:spacing w:before="20" w:after="20"/>
              <w:jc w:val="both"/>
            </w:pPr>
            <w:r>
              <w:rPr>
                <w:sz w:val="18"/>
                <w:szCs w:val="18"/>
              </w:rPr>
              <w:t>Analiza la estructura de costos y su razonabilidad.</w:t>
            </w:r>
          </w:p>
        </w:tc>
      </w:tr>
      <w:tr w:rsidR="00990B14" w14:paraId="74FF24D9" w14:textId="77777777">
        <w:trPr>
          <w:cantSplit/>
          <w:jc w:val="center"/>
        </w:trPr>
        <w:tc>
          <w:tcPr>
            <w:tcW w:w="1809" w:type="dxa"/>
            <w:vMerge/>
            <w:shd w:val="clear" w:color="auto" w:fill="4472C4"/>
            <w:vAlign w:val="center"/>
          </w:tcPr>
          <w:p w14:paraId="713CFBD7" w14:textId="77777777" w:rsidR="00990B14" w:rsidRDefault="00990B14">
            <w:pPr>
              <w:spacing w:before="20" w:after="20"/>
            </w:pPr>
          </w:p>
        </w:tc>
        <w:tc>
          <w:tcPr>
            <w:tcW w:w="1860" w:type="dxa"/>
            <w:shd w:val="clear" w:color="auto" w:fill="D9E2F3"/>
            <w:vAlign w:val="center"/>
          </w:tcPr>
          <w:p w14:paraId="4B9664C3" w14:textId="77777777" w:rsidR="00990B14" w:rsidRDefault="00000000">
            <w:pPr>
              <w:spacing w:before="20" w:after="20"/>
              <w:jc w:val="both"/>
            </w:pPr>
            <w:r>
              <w:rPr>
                <w:sz w:val="18"/>
                <w:szCs w:val="18"/>
              </w:rPr>
              <w:t>Costo unitario</w:t>
            </w:r>
          </w:p>
        </w:tc>
        <w:tc>
          <w:tcPr>
            <w:tcW w:w="1860" w:type="dxa"/>
            <w:shd w:val="clear" w:color="auto" w:fill="D9E2F3"/>
            <w:vAlign w:val="center"/>
          </w:tcPr>
          <w:p w14:paraId="63A457D7" w14:textId="77777777" w:rsidR="00990B14" w:rsidRDefault="00000000">
            <w:pPr>
              <w:spacing w:before="20" w:after="20"/>
              <w:jc w:val="both"/>
            </w:pPr>
            <w:r>
              <w:rPr>
                <w:sz w:val="18"/>
                <w:szCs w:val="18"/>
              </w:rPr>
              <w:t>Calcula mal el costo unitario.</w:t>
            </w:r>
          </w:p>
        </w:tc>
        <w:tc>
          <w:tcPr>
            <w:tcW w:w="1860" w:type="dxa"/>
            <w:shd w:val="clear" w:color="auto" w:fill="D9E2F3"/>
            <w:vAlign w:val="center"/>
          </w:tcPr>
          <w:p w14:paraId="32CACC7E" w14:textId="77777777" w:rsidR="00990B14" w:rsidRDefault="00000000">
            <w:pPr>
              <w:spacing w:before="20" w:after="20"/>
              <w:jc w:val="both"/>
            </w:pPr>
            <w:r>
              <w:rPr>
                <w:sz w:val="18"/>
                <w:szCs w:val="18"/>
              </w:rPr>
              <w:t>Calcula el costo medio variable, fijo y total.</w:t>
            </w:r>
          </w:p>
        </w:tc>
        <w:tc>
          <w:tcPr>
            <w:tcW w:w="2016" w:type="dxa"/>
            <w:shd w:val="clear" w:color="auto" w:fill="D9E2F3"/>
            <w:vAlign w:val="center"/>
          </w:tcPr>
          <w:p w14:paraId="2913BB24" w14:textId="77777777" w:rsidR="00990B14" w:rsidRDefault="00000000">
            <w:pPr>
              <w:spacing w:before="20" w:after="20"/>
              <w:jc w:val="both"/>
            </w:pPr>
            <w:r>
              <w:rPr>
                <w:sz w:val="18"/>
                <w:szCs w:val="18"/>
              </w:rPr>
              <w:t>Compara el costo unitario con el precio de mercado.</w:t>
            </w:r>
          </w:p>
        </w:tc>
      </w:tr>
      <w:tr w:rsidR="00990B14" w14:paraId="6A42C913" w14:textId="77777777">
        <w:trPr>
          <w:cantSplit/>
          <w:jc w:val="center"/>
        </w:trPr>
        <w:tc>
          <w:tcPr>
            <w:tcW w:w="1809" w:type="dxa"/>
            <w:vMerge/>
            <w:shd w:val="clear" w:color="auto" w:fill="4472C4"/>
            <w:vAlign w:val="center"/>
          </w:tcPr>
          <w:p w14:paraId="7B3591B0" w14:textId="77777777" w:rsidR="00990B14" w:rsidRDefault="00990B14">
            <w:pPr>
              <w:spacing w:before="20" w:after="20"/>
            </w:pPr>
          </w:p>
        </w:tc>
        <w:tc>
          <w:tcPr>
            <w:tcW w:w="1860" w:type="dxa"/>
            <w:shd w:val="clear" w:color="auto" w:fill="D9E2F3"/>
            <w:vAlign w:val="center"/>
          </w:tcPr>
          <w:p w14:paraId="51230CB1" w14:textId="77777777" w:rsidR="00990B14" w:rsidRDefault="00000000">
            <w:pPr>
              <w:spacing w:before="20" w:after="20"/>
              <w:jc w:val="both"/>
            </w:pPr>
            <w:r>
              <w:rPr>
                <w:sz w:val="18"/>
                <w:szCs w:val="18"/>
              </w:rPr>
              <w:t>Exactitud</w:t>
            </w:r>
          </w:p>
        </w:tc>
        <w:tc>
          <w:tcPr>
            <w:tcW w:w="1860" w:type="dxa"/>
            <w:shd w:val="clear" w:color="auto" w:fill="D9E2F3"/>
            <w:vAlign w:val="center"/>
          </w:tcPr>
          <w:p w14:paraId="48AAB09A" w14:textId="77777777" w:rsidR="00990B14" w:rsidRDefault="00000000">
            <w:pPr>
              <w:spacing w:before="20" w:after="20"/>
              <w:jc w:val="both"/>
            </w:pPr>
            <w:r>
              <w:rPr>
                <w:sz w:val="18"/>
                <w:szCs w:val="18"/>
              </w:rPr>
              <w:t>Presenta errores de cálculo.</w:t>
            </w:r>
          </w:p>
        </w:tc>
        <w:tc>
          <w:tcPr>
            <w:tcW w:w="1860" w:type="dxa"/>
            <w:shd w:val="clear" w:color="auto" w:fill="D9E2F3"/>
            <w:vAlign w:val="center"/>
          </w:tcPr>
          <w:p w14:paraId="5745D6AA" w14:textId="77777777" w:rsidR="00990B14" w:rsidRDefault="00000000">
            <w:pPr>
              <w:spacing w:before="20" w:after="20"/>
              <w:jc w:val="both"/>
            </w:pPr>
            <w:r>
              <w:rPr>
                <w:sz w:val="18"/>
                <w:szCs w:val="18"/>
              </w:rPr>
              <w:t>Los cálculos son correctos.</w:t>
            </w:r>
          </w:p>
        </w:tc>
        <w:tc>
          <w:tcPr>
            <w:tcW w:w="2016" w:type="dxa"/>
            <w:shd w:val="clear" w:color="auto" w:fill="D9E2F3"/>
            <w:vAlign w:val="center"/>
          </w:tcPr>
          <w:p w14:paraId="2D4925FB" w14:textId="77777777" w:rsidR="00990B14" w:rsidRDefault="00000000">
            <w:pPr>
              <w:spacing w:before="20" w:after="20"/>
              <w:jc w:val="both"/>
            </w:pPr>
            <w:r>
              <w:rPr>
                <w:sz w:val="18"/>
                <w:szCs w:val="18"/>
              </w:rPr>
              <w:t>Verifica los costos con el programa de producción.</w:t>
            </w:r>
          </w:p>
        </w:tc>
      </w:tr>
      <w:tr w:rsidR="00990B14" w14:paraId="2E92B247" w14:textId="77777777">
        <w:trPr>
          <w:cantSplit/>
          <w:jc w:val="center"/>
        </w:trPr>
        <w:tc>
          <w:tcPr>
            <w:tcW w:w="1809" w:type="dxa"/>
            <w:vMerge/>
            <w:shd w:val="clear" w:color="auto" w:fill="4472C4"/>
            <w:vAlign w:val="center"/>
          </w:tcPr>
          <w:p w14:paraId="1F28D544" w14:textId="77777777" w:rsidR="00990B14" w:rsidRDefault="00990B14">
            <w:pPr>
              <w:spacing w:before="20" w:after="20"/>
            </w:pPr>
          </w:p>
        </w:tc>
        <w:tc>
          <w:tcPr>
            <w:tcW w:w="5580" w:type="dxa"/>
            <w:gridSpan w:val="3"/>
            <w:shd w:val="clear" w:color="auto" w:fill="D9E2F3"/>
            <w:vAlign w:val="center"/>
          </w:tcPr>
          <w:p w14:paraId="7C8A52BD" w14:textId="77777777" w:rsidR="00990B14" w:rsidRDefault="00000000">
            <w:pPr>
              <w:keepNext/>
              <w:spacing w:before="20" w:after="20"/>
              <w:jc w:val="both"/>
            </w:pPr>
            <w:r>
              <w:rPr>
                <w:b/>
                <w:bCs/>
                <w:i/>
                <w:iCs/>
                <w:sz w:val="18"/>
                <w:szCs w:val="18"/>
              </w:rPr>
              <w:t xml:space="preserve">Producto 14: </w:t>
            </w:r>
            <w:r>
              <w:rPr>
                <w:sz w:val="18"/>
                <w:szCs w:val="18"/>
              </w:rPr>
              <w:t>Hoja del umbral de rentabilidad</w:t>
            </w:r>
          </w:p>
        </w:tc>
        <w:tc>
          <w:tcPr>
            <w:tcW w:w="2016" w:type="dxa"/>
            <w:shd w:val="clear" w:color="auto" w:fill="D9E2F3"/>
            <w:vAlign w:val="center"/>
          </w:tcPr>
          <w:p w14:paraId="61950FF9" w14:textId="77777777" w:rsidR="00990B14" w:rsidRDefault="00000000">
            <w:pPr>
              <w:spacing w:before="20" w:after="20"/>
              <w:jc w:val="center"/>
            </w:pPr>
            <w:r>
              <w:rPr>
                <w:b/>
                <w:bCs/>
                <w:sz w:val="18"/>
                <w:szCs w:val="18"/>
              </w:rPr>
              <w:t>7%</w:t>
            </w:r>
          </w:p>
        </w:tc>
      </w:tr>
      <w:tr w:rsidR="00990B14" w14:paraId="3F204FEA" w14:textId="77777777">
        <w:trPr>
          <w:cantSplit/>
          <w:jc w:val="center"/>
        </w:trPr>
        <w:tc>
          <w:tcPr>
            <w:tcW w:w="1809" w:type="dxa"/>
            <w:vMerge/>
            <w:shd w:val="clear" w:color="auto" w:fill="4472C4"/>
            <w:vAlign w:val="center"/>
          </w:tcPr>
          <w:p w14:paraId="4CCE1A12" w14:textId="77777777" w:rsidR="00990B14" w:rsidRDefault="00990B14">
            <w:pPr>
              <w:spacing w:before="20" w:after="20"/>
            </w:pPr>
          </w:p>
        </w:tc>
        <w:tc>
          <w:tcPr>
            <w:tcW w:w="1860" w:type="dxa"/>
            <w:shd w:val="clear" w:color="auto" w:fill="4472C4"/>
            <w:vAlign w:val="center"/>
          </w:tcPr>
          <w:p w14:paraId="19CAFAEF" w14:textId="77777777" w:rsidR="00990B14" w:rsidRDefault="00000000">
            <w:pPr>
              <w:keepNext/>
              <w:spacing w:before="20" w:after="20"/>
              <w:jc w:val="center"/>
            </w:pPr>
            <w:r>
              <w:rPr>
                <w:b/>
                <w:bCs/>
                <w:i/>
                <w:iCs/>
                <w:color w:val="FFFFFF"/>
                <w:sz w:val="18"/>
                <w:szCs w:val="18"/>
              </w:rPr>
              <w:t>Criterio</w:t>
            </w:r>
          </w:p>
        </w:tc>
        <w:tc>
          <w:tcPr>
            <w:tcW w:w="1860" w:type="dxa"/>
            <w:shd w:val="clear" w:color="auto" w:fill="4472C4"/>
            <w:vAlign w:val="center"/>
          </w:tcPr>
          <w:p w14:paraId="1B0966DD" w14:textId="77777777" w:rsidR="00990B14" w:rsidRDefault="00000000">
            <w:pPr>
              <w:keepNext/>
              <w:spacing w:before="20" w:after="20"/>
              <w:jc w:val="center"/>
            </w:pPr>
            <w:r>
              <w:rPr>
                <w:b/>
                <w:bCs/>
                <w:i/>
                <w:iCs/>
                <w:color w:val="FFFFFF"/>
                <w:sz w:val="18"/>
                <w:szCs w:val="18"/>
              </w:rPr>
              <w:t>Insuficiente (1–50)</w:t>
            </w:r>
          </w:p>
        </w:tc>
        <w:tc>
          <w:tcPr>
            <w:tcW w:w="1860" w:type="dxa"/>
            <w:shd w:val="clear" w:color="auto" w:fill="4472C4"/>
            <w:vAlign w:val="center"/>
          </w:tcPr>
          <w:p w14:paraId="52BBDD10" w14:textId="77777777" w:rsidR="00990B14" w:rsidRDefault="00000000">
            <w:pPr>
              <w:keepNext/>
              <w:spacing w:before="20" w:after="20"/>
              <w:jc w:val="center"/>
            </w:pPr>
            <w:r>
              <w:rPr>
                <w:b/>
                <w:bCs/>
                <w:i/>
                <w:iCs/>
                <w:color w:val="FFFFFF"/>
                <w:sz w:val="18"/>
                <w:szCs w:val="18"/>
              </w:rPr>
              <w:t>Suficiente (51–80)</w:t>
            </w:r>
          </w:p>
        </w:tc>
        <w:tc>
          <w:tcPr>
            <w:tcW w:w="2016" w:type="dxa"/>
            <w:shd w:val="clear" w:color="auto" w:fill="4472C4"/>
            <w:vAlign w:val="center"/>
          </w:tcPr>
          <w:p w14:paraId="0C1C922C" w14:textId="77777777" w:rsidR="00990B14" w:rsidRDefault="00000000">
            <w:pPr>
              <w:keepNext/>
              <w:spacing w:before="20" w:after="20"/>
              <w:jc w:val="center"/>
            </w:pPr>
            <w:r>
              <w:rPr>
                <w:b/>
                <w:bCs/>
                <w:i/>
                <w:iCs/>
                <w:color w:val="FFFFFF"/>
                <w:sz w:val="18"/>
                <w:szCs w:val="18"/>
              </w:rPr>
              <w:t>Destacado (81–100)</w:t>
            </w:r>
          </w:p>
        </w:tc>
      </w:tr>
      <w:tr w:rsidR="00990B14" w14:paraId="5246891F" w14:textId="77777777">
        <w:trPr>
          <w:cantSplit/>
          <w:jc w:val="center"/>
        </w:trPr>
        <w:tc>
          <w:tcPr>
            <w:tcW w:w="1809" w:type="dxa"/>
            <w:vMerge/>
            <w:shd w:val="clear" w:color="auto" w:fill="4472C4"/>
            <w:vAlign w:val="center"/>
          </w:tcPr>
          <w:p w14:paraId="55A6AB1C" w14:textId="77777777" w:rsidR="00990B14" w:rsidRDefault="00990B14">
            <w:pPr>
              <w:spacing w:before="20" w:after="20"/>
            </w:pPr>
          </w:p>
        </w:tc>
        <w:tc>
          <w:tcPr>
            <w:tcW w:w="1860" w:type="dxa"/>
            <w:shd w:val="clear" w:color="auto" w:fill="D9E2F3"/>
            <w:vAlign w:val="center"/>
          </w:tcPr>
          <w:p w14:paraId="75FF289C" w14:textId="77777777" w:rsidR="00990B14" w:rsidRDefault="00000000">
            <w:pPr>
              <w:spacing w:before="20" w:after="20"/>
              <w:jc w:val="both"/>
            </w:pPr>
            <w:r>
              <w:rPr>
                <w:sz w:val="18"/>
                <w:szCs w:val="18"/>
              </w:rPr>
              <w:t>Umbral de rentabilidad</w:t>
            </w:r>
          </w:p>
        </w:tc>
        <w:tc>
          <w:tcPr>
            <w:tcW w:w="1860" w:type="dxa"/>
            <w:shd w:val="clear" w:color="auto" w:fill="D9E2F3"/>
            <w:vAlign w:val="center"/>
          </w:tcPr>
          <w:p w14:paraId="58C5E7E6" w14:textId="77777777" w:rsidR="00990B14" w:rsidRDefault="00000000">
            <w:pPr>
              <w:spacing w:before="20" w:after="20"/>
              <w:jc w:val="both"/>
            </w:pPr>
            <w:r>
              <w:rPr>
                <w:sz w:val="18"/>
                <w:szCs w:val="18"/>
              </w:rPr>
              <w:t>Calcula mal el umbral.</w:t>
            </w:r>
          </w:p>
        </w:tc>
        <w:tc>
          <w:tcPr>
            <w:tcW w:w="1860" w:type="dxa"/>
            <w:shd w:val="clear" w:color="auto" w:fill="D9E2F3"/>
            <w:vAlign w:val="center"/>
          </w:tcPr>
          <w:p w14:paraId="3B5E4CE1" w14:textId="77777777" w:rsidR="00990B14" w:rsidRDefault="00000000">
            <w:pPr>
              <w:spacing w:before="20" w:after="20"/>
              <w:jc w:val="both"/>
            </w:pPr>
            <w:r>
              <w:rPr>
                <w:sz w:val="18"/>
                <w:szCs w:val="18"/>
              </w:rPr>
              <w:t>Calcula el umbral en unidades y en valor.</w:t>
            </w:r>
          </w:p>
        </w:tc>
        <w:tc>
          <w:tcPr>
            <w:tcW w:w="2016" w:type="dxa"/>
            <w:shd w:val="clear" w:color="auto" w:fill="D9E2F3"/>
            <w:vAlign w:val="center"/>
          </w:tcPr>
          <w:p w14:paraId="2BB823EA" w14:textId="77777777" w:rsidR="00990B14" w:rsidRDefault="00000000">
            <w:pPr>
              <w:spacing w:before="20" w:after="20"/>
              <w:jc w:val="both"/>
            </w:pPr>
            <w:r>
              <w:rPr>
                <w:sz w:val="18"/>
                <w:szCs w:val="18"/>
              </w:rPr>
              <w:t>Calcula el margen de seguridad del proyecto.</w:t>
            </w:r>
          </w:p>
        </w:tc>
      </w:tr>
      <w:tr w:rsidR="00990B14" w14:paraId="62CC0D6E" w14:textId="77777777">
        <w:trPr>
          <w:cantSplit/>
          <w:jc w:val="center"/>
        </w:trPr>
        <w:tc>
          <w:tcPr>
            <w:tcW w:w="1809" w:type="dxa"/>
            <w:vMerge/>
            <w:shd w:val="clear" w:color="auto" w:fill="4472C4"/>
            <w:vAlign w:val="center"/>
          </w:tcPr>
          <w:p w14:paraId="77073E2E" w14:textId="77777777" w:rsidR="00990B14" w:rsidRDefault="00990B14">
            <w:pPr>
              <w:spacing w:before="20" w:after="20"/>
            </w:pPr>
          </w:p>
        </w:tc>
        <w:tc>
          <w:tcPr>
            <w:tcW w:w="1860" w:type="dxa"/>
            <w:shd w:val="clear" w:color="auto" w:fill="D9E2F3"/>
            <w:vAlign w:val="center"/>
          </w:tcPr>
          <w:p w14:paraId="6BE95555" w14:textId="77777777" w:rsidR="00990B14" w:rsidRDefault="00000000">
            <w:pPr>
              <w:spacing w:before="20" w:after="20"/>
              <w:jc w:val="both"/>
            </w:pPr>
            <w:r>
              <w:rPr>
                <w:sz w:val="18"/>
                <w:szCs w:val="18"/>
              </w:rPr>
              <w:t>Sensibilidad</w:t>
            </w:r>
          </w:p>
        </w:tc>
        <w:tc>
          <w:tcPr>
            <w:tcW w:w="1860" w:type="dxa"/>
            <w:shd w:val="clear" w:color="auto" w:fill="D9E2F3"/>
            <w:vAlign w:val="center"/>
          </w:tcPr>
          <w:p w14:paraId="717B89FF" w14:textId="77777777" w:rsidR="00990B14" w:rsidRDefault="00000000">
            <w:pPr>
              <w:spacing w:before="20" w:after="20"/>
              <w:jc w:val="both"/>
            </w:pPr>
            <w:r>
              <w:rPr>
                <w:sz w:val="18"/>
                <w:szCs w:val="18"/>
              </w:rPr>
              <w:t>No modifica las variables.</w:t>
            </w:r>
          </w:p>
        </w:tc>
        <w:tc>
          <w:tcPr>
            <w:tcW w:w="1860" w:type="dxa"/>
            <w:shd w:val="clear" w:color="auto" w:fill="D9E2F3"/>
            <w:vAlign w:val="center"/>
          </w:tcPr>
          <w:p w14:paraId="2B6A0009" w14:textId="77777777" w:rsidR="00990B14" w:rsidRDefault="00000000">
            <w:pPr>
              <w:spacing w:before="20" w:after="20"/>
              <w:jc w:val="both"/>
            </w:pPr>
            <w:r>
              <w:rPr>
                <w:sz w:val="18"/>
                <w:szCs w:val="18"/>
              </w:rPr>
              <w:t>Simula cambios del precio y del costo variable.</w:t>
            </w:r>
          </w:p>
        </w:tc>
        <w:tc>
          <w:tcPr>
            <w:tcW w:w="2016" w:type="dxa"/>
            <w:shd w:val="clear" w:color="auto" w:fill="D9E2F3"/>
            <w:vAlign w:val="center"/>
          </w:tcPr>
          <w:p w14:paraId="1C90319D" w14:textId="77777777" w:rsidR="00990B14" w:rsidRDefault="00000000">
            <w:pPr>
              <w:spacing w:before="20" w:after="20"/>
              <w:jc w:val="both"/>
            </w:pPr>
            <w:r>
              <w:rPr>
                <w:sz w:val="18"/>
                <w:szCs w:val="18"/>
              </w:rPr>
              <w:t>Identifica la variable de mayor efecto.</w:t>
            </w:r>
          </w:p>
        </w:tc>
      </w:tr>
      <w:tr w:rsidR="00990B14" w14:paraId="5E50803D" w14:textId="77777777">
        <w:trPr>
          <w:cantSplit/>
          <w:jc w:val="center"/>
        </w:trPr>
        <w:tc>
          <w:tcPr>
            <w:tcW w:w="1809" w:type="dxa"/>
            <w:vMerge/>
            <w:shd w:val="clear" w:color="auto" w:fill="4472C4"/>
            <w:vAlign w:val="center"/>
          </w:tcPr>
          <w:p w14:paraId="492C140B" w14:textId="77777777" w:rsidR="00990B14" w:rsidRDefault="00990B14">
            <w:pPr>
              <w:spacing w:before="20" w:after="20"/>
            </w:pPr>
          </w:p>
        </w:tc>
        <w:tc>
          <w:tcPr>
            <w:tcW w:w="1860" w:type="dxa"/>
            <w:shd w:val="clear" w:color="auto" w:fill="D9E2F3"/>
            <w:vAlign w:val="center"/>
          </w:tcPr>
          <w:p w14:paraId="3B09D718" w14:textId="77777777" w:rsidR="00990B14" w:rsidRDefault="00000000">
            <w:pPr>
              <w:spacing w:before="20" w:after="20"/>
              <w:jc w:val="both"/>
            </w:pPr>
            <w:r>
              <w:rPr>
                <w:sz w:val="18"/>
                <w:szCs w:val="18"/>
              </w:rPr>
              <w:t>Uso de la hoja de cálculo.</w:t>
            </w:r>
          </w:p>
        </w:tc>
        <w:tc>
          <w:tcPr>
            <w:tcW w:w="1860" w:type="dxa"/>
            <w:shd w:val="clear" w:color="auto" w:fill="D9E2F3"/>
            <w:vAlign w:val="center"/>
          </w:tcPr>
          <w:p w14:paraId="038D792E" w14:textId="77777777" w:rsidR="00990B14" w:rsidRDefault="00000000">
            <w:pPr>
              <w:spacing w:before="20" w:after="20"/>
              <w:jc w:val="both"/>
            </w:pPr>
            <w:r>
              <w:rPr>
                <w:sz w:val="18"/>
                <w:szCs w:val="18"/>
              </w:rPr>
              <w:t>La hoja no tiene fórmulas.</w:t>
            </w:r>
          </w:p>
        </w:tc>
        <w:tc>
          <w:tcPr>
            <w:tcW w:w="1860" w:type="dxa"/>
            <w:shd w:val="clear" w:color="auto" w:fill="D9E2F3"/>
            <w:vAlign w:val="center"/>
          </w:tcPr>
          <w:p w14:paraId="656E9BCC" w14:textId="77777777" w:rsidR="00990B14" w:rsidRDefault="00000000">
            <w:pPr>
              <w:spacing w:before="20" w:after="20"/>
              <w:jc w:val="both"/>
            </w:pPr>
            <w:r>
              <w:rPr>
                <w:sz w:val="18"/>
                <w:szCs w:val="18"/>
              </w:rPr>
              <w:t>La hoja está ordenada y con fórmulas.</w:t>
            </w:r>
          </w:p>
        </w:tc>
        <w:tc>
          <w:tcPr>
            <w:tcW w:w="2016" w:type="dxa"/>
            <w:shd w:val="clear" w:color="auto" w:fill="D9E2F3"/>
            <w:vAlign w:val="center"/>
          </w:tcPr>
          <w:p w14:paraId="5F5BC2E4" w14:textId="77777777" w:rsidR="00990B14" w:rsidRDefault="00000000">
            <w:pPr>
              <w:spacing w:before="20" w:after="20"/>
              <w:jc w:val="both"/>
            </w:pPr>
            <w:r>
              <w:rPr>
                <w:sz w:val="18"/>
                <w:szCs w:val="18"/>
              </w:rPr>
              <w:t>Incluye gráficos del umbral.</w:t>
            </w:r>
          </w:p>
        </w:tc>
      </w:tr>
      <w:tr w:rsidR="00990B14" w14:paraId="4114300D" w14:textId="77777777">
        <w:trPr>
          <w:cantSplit/>
          <w:jc w:val="center"/>
        </w:trPr>
        <w:tc>
          <w:tcPr>
            <w:tcW w:w="1809" w:type="dxa"/>
            <w:vMerge/>
            <w:shd w:val="clear" w:color="auto" w:fill="4472C4"/>
            <w:vAlign w:val="center"/>
          </w:tcPr>
          <w:p w14:paraId="51549514" w14:textId="77777777" w:rsidR="00990B14" w:rsidRDefault="00990B14">
            <w:pPr>
              <w:spacing w:before="20" w:after="20"/>
            </w:pPr>
          </w:p>
        </w:tc>
        <w:tc>
          <w:tcPr>
            <w:tcW w:w="5580" w:type="dxa"/>
            <w:gridSpan w:val="3"/>
            <w:shd w:val="clear" w:color="auto" w:fill="D9E2F3"/>
            <w:vAlign w:val="center"/>
          </w:tcPr>
          <w:p w14:paraId="34E7EFD7" w14:textId="77777777" w:rsidR="00990B14" w:rsidRDefault="00000000">
            <w:pPr>
              <w:keepNext/>
              <w:spacing w:before="20" w:after="20"/>
              <w:jc w:val="both"/>
            </w:pPr>
            <w:r>
              <w:rPr>
                <w:b/>
                <w:bCs/>
                <w:i/>
                <w:iCs/>
                <w:sz w:val="18"/>
                <w:szCs w:val="18"/>
              </w:rPr>
              <w:t xml:space="preserve">Producto 15: </w:t>
            </w:r>
            <w:r>
              <w:rPr>
                <w:sz w:val="18"/>
                <w:szCs w:val="18"/>
              </w:rPr>
              <w:t>Cuadro de inversión</w:t>
            </w:r>
          </w:p>
        </w:tc>
        <w:tc>
          <w:tcPr>
            <w:tcW w:w="2016" w:type="dxa"/>
            <w:shd w:val="clear" w:color="auto" w:fill="D9E2F3"/>
            <w:vAlign w:val="center"/>
          </w:tcPr>
          <w:p w14:paraId="40E8E133" w14:textId="77777777" w:rsidR="00990B14" w:rsidRDefault="00000000">
            <w:pPr>
              <w:spacing w:before="20" w:after="20"/>
              <w:jc w:val="center"/>
            </w:pPr>
            <w:r>
              <w:rPr>
                <w:b/>
                <w:bCs/>
                <w:sz w:val="18"/>
                <w:szCs w:val="18"/>
              </w:rPr>
              <w:t>7%</w:t>
            </w:r>
          </w:p>
        </w:tc>
      </w:tr>
      <w:tr w:rsidR="00990B14" w14:paraId="0BE846FF" w14:textId="77777777">
        <w:trPr>
          <w:cantSplit/>
          <w:jc w:val="center"/>
        </w:trPr>
        <w:tc>
          <w:tcPr>
            <w:tcW w:w="1809" w:type="dxa"/>
            <w:vMerge/>
            <w:shd w:val="clear" w:color="auto" w:fill="4472C4"/>
            <w:vAlign w:val="center"/>
          </w:tcPr>
          <w:p w14:paraId="3E844A59" w14:textId="77777777" w:rsidR="00990B14" w:rsidRDefault="00990B14">
            <w:pPr>
              <w:spacing w:before="20" w:after="20"/>
            </w:pPr>
          </w:p>
        </w:tc>
        <w:tc>
          <w:tcPr>
            <w:tcW w:w="1860" w:type="dxa"/>
            <w:shd w:val="clear" w:color="auto" w:fill="4472C4"/>
            <w:vAlign w:val="center"/>
          </w:tcPr>
          <w:p w14:paraId="74251A2F" w14:textId="77777777" w:rsidR="00990B14" w:rsidRDefault="00000000">
            <w:pPr>
              <w:keepNext/>
              <w:spacing w:before="20" w:after="20"/>
              <w:jc w:val="center"/>
            </w:pPr>
            <w:r>
              <w:rPr>
                <w:b/>
                <w:bCs/>
                <w:i/>
                <w:iCs/>
                <w:color w:val="FFFFFF"/>
                <w:sz w:val="18"/>
                <w:szCs w:val="18"/>
              </w:rPr>
              <w:t>Criterio</w:t>
            </w:r>
          </w:p>
        </w:tc>
        <w:tc>
          <w:tcPr>
            <w:tcW w:w="1860" w:type="dxa"/>
            <w:shd w:val="clear" w:color="auto" w:fill="4472C4"/>
            <w:vAlign w:val="center"/>
          </w:tcPr>
          <w:p w14:paraId="4E6A85D1" w14:textId="77777777" w:rsidR="00990B14" w:rsidRDefault="00000000">
            <w:pPr>
              <w:keepNext/>
              <w:spacing w:before="20" w:after="20"/>
              <w:jc w:val="center"/>
            </w:pPr>
            <w:r>
              <w:rPr>
                <w:b/>
                <w:bCs/>
                <w:i/>
                <w:iCs/>
                <w:color w:val="FFFFFF"/>
                <w:sz w:val="18"/>
                <w:szCs w:val="18"/>
              </w:rPr>
              <w:t>Insuficiente (1–50)</w:t>
            </w:r>
          </w:p>
        </w:tc>
        <w:tc>
          <w:tcPr>
            <w:tcW w:w="1860" w:type="dxa"/>
            <w:shd w:val="clear" w:color="auto" w:fill="4472C4"/>
            <w:vAlign w:val="center"/>
          </w:tcPr>
          <w:p w14:paraId="679C8FCB" w14:textId="77777777" w:rsidR="00990B14" w:rsidRDefault="00000000">
            <w:pPr>
              <w:keepNext/>
              <w:spacing w:before="20" w:after="20"/>
              <w:jc w:val="center"/>
            </w:pPr>
            <w:r>
              <w:rPr>
                <w:b/>
                <w:bCs/>
                <w:i/>
                <w:iCs/>
                <w:color w:val="FFFFFF"/>
                <w:sz w:val="18"/>
                <w:szCs w:val="18"/>
              </w:rPr>
              <w:t>Suficiente (51–80)</w:t>
            </w:r>
          </w:p>
        </w:tc>
        <w:tc>
          <w:tcPr>
            <w:tcW w:w="2016" w:type="dxa"/>
            <w:shd w:val="clear" w:color="auto" w:fill="4472C4"/>
            <w:vAlign w:val="center"/>
          </w:tcPr>
          <w:p w14:paraId="7C455C06" w14:textId="77777777" w:rsidR="00990B14" w:rsidRDefault="00000000">
            <w:pPr>
              <w:keepNext/>
              <w:spacing w:before="20" w:after="20"/>
              <w:jc w:val="center"/>
            </w:pPr>
            <w:r>
              <w:rPr>
                <w:b/>
                <w:bCs/>
                <w:i/>
                <w:iCs/>
                <w:color w:val="FFFFFF"/>
                <w:sz w:val="18"/>
                <w:szCs w:val="18"/>
              </w:rPr>
              <w:t>Destacado (81–100)</w:t>
            </w:r>
          </w:p>
        </w:tc>
      </w:tr>
      <w:tr w:rsidR="00990B14" w14:paraId="3170DF3F" w14:textId="77777777">
        <w:trPr>
          <w:cantSplit/>
          <w:jc w:val="center"/>
        </w:trPr>
        <w:tc>
          <w:tcPr>
            <w:tcW w:w="1809" w:type="dxa"/>
            <w:vMerge/>
            <w:shd w:val="clear" w:color="auto" w:fill="4472C4"/>
            <w:vAlign w:val="center"/>
          </w:tcPr>
          <w:p w14:paraId="68F85F01" w14:textId="77777777" w:rsidR="00990B14" w:rsidRDefault="00990B14">
            <w:pPr>
              <w:spacing w:before="20" w:after="20"/>
            </w:pPr>
          </w:p>
        </w:tc>
        <w:tc>
          <w:tcPr>
            <w:tcW w:w="1860" w:type="dxa"/>
            <w:shd w:val="clear" w:color="auto" w:fill="D9E2F3"/>
            <w:vAlign w:val="center"/>
          </w:tcPr>
          <w:p w14:paraId="1B619650" w14:textId="77777777" w:rsidR="00990B14" w:rsidRDefault="00000000">
            <w:pPr>
              <w:spacing w:before="20" w:after="20"/>
              <w:jc w:val="both"/>
            </w:pPr>
            <w:r>
              <w:rPr>
                <w:sz w:val="18"/>
                <w:szCs w:val="18"/>
              </w:rPr>
              <w:t>Componentes</w:t>
            </w:r>
          </w:p>
        </w:tc>
        <w:tc>
          <w:tcPr>
            <w:tcW w:w="1860" w:type="dxa"/>
            <w:shd w:val="clear" w:color="auto" w:fill="D9E2F3"/>
            <w:vAlign w:val="center"/>
          </w:tcPr>
          <w:p w14:paraId="09D03297" w14:textId="77777777" w:rsidR="00990B14" w:rsidRDefault="00000000">
            <w:pPr>
              <w:spacing w:before="20" w:after="20"/>
              <w:jc w:val="both"/>
            </w:pPr>
            <w:r>
              <w:rPr>
                <w:sz w:val="18"/>
                <w:szCs w:val="18"/>
              </w:rPr>
              <w:t>Omite inversión diferida o capital de trabajo.</w:t>
            </w:r>
          </w:p>
        </w:tc>
        <w:tc>
          <w:tcPr>
            <w:tcW w:w="1860" w:type="dxa"/>
            <w:shd w:val="clear" w:color="auto" w:fill="D9E2F3"/>
            <w:vAlign w:val="center"/>
          </w:tcPr>
          <w:p w14:paraId="13316ED3" w14:textId="77777777" w:rsidR="00990B14" w:rsidRDefault="00000000">
            <w:pPr>
              <w:spacing w:before="20" w:after="20"/>
              <w:jc w:val="both"/>
            </w:pPr>
            <w:r>
              <w:rPr>
                <w:sz w:val="18"/>
                <w:szCs w:val="18"/>
              </w:rPr>
              <w:t>Incluye la inversión fija, diferida, el capital de trabajo y los imprevistos.</w:t>
            </w:r>
          </w:p>
        </w:tc>
        <w:tc>
          <w:tcPr>
            <w:tcW w:w="2016" w:type="dxa"/>
            <w:shd w:val="clear" w:color="auto" w:fill="D9E2F3"/>
            <w:vAlign w:val="center"/>
          </w:tcPr>
          <w:p w14:paraId="6A754F52" w14:textId="77777777" w:rsidR="00990B14" w:rsidRDefault="00000000">
            <w:pPr>
              <w:spacing w:before="20" w:after="20"/>
              <w:jc w:val="both"/>
            </w:pPr>
            <w:r>
              <w:rPr>
                <w:sz w:val="18"/>
                <w:szCs w:val="18"/>
              </w:rPr>
              <w:t>Incluye las inversiones ambientales y de seguridad industrial.</w:t>
            </w:r>
          </w:p>
        </w:tc>
      </w:tr>
      <w:tr w:rsidR="00990B14" w14:paraId="46321FBB" w14:textId="77777777">
        <w:trPr>
          <w:cantSplit/>
          <w:jc w:val="center"/>
        </w:trPr>
        <w:tc>
          <w:tcPr>
            <w:tcW w:w="1809" w:type="dxa"/>
            <w:vMerge/>
            <w:shd w:val="clear" w:color="auto" w:fill="4472C4"/>
            <w:vAlign w:val="center"/>
          </w:tcPr>
          <w:p w14:paraId="52314149" w14:textId="77777777" w:rsidR="00990B14" w:rsidRDefault="00990B14">
            <w:pPr>
              <w:spacing w:before="20" w:after="20"/>
            </w:pPr>
          </w:p>
        </w:tc>
        <w:tc>
          <w:tcPr>
            <w:tcW w:w="1860" w:type="dxa"/>
            <w:shd w:val="clear" w:color="auto" w:fill="D9E2F3"/>
            <w:vAlign w:val="center"/>
          </w:tcPr>
          <w:p w14:paraId="46A27FB6" w14:textId="77777777" w:rsidR="00990B14" w:rsidRDefault="00000000">
            <w:pPr>
              <w:spacing w:before="20" w:after="20"/>
              <w:jc w:val="both"/>
            </w:pPr>
            <w:r>
              <w:rPr>
                <w:sz w:val="18"/>
                <w:szCs w:val="18"/>
              </w:rPr>
              <w:t>Notas</w:t>
            </w:r>
          </w:p>
        </w:tc>
        <w:tc>
          <w:tcPr>
            <w:tcW w:w="1860" w:type="dxa"/>
            <w:shd w:val="clear" w:color="auto" w:fill="D9E2F3"/>
            <w:vAlign w:val="center"/>
          </w:tcPr>
          <w:p w14:paraId="630A3C10" w14:textId="77777777" w:rsidR="00990B14" w:rsidRDefault="00000000">
            <w:pPr>
              <w:spacing w:before="20" w:after="20"/>
              <w:jc w:val="both"/>
            </w:pPr>
            <w:r>
              <w:rPr>
                <w:sz w:val="18"/>
                <w:szCs w:val="18"/>
              </w:rPr>
              <w:t>No presenta notas.</w:t>
            </w:r>
          </w:p>
        </w:tc>
        <w:tc>
          <w:tcPr>
            <w:tcW w:w="1860" w:type="dxa"/>
            <w:shd w:val="clear" w:color="auto" w:fill="D9E2F3"/>
            <w:vAlign w:val="center"/>
          </w:tcPr>
          <w:p w14:paraId="1AAF0E94" w14:textId="77777777" w:rsidR="00990B14" w:rsidRDefault="00000000">
            <w:pPr>
              <w:spacing w:before="20" w:after="20"/>
              <w:jc w:val="both"/>
            </w:pPr>
            <w:r>
              <w:rPr>
                <w:sz w:val="18"/>
                <w:szCs w:val="18"/>
              </w:rPr>
              <w:t>Presenta notas que respaldan cada rubro.</w:t>
            </w:r>
          </w:p>
        </w:tc>
        <w:tc>
          <w:tcPr>
            <w:tcW w:w="2016" w:type="dxa"/>
            <w:shd w:val="clear" w:color="auto" w:fill="D9E2F3"/>
            <w:vAlign w:val="center"/>
          </w:tcPr>
          <w:p w14:paraId="48CEF24C" w14:textId="77777777" w:rsidR="00990B14" w:rsidRDefault="00000000">
            <w:pPr>
              <w:spacing w:before="20" w:after="20"/>
              <w:jc w:val="both"/>
            </w:pPr>
            <w:r>
              <w:rPr>
                <w:sz w:val="18"/>
                <w:szCs w:val="18"/>
              </w:rPr>
              <w:t>Las notas citan cotizaciones y fuentes.</w:t>
            </w:r>
          </w:p>
        </w:tc>
      </w:tr>
      <w:tr w:rsidR="00990B14" w14:paraId="642C0291" w14:textId="77777777">
        <w:trPr>
          <w:cantSplit/>
          <w:jc w:val="center"/>
        </w:trPr>
        <w:tc>
          <w:tcPr>
            <w:tcW w:w="1809" w:type="dxa"/>
            <w:vMerge/>
            <w:shd w:val="clear" w:color="auto" w:fill="4472C4"/>
            <w:vAlign w:val="center"/>
          </w:tcPr>
          <w:p w14:paraId="0BF825C6" w14:textId="77777777" w:rsidR="00990B14" w:rsidRDefault="00990B14">
            <w:pPr>
              <w:spacing w:before="20" w:after="20"/>
            </w:pPr>
          </w:p>
        </w:tc>
        <w:tc>
          <w:tcPr>
            <w:tcW w:w="1860" w:type="dxa"/>
            <w:shd w:val="clear" w:color="auto" w:fill="D9E2F3"/>
            <w:vAlign w:val="center"/>
          </w:tcPr>
          <w:p w14:paraId="49CDD26E" w14:textId="77777777" w:rsidR="00990B14" w:rsidRDefault="00000000">
            <w:pPr>
              <w:spacing w:before="20" w:after="20"/>
              <w:jc w:val="both"/>
            </w:pPr>
            <w:r>
              <w:rPr>
                <w:sz w:val="18"/>
                <w:szCs w:val="18"/>
              </w:rPr>
              <w:t>Exactitud</w:t>
            </w:r>
          </w:p>
        </w:tc>
        <w:tc>
          <w:tcPr>
            <w:tcW w:w="1860" w:type="dxa"/>
            <w:shd w:val="clear" w:color="auto" w:fill="D9E2F3"/>
            <w:vAlign w:val="center"/>
          </w:tcPr>
          <w:p w14:paraId="780E93F5" w14:textId="77777777" w:rsidR="00990B14" w:rsidRDefault="00000000">
            <w:pPr>
              <w:spacing w:before="20" w:after="20"/>
              <w:jc w:val="both"/>
            </w:pPr>
            <w:r>
              <w:rPr>
                <w:sz w:val="18"/>
                <w:szCs w:val="18"/>
              </w:rPr>
              <w:t>Presenta errores de cálculo.</w:t>
            </w:r>
          </w:p>
        </w:tc>
        <w:tc>
          <w:tcPr>
            <w:tcW w:w="1860" w:type="dxa"/>
            <w:shd w:val="clear" w:color="auto" w:fill="D9E2F3"/>
            <w:vAlign w:val="center"/>
          </w:tcPr>
          <w:p w14:paraId="624F2194" w14:textId="77777777" w:rsidR="00990B14" w:rsidRDefault="00000000">
            <w:pPr>
              <w:spacing w:before="20" w:after="20"/>
              <w:jc w:val="both"/>
            </w:pPr>
            <w:r>
              <w:rPr>
                <w:sz w:val="18"/>
                <w:szCs w:val="18"/>
              </w:rPr>
              <w:t>Los cálculos son correctos.</w:t>
            </w:r>
          </w:p>
        </w:tc>
        <w:tc>
          <w:tcPr>
            <w:tcW w:w="2016" w:type="dxa"/>
            <w:shd w:val="clear" w:color="auto" w:fill="D9E2F3"/>
            <w:vAlign w:val="center"/>
          </w:tcPr>
          <w:p w14:paraId="10C8031C" w14:textId="77777777" w:rsidR="00990B14" w:rsidRDefault="00000000">
            <w:pPr>
              <w:spacing w:before="20" w:after="20"/>
              <w:jc w:val="both"/>
            </w:pPr>
            <w:r>
              <w:rPr>
                <w:sz w:val="18"/>
                <w:szCs w:val="18"/>
              </w:rPr>
              <w:t>Verifica los totales con el calendario de inversiones.</w:t>
            </w:r>
          </w:p>
        </w:tc>
      </w:tr>
      <w:tr w:rsidR="00990B14" w14:paraId="1E46D260" w14:textId="77777777">
        <w:trPr>
          <w:cantSplit/>
          <w:jc w:val="center"/>
        </w:trPr>
        <w:tc>
          <w:tcPr>
            <w:tcW w:w="1809" w:type="dxa"/>
            <w:vMerge/>
            <w:shd w:val="clear" w:color="auto" w:fill="4472C4"/>
            <w:vAlign w:val="center"/>
          </w:tcPr>
          <w:p w14:paraId="076B53C3" w14:textId="77777777" w:rsidR="00990B14" w:rsidRDefault="00990B14">
            <w:pPr>
              <w:spacing w:before="20" w:after="20"/>
            </w:pPr>
          </w:p>
        </w:tc>
        <w:tc>
          <w:tcPr>
            <w:tcW w:w="5580" w:type="dxa"/>
            <w:gridSpan w:val="3"/>
            <w:shd w:val="clear" w:color="auto" w:fill="D9E2F3"/>
            <w:vAlign w:val="center"/>
          </w:tcPr>
          <w:p w14:paraId="3B792693" w14:textId="77777777" w:rsidR="00990B14" w:rsidRDefault="00000000">
            <w:pPr>
              <w:keepNext/>
              <w:spacing w:before="20" w:after="20"/>
              <w:jc w:val="both"/>
            </w:pPr>
            <w:r>
              <w:rPr>
                <w:b/>
                <w:bCs/>
                <w:i/>
                <w:iCs/>
                <w:sz w:val="18"/>
                <w:szCs w:val="18"/>
              </w:rPr>
              <w:t xml:space="preserve">Producto 16: </w:t>
            </w:r>
            <w:r>
              <w:rPr>
                <w:sz w:val="18"/>
                <w:szCs w:val="18"/>
              </w:rPr>
              <w:t>Balance de apertura</w:t>
            </w:r>
          </w:p>
        </w:tc>
        <w:tc>
          <w:tcPr>
            <w:tcW w:w="2016" w:type="dxa"/>
            <w:shd w:val="clear" w:color="auto" w:fill="D9E2F3"/>
            <w:vAlign w:val="center"/>
          </w:tcPr>
          <w:p w14:paraId="31C99ADD" w14:textId="77777777" w:rsidR="00990B14" w:rsidRDefault="00000000">
            <w:pPr>
              <w:spacing w:before="20" w:after="20"/>
              <w:jc w:val="center"/>
            </w:pPr>
            <w:r>
              <w:rPr>
                <w:b/>
                <w:bCs/>
                <w:sz w:val="18"/>
                <w:szCs w:val="18"/>
              </w:rPr>
              <w:t>3%</w:t>
            </w:r>
          </w:p>
        </w:tc>
      </w:tr>
      <w:tr w:rsidR="00990B14" w14:paraId="78E7F47B" w14:textId="77777777">
        <w:trPr>
          <w:cantSplit/>
          <w:jc w:val="center"/>
        </w:trPr>
        <w:tc>
          <w:tcPr>
            <w:tcW w:w="1809" w:type="dxa"/>
            <w:vMerge/>
            <w:shd w:val="clear" w:color="auto" w:fill="4472C4"/>
            <w:vAlign w:val="center"/>
          </w:tcPr>
          <w:p w14:paraId="1E01684C" w14:textId="77777777" w:rsidR="00990B14" w:rsidRDefault="00990B14">
            <w:pPr>
              <w:spacing w:before="20" w:after="20"/>
            </w:pPr>
          </w:p>
        </w:tc>
        <w:tc>
          <w:tcPr>
            <w:tcW w:w="1860" w:type="dxa"/>
            <w:shd w:val="clear" w:color="auto" w:fill="4472C4"/>
            <w:vAlign w:val="center"/>
          </w:tcPr>
          <w:p w14:paraId="370AE0A9" w14:textId="77777777" w:rsidR="00990B14" w:rsidRDefault="00000000">
            <w:pPr>
              <w:keepNext/>
              <w:spacing w:before="20" w:after="20"/>
              <w:jc w:val="center"/>
            </w:pPr>
            <w:r>
              <w:rPr>
                <w:b/>
                <w:bCs/>
                <w:i/>
                <w:iCs/>
                <w:color w:val="FFFFFF"/>
                <w:sz w:val="18"/>
                <w:szCs w:val="18"/>
              </w:rPr>
              <w:t>Criterio</w:t>
            </w:r>
          </w:p>
        </w:tc>
        <w:tc>
          <w:tcPr>
            <w:tcW w:w="1860" w:type="dxa"/>
            <w:shd w:val="clear" w:color="auto" w:fill="4472C4"/>
            <w:vAlign w:val="center"/>
          </w:tcPr>
          <w:p w14:paraId="37597DF3" w14:textId="77777777" w:rsidR="00990B14" w:rsidRDefault="00000000">
            <w:pPr>
              <w:keepNext/>
              <w:spacing w:before="20" w:after="20"/>
              <w:jc w:val="center"/>
            </w:pPr>
            <w:r>
              <w:rPr>
                <w:b/>
                <w:bCs/>
                <w:i/>
                <w:iCs/>
                <w:color w:val="FFFFFF"/>
                <w:sz w:val="18"/>
                <w:szCs w:val="18"/>
              </w:rPr>
              <w:t>Insuficiente (1–50)</w:t>
            </w:r>
          </w:p>
        </w:tc>
        <w:tc>
          <w:tcPr>
            <w:tcW w:w="1860" w:type="dxa"/>
            <w:shd w:val="clear" w:color="auto" w:fill="4472C4"/>
            <w:vAlign w:val="center"/>
          </w:tcPr>
          <w:p w14:paraId="7F41A2D9" w14:textId="77777777" w:rsidR="00990B14" w:rsidRDefault="00000000">
            <w:pPr>
              <w:keepNext/>
              <w:spacing w:before="20" w:after="20"/>
              <w:jc w:val="center"/>
            </w:pPr>
            <w:r>
              <w:rPr>
                <w:b/>
                <w:bCs/>
                <w:i/>
                <w:iCs/>
                <w:color w:val="FFFFFF"/>
                <w:sz w:val="18"/>
                <w:szCs w:val="18"/>
              </w:rPr>
              <w:t>Suficiente (51–80)</w:t>
            </w:r>
          </w:p>
        </w:tc>
        <w:tc>
          <w:tcPr>
            <w:tcW w:w="2016" w:type="dxa"/>
            <w:shd w:val="clear" w:color="auto" w:fill="4472C4"/>
            <w:vAlign w:val="center"/>
          </w:tcPr>
          <w:p w14:paraId="14115B4A" w14:textId="77777777" w:rsidR="00990B14" w:rsidRDefault="00000000">
            <w:pPr>
              <w:keepNext/>
              <w:spacing w:before="20" w:after="20"/>
              <w:jc w:val="center"/>
            </w:pPr>
            <w:r>
              <w:rPr>
                <w:b/>
                <w:bCs/>
                <w:i/>
                <w:iCs/>
                <w:color w:val="FFFFFF"/>
                <w:sz w:val="18"/>
                <w:szCs w:val="18"/>
              </w:rPr>
              <w:t>Destacado (81–100)</w:t>
            </w:r>
          </w:p>
        </w:tc>
      </w:tr>
      <w:tr w:rsidR="00990B14" w14:paraId="2687CA2A" w14:textId="77777777">
        <w:trPr>
          <w:cantSplit/>
          <w:jc w:val="center"/>
        </w:trPr>
        <w:tc>
          <w:tcPr>
            <w:tcW w:w="1809" w:type="dxa"/>
            <w:vMerge/>
            <w:shd w:val="clear" w:color="auto" w:fill="4472C4"/>
            <w:vAlign w:val="center"/>
          </w:tcPr>
          <w:p w14:paraId="759B0146" w14:textId="77777777" w:rsidR="00990B14" w:rsidRDefault="00990B14">
            <w:pPr>
              <w:spacing w:before="20" w:after="20"/>
            </w:pPr>
          </w:p>
        </w:tc>
        <w:tc>
          <w:tcPr>
            <w:tcW w:w="1860" w:type="dxa"/>
            <w:shd w:val="clear" w:color="auto" w:fill="D9E2F3"/>
            <w:vAlign w:val="center"/>
          </w:tcPr>
          <w:p w14:paraId="568CDE87" w14:textId="77777777" w:rsidR="00990B14" w:rsidRDefault="00000000">
            <w:pPr>
              <w:spacing w:before="20" w:after="20"/>
              <w:jc w:val="both"/>
            </w:pPr>
            <w:r>
              <w:rPr>
                <w:sz w:val="18"/>
                <w:szCs w:val="18"/>
              </w:rPr>
              <w:t>Activos</w:t>
            </w:r>
          </w:p>
        </w:tc>
        <w:tc>
          <w:tcPr>
            <w:tcW w:w="1860" w:type="dxa"/>
            <w:shd w:val="clear" w:color="auto" w:fill="D9E2F3"/>
            <w:vAlign w:val="center"/>
          </w:tcPr>
          <w:p w14:paraId="7541C3DF" w14:textId="77777777" w:rsidR="00990B14" w:rsidRDefault="00000000">
            <w:pPr>
              <w:spacing w:before="20" w:after="20"/>
              <w:jc w:val="both"/>
            </w:pPr>
            <w:r>
              <w:rPr>
                <w:sz w:val="18"/>
                <w:szCs w:val="18"/>
              </w:rPr>
              <w:t>Los activos no coinciden con la inversión.</w:t>
            </w:r>
          </w:p>
        </w:tc>
        <w:tc>
          <w:tcPr>
            <w:tcW w:w="1860" w:type="dxa"/>
            <w:shd w:val="clear" w:color="auto" w:fill="D9E2F3"/>
            <w:vAlign w:val="center"/>
          </w:tcPr>
          <w:p w14:paraId="77043240" w14:textId="77777777" w:rsidR="00990B14" w:rsidRDefault="00000000">
            <w:pPr>
              <w:spacing w:before="20" w:after="20"/>
              <w:jc w:val="both"/>
            </w:pPr>
            <w:r>
              <w:rPr>
                <w:sz w:val="18"/>
                <w:szCs w:val="18"/>
              </w:rPr>
              <w:t>Presenta los activos según el cuadro de inversión.</w:t>
            </w:r>
          </w:p>
        </w:tc>
        <w:tc>
          <w:tcPr>
            <w:tcW w:w="2016" w:type="dxa"/>
            <w:shd w:val="clear" w:color="auto" w:fill="D9E2F3"/>
            <w:vAlign w:val="center"/>
          </w:tcPr>
          <w:p w14:paraId="7708C558" w14:textId="77777777" w:rsidR="00990B14" w:rsidRDefault="00000000">
            <w:pPr>
              <w:spacing w:before="20" w:after="20"/>
              <w:jc w:val="both"/>
            </w:pPr>
            <w:r>
              <w:rPr>
                <w:sz w:val="18"/>
                <w:szCs w:val="18"/>
              </w:rPr>
              <w:t>Clasifica los activos según la normativa contable.</w:t>
            </w:r>
          </w:p>
        </w:tc>
      </w:tr>
      <w:tr w:rsidR="00990B14" w14:paraId="104B64E1" w14:textId="77777777">
        <w:trPr>
          <w:cantSplit/>
          <w:jc w:val="center"/>
        </w:trPr>
        <w:tc>
          <w:tcPr>
            <w:tcW w:w="1809" w:type="dxa"/>
            <w:vMerge/>
            <w:shd w:val="clear" w:color="auto" w:fill="4472C4"/>
            <w:vAlign w:val="center"/>
          </w:tcPr>
          <w:p w14:paraId="42637736" w14:textId="77777777" w:rsidR="00990B14" w:rsidRDefault="00990B14">
            <w:pPr>
              <w:spacing w:before="20" w:after="20"/>
            </w:pPr>
          </w:p>
        </w:tc>
        <w:tc>
          <w:tcPr>
            <w:tcW w:w="1860" w:type="dxa"/>
            <w:shd w:val="clear" w:color="auto" w:fill="D9E2F3"/>
            <w:vAlign w:val="center"/>
          </w:tcPr>
          <w:p w14:paraId="7CE1372B" w14:textId="77777777" w:rsidR="00990B14" w:rsidRDefault="00000000">
            <w:pPr>
              <w:spacing w:before="20" w:after="20"/>
              <w:jc w:val="both"/>
            </w:pPr>
            <w:r>
              <w:rPr>
                <w:sz w:val="18"/>
                <w:szCs w:val="18"/>
              </w:rPr>
              <w:t>Financiamiento</w:t>
            </w:r>
          </w:p>
        </w:tc>
        <w:tc>
          <w:tcPr>
            <w:tcW w:w="1860" w:type="dxa"/>
            <w:shd w:val="clear" w:color="auto" w:fill="D9E2F3"/>
            <w:vAlign w:val="center"/>
          </w:tcPr>
          <w:p w14:paraId="670E63AE" w14:textId="77777777" w:rsidR="00990B14" w:rsidRDefault="00000000">
            <w:pPr>
              <w:spacing w:before="20" w:after="20"/>
              <w:jc w:val="both"/>
            </w:pPr>
            <w:r>
              <w:rPr>
                <w:sz w:val="18"/>
                <w:szCs w:val="18"/>
              </w:rPr>
              <w:t>Omite el aporte propio o el crédito.</w:t>
            </w:r>
          </w:p>
        </w:tc>
        <w:tc>
          <w:tcPr>
            <w:tcW w:w="1860" w:type="dxa"/>
            <w:shd w:val="clear" w:color="auto" w:fill="D9E2F3"/>
            <w:vAlign w:val="center"/>
          </w:tcPr>
          <w:p w14:paraId="2E12FC2E" w14:textId="77777777" w:rsidR="00990B14" w:rsidRDefault="00000000">
            <w:pPr>
              <w:spacing w:before="20" w:after="20"/>
              <w:jc w:val="both"/>
            </w:pPr>
            <w:r>
              <w:rPr>
                <w:sz w:val="18"/>
                <w:szCs w:val="18"/>
              </w:rPr>
              <w:t>Presenta el pasivo y el patrimonio de apertura.</w:t>
            </w:r>
          </w:p>
        </w:tc>
        <w:tc>
          <w:tcPr>
            <w:tcW w:w="2016" w:type="dxa"/>
            <w:shd w:val="clear" w:color="auto" w:fill="D9E2F3"/>
            <w:vAlign w:val="center"/>
          </w:tcPr>
          <w:p w14:paraId="29612EC1" w14:textId="77777777" w:rsidR="00990B14" w:rsidRDefault="00000000">
            <w:pPr>
              <w:spacing w:before="20" w:after="20"/>
              <w:jc w:val="both"/>
            </w:pPr>
            <w:r>
              <w:rPr>
                <w:sz w:val="18"/>
                <w:szCs w:val="18"/>
              </w:rPr>
              <w:t>Analiza la estructura de financiamiento.</w:t>
            </w:r>
          </w:p>
        </w:tc>
      </w:tr>
      <w:tr w:rsidR="00990B14" w14:paraId="58B53380" w14:textId="77777777">
        <w:trPr>
          <w:cantSplit/>
          <w:jc w:val="center"/>
        </w:trPr>
        <w:tc>
          <w:tcPr>
            <w:tcW w:w="1809" w:type="dxa"/>
            <w:vMerge/>
            <w:shd w:val="clear" w:color="auto" w:fill="4472C4"/>
            <w:vAlign w:val="center"/>
          </w:tcPr>
          <w:p w14:paraId="3769B925" w14:textId="77777777" w:rsidR="00990B14" w:rsidRDefault="00990B14">
            <w:pPr>
              <w:spacing w:before="20" w:after="20"/>
            </w:pPr>
          </w:p>
        </w:tc>
        <w:tc>
          <w:tcPr>
            <w:tcW w:w="1860" w:type="dxa"/>
            <w:shd w:val="clear" w:color="auto" w:fill="D9E2F3"/>
            <w:vAlign w:val="center"/>
          </w:tcPr>
          <w:p w14:paraId="6DF09D20" w14:textId="77777777" w:rsidR="00990B14" w:rsidRDefault="00000000">
            <w:pPr>
              <w:spacing w:before="20" w:after="20"/>
              <w:jc w:val="both"/>
            </w:pPr>
            <w:r>
              <w:rPr>
                <w:sz w:val="18"/>
                <w:szCs w:val="18"/>
              </w:rPr>
              <w:t>Cuadratura</w:t>
            </w:r>
          </w:p>
        </w:tc>
        <w:tc>
          <w:tcPr>
            <w:tcW w:w="1860" w:type="dxa"/>
            <w:shd w:val="clear" w:color="auto" w:fill="D9E2F3"/>
            <w:vAlign w:val="center"/>
          </w:tcPr>
          <w:p w14:paraId="42C8C8EA" w14:textId="77777777" w:rsidR="00990B14" w:rsidRDefault="00000000">
            <w:pPr>
              <w:spacing w:before="20" w:after="20"/>
              <w:jc w:val="both"/>
            </w:pPr>
            <w:r>
              <w:rPr>
                <w:sz w:val="18"/>
                <w:szCs w:val="18"/>
              </w:rPr>
              <w:t>El balance no cuadra.</w:t>
            </w:r>
          </w:p>
        </w:tc>
        <w:tc>
          <w:tcPr>
            <w:tcW w:w="1860" w:type="dxa"/>
            <w:shd w:val="clear" w:color="auto" w:fill="D9E2F3"/>
            <w:vAlign w:val="center"/>
          </w:tcPr>
          <w:p w14:paraId="2BD08F40" w14:textId="77777777" w:rsidR="00990B14" w:rsidRDefault="00000000">
            <w:pPr>
              <w:spacing w:before="20" w:after="20"/>
              <w:jc w:val="both"/>
            </w:pPr>
            <w:r>
              <w:rPr>
                <w:sz w:val="18"/>
                <w:szCs w:val="18"/>
              </w:rPr>
              <w:t>El balance cuadra.</w:t>
            </w:r>
          </w:p>
        </w:tc>
        <w:tc>
          <w:tcPr>
            <w:tcW w:w="2016" w:type="dxa"/>
            <w:shd w:val="clear" w:color="auto" w:fill="D9E2F3"/>
            <w:vAlign w:val="center"/>
          </w:tcPr>
          <w:p w14:paraId="7B1466B5" w14:textId="77777777" w:rsidR="00990B14" w:rsidRDefault="00000000">
            <w:pPr>
              <w:spacing w:before="20" w:after="20"/>
              <w:jc w:val="both"/>
            </w:pPr>
            <w:r>
              <w:rPr>
                <w:sz w:val="18"/>
                <w:szCs w:val="18"/>
              </w:rPr>
              <w:t>Concilia el balance con el cuadro de origen y uso de fondos.</w:t>
            </w:r>
          </w:p>
        </w:tc>
      </w:tr>
      <w:tr w:rsidR="00990B14" w14:paraId="10A6F83B" w14:textId="77777777">
        <w:trPr>
          <w:cantSplit/>
          <w:jc w:val="center"/>
        </w:trPr>
        <w:tc>
          <w:tcPr>
            <w:tcW w:w="1809" w:type="dxa"/>
            <w:vMerge/>
            <w:shd w:val="clear" w:color="auto" w:fill="4472C4"/>
            <w:vAlign w:val="center"/>
          </w:tcPr>
          <w:p w14:paraId="3A85982E" w14:textId="77777777" w:rsidR="00990B14" w:rsidRDefault="00990B14">
            <w:pPr>
              <w:spacing w:before="20" w:after="20"/>
            </w:pPr>
          </w:p>
        </w:tc>
        <w:tc>
          <w:tcPr>
            <w:tcW w:w="5580" w:type="dxa"/>
            <w:gridSpan w:val="3"/>
            <w:shd w:val="clear" w:color="auto" w:fill="D9E2F3"/>
            <w:vAlign w:val="center"/>
          </w:tcPr>
          <w:p w14:paraId="322BFF05" w14:textId="77777777" w:rsidR="00990B14" w:rsidRDefault="00000000">
            <w:pPr>
              <w:keepNext/>
              <w:spacing w:before="20" w:after="20"/>
              <w:jc w:val="both"/>
            </w:pPr>
            <w:r>
              <w:rPr>
                <w:b/>
                <w:bCs/>
                <w:i/>
                <w:iCs/>
                <w:sz w:val="18"/>
                <w:szCs w:val="18"/>
              </w:rPr>
              <w:t xml:space="preserve">Producto 17: </w:t>
            </w:r>
            <w:r>
              <w:rPr>
                <w:sz w:val="18"/>
                <w:szCs w:val="18"/>
              </w:rPr>
              <w:t>Evaluación económica del proyecto</w:t>
            </w:r>
          </w:p>
        </w:tc>
        <w:tc>
          <w:tcPr>
            <w:tcW w:w="2016" w:type="dxa"/>
            <w:shd w:val="clear" w:color="auto" w:fill="D9E2F3"/>
            <w:vAlign w:val="center"/>
          </w:tcPr>
          <w:p w14:paraId="5CE32247" w14:textId="77777777" w:rsidR="00990B14" w:rsidRDefault="00000000">
            <w:pPr>
              <w:spacing w:before="20" w:after="20"/>
              <w:jc w:val="center"/>
            </w:pPr>
            <w:r>
              <w:rPr>
                <w:b/>
                <w:bCs/>
                <w:sz w:val="18"/>
                <w:szCs w:val="18"/>
              </w:rPr>
              <w:t>7%</w:t>
            </w:r>
          </w:p>
        </w:tc>
      </w:tr>
      <w:tr w:rsidR="00990B14" w14:paraId="1EC3FA00" w14:textId="77777777">
        <w:trPr>
          <w:cantSplit/>
          <w:jc w:val="center"/>
        </w:trPr>
        <w:tc>
          <w:tcPr>
            <w:tcW w:w="1809" w:type="dxa"/>
            <w:vMerge/>
            <w:shd w:val="clear" w:color="auto" w:fill="4472C4"/>
            <w:vAlign w:val="center"/>
          </w:tcPr>
          <w:p w14:paraId="708D9B44" w14:textId="77777777" w:rsidR="00990B14" w:rsidRDefault="00990B14">
            <w:pPr>
              <w:spacing w:before="20" w:after="20"/>
            </w:pPr>
          </w:p>
        </w:tc>
        <w:tc>
          <w:tcPr>
            <w:tcW w:w="1860" w:type="dxa"/>
            <w:shd w:val="clear" w:color="auto" w:fill="4472C4"/>
            <w:vAlign w:val="center"/>
          </w:tcPr>
          <w:p w14:paraId="038A6383" w14:textId="77777777" w:rsidR="00990B14" w:rsidRDefault="00000000">
            <w:pPr>
              <w:keepNext/>
              <w:spacing w:before="20" w:after="20"/>
              <w:jc w:val="center"/>
            </w:pPr>
            <w:r>
              <w:rPr>
                <w:b/>
                <w:bCs/>
                <w:i/>
                <w:iCs/>
                <w:color w:val="FFFFFF"/>
                <w:sz w:val="18"/>
                <w:szCs w:val="18"/>
              </w:rPr>
              <w:t>Criterio</w:t>
            </w:r>
          </w:p>
        </w:tc>
        <w:tc>
          <w:tcPr>
            <w:tcW w:w="1860" w:type="dxa"/>
            <w:shd w:val="clear" w:color="auto" w:fill="4472C4"/>
            <w:vAlign w:val="center"/>
          </w:tcPr>
          <w:p w14:paraId="6F1849F7" w14:textId="77777777" w:rsidR="00990B14" w:rsidRDefault="00000000">
            <w:pPr>
              <w:keepNext/>
              <w:spacing w:before="20" w:after="20"/>
              <w:jc w:val="center"/>
            </w:pPr>
            <w:r>
              <w:rPr>
                <w:b/>
                <w:bCs/>
                <w:i/>
                <w:iCs/>
                <w:color w:val="FFFFFF"/>
                <w:sz w:val="18"/>
                <w:szCs w:val="18"/>
              </w:rPr>
              <w:t>Insuficiente (1–50)</w:t>
            </w:r>
          </w:p>
        </w:tc>
        <w:tc>
          <w:tcPr>
            <w:tcW w:w="1860" w:type="dxa"/>
            <w:shd w:val="clear" w:color="auto" w:fill="4472C4"/>
            <w:vAlign w:val="center"/>
          </w:tcPr>
          <w:p w14:paraId="11DA7D79" w14:textId="77777777" w:rsidR="00990B14" w:rsidRDefault="00000000">
            <w:pPr>
              <w:keepNext/>
              <w:spacing w:before="20" w:after="20"/>
              <w:jc w:val="center"/>
            </w:pPr>
            <w:r>
              <w:rPr>
                <w:b/>
                <w:bCs/>
                <w:i/>
                <w:iCs/>
                <w:color w:val="FFFFFF"/>
                <w:sz w:val="18"/>
                <w:szCs w:val="18"/>
              </w:rPr>
              <w:t>Suficiente (51–80)</w:t>
            </w:r>
          </w:p>
        </w:tc>
        <w:tc>
          <w:tcPr>
            <w:tcW w:w="2016" w:type="dxa"/>
            <w:shd w:val="clear" w:color="auto" w:fill="4472C4"/>
            <w:vAlign w:val="center"/>
          </w:tcPr>
          <w:p w14:paraId="060C3E70" w14:textId="77777777" w:rsidR="00990B14" w:rsidRDefault="00000000">
            <w:pPr>
              <w:keepNext/>
              <w:spacing w:before="20" w:after="20"/>
              <w:jc w:val="center"/>
            </w:pPr>
            <w:r>
              <w:rPr>
                <w:b/>
                <w:bCs/>
                <w:i/>
                <w:iCs/>
                <w:color w:val="FFFFFF"/>
                <w:sz w:val="18"/>
                <w:szCs w:val="18"/>
              </w:rPr>
              <w:t>Destacado (81–100)</w:t>
            </w:r>
          </w:p>
        </w:tc>
      </w:tr>
      <w:tr w:rsidR="00990B14" w14:paraId="1EBB4D41" w14:textId="77777777">
        <w:trPr>
          <w:cantSplit/>
          <w:jc w:val="center"/>
        </w:trPr>
        <w:tc>
          <w:tcPr>
            <w:tcW w:w="1809" w:type="dxa"/>
            <w:vMerge/>
            <w:shd w:val="clear" w:color="auto" w:fill="4472C4"/>
            <w:vAlign w:val="center"/>
          </w:tcPr>
          <w:p w14:paraId="5F5A8506" w14:textId="77777777" w:rsidR="00990B14" w:rsidRDefault="00990B14">
            <w:pPr>
              <w:spacing w:before="20" w:after="20"/>
            </w:pPr>
          </w:p>
        </w:tc>
        <w:tc>
          <w:tcPr>
            <w:tcW w:w="1860" w:type="dxa"/>
            <w:shd w:val="clear" w:color="auto" w:fill="D9E2F3"/>
            <w:vAlign w:val="center"/>
          </w:tcPr>
          <w:p w14:paraId="2EAE2BC5" w14:textId="77777777" w:rsidR="00990B14" w:rsidRDefault="00000000">
            <w:pPr>
              <w:spacing w:before="20" w:after="20"/>
              <w:jc w:val="both"/>
            </w:pPr>
            <w:r>
              <w:rPr>
                <w:sz w:val="18"/>
                <w:szCs w:val="18"/>
              </w:rPr>
              <w:t>Proyección</w:t>
            </w:r>
          </w:p>
        </w:tc>
        <w:tc>
          <w:tcPr>
            <w:tcW w:w="1860" w:type="dxa"/>
            <w:shd w:val="clear" w:color="auto" w:fill="D9E2F3"/>
            <w:vAlign w:val="center"/>
          </w:tcPr>
          <w:p w14:paraId="6AD1F051" w14:textId="77777777" w:rsidR="00990B14" w:rsidRDefault="00000000">
            <w:pPr>
              <w:spacing w:before="20" w:after="20"/>
              <w:jc w:val="both"/>
            </w:pPr>
            <w:r>
              <w:rPr>
                <w:sz w:val="18"/>
                <w:szCs w:val="18"/>
              </w:rPr>
              <w:t>Omite rubros en la proyección.</w:t>
            </w:r>
          </w:p>
        </w:tc>
        <w:tc>
          <w:tcPr>
            <w:tcW w:w="1860" w:type="dxa"/>
            <w:shd w:val="clear" w:color="auto" w:fill="D9E2F3"/>
            <w:vAlign w:val="center"/>
          </w:tcPr>
          <w:p w14:paraId="12FD45C5" w14:textId="77777777" w:rsidR="00990B14" w:rsidRDefault="00000000">
            <w:pPr>
              <w:spacing w:before="20" w:after="20"/>
              <w:jc w:val="both"/>
            </w:pPr>
            <w:r>
              <w:rPr>
                <w:sz w:val="18"/>
                <w:szCs w:val="18"/>
              </w:rPr>
              <w:t>Proyecta los estados financieros y el flujo de caja.</w:t>
            </w:r>
          </w:p>
        </w:tc>
        <w:tc>
          <w:tcPr>
            <w:tcW w:w="2016" w:type="dxa"/>
            <w:shd w:val="clear" w:color="auto" w:fill="D9E2F3"/>
            <w:vAlign w:val="center"/>
          </w:tcPr>
          <w:p w14:paraId="196A513D" w14:textId="77777777" w:rsidR="00990B14" w:rsidRDefault="00000000">
            <w:pPr>
              <w:spacing w:before="20" w:after="20"/>
              <w:jc w:val="both"/>
            </w:pPr>
            <w:r>
              <w:rPr>
                <w:sz w:val="18"/>
                <w:szCs w:val="18"/>
              </w:rPr>
              <w:t>Concilia la proyección con el cuadro de origen y uso de fondos.</w:t>
            </w:r>
          </w:p>
        </w:tc>
      </w:tr>
      <w:tr w:rsidR="00990B14" w14:paraId="2AE83DAB" w14:textId="77777777">
        <w:trPr>
          <w:cantSplit/>
          <w:jc w:val="center"/>
        </w:trPr>
        <w:tc>
          <w:tcPr>
            <w:tcW w:w="1809" w:type="dxa"/>
            <w:vMerge/>
            <w:shd w:val="clear" w:color="auto" w:fill="4472C4"/>
            <w:vAlign w:val="center"/>
          </w:tcPr>
          <w:p w14:paraId="128F8404" w14:textId="77777777" w:rsidR="00990B14" w:rsidRDefault="00990B14">
            <w:pPr>
              <w:spacing w:before="20" w:after="20"/>
            </w:pPr>
          </w:p>
        </w:tc>
        <w:tc>
          <w:tcPr>
            <w:tcW w:w="1860" w:type="dxa"/>
            <w:shd w:val="clear" w:color="auto" w:fill="D9E2F3"/>
            <w:vAlign w:val="center"/>
          </w:tcPr>
          <w:p w14:paraId="26C85948" w14:textId="77777777" w:rsidR="00990B14" w:rsidRDefault="00000000">
            <w:pPr>
              <w:spacing w:before="20" w:after="20"/>
              <w:jc w:val="both"/>
            </w:pPr>
            <w:r>
              <w:rPr>
                <w:sz w:val="18"/>
                <w:szCs w:val="18"/>
              </w:rPr>
              <w:t>Indicadores</w:t>
            </w:r>
          </w:p>
        </w:tc>
        <w:tc>
          <w:tcPr>
            <w:tcW w:w="1860" w:type="dxa"/>
            <w:shd w:val="clear" w:color="auto" w:fill="D9E2F3"/>
            <w:vAlign w:val="center"/>
          </w:tcPr>
          <w:p w14:paraId="6F15F219" w14:textId="77777777" w:rsidR="00990B14" w:rsidRDefault="00000000">
            <w:pPr>
              <w:spacing w:before="20" w:after="20"/>
              <w:jc w:val="both"/>
            </w:pPr>
            <w:r>
              <w:rPr>
                <w:sz w:val="18"/>
                <w:szCs w:val="18"/>
              </w:rPr>
              <w:t>Calcula mal el VAN o la TIR.</w:t>
            </w:r>
          </w:p>
        </w:tc>
        <w:tc>
          <w:tcPr>
            <w:tcW w:w="1860" w:type="dxa"/>
            <w:shd w:val="clear" w:color="auto" w:fill="D9E2F3"/>
            <w:vAlign w:val="center"/>
          </w:tcPr>
          <w:p w14:paraId="37F5AC35" w14:textId="77777777" w:rsidR="00990B14" w:rsidRDefault="00000000">
            <w:pPr>
              <w:spacing w:before="20" w:after="20"/>
              <w:jc w:val="both"/>
            </w:pPr>
            <w:r>
              <w:rPr>
                <w:sz w:val="18"/>
                <w:szCs w:val="18"/>
              </w:rPr>
              <w:t>Calcula el VAN, la TIR y el periodo de recuperación.</w:t>
            </w:r>
          </w:p>
        </w:tc>
        <w:tc>
          <w:tcPr>
            <w:tcW w:w="2016" w:type="dxa"/>
            <w:shd w:val="clear" w:color="auto" w:fill="D9E2F3"/>
            <w:vAlign w:val="center"/>
          </w:tcPr>
          <w:p w14:paraId="66DC424C" w14:textId="77777777" w:rsidR="00990B14" w:rsidRDefault="00000000">
            <w:pPr>
              <w:spacing w:before="20" w:after="20"/>
              <w:jc w:val="both"/>
            </w:pPr>
            <w:r>
              <w:rPr>
                <w:sz w:val="18"/>
                <w:szCs w:val="18"/>
              </w:rPr>
              <w:t>Justifica la tasa de descuento empleada.</w:t>
            </w:r>
          </w:p>
        </w:tc>
      </w:tr>
      <w:tr w:rsidR="00990B14" w14:paraId="64072F4B" w14:textId="77777777">
        <w:trPr>
          <w:cantSplit/>
          <w:jc w:val="center"/>
        </w:trPr>
        <w:tc>
          <w:tcPr>
            <w:tcW w:w="1809" w:type="dxa"/>
            <w:vMerge/>
            <w:shd w:val="clear" w:color="auto" w:fill="4472C4"/>
            <w:vAlign w:val="center"/>
          </w:tcPr>
          <w:p w14:paraId="2A929DB7" w14:textId="77777777" w:rsidR="00990B14" w:rsidRDefault="00990B14">
            <w:pPr>
              <w:spacing w:before="20" w:after="20"/>
            </w:pPr>
          </w:p>
        </w:tc>
        <w:tc>
          <w:tcPr>
            <w:tcW w:w="1860" w:type="dxa"/>
            <w:shd w:val="clear" w:color="auto" w:fill="D9E2F3"/>
            <w:vAlign w:val="center"/>
          </w:tcPr>
          <w:p w14:paraId="55B95217" w14:textId="77777777" w:rsidR="00990B14" w:rsidRDefault="00000000">
            <w:pPr>
              <w:spacing w:before="20" w:after="20"/>
              <w:jc w:val="both"/>
            </w:pPr>
            <w:r>
              <w:rPr>
                <w:sz w:val="18"/>
                <w:szCs w:val="18"/>
              </w:rPr>
              <w:t>Decisión</w:t>
            </w:r>
          </w:p>
        </w:tc>
        <w:tc>
          <w:tcPr>
            <w:tcW w:w="1860" w:type="dxa"/>
            <w:shd w:val="clear" w:color="auto" w:fill="D9E2F3"/>
            <w:vAlign w:val="center"/>
          </w:tcPr>
          <w:p w14:paraId="418F29AD" w14:textId="77777777" w:rsidR="00990B14" w:rsidRDefault="00000000">
            <w:pPr>
              <w:spacing w:before="20" w:after="20"/>
              <w:jc w:val="both"/>
            </w:pPr>
            <w:r>
              <w:rPr>
                <w:sz w:val="18"/>
                <w:szCs w:val="18"/>
              </w:rPr>
              <w:t>No interpreta los indicadores.</w:t>
            </w:r>
          </w:p>
        </w:tc>
        <w:tc>
          <w:tcPr>
            <w:tcW w:w="1860" w:type="dxa"/>
            <w:shd w:val="clear" w:color="auto" w:fill="D9E2F3"/>
            <w:vAlign w:val="center"/>
          </w:tcPr>
          <w:p w14:paraId="2C3EAC36" w14:textId="77777777" w:rsidR="00990B14" w:rsidRDefault="00000000">
            <w:pPr>
              <w:spacing w:before="20" w:after="20"/>
              <w:jc w:val="both"/>
            </w:pPr>
            <w:r>
              <w:rPr>
                <w:sz w:val="18"/>
                <w:szCs w:val="18"/>
              </w:rPr>
              <w:t>Interpreta los indicadores para la decisión.</w:t>
            </w:r>
          </w:p>
        </w:tc>
        <w:tc>
          <w:tcPr>
            <w:tcW w:w="2016" w:type="dxa"/>
            <w:shd w:val="clear" w:color="auto" w:fill="D9E2F3"/>
            <w:vAlign w:val="center"/>
          </w:tcPr>
          <w:p w14:paraId="7B616FB3" w14:textId="77777777" w:rsidR="00990B14" w:rsidRDefault="00000000">
            <w:pPr>
              <w:spacing w:before="20" w:after="20"/>
              <w:jc w:val="both"/>
            </w:pPr>
            <w:r>
              <w:rPr>
                <w:sz w:val="18"/>
                <w:szCs w:val="18"/>
              </w:rPr>
              <w:t>Analiza la coherencia entre VAN y TIR.</w:t>
            </w:r>
          </w:p>
        </w:tc>
      </w:tr>
      <w:tr w:rsidR="00990B14" w14:paraId="39722485" w14:textId="77777777">
        <w:trPr>
          <w:cantSplit/>
          <w:jc w:val="center"/>
        </w:trPr>
        <w:tc>
          <w:tcPr>
            <w:tcW w:w="1809" w:type="dxa"/>
            <w:vMerge/>
            <w:shd w:val="clear" w:color="auto" w:fill="4472C4"/>
            <w:vAlign w:val="center"/>
          </w:tcPr>
          <w:p w14:paraId="02AE4776" w14:textId="77777777" w:rsidR="00990B14" w:rsidRDefault="00990B14">
            <w:pPr>
              <w:spacing w:before="20" w:after="20"/>
            </w:pPr>
          </w:p>
        </w:tc>
        <w:tc>
          <w:tcPr>
            <w:tcW w:w="5580" w:type="dxa"/>
            <w:gridSpan w:val="3"/>
            <w:shd w:val="clear" w:color="auto" w:fill="D9E2F3"/>
            <w:vAlign w:val="center"/>
          </w:tcPr>
          <w:p w14:paraId="72F82CF7" w14:textId="77777777" w:rsidR="00990B14" w:rsidRDefault="00000000">
            <w:pPr>
              <w:keepNext/>
              <w:spacing w:before="20" w:after="20"/>
              <w:jc w:val="both"/>
            </w:pPr>
            <w:r>
              <w:rPr>
                <w:b/>
                <w:bCs/>
                <w:i/>
                <w:iCs/>
                <w:sz w:val="18"/>
                <w:szCs w:val="18"/>
              </w:rPr>
              <w:t xml:space="preserve">Producto 18: </w:t>
            </w:r>
            <w:r>
              <w:rPr>
                <w:sz w:val="18"/>
                <w:szCs w:val="18"/>
              </w:rPr>
              <w:t>Evaluación financiera del proyecto</w:t>
            </w:r>
          </w:p>
        </w:tc>
        <w:tc>
          <w:tcPr>
            <w:tcW w:w="2016" w:type="dxa"/>
            <w:shd w:val="clear" w:color="auto" w:fill="D9E2F3"/>
            <w:vAlign w:val="center"/>
          </w:tcPr>
          <w:p w14:paraId="35E1FB4A" w14:textId="77777777" w:rsidR="00990B14" w:rsidRDefault="00000000">
            <w:pPr>
              <w:spacing w:before="20" w:after="20"/>
              <w:jc w:val="center"/>
            </w:pPr>
            <w:r>
              <w:rPr>
                <w:b/>
                <w:bCs/>
                <w:sz w:val="18"/>
                <w:szCs w:val="18"/>
              </w:rPr>
              <w:t>11%</w:t>
            </w:r>
          </w:p>
        </w:tc>
      </w:tr>
      <w:tr w:rsidR="00990B14" w14:paraId="3157CB67" w14:textId="77777777">
        <w:trPr>
          <w:cantSplit/>
          <w:jc w:val="center"/>
        </w:trPr>
        <w:tc>
          <w:tcPr>
            <w:tcW w:w="1809" w:type="dxa"/>
            <w:vMerge/>
            <w:shd w:val="clear" w:color="auto" w:fill="4472C4"/>
            <w:vAlign w:val="center"/>
          </w:tcPr>
          <w:p w14:paraId="6AEFC59A" w14:textId="77777777" w:rsidR="00990B14" w:rsidRDefault="00990B14">
            <w:pPr>
              <w:spacing w:before="20" w:after="20"/>
            </w:pPr>
          </w:p>
        </w:tc>
        <w:tc>
          <w:tcPr>
            <w:tcW w:w="1860" w:type="dxa"/>
            <w:shd w:val="clear" w:color="auto" w:fill="4472C4"/>
            <w:vAlign w:val="center"/>
          </w:tcPr>
          <w:p w14:paraId="0B7C8322" w14:textId="77777777" w:rsidR="00990B14" w:rsidRDefault="00000000">
            <w:pPr>
              <w:keepNext/>
              <w:spacing w:before="20" w:after="20"/>
              <w:jc w:val="center"/>
            </w:pPr>
            <w:r>
              <w:rPr>
                <w:b/>
                <w:bCs/>
                <w:i/>
                <w:iCs/>
                <w:color w:val="FFFFFF"/>
                <w:sz w:val="18"/>
                <w:szCs w:val="18"/>
              </w:rPr>
              <w:t>Criterio</w:t>
            </w:r>
          </w:p>
        </w:tc>
        <w:tc>
          <w:tcPr>
            <w:tcW w:w="1860" w:type="dxa"/>
            <w:shd w:val="clear" w:color="auto" w:fill="4472C4"/>
            <w:vAlign w:val="center"/>
          </w:tcPr>
          <w:p w14:paraId="42BF6F44" w14:textId="77777777" w:rsidR="00990B14" w:rsidRDefault="00000000">
            <w:pPr>
              <w:keepNext/>
              <w:spacing w:before="20" w:after="20"/>
              <w:jc w:val="center"/>
            </w:pPr>
            <w:r>
              <w:rPr>
                <w:b/>
                <w:bCs/>
                <w:i/>
                <w:iCs/>
                <w:color w:val="FFFFFF"/>
                <w:sz w:val="18"/>
                <w:szCs w:val="18"/>
              </w:rPr>
              <w:t>Insuficiente (1–50)</w:t>
            </w:r>
          </w:p>
        </w:tc>
        <w:tc>
          <w:tcPr>
            <w:tcW w:w="1860" w:type="dxa"/>
            <w:shd w:val="clear" w:color="auto" w:fill="4472C4"/>
            <w:vAlign w:val="center"/>
          </w:tcPr>
          <w:p w14:paraId="451C5B38" w14:textId="77777777" w:rsidR="00990B14" w:rsidRDefault="00000000">
            <w:pPr>
              <w:keepNext/>
              <w:spacing w:before="20" w:after="20"/>
              <w:jc w:val="center"/>
            </w:pPr>
            <w:r>
              <w:rPr>
                <w:b/>
                <w:bCs/>
                <w:i/>
                <w:iCs/>
                <w:color w:val="FFFFFF"/>
                <w:sz w:val="18"/>
                <w:szCs w:val="18"/>
              </w:rPr>
              <w:t>Suficiente (51–80)</w:t>
            </w:r>
          </w:p>
        </w:tc>
        <w:tc>
          <w:tcPr>
            <w:tcW w:w="2016" w:type="dxa"/>
            <w:shd w:val="clear" w:color="auto" w:fill="4472C4"/>
            <w:vAlign w:val="center"/>
          </w:tcPr>
          <w:p w14:paraId="6BE4532D" w14:textId="77777777" w:rsidR="00990B14" w:rsidRDefault="00000000">
            <w:pPr>
              <w:keepNext/>
              <w:spacing w:before="20" w:after="20"/>
              <w:jc w:val="center"/>
            </w:pPr>
            <w:r>
              <w:rPr>
                <w:b/>
                <w:bCs/>
                <w:i/>
                <w:iCs/>
                <w:color w:val="FFFFFF"/>
                <w:sz w:val="18"/>
                <w:szCs w:val="18"/>
              </w:rPr>
              <w:t>Destacado (81–100)</w:t>
            </w:r>
          </w:p>
        </w:tc>
      </w:tr>
      <w:tr w:rsidR="00990B14" w14:paraId="4BAE92FF" w14:textId="77777777">
        <w:trPr>
          <w:cantSplit/>
          <w:jc w:val="center"/>
        </w:trPr>
        <w:tc>
          <w:tcPr>
            <w:tcW w:w="1809" w:type="dxa"/>
            <w:vMerge/>
            <w:shd w:val="clear" w:color="auto" w:fill="4472C4"/>
            <w:vAlign w:val="center"/>
          </w:tcPr>
          <w:p w14:paraId="1022F12F" w14:textId="77777777" w:rsidR="00990B14" w:rsidRDefault="00990B14">
            <w:pPr>
              <w:spacing w:before="20" w:after="20"/>
            </w:pPr>
          </w:p>
        </w:tc>
        <w:tc>
          <w:tcPr>
            <w:tcW w:w="1860" w:type="dxa"/>
            <w:shd w:val="clear" w:color="auto" w:fill="D9E2F3"/>
            <w:vAlign w:val="center"/>
          </w:tcPr>
          <w:p w14:paraId="278B457C" w14:textId="77777777" w:rsidR="00990B14" w:rsidRDefault="00000000">
            <w:pPr>
              <w:spacing w:before="20" w:after="20"/>
              <w:jc w:val="both"/>
            </w:pPr>
            <w:r>
              <w:rPr>
                <w:sz w:val="18"/>
                <w:szCs w:val="18"/>
              </w:rPr>
              <w:t>Servicio de la deuda</w:t>
            </w:r>
          </w:p>
        </w:tc>
        <w:tc>
          <w:tcPr>
            <w:tcW w:w="1860" w:type="dxa"/>
            <w:shd w:val="clear" w:color="auto" w:fill="D9E2F3"/>
            <w:vAlign w:val="center"/>
          </w:tcPr>
          <w:p w14:paraId="24F55C5F" w14:textId="77777777" w:rsidR="00990B14" w:rsidRDefault="00000000">
            <w:pPr>
              <w:spacing w:before="20" w:after="20"/>
              <w:jc w:val="both"/>
            </w:pPr>
            <w:r>
              <w:rPr>
                <w:sz w:val="18"/>
                <w:szCs w:val="18"/>
              </w:rPr>
              <w:t>Calcula mal las cuotas.</w:t>
            </w:r>
          </w:p>
        </w:tc>
        <w:tc>
          <w:tcPr>
            <w:tcW w:w="1860" w:type="dxa"/>
            <w:shd w:val="clear" w:color="auto" w:fill="D9E2F3"/>
            <w:vAlign w:val="center"/>
          </w:tcPr>
          <w:p w14:paraId="73E5766F" w14:textId="77777777" w:rsidR="00990B14" w:rsidRDefault="00000000">
            <w:pPr>
              <w:spacing w:before="20" w:after="20"/>
              <w:jc w:val="both"/>
            </w:pPr>
            <w:r>
              <w:rPr>
                <w:sz w:val="18"/>
                <w:szCs w:val="18"/>
              </w:rPr>
              <w:t>Calcula el servicio de la deuda por el método elegido.</w:t>
            </w:r>
          </w:p>
        </w:tc>
        <w:tc>
          <w:tcPr>
            <w:tcW w:w="2016" w:type="dxa"/>
            <w:shd w:val="clear" w:color="auto" w:fill="D9E2F3"/>
            <w:vAlign w:val="center"/>
          </w:tcPr>
          <w:p w14:paraId="44FD7CEE" w14:textId="77777777" w:rsidR="00990B14" w:rsidRDefault="00000000">
            <w:pPr>
              <w:spacing w:before="20" w:after="20"/>
              <w:jc w:val="both"/>
            </w:pPr>
            <w:r>
              <w:rPr>
                <w:sz w:val="18"/>
                <w:szCs w:val="18"/>
              </w:rPr>
              <w:t>Compara métodos de amortización.</w:t>
            </w:r>
          </w:p>
        </w:tc>
      </w:tr>
      <w:tr w:rsidR="00990B14" w14:paraId="467AB1D6" w14:textId="77777777">
        <w:trPr>
          <w:cantSplit/>
          <w:jc w:val="center"/>
        </w:trPr>
        <w:tc>
          <w:tcPr>
            <w:tcW w:w="1809" w:type="dxa"/>
            <w:vMerge/>
            <w:shd w:val="clear" w:color="auto" w:fill="4472C4"/>
            <w:vAlign w:val="center"/>
          </w:tcPr>
          <w:p w14:paraId="034A26FE" w14:textId="77777777" w:rsidR="00990B14" w:rsidRDefault="00990B14">
            <w:pPr>
              <w:spacing w:before="20" w:after="20"/>
            </w:pPr>
          </w:p>
        </w:tc>
        <w:tc>
          <w:tcPr>
            <w:tcW w:w="1860" w:type="dxa"/>
            <w:shd w:val="clear" w:color="auto" w:fill="D9E2F3"/>
            <w:vAlign w:val="center"/>
          </w:tcPr>
          <w:p w14:paraId="4EC69665" w14:textId="77777777" w:rsidR="00990B14" w:rsidRDefault="00000000">
            <w:pPr>
              <w:spacing w:before="20" w:after="20"/>
              <w:jc w:val="both"/>
            </w:pPr>
            <w:r>
              <w:rPr>
                <w:sz w:val="18"/>
                <w:szCs w:val="18"/>
              </w:rPr>
              <w:t>Efecto del financiamiento</w:t>
            </w:r>
          </w:p>
        </w:tc>
        <w:tc>
          <w:tcPr>
            <w:tcW w:w="1860" w:type="dxa"/>
            <w:shd w:val="clear" w:color="auto" w:fill="D9E2F3"/>
            <w:vAlign w:val="center"/>
          </w:tcPr>
          <w:p w14:paraId="33847C68" w14:textId="77777777" w:rsidR="00990B14" w:rsidRDefault="00000000">
            <w:pPr>
              <w:spacing w:before="20" w:after="20"/>
              <w:jc w:val="both"/>
            </w:pPr>
            <w:r>
              <w:rPr>
                <w:sz w:val="18"/>
                <w:szCs w:val="18"/>
              </w:rPr>
              <w:t>No refleja los intereses en resultados.</w:t>
            </w:r>
          </w:p>
        </w:tc>
        <w:tc>
          <w:tcPr>
            <w:tcW w:w="1860" w:type="dxa"/>
            <w:shd w:val="clear" w:color="auto" w:fill="D9E2F3"/>
            <w:vAlign w:val="center"/>
          </w:tcPr>
          <w:p w14:paraId="7CA578D8" w14:textId="77777777" w:rsidR="00990B14" w:rsidRDefault="00000000">
            <w:pPr>
              <w:spacing w:before="20" w:after="20"/>
              <w:jc w:val="both"/>
            </w:pPr>
            <w:r>
              <w:rPr>
                <w:sz w:val="18"/>
                <w:szCs w:val="18"/>
              </w:rPr>
              <w:t>Refleja los intereses y la amortización en caja y resultados.</w:t>
            </w:r>
          </w:p>
        </w:tc>
        <w:tc>
          <w:tcPr>
            <w:tcW w:w="2016" w:type="dxa"/>
            <w:shd w:val="clear" w:color="auto" w:fill="D9E2F3"/>
            <w:vAlign w:val="center"/>
          </w:tcPr>
          <w:p w14:paraId="7319F937" w14:textId="77777777" w:rsidR="00990B14" w:rsidRDefault="00000000">
            <w:pPr>
              <w:spacing w:before="20" w:after="20"/>
              <w:jc w:val="both"/>
            </w:pPr>
            <w:r>
              <w:rPr>
                <w:sz w:val="18"/>
                <w:szCs w:val="18"/>
              </w:rPr>
              <w:t>Explica el efecto del escudo fiscal de los intereses.</w:t>
            </w:r>
          </w:p>
        </w:tc>
      </w:tr>
      <w:tr w:rsidR="00990B14" w14:paraId="6BC07809" w14:textId="77777777">
        <w:trPr>
          <w:cantSplit/>
          <w:jc w:val="center"/>
        </w:trPr>
        <w:tc>
          <w:tcPr>
            <w:tcW w:w="1809" w:type="dxa"/>
            <w:vMerge/>
            <w:shd w:val="clear" w:color="auto" w:fill="4472C4"/>
            <w:vAlign w:val="center"/>
          </w:tcPr>
          <w:p w14:paraId="6C052626" w14:textId="77777777" w:rsidR="00990B14" w:rsidRDefault="00990B14">
            <w:pPr>
              <w:spacing w:before="20" w:after="20"/>
            </w:pPr>
          </w:p>
        </w:tc>
        <w:tc>
          <w:tcPr>
            <w:tcW w:w="1860" w:type="dxa"/>
            <w:shd w:val="clear" w:color="auto" w:fill="D9E2F3"/>
            <w:vAlign w:val="center"/>
          </w:tcPr>
          <w:p w14:paraId="1C955D9E" w14:textId="77777777" w:rsidR="00990B14" w:rsidRDefault="00000000">
            <w:pPr>
              <w:spacing w:before="20" w:after="20"/>
              <w:jc w:val="both"/>
            </w:pPr>
            <w:r>
              <w:rPr>
                <w:sz w:val="18"/>
                <w:szCs w:val="18"/>
              </w:rPr>
              <w:t>Apalancamiento</w:t>
            </w:r>
          </w:p>
        </w:tc>
        <w:tc>
          <w:tcPr>
            <w:tcW w:w="1860" w:type="dxa"/>
            <w:shd w:val="clear" w:color="auto" w:fill="D9E2F3"/>
            <w:vAlign w:val="center"/>
          </w:tcPr>
          <w:p w14:paraId="293539C3" w14:textId="77777777" w:rsidR="00990B14" w:rsidRDefault="00000000">
            <w:pPr>
              <w:spacing w:before="20" w:after="20"/>
              <w:jc w:val="both"/>
            </w:pPr>
            <w:r>
              <w:rPr>
                <w:sz w:val="18"/>
                <w:szCs w:val="18"/>
              </w:rPr>
              <w:t>No compara VAN económico y financiero.</w:t>
            </w:r>
          </w:p>
        </w:tc>
        <w:tc>
          <w:tcPr>
            <w:tcW w:w="1860" w:type="dxa"/>
            <w:shd w:val="clear" w:color="auto" w:fill="D9E2F3"/>
            <w:vAlign w:val="center"/>
          </w:tcPr>
          <w:p w14:paraId="79F5ACA0" w14:textId="77777777" w:rsidR="00990B14" w:rsidRDefault="00000000">
            <w:pPr>
              <w:spacing w:before="20" w:after="20"/>
              <w:jc w:val="both"/>
            </w:pPr>
            <w:r>
              <w:rPr>
                <w:sz w:val="18"/>
                <w:szCs w:val="18"/>
              </w:rPr>
              <w:t>Calcula el VAN y la TIR financieros.</w:t>
            </w:r>
          </w:p>
        </w:tc>
        <w:tc>
          <w:tcPr>
            <w:tcW w:w="2016" w:type="dxa"/>
            <w:shd w:val="clear" w:color="auto" w:fill="D9E2F3"/>
            <w:vAlign w:val="center"/>
          </w:tcPr>
          <w:p w14:paraId="60EC7E91" w14:textId="77777777" w:rsidR="00990B14" w:rsidRDefault="00000000">
            <w:pPr>
              <w:spacing w:before="20" w:after="20"/>
              <w:jc w:val="both"/>
            </w:pPr>
            <w:r>
              <w:rPr>
                <w:sz w:val="18"/>
                <w:szCs w:val="18"/>
              </w:rPr>
              <w:t>Evalúa si el apalancamiento favorece al inversionista.</w:t>
            </w:r>
          </w:p>
        </w:tc>
      </w:tr>
      <w:tr w:rsidR="00990B14" w14:paraId="22D4C7DA" w14:textId="77777777">
        <w:trPr>
          <w:cantSplit/>
          <w:jc w:val="center"/>
        </w:trPr>
        <w:tc>
          <w:tcPr>
            <w:tcW w:w="1809" w:type="dxa"/>
            <w:vMerge/>
            <w:shd w:val="clear" w:color="auto" w:fill="4472C4"/>
            <w:vAlign w:val="center"/>
          </w:tcPr>
          <w:p w14:paraId="51C9D8AB" w14:textId="77777777" w:rsidR="00990B14" w:rsidRDefault="00990B14">
            <w:pPr>
              <w:spacing w:before="20" w:after="20"/>
            </w:pPr>
          </w:p>
        </w:tc>
        <w:tc>
          <w:tcPr>
            <w:tcW w:w="5580" w:type="dxa"/>
            <w:gridSpan w:val="3"/>
            <w:shd w:val="clear" w:color="auto" w:fill="D9E2F3"/>
            <w:vAlign w:val="center"/>
          </w:tcPr>
          <w:p w14:paraId="478A0B70" w14:textId="77777777" w:rsidR="00990B14" w:rsidRDefault="00000000">
            <w:pPr>
              <w:keepNext/>
              <w:spacing w:before="20" w:after="20"/>
              <w:jc w:val="both"/>
            </w:pPr>
            <w:r>
              <w:rPr>
                <w:b/>
                <w:bCs/>
                <w:i/>
                <w:iCs/>
                <w:sz w:val="18"/>
                <w:szCs w:val="18"/>
              </w:rPr>
              <w:t xml:space="preserve">Producto 19: </w:t>
            </w:r>
            <w:r>
              <w:rPr>
                <w:sz w:val="18"/>
                <w:szCs w:val="18"/>
              </w:rPr>
              <w:t>Informe de evaluación sensibilizada</w:t>
            </w:r>
          </w:p>
        </w:tc>
        <w:tc>
          <w:tcPr>
            <w:tcW w:w="2016" w:type="dxa"/>
            <w:shd w:val="clear" w:color="auto" w:fill="D9E2F3"/>
            <w:vAlign w:val="center"/>
          </w:tcPr>
          <w:p w14:paraId="15E59012" w14:textId="77777777" w:rsidR="00990B14" w:rsidRDefault="00000000">
            <w:pPr>
              <w:spacing w:before="20" w:after="20"/>
              <w:jc w:val="center"/>
            </w:pPr>
            <w:r>
              <w:rPr>
                <w:b/>
                <w:bCs/>
                <w:sz w:val="18"/>
                <w:szCs w:val="18"/>
              </w:rPr>
              <w:t>6%</w:t>
            </w:r>
          </w:p>
        </w:tc>
      </w:tr>
      <w:tr w:rsidR="00990B14" w14:paraId="13DD9358" w14:textId="77777777">
        <w:trPr>
          <w:cantSplit/>
          <w:jc w:val="center"/>
        </w:trPr>
        <w:tc>
          <w:tcPr>
            <w:tcW w:w="1809" w:type="dxa"/>
            <w:vMerge/>
            <w:shd w:val="clear" w:color="auto" w:fill="4472C4"/>
            <w:vAlign w:val="center"/>
          </w:tcPr>
          <w:p w14:paraId="5803AA58" w14:textId="77777777" w:rsidR="00990B14" w:rsidRDefault="00990B14">
            <w:pPr>
              <w:spacing w:before="20" w:after="20"/>
            </w:pPr>
          </w:p>
        </w:tc>
        <w:tc>
          <w:tcPr>
            <w:tcW w:w="1860" w:type="dxa"/>
            <w:shd w:val="clear" w:color="auto" w:fill="4472C4"/>
            <w:vAlign w:val="center"/>
          </w:tcPr>
          <w:p w14:paraId="1FAADBFF" w14:textId="77777777" w:rsidR="00990B14" w:rsidRDefault="00000000">
            <w:pPr>
              <w:keepNext/>
              <w:spacing w:before="20" w:after="20"/>
              <w:jc w:val="center"/>
            </w:pPr>
            <w:r>
              <w:rPr>
                <w:b/>
                <w:bCs/>
                <w:i/>
                <w:iCs/>
                <w:color w:val="FFFFFF"/>
                <w:sz w:val="18"/>
                <w:szCs w:val="18"/>
              </w:rPr>
              <w:t>Criterio</w:t>
            </w:r>
          </w:p>
        </w:tc>
        <w:tc>
          <w:tcPr>
            <w:tcW w:w="1860" w:type="dxa"/>
            <w:shd w:val="clear" w:color="auto" w:fill="4472C4"/>
            <w:vAlign w:val="center"/>
          </w:tcPr>
          <w:p w14:paraId="78C679EF" w14:textId="77777777" w:rsidR="00990B14" w:rsidRDefault="00000000">
            <w:pPr>
              <w:keepNext/>
              <w:spacing w:before="20" w:after="20"/>
              <w:jc w:val="center"/>
            </w:pPr>
            <w:r>
              <w:rPr>
                <w:b/>
                <w:bCs/>
                <w:i/>
                <w:iCs/>
                <w:color w:val="FFFFFF"/>
                <w:sz w:val="18"/>
                <w:szCs w:val="18"/>
              </w:rPr>
              <w:t>Insuficiente (1–50)</w:t>
            </w:r>
          </w:p>
        </w:tc>
        <w:tc>
          <w:tcPr>
            <w:tcW w:w="1860" w:type="dxa"/>
            <w:shd w:val="clear" w:color="auto" w:fill="4472C4"/>
            <w:vAlign w:val="center"/>
          </w:tcPr>
          <w:p w14:paraId="7140BDC8" w14:textId="77777777" w:rsidR="00990B14" w:rsidRDefault="00000000">
            <w:pPr>
              <w:keepNext/>
              <w:spacing w:before="20" w:after="20"/>
              <w:jc w:val="center"/>
            </w:pPr>
            <w:r>
              <w:rPr>
                <w:b/>
                <w:bCs/>
                <w:i/>
                <w:iCs/>
                <w:color w:val="FFFFFF"/>
                <w:sz w:val="18"/>
                <w:szCs w:val="18"/>
              </w:rPr>
              <w:t>Suficiente (51–80)</w:t>
            </w:r>
          </w:p>
        </w:tc>
        <w:tc>
          <w:tcPr>
            <w:tcW w:w="2016" w:type="dxa"/>
            <w:shd w:val="clear" w:color="auto" w:fill="4472C4"/>
            <w:vAlign w:val="center"/>
          </w:tcPr>
          <w:p w14:paraId="5BBD9A84" w14:textId="77777777" w:rsidR="00990B14" w:rsidRDefault="00000000">
            <w:pPr>
              <w:keepNext/>
              <w:spacing w:before="20" w:after="20"/>
              <w:jc w:val="center"/>
            </w:pPr>
            <w:r>
              <w:rPr>
                <w:b/>
                <w:bCs/>
                <w:i/>
                <w:iCs/>
                <w:color w:val="FFFFFF"/>
                <w:sz w:val="18"/>
                <w:szCs w:val="18"/>
              </w:rPr>
              <w:t>Destacado (81–100)</w:t>
            </w:r>
          </w:p>
        </w:tc>
      </w:tr>
      <w:tr w:rsidR="00990B14" w14:paraId="4E85E624" w14:textId="77777777">
        <w:trPr>
          <w:cantSplit/>
          <w:jc w:val="center"/>
        </w:trPr>
        <w:tc>
          <w:tcPr>
            <w:tcW w:w="1809" w:type="dxa"/>
            <w:vMerge/>
            <w:shd w:val="clear" w:color="auto" w:fill="4472C4"/>
            <w:vAlign w:val="center"/>
          </w:tcPr>
          <w:p w14:paraId="366A6532" w14:textId="77777777" w:rsidR="00990B14" w:rsidRDefault="00990B14">
            <w:pPr>
              <w:spacing w:before="20" w:after="20"/>
            </w:pPr>
          </w:p>
        </w:tc>
        <w:tc>
          <w:tcPr>
            <w:tcW w:w="1860" w:type="dxa"/>
            <w:shd w:val="clear" w:color="auto" w:fill="D9E2F3"/>
            <w:vAlign w:val="center"/>
          </w:tcPr>
          <w:p w14:paraId="2AB8FAEB" w14:textId="77777777" w:rsidR="00990B14" w:rsidRDefault="00000000">
            <w:pPr>
              <w:spacing w:before="20" w:after="20"/>
              <w:jc w:val="both"/>
            </w:pPr>
            <w:r>
              <w:rPr>
                <w:sz w:val="18"/>
                <w:szCs w:val="18"/>
              </w:rPr>
              <w:t>Supuestos de sensibilización</w:t>
            </w:r>
          </w:p>
        </w:tc>
        <w:tc>
          <w:tcPr>
            <w:tcW w:w="1860" w:type="dxa"/>
            <w:shd w:val="clear" w:color="auto" w:fill="D9E2F3"/>
            <w:vAlign w:val="center"/>
          </w:tcPr>
          <w:p w14:paraId="157ED55A" w14:textId="77777777" w:rsidR="00990B14" w:rsidRDefault="00000000">
            <w:pPr>
              <w:spacing w:before="20" w:after="20"/>
              <w:jc w:val="both"/>
            </w:pPr>
            <w:r>
              <w:rPr>
                <w:sz w:val="18"/>
                <w:szCs w:val="18"/>
              </w:rPr>
              <w:t>Usa supuestos sin respaldo.</w:t>
            </w:r>
          </w:p>
        </w:tc>
        <w:tc>
          <w:tcPr>
            <w:tcW w:w="1860" w:type="dxa"/>
            <w:shd w:val="clear" w:color="auto" w:fill="D9E2F3"/>
            <w:vAlign w:val="center"/>
          </w:tcPr>
          <w:p w14:paraId="3DCB9837" w14:textId="77777777" w:rsidR="00990B14" w:rsidRDefault="00000000">
            <w:pPr>
              <w:spacing w:before="20" w:after="20"/>
              <w:jc w:val="both"/>
            </w:pPr>
            <w:r>
              <w:rPr>
                <w:sz w:val="18"/>
                <w:szCs w:val="18"/>
              </w:rPr>
              <w:t>Incorpora expectativas de inflación y de tipo de cambio.</w:t>
            </w:r>
          </w:p>
        </w:tc>
        <w:tc>
          <w:tcPr>
            <w:tcW w:w="2016" w:type="dxa"/>
            <w:shd w:val="clear" w:color="auto" w:fill="D9E2F3"/>
            <w:vAlign w:val="center"/>
          </w:tcPr>
          <w:p w14:paraId="469B4A80" w14:textId="77777777" w:rsidR="00990B14" w:rsidRDefault="00000000">
            <w:pPr>
              <w:spacing w:before="20" w:after="20"/>
              <w:jc w:val="both"/>
            </w:pPr>
            <w:r>
              <w:rPr>
                <w:sz w:val="18"/>
                <w:szCs w:val="18"/>
              </w:rPr>
              <w:t>Fundamenta los supuestos con fuentes oficiales.</w:t>
            </w:r>
          </w:p>
        </w:tc>
      </w:tr>
      <w:tr w:rsidR="00990B14" w14:paraId="0A6D4E45" w14:textId="77777777">
        <w:trPr>
          <w:cantSplit/>
          <w:jc w:val="center"/>
        </w:trPr>
        <w:tc>
          <w:tcPr>
            <w:tcW w:w="1809" w:type="dxa"/>
            <w:vMerge/>
            <w:shd w:val="clear" w:color="auto" w:fill="4472C4"/>
            <w:vAlign w:val="center"/>
          </w:tcPr>
          <w:p w14:paraId="01DAE486" w14:textId="77777777" w:rsidR="00990B14" w:rsidRDefault="00990B14">
            <w:pPr>
              <w:spacing w:before="20" w:after="20"/>
            </w:pPr>
          </w:p>
        </w:tc>
        <w:tc>
          <w:tcPr>
            <w:tcW w:w="1860" w:type="dxa"/>
            <w:shd w:val="clear" w:color="auto" w:fill="D9E2F3"/>
            <w:vAlign w:val="center"/>
          </w:tcPr>
          <w:p w14:paraId="457D9C4E" w14:textId="77777777" w:rsidR="00990B14" w:rsidRDefault="00000000">
            <w:pPr>
              <w:spacing w:before="20" w:after="20"/>
              <w:jc w:val="both"/>
            </w:pPr>
            <w:r>
              <w:rPr>
                <w:sz w:val="18"/>
                <w:szCs w:val="18"/>
              </w:rPr>
              <w:t>Escenarios y puntos críticos</w:t>
            </w:r>
          </w:p>
        </w:tc>
        <w:tc>
          <w:tcPr>
            <w:tcW w:w="1860" w:type="dxa"/>
            <w:shd w:val="clear" w:color="auto" w:fill="D9E2F3"/>
            <w:vAlign w:val="center"/>
          </w:tcPr>
          <w:p w14:paraId="7EE23BF1" w14:textId="77777777" w:rsidR="00990B14" w:rsidRDefault="00000000">
            <w:pPr>
              <w:spacing w:before="20" w:after="20"/>
              <w:jc w:val="both"/>
            </w:pPr>
            <w:r>
              <w:rPr>
                <w:sz w:val="18"/>
                <w:szCs w:val="18"/>
              </w:rPr>
              <w:t>Presenta un solo escenario.</w:t>
            </w:r>
          </w:p>
        </w:tc>
        <w:tc>
          <w:tcPr>
            <w:tcW w:w="1860" w:type="dxa"/>
            <w:shd w:val="clear" w:color="auto" w:fill="D9E2F3"/>
            <w:vAlign w:val="center"/>
          </w:tcPr>
          <w:p w14:paraId="48229B10" w14:textId="77777777" w:rsidR="00990B14" w:rsidRDefault="00000000">
            <w:pPr>
              <w:spacing w:before="20" w:after="20"/>
              <w:jc w:val="both"/>
            </w:pPr>
            <w:r>
              <w:rPr>
                <w:sz w:val="18"/>
                <w:szCs w:val="18"/>
              </w:rPr>
              <w:t>Calcula indicadores en varios escenarios.</w:t>
            </w:r>
          </w:p>
        </w:tc>
        <w:tc>
          <w:tcPr>
            <w:tcW w:w="2016" w:type="dxa"/>
            <w:shd w:val="clear" w:color="auto" w:fill="D9E2F3"/>
            <w:vAlign w:val="center"/>
          </w:tcPr>
          <w:p w14:paraId="72A3A13B" w14:textId="77777777" w:rsidR="00990B14" w:rsidRDefault="00000000">
            <w:pPr>
              <w:spacing w:before="20" w:after="20"/>
              <w:jc w:val="both"/>
            </w:pPr>
            <w:r>
              <w:rPr>
                <w:sz w:val="18"/>
                <w:szCs w:val="18"/>
              </w:rPr>
              <w:t>Identifica la variable crítica de la rentabilidad.</w:t>
            </w:r>
          </w:p>
        </w:tc>
      </w:tr>
      <w:tr w:rsidR="00990B14" w14:paraId="0322DEBE" w14:textId="77777777">
        <w:trPr>
          <w:cantSplit/>
          <w:jc w:val="center"/>
        </w:trPr>
        <w:tc>
          <w:tcPr>
            <w:tcW w:w="1809" w:type="dxa"/>
            <w:vMerge/>
            <w:shd w:val="clear" w:color="auto" w:fill="4472C4"/>
            <w:vAlign w:val="center"/>
          </w:tcPr>
          <w:p w14:paraId="1E606E08" w14:textId="77777777" w:rsidR="00990B14" w:rsidRDefault="00990B14">
            <w:pPr>
              <w:spacing w:before="20" w:after="20"/>
            </w:pPr>
          </w:p>
        </w:tc>
        <w:tc>
          <w:tcPr>
            <w:tcW w:w="1860" w:type="dxa"/>
            <w:shd w:val="clear" w:color="auto" w:fill="D9E2F3"/>
            <w:vAlign w:val="center"/>
          </w:tcPr>
          <w:p w14:paraId="7469EEE3" w14:textId="77777777" w:rsidR="00990B14" w:rsidRDefault="00000000">
            <w:pPr>
              <w:spacing w:before="20" w:after="20"/>
              <w:jc w:val="both"/>
            </w:pPr>
            <w:r>
              <w:rPr>
                <w:sz w:val="18"/>
                <w:szCs w:val="18"/>
              </w:rPr>
              <w:t>Objetividad</w:t>
            </w:r>
          </w:p>
        </w:tc>
        <w:tc>
          <w:tcPr>
            <w:tcW w:w="1860" w:type="dxa"/>
            <w:shd w:val="clear" w:color="auto" w:fill="D9E2F3"/>
            <w:vAlign w:val="center"/>
          </w:tcPr>
          <w:p w14:paraId="1EFE6D55" w14:textId="77777777" w:rsidR="00990B14" w:rsidRDefault="00000000">
            <w:pPr>
              <w:spacing w:before="20" w:after="20"/>
              <w:jc w:val="both"/>
            </w:pPr>
            <w:r>
              <w:rPr>
                <w:sz w:val="18"/>
                <w:szCs w:val="18"/>
              </w:rPr>
              <w:t>Ajusta supuestos para mejorar el resultado.</w:t>
            </w:r>
          </w:p>
        </w:tc>
        <w:tc>
          <w:tcPr>
            <w:tcW w:w="1860" w:type="dxa"/>
            <w:shd w:val="clear" w:color="auto" w:fill="D9E2F3"/>
            <w:vAlign w:val="center"/>
          </w:tcPr>
          <w:p w14:paraId="21B51AE4" w14:textId="77777777" w:rsidR="00990B14" w:rsidRDefault="00000000">
            <w:pPr>
              <w:spacing w:before="20" w:after="20"/>
              <w:jc w:val="both"/>
            </w:pPr>
            <w:r>
              <w:rPr>
                <w:sz w:val="18"/>
                <w:szCs w:val="18"/>
              </w:rPr>
              <w:t>Usa supuestos realistas.</w:t>
            </w:r>
          </w:p>
        </w:tc>
        <w:tc>
          <w:tcPr>
            <w:tcW w:w="2016" w:type="dxa"/>
            <w:shd w:val="clear" w:color="auto" w:fill="D9E2F3"/>
            <w:vAlign w:val="center"/>
          </w:tcPr>
          <w:p w14:paraId="3BD55B78" w14:textId="77777777" w:rsidR="00990B14" w:rsidRDefault="00000000">
            <w:pPr>
              <w:spacing w:before="20" w:after="20"/>
              <w:jc w:val="both"/>
            </w:pPr>
            <w:r>
              <w:rPr>
                <w:sz w:val="18"/>
                <w:szCs w:val="18"/>
              </w:rPr>
              <w:t>Transparenta las fuentes y los límites del análisis.</w:t>
            </w:r>
          </w:p>
        </w:tc>
      </w:tr>
      <w:tr w:rsidR="00990B14" w14:paraId="72CBFEA5" w14:textId="77777777">
        <w:trPr>
          <w:cantSplit/>
          <w:jc w:val="center"/>
        </w:trPr>
        <w:tc>
          <w:tcPr>
            <w:tcW w:w="1809" w:type="dxa"/>
            <w:vMerge/>
            <w:shd w:val="clear" w:color="auto" w:fill="4472C4"/>
            <w:vAlign w:val="center"/>
          </w:tcPr>
          <w:p w14:paraId="6BC7D1D3" w14:textId="77777777" w:rsidR="00990B14" w:rsidRDefault="00990B14">
            <w:pPr>
              <w:spacing w:before="20" w:after="20"/>
            </w:pPr>
          </w:p>
        </w:tc>
        <w:tc>
          <w:tcPr>
            <w:tcW w:w="5580" w:type="dxa"/>
            <w:gridSpan w:val="3"/>
            <w:shd w:val="clear" w:color="auto" w:fill="D9E2F3"/>
            <w:vAlign w:val="center"/>
          </w:tcPr>
          <w:p w14:paraId="6BC96B56" w14:textId="77777777" w:rsidR="00990B14" w:rsidRDefault="00000000">
            <w:pPr>
              <w:keepNext/>
              <w:spacing w:before="20" w:after="20"/>
              <w:jc w:val="both"/>
            </w:pPr>
            <w:r>
              <w:rPr>
                <w:b/>
                <w:bCs/>
                <w:i/>
                <w:iCs/>
                <w:sz w:val="18"/>
                <w:szCs w:val="18"/>
              </w:rPr>
              <w:t xml:space="preserve">Producto 20: </w:t>
            </w:r>
            <w:r>
              <w:rPr>
                <w:sz w:val="18"/>
                <w:szCs w:val="18"/>
              </w:rPr>
              <w:t>Plan de ejecución</w:t>
            </w:r>
          </w:p>
        </w:tc>
        <w:tc>
          <w:tcPr>
            <w:tcW w:w="2016" w:type="dxa"/>
            <w:shd w:val="clear" w:color="auto" w:fill="D9E2F3"/>
            <w:vAlign w:val="center"/>
          </w:tcPr>
          <w:p w14:paraId="2927B15D" w14:textId="77777777" w:rsidR="00990B14" w:rsidRDefault="00000000">
            <w:pPr>
              <w:spacing w:before="20" w:after="20"/>
              <w:jc w:val="center"/>
            </w:pPr>
            <w:r>
              <w:rPr>
                <w:b/>
                <w:bCs/>
                <w:sz w:val="18"/>
                <w:szCs w:val="18"/>
              </w:rPr>
              <w:t>6%</w:t>
            </w:r>
          </w:p>
        </w:tc>
      </w:tr>
      <w:tr w:rsidR="00990B14" w14:paraId="2894BB2F" w14:textId="77777777">
        <w:trPr>
          <w:cantSplit/>
          <w:jc w:val="center"/>
        </w:trPr>
        <w:tc>
          <w:tcPr>
            <w:tcW w:w="1809" w:type="dxa"/>
            <w:vMerge/>
            <w:shd w:val="clear" w:color="auto" w:fill="4472C4"/>
            <w:vAlign w:val="center"/>
          </w:tcPr>
          <w:p w14:paraId="16F4F32F" w14:textId="77777777" w:rsidR="00990B14" w:rsidRDefault="00990B14">
            <w:pPr>
              <w:spacing w:before="20" w:after="20"/>
            </w:pPr>
          </w:p>
        </w:tc>
        <w:tc>
          <w:tcPr>
            <w:tcW w:w="1860" w:type="dxa"/>
            <w:shd w:val="clear" w:color="auto" w:fill="4472C4"/>
            <w:vAlign w:val="center"/>
          </w:tcPr>
          <w:p w14:paraId="4E2213A3" w14:textId="77777777" w:rsidR="00990B14" w:rsidRDefault="00000000">
            <w:pPr>
              <w:keepNext/>
              <w:spacing w:before="20" w:after="20"/>
              <w:jc w:val="center"/>
            </w:pPr>
            <w:r>
              <w:rPr>
                <w:b/>
                <w:bCs/>
                <w:i/>
                <w:iCs/>
                <w:color w:val="FFFFFF"/>
                <w:sz w:val="18"/>
                <w:szCs w:val="18"/>
              </w:rPr>
              <w:t>Criterio</w:t>
            </w:r>
          </w:p>
        </w:tc>
        <w:tc>
          <w:tcPr>
            <w:tcW w:w="1860" w:type="dxa"/>
            <w:shd w:val="clear" w:color="auto" w:fill="4472C4"/>
            <w:vAlign w:val="center"/>
          </w:tcPr>
          <w:p w14:paraId="0C582B96" w14:textId="77777777" w:rsidR="00990B14" w:rsidRDefault="00000000">
            <w:pPr>
              <w:keepNext/>
              <w:spacing w:before="20" w:after="20"/>
              <w:jc w:val="center"/>
            </w:pPr>
            <w:r>
              <w:rPr>
                <w:b/>
                <w:bCs/>
                <w:i/>
                <w:iCs/>
                <w:color w:val="FFFFFF"/>
                <w:sz w:val="18"/>
                <w:szCs w:val="18"/>
              </w:rPr>
              <w:t>Insuficiente (1–50)</w:t>
            </w:r>
          </w:p>
        </w:tc>
        <w:tc>
          <w:tcPr>
            <w:tcW w:w="1860" w:type="dxa"/>
            <w:shd w:val="clear" w:color="auto" w:fill="4472C4"/>
            <w:vAlign w:val="center"/>
          </w:tcPr>
          <w:p w14:paraId="2D8CC507" w14:textId="77777777" w:rsidR="00990B14" w:rsidRDefault="00000000">
            <w:pPr>
              <w:keepNext/>
              <w:spacing w:before="20" w:after="20"/>
              <w:jc w:val="center"/>
            </w:pPr>
            <w:r>
              <w:rPr>
                <w:b/>
                <w:bCs/>
                <w:i/>
                <w:iCs/>
                <w:color w:val="FFFFFF"/>
                <w:sz w:val="18"/>
                <w:szCs w:val="18"/>
              </w:rPr>
              <w:t>Suficiente (51–80)</w:t>
            </w:r>
          </w:p>
        </w:tc>
        <w:tc>
          <w:tcPr>
            <w:tcW w:w="2016" w:type="dxa"/>
            <w:shd w:val="clear" w:color="auto" w:fill="4472C4"/>
            <w:vAlign w:val="center"/>
          </w:tcPr>
          <w:p w14:paraId="0C6F657A" w14:textId="77777777" w:rsidR="00990B14" w:rsidRDefault="00000000">
            <w:pPr>
              <w:keepNext/>
              <w:spacing w:before="20" w:after="20"/>
              <w:jc w:val="center"/>
            </w:pPr>
            <w:r>
              <w:rPr>
                <w:b/>
                <w:bCs/>
                <w:i/>
                <w:iCs/>
                <w:color w:val="FFFFFF"/>
                <w:sz w:val="18"/>
                <w:szCs w:val="18"/>
              </w:rPr>
              <w:t>Destacado (81–100)</w:t>
            </w:r>
          </w:p>
        </w:tc>
      </w:tr>
      <w:tr w:rsidR="00990B14" w14:paraId="17961607" w14:textId="77777777">
        <w:trPr>
          <w:cantSplit/>
          <w:jc w:val="center"/>
        </w:trPr>
        <w:tc>
          <w:tcPr>
            <w:tcW w:w="1809" w:type="dxa"/>
            <w:vMerge/>
            <w:shd w:val="clear" w:color="auto" w:fill="4472C4"/>
            <w:vAlign w:val="center"/>
          </w:tcPr>
          <w:p w14:paraId="6CDDC6F3" w14:textId="77777777" w:rsidR="00990B14" w:rsidRDefault="00990B14">
            <w:pPr>
              <w:spacing w:before="20" w:after="20"/>
            </w:pPr>
          </w:p>
        </w:tc>
        <w:tc>
          <w:tcPr>
            <w:tcW w:w="1860" w:type="dxa"/>
            <w:shd w:val="clear" w:color="auto" w:fill="D9E2F3"/>
            <w:vAlign w:val="center"/>
          </w:tcPr>
          <w:p w14:paraId="1326400E" w14:textId="77777777" w:rsidR="00990B14" w:rsidRDefault="00000000">
            <w:pPr>
              <w:spacing w:before="20" w:after="20"/>
              <w:jc w:val="both"/>
            </w:pPr>
            <w:r>
              <w:rPr>
                <w:sz w:val="18"/>
                <w:szCs w:val="18"/>
              </w:rPr>
              <w:t>Identificación de actividades</w:t>
            </w:r>
          </w:p>
        </w:tc>
        <w:tc>
          <w:tcPr>
            <w:tcW w:w="1860" w:type="dxa"/>
            <w:shd w:val="clear" w:color="auto" w:fill="D9E2F3"/>
            <w:vAlign w:val="center"/>
          </w:tcPr>
          <w:p w14:paraId="3D742297" w14:textId="77777777" w:rsidR="00990B14" w:rsidRDefault="00000000">
            <w:pPr>
              <w:spacing w:before="20" w:after="20"/>
              <w:jc w:val="both"/>
            </w:pPr>
            <w:r>
              <w:rPr>
                <w:sz w:val="18"/>
                <w:szCs w:val="18"/>
              </w:rPr>
              <w:t>Omite actividades de ejecución.</w:t>
            </w:r>
          </w:p>
        </w:tc>
        <w:tc>
          <w:tcPr>
            <w:tcW w:w="1860" w:type="dxa"/>
            <w:shd w:val="clear" w:color="auto" w:fill="D9E2F3"/>
            <w:vAlign w:val="center"/>
          </w:tcPr>
          <w:p w14:paraId="2B5FDBF7" w14:textId="77777777" w:rsidR="00990B14" w:rsidRDefault="00000000">
            <w:pPr>
              <w:spacing w:before="20" w:after="20"/>
              <w:jc w:val="both"/>
            </w:pPr>
            <w:r>
              <w:rPr>
                <w:sz w:val="18"/>
                <w:szCs w:val="18"/>
              </w:rPr>
              <w:t>Identifica las actividades por campo.</w:t>
            </w:r>
          </w:p>
        </w:tc>
        <w:tc>
          <w:tcPr>
            <w:tcW w:w="2016" w:type="dxa"/>
            <w:shd w:val="clear" w:color="auto" w:fill="D9E2F3"/>
            <w:vAlign w:val="center"/>
          </w:tcPr>
          <w:p w14:paraId="178655CB" w14:textId="77777777" w:rsidR="00990B14" w:rsidRDefault="00000000">
            <w:pPr>
              <w:spacing w:before="20" w:after="20"/>
              <w:jc w:val="both"/>
            </w:pPr>
            <w:r>
              <w:rPr>
                <w:sz w:val="18"/>
                <w:szCs w:val="18"/>
              </w:rPr>
              <w:t>Asigna responsables y recursos a cada actividad.</w:t>
            </w:r>
          </w:p>
        </w:tc>
      </w:tr>
      <w:tr w:rsidR="00990B14" w14:paraId="4BDACAC2" w14:textId="77777777">
        <w:trPr>
          <w:cantSplit/>
          <w:jc w:val="center"/>
        </w:trPr>
        <w:tc>
          <w:tcPr>
            <w:tcW w:w="1809" w:type="dxa"/>
            <w:vMerge/>
            <w:shd w:val="clear" w:color="auto" w:fill="4472C4"/>
            <w:vAlign w:val="center"/>
          </w:tcPr>
          <w:p w14:paraId="73D7D6BE" w14:textId="77777777" w:rsidR="00990B14" w:rsidRDefault="00990B14">
            <w:pPr>
              <w:spacing w:before="20" w:after="20"/>
            </w:pPr>
          </w:p>
        </w:tc>
        <w:tc>
          <w:tcPr>
            <w:tcW w:w="1860" w:type="dxa"/>
            <w:shd w:val="clear" w:color="auto" w:fill="D9E2F3"/>
            <w:vAlign w:val="center"/>
          </w:tcPr>
          <w:p w14:paraId="3A562CD0" w14:textId="77777777" w:rsidR="00990B14" w:rsidRDefault="00000000">
            <w:pPr>
              <w:spacing w:before="20" w:after="20"/>
              <w:jc w:val="both"/>
            </w:pPr>
            <w:r>
              <w:rPr>
                <w:sz w:val="18"/>
                <w:szCs w:val="18"/>
              </w:rPr>
              <w:t>Programación</w:t>
            </w:r>
          </w:p>
        </w:tc>
        <w:tc>
          <w:tcPr>
            <w:tcW w:w="1860" w:type="dxa"/>
            <w:shd w:val="clear" w:color="auto" w:fill="D9E2F3"/>
            <w:vAlign w:val="center"/>
          </w:tcPr>
          <w:p w14:paraId="1701EFB9" w14:textId="77777777" w:rsidR="00990B14" w:rsidRDefault="00000000">
            <w:pPr>
              <w:spacing w:before="20" w:after="20"/>
              <w:jc w:val="both"/>
            </w:pPr>
            <w:r>
              <w:rPr>
                <w:sz w:val="18"/>
                <w:szCs w:val="18"/>
              </w:rPr>
              <w:t>La secuencia es incorrecta.</w:t>
            </w:r>
          </w:p>
        </w:tc>
        <w:tc>
          <w:tcPr>
            <w:tcW w:w="1860" w:type="dxa"/>
            <w:shd w:val="clear" w:color="auto" w:fill="D9E2F3"/>
            <w:vAlign w:val="center"/>
          </w:tcPr>
          <w:p w14:paraId="40563C9C" w14:textId="77777777" w:rsidR="00990B14" w:rsidRDefault="00000000">
            <w:pPr>
              <w:spacing w:before="20" w:after="20"/>
              <w:jc w:val="both"/>
            </w:pPr>
            <w:r>
              <w:rPr>
                <w:sz w:val="18"/>
                <w:szCs w:val="18"/>
              </w:rPr>
              <w:t>Programa la secuencia con la red de flechas.</w:t>
            </w:r>
          </w:p>
        </w:tc>
        <w:tc>
          <w:tcPr>
            <w:tcW w:w="2016" w:type="dxa"/>
            <w:shd w:val="clear" w:color="auto" w:fill="D9E2F3"/>
            <w:vAlign w:val="center"/>
          </w:tcPr>
          <w:p w14:paraId="4760138C" w14:textId="77777777" w:rsidR="00990B14" w:rsidRDefault="00000000">
            <w:pPr>
              <w:spacing w:before="20" w:after="20"/>
              <w:jc w:val="both"/>
            </w:pPr>
            <w:r>
              <w:rPr>
                <w:sz w:val="18"/>
                <w:szCs w:val="18"/>
              </w:rPr>
              <w:t>Identifica la ruta crítica del proyecto.</w:t>
            </w:r>
          </w:p>
        </w:tc>
      </w:tr>
      <w:tr w:rsidR="00990B14" w14:paraId="064115AB" w14:textId="77777777">
        <w:trPr>
          <w:cantSplit/>
          <w:jc w:val="center"/>
        </w:trPr>
        <w:tc>
          <w:tcPr>
            <w:tcW w:w="1809" w:type="dxa"/>
            <w:vMerge/>
            <w:shd w:val="clear" w:color="auto" w:fill="4472C4"/>
            <w:vAlign w:val="center"/>
          </w:tcPr>
          <w:p w14:paraId="23A159B5" w14:textId="77777777" w:rsidR="00990B14" w:rsidRDefault="00990B14">
            <w:pPr>
              <w:spacing w:before="20" w:after="20"/>
            </w:pPr>
          </w:p>
        </w:tc>
        <w:tc>
          <w:tcPr>
            <w:tcW w:w="1860" w:type="dxa"/>
            <w:shd w:val="clear" w:color="auto" w:fill="D9E2F3"/>
            <w:vAlign w:val="center"/>
          </w:tcPr>
          <w:p w14:paraId="7FFB3770" w14:textId="77777777" w:rsidR="00990B14" w:rsidRDefault="00000000">
            <w:pPr>
              <w:spacing w:before="20" w:after="20"/>
              <w:jc w:val="both"/>
            </w:pPr>
            <w:r>
              <w:rPr>
                <w:sz w:val="18"/>
                <w:szCs w:val="18"/>
              </w:rPr>
              <w:t>Gestión de riesgos</w:t>
            </w:r>
          </w:p>
        </w:tc>
        <w:tc>
          <w:tcPr>
            <w:tcW w:w="1860" w:type="dxa"/>
            <w:shd w:val="clear" w:color="auto" w:fill="D9E2F3"/>
            <w:vAlign w:val="center"/>
          </w:tcPr>
          <w:p w14:paraId="638AB6DA" w14:textId="77777777" w:rsidR="00990B14" w:rsidRDefault="00000000">
            <w:pPr>
              <w:spacing w:before="20" w:after="20"/>
              <w:jc w:val="both"/>
            </w:pPr>
            <w:r>
              <w:rPr>
                <w:sz w:val="18"/>
                <w:szCs w:val="18"/>
              </w:rPr>
              <w:t>No identifica riesgos.</w:t>
            </w:r>
          </w:p>
        </w:tc>
        <w:tc>
          <w:tcPr>
            <w:tcW w:w="1860" w:type="dxa"/>
            <w:shd w:val="clear" w:color="auto" w:fill="D9E2F3"/>
            <w:vAlign w:val="center"/>
          </w:tcPr>
          <w:p w14:paraId="5B95AA14" w14:textId="77777777" w:rsidR="00990B14" w:rsidRDefault="00000000">
            <w:pPr>
              <w:spacing w:before="20" w:after="20"/>
              <w:jc w:val="both"/>
            </w:pPr>
            <w:r>
              <w:rPr>
                <w:sz w:val="18"/>
                <w:szCs w:val="18"/>
              </w:rPr>
              <w:t>Identifica los riesgos de ejecución y operación.</w:t>
            </w:r>
          </w:p>
        </w:tc>
        <w:tc>
          <w:tcPr>
            <w:tcW w:w="2016" w:type="dxa"/>
            <w:shd w:val="clear" w:color="auto" w:fill="D9E2F3"/>
            <w:vAlign w:val="center"/>
          </w:tcPr>
          <w:p w14:paraId="17AA95CA" w14:textId="77777777" w:rsidR="00990B14" w:rsidRDefault="00000000">
            <w:pPr>
              <w:spacing w:before="20" w:after="20"/>
              <w:jc w:val="both"/>
            </w:pPr>
            <w:r>
              <w:rPr>
                <w:sz w:val="18"/>
                <w:szCs w:val="18"/>
              </w:rPr>
              <w:t>Propone respuestas a cada riesgo.</w:t>
            </w:r>
          </w:p>
        </w:tc>
      </w:tr>
      <w:tr w:rsidR="00990B14" w14:paraId="3949118B" w14:textId="77777777">
        <w:trPr>
          <w:cantSplit/>
          <w:jc w:val="center"/>
        </w:trPr>
        <w:tc>
          <w:tcPr>
            <w:tcW w:w="7389" w:type="dxa"/>
            <w:gridSpan w:val="4"/>
            <w:shd w:val="clear" w:color="auto" w:fill="4472C4"/>
            <w:vAlign w:val="center"/>
          </w:tcPr>
          <w:p w14:paraId="09E8E5D7" w14:textId="77777777" w:rsidR="00990B14" w:rsidRDefault="00000000">
            <w:pPr>
              <w:keepNext/>
              <w:spacing w:before="20" w:after="20"/>
              <w:jc w:val="center"/>
            </w:pPr>
            <w:r>
              <w:rPr>
                <w:b/>
                <w:bCs/>
                <w:i/>
                <w:iCs/>
                <w:color w:val="FFFFFF"/>
                <w:sz w:val="18"/>
                <w:szCs w:val="18"/>
              </w:rPr>
              <w:t>TOTAL</w:t>
            </w:r>
          </w:p>
        </w:tc>
        <w:tc>
          <w:tcPr>
            <w:tcW w:w="2016" w:type="dxa"/>
            <w:shd w:val="clear" w:color="auto" w:fill="4472C4"/>
            <w:vAlign w:val="center"/>
          </w:tcPr>
          <w:p w14:paraId="46C61CBB" w14:textId="77777777" w:rsidR="00990B14" w:rsidRDefault="00000000">
            <w:pPr>
              <w:keepNext/>
              <w:spacing w:before="20" w:after="20"/>
              <w:jc w:val="center"/>
            </w:pPr>
            <w:r>
              <w:rPr>
                <w:b/>
                <w:bCs/>
                <w:i/>
                <w:iCs/>
                <w:color w:val="FFFFFF"/>
                <w:sz w:val="18"/>
                <w:szCs w:val="18"/>
              </w:rPr>
              <w:t>100%</w:t>
            </w:r>
          </w:p>
        </w:tc>
      </w:tr>
    </w:tbl>
    <w:p w14:paraId="4332D2A5"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9405"/>
      </w:tblGrid>
      <w:tr w:rsidR="00990B14" w14:paraId="03C7D699" w14:textId="77777777">
        <w:trPr>
          <w:jc w:val="center"/>
        </w:trPr>
        <w:tc>
          <w:tcPr>
            <w:tcW w:w="9405" w:type="dxa"/>
            <w:shd w:val="clear" w:color="auto" w:fill="D9E2F3"/>
          </w:tcPr>
          <w:p w14:paraId="0FC7D2EB" w14:textId="77777777" w:rsidR="00990B14" w:rsidRDefault="00000000">
            <w:pPr>
              <w:spacing w:before="40" w:after="40"/>
              <w:jc w:val="both"/>
            </w:pPr>
            <w:r>
              <w:rPr>
                <w:b/>
                <w:bCs/>
                <w:i/>
                <w:iCs/>
                <w:sz w:val="18"/>
                <w:szCs w:val="18"/>
              </w:rPr>
              <w:t>Bibliografía básica:</w:t>
            </w:r>
          </w:p>
          <w:p w14:paraId="7FF34614" w14:textId="77777777" w:rsidR="00990B14" w:rsidRDefault="00000000">
            <w:pPr>
              <w:numPr>
                <w:ilvl w:val="0"/>
                <w:numId w:val="140"/>
              </w:numPr>
              <w:spacing w:after="20"/>
              <w:jc w:val="both"/>
            </w:pPr>
            <w:r>
              <w:rPr>
                <w:sz w:val="18"/>
                <w:szCs w:val="18"/>
              </w:rPr>
              <w:t xml:space="preserve">Baca Urbina, G. (1990). </w:t>
            </w:r>
            <w:r>
              <w:rPr>
                <w:i/>
                <w:iCs/>
                <w:sz w:val="18"/>
                <w:szCs w:val="18"/>
              </w:rPr>
              <w:t>Evaluación de Proyectos</w:t>
            </w:r>
            <w:r>
              <w:rPr>
                <w:sz w:val="18"/>
                <w:szCs w:val="18"/>
              </w:rPr>
              <w:t>. México: McGraw-Hill.</w:t>
            </w:r>
          </w:p>
          <w:p w14:paraId="32D45CC3" w14:textId="77777777" w:rsidR="00990B14" w:rsidRDefault="00000000">
            <w:pPr>
              <w:numPr>
                <w:ilvl w:val="0"/>
                <w:numId w:val="140"/>
              </w:numPr>
              <w:spacing w:after="20"/>
              <w:jc w:val="both"/>
            </w:pPr>
            <w:r>
              <w:rPr>
                <w:sz w:val="18"/>
                <w:szCs w:val="18"/>
              </w:rPr>
              <w:t>Decreto Supremo N.º 24051, Reglamento del Impuesto sobre las Utilidades de las Empresas, de 29 de junio de 1995, y Decreto Supremo N.º 5516, de 13 de enero de 2026.</w:t>
            </w:r>
          </w:p>
          <w:p w14:paraId="17F7631C" w14:textId="77777777" w:rsidR="00990B14" w:rsidRDefault="00000000">
            <w:pPr>
              <w:numPr>
                <w:ilvl w:val="0"/>
                <w:numId w:val="140"/>
              </w:numPr>
              <w:spacing w:after="20"/>
              <w:jc w:val="both"/>
            </w:pPr>
            <w:r>
              <w:rPr>
                <w:sz w:val="18"/>
                <w:szCs w:val="18"/>
              </w:rPr>
              <w:t>Espejo Juvenal (2008). Curso de Preparación y Evaluación de Proyectos.</w:t>
            </w:r>
          </w:p>
          <w:p w14:paraId="08A1DA7A" w14:textId="77777777" w:rsidR="00990B14" w:rsidRDefault="00000000">
            <w:pPr>
              <w:numPr>
                <w:ilvl w:val="0"/>
                <w:numId w:val="140"/>
              </w:numPr>
              <w:spacing w:after="20"/>
              <w:jc w:val="both"/>
            </w:pPr>
            <w:r>
              <w:rPr>
                <w:sz w:val="18"/>
                <w:szCs w:val="18"/>
              </w:rPr>
              <w:t>Estado Plurinacional de Bolivia (2016), Ley del Sistema de Planificación Integral del Estado</w:t>
            </w:r>
          </w:p>
          <w:p w14:paraId="444741BA" w14:textId="77777777" w:rsidR="00990B14" w:rsidRDefault="00000000">
            <w:pPr>
              <w:numPr>
                <w:ilvl w:val="0"/>
                <w:numId w:val="140"/>
              </w:numPr>
              <w:spacing w:after="20"/>
              <w:jc w:val="both"/>
            </w:pPr>
            <w:r>
              <w:rPr>
                <w:sz w:val="18"/>
                <w:szCs w:val="18"/>
              </w:rPr>
              <w:t xml:space="preserve">Guevara, P. (2009). </w:t>
            </w:r>
            <w:r>
              <w:rPr>
                <w:i/>
                <w:iCs/>
                <w:sz w:val="18"/>
                <w:szCs w:val="18"/>
              </w:rPr>
              <w:t>Enfoque Sistémico en el Diseño de un Proyecto de Inversión con Metodología Contable en la Evaluación</w:t>
            </w:r>
            <w:r>
              <w:rPr>
                <w:sz w:val="18"/>
                <w:szCs w:val="18"/>
              </w:rPr>
              <w:t>. La Paz: Editorial 24 de junio.</w:t>
            </w:r>
          </w:p>
          <w:p w14:paraId="7CB15A61" w14:textId="77777777" w:rsidR="00990B14" w:rsidRDefault="00000000">
            <w:pPr>
              <w:numPr>
                <w:ilvl w:val="0"/>
                <w:numId w:val="140"/>
              </w:numPr>
              <w:spacing w:after="20"/>
              <w:jc w:val="both"/>
            </w:pPr>
            <w:r>
              <w:rPr>
                <w:sz w:val="18"/>
                <w:szCs w:val="18"/>
              </w:rPr>
              <w:t xml:space="preserve">Ministerio de Planificación del Desarrollo, Viceministerio de Inversión Pública y Financiamiento Externo (2015). </w:t>
            </w:r>
            <w:r>
              <w:rPr>
                <w:i/>
                <w:iCs/>
                <w:sz w:val="18"/>
                <w:szCs w:val="18"/>
              </w:rPr>
              <w:t>Resolución Ministerial N.º 115, Reglamento Básico de Preinversión</w:t>
            </w:r>
            <w:r>
              <w:rPr>
                <w:sz w:val="18"/>
                <w:szCs w:val="18"/>
              </w:rPr>
              <w:t>.</w:t>
            </w:r>
          </w:p>
          <w:p w14:paraId="3AE524F6" w14:textId="77777777" w:rsidR="00990B14" w:rsidRDefault="00000000">
            <w:pPr>
              <w:numPr>
                <w:ilvl w:val="0"/>
                <w:numId w:val="140"/>
              </w:numPr>
              <w:spacing w:after="20"/>
              <w:jc w:val="both"/>
            </w:pPr>
            <w:r w:rsidRPr="00BD34F7">
              <w:rPr>
                <w:sz w:val="18"/>
                <w:szCs w:val="18"/>
                <w:lang w:val="en-US"/>
              </w:rPr>
              <w:t xml:space="preserve">Sapag Chain, N. y Sapag Chain, R. (2013). </w:t>
            </w:r>
            <w:r>
              <w:rPr>
                <w:i/>
                <w:iCs/>
                <w:sz w:val="18"/>
                <w:szCs w:val="18"/>
              </w:rPr>
              <w:t>Preparación y Evaluación de Proyectos</w:t>
            </w:r>
            <w:r>
              <w:rPr>
                <w:sz w:val="18"/>
                <w:szCs w:val="18"/>
              </w:rPr>
              <w:t>. Santiago de Chile: McGraw-Hill Interamericana.</w:t>
            </w:r>
          </w:p>
        </w:tc>
      </w:tr>
      <w:tr w:rsidR="00990B14" w14:paraId="04EF8831" w14:textId="77777777">
        <w:trPr>
          <w:jc w:val="center"/>
        </w:trPr>
        <w:tc>
          <w:tcPr>
            <w:tcW w:w="9405" w:type="dxa"/>
            <w:shd w:val="clear" w:color="auto" w:fill="D9E2F3"/>
          </w:tcPr>
          <w:p w14:paraId="24806E45" w14:textId="77777777" w:rsidR="00990B14" w:rsidRDefault="00000000">
            <w:pPr>
              <w:spacing w:before="40" w:after="40"/>
              <w:jc w:val="both"/>
            </w:pPr>
            <w:r>
              <w:rPr>
                <w:b/>
                <w:bCs/>
                <w:i/>
                <w:iCs/>
                <w:sz w:val="18"/>
                <w:szCs w:val="18"/>
              </w:rPr>
              <w:t>Bibliografía complementaria:</w:t>
            </w:r>
          </w:p>
          <w:p w14:paraId="6E1319DE" w14:textId="77777777" w:rsidR="00990B14" w:rsidRDefault="00000000">
            <w:pPr>
              <w:numPr>
                <w:ilvl w:val="0"/>
                <w:numId w:val="140"/>
              </w:numPr>
              <w:spacing w:after="20"/>
              <w:jc w:val="both"/>
            </w:pPr>
            <w:r>
              <w:rPr>
                <w:sz w:val="18"/>
                <w:szCs w:val="18"/>
              </w:rPr>
              <w:t xml:space="preserve">Andrade, S. (1989). </w:t>
            </w:r>
            <w:r>
              <w:rPr>
                <w:i/>
                <w:iCs/>
                <w:sz w:val="18"/>
                <w:szCs w:val="18"/>
              </w:rPr>
              <w:t>Formulación de Proyectos</w:t>
            </w:r>
            <w:r>
              <w:rPr>
                <w:sz w:val="18"/>
                <w:szCs w:val="18"/>
              </w:rPr>
              <w:t>. Lima: Editorial Lucero.</w:t>
            </w:r>
          </w:p>
          <w:p w14:paraId="6DD43A74" w14:textId="77777777" w:rsidR="00990B14" w:rsidRDefault="00000000">
            <w:pPr>
              <w:numPr>
                <w:ilvl w:val="0"/>
                <w:numId w:val="140"/>
              </w:numPr>
              <w:spacing w:after="20"/>
              <w:jc w:val="both"/>
            </w:pPr>
            <w:r>
              <w:rPr>
                <w:sz w:val="18"/>
                <w:szCs w:val="18"/>
              </w:rPr>
              <w:t xml:space="preserve">Arandia, L., Aguirre, V., Gutiérrez, R., Tamayo, C. y Salvatierra, T. (2013). </w:t>
            </w:r>
            <w:r>
              <w:rPr>
                <w:i/>
                <w:iCs/>
                <w:sz w:val="18"/>
                <w:szCs w:val="18"/>
              </w:rPr>
              <w:t>Metodologías Gerenciales para el Diseño, Gestión y Evaluación de Proyectos de Desarrollo Social</w:t>
            </w:r>
            <w:r>
              <w:rPr>
                <w:sz w:val="18"/>
                <w:szCs w:val="18"/>
              </w:rPr>
              <w:t>. UMSA.</w:t>
            </w:r>
          </w:p>
          <w:p w14:paraId="01D3680F" w14:textId="77777777" w:rsidR="00990B14" w:rsidRDefault="00000000">
            <w:pPr>
              <w:numPr>
                <w:ilvl w:val="0"/>
                <w:numId w:val="140"/>
              </w:numPr>
              <w:spacing w:after="20"/>
              <w:jc w:val="both"/>
            </w:pPr>
            <w:r>
              <w:rPr>
                <w:sz w:val="18"/>
                <w:szCs w:val="18"/>
              </w:rPr>
              <w:t xml:space="preserve">Banco Interamericano de Desarrollo, BID (1997). </w:t>
            </w:r>
            <w:r>
              <w:rPr>
                <w:i/>
                <w:iCs/>
                <w:sz w:val="18"/>
                <w:szCs w:val="18"/>
              </w:rPr>
              <w:t>Evaluación: una Herramienta para Mejorar el Desempeño de Proyectos</w:t>
            </w:r>
            <w:r>
              <w:rPr>
                <w:sz w:val="18"/>
                <w:szCs w:val="18"/>
              </w:rPr>
              <w:t>. Oficina de Evaluación Económica.</w:t>
            </w:r>
          </w:p>
          <w:p w14:paraId="264BBAED" w14:textId="77777777" w:rsidR="00990B14" w:rsidRDefault="00000000">
            <w:pPr>
              <w:numPr>
                <w:ilvl w:val="0"/>
                <w:numId w:val="140"/>
              </w:numPr>
              <w:spacing w:after="20"/>
              <w:jc w:val="both"/>
            </w:pPr>
            <w:r>
              <w:rPr>
                <w:sz w:val="18"/>
                <w:szCs w:val="18"/>
              </w:rPr>
              <w:t xml:space="preserve">Bertalanffy, L. von (2000). </w:t>
            </w:r>
            <w:r>
              <w:rPr>
                <w:i/>
                <w:iCs/>
                <w:sz w:val="18"/>
                <w:szCs w:val="18"/>
              </w:rPr>
              <w:t>Teoría General de Sistemas</w:t>
            </w:r>
            <w:r>
              <w:rPr>
                <w:sz w:val="18"/>
                <w:szCs w:val="18"/>
              </w:rPr>
              <w:t>. México: Fondo de Cultura Económica.</w:t>
            </w:r>
          </w:p>
          <w:p w14:paraId="424EE7C6" w14:textId="77777777" w:rsidR="00990B14" w:rsidRDefault="00000000">
            <w:pPr>
              <w:numPr>
                <w:ilvl w:val="0"/>
                <w:numId w:val="140"/>
              </w:numPr>
              <w:spacing w:after="20"/>
              <w:jc w:val="both"/>
            </w:pPr>
            <w:r>
              <w:rPr>
                <w:sz w:val="18"/>
                <w:szCs w:val="18"/>
              </w:rPr>
              <w:t xml:space="preserve">Carvajal, D. (1990). </w:t>
            </w:r>
            <w:r>
              <w:rPr>
                <w:i/>
                <w:iCs/>
                <w:sz w:val="18"/>
                <w:szCs w:val="18"/>
              </w:rPr>
              <w:t>Elementos de Proyectos de Inversión</w:t>
            </w:r>
            <w:r>
              <w:rPr>
                <w:sz w:val="18"/>
                <w:szCs w:val="18"/>
              </w:rPr>
              <w:t>. Lima.</w:t>
            </w:r>
          </w:p>
          <w:p w14:paraId="681E60F5" w14:textId="77777777" w:rsidR="00990B14" w:rsidRDefault="00000000">
            <w:pPr>
              <w:numPr>
                <w:ilvl w:val="0"/>
                <w:numId w:val="140"/>
              </w:numPr>
              <w:spacing w:after="20"/>
              <w:jc w:val="both"/>
            </w:pPr>
            <w:r>
              <w:rPr>
                <w:sz w:val="18"/>
                <w:szCs w:val="18"/>
              </w:rPr>
              <w:t xml:space="preserve">Cohen, W. (2002). </w:t>
            </w:r>
            <w:r>
              <w:rPr>
                <w:i/>
                <w:iCs/>
                <w:sz w:val="18"/>
                <w:szCs w:val="18"/>
              </w:rPr>
              <w:t>El Plan de Marketing</w:t>
            </w:r>
            <w:r>
              <w:rPr>
                <w:sz w:val="18"/>
                <w:szCs w:val="18"/>
              </w:rPr>
              <w:t>. Lima: Editorial El Comercio.</w:t>
            </w:r>
          </w:p>
          <w:p w14:paraId="707A8286" w14:textId="77777777" w:rsidR="00990B14" w:rsidRDefault="00000000">
            <w:pPr>
              <w:numPr>
                <w:ilvl w:val="0"/>
                <w:numId w:val="140"/>
              </w:numPr>
              <w:spacing w:after="20"/>
              <w:jc w:val="both"/>
            </w:pPr>
            <w:r>
              <w:rPr>
                <w:sz w:val="18"/>
                <w:szCs w:val="18"/>
              </w:rPr>
              <w:t>Coursera: https://www.coursera.org</w:t>
            </w:r>
          </w:p>
          <w:p w14:paraId="26EE419F" w14:textId="77777777" w:rsidR="00990B14" w:rsidRDefault="00000000">
            <w:pPr>
              <w:numPr>
                <w:ilvl w:val="0"/>
                <w:numId w:val="140"/>
              </w:numPr>
              <w:spacing w:after="20"/>
              <w:jc w:val="both"/>
            </w:pPr>
            <w:r>
              <w:rPr>
                <w:sz w:val="18"/>
                <w:szCs w:val="18"/>
              </w:rPr>
              <w:t xml:space="preserve">Fontaine, E. (1993). </w:t>
            </w:r>
            <w:r>
              <w:rPr>
                <w:i/>
                <w:iCs/>
                <w:sz w:val="18"/>
                <w:szCs w:val="18"/>
              </w:rPr>
              <w:t>Evaluación Social de Proyectos</w:t>
            </w:r>
            <w:r>
              <w:rPr>
                <w:sz w:val="18"/>
                <w:szCs w:val="18"/>
              </w:rPr>
              <w:t>. Universidad Católica de Chile.</w:t>
            </w:r>
          </w:p>
          <w:p w14:paraId="1D583CD1" w14:textId="77777777" w:rsidR="00990B14" w:rsidRDefault="00000000">
            <w:pPr>
              <w:numPr>
                <w:ilvl w:val="0"/>
                <w:numId w:val="140"/>
              </w:numPr>
              <w:spacing w:after="20"/>
              <w:jc w:val="both"/>
            </w:pPr>
            <w:r>
              <w:rPr>
                <w:sz w:val="18"/>
                <w:szCs w:val="18"/>
              </w:rPr>
              <w:t>Instituto Nacional de Estadística de Bolivia: https://www.ine.gob.bo</w:t>
            </w:r>
          </w:p>
          <w:p w14:paraId="5D21DF69" w14:textId="77777777" w:rsidR="00990B14" w:rsidRDefault="00000000">
            <w:pPr>
              <w:numPr>
                <w:ilvl w:val="0"/>
                <w:numId w:val="140"/>
              </w:numPr>
              <w:spacing w:after="20"/>
              <w:jc w:val="both"/>
            </w:pPr>
            <w:r>
              <w:rPr>
                <w:sz w:val="18"/>
                <w:szCs w:val="18"/>
              </w:rPr>
              <w:t xml:space="preserve">Melnick, J. (1965). </w:t>
            </w:r>
            <w:r>
              <w:rPr>
                <w:i/>
                <w:iCs/>
                <w:sz w:val="18"/>
                <w:szCs w:val="18"/>
              </w:rPr>
              <w:t>Manual de Proyectos de Desarrollo Económico</w:t>
            </w:r>
            <w:r>
              <w:rPr>
                <w:sz w:val="18"/>
                <w:szCs w:val="18"/>
              </w:rPr>
              <w:t>. México: Publicación de Naciones Unidas.</w:t>
            </w:r>
          </w:p>
          <w:p w14:paraId="7784B5E7" w14:textId="77777777" w:rsidR="00990B14" w:rsidRDefault="00000000">
            <w:pPr>
              <w:numPr>
                <w:ilvl w:val="0"/>
                <w:numId w:val="140"/>
              </w:numPr>
              <w:spacing w:after="20"/>
              <w:jc w:val="both"/>
            </w:pPr>
            <w:r>
              <w:rPr>
                <w:sz w:val="18"/>
                <w:szCs w:val="18"/>
              </w:rPr>
              <w:t>Ministerio de Medio Ambiente y Agua de Bolivia: https://www.mmaya.gob.bo</w:t>
            </w:r>
          </w:p>
          <w:p w14:paraId="39435B4D" w14:textId="77777777" w:rsidR="00990B14" w:rsidRDefault="00000000">
            <w:pPr>
              <w:numPr>
                <w:ilvl w:val="0"/>
                <w:numId w:val="140"/>
              </w:numPr>
              <w:spacing w:after="20"/>
              <w:jc w:val="both"/>
            </w:pPr>
            <w:r>
              <w:rPr>
                <w:sz w:val="18"/>
                <w:szCs w:val="18"/>
              </w:rPr>
              <w:t xml:space="preserve">Organización de las Naciones Unidas para el Desarrollo Industrial (s.f.). </w:t>
            </w:r>
            <w:r>
              <w:rPr>
                <w:i/>
                <w:iCs/>
                <w:sz w:val="18"/>
                <w:szCs w:val="18"/>
              </w:rPr>
              <w:t>Manual para la Preparación de Estudios de Viabilidad Industrial</w:t>
            </w:r>
            <w:r>
              <w:rPr>
                <w:sz w:val="18"/>
                <w:szCs w:val="18"/>
              </w:rPr>
              <w:t>.</w:t>
            </w:r>
          </w:p>
          <w:p w14:paraId="68126087" w14:textId="77777777" w:rsidR="00990B14" w:rsidRDefault="00000000">
            <w:pPr>
              <w:numPr>
                <w:ilvl w:val="0"/>
                <w:numId w:val="140"/>
              </w:numPr>
              <w:spacing w:after="20"/>
              <w:jc w:val="both"/>
            </w:pPr>
            <w:r>
              <w:rPr>
                <w:sz w:val="18"/>
                <w:szCs w:val="18"/>
              </w:rPr>
              <w:t>Páginas de Internet.</w:t>
            </w:r>
          </w:p>
          <w:p w14:paraId="240E06CB" w14:textId="77777777" w:rsidR="00990B14" w:rsidRPr="00BD34F7" w:rsidRDefault="00000000">
            <w:pPr>
              <w:numPr>
                <w:ilvl w:val="0"/>
                <w:numId w:val="140"/>
              </w:numPr>
              <w:spacing w:after="20"/>
              <w:jc w:val="both"/>
              <w:rPr>
                <w:lang w:val="en-US"/>
              </w:rPr>
            </w:pPr>
            <w:r w:rsidRPr="00BD34F7">
              <w:rPr>
                <w:sz w:val="18"/>
                <w:szCs w:val="18"/>
                <w:lang w:val="en-US"/>
              </w:rPr>
              <w:t>Project Management Institute: https://www.pmi.org</w:t>
            </w:r>
          </w:p>
          <w:p w14:paraId="492754DD" w14:textId="77777777" w:rsidR="00990B14" w:rsidRDefault="00000000">
            <w:pPr>
              <w:numPr>
                <w:ilvl w:val="0"/>
                <w:numId w:val="140"/>
              </w:numPr>
              <w:spacing w:after="20"/>
              <w:jc w:val="both"/>
            </w:pPr>
            <w:r>
              <w:rPr>
                <w:sz w:val="18"/>
                <w:szCs w:val="18"/>
              </w:rPr>
              <w:t>Viceministerio de Inversión Pública y Financiamiento Externo de Bolivia: http://www.vipfe.gob.bo/</w:t>
            </w:r>
          </w:p>
        </w:tc>
      </w:tr>
    </w:tbl>
    <w:p w14:paraId="74487479" w14:textId="77777777" w:rsidR="00990B14" w:rsidRDefault="00000000">
      <w:pPr>
        <w:pStyle w:val="TituloPlanAsignatura"/>
        <w:keepNext/>
        <w:pageBreakBefore/>
        <w:spacing w:after="120"/>
        <w:jc w:val="center"/>
        <w:outlineLvl w:val="2"/>
      </w:pPr>
      <w:bookmarkStart w:id="171" w:name="_Toc000000112"/>
      <w:r>
        <w:rPr>
          <w:b/>
          <w:bCs/>
          <w:sz w:val="24"/>
          <w:szCs w:val="24"/>
        </w:rPr>
        <w:t>MAT-301 Estadística</w:t>
      </w:r>
      <w:bookmarkEnd w:id="171"/>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249"/>
        <w:gridCol w:w="1100"/>
        <w:gridCol w:w="149"/>
        <w:gridCol w:w="635"/>
        <w:gridCol w:w="615"/>
        <w:gridCol w:w="952"/>
        <w:gridCol w:w="298"/>
        <w:gridCol w:w="1250"/>
        <w:gridCol w:w="20"/>
        <w:gridCol w:w="385"/>
        <w:gridCol w:w="398"/>
        <w:gridCol w:w="447"/>
        <w:gridCol w:w="1907"/>
      </w:tblGrid>
      <w:tr w:rsidR="00990B14" w14:paraId="2755A0A5" w14:textId="77777777">
        <w:trPr>
          <w:cantSplit/>
          <w:jc w:val="center"/>
        </w:trPr>
        <w:tc>
          <w:tcPr>
            <w:tcW w:w="2349" w:type="dxa"/>
            <w:gridSpan w:val="2"/>
            <w:shd w:val="clear" w:color="auto" w:fill="4472C4"/>
            <w:vAlign w:val="center"/>
          </w:tcPr>
          <w:p w14:paraId="1AA93A66" w14:textId="77777777" w:rsidR="00990B14" w:rsidRDefault="00000000">
            <w:pPr>
              <w:keepNext/>
              <w:spacing w:before="20" w:after="20"/>
              <w:jc w:val="center"/>
            </w:pPr>
            <w:r>
              <w:rPr>
                <w:b/>
                <w:bCs/>
                <w:i/>
                <w:iCs/>
                <w:color w:val="FFFFFF"/>
                <w:sz w:val="18"/>
                <w:szCs w:val="18"/>
              </w:rPr>
              <w:t>Asignatura</w:t>
            </w:r>
          </w:p>
        </w:tc>
        <w:tc>
          <w:tcPr>
            <w:tcW w:w="2351" w:type="dxa"/>
            <w:gridSpan w:val="4"/>
            <w:shd w:val="clear" w:color="auto" w:fill="4472C4"/>
            <w:vAlign w:val="center"/>
          </w:tcPr>
          <w:p w14:paraId="69321905" w14:textId="77777777" w:rsidR="00990B14" w:rsidRDefault="00000000">
            <w:pPr>
              <w:keepNext/>
              <w:spacing w:before="20" w:after="20"/>
              <w:jc w:val="center"/>
            </w:pPr>
            <w:r>
              <w:rPr>
                <w:b/>
                <w:bCs/>
                <w:i/>
                <w:iCs/>
                <w:color w:val="FFFFFF"/>
                <w:sz w:val="18"/>
                <w:szCs w:val="18"/>
              </w:rPr>
              <w:t>Sigla</w:t>
            </w:r>
          </w:p>
        </w:tc>
        <w:tc>
          <w:tcPr>
            <w:tcW w:w="2351" w:type="dxa"/>
            <w:gridSpan w:val="5"/>
            <w:shd w:val="clear" w:color="auto" w:fill="4472C4"/>
            <w:vAlign w:val="center"/>
          </w:tcPr>
          <w:p w14:paraId="41F6B6F9" w14:textId="77777777" w:rsidR="00990B14" w:rsidRDefault="00000000">
            <w:pPr>
              <w:keepNext/>
              <w:spacing w:before="20" w:after="20"/>
              <w:jc w:val="center"/>
            </w:pPr>
            <w:r>
              <w:rPr>
                <w:b/>
                <w:bCs/>
                <w:i/>
                <w:iCs/>
                <w:color w:val="FFFFFF"/>
                <w:sz w:val="18"/>
                <w:szCs w:val="18"/>
              </w:rPr>
              <w:t>Nivel/Área</w:t>
            </w:r>
          </w:p>
        </w:tc>
        <w:tc>
          <w:tcPr>
            <w:tcW w:w="2354" w:type="dxa"/>
            <w:gridSpan w:val="2"/>
            <w:shd w:val="clear" w:color="auto" w:fill="4472C4"/>
            <w:vAlign w:val="center"/>
          </w:tcPr>
          <w:p w14:paraId="30D64659" w14:textId="77777777" w:rsidR="00990B14" w:rsidRDefault="00000000">
            <w:pPr>
              <w:keepNext/>
              <w:spacing w:before="20" w:after="20"/>
              <w:jc w:val="center"/>
            </w:pPr>
            <w:r>
              <w:rPr>
                <w:b/>
                <w:bCs/>
                <w:i/>
                <w:iCs/>
                <w:color w:val="FFFFFF"/>
                <w:sz w:val="18"/>
                <w:szCs w:val="18"/>
              </w:rPr>
              <w:t>Prerrequisito</w:t>
            </w:r>
          </w:p>
        </w:tc>
      </w:tr>
      <w:tr w:rsidR="00990B14" w14:paraId="2ADE53A7" w14:textId="77777777">
        <w:trPr>
          <w:cantSplit/>
          <w:jc w:val="center"/>
        </w:trPr>
        <w:tc>
          <w:tcPr>
            <w:tcW w:w="2349" w:type="dxa"/>
            <w:gridSpan w:val="2"/>
            <w:shd w:val="clear" w:color="auto" w:fill="D9E2F3"/>
            <w:vAlign w:val="center"/>
          </w:tcPr>
          <w:p w14:paraId="1B00AB64" w14:textId="77777777" w:rsidR="00990B14" w:rsidRDefault="00000000">
            <w:pPr>
              <w:spacing w:before="20" w:after="20"/>
              <w:jc w:val="center"/>
            </w:pPr>
            <w:r>
              <w:rPr>
                <w:b/>
                <w:bCs/>
                <w:i/>
                <w:iCs/>
                <w:sz w:val="18"/>
                <w:szCs w:val="18"/>
              </w:rPr>
              <w:t>Estadística</w:t>
            </w:r>
          </w:p>
        </w:tc>
        <w:tc>
          <w:tcPr>
            <w:tcW w:w="2351" w:type="dxa"/>
            <w:gridSpan w:val="4"/>
            <w:shd w:val="clear" w:color="auto" w:fill="D9E2F3"/>
            <w:vAlign w:val="center"/>
          </w:tcPr>
          <w:p w14:paraId="03BBDFD1" w14:textId="77777777" w:rsidR="00990B14" w:rsidRDefault="00000000">
            <w:pPr>
              <w:spacing w:before="20" w:after="20"/>
              <w:jc w:val="center"/>
            </w:pPr>
            <w:r>
              <w:rPr>
                <w:b/>
                <w:bCs/>
                <w:i/>
                <w:iCs/>
                <w:sz w:val="18"/>
                <w:szCs w:val="18"/>
              </w:rPr>
              <w:t>MAT-301</w:t>
            </w:r>
          </w:p>
        </w:tc>
        <w:tc>
          <w:tcPr>
            <w:tcW w:w="2351" w:type="dxa"/>
            <w:gridSpan w:val="5"/>
            <w:shd w:val="clear" w:color="auto" w:fill="D9E2F3"/>
            <w:vAlign w:val="center"/>
          </w:tcPr>
          <w:p w14:paraId="59860926" w14:textId="77777777" w:rsidR="00990B14" w:rsidRDefault="00000000">
            <w:pPr>
              <w:spacing w:before="20" w:after="20"/>
              <w:jc w:val="center"/>
            </w:pPr>
            <w:r>
              <w:rPr>
                <w:b/>
                <w:bCs/>
                <w:i/>
                <w:iCs/>
                <w:sz w:val="18"/>
                <w:szCs w:val="18"/>
              </w:rPr>
              <w:t>Matemáticas</w:t>
            </w:r>
          </w:p>
        </w:tc>
        <w:tc>
          <w:tcPr>
            <w:tcW w:w="2354" w:type="dxa"/>
            <w:gridSpan w:val="2"/>
            <w:shd w:val="clear" w:color="auto" w:fill="D9E2F3"/>
            <w:vAlign w:val="center"/>
          </w:tcPr>
          <w:p w14:paraId="0619E7CD" w14:textId="77777777" w:rsidR="00990B14" w:rsidRDefault="00000000">
            <w:pPr>
              <w:spacing w:before="20" w:after="20"/>
              <w:jc w:val="center"/>
            </w:pPr>
            <w:r>
              <w:rPr>
                <w:b/>
                <w:bCs/>
                <w:i/>
                <w:iCs/>
                <w:sz w:val="18"/>
                <w:szCs w:val="18"/>
              </w:rPr>
              <w:t>MAT-201</w:t>
            </w:r>
          </w:p>
        </w:tc>
      </w:tr>
      <w:tr w:rsidR="00990B14" w14:paraId="5D9DFD6C" w14:textId="77777777">
        <w:trPr>
          <w:cantSplit/>
          <w:jc w:val="center"/>
        </w:trPr>
        <w:tc>
          <w:tcPr>
            <w:tcW w:w="7498" w:type="dxa"/>
            <w:gridSpan w:val="12"/>
            <w:shd w:val="clear" w:color="auto" w:fill="4472C4"/>
            <w:vAlign w:val="center"/>
          </w:tcPr>
          <w:p w14:paraId="2E3BFFA4" w14:textId="77777777" w:rsidR="00990B14" w:rsidRDefault="00000000">
            <w:pPr>
              <w:keepNext/>
              <w:spacing w:before="20" w:after="20"/>
              <w:jc w:val="center"/>
            </w:pPr>
            <w:r>
              <w:rPr>
                <w:b/>
                <w:bCs/>
                <w:i/>
                <w:iCs/>
                <w:color w:val="FFFFFF"/>
                <w:sz w:val="18"/>
                <w:szCs w:val="18"/>
              </w:rPr>
              <w:t>Carga Horaria</w:t>
            </w:r>
          </w:p>
        </w:tc>
        <w:tc>
          <w:tcPr>
            <w:tcW w:w="1907" w:type="dxa"/>
            <w:shd w:val="clear" w:color="auto" w:fill="4472C4"/>
            <w:vAlign w:val="center"/>
          </w:tcPr>
          <w:p w14:paraId="4ECB057A" w14:textId="77777777" w:rsidR="00990B14" w:rsidRDefault="00000000">
            <w:pPr>
              <w:keepNext/>
              <w:spacing w:before="20" w:after="20"/>
              <w:jc w:val="center"/>
            </w:pPr>
            <w:r>
              <w:rPr>
                <w:b/>
                <w:bCs/>
                <w:i/>
                <w:iCs/>
                <w:color w:val="FFFFFF"/>
                <w:sz w:val="18"/>
                <w:szCs w:val="18"/>
              </w:rPr>
              <w:t>Créditos</w:t>
            </w:r>
          </w:p>
        </w:tc>
      </w:tr>
      <w:tr w:rsidR="00990B14" w14:paraId="0BCC8D47" w14:textId="77777777">
        <w:trPr>
          <w:cantSplit/>
          <w:jc w:val="center"/>
        </w:trPr>
        <w:tc>
          <w:tcPr>
            <w:tcW w:w="1249" w:type="dxa"/>
            <w:shd w:val="clear" w:color="auto" w:fill="4472C4"/>
            <w:vAlign w:val="center"/>
          </w:tcPr>
          <w:p w14:paraId="11100BDA" w14:textId="77777777" w:rsidR="00990B14" w:rsidRDefault="00000000">
            <w:pPr>
              <w:keepNext/>
              <w:spacing w:before="20" w:after="20"/>
              <w:jc w:val="center"/>
            </w:pPr>
            <w:r>
              <w:rPr>
                <w:b/>
                <w:bCs/>
                <w:i/>
                <w:iCs/>
                <w:color w:val="FFFFFF"/>
                <w:sz w:val="18"/>
                <w:szCs w:val="18"/>
              </w:rPr>
              <w:t>HP</w:t>
            </w:r>
          </w:p>
        </w:tc>
        <w:tc>
          <w:tcPr>
            <w:tcW w:w="1249" w:type="dxa"/>
            <w:gridSpan w:val="2"/>
            <w:shd w:val="clear" w:color="auto" w:fill="4472C4"/>
            <w:vAlign w:val="center"/>
          </w:tcPr>
          <w:p w14:paraId="2FA36816" w14:textId="77777777" w:rsidR="00990B14" w:rsidRDefault="00000000">
            <w:pPr>
              <w:keepNext/>
              <w:spacing w:before="20" w:after="20"/>
              <w:jc w:val="center"/>
            </w:pPr>
            <w:r>
              <w:rPr>
                <w:b/>
                <w:bCs/>
                <w:i/>
                <w:iCs/>
                <w:color w:val="FFFFFF"/>
                <w:sz w:val="18"/>
                <w:szCs w:val="18"/>
              </w:rPr>
              <w:t>HAA</w:t>
            </w:r>
          </w:p>
        </w:tc>
        <w:tc>
          <w:tcPr>
            <w:tcW w:w="1250" w:type="dxa"/>
            <w:gridSpan w:val="2"/>
            <w:shd w:val="clear" w:color="auto" w:fill="4472C4"/>
            <w:vAlign w:val="center"/>
          </w:tcPr>
          <w:p w14:paraId="2ADCEF2E" w14:textId="77777777" w:rsidR="00990B14" w:rsidRDefault="00000000">
            <w:pPr>
              <w:keepNext/>
              <w:spacing w:before="20" w:after="20"/>
              <w:jc w:val="center"/>
            </w:pPr>
            <w:r>
              <w:rPr>
                <w:b/>
                <w:bCs/>
                <w:i/>
                <w:iCs/>
                <w:color w:val="FFFFFF"/>
                <w:sz w:val="18"/>
                <w:szCs w:val="18"/>
              </w:rPr>
              <w:t>HTG</w:t>
            </w:r>
          </w:p>
        </w:tc>
        <w:tc>
          <w:tcPr>
            <w:tcW w:w="1250" w:type="dxa"/>
            <w:gridSpan w:val="2"/>
            <w:shd w:val="clear" w:color="auto" w:fill="4472C4"/>
            <w:vAlign w:val="center"/>
          </w:tcPr>
          <w:p w14:paraId="78D093B8" w14:textId="77777777" w:rsidR="00990B14" w:rsidRDefault="00000000">
            <w:pPr>
              <w:keepNext/>
              <w:spacing w:before="20" w:after="20"/>
              <w:jc w:val="center"/>
            </w:pPr>
            <w:r>
              <w:rPr>
                <w:b/>
                <w:bCs/>
                <w:i/>
                <w:iCs/>
                <w:color w:val="FFFFFF"/>
                <w:sz w:val="18"/>
                <w:szCs w:val="18"/>
              </w:rPr>
              <w:t>HIP</w:t>
            </w:r>
          </w:p>
        </w:tc>
        <w:tc>
          <w:tcPr>
            <w:tcW w:w="1250" w:type="dxa"/>
            <w:shd w:val="clear" w:color="auto" w:fill="4472C4"/>
            <w:vAlign w:val="center"/>
          </w:tcPr>
          <w:p w14:paraId="74BFFC24" w14:textId="77777777" w:rsidR="00990B14" w:rsidRDefault="00000000">
            <w:pPr>
              <w:keepNext/>
              <w:spacing w:before="20" w:after="20"/>
              <w:jc w:val="center"/>
            </w:pPr>
            <w:r>
              <w:rPr>
                <w:b/>
                <w:bCs/>
                <w:i/>
                <w:iCs/>
                <w:color w:val="FFFFFF"/>
                <w:sz w:val="18"/>
                <w:szCs w:val="18"/>
              </w:rPr>
              <w:t>HE</w:t>
            </w:r>
          </w:p>
        </w:tc>
        <w:tc>
          <w:tcPr>
            <w:tcW w:w="1250" w:type="dxa"/>
            <w:gridSpan w:val="4"/>
            <w:shd w:val="clear" w:color="auto" w:fill="4472C4"/>
            <w:vAlign w:val="center"/>
          </w:tcPr>
          <w:p w14:paraId="0438EC7D" w14:textId="77777777" w:rsidR="00990B14" w:rsidRDefault="00000000">
            <w:pPr>
              <w:keepNext/>
              <w:spacing w:before="20" w:after="20"/>
              <w:jc w:val="center"/>
            </w:pPr>
            <w:r>
              <w:rPr>
                <w:b/>
                <w:bCs/>
                <w:i/>
                <w:iCs/>
                <w:color w:val="FFFFFF"/>
                <w:sz w:val="18"/>
                <w:szCs w:val="18"/>
              </w:rPr>
              <w:t>TOTAL</w:t>
            </w:r>
          </w:p>
        </w:tc>
        <w:tc>
          <w:tcPr>
            <w:tcW w:w="1907" w:type="dxa"/>
            <w:vMerge w:val="restart"/>
            <w:shd w:val="clear" w:color="auto" w:fill="D9E2F3"/>
            <w:vAlign w:val="center"/>
          </w:tcPr>
          <w:p w14:paraId="16D5312F" w14:textId="77777777" w:rsidR="00990B14" w:rsidRDefault="00000000">
            <w:pPr>
              <w:spacing w:before="20" w:after="20"/>
              <w:jc w:val="center"/>
            </w:pPr>
            <w:r>
              <w:rPr>
                <w:sz w:val="18"/>
                <w:szCs w:val="18"/>
              </w:rPr>
              <w:t>7</w:t>
            </w:r>
          </w:p>
        </w:tc>
      </w:tr>
      <w:tr w:rsidR="00990B14" w14:paraId="36CB2587" w14:textId="77777777">
        <w:trPr>
          <w:cantSplit/>
          <w:jc w:val="center"/>
        </w:trPr>
        <w:tc>
          <w:tcPr>
            <w:tcW w:w="1249" w:type="dxa"/>
            <w:shd w:val="clear" w:color="auto" w:fill="D9E2F3"/>
            <w:vAlign w:val="center"/>
          </w:tcPr>
          <w:p w14:paraId="41548EEC" w14:textId="77777777" w:rsidR="00990B14" w:rsidRDefault="00000000">
            <w:pPr>
              <w:spacing w:before="20" w:after="20"/>
              <w:jc w:val="center"/>
            </w:pPr>
            <w:r>
              <w:rPr>
                <w:sz w:val="18"/>
                <w:szCs w:val="18"/>
              </w:rPr>
              <w:t>160</w:t>
            </w:r>
          </w:p>
        </w:tc>
        <w:tc>
          <w:tcPr>
            <w:tcW w:w="1249" w:type="dxa"/>
            <w:gridSpan w:val="2"/>
            <w:shd w:val="clear" w:color="auto" w:fill="D9E2F3"/>
            <w:vAlign w:val="center"/>
          </w:tcPr>
          <w:p w14:paraId="63FBBB10" w14:textId="77777777" w:rsidR="00990B14" w:rsidRDefault="00000000">
            <w:pPr>
              <w:spacing w:before="20" w:after="20"/>
              <w:jc w:val="center"/>
            </w:pPr>
            <w:r>
              <w:rPr>
                <w:sz w:val="18"/>
                <w:szCs w:val="18"/>
              </w:rPr>
              <w:t>10</w:t>
            </w:r>
          </w:p>
        </w:tc>
        <w:tc>
          <w:tcPr>
            <w:tcW w:w="1250" w:type="dxa"/>
            <w:gridSpan w:val="2"/>
            <w:shd w:val="clear" w:color="auto" w:fill="D9E2F3"/>
            <w:vAlign w:val="center"/>
          </w:tcPr>
          <w:p w14:paraId="4B445204" w14:textId="77777777" w:rsidR="00990B14" w:rsidRDefault="00000000">
            <w:pPr>
              <w:spacing w:before="20" w:after="20"/>
              <w:jc w:val="center"/>
            </w:pPr>
            <w:r>
              <w:rPr>
                <w:sz w:val="18"/>
                <w:szCs w:val="18"/>
              </w:rPr>
              <w:t>20</w:t>
            </w:r>
          </w:p>
        </w:tc>
        <w:tc>
          <w:tcPr>
            <w:tcW w:w="1250" w:type="dxa"/>
            <w:gridSpan w:val="2"/>
            <w:shd w:val="clear" w:color="auto" w:fill="D9E2F3"/>
            <w:vAlign w:val="center"/>
          </w:tcPr>
          <w:p w14:paraId="170B514D" w14:textId="77777777" w:rsidR="00990B14" w:rsidRDefault="00000000">
            <w:pPr>
              <w:spacing w:before="20" w:after="20"/>
              <w:jc w:val="center"/>
            </w:pPr>
            <w:r>
              <w:rPr>
                <w:sz w:val="18"/>
                <w:szCs w:val="18"/>
              </w:rPr>
              <w:t>10</w:t>
            </w:r>
          </w:p>
        </w:tc>
        <w:tc>
          <w:tcPr>
            <w:tcW w:w="1250" w:type="dxa"/>
            <w:shd w:val="clear" w:color="auto" w:fill="D9E2F3"/>
            <w:vAlign w:val="center"/>
          </w:tcPr>
          <w:p w14:paraId="283AB564" w14:textId="77777777" w:rsidR="00990B14" w:rsidRDefault="00000000">
            <w:pPr>
              <w:spacing w:before="20" w:after="20"/>
              <w:jc w:val="center"/>
            </w:pPr>
            <w:r>
              <w:rPr>
                <w:sz w:val="18"/>
                <w:szCs w:val="18"/>
              </w:rPr>
              <w:t>10</w:t>
            </w:r>
          </w:p>
        </w:tc>
        <w:tc>
          <w:tcPr>
            <w:tcW w:w="1250" w:type="dxa"/>
            <w:gridSpan w:val="4"/>
            <w:shd w:val="clear" w:color="auto" w:fill="D9E2F3"/>
            <w:vAlign w:val="center"/>
          </w:tcPr>
          <w:p w14:paraId="6F4D7C91" w14:textId="77777777" w:rsidR="00990B14" w:rsidRDefault="00000000">
            <w:pPr>
              <w:spacing w:before="20" w:after="20"/>
              <w:jc w:val="center"/>
            </w:pPr>
            <w:r>
              <w:rPr>
                <w:sz w:val="18"/>
                <w:szCs w:val="18"/>
              </w:rPr>
              <w:t>210</w:t>
            </w:r>
          </w:p>
        </w:tc>
        <w:tc>
          <w:tcPr>
            <w:tcW w:w="1907" w:type="dxa"/>
            <w:vMerge/>
            <w:shd w:val="clear" w:color="auto" w:fill="D9E2F3"/>
            <w:vAlign w:val="center"/>
          </w:tcPr>
          <w:p w14:paraId="0AB0AC35" w14:textId="77777777" w:rsidR="00990B14" w:rsidRDefault="00990B14">
            <w:pPr>
              <w:spacing w:before="20" w:after="20"/>
            </w:pPr>
          </w:p>
        </w:tc>
      </w:tr>
      <w:tr w:rsidR="00990B14" w14:paraId="769AC7B3" w14:textId="77777777">
        <w:trPr>
          <w:cantSplit/>
          <w:jc w:val="center"/>
        </w:trPr>
        <w:tc>
          <w:tcPr>
            <w:tcW w:w="9405" w:type="dxa"/>
            <w:gridSpan w:val="13"/>
            <w:shd w:val="clear" w:color="auto" w:fill="4472C4"/>
            <w:vAlign w:val="center"/>
          </w:tcPr>
          <w:p w14:paraId="2A6B6F55" w14:textId="77777777" w:rsidR="00990B14" w:rsidRDefault="00000000">
            <w:pPr>
              <w:keepNext/>
              <w:spacing w:before="20" w:after="20"/>
              <w:jc w:val="center"/>
            </w:pPr>
            <w:r>
              <w:rPr>
                <w:b/>
                <w:bCs/>
                <w:i/>
                <w:iCs/>
                <w:color w:val="FFFFFF"/>
                <w:sz w:val="18"/>
                <w:szCs w:val="18"/>
              </w:rPr>
              <w:t>Unidad de Competencia</w:t>
            </w:r>
          </w:p>
        </w:tc>
      </w:tr>
      <w:tr w:rsidR="00990B14" w14:paraId="3B6B1BFB" w14:textId="77777777">
        <w:trPr>
          <w:cantSplit/>
          <w:jc w:val="center"/>
        </w:trPr>
        <w:tc>
          <w:tcPr>
            <w:tcW w:w="9405" w:type="dxa"/>
            <w:gridSpan w:val="13"/>
            <w:shd w:val="clear" w:color="auto" w:fill="D9E2F3"/>
            <w:vAlign w:val="center"/>
          </w:tcPr>
          <w:p w14:paraId="2AEC043B" w14:textId="77777777" w:rsidR="00990B14" w:rsidRDefault="00000000">
            <w:pPr>
              <w:spacing w:before="20" w:after="20"/>
              <w:jc w:val="both"/>
            </w:pPr>
            <w:r>
              <w:rPr>
                <w:sz w:val="18"/>
                <w:szCs w:val="18"/>
              </w:rPr>
              <w:t>Aplica el muestreo estadístico en el análisis de datos aplicado a los negocios. Calcula e interpreta medidas de tendencia central, de posición, de dispersión y de forma de un conjunto de datos, analizando la correlación y la regresión entre dos o más variables con atención a sus supuestos y límites, aplicando las probabilidades y los modelos probabilísticos a variables aleatorias, construyendo intervalos de confianza para estimar los parámetros poblacionales. Aplica la docimasia de hipótesis estadísticas, utilizando muestras insesgadas, consistentes, eficientes y de máxima verosimilitud sobre medias o proporciones poblacionales, con el manejo de herramientas estadísticas computacionales como Excel, R, Python, SPSS y STATA, todo ello con rigor técnico, sentido crítico en la interpretación de los resultados estadísticos y ética en el manejo de los datos para una posterior toma de decisiones.</w:t>
            </w:r>
          </w:p>
        </w:tc>
      </w:tr>
      <w:tr w:rsidR="00990B14" w14:paraId="5A983464" w14:textId="77777777">
        <w:trPr>
          <w:cantSplit/>
          <w:jc w:val="center"/>
        </w:trPr>
        <w:tc>
          <w:tcPr>
            <w:tcW w:w="9405" w:type="dxa"/>
            <w:gridSpan w:val="13"/>
            <w:shd w:val="clear" w:color="auto" w:fill="D9E2F3"/>
            <w:vAlign w:val="center"/>
          </w:tcPr>
          <w:p w14:paraId="171D5024" w14:textId="77777777" w:rsidR="00990B14" w:rsidRDefault="00000000">
            <w:pPr>
              <w:spacing w:before="20" w:after="20"/>
              <w:jc w:val="both"/>
            </w:pPr>
            <w:r>
              <w:rPr>
                <w:b/>
                <w:bCs/>
                <w:i/>
                <w:iCs/>
                <w:sz w:val="18"/>
                <w:szCs w:val="18"/>
              </w:rPr>
              <w:t xml:space="preserve">Elemento de competencia 1: </w:t>
            </w:r>
            <w:r>
              <w:rPr>
                <w:sz w:val="18"/>
                <w:szCs w:val="18"/>
              </w:rPr>
              <w:t>Calcula e interpreta las medidas de tendencia central, de posición, de dispersión y de forma de un conjunto de datos, representando sus distribuciones de frecuencias en histogramas, polígonos y ojivas.</w:t>
            </w:r>
          </w:p>
        </w:tc>
      </w:tr>
      <w:tr w:rsidR="00990B14" w14:paraId="0EE378EF" w14:textId="77777777">
        <w:trPr>
          <w:cantSplit/>
          <w:jc w:val="center"/>
        </w:trPr>
        <w:tc>
          <w:tcPr>
            <w:tcW w:w="3133" w:type="dxa"/>
            <w:gridSpan w:val="4"/>
            <w:shd w:val="clear" w:color="auto" w:fill="4472C4"/>
            <w:vAlign w:val="center"/>
          </w:tcPr>
          <w:p w14:paraId="1C1ECCD4"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64A49517"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18F8766A" w14:textId="77777777" w:rsidR="00990B14" w:rsidRDefault="00000000">
            <w:pPr>
              <w:keepNext/>
              <w:spacing w:before="20" w:after="20"/>
              <w:jc w:val="center"/>
            </w:pPr>
            <w:r>
              <w:rPr>
                <w:b/>
                <w:bCs/>
                <w:i/>
                <w:iCs/>
                <w:color w:val="FFFFFF"/>
                <w:sz w:val="18"/>
                <w:szCs w:val="18"/>
              </w:rPr>
              <w:t>Evidencias de producto</w:t>
            </w:r>
          </w:p>
        </w:tc>
      </w:tr>
      <w:tr w:rsidR="00990B14" w14:paraId="1EA7E9CA" w14:textId="77777777">
        <w:trPr>
          <w:cantSplit/>
          <w:jc w:val="center"/>
        </w:trPr>
        <w:tc>
          <w:tcPr>
            <w:tcW w:w="3133" w:type="dxa"/>
            <w:gridSpan w:val="4"/>
            <w:vMerge w:val="restart"/>
            <w:shd w:val="clear" w:color="auto" w:fill="D9E2F3"/>
            <w:vAlign w:val="center"/>
          </w:tcPr>
          <w:p w14:paraId="47A313AF" w14:textId="77777777" w:rsidR="00990B14" w:rsidRDefault="00000000">
            <w:pPr>
              <w:spacing w:before="20" w:after="20"/>
              <w:jc w:val="both"/>
            </w:pPr>
            <w:r>
              <w:rPr>
                <w:sz w:val="18"/>
                <w:szCs w:val="18"/>
              </w:rPr>
              <w:t>1. Organiza un conjunto de datos en distribuciones de frecuencias y sus representaciones gráficas, depurando antes los valores atípicos, los datos faltantes y los errores de registro.</w:t>
            </w:r>
          </w:p>
        </w:tc>
        <w:tc>
          <w:tcPr>
            <w:tcW w:w="3135" w:type="dxa"/>
            <w:gridSpan w:val="5"/>
            <w:shd w:val="clear" w:color="auto" w:fill="D9E2F3"/>
            <w:vAlign w:val="center"/>
          </w:tcPr>
          <w:p w14:paraId="5636F684" w14:textId="77777777" w:rsidR="00990B14" w:rsidRDefault="00000000">
            <w:pPr>
              <w:spacing w:before="20" w:after="20"/>
              <w:jc w:val="both"/>
            </w:pPr>
            <w:r>
              <w:rPr>
                <w:sz w:val="18"/>
                <w:szCs w:val="18"/>
              </w:rPr>
              <w:t>1.1 Depura en el laboratorio de cómputo una base de datos oficial del Instituto Nacional de Estadística con SPSS, R o Python.</w:t>
            </w:r>
          </w:p>
        </w:tc>
        <w:tc>
          <w:tcPr>
            <w:tcW w:w="3137" w:type="dxa"/>
            <w:gridSpan w:val="4"/>
            <w:shd w:val="clear" w:color="auto" w:fill="D9E2F3"/>
            <w:vAlign w:val="center"/>
          </w:tcPr>
          <w:p w14:paraId="159C0CE8" w14:textId="77777777" w:rsidR="00990B14" w:rsidRDefault="00000000">
            <w:pPr>
              <w:spacing w:before="20" w:after="20"/>
              <w:jc w:val="both"/>
            </w:pPr>
            <w:r>
              <w:rPr>
                <w:b/>
                <w:bCs/>
                <w:sz w:val="18"/>
                <w:szCs w:val="18"/>
              </w:rPr>
              <w:t xml:space="preserve">Producto 1: </w:t>
            </w:r>
            <w:r>
              <w:rPr>
                <w:sz w:val="18"/>
                <w:szCs w:val="18"/>
              </w:rPr>
              <w:t>Base de datos depurada con su registro de correcciones.</w:t>
            </w:r>
          </w:p>
        </w:tc>
      </w:tr>
      <w:tr w:rsidR="00990B14" w14:paraId="53829491" w14:textId="77777777">
        <w:trPr>
          <w:cantSplit/>
          <w:jc w:val="center"/>
        </w:trPr>
        <w:tc>
          <w:tcPr>
            <w:tcW w:w="3133" w:type="dxa"/>
            <w:gridSpan w:val="4"/>
            <w:vMerge/>
            <w:shd w:val="clear" w:color="auto" w:fill="D9E2F3"/>
            <w:vAlign w:val="center"/>
          </w:tcPr>
          <w:p w14:paraId="2AC0A521" w14:textId="77777777" w:rsidR="00990B14" w:rsidRDefault="00990B14">
            <w:pPr>
              <w:spacing w:before="20" w:after="20"/>
            </w:pPr>
          </w:p>
        </w:tc>
        <w:tc>
          <w:tcPr>
            <w:tcW w:w="3135" w:type="dxa"/>
            <w:gridSpan w:val="5"/>
            <w:shd w:val="clear" w:color="auto" w:fill="D9E2F3"/>
            <w:vAlign w:val="center"/>
          </w:tcPr>
          <w:p w14:paraId="3B8BA60D" w14:textId="77777777" w:rsidR="00990B14" w:rsidRDefault="00000000">
            <w:pPr>
              <w:spacing w:before="20" w:after="20"/>
              <w:jc w:val="both"/>
            </w:pPr>
            <w:r>
              <w:rPr>
                <w:sz w:val="18"/>
                <w:szCs w:val="18"/>
              </w:rPr>
              <w:t>1.2 Elabora en equipo el histograma, el polígono de frecuencia y la ojiva de una distribución de frecuencias.</w:t>
            </w:r>
          </w:p>
        </w:tc>
        <w:tc>
          <w:tcPr>
            <w:tcW w:w="3137" w:type="dxa"/>
            <w:gridSpan w:val="4"/>
            <w:shd w:val="clear" w:color="auto" w:fill="D9E2F3"/>
            <w:vAlign w:val="center"/>
          </w:tcPr>
          <w:p w14:paraId="776E0A00" w14:textId="77777777" w:rsidR="00990B14" w:rsidRDefault="00000000">
            <w:pPr>
              <w:spacing w:before="20" w:after="20"/>
              <w:jc w:val="both"/>
            </w:pPr>
            <w:r>
              <w:rPr>
                <w:b/>
                <w:bCs/>
                <w:sz w:val="18"/>
                <w:szCs w:val="18"/>
              </w:rPr>
              <w:t xml:space="preserve">Producto 2: </w:t>
            </w:r>
            <w:r>
              <w:rPr>
                <w:sz w:val="18"/>
                <w:szCs w:val="18"/>
              </w:rPr>
              <w:t>Distribución de frecuencias con sus representaciones gráficas.</w:t>
            </w:r>
          </w:p>
        </w:tc>
      </w:tr>
      <w:tr w:rsidR="00990B14" w14:paraId="6AB0DA45" w14:textId="77777777">
        <w:trPr>
          <w:cantSplit/>
          <w:jc w:val="center"/>
        </w:trPr>
        <w:tc>
          <w:tcPr>
            <w:tcW w:w="3133" w:type="dxa"/>
            <w:gridSpan w:val="4"/>
            <w:vMerge w:val="restart"/>
            <w:shd w:val="clear" w:color="auto" w:fill="D9E2F3"/>
            <w:vAlign w:val="center"/>
          </w:tcPr>
          <w:p w14:paraId="538A4E2D" w14:textId="77777777" w:rsidR="00990B14" w:rsidRDefault="00000000">
            <w:pPr>
              <w:spacing w:before="20" w:after="20"/>
              <w:jc w:val="both"/>
            </w:pPr>
            <w:r>
              <w:rPr>
                <w:sz w:val="18"/>
                <w:szCs w:val="18"/>
              </w:rPr>
              <w:t>2. Calcula las medidas de tendencia central, de posición, de dispersión y de forma de un conjunto de datos, interpretando su significado en la información financiera.</w:t>
            </w:r>
          </w:p>
        </w:tc>
        <w:tc>
          <w:tcPr>
            <w:tcW w:w="3135" w:type="dxa"/>
            <w:gridSpan w:val="5"/>
            <w:shd w:val="clear" w:color="auto" w:fill="D9E2F3"/>
            <w:vAlign w:val="center"/>
          </w:tcPr>
          <w:p w14:paraId="7BE5E378" w14:textId="77777777" w:rsidR="00990B14" w:rsidRDefault="00000000">
            <w:pPr>
              <w:spacing w:before="20" w:after="20"/>
              <w:jc w:val="both"/>
            </w:pPr>
            <w:r>
              <w:rPr>
                <w:sz w:val="18"/>
                <w:szCs w:val="18"/>
              </w:rPr>
              <w:t>2.1 Calcula en aula las medidas de tendencia central, de posición y de dispersión de un conjunto de datos con SPSS, R o Python.</w:t>
            </w:r>
          </w:p>
        </w:tc>
        <w:tc>
          <w:tcPr>
            <w:tcW w:w="3137" w:type="dxa"/>
            <w:gridSpan w:val="4"/>
            <w:shd w:val="clear" w:color="auto" w:fill="D9E2F3"/>
            <w:vAlign w:val="center"/>
          </w:tcPr>
          <w:p w14:paraId="3D546B9A" w14:textId="77777777" w:rsidR="00990B14" w:rsidRDefault="00000000">
            <w:pPr>
              <w:spacing w:before="20" w:after="20"/>
              <w:jc w:val="both"/>
            </w:pPr>
            <w:r>
              <w:rPr>
                <w:b/>
                <w:bCs/>
                <w:sz w:val="18"/>
                <w:szCs w:val="18"/>
              </w:rPr>
              <w:t xml:space="preserve">Producto 3: </w:t>
            </w:r>
            <w:r>
              <w:rPr>
                <w:sz w:val="18"/>
                <w:szCs w:val="18"/>
              </w:rPr>
              <w:t>Cuadro de medidas de tendencia central, de posición, de apuntamiento y de dispersión.</w:t>
            </w:r>
          </w:p>
        </w:tc>
      </w:tr>
      <w:tr w:rsidR="00990B14" w14:paraId="5BC7CC37" w14:textId="77777777">
        <w:trPr>
          <w:cantSplit/>
          <w:jc w:val="center"/>
        </w:trPr>
        <w:tc>
          <w:tcPr>
            <w:tcW w:w="3133" w:type="dxa"/>
            <w:gridSpan w:val="4"/>
            <w:vMerge/>
            <w:shd w:val="clear" w:color="auto" w:fill="D9E2F3"/>
            <w:vAlign w:val="center"/>
          </w:tcPr>
          <w:p w14:paraId="1DB2756A" w14:textId="77777777" w:rsidR="00990B14" w:rsidRDefault="00990B14">
            <w:pPr>
              <w:spacing w:before="20" w:after="20"/>
            </w:pPr>
          </w:p>
        </w:tc>
        <w:tc>
          <w:tcPr>
            <w:tcW w:w="3135" w:type="dxa"/>
            <w:gridSpan w:val="5"/>
            <w:shd w:val="clear" w:color="auto" w:fill="D9E2F3"/>
            <w:vAlign w:val="center"/>
          </w:tcPr>
          <w:p w14:paraId="624F3002" w14:textId="77777777" w:rsidR="00990B14" w:rsidRDefault="00000000">
            <w:pPr>
              <w:spacing w:before="20" w:after="20"/>
              <w:jc w:val="both"/>
            </w:pPr>
            <w:r>
              <w:rPr>
                <w:sz w:val="18"/>
                <w:szCs w:val="18"/>
              </w:rPr>
              <w:t>2.2 Analiza ante el curso la asimetría y el apuntamiento de la distribución de las ventas de una empresa.</w:t>
            </w:r>
          </w:p>
        </w:tc>
        <w:tc>
          <w:tcPr>
            <w:tcW w:w="3137" w:type="dxa"/>
            <w:gridSpan w:val="4"/>
            <w:shd w:val="clear" w:color="auto" w:fill="D9E2F3"/>
            <w:vAlign w:val="center"/>
          </w:tcPr>
          <w:p w14:paraId="12F1A807" w14:textId="77777777" w:rsidR="00990B14" w:rsidRDefault="00000000">
            <w:pPr>
              <w:spacing w:before="20" w:after="20"/>
              <w:jc w:val="both"/>
            </w:pPr>
            <w:r>
              <w:rPr>
                <w:b/>
                <w:bCs/>
                <w:sz w:val="18"/>
                <w:szCs w:val="18"/>
              </w:rPr>
              <w:t xml:space="preserve">Producto 4: </w:t>
            </w:r>
            <w:r>
              <w:rPr>
                <w:sz w:val="18"/>
                <w:szCs w:val="18"/>
              </w:rPr>
              <w:t>Informe de las medidas de forma de una distribución.</w:t>
            </w:r>
          </w:p>
        </w:tc>
      </w:tr>
      <w:tr w:rsidR="00990B14" w14:paraId="587E73AD" w14:textId="77777777">
        <w:trPr>
          <w:cantSplit/>
          <w:jc w:val="center"/>
        </w:trPr>
        <w:tc>
          <w:tcPr>
            <w:tcW w:w="9405" w:type="dxa"/>
            <w:gridSpan w:val="13"/>
            <w:shd w:val="clear" w:color="auto" w:fill="4472C4"/>
            <w:vAlign w:val="center"/>
          </w:tcPr>
          <w:p w14:paraId="1AF23240" w14:textId="77777777" w:rsidR="00990B14" w:rsidRDefault="00000000">
            <w:pPr>
              <w:keepNext/>
              <w:spacing w:before="20" w:after="20"/>
              <w:jc w:val="center"/>
            </w:pPr>
            <w:r>
              <w:rPr>
                <w:b/>
                <w:bCs/>
                <w:i/>
                <w:iCs/>
                <w:color w:val="FFFFFF"/>
                <w:sz w:val="18"/>
                <w:szCs w:val="18"/>
              </w:rPr>
              <w:t>Evidencias de conocimiento</w:t>
            </w:r>
          </w:p>
        </w:tc>
      </w:tr>
      <w:tr w:rsidR="00990B14" w14:paraId="42FAF483" w14:textId="77777777">
        <w:trPr>
          <w:cantSplit/>
          <w:jc w:val="center"/>
        </w:trPr>
        <w:tc>
          <w:tcPr>
            <w:tcW w:w="2349" w:type="dxa"/>
            <w:gridSpan w:val="2"/>
            <w:shd w:val="clear" w:color="auto" w:fill="4472C4"/>
            <w:vAlign w:val="center"/>
          </w:tcPr>
          <w:p w14:paraId="0628970E"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5E37BA71" w14:textId="77777777" w:rsidR="00990B14" w:rsidRDefault="00000000">
            <w:pPr>
              <w:keepNext/>
              <w:spacing w:before="20" w:after="20"/>
              <w:jc w:val="both"/>
            </w:pPr>
            <w:r>
              <w:rPr>
                <w:b/>
                <w:bCs/>
                <w:i/>
                <w:iCs/>
                <w:color w:val="FFFFFF"/>
                <w:sz w:val="18"/>
                <w:szCs w:val="18"/>
              </w:rPr>
              <w:t>Contenidos</w:t>
            </w:r>
          </w:p>
          <w:p w14:paraId="1AF87066"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47FCA962" w14:textId="77777777" w:rsidR="00990B14" w:rsidRDefault="00000000">
            <w:pPr>
              <w:keepNext/>
              <w:spacing w:before="20" w:after="20"/>
              <w:jc w:val="center"/>
            </w:pPr>
            <w:r>
              <w:rPr>
                <w:b/>
                <w:bCs/>
                <w:i/>
                <w:iCs/>
                <w:color w:val="FFFFFF"/>
                <w:sz w:val="18"/>
                <w:szCs w:val="18"/>
              </w:rPr>
              <w:t>Conocimientos circunstanciales</w:t>
            </w:r>
          </w:p>
        </w:tc>
      </w:tr>
      <w:tr w:rsidR="00990B14" w14:paraId="2C103B73" w14:textId="77777777">
        <w:trPr>
          <w:jc w:val="center"/>
        </w:trPr>
        <w:tc>
          <w:tcPr>
            <w:tcW w:w="2349" w:type="dxa"/>
            <w:gridSpan w:val="2"/>
            <w:shd w:val="clear" w:color="auto" w:fill="D9E2F3"/>
          </w:tcPr>
          <w:p w14:paraId="30830C40" w14:textId="77777777" w:rsidR="00990B14" w:rsidRDefault="00000000">
            <w:pPr>
              <w:spacing w:before="20" w:after="40"/>
              <w:jc w:val="both"/>
            </w:pPr>
            <w:r>
              <w:rPr>
                <w:sz w:val="18"/>
                <w:szCs w:val="18"/>
              </w:rPr>
              <w:t>Tema 1: Distribución de Frecuencias y Representaciones Gráficas</w:t>
            </w:r>
          </w:p>
          <w:p w14:paraId="2E79B1BE" w14:textId="77777777" w:rsidR="00990B14" w:rsidRDefault="00000000">
            <w:pPr>
              <w:spacing w:before="20" w:after="40"/>
              <w:jc w:val="both"/>
            </w:pPr>
            <w:r>
              <w:rPr>
                <w:sz w:val="18"/>
                <w:szCs w:val="18"/>
              </w:rPr>
              <w:t>Tema 2: Medidas de Tendencia Central, de Posición y de Dispersión</w:t>
            </w:r>
          </w:p>
          <w:p w14:paraId="0DA48C3C" w14:textId="77777777" w:rsidR="00990B14" w:rsidRDefault="00000000">
            <w:pPr>
              <w:spacing w:before="20" w:after="40"/>
              <w:jc w:val="both"/>
            </w:pPr>
            <w:r>
              <w:rPr>
                <w:sz w:val="18"/>
                <w:szCs w:val="18"/>
              </w:rPr>
              <w:t>Tema 3: Medidas de Forma: Asimetría y Apuntamiento</w:t>
            </w:r>
          </w:p>
        </w:tc>
        <w:tc>
          <w:tcPr>
            <w:tcW w:w="4304" w:type="dxa"/>
            <w:gridSpan w:val="8"/>
            <w:shd w:val="clear" w:color="auto" w:fill="D9E2F3"/>
          </w:tcPr>
          <w:p w14:paraId="7CA494D6" w14:textId="77777777" w:rsidR="00990B14" w:rsidRDefault="00000000">
            <w:pPr>
              <w:spacing w:after="40"/>
              <w:jc w:val="both"/>
            </w:pPr>
            <w:r>
              <w:rPr>
                <w:sz w:val="18"/>
                <w:szCs w:val="18"/>
              </w:rPr>
              <w:t>Definición y clasificación de la estadística; población, muestra y variables estadísticas. (C)</w:t>
            </w:r>
          </w:p>
          <w:p w14:paraId="50EEDB0A" w14:textId="77777777" w:rsidR="00990B14" w:rsidRDefault="00000000">
            <w:pPr>
              <w:spacing w:after="40"/>
              <w:jc w:val="both"/>
            </w:pPr>
            <w:r>
              <w:rPr>
                <w:sz w:val="18"/>
                <w:szCs w:val="18"/>
              </w:rPr>
              <w:t>Distribución de frecuencias: intervalos de clase, límites de clase y frecuencias absoluta y relativa; sus propiedades. (C, P)</w:t>
            </w:r>
          </w:p>
          <w:p w14:paraId="7655EDDD" w14:textId="77777777" w:rsidR="00990B14" w:rsidRDefault="00000000">
            <w:pPr>
              <w:spacing w:after="40"/>
              <w:jc w:val="both"/>
            </w:pPr>
            <w:r>
              <w:rPr>
                <w:sz w:val="18"/>
                <w:szCs w:val="18"/>
              </w:rPr>
              <w:t>Representaciones gráficas de la distribución de frecuencias: histograma, polígono de frecuencia y ojiva. (C, P)</w:t>
            </w:r>
          </w:p>
          <w:p w14:paraId="59933251" w14:textId="77777777" w:rsidR="00990B14" w:rsidRDefault="00000000">
            <w:pPr>
              <w:spacing w:after="40"/>
              <w:jc w:val="both"/>
            </w:pPr>
            <w:r>
              <w:rPr>
                <w:sz w:val="18"/>
                <w:szCs w:val="18"/>
              </w:rPr>
              <w:t>Buenas prácticas de representación gráfica: escalas, títulos y fuente de los datos, y errores frecuentes que distorsionan la lectura. (C, P)</w:t>
            </w:r>
          </w:p>
          <w:p w14:paraId="7EFE3127" w14:textId="77777777" w:rsidR="00990B14" w:rsidRDefault="00000000">
            <w:pPr>
              <w:spacing w:after="40"/>
              <w:jc w:val="both"/>
            </w:pPr>
            <w:r>
              <w:rPr>
                <w:sz w:val="18"/>
                <w:szCs w:val="18"/>
              </w:rPr>
              <w:t>Aplicación de los programas SPSS, R y/o Python para la distribución de frecuencias y sus representaciones gráficas. (P, T)</w:t>
            </w:r>
          </w:p>
          <w:p w14:paraId="78B09C4D" w14:textId="77777777" w:rsidR="00990B14" w:rsidRDefault="00000000">
            <w:pPr>
              <w:spacing w:after="40"/>
              <w:jc w:val="both"/>
            </w:pPr>
            <w:r>
              <w:rPr>
                <w:sz w:val="18"/>
                <w:szCs w:val="18"/>
              </w:rPr>
              <w:t>Media aritmética, mediana, moda y media geométrica; sus propiedades. (C, P)</w:t>
            </w:r>
          </w:p>
          <w:p w14:paraId="2A692EFC" w14:textId="77777777" w:rsidR="00990B14" w:rsidRDefault="00000000">
            <w:pPr>
              <w:spacing w:after="40"/>
              <w:jc w:val="both"/>
            </w:pPr>
            <w:r>
              <w:rPr>
                <w:sz w:val="18"/>
                <w:szCs w:val="18"/>
              </w:rPr>
              <w:t>Medidas de posición: deciles, cuartiles y percentiles. (C, P)</w:t>
            </w:r>
          </w:p>
          <w:p w14:paraId="203C3A83" w14:textId="77777777" w:rsidR="00990B14" w:rsidRDefault="00000000">
            <w:pPr>
              <w:spacing w:after="40"/>
              <w:jc w:val="both"/>
            </w:pPr>
            <w:r>
              <w:rPr>
                <w:sz w:val="18"/>
                <w:szCs w:val="18"/>
              </w:rPr>
              <w:t>Aplicación de los programas SPSS, R y/o Python para el cálculo de medidas de tendencia central y de posición. (P, T)</w:t>
            </w:r>
          </w:p>
          <w:p w14:paraId="419D7993" w14:textId="77777777" w:rsidR="00990B14" w:rsidRDefault="00000000">
            <w:pPr>
              <w:spacing w:after="40"/>
              <w:jc w:val="both"/>
            </w:pPr>
            <w:r>
              <w:rPr>
                <w:sz w:val="18"/>
                <w:szCs w:val="18"/>
              </w:rPr>
              <w:t>Rango, desviación media, desviación estándar o típica, varianza y coeficiente de variación; sus propiedades. (C, P)</w:t>
            </w:r>
          </w:p>
          <w:p w14:paraId="514DC8E7" w14:textId="77777777" w:rsidR="00990B14" w:rsidRDefault="00000000">
            <w:pPr>
              <w:spacing w:after="40"/>
              <w:jc w:val="both"/>
            </w:pPr>
            <w:r>
              <w:rPr>
                <w:sz w:val="18"/>
                <w:szCs w:val="18"/>
              </w:rPr>
              <w:t>Depuración de la base de datos: valores atípicos, datos faltantes y verificación de la consistencia antes del análisis estadístico. (C, P)</w:t>
            </w:r>
          </w:p>
          <w:p w14:paraId="30213137" w14:textId="77777777" w:rsidR="00990B14" w:rsidRDefault="00000000">
            <w:pPr>
              <w:spacing w:after="40"/>
              <w:jc w:val="both"/>
            </w:pPr>
            <w:r>
              <w:rPr>
                <w:sz w:val="18"/>
                <w:szCs w:val="18"/>
              </w:rPr>
              <w:t>Aplicación de los programas SPSS, R y/o Python para el estudio de las medidas de dispersión; ejercicios de aplicación. (P, T)</w:t>
            </w:r>
          </w:p>
          <w:p w14:paraId="0469E905" w14:textId="77777777" w:rsidR="00990B14" w:rsidRDefault="00000000">
            <w:pPr>
              <w:spacing w:after="40"/>
              <w:jc w:val="both"/>
            </w:pPr>
            <w:r>
              <w:rPr>
                <w:sz w:val="18"/>
                <w:szCs w:val="18"/>
              </w:rPr>
              <w:t>Momentos respecto al origen y respecto a la media aritmética. (C)</w:t>
            </w:r>
          </w:p>
          <w:p w14:paraId="6E1D16B7" w14:textId="77777777" w:rsidR="00990B14" w:rsidRDefault="00000000">
            <w:pPr>
              <w:spacing w:after="40"/>
              <w:jc w:val="both"/>
            </w:pPr>
            <w:r>
              <w:rPr>
                <w:sz w:val="18"/>
                <w:szCs w:val="18"/>
              </w:rPr>
              <w:t>Coeficiente de asimetría y coeficiente de apuntamiento. (C, P)</w:t>
            </w:r>
          </w:p>
          <w:p w14:paraId="6CFD69A2" w14:textId="77777777" w:rsidR="00990B14" w:rsidRDefault="00000000">
            <w:pPr>
              <w:spacing w:after="40"/>
              <w:jc w:val="both"/>
            </w:pPr>
            <w:r>
              <w:rPr>
                <w:sz w:val="18"/>
                <w:szCs w:val="18"/>
              </w:rPr>
              <w:t>Aplicación de los programas SPSS, R y/o Python para el estudio de las medidas de forma, asimetría y apuntamiento; ejercicios de aplicación. (P, T)</w:t>
            </w:r>
          </w:p>
          <w:p w14:paraId="50CA4F21" w14:textId="77777777" w:rsidR="00990B14" w:rsidRDefault="00000000">
            <w:pPr>
              <w:spacing w:after="40"/>
              <w:jc w:val="both"/>
            </w:pPr>
            <w:r>
              <w:rPr>
                <w:sz w:val="18"/>
                <w:szCs w:val="18"/>
              </w:rPr>
              <w:t>Fuentes oficiales de datos de Bolivia y su uso responsable: citación de fuentes, periodos de referencia y notas metodológicas. (C, A)</w:t>
            </w:r>
          </w:p>
          <w:p w14:paraId="7C4A98C0" w14:textId="77777777" w:rsidR="00990B14" w:rsidRDefault="00000000">
            <w:pPr>
              <w:spacing w:after="40"/>
              <w:jc w:val="both"/>
            </w:pPr>
            <w:r>
              <w:rPr>
                <w:sz w:val="18"/>
                <w:szCs w:val="18"/>
              </w:rPr>
              <w:t>Terminología estadística en inglés: sample, population, mean, standard deviation, outlier, confidence interval; entre otras. (C)</w:t>
            </w:r>
          </w:p>
        </w:tc>
        <w:tc>
          <w:tcPr>
            <w:tcW w:w="2752" w:type="dxa"/>
            <w:gridSpan w:val="3"/>
            <w:shd w:val="clear" w:color="auto" w:fill="D9E2F3"/>
          </w:tcPr>
          <w:p w14:paraId="54D2EFF1" w14:textId="77777777" w:rsidR="00990B14" w:rsidRDefault="00000000">
            <w:pPr>
              <w:numPr>
                <w:ilvl w:val="0"/>
                <w:numId w:val="139"/>
              </w:numPr>
              <w:spacing w:before="10" w:after="10"/>
              <w:jc w:val="both"/>
            </w:pPr>
            <w:r>
              <w:rPr>
                <w:sz w:val="18"/>
                <w:szCs w:val="18"/>
              </w:rPr>
              <w:t>Resultados finales del Censo de Población y Vivienda 2024 publicados por el Instituto Nacional de Estadística, con una población de 11.365.333 habitantes.</w:t>
            </w:r>
          </w:p>
          <w:p w14:paraId="3B4BC37F" w14:textId="77777777" w:rsidR="00990B14" w:rsidRDefault="00000000">
            <w:pPr>
              <w:numPr>
                <w:ilvl w:val="0"/>
                <w:numId w:val="139"/>
              </w:numPr>
              <w:spacing w:before="10" w:after="10"/>
              <w:jc w:val="both"/>
            </w:pPr>
            <w:r>
              <w:rPr>
                <w:sz w:val="18"/>
                <w:szCs w:val="18"/>
              </w:rPr>
              <w:t>Índice de precios al consumidor y encuestas del Instituto Nacional de Estadística como fuentes de datos para el análisis descriptivo.</w:t>
            </w:r>
          </w:p>
          <w:p w14:paraId="6497BBE5" w14:textId="77777777" w:rsidR="00990B14" w:rsidRDefault="00000000">
            <w:pPr>
              <w:numPr>
                <w:ilvl w:val="0"/>
                <w:numId w:val="139"/>
              </w:numPr>
              <w:spacing w:before="10" w:after="10"/>
              <w:jc w:val="both"/>
            </w:pPr>
            <w:r>
              <w:rPr>
                <w:sz w:val="18"/>
                <w:szCs w:val="18"/>
              </w:rPr>
              <w:t>Uso de la estadística descriptiva en la preparación de presupuestos y proyecciones financieras del contador público.</w:t>
            </w:r>
          </w:p>
        </w:tc>
      </w:tr>
      <w:tr w:rsidR="00990B14" w14:paraId="04556065" w14:textId="77777777">
        <w:trPr>
          <w:cantSplit/>
          <w:jc w:val="center"/>
        </w:trPr>
        <w:tc>
          <w:tcPr>
            <w:tcW w:w="9405" w:type="dxa"/>
            <w:gridSpan w:val="13"/>
            <w:shd w:val="clear" w:color="auto" w:fill="D9E2F3"/>
            <w:vAlign w:val="center"/>
          </w:tcPr>
          <w:p w14:paraId="05C57CE7" w14:textId="77777777" w:rsidR="00990B14" w:rsidRDefault="00000000">
            <w:pPr>
              <w:spacing w:before="20" w:after="20"/>
              <w:jc w:val="both"/>
            </w:pPr>
            <w:r>
              <w:rPr>
                <w:b/>
                <w:bCs/>
                <w:i/>
                <w:iCs/>
                <w:sz w:val="18"/>
                <w:szCs w:val="18"/>
              </w:rPr>
              <w:t xml:space="preserve">Elemento de competencia 2: </w:t>
            </w:r>
            <w:r>
              <w:rPr>
                <w:sz w:val="18"/>
                <w:szCs w:val="18"/>
              </w:rPr>
              <w:t>Analiza la distribución bidimensional de dos variables estadísticas, calculando el coeficiente de correlación lineal y la ecuación de regresión de un conjunto de datos.</w:t>
            </w:r>
          </w:p>
        </w:tc>
      </w:tr>
      <w:tr w:rsidR="00990B14" w14:paraId="62DAD7EA" w14:textId="77777777">
        <w:trPr>
          <w:cantSplit/>
          <w:jc w:val="center"/>
        </w:trPr>
        <w:tc>
          <w:tcPr>
            <w:tcW w:w="3133" w:type="dxa"/>
            <w:gridSpan w:val="4"/>
            <w:shd w:val="clear" w:color="auto" w:fill="4472C4"/>
            <w:vAlign w:val="center"/>
          </w:tcPr>
          <w:p w14:paraId="5A5FB830"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2529FDCE"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56FA7EAF" w14:textId="77777777" w:rsidR="00990B14" w:rsidRDefault="00000000">
            <w:pPr>
              <w:keepNext/>
              <w:spacing w:before="20" w:after="20"/>
              <w:jc w:val="center"/>
            </w:pPr>
            <w:r>
              <w:rPr>
                <w:b/>
                <w:bCs/>
                <w:i/>
                <w:iCs/>
                <w:color w:val="FFFFFF"/>
                <w:sz w:val="18"/>
                <w:szCs w:val="18"/>
              </w:rPr>
              <w:t>Evidencias de producto</w:t>
            </w:r>
          </w:p>
        </w:tc>
      </w:tr>
      <w:tr w:rsidR="00990B14" w14:paraId="3028AC5C" w14:textId="77777777">
        <w:trPr>
          <w:cantSplit/>
          <w:jc w:val="center"/>
        </w:trPr>
        <w:tc>
          <w:tcPr>
            <w:tcW w:w="3133" w:type="dxa"/>
            <w:gridSpan w:val="4"/>
            <w:vMerge w:val="restart"/>
            <w:shd w:val="clear" w:color="auto" w:fill="D9E2F3"/>
            <w:vAlign w:val="center"/>
          </w:tcPr>
          <w:p w14:paraId="009A0BC5" w14:textId="77777777" w:rsidR="00990B14" w:rsidRDefault="00000000">
            <w:pPr>
              <w:spacing w:before="20" w:after="20"/>
              <w:jc w:val="both"/>
            </w:pPr>
            <w:r>
              <w:rPr>
                <w:sz w:val="18"/>
                <w:szCs w:val="18"/>
              </w:rPr>
              <w:t>1. Analiza la distribución bidimensional de dos variables, calculando la covarianza, el coeficiente de correlación y la ecuación de regresión por mínimos cuadrados.</w:t>
            </w:r>
          </w:p>
        </w:tc>
        <w:tc>
          <w:tcPr>
            <w:tcW w:w="3135" w:type="dxa"/>
            <w:gridSpan w:val="5"/>
            <w:shd w:val="clear" w:color="auto" w:fill="D9E2F3"/>
            <w:vAlign w:val="center"/>
          </w:tcPr>
          <w:p w14:paraId="30C23D4A" w14:textId="77777777" w:rsidR="00990B14" w:rsidRDefault="00000000">
            <w:pPr>
              <w:spacing w:before="20" w:after="20"/>
              <w:jc w:val="both"/>
            </w:pPr>
            <w:r>
              <w:rPr>
                <w:sz w:val="18"/>
                <w:szCs w:val="18"/>
              </w:rPr>
              <w:t>1.1 Calcula en aula la covarianza y el coeficiente de correlación lineal de una distribución bidimensional.</w:t>
            </w:r>
          </w:p>
        </w:tc>
        <w:tc>
          <w:tcPr>
            <w:tcW w:w="3137" w:type="dxa"/>
            <w:gridSpan w:val="4"/>
            <w:shd w:val="clear" w:color="auto" w:fill="D9E2F3"/>
            <w:vAlign w:val="center"/>
          </w:tcPr>
          <w:p w14:paraId="26B6069E" w14:textId="77777777" w:rsidR="00990B14" w:rsidRDefault="00000000">
            <w:pPr>
              <w:spacing w:before="20" w:after="20"/>
              <w:jc w:val="both"/>
            </w:pPr>
            <w:r>
              <w:rPr>
                <w:b/>
                <w:bCs/>
                <w:sz w:val="18"/>
                <w:szCs w:val="18"/>
              </w:rPr>
              <w:t xml:space="preserve">Producto 5: </w:t>
            </w:r>
            <w:r>
              <w:rPr>
                <w:sz w:val="18"/>
                <w:szCs w:val="18"/>
              </w:rPr>
              <w:t>Cuadro de covarianza y coeficiente de correlación.</w:t>
            </w:r>
          </w:p>
        </w:tc>
      </w:tr>
      <w:tr w:rsidR="00990B14" w14:paraId="3F281F46" w14:textId="77777777">
        <w:trPr>
          <w:cantSplit/>
          <w:jc w:val="center"/>
        </w:trPr>
        <w:tc>
          <w:tcPr>
            <w:tcW w:w="3133" w:type="dxa"/>
            <w:gridSpan w:val="4"/>
            <w:vMerge/>
            <w:shd w:val="clear" w:color="auto" w:fill="D9E2F3"/>
            <w:vAlign w:val="center"/>
          </w:tcPr>
          <w:p w14:paraId="23691629" w14:textId="77777777" w:rsidR="00990B14" w:rsidRDefault="00990B14">
            <w:pPr>
              <w:spacing w:before="20" w:after="20"/>
            </w:pPr>
          </w:p>
        </w:tc>
        <w:tc>
          <w:tcPr>
            <w:tcW w:w="3135" w:type="dxa"/>
            <w:gridSpan w:val="5"/>
            <w:shd w:val="clear" w:color="auto" w:fill="D9E2F3"/>
            <w:vAlign w:val="center"/>
          </w:tcPr>
          <w:p w14:paraId="1183DEBA" w14:textId="77777777" w:rsidR="00990B14" w:rsidRDefault="00000000">
            <w:pPr>
              <w:spacing w:before="20" w:after="20"/>
              <w:jc w:val="both"/>
            </w:pPr>
            <w:r>
              <w:rPr>
                <w:sz w:val="18"/>
                <w:szCs w:val="18"/>
              </w:rPr>
              <w:t>1.2 Ajusta en el laboratorio de cómputo funciones lineal, parabólica, potencial y exponencial de regresión con SPSS, R o Python.</w:t>
            </w:r>
          </w:p>
        </w:tc>
        <w:tc>
          <w:tcPr>
            <w:tcW w:w="3137" w:type="dxa"/>
            <w:gridSpan w:val="4"/>
            <w:shd w:val="clear" w:color="auto" w:fill="D9E2F3"/>
            <w:vAlign w:val="center"/>
          </w:tcPr>
          <w:p w14:paraId="0B044DC4" w14:textId="77777777" w:rsidR="00990B14" w:rsidRDefault="00000000">
            <w:pPr>
              <w:spacing w:before="20" w:after="20"/>
              <w:jc w:val="both"/>
            </w:pPr>
            <w:r>
              <w:rPr>
                <w:b/>
                <w:bCs/>
                <w:sz w:val="18"/>
                <w:szCs w:val="18"/>
              </w:rPr>
              <w:t xml:space="preserve">Producto 6: </w:t>
            </w:r>
            <w:r>
              <w:rPr>
                <w:sz w:val="18"/>
                <w:szCs w:val="18"/>
              </w:rPr>
              <w:t>Diagrama de dispersión con las funciones de regresión ajustadas.</w:t>
            </w:r>
          </w:p>
        </w:tc>
      </w:tr>
      <w:tr w:rsidR="00990B14" w14:paraId="77A1AF43" w14:textId="77777777">
        <w:trPr>
          <w:cantSplit/>
          <w:jc w:val="center"/>
        </w:trPr>
        <w:tc>
          <w:tcPr>
            <w:tcW w:w="3133" w:type="dxa"/>
            <w:gridSpan w:val="4"/>
            <w:vMerge w:val="restart"/>
            <w:shd w:val="clear" w:color="auto" w:fill="D9E2F3"/>
            <w:vAlign w:val="center"/>
          </w:tcPr>
          <w:p w14:paraId="01449211" w14:textId="77777777" w:rsidR="00990B14" w:rsidRDefault="00000000">
            <w:pPr>
              <w:spacing w:before="20" w:after="20"/>
              <w:jc w:val="both"/>
            </w:pPr>
            <w:r>
              <w:rPr>
                <w:sz w:val="18"/>
                <w:szCs w:val="18"/>
              </w:rPr>
              <w:t>2. Evalúa el coeficiente de determinación y los límites de un modelo de regresión, distinguiendo la correlación de la causalidad en un procedimiento en variables bidimensionales.</w:t>
            </w:r>
          </w:p>
        </w:tc>
        <w:tc>
          <w:tcPr>
            <w:tcW w:w="3135" w:type="dxa"/>
            <w:gridSpan w:val="5"/>
            <w:shd w:val="clear" w:color="auto" w:fill="D9E2F3"/>
            <w:vAlign w:val="center"/>
          </w:tcPr>
          <w:p w14:paraId="3EA458DD" w14:textId="77777777" w:rsidR="00990B14" w:rsidRDefault="00000000">
            <w:pPr>
              <w:spacing w:before="20" w:after="20"/>
              <w:jc w:val="both"/>
            </w:pPr>
            <w:r>
              <w:rPr>
                <w:sz w:val="18"/>
                <w:szCs w:val="18"/>
              </w:rPr>
              <w:t>2.1 Analiza en equipo el coeficiente de determinación de un modelo de regresión de un caso práctico.</w:t>
            </w:r>
          </w:p>
        </w:tc>
        <w:tc>
          <w:tcPr>
            <w:tcW w:w="3137" w:type="dxa"/>
            <w:gridSpan w:val="4"/>
            <w:shd w:val="clear" w:color="auto" w:fill="D9E2F3"/>
            <w:vAlign w:val="center"/>
          </w:tcPr>
          <w:p w14:paraId="41F1E317" w14:textId="77777777" w:rsidR="00990B14" w:rsidRDefault="00000000">
            <w:pPr>
              <w:spacing w:before="20" w:after="20"/>
              <w:jc w:val="both"/>
            </w:pPr>
            <w:r>
              <w:rPr>
                <w:b/>
                <w:bCs/>
                <w:sz w:val="18"/>
                <w:szCs w:val="18"/>
              </w:rPr>
              <w:t xml:space="preserve">Producto 7: </w:t>
            </w:r>
            <w:r>
              <w:rPr>
                <w:sz w:val="18"/>
                <w:szCs w:val="18"/>
              </w:rPr>
              <w:t>Informe del coeficiente de determinación de un modelo de regresión.</w:t>
            </w:r>
          </w:p>
        </w:tc>
      </w:tr>
      <w:tr w:rsidR="00990B14" w14:paraId="2D0E005E" w14:textId="77777777">
        <w:trPr>
          <w:cantSplit/>
          <w:jc w:val="center"/>
        </w:trPr>
        <w:tc>
          <w:tcPr>
            <w:tcW w:w="3133" w:type="dxa"/>
            <w:gridSpan w:val="4"/>
            <w:vMerge/>
            <w:shd w:val="clear" w:color="auto" w:fill="D9E2F3"/>
            <w:vAlign w:val="center"/>
          </w:tcPr>
          <w:p w14:paraId="10CD893D" w14:textId="77777777" w:rsidR="00990B14" w:rsidRDefault="00990B14">
            <w:pPr>
              <w:spacing w:before="20" w:after="20"/>
            </w:pPr>
          </w:p>
        </w:tc>
        <w:tc>
          <w:tcPr>
            <w:tcW w:w="3135" w:type="dxa"/>
            <w:gridSpan w:val="5"/>
            <w:shd w:val="clear" w:color="auto" w:fill="D9E2F3"/>
            <w:vAlign w:val="center"/>
          </w:tcPr>
          <w:p w14:paraId="3816B237" w14:textId="77777777" w:rsidR="00990B14" w:rsidRDefault="00000000">
            <w:pPr>
              <w:spacing w:before="20" w:after="20"/>
              <w:jc w:val="both"/>
            </w:pPr>
            <w:r>
              <w:rPr>
                <w:sz w:val="18"/>
                <w:szCs w:val="18"/>
              </w:rPr>
              <w:t>2.2 Estima ante el curso una partida de gastos con regresión y explica las desviaciones significativas.</w:t>
            </w:r>
          </w:p>
        </w:tc>
        <w:tc>
          <w:tcPr>
            <w:tcW w:w="3137" w:type="dxa"/>
            <w:gridSpan w:val="4"/>
            <w:shd w:val="clear" w:color="auto" w:fill="D9E2F3"/>
            <w:vAlign w:val="center"/>
          </w:tcPr>
          <w:p w14:paraId="59BFC5A4" w14:textId="77777777" w:rsidR="00990B14" w:rsidRDefault="00000000">
            <w:pPr>
              <w:spacing w:before="20" w:after="20"/>
              <w:jc w:val="both"/>
            </w:pPr>
            <w:r>
              <w:rPr>
                <w:b/>
                <w:bCs/>
                <w:sz w:val="18"/>
                <w:szCs w:val="18"/>
              </w:rPr>
              <w:t xml:space="preserve">Producto 8: </w:t>
            </w:r>
            <w:r>
              <w:rPr>
                <w:sz w:val="18"/>
                <w:szCs w:val="18"/>
              </w:rPr>
              <w:t>Procedimiento analítico de una partida de gastos basado en regresión.</w:t>
            </w:r>
          </w:p>
        </w:tc>
      </w:tr>
      <w:tr w:rsidR="00990B14" w14:paraId="26A20F0B" w14:textId="77777777">
        <w:trPr>
          <w:cantSplit/>
          <w:jc w:val="center"/>
        </w:trPr>
        <w:tc>
          <w:tcPr>
            <w:tcW w:w="9405" w:type="dxa"/>
            <w:gridSpan w:val="13"/>
            <w:shd w:val="clear" w:color="auto" w:fill="4472C4"/>
            <w:vAlign w:val="center"/>
          </w:tcPr>
          <w:p w14:paraId="0D30DD2F" w14:textId="77777777" w:rsidR="00990B14" w:rsidRDefault="00000000">
            <w:pPr>
              <w:keepNext/>
              <w:spacing w:before="20" w:after="20"/>
              <w:jc w:val="center"/>
            </w:pPr>
            <w:r>
              <w:rPr>
                <w:b/>
                <w:bCs/>
                <w:i/>
                <w:iCs/>
                <w:color w:val="FFFFFF"/>
                <w:sz w:val="18"/>
                <w:szCs w:val="18"/>
              </w:rPr>
              <w:t>Evidencias de conocimiento</w:t>
            </w:r>
          </w:p>
        </w:tc>
      </w:tr>
      <w:tr w:rsidR="00990B14" w14:paraId="55B0A12F" w14:textId="77777777">
        <w:trPr>
          <w:cantSplit/>
          <w:jc w:val="center"/>
        </w:trPr>
        <w:tc>
          <w:tcPr>
            <w:tcW w:w="2349" w:type="dxa"/>
            <w:gridSpan w:val="2"/>
            <w:shd w:val="clear" w:color="auto" w:fill="4472C4"/>
            <w:vAlign w:val="center"/>
          </w:tcPr>
          <w:p w14:paraId="3227F0F7"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4153F0A6" w14:textId="77777777" w:rsidR="00990B14" w:rsidRDefault="00000000">
            <w:pPr>
              <w:keepNext/>
              <w:spacing w:before="20" w:after="20"/>
              <w:jc w:val="both"/>
            </w:pPr>
            <w:r>
              <w:rPr>
                <w:b/>
                <w:bCs/>
                <w:i/>
                <w:iCs/>
                <w:color w:val="FFFFFF"/>
                <w:sz w:val="18"/>
                <w:szCs w:val="18"/>
              </w:rPr>
              <w:t>Contenidos</w:t>
            </w:r>
          </w:p>
          <w:p w14:paraId="4C43DDA1"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629A54B5" w14:textId="77777777" w:rsidR="00990B14" w:rsidRDefault="00000000">
            <w:pPr>
              <w:keepNext/>
              <w:spacing w:before="20" w:after="20"/>
              <w:jc w:val="center"/>
            </w:pPr>
            <w:r>
              <w:rPr>
                <w:b/>
                <w:bCs/>
                <w:i/>
                <w:iCs/>
                <w:color w:val="FFFFFF"/>
                <w:sz w:val="18"/>
                <w:szCs w:val="18"/>
              </w:rPr>
              <w:t>Conocimientos circunstanciales</w:t>
            </w:r>
          </w:p>
        </w:tc>
      </w:tr>
      <w:tr w:rsidR="00990B14" w14:paraId="5C52D3CE" w14:textId="77777777">
        <w:trPr>
          <w:jc w:val="center"/>
        </w:trPr>
        <w:tc>
          <w:tcPr>
            <w:tcW w:w="2349" w:type="dxa"/>
            <w:gridSpan w:val="2"/>
            <w:shd w:val="clear" w:color="auto" w:fill="D9E2F3"/>
          </w:tcPr>
          <w:p w14:paraId="74246475" w14:textId="77777777" w:rsidR="00990B14" w:rsidRDefault="00000000">
            <w:pPr>
              <w:spacing w:before="20" w:after="40"/>
              <w:jc w:val="both"/>
            </w:pPr>
            <w:r>
              <w:rPr>
                <w:sz w:val="18"/>
                <w:szCs w:val="18"/>
              </w:rPr>
              <w:t>Tema 4: Distribuciones Bidimensionales</w:t>
            </w:r>
          </w:p>
          <w:p w14:paraId="332EDB49" w14:textId="77777777" w:rsidR="00990B14" w:rsidRDefault="00000000">
            <w:pPr>
              <w:spacing w:before="20" w:after="40"/>
              <w:jc w:val="both"/>
            </w:pPr>
            <w:r>
              <w:rPr>
                <w:sz w:val="18"/>
                <w:szCs w:val="18"/>
              </w:rPr>
              <w:t>Tema 5: Análisis de Correlación y Regresión</w:t>
            </w:r>
          </w:p>
        </w:tc>
        <w:tc>
          <w:tcPr>
            <w:tcW w:w="4304" w:type="dxa"/>
            <w:gridSpan w:val="8"/>
            <w:shd w:val="clear" w:color="auto" w:fill="D9E2F3"/>
          </w:tcPr>
          <w:p w14:paraId="279F3FE2" w14:textId="77777777" w:rsidR="00990B14" w:rsidRDefault="00000000">
            <w:pPr>
              <w:spacing w:after="40"/>
              <w:jc w:val="both"/>
            </w:pPr>
            <w:r>
              <w:rPr>
                <w:sz w:val="18"/>
                <w:szCs w:val="18"/>
              </w:rPr>
              <w:t>Distribución bidimensional y distribución marginal; media y varianza marginal. (C, P)</w:t>
            </w:r>
          </w:p>
          <w:p w14:paraId="23629C11" w14:textId="77777777" w:rsidR="00990B14" w:rsidRDefault="00000000">
            <w:pPr>
              <w:spacing w:after="40"/>
              <w:jc w:val="both"/>
            </w:pPr>
            <w:r>
              <w:rPr>
                <w:sz w:val="18"/>
                <w:szCs w:val="18"/>
              </w:rPr>
              <w:t>Covarianza y sus propiedades. (C)</w:t>
            </w:r>
          </w:p>
          <w:p w14:paraId="1909FF49" w14:textId="77777777" w:rsidR="00990B14" w:rsidRDefault="00000000">
            <w:pPr>
              <w:spacing w:after="40"/>
              <w:jc w:val="both"/>
            </w:pPr>
            <w:r>
              <w:rPr>
                <w:sz w:val="18"/>
                <w:szCs w:val="18"/>
              </w:rPr>
              <w:t>Aplicación de los programas SPSS, R y/o Python para el estudio de distribuciones bidimensionales; ejercicios de aplicación. (P, T)</w:t>
            </w:r>
          </w:p>
          <w:p w14:paraId="2F935575" w14:textId="77777777" w:rsidR="00990B14" w:rsidRDefault="00000000">
            <w:pPr>
              <w:spacing w:after="40"/>
              <w:jc w:val="both"/>
            </w:pPr>
            <w:r>
              <w:rPr>
                <w:sz w:val="18"/>
                <w:szCs w:val="18"/>
              </w:rPr>
              <w:t>Correlación lineal y coeficiente de correlación lineal; diagrama de dispersión. (C, P)</w:t>
            </w:r>
          </w:p>
          <w:p w14:paraId="42423D59" w14:textId="77777777" w:rsidR="00990B14" w:rsidRDefault="00000000">
            <w:pPr>
              <w:spacing w:after="40"/>
              <w:jc w:val="both"/>
            </w:pPr>
            <w:r>
              <w:rPr>
                <w:sz w:val="18"/>
                <w:szCs w:val="18"/>
              </w:rPr>
              <w:t>Regresión lineal y principio de mínimos cuadrados. (C, P)</w:t>
            </w:r>
          </w:p>
          <w:p w14:paraId="023862FE" w14:textId="77777777" w:rsidR="00990B14" w:rsidRDefault="00000000">
            <w:pPr>
              <w:spacing w:after="40"/>
              <w:jc w:val="both"/>
            </w:pPr>
            <w:r>
              <w:rPr>
                <w:sz w:val="18"/>
                <w:szCs w:val="18"/>
              </w:rPr>
              <w:t>Función lineal, parabólica, potencial y exponencial de regresión. (C, P)</w:t>
            </w:r>
          </w:p>
          <w:p w14:paraId="483A4DB7" w14:textId="77777777" w:rsidR="00990B14" w:rsidRDefault="00000000">
            <w:pPr>
              <w:spacing w:after="40"/>
              <w:jc w:val="both"/>
            </w:pPr>
            <w:r>
              <w:rPr>
                <w:sz w:val="18"/>
                <w:szCs w:val="18"/>
              </w:rPr>
              <w:t>Coeficiente de determinación y coeficiente de correlación. (C, P)</w:t>
            </w:r>
          </w:p>
          <w:p w14:paraId="7FC43C19" w14:textId="77777777" w:rsidR="00990B14" w:rsidRDefault="00000000">
            <w:pPr>
              <w:spacing w:after="40"/>
              <w:jc w:val="both"/>
            </w:pPr>
            <w:r>
              <w:rPr>
                <w:sz w:val="18"/>
                <w:szCs w:val="18"/>
              </w:rPr>
              <w:t>Supuestos y límites del modelo de regresión: correlación frente a causalidad, efecto de los valores atípicos y extrapolación fuera del rango observado. (C, A)</w:t>
            </w:r>
          </w:p>
          <w:p w14:paraId="26427B07" w14:textId="77777777" w:rsidR="00990B14" w:rsidRDefault="00000000">
            <w:pPr>
              <w:spacing w:after="40"/>
              <w:jc w:val="both"/>
            </w:pPr>
            <w:r>
              <w:rPr>
                <w:sz w:val="18"/>
                <w:szCs w:val="18"/>
              </w:rPr>
              <w:t>Aplicación de los programas SPSS, R y/o Python para el análisis de correlación y regresión; ejercicios de aplicación. (P, T)</w:t>
            </w:r>
          </w:p>
        </w:tc>
        <w:tc>
          <w:tcPr>
            <w:tcW w:w="2752" w:type="dxa"/>
            <w:gridSpan w:val="3"/>
            <w:shd w:val="clear" w:color="auto" w:fill="D9E2F3"/>
          </w:tcPr>
          <w:p w14:paraId="5F767D67" w14:textId="77777777" w:rsidR="00990B14" w:rsidRDefault="00000000">
            <w:pPr>
              <w:numPr>
                <w:ilvl w:val="0"/>
                <w:numId w:val="139"/>
              </w:numPr>
              <w:spacing w:before="10" w:after="10"/>
              <w:jc w:val="both"/>
            </w:pPr>
            <w:r>
              <w:rPr>
                <w:sz w:val="18"/>
                <w:szCs w:val="18"/>
              </w:rPr>
              <w:t>Uso de la ecuación de regresión lineal en la proyección de flujos de efectivo y de presupuestos.</w:t>
            </w:r>
          </w:p>
          <w:p w14:paraId="5FB5CBA8" w14:textId="77777777" w:rsidR="00990B14" w:rsidRDefault="00000000">
            <w:pPr>
              <w:numPr>
                <w:ilvl w:val="0"/>
                <w:numId w:val="139"/>
              </w:numPr>
              <w:spacing w:before="10" w:after="10"/>
              <w:jc w:val="both"/>
            </w:pPr>
            <w:r>
              <w:rPr>
                <w:sz w:val="18"/>
                <w:szCs w:val="18"/>
              </w:rPr>
              <w:t>Series estadísticas del Instituto Nacional de Estadística y del Banco Central de Bolivia para el análisis de correlación entre variables económicas.</w:t>
            </w:r>
          </w:p>
        </w:tc>
      </w:tr>
      <w:tr w:rsidR="00990B14" w14:paraId="0A717BA1" w14:textId="77777777">
        <w:trPr>
          <w:cantSplit/>
          <w:jc w:val="center"/>
        </w:trPr>
        <w:tc>
          <w:tcPr>
            <w:tcW w:w="9405" w:type="dxa"/>
            <w:gridSpan w:val="13"/>
            <w:shd w:val="clear" w:color="auto" w:fill="D9E2F3"/>
            <w:vAlign w:val="center"/>
          </w:tcPr>
          <w:p w14:paraId="709475A0" w14:textId="77777777" w:rsidR="00990B14" w:rsidRDefault="00000000">
            <w:pPr>
              <w:spacing w:before="20" w:after="20"/>
              <w:jc w:val="both"/>
            </w:pPr>
            <w:r>
              <w:rPr>
                <w:b/>
                <w:bCs/>
                <w:i/>
                <w:iCs/>
                <w:sz w:val="18"/>
                <w:szCs w:val="18"/>
              </w:rPr>
              <w:t xml:space="preserve">Elemento de competencia 3: </w:t>
            </w:r>
            <w:r>
              <w:rPr>
                <w:sz w:val="18"/>
                <w:szCs w:val="18"/>
              </w:rPr>
              <w:t>Aplica las propiedades de la probabilidad y los modelos probabilísticos discretos y continuos, calculando la media, la varianza y la desviación típica de una variable aleatoria.</w:t>
            </w:r>
          </w:p>
        </w:tc>
      </w:tr>
      <w:tr w:rsidR="00990B14" w14:paraId="61E877F4" w14:textId="77777777">
        <w:trPr>
          <w:cantSplit/>
          <w:jc w:val="center"/>
        </w:trPr>
        <w:tc>
          <w:tcPr>
            <w:tcW w:w="3133" w:type="dxa"/>
            <w:gridSpan w:val="4"/>
            <w:shd w:val="clear" w:color="auto" w:fill="4472C4"/>
            <w:vAlign w:val="center"/>
          </w:tcPr>
          <w:p w14:paraId="3EA096BF"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31C3ED43"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4471EEF1" w14:textId="77777777" w:rsidR="00990B14" w:rsidRDefault="00000000">
            <w:pPr>
              <w:keepNext/>
              <w:spacing w:before="20" w:after="20"/>
              <w:jc w:val="center"/>
            </w:pPr>
            <w:r>
              <w:rPr>
                <w:b/>
                <w:bCs/>
                <w:i/>
                <w:iCs/>
                <w:color w:val="FFFFFF"/>
                <w:sz w:val="18"/>
                <w:szCs w:val="18"/>
              </w:rPr>
              <w:t>Evidencias de producto</w:t>
            </w:r>
          </w:p>
        </w:tc>
      </w:tr>
      <w:tr w:rsidR="00990B14" w14:paraId="782F785D" w14:textId="77777777">
        <w:trPr>
          <w:cantSplit/>
          <w:jc w:val="center"/>
        </w:trPr>
        <w:tc>
          <w:tcPr>
            <w:tcW w:w="3133" w:type="dxa"/>
            <w:gridSpan w:val="4"/>
            <w:vMerge w:val="restart"/>
            <w:shd w:val="clear" w:color="auto" w:fill="D9E2F3"/>
            <w:vAlign w:val="center"/>
          </w:tcPr>
          <w:p w14:paraId="2E4EB4C4" w14:textId="77777777" w:rsidR="00990B14" w:rsidRDefault="00000000">
            <w:pPr>
              <w:spacing w:before="20" w:after="20"/>
              <w:jc w:val="both"/>
            </w:pPr>
            <w:r>
              <w:rPr>
                <w:sz w:val="18"/>
                <w:szCs w:val="18"/>
              </w:rPr>
              <w:t>1. Aplica las distribuciones de probabilidad discreta de los modelos probabilísticos de Bernoulli, binomial, geométrica, Poisson y normal a una variable aleatoria.</w:t>
            </w:r>
          </w:p>
        </w:tc>
        <w:tc>
          <w:tcPr>
            <w:tcW w:w="3135" w:type="dxa"/>
            <w:gridSpan w:val="5"/>
            <w:shd w:val="clear" w:color="auto" w:fill="D9E2F3"/>
            <w:vAlign w:val="center"/>
          </w:tcPr>
          <w:p w14:paraId="1C7996FA" w14:textId="77777777" w:rsidR="00990B14" w:rsidRDefault="00000000">
            <w:pPr>
              <w:spacing w:before="20" w:after="20"/>
              <w:jc w:val="both"/>
            </w:pPr>
            <w:r>
              <w:rPr>
                <w:sz w:val="18"/>
                <w:szCs w:val="18"/>
              </w:rPr>
              <w:t>1.1 Calcula en aula las probabilidades de variables aleatorias discretas tales como Binomial y Poisson.</w:t>
            </w:r>
          </w:p>
        </w:tc>
        <w:tc>
          <w:tcPr>
            <w:tcW w:w="3137" w:type="dxa"/>
            <w:gridSpan w:val="4"/>
            <w:shd w:val="clear" w:color="auto" w:fill="D9E2F3"/>
            <w:vAlign w:val="center"/>
          </w:tcPr>
          <w:p w14:paraId="7FA1AB24" w14:textId="77777777" w:rsidR="00990B14" w:rsidRDefault="00000000">
            <w:pPr>
              <w:spacing w:before="20" w:after="20"/>
              <w:jc w:val="both"/>
            </w:pPr>
            <w:r>
              <w:rPr>
                <w:b/>
                <w:bCs/>
                <w:sz w:val="18"/>
                <w:szCs w:val="18"/>
              </w:rPr>
              <w:t xml:space="preserve">Producto 9: </w:t>
            </w:r>
            <w:r>
              <w:rPr>
                <w:sz w:val="18"/>
                <w:szCs w:val="18"/>
              </w:rPr>
              <w:t>Distribución de probabilidad de una variable aleatoria discreta con su media y su varianza.</w:t>
            </w:r>
          </w:p>
        </w:tc>
      </w:tr>
      <w:tr w:rsidR="00990B14" w14:paraId="1AB8EBB4" w14:textId="77777777">
        <w:trPr>
          <w:cantSplit/>
          <w:jc w:val="center"/>
        </w:trPr>
        <w:tc>
          <w:tcPr>
            <w:tcW w:w="3133" w:type="dxa"/>
            <w:gridSpan w:val="4"/>
            <w:vMerge/>
            <w:shd w:val="clear" w:color="auto" w:fill="D9E2F3"/>
            <w:vAlign w:val="center"/>
          </w:tcPr>
          <w:p w14:paraId="50298464" w14:textId="77777777" w:rsidR="00990B14" w:rsidRDefault="00990B14">
            <w:pPr>
              <w:spacing w:before="20" w:after="20"/>
            </w:pPr>
          </w:p>
        </w:tc>
        <w:tc>
          <w:tcPr>
            <w:tcW w:w="3135" w:type="dxa"/>
            <w:gridSpan w:val="5"/>
            <w:shd w:val="clear" w:color="auto" w:fill="D9E2F3"/>
            <w:vAlign w:val="center"/>
          </w:tcPr>
          <w:p w14:paraId="63C8CCDD" w14:textId="77777777" w:rsidR="00990B14" w:rsidRDefault="00000000">
            <w:pPr>
              <w:spacing w:before="20" w:after="20"/>
              <w:jc w:val="both"/>
            </w:pPr>
            <w:r>
              <w:rPr>
                <w:sz w:val="18"/>
                <w:szCs w:val="18"/>
              </w:rPr>
              <w:t>1.2 Calcula en aula las probabilidades de variables aleatorias discretas tales como Geométrica, Pascal, Hipergeométrica, Normal estandarizada.</w:t>
            </w:r>
          </w:p>
        </w:tc>
        <w:tc>
          <w:tcPr>
            <w:tcW w:w="3137" w:type="dxa"/>
            <w:gridSpan w:val="4"/>
            <w:shd w:val="clear" w:color="auto" w:fill="D9E2F3"/>
            <w:vAlign w:val="center"/>
          </w:tcPr>
          <w:p w14:paraId="296820A4" w14:textId="77777777" w:rsidR="00990B14" w:rsidRDefault="00000000">
            <w:pPr>
              <w:spacing w:before="20" w:after="20"/>
              <w:jc w:val="both"/>
            </w:pPr>
            <w:r>
              <w:rPr>
                <w:b/>
                <w:bCs/>
                <w:sz w:val="18"/>
                <w:szCs w:val="18"/>
              </w:rPr>
              <w:t xml:space="preserve">Producto 10: </w:t>
            </w:r>
            <w:r>
              <w:rPr>
                <w:sz w:val="18"/>
                <w:szCs w:val="18"/>
              </w:rPr>
              <w:t>Distribución de probabilidad de una variable aleatoria continua con su media y su varianza.</w:t>
            </w:r>
          </w:p>
        </w:tc>
      </w:tr>
      <w:tr w:rsidR="00990B14" w14:paraId="29F3BC02" w14:textId="77777777">
        <w:trPr>
          <w:cantSplit/>
          <w:jc w:val="center"/>
        </w:trPr>
        <w:tc>
          <w:tcPr>
            <w:tcW w:w="3133" w:type="dxa"/>
            <w:gridSpan w:val="4"/>
            <w:vMerge w:val="restart"/>
            <w:shd w:val="clear" w:color="auto" w:fill="D9E2F3"/>
            <w:vAlign w:val="center"/>
          </w:tcPr>
          <w:p w14:paraId="43370DBD" w14:textId="77777777" w:rsidR="00990B14" w:rsidRDefault="00000000">
            <w:pPr>
              <w:spacing w:before="20" w:after="20"/>
              <w:jc w:val="both"/>
            </w:pPr>
            <w:r>
              <w:rPr>
                <w:sz w:val="18"/>
                <w:szCs w:val="18"/>
              </w:rPr>
              <w:t>2. Aplica el teorema de Bayes en diferentes campos en el área económica y financiera.</w:t>
            </w:r>
          </w:p>
        </w:tc>
        <w:tc>
          <w:tcPr>
            <w:tcW w:w="3135" w:type="dxa"/>
            <w:gridSpan w:val="5"/>
            <w:shd w:val="clear" w:color="auto" w:fill="D9E2F3"/>
            <w:vAlign w:val="center"/>
          </w:tcPr>
          <w:p w14:paraId="3216F217" w14:textId="77777777" w:rsidR="00990B14" w:rsidRDefault="00000000">
            <w:pPr>
              <w:spacing w:before="20" w:after="20"/>
              <w:jc w:val="both"/>
            </w:pPr>
            <w:r>
              <w:rPr>
                <w:sz w:val="18"/>
                <w:szCs w:val="18"/>
              </w:rPr>
              <w:t>2.1 Calcula en aula la probabilidad de eventos con el teorema de Bayes de un caso práctico.</w:t>
            </w:r>
          </w:p>
        </w:tc>
        <w:tc>
          <w:tcPr>
            <w:tcW w:w="3137" w:type="dxa"/>
            <w:gridSpan w:val="4"/>
            <w:shd w:val="clear" w:color="auto" w:fill="D9E2F3"/>
            <w:vAlign w:val="center"/>
          </w:tcPr>
          <w:p w14:paraId="35521B72" w14:textId="77777777" w:rsidR="00990B14" w:rsidRDefault="00000000">
            <w:pPr>
              <w:spacing w:before="20" w:after="20"/>
              <w:jc w:val="both"/>
            </w:pPr>
            <w:r>
              <w:rPr>
                <w:b/>
                <w:bCs/>
                <w:sz w:val="18"/>
                <w:szCs w:val="18"/>
              </w:rPr>
              <w:t xml:space="preserve">Producto 11: </w:t>
            </w:r>
            <w:r>
              <w:rPr>
                <w:sz w:val="18"/>
                <w:szCs w:val="18"/>
              </w:rPr>
              <w:t>Cálculo de probabilidades condicionales y del teorema de Bayes de un caso práctico.</w:t>
            </w:r>
          </w:p>
        </w:tc>
      </w:tr>
      <w:tr w:rsidR="00990B14" w14:paraId="2BA58BB2" w14:textId="77777777">
        <w:trPr>
          <w:cantSplit/>
          <w:jc w:val="center"/>
        </w:trPr>
        <w:tc>
          <w:tcPr>
            <w:tcW w:w="3133" w:type="dxa"/>
            <w:gridSpan w:val="4"/>
            <w:vMerge/>
            <w:shd w:val="clear" w:color="auto" w:fill="D9E2F3"/>
            <w:vAlign w:val="center"/>
          </w:tcPr>
          <w:p w14:paraId="0680592B" w14:textId="77777777" w:rsidR="00990B14" w:rsidRDefault="00990B14">
            <w:pPr>
              <w:spacing w:before="20" w:after="20"/>
            </w:pPr>
          </w:p>
        </w:tc>
        <w:tc>
          <w:tcPr>
            <w:tcW w:w="3135" w:type="dxa"/>
            <w:gridSpan w:val="5"/>
            <w:shd w:val="clear" w:color="auto" w:fill="D9E2F3"/>
            <w:vAlign w:val="center"/>
          </w:tcPr>
          <w:p w14:paraId="04E98231" w14:textId="77777777" w:rsidR="00990B14" w:rsidRDefault="00000000">
            <w:pPr>
              <w:spacing w:before="20" w:after="20"/>
              <w:jc w:val="both"/>
            </w:pPr>
            <w:r>
              <w:rPr>
                <w:sz w:val="18"/>
                <w:szCs w:val="18"/>
              </w:rPr>
              <w:t>2.2 Calcula en aula la aplicación del teorema de Bayes en el campo económico y financiero.</w:t>
            </w:r>
          </w:p>
        </w:tc>
        <w:tc>
          <w:tcPr>
            <w:tcW w:w="3137" w:type="dxa"/>
            <w:gridSpan w:val="4"/>
            <w:shd w:val="clear" w:color="auto" w:fill="D9E2F3"/>
            <w:vAlign w:val="center"/>
          </w:tcPr>
          <w:p w14:paraId="0D3454CA" w14:textId="77777777" w:rsidR="00990B14" w:rsidRDefault="00000000">
            <w:pPr>
              <w:spacing w:before="20" w:after="20"/>
              <w:jc w:val="both"/>
            </w:pPr>
            <w:r>
              <w:rPr>
                <w:b/>
                <w:bCs/>
                <w:sz w:val="18"/>
                <w:szCs w:val="18"/>
              </w:rPr>
              <w:t xml:space="preserve">Producto 12: </w:t>
            </w:r>
            <w:r>
              <w:rPr>
                <w:sz w:val="18"/>
                <w:szCs w:val="18"/>
              </w:rPr>
              <w:t>Informe de aplicación de un modelo probabilístico a un caso de la profesión contable.</w:t>
            </w:r>
          </w:p>
        </w:tc>
      </w:tr>
      <w:tr w:rsidR="00990B14" w14:paraId="068BE7F7" w14:textId="77777777">
        <w:trPr>
          <w:cantSplit/>
          <w:jc w:val="center"/>
        </w:trPr>
        <w:tc>
          <w:tcPr>
            <w:tcW w:w="9405" w:type="dxa"/>
            <w:gridSpan w:val="13"/>
            <w:shd w:val="clear" w:color="auto" w:fill="4472C4"/>
            <w:vAlign w:val="center"/>
          </w:tcPr>
          <w:p w14:paraId="08ECFBFE" w14:textId="77777777" w:rsidR="00990B14" w:rsidRDefault="00000000">
            <w:pPr>
              <w:keepNext/>
              <w:spacing w:before="20" w:after="20"/>
              <w:jc w:val="center"/>
            </w:pPr>
            <w:r>
              <w:rPr>
                <w:b/>
                <w:bCs/>
                <w:i/>
                <w:iCs/>
                <w:color w:val="FFFFFF"/>
                <w:sz w:val="18"/>
                <w:szCs w:val="18"/>
              </w:rPr>
              <w:t>Evidencias de conocimiento</w:t>
            </w:r>
          </w:p>
        </w:tc>
      </w:tr>
      <w:tr w:rsidR="00990B14" w14:paraId="382B0E3A" w14:textId="77777777">
        <w:trPr>
          <w:cantSplit/>
          <w:jc w:val="center"/>
        </w:trPr>
        <w:tc>
          <w:tcPr>
            <w:tcW w:w="2349" w:type="dxa"/>
            <w:gridSpan w:val="2"/>
            <w:shd w:val="clear" w:color="auto" w:fill="4472C4"/>
            <w:vAlign w:val="center"/>
          </w:tcPr>
          <w:p w14:paraId="404E940C"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2192555F" w14:textId="77777777" w:rsidR="00990B14" w:rsidRDefault="00000000">
            <w:pPr>
              <w:keepNext/>
              <w:spacing w:before="20" w:after="20"/>
              <w:jc w:val="both"/>
            </w:pPr>
            <w:r>
              <w:rPr>
                <w:b/>
                <w:bCs/>
                <w:i/>
                <w:iCs/>
                <w:color w:val="FFFFFF"/>
                <w:sz w:val="18"/>
                <w:szCs w:val="18"/>
              </w:rPr>
              <w:t>Contenidos</w:t>
            </w:r>
          </w:p>
          <w:p w14:paraId="05E1DC28"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44C79850" w14:textId="77777777" w:rsidR="00990B14" w:rsidRDefault="00000000">
            <w:pPr>
              <w:keepNext/>
              <w:spacing w:before="20" w:after="20"/>
              <w:jc w:val="center"/>
            </w:pPr>
            <w:r>
              <w:rPr>
                <w:b/>
                <w:bCs/>
                <w:i/>
                <w:iCs/>
                <w:color w:val="FFFFFF"/>
                <w:sz w:val="18"/>
                <w:szCs w:val="18"/>
              </w:rPr>
              <w:t>Conocimientos circunstanciales</w:t>
            </w:r>
          </w:p>
        </w:tc>
      </w:tr>
      <w:tr w:rsidR="00990B14" w14:paraId="6CFF60E4" w14:textId="77777777">
        <w:trPr>
          <w:jc w:val="center"/>
        </w:trPr>
        <w:tc>
          <w:tcPr>
            <w:tcW w:w="2349" w:type="dxa"/>
            <w:gridSpan w:val="2"/>
            <w:shd w:val="clear" w:color="auto" w:fill="D9E2F3"/>
          </w:tcPr>
          <w:p w14:paraId="66CDA6C0" w14:textId="77777777" w:rsidR="00990B14" w:rsidRDefault="00000000">
            <w:pPr>
              <w:spacing w:before="20" w:after="40"/>
              <w:jc w:val="both"/>
            </w:pPr>
            <w:r>
              <w:rPr>
                <w:sz w:val="18"/>
                <w:szCs w:val="18"/>
              </w:rPr>
              <w:t>Tema 6: Probabilidades</w:t>
            </w:r>
          </w:p>
          <w:p w14:paraId="7A83123A" w14:textId="77777777" w:rsidR="00990B14" w:rsidRDefault="00000000">
            <w:pPr>
              <w:spacing w:before="20" w:after="40"/>
              <w:jc w:val="both"/>
            </w:pPr>
            <w:r>
              <w:rPr>
                <w:sz w:val="18"/>
                <w:szCs w:val="18"/>
              </w:rPr>
              <w:t>Tema 7: Variables Aleatorias y Modelos Probabilísticos</w:t>
            </w:r>
          </w:p>
        </w:tc>
        <w:tc>
          <w:tcPr>
            <w:tcW w:w="4304" w:type="dxa"/>
            <w:gridSpan w:val="8"/>
            <w:shd w:val="clear" w:color="auto" w:fill="D9E2F3"/>
          </w:tcPr>
          <w:p w14:paraId="115F2C4A" w14:textId="77777777" w:rsidR="00990B14" w:rsidRDefault="00000000">
            <w:pPr>
              <w:spacing w:after="40"/>
              <w:jc w:val="both"/>
            </w:pPr>
            <w:r>
              <w:rPr>
                <w:sz w:val="18"/>
                <w:szCs w:val="18"/>
              </w:rPr>
              <w:t>Definición de probabilidad clásica y axiomática; sus propiedades. (C)</w:t>
            </w:r>
          </w:p>
          <w:p w14:paraId="0B32D80C" w14:textId="77777777" w:rsidR="00990B14" w:rsidRDefault="00000000">
            <w:pPr>
              <w:spacing w:after="40"/>
              <w:jc w:val="both"/>
            </w:pPr>
            <w:r>
              <w:rPr>
                <w:sz w:val="18"/>
                <w:szCs w:val="18"/>
              </w:rPr>
              <w:t>Probabilidad condicional y marginal; teorema de la multiplicación. (C, P)</w:t>
            </w:r>
          </w:p>
          <w:p w14:paraId="3896EA93" w14:textId="77777777" w:rsidR="00990B14" w:rsidRDefault="00000000">
            <w:pPr>
              <w:spacing w:after="40"/>
              <w:jc w:val="both"/>
            </w:pPr>
            <w:r>
              <w:rPr>
                <w:sz w:val="18"/>
                <w:szCs w:val="18"/>
              </w:rPr>
              <w:t>Partición de un espacio muestral y probabilidad total; teorema de Bayes. (C, P)</w:t>
            </w:r>
          </w:p>
          <w:p w14:paraId="10B1D54F" w14:textId="77777777" w:rsidR="00990B14" w:rsidRDefault="00000000">
            <w:pPr>
              <w:spacing w:after="40"/>
              <w:jc w:val="both"/>
            </w:pPr>
            <w:r>
              <w:rPr>
                <w:sz w:val="18"/>
                <w:szCs w:val="18"/>
              </w:rPr>
              <w:t>Eventos independientes y sus teoremas; ejercicios de aplicación. (C, P)</w:t>
            </w:r>
          </w:p>
          <w:p w14:paraId="1150EB41" w14:textId="77777777" w:rsidR="00990B14" w:rsidRDefault="00000000">
            <w:pPr>
              <w:spacing w:after="40"/>
              <w:jc w:val="both"/>
            </w:pPr>
            <w:r>
              <w:rPr>
                <w:sz w:val="18"/>
                <w:szCs w:val="18"/>
              </w:rPr>
              <w:t>Definición de variable aleatoria y función de probabilidad. (C)</w:t>
            </w:r>
          </w:p>
          <w:p w14:paraId="685DCEE3" w14:textId="77777777" w:rsidR="00990B14" w:rsidRDefault="00000000">
            <w:pPr>
              <w:spacing w:after="40"/>
              <w:jc w:val="both"/>
            </w:pPr>
            <w:r>
              <w:rPr>
                <w:sz w:val="18"/>
                <w:szCs w:val="18"/>
              </w:rPr>
              <w:t>Distribución de probabilidad de una variable aleatoria discreta; media, varianza y desviación típica. (C, P)</w:t>
            </w:r>
          </w:p>
          <w:p w14:paraId="71D6D618" w14:textId="77777777" w:rsidR="00990B14" w:rsidRDefault="00000000">
            <w:pPr>
              <w:spacing w:after="40"/>
              <w:jc w:val="both"/>
            </w:pPr>
            <w:r>
              <w:rPr>
                <w:sz w:val="18"/>
                <w:szCs w:val="18"/>
              </w:rPr>
              <w:t>Distribución de probabilidad discreta: Bernoulli, binomial, geométrica y Poisson. (C, P)</w:t>
            </w:r>
          </w:p>
          <w:p w14:paraId="59E04BAE" w14:textId="77777777" w:rsidR="00990B14" w:rsidRDefault="00000000">
            <w:pPr>
              <w:spacing w:after="40"/>
              <w:jc w:val="both"/>
            </w:pPr>
            <w:r>
              <w:rPr>
                <w:sz w:val="18"/>
                <w:szCs w:val="18"/>
              </w:rPr>
              <w:t>Distribución de probabilidad continua: distribución normal y sus propiedades; ejercicios de aplicación. (C, P)</w:t>
            </w:r>
          </w:p>
          <w:p w14:paraId="0CC440E2" w14:textId="77777777" w:rsidR="00990B14" w:rsidRDefault="00000000">
            <w:pPr>
              <w:spacing w:after="40"/>
              <w:jc w:val="both"/>
            </w:pPr>
            <w:r>
              <w:rPr>
                <w:sz w:val="18"/>
                <w:szCs w:val="18"/>
              </w:rPr>
              <w:t>Modelos de probabilidad en la detección de irregularidades: frecuencia esperada de los dígitos y pruebas de razonabilidad sobre bases de datos completas. (C, P)</w:t>
            </w:r>
          </w:p>
        </w:tc>
        <w:tc>
          <w:tcPr>
            <w:tcW w:w="2752" w:type="dxa"/>
            <w:gridSpan w:val="3"/>
            <w:shd w:val="clear" w:color="auto" w:fill="D9E2F3"/>
          </w:tcPr>
          <w:p w14:paraId="5FF9DC71" w14:textId="77777777" w:rsidR="00990B14" w:rsidRDefault="00000000">
            <w:pPr>
              <w:numPr>
                <w:ilvl w:val="0"/>
                <w:numId w:val="139"/>
              </w:numPr>
              <w:spacing w:before="10" w:after="10"/>
              <w:jc w:val="both"/>
            </w:pPr>
            <w:r>
              <w:rPr>
                <w:sz w:val="18"/>
                <w:szCs w:val="18"/>
              </w:rPr>
              <w:t>Aplicación del teorema de Bayes y los modelos probabilísticos en contabilidad.</w:t>
            </w:r>
          </w:p>
          <w:p w14:paraId="0F8AB9B0" w14:textId="77777777" w:rsidR="00990B14" w:rsidRDefault="00000000">
            <w:pPr>
              <w:numPr>
                <w:ilvl w:val="0"/>
                <w:numId w:val="139"/>
              </w:numPr>
              <w:spacing w:before="10" w:after="10"/>
              <w:jc w:val="both"/>
            </w:pPr>
            <w:r>
              <w:rPr>
                <w:sz w:val="18"/>
                <w:szCs w:val="18"/>
              </w:rPr>
              <w:t>Uso de la distribución normal en el análisis de datos financieros de empresas bolivianas.</w:t>
            </w:r>
          </w:p>
          <w:p w14:paraId="58025839" w14:textId="77777777" w:rsidR="00990B14" w:rsidRDefault="00000000">
            <w:pPr>
              <w:numPr>
                <w:ilvl w:val="0"/>
                <w:numId w:val="139"/>
              </w:numPr>
              <w:spacing w:before="10" w:after="10"/>
              <w:jc w:val="both"/>
            </w:pPr>
            <w:r>
              <w:rPr>
                <w:sz w:val="18"/>
                <w:szCs w:val="18"/>
              </w:rPr>
              <w:t>Aplicaciones de la variable aleatoria en la teoría de juegos.</w:t>
            </w:r>
          </w:p>
        </w:tc>
      </w:tr>
      <w:tr w:rsidR="00990B14" w14:paraId="360F9075" w14:textId="77777777">
        <w:trPr>
          <w:cantSplit/>
          <w:jc w:val="center"/>
        </w:trPr>
        <w:tc>
          <w:tcPr>
            <w:tcW w:w="9405" w:type="dxa"/>
            <w:gridSpan w:val="13"/>
            <w:shd w:val="clear" w:color="auto" w:fill="D9E2F3"/>
            <w:vAlign w:val="center"/>
          </w:tcPr>
          <w:p w14:paraId="1C34F108" w14:textId="77777777" w:rsidR="00990B14" w:rsidRDefault="00000000">
            <w:pPr>
              <w:spacing w:before="20" w:after="20"/>
              <w:jc w:val="both"/>
            </w:pPr>
            <w:r>
              <w:rPr>
                <w:b/>
                <w:bCs/>
                <w:i/>
                <w:iCs/>
                <w:sz w:val="18"/>
                <w:szCs w:val="18"/>
              </w:rPr>
              <w:t xml:space="preserve">Elemento de competencia 4: </w:t>
            </w:r>
            <w:r>
              <w:rPr>
                <w:sz w:val="18"/>
                <w:szCs w:val="18"/>
              </w:rPr>
              <w:t>Determina el tamaño y la asignación de una muestra aleatoria simple, estratificada, sistemática o por conglomerados, calculando la distribución muestral de la media y de la proporción poblacional en cada caso.</w:t>
            </w:r>
          </w:p>
        </w:tc>
      </w:tr>
      <w:tr w:rsidR="00990B14" w14:paraId="53645AE0" w14:textId="77777777">
        <w:trPr>
          <w:cantSplit/>
          <w:jc w:val="center"/>
        </w:trPr>
        <w:tc>
          <w:tcPr>
            <w:tcW w:w="3133" w:type="dxa"/>
            <w:gridSpan w:val="4"/>
            <w:shd w:val="clear" w:color="auto" w:fill="4472C4"/>
            <w:vAlign w:val="center"/>
          </w:tcPr>
          <w:p w14:paraId="0E259619"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52FBFC65"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280E9B30" w14:textId="77777777" w:rsidR="00990B14" w:rsidRDefault="00000000">
            <w:pPr>
              <w:keepNext/>
              <w:spacing w:before="20" w:after="20"/>
              <w:jc w:val="center"/>
            </w:pPr>
            <w:r>
              <w:rPr>
                <w:b/>
                <w:bCs/>
                <w:i/>
                <w:iCs/>
                <w:color w:val="FFFFFF"/>
                <w:sz w:val="18"/>
                <w:szCs w:val="18"/>
              </w:rPr>
              <w:t>Evidencias de producto</w:t>
            </w:r>
          </w:p>
        </w:tc>
      </w:tr>
      <w:tr w:rsidR="00990B14" w14:paraId="5EFB4E9D" w14:textId="77777777">
        <w:trPr>
          <w:cantSplit/>
          <w:jc w:val="center"/>
        </w:trPr>
        <w:tc>
          <w:tcPr>
            <w:tcW w:w="3133" w:type="dxa"/>
            <w:gridSpan w:val="4"/>
            <w:vMerge w:val="restart"/>
            <w:shd w:val="clear" w:color="auto" w:fill="D9E2F3"/>
            <w:vAlign w:val="center"/>
          </w:tcPr>
          <w:p w14:paraId="4BFF266E" w14:textId="77777777" w:rsidR="00990B14" w:rsidRDefault="00000000">
            <w:pPr>
              <w:spacing w:before="20" w:after="20"/>
              <w:jc w:val="both"/>
            </w:pPr>
            <w:r>
              <w:rPr>
                <w:sz w:val="18"/>
                <w:szCs w:val="18"/>
              </w:rPr>
              <w:t>1. Identifica los métodos de muestreo irrestricto aleatorio, sistemático, estratificado y por conglomerados.</w:t>
            </w:r>
          </w:p>
        </w:tc>
        <w:tc>
          <w:tcPr>
            <w:tcW w:w="3135" w:type="dxa"/>
            <w:gridSpan w:val="5"/>
            <w:shd w:val="clear" w:color="auto" w:fill="D9E2F3"/>
            <w:vAlign w:val="center"/>
          </w:tcPr>
          <w:p w14:paraId="167228C0" w14:textId="77777777" w:rsidR="00990B14" w:rsidRDefault="00000000">
            <w:pPr>
              <w:spacing w:before="20" w:after="20"/>
              <w:jc w:val="both"/>
            </w:pPr>
            <w:r>
              <w:rPr>
                <w:sz w:val="18"/>
                <w:szCs w:val="18"/>
              </w:rPr>
              <w:t>1.1 Calcula muestras aleatorias simples, estratificadas y por conglomerados con el uso de paquetes como SPSS, R o Python.</w:t>
            </w:r>
          </w:p>
        </w:tc>
        <w:tc>
          <w:tcPr>
            <w:tcW w:w="3137" w:type="dxa"/>
            <w:gridSpan w:val="4"/>
            <w:shd w:val="clear" w:color="auto" w:fill="D9E2F3"/>
            <w:vAlign w:val="center"/>
          </w:tcPr>
          <w:p w14:paraId="3491F89C" w14:textId="77777777" w:rsidR="00990B14" w:rsidRDefault="00000000">
            <w:pPr>
              <w:spacing w:before="20" w:after="20"/>
              <w:jc w:val="both"/>
            </w:pPr>
            <w:r>
              <w:rPr>
                <w:b/>
                <w:bCs/>
                <w:sz w:val="18"/>
                <w:szCs w:val="18"/>
              </w:rPr>
              <w:t xml:space="preserve">Producto 13: </w:t>
            </w:r>
            <w:r>
              <w:rPr>
                <w:sz w:val="18"/>
                <w:szCs w:val="18"/>
              </w:rPr>
              <w:t>Cálculo de las muestras aleatorias simples, estratificadas, sistemáticas, o por conglomerados de poblaciones grandes, obtenidas mediante el uso de programa de Excel.</w:t>
            </w:r>
          </w:p>
        </w:tc>
      </w:tr>
      <w:tr w:rsidR="00990B14" w14:paraId="4AE9A175" w14:textId="77777777">
        <w:trPr>
          <w:cantSplit/>
          <w:jc w:val="center"/>
        </w:trPr>
        <w:tc>
          <w:tcPr>
            <w:tcW w:w="3133" w:type="dxa"/>
            <w:gridSpan w:val="4"/>
            <w:vMerge/>
            <w:shd w:val="clear" w:color="auto" w:fill="D9E2F3"/>
            <w:vAlign w:val="center"/>
          </w:tcPr>
          <w:p w14:paraId="6A03C3FC" w14:textId="77777777" w:rsidR="00990B14" w:rsidRDefault="00990B14">
            <w:pPr>
              <w:spacing w:before="20" w:after="20"/>
            </w:pPr>
          </w:p>
        </w:tc>
        <w:tc>
          <w:tcPr>
            <w:tcW w:w="3135" w:type="dxa"/>
            <w:gridSpan w:val="5"/>
            <w:shd w:val="clear" w:color="auto" w:fill="D9E2F3"/>
            <w:vAlign w:val="center"/>
          </w:tcPr>
          <w:p w14:paraId="2D828A6B" w14:textId="77777777" w:rsidR="00990B14" w:rsidRDefault="00000000">
            <w:pPr>
              <w:spacing w:before="20" w:after="20"/>
              <w:jc w:val="both"/>
            </w:pPr>
            <w:r>
              <w:rPr>
                <w:sz w:val="18"/>
                <w:szCs w:val="18"/>
              </w:rPr>
              <w:t>1.2 Interpreta y distingue los distintos tipos de muestras obtenidas con el uso de los paquetes como SPSS, R o Python.</w:t>
            </w:r>
          </w:p>
        </w:tc>
        <w:tc>
          <w:tcPr>
            <w:tcW w:w="3137" w:type="dxa"/>
            <w:gridSpan w:val="4"/>
            <w:shd w:val="clear" w:color="auto" w:fill="D9E2F3"/>
            <w:vAlign w:val="center"/>
          </w:tcPr>
          <w:p w14:paraId="0404E59E" w14:textId="77777777" w:rsidR="00990B14" w:rsidRDefault="00000000">
            <w:pPr>
              <w:spacing w:before="20" w:after="20"/>
              <w:jc w:val="both"/>
            </w:pPr>
            <w:r>
              <w:rPr>
                <w:b/>
                <w:bCs/>
                <w:sz w:val="18"/>
                <w:szCs w:val="18"/>
              </w:rPr>
              <w:t xml:space="preserve">Producto 14: </w:t>
            </w:r>
            <w:r>
              <w:rPr>
                <w:sz w:val="18"/>
                <w:szCs w:val="18"/>
              </w:rPr>
              <w:t>Cálculo de límites de error de estimación al determinar los tamaños de muestras aleatorias simples, estratificadas y por conglomerados.</w:t>
            </w:r>
          </w:p>
        </w:tc>
      </w:tr>
      <w:tr w:rsidR="00990B14" w14:paraId="51676332" w14:textId="77777777">
        <w:trPr>
          <w:cantSplit/>
          <w:jc w:val="center"/>
        </w:trPr>
        <w:tc>
          <w:tcPr>
            <w:tcW w:w="3133" w:type="dxa"/>
            <w:gridSpan w:val="4"/>
            <w:vMerge w:val="restart"/>
            <w:shd w:val="clear" w:color="auto" w:fill="D9E2F3"/>
            <w:vAlign w:val="center"/>
          </w:tcPr>
          <w:p w14:paraId="7FE3F525" w14:textId="77777777" w:rsidR="00990B14" w:rsidRDefault="00000000">
            <w:pPr>
              <w:spacing w:before="20" w:after="20"/>
              <w:jc w:val="both"/>
            </w:pPr>
            <w:r>
              <w:rPr>
                <w:sz w:val="18"/>
                <w:szCs w:val="18"/>
              </w:rPr>
              <w:t>2. Determina el tamaño y la asignación de una muestra según el método de muestreo seleccionado.</w:t>
            </w:r>
          </w:p>
        </w:tc>
        <w:tc>
          <w:tcPr>
            <w:tcW w:w="3135" w:type="dxa"/>
            <w:gridSpan w:val="5"/>
            <w:shd w:val="clear" w:color="auto" w:fill="D9E2F3"/>
            <w:vAlign w:val="center"/>
          </w:tcPr>
          <w:p w14:paraId="67407F01" w14:textId="77777777" w:rsidR="00990B14" w:rsidRDefault="00000000">
            <w:pPr>
              <w:spacing w:before="20" w:after="20"/>
              <w:jc w:val="both"/>
            </w:pPr>
            <w:r>
              <w:rPr>
                <w:sz w:val="18"/>
                <w:szCs w:val="18"/>
              </w:rPr>
              <w:t>2.1 Determina en aula el tamaño y la asignación de una muestra de un caso práctico.</w:t>
            </w:r>
          </w:p>
        </w:tc>
        <w:tc>
          <w:tcPr>
            <w:tcW w:w="3137" w:type="dxa"/>
            <w:gridSpan w:val="4"/>
            <w:shd w:val="clear" w:color="auto" w:fill="D9E2F3"/>
            <w:vAlign w:val="center"/>
          </w:tcPr>
          <w:p w14:paraId="30553F3A" w14:textId="77777777" w:rsidR="00990B14" w:rsidRDefault="00000000">
            <w:pPr>
              <w:spacing w:before="20" w:after="20"/>
              <w:jc w:val="both"/>
            </w:pPr>
            <w:r>
              <w:rPr>
                <w:b/>
                <w:bCs/>
                <w:sz w:val="18"/>
                <w:szCs w:val="18"/>
              </w:rPr>
              <w:t xml:space="preserve">Producto 15: </w:t>
            </w:r>
            <w:r>
              <w:rPr>
                <w:sz w:val="18"/>
                <w:szCs w:val="18"/>
              </w:rPr>
              <w:t>Cálculo del tamaño y la asignación de una muestra de un caso práctico en contabilidad.</w:t>
            </w:r>
          </w:p>
        </w:tc>
      </w:tr>
      <w:tr w:rsidR="00990B14" w14:paraId="08C57B28" w14:textId="77777777">
        <w:trPr>
          <w:cantSplit/>
          <w:jc w:val="center"/>
        </w:trPr>
        <w:tc>
          <w:tcPr>
            <w:tcW w:w="3133" w:type="dxa"/>
            <w:gridSpan w:val="4"/>
            <w:vMerge/>
            <w:shd w:val="clear" w:color="auto" w:fill="D9E2F3"/>
            <w:vAlign w:val="center"/>
          </w:tcPr>
          <w:p w14:paraId="065547D0" w14:textId="77777777" w:rsidR="00990B14" w:rsidRDefault="00990B14">
            <w:pPr>
              <w:spacing w:before="20" w:after="20"/>
            </w:pPr>
          </w:p>
        </w:tc>
        <w:tc>
          <w:tcPr>
            <w:tcW w:w="3135" w:type="dxa"/>
            <w:gridSpan w:val="5"/>
            <w:shd w:val="clear" w:color="auto" w:fill="D9E2F3"/>
            <w:vAlign w:val="center"/>
          </w:tcPr>
          <w:p w14:paraId="10B0B774" w14:textId="77777777" w:rsidR="00990B14" w:rsidRDefault="00000000">
            <w:pPr>
              <w:spacing w:before="20" w:after="20"/>
              <w:jc w:val="both"/>
            </w:pPr>
            <w:r>
              <w:rPr>
                <w:sz w:val="18"/>
                <w:szCs w:val="18"/>
              </w:rPr>
              <w:t>2.2 Valora los tamaños de muestras seleccionados mediante los diferentes métodos de muestreo estadístico en base a sus niveles de significancia de cada modelo.</w:t>
            </w:r>
          </w:p>
        </w:tc>
        <w:tc>
          <w:tcPr>
            <w:tcW w:w="3137" w:type="dxa"/>
            <w:gridSpan w:val="4"/>
            <w:shd w:val="clear" w:color="auto" w:fill="D9E2F3"/>
            <w:vAlign w:val="center"/>
          </w:tcPr>
          <w:p w14:paraId="667A9C27" w14:textId="77777777" w:rsidR="00990B14" w:rsidRDefault="00000000">
            <w:pPr>
              <w:spacing w:before="20" w:after="20"/>
              <w:jc w:val="both"/>
            </w:pPr>
            <w:r>
              <w:rPr>
                <w:b/>
                <w:bCs/>
                <w:sz w:val="18"/>
                <w:szCs w:val="18"/>
              </w:rPr>
              <w:t xml:space="preserve">Producto 16: </w:t>
            </w:r>
            <w:r>
              <w:rPr>
                <w:sz w:val="18"/>
                <w:szCs w:val="18"/>
              </w:rPr>
              <w:t>Informe acerca de los niveles de significancia aplicados al determinar los tamaños de muestra obtenidos por cualquier método de muestreo utilizado.</w:t>
            </w:r>
          </w:p>
        </w:tc>
      </w:tr>
      <w:tr w:rsidR="00990B14" w14:paraId="2DAFBDEA" w14:textId="77777777">
        <w:trPr>
          <w:cantSplit/>
          <w:jc w:val="center"/>
        </w:trPr>
        <w:tc>
          <w:tcPr>
            <w:tcW w:w="9405" w:type="dxa"/>
            <w:gridSpan w:val="13"/>
            <w:shd w:val="clear" w:color="auto" w:fill="4472C4"/>
            <w:vAlign w:val="center"/>
          </w:tcPr>
          <w:p w14:paraId="1B127218" w14:textId="77777777" w:rsidR="00990B14" w:rsidRDefault="00000000">
            <w:pPr>
              <w:keepNext/>
              <w:spacing w:before="20" w:after="20"/>
              <w:jc w:val="center"/>
            </w:pPr>
            <w:r>
              <w:rPr>
                <w:b/>
                <w:bCs/>
                <w:i/>
                <w:iCs/>
                <w:color w:val="FFFFFF"/>
                <w:sz w:val="18"/>
                <w:szCs w:val="18"/>
              </w:rPr>
              <w:t>Evidencias de conocimiento</w:t>
            </w:r>
          </w:p>
        </w:tc>
      </w:tr>
      <w:tr w:rsidR="00990B14" w14:paraId="5BF544A8" w14:textId="77777777">
        <w:trPr>
          <w:cantSplit/>
          <w:jc w:val="center"/>
        </w:trPr>
        <w:tc>
          <w:tcPr>
            <w:tcW w:w="2349" w:type="dxa"/>
            <w:gridSpan w:val="2"/>
            <w:shd w:val="clear" w:color="auto" w:fill="4472C4"/>
            <w:vAlign w:val="center"/>
          </w:tcPr>
          <w:p w14:paraId="4A158084"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35F01EDF" w14:textId="77777777" w:rsidR="00990B14" w:rsidRDefault="00000000">
            <w:pPr>
              <w:keepNext/>
              <w:spacing w:before="20" w:after="20"/>
              <w:jc w:val="both"/>
            </w:pPr>
            <w:r>
              <w:rPr>
                <w:b/>
                <w:bCs/>
                <w:i/>
                <w:iCs/>
                <w:color w:val="FFFFFF"/>
                <w:sz w:val="18"/>
                <w:szCs w:val="18"/>
              </w:rPr>
              <w:t>Contenidos</w:t>
            </w:r>
          </w:p>
          <w:p w14:paraId="57DD1F76"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590CD286" w14:textId="77777777" w:rsidR="00990B14" w:rsidRDefault="00000000">
            <w:pPr>
              <w:keepNext/>
              <w:spacing w:before="20" w:after="20"/>
              <w:jc w:val="center"/>
            </w:pPr>
            <w:r>
              <w:rPr>
                <w:b/>
                <w:bCs/>
                <w:i/>
                <w:iCs/>
                <w:color w:val="FFFFFF"/>
                <w:sz w:val="18"/>
                <w:szCs w:val="18"/>
              </w:rPr>
              <w:t>Conocimientos circunstanciales</w:t>
            </w:r>
          </w:p>
        </w:tc>
      </w:tr>
      <w:tr w:rsidR="00990B14" w14:paraId="2F054C38" w14:textId="77777777">
        <w:trPr>
          <w:jc w:val="center"/>
        </w:trPr>
        <w:tc>
          <w:tcPr>
            <w:tcW w:w="2349" w:type="dxa"/>
            <w:gridSpan w:val="2"/>
            <w:shd w:val="clear" w:color="auto" w:fill="D9E2F3"/>
          </w:tcPr>
          <w:p w14:paraId="6B57C309" w14:textId="77777777" w:rsidR="00990B14" w:rsidRDefault="00000000">
            <w:pPr>
              <w:spacing w:before="20" w:after="40"/>
              <w:jc w:val="both"/>
            </w:pPr>
            <w:r>
              <w:rPr>
                <w:sz w:val="18"/>
                <w:szCs w:val="18"/>
              </w:rPr>
              <w:t>Tema 8: Tipos y Técnicas de Muestreo</w:t>
            </w:r>
          </w:p>
          <w:p w14:paraId="20E22097" w14:textId="77777777" w:rsidR="00990B14" w:rsidRDefault="00000000">
            <w:pPr>
              <w:spacing w:before="20" w:after="40"/>
              <w:jc w:val="both"/>
            </w:pPr>
            <w:r>
              <w:rPr>
                <w:sz w:val="18"/>
                <w:szCs w:val="18"/>
              </w:rPr>
              <w:t>Tema 9: Muestreo de Atributos</w:t>
            </w:r>
          </w:p>
          <w:p w14:paraId="1E08FF20" w14:textId="77777777" w:rsidR="00990B14" w:rsidRDefault="00000000">
            <w:pPr>
              <w:spacing w:before="20" w:after="40"/>
              <w:jc w:val="both"/>
            </w:pPr>
            <w:r>
              <w:rPr>
                <w:sz w:val="18"/>
                <w:szCs w:val="18"/>
              </w:rPr>
              <w:t>Tema 10: Muestreo de Variables</w:t>
            </w:r>
          </w:p>
        </w:tc>
        <w:tc>
          <w:tcPr>
            <w:tcW w:w="4304" w:type="dxa"/>
            <w:gridSpan w:val="8"/>
            <w:shd w:val="clear" w:color="auto" w:fill="D9E2F3"/>
          </w:tcPr>
          <w:p w14:paraId="5A301FED" w14:textId="77777777" w:rsidR="00990B14" w:rsidRDefault="00000000">
            <w:pPr>
              <w:spacing w:after="40"/>
              <w:jc w:val="both"/>
            </w:pPr>
            <w:r>
              <w:rPr>
                <w:sz w:val="18"/>
                <w:szCs w:val="18"/>
              </w:rPr>
              <w:t>Distribución muestral de la media y de la proporción. (C, P)</w:t>
            </w:r>
          </w:p>
          <w:p w14:paraId="0345B4DF" w14:textId="77777777" w:rsidR="00990B14" w:rsidRDefault="00000000">
            <w:pPr>
              <w:spacing w:after="40"/>
              <w:jc w:val="both"/>
            </w:pPr>
            <w:r>
              <w:rPr>
                <w:sz w:val="18"/>
                <w:szCs w:val="18"/>
              </w:rPr>
              <w:t>La varianza en poblaciones finitas e infinitas. (C, P)</w:t>
            </w:r>
          </w:p>
          <w:p w14:paraId="24388676" w14:textId="77777777" w:rsidR="00990B14" w:rsidRDefault="00000000">
            <w:pPr>
              <w:spacing w:after="40"/>
              <w:jc w:val="both"/>
            </w:pPr>
            <w:r>
              <w:rPr>
                <w:sz w:val="18"/>
                <w:szCs w:val="18"/>
              </w:rPr>
              <w:t>Estimación de medias y proporciones poblacionales. (C, P)</w:t>
            </w:r>
          </w:p>
          <w:p w14:paraId="278B203B" w14:textId="77777777" w:rsidR="00990B14" w:rsidRDefault="00000000">
            <w:pPr>
              <w:spacing w:after="40"/>
              <w:jc w:val="both"/>
            </w:pPr>
            <w:r>
              <w:rPr>
                <w:sz w:val="18"/>
                <w:szCs w:val="18"/>
              </w:rPr>
              <w:t>Determinación y selección del tamaño y la asignación de la muestra; ejercicios de aplicación. (C, P)</w:t>
            </w:r>
          </w:p>
          <w:p w14:paraId="1F604D3B" w14:textId="77777777" w:rsidR="00990B14" w:rsidRDefault="00000000">
            <w:pPr>
              <w:spacing w:after="40"/>
              <w:jc w:val="both"/>
            </w:pPr>
            <w:r>
              <w:rPr>
                <w:sz w:val="18"/>
                <w:szCs w:val="18"/>
              </w:rPr>
              <w:t>Selección aleatoria de la muestra con herramientas informáticas y documentación del procedimiento de selección, alternativamente se pueden utilizar los programas: SPSS, R y/o Python. (P, T)</w:t>
            </w:r>
          </w:p>
          <w:p w14:paraId="4C7F8316" w14:textId="77777777" w:rsidR="00990B14" w:rsidRDefault="00000000">
            <w:pPr>
              <w:spacing w:after="40"/>
              <w:jc w:val="both"/>
            </w:pPr>
            <w:r>
              <w:rPr>
                <w:sz w:val="18"/>
                <w:szCs w:val="18"/>
              </w:rPr>
              <w:t>Introducción a las probabilidades del muestreo de atributos e interpretación de los resultados de muestreo. (C)</w:t>
            </w:r>
          </w:p>
          <w:p w14:paraId="52D4B4BD" w14:textId="77777777" w:rsidR="00990B14" w:rsidRDefault="00000000">
            <w:pPr>
              <w:spacing w:after="40"/>
              <w:jc w:val="both"/>
            </w:pPr>
            <w:r>
              <w:rPr>
                <w:sz w:val="18"/>
                <w:szCs w:val="18"/>
              </w:rPr>
              <w:t>Cómputo de la probabilidad de una muestra con un error; cálculo para poblaciones grandes; ejercicios de aplicación. (C, P)</w:t>
            </w:r>
          </w:p>
          <w:p w14:paraId="45269705" w14:textId="77777777" w:rsidR="00990B14" w:rsidRDefault="00000000">
            <w:pPr>
              <w:spacing w:after="40"/>
              <w:jc w:val="both"/>
            </w:pPr>
            <w:r>
              <w:rPr>
                <w:sz w:val="18"/>
                <w:szCs w:val="18"/>
              </w:rPr>
              <w:t>Distribución normal, media aritmética, varianza y desviación estándar en el muestreo de variables. (C, P)</w:t>
            </w:r>
          </w:p>
          <w:p w14:paraId="747C64EB" w14:textId="77777777" w:rsidR="00990B14" w:rsidRDefault="00000000">
            <w:pPr>
              <w:spacing w:after="40"/>
              <w:jc w:val="both"/>
            </w:pPr>
            <w:r>
              <w:rPr>
                <w:sz w:val="18"/>
                <w:szCs w:val="18"/>
              </w:rPr>
              <w:t>Distribución de muestreo y estimación por intervalos. (C, P)</w:t>
            </w:r>
          </w:p>
          <w:p w14:paraId="63387DDC" w14:textId="77777777" w:rsidR="00990B14" w:rsidRDefault="00000000">
            <w:pPr>
              <w:spacing w:after="40"/>
              <w:jc w:val="both"/>
            </w:pPr>
            <w:r>
              <w:rPr>
                <w:sz w:val="18"/>
                <w:szCs w:val="18"/>
              </w:rPr>
              <w:t>Muestreo por Unidades Monetarias (MUM). (C, P)</w:t>
            </w:r>
          </w:p>
          <w:p w14:paraId="09414FBF" w14:textId="77777777" w:rsidR="00990B14" w:rsidRDefault="00000000">
            <w:pPr>
              <w:spacing w:after="40"/>
              <w:jc w:val="both"/>
            </w:pPr>
            <w:r>
              <w:rPr>
                <w:sz w:val="18"/>
                <w:szCs w:val="18"/>
              </w:rPr>
              <w:t>Documentación del muestreo en los papeles de trabajo electrónicos: criterio de selección, parámetros aplicados y conclusión alcanzada. (P, T)</w:t>
            </w:r>
          </w:p>
          <w:p w14:paraId="299CF84D" w14:textId="77777777" w:rsidR="00990B14" w:rsidRDefault="00000000">
            <w:pPr>
              <w:spacing w:after="40"/>
              <w:jc w:val="both"/>
            </w:pPr>
            <w:r>
              <w:rPr>
                <w:sz w:val="18"/>
                <w:szCs w:val="18"/>
              </w:rPr>
              <w:t>Ética e integridad en el manejo de los datos estadísticos: resguardo de la evidencia y prohibición de alterar los resultados obtenidos. (C, A)</w:t>
            </w:r>
          </w:p>
        </w:tc>
        <w:tc>
          <w:tcPr>
            <w:tcW w:w="2752" w:type="dxa"/>
            <w:gridSpan w:val="3"/>
            <w:shd w:val="clear" w:color="auto" w:fill="D9E2F3"/>
          </w:tcPr>
          <w:p w14:paraId="05EE785E" w14:textId="77777777" w:rsidR="00990B14" w:rsidRDefault="00000000">
            <w:pPr>
              <w:numPr>
                <w:ilvl w:val="0"/>
                <w:numId w:val="139"/>
              </w:numPr>
              <w:spacing w:before="10" w:after="10"/>
              <w:jc w:val="both"/>
            </w:pPr>
            <w:r>
              <w:rPr>
                <w:sz w:val="18"/>
                <w:szCs w:val="18"/>
              </w:rPr>
              <w:t>Norma Internacional de Auditoría 530, Muestreo estadístico de auditoría, adoptada en Bolivia por la Resolución CTNAC N.º 01/2015.</w:t>
            </w:r>
          </w:p>
          <w:p w14:paraId="288C722F" w14:textId="77777777" w:rsidR="00990B14" w:rsidRDefault="00000000">
            <w:pPr>
              <w:numPr>
                <w:ilvl w:val="0"/>
                <w:numId w:val="139"/>
              </w:numPr>
              <w:spacing w:before="10" w:after="10"/>
              <w:jc w:val="both"/>
            </w:pPr>
            <w:r>
              <w:rPr>
                <w:sz w:val="18"/>
                <w:szCs w:val="18"/>
              </w:rPr>
              <w:t>Aplicación del Muestreo por Unidades Monetarias en estados financieros en Bolivia.</w:t>
            </w:r>
          </w:p>
        </w:tc>
      </w:tr>
      <w:tr w:rsidR="00990B14" w14:paraId="1CF1608A" w14:textId="77777777">
        <w:trPr>
          <w:cantSplit/>
          <w:jc w:val="center"/>
        </w:trPr>
        <w:tc>
          <w:tcPr>
            <w:tcW w:w="9405" w:type="dxa"/>
            <w:gridSpan w:val="13"/>
            <w:shd w:val="clear" w:color="auto" w:fill="D9E2F3"/>
            <w:vAlign w:val="center"/>
          </w:tcPr>
          <w:p w14:paraId="7949BD55" w14:textId="77777777" w:rsidR="00990B14" w:rsidRDefault="00000000">
            <w:pPr>
              <w:spacing w:before="20" w:after="20"/>
              <w:jc w:val="both"/>
            </w:pPr>
            <w:r>
              <w:rPr>
                <w:b/>
                <w:bCs/>
                <w:i/>
                <w:iCs/>
                <w:sz w:val="18"/>
                <w:szCs w:val="18"/>
              </w:rPr>
              <w:t xml:space="preserve">Elemento de competencia 5: </w:t>
            </w:r>
            <w:r>
              <w:rPr>
                <w:sz w:val="18"/>
                <w:szCs w:val="18"/>
              </w:rPr>
              <w:t>Verifica las hipótesis estadísticas sobre una media, una proporción o la diferencia entre dos poblaciones, contrastando la hipótesis nula con la hipótesis alternativa en pruebas bilaterales y unilaterales.</w:t>
            </w:r>
          </w:p>
        </w:tc>
      </w:tr>
      <w:tr w:rsidR="00990B14" w14:paraId="3F6927D1" w14:textId="77777777">
        <w:trPr>
          <w:cantSplit/>
          <w:jc w:val="center"/>
        </w:trPr>
        <w:tc>
          <w:tcPr>
            <w:tcW w:w="3133" w:type="dxa"/>
            <w:gridSpan w:val="4"/>
            <w:shd w:val="clear" w:color="auto" w:fill="4472C4"/>
            <w:vAlign w:val="center"/>
          </w:tcPr>
          <w:p w14:paraId="73114EF1"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7A0E7852"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182ADCE6" w14:textId="77777777" w:rsidR="00990B14" w:rsidRDefault="00000000">
            <w:pPr>
              <w:keepNext/>
              <w:spacing w:before="20" w:after="20"/>
              <w:jc w:val="center"/>
            </w:pPr>
            <w:r>
              <w:rPr>
                <w:b/>
                <w:bCs/>
                <w:i/>
                <w:iCs/>
                <w:color w:val="FFFFFF"/>
                <w:sz w:val="18"/>
                <w:szCs w:val="18"/>
              </w:rPr>
              <w:t>Evidencias de producto</w:t>
            </w:r>
          </w:p>
        </w:tc>
      </w:tr>
      <w:tr w:rsidR="00990B14" w14:paraId="1F20C6E3" w14:textId="77777777">
        <w:trPr>
          <w:cantSplit/>
          <w:jc w:val="center"/>
        </w:trPr>
        <w:tc>
          <w:tcPr>
            <w:tcW w:w="3133" w:type="dxa"/>
            <w:gridSpan w:val="4"/>
            <w:vMerge w:val="restart"/>
            <w:shd w:val="clear" w:color="auto" w:fill="D9E2F3"/>
            <w:vAlign w:val="center"/>
          </w:tcPr>
          <w:p w14:paraId="4029429C" w14:textId="77777777" w:rsidR="00990B14" w:rsidRDefault="00000000">
            <w:pPr>
              <w:spacing w:before="20" w:after="20"/>
              <w:jc w:val="both"/>
            </w:pPr>
            <w:r>
              <w:rPr>
                <w:sz w:val="18"/>
                <w:szCs w:val="18"/>
              </w:rPr>
              <w:t>1. Aplica pruebas bilaterales o unilaterales para la estimación de una media o la proporción poblacional.</w:t>
            </w:r>
          </w:p>
        </w:tc>
        <w:tc>
          <w:tcPr>
            <w:tcW w:w="3135" w:type="dxa"/>
            <w:gridSpan w:val="5"/>
            <w:shd w:val="clear" w:color="auto" w:fill="D9E2F3"/>
            <w:vAlign w:val="center"/>
          </w:tcPr>
          <w:p w14:paraId="09ED31AB" w14:textId="77777777" w:rsidR="00990B14" w:rsidRDefault="00000000">
            <w:pPr>
              <w:spacing w:before="20" w:after="20"/>
              <w:jc w:val="both"/>
            </w:pPr>
            <w:r>
              <w:rPr>
                <w:sz w:val="18"/>
                <w:szCs w:val="18"/>
              </w:rPr>
              <w:t>1.1 Formula en aula la hipótesis nula y la hipótesis alternativa de un caso práctico.</w:t>
            </w:r>
          </w:p>
        </w:tc>
        <w:tc>
          <w:tcPr>
            <w:tcW w:w="3137" w:type="dxa"/>
            <w:gridSpan w:val="4"/>
            <w:shd w:val="clear" w:color="auto" w:fill="D9E2F3"/>
            <w:vAlign w:val="center"/>
          </w:tcPr>
          <w:p w14:paraId="6B971C2C" w14:textId="77777777" w:rsidR="00990B14" w:rsidRDefault="00000000">
            <w:pPr>
              <w:spacing w:before="20" w:after="20"/>
              <w:jc w:val="both"/>
            </w:pPr>
            <w:r>
              <w:rPr>
                <w:b/>
                <w:bCs/>
                <w:sz w:val="18"/>
                <w:szCs w:val="18"/>
              </w:rPr>
              <w:t xml:space="preserve">Producto 17: </w:t>
            </w:r>
            <w:r>
              <w:rPr>
                <w:sz w:val="18"/>
                <w:szCs w:val="18"/>
              </w:rPr>
              <w:t>Análisis estadístico de los resultados obtenidos al realizar una prueba de hipótesis.</w:t>
            </w:r>
          </w:p>
        </w:tc>
      </w:tr>
      <w:tr w:rsidR="00990B14" w14:paraId="48EE635F" w14:textId="77777777">
        <w:trPr>
          <w:cantSplit/>
          <w:jc w:val="center"/>
        </w:trPr>
        <w:tc>
          <w:tcPr>
            <w:tcW w:w="3133" w:type="dxa"/>
            <w:gridSpan w:val="4"/>
            <w:vMerge/>
            <w:shd w:val="clear" w:color="auto" w:fill="D9E2F3"/>
            <w:vAlign w:val="center"/>
          </w:tcPr>
          <w:p w14:paraId="477AB287" w14:textId="77777777" w:rsidR="00990B14" w:rsidRDefault="00990B14">
            <w:pPr>
              <w:spacing w:before="20" w:after="20"/>
            </w:pPr>
          </w:p>
        </w:tc>
        <w:tc>
          <w:tcPr>
            <w:tcW w:w="3135" w:type="dxa"/>
            <w:gridSpan w:val="5"/>
            <w:shd w:val="clear" w:color="auto" w:fill="D9E2F3"/>
            <w:vAlign w:val="center"/>
          </w:tcPr>
          <w:p w14:paraId="491FCA7F" w14:textId="77777777" w:rsidR="00990B14" w:rsidRDefault="00000000">
            <w:pPr>
              <w:spacing w:before="20" w:after="20"/>
              <w:jc w:val="both"/>
            </w:pPr>
            <w:r>
              <w:rPr>
                <w:sz w:val="18"/>
                <w:szCs w:val="18"/>
              </w:rPr>
              <w:t>1.2 Verifica en equipo una hipótesis sobre la media o la proporción poblacional de un caso práctico con SPSS, R o Python.</w:t>
            </w:r>
          </w:p>
        </w:tc>
        <w:tc>
          <w:tcPr>
            <w:tcW w:w="3137" w:type="dxa"/>
            <w:gridSpan w:val="4"/>
            <w:shd w:val="clear" w:color="auto" w:fill="D9E2F3"/>
            <w:vAlign w:val="center"/>
          </w:tcPr>
          <w:p w14:paraId="63A841BA" w14:textId="77777777" w:rsidR="00990B14" w:rsidRDefault="00000000">
            <w:pPr>
              <w:spacing w:before="20" w:after="20"/>
              <w:jc w:val="both"/>
            </w:pPr>
            <w:r>
              <w:rPr>
                <w:b/>
                <w:bCs/>
                <w:sz w:val="18"/>
                <w:szCs w:val="18"/>
              </w:rPr>
              <w:t xml:space="preserve">Producto 18: </w:t>
            </w:r>
            <w:r>
              <w:rPr>
                <w:sz w:val="18"/>
                <w:szCs w:val="18"/>
              </w:rPr>
              <w:t>Prueba de hipótesis de la diferencia entre dos medias o dos proporciones poblacionales.</w:t>
            </w:r>
          </w:p>
        </w:tc>
      </w:tr>
      <w:tr w:rsidR="00990B14" w14:paraId="640463FF" w14:textId="77777777">
        <w:trPr>
          <w:cantSplit/>
          <w:jc w:val="center"/>
        </w:trPr>
        <w:tc>
          <w:tcPr>
            <w:tcW w:w="3133" w:type="dxa"/>
            <w:gridSpan w:val="4"/>
            <w:vMerge w:val="restart"/>
            <w:shd w:val="clear" w:color="auto" w:fill="D9E2F3"/>
            <w:vAlign w:val="center"/>
          </w:tcPr>
          <w:p w14:paraId="7C671571" w14:textId="77777777" w:rsidR="00990B14" w:rsidRDefault="00000000">
            <w:pPr>
              <w:spacing w:before="20" w:after="20"/>
              <w:jc w:val="both"/>
            </w:pPr>
            <w:r>
              <w:rPr>
                <w:sz w:val="18"/>
                <w:szCs w:val="18"/>
              </w:rPr>
              <w:t>2. Verifica la diferencia entre dos medias o dos proporciones poblacionales con una prueba de hipótesis.</w:t>
            </w:r>
          </w:p>
        </w:tc>
        <w:tc>
          <w:tcPr>
            <w:tcW w:w="3135" w:type="dxa"/>
            <w:gridSpan w:val="5"/>
            <w:shd w:val="clear" w:color="auto" w:fill="D9E2F3"/>
            <w:vAlign w:val="center"/>
          </w:tcPr>
          <w:p w14:paraId="19AE7967" w14:textId="77777777" w:rsidR="00990B14" w:rsidRDefault="00000000">
            <w:pPr>
              <w:spacing w:before="20" w:after="20"/>
              <w:jc w:val="both"/>
            </w:pPr>
            <w:r>
              <w:rPr>
                <w:sz w:val="18"/>
                <w:szCs w:val="18"/>
              </w:rPr>
              <w:t>2.1 Realiza en aula pruebas de hipótesis bilaterales para estimar medias o proporciones poblacionales.</w:t>
            </w:r>
          </w:p>
        </w:tc>
        <w:tc>
          <w:tcPr>
            <w:tcW w:w="3137" w:type="dxa"/>
            <w:gridSpan w:val="4"/>
            <w:shd w:val="clear" w:color="auto" w:fill="D9E2F3"/>
            <w:vAlign w:val="center"/>
          </w:tcPr>
          <w:p w14:paraId="557426E1" w14:textId="77777777" w:rsidR="00990B14" w:rsidRDefault="00000000">
            <w:pPr>
              <w:spacing w:before="20" w:after="20"/>
              <w:jc w:val="both"/>
            </w:pPr>
            <w:r>
              <w:rPr>
                <w:b/>
                <w:bCs/>
                <w:sz w:val="18"/>
                <w:szCs w:val="18"/>
              </w:rPr>
              <w:t xml:space="preserve">Producto 19: </w:t>
            </w:r>
            <w:r>
              <w:rPr>
                <w:sz w:val="18"/>
                <w:szCs w:val="18"/>
              </w:rPr>
              <w:t>Prueba de hipótesis bilateral de la media poblacional de un caso práctico.</w:t>
            </w:r>
          </w:p>
        </w:tc>
      </w:tr>
      <w:tr w:rsidR="00990B14" w14:paraId="2DEC854C" w14:textId="77777777">
        <w:trPr>
          <w:cantSplit/>
          <w:jc w:val="center"/>
        </w:trPr>
        <w:tc>
          <w:tcPr>
            <w:tcW w:w="3133" w:type="dxa"/>
            <w:gridSpan w:val="4"/>
            <w:vMerge/>
            <w:shd w:val="clear" w:color="auto" w:fill="D9E2F3"/>
            <w:vAlign w:val="center"/>
          </w:tcPr>
          <w:p w14:paraId="177D1ACF" w14:textId="77777777" w:rsidR="00990B14" w:rsidRDefault="00990B14">
            <w:pPr>
              <w:spacing w:before="20" w:after="20"/>
            </w:pPr>
          </w:p>
        </w:tc>
        <w:tc>
          <w:tcPr>
            <w:tcW w:w="3135" w:type="dxa"/>
            <w:gridSpan w:val="5"/>
            <w:shd w:val="clear" w:color="auto" w:fill="D9E2F3"/>
            <w:vAlign w:val="center"/>
          </w:tcPr>
          <w:p w14:paraId="357A43A1" w14:textId="77777777" w:rsidR="00990B14" w:rsidRDefault="00000000">
            <w:pPr>
              <w:spacing w:before="20" w:after="20"/>
              <w:jc w:val="both"/>
            </w:pPr>
            <w:r>
              <w:rPr>
                <w:sz w:val="18"/>
                <w:szCs w:val="18"/>
              </w:rPr>
              <w:t>2.2 Realiza en aula pruebas de hipótesis unilaterales para estimar medias o proporciones poblacionales</w:t>
            </w:r>
          </w:p>
        </w:tc>
        <w:tc>
          <w:tcPr>
            <w:tcW w:w="3137" w:type="dxa"/>
            <w:gridSpan w:val="4"/>
            <w:shd w:val="clear" w:color="auto" w:fill="D9E2F3"/>
            <w:vAlign w:val="center"/>
          </w:tcPr>
          <w:p w14:paraId="2E813575" w14:textId="77777777" w:rsidR="00990B14" w:rsidRDefault="00000000">
            <w:pPr>
              <w:spacing w:before="20" w:after="20"/>
              <w:jc w:val="both"/>
            </w:pPr>
            <w:r>
              <w:rPr>
                <w:b/>
                <w:bCs/>
                <w:sz w:val="18"/>
                <w:szCs w:val="18"/>
              </w:rPr>
              <w:t xml:space="preserve">Producto 20: </w:t>
            </w:r>
            <w:r>
              <w:rPr>
                <w:sz w:val="18"/>
                <w:szCs w:val="18"/>
              </w:rPr>
              <w:t>Prueba de hipótesis unilateral de la media poblacional de un caso práctico.</w:t>
            </w:r>
          </w:p>
        </w:tc>
      </w:tr>
      <w:tr w:rsidR="00990B14" w14:paraId="7394E6CF" w14:textId="77777777">
        <w:trPr>
          <w:cantSplit/>
          <w:jc w:val="center"/>
        </w:trPr>
        <w:tc>
          <w:tcPr>
            <w:tcW w:w="9405" w:type="dxa"/>
            <w:gridSpan w:val="13"/>
            <w:shd w:val="clear" w:color="auto" w:fill="4472C4"/>
            <w:vAlign w:val="center"/>
          </w:tcPr>
          <w:p w14:paraId="65C28C80" w14:textId="77777777" w:rsidR="00990B14" w:rsidRDefault="00000000">
            <w:pPr>
              <w:keepNext/>
              <w:spacing w:before="20" w:after="20"/>
              <w:jc w:val="center"/>
            </w:pPr>
            <w:r>
              <w:rPr>
                <w:b/>
                <w:bCs/>
                <w:i/>
                <w:iCs/>
                <w:color w:val="FFFFFF"/>
                <w:sz w:val="18"/>
                <w:szCs w:val="18"/>
              </w:rPr>
              <w:t>Evidencias de conocimiento</w:t>
            </w:r>
          </w:p>
        </w:tc>
      </w:tr>
      <w:tr w:rsidR="00990B14" w14:paraId="58802DA9" w14:textId="77777777">
        <w:trPr>
          <w:cantSplit/>
          <w:jc w:val="center"/>
        </w:trPr>
        <w:tc>
          <w:tcPr>
            <w:tcW w:w="2349" w:type="dxa"/>
            <w:gridSpan w:val="2"/>
            <w:shd w:val="clear" w:color="auto" w:fill="4472C4"/>
            <w:vAlign w:val="center"/>
          </w:tcPr>
          <w:p w14:paraId="32678B03"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494CB6A6" w14:textId="77777777" w:rsidR="00990B14" w:rsidRDefault="00000000">
            <w:pPr>
              <w:keepNext/>
              <w:spacing w:before="20" w:after="20"/>
              <w:jc w:val="both"/>
            </w:pPr>
            <w:r>
              <w:rPr>
                <w:b/>
                <w:bCs/>
                <w:i/>
                <w:iCs/>
                <w:color w:val="FFFFFF"/>
                <w:sz w:val="18"/>
                <w:szCs w:val="18"/>
              </w:rPr>
              <w:t>Contenidos</w:t>
            </w:r>
          </w:p>
          <w:p w14:paraId="1F07DFDD"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0C23E7CC" w14:textId="77777777" w:rsidR="00990B14" w:rsidRDefault="00000000">
            <w:pPr>
              <w:keepNext/>
              <w:spacing w:before="20" w:after="20"/>
              <w:jc w:val="center"/>
            </w:pPr>
            <w:r>
              <w:rPr>
                <w:b/>
                <w:bCs/>
                <w:i/>
                <w:iCs/>
                <w:color w:val="FFFFFF"/>
                <w:sz w:val="18"/>
                <w:szCs w:val="18"/>
              </w:rPr>
              <w:t>Conocimientos circunstanciales</w:t>
            </w:r>
          </w:p>
        </w:tc>
      </w:tr>
      <w:tr w:rsidR="00990B14" w14:paraId="7F84FF7A" w14:textId="77777777">
        <w:trPr>
          <w:jc w:val="center"/>
        </w:trPr>
        <w:tc>
          <w:tcPr>
            <w:tcW w:w="2349" w:type="dxa"/>
            <w:gridSpan w:val="2"/>
            <w:shd w:val="clear" w:color="auto" w:fill="D9E2F3"/>
          </w:tcPr>
          <w:p w14:paraId="4864A135" w14:textId="77777777" w:rsidR="00990B14" w:rsidRDefault="00000000">
            <w:pPr>
              <w:spacing w:before="20" w:after="40"/>
              <w:jc w:val="both"/>
            </w:pPr>
            <w:r>
              <w:rPr>
                <w:sz w:val="18"/>
                <w:szCs w:val="18"/>
              </w:rPr>
              <w:t>Tema 11: Docimasia de Hipótesis</w:t>
            </w:r>
          </w:p>
        </w:tc>
        <w:tc>
          <w:tcPr>
            <w:tcW w:w="4304" w:type="dxa"/>
            <w:gridSpan w:val="8"/>
            <w:shd w:val="clear" w:color="auto" w:fill="D9E2F3"/>
          </w:tcPr>
          <w:p w14:paraId="57894EE9" w14:textId="77777777" w:rsidR="00990B14" w:rsidRDefault="00000000">
            <w:pPr>
              <w:spacing w:after="40"/>
              <w:jc w:val="both"/>
            </w:pPr>
            <w:r>
              <w:rPr>
                <w:sz w:val="18"/>
                <w:szCs w:val="18"/>
              </w:rPr>
              <w:t>Introducción a la docimasia de hipótesis: hipótesis nula (Ho), hipótesis alternativa (H1) e información muestral. (C)</w:t>
            </w:r>
          </w:p>
          <w:p w14:paraId="49A5269F" w14:textId="77777777" w:rsidR="00990B14" w:rsidRDefault="00000000">
            <w:pPr>
              <w:spacing w:after="40"/>
              <w:jc w:val="both"/>
            </w:pPr>
            <w:r>
              <w:rPr>
                <w:sz w:val="18"/>
                <w:szCs w:val="18"/>
              </w:rPr>
              <w:t>Tipos de errores en la prueba de una hipótesis estadística. (C)</w:t>
            </w:r>
          </w:p>
          <w:p w14:paraId="5FC783C4" w14:textId="77777777" w:rsidR="00990B14" w:rsidRDefault="00000000">
            <w:pPr>
              <w:spacing w:after="40"/>
              <w:jc w:val="both"/>
            </w:pPr>
            <w:r>
              <w:rPr>
                <w:sz w:val="18"/>
                <w:szCs w:val="18"/>
              </w:rPr>
              <w:t>Nivel de significación, valor p y potencia de la prueba; interpretación correcta de un resultado significativo. (C, P)</w:t>
            </w:r>
          </w:p>
          <w:p w14:paraId="0416E686" w14:textId="77777777" w:rsidR="00990B14" w:rsidRDefault="00000000">
            <w:pPr>
              <w:spacing w:after="40"/>
              <w:jc w:val="both"/>
            </w:pPr>
            <w:r>
              <w:rPr>
                <w:sz w:val="18"/>
                <w:szCs w:val="18"/>
              </w:rPr>
              <w:t>Pruebas bilaterales y unilaterales para la estimación de la media poblacional. (C, P)</w:t>
            </w:r>
          </w:p>
          <w:p w14:paraId="7D9660DE" w14:textId="77777777" w:rsidR="00990B14" w:rsidRDefault="00000000">
            <w:pPr>
              <w:spacing w:after="40"/>
              <w:jc w:val="both"/>
            </w:pPr>
            <w:r>
              <w:rPr>
                <w:sz w:val="18"/>
                <w:szCs w:val="18"/>
              </w:rPr>
              <w:t>Pruebas bilaterales y unilaterales para la estimación de la diferencia entre dos medias poblacionales. (C, P)</w:t>
            </w:r>
          </w:p>
          <w:p w14:paraId="0D0F1BB7" w14:textId="77777777" w:rsidR="00990B14" w:rsidRDefault="00000000">
            <w:pPr>
              <w:spacing w:after="40"/>
              <w:jc w:val="both"/>
            </w:pPr>
            <w:r>
              <w:rPr>
                <w:sz w:val="18"/>
                <w:szCs w:val="18"/>
              </w:rPr>
              <w:t>Pruebas bilaterales y unilaterales para la estimación de la proporción poblacional. (C, P)</w:t>
            </w:r>
          </w:p>
          <w:p w14:paraId="17A6E0B9" w14:textId="77777777" w:rsidR="00990B14" w:rsidRDefault="00000000">
            <w:pPr>
              <w:spacing w:after="40"/>
              <w:jc w:val="both"/>
            </w:pPr>
            <w:r>
              <w:rPr>
                <w:sz w:val="18"/>
                <w:szCs w:val="18"/>
              </w:rPr>
              <w:t>Pruebas bilaterales y unilaterales para la estimación de la diferencia entre dos proporciones poblacionales. (C, P)</w:t>
            </w:r>
          </w:p>
          <w:p w14:paraId="7807D73F" w14:textId="77777777" w:rsidR="00990B14" w:rsidRDefault="00000000">
            <w:pPr>
              <w:spacing w:after="40"/>
              <w:jc w:val="both"/>
            </w:pPr>
            <w:r>
              <w:rPr>
                <w:sz w:val="18"/>
                <w:szCs w:val="18"/>
              </w:rPr>
              <w:t>Pruebas de hipótesis en hoja de cálculo y con SPSS, R y/o Python, con informe de los supuestos empleados. (P, T)</w:t>
            </w:r>
          </w:p>
        </w:tc>
        <w:tc>
          <w:tcPr>
            <w:tcW w:w="2752" w:type="dxa"/>
            <w:gridSpan w:val="3"/>
            <w:shd w:val="clear" w:color="auto" w:fill="D9E2F3"/>
          </w:tcPr>
          <w:p w14:paraId="5FD97502" w14:textId="77777777" w:rsidR="00990B14" w:rsidRDefault="00000000">
            <w:pPr>
              <w:numPr>
                <w:ilvl w:val="0"/>
                <w:numId w:val="139"/>
              </w:numPr>
              <w:spacing w:before="10" w:after="10"/>
              <w:jc w:val="both"/>
            </w:pPr>
            <w:r>
              <w:rPr>
                <w:sz w:val="18"/>
                <w:szCs w:val="18"/>
              </w:rPr>
              <w:t>Uso de las pruebas de hipótesis en la validación de los resultados de una muestra aleatoria.</w:t>
            </w:r>
          </w:p>
          <w:p w14:paraId="346AC7F0" w14:textId="77777777" w:rsidR="00990B14" w:rsidRDefault="00000000">
            <w:pPr>
              <w:numPr>
                <w:ilvl w:val="0"/>
                <w:numId w:val="139"/>
              </w:numPr>
              <w:spacing w:before="10" w:after="10"/>
              <w:jc w:val="both"/>
            </w:pPr>
            <w:r>
              <w:rPr>
                <w:sz w:val="18"/>
                <w:szCs w:val="18"/>
              </w:rPr>
              <w:t>Aplicación de las pruebas de hipótesis en la investigación científica y en la toma de decisiones del contador público.</w:t>
            </w:r>
          </w:p>
        </w:tc>
      </w:tr>
      <w:tr w:rsidR="00990B14" w14:paraId="2876211B" w14:textId="77777777">
        <w:trPr>
          <w:cantSplit/>
          <w:jc w:val="center"/>
        </w:trPr>
        <w:tc>
          <w:tcPr>
            <w:tcW w:w="9405" w:type="dxa"/>
            <w:gridSpan w:val="13"/>
            <w:shd w:val="clear" w:color="auto" w:fill="D9E2F3"/>
            <w:vAlign w:val="center"/>
          </w:tcPr>
          <w:p w14:paraId="2C49DB7D" w14:textId="77777777" w:rsidR="00990B14" w:rsidRDefault="00000000">
            <w:pPr>
              <w:spacing w:before="20" w:after="20"/>
              <w:jc w:val="both"/>
            </w:pPr>
            <w:r>
              <w:rPr>
                <w:b/>
                <w:bCs/>
                <w:i/>
                <w:iCs/>
                <w:sz w:val="18"/>
                <w:szCs w:val="18"/>
              </w:rPr>
              <w:t xml:space="preserve">Elemento de competencia 6: </w:t>
            </w:r>
            <w:r>
              <w:rPr>
                <w:sz w:val="18"/>
                <w:szCs w:val="18"/>
              </w:rPr>
              <w:t>Interpreta la ecuación de regresión múltiple y los coeficientes de correlación de un conjunto de variables, utilizando el software SPSS para el análisis de tablas cruzadas y de la escala de Likert.</w:t>
            </w:r>
          </w:p>
        </w:tc>
      </w:tr>
      <w:tr w:rsidR="00990B14" w14:paraId="42FA5173" w14:textId="77777777">
        <w:trPr>
          <w:cantSplit/>
          <w:jc w:val="center"/>
        </w:trPr>
        <w:tc>
          <w:tcPr>
            <w:tcW w:w="3133" w:type="dxa"/>
            <w:gridSpan w:val="4"/>
            <w:shd w:val="clear" w:color="auto" w:fill="4472C4"/>
            <w:vAlign w:val="center"/>
          </w:tcPr>
          <w:p w14:paraId="56E0C25A"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078CE3B8"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4308C856" w14:textId="77777777" w:rsidR="00990B14" w:rsidRDefault="00000000">
            <w:pPr>
              <w:keepNext/>
              <w:spacing w:before="20" w:after="20"/>
              <w:jc w:val="center"/>
            </w:pPr>
            <w:r>
              <w:rPr>
                <w:b/>
                <w:bCs/>
                <w:i/>
                <w:iCs/>
                <w:color w:val="FFFFFF"/>
                <w:sz w:val="18"/>
                <w:szCs w:val="18"/>
              </w:rPr>
              <w:t>Evidencias de producto</w:t>
            </w:r>
          </w:p>
        </w:tc>
      </w:tr>
      <w:tr w:rsidR="00990B14" w14:paraId="69EFDD2A" w14:textId="77777777">
        <w:trPr>
          <w:cantSplit/>
          <w:jc w:val="center"/>
        </w:trPr>
        <w:tc>
          <w:tcPr>
            <w:tcW w:w="3133" w:type="dxa"/>
            <w:gridSpan w:val="4"/>
            <w:vMerge w:val="restart"/>
            <w:shd w:val="clear" w:color="auto" w:fill="D9E2F3"/>
            <w:vAlign w:val="center"/>
          </w:tcPr>
          <w:p w14:paraId="18138A30" w14:textId="77777777" w:rsidR="00990B14" w:rsidRDefault="00000000">
            <w:pPr>
              <w:spacing w:before="20" w:after="20"/>
              <w:jc w:val="both"/>
            </w:pPr>
            <w:r>
              <w:rPr>
                <w:sz w:val="18"/>
                <w:szCs w:val="18"/>
              </w:rPr>
              <w:t>1. Describe la ecuación de regresión múltiple y su interpretación con el software SPSS.</w:t>
            </w:r>
          </w:p>
        </w:tc>
        <w:tc>
          <w:tcPr>
            <w:tcW w:w="3135" w:type="dxa"/>
            <w:gridSpan w:val="5"/>
            <w:shd w:val="clear" w:color="auto" w:fill="D9E2F3"/>
            <w:vAlign w:val="center"/>
          </w:tcPr>
          <w:p w14:paraId="40A90C02" w14:textId="77777777" w:rsidR="00990B14" w:rsidRDefault="00000000">
            <w:pPr>
              <w:spacing w:before="20" w:after="20"/>
              <w:jc w:val="both"/>
            </w:pPr>
            <w:r>
              <w:rPr>
                <w:sz w:val="18"/>
                <w:szCs w:val="18"/>
              </w:rPr>
              <w:t>1.1 Utiliza el paquete de SPSS para construir e interpretar un modelo de regresión múltiple.</w:t>
            </w:r>
          </w:p>
        </w:tc>
        <w:tc>
          <w:tcPr>
            <w:tcW w:w="3137" w:type="dxa"/>
            <w:gridSpan w:val="4"/>
            <w:shd w:val="clear" w:color="auto" w:fill="D9E2F3"/>
            <w:vAlign w:val="center"/>
          </w:tcPr>
          <w:p w14:paraId="303E87E3" w14:textId="77777777" w:rsidR="00990B14" w:rsidRDefault="00000000">
            <w:pPr>
              <w:spacing w:before="20" w:after="20"/>
              <w:jc w:val="both"/>
            </w:pPr>
            <w:r>
              <w:rPr>
                <w:b/>
                <w:bCs/>
                <w:sz w:val="18"/>
                <w:szCs w:val="18"/>
              </w:rPr>
              <w:t xml:space="preserve">Producto 21: </w:t>
            </w:r>
            <w:r>
              <w:rPr>
                <w:sz w:val="18"/>
                <w:szCs w:val="18"/>
              </w:rPr>
              <w:t>Análisis de los coeficientes de regresión, correlación parcial, conjunta y prueba de análisis de varianza de una regresión múltiple.</w:t>
            </w:r>
          </w:p>
        </w:tc>
      </w:tr>
      <w:tr w:rsidR="00990B14" w14:paraId="1307DFC1" w14:textId="77777777">
        <w:trPr>
          <w:cantSplit/>
          <w:jc w:val="center"/>
        </w:trPr>
        <w:tc>
          <w:tcPr>
            <w:tcW w:w="3133" w:type="dxa"/>
            <w:gridSpan w:val="4"/>
            <w:vMerge/>
            <w:shd w:val="clear" w:color="auto" w:fill="D9E2F3"/>
            <w:vAlign w:val="center"/>
          </w:tcPr>
          <w:p w14:paraId="32047BF6" w14:textId="77777777" w:rsidR="00990B14" w:rsidRDefault="00990B14">
            <w:pPr>
              <w:spacing w:before="20" w:after="20"/>
            </w:pPr>
          </w:p>
        </w:tc>
        <w:tc>
          <w:tcPr>
            <w:tcW w:w="3135" w:type="dxa"/>
            <w:gridSpan w:val="5"/>
            <w:shd w:val="clear" w:color="auto" w:fill="D9E2F3"/>
            <w:vAlign w:val="center"/>
          </w:tcPr>
          <w:p w14:paraId="71144ED3" w14:textId="77777777" w:rsidR="00990B14" w:rsidRDefault="00000000">
            <w:pPr>
              <w:spacing w:before="20" w:after="20"/>
              <w:jc w:val="both"/>
            </w:pPr>
            <w:r>
              <w:rPr>
                <w:sz w:val="18"/>
                <w:szCs w:val="18"/>
              </w:rPr>
              <w:t>1.2 Analiza los resultados que arroja el paquete SPSS de un modelo de regresión múltiple para estudiar sus indicadores globales e individuales</w:t>
            </w:r>
          </w:p>
        </w:tc>
        <w:tc>
          <w:tcPr>
            <w:tcW w:w="3137" w:type="dxa"/>
            <w:gridSpan w:val="4"/>
            <w:shd w:val="clear" w:color="auto" w:fill="D9E2F3"/>
            <w:vAlign w:val="center"/>
          </w:tcPr>
          <w:p w14:paraId="3320F947" w14:textId="77777777" w:rsidR="00990B14" w:rsidRDefault="00000000">
            <w:pPr>
              <w:spacing w:before="20" w:after="20"/>
              <w:jc w:val="both"/>
            </w:pPr>
            <w:r>
              <w:rPr>
                <w:b/>
                <w:bCs/>
                <w:sz w:val="18"/>
                <w:szCs w:val="18"/>
              </w:rPr>
              <w:t xml:space="preserve">Producto 22: </w:t>
            </w:r>
            <w:r>
              <w:rPr>
                <w:sz w:val="18"/>
                <w:szCs w:val="18"/>
              </w:rPr>
              <w:t>Análisis e interpretación de las pruebas individuales y globales obtenidas de un modelo de regresión múltiple, obtenidas mediante el paquete de SPSS.</w:t>
            </w:r>
          </w:p>
        </w:tc>
      </w:tr>
      <w:tr w:rsidR="00990B14" w14:paraId="2B5C91F8" w14:textId="77777777">
        <w:trPr>
          <w:cantSplit/>
          <w:jc w:val="center"/>
        </w:trPr>
        <w:tc>
          <w:tcPr>
            <w:tcW w:w="3133" w:type="dxa"/>
            <w:gridSpan w:val="4"/>
            <w:vMerge w:val="restart"/>
            <w:shd w:val="clear" w:color="auto" w:fill="D9E2F3"/>
            <w:vAlign w:val="center"/>
          </w:tcPr>
          <w:p w14:paraId="301FA31D" w14:textId="77777777" w:rsidR="00990B14" w:rsidRDefault="00000000">
            <w:pPr>
              <w:spacing w:before="20" w:after="20"/>
              <w:jc w:val="both"/>
            </w:pPr>
            <w:r>
              <w:rPr>
                <w:sz w:val="18"/>
                <w:szCs w:val="18"/>
              </w:rPr>
              <w:t>2. Construye tablas cruzadas y analiza la escala de Likert con el software SPSS.</w:t>
            </w:r>
          </w:p>
        </w:tc>
        <w:tc>
          <w:tcPr>
            <w:tcW w:w="3135" w:type="dxa"/>
            <w:gridSpan w:val="5"/>
            <w:shd w:val="clear" w:color="auto" w:fill="D9E2F3"/>
            <w:vAlign w:val="center"/>
          </w:tcPr>
          <w:p w14:paraId="48C16B9F" w14:textId="77777777" w:rsidR="00990B14" w:rsidRDefault="00000000">
            <w:pPr>
              <w:spacing w:before="20" w:after="20"/>
              <w:jc w:val="both"/>
            </w:pPr>
            <w:r>
              <w:rPr>
                <w:sz w:val="18"/>
                <w:szCs w:val="18"/>
              </w:rPr>
              <w:t>2.1 Construye en aula una tabla cruzada de un caso práctico con SPSS.</w:t>
            </w:r>
          </w:p>
        </w:tc>
        <w:tc>
          <w:tcPr>
            <w:tcW w:w="3137" w:type="dxa"/>
            <w:gridSpan w:val="4"/>
            <w:shd w:val="clear" w:color="auto" w:fill="D9E2F3"/>
            <w:vAlign w:val="center"/>
          </w:tcPr>
          <w:p w14:paraId="3F4A95AB" w14:textId="77777777" w:rsidR="00990B14" w:rsidRDefault="00000000">
            <w:pPr>
              <w:spacing w:before="20" w:after="20"/>
              <w:jc w:val="both"/>
            </w:pPr>
            <w:r>
              <w:rPr>
                <w:b/>
                <w:bCs/>
                <w:sz w:val="18"/>
                <w:szCs w:val="18"/>
              </w:rPr>
              <w:t xml:space="preserve">Producto 23: </w:t>
            </w:r>
            <w:r>
              <w:rPr>
                <w:sz w:val="18"/>
                <w:szCs w:val="18"/>
              </w:rPr>
              <w:t>Análisis e interpretación de los resultados de una tabla cruzada de un caso práctico, realizado con SPSS.</w:t>
            </w:r>
          </w:p>
        </w:tc>
      </w:tr>
      <w:tr w:rsidR="00990B14" w14:paraId="17A2D742" w14:textId="77777777">
        <w:trPr>
          <w:cantSplit/>
          <w:jc w:val="center"/>
        </w:trPr>
        <w:tc>
          <w:tcPr>
            <w:tcW w:w="3133" w:type="dxa"/>
            <w:gridSpan w:val="4"/>
            <w:vMerge/>
            <w:shd w:val="clear" w:color="auto" w:fill="D9E2F3"/>
            <w:vAlign w:val="center"/>
          </w:tcPr>
          <w:p w14:paraId="1958B090" w14:textId="77777777" w:rsidR="00990B14" w:rsidRDefault="00990B14">
            <w:pPr>
              <w:spacing w:before="20" w:after="20"/>
            </w:pPr>
          </w:p>
        </w:tc>
        <w:tc>
          <w:tcPr>
            <w:tcW w:w="3135" w:type="dxa"/>
            <w:gridSpan w:val="5"/>
            <w:shd w:val="clear" w:color="auto" w:fill="D9E2F3"/>
            <w:vAlign w:val="center"/>
          </w:tcPr>
          <w:p w14:paraId="7A7A3324" w14:textId="77777777" w:rsidR="00990B14" w:rsidRDefault="00000000">
            <w:pPr>
              <w:spacing w:before="20" w:after="20"/>
              <w:jc w:val="both"/>
            </w:pPr>
            <w:r>
              <w:rPr>
                <w:sz w:val="18"/>
                <w:szCs w:val="18"/>
              </w:rPr>
              <w:t>2.2 Construye en aula una matriz de doble entrada denominada escala de Likert de un caso práctico con SPSS.</w:t>
            </w:r>
          </w:p>
        </w:tc>
        <w:tc>
          <w:tcPr>
            <w:tcW w:w="3137" w:type="dxa"/>
            <w:gridSpan w:val="4"/>
            <w:shd w:val="clear" w:color="auto" w:fill="D9E2F3"/>
            <w:vAlign w:val="center"/>
          </w:tcPr>
          <w:p w14:paraId="3D08DA13" w14:textId="77777777" w:rsidR="00990B14" w:rsidRDefault="00000000">
            <w:pPr>
              <w:spacing w:before="20" w:after="20"/>
              <w:jc w:val="both"/>
            </w:pPr>
            <w:r>
              <w:rPr>
                <w:b/>
                <w:bCs/>
                <w:sz w:val="18"/>
                <w:szCs w:val="18"/>
              </w:rPr>
              <w:t xml:space="preserve">Producto 24: </w:t>
            </w:r>
            <w:r>
              <w:rPr>
                <w:sz w:val="18"/>
                <w:szCs w:val="18"/>
              </w:rPr>
              <w:t>Análisis de fiabilidad de los resultados de una escala de Likert elaborada con el paquete de SPSS.</w:t>
            </w:r>
          </w:p>
        </w:tc>
      </w:tr>
      <w:tr w:rsidR="00990B14" w14:paraId="7DD9F7BB" w14:textId="77777777">
        <w:trPr>
          <w:cantSplit/>
          <w:jc w:val="center"/>
        </w:trPr>
        <w:tc>
          <w:tcPr>
            <w:tcW w:w="9405" w:type="dxa"/>
            <w:gridSpan w:val="13"/>
            <w:shd w:val="clear" w:color="auto" w:fill="4472C4"/>
            <w:vAlign w:val="center"/>
          </w:tcPr>
          <w:p w14:paraId="5D28B5F9" w14:textId="77777777" w:rsidR="00990B14" w:rsidRDefault="00000000">
            <w:pPr>
              <w:keepNext/>
              <w:spacing w:before="20" w:after="20"/>
              <w:jc w:val="center"/>
            </w:pPr>
            <w:r>
              <w:rPr>
                <w:b/>
                <w:bCs/>
                <w:i/>
                <w:iCs/>
                <w:color w:val="FFFFFF"/>
                <w:sz w:val="18"/>
                <w:szCs w:val="18"/>
              </w:rPr>
              <w:t>Evidencias de conocimiento</w:t>
            </w:r>
          </w:p>
        </w:tc>
      </w:tr>
      <w:tr w:rsidR="00990B14" w14:paraId="14DDFCD6" w14:textId="77777777">
        <w:trPr>
          <w:cantSplit/>
          <w:jc w:val="center"/>
        </w:trPr>
        <w:tc>
          <w:tcPr>
            <w:tcW w:w="2349" w:type="dxa"/>
            <w:gridSpan w:val="2"/>
            <w:shd w:val="clear" w:color="auto" w:fill="4472C4"/>
            <w:vAlign w:val="center"/>
          </w:tcPr>
          <w:p w14:paraId="2E01BED1"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14021166" w14:textId="77777777" w:rsidR="00990B14" w:rsidRDefault="00000000">
            <w:pPr>
              <w:keepNext/>
              <w:spacing w:before="20" w:after="20"/>
              <w:jc w:val="both"/>
            </w:pPr>
            <w:r>
              <w:rPr>
                <w:b/>
                <w:bCs/>
                <w:i/>
                <w:iCs/>
                <w:color w:val="FFFFFF"/>
                <w:sz w:val="18"/>
                <w:szCs w:val="18"/>
              </w:rPr>
              <w:t>Contenidos</w:t>
            </w:r>
          </w:p>
          <w:p w14:paraId="2E6235BF"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08B4A300" w14:textId="77777777" w:rsidR="00990B14" w:rsidRDefault="00000000">
            <w:pPr>
              <w:keepNext/>
              <w:spacing w:before="20" w:after="20"/>
              <w:jc w:val="center"/>
            </w:pPr>
            <w:r>
              <w:rPr>
                <w:b/>
                <w:bCs/>
                <w:i/>
                <w:iCs/>
                <w:color w:val="FFFFFF"/>
                <w:sz w:val="18"/>
                <w:szCs w:val="18"/>
              </w:rPr>
              <w:t>Conocimientos circunstanciales</w:t>
            </w:r>
          </w:p>
        </w:tc>
      </w:tr>
      <w:tr w:rsidR="00990B14" w14:paraId="3256A2AE" w14:textId="77777777">
        <w:trPr>
          <w:jc w:val="center"/>
        </w:trPr>
        <w:tc>
          <w:tcPr>
            <w:tcW w:w="2349" w:type="dxa"/>
            <w:gridSpan w:val="2"/>
            <w:shd w:val="clear" w:color="auto" w:fill="D9E2F3"/>
          </w:tcPr>
          <w:p w14:paraId="23395C4F" w14:textId="77777777" w:rsidR="00990B14" w:rsidRDefault="00000000">
            <w:pPr>
              <w:spacing w:before="20" w:after="40"/>
              <w:jc w:val="both"/>
            </w:pPr>
            <w:r>
              <w:rPr>
                <w:sz w:val="18"/>
                <w:szCs w:val="18"/>
              </w:rPr>
              <w:t>Tema 12: Regresión Múltiple</w:t>
            </w:r>
          </w:p>
        </w:tc>
        <w:tc>
          <w:tcPr>
            <w:tcW w:w="4304" w:type="dxa"/>
            <w:gridSpan w:val="8"/>
            <w:shd w:val="clear" w:color="auto" w:fill="D9E2F3"/>
          </w:tcPr>
          <w:p w14:paraId="6A970FE0" w14:textId="77777777" w:rsidR="00990B14" w:rsidRDefault="00000000">
            <w:pPr>
              <w:spacing w:after="40"/>
              <w:jc w:val="both"/>
            </w:pPr>
            <w:r>
              <w:rPr>
                <w:sz w:val="18"/>
                <w:szCs w:val="18"/>
              </w:rPr>
              <w:t>Introducción a la regresión múltiple y su ecuación. (C)</w:t>
            </w:r>
          </w:p>
          <w:p w14:paraId="4048E1A9" w14:textId="77777777" w:rsidR="00990B14" w:rsidRDefault="00000000">
            <w:pPr>
              <w:spacing w:after="40"/>
              <w:jc w:val="both"/>
            </w:pPr>
            <w:r>
              <w:rPr>
                <w:sz w:val="18"/>
                <w:szCs w:val="18"/>
              </w:rPr>
              <w:t>Coeficientes de regresión o regresores. (C)</w:t>
            </w:r>
          </w:p>
          <w:p w14:paraId="4705EFB4" w14:textId="77777777" w:rsidR="00990B14" w:rsidRDefault="00000000">
            <w:pPr>
              <w:spacing w:after="40"/>
              <w:jc w:val="both"/>
            </w:pPr>
            <w:r>
              <w:rPr>
                <w:sz w:val="18"/>
                <w:szCs w:val="18"/>
              </w:rPr>
              <w:t>Coeficientes de correlación múltiple, simple y parcial. (C)</w:t>
            </w:r>
          </w:p>
          <w:p w14:paraId="49C9A807" w14:textId="77777777" w:rsidR="00990B14" w:rsidRDefault="00000000">
            <w:pPr>
              <w:spacing w:after="40"/>
              <w:jc w:val="both"/>
            </w:pPr>
            <w:r>
              <w:rPr>
                <w:sz w:val="18"/>
                <w:szCs w:val="18"/>
              </w:rPr>
              <w:t>Supuestos del modelo de regresión múltiple: linealidad, independencia, homocedasticidad y multicolinealidad entre los regresores. (C, P)</w:t>
            </w:r>
          </w:p>
          <w:p w14:paraId="583FF400" w14:textId="77777777" w:rsidR="00990B14" w:rsidRDefault="00000000">
            <w:pPr>
              <w:spacing w:after="40"/>
              <w:jc w:val="both"/>
            </w:pPr>
            <w:r>
              <w:rPr>
                <w:sz w:val="18"/>
                <w:szCs w:val="18"/>
              </w:rPr>
              <w:t>Uso del software SPSS para el cálculo e interpretación del análisis de regresión múltiple. (P, T)</w:t>
            </w:r>
          </w:p>
          <w:p w14:paraId="28808D93" w14:textId="77777777" w:rsidR="00990B14" w:rsidRDefault="00000000">
            <w:pPr>
              <w:spacing w:after="40"/>
              <w:jc w:val="both"/>
            </w:pPr>
            <w:r>
              <w:rPr>
                <w:sz w:val="18"/>
                <w:szCs w:val="18"/>
              </w:rPr>
              <w:t>Construcción e interpretación de tablas cruzadas con el software SPSS. (P, T)</w:t>
            </w:r>
          </w:p>
          <w:p w14:paraId="66C4179E" w14:textId="77777777" w:rsidR="00990B14" w:rsidRDefault="00000000">
            <w:pPr>
              <w:spacing w:after="40"/>
              <w:jc w:val="both"/>
            </w:pPr>
            <w:r>
              <w:rPr>
                <w:sz w:val="18"/>
                <w:szCs w:val="18"/>
              </w:rPr>
              <w:t>Determinación y análisis de la escala de Likert con el software SPSS. (P, T)</w:t>
            </w:r>
          </w:p>
          <w:p w14:paraId="0BCAF2BA" w14:textId="77777777" w:rsidR="00990B14" w:rsidRDefault="00000000">
            <w:pPr>
              <w:spacing w:after="40"/>
              <w:jc w:val="both"/>
            </w:pPr>
            <w:r>
              <w:rPr>
                <w:sz w:val="18"/>
                <w:szCs w:val="18"/>
              </w:rPr>
              <w:t>Confidencialidad y uso ético de los datos de encuestas: consentimiento, anonimización y resguardo de la información. (C, A)</w:t>
            </w:r>
          </w:p>
        </w:tc>
        <w:tc>
          <w:tcPr>
            <w:tcW w:w="2752" w:type="dxa"/>
            <w:gridSpan w:val="3"/>
            <w:shd w:val="clear" w:color="auto" w:fill="D9E2F3"/>
          </w:tcPr>
          <w:p w14:paraId="03CE7362" w14:textId="77777777" w:rsidR="00990B14" w:rsidRDefault="00000000">
            <w:pPr>
              <w:numPr>
                <w:ilvl w:val="0"/>
                <w:numId w:val="139"/>
              </w:numPr>
              <w:spacing w:before="10" w:after="10"/>
              <w:jc w:val="both"/>
            </w:pPr>
            <w:r>
              <w:rPr>
                <w:sz w:val="18"/>
                <w:szCs w:val="18"/>
              </w:rPr>
              <w:t>Uso de la regresión múltiple y del software SPSS en la investigación de mercado y estudios económicos en Bolivia.</w:t>
            </w:r>
          </w:p>
          <w:p w14:paraId="222D37B7" w14:textId="77777777" w:rsidR="00990B14" w:rsidRDefault="00000000">
            <w:pPr>
              <w:numPr>
                <w:ilvl w:val="0"/>
                <w:numId w:val="139"/>
              </w:numPr>
              <w:spacing w:before="10" w:after="10"/>
              <w:jc w:val="both"/>
            </w:pPr>
            <w:r>
              <w:rPr>
                <w:sz w:val="18"/>
                <w:szCs w:val="18"/>
              </w:rPr>
              <w:t>Aplicación de la escala de Likert en encuestas de satisfacción y estudios académicos del país.</w:t>
            </w:r>
          </w:p>
          <w:p w14:paraId="3BBF3B67" w14:textId="77777777" w:rsidR="00990B14" w:rsidRDefault="00000000">
            <w:pPr>
              <w:numPr>
                <w:ilvl w:val="0"/>
                <w:numId w:val="139"/>
              </w:numPr>
              <w:spacing w:before="10" w:after="10"/>
              <w:jc w:val="both"/>
            </w:pPr>
            <w:r>
              <w:rPr>
                <w:sz w:val="18"/>
                <w:szCs w:val="18"/>
              </w:rPr>
              <w:t>Ausencia de una ley de protección de datos personales en Bolivia y su efecto en el tratamiento de los datos de encuestas.</w:t>
            </w:r>
          </w:p>
        </w:tc>
      </w:tr>
    </w:tbl>
    <w:p w14:paraId="40ABB2E5"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766"/>
        <w:gridCol w:w="1633"/>
        <w:gridCol w:w="1833"/>
        <w:gridCol w:w="1633"/>
        <w:gridCol w:w="2540"/>
      </w:tblGrid>
      <w:tr w:rsidR="00990B14" w14:paraId="525E2A7E" w14:textId="77777777">
        <w:trPr>
          <w:cantSplit/>
          <w:jc w:val="center"/>
        </w:trPr>
        <w:tc>
          <w:tcPr>
            <w:tcW w:w="9405" w:type="dxa"/>
            <w:gridSpan w:val="5"/>
            <w:shd w:val="clear" w:color="auto" w:fill="4472C4"/>
            <w:vAlign w:val="center"/>
          </w:tcPr>
          <w:p w14:paraId="15FAD230" w14:textId="77777777" w:rsidR="00990B14" w:rsidRDefault="00000000">
            <w:pPr>
              <w:keepNext/>
              <w:spacing w:before="20" w:after="20"/>
              <w:jc w:val="center"/>
            </w:pPr>
            <w:r>
              <w:rPr>
                <w:b/>
                <w:bCs/>
                <w:i/>
                <w:iCs/>
                <w:color w:val="FFFFFF"/>
                <w:sz w:val="18"/>
                <w:szCs w:val="18"/>
              </w:rPr>
              <w:t>Actividades</w:t>
            </w:r>
          </w:p>
        </w:tc>
      </w:tr>
      <w:tr w:rsidR="00990B14" w14:paraId="5624826A" w14:textId="77777777">
        <w:trPr>
          <w:cantSplit/>
          <w:jc w:val="center"/>
        </w:trPr>
        <w:tc>
          <w:tcPr>
            <w:tcW w:w="1766" w:type="dxa"/>
            <w:shd w:val="clear" w:color="auto" w:fill="4472C4"/>
            <w:vAlign w:val="center"/>
          </w:tcPr>
          <w:p w14:paraId="01910050" w14:textId="77777777" w:rsidR="00990B14" w:rsidRDefault="00000000">
            <w:pPr>
              <w:keepNext/>
              <w:spacing w:before="20" w:after="20"/>
              <w:jc w:val="center"/>
            </w:pPr>
            <w:r>
              <w:rPr>
                <w:b/>
                <w:bCs/>
                <w:i/>
                <w:iCs/>
                <w:color w:val="FFFFFF"/>
                <w:sz w:val="18"/>
                <w:szCs w:val="18"/>
              </w:rPr>
              <w:t>En clase</w:t>
            </w:r>
          </w:p>
        </w:tc>
        <w:tc>
          <w:tcPr>
            <w:tcW w:w="1633" w:type="dxa"/>
            <w:shd w:val="clear" w:color="auto" w:fill="4472C4"/>
            <w:vAlign w:val="center"/>
          </w:tcPr>
          <w:p w14:paraId="32C5BD0D" w14:textId="77777777" w:rsidR="00990B14" w:rsidRDefault="00000000">
            <w:pPr>
              <w:keepNext/>
              <w:spacing w:before="20" w:after="20"/>
              <w:jc w:val="center"/>
            </w:pPr>
            <w:r>
              <w:rPr>
                <w:b/>
                <w:bCs/>
                <w:i/>
                <w:iCs/>
                <w:color w:val="FFFFFF"/>
                <w:sz w:val="18"/>
                <w:szCs w:val="18"/>
              </w:rPr>
              <w:t>Autónomas</w:t>
            </w:r>
          </w:p>
        </w:tc>
        <w:tc>
          <w:tcPr>
            <w:tcW w:w="1833" w:type="dxa"/>
            <w:shd w:val="clear" w:color="auto" w:fill="4472C4"/>
            <w:vAlign w:val="center"/>
          </w:tcPr>
          <w:p w14:paraId="66F27A35" w14:textId="77777777" w:rsidR="00990B14" w:rsidRDefault="00000000">
            <w:pPr>
              <w:keepNext/>
              <w:spacing w:before="20" w:after="20"/>
              <w:jc w:val="center"/>
            </w:pPr>
            <w:r>
              <w:rPr>
                <w:b/>
                <w:bCs/>
                <w:i/>
                <w:iCs/>
                <w:color w:val="FFFFFF"/>
                <w:sz w:val="18"/>
                <w:szCs w:val="18"/>
              </w:rPr>
              <w:t>B-Learning</w:t>
            </w:r>
          </w:p>
        </w:tc>
        <w:tc>
          <w:tcPr>
            <w:tcW w:w="1633" w:type="dxa"/>
            <w:shd w:val="clear" w:color="auto" w:fill="4472C4"/>
            <w:vAlign w:val="center"/>
          </w:tcPr>
          <w:p w14:paraId="7F472A77" w14:textId="77777777" w:rsidR="00990B14" w:rsidRDefault="00000000">
            <w:pPr>
              <w:keepNext/>
              <w:spacing w:before="20" w:after="20"/>
              <w:jc w:val="center"/>
            </w:pPr>
            <w:r>
              <w:rPr>
                <w:b/>
                <w:bCs/>
                <w:i/>
                <w:iCs/>
                <w:color w:val="FFFFFF"/>
                <w:sz w:val="18"/>
                <w:szCs w:val="18"/>
              </w:rPr>
              <w:t>Taller</w:t>
            </w:r>
          </w:p>
        </w:tc>
        <w:tc>
          <w:tcPr>
            <w:tcW w:w="2540" w:type="dxa"/>
            <w:shd w:val="clear" w:color="auto" w:fill="4472C4"/>
            <w:vAlign w:val="center"/>
          </w:tcPr>
          <w:p w14:paraId="68350C44" w14:textId="77777777" w:rsidR="00990B14" w:rsidRDefault="00000000">
            <w:pPr>
              <w:keepNext/>
              <w:spacing w:before="20" w:after="20"/>
              <w:jc w:val="center"/>
            </w:pPr>
            <w:r>
              <w:rPr>
                <w:b/>
                <w:bCs/>
                <w:i/>
                <w:iCs/>
                <w:color w:val="FFFFFF"/>
                <w:sz w:val="18"/>
                <w:szCs w:val="18"/>
              </w:rPr>
              <w:t>Investigación/Práctica</w:t>
            </w:r>
          </w:p>
        </w:tc>
      </w:tr>
      <w:tr w:rsidR="00990B14" w14:paraId="245505F1" w14:textId="77777777">
        <w:trPr>
          <w:jc w:val="center"/>
        </w:trPr>
        <w:tc>
          <w:tcPr>
            <w:tcW w:w="1766" w:type="dxa"/>
            <w:shd w:val="clear" w:color="auto" w:fill="D9E2F3"/>
          </w:tcPr>
          <w:p w14:paraId="51AC040F" w14:textId="77777777" w:rsidR="00990B14" w:rsidRDefault="00000000">
            <w:pPr>
              <w:numPr>
                <w:ilvl w:val="0"/>
                <w:numId w:val="139"/>
              </w:numPr>
              <w:spacing w:before="10" w:after="10"/>
              <w:jc w:val="both"/>
            </w:pPr>
            <w:r>
              <w:rPr>
                <w:sz w:val="18"/>
                <w:szCs w:val="18"/>
              </w:rPr>
              <w:t>Resolución guiada de ejercicios en orden de dificultad creciente por técnica estadística.</w:t>
            </w:r>
          </w:p>
          <w:p w14:paraId="4F248E56" w14:textId="77777777" w:rsidR="00990B14" w:rsidRDefault="00000000">
            <w:pPr>
              <w:numPr>
                <w:ilvl w:val="0"/>
                <w:numId w:val="139"/>
              </w:numPr>
              <w:spacing w:before="10" w:after="10"/>
              <w:jc w:val="both"/>
            </w:pPr>
            <w:r>
              <w:rPr>
                <w:sz w:val="18"/>
                <w:szCs w:val="18"/>
              </w:rPr>
              <w:t>Clase invertida para los contenidos introductorios y conceptuales de cada capítulo.</w:t>
            </w:r>
          </w:p>
        </w:tc>
        <w:tc>
          <w:tcPr>
            <w:tcW w:w="1633" w:type="dxa"/>
            <w:shd w:val="clear" w:color="auto" w:fill="D9E2F3"/>
          </w:tcPr>
          <w:p w14:paraId="48755FBE" w14:textId="77777777" w:rsidR="00990B14" w:rsidRDefault="00000000">
            <w:pPr>
              <w:numPr>
                <w:ilvl w:val="0"/>
                <w:numId w:val="139"/>
              </w:numPr>
              <w:spacing w:before="10" w:after="10"/>
              <w:jc w:val="both"/>
            </w:pPr>
            <w:r>
              <w:rPr>
                <w:sz w:val="18"/>
                <w:szCs w:val="18"/>
              </w:rPr>
              <w:t>Resolución de ejercicios de cálculo estadístico al cierre de cada tema.</w:t>
            </w:r>
          </w:p>
          <w:p w14:paraId="59E6E872" w14:textId="77777777" w:rsidR="00990B14" w:rsidRDefault="00000000">
            <w:pPr>
              <w:numPr>
                <w:ilvl w:val="0"/>
                <w:numId w:val="139"/>
              </w:numPr>
              <w:spacing w:before="10" w:after="10"/>
              <w:jc w:val="both"/>
            </w:pPr>
            <w:r>
              <w:rPr>
                <w:sz w:val="18"/>
                <w:szCs w:val="18"/>
              </w:rPr>
              <w:t>Lectura de los manuales de los programas R, Python, SPSS y STATA relacionados con cada tema.</w:t>
            </w:r>
          </w:p>
          <w:p w14:paraId="0A7030E3" w14:textId="77777777" w:rsidR="00990B14" w:rsidRDefault="00000000">
            <w:pPr>
              <w:numPr>
                <w:ilvl w:val="0"/>
                <w:numId w:val="139"/>
              </w:numPr>
              <w:spacing w:before="10" w:after="10"/>
              <w:jc w:val="both"/>
            </w:pPr>
            <w:r>
              <w:rPr>
                <w:sz w:val="18"/>
                <w:szCs w:val="18"/>
              </w:rPr>
              <w:t>Desarrollo progresivo de un caso práctico integral de análisis estadístico y de muestreo estadístico.</w:t>
            </w:r>
          </w:p>
        </w:tc>
        <w:tc>
          <w:tcPr>
            <w:tcW w:w="1833" w:type="dxa"/>
            <w:shd w:val="clear" w:color="auto" w:fill="D9E2F3"/>
          </w:tcPr>
          <w:p w14:paraId="0D103548" w14:textId="77777777" w:rsidR="00990B14" w:rsidRDefault="00000000">
            <w:pPr>
              <w:numPr>
                <w:ilvl w:val="0"/>
                <w:numId w:val="139"/>
              </w:numPr>
              <w:spacing w:before="10" w:after="10"/>
              <w:jc w:val="both"/>
            </w:pPr>
            <w:r>
              <w:rPr>
                <w:sz w:val="18"/>
                <w:szCs w:val="18"/>
              </w:rPr>
              <w:t>Cuestionarios de comprensión de cada tema en la plataforma Moodle UMSA.</w:t>
            </w:r>
          </w:p>
          <w:p w14:paraId="41D8C334" w14:textId="77777777" w:rsidR="00990B14" w:rsidRDefault="00000000">
            <w:pPr>
              <w:numPr>
                <w:ilvl w:val="0"/>
                <w:numId w:val="139"/>
              </w:numPr>
              <w:spacing w:before="10" w:after="10"/>
              <w:jc w:val="both"/>
            </w:pPr>
            <w:r>
              <w:rPr>
                <w:sz w:val="18"/>
                <w:szCs w:val="18"/>
              </w:rPr>
              <w:t>Foros de consulta sobre el cálculo de probabilidades y de pruebas de hipótesis.</w:t>
            </w:r>
          </w:p>
          <w:p w14:paraId="33C576A3" w14:textId="77777777" w:rsidR="00990B14" w:rsidRDefault="00000000">
            <w:pPr>
              <w:numPr>
                <w:ilvl w:val="0"/>
                <w:numId w:val="139"/>
              </w:numPr>
              <w:spacing w:before="10" w:after="10"/>
              <w:jc w:val="both"/>
            </w:pPr>
            <w:r>
              <w:rPr>
                <w:sz w:val="18"/>
                <w:szCs w:val="18"/>
              </w:rPr>
              <w:t>Videotutoriales del uso de R, Python y SPSS para el análisis estadístico.</w:t>
            </w:r>
          </w:p>
          <w:p w14:paraId="39650F66" w14:textId="77777777" w:rsidR="00990B14" w:rsidRDefault="00000000">
            <w:pPr>
              <w:numPr>
                <w:ilvl w:val="0"/>
                <w:numId w:val="139"/>
              </w:numPr>
              <w:spacing w:before="10" w:after="10"/>
              <w:jc w:val="both"/>
            </w:pPr>
            <w:r>
              <w:rPr>
                <w:sz w:val="18"/>
                <w:szCs w:val="18"/>
              </w:rPr>
              <w:t>Ejercicios guiados de regresión y de pruebas de hipótesis con SPSS, R y/o Python.</w:t>
            </w:r>
          </w:p>
        </w:tc>
        <w:tc>
          <w:tcPr>
            <w:tcW w:w="1633" w:type="dxa"/>
            <w:shd w:val="clear" w:color="auto" w:fill="D9E2F3"/>
          </w:tcPr>
          <w:p w14:paraId="750CA121" w14:textId="77777777" w:rsidR="00990B14" w:rsidRDefault="00000000">
            <w:pPr>
              <w:numPr>
                <w:ilvl w:val="0"/>
                <w:numId w:val="139"/>
              </w:numPr>
              <w:spacing w:before="10" w:after="10"/>
              <w:jc w:val="both"/>
            </w:pPr>
            <w:r>
              <w:rPr>
                <w:sz w:val="18"/>
                <w:szCs w:val="18"/>
              </w:rPr>
              <w:t>Resolución colaborativa de casos de estadística descriptiva y de correlación y regresión.</w:t>
            </w:r>
          </w:p>
          <w:p w14:paraId="008E7078" w14:textId="77777777" w:rsidR="00990B14" w:rsidRDefault="00000000">
            <w:pPr>
              <w:numPr>
                <w:ilvl w:val="0"/>
                <w:numId w:val="139"/>
              </w:numPr>
              <w:spacing w:before="10" w:after="10"/>
              <w:jc w:val="both"/>
            </w:pPr>
            <w:r>
              <w:rPr>
                <w:sz w:val="18"/>
                <w:szCs w:val="18"/>
              </w:rPr>
              <w:t>Revisión cruzada de pruebas de hipótesis y de modelos de regresión múltiple entre equipos.</w:t>
            </w:r>
          </w:p>
          <w:p w14:paraId="737D5A45" w14:textId="77777777" w:rsidR="00990B14" w:rsidRDefault="00000000">
            <w:pPr>
              <w:numPr>
                <w:ilvl w:val="0"/>
                <w:numId w:val="139"/>
              </w:numPr>
              <w:spacing w:before="10" w:after="10"/>
              <w:jc w:val="both"/>
            </w:pPr>
            <w:r>
              <w:rPr>
                <w:sz w:val="18"/>
                <w:szCs w:val="18"/>
              </w:rPr>
              <w:t>Depuración y análisis descriptivo de una base de datos oficial del Instituto Nacional de Estadística.</w:t>
            </w:r>
          </w:p>
        </w:tc>
        <w:tc>
          <w:tcPr>
            <w:tcW w:w="2540" w:type="dxa"/>
            <w:shd w:val="clear" w:color="auto" w:fill="D9E2F3"/>
          </w:tcPr>
          <w:p w14:paraId="2AFD0F7E" w14:textId="77777777" w:rsidR="00990B14" w:rsidRDefault="00000000">
            <w:pPr>
              <w:numPr>
                <w:ilvl w:val="0"/>
                <w:numId w:val="139"/>
              </w:numPr>
              <w:spacing w:before="10" w:after="10"/>
              <w:jc w:val="both"/>
            </w:pPr>
            <w:r>
              <w:rPr>
                <w:sz w:val="18"/>
                <w:szCs w:val="18"/>
              </w:rPr>
              <w:t>Análisis de bases de datos económicas o financieras bolivianas con R, Python o SPSS.</w:t>
            </w:r>
          </w:p>
          <w:p w14:paraId="49480E8B" w14:textId="77777777" w:rsidR="00990B14" w:rsidRDefault="00000000">
            <w:pPr>
              <w:numPr>
                <w:ilvl w:val="0"/>
                <w:numId w:val="139"/>
              </w:numPr>
              <w:spacing w:before="10" w:after="10"/>
              <w:jc w:val="both"/>
            </w:pPr>
            <w:r>
              <w:rPr>
                <w:sz w:val="18"/>
                <w:szCs w:val="18"/>
              </w:rPr>
              <w:t>Revisión de técnicas de muestreo estadístico aplicadas en empresas bolivianas.</w:t>
            </w:r>
          </w:p>
          <w:p w14:paraId="6C62C60E" w14:textId="77777777" w:rsidR="00990B14" w:rsidRDefault="00000000">
            <w:pPr>
              <w:numPr>
                <w:ilvl w:val="0"/>
                <w:numId w:val="139"/>
              </w:numPr>
              <w:spacing w:before="10" w:after="10"/>
              <w:jc w:val="both"/>
            </w:pPr>
            <w:r>
              <w:rPr>
                <w:sz w:val="18"/>
                <w:szCs w:val="18"/>
              </w:rPr>
              <w:t>Comparación de software estadístico (Excel, SPSS, STATA, R y Python) para el análisis de datos.</w:t>
            </w:r>
          </w:p>
        </w:tc>
      </w:tr>
    </w:tbl>
    <w:p w14:paraId="6CD1B5F4"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555"/>
        <w:gridCol w:w="1910"/>
        <w:gridCol w:w="1910"/>
        <w:gridCol w:w="1910"/>
        <w:gridCol w:w="2120"/>
      </w:tblGrid>
      <w:tr w:rsidR="00990B14" w14:paraId="3C8D590D" w14:textId="77777777">
        <w:trPr>
          <w:jc w:val="center"/>
        </w:trPr>
        <w:tc>
          <w:tcPr>
            <w:tcW w:w="1555" w:type="dxa"/>
            <w:shd w:val="clear" w:color="auto" w:fill="4472C4"/>
            <w:vAlign w:val="center"/>
          </w:tcPr>
          <w:p w14:paraId="443E55D0" w14:textId="77777777" w:rsidR="00990B14" w:rsidRDefault="00000000">
            <w:pPr>
              <w:spacing w:before="20" w:after="20"/>
              <w:jc w:val="center"/>
            </w:pPr>
            <w:r>
              <w:rPr>
                <w:b/>
                <w:bCs/>
                <w:i/>
                <w:iCs/>
                <w:color w:val="FFFFFF"/>
                <w:sz w:val="18"/>
                <w:szCs w:val="18"/>
              </w:rPr>
              <w:t>Estrategias de aprendizaje y enseñanza</w:t>
            </w:r>
          </w:p>
        </w:tc>
        <w:tc>
          <w:tcPr>
            <w:tcW w:w="7850" w:type="dxa"/>
            <w:gridSpan w:val="4"/>
            <w:shd w:val="clear" w:color="auto" w:fill="D9E2F3"/>
            <w:vAlign w:val="center"/>
          </w:tcPr>
          <w:p w14:paraId="266EF64A" w14:textId="77777777" w:rsidR="00990B14" w:rsidRDefault="00000000">
            <w:pPr>
              <w:numPr>
                <w:ilvl w:val="0"/>
                <w:numId w:val="140"/>
              </w:numPr>
              <w:spacing w:before="10" w:after="10"/>
              <w:jc w:val="both"/>
            </w:pPr>
            <w:r>
              <w:rPr>
                <w:sz w:val="18"/>
                <w:szCs w:val="18"/>
              </w:rPr>
              <w:t>Aprendizaje basado en problemas con datos económicos y financieros bolivianos.</w:t>
            </w:r>
          </w:p>
          <w:p w14:paraId="09EB33AD" w14:textId="77777777" w:rsidR="00990B14" w:rsidRDefault="00000000">
            <w:pPr>
              <w:numPr>
                <w:ilvl w:val="0"/>
                <w:numId w:val="140"/>
              </w:numPr>
              <w:spacing w:before="10" w:after="10"/>
              <w:jc w:val="both"/>
            </w:pPr>
            <w:r>
              <w:rPr>
                <w:sz w:val="18"/>
                <w:szCs w:val="18"/>
              </w:rPr>
              <w:t>Resolución guiada de ejercicios en orden de dificultad creciente por técnica estadística.</w:t>
            </w:r>
          </w:p>
          <w:p w14:paraId="1F2A2F91" w14:textId="77777777" w:rsidR="00990B14" w:rsidRDefault="00000000">
            <w:pPr>
              <w:numPr>
                <w:ilvl w:val="0"/>
                <w:numId w:val="140"/>
              </w:numPr>
              <w:spacing w:before="10" w:after="10"/>
              <w:jc w:val="both"/>
            </w:pPr>
            <w:r>
              <w:rPr>
                <w:sz w:val="18"/>
                <w:szCs w:val="18"/>
              </w:rPr>
              <w:t>Caso práctico integral que recorre la estadística descriptiva hasta el muestreo estadístico.</w:t>
            </w:r>
          </w:p>
          <w:p w14:paraId="306F9E9A" w14:textId="77777777" w:rsidR="00990B14" w:rsidRDefault="00000000">
            <w:pPr>
              <w:numPr>
                <w:ilvl w:val="0"/>
                <w:numId w:val="140"/>
              </w:numPr>
              <w:spacing w:before="10" w:after="10"/>
              <w:jc w:val="both"/>
            </w:pPr>
            <w:r>
              <w:rPr>
                <w:sz w:val="18"/>
                <w:szCs w:val="18"/>
              </w:rPr>
              <w:t>Trabajo colaborativo en equipos de análisis y resolución de casos estadísticos con software.</w:t>
            </w:r>
          </w:p>
          <w:p w14:paraId="45243404" w14:textId="77777777" w:rsidR="00990B14" w:rsidRDefault="00000000">
            <w:pPr>
              <w:numPr>
                <w:ilvl w:val="0"/>
                <w:numId w:val="140"/>
              </w:numPr>
              <w:spacing w:before="10" w:after="10"/>
              <w:jc w:val="both"/>
            </w:pPr>
            <w:r>
              <w:rPr>
                <w:sz w:val="18"/>
                <w:szCs w:val="18"/>
              </w:rPr>
              <w:t>Clase invertida para los contenidos introductorios y conceptuales de cada capítulo.</w:t>
            </w:r>
          </w:p>
          <w:p w14:paraId="18EC4E87" w14:textId="77777777" w:rsidR="00990B14" w:rsidRDefault="00000000">
            <w:pPr>
              <w:numPr>
                <w:ilvl w:val="0"/>
                <w:numId w:val="140"/>
              </w:numPr>
              <w:spacing w:before="10" w:after="10"/>
              <w:jc w:val="both"/>
            </w:pPr>
            <w:r>
              <w:rPr>
                <w:sz w:val="18"/>
                <w:szCs w:val="18"/>
              </w:rPr>
              <w:t>Análisis crítico de la interpretación de un resultado estadístico antes de sustentar una conclusión.</w:t>
            </w:r>
          </w:p>
        </w:tc>
      </w:tr>
      <w:tr w:rsidR="00990B14" w14:paraId="42A29748" w14:textId="77777777">
        <w:trPr>
          <w:jc w:val="center"/>
        </w:trPr>
        <w:tc>
          <w:tcPr>
            <w:tcW w:w="1555" w:type="dxa"/>
            <w:shd w:val="clear" w:color="auto" w:fill="4472C4"/>
            <w:vAlign w:val="center"/>
          </w:tcPr>
          <w:p w14:paraId="159E108E" w14:textId="77777777" w:rsidR="00990B14" w:rsidRDefault="00000000">
            <w:pPr>
              <w:spacing w:before="20" w:after="20"/>
              <w:jc w:val="center"/>
            </w:pPr>
            <w:r>
              <w:rPr>
                <w:b/>
                <w:bCs/>
                <w:i/>
                <w:iCs/>
                <w:color w:val="FFFFFF"/>
                <w:sz w:val="18"/>
                <w:szCs w:val="18"/>
              </w:rPr>
              <w:t>Recursos para el aprendizaje</w:t>
            </w:r>
          </w:p>
        </w:tc>
        <w:tc>
          <w:tcPr>
            <w:tcW w:w="7850" w:type="dxa"/>
            <w:gridSpan w:val="4"/>
            <w:shd w:val="clear" w:color="auto" w:fill="D9E2F3"/>
            <w:vAlign w:val="center"/>
          </w:tcPr>
          <w:p w14:paraId="6BEDE057" w14:textId="77777777" w:rsidR="00990B14" w:rsidRPr="00BD34F7" w:rsidRDefault="00000000">
            <w:pPr>
              <w:numPr>
                <w:ilvl w:val="0"/>
                <w:numId w:val="140"/>
              </w:numPr>
              <w:spacing w:before="10" w:after="10"/>
              <w:jc w:val="both"/>
              <w:rPr>
                <w:lang w:val="en-US"/>
              </w:rPr>
            </w:pPr>
            <w:r w:rsidRPr="00BD34F7">
              <w:rPr>
                <w:sz w:val="18"/>
                <w:szCs w:val="18"/>
                <w:lang w:val="en-US"/>
              </w:rPr>
              <w:t>Plataforma Moodle UMSA, Classroom, Google meet.</w:t>
            </w:r>
          </w:p>
          <w:p w14:paraId="1FC451C2" w14:textId="77777777" w:rsidR="00990B14" w:rsidRDefault="00000000">
            <w:pPr>
              <w:numPr>
                <w:ilvl w:val="0"/>
                <w:numId w:val="140"/>
              </w:numPr>
              <w:spacing w:before="10" w:after="10"/>
              <w:jc w:val="both"/>
            </w:pPr>
            <w:r>
              <w:rPr>
                <w:sz w:val="18"/>
                <w:szCs w:val="18"/>
              </w:rPr>
              <w:t>Software estadístico: Excel, SPSS, STATA, R y Python.</w:t>
            </w:r>
          </w:p>
          <w:p w14:paraId="49814589" w14:textId="77777777" w:rsidR="00990B14" w:rsidRDefault="00000000">
            <w:pPr>
              <w:numPr>
                <w:ilvl w:val="0"/>
                <w:numId w:val="140"/>
              </w:numPr>
              <w:spacing w:before="10" w:after="10"/>
              <w:jc w:val="both"/>
            </w:pPr>
            <w:r>
              <w:rPr>
                <w:sz w:val="18"/>
                <w:szCs w:val="18"/>
              </w:rPr>
              <w:t>Tablas estadísticas de las distribuciones binomial, Poisson, normal, chi cuadrado, t-Student y Fisher.</w:t>
            </w:r>
          </w:p>
          <w:p w14:paraId="7F556C3C" w14:textId="77777777" w:rsidR="00990B14" w:rsidRDefault="00000000">
            <w:pPr>
              <w:numPr>
                <w:ilvl w:val="0"/>
                <w:numId w:val="140"/>
              </w:numPr>
              <w:spacing w:before="10" w:after="10"/>
              <w:jc w:val="both"/>
            </w:pPr>
            <w:r>
              <w:rPr>
                <w:sz w:val="18"/>
                <w:szCs w:val="18"/>
              </w:rPr>
              <w:t>Guías de ejercicios y casos elaborados por la cátedra.</w:t>
            </w:r>
          </w:p>
          <w:p w14:paraId="0B264757" w14:textId="77777777" w:rsidR="00990B14" w:rsidRDefault="00000000">
            <w:pPr>
              <w:numPr>
                <w:ilvl w:val="0"/>
                <w:numId w:val="140"/>
              </w:numPr>
              <w:spacing w:before="10" w:after="10"/>
              <w:jc w:val="both"/>
            </w:pPr>
            <w:r>
              <w:rPr>
                <w:sz w:val="18"/>
                <w:szCs w:val="18"/>
              </w:rPr>
              <w:t>Bases de datos abiertas del Instituto Nacional de Estadística y del Banco Central de Bolivia.</w:t>
            </w:r>
          </w:p>
          <w:p w14:paraId="568B8CBA" w14:textId="77777777" w:rsidR="00990B14" w:rsidRDefault="00000000">
            <w:pPr>
              <w:numPr>
                <w:ilvl w:val="0"/>
                <w:numId w:val="140"/>
              </w:numPr>
              <w:spacing w:before="10" w:after="10"/>
              <w:jc w:val="both"/>
            </w:pPr>
            <w:r>
              <w:rPr>
                <w:sz w:val="18"/>
                <w:szCs w:val="18"/>
              </w:rPr>
              <w:t>Glosario de terminología estadística en inglés.</w:t>
            </w:r>
          </w:p>
        </w:tc>
      </w:tr>
      <w:tr w:rsidR="00990B14" w14:paraId="18839F87" w14:textId="77777777">
        <w:trPr>
          <w:jc w:val="center"/>
        </w:trPr>
        <w:tc>
          <w:tcPr>
            <w:tcW w:w="1555" w:type="dxa"/>
            <w:shd w:val="clear" w:color="auto" w:fill="4472C4"/>
            <w:vAlign w:val="center"/>
          </w:tcPr>
          <w:p w14:paraId="72928B95" w14:textId="77777777" w:rsidR="00990B14" w:rsidRDefault="00000000">
            <w:pPr>
              <w:spacing w:before="20" w:after="20"/>
              <w:jc w:val="center"/>
            </w:pPr>
            <w:r>
              <w:rPr>
                <w:b/>
                <w:bCs/>
                <w:i/>
                <w:iCs/>
                <w:color w:val="FFFFFF"/>
                <w:sz w:val="18"/>
                <w:szCs w:val="18"/>
              </w:rPr>
              <w:t>Estrategias de evaluación</w:t>
            </w:r>
          </w:p>
        </w:tc>
        <w:tc>
          <w:tcPr>
            <w:tcW w:w="7850" w:type="dxa"/>
            <w:gridSpan w:val="4"/>
            <w:shd w:val="clear" w:color="auto" w:fill="D9E2F3"/>
            <w:vAlign w:val="center"/>
          </w:tcPr>
          <w:p w14:paraId="7B01B894" w14:textId="77777777" w:rsidR="00990B14" w:rsidRDefault="00000000">
            <w:pPr>
              <w:numPr>
                <w:ilvl w:val="0"/>
                <w:numId w:val="140"/>
              </w:numPr>
              <w:spacing w:before="10" w:after="10"/>
              <w:jc w:val="both"/>
            </w:pPr>
            <w:r>
              <w:rPr>
                <w:sz w:val="18"/>
                <w:szCs w:val="18"/>
              </w:rPr>
              <w:t>Evaluación diagnóstica: prueba inicial sobre el análisis combinatorio, los conjuntos y las sumatorias de la asignatura MAT-201.</w:t>
            </w:r>
          </w:p>
          <w:p w14:paraId="0C1303E0" w14:textId="77777777" w:rsidR="00990B14" w:rsidRDefault="00000000">
            <w:pPr>
              <w:numPr>
                <w:ilvl w:val="0"/>
                <w:numId w:val="140"/>
              </w:numPr>
              <w:spacing w:before="10" w:after="10"/>
              <w:jc w:val="both"/>
            </w:pPr>
            <w:r>
              <w:rPr>
                <w:sz w:val="18"/>
                <w:szCs w:val="18"/>
              </w:rPr>
              <w:t>Evaluación formativa: preguntas de comprensión y desarrollo de ejercicios prácticos en el aula, con retroalimentación continua, autoevaluación y coevaluación.</w:t>
            </w:r>
          </w:p>
          <w:p w14:paraId="50885076" w14:textId="77777777" w:rsidR="00990B14" w:rsidRDefault="00000000">
            <w:pPr>
              <w:numPr>
                <w:ilvl w:val="0"/>
                <w:numId w:val="140"/>
              </w:numPr>
              <w:spacing w:before="10" w:after="10"/>
              <w:jc w:val="both"/>
            </w:pPr>
            <w:r>
              <w:rPr>
                <w:sz w:val="18"/>
                <w:szCs w:val="18"/>
              </w:rPr>
              <w:t>Evaluación sumativa: controles de lectura y asistencia, evaluación de casos prácticos, trabajos de investigación y desarrollo, exámenes parciales y examen final.</w:t>
            </w:r>
          </w:p>
        </w:tc>
      </w:tr>
      <w:tr w:rsidR="00990B14" w14:paraId="2FB5090F" w14:textId="77777777">
        <w:trPr>
          <w:jc w:val="center"/>
        </w:trPr>
        <w:tc>
          <w:tcPr>
            <w:tcW w:w="1555" w:type="dxa"/>
            <w:shd w:val="clear" w:color="auto" w:fill="4472C4"/>
            <w:vAlign w:val="center"/>
          </w:tcPr>
          <w:p w14:paraId="0C8BBDA9" w14:textId="77777777" w:rsidR="00990B14" w:rsidRDefault="00000000">
            <w:pPr>
              <w:spacing w:before="20" w:after="20"/>
              <w:jc w:val="center"/>
            </w:pPr>
            <w:r>
              <w:rPr>
                <w:b/>
                <w:bCs/>
                <w:i/>
                <w:iCs/>
                <w:color w:val="FFFFFF"/>
                <w:sz w:val="18"/>
                <w:szCs w:val="18"/>
              </w:rPr>
              <w:t>Criterios de calificación</w:t>
            </w:r>
          </w:p>
        </w:tc>
        <w:tc>
          <w:tcPr>
            <w:tcW w:w="7850" w:type="dxa"/>
            <w:gridSpan w:val="4"/>
            <w:shd w:val="clear" w:color="auto" w:fill="D9E2F3"/>
            <w:vAlign w:val="center"/>
          </w:tcPr>
          <w:p w14:paraId="67F7B809" w14:textId="77777777" w:rsidR="00990B14" w:rsidRDefault="00000000">
            <w:pPr>
              <w:numPr>
                <w:ilvl w:val="0"/>
                <w:numId w:val="140"/>
              </w:numPr>
              <w:spacing w:before="10" w:after="10"/>
              <w:jc w:val="both"/>
            </w:pPr>
            <w:r>
              <w:rPr>
                <w:sz w:val="18"/>
                <w:szCs w:val="18"/>
              </w:rPr>
              <w:t>Nota mínima de aprobación: 51/100.</w:t>
            </w:r>
          </w:p>
          <w:p w14:paraId="255C2197" w14:textId="77777777" w:rsidR="00990B14" w:rsidRDefault="00000000">
            <w:pPr>
              <w:numPr>
                <w:ilvl w:val="0"/>
                <w:numId w:val="140"/>
              </w:numPr>
              <w:spacing w:before="10" w:after="10"/>
              <w:jc w:val="both"/>
            </w:pPr>
            <w:r>
              <w:rPr>
                <w:sz w:val="18"/>
                <w:szCs w:val="18"/>
              </w:rPr>
              <w:t>Evaluación periódica al finalizar cada tema, basada en evidencias de conocimiento, desempeño y producto.</w:t>
            </w:r>
          </w:p>
          <w:p w14:paraId="5A815C0B" w14:textId="77777777" w:rsidR="00990B14" w:rsidRDefault="00000000">
            <w:pPr>
              <w:numPr>
                <w:ilvl w:val="0"/>
                <w:numId w:val="140"/>
              </w:numPr>
              <w:spacing w:before="10" w:after="10"/>
              <w:jc w:val="both"/>
            </w:pPr>
            <w:r>
              <w:rPr>
                <w:sz w:val="18"/>
                <w:szCs w:val="18"/>
              </w:rPr>
              <w:t>La calificación de cada producto integra la prueba escrita del elemento y las evidencias de desempeño y producto.</w:t>
            </w:r>
          </w:p>
        </w:tc>
      </w:tr>
      <w:tr w:rsidR="00990B14" w14:paraId="6CB40C77" w14:textId="77777777">
        <w:trPr>
          <w:cantSplit/>
          <w:jc w:val="center"/>
        </w:trPr>
        <w:tc>
          <w:tcPr>
            <w:tcW w:w="1555" w:type="dxa"/>
            <w:vMerge w:val="restart"/>
            <w:shd w:val="clear" w:color="auto" w:fill="4472C4"/>
            <w:vAlign w:val="center"/>
          </w:tcPr>
          <w:p w14:paraId="4F294FFA" w14:textId="77777777" w:rsidR="00990B14" w:rsidRDefault="00000000">
            <w:pPr>
              <w:spacing w:before="20" w:after="20"/>
              <w:jc w:val="center"/>
            </w:pPr>
            <w:r>
              <w:rPr>
                <w:b/>
                <w:bCs/>
                <w:i/>
                <w:iCs/>
                <w:color w:val="FFFFFF"/>
                <w:sz w:val="18"/>
                <w:szCs w:val="18"/>
              </w:rPr>
              <w:t>Niveles de logro y distribución de la calificación</w:t>
            </w:r>
          </w:p>
        </w:tc>
        <w:tc>
          <w:tcPr>
            <w:tcW w:w="5730" w:type="dxa"/>
            <w:gridSpan w:val="3"/>
            <w:shd w:val="clear" w:color="auto" w:fill="D9E2F3"/>
            <w:vAlign w:val="center"/>
          </w:tcPr>
          <w:p w14:paraId="7EEE0741" w14:textId="77777777" w:rsidR="00990B14" w:rsidRDefault="00000000">
            <w:pPr>
              <w:keepNext/>
              <w:spacing w:before="20" w:after="20"/>
              <w:jc w:val="both"/>
            </w:pPr>
            <w:r>
              <w:rPr>
                <w:b/>
                <w:bCs/>
                <w:i/>
                <w:iCs/>
                <w:sz w:val="18"/>
                <w:szCs w:val="18"/>
              </w:rPr>
              <w:t xml:space="preserve">Producto 1: </w:t>
            </w:r>
            <w:r>
              <w:rPr>
                <w:sz w:val="18"/>
                <w:szCs w:val="18"/>
              </w:rPr>
              <w:t>Base de datos depurada con su registro de correcciones.</w:t>
            </w:r>
          </w:p>
        </w:tc>
        <w:tc>
          <w:tcPr>
            <w:tcW w:w="2120" w:type="dxa"/>
            <w:shd w:val="clear" w:color="auto" w:fill="D9E2F3"/>
            <w:vAlign w:val="center"/>
          </w:tcPr>
          <w:p w14:paraId="0C9935DD" w14:textId="77777777" w:rsidR="00990B14" w:rsidRDefault="00000000">
            <w:pPr>
              <w:spacing w:before="20" w:after="20"/>
              <w:jc w:val="center"/>
            </w:pPr>
            <w:r>
              <w:rPr>
                <w:b/>
                <w:bCs/>
                <w:sz w:val="18"/>
                <w:szCs w:val="18"/>
              </w:rPr>
              <w:t>6%</w:t>
            </w:r>
          </w:p>
        </w:tc>
      </w:tr>
      <w:tr w:rsidR="00990B14" w14:paraId="6668EF0D" w14:textId="77777777">
        <w:trPr>
          <w:cantSplit/>
          <w:jc w:val="center"/>
        </w:trPr>
        <w:tc>
          <w:tcPr>
            <w:tcW w:w="1555" w:type="dxa"/>
            <w:vMerge/>
            <w:shd w:val="clear" w:color="auto" w:fill="4472C4"/>
            <w:vAlign w:val="center"/>
          </w:tcPr>
          <w:p w14:paraId="524F1F60" w14:textId="77777777" w:rsidR="00990B14" w:rsidRDefault="00990B14">
            <w:pPr>
              <w:spacing w:before="20" w:after="20"/>
            </w:pPr>
          </w:p>
        </w:tc>
        <w:tc>
          <w:tcPr>
            <w:tcW w:w="1910" w:type="dxa"/>
            <w:shd w:val="clear" w:color="auto" w:fill="4472C4"/>
            <w:vAlign w:val="center"/>
          </w:tcPr>
          <w:p w14:paraId="40738050"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2A0E601F"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048A3DB0"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466D33CC" w14:textId="77777777" w:rsidR="00990B14" w:rsidRDefault="00000000">
            <w:pPr>
              <w:keepNext/>
              <w:spacing w:before="20" w:after="20"/>
              <w:jc w:val="center"/>
            </w:pPr>
            <w:r>
              <w:rPr>
                <w:b/>
                <w:bCs/>
                <w:i/>
                <w:iCs/>
                <w:color w:val="FFFFFF"/>
                <w:sz w:val="18"/>
                <w:szCs w:val="18"/>
              </w:rPr>
              <w:t>Destacado (81–100)</w:t>
            </w:r>
          </w:p>
        </w:tc>
      </w:tr>
      <w:tr w:rsidR="00990B14" w14:paraId="4D8029F2" w14:textId="77777777">
        <w:trPr>
          <w:cantSplit/>
          <w:jc w:val="center"/>
        </w:trPr>
        <w:tc>
          <w:tcPr>
            <w:tcW w:w="1555" w:type="dxa"/>
            <w:vMerge/>
            <w:shd w:val="clear" w:color="auto" w:fill="4472C4"/>
            <w:vAlign w:val="center"/>
          </w:tcPr>
          <w:p w14:paraId="62A7ACAC" w14:textId="77777777" w:rsidR="00990B14" w:rsidRDefault="00990B14">
            <w:pPr>
              <w:spacing w:before="20" w:after="20"/>
            </w:pPr>
          </w:p>
        </w:tc>
        <w:tc>
          <w:tcPr>
            <w:tcW w:w="1910" w:type="dxa"/>
            <w:shd w:val="clear" w:color="auto" w:fill="D9E2F3"/>
            <w:vAlign w:val="center"/>
          </w:tcPr>
          <w:p w14:paraId="5598325A" w14:textId="77777777" w:rsidR="00990B14" w:rsidRDefault="00000000">
            <w:pPr>
              <w:spacing w:before="20" w:after="20"/>
              <w:jc w:val="both"/>
            </w:pPr>
            <w:r>
              <w:rPr>
                <w:sz w:val="18"/>
                <w:szCs w:val="18"/>
              </w:rPr>
              <w:t>Depuración de datos</w:t>
            </w:r>
          </w:p>
        </w:tc>
        <w:tc>
          <w:tcPr>
            <w:tcW w:w="1910" w:type="dxa"/>
            <w:shd w:val="clear" w:color="auto" w:fill="D9E2F3"/>
            <w:vAlign w:val="center"/>
          </w:tcPr>
          <w:p w14:paraId="4AD087CD" w14:textId="77777777" w:rsidR="00990B14" w:rsidRDefault="00000000">
            <w:pPr>
              <w:spacing w:before="20" w:after="20"/>
              <w:jc w:val="both"/>
            </w:pPr>
            <w:r>
              <w:rPr>
                <w:sz w:val="18"/>
                <w:szCs w:val="18"/>
              </w:rPr>
              <w:t>No identifica datos faltantes, duplicados o atípicos.</w:t>
            </w:r>
          </w:p>
        </w:tc>
        <w:tc>
          <w:tcPr>
            <w:tcW w:w="1910" w:type="dxa"/>
            <w:shd w:val="clear" w:color="auto" w:fill="D9E2F3"/>
            <w:vAlign w:val="center"/>
          </w:tcPr>
          <w:p w14:paraId="3CF6ACE6" w14:textId="77777777" w:rsidR="00990B14" w:rsidRDefault="00000000">
            <w:pPr>
              <w:spacing w:before="20" w:after="20"/>
              <w:jc w:val="both"/>
            </w:pPr>
            <w:r>
              <w:rPr>
                <w:sz w:val="18"/>
                <w:szCs w:val="18"/>
              </w:rPr>
              <w:t>Identifica y corrige datos faltantes, duplicados y atípicos.</w:t>
            </w:r>
          </w:p>
        </w:tc>
        <w:tc>
          <w:tcPr>
            <w:tcW w:w="2120" w:type="dxa"/>
            <w:shd w:val="clear" w:color="auto" w:fill="D9E2F3"/>
            <w:vAlign w:val="center"/>
          </w:tcPr>
          <w:p w14:paraId="5E53BCD5" w14:textId="77777777" w:rsidR="00990B14" w:rsidRDefault="00000000">
            <w:pPr>
              <w:spacing w:before="20" w:after="20"/>
              <w:jc w:val="both"/>
            </w:pPr>
            <w:r>
              <w:rPr>
                <w:sz w:val="18"/>
                <w:szCs w:val="18"/>
              </w:rPr>
              <w:t>Corrige los datos y justifica cada tratamiento aplicado.</w:t>
            </w:r>
          </w:p>
        </w:tc>
      </w:tr>
      <w:tr w:rsidR="00990B14" w14:paraId="062CC9A2" w14:textId="77777777">
        <w:trPr>
          <w:cantSplit/>
          <w:jc w:val="center"/>
        </w:trPr>
        <w:tc>
          <w:tcPr>
            <w:tcW w:w="1555" w:type="dxa"/>
            <w:vMerge/>
            <w:shd w:val="clear" w:color="auto" w:fill="4472C4"/>
            <w:vAlign w:val="center"/>
          </w:tcPr>
          <w:p w14:paraId="48D5F856" w14:textId="77777777" w:rsidR="00990B14" w:rsidRDefault="00990B14">
            <w:pPr>
              <w:spacing w:before="20" w:after="20"/>
            </w:pPr>
          </w:p>
        </w:tc>
        <w:tc>
          <w:tcPr>
            <w:tcW w:w="1910" w:type="dxa"/>
            <w:shd w:val="clear" w:color="auto" w:fill="D9E2F3"/>
            <w:vAlign w:val="center"/>
          </w:tcPr>
          <w:p w14:paraId="53A4E9C3" w14:textId="77777777" w:rsidR="00990B14" w:rsidRDefault="00000000">
            <w:pPr>
              <w:spacing w:before="20" w:after="20"/>
              <w:jc w:val="both"/>
            </w:pPr>
            <w:r>
              <w:rPr>
                <w:sz w:val="18"/>
                <w:szCs w:val="18"/>
              </w:rPr>
              <w:t>Registro de correcciones</w:t>
            </w:r>
          </w:p>
        </w:tc>
        <w:tc>
          <w:tcPr>
            <w:tcW w:w="1910" w:type="dxa"/>
            <w:shd w:val="clear" w:color="auto" w:fill="D9E2F3"/>
            <w:vAlign w:val="center"/>
          </w:tcPr>
          <w:p w14:paraId="78A8B49B" w14:textId="77777777" w:rsidR="00990B14" w:rsidRDefault="00000000">
            <w:pPr>
              <w:spacing w:before="20" w:after="20"/>
              <w:jc w:val="both"/>
            </w:pPr>
            <w:r>
              <w:rPr>
                <w:sz w:val="18"/>
                <w:szCs w:val="18"/>
              </w:rPr>
              <w:t>No registra las correcciones realizadas.</w:t>
            </w:r>
          </w:p>
        </w:tc>
        <w:tc>
          <w:tcPr>
            <w:tcW w:w="1910" w:type="dxa"/>
            <w:shd w:val="clear" w:color="auto" w:fill="D9E2F3"/>
            <w:vAlign w:val="center"/>
          </w:tcPr>
          <w:p w14:paraId="7B25852F" w14:textId="77777777" w:rsidR="00990B14" w:rsidRDefault="00000000">
            <w:pPr>
              <w:spacing w:before="20" w:after="20"/>
              <w:jc w:val="both"/>
            </w:pPr>
            <w:r>
              <w:rPr>
                <w:sz w:val="18"/>
                <w:szCs w:val="18"/>
              </w:rPr>
              <w:t>Registra las correcciones realizadas a la base de datos.</w:t>
            </w:r>
          </w:p>
        </w:tc>
        <w:tc>
          <w:tcPr>
            <w:tcW w:w="2120" w:type="dxa"/>
            <w:shd w:val="clear" w:color="auto" w:fill="D9E2F3"/>
            <w:vAlign w:val="center"/>
          </w:tcPr>
          <w:p w14:paraId="6973450C" w14:textId="77777777" w:rsidR="00990B14" w:rsidRDefault="00000000">
            <w:pPr>
              <w:spacing w:before="20" w:after="20"/>
              <w:jc w:val="both"/>
            </w:pPr>
            <w:r>
              <w:rPr>
                <w:sz w:val="18"/>
                <w:szCs w:val="18"/>
              </w:rPr>
              <w:t>Registra las correcciones con su criterio y su efecto en el análisis.</w:t>
            </w:r>
          </w:p>
        </w:tc>
      </w:tr>
      <w:tr w:rsidR="00990B14" w14:paraId="35CC122B" w14:textId="77777777">
        <w:trPr>
          <w:cantSplit/>
          <w:jc w:val="center"/>
        </w:trPr>
        <w:tc>
          <w:tcPr>
            <w:tcW w:w="1555" w:type="dxa"/>
            <w:vMerge/>
            <w:shd w:val="clear" w:color="auto" w:fill="4472C4"/>
            <w:vAlign w:val="center"/>
          </w:tcPr>
          <w:p w14:paraId="7F401162" w14:textId="77777777" w:rsidR="00990B14" w:rsidRDefault="00990B14">
            <w:pPr>
              <w:spacing w:before="20" w:after="20"/>
            </w:pPr>
          </w:p>
        </w:tc>
        <w:tc>
          <w:tcPr>
            <w:tcW w:w="1910" w:type="dxa"/>
            <w:shd w:val="clear" w:color="auto" w:fill="D9E2F3"/>
            <w:vAlign w:val="center"/>
          </w:tcPr>
          <w:p w14:paraId="57E7CC05" w14:textId="77777777" w:rsidR="00990B14" w:rsidRDefault="00000000">
            <w:pPr>
              <w:spacing w:before="20" w:after="20"/>
              <w:jc w:val="both"/>
            </w:pPr>
            <w:r>
              <w:rPr>
                <w:sz w:val="18"/>
                <w:szCs w:val="18"/>
              </w:rPr>
              <w:t>Uso del software</w:t>
            </w:r>
          </w:p>
        </w:tc>
        <w:tc>
          <w:tcPr>
            <w:tcW w:w="1910" w:type="dxa"/>
            <w:shd w:val="clear" w:color="auto" w:fill="D9E2F3"/>
            <w:vAlign w:val="center"/>
          </w:tcPr>
          <w:p w14:paraId="728AB98D" w14:textId="77777777" w:rsidR="00990B14" w:rsidRDefault="00000000">
            <w:pPr>
              <w:spacing w:before="20" w:after="20"/>
              <w:jc w:val="both"/>
            </w:pPr>
            <w:r>
              <w:rPr>
                <w:sz w:val="18"/>
                <w:szCs w:val="18"/>
              </w:rPr>
              <w:t>Usa el software con errores de procedimiento.</w:t>
            </w:r>
          </w:p>
        </w:tc>
        <w:tc>
          <w:tcPr>
            <w:tcW w:w="1910" w:type="dxa"/>
            <w:shd w:val="clear" w:color="auto" w:fill="D9E2F3"/>
            <w:vAlign w:val="center"/>
          </w:tcPr>
          <w:p w14:paraId="4EFD38FA" w14:textId="77777777" w:rsidR="00990B14" w:rsidRDefault="00000000">
            <w:pPr>
              <w:spacing w:before="20" w:after="20"/>
              <w:jc w:val="both"/>
            </w:pPr>
            <w:r>
              <w:rPr>
                <w:sz w:val="18"/>
                <w:szCs w:val="18"/>
              </w:rPr>
              <w:t>Usa SPSS, R o Python para depurar la base de datos.</w:t>
            </w:r>
          </w:p>
        </w:tc>
        <w:tc>
          <w:tcPr>
            <w:tcW w:w="2120" w:type="dxa"/>
            <w:shd w:val="clear" w:color="auto" w:fill="D9E2F3"/>
            <w:vAlign w:val="center"/>
          </w:tcPr>
          <w:p w14:paraId="637FB83E" w14:textId="77777777" w:rsidR="00990B14" w:rsidRDefault="00000000">
            <w:pPr>
              <w:spacing w:before="20" w:after="20"/>
              <w:jc w:val="both"/>
            </w:pPr>
            <w:r>
              <w:rPr>
                <w:sz w:val="18"/>
                <w:szCs w:val="18"/>
              </w:rPr>
              <w:t>Documenta los procedimientos ejecutados en SPSS, R o Python.</w:t>
            </w:r>
          </w:p>
        </w:tc>
      </w:tr>
      <w:tr w:rsidR="00990B14" w14:paraId="195B9201" w14:textId="77777777">
        <w:trPr>
          <w:cantSplit/>
          <w:jc w:val="center"/>
        </w:trPr>
        <w:tc>
          <w:tcPr>
            <w:tcW w:w="1555" w:type="dxa"/>
            <w:vMerge/>
            <w:shd w:val="clear" w:color="auto" w:fill="4472C4"/>
            <w:vAlign w:val="center"/>
          </w:tcPr>
          <w:p w14:paraId="70E1C7D2" w14:textId="77777777" w:rsidR="00990B14" w:rsidRDefault="00990B14">
            <w:pPr>
              <w:spacing w:before="20" w:after="20"/>
            </w:pPr>
          </w:p>
        </w:tc>
        <w:tc>
          <w:tcPr>
            <w:tcW w:w="5730" w:type="dxa"/>
            <w:gridSpan w:val="3"/>
            <w:shd w:val="clear" w:color="auto" w:fill="D9E2F3"/>
            <w:vAlign w:val="center"/>
          </w:tcPr>
          <w:p w14:paraId="20BBB914" w14:textId="77777777" w:rsidR="00990B14" w:rsidRDefault="00000000">
            <w:pPr>
              <w:keepNext/>
              <w:spacing w:before="20" w:after="20"/>
              <w:jc w:val="both"/>
            </w:pPr>
            <w:r>
              <w:rPr>
                <w:b/>
                <w:bCs/>
                <w:i/>
                <w:iCs/>
                <w:sz w:val="18"/>
                <w:szCs w:val="18"/>
              </w:rPr>
              <w:t xml:space="preserve">Producto 2: </w:t>
            </w:r>
            <w:r>
              <w:rPr>
                <w:sz w:val="18"/>
                <w:szCs w:val="18"/>
              </w:rPr>
              <w:t>Distribución de frecuencias con sus representaciones gráficas.</w:t>
            </w:r>
          </w:p>
        </w:tc>
        <w:tc>
          <w:tcPr>
            <w:tcW w:w="2120" w:type="dxa"/>
            <w:shd w:val="clear" w:color="auto" w:fill="D9E2F3"/>
            <w:vAlign w:val="center"/>
          </w:tcPr>
          <w:p w14:paraId="5CB7FC6C" w14:textId="77777777" w:rsidR="00990B14" w:rsidRDefault="00000000">
            <w:pPr>
              <w:spacing w:before="20" w:after="20"/>
              <w:jc w:val="center"/>
            </w:pPr>
            <w:r>
              <w:rPr>
                <w:b/>
                <w:bCs/>
                <w:sz w:val="18"/>
                <w:szCs w:val="18"/>
              </w:rPr>
              <w:t>6%</w:t>
            </w:r>
          </w:p>
        </w:tc>
      </w:tr>
      <w:tr w:rsidR="00990B14" w14:paraId="6F7040C4" w14:textId="77777777">
        <w:trPr>
          <w:cantSplit/>
          <w:jc w:val="center"/>
        </w:trPr>
        <w:tc>
          <w:tcPr>
            <w:tcW w:w="1555" w:type="dxa"/>
            <w:vMerge/>
            <w:shd w:val="clear" w:color="auto" w:fill="4472C4"/>
            <w:vAlign w:val="center"/>
          </w:tcPr>
          <w:p w14:paraId="68FCF0E0" w14:textId="77777777" w:rsidR="00990B14" w:rsidRDefault="00990B14">
            <w:pPr>
              <w:spacing w:before="20" w:after="20"/>
            </w:pPr>
          </w:p>
        </w:tc>
        <w:tc>
          <w:tcPr>
            <w:tcW w:w="1910" w:type="dxa"/>
            <w:shd w:val="clear" w:color="auto" w:fill="4472C4"/>
            <w:vAlign w:val="center"/>
          </w:tcPr>
          <w:p w14:paraId="4AB1AA46"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1CDE24A9"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11312A15"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2628346F" w14:textId="77777777" w:rsidR="00990B14" w:rsidRDefault="00000000">
            <w:pPr>
              <w:keepNext/>
              <w:spacing w:before="20" w:after="20"/>
              <w:jc w:val="center"/>
            </w:pPr>
            <w:r>
              <w:rPr>
                <w:b/>
                <w:bCs/>
                <w:i/>
                <w:iCs/>
                <w:color w:val="FFFFFF"/>
                <w:sz w:val="18"/>
                <w:szCs w:val="18"/>
              </w:rPr>
              <w:t>Destacado (81–100)</w:t>
            </w:r>
          </w:p>
        </w:tc>
      </w:tr>
      <w:tr w:rsidR="00990B14" w14:paraId="5D6AE2FF" w14:textId="77777777">
        <w:trPr>
          <w:cantSplit/>
          <w:jc w:val="center"/>
        </w:trPr>
        <w:tc>
          <w:tcPr>
            <w:tcW w:w="1555" w:type="dxa"/>
            <w:vMerge/>
            <w:shd w:val="clear" w:color="auto" w:fill="4472C4"/>
            <w:vAlign w:val="center"/>
          </w:tcPr>
          <w:p w14:paraId="4071931E" w14:textId="77777777" w:rsidR="00990B14" w:rsidRDefault="00990B14">
            <w:pPr>
              <w:spacing w:before="20" w:after="20"/>
            </w:pPr>
          </w:p>
        </w:tc>
        <w:tc>
          <w:tcPr>
            <w:tcW w:w="1910" w:type="dxa"/>
            <w:shd w:val="clear" w:color="auto" w:fill="D9E2F3"/>
            <w:vAlign w:val="center"/>
          </w:tcPr>
          <w:p w14:paraId="6025BFBC" w14:textId="77777777" w:rsidR="00990B14" w:rsidRDefault="00000000">
            <w:pPr>
              <w:spacing w:before="20" w:after="20"/>
              <w:jc w:val="both"/>
            </w:pPr>
            <w:r>
              <w:rPr>
                <w:sz w:val="18"/>
                <w:szCs w:val="18"/>
              </w:rPr>
              <w:t>Distribución de frecuencias</w:t>
            </w:r>
          </w:p>
        </w:tc>
        <w:tc>
          <w:tcPr>
            <w:tcW w:w="1910" w:type="dxa"/>
            <w:shd w:val="clear" w:color="auto" w:fill="D9E2F3"/>
            <w:vAlign w:val="center"/>
          </w:tcPr>
          <w:p w14:paraId="23398756" w14:textId="77777777" w:rsidR="00990B14" w:rsidRDefault="00000000">
            <w:pPr>
              <w:spacing w:before="20" w:after="20"/>
              <w:jc w:val="both"/>
            </w:pPr>
            <w:r>
              <w:rPr>
                <w:sz w:val="18"/>
                <w:szCs w:val="18"/>
              </w:rPr>
              <w:t>La distribución de frecuencias o sus representaciones gráficas presentan errores.</w:t>
            </w:r>
          </w:p>
        </w:tc>
        <w:tc>
          <w:tcPr>
            <w:tcW w:w="1910" w:type="dxa"/>
            <w:shd w:val="clear" w:color="auto" w:fill="D9E2F3"/>
            <w:vAlign w:val="center"/>
          </w:tcPr>
          <w:p w14:paraId="7109A144" w14:textId="77777777" w:rsidR="00990B14" w:rsidRDefault="00000000">
            <w:pPr>
              <w:spacing w:before="20" w:after="20"/>
              <w:jc w:val="both"/>
            </w:pPr>
            <w:r>
              <w:rPr>
                <w:sz w:val="18"/>
                <w:szCs w:val="18"/>
              </w:rPr>
              <w:t>Elabora correctamente la distribución de frecuencias con sus representaciones gráficas.</w:t>
            </w:r>
          </w:p>
        </w:tc>
        <w:tc>
          <w:tcPr>
            <w:tcW w:w="2120" w:type="dxa"/>
            <w:shd w:val="clear" w:color="auto" w:fill="D9E2F3"/>
            <w:vAlign w:val="center"/>
          </w:tcPr>
          <w:p w14:paraId="197CA24B" w14:textId="77777777" w:rsidR="00990B14" w:rsidRDefault="00000000">
            <w:pPr>
              <w:spacing w:before="20" w:after="20"/>
              <w:jc w:val="both"/>
            </w:pPr>
            <w:r>
              <w:rPr>
                <w:sz w:val="18"/>
                <w:szCs w:val="18"/>
              </w:rPr>
              <w:t>Representa la distribución con escalas y fuente correctas y verifica la calidad de los datos antes del análisis.</w:t>
            </w:r>
          </w:p>
        </w:tc>
      </w:tr>
      <w:tr w:rsidR="00990B14" w14:paraId="1457565C" w14:textId="77777777">
        <w:trPr>
          <w:cantSplit/>
          <w:jc w:val="center"/>
        </w:trPr>
        <w:tc>
          <w:tcPr>
            <w:tcW w:w="1555" w:type="dxa"/>
            <w:vMerge/>
            <w:shd w:val="clear" w:color="auto" w:fill="4472C4"/>
            <w:vAlign w:val="center"/>
          </w:tcPr>
          <w:p w14:paraId="689342FA" w14:textId="77777777" w:rsidR="00990B14" w:rsidRDefault="00990B14">
            <w:pPr>
              <w:spacing w:before="20" w:after="20"/>
            </w:pPr>
          </w:p>
        </w:tc>
        <w:tc>
          <w:tcPr>
            <w:tcW w:w="1910" w:type="dxa"/>
            <w:shd w:val="clear" w:color="auto" w:fill="D9E2F3"/>
            <w:vAlign w:val="center"/>
          </w:tcPr>
          <w:p w14:paraId="747D51B3" w14:textId="77777777" w:rsidR="00990B14" w:rsidRDefault="00000000">
            <w:pPr>
              <w:spacing w:before="20" w:after="20"/>
              <w:jc w:val="both"/>
            </w:pPr>
            <w:r>
              <w:rPr>
                <w:sz w:val="18"/>
                <w:szCs w:val="18"/>
              </w:rPr>
              <w:t>Representaciones gráficas</w:t>
            </w:r>
          </w:p>
        </w:tc>
        <w:tc>
          <w:tcPr>
            <w:tcW w:w="1910" w:type="dxa"/>
            <w:shd w:val="clear" w:color="auto" w:fill="D9E2F3"/>
            <w:vAlign w:val="center"/>
          </w:tcPr>
          <w:p w14:paraId="06B43AEA" w14:textId="77777777" w:rsidR="00990B14" w:rsidRDefault="00000000">
            <w:pPr>
              <w:spacing w:before="20" w:after="20"/>
              <w:jc w:val="both"/>
            </w:pPr>
            <w:r>
              <w:rPr>
                <w:sz w:val="18"/>
                <w:szCs w:val="18"/>
              </w:rPr>
              <w:t>El histograma, el polígono de frecuencia o la ojiva presentan errores.</w:t>
            </w:r>
          </w:p>
        </w:tc>
        <w:tc>
          <w:tcPr>
            <w:tcW w:w="1910" w:type="dxa"/>
            <w:shd w:val="clear" w:color="auto" w:fill="D9E2F3"/>
            <w:vAlign w:val="center"/>
          </w:tcPr>
          <w:p w14:paraId="4B44D24A" w14:textId="77777777" w:rsidR="00990B14" w:rsidRDefault="00000000">
            <w:pPr>
              <w:spacing w:before="20" w:after="20"/>
              <w:jc w:val="both"/>
            </w:pPr>
            <w:r>
              <w:rPr>
                <w:sz w:val="18"/>
                <w:szCs w:val="18"/>
              </w:rPr>
              <w:t>Elabora correctamente el histograma, el polígono de frecuencia y la ojiva.</w:t>
            </w:r>
          </w:p>
        </w:tc>
        <w:tc>
          <w:tcPr>
            <w:tcW w:w="2120" w:type="dxa"/>
            <w:shd w:val="clear" w:color="auto" w:fill="D9E2F3"/>
            <w:vAlign w:val="center"/>
          </w:tcPr>
          <w:p w14:paraId="2A442BF6" w14:textId="77777777" w:rsidR="00990B14" w:rsidRDefault="00000000">
            <w:pPr>
              <w:spacing w:before="20" w:after="20"/>
              <w:jc w:val="both"/>
            </w:pPr>
            <w:r>
              <w:rPr>
                <w:sz w:val="18"/>
                <w:szCs w:val="18"/>
              </w:rPr>
              <w:t>Interpreta la forma de la distribución a partir de sus representaciones gráficas.</w:t>
            </w:r>
          </w:p>
        </w:tc>
      </w:tr>
      <w:tr w:rsidR="00990B14" w14:paraId="1F8BDF18" w14:textId="77777777">
        <w:trPr>
          <w:cantSplit/>
          <w:jc w:val="center"/>
        </w:trPr>
        <w:tc>
          <w:tcPr>
            <w:tcW w:w="1555" w:type="dxa"/>
            <w:vMerge/>
            <w:shd w:val="clear" w:color="auto" w:fill="4472C4"/>
            <w:vAlign w:val="center"/>
          </w:tcPr>
          <w:p w14:paraId="7598C0AA" w14:textId="77777777" w:rsidR="00990B14" w:rsidRDefault="00990B14">
            <w:pPr>
              <w:spacing w:before="20" w:after="20"/>
            </w:pPr>
          </w:p>
        </w:tc>
        <w:tc>
          <w:tcPr>
            <w:tcW w:w="1910" w:type="dxa"/>
            <w:shd w:val="clear" w:color="auto" w:fill="D9E2F3"/>
            <w:vAlign w:val="center"/>
          </w:tcPr>
          <w:p w14:paraId="00243146" w14:textId="77777777" w:rsidR="00990B14" w:rsidRDefault="00000000">
            <w:pPr>
              <w:spacing w:before="20" w:after="20"/>
              <w:jc w:val="both"/>
            </w:pPr>
            <w:r>
              <w:rPr>
                <w:sz w:val="18"/>
                <w:szCs w:val="18"/>
              </w:rPr>
              <w:t>Trabajo en equipo</w:t>
            </w:r>
          </w:p>
        </w:tc>
        <w:tc>
          <w:tcPr>
            <w:tcW w:w="1910" w:type="dxa"/>
            <w:shd w:val="clear" w:color="auto" w:fill="D9E2F3"/>
            <w:vAlign w:val="center"/>
          </w:tcPr>
          <w:p w14:paraId="0782F31F" w14:textId="77777777" w:rsidR="00990B14" w:rsidRDefault="00000000">
            <w:pPr>
              <w:spacing w:before="20" w:after="20"/>
              <w:jc w:val="both"/>
            </w:pPr>
            <w:r>
              <w:rPr>
                <w:sz w:val="18"/>
                <w:szCs w:val="18"/>
              </w:rPr>
              <w:t>Participan solo algunos integrantes.</w:t>
            </w:r>
          </w:p>
        </w:tc>
        <w:tc>
          <w:tcPr>
            <w:tcW w:w="1910" w:type="dxa"/>
            <w:shd w:val="clear" w:color="auto" w:fill="D9E2F3"/>
            <w:vAlign w:val="center"/>
          </w:tcPr>
          <w:p w14:paraId="45B59194" w14:textId="77777777" w:rsidR="00990B14" w:rsidRDefault="00000000">
            <w:pPr>
              <w:spacing w:before="20" w:after="20"/>
              <w:jc w:val="both"/>
            </w:pPr>
            <w:r>
              <w:rPr>
                <w:sz w:val="18"/>
                <w:szCs w:val="18"/>
              </w:rPr>
              <w:t>Todos los integrantes participan en la elaboración.</w:t>
            </w:r>
          </w:p>
        </w:tc>
        <w:tc>
          <w:tcPr>
            <w:tcW w:w="2120" w:type="dxa"/>
            <w:shd w:val="clear" w:color="auto" w:fill="D9E2F3"/>
            <w:vAlign w:val="center"/>
          </w:tcPr>
          <w:p w14:paraId="619EAE26" w14:textId="77777777" w:rsidR="00990B14" w:rsidRDefault="00000000">
            <w:pPr>
              <w:spacing w:before="20" w:after="20"/>
              <w:jc w:val="both"/>
            </w:pPr>
            <w:r>
              <w:rPr>
                <w:sz w:val="18"/>
                <w:szCs w:val="18"/>
              </w:rPr>
              <w:t>El equipo distribuye roles y sustenta sus resultados.</w:t>
            </w:r>
          </w:p>
        </w:tc>
      </w:tr>
      <w:tr w:rsidR="00990B14" w14:paraId="4861696C" w14:textId="77777777">
        <w:trPr>
          <w:cantSplit/>
          <w:jc w:val="center"/>
        </w:trPr>
        <w:tc>
          <w:tcPr>
            <w:tcW w:w="1555" w:type="dxa"/>
            <w:vMerge/>
            <w:shd w:val="clear" w:color="auto" w:fill="4472C4"/>
            <w:vAlign w:val="center"/>
          </w:tcPr>
          <w:p w14:paraId="53FA55CA" w14:textId="77777777" w:rsidR="00990B14" w:rsidRDefault="00990B14">
            <w:pPr>
              <w:spacing w:before="20" w:after="20"/>
            </w:pPr>
          </w:p>
        </w:tc>
        <w:tc>
          <w:tcPr>
            <w:tcW w:w="5730" w:type="dxa"/>
            <w:gridSpan w:val="3"/>
            <w:shd w:val="clear" w:color="auto" w:fill="D9E2F3"/>
            <w:vAlign w:val="center"/>
          </w:tcPr>
          <w:p w14:paraId="45B9F775" w14:textId="77777777" w:rsidR="00990B14" w:rsidRDefault="00000000">
            <w:pPr>
              <w:keepNext/>
              <w:spacing w:before="20" w:after="20"/>
              <w:jc w:val="both"/>
            </w:pPr>
            <w:r>
              <w:rPr>
                <w:b/>
                <w:bCs/>
                <w:i/>
                <w:iCs/>
                <w:sz w:val="18"/>
                <w:szCs w:val="18"/>
              </w:rPr>
              <w:t xml:space="preserve">Producto 3: </w:t>
            </w:r>
            <w:r>
              <w:rPr>
                <w:sz w:val="18"/>
                <w:szCs w:val="18"/>
              </w:rPr>
              <w:t>Cuadro de medidas de tendencia central, de posición, de apuntamiento y de dispersión.</w:t>
            </w:r>
          </w:p>
        </w:tc>
        <w:tc>
          <w:tcPr>
            <w:tcW w:w="2120" w:type="dxa"/>
            <w:shd w:val="clear" w:color="auto" w:fill="D9E2F3"/>
            <w:vAlign w:val="center"/>
          </w:tcPr>
          <w:p w14:paraId="0A570B83" w14:textId="77777777" w:rsidR="00990B14" w:rsidRDefault="00000000">
            <w:pPr>
              <w:spacing w:before="20" w:after="20"/>
              <w:jc w:val="center"/>
            </w:pPr>
            <w:r>
              <w:rPr>
                <w:b/>
                <w:bCs/>
                <w:sz w:val="18"/>
                <w:szCs w:val="18"/>
              </w:rPr>
              <w:t>6%</w:t>
            </w:r>
          </w:p>
        </w:tc>
      </w:tr>
      <w:tr w:rsidR="00990B14" w14:paraId="1090F9EE" w14:textId="77777777">
        <w:trPr>
          <w:cantSplit/>
          <w:jc w:val="center"/>
        </w:trPr>
        <w:tc>
          <w:tcPr>
            <w:tcW w:w="1555" w:type="dxa"/>
            <w:vMerge/>
            <w:shd w:val="clear" w:color="auto" w:fill="4472C4"/>
            <w:vAlign w:val="center"/>
          </w:tcPr>
          <w:p w14:paraId="5C161CFD" w14:textId="77777777" w:rsidR="00990B14" w:rsidRDefault="00990B14">
            <w:pPr>
              <w:spacing w:before="20" w:after="20"/>
            </w:pPr>
          </w:p>
        </w:tc>
        <w:tc>
          <w:tcPr>
            <w:tcW w:w="1910" w:type="dxa"/>
            <w:shd w:val="clear" w:color="auto" w:fill="4472C4"/>
            <w:vAlign w:val="center"/>
          </w:tcPr>
          <w:p w14:paraId="5762FE0F"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0BB971B9"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644C8BBD"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6799C114" w14:textId="77777777" w:rsidR="00990B14" w:rsidRDefault="00000000">
            <w:pPr>
              <w:keepNext/>
              <w:spacing w:before="20" w:after="20"/>
              <w:jc w:val="center"/>
            </w:pPr>
            <w:r>
              <w:rPr>
                <w:b/>
                <w:bCs/>
                <w:i/>
                <w:iCs/>
                <w:color w:val="FFFFFF"/>
                <w:sz w:val="18"/>
                <w:szCs w:val="18"/>
              </w:rPr>
              <w:t>Destacado (81–100)</w:t>
            </w:r>
          </w:p>
        </w:tc>
      </w:tr>
      <w:tr w:rsidR="00990B14" w14:paraId="6560B2A6" w14:textId="77777777">
        <w:trPr>
          <w:cantSplit/>
          <w:jc w:val="center"/>
        </w:trPr>
        <w:tc>
          <w:tcPr>
            <w:tcW w:w="1555" w:type="dxa"/>
            <w:vMerge/>
            <w:shd w:val="clear" w:color="auto" w:fill="4472C4"/>
            <w:vAlign w:val="center"/>
          </w:tcPr>
          <w:p w14:paraId="24D0D4E3" w14:textId="77777777" w:rsidR="00990B14" w:rsidRDefault="00990B14">
            <w:pPr>
              <w:spacing w:before="20" w:after="20"/>
            </w:pPr>
          </w:p>
        </w:tc>
        <w:tc>
          <w:tcPr>
            <w:tcW w:w="1910" w:type="dxa"/>
            <w:shd w:val="clear" w:color="auto" w:fill="D9E2F3"/>
            <w:vAlign w:val="center"/>
          </w:tcPr>
          <w:p w14:paraId="7A83CF7E" w14:textId="77777777" w:rsidR="00990B14" w:rsidRDefault="00000000">
            <w:pPr>
              <w:spacing w:before="20" w:after="20"/>
              <w:jc w:val="both"/>
            </w:pPr>
            <w:r>
              <w:rPr>
                <w:sz w:val="18"/>
                <w:szCs w:val="18"/>
              </w:rPr>
              <w:t>Medidas de tendencia central y de posición</w:t>
            </w:r>
          </w:p>
        </w:tc>
        <w:tc>
          <w:tcPr>
            <w:tcW w:w="1910" w:type="dxa"/>
            <w:shd w:val="clear" w:color="auto" w:fill="D9E2F3"/>
            <w:vAlign w:val="center"/>
          </w:tcPr>
          <w:p w14:paraId="2DBC1C78" w14:textId="77777777" w:rsidR="00990B14" w:rsidRDefault="00000000">
            <w:pPr>
              <w:spacing w:before="20" w:after="20"/>
              <w:jc w:val="both"/>
            </w:pPr>
            <w:r>
              <w:rPr>
                <w:sz w:val="18"/>
                <w:szCs w:val="18"/>
              </w:rPr>
              <w:t>Calcula incorrectamente la media, la mediana o los cuartiles de un conjunto de datos.</w:t>
            </w:r>
          </w:p>
        </w:tc>
        <w:tc>
          <w:tcPr>
            <w:tcW w:w="1910" w:type="dxa"/>
            <w:shd w:val="clear" w:color="auto" w:fill="D9E2F3"/>
            <w:vAlign w:val="center"/>
          </w:tcPr>
          <w:p w14:paraId="249CFFA3" w14:textId="77777777" w:rsidR="00990B14" w:rsidRDefault="00000000">
            <w:pPr>
              <w:spacing w:before="20" w:after="20"/>
              <w:jc w:val="both"/>
            </w:pPr>
            <w:r>
              <w:rPr>
                <w:sz w:val="18"/>
                <w:szCs w:val="18"/>
              </w:rPr>
              <w:t>Calcula correctamente las medidas de tendencia central y de posición de un conjunto de datos.</w:t>
            </w:r>
          </w:p>
        </w:tc>
        <w:tc>
          <w:tcPr>
            <w:tcW w:w="2120" w:type="dxa"/>
            <w:shd w:val="clear" w:color="auto" w:fill="D9E2F3"/>
            <w:vAlign w:val="center"/>
          </w:tcPr>
          <w:p w14:paraId="3607D41A" w14:textId="77777777" w:rsidR="00990B14" w:rsidRDefault="00000000">
            <w:pPr>
              <w:spacing w:before="20" w:after="20"/>
              <w:jc w:val="both"/>
            </w:pPr>
            <w:r>
              <w:rPr>
                <w:sz w:val="18"/>
                <w:szCs w:val="18"/>
              </w:rPr>
              <w:t>Compara los resultados obtenidos manualmente con los del software R, Python o SPSS.</w:t>
            </w:r>
          </w:p>
        </w:tc>
      </w:tr>
      <w:tr w:rsidR="00990B14" w14:paraId="15E2A809" w14:textId="77777777">
        <w:trPr>
          <w:cantSplit/>
          <w:jc w:val="center"/>
        </w:trPr>
        <w:tc>
          <w:tcPr>
            <w:tcW w:w="1555" w:type="dxa"/>
            <w:vMerge/>
            <w:shd w:val="clear" w:color="auto" w:fill="4472C4"/>
            <w:vAlign w:val="center"/>
          </w:tcPr>
          <w:p w14:paraId="49B275E7" w14:textId="77777777" w:rsidR="00990B14" w:rsidRDefault="00990B14">
            <w:pPr>
              <w:spacing w:before="20" w:after="20"/>
            </w:pPr>
          </w:p>
        </w:tc>
        <w:tc>
          <w:tcPr>
            <w:tcW w:w="1910" w:type="dxa"/>
            <w:shd w:val="clear" w:color="auto" w:fill="D9E2F3"/>
            <w:vAlign w:val="center"/>
          </w:tcPr>
          <w:p w14:paraId="5E61F276" w14:textId="77777777" w:rsidR="00990B14" w:rsidRDefault="00000000">
            <w:pPr>
              <w:spacing w:before="20" w:after="20"/>
              <w:jc w:val="both"/>
            </w:pPr>
            <w:r>
              <w:rPr>
                <w:sz w:val="18"/>
                <w:szCs w:val="18"/>
              </w:rPr>
              <w:t>Medidas de dispersión y de forma</w:t>
            </w:r>
          </w:p>
        </w:tc>
        <w:tc>
          <w:tcPr>
            <w:tcW w:w="1910" w:type="dxa"/>
            <w:shd w:val="clear" w:color="auto" w:fill="D9E2F3"/>
            <w:vAlign w:val="center"/>
          </w:tcPr>
          <w:p w14:paraId="6E9F8702" w14:textId="77777777" w:rsidR="00990B14" w:rsidRDefault="00000000">
            <w:pPr>
              <w:spacing w:before="20" w:after="20"/>
              <w:jc w:val="both"/>
            </w:pPr>
            <w:r>
              <w:rPr>
                <w:sz w:val="18"/>
                <w:szCs w:val="18"/>
              </w:rPr>
              <w:t>Calcula incorrectamente la varianza, la desviación estándar o los coeficientes de forma.</w:t>
            </w:r>
          </w:p>
        </w:tc>
        <w:tc>
          <w:tcPr>
            <w:tcW w:w="1910" w:type="dxa"/>
            <w:shd w:val="clear" w:color="auto" w:fill="D9E2F3"/>
            <w:vAlign w:val="center"/>
          </w:tcPr>
          <w:p w14:paraId="790B5860" w14:textId="77777777" w:rsidR="00990B14" w:rsidRDefault="00000000">
            <w:pPr>
              <w:spacing w:before="20" w:after="20"/>
              <w:jc w:val="both"/>
            </w:pPr>
            <w:r>
              <w:rPr>
                <w:sz w:val="18"/>
                <w:szCs w:val="18"/>
              </w:rPr>
              <w:t>Calcula correctamente las medidas de dispersión y los coeficientes de asimetría y apuntamiento.</w:t>
            </w:r>
          </w:p>
        </w:tc>
        <w:tc>
          <w:tcPr>
            <w:tcW w:w="2120" w:type="dxa"/>
            <w:shd w:val="clear" w:color="auto" w:fill="D9E2F3"/>
            <w:vAlign w:val="center"/>
          </w:tcPr>
          <w:p w14:paraId="434A566F" w14:textId="77777777" w:rsidR="00990B14" w:rsidRDefault="00000000">
            <w:pPr>
              <w:spacing w:before="20" w:after="20"/>
              <w:jc w:val="both"/>
            </w:pPr>
            <w:r>
              <w:rPr>
                <w:sz w:val="18"/>
                <w:szCs w:val="18"/>
              </w:rPr>
              <w:t>Analiza la homogeneidad de un conjunto de datos con los coeficientes de asimetría y apuntamiento.</w:t>
            </w:r>
          </w:p>
        </w:tc>
      </w:tr>
      <w:tr w:rsidR="00990B14" w14:paraId="5C6DB0F8" w14:textId="77777777">
        <w:trPr>
          <w:cantSplit/>
          <w:jc w:val="center"/>
        </w:trPr>
        <w:tc>
          <w:tcPr>
            <w:tcW w:w="1555" w:type="dxa"/>
            <w:vMerge/>
            <w:shd w:val="clear" w:color="auto" w:fill="4472C4"/>
            <w:vAlign w:val="center"/>
          </w:tcPr>
          <w:p w14:paraId="33550E3A" w14:textId="77777777" w:rsidR="00990B14" w:rsidRDefault="00990B14">
            <w:pPr>
              <w:spacing w:before="20" w:after="20"/>
            </w:pPr>
          </w:p>
        </w:tc>
        <w:tc>
          <w:tcPr>
            <w:tcW w:w="1910" w:type="dxa"/>
            <w:shd w:val="clear" w:color="auto" w:fill="D9E2F3"/>
            <w:vAlign w:val="center"/>
          </w:tcPr>
          <w:p w14:paraId="610FA04F" w14:textId="77777777" w:rsidR="00990B14" w:rsidRDefault="00000000">
            <w:pPr>
              <w:spacing w:before="20" w:after="20"/>
              <w:jc w:val="both"/>
            </w:pPr>
            <w:r>
              <w:rPr>
                <w:sz w:val="18"/>
                <w:szCs w:val="18"/>
              </w:rPr>
              <w:t>Presentación del cuadro</w:t>
            </w:r>
          </w:p>
        </w:tc>
        <w:tc>
          <w:tcPr>
            <w:tcW w:w="1910" w:type="dxa"/>
            <w:shd w:val="clear" w:color="auto" w:fill="D9E2F3"/>
            <w:vAlign w:val="center"/>
          </w:tcPr>
          <w:p w14:paraId="2F85DD5A" w14:textId="77777777" w:rsidR="00990B14" w:rsidRDefault="00000000">
            <w:pPr>
              <w:spacing w:before="20" w:after="20"/>
              <w:jc w:val="both"/>
            </w:pPr>
            <w:r>
              <w:rPr>
                <w:sz w:val="18"/>
                <w:szCs w:val="18"/>
              </w:rPr>
              <w:t>El cuadro es desordenado o incompleto.</w:t>
            </w:r>
          </w:p>
        </w:tc>
        <w:tc>
          <w:tcPr>
            <w:tcW w:w="1910" w:type="dxa"/>
            <w:shd w:val="clear" w:color="auto" w:fill="D9E2F3"/>
            <w:vAlign w:val="center"/>
          </w:tcPr>
          <w:p w14:paraId="3D8999B1" w14:textId="77777777" w:rsidR="00990B14" w:rsidRDefault="00000000">
            <w:pPr>
              <w:spacing w:before="20" w:after="20"/>
              <w:jc w:val="both"/>
            </w:pPr>
            <w:r>
              <w:rPr>
                <w:sz w:val="18"/>
                <w:szCs w:val="18"/>
              </w:rPr>
              <w:t>Presenta el cuadro ordenado con todas las medidas.</w:t>
            </w:r>
          </w:p>
        </w:tc>
        <w:tc>
          <w:tcPr>
            <w:tcW w:w="2120" w:type="dxa"/>
            <w:shd w:val="clear" w:color="auto" w:fill="D9E2F3"/>
            <w:vAlign w:val="center"/>
          </w:tcPr>
          <w:p w14:paraId="62D9E687" w14:textId="77777777" w:rsidR="00990B14" w:rsidRDefault="00000000">
            <w:pPr>
              <w:spacing w:before="20" w:after="20"/>
              <w:jc w:val="both"/>
            </w:pPr>
            <w:r>
              <w:rPr>
                <w:sz w:val="18"/>
                <w:szCs w:val="18"/>
              </w:rPr>
              <w:t>Presenta el cuadro con claridad e interpreta cada medida.</w:t>
            </w:r>
          </w:p>
        </w:tc>
      </w:tr>
      <w:tr w:rsidR="00990B14" w14:paraId="0DC04073" w14:textId="77777777">
        <w:trPr>
          <w:cantSplit/>
          <w:jc w:val="center"/>
        </w:trPr>
        <w:tc>
          <w:tcPr>
            <w:tcW w:w="1555" w:type="dxa"/>
            <w:vMerge/>
            <w:shd w:val="clear" w:color="auto" w:fill="4472C4"/>
            <w:vAlign w:val="center"/>
          </w:tcPr>
          <w:p w14:paraId="772AF175" w14:textId="77777777" w:rsidR="00990B14" w:rsidRDefault="00990B14">
            <w:pPr>
              <w:spacing w:before="20" w:after="20"/>
            </w:pPr>
          </w:p>
        </w:tc>
        <w:tc>
          <w:tcPr>
            <w:tcW w:w="5730" w:type="dxa"/>
            <w:gridSpan w:val="3"/>
            <w:shd w:val="clear" w:color="auto" w:fill="D9E2F3"/>
            <w:vAlign w:val="center"/>
          </w:tcPr>
          <w:p w14:paraId="457E0DC4" w14:textId="77777777" w:rsidR="00990B14" w:rsidRDefault="00000000">
            <w:pPr>
              <w:keepNext/>
              <w:spacing w:before="20" w:after="20"/>
              <w:jc w:val="both"/>
            </w:pPr>
            <w:r>
              <w:rPr>
                <w:b/>
                <w:bCs/>
                <w:i/>
                <w:iCs/>
                <w:sz w:val="18"/>
                <w:szCs w:val="18"/>
              </w:rPr>
              <w:t xml:space="preserve">Producto 4: </w:t>
            </w:r>
            <w:r>
              <w:rPr>
                <w:sz w:val="18"/>
                <w:szCs w:val="18"/>
              </w:rPr>
              <w:t>Informe de las medidas de forma de una distribución.</w:t>
            </w:r>
          </w:p>
        </w:tc>
        <w:tc>
          <w:tcPr>
            <w:tcW w:w="2120" w:type="dxa"/>
            <w:shd w:val="clear" w:color="auto" w:fill="D9E2F3"/>
            <w:vAlign w:val="center"/>
          </w:tcPr>
          <w:p w14:paraId="0FE2E036" w14:textId="77777777" w:rsidR="00990B14" w:rsidRDefault="00000000">
            <w:pPr>
              <w:spacing w:before="20" w:after="20"/>
              <w:jc w:val="center"/>
            </w:pPr>
            <w:r>
              <w:rPr>
                <w:b/>
                <w:bCs/>
                <w:sz w:val="18"/>
                <w:szCs w:val="18"/>
              </w:rPr>
              <w:t>6%</w:t>
            </w:r>
          </w:p>
        </w:tc>
      </w:tr>
      <w:tr w:rsidR="00990B14" w14:paraId="302CA99C" w14:textId="77777777">
        <w:trPr>
          <w:cantSplit/>
          <w:jc w:val="center"/>
        </w:trPr>
        <w:tc>
          <w:tcPr>
            <w:tcW w:w="1555" w:type="dxa"/>
            <w:vMerge/>
            <w:shd w:val="clear" w:color="auto" w:fill="4472C4"/>
            <w:vAlign w:val="center"/>
          </w:tcPr>
          <w:p w14:paraId="23754489" w14:textId="77777777" w:rsidR="00990B14" w:rsidRDefault="00990B14">
            <w:pPr>
              <w:spacing w:before="20" w:after="20"/>
            </w:pPr>
          </w:p>
        </w:tc>
        <w:tc>
          <w:tcPr>
            <w:tcW w:w="1910" w:type="dxa"/>
            <w:shd w:val="clear" w:color="auto" w:fill="4472C4"/>
            <w:vAlign w:val="center"/>
          </w:tcPr>
          <w:p w14:paraId="64D2FD8E"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0D561CDC"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3B9DE975"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3411F68F" w14:textId="77777777" w:rsidR="00990B14" w:rsidRDefault="00000000">
            <w:pPr>
              <w:keepNext/>
              <w:spacing w:before="20" w:after="20"/>
              <w:jc w:val="center"/>
            </w:pPr>
            <w:r>
              <w:rPr>
                <w:b/>
                <w:bCs/>
                <w:i/>
                <w:iCs/>
                <w:color w:val="FFFFFF"/>
                <w:sz w:val="18"/>
                <w:szCs w:val="18"/>
              </w:rPr>
              <w:t>Destacado (81–100)</w:t>
            </w:r>
          </w:p>
        </w:tc>
      </w:tr>
      <w:tr w:rsidR="00990B14" w14:paraId="45FD6097" w14:textId="77777777">
        <w:trPr>
          <w:cantSplit/>
          <w:jc w:val="center"/>
        </w:trPr>
        <w:tc>
          <w:tcPr>
            <w:tcW w:w="1555" w:type="dxa"/>
            <w:vMerge/>
            <w:shd w:val="clear" w:color="auto" w:fill="4472C4"/>
            <w:vAlign w:val="center"/>
          </w:tcPr>
          <w:p w14:paraId="3C73A176" w14:textId="77777777" w:rsidR="00990B14" w:rsidRDefault="00990B14">
            <w:pPr>
              <w:spacing w:before="20" w:after="20"/>
            </w:pPr>
          </w:p>
        </w:tc>
        <w:tc>
          <w:tcPr>
            <w:tcW w:w="1910" w:type="dxa"/>
            <w:shd w:val="clear" w:color="auto" w:fill="D9E2F3"/>
            <w:vAlign w:val="center"/>
          </w:tcPr>
          <w:p w14:paraId="3B05F2E6" w14:textId="77777777" w:rsidR="00990B14" w:rsidRDefault="00000000">
            <w:pPr>
              <w:spacing w:before="20" w:after="20"/>
              <w:jc w:val="both"/>
            </w:pPr>
            <w:r>
              <w:rPr>
                <w:sz w:val="18"/>
                <w:szCs w:val="18"/>
              </w:rPr>
              <w:t>Asimetría</w:t>
            </w:r>
          </w:p>
        </w:tc>
        <w:tc>
          <w:tcPr>
            <w:tcW w:w="1910" w:type="dxa"/>
            <w:shd w:val="clear" w:color="auto" w:fill="D9E2F3"/>
            <w:vAlign w:val="center"/>
          </w:tcPr>
          <w:p w14:paraId="6E4442E2" w14:textId="77777777" w:rsidR="00990B14" w:rsidRDefault="00000000">
            <w:pPr>
              <w:spacing w:before="20" w:after="20"/>
              <w:jc w:val="both"/>
            </w:pPr>
            <w:r>
              <w:rPr>
                <w:sz w:val="18"/>
                <w:szCs w:val="18"/>
              </w:rPr>
              <w:t>Calcula incorrectamente el coeficiente de asimetría.</w:t>
            </w:r>
          </w:p>
        </w:tc>
        <w:tc>
          <w:tcPr>
            <w:tcW w:w="1910" w:type="dxa"/>
            <w:shd w:val="clear" w:color="auto" w:fill="D9E2F3"/>
            <w:vAlign w:val="center"/>
          </w:tcPr>
          <w:p w14:paraId="4BC6D66E" w14:textId="77777777" w:rsidR="00990B14" w:rsidRDefault="00000000">
            <w:pPr>
              <w:spacing w:before="20" w:after="20"/>
              <w:jc w:val="both"/>
            </w:pPr>
            <w:r>
              <w:rPr>
                <w:sz w:val="18"/>
                <w:szCs w:val="18"/>
              </w:rPr>
              <w:t>Calcula correctamente el coeficiente de asimetría.</w:t>
            </w:r>
          </w:p>
        </w:tc>
        <w:tc>
          <w:tcPr>
            <w:tcW w:w="2120" w:type="dxa"/>
            <w:shd w:val="clear" w:color="auto" w:fill="D9E2F3"/>
            <w:vAlign w:val="center"/>
          </w:tcPr>
          <w:p w14:paraId="261D1D65" w14:textId="77777777" w:rsidR="00990B14" w:rsidRDefault="00000000">
            <w:pPr>
              <w:spacing w:before="20" w:after="20"/>
              <w:jc w:val="both"/>
            </w:pPr>
            <w:r>
              <w:rPr>
                <w:sz w:val="18"/>
                <w:szCs w:val="18"/>
              </w:rPr>
              <w:t>Interpreta la asimetría de la distribución de las ventas de la empresa.</w:t>
            </w:r>
          </w:p>
        </w:tc>
      </w:tr>
      <w:tr w:rsidR="00990B14" w14:paraId="36C58661" w14:textId="77777777">
        <w:trPr>
          <w:cantSplit/>
          <w:jc w:val="center"/>
        </w:trPr>
        <w:tc>
          <w:tcPr>
            <w:tcW w:w="1555" w:type="dxa"/>
            <w:vMerge/>
            <w:shd w:val="clear" w:color="auto" w:fill="4472C4"/>
            <w:vAlign w:val="center"/>
          </w:tcPr>
          <w:p w14:paraId="246F63D6" w14:textId="77777777" w:rsidR="00990B14" w:rsidRDefault="00990B14">
            <w:pPr>
              <w:spacing w:before="20" w:after="20"/>
            </w:pPr>
          </w:p>
        </w:tc>
        <w:tc>
          <w:tcPr>
            <w:tcW w:w="1910" w:type="dxa"/>
            <w:shd w:val="clear" w:color="auto" w:fill="D9E2F3"/>
            <w:vAlign w:val="center"/>
          </w:tcPr>
          <w:p w14:paraId="6055E08E" w14:textId="77777777" w:rsidR="00990B14" w:rsidRDefault="00000000">
            <w:pPr>
              <w:spacing w:before="20" w:after="20"/>
              <w:jc w:val="both"/>
            </w:pPr>
            <w:r>
              <w:rPr>
                <w:sz w:val="18"/>
                <w:szCs w:val="18"/>
              </w:rPr>
              <w:t>Apuntamiento</w:t>
            </w:r>
          </w:p>
        </w:tc>
        <w:tc>
          <w:tcPr>
            <w:tcW w:w="1910" w:type="dxa"/>
            <w:shd w:val="clear" w:color="auto" w:fill="D9E2F3"/>
            <w:vAlign w:val="center"/>
          </w:tcPr>
          <w:p w14:paraId="5994A34B" w14:textId="77777777" w:rsidR="00990B14" w:rsidRDefault="00000000">
            <w:pPr>
              <w:spacing w:before="20" w:after="20"/>
              <w:jc w:val="both"/>
            </w:pPr>
            <w:r>
              <w:rPr>
                <w:sz w:val="18"/>
                <w:szCs w:val="18"/>
              </w:rPr>
              <w:t>Calcula incorrectamente el coeficiente de apuntamiento.</w:t>
            </w:r>
          </w:p>
        </w:tc>
        <w:tc>
          <w:tcPr>
            <w:tcW w:w="1910" w:type="dxa"/>
            <w:shd w:val="clear" w:color="auto" w:fill="D9E2F3"/>
            <w:vAlign w:val="center"/>
          </w:tcPr>
          <w:p w14:paraId="364949D1" w14:textId="77777777" w:rsidR="00990B14" w:rsidRDefault="00000000">
            <w:pPr>
              <w:spacing w:before="20" w:after="20"/>
              <w:jc w:val="both"/>
            </w:pPr>
            <w:r>
              <w:rPr>
                <w:sz w:val="18"/>
                <w:szCs w:val="18"/>
              </w:rPr>
              <w:t>Calcula correctamente el coeficiente de apuntamiento.</w:t>
            </w:r>
          </w:p>
        </w:tc>
        <w:tc>
          <w:tcPr>
            <w:tcW w:w="2120" w:type="dxa"/>
            <w:shd w:val="clear" w:color="auto" w:fill="D9E2F3"/>
            <w:vAlign w:val="center"/>
          </w:tcPr>
          <w:p w14:paraId="34A19B09" w14:textId="77777777" w:rsidR="00990B14" w:rsidRDefault="00000000">
            <w:pPr>
              <w:spacing w:before="20" w:after="20"/>
              <w:jc w:val="both"/>
            </w:pPr>
            <w:r>
              <w:rPr>
                <w:sz w:val="18"/>
                <w:szCs w:val="18"/>
              </w:rPr>
              <w:t>Interpreta el apuntamiento y su efecto en el análisis de las ventas.</w:t>
            </w:r>
          </w:p>
        </w:tc>
      </w:tr>
      <w:tr w:rsidR="00990B14" w14:paraId="4EFE45C9" w14:textId="77777777">
        <w:trPr>
          <w:cantSplit/>
          <w:jc w:val="center"/>
        </w:trPr>
        <w:tc>
          <w:tcPr>
            <w:tcW w:w="1555" w:type="dxa"/>
            <w:vMerge/>
            <w:shd w:val="clear" w:color="auto" w:fill="4472C4"/>
            <w:vAlign w:val="center"/>
          </w:tcPr>
          <w:p w14:paraId="52C11679" w14:textId="77777777" w:rsidR="00990B14" w:rsidRDefault="00990B14">
            <w:pPr>
              <w:spacing w:before="20" w:after="20"/>
            </w:pPr>
          </w:p>
        </w:tc>
        <w:tc>
          <w:tcPr>
            <w:tcW w:w="1910" w:type="dxa"/>
            <w:shd w:val="clear" w:color="auto" w:fill="D9E2F3"/>
            <w:vAlign w:val="center"/>
          </w:tcPr>
          <w:p w14:paraId="5487F4A0" w14:textId="77777777" w:rsidR="00990B14" w:rsidRDefault="00000000">
            <w:pPr>
              <w:spacing w:before="20" w:after="20"/>
              <w:jc w:val="both"/>
            </w:pPr>
            <w:r>
              <w:rPr>
                <w:sz w:val="18"/>
                <w:szCs w:val="18"/>
              </w:rPr>
              <w:t>Exposición ante el curso</w:t>
            </w:r>
          </w:p>
        </w:tc>
        <w:tc>
          <w:tcPr>
            <w:tcW w:w="1910" w:type="dxa"/>
            <w:shd w:val="clear" w:color="auto" w:fill="D9E2F3"/>
            <w:vAlign w:val="center"/>
          </w:tcPr>
          <w:p w14:paraId="7EC081B4" w14:textId="77777777" w:rsidR="00990B14" w:rsidRDefault="00000000">
            <w:pPr>
              <w:spacing w:before="20" w:after="20"/>
              <w:jc w:val="both"/>
            </w:pPr>
            <w:r>
              <w:rPr>
                <w:sz w:val="18"/>
                <w:szCs w:val="18"/>
              </w:rPr>
              <w:t>La exposición es desordenada.</w:t>
            </w:r>
          </w:p>
        </w:tc>
        <w:tc>
          <w:tcPr>
            <w:tcW w:w="1910" w:type="dxa"/>
            <w:shd w:val="clear" w:color="auto" w:fill="D9E2F3"/>
            <w:vAlign w:val="center"/>
          </w:tcPr>
          <w:p w14:paraId="3A3CBF97" w14:textId="77777777" w:rsidR="00990B14" w:rsidRDefault="00000000">
            <w:pPr>
              <w:spacing w:before="20" w:after="20"/>
              <w:jc w:val="both"/>
            </w:pPr>
            <w:r>
              <w:rPr>
                <w:sz w:val="18"/>
                <w:szCs w:val="18"/>
              </w:rPr>
              <w:t>Expone con claridad los resultados.</w:t>
            </w:r>
          </w:p>
        </w:tc>
        <w:tc>
          <w:tcPr>
            <w:tcW w:w="2120" w:type="dxa"/>
            <w:shd w:val="clear" w:color="auto" w:fill="D9E2F3"/>
            <w:vAlign w:val="center"/>
          </w:tcPr>
          <w:p w14:paraId="478EDE98" w14:textId="77777777" w:rsidR="00990B14" w:rsidRDefault="00000000">
            <w:pPr>
              <w:spacing w:before="20" w:after="20"/>
              <w:jc w:val="both"/>
            </w:pPr>
            <w:r>
              <w:rPr>
                <w:sz w:val="18"/>
                <w:szCs w:val="18"/>
              </w:rPr>
              <w:t>Expone con claridad y responde con solvencia a las preguntas.</w:t>
            </w:r>
          </w:p>
        </w:tc>
      </w:tr>
      <w:tr w:rsidR="00990B14" w14:paraId="4D350DAC" w14:textId="77777777">
        <w:trPr>
          <w:cantSplit/>
          <w:jc w:val="center"/>
        </w:trPr>
        <w:tc>
          <w:tcPr>
            <w:tcW w:w="1555" w:type="dxa"/>
            <w:vMerge/>
            <w:shd w:val="clear" w:color="auto" w:fill="4472C4"/>
            <w:vAlign w:val="center"/>
          </w:tcPr>
          <w:p w14:paraId="0BC7FE53" w14:textId="77777777" w:rsidR="00990B14" w:rsidRDefault="00990B14">
            <w:pPr>
              <w:spacing w:before="20" w:after="20"/>
            </w:pPr>
          </w:p>
        </w:tc>
        <w:tc>
          <w:tcPr>
            <w:tcW w:w="5730" w:type="dxa"/>
            <w:gridSpan w:val="3"/>
            <w:shd w:val="clear" w:color="auto" w:fill="D9E2F3"/>
            <w:vAlign w:val="center"/>
          </w:tcPr>
          <w:p w14:paraId="12746283" w14:textId="77777777" w:rsidR="00990B14" w:rsidRDefault="00000000">
            <w:pPr>
              <w:keepNext/>
              <w:spacing w:before="20" w:after="20"/>
              <w:jc w:val="both"/>
            </w:pPr>
            <w:r>
              <w:rPr>
                <w:b/>
                <w:bCs/>
                <w:i/>
                <w:iCs/>
                <w:sz w:val="18"/>
                <w:szCs w:val="18"/>
              </w:rPr>
              <w:t xml:space="preserve">Producto 5: </w:t>
            </w:r>
            <w:r>
              <w:rPr>
                <w:sz w:val="18"/>
                <w:szCs w:val="18"/>
              </w:rPr>
              <w:t>Cuadro de covarianza y coeficiente de correlación.</w:t>
            </w:r>
          </w:p>
        </w:tc>
        <w:tc>
          <w:tcPr>
            <w:tcW w:w="2120" w:type="dxa"/>
            <w:shd w:val="clear" w:color="auto" w:fill="D9E2F3"/>
            <w:vAlign w:val="center"/>
          </w:tcPr>
          <w:p w14:paraId="15F40373" w14:textId="77777777" w:rsidR="00990B14" w:rsidRDefault="00000000">
            <w:pPr>
              <w:spacing w:before="20" w:after="20"/>
              <w:jc w:val="center"/>
            </w:pPr>
            <w:r>
              <w:rPr>
                <w:b/>
                <w:bCs/>
                <w:sz w:val="18"/>
                <w:szCs w:val="18"/>
              </w:rPr>
              <w:t>5%</w:t>
            </w:r>
          </w:p>
        </w:tc>
      </w:tr>
      <w:tr w:rsidR="00990B14" w14:paraId="6FE0C3E2" w14:textId="77777777">
        <w:trPr>
          <w:cantSplit/>
          <w:jc w:val="center"/>
        </w:trPr>
        <w:tc>
          <w:tcPr>
            <w:tcW w:w="1555" w:type="dxa"/>
            <w:vMerge/>
            <w:shd w:val="clear" w:color="auto" w:fill="4472C4"/>
            <w:vAlign w:val="center"/>
          </w:tcPr>
          <w:p w14:paraId="075A507C" w14:textId="77777777" w:rsidR="00990B14" w:rsidRDefault="00990B14">
            <w:pPr>
              <w:spacing w:before="20" w:after="20"/>
            </w:pPr>
          </w:p>
        </w:tc>
        <w:tc>
          <w:tcPr>
            <w:tcW w:w="1910" w:type="dxa"/>
            <w:shd w:val="clear" w:color="auto" w:fill="4472C4"/>
            <w:vAlign w:val="center"/>
          </w:tcPr>
          <w:p w14:paraId="2ECE6616"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3F2F26F2"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0EF5DA4C"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08C45AEC" w14:textId="77777777" w:rsidR="00990B14" w:rsidRDefault="00000000">
            <w:pPr>
              <w:keepNext/>
              <w:spacing w:before="20" w:after="20"/>
              <w:jc w:val="center"/>
            </w:pPr>
            <w:r>
              <w:rPr>
                <w:b/>
                <w:bCs/>
                <w:i/>
                <w:iCs/>
                <w:color w:val="FFFFFF"/>
                <w:sz w:val="18"/>
                <w:szCs w:val="18"/>
              </w:rPr>
              <w:t>Destacado (81–100)</w:t>
            </w:r>
          </w:p>
        </w:tc>
      </w:tr>
      <w:tr w:rsidR="00990B14" w14:paraId="04CB9148" w14:textId="77777777">
        <w:trPr>
          <w:cantSplit/>
          <w:jc w:val="center"/>
        </w:trPr>
        <w:tc>
          <w:tcPr>
            <w:tcW w:w="1555" w:type="dxa"/>
            <w:vMerge/>
            <w:shd w:val="clear" w:color="auto" w:fill="4472C4"/>
            <w:vAlign w:val="center"/>
          </w:tcPr>
          <w:p w14:paraId="1CC79F21" w14:textId="77777777" w:rsidR="00990B14" w:rsidRDefault="00990B14">
            <w:pPr>
              <w:spacing w:before="20" w:after="20"/>
            </w:pPr>
          </w:p>
        </w:tc>
        <w:tc>
          <w:tcPr>
            <w:tcW w:w="1910" w:type="dxa"/>
            <w:shd w:val="clear" w:color="auto" w:fill="D9E2F3"/>
            <w:vAlign w:val="center"/>
          </w:tcPr>
          <w:p w14:paraId="3130695D" w14:textId="77777777" w:rsidR="00990B14" w:rsidRDefault="00000000">
            <w:pPr>
              <w:spacing w:before="20" w:after="20"/>
              <w:jc w:val="both"/>
            </w:pPr>
            <w:r>
              <w:rPr>
                <w:sz w:val="18"/>
                <w:szCs w:val="18"/>
              </w:rPr>
              <w:t>Distribución bidimensional</w:t>
            </w:r>
          </w:p>
        </w:tc>
        <w:tc>
          <w:tcPr>
            <w:tcW w:w="1910" w:type="dxa"/>
            <w:shd w:val="clear" w:color="auto" w:fill="D9E2F3"/>
            <w:vAlign w:val="center"/>
          </w:tcPr>
          <w:p w14:paraId="2946ED5A" w14:textId="77777777" w:rsidR="00990B14" w:rsidRDefault="00000000">
            <w:pPr>
              <w:spacing w:before="20" w:after="20"/>
              <w:jc w:val="both"/>
            </w:pPr>
            <w:r>
              <w:rPr>
                <w:sz w:val="18"/>
                <w:szCs w:val="18"/>
              </w:rPr>
              <w:t>Calcula incorrectamente la distribución marginal o la covarianza.</w:t>
            </w:r>
          </w:p>
        </w:tc>
        <w:tc>
          <w:tcPr>
            <w:tcW w:w="1910" w:type="dxa"/>
            <w:shd w:val="clear" w:color="auto" w:fill="D9E2F3"/>
            <w:vAlign w:val="center"/>
          </w:tcPr>
          <w:p w14:paraId="210C63FF" w14:textId="77777777" w:rsidR="00990B14" w:rsidRDefault="00000000">
            <w:pPr>
              <w:spacing w:before="20" w:after="20"/>
              <w:jc w:val="both"/>
            </w:pPr>
            <w:r>
              <w:rPr>
                <w:sz w:val="18"/>
                <w:szCs w:val="18"/>
              </w:rPr>
              <w:t>Calcula correctamente la distribución marginal y la covarianza de dos variables.</w:t>
            </w:r>
          </w:p>
        </w:tc>
        <w:tc>
          <w:tcPr>
            <w:tcW w:w="2120" w:type="dxa"/>
            <w:shd w:val="clear" w:color="auto" w:fill="D9E2F3"/>
            <w:vAlign w:val="center"/>
          </w:tcPr>
          <w:p w14:paraId="7365005B" w14:textId="77777777" w:rsidR="00990B14" w:rsidRDefault="00000000">
            <w:pPr>
              <w:spacing w:before="20" w:after="20"/>
              <w:jc w:val="both"/>
            </w:pPr>
            <w:r>
              <w:rPr>
                <w:sz w:val="18"/>
                <w:szCs w:val="18"/>
              </w:rPr>
              <w:t>Interpreta el signo y la magnitud de la covarianza obtenida.</w:t>
            </w:r>
          </w:p>
        </w:tc>
      </w:tr>
      <w:tr w:rsidR="00990B14" w14:paraId="331D87A0" w14:textId="77777777">
        <w:trPr>
          <w:cantSplit/>
          <w:jc w:val="center"/>
        </w:trPr>
        <w:tc>
          <w:tcPr>
            <w:tcW w:w="1555" w:type="dxa"/>
            <w:vMerge/>
            <w:shd w:val="clear" w:color="auto" w:fill="4472C4"/>
            <w:vAlign w:val="center"/>
          </w:tcPr>
          <w:p w14:paraId="10913221" w14:textId="77777777" w:rsidR="00990B14" w:rsidRDefault="00990B14">
            <w:pPr>
              <w:spacing w:before="20" w:after="20"/>
            </w:pPr>
          </w:p>
        </w:tc>
        <w:tc>
          <w:tcPr>
            <w:tcW w:w="1910" w:type="dxa"/>
            <w:shd w:val="clear" w:color="auto" w:fill="D9E2F3"/>
            <w:vAlign w:val="center"/>
          </w:tcPr>
          <w:p w14:paraId="2D3CCD98" w14:textId="77777777" w:rsidR="00990B14" w:rsidRDefault="00000000">
            <w:pPr>
              <w:spacing w:before="20" w:after="20"/>
              <w:jc w:val="both"/>
            </w:pPr>
            <w:r>
              <w:rPr>
                <w:sz w:val="18"/>
                <w:szCs w:val="18"/>
              </w:rPr>
              <w:t>Coeficiente de correlación</w:t>
            </w:r>
          </w:p>
        </w:tc>
        <w:tc>
          <w:tcPr>
            <w:tcW w:w="1910" w:type="dxa"/>
            <w:shd w:val="clear" w:color="auto" w:fill="D9E2F3"/>
            <w:vAlign w:val="center"/>
          </w:tcPr>
          <w:p w14:paraId="10A7FD23" w14:textId="77777777" w:rsidR="00990B14" w:rsidRDefault="00000000">
            <w:pPr>
              <w:spacing w:before="20" w:after="20"/>
              <w:jc w:val="both"/>
            </w:pPr>
            <w:r>
              <w:rPr>
                <w:sz w:val="18"/>
                <w:szCs w:val="18"/>
              </w:rPr>
              <w:t>Calcula incorrectamente el coeficiente de correlación lineal.</w:t>
            </w:r>
          </w:p>
        </w:tc>
        <w:tc>
          <w:tcPr>
            <w:tcW w:w="1910" w:type="dxa"/>
            <w:shd w:val="clear" w:color="auto" w:fill="D9E2F3"/>
            <w:vAlign w:val="center"/>
          </w:tcPr>
          <w:p w14:paraId="17A6F50B" w14:textId="77777777" w:rsidR="00990B14" w:rsidRDefault="00000000">
            <w:pPr>
              <w:spacing w:before="20" w:after="20"/>
              <w:jc w:val="both"/>
            </w:pPr>
            <w:r>
              <w:rPr>
                <w:sz w:val="18"/>
                <w:szCs w:val="18"/>
              </w:rPr>
              <w:t>Calcula correctamente el coeficiente de correlación lineal con R o Python.</w:t>
            </w:r>
          </w:p>
        </w:tc>
        <w:tc>
          <w:tcPr>
            <w:tcW w:w="2120" w:type="dxa"/>
            <w:shd w:val="clear" w:color="auto" w:fill="D9E2F3"/>
            <w:vAlign w:val="center"/>
          </w:tcPr>
          <w:p w14:paraId="7B136BDA" w14:textId="77777777" w:rsidR="00990B14" w:rsidRDefault="00000000">
            <w:pPr>
              <w:spacing w:before="20" w:after="20"/>
              <w:jc w:val="both"/>
            </w:pPr>
            <w:r>
              <w:rPr>
                <w:sz w:val="18"/>
                <w:szCs w:val="18"/>
              </w:rPr>
              <w:t>Interpreta el coeficiente de correlación y distingue la asociación estadística de la relación causal.</w:t>
            </w:r>
          </w:p>
        </w:tc>
      </w:tr>
      <w:tr w:rsidR="00990B14" w14:paraId="1FF32C4F" w14:textId="77777777">
        <w:trPr>
          <w:cantSplit/>
          <w:jc w:val="center"/>
        </w:trPr>
        <w:tc>
          <w:tcPr>
            <w:tcW w:w="1555" w:type="dxa"/>
            <w:vMerge/>
            <w:shd w:val="clear" w:color="auto" w:fill="4472C4"/>
            <w:vAlign w:val="center"/>
          </w:tcPr>
          <w:p w14:paraId="0EE8E1AA" w14:textId="77777777" w:rsidR="00990B14" w:rsidRDefault="00990B14">
            <w:pPr>
              <w:spacing w:before="20" w:after="20"/>
            </w:pPr>
          </w:p>
        </w:tc>
        <w:tc>
          <w:tcPr>
            <w:tcW w:w="1910" w:type="dxa"/>
            <w:shd w:val="clear" w:color="auto" w:fill="D9E2F3"/>
            <w:vAlign w:val="center"/>
          </w:tcPr>
          <w:p w14:paraId="1725F6C0" w14:textId="77777777" w:rsidR="00990B14" w:rsidRDefault="00000000">
            <w:pPr>
              <w:spacing w:before="20" w:after="20"/>
              <w:jc w:val="both"/>
            </w:pPr>
            <w:r>
              <w:rPr>
                <w:sz w:val="18"/>
                <w:szCs w:val="18"/>
              </w:rPr>
              <w:t>Presentación del cuadro</w:t>
            </w:r>
          </w:p>
        </w:tc>
        <w:tc>
          <w:tcPr>
            <w:tcW w:w="1910" w:type="dxa"/>
            <w:shd w:val="clear" w:color="auto" w:fill="D9E2F3"/>
            <w:vAlign w:val="center"/>
          </w:tcPr>
          <w:p w14:paraId="2677DBE0" w14:textId="77777777" w:rsidR="00990B14" w:rsidRDefault="00000000">
            <w:pPr>
              <w:spacing w:before="20" w:after="20"/>
              <w:jc w:val="both"/>
            </w:pPr>
            <w:r>
              <w:rPr>
                <w:sz w:val="18"/>
                <w:szCs w:val="18"/>
              </w:rPr>
              <w:t>El cuadro es desordenado o incompleto.</w:t>
            </w:r>
          </w:p>
        </w:tc>
        <w:tc>
          <w:tcPr>
            <w:tcW w:w="1910" w:type="dxa"/>
            <w:shd w:val="clear" w:color="auto" w:fill="D9E2F3"/>
            <w:vAlign w:val="center"/>
          </w:tcPr>
          <w:p w14:paraId="5F3AD5B9" w14:textId="77777777" w:rsidR="00990B14" w:rsidRDefault="00000000">
            <w:pPr>
              <w:spacing w:before="20" w:after="20"/>
              <w:jc w:val="both"/>
            </w:pPr>
            <w:r>
              <w:rPr>
                <w:sz w:val="18"/>
                <w:szCs w:val="18"/>
              </w:rPr>
              <w:t>Presenta el cuadro ordenado con sus cálculos.</w:t>
            </w:r>
          </w:p>
        </w:tc>
        <w:tc>
          <w:tcPr>
            <w:tcW w:w="2120" w:type="dxa"/>
            <w:shd w:val="clear" w:color="auto" w:fill="D9E2F3"/>
            <w:vAlign w:val="center"/>
          </w:tcPr>
          <w:p w14:paraId="6F2600A2" w14:textId="77777777" w:rsidR="00990B14" w:rsidRDefault="00000000">
            <w:pPr>
              <w:spacing w:before="20" w:after="20"/>
              <w:jc w:val="both"/>
            </w:pPr>
            <w:r>
              <w:rPr>
                <w:sz w:val="18"/>
                <w:szCs w:val="18"/>
              </w:rPr>
              <w:t>Presenta el cuadro con claridad e interpreta sus resultados.</w:t>
            </w:r>
          </w:p>
        </w:tc>
      </w:tr>
      <w:tr w:rsidR="00990B14" w14:paraId="18943CCE" w14:textId="77777777">
        <w:trPr>
          <w:cantSplit/>
          <w:jc w:val="center"/>
        </w:trPr>
        <w:tc>
          <w:tcPr>
            <w:tcW w:w="1555" w:type="dxa"/>
            <w:vMerge/>
            <w:shd w:val="clear" w:color="auto" w:fill="4472C4"/>
            <w:vAlign w:val="center"/>
          </w:tcPr>
          <w:p w14:paraId="4EF78414" w14:textId="77777777" w:rsidR="00990B14" w:rsidRDefault="00990B14">
            <w:pPr>
              <w:spacing w:before="20" w:after="20"/>
            </w:pPr>
          </w:p>
        </w:tc>
        <w:tc>
          <w:tcPr>
            <w:tcW w:w="5730" w:type="dxa"/>
            <w:gridSpan w:val="3"/>
            <w:shd w:val="clear" w:color="auto" w:fill="D9E2F3"/>
            <w:vAlign w:val="center"/>
          </w:tcPr>
          <w:p w14:paraId="0892C1A5" w14:textId="77777777" w:rsidR="00990B14" w:rsidRDefault="00000000">
            <w:pPr>
              <w:keepNext/>
              <w:spacing w:before="20" w:after="20"/>
              <w:jc w:val="both"/>
            </w:pPr>
            <w:r>
              <w:rPr>
                <w:b/>
                <w:bCs/>
                <w:i/>
                <w:iCs/>
                <w:sz w:val="18"/>
                <w:szCs w:val="18"/>
              </w:rPr>
              <w:t xml:space="preserve">Producto 6: </w:t>
            </w:r>
            <w:r>
              <w:rPr>
                <w:sz w:val="18"/>
                <w:szCs w:val="18"/>
              </w:rPr>
              <w:t>Diagrama de dispersión con las funciones de regresión ajustadas.</w:t>
            </w:r>
          </w:p>
        </w:tc>
        <w:tc>
          <w:tcPr>
            <w:tcW w:w="2120" w:type="dxa"/>
            <w:shd w:val="clear" w:color="auto" w:fill="D9E2F3"/>
            <w:vAlign w:val="center"/>
          </w:tcPr>
          <w:p w14:paraId="011B8A45" w14:textId="77777777" w:rsidR="00990B14" w:rsidRDefault="00000000">
            <w:pPr>
              <w:spacing w:before="20" w:after="20"/>
              <w:jc w:val="center"/>
            </w:pPr>
            <w:r>
              <w:rPr>
                <w:b/>
                <w:bCs/>
                <w:sz w:val="18"/>
                <w:szCs w:val="18"/>
              </w:rPr>
              <w:t>5%</w:t>
            </w:r>
          </w:p>
        </w:tc>
      </w:tr>
      <w:tr w:rsidR="00990B14" w14:paraId="5224F576" w14:textId="77777777">
        <w:trPr>
          <w:cantSplit/>
          <w:jc w:val="center"/>
        </w:trPr>
        <w:tc>
          <w:tcPr>
            <w:tcW w:w="1555" w:type="dxa"/>
            <w:vMerge/>
            <w:shd w:val="clear" w:color="auto" w:fill="4472C4"/>
            <w:vAlign w:val="center"/>
          </w:tcPr>
          <w:p w14:paraId="09ED661C" w14:textId="77777777" w:rsidR="00990B14" w:rsidRDefault="00990B14">
            <w:pPr>
              <w:spacing w:before="20" w:after="20"/>
            </w:pPr>
          </w:p>
        </w:tc>
        <w:tc>
          <w:tcPr>
            <w:tcW w:w="1910" w:type="dxa"/>
            <w:shd w:val="clear" w:color="auto" w:fill="4472C4"/>
            <w:vAlign w:val="center"/>
          </w:tcPr>
          <w:p w14:paraId="7372F2C8"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1BD8EA77"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6BA7A694"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19AE6352" w14:textId="77777777" w:rsidR="00990B14" w:rsidRDefault="00000000">
            <w:pPr>
              <w:keepNext/>
              <w:spacing w:before="20" w:after="20"/>
              <w:jc w:val="center"/>
            </w:pPr>
            <w:r>
              <w:rPr>
                <w:b/>
                <w:bCs/>
                <w:i/>
                <w:iCs/>
                <w:color w:val="FFFFFF"/>
                <w:sz w:val="18"/>
                <w:szCs w:val="18"/>
              </w:rPr>
              <w:t>Destacado (81–100)</w:t>
            </w:r>
          </w:p>
        </w:tc>
      </w:tr>
      <w:tr w:rsidR="00990B14" w14:paraId="03D27590" w14:textId="77777777">
        <w:trPr>
          <w:cantSplit/>
          <w:jc w:val="center"/>
        </w:trPr>
        <w:tc>
          <w:tcPr>
            <w:tcW w:w="1555" w:type="dxa"/>
            <w:vMerge/>
            <w:shd w:val="clear" w:color="auto" w:fill="4472C4"/>
            <w:vAlign w:val="center"/>
          </w:tcPr>
          <w:p w14:paraId="6EE9A44E" w14:textId="77777777" w:rsidR="00990B14" w:rsidRDefault="00990B14">
            <w:pPr>
              <w:spacing w:before="20" w:after="20"/>
            </w:pPr>
          </w:p>
        </w:tc>
        <w:tc>
          <w:tcPr>
            <w:tcW w:w="1910" w:type="dxa"/>
            <w:shd w:val="clear" w:color="auto" w:fill="D9E2F3"/>
            <w:vAlign w:val="center"/>
          </w:tcPr>
          <w:p w14:paraId="14512885" w14:textId="77777777" w:rsidR="00990B14" w:rsidRDefault="00000000">
            <w:pPr>
              <w:spacing w:before="20" w:after="20"/>
              <w:jc w:val="both"/>
            </w:pPr>
            <w:r>
              <w:rPr>
                <w:sz w:val="18"/>
                <w:szCs w:val="18"/>
              </w:rPr>
              <w:t>Diagrama de dispersión</w:t>
            </w:r>
          </w:p>
        </w:tc>
        <w:tc>
          <w:tcPr>
            <w:tcW w:w="1910" w:type="dxa"/>
            <w:shd w:val="clear" w:color="auto" w:fill="D9E2F3"/>
            <w:vAlign w:val="center"/>
          </w:tcPr>
          <w:p w14:paraId="088C2440" w14:textId="77777777" w:rsidR="00990B14" w:rsidRDefault="00000000">
            <w:pPr>
              <w:spacing w:before="20" w:after="20"/>
              <w:jc w:val="both"/>
            </w:pPr>
            <w:r>
              <w:rPr>
                <w:sz w:val="18"/>
                <w:szCs w:val="18"/>
              </w:rPr>
              <w:t>El diagrama presenta errores de construcción.</w:t>
            </w:r>
          </w:p>
        </w:tc>
        <w:tc>
          <w:tcPr>
            <w:tcW w:w="1910" w:type="dxa"/>
            <w:shd w:val="clear" w:color="auto" w:fill="D9E2F3"/>
            <w:vAlign w:val="center"/>
          </w:tcPr>
          <w:p w14:paraId="03576BFE" w14:textId="77777777" w:rsidR="00990B14" w:rsidRDefault="00000000">
            <w:pPr>
              <w:spacing w:before="20" w:after="20"/>
              <w:jc w:val="both"/>
            </w:pPr>
            <w:r>
              <w:rPr>
                <w:sz w:val="18"/>
                <w:szCs w:val="18"/>
              </w:rPr>
              <w:t>Construye correctamente el diagrama de dispersión.</w:t>
            </w:r>
          </w:p>
        </w:tc>
        <w:tc>
          <w:tcPr>
            <w:tcW w:w="2120" w:type="dxa"/>
            <w:shd w:val="clear" w:color="auto" w:fill="D9E2F3"/>
            <w:vAlign w:val="center"/>
          </w:tcPr>
          <w:p w14:paraId="4BD6A05A" w14:textId="77777777" w:rsidR="00990B14" w:rsidRDefault="00000000">
            <w:pPr>
              <w:spacing w:before="20" w:after="20"/>
              <w:jc w:val="both"/>
            </w:pPr>
            <w:r>
              <w:rPr>
                <w:sz w:val="18"/>
                <w:szCs w:val="18"/>
              </w:rPr>
              <w:t>Identifica en el diagrama el patrón de relación entre las variables.</w:t>
            </w:r>
          </w:p>
        </w:tc>
      </w:tr>
      <w:tr w:rsidR="00990B14" w14:paraId="0CCF299F" w14:textId="77777777">
        <w:trPr>
          <w:cantSplit/>
          <w:jc w:val="center"/>
        </w:trPr>
        <w:tc>
          <w:tcPr>
            <w:tcW w:w="1555" w:type="dxa"/>
            <w:vMerge/>
            <w:shd w:val="clear" w:color="auto" w:fill="4472C4"/>
            <w:vAlign w:val="center"/>
          </w:tcPr>
          <w:p w14:paraId="3BF4D920" w14:textId="77777777" w:rsidR="00990B14" w:rsidRDefault="00990B14">
            <w:pPr>
              <w:spacing w:before="20" w:after="20"/>
            </w:pPr>
          </w:p>
        </w:tc>
        <w:tc>
          <w:tcPr>
            <w:tcW w:w="1910" w:type="dxa"/>
            <w:shd w:val="clear" w:color="auto" w:fill="D9E2F3"/>
            <w:vAlign w:val="center"/>
          </w:tcPr>
          <w:p w14:paraId="3B3A62DD" w14:textId="77777777" w:rsidR="00990B14" w:rsidRDefault="00000000">
            <w:pPr>
              <w:spacing w:before="20" w:after="20"/>
              <w:jc w:val="both"/>
            </w:pPr>
            <w:r>
              <w:rPr>
                <w:sz w:val="18"/>
                <w:szCs w:val="18"/>
              </w:rPr>
              <w:t>Regresión lineal</w:t>
            </w:r>
          </w:p>
        </w:tc>
        <w:tc>
          <w:tcPr>
            <w:tcW w:w="1910" w:type="dxa"/>
            <w:shd w:val="clear" w:color="auto" w:fill="D9E2F3"/>
            <w:vAlign w:val="center"/>
          </w:tcPr>
          <w:p w14:paraId="49EF81A4" w14:textId="77777777" w:rsidR="00990B14" w:rsidRDefault="00000000">
            <w:pPr>
              <w:spacing w:before="20" w:after="20"/>
              <w:jc w:val="both"/>
            </w:pPr>
            <w:r>
              <w:rPr>
                <w:sz w:val="18"/>
                <w:szCs w:val="18"/>
              </w:rPr>
              <w:t>La ecuación de regresión o el coeficiente de determinación presentan errores.</w:t>
            </w:r>
          </w:p>
        </w:tc>
        <w:tc>
          <w:tcPr>
            <w:tcW w:w="1910" w:type="dxa"/>
            <w:shd w:val="clear" w:color="auto" w:fill="D9E2F3"/>
            <w:vAlign w:val="center"/>
          </w:tcPr>
          <w:p w14:paraId="044D43C1" w14:textId="77777777" w:rsidR="00990B14" w:rsidRDefault="00000000">
            <w:pPr>
              <w:spacing w:before="20" w:after="20"/>
              <w:jc w:val="both"/>
            </w:pPr>
            <w:r>
              <w:rPr>
                <w:sz w:val="18"/>
                <w:szCs w:val="18"/>
              </w:rPr>
              <w:t>Calcula correctamente la ecuación de regresión, el coeficiente de correlación simple y el coeficiente de determinación.</w:t>
            </w:r>
          </w:p>
        </w:tc>
        <w:tc>
          <w:tcPr>
            <w:tcW w:w="2120" w:type="dxa"/>
            <w:shd w:val="clear" w:color="auto" w:fill="D9E2F3"/>
            <w:vAlign w:val="center"/>
          </w:tcPr>
          <w:p w14:paraId="232CE80E" w14:textId="77777777" w:rsidR="00990B14" w:rsidRDefault="00000000">
            <w:pPr>
              <w:spacing w:before="20" w:after="20"/>
              <w:jc w:val="both"/>
            </w:pPr>
            <w:r>
              <w:rPr>
                <w:sz w:val="18"/>
                <w:szCs w:val="18"/>
              </w:rPr>
              <w:t>Selecciona la función de ajuste más adecuada entre las regresiones lineal, parabólica, potencial, inversa y exponencial.</w:t>
            </w:r>
          </w:p>
        </w:tc>
      </w:tr>
      <w:tr w:rsidR="00990B14" w14:paraId="73C8F224" w14:textId="77777777">
        <w:trPr>
          <w:cantSplit/>
          <w:jc w:val="center"/>
        </w:trPr>
        <w:tc>
          <w:tcPr>
            <w:tcW w:w="1555" w:type="dxa"/>
            <w:vMerge/>
            <w:shd w:val="clear" w:color="auto" w:fill="4472C4"/>
            <w:vAlign w:val="center"/>
          </w:tcPr>
          <w:p w14:paraId="027C65A6" w14:textId="77777777" w:rsidR="00990B14" w:rsidRDefault="00990B14">
            <w:pPr>
              <w:spacing w:before="20" w:after="20"/>
            </w:pPr>
          </w:p>
        </w:tc>
        <w:tc>
          <w:tcPr>
            <w:tcW w:w="1910" w:type="dxa"/>
            <w:shd w:val="clear" w:color="auto" w:fill="D9E2F3"/>
            <w:vAlign w:val="center"/>
          </w:tcPr>
          <w:p w14:paraId="79543D36" w14:textId="77777777" w:rsidR="00990B14" w:rsidRDefault="00000000">
            <w:pPr>
              <w:spacing w:before="20" w:after="20"/>
              <w:jc w:val="both"/>
            </w:pPr>
            <w:r>
              <w:rPr>
                <w:sz w:val="18"/>
                <w:szCs w:val="18"/>
              </w:rPr>
              <w:t>Uso del software</w:t>
            </w:r>
          </w:p>
        </w:tc>
        <w:tc>
          <w:tcPr>
            <w:tcW w:w="1910" w:type="dxa"/>
            <w:shd w:val="clear" w:color="auto" w:fill="D9E2F3"/>
            <w:vAlign w:val="center"/>
          </w:tcPr>
          <w:p w14:paraId="2FBD2B65" w14:textId="77777777" w:rsidR="00990B14" w:rsidRDefault="00000000">
            <w:pPr>
              <w:spacing w:before="20" w:after="20"/>
              <w:jc w:val="both"/>
            </w:pPr>
            <w:r>
              <w:rPr>
                <w:sz w:val="18"/>
                <w:szCs w:val="18"/>
              </w:rPr>
              <w:t>Usa el software con errores de procedimiento.</w:t>
            </w:r>
          </w:p>
        </w:tc>
        <w:tc>
          <w:tcPr>
            <w:tcW w:w="1910" w:type="dxa"/>
            <w:shd w:val="clear" w:color="auto" w:fill="D9E2F3"/>
            <w:vAlign w:val="center"/>
          </w:tcPr>
          <w:p w14:paraId="073685F4" w14:textId="77777777" w:rsidR="00990B14" w:rsidRDefault="00000000">
            <w:pPr>
              <w:spacing w:before="20" w:after="20"/>
              <w:jc w:val="both"/>
            </w:pPr>
            <w:r>
              <w:rPr>
                <w:sz w:val="18"/>
                <w:szCs w:val="18"/>
              </w:rPr>
              <w:t>Ajusta las funciones de regresión con SPSS, R o Python.</w:t>
            </w:r>
          </w:p>
        </w:tc>
        <w:tc>
          <w:tcPr>
            <w:tcW w:w="2120" w:type="dxa"/>
            <w:shd w:val="clear" w:color="auto" w:fill="D9E2F3"/>
            <w:vAlign w:val="center"/>
          </w:tcPr>
          <w:p w14:paraId="51BDA753" w14:textId="77777777" w:rsidR="00990B14" w:rsidRDefault="00000000">
            <w:pPr>
              <w:spacing w:before="20" w:after="20"/>
              <w:jc w:val="both"/>
            </w:pPr>
            <w:r>
              <w:rPr>
                <w:sz w:val="18"/>
                <w:szCs w:val="18"/>
              </w:rPr>
              <w:t>Documenta los procedimientos y compara los ajustes obtenidos.</w:t>
            </w:r>
          </w:p>
        </w:tc>
      </w:tr>
      <w:tr w:rsidR="00990B14" w14:paraId="74D96BFC" w14:textId="77777777">
        <w:trPr>
          <w:cantSplit/>
          <w:jc w:val="center"/>
        </w:trPr>
        <w:tc>
          <w:tcPr>
            <w:tcW w:w="1555" w:type="dxa"/>
            <w:vMerge/>
            <w:shd w:val="clear" w:color="auto" w:fill="4472C4"/>
            <w:vAlign w:val="center"/>
          </w:tcPr>
          <w:p w14:paraId="7EFE4ADB" w14:textId="77777777" w:rsidR="00990B14" w:rsidRDefault="00990B14">
            <w:pPr>
              <w:spacing w:before="20" w:after="20"/>
            </w:pPr>
          </w:p>
        </w:tc>
        <w:tc>
          <w:tcPr>
            <w:tcW w:w="5730" w:type="dxa"/>
            <w:gridSpan w:val="3"/>
            <w:shd w:val="clear" w:color="auto" w:fill="D9E2F3"/>
            <w:vAlign w:val="center"/>
          </w:tcPr>
          <w:p w14:paraId="7C8AB674" w14:textId="77777777" w:rsidR="00990B14" w:rsidRDefault="00000000">
            <w:pPr>
              <w:keepNext/>
              <w:spacing w:before="20" w:after="20"/>
              <w:jc w:val="both"/>
            </w:pPr>
            <w:r>
              <w:rPr>
                <w:b/>
                <w:bCs/>
                <w:i/>
                <w:iCs/>
                <w:sz w:val="18"/>
                <w:szCs w:val="18"/>
              </w:rPr>
              <w:t xml:space="preserve">Producto 7: </w:t>
            </w:r>
            <w:r>
              <w:rPr>
                <w:sz w:val="18"/>
                <w:szCs w:val="18"/>
              </w:rPr>
              <w:t>Informe del coeficiente de determinación de un modelo de regresión.</w:t>
            </w:r>
          </w:p>
        </w:tc>
        <w:tc>
          <w:tcPr>
            <w:tcW w:w="2120" w:type="dxa"/>
            <w:shd w:val="clear" w:color="auto" w:fill="D9E2F3"/>
            <w:vAlign w:val="center"/>
          </w:tcPr>
          <w:p w14:paraId="70868CEE" w14:textId="77777777" w:rsidR="00990B14" w:rsidRDefault="00000000">
            <w:pPr>
              <w:spacing w:before="20" w:after="20"/>
              <w:jc w:val="center"/>
            </w:pPr>
            <w:r>
              <w:rPr>
                <w:b/>
                <w:bCs/>
                <w:sz w:val="18"/>
                <w:szCs w:val="18"/>
              </w:rPr>
              <w:t>5%</w:t>
            </w:r>
          </w:p>
        </w:tc>
      </w:tr>
      <w:tr w:rsidR="00990B14" w14:paraId="66F93222" w14:textId="77777777">
        <w:trPr>
          <w:cantSplit/>
          <w:jc w:val="center"/>
        </w:trPr>
        <w:tc>
          <w:tcPr>
            <w:tcW w:w="1555" w:type="dxa"/>
            <w:vMerge/>
            <w:shd w:val="clear" w:color="auto" w:fill="4472C4"/>
            <w:vAlign w:val="center"/>
          </w:tcPr>
          <w:p w14:paraId="5410A78B" w14:textId="77777777" w:rsidR="00990B14" w:rsidRDefault="00990B14">
            <w:pPr>
              <w:spacing w:before="20" w:after="20"/>
            </w:pPr>
          </w:p>
        </w:tc>
        <w:tc>
          <w:tcPr>
            <w:tcW w:w="1910" w:type="dxa"/>
            <w:shd w:val="clear" w:color="auto" w:fill="4472C4"/>
            <w:vAlign w:val="center"/>
          </w:tcPr>
          <w:p w14:paraId="1DF86939"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5DE96E7F"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5F40E037"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56E69544" w14:textId="77777777" w:rsidR="00990B14" w:rsidRDefault="00000000">
            <w:pPr>
              <w:keepNext/>
              <w:spacing w:before="20" w:after="20"/>
              <w:jc w:val="center"/>
            </w:pPr>
            <w:r>
              <w:rPr>
                <w:b/>
                <w:bCs/>
                <w:i/>
                <w:iCs/>
                <w:color w:val="FFFFFF"/>
                <w:sz w:val="18"/>
                <w:szCs w:val="18"/>
              </w:rPr>
              <w:t>Destacado (81–100)</w:t>
            </w:r>
          </w:p>
        </w:tc>
      </w:tr>
      <w:tr w:rsidR="00990B14" w14:paraId="47F78FC2" w14:textId="77777777">
        <w:trPr>
          <w:cantSplit/>
          <w:jc w:val="center"/>
        </w:trPr>
        <w:tc>
          <w:tcPr>
            <w:tcW w:w="1555" w:type="dxa"/>
            <w:vMerge/>
            <w:shd w:val="clear" w:color="auto" w:fill="4472C4"/>
            <w:vAlign w:val="center"/>
          </w:tcPr>
          <w:p w14:paraId="010539CB" w14:textId="77777777" w:rsidR="00990B14" w:rsidRDefault="00990B14">
            <w:pPr>
              <w:spacing w:before="20" w:after="20"/>
            </w:pPr>
          </w:p>
        </w:tc>
        <w:tc>
          <w:tcPr>
            <w:tcW w:w="1910" w:type="dxa"/>
            <w:shd w:val="clear" w:color="auto" w:fill="D9E2F3"/>
            <w:vAlign w:val="center"/>
          </w:tcPr>
          <w:p w14:paraId="4086C264" w14:textId="77777777" w:rsidR="00990B14" w:rsidRDefault="00000000">
            <w:pPr>
              <w:spacing w:before="20" w:after="20"/>
              <w:jc w:val="both"/>
            </w:pPr>
            <w:r>
              <w:rPr>
                <w:sz w:val="18"/>
                <w:szCs w:val="18"/>
              </w:rPr>
              <w:t>Cálculo del coeficiente</w:t>
            </w:r>
          </w:p>
        </w:tc>
        <w:tc>
          <w:tcPr>
            <w:tcW w:w="1910" w:type="dxa"/>
            <w:shd w:val="clear" w:color="auto" w:fill="D9E2F3"/>
            <w:vAlign w:val="center"/>
          </w:tcPr>
          <w:p w14:paraId="0CDC3F2A" w14:textId="77777777" w:rsidR="00990B14" w:rsidRDefault="00000000">
            <w:pPr>
              <w:spacing w:before="20" w:after="20"/>
              <w:jc w:val="both"/>
            </w:pPr>
            <w:r>
              <w:rPr>
                <w:sz w:val="18"/>
                <w:szCs w:val="18"/>
              </w:rPr>
              <w:t>Calcula incorrectamente el coeficiente de determinación.</w:t>
            </w:r>
          </w:p>
        </w:tc>
        <w:tc>
          <w:tcPr>
            <w:tcW w:w="1910" w:type="dxa"/>
            <w:shd w:val="clear" w:color="auto" w:fill="D9E2F3"/>
            <w:vAlign w:val="center"/>
          </w:tcPr>
          <w:p w14:paraId="786FDC1C" w14:textId="77777777" w:rsidR="00990B14" w:rsidRDefault="00000000">
            <w:pPr>
              <w:spacing w:before="20" w:after="20"/>
              <w:jc w:val="both"/>
            </w:pPr>
            <w:r>
              <w:rPr>
                <w:sz w:val="18"/>
                <w:szCs w:val="18"/>
              </w:rPr>
              <w:t>Calcula correctamente el coeficiente de determinación.</w:t>
            </w:r>
          </w:p>
        </w:tc>
        <w:tc>
          <w:tcPr>
            <w:tcW w:w="2120" w:type="dxa"/>
            <w:shd w:val="clear" w:color="auto" w:fill="D9E2F3"/>
            <w:vAlign w:val="center"/>
          </w:tcPr>
          <w:p w14:paraId="765C24AA" w14:textId="77777777" w:rsidR="00990B14" w:rsidRDefault="00000000">
            <w:pPr>
              <w:spacing w:before="20" w:after="20"/>
              <w:jc w:val="both"/>
            </w:pPr>
            <w:r>
              <w:rPr>
                <w:sz w:val="18"/>
                <w:szCs w:val="18"/>
              </w:rPr>
              <w:t>Calcula el coeficiente y lo relaciona con el coeficiente de correlación.</w:t>
            </w:r>
          </w:p>
        </w:tc>
      </w:tr>
      <w:tr w:rsidR="00990B14" w14:paraId="781C6C07" w14:textId="77777777">
        <w:trPr>
          <w:cantSplit/>
          <w:jc w:val="center"/>
        </w:trPr>
        <w:tc>
          <w:tcPr>
            <w:tcW w:w="1555" w:type="dxa"/>
            <w:vMerge/>
            <w:shd w:val="clear" w:color="auto" w:fill="4472C4"/>
            <w:vAlign w:val="center"/>
          </w:tcPr>
          <w:p w14:paraId="7F52E502" w14:textId="77777777" w:rsidR="00990B14" w:rsidRDefault="00990B14">
            <w:pPr>
              <w:spacing w:before="20" w:after="20"/>
            </w:pPr>
          </w:p>
        </w:tc>
        <w:tc>
          <w:tcPr>
            <w:tcW w:w="1910" w:type="dxa"/>
            <w:shd w:val="clear" w:color="auto" w:fill="D9E2F3"/>
            <w:vAlign w:val="center"/>
          </w:tcPr>
          <w:p w14:paraId="2A286E45" w14:textId="77777777" w:rsidR="00990B14" w:rsidRDefault="00000000">
            <w:pPr>
              <w:spacing w:before="20" w:after="20"/>
              <w:jc w:val="both"/>
            </w:pPr>
            <w:r>
              <w:rPr>
                <w:sz w:val="18"/>
                <w:szCs w:val="18"/>
              </w:rPr>
              <w:t>Interpretación</w:t>
            </w:r>
          </w:p>
        </w:tc>
        <w:tc>
          <w:tcPr>
            <w:tcW w:w="1910" w:type="dxa"/>
            <w:shd w:val="clear" w:color="auto" w:fill="D9E2F3"/>
            <w:vAlign w:val="center"/>
          </w:tcPr>
          <w:p w14:paraId="6C1B204F" w14:textId="77777777" w:rsidR="00990B14" w:rsidRDefault="00000000">
            <w:pPr>
              <w:spacing w:before="20" w:after="20"/>
              <w:jc w:val="both"/>
            </w:pPr>
            <w:r>
              <w:rPr>
                <w:sz w:val="18"/>
                <w:szCs w:val="18"/>
              </w:rPr>
              <w:t>No interpreta los resultados.</w:t>
            </w:r>
          </w:p>
        </w:tc>
        <w:tc>
          <w:tcPr>
            <w:tcW w:w="1910" w:type="dxa"/>
            <w:shd w:val="clear" w:color="auto" w:fill="D9E2F3"/>
            <w:vAlign w:val="center"/>
          </w:tcPr>
          <w:p w14:paraId="67B36F55" w14:textId="77777777" w:rsidR="00990B14" w:rsidRDefault="00000000">
            <w:pPr>
              <w:spacing w:before="20" w:after="20"/>
              <w:jc w:val="both"/>
            </w:pPr>
            <w:r>
              <w:rPr>
                <w:sz w:val="18"/>
                <w:szCs w:val="18"/>
              </w:rPr>
              <w:t>Interpreta la proporción de variación explicada por el modelo.</w:t>
            </w:r>
          </w:p>
        </w:tc>
        <w:tc>
          <w:tcPr>
            <w:tcW w:w="2120" w:type="dxa"/>
            <w:shd w:val="clear" w:color="auto" w:fill="D9E2F3"/>
            <w:vAlign w:val="center"/>
          </w:tcPr>
          <w:p w14:paraId="69C2FACD" w14:textId="77777777" w:rsidR="00990B14" w:rsidRDefault="00000000">
            <w:pPr>
              <w:spacing w:before="20" w:after="20"/>
              <w:jc w:val="both"/>
            </w:pPr>
            <w:r>
              <w:rPr>
                <w:sz w:val="18"/>
                <w:szCs w:val="18"/>
              </w:rPr>
              <w:t>Evalúa la bondad de ajuste del modelo para el caso práctico.</w:t>
            </w:r>
          </w:p>
        </w:tc>
      </w:tr>
      <w:tr w:rsidR="00990B14" w14:paraId="64F04B89" w14:textId="77777777">
        <w:trPr>
          <w:cantSplit/>
          <w:jc w:val="center"/>
        </w:trPr>
        <w:tc>
          <w:tcPr>
            <w:tcW w:w="1555" w:type="dxa"/>
            <w:vMerge/>
            <w:shd w:val="clear" w:color="auto" w:fill="4472C4"/>
            <w:vAlign w:val="center"/>
          </w:tcPr>
          <w:p w14:paraId="75693569" w14:textId="77777777" w:rsidR="00990B14" w:rsidRDefault="00990B14">
            <w:pPr>
              <w:spacing w:before="20" w:after="20"/>
            </w:pPr>
          </w:p>
        </w:tc>
        <w:tc>
          <w:tcPr>
            <w:tcW w:w="1910" w:type="dxa"/>
            <w:shd w:val="clear" w:color="auto" w:fill="D9E2F3"/>
            <w:vAlign w:val="center"/>
          </w:tcPr>
          <w:p w14:paraId="6032FA7F" w14:textId="77777777" w:rsidR="00990B14" w:rsidRDefault="00000000">
            <w:pPr>
              <w:spacing w:before="20" w:after="20"/>
              <w:jc w:val="both"/>
            </w:pPr>
            <w:r>
              <w:rPr>
                <w:sz w:val="18"/>
                <w:szCs w:val="18"/>
              </w:rPr>
              <w:t>Trabajo en equipo</w:t>
            </w:r>
          </w:p>
        </w:tc>
        <w:tc>
          <w:tcPr>
            <w:tcW w:w="1910" w:type="dxa"/>
            <w:shd w:val="clear" w:color="auto" w:fill="D9E2F3"/>
            <w:vAlign w:val="center"/>
          </w:tcPr>
          <w:p w14:paraId="1EC0D5FF" w14:textId="77777777" w:rsidR="00990B14" w:rsidRDefault="00000000">
            <w:pPr>
              <w:spacing w:before="20" w:after="20"/>
              <w:jc w:val="both"/>
            </w:pPr>
            <w:r>
              <w:rPr>
                <w:sz w:val="18"/>
                <w:szCs w:val="18"/>
              </w:rPr>
              <w:t>Participan solo algunos integrantes.</w:t>
            </w:r>
          </w:p>
        </w:tc>
        <w:tc>
          <w:tcPr>
            <w:tcW w:w="1910" w:type="dxa"/>
            <w:shd w:val="clear" w:color="auto" w:fill="D9E2F3"/>
            <w:vAlign w:val="center"/>
          </w:tcPr>
          <w:p w14:paraId="66DE54C7" w14:textId="77777777" w:rsidR="00990B14" w:rsidRDefault="00000000">
            <w:pPr>
              <w:spacing w:before="20" w:after="20"/>
              <w:jc w:val="both"/>
            </w:pPr>
            <w:r>
              <w:rPr>
                <w:sz w:val="18"/>
                <w:szCs w:val="18"/>
              </w:rPr>
              <w:t>Todos los integrantes participan en la elaboración.</w:t>
            </w:r>
          </w:p>
        </w:tc>
        <w:tc>
          <w:tcPr>
            <w:tcW w:w="2120" w:type="dxa"/>
            <w:shd w:val="clear" w:color="auto" w:fill="D9E2F3"/>
            <w:vAlign w:val="center"/>
          </w:tcPr>
          <w:p w14:paraId="7A673885" w14:textId="77777777" w:rsidR="00990B14" w:rsidRDefault="00000000">
            <w:pPr>
              <w:spacing w:before="20" w:after="20"/>
              <w:jc w:val="both"/>
            </w:pPr>
            <w:r>
              <w:rPr>
                <w:sz w:val="18"/>
                <w:szCs w:val="18"/>
              </w:rPr>
              <w:t>El equipo distribuye roles y sustenta sus resultados.</w:t>
            </w:r>
          </w:p>
        </w:tc>
      </w:tr>
      <w:tr w:rsidR="00990B14" w14:paraId="02B42227" w14:textId="77777777">
        <w:trPr>
          <w:cantSplit/>
          <w:jc w:val="center"/>
        </w:trPr>
        <w:tc>
          <w:tcPr>
            <w:tcW w:w="1555" w:type="dxa"/>
            <w:vMerge/>
            <w:shd w:val="clear" w:color="auto" w:fill="4472C4"/>
            <w:vAlign w:val="center"/>
          </w:tcPr>
          <w:p w14:paraId="718EC578" w14:textId="77777777" w:rsidR="00990B14" w:rsidRDefault="00990B14">
            <w:pPr>
              <w:spacing w:before="20" w:after="20"/>
            </w:pPr>
          </w:p>
        </w:tc>
        <w:tc>
          <w:tcPr>
            <w:tcW w:w="5730" w:type="dxa"/>
            <w:gridSpan w:val="3"/>
            <w:shd w:val="clear" w:color="auto" w:fill="D9E2F3"/>
            <w:vAlign w:val="center"/>
          </w:tcPr>
          <w:p w14:paraId="0D3A92B8" w14:textId="77777777" w:rsidR="00990B14" w:rsidRDefault="00000000">
            <w:pPr>
              <w:keepNext/>
              <w:spacing w:before="20" w:after="20"/>
              <w:jc w:val="both"/>
            </w:pPr>
            <w:r>
              <w:rPr>
                <w:b/>
                <w:bCs/>
                <w:i/>
                <w:iCs/>
                <w:sz w:val="18"/>
                <w:szCs w:val="18"/>
              </w:rPr>
              <w:t xml:space="preserve">Producto 8: </w:t>
            </w:r>
            <w:r>
              <w:rPr>
                <w:sz w:val="18"/>
                <w:szCs w:val="18"/>
              </w:rPr>
              <w:t>Procedimiento analítico de una partida de gastos basado en regresión.</w:t>
            </w:r>
          </w:p>
        </w:tc>
        <w:tc>
          <w:tcPr>
            <w:tcW w:w="2120" w:type="dxa"/>
            <w:shd w:val="clear" w:color="auto" w:fill="D9E2F3"/>
            <w:vAlign w:val="center"/>
          </w:tcPr>
          <w:p w14:paraId="1B1B55B8" w14:textId="77777777" w:rsidR="00990B14" w:rsidRDefault="00000000">
            <w:pPr>
              <w:spacing w:before="20" w:after="20"/>
              <w:jc w:val="center"/>
            </w:pPr>
            <w:r>
              <w:rPr>
                <w:b/>
                <w:bCs/>
                <w:sz w:val="18"/>
                <w:szCs w:val="18"/>
              </w:rPr>
              <w:t>5%</w:t>
            </w:r>
          </w:p>
        </w:tc>
      </w:tr>
      <w:tr w:rsidR="00990B14" w14:paraId="5CE6C2B7" w14:textId="77777777">
        <w:trPr>
          <w:cantSplit/>
          <w:jc w:val="center"/>
        </w:trPr>
        <w:tc>
          <w:tcPr>
            <w:tcW w:w="1555" w:type="dxa"/>
            <w:vMerge/>
            <w:shd w:val="clear" w:color="auto" w:fill="4472C4"/>
            <w:vAlign w:val="center"/>
          </w:tcPr>
          <w:p w14:paraId="538EEF62" w14:textId="77777777" w:rsidR="00990B14" w:rsidRDefault="00990B14">
            <w:pPr>
              <w:spacing w:before="20" w:after="20"/>
            </w:pPr>
          </w:p>
        </w:tc>
        <w:tc>
          <w:tcPr>
            <w:tcW w:w="1910" w:type="dxa"/>
            <w:shd w:val="clear" w:color="auto" w:fill="4472C4"/>
            <w:vAlign w:val="center"/>
          </w:tcPr>
          <w:p w14:paraId="2D826BCE"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7F6E8936"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4E92D27B"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71A187E1" w14:textId="77777777" w:rsidR="00990B14" w:rsidRDefault="00000000">
            <w:pPr>
              <w:keepNext/>
              <w:spacing w:before="20" w:after="20"/>
              <w:jc w:val="center"/>
            </w:pPr>
            <w:r>
              <w:rPr>
                <w:b/>
                <w:bCs/>
                <w:i/>
                <w:iCs/>
                <w:color w:val="FFFFFF"/>
                <w:sz w:val="18"/>
                <w:szCs w:val="18"/>
              </w:rPr>
              <w:t>Destacado (81–100)</w:t>
            </w:r>
          </w:p>
        </w:tc>
      </w:tr>
      <w:tr w:rsidR="00990B14" w14:paraId="206E6D88" w14:textId="77777777">
        <w:trPr>
          <w:cantSplit/>
          <w:jc w:val="center"/>
        </w:trPr>
        <w:tc>
          <w:tcPr>
            <w:tcW w:w="1555" w:type="dxa"/>
            <w:vMerge/>
            <w:shd w:val="clear" w:color="auto" w:fill="4472C4"/>
            <w:vAlign w:val="center"/>
          </w:tcPr>
          <w:p w14:paraId="1BC8C99D" w14:textId="77777777" w:rsidR="00990B14" w:rsidRDefault="00990B14">
            <w:pPr>
              <w:spacing w:before="20" w:after="20"/>
            </w:pPr>
          </w:p>
        </w:tc>
        <w:tc>
          <w:tcPr>
            <w:tcW w:w="1910" w:type="dxa"/>
            <w:shd w:val="clear" w:color="auto" w:fill="D9E2F3"/>
            <w:vAlign w:val="center"/>
          </w:tcPr>
          <w:p w14:paraId="00EB4B6E" w14:textId="77777777" w:rsidR="00990B14" w:rsidRDefault="00000000">
            <w:pPr>
              <w:spacing w:before="20" w:after="20"/>
              <w:jc w:val="both"/>
            </w:pPr>
            <w:r>
              <w:rPr>
                <w:sz w:val="18"/>
                <w:szCs w:val="18"/>
              </w:rPr>
              <w:t>Estimación de la partida</w:t>
            </w:r>
          </w:p>
        </w:tc>
        <w:tc>
          <w:tcPr>
            <w:tcW w:w="1910" w:type="dxa"/>
            <w:shd w:val="clear" w:color="auto" w:fill="D9E2F3"/>
            <w:vAlign w:val="center"/>
          </w:tcPr>
          <w:p w14:paraId="5DB961B3" w14:textId="77777777" w:rsidR="00990B14" w:rsidRDefault="00000000">
            <w:pPr>
              <w:spacing w:before="20" w:after="20"/>
              <w:jc w:val="both"/>
            </w:pPr>
            <w:r>
              <w:rPr>
                <w:sz w:val="18"/>
                <w:szCs w:val="18"/>
              </w:rPr>
              <w:t>La estimación presenta errores.</w:t>
            </w:r>
          </w:p>
        </w:tc>
        <w:tc>
          <w:tcPr>
            <w:tcW w:w="1910" w:type="dxa"/>
            <w:shd w:val="clear" w:color="auto" w:fill="D9E2F3"/>
            <w:vAlign w:val="center"/>
          </w:tcPr>
          <w:p w14:paraId="2BE5E659" w14:textId="77777777" w:rsidR="00990B14" w:rsidRDefault="00000000">
            <w:pPr>
              <w:spacing w:before="20" w:after="20"/>
              <w:jc w:val="both"/>
            </w:pPr>
            <w:r>
              <w:rPr>
                <w:sz w:val="18"/>
                <w:szCs w:val="18"/>
              </w:rPr>
              <w:t>Estima la partida de gastos con la ecuación de regresión.</w:t>
            </w:r>
          </w:p>
        </w:tc>
        <w:tc>
          <w:tcPr>
            <w:tcW w:w="2120" w:type="dxa"/>
            <w:shd w:val="clear" w:color="auto" w:fill="D9E2F3"/>
            <w:vAlign w:val="center"/>
          </w:tcPr>
          <w:p w14:paraId="2DC2ACDD" w14:textId="77777777" w:rsidR="00990B14" w:rsidRDefault="00000000">
            <w:pPr>
              <w:spacing w:before="20" w:after="20"/>
              <w:jc w:val="both"/>
            </w:pPr>
            <w:r>
              <w:rPr>
                <w:sz w:val="18"/>
                <w:szCs w:val="18"/>
              </w:rPr>
              <w:t>Estima la partida y justifica el modelo empleado.</w:t>
            </w:r>
          </w:p>
        </w:tc>
      </w:tr>
      <w:tr w:rsidR="00990B14" w14:paraId="1A7451C8" w14:textId="77777777">
        <w:trPr>
          <w:cantSplit/>
          <w:jc w:val="center"/>
        </w:trPr>
        <w:tc>
          <w:tcPr>
            <w:tcW w:w="1555" w:type="dxa"/>
            <w:vMerge/>
            <w:shd w:val="clear" w:color="auto" w:fill="4472C4"/>
            <w:vAlign w:val="center"/>
          </w:tcPr>
          <w:p w14:paraId="476CCCAD" w14:textId="77777777" w:rsidR="00990B14" w:rsidRDefault="00990B14">
            <w:pPr>
              <w:spacing w:before="20" w:after="20"/>
            </w:pPr>
          </w:p>
        </w:tc>
        <w:tc>
          <w:tcPr>
            <w:tcW w:w="1910" w:type="dxa"/>
            <w:shd w:val="clear" w:color="auto" w:fill="D9E2F3"/>
            <w:vAlign w:val="center"/>
          </w:tcPr>
          <w:p w14:paraId="33F4F39F" w14:textId="77777777" w:rsidR="00990B14" w:rsidRDefault="00000000">
            <w:pPr>
              <w:spacing w:before="20" w:after="20"/>
              <w:jc w:val="both"/>
            </w:pPr>
            <w:r>
              <w:rPr>
                <w:sz w:val="18"/>
                <w:szCs w:val="18"/>
              </w:rPr>
              <w:t>Análisis de desviaciones</w:t>
            </w:r>
          </w:p>
        </w:tc>
        <w:tc>
          <w:tcPr>
            <w:tcW w:w="1910" w:type="dxa"/>
            <w:shd w:val="clear" w:color="auto" w:fill="D9E2F3"/>
            <w:vAlign w:val="center"/>
          </w:tcPr>
          <w:p w14:paraId="5732EE61" w14:textId="77777777" w:rsidR="00990B14" w:rsidRDefault="00000000">
            <w:pPr>
              <w:spacing w:before="20" w:after="20"/>
              <w:jc w:val="both"/>
            </w:pPr>
            <w:r>
              <w:rPr>
                <w:sz w:val="18"/>
                <w:szCs w:val="18"/>
              </w:rPr>
              <w:t>No identifica las desviaciones.</w:t>
            </w:r>
          </w:p>
        </w:tc>
        <w:tc>
          <w:tcPr>
            <w:tcW w:w="1910" w:type="dxa"/>
            <w:shd w:val="clear" w:color="auto" w:fill="D9E2F3"/>
            <w:vAlign w:val="center"/>
          </w:tcPr>
          <w:p w14:paraId="57EFF45A" w14:textId="77777777" w:rsidR="00990B14" w:rsidRDefault="00000000">
            <w:pPr>
              <w:spacing w:before="20" w:after="20"/>
              <w:jc w:val="both"/>
            </w:pPr>
            <w:r>
              <w:rPr>
                <w:sz w:val="18"/>
                <w:szCs w:val="18"/>
              </w:rPr>
              <w:t>Identifica las desviaciones significativas.</w:t>
            </w:r>
          </w:p>
        </w:tc>
        <w:tc>
          <w:tcPr>
            <w:tcW w:w="2120" w:type="dxa"/>
            <w:shd w:val="clear" w:color="auto" w:fill="D9E2F3"/>
            <w:vAlign w:val="center"/>
          </w:tcPr>
          <w:p w14:paraId="2B7DF6DD" w14:textId="77777777" w:rsidR="00990B14" w:rsidRDefault="00000000">
            <w:pPr>
              <w:spacing w:before="20" w:after="20"/>
              <w:jc w:val="both"/>
            </w:pPr>
            <w:r>
              <w:rPr>
                <w:sz w:val="18"/>
                <w:szCs w:val="18"/>
              </w:rPr>
              <w:t>Explica las causas de las desviaciones significativas.</w:t>
            </w:r>
          </w:p>
        </w:tc>
      </w:tr>
      <w:tr w:rsidR="00990B14" w14:paraId="2667F85C" w14:textId="77777777">
        <w:trPr>
          <w:cantSplit/>
          <w:jc w:val="center"/>
        </w:trPr>
        <w:tc>
          <w:tcPr>
            <w:tcW w:w="1555" w:type="dxa"/>
            <w:vMerge/>
            <w:shd w:val="clear" w:color="auto" w:fill="4472C4"/>
            <w:vAlign w:val="center"/>
          </w:tcPr>
          <w:p w14:paraId="7B7222CB" w14:textId="77777777" w:rsidR="00990B14" w:rsidRDefault="00990B14">
            <w:pPr>
              <w:spacing w:before="20" w:after="20"/>
            </w:pPr>
          </w:p>
        </w:tc>
        <w:tc>
          <w:tcPr>
            <w:tcW w:w="1910" w:type="dxa"/>
            <w:shd w:val="clear" w:color="auto" w:fill="D9E2F3"/>
            <w:vAlign w:val="center"/>
          </w:tcPr>
          <w:p w14:paraId="64ADCE57" w14:textId="77777777" w:rsidR="00990B14" w:rsidRDefault="00000000">
            <w:pPr>
              <w:spacing w:before="20" w:after="20"/>
              <w:jc w:val="both"/>
            </w:pPr>
            <w:r>
              <w:rPr>
                <w:sz w:val="18"/>
                <w:szCs w:val="18"/>
              </w:rPr>
              <w:t>Exposición ante el curso</w:t>
            </w:r>
          </w:p>
        </w:tc>
        <w:tc>
          <w:tcPr>
            <w:tcW w:w="1910" w:type="dxa"/>
            <w:shd w:val="clear" w:color="auto" w:fill="D9E2F3"/>
            <w:vAlign w:val="center"/>
          </w:tcPr>
          <w:p w14:paraId="7AD1BE89" w14:textId="77777777" w:rsidR="00990B14" w:rsidRDefault="00000000">
            <w:pPr>
              <w:spacing w:before="20" w:after="20"/>
              <w:jc w:val="both"/>
            </w:pPr>
            <w:r>
              <w:rPr>
                <w:sz w:val="18"/>
                <w:szCs w:val="18"/>
              </w:rPr>
              <w:t>La exposición es desordenada.</w:t>
            </w:r>
          </w:p>
        </w:tc>
        <w:tc>
          <w:tcPr>
            <w:tcW w:w="1910" w:type="dxa"/>
            <w:shd w:val="clear" w:color="auto" w:fill="D9E2F3"/>
            <w:vAlign w:val="center"/>
          </w:tcPr>
          <w:p w14:paraId="5B87934A" w14:textId="77777777" w:rsidR="00990B14" w:rsidRDefault="00000000">
            <w:pPr>
              <w:spacing w:before="20" w:after="20"/>
              <w:jc w:val="both"/>
            </w:pPr>
            <w:r>
              <w:rPr>
                <w:sz w:val="18"/>
                <w:szCs w:val="18"/>
              </w:rPr>
              <w:t>Expone con claridad los resultados.</w:t>
            </w:r>
          </w:p>
        </w:tc>
        <w:tc>
          <w:tcPr>
            <w:tcW w:w="2120" w:type="dxa"/>
            <w:shd w:val="clear" w:color="auto" w:fill="D9E2F3"/>
            <w:vAlign w:val="center"/>
          </w:tcPr>
          <w:p w14:paraId="7B2A7218" w14:textId="77777777" w:rsidR="00990B14" w:rsidRDefault="00000000">
            <w:pPr>
              <w:spacing w:before="20" w:after="20"/>
              <w:jc w:val="both"/>
            </w:pPr>
            <w:r>
              <w:rPr>
                <w:sz w:val="18"/>
                <w:szCs w:val="18"/>
              </w:rPr>
              <w:t>Expone con claridad y responde con solvencia a las preguntas.</w:t>
            </w:r>
          </w:p>
        </w:tc>
      </w:tr>
      <w:tr w:rsidR="00990B14" w14:paraId="27F3667D" w14:textId="77777777">
        <w:trPr>
          <w:cantSplit/>
          <w:jc w:val="center"/>
        </w:trPr>
        <w:tc>
          <w:tcPr>
            <w:tcW w:w="1555" w:type="dxa"/>
            <w:vMerge/>
            <w:shd w:val="clear" w:color="auto" w:fill="4472C4"/>
            <w:vAlign w:val="center"/>
          </w:tcPr>
          <w:p w14:paraId="7DAF9BCA" w14:textId="77777777" w:rsidR="00990B14" w:rsidRDefault="00990B14">
            <w:pPr>
              <w:spacing w:before="20" w:after="20"/>
            </w:pPr>
          </w:p>
        </w:tc>
        <w:tc>
          <w:tcPr>
            <w:tcW w:w="5730" w:type="dxa"/>
            <w:gridSpan w:val="3"/>
            <w:shd w:val="clear" w:color="auto" w:fill="D9E2F3"/>
            <w:vAlign w:val="center"/>
          </w:tcPr>
          <w:p w14:paraId="54F88154" w14:textId="77777777" w:rsidR="00990B14" w:rsidRDefault="00000000">
            <w:pPr>
              <w:keepNext/>
              <w:spacing w:before="20" w:after="20"/>
              <w:jc w:val="both"/>
            </w:pPr>
            <w:r>
              <w:rPr>
                <w:b/>
                <w:bCs/>
                <w:i/>
                <w:iCs/>
                <w:sz w:val="18"/>
                <w:szCs w:val="18"/>
              </w:rPr>
              <w:t xml:space="preserve">Producto 9: </w:t>
            </w:r>
            <w:r>
              <w:rPr>
                <w:sz w:val="18"/>
                <w:szCs w:val="18"/>
              </w:rPr>
              <w:t>Distribución de probabilidad de una variable aleatoria discreta con su media y su varianza.</w:t>
            </w:r>
          </w:p>
        </w:tc>
        <w:tc>
          <w:tcPr>
            <w:tcW w:w="2120" w:type="dxa"/>
            <w:shd w:val="clear" w:color="auto" w:fill="D9E2F3"/>
            <w:vAlign w:val="center"/>
          </w:tcPr>
          <w:p w14:paraId="5C86518D" w14:textId="77777777" w:rsidR="00990B14" w:rsidRDefault="00000000">
            <w:pPr>
              <w:spacing w:before="20" w:after="20"/>
              <w:jc w:val="center"/>
            </w:pPr>
            <w:r>
              <w:rPr>
                <w:b/>
                <w:bCs/>
                <w:sz w:val="18"/>
                <w:szCs w:val="18"/>
              </w:rPr>
              <w:t>5%</w:t>
            </w:r>
          </w:p>
        </w:tc>
      </w:tr>
      <w:tr w:rsidR="00990B14" w14:paraId="0EC16E91" w14:textId="77777777">
        <w:trPr>
          <w:cantSplit/>
          <w:jc w:val="center"/>
        </w:trPr>
        <w:tc>
          <w:tcPr>
            <w:tcW w:w="1555" w:type="dxa"/>
            <w:vMerge/>
            <w:shd w:val="clear" w:color="auto" w:fill="4472C4"/>
            <w:vAlign w:val="center"/>
          </w:tcPr>
          <w:p w14:paraId="3FAFA233" w14:textId="77777777" w:rsidR="00990B14" w:rsidRDefault="00990B14">
            <w:pPr>
              <w:spacing w:before="20" w:after="20"/>
            </w:pPr>
          </w:p>
        </w:tc>
        <w:tc>
          <w:tcPr>
            <w:tcW w:w="1910" w:type="dxa"/>
            <w:shd w:val="clear" w:color="auto" w:fill="4472C4"/>
            <w:vAlign w:val="center"/>
          </w:tcPr>
          <w:p w14:paraId="4FEE61BB"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07282FA9"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2BB90903"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749B8EC7" w14:textId="77777777" w:rsidR="00990B14" w:rsidRDefault="00000000">
            <w:pPr>
              <w:keepNext/>
              <w:spacing w:before="20" w:after="20"/>
              <w:jc w:val="center"/>
            </w:pPr>
            <w:r>
              <w:rPr>
                <w:b/>
                <w:bCs/>
                <w:i/>
                <w:iCs/>
                <w:color w:val="FFFFFF"/>
                <w:sz w:val="18"/>
                <w:szCs w:val="18"/>
              </w:rPr>
              <w:t>Destacado (81–100)</w:t>
            </w:r>
          </w:p>
        </w:tc>
      </w:tr>
      <w:tr w:rsidR="00990B14" w14:paraId="31293929" w14:textId="77777777">
        <w:trPr>
          <w:cantSplit/>
          <w:jc w:val="center"/>
        </w:trPr>
        <w:tc>
          <w:tcPr>
            <w:tcW w:w="1555" w:type="dxa"/>
            <w:vMerge/>
            <w:shd w:val="clear" w:color="auto" w:fill="4472C4"/>
            <w:vAlign w:val="center"/>
          </w:tcPr>
          <w:p w14:paraId="2DBB7756" w14:textId="77777777" w:rsidR="00990B14" w:rsidRDefault="00990B14">
            <w:pPr>
              <w:spacing w:before="20" w:after="20"/>
            </w:pPr>
          </w:p>
        </w:tc>
        <w:tc>
          <w:tcPr>
            <w:tcW w:w="1910" w:type="dxa"/>
            <w:shd w:val="clear" w:color="auto" w:fill="D9E2F3"/>
            <w:vAlign w:val="center"/>
          </w:tcPr>
          <w:p w14:paraId="0BDDDCBC" w14:textId="77777777" w:rsidR="00990B14" w:rsidRDefault="00000000">
            <w:pPr>
              <w:spacing w:before="20" w:after="20"/>
              <w:jc w:val="both"/>
            </w:pPr>
            <w:r>
              <w:rPr>
                <w:sz w:val="18"/>
                <w:szCs w:val="18"/>
              </w:rPr>
              <w:t>Planteamiento del caso</w:t>
            </w:r>
          </w:p>
        </w:tc>
        <w:tc>
          <w:tcPr>
            <w:tcW w:w="1910" w:type="dxa"/>
            <w:shd w:val="clear" w:color="auto" w:fill="D9E2F3"/>
            <w:vAlign w:val="center"/>
          </w:tcPr>
          <w:p w14:paraId="5969DE81" w14:textId="77777777" w:rsidR="00990B14" w:rsidRDefault="00000000">
            <w:pPr>
              <w:spacing w:before="20" w:after="20"/>
              <w:jc w:val="both"/>
            </w:pPr>
            <w:r>
              <w:rPr>
                <w:sz w:val="18"/>
                <w:szCs w:val="18"/>
              </w:rPr>
              <w:t>Plantea la variable aleatoria de forma incorrecta.</w:t>
            </w:r>
          </w:p>
        </w:tc>
        <w:tc>
          <w:tcPr>
            <w:tcW w:w="1910" w:type="dxa"/>
            <w:shd w:val="clear" w:color="auto" w:fill="D9E2F3"/>
            <w:vAlign w:val="center"/>
          </w:tcPr>
          <w:p w14:paraId="4D89DC45" w14:textId="77777777" w:rsidR="00990B14" w:rsidRDefault="00000000">
            <w:pPr>
              <w:spacing w:before="20" w:after="20"/>
              <w:jc w:val="both"/>
            </w:pPr>
            <w:r>
              <w:rPr>
                <w:sz w:val="18"/>
                <w:szCs w:val="18"/>
              </w:rPr>
              <w:t>Define correctamente la variable aleatoria y sus valores.</w:t>
            </w:r>
          </w:p>
        </w:tc>
        <w:tc>
          <w:tcPr>
            <w:tcW w:w="2120" w:type="dxa"/>
            <w:shd w:val="clear" w:color="auto" w:fill="D9E2F3"/>
            <w:vAlign w:val="center"/>
          </w:tcPr>
          <w:p w14:paraId="3CD42200" w14:textId="77777777" w:rsidR="00990B14" w:rsidRDefault="00000000">
            <w:pPr>
              <w:spacing w:before="20" w:after="20"/>
              <w:jc w:val="both"/>
            </w:pPr>
            <w:r>
              <w:rPr>
                <w:sz w:val="18"/>
                <w:szCs w:val="18"/>
              </w:rPr>
              <w:t>Define la variable y justifica el modelo elegido.</w:t>
            </w:r>
          </w:p>
        </w:tc>
      </w:tr>
      <w:tr w:rsidR="00990B14" w14:paraId="586C1335" w14:textId="77777777">
        <w:trPr>
          <w:cantSplit/>
          <w:jc w:val="center"/>
        </w:trPr>
        <w:tc>
          <w:tcPr>
            <w:tcW w:w="1555" w:type="dxa"/>
            <w:vMerge/>
            <w:shd w:val="clear" w:color="auto" w:fill="4472C4"/>
            <w:vAlign w:val="center"/>
          </w:tcPr>
          <w:p w14:paraId="1582A799" w14:textId="77777777" w:rsidR="00990B14" w:rsidRDefault="00990B14">
            <w:pPr>
              <w:spacing w:before="20" w:after="20"/>
            </w:pPr>
          </w:p>
        </w:tc>
        <w:tc>
          <w:tcPr>
            <w:tcW w:w="1910" w:type="dxa"/>
            <w:shd w:val="clear" w:color="auto" w:fill="D9E2F3"/>
            <w:vAlign w:val="center"/>
          </w:tcPr>
          <w:p w14:paraId="506459EB" w14:textId="77777777" w:rsidR="00990B14" w:rsidRDefault="00000000">
            <w:pPr>
              <w:spacing w:before="20" w:after="20"/>
              <w:jc w:val="both"/>
            </w:pPr>
            <w:r>
              <w:rPr>
                <w:sz w:val="18"/>
                <w:szCs w:val="18"/>
              </w:rPr>
              <w:t>Distribución de probabilidad discreta</w:t>
            </w:r>
          </w:p>
        </w:tc>
        <w:tc>
          <w:tcPr>
            <w:tcW w:w="1910" w:type="dxa"/>
            <w:shd w:val="clear" w:color="auto" w:fill="D9E2F3"/>
            <w:vAlign w:val="center"/>
          </w:tcPr>
          <w:p w14:paraId="34DA7532" w14:textId="77777777" w:rsidR="00990B14" w:rsidRDefault="00000000">
            <w:pPr>
              <w:spacing w:before="20" w:after="20"/>
              <w:jc w:val="both"/>
            </w:pPr>
            <w:r>
              <w:rPr>
                <w:sz w:val="18"/>
                <w:szCs w:val="18"/>
              </w:rPr>
              <w:t>Confunde las distribuciones de Bernoulli, binomial, geométrica o Poisson.</w:t>
            </w:r>
          </w:p>
        </w:tc>
        <w:tc>
          <w:tcPr>
            <w:tcW w:w="1910" w:type="dxa"/>
            <w:shd w:val="clear" w:color="auto" w:fill="D9E2F3"/>
            <w:vAlign w:val="center"/>
          </w:tcPr>
          <w:p w14:paraId="3BCEDD6D" w14:textId="77777777" w:rsidR="00990B14" w:rsidRDefault="00000000">
            <w:pPr>
              <w:spacing w:before="20" w:after="20"/>
              <w:jc w:val="both"/>
            </w:pPr>
            <w:r>
              <w:rPr>
                <w:sz w:val="18"/>
                <w:szCs w:val="18"/>
              </w:rPr>
              <w:t>Aplica correctamente la distribución de probabilidad discreta pertinente al caso.</w:t>
            </w:r>
          </w:p>
        </w:tc>
        <w:tc>
          <w:tcPr>
            <w:tcW w:w="2120" w:type="dxa"/>
            <w:shd w:val="clear" w:color="auto" w:fill="D9E2F3"/>
            <w:vAlign w:val="center"/>
          </w:tcPr>
          <w:p w14:paraId="0A116569" w14:textId="77777777" w:rsidR="00990B14" w:rsidRDefault="00000000">
            <w:pPr>
              <w:spacing w:before="20" w:after="20"/>
              <w:jc w:val="both"/>
            </w:pPr>
            <w:r>
              <w:rPr>
                <w:sz w:val="18"/>
                <w:szCs w:val="18"/>
              </w:rPr>
              <w:t>Calcula la media y la varianza de la variable aleatoria discreta del caso.</w:t>
            </w:r>
          </w:p>
        </w:tc>
      </w:tr>
      <w:tr w:rsidR="00990B14" w14:paraId="2E427604" w14:textId="77777777">
        <w:trPr>
          <w:cantSplit/>
          <w:jc w:val="center"/>
        </w:trPr>
        <w:tc>
          <w:tcPr>
            <w:tcW w:w="1555" w:type="dxa"/>
            <w:vMerge/>
            <w:shd w:val="clear" w:color="auto" w:fill="4472C4"/>
            <w:vAlign w:val="center"/>
          </w:tcPr>
          <w:p w14:paraId="4529BC95" w14:textId="77777777" w:rsidR="00990B14" w:rsidRDefault="00990B14">
            <w:pPr>
              <w:spacing w:before="20" w:after="20"/>
            </w:pPr>
          </w:p>
        </w:tc>
        <w:tc>
          <w:tcPr>
            <w:tcW w:w="1910" w:type="dxa"/>
            <w:shd w:val="clear" w:color="auto" w:fill="D9E2F3"/>
            <w:vAlign w:val="center"/>
          </w:tcPr>
          <w:p w14:paraId="6D348248" w14:textId="77777777" w:rsidR="00990B14" w:rsidRDefault="00000000">
            <w:pPr>
              <w:spacing w:before="20" w:after="20"/>
              <w:jc w:val="both"/>
            </w:pPr>
            <w:r>
              <w:rPr>
                <w:sz w:val="18"/>
                <w:szCs w:val="18"/>
              </w:rPr>
              <w:t>Media y varianza</w:t>
            </w:r>
          </w:p>
        </w:tc>
        <w:tc>
          <w:tcPr>
            <w:tcW w:w="1910" w:type="dxa"/>
            <w:shd w:val="clear" w:color="auto" w:fill="D9E2F3"/>
            <w:vAlign w:val="center"/>
          </w:tcPr>
          <w:p w14:paraId="1277026A" w14:textId="77777777" w:rsidR="00990B14" w:rsidRDefault="00000000">
            <w:pPr>
              <w:spacing w:before="20" w:after="20"/>
              <w:jc w:val="both"/>
            </w:pPr>
            <w:r>
              <w:rPr>
                <w:sz w:val="18"/>
                <w:szCs w:val="18"/>
              </w:rPr>
              <w:t>Calcula incorrectamente la media o la varianza.</w:t>
            </w:r>
          </w:p>
        </w:tc>
        <w:tc>
          <w:tcPr>
            <w:tcW w:w="1910" w:type="dxa"/>
            <w:shd w:val="clear" w:color="auto" w:fill="D9E2F3"/>
            <w:vAlign w:val="center"/>
          </w:tcPr>
          <w:p w14:paraId="7AA45287" w14:textId="77777777" w:rsidR="00990B14" w:rsidRDefault="00000000">
            <w:pPr>
              <w:spacing w:before="20" w:after="20"/>
              <w:jc w:val="both"/>
            </w:pPr>
            <w:r>
              <w:rPr>
                <w:sz w:val="18"/>
                <w:szCs w:val="18"/>
              </w:rPr>
              <w:t>Calcula correctamente la media y la varianza.</w:t>
            </w:r>
          </w:p>
        </w:tc>
        <w:tc>
          <w:tcPr>
            <w:tcW w:w="2120" w:type="dxa"/>
            <w:shd w:val="clear" w:color="auto" w:fill="D9E2F3"/>
            <w:vAlign w:val="center"/>
          </w:tcPr>
          <w:p w14:paraId="0CFF03D3" w14:textId="77777777" w:rsidR="00990B14" w:rsidRDefault="00000000">
            <w:pPr>
              <w:spacing w:before="20" w:after="20"/>
              <w:jc w:val="both"/>
            </w:pPr>
            <w:r>
              <w:rPr>
                <w:sz w:val="18"/>
                <w:szCs w:val="18"/>
              </w:rPr>
              <w:t>Interpreta la media y la varianza en el contexto del caso.</w:t>
            </w:r>
          </w:p>
        </w:tc>
      </w:tr>
      <w:tr w:rsidR="00990B14" w14:paraId="5D891D1B" w14:textId="77777777">
        <w:trPr>
          <w:cantSplit/>
          <w:jc w:val="center"/>
        </w:trPr>
        <w:tc>
          <w:tcPr>
            <w:tcW w:w="1555" w:type="dxa"/>
            <w:vMerge/>
            <w:shd w:val="clear" w:color="auto" w:fill="4472C4"/>
            <w:vAlign w:val="center"/>
          </w:tcPr>
          <w:p w14:paraId="46B6526A" w14:textId="77777777" w:rsidR="00990B14" w:rsidRDefault="00990B14">
            <w:pPr>
              <w:spacing w:before="20" w:after="20"/>
            </w:pPr>
          </w:p>
        </w:tc>
        <w:tc>
          <w:tcPr>
            <w:tcW w:w="5730" w:type="dxa"/>
            <w:gridSpan w:val="3"/>
            <w:shd w:val="clear" w:color="auto" w:fill="D9E2F3"/>
            <w:vAlign w:val="center"/>
          </w:tcPr>
          <w:p w14:paraId="5B8499FA" w14:textId="77777777" w:rsidR="00990B14" w:rsidRDefault="00000000">
            <w:pPr>
              <w:keepNext/>
              <w:spacing w:before="20" w:after="20"/>
              <w:jc w:val="both"/>
            </w:pPr>
            <w:r>
              <w:rPr>
                <w:b/>
                <w:bCs/>
                <w:i/>
                <w:iCs/>
                <w:sz w:val="18"/>
                <w:szCs w:val="18"/>
              </w:rPr>
              <w:t xml:space="preserve">Producto 10: </w:t>
            </w:r>
            <w:r>
              <w:rPr>
                <w:sz w:val="18"/>
                <w:szCs w:val="18"/>
              </w:rPr>
              <w:t>Distribución de probabilidad de una variable aleatoria continua con su media y su varianza.</w:t>
            </w:r>
          </w:p>
        </w:tc>
        <w:tc>
          <w:tcPr>
            <w:tcW w:w="2120" w:type="dxa"/>
            <w:shd w:val="clear" w:color="auto" w:fill="D9E2F3"/>
            <w:vAlign w:val="center"/>
          </w:tcPr>
          <w:p w14:paraId="0913F420" w14:textId="77777777" w:rsidR="00990B14" w:rsidRDefault="00000000">
            <w:pPr>
              <w:spacing w:before="20" w:after="20"/>
              <w:jc w:val="center"/>
            </w:pPr>
            <w:r>
              <w:rPr>
                <w:b/>
                <w:bCs/>
                <w:sz w:val="18"/>
                <w:szCs w:val="18"/>
              </w:rPr>
              <w:t>5%</w:t>
            </w:r>
          </w:p>
        </w:tc>
      </w:tr>
      <w:tr w:rsidR="00990B14" w14:paraId="3C0ED9B5" w14:textId="77777777">
        <w:trPr>
          <w:cantSplit/>
          <w:jc w:val="center"/>
        </w:trPr>
        <w:tc>
          <w:tcPr>
            <w:tcW w:w="1555" w:type="dxa"/>
            <w:vMerge/>
            <w:shd w:val="clear" w:color="auto" w:fill="4472C4"/>
            <w:vAlign w:val="center"/>
          </w:tcPr>
          <w:p w14:paraId="702E7876" w14:textId="77777777" w:rsidR="00990B14" w:rsidRDefault="00990B14">
            <w:pPr>
              <w:spacing w:before="20" w:after="20"/>
            </w:pPr>
          </w:p>
        </w:tc>
        <w:tc>
          <w:tcPr>
            <w:tcW w:w="1910" w:type="dxa"/>
            <w:shd w:val="clear" w:color="auto" w:fill="4472C4"/>
            <w:vAlign w:val="center"/>
          </w:tcPr>
          <w:p w14:paraId="41D03709"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6BDC2AF6"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7868FF46"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6F160D73" w14:textId="77777777" w:rsidR="00990B14" w:rsidRDefault="00000000">
            <w:pPr>
              <w:keepNext/>
              <w:spacing w:before="20" w:after="20"/>
              <w:jc w:val="center"/>
            </w:pPr>
            <w:r>
              <w:rPr>
                <w:b/>
                <w:bCs/>
                <w:i/>
                <w:iCs/>
                <w:color w:val="FFFFFF"/>
                <w:sz w:val="18"/>
                <w:szCs w:val="18"/>
              </w:rPr>
              <w:t>Destacado (81–100)</w:t>
            </w:r>
          </w:p>
        </w:tc>
      </w:tr>
      <w:tr w:rsidR="00990B14" w14:paraId="41A0EF71" w14:textId="77777777">
        <w:trPr>
          <w:cantSplit/>
          <w:jc w:val="center"/>
        </w:trPr>
        <w:tc>
          <w:tcPr>
            <w:tcW w:w="1555" w:type="dxa"/>
            <w:vMerge/>
            <w:shd w:val="clear" w:color="auto" w:fill="4472C4"/>
            <w:vAlign w:val="center"/>
          </w:tcPr>
          <w:p w14:paraId="20C2C202" w14:textId="77777777" w:rsidR="00990B14" w:rsidRDefault="00990B14">
            <w:pPr>
              <w:spacing w:before="20" w:after="20"/>
            </w:pPr>
          </w:p>
        </w:tc>
        <w:tc>
          <w:tcPr>
            <w:tcW w:w="1910" w:type="dxa"/>
            <w:shd w:val="clear" w:color="auto" w:fill="D9E2F3"/>
            <w:vAlign w:val="center"/>
          </w:tcPr>
          <w:p w14:paraId="6A99849D" w14:textId="77777777" w:rsidR="00990B14" w:rsidRDefault="00000000">
            <w:pPr>
              <w:spacing w:before="20" w:after="20"/>
              <w:jc w:val="both"/>
            </w:pPr>
            <w:r>
              <w:rPr>
                <w:sz w:val="18"/>
                <w:szCs w:val="18"/>
              </w:rPr>
              <w:t>Distribuciones de probabilidad continua</w:t>
            </w:r>
          </w:p>
        </w:tc>
        <w:tc>
          <w:tcPr>
            <w:tcW w:w="1910" w:type="dxa"/>
            <w:shd w:val="clear" w:color="auto" w:fill="D9E2F3"/>
            <w:vAlign w:val="center"/>
          </w:tcPr>
          <w:p w14:paraId="1E817C97" w14:textId="77777777" w:rsidR="00990B14" w:rsidRDefault="00000000">
            <w:pPr>
              <w:spacing w:before="20" w:after="20"/>
              <w:jc w:val="both"/>
            </w:pPr>
            <w:r>
              <w:rPr>
                <w:sz w:val="18"/>
                <w:szCs w:val="18"/>
              </w:rPr>
              <w:t>Calcula incorrectamente la probabilidad bajo la distribución normal.</w:t>
            </w:r>
          </w:p>
        </w:tc>
        <w:tc>
          <w:tcPr>
            <w:tcW w:w="1910" w:type="dxa"/>
            <w:shd w:val="clear" w:color="auto" w:fill="D9E2F3"/>
            <w:vAlign w:val="center"/>
          </w:tcPr>
          <w:p w14:paraId="68956281" w14:textId="77777777" w:rsidR="00990B14" w:rsidRDefault="00000000">
            <w:pPr>
              <w:spacing w:before="20" w:after="20"/>
              <w:jc w:val="both"/>
            </w:pPr>
            <w:r>
              <w:rPr>
                <w:sz w:val="18"/>
                <w:szCs w:val="18"/>
              </w:rPr>
              <w:t>Calcula correctamente la probabilidad bajo la distribución normal estándar.</w:t>
            </w:r>
          </w:p>
        </w:tc>
        <w:tc>
          <w:tcPr>
            <w:tcW w:w="2120" w:type="dxa"/>
            <w:shd w:val="clear" w:color="auto" w:fill="D9E2F3"/>
            <w:vAlign w:val="center"/>
          </w:tcPr>
          <w:p w14:paraId="45F0CACD" w14:textId="77777777" w:rsidR="00990B14" w:rsidRDefault="00000000">
            <w:pPr>
              <w:spacing w:before="20" w:after="20"/>
              <w:jc w:val="both"/>
            </w:pPr>
            <w:r>
              <w:rPr>
                <w:sz w:val="18"/>
                <w:szCs w:val="18"/>
              </w:rPr>
              <w:t>Analiza el efecto de la media y la desviación típica en la forma de las distribuciones normal estándar, t-Student, F de Fisher.</w:t>
            </w:r>
          </w:p>
        </w:tc>
      </w:tr>
      <w:tr w:rsidR="00990B14" w14:paraId="48571A18" w14:textId="77777777">
        <w:trPr>
          <w:cantSplit/>
          <w:jc w:val="center"/>
        </w:trPr>
        <w:tc>
          <w:tcPr>
            <w:tcW w:w="1555" w:type="dxa"/>
            <w:vMerge/>
            <w:shd w:val="clear" w:color="auto" w:fill="4472C4"/>
            <w:vAlign w:val="center"/>
          </w:tcPr>
          <w:p w14:paraId="560E9B24" w14:textId="77777777" w:rsidR="00990B14" w:rsidRDefault="00990B14">
            <w:pPr>
              <w:spacing w:before="20" w:after="20"/>
            </w:pPr>
          </w:p>
        </w:tc>
        <w:tc>
          <w:tcPr>
            <w:tcW w:w="1910" w:type="dxa"/>
            <w:shd w:val="clear" w:color="auto" w:fill="D9E2F3"/>
            <w:vAlign w:val="center"/>
          </w:tcPr>
          <w:p w14:paraId="09628CCC" w14:textId="77777777" w:rsidR="00990B14" w:rsidRDefault="00000000">
            <w:pPr>
              <w:spacing w:before="20" w:after="20"/>
              <w:jc w:val="both"/>
            </w:pPr>
            <w:r>
              <w:rPr>
                <w:sz w:val="18"/>
                <w:szCs w:val="18"/>
              </w:rPr>
              <w:t>Media y varianza</w:t>
            </w:r>
          </w:p>
        </w:tc>
        <w:tc>
          <w:tcPr>
            <w:tcW w:w="1910" w:type="dxa"/>
            <w:shd w:val="clear" w:color="auto" w:fill="D9E2F3"/>
            <w:vAlign w:val="center"/>
          </w:tcPr>
          <w:p w14:paraId="24C023FC" w14:textId="77777777" w:rsidR="00990B14" w:rsidRDefault="00000000">
            <w:pPr>
              <w:spacing w:before="20" w:after="20"/>
              <w:jc w:val="both"/>
            </w:pPr>
            <w:r>
              <w:rPr>
                <w:sz w:val="18"/>
                <w:szCs w:val="18"/>
              </w:rPr>
              <w:t>Calcula incorrectamente la media o la varianza.</w:t>
            </w:r>
          </w:p>
        </w:tc>
        <w:tc>
          <w:tcPr>
            <w:tcW w:w="1910" w:type="dxa"/>
            <w:shd w:val="clear" w:color="auto" w:fill="D9E2F3"/>
            <w:vAlign w:val="center"/>
          </w:tcPr>
          <w:p w14:paraId="7A314506" w14:textId="77777777" w:rsidR="00990B14" w:rsidRDefault="00000000">
            <w:pPr>
              <w:spacing w:before="20" w:after="20"/>
              <w:jc w:val="both"/>
            </w:pPr>
            <w:r>
              <w:rPr>
                <w:sz w:val="18"/>
                <w:szCs w:val="18"/>
              </w:rPr>
              <w:t>Calcula correctamente la media y la varianza.</w:t>
            </w:r>
          </w:p>
        </w:tc>
        <w:tc>
          <w:tcPr>
            <w:tcW w:w="2120" w:type="dxa"/>
            <w:shd w:val="clear" w:color="auto" w:fill="D9E2F3"/>
            <w:vAlign w:val="center"/>
          </w:tcPr>
          <w:p w14:paraId="4F31E626" w14:textId="77777777" w:rsidR="00990B14" w:rsidRDefault="00000000">
            <w:pPr>
              <w:spacing w:before="20" w:after="20"/>
              <w:jc w:val="both"/>
            </w:pPr>
            <w:r>
              <w:rPr>
                <w:sz w:val="18"/>
                <w:szCs w:val="18"/>
              </w:rPr>
              <w:t>Interpreta la media y la varianza en el contexto del caso.</w:t>
            </w:r>
          </w:p>
        </w:tc>
      </w:tr>
      <w:tr w:rsidR="00990B14" w14:paraId="32601A49" w14:textId="77777777">
        <w:trPr>
          <w:cantSplit/>
          <w:jc w:val="center"/>
        </w:trPr>
        <w:tc>
          <w:tcPr>
            <w:tcW w:w="1555" w:type="dxa"/>
            <w:vMerge/>
            <w:shd w:val="clear" w:color="auto" w:fill="4472C4"/>
            <w:vAlign w:val="center"/>
          </w:tcPr>
          <w:p w14:paraId="5090DFD6" w14:textId="77777777" w:rsidR="00990B14" w:rsidRDefault="00990B14">
            <w:pPr>
              <w:spacing w:before="20" w:after="20"/>
            </w:pPr>
          </w:p>
        </w:tc>
        <w:tc>
          <w:tcPr>
            <w:tcW w:w="1910" w:type="dxa"/>
            <w:shd w:val="clear" w:color="auto" w:fill="D9E2F3"/>
            <w:vAlign w:val="center"/>
          </w:tcPr>
          <w:p w14:paraId="60E7FBC4" w14:textId="77777777" w:rsidR="00990B14" w:rsidRDefault="00000000">
            <w:pPr>
              <w:spacing w:before="20" w:after="20"/>
              <w:jc w:val="both"/>
            </w:pPr>
            <w:r>
              <w:rPr>
                <w:sz w:val="18"/>
                <w:szCs w:val="18"/>
              </w:rPr>
              <w:t>Uso de tablas o software</w:t>
            </w:r>
          </w:p>
        </w:tc>
        <w:tc>
          <w:tcPr>
            <w:tcW w:w="1910" w:type="dxa"/>
            <w:shd w:val="clear" w:color="auto" w:fill="D9E2F3"/>
            <w:vAlign w:val="center"/>
          </w:tcPr>
          <w:p w14:paraId="3EB2850A" w14:textId="77777777" w:rsidR="00990B14" w:rsidRDefault="00000000">
            <w:pPr>
              <w:spacing w:before="20" w:after="20"/>
              <w:jc w:val="both"/>
            </w:pPr>
            <w:r>
              <w:rPr>
                <w:sz w:val="18"/>
                <w:szCs w:val="18"/>
              </w:rPr>
              <w:t>Lee incorrectamente las tablas de probabilidad.</w:t>
            </w:r>
          </w:p>
        </w:tc>
        <w:tc>
          <w:tcPr>
            <w:tcW w:w="1910" w:type="dxa"/>
            <w:shd w:val="clear" w:color="auto" w:fill="D9E2F3"/>
            <w:vAlign w:val="center"/>
          </w:tcPr>
          <w:p w14:paraId="61A6AD9E" w14:textId="77777777" w:rsidR="00990B14" w:rsidRDefault="00000000">
            <w:pPr>
              <w:spacing w:before="20" w:after="20"/>
              <w:jc w:val="both"/>
            </w:pPr>
            <w:r>
              <w:rPr>
                <w:sz w:val="18"/>
                <w:szCs w:val="18"/>
              </w:rPr>
              <w:t>Obtiene las probabilidades con tablas o software.</w:t>
            </w:r>
          </w:p>
        </w:tc>
        <w:tc>
          <w:tcPr>
            <w:tcW w:w="2120" w:type="dxa"/>
            <w:shd w:val="clear" w:color="auto" w:fill="D9E2F3"/>
            <w:vAlign w:val="center"/>
          </w:tcPr>
          <w:p w14:paraId="525F7032" w14:textId="77777777" w:rsidR="00990B14" w:rsidRDefault="00000000">
            <w:pPr>
              <w:spacing w:before="20" w:after="20"/>
              <w:jc w:val="both"/>
            </w:pPr>
            <w:r>
              <w:rPr>
                <w:sz w:val="18"/>
                <w:szCs w:val="18"/>
              </w:rPr>
              <w:t>Verifica las probabilidades obtenidas con tablas y con software.</w:t>
            </w:r>
          </w:p>
        </w:tc>
      </w:tr>
      <w:tr w:rsidR="00990B14" w14:paraId="4DE0848C" w14:textId="77777777">
        <w:trPr>
          <w:cantSplit/>
          <w:jc w:val="center"/>
        </w:trPr>
        <w:tc>
          <w:tcPr>
            <w:tcW w:w="1555" w:type="dxa"/>
            <w:vMerge/>
            <w:shd w:val="clear" w:color="auto" w:fill="4472C4"/>
            <w:vAlign w:val="center"/>
          </w:tcPr>
          <w:p w14:paraId="2BDD407B" w14:textId="77777777" w:rsidR="00990B14" w:rsidRDefault="00990B14">
            <w:pPr>
              <w:spacing w:before="20" w:after="20"/>
            </w:pPr>
          </w:p>
        </w:tc>
        <w:tc>
          <w:tcPr>
            <w:tcW w:w="5730" w:type="dxa"/>
            <w:gridSpan w:val="3"/>
            <w:shd w:val="clear" w:color="auto" w:fill="D9E2F3"/>
            <w:vAlign w:val="center"/>
          </w:tcPr>
          <w:p w14:paraId="61FF7FFB" w14:textId="77777777" w:rsidR="00990B14" w:rsidRDefault="00000000">
            <w:pPr>
              <w:keepNext/>
              <w:spacing w:before="20" w:after="20"/>
              <w:jc w:val="both"/>
            </w:pPr>
            <w:r>
              <w:rPr>
                <w:b/>
                <w:bCs/>
                <w:i/>
                <w:iCs/>
                <w:sz w:val="18"/>
                <w:szCs w:val="18"/>
              </w:rPr>
              <w:t xml:space="preserve">Producto 11: </w:t>
            </w:r>
            <w:r>
              <w:rPr>
                <w:sz w:val="18"/>
                <w:szCs w:val="18"/>
              </w:rPr>
              <w:t>Cálculo de probabilidades condicionales y del teorema de Bayes de un caso práctico.</w:t>
            </w:r>
          </w:p>
        </w:tc>
        <w:tc>
          <w:tcPr>
            <w:tcW w:w="2120" w:type="dxa"/>
            <w:shd w:val="clear" w:color="auto" w:fill="D9E2F3"/>
            <w:vAlign w:val="center"/>
          </w:tcPr>
          <w:p w14:paraId="21DD9D19" w14:textId="77777777" w:rsidR="00990B14" w:rsidRDefault="00000000">
            <w:pPr>
              <w:spacing w:before="20" w:after="20"/>
              <w:jc w:val="center"/>
            </w:pPr>
            <w:r>
              <w:rPr>
                <w:b/>
                <w:bCs/>
                <w:sz w:val="18"/>
                <w:szCs w:val="18"/>
              </w:rPr>
              <w:t>5%</w:t>
            </w:r>
          </w:p>
        </w:tc>
      </w:tr>
      <w:tr w:rsidR="00990B14" w14:paraId="02285BC0" w14:textId="77777777">
        <w:trPr>
          <w:cantSplit/>
          <w:jc w:val="center"/>
        </w:trPr>
        <w:tc>
          <w:tcPr>
            <w:tcW w:w="1555" w:type="dxa"/>
            <w:vMerge/>
            <w:shd w:val="clear" w:color="auto" w:fill="4472C4"/>
            <w:vAlign w:val="center"/>
          </w:tcPr>
          <w:p w14:paraId="3949DF1A" w14:textId="77777777" w:rsidR="00990B14" w:rsidRDefault="00990B14">
            <w:pPr>
              <w:spacing w:before="20" w:after="20"/>
            </w:pPr>
          </w:p>
        </w:tc>
        <w:tc>
          <w:tcPr>
            <w:tcW w:w="1910" w:type="dxa"/>
            <w:shd w:val="clear" w:color="auto" w:fill="4472C4"/>
            <w:vAlign w:val="center"/>
          </w:tcPr>
          <w:p w14:paraId="6200C607"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52B9F5B9"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4314ABB9"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0B0CB92B" w14:textId="77777777" w:rsidR="00990B14" w:rsidRDefault="00000000">
            <w:pPr>
              <w:keepNext/>
              <w:spacing w:before="20" w:after="20"/>
              <w:jc w:val="center"/>
            </w:pPr>
            <w:r>
              <w:rPr>
                <w:b/>
                <w:bCs/>
                <w:i/>
                <w:iCs/>
                <w:color w:val="FFFFFF"/>
                <w:sz w:val="18"/>
                <w:szCs w:val="18"/>
              </w:rPr>
              <w:t>Destacado (81–100)</w:t>
            </w:r>
          </w:p>
        </w:tc>
      </w:tr>
      <w:tr w:rsidR="00990B14" w14:paraId="71B44EA1" w14:textId="77777777">
        <w:trPr>
          <w:cantSplit/>
          <w:jc w:val="center"/>
        </w:trPr>
        <w:tc>
          <w:tcPr>
            <w:tcW w:w="1555" w:type="dxa"/>
            <w:vMerge/>
            <w:shd w:val="clear" w:color="auto" w:fill="4472C4"/>
            <w:vAlign w:val="center"/>
          </w:tcPr>
          <w:p w14:paraId="61547FE8" w14:textId="77777777" w:rsidR="00990B14" w:rsidRDefault="00990B14">
            <w:pPr>
              <w:spacing w:before="20" w:after="20"/>
            </w:pPr>
          </w:p>
        </w:tc>
        <w:tc>
          <w:tcPr>
            <w:tcW w:w="1910" w:type="dxa"/>
            <w:shd w:val="clear" w:color="auto" w:fill="D9E2F3"/>
            <w:vAlign w:val="center"/>
          </w:tcPr>
          <w:p w14:paraId="01BBD91B" w14:textId="77777777" w:rsidR="00990B14" w:rsidRDefault="00000000">
            <w:pPr>
              <w:spacing w:before="20" w:after="20"/>
              <w:jc w:val="both"/>
            </w:pPr>
            <w:r>
              <w:rPr>
                <w:sz w:val="18"/>
                <w:szCs w:val="18"/>
              </w:rPr>
              <w:t>Planteamiento de eventos</w:t>
            </w:r>
          </w:p>
        </w:tc>
        <w:tc>
          <w:tcPr>
            <w:tcW w:w="1910" w:type="dxa"/>
            <w:shd w:val="clear" w:color="auto" w:fill="D9E2F3"/>
            <w:vAlign w:val="center"/>
          </w:tcPr>
          <w:p w14:paraId="1E84818E" w14:textId="77777777" w:rsidR="00990B14" w:rsidRDefault="00000000">
            <w:pPr>
              <w:spacing w:before="20" w:after="20"/>
              <w:jc w:val="both"/>
            </w:pPr>
            <w:r>
              <w:rPr>
                <w:sz w:val="18"/>
                <w:szCs w:val="18"/>
              </w:rPr>
              <w:t>Define los eventos de forma incorrecta.</w:t>
            </w:r>
          </w:p>
        </w:tc>
        <w:tc>
          <w:tcPr>
            <w:tcW w:w="1910" w:type="dxa"/>
            <w:shd w:val="clear" w:color="auto" w:fill="D9E2F3"/>
            <w:vAlign w:val="center"/>
          </w:tcPr>
          <w:p w14:paraId="5C6AE686" w14:textId="77777777" w:rsidR="00990B14" w:rsidRDefault="00000000">
            <w:pPr>
              <w:spacing w:before="20" w:after="20"/>
              <w:jc w:val="both"/>
            </w:pPr>
            <w:r>
              <w:rPr>
                <w:sz w:val="18"/>
                <w:szCs w:val="18"/>
              </w:rPr>
              <w:t>Define correctamente los eventos y sus probabilidades.</w:t>
            </w:r>
          </w:p>
        </w:tc>
        <w:tc>
          <w:tcPr>
            <w:tcW w:w="2120" w:type="dxa"/>
            <w:shd w:val="clear" w:color="auto" w:fill="D9E2F3"/>
            <w:vAlign w:val="center"/>
          </w:tcPr>
          <w:p w14:paraId="0C1A8D88" w14:textId="77777777" w:rsidR="00990B14" w:rsidRDefault="00000000">
            <w:pPr>
              <w:spacing w:before="20" w:after="20"/>
              <w:jc w:val="both"/>
            </w:pPr>
            <w:r>
              <w:rPr>
                <w:sz w:val="18"/>
                <w:szCs w:val="18"/>
              </w:rPr>
              <w:t>Representa los eventos con un diagrama de árbol.</w:t>
            </w:r>
          </w:p>
        </w:tc>
      </w:tr>
      <w:tr w:rsidR="00990B14" w14:paraId="22EFC4DD" w14:textId="77777777">
        <w:trPr>
          <w:cantSplit/>
          <w:jc w:val="center"/>
        </w:trPr>
        <w:tc>
          <w:tcPr>
            <w:tcW w:w="1555" w:type="dxa"/>
            <w:vMerge/>
            <w:shd w:val="clear" w:color="auto" w:fill="4472C4"/>
            <w:vAlign w:val="center"/>
          </w:tcPr>
          <w:p w14:paraId="2D39677B" w14:textId="77777777" w:rsidR="00990B14" w:rsidRDefault="00990B14">
            <w:pPr>
              <w:spacing w:before="20" w:after="20"/>
            </w:pPr>
          </w:p>
        </w:tc>
        <w:tc>
          <w:tcPr>
            <w:tcW w:w="1910" w:type="dxa"/>
            <w:shd w:val="clear" w:color="auto" w:fill="D9E2F3"/>
            <w:vAlign w:val="center"/>
          </w:tcPr>
          <w:p w14:paraId="0E43B03B" w14:textId="77777777" w:rsidR="00990B14" w:rsidRDefault="00000000">
            <w:pPr>
              <w:spacing w:before="20" w:after="20"/>
              <w:jc w:val="both"/>
            </w:pPr>
            <w:r>
              <w:rPr>
                <w:sz w:val="18"/>
                <w:szCs w:val="18"/>
              </w:rPr>
              <w:t>Probabilidad condicional y teorema de Bayes</w:t>
            </w:r>
          </w:p>
        </w:tc>
        <w:tc>
          <w:tcPr>
            <w:tcW w:w="1910" w:type="dxa"/>
            <w:shd w:val="clear" w:color="auto" w:fill="D9E2F3"/>
            <w:vAlign w:val="center"/>
          </w:tcPr>
          <w:p w14:paraId="55CC730A" w14:textId="77777777" w:rsidR="00990B14" w:rsidRDefault="00000000">
            <w:pPr>
              <w:spacing w:before="20" w:after="20"/>
              <w:jc w:val="both"/>
            </w:pPr>
            <w:r>
              <w:rPr>
                <w:sz w:val="18"/>
                <w:szCs w:val="18"/>
              </w:rPr>
              <w:t>Aplica incorrectamente el teorema de la multiplicación o el teorema de Bayes.</w:t>
            </w:r>
          </w:p>
        </w:tc>
        <w:tc>
          <w:tcPr>
            <w:tcW w:w="1910" w:type="dxa"/>
            <w:shd w:val="clear" w:color="auto" w:fill="D9E2F3"/>
            <w:vAlign w:val="center"/>
          </w:tcPr>
          <w:p w14:paraId="1F663BE6" w14:textId="77777777" w:rsidR="00990B14" w:rsidRDefault="00000000">
            <w:pPr>
              <w:spacing w:before="20" w:after="20"/>
              <w:jc w:val="both"/>
            </w:pPr>
            <w:r>
              <w:rPr>
                <w:sz w:val="18"/>
                <w:szCs w:val="18"/>
              </w:rPr>
              <w:t>Aplica correctamente el teorema de la multiplicación y el teorema de Bayes.</w:t>
            </w:r>
          </w:p>
        </w:tc>
        <w:tc>
          <w:tcPr>
            <w:tcW w:w="2120" w:type="dxa"/>
            <w:shd w:val="clear" w:color="auto" w:fill="D9E2F3"/>
            <w:vAlign w:val="center"/>
          </w:tcPr>
          <w:p w14:paraId="3014A44C" w14:textId="77777777" w:rsidR="00990B14" w:rsidRDefault="00000000">
            <w:pPr>
              <w:spacing w:before="20" w:after="20"/>
              <w:jc w:val="both"/>
            </w:pPr>
            <w:r>
              <w:rPr>
                <w:sz w:val="18"/>
                <w:szCs w:val="18"/>
              </w:rPr>
              <w:t>Aplica el teorema de Bayes a la revisión de un riesgo ante nueva evidencia y sustenta el resultado.</w:t>
            </w:r>
          </w:p>
        </w:tc>
      </w:tr>
      <w:tr w:rsidR="00990B14" w14:paraId="1E8CD2AE" w14:textId="77777777">
        <w:trPr>
          <w:cantSplit/>
          <w:jc w:val="center"/>
        </w:trPr>
        <w:tc>
          <w:tcPr>
            <w:tcW w:w="1555" w:type="dxa"/>
            <w:vMerge/>
            <w:shd w:val="clear" w:color="auto" w:fill="4472C4"/>
            <w:vAlign w:val="center"/>
          </w:tcPr>
          <w:p w14:paraId="6360102D" w14:textId="77777777" w:rsidR="00990B14" w:rsidRDefault="00990B14">
            <w:pPr>
              <w:spacing w:before="20" w:after="20"/>
            </w:pPr>
          </w:p>
        </w:tc>
        <w:tc>
          <w:tcPr>
            <w:tcW w:w="1910" w:type="dxa"/>
            <w:shd w:val="clear" w:color="auto" w:fill="D9E2F3"/>
            <w:vAlign w:val="center"/>
          </w:tcPr>
          <w:p w14:paraId="77596988" w14:textId="77777777" w:rsidR="00990B14" w:rsidRDefault="00000000">
            <w:pPr>
              <w:spacing w:before="20" w:after="20"/>
              <w:jc w:val="both"/>
            </w:pPr>
            <w:r>
              <w:rPr>
                <w:sz w:val="18"/>
                <w:szCs w:val="18"/>
              </w:rPr>
              <w:t>Interpretación</w:t>
            </w:r>
          </w:p>
        </w:tc>
        <w:tc>
          <w:tcPr>
            <w:tcW w:w="1910" w:type="dxa"/>
            <w:shd w:val="clear" w:color="auto" w:fill="D9E2F3"/>
            <w:vAlign w:val="center"/>
          </w:tcPr>
          <w:p w14:paraId="3C3288C8" w14:textId="77777777" w:rsidR="00990B14" w:rsidRDefault="00000000">
            <w:pPr>
              <w:spacing w:before="20" w:after="20"/>
              <w:jc w:val="both"/>
            </w:pPr>
            <w:r>
              <w:rPr>
                <w:sz w:val="18"/>
                <w:szCs w:val="18"/>
              </w:rPr>
              <w:t>No interpreta los resultados.</w:t>
            </w:r>
          </w:p>
        </w:tc>
        <w:tc>
          <w:tcPr>
            <w:tcW w:w="1910" w:type="dxa"/>
            <w:shd w:val="clear" w:color="auto" w:fill="D9E2F3"/>
            <w:vAlign w:val="center"/>
          </w:tcPr>
          <w:p w14:paraId="79B63C97" w14:textId="77777777" w:rsidR="00990B14" w:rsidRDefault="00000000">
            <w:pPr>
              <w:spacing w:before="20" w:after="20"/>
              <w:jc w:val="both"/>
            </w:pPr>
            <w:r>
              <w:rPr>
                <w:sz w:val="18"/>
                <w:szCs w:val="18"/>
              </w:rPr>
              <w:t>Interpreta las probabilidades obtenidas.</w:t>
            </w:r>
          </w:p>
        </w:tc>
        <w:tc>
          <w:tcPr>
            <w:tcW w:w="2120" w:type="dxa"/>
            <w:shd w:val="clear" w:color="auto" w:fill="D9E2F3"/>
            <w:vAlign w:val="center"/>
          </w:tcPr>
          <w:p w14:paraId="5F3F6830" w14:textId="77777777" w:rsidR="00990B14" w:rsidRDefault="00000000">
            <w:pPr>
              <w:spacing w:before="20" w:after="20"/>
              <w:jc w:val="both"/>
            </w:pPr>
            <w:r>
              <w:rPr>
                <w:sz w:val="18"/>
                <w:szCs w:val="18"/>
              </w:rPr>
              <w:t>Interpreta las probabilidades y sustenta una decisión del caso.</w:t>
            </w:r>
          </w:p>
        </w:tc>
      </w:tr>
      <w:tr w:rsidR="00990B14" w14:paraId="39A7A1B6" w14:textId="77777777">
        <w:trPr>
          <w:cantSplit/>
          <w:jc w:val="center"/>
        </w:trPr>
        <w:tc>
          <w:tcPr>
            <w:tcW w:w="1555" w:type="dxa"/>
            <w:vMerge/>
            <w:shd w:val="clear" w:color="auto" w:fill="4472C4"/>
            <w:vAlign w:val="center"/>
          </w:tcPr>
          <w:p w14:paraId="1B7B1D81" w14:textId="77777777" w:rsidR="00990B14" w:rsidRDefault="00990B14">
            <w:pPr>
              <w:spacing w:before="20" w:after="20"/>
            </w:pPr>
          </w:p>
        </w:tc>
        <w:tc>
          <w:tcPr>
            <w:tcW w:w="5730" w:type="dxa"/>
            <w:gridSpan w:val="3"/>
            <w:shd w:val="clear" w:color="auto" w:fill="D9E2F3"/>
            <w:vAlign w:val="center"/>
          </w:tcPr>
          <w:p w14:paraId="5D278B7E" w14:textId="77777777" w:rsidR="00990B14" w:rsidRDefault="00000000">
            <w:pPr>
              <w:keepNext/>
              <w:spacing w:before="20" w:after="20"/>
              <w:jc w:val="both"/>
            </w:pPr>
            <w:r>
              <w:rPr>
                <w:b/>
                <w:bCs/>
                <w:i/>
                <w:iCs/>
                <w:sz w:val="18"/>
                <w:szCs w:val="18"/>
              </w:rPr>
              <w:t xml:space="preserve">Producto 12: </w:t>
            </w:r>
            <w:r>
              <w:rPr>
                <w:sz w:val="18"/>
                <w:szCs w:val="18"/>
              </w:rPr>
              <w:t>Informe de aplicación de un modelo probabilístico a un caso de la profesión contable.</w:t>
            </w:r>
          </w:p>
        </w:tc>
        <w:tc>
          <w:tcPr>
            <w:tcW w:w="2120" w:type="dxa"/>
            <w:shd w:val="clear" w:color="auto" w:fill="D9E2F3"/>
            <w:vAlign w:val="center"/>
          </w:tcPr>
          <w:p w14:paraId="511F525D" w14:textId="77777777" w:rsidR="00990B14" w:rsidRDefault="00000000">
            <w:pPr>
              <w:spacing w:before="20" w:after="20"/>
              <w:jc w:val="center"/>
            </w:pPr>
            <w:r>
              <w:rPr>
                <w:b/>
                <w:bCs/>
                <w:sz w:val="18"/>
                <w:szCs w:val="18"/>
              </w:rPr>
              <w:t>5%</w:t>
            </w:r>
          </w:p>
        </w:tc>
      </w:tr>
      <w:tr w:rsidR="00990B14" w14:paraId="0DCBE01D" w14:textId="77777777">
        <w:trPr>
          <w:cantSplit/>
          <w:jc w:val="center"/>
        </w:trPr>
        <w:tc>
          <w:tcPr>
            <w:tcW w:w="1555" w:type="dxa"/>
            <w:vMerge/>
            <w:shd w:val="clear" w:color="auto" w:fill="4472C4"/>
            <w:vAlign w:val="center"/>
          </w:tcPr>
          <w:p w14:paraId="6EF39A7B" w14:textId="77777777" w:rsidR="00990B14" w:rsidRDefault="00990B14">
            <w:pPr>
              <w:spacing w:before="20" w:after="20"/>
            </w:pPr>
          </w:p>
        </w:tc>
        <w:tc>
          <w:tcPr>
            <w:tcW w:w="1910" w:type="dxa"/>
            <w:shd w:val="clear" w:color="auto" w:fill="4472C4"/>
            <w:vAlign w:val="center"/>
          </w:tcPr>
          <w:p w14:paraId="127A58F2"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7AB303EB"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40AA3D91"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5E08AC6E" w14:textId="77777777" w:rsidR="00990B14" w:rsidRDefault="00000000">
            <w:pPr>
              <w:keepNext/>
              <w:spacing w:before="20" w:after="20"/>
              <w:jc w:val="center"/>
            </w:pPr>
            <w:r>
              <w:rPr>
                <w:b/>
                <w:bCs/>
                <w:i/>
                <w:iCs/>
                <w:color w:val="FFFFFF"/>
                <w:sz w:val="18"/>
                <w:szCs w:val="18"/>
              </w:rPr>
              <w:t>Destacado (81–100)</w:t>
            </w:r>
          </w:p>
        </w:tc>
      </w:tr>
      <w:tr w:rsidR="00990B14" w14:paraId="3D73DCA8" w14:textId="77777777">
        <w:trPr>
          <w:cantSplit/>
          <w:jc w:val="center"/>
        </w:trPr>
        <w:tc>
          <w:tcPr>
            <w:tcW w:w="1555" w:type="dxa"/>
            <w:vMerge/>
            <w:shd w:val="clear" w:color="auto" w:fill="4472C4"/>
            <w:vAlign w:val="center"/>
          </w:tcPr>
          <w:p w14:paraId="61617E71" w14:textId="77777777" w:rsidR="00990B14" w:rsidRDefault="00990B14">
            <w:pPr>
              <w:spacing w:before="20" w:after="20"/>
            </w:pPr>
          </w:p>
        </w:tc>
        <w:tc>
          <w:tcPr>
            <w:tcW w:w="1910" w:type="dxa"/>
            <w:shd w:val="clear" w:color="auto" w:fill="D9E2F3"/>
            <w:vAlign w:val="center"/>
          </w:tcPr>
          <w:p w14:paraId="743CA0F2" w14:textId="77777777" w:rsidR="00990B14" w:rsidRDefault="00000000">
            <w:pPr>
              <w:spacing w:before="20" w:after="20"/>
              <w:jc w:val="both"/>
            </w:pPr>
            <w:r>
              <w:rPr>
                <w:sz w:val="18"/>
                <w:szCs w:val="18"/>
              </w:rPr>
              <w:t>Selección del modelo</w:t>
            </w:r>
          </w:p>
        </w:tc>
        <w:tc>
          <w:tcPr>
            <w:tcW w:w="1910" w:type="dxa"/>
            <w:shd w:val="clear" w:color="auto" w:fill="D9E2F3"/>
            <w:vAlign w:val="center"/>
          </w:tcPr>
          <w:p w14:paraId="54F75355" w14:textId="77777777" w:rsidR="00990B14" w:rsidRDefault="00000000">
            <w:pPr>
              <w:spacing w:before="20" w:after="20"/>
              <w:jc w:val="both"/>
            </w:pPr>
            <w:r>
              <w:rPr>
                <w:sz w:val="18"/>
                <w:szCs w:val="18"/>
              </w:rPr>
              <w:t>Selecciona un modelo no pertinente al caso.</w:t>
            </w:r>
          </w:p>
        </w:tc>
        <w:tc>
          <w:tcPr>
            <w:tcW w:w="1910" w:type="dxa"/>
            <w:shd w:val="clear" w:color="auto" w:fill="D9E2F3"/>
            <w:vAlign w:val="center"/>
          </w:tcPr>
          <w:p w14:paraId="2F44C19E" w14:textId="77777777" w:rsidR="00990B14" w:rsidRDefault="00000000">
            <w:pPr>
              <w:spacing w:before="20" w:after="20"/>
              <w:jc w:val="both"/>
            </w:pPr>
            <w:r>
              <w:rPr>
                <w:sz w:val="18"/>
                <w:szCs w:val="18"/>
              </w:rPr>
              <w:t>Selecciona el modelo probabilístico pertinente al caso.</w:t>
            </w:r>
          </w:p>
        </w:tc>
        <w:tc>
          <w:tcPr>
            <w:tcW w:w="2120" w:type="dxa"/>
            <w:shd w:val="clear" w:color="auto" w:fill="D9E2F3"/>
            <w:vAlign w:val="center"/>
          </w:tcPr>
          <w:p w14:paraId="7BC486CA" w14:textId="77777777" w:rsidR="00990B14" w:rsidRDefault="00000000">
            <w:pPr>
              <w:spacing w:before="20" w:after="20"/>
              <w:jc w:val="both"/>
            </w:pPr>
            <w:r>
              <w:rPr>
                <w:sz w:val="18"/>
                <w:szCs w:val="18"/>
              </w:rPr>
              <w:t>Justifica la elección del modelo frente a otras alternativas.</w:t>
            </w:r>
          </w:p>
        </w:tc>
      </w:tr>
      <w:tr w:rsidR="00990B14" w14:paraId="2096458A" w14:textId="77777777">
        <w:trPr>
          <w:cantSplit/>
          <w:jc w:val="center"/>
        </w:trPr>
        <w:tc>
          <w:tcPr>
            <w:tcW w:w="1555" w:type="dxa"/>
            <w:vMerge/>
            <w:shd w:val="clear" w:color="auto" w:fill="4472C4"/>
            <w:vAlign w:val="center"/>
          </w:tcPr>
          <w:p w14:paraId="20E4FAD1" w14:textId="77777777" w:rsidR="00990B14" w:rsidRDefault="00990B14">
            <w:pPr>
              <w:spacing w:before="20" w:after="20"/>
            </w:pPr>
          </w:p>
        </w:tc>
        <w:tc>
          <w:tcPr>
            <w:tcW w:w="1910" w:type="dxa"/>
            <w:shd w:val="clear" w:color="auto" w:fill="D9E2F3"/>
            <w:vAlign w:val="center"/>
          </w:tcPr>
          <w:p w14:paraId="0B76D8FB" w14:textId="77777777" w:rsidR="00990B14" w:rsidRDefault="00000000">
            <w:pPr>
              <w:spacing w:before="20" w:after="20"/>
              <w:jc w:val="both"/>
            </w:pPr>
            <w:r>
              <w:rPr>
                <w:sz w:val="18"/>
                <w:szCs w:val="18"/>
              </w:rPr>
              <w:t>Aplicación al caso contable</w:t>
            </w:r>
          </w:p>
        </w:tc>
        <w:tc>
          <w:tcPr>
            <w:tcW w:w="1910" w:type="dxa"/>
            <w:shd w:val="clear" w:color="auto" w:fill="D9E2F3"/>
            <w:vAlign w:val="center"/>
          </w:tcPr>
          <w:p w14:paraId="696EB95F" w14:textId="77777777" w:rsidR="00990B14" w:rsidRDefault="00000000">
            <w:pPr>
              <w:spacing w:before="20" w:after="20"/>
              <w:jc w:val="both"/>
            </w:pPr>
            <w:r>
              <w:rPr>
                <w:sz w:val="18"/>
                <w:szCs w:val="18"/>
              </w:rPr>
              <w:t>La aplicación presenta errores de cálculo.</w:t>
            </w:r>
          </w:p>
        </w:tc>
        <w:tc>
          <w:tcPr>
            <w:tcW w:w="1910" w:type="dxa"/>
            <w:shd w:val="clear" w:color="auto" w:fill="D9E2F3"/>
            <w:vAlign w:val="center"/>
          </w:tcPr>
          <w:p w14:paraId="57CA6773" w14:textId="77777777" w:rsidR="00990B14" w:rsidRDefault="00000000">
            <w:pPr>
              <w:spacing w:before="20" w:after="20"/>
              <w:jc w:val="both"/>
            </w:pPr>
            <w:r>
              <w:rPr>
                <w:sz w:val="18"/>
                <w:szCs w:val="18"/>
              </w:rPr>
              <w:t>Aplica correctamente el modelo al caso de la profesión contable.</w:t>
            </w:r>
          </w:p>
        </w:tc>
        <w:tc>
          <w:tcPr>
            <w:tcW w:w="2120" w:type="dxa"/>
            <w:shd w:val="clear" w:color="auto" w:fill="D9E2F3"/>
            <w:vAlign w:val="center"/>
          </w:tcPr>
          <w:p w14:paraId="0AEF7CE0" w14:textId="77777777" w:rsidR="00990B14" w:rsidRDefault="00000000">
            <w:pPr>
              <w:spacing w:before="20" w:after="20"/>
              <w:jc w:val="both"/>
            </w:pPr>
            <w:r>
              <w:rPr>
                <w:sz w:val="18"/>
                <w:szCs w:val="18"/>
              </w:rPr>
              <w:t>Aplica el modelo y analiza su utilidad para la toma de decisiones.</w:t>
            </w:r>
          </w:p>
        </w:tc>
      </w:tr>
      <w:tr w:rsidR="00990B14" w14:paraId="0A7D201B" w14:textId="77777777">
        <w:trPr>
          <w:cantSplit/>
          <w:jc w:val="center"/>
        </w:trPr>
        <w:tc>
          <w:tcPr>
            <w:tcW w:w="1555" w:type="dxa"/>
            <w:vMerge/>
            <w:shd w:val="clear" w:color="auto" w:fill="4472C4"/>
            <w:vAlign w:val="center"/>
          </w:tcPr>
          <w:p w14:paraId="3FF68065" w14:textId="77777777" w:rsidR="00990B14" w:rsidRDefault="00990B14">
            <w:pPr>
              <w:spacing w:before="20" w:after="20"/>
            </w:pPr>
          </w:p>
        </w:tc>
        <w:tc>
          <w:tcPr>
            <w:tcW w:w="1910" w:type="dxa"/>
            <w:shd w:val="clear" w:color="auto" w:fill="D9E2F3"/>
            <w:vAlign w:val="center"/>
          </w:tcPr>
          <w:p w14:paraId="6EA8848C" w14:textId="77777777" w:rsidR="00990B14" w:rsidRDefault="00000000">
            <w:pPr>
              <w:spacing w:before="20" w:after="20"/>
              <w:jc w:val="both"/>
            </w:pPr>
            <w:r>
              <w:rPr>
                <w:sz w:val="18"/>
                <w:szCs w:val="18"/>
              </w:rPr>
              <w:t>Presentación del informe</w:t>
            </w:r>
          </w:p>
        </w:tc>
        <w:tc>
          <w:tcPr>
            <w:tcW w:w="1910" w:type="dxa"/>
            <w:shd w:val="clear" w:color="auto" w:fill="D9E2F3"/>
            <w:vAlign w:val="center"/>
          </w:tcPr>
          <w:p w14:paraId="51F1D13D" w14:textId="77777777" w:rsidR="00990B14" w:rsidRDefault="00000000">
            <w:pPr>
              <w:spacing w:before="20" w:after="20"/>
              <w:jc w:val="both"/>
            </w:pPr>
            <w:r>
              <w:rPr>
                <w:sz w:val="18"/>
                <w:szCs w:val="18"/>
              </w:rPr>
              <w:t>El informe es desordenado o incompleto.</w:t>
            </w:r>
          </w:p>
        </w:tc>
        <w:tc>
          <w:tcPr>
            <w:tcW w:w="1910" w:type="dxa"/>
            <w:shd w:val="clear" w:color="auto" w:fill="D9E2F3"/>
            <w:vAlign w:val="center"/>
          </w:tcPr>
          <w:p w14:paraId="44F4FE08" w14:textId="77777777" w:rsidR="00990B14" w:rsidRDefault="00000000">
            <w:pPr>
              <w:spacing w:before="20" w:after="20"/>
              <w:jc w:val="both"/>
            </w:pPr>
            <w:r>
              <w:rPr>
                <w:sz w:val="18"/>
                <w:szCs w:val="18"/>
              </w:rPr>
              <w:t>Presenta el informe ordenado con sus cálculos.</w:t>
            </w:r>
          </w:p>
        </w:tc>
        <w:tc>
          <w:tcPr>
            <w:tcW w:w="2120" w:type="dxa"/>
            <w:shd w:val="clear" w:color="auto" w:fill="D9E2F3"/>
            <w:vAlign w:val="center"/>
          </w:tcPr>
          <w:p w14:paraId="05C24FD4" w14:textId="77777777" w:rsidR="00990B14" w:rsidRDefault="00000000">
            <w:pPr>
              <w:spacing w:before="20" w:after="20"/>
              <w:jc w:val="both"/>
            </w:pPr>
            <w:r>
              <w:rPr>
                <w:sz w:val="18"/>
                <w:szCs w:val="18"/>
              </w:rPr>
              <w:t>Presenta un informe claro con conclusiones fundamentadas.</w:t>
            </w:r>
          </w:p>
        </w:tc>
      </w:tr>
      <w:tr w:rsidR="00990B14" w14:paraId="1C47825A" w14:textId="77777777">
        <w:trPr>
          <w:cantSplit/>
          <w:jc w:val="center"/>
        </w:trPr>
        <w:tc>
          <w:tcPr>
            <w:tcW w:w="1555" w:type="dxa"/>
            <w:vMerge/>
            <w:shd w:val="clear" w:color="auto" w:fill="4472C4"/>
            <w:vAlign w:val="center"/>
          </w:tcPr>
          <w:p w14:paraId="7D456619" w14:textId="77777777" w:rsidR="00990B14" w:rsidRDefault="00990B14">
            <w:pPr>
              <w:spacing w:before="20" w:after="20"/>
            </w:pPr>
          </w:p>
        </w:tc>
        <w:tc>
          <w:tcPr>
            <w:tcW w:w="5730" w:type="dxa"/>
            <w:gridSpan w:val="3"/>
            <w:shd w:val="clear" w:color="auto" w:fill="D9E2F3"/>
            <w:vAlign w:val="center"/>
          </w:tcPr>
          <w:p w14:paraId="6A6AD96C" w14:textId="77777777" w:rsidR="00990B14" w:rsidRDefault="00000000">
            <w:pPr>
              <w:keepNext/>
              <w:spacing w:before="20" w:after="20"/>
              <w:jc w:val="both"/>
            </w:pPr>
            <w:r>
              <w:rPr>
                <w:b/>
                <w:bCs/>
                <w:i/>
                <w:iCs/>
                <w:sz w:val="18"/>
                <w:szCs w:val="18"/>
              </w:rPr>
              <w:t xml:space="preserve">Producto 13: </w:t>
            </w:r>
            <w:r>
              <w:rPr>
                <w:sz w:val="18"/>
                <w:szCs w:val="18"/>
              </w:rPr>
              <w:t>Cálculo de las muestras aleatorias simples, estratificadas, sistemáticas, o por conglomerados de poblaciones grandes, obtenidas mediante el uso de programa de Excel.</w:t>
            </w:r>
          </w:p>
        </w:tc>
        <w:tc>
          <w:tcPr>
            <w:tcW w:w="2120" w:type="dxa"/>
            <w:shd w:val="clear" w:color="auto" w:fill="D9E2F3"/>
            <w:vAlign w:val="center"/>
          </w:tcPr>
          <w:p w14:paraId="2023E651" w14:textId="77777777" w:rsidR="00990B14" w:rsidRDefault="00000000">
            <w:pPr>
              <w:spacing w:before="20" w:after="20"/>
              <w:jc w:val="center"/>
            </w:pPr>
            <w:r>
              <w:rPr>
                <w:b/>
                <w:bCs/>
                <w:sz w:val="18"/>
                <w:szCs w:val="18"/>
              </w:rPr>
              <w:t>3%</w:t>
            </w:r>
          </w:p>
        </w:tc>
      </w:tr>
      <w:tr w:rsidR="00990B14" w14:paraId="6A3E2FE9" w14:textId="77777777">
        <w:trPr>
          <w:cantSplit/>
          <w:jc w:val="center"/>
        </w:trPr>
        <w:tc>
          <w:tcPr>
            <w:tcW w:w="1555" w:type="dxa"/>
            <w:vMerge/>
            <w:shd w:val="clear" w:color="auto" w:fill="4472C4"/>
            <w:vAlign w:val="center"/>
          </w:tcPr>
          <w:p w14:paraId="7E6070C3" w14:textId="77777777" w:rsidR="00990B14" w:rsidRDefault="00990B14">
            <w:pPr>
              <w:spacing w:before="20" w:after="20"/>
            </w:pPr>
          </w:p>
        </w:tc>
        <w:tc>
          <w:tcPr>
            <w:tcW w:w="1910" w:type="dxa"/>
            <w:shd w:val="clear" w:color="auto" w:fill="4472C4"/>
            <w:vAlign w:val="center"/>
          </w:tcPr>
          <w:p w14:paraId="54D2E046"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38F2CBF3"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5587000B"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37198CE0" w14:textId="77777777" w:rsidR="00990B14" w:rsidRDefault="00000000">
            <w:pPr>
              <w:keepNext/>
              <w:spacing w:before="20" w:after="20"/>
              <w:jc w:val="center"/>
            </w:pPr>
            <w:r>
              <w:rPr>
                <w:b/>
                <w:bCs/>
                <w:i/>
                <w:iCs/>
                <w:color w:val="FFFFFF"/>
                <w:sz w:val="18"/>
                <w:szCs w:val="18"/>
              </w:rPr>
              <w:t>Destacado (81–100)</w:t>
            </w:r>
          </w:p>
        </w:tc>
      </w:tr>
      <w:tr w:rsidR="00990B14" w14:paraId="680146E0" w14:textId="77777777">
        <w:trPr>
          <w:cantSplit/>
          <w:jc w:val="center"/>
        </w:trPr>
        <w:tc>
          <w:tcPr>
            <w:tcW w:w="1555" w:type="dxa"/>
            <w:vMerge/>
            <w:shd w:val="clear" w:color="auto" w:fill="4472C4"/>
            <w:vAlign w:val="center"/>
          </w:tcPr>
          <w:p w14:paraId="6EC0E2DF" w14:textId="77777777" w:rsidR="00990B14" w:rsidRDefault="00990B14">
            <w:pPr>
              <w:spacing w:before="20" w:after="20"/>
            </w:pPr>
          </w:p>
        </w:tc>
        <w:tc>
          <w:tcPr>
            <w:tcW w:w="1910" w:type="dxa"/>
            <w:shd w:val="clear" w:color="auto" w:fill="D9E2F3"/>
            <w:vAlign w:val="center"/>
          </w:tcPr>
          <w:p w14:paraId="78CC6E0F" w14:textId="77777777" w:rsidR="00990B14" w:rsidRDefault="00000000">
            <w:pPr>
              <w:spacing w:before="20" w:after="20"/>
              <w:jc w:val="both"/>
            </w:pPr>
            <w:r>
              <w:rPr>
                <w:sz w:val="18"/>
                <w:szCs w:val="18"/>
              </w:rPr>
              <w:t>Selección del método de muestreo</w:t>
            </w:r>
          </w:p>
        </w:tc>
        <w:tc>
          <w:tcPr>
            <w:tcW w:w="1910" w:type="dxa"/>
            <w:shd w:val="clear" w:color="auto" w:fill="D9E2F3"/>
            <w:vAlign w:val="center"/>
          </w:tcPr>
          <w:p w14:paraId="55A728C3" w14:textId="77777777" w:rsidR="00990B14" w:rsidRDefault="00000000">
            <w:pPr>
              <w:spacing w:before="20" w:after="20"/>
              <w:jc w:val="both"/>
            </w:pPr>
            <w:r>
              <w:rPr>
                <w:sz w:val="18"/>
                <w:szCs w:val="18"/>
              </w:rPr>
              <w:t>Selecciona un método de muestreo no pertinente a la población del caso.</w:t>
            </w:r>
          </w:p>
        </w:tc>
        <w:tc>
          <w:tcPr>
            <w:tcW w:w="1910" w:type="dxa"/>
            <w:shd w:val="clear" w:color="auto" w:fill="D9E2F3"/>
            <w:vAlign w:val="center"/>
          </w:tcPr>
          <w:p w14:paraId="08D3AFAA" w14:textId="77777777" w:rsidR="00990B14" w:rsidRDefault="00000000">
            <w:pPr>
              <w:spacing w:before="20" w:after="20"/>
              <w:jc w:val="both"/>
            </w:pPr>
            <w:r>
              <w:rPr>
                <w:sz w:val="18"/>
                <w:szCs w:val="18"/>
              </w:rPr>
              <w:t>Selecciona correctamente el método de muestreo pertinente a la población del caso.</w:t>
            </w:r>
          </w:p>
        </w:tc>
        <w:tc>
          <w:tcPr>
            <w:tcW w:w="2120" w:type="dxa"/>
            <w:shd w:val="clear" w:color="auto" w:fill="D9E2F3"/>
            <w:vAlign w:val="center"/>
          </w:tcPr>
          <w:p w14:paraId="3C06B2AC" w14:textId="77777777" w:rsidR="00990B14" w:rsidRDefault="00000000">
            <w:pPr>
              <w:spacing w:before="20" w:after="20"/>
              <w:jc w:val="both"/>
            </w:pPr>
            <w:r>
              <w:rPr>
                <w:sz w:val="18"/>
                <w:szCs w:val="18"/>
              </w:rPr>
              <w:t>Fundamenta la elección del método frente a otras alternativas de muestreo.</w:t>
            </w:r>
          </w:p>
        </w:tc>
      </w:tr>
      <w:tr w:rsidR="00990B14" w14:paraId="03BE131F" w14:textId="77777777">
        <w:trPr>
          <w:cantSplit/>
          <w:jc w:val="center"/>
        </w:trPr>
        <w:tc>
          <w:tcPr>
            <w:tcW w:w="1555" w:type="dxa"/>
            <w:vMerge/>
            <w:shd w:val="clear" w:color="auto" w:fill="4472C4"/>
            <w:vAlign w:val="center"/>
          </w:tcPr>
          <w:p w14:paraId="1408E9C7" w14:textId="77777777" w:rsidR="00990B14" w:rsidRDefault="00990B14">
            <w:pPr>
              <w:spacing w:before="20" w:after="20"/>
            </w:pPr>
          </w:p>
        </w:tc>
        <w:tc>
          <w:tcPr>
            <w:tcW w:w="1910" w:type="dxa"/>
            <w:shd w:val="clear" w:color="auto" w:fill="D9E2F3"/>
            <w:vAlign w:val="center"/>
          </w:tcPr>
          <w:p w14:paraId="34FD2813" w14:textId="77777777" w:rsidR="00990B14" w:rsidRDefault="00000000">
            <w:pPr>
              <w:spacing w:before="20" w:after="20"/>
              <w:jc w:val="both"/>
            </w:pPr>
            <w:r>
              <w:rPr>
                <w:sz w:val="18"/>
                <w:szCs w:val="18"/>
              </w:rPr>
              <w:t>Cálculo de las muestras</w:t>
            </w:r>
          </w:p>
        </w:tc>
        <w:tc>
          <w:tcPr>
            <w:tcW w:w="1910" w:type="dxa"/>
            <w:shd w:val="clear" w:color="auto" w:fill="D9E2F3"/>
            <w:vAlign w:val="center"/>
          </w:tcPr>
          <w:p w14:paraId="6EF71DE4" w14:textId="77777777" w:rsidR="00990B14" w:rsidRDefault="00000000">
            <w:pPr>
              <w:spacing w:before="20" w:after="20"/>
              <w:jc w:val="both"/>
            </w:pPr>
            <w:r>
              <w:rPr>
                <w:sz w:val="18"/>
                <w:szCs w:val="18"/>
              </w:rPr>
              <w:t>Calcula incorrectamente las muestras.</w:t>
            </w:r>
          </w:p>
        </w:tc>
        <w:tc>
          <w:tcPr>
            <w:tcW w:w="1910" w:type="dxa"/>
            <w:shd w:val="clear" w:color="auto" w:fill="D9E2F3"/>
            <w:vAlign w:val="center"/>
          </w:tcPr>
          <w:p w14:paraId="1942AE7D" w14:textId="77777777" w:rsidR="00990B14" w:rsidRDefault="00000000">
            <w:pPr>
              <w:spacing w:before="20" w:after="20"/>
              <w:jc w:val="both"/>
            </w:pPr>
            <w:r>
              <w:rPr>
                <w:sz w:val="18"/>
                <w:szCs w:val="18"/>
              </w:rPr>
              <w:t>Calcula correctamente las muestras de cada tipo.</w:t>
            </w:r>
          </w:p>
        </w:tc>
        <w:tc>
          <w:tcPr>
            <w:tcW w:w="2120" w:type="dxa"/>
            <w:shd w:val="clear" w:color="auto" w:fill="D9E2F3"/>
            <w:vAlign w:val="center"/>
          </w:tcPr>
          <w:p w14:paraId="2E2CB239" w14:textId="77777777" w:rsidR="00990B14" w:rsidRDefault="00000000">
            <w:pPr>
              <w:spacing w:before="20" w:after="20"/>
              <w:jc w:val="both"/>
            </w:pPr>
            <w:r>
              <w:rPr>
                <w:sz w:val="18"/>
                <w:szCs w:val="18"/>
              </w:rPr>
              <w:t>Calcula las muestras y verifica su representatividad.</w:t>
            </w:r>
          </w:p>
        </w:tc>
      </w:tr>
      <w:tr w:rsidR="00990B14" w14:paraId="5628673B" w14:textId="77777777">
        <w:trPr>
          <w:cantSplit/>
          <w:jc w:val="center"/>
        </w:trPr>
        <w:tc>
          <w:tcPr>
            <w:tcW w:w="1555" w:type="dxa"/>
            <w:vMerge/>
            <w:shd w:val="clear" w:color="auto" w:fill="4472C4"/>
            <w:vAlign w:val="center"/>
          </w:tcPr>
          <w:p w14:paraId="2DF03AA5" w14:textId="77777777" w:rsidR="00990B14" w:rsidRDefault="00990B14">
            <w:pPr>
              <w:spacing w:before="20" w:after="20"/>
            </w:pPr>
          </w:p>
        </w:tc>
        <w:tc>
          <w:tcPr>
            <w:tcW w:w="1910" w:type="dxa"/>
            <w:shd w:val="clear" w:color="auto" w:fill="D9E2F3"/>
            <w:vAlign w:val="center"/>
          </w:tcPr>
          <w:p w14:paraId="74069020" w14:textId="77777777" w:rsidR="00990B14" w:rsidRDefault="00000000">
            <w:pPr>
              <w:spacing w:before="20" w:after="20"/>
              <w:jc w:val="both"/>
            </w:pPr>
            <w:r>
              <w:rPr>
                <w:sz w:val="18"/>
                <w:szCs w:val="18"/>
              </w:rPr>
              <w:t>Uso del software</w:t>
            </w:r>
          </w:p>
        </w:tc>
        <w:tc>
          <w:tcPr>
            <w:tcW w:w="1910" w:type="dxa"/>
            <w:shd w:val="clear" w:color="auto" w:fill="D9E2F3"/>
            <w:vAlign w:val="center"/>
          </w:tcPr>
          <w:p w14:paraId="3AD400B4" w14:textId="77777777" w:rsidR="00990B14" w:rsidRDefault="00000000">
            <w:pPr>
              <w:spacing w:before="20" w:after="20"/>
              <w:jc w:val="both"/>
            </w:pPr>
            <w:r>
              <w:rPr>
                <w:sz w:val="18"/>
                <w:szCs w:val="18"/>
              </w:rPr>
              <w:t>Usa el software con errores de procedimiento.</w:t>
            </w:r>
          </w:p>
        </w:tc>
        <w:tc>
          <w:tcPr>
            <w:tcW w:w="1910" w:type="dxa"/>
            <w:shd w:val="clear" w:color="auto" w:fill="D9E2F3"/>
            <w:vAlign w:val="center"/>
          </w:tcPr>
          <w:p w14:paraId="722BD493" w14:textId="77777777" w:rsidR="00990B14" w:rsidRDefault="00000000">
            <w:pPr>
              <w:spacing w:before="20" w:after="20"/>
              <w:jc w:val="both"/>
            </w:pPr>
            <w:r>
              <w:rPr>
                <w:sz w:val="18"/>
                <w:szCs w:val="18"/>
              </w:rPr>
              <w:t>Obtiene las muestras con el programa utilizado.</w:t>
            </w:r>
          </w:p>
        </w:tc>
        <w:tc>
          <w:tcPr>
            <w:tcW w:w="2120" w:type="dxa"/>
            <w:shd w:val="clear" w:color="auto" w:fill="D9E2F3"/>
            <w:vAlign w:val="center"/>
          </w:tcPr>
          <w:p w14:paraId="16870DC8" w14:textId="77777777" w:rsidR="00990B14" w:rsidRDefault="00000000">
            <w:pPr>
              <w:spacing w:before="20" w:after="20"/>
              <w:jc w:val="both"/>
            </w:pPr>
            <w:r>
              <w:rPr>
                <w:sz w:val="18"/>
                <w:szCs w:val="18"/>
              </w:rPr>
              <w:t>Documenta el procedimiento seguido en el programa.</w:t>
            </w:r>
          </w:p>
        </w:tc>
      </w:tr>
      <w:tr w:rsidR="00990B14" w14:paraId="56D71BC9" w14:textId="77777777">
        <w:trPr>
          <w:cantSplit/>
          <w:jc w:val="center"/>
        </w:trPr>
        <w:tc>
          <w:tcPr>
            <w:tcW w:w="1555" w:type="dxa"/>
            <w:vMerge/>
            <w:shd w:val="clear" w:color="auto" w:fill="4472C4"/>
            <w:vAlign w:val="center"/>
          </w:tcPr>
          <w:p w14:paraId="670D1766" w14:textId="77777777" w:rsidR="00990B14" w:rsidRDefault="00990B14">
            <w:pPr>
              <w:spacing w:before="20" w:after="20"/>
            </w:pPr>
          </w:p>
        </w:tc>
        <w:tc>
          <w:tcPr>
            <w:tcW w:w="5730" w:type="dxa"/>
            <w:gridSpan w:val="3"/>
            <w:shd w:val="clear" w:color="auto" w:fill="D9E2F3"/>
            <w:vAlign w:val="center"/>
          </w:tcPr>
          <w:p w14:paraId="7C47A381" w14:textId="77777777" w:rsidR="00990B14" w:rsidRDefault="00000000">
            <w:pPr>
              <w:keepNext/>
              <w:spacing w:before="20" w:after="20"/>
              <w:jc w:val="both"/>
            </w:pPr>
            <w:r>
              <w:rPr>
                <w:b/>
                <w:bCs/>
                <w:i/>
                <w:iCs/>
                <w:sz w:val="18"/>
                <w:szCs w:val="18"/>
              </w:rPr>
              <w:t xml:space="preserve">Producto 14: </w:t>
            </w:r>
            <w:r>
              <w:rPr>
                <w:sz w:val="18"/>
                <w:szCs w:val="18"/>
              </w:rPr>
              <w:t>Cálculo de límites de error de estimación al determinar los tamaños de muestras aleatorias simples, estratificadas y por conglomerados.</w:t>
            </w:r>
          </w:p>
        </w:tc>
        <w:tc>
          <w:tcPr>
            <w:tcW w:w="2120" w:type="dxa"/>
            <w:shd w:val="clear" w:color="auto" w:fill="D9E2F3"/>
            <w:vAlign w:val="center"/>
          </w:tcPr>
          <w:p w14:paraId="63588AF1" w14:textId="77777777" w:rsidR="00990B14" w:rsidRDefault="00000000">
            <w:pPr>
              <w:spacing w:before="20" w:after="20"/>
              <w:jc w:val="center"/>
            </w:pPr>
            <w:r>
              <w:rPr>
                <w:b/>
                <w:bCs/>
                <w:sz w:val="18"/>
                <w:szCs w:val="18"/>
              </w:rPr>
              <w:t>3%</w:t>
            </w:r>
          </w:p>
        </w:tc>
      </w:tr>
      <w:tr w:rsidR="00990B14" w14:paraId="30BB041B" w14:textId="77777777">
        <w:trPr>
          <w:cantSplit/>
          <w:jc w:val="center"/>
        </w:trPr>
        <w:tc>
          <w:tcPr>
            <w:tcW w:w="1555" w:type="dxa"/>
            <w:vMerge/>
            <w:shd w:val="clear" w:color="auto" w:fill="4472C4"/>
            <w:vAlign w:val="center"/>
          </w:tcPr>
          <w:p w14:paraId="1551DEDD" w14:textId="77777777" w:rsidR="00990B14" w:rsidRDefault="00990B14">
            <w:pPr>
              <w:spacing w:before="20" w:after="20"/>
            </w:pPr>
          </w:p>
        </w:tc>
        <w:tc>
          <w:tcPr>
            <w:tcW w:w="1910" w:type="dxa"/>
            <w:shd w:val="clear" w:color="auto" w:fill="4472C4"/>
            <w:vAlign w:val="center"/>
          </w:tcPr>
          <w:p w14:paraId="00DF8CE5"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1B2CE10B"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23C23126"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6BE44F17" w14:textId="77777777" w:rsidR="00990B14" w:rsidRDefault="00000000">
            <w:pPr>
              <w:keepNext/>
              <w:spacing w:before="20" w:after="20"/>
              <w:jc w:val="center"/>
            </w:pPr>
            <w:r>
              <w:rPr>
                <w:b/>
                <w:bCs/>
                <w:i/>
                <w:iCs/>
                <w:color w:val="FFFFFF"/>
                <w:sz w:val="18"/>
                <w:szCs w:val="18"/>
              </w:rPr>
              <w:t>Destacado (81–100)</w:t>
            </w:r>
          </w:p>
        </w:tc>
      </w:tr>
      <w:tr w:rsidR="00990B14" w14:paraId="34D1229B" w14:textId="77777777">
        <w:trPr>
          <w:cantSplit/>
          <w:jc w:val="center"/>
        </w:trPr>
        <w:tc>
          <w:tcPr>
            <w:tcW w:w="1555" w:type="dxa"/>
            <w:vMerge/>
            <w:shd w:val="clear" w:color="auto" w:fill="4472C4"/>
            <w:vAlign w:val="center"/>
          </w:tcPr>
          <w:p w14:paraId="11993A7B" w14:textId="77777777" w:rsidR="00990B14" w:rsidRDefault="00990B14">
            <w:pPr>
              <w:spacing w:before="20" w:after="20"/>
            </w:pPr>
          </w:p>
        </w:tc>
        <w:tc>
          <w:tcPr>
            <w:tcW w:w="1910" w:type="dxa"/>
            <w:shd w:val="clear" w:color="auto" w:fill="D9E2F3"/>
            <w:vAlign w:val="center"/>
          </w:tcPr>
          <w:p w14:paraId="3E653CC7" w14:textId="77777777" w:rsidR="00990B14" w:rsidRDefault="00000000">
            <w:pPr>
              <w:spacing w:before="20" w:after="20"/>
              <w:jc w:val="both"/>
            </w:pPr>
            <w:r>
              <w:rPr>
                <w:sz w:val="18"/>
                <w:szCs w:val="18"/>
              </w:rPr>
              <w:t>Error de estimación</w:t>
            </w:r>
          </w:p>
        </w:tc>
        <w:tc>
          <w:tcPr>
            <w:tcW w:w="1910" w:type="dxa"/>
            <w:shd w:val="clear" w:color="auto" w:fill="D9E2F3"/>
            <w:vAlign w:val="center"/>
          </w:tcPr>
          <w:p w14:paraId="4CD96BB2" w14:textId="77777777" w:rsidR="00990B14" w:rsidRDefault="00000000">
            <w:pPr>
              <w:spacing w:before="20" w:after="20"/>
              <w:jc w:val="both"/>
            </w:pPr>
            <w:r>
              <w:rPr>
                <w:sz w:val="18"/>
                <w:szCs w:val="18"/>
              </w:rPr>
              <w:t>Calcula incorrectamente el error de estimación.</w:t>
            </w:r>
          </w:p>
        </w:tc>
        <w:tc>
          <w:tcPr>
            <w:tcW w:w="1910" w:type="dxa"/>
            <w:shd w:val="clear" w:color="auto" w:fill="D9E2F3"/>
            <w:vAlign w:val="center"/>
          </w:tcPr>
          <w:p w14:paraId="4C05577E" w14:textId="77777777" w:rsidR="00990B14" w:rsidRDefault="00000000">
            <w:pPr>
              <w:spacing w:before="20" w:after="20"/>
              <w:jc w:val="both"/>
            </w:pPr>
            <w:r>
              <w:rPr>
                <w:sz w:val="18"/>
                <w:szCs w:val="18"/>
              </w:rPr>
              <w:t>Calcula correctamente el error de estimación de cada muestra.</w:t>
            </w:r>
          </w:p>
        </w:tc>
        <w:tc>
          <w:tcPr>
            <w:tcW w:w="2120" w:type="dxa"/>
            <w:shd w:val="clear" w:color="auto" w:fill="D9E2F3"/>
            <w:vAlign w:val="center"/>
          </w:tcPr>
          <w:p w14:paraId="03FA4FB9" w14:textId="77777777" w:rsidR="00990B14" w:rsidRDefault="00000000">
            <w:pPr>
              <w:spacing w:before="20" w:after="20"/>
              <w:jc w:val="both"/>
            </w:pPr>
            <w:r>
              <w:rPr>
                <w:sz w:val="18"/>
                <w:szCs w:val="18"/>
              </w:rPr>
              <w:t>Compara el error de estimación entre los tipos de muestreo.</w:t>
            </w:r>
          </w:p>
        </w:tc>
      </w:tr>
      <w:tr w:rsidR="00990B14" w14:paraId="6811965B" w14:textId="77777777">
        <w:trPr>
          <w:cantSplit/>
          <w:jc w:val="center"/>
        </w:trPr>
        <w:tc>
          <w:tcPr>
            <w:tcW w:w="1555" w:type="dxa"/>
            <w:vMerge/>
            <w:shd w:val="clear" w:color="auto" w:fill="4472C4"/>
            <w:vAlign w:val="center"/>
          </w:tcPr>
          <w:p w14:paraId="56296934" w14:textId="77777777" w:rsidR="00990B14" w:rsidRDefault="00990B14">
            <w:pPr>
              <w:spacing w:before="20" w:after="20"/>
            </w:pPr>
          </w:p>
        </w:tc>
        <w:tc>
          <w:tcPr>
            <w:tcW w:w="1910" w:type="dxa"/>
            <w:shd w:val="clear" w:color="auto" w:fill="D9E2F3"/>
            <w:vAlign w:val="center"/>
          </w:tcPr>
          <w:p w14:paraId="0DB5C204" w14:textId="77777777" w:rsidR="00990B14" w:rsidRDefault="00000000">
            <w:pPr>
              <w:spacing w:before="20" w:after="20"/>
              <w:jc w:val="both"/>
            </w:pPr>
            <w:r>
              <w:rPr>
                <w:sz w:val="18"/>
                <w:szCs w:val="18"/>
              </w:rPr>
              <w:t>Tamaño de la muestra</w:t>
            </w:r>
          </w:p>
        </w:tc>
        <w:tc>
          <w:tcPr>
            <w:tcW w:w="1910" w:type="dxa"/>
            <w:shd w:val="clear" w:color="auto" w:fill="D9E2F3"/>
            <w:vAlign w:val="center"/>
          </w:tcPr>
          <w:p w14:paraId="10E0C9EE" w14:textId="77777777" w:rsidR="00990B14" w:rsidRDefault="00000000">
            <w:pPr>
              <w:spacing w:before="20" w:after="20"/>
              <w:jc w:val="both"/>
            </w:pPr>
            <w:r>
              <w:rPr>
                <w:sz w:val="18"/>
                <w:szCs w:val="18"/>
              </w:rPr>
              <w:t>Determina incorrectamente el tamaño de la muestra.</w:t>
            </w:r>
          </w:p>
        </w:tc>
        <w:tc>
          <w:tcPr>
            <w:tcW w:w="1910" w:type="dxa"/>
            <w:shd w:val="clear" w:color="auto" w:fill="D9E2F3"/>
            <w:vAlign w:val="center"/>
          </w:tcPr>
          <w:p w14:paraId="1AAF64F6" w14:textId="77777777" w:rsidR="00990B14" w:rsidRDefault="00000000">
            <w:pPr>
              <w:spacing w:before="20" w:after="20"/>
              <w:jc w:val="both"/>
            </w:pPr>
            <w:r>
              <w:rPr>
                <w:sz w:val="18"/>
                <w:szCs w:val="18"/>
              </w:rPr>
              <w:t>Relaciona el tamaño de la muestra con el error admitido.</w:t>
            </w:r>
          </w:p>
        </w:tc>
        <w:tc>
          <w:tcPr>
            <w:tcW w:w="2120" w:type="dxa"/>
            <w:shd w:val="clear" w:color="auto" w:fill="D9E2F3"/>
            <w:vAlign w:val="center"/>
          </w:tcPr>
          <w:p w14:paraId="55C0FF5E" w14:textId="77777777" w:rsidR="00990B14" w:rsidRDefault="00000000">
            <w:pPr>
              <w:spacing w:before="20" w:after="20"/>
              <w:jc w:val="both"/>
            </w:pPr>
            <w:r>
              <w:rPr>
                <w:sz w:val="18"/>
                <w:szCs w:val="18"/>
              </w:rPr>
              <w:t>Justifica el tamaño de la muestra según el error y la confianza requeridos.</w:t>
            </w:r>
          </w:p>
        </w:tc>
      </w:tr>
      <w:tr w:rsidR="00990B14" w14:paraId="3C813233" w14:textId="77777777">
        <w:trPr>
          <w:cantSplit/>
          <w:jc w:val="center"/>
        </w:trPr>
        <w:tc>
          <w:tcPr>
            <w:tcW w:w="1555" w:type="dxa"/>
            <w:vMerge/>
            <w:shd w:val="clear" w:color="auto" w:fill="4472C4"/>
            <w:vAlign w:val="center"/>
          </w:tcPr>
          <w:p w14:paraId="05C21FC4" w14:textId="77777777" w:rsidR="00990B14" w:rsidRDefault="00990B14">
            <w:pPr>
              <w:spacing w:before="20" w:after="20"/>
            </w:pPr>
          </w:p>
        </w:tc>
        <w:tc>
          <w:tcPr>
            <w:tcW w:w="1910" w:type="dxa"/>
            <w:shd w:val="clear" w:color="auto" w:fill="D9E2F3"/>
            <w:vAlign w:val="center"/>
          </w:tcPr>
          <w:p w14:paraId="03495B9A" w14:textId="77777777" w:rsidR="00990B14" w:rsidRDefault="00000000">
            <w:pPr>
              <w:spacing w:before="20" w:after="20"/>
              <w:jc w:val="both"/>
            </w:pPr>
            <w:r>
              <w:rPr>
                <w:sz w:val="18"/>
                <w:szCs w:val="18"/>
              </w:rPr>
              <w:t>Interpretación</w:t>
            </w:r>
          </w:p>
        </w:tc>
        <w:tc>
          <w:tcPr>
            <w:tcW w:w="1910" w:type="dxa"/>
            <w:shd w:val="clear" w:color="auto" w:fill="D9E2F3"/>
            <w:vAlign w:val="center"/>
          </w:tcPr>
          <w:p w14:paraId="304BDBAB" w14:textId="77777777" w:rsidR="00990B14" w:rsidRDefault="00000000">
            <w:pPr>
              <w:spacing w:before="20" w:after="20"/>
              <w:jc w:val="both"/>
            </w:pPr>
            <w:r>
              <w:rPr>
                <w:sz w:val="18"/>
                <w:szCs w:val="18"/>
              </w:rPr>
              <w:t>No interpreta los resultados.</w:t>
            </w:r>
          </w:p>
        </w:tc>
        <w:tc>
          <w:tcPr>
            <w:tcW w:w="1910" w:type="dxa"/>
            <w:shd w:val="clear" w:color="auto" w:fill="D9E2F3"/>
            <w:vAlign w:val="center"/>
          </w:tcPr>
          <w:p w14:paraId="6936F5DB" w14:textId="77777777" w:rsidR="00990B14" w:rsidRDefault="00000000">
            <w:pPr>
              <w:spacing w:before="20" w:after="20"/>
              <w:jc w:val="both"/>
            </w:pPr>
            <w:r>
              <w:rPr>
                <w:sz w:val="18"/>
                <w:szCs w:val="18"/>
              </w:rPr>
              <w:t>Interpreta los resultados obtenidos.</w:t>
            </w:r>
          </w:p>
        </w:tc>
        <w:tc>
          <w:tcPr>
            <w:tcW w:w="2120" w:type="dxa"/>
            <w:shd w:val="clear" w:color="auto" w:fill="D9E2F3"/>
            <w:vAlign w:val="center"/>
          </w:tcPr>
          <w:p w14:paraId="7C82AF04" w14:textId="77777777" w:rsidR="00990B14" w:rsidRDefault="00000000">
            <w:pPr>
              <w:spacing w:before="20" w:after="20"/>
              <w:jc w:val="both"/>
            </w:pPr>
            <w:r>
              <w:rPr>
                <w:sz w:val="18"/>
                <w:szCs w:val="18"/>
              </w:rPr>
              <w:t>Interpreta los resultados y concluye sobre el método más preciso.</w:t>
            </w:r>
          </w:p>
        </w:tc>
      </w:tr>
      <w:tr w:rsidR="00990B14" w14:paraId="158BED5E" w14:textId="77777777">
        <w:trPr>
          <w:cantSplit/>
          <w:jc w:val="center"/>
        </w:trPr>
        <w:tc>
          <w:tcPr>
            <w:tcW w:w="1555" w:type="dxa"/>
            <w:vMerge/>
            <w:shd w:val="clear" w:color="auto" w:fill="4472C4"/>
            <w:vAlign w:val="center"/>
          </w:tcPr>
          <w:p w14:paraId="436FB135" w14:textId="77777777" w:rsidR="00990B14" w:rsidRDefault="00990B14">
            <w:pPr>
              <w:spacing w:before="20" w:after="20"/>
            </w:pPr>
          </w:p>
        </w:tc>
        <w:tc>
          <w:tcPr>
            <w:tcW w:w="5730" w:type="dxa"/>
            <w:gridSpan w:val="3"/>
            <w:shd w:val="clear" w:color="auto" w:fill="D9E2F3"/>
            <w:vAlign w:val="center"/>
          </w:tcPr>
          <w:p w14:paraId="2EEE2090" w14:textId="77777777" w:rsidR="00990B14" w:rsidRDefault="00000000">
            <w:pPr>
              <w:keepNext/>
              <w:spacing w:before="20" w:after="20"/>
              <w:jc w:val="both"/>
            </w:pPr>
            <w:r>
              <w:rPr>
                <w:b/>
                <w:bCs/>
                <w:i/>
                <w:iCs/>
                <w:sz w:val="18"/>
                <w:szCs w:val="18"/>
              </w:rPr>
              <w:t xml:space="preserve">Producto 15: </w:t>
            </w:r>
            <w:r>
              <w:rPr>
                <w:sz w:val="18"/>
                <w:szCs w:val="18"/>
              </w:rPr>
              <w:t>Cálculo del tamaño y la asignación de una muestra de un caso práctico en contabilidad.</w:t>
            </w:r>
          </w:p>
        </w:tc>
        <w:tc>
          <w:tcPr>
            <w:tcW w:w="2120" w:type="dxa"/>
            <w:shd w:val="clear" w:color="auto" w:fill="D9E2F3"/>
            <w:vAlign w:val="center"/>
          </w:tcPr>
          <w:p w14:paraId="0063F3C8" w14:textId="77777777" w:rsidR="00990B14" w:rsidRDefault="00000000">
            <w:pPr>
              <w:spacing w:before="20" w:after="20"/>
              <w:jc w:val="center"/>
            </w:pPr>
            <w:r>
              <w:rPr>
                <w:b/>
                <w:bCs/>
                <w:sz w:val="18"/>
                <w:szCs w:val="18"/>
              </w:rPr>
              <w:t>2%</w:t>
            </w:r>
          </w:p>
        </w:tc>
      </w:tr>
      <w:tr w:rsidR="00990B14" w14:paraId="3741FFBB" w14:textId="77777777">
        <w:trPr>
          <w:cantSplit/>
          <w:jc w:val="center"/>
        </w:trPr>
        <w:tc>
          <w:tcPr>
            <w:tcW w:w="1555" w:type="dxa"/>
            <w:vMerge/>
            <w:shd w:val="clear" w:color="auto" w:fill="4472C4"/>
            <w:vAlign w:val="center"/>
          </w:tcPr>
          <w:p w14:paraId="341DDAFC" w14:textId="77777777" w:rsidR="00990B14" w:rsidRDefault="00990B14">
            <w:pPr>
              <w:spacing w:before="20" w:after="20"/>
            </w:pPr>
          </w:p>
        </w:tc>
        <w:tc>
          <w:tcPr>
            <w:tcW w:w="1910" w:type="dxa"/>
            <w:shd w:val="clear" w:color="auto" w:fill="4472C4"/>
            <w:vAlign w:val="center"/>
          </w:tcPr>
          <w:p w14:paraId="7866C15A"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19149AE0"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46863C8C"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26CD910A" w14:textId="77777777" w:rsidR="00990B14" w:rsidRDefault="00000000">
            <w:pPr>
              <w:keepNext/>
              <w:spacing w:before="20" w:after="20"/>
              <w:jc w:val="center"/>
            </w:pPr>
            <w:r>
              <w:rPr>
                <w:b/>
                <w:bCs/>
                <w:i/>
                <w:iCs/>
                <w:color w:val="FFFFFF"/>
                <w:sz w:val="18"/>
                <w:szCs w:val="18"/>
              </w:rPr>
              <w:t>Destacado (81–100)</w:t>
            </w:r>
          </w:p>
        </w:tc>
      </w:tr>
      <w:tr w:rsidR="00990B14" w14:paraId="3D65BC5D" w14:textId="77777777">
        <w:trPr>
          <w:cantSplit/>
          <w:jc w:val="center"/>
        </w:trPr>
        <w:tc>
          <w:tcPr>
            <w:tcW w:w="1555" w:type="dxa"/>
            <w:vMerge/>
            <w:shd w:val="clear" w:color="auto" w:fill="4472C4"/>
            <w:vAlign w:val="center"/>
          </w:tcPr>
          <w:p w14:paraId="79FC6D44" w14:textId="77777777" w:rsidR="00990B14" w:rsidRDefault="00990B14">
            <w:pPr>
              <w:spacing w:before="20" w:after="20"/>
            </w:pPr>
          </w:p>
        </w:tc>
        <w:tc>
          <w:tcPr>
            <w:tcW w:w="1910" w:type="dxa"/>
            <w:shd w:val="clear" w:color="auto" w:fill="D9E2F3"/>
            <w:vAlign w:val="center"/>
          </w:tcPr>
          <w:p w14:paraId="63F8BCB7" w14:textId="77777777" w:rsidR="00990B14" w:rsidRDefault="00000000">
            <w:pPr>
              <w:spacing w:before="20" w:after="20"/>
              <w:jc w:val="both"/>
            </w:pPr>
            <w:r>
              <w:rPr>
                <w:sz w:val="18"/>
                <w:szCs w:val="18"/>
              </w:rPr>
              <w:t>Tamaño y asignación de la muestra</w:t>
            </w:r>
          </w:p>
        </w:tc>
        <w:tc>
          <w:tcPr>
            <w:tcW w:w="1910" w:type="dxa"/>
            <w:shd w:val="clear" w:color="auto" w:fill="D9E2F3"/>
            <w:vAlign w:val="center"/>
          </w:tcPr>
          <w:p w14:paraId="586CB1CA" w14:textId="77777777" w:rsidR="00990B14" w:rsidRDefault="00000000">
            <w:pPr>
              <w:spacing w:before="20" w:after="20"/>
              <w:jc w:val="both"/>
            </w:pPr>
            <w:r>
              <w:rPr>
                <w:sz w:val="18"/>
                <w:szCs w:val="18"/>
              </w:rPr>
              <w:t>Determina incorrectamente el tamaño o la asignación de la muestra.</w:t>
            </w:r>
          </w:p>
        </w:tc>
        <w:tc>
          <w:tcPr>
            <w:tcW w:w="1910" w:type="dxa"/>
            <w:shd w:val="clear" w:color="auto" w:fill="D9E2F3"/>
            <w:vAlign w:val="center"/>
          </w:tcPr>
          <w:p w14:paraId="5CED6F25" w14:textId="77777777" w:rsidR="00990B14" w:rsidRDefault="00000000">
            <w:pPr>
              <w:spacing w:before="20" w:after="20"/>
              <w:jc w:val="both"/>
            </w:pPr>
            <w:r>
              <w:rPr>
                <w:sz w:val="18"/>
                <w:szCs w:val="18"/>
              </w:rPr>
              <w:t>Determina correctamente el tamaño y la asignación de la muestra del caso.</w:t>
            </w:r>
          </w:p>
        </w:tc>
        <w:tc>
          <w:tcPr>
            <w:tcW w:w="2120" w:type="dxa"/>
            <w:shd w:val="clear" w:color="auto" w:fill="D9E2F3"/>
            <w:vAlign w:val="center"/>
          </w:tcPr>
          <w:p w14:paraId="1BCDB356" w14:textId="77777777" w:rsidR="00990B14" w:rsidRDefault="00000000">
            <w:pPr>
              <w:spacing w:before="20" w:after="20"/>
              <w:jc w:val="both"/>
            </w:pPr>
            <w:r>
              <w:rPr>
                <w:sz w:val="18"/>
                <w:szCs w:val="18"/>
              </w:rPr>
              <w:t>Determina el tamaño de la muestra y sustenta su representatividad frente al objetivo de la prueba.</w:t>
            </w:r>
          </w:p>
        </w:tc>
      </w:tr>
      <w:tr w:rsidR="00990B14" w14:paraId="272FFA3B" w14:textId="77777777">
        <w:trPr>
          <w:cantSplit/>
          <w:jc w:val="center"/>
        </w:trPr>
        <w:tc>
          <w:tcPr>
            <w:tcW w:w="1555" w:type="dxa"/>
            <w:vMerge/>
            <w:shd w:val="clear" w:color="auto" w:fill="4472C4"/>
            <w:vAlign w:val="center"/>
          </w:tcPr>
          <w:p w14:paraId="02F818A0" w14:textId="77777777" w:rsidR="00990B14" w:rsidRDefault="00990B14">
            <w:pPr>
              <w:spacing w:before="20" w:after="20"/>
            </w:pPr>
          </w:p>
        </w:tc>
        <w:tc>
          <w:tcPr>
            <w:tcW w:w="1910" w:type="dxa"/>
            <w:shd w:val="clear" w:color="auto" w:fill="D9E2F3"/>
            <w:vAlign w:val="center"/>
          </w:tcPr>
          <w:p w14:paraId="02D567A1" w14:textId="77777777" w:rsidR="00990B14" w:rsidRDefault="00000000">
            <w:pPr>
              <w:spacing w:before="20" w:after="20"/>
              <w:jc w:val="both"/>
            </w:pPr>
            <w:r>
              <w:rPr>
                <w:sz w:val="18"/>
                <w:szCs w:val="18"/>
              </w:rPr>
              <w:t>Estimación de medias y proporciones</w:t>
            </w:r>
          </w:p>
        </w:tc>
        <w:tc>
          <w:tcPr>
            <w:tcW w:w="1910" w:type="dxa"/>
            <w:shd w:val="clear" w:color="auto" w:fill="D9E2F3"/>
            <w:vAlign w:val="center"/>
          </w:tcPr>
          <w:p w14:paraId="4FF53321" w14:textId="77777777" w:rsidR="00990B14" w:rsidRDefault="00000000">
            <w:pPr>
              <w:spacing w:before="20" w:after="20"/>
              <w:jc w:val="both"/>
            </w:pPr>
            <w:r>
              <w:rPr>
                <w:sz w:val="18"/>
                <w:szCs w:val="18"/>
              </w:rPr>
              <w:t>Estima incorrectamente la media o la proporción poblacional.</w:t>
            </w:r>
          </w:p>
        </w:tc>
        <w:tc>
          <w:tcPr>
            <w:tcW w:w="1910" w:type="dxa"/>
            <w:shd w:val="clear" w:color="auto" w:fill="D9E2F3"/>
            <w:vAlign w:val="center"/>
          </w:tcPr>
          <w:p w14:paraId="0CB746D6" w14:textId="77777777" w:rsidR="00990B14" w:rsidRDefault="00000000">
            <w:pPr>
              <w:spacing w:before="20" w:after="20"/>
              <w:jc w:val="both"/>
            </w:pPr>
            <w:r>
              <w:rPr>
                <w:sz w:val="18"/>
                <w:szCs w:val="18"/>
              </w:rPr>
              <w:t>Estima correctamente la media y la proporción poblacional a partir de la muestra.</w:t>
            </w:r>
          </w:p>
        </w:tc>
        <w:tc>
          <w:tcPr>
            <w:tcW w:w="2120" w:type="dxa"/>
            <w:shd w:val="clear" w:color="auto" w:fill="D9E2F3"/>
            <w:vAlign w:val="center"/>
          </w:tcPr>
          <w:p w14:paraId="6E25475F" w14:textId="77777777" w:rsidR="00990B14" w:rsidRDefault="00000000">
            <w:pPr>
              <w:spacing w:before="20" w:after="20"/>
              <w:jc w:val="both"/>
            </w:pPr>
            <w:r>
              <w:rPr>
                <w:sz w:val="18"/>
                <w:szCs w:val="18"/>
              </w:rPr>
              <w:t>Evalúa la precisión de la estimación de medias y proporciones poblacionales obtenida.</w:t>
            </w:r>
          </w:p>
        </w:tc>
      </w:tr>
      <w:tr w:rsidR="00990B14" w14:paraId="204340A1" w14:textId="77777777">
        <w:trPr>
          <w:cantSplit/>
          <w:jc w:val="center"/>
        </w:trPr>
        <w:tc>
          <w:tcPr>
            <w:tcW w:w="1555" w:type="dxa"/>
            <w:vMerge/>
            <w:shd w:val="clear" w:color="auto" w:fill="4472C4"/>
            <w:vAlign w:val="center"/>
          </w:tcPr>
          <w:p w14:paraId="769F6081" w14:textId="77777777" w:rsidR="00990B14" w:rsidRDefault="00990B14">
            <w:pPr>
              <w:spacing w:before="20" w:after="20"/>
            </w:pPr>
          </w:p>
        </w:tc>
        <w:tc>
          <w:tcPr>
            <w:tcW w:w="1910" w:type="dxa"/>
            <w:shd w:val="clear" w:color="auto" w:fill="D9E2F3"/>
            <w:vAlign w:val="center"/>
          </w:tcPr>
          <w:p w14:paraId="5B46221B" w14:textId="77777777" w:rsidR="00990B14" w:rsidRDefault="00000000">
            <w:pPr>
              <w:spacing w:before="20" w:after="20"/>
              <w:jc w:val="both"/>
            </w:pPr>
            <w:r>
              <w:rPr>
                <w:sz w:val="18"/>
                <w:szCs w:val="18"/>
              </w:rPr>
              <w:t>Aplicación contable</w:t>
            </w:r>
          </w:p>
        </w:tc>
        <w:tc>
          <w:tcPr>
            <w:tcW w:w="1910" w:type="dxa"/>
            <w:shd w:val="clear" w:color="auto" w:fill="D9E2F3"/>
            <w:vAlign w:val="center"/>
          </w:tcPr>
          <w:p w14:paraId="2C975FB8" w14:textId="77777777" w:rsidR="00990B14" w:rsidRDefault="00000000">
            <w:pPr>
              <w:spacing w:before="20" w:after="20"/>
              <w:jc w:val="both"/>
            </w:pPr>
            <w:r>
              <w:rPr>
                <w:sz w:val="18"/>
                <w:szCs w:val="18"/>
              </w:rPr>
              <w:t>No vincula la muestra con el caso contable.</w:t>
            </w:r>
          </w:p>
        </w:tc>
        <w:tc>
          <w:tcPr>
            <w:tcW w:w="1910" w:type="dxa"/>
            <w:shd w:val="clear" w:color="auto" w:fill="D9E2F3"/>
            <w:vAlign w:val="center"/>
          </w:tcPr>
          <w:p w14:paraId="463FDDA0" w14:textId="77777777" w:rsidR="00990B14" w:rsidRDefault="00000000">
            <w:pPr>
              <w:spacing w:before="20" w:after="20"/>
              <w:jc w:val="both"/>
            </w:pPr>
            <w:r>
              <w:rPr>
                <w:sz w:val="18"/>
                <w:szCs w:val="18"/>
              </w:rPr>
              <w:t>Aplica la muestra al caso práctico en contabilidad.</w:t>
            </w:r>
          </w:p>
        </w:tc>
        <w:tc>
          <w:tcPr>
            <w:tcW w:w="2120" w:type="dxa"/>
            <w:shd w:val="clear" w:color="auto" w:fill="D9E2F3"/>
            <w:vAlign w:val="center"/>
          </w:tcPr>
          <w:p w14:paraId="1B261D6B" w14:textId="77777777" w:rsidR="00990B14" w:rsidRDefault="00000000">
            <w:pPr>
              <w:spacing w:before="20" w:after="20"/>
              <w:jc w:val="both"/>
            </w:pPr>
            <w:r>
              <w:rPr>
                <w:sz w:val="18"/>
                <w:szCs w:val="18"/>
              </w:rPr>
              <w:t>Aplica la muestra y justifica su utilidad en el caso contable.</w:t>
            </w:r>
          </w:p>
        </w:tc>
      </w:tr>
      <w:tr w:rsidR="00990B14" w14:paraId="1631BB1D" w14:textId="77777777">
        <w:trPr>
          <w:cantSplit/>
          <w:jc w:val="center"/>
        </w:trPr>
        <w:tc>
          <w:tcPr>
            <w:tcW w:w="1555" w:type="dxa"/>
            <w:vMerge/>
            <w:shd w:val="clear" w:color="auto" w:fill="4472C4"/>
            <w:vAlign w:val="center"/>
          </w:tcPr>
          <w:p w14:paraId="4F132127" w14:textId="77777777" w:rsidR="00990B14" w:rsidRDefault="00990B14">
            <w:pPr>
              <w:spacing w:before="20" w:after="20"/>
            </w:pPr>
          </w:p>
        </w:tc>
        <w:tc>
          <w:tcPr>
            <w:tcW w:w="5730" w:type="dxa"/>
            <w:gridSpan w:val="3"/>
            <w:shd w:val="clear" w:color="auto" w:fill="D9E2F3"/>
            <w:vAlign w:val="center"/>
          </w:tcPr>
          <w:p w14:paraId="2BEBA5A4" w14:textId="77777777" w:rsidR="00990B14" w:rsidRDefault="00000000">
            <w:pPr>
              <w:keepNext/>
              <w:spacing w:before="20" w:after="20"/>
              <w:jc w:val="both"/>
            </w:pPr>
            <w:r>
              <w:rPr>
                <w:b/>
                <w:bCs/>
                <w:i/>
                <w:iCs/>
                <w:sz w:val="18"/>
                <w:szCs w:val="18"/>
              </w:rPr>
              <w:t xml:space="preserve">Producto 16: </w:t>
            </w:r>
            <w:r>
              <w:rPr>
                <w:sz w:val="18"/>
                <w:szCs w:val="18"/>
              </w:rPr>
              <w:t>Informe acerca de los niveles de significancia aplicados al determinar los tamaños de muestra obtenidos por cualquier método de muestreo utilizado.</w:t>
            </w:r>
          </w:p>
        </w:tc>
        <w:tc>
          <w:tcPr>
            <w:tcW w:w="2120" w:type="dxa"/>
            <w:shd w:val="clear" w:color="auto" w:fill="D9E2F3"/>
            <w:vAlign w:val="center"/>
          </w:tcPr>
          <w:p w14:paraId="0A3E6191" w14:textId="77777777" w:rsidR="00990B14" w:rsidRDefault="00000000">
            <w:pPr>
              <w:spacing w:before="20" w:after="20"/>
              <w:jc w:val="center"/>
            </w:pPr>
            <w:r>
              <w:rPr>
                <w:b/>
                <w:bCs/>
                <w:sz w:val="18"/>
                <w:szCs w:val="18"/>
              </w:rPr>
              <w:t>2%</w:t>
            </w:r>
          </w:p>
        </w:tc>
      </w:tr>
      <w:tr w:rsidR="00990B14" w14:paraId="19434FF5" w14:textId="77777777">
        <w:trPr>
          <w:cantSplit/>
          <w:jc w:val="center"/>
        </w:trPr>
        <w:tc>
          <w:tcPr>
            <w:tcW w:w="1555" w:type="dxa"/>
            <w:vMerge/>
            <w:shd w:val="clear" w:color="auto" w:fill="4472C4"/>
            <w:vAlign w:val="center"/>
          </w:tcPr>
          <w:p w14:paraId="0CE40D4C" w14:textId="77777777" w:rsidR="00990B14" w:rsidRDefault="00990B14">
            <w:pPr>
              <w:spacing w:before="20" w:after="20"/>
            </w:pPr>
          </w:p>
        </w:tc>
        <w:tc>
          <w:tcPr>
            <w:tcW w:w="1910" w:type="dxa"/>
            <w:shd w:val="clear" w:color="auto" w:fill="4472C4"/>
            <w:vAlign w:val="center"/>
          </w:tcPr>
          <w:p w14:paraId="23DED435"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367FC68D"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5EF0EC22"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5B9FB72E" w14:textId="77777777" w:rsidR="00990B14" w:rsidRDefault="00000000">
            <w:pPr>
              <w:keepNext/>
              <w:spacing w:before="20" w:after="20"/>
              <w:jc w:val="center"/>
            </w:pPr>
            <w:r>
              <w:rPr>
                <w:b/>
                <w:bCs/>
                <w:i/>
                <w:iCs/>
                <w:color w:val="FFFFFF"/>
                <w:sz w:val="18"/>
                <w:szCs w:val="18"/>
              </w:rPr>
              <w:t>Destacado (81–100)</w:t>
            </w:r>
          </w:p>
        </w:tc>
      </w:tr>
      <w:tr w:rsidR="00990B14" w14:paraId="45A3A533" w14:textId="77777777">
        <w:trPr>
          <w:cantSplit/>
          <w:jc w:val="center"/>
        </w:trPr>
        <w:tc>
          <w:tcPr>
            <w:tcW w:w="1555" w:type="dxa"/>
            <w:vMerge/>
            <w:shd w:val="clear" w:color="auto" w:fill="4472C4"/>
            <w:vAlign w:val="center"/>
          </w:tcPr>
          <w:p w14:paraId="465F213A" w14:textId="77777777" w:rsidR="00990B14" w:rsidRDefault="00990B14">
            <w:pPr>
              <w:spacing w:before="20" w:after="20"/>
            </w:pPr>
          </w:p>
        </w:tc>
        <w:tc>
          <w:tcPr>
            <w:tcW w:w="1910" w:type="dxa"/>
            <w:shd w:val="clear" w:color="auto" w:fill="D9E2F3"/>
            <w:vAlign w:val="center"/>
          </w:tcPr>
          <w:p w14:paraId="4A8A82E4" w14:textId="77777777" w:rsidR="00990B14" w:rsidRDefault="00000000">
            <w:pPr>
              <w:spacing w:before="20" w:after="20"/>
              <w:jc w:val="both"/>
            </w:pPr>
            <w:r>
              <w:rPr>
                <w:sz w:val="18"/>
                <w:szCs w:val="18"/>
              </w:rPr>
              <w:t>Niveles de significancia</w:t>
            </w:r>
          </w:p>
        </w:tc>
        <w:tc>
          <w:tcPr>
            <w:tcW w:w="1910" w:type="dxa"/>
            <w:shd w:val="clear" w:color="auto" w:fill="D9E2F3"/>
            <w:vAlign w:val="center"/>
          </w:tcPr>
          <w:p w14:paraId="3ECC2FFB" w14:textId="77777777" w:rsidR="00990B14" w:rsidRDefault="00000000">
            <w:pPr>
              <w:spacing w:before="20" w:after="20"/>
              <w:jc w:val="both"/>
            </w:pPr>
            <w:r>
              <w:rPr>
                <w:sz w:val="18"/>
                <w:szCs w:val="18"/>
              </w:rPr>
              <w:t>Confunde el nivel de significancia con el nivel de confianza.</w:t>
            </w:r>
          </w:p>
        </w:tc>
        <w:tc>
          <w:tcPr>
            <w:tcW w:w="1910" w:type="dxa"/>
            <w:shd w:val="clear" w:color="auto" w:fill="D9E2F3"/>
            <w:vAlign w:val="center"/>
          </w:tcPr>
          <w:p w14:paraId="3A599124" w14:textId="77777777" w:rsidR="00990B14" w:rsidRDefault="00000000">
            <w:pPr>
              <w:spacing w:before="20" w:after="20"/>
              <w:jc w:val="both"/>
            </w:pPr>
            <w:r>
              <w:rPr>
                <w:sz w:val="18"/>
                <w:szCs w:val="18"/>
              </w:rPr>
              <w:t>Aplica correctamente los niveles de significancia.</w:t>
            </w:r>
          </w:p>
        </w:tc>
        <w:tc>
          <w:tcPr>
            <w:tcW w:w="2120" w:type="dxa"/>
            <w:shd w:val="clear" w:color="auto" w:fill="D9E2F3"/>
            <w:vAlign w:val="center"/>
          </w:tcPr>
          <w:p w14:paraId="1921ED91" w14:textId="77777777" w:rsidR="00990B14" w:rsidRDefault="00000000">
            <w:pPr>
              <w:spacing w:before="20" w:after="20"/>
              <w:jc w:val="both"/>
            </w:pPr>
            <w:r>
              <w:rPr>
                <w:sz w:val="18"/>
                <w:szCs w:val="18"/>
              </w:rPr>
              <w:t>Justifica el nivel de significancia según el riesgo del caso.</w:t>
            </w:r>
          </w:p>
        </w:tc>
      </w:tr>
      <w:tr w:rsidR="00990B14" w14:paraId="6D5EE8FD" w14:textId="77777777">
        <w:trPr>
          <w:cantSplit/>
          <w:jc w:val="center"/>
        </w:trPr>
        <w:tc>
          <w:tcPr>
            <w:tcW w:w="1555" w:type="dxa"/>
            <w:vMerge/>
            <w:shd w:val="clear" w:color="auto" w:fill="4472C4"/>
            <w:vAlign w:val="center"/>
          </w:tcPr>
          <w:p w14:paraId="320560FB" w14:textId="77777777" w:rsidR="00990B14" w:rsidRDefault="00990B14">
            <w:pPr>
              <w:spacing w:before="20" w:after="20"/>
            </w:pPr>
          </w:p>
        </w:tc>
        <w:tc>
          <w:tcPr>
            <w:tcW w:w="1910" w:type="dxa"/>
            <w:shd w:val="clear" w:color="auto" w:fill="D9E2F3"/>
            <w:vAlign w:val="center"/>
          </w:tcPr>
          <w:p w14:paraId="136653A7" w14:textId="77777777" w:rsidR="00990B14" w:rsidRDefault="00000000">
            <w:pPr>
              <w:spacing w:before="20" w:after="20"/>
              <w:jc w:val="both"/>
            </w:pPr>
            <w:r>
              <w:rPr>
                <w:sz w:val="18"/>
                <w:szCs w:val="18"/>
              </w:rPr>
              <w:t>Comparación de métodos</w:t>
            </w:r>
          </w:p>
        </w:tc>
        <w:tc>
          <w:tcPr>
            <w:tcW w:w="1910" w:type="dxa"/>
            <w:shd w:val="clear" w:color="auto" w:fill="D9E2F3"/>
            <w:vAlign w:val="center"/>
          </w:tcPr>
          <w:p w14:paraId="57A3F8AC" w14:textId="77777777" w:rsidR="00990B14" w:rsidRDefault="00000000">
            <w:pPr>
              <w:spacing w:before="20" w:after="20"/>
              <w:jc w:val="both"/>
            </w:pPr>
            <w:r>
              <w:rPr>
                <w:sz w:val="18"/>
                <w:szCs w:val="18"/>
              </w:rPr>
              <w:t>No compara los tamaños de muestra.</w:t>
            </w:r>
          </w:p>
        </w:tc>
        <w:tc>
          <w:tcPr>
            <w:tcW w:w="1910" w:type="dxa"/>
            <w:shd w:val="clear" w:color="auto" w:fill="D9E2F3"/>
            <w:vAlign w:val="center"/>
          </w:tcPr>
          <w:p w14:paraId="4887B181" w14:textId="77777777" w:rsidR="00990B14" w:rsidRDefault="00000000">
            <w:pPr>
              <w:spacing w:before="20" w:after="20"/>
              <w:jc w:val="both"/>
            </w:pPr>
            <w:r>
              <w:rPr>
                <w:sz w:val="18"/>
                <w:szCs w:val="18"/>
              </w:rPr>
              <w:t>Compara los tamaños de muestra de cada método.</w:t>
            </w:r>
          </w:p>
        </w:tc>
        <w:tc>
          <w:tcPr>
            <w:tcW w:w="2120" w:type="dxa"/>
            <w:shd w:val="clear" w:color="auto" w:fill="D9E2F3"/>
            <w:vAlign w:val="center"/>
          </w:tcPr>
          <w:p w14:paraId="18B18598" w14:textId="77777777" w:rsidR="00990B14" w:rsidRDefault="00000000">
            <w:pPr>
              <w:spacing w:before="20" w:after="20"/>
              <w:jc w:val="both"/>
            </w:pPr>
            <w:r>
              <w:rPr>
                <w:sz w:val="18"/>
                <w:szCs w:val="18"/>
              </w:rPr>
              <w:t>Concluye sobre el método más eficiente para el caso.</w:t>
            </w:r>
          </w:p>
        </w:tc>
      </w:tr>
      <w:tr w:rsidR="00990B14" w14:paraId="11AE3099" w14:textId="77777777">
        <w:trPr>
          <w:cantSplit/>
          <w:jc w:val="center"/>
        </w:trPr>
        <w:tc>
          <w:tcPr>
            <w:tcW w:w="1555" w:type="dxa"/>
            <w:vMerge/>
            <w:shd w:val="clear" w:color="auto" w:fill="4472C4"/>
            <w:vAlign w:val="center"/>
          </w:tcPr>
          <w:p w14:paraId="6D1D2AC4" w14:textId="77777777" w:rsidR="00990B14" w:rsidRDefault="00990B14">
            <w:pPr>
              <w:spacing w:before="20" w:after="20"/>
            </w:pPr>
          </w:p>
        </w:tc>
        <w:tc>
          <w:tcPr>
            <w:tcW w:w="1910" w:type="dxa"/>
            <w:shd w:val="clear" w:color="auto" w:fill="D9E2F3"/>
            <w:vAlign w:val="center"/>
          </w:tcPr>
          <w:p w14:paraId="12FEA0F5" w14:textId="77777777" w:rsidR="00990B14" w:rsidRDefault="00000000">
            <w:pPr>
              <w:spacing w:before="20" w:after="20"/>
              <w:jc w:val="both"/>
            </w:pPr>
            <w:r>
              <w:rPr>
                <w:sz w:val="18"/>
                <w:szCs w:val="18"/>
              </w:rPr>
              <w:t>Presentación del informe</w:t>
            </w:r>
          </w:p>
        </w:tc>
        <w:tc>
          <w:tcPr>
            <w:tcW w:w="1910" w:type="dxa"/>
            <w:shd w:val="clear" w:color="auto" w:fill="D9E2F3"/>
            <w:vAlign w:val="center"/>
          </w:tcPr>
          <w:p w14:paraId="4D71A54E" w14:textId="77777777" w:rsidR="00990B14" w:rsidRDefault="00000000">
            <w:pPr>
              <w:spacing w:before="20" w:after="20"/>
              <w:jc w:val="both"/>
            </w:pPr>
            <w:r>
              <w:rPr>
                <w:sz w:val="18"/>
                <w:szCs w:val="18"/>
              </w:rPr>
              <w:t>El informe es desordenado o incompleto.</w:t>
            </w:r>
          </w:p>
        </w:tc>
        <w:tc>
          <w:tcPr>
            <w:tcW w:w="1910" w:type="dxa"/>
            <w:shd w:val="clear" w:color="auto" w:fill="D9E2F3"/>
            <w:vAlign w:val="center"/>
          </w:tcPr>
          <w:p w14:paraId="1BDF740F" w14:textId="77777777" w:rsidR="00990B14" w:rsidRDefault="00000000">
            <w:pPr>
              <w:spacing w:before="20" w:after="20"/>
              <w:jc w:val="both"/>
            </w:pPr>
            <w:r>
              <w:rPr>
                <w:sz w:val="18"/>
                <w:szCs w:val="18"/>
              </w:rPr>
              <w:t>Presenta el informe ordenado con la comparación de los tamaños de muestra.</w:t>
            </w:r>
          </w:p>
        </w:tc>
        <w:tc>
          <w:tcPr>
            <w:tcW w:w="2120" w:type="dxa"/>
            <w:shd w:val="clear" w:color="auto" w:fill="D9E2F3"/>
            <w:vAlign w:val="center"/>
          </w:tcPr>
          <w:p w14:paraId="66742B4E" w14:textId="77777777" w:rsidR="00990B14" w:rsidRDefault="00000000">
            <w:pPr>
              <w:spacing w:before="20" w:after="20"/>
              <w:jc w:val="both"/>
            </w:pPr>
            <w:r>
              <w:rPr>
                <w:sz w:val="18"/>
                <w:szCs w:val="18"/>
              </w:rPr>
              <w:t>Presenta un informe claro con conclusiones fundamentadas.</w:t>
            </w:r>
          </w:p>
        </w:tc>
      </w:tr>
      <w:tr w:rsidR="00990B14" w14:paraId="266850F8" w14:textId="77777777">
        <w:trPr>
          <w:cantSplit/>
          <w:jc w:val="center"/>
        </w:trPr>
        <w:tc>
          <w:tcPr>
            <w:tcW w:w="1555" w:type="dxa"/>
            <w:vMerge/>
            <w:shd w:val="clear" w:color="auto" w:fill="4472C4"/>
            <w:vAlign w:val="center"/>
          </w:tcPr>
          <w:p w14:paraId="628B0837" w14:textId="77777777" w:rsidR="00990B14" w:rsidRDefault="00990B14">
            <w:pPr>
              <w:spacing w:before="20" w:after="20"/>
            </w:pPr>
          </w:p>
        </w:tc>
        <w:tc>
          <w:tcPr>
            <w:tcW w:w="5730" w:type="dxa"/>
            <w:gridSpan w:val="3"/>
            <w:shd w:val="clear" w:color="auto" w:fill="D9E2F3"/>
            <w:vAlign w:val="center"/>
          </w:tcPr>
          <w:p w14:paraId="0AC70D63" w14:textId="77777777" w:rsidR="00990B14" w:rsidRDefault="00000000">
            <w:pPr>
              <w:keepNext/>
              <w:spacing w:before="20" w:after="20"/>
              <w:jc w:val="both"/>
            </w:pPr>
            <w:r>
              <w:rPr>
                <w:b/>
                <w:bCs/>
                <w:i/>
                <w:iCs/>
                <w:sz w:val="18"/>
                <w:szCs w:val="18"/>
              </w:rPr>
              <w:t xml:space="preserve">Producto 17: </w:t>
            </w:r>
            <w:r>
              <w:rPr>
                <w:sz w:val="18"/>
                <w:szCs w:val="18"/>
              </w:rPr>
              <w:t>Análisis estadístico de los resultados obtenidos al realizar una prueba de hipótesis.</w:t>
            </w:r>
          </w:p>
        </w:tc>
        <w:tc>
          <w:tcPr>
            <w:tcW w:w="2120" w:type="dxa"/>
            <w:shd w:val="clear" w:color="auto" w:fill="D9E2F3"/>
            <w:vAlign w:val="center"/>
          </w:tcPr>
          <w:p w14:paraId="1159358E" w14:textId="77777777" w:rsidR="00990B14" w:rsidRDefault="00000000">
            <w:pPr>
              <w:spacing w:before="20" w:after="20"/>
              <w:jc w:val="center"/>
            </w:pPr>
            <w:r>
              <w:rPr>
                <w:b/>
                <w:bCs/>
                <w:sz w:val="18"/>
                <w:szCs w:val="18"/>
              </w:rPr>
              <w:t>3%</w:t>
            </w:r>
          </w:p>
        </w:tc>
      </w:tr>
      <w:tr w:rsidR="00990B14" w14:paraId="34BB50E7" w14:textId="77777777">
        <w:trPr>
          <w:cantSplit/>
          <w:jc w:val="center"/>
        </w:trPr>
        <w:tc>
          <w:tcPr>
            <w:tcW w:w="1555" w:type="dxa"/>
            <w:vMerge/>
            <w:shd w:val="clear" w:color="auto" w:fill="4472C4"/>
            <w:vAlign w:val="center"/>
          </w:tcPr>
          <w:p w14:paraId="0AF6FF68" w14:textId="77777777" w:rsidR="00990B14" w:rsidRDefault="00990B14">
            <w:pPr>
              <w:spacing w:before="20" w:after="20"/>
            </w:pPr>
          </w:p>
        </w:tc>
        <w:tc>
          <w:tcPr>
            <w:tcW w:w="1910" w:type="dxa"/>
            <w:shd w:val="clear" w:color="auto" w:fill="4472C4"/>
            <w:vAlign w:val="center"/>
          </w:tcPr>
          <w:p w14:paraId="40B0ECEE"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5E7E507C"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2EE27FB6"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424A3AB7" w14:textId="77777777" w:rsidR="00990B14" w:rsidRDefault="00000000">
            <w:pPr>
              <w:keepNext/>
              <w:spacing w:before="20" w:after="20"/>
              <w:jc w:val="center"/>
            </w:pPr>
            <w:r>
              <w:rPr>
                <w:b/>
                <w:bCs/>
                <w:i/>
                <w:iCs/>
                <w:color w:val="FFFFFF"/>
                <w:sz w:val="18"/>
                <w:szCs w:val="18"/>
              </w:rPr>
              <w:t>Destacado (81–100)</w:t>
            </w:r>
          </w:p>
        </w:tc>
      </w:tr>
      <w:tr w:rsidR="00990B14" w14:paraId="2B74F8F7" w14:textId="77777777">
        <w:trPr>
          <w:cantSplit/>
          <w:jc w:val="center"/>
        </w:trPr>
        <w:tc>
          <w:tcPr>
            <w:tcW w:w="1555" w:type="dxa"/>
            <w:vMerge/>
            <w:shd w:val="clear" w:color="auto" w:fill="4472C4"/>
            <w:vAlign w:val="center"/>
          </w:tcPr>
          <w:p w14:paraId="111B8044" w14:textId="77777777" w:rsidR="00990B14" w:rsidRDefault="00990B14">
            <w:pPr>
              <w:spacing w:before="20" w:after="20"/>
            </w:pPr>
          </w:p>
        </w:tc>
        <w:tc>
          <w:tcPr>
            <w:tcW w:w="1910" w:type="dxa"/>
            <w:shd w:val="clear" w:color="auto" w:fill="D9E2F3"/>
            <w:vAlign w:val="center"/>
          </w:tcPr>
          <w:p w14:paraId="67147C14" w14:textId="77777777" w:rsidR="00990B14" w:rsidRDefault="00000000">
            <w:pPr>
              <w:spacing w:before="20" w:after="20"/>
              <w:jc w:val="both"/>
            </w:pPr>
            <w:r>
              <w:rPr>
                <w:sz w:val="18"/>
                <w:szCs w:val="18"/>
              </w:rPr>
              <w:t>Formulación de hipótesis</w:t>
            </w:r>
          </w:p>
        </w:tc>
        <w:tc>
          <w:tcPr>
            <w:tcW w:w="1910" w:type="dxa"/>
            <w:shd w:val="clear" w:color="auto" w:fill="D9E2F3"/>
            <w:vAlign w:val="center"/>
          </w:tcPr>
          <w:p w14:paraId="17E90121" w14:textId="77777777" w:rsidR="00990B14" w:rsidRDefault="00000000">
            <w:pPr>
              <w:spacing w:before="20" w:after="20"/>
              <w:jc w:val="both"/>
            </w:pPr>
            <w:r>
              <w:rPr>
                <w:sz w:val="18"/>
                <w:szCs w:val="18"/>
              </w:rPr>
              <w:t>Confunde la hipótesis nula con la hipótesis alternativa.</w:t>
            </w:r>
          </w:p>
        </w:tc>
        <w:tc>
          <w:tcPr>
            <w:tcW w:w="1910" w:type="dxa"/>
            <w:shd w:val="clear" w:color="auto" w:fill="D9E2F3"/>
            <w:vAlign w:val="center"/>
          </w:tcPr>
          <w:p w14:paraId="60DD1E1C" w14:textId="77777777" w:rsidR="00990B14" w:rsidRDefault="00000000">
            <w:pPr>
              <w:spacing w:before="20" w:after="20"/>
              <w:jc w:val="both"/>
            </w:pPr>
            <w:r>
              <w:rPr>
                <w:sz w:val="18"/>
                <w:szCs w:val="18"/>
              </w:rPr>
              <w:t>Formula correctamente la hipótesis nula y la hipótesis alternativa del caso.</w:t>
            </w:r>
          </w:p>
        </w:tc>
        <w:tc>
          <w:tcPr>
            <w:tcW w:w="2120" w:type="dxa"/>
            <w:shd w:val="clear" w:color="auto" w:fill="D9E2F3"/>
            <w:vAlign w:val="center"/>
          </w:tcPr>
          <w:p w14:paraId="1DD9112F" w14:textId="77777777" w:rsidR="00990B14" w:rsidRDefault="00000000">
            <w:pPr>
              <w:spacing w:before="20" w:after="20"/>
              <w:jc w:val="both"/>
            </w:pPr>
            <w:r>
              <w:rPr>
                <w:sz w:val="18"/>
                <w:szCs w:val="18"/>
              </w:rPr>
              <w:t>Interpreta el decisor de una prueba de hipótesis ya sea rechazando la hipótesis nula o aceptándola.</w:t>
            </w:r>
          </w:p>
        </w:tc>
      </w:tr>
      <w:tr w:rsidR="00990B14" w14:paraId="3563F4AA" w14:textId="77777777">
        <w:trPr>
          <w:cantSplit/>
          <w:jc w:val="center"/>
        </w:trPr>
        <w:tc>
          <w:tcPr>
            <w:tcW w:w="1555" w:type="dxa"/>
            <w:vMerge/>
            <w:shd w:val="clear" w:color="auto" w:fill="4472C4"/>
            <w:vAlign w:val="center"/>
          </w:tcPr>
          <w:p w14:paraId="417FDABF" w14:textId="77777777" w:rsidR="00990B14" w:rsidRDefault="00990B14">
            <w:pPr>
              <w:spacing w:before="20" w:after="20"/>
            </w:pPr>
          </w:p>
        </w:tc>
        <w:tc>
          <w:tcPr>
            <w:tcW w:w="1910" w:type="dxa"/>
            <w:shd w:val="clear" w:color="auto" w:fill="D9E2F3"/>
            <w:vAlign w:val="center"/>
          </w:tcPr>
          <w:p w14:paraId="60F7A202" w14:textId="77777777" w:rsidR="00990B14" w:rsidRDefault="00000000">
            <w:pPr>
              <w:spacing w:before="20" w:after="20"/>
              <w:jc w:val="both"/>
            </w:pPr>
            <w:r>
              <w:rPr>
                <w:sz w:val="18"/>
                <w:szCs w:val="18"/>
              </w:rPr>
              <w:t>Estadístico de prueba</w:t>
            </w:r>
          </w:p>
        </w:tc>
        <w:tc>
          <w:tcPr>
            <w:tcW w:w="1910" w:type="dxa"/>
            <w:shd w:val="clear" w:color="auto" w:fill="D9E2F3"/>
            <w:vAlign w:val="center"/>
          </w:tcPr>
          <w:p w14:paraId="170F11A7" w14:textId="77777777" w:rsidR="00990B14" w:rsidRDefault="00000000">
            <w:pPr>
              <w:spacing w:before="20" w:after="20"/>
              <w:jc w:val="both"/>
            </w:pPr>
            <w:r>
              <w:rPr>
                <w:sz w:val="18"/>
                <w:szCs w:val="18"/>
              </w:rPr>
              <w:t>Calcula incorrectamente el estadístico de prueba.</w:t>
            </w:r>
          </w:p>
        </w:tc>
        <w:tc>
          <w:tcPr>
            <w:tcW w:w="1910" w:type="dxa"/>
            <w:shd w:val="clear" w:color="auto" w:fill="D9E2F3"/>
            <w:vAlign w:val="center"/>
          </w:tcPr>
          <w:p w14:paraId="3824EEDD" w14:textId="77777777" w:rsidR="00990B14" w:rsidRDefault="00000000">
            <w:pPr>
              <w:spacing w:before="20" w:after="20"/>
              <w:jc w:val="both"/>
            </w:pPr>
            <w:r>
              <w:rPr>
                <w:sz w:val="18"/>
                <w:szCs w:val="18"/>
              </w:rPr>
              <w:t>Calcula correctamente el estadístico de prueba.</w:t>
            </w:r>
          </w:p>
        </w:tc>
        <w:tc>
          <w:tcPr>
            <w:tcW w:w="2120" w:type="dxa"/>
            <w:shd w:val="clear" w:color="auto" w:fill="D9E2F3"/>
            <w:vAlign w:val="center"/>
          </w:tcPr>
          <w:p w14:paraId="7BEC5ACA" w14:textId="77777777" w:rsidR="00990B14" w:rsidRDefault="00000000">
            <w:pPr>
              <w:spacing w:before="20" w:after="20"/>
              <w:jc w:val="both"/>
            </w:pPr>
            <w:r>
              <w:rPr>
                <w:sz w:val="18"/>
                <w:szCs w:val="18"/>
              </w:rPr>
              <w:t>Selecciona el estadístico de prueba y justifica su elección.</w:t>
            </w:r>
          </w:p>
        </w:tc>
      </w:tr>
      <w:tr w:rsidR="00990B14" w14:paraId="0484CFE0" w14:textId="77777777">
        <w:trPr>
          <w:cantSplit/>
          <w:jc w:val="center"/>
        </w:trPr>
        <w:tc>
          <w:tcPr>
            <w:tcW w:w="1555" w:type="dxa"/>
            <w:vMerge/>
            <w:shd w:val="clear" w:color="auto" w:fill="4472C4"/>
            <w:vAlign w:val="center"/>
          </w:tcPr>
          <w:p w14:paraId="56ADEC35" w14:textId="77777777" w:rsidR="00990B14" w:rsidRDefault="00990B14">
            <w:pPr>
              <w:spacing w:before="20" w:after="20"/>
            </w:pPr>
          </w:p>
        </w:tc>
        <w:tc>
          <w:tcPr>
            <w:tcW w:w="1910" w:type="dxa"/>
            <w:shd w:val="clear" w:color="auto" w:fill="D9E2F3"/>
            <w:vAlign w:val="center"/>
          </w:tcPr>
          <w:p w14:paraId="694B8DE9" w14:textId="77777777" w:rsidR="00990B14" w:rsidRDefault="00000000">
            <w:pPr>
              <w:spacing w:before="20" w:after="20"/>
              <w:jc w:val="both"/>
            </w:pPr>
            <w:r>
              <w:rPr>
                <w:sz w:val="18"/>
                <w:szCs w:val="18"/>
              </w:rPr>
              <w:t>Interpretación</w:t>
            </w:r>
          </w:p>
        </w:tc>
        <w:tc>
          <w:tcPr>
            <w:tcW w:w="1910" w:type="dxa"/>
            <w:shd w:val="clear" w:color="auto" w:fill="D9E2F3"/>
            <w:vAlign w:val="center"/>
          </w:tcPr>
          <w:p w14:paraId="129009A0" w14:textId="77777777" w:rsidR="00990B14" w:rsidRDefault="00000000">
            <w:pPr>
              <w:spacing w:before="20" w:after="20"/>
              <w:jc w:val="both"/>
            </w:pPr>
            <w:r>
              <w:rPr>
                <w:sz w:val="18"/>
                <w:szCs w:val="18"/>
              </w:rPr>
              <w:t>No interpreta los resultados.</w:t>
            </w:r>
          </w:p>
        </w:tc>
        <w:tc>
          <w:tcPr>
            <w:tcW w:w="1910" w:type="dxa"/>
            <w:shd w:val="clear" w:color="auto" w:fill="D9E2F3"/>
            <w:vAlign w:val="center"/>
          </w:tcPr>
          <w:p w14:paraId="3ACDFAC5" w14:textId="77777777" w:rsidR="00990B14" w:rsidRDefault="00000000">
            <w:pPr>
              <w:spacing w:before="20" w:after="20"/>
              <w:jc w:val="both"/>
            </w:pPr>
            <w:r>
              <w:rPr>
                <w:sz w:val="18"/>
                <w:szCs w:val="18"/>
              </w:rPr>
              <w:t>Interpreta el resultado de la prueba.</w:t>
            </w:r>
          </w:p>
        </w:tc>
        <w:tc>
          <w:tcPr>
            <w:tcW w:w="2120" w:type="dxa"/>
            <w:shd w:val="clear" w:color="auto" w:fill="D9E2F3"/>
            <w:vAlign w:val="center"/>
          </w:tcPr>
          <w:p w14:paraId="0B1A2186" w14:textId="77777777" w:rsidR="00990B14" w:rsidRDefault="00000000">
            <w:pPr>
              <w:spacing w:before="20" w:after="20"/>
              <w:jc w:val="both"/>
            </w:pPr>
            <w:r>
              <w:rPr>
                <w:sz w:val="18"/>
                <w:szCs w:val="18"/>
              </w:rPr>
              <w:t>Interpreta el resultado y señala los límites de la conclusión.</w:t>
            </w:r>
          </w:p>
        </w:tc>
      </w:tr>
      <w:tr w:rsidR="00990B14" w14:paraId="68E4AA1E" w14:textId="77777777">
        <w:trPr>
          <w:cantSplit/>
          <w:jc w:val="center"/>
        </w:trPr>
        <w:tc>
          <w:tcPr>
            <w:tcW w:w="1555" w:type="dxa"/>
            <w:vMerge/>
            <w:shd w:val="clear" w:color="auto" w:fill="4472C4"/>
            <w:vAlign w:val="center"/>
          </w:tcPr>
          <w:p w14:paraId="76276EB5" w14:textId="77777777" w:rsidR="00990B14" w:rsidRDefault="00990B14">
            <w:pPr>
              <w:spacing w:before="20" w:after="20"/>
            </w:pPr>
          </w:p>
        </w:tc>
        <w:tc>
          <w:tcPr>
            <w:tcW w:w="5730" w:type="dxa"/>
            <w:gridSpan w:val="3"/>
            <w:shd w:val="clear" w:color="auto" w:fill="D9E2F3"/>
            <w:vAlign w:val="center"/>
          </w:tcPr>
          <w:p w14:paraId="61CF07A5" w14:textId="77777777" w:rsidR="00990B14" w:rsidRDefault="00000000">
            <w:pPr>
              <w:keepNext/>
              <w:spacing w:before="20" w:after="20"/>
              <w:jc w:val="both"/>
            </w:pPr>
            <w:r>
              <w:rPr>
                <w:b/>
                <w:bCs/>
                <w:i/>
                <w:iCs/>
                <w:sz w:val="18"/>
                <w:szCs w:val="18"/>
              </w:rPr>
              <w:t xml:space="preserve">Producto 18: </w:t>
            </w:r>
            <w:r>
              <w:rPr>
                <w:sz w:val="18"/>
                <w:szCs w:val="18"/>
              </w:rPr>
              <w:t>Prueba de hipótesis de la diferencia entre dos medias o dos proporciones poblacionales.</w:t>
            </w:r>
          </w:p>
        </w:tc>
        <w:tc>
          <w:tcPr>
            <w:tcW w:w="2120" w:type="dxa"/>
            <w:shd w:val="clear" w:color="auto" w:fill="D9E2F3"/>
            <w:vAlign w:val="center"/>
          </w:tcPr>
          <w:p w14:paraId="5E652260" w14:textId="77777777" w:rsidR="00990B14" w:rsidRDefault="00000000">
            <w:pPr>
              <w:spacing w:before="20" w:after="20"/>
              <w:jc w:val="center"/>
            </w:pPr>
            <w:r>
              <w:rPr>
                <w:b/>
                <w:bCs/>
                <w:sz w:val="18"/>
                <w:szCs w:val="18"/>
              </w:rPr>
              <w:t>3%</w:t>
            </w:r>
          </w:p>
        </w:tc>
      </w:tr>
      <w:tr w:rsidR="00990B14" w14:paraId="4BABD81F" w14:textId="77777777">
        <w:trPr>
          <w:cantSplit/>
          <w:jc w:val="center"/>
        </w:trPr>
        <w:tc>
          <w:tcPr>
            <w:tcW w:w="1555" w:type="dxa"/>
            <w:vMerge/>
            <w:shd w:val="clear" w:color="auto" w:fill="4472C4"/>
            <w:vAlign w:val="center"/>
          </w:tcPr>
          <w:p w14:paraId="275F3AA9" w14:textId="77777777" w:rsidR="00990B14" w:rsidRDefault="00990B14">
            <w:pPr>
              <w:spacing w:before="20" w:after="20"/>
            </w:pPr>
          </w:p>
        </w:tc>
        <w:tc>
          <w:tcPr>
            <w:tcW w:w="1910" w:type="dxa"/>
            <w:shd w:val="clear" w:color="auto" w:fill="4472C4"/>
            <w:vAlign w:val="center"/>
          </w:tcPr>
          <w:p w14:paraId="0B5A1F3E"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1B6D49B2"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4AB0DFAB"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7E819130" w14:textId="77777777" w:rsidR="00990B14" w:rsidRDefault="00000000">
            <w:pPr>
              <w:keepNext/>
              <w:spacing w:before="20" w:after="20"/>
              <w:jc w:val="center"/>
            </w:pPr>
            <w:r>
              <w:rPr>
                <w:b/>
                <w:bCs/>
                <w:i/>
                <w:iCs/>
                <w:color w:val="FFFFFF"/>
                <w:sz w:val="18"/>
                <w:szCs w:val="18"/>
              </w:rPr>
              <w:t>Destacado (81–100)</w:t>
            </w:r>
          </w:p>
        </w:tc>
      </w:tr>
      <w:tr w:rsidR="00990B14" w14:paraId="29EE22B7" w14:textId="77777777">
        <w:trPr>
          <w:cantSplit/>
          <w:jc w:val="center"/>
        </w:trPr>
        <w:tc>
          <w:tcPr>
            <w:tcW w:w="1555" w:type="dxa"/>
            <w:vMerge/>
            <w:shd w:val="clear" w:color="auto" w:fill="4472C4"/>
            <w:vAlign w:val="center"/>
          </w:tcPr>
          <w:p w14:paraId="1A8EF681" w14:textId="77777777" w:rsidR="00990B14" w:rsidRDefault="00990B14">
            <w:pPr>
              <w:spacing w:before="20" w:after="20"/>
            </w:pPr>
          </w:p>
        </w:tc>
        <w:tc>
          <w:tcPr>
            <w:tcW w:w="1910" w:type="dxa"/>
            <w:shd w:val="clear" w:color="auto" w:fill="D9E2F3"/>
            <w:vAlign w:val="center"/>
          </w:tcPr>
          <w:p w14:paraId="79937326" w14:textId="77777777" w:rsidR="00990B14" w:rsidRDefault="00000000">
            <w:pPr>
              <w:spacing w:before="20" w:after="20"/>
              <w:jc w:val="both"/>
            </w:pPr>
            <w:r>
              <w:rPr>
                <w:sz w:val="18"/>
                <w:szCs w:val="18"/>
              </w:rPr>
              <w:t>Pruebas para proporciones y diferencias</w:t>
            </w:r>
          </w:p>
        </w:tc>
        <w:tc>
          <w:tcPr>
            <w:tcW w:w="1910" w:type="dxa"/>
            <w:shd w:val="clear" w:color="auto" w:fill="D9E2F3"/>
            <w:vAlign w:val="center"/>
          </w:tcPr>
          <w:p w14:paraId="28B5732A" w14:textId="77777777" w:rsidR="00990B14" w:rsidRDefault="00000000">
            <w:pPr>
              <w:spacing w:before="20" w:after="20"/>
              <w:jc w:val="both"/>
            </w:pPr>
            <w:r>
              <w:rPr>
                <w:sz w:val="18"/>
                <w:szCs w:val="18"/>
              </w:rPr>
              <w:t>Verifica incorrectamente la diferencia entre dos medias o dos proporciones.</w:t>
            </w:r>
          </w:p>
        </w:tc>
        <w:tc>
          <w:tcPr>
            <w:tcW w:w="1910" w:type="dxa"/>
            <w:shd w:val="clear" w:color="auto" w:fill="D9E2F3"/>
            <w:vAlign w:val="center"/>
          </w:tcPr>
          <w:p w14:paraId="540FDD8F" w14:textId="77777777" w:rsidR="00990B14" w:rsidRDefault="00000000">
            <w:pPr>
              <w:spacing w:before="20" w:after="20"/>
              <w:jc w:val="both"/>
            </w:pPr>
            <w:r>
              <w:rPr>
                <w:sz w:val="18"/>
                <w:szCs w:val="18"/>
              </w:rPr>
              <w:t>Verifica correctamente la diferencia entre dos medias o dos proporciones poblacionales.</w:t>
            </w:r>
          </w:p>
        </w:tc>
        <w:tc>
          <w:tcPr>
            <w:tcW w:w="2120" w:type="dxa"/>
            <w:shd w:val="clear" w:color="auto" w:fill="D9E2F3"/>
            <w:vAlign w:val="center"/>
          </w:tcPr>
          <w:p w14:paraId="7FB3A5D7" w14:textId="77777777" w:rsidR="00990B14" w:rsidRDefault="00000000">
            <w:pPr>
              <w:spacing w:before="20" w:after="20"/>
              <w:jc w:val="both"/>
            </w:pPr>
            <w:r>
              <w:rPr>
                <w:sz w:val="18"/>
                <w:szCs w:val="18"/>
              </w:rPr>
              <w:t>Interpreta el resultado de la prueba de proporciones e inferencias con el nivel de significación y señala los límites de la conclusión.</w:t>
            </w:r>
          </w:p>
        </w:tc>
      </w:tr>
      <w:tr w:rsidR="00990B14" w14:paraId="28F47647" w14:textId="77777777">
        <w:trPr>
          <w:cantSplit/>
          <w:jc w:val="center"/>
        </w:trPr>
        <w:tc>
          <w:tcPr>
            <w:tcW w:w="1555" w:type="dxa"/>
            <w:vMerge/>
            <w:shd w:val="clear" w:color="auto" w:fill="4472C4"/>
            <w:vAlign w:val="center"/>
          </w:tcPr>
          <w:p w14:paraId="2FB698D4" w14:textId="77777777" w:rsidR="00990B14" w:rsidRDefault="00990B14">
            <w:pPr>
              <w:spacing w:before="20" w:after="20"/>
            </w:pPr>
          </w:p>
        </w:tc>
        <w:tc>
          <w:tcPr>
            <w:tcW w:w="1910" w:type="dxa"/>
            <w:shd w:val="clear" w:color="auto" w:fill="D9E2F3"/>
            <w:vAlign w:val="center"/>
          </w:tcPr>
          <w:p w14:paraId="0B11C866" w14:textId="77777777" w:rsidR="00990B14" w:rsidRDefault="00000000">
            <w:pPr>
              <w:spacing w:before="20" w:after="20"/>
              <w:jc w:val="both"/>
            </w:pPr>
            <w:r>
              <w:rPr>
                <w:sz w:val="18"/>
                <w:szCs w:val="18"/>
              </w:rPr>
              <w:t>Uso del software</w:t>
            </w:r>
          </w:p>
        </w:tc>
        <w:tc>
          <w:tcPr>
            <w:tcW w:w="1910" w:type="dxa"/>
            <w:shd w:val="clear" w:color="auto" w:fill="D9E2F3"/>
            <w:vAlign w:val="center"/>
          </w:tcPr>
          <w:p w14:paraId="44419A31" w14:textId="77777777" w:rsidR="00990B14" w:rsidRDefault="00000000">
            <w:pPr>
              <w:spacing w:before="20" w:after="20"/>
              <w:jc w:val="both"/>
            </w:pPr>
            <w:r>
              <w:rPr>
                <w:sz w:val="18"/>
                <w:szCs w:val="18"/>
              </w:rPr>
              <w:t>Usa el software con errores de procedimiento.</w:t>
            </w:r>
          </w:p>
        </w:tc>
        <w:tc>
          <w:tcPr>
            <w:tcW w:w="1910" w:type="dxa"/>
            <w:shd w:val="clear" w:color="auto" w:fill="D9E2F3"/>
            <w:vAlign w:val="center"/>
          </w:tcPr>
          <w:p w14:paraId="23C518ED" w14:textId="77777777" w:rsidR="00990B14" w:rsidRDefault="00000000">
            <w:pPr>
              <w:spacing w:before="20" w:after="20"/>
              <w:jc w:val="both"/>
            </w:pPr>
            <w:r>
              <w:rPr>
                <w:sz w:val="18"/>
                <w:szCs w:val="18"/>
              </w:rPr>
              <w:t>Realiza la prueba con SPSS, R o Python.</w:t>
            </w:r>
          </w:p>
        </w:tc>
        <w:tc>
          <w:tcPr>
            <w:tcW w:w="2120" w:type="dxa"/>
            <w:shd w:val="clear" w:color="auto" w:fill="D9E2F3"/>
            <w:vAlign w:val="center"/>
          </w:tcPr>
          <w:p w14:paraId="5B5A0EBE" w14:textId="77777777" w:rsidR="00990B14" w:rsidRDefault="00000000">
            <w:pPr>
              <w:spacing w:before="20" w:after="20"/>
              <w:jc w:val="both"/>
            </w:pPr>
            <w:r>
              <w:rPr>
                <w:sz w:val="18"/>
                <w:szCs w:val="18"/>
              </w:rPr>
              <w:t>Documenta el procedimiento y lo compara con el cálculo manual.</w:t>
            </w:r>
          </w:p>
        </w:tc>
      </w:tr>
      <w:tr w:rsidR="00990B14" w14:paraId="67383179" w14:textId="77777777">
        <w:trPr>
          <w:cantSplit/>
          <w:jc w:val="center"/>
        </w:trPr>
        <w:tc>
          <w:tcPr>
            <w:tcW w:w="1555" w:type="dxa"/>
            <w:vMerge/>
            <w:shd w:val="clear" w:color="auto" w:fill="4472C4"/>
            <w:vAlign w:val="center"/>
          </w:tcPr>
          <w:p w14:paraId="456A40CF" w14:textId="77777777" w:rsidR="00990B14" w:rsidRDefault="00990B14">
            <w:pPr>
              <w:spacing w:before="20" w:after="20"/>
            </w:pPr>
          </w:p>
        </w:tc>
        <w:tc>
          <w:tcPr>
            <w:tcW w:w="1910" w:type="dxa"/>
            <w:shd w:val="clear" w:color="auto" w:fill="D9E2F3"/>
            <w:vAlign w:val="center"/>
          </w:tcPr>
          <w:p w14:paraId="184515D3" w14:textId="77777777" w:rsidR="00990B14" w:rsidRDefault="00000000">
            <w:pPr>
              <w:spacing w:before="20" w:after="20"/>
              <w:jc w:val="both"/>
            </w:pPr>
            <w:r>
              <w:rPr>
                <w:sz w:val="18"/>
                <w:szCs w:val="18"/>
              </w:rPr>
              <w:t>Trabajo en equipo</w:t>
            </w:r>
          </w:p>
        </w:tc>
        <w:tc>
          <w:tcPr>
            <w:tcW w:w="1910" w:type="dxa"/>
            <w:shd w:val="clear" w:color="auto" w:fill="D9E2F3"/>
            <w:vAlign w:val="center"/>
          </w:tcPr>
          <w:p w14:paraId="2D630437" w14:textId="77777777" w:rsidR="00990B14" w:rsidRDefault="00000000">
            <w:pPr>
              <w:spacing w:before="20" w:after="20"/>
              <w:jc w:val="both"/>
            </w:pPr>
            <w:r>
              <w:rPr>
                <w:sz w:val="18"/>
                <w:szCs w:val="18"/>
              </w:rPr>
              <w:t>Participan solo algunos integrantes.</w:t>
            </w:r>
          </w:p>
        </w:tc>
        <w:tc>
          <w:tcPr>
            <w:tcW w:w="1910" w:type="dxa"/>
            <w:shd w:val="clear" w:color="auto" w:fill="D9E2F3"/>
            <w:vAlign w:val="center"/>
          </w:tcPr>
          <w:p w14:paraId="4AA56D2C" w14:textId="77777777" w:rsidR="00990B14" w:rsidRDefault="00000000">
            <w:pPr>
              <w:spacing w:before="20" w:after="20"/>
              <w:jc w:val="both"/>
            </w:pPr>
            <w:r>
              <w:rPr>
                <w:sz w:val="18"/>
                <w:szCs w:val="18"/>
              </w:rPr>
              <w:t>Todos los integrantes participan en la elaboración.</w:t>
            </w:r>
          </w:p>
        </w:tc>
        <w:tc>
          <w:tcPr>
            <w:tcW w:w="2120" w:type="dxa"/>
            <w:shd w:val="clear" w:color="auto" w:fill="D9E2F3"/>
            <w:vAlign w:val="center"/>
          </w:tcPr>
          <w:p w14:paraId="475A1DDB" w14:textId="77777777" w:rsidR="00990B14" w:rsidRDefault="00000000">
            <w:pPr>
              <w:spacing w:before="20" w:after="20"/>
              <w:jc w:val="both"/>
            </w:pPr>
            <w:r>
              <w:rPr>
                <w:sz w:val="18"/>
                <w:szCs w:val="18"/>
              </w:rPr>
              <w:t>El equipo distribuye roles y sustenta sus resultados.</w:t>
            </w:r>
          </w:p>
        </w:tc>
      </w:tr>
      <w:tr w:rsidR="00990B14" w14:paraId="4F911052" w14:textId="77777777">
        <w:trPr>
          <w:cantSplit/>
          <w:jc w:val="center"/>
        </w:trPr>
        <w:tc>
          <w:tcPr>
            <w:tcW w:w="1555" w:type="dxa"/>
            <w:vMerge/>
            <w:shd w:val="clear" w:color="auto" w:fill="4472C4"/>
            <w:vAlign w:val="center"/>
          </w:tcPr>
          <w:p w14:paraId="71CEE3C4" w14:textId="77777777" w:rsidR="00990B14" w:rsidRDefault="00990B14">
            <w:pPr>
              <w:spacing w:before="20" w:after="20"/>
            </w:pPr>
          </w:p>
        </w:tc>
        <w:tc>
          <w:tcPr>
            <w:tcW w:w="5730" w:type="dxa"/>
            <w:gridSpan w:val="3"/>
            <w:shd w:val="clear" w:color="auto" w:fill="D9E2F3"/>
            <w:vAlign w:val="center"/>
          </w:tcPr>
          <w:p w14:paraId="2904DD3A" w14:textId="77777777" w:rsidR="00990B14" w:rsidRDefault="00000000">
            <w:pPr>
              <w:keepNext/>
              <w:spacing w:before="20" w:after="20"/>
              <w:jc w:val="both"/>
            </w:pPr>
            <w:r>
              <w:rPr>
                <w:b/>
                <w:bCs/>
                <w:i/>
                <w:iCs/>
                <w:sz w:val="18"/>
                <w:szCs w:val="18"/>
              </w:rPr>
              <w:t xml:space="preserve">Producto 19: </w:t>
            </w:r>
            <w:r>
              <w:rPr>
                <w:sz w:val="18"/>
                <w:szCs w:val="18"/>
              </w:rPr>
              <w:t>Prueba de hipótesis bilateral de la media poblacional de un caso práctico.</w:t>
            </w:r>
          </w:p>
        </w:tc>
        <w:tc>
          <w:tcPr>
            <w:tcW w:w="2120" w:type="dxa"/>
            <w:shd w:val="clear" w:color="auto" w:fill="D9E2F3"/>
            <w:vAlign w:val="center"/>
          </w:tcPr>
          <w:p w14:paraId="3AA7B9D6" w14:textId="77777777" w:rsidR="00990B14" w:rsidRDefault="00000000">
            <w:pPr>
              <w:spacing w:before="20" w:after="20"/>
              <w:jc w:val="center"/>
            </w:pPr>
            <w:r>
              <w:rPr>
                <w:b/>
                <w:bCs/>
                <w:sz w:val="18"/>
                <w:szCs w:val="18"/>
              </w:rPr>
              <w:t>3%</w:t>
            </w:r>
          </w:p>
        </w:tc>
      </w:tr>
      <w:tr w:rsidR="00990B14" w14:paraId="304A6548" w14:textId="77777777">
        <w:trPr>
          <w:cantSplit/>
          <w:jc w:val="center"/>
        </w:trPr>
        <w:tc>
          <w:tcPr>
            <w:tcW w:w="1555" w:type="dxa"/>
            <w:vMerge/>
            <w:shd w:val="clear" w:color="auto" w:fill="4472C4"/>
            <w:vAlign w:val="center"/>
          </w:tcPr>
          <w:p w14:paraId="0B2C01DE" w14:textId="77777777" w:rsidR="00990B14" w:rsidRDefault="00990B14">
            <w:pPr>
              <w:spacing w:before="20" w:after="20"/>
            </w:pPr>
          </w:p>
        </w:tc>
        <w:tc>
          <w:tcPr>
            <w:tcW w:w="1910" w:type="dxa"/>
            <w:shd w:val="clear" w:color="auto" w:fill="4472C4"/>
            <w:vAlign w:val="center"/>
          </w:tcPr>
          <w:p w14:paraId="32506097"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50964A82"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30B54C46"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363BD440" w14:textId="77777777" w:rsidR="00990B14" w:rsidRDefault="00000000">
            <w:pPr>
              <w:keepNext/>
              <w:spacing w:before="20" w:after="20"/>
              <w:jc w:val="center"/>
            </w:pPr>
            <w:r>
              <w:rPr>
                <w:b/>
                <w:bCs/>
                <w:i/>
                <w:iCs/>
                <w:color w:val="FFFFFF"/>
                <w:sz w:val="18"/>
                <w:szCs w:val="18"/>
              </w:rPr>
              <w:t>Destacado (81–100)</w:t>
            </w:r>
          </w:p>
        </w:tc>
      </w:tr>
      <w:tr w:rsidR="00990B14" w14:paraId="1913C6E7" w14:textId="77777777">
        <w:trPr>
          <w:cantSplit/>
          <w:jc w:val="center"/>
        </w:trPr>
        <w:tc>
          <w:tcPr>
            <w:tcW w:w="1555" w:type="dxa"/>
            <w:vMerge/>
            <w:shd w:val="clear" w:color="auto" w:fill="4472C4"/>
            <w:vAlign w:val="center"/>
          </w:tcPr>
          <w:p w14:paraId="311C4051" w14:textId="77777777" w:rsidR="00990B14" w:rsidRDefault="00990B14">
            <w:pPr>
              <w:spacing w:before="20" w:after="20"/>
            </w:pPr>
          </w:p>
        </w:tc>
        <w:tc>
          <w:tcPr>
            <w:tcW w:w="1910" w:type="dxa"/>
            <w:shd w:val="clear" w:color="auto" w:fill="D9E2F3"/>
            <w:vAlign w:val="center"/>
          </w:tcPr>
          <w:p w14:paraId="23DC3001" w14:textId="77777777" w:rsidR="00990B14" w:rsidRDefault="00000000">
            <w:pPr>
              <w:spacing w:before="20" w:after="20"/>
              <w:jc w:val="both"/>
            </w:pPr>
            <w:r>
              <w:rPr>
                <w:sz w:val="18"/>
                <w:szCs w:val="18"/>
              </w:rPr>
              <w:t>Pruebas para la media poblacional</w:t>
            </w:r>
          </w:p>
        </w:tc>
        <w:tc>
          <w:tcPr>
            <w:tcW w:w="1910" w:type="dxa"/>
            <w:shd w:val="clear" w:color="auto" w:fill="D9E2F3"/>
            <w:vAlign w:val="center"/>
          </w:tcPr>
          <w:p w14:paraId="512A6244" w14:textId="77777777" w:rsidR="00990B14" w:rsidRDefault="00000000">
            <w:pPr>
              <w:spacing w:before="20" w:after="20"/>
              <w:jc w:val="both"/>
            </w:pPr>
            <w:r>
              <w:rPr>
                <w:sz w:val="18"/>
                <w:szCs w:val="18"/>
              </w:rPr>
              <w:t>Aplica incorrectamente una prueba bilateral o unilateral para la media poblacional.</w:t>
            </w:r>
          </w:p>
        </w:tc>
        <w:tc>
          <w:tcPr>
            <w:tcW w:w="1910" w:type="dxa"/>
            <w:shd w:val="clear" w:color="auto" w:fill="D9E2F3"/>
            <w:vAlign w:val="center"/>
          </w:tcPr>
          <w:p w14:paraId="6208A49E" w14:textId="77777777" w:rsidR="00990B14" w:rsidRDefault="00000000">
            <w:pPr>
              <w:spacing w:before="20" w:after="20"/>
              <w:jc w:val="both"/>
            </w:pPr>
            <w:r>
              <w:rPr>
                <w:sz w:val="18"/>
                <w:szCs w:val="18"/>
              </w:rPr>
              <w:t>Aplica correctamente una prueba bilateral o unilateral para la media poblacional.</w:t>
            </w:r>
          </w:p>
        </w:tc>
        <w:tc>
          <w:tcPr>
            <w:tcW w:w="2120" w:type="dxa"/>
            <w:shd w:val="clear" w:color="auto" w:fill="D9E2F3"/>
            <w:vAlign w:val="center"/>
          </w:tcPr>
          <w:p w14:paraId="00A01A0B" w14:textId="77777777" w:rsidR="00990B14" w:rsidRDefault="00000000">
            <w:pPr>
              <w:spacing w:before="20" w:after="20"/>
              <w:jc w:val="both"/>
            </w:pPr>
            <w:r>
              <w:rPr>
                <w:sz w:val="18"/>
                <w:szCs w:val="18"/>
              </w:rPr>
              <w:t>Interpreta la decisión estadística de la prueba de la media poblacional con el nivel de significancia del caso.</w:t>
            </w:r>
          </w:p>
        </w:tc>
      </w:tr>
      <w:tr w:rsidR="00990B14" w14:paraId="7B6F20D8" w14:textId="77777777">
        <w:trPr>
          <w:cantSplit/>
          <w:jc w:val="center"/>
        </w:trPr>
        <w:tc>
          <w:tcPr>
            <w:tcW w:w="1555" w:type="dxa"/>
            <w:vMerge/>
            <w:shd w:val="clear" w:color="auto" w:fill="4472C4"/>
            <w:vAlign w:val="center"/>
          </w:tcPr>
          <w:p w14:paraId="26C25A85" w14:textId="77777777" w:rsidR="00990B14" w:rsidRDefault="00990B14">
            <w:pPr>
              <w:spacing w:before="20" w:after="20"/>
            </w:pPr>
          </w:p>
        </w:tc>
        <w:tc>
          <w:tcPr>
            <w:tcW w:w="1910" w:type="dxa"/>
            <w:shd w:val="clear" w:color="auto" w:fill="D9E2F3"/>
            <w:vAlign w:val="center"/>
          </w:tcPr>
          <w:p w14:paraId="0917740D" w14:textId="77777777" w:rsidR="00990B14" w:rsidRDefault="00000000">
            <w:pPr>
              <w:spacing w:before="20" w:after="20"/>
              <w:jc w:val="both"/>
            </w:pPr>
            <w:r>
              <w:rPr>
                <w:sz w:val="18"/>
                <w:szCs w:val="18"/>
              </w:rPr>
              <w:t>Región crítica</w:t>
            </w:r>
          </w:p>
        </w:tc>
        <w:tc>
          <w:tcPr>
            <w:tcW w:w="1910" w:type="dxa"/>
            <w:shd w:val="clear" w:color="auto" w:fill="D9E2F3"/>
            <w:vAlign w:val="center"/>
          </w:tcPr>
          <w:p w14:paraId="63CBDCBE" w14:textId="77777777" w:rsidR="00990B14" w:rsidRDefault="00000000">
            <w:pPr>
              <w:spacing w:before="20" w:after="20"/>
              <w:jc w:val="both"/>
            </w:pPr>
            <w:r>
              <w:rPr>
                <w:sz w:val="18"/>
                <w:szCs w:val="18"/>
              </w:rPr>
              <w:t>Determina incorrectamente la región crítica.</w:t>
            </w:r>
          </w:p>
        </w:tc>
        <w:tc>
          <w:tcPr>
            <w:tcW w:w="1910" w:type="dxa"/>
            <w:shd w:val="clear" w:color="auto" w:fill="D9E2F3"/>
            <w:vAlign w:val="center"/>
          </w:tcPr>
          <w:p w14:paraId="1EE04832" w14:textId="77777777" w:rsidR="00990B14" w:rsidRDefault="00000000">
            <w:pPr>
              <w:spacing w:before="20" w:after="20"/>
              <w:jc w:val="both"/>
            </w:pPr>
            <w:r>
              <w:rPr>
                <w:sz w:val="18"/>
                <w:szCs w:val="18"/>
              </w:rPr>
              <w:t>Determina correctamente la región crítica bilateral.</w:t>
            </w:r>
          </w:p>
        </w:tc>
        <w:tc>
          <w:tcPr>
            <w:tcW w:w="2120" w:type="dxa"/>
            <w:shd w:val="clear" w:color="auto" w:fill="D9E2F3"/>
            <w:vAlign w:val="center"/>
          </w:tcPr>
          <w:p w14:paraId="1D3E55D2" w14:textId="77777777" w:rsidR="00990B14" w:rsidRDefault="00000000">
            <w:pPr>
              <w:spacing w:before="20" w:after="20"/>
              <w:jc w:val="both"/>
            </w:pPr>
            <w:r>
              <w:rPr>
                <w:sz w:val="18"/>
                <w:szCs w:val="18"/>
              </w:rPr>
              <w:t>Representa gráficamente la región crítica y la decisión.</w:t>
            </w:r>
          </w:p>
        </w:tc>
      </w:tr>
      <w:tr w:rsidR="00990B14" w14:paraId="3025AFB9" w14:textId="77777777">
        <w:trPr>
          <w:cantSplit/>
          <w:jc w:val="center"/>
        </w:trPr>
        <w:tc>
          <w:tcPr>
            <w:tcW w:w="1555" w:type="dxa"/>
            <w:vMerge/>
            <w:shd w:val="clear" w:color="auto" w:fill="4472C4"/>
            <w:vAlign w:val="center"/>
          </w:tcPr>
          <w:p w14:paraId="714BEA37" w14:textId="77777777" w:rsidR="00990B14" w:rsidRDefault="00990B14">
            <w:pPr>
              <w:spacing w:before="20" w:after="20"/>
            </w:pPr>
          </w:p>
        </w:tc>
        <w:tc>
          <w:tcPr>
            <w:tcW w:w="1910" w:type="dxa"/>
            <w:shd w:val="clear" w:color="auto" w:fill="D9E2F3"/>
            <w:vAlign w:val="center"/>
          </w:tcPr>
          <w:p w14:paraId="0865219E" w14:textId="77777777" w:rsidR="00990B14" w:rsidRDefault="00000000">
            <w:pPr>
              <w:spacing w:before="20" w:after="20"/>
              <w:jc w:val="both"/>
            </w:pPr>
            <w:r>
              <w:rPr>
                <w:sz w:val="18"/>
                <w:szCs w:val="18"/>
              </w:rPr>
              <w:t>Conclusión</w:t>
            </w:r>
          </w:p>
        </w:tc>
        <w:tc>
          <w:tcPr>
            <w:tcW w:w="1910" w:type="dxa"/>
            <w:shd w:val="clear" w:color="auto" w:fill="D9E2F3"/>
            <w:vAlign w:val="center"/>
          </w:tcPr>
          <w:p w14:paraId="2AC75196" w14:textId="77777777" w:rsidR="00990B14" w:rsidRDefault="00000000">
            <w:pPr>
              <w:spacing w:before="20" w:after="20"/>
              <w:jc w:val="both"/>
            </w:pPr>
            <w:r>
              <w:rPr>
                <w:sz w:val="18"/>
                <w:szCs w:val="18"/>
              </w:rPr>
              <w:t>No formula la conclusión.</w:t>
            </w:r>
          </w:p>
        </w:tc>
        <w:tc>
          <w:tcPr>
            <w:tcW w:w="1910" w:type="dxa"/>
            <w:shd w:val="clear" w:color="auto" w:fill="D9E2F3"/>
            <w:vAlign w:val="center"/>
          </w:tcPr>
          <w:p w14:paraId="3B91C142" w14:textId="77777777" w:rsidR="00990B14" w:rsidRDefault="00000000">
            <w:pPr>
              <w:spacing w:before="20" w:after="20"/>
              <w:jc w:val="both"/>
            </w:pPr>
            <w:r>
              <w:rPr>
                <w:sz w:val="18"/>
                <w:szCs w:val="18"/>
              </w:rPr>
              <w:t>Formula la conclusión de la prueba.</w:t>
            </w:r>
          </w:p>
        </w:tc>
        <w:tc>
          <w:tcPr>
            <w:tcW w:w="2120" w:type="dxa"/>
            <w:shd w:val="clear" w:color="auto" w:fill="D9E2F3"/>
            <w:vAlign w:val="center"/>
          </w:tcPr>
          <w:p w14:paraId="61AFCBAE" w14:textId="77777777" w:rsidR="00990B14" w:rsidRDefault="00000000">
            <w:pPr>
              <w:spacing w:before="20" w:after="20"/>
              <w:jc w:val="both"/>
            </w:pPr>
            <w:r>
              <w:rPr>
                <w:sz w:val="18"/>
                <w:szCs w:val="18"/>
              </w:rPr>
              <w:t>Formula la conclusión en el contexto del caso práctico.</w:t>
            </w:r>
          </w:p>
        </w:tc>
      </w:tr>
      <w:tr w:rsidR="00990B14" w14:paraId="1C383965" w14:textId="77777777">
        <w:trPr>
          <w:cantSplit/>
          <w:jc w:val="center"/>
        </w:trPr>
        <w:tc>
          <w:tcPr>
            <w:tcW w:w="1555" w:type="dxa"/>
            <w:vMerge/>
            <w:shd w:val="clear" w:color="auto" w:fill="4472C4"/>
            <w:vAlign w:val="center"/>
          </w:tcPr>
          <w:p w14:paraId="30D31A0F" w14:textId="77777777" w:rsidR="00990B14" w:rsidRDefault="00990B14">
            <w:pPr>
              <w:spacing w:before="20" w:after="20"/>
            </w:pPr>
          </w:p>
        </w:tc>
        <w:tc>
          <w:tcPr>
            <w:tcW w:w="5730" w:type="dxa"/>
            <w:gridSpan w:val="3"/>
            <w:shd w:val="clear" w:color="auto" w:fill="D9E2F3"/>
            <w:vAlign w:val="center"/>
          </w:tcPr>
          <w:p w14:paraId="2D9B80BA" w14:textId="77777777" w:rsidR="00990B14" w:rsidRDefault="00000000">
            <w:pPr>
              <w:keepNext/>
              <w:spacing w:before="20" w:after="20"/>
              <w:jc w:val="both"/>
            </w:pPr>
            <w:r>
              <w:rPr>
                <w:b/>
                <w:bCs/>
                <w:i/>
                <w:iCs/>
                <w:sz w:val="18"/>
                <w:szCs w:val="18"/>
              </w:rPr>
              <w:t xml:space="preserve">Producto 20: </w:t>
            </w:r>
            <w:r>
              <w:rPr>
                <w:sz w:val="18"/>
                <w:szCs w:val="18"/>
              </w:rPr>
              <w:t>Prueba de hipótesis unilateral de la media poblacional de un caso práctico.</w:t>
            </w:r>
          </w:p>
        </w:tc>
        <w:tc>
          <w:tcPr>
            <w:tcW w:w="2120" w:type="dxa"/>
            <w:shd w:val="clear" w:color="auto" w:fill="D9E2F3"/>
            <w:vAlign w:val="center"/>
          </w:tcPr>
          <w:p w14:paraId="41A619CA" w14:textId="77777777" w:rsidR="00990B14" w:rsidRDefault="00000000">
            <w:pPr>
              <w:spacing w:before="20" w:after="20"/>
              <w:jc w:val="center"/>
            </w:pPr>
            <w:r>
              <w:rPr>
                <w:b/>
                <w:bCs/>
                <w:sz w:val="18"/>
                <w:szCs w:val="18"/>
              </w:rPr>
              <w:t>3%</w:t>
            </w:r>
          </w:p>
        </w:tc>
      </w:tr>
      <w:tr w:rsidR="00990B14" w14:paraId="51F33C78" w14:textId="77777777">
        <w:trPr>
          <w:cantSplit/>
          <w:jc w:val="center"/>
        </w:trPr>
        <w:tc>
          <w:tcPr>
            <w:tcW w:w="1555" w:type="dxa"/>
            <w:vMerge/>
            <w:shd w:val="clear" w:color="auto" w:fill="4472C4"/>
            <w:vAlign w:val="center"/>
          </w:tcPr>
          <w:p w14:paraId="33FE9775" w14:textId="77777777" w:rsidR="00990B14" w:rsidRDefault="00990B14">
            <w:pPr>
              <w:spacing w:before="20" w:after="20"/>
            </w:pPr>
          </w:p>
        </w:tc>
        <w:tc>
          <w:tcPr>
            <w:tcW w:w="1910" w:type="dxa"/>
            <w:shd w:val="clear" w:color="auto" w:fill="4472C4"/>
            <w:vAlign w:val="center"/>
          </w:tcPr>
          <w:p w14:paraId="49052D15"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669F66B4"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0C33ECB2"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3F0C3252" w14:textId="77777777" w:rsidR="00990B14" w:rsidRDefault="00000000">
            <w:pPr>
              <w:keepNext/>
              <w:spacing w:before="20" w:after="20"/>
              <w:jc w:val="center"/>
            </w:pPr>
            <w:r>
              <w:rPr>
                <w:b/>
                <w:bCs/>
                <w:i/>
                <w:iCs/>
                <w:color w:val="FFFFFF"/>
                <w:sz w:val="18"/>
                <w:szCs w:val="18"/>
              </w:rPr>
              <w:t>Destacado (81–100)</w:t>
            </w:r>
          </w:p>
        </w:tc>
      </w:tr>
      <w:tr w:rsidR="00990B14" w14:paraId="62BD8999" w14:textId="77777777">
        <w:trPr>
          <w:cantSplit/>
          <w:jc w:val="center"/>
        </w:trPr>
        <w:tc>
          <w:tcPr>
            <w:tcW w:w="1555" w:type="dxa"/>
            <w:vMerge/>
            <w:shd w:val="clear" w:color="auto" w:fill="4472C4"/>
            <w:vAlign w:val="center"/>
          </w:tcPr>
          <w:p w14:paraId="7B63A8C6" w14:textId="77777777" w:rsidR="00990B14" w:rsidRDefault="00990B14">
            <w:pPr>
              <w:spacing w:before="20" w:after="20"/>
            </w:pPr>
          </w:p>
        </w:tc>
        <w:tc>
          <w:tcPr>
            <w:tcW w:w="1910" w:type="dxa"/>
            <w:shd w:val="clear" w:color="auto" w:fill="D9E2F3"/>
            <w:vAlign w:val="center"/>
          </w:tcPr>
          <w:p w14:paraId="394EA453" w14:textId="77777777" w:rsidR="00990B14" w:rsidRDefault="00000000">
            <w:pPr>
              <w:spacing w:before="20" w:after="20"/>
              <w:jc w:val="both"/>
            </w:pPr>
            <w:r>
              <w:rPr>
                <w:sz w:val="18"/>
                <w:szCs w:val="18"/>
              </w:rPr>
              <w:t>Pruebas para la media poblacional</w:t>
            </w:r>
          </w:p>
        </w:tc>
        <w:tc>
          <w:tcPr>
            <w:tcW w:w="1910" w:type="dxa"/>
            <w:shd w:val="clear" w:color="auto" w:fill="D9E2F3"/>
            <w:vAlign w:val="center"/>
          </w:tcPr>
          <w:p w14:paraId="1902C950" w14:textId="77777777" w:rsidR="00990B14" w:rsidRDefault="00000000">
            <w:pPr>
              <w:spacing w:before="20" w:after="20"/>
              <w:jc w:val="both"/>
            </w:pPr>
            <w:r>
              <w:rPr>
                <w:sz w:val="18"/>
                <w:szCs w:val="18"/>
              </w:rPr>
              <w:t>Aplica incorrectamente una prueba bilateral o unilateral para la media poblacional.</w:t>
            </w:r>
          </w:p>
        </w:tc>
        <w:tc>
          <w:tcPr>
            <w:tcW w:w="1910" w:type="dxa"/>
            <w:shd w:val="clear" w:color="auto" w:fill="D9E2F3"/>
            <w:vAlign w:val="center"/>
          </w:tcPr>
          <w:p w14:paraId="1AF1CEA4" w14:textId="77777777" w:rsidR="00990B14" w:rsidRDefault="00000000">
            <w:pPr>
              <w:spacing w:before="20" w:after="20"/>
              <w:jc w:val="both"/>
            </w:pPr>
            <w:r>
              <w:rPr>
                <w:sz w:val="18"/>
                <w:szCs w:val="18"/>
              </w:rPr>
              <w:t>Aplica correctamente una prueba bilateral o unilateral para la media poblacional.</w:t>
            </w:r>
          </w:p>
        </w:tc>
        <w:tc>
          <w:tcPr>
            <w:tcW w:w="2120" w:type="dxa"/>
            <w:shd w:val="clear" w:color="auto" w:fill="D9E2F3"/>
            <w:vAlign w:val="center"/>
          </w:tcPr>
          <w:p w14:paraId="4991357B" w14:textId="77777777" w:rsidR="00990B14" w:rsidRDefault="00000000">
            <w:pPr>
              <w:spacing w:before="20" w:after="20"/>
              <w:jc w:val="both"/>
            </w:pPr>
            <w:r>
              <w:rPr>
                <w:sz w:val="18"/>
                <w:szCs w:val="18"/>
              </w:rPr>
              <w:t>Interpreta la decisión estadística de la prueba de la media poblacional con el nivel de significancia del caso.</w:t>
            </w:r>
          </w:p>
        </w:tc>
      </w:tr>
      <w:tr w:rsidR="00990B14" w14:paraId="740E603F" w14:textId="77777777">
        <w:trPr>
          <w:cantSplit/>
          <w:jc w:val="center"/>
        </w:trPr>
        <w:tc>
          <w:tcPr>
            <w:tcW w:w="1555" w:type="dxa"/>
            <w:vMerge/>
            <w:shd w:val="clear" w:color="auto" w:fill="4472C4"/>
            <w:vAlign w:val="center"/>
          </w:tcPr>
          <w:p w14:paraId="1C548B3A" w14:textId="77777777" w:rsidR="00990B14" w:rsidRDefault="00990B14">
            <w:pPr>
              <w:spacing w:before="20" w:after="20"/>
            </w:pPr>
          </w:p>
        </w:tc>
        <w:tc>
          <w:tcPr>
            <w:tcW w:w="1910" w:type="dxa"/>
            <w:shd w:val="clear" w:color="auto" w:fill="D9E2F3"/>
            <w:vAlign w:val="center"/>
          </w:tcPr>
          <w:p w14:paraId="726DDEF9" w14:textId="77777777" w:rsidR="00990B14" w:rsidRDefault="00000000">
            <w:pPr>
              <w:spacing w:before="20" w:after="20"/>
              <w:jc w:val="both"/>
            </w:pPr>
            <w:r>
              <w:rPr>
                <w:sz w:val="18"/>
                <w:szCs w:val="18"/>
              </w:rPr>
              <w:t>Región crítica</w:t>
            </w:r>
          </w:p>
        </w:tc>
        <w:tc>
          <w:tcPr>
            <w:tcW w:w="1910" w:type="dxa"/>
            <w:shd w:val="clear" w:color="auto" w:fill="D9E2F3"/>
            <w:vAlign w:val="center"/>
          </w:tcPr>
          <w:p w14:paraId="7C0FEB6B" w14:textId="77777777" w:rsidR="00990B14" w:rsidRDefault="00000000">
            <w:pPr>
              <w:spacing w:before="20" w:after="20"/>
              <w:jc w:val="both"/>
            </w:pPr>
            <w:r>
              <w:rPr>
                <w:sz w:val="18"/>
                <w:szCs w:val="18"/>
              </w:rPr>
              <w:t>Determina incorrectamente la región crítica.</w:t>
            </w:r>
          </w:p>
        </w:tc>
        <w:tc>
          <w:tcPr>
            <w:tcW w:w="1910" w:type="dxa"/>
            <w:shd w:val="clear" w:color="auto" w:fill="D9E2F3"/>
            <w:vAlign w:val="center"/>
          </w:tcPr>
          <w:p w14:paraId="09C7568B" w14:textId="77777777" w:rsidR="00990B14" w:rsidRDefault="00000000">
            <w:pPr>
              <w:spacing w:before="20" w:after="20"/>
              <w:jc w:val="both"/>
            </w:pPr>
            <w:r>
              <w:rPr>
                <w:sz w:val="18"/>
                <w:szCs w:val="18"/>
              </w:rPr>
              <w:t>Determina correctamente la región crítica unilateral.</w:t>
            </w:r>
          </w:p>
        </w:tc>
        <w:tc>
          <w:tcPr>
            <w:tcW w:w="2120" w:type="dxa"/>
            <w:shd w:val="clear" w:color="auto" w:fill="D9E2F3"/>
            <w:vAlign w:val="center"/>
          </w:tcPr>
          <w:p w14:paraId="3F4FD0E9" w14:textId="77777777" w:rsidR="00990B14" w:rsidRDefault="00000000">
            <w:pPr>
              <w:spacing w:before="20" w:after="20"/>
              <w:jc w:val="both"/>
            </w:pPr>
            <w:r>
              <w:rPr>
                <w:sz w:val="18"/>
                <w:szCs w:val="18"/>
              </w:rPr>
              <w:t>Representa gráficamente la región crítica y la decisión.</w:t>
            </w:r>
          </w:p>
        </w:tc>
      </w:tr>
      <w:tr w:rsidR="00990B14" w14:paraId="5CA4B7F9" w14:textId="77777777">
        <w:trPr>
          <w:cantSplit/>
          <w:jc w:val="center"/>
        </w:trPr>
        <w:tc>
          <w:tcPr>
            <w:tcW w:w="1555" w:type="dxa"/>
            <w:vMerge/>
            <w:shd w:val="clear" w:color="auto" w:fill="4472C4"/>
            <w:vAlign w:val="center"/>
          </w:tcPr>
          <w:p w14:paraId="668F366A" w14:textId="77777777" w:rsidR="00990B14" w:rsidRDefault="00990B14">
            <w:pPr>
              <w:spacing w:before="20" w:after="20"/>
            </w:pPr>
          </w:p>
        </w:tc>
        <w:tc>
          <w:tcPr>
            <w:tcW w:w="1910" w:type="dxa"/>
            <w:shd w:val="clear" w:color="auto" w:fill="D9E2F3"/>
            <w:vAlign w:val="center"/>
          </w:tcPr>
          <w:p w14:paraId="1F275F25" w14:textId="77777777" w:rsidR="00990B14" w:rsidRDefault="00000000">
            <w:pPr>
              <w:spacing w:before="20" w:after="20"/>
              <w:jc w:val="both"/>
            </w:pPr>
            <w:r>
              <w:rPr>
                <w:sz w:val="18"/>
                <w:szCs w:val="18"/>
              </w:rPr>
              <w:t>Conclusión</w:t>
            </w:r>
          </w:p>
        </w:tc>
        <w:tc>
          <w:tcPr>
            <w:tcW w:w="1910" w:type="dxa"/>
            <w:shd w:val="clear" w:color="auto" w:fill="D9E2F3"/>
            <w:vAlign w:val="center"/>
          </w:tcPr>
          <w:p w14:paraId="4479D1BA" w14:textId="77777777" w:rsidR="00990B14" w:rsidRDefault="00000000">
            <w:pPr>
              <w:spacing w:before="20" w:after="20"/>
              <w:jc w:val="both"/>
            </w:pPr>
            <w:r>
              <w:rPr>
                <w:sz w:val="18"/>
                <w:szCs w:val="18"/>
              </w:rPr>
              <w:t>No formula la conclusión.</w:t>
            </w:r>
          </w:p>
        </w:tc>
        <w:tc>
          <w:tcPr>
            <w:tcW w:w="1910" w:type="dxa"/>
            <w:shd w:val="clear" w:color="auto" w:fill="D9E2F3"/>
            <w:vAlign w:val="center"/>
          </w:tcPr>
          <w:p w14:paraId="106FAAC2" w14:textId="77777777" w:rsidR="00990B14" w:rsidRDefault="00000000">
            <w:pPr>
              <w:spacing w:before="20" w:after="20"/>
              <w:jc w:val="both"/>
            </w:pPr>
            <w:r>
              <w:rPr>
                <w:sz w:val="18"/>
                <w:szCs w:val="18"/>
              </w:rPr>
              <w:t>Formula la conclusión de la prueba.</w:t>
            </w:r>
          </w:p>
        </w:tc>
        <w:tc>
          <w:tcPr>
            <w:tcW w:w="2120" w:type="dxa"/>
            <w:shd w:val="clear" w:color="auto" w:fill="D9E2F3"/>
            <w:vAlign w:val="center"/>
          </w:tcPr>
          <w:p w14:paraId="26F69451" w14:textId="77777777" w:rsidR="00990B14" w:rsidRDefault="00000000">
            <w:pPr>
              <w:spacing w:before="20" w:after="20"/>
              <w:jc w:val="both"/>
            </w:pPr>
            <w:r>
              <w:rPr>
                <w:sz w:val="18"/>
                <w:szCs w:val="18"/>
              </w:rPr>
              <w:t>Formula la conclusión en el contexto del caso práctico.</w:t>
            </w:r>
          </w:p>
        </w:tc>
      </w:tr>
      <w:tr w:rsidR="00990B14" w14:paraId="01302176" w14:textId="77777777">
        <w:trPr>
          <w:cantSplit/>
          <w:jc w:val="center"/>
        </w:trPr>
        <w:tc>
          <w:tcPr>
            <w:tcW w:w="1555" w:type="dxa"/>
            <w:vMerge/>
            <w:shd w:val="clear" w:color="auto" w:fill="4472C4"/>
            <w:vAlign w:val="center"/>
          </w:tcPr>
          <w:p w14:paraId="3632AF6A" w14:textId="77777777" w:rsidR="00990B14" w:rsidRDefault="00990B14">
            <w:pPr>
              <w:spacing w:before="20" w:after="20"/>
            </w:pPr>
          </w:p>
        </w:tc>
        <w:tc>
          <w:tcPr>
            <w:tcW w:w="5730" w:type="dxa"/>
            <w:gridSpan w:val="3"/>
            <w:shd w:val="clear" w:color="auto" w:fill="D9E2F3"/>
            <w:vAlign w:val="center"/>
          </w:tcPr>
          <w:p w14:paraId="518034D2" w14:textId="77777777" w:rsidR="00990B14" w:rsidRDefault="00000000">
            <w:pPr>
              <w:keepNext/>
              <w:spacing w:before="20" w:after="20"/>
              <w:jc w:val="both"/>
            </w:pPr>
            <w:r>
              <w:rPr>
                <w:b/>
                <w:bCs/>
                <w:i/>
                <w:iCs/>
                <w:sz w:val="18"/>
                <w:szCs w:val="18"/>
              </w:rPr>
              <w:t xml:space="preserve">Producto 21: </w:t>
            </w:r>
            <w:r>
              <w:rPr>
                <w:sz w:val="18"/>
                <w:szCs w:val="18"/>
              </w:rPr>
              <w:t>Análisis de los coeficientes de regresión, correlación parcial, conjunta y prueba de análisis de varianza de una regresión múltiple.</w:t>
            </w:r>
          </w:p>
        </w:tc>
        <w:tc>
          <w:tcPr>
            <w:tcW w:w="2120" w:type="dxa"/>
            <w:shd w:val="clear" w:color="auto" w:fill="D9E2F3"/>
            <w:vAlign w:val="center"/>
          </w:tcPr>
          <w:p w14:paraId="3E7748C9" w14:textId="77777777" w:rsidR="00990B14" w:rsidRDefault="00000000">
            <w:pPr>
              <w:spacing w:before="20" w:after="20"/>
              <w:jc w:val="center"/>
            </w:pPr>
            <w:r>
              <w:rPr>
                <w:b/>
                <w:bCs/>
                <w:sz w:val="18"/>
                <w:szCs w:val="18"/>
              </w:rPr>
              <w:t>4%</w:t>
            </w:r>
          </w:p>
        </w:tc>
      </w:tr>
      <w:tr w:rsidR="00990B14" w14:paraId="597165E5" w14:textId="77777777">
        <w:trPr>
          <w:cantSplit/>
          <w:jc w:val="center"/>
        </w:trPr>
        <w:tc>
          <w:tcPr>
            <w:tcW w:w="1555" w:type="dxa"/>
            <w:vMerge/>
            <w:shd w:val="clear" w:color="auto" w:fill="4472C4"/>
            <w:vAlign w:val="center"/>
          </w:tcPr>
          <w:p w14:paraId="2E80688F" w14:textId="77777777" w:rsidR="00990B14" w:rsidRDefault="00990B14">
            <w:pPr>
              <w:spacing w:before="20" w:after="20"/>
            </w:pPr>
          </w:p>
        </w:tc>
        <w:tc>
          <w:tcPr>
            <w:tcW w:w="1910" w:type="dxa"/>
            <w:shd w:val="clear" w:color="auto" w:fill="4472C4"/>
            <w:vAlign w:val="center"/>
          </w:tcPr>
          <w:p w14:paraId="0F3814BD"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75804D05"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56179D68"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62FE8641" w14:textId="77777777" w:rsidR="00990B14" w:rsidRDefault="00000000">
            <w:pPr>
              <w:keepNext/>
              <w:spacing w:before="20" w:after="20"/>
              <w:jc w:val="center"/>
            </w:pPr>
            <w:r>
              <w:rPr>
                <w:b/>
                <w:bCs/>
                <w:i/>
                <w:iCs/>
                <w:color w:val="FFFFFF"/>
                <w:sz w:val="18"/>
                <w:szCs w:val="18"/>
              </w:rPr>
              <w:t>Destacado (81–100)</w:t>
            </w:r>
          </w:p>
        </w:tc>
      </w:tr>
      <w:tr w:rsidR="00990B14" w14:paraId="2A46B3DC" w14:textId="77777777">
        <w:trPr>
          <w:cantSplit/>
          <w:jc w:val="center"/>
        </w:trPr>
        <w:tc>
          <w:tcPr>
            <w:tcW w:w="1555" w:type="dxa"/>
            <w:vMerge/>
            <w:shd w:val="clear" w:color="auto" w:fill="4472C4"/>
            <w:vAlign w:val="center"/>
          </w:tcPr>
          <w:p w14:paraId="6E5EECD0" w14:textId="77777777" w:rsidR="00990B14" w:rsidRDefault="00990B14">
            <w:pPr>
              <w:spacing w:before="20" w:after="20"/>
            </w:pPr>
          </w:p>
        </w:tc>
        <w:tc>
          <w:tcPr>
            <w:tcW w:w="1910" w:type="dxa"/>
            <w:shd w:val="clear" w:color="auto" w:fill="D9E2F3"/>
            <w:vAlign w:val="center"/>
          </w:tcPr>
          <w:p w14:paraId="4AAFD39C" w14:textId="77777777" w:rsidR="00990B14" w:rsidRDefault="00000000">
            <w:pPr>
              <w:spacing w:before="20" w:after="20"/>
              <w:jc w:val="both"/>
            </w:pPr>
            <w:r>
              <w:rPr>
                <w:sz w:val="18"/>
                <w:szCs w:val="18"/>
              </w:rPr>
              <w:t>Ecuación de regresión múltiple</w:t>
            </w:r>
          </w:p>
        </w:tc>
        <w:tc>
          <w:tcPr>
            <w:tcW w:w="1910" w:type="dxa"/>
            <w:shd w:val="clear" w:color="auto" w:fill="D9E2F3"/>
            <w:vAlign w:val="center"/>
          </w:tcPr>
          <w:p w14:paraId="5655DED0" w14:textId="77777777" w:rsidR="00990B14" w:rsidRDefault="00000000">
            <w:pPr>
              <w:spacing w:before="20" w:after="20"/>
              <w:jc w:val="both"/>
            </w:pPr>
            <w:r>
              <w:rPr>
                <w:sz w:val="18"/>
                <w:szCs w:val="18"/>
              </w:rPr>
              <w:t>La ecuación de regresión múltiple o sus coeficientes presentan errores.</w:t>
            </w:r>
          </w:p>
        </w:tc>
        <w:tc>
          <w:tcPr>
            <w:tcW w:w="1910" w:type="dxa"/>
            <w:shd w:val="clear" w:color="auto" w:fill="D9E2F3"/>
            <w:vAlign w:val="center"/>
          </w:tcPr>
          <w:p w14:paraId="3751B4EB" w14:textId="77777777" w:rsidR="00990B14" w:rsidRDefault="00000000">
            <w:pPr>
              <w:spacing w:before="20" w:after="20"/>
              <w:jc w:val="both"/>
            </w:pPr>
            <w:r>
              <w:rPr>
                <w:sz w:val="18"/>
                <w:szCs w:val="18"/>
              </w:rPr>
              <w:t>Calcula correctamente la ecuación de regresión múltiple y sus coeficientes con SPSS, R o Python.</w:t>
            </w:r>
          </w:p>
        </w:tc>
        <w:tc>
          <w:tcPr>
            <w:tcW w:w="2120" w:type="dxa"/>
            <w:shd w:val="clear" w:color="auto" w:fill="D9E2F3"/>
            <w:vAlign w:val="center"/>
          </w:tcPr>
          <w:p w14:paraId="54966FAA" w14:textId="77777777" w:rsidR="00990B14" w:rsidRDefault="00000000">
            <w:pPr>
              <w:spacing w:before="20" w:after="20"/>
              <w:jc w:val="both"/>
            </w:pPr>
            <w:r>
              <w:rPr>
                <w:sz w:val="18"/>
                <w:szCs w:val="18"/>
              </w:rPr>
              <w:t>Interpreta el aporte de cada regresor al modelo de regresión múltiple.</w:t>
            </w:r>
          </w:p>
        </w:tc>
      </w:tr>
      <w:tr w:rsidR="00990B14" w14:paraId="4D8418EE" w14:textId="77777777">
        <w:trPr>
          <w:cantSplit/>
          <w:jc w:val="center"/>
        </w:trPr>
        <w:tc>
          <w:tcPr>
            <w:tcW w:w="1555" w:type="dxa"/>
            <w:vMerge/>
            <w:shd w:val="clear" w:color="auto" w:fill="4472C4"/>
            <w:vAlign w:val="center"/>
          </w:tcPr>
          <w:p w14:paraId="756ED65C" w14:textId="77777777" w:rsidR="00990B14" w:rsidRDefault="00990B14">
            <w:pPr>
              <w:spacing w:before="20" w:after="20"/>
            </w:pPr>
          </w:p>
        </w:tc>
        <w:tc>
          <w:tcPr>
            <w:tcW w:w="1910" w:type="dxa"/>
            <w:shd w:val="clear" w:color="auto" w:fill="D9E2F3"/>
            <w:vAlign w:val="center"/>
          </w:tcPr>
          <w:p w14:paraId="382286A7" w14:textId="77777777" w:rsidR="00990B14" w:rsidRDefault="00000000">
            <w:pPr>
              <w:spacing w:before="20" w:after="20"/>
              <w:jc w:val="both"/>
            </w:pPr>
            <w:r>
              <w:rPr>
                <w:sz w:val="18"/>
                <w:szCs w:val="18"/>
              </w:rPr>
              <w:t>Coeficientes de correlación</w:t>
            </w:r>
          </w:p>
        </w:tc>
        <w:tc>
          <w:tcPr>
            <w:tcW w:w="1910" w:type="dxa"/>
            <w:shd w:val="clear" w:color="auto" w:fill="D9E2F3"/>
            <w:vAlign w:val="center"/>
          </w:tcPr>
          <w:p w14:paraId="1F9478A1" w14:textId="77777777" w:rsidR="00990B14" w:rsidRDefault="00000000">
            <w:pPr>
              <w:spacing w:before="20" w:after="20"/>
              <w:jc w:val="both"/>
            </w:pPr>
            <w:r>
              <w:rPr>
                <w:sz w:val="18"/>
                <w:szCs w:val="18"/>
              </w:rPr>
              <w:t>Confunde el coeficiente de correlación múltiple, simple o parcial.</w:t>
            </w:r>
          </w:p>
        </w:tc>
        <w:tc>
          <w:tcPr>
            <w:tcW w:w="1910" w:type="dxa"/>
            <w:shd w:val="clear" w:color="auto" w:fill="D9E2F3"/>
            <w:vAlign w:val="center"/>
          </w:tcPr>
          <w:p w14:paraId="1DE488AA" w14:textId="77777777" w:rsidR="00990B14" w:rsidRDefault="00000000">
            <w:pPr>
              <w:spacing w:before="20" w:after="20"/>
              <w:jc w:val="both"/>
            </w:pPr>
            <w:r>
              <w:rPr>
                <w:sz w:val="18"/>
                <w:szCs w:val="18"/>
              </w:rPr>
              <w:t>Distingue correctamente los coeficientes de correlación múltiple, simple y parcial.</w:t>
            </w:r>
          </w:p>
        </w:tc>
        <w:tc>
          <w:tcPr>
            <w:tcW w:w="2120" w:type="dxa"/>
            <w:shd w:val="clear" w:color="auto" w:fill="D9E2F3"/>
            <w:vAlign w:val="center"/>
          </w:tcPr>
          <w:p w14:paraId="635BA2DE" w14:textId="77777777" w:rsidR="00990B14" w:rsidRDefault="00000000">
            <w:pPr>
              <w:spacing w:before="20" w:after="20"/>
              <w:jc w:val="both"/>
            </w:pPr>
            <w:r>
              <w:rPr>
                <w:sz w:val="18"/>
                <w:szCs w:val="18"/>
              </w:rPr>
              <w:t>Verifica los supuestos del modelo y la multicolinealidad antes de interpretar sus coeficientes.</w:t>
            </w:r>
          </w:p>
        </w:tc>
      </w:tr>
      <w:tr w:rsidR="00990B14" w14:paraId="48EC4939" w14:textId="77777777">
        <w:trPr>
          <w:cantSplit/>
          <w:jc w:val="center"/>
        </w:trPr>
        <w:tc>
          <w:tcPr>
            <w:tcW w:w="1555" w:type="dxa"/>
            <w:vMerge/>
            <w:shd w:val="clear" w:color="auto" w:fill="4472C4"/>
            <w:vAlign w:val="center"/>
          </w:tcPr>
          <w:p w14:paraId="5FBD4D15" w14:textId="77777777" w:rsidR="00990B14" w:rsidRDefault="00990B14">
            <w:pPr>
              <w:spacing w:before="20" w:after="20"/>
            </w:pPr>
          </w:p>
        </w:tc>
        <w:tc>
          <w:tcPr>
            <w:tcW w:w="1910" w:type="dxa"/>
            <w:shd w:val="clear" w:color="auto" w:fill="D9E2F3"/>
            <w:vAlign w:val="center"/>
          </w:tcPr>
          <w:p w14:paraId="7C430AAC" w14:textId="77777777" w:rsidR="00990B14" w:rsidRDefault="00000000">
            <w:pPr>
              <w:spacing w:before="20" w:after="20"/>
              <w:jc w:val="both"/>
            </w:pPr>
            <w:r>
              <w:rPr>
                <w:sz w:val="18"/>
                <w:szCs w:val="18"/>
              </w:rPr>
              <w:t>Análisis de varianza</w:t>
            </w:r>
          </w:p>
        </w:tc>
        <w:tc>
          <w:tcPr>
            <w:tcW w:w="1910" w:type="dxa"/>
            <w:shd w:val="clear" w:color="auto" w:fill="D9E2F3"/>
            <w:vAlign w:val="center"/>
          </w:tcPr>
          <w:p w14:paraId="32FD65D7" w14:textId="77777777" w:rsidR="00990B14" w:rsidRDefault="00000000">
            <w:pPr>
              <w:spacing w:before="20" w:after="20"/>
              <w:jc w:val="both"/>
            </w:pPr>
            <w:r>
              <w:rPr>
                <w:sz w:val="18"/>
                <w:szCs w:val="18"/>
              </w:rPr>
              <w:t>Interpreta incorrectamente la prueba de análisis de varianza.</w:t>
            </w:r>
          </w:p>
        </w:tc>
        <w:tc>
          <w:tcPr>
            <w:tcW w:w="1910" w:type="dxa"/>
            <w:shd w:val="clear" w:color="auto" w:fill="D9E2F3"/>
            <w:vAlign w:val="center"/>
          </w:tcPr>
          <w:p w14:paraId="3E38BE99" w14:textId="77777777" w:rsidR="00990B14" w:rsidRDefault="00000000">
            <w:pPr>
              <w:spacing w:before="20" w:after="20"/>
              <w:jc w:val="both"/>
            </w:pPr>
            <w:r>
              <w:rPr>
                <w:sz w:val="18"/>
                <w:szCs w:val="18"/>
              </w:rPr>
              <w:t>Interpreta correctamente la prueba de análisis de varianza.</w:t>
            </w:r>
          </w:p>
        </w:tc>
        <w:tc>
          <w:tcPr>
            <w:tcW w:w="2120" w:type="dxa"/>
            <w:shd w:val="clear" w:color="auto" w:fill="D9E2F3"/>
            <w:vAlign w:val="center"/>
          </w:tcPr>
          <w:p w14:paraId="21F4D717" w14:textId="77777777" w:rsidR="00990B14" w:rsidRDefault="00000000">
            <w:pPr>
              <w:spacing w:before="20" w:after="20"/>
              <w:jc w:val="both"/>
            </w:pPr>
            <w:r>
              <w:rPr>
                <w:sz w:val="18"/>
                <w:szCs w:val="18"/>
              </w:rPr>
              <w:t>Concluye sobre la significancia global del modelo.</w:t>
            </w:r>
          </w:p>
        </w:tc>
      </w:tr>
      <w:tr w:rsidR="00990B14" w14:paraId="1AC928EC" w14:textId="77777777">
        <w:trPr>
          <w:cantSplit/>
          <w:jc w:val="center"/>
        </w:trPr>
        <w:tc>
          <w:tcPr>
            <w:tcW w:w="1555" w:type="dxa"/>
            <w:vMerge/>
            <w:shd w:val="clear" w:color="auto" w:fill="4472C4"/>
            <w:vAlign w:val="center"/>
          </w:tcPr>
          <w:p w14:paraId="2BC1EE91" w14:textId="77777777" w:rsidR="00990B14" w:rsidRDefault="00990B14">
            <w:pPr>
              <w:spacing w:before="20" w:after="20"/>
            </w:pPr>
          </w:p>
        </w:tc>
        <w:tc>
          <w:tcPr>
            <w:tcW w:w="5730" w:type="dxa"/>
            <w:gridSpan w:val="3"/>
            <w:shd w:val="clear" w:color="auto" w:fill="D9E2F3"/>
            <w:vAlign w:val="center"/>
          </w:tcPr>
          <w:p w14:paraId="49EA08DE" w14:textId="77777777" w:rsidR="00990B14" w:rsidRDefault="00000000">
            <w:pPr>
              <w:keepNext/>
              <w:spacing w:before="20" w:after="20"/>
              <w:jc w:val="both"/>
            </w:pPr>
            <w:r>
              <w:rPr>
                <w:b/>
                <w:bCs/>
                <w:i/>
                <w:iCs/>
                <w:sz w:val="18"/>
                <w:szCs w:val="18"/>
              </w:rPr>
              <w:t xml:space="preserve">Producto 22: </w:t>
            </w:r>
            <w:r>
              <w:rPr>
                <w:sz w:val="18"/>
                <w:szCs w:val="18"/>
              </w:rPr>
              <w:t>Análisis e interpretación de las pruebas individuales y globales obtenidas de un modelo de regresión múltiple, obtenidas mediante el paquete de SPSS.</w:t>
            </w:r>
          </w:p>
        </w:tc>
        <w:tc>
          <w:tcPr>
            <w:tcW w:w="2120" w:type="dxa"/>
            <w:shd w:val="clear" w:color="auto" w:fill="D9E2F3"/>
            <w:vAlign w:val="center"/>
          </w:tcPr>
          <w:p w14:paraId="3262FE79" w14:textId="77777777" w:rsidR="00990B14" w:rsidRDefault="00000000">
            <w:pPr>
              <w:spacing w:before="20" w:after="20"/>
              <w:jc w:val="center"/>
            </w:pPr>
            <w:r>
              <w:rPr>
                <w:b/>
                <w:bCs/>
                <w:sz w:val="18"/>
                <w:szCs w:val="18"/>
              </w:rPr>
              <w:t>4%</w:t>
            </w:r>
          </w:p>
        </w:tc>
      </w:tr>
      <w:tr w:rsidR="00990B14" w14:paraId="72757A2F" w14:textId="77777777">
        <w:trPr>
          <w:cantSplit/>
          <w:jc w:val="center"/>
        </w:trPr>
        <w:tc>
          <w:tcPr>
            <w:tcW w:w="1555" w:type="dxa"/>
            <w:vMerge/>
            <w:shd w:val="clear" w:color="auto" w:fill="4472C4"/>
            <w:vAlign w:val="center"/>
          </w:tcPr>
          <w:p w14:paraId="3233ABB8" w14:textId="77777777" w:rsidR="00990B14" w:rsidRDefault="00990B14">
            <w:pPr>
              <w:spacing w:before="20" w:after="20"/>
            </w:pPr>
          </w:p>
        </w:tc>
        <w:tc>
          <w:tcPr>
            <w:tcW w:w="1910" w:type="dxa"/>
            <w:shd w:val="clear" w:color="auto" w:fill="4472C4"/>
            <w:vAlign w:val="center"/>
          </w:tcPr>
          <w:p w14:paraId="034F7E59"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1BAEE145"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1F04CBBE"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160900EE" w14:textId="77777777" w:rsidR="00990B14" w:rsidRDefault="00000000">
            <w:pPr>
              <w:keepNext/>
              <w:spacing w:before="20" w:after="20"/>
              <w:jc w:val="center"/>
            </w:pPr>
            <w:r>
              <w:rPr>
                <w:b/>
                <w:bCs/>
                <w:i/>
                <w:iCs/>
                <w:color w:val="FFFFFF"/>
                <w:sz w:val="18"/>
                <w:szCs w:val="18"/>
              </w:rPr>
              <w:t>Destacado (81–100)</w:t>
            </w:r>
          </w:p>
        </w:tc>
      </w:tr>
      <w:tr w:rsidR="00990B14" w14:paraId="0B7C0649" w14:textId="77777777">
        <w:trPr>
          <w:cantSplit/>
          <w:jc w:val="center"/>
        </w:trPr>
        <w:tc>
          <w:tcPr>
            <w:tcW w:w="1555" w:type="dxa"/>
            <w:vMerge/>
            <w:shd w:val="clear" w:color="auto" w:fill="4472C4"/>
            <w:vAlign w:val="center"/>
          </w:tcPr>
          <w:p w14:paraId="1FDD411B" w14:textId="77777777" w:rsidR="00990B14" w:rsidRDefault="00990B14">
            <w:pPr>
              <w:spacing w:before="20" w:after="20"/>
            </w:pPr>
          </w:p>
        </w:tc>
        <w:tc>
          <w:tcPr>
            <w:tcW w:w="1910" w:type="dxa"/>
            <w:shd w:val="clear" w:color="auto" w:fill="D9E2F3"/>
            <w:vAlign w:val="center"/>
          </w:tcPr>
          <w:p w14:paraId="06176F2C" w14:textId="77777777" w:rsidR="00990B14" w:rsidRDefault="00000000">
            <w:pPr>
              <w:spacing w:before="20" w:after="20"/>
              <w:jc w:val="both"/>
            </w:pPr>
            <w:r>
              <w:rPr>
                <w:sz w:val="18"/>
                <w:szCs w:val="18"/>
              </w:rPr>
              <w:t>Pruebas individuales</w:t>
            </w:r>
          </w:p>
        </w:tc>
        <w:tc>
          <w:tcPr>
            <w:tcW w:w="1910" w:type="dxa"/>
            <w:shd w:val="clear" w:color="auto" w:fill="D9E2F3"/>
            <w:vAlign w:val="center"/>
          </w:tcPr>
          <w:p w14:paraId="4C108D9A" w14:textId="77777777" w:rsidR="00990B14" w:rsidRDefault="00000000">
            <w:pPr>
              <w:spacing w:before="20" w:after="20"/>
              <w:jc w:val="both"/>
            </w:pPr>
            <w:r>
              <w:rPr>
                <w:sz w:val="18"/>
                <w:szCs w:val="18"/>
              </w:rPr>
              <w:t>Interpreta incorrectamente las pruebas de los coeficientes.</w:t>
            </w:r>
          </w:p>
        </w:tc>
        <w:tc>
          <w:tcPr>
            <w:tcW w:w="1910" w:type="dxa"/>
            <w:shd w:val="clear" w:color="auto" w:fill="D9E2F3"/>
            <w:vAlign w:val="center"/>
          </w:tcPr>
          <w:p w14:paraId="321523A3" w14:textId="77777777" w:rsidR="00990B14" w:rsidRDefault="00000000">
            <w:pPr>
              <w:spacing w:before="20" w:after="20"/>
              <w:jc w:val="both"/>
            </w:pPr>
            <w:r>
              <w:rPr>
                <w:sz w:val="18"/>
                <w:szCs w:val="18"/>
              </w:rPr>
              <w:t>Interpreta correctamente las pruebas individuales de los coeficientes.</w:t>
            </w:r>
          </w:p>
        </w:tc>
        <w:tc>
          <w:tcPr>
            <w:tcW w:w="2120" w:type="dxa"/>
            <w:shd w:val="clear" w:color="auto" w:fill="D9E2F3"/>
            <w:vAlign w:val="center"/>
          </w:tcPr>
          <w:p w14:paraId="7005041F" w14:textId="77777777" w:rsidR="00990B14" w:rsidRDefault="00000000">
            <w:pPr>
              <w:spacing w:before="20" w:after="20"/>
              <w:jc w:val="both"/>
            </w:pPr>
            <w:r>
              <w:rPr>
                <w:sz w:val="18"/>
                <w:szCs w:val="18"/>
              </w:rPr>
              <w:t>Identifica los regresores significativos y justifica su permanencia en el modelo.</w:t>
            </w:r>
          </w:p>
        </w:tc>
      </w:tr>
      <w:tr w:rsidR="00990B14" w14:paraId="621B503B" w14:textId="77777777">
        <w:trPr>
          <w:cantSplit/>
          <w:jc w:val="center"/>
        </w:trPr>
        <w:tc>
          <w:tcPr>
            <w:tcW w:w="1555" w:type="dxa"/>
            <w:vMerge/>
            <w:shd w:val="clear" w:color="auto" w:fill="4472C4"/>
            <w:vAlign w:val="center"/>
          </w:tcPr>
          <w:p w14:paraId="3009DD16" w14:textId="77777777" w:rsidR="00990B14" w:rsidRDefault="00990B14">
            <w:pPr>
              <w:spacing w:before="20" w:after="20"/>
            </w:pPr>
          </w:p>
        </w:tc>
        <w:tc>
          <w:tcPr>
            <w:tcW w:w="1910" w:type="dxa"/>
            <w:shd w:val="clear" w:color="auto" w:fill="D9E2F3"/>
            <w:vAlign w:val="center"/>
          </w:tcPr>
          <w:p w14:paraId="0573622C" w14:textId="77777777" w:rsidR="00990B14" w:rsidRDefault="00000000">
            <w:pPr>
              <w:spacing w:before="20" w:after="20"/>
              <w:jc w:val="both"/>
            </w:pPr>
            <w:r>
              <w:rPr>
                <w:sz w:val="18"/>
                <w:szCs w:val="18"/>
              </w:rPr>
              <w:t>Pruebas globales</w:t>
            </w:r>
          </w:p>
        </w:tc>
        <w:tc>
          <w:tcPr>
            <w:tcW w:w="1910" w:type="dxa"/>
            <w:shd w:val="clear" w:color="auto" w:fill="D9E2F3"/>
            <w:vAlign w:val="center"/>
          </w:tcPr>
          <w:p w14:paraId="3689E8E8" w14:textId="77777777" w:rsidR="00990B14" w:rsidRDefault="00000000">
            <w:pPr>
              <w:spacing w:before="20" w:after="20"/>
              <w:jc w:val="both"/>
            </w:pPr>
            <w:r>
              <w:rPr>
                <w:sz w:val="18"/>
                <w:szCs w:val="18"/>
              </w:rPr>
              <w:t>Interpreta incorrectamente la prueba global del modelo.</w:t>
            </w:r>
          </w:p>
        </w:tc>
        <w:tc>
          <w:tcPr>
            <w:tcW w:w="1910" w:type="dxa"/>
            <w:shd w:val="clear" w:color="auto" w:fill="D9E2F3"/>
            <w:vAlign w:val="center"/>
          </w:tcPr>
          <w:p w14:paraId="63B8EB97" w14:textId="77777777" w:rsidR="00990B14" w:rsidRDefault="00000000">
            <w:pPr>
              <w:spacing w:before="20" w:after="20"/>
              <w:jc w:val="both"/>
            </w:pPr>
            <w:r>
              <w:rPr>
                <w:sz w:val="18"/>
                <w:szCs w:val="18"/>
              </w:rPr>
              <w:t>Interpreta correctamente la prueba global del modelo.</w:t>
            </w:r>
          </w:p>
        </w:tc>
        <w:tc>
          <w:tcPr>
            <w:tcW w:w="2120" w:type="dxa"/>
            <w:shd w:val="clear" w:color="auto" w:fill="D9E2F3"/>
            <w:vAlign w:val="center"/>
          </w:tcPr>
          <w:p w14:paraId="4832DB7E" w14:textId="77777777" w:rsidR="00990B14" w:rsidRDefault="00000000">
            <w:pPr>
              <w:spacing w:before="20" w:after="20"/>
              <w:jc w:val="both"/>
            </w:pPr>
            <w:r>
              <w:rPr>
                <w:sz w:val="18"/>
                <w:szCs w:val="18"/>
              </w:rPr>
              <w:t>Relaciona la prueba global con el coeficiente de determinación.</w:t>
            </w:r>
          </w:p>
        </w:tc>
      </w:tr>
      <w:tr w:rsidR="00990B14" w14:paraId="5BC22D3C" w14:textId="77777777">
        <w:trPr>
          <w:cantSplit/>
          <w:jc w:val="center"/>
        </w:trPr>
        <w:tc>
          <w:tcPr>
            <w:tcW w:w="1555" w:type="dxa"/>
            <w:vMerge/>
            <w:shd w:val="clear" w:color="auto" w:fill="4472C4"/>
            <w:vAlign w:val="center"/>
          </w:tcPr>
          <w:p w14:paraId="4CE1D102" w14:textId="77777777" w:rsidR="00990B14" w:rsidRDefault="00990B14">
            <w:pPr>
              <w:spacing w:before="20" w:after="20"/>
            </w:pPr>
          </w:p>
        </w:tc>
        <w:tc>
          <w:tcPr>
            <w:tcW w:w="1910" w:type="dxa"/>
            <w:shd w:val="clear" w:color="auto" w:fill="D9E2F3"/>
            <w:vAlign w:val="center"/>
          </w:tcPr>
          <w:p w14:paraId="0E1C10F2" w14:textId="77777777" w:rsidR="00990B14" w:rsidRDefault="00000000">
            <w:pPr>
              <w:spacing w:before="20" w:after="20"/>
              <w:jc w:val="both"/>
            </w:pPr>
            <w:r>
              <w:rPr>
                <w:sz w:val="18"/>
                <w:szCs w:val="18"/>
              </w:rPr>
              <w:t>Uso del software</w:t>
            </w:r>
          </w:p>
        </w:tc>
        <w:tc>
          <w:tcPr>
            <w:tcW w:w="1910" w:type="dxa"/>
            <w:shd w:val="clear" w:color="auto" w:fill="D9E2F3"/>
            <w:vAlign w:val="center"/>
          </w:tcPr>
          <w:p w14:paraId="65C2D7DF" w14:textId="77777777" w:rsidR="00990B14" w:rsidRDefault="00000000">
            <w:pPr>
              <w:spacing w:before="20" w:after="20"/>
              <w:jc w:val="both"/>
            </w:pPr>
            <w:r>
              <w:rPr>
                <w:sz w:val="18"/>
                <w:szCs w:val="18"/>
              </w:rPr>
              <w:t>Usa el software con errores de procedimiento.</w:t>
            </w:r>
          </w:p>
        </w:tc>
        <w:tc>
          <w:tcPr>
            <w:tcW w:w="1910" w:type="dxa"/>
            <w:shd w:val="clear" w:color="auto" w:fill="D9E2F3"/>
            <w:vAlign w:val="center"/>
          </w:tcPr>
          <w:p w14:paraId="7EE07C8B" w14:textId="77777777" w:rsidR="00990B14" w:rsidRDefault="00000000">
            <w:pPr>
              <w:spacing w:before="20" w:after="20"/>
              <w:jc w:val="both"/>
            </w:pPr>
            <w:r>
              <w:rPr>
                <w:sz w:val="18"/>
                <w:szCs w:val="18"/>
              </w:rPr>
              <w:t>Obtiene los resultados del modelo con SPSS.</w:t>
            </w:r>
          </w:p>
        </w:tc>
        <w:tc>
          <w:tcPr>
            <w:tcW w:w="2120" w:type="dxa"/>
            <w:shd w:val="clear" w:color="auto" w:fill="D9E2F3"/>
            <w:vAlign w:val="center"/>
          </w:tcPr>
          <w:p w14:paraId="0516EE57" w14:textId="77777777" w:rsidR="00990B14" w:rsidRDefault="00000000">
            <w:pPr>
              <w:spacing w:before="20" w:after="20"/>
              <w:jc w:val="both"/>
            </w:pPr>
            <w:r>
              <w:rPr>
                <w:sz w:val="18"/>
                <w:szCs w:val="18"/>
              </w:rPr>
              <w:t>Documenta el procedimiento seguido en SPSS.</w:t>
            </w:r>
          </w:p>
        </w:tc>
      </w:tr>
      <w:tr w:rsidR="00990B14" w14:paraId="0C8BD710" w14:textId="77777777">
        <w:trPr>
          <w:cantSplit/>
          <w:jc w:val="center"/>
        </w:trPr>
        <w:tc>
          <w:tcPr>
            <w:tcW w:w="1555" w:type="dxa"/>
            <w:vMerge/>
            <w:shd w:val="clear" w:color="auto" w:fill="4472C4"/>
            <w:vAlign w:val="center"/>
          </w:tcPr>
          <w:p w14:paraId="434E4863" w14:textId="77777777" w:rsidR="00990B14" w:rsidRDefault="00990B14">
            <w:pPr>
              <w:spacing w:before="20" w:after="20"/>
            </w:pPr>
          </w:p>
        </w:tc>
        <w:tc>
          <w:tcPr>
            <w:tcW w:w="5730" w:type="dxa"/>
            <w:gridSpan w:val="3"/>
            <w:shd w:val="clear" w:color="auto" w:fill="D9E2F3"/>
            <w:vAlign w:val="center"/>
          </w:tcPr>
          <w:p w14:paraId="2D3BE5E4" w14:textId="77777777" w:rsidR="00990B14" w:rsidRDefault="00000000">
            <w:pPr>
              <w:keepNext/>
              <w:spacing w:before="20" w:after="20"/>
              <w:jc w:val="both"/>
            </w:pPr>
            <w:r>
              <w:rPr>
                <w:b/>
                <w:bCs/>
                <w:i/>
                <w:iCs/>
                <w:sz w:val="18"/>
                <w:szCs w:val="18"/>
              </w:rPr>
              <w:t xml:space="preserve">Producto 23: </w:t>
            </w:r>
            <w:r>
              <w:rPr>
                <w:sz w:val="18"/>
                <w:szCs w:val="18"/>
              </w:rPr>
              <w:t>Análisis e interpretación de los resultados de una tabla cruzada de un caso práctico, realizado con SPSS.</w:t>
            </w:r>
          </w:p>
        </w:tc>
        <w:tc>
          <w:tcPr>
            <w:tcW w:w="2120" w:type="dxa"/>
            <w:shd w:val="clear" w:color="auto" w:fill="D9E2F3"/>
            <w:vAlign w:val="center"/>
          </w:tcPr>
          <w:p w14:paraId="6DEF3331" w14:textId="77777777" w:rsidR="00990B14" w:rsidRDefault="00000000">
            <w:pPr>
              <w:spacing w:before="20" w:after="20"/>
              <w:jc w:val="center"/>
            </w:pPr>
            <w:r>
              <w:rPr>
                <w:b/>
                <w:bCs/>
                <w:sz w:val="18"/>
                <w:szCs w:val="18"/>
              </w:rPr>
              <w:t>3%</w:t>
            </w:r>
          </w:p>
        </w:tc>
      </w:tr>
      <w:tr w:rsidR="00990B14" w14:paraId="040051E2" w14:textId="77777777">
        <w:trPr>
          <w:cantSplit/>
          <w:jc w:val="center"/>
        </w:trPr>
        <w:tc>
          <w:tcPr>
            <w:tcW w:w="1555" w:type="dxa"/>
            <w:vMerge/>
            <w:shd w:val="clear" w:color="auto" w:fill="4472C4"/>
            <w:vAlign w:val="center"/>
          </w:tcPr>
          <w:p w14:paraId="6BC648D1" w14:textId="77777777" w:rsidR="00990B14" w:rsidRDefault="00990B14">
            <w:pPr>
              <w:spacing w:before="20" w:after="20"/>
            </w:pPr>
          </w:p>
        </w:tc>
        <w:tc>
          <w:tcPr>
            <w:tcW w:w="1910" w:type="dxa"/>
            <w:shd w:val="clear" w:color="auto" w:fill="4472C4"/>
            <w:vAlign w:val="center"/>
          </w:tcPr>
          <w:p w14:paraId="30E4691F"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45A19304"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6291E89A"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12954838" w14:textId="77777777" w:rsidR="00990B14" w:rsidRDefault="00000000">
            <w:pPr>
              <w:keepNext/>
              <w:spacing w:before="20" w:after="20"/>
              <w:jc w:val="center"/>
            </w:pPr>
            <w:r>
              <w:rPr>
                <w:b/>
                <w:bCs/>
                <w:i/>
                <w:iCs/>
                <w:color w:val="FFFFFF"/>
                <w:sz w:val="18"/>
                <w:szCs w:val="18"/>
              </w:rPr>
              <w:t>Destacado (81–100)</w:t>
            </w:r>
          </w:p>
        </w:tc>
      </w:tr>
      <w:tr w:rsidR="00990B14" w14:paraId="2256C8FB" w14:textId="77777777">
        <w:trPr>
          <w:cantSplit/>
          <w:jc w:val="center"/>
        </w:trPr>
        <w:tc>
          <w:tcPr>
            <w:tcW w:w="1555" w:type="dxa"/>
            <w:vMerge/>
            <w:shd w:val="clear" w:color="auto" w:fill="4472C4"/>
            <w:vAlign w:val="center"/>
          </w:tcPr>
          <w:p w14:paraId="1B51EDCC" w14:textId="77777777" w:rsidR="00990B14" w:rsidRDefault="00990B14">
            <w:pPr>
              <w:spacing w:before="20" w:after="20"/>
            </w:pPr>
          </w:p>
        </w:tc>
        <w:tc>
          <w:tcPr>
            <w:tcW w:w="1910" w:type="dxa"/>
            <w:shd w:val="clear" w:color="auto" w:fill="D9E2F3"/>
            <w:vAlign w:val="center"/>
          </w:tcPr>
          <w:p w14:paraId="311C6268" w14:textId="77777777" w:rsidR="00990B14" w:rsidRDefault="00000000">
            <w:pPr>
              <w:spacing w:before="20" w:after="20"/>
              <w:jc w:val="both"/>
            </w:pPr>
            <w:r>
              <w:rPr>
                <w:sz w:val="18"/>
                <w:szCs w:val="18"/>
              </w:rPr>
              <w:t>Construcción de la tabla</w:t>
            </w:r>
          </w:p>
        </w:tc>
        <w:tc>
          <w:tcPr>
            <w:tcW w:w="1910" w:type="dxa"/>
            <w:shd w:val="clear" w:color="auto" w:fill="D9E2F3"/>
            <w:vAlign w:val="center"/>
          </w:tcPr>
          <w:p w14:paraId="28F80B92" w14:textId="77777777" w:rsidR="00990B14" w:rsidRDefault="00000000">
            <w:pPr>
              <w:spacing w:before="20" w:after="20"/>
              <w:jc w:val="both"/>
            </w:pPr>
            <w:r>
              <w:rPr>
                <w:sz w:val="18"/>
                <w:szCs w:val="18"/>
              </w:rPr>
              <w:t>La tabla cruzada presenta errores de construcción.</w:t>
            </w:r>
          </w:p>
        </w:tc>
        <w:tc>
          <w:tcPr>
            <w:tcW w:w="1910" w:type="dxa"/>
            <w:shd w:val="clear" w:color="auto" w:fill="D9E2F3"/>
            <w:vAlign w:val="center"/>
          </w:tcPr>
          <w:p w14:paraId="4EE0A712" w14:textId="77777777" w:rsidR="00990B14" w:rsidRDefault="00000000">
            <w:pPr>
              <w:spacing w:before="20" w:after="20"/>
              <w:jc w:val="both"/>
            </w:pPr>
            <w:r>
              <w:rPr>
                <w:sz w:val="18"/>
                <w:szCs w:val="18"/>
              </w:rPr>
              <w:t>Construye correctamente la tabla cruzada con SPSS.</w:t>
            </w:r>
          </w:p>
        </w:tc>
        <w:tc>
          <w:tcPr>
            <w:tcW w:w="2120" w:type="dxa"/>
            <w:shd w:val="clear" w:color="auto" w:fill="D9E2F3"/>
            <w:vAlign w:val="center"/>
          </w:tcPr>
          <w:p w14:paraId="1B763EE0" w14:textId="77777777" w:rsidR="00990B14" w:rsidRDefault="00000000">
            <w:pPr>
              <w:spacing w:before="20" w:after="20"/>
              <w:jc w:val="both"/>
            </w:pPr>
            <w:r>
              <w:rPr>
                <w:sz w:val="18"/>
                <w:szCs w:val="18"/>
              </w:rPr>
              <w:t>Construye la tabla con frecuencias y porcentajes por fila y columna.</w:t>
            </w:r>
          </w:p>
        </w:tc>
      </w:tr>
      <w:tr w:rsidR="00990B14" w14:paraId="215933AD" w14:textId="77777777">
        <w:trPr>
          <w:cantSplit/>
          <w:jc w:val="center"/>
        </w:trPr>
        <w:tc>
          <w:tcPr>
            <w:tcW w:w="1555" w:type="dxa"/>
            <w:vMerge/>
            <w:shd w:val="clear" w:color="auto" w:fill="4472C4"/>
            <w:vAlign w:val="center"/>
          </w:tcPr>
          <w:p w14:paraId="76690219" w14:textId="77777777" w:rsidR="00990B14" w:rsidRDefault="00990B14">
            <w:pPr>
              <w:spacing w:before="20" w:after="20"/>
            </w:pPr>
          </w:p>
        </w:tc>
        <w:tc>
          <w:tcPr>
            <w:tcW w:w="1910" w:type="dxa"/>
            <w:shd w:val="clear" w:color="auto" w:fill="D9E2F3"/>
            <w:vAlign w:val="center"/>
          </w:tcPr>
          <w:p w14:paraId="35826CC6" w14:textId="77777777" w:rsidR="00990B14" w:rsidRDefault="00000000">
            <w:pPr>
              <w:spacing w:before="20" w:after="20"/>
              <w:jc w:val="both"/>
            </w:pPr>
            <w:r>
              <w:rPr>
                <w:sz w:val="18"/>
                <w:szCs w:val="18"/>
              </w:rPr>
              <w:t>Asociación entre variables</w:t>
            </w:r>
          </w:p>
        </w:tc>
        <w:tc>
          <w:tcPr>
            <w:tcW w:w="1910" w:type="dxa"/>
            <w:shd w:val="clear" w:color="auto" w:fill="D9E2F3"/>
            <w:vAlign w:val="center"/>
          </w:tcPr>
          <w:p w14:paraId="6793ACC9" w14:textId="77777777" w:rsidR="00990B14" w:rsidRDefault="00000000">
            <w:pPr>
              <w:spacing w:before="20" w:after="20"/>
              <w:jc w:val="both"/>
            </w:pPr>
            <w:r>
              <w:rPr>
                <w:sz w:val="18"/>
                <w:szCs w:val="18"/>
              </w:rPr>
              <w:t>No evalúa la asociación entre las variables.</w:t>
            </w:r>
          </w:p>
        </w:tc>
        <w:tc>
          <w:tcPr>
            <w:tcW w:w="1910" w:type="dxa"/>
            <w:shd w:val="clear" w:color="auto" w:fill="D9E2F3"/>
            <w:vAlign w:val="center"/>
          </w:tcPr>
          <w:p w14:paraId="27589874" w14:textId="77777777" w:rsidR="00990B14" w:rsidRDefault="00000000">
            <w:pPr>
              <w:spacing w:before="20" w:after="20"/>
              <w:jc w:val="both"/>
            </w:pPr>
            <w:r>
              <w:rPr>
                <w:sz w:val="18"/>
                <w:szCs w:val="18"/>
              </w:rPr>
              <w:t>Evalúa la asociación entre las variables de la tabla.</w:t>
            </w:r>
          </w:p>
        </w:tc>
        <w:tc>
          <w:tcPr>
            <w:tcW w:w="2120" w:type="dxa"/>
            <w:shd w:val="clear" w:color="auto" w:fill="D9E2F3"/>
            <w:vAlign w:val="center"/>
          </w:tcPr>
          <w:p w14:paraId="0CDD502B" w14:textId="77777777" w:rsidR="00990B14" w:rsidRDefault="00000000">
            <w:pPr>
              <w:spacing w:before="20" w:after="20"/>
              <w:jc w:val="both"/>
            </w:pPr>
            <w:r>
              <w:rPr>
                <w:sz w:val="18"/>
                <w:szCs w:val="18"/>
              </w:rPr>
              <w:t>Interpreta la asociación entre las variables con el estadístico pertinente.</w:t>
            </w:r>
          </w:p>
        </w:tc>
      </w:tr>
      <w:tr w:rsidR="00990B14" w14:paraId="4EB8E528" w14:textId="77777777">
        <w:trPr>
          <w:cantSplit/>
          <w:jc w:val="center"/>
        </w:trPr>
        <w:tc>
          <w:tcPr>
            <w:tcW w:w="1555" w:type="dxa"/>
            <w:vMerge/>
            <w:shd w:val="clear" w:color="auto" w:fill="4472C4"/>
            <w:vAlign w:val="center"/>
          </w:tcPr>
          <w:p w14:paraId="76203435" w14:textId="77777777" w:rsidR="00990B14" w:rsidRDefault="00990B14">
            <w:pPr>
              <w:spacing w:before="20" w:after="20"/>
            </w:pPr>
          </w:p>
        </w:tc>
        <w:tc>
          <w:tcPr>
            <w:tcW w:w="1910" w:type="dxa"/>
            <w:shd w:val="clear" w:color="auto" w:fill="D9E2F3"/>
            <w:vAlign w:val="center"/>
          </w:tcPr>
          <w:p w14:paraId="4C7FD694" w14:textId="77777777" w:rsidR="00990B14" w:rsidRDefault="00000000">
            <w:pPr>
              <w:spacing w:before="20" w:after="20"/>
              <w:jc w:val="both"/>
            </w:pPr>
            <w:r>
              <w:rPr>
                <w:sz w:val="18"/>
                <w:szCs w:val="18"/>
              </w:rPr>
              <w:t>Interpretación</w:t>
            </w:r>
          </w:p>
        </w:tc>
        <w:tc>
          <w:tcPr>
            <w:tcW w:w="1910" w:type="dxa"/>
            <w:shd w:val="clear" w:color="auto" w:fill="D9E2F3"/>
            <w:vAlign w:val="center"/>
          </w:tcPr>
          <w:p w14:paraId="5F57D962" w14:textId="77777777" w:rsidR="00990B14" w:rsidRDefault="00000000">
            <w:pPr>
              <w:spacing w:before="20" w:after="20"/>
              <w:jc w:val="both"/>
            </w:pPr>
            <w:r>
              <w:rPr>
                <w:sz w:val="18"/>
                <w:szCs w:val="18"/>
              </w:rPr>
              <w:t>No interpreta los resultados.</w:t>
            </w:r>
          </w:p>
        </w:tc>
        <w:tc>
          <w:tcPr>
            <w:tcW w:w="1910" w:type="dxa"/>
            <w:shd w:val="clear" w:color="auto" w:fill="D9E2F3"/>
            <w:vAlign w:val="center"/>
          </w:tcPr>
          <w:p w14:paraId="483B7AD7" w14:textId="77777777" w:rsidR="00990B14" w:rsidRDefault="00000000">
            <w:pPr>
              <w:spacing w:before="20" w:after="20"/>
              <w:jc w:val="both"/>
            </w:pPr>
            <w:r>
              <w:rPr>
                <w:sz w:val="18"/>
                <w:szCs w:val="18"/>
              </w:rPr>
              <w:t>Interpreta los resultados de la tabla cruzada.</w:t>
            </w:r>
          </w:p>
        </w:tc>
        <w:tc>
          <w:tcPr>
            <w:tcW w:w="2120" w:type="dxa"/>
            <w:shd w:val="clear" w:color="auto" w:fill="D9E2F3"/>
            <w:vAlign w:val="center"/>
          </w:tcPr>
          <w:p w14:paraId="2CE455B6" w14:textId="77777777" w:rsidR="00990B14" w:rsidRDefault="00000000">
            <w:pPr>
              <w:spacing w:before="20" w:after="20"/>
              <w:jc w:val="both"/>
            </w:pPr>
            <w:r>
              <w:rPr>
                <w:sz w:val="18"/>
                <w:szCs w:val="18"/>
              </w:rPr>
              <w:t>Interpreta los resultados y formula conclusiones para el caso práctico.</w:t>
            </w:r>
          </w:p>
        </w:tc>
      </w:tr>
      <w:tr w:rsidR="00990B14" w14:paraId="4AC88BD2" w14:textId="77777777">
        <w:trPr>
          <w:cantSplit/>
          <w:jc w:val="center"/>
        </w:trPr>
        <w:tc>
          <w:tcPr>
            <w:tcW w:w="1555" w:type="dxa"/>
            <w:vMerge/>
            <w:shd w:val="clear" w:color="auto" w:fill="4472C4"/>
            <w:vAlign w:val="center"/>
          </w:tcPr>
          <w:p w14:paraId="263C18A8" w14:textId="77777777" w:rsidR="00990B14" w:rsidRDefault="00990B14">
            <w:pPr>
              <w:spacing w:before="20" w:after="20"/>
            </w:pPr>
          </w:p>
        </w:tc>
        <w:tc>
          <w:tcPr>
            <w:tcW w:w="5730" w:type="dxa"/>
            <w:gridSpan w:val="3"/>
            <w:shd w:val="clear" w:color="auto" w:fill="D9E2F3"/>
            <w:vAlign w:val="center"/>
          </w:tcPr>
          <w:p w14:paraId="6A8AB8CC" w14:textId="77777777" w:rsidR="00990B14" w:rsidRDefault="00000000">
            <w:pPr>
              <w:keepNext/>
              <w:spacing w:before="20" w:after="20"/>
              <w:jc w:val="both"/>
            </w:pPr>
            <w:r>
              <w:rPr>
                <w:b/>
                <w:bCs/>
                <w:i/>
                <w:iCs/>
                <w:sz w:val="18"/>
                <w:szCs w:val="18"/>
              </w:rPr>
              <w:t xml:space="preserve">Producto 24: </w:t>
            </w:r>
            <w:r>
              <w:rPr>
                <w:sz w:val="18"/>
                <w:szCs w:val="18"/>
              </w:rPr>
              <w:t>Análisis de fiabilidad de los resultados de una escala de Likert elaborada con el paquete de SPSS.</w:t>
            </w:r>
          </w:p>
        </w:tc>
        <w:tc>
          <w:tcPr>
            <w:tcW w:w="2120" w:type="dxa"/>
            <w:shd w:val="clear" w:color="auto" w:fill="D9E2F3"/>
            <w:vAlign w:val="center"/>
          </w:tcPr>
          <w:p w14:paraId="66E06D28" w14:textId="77777777" w:rsidR="00990B14" w:rsidRDefault="00000000">
            <w:pPr>
              <w:spacing w:before="20" w:after="20"/>
              <w:jc w:val="center"/>
            </w:pPr>
            <w:r>
              <w:rPr>
                <w:b/>
                <w:bCs/>
                <w:sz w:val="18"/>
                <w:szCs w:val="18"/>
              </w:rPr>
              <w:t>3%</w:t>
            </w:r>
          </w:p>
        </w:tc>
      </w:tr>
      <w:tr w:rsidR="00990B14" w14:paraId="277B410C" w14:textId="77777777">
        <w:trPr>
          <w:cantSplit/>
          <w:jc w:val="center"/>
        </w:trPr>
        <w:tc>
          <w:tcPr>
            <w:tcW w:w="1555" w:type="dxa"/>
            <w:vMerge/>
            <w:shd w:val="clear" w:color="auto" w:fill="4472C4"/>
            <w:vAlign w:val="center"/>
          </w:tcPr>
          <w:p w14:paraId="0AA8CD89" w14:textId="77777777" w:rsidR="00990B14" w:rsidRDefault="00990B14">
            <w:pPr>
              <w:spacing w:before="20" w:after="20"/>
            </w:pPr>
          </w:p>
        </w:tc>
        <w:tc>
          <w:tcPr>
            <w:tcW w:w="1910" w:type="dxa"/>
            <w:shd w:val="clear" w:color="auto" w:fill="4472C4"/>
            <w:vAlign w:val="center"/>
          </w:tcPr>
          <w:p w14:paraId="08E1B6DF"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56314208"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3ABF0F83"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4EC2EFED" w14:textId="77777777" w:rsidR="00990B14" w:rsidRDefault="00000000">
            <w:pPr>
              <w:keepNext/>
              <w:spacing w:before="20" w:after="20"/>
              <w:jc w:val="center"/>
            </w:pPr>
            <w:r>
              <w:rPr>
                <w:b/>
                <w:bCs/>
                <w:i/>
                <w:iCs/>
                <w:color w:val="FFFFFF"/>
                <w:sz w:val="18"/>
                <w:szCs w:val="18"/>
              </w:rPr>
              <w:t>Destacado (81–100)</w:t>
            </w:r>
          </w:p>
        </w:tc>
      </w:tr>
      <w:tr w:rsidR="00990B14" w14:paraId="29BB30E5" w14:textId="77777777">
        <w:trPr>
          <w:cantSplit/>
          <w:jc w:val="center"/>
        </w:trPr>
        <w:tc>
          <w:tcPr>
            <w:tcW w:w="1555" w:type="dxa"/>
            <w:vMerge/>
            <w:shd w:val="clear" w:color="auto" w:fill="4472C4"/>
            <w:vAlign w:val="center"/>
          </w:tcPr>
          <w:p w14:paraId="3E7B3D0E" w14:textId="77777777" w:rsidR="00990B14" w:rsidRDefault="00990B14">
            <w:pPr>
              <w:spacing w:before="20" w:after="20"/>
            </w:pPr>
          </w:p>
        </w:tc>
        <w:tc>
          <w:tcPr>
            <w:tcW w:w="1910" w:type="dxa"/>
            <w:shd w:val="clear" w:color="auto" w:fill="D9E2F3"/>
            <w:vAlign w:val="center"/>
          </w:tcPr>
          <w:p w14:paraId="18E217CE" w14:textId="77777777" w:rsidR="00990B14" w:rsidRDefault="00000000">
            <w:pPr>
              <w:spacing w:before="20" w:after="20"/>
              <w:jc w:val="both"/>
            </w:pPr>
            <w:r>
              <w:rPr>
                <w:sz w:val="18"/>
                <w:szCs w:val="18"/>
              </w:rPr>
              <w:t>Construcción de la escala</w:t>
            </w:r>
          </w:p>
        </w:tc>
        <w:tc>
          <w:tcPr>
            <w:tcW w:w="1910" w:type="dxa"/>
            <w:shd w:val="clear" w:color="auto" w:fill="D9E2F3"/>
            <w:vAlign w:val="center"/>
          </w:tcPr>
          <w:p w14:paraId="34B80BE2" w14:textId="77777777" w:rsidR="00990B14" w:rsidRDefault="00000000">
            <w:pPr>
              <w:spacing w:before="20" w:after="20"/>
              <w:jc w:val="both"/>
            </w:pPr>
            <w:r>
              <w:rPr>
                <w:sz w:val="18"/>
                <w:szCs w:val="18"/>
              </w:rPr>
              <w:t>La escala de Likert presenta errores de construcción.</w:t>
            </w:r>
          </w:p>
        </w:tc>
        <w:tc>
          <w:tcPr>
            <w:tcW w:w="1910" w:type="dxa"/>
            <w:shd w:val="clear" w:color="auto" w:fill="D9E2F3"/>
            <w:vAlign w:val="center"/>
          </w:tcPr>
          <w:p w14:paraId="13ACB2F9" w14:textId="77777777" w:rsidR="00990B14" w:rsidRDefault="00000000">
            <w:pPr>
              <w:spacing w:before="20" w:after="20"/>
              <w:jc w:val="both"/>
            </w:pPr>
            <w:r>
              <w:rPr>
                <w:sz w:val="18"/>
                <w:szCs w:val="18"/>
              </w:rPr>
              <w:t>Construye correctamente la escala de Likert con SPSS.</w:t>
            </w:r>
          </w:p>
        </w:tc>
        <w:tc>
          <w:tcPr>
            <w:tcW w:w="2120" w:type="dxa"/>
            <w:shd w:val="clear" w:color="auto" w:fill="D9E2F3"/>
            <w:vAlign w:val="center"/>
          </w:tcPr>
          <w:p w14:paraId="635AB413" w14:textId="77777777" w:rsidR="00990B14" w:rsidRDefault="00000000">
            <w:pPr>
              <w:spacing w:before="20" w:after="20"/>
              <w:jc w:val="both"/>
            </w:pPr>
            <w:r>
              <w:rPr>
                <w:sz w:val="18"/>
                <w:szCs w:val="18"/>
              </w:rPr>
              <w:t>Construye la escala y justifica sus ítems y categorías.</w:t>
            </w:r>
          </w:p>
        </w:tc>
      </w:tr>
      <w:tr w:rsidR="00990B14" w14:paraId="459296B5" w14:textId="77777777">
        <w:trPr>
          <w:cantSplit/>
          <w:jc w:val="center"/>
        </w:trPr>
        <w:tc>
          <w:tcPr>
            <w:tcW w:w="1555" w:type="dxa"/>
            <w:vMerge/>
            <w:shd w:val="clear" w:color="auto" w:fill="4472C4"/>
            <w:vAlign w:val="center"/>
          </w:tcPr>
          <w:p w14:paraId="0D4F7B90" w14:textId="77777777" w:rsidR="00990B14" w:rsidRDefault="00990B14">
            <w:pPr>
              <w:spacing w:before="20" w:after="20"/>
            </w:pPr>
          </w:p>
        </w:tc>
        <w:tc>
          <w:tcPr>
            <w:tcW w:w="1910" w:type="dxa"/>
            <w:shd w:val="clear" w:color="auto" w:fill="D9E2F3"/>
            <w:vAlign w:val="center"/>
          </w:tcPr>
          <w:p w14:paraId="3D4409E5" w14:textId="77777777" w:rsidR="00990B14" w:rsidRDefault="00000000">
            <w:pPr>
              <w:spacing w:before="20" w:after="20"/>
              <w:jc w:val="both"/>
            </w:pPr>
            <w:r>
              <w:rPr>
                <w:sz w:val="18"/>
                <w:szCs w:val="18"/>
              </w:rPr>
              <w:t>Análisis de fiabilidad</w:t>
            </w:r>
          </w:p>
        </w:tc>
        <w:tc>
          <w:tcPr>
            <w:tcW w:w="1910" w:type="dxa"/>
            <w:shd w:val="clear" w:color="auto" w:fill="D9E2F3"/>
            <w:vAlign w:val="center"/>
          </w:tcPr>
          <w:p w14:paraId="763C7413" w14:textId="77777777" w:rsidR="00990B14" w:rsidRDefault="00000000">
            <w:pPr>
              <w:spacing w:before="20" w:after="20"/>
              <w:jc w:val="both"/>
            </w:pPr>
            <w:r>
              <w:rPr>
                <w:sz w:val="18"/>
                <w:szCs w:val="18"/>
              </w:rPr>
              <w:t>Calcula incorrectamente el coeficiente de fiabilidad.</w:t>
            </w:r>
          </w:p>
        </w:tc>
        <w:tc>
          <w:tcPr>
            <w:tcW w:w="1910" w:type="dxa"/>
            <w:shd w:val="clear" w:color="auto" w:fill="D9E2F3"/>
            <w:vAlign w:val="center"/>
          </w:tcPr>
          <w:p w14:paraId="083DED99" w14:textId="77777777" w:rsidR="00990B14" w:rsidRDefault="00000000">
            <w:pPr>
              <w:spacing w:before="20" w:after="20"/>
              <w:jc w:val="both"/>
            </w:pPr>
            <w:r>
              <w:rPr>
                <w:sz w:val="18"/>
                <w:szCs w:val="18"/>
              </w:rPr>
              <w:t>Calcula correctamente el coeficiente alfa de Cronbach.</w:t>
            </w:r>
          </w:p>
        </w:tc>
        <w:tc>
          <w:tcPr>
            <w:tcW w:w="2120" w:type="dxa"/>
            <w:shd w:val="clear" w:color="auto" w:fill="D9E2F3"/>
            <w:vAlign w:val="center"/>
          </w:tcPr>
          <w:p w14:paraId="4AD0C140" w14:textId="77777777" w:rsidR="00990B14" w:rsidRDefault="00000000">
            <w:pPr>
              <w:spacing w:before="20" w:after="20"/>
              <w:jc w:val="both"/>
            </w:pPr>
            <w:r>
              <w:rPr>
                <w:sz w:val="18"/>
                <w:szCs w:val="18"/>
              </w:rPr>
              <w:t>Interpreta el coeficiente y propone ajustes a los ítems.</w:t>
            </w:r>
          </w:p>
        </w:tc>
      </w:tr>
      <w:tr w:rsidR="00990B14" w14:paraId="7ADAEA40" w14:textId="77777777">
        <w:trPr>
          <w:cantSplit/>
          <w:jc w:val="center"/>
        </w:trPr>
        <w:tc>
          <w:tcPr>
            <w:tcW w:w="1555" w:type="dxa"/>
            <w:vMerge/>
            <w:shd w:val="clear" w:color="auto" w:fill="4472C4"/>
            <w:vAlign w:val="center"/>
          </w:tcPr>
          <w:p w14:paraId="23AC6B28" w14:textId="77777777" w:rsidR="00990B14" w:rsidRDefault="00990B14">
            <w:pPr>
              <w:spacing w:before="20" w:after="20"/>
            </w:pPr>
          </w:p>
        </w:tc>
        <w:tc>
          <w:tcPr>
            <w:tcW w:w="1910" w:type="dxa"/>
            <w:shd w:val="clear" w:color="auto" w:fill="D9E2F3"/>
            <w:vAlign w:val="center"/>
          </w:tcPr>
          <w:p w14:paraId="2897A95C" w14:textId="77777777" w:rsidR="00990B14" w:rsidRDefault="00000000">
            <w:pPr>
              <w:spacing w:before="20" w:after="20"/>
              <w:jc w:val="both"/>
            </w:pPr>
            <w:r>
              <w:rPr>
                <w:sz w:val="18"/>
                <w:szCs w:val="18"/>
              </w:rPr>
              <w:t>Interpretación</w:t>
            </w:r>
          </w:p>
        </w:tc>
        <w:tc>
          <w:tcPr>
            <w:tcW w:w="1910" w:type="dxa"/>
            <w:shd w:val="clear" w:color="auto" w:fill="D9E2F3"/>
            <w:vAlign w:val="center"/>
          </w:tcPr>
          <w:p w14:paraId="5D49015E" w14:textId="77777777" w:rsidR="00990B14" w:rsidRDefault="00000000">
            <w:pPr>
              <w:spacing w:before="20" w:after="20"/>
              <w:jc w:val="both"/>
            </w:pPr>
            <w:r>
              <w:rPr>
                <w:sz w:val="18"/>
                <w:szCs w:val="18"/>
              </w:rPr>
              <w:t>No interpreta los resultados.</w:t>
            </w:r>
          </w:p>
        </w:tc>
        <w:tc>
          <w:tcPr>
            <w:tcW w:w="1910" w:type="dxa"/>
            <w:shd w:val="clear" w:color="auto" w:fill="D9E2F3"/>
            <w:vAlign w:val="center"/>
          </w:tcPr>
          <w:p w14:paraId="54C64FE9" w14:textId="77777777" w:rsidR="00990B14" w:rsidRDefault="00000000">
            <w:pPr>
              <w:spacing w:before="20" w:after="20"/>
              <w:jc w:val="both"/>
            </w:pPr>
            <w:r>
              <w:rPr>
                <w:sz w:val="18"/>
                <w:szCs w:val="18"/>
              </w:rPr>
              <w:t>Interpreta los resultados de la escala.</w:t>
            </w:r>
          </w:p>
        </w:tc>
        <w:tc>
          <w:tcPr>
            <w:tcW w:w="2120" w:type="dxa"/>
            <w:shd w:val="clear" w:color="auto" w:fill="D9E2F3"/>
            <w:vAlign w:val="center"/>
          </w:tcPr>
          <w:p w14:paraId="56F4728A" w14:textId="77777777" w:rsidR="00990B14" w:rsidRDefault="00000000">
            <w:pPr>
              <w:spacing w:before="20" w:after="20"/>
              <w:jc w:val="both"/>
            </w:pPr>
            <w:r>
              <w:rPr>
                <w:sz w:val="18"/>
                <w:szCs w:val="18"/>
              </w:rPr>
              <w:t>Interpreta los resultados y formula conclusiones para el caso práctico.</w:t>
            </w:r>
          </w:p>
        </w:tc>
      </w:tr>
      <w:tr w:rsidR="00990B14" w14:paraId="12081874" w14:textId="77777777">
        <w:trPr>
          <w:cantSplit/>
          <w:jc w:val="center"/>
        </w:trPr>
        <w:tc>
          <w:tcPr>
            <w:tcW w:w="7285" w:type="dxa"/>
            <w:gridSpan w:val="4"/>
            <w:shd w:val="clear" w:color="auto" w:fill="4472C4"/>
            <w:vAlign w:val="center"/>
          </w:tcPr>
          <w:p w14:paraId="3B599C73" w14:textId="77777777" w:rsidR="00990B14" w:rsidRDefault="00000000">
            <w:pPr>
              <w:keepNext/>
              <w:spacing w:before="20" w:after="20"/>
              <w:jc w:val="center"/>
            </w:pPr>
            <w:r>
              <w:rPr>
                <w:b/>
                <w:bCs/>
                <w:i/>
                <w:iCs/>
                <w:color w:val="FFFFFF"/>
                <w:sz w:val="18"/>
                <w:szCs w:val="18"/>
              </w:rPr>
              <w:t>TOTAL</w:t>
            </w:r>
          </w:p>
        </w:tc>
        <w:tc>
          <w:tcPr>
            <w:tcW w:w="2120" w:type="dxa"/>
            <w:shd w:val="clear" w:color="auto" w:fill="4472C4"/>
            <w:vAlign w:val="center"/>
          </w:tcPr>
          <w:p w14:paraId="77D3C3B6" w14:textId="77777777" w:rsidR="00990B14" w:rsidRDefault="00000000">
            <w:pPr>
              <w:keepNext/>
              <w:spacing w:before="20" w:after="20"/>
              <w:jc w:val="center"/>
            </w:pPr>
            <w:r>
              <w:rPr>
                <w:b/>
                <w:bCs/>
                <w:i/>
                <w:iCs/>
                <w:color w:val="FFFFFF"/>
                <w:sz w:val="18"/>
                <w:szCs w:val="18"/>
              </w:rPr>
              <w:t>100%</w:t>
            </w:r>
          </w:p>
        </w:tc>
      </w:tr>
    </w:tbl>
    <w:p w14:paraId="5B9ECD04"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9405"/>
      </w:tblGrid>
      <w:tr w:rsidR="00990B14" w14:paraId="0B21CBB9" w14:textId="77777777">
        <w:trPr>
          <w:jc w:val="center"/>
        </w:trPr>
        <w:tc>
          <w:tcPr>
            <w:tcW w:w="9405" w:type="dxa"/>
            <w:shd w:val="clear" w:color="auto" w:fill="D9E2F3"/>
          </w:tcPr>
          <w:p w14:paraId="762BF91A" w14:textId="77777777" w:rsidR="00990B14" w:rsidRDefault="00000000">
            <w:pPr>
              <w:spacing w:before="40" w:after="40"/>
              <w:jc w:val="both"/>
            </w:pPr>
            <w:r>
              <w:rPr>
                <w:b/>
                <w:bCs/>
                <w:i/>
                <w:iCs/>
                <w:sz w:val="18"/>
                <w:szCs w:val="18"/>
              </w:rPr>
              <w:t>Bibliografía básica:</w:t>
            </w:r>
          </w:p>
          <w:p w14:paraId="100054CE" w14:textId="77777777" w:rsidR="00990B14" w:rsidRDefault="00000000">
            <w:pPr>
              <w:numPr>
                <w:ilvl w:val="0"/>
                <w:numId w:val="140"/>
              </w:numPr>
              <w:spacing w:after="20"/>
              <w:jc w:val="both"/>
            </w:pPr>
            <w:r w:rsidRPr="00BD34F7">
              <w:rPr>
                <w:sz w:val="18"/>
                <w:szCs w:val="18"/>
                <w:lang w:val="en-US"/>
              </w:rPr>
              <w:t xml:space="preserve">Anderson, D., Sweeney, D. y Williams, T. (2003). </w:t>
            </w:r>
            <w:r>
              <w:rPr>
                <w:i/>
                <w:iCs/>
                <w:sz w:val="18"/>
                <w:szCs w:val="18"/>
              </w:rPr>
              <w:t>Estadística para Administración y Economía</w:t>
            </w:r>
            <w:r>
              <w:rPr>
                <w:sz w:val="18"/>
                <w:szCs w:val="18"/>
              </w:rPr>
              <w:t>. 8ª ed., México: Thomson.</w:t>
            </w:r>
          </w:p>
          <w:p w14:paraId="77C22E23" w14:textId="77777777" w:rsidR="00990B14" w:rsidRDefault="00000000">
            <w:pPr>
              <w:numPr>
                <w:ilvl w:val="0"/>
                <w:numId w:val="140"/>
              </w:numPr>
              <w:spacing w:after="20"/>
              <w:jc w:val="both"/>
            </w:pPr>
            <w:r w:rsidRPr="00BD34F7">
              <w:rPr>
                <w:sz w:val="18"/>
                <w:szCs w:val="18"/>
                <w:lang w:val="en-US"/>
              </w:rPr>
              <w:t xml:space="preserve">International Auditing and Assurance Standards Board, IAASB (2023). </w:t>
            </w:r>
            <w:r w:rsidRPr="00BD34F7">
              <w:rPr>
                <w:i/>
                <w:iCs/>
                <w:sz w:val="18"/>
                <w:szCs w:val="18"/>
                <w:lang w:val="en-US"/>
              </w:rPr>
              <w:t>Handbook of International Quality Control, Auditing, Review, Other Assurance, and Related Services Pronouncements</w:t>
            </w:r>
            <w:r w:rsidRPr="00BD34F7">
              <w:rPr>
                <w:sz w:val="18"/>
                <w:szCs w:val="18"/>
                <w:lang w:val="en-US"/>
              </w:rPr>
              <w:t xml:space="preserve">. </w:t>
            </w:r>
            <w:r>
              <w:rPr>
                <w:sz w:val="18"/>
                <w:szCs w:val="18"/>
              </w:rPr>
              <w:t>Edición 2021, Volúmenes I, II y III.</w:t>
            </w:r>
          </w:p>
          <w:p w14:paraId="6F70E39B" w14:textId="77777777" w:rsidR="00990B14" w:rsidRDefault="00000000">
            <w:pPr>
              <w:numPr>
                <w:ilvl w:val="0"/>
                <w:numId w:val="140"/>
              </w:numPr>
              <w:spacing w:after="20"/>
              <w:jc w:val="both"/>
            </w:pPr>
            <w:r>
              <w:rPr>
                <w:sz w:val="18"/>
                <w:szCs w:val="18"/>
              </w:rPr>
              <w:t xml:space="preserve">Kazmier, L. J. (1998). </w:t>
            </w:r>
            <w:r>
              <w:rPr>
                <w:i/>
                <w:iCs/>
                <w:sz w:val="18"/>
                <w:szCs w:val="18"/>
              </w:rPr>
              <w:t>Estadística Aplicada a la Administración y Economía</w:t>
            </w:r>
            <w:r>
              <w:rPr>
                <w:sz w:val="18"/>
                <w:szCs w:val="18"/>
              </w:rPr>
              <w:t>. 3ª ed., México: McGraw-Hill.</w:t>
            </w:r>
          </w:p>
          <w:p w14:paraId="58D8AAEB" w14:textId="77777777" w:rsidR="00990B14" w:rsidRDefault="00000000">
            <w:pPr>
              <w:numPr>
                <w:ilvl w:val="0"/>
                <w:numId w:val="140"/>
              </w:numPr>
              <w:spacing w:after="20"/>
              <w:jc w:val="both"/>
            </w:pPr>
            <w:r w:rsidRPr="00BD34F7">
              <w:rPr>
                <w:sz w:val="18"/>
                <w:szCs w:val="18"/>
                <w:lang w:val="en-US"/>
              </w:rPr>
              <w:t xml:space="preserve">Walpole, R. E. y Myers, R. H. (1992). </w:t>
            </w:r>
            <w:r>
              <w:rPr>
                <w:i/>
                <w:iCs/>
                <w:sz w:val="18"/>
                <w:szCs w:val="18"/>
              </w:rPr>
              <w:t>Probabilidad y Estadística</w:t>
            </w:r>
            <w:r>
              <w:rPr>
                <w:sz w:val="18"/>
                <w:szCs w:val="18"/>
              </w:rPr>
              <w:t>. 3ª ed., México: McGraw-Hill Internacional.</w:t>
            </w:r>
          </w:p>
        </w:tc>
      </w:tr>
      <w:tr w:rsidR="00990B14" w14:paraId="3F04803F" w14:textId="77777777">
        <w:trPr>
          <w:jc w:val="center"/>
        </w:trPr>
        <w:tc>
          <w:tcPr>
            <w:tcW w:w="9405" w:type="dxa"/>
            <w:shd w:val="clear" w:color="auto" w:fill="D9E2F3"/>
          </w:tcPr>
          <w:p w14:paraId="2A911D39" w14:textId="77777777" w:rsidR="00990B14" w:rsidRDefault="00000000">
            <w:pPr>
              <w:spacing w:before="40" w:after="40"/>
              <w:jc w:val="both"/>
            </w:pPr>
            <w:r>
              <w:rPr>
                <w:b/>
                <w:bCs/>
                <w:i/>
                <w:iCs/>
                <w:sz w:val="18"/>
                <w:szCs w:val="18"/>
              </w:rPr>
              <w:t>Bibliografía complementaria:</w:t>
            </w:r>
          </w:p>
          <w:p w14:paraId="1C1AE335" w14:textId="77777777" w:rsidR="00990B14" w:rsidRDefault="00000000">
            <w:pPr>
              <w:numPr>
                <w:ilvl w:val="0"/>
                <w:numId w:val="140"/>
              </w:numPr>
              <w:spacing w:after="20"/>
              <w:jc w:val="both"/>
            </w:pPr>
            <w:r>
              <w:rPr>
                <w:sz w:val="18"/>
                <w:szCs w:val="18"/>
              </w:rPr>
              <w:t>Aplicación de los paquetes estadísticos: Excel, SPSS, STATA, R y Python.</w:t>
            </w:r>
          </w:p>
          <w:p w14:paraId="4E8B3761" w14:textId="77777777" w:rsidR="00990B14" w:rsidRDefault="00000000">
            <w:pPr>
              <w:numPr>
                <w:ilvl w:val="0"/>
                <w:numId w:val="140"/>
              </w:numPr>
              <w:spacing w:after="20"/>
              <w:jc w:val="both"/>
            </w:pPr>
            <w:r>
              <w:rPr>
                <w:sz w:val="18"/>
                <w:szCs w:val="18"/>
              </w:rPr>
              <w:t>Banco Central de Bolivia: https://www.bcb.gob.bo</w:t>
            </w:r>
          </w:p>
          <w:p w14:paraId="4DD856E2" w14:textId="77777777" w:rsidR="00990B14" w:rsidRDefault="00000000">
            <w:pPr>
              <w:numPr>
                <w:ilvl w:val="0"/>
                <w:numId w:val="140"/>
              </w:numPr>
              <w:spacing w:after="20"/>
              <w:jc w:val="both"/>
            </w:pPr>
            <w:r>
              <w:rPr>
                <w:sz w:val="18"/>
                <w:szCs w:val="18"/>
              </w:rPr>
              <w:t xml:space="preserve">Berenson, M. L. y Levine, D. M. (1996). </w:t>
            </w:r>
            <w:r>
              <w:rPr>
                <w:i/>
                <w:iCs/>
                <w:sz w:val="18"/>
                <w:szCs w:val="18"/>
              </w:rPr>
              <w:t>Estadística Básica en Administración</w:t>
            </w:r>
            <w:r>
              <w:rPr>
                <w:sz w:val="18"/>
                <w:szCs w:val="18"/>
              </w:rPr>
              <w:t>. 6ª ed., México: Prentice Hall.</w:t>
            </w:r>
          </w:p>
          <w:p w14:paraId="7F8A0359" w14:textId="77777777" w:rsidR="00990B14" w:rsidRDefault="00000000">
            <w:pPr>
              <w:numPr>
                <w:ilvl w:val="0"/>
                <w:numId w:val="140"/>
              </w:numPr>
              <w:spacing w:after="20"/>
              <w:jc w:val="both"/>
            </w:pPr>
            <w:r w:rsidRPr="00BD34F7">
              <w:rPr>
                <w:sz w:val="18"/>
                <w:szCs w:val="18"/>
                <w:lang w:val="en-US"/>
              </w:rPr>
              <w:t xml:space="preserve">Deming, W. E. (s.f.). </w:t>
            </w:r>
            <w:r>
              <w:rPr>
                <w:i/>
                <w:iCs/>
                <w:sz w:val="18"/>
                <w:szCs w:val="18"/>
              </w:rPr>
              <w:t>Teoría del Muestreo</w:t>
            </w:r>
            <w:r>
              <w:rPr>
                <w:sz w:val="18"/>
                <w:szCs w:val="18"/>
              </w:rPr>
              <w:t>. Rosario – Argentina: Instituto Interamericano de Estadística.</w:t>
            </w:r>
          </w:p>
          <w:p w14:paraId="6CAF7912" w14:textId="77777777" w:rsidR="00990B14" w:rsidRDefault="00000000">
            <w:pPr>
              <w:numPr>
                <w:ilvl w:val="0"/>
                <w:numId w:val="140"/>
              </w:numPr>
              <w:spacing w:after="20"/>
              <w:jc w:val="both"/>
            </w:pPr>
            <w:r w:rsidRPr="00BD34F7">
              <w:rPr>
                <w:sz w:val="18"/>
                <w:szCs w:val="18"/>
                <w:lang w:val="en-US"/>
              </w:rPr>
              <w:t xml:space="preserve">Harris, E. E. (s.f.). </w:t>
            </w:r>
            <w:r>
              <w:rPr>
                <w:i/>
                <w:iCs/>
                <w:sz w:val="18"/>
                <w:szCs w:val="18"/>
              </w:rPr>
              <w:t>Muestreo en Investigación de los Mercados</w:t>
            </w:r>
            <w:r>
              <w:rPr>
                <w:sz w:val="18"/>
                <w:szCs w:val="18"/>
              </w:rPr>
              <w:t>. 2ª ed., México: McGraw-Hill.</w:t>
            </w:r>
          </w:p>
          <w:p w14:paraId="22C49E9A" w14:textId="77777777" w:rsidR="00990B14" w:rsidRDefault="00000000">
            <w:pPr>
              <w:numPr>
                <w:ilvl w:val="0"/>
                <w:numId w:val="140"/>
              </w:numPr>
              <w:spacing w:after="20"/>
              <w:jc w:val="both"/>
            </w:pPr>
            <w:r>
              <w:rPr>
                <w:sz w:val="18"/>
                <w:szCs w:val="18"/>
              </w:rPr>
              <w:t>Instituto Nacional de Estadística de Bolivia: https://www.ine.gob.bo y Censo de Población y Vivienda 2024.</w:t>
            </w:r>
          </w:p>
          <w:p w14:paraId="6C05458C" w14:textId="77777777" w:rsidR="00990B14" w:rsidRDefault="00000000">
            <w:pPr>
              <w:numPr>
                <w:ilvl w:val="0"/>
                <w:numId w:val="140"/>
              </w:numPr>
              <w:spacing w:after="20"/>
              <w:jc w:val="both"/>
            </w:pPr>
            <w:r>
              <w:rPr>
                <w:sz w:val="18"/>
                <w:szCs w:val="18"/>
              </w:rPr>
              <w:t xml:space="preserve">Mendenhall, W. (1990). </w:t>
            </w:r>
            <w:r>
              <w:rPr>
                <w:i/>
                <w:iCs/>
                <w:sz w:val="18"/>
                <w:szCs w:val="18"/>
              </w:rPr>
              <w:t>Estadística para Administradores</w:t>
            </w:r>
            <w:r>
              <w:rPr>
                <w:sz w:val="18"/>
                <w:szCs w:val="18"/>
              </w:rPr>
              <w:t>. 2ª ed., México: Grupo Editorial Iberoamérica.</w:t>
            </w:r>
          </w:p>
          <w:p w14:paraId="2149F044" w14:textId="77777777" w:rsidR="00990B14" w:rsidRDefault="00000000">
            <w:pPr>
              <w:numPr>
                <w:ilvl w:val="0"/>
                <w:numId w:val="140"/>
              </w:numPr>
              <w:spacing w:after="20"/>
              <w:jc w:val="both"/>
            </w:pPr>
            <w:r>
              <w:rPr>
                <w:sz w:val="18"/>
                <w:szCs w:val="18"/>
              </w:rPr>
              <w:t xml:space="preserve">Meyer, P. (s.f.). </w:t>
            </w:r>
            <w:r>
              <w:rPr>
                <w:i/>
                <w:iCs/>
                <w:sz w:val="18"/>
                <w:szCs w:val="18"/>
              </w:rPr>
              <w:t>Problemas Resueltos de Probabilidad y su Aplicación</w:t>
            </w:r>
            <w:r>
              <w:rPr>
                <w:sz w:val="18"/>
                <w:szCs w:val="18"/>
              </w:rPr>
              <w:t>.</w:t>
            </w:r>
          </w:p>
          <w:p w14:paraId="2C932377" w14:textId="77777777" w:rsidR="00990B14" w:rsidRDefault="00000000">
            <w:pPr>
              <w:numPr>
                <w:ilvl w:val="0"/>
                <w:numId w:val="140"/>
              </w:numPr>
              <w:spacing w:after="20"/>
              <w:jc w:val="both"/>
            </w:pPr>
            <w:r>
              <w:rPr>
                <w:sz w:val="18"/>
                <w:szCs w:val="18"/>
              </w:rPr>
              <w:t>Páginas de Internet.</w:t>
            </w:r>
          </w:p>
          <w:p w14:paraId="23C46001" w14:textId="77777777" w:rsidR="00990B14" w:rsidRDefault="00000000">
            <w:pPr>
              <w:numPr>
                <w:ilvl w:val="0"/>
                <w:numId w:val="140"/>
              </w:numPr>
              <w:spacing w:after="20"/>
              <w:jc w:val="both"/>
            </w:pPr>
            <w:r>
              <w:rPr>
                <w:sz w:val="18"/>
                <w:szCs w:val="18"/>
              </w:rPr>
              <w:t xml:space="preserve">Raj, D. (s.f.). </w:t>
            </w:r>
            <w:r>
              <w:rPr>
                <w:i/>
                <w:iCs/>
                <w:sz w:val="18"/>
                <w:szCs w:val="18"/>
              </w:rPr>
              <w:t>Teoría del Muestreo</w:t>
            </w:r>
            <w:r>
              <w:rPr>
                <w:sz w:val="18"/>
                <w:szCs w:val="18"/>
              </w:rPr>
              <w:t>. México: Fondo de Cultura Económica.</w:t>
            </w:r>
          </w:p>
          <w:p w14:paraId="3FA3BCB0" w14:textId="77777777" w:rsidR="00990B14" w:rsidRDefault="00000000">
            <w:pPr>
              <w:numPr>
                <w:ilvl w:val="0"/>
                <w:numId w:val="140"/>
              </w:numPr>
              <w:spacing w:after="20"/>
              <w:jc w:val="both"/>
            </w:pPr>
            <w:r w:rsidRPr="00BD34F7">
              <w:rPr>
                <w:sz w:val="18"/>
                <w:szCs w:val="18"/>
                <w:lang w:val="en-US"/>
              </w:rPr>
              <w:t xml:space="preserve">Scheaffer, R. L. (s.f.). </w:t>
            </w:r>
            <w:r>
              <w:rPr>
                <w:i/>
                <w:iCs/>
                <w:sz w:val="18"/>
                <w:szCs w:val="18"/>
              </w:rPr>
              <w:t>Elementos de Muestreo</w:t>
            </w:r>
            <w:r>
              <w:rPr>
                <w:sz w:val="18"/>
                <w:szCs w:val="18"/>
              </w:rPr>
              <w:t>. México: Grupo Editorial Iberoamericana.</w:t>
            </w:r>
          </w:p>
          <w:p w14:paraId="078A79DE" w14:textId="77777777" w:rsidR="00990B14" w:rsidRDefault="00000000">
            <w:pPr>
              <w:numPr>
                <w:ilvl w:val="0"/>
                <w:numId w:val="140"/>
              </w:numPr>
              <w:spacing w:after="20"/>
              <w:jc w:val="both"/>
            </w:pPr>
            <w:r>
              <w:rPr>
                <w:sz w:val="18"/>
                <w:szCs w:val="18"/>
              </w:rPr>
              <w:t xml:space="preserve">Spiegel, M. R. (1995). </w:t>
            </w:r>
            <w:r>
              <w:rPr>
                <w:i/>
                <w:iCs/>
                <w:sz w:val="18"/>
                <w:szCs w:val="18"/>
              </w:rPr>
              <w:t>Teoría y Problemas de Estadística</w:t>
            </w:r>
            <w:r>
              <w:rPr>
                <w:sz w:val="18"/>
                <w:szCs w:val="18"/>
              </w:rPr>
              <w:t>. México: McGraw-Hill.</w:t>
            </w:r>
          </w:p>
          <w:p w14:paraId="6671E987" w14:textId="77777777" w:rsidR="00990B14" w:rsidRDefault="00000000">
            <w:pPr>
              <w:numPr>
                <w:ilvl w:val="0"/>
                <w:numId w:val="140"/>
              </w:numPr>
              <w:spacing w:after="20"/>
              <w:jc w:val="both"/>
            </w:pPr>
            <w:r>
              <w:rPr>
                <w:sz w:val="18"/>
                <w:szCs w:val="18"/>
              </w:rPr>
              <w:t>Tablas estadísticas: distribuciones binomial, Poisson, normal, chi cuadrado, t-Student y Fisher.</w:t>
            </w:r>
          </w:p>
          <w:p w14:paraId="3B18BC81" w14:textId="77777777" w:rsidR="00990B14" w:rsidRDefault="00000000">
            <w:pPr>
              <w:numPr>
                <w:ilvl w:val="0"/>
                <w:numId w:val="140"/>
              </w:numPr>
              <w:spacing w:after="20"/>
              <w:jc w:val="both"/>
            </w:pPr>
            <w:r>
              <w:rPr>
                <w:sz w:val="18"/>
                <w:szCs w:val="18"/>
              </w:rPr>
              <w:t xml:space="preserve">Wooldridge, J. M. (2010). </w:t>
            </w:r>
            <w:r>
              <w:rPr>
                <w:i/>
                <w:iCs/>
                <w:sz w:val="18"/>
                <w:szCs w:val="18"/>
              </w:rPr>
              <w:t>Introducción a la Econometría: un enfoque moderno</w:t>
            </w:r>
            <w:r>
              <w:rPr>
                <w:sz w:val="18"/>
                <w:szCs w:val="18"/>
              </w:rPr>
              <w:t>. 4ª ed., México: Cengage Learning.</w:t>
            </w:r>
          </w:p>
        </w:tc>
      </w:tr>
    </w:tbl>
    <w:p w14:paraId="2AB8D37E" w14:textId="77777777" w:rsidR="00990B14" w:rsidRDefault="00000000">
      <w:pPr>
        <w:pStyle w:val="TituloPlanAnio"/>
        <w:pageBreakBefore/>
        <w:spacing w:before="4800"/>
        <w:jc w:val="center"/>
        <w:outlineLvl w:val="2"/>
      </w:pPr>
      <w:bookmarkStart w:id="172" w:name="_Toc000000113"/>
      <w:r>
        <w:rPr>
          <w:b/>
          <w:bCs/>
          <w:sz w:val="40"/>
          <w:szCs w:val="40"/>
        </w:rPr>
        <w:t>Cuarto Año</w:t>
      </w:r>
      <w:bookmarkEnd w:id="172"/>
    </w:p>
    <w:p w14:paraId="0F96641D" w14:textId="77777777" w:rsidR="00990B14" w:rsidRDefault="00000000">
      <w:pPr>
        <w:pStyle w:val="TituloPlanAsignatura"/>
        <w:keepNext/>
        <w:pageBreakBefore/>
        <w:spacing w:after="120"/>
        <w:jc w:val="center"/>
        <w:outlineLvl w:val="2"/>
      </w:pPr>
      <w:bookmarkStart w:id="173" w:name="_Toc000000114"/>
      <w:r>
        <w:rPr>
          <w:b/>
          <w:bCs/>
          <w:sz w:val="24"/>
          <w:szCs w:val="24"/>
        </w:rPr>
        <w:t>CPA-401 Contabilidad Minera y Petrolera</w:t>
      </w:r>
      <w:bookmarkEnd w:id="173"/>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249"/>
        <w:gridCol w:w="1100"/>
        <w:gridCol w:w="149"/>
        <w:gridCol w:w="635"/>
        <w:gridCol w:w="615"/>
        <w:gridCol w:w="952"/>
        <w:gridCol w:w="298"/>
        <w:gridCol w:w="1250"/>
        <w:gridCol w:w="20"/>
        <w:gridCol w:w="385"/>
        <w:gridCol w:w="398"/>
        <w:gridCol w:w="447"/>
        <w:gridCol w:w="1907"/>
      </w:tblGrid>
      <w:tr w:rsidR="00990B14" w14:paraId="47B3C67B" w14:textId="77777777">
        <w:trPr>
          <w:cantSplit/>
          <w:jc w:val="center"/>
        </w:trPr>
        <w:tc>
          <w:tcPr>
            <w:tcW w:w="2349" w:type="dxa"/>
            <w:gridSpan w:val="2"/>
            <w:shd w:val="clear" w:color="auto" w:fill="4472C4"/>
            <w:vAlign w:val="center"/>
          </w:tcPr>
          <w:p w14:paraId="178B7020" w14:textId="77777777" w:rsidR="00990B14" w:rsidRDefault="00000000">
            <w:pPr>
              <w:keepNext/>
              <w:spacing w:before="20" w:after="20"/>
              <w:jc w:val="center"/>
            </w:pPr>
            <w:r>
              <w:rPr>
                <w:b/>
                <w:bCs/>
                <w:i/>
                <w:iCs/>
                <w:color w:val="FFFFFF"/>
                <w:sz w:val="18"/>
                <w:szCs w:val="18"/>
              </w:rPr>
              <w:t>Asignatura</w:t>
            </w:r>
          </w:p>
        </w:tc>
        <w:tc>
          <w:tcPr>
            <w:tcW w:w="2351" w:type="dxa"/>
            <w:gridSpan w:val="4"/>
            <w:shd w:val="clear" w:color="auto" w:fill="4472C4"/>
            <w:vAlign w:val="center"/>
          </w:tcPr>
          <w:p w14:paraId="5B5928F5" w14:textId="77777777" w:rsidR="00990B14" w:rsidRDefault="00000000">
            <w:pPr>
              <w:keepNext/>
              <w:spacing w:before="20" w:after="20"/>
              <w:jc w:val="center"/>
            </w:pPr>
            <w:r>
              <w:rPr>
                <w:b/>
                <w:bCs/>
                <w:i/>
                <w:iCs/>
                <w:color w:val="FFFFFF"/>
                <w:sz w:val="18"/>
                <w:szCs w:val="18"/>
              </w:rPr>
              <w:t>Sigla</w:t>
            </w:r>
          </w:p>
        </w:tc>
        <w:tc>
          <w:tcPr>
            <w:tcW w:w="2351" w:type="dxa"/>
            <w:gridSpan w:val="5"/>
            <w:shd w:val="clear" w:color="auto" w:fill="4472C4"/>
            <w:vAlign w:val="center"/>
          </w:tcPr>
          <w:p w14:paraId="068514BA" w14:textId="77777777" w:rsidR="00990B14" w:rsidRDefault="00000000">
            <w:pPr>
              <w:keepNext/>
              <w:spacing w:before="20" w:after="20"/>
              <w:jc w:val="center"/>
            </w:pPr>
            <w:r>
              <w:rPr>
                <w:b/>
                <w:bCs/>
                <w:i/>
                <w:iCs/>
                <w:color w:val="FFFFFF"/>
                <w:sz w:val="18"/>
                <w:szCs w:val="18"/>
              </w:rPr>
              <w:t>Nivel/Área</w:t>
            </w:r>
          </w:p>
        </w:tc>
        <w:tc>
          <w:tcPr>
            <w:tcW w:w="2354" w:type="dxa"/>
            <w:gridSpan w:val="2"/>
            <w:shd w:val="clear" w:color="auto" w:fill="4472C4"/>
            <w:vAlign w:val="center"/>
          </w:tcPr>
          <w:p w14:paraId="3A78CF41" w14:textId="77777777" w:rsidR="00990B14" w:rsidRDefault="00000000">
            <w:pPr>
              <w:keepNext/>
              <w:spacing w:before="20" w:after="20"/>
              <w:jc w:val="center"/>
            </w:pPr>
            <w:r>
              <w:rPr>
                <w:b/>
                <w:bCs/>
                <w:i/>
                <w:iCs/>
                <w:color w:val="FFFFFF"/>
                <w:sz w:val="18"/>
                <w:szCs w:val="18"/>
              </w:rPr>
              <w:t>Prerrequisito</w:t>
            </w:r>
          </w:p>
        </w:tc>
      </w:tr>
      <w:tr w:rsidR="00990B14" w14:paraId="5927B85A" w14:textId="77777777">
        <w:trPr>
          <w:cantSplit/>
          <w:jc w:val="center"/>
        </w:trPr>
        <w:tc>
          <w:tcPr>
            <w:tcW w:w="2349" w:type="dxa"/>
            <w:gridSpan w:val="2"/>
            <w:shd w:val="clear" w:color="auto" w:fill="D9E2F3"/>
            <w:vAlign w:val="center"/>
          </w:tcPr>
          <w:p w14:paraId="56D23CAA" w14:textId="77777777" w:rsidR="00990B14" w:rsidRDefault="00000000">
            <w:pPr>
              <w:spacing w:before="20" w:after="20"/>
              <w:jc w:val="center"/>
            </w:pPr>
            <w:r>
              <w:rPr>
                <w:b/>
                <w:bCs/>
                <w:i/>
                <w:iCs/>
                <w:sz w:val="18"/>
                <w:szCs w:val="18"/>
              </w:rPr>
              <w:t>Contabilidad Minera y Petrolera</w:t>
            </w:r>
          </w:p>
        </w:tc>
        <w:tc>
          <w:tcPr>
            <w:tcW w:w="2351" w:type="dxa"/>
            <w:gridSpan w:val="4"/>
            <w:shd w:val="clear" w:color="auto" w:fill="D9E2F3"/>
            <w:vAlign w:val="center"/>
          </w:tcPr>
          <w:p w14:paraId="5A6E39BF" w14:textId="77777777" w:rsidR="00990B14" w:rsidRDefault="00000000">
            <w:pPr>
              <w:spacing w:before="20" w:after="20"/>
              <w:jc w:val="center"/>
            </w:pPr>
            <w:r>
              <w:rPr>
                <w:b/>
                <w:bCs/>
                <w:i/>
                <w:iCs/>
                <w:sz w:val="18"/>
                <w:szCs w:val="18"/>
              </w:rPr>
              <w:t>CPA-401</w:t>
            </w:r>
          </w:p>
        </w:tc>
        <w:tc>
          <w:tcPr>
            <w:tcW w:w="2351" w:type="dxa"/>
            <w:gridSpan w:val="5"/>
            <w:shd w:val="clear" w:color="auto" w:fill="D9E2F3"/>
            <w:vAlign w:val="center"/>
          </w:tcPr>
          <w:p w14:paraId="51AA351E" w14:textId="77777777" w:rsidR="00990B14" w:rsidRDefault="00000000">
            <w:pPr>
              <w:spacing w:before="20" w:after="20"/>
              <w:jc w:val="center"/>
            </w:pPr>
            <w:r>
              <w:rPr>
                <w:b/>
                <w:bCs/>
                <w:i/>
                <w:iCs/>
                <w:sz w:val="18"/>
                <w:szCs w:val="18"/>
              </w:rPr>
              <w:t>Información Financiera</w:t>
            </w:r>
          </w:p>
        </w:tc>
        <w:tc>
          <w:tcPr>
            <w:tcW w:w="2354" w:type="dxa"/>
            <w:gridSpan w:val="2"/>
            <w:shd w:val="clear" w:color="auto" w:fill="D9E2F3"/>
            <w:vAlign w:val="center"/>
          </w:tcPr>
          <w:p w14:paraId="09C4ACD9" w14:textId="77777777" w:rsidR="00990B14" w:rsidRDefault="00000000">
            <w:pPr>
              <w:spacing w:before="20" w:after="20"/>
              <w:jc w:val="center"/>
            </w:pPr>
            <w:r>
              <w:rPr>
                <w:b/>
                <w:bCs/>
                <w:i/>
                <w:iCs/>
                <w:sz w:val="18"/>
                <w:szCs w:val="18"/>
              </w:rPr>
              <w:t>CPA-301, CPA-302</w:t>
            </w:r>
          </w:p>
        </w:tc>
      </w:tr>
      <w:tr w:rsidR="00990B14" w14:paraId="1C076418" w14:textId="77777777">
        <w:trPr>
          <w:cantSplit/>
          <w:jc w:val="center"/>
        </w:trPr>
        <w:tc>
          <w:tcPr>
            <w:tcW w:w="7498" w:type="dxa"/>
            <w:gridSpan w:val="12"/>
            <w:shd w:val="clear" w:color="auto" w:fill="4472C4"/>
            <w:vAlign w:val="center"/>
          </w:tcPr>
          <w:p w14:paraId="63D84563" w14:textId="77777777" w:rsidR="00990B14" w:rsidRDefault="00000000">
            <w:pPr>
              <w:keepNext/>
              <w:spacing w:before="20" w:after="20"/>
              <w:jc w:val="center"/>
            </w:pPr>
            <w:r>
              <w:rPr>
                <w:b/>
                <w:bCs/>
                <w:i/>
                <w:iCs/>
                <w:color w:val="FFFFFF"/>
                <w:sz w:val="18"/>
                <w:szCs w:val="18"/>
              </w:rPr>
              <w:t>Carga Horaria</w:t>
            </w:r>
          </w:p>
        </w:tc>
        <w:tc>
          <w:tcPr>
            <w:tcW w:w="1907" w:type="dxa"/>
            <w:shd w:val="clear" w:color="auto" w:fill="4472C4"/>
            <w:vAlign w:val="center"/>
          </w:tcPr>
          <w:p w14:paraId="7AEAC7FE" w14:textId="77777777" w:rsidR="00990B14" w:rsidRDefault="00000000">
            <w:pPr>
              <w:keepNext/>
              <w:spacing w:before="20" w:after="20"/>
              <w:jc w:val="center"/>
            </w:pPr>
            <w:r>
              <w:rPr>
                <w:b/>
                <w:bCs/>
                <w:i/>
                <w:iCs/>
                <w:color w:val="FFFFFF"/>
                <w:sz w:val="18"/>
                <w:szCs w:val="18"/>
              </w:rPr>
              <w:t>Créditos</w:t>
            </w:r>
          </w:p>
        </w:tc>
      </w:tr>
      <w:tr w:rsidR="00990B14" w14:paraId="65C287FC" w14:textId="77777777">
        <w:trPr>
          <w:cantSplit/>
          <w:jc w:val="center"/>
        </w:trPr>
        <w:tc>
          <w:tcPr>
            <w:tcW w:w="1249" w:type="dxa"/>
            <w:shd w:val="clear" w:color="auto" w:fill="4472C4"/>
            <w:vAlign w:val="center"/>
          </w:tcPr>
          <w:p w14:paraId="6297BA45" w14:textId="77777777" w:rsidR="00990B14" w:rsidRDefault="00000000">
            <w:pPr>
              <w:keepNext/>
              <w:spacing w:before="20" w:after="20"/>
              <w:jc w:val="center"/>
            </w:pPr>
            <w:r>
              <w:rPr>
                <w:b/>
                <w:bCs/>
                <w:i/>
                <w:iCs/>
                <w:color w:val="FFFFFF"/>
                <w:sz w:val="18"/>
                <w:szCs w:val="18"/>
              </w:rPr>
              <w:t>HP</w:t>
            </w:r>
          </w:p>
        </w:tc>
        <w:tc>
          <w:tcPr>
            <w:tcW w:w="1249" w:type="dxa"/>
            <w:gridSpan w:val="2"/>
            <w:shd w:val="clear" w:color="auto" w:fill="4472C4"/>
            <w:vAlign w:val="center"/>
          </w:tcPr>
          <w:p w14:paraId="71D1C2D4" w14:textId="77777777" w:rsidR="00990B14" w:rsidRDefault="00000000">
            <w:pPr>
              <w:keepNext/>
              <w:spacing w:before="20" w:after="20"/>
              <w:jc w:val="center"/>
            </w:pPr>
            <w:r>
              <w:rPr>
                <w:b/>
                <w:bCs/>
                <w:i/>
                <w:iCs/>
                <w:color w:val="FFFFFF"/>
                <w:sz w:val="18"/>
                <w:szCs w:val="18"/>
              </w:rPr>
              <w:t>HAA</w:t>
            </w:r>
          </w:p>
        </w:tc>
        <w:tc>
          <w:tcPr>
            <w:tcW w:w="1250" w:type="dxa"/>
            <w:gridSpan w:val="2"/>
            <w:shd w:val="clear" w:color="auto" w:fill="4472C4"/>
            <w:vAlign w:val="center"/>
          </w:tcPr>
          <w:p w14:paraId="172C3016" w14:textId="77777777" w:rsidR="00990B14" w:rsidRDefault="00000000">
            <w:pPr>
              <w:keepNext/>
              <w:spacing w:before="20" w:after="20"/>
              <w:jc w:val="center"/>
            </w:pPr>
            <w:r>
              <w:rPr>
                <w:b/>
                <w:bCs/>
                <w:i/>
                <w:iCs/>
                <w:color w:val="FFFFFF"/>
                <w:sz w:val="18"/>
                <w:szCs w:val="18"/>
              </w:rPr>
              <w:t>HTG</w:t>
            </w:r>
          </w:p>
        </w:tc>
        <w:tc>
          <w:tcPr>
            <w:tcW w:w="1250" w:type="dxa"/>
            <w:gridSpan w:val="2"/>
            <w:shd w:val="clear" w:color="auto" w:fill="4472C4"/>
            <w:vAlign w:val="center"/>
          </w:tcPr>
          <w:p w14:paraId="153D7338" w14:textId="77777777" w:rsidR="00990B14" w:rsidRDefault="00000000">
            <w:pPr>
              <w:keepNext/>
              <w:spacing w:before="20" w:after="20"/>
              <w:jc w:val="center"/>
            </w:pPr>
            <w:r>
              <w:rPr>
                <w:b/>
                <w:bCs/>
                <w:i/>
                <w:iCs/>
                <w:color w:val="FFFFFF"/>
                <w:sz w:val="18"/>
                <w:szCs w:val="18"/>
              </w:rPr>
              <w:t>HIP</w:t>
            </w:r>
          </w:p>
        </w:tc>
        <w:tc>
          <w:tcPr>
            <w:tcW w:w="1250" w:type="dxa"/>
            <w:shd w:val="clear" w:color="auto" w:fill="4472C4"/>
            <w:vAlign w:val="center"/>
          </w:tcPr>
          <w:p w14:paraId="7179D9CC" w14:textId="77777777" w:rsidR="00990B14" w:rsidRDefault="00000000">
            <w:pPr>
              <w:keepNext/>
              <w:spacing w:before="20" w:after="20"/>
              <w:jc w:val="center"/>
            </w:pPr>
            <w:r>
              <w:rPr>
                <w:b/>
                <w:bCs/>
                <w:i/>
                <w:iCs/>
                <w:color w:val="FFFFFF"/>
                <w:sz w:val="18"/>
                <w:szCs w:val="18"/>
              </w:rPr>
              <w:t>HE</w:t>
            </w:r>
          </w:p>
        </w:tc>
        <w:tc>
          <w:tcPr>
            <w:tcW w:w="1250" w:type="dxa"/>
            <w:gridSpan w:val="4"/>
            <w:shd w:val="clear" w:color="auto" w:fill="4472C4"/>
            <w:vAlign w:val="center"/>
          </w:tcPr>
          <w:p w14:paraId="6AA558A0" w14:textId="77777777" w:rsidR="00990B14" w:rsidRDefault="00000000">
            <w:pPr>
              <w:keepNext/>
              <w:spacing w:before="20" w:after="20"/>
              <w:jc w:val="center"/>
            </w:pPr>
            <w:r>
              <w:rPr>
                <w:b/>
                <w:bCs/>
                <w:i/>
                <w:iCs/>
                <w:color w:val="FFFFFF"/>
                <w:sz w:val="18"/>
                <w:szCs w:val="18"/>
              </w:rPr>
              <w:t>TOTAL</w:t>
            </w:r>
          </w:p>
        </w:tc>
        <w:tc>
          <w:tcPr>
            <w:tcW w:w="1907" w:type="dxa"/>
            <w:vMerge w:val="restart"/>
            <w:shd w:val="clear" w:color="auto" w:fill="D9E2F3"/>
            <w:vAlign w:val="center"/>
          </w:tcPr>
          <w:p w14:paraId="6445D328" w14:textId="77777777" w:rsidR="00990B14" w:rsidRDefault="00000000">
            <w:pPr>
              <w:spacing w:before="20" w:after="20"/>
              <w:jc w:val="center"/>
            </w:pPr>
            <w:r>
              <w:rPr>
                <w:sz w:val="18"/>
                <w:szCs w:val="18"/>
              </w:rPr>
              <w:t>7</w:t>
            </w:r>
          </w:p>
        </w:tc>
      </w:tr>
      <w:tr w:rsidR="00990B14" w14:paraId="31DDABD0" w14:textId="77777777">
        <w:trPr>
          <w:cantSplit/>
          <w:jc w:val="center"/>
        </w:trPr>
        <w:tc>
          <w:tcPr>
            <w:tcW w:w="1249" w:type="dxa"/>
            <w:shd w:val="clear" w:color="auto" w:fill="D9E2F3"/>
            <w:vAlign w:val="center"/>
          </w:tcPr>
          <w:p w14:paraId="72E7C24F" w14:textId="77777777" w:rsidR="00990B14" w:rsidRDefault="00000000">
            <w:pPr>
              <w:spacing w:before="20" w:after="20"/>
              <w:jc w:val="center"/>
            </w:pPr>
            <w:r>
              <w:rPr>
                <w:sz w:val="18"/>
                <w:szCs w:val="18"/>
              </w:rPr>
              <w:t>160</w:t>
            </w:r>
          </w:p>
        </w:tc>
        <w:tc>
          <w:tcPr>
            <w:tcW w:w="1249" w:type="dxa"/>
            <w:gridSpan w:val="2"/>
            <w:shd w:val="clear" w:color="auto" w:fill="D9E2F3"/>
            <w:vAlign w:val="center"/>
          </w:tcPr>
          <w:p w14:paraId="401642E4" w14:textId="77777777" w:rsidR="00990B14" w:rsidRDefault="00000000">
            <w:pPr>
              <w:spacing w:before="20" w:after="20"/>
              <w:jc w:val="center"/>
            </w:pPr>
            <w:r>
              <w:rPr>
                <w:sz w:val="18"/>
                <w:szCs w:val="18"/>
              </w:rPr>
              <w:t>13</w:t>
            </w:r>
          </w:p>
        </w:tc>
        <w:tc>
          <w:tcPr>
            <w:tcW w:w="1250" w:type="dxa"/>
            <w:gridSpan w:val="2"/>
            <w:shd w:val="clear" w:color="auto" w:fill="D9E2F3"/>
            <w:vAlign w:val="center"/>
          </w:tcPr>
          <w:p w14:paraId="3110F7C6" w14:textId="77777777" w:rsidR="00990B14" w:rsidRDefault="00000000">
            <w:pPr>
              <w:spacing w:before="20" w:after="20"/>
              <w:jc w:val="center"/>
            </w:pPr>
            <w:r>
              <w:rPr>
                <w:sz w:val="18"/>
                <w:szCs w:val="18"/>
              </w:rPr>
              <w:t>19</w:t>
            </w:r>
          </w:p>
        </w:tc>
        <w:tc>
          <w:tcPr>
            <w:tcW w:w="1250" w:type="dxa"/>
            <w:gridSpan w:val="2"/>
            <w:shd w:val="clear" w:color="auto" w:fill="D9E2F3"/>
            <w:vAlign w:val="center"/>
          </w:tcPr>
          <w:p w14:paraId="72FE43B0" w14:textId="77777777" w:rsidR="00990B14" w:rsidRDefault="00000000">
            <w:pPr>
              <w:spacing w:before="20" w:after="20"/>
              <w:jc w:val="center"/>
            </w:pPr>
            <w:r>
              <w:rPr>
                <w:sz w:val="18"/>
                <w:szCs w:val="18"/>
              </w:rPr>
              <w:t>6</w:t>
            </w:r>
          </w:p>
        </w:tc>
        <w:tc>
          <w:tcPr>
            <w:tcW w:w="1250" w:type="dxa"/>
            <w:shd w:val="clear" w:color="auto" w:fill="D9E2F3"/>
            <w:vAlign w:val="center"/>
          </w:tcPr>
          <w:p w14:paraId="1F77B232" w14:textId="77777777" w:rsidR="00990B14" w:rsidRDefault="00000000">
            <w:pPr>
              <w:spacing w:before="20" w:after="20"/>
              <w:jc w:val="center"/>
            </w:pPr>
            <w:r>
              <w:rPr>
                <w:sz w:val="18"/>
                <w:szCs w:val="18"/>
              </w:rPr>
              <w:t>12</w:t>
            </w:r>
          </w:p>
        </w:tc>
        <w:tc>
          <w:tcPr>
            <w:tcW w:w="1250" w:type="dxa"/>
            <w:gridSpan w:val="4"/>
            <w:shd w:val="clear" w:color="auto" w:fill="D9E2F3"/>
            <w:vAlign w:val="center"/>
          </w:tcPr>
          <w:p w14:paraId="4DFBFA5C" w14:textId="77777777" w:rsidR="00990B14" w:rsidRDefault="00000000">
            <w:pPr>
              <w:spacing w:before="20" w:after="20"/>
              <w:jc w:val="center"/>
            </w:pPr>
            <w:r>
              <w:rPr>
                <w:sz w:val="18"/>
                <w:szCs w:val="18"/>
              </w:rPr>
              <w:t>210</w:t>
            </w:r>
          </w:p>
        </w:tc>
        <w:tc>
          <w:tcPr>
            <w:tcW w:w="1907" w:type="dxa"/>
            <w:vMerge/>
            <w:shd w:val="clear" w:color="auto" w:fill="D9E2F3"/>
            <w:vAlign w:val="center"/>
          </w:tcPr>
          <w:p w14:paraId="56C07F3A" w14:textId="77777777" w:rsidR="00990B14" w:rsidRDefault="00990B14">
            <w:pPr>
              <w:spacing w:before="20" w:after="20"/>
            </w:pPr>
          </w:p>
        </w:tc>
      </w:tr>
      <w:tr w:rsidR="00990B14" w14:paraId="646A88E0" w14:textId="77777777">
        <w:trPr>
          <w:cantSplit/>
          <w:jc w:val="center"/>
        </w:trPr>
        <w:tc>
          <w:tcPr>
            <w:tcW w:w="9405" w:type="dxa"/>
            <w:gridSpan w:val="13"/>
            <w:shd w:val="clear" w:color="auto" w:fill="4472C4"/>
            <w:vAlign w:val="center"/>
          </w:tcPr>
          <w:p w14:paraId="201518F1" w14:textId="77777777" w:rsidR="00990B14" w:rsidRDefault="00000000">
            <w:pPr>
              <w:keepNext/>
              <w:spacing w:before="20" w:after="20"/>
              <w:jc w:val="center"/>
            </w:pPr>
            <w:r>
              <w:rPr>
                <w:b/>
                <w:bCs/>
                <w:i/>
                <w:iCs/>
                <w:color w:val="FFFFFF"/>
                <w:sz w:val="18"/>
                <w:szCs w:val="18"/>
              </w:rPr>
              <w:t>Unidad de Competencia</w:t>
            </w:r>
          </w:p>
        </w:tc>
      </w:tr>
      <w:tr w:rsidR="00990B14" w14:paraId="57507A96" w14:textId="77777777">
        <w:trPr>
          <w:cantSplit/>
          <w:jc w:val="center"/>
        </w:trPr>
        <w:tc>
          <w:tcPr>
            <w:tcW w:w="9405" w:type="dxa"/>
            <w:gridSpan w:val="13"/>
            <w:shd w:val="clear" w:color="auto" w:fill="D9E2F3"/>
            <w:vAlign w:val="center"/>
          </w:tcPr>
          <w:p w14:paraId="6611E379" w14:textId="77777777" w:rsidR="00990B14" w:rsidRDefault="00000000">
            <w:pPr>
              <w:spacing w:before="20" w:after="20"/>
              <w:jc w:val="both"/>
            </w:pPr>
            <w:r>
              <w:rPr>
                <w:sz w:val="18"/>
                <w:szCs w:val="18"/>
              </w:rPr>
              <w:t>Elabora los estados financieros de las empresas mineras y petroleras conforme a las normas de contabilidad y las disposiciones legales vigentes en Bolivia, aplicando los fundamentos contables de ambas industrias, registrando cada una de las operaciones que intervienen en las mismas, determinando de manera eficiente los costos mineros y petroleros para una toma de decisiones oportuna, sistemática, con sentido crítico, objetivo y atención al desempeño ambiental y social de las industrias extractivas.</w:t>
            </w:r>
          </w:p>
        </w:tc>
      </w:tr>
      <w:tr w:rsidR="00990B14" w14:paraId="378E4FAD" w14:textId="77777777">
        <w:trPr>
          <w:cantSplit/>
          <w:jc w:val="center"/>
        </w:trPr>
        <w:tc>
          <w:tcPr>
            <w:tcW w:w="9405" w:type="dxa"/>
            <w:gridSpan w:val="13"/>
            <w:shd w:val="clear" w:color="auto" w:fill="D9E2F3"/>
            <w:vAlign w:val="center"/>
          </w:tcPr>
          <w:p w14:paraId="457BC055" w14:textId="77777777" w:rsidR="00990B14" w:rsidRDefault="00000000">
            <w:pPr>
              <w:spacing w:before="20" w:after="20"/>
              <w:jc w:val="both"/>
            </w:pPr>
            <w:r>
              <w:rPr>
                <w:b/>
                <w:bCs/>
                <w:i/>
                <w:iCs/>
                <w:sz w:val="18"/>
                <w:szCs w:val="18"/>
              </w:rPr>
              <w:t xml:space="preserve">Elemento de competencia 1: </w:t>
            </w:r>
            <w:r>
              <w:rPr>
                <w:sz w:val="18"/>
                <w:szCs w:val="18"/>
              </w:rPr>
              <w:t>Explica los fundamentos de la industria minera y su organización contable, relacionando el marco legal vigente con la estructura administrativa, funcional y contable de las empresas mineras bolivianas.</w:t>
            </w:r>
          </w:p>
        </w:tc>
      </w:tr>
      <w:tr w:rsidR="00990B14" w14:paraId="445E0E3B" w14:textId="77777777">
        <w:trPr>
          <w:cantSplit/>
          <w:jc w:val="center"/>
        </w:trPr>
        <w:tc>
          <w:tcPr>
            <w:tcW w:w="3133" w:type="dxa"/>
            <w:gridSpan w:val="4"/>
            <w:shd w:val="clear" w:color="auto" w:fill="4472C4"/>
            <w:vAlign w:val="center"/>
          </w:tcPr>
          <w:p w14:paraId="69936EAC"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5809999E"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03573A23" w14:textId="77777777" w:rsidR="00990B14" w:rsidRDefault="00000000">
            <w:pPr>
              <w:keepNext/>
              <w:spacing w:before="20" w:after="20"/>
              <w:jc w:val="center"/>
            </w:pPr>
            <w:r>
              <w:rPr>
                <w:b/>
                <w:bCs/>
                <w:i/>
                <w:iCs/>
                <w:color w:val="FFFFFF"/>
                <w:sz w:val="18"/>
                <w:szCs w:val="18"/>
              </w:rPr>
              <w:t>Evidencias de producto</w:t>
            </w:r>
          </w:p>
        </w:tc>
      </w:tr>
      <w:tr w:rsidR="00990B14" w14:paraId="73962D25" w14:textId="77777777">
        <w:trPr>
          <w:cantSplit/>
          <w:jc w:val="center"/>
        </w:trPr>
        <w:tc>
          <w:tcPr>
            <w:tcW w:w="3133" w:type="dxa"/>
            <w:gridSpan w:val="4"/>
            <w:vMerge w:val="restart"/>
            <w:shd w:val="clear" w:color="auto" w:fill="D9E2F3"/>
            <w:vAlign w:val="center"/>
          </w:tcPr>
          <w:p w14:paraId="6754CC24" w14:textId="77777777" w:rsidR="00990B14" w:rsidRDefault="00000000">
            <w:pPr>
              <w:spacing w:before="20" w:after="20"/>
              <w:jc w:val="both"/>
            </w:pPr>
            <w:r>
              <w:rPr>
                <w:sz w:val="18"/>
                <w:szCs w:val="18"/>
              </w:rPr>
              <w:t>1. Analiza la naturaleza de la industria minera boliviana, diferenciando la organización y el proceso productivo de esta industria respecto de otras.</w:t>
            </w:r>
          </w:p>
        </w:tc>
        <w:tc>
          <w:tcPr>
            <w:tcW w:w="3135" w:type="dxa"/>
            <w:gridSpan w:val="5"/>
            <w:shd w:val="clear" w:color="auto" w:fill="D9E2F3"/>
            <w:vAlign w:val="center"/>
          </w:tcPr>
          <w:p w14:paraId="3B2871B2" w14:textId="77777777" w:rsidR="00990B14" w:rsidRDefault="00000000">
            <w:pPr>
              <w:spacing w:before="20" w:after="20"/>
              <w:jc w:val="both"/>
            </w:pPr>
            <w:r>
              <w:rPr>
                <w:sz w:val="18"/>
                <w:szCs w:val="18"/>
              </w:rPr>
              <w:t>1.1 Expone en equipo la importancia de la industria minera a lo largo de la historia.</w:t>
            </w:r>
          </w:p>
        </w:tc>
        <w:tc>
          <w:tcPr>
            <w:tcW w:w="3137" w:type="dxa"/>
            <w:gridSpan w:val="4"/>
            <w:shd w:val="clear" w:color="auto" w:fill="D9E2F3"/>
            <w:vAlign w:val="center"/>
          </w:tcPr>
          <w:p w14:paraId="199E93BB" w14:textId="77777777" w:rsidR="00990B14" w:rsidRDefault="00000000">
            <w:pPr>
              <w:spacing w:before="20" w:after="20"/>
              <w:jc w:val="both"/>
            </w:pPr>
            <w:r>
              <w:rPr>
                <w:b/>
                <w:bCs/>
                <w:sz w:val="18"/>
                <w:szCs w:val="18"/>
              </w:rPr>
              <w:t xml:space="preserve">Producto 1: </w:t>
            </w:r>
            <w:r>
              <w:rPr>
                <w:sz w:val="18"/>
                <w:szCs w:val="18"/>
              </w:rPr>
              <w:t>Mapas mentales de la historia de la minería en Bolivia.</w:t>
            </w:r>
          </w:p>
        </w:tc>
      </w:tr>
      <w:tr w:rsidR="00990B14" w14:paraId="655E0826" w14:textId="77777777">
        <w:trPr>
          <w:cantSplit/>
          <w:jc w:val="center"/>
        </w:trPr>
        <w:tc>
          <w:tcPr>
            <w:tcW w:w="3133" w:type="dxa"/>
            <w:gridSpan w:val="4"/>
            <w:vMerge/>
            <w:shd w:val="clear" w:color="auto" w:fill="D9E2F3"/>
            <w:vAlign w:val="center"/>
          </w:tcPr>
          <w:p w14:paraId="634ED7D4" w14:textId="77777777" w:rsidR="00990B14" w:rsidRDefault="00990B14">
            <w:pPr>
              <w:spacing w:before="20" w:after="20"/>
            </w:pPr>
          </w:p>
        </w:tc>
        <w:tc>
          <w:tcPr>
            <w:tcW w:w="3135" w:type="dxa"/>
            <w:gridSpan w:val="5"/>
            <w:shd w:val="clear" w:color="auto" w:fill="D9E2F3"/>
            <w:vAlign w:val="center"/>
          </w:tcPr>
          <w:p w14:paraId="62BAD5BA" w14:textId="77777777" w:rsidR="00990B14" w:rsidRDefault="00000000">
            <w:pPr>
              <w:spacing w:before="20" w:after="20"/>
              <w:jc w:val="both"/>
            </w:pPr>
            <w:r>
              <w:rPr>
                <w:sz w:val="18"/>
                <w:szCs w:val="18"/>
              </w:rPr>
              <w:t>1.2 Describe de manera individual, los tipos de empresas mineras y cómo se encuentran organizadas de acuerdo a su proceso productivo.</w:t>
            </w:r>
          </w:p>
        </w:tc>
        <w:tc>
          <w:tcPr>
            <w:tcW w:w="3137" w:type="dxa"/>
            <w:gridSpan w:val="4"/>
            <w:shd w:val="clear" w:color="auto" w:fill="D9E2F3"/>
            <w:vAlign w:val="center"/>
          </w:tcPr>
          <w:p w14:paraId="34A6281F" w14:textId="77777777" w:rsidR="00990B14" w:rsidRDefault="00000000">
            <w:pPr>
              <w:spacing w:before="20" w:after="20"/>
              <w:jc w:val="both"/>
            </w:pPr>
            <w:r>
              <w:rPr>
                <w:b/>
                <w:bCs/>
                <w:sz w:val="18"/>
                <w:szCs w:val="18"/>
              </w:rPr>
              <w:t xml:space="preserve">Producto 2: </w:t>
            </w:r>
            <w:r>
              <w:rPr>
                <w:sz w:val="18"/>
                <w:szCs w:val="18"/>
              </w:rPr>
              <w:t>Trabajo de investigación sobre qué empresas mineras se tiene en Bolivia y su tipo de organización.</w:t>
            </w:r>
          </w:p>
        </w:tc>
      </w:tr>
      <w:tr w:rsidR="00990B14" w14:paraId="73FF5816" w14:textId="77777777">
        <w:trPr>
          <w:cantSplit/>
          <w:jc w:val="center"/>
        </w:trPr>
        <w:tc>
          <w:tcPr>
            <w:tcW w:w="3133" w:type="dxa"/>
            <w:gridSpan w:val="4"/>
            <w:vMerge w:val="restart"/>
            <w:shd w:val="clear" w:color="auto" w:fill="D9E2F3"/>
            <w:vAlign w:val="center"/>
          </w:tcPr>
          <w:p w14:paraId="636B804E" w14:textId="77777777" w:rsidR="00990B14" w:rsidRDefault="00000000">
            <w:pPr>
              <w:spacing w:before="20" w:after="20"/>
              <w:jc w:val="both"/>
            </w:pPr>
            <w:r>
              <w:rPr>
                <w:sz w:val="18"/>
                <w:szCs w:val="18"/>
              </w:rPr>
              <w:t>2. Comprende el proceso contable de cada una de las fases de una empresa minera comparando las operaciones que intervienen en cada una de estas.</w:t>
            </w:r>
          </w:p>
        </w:tc>
        <w:tc>
          <w:tcPr>
            <w:tcW w:w="3135" w:type="dxa"/>
            <w:gridSpan w:val="5"/>
            <w:shd w:val="clear" w:color="auto" w:fill="D9E2F3"/>
            <w:vAlign w:val="center"/>
          </w:tcPr>
          <w:p w14:paraId="2E261CC2" w14:textId="77777777" w:rsidR="00990B14" w:rsidRDefault="00000000">
            <w:pPr>
              <w:spacing w:before="20" w:after="20"/>
              <w:jc w:val="both"/>
            </w:pPr>
            <w:r>
              <w:rPr>
                <w:sz w:val="18"/>
                <w:szCs w:val="18"/>
              </w:rPr>
              <w:t>2.1 Explica en aula la importancia de registrar contablemente las operaciones mineras y qué tipo de decisiones se toman a nivel gerencial.</w:t>
            </w:r>
          </w:p>
        </w:tc>
        <w:tc>
          <w:tcPr>
            <w:tcW w:w="3137" w:type="dxa"/>
            <w:gridSpan w:val="4"/>
            <w:shd w:val="clear" w:color="auto" w:fill="D9E2F3"/>
            <w:vAlign w:val="center"/>
          </w:tcPr>
          <w:p w14:paraId="072A11F3" w14:textId="77777777" w:rsidR="00990B14" w:rsidRDefault="00000000">
            <w:pPr>
              <w:spacing w:before="20" w:after="20"/>
              <w:jc w:val="both"/>
            </w:pPr>
            <w:r>
              <w:rPr>
                <w:b/>
                <w:bCs/>
                <w:sz w:val="18"/>
                <w:szCs w:val="18"/>
              </w:rPr>
              <w:t xml:space="preserve">Producto 3: </w:t>
            </w:r>
            <w:r>
              <w:rPr>
                <w:sz w:val="18"/>
                <w:szCs w:val="18"/>
              </w:rPr>
              <w:t>Cuestionario con preguntas acerca de la definición de contabilidad minera y su importancia en la toma de decisiones.</w:t>
            </w:r>
          </w:p>
        </w:tc>
      </w:tr>
      <w:tr w:rsidR="00990B14" w14:paraId="7749BCF1" w14:textId="77777777">
        <w:trPr>
          <w:cantSplit/>
          <w:jc w:val="center"/>
        </w:trPr>
        <w:tc>
          <w:tcPr>
            <w:tcW w:w="3133" w:type="dxa"/>
            <w:gridSpan w:val="4"/>
            <w:vMerge/>
            <w:shd w:val="clear" w:color="auto" w:fill="D9E2F3"/>
            <w:vAlign w:val="center"/>
          </w:tcPr>
          <w:p w14:paraId="25E348C4" w14:textId="77777777" w:rsidR="00990B14" w:rsidRDefault="00990B14">
            <w:pPr>
              <w:spacing w:before="20" w:after="20"/>
            </w:pPr>
          </w:p>
        </w:tc>
        <w:tc>
          <w:tcPr>
            <w:tcW w:w="3135" w:type="dxa"/>
            <w:gridSpan w:val="5"/>
            <w:shd w:val="clear" w:color="auto" w:fill="D9E2F3"/>
            <w:vAlign w:val="center"/>
          </w:tcPr>
          <w:p w14:paraId="1B6B5BF3" w14:textId="77777777" w:rsidR="00990B14" w:rsidRDefault="00000000">
            <w:pPr>
              <w:spacing w:before="20" w:after="20"/>
              <w:jc w:val="both"/>
            </w:pPr>
            <w:r>
              <w:rPr>
                <w:sz w:val="18"/>
                <w:szCs w:val="18"/>
              </w:rPr>
              <w:t>2.2 Resume en equipo, cuáles son las fases del ciclo minero así como sus características.</w:t>
            </w:r>
          </w:p>
        </w:tc>
        <w:tc>
          <w:tcPr>
            <w:tcW w:w="3137" w:type="dxa"/>
            <w:gridSpan w:val="4"/>
            <w:shd w:val="clear" w:color="auto" w:fill="D9E2F3"/>
            <w:vAlign w:val="center"/>
          </w:tcPr>
          <w:p w14:paraId="00B33D77" w14:textId="77777777" w:rsidR="00990B14" w:rsidRDefault="00000000">
            <w:pPr>
              <w:spacing w:before="20" w:after="20"/>
              <w:jc w:val="both"/>
            </w:pPr>
            <w:r>
              <w:rPr>
                <w:b/>
                <w:bCs/>
                <w:sz w:val="18"/>
                <w:szCs w:val="18"/>
              </w:rPr>
              <w:t xml:space="preserve">Producto 4: </w:t>
            </w:r>
            <w:r>
              <w:rPr>
                <w:sz w:val="18"/>
                <w:szCs w:val="18"/>
              </w:rPr>
              <w:t>Diagrama de llaves de las actividades mineras que describa sus características de lo general a lo específico.</w:t>
            </w:r>
          </w:p>
        </w:tc>
      </w:tr>
      <w:tr w:rsidR="00990B14" w14:paraId="2330CC21" w14:textId="77777777">
        <w:trPr>
          <w:cantSplit/>
          <w:jc w:val="center"/>
        </w:trPr>
        <w:tc>
          <w:tcPr>
            <w:tcW w:w="9405" w:type="dxa"/>
            <w:gridSpan w:val="13"/>
            <w:shd w:val="clear" w:color="auto" w:fill="4472C4"/>
            <w:vAlign w:val="center"/>
          </w:tcPr>
          <w:p w14:paraId="62E26B07" w14:textId="77777777" w:rsidR="00990B14" w:rsidRDefault="00000000">
            <w:pPr>
              <w:keepNext/>
              <w:spacing w:before="20" w:after="20"/>
              <w:jc w:val="center"/>
            </w:pPr>
            <w:r>
              <w:rPr>
                <w:b/>
                <w:bCs/>
                <w:i/>
                <w:iCs/>
                <w:color w:val="FFFFFF"/>
                <w:sz w:val="18"/>
                <w:szCs w:val="18"/>
              </w:rPr>
              <w:t>Evidencias de conocimiento</w:t>
            </w:r>
          </w:p>
        </w:tc>
      </w:tr>
      <w:tr w:rsidR="00990B14" w14:paraId="410BEE0D" w14:textId="77777777">
        <w:trPr>
          <w:cantSplit/>
          <w:jc w:val="center"/>
        </w:trPr>
        <w:tc>
          <w:tcPr>
            <w:tcW w:w="2349" w:type="dxa"/>
            <w:gridSpan w:val="2"/>
            <w:shd w:val="clear" w:color="auto" w:fill="4472C4"/>
            <w:vAlign w:val="center"/>
          </w:tcPr>
          <w:p w14:paraId="2213C6A3"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6BB81AFA" w14:textId="77777777" w:rsidR="00990B14" w:rsidRDefault="00000000">
            <w:pPr>
              <w:keepNext/>
              <w:spacing w:before="20" w:after="20"/>
              <w:jc w:val="both"/>
            </w:pPr>
            <w:r>
              <w:rPr>
                <w:b/>
                <w:bCs/>
                <w:i/>
                <w:iCs/>
                <w:color w:val="FFFFFF"/>
                <w:sz w:val="18"/>
                <w:szCs w:val="18"/>
              </w:rPr>
              <w:t>Contenidos</w:t>
            </w:r>
          </w:p>
          <w:p w14:paraId="10EFD8C4"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5C5B9910" w14:textId="77777777" w:rsidR="00990B14" w:rsidRDefault="00000000">
            <w:pPr>
              <w:keepNext/>
              <w:spacing w:before="20" w:after="20"/>
              <w:jc w:val="center"/>
            </w:pPr>
            <w:r>
              <w:rPr>
                <w:b/>
                <w:bCs/>
                <w:i/>
                <w:iCs/>
                <w:color w:val="FFFFFF"/>
                <w:sz w:val="18"/>
                <w:szCs w:val="18"/>
              </w:rPr>
              <w:t>Conocimientos circunstanciales</w:t>
            </w:r>
          </w:p>
        </w:tc>
      </w:tr>
      <w:tr w:rsidR="00990B14" w14:paraId="356152D1" w14:textId="77777777">
        <w:trPr>
          <w:jc w:val="center"/>
        </w:trPr>
        <w:tc>
          <w:tcPr>
            <w:tcW w:w="2349" w:type="dxa"/>
            <w:gridSpan w:val="2"/>
            <w:shd w:val="clear" w:color="auto" w:fill="D9E2F3"/>
          </w:tcPr>
          <w:p w14:paraId="01B85081" w14:textId="77777777" w:rsidR="00990B14" w:rsidRDefault="00000000">
            <w:pPr>
              <w:spacing w:before="20" w:after="40"/>
              <w:jc w:val="both"/>
            </w:pPr>
            <w:r>
              <w:rPr>
                <w:sz w:val="18"/>
                <w:szCs w:val="18"/>
              </w:rPr>
              <w:t>Tema 1: La industria minera</w:t>
            </w:r>
          </w:p>
          <w:p w14:paraId="16F507EF" w14:textId="77777777" w:rsidR="00990B14" w:rsidRDefault="00000000">
            <w:pPr>
              <w:spacing w:before="20" w:after="40"/>
              <w:jc w:val="both"/>
            </w:pPr>
            <w:r>
              <w:rPr>
                <w:sz w:val="18"/>
                <w:szCs w:val="18"/>
              </w:rPr>
              <w:t>Tema 2: Organización y procedimientos de contabilidad en las empresas mineras.</w:t>
            </w:r>
          </w:p>
          <w:p w14:paraId="513E0F9A" w14:textId="77777777" w:rsidR="00990B14" w:rsidRDefault="00000000">
            <w:pPr>
              <w:spacing w:before="20" w:after="40"/>
              <w:jc w:val="both"/>
            </w:pPr>
            <w:r>
              <w:rPr>
                <w:sz w:val="18"/>
                <w:szCs w:val="18"/>
              </w:rPr>
              <w:t>Tema 3: Contabilidad de las empresas mineras</w:t>
            </w:r>
          </w:p>
        </w:tc>
        <w:tc>
          <w:tcPr>
            <w:tcW w:w="4304" w:type="dxa"/>
            <w:gridSpan w:val="8"/>
            <w:shd w:val="clear" w:color="auto" w:fill="D9E2F3"/>
          </w:tcPr>
          <w:p w14:paraId="54E96521" w14:textId="77777777" w:rsidR="00990B14" w:rsidRDefault="00000000">
            <w:pPr>
              <w:spacing w:after="40"/>
              <w:jc w:val="both"/>
            </w:pPr>
            <w:r>
              <w:rPr>
                <w:sz w:val="18"/>
                <w:szCs w:val="18"/>
              </w:rPr>
              <w:t>Introducción; Naturaleza de la industria minera y su desarrollo en el mundo; reseña histórica e importancia de la minería en Bolivia. (C)</w:t>
            </w:r>
          </w:p>
          <w:p w14:paraId="18D98931" w14:textId="77777777" w:rsidR="00990B14" w:rsidRDefault="00000000">
            <w:pPr>
              <w:spacing w:after="40"/>
              <w:jc w:val="both"/>
            </w:pPr>
            <w:r>
              <w:rPr>
                <w:sz w:val="18"/>
                <w:szCs w:val="18"/>
              </w:rPr>
              <w:t>Organización y procedimiento general de las empresas mineras y constitución de las sociedades mineras. (P)</w:t>
            </w:r>
          </w:p>
          <w:p w14:paraId="6C70ED59" w14:textId="77777777" w:rsidR="00990B14" w:rsidRDefault="00000000">
            <w:pPr>
              <w:spacing w:after="40"/>
              <w:jc w:val="both"/>
            </w:pPr>
            <w:r>
              <w:rPr>
                <w:sz w:val="18"/>
                <w:szCs w:val="18"/>
              </w:rPr>
              <w:t>Organización administrativa, estructura funcional y organización contable: políticas contables, plan de cuentas o nomenclatura, libros y registros contables. (C, P)</w:t>
            </w:r>
          </w:p>
          <w:p w14:paraId="434E5349" w14:textId="77777777" w:rsidR="00990B14" w:rsidRDefault="00000000">
            <w:pPr>
              <w:spacing w:after="40"/>
              <w:jc w:val="both"/>
            </w:pPr>
            <w:r>
              <w:rPr>
                <w:sz w:val="18"/>
                <w:szCs w:val="18"/>
              </w:rPr>
              <w:t>Disposiciones conexas y consideraciones generales de la organización contable minera. (C)</w:t>
            </w:r>
          </w:p>
          <w:p w14:paraId="2EDDFD59" w14:textId="77777777" w:rsidR="00990B14" w:rsidRDefault="00000000">
            <w:pPr>
              <w:spacing w:after="40"/>
              <w:jc w:val="both"/>
            </w:pPr>
            <w:r>
              <w:rPr>
                <w:sz w:val="18"/>
                <w:szCs w:val="18"/>
              </w:rPr>
              <w:t>Empresas mineras estatales, privadas, mixtas o de riesgo compartido y cooperativas mineras. (C)</w:t>
            </w:r>
          </w:p>
          <w:p w14:paraId="154D1368" w14:textId="77777777" w:rsidR="00990B14" w:rsidRDefault="00000000">
            <w:pPr>
              <w:spacing w:after="40"/>
              <w:jc w:val="both"/>
            </w:pPr>
            <w:r>
              <w:rPr>
                <w:sz w:val="18"/>
                <w:szCs w:val="18"/>
              </w:rPr>
              <w:t>Concepto y definición de la contabilidad minera y prácticas de contabilidad en uso en la minería estatal, privada, mixta y cooperativa. (C)</w:t>
            </w:r>
          </w:p>
          <w:p w14:paraId="48EE289D" w14:textId="77777777" w:rsidR="00990B14" w:rsidRDefault="00000000">
            <w:pPr>
              <w:spacing w:after="40"/>
              <w:jc w:val="both"/>
            </w:pPr>
            <w:r>
              <w:rPr>
                <w:sz w:val="18"/>
                <w:szCs w:val="18"/>
              </w:rPr>
              <w:t>Términos usuales en la minería. (C)</w:t>
            </w:r>
          </w:p>
          <w:p w14:paraId="7398F2D6" w14:textId="77777777" w:rsidR="00990B14" w:rsidRDefault="00000000">
            <w:pPr>
              <w:spacing w:after="40"/>
              <w:jc w:val="both"/>
            </w:pPr>
            <w:r>
              <w:rPr>
                <w:sz w:val="18"/>
                <w:szCs w:val="18"/>
              </w:rPr>
              <w:t>Fases del ciclo y actividades mineras: prospección y exploración, desarrollo, explotación, concentración o recuperación, fundición y refinación, y comercialización por ventas internas y exportaciones. (C)</w:t>
            </w:r>
          </w:p>
        </w:tc>
        <w:tc>
          <w:tcPr>
            <w:tcW w:w="2752" w:type="dxa"/>
            <w:gridSpan w:val="3"/>
            <w:shd w:val="clear" w:color="auto" w:fill="D9E2F3"/>
          </w:tcPr>
          <w:p w14:paraId="4DA8F9D9" w14:textId="77777777" w:rsidR="00990B14" w:rsidRDefault="00000000">
            <w:pPr>
              <w:numPr>
                <w:ilvl w:val="0"/>
                <w:numId w:val="139"/>
              </w:numPr>
              <w:spacing w:before="10" w:after="10"/>
              <w:jc w:val="both"/>
            </w:pPr>
            <w:r>
              <w:rPr>
                <w:sz w:val="18"/>
                <w:szCs w:val="18"/>
              </w:rPr>
              <w:t>Conocimientos de recursos naturales no renovables y su uso como materia prima para industrialización.</w:t>
            </w:r>
          </w:p>
          <w:p w14:paraId="6685C848" w14:textId="77777777" w:rsidR="00990B14" w:rsidRDefault="00000000">
            <w:pPr>
              <w:numPr>
                <w:ilvl w:val="0"/>
                <w:numId w:val="139"/>
              </w:numPr>
              <w:spacing w:before="10" w:after="10"/>
              <w:jc w:val="both"/>
            </w:pPr>
            <w:r>
              <w:rPr>
                <w:sz w:val="18"/>
                <w:szCs w:val="18"/>
              </w:rPr>
              <w:t>Conocimiento en tipos de Sociedades y organigramas.</w:t>
            </w:r>
          </w:p>
        </w:tc>
      </w:tr>
      <w:tr w:rsidR="00990B14" w14:paraId="759D1F23" w14:textId="77777777">
        <w:trPr>
          <w:cantSplit/>
          <w:jc w:val="center"/>
        </w:trPr>
        <w:tc>
          <w:tcPr>
            <w:tcW w:w="9405" w:type="dxa"/>
            <w:gridSpan w:val="13"/>
            <w:shd w:val="clear" w:color="auto" w:fill="D9E2F3"/>
            <w:vAlign w:val="center"/>
          </w:tcPr>
          <w:p w14:paraId="71B2DB8A" w14:textId="77777777" w:rsidR="00990B14" w:rsidRDefault="00000000">
            <w:pPr>
              <w:spacing w:before="20" w:after="20"/>
              <w:jc w:val="both"/>
            </w:pPr>
            <w:r>
              <w:rPr>
                <w:b/>
                <w:bCs/>
                <w:i/>
                <w:iCs/>
                <w:sz w:val="18"/>
                <w:szCs w:val="18"/>
              </w:rPr>
              <w:t xml:space="preserve">Elemento de competencia 2: </w:t>
            </w:r>
            <w:r>
              <w:rPr>
                <w:sz w:val="18"/>
                <w:szCs w:val="18"/>
              </w:rPr>
              <w:t>Reconoce las operaciones de prospección (búsqueda a distancias), exploración (búsqueda in situ), explotación, extracción, concentración, desarrollo, comercialización y/o exportación minera, aplicando los criterios de capitalización (costeo) y amortización de los gastos mineros, apegado a disposiciones técnico legales, de forma sostenible con tendencia de las TICs (IA).</w:t>
            </w:r>
          </w:p>
        </w:tc>
      </w:tr>
      <w:tr w:rsidR="00990B14" w14:paraId="4E345C18" w14:textId="77777777">
        <w:trPr>
          <w:cantSplit/>
          <w:jc w:val="center"/>
        </w:trPr>
        <w:tc>
          <w:tcPr>
            <w:tcW w:w="3133" w:type="dxa"/>
            <w:gridSpan w:val="4"/>
            <w:shd w:val="clear" w:color="auto" w:fill="4472C4"/>
            <w:vAlign w:val="center"/>
          </w:tcPr>
          <w:p w14:paraId="27C07209"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1CE3818A"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5EED3C6F" w14:textId="77777777" w:rsidR="00990B14" w:rsidRDefault="00000000">
            <w:pPr>
              <w:keepNext/>
              <w:spacing w:before="20" w:after="20"/>
              <w:jc w:val="center"/>
            </w:pPr>
            <w:r>
              <w:rPr>
                <w:b/>
                <w:bCs/>
                <w:i/>
                <w:iCs/>
                <w:color w:val="FFFFFF"/>
                <w:sz w:val="18"/>
                <w:szCs w:val="18"/>
              </w:rPr>
              <w:t>Evidencias de producto</w:t>
            </w:r>
          </w:p>
        </w:tc>
      </w:tr>
      <w:tr w:rsidR="00990B14" w14:paraId="6F6BE723" w14:textId="77777777">
        <w:trPr>
          <w:cantSplit/>
          <w:jc w:val="center"/>
        </w:trPr>
        <w:tc>
          <w:tcPr>
            <w:tcW w:w="3133" w:type="dxa"/>
            <w:gridSpan w:val="4"/>
            <w:vMerge w:val="restart"/>
            <w:shd w:val="clear" w:color="auto" w:fill="D9E2F3"/>
            <w:vAlign w:val="center"/>
          </w:tcPr>
          <w:p w14:paraId="49BDE287" w14:textId="77777777" w:rsidR="00990B14" w:rsidRDefault="00000000">
            <w:pPr>
              <w:spacing w:before="20" w:after="20"/>
              <w:jc w:val="both"/>
            </w:pPr>
            <w:r>
              <w:rPr>
                <w:sz w:val="18"/>
                <w:szCs w:val="18"/>
              </w:rPr>
              <w:t>1. Registrar las operaciones de pre-producción minera, evaluando la capitalización o el castigo de los desembolsos de prospección y exploración.</w:t>
            </w:r>
          </w:p>
        </w:tc>
        <w:tc>
          <w:tcPr>
            <w:tcW w:w="3135" w:type="dxa"/>
            <w:gridSpan w:val="5"/>
            <w:shd w:val="clear" w:color="auto" w:fill="D9E2F3"/>
            <w:vAlign w:val="center"/>
          </w:tcPr>
          <w:p w14:paraId="14A83EC5" w14:textId="77777777" w:rsidR="00990B14" w:rsidRDefault="00000000">
            <w:pPr>
              <w:spacing w:before="20" w:after="20"/>
              <w:jc w:val="both"/>
            </w:pPr>
            <w:r>
              <w:rPr>
                <w:sz w:val="18"/>
                <w:szCs w:val="18"/>
              </w:rPr>
              <w:t>1.1 Resuelve en aula un caso práctico de capitalización y amortización de los gastos de exploración.</w:t>
            </w:r>
          </w:p>
        </w:tc>
        <w:tc>
          <w:tcPr>
            <w:tcW w:w="3137" w:type="dxa"/>
            <w:gridSpan w:val="4"/>
            <w:shd w:val="clear" w:color="auto" w:fill="D9E2F3"/>
            <w:vAlign w:val="center"/>
          </w:tcPr>
          <w:p w14:paraId="157CCA5C" w14:textId="77777777" w:rsidR="00990B14" w:rsidRDefault="00000000">
            <w:pPr>
              <w:spacing w:before="20" w:after="20"/>
              <w:jc w:val="both"/>
            </w:pPr>
            <w:r>
              <w:rPr>
                <w:b/>
                <w:bCs/>
                <w:sz w:val="18"/>
                <w:szCs w:val="18"/>
              </w:rPr>
              <w:t xml:space="preserve">Producto 5: </w:t>
            </w:r>
            <w:r>
              <w:rPr>
                <w:sz w:val="18"/>
                <w:szCs w:val="18"/>
              </w:rPr>
              <w:t>Asientos contables de los procesos de prospección y exploración así como su capitalización o amortización.</w:t>
            </w:r>
          </w:p>
        </w:tc>
      </w:tr>
      <w:tr w:rsidR="00990B14" w14:paraId="36F05D10" w14:textId="77777777">
        <w:trPr>
          <w:cantSplit/>
          <w:jc w:val="center"/>
        </w:trPr>
        <w:tc>
          <w:tcPr>
            <w:tcW w:w="3133" w:type="dxa"/>
            <w:gridSpan w:val="4"/>
            <w:vMerge/>
            <w:shd w:val="clear" w:color="auto" w:fill="D9E2F3"/>
            <w:vAlign w:val="center"/>
          </w:tcPr>
          <w:p w14:paraId="198F2101" w14:textId="77777777" w:rsidR="00990B14" w:rsidRDefault="00990B14">
            <w:pPr>
              <w:spacing w:before="20" w:after="20"/>
            </w:pPr>
          </w:p>
        </w:tc>
        <w:tc>
          <w:tcPr>
            <w:tcW w:w="3135" w:type="dxa"/>
            <w:gridSpan w:val="5"/>
            <w:shd w:val="clear" w:color="auto" w:fill="D9E2F3"/>
            <w:vAlign w:val="center"/>
          </w:tcPr>
          <w:p w14:paraId="22F1DD6F" w14:textId="77777777" w:rsidR="00990B14" w:rsidRDefault="00000000">
            <w:pPr>
              <w:spacing w:before="20" w:after="20"/>
              <w:jc w:val="both"/>
            </w:pPr>
            <w:r>
              <w:rPr>
                <w:sz w:val="18"/>
                <w:szCs w:val="18"/>
              </w:rPr>
              <w:t>1.2 Explica en equipo el efecto, en los Estados Financieros, del castigo o capitalización de desembolsos.</w:t>
            </w:r>
          </w:p>
        </w:tc>
        <w:tc>
          <w:tcPr>
            <w:tcW w:w="3137" w:type="dxa"/>
            <w:gridSpan w:val="4"/>
            <w:shd w:val="clear" w:color="auto" w:fill="D9E2F3"/>
            <w:vAlign w:val="center"/>
          </w:tcPr>
          <w:p w14:paraId="33C8BC66" w14:textId="77777777" w:rsidR="00990B14" w:rsidRDefault="00000000">
            <w:pPr>
              <w:spacing w:before="20" w:after="20"/>
              <w:jc w:val="both"/>
            </w:pPr>
            <w:r>
              <w:rPr>
                <w:b/>
                <w:bCs/>
                <w:sz w:val="18"/>
                <w:szCs w:val="18"/>
              </w:rPr>
              <w:t xml:space="preserve">Producto 6: </w:t>
            </w:r>
            <w:r>
              <w:rPr>
                <w:sz w:val="18"/>
                <w:szCs w:val="18"/>
              </w:rPr>
              <w:t>Planilla de Cálculo del efecto en los Estados Financieros.</w:t>
            </w:r>
          </w:p>
        </w:tc>
      </w:tr>
      <w:tr w:rsidR="00990B14" w14:paraId="54D4C0D5" w14:textId="77777777">
        <w:trPr>
          <w:cantSplit/>
          <w:jc w:val="center"/>
        </w:trPr>
        <w:tc>
          <w:tcPr>
            <w:tcW w:w="3133" w:type="dxa"/>
            <w:gridSpan w:val="4"/>
            <w:vMerge w:val="restart"/>
            <w:shd w:val="clear" w:color="auto" w:fill="D9E2F3"/>
            <w:vAlign w:val="center"/>
          </w:tcPr>
          <w:p w14:paraId="3E2EF7A5" w14:textId="77777777" w:rsidR="00990B14" w:rsidRDefault="00000000">
            <w:pPr>
              <w:spacing w:before="20" w:after="20"/>
              <w:jc w:val="both"/>
            </w:pPr>
            <w:r>
              <w:rPr>
                <w:sz w:val="18"/>
                <w:szCs w:val="18"/>
              </w:rPr>
              <w:t>2. Distribuye los costos de las secciones de superficie con bases justificadas.</w:t>
            </w:r>
          </w:p>
        </w:tc>
        <w:tc>
          <w:tcPr>
            <w:tcW w:w="3135" w:type="dxa"/>
            <w:gridSpan w:val="5"/>
            <w:shd w:val="clear" w:color="auto" w:fill="D9E2F3"/>
            <w:vAlign w:val="center"/>
          </w:tcPr>
          <w:p w14:paraId="2ADF3DB3" w14:textId="77777777" w:rsidR="00990B14" w:rsidRDefault="00000000">
            <w:pPr>
              <w:spacing w:before="20" w:after="20"/>
              <w:jc w:val="both"/>
            </w:pPr>
            <w:r>
              <w:rPr>
                <w:sz w:val="18"/>
                <w:szCs w:val="18"/>
              </w:rPr>
              <w:t>2.1 Resuelve en aula un ejercicio sobre los costos de las secciones de superficie</w:t>
            </w:r>
          </w:p>
        </w:tc>
        <w:tc>
          <w:tcPr>
            <w:tcW w:w="3137" w:type="dxa"/>
            <w:gridSpan w:val="4"/>
            <w:shd w:val="clear" w:color="auto" w:fill="D9E2F3"/>
            <w:vAlign w:val="center"/>
          </w:tcPr>
          <w:p w14:paraId="514EBDD0" w14:textId="77777777" w:rsidR="00990B14" w:rsidRDefault="00000000">
            <w:pPr>
              <w:spacing w:before="20" w:after="20"/>
              <w:jc w:val="both"/>
            </w:pPr>
            <w:r>
              <w:rPr>
                <w:b/>
                <w:bCs/>
                <w:sz w:val="18"/>
                <w:szCs w:val="18"/>
              </w:rPr>
              <w:t xml:space="preserve">Producto 7: </w:t>
            </w:r>
            <w:r>
              <w:rPr>
                <w:sz w:val="18"/>
                <w:szCs w:val="18"/>
              </w:rPr>
              <w:t>Asientos Contables de costos de sección de superficie.</w:t>
            </w:r>
          </w:p>
        </w:tc>
      </w:tr>
      <w:tr w:rsidR="00990B14" w14:paraId="7B11220F" w14:textId="77777777">
        <w:trPr>
          <w:cantSplit/>
          <w:jc w:val="center"/>
        </w:trPr>
        <w:tc>
          <w:tcPr>
            <w:tcW w:w="3133" w:type="dxa"/>
            <w:gridSpan w:val="4"/>
            <w:vMerge/>
            <w:shd w:val="clear" w:color="auto" w:fill="D9E2F3"/>
            <w:vAlign w:val="center"/>
          </w:tcPr>
          <w:p w14:paraId="00F69748" w14:textId="77777777" w:rsidR="00990B14" w:rsidRDefault="00990B14">
            <w:pPr>
              <w:spacing w:before="20" w:after="20"/>
            </w:pPr>
          </w:p>
        </w:tc>
        <w:tc>
          <w:tcPr>
            <w:tcW w:w="3135" w:type="dxa"/>
            <w:gridSpan w:val="5"/>
            <w:shd w:val="clear" w:color="auto" w:fill="D9E2F3"/>
            <w:vAlign w:val="center"/>
          </w:tcPr>
          <w:p w14:paraId="0F1647DA" w14:textId="77777777" w:rsidR="00990B14" w:rsidRDefault="00000000">
            <w:pPr>
              <w:spacing w:before="20" w:after="20"/>
              <w:jc w:val="both"/>
            </w:pPr>
            <w:r>
              <w:rPr>
                <w:sz w:val="18"/>
                <w:szCs w:val="18"/>
              </w:rPr>
              <w:t>2.2 Efectúa en equipo la distribución de los costos de superficie</w:t>
            </w:r>
          </w:p>
        </w:tc>
        <w:tc>
          <w:tcPr>
            <w:tcW w:w="3137" w:type="dxa"/>
            <w:gridSpan w:val="4"/>
            <w:shd w:val="clear" w:color="auto" w:fill="D9E2F3"/>
            <w:vAlign w:val="center"/>
          </w:tcPr>
          <w:p w14:paraId="64CF2D7E" w14:textId="77777777" w:rsidR="00990B14" w:rsidRDefault="00000000">
            <w:pPr>
              <w:spacing w:before="20" w:after="20"/>
              <w:jc w:val="both"/>
            </w:pPr>
            <w:r>
              <w:rPr>
                <w:b/>
                <w:bCs/>
                <w:sz w:val="18"/>
                <w:szCs w:val="18"/>
              </w:rPr>
              <w:t xml:space="preserve">Producto 8: </w:t>
            </w:r>
            <w:r>
              <w:rPr>
                <w:sz w:val="18"/>
                <w:szCs w:val="18"/>
              </w:rPr>
              <w:t>Planilla de distribución de los costos de superficie a costo mina y a costo ingenio.</w:t>
            </w:r>
          </w:p>
        </w:tc>
      </w:tr>
      <w:tr w:rsidR="00990B14" w14:paraId="56F95474" w14:textId="77777777">
        <w:trPr>
          <w:cantSplit/>
          <w:jc w:val="center"/>
        </w:trPr>
        <w:tc>
          <w:tcPr>
            <w:tcW w:w="9405" w:type="dxa"/>
            <w:gridSpan w:val="13"/>
            <w:shd w:val="clear" w:color="auto" w:fill="4472C4"/>
            <w:vAlign w:val="center"/>
          </w:tcPr>
          <w:p w14:paraId="5B549587" w14:textId="77777777" w:rsidR="00990B14" w:rsidRDefault="00000000">
            <w:pPr>
              <w:keepNext/>
              <w:spacing w:before="20" w:after="20"/>
              <w:jc w:val="center"/>
            </w:pPr>
            <w:r>
              <w:rPr>
                <w:b/>
                <w:bCs/>
                <w:i/>
                <w:iCs/>
                <w:color w:val="FFFFFF"/>
                <w:sz w:val="18"/>
                <w:szCs w:val="18"/>
              </w:rPr>
              <w:t>Evidencias de conocimiento</w:t>
            </w:r>
          </w:p>
        </w:tc>
      </w:tr>
      <w:tr w:rsidR="00990B14" w14:paraId="4A3B7122" w14:textId="77777777">
        <w:trPr>
          <w:cantSplit/>
          <w:jc w:val="center"/>
        </w:trPr>
        <w:tc>
          <w:tcPr>
            <w:tcW w:w="2349" w:type="dxa"/>
            <w:gridSpan w:val="2"/>
            <w:shd w:val="clear" w:color="auto" w:fill="4472C4"/>
            <w:vAlign w:val="center"/>
          </w:tcPr>
          <w:p w14:paraId="3629BC02"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7A1E78B5" w14:textId="77777777" w:rsidR="00990B14" w:rsidRDefault="00000000">
            <w:pPr>
              <w:keepNext/>
              <w:spacing w:before="20" w:after="20"/>
              <w:jc w:val="both"/>
            </w:pPr>
            <w:r>
              <w:rPr>
                <w:b/>
                <w:bCs/>
                <w:i/>
                <w:iCs/>
                <w:color w:val="FFFFFF"/>
                <w:sz w:val="18"/>
                <w:szCs w:val="18"/>
              </w:rPr>
              <w:t>Contenidos</w:t>
            </w:r>
          </w:p>
          <w:p w14:paraId="7E09ABBD"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540E78C1" w14:textId="77777777" w:rsidR="00990B14" w:rsidRDefault="00000000">
            <w:pPr>
              <w:keepNext/>
              <w:spacing w:before="20" w:after="20"/>
              <w:jc w:val="center"/>
            </w:pPr>
            <w:r>
              <w:rPr>
                <w:b/>
                <w:bCs/>
                <w:i/>
                <w:iCs/>
                <w:color w:val="FFFFFF"/>
                <w:sz w:val="18"/>
                <w:szCs w:val="18"/>
              </w:rPr>
              <w:t>Conocimientos circunstanciales</w:t>
            </w:r>
          </w:p>
        </w:tc>
      </w:tr>
      <w:tr w:rsidR="00990B14" w14:paraId="556294D6" w14:textId="77777777">
        <w:trPr>
          <w:jc w:val="center"/>
        </w:trPr>
        <w:tc>
          <w:tcPr>
            <w:tcW w:w="2349" w:type="dxa"/>
            <w:gridSpan w:val="2"/>
            <w:shd w:val="clear" w:color="auto" w:fill="D9E2F3"/>
          </w:tcPr>
          <w:p w14:paraId="65700A34" w14:textId="77777777" w:rsidR="00990B14" w:rsidRDefault="00000000">
            <w:pPr>
              <w:spacing w:before="20" w:after="40"/>
              <w:jc w:val="both"/>
            </w:pPr>
            <w:r>
              <w:rPr>
                <w:sz w:val="18"/>
                <w:szCs w:val="18"/>
              </w:rPr>
              <w:t>Tema 4: Régimen Tributario</w:t>
            </w:r>
          </w:p>
          <w:p w14:paraId="16445977" w14:textId="77777777" w:rsidR="00990B14" w:rsidRDefault="00000000">
            <w:pPr>
              <w:spacing w:before="20" w:after="40"/>
              <w:jc w:val="both"/>
            </w:pPr>
            <w:r>
              <w:rPr>
                <w:sz w:val="18"/>
                <w:szCs w:val="18"/>
              </w:rPr>
              <w:t>Tema 5: Procesos de pre-producción</w:t>
            </w:r>
          </w:p>
          <w:p w14:paraId="5728E546" w14:textId="77777777" w:rsidR="00990B14" w:rsidRDefault="00000000">
            <w:pPr>
              <w:spacing w:before="20" w:after="40"/>
              <w:jc w:val="both"/>
            </w:pPr>
            <w:r>
              <w:rPr>
                <w:sz w:val="18"/>
                <w:szCs w:val="18"/>
              </w:rPr>
              <w:t>Tema 6: Principales procesos y labores de superficie</w:t>
            </w:r>
          </w:p>
        </w:tc>
        <w:tc>
          <w:tcPr>
            <w:tcW w:w="4304" w:type="dxa"/>
            <w:gridSpan w:val="8"/>
            <w:shd w:val="clear" w:color="auto" w:fill="D9E2F3"/>
          </w:tcPr>
          <w:p w14:paraId="56F08D5D" w14:textId="77777777" w:rsidR="00990B14" w:rsidRDefault="00000000">
            <w:pPr>
              <w:spacing w:after="40"/>
              <w:jc w:val="both"/>
            </w:pPr>
            <w:r>
              <w:rPr>
                <w:sz w:val="18"/>
                <w:szCs w:val="18"/>
              </w:rPr>
              <w:t>Marco legal: Ley N.º 843 con su texto modificado, Ley N.º 1606 y sus decretos supremos, Ley N.º 1489, Ley N.º 1963, Ley N.º 2492, Decreto Supremo N.º 26630 y Decreto Supremo N.º 25465. Ley 535 de Minería y Metalurgia. (C)</w:t>
            </w:r>
          </w:p>
          <w:p w14:paraId="656C07F1" w14:textId="77777777" w:rsidR="00990B14" w:rsidRDefault="00000000">
            <w:pPr>
              <w:spacing w:after="40"/>
              <w:jc w:val="both"/>
            </w:pPr>
            <w:r>
              <w:rPr>
                <w:sz w:val="18"/>
                <w:szCs w:val="18"/>
              </w:rPr>
              <w:t>Patentes mineras - Regalías Mineras – Alícuota adicional al IUE.- Anticipo Alícuota adicional IUE.- Recuperación del Crédito Fiscal - Certificado de Devolución Impositiva CEDEIM. (C, P)</w:t>
            </w:r>
          </w:p>
          <w:p w14:paraId="7C799C9D" w14:textId="77777777" w:rsidR="00990B14" w:rsidRDefault="00000000">
            <w:pPr>
              <w:spacing w:after="40"/>
              <w:jc w:val="both"/>
            </w:pPr>
            <w:r>
              <w:rPr>
                <w:sz w:val="18"/>
                <w:szCs w:val="18"/>
              </w:rPr>
              <w:t>Concepto de Prospección y Exploración, - Tratamiento Contable: Capitalización y/o Amortización de los Gastos y/o Costos de Exploraciones; NIIF 6 “ Exploración y Evaluación de Recursos Minerales”. (C, P)</w:t>
            </w:r>
          </w:p>
          <w:p w14:paraId="607A1ABC" w14:textId="77777777" w:rsidR="00990B14" w:rsidRDefault="00000000">
            <w:pPr>
              <w:spacing w:after="40"/>
              <w:jc w:val="both"/>
            </w:pPr>
            <w:r>
              <w:rPr>
                <w:sz w:val="18"/>
                <w:szCs w:val="18"/>
              </w:rPr>
              <w:t>Principales secciones y departamentos de superficie: maestranza o taller mecánico, taller eléctrico, taller de carpintería, almacén de materiales, pulperías, bodega barrilla o depósitos de minerales, sección de transportes, laboratorios, departamentos de técnico geología e ingeniería, sanidad y hospitales, educación y otras secciones. (C)</w:t>
            </w:r>
          </w:p>
          <w:p w14:paraId="4760871F" w14:textId="77777777" w:rsidR="00990B14" w:rsidRDefault="00000000">
            <w:pPr>
              <w:spacing w:after="40"/>
              <w:jc w:val="both"/>
            </w:pPr>
            <w:r>
              <w:rPr>
                <w:sz w:val="18"/>
                <w:szCs w:val="18"/>
              </w:rPr>
              <w:t>Distribución de los costos o gastos de las secciones de superficie; contabilización. (C, P)</w:t>
            </w:r>
          </w:p>
        </w:tc>
        <w:tc>
          <w:tcPr>
            <w:tcW w:w="2752" w:type="dxa"/>
            <w:gridSpan w:val="3"/>
            <w:shd w:val="clear" w:color="auto" w:fill="D9E2F3"/>
          </w:tcPr>
          <w:p w14:paraId="5D2C8E85" w14:textId="77777777" w:rsidR="00990B14" w:rsidRDefault="00000000">
            <w:pPr>
              <w:numPr>
                <w:ilvl w:val="0"/>
                <w:numId w:val="139"/>
              </w:numPr>
              <w:spacing w:before="10" w:after="10"/>
              <w:jc w:val="both"/>
            </w:pPr>
            <w:r>
              <w:rPr>
                <w:sz w:val="18"/>
                <w:szCs w:val="18"/>
              </w:rPr>
              <w:t>Conocimiento de métodos geológicos, geoquímicos y geofísicos para la prospección y exploración de minerales.</w:t>
            </w:r>
          </w:p>
          <w:p w14:paraId="1164717D" w14:textId="77777777" w:rsidR="00990B14" w:rsidRDefault="00000000">
            <w:pPr>
              <w:numPr>
                <w:ilvl w:val="0"/>
                <w:numId w:val="139"/>
              </w:numPr>
              <w:spacing w:before="10" w:after="10"/>
              <w:jc w:val="both"/>
            </w:pPr>
            <w:r>
              <w:rPr>
                <w:sz w:val="18"/>
                <w:szCs w:val="18"/>
              </w:rPr>
              <w:t>Nociones de ingeniería de minas: métodos de explotación subterránea y a cielo abierto.</w:t>
            </w:r>
          </w:p>
        </w:tc>
      </w:tr>
      <w:tr w:rsidR="00990B14" w14:paraId="649326B1" w14:textId="77777777">
        <w:trPr>
          <w:cantSplit/>
          <w:jc w:val="center"/>
        </w:trPr>
        <w:tc>
          <w:tcPr>
            <w:tcW w:w="9405" w:type="dxa"/>
            <w:gridSpan w:val="13"/>
            <w:shd w:val="clear" w:color="auto" w:fill="D9E2F3"/>
            <w:vAlign w:val="center"/>
          </w:tcPr>
          <w:p w14:paraId="41F4BA12" w14:textId="77777777" w:rsidR="00990B14" w:rsidRDefault="00000000">
            <w:pPr>
              <w:spacing w:before="20" w:after="20"/>
              <w:jc w:val="both"/>
            </w:pPr>
            <w:r>
              <w:rPr>
                <w:b/>
                <w:bCs/>
                <w:i/>
                <w:iCs/>
                <w:sz w:val="18"/>
                <w:szCs w:val="18"/>
              </w:rPr>
              <w:t xml:space="preserve">Elemento de competencia 3: </w:t>
            </w:r>
            <w:r>
              <w:rPr>
                <w:sz w:val="18"/>
                <w:szCs w:val="18"/>
              </w:rPr>
              <w:t>Determina el costo total de explotación minera, el costo del mineral por unidad de peso y el traspaso a Inventarios, según su comportamiento y su función.</w:t>
            </w:r>
          </w:p>
        </w:tc>
      </w:tr>
      <w:tr w:rsidR="00990B14" w14:paraId="620684D9" w14:textId="77777777">
        <w:trPr>
          <w:cantSplit/>
          <w:jc w:val="center"/>
        </w:trPr>
        <w:tc>
          <w:tcPr>
            <w:tcW w:w="3133" w:type="dxa"/>
            <w:gridSpan w:val="4"/>
            <w:shd w:val="clear" w:color="auto" w:fill="4472C4"/>
            <w:vAlign w:val="center"/>
          </w:tcPr>
          <w:p w14:paraId="7C40528D"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4AABEDE6"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40D26201" w14:textId="77777777" w:rsidR="00990B14" w:rsidRDefault="00000000">
            <w:pPr>
              <w:keepNext/>
              <w:spacing w:before="20" w:after="20"/>
              <w:jc w:val="center"/>
            </w:pPr>
            <w:r>
              <w:rPr>
                <w:b/>
                <w:bCs/>
                <w:i/>
                <w:iCs/>
                <w:color w:val="FFFFFF"/>
                <w:sz w:val="18"/>
                <w:szCs w:val="18"/>
              </w:rPr>
              <w:t>Evidencias de producto</w:t>
            </w:r>
          </w:p>
        </w:tc>
      </w:tr>
      <w:tr w:rsidR="00990B14" w14:paraId="2F335B10" w14:textId="77777777">
        <w:trPr>
          <w:cantSplit/>
          <w:jc w:val="center"/>
        </w:trPr>
        <w:tc>
          <w:tcPr>
            <w:tcW w:w="3133" w:type="dxa"/>
            <w:gridSpan w:val="4"/>
            <w:vMerge w:val="restart"/>
            <w:shd w:val="clear" w:color="auto" w:fill="D9E2F3"/>
            <w:vAlign w:val="center"/>
          </w:tcPr>
          <w:p w14:paraId="2F23536C" w14:textId="77777777" w:rsidR="00990B14" w:rsidRDefault="00000000">
            <w:pPr>
              <w:spacing w:before="20" w:after="20"/>
              <w:jc w:val="both"/>
            </w:pPr>
            <w:r>
              <w:rPr>
                <w:sz w:val="18"/>
                <w:szCs w:val="18"/>
              </w:rPr>
              <w:t>1. Determina el costo de las operaciones en interior mina, estableciendo de manera eficiente cada costo.</w:t>
            </w:r>
          </w:p>
        </w:tc>
        <w:tc>
          <w:tcPr>
            <w:tcW w:w="3135" w:type="dxa"/>
            <w:gridSpan w:val="5"/>
            <w:shd w:val="clear" w:color="auto" w:fill="D9E2F3"/>
            <w:vAlign w:val="center"/>
          </w:tcPr>
          <w:p w14:paraId="794420DC" w14:textId="77777777" w:rsidR="00990B14" w:rsidRDefault="00000000">
            <w:pPr>
              <w:spacing w:before="20" w:after="20"/>
              <w:jc w:val="both"/>
            </w:pPr>
            <w:r>
              <w:rPr>
                <w:sz w:val="18"/>
                <w:szCs w:val="18"/>
              </w:rPr>
              <w:t>1.1 Resuelve en aula un caso práctico de explotación de minerales</w:t>
            </w:r>
          </w:p>
        </w:tc>
        <w:tc>
          <w:tcPr>
            <w:tcW w:w="3137" w:type="dxa"/>
            <w:gridSpan w:val="4"/>
            <w:shd w:val="clear" w:color="auto" w:fill="D9E2F3"/>
            <w:vAlign w:val="center"/>
          </w:tcPr>
          <w:p w14:paraId="45AD94D4" w14:textId="77777777" w:rsidR="00990B14" w:rsidRDefault="00000000">
            <w:pPr>
              <w:spacing w:before="20" w:after="20"/>
              <w:jc w:val="both"/>
            </w:pPr>
            <w:r>
              <w:rPr>
                <w:b/>
                <w:bCs/>
                <w:sz w:val="18"/>
                <w:szCs w:val="18"/>
              </w:rPr>
              <w:t xml:space="preserve">Producto 9: </w:t>
            </w:r>
            <w:r>
              <w:rPr>
                <w:sz w:val="18"/>
                <w:szCs w:val="18"/>
              </w:rPr>
              <w:t>Libro diario de las operaciones de explotación.</w:t>
            </w:r>
          </w:p>
        </w:tc>
      </w:tr>
      <w:tr w:rsidR="00990B14" w14:paraId="7596A21D" w14:textId="77777777">
        <w:trPr>
          <w:cantSplit/>
          <w:jc w:val="center"/>
        </w:trPr>
        <w:tc>
          <w:tcPr>
            <w:tcW w:w="3133" w:type="dxa"/>
            <w:gridSpan w:val="4"/>
            <w:vMerge/>
            <w:shd w:val="clear" w:color="auto" w:fill="D9E2F3"/>
            <w:vAlign w:val="center"/>
          </w:tcPr>
          <w:p w14:paraId="60394AAE" w14:textId="77777777" w:rsidR="00990B14" w:rsidRDefault="00990B14">
            <w:pPr>
              <w:spacing w:before="20" w:after="20"/>
            </w:pPr>
          </w:p>
        </w:tc>
        <w:tc>
          <w:tcPr>
            <w:tcW w:w="3135" w:type="dxa"/>
            <w:gridSpan w:val="5"/>
            <w:shd w:val="clear" w:color="auto" w:fill="D9E2F3"/>
            <w:vAlign w:val="center"/>
          </w:tcPr>
          <w:p w14:paraId="10F2D533" w14:textId="77777777" w:rsidR="00990B14" w:rsidRDefault="00000000">
            <w:pPr>
              <w:spacing w:before="20" w:after="20"/>
              <w:jc w:val="both"/>
            </w:pPr>
            <w:r>
              <w:rPr>
                <w:sz w:val="18"/>
                <w:szCs w:val="18"/>
              </w:rPr>
              <w:t>1.2 Determina a cuánto alcanzan los costos incurridos en interior mina.</w:t>
            </w:r>
          </w:p>
        </w:tc>
        <w:tc>
          <w:tcPr>
            <w:tcW w:w="3137" w:type="dxa"/>
            <w:gridSpan w:val="4"/>
            <w:shd w:val="clear" w:color="auto" w:fill="D9E2F3"/>
            <w:vAlign w:val="center"/>
          </w:tcPr>
          <w:p w14:paraId="4EE9ACCA" w14:textId="77777777" w:rsidR="00990B14" w:rsidRDefault="00000000">
            <w:pPr>
              <w:spacing w:before="20" w:after="20"/>
              <w:jc w:val="both"/>
            </w:pPr>
            <w:r>
              <w:rPr>
                <w:b/>
                <w:bCs/>
                <w:sz w:val="18"/>
                <w:szCs w:val="18"/>
              </w:rPr>
              <w:t xml:space="preserve">Producto 10: </w:t>
            </w:r>
            <w:r>
              <w:rPr>
                <w:sz w:val="18"/>
                <w:szCs w:val="18"/>
              </w:rPr>
              <w:t>Planilla de Costos Mina.</w:t>
            </w:r>
          </w:p>
        </w:tc>
      </w:tr>
      <w:tr w:rsidR="00990B14" w14:paraId="52B730F6" w14:textId="77777777">
        <w:trPr>
          <w:cantSplit/>
          <w:jc w:val="center"/>
        </w:trPr>
        <w:tc>
          <w:tcPr>
            <w:tcW w:w="3133" w:type="dxa"/>
            <w:gridSpan w:val="4"/>
            <w:vMerge w:val="restart"/>
            <w:shd w:val="clear" w:color="auto" w:fill="D9E2F3"/>
            <w:vAlign w:val="center"/>
          </w:tcPr>
          <w:p w14:paraId="2ED61F7B" w14:textId="77777777" w:rsidR="00990B14" w:rsidRDefault="00000000">
            <w:pPr>
              <w:spacing w:before="20" w:after="20"/>
              <w:jc w:val="both"/>
            </w:pPr>
            <w:r>
              <w:rPr>
                <w:sz w:val="18"/>
                <w:szCs w:val="18"/>
              </w:rPr>
              <w:t>2. Registra el costo de los materiales, la mano de obra y los costos indirectos de Concentración de minerales, evaluando su control interno.</w:t>
            </w:r>
          </w:p>
        </w:tc>
        <w:tc>
          <w:tcPr>
            <w:tcW w:w="3135" w:type="dxa"/>
            <w:gridSpan w:val="5"/>
            <w:shd w:val="clear" w:color="auto" w:fill="D9E2F3"/>
            <w:vAlign w:val="center"/>
          </w:tcPr>
          <w:p w14:paraId="67828FB7" w14:textId="77777777" w:rsidR="00990B14" w:rsidRDefault="00000000">
            <w:pPr>
              <w:spacing w:before="20" w:after="20"/>
              <w:jc w:val="both"/>
            </w:pPr>
            <w:r>
              <w:rPr>
                <w:sz w:val="18"/>
                <w:szCs w:val="18"/>
              </w:rPr>
              <w:t>2.1 Resuelve en aula un caso práctico de Concentración de minerales.</w:t>
            </w:r>
          </w:p>
        </w:tc>
        <w:tc>
          <w:tcPr>
            <w:tcW w:w="3137" w:type="dxa"/>
            <w:gridSpan w:val="4"/>
            <w:shd w:val="clear" w:color="auto" w:fill="D9E2F3"/>
            <w:vAlign w:val="center"/>
          </w:tcPr>
          <w:p w14:paraId="16D05E1D" w14:textId="77777777" w:rsidR="00990B14" w:rsidRDefault="00000000">
            <w:pPr>
              <w:spacing w:before="20" w:after="20"/>
              <w:jc w:val="both"/>
            </w:pPr>
            <w:r>
              <w:rPr>
                <w:b/>
                <w:bCs/>
                <w:sz w:val="18"/>
                <w:szCs w:val="18"/>
              </w:rPr>
              <w:t xml:space="preserve">Producto 11: </w:t>
            </w:r>
            <w:r>
              <w:rPr>
                <w:sz w:val="18"/>
                <w:szCs w:val="18"/>
              </w:rPr>
              <w:t>Asientos Contables de costos de tratamiento de mineral.</w:t>
            </w:r>
          </w:p>
        </w:tc>
      </w:tr>
      <w:tr w:rsidR="00990B14" w14:paraId="0A1790FC" w14:textId="77777777">
        <w:trPr>
          <w:cantSplit/>
          <w:jc w:val="center"/>
        </w:trPr>
        <w:tc>
          <w:tcPr>
            <w:tcW w:w="3133" w:type="dxa"/>
            <w:gridSpan w:val="4"/>
            <w:vMerge/>
            <w:shd w:val="clear" w:color="auto" w:fill="D9E2F3"/>
            <w:vAlign w:val="center"/>
          </w:tcPr>
          <w:p w14:paraId="58DE3092" w14:textId="77777777" w:rsidR="00990B14" w:rsidRDefault="00990B14">
            <w:pPr>
              <w:spacing w:before="20" w:after="20"/>
            </w:pPr>
          </w:p>
        </w:tc>
        <w:tc>
          <w:tcPr>
            <w:tcW w:w="3135" w:type="dxa"/>
            <w:gridSpan w:val="5"/>
            <w:shd w:val="clear" w:color="auto" w:fill="D9E2F3"/>
            <w:vAlign w:val="center"/>
          </w:tcPr>
          <w:p w14:paraId="5EFA3DC2" w14:textId="77777777" w:rsidR="00990B14" w:rsidRDefault="00000000">
            <w:pPr>
              <w:spacing w:before="20" w:after="20"/>
              <w:jc w:val="both"/>
            </w:pPr>
            <w:r>
              <w:rPr>
                <w:sz w:val="18"/>
                <w:szCs w:val="18"/>
              </w:rPr>
              <w:t>2.2 Elabora en aula la distribución del costo total de producción entre la cantidad de minerales producidos.</w:t>
            </w:r>
          </w:p>
        </w:tc>
        <w:tc>
          <w:tcPr>
            <w:tcW w:w="3137" w:type="dxa"/>
            <w:gridSpan w:val="4"/>
            <w:shd w:val="clear" w:color="auto" w:fill="D9E2F3"/>
            <w:vAlign w:val="center"/>
          </w:tcPr>
          <w:p w14:paraId="41202AD2" w14:textId="77777777" w:rsidR="00990B14" w:rsidRDefault="00000000">
            <w:pPr>
              <w:spacing w:before="20" w:after="20"/>
              <w:jc w:val="both"/>
            </w:pPr>
            <w:r>
              <w:rPr>
                <w:b/>
                <w:bCs/>
                <w:sz w:val="18"/>
                <w:szCs w:val="18"/>
              </w:rPr>
              <w:t xml:space="preserve">Producto 12: </w:t>
            </w:r>
            <w:r>
              <w:rPr>
                <w:sz w:val="18"/>
                <w:szCs w:val="18"/>
              </w:rPr>
              <w:t>Planilla de prorrateo de minerales producidos.</w:t>
            </w:r>
          </w:p>
        </w:tc>
      </w:tr>
      <w:tr w:rsidR="00990B14" w14:paraId="3CC5D860" w14:textId="77777777">
        <w:trPr>
          <w:cantSplit/>
          <w:jc w:val="center"/>
        </w:trPr>
        <w:tc>
          <w:tcPr>
            <w:tcW w:w="9405" w:type="dxa"/>
            <w:gridSpan w:val="13"/>
            <w:shd w:val="clear" w:color="auto" w:fill="4472C4"/>
            <w:vAlign w:val="center"/>
          </w:tcPr>
          <w:p w14:paraId="4521CD18" w14:textId="77777777" w:rsidR="00990B14" w:rsidRDefault="00000000">
            <w:pPr>
              <w:keepNext/>
              <w:spacing w:before="20" w:after="20"/>
              <w:jc w:val="center"/>
            </w:pPr>
            <w:r>
              <w:rPr>
                <w:b/>
                <w:bCs/>
                <w:i/>
                <w:iCs/>
                <w:color w:val="FFFFFF"/>
                <w:sz w:val="18"/>
                <w:szCs w:val="18"/>
              </w:rPr>
              <w:t>Evidencias de conocimiento</w:t>
            </w:r>
          </w:p>
        </w:tc>
      </w:tr>
      <w:tr w:rsidR="00990B14" w14:paraId="7D832457" w14:textId="77777777">
        <w:trPr>
          <w:cantSplit/>
          <w:jc w:val="center"/>
        </w:trPr>
        <w:tc>
          <w:tcPr>
            <w:tcW w:w="2349" w:type="dxa"/>
            <w:gridSpan w:val="2"/>
            <w:shd w:val="clear" w:color="auto" w:fill="4472C4"/>
            <w:vAlign w:val="center"/>
          </w:tcPr>
          <w:p w14:paraId="0D0ABFBB"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706A2F24" w14:textId="77777777" w:rsidR="00990B14" w:rsidRDefault="00000000">
            <w:pPr>
              <w:keepNext/>
              <w:spacing w:before="20" w:after="20"/>
              <w:jc w:val="both"/>
            </w:pPr>
            <w:r>
              <w:rPr>
                <w:b/>
                <w:bCs/>
                <w:i/>
                <w:iCs/>
                <w:color w:val="FFFFFF"/>
                <w:sz w:val="18"/>
                <w:szCs w:val="18"/>
              </w:rPr>
              <w:t>Contenidos</w:t>
            </w:r>
          </w:p>
          <w:p w14:paraId="349F597C"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6038C8FB" w14:textId="77777777" w:rsidR="00990B14" w:rsidRDefault="00000000">
            <w:pPr>
              <w:keepNext/>
              <w:spacing w:before="20" w:after="20"/>
              <w:jc w:val="center"/>
            </w:pPr>
            <w:r>
              <w:rPr>
                <w:b/>
                <w:bCs/>
                <w:i/>
                <w:iCs/>
                <w:color w:val="FFFFFF"/>
                <w:sz w:val="18"/>
                <w:szCs w:val="18"/>
              </w:rPr>
              <w:t>Conocimientos circunstanciales</w:t>
            </w:r>
          </w:p>
        </w:tc>
      </w:tr>
      <w:tr w:rsidR="00990B14" w14:paraId="1D4A353D" w14:textId="77777777">
        <w:trPr>
          <w:jc w:val="center"/>
        </w:trPr>
        <w:tc>
          <w:tcPr>
            <w:tcW w:w="2349" w:type="dxa"/>
            <w:gridSpan w:val="2"/>
            <w:shd w:val="clear" w:color="auto" w:fill="D9E2F3"/>
          </w:tcPr>
          <w:p w14:paraId="2B1611AC" w14:textId="77777777" w:rsidR="00990B14" w:rsidRDefault="00000000">
            <w:pPr>
              <w:spacing w:before="20" w:after="40"/>
              <w:jc w:val="both"/>
            </w:pPr>
            <w:r>
              <w:rPr>
                <w:sz w:val="18"/>
                <w:szCs w:val="18"/>
              </w:rPr>
              <w:t>Tema 7: Procesos y operaciones de explotación y/o extracción</w:t>
            </w:r>
          </w:p>
          <w:p w14:paraId="08B0B4E7" w14:textId="77777777" w:rsidR="00990B14" w:rsidRDefault="00000000">
            <w:pPr>
              <w:spacing w:before="20" w:after="40"/>
              <w:jc w:val="both"/>
            </w:pPr>
            <w:r>
              <w:rPr>
                <w:sz w:val="18"/>
                <w:szCs w:val="18"/>
              </w:rPr>
              <w:t>Tema 8: Procesos y operaciones de concentración y/o recuperación</w:t>
            </w:r>
          </w:p>
        </w:tc>
        <w:tc>
          <w:tcPr>
            <w:tcW w:w="4304" w:type="dxa"/>
            <w:gridSpan w:val="8"/>
            <w:shd w:val="clear" w:color="auto" w:fill="D9E2F3"/>
          </w:tcPr>
          <w:p w14:paraId="7E18A4FB" w14:textId="77777777" w:rsidR="00990B14" w:rsidRDefault="00000000">
            <w:pPr>
              <w:spacing w:after="40"/>
              <w:jc w:val="both"/>
            </w:pPr>
            <w:r>
              <w:rPr>
                <w:sz w:val="18"/>
                <w:szCs w:val="18"/>
              </w:rPr>
              <w:t>Concepto de Extracción, Explotación y/o Producción - Formas, Sistemas, Tecnologías en la Producción - Principales Operaciones y Labores en Interior Mina: Sistema Subterráneo - Principales Operaciones y Labores en Mina: Sistema Open Pit (Cielo Abierto) - Servicios Auxiliares – Contabilización: Costos de Labor Directa, Labor Indirecta, Materiales, Gastos Directos e Indirectos, Costos interior Mina, Costos Seccionales Interior Mina. (C, P)</w:t>
            </w:r>
          </w:p>
          <w:p w14:paraId="127E31B0" w14:textId="77777777" w:rsidR="00990B14" w:rsidRDefault="00000000">
            <w:pPr>
              <w:spacing w:after="40"/>
              <w:jc w:val="both"/>
            </w:pPr>
            <w:r>
              <w:rPr>
                <w:sz w:val="18"/>
                <w:szCs w:val="18"/>
              </w:rPr>
              <w:t>Concepto de Concentración y/o Recuperación, - Formas, Sistemas de Concentración, Tecnologías de Concentración o Recuperación; Principales operaciones en ingenio y métodos de concentración gravitacional, flotación y lixiviación Contabilización: Costos de Labor Directa, Labor Indirecta, Materiales, Gastos Directos e Indirectos, Costos Ingenio: Costos Seccionales Ingenio. (C, P)</w:t>
            </w:r>
          </w:p>
          <w:p w14:paraId="0E44F433" w14:textId="77777777" w:rsidR="00990B14" w:rsidRDefault="00000000">
            <w:pPr>
              <w:spacing w:after="40"/>
              <w:jc w:val="both"/>
            </w:pPr>
            <w:r>
              <w:rPr>
                <w:sz w:val="18"/>
                <w:szCs w:val="18"/>
              </w:rPr>
              <w:t>Determinación del costo de producción por tonelada tratada y por contenido fino, calculada en hoja de cálculo. (P, T)</w:t>
            </w:r>
          </w:p>
        </w:tc>
        <w:tc>
          <w:tcPr>
            <w:tcW w:w="2752" w:type="dxa"/>
            <w:gridSpan w:val="3"/>
            <w:shd w:val="clear" w:color="auto" w:fill="D9E2F3"/>
          </w:tcPr>
          <w:p w14:paraId="0658F20B" w14:textId="77777777" w:rsidR="00990B14" w:rsidRDefault="00000000">
            <w:pPr>
              <w:numPr>
                <w:ilvl w:val="0"/>
                <w:numId w:val="139"/>
              </w:numPr>
              <w:spacing w:before="10" w:after="10"/>
              <w:jc w:val="both"/>
            </w:pPr>
            <w:r>
              <w:rPr>
                <w:sz w:val="18"/>
                <w:szCs w:val="18"/>
              </w:rPr>
              <w:t>Conocimientos previos de sistemas de costos de producción.</w:t>
            </w:r>
          </w:p>
        </w:tc>
      </w:tr>
      <w:tr w:rsidR="00990B14" w14:paraId="04F844A8" w14:textId="77777777">
        <w:trPr>
          <w:cantSplit/>
          <w:jc w:val="center"/>
        </w:trPr>
        <w:tc>
          <w:tcPr>
            <w:tcW w:w="9405" w:type="dxa"/>
            <w:gridSpan w:val="13"/>
            <w:shd w:val="clear" w:color="auto" w:fill="D9E2F3"/>
            <w:vAlign w:val="center"/>
          </w:tcPr>
          <w:p w14:paraId="42E92333" w14:textId="77777777" w:rsidR="00990B14" w:rsidRDefault="00000000">
            <w:pPr>
              <w:spacing w:before="20" w:after="20"/>
              <w:jc w:val="both"/>
            </w:pPr>
            <w:r>
              <w:rPr>
                <w:b/>
                <w:bCs/>
                <w:i/>
                <w:iCs/>
                <w:sz w:val="18"/>
                <w:szCs w:val="18"/>
              </w:rPr>
              <w:t xml:space="preserve">Elemento de competencia 4: </w:t>
            </w:r>
            <w:r>
              <w:rPr>
                <w:sz w:val="18"/>
                <w:szCs w:val="18"/>
              </w:rPr>
              <w:t>Elabora los estados financieros de una empresa minera, valuando los inventarios de minerales, liquidando las operaciones de comercialización y calculando las obligaciones del régimen impositivo minero conforme a las normas de contabilidad y las disposiciones legales vigentes, de forma sostenible con tendencia de las TICs (IA)</w:t>
            </w:r>
          </w:p>
        </w:tc>
      </w:tr>
      <w:tr w:rsidR="00990B14" w14:paraId="7F5C51B6" w14:textId="77777777">
        <w:trPr>
          <w:cantSplit/>
          <w:jc w:val="center"/>
        </w:trPr>
        <w:tc>
          <w:tcPr>
            <w:tcW w:w="3133" w:type="dxa"/>
            <w:gridSpan w:val="4"/>
            <w:shd w:val="clear" w:color="auto" w:fill="4472C4"/>
            <w:vAlign w:val="center"/>
          </w:tcPr>
          <w:p w14:paraId="436E8E70"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035B3B61"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5E019FCD" w14:textId="77777777" w:rsidR="00990B14" w:rsidRDefault="00000000">
            <w:pPr>
              <w:keepNext/>
              <w:spacing w:before="20" w:after="20"/>
              <w:jc w:val="center"/>
            </w:pPr>
            <w:r>
              <w:rPr>
                <w:b/>
                <w:bCs/>
                <w:i/>
                <w:iCs/>
                <w:color w:val="FFFFFF"/>
                <w:sz w:val="18"/>
                <w:szCs w:val="18"/>
              </w:rPr>
              <w:t>Evidencias de producto</w:t>
            </w:r>
          </w:p>
        </w:tc>
      </w:tr>
      <w:tr w:rsidR="00990B14" w14:paraId="316D9715" w14:textId="77777777">
        <w:trPr>
          <w:cantSplit/>
          <w:jc w:val="center"/>
        </w:trPr>
        <w:tc>
          <w:tcPr>
            <w:tcW w:w="3133" w:type="dxa"/>
            <w:gridSpan w:val="4"/>
            <w:vMerge w:val="restart"/>
            <w:shd w:val="clear" w:color="auto" w:fill="D9E2F3"/>
            <w:vAlign w:val="center"/>
          </w:tcPr>
          <w:p w14:paraId="13B7B5F2" w14:textId="77777777" w:rsidR="00990B14" w:rsidRDefault="00000000">
            <w:pPr>
              <w:spacing w:before="20" w:after="20"/>
              <w:jc w:val="both"/>
            </w:pPr>
            <w:r>
              <w:rPr>
                <w:sz w:val="18"/>
                <w:szCs w:val="18"/>
              </w:rPr>
              <w:t>1. Establece de manera correcta el valor bruto de venta, valor neto de venta y regalías mineras.</w:t>
            </w:r>
          </w:p>
        </w:tc>
        <w:tc>
          <w:tcPr>
            <w:tcW w:w="3135" w:type="dxa"/>
            <w:gridSpan w:val="5"/>
            <w:shd w:val="clear" w:color="auto" w:fill="D9E2F3"/>
            <w:vAlign w:val="center"/>
          </w:tcPr>
          <w:p w14:paraId="09CBBE17" w14:textId="77777777" w:rsidR="00990B14" w:rsidRDefault="00000000">
            <w:pPr>
              <w:spacing w:before="20" w:after="20"/>
              <w:jc w:val="both"/>
            </w:pPr>
            <w:r>
              <w:rPr>
                <w:sz w:val="18"/>
                <w:szCs w:val="18"/>
              </w:rPr>
              <w:t>1.1 Elabora en equipo la liquidación provisional y definitiva de venta de minerales.</w:t>
            </w:r>
          </w:p>
        </w:tc>
        <w:tc>
          <w:tcPr>
            <w:tcW w:w="3137" w:type="dxa"/>
            <w:gridSpan w:val="4"/>
            <w:shd w:val="clear" w:color="auto" w:fill="D9E2F3"/>
            <w:vAlign w:val="center"/>
          </w:tcPr>
          <w:p w14:paraId="68481C2B" w14:textId="77777777" w:rsidR="00990B14" w:rsidRDefault="00000000">
            <w:pPr>
              <w:spacing w:before="20" w:after="20"/>
              <w:jc w:val="both"/>
            </w:pPr>
            <w:r>
              <w:rPr>
                <w:b/>
                <w:bCs/>
                <w:sz w:val="18"/>
                <w:szCs w:val="18"/>
              </w:rPr>
              <w:t xml:space="preserve">Producto 13: </w:t>
            </w:r>
            <w:r>
              <w:rPr>
                <w:sz w:val="18"/>
                <w:szCs w:val="18"/>
              </w:rPr>
              <w:t>Hoja de Liquidación provisional y definitiva de venta de minerales.</w:t>
            </w:r>
          </w:p>
        </w:tc>
      </w:tr>
      <w:tr w:rsidR="00990B14" w14:paraId="2CA655C0" w14:textId="77777777">
        <w:trPr>
          <w:cantSplit/>
          <w:jc w:val="center"/>
        </w:trPr>
        <w:tc>
          <w:tcPr>
            <w:tcW w:w="3133" w:type="dxa"/>
            <w:gridSpan w:val="4"/>
            <w:vMerge/>
            <w:shd w:val="clear" w:color="auto" w:fill="D9E2F3"/>
            <w:vAlign w:val="center"/>
          </w:tcPr>
          <w:p w14:paraId="5449C4F6" w14:textId="77777777" w:rsidR="00990B14" w:rsidRDefault="00990B14">
            <w:pPr>
              <w:spacing w:before="20" w:after="20"/>
            </w:pPr>
          </w:p>
        </w:tc>
        <w:tc>
          <w:tcPr>
            <w:tcW w:w="3135" w:type="dxa"/>
            <w:gridSpan w:val="5"/>
            <w:shd w:val="clear" w:color="auto" w:fill="D9E2F3"/>
            <w:vAlign w:val="center"/>
          </w:tcPr>
          <w:p w14:paraId="2D160462" w14:textId="77777777" w:rsidR="00990B14" w:rsidRDefault="00000000">
            <w:pPr>
              <w:spacing w:before="20" w:after="20"/>
              <w:jc w:val="both"/>
            </w:pPr>
            <w:r>
              <w:rPr>
                <w:sz w:val="18"/>
                <w:szCs w:val="18"/>
              </w:rPr>
              <w:t>1.2 Calcula en aula las regalías mineras acreditables y no acreditables contra el Impuesto sobre las Utilidades de las Empresas.</w:t>
            </w:r>
          </w:p>
        </w:tc>
        <w:tc>
          <w:tcPr>
            <w:tcW w:w="3137" w:type="dxa"/>
            <w:gridSpan w:val="4"/>
            <w:shd w:val="clear" w:color="auto" w:fill="D9E2F3"/>
            <w:vAlign w:val="center"/>
          </w:tcPr>
          <w:p w14:paraId="40B2F679" w14:textId="77777777" w:rsidR="00990B14" w:rsidRDefault="00000000">
            <w:pPr>
              <w:spacing w:before="20" w:after="20"/>
              <w:jc w:val="both"/>
            </w:pPr>
            <w:r>
              <w:rPr>
                <w:b/>
                <w:bCs/>
                <w:sz w:val="18"/>
                <w:szCs w:val="18"/>
              </w:rPr>
              <w:t xml:space="preserve">Producto 14: </w:t>
            </w:r>
            <w:r>
              <w:rPr>
                <w:sz w:val="18"/>
                <w:szCs w:val="18"/>
              </w:rPr>
              <w:t>Cuadro comparativo de las cotizaciones de los minerales vendidos, con la tabla descrita en el art. 101 de la Ley 3787.</w:t>
            </w:r>
          </w:p>
        </w:tc>
      </w:tr>
      <w:tr w:rsidR="00990B14" w14:paraId="5BD74478" w14:textId="77777777">
        <w:trPr>
          <w:cantSplit/>
          <w:jc w:val="center"/>
        </w:trPr>
        <w:tc>
          <w:tcPr>
            <w:tcW w:w="3133" w:type="dxa"/>
            <w:gridSpan w:val="4"/>
            <w:vMerge w:val="restart"/>
            <w:shd w:val="clear" w:color="auto" w:fill="D9E2F3"/>
            <w:vAlign w:val="center"/>
          </w:tcPr>
          <w:p w14:paraId="04347FC5" w14:textId="77777777" w:rsidR="00990B14" w:rsidRDefault="00000000">
            <w:pPr>
              <w:spacing w:before="20" w:after="20"/>
              <w:jc w:val="both"/>
            </w:pPr>
            <w:r>
              <w:rPr>
                <w:sz w:val="18"/>
                <w:szCs w:val="18"/>
              </w:rPr>
              <w:t>2. Evalúa el impacto ambiental de las actividades mineras, valorando los costos ambientales de acuerdo a la normativa ambiental vigente.</w:t>
            </w:r>
          </w:p>
        </w:tc>
        <w:tc>
          <w:tcPr>
            <w:tcW w:w="3135" w:type="dxa"/>
            <w:gridSpan w:val="5"/>
            <w:shd w:val="clear" w:color="auto" w:fill="D9E2F3"/>
            <w:vAlign w:val="center"/>
          </w:tcPr>
          <w:p w14:paraId="6D1653F3" w14:textId="77777777" w:rsidR="00990B14" w:rsidRDefault="00000000">
            <w:pPr>
              <w:spacing w:before="20" w:after="20"/>
              <w:jc w:val="both"/>
            </w:pPr>
            <w:r>
              <w:rPr>
                <w:sz w:val="18"/>
                <w:szCs w:val="18"/>
              </w:rPr>
              <w:t>2.1 Expone ante el curso el impacto ambiental de las empresas mineras auríferas bolivianas.</w:t>
            </w:r>
          </w:p>
        </w:tc>
        <w:tc>
          <w:tcPr>
            <w:tcW w:w="3137" w:type="dxa"/>
            <w:gridSpan w:val="4"/>
            <w:shd w:val="clear" w:color="auto" w:fill="D9E2F3"/>
            <w:vAlign w:val="center"/>
          </w:tcPr>
          <w:p w14:paraId="0C9F71A3" w14:textId="77777777" w:rsidR="00990B14" w:rsidRDefault="00000000">
            <w:pPr>
              <w:spacing w:before="20" w:after="20"/>
              <w:jc w:val="both"/>
            </w:pPr>
            <w:r>
              <w:rPr>
                <w:b/>
                <w:bCs/>
                <w:sz w:val="18"/>
                <w:szCs w:val="18"/>
              </w:rPr>
              <w:t xml:space="preserve">Producto 15: </w:t>
            </w:r>
            <w:r>
              <w:rPr>
                <w:sz w:val="18"/>
                <w:szCs w:val="18"/>
              </w:rPr>
              <w:t>Diapositivas en Power Point o Canva que describan el impacto ambiental de esas empresas.</w:t>
            </w:r>
          </w:p>
        </w:tc>
      </w:tr>
      <w:tr w:rsidR="00990B14" w14:paraId="34057340" w14:textId="77777777">
        <w:trPr>
          <w:cantSplit/>
          <w:jc w:val="center"/>
        </w:trPr>
        <w:tc>
          <w:tcPr>
            <w:tcW w:w="3133" w:type="dxa"/>
            <w:gridSpan w:val="4"/>
            <w:vMerge/>
            <w:shd w:val="clear" w:color="auto" w:fill="D9E2F3"/>
            <w:vAlign w:val="center"/>
          </w:tcPr>
          <w:p w14:paraId="6C6A89A8" w14:textId="77777777" w:rsidR="00990B14" w:rsidRDefault="00990B14">
            <w:pPr>
              <w:spacing w:before="20" w:after="20"/>
            </w:pPr>
          </w:p>
        </w:tc>
        <w:tc>
          <w:tcPr>
            <w:tcW w:w="3135" w:type="dxa"/>
            <w:gridSpan w:val="5"/>
            <w:shd w:val="clear" w:color="auto" w:fill="D9E2F3"/>
            <w:vAlign w:val="center"/>
          </w:tcPr>
          <w:p w14:paraId="4E2FD89C" w14:textId="77777777" w:rsidR="00990B14" w:rsidRDefault="00000000">
            <w:pPr>
              <w:spacing w:before="20" w:after="20"/>
              <w:jc w:val="both"/>
            </w:pPr>
            <w:r>
              <w:rPr>
                <w:sz w:val="18"/>
                <w:szCs w:val="18"/>
              </w:rPr>
              <w:t>2.2 Explica en equipo la normativa ambiental vigente y su aplicación en las actividades mineras.</w:t>
            </w:r>
          </w:p>
        </w:tc>
        <w:tc>
          <w:tcPr>
            <w:tcW w:w="3137" w:type="dxa"/>
            <w:gridSpan w:val="4"/>
            <w:shd w:val="clear" w:color="auto" w:fill="D9E2F3"/>
            <w:vAlign w:val="center"/>
          </w:tcPr>
          <w:p w14:paraId="1C95A5C7" w14:textId="77777777" w:rsidR="00990B14" w:rsidRDefault="00000000">
            <w:pPr>
              <w:spacing w:before="20" w:after="20"/>
              <w:jc w:val="both"/>
            </w:pPr>
            <w:r>
              <w:rPr>
                <w:b/>
                <w:bCs/>
                <w:sz w:val="18"/>
                <w:szCs w:val="18"/>
              </w:rPr>
              <w:t xml:space="preserve">Producto 16: </w:t>
            </w:r>
            <w:r>
              <w:rPr>
                <w:sz w:val="18"/>
                <w:szCs w:val="18"/>
              </w:rPr>
              <w:t>Resumen explicativo de la normativa ambiental vigente.</w:t>
            </w:r>
          </w:p>
        </w:tc>
      </w:tr>
      <w:tr w:rsidR="00990B14" w14:paraId="6DDBCDB0" w14:textId="77777777">
        <w:trPr>
          <w:cantSplit/>
          <w:jc w:val="center"/>
        </w:trPr>
        <w:tc>
          <w:tcPr>
            <w:tcW w:w="9405" w:type="dxa"/>
            <w:gridSpan w:val="13"/>
            <w:shd w:val="clear" w:color="auto" w:fill="4472C4"/>
            <w:vAlign w:val="center"/>
          </w:tcPr>
          <w:p w14:paraId="50231B51" w14:textId="77777777" w:rsidR="00990B14" w:rsidRDefault="00000000">
            <w:pPr>
              <w:keepNext/>
              <w:spacing w:before="20" w:after="20"/>
              <w:jc w:val="center"/>
            </w:pPr>
            <w:r>
              <w:rPr>
                <w:b/>
                <w:bCs/>
                <w:i/>
                <w:iCs/>
                <w:color w:val="FFFFFF"/>
                <w:sz w:val="18"/>
                <w:szCs w:val="18"/>
              </w:rPr>
              <w:t>Evidencias de conocimiento</w:t>
            </w:r>
          </w:p>
        </w:tc>
      </w:tr>
      <w:tr w:rsidR="00990B14" w14:paraId="78F54774" w14:textId="77777777">
        <w:trPr>
          <w:cantSplit/>
          <w:jc w:val="center"/>
        </w:trPr>
        <w:tc>
          <w:tcPr>
            <w:tcW w:w="2349" w:type="dxa"/>
            <w:gridSpan w:val="2"/>
            <w:shd w:val="clear" w:color="auto" w:fill="4472C4"/>
            <w:vAlign w:val="center"/>
          </w:tcPr>
          <w:p w14:paraId="246EBBEB"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472BFE43" w14:textId="77777777" w:rsidR="00990B14" w:rsidRDefault="00000000">
            <w:pPr>
              <w:keepNext/>
              <w:spacing w:before="20" w:after="20"/>
              <w:jc w:val="both"/>
            </w:pPr>
            <w:r>
              <w:rPr>
                <w:b/>
                <w:bCs/>
                <w:i/>
                <w:iCs/>
                <w:color w:val="FFFFFF"/>
                <w:sz w:val="18"/>
                <w:szCs w:val="18"/>
              </w:rPr>
              <w:t>Contenidos</w:t>
            </w:r>
          </w:p>
          <w:p w14:paraId="7DC62CA6"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36ABD41E" w14:textId="77777777" w:rsidR="00990B14" w:rsidRDefault="00000000">
            <w:pPr>
              <w:keepNext/>
              <w:spacing w:before="20" w:after="20"/>
              <w:jc w:val="center"/>
            </w:pPr>
            <w:r>
              <w:rPr>
                <w:b/>
                <w:bCs/>
                <w:i/>
                <w:iCs/>
                <w:color w:val="FFFFFF"/>
                <w:sz w:val="18"/>
                <w:szCs w:val="18"/>
              </w:rPr>
              <w:t>Conocimientos circunstanciales</w:t>
            </w:r>
          </w:p>
        </w:tc>
      </w:tr>
      <w:tr w:rsidR="00990B14" w14:paraId="7016A793" w14:textId="77777777">
        <w:trPr>
          <w:jc w:val="center"/>
        </w:trPr>
        <w:tc>
          <w:tcPr>
            <w:tcW w:w="2349" w:type="dxa"/>
            <w:gridSpan w:val="2"/>
            <w:shd w:val="clear" w:color="auto" w:fill="D9E2F3"/>
          </w:tcPr>
          <w:p w14:paraId="74C3350F" w14:textId="77777777" w:rsidR="00990B14" w:rsidRDefault="00000000">
            <w:pPr>
              <w:spacing w:before="20" w:after="40"/>
              <w:jc w:val="both"/>
            </w:pPr>
            <w:r>
              <w:rPr>
                <w:sz w:val="18"/>
                <w:szCs w:val="18"/>
              </w:rPr>
              <w:t>Tema 9: Ventas y/o comercialización de minerales</w:t>
            </w:r>
          </w:p>
          <w:p w14:paraId="7FD76D77" w14:textId="77777777" w:rsidR="00990B14" w:rsidRDefault="00000000">
            <w:pPr>
              <w:spacing w:before="20" w:after="40"/>
              <w:jc w:val="both"/>
            </w:pPr>
            <w:r>
              <w:rPr>
                <w:sz w:val="18"/>
                <w:szCs w:val="18"/>
              </w:rPr>
              <w:t>Tema 10: Estados financieros</w:t>
            </w:r>
          </w:p>
          <w:p w14:paraId="068F7987" w14:textId="77777777" w:rsidR="00990B14" w:rsidRDefault="00000000">
            <w:pPr>
              <w:spacing w:before="20" w:after="40"/>
              <w:jc w:val="both"/>
            </w:pPr>
            <w:r>
              <w:rPr>
                <w:sz w:val="18"/>
                <w:szCs w:val="18"/>
              </w:rPr>
              <w:t>Tema 11: Gestión ambiental aplicada en las actividades mineras</w:t>
            </w:r>
          </w:p>
        </w:tc>
        <w:tc>
          <w:tcPr>
            <w:tcW w:w="4304" w:type="dxa"/>
            <w:gridSpan w:val="8"/>
            <w:shd w:val="clear" w:color="auto" w:fill="D9E2F3"/>
          </w:tcPr>
          <w:p w14:paraId="4935D6EE" w14:textId="77777777" w:rsidR="00990B14" w:rsidRDefault="00000000">
            <w:pPr>
              <w:spacing w:after="40"/>
              <w:jc w:val="both"/>
            </w:pPr>
            <w:r>
              <w:rPr>
                <w:sz w:val="18"/>
                <w:szCs w:val="18"/>
              </w:rPr>
              <w:t>Concepto de Venta o Comercialización - Liquidaciones Provisionales - Liquidaciones Definitivas - Elaboración de Liquidaciones Provisionales y Definitivas – Castigos por Impurezas o Penalizaciones - Gastos en Fundición - Gastos de Comercialización o Realización – Cálculo de las Regalías Mineras: Regalías Acreditables y No acreditables- Libro de Compras Control Regalía Minera - Libro de Ventas Brutas Control Regalía Minera. (C, P)</w:t>
            </w:r>
          </w:p>
          <w:p w14:paraId="31834CB7" w14:textId="77777777" w:rsidR="00990B14" w:rsidRDefault="00000000">
            <w:pPr>
              <w:spacing w:after="40"/>
              <w:jc w:val="both"/>
            </w:pPr>
            <w:r>
              <w:rPr>
                <w:sz w:val="18"/>
                <w:szCs w:val="18"/>
              </w:rPr>
              <w:t>Elaboración de Estados Financieros - Balance General – Estado de Resultados – Estados Financieros Auxiliares: Estado de Consolidación de Regalías Mineras; Estado de Compensación Regalía minera con IUE – Estado de la Alícuota Adicional al IUE – Estado de consolidación de anticipos a la Alícuota Adicional al IUE. (P)</w:t>
            </w:r>
          </w:p>
          <w:p w14:paraId="1522E3AC" w14:textId="77777777" w:rsidR="00990B14" w:rsidRDefault="00000000">
            <w:pPr>
              <w:spacing w:after="40"/>
              <w:jc w:val="both"/>
            </w:pPr>
            <w:r>
              <w:rPr>
                <w:sz w:val="18"/>
                <w:szCs w:val="18"/>
              </w:rPr>
              <w:t>Antecedentes de la gestión ambiental en Bolivia, políticas medioambientales y gestión ambiental en las actividades mineras. (C)</w:t>
            </w:r>
          </w:p>
          <w:p w14:paraId="7684F321" w14:textId="77777777" w:rsidR="00990B14" w:rsidRDefault="00000000">
            <w:pPr>
              <w:spacing w:after="40"/>
              <w:jc w:val="both"/>
            </w:pPr>
            <w:r>
              <w:rPr>
                <w:sz w:val="18"/>
                <w:szCs w:val="18"/>
              </w:rPr>
              <w:t>Problemas ambientales de la minería, uso de reactivos en la concentración o recuperación, evaluación del impacto ambiental, y efectos de la degradación y el deterioro ambiental. (P)</w:t>
            </w:r>
          </w:p>
          <w:p w14:paraId="65703B49" w14:textId="77777777" w:rsidR="00990B14" w:rsidRDefault="00000000">
            <w:pPr>
              <w:spacing w:after="40"/>
              <w:jc w:val="both"/>
            </w:pPr>
            <w:r>
              <w:rPr>
                <w:sz w:val="18"/>
                <w:szCs w:val="18"/>
              </w:rPr>
              <w:t>Desarrollo sostenible, valoración de los costos ambientales y programas de restauración; contabilización. (P)</w:t>
            </w:r>
          </w:p>
          <w:p w14:paraId="1D9F5AEE" w14:textId="77777777" w:rsidR="00990B14" w:rsidRDefault="00000000">
            <w:pPr>
              <w:spacing w:after="40"/>
              <w:jc w:val="both"/>
            </w:pPr>
            <w:r>
              <w:rPr>
                <w:sz w:val="18"/>
                <w:szCs w:val="18"/>
              </w:rPr>
              <w:t>Pasivos ambientales mineros y provisión por restauración: estimación, descuento financiero y revisión periódica conforme a la NIC 37. (C)</w:t>
            </w:r>
          </w:p>
          <w:p w14:paraId="05701629" w14:textId="77777777" w:rsidR="00990B14" w:rsidRDefault="00000000">
            <w:pPr>
              <w:spacing w:after="40"/>
              <w:jc w:val="both"/>
            </w:pPr>
            <w:r>
              <w:rPr>
                <w:sz w:val="18"/>
                <w:szCs w:val="18"/>
              </w:rPr>
              <w:t>Criterios jurídicos: Ley N.º 1333, Ley del Medio Ambiente; Decreto Supremo N.º 24176, reglamento de la Ley del Medio Ambiente; Decreto Supremo N.º 24782, reglamento ambiental para el sector minero; Decreto Supremo N.º 24419, de ampliación de plazos para la presentación de manifiestos ambientales. (C)</w:t>
            </w:r>
          </w:p>
          <w:p w14:paraId="380ED120" w14:textId="77777777" w:rsidR="00990B14" w:rsidRDefault="00000000">
            <w:pPr>
              <w:spacing w:after="40"/>
              <w:jc w:val="both"/>
            </w:pPr>
            <w:r>
              <w:rPr>
                <w:sz w:val="18"/>
                <w:szCs w:val="18"/>
              </w:rPr>
              <w:t>Análisis del pronunciamiento FASB 143, Accounting for Asset Retirement Obligations, sobre obligaciones por retiro de activos. (P)</w:t>
            </w:r>
          </w:p>
        </w:tc>
        <w:tc>
          <w:tcPr>
            <w:tcW w:w="2752" w:type="dxa"/>
            <w:gridSpan w:val="3"/>
            <w:shd w:val="clear" w:color="auto" w:fill="D9E2F3"/>
          </w:tcPr>
          <w:p w14:paraId="2B79953D" w14:textId="77777777" w:rsidR="00990B14" w:rsidRDefault="00000000">
            <w:pPr>
              <w:numPr>
                <w:ilvl w:val="0"/>
                <w:numId w:val="139"/>
              </w:numPr>
              <w:spacing w:before="10" w:after="10"/>
              <w:jc w:val="both"/>
            </w:pPr>
            <w:r>
              <w:rPr>
                <w:sz w:val="18"/>
                <w:szCs w:val="18"/>
              </w:rPr>
              <w:t>Funcionamiento de los mercados internacionales de metales y de sus cotizaciones de referencia.</w:t>
            </w:r>
          </w:p>
          <w:p w14:paraId="725F0C1D" w14:textId="77777777" w:rsidR="00990B14" w:rsidRDefault="00000000">
            <w:pPr>
              <w:numPr>
                <w:ilvl w:val="0"/>
                <w:numId w:val="139"/>
              </w:numPr>
              <w:spacing w:before="10" w:after="10"/>
              <w:jc w:val="both"/>
            </w:pPr>
            <w:r>
              <w:rPr>
                <w:sz w:val="18"/>
                <w:szCs w:val="18"/>
              </w:rPr>
              <w:t>Nociones sobre unidades de peso de los minerales, equivalencias y conversiones.</w:t>
            </w:r>
          </w:p>
          <w:p w14:paraId="4360B543" w14:textId="77777777" w:rsidR="00990B14" w:rsidRDefault="00000000">
            <w:pPr>
              <w:numPr>
                <w:ilvl w:val="0"/>
                <w:numId w:val="139"/>
              </w:numPr>
              <w:spacing w:before="10" w:after="10"/>
              <w:jc w:val="both"/>
            </w:pPr>
            <w:r>
              <w:rPr>
                <w:sz w:val="18"/>
                <w:szCs w:val="18"/>
              </w:rPr>
              <w:t>Nociones de los efectos de la explotación de los Recursos Naturales No Renovables, en el medio ambiente.</w:t>
            </w:r>
          </w:p>
        </w:tc>
      </w:tr>
      <w:tr w:rsidR="00990B14" w14:paraId="7BAE70A4" w14:textId="77777777">
        <w:trPr>
          <w:cantSplit/>
          <w:jc w:val="center"/>
        </w:trPr>
        <w:tc>
          <w:tcPr>
            <w:tcW w:w="9405" w:type="dxa"/>
            <w:gridSpan w:val="13"/>
            <w:shd w:val="clear" w:color="auto" w:fill="D9E2F3"/>
            <w:vAlign w:val="center"/>
          </w:tcPr>
          <w:p w14:paraId="3027A33F" w14:textId="77777777" w:rsidR="00990B14" w:rsidRDefault="00000000">
            <w:pPr>
              <w:spacing w:before="20" w:after="20"/>
              <w:jc w:val="both"/>
            </w:pPr>
            <w:r>
              <w:rPr>
                <w:b/>
                <w:bCs/>
                <w:i/>
                <w:iCs/>
                <w:sz w:val="18"/>
                <w:szCs w:val="18"/>
              </w:rPr>
              <w:t xml:space="preserve">Elemento de competencia 5: </w:t>
            </w:r>
            <w:r>
              <w:rPr>
                <w:sz w:val="18"/>
                <w:szCs w:val="18"/>
              </w:rPr>
              <w:t>Explica los fundamentos de la industria petrolera y su organización contable, relacionando las fases de la actividad hidrocarburífera con la estructura administrativa, funcional y contable de las empresas del sector.</w:t>
            </w:r>
          </w:p>
        </w:tc>
      </w:tr>
      <w:tr w:rsidR="00990B14" w14:paraId="498DF125" w14:textId="77777777">
        <w:trPr>
          <w:cantSplit/>
          <w:jc w:val="center"/>
        </w:trPr>
        <w:tc>
          <w:tcPr>
            <w:tcW w:w="3133" w:type="dxa"/>
            <w:gridSpan w:val="4"/>
            <w:shd w:val="clear" w:color="auto" w:fill="4472C4"/>
            <w:vAlign w:val="center"/>
          </w:tcPr>
          <w:p w14:paraId="6E242BBA"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7CAE6AFD"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4A4B65D1" w14:textId="77777777" w:rsidR="00990B14" w:rsidRDefault="00000000">
            <w:pPr>
              <w:keepNext/>
              <w:spacing w:before="20" w:after="20"/>
              <w:jc w:val="center"/>
            </w:pPr>
            <w:r>
              <w:rPr>
                <w:b/>
                <w:bCs/>
                <w:i/>
                <w:iCs/>
                <w:color w:val="FFFFFF"/>
                <w:sz w:val="18"/>
                <w:szCs w:val="18"/>
              </w:rPr>
              <w:t>Evidencias de producto</w:t>
            </w:r>
          </w:p>
        </w:tc>
      </w:tr>
      <w:tr w:rsidR="00990B14" w14:paraId="265D3B15" w14:textId="77777777">
        <w:trPr>
          <w:cantSplit/>
          <w:jc w:val="center"/>
        </w:trPr>
        <w:tc>
          <w:tcPr>
            <w:tcW w:w="3133" w:type="dxa"/>
            <w:gridSpan w:val="4"/>
            <w:vMerge w:val="restart"/>
            <w:shd w:val="clear" w:color="auto" w:fill="D9E2F3"/>
            <w:vAlign w:val="center"/>
          </w:tcPr>
          <w:p w14:paraId="6568F9B2" w14:textId="77777777" w:rsidR="00990B14" w:rsidRDefault="00000000">
            <w:pPr>
              <w:spacing w:before="20" w:after="20"/>
              <w:jc w:val="both"/>
            </w:pPr>
            <w:r>
              <w:rPr>
                <w:sz w:val="18"/>
                <w:szCs w:val="18"/>
              </w:rPr>
              <w:t>1. Analiza la naturaleza de la industria petrolera boliviana, diferenciando la organización y el proceso productivo de esta industria respecto de otras.</w:t>
            </w:r>
          </w:p>
        </w:tc>
        <w:tc>
          <w:tcPr>
            <w:tcW w:w="3135" w:type="dxa"/>
            <w:gridSpan w:val="5"/>
            <w:shd w:val="clear" w:color="auto" w:fill="D9E2F3"/>
            <w:vAlign w:val="center"/>
          </w:tcPr>
          <w:p w14:paraId="07401907" w14:textId="77777777" w:rsidR="00990B14" w:rsidRDefault="00000000">
            <w:pPr>
              <w:spacing w:before="20" w:after="20"/>
              <w:jc w:val="both"/>
            </w:pPr>
            <w:r>
              <w:rPr>
                <w:sz w:val="18"/>
                <w:szCs w:val="18"/>
              </w:rPr>
              <w:t>1.1 Expone en equipo la importancia de la industria petrolera a lo largo de la historia.</w:t>
            </w:r>
          </w:p>
        </w:tc>
        <w:tc>
          <w:tcPr>
            <w:tcW w:w="3137" w:type="dxa"/>
            <w:gridSpan w:val="4"/>
            <w:shd w:val="clear" w:color="auto" w:fill="D9E2F3"/>
            <w:vAlign w:val="center"/>
          </w:tcPr>
          <w:p w14:paraId="410CE295" w14:textId="77777777" w:rsidR="00990B14" w:rsidRDefault="00000000">
            <w:pPr>
              <w:spacing w:before="20" w:after="20"/>
              <w:jc w:val="both"/>
            </w:pPr>
            <w:r>
              <w:rPr>
                <w:b/>
                <w:bCs/>
                <w:sz w:val="18"/>
                <w:szCs w:val="18"/>
              </w:rPr>
              <w:t xml:space="preserve">Producto 17: </w:t>
            </w:r>
            <w:r>
              <w:rPr>
                <w:sz w:val="18"/>
                <w:szCs w:val="18"/>
              </w:rPr>
              <w:t>Diagrama de llaves de la historia del petróleo en Bolivia.</w:t>
            </w:r>
          </w:p>
        </w:tc>
      </w:tr>
      <w:tr w:rsidR="00990B14" w14:paraId="416024B3" w14:textId="77777777">
        <w:trPr>
          <w:cantSplit/>
          <w:jc w:val="center"/>
        </w:trPr>
        <w:tc>
          <w:tcPr>
            <w:tcW w:w="3133" w:type="dxa"/>
            <w:gridSpan w:val="4"/>
            <w:vMerge/>
            <w:shd w:val="clear" w:color="auto" w:fill="D9E2F3"/>
            <w:vAlign w:val="center"/>
          </w:tcPr>
          <w:p w14:paraId="61B05D02" w14:textId="77777777" w:rsidR="00990B14" w:rsidRDefault="00990B14">
            <w:pPr>
              <w:spacing w:before="20" w:after="20"/>
            </w:pPr>
          </w:p>
        </w:tc>
        <w:tc>
          <w:tcPr>
            <w:tcW w:w="3135" w:type="dxa"/>
            <w:gridSpan w:val="5"/>
            <w:shd w:val="clear" w:color="auto" w:fill="D9E2F3"/>
            <w:vAlign w:val="center"/>
          </w:tcPr>
          <w:p w14:paraId="45ED0166" w14:textId="77777777" w:rsidR="00990B14" w:rsidRDefault="00000000">
            <w:pPr>
              <w:spacing w:before="20" w:after="20"/>
              <w:jc w:val="both"/>
            </w:pPr>
            <w:r>
              <w:rPr>
                <w:sz w:val="18"/>
                <w:szCs w:val="18"/>
              </w:rPr>
              <w:t>1.2 Describe de manera individual, los tipos de empresas petroleras y cómo se encuentran organizadas de acuerdo a su proceso productivo.</w:t>
            </w:r>
          </w:p>
        </w:tc>
        <w:tc>
          <w:tcPr>
            <w:tcW w:w="3137" w:type="dxa"/>
            <w:gridSpan w:val="4"/>
            <w:shd w:val="clear" w:color="auto" w:fill="D9E2F3"/>
            <w:vAlign w:val="center"/>
          </w:tcPr>
          <w:p w14:paraId="305B8092" w14:textId="77777777" w:rsidR="00990B14" w:rsidRDefault="00000000">
            <w:pPr>
              <w:spacing w:before="20" w:after="20"/>
              <w:jc w:val="both"/>
            </w:pPr>
            <w:r>
              <w:rPr>
                <w:b/>
                <w:bCs/>
                <w:sz w:val="18"/>
                <w:szCs w:val="18"/>
              </w:rPr>
              <w:t xml:space="preserve">Producto 18: </w:t>
            </w:r>
            <w:r>
              <w:rPr>
                <w:sz w:val="18"/>
                <w:szCs w:val="18"/>
              </w:rPr>
              <w:t>Trabajo de investigación sobre qué empresas petroleras se tiene en Bolivia y su tipo de organización.</w:t>
            </w:r>
          </w:p>
        </w:tc>
      </w:tr>
      <w:tr w:rsidR="00990B14" w14:paraId="723BE22A" w14:textId="77777777">
        <w:trPr>
          <w:cantSplit/>
          <w:jc w:val="center"/>
        </w:trPr>
        <w:tc>
          <w:tcPr>
            <w:tcW w:w="3133" w:type="dxa"/>
            <w:gridSpan w:val="4"/>
            <w:vMerge w:val="restart"/>
            <w:shd w:val="clear" w:color="auto" w:fill="D9E2F3"/>
            <w:vAlign w:val="center"/>
          </w:tcPr>
          <w:p w14:paraId="206CC1B1" w14:textId="77777777" w:rsidR="00990B14" w:rsidRDefault="00000000">
            <w:pPr>
              <w:spacing w:before="20" w:after="20"/>
              <w:jc w:val="both"/>
            </w:pPr>
            <w:r>
              <w:rPr>
                <w:sz w:val="18"/>
                <w:szCs w:val="18"/>
              </w:rPr>
              <w:t>2. Comprende el proceso contable de cada una de las actividades hidrocarburíferas, comparando las operaciones que intervienen en cada una de estas.</w:t>
            </w:r>
          </w:p>
        </w:tc>
        <w:tc>
          <w:tcPr>
            <w:tcW w:w="3135" w:type="dxa"/>
            <w:gridSpan w:val="5"/>
            <w:shd w:val="clear" w:color="auto" w:fill="D9E2F3"/>
            <w:vAlign w:val="center"/>
          </w:tcPr>
          <w:p w14:paraId="074F74E7" w14:textId="77777777" w:rsidR="00990B14" w:rsidRDefault="00000000">
            <w:pPr>
              <w:spacing w:before="20" w:after="20"/>
              <w:jc w:val="both"/>
            </w:pPr>
            <w:r>
              <w:rPr>
                <w:sz w:val="18"/>
                <w:szCs w:val="18"/>
              </w:rPr>
              <w:t>2.1 Explica en aula la importancia de registrar contablemente las operaciones petroleras y qué tipo de decisiones se toman a nivel gerencial.</w:t>
            </w:r>
          </w:p>
        </w:tc>
        <w:tc>
          <w:tcPr>
            <w:tcW w:w="3137" w:type="dxa"/>
            <w:gridSpan w:val="4"/>
            <w:shd w:val="clear" w:color="auto" w:fill="D9E2F3"/>
            <w:vAlign w:val="center"/>
          </w:tcPr>
          <w:p w14:paraId="0E446DFB" w14:textId="77777777" w:rsidR="00990B14" w:rsidRDefault="00000000">
            <w:pPr>
              <w:spacing w:before="20" w:after="20"/>
              <w:jc w:val="both"/>
            </w:pPr>
            <w:r>
              <w:rPr>
                <w:b/>
                <w:bCs/>
                <w:sz w:val="18"/>
                <w:szCs w:val="18"/>
              </w:rPr>
              <w:t xml:space="preserve">Producto 19: </w:t>
            </w:r>
            <w:r>
              <w:rPr>
                <w:sz w:val="18"/>
                <w:szCs w:val="18"/>
              </w:rPr>
              <w:t>Cuestionario con preguntas acerca de la definición de contabilidad petrolera.</w:t>
            </w:r>
          </w:p>
        </w:tc>
      </w:tr>
      <w:tr w:rsidR="00990B14" w14:paraId="259CA36D" w14:textId="77777777">
        <w:trPr>
          <w:cantSplit/>
          <w:jc w:val="center"/>
        </w:trPr>
        <w:tc>
          <w:tcPr>
            <w:tcW w:w="3133" w:type="dxa"/>
            <w:gridSpan w:val="4"/>
            <w:vMerge/>
            <w:shd w:val="clear" w:color="auto" w:fill="D9E2F3"/>
            <w:vAlign w:val="center"/>
          </w:tcPr>
          <w:p w14:paraId="7E6056FF" w14:textId="77777777" w:rsidR="00990B14" w:rsidRDefault="00990B14">
            <w:pPr>
              <w:spacing w:before="20" w:after="20"/>
            </w:pPr>
          </w:p>
        </w:tc>
        <w:tc>
          <w:tcPr>
            <w:tcW w:w="3135" w:type="dxa"/>
            <w:gridSpan w:val="5"/>
            <w:shd w:val="clear" w:color="auto" w:fill="D9E2F3"/>
            <w:vAlign w:val="center"/>
          </w:tcPr>
          <w:p w14:paraId="50F66AA6" w14:textId="77777777" w:rsidR="00990B14" w:rsidRDefault="00000000">
            <w:pPr>
              <w:spacing w:before="20" w:after="20"/>
              <w:jc w:val="both"/>
            </w:pPr>
            <w:r>
              <w:rPr>
                <w:sz w:val="18"/>
                <w:szCs w:val="18"/>
              </w:rPr>
              <w:t>2.2 Resume en equipo, cuáles son las fases de la industria petrolera.</w:t>
            </w:r>
          </w:p>
        </w:tc>
        <w:tc>
          <w:tcPr>
            <w:tcW w:w="3137" w:type="dxa"/>
            <w:gridSpan w:val="4"/>
            <w:shd w:val="clear" w:color="auto" w:fill="D9E2F3"/>
            <w:vAlign w:val="center"/>
          </w:tcPr>
          <w:p w14:paraId="18663F71" w14:textId="77777777" w:rsidR="00990B14" w:rsidRDefault="00000000">
            <w:pPr>
              <w:spacing w:before="20" w:after="20"/>
              <w:jc w:val="both"/>
            </w:pPr>
            <w:r>
              <w:rPr>
                <w:b/>
                <w:bCs/>
                <w:sz w:val="18"/>
                <w:szCs w:val="18"/>
              </w:rPr>
              <w:t xml:space="preserve">Producto 20: </w:t>
            </w:r>
            <w:r>
              <w:rPr>
                <w:sz w:val="18"/>
                <w:szCs w:val="18"/>
              </w:rPr>
              <w:t>Mapa mental que describa las características de las actividades hidrocarburíferas.</w:t>
            </w:r>
          </w:p>
        </w:tc>
      </w:tr>
      <w:tr w:rsidR="00990B14" w14:paraId="0EC6193F" w14:textId="77777777">
        <w:trPr>
          <w:cantSplit/>
          <w:jc w:val="center"/>
        </w:trPr>
        <w:tc>
          <w:tcPr>
            <w:tcW w:w="9405" w:type="dxa"/>
            <w:gridSpan w:val="13"/>
            <w:shd w:val="clear" w:color="auto" w:fill="4472C4"/>
            <w:vAlign w:val="center"/>
          </w:tcPr>
          <w:p w14:paraId="05364A1E" w14:textId="77777777" w:rsidR="00990B14" w:rsidRDefault="00000000">
            <w:pPr>
              <w:keepNext/>
              <w:spacing w:before="20" w:after="20"/>
              <w:jc w:val="center"/>
            </w:pPr>
            <w:r>
              <w:rPr>
                <w:b/>
                <w:bCs/>
                <w:i/>
                <w:iCs/>
                <w:color w:val="FFFFFF"/>
                <w:sz w:val="18"/>
                <w:szCs w:val="18"/>
              </w:rPr>
              <w:t>Evidencias de conocimiento</w:t>
            </w:r>
          </w:p>
        </w:tc>
      </w:tr>
      <w:tr w:rsidR="00990B14" w14:paraId="1CEA4ECD" w14:textId="77777777">
        <w:trPr>
          <w:cantSplit/>
          <w:jc w:val="center"/>
        </w:trPr>
        <w:tc>
          <w:tcPr>
            <w:tcW w:w="2349" w:type="dxa"/>
            <w:gridSpan w:val="2"/>
            <w:shd w:val="clear" w:color="auto" w:fill="4472C4"/>
            <w:vAlign w:val="center"/>
          </w:tcPr>
          <w:p w14:paraId="60C35024"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3FE64F24" w14:textId="77777777" w:rsidR="00990B14" w:rsidRDefault="00000000">
            <w:pPr>
              <w:keepNext/>
              <w:spacing w:before="20" w:after="20"/>
              <w:jc w:val="both"/>
            </w:pPr>
            <w:r>
              <w:rPr>
                <w:b/>
                <w:bCs/>
                <w:i/>
                <w:iCs/>
                <w:color w:val="FFFFFF"/>
                <w:sz w:val="18"/>
                <w:szCs w:val="18"/>
              </w:rPr>
              <w:t>Contenidos</w:t>
            </w:r>
          </w:p>
          <w:p w14:paraId="0176FEA9"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4D14400F" w14:textId="77777777" w:rsidR="00990B14" w:rsidRDefault="00000000">
            <w:pPr>
              <w:keepNext/>
              <w:spacing w:before="20" w:after="20"/>
              <w:jc w:val="center"/>
            </w:pPr>
            <w:r>
              <w:rPr>
                <w:b/>
                <w:bCs/>
                <w:i/>
                <w:iCs/>
                <w:color w:val="FFFFFF"/>
                <w:sz w:val="18"/>
                <w:szCs w:val="18"/>
              </w:rPr>
              <w:t>Conocimientos circunstanciales</w:t>
            </w:r>
          </w:p>
        </w:tc>
      </w:tr>
      <w:tr w:rsidR="00990B14" w14:paraId="13BBB012" w14:textId="77777777">
        <w:trPr>
          <w:jc w:val="center"/>
        </w:trPr>
        <w:tc>
          <w:tcPr>
            <w:tcW w:w="2349" w:type="dxa"/>
            <w:gridSpan w:val="2"/>
            <w:shd w:val="clear" w:color="auto" w:fill="D9E2F3"/>
          </w:tcPr>
          <w:p w14:paraId="63DDDB1F" w14:textId="77777777" w:rsidR="00990B14" w:rsidRDefault="00000000">
            <w:pPr>
              <w:spacing w:before="20" w:after="40"/>
              <w:jc w:val="both"/>
            </w:pPr>
            <w:r>
              <w:rPr>
                <w:sz w:val="18"/>
                <w:szCs w:val="18"/>
              </w:rPr>
              <w:t>Tema 12: La industria petrolera</w:t>
            </w:r>
          </w:p>
          <w:p w14:paraId="512C2D7F" w14:textId="77777777" w:rsidR="00990B14" w:rsidRDefault="00000000">
            <w:pPr>
              <w:spacing w:before="20" w:after="40"/>
              <w:jc w:val="both"/>
            </w:pPr>
            <w:r>
              <w:rPr>
                <w:sz w:val="18"/>
                <w:szCs w:val="18"/>
              </w:rPr>
              <w:t>Tema 13: Organización y procedimientos de contabilidad en la industria petrolera</w:t>
            </w:r>
          </w:p>
          <w:p w14:paraId="26DA36EE" w14:textId="77777777" w:rsidR="00990B14" w:rsidRDefault="00000000">
            <w:pPr>
              <w:spacing w:before="20" w:after="40"/>
              <w:jc w:val="both"/>
            </w:pPr>
            <w:r>
              <w:rPr>
                <w:sz w:val="18"/>
                <w:szCs w:val="18"/>
              </w:rPr>
              <w:t>Tema 14: Contabilidad de las empresas petroleras</w:t>
            </w:r>
          </w:p>
        </w:tc>
        <w:tc>
          <w:tcPr>
            <w:tcW w:w="4304" w:type="dxa"/>
            <w:gridSpan w:val="8"/>
            <w:shd w:val="clear" w:color="auto" w:fill="D9E2F3"/>
          </w:tcPr>
          <w:p w14:paraId="1C7A217A" w14:textId="77777777" w:rsidR="00990B14" w:rsidRDefault="00000000">
            <w:pPr>
              <w:spacing w:after="40"/>
              <w:jc w:val="both"/>
            </w:pPr>
            <w:r>
              <w:rPr>
                <w:sz w:val="18"/>
                <w:szCs w:val="18"/>
              </w:rPr>
              <w:t>Introducción - Naturaleza de la industria Petrolera - Los Hidrocarburos: a) El Petróleo b) Gas Natural - Los Hidrocarburos en Bolivia - Importancia - Tecnología Petrolera - Las Compañías y/o Empresas de Hidrocarburos: a) Estatal b) Privadas c) Mixtas. (C)</w:t>
            </w:r>
          </w:p>
          <w:p w14:paraId="14631712" w14:textId="77777777" w:rsidR="00990B14" w:rsidRDefault="00000000">
            <w:pPr>
              <w:spacing w:after="40"/>
              <w:jc w:val="both"/>
            </w:pPr>
            <w:r>
              <w:rPr>
                <w:sz w:val="18"/>
                <w:szCs w:val="18"/>
              </w:rPr>
              <w:t>Procedimientos Generales de Contabilidad - Organización de las Empresas y/o Compañías de Hidrocarburos - Constitución de las Sociedades de Hidrocarburos - Organización Administrativa - Estructura Funcional - Organización Contable - Organización y Plan de Cuentas o Nomenclador - Principales Libros o Registros Contables. (C)</w:t>
            </w:r>
          </w:p>
          <w:p w14:paraId="3878C789" w14:textId="77777777" w:rsidR="00990B14" w:rsidRDefault="00000000">
            <w:pPr>
              <w:spacing w:after="40"/>
              <w:jc w:val="both"/>
            </w:pPr>
            <w:r>
              <w:rPr>
                <w:sz w:val="18"/>
                <w:szCs w:val="18"/>
              </w:rPr>
              <w:t>Concepto de la Contabilidad Petrolera – Actividades de la Industria Petrolera: a) Exploración b) Explotación c) Comercialización: Mayorista y Minoristas d) Transporte y almacenaje e) Refinación e Industrialización f) Distribución de Gas Natural por Redes. (C)</w:t>
            </w:r>
          </w:p>
        </w:tc>
        <w:tc>
          <w:tcPr>
            <w:tcW w:w="2752" w:type="dxa"/>
            <w:gridSpan w:val="3"/>
            <w:shd w:val="clear" w:color="auto" w:fill="D9E2F3"/>
          </w:tcPr>
          <w:p w14:paraId="0C8B9CE1" w14:textId="77777777" w:rsidR="00990B14" w:rsidRDefault="00000000">
            <w:pPr>
              <w:numPr>
                <w:ilvl w:val="0"/>
                <w:numId w:val="139"/>
              </w:numPr>
              <w:spacing w:before="10" w:after="10"/>
              <w:jc w:val="both"/>
            </w:pPr>
            <w:r>
              <w:rPr>
                <w:sz w:val="18"/>
                <w:szCs w:val="18"/>
              </w:rPr>
              <w:t>Nociones de geología del petróleo: roca generadora, roca reservorio y trampas.</w:t>
            </w:r>
          </w:p>
          <w:p w14:paraId="630E0980" w14:textId="77777777" w:rsidR="00990B14" w:rsidRDefault="00000000">
            <w:pPr>
              <w:numPr>
                <w:ilvl w:val="0"/>
                <w:numId w:val="139"/>
              </w:numPr>
              <w:spacing w:before="10" w:after="10"/>
              <w:jc w:val="both"/>
            </w:pPr>
            <w:r>
              <w:rPr>
                <w:sz w:val="18"/>
                <w:szCs w:val="18"/>
              </w:rPr>
              <w:t>Propiedades físicas del petróleo y del gas natural: densidad, gravedad API y poder calorífico.</w:t>
            </w:r>
          </w:p>
          <w:p w14:paraId="2C8F6252" w14:textId="77777777" w:rsidR="00990B14" w:rsidRDefault="00000000">
            <w:pPr>
              <w:numPr>
                <w:ilvl w:val="0"/>
                <w:numId w:val="139"/>
              </w:numPr>
              <w:spacing w:before="10" w:after="10"/>
              <w:jc w:val="both"/>
            </w:pPr>
            <w:r>
              <w:rPr>
                <w:sz w:val="18"/>
                <w:szCs w:val="18"/>
              </w:rPr>
              <w:t>Cuencas hidrocarburíferas de Bolivia y sus principales campos productores.</w:t>
            </w:r>
          </w:p>
        </w:tc>
      </w:tr>
      <w:tr w:rsidR="00990B14" w14:paraId="17926F14" w14:textId="77777777">
        <w:trPr>
          <w:cantSplit/>
          <w:jc w:val="center"/>
        </w:trPr>
        <w:tc>
          <w:tcPr>
            <w:tcW w:w="9405" w:type="dxa"/>
            <w:gridSpan w:val="13"/>
            <w:shd w:val="clear" w:color="auto" w:fill="D9E2F3"/>
            <w:vAlign w:val="center"/>
          </w:tcPr>
          <w:p w14:paraId="225E5292" w14:textId="77777777" w:rsidR="00990B14" w:rsidRDefault="00000000">
            <w:pPr>
              <w:spacing w:before="20" w:after="20"/>
              <w:jc w:val="both"/>
            </w:pPr>
            <w:r>
              <w:rPr>
                <w:b/>
                <w:bCs/>
                <w:i/>
                <w:iCs/>
                <w:sz w:val="18"/>
                <w:szCs w:val="18"/>
              </w:rPr>
              <w:t xml:space="preserve">Elemento de competencia 6: </w:t>
            </w:r>
            <w:r>
              <w:rPr>
                <w:sz w:val="18"/>
                <w:szCs w:val="18"/>
              </w:rPr>
              <w:t>Registra los costos de exploración y explotación petrolera, aplicando los métodos del costo total y del esfuerzo exitoso, así como el cálculo de la renta petrolera conforme a las disposiciones vigentes en Bolivia.</w:t>
            </w:r>
          </w:p>
        </w:tc>
      </w:tr>
      <w:tr w:rsidR="00990B14" w14:paraId="6E348102" w14:textId="77777777">
        <w:trPr>
          <w:cantSplit/>
          <w:jc w:val="center"/>
        </w:trPr>
        <w:tc>
          <w:tcPr>
            <w:tcW w:w="3133" w:type="dxa"/>
            <w:gridSpan w:val="4"/>
            <w:shd w:val="clear" w:color="auto" w:fill="4472C4"/>
            <w:vAlign w:val="center"/>
          </w:tcPr>
          <w:p w14:paraId="67BC030B"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32CDA05A"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158D70FE" w14:textId="77777777" w:rsidR="00990B14" w:rsidRDefault="00000000">
            <w:pPr>
              <w:keepNext/>
              <w:spacing w:before="20" w:after="20"/>
              <w:jc w:val="center"/>
            </w:pPr>
            <w:r>
              <w:rPr>
                <w:b/>
                <w:bCs/>
                <w:i/>
                <w:iCs/>
                <w:color w:val="FFFFFF"/>
                <w:sz w:val="18"/>
                <w:szCs w:val="18"/>
              </w:rPr>
              <w:t>Evidencias de producto</w:t>
            </w:r>
          </w:p>
        </w:tc>
      </w:tr>
      <w:tr w:rsidR="00990B14" w14:paraId="0F37409A" w14:textId="77777777">
        <w:trPr>
          <w:cantSplit/>
          <w:jc w:val="center"/>
        </w:trPr>
        <w:tc>
          <w:tcPr>
            <w:tcW w:w="3133" w:type="dxa"/>
            <w:gridSpan w:val="4"/>
            <w:vMerge w:val="restart"/>
            <w:shd w:val="clear" w:color="auto" w:fill="D9E2F3"/>
            <w:vAlign w:val="center"/>
          </w:tcPr>
          <w:p w14:paraId="6F462787" w14:textId="77777777" w:rsidR="00990B14" w:rsidRDefault="00000000">
            <w:pPr>
              <w:spacing w:before="20" w:after="20"/>
              <w:jc w:val="both"/>
            </w:pPr>
            <w:r>
              <w:rPr>
                <w:sz w:val="18"/>
                <w:szCs w:val="18"/>
              </w:rPr>
              <w:t>1. Registrar las operaciones de reconocimiento superficial y exploración de Hidrocarburos, evaluando la capitalización o el castigo de los desembolsos de prospección y exploración.</w:t>
            </w:r>
          </w:p>
        </w:tc>
        <w:tc>
          <w:tcPr>
            <w:tcW w:w="3135" w:type="dxa"/>
            <w:gridSpan w:val="5"/>
            <w:shd w:val="clear" w:color="auto" w:fill="D9E2F3"/>
            <w:vAlign w:val="center"/>
          </w:tcPr>
          <w:p w14:paraId="71676558" w14:textId="77777777" w:rsidR="00990B14" w:rsidRDefault="00000000">
            <w:pPr>
              <w:spacing w:before="20" w:after="20"/>
              <w:jc w:val="both"/>
            </w:pPr>
            <w:r>
              <w:rPr>
                <w:sz w:val="18"/>
                <w:szCs w:val="18"/>
              </w:rPr>
              <w:t>1.1 Resuelve en aula un caso práctico de Exploración de hidrocarburos bajo el método de costo total y esfuerzo exitoso.</w:t>
            </w:r>
          </w:p>
        </w:tc>
        <w:tc>
          <w:tcPr>
            <w:tcW w:w="3137" w:type="dxa"/>
            <w:gridSpan w:val="4"/>
            <w:shd w:val="clear" w:color="auto" w:fill="D9E2F3"/>
            <w:vAlign w:val="center"/>
          </w:tcPr>
          <w:p w14:paraId="26A7D230" w14:textId="77777777" w:rsidR="00990B14" w:rsidRDefault="00000000">
            <w:pPr>
              <w:spacing w:before="20" w:after="20"/>
              <w:jc w:val="both"/>
            </w:pPr>
            <w:r>
              <w:rPr>
                <w:b/>
                <w:bCs/>
                <w:sz w:val="18"/>
                <w:szCs w:val="18"/>
              </w:rPr>
              <w:t xml:space="preserve">Producto 21: </w:t>
            </w:r>
            <w:r>
              <w:rPr>
                <w:sz w:val="18"/>
                <w:szCs w:val="18"/>
              </w:rPr>
              <w:t>Comprobantes contables de las transacciones correspondientes a la exploración de hidrocarburos.</w:t>
            </w:r>
          </w:p>
        </w:tc>
      </w:tr>
      <w:tr w:rsidR="00990B14" w14:paraId="1EC84CD2" w14:textId="77777777">
        <w:trPr>
          <w:cantSplit/>
          <w:jc w:val="center"/>
        </w:trPr>
        <w:tc>
          <w:tcPr>
            <w:tcW w:w="3133" w:type="dxa"/>
            <w:gridSpan w:val="4"/>
            <w:vMerge/>
            <w:shd w:val="clear" w:color="auto" w:fill="D9E2F3"/>
            <w:vAlign w:val="center"/>
          </w:tcPr>
          <w:p w14:paraId="55B5FA28" w14:textId="77777777" w:rsidR="00990B14" w:rsidRDefault="00990B14">
            <w:pPr>
              <w:spacing w:before="20" w:after="20"/>
            </w:pPr>
          </w:p>
        </w:tc>
        <w:tc>
          <w:tcPr>
            <w:tcW w:w="3135" w:type="dxa"/>
            <w:gridSpan w:val="5"/>
            <w:shd w:val="clear" w:color="auto" w:fill="D9E2F3"/>
            <w:vAlign w:val="center"/>
          </w:tcPr>
          <w:p w14:paraId="414AC2CC" w14:textId="77777777" w:rsidR="00990B14" w:rsidRDefault="00000000">
            <w:pPr>
              <w:spacing w:before="20" w:after="20"/>
              <w:jc w:val="both"/>
            </w:pPr>
            <w:r>
              <w:rPr>
                <w:sz w:val="18"/>
                <w:szCs w:val="18"/>
              </w:rPr>
              <w:t>1.2 Explica en equipo el efecto, en los Estados Financieros, del castigo o capitalización de desembolsos por exploración.</w:t>
            </w:r>
          </w:p>
        </w:tc>
        <w:tc>
          <w:tcPr>
            <w:tcW w:w="3137" w:type="dxa"/>
            <w:gridSpan w:val="4"/>
            <w:shd w:val="clear" w:color="auto" w:fill="D9E2F3"/>
            <w:vAlign w:val="center"/>
          </w:tcPr>
          <w:p w14:paraId="6C1FE605" w14:textId="77777777" w:rsidR="00990B14" w:rsidRDefault="00000000">
            <w:pPr>
              <w:spacing w:before="20" w:after="20"/>
              <w:jc w:val="both"/>
            </w:pPr>
            <w:r>
              <w:rPr>
                <w:b/>
                <w:bCs/>
                <w:sz w:val="18"/>
                <w:szCs w:val="18"/>
              </w:rPr>
              <w:t xml:space="preserve">Producto 22: </w:t>
            </w:r>
            <w:r>
              <w:rPr>
                <w:sz w:val="18"/>
                <w:szCs w:val="18"/>
              </w:rPr>
              <w:t>Cuadro comparativo del efecto en la depreciación de pozos petroleros.</w:t>
            </w:r>
          </w:p>
        </w:tc>
      </w:tr>
      <w:tr w:rsidR="00990B14" w14:paraId="2D9EDE15" w14:textId="77777777">
        <w:trPr>
          <w:cantSplit/>
          <w:jc w:val="center"/>
        </w:trPr>
        <w:tc>
          <w:tcPr>
            <w:tcW w:w="3133" w:type="dxa"/>
            <w:gridSpan w:val="4"/>
            <w:vMerge w:val="restart"/>
            <w:shd w:val="clear" w:color="auto" w:fill="D9E2F3"/>
            <w:vAlign w:val="center"/>
          </w:tcPr>
          <w:p w14:paraId="0537E9A3" w14:textId="77777777" w:rsidR="00990B14" w:rsidRDefault="00000000">
            <w:pPr>
              <w:spacing w:before="20" w:after="20"/>
              <w:jc w:val="both"/>
            </w:pPr>
            <w:r>
              <w:rPr>
                <w:sz w:val="18"/>
                <w:szCs w:val="18"/>
              </w:rPr>
              <w:t>2. Determina el costo total de explotación, estableciendo de manera eficiente cada costo.</w:t>
            </w:r>
          </w:p>
        </w:tc>
        <w:tc>
          <w:tcPr>
            <w:tcW w:w="3135" w:type="dxa"/>
            <w:gridSpan w:val="5"/>
            <w:shd w:val="clear" w:color="auto" w:fill="D9E2F3"/>
            <w:vAlign w:val="center"/>
          </w:tcPr>
          <w:p w14:paraId="4D0AC16B" w14:textId="77777777" w:rsidR="00990B14" w:rsidRDefault="00000000">
            <w:pPr>
              <w:spacing w:before="20" w:after="20"/>
              <w:jc w:val="both"/>
            </w:pPr>
            <w:r>
              <w:rPr>
                <w:sz w:val="18"/>
                <w:szCs w:val="18"/>
              </w:rPr>
              <w:t>2.1 Resuelve en aula un caso práctico de explotación de crudo y gas natural.</w:t>
            </w:r>
          </w:p>
        </w:tc>
        <w:tc>
          <w:tcPr>
            <w:tcW w:w="3137" w:type="dxa"/>
            <w:gridSpan w:val="4"/>
            <w:shd w:val="clear" w:color="auto" w:fill="D9E2F3"/>
            <w:vAlign w:val="center"/>
          </w:tcPr>
          <w:p w14:paraId="30AB1058" w14:textId="77777777" w:rsidR="00990B14" w:rsidRDefault="00000000">
            <w:pPr>
              <w:spacing w:before="20" w:after="20"/>
              <w:jc w:val="both"/>
            </w:pPr>
            <w:r>
              <w:rPr>
                <w:b/>
                <w:bCs/>
                <w:sz w:val="18"/>
                <w:szCs w:val="18"/>
              </w:rPr>
              <w:t xml:space="preserve">Producto 23: </w:t>
            </w:r>
            <w:r>
              <w:rPr>
                <w:sz w:val="18"/>
                <w:szCs w:val="18"/>
              </w:rPr>
              <w:t>Libro diario de las operaciones de explotación.</w:t>
            </w:r>
          </w:p>
        </w:tc>
      </w:tr>
      <w:tr w:rsidR="00990B14" w14:paraId="4BD65DBA" w14:textId="77777777">
        <w:trPr>
          <w:cantSplit/>
          <w:jc w:val="center"/>
        </w:trPr>
        <w:tc>
          <w:tcPr>
            <w:tcW w:w="3133" w:type="dxa"/>
            <w:gridSpan w:val="4"/>
            <w:vMerge/>
            <w:shd w:val="clear" w:color="auto" w:fill="D9E2F3"/>
            <w:vAlign w:val="center"/>
          </w:tcPr>
          <w:p w14:paraId="42BA8480" w14:textId="77777777" w:rsidR="00990B14" w:rsidRDefault="00990B14">
            <w:pPr>
              <w:spacing w:before="20" w:after="20"/>
            </w:pPr>
          </w:p>
        </w:tc>
        <w:tc>
          <w:tcPr>
            <w:tcW w:w="3135" w:type="dxa"/>
            <w:gridSpan w:val="5"/>
            <w:shd w:val="clear" w:color="auto" w:fill="D9E2F3"/>
            <w:vAlign w:val="center"/>
          </w:tcPr>
          <w:p w14:paraId="0879F72C" w14:textId="77777777" w:rsidR="00990B14" w:rsidRDefault="00000000">
            <w:pPr>
              <w:spacing w:before="20" w:after="20"/>
              <w:jc w:val="both"/>
            </w:pPr>
            <w:r>
              <w:rPr>
                <w:sz w:val="18"/>
                <w:szCs w:val="18"/>
              </w:rPr>
              <w:t>2.2 Calcula la renta petrolera en base a la producción fiscalizada de hidrocarburos.</w:t>
            </w:r>
          </w:p>
        </w:tc>
        <w:tc>
          <w:tcPr>
            <w:tcW w:w="3137" w:type="dxa"/>
            <w:gridSpan w:val="4"/>
            <w:shd w:val="clear" w:color="auto" w:fill="D9E2F3"/>
            <w:vAlign w:val="center"/>
          </w:tcPr>
          <w:p w14:paraId="4A0C1033" w14:textId="77777777" w:rsidR="00990B14" w:rsidRDefault="00000000">
            <w:pPr>
              <w:spacing w:before="20" w:after="20"/>
              <w:jc w:val="both"/>
            </w:pPr>
            <w:r>
              <w:rPr>
                <w:b/>
                <w:bCs/>
                <w:sz w:val="18"/>
                <w:szCs w:val="18"/>
              </w:rPr>
              <w:t xml:space="preserve">Producto 24: </w:t>
            </w:r>
            <w:r>
              <w:rPr>
                <w:sz w:val="18"/>
                <w:szCs w:val="18"/>
              </w:rPr>
              <w:t>Cuadro de cálculo de regalías, participación TGN, IDH.</w:t>
            </w:r>
          </w:p>
        </w:tc>
      </w:tr>
      <w:tr w:rsidR="00990B14" w14:paraId="35784644" w14:textId="77777777">
        <w:trPr>
          <w:cantSplit/>
          <w:jc w:val="center"/>
        </w:trPr>
        <w:tc>
          <w:tcPr>
            <w:tcW w:w="9405" w:type="dxa"/>
            <w:gridSpan w:val="13"/>
            <w:shd w:val="clear" w:color="auto" w:fill="4472C4"/>
            <w:vAlign w:val="center"/>
          </w:tcPr>
          <w:p w14:paraId="79D6834E" w14:textId="77777777" w:rsidR="00990B14" w:rsidRDefault="00000000">
            <w:pPr>
              <w:keepNext/>
              <w:spacing w:before="20" w:after="20"/>
              <w:jc w:val="center"/>
            </w:pPr>
            <w:r>
              <w:rPr>
                <w:b/>
                <w:bCs/>
                <w:i/>
                <w:iCs/>
                <w:color w:val="FFFFFF"/>
                <w:sz w:val="18"/>
                <w:szCs w:val="18"/>
              </w:rPr>
              <w:t>Evidencias de conocimiento</w:t>
            </w:r>
          </w:p>
        </w:tc>
      </w:tr>
      <w:tr w:rsidR="00990B14" w14:paraId="1A82C518" w14:textId="77777777">
        <w:trPr>
          <w:cantSplit/>
          <w:jc w:val="center"/>
        </w:trPr>
        <w:tc>
          <w:tcPr>
            <w:tcW w:w="2349" w:type="dxa"/>
            <w:gridSpan w:val="2"/>
            <w:shd w:val="clear" w:color="auto" w:fill="4472C4"/>
            <w:vAlign w:val="center"/>
          </w:tcPr>
          <w:p w14:paraId="622C6D27"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5D6451D3" w14:textId="77777777" w:rsidR="00990B14" w:rsidRDefault="00000000">
            <w:pPr>
              <w:keepNext/>
              <w:spacing w:before="20" w:after="20"/>
              <w:jc w:val="both"/>
            </w:pPr>
            <w:r>
              <w:rPr>
                <w:b/>
                <w:bCs/>
                <w:i/>
                <w:iCs/>
                <w:color w:val="FFFFFF"/>
                <w:sz w:val="18"/>
                <w:szCs w:val="18"/>
              </w:rPr>
              <w:t>Contenidos</w:t>
            </w:r>
          </w:p>
          <w:p w14:paraId="6CA3F1A1"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68798F7E" w14:textId="77777777" w:rsidR="00990B14" w:rsidRDefault="00000000">
            <w:pPr>
              <w:keepNext/>
              <w:spacing w:before="20" w:after="20"/>
              <w:jc w:val="center"/>
            </w:pPr>
            <w:r>
              <w:rPr>
                <w:b/>
                <w:bCs/>
                <w:i/>
                <w:iCs/>
                <w:color w:val="FFFFFF"/>
                <w:sz w:val="18"/>
                <w:szCs w:val="18"/>
              </w:rPr>
              <w:t>Conocimientos circunstanciales</w:t>
            </w:r>
          </w:p>
        </w:tc>
      </w:tr>
      <w:tr w:rsidR="00990B14" w14:paraId="2FC9D3FB" w14:textId="77777777">
        <w:trPr>
          <w:jc w:val="center"/>
        </w:trPr>
        <w:tc>
          <w:tcPr>
            <w:tcW w:w="2349" w:type="dxa"/>
            <w:gridSpan w:val="2"/>
            <w:shd w:val="clear" w:color="auto" w:fill="D9E2F3"/>
          </w:tcPr>
          <w:p w14:paraId="25CFE7E9" w14:textId="77777777" w:rsidR="00990B14" w:rsidRDefault="00000000">
            <w:pPr>
              <w:spacing w:before="20" w:after="40"/>
              <w:jc w:val="both"/>
            </w:pPr>
            <w:r>
              <w:rPr>
                <w:sz w:val="18"/>
                <w:szCs w:val="18"/>
              </w:rPr>
              <w:t>Tema 15: Marco Tributario en la industria petrolera</w:t>
            </w:r>
          </w:p>
          <w:p w14:paraId="3400A658" w14:textId="77777777" w:rsidR="00990B14" w:rsidRDefault="00000000">
            <w:pPr>
              <w:spacing w:before="20" w:after="40"/>
              <w:jc w:val="both"/>
            </w:pPr>
            <w:r>
              <w:rPr>
                <w:sz w:val="18"/>
                <w:szCs w:val="18"/>
              </w:rPr>
              <w:t>Tema 16: Procesos y operaciones de exploración (producción)</w:t>
            </w:r>
          </w:p>
          <w:p w14:paraId="17FA4980" w14:textId="77777777" w:rsidR="00990B14" w:rsidRDefault="00000000">
            <w:pPr>
              <w:spacing w:before="20" w:after="40"/>
              <w:jc w:val="both"/>
            </w:pPr>
            <w:r>
              <w:rPr>
                <w:sz w:val="18"/>
                <w:szCs w:val="18"/>
              </w:rPr>
              <w:t>Tema 17: Procesos y operaciones de explotación (producción)</w:t>
            </w:r>
          </w:p>
        </w:tc>
        <w:tc>
          <w:tcPr>
            <w:tcW w:w="4304" w:type="dxa"/>
            <w:gridSpan w:val="8"/>
            <w:shd w:val="clear" w:color="auto" w:fill="D9E2F3"/>
          </w:tcPr>
          <w:p w14:paraId="77E26A92" w14:textId="77777777" w:rsidR="00990B14" w:rsidRDefault="00000000">
            <w:pPr>
              <w:spacing w:after="40"/>
              <w:jc w:val="both"/>
            </w:pPr>
            <w:r>
              <w:rPr>
                <w:sz w:val="18"/>
                <w:szCs w:val="18"/>
              </w:rPr>
              <w:t>Impuesto al Valor agregado (IVA)- Devolución de Impuestos por exportaciones - Impuesto a las transacciones (IT)- Impuesto a las Utilidades de las Empresas (IUE)- Impuesto Especial a los Hidrocarburos y sus derivados (IEHD). (C)</w:t>
            </w:r>
          </w:p>
          <w:p w14:paraId="441F5049" w14:textId="77777777" w:rsidR="00990B14" w:rsidRDefault="00000000">
            <w:pPr>
              <w:spacing w:after="40"/>
              <w:jc w:val="both"/>
            </w:pPr>
            <w:r>
              <w:rPr>
                <w:sz w:val="18"/>
                <w:szCs w:val="18"/>
              </w:rPr>
              <w:t>Ley de Hidrocarburos 3058 – Tributación en los contratos petroleros – Impuesto Directo a los Hidrocarburos (IDH) – Regalías y Participaciones. (C)</w:t>
            </w:r>
          </w:p>
          <w:p w14:paraId="0057D412" w14:textId="77777777" w:rsidR="00990B14" w:rsidRDefault="00000000">
            <w:pPr>
              <w:spacing w:after="40"/>
              <w:jc w:val="both"/>
            </w:pPr>
            <w:r>
              <w:rPr>
                <w:sz w:val="18"/>
                <w:szCs w:val="18"/>
              </w:rPr>
              <w:t>Concepto de Exploración – Métodos de Exploración: Sísmica, Perforación de Pozos - Costos de Exploración – Métodos Contables en la Exploración: Método del Costo total – Ejercicio práctico, Método del Esfuerzo Exitoso – Ejercicio Práctico – Exploración y los contratos de operación – ANEXO D “Procedimiento financiero contable”. (C, P)</w:t>
            </w:r>
          </w:p>
          <w:p w14:paraId="446F57F5" w14:textId="77777777" w:rsidR="00990B14" w:rsidRDefault="00000000">
            <w:pPr>
              <w:spacing w:after="40"/>
              <w:jc w:val="both"/>
            </w:pPr>
            <w:r>
              <w:rPr>
                <w:sz w:val="18"/>
                <w:szCs w:val="18"/>
              </w:rPr>
              <w:t>Concepto - Costos de Explotación y/o Producción - Principales Labores: Operaciones en Pozos, Mediciones de Presión, Laboratorio, Líneas de Descarga, Plantas de Separación de Fluidos, Plantas de Almacenaje, Plantas de Energía Eléctrica, Supervisión e Ingeniería, Servicios Auxiliares, Talleres de Mantenimiento, Transportes (Vehículos), Mantenimiento de Instalaciones, Administración en Planta - Costos de Producción – Cálculo de Regalías, Participación TGN, Impuesto Directo a los Hidrocarburos – Tratamiento Contable. (C, P)</w:t>
            </w:r>
          </w:p>
        </w:tc>
        <w:tc>
          <w:tcPr>
            <w:tcW w:w="2752" w:type="dxa"/>
            <w:gridSpan w:val="3"/>
            <w:shd w:val="clear" w:color="auto" w:fill="D9E2F3"/>
          </w:tcPr>
          <w:p w14:paraId="7E8E2C4A" w14:textId="77777777" w:rsidR="00990B14" w:rsidRDefault="00000000">
            <w:pPr>
              <w:numPr>
                <w:ilvl w:val="0"/>
                <w:numId w:val="139"/>
              </w:numPr>
              <w:spacing w:before="10" w:after="10"/>
              <w:jc w:val="both"/>
            </w:pPr>
            <w:r>
              <w:rPr>
                <w:sz w:val="18"/>
                <w:szCs w:val="18"/>
              </w:rPr>
              <w:t>Conocimiento de métodos geológicos, geoquímicos y geofísicos para la exploración de Hidrocarburos.</w:t>
            </w:r>
          </w:p>
          <w:p w14:paraId="2F461CC1" w14:textId="77777777" w:rsidR="00990B14" w:rsidRDefault="00000000">
            <w:pPr>
              <w:numPr>
                <w:ilvl w:val="0"/>
                <w:numId w:val="139"/>
              </w:numPr>
              <w:spacing w:before="10" w:after="10"/>
              <w:jc w:val="both"/>
            </w:pPr>
            <w:r>
              <w:rPr>
                <w:sz w:val="18"/>
                <w:szCs w:val="18"/>
              </w:rPr>
              <w:t>Nociones de ingeniería de perforación: equipos, fluidos de perforación y terminación de pozos.</w:t>
            </w:r>
          </w:p>
        </w:tc>
      </w:tr>
      <w:tr w:rsidR="00990B14" w14:paraId="6E0B352F" w14:textId="77777777">
        <w:trPr>
          <w:cantSplit/>
          <w:jc w:val="center"/>
        </w:trPr>
        <w:tc>
          <w:tcPr>
            <w:tcW w:w="9405" w:type="dxa"/>
            <w:gridSpan w:val="13"/>
            <w:shd w:val="clear" w:color="auto" w:fill="D9E2F3"/>
            <w:vAlign w:val="center"/>
          </w:tcPr>
          <w:p w14:paraId="6CD6230A" w14:textId="77777777" w:rsidR="00990B14" w:rsidRDefault="00000000">
            <w:pPr>
              <w:spacing w:before="20" w:after="20"/>
              <w:jc w:val="both"/>
            </w:pPr>
            <w:r>
              <w:rPr>
                <w:b/>
                <w:bCs/>
                <w:i/>
                <w:iCs/>
                <w:sz w:val="18"/>
                <w:szCs w:val="18"/>
              </w:rPr>
              <w:t xml:space="preserve">Elemento de competencia 7: </w:t>
            </w:r>
            <w:r>
              <w:rPr>
                <w:sz w:val="18"/>
                <w:szCs w:val="18"/>
              </w:rPr>
              <w:t>Determina los costos de explotación, transporte, almacenaje, refinación e industrialización de hidrocarburos, liquidando las regalías, participación TGN e IDH conforme a las disposiciones legales vigentes.</w:t>
            </w:r>
          </w:p>
        </w:tc>
      </w:tr>
      <w:tr w:rsidR="00990B14" w14:paraId="300C6563" w14:textId="77777777">
        <w:trPr>
          <w:cantSplit/>
          <w:jc w:val="center"/>
        </w:trPr>
        <w:tc>
          <w:tcPr>
            <w:tcW w:w="3133" w:type="dxa"/>
            <w:gridSpan w:val="4"/>
            <w:shd w:val="clear" w:color="auto" w:fill="4472C4"/>
            <w:vAlign w:val="center"/>
          </w:tcPr>
          <w:p w14:paraId="3F044456"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21BE5F40"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1F58E315" w14:textId="77777777" w:rsidR="00990B14" w:rsidRDefault="00000000">
            <w:pPr>
              <w:keepNext/>
              <w:spacing w:before="20" w:after="20"/>
              <w:jc w:val="center"/>
            </w:pPr>
            <w:r>
              <w:rPr>
                <w:b/>
                <w:bCs/>
                <w:i/>
                <w:iCs/>
                <w:color w:val="FFFFFF"/>
                <w:sz w:val="18"/>
                <w:szCs w:val="18"/>
              </w:rPr>
              <w:t>Evidencias de producto</w:t>
            </w:r>
          </w:p>
        </w:tc>
      </w:tr>
      <w:tr w:rsidR="00990B14" w14:paraId="41EB7E89" w14:textId="77777777">
        <w:trPr>
          <w:cantSplit/>
          <w:jc w:val="center"/>
        </w:trPr>
        <w:tc>
          <w:tcPr>
            <w:tcW w:w="3133" w:type="dxa"/>
            <w:gridSpan w:val="4"/>
            <w:vMerge w:val="restart"/>
            <w:shd w:val="clear" w:color="auto" w:fill="D9E2F3"/>
            <w:vAlign w:val="center"/>
          </w:tcPr>
          <w:p w14:paraId="669A48C0" w14:textId="77777777" w:rsidR="00990B14" w:rsidRDefault="00000000">
            <w:pPr>
              <w:spacing w:before="20" w:after="20"/>
              <w:jc w:val="both"/>
            </w:pPr>
            <w:r>
              <w:rPr>
                <w:sz w:val="18"/>
                <w:szCs w:val="18"/>
              </w:rPr>
              <w:t>1. Determina el costo total de elaboración/refinación y su distribución entre todos los derivados del petróleo.</w:t>
            </w:r>
          </w:p>
        </w:tc>
        <w:tc>
          <w:tcPr>
            <w:tcW w:w="3135" w:type="dxa"/>
            <w:gridSpan w:val="5"/>
            <w:shd w:val="clear" w:color="auto" w:fill="D9E2F3"/>
            <w:vAlign w:val="center"/>
          </w:tcPr>
          <w:p w14:paraId="47E5DA05" w14:textId="77777777" w:rsidR="00990B14" w:rsidRDefault="00000000">
            <w:pPr>
              <w:spacing w:before="20" w:after="20"/>
              <w:jc w:val="both"/>
            </w:pPr>
            <w:r>
              <w:rPr>
                <w:sz w:val="18"/>
                <w:szCs w:val="18"/>
              </w:rPr>
              <w:t>1.1 Calcula en aula la distribución del costo de Refinación entre todos los derivados del petróleo obtenidos.</w:t>
            </w:r>
          </w:p>
        </w:tc>
        <w:tc>
          <w:tcPr>
            <w:tcW w:w="3137" w:type="dxa"/>
            <w:gridSpan w:val="4"/>
            <w:shd w:val="clear" w:color="auto" w:fill="D9E2F3"/>
            <w:vAlign w:val="center"/>
          </w:tcPr>
          <w:p w14:paraId="57E9DDB6" w14:textId="77777777" w:rsidR="00990B14" w:rsidRDefault="00000000">
            <w:pPr>
              <w:spacing w:before="20" w:after="20"/>
              <w:jc w:val="both"/>
            </w:pPr>
            <w:r>
              <w:rPr>
                <w:b/>
                <w:bCs/>
                <w:sz w:val="18"/>
                <w:szCs w:val="18"/>
              </w:rPr>
              <w:t xml:space="preserve">Producto 25: </w:t>
            </w:r>
            <w:r>
              <w:rPr>
                <w:sz w:val="18"/>
                <w:szCs w:val="18"/>
              </w:rPr>
              <w:t>Planilla de prorrateo en base a los precios de venta oficiales de los derivados del petróleo.</w:t>
            </w:r>
          </w:p>
        </w:tc>
      </w:tr>
      <w:tr w:rsidR="00990B14" w14:paraId="2ED1F2FC" w14:textId="77777777">
        <w:trPr>
          <w:cantSplit/>
          <w:jc w:val="center"/>
        </w:trPr>
        <w:tc>
          <w:tcPr>
            <w:tcW w:w="3133" w:type="dxa"/>
            <w:gridSpan w:val="4"/>
            <w:vMerge/>
            <w:shd w:val="clear" w:color="auto" w:fill="D9E2F3"/>
            <w:vAlign w:val="center"/>
          </w:tcPr>
          <w:p w14:paraId="02622B6F" w14:textId="77777777" w:rsidR="00990B14" w:rsidRDefault="00990B14">
            <w:pPr>
              <w:spacing w:before="20" w:after="20"/>
            </w:pPr>
          </w:p>
        </w:tc>
        <w:tc>
          <w:tcPr>
            <w:tcW w:w="3135" w:type="dxa"/>
            <w:gridSpan w:val="5"/>
            <w:shd w:val="clear" w:color="auto" w:fill="D9E2F3"/>
            <w:vAlign w:val="center"/>
          </w:tcPr>
          <w:p w14:paraId="0B28F6C0" w14:textId="77777777" w:rsidR="00990B14" w:rsidRDefault="00000000">
            <w:pPr>
              <w:spacing w:before="20" w:after="20"/>
              <w:jc w:val="both"/>
            </w:pPr>
            <w:r>
              <w:rPr>
                <w:sz w:val="18"/>
                <w:szCs w:val="18"/>
              </w:rPr>
              <w:t>1.2 Calcula en equipo el Impuesto Especial a los hidrocarburos y sus derivados (IEHD).</w:t>
            </w:r>
          </w:p>
        </w:tc>
        <w:tc>
          <w:tcPr>
            <w:tcW w:w="3137" w:type="dxa"/>
            <w:gridSpan w:val="4"/>
            <w:shd w:val="clear" w:color="auto" w:fill="D9E2F3"/>
            <w:vAlign w:val="center"/>
          </w:tcPr>
          <w:p w14:paraId="3D8EEAC9" w14:textId="77777777" w:rsidR="00990B14" w:rsidRDefault="00000000">
            <w:pPr>
              <w:spacing w:before="20" w:after="20"/>
              <w:jc w:val="both"/>
            </w:pPr>
            <w:r>
              <w:rPr>
                <w:b/>
                <w:bCs/>
                <w:sz w:val="18"/>
                <w:szCs w:val="18"/>
              </w:rPr>
              <w:t xml:space="preserve">Producto 26: </w:t>
            </w:r>
            <w:r>
              <w:rPr>
                <w:sz w:val="18"/>
                <w:szCs w:val="18"/>
              </w:rPr>
              <w:t>Cuadro de cálculo del IEHD en base a las alícuotas por cada derivado del petróleo.</w:t>
            </w:r>
          </w:p>
        </w:tc>
      </w:tr>
      <w:tr w:rsidR="00990B14" w14:paraId="35279191" w14:textId="77777777">
        <w:trPr>
          <w:cantSplit/>
          <w:jc w:val="center"/>
        </w:trPr>
        <w:tc>
          <w:tcPr>
            <w:tcW w:w="3133" w:type="dxa"/>
            <w:gridSpan w:val="4"/>
            <w:vMerge w:val="restart"/>
            <w:shd w:val="clear" w:color="auto" w:fill="D9E2F3"/>
            <w:vAlign w:val="center"/>
          </w:tcPr>
          <w:p w14:paraId="47636D29" w14:textId="77777777" w:rsidR="00990B14" w:rsidRDefault="00000000">
            <w:pPr>
              <w:spacing w:before="20" w:after="20"/>
              <w:jc w:val="both"/>
            </w:pPr>
            <w:r>
              <w:rPr>
                <w:sz w:val="18"/>
                <w:szCs w:val="18"/>
              </w:rPr>
              <w:t>2. Liquida las regalías, participación TGN e IDH aplicando los porcentajes de estos conceptos descritos en la Ley 3058.</w:t>
            </w:r>
          </w:p>
        </w:tc>
        <w:tc>
          <w:tcPr>
            <w:tcW w:w="3135" w:type="dxa"/>
            <w:gridSpan w:val="5"/>
            <w:shd w:val="clear" w:color="auto" w:fill="D9E2F3"/>
            <w:vAlign w:val="center"/>
          </w:tcPr>
          <w:p w14:paraId="4C5F9FE6" w14:textId="77777777" w:rsidR="00990B14" w:rsidRDefault="00000000">
            <w:pPr>
              <w:spacing w:before="20" w:after="20"/>
              <w:jc w:val="both"/>
            </w:pPr>
            <w:r>
              <w:rPr>
                <w:sz w:val="18"/>
                <w:szCs w:val="18"/>
              </w:rPr>
              <w:t>2.1 Registra de manera individual, el pago de regalías, participación TGN e IDH.</w:t>
            </w:r>
          </w:p>
        </w:tc>
        <w:tc>
          <w:tcPr>
            <w:tcW w:w="3137" w:type="dxa"/>
            <w:gridSpan w:val="4"/>
            <w:shd w:val="clear" w:color="auto" w:fill="D9E2F3"/>
            <w:vAlign w:val="center"/>
          </w:tcPr>
          <w:p w14:paraId="0B862AE0" w14:textId="77777777" w:rsidR="00990B14" w:rsidRDefault="00000000">
            <w:pPr>
              <w:spacing w:before="20" w:after="20"/>
              <w:jc w:val="both"/>
            </w:pPr>
            <w:r>
              <w:rPr>
                <w:b/>
                <w:bCs/>
                <w:sz w:val="18"/>
                <w:szCs w:val="18"/>
              </w:rPr>
              <w:t xml:space="preserve">Producto 27: </w:t>
            </w:r>
            <w:r>
              <w:rPr>
                <w:sz w:val="18"/>
                <w:szCs w:val="18"/>
              </w:rPr>
              <w:t>Asiento contable de pago de la renta petrolera.</w:t>
            </w:r>
          </w:p>
        </w:tc>
      </w:tr>
      <w:tr w:rsidR="00990B14" w14:paraId="58F36A71" w14:textId="77777777">
        <w:trPr>
          <w:cantSplit/>
          <w:jc w:val="center"/>
        </w:trPr>
        <w:tc>
          <w:tcPr>
            <w:tcW w:w="3133" w:type="dxa"/>
            <w:gridSpan w:val="4"/>
            <w:vMerge/>
            <w:shd w:val="clear" w:color="auto" w:fill="D9E2F3"/>
            <w:vAlign w:val="center"/>
          </w:tcPr>
          <w:p w14:paraId="4A083860" w14:textId="77777777" w:rsidR="00990B14" w:rsidRDefault="00990B14">
            <w:pPr>
              <w:spacing w:before="20" w:after="20"/>
            </w:pPr>
          </w:p>
        </w:tc>
        <w:tc>
          <w:tcPr>
            <w:tcW w:w="3135" w:type="dxa"/>
            <w:gridSpan w:val="5"/>
            <w:shd w:val="clear" w:color="auto" w:fill="D9E2F3"/>
            <w:vAlign w:val="center"/>
          </w:tcPr>
          <w:p w14:paraId="38678667" w14:textId="77777777" w:rsidR="00990B14" w:rsidRDefault="00000000">
            <w:pPr>
              <w:spacing w:before="20" w:after="20"/>
              <w:jc w:val="both"/>
            </w:pPr>
            <w:r>
              <w:rPr>
                <w:sz w:val="18"/>
                <w:szCs w:val="18"/>
              </w:rPr>
              <w:t>2.2 Determina a cuánto alcanza la participación del Estado en la producción de Hidrocarburos una vez deducida la renta estatal y la retribución al Titular.</w:t>
            </w:r>
          </w:p>
        </w:tc>
        <w:tc>
          <w:tcPr>
            <w:tcW w:w="3137" w:type="dxa"/>
            <w:gridSpan w:val="4"/>
            <w:shd w:val="clear" w:color="auto" w:fill="D9E2F3"/>
            <w:vAlign w:val="center"/>
          </w:tcPr>
          <w:p w14:paraId="769BFADA" w14:textId="77777777" w:rsidR="00990B14" w:rsidRDefault="00000000">
            <w:pPr>
              <w:spacing w:before="20" w:after="20"/>
              <w:jc w:val="both"/>
            </w:pPr>
            <w:r>
              <w:rPr>
                <w:b/>
                <w:bCs/>
                <w:sz w:val="18"/>
                <w:szCs w:val="18"/>
              </w:rPr>
              <w:t xml:space="preserve">Producto 28: </w:t>
            </w:r>
            <w:r>
              <w:rPr>
                <w:sz w:val="18"/>
                <w:szCs w:val="18"/>
              </w:rPr>
              <w:t>Cuadro resumen del ingreso por Comercialización menos regalías, participación TGN e IDH y retribución del Titular.</w:t>
            </w:r>
          </w:p>
        </w:tc>
      </w:tr>
      <w:tr w:rsidR="00990B14" w14:paraId="021F695E" w14:textId="77777777">
        <w:trPr>
          <w:cantSplit/>
          <w:jc w:val="center"/>
        </w:trPr>
        <w:tc>
          <w:tcPr>
            <w:tcW w:w="9405" w:type="dxa"/>
            <w:gridSpan w:val="13"/>
            <w:shd w:val="clear" w:color="auto" w:fill="4472C4"/>
            <w:vAlign w:val="center"/>
          </w:tcPr>
          <w:p w14:paraId="0D474499" w14:textId="77777777" w:rsidR="00990B14" w:rsidRDefault="00000000">
            <w:pPr>
              <w:keepNext/>
              <w:spacing w:before="20" w:after="20"/>
              <w:jc w:val="center"/>
            </w:pPr>
            <w:r>
              <w:rPr>
                <w:b/>
                <w:bCs/>
                <w:i/>
                <w:iCs/>
                <w:color w:val="FFFFFF"/>
                <w:sz w:val="18"/>
                <w:szCs w:val="18"/>
              </w:rPr>
              <w:t>Evidencias de conocimiento</w:t>
            </w:r>
          </w:p>
        </w:tc>
      </w:tr>
      <w:tr w:rsidR="00990B14" w14:paraId="4AF016B8" w14:textId="77777777">
        <w:trPr>
          <w:cantSplit/>
          <w:jc w:val="center"/>
        </w:trPr>
        <w:tc>
          <w:tcPr>
            <w:tcW w:w="2349" w:type="dxa"/>
            <w:gridSpan w:val="2"/>
            <w:shd w:val="clear" w:color="auto" w:fill="4472C4"/>
            <w:vAlign w:val="center"/>
          </w:tcPr>
          <w:p w14:paraId="0A19EF14"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1FF58107" w14:textId="77777777" w:rsidR="00990B14" w:rsidRDefault="00000000">
            <w:pPr>
              <w:keepNext/>
              <w:spacing w:before="20" w:after="20"/>
              <w:jc w:val="both"/>
            </w:pPr>
            <w:r>
              <w:rPr>
                <w:b/>
                <w:bCs/>
                <w:i/>
                <w:iCs/>
                <w:color w:val="FFFFFF"/>
                <w:sz w:val="18"/>
                <w:szCs w:val="18"/>
              </w:rPr>
              <w:t>Contenidos</w:t>
            </w:r>
          </w:p>
          <w:p w14:paraId="28639AD7"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1037E244" w14:textId="77777777" w:rsidR="00990B14" w:rsidRDefault="00000000">
            <w:pPr>
              <w:keepNext/>
              <w:spacing w:before="20" w:after="20"/>
              <w:jc w:val="center"/>
            </w:pPr>
            <w:r>
              <w:rPr>
                <w:b/>
                <w:bCs/>
                <w:i/>
                <w:iCs/>
                <w:color w:val="FFFFFF"/>
                <w:sz w:val="18"/>
                <w:szCs w:val="18"/>
              </w:rPr>
              <w:t>Conocimientos circunstanciales</w:t>
            </w:r>
          </w:p>
        </w:tc>
      </w:tr>
      <w:tr w:rsidR="00990B14" w14:paraId="19E21AA6" w14:textId="77777777">
        <w:trPr>
          <w:jc w:val="center"/>
        </w:trPr>
        <w:tc>
          <w:tcPr>
            <w:tcW w:w="2349" w:type="dxa"/>
            <w:gridSpan w:val="2"/>
            <w:shd w:val="clear" w:color="auto" w:fill="D9E2F3"/>
          </w:tcPr>
          <w:p w14:paraId="77A46207" w14:textId="77777777" w:rsidR="00990B14" w:rsidRDefault="00000000">
            <w:pPr>
              <w:spacing w:before="20" w:after="40"/>
              <w:jc w:val="both"/>
            </w:pPr>
            <w:r>
              <w:rPr>
                <w:sz w:val="18"/>
                <w:szCs w:val="18"/>
              </w:rPr>
              <w:t>Tema 18: Transporte de hidrocarburos</w:t>
            </w:r>
          </w:p>
          <w:p w14:paraId="78518C25" w14:textId="77777777" w:rsidR="00990B14" w:rsidRDefault="00000000">
            <w:pPr>
              <w:spacing w:before="20" w:after="40"/>
              <w:jc w:val="both"/>
            </w:pPr>
            <w:r>
              <w:rPr>
                <w:sz w:val="18"/>
                <w:szCs w:val="18"/>
              </w:rPr>
              <w:t>Tema 19: Procesos, operaciones y labores de refinación e industrialización</w:t>
            </w:r>
          </w:p>
          <w:p w14:paraId="6B7A4CF8" w14:textId="77777777" w:rsidR="00990B14" w:rsidRDefault="00000000">
            <w:pPr>
              <w:spacing w:before="20" w:after="40"/>
              <w:jc w:val="both"/>
            </w:pPr>
            <w:r>
              <w:rPr>
                <w:sz w:val="18"/>
                <w:szCs w:val="18"/>
              </w:rPr>
              <w:t>Tema 20: Comercialización mayoristas y minoristas</w:t>
            </w:r>
          </w:p>
        </w:tc>
        <w:tc>
          <w:tcPr>
            <w:tcW w:w="4304" w:type="dxa"/>
            <w:gridSpan w:val="8"/>
            <w:shd w:val="clear" w:color="auto" w:fill="D9E2F3"/>
          </w:tcPr>
          <w:p w14:paraId="4DE7A4BA" w14:textId="77777777" w:rsidR="00990B14" w:rsidRDefault="00000000">
            <w:pPr>
              <w:spacing w:after="40"/>
              <w:jc w:val="both"/>
            </w:pPr>
            <w:r>
              <w:rPr>
                <w:sz w:val="18"/>
                <w:szCs w:val="18"/>
              </w:rPr>
              <w:t>Concepto de Transporte – Tipos de transporte: Transporte por Ductos, Transporte por Carros Cisternas – Transporte por Vagones Cisternas, Transporte en firme- Transporte interrumpible – Tarifas de transporte – Tasa SIRESE - Tratamiento Contable. (C, P)</w:t>
            </w:r>
          </w:p>
          <w:p w14:paraId="4AA75D4B" w14:textId="77777777" w:rsidR="00990B14" w:rsidRDefault="00000000">
            <w:pPr>
              <w:spacing w:after="40"/>
              <w:jc w:val="both"/>
            </w:pPr>
            <w:r>
              <w:rPr>
                <w:sz w:val="18"/>
                <w:szCs w:val="18"/>
              </w:rPr>
              <w:t>Concepto - Principales Labores: Operaciones en Plantas y Calderos, Destilación, Etilización - Tanques de Almacenaje Intermedios - Líneas de Descarga - Supervisión e Ingeniería - Laboratorios - Planta de Energía Eléctrica - Servicios Auxiliares - Planta de Almacenaje de los Productos - Talleres y Mantenimiento, Transportes (Vehículos) – Administración en Plantas de Refinación - Otros Gastos Distribuibles - Depreciación - Tratamiento Contable - Costos de Refinación – Determinación del Impuesto especial a los hidrocarburos y sus derivados (IEHD)- Tasa SIRESE - Tratamiento Contable. (C, P)</w:t>
            </w:r>
          </w:p>
          <w:p w14:paraId="11B2EB67" w14:textId="77777777" w:rsidR="00990B14" w:rsidRDefault="00000000">
            <w:pPr>
              <w:spacing w:after="40"/>
              <w:jc w:val="both"/>
            </w:pPr>
            <w:r>
              <w:rPr>
                <w:sz w:val="18"/>
                <w:szCs w:val="18"/>
              </w:rPr>
              <w:t>Concepto – Proceso de Comercialización - Almacenajes de Productos - Comprador Mayorista - Comprador Minorista - Tratamiento de los Impuestos IVA e IT en la Comercialización y Ventas Internas Gastos y Costos de Comercialización - Base para el cálculo del IVA e IT - Tratamiento Contable. (C, P)</w:t>
            </w:r>
          </w:p>
        </w:tc>
        <w:tc>
          <w:tcPr>
            <w:tcW w:w="2752" w:type="dxa"/>
            <w:gridSpan w:val="3"/>
            <w:shd w:val="clear" w:color="auto" w:fill="D9E2F3"/>
          </w:tcPr>
          <w:p w14:paraId="17FD8A23" w14:textId="77777777" w:rsidR="00990B14" w:rsidRDefault="00000000">
            <w:pPr>
              <w:numPr>
                <w:ilvl w:val="0"/>
                <w:numId w:val="139"/>
              </w:numPr>
              <w:spacing w:before="10" w:after="10"/>
              <w:jc w:val="both"/>
            </w:pPr>
            <w:r>
              <w:rPr>
                <w:sz w:val="18"/>
                <w:szCs w:val="18"/>
              </w:rPr>
              <w:t>Unidades de medida de los hidrocarburos: barriles, pies cúbicos y unidades térmicas británicas.</w:t>
            </w:r>
          </w:p>
          <w:p w14:paraId="74A931A2" w14:textId="77777777" w:rsidR="00990B14" w:rsidRDefault="00000000">
            <w:pPr>
              <w:numPr>
                <w:ilvl w:val="0"/>
                <w:numId w:val="139"/>
              </w:numPr>
              <w:spacing w:before="10" w:after="10"/>
              <w:jc w:val="both"/>
            </w:pPr>
            <w:r>
              <w:rPr>
                <w:sz w:val="18"/>
                <w:szCs w:val="18"/>
              </w:rPr>
              <w:t>Productos derivados del petróleo y sus especificaciones de calidad: gasolinas, diésel y gas licuado de petróleo.</w:t>
            </w:r>
          </w:p>
        </w:tc>
      </w:tr>
      <w:tr w:rsidR="00990B14" w14:paraId="35CDE81E" w14:textId="77777777">
        <w:trPr>
          <w:cantSplit/>
          <w:jc w:val="center"/>
        </w:trPr>
        <w:tc>
          <w:tcPr>
            <w:tcW w:w="9405" w:type="dxa"/>
            <w:gridSpan w:val="13"/>
            <w:shd w:val="clear" w:color="auto" w:fill="D9E2F3"/>
            <w:vAlign w:val="center"/>
          </w:tcPr>
          <w:p w14:paraId="12252375" w14:textId="77777777" w:rsidR="00990B14" w:rsidRDefault="00000000">
            <w:pPr>
              <w:spacing w:before="20" w:after="20"/>
              <w:jc w:val="both"/>
            </w:pPr>
            <w:r>
              <w:rPr>
                <w:b/>
                <w:bCs/>
                <w:i/>
                <w:iCs/>
                <w:sz w:val="18"/>
                <w:szCs w:val="18"/>
              </w:rPr>
              <w:t xml:space="preserve">Elemento de competencia 8: </w:t>
            </w:r>
            <w:r>
              <w:rPr>
                <w:sz w:val="18"/>
                <w:szCs w:val="18"/>
              </w:rPr>
              <w:t>Elabora los estados financieros consolidados de YPFB Corporación, considerando la actividad hidrocarburífera que cada subsidiaria de YPFB lleva a cabo de acuerdo a las normas de contabilidad y las disposiciones legales vigentes, de forma sostenible con tendencia de las TICs (IA)</w:t>
            </w:r>
          </w:p>
        </w:tc>
      </w:tr>
      <w:tr w:rsidR="00990B14" w14:paraId="0E00AE1D" w14:textId="77777777">
        <w:trPr>
          <w:cantSplit/>
          <w:jc w:val="center"/>
        </w:trPr>
        <w:tc>
          <w:tcPr>
            <w:tcW w:w="3133" w:type="dxa"/>
            <w:gridSpan w:val="4"/>
            <w:shd w:val="clear" w:color="auto" w:fill="4472C4"/>
            <w:vAlign w:val="center"/>
          </w:tcPr>
          <w:p w14:paraId="374E8B9C"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5B4EA8CD"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73AEA519" w14:textId="77777777" w:rsidR="00990B14" w:rsidRDefault="00000000">
            <w:pPr>
              <w:keepNext/>
              <w:spacing w:before="20" w:after="20"/>
              <w:jc w:val="center"/>
            </w:pPr>
            <w:r>
              <w:rPr>
                <w:b/>
                <w:bCs/>
                <w:i/>
                <w:iCs/>
                <w:color w:val="FFFFFF"/>
                <w:sz w:val="18"/>
                <w:szCs w:val="18"/>
              </w:rPr>
              <w:t>Evidencias de producto</w:t>
            </w:r>
          </w:p>
        </w:tc>
      </w:tr>
      <w:tr w:rsidR="00990B14" w14:paraId="21D1D401" w14:textId="77777777">
        <w:trPr>
          <w:cantSplit/>
          <w:jc w:val="center"/>
        </w:trPr>
        <w:tc>
          <w:tcPr>
            <w:tcW w:w="3133" w:type="dxa"/>
            <w:gridSpan w:val="4"/>
            <w:vMerge w:val="restart"/>
            <w:shd w:val="clear" w:color="auto" w:fill="D9E2F3"/>
            <w:vAlign w:val="center"/>
          </w:tcPr>
          <w:p w14:paraId="4B245617" w14:textId="77777777" w:rsidR="00990B14" w:rsidRDefault="00000000">
            <w:pPr>
              <w:spacing w:before="20" w:after="20"/>
              <w:jc w:val="both"/>
            </w:pPr>
            <w:r>
              <w:rPr>
                <w:sz w:val="18"/>
                <w:szCs w:val="18"/>
              </w:rPr>
              <w:t>1. Elabora los estados financieros por cada empresa subsidiaria de YPFB tomando en cuenta la actividad a la que se dedican dentro de la cadena hidrocarburífera.</w:t>
            </w:r>
          </w:p>
        </w:tc>
        <w:tc>
          <w:tcPr>
            <w:tcW w:w="3135" w:type="dxa"/>
            <w:gridSpan w:val="5"/>
            <w:shd w:val="clear" w:color="auto" w:fill="D9E2F3"/>
            <w:vAlign w:val="center"/>
          </w:tcPr>
          <w:p w14:paraId="4C079C1A" w14:textId="77777777" w:rsidR="00990B14" w:rsidRDefault="00000000">
            <w:pPr>
              <w:spacing w:before="20" w:after="20"/>
              <w:jc w:val="both"/>
            </w:pPr>
            <w:r>
              <w:rPr>
                <w:sz w:val="18"/>
                <w:szCs w:val="18"/>
              </w:rPr>
              <w:t>1.1 Analiza el giro del negocio de la empresa petrolera estatal, empresas subsidiarias y Titulares.</w:t>
            </w:r>
          </w:p>
        </w:tc>
        <w:tc>
          <w:tcPr>
            <w:tcW w:w="3137" w:type="dxa"/>
            <w:gridSpan w:val="4"/>
            <w:shd w:val="clear" w:color="auto" w:fill="D9E2F3"/>
            <w:vAlign w:val="center"/>
          </w:tcPr>
          <w:p w14:paraId="5AFC72ED" w14:textId="77777777" w:rsidR="00990B14" w:rsidRDefault="00000000">
            <w:pPr>
              <w:spacing w:before="20" w:after="20"/>
              <w:jc w:val="both"/>
            </w:pPr>
            <w:r>
              <w:rPr>
                <w:b/>
                <w:bCs/>
                <w:sz w:val="18"/>
                <w:szCs w:val="18"/>
              </w:rPr>
              <w:t xml:space="preserve">Producto 29: </w:t>
            </w:r>
            <w:r>
              <w:rPr>
                <w:sz w:val="18"/>
                <w:szCs w:val="18"/>
              </w:rPr>
              <w:t>Cuadro comparativo mostrando las fuentes de ingreso principal en las entidades petroleras.</w:t>
            </w:r>
          </w:p>
        </w:tc>
      </w:tr>
      <w:tr w:rsidR="00990B14" w14:paraId="45318C1E" w14:textId="77777777">
        <w:trPr>
          <w:cantSplit/>
          <w:jc w:val="center"/>
        </w:trPr>
        <w:tc>
          <w:tcPr>
            <w:tcW w:w="3133" w:type="dxa"/>
            <w:gridSpan w:val="4"/>
            <w:vMerge/>
            <w:shd w:val="clear" w:color="auto" w:fill="D9E2F3"/>
            <w:vAlign w:val="center"/>
          </w:tcPr>
          <w:p w14:paraId="09BEDF0B" w14:textId="77777777" w:rsidR="00990B14" w:rsidRDefault="00990B14">
            <w:pPr>
              <w:spacing w:before="20" w:after="20"/>
            </w:pPr>
          </w:p>
        </w:tc>
        <w:tc>
          <w:tcPr>
            <w:tcW w:w="3135" w:type="dxa"/>
            <w:gridSpan w:val="5"/>
            <w:shd w:val="clear" w:color="auto" w:fill="D9E2F3"/>
            <w:vAlign w:val="center"/>
          </w:tcPr>
          <w:p w14:paraId="7A7F50B4" w14:textId="77777777" w:rsidR="00990B14" w:rsidRDefault="00000000">
            <w:pPr>
              <w:spacing w:before="20" w:after="20"/>
              <w:jc w:val="both"/>
            </w:pPr>
            <w:r>
              <w:rPr>
                <w:sz w:val="18"/>
                <w:szCs w:val="18"/>
              </w:rPr>
              <w:t>1.2 Presenta por grupos, los estados financieros de cada empresa subsidiaria de YPFB.</w:t>
            </w:r>
          </w:p>
        </w:tc>
        <w:tc>
          <w:tcPr>
            <w:tcW w:w="3137" w:type="dxa"/>
            <w:gridSpan w:val="4"/>
            <w:shd w:val="clear" w:color="auto" w:fill="D9E2F3"/>
            <w:vAlign w:val="center"/>
          </w:tcPr>
          <w:p w14:paraId="014813F0" w14:textId="77777777" w:rsidR="00990B14" w:rsidRDefault="00000000">
            <w:pPr>
              <w:spacing w:before="20" w:after="20"/>
              <w:jc w:val="both"/>
            </w:pPr>
            <w:r>
              <w:rPr>
                <w:b/>
                <w:bCs/>
                <w:sz w:val="18"/>
                <w:szCs w:val="18"/>
              </w:rPr>
              <w:t xml:space="preserve">Producto 30: </w:t>
            </w:r>
            <w:r>
              <w:rPr>
                <w:sz w:val="18"/>
                <w:szCs w:val="18"/>
              </w:rPr>
              <w:t>Balance General, Estado de Resultados de YPFB Corporación y de sus subsidiarias</w:t>
            </w:r>
          </w:p>
        </w:tc>
      </w:tr>
      <w:tr w:rsidR="00990B14" w14:paraId="073EA875" w14:textId="77777777">
        <w:trPr>
          <w:cantSplit/>
          <w:jc w:val="center"/>
        </w:trPr>
        <w:tc>
          <w:tcPr>
            <w:tcW w:w="3133" w:type="dxa"/>
            <w:gridSpan w:val="4"/>
            <w:vMerge w:val="restart"/>
            <w:shd w:val="clear" w:color="auto" w:fill="D9E2F3"/>
            <w:vAlign w:val="center"/>
          </w:tcPr>
          <w:p w14:paraId="18D94201" w14:textId="77777777" w:rsidR="00990B14" w:rsidRDefault="00000000">
            <w:pPr>
              <w:spacing w:before="20" w:after="20"/>
              <w:jc w:val="both"/>
            </w:pPr>
            <w:r>
              <w:rPr>
                <w:sz w:val="18"/>
                <w:szCs w:val="18"/>
              </w:rPr>
              <w:t>2. Evalúa el impacto ambiental de las actividades mineras, valorando los costos ambientales de acuerdo a la normativa ambiental vigente.</w:t>
            </w:r>
          </w:p>
        </w:tc>
        <w:tc>
          <w:tcPr>
            <w:tcW w:w="3135" w:type="dxa"/>
            <w:gridSpan w:val="5"/>
            <w:shd w:val="clear" w:color="auto" w:fill="D9E2F3"/>
            <w:vAlign w:val="center"/>
          </w:tcPr>
          <w:p w14:paraId="61C5DCE7" w14:textId="77777777" w:rsidR="00990B14" w:rsidRDefault="00000000">
            <w:pPr>
              <w:spacing w:before="20" w:after="20"/>
              <w:jc w:val="both"/>
            </w:pPr>
            <w:r>
              <w:rPr>
                <w:sz w:val="18"/>
                <w:szCs w:val="18"/>
              </w:rPr>
              <w:t>2.1 Expone ante el curso el impacto ambiental de las empresas mineras auríferas bolivianas.</w:t>
            </w:r>
          </w:p>
        </w:tc>
        <w:tc>
          <w:tcPr>
            <w:tcW w:w="3137" w:type="dxa"/>
            <w:gridSpan w:val="4"/>
            <w:shd w:val="clear" w:color="auto" w:fill="D9E2F3"/>
            <w:vAlign w:val="center"/>
          </w:tcPr>
          <w:p w14:paraId="7EB88120" w14:textId="77777777" w:rsidR="00990B14" w:rsidRDefault="00000000">
            <w:pPr>
              <w:spacing w:before="20" w:after="20"/>
              <w:jc w:val="both"/>
            </w:pPr>
            <w:r>
              <w:rPr>
                <w:b/>
                <w:bCs/>
                <w:sz w:val="18"/>
                <w:szCs w:val="18"/>
              </w:rPr>
              <w:t xml:space="preserve">Producto 31: </w:t>
            </w:r>
            <w:r>
              <w:rPr>
                <w:sz w:val="18"/>
                <w:szCs w:val="18"/>
              </w:rPr>
              <w:t>Diapositivas en Power Point o Canva que describan el impacto ambiental de esas empresas.</w:t>
            </w:r>
          </w:p>
        </w:tc>
      </w:tr>
      <w:tr w:rsidR="00990B14" w14:paraId="0A5DDB57" w14:textId="77777777">
        <w:trPr>
          <w:cantSplit/>
          <w:jc w:val="center"/>
        </w:trPr>
        <w:tc>
          <w:tcPr>
            <w:tcW w:w="3133" w:type="dxa"/>
            <w:gridSpan w:val="4"/>
            <w:vMerge/>
            <w:shd w:val="clear" w:color="auto" w:fill="D9E2F3"/>
            <w:vAlign w:val="center"/>
          </w:tcPr>
          <w:p w14:paraId="09D13F7D" w14:textId="77777777" w:rsidR="00990B14" w:rsidRDefault="00990B14">
            <w:pPr>
              <w:spacing w:before="20" w:after="20"/>
            </w:pPr>
          </w:p>
        </w:tc>
        <w:tc>
          <w:tcPr>
            <w:tcW w:w="3135" w:type="dxa"/>
            <w:gridSpan w:val="5"/>
            <w:shd w:val="clear" w:color="auto" w:fill="D9E2F3"/>
            <w:vAlign w:val="center"/>
          </w:tcPr>
          <w:p w14:paraId="3B7D4D9E" w14:textId="77777777" w:rsidR="00990B14" w:rsidRDefault="00000000">
            <w:pPr>
              <w:spacing w:before="20" w:after="20"/>
              <w:jc w:val="both"/>
            </w:pPr>
            <w:r>
              <w:rPr>
                <w:sz w:val="18"/>
                <w:szCs w:val="18"/>
              </w:rPr>
              <w:t>2.2 Explica en equipo la normativa ambiental vigente y su aplicación en las actividades mineras.</w:t>
            </w:r>
          </w:p>
        </w:tc>
        <w:tc>
          <w:tcPr>
            <w:tcW w:w="3137" w:type="dxa"/>
            <w:gridSpan w:val="4"/>
            <w:shd w:val="clear" w:color="auto" w:fill="D9E2F3"/>
            <w:vAlign w:val="center"/>
          </w:tcPr>
          <w:p w14:paraId="51176A82" w14:textId="77777777" w:rsidR="00990B14" w:rsidRDefault="00000000">
            <w:pPr>
              <w:spacing w:before="20" w:after="20"/>
              <w:jc w:val="both"/>
            </w:pPr>
            <w:r>
              <w:rPr>
                <w:b/>
                <w:bCs/>
                <w:sz w:val="18"/>
                <w:szCs w:val="18"/>
              </w:rPr>
              <w:t xml:space="preserve">Producto 32: </w:t>
            </w:r>
            <w:r>
              <w:rPr>
                <w:sz w:val="18"/>
                <w:szCs w:val="18"/>
              </w:rPr>
              <w:t>Resumen explicativo de la normativa ambiental vigente.</w:t>
            </w:r>
          </w:p>
        </w:tc>
      </w:tr>
      <w:tr w:rsidR="00990B14" w14:paraId="19A689FE" w14:textId="77777777">
        <w:trPr>
          <w:cantSplit/>
          <w:jc w:val="center"/>
        </w:trPr>
        <w:tc>
          <w:tcPr>
            <w:tcW w:w="9405" w:type="dxa"/>
            <w:gridSpan w:val="13"/>
            <w:shd w:val="clear" w:color="auto" w:fill="4472C4"/>
            <w:vAlign w:val="center"/>
          </w:tcPr>
          <w:p w14:paraId="4DB4517A" w14:textId="77777777" w:rsidR="00990B14" w:rsidRDefault="00000000">
            <w:pPr>
              <w:keepNext/>
              <w:spacing w:before="20" w:after="20"/>
              <w:jc w:val="center"/>
            </w:pPr>
            <w:r>
              <w:rPr>
                <w:b/>
                <w:bCs/>
                <w:i/>
                <w:iCs/>
                <w:color w:val="FFFFFF"/>
                <w:sz w:val="18"/>
                <w:szCs w:val="18"/>
              </w:rPr>
              <w:t>Evidencias de conocimiento</w:t>
            </w:r>
          </w:p>
        </w:tc>
      </w:tr>
      <w:tr w:rsidR="00990B14" w14:paraId="20FE9192" w14:textId="77777777">
        <w:trPr>
          <w:cantSplit/>
          <w:jc w:val="center"/>
        </w:trPr>
        <w:tc>
          <w:tcPr>
            <w:tcW w:w="2349" w:type="dxa"/>
            <w:gridSpan w:val="2"/>
            <w:shd w:val="clear" w:color="auto" w:fill="4472C4"/>
            <w:vAlign w:val="center"/>
          </w:tcPr>
          <w:p w14:paraId="2508927E"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54E8AE9C" w14:textId="77777777" w:rsidR="00990B14" w:rsidRDefault="00000000">
            <w:pPr>
              <w:keepNext/>
              <w:spacing w:before="20" w:after="20"/>
              <w:jc w:val="both"/>
            </w:pPr>
            <w:r>
              <w:rPr>
                <w:b/>
                <w:bCs/>
                <w:i/>
                <w:iCs/>
                <w:color w:val="FFFFFF"/>
                <w:sz w:val="18"/>
                <w:szCs w:val="18"/>
              </w:rPr>
              <w:t>Contenidos</w:t>
            </w:r>
          </w:p>
          <w:p w14:paraId="7D7F7168"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1D2EA1B6" w14:textId="77777777" w:rsidR="00990B14" w:rsidRDefault="00000000">
            <w:pPr>
              <w:keepNext/>
              <w:spacing w:before="20" w:after="20"/>
              <w:jc w:val="center"/>
            </w:pPr>
            <w:r>
              <w:rPr>
                <w:b/>
                <w:bCs/>
                <w:i/>
                <w:iCs/>
                <w:color w:val="FFFFFF"/>
                <w:sz w:val="18"/>
                <w:szCs w:val="18"/>
              </w:rPr>
              <w:t>Conocimientos circunstanciales</w:t>
            </w:r>
          </w:p>
        </w:tc>
      </w:tr>
      <w:tr w:rsidR="00990B14" w14:paraId="1BE27F4E" w14:textId="77777777">
        <w:trPr>
          <w:jc w:val="center"/>
        </w:trPr>
        <w:tc>
          <w:tcPr>
            <w:tcW w:w="2349" w:type="dxa"/>
            <w:gridSpan w:val="2"/>
            <w:shd w:val="clear" w:color="auto" w:fill="D9E2F3"/>
          </w:tcPr>
          <w:p w14:paraId="61234855" w14:textId="77777777" w:rsidR="00990B14" w:rsidRDefault="00000000">
            <w:pPr>
              <w:spacing w:before="20" w:after="40"/>
              <w:jc w:val="both"/>
            </w:pPr>
            <w:r>
              <w:rPr>
                <w:sz w:val="18"/>
                <w:szCs w:val="18"/>
              </w:rPr>
              <w:t>Tema 21: Distribución de gas natural por redes</w:t>
            </w:r>
          </w:p>
          <w:p w14:paraId="219ACADC" w14:textId="77777777" w:rsidR="00990B14" w:rsidRDefault="00000000">
            <w:pPr>
              <w:spacing w:before="20" w:after="40"/>
              <w:jc w:val="both"/>
            </w:pPr>
            <w:r>
              <w:rPr>
                <w:sz w:val="18"/>
                <w:szCs w:val="18"/>
              </w:rPr>
              <w:t>Tema 22: Estados Financieros</w:t>
            </w:r>
          </w:p>
          <w:p w14:paraId="4A651591" w14:textId="77777777" w:rsidR="00990B14" w:rsidRDefault="00000000">
            <w:pPr>
              <w:spacing w:before="20" w:after="40"/>
              <w:jc w:val="both"/>
            </w:pPr>
            <w:r>
              <w:rPr>
                <w:sz w:val="18"/>
                <w:szCs w:val="18"/>
              </w:rPr>
              <w:t>Tema 23: Gestión ambiental aplicada a las actividades petroleras</w:t>
            </w:r>
          </w:p>
        </w:tc>
        <w:tc>
          <w:tcPr>
            <w:tcW w:w="4304" w:type="dxa"/>
            <w:gridSpan w:val="8"/>
            <w:shd w:val="clear" w:color="auto" w:fill="D9E2F3"/>
          </w:tcPr>
          <w:p w14:paraId="22F925A2" w14:textId="77777777" w:rsidR="00990B14" w:rsidRDefault="00000000">
            <w:pPr>
              <w:spacing w:after="40"/>
              <w:jc w:val="both"/>
            </w:pPr>
            <w:r>
              <w:rPr>
                <w:sz w:val="18"/>
                <w:szCs w:val="18"/>
              </w:rPr>
              <w:t>Concepto - Organización y Procedimientos Contables - Costos y Gastos de Instalaciones Intermedios - Costos y Gastos Instalaciones Industriales - Costos y Gastos de Instalaciones Domiciliarias - Servicios Auxiliares - Tratamiento Contable de los Impuestos IVA e IT - Servicios y Ventas - Tratamiento Contable. (C, P)</w:t>
            </w:r>
          </w:p>
          <w:p w14:paraId="4B25760B" w14:textId="77777777" w:rsidR="00990B14" w:rsidRDefault="00000000">
            <w:pPr>
              <w:spacing w:after="40"/>
              <w:jc w:val="both"/>
            </w:pPr>
            <w:r>
              <w:rPr>
                <w:sz w:val="18"/>
                <w:szCs w:val="18"/>
              </w:rPr>
              <w:t>Balance General - Estado de Resultados - Anexos Principales y de Acuerdo a las Actividades de Hidrocarburos y en relación a las Disposiciones Legales en Actual Vigencia. (P)</w:t>
            </w:r>
          </w:p>
          <w:p w14:paraId="772E54B1" w14:textId="77777777" w:rsidR="00990B14" w:rsidRDefault="00000000">
            <w:pPr>
              <w:spacing w:after="40"/>
              <w:jc w:val="both"/>
            </w:pPr>
            <w:r>
              <w:rPr>
                <w:sz w:val="18"/>
                <w:szCs w:val="18"/>
              </w:rPr>
              <w:t>Antecedentes de la gestión ambiental en Bolivia, políticas medioambientales y gestión ambiental en las actividades hidrocarburíferas. (C)</w:t>
            </w:r>
          </w:p>
          <w:p w14:paraId="4773FC31" w14:textId="77777777" w:rsidR="00990B14" w:rsidRDefault="00000000">
            <w:pPr>
              <w:spacing w:after="40"/>
              <w:jc w:val="both"/>
            </w:pPr>
            <w:r>
              <w:rPr>
                <w:sz w:val="18"/>
                <w:szCs w:val="18"/>
              </w:rPr>
              <w:t>Problemas ambientales de las actividades de hidrocarburos, uso de químicos en la explotación y la refinación, evaluación del impacto ambiental, y efectos de la degradación y el deterioro ambiental. (P)</w:t>
            </w:r>
          </w:p>
          <w:p w14:paraId="479EC13C" w14:textId="77777777" w:rsidR="00990B14" w:rsidRDefault="00000000">
            <w:pPr>
              <w:spacing w:after="40"/>
              <w:jc w:val="both"/>
            </w:pPr>
            <w:r>
              <w:rPr>
                <w:sz w:val="18"/>
                <w:szCs w:val="18"/>
              </w:rPr>
              <w:t>Desarrollo sostenible, valoración de los costos ambientales y programas de restauración; contabilización; análisis del pronunciamiento FASB 143, Accounting for Asset Retirement Obligations. (P)</w:t>
            </w:r>
          </w:p>
          <w:p w14:paraId="3068080B" w14:textId="77777777" w:rsidR="00990B14" w:rsidRDefault="00000000">
            <w:pPr>
              <w:spacing w:after="40"/>
              <w:jc w:val="both"/>
            </w:pPr>
            <w:r>
              <w:rPr>
                <w:sz w:val="18"/>
                <w:szCs w:val="18"/>
              </w:rPr>
              <w:t>Criterios jurídicos: Ley N.º 1333, Ley del Medio Ambiente; Decreto Supremo N.º 24176, reglamento de la Ley del Medio Ambiente; y Decreto Supremo N.º 24335, reglamento ambiental para el sector de hidrocarburos. (C)</w:t>
            </w:r>
          </w:p>
        </w:tc>
        <w:tc>
          <w:tcPr>
            <w:tcW w:w="2752" w:type="dxa"/>
            <w:gridSpan w:val="3"/>
            <w:shd w:val="clear" w:color="auto" w:fill="D9E2F3"/>
          </w:tcPr>
          <w:p w14:paraId="22096165" w14:textId="77777777" w:rsidR="00990B14" w:rsidRDefault="00000000">
            <w:pPr>
              <w:numPr>
                <w:ilvl w:val="0"/>
                <w:numId w:val="139"/>
              </w:numPr>
              <w:spacing w:before="10" w:after="10"/>
              <w:jc w:val="both"/>
            </w:pPr>
            <w:r>
              <w:rPr>
                <w:sz w:val="18"/>
                <w:szCs w:val="18"/>
              </w:rPr>
              <w:t>Nociones técnicas de las redes de gas natural: estaciones distritales, redes primarias, secundarias e instalaciones internas.</w:t>
            </w:r>
          </w:p>
          <w:p w14:paraId="5CEA1989" w14:textId="77777777" w:rsidR="00990B14" w:rsidRDefault="00000000">
            <w:pPr>
              <w:numPr>
                <w:ilvl w:val="0"/>
                <w:numId w:val="139"/>
              </w:numPr>
              <w:spacing w:before="10" w:after="10"/>
              <w:jc w:val="both"/>
            </w:pPr>
            <w:r>
              <w:rPr>
                <w:sz w:val="18"/>
                <w:szCs w:val="18"/>
              </w:rPr>
              <w:t>Nociones de los efectos de la explotación de los Recursos Naturales No Renovables, en el medio ambiente.</w:t>
            </w:r>
          </w:p>
        </w:tc>
      </w:tr>
    </w:tbl>
    <w:p w14:paraId="5B3A8157"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736"/>
        <w:gridCol w:w="1399"/>
        <w:gridCol w:w="1910"/>
        <w:gridCol w:w="1820"/>
        <w:gridCol w:w="2540"/>
      </w:tblGrid>
      <w:tr w:rsidR="00990B14" w14:paraId="5F6BC42B" w14:textId="77777777">
        <w:trPr>
          <w:cantSplit/>
          <w:jc w:val="center"/>
        </w:trPr>
        <w:tc>
          <w:tcPr>
            <w:tcW w:w="9405" w:type="dxa"/>
            <w:gridSpan w:val="5"/>
            <w:shd w:val="clear" w:color="auto" w:fill="4472C4"/>
            <w:vAlign w:val="center"/>
          </w:tcPr>
          <w:p w14:paraId="6E80D4AC" w14:textId="77777777" w:rsidR="00990B14" w:rsidRDefault="00000000">
            <w:pPr>
              <w:keepNext/>
              <w:spacing w:before="20" w:after="20"/>
              <w:jc w:val="center"/>
            </w:pPr>
            <w:r>
              <w:rPr>
                <w:b/>
                <w:bCs/>
                <w:i/>
                <w:iCs/>
                <w:color w:val="FFFFFF"/>
                <w:sz w:val="18"/>
                <w:szCs w:val="18"/>
              </w:rPr>
              <w:t>Actividades</w:t>
            </w:r>
          </w:p>
        </w:tc>
      </w:tr>
      <w:tr w:rsidR="00990B14" w14:paraId="4B6B85FF" w14:textId="77777777">
        <w:trPr>
          <w:cantSplit/>
          <w:jc w:val="center"/>
        </w:trPr>
        <w:tc>
          <w:tcPr>
            <w:tcW w:w="1736" w:type="dxa"/>
            <w:shd w:val="clear" w:color="auto" w:fill="4472C4"/>
            <w:vAlign w:val="center"/>
          </w:tcPr>
          <w:p w14:paraId="44517EDC" w14:textId="77777777" w:rsidR="00990B14" w:rsidRDefault="00000000">
            <w:pPr>
              <w:keepNext/>
              <w:spacing w:before="20" w:after="20"/>
              <w:jc w:val="center"/>
            </w:pPr>
            <w:r>
              <w:rPr>
                <w:b/>
                <w:bCs/>
                <w:i/>
                <w:iCs/>
                <w:color w:val="FFFFFF"/>
                <w:sz w:val="18"/>
                <w:szCs w:val="18"/>
              </w:rPr>
              <w:t>En clase</w:t>
            </w:r>
          </w:p>
        </w:tc>
        <w:tc>
          <w:tcPr>
            <w:tcW w:w="1399" w:type="dxa"/>
            <w:shd w:val="clear" w:color="auto" w:fill="4472C4"/>
            <w:vAlign w:val="center"/>
          </w:tcPr>
          <w:p w14:paraId="057CA494" w14:textId="77777777" w:rsidR="00990B14" w:rsidRDefault="00000000">
            <w:pPr>
              <w:keepNext/>
              <w:spacing w:before="20" w:after="20"/>
              <w:jc w:val="center"/>
            </w:pPr>
            <w:r>
              <w:rPr>
                <w:b/>
                <w:bCs/>
                <w:i/>
                <w:iCs/>
                <w:color w:val="FFFFFF"/>
                <w:sz w:val="18"/>
                <w:szCs w:val="18"/>
              </w:rPr>
              <w:t>Autónomas</w:t>
            </w:r>
          </w:p>
        </w:tc>
        <w:tc>
          <w:tcPr>
            <w:tcW w:w="1910" w:type="dxa"/>
            <w:shd w:val="clear" w:color="auto" w:fill="4472C4"/>
            <w:vAlign w:val="center"/>
          </w:tcPr>
          <w:p w14:paraId="19C26F66" w14:textId="77777777" w:rsidR="00990B14" w:rsidRDefault="00000000">
            <w:pPr>
              <w:keepNext/>
              <w:spacing w:before="20" w:after="20"/>
              <w:jc w:val="center"/>
            </w:pPr>
            <w:r>
              <w:rPr>
                <w:b/>
                <w:bCs/>
                <w:i/>
                <w:iCs/>
                <w:color w:val="FFFFFF"/>
                <w:sz w:val="18"/>
                <w:szCs w:val="18"/>
              </w:rPr>
              <w:t>B-Learning</w:t>
            </w:r>
          </w:p>
        </w:tc>
        <w:tc>
          <w:tcPr>
            <w:tcW w:w="1820" w:type="dxa"/>
            <w:shd w:val="clear" w:color="auto" w:fill="4472C4"/>
            <w:vAlign w:val="center"/>
          </w:tcPr>
          <w:p w14:paraId="53386748" w14:textId="77777777" w:rsidR="00990B14" w:rsidRDefault="00000000">
            <w:pPr>
              <w:keepNext/>
              <w:spacing w:before="20" w:after="20"/>
              <w:jc w:val="center"/>
            </w:pPr>
            <w:r>
              <w:rPr>
                <w:b/>
                <w:bCs/>
                <w:i/>
                <w:iCs/>
                <w:color w:val="FFFFFF"/>
                <w:sz w:val="18"/>
                <w:szCs w:val="18"/>
              </w:rPr>
              <w:t>Taller</w:t>
            </w:r>
          </w:p>
        </w:tc>
        <w:tc>
          <w:tcPr>
            <w:tcW w:w="2540" w:type="dxa"/>
            <w:shd w:val="clear" w:color="auto" w:fill="4472C4"/>
            <w:vAlign w:val="center"/>
          </w:tcPr>
          <w:p w14:paraId="35DF1D15" w14:textId="77777777" w:rsidR="00990B14" w:rsidRDefault="00000000">
            <w:pPr>
              <w:keepNext/>
              <w:spacing w:before="20" w:after="20"/>
              <w:jc w:val="center"/>
            </w:pPr>
            <w:r>
              <w:rPr>
                <w:b/>
                <w:bCs/>
                <w:i/>
                <w:iCs/>
                <w:color w:val="FFFFFF"/>
                <w:sz w:val="18"/>
                <w:szCs w:val="18"/>
              </w:rPr>
              <w:t>Investigación/Práctica</w:t>
            </w:r>
          </w:p>
        </w:tc>
      </w:tr>
      <w:tr w:rsidR="00990B14" w14:paraId="7395DFD0" w14:textId="77777777">
        <w:trPr>
          <w:jc w:val="center"/>
        </w:trPr>
        <w:tc>
          <w:tcPr>
            <w:tcW w:w="1736" w:type="dxa"/>
            <w:shd w:val="clear" w:color="auto" w:fill="D9E2F3"/>
          </w:tcPr>
          <w:p w14:paraId="77005988" w14:textId="77777777" w:rsidR="00990B14" w:rsidRDefault="00000000">
            <w:pPr>
              <w:numPr>
                <w:ilvl w:val="0"/>
                <w:numId w:val="139"/>
              </w:numPr>
              <w:spacing w:before="10" w:after="10"/>
              <w:jc w:val="both"/>
            </w:pPr>
            <w:r>
              <w:rPr>
                <w:sz w:val="18"/>
                <w:szCs w:val="18"/>
              </w:rPr>
              <w:t>Exposición dialogada de las fases de la actividad minera y petrolera y de su organización contable.</w:t>
            </w:r>
          </w:p>
          <w:p w14:paraId="6377A4B3" w14:textId="77777777" w:rsidR="00990B14" w:rsidRDefault="00000000">
            <w:pPr>
              <w:numPr>
                <w:ilvl w:val="0"/>
                <w:numId w:val="139"/>
              </w:numPr>
              <w:spacing w:before="10" w:after="10"/>
              <w:jc w:val="both"/>
            </w:pPr>
            <w:r>
              <w:rPr>
                <w:sz w:val="18"/>
                <w:szCs w:val="18"/>
              </w:rPr>
              <w:t>Resolución guiada de casos de capitalización de la exploración y de provisiones por restauración y abandono.</w:t>
            </w:r>
          </w:p>
          <w:p w14:paraId="7FF64F40" w14:textId="77777777" w:rsidR="00990B14" w:rsidRDefault="00000000">
            <w:pPr>
              <w:numPr>
                <w:ilvl w:val="0"/>
                <w:numId w:val="139"/>
              </w:numPr>
              <w:spacing w:before="10" w:after="10"/>
              <w:jc w:val="both"/>
            </w:pPr>
            <w:r>
              <w:rPr>
                <w:sz w:val="18"/>
                <w:szCs w:val="18"/>
              </w:rPr>
              <w:t>Demostración en hoja de cálculo de la liquidación de venta de minerales y de las regalías.</w:t>
            </w:r>
          </w:p>
          <w:p w14:paraId="274B3D7E" w14:textId="77777777" w:rsidR="00990B14" w:rsidRDefault="00000000">
            <w:pPr>
              <w:numPr>
                <w:ilvl w:val="0"/>
                <w:numId w:val="139"/>
              </w:numPr>
              <w:spacing w:before="10" w:after="10"/>
              <w:jc w:val="both"/>
            </w:pPr>
            <w:r>
              <w:rPr>
                <w:sz w:val="18"/>
                <w:szCs w:val="18"/>
              </w:rPr>
              <w:t>Análisis de casos de estados financieros publicados por empresas extractivas bolivianas.</w:t>
            </w:r>
          </w:p>
          <w:p w14:paraId="0C82CC57" w14:textId="77777777" w:rsidR="00990B14" w:rsidRDefault="00000000">
            <w:pPr>
              <w:numPr>
                <w:ilvl w:val="0"/>
                <w:numId w:val="139"/>
              </w:numPr>
              <w:spacing w:before="10" w:after="10"/>
              <w:jc w:val="both"/>
            </w:pPr>
            <w:r>
              <w:rPr>
                <w:sz w:val="18"/>
                <w:szCs w:val="18"/>
              </w:rPr>
              <w:t>Preguntas de comprensión sobre el régimen regalitario e impositivo minero y petrolero.</w:t>
            </w:r>
          </w:p>
        </w:tc>
        <w:tc>
          <w:tcPr>
            <w:tcW w:w="1399" w:type="dxa"/>
            <w:shd w:val="clear" w:color="auto" w:fill="D9E2F3"/>
          </w:tcPr>
          <w:p w14:paraId="10E5D69D" w14:textId="77777777" w:rsidR="00990B14" w:rsidRDefault="00000000">
            <w:pPr>
              <w:numPr>
                <w:ilvl w:val="0"/>
                <w:numId w:val="139"/>
              </w:numPr>
              <w:spacing w:before="10" w:after="10"/>
              <w:jc w:val="both"/>
            </w:pPr>
            <w:r>
              <w:rPr>
                <w:sz w:val="18"/>
                <w:szCs w:val="18"/>
              </w:rPr>
              <w:t>Resolución de ejercicios de registro contable al cierre de cada tema.</w:t>
            </w:r>
          </w:p>
          <w:p w14:paraId="5C66F091" w14:textId="77777777" w:rsidR="00990B14" w:rsidRDefault="00000000">
            <w:pPr>
              <w:numPr>
                <w:ilvl w:val="0"/>
                <w:numId w:val="139"/>
              </w:numPr>
              <w:spacing w:before="10" w:after="10"/>
              <w:jc w:val="both"/>
            </w:pPr>
            <w:r>
              <w:rPr>
                <w:sz w:val="18"/>
                <w:szCs w:val="18"/>
              </w:rPr>
              <w:t>Lectura de las leyes y decretos que rigen la industria minera y petrolera.</w:t>
            </w:r>
          </w:p>
          <w:p w14:paraId="7427D8F8" w14:textId="77777777" w:rsidR="00990B14" w:rsidRDefault="00000000">
            <w:pPr>
              <w:numPr>
                <w:ilvl w:val="0"/>
                <w:numId w:val="139"/>
              </w:numPr>
              <w:spacing w:before="10" w:after="10"/>
              <w:jc w:val="both"/>
            </w:pPr>
            <w:r>
              <w:rPr>
                <w:sz w:val="18"/>
                <w:szCs w:val="18"/>
              </w:rPr>
              <w:t>Desarrollo progresivo del caso práctico integral de una empresa minera y de una empresa petrolera.</w:t>
            </w:r>
          </w:p>
        </w:tc>
        <w:tc>
          <w:tcPr>
            <w:tcW w:w="1910" w:type="dxa"/>
            <w:shd w:val="clear" w:color="auto" w:fill="D9E2F3"/>
          </w:tcPr>
          <w:p w14:paraId="37BB8A52" w14:textId="77777777" w:rsidR="00990B14" w:rsidRDefault="00000000">
            <w:pPr>
              <w:numPr>
                <w:ilvl w:val="0"/>
                <w:numId w:val="139"/>
              </w:numPr>
              <w:spacing w:before="10" w:after="10"/>
              <w:jc w:val="both"/>
            </w:pPr>
            <w:r>
              <w:rPr>
                <w:sz w:val="18"/>
                <w:szCs w:val="18"/>
              </w:rPr>
              <w:t>Cuestionarios de comprensión en la plataforma Moodle UMSA. Foros de consulta sobre casos prácticos de liquidación de regalías e impuestos sectoriales.</w:t>
            </w:r>
          </w:p>
          <w:p w14:paraId="30B638BE" w14:textId="77777777" w:rsidR="00990B14" w:rsidRDefault="00000000">
            <w:pPr>
              <w:numPr>
                <w:ilvl w:val="0"/>
                <w:numId w:val="139"/>
              </w:numPr>
              <w:spacing w:before="10" w:after="10"/>
              <w:jc w:val="both"/>
            </w:pPr>
            <w:r>
              <w:rPr>
                <w:sz w:val="18"/>
                <w:szCs w:val="18"/>
              </w:rPr>
              <w:t>Videotutoriales de registro contable en la industria extractiva.</w:t>
            </w:r>
          </w:p>
          <w:p w14:paraId="59AB9967" w14:textId="77777777" w:rsidR="00990B14" w:rsidRDefault="00000000">
            <w:pPr>
              <w:numPr>
                <w:ilvl w:val="0"/>
                <w:numId w:val="139"/>
              </w:numPr>
              <w:spacing w:before="10" w:after="10"/>
              <w:jc w:val="both"/>
            </w:pPr>
            <w:r>
              <w:rPr>
                <w:sz w:val="18"/>
                <w:szCs w:val="18"/>
              </w:rPr>
              <w:t>Ejercicios de provisión por desmantelamiento y de deterioro de activos de exploración en hoja de cálculo.</w:t>
            </w:r>
          </w:p>
        </w:tc>
        <w:tc>
          <w:tcPr>
            <w:tcW w:w="1820" w:type="dxa"/>
            <w:shd w:val="clear" w:color="auto" w:fill="D9E2F3"/>
          </w:tcPr>
          <w:p w14:paraId="2728F017" w14:textId="77777777" w:rsidR="00990B14" w:rsidRDefault="00000000">
            <w:pPr>
              <w:numPr>
                <w:ilvl w:val="0"/>
                <w:numId w:val="139"/>
              </w:numPr>
              <w:spacing w:before="10" w:after="10"/>
              <w:jc w:val="both"/>
            </w:pPr>
            <w:r>
              <w:rPr>
                <w:sz w:val="18"/>
                <w:szCs w:val="18"/>
              </w:rPr>
              <w:t>Resolución colaborativa de casos de contabilización de las fases de la actividad minera y petrolera.</w:t>
            </w:r>
          </w:p>
          <w:p w14:paraId="688F7CDE" w14:textId="77777777" w:rsidR="00990B14" w:rsidRDefault="00000000">
            <w:pPr>
              <w:numPr>
                <w:ilvl w:val="0"/>
                <w:numId w:val="139"/>
              </w:numPr>
              <w:spacing w:before="10" w:after="10"/>
              <w:jc w:val="both"/>
            </w:pPr>
            <w:r>
              <w:rPr>
                <w:sz w:val="18"/>
                <w:szCs w:val="18"/>
              </w:rPr>
              <w:t>Elaboración guiada de liquidaciones de regalías mineras y petroleras.</w:t>
            </w:r>
          </w:p>
          <w:p w14:paraId="63B63AAC" w14:textId="77777777" w:rsidR="00990B14" w:rsidRDefault="00000000">
            <w:pPr>
              <w:numPr>
                <w:ilvl w:val="0"/>
                <w:numId w:val="139"/>
              </w:numPr>
              <w:spacing w:before="10" w:after="10"/>
              <w:jc w:val="both"/>
            </w:pPr>
            <w:r>
              <w:rPr>
                <w:sz w:val="18"/>
                <w:szCs w:val="18"/>
              </w:rPr>
              <w:t>Revisión cruzada de estados financieros entre equipos.</w:t>
            </w:r>
          </w:p>
          <w:p w14:paraId="60F5B325" w14:textId="77777777" w:rsidR="00990B14" w:rsidRDefault="00000000">
            <w:pPr>
              <w:numPr>
                <w:ilvl w:val="0"/>
                <w:numId w:val="139"/>
              </w:numPr>
              <w:spacing w:before="10" w:after="10"/>
              <w:jc w:val="both"/>
            </w:pPr>
            <w:r>
              <w:rPr>
                <w:sz w:val="18"/>
                <w:szCs w:val="18"/>
              </w:rPr>
              <w:t>Elaboración de una liquidación de venta de minerales con precio provisional y su ajuste definitivo.</w:t>
            </w:r>
          </w:p>
        </w:tc>
        <w:tc>
          <w:tcPr>
            <w:tcW w:w="2540" w:type="dxa"/>
            <w:shd w:val="clear" w:color="auto" w:fill="D9E2F3"/>
          </w:tcPr>
          <w:p w14:paraId="4CE68A67" w14:textId="77777777" w:rsidR="00990B14" w:rsidRDefault="00000000">
            <w:pPr>
              <w:numPr>
                <w:ilvl w:val="0"/>
                <w:numId w:val="139"/>
              </w:numPr>
              <w:spacing w:before="10" w:after="10"/>
              <w:jc w:val="both"/>
            </w:pPr>
            <w:r>
              <w:rPr>
                <w:sz w:val="18"/>
                <w:szCs w:val="18"/>
              </w:rPr>
              <w:t>Análisis de estados financieros publicados por empresas mineras y petroleras bolivianas.</w:t>
            </w:r>
          </w:p>
          <w:p w14:paraId="435863D7" w14:textId="77777777" w:rsidR="00990B14" w:rsidRDefault="00000000">
            <w:pPr>
              <w:numPr>
                <w:ilvl w:val="0"/>
                <w:numId w:val="139"/>
              </w:numPr>
              <w:spacing w:before="10" w:after="10"/>
              <w:jc w:val="both"/>
            </w:pPr>
            <w:r>
              <w:rPr>
                <w:sz w:val="18"/>
                <w:szCs w:val="18"/>
              </w:rPr>
              <w:t>Revisión de contratos administrativos mineros y contratos petroleros vigentes.</w:t>
            </w:r>
          </w:p>
          <w:p w14:paraId="30FB0174" w14:textId="77777777" w:rsidR="00990B14" w:rsidRDefault="00000000">
            <w:pPr>
              <w:numPr>
                <w:ilvl w:val="0"/>
                <w:numId w:val="139"/>
              </w:numPr>
              <w:spacing w:before="10" w:after="10"/>
              <w:jc w:val="both"/>
            </w:pPr>
            <w:r>
              <w:rPr>
                <w:sz w:val="18"/>
                <w:szCs w:val="18"/>
              </w:rPr>
              <w:t>Comparación del régimen impositivo minero y del régimen impositivo petrolero.</w:t>
            </w:r>
          </w:p>
          <w:p w14:paraId="28738A85" w14:textId="77777777" w:rsidR="00990B14" w:rsidRDefault="00000000">
            <w:pPr>
              <w:numPr>
                <w:ilvl w:val="0"/>
                <w:numId w:val="139"/>
              </w:numPr>
              <w:spacing w:before="10" w:after="10"/>
              <w:jc w:val="both"/>
            </w:pPr>
            <w:r>
              <w:rPr>
                <w:sz w:val="18"/>
                <w:szCs w:val="18"/>
              </w:rPr>
              <w:t>Revisión de los estados financieros de una empresa minera o petrolera y de sus revelaciones sectoriales.</w:t>
            </w:r>
          </w:p>
        </w:tc>
      </w:tr>
    </w:tbl>
    <w:p w14:paraId="57B8240D"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807"/>
        <w:gridCol w:w="1910"/>
        <w:gridCol w:w="1836"/>
        <w:gridCol w:w="2015"/>
        <w:gridCol w:w="1837"/>
      </w:tblGrid>
      <w:tr w:rsidR="00990B14" w14:paraId="6D03262D" w14:textId="77777777">
        <w:trPr>
          <w:jc w:val="center"/>
        </w:trPr>
        <w:tc>
          <w:tcPr>
            <w:tcW w:w="1807" w:type="dxa"/>
            <w:shd w:val="clear" w:color="auto" w:fill="4472C4"/>
            <w:vAlign w:val="center"/>
          </w:tcPr>
          <w:p w14:paraId="4E4BD95E" w14:textId="77777777" w:rsidR="00990B14" w:rsidRDefault="00000000">
            <w:pPr>
              <w:spacing w:before="20" w:after="20"/>
              <w:jc w:val="center"/>
            </w:pPr>
            <w:r>
              <w:rPr>
                <w:b/>
                <w:bCs/>
                <w:i/>
                <w:iCs/>
                <w:color w:val="FFFFFF"/>
                <w:sz w:val="18"/>
                <w:szCs w:val="18"/>
              </w:rPr>
              <w:t>Estrategias de aprendizaje y enseñanza</w:t>
            </w:r>
          </w:p>
        </w:tc>
        <w:tc>
          <w:tcPr>
            <w:tcW w:w="7598" w:type="dxa"/>
            <w:gridSpan w:val="4"/>
            <w:shd w:val="clear" w:color="auto" w:fill="D9E2F3"/>
            <w:vAlign w:val="center"/>
          </w:tcPr>
          <w:p w14:paraId="4EDED266" w14:textId="77777777" w:rsidR="00990B14" w:rsidRDefault="00000000">
            <w:pPr>
              <w:numPr>
                <w:ilvl w:val="0"/>
                <w:numId w:val="140"/>
              </w:numPr>
              <w:spacing w:before="10" w:after="10"/>
              <w:jc w:val="both"/>
            </w:pPr>
            <w:r>
              <w:rPr>
                <w:sz w:val="18"/>
                <w:szCs w:val="18"/>
              </w:rPr>
              <w:t>Aprendizaje basado en problemas con casos de empresas mineras y petroleras bolivianas.</w:t>
            </w:r>
          </w:p>
          <w:p w14:paraId="553A786F" w14:textId="77777777" w:rsidR="00990B14" w:rsidRDefault="00000000">
            <w:pPr>
              <w:numPr>
                <w:ilvl w:val="0"/>
                <w:numId w:val="140"/>
              </w:numPr>
              <w:spacing w:before="10" w:after="10"/>
              <w:jc w:val="both"/>
            </w:pPr>
            <w:r>
              <w:rPr>
                <w:sz w:val="18"/>
                <w:szCs w:val="18"/>
              </w:rPr>
              <w:t>Resolución guiada de ejercicios en orden de dificultad creciente.</w:t>
            </w:r>
          </w:p>
          <w:p w14:paraId="3F2B0AF3" w14:textId="77777777" w:rsidR="00990B14" w:rsidRDefault="00000000">
            <w:pPr>
              <w:numPr>
                <w:ilvl w:val="0"/>
                <w:numId w:val="140"/>
              </w:numPr>
              <w:spacing w:before="10" w:after="10"/>
              <w:jc w:val="both"/>
            </w:pPr>
            <w:r>
              <w:rPr>
                <w:sz w:val="18"/>
                <w:szCs w:val="18"/>
              </w:rPr>
              <w:t>Caso práctico integral que recorre las fases de la actividad minera y de la actividad petrolera.</w:t>
            </w:r>
          </w:p>
          <w:p w14:paraId="714FD0D6" w14:textId="77777777" w:rsidR="00990B14" w:rsidRDefault="00000000">
            <w:pPr>
              <w:numPr>
                <w:ilvl w:val="0"/>
                <w:numId w:val="140"/>
              </w:numPr>
              <w:spacing w:before="10" w:after="10"/>
              <w:jc w:val="both"/>
            </w:pPr>
            <w:r>
              <w:rPr>
                <w:sz w:val="18"/>
                <w:szCs w:val="18"/>
              </w:rPr>
              <w:t>Estudio de casos de estados financieros y liquidaciones reales del sector extractivo.</w:t>
            </w:r>
          </w:p>
          <w:p w14:paraId="1E0B834D" w14:textId="77777777" w:rsidR="00990B14" w:rsidRDefault="00000000">
            <w:pPr>
              <w:numPr>
                <w:ilvl w:val="0"/>
                <w:numId w:val="140"/>
              </w:numPr>
              <w:spacing w:before="10" w:after="10"/>
              <w:jc w:val="both"/>
            </w:pPr>
            <w:r>
              <w:rPr>
                <w:sz w:val="18"/>
                <w:szCs w:val="18"/>
              </w:rPr>
              <w:t>Trabajo colaborativo en equipos de registro y liquidación de operaciones.</w:t>
            </w:r>
          </w:p>
          <w:p w14:paraId="3AB8E7A1" w14:textId="77777777" w:rsidR="00990B14" w:rsidRDefault="00000000">
            <w:pPr>
              <w:numPr>
                <w:ilvl w:val="0"/>
                <w:numId w:val="140"/>
              </w:numPr>
              <w:spacing w:before="10" w:after="10"/>
              <w:jc w:val="both"/>
            </w:pPr>
            <w:r>
              <w:rPr>
                <w:sz w:val="18"/>
                <w:szCs w:val="18"/>
              </w:rPr>
              <w:t>Clase invertida para los contenidos normativos y ambientales.</w:t>
            </w:r>
          </w:p>
          <w:p w14:paraId="629AF057" w14:textId="77777777" w:rsidR="00990B14" w:rsidRDefault="00000000">
            <w:pPr>
              <w:numPr>
                <w:ilvl w:val="0"/>
                <w:numId w:val="140"/>
              </w:numPr>
              <w:spacing w:before="10" w:after="10"/>
              <w:jc w:val="both"/>
            </w:pPr>
            <w:r>
              <w:rPr>
                <w:sz w:val="18"/>
                <w:szCs w:val="18"/>
              </w:rPr>
              <w:t>Análisis crítico de la política contable de exploración adoptada por una empresa antes de interpretar sus resultados.</w:t>
            </w:r>
          </w:p>
        </w:tc>
      </w:tr>
      <w:tr w:rsidR="00990B14" w14:paraId="7408E8DA" w14:textId="77777777">
        <w:trPr>
          <w:jc w:val="center"/>
        </w:trPr>
        <w:tc>
          <w:tcPr>
            <w:tcW w:w="1807" w:type="dxa"/>
            <w:shd w:val="clear" w:color="auto" w:fill="4472C4"/>
            <w:vAlign w:val="center"/>
          </w:tcPr>
          <w:p w14:paraId="2CDC6DC2" w14:textId="77777777" w:rsidR="00990B14" w:rsidRDefault="00000000">
            <w:pPr>
              <w:spacing w:before="20" w:after="20"/>
              <w:jc w:val="center"/>
            </w:pPr>
            <w:r>
              <w:rPr>
                <w:b/>
                <w:bCs/>
                <w:i/>
                <w:iCs/>
                <w:color w:val="FFFFFF"/>
                <w:sz w:val="18"/>
                <w:szCs w:val="18"/>
              </w:rPr>
              <w:t>Recursos para el aprendizaje</w:t>
            </w:r>
          </w:p>
        </w:tc>
        <w:tc>
          <w:tcPr>
            <w:tcW w:w="7598" w:type="dxa"/>
            <w:gridSpan w:val="4"/>
            <w:shd w:val="clear" w:color="auto" w:fill="D9E2F3"/>
            <w:vAlign w:val="center"/>
          </w:tcPr>
          <w:p w14:paraId="1F6B640D" w14:textId="77777777" w:rsidR="00990B14" w:rsidRDefault="00000000">
            <w:pPr>
              <w:numPr>
                <w:ilvl w:val="0"/>
                <w:numId w:val="140"/>
              </w:numPr>
              <w:spacing w:before="10" w:after="10"/>
              <w:jc w:val="both"/>
            </w:pPr>
            <w:r>
              <w:rPr>
                <w:sz w:val="18"/>
                <w:szCs w:val="18"/>
              </w:rPr>
              <w:t>Plataforma Moodle UMSA. Hoja de cálculo y sistemas contables de uso académico.</w:t>
            </w:r>
          </w:p>
          <w:p w14:paraId="75E9FF84" w14:textId="77777777" w:rsidR="00990B14" w:rsidRDefault="00000000">
            <w:pPr>
              <w:numPr>
                <w:ilvl w:val="0"/>
                <w:numId w:val="140"/>
              </w:numPr>
              <w:spacing w:before="10" w:after="10"/>
              <w:jc w:val="both"/>
            </w:pPr>
            <w:r>
              <w:rPr>
                <w:sz w:val="18"/>
                <w:szCs w:val="18"/>
              </w:rPr>
              <w:t>Formularios de liquidación de regalías mineras y petroleras y de declaraciones juradas impositivas.</w:t>
            </w:r>
          </w:p>
          <w:p w14:paraId="2CFC5F05" w14:textId="77777777" w:rsidR="00990B14" w:rsidRDefault="00000000">
            <w:pPr>
              <w:numPr>
                <w:ilvl w:val="0"/>
                <w:numId w:val="140"/>
              </w:numPr>
              <w:spacing w:before="10" w:after="10"/>
              <w:jc w:val="both"/>
            </w:pPr>
            <w:r>
              <w:rPr>
                <w:sz w:val="18"/>
                <w:szCs w:val="18"/>
              </w:rPr>
              <w:t>Compendio de Normas de Contabilidad y Auditoría del CAUB y Normas Internacionales de Información Financiera.</w:t>
            </w:r>
          </w:p>
          <w:p w14:paraId="68D6043A" w14:textId="77777777" w:rsidR="00990B14" w:rsidRDefault="00000000">
            <w:pPr>
              <w:numPr>
                <w:ilvl w:val="0"/>
                <w:numId w:val="140"/>
              </w:numPr>
              <w:spacing w:before="10" w:after="10"/>
              <w:jc w:val="both"/>
            </w:pPr>
            <w:r>
              <w:rPr>
                <w:sz w:val="18"/>
                <w:szCs w:val="18"/>
              </w:rPr>
              <w:t>Guías de ejercicios y casos elaborados por la cátedra sobre contabilidad minera y petrolera.</w:t>
            </w:r>
          </w:p>
          <w:p w14:paraId="756D14DC" w14:textId="77777777" w:rsidR="00990B14" w:rsidRDefault="00000000">
            <w:pPr>
              <w:numPr>
                <w:ilvl w:val="0"/>
                <w:numId w:val="140"/>
              </w:numPr>
              <w:spacing w:before="10" w:after="10"/>
              <w:jc w:val="both"/>
            </w:pPr>
            <w:r>
              <w:rPr>
                <w:sz w:val="18"/>
                <w:szCs w:val="18"/>
              </w:rPr>
              <w:t>Normativa minera e hidrocarburífera vigente y formularios del SENARECOM y de la Agencia Nacional de Hidrocarburos.</w:t>
            </w:r>
          </w:p>
          <w:p w14:paraId="74C63C6C" w14:textId="77777777" w:rsidR="00990B14" w:rsidRDefault="00000000">
            <w:pPr>
              <w:numPr>
                <w:ilvl w:val="0"/>
                <w:numId w:val="140"/>
              </w:numPr>
              <w:spacing w:before="10" w:after="10"/>
              <w:jc w:val="both"/>
            </w:pPr>
            <w:r>
              <w:rPr>
                <w:sz w:val="18"/>
                <w:szCs w:val="18"/>
              </w:rPr>
              <w:t>Cotizaciones oficiales de minerales y precios de referencia de los hidrocarburos publicados por las entidades competentes.</w:t>
            </w:r>
          </w:p>
        </w:tc>
      </w:tr>
      <w:tr w:rsidR="00990B14" w14:paraId="1F4F5278" w14:textId="77777777">
        <w:trPr>
          <w:jc w:val="center"/>
        </w:trPr>
        <w:tc>
          <w:tcPr>
            <w:tcW w:w="1807" w:type="dxa"/>
            <w:shd w:val="clear" w:color="auto" w:fill="4472C4"/>
            <w:vAlign w:val="center"/>
          </w:tcPr>
          <w:p w14:paraId="14D9E983" w14:textId="77777777" w:rsidR="00990B14" w:rsidRDefault="00000000">
            <w:pPr>
              <w:spacing w:before="20" w:after="20"/>
              <w:jc w:val="center"/>
            </w:pPr>
            <w:r>
              <w:rPr>
                <w:b/>
                <w:bCs/>
                <w:i/>
                <w:iCs/>
                <w:color w:val="FFFFFF"/>
                <w:sz w:val="18"/>
                <w:szCs w:val="18"/>
              </w:rPr>
              <w:t>Estrategias de evaluación</w:t>
            </w:r>
          </w:p>
        </w:tc>
        <w:tc>
          <w:tcPr>
            <w:tcW w:w="7598" w:type="dxa"/>
            <w:gridSpan w:val="4"/>
            <w:shd w:val="clear" w:color="auto" w:fill="D9E2F3"/>
            <w:vAlign w:val="center"/>
          </w:tcPr>
          <w:p w14:paraId="06DFF2E0" w14:textId="77777777" w:rsidR="00990B14" w:rsidRDefault="00000000">
            <w:pPr>
              <w:numPr>
                <w:ilvl w:val="0"/>
                <w:numId w:val="140"/>
              </w:numPr>
              <w:spacing w:before="10" w:after="10"/>
              <w:jc w:val="both"/>
            </w:pPr>
            <w:r>
              <w:rPr>
                <w:sz w:val="18"/>
                <w:szCs w:val="18"/>
              </w:rPr>
              <w:t>Evaluación diagnóstica: prueba inicial sobre los conocimientos previos de contabilidad internacional y de contabilidad de costos y gestión.</w:t>
            </w:r>
          </w:p>
          <w:p w14:paraId="58753C43" w14:textId="77777777" w:rsidR="00990B14" w:rsidRDefault="00000000">
            <w:pPr>
              <w:numPr>
                <w:ilvl w:val="0"/>
                <w:numId w:val="140"/>
              </w:numPr>
              <w:spacing w:before="10" w:after="10"/>
              <w:jc w:val="both"/>
            </w:pPr>
            <w:r>
              <w:rPr>
                <w:sz w:val="18"/>
                <w:szCs w:val="18"/>
              </w:rPr>
              <w:t>Evaluación formativa: preguntas de comprensión y desarrollo de ejercicios prácticos en el aula, con retroalimentación continua, autoevaluación y coevaluación.</w:t>
            </w:r>
          </w:p>
          <w:p w14:paraId="2495BBB8" w14:textId="77777777" w:rsidR="00990B14" w:rsidRDefault="00000000">
            <w:pPr>
              <w:numPr>
                <w:ilvl w:val="0"/>
                <w:numId w:val="140"/>
              </w:numPr>
              <w:spacing w:before="10" w:after="10"/>
              <w:jc w:val="both"/>
            </w:pPr>
            <w:r>
              <w:rPr>
                <w:sz w:val="18"/>
                <w:szCs w:val="18"/>
              </w:rPr>
              <w:t>Evaluación sumativa: controles de lectura y asistencia, evaluación de casos prácticos, trabajos de investigación y desarrollo, exámenes parciales y examen final.</w:t>
            </w:r>
          </w:p>
        </w:tc>
      </w:tr>
      <w:tr w:rsidR="00990B14" w14:paraId="2803D957" w14:textId="77777777">
        <w:trPr>
          <w:jc w:val="center"/>
        </w:trPr>
        <w:tc>
          <w:tcPr>
            <w:tcW w:w="1807" w:type="dxa"/>
            <w:shd w:val="clear" w:color="auto" w:fill="4472C4"/>
            <w:vAlign w:val="center"/>
          </w:tcPr>
          <w:p w14:paraId="411B8A27" w14:textId="77777777" w:rsidR="00990B14" w:rsidRDefault="00000000">
            <w:pPr>
              <w:spacing w:before="20" w:after="20"/>
              <w:jc w:val="center"/>
            </w:pPr>
            <w:r>
              <w:rPr>
                <w:b/>
                <w:bCs/>
                <w:i/>
                <w:iCs/>
                <w:color w:val="FFFFFF"/>
                <w:sz w:val="18"/>
                <w:szCs w:val="18"/>
              </w:rPr>
              <w:t>Criterios de calificación</w:t>
            </w:r>
          </w:p>
        </w:tc>
        <w:tc>
          <w:tcPr>
            <w:tcW w:w="7598" w:type="dxa"/>
            <w:gridSpan w:val="4"/>
            <w:shd w:val="clear" w:color="auto" w:fill="D9E2F3"/>
            <w:vAlign w:val="center"/>
          </w:tcPr>
          <w:p w14:paraId="588FDBB9" w14:textId="77777777" w:rsidR="00990B14" w:rsidRDefault="00000000">
            <w:pPr>
              <w:numPr>
                <w:ilvl w:val="0"/>
                <w:numId w:val="140"/>
              </w:numPr>
              <w:spacing w:before="10" w:after="10"/>
              <w:jc w:val="both"/>
            </w:pPr>
            <w:r>
              <w:rPr>
                <w:sz w:val="18"/>
                <w:szCs w:val="18"/>
              </w:rPr>
              <w:t>Nota mínima de aprobación: 51/100.</w:t>
            </w:r>
          </w:p>
          <w:p w14:paraId="21ED3514" w14:textId="77777777" w:rsidR="00990B14" w:rsidRDefault="00000000">
            <w:pPr>
              <w:numPr>
                <w:ilvl w:val="0"/>
                <w:numId w:val="140"/>
              </w:numPr>
              <w:spacing w:before="10" w:after="10"/>
              <w:jc w:val="both"/>
            </w:pPr>
            <w:r>
              <w:rPr>
                <w:sz w:val="18"/>
                <w:szCs w:val="18"/>
              </w:rPr>
              <w:t>Evaluación periódica al finalizar cada tema, basada en evidencias de conocimiento, desempeño y producto.</w:t>
            </w:r>
          </w:p>
          <w:p w14:paraId="241A172F" w14:textId="77777777" w:rsidR="00990B14" w:rsidRDefault="00000000">
            <w:pPr>
              <w:numPr>
                <w:ilvl w:val="0"/>
                <w:numId w:val="140"/>
              </w:numPr>
              <w:spacing w:before="10" w:after="10"/>
              <w:jc w:val="both"/>
            </w:pPr>
            <w:r>
              <w:rPr>
                <w:sz w:val="18"/>
                <w:szCs w:val="18"/>
              </w:rPr>
              <w:t>Cada evidencia de producto se evalúa con su propia rúbrica de tres niveles: Insuficiente, Suficiente y Destacado.</w:t>
            </w:r>
          </w:p>
          <w:p w14:paraId="17F83487" w14:textId="77777777" w:rsidR="00990B14" w:rsidRDefault="00000000">
            <w:pPr>
              <w:numPr>
                <w:ilvl w:val="0"/>
                <w:numId w:val="140"/>
              </w:numPr>
              <w:spacing w:before="10" w:after="10"/>
              <w:jc w:val="both"/>
            </w:pPr>
            <w:r>
              <w:rPr>
                <w:sz w:val="18"/>
                <w:szCs w:val="18"/>
              </w:rPr>
              <w:t>La calificación de cada elemento de competencia suma las calificaciones de sus evidencias de producto.</w:t>
            </w:r>
          </w:p>
        </w:tc>
      </w:tr>
      <w:tr w:rsidR="00990B14" w14:paraId="3B733EEF" w14:textId="77777777">
        <w:trPr>
          <w:cantSplit/>
          <w:jc w:val="center"/>
        </w:trPr>
        <w:tc>
          <w:tcPr>
            <w:tcW w:w="1807" w:type="dxa"/>
            <w:vMerge w:val="restart"/>
            <w:shd w:val="clear" w:color="auto" w:fill="4472C4"/>
            <w:vAlign w:val="center"/>
          </w:tcPr>
          <w:p w14:paraId="36B59E38" w14:textId="77777777" w:rsidR="00990B14" w:rsidRDefault="00000000">
            <w:pPr>
              <w:spacing w:before="20" w:after="20"/>
              <w:jc w:val="center"/>
            </w:pPr>
            <w:r>
              <w:rPr>
                <w:b/>
                <w:bCs/>
                <w:i/>
                <w:iCs/>
                <w:color w:val="FFFFFF"/>
                <w:sz w:val="18"/>
                <w:szCs w:val="18"/>
              </w:rPr>
              <w:t>Niveles de logro y distribución de la calificación</w:t>
            </w:r>
          </w:p>
        </w:tc>
        <w:tc>
          <w:tcPr>
            <w:tcW w:w="5761" w:type="dxa"/>
            <w:gridSpan w:val="3"/>
            <w:shd w:val="clear" w:color="auto" w:fill="D9E2F3"/>
            <w:vAlign w:val="center"/>
          </w:tcPr>
          <w:p w14:paraId="7083AC59" w14:textId="77777777" w:rsidR="00990B14" w:rsidRDefault="00000000">
            <w:pPr>
              <w:keepNext/>
              <w:spacing w:before="20" w:after="20"/>
              <w:jc w:val="both"/>
            </w:pPr>
            <w:r>
              <w:rPr>
                <w:b/>
                <w:bCs/>
                <w:i/>
                <w:iCs/>
                <w:sz w:val="18"/>
                <w:szCs w:val="18"/>
              </w:rPr>
              <w:t xml:space="preserve">Producto 1: </w:t>
            </w:r>
            <w:r>
              <w:rPr>
                <w:sz w:val="18"/>
                <w:szCs w:val="18"/>
              </w:rPr>
              <w:t>Mapas mentales de la historia de la minería en Bolivia</w:t>
            </w:r>
          </w:p>
        </w:tc>
        <w:tc>
          <w:tcPr>
            <w:tcW w:w="1837" w:type="dxa"/>
            <w:shd w:val="clear" w:color="auto" w:fill="D9E2F3"/>
            <w:vAlign w:val="center"/>
          </w:tcPr>
          <w:p w14:paraId="0677C2A7" w14:textId="77777777" w:rsidR="00990B14" w:rsidRDefault="00000000">
            <w:pPr>
              <w:spacing w:before="20" w:after="20"/>
              <w:jc w:val="center"/>
            </w:pPr>
            <w:r>
              <w:rPr>
                <w:b/>
                <w:bCs/>
                <w:sz w:val="18"/>
                <w:szCs w:val="18"/>
              </w:rPr>
              <w:t>3%</w:t>
            </w:r>
          </w:p>
        </w:tc>
      </w:tr>
      <w:tr w:rsidR="00990B14" w14:paraId="63564619" w14:textId="77777777">
        <w:trPr>
          <w:cantSplit/>
          <w:jc w:val="center"/>
        </w:trPr>
        <w:tc>
          <w:tcPr>
            <w:tcW w:w="1807" w:type="dxa"/>
            <w:vMerge/>
            <w:shd w:val="clear" w:color="auto" w:fill="4472C4"/>
            <w:vAlign w:val="center"/>
          </w:tcPr>
          <w:p w14:paraId="4F422E7D" w14:textId="77777777" w:rsidR="00990B14" w:rsidRDefault="00990B14">
            <w:pPr>
              <w:spacing w:before="20" w:after="20"/>
            </w:pPr>
          </w:p>
        </w:tc>
        <w:tc>
          <w:tcPr>
            <w:tcW w:w="1910" w:type="dxa"/>
            <w:shd w:val="clear" w:color="auto" w:fill="4472C4"/>
            <w:vAlign w:val="center"/>
          </w:tcPr>
          <w:p w14:paraId="38FE5F2E" w14:textId="77777777" w:rsidR="00990B14" w:rsidRDefault="00000000">
            <w:pPr>
              <w:keepNext/>
              <w:spacing w:before="20" w:after="20"/>
              <w:jc w:val="center"/>
            </w:pPr>
            <w:r>
              <w:rPr>
                <w:b/>
                <w:bCs/>
                <w:i/>
                <w:iCs/>
                <w:color w:val="FFFFFF"/>
                <w:sz w:val="18"/>
                <w:szCs w:val="18"/>
              </w:rPr>
              <w:t>Criterio</w:t>
            </w:r>
          </w:p>
        </w:tc>
        <w:tc>
          <w:tcPr>
            <w:tcW w:w="1836" w:type="dxa"/>
            <w:shd w:val="clear" w:color="auto" w:fill="4472C4"/>
            <w:vAlign w:val="center"/>
          </w:tcPr>
          <w:p w14:paraId="11964586"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4CF5E90A" w14:textId="77777777" w:rsidR="00990B14" w:rsidRDefault="00000000">
            <w:pPr>
              <w:keepNext/>
              <w:spacing w:before="20" w:after="20"/>
              <w:jc w:val="center"/>
            </w:pPr>
            <w:r>
              <w:rPr>
                <w:b/>
                <w:bCs/>
                <w:i/>
                <w:iCs/>
                <w:color w:val="FFFFFF"/>
                <w:sz w:val="18"/>
                <w:szCs w:val="18"/>
              </w:rPr>
              <w:t>Suficiente (51–80)</w:t>
            </w:r>
          </w:p>
        </w:tc>
        <w:tc>
          <w:tcPr>
            <w:tcW w:w="1837" w:type="dxa"/>
            <w:shd w:val="clear" w:color="auto" w:fill="4472C4"/>
            <w:vAlign w:val="center"/>
          </w:tcPr>
          <w:p w14:paraId="10FA09CA" w14:textId="77777777" w:rsidR="00990B14" w:rsidRDefault="00000000">
            <w:pPr>
              <w:keepNext/>
              <w:spacing w:before="20" w:after="20"/>
              <w:jc w:val="center"/>
            </w:pPr>
            <w:r>
              <w:rPr>
                <w:b/>
                <w:bCs/>
                <w:i/>
                <w:iCs/>
                <w:color w:val="FFFFFF"/>
                <w:sz w:val="18"/>
                <w:szCs w:val="18"/>
              </w:rPr>
              <w:t>Destacado (81–100)</w:t>
            </w:r>
          </w:p>
        </w:tc>
      </w:tr>
      <w:tr w:rsidR="00990B14" w14:paraId="4B04B3EC" w14:textId="77777777">
        <w:trPr>
          <w:cantSplit/>
          <w:jc w:val="center"/>
        </w:trPr>
        <w:tc>
          <w:tcPr>
            <w:tcW w:w="1807" w:type="dxa"/>
            <w:vMerge/>
            <w:shd w:val="clear" w:color="auto" w:fill="4472C4"/>
            <w:vAlign w:val="center"/>
          </w:tcPr>
          <w:p w14:paraId="7FCC245D" w14:textId="77777777" w:rsidR="00990B14" w:rsidRDefault="00990B14">
            <w:pPr>
              <w:spacing w:before="20" w:after="20"/>
            </w:pPr>
          </w:p>
        </w:tc>
        <w:tc>
          <w:tcPr>
            <w:tcW w:w="1910" w:type="dxa"/>
            <w:shd w:val="clear" w:color="auto" w:fill="D9E2F3"/>
            <w:vAlign w:val="center"/>
          </w:tcPr>
          <w:p w14:paraId="559C0A95" w14:textId="77777777" w:rsidR="00990B14" w:rsidRDefault="00000000">
            <w:pPr>
              <w:spacing w:before="20" w:after="20"/>
              <w:jc w:val="both"/>
            </w:pPr>
            <w:r>
              <w:rPr>
                <w:sz w:val="18"/>
                <w:szCs w:val="18"/>
              </w:rPr>
              <w:t>Contenido histórico</w:t>
            </w:r>
          </w:p>
        </w:tc>
        <w:tc>
          <w:tcPr>
            <w:tcW w:w="1836" w:type="dxa"/>
            <w:shd w:val="clear" w:color="auto" w:fill="D9E2F3"/>
            <w:vAlign w:val="center"/>
          </w:tcPr>
          <w:p w14:paraId="5E4EC746" w14:textId="77777777" w:rsidR="00990B14" w:rsidRDefault="00000000">
            <w:pPr>
              <w:spacing w:before="20" w:after="20"/>
              <w:jc w:val="both"/>
            </w:pPr>
            <w:r>
              <w:rPr>
                <w:sz w:val="18"/>
                <w:szCs w:val="18"/>
              </w:rPr>
              <w:t>Omite etapas o confunde los periodos.</w:t>
            </w:r>
          </w:p>
        </w:tc>
        <w:tc>
          <w:tcPr>
            <w:tcW w:w="2015" w:type="dxa"/>
            <w:shd w:val="clear" w:color="auto" w:fill="D9E2F3"/>
            <w:vAlign w:val="center"/>
          </w:tcPr>
          <w:p w14:paraId="0F3FBDC5" w14:textId="77777777" w:rsidR="00990B14" w:rsidRDefault="00000000">
            <w:pPr>
              <w:spacing w:before="20" w:after="20"/>
              <w:jc w:val="both"/>
            </w:pPr>
            <w:r>
              <w:rPr>
                <w:sz w:val="18"/>
                <w:szCs w:val="18"/>
              </w:rPr>
              <w:t>Presenta las principales etapas de la minería boliviana en orden cronológico.</w:t>
            </w:r>
          </w:p>
        </w:tc>
        <w:tc>
          <w:tcPr>
            <w:tcW w:w="1837" w:type="dxa"/>
            <w:shd w:val="clear" w:color="auto" w:fill="D9E2F3"/>
            <w:vAlign w:val="center"/>
          </w:tcPr>
          <w:p w14:paraId="1B5FF347" w14:textId="77777777" w:rsidR="00990B14" w:rsidRDefault="00000000">
            <w:pPr>
              <w:spacing w:before="20" w:after="20"/>
              <w:jc w:val="both"/>
            </w:pPr>
            <w:r>
              <w:rPr>
                <w:sz w:val="18"/>
                <w:szCs w:val="18"/>
              </w:rPr>
              <w:t>Relaciona cada etapa con su efecto económico y social en el país.</w:t>
            </w:r>
          </w:p>
        </w:tc>
      </w:tr>
      <w:tr w:rsidR="00990B14" w14:paraId="6824799F" w14:textId="77777777">
        <w:trPr>
          <w:cantSplit/>
          <w:jc w:val="center"/>
        </w:trPr>
        <w:tc>
          <w:tcPr>
            <w:tcW w:w="1807" w:type="dxa"/>
            <w:vMerge/>
            <w:shd w:val="clear" w:color="auto" w:fill="4472C4"/>
            <w:vAlign w:val="center"/>
          </w:tcPr>
          <w:p w14:paraId="0E77495E" w14:textId="77777777" w:rsidR="00990B14" w:rsidRDefault="00990B14">
            <w:pPr>
              <w:spacing w:before="20" w:after="20"/>
            </w:pPr>
          </w:p>
        </w:tc>
        <w:tc>
          <w:tcPr>
            <w:tcW w:w="1910" w:type="dxa"/>
            <w:shd w:val="clear" w:color="auto" w:fill="D9E2F3"/>
            <w:vAlign w:val="center"/>
          </w:tcPr>
          <w:p w14:paraId="11464C74" w14:textId="77777777" w:rsidR="00990B14" w:rsidRDefault="00000000">
            <w:pPr>
              <w:spacing w:before="20" w:after="20"/>
              <w:jc w:val="both"/>
            </w:pPr>
            <w:r>
              <w:rPr>
                <w:sz w:val="18"/>
                <w:szCs w:val="18"/>
              </w:rPr>
              <w:t>Estructura del mapa mental</w:t>
            </w:r>
          </w:p>
        </w:tc>
        <w:tc>
          <w:tcPr>
            <w:tcW w:w="1836" w:type="dxa"/>
            <w:shd w:val="clear" w:color="auto" w:fill="D9E2F3"/>
            <w:vAlign w:val="center"/>
          </w:tcPr>
          <w:p w14:paraId="50EFC58C" w14:textId="77777777" w:rsidR="00990B14" w:rsidRDefault="00000000">
            <w:pPr>
              <w:spacing w:before="20" w:after="20"/>
              <w:jc w:val="both"/>
            </w:pPr>
            <w:r>
              <w:rPr>
                <w:sz w:val="18"/>
                <w:szCs w:val="18"/>
              </w:rPr>
              <w:t>Las ideas no tienen jerarquía ni conexiones.</w:t>
            </w:r>
          </w:p>
        </w:tc>
        <w:tc>
          <w:tcPr>
            <w:tcW w:w="2015" w:type="dxa"/>
            <w:shd w:val="clear" w:color="auto" w:fill="D9E2F3"/>
            <w:vAlign w:val="center"/>
          </w:tcPr>
          <w:p w14:paraId="197A69AC" w14:textId="77777777" w:rsidR="00990B14" w:rsidRDefault="00000000">
            <w:pPr>
              <w:spacing w:before="20" w:after="20"/>
              <w:jc w:val="both"/>
            </w:pPr>
            <w:r>
              <w:rPr>
                <w:sz w:val="18"/>
                <w:szCs w:val="18"/>
              </w:rPr>
              <w:t>Organiza las ideas desde un concepto central con ramas claras.</w:t>
            </w:r>
          </w:p>
        </w:tc>
        <w:tc>
          <w:tcPr>
            <w:tcW w:w="1837" w:type="dxa"/>
            <w:shd w:val="clear" w:color="auto" w:fill="D9E2F3"/>
            <w:vAlign w:val="center"/>
          </w:tcPr>
          <w:p w14:paraId="0834AED9" w14:textId="77777777" w:rsidR="00990B14" w:rsidRDefault="00000000">
            <w:pPr>
              <w:spacing w:before="20" w:after="20"/>
              <w:jc w:val="both"/>
            </w:pPr>
            <w:r>
              <w:rPr>
                <w:sz w:val="18"/>
                <w:szCs w:val="18"/>
              </w:rPr>
              <w:t>Usa jerarquía, colores e imágenes que facilitan la comprensión.</w:t>
            </w:r>
          </w:p>
        </w:tc>
      </w:tr>
      <w:tr w:rsidR="00990B14" w14:paraId="4D4A5548" w14:textId="77777777">
        <w:trPr>
          <w:cantSplit/>
          <w:jc w:val="center"/>
        </w:trPr>
        <w:tc>
          <w:tcPr>
            <w:tcW w:w="1807" w:type="dxa"/>
            <w:vMerge/>
            <w:shd w:val="clear" w:color="auto" w:fill="4472C4"/>
            <w:vAlign w:val="center"/>
          </w:tcPr>
          <w:p w14:paraId="5A5AAAD7" w14:textId="77777777" w:rsidR="00990B14" w:rsidRDefault="00990B14">
            <w:pPr>
              <w:spacing w:before="20" w:after="20"/>
            </w:pPr>
          </w:p>
        </w:tc>
        <w:tc>
          <w:tcPr>
            <w:tcW w:w="1910" w:type="dxa"/>
            <w:shd w:val="clear" w:color="auto" w:fill="D9E2F3"/>
            <w:vAlign w:val="center"/>
          </w:tcPr>
          <w:p w14:paraId="6358F164" w14:textId="77777777" w:rsidR="00990B14" w:rsidRDefault="00000000">
            <w:pPr>
              <w:spacing w:before="20" w:after="20"/>
              <w:jc w:val="both"/>
            </w:pPr>
            <w:r>
              <w:rPr>
                <w:sz w:val="18"/>
                <w:szCs w:val="18"/>
              </w:rPr>
              <w:t>Exposición en equipo</w:t>
            </w:r>
          </w:p>
        </w:tc>
        <w:tc>
          <w:tcPr>
            <w:tcW w:w="1836" w:type="dxa"/>
            <w:shd w:val="clear" w:color="auto" w:fill="D9E2F3"/>
            <w:vAlign w:val="center"/>
          </w:tcPr>
          <w:p w14:paraId="663169C2" w14:textId="77777777" w:rsidR="00990B14" w:rsidRDefault="00000000">
            <w:pPr>
              <w:spacing w:before="20" w:after="20"/>
              <w:jc w:val="both"/>
            </w:pPr>
            <w:r>
              <w:rPr>
                <w:sz w:val="18"/>
                <w:szCs w:val="18"/>
              </w:rPr>
              <w:t>La exposición es desordenada.</w:t>
            </w:r>
          </w:p>
        </w:tc>
        <w:tc>
          <w:tcPr>
            <w:tcW w:w="2015" w:type="dxa"/>
            <w:shd w:val="clear" w:color="auto" w:fill="D9E2F3"/>
            <w:vAlign w:val="center"/>
          </w:tcPr>
          <w:p w14:paraId="10B32EEA" w14:textId="77777777" w:rsidR="00990B14" w:rsidRDefault="00000000">
            <w:pPr>
              <w:spacing w:before="20" w:after="20"/>
              <w:jc w:val="both"/>
            </w:pPr>
            <w:r>
              <w:rPr>
                <w:sz w:val="18"/>
                <w:szCs w:val="18"/>
              </w:rPr>
              <w:t>La exposición es clara y todos participan.</w:t>
            </w:r>
          </w:p>
        </w:tc>
        <w:tc>
          <w:tcPr>
            <w:tcW w:w="1837" w:type="dxa"/>
            <w:shd w:val="clear" w:color="auto" w:fill="D9E2F3"/>
            <w:vAlign w:val="center"/>
          </w:tcPr>
          <w:p w14:paraId="451B8F04" w14:textId="77777777" w:rsidR="00990B14" w:rsidRDefault="00000000">
            <w:pPr>
              <w:spacing w:before="20" w:after="20"/>
              <w:jc w:val="both"/>
            </w:pPr>
            <w:r>
              <w:rPr>
                <w:sz w:val="18"/>
                <w:szCs w:val="18"/>
              </w:rPr>
              <w:t>El equipo responde con solvencia a las preguntas del curso.</w:t>
            </w:r>
          </w:p>
        </w:tc>
      </w:tr>
      <w:tr w:rsidR="00990B14" w14:paraId="3F7B063E" w14:textId="77777777">
        <w:trPr>
          <w:cantSplit/>
          <w:jc w:val="center"/>
        </w:trPr>
        <w:tc>
          <w:tcPr>
            <w:tcW w:w="1807" w:type="dxa"/>
            <w:vMerge/>
            <w:shd w:val="clear" w:color="auto" w:fill="4472C4"/>
            <w:vAlign w:val="center"/>
          </w:tcPr>
          <w:p w14:paraId="37B69A47" w14:textId="77777777" w:rsidR="00990B14" w:rsidRDefault="00990B14">
            <w:pPr>
              <w:spacing w:before="20" w:after="20"/>
            </w:pPr>
          </w:p>
        </w:tc>
        <w:tc>
          <w:tcPr>
            <w:tcW w:w="5761" w:type="dxa"/>
            <w:gridSpan w:val="3"/>
            <w:shd w:val="clear" w:color="auto" w:fill="D9E2F3"/>
            <w:vAlign w:val="center"/>
          </w:tcPr>
          <w:p w14:paraId="73495794" w14:textId="77777777" w:rsidR="00990B14" w:rsidRDefault="00000000">
            <w:pPr>
              <w:keepNext/>
              <w:spacing w:before="20" w:after="20"/>
              <w:jc w:val="both"/>
            </w:pPr>
            <w:r>
              <w:rPr>
                <w:b/>
                <w:bCs/>
                <w:i/>
                <w:iCs/>
                <w:sz w:val="18"/>
                <w:szCs w:val="18"/>
              </w:rPr>
              <w:t xml:space="preserve">Producto 2: </w:t>
            </w:r>
            <w:r>
              <w:rPr>
                <w:sz w:val="18"/>
                <w:szCs w:val="18"/>
              </w:rPr>
              <w:t>Trabajo de investigación sobre las empresas mineras en Bolivia y su organización</w:t>
            </w:r>
          </w:p>
        </w:tc>
        <w:tc>
          <w:tcPr>
            <w:tcW w:w="1837" w:type="dxa"/>
            <w:shd w:val="clear" w:color="auto" w:fill="D9E2F3"/>
            <w:vAlign w:val="center"/>
          </w:tcPr>
          <w:p w14:paraId="5FB1B509" w14:textId="77777777" w:rsidR="00990B14" w:rsidRDefault="00000000">
            <w:pPr>
              <w:spacing w:before="20" w:after="20"/>
              <w:jc w:val="center"/>
            </w:pPr>
            <w:r>
              <w:rPr>
                <w:b/>
                <w:bCs/>
                <w:sz w:val="18"/>
                <w:szCs w:val="18"/>
              </w:rPr>
              <w:t>3%</w:t>
            </w:r>
          </w:p>
        </w:tc>
      </w:tr>
      <w:tr w:rsidR="00990B14" w14:paraId="44A19490" w14:textId="77777777">
        <w:trPr>
          <w:cantSplit/>
          <w:jc w:val="center"/>
        </w:trPr>
        <w:tc>
          <w:tcPr>
            <w:tcW w:w="1807" w:type="dxa"/>
            <w:vMerge/>
            <w:shd w:val="clear" w:color="auto" w:fill="4472C4"/>
            <w:vAlign w:val="center"/>
          </w:tcPr>
          <w:p w14:paraId="6DAB488B" w14:textId="77777777" w:rsidR="00990B14" w:rsidRDefault="00990B14">
            <w:pPr>
              <w:spacing w:before="20" w:after="20"/>
            </w:pPr>
          </w:p>
        </w:tc>
        <w:tc>
          <w:tcPr>
            <w:tcW w:w="1910" w:type="dxa"/>
            <w:shd w:val="clear" w:color="auto" w:fill="4472C4"/>
            <w:vAlign w:val="center"/>
          </w:tcPr>
          <w:p w14:paraId="5F0AFC66" w14:textId="77777777" w:rsidR="00990B14" w:rsidRDefault="00000000">
            <w:pPr>
              <w:keepNext/>
              <w:spacing w:before="20" w:after="20"/>
              <w:jc w:val="center"/>
            </w:pPr>
            <w:r>
              <w:rPr>
                <w:b/>
                <w:bCs/>
                <w:i/>
                <w:iCs/>
                <w:color w:val="FFFFFF"/>
                <w:sz w:val="18"/>
                <w:szCs w:val="18"/>
              </w:rPr>
              <w:t>Criterio</w:t>
            </w:r>
          </w:p>
        </w:tc>
        <w:tc>
          <w:tcPr>
            <w:tcW w:w="1836" w:type="dxa"/>
            <w:shd w:val="clear" w:color="auto" w:fill="4472C4"/>
            <w:vAlign w:val="center"/>
          </w:tcPr>
          <w:p w14:paraId="4381B14B"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617B54B9" w14:textId="77777777" w:rsidR="00990B14" w:rsidRDefault="00000000">
            <w:pPr>
              <w:keepNext/>
              <w:spacing w:before="20" w:after="20"/>
              <w:jc w:val="center"/>
            </w:pPr>
            <w:r>
              <w:rPr>
                <w:b/>
                <w:bCs/>
                <w:i/>
                <w:iCs/>
                <w:color w:val="FFFFFF"/>
                <w:sz w:val="18"/>
                <w:szCs w:val="18"/>
              </w:rPr>
              <w:t>Suficiente (51–80)</w:t>
            </w:r>
          </w:p>
        </w:tc>
        <w:tc>
          <w:tcPr>
            <w:tcW w:w="1837" w:type="dxa"/>
            <w:shd w:val="clear" w:color="auto" w:fill="4472C4"/>
            <w:vAlign w:val="center"/>
          </w:tcPr>
          <w:p w14:paraId="536E2C2D" w14:textId="77777777" w:rsidR="00990B14" w:rsidRDefault="00000000">
            <w:pPr>
              <w:keepNext/>
              <w:spacing w:before="20" w:after="20"/>
              <w:jc w:val="center"/>
            </w:pPr>
            <w:r>
              <w:rPr>
                <w:b/>
                <w:bCs/>
                <w:i/>
                <w:iCs/>
                <w:color w:val="FFFFFF"/>
                <w:sz w:val="18"/>
                <w:szCs w:val="18"/>
              </w:rPr>
              <w:t>Destacado (81–100)</w:t>
            </w:r>
          </w:p>
        </w:tc>
      </w:tr>
      <w:tr w:rsidR="00990B14" w14:paraId="4C5941B4" w14:textId="77777777">
        <w:trPr>
          <w:cantSplit/>
          <w:jc w:val="center"/>
        </w:trPr>
        <w:tc>
          <w:tcPr>
            <w:tcW w:w="1807" w:type="dxa"/>
            <w:vMerge/>
            <w:shd w:val="clear" w:color="auto" w:fill="4472C4"/>
            <w:vAlign w:val="center"/>
          </w:tcPr>
          <w:p w14:paraId="05CD2677" w14:textId="77777777" w:rsidR="00990B14" w:rsidRDefault="00990B14">
            <w:pPr>
              <w:spacing w:before="20" w:after="20"/>
            </w:pPr>
          </w:p>
        </w:tc>
        <w:tc>
          <w:tcPr>
            <w:tcW w:w="1910" w:type="dxa"/>
            <w:shd w:val="clear" w:color="auto" w:fill="D9E2F3"/>
            <w:vAlign w:val="center"/>
          </w:tcPr>
          <w:p w14:paraId="2A496804" w14:textId="77777777" w:rsidR="00990B14" w:rsidRDefault="00000000">
            <w:pPr>
              <w:spacing w:before="20" w:after="20"/>
              <w:jc w:val="both"/>
            </w:pPr>
            <w:r>
              <w:rPr>
                <w:sz w:val="18"/>
                <w:szCs w:val="18"/>
              </w:rPr>
              <w:t>Identificación de empresas</w:t>
            </w:r>
          </w:p>
        </w:tc>
        <w:tc>
          <w:tcPr>
            <w:tcW w:w="1836" w:type="dxa"/>
            <w:shd w:val="clear" w:color="auto" w:fill="D9E2F3"/>
            <w:vAlign w:val="center"/>
          </w:tcPr>
          <w:p w14:paraId="5D28318D" w14:textId="77777777" w:rsidR="00990B14" w:rsidRDefault="00000000">
            <w:pPr>
              <w:spacing w:before="20" w:after="20"/>
              <w:jc w:val="both"/>
            </w:pPr>
            <w:r>
              <w:rPr>
                <w:sz w:val="18"/>
                <w:szCs w:val="18"/>
              </w:rPr>
              <w:t>Menciona pocas empresas o con datos erróneos.</w:t>
            </w:r>
          </w:p>
        </w:tc>
        <w:tc>
          <w:tcPr>
            <w:tcW w:w="2015" w:type="dxa"/>
            <w:shd w:val="clear" w:color="auto" w:fill="D9E2F3"/>
            <w:vAlign w:val="center"/>
          </w:tcPr>
          <w:p w14:paraId="6A01CEBA" w14:textId="77777777" w:rsidR="00990B14" w:rsidRDefault="00000000">
            <w:pPr>
              <w:spacing w:before="20" w:after="20"/>
              <w:jc w:val="both"/>
            </w:pPr>
            <w:r>
              <w:rPr>
                <w:sz w:val="18"/>
                <w:szCs w:val="18"/>
              </w:rPr>
              <w:t>Identifica empresas estatales, privadas, mixtas y cooperativas.</w:t>
            </w:r>
          </w:p>
        </w:tc>
        <w:tc>
          <w:tcPr>
            <w:tcW w:w="1837" w:type="dxa"/>
            <w:shd w:val="clear" w:color="auto" w:fill="D9E2F3"/>
            <w:vAlign w:val="center"/>
          </w:tcPr>
          <w:p w14:paraId="6264B3F9" w14:textId="77777777" w:rsidR="00990B14" w:rsidRDefault="00000000">
            <w:pPr>
              <w:spacing w:before="20" w:after="20"/>
              <w:jc w:val="both"/>
            </w:pPr>
            <w:r>
              <w:rPr>
                <w:sz w:val="18"/>
                <w:szCs w:val="18"/>
              </w:rPr>
              <w:t>Incluye datos actualizados de producción y minerales de cada empresa.</w:t>
            </w:r>
          </w:p>
        </w:tc>
      </w:tr>
      <w:tr w:rsidR="00990B14" w14:paraId="0FD2FA92" w14:textId="77777777">
        <w:trPr>
          <w:cantSplit/>
          <w:jc w:val="center"/>
        </w:trPr>
        <w:tc>
          <w:tcPr>
            <w:tcW w:w="1807" w:type="dxa"/>
            <w:vMerge/>
            <w:shd w:val="clear" w:color="auto" w:fill="4472C4"/>
            <w:vAlign w:val="center"/>
          </w:tcPr>
          <w:p w14:paraId="173A85F6" w14:textId="77777777" w:rsidR="00990B14" w:rsidRDefault="00990B14">
            <w:pPr>
              <w:spacing w:before="20" w:after="20"/>
            </w:pPr>
          </w:p>
        </w:tc>
        <w:tc>
          <w:tcPr>
            <w:tcW w:w="1910" w:type="dxa"/>
            <w:shd w:val="clear" w:color="auto" w:fill="D9E2F3"/>
            <w:vAlign w:val="center"/>
          </w:tcPr>
          <w:p w14:paraId="3B31F39A" w14:textId="77777777" w:rsidR="00990B14" w:rsidRDefault="00000000">
            <w:pPr>
              <w:spacing w:before="20" w:after="20"/>
              <w:jc w:val="both"/>
            </w:pPr>
            <w:r>
              <w:rPr>
                <w:sz w:val="18"/>
                <w:szCs w:val="18"/>
              </w:rPr>
              <w:t>Tipo de organización</w:t>
            </w:r>
          </w:p>
        </w:tc>
        <w:tc>
          <w:tcPr>
            <w:tcW w:w="1836" w:type="dxa"/>
            <w:shd w:val="clear" w:color="auto" w:fill="D9E2F3"/>
            <w:vAlign w:val="center"/>
          </w:tcPr>
          <w:p w14:paraId="065B2E7F" w14:textId="77777777" w:rsidR="00990B14" w:rsidRDefault="00000000">
            <w:pPr>
              <w:spacing w:before="20" w:after="20"/>
              <w:jc w:val="both"/>
            </w:pPr>
            <w:r>
              <w:rPr>
                <w:sz w:val="18"/>
                <w:szCs w:val="18"/>
              </w:rPr>
              <w:t>No describe la organización de las empresas.</w:t>
            </w:r>
          </w:p>
        </w:tc>
        <w:tc>
          <w:tcPr>
            <w:tcW w:w="2015" w:type="dxa"/>
            <w:shd w:val="clear" w:color="auto" w:fill="D9E2F3"/>
            <w:vAlign w:val="center"/>
          </w:tcPr>
          <w:p w14:paraId="73135F8D" w14:textId="77777777" w:rsidR="00990B14" w:rsidRDefault="00000000">
            <w:pPr>
              <w:spacing w:before="20" w:after="20"/>
              <w:jc w:val="both"/>
            </w:pPr>
            <w:r>
              <w:rPr>
                <w:sz w:val="18"/>
                <w:szCs w:val="18"/>
              </w:rPr>
              <w:t>Describe la organización de cada empresa según su proceso productivo.</w:t>
            </w:r>
          </w:p>
        </w:tc>
        <w:tc>
          <w:tcPr>
            <w:tcW w:w="1837" w:type="dxa"/>
            <w:shd w:val="clear" w:color="auto" w:fill="D9E2F3"/>
            <w:vAlign w:val="center"/>
          </w:tcPr>
          <w:p w14:paraId="4945A4E0" w14:textId="77777777" w:rsidR="00990B14" w:rsidRDefault="00000000">
            <w:pPr>
              <w:spacing w:before="20" w:after="20"/>
              <w:jc w:val="both"/>
            </w:pPr>
            <w:r>
              <w:rPr>
                <w:sz w:val="18"/>
                <w:szCs w:val="18"/>
              </w:rPr>
              <w:t>Compara las estructuras organizativas y explica sus diferencias.</w:t>
            </w:r>
          </w:p>
        </w:tc>
      </w:tr>
      <w:tr w:rsidR="00990B14" w14:paraId="43571B0A" w14:textId="77777777">
        <w:trPr>
          <w:cantSplit/>
          <w:jc w:val="center"/>
        </w:trPr>
        <w:tc>
          <w:tcPr>
            <w:tcW w:w="1807" w:type="dxa"/>
            <w:vMerge/>
            <w:shd w:val="clear" w:color="auto" w:fill="4472C4"/>
            <w:vAlign w:val="center"/>
          </w:tcPr>
          <w:p w14:paraId="2BE37AAC" w14:textId="77777777" w:rsidR="00990B14" w:rsidRDefault="00990B14">
            <w:pPr>
              <w:spacing w:before="20" w:after="20"/>
            </w:pPr>
          </w:p>
        </w:tc>
        <w:tc>
          <w:tcPr>
            <w:tcW w:w="1910" w:type="dxa"/>
            <w:shd w:val="clear" w:color="auto" w:fill="D9E2F3"/>
            <w:vAlign w:val="center"/>
          </w:tcPr>
          <w:p w14:paraId="50E5E4D6" w14:textId="77777777" w:rsidR="00990B14" w:rsidRDefault="00000000">
            <w:pPr>
              <w:spacing w:before="20" w:after="20"/>
              <w:jc w:val="both"/>
            </w:pPr>
            <w:r>
              <w:rPr>
                <w:sz w:val="18"/>
                <w:szCs w:val="18"/>
              </w:rPr>
              <w:t>Fuentes y redacción</w:t>
            </w:r>
          </w:p>
        </w:tc>
        <w:tc>
          <w:tcPr>
            <w:tcW w:w="1836" w:type="dxa"/>
            <w:shd w:val="clear" w:color="auto" w:fill="D9E2F3"/>
            <w:vAlign w:val="center"/>
          </w:tcPr>
          <w:p w14:paraId="1E88C31B" w14:textId="77777777" w:rsidR="00990B14" w:rsidRDefault="00000000">
            <w:pPr>
              <w:spacing w:before="20" w:after="20"/>
              <w:jc w:val="both"/>
            </w:pPr>
            <w:r>
              <w:rPr>
                <w:sz w:val="18"/>
                <w:szCs w:val="18"/>
              </w:rPr>
              <w:t>No cita fuentes o la redacción es confusa.</w:t>
            </w:r>
          </w:p>
        </w:tc>
        <w:tc>
          <w:tcPr>
            <w:tcW w:w="2015" w:type="dxa"/>
            <w:shd w:val="clear" w:color="auto" w:fill="D9E2F3"/>
            <w:vAlign w:val="center"/>
          </w:tcPr>
          <w:p w14:paraId="7FB1A2B8" w14:textId="77777777" w:rsidR="00990B14" w:rsidRDefault="00000000">
            <w:pPr>
              <w:spacing w:before="20" w:after="20"/>
              <w:jc w:val="both"/>
            </w:pPr>
            <w:r>
              <w:rPr>
                <w:sz w:val="18"/>
                <w:szCs w:val="18"/>
              </w:rPr>
              <w:t>Cita fuentes confiables y redacta con claridad.</w:t>
            </w:r>
          </w:p>
        </w:tc>
        <w:tc>
          <w:tcPr>
            <w:tcW w:w="1837" w:type="dxa"/>
            <w:shd w:val="clear" w:color="auto" w:fill="D9E2F3"/>
            <w:vAlign w:val="center"/>
          </w:tcPr>
          <w:p w14:paraId="5CBC6AB9" w14:textId="77777777" w:rsidR="00990B14" w:rsidRDefault="00000000">
            <w:pPr>
              <w:spacing w:before="20" w:after="20"/>
              <w:jc w:val="both"/>
            </w:pPr>
            <w:r>
              <w:rPr>
                <w:sz w:val="18"/>
                <w:szCs w:val="18"/>
              </w:rPr>
              <w:t>Usa fuentes oficiales del sector y concluye con fundamento.</w:t>
            </w:r>
          </w:p>
        </w:tc>
      </w:tr>
      <w:tr w:rsidR="00990B14" w14:paraId="7DAA7EE2" w14:textId="77777777">
        <w:trPr>
          <w:cantSplit/>
          <w:jc w:val="center"/>
        </w:trPr>
        <w:tc>
          <w:tcPr>
            <w:tcW w:w="1807" w:type="dxa"/>
            <w:vMerge/>
            <w:shd w:val="clear" w:color="auto" w:fill="4472C4"/>
            <w:vAlign w:val="center"/>
          </w:tcPr>
          <w:p w14:paraId="7FB534AE" w14:textId="77777777" w:rsidR="00990B14" w:rsidRDefault="00990B14">
            <w:pPr>
              <w:spacing w:before="20" w:after="20"/>
            </w:pPr>
          </w:p>
        </w:tc>
        <w:tc>
          <w:tcPr>
            <w:tcW w:w="5761" w:type="dxa"/>
            <w:gridSpan w:val="3"/>
            <w:shd w:val="clear" w:color="auto" w:fill="D9E2F3"/>
            <w:vAlign w:val="center"/>
          </w:tcPr>
          <w:p w14:paraId="65B3068C" w14:textId="77777777" w:rsidR="00990B14" w:rsidRDefault="00000000">
            <w:pPr>
              <w:keepNext/>
              <w:spacing w:before="20" w:after="20"/>
              <w:jc w:val="both"/>
            </w:pPr>
            <w:r>
              <w:rPr>
                <w:b/>
                <w:bCs/>
                <w:i/>
                <w:iCs/>
                <w:sz w:val="18"/>
                <w:szCs w:val="18"/>
              </w:rPr>
              <w:t xml:space="preserve">Producto 3: </w:t>
            </w:r>
            <w:r>
              <w:rPr>
                <w:sz w:val="18"/>
                <w:szCs w:val="18"/>
              </w:rPr>
              <w:t>Cuestionario sobre la contabilidad minera y la toma de decisiones</w:t>
            </w:r>
          </w:p>
        </w:tc>
        <w:tc>
          <w:tcPr>
            <w:tcW w:w="1837" w:type="dxa"/>
            <w:shd w:val="clear" w:color="auto" w:fill="D9E2F3"/>
            <w:vAlign w:val="center"/>
          </w:tcPr>
          <w:p w14:paraId="200F1522" w14:textId="77777777" w:rsidR="00990B14" w:rsidRDefault="00000000">
            <w:pPr>
              <w:spacing w:before="20" w:after="20"/>
              <w:jc w:val="center"/>
            </w:pPr>
            <w:r>
              <w:rPr>
                <w:b/>
                <w:bCs/>
                <w:sz w:val="18"/>
                <w:szCs w:val="18"/>
              </w:rPr>
              <w:t>2%</w:t>
            </w:r>
          </w:p>
        </w:tc>
      </w:tr>
      <w:tr w:rsidR="00990B14" w14:paraId="25BE7953" w14:textId="77777777">
        <w:trPr>
          <w:cantSplit/>
          <w:jc w:val="center"/>
        </w:trPr>
        <w:tc>
          <w:tcPr>
            <w:tcW w:w="1807" w:type="dxa"/>
            <w:vMerge/>
            <w:shd w:val="clear" w:color="auto" w:fill="4472C4"/>
            <w:vAlign w:val="center"/>
          </w:tcPr>
          <w:p w14:paraId="10D29386" w14:textId="77777777" w:rsidR="00990B14" w:rsidRDefault="00990B14">
            <w:pPr>
              <w:spacing w:before="20" w:after="20"/>
            </w:pPr>
          </w:p>
        </w:tc>
        <w:tc>
          <w:tcPr>
            <w:tcW w:w="1910" w:type="dxa"/>
            <w:shd w:val="clear" w:color="auto" w:fill="4472C4"/>
            <w:vAlign w:val="center"/>
          </w:tcPr>
          <w:p w14:paraId="7972330C" w14:textId="77777777" w:rsidR="00990B14" w:rsidRDefault="00000000">
            <w:pPr>
              <w:keepNext/>
              <w:spacing w:before="20" w:after="20"/>
              <w:jc w:val="center"/>
            </w:pPr>
            <w:r>
              <w:rPr>
                <w:b/>
                <w:bCs/>
                <w:i/>
                <w:iCs/>
                <w:color w:val="FFFFFF"/>
                <w:sz w:val="18"/>
                <w:szCs w:val="18"/>
              </w:rPr>
              <w:t>Criterio</w:t>
            </w:r>
          </w:p>
        </w:tc>
        <w:tc>
          <w:tcPr>
            <w:tcW w:w="1836" w:type="dxa"/>
            <w:shd w:val="clear" w:color="auto" w:fill="4472C4"/>
            <w:vAlign w:val="center"/>
          </w:tcPr>
          <w:p w14:paraId="2D1D5C7B"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5A719DBE" w14:textId="77777777" w:rsidR="00990B14" w:rsidRDefault="00000000">
            <w:pPr>
              <w:keepNext/>
              <w:spacing w:before="20" w:after="20"/>
              <w:jc w:val="center"/>
            </w:pPr>
            <w:r>
              <w:rPr>
                <w:b/>
                <w:bCs/>
                <w:i/>
                <w:iCs/>
                <w:color w:val="FFFFFF"/>
                <w:sz w:val="18"/>
                <w:szCs w:val="18"/>
              </w:rPr>
              <w:t>Suficiente (51–80)</w:t>
            </w:r>
          </w:p>
        </w:tc>
        <w:tc>
          <w:tcPr>
            <w:tcW w:w="1837" w:type="dxa"/>
            <w:shd w:val="clear" w:color="auto" w:fill="4472C4"/>
            <w:vAlign w:val="center"/>
          </w:tcPr>
          <w:p w14:paraId="53BD71AA" w14:textId="77777777" w:rsidR="00990B14" w:rsidRDefault="00000000">
            <w:pPr>
              <w:keepNext/>
              <w:spacing w:before="20" w:after="20"/>
              <w:jc w:val="center"/>
            </w:pPr>
            <w:r>
              <w:rPr>
                <w:b/>
                <w:bCs/>
                <w:i/>
                <w:iCs/>
                <w:color w:val="FFFFFF"/>
                <w:sz w:val="18"/>
                <w:szCs w:val="18"/>
              </w:rPr>
              <w:t>Destacado (81–100)</w:t>
            </w:r>
          </w:p>
        </w:tc>
      </w:tr>
      <w:tr w:rsidR="00990B14" w14:paraId="4E237A28" w14:textId="77777777">
        <w:trPr>
          <w:cantSplit/>
          <w:jc w:val="center"/>
        </w:trPr>
        <w:tc>
          <w:tcPr>
            <w:tcW w:w="1807" w:type="dxa"/>
            <w:vMerge/>
            <w:shd w:val="clear" w:color="auto" w:fill="4472C4"/>
            <w:vAlign w:val="center"/>
          </w:tcPr>
          <w:p w14:paraId="17413494" w14:textId="77777777" w:rsidR="00990B14" w:rsidRDefault="00990B14">
            <w:pPr>
              <w:spacing w:before="20" w:after="20"/>
            </w:pPr>
          </w:p>
        </w:tc>
        <w:tc>
          <w:tcPr>
            <w:tcW w:w="1910" w:type="dxa"/>
            <w:shd w:val="clear" w:color="auto" w:fill="D9E2F3"/>
            <w:vAlign w:val="center"/>
          </w:tcPr>
          <w:p w14:paraId="3B8AD9EC" w14:textId="77777777" w:rsidR="00990B14" w:rsidRDefault="00000000">
            <w:pPr>
              <w:spacing w:before="20" w:after="20"/>
              <w:jc w:val="both"/>
            </w:pPr>
            <w:r>
              <w:rPr>
                <w:sz w:val="18"/>
                <w:szCs w:val="18"/>
              </w:rPr>
              <w:t>Definición</w:t>
            </w:r>
          </w:p>
        </w:tc>
        <w:tc>
          <w:tcPr>
            <w:tcW w:w="1836" w:type="dxa"/>
            <w:shd w:val="clear" w:color="auto" w:fill="D9E2F3"/>
            <w:vAlign w:val="center"/>
          </w:tcPr>
          <w:p w14:paraId="58D70980" w14:textId="77777777" w:rsidR="00990B14" w:rsidRDefault="00000000">
            <w:pPr>
              <w:spacing w:before="20" w:after="20"/>
              <w:jc w:val="both"/>
            </w:pPr>
            <w:r>
              <w:rPr>
                <w:sz w:val="18"/>
                <w:szCs w:val="18"/>
              </w:rPr>
              <w:t>Define la contabilidad minera de forma incorrecta o incompleta.</w:t>
            </w:r>
          </w:p>
        </w:tc>
        <w:tc>
          <w:tcPr>
            <w:tcW w:w="2015" w:type="dxa"/>
            <w:shd w:val="clear" w:color="auto" w:fill="D9E2F3"/>
            <w:vAlign w:val="center"/>
          </w:tcPr>
          <w:p w14:paraId="4C945A60" w14:textId="77777777" w:rsidR="00990B14" w:rsidRDefault="00000000">
            <w:pPr>
              <w:spacing w:before="20" w:after="20"/>
              <w:jc w:val="both"/>
            </w:pPr>
            <w:r>
              <w:rPr>
                <w:sz w:val="18"/>
                <w:szCs w:val="18"/>
              </w:rPr>
              <w:t>Define la contabilidad minera y sus características.</w:t>
            </w:r>
          </w:p>
        </w:tc>
        <w:tc>
          <w:tcPr>
            <w:tcW w:w="1837" w:type="dxa"/>
            <w:shd w:val="clear" w:color="auto" w:fill="D9E2F3"/>
            <w:vAlign w:val="center"/>
          </w:tcPr>
          <w:p w14:paraId="725BFDC6" w14:textId="77777777" w:rsidR="00990B14" w:rsidRDefault="00000000">
            <w:pPr>
              <w:spacing w:before="20" w:after="20"/>
              <w:jc w:val="both"/>
            </w:pPr>
            <w:r>
              <w:rPr>
                <w:sz w:val="18"/>
                <w:szCs w:val="18"/>
              </w:rPr>
              <w:t>Diferencia la contabilidad minera de la contabilidad general con ejemplos.</w:t>
            </w:r>
          </w:p>
        </w:tc>
      </w:tr>
      <w:tr w:rsidR="00990B14" w14:paraId="7C5A43DD" w14:textId="77777777">
        <w:trPr>
          <w:cantSplit/>
          <w:jc w:val="center"/>
        </w:trPr>
        <w:tc>
          <w:tcPr>
            <w:tcW w:w="1807" w:type="dxa"/>
            <w:vMerge/>
            <w:shd w:val="clear" w:color="auto" w:fill="4472C4"/>
            <w:vAlign w:val="center"/>
          </w:tcPr>
          <w:p w14:paraId="421239A8" w14:textId="77777777" w:rsidR="00990B14" w:rsidRDefault="00990B14">
            <w:pPr>
              <w:spacing w:before="20" w:after="20"/>
            </w:pPr>
          </w:p>
        </w:tc>
        <w:tc>
          <w:tcPr>
            <w:tcW w:w="1910" w:type="dxa"/>
            <w:shd w:val="clear" w:color="auto" w:fill="D9E2F3"/>
            <w:vAlign w:val="center"/>
          </w:tcPr>
          <w:p w14:paraId="503AB5CD" w14:textId="77777777" w:rsidR="00990B14" w:rsidRDefault="00000000">
            <w:pPr>
              <w:spacing w:before="20" w:after="20"/>
              <w:jc w:val="both"/>
            </w:pPr>
            <w:r>
              <w:rPr>
                <w:sz w:val="18"/>
                <w:szCs w:val="18"/>
              </w:rPr>
              <w:t>Importancia en la toma de decisiones</w:t>
            </w:r>
          </w:p>
        </w:tc>
        <w:tc>
          <w:tcPr>
            <w:tcW w:w="1836" w:type="dxa"/>
            <w:shd w:val="clear" w:color="auto" w:fill="D9E2F3"/>
            <w:vAlign w:val="center"/>
          </w:tcPr>
          <w:p w14:paraId="775D5628" w14:textId="77777777" w:rsidR="00990B14" w:rsidRDefault="00000000">
            <w:pPr>
              <w:spacing w:before="20" w:after="20"/>
              <w:jc w:val="both"/>
            </w:pPr>
            <w:r>
              <w:rPr>
                <w:sz w:val="18"/>
                <w:szCs w:val="18"/>
              </w:rPr>
              <w:t>No relaciona la información contable con las decisiones.</w:t>
            </w:r>
          </w:p>
        </w:tc>
        <w:tc>
          <w:tcPr>
            <w:tcW w:w="2015" w:type="dxa"/>
            <w:shd w:val="clear" w:color="auto" w:fill="D9E2F3"/>
            <w:vAlign w:val="center"/>
          </w:tcPr>
          <w:p w14:paraId="52BF30D2" w14:textId="77777777" w:rsidR="00990B14" w:rsidRDefault="00000000">
            <w:pPr>
              <w:spacing w:before="20" w:after="20"/>
              <w:jc w:val="both"/>
            </w:pPr>
            <w:r>
              <w:rPr>
                <w:sz w:val="18"/>
                <w:szCs w:val="18"/>
              </w:rPr>
              <w:t>Explica cómo la información contable apoya las decisiones gerenciales.</w:t>
            </w:r>
          </w:p>
        </w:tc>
        <w:tc>
          <w:tcPr>
            <w:tcW w:w="1837" w:type="dxa"/>
            <w:shd w:val="clear" w:color="auto" w:fill="D9E2F3"/>
            <w:vAlign w:val="center"/>
          </w:tcPr>
          <w:p w14:paraId="0BC0BE89" w14:textId="77777777" w:rsidR="00990B14" w:rsidRDefault="00000000">
            <w:pPr>
              <w:spacing w:before="20" w:after="20"/>
              <w:jc w:val="both"/>
            </w:pPr>
            <w:r>
              <w:rPr>
                <w:sz w:val="18"/>
                <w:szCs w:val="18"/>
              </w:rPr>
              <w:t>Ilustra con casos concretos de decisiones de inversión, producción o cierre.</w:t>
            </w:r>
          </w:p>
        </w:tc>
      </w:tr>
      <w:tr w:rsidR="00990B14" w14:paraId="19DB941F" w14:textId="77777777">
        <w:trPr>
          <w:cantSplit/>
          <w:jc w:val="center"/>
        </w:trPr>
        <w:tc>
          <w:tcPr>
            <w:tcW w:w="1807" w:type="dxa"/>
            <w:vMerge/>
            <w:shd w:val="clear" w:color="auto" w:fill="4472C4"/>
            <w:vAlign w:val="center"/>
          </w:tcPr>
          <w:p w14:paraId="2DEA7B09" w14:textId="77777777" w:rsidR="00990B14" w:rsidRDefault="00990B14">
            <w:pPr>
              <w:spacing w:before="20" w:after="20"/>
            </w:pPr>
          </w:p>
        </w:tc>
        <w:tc>
          <w:tcPr>
            <w:tcW w:w="1910" w:type="dxa"/>
            <w:shd w:val="clear" w:color="auto" w:fill="D9E2F3"/>
            <w:vAlign w:val="center"/>
          </w:tcPr>
          <w:p w14:paraId="177EC497" w14:textId="77777777" w:rsidR="00990B14" w:rsidRDefault="00000000">
            <w:pPr>
              <w:spacing w:before="20" w:after="20"/>
              <w:jc w:val="both"/>
            </w:pPr>
            <w:r>
              <w:rPr>
                <w:sz w:val="18"/>
                <w:szCs w:val="18"/>
              </w:rPr>
              <w:t>Precisión de las respuestas</w:t>
            </w:r>
          </w:p>
        </w:tc>
        <w:tc>
          <w:tcPr>
            <w:tcW w:w="1836" w:type="dxa"/>
            <w:shd w:val="clear" w:color="auto" w:fill="D9E2F3"/>
            <w:vAlign w:val="center"/>
          </w:tcPr>
          <w:p w14:paraId="754890CC" w14:textId="77777777" w:rsidR="00990B14" w:rsidRDefault="00000000">
            <w:pPr>
              <w:spacing w:before="20" w:after="20"/>
              <w:jc w:val="both"/>
            </w:pPr>
            <w:r>
              <w:rPr>
                <w:sz w:val="18"/>
                <w:szCs w:val="18"/>
              </w:rPr>
              <w:t>Las respuestas son incompletas o erróneas.</w:t>
            </w:r>
          </w:p>
        </w:tc>
        <w:tc>
          <w:tcPr>
            <w:tcW w:w="2015" w:type="dxa"/>
            <w:shd w:val="clear" w:color="auto" w:fill="D9E2F3"/>
            <w:vAlign w:val="center"/>
          </w:tcPr>
          <w:p w14:paraId="7BE7C7EF" w14:textId="77777777" w:rsidR="00990B14" w:rsidRDefault="00000000">
            <w:pPr>
              <w:spacing w:before="20" w:after="20"/>
              <w:jc w:val="both"/>
            </w:pPr>
            <w:r>
              <w:rPr>
                <w:sz w:val="18"/>
                <w:szCs w:val="18"/>
              </w:rPr>
              <w:t>Responde correctamente la mayoría de las preguntas.</w:t>
            </w:r>
          </w:p>
        </w:tc>
        <w:tc>
          <w:tcPr>
            <w:tcW w:w="1837" w:type="dxa"/>
            <w:shd w:val="clear" w:color="auto" w:fill="D9E2F3"/>
            <w:vAlign w:val="center"/>
          </w:tcPr>
          <w:p w14:paraId="05EE1656" w14:textId="77777777" w:rsidR="00990B14" w:rsidRDefault="00000000">
            <w:pPr>
              <w:spacing w:before="20" w:after="20"/>
              <w:jc w:val="both"/>
            </w:pPr>
            <w:r>
              <w:rPr>
                <w:sz w:val="18"/>
                <w:szCs w:val="18"/>
              </w:rPr>
              <w:t>Responde todas las preguntas con precisión y terminología minera.</w:t>
            </w:r>
          </w:p>
        </w:tc>
      </w:tr>
      <w:tr w:rsidR="00990B14" w14:paraId="136805F8" w14:textId="77777777">
        <w:trPr>
          <w:cantSplit/>
          <w:jc w:val="center"/>
        </w:trPr>
        <w:tc>
          <w:tcPr>
            <w:tcW w:w="1807" w:type="dxa"/>
            <w:vMerge/>
            <w:shd w:val="clear" w:color="auto" w:fill="4472C4"/>
            <w:vAlign w:val="center"/>
          </w:tcPr>
          <w:p w14:paraId="17CE298E" w14:textId="77777777" w:rsidR="00990B14" w:rsidRDefault="00990B14">
            <w:pPr>
              <w:spacing w:before="20" w:after="20"/>
            </w:pPr>
          </w:p>
        </w:tc>
        <w:tc>
          <w:tcPr>
            <w:tcW w:w="5761" w:type="dxa"/>
            <w:gridSpan w:val="3"/>
            <w:shd w:val="clear" w:color="auto" w:fill="D9E2F3"/>
            <w:vAlign w:val="center"/>
          </w:tcPr>
          <w:p w14:paraId="5B1CDA37" w14:textId="77777777" w:rsidR="00990B14" w:rsidRDefault="00000000">
            <w:pPr>
              <w:keepNext/>
              <w:spacing w:before="20" w:after="20"/>
              <w:jc w:val="both"/>
            </w:pPr>
            <w:r>
              <w:rPr>
                <w:b/>
                <w:bCs/>
                <w:i/>
                <w:iCs/>
                <w:sz w:val="18"/>
                <w:szCs w:val="18"/>
              </w:rPr>
              <w:t xml:space="preserve">Producto 4: </w:t>
            </w:r>
            <w:r>
              <w:rPr>
                <w:sz w:val="18"/>
                <w:szCs w:val="18"/>
              </w:rPr>
              <w:t>Diagrama de llaves de las actividades mineras</w:t>
            </w:r>
          </w:p>
        </w:tc>
        <w:tc>
          <w:tcPr>
            <w:tcW w:w="1837" w:type="dxa"/>
            <w:shd w:val="clear" w:color="auto" w:fill="D9E2F3"/>
            <w:vAlign w:val="center"/>
          </w:tcPr>
          <w:p w14:paraId="7CEC6192" w14:textId="77777777" w:rsidR="00990B14" w:rsidRDefault="00000000">
            <w:pPr>
              <w:spacing w:before="20" w:after="20"/>
              <w:jc w:val="center"/>
            </w:pPr>
            <w:r>
              <w:rPr>
                <w:b/>
                <w:bCs/>
                <w:sz w:val="18"/>
                <w:szCs w:val="18"/>
              </w:rPr>
              <w:t>2%</w:t>
            </w:r>
          </w:p>
        </w:tc>
      </w:tr>
      <w:tr w:rsidR="00990B14" w14:paraId="49E96D2A" w14:textId="77777777">
        <w:trPr>
          <w:cantSplit/>
          <w:jc w:val="center"/>
        </w:trPr>
        <w:tc>
          <w:tcPr>
            <w:tcW w:w="1807" w:type="dxa"/>
            <w:vMerge/>
            <w:shd w:val="clear" w:color="auto" w:fill="4472C4"/>
            <w:vAlign w:val="center"/>
          </w:tcPr>
          <w:p w14:paraId="18B9AC2D" w14:textId="77777777" w:rsidR="00990B14" w:rsidRDefault="00990B14">
            <w:pPr>
              <w:spacing w:before="20" w:after="20"/>
            </w:pPr>
          </w:p>
        </w:tc>
        <w:tc>
          <w:tcPr>
            <w:tcW w:w="1910" w:type="dxa"/>
            <w:shd w:val="clear" w:color="auto" w:fill="4472C4"/>
            <w:vAlign w:val="center"/>
          </w:tcPr>
          <w:p w14:paraId="260EECDA" w14:textId="77777777" w:rsidR="00990B14" w:rsidRDefault="00000000">
            <w:pPr>
              <w:keepNext/>
              <w:spacing w:before="20" w:after="20"/>
              <w:jc w:val="center"/>
            </w:pPr>
            <w:r>
              <w:rPr>
                <w:b/>
                <w:bCs/>
                <w:i/>
                <w:iCs/>
                <w:color w:val="FFFFFF"/>
                <w:sz w:val="18"/>
                <w:szCs w:val="18"/>
              </w:rPr>
              <w:t>Criterio</w:t>
            </w:r>
          </w:p>
        </w:tc>
        <w:tc>
          <w:tcPr>
            <w:tcW w:w="1836" w:type="dxa"/>
            <w:shd w:val="clear" w:color="auto" w:fill="4472C4"/>
            <w:vAlign w:val="center"/>
          </w:tcPr>
          <w:p w14:paraId="25A12B02"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32FBADF7" w14:textId="77777777" w:rsidR="00990B14" w:rsidRDefault="00000000">
            <w:pPr>
              <w:keepNext/>
              <w:spacing w:before="20" w:after="20"/>
              <w:jc w:val="center"/>
            </w:pPr>
            <w:r>
              <w:rPr>
                <w:b/>
                <w:bCs/>
                <w:i/>
                <w:iCs/>
                <w:color w:val="FFFFFF"/>
                <w:sz w:val="18"/>
                <w:szCs w:val="18"/>
              </w:rPr>
              <w:t>Suficiente (51–80)</w:t>
            </w:r>
          </w:p>
        </w:tc>
        <w:tc>
          <w:tcPr>
            <w:tcW w:w="1837" w:type="dxa"/>
            <w:shd w:val="clear" w:color="auto" w:fill="4472C4"/>
            <w:vAlign w:val="center"/>
          </w:tcPr>
          <w:p w14:paraId="7C4DA615" w14:textId="77777777" w:rsidR="00990B14" w:rsidRDefault="00000000">
            <w:pPr>
              <w:keepNext/>
              <w:spacing w:before="20" w:after="20"/>
              <w:jc w:val="center"/>
            </w:pPr>
            <w:r>
              <w:rPr>
                <w:b/>
                <w:bCs/>
                <w:i/>
                <w:iCs/>
                <w:color w:val="FFFFFF"/>
                <w:sz w:val="18"/>
                <w:szCs w:val="18"/>
              </w:rPr>
              <w:t>Destacado (81–100)</w:t>
            </w:r>
          </w:p>
        </w:tc>
      </w:tr>
      <w:tr w:rsidR="00990B14" w14:paraId="30418A01" w14:textId="77777777">
        <w:trPr>
          <w:cantSplit/>
          <w:jc w:val="center"/>
        </w:trPr>
        <w:tc>
          <w:tcPr>
            <w:tcW w:w="1807" w:type="dxa"/>
            <w:vMerge/>
            <w:shd w:val="clear" w:color="auto" w:fill="4472C4"/>
            <w:vAlign w:val="center"/>
          </w:tcPr>
          <w:p w14:paraId="1B0DAFB7" w14:textId="77777777" w:rsidR="00990B14" w:rsidRDefault="00990B14">
            <w:pPr>
              <w:spacing w:before="20" w:after="20"/>
            </w:pPr>
          </w:p>
        </w:tc>
        <w:tc>
          <w:tcPr>
            <w:tcW w:w="1910" w:type="dxa"/>
            <w:shd w:val="clear" w:color="auto" w:fill="D9E2F3"/>
            <w:vAlign w:val="center"/>
          </w:tcPr>
          <w:p w14:paraId="771AAF95" w14:textId="77777777" w:rsidR="00990B14" w:rsidRDefault="00000000">
            <w:pPr>
              <w:spacing w:before="20" w:after="20"/>
              <w:jc w:val="both"/>
            </w:pPr>
            <w:r>
              <w:rPr>
                <w:sz w:val="18"/>
                <w:szCs w:val="18"/>
              </w:rPr>
              <w:t>Fases del ciclo</w:t>
            </w:r>
          </w:p>
        </w:tc>
        <w:tc>
          <w:tcPr>
            <w:tcW w:w="1836" w:type="dxa"/>
            <w:shd w:val="clear" w:color="auto" w:fill="D9E2F3"/>
            <w:vAlign w:val="center"/>
          </w:tcPr>
          <w:p w14:paraId="55CED87F" w14:textId="77777777" w:rsidR="00990B14" w:rsidRDefault="00000000">
            <w:pPr>
              <w:spacing w:before="20" w:after="20"/>
              <w:jc w:val="both"/>
            </w:pPr>
            <w:r>
              <w:rPr>
                <w:sz w:val="18"/>
                <w:szCs w:val="18"/>
              </w:rPr>
              <w:t>Omite fases o altera su secuencia.</w:t>
            </w:r>
          </w:p>
        </w:tc>
        <w:tc>
          <w:tcPr>
            <w:tcW w:w="2015" w:type="dxa"/>
            <w:shd w:val="clear" w:color="auto" w:fill="D9E2F3"/>
            <w:vAlign w:val="center"/>
          </w:tcPr>
          <w:p w14:paraId="7B54533B" w14:textId="77777777" w:rsidR="00990B14" w:rsidRDefault="00000000">
            <w:pPr>
              <w:spacing w:before="20" w:after="20"/>
              <w:jc w:val="both"/>
            </w:pPr>
            <w:r>
              <w:rPr>
                <w:sz w:val="18"/>
                <w:szCs w:val="18"/>
              </w:rPr>
              <w:t>Presenta todas las fases del ciclo minero en su orden.</w:t>
            </w:r>
          </w:p>
        </w:tc>
        <w:tc>
          <w:tcPr>
            <w:tcW w:w="1837" w:type="dxa"/>
            <w:shd w:val="clear" w:color="auto" w:fill="D9E2F3"/>
            <w:vAlign w:val="center"/>
          </w:tcPr>
          <w:p w14:paraId="6D09E921" w14:textId="77777777" w:rsidR="00990B14" w:rsidRDefault="00000000">
            <w:pPr>
              <w:spacing w:before="20" w:after="20"/>
              <w:jc w:val="both"/>
            </w:pPr>
            <w:r>
              <w:rPr>
                <w:sz w:val="18"/>
                <w:szCs w:val="18"/>
              </w:rPr>
              <w:t>Relaciona cada fase con su tratamiento contable.</w:t>
            </w:r>
          </w:p>
        </w:tc>
      </w:tr>
      <w:tr w:rsidR="00990B14" w14:paraId="6FA9C3D3" w14:textId="77777777">
        <w:trPr>
          <w:cantSplit/>
          <w:jc w:val="center"/>
        </w:trPr>
        <w:tc>
          <w:tcPr>
            <w:tcW w:w="1807" w:type="dxa"/>
            <w:vMerge/>
            <w:shd w:val="clear" w:color="auto" w:fill="4472C4"/>
            <w:vAlign w:val="center"/>
          </w:tcPr>
          <w:p w14:paraId="5D581B4F" w14:textId="77777777" w:rsidR="00990B14" w:rsidRDefault="00990B14">
            <w:pPr>
              <w:spacing w:before="20" w:after="20"/>
            </w:pPr>
          </w:p>
        </w:tc>
        <w:tc>
          <w:tcPr>
            <w:tcW w:w="1910" w:type="dxa"/>
            <w:shd w:val="clear" w:color="auto" w:fill="D9E2F3"/>
            <w:vAlign w:val="center"/>
          </w:tcPr>
          <w:p w14:paraId="181C8277" w14:textId="77777777" w:rsidR="00990B14" w:rsidRDefault="00000000">
            <w:pPr>
              <w:spacing w:before="20" w:after="20"/>
              <w:jc w:val="both"/>
            </w:pPr>
            <w:r>
              <w:rPr>
                <w:sz w:val="18"/>
                <w:szCs w:val="18"/>
              </w:rPr>
              <w:t>Desglose de lo general a lo específico</w:t>
            </w:r>
          </w:p>
        </w:tc>
        <w:tc>
          <w:tcPr>
            <w:tcW w:w="1836" w:type="dxa"/>
            <w:shd w:val="clear" w:color="auto" w:fill="D9E2F3"/>
            <w:vAlign w:val="center"/>
          </w:tcPr>
          <w:p w14:paraId="18C5BDC3" w14:textId="77777777" w:rsidR="00990B14" w:rsidRDefault="00000000">
            <w:pPr>
              <w:spacing w:before="20" w:after="20"/>
              <w:jc w:val="both"/>
            </w:pPr>
            <w:r>
              <w:rPr>
                <w:sz w:val="18"/>
                <w:szCs w:val="18"/>
              </w:rPr>
              <w:t>El diagrama no tiene niveles de desglose.</w:t>
            </w:r>
          </w:p>
        </w:tc>
        <w:tc>
          <w:tcPr>
            <w:tcW w:w="2015" w:type="dxa"/>
            <w:shd w:val="clear" w:color="auto" w:fill="D9E2F3"/>
            <w:vAlign w:val="center"/>
          </w:tcPr>
          <w:p w14:paraId="750DB3F5" w14:textId="77777777" w:rsidR="00990B14" w:rsidRDefault="00000000">
            <w:pPr>
              <w:spacing w:before="20" w:after="20"/>
              <w:jc w:val="both"/>
            </w:pPr>
            <w:r>
              <w:rPr>
                <w:sz w:val="18"/>
                <w:szCs w:val="18"/>
              </w:rPr>
              <w:t>Desglosa cada fase en sus características.</w:t>
            </w:r>
          </w:p>
        </w:tc>
        <w:tc>
          <w:tcPr>
            <w:tcW w:w="1837" w:type="dxa"/>
            <w:shd w:val="clear" w:color="auto" w:fill="D9E2F3"/>
            <w:vAlign w:val="center"/>
          </w:tcPr>
          <w:p w14:paraId="29BDC134" w14:textId="77777777" w:rsidR="00990B14" w:rsidRDefault="00000000">
            <w:pPr>
              <w:spacing w:before="20" w:after="20"/>
              <w:jc w:val="both"/>
            </w:pPr>
            <w:r>
              <w:rPr>
                <w:sz w:val="18"/>
                <w:szCs w:val="18"/>
              </w:rPr>
              <w:t>Desglosa hasta las actividades y costos específicos de cada fase.</w:t>
            </w:r>
          </w:p>
        </w:tc>
      </w:tr>
      <w:tr w:rsidR="00990B14" w14:paraId="2E7F7671" w14:textId="77777777">
        <w:trPr>
          <w:cantSplit/>
          <w:jc w:val="center"/>
        </w:trPr>
        <w:tc>
          <w:tcPr>
            <w:tcW w:w="1807" w:type="dxa"/>
            <w:vMerge/>
            <w:shd w:val="clear" w:color="auto" w:fill="4472C4"/>
            <w:vAlign w:val="center"/>
          </w:tcPr>
          <w:p w14:paraId="5ECA70FC" w14:textId="77777777" w:rsidR="00990B14" w:rsidRDefault="00990B14">
            <w:pPr>
              <w:spacing w:before="20" w:after="20"/>
            </w:pPr>
          </w:p>
        </w:tc>
        <w:tc>
          <w:tcPr>
            <w:tcW w:w="1910" w:type="dxa"/>
            <w:shd w:val="clear" w:color="auto" w:fill="D9E2F3"/>
            <w:vAlign w:val="center"/>
          </w:tcPr>
          <w:p w14:paraId="175D4CCA" w14:textId="77777777" w:rsidR="00990B14" w:rsidRDefault="00000000">
            <w:pPr>
              <w:spacing w:before="20" w:after="20"/>
              <w:jc w:val="both"/>
            </w:pPr>
            <w:r>
              <w:rPr>
                <w:sz w:val="18"/>
                <w:szCs w:val="18"/>
              </w:rPr>
              <w:t>Trabajo en equipo</w:t>
            </w:r>
          </w:p>
        </w:tc>
        <w:tc>
          <w:tcPr>
            <w:tcW w:w="1836" w:type="dxa"/>
            <w:shd w:val="clear" w:color="auto" w:fill="D9E2F3"/>
            <w:vAlign w:val="center"/>
          </w:tcPr>
          <w:p w14:paraId="7157A1AB" w14:textId="77777777" w:rsidR="00990B14" w:rsidRDefault="00000000">
            <w:pPr>
              <w:spacing w:before="20" w:after="20"/>
              <w:jc w:val="both"/>
            </w:pPr>
            <w:r>
              <w:rPr>
                <w:sz w:val="18"/>
                <w:szCs w:val="18"/>
              </w:rPr>
              <w:t>La participación es desigual.</w:t>
            </w:r>
          </w:p>
        </w:tc>
        <w:tc>
          <w:tcPr>
            <w:tcW w:w="2015" w:type="dxa"/>
            <w:shd w:val="clear" w:color="auto" w:fill="D9E2F3"/>
            <w:vAlign w:val="center"/>
          </w:tcPr>
          <w:p w14:paraId="49E2177B" w14:textId="77777777" w:rsidR="00990B14" w:rsidRDefault="00000000">
            <w:pPr>
              <w:spacing w:before="20" w:after="20"/>
              <w:jc w:val="both"/>
            </w:pPr>
            <w:r>
              <w:rPr>
                <w:sz w:val="18"/>
                <w:szCs w:val="18"/>
              </w:rPr>
              <w:t>Todos los integrantes participan.</w:t>
            </w:r>
          </w:p>
        </w:tc>
        <w:tc>
          <w:tcPr>
            <w:tcW w:w="1837" w:type="dxa"/>
            <w:shd w:val="clear" w:color="auto" w:fill="D9E2F3"/>
            <w:vAlign w:val="center"/>
          </w:tcPr>
          <w:p w14:paraId="01AB94FE" w14:textId="77777777" w:rsidR="00990B14" w:rsidRDefault="00000000">
            <w:pPr>
              <w:spacing w:before="20" w:after="20"/>
              <w:jc w:val="both"/>
            </w:pPr>
            <w:r>
              <w:rPr>
                <w:sz w:val="18"/>
                <w:szCs w:val="18"/>
              </w:rPr>
              <w:t>El equipo sustenta sus conclusiones ante el curso.</w:t>
            </w:r>
          </w:p>
        </w:tc>
      </w:tr>
      <w:tr w:rsidR="00990B14" w14:paraId="0161E885" w14:textId="77777777">
        <w:trPr>
          <w:cantSplit/>
          <w:jc w:val="center"/>
        </w:trPr>
        <w:tc>
          <w:tcPr>
            <w:tcW w:w="1807" w:type="dxa"/>
            <w:vMerge/>
            <w:shd w:val="clear" w:color="auto" w:fill="4472C4"/>
            <w:vAlign w:val="center"/>
          </w:tcPr>
          <w:p w14:paraId="6AEFA04C" w14:textId="77777777" w:rsidR="00990B14" w:rsidRDefault="00990B14">
            <w:pPr>
              <w:spacing w:before="20" w:after="20"/>
            </w:pPr>
          </w:p>
        </w:tc>
        <w:tc>
          <w:tcPr>
            <w:tcW w:w="5761" w:type="dxa"/>
            <w:gridSpan w:val="3"/>
            <w:shd w:val="clear" w:color="auto" w:fill="D9E2F3"/>
            <w:vAlign w:val="center"/>
          </w:tcPr>
          <w:p w14:paraId="05E56CE3" w14:textId="77777777" w:rsidR="00990B14" w:rsidRDefault="00000000">
            <w:pPr>
              <w:keepNext/>
              <w:spacing w:before="20" w:after="20"/>
              <w:jc w:val="both"/>
            </w:pPr>
            <w:r>
              <w:rPr>
                <w:b/>
                <w:bCs/>
                <w:i/>
                <w:iCs/>
                <w:sz w:val="18"/>
                <w:szCs w:val="18"/>
              </w:rPr>
              <w:t xml:space="preserve">Producto 5: </w:t>
            </w:r>
            <w:r>
              <w:rPr>
                <w:sz w:val="18"/>
                <w:szCs w:val="18"/>
              </w:rPr>
              <w:t>Asientos contables de prospección y exploración, y su capitalización o amortización</w:t>
            </w:r>
          </w:p>
        </w:tc>
        <w:tc>
          <w:tcPr>
            <w:tcW w:w="1837" w:type="dxa"/>
            <w:shd w:val="clear" w:color="auto" w:fill="D9E2F3"/>
            <w:vAlign w:val="center"/>
          </w:tcPr>
          <w:p w14:paraId="4D8EFBE2" w14:textId="77777777" w:rsidR="00990B14" w:rsidRDefault="00000000">
            <w:pPr>
              <w:spacing w:before="20" w:after="20"/>
              <w:jc w:val="center"/>
            </w:pPr>
            <w:r>
              <w:rPr>
                <w:b/>
                <w:bCs/>
                <w:sz w:val="18"/>
                <w:szCs w:val="18"/>
              </w:rPr>
              <w:t>4%</w:t>
            </w:r>
          </w:p>
        </w:tc>
      </w:tr>
      <w:tr w:rsidR="00990B14" w14:paraId="6B547518" w14:textId="77777777">
        <w:trPr>
          <w:cantSplit/>
          <w:jc w:val="center"/>
        </w:trPr>
        <w:tc>
          <w:tcPr>
            <w:tcW w:w="1807" w:type="dxa"/>
            <w:vMerge/>
            <w:shd w:val="clear" w:color="auto" w:fill="4472C4"/>
            <w:vAlign w:val="center"/>
          </w:tcPr>
          <w:p w14:paraId="2421DA82" w14:textId="77777777" w:rsidR="00990B14" w:rsidRDefault="00990B14">
            <w:pPr>
              <w:spacing w:before="20" w:after="20"/>
            </w:pPr>
          </w:p>
        </w:tc>
        <w:tc>
          <w:tcPr>
            <w:tcW w:w="1910" w:type="dxa"/>
            <w:shd w:val="clear" w:color="auto" w:fill="4472C4"/>
            <w:vAlign w:val="center"/>
          </w:tcPr>
          <w:p w14:paraId="41C87CCD" w14:textId="77777777" w:rsidR="00990B14" w:rsidRDefault="00000000">
            <w:pPr>
              <w:keepNext/>
              <w:spacing w:before="20" w:after="20"/>
              <w:jc w:val="center"/>
            </w:pPr>
            <w:r>
              <w:rPr>
                <w:b/>
                <w:bCs/>
                <w:i/>
                <w:iCs/>
                <w:color w:val="FFFFFF"/>
                <w:sz w:val="18"/>
                <w:szCs w:val="18"/>
              </w:rPr>
              <w:t>Criterio</w:t>
            </w:r>
          </w:p>
        </w:tc>
        <w:tc>
          <w:tcPr>
            <w:tcW w:w="1836" w:type="dxa"/>
            <w:shd w:val="clear" w:color="auto" w:fill="4472C4"/>
            <w:vAlign w:val="center"/>
          </w:tcPr>
          <w:p w14:paraId="4368A611"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20B7B764" w14:textId="77777777" w:rsidR="00990B14" w:rsidRDefault="00000000">
            <w:pPr>
              <w:keepNext/>
              <w:spacing w:before="20" w:after="20"/>
              <w:jc w:val="center"/>
            </w:pPr>
            <w:r>
              <w:rPr>
                <w:b/>
                <w:bCs/>
                <w:i/>
                <w:iCs/>
                <w:color w:val="FFFFFF"/>
                <w:sz w:val="18"/>
                <w:szCs w:val="18"/>
              </w:rPr>
              <w:t>Suficiente (51–80)</w:t>
            </w:r>
          </w:p>
        </w:tc>
        <w:tc>
          <w:tcPr>
            <w:tcW w:w="1837" w:type="dxa"/>
            <w:shd w:val="clear" w:color="auto" w:fill="4472C4"/>
            <w:vAlign w:val="center"/>
          </w:tcPr>
          <w:p w14:paraId="4303294E" w14:textId="77777777" w:rsidR="00990B14" w:rsidRDefault="00000000">
            <w:pPr>
              <w:keepNext/>
              <w:spacing w:before="20" w:after="20"/>
              <w:jc w:val="center"/>
            </w:pPr>
            <w:r>
              <w:rPr>
                <w:b/>
                <w:bCs/>
                <w:i/>
                <w:iCs/>
                <w:color w:val="FFFFFF"/>
                <w:sz w:val="18"/>
                <w:szCs w:val="18"/>
              </w:rPr>
              <w:t>Destacado (81–100)</w:t>
            </w:r>
          </w:p>
        </w:tc>
      </w:tr>
      <w:tr w:rsidR="00990B14" w14:paraId="61CF9736" w14:textId="77777777">
        <w:trPr>
          <w:cantSplit/>
          <w:jc w:val="center"/>
        </w:trPr>
        <w:tc>
          <w:tcPr>
            <w:tcW w:w="1807" w:type="dxa"/>
            <w:vMerge/>
            <w:shd w:val="clear" w:color="auto" w:fill="4472C4"/>
            <w:vAlign w:val="center"/>
          </w:tcPr>
          <w:p w14:paraId="221CF8CE" w14:textId="77777777" w:rsidR="00990B14" w:rsidRDefault="00990B14">
            <w:pPr>
              <w:spacing w:before="20" w:after="20"/>
            </w:pPr>
          </w:p>
        </w:tc>
        <w:tc>
          <w:tcPr>
            <w:tcW w:w="1910" w:type="dxa"/>
            <w:shd w:val="clear" w:color="auto" w:fill="D9E2F3"/>
            <w:vAlign w:val="center"/>
          </w:tcPr>
          <w:p w14:paraId="4C81BDA5" w14:textId="77777777" w:rsidR="00990B14" w:rsidRDefault="00000000">
            <w:pPr>
              <w:spacing w:before="20" w:after="20"/>
              <w:jc w:val="both"/>
            </w:pPr>
            <w:r>
              <w:rPr>
                <w:sz w:val="18"/>
                <w:szCs w:val="18"/>
              </w:rPr>
              <w:t>Clasificación de desembolsos</w:t>
            </w:r>
          </w:p>
        </w:tc>
        <w:tc>
          <w:tcPr>
            <w:tcW w:w="1836" w:type="dxa"/>
            <w:shd w:val="clear" w:color="auto" w:fill="D9E2F3"/>
            <w:vAlign w:val="center"/>
          </w:tcPr>
          <w:p w14:paraId="28552F5F" w14:textId="77777777" w:rsidR="00990B14" w:rsidRDefault="00000000">
            <w:pPr>
              <w:spacing w:before="20" w:after="20"/>
              <w:jc w:val="both"/>
            </w:pPr>
            <w:r>
              <w:rPr>
                <w:sz w:val="18"/>
                <w:szCs w:val="18"/>
              </w:rPr>
              <w:t>Confunde gastos de exploración y de desarrollo.</w:t>
            </w:r>
          </w:p>
        </w:tc>
        <w:tc>
          <w:tcPr>
            <w:tcW w:w="2015" w:type="dxa"/>
            <w:shd w:val="clear" w:color="auto" w:fill="D9E2F3"/>
            <w:vAlign w:val="center"/>
          </w:tcPr>
          <w:p w14:paraId="67070D7A" w14:textId="77777777" w:rsidR="00990B14" w:rsidRDefault="00000000">
            <w:pPr>
              <w:spacing w:before="20" w:after="20"/>
              <w:jc w:val="both"/>
            </w:pPr>
            <w:r>
              <w:rPr>
                <w:sz w:val="18"/>
                <w:szCs w:val="18"/>
              </w:rPr>
              <w:t>Separa los desembolsos de prospección, exploración y desarrollo.</w:t>
            </w:r>
          </w:p>
        </w:tc>
        <w:tc>
          <w:tcPr>
            <w:tcW w:w="1837" w:type="dxa"/>
            <w:shd w:val="clear" w:color="auto" w:fill="D9E2F3"/>
            <w:vAlign w:val="center"/>
          </w:tcPr>
          <w:p w14:paraId="149CE37B" w14:textId="77777777" w:rsidR="00990B14" w:rsidRDefault="00000000">
            <w:pPr>
              <w:spacing w:before="20" w:after="20"/>
              <w:jc w:val="both"/>
            </w:pPr>
            <w:r>
              <w:rPr>
                <w:sz w:val="18"/>
                <w:szCs w:val="18"/>
              </w:rPr>
              <w:t>Justifica cada clasificación con la política contable.</w:t>
            </w:r>
          </w:p>
        </w:tc>
      </w:tr>
      <w:tr w:rsidR="00990B14" w14:paraId="27081970" w14:textId="77777777">
        <w:trPr>
          <w:cantSplit/>
          <w:jc w:val="center"/>
        </w:trPr>
        <w:tc>
          <w:tcPr>
            <w:tcW w:w="1807" w:type="dxa"/>
            <w:vMerge/>
            <w:shd w:val="clear" w:color="auto" w:fill="4472C4"/>
            <w:vAlign w:val="center"/>
          </w:tcPr>
          <w:p w14:paraId="73E8CEED" w14:textId="77777777" w:rsidR="00990B14" w:rsidRDefault="00990B14">
            <w:pPr>
              <w:spacing w:before="20" w:after="20"/>
            </w:pPr>
          </w:p>
        </w:tc>
        <w:tc>
          <w:tcPr>
            <w:tcW w:w="1910" w:type="dxa"/>
            <w:shd w:val="clear" w:color="auto" w:fill="D9E2F3"/>
            <w:vAlign w:val="center"/>
          </w:tcPr>
          <w:p w14:paraId="455751E8" w14:textId="77777777" w:rsidR="00990B14" w:rsidRDefault="00000000">
            <w:pPr>
              <w:spacing w:before="20" w:after="20"/>
              <w:jc w:val="both"/>
            </w:pPr>
            <w:r>
              <w:rPr>
                <w:sz w:val="18"/>
                <w:szCs w:val="18"/>
              </w:rPr>
              <w:t>Registro contable</w:t>
            </w:r>
          </w:p>
        </w:tc>
        <w:tc>
          <w:tcPr>
            <w:tcW w:w="1836" w:type="dxa"/>
            <w:shd w:val="clear" w:color="auto" w:fill="D9E2F3"/>
            <w:vAlign w:val="center"/>
          </w:tcPr>
          <w:p w14:paraId="41EE1C34" w14:textId="77777777" w:rsidR="00990B14" w:rsidRDefault="00000000">
            <w:pPr>
              <w:spacing w:before="20" w:after="20"/>
              <w:jc w:val="both"/>
            </w:pPr>
            <w:r>
              <w:rPr>
                <w:sz w:val="18"/>
                <w:szCs w:val="18"/>
              </w:rPr>
              <w:t>Los asientos no corresponden.</w:t>
            </w:r>
          </w:p>
        </w:tc>
        <w:tc>
          <w:tcPr>
            <w:tcW w:w="2015" w:type="dxa"/>
            <w:shd w:val="clear" w:color="auto" w:fill="D9E2F3"/>
            <w:vAlign w:val="center"/>
          </w:tcPr>
          <w:p w14:paraId="66BCD872" w14:textId="77777777" w:rsidR="00990B14" w:rsidRDefault="00000000">
            <w:pPr>
              <w:spacing w:before="20" w:after="20"/>
              <w:jc w:val="both"/>
            </w:pPr>
            <w:r>
              <w:rPr>
                <w:sz w:val="18"/>
                <w:szCs w:val="18"/>
              </w:rPr>
              <w:t>Registra correctamente la capitalización o el gasto.</w:t>
            </w:r>
          </w:p>
        </w:tc>
        <w:tc>
          <w:tcPr>
            <w:tcW w:w="1837" w:type="dxa"/>
            <w:shd w:val="clear" w:color="auto" w:fill="D9E2F3"/>
            <w:vAlign w:val="center"/>
          </w:tcPr>
          <w:p w14:paraId="75C87A48" w14:textId="77777777" w:rsidR="00990B14" w:rsidRDefault="00000000">
            <w:pPr>
              <w:spacing w:before="20" w:after="20"/>
              <w:jc w:val="both"/>
            </w:pPr>
            <w:r>
              <w:rPr>
                <w:sz w:val="18"/>
                <w:szCs w:val="18"/>
              </w:rPr>
              <w:t>Sustenta cada registro en la NIIF 6.</w:t>
            </w:r>
          </w:p>
        </w:tc>
      </w:tr>
      <w:tr w:rsidR="00990B14" w14:paraId="64E3E79C" w14:textId="77777777">
        <w:trPr>
          <w:cantSplit/>
          <w:jc w:val="center"/>
        </w:trPr>
        <w:tc>
          <w:tcPr>
            <w:tcW w:w="1807" w:type="dxa"/>
            <w:vMerge/>
            <w:shd w:val="clear" w:color="auto" w:fill="4472C4"/>
            <w:vAlign w:val="center"/>
          </w:tcPr>
          <w:p w14:paraId="7CC4AC22" w14:textId="77777777" w:rsidR="00990B14" w:rsidRDefault="00990B14">
            <w:pPr>
              <w:spacing w:before="20" w:after="20"/>
            </w:pPr>
          </w:p>
        </w:tc>
        <w:tc>
          <w:tcPr>
            <w:tcW w:w="1910" w:type="dxa"/>
            <w:shd w:val="clear" w:color="auto" w:fill="D9E2F3"/>
            <w:vAlign w:val="center"/>
          </w:tcPr>
          <w:p w14:paraId="200C9B60" w14:textId="77777777" w:rsidR="00990B14" w:rsidRDefault="00000000">
            <w:pPr>
              <w:spacing w:before="20" w:after="20"/>
              <w:jc w:val="both"/>
            </w:pPr>
            <w:r>
              <w:rPr>
                <w:sz w:val="18"/>
                <w:szCs w:val="18"/>
              </w:rPr>
              <w:t>Amortización</w:t>
            </w:r>
          </w:p>
        </w:tc>
        <w:tc>
          <w:tcPr>
            <w:tcW w:w="1836" w:type="dxa"/>
            <w:shd w:val="clear" w:color="auto" w:fill="D9E2F3"/>
            <w:vAlign w:val="center"/>
          </w:tcPr>
          <w:p w14:paraId="1EB171A4" w14:textId="77777777" w:rsidR="00990B14" w:rsidRDefault="00000000">
            <w:pPr>
              <w:spacing w:before="20" w:after="20"/>
              <w:jc w:val="both"/>
            </w:pPr>
            <w:r>
              <w:rPr>
                <w:sz w:val="18"/>
                <w:szCs w:val="18"/>
              </w:rPr>
              <w:t>Aplica mal la fórmula de amortización.</w:t>
            </w:r>
          </w:p>
        </w:tc>
        <w:tc>
          <w:tcPr>
            <w:tcW w:w="2015" w:type="dxa"/>
            <w:shd w:val="clear" w:color="auto" w:fill="D9E2F3"/>
            <w:vAlign w:val="center"/>
          </w:tcPr>
          <w:p w14:paraId="18616A29" w14:textId="77777777" w:rsidR="00990B14" w:rsidRDefault="00000000">
            <w:pPr>
              <w:spacing w:before="20" w:after="20"/>
              <w:jc w:val="both"/>
            </w:pPr>
            <w:r>
              <w:rPr>
                <w:sz w:val="18"/>
                <w:szCs w:val="18"/>
              </w:rPr>
              <w:t>Calcula y registra la amortización por unidades producidas.</w:t>
            </w:r>
          </w:p>
        </w:tc>
        <w:tc>
          <w:tcPr>
            <w:tcW w:w="1837" w:type="dxa"/>
            <w:shd w:val="clear" w:color="auto" w:fill="D9E2F3"/>
            <w:vAlign w:val="center"/>
          </w:tcPr>
          <w:p w14:paraId="6C32689B" w14:textId="77777777" w:rsidR="00990B14" w:rsidRDefault="00000000">
            <w:pPr>
              <w:spacing w:before="20" w:after="20"/>
              <w:jc w:val="both"/>
            </w:pPr>
            <w:r>
              <w:rPr>
                <w:sz w:val="18"/>
                <w:szCs w:val="18"/>
              </w:rPr>
              <w:t>Explica el castigo por abandono de la propiedad minera.</w:t>
            </w:r>
          </w:p>
        </w:tc>
      </w:tr>
      <w:tr w:rsidR="00990B14" w14:paraId="49CF0B2D" w14:textId="77777777">
        <w:trPr>
          <w:cantSplit/>
          <w:jc w:val="center"/>
        </w:trPr>
        <w:tc>
          <w:tcPr>
            <w:tcW w:w="1807" w:type="dxa"/>
            <w:vMerge/>
            <w:shd w:val="clear" w:color="auto" w:fill="4472C4"/>
            <w:vAlign w:val="center"/>
          </w:tcPr>
          <w:p w14:paraId="16393BB1" w14:textId="77777777" w:rsidR="00990B14" w:rsidRDefault="00990B14">
            <w:pPr>
              <w:spacing w:before="20" w:after="20"/>
            </w:pPr>
          </w:p>
        </w:tc>
        <w:tc>
          <w:tcPr>
            <w:tcW w:w="5761" w:type="dxa"/>
            <w:gridSpan w:val="3"/>
            <w:shd w:val="clear" w:color="auto" w:fill="D9E2F3"/>
            <w:vAlign w:val="center"/>
          </w:tcPr>
          <w:p w14:paraId="2CB3BDFC" w14:textId="77777777" w:rsidR="00990B14" w:rsidRDefault="00000000">
            <w:pPr>
              <w:keepNext/>
              <w:spacing w:before="20" w:after="20"/>
              <w:jc w:val="both"/>
            </w:pPr>
            <w:r>
              <w:rPr>
                <w:b/>
                <w:bCs/>
                <w:i/>
                <w:iCs/>
                <w:sz w:val="18"/>
                <w:szCs w:val="18"/>
              </w:rPr>
              <w:t xml:space="preserve">Producto 6: </w:t>
            </w:r>
            <w:r>
              <w:rPr>
                <w:sz w:val="18"/>
                <w:szCs w:val="18"/>
              </w:rPr>
              <w:t>Planilla de cálculo del efecto en los estados financieros</w:t>
            </w:r>
          </w:p>
        </w:tc>
        <w:tc>
          <w:tcPr>
            <w:tcW w:w="1837" w:type="dxa"/>
            <w:shd w:val="clear" w:color="auto" w:fill="D9E2F3"/>
            <w:vAlign w:val="center"/>
          </w:tcPr>
          <w:p w14:paraId="068C275F" w14:textId="77777777" w:rsidR="00990B14" w:rsidRDefault="00000000">
            <w:pPr>
              <w:spacing w:before="20" w:after="20"/>
              <w:jc w:val="center"/>
            </w:pPr>
            <w:r>
              <w:rPr>
                <w:b/>
                <w:bCs/>
                <w:sz w:val="18"/>
                <w:szCs w:val="18"/>
              </w:rPr>
              <w:t>3%</w:t>
            </w:r>
          </w:p>
        </w:tc>
      </w:tr>
      <w:tr w:rsidR="00990B14" w14:paraId="5650DA5C" w14:textId="77777777">
        <w:trPr>
          <w:cantSplit/>
          <w:jc w:val="center"/>
        </w:trPr>
        <w:tc>
          <w:tcPr>
            <w:tcW w:w="1807" w:type="dxa"/>
            <w:vMerge/>
            <w:shd w:val="clear" w:color="auto" w:fill="4472C4"/>
            <w:vAlign w:val="center"/>
          </w:tcPr>
          <w:p w14:paraId="26ECA8DF" w14:textId="77777777" w:rsidR="00990B14" w:rsidRDefault="00990B14">
            <w:pPr>
              <w:spacing w:before="20" w:after="20"/>
            </w:pPr>
          </w:p>
        </w:tc>
        <w:tc>
          <w:tcPr>
            <w:tcW w:w="1910" w:type="dxa"/>
            <w:shd w:val="clear" w:color="auto" w:fill="4472C4"/>
            <w:vAlign w:val="center"/>
          </w:tcPr>
          <w:p w14:paraId="60173F96" w14:textId="77777777" w:rsidR="00990B14" w:rsidRDefault="00000000">
            <w:pPr>
              <w:keepNext/>
              <w:spacing w:before="20" w:after="20"/>
              <w:jc w:val="center"/>
            </w:pPr>
            <w:r>
              <w:rPr>
                <w:b/>
                <w:bCs/>
                <w:i/>
                <w:iCs/>
                <w:color w:val="FFFFFF"/>
                <w:sz w:val="18"/>
                <w:szCs w:val="18"/>
              </w:rPr>
              <w:t>Criterio</w:t>
            </w:r>
          </w:p>
        </w:tc>
        <w:tc>
          <w:tcPr>
            <w:tcW w:w="1836" w:type="dxa"/>
            <w:shd w:val="clear" w:color="auto" w:fill="4472C4"/>
            <w:vAlign w:val="center"/>
          </w:tcPr>
          <w:p w14:paraId="76EF4FC1"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55D39F64" w14:textId="77777777" w:rsidR="00990B14" w:rsidRDefault="00000000">
            <w:pPr>
              <w:keepNext/>
              <w:spacing w:before="20" w:after="20"/>
              <w:jc w:val="center"/>
            </w:pPr>
            <w:r>
              <w:rPr>
                <w:b/>
                <w:bCs/>
                <w:i/>
                <w:iCs/>
                <w:color w:val="FFFFFF"/>
                <w:sz w:val="18"/>
                <w:szCs w:val="18"/>
              </w:rPr>
              <w:t>Suficiente (51–80)</w:t>
            </w:r>
          </w:p>
        </w:tc>
        <w:tc>
          <w:tcPr>
            <w:tcW w:w="1837" w:type="dxa"/>
            <w:shd w:val="clear" w:color="auto" w:fill="4472C4"/>
            <w:vAlign w:val="center"/>
          </w:tcPr>
          <w:p w14:paraId="329697F8" w14:textId="77777777" w:rsidR="00990B14" w:rsidRDefault="00000000">
            <w:pPr>
              <w:keepNext/>
              <w:spacing w:before="20" w:after="20"/>
              <w:jc w:val="center"/>
            </w:pPr>
            <w:r>
              <w:rPr>
                <w:b/>
                <w:bCs/>
                <w:i/>
                <w:iCs/>
                <w:color w:val="FFFFFF"/>
                <w:sz w:val="18"/>
                <w:szCs w:val="18"/>
              </w:rPr>
              <w:t>Destacado (81–100)</w:t>
            </w:r>
          </w:p>
        </w:tc>
      </w:tr>
      <w:tr w:rsidR="00990B14" w14:paraId="4114342A" w14:textId="77777777">
        <w:trPr>
          <w:cantSplit/>
          <w:jc w:val="center"/>
        </w:trPr>
        <w:tc>
          <w:tcPr>
            <w:tcW w:w="1807" w:type="dxa"/>
            <w:vMerge/>
            <w:shd w:val="clear" w:color="auto" w:fill="4472C4"/>
            <w:vAlign w:val="center"/>
          </w:tcPr>
          <w:p w14:paraId="76D5F062" w14:textId="77777777" w:rsidR="00990B14" w:rsidRDefault="00990B14">
            <w:pPr>
              <w:spacing w:before="20" w:after="20"/>
            </w:pPr>
          </w:p>
        </w:tc>
        <w:tc>
          <w:tcPr>
            <w:tcW w:w="1910" w:type="dxa"/>
            <w:shd w:val="clear" w:color="auto" w:fill="D9E2F3"/>
            <w:vAlign w:val="center"/>
          </w:tcPr>
          <w:p w14:paraId="0873CE33" w14:textId="77777777" w:rsidR="00990B14" w:rsidRDefault="00000000">
            <w:pPr>
              <w:spacing w:before="20" w:after="20"/>
              <w:jc w:val="both"/>
            </w:pPr>
            <w:r>
              <w:rPr>
                <w:sz w:val="18"/>
                <w:szCs w:val="18"/>
              </w:rPr>
              <w:t>Comparación de alternativas</w:t>
            </w:r>
          </w:p>
        </w:tc>
        <w:tc>
          <w:tcPr>
            <w:tcW w:w="1836" w:type="dxa"/>
            <w:shd w:val="clear" w:color="auto" w:fill="D9E2F3"/>
            <w:vAlign w:val="center"/>
          </w:tcPr>
          <w:p w14:paraId="5DBA31E6" w14:textId="77777777" w:rsidR="00990B14" w:rsidRDefault="00000000">
            <w:pPr>
              <w:spacing w:before="20" w:after="20"/>
              <w:jc w:val="both"/>
            </w:pPr>
            <w:r>
              <w:rPr>
                <w:sz w:val="18"/>
                <w:szCs w:val="18"/>
              </w:rPr>
              <w:t>No compara la capitalización con el castigo.</w:t>
            </w:r>
          </w:p>
        </w:tc>
        <w:tc>
          <w:tcPr>
            <w:tcW w:w="2015" w:type="dxa"/>
            <w:shd w:val="clear" w:color="auto" w:fill="D9E2F3"/>
            <w:vAlign w:val="center"/>
          </w:tcPr>
          <w:p w14:paraId="4B19274F" w14:textId="77777777" w:rsidR="00990B14" w:rsidRDefault="00000000">
            <w:pPr>
              <w:spacing w:before="20" w:after="20"/>
              <w:jc w:val="both"/>
            </w:pPr>
            <w:r>
              <w:rPr>
                <w:sz w:val="18"/>
                <w:szCs w:val="18"/>
              </w:rPr>
              <w:t>Compara el efecto de capitalizar y de castigar en el resultado y en el activo.</w:t>
            </w:r>
          </w:p>
        </w:tc>
        <w:tc>
          <w:tcPr>
            <w:tcW w:w="1837" w:type="dxa"/>
            <w:shd w:val="clear" w:color="auto" w:fill="D9E2F3"/>
            <w:vAlign w:val="center"/>
          </w:tcPr>
          <w:p w14:paraId="1F05EAFA" w14:textId="77777777" w:rsidR="00990B14" w:rsidRDefault="00000000">
            <w:pPr>
              <w:spacing w:before="20" w:after="20"/>
              <w:jc w:val="both"/>
            </w:pPr>
            <w:r>
              <w:rPr>
                <w:sz w:val="18"/>
                <w:szCs w:val="18"/>
              </w:rPr>
              <w:t>Proyecta el efecto en varios periodos.</w:t>
            </w:r>
          </w:p>
        </w:tc>
      </w:tr>
      <w:tr w:rsidR="00990B14" w14:paraId="79C7EBE2" w14:textId="77777777">
        <w:trPr>
          <w:cantSplit/>
          <w:jc w:val="center"/>
        </w:trPr>
        <w:tc>
          <w:tcPr>
            <w:tcW w:w="1807" w:type="dxa"/>
            <w:vMerge/>
            <w:shd w:val="clear" w:color="auto" w:fill="4472C4"/>
            <w:vAlign w:val="center"/>
          </w:tcPr>
          <w:p w14:paraId="3F2203B4" w14:textId="77777777" w:rsidR="00990B14" w:rsidRDefault="00990B14">
            <w:pPr>
              <w:spacing w:before="20" w:after="20"/>
            </w:pPr>
          </w:p>
        </w:tc>
        <w:tc>
          <w:tcPr>
            <w:tcW w:w="1910" w:type="dxa"/>
            <w:shd w:val="clear" w:color="auto" w:fill="D9E2F3"/>
            <w:vAlign w:val="center"/>
          </w:tcPr>
          <w:p w14:paraId="16F4DF11" w14:textId="77777777" w:rsidR="00990B14" w:rsidRDefault="00000000">
            <w:pPr>
              <w:spacing w:before="20" w:after="20"/>
              <w:jc w:val="both"/>
            </w:pPr>
            <w:r>
              <w:rPr>
                <w:sz w:val="18"/>
                <w:szCs w:val="18"/>
              </w:rPr>
              <w:t>Uso de la hoja de cálculo</w:t>
            </w:r>
          </w:p>
        </w:tc>
        <w:tc>
          <w:tcPr>
            <w:tcW w:w="1836" w:type="dxa"/>
            <w:shd w:val="clear" w:color="auto" w:fill="D9E2F3"/>
            <w:vAlign w:val="center"/>
          </w:tcPr>
          <w:p w14:paraId="4B1E5E60" w14:textId="77777777" w:rsidR="00990B14" w:rsidRDefault="00000000">
            <w:pPr>
              <w:spacing w:before="20" w:after="20"/>
              <w:jc w:val="both"/>
            </w:pPr>
            <w:r>
              <w:rPr>
                <w:sz w:val="18"/>
                <w:szCs w:val="18"/>
              </w:rPr>
              <w:t>No usa fórmulas.</w:t>
            </w:r>
          </w:p>
        </w:tc>
        <w:tc>
          <w:tcPr>
            <w:tcW w:w="2015" w:type="dxa"/>
            <w:shd w:val="clear" w:color="auto" w:fill="D9E2F3"/>
            <w:vAlign w:val="center"/>
          </w:tcPr>
          <w:p w14:paraId="6717627D" w14:textId="77777777" w:rsidR="00990B14" w:rsidRDefault="00000000">
            <w:pPr>
              <w:spacing w:before="20" w:after="20"/>
              <w:jc w:val="both"/>
            </w:pPr>
            <w:r>
              <w:rPr>
                <w:sz w:val="18"/>
                <w:szCs w:val="18"/>
              </w:rPr>
              <w:t>Usa fórmulas y vínculos entre hojas.</w:t>
            </w:r>
          </w:p>
        </w:tc>
        <w:tc>
          <w:tcPr>
            <w:tcW w:w="1837" w:type="dxa"/>
            <w:shd w:val="clear" w:color="auto" w:fill="D9E2F3"/>
            <w:vAlign w:val="center"/>
          </w:tcPr>
          <w:p w14:paraId="072A388B" w14:textId="77777777" w:rsidR="00990B14" w:rsidRDefault="00000000">
            <w:pPr>
              <w:spacing w:before="20" w:after="20"/>
              <w:jc w:val="both"/>
            </w:pPr>
            <w:r>
              <w:rPr>
                <w:sz w:val="18"/>
                <w:szCs w:val="18"/>
              </w:rPr>
              <w:t>El modelo permite simular distintos escenarios.</w:t>
            </w:r>
          </w:p>
        </w:tc>
      </w:tr>
      <w:tr w:rsidR="00990B14" w14:paraId="3733677E" w14:textId="77777777">
        <w:trPr>
          <w:cantSplit/>
          <w:jc w:val="center"/>
        </w:trPr>
        <w:tc>
          <w:tcPr>
            <w:tcW w:w="1807" w:type="dxa"/>
            <w:vMerge/>
            <w:shd w:val="clear" w:color="auto" w:fill="4472C4"/>
            <w:vAlign w:val="center"/>
          </w:tcPr>
          <w:p w14:paraId="05B13092" w14:textId="77777777" w:rsidR="00990B14" w:rsidRDefault="00990B14">
            <w:pPr>
              <w:spacing w:before="20" w:after="20"/>
            </w:pPr>
          </w:p>
        </w:tc>
        <w:tc>
          <w:tcPr>
            <w:tcW w:w="1910" w:type="dxa"/>
            <w:shd w:val="clear" w:color="auto" w:fill="D9E2F3"/>
            <w:vAlign w:val="center"/>
          </w:tcPr>
          <w:p w14:paraId="79A10111" w14:textId="77777777" w:rsidR="00990B14" w:rsidRDefault="00000000">
            <w:pPr>
              <w:spacing w:before="20" w:after="20"/>
              <w:jc w:val="both"/>
            </w:pPr>
            <w:r>
              <w:rPr>
                <w:sz w:val="18"/>
                <w:szCs w:val="18"/>
              </w:rPr>
              <w:t>Trabajo en equipo</w:t>
            </w:r>
          </w:p>
        </w:tc>
        <w:tc>
          <w:tcPr>
            <w:tcW w:w="1836" w:type="dxa"/>
            <w:shd w:val="clear" w:color="auto" w:fill="D9E2F3"/>
            <w:vAlign w:val="center"/>
          </w:tcPr>
          <w:p w14:paraId="30B2D393" w14:textId="77777777" w:rsidR="00990B14" w:rsidRDefault="00000000">
            <w:pPr>
              <w:spacing w:before="20" w:after="20"/>
              <w:jc w:val="both"/>
            </w:pPr>
            <w:r>
              <w:rPr>
                <w:sz w:val="18"/>
                <w:szCs w:val="18"/>
              </w:rPr>
              <w:t>La participación es desigual.</w:t>
            </w:r>
          </w:p>
        </w:tc>
        <w:tc>
          <w:tcPr>
            <w:tcW w:w="2015" w:type="dxa"/>
            <w:shd w:val="clear" w:color="auto" w:fill="D9E2F3"/>
            <w:vAlign w:val="center"/>
          </w:tcPr>
          <w:p w14:paraId="576B858B" w14:textId="77777777" w:rsidR="00990B14" w:rsidRDefault="00000000">
            <w:pPr>
              <w:spacing w:before="20" w:after="20"/>
              <w:jc w:val="both"/>
            </w:pPr>
            <w:r>
              <w:rPr>
                <w:sz w:val="18"/>
                <w:szCs w:val="18"/>
              </w:rPr>
              <w:t>Todos los integrantes participan.</w:t>
            </w:r>
          </w:p>
        </w:tc>
        <w:tc>
          <w:tcPr>
            <w:tcW w:w="1837" w:type="dxa"/>
            <w:shd w:val="clear" w:color="auto" w:fill="D9E2F3"/>
            <w:vAlign w:val="center"/>
          </w:tcPr>
          <w:p w14:paraId="52EF08DA" w14:textId="77777777" w:rsidR="00990B14" w:rsidRDefault="00000000">
            <w:pPr>
              <w:spacing w:before="20" w:after="20"/>
              <w:jc w:val="both"/>
            </w:pPr>
            <w:r>
              <w:rPr>
                <w:sz w:val="18"/>
                <w:szCs w:val="18"/>
              </w:rPr>
              <w:t>El equipo sustenta sus conclusiones ante el curso.</w:t>
            </w:r>
          </w:p>
        </w:tc>
      </w:tr>
      <w:tr w:rsidR="00990B14" w14:paraId="7550B0BD" w14:textId="77777777">
        <w:trPr>
          <w:cantSplit/>
          <w:jc w:val="center"/>
        </w:trPr>
        <w:tc>
          <w:tcPr>
            <w:tcW w:w="1807" w:type="dxa"/>
            <w:vMerge/>
            <w:shd w:val="clear" w:color="auto" w:fill="4472C4"/>
            <w:vAlign w:val="center"/>
          </w:tcPr>
          <w:p w14:paraId="4A160D83" w14:textId="77777777" w:rsidR="00990B14" w:rsidRDefault="00990B14">
            <w:pPr>
              <w:spacing w:before="20" w:after="20"/>
            </w:pPr>
          </w:p>
        </w:tc>
        <w:tc>
          <w:tcPr>
            <w:tcW w:w="5761" w:type="dxa"/>
            <w:gridSpan w:val="3"/>
            <w:shd w:val="clear" w:color="auto" w:fill="D9E2F3"/>
            <w:vAlign w:val="center"/>
          </w:tcPr>
          <w:p w14:paraId="4B113208" w14:textId="77777777" w:rsidR="00990B14" w:rsidRDefault="00000000">
            <w:pPr>
              <w:keepNext/>
              <w:spacing w:before="20" w:after="20"/>
              <w:jc w:val="both"/>
            </w:pPr>
            <w:r>
              <w:rPr>
                <w:b/>
                <w:bCs/>
                <w:i/>
                <w:iCs/>
                <w:sz w:val="18"/>
                <w:szCs w:val="18"/>
              </w:rPr>
              <w:t xml:space="preserve">Producto 7: </w:t>
            </w:r>
            <w:r>
              <w:rPr>
                <w:sz w:val="18"/>
                <w:szCs w:val="18"/>
              </w:rPr>
              <w:t>Asientos contables de costos de las secciones de superficie</w:t>
            </w:r>
          </w:p>
        </w:tc>
        <w:tc>
          <w:tcPr>
            <w:tcW w:w="1837" w:type="dxa"/>
            <w:shd w:val="clear" w:color="auto" w:fill="D9E2F3"/>
            <w:vAlign w:val="center"/>
          </w:tcPr>
          <w:p w14:paraId="6DB935C5" w14:textId="77777777" w:rsidR="00990B14" w:rsidRDefault="00000000">
            <w:pPr>
              <w:spacing w:before="20" w:after="20"/>
              <w:jc w:val="center"/>
            </w:pPr>
            <w:r>
              <w:rPr>
                <w:b/>
                <w:bCs/>
                <w:sz w:val="18"/>
                <w:szCs w:val="18"/>
              </w:rPr>
              <w:t>3%</w:t>
            </w:r>
          </w:p>
        </w:tc>
      </w:tr>
      <w:tr w:rsidR="00990B14" w14:paraId="77C4CE4B" w14:textId="77777777">
        <w:trPr>
          <w:cantSplit/>
          <w:jc w:val="center"/>
        </w:trPr>
        <w:tc>
          <w:tcPr>
            <w:tcW w:w="1807" w:type="dxa"/>
            <w:vMerge/>
            <w:shd w:val="clear" w:color="auto" w:fill="4472C4"/>
            <w:vAlign w:val="center"/>
          </w:tcPr>
          <w:p w14:paraId="33992B56" w14:textId="77777777" w:rsidR="00990B14" w:rsidRDefault="00990B14">
            <w:pPr>
              <w:spacing w:before="20" w:after="20"/>
            </w:pPr>
          </w:p>
        </w:tc>
        <w:tc>
          <w:tcPr>
            <w:tcW w:w="1910" w:type="dxa"/>
            <w:shd w:val="clear" w:color="auto" w:fill="4472C4"/>
            <w:vAlign w:val="center"/>
          </w:tcPr>
          <w:p w14:paraId="162052A5" w14:textId="77777777" w:rsidR="00990B14" w:rsidRDefault="00000000">
            <w:pPr>
              <w:keepNext/>
              <w:spacing w:before="20" w:after="20"/>
              <w:jc w:val="center"/>
            </w:pPr>
            <w:r>
              <w:rPr>
                <w:b/>
                <w:bCs/>
                <w:i/>
                <w:iCs/>
                <w:color w:val="FFFFFF"/>
                <w:sz w:val="18"/>
                <w:szCs w:val="18"/>
              </w:rPr>
              <w:t>Criterio</w:t>
            </w:r>
          </w:p>
        </w:tc>
        <w:tc>
          <w:tcPr>
            <w:tcW w:w="1836" w:type="dxa"/>
            <w:shd w:val="clear" w:color="auto" w:fill="4472C4"/>
            <w:vAlign w:val="center"/>
          </w:tcPr>
          <w:p w14:paraId="710F3398"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6F3B3C23" w14:textId="77777777" w:rsidR="00990B14" w:rsidRDefault="00000000">
            <w:pPr>
              <w:keepNext/>
              <w:spacing w:before="20" w:after="20"/>
              <w:jc w:val="center"/>
            </w:pPr>
            <w:r>
              <w:rPr>
                <w:b/>
                <w:bCs/>
                <w:i/>
                <w:iCs/>
                <w:color w:val="FFFFFF"/>
                <w:sz w:val="18"/>
                <w:szCs w:val="18"/>
              </w:rPr>
              <w:t>Suficiente (51–80)</w:t>
            </w:r>
          </w:p>
        </w:tc>
        <w:tc>
          <w:tcPr>
            <w:tcW w:w="1837" w:type="dxa"/>
            <w:shd w:val="clear" w:color="auto" w:fill="4472C4"/>
            <w:vAlign w:val="center"/>
          </w:tcPr>
          <w:p w14:paraId="4E7EF689" w14:textId="77777777" w:rsidR="00990B14" w:rsidRDefault="00000000">
            <w:pPr>
              <w:keepNext/>
              <w:spacing w:before="20" w:after="20"/>
              <w:jc w:val="center"/>
            </w:pPr>
            <w:r>
              <w:rPr>
                <w:b/>
                <w:bCs/>
                <w:i/>
                <w:iCs/>
                <w:color w:val="FFFFFF"/>
                <w:sz w:val="18"/>
                <w:szCs w:val="18"/>
              </w:rPr>
              <w:t>Destacado (81–100)</w:t>
            </w:r>
          </w:p>
        </w:tc>
      </w:tr>
      <w:tr w:rsidR="00990B14" w14:paraId="5EE94B7D" w14:textId="77777777">
        <w:trPr>
          <w:cantSplit/>
          <w:jc w:val="center"/>
        </w:trPr>
        <w:tc>
          <w:tcPr>
            <w:tcW w:w="1807" w:type="dxa"/>
            <w:vMerge/>
            <w:shd w:val="clear" w:color="auto" w:fill="4472C4"/>
            <w:vAlign w:val="center"/>
          </w:tcPr>
          <w:p w14:paraId="542AFBFF" w14:textId="77777777" w:rsidR="00990B14" w:rsidRDefault="00990B14">
            <w:pPr>
              <w:spacing w:before="20" w:after="20"/>
            </w:pPr>
          </w:p>
        </w:tc>
        <w:tc>
          <w:tcPr>
            <w:tcW w:w="1910" w:type="dxa"/>
            <w:shd w:val="clear" w:color="auto" w:fill="D9E2F3"/>
            <w:vAlign w:val="center"/>
          </w:tcPr>
          <w:p w14:paraId="10123D15" w14:textId="77777777" w:rsidR="00990B14" w:rsidRDefault="00000000">
            <w:pPr>
              <w:spacing w:before="20" w:after="20"/>
              <w:jc w:val="both"/>
            </w:pPr>
            <w:r>
              <w:rPr>
                <w:sz w:val="18"/>
                <w:szCs w:val="18"/>
              </w:rPr>
              <w:t>Identificación de secciones</w:t>
            </w:r>
          </w:p>
        </w:tc>
        <w:tc>
          <w:tcPr>
            <w:tcW w:w="1836" w:type="dxa"/>
            <w:shd w:val="clear" w:color="auto" w:fill="D9E2F3"/>
            <w:vAlign w:val="center"/>
          </w:tcPr>
          <w:p w14:paraId="26BE0122" w14:textId="77777777" w:rsidR="00990B14" w:rsidRDefault="00000000">
            <w:pPr>
              <w:spacing w:before="20" w:after="20"/>
              <w:jc w:val="both"/>
            </w:pPr>
            <w:r>
              <w:rPr>
                <w:sz w:val="18"/>
                <w:szCs w:val="18"/>
              </w:rPr>
              <w:t>Omite secciones o departamentos.</w:t>
            </w:r>
          </w:p>
        </w:tc>
        <w:tc>
          <w:tcPr>
            <w:tcW w:w="2015" w:type="dxa"/>
            <w:shd w:val="clear" w:color="auto" w:fill="D9E2F3"/>
            <w:vAlign w:val="center"/>
          </w:tcPr>
          <w:p w14:paraId="623E3929" w14:textId="77777777" w:rsidR="00990B14" w:rsidRDefault="00000000">
            <w:pPr>
              <w:spacing w:before="20" w:after="20"/>
              <w:jc w:val="both"/>
            </w:pPr>
            <w:r>
              <w:rPr>
                <w:sz w:val="18"/>
                <w:szCs w:val="18"/>
              </w:rPr>
              <w:t>Identifica las secciones de superficie y sus costos.</w:t>
            </w:r>
          </w:p>
        </w:tc>
        <w:tc>
          <w:tcPr>
            <w:tcW w:w="1837" w:type="dxa"/>
            <w:shd w:val="clear" w:color="auto" w:fill="D9E2F3"/>
            <w:vAlign w:val="center"/>
          </w:tcPr>
          <w:p w14:paraId="0823C280" w14:textId="77777777" w:rsidR="00990B14" w:rsidRDefault="00000000">
            <w:pPr>
              <w:spacing w:before="20" w:after="20"/>
              <w:jc w:val="both"/>
            </w:pPr>
            <w:r>
              <w:rPr>
                <w:sz w:val="18"/>
                <w:szCs w:val="18"/>
              </w:rPr>
              <w:t>Distingue las secciones distribuibles de las no distribuibles.</w:t>
            </w:r>
          </w:p>
        </w:tc>
      </w:tr>
      <w:tr w:rsidR="00990B14" w14:paraId="466501AE" w14:textId="77777777">
        <w:trPr>
          <w:cantSplit/>
          <w:jc w:val="center"/>
        </w:trPr>
        <w:tc>
          <w:tcPr>
            <w:tcW w:w="1807" w:type="dxa"/>
            <w:vMerge/>
            <w:shd w:val="clear" w:color="auto" w:fill="4472C4"/>
            <w:vAlign w:val="center"/>
          </w:tcPr>
          <w:p w14:paraId="3701F3F2" w14:textId="77777777" w:rsidR="00990B14" w:rsidRDefault="00990B14">
            <w:pPr>
              <w:spacing w:before="20" w:after="20"/>
            </w:pPr>
          </w:p>
        </w:tc>
        <w:tc>
          <w:tcPr>
            <w:tcW w:w="1910" w:type="dxa"/>
            <w:shd w:val="clear" w:color="auto" w:fill="D9E2F3"/>
            <w:vAlign w:val="center"/>
          </w:tcPr>
          <w:p w14:paraId="60F85637" w14:textId="77777777" w:rsidR="00990B14" w:rsidRDefault="00000000">
            <w:pPr>
              <w:spacing w:before="20" w:after="20"/>
              <w:jc w:val="both"/>
            </w:pPr>
            <w:r>
              <w:rPr>
                <w:sz w:val="18"/>
                <w:szCs w:val="18"/>
              </w:rPr>
              <w:t>Clasificación de costos</w:t>
            </w:r>
          </w:p>
        </w:tc>
        <w:tc>
          <w:tcPr>
            <w:tcW w:w="1836" w:type="dxa"/>
            <w:shd w:val="clear" w:color="auto" w:fill="D9E2F3"/>
            <w:vAlign w:val="center"/>
          </w:tcPr>
          <w:p w14:paraId="32106AE0" w14:textId="77777777" w:rsidR="00990B14" w:rsidRDefault="00000000">
            <w:pPr>
              <w:spacing w:before="20" w:after="20"/>
              <w:jc w:val="both"/>
            </w:pPr>
            <w:r>
              <w:rPr>
                <w:sz w:val="18"/>
                <w:szCs w:val="18"/>
              </w:rPr>
              <w:t>Confunde los elementos del costo.</w:t>
            </w:r>
          </w:p>
        </w:tc>
        <w:tc>
          <w:tcPr>
            <w:tcW w:w="2015" w:type="dxa"/>
            <w:shd w:val="clear" w:color="auto" w:fill="D9E2F3"/>
            <w:vAlign w:val="center"/>
          </w:tcPr>
          <w:p w14:paraId="3AE0E69F" w14:textId="77777777" w:rsidR="00990B14" w:rsidRDefault="00000000">
            <w:pPr>
              <w:spacing w:before="20" w:after="20"/>
              <w:jc w:val="both"/>
            </w:pPr>
            <w:r>
              <w:rPr>
                <w:sz w:val="18"/>
                <w:szCs w:val="18"/>
              </w:rPr>
              <w:t>Clasifica los costos en mano de obra, materiales y gastos.</w:t>
            </w:r>
          </w:p>
        </w:tc>
        <w:tc>
          <w:tcPr>
            <w:tcW w:w="1837" w:type="dxa"/>
            <w:shd w:val="clear" w:color="auto" w:fill="D9E2F3"/>
            <w:vAlign w:val="center"/>
          </w:tcPr>
          <w:p w14:paraId="60FC3408" w14:textId="77777777" w:rsidR="00990B14" w:rsidRDefault="00000000">
            <w:pPr>
              <w:spacing w:before="20" w:after="20"/>
              <w:jc w:val="both"/>
            </w:pPr>
            <w:r>
              <w:rPr>
                <w:sz w:val="18"/>
                <w:szCs w:val="18"/>
              </w:rPr>
              <w:t>Justifica la clasificación con el control interno de cada sección.</w:t>
            </w:r>
          </w:p>
        </w:tc>
      </w:tr>
      <w:tr w:rsidR="00990B14" w14:paraId="7ED65DCD" w14:textId="77777777">
        <w:trPr>
          <w:cantSplit/>
          <w:jc w:val="center"/>
        </w:trPr>
        <w:tc>
          <w:tcPr>
            <w:tcW w:w="1807" w:type="dxa"/>
            <w:vMerge/>
            <w:shd w:val="clear" w:color="auto" w:fill="4472C4"/>
            <w:vAlign w:val="center"/>
          </w:tcPr>
          <w:p w14:paraId="2BFE43D5" w14:textId="77777777" w:rsidR="00990B14" w:rsidRDefault="00990B14">
            <w:pPr>
              <w:spacing w:before="20" w:after="20"/>
            </w:pPr>
          </w:p>
        </w:tc>
        <w:tc>
          <w:tcPr>
            <w:tcW w:w="1910" w:type="dxa"/>
            <w:shd w:val="clear" w:color="auto" w:fill="D9E2F3"/>
            <w:vAlign w:val="center"/>
          </w:tcPr>
          <w:p w14:paraId="547D1121" w14:textId="77777777" w:rsidR="00990B14" w:rsidRDefault="00000000">
            <w:pPr>
              <w:spacing w:before="20" w:after="20"/>
              <w:jc w:val="both"/>
            </w:pPr>
            <w:r>
              <w:rPr>
                <w:sz w:val="18"/>
                <w:szCs w:val="18"/>
              </w:rPr>
              <w:t>Exactitud</w:t>
            </w:r>
          </w:p>
        </w:tc>
        <w:tc>
          <w:tcPr>
            <w:tcW w:w="1836" w:type="dxa"/>
            <w:shd w:val="clear" w:color="auto" w:fill="D9E2F3"/>
            <w:vAlign w:val="center"/>
          </w:tcPr>
          <w:p w14:paraId="5D06F528" w14:textId="77777777" w:rsidR="00990B14" w:rsidRDefault="00000000">
            <w:pPr>
              <w:spacing w:before="20" w:after="20"/>
              <w:jc w:val="both"/>
            </w:pPr>
            <w:r>
              <w:rPr>
                <w:sz w:val="18"/>
                <w:szCs w:val="18"/>
              </w:rPr>
              <w:t>Presenta errores en los asientos.</w:t>
            </w:r>
          </w:p>
        </w:tc>
        <w:tc>
          <w:tcPr>
            <w:tcW w:w="2015" w:type="dxa"/>
            <w:shd w:val="clear" w:color="auto" w:fill="D9E2F3"/>
            <w:vAlign w:val="center"/>
          </w:tcPr>
          <w:p w14:paraId="6EF7D506" w14:textId="77777777" w:rsidR="00990B14" w:rsidRDefault="00000000">
            <w:pPr>
              <w:spacing w:before="20" w:after="20"/>
              <w:jc w:val="both"/>
            </w:pPr>
            <w:r>
              <w:rPr>
                <w:sz w:val="18"/>
                <w:szCs w:val="18"/>
              </w:rPr>
              <w:t>Los asientos son correctos y cuadran.</w:t>
            </w:r>
          </w:p>
        </w:tc>
        <w:tc>
          <w:tcPr>
            <w:tcW w:w="1837" w:type="dxa"/>
            <w:shd w:val="clear" w:color="auto" w:fill="D9E2F3"/>
            <w:vAlign w:val="center"/>
          </w:tcPr>
          <w:p w14:paraId="34B42AAF" w14:textId="77777777" w:rsidR="00990B14" w:rsidRDefault="00000000">
            <w:pPr>
              <w:spacing w:before="20" w:after="20"/>
              <w:jc w:val="both"/>
            </w:pPr>
            <w:r>
              <w:rPr>
                <w:sz w:val="18"/>
                <w:szCs w:val="18"/>
              </w:rPr>
              <w:t>Concilia los registros con el mayor.</w:t>
            </w:r>
          </w:p>
        </w:tc>
      </w:tr>
      <w:tr w:rsidR="00990B14" w14:paraId="7ED8C8D8" w14:textId="77777777">
        <w:trPr>
          <w:cantSplit/>
          <w:jc w:val="center"/>
        </w:trPr>
        <w:tc>
          <w:tcPr>
            <w:tcW w:w="1807" w:type="dxa"/>
            <w:vMerge/>
            <w:shd w:val="clear" w:color="auto" w:fill="4472C4"/>
            <w:vAlign w:val="center"/>
          </w:tcPr>
          <w:p w14:paraId="00D986B3" w14:textId="77777777" w:rsidR="00990B14" w:rsidRDefault="00990B14">
            <w:pPr>
              <w:spacing w:before="20" w:after="20"/>
            </w:pPr>
          </w:p>
        </w:tc>
        <w:tc>
          <w:tcPr>
            <w:tcW w:w="5761" w:type="dxa"/>
            <w:gridSpan w:val="3"/>
            <w:shd w:val="clear" w:color="auto" w:fill="D9E2F3"/>
            <w:vAlign w:val="center"/>
          </w:tcPr>
          <w:p w14:paraId="34113301" w14:textId="77777777" w:rsidR="00990B14" w:rsidRDefault="00000000">
            <w:pPr>
              <w:keepNext/>
              <w:spacing w:before="20" w:after="20"/>
              <w:jc w:val="both"/>
            </w:pPr>
            <w:r>
              <w:rPr>
                <w:b/>
                <w:bCs/>
                <w:i/>
                <w:iCs/>
                <w:sz w:val="18"/>
                <w:szCs w:val="18"/>
              </w:rPr>
              <w:t xml:space="preserve">Producto 8: </w:t>
            </w:r>
            <w:r>
              <w:rPr>
                <w:sz w:val="18"/>
                <w:szCs w:val="18"/>
              </w:rPr>
              <w:t>Planilla de distribución de los costos de superficie a costo mina y costo ingenio</w:t>
            </w:r>
          </w:p>
        </w:tc>
        <w:tc>
          <w:tcPr>
            <w:tcW w:w="1837" w:type="dxa"/>
            <w:shd w:val="clear" w:color="auto" w:fill="D9E2F3"/>
            <w:vAlign w:val="center"/>
          </w:tcPr>
          <w:p w14:paraId="12DE8D20" w14:textId="77777777" w:rsidR="00990B14" w:rsidRDefault="00000000">
            <w:pPr>
              <w:spacing w:before="20" w:after="20"/>
              <w:jc w:val="center"/>
            </w:pPr>
            <w:r>
              <w:rPr>
                <w:b/>
                <w:bCs/>
                <w:sz w:val="18"/>
                <w:szCs w:val="18"/>
              </w:rPr>
              <w:t>3%</w:t>
            </w:r>
          </w:p>
        </w:tc>
      </w:tr>
      <w:tr w:rsidR="00990B14" w14:paraId="7A0250FD" w14:textId="77777777">
        <w:trPr>
          <w:cantSplit/>
          <w:jc w:val="center"/>
        </w:trPr>
        <w:tc>
          <w:tcPr>
            <w:tcW w:w="1807" w:type="dxa"/>
            <w:vMerge/>
            <w:shd w:val="clear" w:color="auto" w:fill="4472C4"/>
            <w:vAlign w:val="center"/>
          </w:tcPr>
          <w:p w14:paraId="5D9E0236" w14:textId="77777777" w:rsidR="00990B14" w:rsidRDefault="00990B14">
            <w:pPr>
              <w:spacing w:before="20" w:after="20"/>
            </w:pPr>
          </w:p>
        </w:tc>
        <w:tc>
          <w:tcPr>
            <w:tcW w:w="1910" w:type="dxa"/>
            <w:shd w:val="clear" w:color="auto" w:fill="4472C4"/>
            <w:vAlign w:val="center"/>
          </w:tcPr>
          <w:p w14:paraId="11C7BDE4" w14:textId="77777777" w:rsidR="00990B14" w:rsidRDefault="00000000">
            <w:pPr>
              <w:keepNext/>
              <w:spacing w:before="20" w:after="20"/>
              <w:jc w:val="center"/>
            </w:pPr>
            <w:r>
              <w:rPr>
                <w:b/>
                <w:bCs/>
                <w:i/>
                <w:iCs/>
                <w:color w:val="FFFFFF"/>
                <w:sz w:val="18"/>
                <w:szCs w:val="18"/>
              </w:rPr>
              <w:t>Criterio</w:t>
            </w:r>
          </w:p>
        </w:tc>
        <w:tc>
          <w:tcPr>
            <w:tcW w:w="1836" w:type="dxa"/>
            <w:shd w:val="clear" w:color="auto" w:fill="4472C4"/>
            <w:vAlign w:val="center"/>
          </w:tcPr>
          <w:p w14:paraId="36CC995D"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62244DD7" w14:textId="77777777" w:rsidR="00990B14" w:rsidRDefault="00000000">
            <w:pPr>
              <w:keepNext/>
              <w:spacing w:before="20" w:after="20"/>
              <w:jc w:val="center"/>
            </w:pPr>
            <w:r>
              <w:rPr>
                <w:b/>
                <w:bCs/>
                <w:i/>
                <w:iCs/>
                <w:color w:val="FFFFFF"/>
                <w:sz w:val="18"/>
                <w:szCs w:val="18"/>
              </w:rPr>
              <w:t>Suficiente (51–80)</w:t>
            </w:r>
          </w:p>
        </w:tc>
        <w:tc>
          <w:tcPr>
            <w:tcW w:w="1837" w:type="dxa"/>
            <w:shd w:val="clear" w:color="auto" w:fill="4472C4"/>
            <w:vAlign w:val="center"/>
          </w:tcPr>
          <w:p w14:paraId="25CB0EC5" w14:textId="77777777" w:rsidR="00990B14" w:rsidRDefault="00000000">
            <w:pPr>
              <w:keepNext/>
              <w:spacing w:before="20" w:after="20"/>
              <w:jc w:val="center"/>
            </w:pPr>
            <w:r>
              <w:rPr>
                <w:b/>
                <w:bCs/>
                <w:i/>
                <w:iCs/>
                <w:color w:val="FFFFFF"/>
                <w:sz w:val="18"/>
                <w:szCs w:val="18"/>
              </w:rPr>
              <w:t>Destacado (81–100)</w:t>
            </w:r>
          </w:p>
        </w:tc>
      </w:tr>
      <w:tr w:rsidR="00990B14" w14:paraId="4B183456" w14:textId="77777777">
        <w:trPr>
          <w:cantSplit/>
          <w:jc w:val="center"/>
        </w:trPr>
        <w:tc>
          <w:tcPr>
            <w:tcW w:w="1807" w:type="dxa"/>
            <w:vMerge/>
            <w:shd w:val="clear" w:color="auto" w:fill="4472C4"/>
            <w:vAlign w:val="center"/>
          </w:tcPr>
          <w:p w14:paraId="45E9E74E" w14:textId="77777777" w:rsidR="00990B14" w:rsidRDefault="00990B14">
            <w:pPr>
              <w:spacing w:before="20" w:after="20"/>
            </w:pPr>
          </w:p>
        </w:tc>
        <w:tc>
          <w:tcPr>
            <w:tcW w:w="1910" w:type="dxa"/>
            <w:shd w:val="clear" w:color="auto" w:fill="D9E2F3"/>
            <w:vAlign w:val="center"/>
          </w:tcPr>
          <w:p w14:paraId="395B7CAB" w14:textId="77777777" w:rsidR="00990B14" w:rsidRDefault="00000000">
            <w:pPr>
              <w:spacing w:before="20" w:after="20"/>
              <w:jc w:val="both"/>
            </w:pPr>
            <w:r>
              <w:rPr>
                <w:sz w:val="18"/>
                <w:szCs w:val="18"/>
              </w:rPr>
              <w:t>Bases de distribución</w:t>
            </w:r>
          </w:p>
        </w:tc>
        <w:tc>
          <w:tcPr>
            <w:tcW w:w="1836" w:type="dxa"/>
            <w:shd w:val="clear" w:color="auto" w:fill="D9E2F3"/>
            <w:vAlign w:val="center"/>
          </w:tcPr>
          <w:p w14:paraId="05CA8417" w14:textId="77777777" w:rsidR="00990B14" w:rsidRDefault="00000000">
            <w:pPr>
              <w:spacing w:before="20" w:after="20"/>
              <w:jc w:val="both"/>
            </w:pPr>
            <w:r>
              <w:rPr>
                <w:sz w:val="18"/>
                <w:szCs w:val="18"/>
              </w:rPr>
              <w:t>Distribuye sin base.</w:t>
            </w:r>
          </w:p>
        </w:tc>
        <w:tc>
          <w:tcPr>
            <w:tcW w:w="2015" w:type="dxa"/>
            <w:shd w:val="clear" w:color="auto" w:fill="D9E2F3"/>
            <w:vAlign w:val="center"/>
          </w:tcPr>
          <w:p w14:paraId="453A2346" w14:textId="77777777" w:rsidR="00990B14" w:rsidRDefault="00000000">
            <w:pPr>
              <w:spacing w:before="20" w:after="20"/>
              <w:jc w:val="both"/>
            </w:pPr>
            <w:r>
              <w:rPr>
                <w:sz w:val="18"/>
                <w:szCs w:val="18"/>
              </w:rPr>
              <w:t>Aplica bases de distribución adecuadas.</w:t>
            </w:r>
          </w:p>
        </w:tc>
        <w:tc>
          <w:tcPr>
            <w:tcW w:w="1837" w:type="dxa"/>
            <w:shd w:val="clear" w:color="auto" w:fill="D9E2F3"/>
            <w:vAlign w:val="center"/>
          </w:tcPr>
          <w:p w14:paraId="626801C1" w14:textId="77777777" w:rsidR="00990B14" w:rsidRDefault="00000000">
            <w:pPr>
              <w:spacing w:before="20" w:after="20"/>
              <w:jc w:val="both"/>
            </w:pPr>
            <w:r>
              <w:rPr>
                <w:sz w:val="18"/>
                <w:szCs w:val="18"/>
              </w:rPr>
              <w:t>Justifica cada base con datos reales de consumo o servicio.</w:t>
            </w:r>
          </w:p>
        </w:tc>
      </w:tr>
      <w:tr w:rsidR="00990B14" w14:paraId="4473261C" w14:textId="77777777">
        <w:trPr>
          <w:cantSplit/>
          <w:jc w:val="center"/>
        </w:trPr>
        <w:tc>
          <w:tcPr>
            <w:tcW w:w="1807" w:type="dxa"/>
            <w:vMerge/>
            <w:shd w:val="clear" w:color="auto" w:fill="4472C4"/>
            <w:vAlign w:val="center"/>
          </w:tcPr>
          <w:p w14:paraId="7A9C9E4E" w14:textId="77777777" w:rsidR="00990B14" w:rsidRDefault="00990B14">
            <w:pPr>
              <w:spacing w:before="20" w:after="20"/>
            </w:pPr>
          </w:p>
        </w:tc>
        <w:tc>
          <w:tcPr>
            <w:tcW w:w="1910" w:type="dxa"/>
            <w:shd w:val="clear" w:color="auto" w:fill="D9E2F3"/>
            <w:vAlign w:val="center"/>
          </w:tcPr>
          <w:p w14:paraId="65721915" w14:textId="77777777" w:rsidR="00990B14" w:rsidRDefault="00000000">
            <w:pPr>
              <w:spacing w:before="20" w:after="20"/>
              <w:jc w:val="both"/>
            </w:pPr>
            <w:r>
              <w:rPr>
                <w:sz w:val="18"/>
                <w:szCs w:val="18"/>
              </w:rPr>
              <w:t>Distribución</w:t>
            </w:r>
          </w:p>
        </w:tc>
        <w:tc>
          <w:tcPr>
            <w:tcW w:w="1836" w:type="dxa"/>
            <w:shd w:val="clear" w:color="auto" w:fill="D9E2F3"/>
            <w:vAlign w:val="center"/>
          </w:tcPr>
          <w:p w14:paraId="6539397B" w14:textId="77777777" w:rsidR="00990B14" w:rsidRDefault="00000000">
            <w:pPr>
              <w:spacing w:before="20" w:after="20"/>
              <w:jc w:val="both"/>
            </w:pPr>
            <w:r>
              <w:rPr>
                <w:sz w:val="18"/>
                <w:szCs w:val="18"/>
              </w:rPr>
              <w:t>Distribuye con errores.</w:t>
            </w:r>
          </w:p>
        </w:tc>
        <w:tc>
          <w:tcPr>
            <w:tcW w:w="2015" w:type="dxa"/>
            <w:shd w:val="clear" w:color="auto" w:fill="D9E2F3"/>
            <w:vAlign w:val="center"/>
          </w:tcPr>
          <w:p w14:paraId="5F5F1161" w14:textId="77777777" w:rsidR="00990B14" w:rsidRDefault="00000000">
            <w:pPr>
              <w:spacing w:before="20" w:after="20"/>
              <w:jc w:val="both"/>
            </w:pPr>
            <w:r>
              <w:rPr>
                <w:sz w:val="18"/>
                <w:szCs w:val="18"/>
              </w:rPr>
              <w:t>Asigna los costos a costo mina y a costo ingenio.</w:t>
            </w:r>
          </w:p>
        </w:tc>
        <w:tc>
          <w:tcPr>
            <w:tcW w:w="1837" w:type="dxa"/>
            <w:shd w:val="clear" w:color="auto" w:fill="D9E2F3"/>
            <w:vAlign w:val="center"/>
          </w:tcPr>
          <w:p w14:paraId="5D2A8D14" w14:textId="77777777" w:rsidR="00990B14" w:rsidRDefault="00000000">
            <w:pPr>
              <w:spacing w:before="20" w:after="20"/>
              <w:jc w:val="both"/>
            </w:pPr>
            <w:r>
              <w:rPr>
                <w:sz w:val="18"/>
                <w:szCs w:val="18"/>
              </w:rPr>
              <w:t>Concilia los costos distribuidos con los registrados.</w:t>
            </w:r>
          </w:p>
        </w:tc>
      </w:tr>
      <w:tr w:rsidR="00990B14" w14:paraId="24712620" w14:textId="77777777">
        <w:trPr>
          <w:cantSplit/>
          <w:jc w:val="center"/>
        </w:trPr>
        <w:tc>
          <w:tcPr>
            <w:tcW w:w="1807" w:type="dxa"/>
            <w:vMerge/>
            <w:shd w:val="clear" w:color="auto" w:fill="4472C4"/>
            <w:vAlign w:val="center"/>
          </w:tcPr>
          <w:p w14:paraId="1089E4F4" w14:textId="77777777" w:rsidR="00990B14" w:rsidRDefault="00990B14">
            <w:pPr>
              <w:spacing w:before="20" w:after="20"/>
            </w:pPr>
          </w:p>
        </w:tc>
        <w:tc>
          <w:tcPr>
            <w:tcW w:w="1910" w:type="dxa"/>
            <w:shd w:val="clear" w:color="auto" w:fill="D9E2F3"/>
            <w:vAlign w:val="center"/>
          </w:tcPr>
          <w:p w14:paraId="152123E2" w14:textId="77777777" w:rsidR="00990B14" w:rsidRDefault="00000000">
            <w:pPr>
              <w:spacing w:before="20" w:after="20"/>
              <w:jc w:val="both"/>
            </w:pPr>
            <w:r>
              <w:rPr>
                <w:sz w:val="18"/>
                <w:szCs w:val="18"/>
              </w:rPr>
              <w:t>Trabajo en equipo</w:t>
            </w:r>
          </w:p>
        </w:tc>
        <w:tc>
          <w:tcPr>
            <w:tcW w:w="1836" w:type="dxa"/>
            <w:shd w:val="clear" w:color="auto" w:fill="D9E2F3"/>
            <w:vAlign w:val="center"/>
          </w:tcPr>
          <w:p w14:paraId="336A5444" w14:textId="77777777" w:rsidR="00990B14" w:rsidRDefault="00000000">
            <w:pPr>
              <w:spacing w:before="20" w:after="20"/>
              <w:jc w:val="both"/>
            </w:pPr>
            <w:r>
              <w:rPr>
                <w:sz w:val="18"/>
                <w:szCs w:val="18"/>
              </w:rPr>
              <w:t>La participación es desigual.</w:t>
            </w:r>
          </w:p>
        </w:tc>
        <w:tc>
          <w:tcPr>
            <w:tcW w:w="2015" w:type="dxa"/>
            <w:shd w:val="clear" w:color="auto" w:fill="D9E2F3"/>
            <w:vAlign w:val="center"/>
          </w:tcPr>
          <w:p w14:paraId="112F9344" w14:textId="77777777" w:rsidR="00990B14" w:rsidRDefault="00000000">
            <w:pPr>
              <w:spacing w:before="20" w:after="20"/>
              <w:jc w:val="both"/>
            </w:pPr>
            <w:r>
              <w:rPr>
                <w:sz w:val="18"/>
                <w:szCs w:val="18"/>
              </w:rPr>
              <w:t>Todos los integrantes participan.</w:t>
            </w:r>
          </w:p>
        </w:tc>
        <w:tc>
          <w:tcPr>
            <w:tcW w:w="1837" w:type="dxa"/>
            <w:shd w:val="clear" w:color="auto" w:fill="D9E2F3"/>
            <w:vAlign w:val="center"/>
          </w:tcPr>
          <w:p w14:paraId="69315405" w14:textId="77777777" w:rsidR="00990B14" w:rsidRDefault="00000000">
            <w:pPr>
              <w:spacing w:before="20" w:after="20"/>
              <w:jc w:val="both"/>
            </w:pPr>
            <w:r>
              <w:rPr>
                <w:sz w:val="18"/>
                <w:szCs w:val="18"/>
              </w:rPr>
              <w:t>El equipo sustenta sus conclusiones ante el curso.</w:t>
            </w:r>
          </w:p>
        </w:tc>
      </w:tr>
      <w:tr w:rsidR="00990B14" w14:paraId="199B2D8E" w14:textId="77777777">
        <w:trPr>
          <w:cantSplit/>
          <w:jc w:val="center"/>
        </w:trPr>
        <w:tc>
          <w:tcPr>
            <w:tcW w:w="1807" w:type="dxa"/>
            <w:vMerge/>
            <w:shd w:val="clear" w:color="auto" w:fill="4472C4"/>
            <w:vAlign w:val="center"/>
          </w:tcPr>
          <w:p w14:paraId="23D05917" w14:textId="77777777" w:rsidR="00990B14" w:rsidRDefault="00990B14">
            <w:pPr>
              <w:spacing w:before="20" w:after="20"/>
            </w:pPr>
          </w:p>
        </w:tc>
        <w:tc>
          <w:tcPr>
            <w:tcW w:w="5761" w:type="dxa"/>
            <w:gridSpan w:val="3"/>
            <w:shd w:val="clear" w:color="auto" w:fill="D9E2F3"/>
            <w:vAlign w:val="center"/>
          </w:tcPr>
          <w:p w14:paraId="0AF69B6E" w14:textId="77777777" w:rsidR="00990B14" w:rsidRDefault="00000000">
            <w:pPr>
              <w:keepNext/>
              <w:spacing w:before="20" w:after="20"/>
              <w:jc w:val="both"/>
            </w:pPr>
            <w:r>
              <w:rPr>
                <w:b/>
                <w:bCs/>
                <w:i/>
                <w:iCs/>
                <w:sz w:val="18"/>
                <w:szCs w:val="18"/>
              </w:rPr>
              <w:t xml:space="preserve">Producto 9: </w:t>
            </w:r>
            <w:r>
              <w:rPr>
                <w:sz w:val="18"/>
                <w:szCs w:val="18"/>
              </w:rPr>
              <w:t>Libro diario de las operaciones de explotación minera</w:t>
            </w:r>
          </w:p>
        </w:tc>
        <w:tc>
          <w:tcPr>
            <w:tcW w:w="1837" w:type="dxa"/>
            <w:shd w:val="clear" w:color="auto" w:fill="D9E2F3"/>
            <w:vAlign w:val="center"/>
          </w:tcPr>
          <w:p w14:paraId="31B576CC" w14:textId="77777777" w:rsidR="00990B14" w:rsidRDefault="00000000">
            <w:pPr>
              <w:spacing w:before="20" w:after="20"/>
              <w:jc w:val="center"/>
            </w:pPr>
            <w:r>
              <w:rPr>
                <w:b/>
                <w:bCs/>
                <w:sz w:val="18"/>
                <w:szCs w:val="18"/>
              </w:rPr>
              <w:t>4%</w:t>
            </w:r>
          </w:p>
        </w:tc>
      </w:tr>
      <w:tr w:rsidR="00990B14" w14:paraId="3631D6D8" w14:textId="77777777">
        <w:trPr>
          <w:cantSplit/>
          <w:jc w:val="center"/>
        </w:trPr>
        <w:tc>
          <w:tcPr>
            <w:tcW w:w="1807" w:type="dxa"/>
            <w:vMerge/>
            <w:shd w:val="clear" w:color="auto" w:fill="4472C4"/>
            <w:vAlign w:val="center"/>
          </w:tcPr>
          <w:p w14:paraId="712F51F6" w14:textId="77777777" w:rsidR="00990B14" w:rsidRDefault="00990B14">
            <w:pPr>
              <w:spacing w:before="20" w:after="20"/>
            </w:pPr>
          </w:p>
        </w:tc>
        <w:tc>
          <w:tcPr>
            <w:tcW w:w="1910" w:type="dxa"/>
            <w:shd w:val="clear" w:color="auto" w:fill="4472C4"/>
            <w:vAlign w:val="center"/>
          </w:tcPr>
          <w:p w14:paraId="3F683F1B" w14:textId="77777777" w:rsidR="00990B14" w:rsidRDefault="00000000">
            <w:pPr>
              <w:keepNext/>
              <w:spacing w:before="20" w:after="20"/>
              <w:jc w:val="center"/>
            </w:pPr>
            <w:r>
              <w:rPr>
                <w:b/>
                <w:bCs/>
                <w:i/>
                <w:iCs/>
                <w:color w:val="FFFFFF"/>
                <w:sz w:val="18"/>
                <w:szCs w:val="18"/>
              </w:rPr>
              <w:t>Criterio</w:t>
            </w:r>
          </w:p>
        </w:tc>
        <w:tc>
          <w:tcPr>
            <w:tcW w:w="1836" w:type="dxa"/>
            <w:shd w:val="clear" w:color="auto" w:fill="4472C4"/>
            <w:vAlign w:val="center"/>
          </w:tcPr>
          <w:p w14:paraId="1D49C8A6"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32A359FA" w14:textId="77777777" w:rsidR="00990B14" w:rsidRDefault="00000000">
            <w:pPr>
              <w:keepNext/>
              <w:spacing w:before="20" w:after="20"/>
              <w:jc w:val="center"/>
            </w:pPr>
            <w:r>
              <w:rPr>
                <w:b/>
                <w:bCs/>
                <w:i/>
                <w:iCs/>
                <w:color w:val="FFFFFF"/>
                <w:sz w:val="18"/>
                <w:szCs w:val="18"/>
              </w:rPr>
              <w:t>Suficiente (51–80)</w:t>
            </w:r>
          </w:p>
        </w:tc>
        <w:tc>
          <w:tcPr>
            <w:tcW w:w="1837" w:type="dxa"/>
            <w:shd w:val="clear" w:color="auto" w:fill="4472C4"/>
            <w:vAlign w:val="center"/>
          </w:tcPr>
          <w:p w14:paraId="3FBFA536" w14:textId="77777777" w:rsidR="00990B14" w:rsidRDefault="00000000">
            <w:pPr>
              <w:keepNext/>
              <w:spacing w:before="20" w:after="20"/>
              <w:jc w:val="center"/>
            </w:pPr>
            <w:r>
              <w:rPr>
                <w:b/>
                <w:bCs/>
                <w:i/>
                <w:iCs/>
                <w:color w:val="FFFFFF"/>
                <w:sz w:val="18"/>
                <w:szCs w:val="18"/>
              </w:rPr>
              <w:t>Destacado (81–100)</w:t>
            </w:r>
          </w:p>
        </w:tc>
      </w:tr>
      <w:tr w:rsidR="00990B14" w14:paraId="5BE9E958" w14:textId="77777777">
        <w:trPr>
          <w:cantSplit/>
          <w:jc w:val="center"/>
        </w:trPr>
        <w:tc>
          <w:tcPr>
            <w:tcW w:w="1807" w:type="dxa"/>
            <w:vMerge/>
            <w:shd w:val="clear" w:color="auto" w:fill="4472C4"/>
            <w:vAlign w:val="center"/>
          </w:tcPr>
          <w:p w14:paraId="310BE839" w14:textId="77777777" w:rsidR="00990B14" w:rsidRDefault="00990B14">
            <w:pPr>
              <w:spacing w:before="20" w:after="20"/>
            </w:pPr>
          </w:p>
        </w:tc>
        <w:tc>
          <w:tcPr>
            <w:tcW w:w="1910" w:type="dxa"/>
            <w:shd w:val="clear" w:color="auto" w:fill="D9E2F3"/>
            <w:vAlign w:val="center"/>
          </w:tcPr>
          <w:p w14:paraId="30D89EB0" w14:textId="77777777" w:rsidR="00990B14" w:rsidRDefault="00000000">
            <w:pPr>
              <w:spacing w:before="20" w:after="20"/>
              <w:jc w:val="both"/>
            </w:pPr>
            <w:r>
              <w:rPr>
                <w:sz w:val="18"/>
                <w:szCs w:val="18"/>
              </w:rPr>
              <w:t>Labores de explotación</w:t>
            </w:r>
          </w:p>
        </w:tc>
        <w:tc>
          <w:tcPr>
            <w:tcW w:w="1836" w:type="dxa"/>
            <w:shd w:val="clear" w:color="auto" w:fill="D9E2F3"/>
            <w:vAlign w:val="center"/>
          </w:tcPr>
          <w:p w14:paraId="014C8076" w14:textId="77777777" w:rsidR="00990B14" w:rsidRDefault="00000000">
            <w:pPr>
              <w:spacing w:before="20" w:after="20"/>
              <w:jc w:val="both"/>
            </w:pPr>
            <w:r>
              <w:rPr>
                <w:sz w:val="18"/>
                <w:szCs w:val="18"/>
              </w:rPr>
              <w:t>Omite labores o servicios auxiliares.</w:t>
            </w:r>
          </w:p>
        </w:tc>
        <w:tc>
          <w:tcPr>
            <w:tcW w:w="2015" w:type="dxa"/>
            <w:shd w:val="clear" w:color="auto" w:fill="D9E2F3"/>
            <w:vAlign w:val="center"/>
          </w:tcPr>
          <w:p w14:paraId="6EE8DD05" w14:textId="77777777" w:rsidR="00990B14" w:rsidRDefault="00000000">
            <w:pPr>
              <w:spacing w:before="20" w:after="20"/>
              <w:jc w:val="both"/>
            </w:pPr>
            <w:r>
              <w:rPr>
                <w:sz w:val="18"/>
                <w:szCs w:val="18"/>
              </w:rPr>
              <w:t>Registra las labores de interior mina y de cielo abierto.</w:t>
            </w:r>
          </w:p>
        </w:tc>
        <w:tc>
          <w:tcPr>
            <w:tcW w:w="1837" w:type="dxa"/>
            <w:shd w:val="clear" w:color="auto" w:fill="D9E2F3"/>
            <w:vAlign w:val="center"/>
          </w:tcPr>
          <w:p w14:paraId="767404D2" w14:textId="77777777" w:rsidR="00990B14" w:rsidRDefault="00000000">
            <w:pPr>
              <w:spacing w:before="20" w:after="20"/>
              <w:jc w:val="both"/>
            </w:pPr>
            <w:r>
              <w:rPr>
                <w:sz w:val="18"/>
                <w:szCs w:val="18"/>
              </w:rPr>
              <w:t>Distingue las labores que se capitalizan de las que van al costo.</w:t>
            </w:r>
          </w:p>
        </w:tc>
      </w:tr>
      <w:tr w:rsidR="00990B14" w14:paraId="12463CF9" w14:textId="77777777">
        <w:trPr>
          <w:cantSplit/>
          <w:jc w:val="center"/>
        </w:trPr>
        <w:tc>
          <w:tcPr>
            <w:tcW w:w="1807" w:type="dxa"/>
            <w:vMerge/>
            <w:shd w:val="clear" w:color="auto" w:fill="4472C4"/>
            <w:vAlign w:val="center"/>
          </w:tcPr>
          <w:p w14:paraId="37A9B4F4" w14:textId="77777777" w:rsidR="00990B14" w:rsidRDefault="00990B14">
            <w:pPr>
              <w:spacing w:before="20" w:after="20"/>
            </w:pPr>
          </w:p>
        </w:tc>
        <w:tc>
          <w:tcPr>
            <w:tcW w:w="1910" w:type="dxa"/>
            <w:shd w:val="clear" w:color="auto" w:fill="D9E2F3"/>
            <w:vAlign w:val="center"/>
          </w:tcPr>
          <w:p w14:paraId="048FC245" w14:textId="77777777" w:rsidR="00990B14" w:rsidRDefault="00000000">
            <w:pPr>
              <w:spacing w:before="20" w:after="20"/>
              <w:jc w:val="both"/>
            </w:pPr>
            <w:r>
              <w:rPr>
                <w:sz w:val="18"/>
                <w:szCs w:val="18"/>
              </w:rPr>
              <w:t>Clasificación de costos</w:t>
            </w:r>
          </w:p>
        </w:tc>
        <w:tc>
          <w:tcPr>
            <w:tcW w:w="1836" w:type="dxa"/>
            <w:shd w:val="clear" w:color="auto" w:fill="D9E2F3"/>
            <w:vAlign w:val="center"/>
          </w:tcPr>
          <w:p w14:paraId="1A1C8B70" w14:textId="77777777" w:rsidR="00990B14" w:rsidRDefault="00000000">
            <w:pPr>
              <w:spacing w:before="20" w:after="20"/>
              <w:jc w:val="both"/>
            </w:pPr>
            <w:r>
              <w:rPr>
                <w:sz w:val="18"/>
                <w:szCs w:val="18"/>
              </w:rPr>
              <w:t>Mezcla los elementos del costo.</w:t>
            </w:r>
          </w:p>
        </w:tc>
        <w:tc>
          <w:tcPr>
            <w:tcW w:w="2015" w:type="dxa"/>
            <w:shd w:val="clear" w:color="auto" w:fill="D9E2F3"/>
            <w:vAlign w:val="center"/>
          </w:tcPr>
          <w:p w14:paraId="541E0E45" w14:textId="77777777" w:rsidR="00990B14" w:rsidRDefault="00000000">
            <w:pPr>
              <w:spacing w:before="20" w:after="20"/>
              <w:jc w:val="both"/>
            </w:pPr>
            <w:r>
              <w:rPr>
                <w:sz w:val="18"/>
                <w:szCs w:val="18"/>
              </w:rPr>
              <w:t>Registra labor directa, labor indirecta, materiales y gastos.</w:t>
            </w:r>
          </w:p>
        </w:tc>
        <w:tc>
          <w:tcPr>
            <w:tcW w:w="1837" w:type="dxa"/>
            <w:shd w:val="clear" w:color="auto" w:fill="D9E2F3"/>
            <w:vAlign w:val="center"/>
          </w:tcPr>
          <w:p w14:paraId="20164AF4" w14:textId="77777777" w:rsidR="00990B14" w:rsidRDefault="00000000">
            <w:pPr>
              <w:spacing w:before="20" w:after="20"/>
              <w:jc w:val="both"/>
            </w:pPr>
            <w:r>
              <w:rPr>
                <w:sz w:val="18"/>
                <w:szCs w:val="18"/>
              </w:rPr>
              <w:t>Acumula los costos por sección de interior mina.</w:t>
            </w:r>
          </w:p>
        </w:tc>
      </w:tr>
      <w:tr w:rsidR="00990B14" w14:paraId="4CF41049" w14:textId="77777777">
        <w:trPr>
          <w:cantSplit/>
          <w:jc w:val="center"/>
        </w:trPr>
        <w:tc>
          <w:tcPr>
            <w:tcW w:w="1807" w:type="dxa"/>
            <w:vMerge/>
            <w:shd w:val="clear" w:color="auto" w:fill="4472C4"/>
            <w:vAlign w:val="center"/>
          </w:tcPr>
          <w:p w14:paraId="2B9DD721" w14:textId="77777777" w:rsidR="00990B14" w:rsidRDefault="00990B14">
            <w:pPr>
              <w:spacing w:before="20" w:after="20"/>
            </w:pPr>
          </w:p>
        </w:tc>
        <w:tc>
          <w:tcPr>
            <w:tcW w:w="1910" w:type="dxa"/>
            <w:shd w:val="clear" w:color="auto" w:fill="D9E2F3"/>
            <w:vAlign w:val="center"/>
          </w:tcPr>
          <w:p w14:paraId="6152C914" w14:textId="77777777" w:rsidR="00990B14" w:rsidRDefault="00000000">
            <w:pPr>
              <w:spacing w:before="20" w:after="20"/>
              <w:jc w:val="both"/>
            </w:pPr>
            <w:r>
              <w:rPr>
                <w:sz w:val="18"/>
                <w:szCs w:val="18"/>
              </w:rPr>
              <w:t>Exactitud</w:t>
            </w:r>
          </w:p>
        </w:tc>
        <w:tc>
          <w:tcPr>
            <w:tcW w:w="1836" w:type="dxa"/>
            <w:shd w:val="clear" w:color="auto" w:fill="D9E2F3"/>
            <w:vAlign w:val="center"/>
          </w:tcPr>
          <w:p w14:paraId="3FF8F808" w14:textId="77777777" w:rsidR="00990B14" w:rsidRDefault="00000000">
            <w:pPr>
              <w:spacing w:before="20" w:after="20"/>
              <w:jc w:val="both"/>
            </w:pPr>
            <w:r>
              <w:rPr>
                <w:sz w:val="18"/>
                <w:szCs w:val="18"/>
              </w:rPr>
              <w:t>Presenta errores en los asientos.</w:t>
            </w:r>
          </w:p>
        </w:tc>
        <w:tc>
          <w:tcPr>
            <w:tcW w:w="2015" w:type="dxa"/>
            <w:shd w:val="clear" w:color="auto" w:fill="D9E2F3"/>
            <w:vAlign w:val="center"/>
          </w:tcPr>
          <w:p w14:paraId="4D5016BC" w14:textId="77777777" w:rsidR="00990B14" w:rsidRDefault="00000000">
            <w:pPr>
              <w:spacing w:before="20" w:after="20"/>
              <w:jc w:val="both"/>
            </w:pPr>
            <w:r>
              <w:rPr>
                <w:sz w:val="18"/>
                <w:szCs w:val="18"/>
              </w:rPr>
              <w:t>Los asientos son correctos y cuadran.</w:t>
            </w:r>
          </w:p>
        </w:tc>
        <w:tc>
          <w:tcPr>
            <w:tcW w:w="1837" w:type="dxa"/>
            <w:shd w:val="clear" w:color="auto" w:fill="D9E2F3"/>
            <w:vAlign w:val="center"/>
          </w:tcPr>
          <w:p w14:paraId="1484FD3F" w14:textId="77777777" w:rsidR="00990B14" w:rsidRDefault="00000000">
            <w:pPr>
              <w:spacing w:before="20" w:after="20"/>
              <w:jc w:val="both"/>
            </w:pPr>
            <w:r>
              <w:rPr>
                <w:sz w:val="18"/>
                <w:szCs w:val="18"/>
              </w:rPr>
              <w:t>Concilia los registros con los reportes de producción.</w:t>
            </w:r>
          </w:p>
        </w:tc>
      </w:tr>
      <w:tr w:rsidR="00990B14" w14:paraId="39947204" w14:textId="77777777">
        <w:trPr>
          <w:cantSplit/>
          <w:jc w:val="center"/>
        </w:trPr>
        <w:tc>
          <w:tcPr>
            <w:tcW w:w="1807" w:type="dxa"/>
            <w:vMerge/>
            <w:shd w:val="clear" w:color="auto" w:fill="4472C4"/>
            <w:vAlign w:val="center"/>
          </w:tcPr>
          <w:p w14:paraId="4A21956A" w14:textId="77777777" w:rsidR="00990B14" w:rsidRDefault="00990B14">
            <w:pPr>
              <w:spacing w:before="20" w:after="20"/>
            </w:pPr>
          </w:p>
        </w:tc>
        <w:tc>
          <w:tcPr>
            <w:tcW w:w="5761" w:type="dxa"/>
            <w:gridSpan w:val="3"/>
            <w:shd w:val="clear" w:color="auto" w:fill="D9E2F3"/>
            <w:vAlign w:val="center"/>
          </w:tcPr>
          <w:p w14:paraId="056DD5A2" w14:textId="77777777" w:rsidR="00990B14" w:rsidRDefault="00000000">
            <w:pPr>
              <w:keepNext/>
              <w:spacing w:before="20" w:after="20"/>
              <w:jc w:val="both"/>
            </w:pPr>
            <w:r>
              <w:rPr>
                <w:b/>
                <w:bCs/>
                <w:i/>
                <w:iCs/>
                <w:sz w:val="18"/>
                <w:szCs w:val="18"/>
              </w:rPr>
              <w:t xml:space="preserve">Producto 10: </w:t>
            </w:r>
            <w:r>
              <w:rPr>
                <w:sz w:val="18"/>
                <w:szCs w:val="18"/>
              </w:rPr>
              <w:t>Planilla de costos mina</w:t>
            </w:r>
          </w:p>
        </w:tc>
        <w:tc>
          <w:tcPr>
            <w:tcW w:w="1837" w:type="dxa"/>
            <w:shd w:val="clear" w:color="auto" w:fill="D9E2F3"/>
            <w:vAlign w:val="center"/>
          </w:tcPr>
          <w:p w14:paraId="61A95E53" w14:textId="77777777" w:rsidR="00990B14" w:rsidRDefault="00000000">
            <w:pPr>
              <w:spacing w:before="20" w:after="20"/>
              <w:jc w:val="center"/>
            </w:pPr>
            <w:r>
              <w:rPr>
                <w:b/>
                <w:bCs/>
                <w:sz w:val="18"/>
                <w:szCs w:val="18"/>
              </w:rPr>
              <w:t>3%</w:t>
            </w:r>
          </w:p>
        </w:tc>
      </w:tr>
      <w:tr w:rsidR="00990B14" w14:paraId="787C5BF5" w14:textId="77777777">
        <w:trPr>
          <w:cantSplit/>
          <w:jc w:val="center"/>
        </w:trPr>
        <w:tc>
          <w:tcPr>
            <w:tcW w:w="1807" w:type="dxa"/>
            <w:vMerge/>
            <w:shd w:val="clear" w:color="auto" w:fill="4472C4"/>
            <w:vAlign w:val="center"/>
          </w:tcPr>
          <w:p w14:paraId="0EE6D175" w14:textId="77777777" w:rsidR="00990B14" w:rsidRDefault="00990B14">
            <w:pPr>
              <w:spacing w:before="20" w:after="20"/>
            </w:pPr>
          </w:p>
        </w:tc>
        <w:tc>
          <w:tcPr>
            <w:tcW w:w="1910" w:type="dxa"/>
            <w:shd w:val="clear" w:color="auto" w:fill="4472C4"/>
            <w:vAlign w:val="center"/>
          </w:tcPr>
          <w:p w14:paraId="47FE2C5A" w14:textId="77777777" w:rsidR="00990B14" w:rsidRDefault="00000000">
            <w:pPr>
              <w:keepNext/>
              <w:spacing w:before="20" w:after="20"/>
              <w:jc w:val="center"/>
            </w:pPr>
            <w:r>
              <w:rPr>
                <w:b/>
                <w:bCs/>
                <w:i/>
                <w:iCs/>
                <w:color w:val="FFFFFF"/>
                <w:sz w:val="18"/>
                <w:szCs w:val="18"/>
              </w:rPr>
              <w:t>Criterio</w:t>
            </w:r>
          </w:p>
        </w:tc>
        <w:tc>
          <w:tcPr>
            <w:tcW w:w="1836" w:type="dxa"/>
            <w:shd w:val="clear" w:color="auto" w:fill="4472C4"/>
            <w:vAlign w:val="center"/>
          </w:tcPr>
          <w:p w14:paraId="7CF85108"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5D49A607" w14:textId="77777777" w:rsidR="00990B14" w:rsidRDefault="00000000">
            <w:pPr>
              <w:keepNext/>
              <w:spacing w:before="20" w:after="20"/>
              <w:jc w:val="center"/>
            </w:pPr>
            <w:r>
              <w:rPr>
                <w:b/>
                <w:bCs/>
                <w:i/>
                <w:iCs/>
                <w:color w:val="FFFFFF"/>
                <w:sz w:val="18"/>
                <w:szCs w:val="18"/>
              </w:rPr>
              <w:t>Suficiente (51–80)</w:t>
            </w:r>
          </w:p>
        </w:tc>
        <w:tc>
          <w:tcPr>
            <w:tcW w:w="1837" w:type="dxa"/>
            <w:shd w:val="clear" w:color="auto" w:fill="4472C4"/>
            <w:vAlign w:val="center"/>
          </w:tcPr>
          <w:p w14:paraId="6D7339C6" w14:textId="77777777" w:rsidR="00990B14" w:rsidRDefault="00000000">
            <w:pPr>
              <w:keepNext/>
              <w:spacing w:before="20" w:after="20"/>
              <w:jc w:val="center"/>
            </w:pPr>
            <w:r>
              <w:rPr>
                <w:b/>
                <w:bCs/>
                <w:i/>
                <w:iCs/>
                <w:color w:val="FFFFFF"/>
                <w:sz w:val="18"/>
                <w:szCs w:val="18"/>
              </w:rPr>
              <w:t>Destacado (81–100)</w:t>
            </w:r>
          </w:p>
        </w:tc>
      </w:tr>
      <w:tr w:rsidR="00990B14" w14:paraId="786696F5" w14:textId="77777777">
        <w:trPr>
          <w:cantSplit/>
          <w:jc w:val="center"/>
        </w:trPr>
        <w:tc>
          <w:tcPr>
            <w:tcW w:w="1807" w:type="dxa"/>
            <w:vMerge/>
            <w:shd w:val="clear" w:color="auto" w:fill="4472C4"/>
            <w:vAlign w:val="center"/>
          </w:tcPr>
          <w:p w14:paraId="55E0D019" w14:textId="77777777" w:rsidR="00990B14" w:rsidRDefault="00990B14">
            <w:pPr>
              <w:spacing w:before="20" w:after="20"/>
            </w:pPr>
          </w:p>
        </w:tc>
        <w:tc>
          <w:tcPr>
            <w:tcW w:w="1910" w:type="dxa"/>
            <w:shd w:val="clear" w:color="auto" w:fill="D9E2F3"/>
            <w:vAlign w:val="center"/>
          </w:tcPr>
          <w:p w14:paraId="2C9C1FEE" w14:textId="77777777" w:rsidR="00990B14" w:rsidRDefault="00000000">
            <w:pPr>
              <w:spacing w:before="20" w:after="20"/>
              <w:jc w:val="both"/>
            </w:pPr>
            <w:r>
              <w:rPr>
                <w:sz w:val="18"/>
                <w:szCs w:val="18"/>
              </w:rPr>
              <w:t>Acumulación de costos</w:t>
            </w:r>
          </w:p>
        </w:tc>
        <w:tc>
          <w:tcPr>
            <w:tcW w:w="1836" w:type="dxa"/>
            <w:shd w:val="clear" w:color="auto" w:fill="D9E2F3"/>
            <w:vAlign w:val="center"/>
          </w:tcPr>
          <w:p w14:paraId="7C81C6EC" w14:textId="77777777" w:rsidR="00990B14" w:rsidRDefault="00000000">
            <w:pPr>
              <w:spacing w:before="20" w:after="20"/>
              <w:jc w:val="both"/>
            </w:pPr>
            <w:r>
              <w:rPr>
                <w:sz w:val="18"/>
                <w:szCs w:val="18"/>
              </w:rPr>
              <w:t>Omite elementos del costo.</w:t>
            </w:r>
          </w:p>
        </w:tc>
        <w:tc>
          <w:tcPr>
            <w:tcW w:w="2015" w:type="dxa"/>
            <w:shd w:val="clear" w:color="auto" w:fill="D9E2F3"/>
            <w:vAlign w:val="center"/>
          </w:tcPr>
          <w:p w14:paraId="19B9474B" w14:textId="77777777" w:rsidR="00990B14" w:rsidRDefault="00000000">
            <w:pPr>
              <w:spacing w:before="20" w:after="20"/>
              <w:jc w:val="both"/>
            </w:pPr>
            <w:r>
              <w:rPr>
                <w:sz w:val="18"/>
                <w:szCs w:val="18"/>
              </w:rPr>
              <w:t>Acumula todos los costos incurridos en interior mina.</w:t>
            </w:r>
          </w:p>
        </w:tc>
        <w:tc>
          <w:tcPr>
            <w:tcW w:w="1837" w:type="dxa"/>
            <w:shd w:val="clear" w:color="auto" w:fill="D9E2F3"/>
            <w:vAlign w:val="center"/>
          </w:tcPr>
          <w:p w14:paraId="73F0CFF3" w14:textId="77777777" w:rsidR="00990B14" w:rsidRDefault="00000000">
            <w:pPr>
              <w:spacing w:before="20" w:after="20"/>
              <w:jc w:val="both"/>
            </w:pPr>
            <w:r>
              <w:rPr>
                <w:sz w:val="18"/>
                <w:szCs w:val="18"/>
              </w:rPr>
              <w:t>Presenta los costos por sección y por tipo de labor.</w:t>
            </w:r>
          </w:p>
        </w:tc>
      </w:tr>
      <w:tr w:rsidR="00990B14" w14:paraId="5546E330" w14:textId="77777777">
        <w:trPr>
          <w:cantSplit/>
          <w:jc w:val="center"/>
        </w:trPr>
        <w:tc>
          <w:tcPr>
            <w:tcW w:w="1807" w:type="dxa"/>
            <w:vMerge/>
            <w:shd w:val="clear" w:color="auto" w:fill="4472C4"/>
            <w:vAlign w:val="center"/>
          </w:tcPr>
          <w:p w14:paraId="12BA349C" w14:textId="77777777" w:rsidR="00990B14" w:rsidRDefault="00990B14">
            <w:pPr>
              <w:spacing w:before="20" w:after="20"/>
            </w:pPr>
          </w:p>
        </w:tc>
        <w:tc>
          <w:tcPr>
            <w:tcW w:w="1910" w:type="dxa"/>
            <w:shd w:val="clear" w:color="auto" w:fill="D9E2F3"/>
            <w:vAlign w:val="center"/>
          </w:tcPr>
          <w:p w14:paraId="0C81050A" w14:textId="77777777" w:rsidR="00990B14" w:rsidRDefault="00000000">
            <w:pPr>
              <w:spacing w:before="20" w:after="20"/>
              <w:jc w:val="both"/>
            </w:pPr>
            <w:r>
              <w:rPr>
                <w:sz w:val="18"/>
                <w:szCs w:val="18"/>
              </w:rPr>
              <w:t>Costo unitario</w:t>
            </w:r>
          </w:p>
        </w:tc>
        <w:tc>
          <w:tcPr>
            <w:tcW w:w="1836" w:type="dxa"/>
            <w:shd w:val="clear" w:color="auto" w:fill="D9E2F3"/>
            <w:vAlign w:val="center"/>
          </w:tcPr>
          <w:p w14:paraId="4CAB053B" w14:textId="77777777" w:rsidR="00990B14" w:rsidRDefault="00000000">
            <w:pPr>
              <w:spacing w:before="20" w:after="20"/>
              <w:jc w:val="both"/>
            </w:pPr>
            <w:r>
              <w:rPr>
                <w:sz w:val="18"/>
                <w:szCs w:val="18"/>
              </w:rPr>
              <w:t>No calcula el costo unitario.</w:t>
            </w:r>
          </w:p>
        </w:tc>
        <w:tc>
          <w:tcPr>
            <w:tcW w:w="2015" w:type="dxa"/>
            <w:shd w:val="clear" w:color="auto" w:fill="D9E2F3"/>
            <w:vAlign w:val="center"/>
          </w:tcPr>
          <w:p w14:paraId="57F495E7" w14:textId="77777777" w:rsidR="00990B14" w:rsidRDefault="00000000">
            <w:pPr>
              <w:spacing w:before="20" w:after="20"/>
              <w:jc w:val="both"/>
            </w:pPr>
            <w:r>
              <w:rPr>
                <w:sz w:val="18"/>
                <w:szCs w:val="18"/>
              </w:rPr>
              <w:t>Determina el costo por tonelada extraída.</w:t>
            </w:r>
          </w:p>
        </w:tc>
        <w:tc>
          <w:tcPr>
            <w:tcW w:w="1837" w:type="dxa"/>
            <w:shd w:val="clear" w:color="auto" w:fill="D9E2F3"/>
            <w:vAlign w:val="center"/>
          </w:tcPr>
          <w:p w14:paraId="5D27A737" w14:textId="77777777" w:rsidR="00990B14" w:rsidRDefault="00000000">
            <w:pPr>
              <w:spacing w:before="20" w:after="20"/>
              <w:jc w:val="both"/>
            </w:pPr>
            <w:r>
              <w:rPr>
                <w:sz w:val="18"/>
                <w:szCs w:val="18"/>
              </w:rPr>
              <w:t>Analiza la variación del costo entre periodos.</w:t>
            </w:r>
          </w:p>
        </w:tc>
      </w:tr>
      <w:tr w:rsidR="00990B14" w14:paraId="4024F17B" w14:textId="77777777">
        <w:trPr>
          <w:cantSplit/>
          <w:jc w:val="center"/>
        </w:trPr>
        <w:tc>
          <w:tcPr>
            <w:tcW w:w="1807" w:type="dxa"/>
            <w:vMerge/>
            <w:shd w:val="clear" w:color="auto" w:fill="4472C4"/>
            <w:vAlign w:val="center"/>
          </w:tcPr>
          <w:p w14:paraId="1B868C18" w14:textId="77777777" w:rsidR="00990B14" w:rsidRDefault="00990B14">
            <w:pPr>
              <w:spacing w:before="20" w:after="20"/>
            </w:pPr>
          </w:p>
        </w:tc>
        <w:tc>
          <w:tcPr>
            <w:tcW w:w="1910" w:type="dxa"/>
            <w:shd w:val="clear" w:color="auto" w:fill="D9E2F3"/>
            <w:vAlign w:val="center"/>
          </w:tcPr>
          <w:p w14:paraId="13B93E87" w14:textId="77777777" w:rsidR="00990B14" w:rsidRDefault="00000000">
            <w:pPr>
              <w:spacing w:before="20" w:after="20"/>
              <w:jc w:val="both"/>
            </w:pPr>
            <w:r>
              <w:rPr>
                <w:sz w:val="18"/>
                <w:szCs w:val="18"/>
              </w:rPr>
              <w:t>Exactitud</w:t>
            </w:r>
          </w:p>
        </w:tc>
        <w:tc>
          <w:tcPr>
            <w:tcW w:w="1836" w:type="dxa"/>
            <w:shd w:val="clear" w:color="auto" w:fill="D9E2F3"/>
            <w:vAlign w:val="center"/>
          </w:tcPr>
          <w:p w14:paraId="44A0714C" w14:textId="77777777" w:rsidR="00990B14" w:rsidRDefault="00000000">
            <w:pPr>
              <w:spacing w:before="20" w:after="20"/>
              <w:jc w:val="both"/>
            </w:pPr>
            <w:r>
              <w:rPr>
                <w:sz w:val="18"/>
                <w:szCs w:val="18"/>
              </w:rPr>
              <w:t>Presenta errores de cálculo.</w:t>
            </w:r>
          </w:p>
        </w:tc>
        <w:tc>
          <w:tcPr>
            <w:tcW w:w="2015" w:type="dxa"/>
            <w:shd w:val="clear" w:color="auto" w:fill="D9E2F3"/>
            <w:vAlign w:val="center"/>
          </w:tcPr>
          <w:p w14:paraId="5A27498C" w14:textId="77777777" w:rsidR="00990B14" w:rsidRDefault="00000000">
            <w:pPr>
              <w:spacing w:before="20" w:after="20"/>
              <w:jc w:val="both"/>
            </w:pPr>
            <w:r>
              <w:rPr>
                <w:sz w:val="18"/>
                <w:szCs w:val="18"/>
              </w:rPr>
              <w:t>Los cálculos son correctos.</w:t>
            </w:r>
          </w:p>
        </w:tc>
        <w:tc>
          <w:tcPr>
            <w:tcW w:w="1837" w:type="dxa"/>
            <w:shd w:val="clear" w:color="auto" w:fill="D9E2F3"/>
            <w:vAlign w:val="center"/>
          </w:tcPr>
          <w:p w14:paraId="303D7101" w14:textId="77777777" w:rsidR="00990B14" w:rsidRDefault="00000000">
            <w:pPr>
              <w:spacing w:before="20" w:after="20"/>
              <w:jc w:val="both"/>
            </w:pPr>
            <w:r>
              <w:rPr>
                <w:sz w:val="18"/>
                <w:szCs w:val="18"/>
              </w:rPr>
              <w:t>Verifica los totales con los registros de respaldo.</w:t>
            </w:r>
          </w:p>
        </w:tc>
      </w:tr>
      <w:tr w:rsidR="00990B14" w14:paraId="72ECBB9F" w14:textId="77777777">
        <w:trPr>
          <w:cantSplit/>
          <w:jc w:val="center"/>
        </w:trPr>
        <w:tc>
          <w:tcPr>
            <w:tcW w:w="1807" w:type="dxa"/>
            <w:vMerge/>
            <w:shd w:val="clear" w:color="auto" w:fill="4472C4"/>
            <w:vAlign w:val="center"/>
          </w:tcPr>
          <w:p w14:paraId="6450C569" w14:textId="77777777" w:rsidR="00990B14" w:rsidRDefault="00990B14">
            <w:pPr>
              <w:spacing w:before="20" w:after="20"/>
            </w:pPr>
          </w:p>
        </w:tc>
        <w:tc>
          <w:tcPr>
            <w:tcW w:w="5761" w:type="dxa"/>
            <w:gridSpan w:val="3"/>
            <w:shd w:val="clear" w:color="auto" w:fill="D9E2F3"/>
            <w:vAlign w:val="center"/>
          </w:tcPr>
          <w:p w14:paraId="09B24329" w14:textId="77777777" w:rsidR="00990B14" w:rsidRDefault="00000000">
            <w:pPr>
              <w:keepNext/>
              <w:spacing w:before="20" w:after="20"/>
              <w:jc w:val="both"/>
            </w:pPr>
            <w:r>
              <w:rPr>
                <w:b/>
                <w:bCs/>
                <w:i/>
                <w:iCs/>
                <w:sz w:val="18"/>
                <w:szCs w:val="18"/>
              </w:rPr>
              <w:t xml:space="preserve">Producto 11: </w:t>
            </w:r>
            <w:r>
              <w:rPr>
                <w:sz w:val="18"/>
                <w:szCs w:val="18"/>
              </w:rPr>
              <w:t>Asientos contables de costos de tratamiento de mineral</w:t>
            </w:r>
          </w:p>
        </w:tc>
        <w:tc>
          <w:tcPr>
            <w:tcW w:w="1837" w:type="dxa"/>
            <w:shd w:val="clear" w:color="auto" w:fill="D9E2F3"/>
            <w:vAlign w:val="center"/>
          </w:tcPr>
          <w:p w14:paraId="16C73298" w14:textId="77777777" w:rsidR="00990B14" w:rsidRDefault="00000000">
            <w:pPr>
              <w:spacing w:before="20" w:after="20"/>
              <w:jc w:val="center"/>
            </w:pPr>
            <w:r>
              <w:rPr>
                <w:b/>
                <w:bCs/>
                <w:sz w:val="18"/>
                <w:szCs w:val="18"/>
              </w:rPr>
              <w:t>4%</w:t>
            </w:r>
          </w:p>
        </w:tc>
      </w:tr>
      <w:tr w:rsidR="00990B14" w14:paraId="239D06DC" w14:textId="77777777">
        <w:trPr>
          <w:cantSplit/>
          <w:jc w:val="center"/>
        </w:trPr>
        <w:tc>
          <w:tcPr>
            <w:tcW w:w="1807" w:type="dxa"/>
            <w:vMerge/>
            <w:shd w:val="clear" w:color="auto" w:fill="4472C4"/>
            <w:vAlign w:val="center"/>
          </w:tcPr>
          <w:p w14:paraId="7EE6AAC2" w14:textId="77777777" w:rsidR="00990B14" w:rsidRDefault="00990B14">
            <w:pPr>
              <w:spacing w:before="20" w:after="20"/>
            </w:pPr>
          </w:p>
        </w:tc>
        <w:tc>
          <w:tcPr>
            <w:tcW w:w="1910" w:type="dxa"/>
            <w:shd w:val="clear" w:color="auto" w:fill="4472C4"/>
            <w:vAlign w:val="center"/>
          </w:tcPr>
          <w:p w14:paraId="7231D92C" w14:textId="77777777" w:rsidR="00990B14" w:rsidRDefault="00000000">
            <w:pPr>
              <w:keepNext/>
              <w:spacing w:before="20" w:after="20"/>
              <w:jc w:val="center"/>
            </w:pPr>
            <w:r>
              <w:rPr>
                <w:b/>
                <w:bCs/>
                <w:i/>
                <w:iCs/>
                <w:color w:val="FFFFFF"/>
                <w:sz w:val="18"/>
                <w:szCs w:val="18"/>
              </w:rPr>
              <w:t>Criterio</w:t>
            </w:r>
          </w:p>
        </w:tc>
        <w:tc>
          <w:tcPr>
            <w:tcW w:w="1836" w:type="dxa"/>
            <w:shd w:val="clear" w:color="auto" w:fill="4472C4"/>
            <w:vAlign w:val="center"/>
          </w:tcPr>
          <w:p w14:paraId="7D656132"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354EB0E1" w14:textId="77777777" w:rsidR="00990B14" w:rsidRDefault="00000000">
            <w:pPr>
              <w:keepNext/>
              <w:spacing w:before="20" w:after="20"/>
              <w:jc w:val="center"/>
            </w:pPr>
            <w:r>
              <w:rPr>
                <w:b/>
                <w:bCs/>
                <w:i/>
                <w:iCs/>
                <w:color w:val="FFFFFF"/>
                <w:sz w:val="18"/>
                <w:szCs w:val="18"/>
              </w:rPr>
              <w:t>Suficiente (51–80)</w:t>
            </w:r>
          </w:p>
        </w:tc>
        <w:tc>
          <w:tcPr>
            <w:tcW w:w="1837" w:type="dxa"/>
            <w:shd w:val="clear" w:color="auto" w:fill="4472C4"/>
            <w:vAlign w:val="center"/>
          </w:tcPr>
          <w:p w14:paraId="26E46901" w14:textId="77777777" w:rsidR="00990B14" w:rsidRDefault="00000000">
            <w:pPr>
              <w:keepNext/>
              <w:spacing w:before="20" w:after="20"/>
              <w:jc w:val="center"/>
            </w:pPr>
            <w:r>
              <w:rPr>
                <w:b/>
                <w:bCs/>
                <w:i/>
                <w:iCs/>
                <w:color w:val="FFFFFF"/>
                <w:sz w:val="18"/>
                <w:szCs w:val="18"/>
              </w:rPr>
              <w:t>Destacado (81–100)</w:t>
            </w:r>
          </w:p>
        </w:tc>
      </w:tr>
      <w:tr w:rsidR="00990B14" w14:paraId="6095EBC4" w14:textId="77777777">
        <w:trPr>
          <w:cantSplit/>
          <w:jc w:val="center"/>
        </w:trPr>
        <w:tc>
          <w:tcPr>
            <w:tcW w:w="1807" w:type="dxa"/>
            <w:vMerge/>
            <w:shd w:val="clear" w:color="auto" w:fill="4472C4"/>
            <w:vAlign w:val="center"/>
          </w:tcPr>
          <w:p w14:paraId="5A1CE1F0" w14:textId="77777777" w:rsidR="00990B14" w:rsidRDefault="00990B14">
            <w:pPr>
              <w:spacing w:before="20" w:after="20"/>
            </w:pPr>
          </w:p>
        </w:tc>
        <w:tc>
          <w:tcPr>
            <w:tcW w:w="1910" w:type="dxa"/>
            <w:shd w:val="clear" w:color="auto" w:fill="D9E2F3"/>
            <w:vAlign w:val="center"/>
          </w:tcPr>
          <w:p w14:paraId="2114A0FC" w14:textId="77777777" w:rsidR="00990B14" w:rsidRDefault="00000000">
            <w:pPr>
              <w:spacing w:before="20" w:after="20"/>
              <w:jc w:val="both"/>
            </w:pPr>
            <w:r>
              <w:rPr>
                <w:sz w:val="18"/>
                <w:szCs w:val="18"/>
              </w:rPr>
              <w:t>Procesos de concentración</w:t>
            </w:r>
          </w:p>
        </w:tc>
        <w:tc>
          <w:tcPr>
            <w:tcW w:w="1836" w:type="dxa"/>
            <w:shd w:val="clear" w:color="auto" w:fill="D9E2F3"/>
            <w:vAlign w:val="center"/>
          </w:tcPr>
          <w:p w14:paraId="2F70B37F" w14:textId="77777777" w:rsidR="00990B14" w:rsidRDefault="00000000">
            <w:pPr>
              <w:spacing w:before="20" w:after="20"/>
              <w:jc w:val="both"/>
            </w:pPr>
            <w:r>
              <w:rPr>
                <w:sz w:val="18"/>
                <w:szCs w:val="18"/>
              </w:rPr>
              <w:t>Confunde los procesos del ingenio.</w:t>
            </w:r>
          </w:p>
        </w:tc>
        <w:tc>
          <w:tcPr>
            <w:tcW w:w="2015" w:type="dxa"/>
            <w:shd w:val="clear" w:color="auto" w:fill="D9E2F3"/>
            <w:vAlign w:val="center"/>
          </w:tcPr>
          <w:p w14:paraId="11A2E1B6" w14:textId="77777777" w:rsidR="00990B14" w:rsidRDefault="00000000">
            <w:pPr>
              <w:spacing w:before="20" w:after="20"/>
              <w:jc w:val="both"/>
            </w:pPr>
            <w:r>
              <w:rPr>
                <w:sz w:val="18"/>
                <w:szCs w:val="18"/>
              </w:rPr>
              <w:t>Registra las operaciones según el método de concentración.</w:t>
            </w:r>
          </w:p>
        </w:tc>
        <w:tc>
          <w:tcPr>
            <w:tcW w:w="1837" w:type="dxa"/>
            <w:shd w:val="clear" w:color="auto" w:fill="D9E2F3"/>
            <w:vAlign w:val="center"/>
          </w:tcPr>
          <w:p w14:paraId="30B9BD0A" w14:textId="77777777" w:rsidR="00990B14" w:rsidRDefault="00000000">
            <w:pPr>
              <w:spacing w:before="20" w:after="20"/>
              <w:jc w:val="both"/>
            </w:pPr>
            <w:r>
              <w:rPr>
                <w:sz w:val="18"/>
                <w:szCs w:val="18"/>
              </w:rPr>
              <w:t>Relaciona la recuperación metalúrgica con el costo.</w:t>
            </w:r>
          </w:p>
        </w:tc>
      </w:tr>
      <w:tr w:rsidR="00990B14" w14:paraId="0A61C7AC" w14:textId="77777777">
        <w:trPr>
          <w:cantSplit/>
          <w:jc w:val="center"/>
        </w:trPr>
        <w:tc>
          <w:tcPr>
            <w:tcW w:w="1807" w:type="dxa"/>
            <w:vMerge/>
            <w:shd w:val="clear" w:color="auto" w:fill="4472C4"/>
            <w:vAlign w:val="center"/>
          </w:tcPr>
          <w:p w14:paraId="7282B4D0" w14:textId="77777777" w:rsidR="00990B14" w:rsidRDefault="00990B14">
            <w:pPr>
              <w:spacing w:before="20" w:after="20"/>
            </w:pPr>
          </w:p>
        </w:tc>
        <w:tc>
          <w:tcPr>
            <w:tcW w:w="1910" w:type="dxa"/>
            <w:shd w:val="clear" w:color="auto" w:fill="D9E2F3"/>
            <w:vAlign w:val="center"/>
          </w:tcPr>
          <w:p w14:paraId="1B5F7E02" w14:textId="77777777" w:rsidR="00990B14" w:rsidRDefault="00000000">
            <w:pPr>
              <w:spacing w:before="20" w:after="20"/>
              <w:jc w:val="both"/>
            </w:pPr>
            <w:r>
              <w:rPr>
                <w:sz w:val="18"/>
                <w:szCs w:val="18"/>
              </w:rPr>
              <w:t>Elementos del costo</w:t>
            </w:r>
          </w:p>
        </w:tc>
        <w:tc>
          <w:tcPr>
            <w:tcW w:w="1836" w:type="dxa"/>
            <w:shd w:val="clear" w:color="auto" w:fill="D9E2F3"/>
            <w:vAlign w:val="center"/>
          </w:tcPr>
          <w:p w14:paraId="3971E2AD" w14:textId="77777777" w:rsidR="00990B14" w:rsidRDefault="00000000">
            <w:pPr>
              <w:spacing w:before="20" w:after="20"/>
              <w:jc w:val="both"/>
            </w:pPr>
            <w:r>
              <w:rPr>
                <w:sz w:val="18"/>
                <w:szCs w:val="18"/>
              </w:rPr>
              <w:t>Omite materiales, mano de obra o costos indirectos.</w:t>
            </w:r>
          </w:p>
        </w:tc>
        <w:tc>
          <w:tcPr>
            <w:tcW w:w="2015" w:type="dxa"/>
            <w:shd w:val="clear" w:color="auto" w:fill="D9E2F3"/>
            <w:vAlign w:val="center"/>
          </w:tcPr>
          <w:p w14:paraId="6111D96B" w14:textId="77777777" w:rsidR="00990B14" w:rsidRDefault="00000000">
            <w:pPr>
              <w:spacing w:before="20" w:after="20"/>
              <w:jc w:val="both"/>
            </w:pPr>
            <w:r>
              <w:rPr>
                <w:sz w:val="18"/>
                <w:szCs w:val="18"/>
              </w:rPr>
              <w:t>Registra los tres elementos del costo del ingenio.</w:t>
            </w:r>
          </w:p>
        </w:tc>
        <w:tc>
          <w:tcPr>
            <w:tcW w:w="1837" w:type="dxa"/>
            <w:shd w:val="clear" w:color="auto" w:fill="D9E2F3"/>
            <w:vAlign w:val="center"/>
          </w:tcPr>
          <w:p w14:paraId="04CEBE28" w14:textId="77777777" w:rsidR="00990B14" w:rsidRDefault="00000000">
            <w:pPr>
              <w:spacing w:before="20" w:after="20"/>
              <w:jc w:val="both"/>
            </w:pPr>
            <w:r>
              <w:rPr>
                <w:sz w:val="18"/>
                <w:szCs w:val="18"/>
              </w:rPr>
              <w:t>Distribuye los servicios auxiliares con una base justificada.</w:t>
            </w:r>
          </w:p>
        </w:tc>
      </w:tr>
      <w:tr w:rsidR="00990B14" w14:paraId="3020EA9D" w14:textId="77777777">
        <w:trPr>
          <w:cantSplit/>
          <w:jc w:val="center"/>
        </w:trPr>
        <w:tc>
          <w:tcPr>
            <w:tcW w:w="1807" w:type="dxa"/>
            <w:vMerge/>
            <w:shd w:val="clear" w:color="auto" w:fill="4472C4"/>
            <w:vAlign w:val="center"/>
          </w:tcPr>
          <w:p w14:paraId="6435BB5E" w14:textId="77777777" w:rsidR="00990B14" w:rsidRDefault="00990B14">
            <w:pPr>
              <w:spacing w:before="20" w:after="20"/>
            </w:pPr>
          </w:p>
        </w:tc>
        <w:tc>
          <w:tcPr>
            <w:tcW w:w="1910" w:type="dxa"/>
            <w:shd w:val="clear" w:color="auto" w:fill="D9E2F3"/>
            <w:vAlign w:val="center"/>
          </w:tcPr>
          <w:p w14:paraId="7C61F397" w14:textId="77777777" w:rsidR="00990B14" w:rsidRDefault="00000000">
            <w:pPr>
              <w:spacing w:before="20" w:after="20"/>
              <w:jc w:val="both"/>
            </w:pPr>
            <w:r>
              <w:rPr>
                <w:sz w:val="18"/>
                <w:szCs w:val="18"/>
              </w:rPr>
              <w:t>Control interno</w:t>
            </w:r>
          </w:p>
        </w:tc>
        <w:tc>
          <w:tcPr>
            <w:tcW w:w="1836" w:type="dxa"/>
            <w:shd w:val="clear" w:color="auto" w:fill="D9E2F3"/>
            <w:vAlign w:val="center"/>
          </w:tcPr>
          <w:p w14:paraId="54CADE04" w14:textId="77777777" w:rsidR="00990B14" w:rsidRDefault="00000000">
            <w:pPr>
              <w:spacing w:before="20" w:after="20"/>
              <w:jc w:val="both"/>
            </w:pPr>
            <w:r>
              <w:rPr>
                <w:sz w:val="18"/>
                <w:szCs w:val="18"/>
              </w:rPr>
              <w:t>No evalúa el control interno.</w:t>
            </w:r>
          </w:p>
        </w:tc>
        <w:tc>
          <w:tcPr>
            <w:tcW w:w="2015" w:type="dxa"/>
            <w:shd w:val="clear" w:color="auto" w:fill="D9E2F3"/>
            <w:vAlign w:val="center"/>
          </w:tcPr>
          <w:p w14:paraId="05B42A88" w14:textId="77777777" w:rsidR="00990B14" w:rsidRDefault="00000000">
            <w:pPr>
              <w:spacing w:before="20" w:after="20"/>
              <w:jc w:val="both"/>
            </w:pPr>
            <w:r>
              <w:rPr>
                <w:sz w:val="18"/>
                <w:szCs w:val="18"/>
              </w:rPr>
              <w:t>Identifica controles sobre el consumo de reactivos y materiales.</w:t>
            </w:r>
          </w:p>
        </w:tc>
        <w:tc>
          <w:tcPr>
            <w:tcW w:w="1837" w:type="dxa"/>
            <w:shd w:val="clear" w:color="auto" w:fill="D9E2F3"/>
            <w:vAlign w:val="center"/>
          </w:tcPr>
          <w:p w14:paraId="6BD0462C" w14:textId="77777777" w:rsidR="00990B14" w:rsidRDefault="00000000">
            <w:pPr>
              <w:spacing w:before="20" w:after="20"/>
              <w:jc w:val="both"/>
            </w:pPr>
            <w:r>
              <w:rPr>
                <w:sz w:val="18"/>
                <w:szCs w:val="18"/>
              </w:rPr>
              <w:t>Propone mejoras al control interno del ingenio.</w:t>
            </w:r>
          </w:p>
        </w:tc>
      </w:tr>
      <w:tr w:rsidR="00990B14" w14:paraId="0EE4240B" w14:textId="77777777">
        <w:trPr>
          <w:cantSplit/>
          <w:jc w:val="center"/>
        </w:trPr>
        <w:tc>
          <w:tcPr>
            <w:tcW w:w="1807" w:type="dxa"/>
            <w:vMerge/>
            <w:shd w:val="clear" w:color="auto" w:fill="4472C4"/>
            <w:vAlign w:val="center"/>
          </w:tcPr>
          <w:p w14:paraId="79D560C6" w14:textId="77777777" w:rsidR="00990B14" w:rsidRDefault="00990B14">
            <w:pPr>
              <w:spacing w:before="20" w:after="20"/>
            </w:pPr>
          </w:p>
        </w:tc>
        <w:tc>
          <w:tcPr>
            <w:tcW w:w="5761" w:type="dxa"/>
            <w:gridSpan w:val="3"/>
            <w:shd w:val="clear" w:color="auto" w:fill="D9E2F3"/>
            <w:vAlign w:val="center"/>
          </w:tcPr>
          <w:p w14:paraId="09EE80AC" w14:textId="77777777" w:rsidR="00990B14" w:rsidRDefault="00000000">
            <w:pPr>
              <w:keepNext/>
              <w:spacing w:before="20" w:after="20"/>
              <w:jc w:val="both"/>
            </w:pPr>
            <w:r>
              <w:rPr>
                <w:b/>
                <w:bCs/>
                <w:i/>
                <w:iCs/>
                <w:sz w:val="18"/>
                <w:szCs w:val="18"/>
              </w:rPr>
              <w:t xml:space="preserve">Producto 12: </w:t>
            </w:r>
            <w:r>
              <w:rPr>
                <w:sz w:val="18"/>
                <w:szCs w:val="18"/>
              </w:rPr>
              <w:t>Planilla de prorrateo de minerales producidos</w:t>
            </w:r>
          </w:p>
        </w:tc>
        <w:tc>
          <w:tcPr>
            <w:tcW w:w="1837" w:type="dxa"/>
            <w:shd w:val="clear" w:color="auto" w:fill="D9E2F3"/>
            <w:vAlign w:val="center"/>
          </w:tcPr>
          <w:p w14:paraId="1DCAF9F6" w14:textId="77777777" w:rsidR="00990B14" w:rsidRDefault="00000000">
            <w:pPr>
              <w:spacing w:before="20" w:after="20"/>
              <w:jc w:val="center"/>
            </w:pPr>
            <w:r>
              <w:rPr>
                <w:b/>
                <w:bCs/>
                <w:sz w:val="18"/>
                <w:szCs w:val="18"/>
              </w:rPr>
              <w:t>3%</w:t>
            </w:r>
          </w:p>
        </w:tc>
      </w:tr>
      <w:tr w:rsidR="00990B14" w14:paraId="4FB99896" w14:textId="77777777">
        <w:trPr>
          <w:cantSplit/>
          <w:jc w:val="center"/>
        </w:trPr>
        <w:tc>
          <w:tcPr>
            <w:tcW w:w="1807" w:type="dxa"/>
            <w:vMerge/>
            <w:shd w:val="clear" w:color="auto" w:fill="4472C4"/>
            <w:vAlign w:val="center"/>
          </w:tcPr>
          <w:p w14:paraId="61476D05" w14:textId="77777777" w:rsidR="00990B14" w:rsidRDefault="00990B14">
            <w:pPr>
              <w:spacing w:before="20" w:after="20"/>
            </w:pPr>
          </w:p>
        </w:tc>
        <w:tc>
          <w:tcPr>
            <w:tcW w:w="1910" w:type="dxa"/>
            <w:shd w:val="clear" w:color="auto" w:fill="4472C4"/>
            <w:vAlign w:val="center"/>
          </w:tcPr>
          <w:p w14:paraId="0C2E4D69" w14:textId="77777777" w:rsidR="00990B14" w:rsidRDefault="00000000">
            <w:pPr>
              <w:keepNext/>
              <w:spacing w:before="20" w:after="20"/>
              <w:jc w:val="center"/>
            </w:pPr>
            <w:r>
              <w:rPr>
                <w:b/>
                <w:bCs/>
                <w:i/>
                <w:iCs/>
                <w:color w:val="FFFFFF"/>
                <w:sz w:val="18"/>
                <w:szCs w:val="18"/>
              </w:rPr>
              <w:t>Criterio</w:t>
            </w:r>
          </w:p>
        </w:tc>
        <w:tc>
          <w:tcPr>
            <w:tcW w:w="1836" w:type="dxa"/>
            <w:shd w:val="clear" w:color="auto" w:fill="4472C4"/>
            <w:vAlign w:val="center"/>
          </w:tcPr>
          <w:p w14:paraId="675C5A88"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5D0A05BF" w14:textId="77777777" w:rsidR="00990B14" w:rsidRDefault="00000000">
            <w:pPr>
              <w:keepNext/>
              <w:spacing w:before="20" w:after="20"/>
              <w:jc w:val="center"/>
            </w:pPr>
            <w:r>
              <w:rPr>
                <w:b/>
                <w:bCs/>
                <w:i/>
                <w:iCs/>
                <w:color w:val="FFFFFF"/>
                <w:sz w:val="18"/>
                <w:szCs w:val="18"/>
              </w:rPr>
              <w:t>Suficiente (51–80)</w:t>
            </w:r>
          </w:p>
        </w:tc>
        <w:tc>
          <w:tcPr>
            <w:tcW w:w="1837" w:type="dxa"/>
            <w:shd w:val="clear" w:color="auto" w:fill="4472C4"/>
            <w:vAlign w:val="center"/>
          </w:tcPr>
          <w:p w14:paraId="648B5144" w14:textId="77777777" w:rsidR="00990B14" w:rsidRDefault="00000000">
            <w:pPr>
              <w:keepNext/>
              <w:spacing w:before="20" w:after="20"/>
              <w:jc w:val="center"/>
            </w:pPr>
            <w:r>
              <w:rPr>
                <w:b/>
                <w:bCs/>
                <w:i/>
                <w:iCs/>
                <w:color w:val="FFFFFF"/>
                <w:sz w:val="18"/>
                <w:szCs w:val="18"/>
              </w:rPr>
              <w:t>Destacado (81–100)</w:t>
            </w:r>
          </w:p>
        </w:tc>
      </w:tr>
      <w:tr w:rsidR="00990B14" w14:paraId="0C06A904" w14:textId="77777777">
        <w:trPr>
          <w:cantSplit/>
          <w:jc w:val="center"/>
        </w:trPr>
        <w:tc>
          <w:tcPr>
            <w:tcW w:w="1807" w:type="dxa"/>
            <w:vMerge/>
            <w:shd w:val="clear" w:color="auto" w:fill="4472C4"/>
            <w:vAlign w:val="center"/>
          </w:tcPr>
          <w:p w14:paraId="1E1F8823" w14:textId="77777777" w:rsidR="00990B14" w:rsidRDefault="00990B14">
            <w:pPr>
              <w:spacing w:before="20" w:after="20"/>
            </w:pPr>
          </w:p>
        </w:tc>
        <w:tc>
          <w:tcPr>
            <w:tcW w:w="1910" w:type="dxa"/>
            <w:shd w:val="clear" w:color="auto" w:fill="D9E2F3"/>
            <w:vAlign w:val="center"/>
          </w:tcPr>
          <w:p w14:paraId="3AB671CB" w14:textId="77777777" w:rsidR="00990B14" w:rsidRDefault="00000000">
            <w:pPr>
              <w:spacing w:before="20" w:after="20"/>
              <w:jc w:val="both"/>
            </w:pPr>
            <w:r>
              <w:rPr>
                <w:sz w:val="18"/>
                <w:szCs w:val="18"/>
              </w:rPr>
              <w:t>Costo por tonelada y contenido fino</w:t>
            </w:r>
          </w:p>
        </w:tc>
        <w:tc>
          <w:tcPr>
            <w:tcW w:w="1836" w:type="dxa"/>
            <w:shd w:val="clear" w:color="auto" w:fill="D9E2F3"/>
            <w:vAlign w:val="center"/>
          </w:tcPr>
          <w:p w14:paraId="043852BD" w14:textId="77777777" w:rsidR="00990B14" w:rsidRDefault="00000000">
            <w:pPr>
              <w:spacing w:before="20" w:after="20"/>
              <w:jc w:val="both"/>
            </w:pPr>
            <w:r>
              <w:rPr>
                <w:sz w:val="18"/>
                <w:szCs w:val="18"/>
              </w:rPr>
              <w:t>No considera la ley del mineral.</w:t>
            </w:r>
          </w:p>
        </w:tc>
        <w:tc>
          <w:tcPr>
            <w:tcW w:w="2015" w:type="dxa"/>
            <w:shd w:val="clear" w:color="auto" w:fill="D9E2F3"/>
            <w:vAlign w:val="center"/>
          </w:tcPr>
          <w:p w14:paraId="7FCAD5E7" w14:textId="77777777" w:rsidR="00990B14" w:rsidRDefault="00000000">
            <w:pPr>
              <w:spacing w:before="20" w:after="20"/>
              <w:jc w:val="both"/>
            </w:pPr>
            <w:r>
              <w:rPr>
                <w:sz w:val="18"/>
                <w:szCs w:val="18"/>
              </w:rPr>
              <w:t>Determina el costo por tonelada tratada y por contenido fino.</w:t>
            </w:r>
          </w:p>
        </w:tc>
        <w:tc>
          <w:tcPr>
            <w:tcW w:w="1837" w:type="dxa"/>
            <w:shd w:val="clear" w:color="auto" w:fill="D9E2F3"/>
            <w:vAlign w:val="center"/>
          </w:tcPr>
          <w:p w14:paraId="237CF66E" w14:textId="77777777" w:rsidR="00990B14" w:rsidRDefault="00000000">
            <w:pPr>
              <w:spacing w:before="20" w:after="20"/>
              <w:jc w:val="both"/>
            </w:pPr>
            <w:r>
              <w:rPr>
                <w:sz w:val="18"/>
                <w:szCs w:val="18"/>
              </w:rPr>
              <w:t>Relaciona el costo con la cotización del mineral.</w:t>
            </w:r>
          </w:p>
        </w:tc>
      </w:tr>
      <w:tr w:rsidR="00990B14" w14:paraId="57B2613A" w14:textId="77777777">
        <w:trPr>
          <w:cantSplit/>
          <w:jc w:val="center"/>
        </w:trPr>
        <w:tc>
          <w:tcPr>
            <w:tcW w:w="1807" w:type="dxa"/>
            <w:vMerge/>
            <w:shd w:val="clear" w:color="auto" w:fill="4472C4"/>
            <w:vAlign w:val="center"/>
          </w:tcPr>
          <w:p w14:paraId="768EA3C4" w14:textId="77777777" w:rsidR="00990B14" w:rsidRDefault="00990B14">
            <w:pPr>
              <w:spacing w:before="20" w:after="20"/>
            </w:pPr>
          </w:p>
        </w:tc>
        <w:tc>
          <w:tcPr>
            <w:tcW w:w="1910" w:type="dxa"/>
            <w:shd w:val="clear" w:color="auto" w:fill="D9E2F3"/>
            <w:vAlign w:val="center"/>
          </w:tcPr>
          <w:p w14:paraId="592D8193" w14:textId="77777777" w:rsidR="00990B14" w:rsidRDefault="00000000">
            <w:pPr>
              <w:spacing w:before="20" w:after="20"/>
              <w:jc w:val="both"/>
            </w:pPr>
            <w:r>
              <w:rPr>
                <w:sz w:val="18"/>
                <w:szCs w:val="18"/>
              </w:rPr>
              <w:t>Prorrateo</w:t>
            </w:r>
          </w:p>
        </w:tc>
        <w:tc>
          <w:tcPr>
            <w:tcW w:w="1836" w:type="dxa"/>
            <w:shd w:val="clear" w:color="auto" w:fill="D9E2F3"/>
            <w:vAlign w:val="center"/>
          </w:tcPr>
          <w:p w14:paraId="41D0C97B" w14:textId="77777777" w:rsidR="00990B14" w:rsidRDefault="00000000">
            <w:pPr>
              <w:spacing w:before="20" w:after="20"/>
              <w:jc w:val="both"/>
            </w:pPr>
            <w:r>
              <w:rPr>
                <w:sz w:val="18"/>
                <w:szCs w:val="18"/>
              </w:rPr>
              <w:t>Usa una base de prorrateo errónea.</w:t>
            </w:r>
          </w:p>
        </w:tc>
        <w:tc>
          <w:tcPr>
            <w:tcW w:w="2015" w:type="dxa"/>
            <w:shd w:val="clear" w:color="auto" w:fill="D9E2F3"/>
            <w:vAlign w:val="center"/>
          </w:tcPr>
          <w:p w14:paraId="01CE4ECD" w14:textId="77777777" w:rsidR="00990B14" w:rsidRDefault="00000000">
            <w:pPr>
              <w:spacing w:before="20" w:after="20"/>
              <w:jc w:val="both"/>
            </w:pPr>
            <w:r>
              <w:rPr>
                <w:sz w:val="18"/>
                <w:szCs w:val="18"/>
              </w:rPr>
              <w:t>Prorratea el costo total entre los minerales producidos.</w:t>
            </w:r>
          </w:p>
        </w:tc>
        <w:tc>
          <w:tcPr>
            <w:tcW w:w="1837" w:type="dxa"/>
            <w:shd w:val="clear" w:color="auto" w:fill="D9E2F3"/>
            <w:vAlign w:val="center"/>
          </w:tcPr>
          <w:p w14:paraId="62B1BD27" w14:textId="77777777" w:rsidR="00990B14" w:rsidRDefault="00000000">
            <w:pPr>
              <w:spacing w:before="20" w:after="20"/>
              <w:jc w:val="both"/>
            </w:pPr>
            <w:r>
              <w:rPr>
                <w:sz w:val="18"/>
                <w:szCs w:val="18"/>
              </w:rPr>
              <w:t>Compara el efecto de dos bases de prorrateo.</w:t>
            </w:r>
          </w:p>
        </w:tc>
      </w:tr>
      <w:tr w:rsidR="00990B14" w14:paraId="43E264BE" w14:textId="77777777">
        <w:trPr>
          <w:cantSplit/>
          <w:jc w:val="center"/>
        </w:trPr>
        <w:tc>
          <w:tcPr>
            <w:tcW w:w="1807" w:type="dxa"/>
            <w:vMerge/>
            <w:shd w:val="clear" w:color="auto" w:fill="4472C4"/>
            <w:vAlign w:val="center"/>
          </w:tcPr>
          <w:p w14:paraId="7148D9AA" w14:textId="77777777" w:rsidR="00990B14" w:rsidRDefault="00990B14">
            <w:pPr>
              <w:spacing w:before="20" w:after="20"/>
            </w:pPr>
          </w:p>
        </w:tc>
        <w:tc>
          <w:tcPr>
            <w:tcW w:w="1910" w:type="dxa"/>
            <w:shd w:val="clear" w:color="auto" w:fill="D9E2F3"/>
            <w:vAlign w:val="center"/>
          </w:tcPr>
          <w:p w14:paraId="12D348AB" w14:textId="77777777" w:rsidR="00990B14" w:rsidRDefault="00000000">
            <w:pPr>
              <w:spacing w:before="20" w:after="20"/>
              <w:jc w:val="both"/>
            </w:pPr>
            <w:r>
              <w:rPr>
                <w:sz w:val="18"/>
                <w:szCs w:val="18"/>
              </w:rPr>
              <w:t>Subproductos e inventarios</w:t>
            </w:r>
          </w:p>
        </w:tc>
        <w:tc>
          <w:tcPr>
            <w:tcW w:w="1836" w:type="dxa"/>
            <w:shd w:val="clear" w:color="auto" w:fill="D9E2F3"/>
            <w:vAlign w:val="center"/>
          </w:tcPr>
          <w:p w14:paraId="4E978FFA" w14:textId="77777777" w:rsidR="00990B14" w:rsidRDefault="00000000">
            <w:pPr>
              <w:spacing w:before="20" w:after="20"/>
              <w:jc w:val="both"/>
            </w:pPr>
            <w:r>
              <w:rPr>
                <w:sz w:val="18"/>
                <w:szCs w:val="18"/>
              </w:rPr>
              <w:t>No trata los subproductos.</w:t>
            </w:r>
          </w:p>
        </w:tc>
        <w:tc>
          <w:tcPr>
            <w:tcW w:w="2015" w:type="dxa"/>
            <w:shd w:val="clear" w:color="auto" w:fill="D9E2F3"/>
            <w:vAlign w:val="center"/>
          </w:tcPr>
          <w:p w14:paraId="277B4B14" w14:textId="77777777" w:rsidR="00990B14" w:rsidRDefault="00000000">
            <w:pPr>
              <w:spacing w:before="20" w:after="20"/>
              <w:jc w:val="both"/>
            </w:pPr>
            <w:r>
              <w:rPr>
                <w:sz w:val="18"/>
                <w:szCs w:val="18"/>
              </w:rPr>
              <w:t>Valúa los subproductos y el traspaso a inventarios.</w:t>
            </w:r>
          </w:p>
        </w:tc>
        <w:tc>
          <w:tcPr>
            <w:tcW w:w="1837" w:type="dxa"/>
            <w:shd w:val="clear" w:color="auto" w:fill="D9E2F3"/>
            <w:vAlign w:val="center"/>
          </w:tcPr>
          <w:p w14:paraId="3FFC0F43" w14:textId="77777777" w:rsidR="00990B14" w:rsidRDefault="00000000">
            <w:pPr>
              <w:spacing w:before="20" w:after="20"/>
              <w:jc w:val="both"/>
            </w:pPr>
            <w:r>
              <w:rPr>
                <w:sz w:val="18"/>
                <w:szCs w:val="18"/>
              </w:rPr>
              <w:t>Analiza el efecto del prorrateo en la valuación de inventarios.</w:t>
            </w:r>
          </w:p>
        </w:tc>
      </w:tr>
      <w:tr w:rsidR="00990B14" w14:paraId="19A9430B" w14:textId="77777777">
        <w:trPr>
          <w:cantSplit/>
          <w:jc w:val="center"/>
        </w:trPr>
        <w:tc>
          <w:tcPr>
            <w:tcW w:w="1807" w:type="dxa"/>
            <w:vMerge/>
            <w:shd w:val="clear" w:color="auto" w:fill="4472C4"/>
            <w:vAlign w:val="center"/>
          </w:tcPr>
          <w:p w14:paraId="5F3F99F9" w14:textId="77777777" w:rsidR="00990B14" w:rsidRDefault="00990B14">
            <w:pPr>
              <w:spacing w:before="20" w:after="20"/>
            </w:pPr>
          </w:p>
        </w:tc>
        <w:tc>
          <w:tcPr>
            <w:tcW w:w="5761" w:type="dxa"/>
            <w:gridSpan w:val="3"/>
            <w:shd w:val="clear" w:color="auto" w:fill="D9E2F3"/>
            <w:vAlign w:val="center"/>
          </w:tcPr>
          <w:p w14:paraId="2602D434" w14:textId="77777777" w:rsidR="00990B14" w:rsidRDefault="00000000">
            <w:pPr>
              <w:keepNext/>
              <w:spacing w:before="20" w:after="20"/>
              <w:jc w:val="both"/>
            </w:pPr>
            <w:r>
              <w:rPr>
                <w:b/>
                <w:bCs/>
                <w:i/>
                <w:iCs/>
                <w:sz w:val="18"/>
                <w:szCs w:val="18"/>
              </w:rPr>
              <w:t xml:space="preserve">Producto 13: </w:t>
            </w:r>
            <w:r>
              <w:rPr>
                <w:sz w:val="18"/>
                <w:szCs w:val="18"/>
              </w:rPr>
              <w:t>Hoja de liquidación provisional y definitiva de venta de minerales</w:t>
            </w:r>
          </w:p>
        </w:tc>
        <w:tc>
          <w:tcPr>
            <w:tcW w:w="1837" w:type="dxa"/>
            <w:shd w:val="clear" w:color="auto" w:fill="D9E2F3"/>
            <w:vAlign w:val="center"/>
          </w:tcPr>
          <w:p w14:paraId="55939433" w14:textId="77777777" w:rsidR="00990B14" w:rsidRDefault="00000000">
            <w:pPr>
              <w:spacing w:before="20" w:after="20"/>
              <w:jc w:val="center"/>
            </w:pPr>
            <w:r>
              <w:rPr>
                <w:b/>
                <w:bCs/>
                <w:sz w:val="18"/>
                <w:szCs w:val="18"/>
              </w:rPr>
              <w:t>4%</w:t>
            </w:r>
          </w:p>
        </w:tc>
      </w:tr>
      <w:tr w:rsidR="00990B14" w14:paraId="69D7A4D0" w14:textId="77777777">
        <w:trPr>
          <w:cantSplit/>
          <w:jc w:val="center"/>
        </w:trPr>
        <w:tc>
          <w:tcPr>
            <w:tcW w:w="1807" w:type="dxa"/>
            <w:vMerge/>
            <w:shd w:val="clear" w:color="auto" w:fill="4472C4"/>
            <w:vAlign w:val="center"/>
          </w:tcPr>
          <w:p w14:paraId="0D7DC0A9" w14:textId="77777777" w:rsidR="00990B14" w:rsidRDefault="00990B14">
            <w:pPr>
              <w:spacing w:before="20" w:after="20"/>
            </w:pPr>
          </w:p>
        </w:tc>
        <w:tc>
          <w:tcPr>
            <w:tcW w:w="1910" w:type="dxa"/>
            <w:shd w:val="clear" w:color="auto" w:fill="4472C4"/>
            <w:vAlign w:val="center"/>
          </w:tcPr>
          <w:p w14:paraId="2C54C7B2" w14:textId="77777777" w:rsidR="00990B14" w:rsidRDefault="00000000">
            <w:pPr>
              <w:keepNext/>
              <w:spacing w:before="20" w:after="20"/>
              <w:jc w:val="center"/>
            </w:pPr>
            <w:r>
              <w:rPr>
                <w:b/>
                <w:bCs/>
                <w:i/>
                <w:iCs/>
                <w:color w:val="FFFFFF"/>
                <w:sz w:val="18"/>
                <w:szCs w:val="18"/>
              </w:rPr>
              <w:t>Criterio</w:t>
            </w:r>
          </w:p>
        </w:tc>
        <w:tc>
          <w:tcPr>
            <w:tcW w:w="1836" w:type="dxa"/>
            <w:shd w:val="clear" w:color="auto" w:fill="4472C4"/>
            <w:vAlign w:val="center"/>
          </w:tcPr>
          <w:p w14:paraId="4B7DC943"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339EE1C3" w14:textId="77777777" w:rsidR="00990B14" w:rsidRDefault="00000000">
            <w:pPr>
              <w:keepNext/>
              <w:spacing w:before="20" w:after="20"/>
              <w:jc w:val="center"/>
            </w:pPr>
            <w:r>
              <w:rPr>
                <w:b/>
                <w:bCs/>
                <w:i/>
                <w:iCs/>
                <w:color w:val="FFFFFF"/>
                <w:sz w:val="18"/>
                <w:szCs w:val="18"/>
              </w:rPr>
              <w:t>Suficiente (51–80)</w:t>
            </w:r>
          </w:p>
        </w:tc>
        <w:tc>
          <w:tcPr>
            <w:tcW w:w="1837" w:type="dxa"/>
            <w:shd w:val="clear" w:color="auto" w:fill="4472C4"/>
            <w:vAlign w:val="center"/>
          </w:tcPr>
          <w:p w14:paraId="7147C82F" w14:textId="77777777" w:rsidR="00990B14" w:rsidRDefault="00000000">
            <w:pPr>
              <w:keepNext/>
              <w:spacing w:before="20" w:after="20"/>
              <w:jc w:val="center"/>
            </w:pPr>
            <w:r>
              <w:rPr>
                <w:b/>
                <w:bCs/>
                <w:i/>
                <w:iCs/>
                <w:color w:val="FFFFFF"/>
                <w:sz w:val="18"/>
                <w:szCs w:val="18"/>
              </w:rPr>
              <w:t>Destacado (81–100)</w:t>
            </w:r>
          </w:p>
        </w:tc>
      </w:tr>
      <w:tr w:rsidR="00990B14" w14:paraId="4197E22F" w14:textId="77777777">
        <w:trPr>
          <w:cantSplit/>
          <w:jc w:val="center"/>
        </w:trPr>
        <w:tc>
          <w:tcPr>
            <w:tcW w:w="1807" w:type="dxa"/>
            <w:vMerge/>
            <w:shd w:val="clear" w:color="auto" w:fill="4472C4"/>
            <w:vAlign w:val="center"/>
          </w:tcPr>
          <w:p w14:paraId="10DAB594" w14:textId="77777777" w:rsidR="00990B14" w:rsidRDefault="00990B14">
            <w:pPr>
              <w:spacing w:before="20" w:after="20"/>
            </w:pPr>
          </w:p>
        </w:tc>
        <w:tc>
          <w:tcPr>
            <w:tcW w:w="1910" w:type="dxa"/>
            <w:shd w:val="clear" w:color="auto" w:fill="D9E2F3"/>
            <w:vAlign w:val="center"/>
          </w:tcPr>
          <w:p w14:paraId="3174A577" w14:textId="77777777" w:rsidR="00990B14" w:rsidRDefault="00000000">
            <w:pPr>
              <w:spacing w:before="20" w:after="20"/>
              <w:jc w:val="both"/>
            </w:pPr>
            <w:r>
              <w:rPr>
                <w:sz w:val="18"/>
                <w:szCs w:val="18"/>
              </w:rPr>
              <w:t>Valor bruto</w:t>
            </w:r>
          </w:p>
        </w:tc>
        <w:tc>
          <w:tcPr>
            <w:tcW w:w="1836" w:type="dxa"/>
            <w:shd w:val="clear" w:color="auto" w:fill="D9E2F3"/>
            <w:vAlign w:val="center"/>
          </w:tcPr>
          <w:p w14:paraId="62FC90A2" w14:textId="77777777" w:rsidR="00990B14" w:rsidRDefault="00000000">
            <w:pPr>
              <w:spacing w:before="20" w:after="20"/>
              <w:jc w:val="both"/>
            </w:pPr>
            <w:r>
              <w:rPr>
                <w:sz w:val="18"/>
                <w:szCs w:val="18"/>
              </w:rPr>
              <w:t>Calcula mal el contenido fino.</w:t>
            </w:r>
          </w:p>
        </w:tc>
        <w:tc>
          <w:tcPr>
            <w:tcW w:w="2015" w:type="dxa"/>
            <w:shd w:val="clear" w:color="auto" w:fill="D9E2F3"/>
            <w:vAlign w:val="center"/>
          </w:tcPr>
          <w:p w14:paraId="0E457EDB" w14:textId="77777777" w:rsidR="00990B14" w:rsidRDefault="00000000">
            <w:pPr>
              <w:spacing w:before="20" w:after="20"/>
              <w:jc w:val="both"/>
            </w:pPr>
            <w:r>
              <w:rPr>
                <w:sz w:val="18"/>
                <w:szCs w:val="18"/>
              </w:rPr>
              <w:t>Determina el valor bruto con la cotización oficial.</w:t>
            </w:r>
          </w:p>
        </w:tc>
        <w:tc>
          <w:tcPr>
            <w:tcW w:w="1837" w:type="dxa"/>
            <w:shd w:val="clear" w:color="auto" w:fill="D9E2F3"/>
            <w:vAlign w:val="center"/>
          </w:tcPr>
          <w:p w14:paraId="1B204F88" w14:textId="77777777" w:rsidR="00990B14" w:rsidRDefault="00000000">
            <w:pPr>
              <w:spacing w:before="20" w:after="20"/>
              <w:jc w:val="both"/>
            </w:pPr>
            <w:r>
              <w:rPr>
                <w:sz w:val="18"/>
                <w:szCs w:val="18"/>
              </w:rPr>
              <w:t>Explica la diferencia entre ambas liquidaciones.</w:t>
            </w:r>
          </w:p>
        </w:tc>
      </w:tr>
      <w:tr w:rsidR="00990B14" w14:paraId="17EAA39C" w14:textId="77777777">
        <w:trPr>
          <w:cantSplit/>
          <w:jc w:val="center"/>
        </w:trPr>
        <w:tc>
          <w:tcPr>
            <w:tcW w:w="1807" w:type="dxa"/>
            <w:vMerge/>
            <w:shd w:val="clear" w:color="auto" w:fill="4472C4"/>
            <w:vAlign w:val="center"/>
          </w:tcPr>
          <w:p w14:paraId="7ACCED60" w14:textId="77777777" w:rsidR="00990B14" w:rsidRDefault="00990B14">
            <w:pPr>
              <w:spacing w:before="20" w:after="20"/>
            </w:pPr>
          </w:p>
        </w:tc>
        <w:tc>
          <w:tcPr>
            <w:tcW w:w="1910" w:type="dxa"/>
            <w:shd w:val="clear" w:color="auto" w:fill="D9E2F3"/>
            <w:vAlign w:val="center"/>
          </w:tcPr>
          <w:p w14:paraId="22BB86F2" w14:textId="77777777" w:rsidR="00990B14" w:rsidRDefault="00000000">
            <w:pPr>
              <w:spacing w:before="20" w:after="20"/>
              <w:jc w:val="both"/>
            </w:pPr>
            <w:r>
              <w:rPr>
                <w:sz w:val="18"/>
                <w:szCs w:val="18"/>
              </w:rPr>
              <w:t>Deducciones</w:t>
            </w:r>
          </w:p>
        </w:tc>
        <w:tc>
          <w:tcPr>
            <w:tcW w:w="1836" w:type="dxa"/>
            <w:shd w:val="clear" w:color="auto" w:fill="D9E2F3"/>
            <w:vAlign w:val="center"/>
          </w:tcPr>
          <w:p w14:paraId="0F34AA30" w14:textId="77777777" w:rsidR="00990B14" w:rsidRDefault="00000000">
            <w:pPr>
              <w:spacing w:before="20" w:after="20"/>
              <w:jc w:val="both"/>
            </w:pPr>
            <w:r>
              <w:rPr>
                <w:sz w:val="18"/>
                <w:szCs w:val="18"/>
              </w:rPr>
              <w:t>Omite castigos o gastos.</w:t>
            </w:r>
          </w:p>
        </w:tc>
        <w:tc>
          <w:tcPr>
            <w:tcW w:w="2015" w:type="dxa"/>
            <w:shd w:val="clear" w:color="auto" w:fill="D9E2F3"/>
            <w:vAlign w:val="center"/>
          </w:tcPr>
          <w:p w14:paraId="7271B6B8" w14:textId="77777777" w:rsidR="00990B14" w:rsidRDefault="00000000">
            <w:pPr>
              <w:spacing w:before="20" w:after="20"/>
              <w:jc w:val="both"/>
            </w:pPr>
            <w:r>
              <w:rPr>
                <w:sz w:val="18"/>
                <w:szCs w:val="18"/>
              </w:rPr>
              <w:t>Deduce castigos, penalidades y gastos de realización.</w:t>
            </w:r>
          </w:p>
        </w:tc>
        <w:tc>
          <w:tcPr>
            <w:tcW w:w="1837" w:type="dxa"/>
            <w:shd w:val="clear" w:color="auto" w:fill="D9E2F3"/>
            <w:vAlign w:val="center"/>
          </w:tcPr>
          <w:p w14:paraId="0F7BB565" w14:textId="77777777" w:rsidR="00990B14" w:rsidRDefault="00000000">
            <w:pPr>
              <w:spacing w:before="20" w:after="20"/>
              <w:jc w:val="both"/>
            </w:pPr>
            <w:r>
              <w:rPr>
                <w:sz w:val="18"/>
                <w:szCs w:val="18"/>
              </w:rPr>
              <w:t>Verifica las deducciones con el contrato de venta.</w:t>
            </w:r>
          </w:p>
        </w:tc>
      </w:tr>
      <w:tr w:rsidR="00990B14" w14:paraId="15E728DE" w14:textId="77777777">
        <w:trPr>
          <w:cantSplit/>
          <w:jc w:val="center"/>
        </w:trPr>
        <w:tc>
          <w:tcPr>
            <w:tcW w:w="1807" w:type="dxa"/>
            <w:vMerge/>
            <w:shd w:val="clear" w:color="auto" w:fill="4472C4"/>
            <w:vAlign w:val="center"/>
          </w:tcPr>
          <w:p w14:paraId="1F9348D4" w14:textId="77777777" w:rsidR="00990B14" w:rsidRDefault="00990B14">
            <w:pPr>
              <w:spacing w:before="20" w:after="20"/>
            </w:pPr>
          </w:p>
        </w:tc>
        <w:tc>
          <w:tcPr>
            <w:tcW w:w="1910" w:type="dxa"/>
            <w:shd w:val="clear" w:color="auto" w:fill="D9E2F3"/>
            <w:vAlign w:val="center"/>
          </w:tcPr>
          <w:p w14:paraId="705DA67C" w14:textId="77777777" w:rsidR="00990B14" w:rsidRDefault="00000000">
            <w:pPr>
              <w:spacing w:before="20" w:after="20"/>
              <w:jc w:val="both"/>
            </w:pPr>
            <w:r>
              <w:rPr>
                <w:sz w:val="18"/>
                <w:szCs w:val="18"/>
              </w:rPr>
              <w:t>Ajuste de precio</w:t>
            </w:r>
          </w:p>
        </w:tc>
        <w:tc>
          <w:tcPr>
            <w:tcW w:w="1836" w:type="dxa"/>
            <w:shd w:val="clear" w:color="auto" w:fill="D9E2F3"/>
            <w:vAlign w:val="center"/>
          </w:tcPr>
          <w:p w14:paraId="53C8C919" w14:textId="77777777" w:rsidR="00990B14" w:rsidRDefault="00000000">
            <w:pPr>
              <w:spacing w:before="20" w:after="20"/>
              <w:jc w:val="both"/>
            </w:pPr>
            <w:r>
              <w:rPr>
                <w:sz w:val="18"/>
                <w:szCs w:val="18"/>
              </w:rPr>
              <w:t>No registra el ajuste.</w:t>
            </w:r>
          </w:p>
        </w:tc>
        <w:tc>
          <w:tcPr>
            <w:tcW w:w="2015" w:type="dxa"/>
            <w:shd w:val="clear" w:color="auto" w:fill="D9E2F3"/>
            <w:vAlign w:val="center"/>
          </w:tcPr>
          <w:p w14:paraId="58D7AD35" w14:textId="77777777" w:rsidR="00990B14" w:rsidRDefault="00000000">
            <w:pPr>
              <w:spacing w:before="20" w:after="20"/>
              <w:jc w:val="both"/>
            </w:pPr>
            <w:r>
              <w:rPr>
                <w:sz w:val="18"/>
                <w:szCs w:val="18"/>
              </w:rPr>
              <w:t>Registra el ajuste del precio provisional.</w:t>
            </w:r>
          </w:p>
        </w:tc>
        <w:tc>
          <w:tcPr>
            <w:tcW w:w="1837" w:type="dxa"/>
            <w:shd w:val="clear" w:color="auto" w:fill="D9E2F3"/>
            <w:vAlign w:val="center"/>
          </w:tcPr>
          <w:p w14:paraId="651C9E06" w14:textId="77777777" w:rsidR="00990B14" w:rsidRDefault="00000000">
            <w:pPr>
              <w:spacing w:before="20" w:after="20"/>
              <w:jc w:val="both"/>
            </w:pPr>
            <w:r>
              <w:rPr>
                <w:sz w:val="18"/>
                <w:szCs w:val="18"/>
              </w:rPr>
              <w:t>Evalúa el efecto del ajuste en el resultado del periodo.</w:t>
            </w:r>
          </w:p>
        </w:tc>
      </w:tr>
      <w:tr w:rsidR="00990B14" w14:paraId="395653CD" w14:textId="77777777">
        <w:trPr>
          <w:cantSplit/>
          <w:jc w:val="center"/>
        </w:trPr>
        <w:tc>
          <w:tcPr>
            <w:tcW w:w="1807" w:type="dxa"/>
            <w:vMerge/>
            <w:shd w:val="clear" w:color="auto" w:fill="4472C4"/>
            <w:vAlign w:val="center"/>
          </w:tcPr>
          <w:p w14:paraId="60179A92" w14:textId="77777777" w:rsidR="00990B14" w:rsidRDefault="00990B14">
            <w:pPr>
              <w:spacing w:before="20" w:after="20"/>
            </w:pPr>
          </w:p>
        </w:tc>
        <w:tc>
          <w:tcPr>
            <w:tcW w:w="5761" w:type="dxa"/>
            <w:gridSpan w:val="3"/>
            <w:shd w:val="clear" w:color="auto" w:fill="D9E2F3"/>
            <w:vAlign w:val="center"/>
          </w:tcPr>
          <w:p w14:paraId="0491CFA6" w14:textId="77777777" w:rsidR="00990B14" w:rsidRDefault="00000000">
            <w:pPr>
              <w:keepNext/>
              <w:spacing w:before="20" w:after="20"/>
              <w:jc w:val="both"/>
            </w:pPr>
            <w:r>
              <w:rPr>
                <w:b/>
                <w:bCs/>
                <w:i/>
                <w:iCs/>
                <w:sz w:val="18"/>
                <w:szCs w:val="18"/>
              </w:rPr>
              <w:t xml:space="preserve">Producto 14: </w:t>
            </w:r>
            <w:r>
              <w:rPr>
                <w:sz w:val="18"/>
                <w:szCs w:val="18"/>
              </w:rPr>
              <w:t>Cuadro comparativo de cotizaciones y regalías mineras</w:t>
            </w:r>
          </w:p>
        </w:tc>
        <w:tc>
          <w:tcPr>
            <w:tcW w:w="1837" w:type="dxa"/>
            <w:shd w:val="clear" w:color="auto" w:fill="D9E2F3"/>
            <w:vAlign w:val="center"/>
          </w:tcPr>
          <w:p w14:paraId="68D7C967" w14:textId="77777777" w:rsidR="00990B14" w:rsidRDefault="00000000">
            <w:pPr>
              <w:spacing w:before="20" w:after="20"/>
              <w:jc w:val="center"/>
            </w:pPr>
            <w:r>
              <w:rPr>
                <w:b/>
                <w:bCs/>
                <w:sz w:val="18"/>
                <w:szCs w:val="18"/>
              </w:rPr>
              <w:t>3%</w:t>
            </w:r>
          </w:p>
        </w:tc>
      </w:tr>
      <w:tr w:rsidR="00990B14" w14:paraId="3922B7FE" w14:textId="77777777">
        <w:trPr>
          <w:cantSplit/>
          <w:jc w:val="center"/>
        </w:trPr>
        <w:tc>
          <w:tcPr>
            <w:tcW w:w="1807" w:type="dxa"/>
            <w:vMerge/>
            <w:shd w:val="clear" w:color="auto" w:fill="4472C4"/>
            <w:vAlign w:val="center"/>
          </w:tcPr>
          <w:p w14:paraId="3FD9C214" w14:textId="77777777" w:rsidR="00990B14" w:rsidRDefault="00990B14">
            <w:pPr>
              <w:spacing w:before="20" w:after="20"/>
            </w:pPr>
          </w:p>
        </w:tc>
        <w:tc>
          <w:tcPr>
            <w:tcW w:w="1910" w:type="dxa"/>
            <w:shd w:val="clear" w:color="auto" w:fill="4472C4"/>
            <w:vAlign w:val="center"/>
          </w:tcPr>
          <w:p w14:paraId="1FF7549B" w14:textId="77777777" w:rsidR="00990B14" w:rsidRDefault="00000000">
            <w:pPr>
              <w:keepNext/>
              <w:spacing w:before="20" w:after="20"/>
              <w:jc w:val="center"/>
            </w:pPr>
            <w:r>
              <w:rPr>
                <w:b/>
                <w:bCs/>
                <w:i/>
                <w:iCs/>
                <w:color w:val="FFFFFF"/>
                <w:sz w:val="18"/>
                <w:szCs w:val="18"/>
              </w:rPr>
              <w:t>Criterio</w:t>
            </w:r>
          </w:p>
        </w:tc>
        <w:tc>
          <w:tcPr>
            <w:tcW w:w="1836" w:type="dxa"/>
            <w:shd w:val="clear" w:color="auto" w:fill="4472C4"/>
            <w:vAlign w:val="center"/>
          </w:tcPr>
          <w:p w14:paraId="6E7581E4"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2D0501E3" w14:textId="77777777" w:rsidR="00990B14" w:rsidRDefault="00000000">
            <w:pPr>
              <w:keepNext/>
              <w:spacing w:before="20" w:after="20"/>
              <w:jc w:val="center"/>
            </w:pPr>
            <w:r>
              <w:rPr>
                <w:b/>
                <w:bCs/>
                <w:i/>
                <w:iCs/>
                <w:color w:val="FFFFFF"/>
                <w:sz w:val="18"/>
                <w:szCs w:val="18"/>
              </w:rPr>
              <w:t>Suficiente (51–80)</w:t>
            </w:r>
          </w:p>
        </w:tc>
        <w:tc>
          <w:tcPr>
            <w:tcW w:w="1837" w:type="dxa"/>
            <w:shd w:val="clear" w:color="auto" w:fill="4472C4"/>
            <w:vAlign w:val="center"/>
          </w:tcPr>
          <w:p w14:paraId="34263742" w14:textId="77777777" w:rsidR="00990B14" w:rsidRDefault="00000000">
            <w:pPr>
              <w:keepNext/>
              <w:spacing w:before="20" w:after="20"/>
              <w:jc w:val="center"/>
            </w:pPr>
            <w:r>
              <w:rPr>
                <w:b/>
                <w:bCs/>
                <w:i/>
                <w:iCs/>
                <w:color w:val="FFFFFF"/>
                <w:sz w:val="18"/>
                <w:szCs w:val="18"/>
              </w:rPr>
              <w:t>Destacado (81–100)</w:t>
            </w:r>
          </w:p>
        </w:tc>
      </w:tr>
      <w:tr w:rsidR="00990B14" w14:paraId="3D11A2F5" w14:textId="77777777">
        <w:trPr>
          <w:cantSplit/>
          <w:jc w:val="center"/>
        </w:trPr>
        <w:tc>
          <w:tcPr>
            <w:tcW w:w="1807" w:type="dxa"/>
            <w:vMerge/>
            <w:shd w:val="clear" w:color="auto" w:fill="4472C4"/>
            <w:vAlign w:val="center"/>
          </w:tcPr>
          <w:p w14:paraId="03F95D06" w14:textId="77777777" w:rsidR="00990B14" w:rsidRDefault="00990B14">
            <w:pPr>
              <w:spacing w:before="20" w:after="20"/>
            </w:pPr>
          </w:p>
        </w:tc>
        <w:tc>
          <w:tcPr>
            <w:tcW w:w="1910" w:type="dxa"/>
            <w:shd w:val="clear" w:color="auto" w:fill="D9E2F3"/>
            <w:vAlign w:val="center"/>
          </w:tcPr>
          <w:p w14:paraId="1072692D" w14:textId="77777777" w:rsidR="00990B14" w:rsidRDefault="00000000">
            <w:pPr>
              <w:spacing w:before="20" w:after="20"/>
              <w:jc w:val="both"/>
            </w:pPr>
            <w:r>
              <w:rPr>
                <w:sz w:val="18"/>
                <w:szCs w:val="18"/>
              </w:rPr>
              <w:t>Cotizaciones</w:t>
            </w:r>
          </w:p>
        </w:tc>
        <w:tc>
          <w:tcPr>
            <w:tcW w:w="1836" w:type="dxa"/>
            <w:shd w:val="clear" w:color="auto" w:fill="D9E2F3"/>
            <w:vAlign w:val="center"/>
          </w:tcPr>
          <w:p w14:paraId="1039AD74" w14:textId="77777777" w:rsidR="00990B14" w:rsidRDefault="00000000">
            <w:pPr>
              <w:spacing w:before="20" w:after="20"/>
              <w:jc w:val="both"/>
            </w:pPr>
            <w:r>
              <w:rPr>
                <w:sz w:val="18"/>
                <w:szCs w:val="18"/>
              </w:rPr>
              <w:t>Usa cotizaciones no oficiales.</w:t>
            </w:r>
          </w:p>
        </w:tc>
        <w:tc>
          <w:tcPr>
            <w:tcW w:w="2015" w:type="dxa"/>
            <w:shd w:val="clear" w:color="auto" w:fill="D9E2F3"/>
            <w:vAlign w:val="center"/>
          </w:tcPr>
          <w:p w14:paraId="0FC00745" w14:textId="77777777" w:rsidR="00990B14" w:rsidRDefault="00000000">
            <w:pPr>
              <w:spacing w:before="20" w:after="20"/>
              <w:jc w:val="both"/>
            </w:pPr>
            <w:r>
              <w:rPr>
                <w:sz w:val="18"/>
                <w:szCs w:val="18"/>
              </w:rPr>
              <w:t>Registra las cotizaciones oficiales de los minerales vendidos.</w:t>
            </w:r>
          </w:p>
        </w:tc>
        <w:tc>
          <w:tcPr>
            <w:tcW w:w="1837" w:type="dxa"/>
            <w:shd w:val="clear" w:color="auto" w:fill="D9E2F3"/>
            <w:vAlign w:val="center"/>
          </w:tcPr>
          <w:p w14:paraId="54E3AA85" w14:textId="77777777" w:rsidR="00990B14" w:rsidRDefault="00000000">
            <w:pPr>
              <w:spacing w:before="20" w:after="20"/>
              <w:jc w:val="both"/>
            </w:pPr>
            <w:r>
              <w:rPr>
                <w:sz w:val="18"/>
                <w:szCs w:val="18"/>
              </w:rPr>
              <w:t>Analiza la tendencia de las cotizaciones en el periodo.</w:t>
            </w:r>
          </w:p>
        </w:tc>
      </w:tr>
      <w:tr w:rsidR="00990B14" w14:paraId="2D667947" w14:textId="77777777">
        <w:trPr>
          <w:cantSplit/>
          <w:jc w:val="center"/>
        </w:trPr>
        <w:tc>
          <w:tcPr>
            <w:tcW w:w="1807" w:type="dxa"/>
            <w:vMerge/>
            <w:shd w:val="clear" w:color="auto" w:fill="4472C4"/>
            <w:vAlign w:val="center"/>
          </w:tcPr>
          <w:p w14:paraId="68A56765" w14:textId="77777777" w:rsidR="00990B14" w:rsidRDefault="00990B14">
            <w:pPr>
              <w:spacing w:before="20" w:after="20"/>
            </w:pPr>
          </w:p>
        </w:tc>
        <w:tc>
          <w:tcPr>
            <w:tcW w:w="1910" w:type="dxa"/>
            <w:shd w:val="clear" w:color="auto" w:fill="D9E2F3"/>
            <w:vAlign w:val="center"/>
          </w:tcPr>
          <w:p w14:paraId="2C7C7817" w14:textId="77777777" w:rsidR="00990B14" w:rsidRDefault="00000000">
            <w:pPr>
              <w:spacing w:before="20" w:after="20"/>
              <w:jc w:val="both"/>
            </w:pPr>
            <w:r>
              <w:rPr>
                <w:sz w:val="18"/>
                <w:szCs w:val="18"/>
              </w:rPr>
              <w:t>Alícuotas de regalía</w:t>
            </w:r>
          </w:p>
        </w:tc>
        <w:tc>
          <w:tcPr>
            <w:tcW w:w="1836" w:type="dxa"/>
            <w:shd w:val="clear" w:color="auto" w:fill="D9E2F3"/>
            <w:vAlign w:val="center"/>
          </w:tcPr>
          <w:p w14:paraId="3E17E17F" w14:textId="77777777" w:rsidR="00990B14" w:rsidRDefault="00000000">
            <w:pPr>
              <w:spacing w:before="20" w:after="20"/>
              <w:jc w:val="both"/>
            </w:pPr>
            <w:r>
              <w:rPr>
                <w:sz w:val="18"/>
                <w:szCs w:val="18"/>
              </w:rPr>
              <w:t>Aplica alícuotas erróneas.</w:t>
            </w:r>
          </w:p>
        </w:tc>
        <w:tc>
          <w:tcPr>
            <w:tcW w:w="2015" w:type="dxa"/>
            <w:shd w:val="clear" w:color="auto" w:fill="D9E2F3"/>
            <w:vAlign w:val="center"/>
          </w:tcPr>
          <w:p w14:paraId="3532A87E" w14:textId="77777777" w:rsidR="00990B14" w:rsidRDefault="00000000">
            <w:pPr>
              <w:spacing w:before="20" w:after="20"/>
              <w:jc w:val="both"/>
            </w:pPr>
            <w:r>
              <w:rPr>
                <w:sz w:val="18"/>
                <w:szCs w:val="18"/>
              </w:rPr>
              <w:t>Ubica la alícuota de cada mineral según la tabla legal.</w:t>
            </w:r>
          </w:p>
        </w:tc>
        <w:tc>
          <w:tcPr>
            <w:tcW w:w="1837" w:type="dxa"/>
            <w:shd w:val="clear" w:color="auto" w:fill="D9E2F3"/>
            <w:vAlign w:val="center"/>
          </w:tcPr>
          <w:p w14:paraId="7376BE11" w14:textId="77777777" w:rsidR="00990B14" w:rsidRDefault="00000000">
            <w:pPr>
              <w:spacing w:before="20" w:after="20"/>
              <w:jc w:val="both"/>
            </w:pPr>
            <w:r>
              <w:rPr>
                <w:sz w:val="18"/>
                <w:szCs w:val="18"/>
              </w:rPr>
              <w:t>Concilia la regalía con los libros de ventas y compras.</w:t>
            </w:r>
          </w:p>
        </w:tc>
      </w:tr>
      <w:tr w:rsidR="00990B14" w14:paraId="3D762846" w14:textId="77777777">
        <w:trPr>
          <w:cantSplit/>
          <w:jc w:val="center"/>
        </w:trPr>
        <w:tc>
          <w:tcPr>
            <w:tcW w:w="1807" w:type="dxa"/>
            <w:vMerge/>
            <w:shd w:val="clear" w:color="auto" w:fill="4472C4"/>
            <w:vAlign w:val="center"/>
          </w:tcPr>
          <w:p w14:paraId="4F47703C" w14:textId="77777777" w:rsidR="00990B14" w:rsidRDefault="00990B14">
            <w:pPr>
              <w:spacing w:before="20" w:after="20"/>
            </w:pPr>
          </w:p>
        </w:tc>
        <w:tc>
          <w:tcPr>
            <w:tcW w:w="1910" w:type="dxa"/>
            <w:shd w:val="clear" w:color="auto" w:fill="D9E2F3"/>
            <w:vAlign w:val="center"/>
          </w:tcPr>
          <w:p w14:paraId="02A986AA" w14:textId="77777777" w:rsidR="00990B14" w:rsidRDefault="00000000">
            <w:pPr>
              <w:spacing w:before="20" w:after="20"/>
              <w:jc w:val="both"/>
            </w:pPr>
            <w:r>
              <w:rPr>
                <w:sz w:val="18"/>
                <w:szCs w:val="18"/>
              </w:rPr>
              <w:t>Acreditación contra el IUE</w:t>
            </w:r>
          </w:p>
        </w:tc>
        <w:tc>
          <w:tcPr>
            <w:tcW w:w="1836" w:type="dxa"/>
            <w:shd w:val="clear" w:color="auto" w:fill="D9E2F3"/>
            <w:vAlign w:val="center"/>
          </w:tcPr>
          <w:p w14:paraId="3C9FEB92" w14:textId="77777777" w:rsidR="00990B14" w:rsidRDefault="00000000">
            <w:pPr>
              <w:spacing w:before="20" w:after="20"/>
              <w:jc w:val="both"/>
            </w:pPr>
            <w:r>
              <w:rPr>
                <w:sz w:val="18"/>
                <w:szCs w:val="18"/>
              </w:rPr>
              <w:t>No distingue la regalía acreditable.</w:t>
            </w:r>
          </w:p>
        </w:tc>
        <w:tc>
          <w:tcPr>
            <w:tcW w:w="2015" w:type="dxa"/>
            <w:shd w:val="clear" w:color="auto" w:fill="D9E2F3"/>
            <w:vAlign w:val="center"/>
          </w:tcPr>
          <w:p w14:paraId="5E1D0247" w14:textId="77777777" w:rsidR="00990B14" w:rsidRDefault="00000000">
            <w:pPr>
              <w:spacing w:before="20" w:after="20"/>
              <w:jc w:val="both"/>
            </w:pPr>
            <w:r>
              <w:rPr>
                <w:sz w:val="18"/>
                <w:szCs w:val="18"/>
              </w:rPr>
              <w:t>Distingue la regalía acreditable de la no acreditable.</w:t>
            </w:r>
          </w:p>
        </w:tc>
        <w:tc>
          <w:tcPr>
            <w:tcW w:w="1837" w:type="dxa"/>
            <w:shd w:val="clear" w:color="auto" w:fill="D9E2F3"/>
            <w:vAlign w:val="center"/>
          </w:tcPr>
          <w:p w14:paraId="19ED3E27" w14:textId="77777777" w:rsidR="00990B14" w:rsidRDefault="00000000">
            <w:pPr>
              <w:spacing w:before="20" w:after="20"/>
              <w:jc w:val="both"/>
            </w:pPr>
            <w:r>
              <w:rPr>
                <w:sz w:val="18"/>
                <w:szCs w:val="18"/>
              </w:rPr>
              <w:t>Analiza el efecto de la acreditación en el flujo de caja.</w:t>
            </w:r>
          </w:p>
        </w:tc>
      </w:tr>
      <w:tr w:rsidR="00990B14" w14:paraId="1FB30AB7" w14:textId="77777777">
        <w:trPr>
          <w:cantSplit/>
          <w:jc w:val="center"/>
        </w:trPr>
        <w:tc>
          <w:tcPr>
            <w:tcW w:w="1807" w:type="dxa"/>
            <w:vMerge/>
            <w:shd w:val="clear" w:color="auto" w:fill="4472C4"/>
            <w:vAlign w:val="center"/>
          </w:tcPr>
          <w:p w14:paraId="78F3D18E" w14:textId="77777777" w:rsidR="00990B14" w:rsidRDefault="00990B14">
            <w:pPr>
              <w:spacing w:before="20" w:after="20"/>
            </w:pPr>
          </w:p>
        </w:tc>
        <w:tc>
          <w:tcPr>
            <w:tcW w:w="5761" w:type="dxa"/>
            <w:gridSpan w:val="3"/>
            <w:shd w:val="clear" w:color="auto" w:fill="D9E2F3"/>
            <w:vAlign w:val="center"/>
          </w:tcPr>
          <w:p w14:paraId="3CBB2368" w14:textId="77777777" w:rsidR="00990B14" w:rsidRDefault="00000000">
            <w:pPr>
              <w:keepNext/>
              <w:spacing w:before="20" w:after="20"/>
              <w:jc w:val="both"/>
            </w:pPr>
            <w:r>
              <w:rPr>
                <w:b/>
                <w:bCs/>
                <w:i/>
                <w:iCs/>
                <w:sz w:val="18"/>
                <w:szCs w:val="18"/>
              </w:rPr>
              <w:t xml:space="preserve">Producto 15: </w:t>
            </w:r>
            <w:r>
              <w:rPr>
                <w:sz w:val="18"/>
                <w:szCs w:val="18"/>
              </w:rPr>
              <w:t>Diapositivas sobre el impacto ambiental de las empresas mineras auríferas</w:t>
            </w:r>
          </w:p>
        </w:tc>
        <w:tc>
          <w:tcPr>
            <w:tcW w:w="1837" w:type="dxa"/>
            <w:shd w:val="clear" w:color="auto" w:fill="D9E2F3"/>
            <w:vAlign w:val="center"/>
          </w:tcPr>
          <w:p w14:paraId="724A1921" w14:textId="77777777" w:rsidR="00990B14" w:rsidRDefault="00000000">
            <w:pPr>
              <w:spacing w:before="20" w:after="20"/>
              <w:jc w:val="center"/>
            </w:pPr>
            <w:r>
              <w:rPr>
                <w:b/>
                <w:bCs/>
                <w:sz w:val="18"/>
                <w:szCs w:val="18"/>
              </w:rPr>
              <w:t>3%</w:t>
            </w:r>
          </w:p>
        </w:tc>
      </w:tr>
      <w:tr w:rsidR="00990B14" w14:paraId="1A7DDA00" w14:textId="77777777">
        <w:trPr>
          <w:cantSplit/>
          <w:jc w:val="center"/>
        </w:trPr>
        <w:tc>
          <w:tcPr>
            <w:tcW w:w="1807" w:type="dxa"/>
            <w:vMerge/>
            <w:shd w:val="clear" w:color="auto" w:fill="4472C4"/>
            <w:vAlign w:val="center"/>
          </w:tcPr>
          <w:p w14:paraId="32AECE8C" w14:textId="77777777" w:rsidR="00990B14" w:rsidRDefault="00990B14">
            <w:pPr>
              <w:spacing w:before="20" w:after="20"/>
            </w:pPr>
          </w:p>
        </w:tc>
        <w:tc>
          <w:tcPr>
            <w:tcW w:w="1910" w:type="dxa"/>
            <w:shd w:val="clear" w:color="auto" w:fill="4472C4"/>
            <w:vAlign w:val="center"/>
          </w:tcPr>
          <w:p w14:paraId="77368FF2" w14:textId="77777777" w:rsidR="00990B14" w:rsidRDefault="00000000">
            <w:pPr>
              <w:keepNext/>
              <w:spacing w:before="20" w:after="20"/>
              <w:jc w:val="center"/>
            </w:pPr>
            <w:r>
              <w:rPr>
                <w:b/>
                <w:bCs/>
                <w:i/>
                <w:iCs/>
                <w:color w:val="FFFFFF"/>
                <w:sz w:val="18"/>
                <w:szCs w:val="18"/>
              </w:rPr>
              <w:t>Criterio</w:t>
            </w:r>
          </w:p>
        </w:tc>
        <w:tc>
          <w:tcPr>
            <w:tcW w:w="1836" w:type="dxa"/>
            <w:shd w:val="clear" w:color="auto" w:fill="4472C4"/>
            <w:vAlign w:val="center"/>
          </w:tcPr>
          <w:p w14:paraId="033D34DF"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5E220F86" w14:textId="77777777" w:rsidR="00990B14" w:rsidRDefault="00000000">
            <w:pPr>
              <w:keepNext/>
              <w:spacing w:before="20" w:after="20"/>
              <w:jc w:val="center"/>
            </w:pPr>
            <w:r>
              <w:rPr>
                <w:b/>
                <w:bCs/>
                <w:i/>
                <w:iCs/>
                <w:color w:val="FFFFFF"/>
                <w:sz w:val="18"/>
                <w:szCs w:val="18"/>
              </w:rPr>
              <w:t>Suficiente (51–80)</w:t>
            </w:r>
          </w:p>
        </w:tc>
        <w:tc>
          <w:tcPr>
            <w:tcW w:w="1837" w:type="dxa"/>
            <w:shd w:val="clear" w:color="auto" w:fill="4472C4"/>
            <w:vAlign w:val="center"/>
          </w:tcPr>
          <w:p w14:paraId="5BBA7095" w14:textId="77777777" w:rsidR="00990B14" w:rsidRDefault="00000000">
            <w:pPr>
              <w:keepNext/>
              <w:spacing w:before="20" w:after="20"/>
              <w:jc w:val="center"/>
            </w:pPr>
            <w:r>
              <w:rPr>
                <w:b/>
                <w:bCs/>
                <w:i/>
                <w:iCs/>
                <w:color w:val="FFFFFF"/>
                <w:sz w:val="18"/>
                <w:szCs w:val="18"/>
              </w:rPr>
              <w:t>Destacado (81–100)</w:t>
            </w:r>
          </w:p>
        </w:tc>
      </w:tr>
      <w:tr w:rsidR="00990B14" w14:paraId="7D036D47" w14:textId="77777777">
        <w:trPr>
          <w:cantSplit/>
          <w:jc w:val="center"/>
        </w:trPr>
        <w:tc>
          <w:tcPr>
            <w:tcW w:w="1807" w:type="dxa"/>
            <w:vMerge/>
            <w:shd w:val="clear" w:color="auto" w:fill="4472C4"/>
            <w:vAlign w:val="center"/>
          </w:tcPr>
          <w:p w14:paraId="6920EB9E" w14:textId="77777777" w:rsidR="00990B14" w:rsidRDefault="00990B14">
            <w:pPr>
              <w:spacing w:before="20" w:after="20"/>
            </w:pPr>
          </w:p>
        </w:tc>
        <w:tc>
          <w:tcPr>
            <w:tcW w:w="1910" w:type="dxa"/>
            <w:shd w:val="clear" w:color="auto" w:fill="D9E2F3"/>
            <w:vAlign w:val="center"/>
          </w:tcPr>
          <w:p w14:paraId="2EFC0064" w14:textId="77777777" w:rsidR="00990B14" w:rsidRDefault="00000000">
            <w:pPr>
              <w:spacing w:before="20" w:after="20"/>
              <w:jc w:val="both"/>
            </w:pPr>
            <w:r>
              <w:rPr>
                <w:sz w:val="18"/>
                <w:szCs w:val="18"/>
              </w:rPr>
              <w:t>Identificación de impactos</w:t>
            </w:r>
          </w:p>
        </w:tc>
        <w:tc>
          <w:tcPr>
            <w:tcW w:w="1836" w:type="dxa"/>
            <w:shd w:val="clear" w:color="auto" w:fill="D9E2F3"/>
            <w:vAlign w:val="center"/>
          </w:tcPr>
          <w:p w14:paraId="14A7B6B3" w14:textId="77777777" w:rsidR="00990B14" w:rsidRDefault="00000000">
            <w:pPr>
              <w:spacing w:before="20" w:after="20"/>
              <w:jc w:val="both"/>
            </w:pPr>
            <w:r>
              <w:rPr>
                <w:sz w:val="18"/>
                <w:szCs w:val="18"/>
              </w:rPr>
              <w:t>No identifica los impactos.</w:t>
            </w:r>
          </w:p>
        </w:tc>
        <w:tc>
          <w:tcPr>
            <w:tcW w:w="2015" w:type="dxa"/>
            <w:shd w:val="clear" w:color="auto" w:fill="D9E2F3"/>
            <w:vAlign w:val="center"/>
          </w:tcPr>
          <w:p w14:paraId="0118B79D" w14:textId="77777777" w:rsidR="00990B14" w:rsidRDefault="00000000">
            <w:pPr>
              <w:spacing w:before="20" w:after="20"/>
              <w:jc w:val="both"/>
            </w:pPr>
            <w:r>
              <w:rPr>
                <w:sz w:val="18"/>
                <w:szCs w:val="18"/>
              </w:rPr>
              <w:t>Identifica los impactos del mercurio y de los residuos en el agua, el suelo y la salud.</w:t>
            </w:r>
          </w:p>
        </w:tc>
        <w:tc>
          <w:tcPr>
            <w:tcW w:w="1837" w:type="dxa"/>
            <w:shd w:val="clear" w:color="auto" w:fill="D9E2F3"/>
            <w:vAlign w:val="center"/>
          </w:tcPr>
          <w:p w14:paraId="2C48B98F" w14:textId="77777777" w:rsidR="00990B14" w:rsidRDefault="00000000">
            <w:pPr>
              <w:spacing w:before="20" w:after="20"/>
              <w:jc w:val="both"/>
            </w:pPr>
            <w:r>
              <w:rPr>
                <w:sz w:val="18"/>
                <w:szCs w:val="18"/>
              </w:rPr>
              <w:t>Prioriza los impactos según su gravedad y la zona afectada.</w:t>
            </w:r>
          </w:p>
        </w:tc>
      </w:tr>
      <w:tr w:rsidR="00990B14" w14:paraId="4D882CF9" w14:textId="77777777">
        <w:trPr>
          <w:cantSplit/>
          <w:jc w:val="center"/>
        </w:trPr>
        <w:tc>
          <w:tcPr>
            <w:tcW w:w="1807" w:type="dxa"/>
            <w:vMerge/>
            <w:shd w:val="clear" w:color="auto" w:fill="4472C4"/>
            <w:vAlign w:val="center"/>
          </w:tcPr>
          <w:p w14:paraId="07842955" w14:textId="77777777" w:rsidR="00990B14" w:rsidRDefault="00990B14">
            <w:pPr>
              <w:spacing w:before="20" w:after="20"/>
            </w:pPr>
          </w:p>
        </w:tc>
        <w:tc>
          <w:tcPr>
            <w:tcW w:w="1910" w:type="dxa"/>
            <w:shd w:val="clear" w:color="auto" w:fill="D9E2F3"/>
            <w:vAlign w:val="center"/>
          </w:tcPr>
          <w:p w14:paraId="7432465E" w14:textId="77777777" w:rsidR="00990B14" w:rsidRDefault="00000000">
            <w:pPr>
              <w:spacing w:before="20" w:after="20"/>
              <w:jc w:val="both"/>
            </w:pPr>
            <w:r>
              <w:rPr>
                <w:sz w:val="18"/>
                <w:szCs w:val="18"/>
              </w:rPr>
              <w:t>Diseño de las diapositivas</w:t>
            </w:r>
          </w:p>
        </w:tc>
        <w:tc>
          <w:tcPr>
            <w:tcW w:w="1836" w:type="dxa"/>
            <w:shd w:val="clear" w:color="auto" w:fill="D9E2F3"/>
            <w:vAlign w:val="center"/>
          </w:tcPr>
          <w:p w14:paraId="47C26F98" w14:textId="77777777" w:rsidR="00990B14" w:rsidRDefault="00000000">
            <w:pPr>
              <w:spacing w:before="20" w:after="20"/>
              <w:jc w:val="both"/>
            </w:pPr>
            <w:r>
              <w:rPr>
                <w:sz w:val="18"/>
                <w:szCs w:val="18"/>
              </w:rPr>
              <w:t>Las diapositivas están recargadas o desordenadas.</w:t>
            </w:r>
          </w:p>
        </w:tc>
        <w:tc>
          <w:tcPr>
            <w:tcW w:w="2015" w:type="dxa"/>
            <w:shd w:val="clear" w:color="auto" w:fill="D9E2F3"/>
            <w:vAlign w:val="center"/>
          </w:tcPr>
          <w:p w14:paraId="09400658" w14:textId="77777777" w:rsidR="00990B14" w:rsidRDefault="00000000">
            <w:pPr>
              <w:spacing w:before="20" w:after="20"/>
              <w:jc w:val="both"/>
            </w:pPr>
            <w:r>
              <w:rPr>
                <w:sz w:val="18"/>
                <w:szCs w:val="18"/>
              </w:rPr>
              <w:t>Las diapositivas son claras, con texto breve e imágenes pertinentes.</w:t>
            </w:r>
          </w:p>
        </w:tc>
        <w:tc>
          <w:tcPr>
            <w:tcW w:w="1837" w:type="dxa"/>
            <w:shd w:val="clear" w:color="auto" w:fill="D9E2F3"/>
            <w:vAlign w:val="center"/>
          </w:tcPr>
          <w:p w14:paraId="78401590" w14:textId="77777777" w:rsidR="00990B14" w:rsidRDefault="00000000">
            <w:pPr>
              <w:spacing w:before="20" w:after="20"/>
              <w:jc w:val="both"/>
            </w:pPr>
            <w:r>
              <w:rPr>
                <w:sz w:val="18"/>
                <w:szCs w:val="18"/>
              </w:rPr>
              <w:t>Usa mapas, datos y gráficos que sustentan el mensaje.</w:t>
            </w:r>
          </w:p>
        </w:tc>
      </w:tr>
      <w:tr w:rsidR="00990B14" w14:paraId="6058336F" w14:textId="77777777">
        <w:trPr>
          <w:cantSplit/>
          <w:jc w:val="center"/>
        </w:trPr>
        <w:tc>
          <w:tcPr>
            <w:tcW w:w="1807" w:type="dxa"/>
            <w:vMerge/>
            <w:shd w:val="clear" w:color="auto" w:fill="4472C4"/>
            <w:vAlign w:val="center"/>
          </w:tcPr>
          <w:p w14:paraId="7C322971" w14:textId="77777777" w:rsidR="00990B14" w:rsidRDefault="00990B14">
            <w:pPr>
              <w:spacing w:before="20" w:after="20"/>
            </w:pPr>
          </w:p>
        </w:tc>
        <w:tc>
          <w:tcPr>
            <w:tcW w:w="1910" w:type="dxa"/>
            <w:shd w:val="clear" w:color="auto" w:fill="D9E2F3"/>
            <w:vAlign w:val="center"/>
          </w:tcPr>
          <w:p w14:paraId="2B6CBDDA" w14:textId="77777777" w:rsidR="00990B14" w:rsidRDefault="00000000">
            <w:pPr>
              <w:spacing w:before="20" w:after="20"/>
              <w:jc w:val="both"/>
            </w:pPr>
            <w:r>
              <w:rPr>
                <w:sz w:val="18"/>
                <w:szCs w:val="18"/>
              </w:rPr>
              <w:t>Exposición en equipo</w:t>
            </w:r>
          </w:p>
        </w:tc>
        <w:tc>
          <w:tcPr>
            <w:tcW w:w="1836" w:type="dxa"/>
            <w:shd w:val="clear" w:color="auto" w:fill="D9E2F3"/>
            <w:vAlign w:val="center"/>
          </w:tcPr>
          <w:p w14:paraId="05BC19F5" w14:textId="77777777" w:rsidR="00990B14" w:rsidRDefault="00000000">
            <w:pPr>
              <w:spacing w:before="20" w:after="20"/>
              <w:jc w:val="both"/>
            </w:pPr>
            <w:r>
              <w:rPr>
                <w:sz w:val="18"/>
                <w:szCs w:val="18"/>
              </w:rPr>
              <w:t>La exposición es desordenada.</w:t>
            </w:r>
          </w:p>
        </w:tc>
        <w:tc>
          <w:tcPr>
            <w:tcW w:w="2015" w:type="dxa"/>
            <w:shd w:val="clear" w:color="auto" w:fill="D9E2F3"/>
            <w:vAlign w:val="center"/>
          </w:tcPr>
          <w:p w14:paraId="1C3C839A" w14:textId="77777777" w:rsidR="00990B14" w:rsidRDefault="00000000">
            <w:pPr>
              <w:spacing w:before="20" w:after="20"/>
              <w:jc w:val="both"/>
            </w:pPr>
            <w:r>
              <w:rPr>
                <w:sz w:val="18"/>
                <w:szCs w:val="18"/>
              </w:rPr>
              <w:t>La exposición es clara y todos participan.</w:t>
            </w:r>
          </w:p>
        </w:tc>
        <w:tc>
          <w:tcPr>
            <w:tcW w:w="1837" w:type="dxa"/>
            <w:shd w:val="clear" w:color="auto" w:fill="D9E2F3"/>
            <w:vAlign w:val="center"/>
          </w:tcPr>
          <w:p w14:paraId="58917C3E" w14:textId="77777777" w:rsidR="00990B14" w:rsidRDefault="00000000">
            <w:pPr>
              <w:spacing w:before="20" w:after="20"/>
              <w:jc w:val="both"/>
            </w:pPr>
            <w:r>
              <w:rPr>
                <w:sz w:val="18"/>
                <w:szCs w:val="18"/>
              </w:rPr>
              <w:t>El equipo responde con solvencia a las preguntas del curso.</w:t>
            </w:r>
          </w:p>
        </w:tc>
      </w:tr>
      <w:tr w:rsidR="00990B14" w14:paraId="45ABB3C1" w14:textId="77777777">
        <w:trPr>
          <w:cantSplit/>
          <w:jc w:val="center"/>
        </w:trPr>
        <w:tc>
          <w:tcPr>
            <w:tcW w:w="1807" w:type="dxa"/>
            <w:vMerge/>
            <w:shd w:val="clear" w:color="auto" w:fill="4472C4"/>
            <w:vAlign w:val="center"/>
          </w:tcPr>
          <w:p w14:paraId="32BA0C28" w14:textId="77777777" w:rsidR="00990B14" w:rsidRDefault="00990B14">
            <w:pPr>
              <w:spacing w:before="20" w:after="20"/>
            </w:pPr>
          </w:p>
        </w:tc>
        <w:tc>
          <w:tcPr>
            <w:tcW w:w="5761" w:type="dxa"/>
            <w:gridSpan w:val="3"/>
            <w:shd w:val="clear" w:color="auto" w:fill="D9E2F3"/>
            <w:vAlign w:val="center"/>
          </w:tcPr>
          <w:p w14:paraId="2671246A" w14:textId="77777777" w:rsidR="00990B14" w:rsidRDefault="00000000">
            <w:pPr>
              <w:keepNext/>
              <w:spacing w:before="20" w:after="20"/>
              <w:jc w:val="both"/>
            </w:pPr>
            <w:r>
              <w:rPr>
                <w:b/>
                <w:bCs/>
                <w:i/>
                <w:iCs/>
                <w:sz w:val="18"/>
                <w:szCs w:val="18"/>
              </w:rPr>
              <w:t xml:space="preserve">Producto 16: </w:t>
            </w:r>
            <w:r>
              <w:rPr>
                <w:sz w:val="18"/>
                <w:szCs w:val="18"/>
              </w:rPr>
              <w:t>Resumen explicativo de la normativa ambiental vigente</w:t>
            </w:r>
          </w:p>
        </w:tc>
        <w:tc>
          <w:tcPr>
            <w:tcW w:w="1837" w:type="dxa"/>
            <w:shd w:val="clear" w:color="auto" w:fill="D9E2F3"/>
            <w:vAlign w:val="center"/>
          </w:tcPr>
          <w:p w14:paraId="5D8EADBA" w14:textId="77777777" w:rsidR="00990B14" w:rsidRDefault="00000000">
            <w:pPr>
              <w:spacing w:before="20" w:after="20"/>
              <w:jc w:val="center"/>
            </w:pPr>
            <w:r>
              <w:rPr>
                <w:b/>
                <w:bCs/>
                <w:sz w:val="18"/>
                <w:szCs w:val="18"/>
              </w:rPr>
              <w:t>3%</w:t>
            </w:r>
          </w:p>
        </w:tc>
      </w:tr>
      <w:tr w:rsidR="00990B14" w14:paraId="1028A93C" w14:textId="77777777">
        <w:trPr>
          <w:cantSplit/>
          <w:jc w:val="center"/>
        </w:trPr>
        <w:tc>
          <w:tcPr>
            <w:tcW w:w="1807" w:type="dxa"/>
            <w:vMerge/>
            <w:shd w:val="clear" w:color="auto" w:fill="4472C4"/>
            <w:vAlign w:val="center"/>
          </w:tcPr>
          <w:p w14:paraId="671BBE44" w14:textId="77777777" w:rsidR="00990B14" w:rsidRDefault="00990B14">
            <w:pPr>
              <w:spacing w:before="20" w:after="20"/>
            </w:pPr>
          </w:p>
        </w:tc>
        <w:tc>
          <w:tcPr>
            <w:tcW w:w="1910" w:type="dxa"/>
            <w:shd w:val="clear" w:color="auto" w:fill="4472C4"/>
            <w:vAlign w:val="center"/>
          </w:tcPr>
          <w:p w14:paraId="2E5F17A9" w14:textId="77777777" w:rsidR="00990B14" w:rsidRDefault="00000000">
            <w:pPr>
              <w:keepNext/>
              <w:spacing w:before="20" w:after="20"/>
              <w:jc w:val="center"/>
            </w:pPr>
            <w:r>
              <w:rPr>
                <w:b/>
                <w:bCs/>
                <w:i/>
                <w:iCs/>
                <w:color w:val="FFFFFF"/>
                <w:sz w:val="18"/>
                <w:szCs w:val="18"/>
              </w:rPr>
              <w:t>Criterio</w:t>
            </w:r>
          </w:p>
        </w:tc>
        <w:tc>
          <w:tcPr>
            <w:tcW w:w="1836" w:type="dxa"/>
            <w:shd w:val="clear" w:color="auto" w:fill="4472C4"/>
            <w:vAlign w:val="center"/>
          </w:tcPr>
          <w:p w14:paraId="111B89E3"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6885749F" w14:textId="77777777" w:rsidR="00990B14" w:rsidRDefault="00000000">
            <w:pPr>
              <w:keepNext/>
              <w:spacing w:before="20" w:after="20"/>
              <w:jc w:val="center"/>
            </w:pPr>
            <w:r>
              <w:rPr>
                <w:b/>
                <w:bCs/>
                <w:i/>
                <w:iCs/>
                <w:color w:val="FFFFFF"/>
                <w:sz w:val="18"/>
                <w:szCs w:val="18"/>
              </w:rPr>
              <w:t>Suficiente (51–80)</w:t>
            </w:r>
          </w:p>
        </w:tc>
        <w:tc>
          <w:tcPr>
            <w:tcW w:w="1837" w:type="dxa"/>
            <w:shd w:val="clear" w:color="auto" w:fill="4472C4"/>
            <w:vAlign w:val="center"/>
          </w:tcPr>
          <w:p w14:paraId="62D7E993" w14:textId="77777777" w:rsidR="00990B14" w:rsidRDefault="00000000">
            <w:pPr>
              <w:keepNext/>
              <w:spacing w:before="20" w:after="20"/>
              <w:jc w:val="center"/>
            </w:pPr>
            <w:r>
              <w:rPr>
                <w:b/>
                <w:bCs/>
                <w:i/>
                <w:iCs/>
                <w:color w:val="FFFFFF"/>
                <w:sz w:val="18"/>
                <w:szCs w:val="18"/>
              </w:rPr>
              <w:t>Destacado (81–100)</w:t>
            </w:r>
          </w:p>
        </w:tc>
      </w:tr>
      <w:tr w:rsidR="00990B14" w14:paraId="185C08DE" w14:textId="77777777">
        <w:trPr>
          <w:cantSplit/>
          <w:jc w:val="center"/>
        </w:trPr>
        <w:tc>
          <w:tcPr>
            <w:tcW w:w="1807" w:type="dxa"/>
            <w:vMerge/>
            <w:shd w:val="clear" w:color="auto" w:fill="4472C4"/>
            <w:vAlign w:val="center"/>
          </w:tcPr>
          <w:p w14:paraId="02F12DCE" w14:textId="77777777" w:rsidR="00990B14" w:rsidRDefault="00990B14">
            <w:pPr>
              <w:spacing w:before="20" w:after="20"/>
            </w:pPr>
          </w:p>
        </w:tc>
        <w:tc>
          <w:tcPr>
            <w:tcW w:w="1910" w:type="dxa"/>
            <w:shd w:val="clear" w:color="auto" w:fill="D9E2F3"/>
            <w:vAlign w:val="center"/>
          </w:tcPr>
          <w:p w14:paraId="7976E47D" w14:textId="77777777" w:rsidR="00990B14" w:rsidRDefault="00000000">
            <w:pPr>
              <w:spacing w:before="20" w:after="20"/>
              <w:jc w:val="both"/>
            </w:pPr>
            <w:r>
              <w:rPr>
                <w:sz w:val="18"/>
                <w:szCs w:val="18"/>
              </w:rPr>
              <w:t>Normas vigentes</w:t>
            </w:r>
          </w:p>
        </w:tc>
        <w:tc>
          <w:tcPr>
            <w:tcW w:w="1836" w:type="dxa"/>
            <w:shd w:val="clear" w:color="auto" w:fill="D9E2F3"/>
            <w:vAlign w:val="center"/>
          </w:tcPr>
          <w:p w14:paraId="61289981" w14:textId="77777777" w:rsidR="00990B14" w:rsidRDefault="00000000">
            <w:pPr>
              <w:spacing w:before="20" w:after="20"/>
              <w:jc w:val="both"/>
            </w:pPr>
            <w:r>
              <w:rPr>
                <w:sz w:val="18"/>
                <w:szCs w:val="18"/>
              </w:rPr>
              <w:t>Omite normas o cita normas derogadas.</w:t>
            </w:r>
          </w:p>
        </w:tc>
        <w:tc>
          <w:tcPr>
            <w:tcW w:w="2015" w:type="dxa"/>
            <w:shd w:val="clear" w:color="auto" w:fill="D9E2F3"/>
            <w:vAlign w:val="center"/>
          </w:tcPr>
          <w:p w14:paraId="6D95D1A3" w14:textId="77777777" w:rsidR="00990B14" w:rsidRDefault="00000000">
            <w:pPr>
              <w:spacing w:before="20" w:after="20"/>
              <w:jc w:val="both"/>
            </w:pPr>
            <w:r>
              <w:rPr>
                <w:sz w:val="18"/>
                <w:szCs w:val="18"/>
              </w:rPr>
              <w:t>Resume la Ley 1333 y sus reglamentos para el sector minero.</w:t>
            </w:r>
          </w:p>
        </w:tc>
        <w:tc>
          <w:tcPr>
            <w:tcW w:w="1837" w:type="dxa"/>
            <w:shd w:val="clear" w:color="auto" w:fill="D9E2F3"/>
            <w:vAlign w:val="center"/>
          </w:tcPr>
          <w:p w14:paraId="27984A02" w14:textId="77777777" w:rsidR="00990B14" w:rsidRDefault="00000000">
            <w:pPr>
              <w:spacing w:before="20" w:after="20"/>
              <w:jc w:val="both"/>
            </w:pPr>
            <w:r>
              <w:rPr>
                <w:sz w:val="18"/>
                <w:szCs w:val="18"/>
              </w:rPr>
              <w:t>Explica la jerarquía y la vigencia de cada norma.</w:t>
            </w:r>
          </w:p>
        </w:tc>
      </w:tr>
      <w:tr w:rsidR="00990B14" w14:paraId="3F6DAF06" w14:textId="77777777">
        <w:trPr>
          <w:cantSplit/>
          <w:jc w:val="center"/>
        </w:trPr>
        <w:tc>
          <w:tcPr>
            <w:tcW w:w="1807" w:type="dxa"/>
            <w:vMerge/>
            <w:shd w:val="clear" w:color="auto" w:fill="4472C4"/>
            <w:vAlign w:val="center"/>
          </w:tcPr>
          <w:p w14:paraId="1DCCF3D5" w14:textId="77777777" w:rsidR="00990B14" w:rsidRDefault="00990B14">
            <w:pPr>
              <w:spacing w:before="20" w:after="20"/>
            </w:pPr>
          </w:p>
        </w:tc>
        <w:tc>
          <w:tcPr>
            <w:tcW w:w="1910" w:type="dxa"/>
            <w:shd w:val="clear" w:color="auto" w:fill="D9E2F3"/>
            <w:vAlign w:val="center"/>
          </w:tcPr>
          <w:p w14:paraId="5AB2FB48" w14:textId="77777777" w:rsidR="00990B14" w:rsidRDefault="00000000">
            <w:pPr>
              <w:spacing w:before="20" w:after="20"/>
              <w:jc w:val="both"/>
            </w:pPr>
            <w:r>
              <w:rPr>
                <w:sz w:val="18"/>
                <w:szCs w:val="18"/>
              </w:rPr>
              <w:t>Aplicación a la minería</w:t>
            </w:r>
          </w:p>
        </w:tc>
        <w:tc>
          <w:tcPr>
            <w:tcW w:w="1836" w:type="dxa"/>
            <w:shd w:val="clear" w:color="auto" w:fill="D9E2F3"/>
            <w:vAlign w:val="center"/>
          </w:tcPr>
          <w:p w14:paraId="1F5EEF3F" w14:textId="77777777" w:rsidR="00990B14" w:rsidRDefault="00000000">
            <w:pPr>
              <w:spacing w:before="20" w:after="20"/>
              <w:jc w:val="both"/>
            </w:pPr>
            <w:r>
              <w:rPr>
                <w:sz w:val="18"/>
                <w:szCs w:val="18"/>
              </w:rPr>
              <w:t>No relaciona la norma con la actividad minera.</w:t>
            </w:r>
          </w:p>
        </w:tc>
        <w:tc>
          <w:tcPr>
            <w:tcW w:w="2015" w:type="dxa"/>
            <w:shd w:val="clear" w:color="auto" w:fill="D9E2F3"/>
            <w:vAlign w:val="center"/>
          </w:tcPr>
          <w:p w14:paraId="180D018E" w14:textId="77777777" w:rsidR="00990B14" w:rsidRDefault="00000000">
            <w:pPr>
              <w:spacing w:before="20" w:after="20"/>
              <w:jc w:val="both"/>
            </w:pPr>
            <w:r>
              <w:rPr>
                <w:sz w:val="18"/>
                <w:szCs w:val="18"/>
              </w:rPr>
              <w:t>Explica los instrumentos de regulación ambiental aplicables a la minería.</w:t>
            </w:r>
          </w:p>
        </w:tc>
        <w:tc>
          <w:tcPr>
            <w:tcW w:w="1837" w:type="dxa"/>
            <w:shd w:val="clear" w:color="auto" w:fill="D9E2F3"/>
            <w:vAlign w:val="center"/>
          </w:tcPr>
          <w:p w14:paraId="46016ADE" w14:textId="77777777" w:rsidR="00990B14" w:rsidRDefault="00000000">
            <w:pPr>
              <w:spacing w:before="20" w:after="20"/>
              <w:jc w:val="both"/>
            </w:pPr>
            <w:r>
              <w:rPr>
                <w:sz w:val="18"/>
                <w:szCs w:val="18"/>
              </w:rPr>
              <w:t>Vincula las obligaciones ambientales con su registro contable.</w:t>
            </w:r>
          </w:p>
        </w:tc>
      </w:tr>
      <w:tr w:rsidR="00990B14" w14:paraId="35E4329F" w14:textId="77777777">
        <w:trPr>
          <w:cantSplit/>
          <w:jc w:val="center"/>
        </w:trPr>
        <w:tc>
          <w:tcPr>
            <w:tcW w:w="1807" w:type="dxa"/>
            <w:vMerge/>
            <w:shd w:val="clear" w:color="auto" w:fill="4472C4"/>
            <w:vAlign w:val="center"/>
          </w:tcPr>
          <w:p w14:paraId="6DE053FE" w14:textId="77777777" w:rsidR="00990B14" w:rsidRDefault="00990B14">
            <w:pPr>
              <w:spacing w:before="20" w:after="20"/>
            </w:pPr>
          </w:p>
        </w:tc>
        <w:tc>
          <w:tcPr>
            <w:tcW w:w="1910" w:type="dxa"/>
            <w:shd w:val="clear" w:color="auto" w:fill="D9E2F3"/>
            <w:vAlign w:val="center"/>
          </w:tcPr>
          <w:p w14:paraId="520316CE" w14:textId="77777777" w:rsidR="00990B14" w:rsidRDefault="00000000">
            <w:pPr>
              <w:spacing w:before="20" w:after="20"/>
              <w:jc w:val="both"/>
            </w:pPr>
            <w:r>
              <w:rPr>
                <w:sz w:val="18"/>
                <w:szCs w:val="18"/>
              </w:rPr>
              <w:t>Redacción</w:t>
            </w:r>
          </w:p>
        </w:tc>
        <w:tc>
          <w:tcPr>
            <w:tcW w:w="1836" w:type="dxa"/>
            <w:shd w:val="clear" w:color="auto" w:fill="D9E2F3"/>
            <w:vAlign w:val="center"/>
          </w:tcPr>
          <w:p w14:paraId="5B8ECD74" w14:textId="77777777" w:rsidR="00990B14" w:rsidRDefault="00000000">
            <w:pPr>
              <w:spacing w:before="20" w:after="20"/>
              <w:jc w:val="both"/>
            </w:pPr>
            <w:r>
              <w:rPr>
                <w:sz w:val="18"/>
                <w:szCs w:val="18"/>
              </w:rPr>
              <w:t>El resumen es confuso.</w:t>
            </w:r>
          </w:p>
        </w:tc>
        <w:tc>
          <w:tcPr>
            <w:tcW w:w="2015" w:type="dxa"/>
            <w:shd w:val="clear" w:color="auto" w:fill="D9E2F3"/>
            <w:vAlign w:val="center"/>
          </w:tcPr>
          <w:p w14:paraId="106CB535" w14:textId="77777777" w:rsidR="00990B14" w:rsidRDefault="00000000">
            <w:pPr>
              <w:spacing w:before="20" w:after="20"/>
              <w:jc w:val="both"/>
            </w:pPr>
            <w:r>
              <w:rPr>
                <w:sz w:val="18"/>
                <w:szCs w:val="18"/>
              </w:rPr>
              <w:t>El resumen es claro y ordenado.</w:t>
            </w:r>
          </w:p>
        </w:tc>
        <w:tc>
          <w:tcPr>
            <w:tcW w:w="1837" w:type="dxa"/>
            <w:shd w:val="clear" w:color="auto" w:fill="D9E2F3"/>
            <w:vAlign w:val="center"/>
          </w:tcPr>
          <w:p w14:paraId="35707278" w14:textId="77777777" w:rsidR="00990B14" w:rsidRDefault="00000000">
            <w:pPr>
              <w:spacing w:before="20" w:after="20"/>
              <w:jc w:val="both"/>
            </w:pPr>
            <w:r>
              <w:rPr>
                <w:sz w:val="18"/>
                <w:szCs w:val="18"/>
              </w:rPr>
              <w:t>El resumen es sintético y sustenta sus conclusiones.</w:t>
            </w:r>
          </w:p>
        </w:tc>
      </w:tr>
      <w:tr w:rsidR="00990B14" w14:paraId="1521E54C" w14:textId="77777777">
        <w:trPr>
          <w:cantSplit/>
          <w:jc w:val="center"/>
        </w:trPr>
        <w:tc>
          <w:tcPr>
            <w:tcW w:w="1807" w:type="dxa"/>
            <w:vMerge/>
            <w:shd w:val="clear" w:color="auto" w:fill="4472C4"/>
            <w:vAlign w:val="center"/>
          </w:tcPr>
          <w:p w14:paraId="0E76CD1D" w14:textId="77777777" w:rsidR="00990B14" w:rsidRDefault="00990B14">
            <w:pPr>
              <w:spacing w:before="20" w:after="20"/>
            </w:pPr>
          </w:p>
        </w:tc>
        <w:tc>
          <w:tcPr>
            <w:tcW w:w="5761" w:type="dxa"/>
            <w:gridSpan w:val="3"/>
            <w:shd w:val="clear" w:color="auto" w:fill="D9E2F3"/>
            <w:vAlign w:val="center"/>
          </w:tcPr>
          <w:p w14:paraId="7EA792B8" w14:textId="77777777" w:rsidR="00990B14" w:rsidRDefault="00000000">
            <w:pPr>
              <w:keepNext/>
              <w:spacing w:before="20" w:after="20"/>
              <w:jc w:val="both"/>
            </w:pPr>
            <w:r>
              <w:rPr>
                <w:b/>
                <w:bCs/>
                <w:i/>
                <w:iCs/>
                <w:sz w:val="18"/>
                <w:szCs w:val="18"/>
              </w:rPr>
              <w:t xml:space="preserve">Producto 17: </w:t>
            </w:r>
            <w:r>
              <w:rPr>
                <w:sz w:val="18"/>
                <w:szCs w:val="18"/>
              </w:rPr>
              <w:t>Diagrama de llaves de la historia del petróleo en Bolivia</w:t>
            </w:r>
          </w:p>
        </w:tc>
        <w:tc>
          <w:tcPr>
            <w:tcW w:w="1837" w:type="dxa"/>
            <w:shd w:val="clear" w:color="auto" w:fill="D9E2F3"/>
            <w:vAlign w:val="center"/>
          </w:tcPr>
          <w:p w14:paraId="7DB49E17" w14:textId="77777777" w:rsidR="00990B14" w:rsidRDefault="00000000">
            <w:pPr>
              <w:spacing w:before="20" w:after="20"/>
              <w:jc w:val="center"/>
            </w:pPr>
            <w:r>
              <w:rPr>
                <w:b/>
                <w:bCs/>
                <w:sz w:val="18"/>
                <w:szCs w:val="18"/>
              </w:rPr>
              <w:t>3%</w:t>
            </w:r>
          </w:p>
        </w:tc>
      </w:tr>
      <w:tr w:rsidR="00990B14" w14:paraId="3A0085AB" w14:textId="77777777">
        <w:trPr>
          <w:cantSplit/>
          <w:jc w:val="center"/>
        </w:trPr>
        <w:tc>
          <w:tcPr>
            <w:tcW w:w="1807" w:type="dxa"/>
            <w:vMerge/>
            <w:shd w:val="clear" w:color="auto" w:fill="4472C4"/>
            <w:vAlign w:val="center"/>
          </w:tcPr>
          <w:p w14:paraId="506661B6" w14:textId="77777777" w:rsidR="00990B14" w:rsidRDefault="00990B14">
            <w:pPr>
              <w:spacing w:before="20" w:after="20"/>
            </w:pPr>
          </w:p>
        </w:tc>
        <w:tc>
          <w:tcPr>
            <w:tcW w:w="1910" w:type="dxa"/>
            <w:shd w:val="clear" w:color="auto" w:fill="4472C4"/>
            <w:vAlign w:val="center"/>
          </w:tcPr>
          <w:p w14:paraId="02BF5970" w14:textId="77777777" w:rsidR="00990B14" w:rsidRDefault="00000000">
            <w:pPr>
              <w:keepNext/>
              <w:spacing w:before="20" w:after="20"/>
              <w:jc w:val="center"/>
            </w:pPr>
            <w:r>
              <w:rPr>
                <w:b/>
                <w:bCs/>
                <w:i/>
                <w:iCs/>
                <w:color w:val="FFFFFF"/>
                <w:sz w:val="18"/>
                <w:szCs w:val="18"/>
              </w:rPr>
              <w:t>Criterio</w:t>
            </w:r>
          </w:p>
        </w:tc>
        <w:tc>
          <w:tcPr>
            <w:tcW w:w="1836" w:type="dxa"/>
            <w:shd w:val="clear" w:color="auto" w:fill="4472C4"/>
            <w:vAlign w:val="center"/>
          </w:tcPr>
          <w:p w14:paraId="01D6DAC2"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2A92F961" w14:textId="77777777" w:rsidR="00990B14" w:rsidRDefault="00000000">
            <w:pPr>
              <w:keepNext/>
              <w:spacing w:before="20" w:after="20"/>
              <w:jc w:val="center"/>
            </w:pPr>
            <w:r>
              <w:rPr>
                <w:b/>
                <w:bCs/>
                <w:i/>
                <w:iCs/>
                <w:color w:val="FFFFFF"/>
                <w:sz w:val="18"/>
                <w:szCs w:val="18"/>
              </w:rPr>
              <w:t>Suficiente (51–80)</w:t>
            </w:r>
          </w:p>
        </w:tc>
        <w:tc>
          <w:tcPr>
            <w:tcW w:w="1837" w:type="dxa"/>
            <w:shd w:val="clear" w:color="auto" w:fill="4472C4"/>
            <w:vAlign w:val="center"/>
          </w:tcPr>
          <w:p w14:paraId="6375D1DA" w14:textId="77777777" w:rsidR="00990B14" w:rsidRDefault="00000000">
            <w:pPr>
              <w:keepNext/>
              <w:spacing w:before="20" w:after="20"/>
              <w:jc w:val="center"/>
            </w:pPr>
            <w:r>
              <w:rPr>
                <w:b/>
                <w:bCs/>
                <w:i/>
                <w:iCs/>
                <w:color w:val="FFFFFF"/>
                <w:sz w:val="18"/>
                <w:szCs w:val="18"/>
              </w:rPr>
              <w:t>Destacado (81–100)</w:t>
            </w:r>
          </w:p>
        </w:tc>
      </w:tr>
      <w:tr w:rsidR="00990B14" w14:paraId="146F2398" w14:textId="77777777">
        <w:trPr>
          <w:cantSplit/>
          <w:jc w:val="center"/>
        </w:trPr>
        <w:tc>
          <w:tcPr>
            <w:tcW w:w="1807" w:type="dxa"/>
            <w:vMerge/>
            <w:shd w:val="clear" w:color="auto" w:fill="4472C4"/>
            <w:vAlign w:val="center"/>
          </w:tcPr>
          <w:p w14:paraId="4114B30F" w14:textId="77777777" w:rsidR="00990B14" w:rsidRDefault="00990B14">
            <w:pPr>
              <w:spacing w:before="20" w:after="20"/>
            </w:pPr>
          </w:p>
        </w:tc>
        <w:tc>
          <w:tcPr>
            <w:tcW w:w="1910" w:type="dxa"/>
            <w:shd w:val="clear" w:color="auto" w:fill="D9E2F3"/>
            <w:vAlign w:val="center"/>
          </w:tcPr>
          <w:p w14:paraId="52261A4B" w14:textId="77777777" w:rsidR="00990B14" w:rsidRDefault="00000000">
            <w:pPr>
              <w:spacing w:before="20" w:after="20"/>
              <w:jc w:val="both"/>
            </w:pPr>
            <w:r>
              <w:rPr>
                <w:sz w:val="18"/>
                <w:szCs w:val="18"/>
              </w:rPr>
              <w:t>Contenido histórico</w:t>
            </w:r>
          </w:p>
        </w:tc>
        <w:tc>
          <w:tcPr>
            <w:tcW w:w="1836" w:type="dxa"/>
            <w:shd w:val="clear" w:color="auto" w:fill="D9E2F3"/>
            <w:vAlign w:val="center"/>
          </w:tcPr>
          <w:p w14:paraId="1ACB92E7" w14:textId="77777777" w:rsidR="00990B14" w:rsidRDefault="00000000">
            <w:pPr>
              <w:spacing w:before="20" w:after="20"/>
              <w:jc w:val="both"/>
            </w:pPr>
            <w:r>
              <w:rPr>
                <w:sz w:val="18"/>
                <w:szCs w:val="18"/>
              </w:rPr>
              <w:t>Omite etapas o confunde los periodos.</w:t>
            </w:r>
          </w:p>
        </w:tc>
        <w:tc>
          <w:tcPr>
            <w:tcW w:w="2015" w:type="dxa"/>
            <w:shd w:val="clear" w:color="auto" w:fill="D9E2F3"/>
            <w:vAlign w:val="center"/>
          </w:tcPr>
          <w:p w14:paraId="0ECF71BA" w14:textId="77777777" w:rsidR="00990B14" w:rsidRDefault="00000000">
            <w:pPr>
              <w:spacing w:before="20" w:after="20"/>
              <w:jc w:val="both"/>
            </w:pPr>
            <w:r>
              <w:rPr>
                <w:sz w:val="18"/>
                <w:szCs w:val="18"/>
              </w:rPr>
              <w:t>Presenta las principales etapas: concesiones, creación de YPFB, nacionalizaciones y Ley 3058.</w:t>
            </w:r>
          </w:p>
        </w:tc>
        <w:tc>
          <w:tcPr>
            <w:tcW w:w="1837" w:type="dxa"/>
            <w:shd w:val="clear" w:color="auto" w:fill="D9E2F3"/>
            <w:vAlign w:val="center"/>
          </w:tcPr>
          <w:p w14:paraId="474A9CD3" w14:textId="77777777" w:rsidR="00990B14" w:rsidRDefault="00000000">
            <w:pPr>
              <w:spacing w:before="20" w:after="20"/>
              <w:jc w:val="both"/>
            </w:pPr>
            <w:r>
              <w:rPr>
                <w:sz w:val="18"/>
                <w:szCs w:val="18"/>
              </w:rPr>
              <w:t>Relaciona cada etapa con su efecto económico y social.</w:t>
            </w:r>
          </w:p>
        </w:tc>
      </w:tr>
      <w:tr w:rsidR="00990B14" w14:paraId="10D0F6B3" w14:textId="77777777">
        <w:trPr>
          <w:cantSplit/>
          <w:jc w:val="center"/>
        </w:trPr>
        <w:tc>
          <w:tcPr>
            <w:tcW w:w="1807" w:type="dxa"/>
            <w:vMerge/>
            <w:shd w:val="clear" w:color="auto" w:fill="4472C4"/>
            <w:vAlign w:val="center"/>
          </w:tcPr>
          <w:p w14:paraId="06B54900" w14:textId="77777777" w:rsidR="00990B14" w:rsidRDefault="00990B14">
            <w:pPr>
              <w:spacing w:before="20" w:after="20"/>
            </w:pPr>
          </w:p>
        </w:tc>
        <w:tc>
          <w:tcPr>
            <w:tcW w:w="1910" w:type="dxa"/>
            <w:shd w:val="clear" w:color="auto" w:fill="D9E2F3"/>
            <w:vAlign w:val="center"/>
          </w:tcPr>
          <w:p w14:paraId="73BE431D" w14:textId="77777777" w:rsidR="00990B14" w:rsidRDefault="00000000">
            <w:pPr>
              <w:spacing w:before="20" w:after="20"/>
              <w:jc w:val="both"/>
            </w:pPr>
            <w:r>
              <w:rPr>
                <w:sz w:val="18"/>
                <w:szCs w:val="18"/>
              </w:rPr>
              <w:t>Desglose de lo general a lo específico</w:t>
            </w:r>
          </w:p>
        </w:tc>
        <w:tc>
          <w:tcPr>
            <w:tcW w:w="1836" w:type="dxa"/>
            <w:shd w:val="clear" w:color="auto" w:fill="D9E2F3"/>
            <w:vAlign w:val="center"/>
          </w:tcPr>
          <w:p w14:paraId="65219FA0" w14:textId="77777777" w:rsidR="00990B14" w:rsidRDefault="00000000">
            <w:pPr>
              <w:spacing w:before="20" w:after="20"/>
              <w:jc w:val="both"/>
            </w:pPr>
            <w:r>
              <w:rPr>
                <w:sz w:val="18"/>
                <w:szCs w:val="18"/>
              </w:rPr>
              <w:t>El diagrama no tiene niveles de desglose.</w:t>
            </w:r>
          </w:p>
        </w:tc>
        <w:tc>
          <w:tcPr>
            <w:tcW w:w="2015" w:type="dxa"/>
            <w:shd w:val="clear" w:color="auto" w:fill="D9E2F3"/>
            <w:vAlign w:val="center"/>
          </w:tcPr>
          <w:p w14:paraId="55F5B323" w14:textId="77777777" w:rsidR="00990B14" w:rsidRDefault="00000000">
            <w:pPr>
              <w:spacing w:before="20" w:after="20"/>
              <w:jc w:val="both"/>
            </w:pPr>
            <w:r>
              <w:rPr>
                <w:sz w:val="18"/>
                <w:szCs w:val="18"/>
              </w:rPr>
              <w:t>Desglosa cada etapa en sus hechos principales.</w:t>
            </w:r>
          </w:p>
        </w:tc>
        <w:tc>
          <w:tcPr>
            <w:tcW w:w="1837" w:type="dxa"/>
            <w:shd w:val="clear" w:color="auto" w:fill="D9E2F3"/>
            <w:vAlign w:val="center"/>
          </w:tcPr>
          <w:p w14:paraId="4DE622C6" w14:textId="77777777" w:rsidR="00990B14" w:rsidRDefault="00000000">
            <w:pPr>
              <w:spacing w:before="20" w:after="20"/>
              <w:jc w:val="both"/>
            </w:pPr>
            <w:r>
              <w:rPr>
                <w:sz w:val="18"/>
                <w:szCs w:val="18"/>
              </w:rPr>
              <w:t>Integra fechas, actores y normas en cada nivel.</w:t>
            </w:r>
          </w:p>
        </w:tc>
      </w:tr>
      <w:tr w:rsidR="00990B14" w14:paraId="6232819E" w14:textId="77777777">
        <w:trPr>
          <w:cantSplit/>
          <w:jc w:val="center"/>
        </w:trPr>
        <w:tc>
          <w:tcPr>
            <w:tcW w:w="1807" w:type="dxa"/>
            <w:vMerge/>
            <w:shd w:val="clear" w:color="auto" w:fill="4472C4"/>
            <w:vAlign w:val="center"/>
          </w:tcPr>
          <w:p w14:paraId="3B94F2AA" w14:textId="77777777" w:rsidR="00990B14" w:rsidRDefault="00990B14">
            <w:pPr>
              <w:spacing w:before="20" w:after="20"/>
            </w:pPr>
          </w:p>
        </w:tc>
        <w:tc>
          <w:tcPr>
            <w:tcW w:w="1910" w:type="dxa"/>
            <w:shd w:val="clear" w:color="auto" w:fill="D9E2F3"/>
            <w:vAlign w:val="center"/>
          </w:tcPr>
          <w:p w14:paraId="5C2E4217" w14:textId="77777777" w:rsidR="00990B14" w:rsidRDefault="00000000">
            <w:pPr>
              <w:spacing w:before="20" w:after="20"/>
              <w:jc w:val="both"/>
            </w:pPr>
            <w:r>
              <w:rPr>
                <w:sz w:val="18"/>
                <w:szCs w:val="18"/>
              </w:rPr>
              <w:t>Exposición en equipo</w:t>
            </w:r>
          </w:p>
        </w:tc>
        <w:tc>
          <w:tcPr>
            <w:tcW w:w="1836" w:type="dxa"/>
            <w:shd w:val="clear" w:color="auto" w:fill="D9E2F3"/>
            <w:vAlign w:val="center"/>
          </w:tcPr>
          <w:p w14:paraId="75AA607E" w14:textId="77777777" w:rsidR="00990B14" w:rsidRDefault="00000000">
            <w:pPr>
              <w:spacing w:before="20" w:after="20"/>
              <w:jc w:val="both"/>
            </w:pPr>
            <w:r>
              <w:rPr>
                <w:sz w:val="18"/>
                <w:szCs w:val="18"/>
              </w:rPr>
              <w:t>La exposición es desordenada.</w:t>
            </w:r>
          </w:p>
        </w:tc>
        <w:tc>
          <w:tcPr>
            <w:tcW w:w="2015" w:type="dxa"/>
            <w:shd w:val="clear" w:color="auto" w:fill="D9E2F3"/>
            <w:vAlign w:val="center"/>
          </w:tcPr>
          <w:p w14:paraId="2444B072" w14:textId="77777777" w:rsidR="00990B14" w:rsidRDefault="00000000">
            <w:pPr>
              <w:spacing w:before="20" w:after="20"/>
              <w:jc w:val="both"/>
            </w:pPr>
            <w:r>
              <w:rPr>
                <w:sz w:val="18"/>
                <w:szCs w:val="18"/>
              </w:rPr>
              <w:t>La exposición es clara y todos participan.</w:t>
            </w:r>
          </w:p>
        </w:tc>
        <w:tc>
          <w:tcPr>
            <w:tcW w:w="1837" w:type="dxa"/>
            <w:shd w:val="clear" w:color="auto" w:fill="D9E2F3"/>
            <w:vAlign w:val="center"/>
          </w:tcPr>
          <w:p w14:paraId="7A31C3D3" w14:textId="77777777" w:rsidR="00990B14" w:rsidRDefault="00000000">
            <w:pPr>
              <w:spacing w:before="20" w:after="20"/>
              <w:jc w:val="both"/>
            </w:pPr>
            <w:r>
              <w:rPr>
                <w:sz w:val="18"/>
                <w:szCs w:val="18"/>
              </w:rPr>
              <w:t>El equipo responde con solvencia a las preguntas del curso.</w:t>
            </w:r>
          </w:p>
        </w:tc>
      </w:tr>
      <w:tr w:rsidR="00990B14" w14:paraId="5A75B86C" w14:textId="77777777">
        <w:trPr>
          <w:cantSplit/>
          <w:jc w:val="center"/>
        </w:trPr>
        <w:tc>
          <w:tcPr>
            <w:tcW w:w="1807" w:type="dxa"/>
            <w:vMerge/>
            <w:shd w:val="clear" w:color="auto" w:fill="4472C4"/>
            <w:vAlign w:val="center"/>
          </w:tcPr>
          <w:p w14:paraId="46A36FED" w14:textId="77777777" w:rsidR="00990B14" w:rsidRDefault="00990B14">
            <w:pPr>
              <w:spacing w:before="20" w:after="20"/>
            </w:pPr>
          </w:p>
        </w:tc>
        <w:tc>
          <w:tcPr>
            <w:tcW w:w="5761" w:type="dxa"/>
            <w:gridSpan w:val="3"/>
            <w:shd w:val="clear" w:color="auto" w:fill="D9E2F3"/>
            <w:vAlign w:val="center"/>
          </w:tcPr>
          <w:p w14:paraId="0709B5A9" w14:textId="77777777" w:rsidR="00990B14" w:rsidRDefault="00000000">
            <w:pPr>
              <w:keepNext/>
              <w:spacing w:before="20" w:after="20"/>
              <w:jc w:val="both"/>
            </w:pPr>
            <w:r>
              <w:rPr>
                <w:b/>
                <w:bCs/>
                <w:i/>
                <w:iCs/>
                <w:sz w:val="18"/>
                <w:szCs w:val="18"/>
              </w:rPr>
              <w:t xml:space="preserve">Producto 18: </w:t>
            </w:r>
            <w:r>
              <w:rPr>
                <w:sz w:val="18"/>
                <w:szCs w:val="18"/>
              </w:rPr>
              <w:t>Trabajo de investigación sobre las empresas petroleras en Bolivia y su organización</w:t>
            </w:r>
          </w:p>
        </w:tc>
        <w:tc>
          <w:tcPr>
            <w:tcW w:w="1837" w:type="dxa"/>
            <w:shd w:val="clear" w:color="auto" w:fill="D9E2F3"/>
            <w:vAlign w:val="center"/>
          </w:tcPr>
          <w:p w14:paraId="1A8AD0B7" w14:textId="77777777" w:rsidR="00990B14" w:rsidRDefault="00000000">
            <w:pPr>
              <w:spacing w:before="20" w:after="20"/>
              <w:jc w:val="center"/>
            </w:pPr>
            <w:r>
              <w:rPr>
                <w:b/>
                <w:bCs/>
                <w:sz w:val="18"/>
                <w:szCs w:val="18"/>
              </w:rPr>
              <w:t>3%</w:t>
            </w:r>
          </w:p>
        </w:tc>
      </w:tr>
      <w:tr w:rsidR="00990B14" w14:paraId="0F9922ED" w14:textId="77777777">
        <w:trPr>
          <w:cantSplit/>
          <w:jc w:val="center"/>
        </w:trPr>
        <w:tc>
          <w:tcPr>
            <w:tcW w:w="1807" w:type="dxa"/>
            <w:vMerge/>
            <w:shd w:val="clear" w:color="auto" w:fill="4472C4"/>
            <w:vAlign w:val="center"/>
          </w:tcPr>
          <w:p w14:paraId="7130ED0F" w14:textId="77777777" w:rsidR="00990B14" w:rsidRDefault="00990B14">
            <w:pPr>
              <w:spacing w:before="20" w:after="20"/>
            </w:pPr>
          </w:p>
        </w:tc>
        <w:tc>
          <w:tcPr>
            <w:tcW w:w="1910" w:type="dxa"/>
            <w:shd w:val="clear" w:color="auto" w:fill="4472C4"/>
            <w:vAlign w:val="center"/>
          </w:tcPr>
          <w:p w14:paraId="7D0352E1" w14:textId="77777777" w:rsidR="00990B14" w:rsidRDefault="00000000">
            <w:pPr>
              <w:keepNext/>
              <w:spacing w:before="20" w:after="20"/>
              <w:jc w:val="center"/>
            </w:pPr>
            <w:r>
              <w:rPr>
                <w:b/>
                <w:bCs/>
                <w:i/>
                <w:iCs/>
                <w:color w:val="FFFFFF"/>
                <w:sz w:val="18"/>
                <w:szCs w:val="18"/>
              </w:rPr>
              <w:t>Criterio</w:t>
            </w:r>
          </w:p>
        </w:tc>
        <w:tc>
          <w:tcPr>
            <w:tcW w:w="1836" w:type="dxa"/>
            <w:shd w:val="clear" w:color="auto" w:fill="4472C4"/>
            <w:vAlign w:val="center"/>
          </w:tcPr>
          <w:p w14:paraId="038F7A74"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3259593B" w14:textId="77777777" w:rsidR="00990B14" w:rsidRDefault="00000000">
            <w:pPr>
              <w:keepNext/>
              <w:spacing w:before="20" w:after="20"/>
              <w:jc w:val="center"/>
            </w:pPr>
            <w:r>
              <w:rPr>
                <w:b/>
                <w:bCs/>
                <w:i/>
                <w:iCs/>
                <w:color w:val="FFFFFF"/>
                <w:sz w:val="18"/>
                <w:szCs w:val="18"/>
              </w:rPr>
              <w:t>Suficiente (51–80)</w:t>
            </w:r>
          </w:p>
        </w:tc>
        <w:tc>
          <w:tcPr>
            <w:tcW w:w="1837" w:type="dxa"/>
            <w:shd w:val="clear" w:color="auto" w:fill="4472C4"/>
            <w:vAlign w:val="center"/>
          </w:tcPr>
          <w:p w14:paraId="28C102E7" w14:textId="77777777" w:rsidR="00990B14" w:rsidRDefault="00000000">
            <w:pPr>
              <w:keepNext/>
              <w:spacing w:before="20" w:after="20"/>
              <w:jc w:val="center"/>
            </w:pPr>
            <w:r>
              <w:rPr>
                <w:b/>
                <w:bCs/>
                <w:i/>
                <w:iCs/>
                <w:color w:val="FFFFFF"/>
                <w:sz w:val="18"/>
                <w:szCs w:val="18"/>
              </w:rPr>
              <w:t>Destacado (81–100)</w:t>
            </w:r>
          </w:p>
        </w:tc>
      </w:tr>
      <w:tr w:rsidR="00990B14" w14:paraId="52092EE1" w14:textId="77777777">
        <w:trPr>
          <w:cantSplit/>
          <w:jc w:val="center"/>
        </w:trPr>
        <w:tc>
          <w:tcPr>
            <w:tcW w:w="1807" w:type="dxa"/>
            <w:vMerge/>
            <w:shd w:val="clear" w:color="auto" w:fill="4472C4"/>
            <w:vAlign w:val="center"/>
          </w:tcPr>
          <w:p w14:paraId="00DD8AC2" w14:textId="77777777" w:rsidR="00990B14" w:rsidRDefault="00990B14">
            <w:pPr>
              <w:spacing w:before="20" w:after="20"/>
            </w:pPr>
          </w:p>
        </w:tc>
        <w:tc>
          <w:tcPr>
            <w:tcW w:w="1910" w:type="dxa"/>
            <w:shd w:val="clear" w:color="auto" w:fill="D9E2F3"/>
            <w:vAlign w:val="center"/>
          </w:tcPr>
          <w:p w14:paraId="4E20F1D8" w14:textId="77777777" w:rsidR="00990B14" w:rsidRDefault="00000000">
            <w:pPr>
              <w:spacing w:before="20" w:after="20"/>
              <w:jc w:val="both"/>
            </w:pPr>
            <w:r>
              <w:rPr>
                <w:sz w:val="18"/>
                <w:szCs w:val="18"/>
              </w:rPr>
              <w:t>Identificación de empresas</w:t>
            </w:r>
          </w:p>
        </w:tc>
        <w:tc>
          <w:tcPr>
            <w:tcW w:w="1836" w:type="dxa"/>
            <w:shd w:val="clear" w:color="auto" w:fill="D9E2F3"/>
            <w:vAlign w:val="center"/>
          </w:tcPr>
          <w:p w14:paraId="60EABC3E" w14:textId="77777777" w:rsidR="00990B14" w:rsidRDefault="00000000">
            <w:pPr>
              <w:spacing w:before="20" w:after="20"/>
              <w:jc w:val="both"/>
            </w:pPr>
            <w:r>
              <w:rPr>
                <w:sz w:val="18"/>
                <w:szCs w:val="18"/>
              </w:rPr>
              <w:t>Menciona pocas empresas o con datos erróneos.</w:t>
            </w:r>
          </w:p>
        </w:tc>
        <w:tc>
          <w:tcPr>
            <w:tcW w:w="2015" w:type="dxa"/>
            <w:shd w:val="clear" w:color="auto" w:fill="D9E2F3"/>
            <w:vAlign w:val="center"/>
          </w:tcPr>
          <w:p w14:paraId="2844747C" w14:textId="77777777" w:rsidR="00990B14" w:rsidRDefault="00000000">
            <w:pPr>
              <w:spacing w:before="20" w:after="20"/>
              <w:jc w:val="both"/>
            </w:pPr>
            <w:r>
              <w:rPr>
                <w:sz w:val="18"/>
                <w:szCs w:val="18"/>
              </w:rPr>
              <w:t>Identifica a YPFB, sus subsidiarias y las empresas operadoras.</w:t>
            </w:r>
          </w:p>
        </w:tc>
        <w:tc>
          <w:tcPr>
            <w:tcW w:w="1837" w:type="dxa"/>
            <w:shd w:val="clear" w:color="auto" w:fill="D9E2F3"/>
            <w:vAlign w:val="center"/>
          </w:tcPr>
          <w:p w14:paraId="65358A58" w14:textId="77777777" w:rsidR="00990B14" w:rsidRDefault="00000000">
            <w:pPr>
              <w:spacing w:before="20" w:after="20"/>
              <w:jc w:val="both"/>
            </w:pPr>
            <w:r>
              <w:rPr>
                <w:sz w:val="18"/>
                <w:szCs w:val="18"/>
              </w:rPr>
              <w:t>Incluye datos actualizados de producción y campos de cada empresa.</w:t>
            </w:r>
          </w:p>
        </w:tc>
      </w:tr>
      <w:tr w:rsidR="00990B14" w14:paraId="0F2E45CC" w14:textId="77777777">
        <w:trPr>
          <w:cantSplit/>
          <w:jc w:val="center"/>
        </w:trPr>
        <w:tc>
          <w:tcPr>
            <w:tcW w:w="1807" w:type="dxa"/>
            <w:vMerge/>
            <w:shd w:val="clear" w:color="auto" w:fill="4472C4"/>
            <w:vAlign w:val="center"/>
          </w:tcPr>
          <w:p w14:paraId="45585092" w14:textId="77777777" w:rsidR="00990B14" w:rsidRDefault="00990B14">
            <w:pPr>
              <w:spacing w:before="20" w:after="20"/>
            </w:pPr>
          </w:p>
        </w:tc>
        <w:tc>
          <w:tcPr>
            <w:tcW w:w="1910" w:type="dxa"/>
            <w:shd w:val="clear" w:color="auto" w:fill="D9E2F3"/>
            <w:vAlign w:val="center"/>
          </w:tcPr>
          <w:p w14:paraId="6817BAEB" w14:textId="77777777" w:rsidR="00990B14" w:rsidRDefault="00000000">
            <w:pPr>
              <w:spacing w:before="20" w:after="20"/>
              <w:jc w:val="both"/>
            </w:pPr>
            <w:r>
              <w:rPr>
                <w:sz w:val="18"/>
                <w:szCs w:val="18"/>
              </w:rPr>
              <w:t>Tipo de organización</w:t>
            </w:r>
          </w:p>
        </w:tc>
        <w:tc>
          <w:tcPr>
            <w:tcW w:w="1836" w:type="dxa"/>
            <w:shd w:val="clear" w:color="auto" w:fill="D9E2F3"/>
            <w:vAlign w:val="center"/>
          </w:tcPr>
          <w:p w14:paraId="716AA6F4" w14:textId="77777777" w:rsidR="00990B14" w:rsidRDefault="00000000">
            <w:pPr>
              <w:spacing w:before="20" w:after="20"/>
              <w:jc w:val="both"/>
            </w:pPr>
            <w:r>
              <w:rPr>
                <w:sz w:val="18"/>
                <w:szCs w:val="18"/>
              </w:rPr>
              <w:t>No describe la organización de las empresas.</w:t>
            </w:r>
          </w:p>
        </w:tc>
        <w:tc>
          <w:tcPr>
            <w:tcW w:w="2015" w:type="dxa"/>
            <w:shd w:val="clear" w:color="auto" w:fill="D9E2F3"/>
            <w:vAlign w:val="center"/>
          </w:tcPr>
          <w:p w14:paraId="2393D9D3" w14:textId="77777777" w:rsidR="00990B14" w:rsidRDefault="00000000">
            <w:pPr>
              <w:spacing w:before="20" w:after="20"/>
              <w:jc w:val="both"/>
            </w:pPr>
            <w:r>
              <w:rPr>
                <w:sz w:val="18"/>
                <w:szCs w:val="18"/>
              </w:rPr>
              <w:t>Describe la organización de cada empresa según su actividad en la cadena.</w:t>
            </w:r>
          </w:p>
        </w:tc>
        <w:tc>
          <w:tcPr>
            <w:tcW w:w="1837" w:type="dxa"/>
            <w:shd w:val="clear" w:color="auto" w:fill="D9E2F3"/>
            <w:vAlign w:val="center"/>
          </w:tcPr>
          <w:p w14:paraId="7A183ECD" w14:textId="77777777" w:rsidR="00990B14" w:rsidRDefault="00000000">
            <w:pPr>
              <w:spacing w:before="20" w:after="20"/>
              <w:jc w:val="both"/>
            </w:pPr>
            <w:r>
              <w:rPr>
                <w:sz w:val="18"/>
                <w:szCs w:val="18"/>
              </w:rPr>
              <w:t>Compara las estructuras organizativas y explica sus diferencias.</w:t>
            </w:r>
          </w:p>
        </w:tc>
      </w:tr>
      <w:tr w:rsidR="00990B14" w14:paraId="588395EC" w14:textId="77777777">
        <w:trPr>
          <w:cantSplit/>
          <w:jc w:val="center"/>
        </w:trPr>
        <w:tc>
          <w:tcPr>
            <w:tcW w:w="1807" w:type="dxa"/>
            <w:vMerge/>
            <w:shd w:val="clear" w:color="auto" w:fill="4472C4"/>
            <w:vAlign w:val="center"/>
          </w:tcPr>
          <w:p w14:paraId="7D385861" w14:textId="77777777" w:rsidR="00990B14" w:rsidRDefault="00990B14">
            <w:pPr>
              <w:spacing w:before="20" w:after="20"/>
            </w:pPr>
          </w:p>
        </w:tc>
        <w:tc>
          <w:tcPr>
            <w:tcW w:w="1910" w:type="dxa"/>
            <w:shd w:val="clear" w:color="auto" w:fill="D9E2F3"/>
            <w:vAlign w:val="center"/>
          </w:tcPr>
          <w:p w14:paraId="75A3870F" w14:textId="77777777" w:rsidR="00990B14" w:rsidRDefault="00000000">
            <w:pPr>
              <w:spacing w:before="20" w:after="20"/>
              <w:jc w:val="both"/>
            </w:pPr>
            <w:r>
              <w:rPr>
                <w:sz w:val="18"/>
                <w:szCs w:val="18"/>
              </w:rPr>
              <w:t>Fuentes y redacción</w:t>
            </w:r>
          </w:p>
        </w:tc>
        <w:tc>
          <w:tcPr>
            <w:tcW w:w="1836" w:type="dxa"/>
            <w:shd w:val="clear" w:color="auto" w:fill="D9E2F3"/>
            <w:vAlign w:val="center"/>
          </w:tcPr>
          <w:p w14:paraId="1D81342D" w14:textId="77777777" w:rsidR="00990B14" w:rsidRDefault="00000000">
            <w:pPr>
              <w:spacing w:before="20" w:after="20"/>
              <w:jc w:val="both"/>
            </w:pPr>
            <w:r>
              <w:rPr>
                <w:sz w:val="18"/>
                <w:szCs w:val="18"/>
              </w:rPr>
              <w:t>No cita fuentes o la redacción es confusa.</w:t>
            </w:r>
          </w:p>
        </w:tc>
        <w:tc>
          <w:tcPr>
            <w:tcW w:w="2015" w:type="dxa"/>
            <w:shd w:val="clear" w:color="auto" w:fill="D9E2F3"/>
            <w:vAlign w:val="center"/>
          </w:tcPr>
          <w:p w14:paraId="00BB6137" w14:textId="77777777" w:rsidR="00990B14" w:rsidRDefault="00000000">
            <w:pPr>
              <w:spacing w:before="20" w:after="20"/>
              <w:jc w:val="both"/>
            </w:pPr>
            <w:r>
              <w:rPr>
                <w:sz w:val="18"/>
                <w:szCs w:val="18"/>
              </w:rPr>
              <w:t>Cita fuentes confiables y redacta con claridad.</w:t>
            </w:r>
          </w:p>
        </w:tc>
        <w:tc>
          <w:tcPr>
            <w:tcW w:w="1837" w:type="dxa"/>
            <w:shd w:val="clear" w:color="auto" w:fill="D9E2F3"/>
            <w:vAlign w:val="center"/>
          </w:tcPr>
          <w:p w14:paraId="2F8D3DAB" w14:textId="77777777" w:rsidR="00990B14" w:rsidRDefault="00000000">
            <w:pPr>
              <w:spacing w:before="20" w:after="20"/>
              <w:jc w:val="both"/>
            </w:pPr>
            <w:r>
              <w:rPr>
                <w:sz w:val="18"/>
                <w:szCs w:val="18"/>
              </w:rPr>
              <w:t>Usa fuentes oficiales del sector y concluye con fundamento.</w:t>
            </w:r>
          </w:p>
        </w:tc>
      </w:tr>
      <w:tr w:rsidR="00990B14" w14:paraId="45E9D395" w14:textId="77777777">
        <w:trPr>
          <w:cantSplit/>
          <w:jc w:val="center"/>
        </w:trPr>
        <w:tc>
          <w:tcPr>
            <w:tcW w:w="1807" w:type="dxa"/>
            <w:vMerge/>
            <w:shd w:val="clear" w:color="auto" w:fill="4472C4"/>
            <w:vAlign w:val="center"/>
          </w:tcPr>
          <w:p w14:paraId="4B1B6B0B" w14:textId="77777777" w:rsidR="00990B14" w:rsidRDefault="00990B14">
            <w:pPr>
              <w:spacing w:before="20" w:after="20"/>
            </w:pPr>
          </w:p>
        </w:tc>
        <w:tc>
          <w:tcPr>
            <w:tcW w:w="5761" w:type="dxa"/>
            <w:gridSpan w:val="3"/>
            <w:shd w:val="clear" w:color="auto" w:fill="D9E2F3"/>
            <w:vAlign w:val="center"/>
          </w:tcPr>
          <w:p w14:paraId="75E66128" w14:textId="77777777" w:rsidR="00990B14" w:rsidRDefault="00000000">
            <w:pPr>
              <w:keepNext/>
              <w:spacing w:before="20" w:after="20"/>
              <w:jc w:val="both"/>
            </w:pPr>
            <w:r>
              <w:rPr>
                <w:b/>
                <w:bCs/>
                <w:i/>
                <w:iCs/>
                <w:sz w:val="18"/>
                <w:szCs w:val="18"/>
              </w:rPr>
              <w:t xml:space="preserve">Producto 19: </w:t>
            </w:r>
            <w:r>
              <w:rPr>
                <w:sz w:val="18"/>
                <w:szCs w:val="18"/>
              </w:rPr>
              <w:t>Cuestionario sobre la contabilidad petrolera</w:t>
            </w:r>
          </w:p>
        </w:tc>
        <w:tc>
          <w:tcPr>
            <w:tcW w:w="1837" w:type="dxa"/>
            <w:shd w:val="clear" w:color="auto" w:fill="D9E2F3"/>
            <w:vAlign w:val="center"/>
          </w:tcPr>
          <w:p w14:paraId="222A2568" w14:textId="77777777" w:rsidR="00990B14" w:rsidRDefault="00000000">
            <w:pPr>
              <w:spacing w:before="20" w:after="20"/>
              <w:jc w:val="center"/>
            </w:pPr>
            <w:r>
              <w:rPr>
                <w:b/>
                <w:bCs/>
                <w:sz w:val="18"/>
                <w:szCs w:val="18"/>
              </w:rPr>
              <w:t>2%</w:t>
            </w:r>
          </w:p>
        </w:tc>
      </w:tr>
      <w:tr w:rsidR="00990B14" w14:paraId="44AB8CE6" w14:textId="77777777">
        <w:trPr>
          <w:cantSplit/>
          <w:jc w:val="center"/>
        </w:trPr>
        <w:tc>
          <w:tcPr>
            <w:tcW w:w="1807" w:type="dxa"/>
            <w:vMerge/>
            <w:shd w:val="clear" w:color="auto" w:fill="4472C4"/>
            <w:vAlign w:val="center"/>
          </w:tcPr>
          <w:p w14:paraId="3666DBF0" w14:textId="77777777" w:rsidR="00990B14" w:rsidRDefault="00990B14">
            <w:pPr>
              <w:spacing w:before="20" w:after="20"/>
            </w:pPr>
          </w:p>
        </w:tc>
        <w:tc>
          <w:tcPr>
            <w:tcW w:w="1910" w:type="dxa"/>
            <w:shd w:val="clear" w:color="auto" w:fill="4472C4"/>
            <w:vAlign w:val="center"/>
          </w:tcPr>
          <w:p w14:paraId="231053BE" w14:textId="77777777" w:rsidR="00990B14" w:rsidRDefault="00000000">
            <w:pPr>
              <w:keepNext/>
              <w:spacing w:before="20" w:after="20"/>
              <w:jc w:val="center"/>
            </w:pPr>
            <w:r>
              <w:rPr>
                <w:b/>
                <w:bCs/>
                <w:i/>
                <w:iCs/>
                <w:color w:val="FFFFFF"/>
                <w:sz w:val="18"/>
                <w:szCs w:val="18"/>
              </w:rPr>
              <w:t>Criterio</w:t>
            </w:r>
          </w:p>
        </w:tc>
        <w:tc>
          <w:tcPr>
            <w:tcW w:w="1836" w:type="dxa"/>
            <w:shd w:val="clear" w:color="auto" w:fill="4472C4"/>
            <w:vAlign w:val="center"/>
          </w:tcPr>
          <w:p w14:paraId="4469536D"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17B2474E" w14:textId="77777777" w:rsidR="00990B14" w:rsidRDefault="00000000">
            <w:pPr>
              <w:keepNext/>
              <w:spacing w:before="20" w:after="20"/>
              <w:jc w:val="center"/>
            </w:pPr>
            <w:r>
              <w:rPr>
                <w:b/>
                <w:bCs/>
                <w:i/>
                <w:iCs/>
                <w:color w:val="FFFFFF"/>
                <w:sz w:val="18"/>
                <w:szCs w:val="18"/>
              </w:rPr>
              <w:t>Suficiente (51–80)</w:t>
            </w:r>
          </w:p>
        </w:tc>
        <w:tc>
          <w:tcPr>
            <w:tcW w:w="1837" w:type="dxa"/>
            <w:shd w:val="clear" w:color="auto" w:fill="4472C4"/>
            <w:vAlign w:val="center"/>
          </w:tcPr>
          <w:p w14:paraId="2D66327C" w14:textId="77777777" w:rsidR="00990B14" w:rsidRDefault="00000000">
            <w:pPr>
              <w:keepNext/>
              <w:spacing w:before="20" w:after="20"/>
              <w:jc w:val="center"/>
            </w:pPr>
            <w:r>
              <w:rPr>
                <w:b/>
                <w:bCs/>
                <w:i/>
                <w:iCs/>
                <w:color w:val="FFFFFF"/>
                <w:sz w:val="18"/>
                <w:szCs w:val="18"/>
              </w:rPr>
              <w:t>Destacado (81–100)</w:t>
            </w:r>
          </w:p>
        </w:tc>
      </w:tr>
      <w:tr w:rsidR="00990B14" w14:paraId="31C44DDA" w14:textId="77777777">
        <w:trPr>
          <w:cantSplit/>
          <w:jc w:val="center"/>
        </w:trPr>
        <w:tc>
          <w:tcPr>
            <w:tcW w:w="1807" w:type="dxa"/>
            <w:vMerge/>
            <w:shd w:val="clear" w:color="auto" w:fill="4472C4"/>
            <w:vAlign w:val="center"/>
          </w:tcPr>
          <w:p w14:paraId="044922D5" w14:textId="77777777" w:rsidR="00990B14" w:rsidRDefault="00990B14">
            <w:pPr>
              <w:spacing w:before="20" w:after="20"/>
            </w:pPr>
          </w:p>
        </w:tc>
        <w:tc>
          <w:tcPr>
            <w:tcW w:w="1910" w:type="dxa"/>
            <w:shd w:val="clear" w:color="auto" w:fill="D9E2F3"/>
            <w:vAlign w:val="center"/>
          </w:tcPr>
          <w:p w14:paraId="04C9FF9A" w14:textId="77777777" w:rsidR="00990B14" w:rsidRDefault="00000000">
            <w:pPr>
              <w:spacing w:before="20" w:after="20"/>
              <w:jc w:val="both"/>
            </w:pPr>
            <w:r>
              <w:rPr>
                <w:sz w:val="18"/>
                <w:szCs w:val="18"/>
              </w:rPr>
              <w:t>Definición</w:t>
            </w:r>
          </w:p>
        </w:tc>
        <w:tc>
          <w:tcPr>
            <w:tcW w:w="1836" w:type="dxa"/>
            <w:shd w:val="clear" w:color="auto" w:fill="D9E2F3"/>
            <w:vAlign w:val="center"/>
          </w:tcPr>
          <w:p w14:paraId="545F6F97" w14:textId="77777777" w:rsidR="00990B14" w:rsidRDefault="00000000">
            <w:pPr>
              <w:spacing w:before="20" w:after="20"/>
              <w:jc w:val="both"/>
            </w:pPr>
            <w:r>
              <w:rPr>
                <w:sz w:val="18"/>
                <w:szCs w:val="18"/>
              </w:rPr>
              <w:t>Define la contabilidad petrolera de forma incorrecta o incompleta.</w:t>
            </w:r>
          </w:p>
        </w:tc>
        <w:tc>
          <w:tcPr>
            <w:tcW w:w="2015" w:type="dxa"/>
            <w:shd w:val="clear" w:color="auto" w:fill="D9E2F3"/>
            <w:vAlign w:val="center"/>
          </w:tcPr>
          <w:p w14:paraId="6C48D9FB" w14:textId="77777777" w:rsidR="00990B14" w:rsidRDefault="00000000">
            <w:pPr>
              <w:spacing w:before="20" w:after="20"/>
              <w:jc w:val="both"/>
            </w:pPr>
            <w:r>
              <w:rPr>
                <w:sz w:val="18"/>
                <w:szCs w:val="18"/>
              </w:rPr>
              <w:t>Define la contabilidad petrolera y sus características.</w:t>
            </w:r>
          </w:p>
        </w:tc>
        <w:tc>
          <w:tcPr>
            <w:tcW w:w="1837" w:type="dxa"/>
            <w:shd w:val="clear" w:color="auto" w:fill="D9E2F3"/>
            <w:vAlign w:val="center"/>
          </w:tcPr>
          <w:p w14:paraId="41DF6220" w14:textId="77777777" w:rsidR="00990B14" w:rsidRDefault="00000000">
            <w:pPr>
              <w:spacing w:before="20" w:after="20"/>
              <w:jc w:val="both"/>
            </w:pPr>
            <w:r>
              <w:rPr>
                <w:sz w:val="18"/>
                <w:szCs w:val="18"/>
              </w:rPr>
              <w:t>Diferencia la contabilidad petrolera de la minera con ejemplos.</w:t>
            </w:r>
          </w:p>
        </w:tc>
      </w:tr>
      <w:tr w:rsidR="00990B14" w14:paraId="17F3E866" w14:textId="77777777">
        <w:trPr>
          <w:cantSplit/>
          <w:jc w:val="center"/>
        </w:trPr>
        <w:tc>
          <w:tcPr>
            <w:tcW w:w="1807" w:type="dxa"/>
            <w:vMerge/>
            <w:shd w:val="clear" w:color="auto" w:fill="4472C4"/>
            <w:vAlign w:val="center"/>
          </w:tcPr>
          <w:p w14:paraId="52EB7112" w14:textId="77777777" w:rsidR="00990B14" w:rsidRDefault="00990B14">
            <w:pPr>
              <w:spacing w:before="20" w:after="20"/>
            </w:pPr>
          </w:p>
        </w:tc>
        <w:tc>
          <w:tcPr>
            <w:tcW w:w="1910" w:type="dxa"/>
            <w:shd w:val="clear" w:color="auto" w:fill="D9E2F3"/>
            <w:vAlign w:val="center"/>
          </w:tcPr>
          <w:p w14:paraId="2D5DA751" w14:textId="77777777" w:rsidR="00990B14" w:rsidRDefault="00000000">
            <w:pPr>
              <w:spacing w:before="20" w:after="20"/>
              <w:jc w:val="both"/>
            </w:pPr>
            <w:r>
              <w:rPr>
                <w:sz w:val="18"/>
                <w:szCs w:val="18"/>
              </w:rPr>
              <w:t>Importancia en la toma de decisiones</w:t>
            </w:r>
          </w:p>
        </w:tc>
        <w:tc>
          <w:tcPr>
            <w:tcW w:w="1836" w:type="dxa"/>
            <w:shd w:val="clear" w:color="auto" w:fill="D9E2F3"/>
            <w:vAlign w:val="center"/>
          </w:tcPr>
          <w:p w14:paraId="7CE897DA" w14:textId="77777777" w:rsidR="00990B14" w:rsidRDefault="00000000">
            <w:pPr>
              <w:spacing w:before="20" w:after="20"/>
              <w:jc w:val="both"/>
            </w:pPr>
            <w:r>
              <w:rPr>
                <w:sz w:val="18"/>
                <w:szCs w:val="18"/>
              </w:rPr>
              <w:t>No relaciona la información contable con las decisiones.</w:t>
            </w:r>
          </w:p>
        </w:tc>
        <w:tc>
          <w:tcPr>
            <w:tcW w:w="2015" w:type="dxa"/>
            <w:shd w:val="clear" w:color="auto" w:fill="D9E2F3"/>
            <w:vAlign w:val="center"/>
          </w:tcPr>
          <w:p w14:paraId="021686B4" w14:textId="77777777" w:rsidR="00990B14" w:rsidRDefault="00000000">
            <w:pPr>
              <w:spacing w:before="20" w:after="20"/>
              <w:jc w:val="both"/>
            </w:pPr>
            <w:r>
              <w:rPr>
                <w:sz w:val="18"/>
                <w:szCs w:val="18"/>
              </w:rPr>
              <w:t>Explica cómo la información contable apoya las decisiones gerenciales.</w:t>
            </w:r>
          </w:p>
        </w:tc>
        <w:tc>
          <w:tcPr>
            <w:tcW w:w="1837" w:type="dxa"/>
            <w:shd w:val="clear" w:color="auto" w:fill="D9E2F3"/>
            <w:vAlign w:val="center"/>
          </w:tcPr>
          <w:p w14:paraId="353A4849" w14:textId="77777777" w:rsidR="00990B14" w:rsidRDefault="00000000">
            <w:pPr>
              <w:spacing w:before="20" w:after="20"/>
              <w:jc w:val="both"/>
            </w:pPr>
            <w:r>
              <w:rPr>
                <w:sz w:val="18"/>
                <w:szCs w:val="18"/>
              </w:rPr>
              <w:t>Ilustra con casos concretos de decisiones del sector.</w:t>
            </w:r>
          </w:p>
        </w:tc>
      </w:tr>
      <w:tr w:rsidR="00990B14" w14:paraId="10A7D77A" w14:textId="77777777">
        <w:trPr>
          <w:cantSplit/>
          <w:jc w:val="center"/>
        </w:trPr>
        <w:tc>
          <w:tcPr>
            <w:tcW w:w="1807" w:type="dxa"/>
            <w:vMerge/>
            <w:shd w:val="clear" w:color="auto" w:fill="4472C4"/>
            <w:vAlign w:val="center"/>
          </w:tcPr>
          <w:p w14:paraId="03274D4D" w14:textId="77777777" w:rsidR="00990B14" w:rsidRDefault="00990B14">
            <w:pPr>
              <w:spacing w:before="20" w:after="20"/>
            </w:pPr>
          </w:p>
        </w:tc>
        <w:tc>
          <w:tcPr>
            <w:tcW w:w="1910" w:type="dxa"/>
            <w:shd w:val="clear" w:color="auto" w:fill="D9E2F3"/>
            <w:vAlign w:val="center"/>
          </w:tcPr>
          <w:p w14:paraId="15CD37F3" w14:textId="77777777" w:rsidR="00990B14" w:rsidRDefault="00000000">
            <w:pPr>
              <w:spacing w:before="20" w:after="20"/>
              <w:jc w:val="both"/>
            </w:pPr>
            <w:r>
              <w:rPr>
                <w:sz w:val="18"/>
                <w:szCs w:val="18"/>
              </w:rPr>
              <w:t>Precisión de las respuestas</w:t>
            </w:r>
          </w:p>
        </w:tc>
        <w:tc>
          <w:tcPr>
            <w:tcW w:w="1836" w:type="dxa"/>
            <w:shd w:val="clear" w:color="auto" w:fill="D9E2F3"/>
            <w:vAlign w:val="center"/>
          </w:tcPr>
          <w:p w14:paraId="7CE828DD" w14:textId="77777777" w:rsidR="00990B14" w:rsidRDefault="00000000">
            <w:pPr>
              <w:spacing w:before="20" w:after="20"/>
              <w:jc w:val="both"/>
            </w:pPr>
            <w:r>
              <w:rPr>
                <w:sz w:val="18"/>
                <w:szCs w:val="18"/>
              </w:rPr>
              <w:t>Las respuestas son incompletas o erróneas.</w:t>
            </w:r>
          </w:p>
        </w:tc>
        <w:tc>
          <w:tcPr>
            <w:tcW w:w="2015" w:type="dxa"/>
            <w:shd w:val="clear" w:color="auto" w:fill="D9E2F3"/>
            <w:vAlign w:val="center"/>
          </w:tcPr>
          <w:p w14:paraId="717490FB" w14:textId="77777777" w:rsidR="00990B14" w:rsidRDefault="00000000">
            <w:pPr>
              <w:spacing w:before="20" w:after="20"/>
              <w:jc w:val="both"/>
            </w:pPr>
            <w:r>
              <w:rPr>
                <w:sz w:val="18"/>
                <w:szCs w:val="18"/>
              </w:rPr>
              <w:t>Responde correctamente la mayoría de las preguntas.</w:t>
            </w:r>
          </w:p>
        </w:tc>
        <w:tc>
          <w:tcPr>
            <w:tcW w:w="1837" w:type="dxa"/>
            <w:shd w:val="clear" w:color="auto" w:fill="D9E2F3"/>
            <w:vAlign w:val="center"/>
          </w:tcPr>
          <w:p w14:paraId="1FEAE033" w14:textId="77777777" w:rsidR="00990B14" w:rsidRDefault="00000000">
            <w:pPr>
              <w:spacing w:before="20" w:after="20"/>
              <w:jc w:val="both"/>
            </w:pPr>
            <w:r>
              <w:rPr>
                <w:sz w:val="18"/>
                <w:szCs w:val="18"/>
              </w:rPr>
              <w:t>Responde todas las preguntas con precisión y terminología petrolera.</w:t>
            </w:r>
          </w:p>
        </w:tc>
      </w:tr>
      <w:tr w:rsidR="00990B14" w14:paraId="2CCB457E" w14:textId="77777777">
        <w:trPr>
          <w:cantSplit/>
          <w:jc w:val="center"/>
        </w:trPr>
        <w:tc>
          <w:tcPr>
            <w:tcW w:w="1807" w:type="dxa"/>
            <w:vMerge/>
            <w:shd w:val="clear" w:color="auto" w:fill="4472C4"/>
            <w:vAlign w:val="center"/>
          </w:tcPr>
          <w:p w14:paraId="120219B9" w14:textId="77777777" w:rsidR="00990B14" w:rsidRDefault="00990B14">
            <w:pPr>
              <w:spacing w:before="20" w:after="20"/>
            </w:pPr>
          </w:p>
        </w:tc>
        <w:tc>
          <w:tcPr>
            <w:tcW w:w="5761" w:type="dxa"/>
            <w:gridSpan w:val="3"/>
            <w:shd w:val="clear" w:color="auto" w:fill="D9E2F3"/>
            <w:vAlign w:val="center"/>
          </w:tcPr>
          <w:p w14:paraId="75A17CBC" w14:textId="77777777" w:rsidR="00990B14" w:rsidRDefault="00000000">
            <w:pPr>
              <w:keepNext/>
              <w:spacing w:before="20" w:after="20"/>
              <w:jc w:val="both"/>
            </w:pPr>
            <w:r>
              <w:rPr>
                <w:b/>
                <w:bCs/>
                <w:i/>
                <w:iCs/>
                <w:sz w:val="18"/>
                <w:szCs w:val="18"/>
              </w:rPr>
              <w:t xml:space="preserve">Producto 20: </w:t>
            </w:r>
            <w:r>
              <w:rPr>
                <w:sz w:val="18"/>
                <w:szCs w:val="18"/>
              </w:rPr>
              <w:t>Mapa mental de las actividades hidrocarburíferas</w:t>
            </w:r>
          </w:p>
        </w:tc>
        <w:tc>
          <w:tcPr>
            <w:tcW w:w="1837" w:type="dxa"/>
            <w:shd w:val="clear" w:color="auto" w:fill="D9E2F3"/>
            <w:vAlign w:val="center"/>
          </w:tcPr>
          <w:p w14:paraId="4F3B30C8" w14:textId="77777777" w:rsidR="00990B14" w:rsidRDefault="00000000">
            <w:pPr>
              <w:spacing w:before="20" w:after="20"/>
              <w:jc w:val="center"/>
            </w:pPr>
            <w:r>
              <w:rPr>
                <w:b/>
                <w:bCs/>
                <w:sz w:val="18"/>
                <w:szCs w:val="18"/>
              </w:rPr>
              <w:t>2%</w:t>
            </w:r>
          </w:p>
        </w:tc>
      </w:tr>
      <w:tr w:rsidR="00990B14" w14:paraId="2CECBCFA" w14:textId="77777777">
        <w:trPr>
          <w:cantSplit/>
          <w:jc w:val="center"/>
        </w:trPr>
        <w:tc>
          <w:tcPr>
            <w:tcW w:w="1807" w:type="dxa"/>
            <w:vMerge/>
            <w:shd w:val="clear" w:color="auto" w:fill="4472C4"/>
            <w:vAlign w:val="center"/>
          </w:tcPr>
          <w:p w14:paraId="0D35CEA4" w14:textId="77777777" w:rsidR="00990B14" w:rsidRDefault="00990B14">
            <w:pPr>
              <w:spacing w:before="20" w:after="20"/>
            </w:pPr>
          </w:p>
        </w:tc>
        <w:tc>
          <w:tcPr>
            <w:tcW w:w="1910" w:type="dxa"/>
            <w:shd w:val="clear" w:color="auto" w:fill="4472C4"/>
            <w:vAlign w:val="center"/>
          </w:tcPr>
          <w:p w14:paraId="64451137" w14:textId="77777777" w:rsidR="00990B14" w:rsidRDefault="00000000">
            <w:pPr>
              <w:keepNext/>
              <w:spacing w:before="20" w:after="20"/>
              <w:jc w:val="center"/>
            </w:pPr>
            <w:r>
              <w:rPr>
                <w:b/>
                <w:bCs/>
                <w:i/>
                <w:iCs/>
                <w:color w:val="FFFFFF"/>
                <w:sz w:val="18"/>
                <w:szCs w:val="18"/>
              </w:rPr>
              <w:t>Criterio</w:t>
            </w:r>
          </w:p>
        </w:tc>
        <w:tc>
          <w:tcPr>
            <w:tcW w:w="1836" w:type="dxa"/>
            <w:shd w:val="clear" w:color="auto" w:fill="4472C4"/>
            <w:vAlign w:val="center"/>
          </w:tcPr>
          <w:p w14:paraId="48B24831"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7A885823" w14:textId="77777777" w:rsidR="00990B14" w:rsidRDefault="00000000">
            <w:pPr>
              <w:keepNext/>
              <w:spacing w:before="20" w:after="20"/>
              <w:jc w:val="center"/>
            </w:pPr>
            <w:r>
              <w:rPr>
                <w:b/>
                <w:bCs/>
                <w:i/>
                <w:iCs/>
                <w:color w:val="FFFFFF"/>
                <w:sz w:val="18"/>
                <w:szCs w:val="18"/>
              </w:rPr>
              <w:t>Suficiente (51–80)</w:t>
            </w:r>
          </w:p>
        </w:tc>
        <w:tc>
          <w:tcPr>
            <w:tcW w:w="1837" w:type="dxa"/>
            <w:shd w:val="clear" w:color="auto" w:fill="4472C4"/>
            <w:vAlign w:val="center"/>
          </w:tcPr>
          <w:p w14:paraId="5BAA3CD6" w14:textId="77777777" w:rsidR="00990B14" w:rsidRDefault="00000000">
            <w:pPr>
              <w:keepNext/>
              <w:spacing w:before="20" w:after="20"/>
              <w:jc w:val="center"/>
            </w:pPr>
            <w:r>
              <w:rPr>
                <w:b/>
                <w:bCs/>
                <w:i/>
                <w:iCs/>
                <w:color w:val="FFFFFF"/>
                <w:sz w:val="18"/>
                <w:szCs w:val="18"/>
              </w:rPr>
              <w:t>Destacado (81–100)</w:t>
            </w:r>
          </w:p>
        </w:tc>
      </w:tr>
      <w:tr w:rsidR="00990B14" w14:paraId="1E5910EB" w14:textId="77777777">
        <w:trPr>
          <w:cantSplit/>
          <w:jc w:val="center"/>
        </w:trPr>
        <w:tc>
          <w:tcPr>
            <w:tcW w:w="1807" w:type="dxa"/>
            <w:vMerge/>
            <w:shd w:val="clear" w:color="auto" w:fill="4472C4"/>
            <w:vAlign w:val="center"/>
          </w:tcPr>
          <w:p w14:paraId="111A977E" w14:textId="77777777" w:rsidR="00990B14" w:rsidRDefault="00990B14">
            <w:pPr>
              <w:spacing w:before="20" w:after="20"/>
            </w:pPr>
          </w:p>
        </w:tc>
        <w:tc>
          <w:tcPr>
            <w:tcW w:w="1910" w:type="dxa"/>
            <w:shd w:val="clear" w:color="auto" w:fill="D9E2F3"/>
            <w:vAlign w:val="center"/>
          </w:tcPr>
          <w:p w14:paraId="443279FD" w14:textId="77777777" w:rsidR="00990B14" w:rsidRDefault="00000000">
            <w:pPr>
              <w:spacing w:before="20" w:after="20"/>
              <w:jc w:val="both"/>
            </w:pPr>
            <w:r>
              <w:rPr>
                <w:sz w:val="18"/>
                <w:szCs w:val="18"/>
              </w:rPr>
              <w:t>Actividades</w:t>
            </w:r>
          </w:p>
        </w:tc>
        <w:tc>
          <w:tcPr>
            <w:tcW w:w="1836" w:type="dxa"/>
            <w:shd w:val="clear" w:color="auto" w:fill="D9E2F3"/>
            <w:vAlign w:val="center"/>
          </w:tcPr>
          <w:p w14:paraId="5F7EC81C" w14:textId="77777777" w:rsidR="00990B14" w:rsidRDefault="00000000">
            <w:pPr>
              <w:spacing w:before="20" w:after="20"/>
              <w:jc w:val="both"/>
            </w:pPr>
            <w:r>
              <w:rPr>
                <w:sz w:val="18"/>
                <w:szCs w:val="18"/>
              </w:rPr>
              <w:t>Omite actividades de la cadena.</w:t>
            </w:r>
          </w:p>
        </w:tc>
        <w:tc>
          <w:tcPr>
            <w:tcW w:w="2015" w:type="dxa"/>
            <w:shd w:val="clear" w:color="auto" w:fill="D9E2F3"/>
            <w:vAlign w:val="center"/>
          </w:tcPr>
          <w:p w14:paraId="1DCFB4EA" w14:textId="77777777" w:rsidR="00990B14" w:rsidRDefault="00000000">
            <w:pPr>
              <w:spacing w:before="20" w:after="20"/>
              <w:jc w:val="both"/>
            </w:pPr>
            <w:r>
              <w:rPr>
                <w:sz w:val="18"/>
                <w:szCs w:val="18"/>
              </w:rPr>
              <w:t>Presenta exploración, explotación, transporte, refinación, comercialización y redes de gas.</w:t>
            </w:r>
          </w:p>
        </w:tc>
        <w:tc>
          <w:tcPr>
            <w:tcW w:w="1837" w:type="dxa"/>
            <w:shd w:val="clear" w:color="auto" w:fill="D9E2F3"/>
            <w:vAlign w:val="center"/>
          </w:tcPr>
          <w:p w14:paraId="445C2736" w14:textId="77777777" w:rsidR="00990B14" w:rsidRDefault="00000000">
            <w:pPr>
              <w:spacing w:before="20" w:after="20"/>
              <w:jc w:val="both"/>
            </w:pPr>
            <w:r>
              <w:rPr>
                <w:sz w:val="18"/>
                <w:szCs w:val="18"/>
              </w:rPr>
              <w:t>Relaciona cada actividad con sus costos y tributos.</w:t>
            </w:r>
          </w:p>
        </w:tc>
      </w:tr>
      <w:tr w:rsidR="00990B14" w14:paraId="03F35363" w14:textId="77777777">
        <w:trPr>
          <w:cantSplit/>
          <w:jc w:val="center"/>
        </w:trPr>
        <w:tc>
          <w:tcPr>
            <w:tcW w:w="1807" w:type="dxa"/>
            <w:vMerge/>
            <w:shd w:val="clear" w:color="auto" w:fill="4472C4"/>
            <w:vAlign w:val="center"/>
          </w:tcPr>
          <w:p w14:paraId="59EADA17" w14:textId="77777777" w:rsidR="00990B14" w:rsidRDefault="00990B14">
            <w:pPr>
              <w:spacing w:before="20" w:after="20"/>
            </w:pPr>
          </w:p>
        </w:tc>
        <w:tc>
          <w:tcPr>
            <w:tcW w:w="1910" w:type="dxa"/>
            <w:shd w:val="clear" w:color="auto" w:fill="D9E2F3"/>
            <w:vAlign w:val="center"/>
          </w:tcPr>
          <w:p w14:paraId="21BD9294" w14:textId="77777777" w:rsidR="00990B14" w:rsidRDefault="00000000">
            <w:pPr>
              <w:spacing w:before="20" w:after="20"/>
              <w:jc w:val="both"/>
            </w:pPr>
            <w:r>
              <w:rPr>
                <w:sz w:val="18"/>
                <w:szCs w:val="18"/>
              </w:rPr>
              <w:t>Estructura del mapa mental</w:t>
            </w:r>
          </w:p>
        </w:tc>
        <w:tc>
          <w:tcPr>
            <w:tcW w:w="1836" w:type="dxa"/>
            <w:shd w:val="clear" w:color="auto" w:fill="D9E2F3"/>
            <w:vAlign w:val="center"/>
          </w:tcPr>
          <w:p w14:paraId="00ACF2AA" w14:textId="77777777" w:rsidR="00990B14" w:rsidRDefault="00000000">
            <w:pPr>
              <w:spacing w:before="20" w:after="20"/>
              <w:jc w:val="both"/>
            </w:pPr>
            <w:r>
              <w:rPr>
                <w:sz w:val="18"/>
                <w:szCs w:val="18"/>
              </w:rPr>
              <w:t>Las ideas no tienen jerarquía ni conexiones.</w:t>
            </w:r>
          </w:p>
        </w:tc>
        <w:tc>
          <w:tcPr>
            <w:tcW w:w="2015" w:type="dxa"/>
            <w:shd w:val="clear" w:color="auto" w:fill="D9E2F3"/>
            <w:vAlign w:val="center"/>
          </w:tcPr>
          <w:p w14:paraId="05E60E65" w14:textId="77777777" w:rsidR="00990B14" w:rsidRDefault="00000000">
            <w:pPr>
              <w:spacing w:before="20" w:after="20"/>
              <w:jc w:val="both"/>
            </w:pPr>
            <w:r>
              <w:rPr>
                <w:sz w:val="18"/>
                <w:szCs w:val="18"/>
              </w:rPr>
              <w:t>Organiza las ideas desde un concepto central con ramas claras.</w:t>
            </w:r>
          </w:p>
        </w:tc>
        <w:tc>
          <w:tcPr>
            <w:tcW w:w="1837" w:type="dxa"/>
            <w:shd w:val="clear" w:color="auto" w:fill="D9E2F3"/>
            <w:vAlign w:val="center"/>
          </w:tcPr>
          <w:p w14:paraId="65C2F9BA" w14:textId="77777777" w:rsidR="00990B14" w:rsidRDefault="00000000">
            <w:pPr>
              <w:spacing w:before="20" w:after="20"/>
              <w:jc w:val="both"/>
            </w:pPr>
            <w:r>
              <w:rPr>
                <w:sz w:val="18"/>
                <w:szCs w:val="18"/>
              </w:rPr>
              <w:t>Usa jerarquía, colores e imágenes que facilitan la comprensión.</w:t>
            </w:r>
          </w:p>
        </w:tc>
      </w:tr>
      <w:tr w:rsidR="00990B14" w14:paraId="3043F5A0" w14:textId="77777777">
        <w:trPr>
          <w:cantSplit/>
          <w:jc w:val="center"/>
        </w:trPr>
        <w:tc>
          <w:tcPr>
            <w:tcW w:w="1807" w:type="dxa"/>
            <w:vMerge/>
            <w:shd w:val="clear" w:color="auto" w:fill="4472C4"/>
            <w:vAlign w:val="center"/>
          </w:tcPr>
          <w:p w14:paraId="28D2A607" w14:textId="77777777" w:rsidR="00990B14" w:rsidRDefault="00990B14">
            <w:pPr>
              <w:spacing w:before="20" w:after="20"/>
            </w:pPr>
          </w:p>
        </w:tc>
        <w:tc>
          <w:tcPr>
            <w:tcW w:w="1910" w:type="dxa"/>
            <w:shd w:val="clear" w:color="auto" w:fill="D9E2F3"/>
            <w:vAlign w:val="center"/>
          </w:tcPr>
          <w:p w14:paraId="343822B3" w14:textId="77777777" w:rsidR="00990B14" w:rsidRDefault="00000000">
            <w:pPr>
              <w:spacing w:before="20" w:after="20"/>
              <w:jc w:val="both"/>
            </w:pPr>
            <w:r>
              <w:rPr>
                <w:sz w:val="18"/>
                <w:szCs w:val="18"/>
              </w:rPr>
              <w:t>Trabajo en equipo</w:t>
            </w:r>
          </w:p>
        </w:tc>
        <w:tc>
          <w:tcPr>
            <w:tcW w:w="1836" w:type="dxa"/>
            <w:shd w:val="clear" w:color="auto" w:fill="D9E2F3"/>
            <w:vAlign w:val="center"/>
          </w:tcPr>
          <w:p w14:paraId="689803CB" w14:textId="77777777" w:rsidR="00990B14" w:rsidRDefault="00000000">
            <w:pPr>
              <w:spacing w:before="20" w:after="20"/>
              <w:jc w:val="both"/>
            </w:pPr>
            <w:r>
              <w:rPr>
                <w:sz w:val="18"/>
                <w:szCs w:val="18"/>
              </w:rPr>
              <w:t>La participación es desigual.</w:t>
            </w:r>
          </w:p>
        </w:tc>
        <w:tc>
          <w:tcPr>
            <w:tcW w:w="2015" w:type="dxa"/>
            <w:shd w:val="clear" w:color="auto" w:fill="D9E2F3"/>
            <w:vAlign w:val="center"/>
          </w:tcPr>
          <w:p w14:paraId="2AD669A0" w14:textId="77777777" w:rsidR="00990B14" w:rsidRDefault="00000000">
            <w:pPr>
              <w:spacing w:before="20" w:after="20"/>
              <w:jc w:val="both"/>
            </w:pPr>
            <w:r>
              <w:rPr>
                <w:sz w:val="18"/>
                <w:szCs w:val="18"/>
              </w:rPr>
              <w:t>Todos los integrantes participan.</w:t>
            </w:r>
          </w:p>
        </w:tc>
        <w:tc>
          <w:tcPr>
            <w:tcW w:w="1837" w:type="dxa"/>
            <w:shd w:val="clear" w:color="auto" w:fill="D9E2F3"/>
            <w:vAlign w:val="center"/>
          </w:tcPr>
          <w:p w14:paraId="7E9EE1A8" w14:textId="77777777" w:rsidR="00990B14" w:rsidRDefault="00000000">
            <w:pPr>
              <w:spacing w:before="20" w:after="20"/>
              <w:jc w:val="both"/>
            </w:pPr>
            <w:r>
              <w:rPr>
                <w:sz w:val="18"/>
                <w:szCs w:val="18"/>
              </w:rPr>
              <w:t>El equipo sustenta sus conclusiones ante el curso.</w:t>
            </w:r>
          </w:p>
        </w:tc>
      </w:tr>
      <w:tr w:rsidR="00990B14" w14:paraId="5350DDF9" w14:textId="77777777">
        <w:trPr>
          <w:cantSplit/>
          <w:jc w:val="center"/>
        </w:trPr>
        <w:tc>
          <w:tcPr>
            <w:tcW w:w="1807" w:type="dxa"/>
            <w:vMerge/>
            <w:shd w:val="clear" w:color="auto" w:fill="4472C4"/>
            <w:vAlign w:val="center"/>
          </w:tcPr>
          <w:p w14:paraId="3A32BDE3" w14:textId="77777777" w:rsidR="00990B14" w:rsidRDefault="00990B14">
            <w:pPr>
              <w:spacing w:before="20" w:after="20"/>
            </w:pPr>
          </w:p>
        </w:tc>
        <w:tc>
          <w:tcPr>
            <w:tcW w:w="5761" w:type="dxa"/>
            <w:gridSpan w:val="3"/>
            <w:shd w:val="clear" w:color="auto" w:fill="D9E2F3"/>
            <w:vAlign w:val="center"/>
          </w:tcPr>
          <w:p w14:paraId="47AB813C" w14:textId="77777777" w:rsidR="00990B14" w:rsidRDefault="00000000">
            <w:pPr>
              <w:keepNext/>
              <w:spacing w:before="20" w:after="20"/>
              <w:jc w:val="both"/>
            </w:pPr>
            <w:r>
              <w:rPr>
                <w:b/>
                <w:bCs/>
                <w:i/>
                <w:iCs/>
                <w:sz w:val="18"/>
                <w:szCs w:val="18"/>
              </w:rPr>
              <w:t xml:space="preserve">Producto 21: </w:t>
            </w:r>
            <w:r>
              <w:rPr>
                <w:sz w:val="18"/>
                <w:szCs w:val="18"/>
              </w:rPr>
              <w:t>Comprobantes contables de la exploración de hidrocarburos</w:t>
            </w:r>
          </w:p>
        </w:tc>
        <w:tc>
          <w:tcPr>
            <w:tcW w:w="1837" w:type="dxa"/>
            <w:shd w:val="clear" w:color="auto" w:fill="D9E2F3"/>
            <w:vAlign w:val="center"/>
          </w:tcPr>
          <w:p w14:paraId="1989B77C" w14:textId="77777777" w:rsidR="00990B14" w:rsidRDefault="00000000">
            <w:pPr>
              <w:spacing w:before="20" w:after="20"/>
              <w:jc w:val="center"/>
            </w:pPr>
            <w:r>
              <w:rPr>
                <w:b/>
                <w:bCs/>
                <w:sz w:val="18"/>
                <w:szCs w:val="18"/>
              </w:rPr>
              <w:t>4%</w:t>
            </w:r>
          </w:p>
        </w:tc>
      </w:tr>
      <w:tr w:rsidR="00990B14" w14:paraId="701460BE" w14:textId="77777777">
        <w:trPr>
          <w:cantSplit/>
          <w:jc w:val="center"/>
        </w:trPr>
        <w:tc>
          <w:tcPr>
            <w:tcW w:w="1807" w:type="dxa"/>
            <w:vMerge/>
            <w:shd w:val="clear" w:color="auto" w:fill="4472C4"/>
            <w:vAlign w:val="center"/>
          </w:tcPr>
          <w:p w14:paraId="60606FB3" w14:textId="77777777" w:rsidR="00990B14" w:rsidRDefault="00990B14">
            <w:pPr>
              <w:spacing w:before="20" w:after="20"/>
            </w:pPr>
          </w:p>
        </w:tc>
        <w:tc>
          <w:tcPr>
            <w:tcW w:w="1910" w:type="dxa"/>
            <w:shd w:val="clear" w:color="auto" w:fill="4472C4"/>
            <w:vAlign w:val="center"/>
          </w:tcPr>
          <w:p w14:paraId="6EAA027D" w14:textId="77777777" w:rsidR="00990B14" w:rsidRDefault="00000000">
            <w:pPr>
              <w:keepNext/>
              <w:spacing w:before="20" w:after="20"/>
              <w:jc w:val="center"/>
            </w:pPr>
            <w:r>
              <w:rPr>
                <w:b/>
                <w:bCs/>
                <w:i/>
                <w:iCs/>
                <w:color w:val="FFFFFF"/>
                <w:sz w:val="18"/>
                <w:szCs w:val="18"/>
              </w:rPr>
              <w:t>Criterio</w:t>
            </w:r>
          </w:p>
        </w:tc>
        <w:tc>
          <w:tcPr>
            <w:tcW w:w="1836" w:type="dxa"/>
            <w:shd w:val="clear" w:color="auto" w:fill="4472C4"/>
            <w:vAlign w:val="center"/>
          </w:tcPr>
          <w:p w14:paraId="0B2E54CC"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0B77D26E" w14:textId="77777777" w:rsidR="00990B14" w:rsidRDefault="00000000">
            <w:pPr>
              <w:keepNext/>
              <w:spacing w:before="20" w:after="20"/>
              <w:jc w:val="center"/>
            </w:pPr>
            <w:r>
              <w:rPr>
                <w:b/>
                <w:bCs/>
                <w:i/>
                <w:iCs/>
                <w:color w:val="FFFFFF"/>
                <w:sz w:val="18"/>
                <w:szCs w:val="18"/>
              </w:rPr>
              <w:t>Suficiente (51–80)</w:t>
            </w:r>
          </w:p>
        </w:tc>
        <w:tc>
          <w:tcPr>
            <w:tcW w:w="1837" w:type="dxa"/>
            <w:shd w:val="clear" w:color="auto" w:fill="4472C4"/>
            <w:vAlign w:val="center"/>
          </w:tcPr>
          <w:p w14:paraId="0ED081E8" w14:textId="77777777" w:rsidR="00990B14" w:rsidRDefault="00000000">
            <w:pPr>
              <w:keepNext/>
              <w:spacing w:before="20" w:after="20"/>
              <w:jc w:val="center"/>
            </w:pPr>
            <w:r>
              <w:rPr>
                <w:b/>
                <w:bCs/>
                <w:i/>
                <w:iCs/>
                <w:color w:val="FFFFFF"/>
                <w:sz w:val="18"/>
                <w:szCs w:val="18"/>
              </w:rPr>
              <w:t>Destacado (81–100)</w:t>
            </w:r>
          </w:p>
        </w:tc>
      </w:tr>
      <w:tr w:rsidR="00990B14" w14:paraId="3DB39697" w14:textId="77777777">
        <w:trPr>
          <w:cantSplit/>
          <w:jc w:val="center"/>
        </w:trPr>
        <w:tc>
          <w:tcPr>
            <w:tcW w:w="1807" w:type="dxa"/>
            <w:vMerge/>
            <w:shd w:val="clear" w:color="auto" w:fill="4472C4"/>
            <w:vAlign w:val="center"/>
          </w:tcPr>
          <w:p w14:paraId="58D05375" w14:textId="77777777" w:rsidR="00990B14" w:rsidRDefault="00990B14">
            <w:pPr>
              <w:spacing w:before="20" w:after="20"/>
            </w:pPr>
          </w:p>
        </w:tc>
        <w:tc>
          <w:tcPr>
            <w:tcW w:w="1910" w:type="dxa"/>
            <w:shd w:val="clear" w:color="auto" w:fill="D9E2F3"/>
            <w:vAlign w:val="center"/>
          </w:tcPr>
          <w:p w14:paraId="4B1E81DA" w14:textId="77777777" w:rsidR="00990B14" w:rsidRDefault="00000000">
            <w:pPr>
              <w:spacing w:before="20" w:after="20"/>
              <w:jc w:val="both"/>
            </w:pPr>
            <w:r>
              <w:rPr>
                <w:sz w:val="18"/>
                <w:szCs w:val="18"/>
              </w:rPr>
              <w:t>Aplicación de los métodos</w:t>
            </w:r>
          </w:p>
        </w:tc>
        <w:tc>
          <w:tcPr>
            <w:tcW w:w="1836" w:type="dxa"/>
            <w:shd w:val="clear" w:color="auto" w:fill="D9E2F3"/>
            <w:vAlign w:val="center"/>
          </w:tcPr>
          <w:p w14:paraId="6C685392" w14:textId="77777777" w:rsidR="00990B14" w:rsidRDefault="00000000">
            <w:pPr>
              <w:spacing w:before="20" w:after="20"/>
              <w:jc w:val="both"/>
            </w:pPr>
            <w:r>
              <w:rPr>
                <w:sz w:val="18"/>
                <w:szCs w:val="18"/>
              </w:rPr>
              <w:t>Confunde ambos métodos.</w:t>
            </w:r>
          </w:p>
        </w:tc>
        <w:tc>
          <w:tcPr>
            <w:tcW w:w="2015" w:type="dxa"/>
            <w:shd w:val="clear" w:color="auto" w:fill="D9E2F3"/>
            <w:vAlign w:val="center"/>
          </w:tcPr>
          <w:p w14:paraId="795AFDE6" w14:textId="77777777" w:rsidR="00990B14" w:rsidRDefault="00000000">
            <w:pPr>
              <w:spacing w:before="20" w:after="20"/>
              <w:jc w:val="both"/>
            </w:pPr>
            <w:r>
              <w:rPr>
                <w:sz w:val="18"/>
                <w:szCs w:val="18"/>
              </w:rPr>
              <w:t>Contabiliza por el método del costo total y por el de esfuerzo exitoso.</w:t>
            </w:r>
          </w:p>
        </w:tc>
        <w:tc>
          <w:tcPr>
            <w:tcW w:w="1837" w:type="dxa"/>
            <w:shd w:val="clear" w:color="auto" w:fill="D9E2F3"/>
            <w:vAlign w:val="center"/>
          </w:tcPr>
          <w:p w14:paraId="32CB561E" w14:textId="77777777" w:rsidR="00990B14" w:rsidRDefault="00000000">
            <w:pPr>
              <w:spacing w:before="20" w:after="20"/>
              <w:jc w:val="both"/>
            </w:pPr>
            <w:r>
              <w:rPr>
                <w:sz w:val="18"/>
                <w:szCs w:val="18"/>
              </w:rPr>
              <w:t>Relaciona cada método con la NIIF 6.</w:t>
            </w:r>
          </w:p>
        </w:tc>
      </w:tr>
      <w:tr w:rsidR="00990B14" w14:paraId="12E0B044" w14:textId="77777777">
        <w:trPr>
          <w:cantSplit/>
          <w:jc w:val="center"/>
        </w:trPr>
        <w:tc>
          <w:tcPr>
            <w:tcW w:w="1807" w:type="dxa"/>
            <w:vMerge/>
            <w:shd w:val="clear" w:color="auto" w:fill="4472C4"/>
            <w:vAlign w:val="center"/>
          </w:tcPr>
          <w:p w14:paraId="2DA4E298" w14:textId="77777777" w:rsidR="00990B14" w:rsidRDefault="00990B14">
            <w:pPr>
              <w:spacing w:before="20" w:after="20"/>
            </w:pPr>
          </w:p>
        </w:tc>
        <w:tc>
          <w:tcPr>
            <w:tcW w:w="1910" w:type="dxa"/>
            <w:shd w:val="clear" w:color="auto" w:fill="D9E2F3"/>
            <w:vAlign w:val="center"/>
          </w:tcPr>
          <w:p w14:paraId="29959C7D" w14:textId="77777777" w:rsidR="00990B14" w:rsidRDefault="00000000">
            <w:pPr>
              <w:spacing w:before="20" w:after="20"/>
              <w:jc w:val="both"/>
            </w:pPr>
            <w:r>
              <w:rPr>
                <w:sz w:val="18"/>
                <w:szCs w:val="18"/>
              </w:rPr>
              <w:t>Comprobantes</w:t>
            </w:r>
          </w:p>
        </w:tc>
        <w:tc>
          <w:tcPr>
            <w:tcW w:w="1836" w:type="dxa"/>
            <w:shd w:val="clear" w:color="auto" w:fill="D9E2F3"/>
            <w:vAlign w:val="center"/>
          </w:tcPr>
          <w:p w14:paraId="6BA134E2" w14:textId="77777777" w:rsidR="00990B14" w:rsidRDefault="00000000">
            <w:pPr>
              <w:spacing w:before="20" w:after="20"/>
              <w:jc w:val="both"/>
            </w:pPr>
            <w:r>
              <w:rPr>
                <w:sz w:val="18"/>
                <w:szCs w:val="18"/>
              </w:rPr>
              <w:t>Los comprobantes están incompletos.</w:t>
            </w:r>
          </w:p>
        </w:tc>
        <w:tc>
          <w:tcPr>
            <w:tcW w:w="2015" w:type="dxa"/>
            <w:shd w:val="clear" w:color="auto" w:fill="D9E2F3"/>
            <w:vAlign w:val="center"/>
          </w:tcPr>
          <w:p w14:paraId="2276BB43" w14:textId="77777777" w:rsidR="00990B14" w:rsidRDefault="00000000">
            <w:pPr>
              <w:spacing w:before="20" w:after="20"/>
              <w:jc w:val="both"/>
            </w:pPr>
            <w:r>
              <w:rPr>
                <w:sz w:val="18"/>
                <w:szCs w:val="18"/>
              </w:rPr>
              <w:t>Elabora comprobantes con cuentas, glosa y respaldo.</w:t>
            </w:r>
          </w:p>
        </w:tc>
        <w:tc>
          <w:tcPr>
            <w:tcW w:w="1837" w:type="dxa"/>
            <w:shd w:val="clear" w:color="auto" w:fill="D9E2F3"/>
            <w:vAlign w:val="center"/>
          </w:tcPr>
          <w:p w14:paraId="3FFAC83D" w14:textId="77777777" w:rsidR="00990B14" w:rsidRDefault="00000000">
            <w:pPr>
              <w:spacing w:before="20" w:after="20"/>
              <w:jc w:val="both"/>
            </w:pPr>
            <w:r>
              <w:rPr>
                <w:sz w:val="18"/>
                <w:szCs w:val="18"/>
              </w:rPr>
              <w:t>Distingue los costos capitalizables de los que van a resultados.</w:t>
            </w:r>
          </w:p>
        </w:tc>
      </w:tr>
      <w:tr w:rsidR="00990B14" w14:paraId="26BE1368" w14:textId="77777777">
        <w:trPr>
          <w:cantSplit/>
          <w:jc w:val="center"/>
        </w:trPr>
        <w:tc>
          <w:tcPr>
            <w:tcW w:w="1807" w:type="dxa"/>
            <w:vMerge/>
            <w:shd w:val="clear" w:color="auto" w:fill="4472C4"/>
            <w:vAlign w:val="center"/>
          </w:tcPr>
          <w:p w14:paraId="50D6EDF4" w14:textId="77777777" w:rsidR="00990B14" w:rsidRDefault="00990B14">
            <w:pPr>
              <w:spacing w:before="20" w:after="20"/>
            </w:pPr>
          </w:p>
        </w:tc>
        <w:tc>
          <w:tcPr>
            <w:tcW w:w="1910" w:type="dxa"/>
            <w:shd w:val="clear" w:color="auto" w:fill="D9E2F3"/>
            <w:vAlign w:val="center"/>
          </w:tcPr>
          <w:p w14:paraId="60738DE5" w14:textId="77777777" w:rsidR="00990B14" w:rsidRDefault="00000000">
            <w:pPr>
              <w:spacing w:before="20" w:after="20"/>
              <w:jc w:val="both"/>
            </w:pPr>
            <w:r>
              <w:rPr>
                <w:sz w:val="18"/>
                <w:szCs w:val="18"/>
              </w:rPr>
              <w:t>Exactitud</w:t>
            </w:r>
          </w:p>
        </w:tc>
        <w:tc>
          <w:tcPr>
            <w:tcW w:w="1836" w:type="dxa"/>
            <w:shd w:val="clear" w:color="auto" w:fill="D9E2F3"/>
            <w:vAlign w:val="center"/>
          </w:tcPr>
          <w:p w14:paraId="4C176561" w14:textId="77777777" w:rsidR="00990B14" w:rsidRDefault="00000000">
            <w:pPr>
              <w:spacing w:before="20" w:after="20"/>
              <w:jc w:val="both"/>
            </w:pPr>
            <w:r>
              <w:rPr>
                <w:sz w:val="18"/>
                <w:szCs w:val="18"/>
              </w:rPr>
              <w:t>Presenta errores en los asientos.</w:t>
            </w:r>
          </w:p>
        </w:tc>
        <w:tc>
          <w:tcPr>
            <w:tcW w:w="2015" w:type="dxa"/>
            <w:shd w:val="clear" w:color="auto" w:fill="D9E2F3"/>
            <w:vAlign w:val="center"/>
          </w:tcPr>
          <w:p w14:paraId="38991640" w14:textId="77777777" w:rsidR="00990B14" w:rsidRDefault="00000000">
            <w:pPr>
              <w:spacing w:before="20" w:after="20"/>
              <w:jc w:val="both"/>
            </w:pPr>
            <w:r>
              <w:rPr>
                <w:sz w:val="18"/>
                <w:szCs w:val="18"/>
              </w:rPr>
              <w:t>Los asientos son correctos y cuadran.</w:t>
            </w:r>
          </w:p>
        </w:tc>
        <w:tc>
          <w:tcPr>
            <w:tcW w:w="1837" w:type="dxa"/>
            <w:shd w:val="clear" w:color="auto" w:fill="D9E2F3"/>
            <w:vAlign w:val="center"/>
          </w:tcPr>
          <w:p w14:paraId="63F7712F" w14:textId="77777777" w:rsidR="00990B14" w:rsidRDefault="00000000">
            <w:pPr>
              <w:spacing w:before="20" w:after="20"/>
              <w:jc w:val="both"/>
            </w:pPr>
            <w:r>
              <w:rPr>
                <w:sz w:val="18"/>
                <w:szCs w:val="18"/>
              </w:rPr>
              <w:t>Concilia los saldos de ambos métodos.</w:t>
            </w:r>
          </w:p>
        </w:tc>
      </w:tr>
      <w:tr w:rsidR="00990B14" w14:paraId="62D402AD" w14:textId="77777777">
        <w:trPr>
          <w:cantSplit/>
          <w:jc w:val="center"/>
        </w:trPr>
        <w:tc>
          <w:tcPr>
            <w:tcW w:w="1807" w:type="dxa"/>
            <w:vMerge/>
            <w:shd w:val="clear" w:color="auto" w:fill="4472C4"/>
            <w:vAlign w:val="center"/>
          </w:tcPr>
          <w:p w14:paraId="64FB55DE" w14:textId="77777777" w:rsidR="00990B14" w:rsidRDefault="00990B14">
            <w:pPr>
              <w:spacing w:before="20" w:after="20"/>
            </w:pPr>
          </w:p>
        </w:tc>
        <w:tc>
          <w:tcPr>
            <w:tcW w:w="5761" w:type="dxa"/>
            <w:gridSpan w:val="3"/>
            <w:shd w:val="clear" w:color="auto" w:fill="D9E2F3"/>
            <w:vAlign w:val="center"/>
          </w:tcPr>
          <w:p w14:paraId="191A24BB" w14:textId="77777777" w:rsidR="00990B14" w:rsidRDefault="00000000">
            <w:pPr>
              <w:keepNext/>
              <w:spacing w:before="20" w:after="20"/>
              <w:jc w:val="both"/>
            </w:pPr>
            <w:r>
              <w:rPr>
                <w:b/>
                <w:bCs/>
                <w:i/>
                <w:iCs/>
                <w:sz w:val="18"/>
                <w:szCs w:val="18"/>
              </w:rPr>
              <w:t xml:space="preserve">Producto 22: </w:t>
            </w:r>
            <w:r>
              <w:rPr>
                <w:sz w:val="18"/>
                <w:szCs w:val="18"/>
              </w:rPr>
              <w:t>Cuadro comparativo del efecto en la depreciación de pozos petroleros</w:t>
            </w:r>
          </w:p>
        </w:tc>
        <w:tc>
          <w:tcPr>
            <w:tcW w:w="1837" w:type="dxa"/>
            <w:shd w:val="clear" w:color="auto" w:fill="D9E2F3"/>
            <w:vAlign w:val="center"/>
          </w:tcPr>
          <w:p w14:paraId="1AFFCFCF" w14:textId="77777777" w:rsidR="00990B14" w:rsidRDefault="00000000">
            <w:pPr>
              <w:spacing w:before="20" w:after="20"/>
              <w:jc w:val="center"/>
            </w:pPr>
            <w:r>
              <w:rPr>
                <w:b/>
                <w:bCs/>
                <w:sz w:val="18"/>
                <w:szCs w:val="18"/>
              </w:rPr>
              <w:t>3%</w:t>
            </w:r>
          </w:p>
        </w:tc>
      </w:tr>
      <w:tr w:rsidR="00990B14" w14:paraId="68C50B8E" w14:textId="77777777">
        <w:trPr>
          <w:cantSplit/>
          <w:jc w:val="center"/>
        </w:trPr>
        <w:tc>
          <w:tcPr>
            <w:tcW w:w="1807" w:type="dxa"/>
            <w:vMerge/>
            <w:shd w:val="clear" w:color="auto" w:fill="4472C4"/>
            <w:vAlign w:val="center"/>
          </w:tcPr>
          <w:p w14:paraId="7A7795D0" w14:textId="77777777" w:rsidR="00990B14" w:rsidRDefault="00990B14">
            <w:pPr>
              <w:spacing w:before="20" w:after="20"/>
            </w:pPr>
          </w:p>
        </w:tc>
        <w:tc>
          <w:tcPr>
            <w:tcW w:w="1910" w:type="dxa"/>
            <w:shd w:val="clear" w:color="auto" w:fill="4472C4"/>
            <w:vAlign w:val="center"/>
          </w:tcPr>
          <w:p w14:paraId="58BB4D23" w14:textId="77777777" w:rsidR="00990B14" w:rsidRDefault="00000000">
            <w:pPr>
              <w:keepNext/>
              <w:spacing w:before="20" w:after="20"/>
              <w:jc w:val="center"/>
            </w:pPr>
            <w:r>
              <w:rPr>
                <w:b/>
                <w:bCs/>
                <w:i/>
                <w:iCs/>
                <w:color w:val="FFFFFF"/>
                <w:sz w:val="18"/>
                <w:szCs w:val="18"/>
              </w:rPr>
              <w:t>Criterio</w:t>
            </w:r>
          </w:p>
        </w:tc>
        <w:tc>
          <w:tcPr>
            <w:tcW w:w="1836" w:type="dxa"/>
            <w:shd w:val="clear" w:color="auto" w:fill="4472C4"/>
            <w:vAlign w:val="center"/>
          </w:tcPr>
          <w:p w14:paraId="248B2C3B"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0A2C9839" w14:textId="77777777" w:rsidR="00990B14" w:rsidRDefault="00000000">
            <w:pPr>
              <w:keepNext/>
              <w:spacing w:before="20" w:after="20"/>
              <w:jc w:val="center"/>
            </w:pPr>
            <w:r>
              <w:rPr>
                <w:b/>
                <w:bCs/>
                <w:i/>
                <w:iCs/>
                <w:color w:val="FFFFFF"/>
                <w:sz w:val="18"/>
                <w:szCs w:val="18"/>
              </w:rPr>
              <w:t>Suficiente (51–80)</w:t>
            </w:r>
          </w:p>
        </w:tc>
        <w:tc>
          <w:tcPr>
            <w:tcW w:w="1837" w:type="dxa"/>
            <w:shd w:val="clear" w:color="auto" w:fill="4472C4"/>
            <w:vAlign w:val="center"/>
          </w:tcPr>
          <w:p w14:paraId="6BD86C71" w14:textId="77777777" w:rsidR="00990B14" w:rsidRDefault="00000000">
            <w:pPr>
              <w:keepNext/>
              <w:spacing w:before="20" w:after="20"/>
              <w:jc w:val="center"/>
            </w:pPr>
            <w:r>
              <w:rPr>
                <w:b/>
                <w:bCs/>
                <w:i/>
                <w:iCs/>
                <w:color w:val="FFFFFF"/>
                <w:sz w:val="18"/>
                <w:szCs w:val="18"/>
              </w:rPr>
              <w:t>Destacado (81–100)</w:t>
            </w:r>
          </w:p>
        </w:tc>
      </w:tr>
      <w:tr w:rsidR="00990B14" w14:paraId="6DFAFA25" w14:textId="77777777">
        <w:trPr>
          <w:cantSplit/>
          <w:jc w:val="center"/>
        </w:trPr>
        <w:tc>
          <w:tcPr>
            <w:tcW w:w="1807" w:type="dxa"/>
            <w:vMerge/>
            <w:shd w:val="clear" w:color="auto" w:fill="4472C4"/>
            <w:vAlign w:val="center"/>
          </w:tcPr>
          <w:p w14:paraId="6A5944FD" w14:textId="77777777" w:rsidR="00990B14" w:rsidRDefault="00990B14">
            <w:pPr>
              <w:spacing w:before="20" w:after="20"/>
            </w:pPr>
          </w:p>
        </w:tc>
        <w:tc>
          <w:tcPr>
            <w:tcW w:w="1910" w:type="dxa"/>
            <w:shd w:val="clear" w:color="auto" w:fill="D9E2F3"/>
            <w:vAlign w:val="center"/>
          </w:tcPr>
          <w:p w14:paraId="7DB88828" w14:textId="77777777" w:rsidR="00990B14" w:rsidRDefault="00000000">
            <w:pPr>
              <w:spacing w:before="20" w:after="20"/>
              <w:jc w:val="both"/>
            </w:pPr>
            <w:r>
              <w:rPr>
                <w:sz w:val="18"/>
                <w:szCs w:val="18"/>
              </w:rPr>
              <w:t>Efecto en los estados</w:t>
            </w:r>
          </w:p>
        </w:tc>
        <w:tc>
          <w:tcPr>
            <w:tcW w:w="1836" w:type="dxa"/>
            <w:shd w:val="clear" w:color="auto" w:fill="D9E2F3"/>
            <w:vAlign w:val="center"/>
          </w:tcPr>
          <w:p w14:paraId="2B4C561A" w14:textId="77777777" w:rsidR="00990B14" w:rsidRDefault="00000000">
            <w:pPr>
              <w:spacing w:before="20" w:after="20"/>
              <w:jc w:val="both"/>
            </w:pPr>
            <w:r>
              <w:rPr>
                <w:sz w:val="18"/>
                <w:szCs w:val="18"/>
              </w:rPr>
              <w:t>No compara resultados.</w:t>
            </w:r>
          </w:p>
        </w:tc>
        <w:tc>
          <w:tcPr>
            <w:tcW w:w="2015" w:type="dxa"/>
            <w:shd w:val="clear" w:color="auto" w:fill="D9E2F3"/>
            <w:vAlign w:val="center"/>
          </w:tcPr>
          <w:p w14:paraId="2A8FE8C1" w14:textId="77777777" w:rsidR="00990B14" w:rsidRDefault="00000000">
            <w:pPr>
              <w:spacing w:before="20" w:after="20"/>
              <w:jc w:val="both"/>
            </w:pPr>
            <w:r>
              <w:rPr>
                <w:sz w:val="18"/>
                <w:szCs w:val="18"/>
              </w:rPr>
              <w:t>Compara el efecto de ambos métodos en el resultado y en el activo.</w:t>
            </w:r>
          </w:p>
        </w:tc>
        <w:tc>
          <w:tcPr>
            <w:tcW w:w="1837" w:type="dxa"/>
            <w:shd w:val="clear" w:color="auto" w:fill="D9E2F3"/>
            <w:vAlign w:val="center"/>
          </w:tcPr>
          <w:p w14:paraId="6DE10EA0" w14:textId="77777777" w:rsidR="00990B14" w:rsidRDefault="00000000">
            <w:pPr>
              <w:spacing w:before="20" w:after="20"/>
              <w:jc w:val="both"/>
            </w:pPr>
            <w:r>
              <w:rPr>
                <w:sz w:val="18"/>
                <w:szCs w:val="18"/>
              </w:rPr>
              <w:t>Recomienda una política contable con fundamento.</w:t>
            </w:r>
          </w:p>
        </w:tc>
      </w:tr>
      <w:tr w:rsidR="00990B14" w14:paraId="5148CD01" w14:textId="77777777">
        <w:trPr>
          <w:cantSplit/>
          <w:jc w:val="center"/>
        </w:trPr>
        <w:tc>
          <w:tcPr>
            <w:tcW w:w="1807" w:type="dxa"/>
            <w:vMerge/>
            <w:shd w:val="clear" w:color="auto" w:fill="4472C4"/>
            <w:vAlign w:val="center"/>
          </w:tcPr>
          <w:p w14:paraId="505B5E8B" w14:textId="77777777" w:rsidR="00990B14" w:rsidRDefault="00990B14">
            <w:pPr>
              <w:spacing w:before="20" w:after="20"/>
            </w:pPr>
          </w:p>
        </w:tc>
        <w:tc>
          <w:tcPr>
            <w:tcW w:w="1910" w:type="dxa"/>
            <w:shd w:val="clear" w:color="auto" w:fill="D9E2F3"/>
            <w:vAlign w:val="center"/>
          </w:tcPr>
          <w:p w14:paraId="5C46D323" w14:textId="77777777" w:rsidR="00990B14" w:rsidRDefault="00000000">
            <w:pPr>
              <w:spacing w:before="20" w:after="20"/>
              <w:jc w:val="both"/>
            </w:pPr>
            <w:r>
              <w:rPr>
                <w:sz w:val="18"/>
                <w:szCs w:val="18"/>
              </w:rPr>
              <w:t>Cálculo de la depreciación</w:t>
            </w:r>
          </w:p>
        </w:tc>
        <w:tc>
          <w:tcPr>
            <w:tcW w:w="1836" w:type="dxa"/>
            <w:shd w:val="clear" w:color="auto" w:fill="D9E2F3"/>
            <w:vAlign w:val="center"/>
          </w:tcPr>
          <w:p w14:paraId="241EBAFC" w14:textId="77777777" w:rsidR="00990B14" w:rsidRDefault="00000000">
            <w:pPr>
              <w:spacing w:before="20" w:after="20"/>
              <w:jc w:val="both"/>
            </w:pPr>
            <w:r>
              <w:rPr>
                <w:sz w:val="18"/>
                <w:szCs w:val="18"/>
              </w:rPr>
              <w:t>Calcula mal la depreciación o el agotamiento.</w:t>
            </w:r>
          </w:p>
        </w:tc>
        <w:tc>
          <w:tcPr>
            <w:tcW w:w="2015" w:type="dxa"/>
            <w:shd w:val="clear" w:color="auto" w:fill="D9E2F3"/>
            <w:vAlign w:val="center"/>
          </w:tcPr>
          <w:p w14:paraId="49F82425" w14:textId="77777777" w:rsidR="00990B14" w:rsidRDefault="00000000">
            <w:pPr>
              <w:spacing w:before="20" w:after="20"/>
              <w:jc w:val="both"/>
            </w:pPr>
            <w:r>
              <w:rPr>
                <w:sz w:val="18"/>
                <w:szCs w:val="18"/>
              </w:rPr>
              <w:t>Calcula la depreciación de pozos por unidades producidas.</w:t>
            </w:r>
          </w:p>
        </w:tc>
        <w:tc>
          <w:tcPr>
            <w:tcW w:w="1837" w:type="dxa"/>
            <w:shd w:val="clear" w:color="auto" w:fill="D9E2F3"/>
            <w:vAlign w:val="center"/>
          </w:tcPr>
          <w:p w14:paraId="4F8F8E09" w14:textId="77777777" w:rsidR="00990B14" w:rsidRDefault="00000000">
            <w:pPr>
              <w:spacing w:before="20" w:after="20"/>
              <w:jc w:val="both"/>
            </w:pPr>
            <w:r>
              <w:rPr>
                <w:sz w:val="18"/>
                <w:szCs w:val="18"/>
              </w:rPr>
              <w:t>Proyecta el efecto en varios periodos.</w:t>
            </w:r>
          </w:p>
        </w:tc>
      </w:tr>
      <w:tr w:rsidR="00990B14" w14:paraId="0E64C44B" w14:textId="77777777">
        <w:trPr>
          <w:cantSplit/>
          <w:jc w:val="center"/>
        </w:trPr>
        <w:tc>
          <w:tcPr>
            <w:tcW w:w="1807" w:type="dxa"/>
            <w:vMerge/>
            <w:shd w:val="clear" w:color="auto" w:fill="4472C4"/>
            <w:vAlign w:val="center"/>
          </w:tcPr>
          <w:p w14:paraId="70ED821E" w14:textId="77777777" w:rsidR="00990B14" w:rsidRDefault="00990B14">
            <w:pPr>
              <w:spacing w:before="20" w:after="20"/>
            </w:pPr>
          </w:p>
        </w:tc>
        <w:tc>
          <w:tcPr>
            <w:tcW w:w="1910" w:type="dxa"/>
            <w:shd w:val="clear" w:color="auto" w:fill="D9E2F3"/>
            <w:vAlign w:val="center"/>
          </w:tcPr>
          <w:p w14:paraId="62A5A22C" w14:textId="77777777" w:rsidR="00990B14" w:rsidRDefault="00000000">
            <w:pPr>
              <w:spacing w:before="20" w:after="20"/>
              <w:jc w:val="both"/>
            </w:pPr>
            <w:r>
              <w:rPr>
                <w:sz w:val="18"/>
                <w:szCs w:val="18"/>
              </w:rPr>
              <w:t>Trabajo en equipo</w:t>
            </w:r>
          </w:p>
        </w:tc>
        <w:tc>
          <w:tcPr>
            <w:tcW w:w="1836" w:type="dxa"/>
            <w:shd w:val="clear" w:color="auto" w:fill="D9E2F3"/>
            <w:vAlign w:val="center"/>
          </w:tcPr>
          <w:p w14:paraId="074B53C5" w14:textId="77777777" w:rsidR="00990B14" w:rsidRDefault="00000000">
            <w:pPr>
              <w:spacing w:before="20" w:after="20"/>
              <w:jc w:val="both"/>
            </w:pPr>
            <w:r>
              <w:rPr>
                <w:sz w:val="18"/>
                <w:szCs w:val="18"/>
              </w:rPr>
              <w:t>La participación es desigual.</w:t>
            </w:r>
          </w:p>
        </w:tc>
        <w:tc>
          <w:tcPr>
            <w:tcW w:w="2015" w:type="dxa"/>
            <w:shd w:val="clear" w:color="auto" w:fill="D9E2F3"/>
            <w:vAlign w:val="center"/>
          </w:tcPr>
          <w:p w14:paraId="6FD9619D" w14:textId="77777777" w:rsidR="00990B14" w:rsidRDefault="00000000">
            <w:pPr>
              <w:spacing w:before="20" w:after="20"/>
              <w:jc w:val="both"/>
            </w:pPr>
            <w:r>
              <w:rPr>
                <w:sz w:val="18"/>
                <w:szCs w:val="18"/>
              </w:rPr>
              <w:t>Todos los integrantes participan.</w:t>
            </w:r>
          </w:p>
        </w:tc>
        <w:tc>
          <w:tcPr>
            <w:tcW w:w="1837" w:type="dxa"/>
            <w:shd w:val="clear" w:color="auto" w:fill="D9E2F3"/>
            <w:vAlign w:val="center"/>
          </w:tcPr>
          <w:p w14:paraId="0182B4F5" w14:textId="77777777" w:rsidR="00990B14" w:rsidRDefault="00000000">
            <w:pPr>
              <w:spacing w:before="20" w:after="20"/>
              <w:jc w:val="both"/>
            </w:pPr>
            <w:r>
              <w:rPr>
                <w:sz w:val="18"/>
                <w:szCs w:val="18"/>
              </w:rPr>
              <w:t>El equipo sustenta sus conclusiones ante el curso.</w:t>
            </w:r>
          </w:p>
        </w:tc>
      </w:tr>
      <w:tr w:rsidR="00990B14" w14:paraId="1E5BE216" w14:textId="77777777">
        <w:trPr>
          <w:cantSplit/>
          <w:jc w:val="center"/>
        </w:trPr>
        <w:tc>
          <w:tcPr>
            <w:tcW w:w="1807" w:type="dxa"/>
            <w:vMerge/>
            <w:shd w:val="clear" w:color="auto" w:fill="4472C4"/>
            <w:vAlign w:val="center"/>
          </w:tcPr>
          <w:p w14:paraId="4ACB27F2" w14:textId="77777777" w:rsidR="00990B14" w:rsidRDefault="00990B14">
            <w:pPr>
              <w:spacing w:before="20" w:after="20"/>
            </w:pPr>
          </w:p>
        </w:tc>
        <w:tc>
          <w:tcPr>
            <w:tcW w:w="5761" w:type="dxa"/>
            <w:gridSpan w:val="3"/>
            <w:shd w:val="clear" w:color="auto" w:fill="D9E2F3"/>
            <w:vAlign w:val="center"/>
          </w:tcPr>
          <w:p w14:paraId="6EC844D1" w14:textId="77777777" w:rsidR="00990B14" w:rsidRDefault="00000000">
            <w:pPr>
              <w:keepNext/>
              <w:spacing w:before="20" w:after="20"/>
              <w:jc w:val="both"/>
            </w:pPr>
            <w:r>
              <w:rPr>
                <w:b/>
                <w:bCs/>
                <w:i/>
                <w:iCs/>
                <w:sz w:val="18"/>
                <w:szCs w:val="18"/>
              </w:rPr>
              <w:t xml:space="preserve">Producto 23: </w:t>
            </w:r>
            <w:r>
              <w:rPr>
                <w:sz w:val="18"/>
                <w:szCs w:val="18"/>
              </w:rPr>
              <w:t>Libro diario de las operaciones de explotación de hidrocarburos</w:t>
            </w:r>
          </w:p>
        </w:tc>
        <w:tc>
          <w:tcPr>
            <w:tcW w:w="1837" w:type="dxa"/>
            <w:shd w:val="clear" w:color="auto" w:fill="D9E2F3"/>
            <w:vAlign w:val="center"/>
          </w:tcPr>
          <w:p w14:paraId="1404FC9D" w14:textId="77777777" w:rsidR="00990B14" w:rsidRDefault="00000000">
            <w:pPr>
              <w:spacing w:before="20" w:after="20"/>
              <w:jc w:val="center"/>
            </w:pPr>
            <w:r>
              <w:rPr>
                <w:b/>
                <w:bCs/>
                <w:sz w:val="18"/>
                <w:szCs w:val="18"/>
              </w:rPr>
              <w:t>4%</w:t>
            </w:r>
          </w:p>
        </w:tc>
      </w:tr>
      <w:tr w:rsidR="00990B14" w14:paraId="27F713E1" w14:textId="77777777">
        <w:trPr>
          <w:cantSplit/>
          <w:jc w:val="center"/>
        </w:trPr>
        <w:tc>
          <w:tcPr>
            <w:tcW w:w="1807" w:type="dxa"/>
            <w:vMerge/>
            <w:shd w:val="clear" w:color="auto" w:fill="4472C4"/>
            <w:vAlign w:val="center"/>
          </w:tcPr>
          <w:p w14:paraId="45FD31AB" w14:textId="77777777" w:rsidR="00990B14" w:rsidRDefault="00990B14">
            <w:pPr>
              <w:spacing w:before="20" w:after="20"/>
            </w:pPr>
          </w:p>
        </w:tc>
        <w:tc>
          <w:tcPr>
            <w:tcW w:w="1910" w:type="dxa"/>
            <w:shd w:val="clear" w:color="auto" w:fill="4472C4"/>
            <w:vAlign w:val="center"/>
          </w:tcPr>
          <w:p w14:paraId="1D67587F" w14:textId="77777777" w:rsidR="00990B14" w:rsidRDefault="00000000">
            <w:pPr>
              <w:keepNext/>
              <w:spacing w:before="20" w:after="20"/>
              <w:jc w:val="center"/>
            </w:pPr>
            <w:r>
              <w:rPr>
                <w:b/>
                <w:bCs/>
                <w:i/>
                <w:iCs/>
                <w:color w:val="FFFFFF"/>
                <w:sz w:val="18"/>
                <w:szCs w:val="18"/>
              </w:rPr>
              <w:t>Criterio</w:t>
            </w:r>
          </w:p>
        </w:tc>
        <w:tc>
          <w:tcPr>
            <w:tcW w:w="1836" w:type="dxa"/>
            <w:shd w:val="clear" w:color="auto" w:fill="4472C4"/>
            <w:vAlign w:val="center"/>
          </w:tcPr>
          <w:p w14:paraId="20BABEC7"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3735AC70" w14:textId="77777777" w:rsidR="00990B14" w:rsidRDefault="00000000">
            <w:pPr>
              <w:keepNext/>
              <w:spacing w:before="20" w:after="20"/>
              <w:jc w:val="center"/>
            </w:pPr>
            <w:r>
              <w:rPr>
                <w:b/>
                <w:bCs/>
                <w:i/>
                <w:iCs/>
                <w:color w:val="FFFFFF"/>
                <w:sz w:val="18"/>
                <w:szCs w:val="18"/>
              </w:rPr>
              <w:t>Suficiente (51–80)</w:t>
            </w:r>
          </w:p>
        </w:tc>
        <w:tc>
          <w:tcPr>
            <w:tcW w:w="1837" w:type="dxa"/>
            <w:shd w:val="clear" w:color="auto" w:fill="4472C4"/>
            <w:vAlign w:val="center"/>
          </w:tcPr>
          <w:p w14:paraId="21251DDB" w14:textId="77777777" w:rsidR="00990B14" w:rsidRDefault="00000000">
            <w:pPr>
              <w:keepNext/>
              <w:spacing w:before="20" w:after="20"/>
              <w:jc w:val="center"/>
            </w:pPr>
            <w:r>
              <w:rPr>
                <w:b/>
                <w:bCs/>
                <w:i/>
                <w:iCs/>
                <w:color w:val="FFFFFF"/>
                <w:sz w:val="18"/>
                <w:szCs w:val="18"/>
              </w:rPr>
              <w:t>Destacado (81–100)</w:t>
            </w:r>
          </w:p>
        </w:tc>
      </w:tr>
      <w:tr w:rsidR="00990B14" w14:paraId="455A432C" w14:textId="77777777">
        <w:trPr>
          <w:cantSplit/>
          <w:jc w:val="center"/>
        </w:trPr>
        <w:tc>
          <w:tcPr>
            <w:tcW w:w="1807" w:type="dxa"/>
            <w:vMerge/>
            <w:shd w:val="clear" w:color="auto" w:fill="4472C4"/>
            <w:vAlign w:val="center"/>
          </w:tcPr>
          <w:p w14:paraId="4CC276DA" w14:textId="77777777" w:rsidR="00990B14" w:rsidRDefault="00990B14">
            <w:pPr>
              <w:spacing w:before="20" w:after="20"/>
            </w:pPr>
          </w:p>
        </w:tc>
        <w:tc>
          <w:tcPr>
            <w:tcW w:w="1910" w:type="dxa"/>
            <w:shd w:val="clear" w:color="auto" w:fill="D9E2F3"/>
            <w:vAlign w:val="center"/>
          </w:tcPr>
          <w:p w14:paraId="5B567A69" w14:textId="77777777" w:rsidR="00990B14" w:rsidRDefault="00000000">
            <w:pPr>
              <w:spacing w:before="20" w:after="20"/>
              <w:jc w:val="both"/>
            </w:pPr>
            <w:r>
              <w:rPr>
                <w:sz w:val="18"/>
                <w:szCs w:val="18"/>
              </w:rPr>
              <w:t>Labores de producción</w:t>
            </w:r>
          </w:p>
        </w:tc>
        <w:tc>
          <w:tcPr>
            <w:tcW w:w="1836" w:type="dxa"/>
            <w:shd w:val="clear" w:color="auto" w:fill="D9E2F3"/>
            <w:vAlign w:val="center"/>
          </w:tcPr>
          <w:p w14:paraId="1FA2F998" w14:textId="77777777" w:rsidR="00990B14" w:rsidRDefault="00000000">
            <w:pPr>
              <w:spacing w:before="20" w:after="20"/>
              <w:jc w:val="both"/>
            </w:pPr>
            <w:r>
              <w:rPr>
                <w:sz w:val="18"/>
                <w:szCs w:val="18"/>
              </w:rPr>
              <w:t>Omite labores del campo.</w:t>
            </w:r>
          </w:p>
        </w:tc>
        <w:tc>
          <w:tcPr>
            <w:tcW w:w="2015" w:type="dxa"/>
            <w:shd w:val="clear" w:color="auto" w:fill="D9E2F3"/>
            <w:vAlign w:val="center"/>
          </w:tcPr>
          <w:p w14:paraId="4A4E01D4" w14:textId="77777777" w:rsidR="00990B14" w:rsidRDefault="00000000">
            <w:pPr>
              <w:spacing w:before="20" w:after="20"/>
              <w:jc w:val="both"/>
            </w:pPr>
            <w:r>
              <w:rPr>
                <w:sz w:val="18"/>
                <w:szCs w:val="18"/>
              </w:rPr>
              <w:t>Registra los costos de cada labor de producción.</w:t>
            </w:r>
          </w:p>
        </w:tc>
        <w:tc>
          <w:tcPr>
            <w:tcW w:w="1837" w:type="dxa"/>
            <w:shd w:val="clear" w:color="auto" w:fill="D9E2F3"/>
            <w:vAlign w:val="center"/>
          </w:tcPr>
          <w:p w14:paraId="2DA8F20A" w14:textId="77777777" w:rsidR="00990B14" w:rsidRDefault="00000000">
            <w:pPr>
              <w:spacing w:before="20" w:after="20"/>
              <w:jc w:val="both"/>
            </w:pPr>
            <w:r>
              <w:rPr>
                <w:sz w:val="18"/>
                <w:szCs w:val="18"/>
              </w:rPr>
              <w:t>Distingue los costos controlables de los no controlables.</w:t>
            </w:r>
          </w:p>
        </w:tc>
      </w:tr>
      <w:tr w:rsidR="00990B14" w14:paraId="5602CE64" w14:textId="77777777">
        <w:trPr>
          <w:cantSplit/>
          <w:jc w:val="center"/>
        </w:trPr>
        <w:tc>
          <w:tcPr>
            <w:tcW w:w="1807" w:type="dxa"/>
            <w:vMerge/>
            <w:shd w:val="clear" w:color="auto" w:fill="4472C4"/>
            <w:vAlign w:val="center"/>
          </w:tcPr>
          <w:p w14:paraId="32CFCB26" w14:textId="77777777" w:rsidR="00990B14" w:rsidRDefault="00990B14">
            <w:pPr>
              <w:spacing w:before="20" w:after="20"/>
            </w:pPr>
          </w:p>
        </w:tc>
        <w:tc>
          <w:tcPr>
            <w:tcW w:w="1910" w:type="dxa"/>
            <w:shd w:val="clear" w:color="auto" w:fill="D9E2F3"/>
            <w:vAlign w:val="center"/>
          </w:tcPr>
          <w:p w14:paraId="68B13450" w14:textId="77777777" w:rsidR="00990B14" w:rsidRDefault="00000000">
            <w:pPr>
              <w:spacing w:before="20" w:after="20"/>
              <w:jc w:val="both"/>
            </w:pPr>
            <w:r>
              <w:rPr>
                <w:sz w:val="18"/>
                <w:szCs w:val="18"/>
              </w:rPr>
              <w:t>Distribución y depreciación</w:t>
            </w:r>
          </w:p>
        </w:tc>
        <w:tc>
          <w:tcPr>
            <w:tcW w:w="1836" w:type="dxa"/>
            <w:shd w:val="clear" w:color="auto" w:fill="D9E2F3"/>
            <w:vAlign w:val="center"/>
          </w:tcPr>
          <w:p w14:paraId="7130D426" w14:textId="77777777" w:rsidR="00990B14" w:rsidRDefault="00000000">
            <w:pPr>
              <w:spacing w:before="20" w:after="20"/>
              <w:jc w:val="both"/>
            </w:pPr>
            <w:r>
              <w:rPr>
                <w:sz w:val="18"/>
                <w:szCs w:val="18"/>
              </w:rPr>
              <w:t>Distribuye sin base.</w:t>
            </w:r>
          </w:p>
        </w:tc>
        <w:tc>
          <w:tcPr>
            <w:tcW w:w="2015" w:type="dxa"/>
            <w:shd w:val="clear" w:color="auto" w:fill="D9E2F3"/>
            <w:vAlign w:val="center"/>
          </w:tcPr>
          <w:p w14:paraId="7947B601" w14:textId="77777777" w:rsidR="00990B14" w:rsidRDefault="00000000">
            <w:pPr>
              <w:spacing w:before="20" w:after="20"/>
              <w:jc w:val="both"/>
            </w:pPr>
            <w:r>
              <w:rPr>
                <w:sz w:val="18"/>
                <w:szCs w:val="18"/>
              </w:rPr>
              <w:t>Distribuye los gastos y registra la depreciación.</w:t>
            </w:r>
          </w:p>
        </w:tc>
        <w:tc>
          <w:tcPr>
            <w:tcW w:w="1837" w:type="dxa"/>
            <w:shd w:val="clear" w:color="auto" w:fill="D9E2F3"/>
            <w:vAlign w:val="center"/>
          </w:tcPr>
          <w:p w14:paraId="4F1E3C79" w14:textId="77777777" w:rsidR="00990B14" w:rsidRDefault="00000000">
            <w:pPr>
              <w:spacing w:before="20" w:after="20"/>
              <w:jc w:val="both"/>
            </w:pPr>
            <w:r>
              <w:rPr>
                <w:sz w:val="18"/>
                <w:szCs w:val="18"/>
              </w:rPr>
              <w:t>Justifica las bases de distribución elegidas.</w:t>
            </w:r>
          </w:p>
        </w:tc>
      </w:tr>
      <w:tr w:rsidR="00990B14" w14:paraId="008C58C4" w14:textId="77777777">
        <w:trPr>
          <w:cantSplit/>
          <w:jc w:val="center"/>
        </w:trPr>
        <w:tc>
          <w:tcPr>
            <w:tcW w:w="1807" w:type="dxa"/>
            <w:vMerge/>
            <w:shd w:val="clear" w:color="auto" w:fill="4472C4"/>
            <w:vAlign w:val="center"/>
          </w:tcPr>
          <w:p w14:paraId="44B4A367" w14:textId="77777777" w:rsidR="00990B14" w:rsidRDefault="00990B14">
            <w:pPr>
              <w:spacing w:before="20" w:after="20"/>
            </w:pPr>
          </w:p>
        </w:tc>
        <w:tc>
          <w:tcPr>
            <w:tcW w:w="1910" w:type="dxa"/>
            <w:shd w:val="clear" w:color="auto" w:fill="D9E2F3"/>
            <w:vAlign w:val="center"/>
          </w:tcPr>
          <w:p w14:paraId="60ED6E6C" w14:textId="77777777" w:rsidR="00990B14" w:rsidRDefault="00000000">
            <w:pPr>
              <w:spacing w:before="20" w:after="20"/>
              <w:jc w:val="both"/>
            </w:pPr>
            <w:r>
              <w:rPr>
                <w:sz w:val="18"/>
                <w:szCs w:val="18"/>
              </w:rPr>
              <w:t>Exactitud</w:t>
            </w:r>
          </w:p>
        </w:tc>
        <w:tc>
          <w:tcPr>
            <w:tcW w:w="1836" w:type="dxa"/>
            <w:shd w:val="clear" w:color="auto" w:fill="D9E2F3"/>
            <w:vAlign w:val="center"/>
          </w:tcPr>
          <w:p w14:paraId="0FB2146E" w14:textId="77777777" w:rsidR="00990B14" w:rsidRDefault="00000000">
            <w:pPr>
              <w:spacing w:before="20" w:after="20"/>
              <w:jc w:val="both"/>
            </w:pPr>
            <w:r>
              <w:rPr>
                <w:sz w:val="18"/>
                <w:szCs w:val="18"/>
              </w:rPr>
              <w:t>Presenta errores en los asientos.</w:t>
            </w:r>
          </w:p>
        </w:tc>
        <w:tc>
          <w:tcPr>
            <w:tcW w:w="2015" w:type="dxa"/>
            <w:shd w:val="clear" w:color="auto" w:fill="D9E2F3"/>
            <w:vAlign w:val="center"/>
          </w:tcPr>
          <w:p w14:paraId="3DC688B7" w14:textId="77777777" w:rsidR="00990B14" w:rsidRDefault="00000000">
            <w:pPr>
              <w:spacing w:before="20" w:after="20"/>
              <w:jc w:val="both"/>
            </w:pPr>
            <w:r>
              <w:rPr>
                <w:sz w:val="18"/>
                <w:szCs w:val="18"/>
              </w:rPr>
              <w:t>Los asientos son correctos y cuadran.</w:t>
            </w:r>
          </w:p>
        </w:tc>
        <w:tc>
          <w:tcPr>
            <w:tcW w:w="1837" w:type="dxa"/>
            <w:shd w:val="clear" w:color="auto" w:fill="D9E2F3"/>
            <w:vAlign w:val="center"/>
          </w:tcPr>
          <w:p w14:paraId="0477BCA2" w14:textId="77777777" w:rsidR="00990B14" w:rsidRDefault="00000000">
            <w:pPr>
              <w:spacing w:before="20" w:after="20"/>
              <w:jc w:val="both"/>
            </w:pPr>
            <w:r>
              <w:rPr>
                <w:sz w:val="18"/>
                <w:szCs w:val="18"/>
              </w:rPr>
              <w:t>Concilia el costo con la producción fiscalizada.</w:t>
            </w:r>
          </w:p>
        </w:tc>
      </w:tr>
      <w:tr w:rsidR="00990B14" w14:paraId="37EDB629" w14:textId="77777777">
        <w:trPr>
          <w:cantSplit/>
          <w:jc w:val="center"/>
        </w:trPr>
        <w:tc>
          <w:tcPr>
            <w:tcW w:w="1807" w:type="dxa"/>
            <w:vMerge/>
            <w:shd w:val="clear" w:color="auto" w:fill="4472C4"/>
            <w:vAlign w:val="center"/>
          </w:tcPr>
          <w:p w14:paraId="2335F660" w14:textId="77777777" w:rsidR="00990B14" w:rsidRDefault="00990B14">
            <w:pPr>
              <w:spacing w:before="20" w:after="20"/>
            </w:pPr>
          </w:p>
        </w:tc>
        <w:tc>
          <w:tcPr>
            <w:tcW w:w="5761" w:type="dxa"/>
            <w:gridSpan w:val="3"/>
            <w:shd w:val="clear" w:color="auto" w:fill="D9E2F3"/>
            <w:vAlign w:val="center"/>
          </w:tcPr>
          <w:p w14:paraId="683989EE" w14:textId="77777777" w:rsidR="00990B14" w:rsidRDefault="00000000">
            <w:pPr>
              <w:keepNext/>
              <w:spacing w:before="20" w:after="20"/>
              <w:jc w:val="both"/>
            </w:pPr>
            <w:r>
              <w:rPr>
                <w:b/>
                <w:bCs/>
                <w:i/>
                <w:iCs/>
                <w:sz w:val="18"/>
                <w:szCs w:val="18"/>
              </w:rPr>
              <w:t xml:space="preserve">Producto 24: </w:t>
            </w:r>
            <w:r>
              <w:rPr>
                <w:sz w:val="18"/>
                <w:szCs w:val="18"/>
              </w:rPr>
              <w:t>Cuadro de cálculo de regalías, participación del TGN e IDH</w:t>
            </w:r>
          </w:p>
        </w:tc>
        <w:tc>
          <w:tcPr>
            <w:tcW w:w="1837" w:type="dxa"/>
            <w:shd w:val="clear" w:color="auto" w:fill="D9E2F3"/>
            <w:vAlign w:val="center"/>
          </w:tcPr>
          <w:p w14:paraId="026D58A0" w14:textId="77777777" w:rsidR="00990B14" w:rsidRDefault="00000000">
            <w:pPr>
              <w:spacing w:before="20" w:after="20"/>
              <w:jc w:val="center"/>
            </w:pPr>
            <w:r>
              <w:rPr>
                <w:b/>
                <w:bCs/>
                <w:sz w:val="18"/>
                <w:szCs w:val="18"/>
              </w:rPr>
              <w:t>3%</w:t>
            </w:r>
          </w:p>
        </w:tc>
      </w:tr>
      <w:tr w:rsidR="00990B14" w14:paraId="2D637CB4" w14:textId="77777777">
        <w:trPr>
          <w:cantSplit/>
          <w:jc w:val="center"/>
        </w:trPr>
        <w:tc>
          <w:tcPr>
            <w:tcW w:w="1807" w:type="dxa"/>
            <w:vMerge/>
            <w:shd w:val="clear" w:color="auto" w:fill="4472C4"/>
            <w:vAlign w:val="center"/>
          </w:tcPr>
          <w:p w14:paraId="35721A0A" w14:textId="77777777" w:rsidR="00990B14" w:rsidRDefault="00990B14">
            <w:pPr>
              <w:spacing w:before="20" w:after="20"/>
            </w:pPr>
          </w:p>
        </w:tc>
        <w:tc>
          <w:tcPr>
            <w:tcW w:w="1910" w:type="dxa"/>
            <w:shd w:val="clear" w:color="auto" w:fill="4472C4"/>
            <w:vAlign w:val="center"/>
          </w:tcPr>
          <w:p w14:paraId="755DC5A0" w14:textId="77777777" w:rsidR="00990B14" w:rsidRDefault="00000000">
            <w:pPr>
              <w:keepNext/>
              <w:spacing w:before="20" w:after="20"/>
              <w:jc w:val="center"/>
            </w:pPr>
            <w:r>
              <w:rPr>
                <w:b/>
                <w:bCs/>
                <w:i/>
                <w:iCs/>
                <w:color w:val="FFFFFF"/>
                <w:sz w:val="18"/>
                <w:szCs w:val="18"/>
              </w:rPr>
              <w:t>Criterio</w:t>
            </w:r>
          </w:p>
        </w:tc>
        <w:tc>
          <w:tcPr>
            <w:tcW w:w="1836" w:type="dxa"/>
            <w:shd w:val="clear" w:color="auto" w:fill="4472C4"/>
            <w:vAlign w:val="center"/>
          </w:tcPr>
          <w:p w14:paraId="29737CB8"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4E846068" w14:textId="77777777" w:rsidR="00990B14" w:rsidRDefault="00000000">
            <w:pPr>
              <w:keepNext/>
              <w:spacing w:before="20" w:after="20"/>
              <w:jc w:val="center"/>
            </w:pPr>
            <w:r>
              <w:rPr>
                <w:b/>
                <w:bCs/>
                <w:i/>
                <w:iCs/>
                <w:color w:val="FFFFFF"/>
                <w:sz w:val="18"/>
                <w:szCs w:val="18"/>
              </w:rPr>
              <w:t>Suficiente (51–80)</w:t>
            </w:r>
          </w:p>
        </w:tc>
        <w:tc>
          <w:tcPr>
            <w:tcW w:w="1837" w:type="dxa"/>
            <w:shd w:val="clear" w:color="auto" w:fill="4472C4"/>
            <w:vAlign w:val="center"/>
          </w:tcPr>
          <w:p w14:paraId="47734D26" w14:textId="77777777" w:rsidR="00990B14" w:rsidRDefault="00000000">
            <w:pPr>
              <w:keepNext/>
              <w:spacing w:before="20" w:after="20"/>
              <w:jc w:val="center"/>
            </w:pPr>
            <w:r>
              <w:rPr>
                <w:b/>
                <w:bCs/>
                <w:i/>
                <w:iCs/>
                <w:color w:val="FFFFFF"/>
                <w:sz w:val="18"/>
                <w:szCs w:val="18"/>
              </w:rPr>
              <w:t>Destacado (81–100)</w:t>
            </w:r>
          </w:p>
        </w:tc>
      </w:tr>
      <w:tr w:rsidR="00990B14" w14:paraId="41FF4FC5" w14:textId="77777777">
        <w:trPr>
          <w:cantSplit/>
          <w:jc w:val="center"/>
        </w:trPr>
        <w:tc>
          <w:tcPr>
            <w:tcW w:w="1807" w:type="dxa"/>
            <w:vMerge/>
            <w:shd w:val="clear" w:color="auto" w:fill="4472C4"/>
            <w:vAlign w:val="center"/>
          </w:tcPr>
          <w:p w14:paraId="5CB3CD52" w14:textId="77777777" w:rsidR="00990B14" w:rsidRDefault="00990B14">
            <w:pPr>
              <w:spacing w:before="20" w:after="20"/>
            </w:pPr>
          </w:p>
        </w:tc>
        <w:tc>
          <w:tcPr>
            <w:tcW w:w="1910" w:type="dxa"/>
            <w:shd w:val="clear" w:color="auto" w:fill="D9E2F3"/>
            <w:vAlign w:val="center"/>
          </w:tcPr>
          <w:p w14:paraId="78D8AB03" w14:textId="77777777" w:rsidR="00990B14" w:rsidRDefault="00000000">
            <w:pPr>
              <w:spacing w:before="20" w:after="20"/>
              <w:jc w:val="both"/>
            </w:pPr>
            <w:r>
              <w:rPr>
                <w:sz w:val="18"/>
                <w:szCs w:val="18"/>
              </w:rPr>
              <w:t>Base de cálculo</w:t>
            </w:r>
          </w:p>
        </w:tc>
        <w:tc>
          <w:tcPr>
            <w:tcW w:w="1836" w:type="dxa"/>
            <w:shd w:val="clear" w:color="auto" w:fill="D9E2F3"/>
            <w:vAlign w:val="center"/>
          </w:tcPr>
          <w:p w14:paraId="2B258555" w14:textId="77777777" w:rsidR="00990B14" w:rsidRDefault="00000000">
            <w:pPr>
              <w:spacing w:before="20" w:after="20"/>
              <w:jc w:val="both"/>
            </w:pPr>
            <w:r>
              <w:rPr>
                <w:sz w:val="18"/>
                <w:szCs w:val="18"/>
              </w:rPr>
              <w:t>Usa una base distinta de la fiscalizada.</w:t>
            </w:r>
          </w:p>
        </w:tc>
        <w:tc>
          <w:tcPr>
            <w:tcW w:w="2015" w:type="dxa"/>
            <w:shd w:val="clear" w:color="auto" w:fill="D9E2F3"/>
            <w:vAlign w:val="center"/>
          </w:tcPr>
          <w:p w14:paraId="5978CF71" w14:textId="77777777" w:rsidR="00990B14" w:rsidRDefault="00000000">
            <w:pPr>
              <w:spacing w:before="20" w:after="20"/>
              <w:jc w:val="both"/>
            </w:pPr>
            <w:r>
              <w:rPr>
                <w:sz w:val="18"/>
                <w:szCs w:val="18"/>
              </w:rPr>
              <w:t>Calcula sobre la producción fiscalizada expresada en barriles de crudo o pies cúbicos de gas.</w:t>
            </w:r>
          </w:p>
        </w:tc>
        <w:tc>
          <w:tcPr>
            <w:tcW w:w="1837" w:type="dxa"/>
            <w:shd w:val="clear" w:color="auto" w:fill="D9E2F3"/>
            <w:vAlign w:val="center"/>
          </w:tcPr>
          <w:p w14:paraId="0ABAF96C" w14:textId="77777777" w:rsidR="00990B14" w:rsidRDefault="00000000">
            <w:pPr>
              <w:spacing w:before="20" w:after="20"/>
              <w:jc w:val="both"/>
            </w:pPr>
            <w:r>
              <w:rPr>
                <w:sz w:val="18"/>
                <w:szCs w:val="18"/>
              </w:rPr>
              <w:t>Concilia la producción fiscalizada con la registrada.</w:t>
            </w:r>
          </w:p>
        </w:tc>
      </w:tr>
      <w:tr w:rsidR="00990B14" w14:paraId="3D027509" w14:textId="77777777">
        <w:trPr>
          <w:cantSplit/>
          <w:jc w:val="center"/>
        </w:trPr>
        <w:tc>
          <w:tcPr>
            <w:tcW w:w="1807" w:type="dxa"/>
            <w:vMerge/>
            <w:shd w:val="clear" w:color="auto" w:fill="4472C4"/>
            <w:vAlign w:val="center"/>
          </w:tcPr>
          <w:p w14:paraId="7AA4007F" w14:textId="77777777" w:rsidR="00990B14" w:rsidRDefault="00990B14">
            <w:pPr>
              <w:spacing w:before="20" w:after="20"/>
            </w:pPr>
          </w:p>
        </w:tc>
        <w:tc>
          <w:tcPr>
            <w:tcW w:w="1910" w:type="dxa"/>
            <w:shd w:val="clear" w:color="auto" w:fill="D9E2F3"/>
            <w:vAlign w:val="center"/>
          </w:tcPr>
          <w:p w14:paraId="00B3F05E" w14:textId="77777777" w:rsidR="00990B14" w:rsidRDefault="00000000">
            <w:pPr>
              <w:spacing w:before="20" w:after="20"/>
              <w:jc w:val="both"/>
            </w:pPr>
            <w:r>
              <w:rPr>
                <w:sz w:val="18"/>
                <w:szCs w:val="18"/>
              </w:rPr>
              <w:t>Alícuotas</w:t>
            </w:r>
          </w:p>
        </w:tc>
        <w:tc>
          <w:tcPr>
            <w:tcW w:w="1836" w:type="dxa"/>
            <w:shd w:val="clear" w:color="auto" w:fill="D9E2F3"/>
            <w:vAlign w:val="center"/>
          </w:tcPr>
          <w:p w14:paraId="1218ECBD" w14:textId="77777777" w:rsidR="00990B14" w:rsidRDefault="00000000">
            <w:pPr>
              <w:spacing w:before="20" w:after="20"/>
              <w:jc w:val="both"/>
            </w:pPr>
            <w:r>
              <w:rPr>
                <w:sz w:val="18"/>
                <w:szCs w:val="18"/>
              </w:rPr>
              <w:t>Aplica alícuotas erróneas.</w:t>
            </w:r>
          </w:p>
        </w:tc>
        <w:tc>
          <w:tcPr>
            <w:tcW w:w="2015" w:type="dxa"/>
            <w:shd w:val="clear" w:color="auto" w:fill="D9E2F3"/>
            <w:vAlign w:val="center"/>
          </w:tcPr>
          <w:p w14:paraId="613ED70A" w14:textId="77777777" w:rsidR="00990B14" w:rsidRDefault="00000000">
            <w:pPr>
              <w:spacing w:before="20" w:after="20"/>
              <w:jc w:val="both"/>
            </w:pPr>
            <w:r>
              <w:rPr>
                <w:sz w:val="18"/>
                <w:szCs w:val="18"/>
              </w:rPr>
              <w:t>Aplica los porcentajes de la Ley 3058 a cada concepto.</w:t>
            </w:r>
          </w:p>
        </w:tc>
        <w:tc>
          <w:tcPr>
            <w:tcW w:w="1837" w:type="dxa"/>
            <w:shd w:val="clear" w:color="auto" w:fill="D9E2F3"/>
            <w:vAlign w:val="center"/>
          </w:tcPr>
          <w:p w14:paraId="42CC91CE" w14:textId="77777777" w:rsidR="00990B14" w:rsidRDefault="00000000">
            <w:pPr>
              <w:spacing w:before="20" w:after="20"/>
              <w:jc w:val="both"/>
            </w:pPr>
            <w:r>
              <w:rPr>
                <w:sz w:val="18"/>
                <w:szCs w:val="18"/>
              </w:rPr>
              <w:t>Explica el destino de cada concepto de la renta petrolera.</w:t>
            </w:r>
          </w:p>
        </w:tc>
      </w:tr>
      <w:tr w:rsidR="00990B14" w14:paraId="522A65E1" w14:textId="77777777">
        <w:trPr>
          <w:cantSplit/>
          <w:jc w:val="center"/>
        </w:trPr>
        <w:tc>
          <w:tcPr>
            <w:tcW w:w="1807" w:type="dxa"/>
            <w:vMerge/>
            <w:shd w:val="clear" w:color="auto" w:fill="4472C4"/>
            <w:vAlign w:val="center"/>
          </w:tcPr>
          <w:p w14:paraId="2250B503" w14:textId="77777777" w:rsidR="00990B14" w:rsidRDefault="00990B14">
            <w:pPr>
              <w:spacing w:before="20" w:after="20"/>
            </w:pPr>
          </w:p>
        </w:tc>
        <w:tc>
          <w:tcPr>
            <w:tcW w:w="1910" w:type="dxa"/>
            <w:shd w:val="clear" w:color="auto" w:fill="D9E2F3"/>
            <w:vAlign w:val="center"/>
          </w:tcPr>
          <w:p w14:paraId="0D3CE64C" w14:textId="77777777" w:rsidR="00990B14" w:rsidRDefault="00000000">
            <w:pPr>
              <w:spacing w:before="20" w:after="20"/>
              <w:jc w:val="both"/>
            </w:pPr>
            <w:r>
              <w:rPr>
                <w:sz w:val="18"/>
                <w:szCs w:val="18"/>
              </w:rPr>
              <w:t>Uso de la hoja de cálculo</w:t>
            </w:r>
          </w:p>
        </w:tc>
        <w:tc>
          <w:tcPr>
            <w:tcW w:w="1836" w:type="dxa"/>
            <w:shd w:val="clear" w:color="auto" w:fill="D9E2F3"/>
            <w:vAlign w:val="center"/>
          </w:tcPr>
          <w:p w14:paraId="745B998B" w14:textId="77777777" w:rsidR="00990B14" w:rsidRDefault="00000000">
            <w:pPr>
              <w:spacing w:before="20" w:after="20"/>
              <w:jc w:val="both"/>
            </w:pPr>
            <w:r>
              <w:rPr>
                <w:sz w:val="18"/>
                <w:szCs w:val="18"/>
              </w:rPr>
              <w:t>No usa fórmulas.</w:t>
            </w:r>
          </w:p>
        </w:tc>
        <w:tc>
          <w:tcPr>
            <w:tcW w:w="2015" w:type="dxa"/>
            <w:shd w:val="clear" w:color="auto" w:fill="D9E2F3"/>
            <w:vAlign w:val="center"/>
          </w:tcPr>
          <w:p w14:paraId="791E6294" w14:textId="77777777" w:rsidR="00990B14" w:rsidRDefault="00000000">
            <w:pPr>
              <w:spacing w:before="20" w:after="20"/>
              <w:jc w:val="both"/>
            </w:pPr>
            <w:r>
              <w:rPr>
                <w:sz w:val="18"/>
                <w:szCs w:val="18"/>
              </w:rPr>
              <w:t>Usa fórmulas y tablas de control.</w:t>
            </w:r>
          </w:p>
        </w:tc>
        <w:tc>
          <w:tcPr>
            <w:tcW w:w="1837" w:type="dxa"/>
            <w:shd w:val="clear" w:color="auto" w:fill="D9E2F3"/>
            <w:vAlign w:val="center"/>
          </w:tcPr>
          <w:p w14:paraId="1DB8B5FD" w14:textId="77777777" w:rsidR="00990B14" w:rsidRDefault="00000000">
            <w:pPr>
              <w:spacing w:before="20" w:after="20"/>
              <w:jc w:val="both"/>
            </w:pPr>
            <w:r>
              <w:rPr>
                <w:sz w:val="18"/>
                <w:szCs w:val="18"/>
              </w:rPr>
              <w:t>El modelo permite simular cambios de precio y volumen.</w:t>
            </w:r>
          </w:p>
        </w:tc>
      </w:tr>
      <w:tr w:rsidR="00990B14" w14:paraId="1D99536D" w14:textId="77777777">
        <w:trPr>
          <w:cantSplit/>
          <w:jc w:val="center"/>
        </w:trPr>
        <w:tc>
          <w:tcPr>
            <w:tcW w:w="1807" w:type="dxa"/>
            <w:vMerge/>
            <w:shd w:val="clear" w:color="auto" w:fill="4472C4"/>
            <w:vAlign w:val="center"/>
          </w:tcPr>
          <w:p w14:paraId="3F9340B4" w14:textId="77777777" w:rsidR="00990B14" w:rsidRDefault="00990B14">
            <w:pPr>
              <w:spacing w:before="20" w:after="20"/>
            </w:pPr>
          </w:p>
        </w:tc>
        <w:tc>
          <w:tcPr>
            <w:tcW w:w="5761" w:type="dxa"/>
            <w:gridSpan w:val="3"/>
            <w:shd w:val="clear" w:color="auto" w:fill="D9E2F3"/>
            <w:vAlign w:val="center"/>
          </w:tcPr>
          <w:p w14:paraId="0F261CAD" w14:textId="77777777" w:rsidR="00990B14" w:rsidRDefault="00000000">
            <w:pPr>
              <w:keepNext/>
              <w:spacing w:before="20" w:after="20"/>
              <w:jc w:val="both"/>
            </w:pPr>
            <w:r>
              <w:rPr>
                <w:b/>
                <w:bCs/>
                <w:i/>
                <w:iCs/>
                <w:sz w:val="18"/>
                <w:szCs w:val="18"/>
              </w:rPr>
              <w:t xml:space="preserve">Producto 25: </w:t>
            </w:r>
            <w:r>
              <w:rPr>
                <w:sz w:val="18"/>
                <w:szCs w:val="18"/>
              </w:rPr>
              <w:t>Planilla de prorrateo del costo de refinación entre los derivados</w:t>
            </w:r>
          </w:p>
        </w:tc>
        <w:tc>
          <w:tcPr>
            <w:tcW w:w="1837" w:type="dxa"/>
            <w:shd w:val="clear" w:color="auto" w:fill="D9E2F3"/>
            <w:vAlign w:val="center"/>
          </w:tcPr>
          <w:p w14:paraId="4426BFCF" w14:textId="77777777" w:rsidR="00990B14" w:rsidRDefault="00000000">
            <w:pPr>
              <w:spacing w:before="20" w:after="20"/>
              <w:jc w:val="center"/>
            </w:pPr>
            <w:r>
              <w:rPr>
                <w:b/>
                <w:bCs/>
                <w:sz w:val="18"/>
                <w:szCs w:val="18"/>
              </w:rPr>
              <w:t>3%</w:t>
            </w:r>
          </w:p>
        </w:tc>
      </w:tr>
      <w:tr w:rsidR="00990B14" w14:paraId="6772BF0E" w14:textId="77777777">
        <w:trPr>
          <w:cantSplit/>
          <w:jc w:val="center"/>
        </w:trPr>
        <w:tc>
          <w:tcPr>
            <w:tcW w:w="1807" w:type="dxa"/>
            <w:vMerge/>
            <w:shd w:val="clear" w:color="auto" w:fill="4472C4"/>
            <w:vAlign w:val="center"/>
          </w:tcPr>
          <w:p w14:paraId="1E222D4E" w14:textId="77777777" w:rsidR="00990B14" w:rsidRDefault="00990B14">
            <w:pPr>
              <w:spacing w:before="20" w:after="20"/>
            </w:pPr>
          </w:p>
        </w:tc>
        <w:tc>
          <w:tcPr>
            <w:tcW w:w="1910" w:type="dxa"/>
            <w:shd w:val="clear" w:color="auto" w:fill="4472C4"/>
            <w:vAlign w:val="center"/>
          </w:tcPr>
          <w:p w14:paraId="2030BF5D" w14:textId="77777777" w:rsidR="00990B14" w:rsidRDefault="00000000">
            <w:pPr>
              <w:keepNext/>
              <w:spacing w:before="20" w:after="20"/>
              <w:jc w:val="center"/>
            </w:pPr>
            <w:r>
              <w:rPr>
                <w:b/>
                <w:bCs/>
                <w:i/>
                <w:iCs/>
                <w:color w:val="FFFFFF"/>
                <w:sz w:val="18"/>
                <w:szCs w:val="18"/>
              </w:rPr>
              <w:t>Criterio</w:t>
            </w:r>
          </w:p>
        </w:tc>
        <w:tc>
          <w:tcPr>
            <w:tcW w:w="1836" w:type="dxa"/>
            <w:shd w:val="clear" w:color="auto" w:fill="4472C4"/>
            <w:vAlign w:val="center"/>
          </w:tcPr>
          <w:p w14:paraId="092A04D7"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2C086C78" w14:textId="77777777" w:rsidR="00990B14" w:rsidRDefault="00000000">
            <w:pPr>
              <w:keepNext/>
              <w:spacing w:before="20" w:after="20"/>
              <w:jc w:val="center"/>
            </w:pPr>
            <w:r>
              <w:rPr>
                <w:b/>
                <w:bCs/>
                <w:i/>
                <w:iCs/>
                <w:color w:val="FFFFFF"/>
                <w:sz w:val="18"/>
                <w:szCs w:val="18"/>
              </w:rPr>
              <w:t>Suficiente (51–80)</w:t>
            </w:r>
          </w:p>
        </w:tc>
        <w:tc>
          <w:tcPr>
            <w:tcW w:w="1837" w:type="dxa"/>
            <w:shd w:val="clear" w:color="auto" w:fill="4472C4"/>
            <w:vAlign w:val="center"/>
          </w:tcPr>
          <w:p w14:paraId="5A36128E" w14:textId="77777777" w:rsidR="00990B14" w:rsidRDefault="00000000">
            <w:pPr>
              <w:keepNext/>
              <w:spacing w:before="20" w:after="20"/>
              <w:jc w:val="center"/>
            </w:pPr>
            <w:r>
              <w:rPr>
                <w:b/>
                <w:bCs/>
                <w:i/>
                <w:iCs/>
                <w:color w:val="FFFFFF"/>
                <w:sz w:val="18"/>
                <w:szCs w:val="18"/>
              </w:rPr>
              <w:t>Destacado (81–100)</w:t>
            </w:r>
          </w:p>
        </w:tc>
      </w:tr>
      <w:tr w:rsidR="00990B14" w14:paraId="542BFE5B" w14:textId="77777777">
        <w:trPr>
          <w:cantSplit/>
          <w:jc w:val="center"/>
        </w:trPr>
        <w:tc>
          <w:tcPr>
            <w:tcW w:w="1807" w:type="dxa"/>
            <w:vMerge/>
            <w:shd w:val="clear" w:color="auto" w:fill="4472C4"/>
            <w:vAlign w:val="center"/>
          </w:tcPr>
          <w:p w14:paraId="38186463" w14:textId="77777777" w:rsidR="00990B14" w:rsidRDefault="00990B14">
            <w:pPr>
              <w:spacing w:before="20" w:after="20"/>
            </w:pPr>
          </w:p>
        </w:tc>
        <w:tc>
          <w:tcPr>
            <w:tcW w:w="1910" w:type="dxa"/>
            <w:shd w:val="clear" w:color="auto" w:fill="D9E2F3"/>
            <w:vAlign w:val="center"/>
          </w:tcPr>
          <w:p w14:paraId="1ACFFDD0" w14:textId="77777777" w:rsidR="00990B14" w:rsidRDefault="00000000">
            <w:pPr>
              <w:spacing w:before="20" w:after="20"/>
              <w:jc w:val="both"/>
            </w:pPr>
            <w:r>
              <w:rPr>
                <w:sz w:val="18"/>
                <w:szCs w:val="18"/>
              </w:rPr>
              <w:t>Costos de refinación</w:t>
            </w:r>
          </w:p>
        </w:tc>
        <w:tc>
          <w:tcPr>
            <w:tcW w:w="1836" w:type="dxa"/>
            <w:shd w:val="clear" w:color="auto" w:fill="D9E2F3"/>
            <w:vAlign w:val="center"/>
          </w:tcPr>
          <w:p w14:paraId="3848D1DB" w14:textId="77777777" w:rsidR="00990B14" w:rsidRDefault="00000000">
            <w:pPr>
              <w:spacing w:before="20" w:after="20"/>
              <w:jc w:val="both"/>
            </w:pPr>
            <w:r>
              <w:rPr>
                <w:sz w:val="18"/>
                <w:szCs w:val="18"/>
              </w:rPr>
              <w:t>Omite procesos de refinación.</w:t>
            </w:r>
          </w:p>
        </w:tc>
        <w:tc>
          <w:tcPr>
            <w:tcW w:w="2015" w:type="dxa"/>
            <w:shd w:val="clear" w:color="auto" w:fill="D9E2F3"/>
            <w:vAlign w:val="center"/>
          </w:tcPr>
          <w:p w14:paraId="5CA7885D" w14:textId="77777777" w:rsidR="00990B14" w:rsidRDefault="00000000">
            <w:pPr>
              <w:spacing w:before="20" w:after="20"/>
              <w:jc w:val="both"/>
            </w:pPr>
            <w:r>
              <w:rPr>
                <w:sz w:val="18"/>
                <w:szCs w:val="18"/>
              </w:rPr>
              <w:t>Acumula los costos por proceso de refinación.</w:t>
            </w:r>
          </w:p>
        </w:tc>
        <w:tc>
          <w:tcPr>
            <w:tcW w:w="1837" w:type="dxa"/>
            <w:shd w:val="clear" w:color="auto" w:fill="D9E2F3"/>
            <w:vAlign w:val="center"/>
          </w:tcPr>
          <w:p w14:paraId="22272E68" w14:textId="77777777" w:rsidR="00990B14" w:rsidRDefault="00000000">
            <w:pPr>
              <w:spacing w:before="20" w:after="20"/>
              <w:jc w:val="both"/>
            </w:pPr>
            <w:r>
              <w:rPr>
                <w:sz w:val="18"/>
                <w:szCs w:val="18"/>
              </w:rPr>
              <w:t>Analiza el efecto de los precios regulados en el margen.</w:t>
            </w:r>
          </w:p>
        </w:tc>
      </w:tr>
      <w:tr w:rsidR="00990B14" w14:paraId="13D593FE" w14:textId="77777777">
        <w:trPr>
          <w:cantSplit/>
          <w:jc w:val="center"/>
        </w:trPr>
        <w:tc>
          <w:tcPr>
            <w:tcW w:w="1807" w:type="dxa"/>
            <w:vMerge/>
            <w:shd w:val="clear" w:color="auto" w:fill="4472C4"/>
            <w:vAlign w:val="center"/>
          </w:tcPr>
          <w:p w14:paraId="36C9DA34" w14:textId="77777777" w:rsidR="00990B14" w:rsidRDefault="00990B14">
            <w:pPr>
              <w:spacing w:before="20" w:after="20"/>
            </w:pPr>
          </w:p>
        </w:tc>
        <w:tc>
          <w:tcPr>
            <w:tcW w:w="1910" w:type="dxa"/>
            <w:shd w:val="clear" w:color="auto" w:fill="D9E2F3"/>
            <w:vAlign w:val="center"/>
          </w:tcPr>
          <w:p w14:paraId="78C4BB01" w14:textId="77777777" w:rsidR="00990B14" w:rsidRDefault="00000000">
            <w:pPr>
              <w:spacing w:before="20" w:after="20"/>
              <w:jc w:val="both"/>
            </w:pPr>
            <w:r>
              <w:rPr>
                <w:sz w:val="18"/>
                <w:szCs w:val="18"/>
              </w:rPr>
              <w:t>Prorrateo</w:t>
            </w:r>
          </w:p>
        </w:tc>
        <w:tc>
          <w:tcPr>
            <w:tcW w:w="1836" w:type="dxa"/>
            <w:shd w:val="clear" w:color="auto" w:fill="D9E2F3"/>
            <w:vAlign w:val="center"/>
          </w:tcPr>
          <w:p w14:paraId="2E470575" w14:textId="77777777" w:rsidR="00990B14" w:rsidRDefault="00000000">
            <w:pPr>
              <w:spacing w:before="20" w:after="20"/>
              <w:jc w:val="both"/>
            </w:pPr>
            <w:r>
              <w:rPr>
                <w:sz w:val="18"/>
                <w:szCs w:val="18"/>
              </w:rPr>
              <w:t>Usa una base de prorrateo errónea.</w:t>
            </w:r>
          </w:p>
        </w:tc>
        <w:tc>
          <w:tcPr>
            <w:tcW w:w="2015" w:type="dxa"/>
            <w:shd w:val="clear" w:color="auto" w:fill="D9E2F3"/>
            <w:vAlign w:val="center"/>
          </w:tcPr>
          <w:p w14:paraId="75A92926" w14:textId="77777777" w:rsidR="00990B14" w:rsidRDefault="00000000">
            <w:pPr>
              <w:spacing w:before="20" w:after="20"/>
              <w:jc w:val="both"/>
            </w:pPr>
            <w:r>
              <w:rPr>
                <w:sz w:val="18"/>
                <w:szCs w:val="18"/>
              </w:rPr>
              <w:t>Prorratea el costo con los precios oficiales de los derivados.</w:t>
            </w:r>
          </w:p>
        </w:tc>
        <w:tc>
          <w:tcPr>
            <w:tcW w:w="1837" w:type="dxa"/>
            <w:shd w:val="clear" w:color="auto" w:fill="D9E2F3"/>
            <w:vAlign w:val="center"/>
          </w:tcPr>
          <w:p w14:paraId="759C9A3A" w14:textId="77777777" w:rsidR="00990B14" w:rsidRDefault="00000000">
            <w:pPr>
              <w:spacing w:before="20" w:after="20"/>
              <w:jc w:val="both"/>
            </w:pPr>
            <w:r>
              <w:rPr>
                <w:sz w:val="18"/>
                <w:szCs w:val="18"/>
              </w:rPr>
              <w:t>Compara el resultado con otra base de prorrateo.</w:t>
            </w:r>
          </w:p>
        </w:tc>
      </w:tr>
      <w:tr w:rsidR="00990B14" w14:paraId="6DDA675E" w14:textId="77777777">
        <w:trPr>
          <w:cantSplit/>
          <w:jc w:val="center"/>
        </w:trPr>
        <w:tc>
          <w:tcPr>
            <w:tcW w:w="1807" w:type="dxa"/>
            <w:vMerge/>
            <w:shd w:val="clear" w:color="auto" w:fill="4472C4"/>
            <w:vAlign w:val="center"/>
          </w:tcPr>
          <w:p w14:paraId="039B2090" w14:textId="77777777" w:rsidR="00990B14" w:rsidRDefault="00990B14">
            <w:pPr>
              <w:spacing w:before="20" w:after="20"/>
            </w:pPr>
          </w:p>
        </w:tc>
        <w:tc>
          <w:tcPr>
            <w:tcW w:w="1910" w:type="dxa"/>
            <w:shd w:val="clear" w:color="auto" w:fill="D9E2F3"/>
            <w:vAlign w:val="center"/>
          </w:tcPr>
          <w:p w14:paraId="713CEB02" w14:textId="77777777" w:rsidR="00990B14" w:rsidRDefault="00000000">
            <w:pPr>
              <w:spacing w:before="20" w:after="20"/>
              <w:jc w:val="both"/>
            </w:pPr>
            <w:r>
              <w:rPr>
                <w:sz w:val="18"/>
                <w:szCs w:val="18"/>
              </w:rPr>
              <w:t>Exactitud</w:t>
            </w:r>
          </w:p>
        </w:tc>
        <w:tc>
          <w:tcPr>
            <w:tcW w:w="1836" w:type="dxa"/>
            <w:shd w:val="clear" w:color="auto" w:fill="D9E2F3"/>
            <w:vAlign w:val="center"/>
          </w:tcPr>
          <w:p w14:paraId="49109C7E" w14:textId="77777777" w:rsidR="00990B14" w:rsidRDefault="00000000">
            <w:pPr>
              <w:spacing w:before="20" w:after="20"/>
              <w:jc w:val="both"/>
            </w:pPr>
            <w:r>
              <w:rPr>
                <w:sz w:val="18"/>
                <w:szCs w:val="18"/>
              </w:rPr>
              <w:t>Presenta errores de cálculo.</w:t>
            </w:r>
          </w:p>
        </w:tc>
        <w:tc>
          <w:tcPr>
            <w:tcW w:w="2015" w:type="dxa"/>
            <w:shd w:val="clear" w:color="auto" w:fill="D9E2F3"/>
            <w:vAlign w:val="center"/>
          </w:tcPr>
          <w:p w14:paraId="1D5075DA" w14:textId="77777777" w:rsidR="00990B14" w:rsidRDefault="00000000">
            <w:pPr>
              <w:spacing w:before="20" w:after="20"/>
              <w:jc w:val="both"/>
            </w:pPr>
            <w:r>
              <w:rPr>
                <w:sz w:val="18"/>
                <w:szCs w:val="18"/>
              </w:rPr>
              <w:t>Los cálculos son correctos.</w:t>
            </w:r>
          </w:p>
        </w:tc>
        <w:tc>
          <w:tcPr>
            <w:tcW w:w="1837" w:type="dxa"/>
            <w:shd w:val="clear" w:color="auto" w:fill="D9E2F3"/>
            <w:vAlign w:val="center"/>
          </w:tcPr>
          <w:p w14:paraId="32C5EB23" w14:textId="77777777" w:rsidR="00990B14" w:rsidRDefault="00000000">
            <w:pPr>
              <w:spacing w:before="20" w:after="20"/>
              <w:jc w:val="both"/>
            </w:pPr>
            <w:r>
              <w:rPr>
                <w:sz w:val="18"/>
                <w:szCs w:val="18"/>
              </w:rPr>
              <w:t>Verifica los totales con los registros de respaldo.</w:t>
            </w:r>
          </w:p>
        </w:tc>
      </w:tr>
      <w:tr w:rsidR="00990B14" w14:paraId="03640795" w14:textId="77777777">
        <w:trPr>
          <w:cantSplit/>
          <w:jc w:val="center"/>
        </w:trPr>
        <w:tc>
          <w:tcPr>
            <w:tcW w:w="1807" w:type="dxa"/>
            <w:vMerge/>
            <w:shd w:val="clear" w:color="auto" w:fill="4472C4"/>
            <w:vAlign w:val="center"/>
          </w:tcPr>
          <w:p w14:paraId="6EBC7031" w14:textId="77777777" w:rsidR="00990B14" w:rsidRDefault="00990B14">
            <w:pPr>
              <w:spacing w:before="20" w:after="20"/>
            </w:pPr>
          </w:p>
        </w:tc>
        <w:tc>
          <w:tcPr>
            <w:tcW w:w="5761" w:type="dxa"/>
            <w:gridSpan w:val="3"/>
            <w:shd w:val="clear" w:color="auto" w:fill="D9E2F3"/>
            <w:vAlign w:val="center"/>
          </w:tcPr>
          <w:p w14:paraId="4E28E922" w14:textId="77777777" w:rsidR="00990B14" w:rsidRDefault="00000000">
            <w:pPr>
              <w:keepNext/>
              <w:spacing w:before="20" w:after="20"/>
              <w:jc w:val="both"/>
            </w:pPr>
            <w:r>
              <w:rPr>
                <w:b/>
                <w:bCs/>
                <w:i/>
                <w:iCs/>
                <w:sz w:val="18"/>
                <w:szCs w:val="18"/>
              </w:rPr>
              <w:t xml:space="preserve">Producto 26: </w:t>
            </w:r>
            <w:r>
              <w:rPr>
                <w:sz w:val="18"/>
                <w:szCs w:val="18"/>
              </w:rPr>
              <w:t>Cuadro de cálculo del IEHD por derivado</w:t>
            </w:r>
          </w:p>
        </w:tc>
        <w:tc>
          <w:tcPr>
            <w:tcW w:w="1837" w:type="dxa"/>
            <w:shd w:val="clear" w:color="auto" w:fill="D9E2F3"/>
            <w:vAlign w:val="center"/>
          </w:tcPr>
          <w:p w14:paraId="12849565" w14:textId="77777777" w:rsidR="00990B14" w:rsidRDefault="00000000">
            <w:pPr>
              <w:spacing w:before="20" w:after="20"/>
              <w:jc w:val="center"/>
            </w:pPr>
            <w:r>
              <w:rPr>
                <w:b/>
                <w:bCs/>
                <w:sz w:val="18"/>
                <w:szCs w:val="18"/>
              </w:rPr>
              <w:t>3%</w:t>
            </w:r>
          </w:p>
        </w:tc>
      </w:tr>
      <w:tr w:rsidR="00990B14" w14:paraId="31807D46" w14:textId="77777777">
        <w:trPr>
          <w:cantSplit/>
          <w:jc w:val="center"/>
        </w:trPr>
        <w:tc>
          <w:tcPr>
            <w:tcW w:w="1807" w:type="dxa"/>
            <w:vMerge/>
            <w:shd w:val="clear" w:color="auto" w:fill="4472C4"/>
            <w:vAlign w:val="center"/>
          </w:tcPr>
          <w:p w14:paraId="2F8381F9" w14:textId="77777777" w:rsidR="00990B14" w:rsidRDefault="00990B14">
            <w:pPr>
              <w:spacing w:before="20" w:after="20"/>
            </w:pPr>
          </w:p>
        </w:tc>
        <w:tc>
          <w:tcPr>
            <w:tcW w:w="1910" w:type="dxa"/>
            <w:shd w:val="clear" w:color="auto" w:fill="4472C4"/>
            <w:vAlign w:val="center"/>
          </w:tcPr>
          <w:p w14:paraId="631DF2B0" w14:textId="77777777" w:rsidR="00990B14" w:rsidRDefault="00000000">
            <w:pPr>
              <w:keepNext/>
              <w:spacing w:before="20" w:after="20"/>
              <w:jc w:val="center"/>
            </w:pPr>
            <w:r>
              <w:rPr>
                <w:b/>
                <w:bCs/>
                <w:i/>
                <w:iCs/>
                <w:color w:val="FFFFFF"/>
                <w:sz w:val="18"/>
                <w:szCs w:val="18"/>
              </w:rPr>
              <w:t>Criterio</w:t>
            </w:r>
          </w:p>
        </w:tc>
        <w:tc>
          <w:tcPr>
            <w:tcW w:w="1836" w:type="dxa"/>
            <w:shd w:val="clear" w:color="auto" w:fill="4472C4"/>
            <w:vAlign w:val="center"/>
          </w:tcPr>
          <w:p w14:paraId="0EF443D9"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4BDBA39D" w14:textId="77777777" w:rsidR="00990B14" w:rsidRDefault="00000000">
            <w:pPr>
              <w:keepNext/>
              <w:spacing w:before="20" w:after="20"/>
              <w:jc w:val="center"/>
            </w:pPr>
            <w:r>
              <w:rPr>
                <w:b/>
                <w:bCs/>
                <w:i/>
                <w:iCs/>
                <w:color w:val="FFFFFF"/>
                <w:sz w:val="18"/>
                <w:szCs w:val="18"/>
              </w:rPr>
              <w:t>Suficiente (51–80)</w:t>
            </w:r>
          </w:p>
        </w:tc>
        <w:tc>
          <w:tcPr>
            <w:tcW w:w="1837" w:type="dxa"/>
            <w:shd w:val="clear" w:color="auto" w:fill="4472C4"/>
            <w:vAlign w:val="center"/>
          </w:tcPr>
          <w:p w14:paraId="44209853" w14:textId="77777777" w:rsidR="00990B14" w:rsidRDefault="00000000">
            <w:pPr>
              <w:keepNext/>
              <w:spacing w:before="20" w:after="20"/>
              <w:jc w:val="center"/>
            </w:pPr>
            <w:r>
              <w:rPr>
                <w:b/>
                <w:bCs/>
                <w:i/>
                <w:iCs/>
                <w:color w:val="FFFFFF"/>
                <w:sz w:val="18"/>
                <w:szCs w:val="18"/>
              </w:rPr>
              <w:t>Destacado (81–100)</w:t>
            </w:r>
          </w:p>
        </w:tc>
      </w:tr>
      <w:tr w:rsidR="00990B14" w14:paraId="11D8D053" w14:textId="77777777">
        <w:trPr>
          <w:cantSplit/>
          <w:jc w:val="center"/>
        </w:trPr>
        <w:tc>
          <w:tcPr>
            <w:tcW w:w="1807" w:type="dxa"/>
            <w:vMerge/>
            <w:shd w:val="clear" w:color="auto" w:fill="4472C4"/>
            <w:vAlign w:val="center"/>
          </w:tcPr>
          <w:p w14:paraId="2952A718" w14:textId="77777777" w:rsidR="00990B14" w:rsidRDefault="00990B14">
            <w:pPr>
              <w:spacing w:before="20" w:after="20"/>
            </w:pPr>
          </w:p>
        </w:tc>
        <w:tc>
          <w:tcPr>
            <w:tcW w:w="1910" w:type="dxa"/>
            <w:shd w:val="clear" w:color="auto" w:fill="D9E2F3"/>
            <w:vAlign w:val="center"/>
          </w:tcPr>
          <w:p w14:paraId="62E11431" w14:textId="77777777" w:rsidR="00990B14" w:rsidRDefault="00000000">
            <w:pPr>
              <w:spacing w:before="20" w:after="20"/>
              <w:jc w:val="both"/>
            </w:pPr>
            <w:r>
              <w:rPr>
                <w:sz w:val="18"/>
                <w:szCs w:val="18"/>
              </w:rPr>
              <w:t>Alícuotas por derivado</w:t>
            </w:r>
          </w:p>
        </w:tc>
        <w:tc>
          <w:tcPr>
            <w:tcW w:w="1836" w:type="dxa"/>
            <w:shd w:val="clear" w:color="auto" w:fill="D9E2F3"/>
            <w:vAlign w:val="center"/>
          </w:tcPr>
          <w:p w14:paraId="6FD078C9" w14:textId="77777777" w:rsidR="00990B14" w:rsidRDefault="00000000">
            <w:pPr>
              <w:spacing w:before="20" w:after="20"/>
              <w:jc w:val="both"/>
            </w:pPr>
            <w:r>
              <w:rPr>
                <w:sz w:val="18"/>
                <w:szCs w:val="18"/>
              </w:rPr>
              <w:t>Aplica alícuotas erróneas.</w:t>
            </w:r>
          </w:p>
        </w:tc>
        <w:tc>
          <w:tcPr>
            <w:tcW w:w="2015" w:type="dxa"/>
            <w:shd w:val="clear" w:color="auto" w:fill="D9E2F3"/>
            <w:vAlign w:val="center"/>
          </w:tcPr>
          <w:p w14:paraId="2BB6A0D2" w14:textId="77777777" w:rsidR="00990B14" w:rsidRDefault="00000000">
            <w:pPr>
              <w:spacing w:before="20" w:after="20"/>
              <w:jc w:val="both"/>
            </w:pPr>
            <w:r>
              <w:rPr>
                <w:sz w:val="18"/>
                <w:szCs w:val="18"/>
              </w:rPr>
              <w:t>Aplica la alícuota vigente a cada derivado.</w:t>
            </w:r>
          </w:p>
        </w:tc>
        <w:tc>
          <w:tcPr>
            <w:tcW w:w="1837" w:type="dxa"/>
            <w:shd w:val="clear" w:color="auto" w:fill="D9E2F3"/>
            <w:vAlign w:val="center"/>
          </w:tcPr>
          <w:p w14:paraId="18445E0D" w14:textId="77777777" w:rsidR="00990B14" w:rsidRDefault="00000000">
            <w:pPr>
              <w:spacing w:before="20" w:after="20"/>
              <w:jc w:val="both"/>
            </w:pPr>
            <w:r>
              <w:rPr>
                <w:sz w:val="18"/>
                <w:szCs w:val="18"/>
              </w:rPr>
              <w:t>Explica la actualización de las alícuotas.</w:t>
            </w:r>
          </w:p>
        </w:tc>
      </w:tr>
      <w:tr w:rsidR="00990B14" w14:paraId="2A25FB7C" w14:textId="77777777">
        <w:trPr>
          <w:cantSplit/>
          <w:jc w:val="center"/>
        </w:trPr>
        <w:tc>
          <w:tcPr>
            <w:tcW w:w="1807" w:type="dxa"/>
            <w:vMerge/>
            <w:shd w:val="clear" w:color="auto" w:fill="4472C4"/>
            <w:vAlign w:val="center"/>
          </w:tcPr>
          <w:p w14:paraId="45BCAB16" w14:textId="77777777" w:rsidR="00990B14" w:rsidRDefault="00990B14">
            <w:pPr>
              <w:spacing w:before="20" w:after="20"/>
            </w:pPr>
          </w:p>
        </w:tc>
        <w:tc>
          <w:tcPr>
            <w:tcW w:w="1910" w:type="dxa"/>
            <w:shd w:val="clear" w:color="auto" w:fill="D9E2F3"/>
            <w:vAlign w:val="center"/>
          </w:tcPr>
          <w:p w14:paraId="71FC47E7" w14:textId="77777777" w:rsidR="00990B14" w:rsidRDefault="00000000">
            <w:pPr>
              <w:spacing w:before="20" w:after="20"/>
              <w:jc w:val="both"/>
            </w:pPr>
            <w:r>
              <w:rPr>
                <w:sz w:val="18"/>
                <w:szCs w:val="18"/>
              </w:rPr>
              <w:t>Base de cálculo</w:t>
            </w:r>
          </w:p>
        </w:tc>
        <w:tc>
          <w:tcPr>
            <w:tcW w:w="1836" w:type="dxa"/>
            <w:shd w:val="clear" w:color="auto" w:fill="D9E2F3"/>
            <w:vAlign w:val="center"/>
          </w:tcPr>
          <w:p w14:paraId="765F4BBF" w14:textId="77777777" w:rsidR="00990B14" w:rsidRDefault="00000000">
            <w:pPr>
              <w:spacing w:before="20" w:after="20"/>
              <w:jc w:val="both"/>
            </w:pPr>
            <w:r>
              <w:rPr>
                <w:sz w:val="18"/>
                <w:szCs w:val="18"/>
              </w:rPr>
              <w:t>Usa volúmenes o unidades erróneas.</w:t>
            </w:r>
          </w:p>
        </w:tc>
        <w:tc>
          <w:tcPr>
            <w:tcW w:w="2015" w:type="dxa"/>
            <w:shd w:val="clear" w:color="auto" w:fill="D9E2F3"/>
            <w:vAlign w:val="center"/>
          </w:tcPr>
          <w:p w14:paraId="40E9CEB4" w14:textId="77777777" w:rsidR="00990B14" w:rsidRDefault="00000000">
            <w:pPr>
              <w:spacing w:before="20" w:after="20"/>
              <w:jc w:val="both"/>
            </w:pPr>
            <w:r>
              <w:rPr>
                <w:sz w:val="18"/>
                <w:szCs w:val="18"/>
              </w:rPr>
              <w:t>Calcula sobre los volúmenes comercializados en la unidad correcta.</w:t>
            </w:r>
          </w:p>
        </w:tc>
        <w:tc>
          <w:tcPr>
            <w:tcW w:w="1837" w:type="dxa"/>
            <w:shd w:val="clear" w:color="auto" w:fill="D9E2F3"/>
            <w:vAlign w:val="center"/>
          </w:tcPr>
          <w:p w14:paraId="64ABB404" w14:textId="77777777" w:rsidR="00990B14" w:rsidRDefault="00000000">
            <w:pPr>
              <w:spacing w:before="20" w:after="20"/>
              <w:jc w:val="both"/>
            </w:pPr>
            <w:r>
              <w:rPr>
                <w:sz w:val="18"/>
                <w:szCs w:val="18"/>
              </w:rPr>
              <w:t>Concilia el IEHD con las ventas registradas.</w:t>
            </w:r>
          </w:p>
        </w:tc>
      </w:tr>
      <w:tr w:rsidR="00990B14" w14:paraId="5E8F892C" w14:textId="77777777">
        <w:trPr>
          <w:cantSplit/>
          <w:jc w:val="center"/>
        </w:trPr>
        <w:tc>
          <w:tcPr>
            <w:tcW w:w="1807" w:type="dxa"/>
            <w:vMerge/>
            <w:shd w:val="clear" w:color="auto" w:fill="4472C4"/>
            <w:vAlign w:val="center"/>
          </w:tcPr>
          <w:p w14:paraId="0E2D8B75" w14:textId="77777777" w:rsidR="00990B14" w:rsidRDefault="00990B14">
            <w:pPr>
              <w:spacing w:before="20" w:after="20"/>
            </w:pPr>
          </w:p>
        </w:tc>
        <w:tc>
          <w:tcPr>
            <w:tcW w:w="1910" w:type="dxa"/>
            <w:shd w:val="clear" w:color="auto" w:fill="D9E2F3"/>
            <w:vAlign w:val="center"/>
          </w:tcPr>
          <w:p w14:paraId="044BBEF4" w14:textId="77777777" w:rsidR="00990B14" w:rsidRDefault="00000000">
            <w:pPr>
              <w:spacing w:before="20" w:after="20"/>
              <w:jc w:val="both"/>
            </w:pPr>
            <w:r>
              <w:rPr>
                <w:sz w:val="18"/>
                <w:szCs w:val="18"/>
              </w:rPr>
              <w:t>Trabajo en equipo</w:t>
            </w:r>
          </w:p>
        </w:tc>
        <w:tc>
          <w:tcPr>
            <w:tcW w:w="1836" w:type="dxa"/>
            <w:shd w:val="clear" w:color="auto" w:fill="D9E2F3"/>
            <w:vAlign w:val="center"/>
          </w:tcPr>
          <w:p w14:paraId="68E95A00" w14:textId="77777777" w:rsidR="00990B14" w:rsidRDefault="00000000">
            <w:pPr>
              <w:spacing w:before="20" w:after="20"/>
              <w:jc w:val="both"/>
            </w:pPr>
            <w:r>
              <w:rPr>
                <w:sz w:val="18"/>
                <w:szCs w:val="18"/>
              </w:rPr>
              <w:t>La participación es desigual.</w:t>
            </w:r>
          </w:p>
        </w:tc>
        <w:tc>
          <w:tcPr>
            <w:tcW w:w="2015" w:type="dxa"/>
            <w:shd w:val="clear" w:color="auto" w:fill="D9E2F3"/>
            <w:vAlign w:val="center"/>
          </w:tcPr>
          <w:p w14:paraId="5B2E9727" w14:textId="77777777" w:rsidR="00990B14" w:rsidRDefault="00000000">
            <w:pPr>
              <w:spacing w:before="20" w:after="20"/>
              <w:jc w:val="both"/>
            </w:pPr>
            <w:r>
              <w:rPr>
                <w:sz w:val="18"/>
                <w:szCs w:val="18"/>
              </w:rPr>
              <w:t>Todos los integrantes participan.</w:t>
            </w:r>
          </w:p>
        </w:tc>
        <w:tc>
          <w:tcPr>
            <w:tcW w:w="1837" w:type="dxa"/>
            <w:shd w:val="clear" w:color="auto" w:fill="D9E2F3"/>
            <w:vAlign w:val="center"/>
          </w:tcPr>
          <w:p w14:paraId="25699540" w14:textId="77777777" w:rsidR="00990B14" w:rsidRDefault="00000000">
            <w:pPr>
              <w:spacing w:before="20" w:after="20"/>
              <w:jc w:val="both"/>
            </w:pPr>
            <w:r>
              <w:rPr>
                <w:sz w:val="18"/>
                <w:szCs w:val="18"/>
              </w:rPr>
              <w:t>El equipo sustenta sus conclusiones ante el curso.</w:t>
            </w:r>
          </w:p>
        </w:tc>
      </w:tr>
      <w:tr w:rsidR="00990B14" w14:paraId="78EDB790" w14:textId="77777777">
        <w:trPr>
          <w:cantSplit/>
          <w:jc w:val="center"/>
        </w:trPr>
        <w:tc>
          <w:tcPr>
            <w:tcW w:w="1807" w:type="dxa"/>
            <w:vMerge/>
            <w:shd w:val="clear" w:color="auto" w:fill="4472C4"/>
            <w:vAlign w:val="center"/>
          </w:tcPr>
          <w:p w14:paraId="438E3D6B" w14:textId="77777777" w:rsidR="00990B14" w:rsidRDefault="00990B14">
            <w:pPr>
              <w:spacing w:before="20" w:after="20"/>
            </w:pPr>
          </w:p>
        </w:tc>
        <w:tc>
          <w:tcPr>
            <w:tcW w:w="5761" w:type="dxa"/>
            <w:gridSpan w:val="3"/>
            <w:shd w:val="clear" w:color="auto" w:fill="D9E2F3"/>
            <w:vAlign w:val="center"/>
          </w:tcPr>
          <w:p w14:paraId="42D702F2" w14:textId="77777777" w:rsidR="00990B14" w:rsidRDefault="00000000">
            <w:pPr>
              <w:keepNext/>
              <w:spacing w:before="20" w:after="20"/>
              <w:jc w:val="both"/>
            </w:pPr>
            <w:r>
              <w:rPr>
                <w:b/>
                <w:bCs/>
                <w:i/>
                <w:iCs/>
                <w:sz w:val="18"/>
                <w:szCs w:val="18"/>
              </w:rPr>
              <w:t xml:space="preserve">Producto 27: </w:t>
            </w:r>
            <w:r>
              <w:rPr>
                <w:sz w:val="18"/>
                <w:szCs w:val="18"/>
              </w:rPr>
              <w:t>Asiento contable del pago de la renta petrolera</w:t>
            </w:r>
          </w:p>
        </w:tc>
        <w:tc>
          <w:tcPr>
            <w:tcW w:w="1837" w:type="dxa"/>
            <w:shd w:val="clear" w:color="auto" w:fill="D9E2F3"/>
            <w:vAlign w:val="center"/>
          </w:tcPr>
          <w:p w14:paraId="4D98C5EB" w14:textId="77777777" w:rsidR="00990B14" w:rsidRDefault="00000000">
            <w:pPr>
              <w:spacing w:before="20" w:after="20"/>
              <w:jc w:val="center"/>
            </w:pPr>
            <w:r>
              <w:rPr>
                <w:b/>
                <w:bCs/>
                <w:sz w:val="18"/>
                <w:szCs w:val="18"/>
              </w:rPr>
              <w:t>3%</w:t>
            </w:r>
          </w:p>
        </w:tc>
      </w:tr>
      <w:tr w:rsidR="00990B14" w14:paraId="699C82E8" w14:textId="77777777">
        <w:trPr>
          <w:cantSplit/>
          <w:jc w:val="center"/>
        </w:trPr>
        <w:tc>
          <w:tcPr>
            <w:tcW w:w="1807" w:type="dxa"/>
            <w:vMerge/>
            <w:shd w:val="clear" w:color="auto" w:fill="4472C4"/>
            <w:vAlign w:val="center"/>
          </w:tcPr>
          <w:p w14:paraId="52A7FE6E" w14:textId="77777777" w:rsidR="00990B14" w:rsidRDefault="00990B14">
            <w:pPr>
              <w:spacing w:before="20" w:after="20"/>
            </w:pPr>
          </w:p>
        </w:tc>
        <w:tc>
          <w:tcPr>
            <w:tcW w:w="1910" w:type="dxa"/>
            <w:shd w:val="clear" w:color="auto" w:fill="4472C4"/>
            <w:vAlign w:val="center"/>
          </w:tcPr>
          <w:p w14:paraId="11D8AA30" w14:textId="77777777" w:rsidR="00990B14" w:rsidRDefault="00000000">
            <w:pPr>
              <w:keepNext/>
              <w:spacing w:before="20" w:after="20"/>
              <w:jc w:val="center"/>
            </w:pPr>
            <w:r>
              <w:rPr>
                <w:b/>
                <w:bCs/>
                <w:i/>
                <w:iCs/>
                <w:color w:val="FFFFFF"/>
                <w:sz w:val="18"/>
                <w:szCs w:val="18"/>
              </w:rPr>
              <w:t>Criterio</w:t>
            </w:r>
          </w:p>
        </w:tc>
        <w:tc>
          <w:tcPr>
            <w:tcW w:w="1836" w:type="dxa"/>
            <w:shd w:val="clear" w:color="auto" w:fill="4472C4"/>
            <w:vAlign w:val="center"/>
          </w:tcPr>
          <w:p w14:paraId="4005C050"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37AFA4D7" w14:textId="77777777" w:rsidR="00990B14" w:rsidRDefault="00000000">
            <w:pPr>
              <w:keepNext/>
              <w:spacing w:before="20" w:after="20"/>
              <w:jc w:val="center"/>
            </w:pPr>
            <w:r>
              <w:rPr>
                <w:b/>
                <w:bCs/>
                <w:i/>
                <w:iCs/>
                <w:color w:val="FFFFFF"/>
                <w:sz w:val="18"/>
                <w:szCs w:val="18"/>
              </w:rPr>
              <w:t>Suficiente (51–80)</w:t>
            </w:r>
          </w:p>
        </w:tc>
        <w:tc>
          <w:tcPr>
            <w:tcW w:w="1837" w:type="dxa"/>
            <w:shd w:val="clear" w:color="auto" w:fill="4472C4"/>
            <w:vAlign w:val="center"/>
          </w:tcPr>
          <w:p w14:paraId="68539588" w14:textId="77777777" w:rsidR="00990B14" w:rsidRDefault="00000000">
            <w:pPr>
              <w:keepNext/>
              <w:spacing w:before="20" w:after="20"/>
              <w:jc w:val="center"/>
            </w:pPr>
            <w:r>
              <w:rPr>
                <w:b/>
                <w:bCs/>
                <w:i/>
                <w:iCs/>
                <w:color w:val="FFFFFF"/>
                <w:sz w:val="18"/>
                <w:szCs w:val="18"/>
              </w:rPr>
              <w:t>Destacado (81–100)</w:t>
            </w:r>
          </w:p>
        </w:tc>
      </w:tr>
      <w:tr w:rsidR="00990B14" w14:paraId="3D998A19" w14:textId="77777777">
        <w:trPr>
          <w:cantSplit/>
          <w:jc w:val="center"/>
        </w:trPr>
        <w:tc>
          <w:tcPr>
            <w:tcW w:w="1807" w:type="dxa"/>
            <w:vMerge/>
            <w:shd w:val="clear" w:color="auto" w:fill="4472C4"/>
            <w:vAlign w:val="center"/>
          </w:tcPr>
          <w:p w14:paraId="3456EBD4" w14:textId="77777777" w:rsidR="00990B14" w:rsidRDefault="00990B14">
            <w:pPr>
              <w:spacing w:before="20" w:after="20"/>
            </w:pPr>
          </w:p>
        </w:tc>
        <w:tc>
          <w:tcPr>
            <w:tcW w:w="1910" w:type="dxa"/>
            <w:shd w:val="clear" w:color="auto" w:fill="D9E2F3"/>
            <w:vAlign w:val="center"/>
          </w:tcPr>
          <w:p w14:paraId="05A1ECED" w14:textId="77777777" w:rsidR="00990B14" w:rsidRDefault="00000000">
            <w:pPr>
              <w:spacing w:before="20" w:after="20"/>
              <w:jc w:val="both"/>
            </w:pPr>
            <w:r>
              <w:rPr>
                <w:sz w:val="18"/>
                <w:szCs w:val="18"/>
              </w:rPr>
              <w:t>Registro contable</w:t>
            </w:r>
          </w:p>
        </w:tc>
        <w:tc>
          <w:tcPr>
            <w:tcW w:w="1836" w:type="dxa"/>
            <w:shd w:val="clear" w:color="auto" w:fill="D9E2F3"/>
            <w:vAlign w:val="center"/>
          </w:tcPr>
          <w:p w14:paraId="300AE976" w14:textId="77777777" w:rsidR="00990B14" w:rsidRDefault="00000000">
            <w:pPr>
              <w:spacing w:before="20" w:after="20"/>
              <w:jc w:val="both"/>
            </w:pPr>
            <w:r>
              <w:rPr>
                <w:sz w:val="18"/>
                <w:szCs w:val="18"/>
              </w:rPr>
              <w:t>Los asientos no corresponden.</w:t>
            </w:r>
          </w:p>
        </w:tc>
        <w:tc>
          <w:tcPr>
            <w:tcW w:w="2015" w:type="dxa"/>
            <w:shd w:val="clear" w:color="auto" w:fill="D9E2F3"/>
            <w:vAlign w:val="center"/>
          </w:tcPr>
          <w:p w14:paraId="2DAB1189" w14:textId="77777777" w:rsidR="00990B14" w:rsidRDefault="00000000">
            <w:pPr>
              <w:spacing w:before="20" w:after="20"/>
              <w:jc w:val="both"/>
            </w:pPr>
            <w:r>
              <w:rPr>
                <w:sz w:val="18"/>
                <w:szCs w:val="18"/>
              </w:rPr>
              <w:t>Registra el pago de regalías, participación del TGN e IDH.</w:t>
            </w:r>
          </w:p>
        </w:tc>
        <w:tc>
          <w:tcPr>
            <w:tcW w:w="1837" w:type="dxa"/>
            <w:shd w:val="clear" w:color="auto" w:fill="D9E2F3"/>
            <w:vAlign w:val="center"/>
          </w:tcPr>
          <w:p w14:paraId="16CC7B0E" w14:textId="77777777" w:rsidR="00990B14" w:rsidRDefault="00000000">
            <w:pPr>
              <w:spacing w:before="20" w:after="20"/>
              <w:jc w:val="both"/>
            </w:pPr>
            <w:r>
              <w:rPr>
                <w:sz w:val="18"/>
                <w:szCs w:val="18"/>
              </w:rPr>
              <w:t>Separa las cuentas de cada concepto y su destino.</w:t>
            </w:r>
          </w:p>
        </w:tc>
      </w:tr>
      <w:tr w:rsidR="00990B14" w14:paraId="1BBEB746" w14:textId="77777777">
        <w:trPr>
          <w:cantSplit/>
          <w:jc w:val="center"/>
        </w:trPr>
        <w:tc>
          <w:tcPr>
            <w:tcW w:w="1807" w:type="dxa"/>
            <w:vMerge/>
            <w:shd w:val="clear" w:color="auto" w:fill="4472C4"/>
            <w:vAlign w:val="center"/>
          </w:tcPr>
          <w:p w14:paraId="4653BBE5" w14:textId="77777777" w:rsidR="00990B14" w:rsidRDefault="00990B14">
            <w:pPr>
              <w:spacing w:before="20" w:after="20"/>
            </w:pPr>
          </w:p>
        </w:tc>
        <w:tc>
          <w:tcPr>
            <w:tcW w:w="1910" w:type="dxa"/>
            <w:shd w:val="clear" w:color="auto" w:fill="D9E2F3"/>
            <w:vAlign w:val="center"/>
          </w:tcPr>
          <w:p w14:paraId="155C1FBA" w14:textId="77777777" w:rsidR="00990B14" w:rsidRDefault="00000000">
            <w:pPr>
              <w:spacing w:before="20" w:after="20"/>
              <w:jc w:val="both"/>
            </w:pPr>
            <w:r>
              <w:rPr>
                <w:sz w:val="18"/>
                <w:szCs w:val="18"/>
              </w:rPr>
              <w:t>Cuentas utilizadas</w:t>
            </w:r>
          </w:p>
        </w:tc>
        <w:tc>
          <w:tcPr>
            <w:tcW w:w="1836" w:type="dxa"/>
            <w:shd w:val="clear" w:color="auto" w:fill="D9E2F3"/>
            <w:vAlign w:val="center"/>
          </w:tcPr>
          <w:p w14:paraId="0A39ECC1" w14:textId="77777777" w:rsidR="00990B14" w:rsidRDefault="00000000">
            <w:pPr>
              <w:spacing w:before="20" w:after="20"/>
              <w:jc w:val="both"/>
            </w:pPr>
            <w:r>
              <w:rPr>
                <w:sz w:val="18"/>
                <w:szCs w:val="18"/>
              </w:rPr>
              <w:t>Usa cuentas imprecisas.</w:t>
            </w:r>
          </w:p>
        </w:tc>
        <w:tc>
          <w:tcPr>
            <w:tcW w:w="2015" w:type="dxa"/>
            <w:shd w:val="clear" w:color="auto" w:fill="D9E2F3"/>
            <w:vAlign w:val="center"/>
          </w:tcPr>
          <w:p w14:paraId="6B3C54D8" w14:textId="77777777" w:rsidR="00990B14" w:rsidRDefault="00000000">
            <w:pPr>
              <w:spacing w:before="20" w:after="20"/>
              <w:jc w:val="both"/>
            </w:pPr>
            <w:r>
              <w:rPr>
                <w:sz w:val="18"/>
                <w:szCs w:val="18"/>
              </w:rPr>
              <w:t>Usa las cuentas del plan de cuentas petrolero.</w:t>
            </w:r>
          </w:p>
        </w:tc>
        <w:tc>
          <w:tcPr>
            <w:tcW w:w="1837" w:type="dxa"/>
            <w:shd w:val="clear" w:color="auto" w:fill="D9E2F3"/>
            <w:vAlign w:val="center"/>
          </w:tcPr>
          <w:p w14:paraId="048FCD2C" w14:textId="77777777" w:rsidR="00990B14" w:rsidRDefault="00000000">
            <w:pPr>
              <w:spacing w:before="20" w:after="20"/>
              <w:jc w:val="both"/>
            </w:pPr>
            <w:r>
              <w:rPr>
                <w:sz w:val="18"/>
                <w:szCs w:val="18"/>
              </w:rPr>
              <w:t>Explica el efecto del registro en los estados financieros.</w:t>
            </w:r>
          </w:p>
        </w:tc>
      </w:tr>
      <w:tr w:rsidR="00990B14" w14:paraId="5F6A4CC9" w14:textId="77777777">
        <w:trPr>
          <w:cantSplit/>
          <w:jc w:val="center"/>
        </w:trPr>
        <w:tc>
          <w:tcPr>
            <w:tcW w:w="1807" w:type="dxa"/>
            <w:vMerge/>
            <w:shd w:val="clear" w:color="auto" w:fill="4472C4"/>
            <w:vAlign w:val="center"/>
          </w:tcPr>
          <w:p w14:paraId="7E89CB4C" w14:textId="77777777" w:rsidR="00990B14" w:rsidRDefault="00990B14">
            <w:pPr>
              <w:spacing w:before="20" w:after="20"/>
            </w:pPr>
          </w:p>
        </w:tc>
        <w:tc>
          <w:tcPr>
            <w:tcW w:w="1910" w:type="dxa"/>
            <w:shd w:val="clear" w:color="auto" w:fill="D9E2F3"/>
            <w:vAlign w:val="center"/>
          </w:tcPr>
          <w:p w14:paraId="07491EC5" w14:textId="77777777" w:rsidR="00990B14" w:rsidRDefault="00000000">
            <w:pPr>
              <w:spacing w:before="20" w:after="20"/>
              <w:jc w:val="both"/>
            </w:pPr>
            <w:r>
              <w:rPr>
                <w:sz w:val="18"/>
                <w:szCs w:val="18"/>
              </w:rPr>
              <w:t>Revelación</w:t>
            </w:r>
          </w:p>
        </w:tc>
        <w:tc>
          <w:tcPr>
            <w:tcW w:w="1836" w:type="dxa"/>
            <w:shd w:val="clear" w:color="auto" w:fill="D9E2F3"/>
            <w:vAlign w:val="center"/>
          </w:tcPr>
          <w:p w14:paraId="1B2E1E4C" w14:textId="77777777" w:rsidR="00990B14" w:rsidRDefault="00000000">
            <w:pPr>
              <w:spacing w:before="20" w:after="20"/>
              <w:jc w:val="both"/>
            </w:pPr>
            <w:r>
              <w:rPr>
                <w:sz w:val="18"/>
                <w:szCs w:val="18"/>
              </w:rPr>
              <w:t>No revela los pagos.</w:t>
            </w:r>
          </w:p>
        </w:tc>
        <w:tc>
          <w:tcPr>
            <w:tcW w:w="2015" w:type="dxa"/>
            <w:shd w:val="clear" w:color="auto" w:fill="D9E2F3"/>
            <w:vAlign w:val="center"/>
          </w:tcPr>
          <w:p w14:paraId="534CFBF6" w14:textId="77777777" w:rsidR="00990B14" w:rsidRDefault="00000000">
            <w:pPr>
              <w:spacing w:before="20" w:after="20"/>
              <w:jc w:val="both"/>
            </w:pPr>
            <w:r>
              <w:rPr>
                <w:sz w:val="18"/>
                <w:szCs w:val="18"/>
              </w:rPr>
              <w:t>Revela los pagos al Estado en notas.</w:t>
            </w:r>
          </w:p>
        </w:tc>
        <w:tc>
          <w:tcPr>
            <w:tcW w:w="1837" w:type="dxa"/>
            <w:shd w:val="clear" w:color="auto" w:fill="D9E2F3"/>
            <w:vAlign w:val="center"/>
          </w:tcPr>
          <w:p w14:paraId="4B6AE89B" w14:textId="77777777" w:rsidR="00990B14" w:rsidRDefault="00000000">
            <w:pPr>
              <w:spacing w:before="20" w:after="20"/>
              <w:jc w:val="both"/>
            </w:pPr>
            <w:r>
              <w:rPr>
                <w:sz w:val="18"/>
                <w:szCs w:val="18"/>
              </w:rPr>
              <w:t>Vincula la revelación con la transparencia del sector.</w:t>
            </w:r>
          </w:p>
        </w:tc>
      </w:tr>
      <w:tr w:rsidR="00990B14" w14:paraId="2A305D27" w14:textId="77777777">
        <w:trPr>
          <w:cantSplit/>
          <w:jc w:val="center"/>
        </w:trPr>
        <w:tc>
          <w:tcPr>
            <w:tcW w:w="1807" w:type="dxa"/>
            <w:vMerge/>
            <w:shd w:val="clear" w:color="auto" w:fill="4472C4"/>
            <w:vAlign w:val="center"/>
          </w:tcPr>
          <w:p w14:paraId="0C10A9FE" w14:textId="77777777" w:rsidR="00990B14" w:rsidRDefault="00990B14">
            <w:pPr>
              <w:spacing w:before="20" w:after="20"/>
            </w:pPr>
          </w:p>
        </w:tc>
        <w:tc>
          <w:tcPr>
            <w:tcW w:w="5761" w:type="dxa"/>
            <w:gridSpan w:val="3"/>
            <w:shd w:val="clear" w:color="auto" w:fill="D9E2F3"/>
            <w:vAlign w:val="center"/>
          </w:tcPr>
          <w:p w14:paraId="7656291F" w14:textId="77777777" w:rsidR="00990B14" w:rsidRDefault="00000000">
            <w:pPr>
              <w:keepNext/>
              <w:spacing w:before="20" w:after="20"/>
              <w:jc w:val="both"/>
            </w:pPr>
            <w:r>
              <w:rPr>
                <w:b/>
                <w:bCs/>
                <w:i/>
                <w:iCs/>
                <w:sz w:val="18"/>
                <w:szCs w:val="18"/>
              </w:rPr>
              <w:t xml:space="preserve">Producto 28: </w:t>
            </w:r>
            <w:r>
              <w:rPr>
                <w:sz w:val="18"/>
                <w:szCs w:val="18"/>
              </w:rPr>
              <w:t>Cuadro resumen de la participación del Estado y la retribución del Titular</w:t>
            </w:r>
          </w:p>
        </w:tc>
        <w:tc>
          <w:tcPr>
            <w:tcW w:w="1837" w:type="dxa"/>
            <w:shd w:val="clear" w:color="auto" w:fill="D9E2F3"/>
            <w:vAlign w:val="center"/>
          </w:tcPr>
          <w:p w14:paraId="62747EC6" w14:textId="77777777" w:rsidR="00990B14" w:rsidRDefault="00000000">
            <w:pPr>
              <w:spacing w:before="20" w:after="20"/>
              <w:jc w:val="center"/>
            </w:pPr>
            <w:r>
              <w:rPr>
                <w:b/>
                <w:bCs/>
                <w:sz w:val="18"/>
                <w:szCs w:val="18"/>
              </w:rPr>
              <w:t>4%</w:t>
            </w:r>
          </w:p>
        </w:tc>
      </w:tr>
      <w:tr w:rsidR="00990B14" w14:paraId="6C41A251" w14:textId="77777777">
        <w:trPr>
          <w:cantSplit/>
          <w:jc w:val="center"/>
        </w:trPr>
        <w:tc>
          <w:tcPr>
            <w:tcW w:w="1807" w:type="dxa"/>
            <w:vMerge/>
            <w:shd w:val="clear" w:color="auto" w:fill="4472C4"/>
            <w:vAlign w:val="center"/>
          </w:tcPr>
          <w:p w14:paraId="1C72783D" w14:textId="77777777" w:rsidR="00990B14" w:rsidRDefault="00990B14">
            <w:pPr>
              <w:spacing w:before="20" w:after="20"/>
            </w:pPr>
          </w:p>
        </w:tc>
        <w:tc>
          <w:tcPr>
            <w:tcW w:w="1910" w:type="dxa"/>
            <w:shd w:val="clear" w:color="auto" w:fill="4472C4"/>
            <w:vAlign w:val="center"/>
          </w:tcPr>
          <w:p w14:paraId="6E7B722E" w14:textId="77777777" w:rsidR="00990B14" w:rsidRDefault="00000000">
            <w:pPr>
              <w:keepNext/>
              <w:spacing w:before="20" w:after="20"/>
              <w:jc w:val="center"/>
            </w:pPr>
            <w:r>
              <w:rPr>
                <w:b/>
                <w:bCs/>
                <w:i/>
                <w:iCs/>
                <w:color w:val="FFFFFF"/>
                <w:sz w:val="18"/>
                <w:szCs w:val="18"/>
              </w:rPr>
              <w:t>Criterio</w:t>
            </w:r>
          </w:p>
        </w:tc>
        <w:tc>
          <w:tcPr>
            <w:tcW w:w="1836" w:type="dxa"/>
            <w:shd w:val="clear" w:color="auto" w:fill="4472C4"/>
            <w:vAlign w:val="center"/>
          </w:tcPr>
          <w:p w14:paraId="10D84D7E"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55219B23" w14:textId="77777777" w:rsidR="00990B14" w:rsidRDefault="00000000">
            <w:pPr>
              <w:keepNext/>
              <w:spacing w:before="20" w:after="20"/>
              <w:jc w:val="center"/>
            </w:pPr>
            <w:r>
              <w:rPr>
                <w:b/>
                <w:bCs/>
                <w:i/>
                <w:iCs/>
                <w:color w:val="FFFFFF"/>
                <w:sz w:val="18"/>
                <w:szCs w:val="18"/>
              </w:rPr>
              <w:t>Suficiente (51–80)</w:t>
            </w:r>
          </w:p>
        </w:tc>
        <w:tc>
          <w:tcPr>
            <w:tcW w:w="1837" w:type="dxa"/>
            <w:shd w:val="clear" w:color="auto" w:fill="4472C4"/>
            <w:vAlign w:val="center"/>
          </w:tcPr>
          <w:p w14:paraId="054968AF" w14:textId="77777777" w:rsidR="00990B14" w:rsidRDefault="00000000">
            <w:pPr>
              <w:keepNext/>
              <w:spacing w:before="20" w:after="20"/>
              <w:jc w:val="center"/>
            </w:pPr>
            <w:r>
              <w:rPr>
                <w:b/>
                <w:bCs/>
                <w:i/>
                <w:iCs/>
                <w:color w:val="FFFFFF"/>
                <w:sz w:val="18"/>
                <w:szCs w:val="18"/>
              </w:rPr>
              <w:t>Destacado (81–100)</w:t>
            </w:r>
          </w:p>
        </w:tc>
      </w:tr>
      <w:tr w:rsidR="00990B14" w14:paraId="376273AF" w14:textId="77777777">
        <w:trPr>
          <w:cantSplit/>
          <w:jc w:val="center"/>
        </w:trPr>
        <w:tc>
          <w:tcPr>
            <w:tcW w:w="1807" w:type="dxa"/>
            <w:vMerge/>
            <w:shd w:val="clear" w:color="auto" w:fill="4472C4"/>
            <w:vAlign w:val="center"/>
          </w:tcPr>
          <w:p w14:paraId="2CFCE5BA" w14:textId="77777777" w:rsidR="00990B14" w:rsidRDefault="00990B14">
            <w:pPr>
              <w:spacing w:before="20" w:after="20"/>
            </w:pPr>
          </w:p>
        </w:tc>
        <w:tc>
          <w:tcPr>
            <w:tcW w:w="1910" w:type="dxa"/>
            <w:shd w:val="clear" w:color="auto" w:fill="D9E2F3"/>
            <w:vAlign w:val="center"/>
          </w:tcPr>
          <w:p w14:paraId="7D05E469" w14:textId="77777777" w:rsidR="00990B14" w:rsidRDefault="00000000">
            <w:pPr>
              <w:spacing w:before="20" w:after="20"/>
              <w:jc w:val="both"/>
            </w:pPr>
            <w:r>
              <w:rPr>
                <w:sz w:val="18"/>
                <w:szCs w:val="18"/>
              </w:rPr>
              <w:t>Ingreso por comercialización</w:t>
            </w:r>
          </w:p>
        </w:tc>
        <w:tc>
          <w:tcPr>
            <w:tcW w:w="1836" w:type="dxa"/>
            <w:shd w:val="clear" w:color="auto" w:fill="D9E2F3"/>
            <w:vAlign w:val="center"/>
          </w:tcPr>
          <w:p w14:paraId="66189A29" w14:textId="77777777" w:rsidR="00990B14" w:rsidRDefault="00000000">
            <w:pPr>
              <w:spacing w:before="20" w:after="20"/>
              <w:jc w:val="both"/>
            </w:pPr>
            <w:r>
              <w:rPr>
                <w:sz w:val="18"/>
                <w:szCs w:val="18"/>
              </w:rPr>
              <w:t>Calcula mal el ingreso.</w:t>
            </w:r>
          </w:p>
        </w:tc>
        <w:tc>
          <w:tcPr>
            <w:tcW w:w="2015" w:type="dxa"/>
            <w:shd w:val="clear" w:color="auto" w:fill="D9E2F3"/>
            <w:vAlign w:val="center"/>
          </w:tcPr>
          <w:p w14:paraId="58DF0736" w14:textId="77777777" w:rsidR="00990B14" w:rsidRDefault="00000000">
            <w:pPr>
              <w:spacing w:before="20" w:after="20"/>
              <w:jc w:val="both"/>
            </w:pPr>
            <w:r>
              <w:rPr>
                <w:sz w:val="18"/>
                <w:szCs w:val="18"/>
              </w:rPr>
              <w:t>Determina el ingreso por comercialización de la producción.</w:t>
            </w:r>
          </w:p>
        </w:tc>
        <w:tc>
          <w:tcPr>
            <w:tcW w:w="1837" w:type="dxa"/>
            <w:shd w:val="clear" w:color="auto" w:fill="D9E2F3"/>
            <w:vAlign w:val="center"/>
          </w:tcPr>
          <w:p w14:paraId="7F24872B" w14:textId="77777777" w:rsidR="00990B14" w:rsidRDefault="00000000">
            <w:pPr>
              <w:spacing w:before="20" w:after="20"/>
              <w:jc w:val="both"/>
            </w:pPr>
            <w:r>
              <w:rPr>
                <w:sz w:val="18"/>
                <w:szCs w:val="18"/>
              </w:rPr>
              <w:t>Verifica el ingreso con los volúmenes y precios oficiales.</w:t>
            </w:r>
          </w:p>
        </w:tc>
      </w:tr>
      <w:tr w:rsidR="00990B14" w14:paraId="380418A8" w14:textId="77777777">
        <w:trPr>
          <w:cantSplit/>
          <w:jc w:val="center"/>
        </w:trPr>
        <w:tc>
          <w:tcPr>
            <w:tcW w:w="1807" w:type="dxa"/>
            <w:vMerge/>
            <w:shd w:val="clear" w:color="auto" w:fill="4472C4"/>
            <w:vAlign w:val="center"/>
          </w:tcPr>
          <w:p w14:paraId="56FCCC2D" w14:textId="77777777" w:rsidR="00990B14" w:rsidRDefault="00990B14">
            <w:pPr>
              <w:spacing w:before="20" w:after="20"/>
            </w:pPr>
          </w:p>
        </w:tc>
        <w:tc>
          <w:tcPr>
            <w:tcW w:w="1910" w:type="dxa"/>
            <w:shd w:val="clear" w:color="auto" w:fill="D9E2F3"/>
            <w:vAlign w:val="center"/>
          </w:tcPr>
          <w:p w14:paraId="3B31BEC1" w14:textId="77777777" w:rsidR="00990B14" w:rsidRDefault="00000000">
            <w:pPr>
              <w:spacing w:before="20" w:after="20"/>
              <w:jc w:val="both"/>
            </w:pPr>
            <w:r>
              <w:rPr>
                <w:sz w:val="18"/>
                <w:szCs w:val="18"/>
              </w:rPr>
              <w:t>Deducciones</w:t>
            </w:r>
          </w:p>
        </w:tc>
        <w:tc>
          <w:tcPr>
            <w:tcW w:w="1836" w:type="dxa"/>
            <w:shd w:val="clear" w:color="auto" w:fill="D9E2F3"/>
            <w:vAlign w:val="center"/>
          </w:tcPr>
          <w:p w14:paraId="7E6FB4DF" w14:textId="77777777" w:rsidR="00990B14" w:rsidRDefault="00000000">
            <w:pPr>
              <w:spacing w:before="20" w:after="20"/>
              <w:jc w:val="both"/>
            </w:pPr>
            <w:r>
              <w:rPr>
                <w:sz w:val="18"/>
                <w:szCs w:val="18"/>
              </w:rPr>
              <w:t>Omite conceptos de la renta estatal.</w:t>
            </w:r>
          </w:p>
        </w:tc>
        <w:tc>
          <w:tcPr>
            <w:tcW w:w="2015" w:type="dxa"/>
            <w:shd w:val="clear" w:color="auto" w:fill="D9E2F3"/>
            <w:vAlign w:val="center"/>
          </w:tcPr>
          <w:p w14:paraId="1E7AC926" w14:textId="77777777" w:rsidR="00990B14" w:rsidRDefault="00000000">
            <w:pPr>
              <w:spacing w:before="20" w:after="20"/>
              <w:jc w:val="both"/>
            </w:pPr>
            <w:r>
              <w:rPr>
                <w:sz w:val="18"/>
                <w:szCs w:val="18"/>
              </w:rPr>
              <w:t>Deduce regalías, participación del TGN, IDH y retribución del Titular.</w:t>
            </w:r>
          </w:p>
        </w:tc>
        <w:tc>
          <w:tcPr>
            <w:tcW w:w="1837" w:type="dxa"/>
            <w:shd w:val="clear" w:color="auto" w:fill="D9E2F3"/>
            <w:vAlign w:val="center"/>
          </w:tcPr>
          <w:p w14:paraId="67836D47" w14:textId="77777777" w:rsidR="00990B14" w:rsidRDefault="00000000">
            <w:pPr>
              <w:spacing w:before="20" w:after="20"/>
              <w:jc w:val="both"/>
            </w:pPr>
            <w:r>
              <w:rPr>
                <w:sz w:val="18"/>
                <w:szCs w:val="18"/>
              </w:rPr>
              <w:t>Sustenta la retribución del Titular con el contrato.</w:t>
            </w:r>
          </w:p>
        </w:tc>
      </w:tr>
      <w:tr w:rsidR="00990B14" w14:paraId="4BF7223C" w14:textId="77777777">
        <w:trPr>
          <w:cantSplit/>
          <w:jc w:val="center"/>
        </w:trPr>
        <w:tc>
          <w:tcPr>
            <w:tcW w:w="1807" w:type="dxa"/>
            <w:vMerge/>
            <w:shd w:val="clear" w:color="auto" w:fill="4472C4"/>
            <w:vAlign w:val="center"/>
          </w:tcPr>
          <w:p w14:paraId="1032B309" w14:textId="77777777" w:rsidR="00990B14" w:rsidRDefault="00990B14">
            <w:pPr>
              <w:spacing w:before="20" w:after="20"/>
            </w:pPr>
          </w:p>
        </w:tc>
        <w:tc>
          <w:tcPr>
            <w:tcW w:w="1910" w:type="dxa"/>
            <w:shd w:val="clear" w:color="auto" w:fill="D9E2F3"/>
            <w:vAlign w:val="center"/>
          </w:tcPr>
          <w:p w14:paraId="040B171F" w14:textId="77777777" w:rsidR="00990B14" w:rsidRDefault="00000000">
            <w:pPr>
              <w:spacing w:before="20" w:after="20"/>
              <w:jc w:val="both"/>
            </w:pPr>
            <w:r>
              <w:rPr>
                <w:sz w:val="18"/>
                <w:szCs w:val="18"/>
              </w:rPr>
              <w:t>Análisis de la participación estatal</w:t>
            </w:r>
          </w:p>
        </w:tc>
        <w:tc>
          <w:tcPr>
            <w:tcW w:w="1836" w:type="dxa"/>
            <w:shd w:val="clear" w:color="auto" w:fill="D9E2F3"/>
            <w:vAlign w:val="center"/>
          </w:tcPr>
          <w:p w14:paraId="3882B23D" w14:textId="77777777" w:rsidR="00990B14" w:rsidRDefault="00000000">
            <w:pPr>
              <w:spacing w:before="20" w:after="20"/>
              <w:jc w:val="both"/>
            </w:pPr>
            <w:r>
              <w:rPr>
                <w:sz w:val="18"/>
                <w:szCs w:val="18"/>
              </w:rPr>
              <w:t>No analiza el resultado.</w:t>
            </w:r>
          </w:p>
        </w:tc>
        <w:tc>
          <w:tcPr>
            <w:tcW w:w="2015" w:type="dxa"/>
            <w:shd w:val="clear" w:color="auto" w:fill="D9E2F3"/>
            <w:vAlign w:val="center"/>
          </w:tcPr>
          <w:p w14:paraId="08FCADEC" w14:textId="77777777" w:rsidR="00990B14" w:rsidRDefault="00000000">
            <w:pPr>
              <w:spacing w:before="20" w:after="20"/>
              <w:jc w:val="both"/>
            </w:pPr>
            <w:r>
              <w:rPr>
                <w:sz w:val="18"/>
                <w:szCs w:val="18"/>
              </w:rPr>
              <w:t>Determina la participación del Estado en la producción.</w:t>
            </w:r>
          </w:p>
        </w:tc>
        <w:tc>
          <w:tcPr>
            <w:tcW w:w="1837" w:type="dxa"/>
            <w:shd w:val="clear" w:color="auto" w:fill="D9E2F3"/>
            <w:vAlign w:val="center"/>
          </w:tcPr>
          <w:p w14:paraId="60A8EF74" w14:textId="77777777" w:rsidR="00990B14" w:rsidRDefault="00000000">
            <w:pPr>
              <w:spacing w:before="20" w:after="20"/>
              <w:jc w:val="both"/>
            </w:pPr>
            <w:r>
              <w:rPr>
                <w:sz w:val="18"/>
                <w:szCs w:val="18"/>
              </w:rPr>
              <w:t>Analiza su incidencia en la economía nacional.</w:t>
            </w:r>
          </w:p>
        </w:tc>
      </w:tr>
      <w:tr w:rsidR="00990B14" w14:paraId="1866BC73" w14:textId="77777777">
        <w:trPr>
          <w:cantSplit/>
          <w:jc w:val="center"/>
        </w:trPr>
        <w:tc>
          <w:tcPr>
            <w:tcW w:w="1807" w:type="dxa"/>
            <w:vMerge/>
            <w:shd w:val="clear" w:color="auto" w:fill="4472C4"/>
            <w:vAlign w:val="center"/>
          </w:tcPr>
          <w:p w14:paraId="62E9439E" w14:textId="77777777" w:rsidR="00990B14" w:rsidRDefault="00990B14">
            <w:pPr>
              <w:spacing w:before="20" w:after="20"/>
            </w:pPr>
          </w:p>
        </w:tc>
        <w:tc>
          <w:tcPr>
            <w:tcW w:w="5761" w:type="dxa"/>
            <w:gridSpan w:val="3"/>
            <w:shd w:val="clear" w:color="auto" w:fill="D9E2F3"/>
            <w:vAlign w:val="center"/>
          </w:tcPr>
          <w:p w14:paraId="29D3ECDA" w14:textId="77777777" w:rsidR="00990B14" w:rsidRDefault="00000000">
            <w:pPr>
              <w:keepNext/>
              <w:spacing w:before="20" w:after="20"/>
              <w:jc w:val="both"/>
            </w:pPr>
            <w:r>
              <w:rPr>
                <w:b/>
                <w:bCs/>
                <w:i/>
                <w:iCs/>
                <w:sz w:val="18"/>
                <w:szCs w:val="18"/>
              </w:rPr>
              <w:t xml:space="preserve">Producto 29: </w:t>
            </w:r>
            <w:r>
              <w:rPr>
                <w:sz w:val="18"/>
                <w:szCs w:val="18"/>
              </w:rPr>
              <w:t>Cuadro comparativo de las fuentes de ingreso de las entidades petroleras</w:t>
            </w:r>
          </w:p>
        </w:tc>
        <w:tc>
          <w:tcPr>
            <w:tcW w:w="1837" w:type="dxa"/>
            <w:shd w:val="clear" w:color="auto" w:fill="D9E2F3"/>
            <w:vAlign w:val="center"/>
          </w:tcPr>
          <w:p w14:paraId="4232229D" w14:textId="77777777" w:rsidR="00990B14" w:rsidRDefault="00000000">
            <w:pPr>
              <w:spacing w:before="20" w:after="20"/>
              <w:jc w:val="center"/>
            </w:pPr>
            <w:r>
              <w:rPr>
                <w:b/>
                <w:bCs/>
                <w:sz w:val="18"/>
                <w:szCs w:val="18"/>
              </w:rPr>
              <w:t>3%</w:t>
            </w:r>
          </w:p>
        </w:tc>
      </w:tr>
      <w:tr w:rsidR="00990B14" w14:paraId="34C50B5D" w14:textId="77777777">
        <w:trPr>
          <w:cantSplit/>
          <w:jc w:val="center"/>
        </w:trPr>
        <w:tc>
          <w:tcPr>
            <w:tcW w:w="1807" w:type="dxa"/>
            <w:vMerge/>
            <w:shd w:val="clear" w:color="auto" w:fill="4472C4"/>
            <w:vAlign w:val="center"/>
          </w:tcPr>
          <w:p w14:paraId="38585255" w14:textId="77777777" w:rsidR="00990B14" w:rsidRDefault="00990B14">
            <w:pPr>
              <w:spacing w:before="20" w:after="20"/>
            </w:pPr>
          </w:p>
        </w:tc>
        <w:tc>
          <w:tcPr>
            <w:tcW w:w="1910" w:type="dxa"/>
            <w:shd w:val="clear" w:color="auto" w:fill="4472C4"/>
            <w:vAlign w:val="center"/>
          </w:tcPr>
          <w:p w14:paraId="2F5B5674" w14:textId="77777777" w:rsidR="00990B14" w:rsidRDefault="00000000">
            <w:pPr>
              <w:keepNext/>
              <w:spacing w:before="20" w:after="20"/>
              <w:jc w:val="center"/>
            </w:pPr>
            <w:r>
              <w:rPr>
                <w:b/>
                <w:bCs/>
                <w:i/>
                <w:iCs/>
                <w:color w:val="FFFFFF"/>
                <w:sz w:val="18"/>
                <w:szCs w:val="18"/>
              </w:rPr>
              <w:t>Criterio</w:t>
            </w:r>
          </w:p>
        </w:tc>
        <w:tc>
          <w:tcPr>
            <w:tcW w:w="1836" w:type="dxa"/>
            <w:shd w:val="clear" w:color="auto" w:fill="4472C4"/>
            <w:vAlign w:val="center"/>
          </w:tcPr>
          <w:p w14:paraId="5E10763B"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3894AA53" w14:textId="77777777" w:rsidR="00990B14" w:rsidRDefault="00000000">
            <w:pPr>
              <w:keepNext/>
              <w:spacing w:before="20" w:after="20"/>
              <w:jc w:val="center"/>
            </w:pPr>
            <w:r>
              <w:rPr>
                <w:b/>
                <w:bCs/>
                <w:i/>
                <w:iCs/>
                <w:color w:val="FFFFFF"/>
                <w:sz w:val="18"/>
                <w:szCs w:val="18"/>
              </w:rPr>
              <w:t>Suficiente (51–80)</w:t>
            </w:r>
          </w:p>
        </w:tc>
        <w:tc>
          <w:tcPr>
            <w:tcW w:w="1837" w:type="dxa"/>
            <w:shd w:val="clear" w:color="auto" w:fill="4472C4"/>
            <w:vAlign w:val="center"/>
          </w:tcPr>
          <w:p w14:paraId="3A56F36A" w14:textId="77777777" w:rsidR="00990B14" w:rsidRDefault="00000000">
            <w:pPr>
              <w:keepNext/>
              <w:spacing w:before="20" w:after="20"/>
              <w:jc w:val="center"/>
            </w:pPr>
            <w:r>
              <w:rPr>
                <w:b/>
                <w:bCs/>
                <w:i/>
                <w:iCs/>
                <w:color w:val="FFFFFF"/>
                <w:sz w:val="18"/>
                <w:szCs w:val="18"/>
              </w:rPr>
              <w:t>Destacado (81–100)</w:t>
            </w:r>
          </w:p>
        </w:tc>
      </w:tr>
      <w:tr w:rsidR="00990B14" w14:paraId="00B1FC78" w14:textId="77777777">
        <w:trPr>
          <w:cantSplit/>
          <w:jc w:val="center"/>
        </w:trPr>
        <w:tc>
          <w:tcPr>
            <w:tcW w:w="1807" w:type="dxa"/>
            <w:vMerge/>
            <w:shd w:val="clear" w:color="auto" w:fill="4472C4"/>
            <w:vAlign w:val="center"/>
          </w:tcPr>
          <w:p w14:paraId="0651D12B" w14:textId="77777777" w:rsidR="00990B14" w:rsidRDefault="00990B14">
            <w:pPr>
              <w:spacing w:before="20" w:after="20"/>
            </w:pPr>
          </w:p>
        </w:tc>
        <w:tc>
          <w:tcPr>
            <w:tcW w:w="1910" w:type="dxa"/>
            <w:shd w:val="clear" w:color="auto" w:fill="D9E2F3"/>
            <w:vAlign w:val="center"/>
          </w:tcPr>
          <w:p w14:paraId="0BD2250F" w14:textId="77777777" w:rsidR="00990B14" w:rsidRDefault="00000000">
            <w:pPr>
              <w:spacing w:before="20" w:after="20"/>
              <w:jc w:val="both"/>
            </w:pPr>
            <w:r>
              <w:rPr>
                <w:sz w:val="18"/>
                <w:szCs w:val="18"/>
              </w:rPr>
              <w:t>Giro del negocio</w:t>
            </w:r>
          </w:p>
        </w:tc>
        <w:tc>
          <w:tcPr>
            <w:tcW w:w="1836" w:type="dxa"/>
            <w:shd w:val="clear" w:color="auto" w:fill="D9E2F3"/>
            <w:vAlign w:val="center"/>
          </w:tcPr>
          <w:p w14:paraId="17E45A0A" w14:textId="77777777" w:rsidR="00990B14" w:rsidRDefault="00000000">
            <w:pPr>
              <w:spacing w:before="20" w:after="20"/>
              <w:jc w:val="both"/>
            </w:pPr>
            <w:r>
              <w:rPr>
                <w:sz w:val="18"/>
                <w:szCs w:val="18"/>
              </w:rPr>
              <w:t>Confunde las actividades de las entidades.</w:t>
            </w:r>
          </w:p>
        </w:tc>
        <w:tc>
          <w:tcPr>
            <w:tcW w:w="2015" w:type="dxa"/>
            <w:shd w:val="clear" w:color="auto" w:fill="D9E2F3"/>
            <w:vAlign w:val="center"/>
          </w:tcPr>
          <w:p w14:paraId="2E5EDDD8" w14:textId="77777777" w:rsidR="00990B14" w:rsidRDefault="00000000">
            <w:pPr>
              <w:spacing w:before="20" w:after="20"/>
              <w:jc w:val="both"/>
            </w:pPr>
            <w:r>
              <w:rPr>
                <w:sz w:val="18"/>
                <w:szCs w:val="18"/>
              </w:rPr>
              <w:t>Describe el giro de YPFB, sus subsidiarias y los Titulares.</w:t>
            </w:r>
          </w:p>
        </w:tc>
        <w:tc>
          <w:tcPr>
            <w:tcW w:w="1837" w:type="dxa"/>
            <w:shd w:val="clear" w:color="auto" w:fill="D9E2F3"/>
            <w:vAlign w:val="center"/>
          </w:tcPr>
          <w:p w14:paraId="08716164" w14:textId="77777777" w:rsidR="00990B14" w:rsidRDefault="00000000">
            <w:pPr>
              <w:spacing w:before="20" w:after="20"/>
              <w:jc w:val="both"/>
            </w:pPr>
            <w:r>
              <w:rPr>
                <w:sz w:val="18"/>
                <w:szCs w:val="18"/>
              </w:rPr>
              <w:t>Relaciona cada giro con su posición en la cadena.</w:t>
            </w:r>
          </w:p>
        </w:tc>
      </w:tr>
      <w:tr w:rsidR="00990B14" w14:paraId="4DBA2B73" w14:textId="77777777">
        <w:trPr>
          <w:cantSplit/>
          <w:jc w:val="center"/>
        </w:trPr>
        <w:tc>
          <w:tcPr>
            <w:tcW w:w="1807" w:type="dxa"/>
            <w:vMerge/>
            <w:shd w:val="clear" w:color="auto" w:fill="4472C4"/>
            <w:vAlign w:val="center"/>
          </w:tcPr>
          <w:p w14:paraId="472F317B" w14:textId="77777777" w:rsidR="00990B14" w:rsidRDefault="00990B14">
            <w:pPr>
              <w:spacing w:before="20" w:after="20"/>
            </w:pPr>
          </w:p>
        </w:tc>
        <w:tc>
          <w:tcPr>
            <w:tcW w:w="1910" w:type="dxa"/>
            <w:shd w:val="clear" w:color="auto" w:fill="D9E2F3"/>
            <w:vAlign w:val="center"/>
          </w:tcPr>
          <w:p w14:paraId="788A03C3" w14:textId="77777777" w:rsidR="00990B14" w:rsidRDefault="00000000">
            <w:pPr>
              <w:spacing w:before="20" w:after="20"/>
              <w:jc w:val="both"/>
            </w:pPr>
            <w:r>
              <w:rPr>
                <w:sz w:val="18"/>
                <w:szCs w:val="18"/>
              </w:rPr>
              <w:t>Fuentes de ingreso</w:t>
            </w:r>
          </w:p>
        </w:tc>
        <w:tc>
          <w:tcPr>
            <w:tcW w:w="1836" w:type="dxa"/>
            <w:shd w:val="clear" w:color="auto" w:fill="D9E2F3"/>
            <w:vAlign w:val="center"/>
          </w:tcPr>
          <w:p w14:paraId="61BF5177" w14:textId="77777777" w:rsidR="00990B14" w:rsidRDefault="00000000">
            <w:pPr>
              <w:spacing w:before="20" w:after="20"/>
              <w:jc w:val="both"/>
            </w:pPr>
            <w:r>
              <w:rPr>
                <w:sz w:val="18"/>
                <w:szCs w:val="18"/>
              </w:rPr>
              <w:t>Omite fuentes de ingreso principales.</w:t>
            </w:r>
          </w:p>
        </w:tc>
        <w:tc>
          <w:tcPr>
            <w:tcW w:w="2015" w:type="dxa"/>
            <w:shd w:val="clear" w:color="auto" w:fill="D9E2F3"/>
            <w:vAlign w:val="center"/>
          </w:tcPr>
          <w:p w14:paraId="03A5255D" w14:textId="77777777" w:rsidR="00990B14" w:rsidRDefault="00000000">
            <w:pPr>
              <w:spacing w:before="20" w:after="20"/>
              <w:jc w:val="both"/>
            </w:pPr>
            <w:r>
              <w:rPr>
                <w:sz w:val="18"/>
                <w:szCs w:val="18"/>
              </w:rPr>
              <w:t>Identifica la fuente de ingreso principal de cada entidad.</w:t>
            </w:r>
          </w:p>
        </w:tc>
        <w:tc>
          <w:tcPr>
            <w:tcW w:w="1837" w:type="dxa"/>
            <w:shd w:val="clear" w:color="auto" w:fill="D9E2F3"/>
            <w:vAlign w:val="center"/>
          </w:tcPr>
          <w:p w14:paraId="7197202C" w14:textId="77777777" w:rsidR="00990B14" w:rsidRDefault="00000000">
            <w:pPr>
              <w:spacing w:before="20" w:after="20"/>
              <w:jc w:val="both"/>
            </w:pPr>
            <w:r>
              <w:rPr>
                <w:sz w:val="18"/>
                <w:szCs w:val="18"/>
              </w:rPr>
              <w:t>Compara la importancia relativa de cada fuente.</w:t>
            </w:r>
          </w:p>
        </w:tc>
      </w:tr>
      <w:tr w:rsidR="00990B14" w14:paraId="7C7E9778" w14:textId="77777777">
        <w:trPr>
          <w:cantSplit/>
          <w:jc w:val="center"/>
        </w:trPr>
        <w:tc>
          <w:tcPr>
            <w:tcW w:w="1807" w:type="dxa"/>
            <w:vMerge/>
            <w:shd w:val="clear" w:color="auto" w:fill="4472C4"/>
            <w:vAlign w:val="center"/>
          </w:tcPr>
          <w:p w14:paraId="7A21B12B" w14:textId="77777777" w:rsidR="00990B14" w:rsidRDefault="00990B14">
            <w:pPr>
              <w:spacing w:before="20" w:after="20"/>
            </w:pPr>
          </w:p>
        </w:tc>
        <w:tc>
          <w:tcPr>
            <w:tcW w:w="1910" w:type="dxa"/>
            <w:shd w:val="clear" w:color="auto" w:fill="D9E2F3"/>
            <w:vAlign w:val="center"/>
          </w:tcPr>
          <w:p w14:paraId="7996A904" w14:textId="77777777" w:rsidR="00990B14" w:rsidRDefault="00000000">
            <w:pPr>
              <w:spacing w:before="20" w:after="20"/>
              <w:jc w:val="both"/>
            </w:pPr>
            <w:r>
              <w:rPr>
                <w:sz w:val="18"/>
                <w:szCs w:val="18"/>
              </w:rPr>
              <w:t>Fuentes y presentación</w:t>
            </w:r>
          </w:p>
        </w:tc>
        <w:tc>
          <w:tcPr>
            <w:tcW w:w="1836" w:type="dxa"/>
            <w:shd w:val="clear" w:color="auto" w:fill="D9E2F3"/>
            <w:vAlign w:val="center"/>
          </w:tcPr>
          <w:p w14:paraId="23DEFBF6" w14:textId="77777777" w:rsidR="00990B14" w:rsidRDefault="00000000">
            <w:pPr>
              <w:spacing w:before="20" w:after="20"/>
              <w:jc w:val="both"/>
            </w:pPr>
            <w:r>
              <w:rPr>
                <w:sz w:val="18"/>
                <w:szCs w:val="18"/>
              </w:rPr>
              <w:t>No cita fuentes o el cuadro es confuso.</w:t>
            </w:r>
          </w:p>
        </w:tc>
        <w:tc>
          <w:tcPr>
            <w:tcW w:w="2015" w:type="dxa"/>
            <w:shd w:val="clear" w:color="auto" w:fill="D9E2F3"/>
            <w:vAlign w:val="center"/>
          </w:tcPr>
          <w:p w14:paraId="3C74C96F" w14:textId="77777777" w:rsidR="00990B14" w:rsidRDefault="00000000">
            <w:pPr>
              <w:spacing w:before="20" w:after="20"/>
              <w:jc w:val="both"/>
            </w:pPr>
            <w:r>
              <w:rPr>
                <w:sz w:val="18"/>
                <w:szCs w:val="18"/>
              </w:rPr>
              <w:t>Cita fuentes confiables y el cuadro es claro.</w:t>
            </w:r>
          </w:p>
        </w:tc>
        <w:tc>
          <w:tcPr>
            <w:tcW w:w="1837" w:type="dxa"/>
            <w:shd w:val="clear" w:color="auto" w:fill="D9E2F3"/>
            <w:vAlign w:val="center"/>
          </w:tcPr>
          <w:p w14:paraId="67608296" w14:textId="77777777" w:rsidR="00990B14" w:rsidRDefault="00000000">
            <w:pPr>
              <w:spacing w:before="20" w:after="20"/>
              <w:jc w:val="both"/>
            </w:pPr>
            <w:r>
              <w:rPr>
                <w:sz w:val="18"/>
                <w:szCs w:val="18"/>
              </w:rPr>
              <w:t>Usa estados financieros publicados como fuente.</w:t>
            </w:r>
          </w:p>
        </w:tc>
      </w:tr>
      <w:tr w:rsidR="00990B14" w14:paraId="44B15842" w14:textId="77777777">
        <w:trPr>
          <w:cantSplit/>
          <w:jc w:val="center"/>
        </w:trPr>
        <w:tc>
          <w:tcPr>
            <w:tcW w:w="1807" w:type="dxa"/>
            <w:vMerge/>
            <w:shd w:val="clear" w:color="auto" w:fill="4472C4"/>
            <w:vAlign w:val="center"/>
          </w:tcPr>
          <w:p w14:paraId="1F85D4C6" w14:textId="77777777" w:rsidR="00990B14" w:rsidRDefault="00990B14">
            <w:pPr>
              <w:spacing w:before="20" w:after="20"/>
            </w:pPr>
          </w:p>
        </w:tc>
        <w:tc>
          <w:tcPr>
            <w:tcW w:w="5761" w:type="dxa"/>
            <w:gridSpan w:val="3"/>
            <w:shd w:val="clear" w:color="auto" w:fill="D9E2F3"/>
            <w:vAlign w:val="center"/>
          </w:tcPr>
          <w:p w14:paraId="6C408545" w14:textId="77777777" w:rsidR="00990B14" w:rsidRDefault="00000000">
            <w:pPr>
              <w:keepNext/>
              <w:spacing w:before="20" w:after="20"/>
              <w:jc w:val="both"/>
            </w:pPr>
            <w:r>
              <w:rPr>
                <w:b/>
                <w:bCs/>
                <w:i/>
                <w:iCs/>
                <w:sz w:val="18"/>
                <w:szCs w:val="18"/>
              </w:rPr>
              <w:t xml:space="preserve">Producto 30: </w:t>
            </w:r>
            <w:r>
              <w:rPr>
                <w:sz w:val="18"/>
                <w:szCs w:val="18"/>
              </w:rPr>
              <w:t>Balance General y Estado de Resultados de YPFB Corporación y sus subsidiarias</w:t>
            </w:r>
          </w:p>
        </w:tc>
        <w:tc>
          <w:tcPr>
            <w:tcW w:w="1837" w:type="dxa"/>
            <w:shd w:val="clear" w:color="auto" w:fill="D9E2F3"/>
            <w:vAlign w:val="center"/>
          </w:tcPr>
          <w:p w14:paraId="0245A400" w14:textId="77777777" w:rsidR="00990B14" w:rsidRDefault="00000000">
            <w:pPr>
              <w:spacing w:before="20" w:after="20"/>
              <w:jc w:val="center"/>
            </w:pPr>
            <w:r>
              <w:rPr>
                <w:b/>
                <w:bCs/>
                <w:sz w:val="18"/>
                <w:szCs w:val="18"/>
              </w:rPr>
              <w:t>4%</w:t>
            </w:r>
          </w:p>
        </w:tc>
      </w:tr>
      <w:tr w:rsidR="00990B14" w14:paraId="6AA28C0A" w14:textId="77777777">
        <w:trPr>
          <w:cantSplit/>
          <w:jc w:val="center"/>
        </w:trPr>
        <w:tc>
          <w:tcPr>
            <w:tcW w:w="1807" w:type="dxa"/>
            <w:vMerge/>
            <w:shd w:val="clear" w:color="auto" w:fill="4472C4"/>
            <w:vAlign w:val="center"/>
          </w:tcPr>
          <w:p w14:paraId="6293C806" w14:textId="77777777" w:rsidR="00990B14" w:rsidRDefault="00990B14">
            <w:pPr>
              <w:spacing w:before="20" w:after="20"/>
            </w:pPr>
          </w:p>
        </w:tc>
        <w:tc>
          <w:tcPr>
            <w:tcW w:w="1910" w:type="dxa"/>
            <w:shd w:val="clear" w:color="auto" w:fill="4472C4"/>
            <w:vAlign w:val="center"/>
          </w:tcPr>
          <w:p w14:paraId="5A6D7C2C" w14:textId="77777777" w:rsidR="00990B14" w:rsidRDefault="00000000">
            <w:pPr>
              <w:keepNext/>
              <w:spacing w:before="20" w:after="20"/>
              <w:jc w:val="center"/>
            </w:pPr>
            <w:r>
              <w:rPr>
                <w:b/>
                <w:bCs/>
                <w:i/>
                <w:iCs/>
                <w:color w:val="FFFFFF"/>
                <w:sz w:val="18"/>
                <w:szCs w:val="18"/>
              </w:rPr>
              <w:t>Criterio</w:t>
            </w:r>
          </w:p>
        </w:tc>
        <w:tc>
          <w:tcPr>
            <w:tcW w:w="1836" w:type="dxa"/>
            <w:shd w:val="clear" w:color="auto" w:fill="4472C4"/>
            <w:vAlign w:val="center"/>
          </w:tcPr>
          <w:p w14:paraId="354196B3"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303F2E64" w14:textId="77777777" w:rsidR="00990B14" w:rsidRDefault="00000000">
            <w:pPr>
              <w:keepNext/>
              <w:spacing w:before="20" w:after="20"/>
              <w:jc w:val="center"/>
            </w:pPr>
            <w:r>
              <w:rPr>
                <w:b/>
                <w:bCs/>
                <w:i/>
                <w:iCs/>
                <w:color w:val="FFFFFF"/>
                <w:sz w:val="18"/>
                <w:szCs w:val="18"/>
              </w:rPr>
              <w:t>Suficiente (51–80)</w:t>
            </w:r>
          </w:p>
        </w:tc>
        <w:tc>
          <w:tcPr>
            <w:tcW w:w="1837" w:type="dxa"/>
            <w:shd w:val="clear" w:color="auto" w:fill="4472C4"/>
            <w:vAlign w:val="center"/>
          </w:tcPr>
          <w:p w14:paraId="02E3723F" w14:textId="77777777" w:rsidR="00990B14" w:rsidRDefault="00000000">
            <w:pPr>
              <w:keepNext/>
              <w:spacing w:before="20" w:after="20"/>
              <w:jc w:val="center"/>
            </w:pPr>
            <w:r>
              <w:rPr>
                <w:b/>
                <w:bCs/>
                <w:i/>
                <w:iCs/>
                <w:color w:val="FFFFFF"/>
                <w:sz w:val="18"/>
                <w:szCs w:val="18"/>
              </w:rPr>
              <w:t>Destacado (81–100)</w:t>
            </w:r>
          </w:p>
        </w:tc>
      </w:tr>
      <w:tr w:rsidR="00990B14" w14:paraId="4A5AD106" w14:textId="77777777">
        <w:trPr>
          <w:cantSplit/>
          <w:jc w:val="center"/>
        </w:trPr>
        <w:tc>
          <w:tcPr>
            <w:tcW w:w="1807" w:type="dxa"/>
            <w:vMerge/>
            <w:shd w:val="clear" w:color="auto" w:fill="4472C4"/>
            <w:vAlign w:val="center"/>
          </w:tcPr>
          <w:p w14:paraId="78E33B77" w14:textId="77777777" w:rsidR="00990B14" w:rsidRDefault="00990B14">
            <w:pPr>
              <w:spacing w:before="20" w:after="20"/>
            </w:pPr>
          </w:p>
        </w:tc>
        <w:tc>
          <w:tcPr>
            <w:tcW w:w="1910" w:type="dxa"/>
            <w:shd w:val="clear" w:color="auto" w:fill="D9E2F3"/>
            <w:vAlign w:val="center"/>
          </w:tcPr>
          <w:p w14:paraId="406D4149" w14:textId="77777777" w:rsidR="00990B14" w:rsidRDefault="00000000">
            <w:pPr>
              <w:spacing w:before="20" w:after="20"/>
              <w:jc w:val="both"/>
            </w:pPr>
            <w:r>
              <w:rPr>
                <w:sz w:val="18"/>
                <w:szCs w:val="18"/>
              </w:rPr>
              <w:t>Estados por subsidiaria</w:t>
            </w:r>
          </w:p>
        </w:tc>
        <w:tc>
          <w:tcPr>
            <w:tcW w:w="1836" w:type="dxa"/>
            <w:shd w:val="clear" w:color="auto" w:fill="D9E2F3"/>
            <w:vAlign w:val="center"/>
          </w:tcPr>
          <w:p w14:paraId="3A6E6D81" w14:textId="77777777" w:rsidR="00990B14" w:rsidRDefault="00000000">
            <w:pPr>
              <w:spacing w:before="20" w:after="20"/>
              <w:jc w:val="both"/>
            </w:pPr>
            <w:r>
              <w:rPr>
                <w:sz w:val="18"/>
                <w:szCs w:val="18"/>
              </w:rPr>
              <w:t>Los estados no cuadran.</w:t>
            </w:r>
          </w:p>
        </w:tc>
        <w:tc>
          <w:tcPr>
            <w:tcW w:w="2015" w:type="dxa"/>
            <w:shd w:val="clear" w:color="auto" w:fill="D9E2F3"/>
            <w:vAlign w:val="center"/>
          </w:tcPr>
          <w:p w14:paraId="396BBB7D" w14:textId="77777777" w:rsidR="00990B14" w:rsidRDefault="00000000">
            <w:pPr>
              <w:spacing w:before="20" w:after="20"/>
              <w:jc w:val="both"/>
            </w:pPr>
            <w:r>
              <w:rPr>
                <w:sz w:val="18"/>
                <w:szCs w:val="18"/>
              </w:rPr>
              <w:t>Presenta los estados completos y cuadrados de cada subsidiaria.</w:t>
            </w:r>
          </w:p>
        </w:tc>
        <w:tc>
          <w:tcPr>
            <w:tcW w:w="1837" w:type="dxa"/>
            <w:shd w:val="clear" w:color="auto" w:fill="D9E2F3"/>
            <w:vAlign w:val="center"/>
          </w:tcPr>
          <w:p w14:paraId="75048B24" w14:textId="77777777" w:rsidR="00990B14" w:rsidRDefault="00000000">
            <w:pPr>
              <w:spacing w:before="20" w:after="20"/>
              <w:jc w:val="both"/>
            </w:pPr>
            <w:r>
              <w:rPr>
                <w:sz w:val="18"/>
                <w:szCs w:val="18"/>
              </w:rPr>
              <w:t>Analiza la situación financiera con indicadores del sector.</w:t>
            </w:r>
          </w:p>
        </w:tc>
      </w:tr>
      <w:tr w:rsidR="00990B14" w14:paraId="428D7165" w14:textId="77777777">
        <w:trPr>
          <w:cantSplit/>
          <w:jc w:val="center"/>
        </w:trPr>
        <w:tc>
          <w:tcPr>
            <w:tcW w:w="1807" w:type="dxa"/>
            <w:vMerge/>
            <w:shd w:val="clear" w:color="auto" w:fill="4472C4"/>
            <w:vAlign w:val="center"/>
          </w:tcPr>
          <w:p w14:paraId="1911B138" w14:textId="77777777" w:rsidR="00990B14" w:rsidRDefault="00990B14">
            <w:pPr>
              <w:spacing w:before="20" w:after="20"/>
            </w:pPr>
          </w:p>
        </w:tc>
        <w:tc>
          <w:tcPr>
            <w:tcW w:w="1910" w:type="dxa"/>
            <w:shd w:val="clear" w:color="auto" w:fill="D9E2F3"/>
            <w:vAlign w:val="center"/>
          </w:tcPr>
          <w:p w14:paraId="56C8633F" w14:textId="77777777" w:rsidR="00990B14" w:rsidRDefault="00000000">
            <w:pPr>
              <w:spacing w:before="20" w:after="20"/>
              <w:jc w:val="both"/>
            </w:pPr>
            <w:r>
              <w:rPr>
                <w:sz w:val="18"/>
                <w:szCs w:val="18"/>
              </w:rPr>
              <w:t>Consolidación</w:t>
            </w:r>
          </w:p>
        </w:tc>
        <w:tc>
          <w:tcPr>
            <w:tcW w:w="1836" w:type="dxa"/>
            <w:shd w:val="clear" w:color="auto" w:fill="D9E2F3"/>
            <w:vAlign w:val="center"/>
          </w:tcPr>
          <w:p w14:paraId="609440AD" w14:textId="77777777" w:rsidR="00990B14" w:rsidRDefault="00000000">
            <w:pPr>
              <w:spacing w:before="20" w:after="20"/>
              <w:jc w:val="both"/>
            </w:pPr>
            <w:r>
              <w:rPr>
                <w:sz w:val="18"/>
                <w:szCs w:val="18"/>
              </w:rPr>
              <w:t>No elimina las operaciones entre empresas del grupo.</w:t>
            </w:r>
          </w:p>
        </w:tc>
        <w:tc>
          <w:tcPr>
            <w:tcW w:w="2015" w:type="dxa"/>
            <w:shd w:val="clear" w:color="auto" w:fill="D9E2F3"/>
            <w:vAlign w:val="center"/>
          </w:tcPr>
          <w:p w14:paraId="3282100E" w14:textId="77777777" w:rsidR="00990B14" w:rsidRDefault="00000000">
            <w:pPr>
              <w:spacing w:before="20" w:after="20"/>
              <w:jc w:val="both"/>
            </w:pPr>
            <w:r>
              <w:rPr>
                <w:sz w:val="18"/>
                <w:szCs w:val="18"/>
              </w:rPr>
              <w:t>Elimina las operaciones entre empresas del grupo.</w:t>
            </w:r>
          </w:p>
        </w:tc>
        <w:tc>
          <w:tcPr>
            <w:tcW w:w="1837" w:type="dxa"/>
            <w:shd w:val="clear" w:color="auto" w:fill="D9E2F3"/>
            <w:vAlign w:val="center"/>
          </w:tcPr>
          <w:p w14:paraId="42AEAF72" w14:textId="77777777" w:rsidR="00990B14" w:rsidRDefault="00000000">
            <w:pPr>
              <w:spacing w:before="20" w:after="20"/>
              <w:jc w:val="both"/>
            </w:pPr>
            <w:r>
              <w:rPr>
                <w:sz w:val="18"/>
                <w:szCs w:val="18"/>
              </w:rPr>
              <w:t>Explica el efecto de las eliminaciones en el consolidado.</w:t>
            </w:r>
          </w:p>
        </w:tc>
      </w:tr>
      <w:tr w:rsidR="00990B14" w14:paraId="7001ADD6" w14:textId="77777777">
        <w:trPr>
          <w:cantSplit/>
          <w:jc w:val="center"/>
        </w:trPr>
        <w:tc>
          <w:tcPr>
            <w:tcW w:w="1807" w:type="dxa"/>
            <w:vMerge/>
            <w:shd w:val="clear" w:color="auto" w:fill="4472C4"/>
            <w:vAlign w:val="center"/>
          </w:tcPr>
          <w:p w14:paraId="47440662" w14:textId="77777777" w:rsidR="00990B14" w:rsidRDefault="00990B14">
            <w:pPr>
              <w:spacing w:before="20" w:after="20"/>
            </w:pPr>
          </w:p>
        </w:tc>
        <w:tc>
          <w:tcPr>
            <w:tcW w:w="1910" w:type="dxa"/>
            <w:shd w:val="clear" w:color="auto" w:fill="D9E2F3"/>
            <w:vAlign w:val="center"/>
          </w:tcPr>
          <w:p w14:paraId="17B5BD83" w14:textId="77777777" w:rsidR="00990B14" w:rsidRDefault="00000000">
            <w:pPr>
              <w:spacing w:before="20" w:after="20"/>
              <w:jc w:val="both"/>
            </w:pPr>
            <w:r>
              <w:rPr>
                <w:sz w:val="18"/>
                <w:szCs w:val="18"/>
              </w:rPr>
              <w:t>Presentación en grupo</w:t>
            </w:r>
          </w:p>
        </w:tc>
        <w:tc>
          <w:tcPr>
            <w:tcW w:w="1836" w:type="dxa"/>
            <w:shd w:val="clear" w:color="auto" w:fill="D9E2F3"/>
            <w:vAlign w:val="center"/>
          </w:tcPr>
          <w:p w14:paraId="32341140" w14:textId="77777777" w:rsidR="00990B14" w:rsidRDefault="00000000">
            <w:pPr>
              <w:spacing w:before="20" w:after="20"/>
              <w:jc w:val="both"/>
            </w:pPr>
            <w:r>
              <w:rPr>
                <w:sz w:val="18"/>
                <w:szCs w:val="18"/>
              </w:rPr>
              <w:t>La presentación es desordenada.</w:t>
            </w:r>
          </w:p>
        </w:tc>
        <w:tc>
          <w:tcPr>
            <w:tcW w:w="2015" w:type="dxa"/>
            <w:shd w:val="clear" w:color="auto" w:fill="D9E2F3"/>
            <w:vAlign w:val="center"/>
          </w:tcPr>
          <w:p w14:paraId="128682BE" w14:textId="77777777" w:rsidR="00990B14" w:rsidRDefault="00000000">
            <w:pPr>
              <w:spacing w:before="20" w:after="20"/>
              <w:jc w:val="both"/>
            </w:pPr>
            <w:r>
              <w:rPr>
                <w:sz w:val="18"/>
                <w:szCs w:val="18"/>
              </w:rPr>
              <w:t>La presentación es clara y todos participan.</w:t>
            </w:r>
          </w:p>
        </w:tc>
        <w:tc>
          <w:tcPr>
            <w:tcW w:w="1837" w:type="dxa"/>
            <w:shd w:val="clear" w:color="auto" w:fill="D9E2F3"/>
            <w:vAlign w:val="center"/>
          </w:tcPr>
          <w:p w14:paraId="4D52793B" w14:textId="77777777" w:rsidR="00990B14" w:rsidRDefault="00000000">
            <w:pPr>
              <w:spacing w:before="20" w:after="20"/>
              <w:jc w:val="both"/>
            </w:pPr>
            <w:r>
              <w:rPr>
                <w:sz w:val="18"/>
                <w:szCs w:val="18"/>
              </w:rPr>
              <w:t>El grupo responde las observaciones del curso con fundamento.</w:t>
            </w:r>
          </w:p>
        </w:tc>
      </w:tr>
      <w:tr w:rsidR="00990B14" w14:paraId="430E9A28" w14:textId="77777777">
        <w:trPr>
          <w:cantSplit/>
          <w:jc w:val="center"/>
        </w:trPr>
        <w:tc>
          <w:tcPr>
            <w:tcW w:w="1807" w:type="dxa"/>
            <w:vMerge/>
            <w:shd w:val="clear" w:color="auto" w:fill="4472C4"/>
            <w:vAlign w:val="center"/>
          </w:tcPr>
          <w:p w14:paraId="0B76F00B" w14:textId="77777777" w:rsidR="00990B14" w:rsidRDefault="00990B14">
            <w:pPr>
              <w:spacing w:before="20" w:after="20"/>
            </w:pPr>
          </w:p>
        </w:tc>
        <w:tc>
          <w:tcPr>
            <w:tcW w:w="5761" w:type="dxa"/>
            <w:gridSpan w:val="3"/>
            <w:shd w:val="clear" w:color="auto" w:fill="D9E2F3"/>
            <w:vAlign w:val="center"/>
          </w:tcPr>
          <w:p w14:paraId="6CE38EDD" w14:textId="77777777" w:rsidR="00990B14" w:rsidRDefault="00000000">
            <w:pPr>
              <w:keepNext/>
              <w:spacing w:before="20" w:after="20"/>
              <w:jc w:val="both"/>
            </w:pPr>
            <w:r>
              <w:rPr>
                <w:b/>
                <w:bCs/>
                <w:i/>
                <w:iCs/>
                <w:sz w:val="18"/>
                <w:szCs w:val="18"/>
              </w:rPr>
              <w:t xml:space="preserve">Producto 31: </w:t>
            </w:r>
            <w:r>
              <w:rPr>
                <w:sz w:val="18"/>
                <w:szCs w:val="18"/>
              </w:rPr>
              <w:t>Diapositivas sobre el impacto ambiental de las empresas mineras auríferas</w:t>
            </w:r>
          </w:p>
        </w:tc>
        <w:tc>
          <w:tcPr>
            <w:tcW w:w="1837" w:type="dxa"/>
            <w:shd w:val="clear" w:color="auto" w:fill="D9E2F3"/>
            <w:vAlign w:val="center"/>
          </w:tcPr>
          <w:p w14:paraId="70ECAF51" w14:textId="77777777" w:rsidR="00990B14" w:rsidRDefault="00000000">
            <w:pPr>
              <w:spacing w:before="20" w:after="20"/>
              <w:jc w:val="center"/>
            </w:pPr>
            <w:r>
              <w:rPr>
                <w:b/>
                <w:bCs/>
                <w:sz w:val="18"/>
                <w:szCs w:val="18"/>
              </w:rPr>
              <w:t>3%</w:t>
            </w:r>
          </w:p>
        </w:tc>
      </w:tr>
      <w:tr w:rsidR="00990B14" w14:paraId="6FE3B62E" w14:textId="77777777">
        <w:trPr>
          <w:cantSplit/>
          <w:jc w:val="center"/>
        </w:trPr>
        <w:tc>
          <w:tcPr>
            <w:tcW w:w="1807" w:type="dxa"/>
            <w:vMerge/>
            <w:shd w:val="clear" w:color="auto" w:fill="4472C4"/>
            <w:vAlign w:val="center"/>
          </w:tcPr>
          <w:p w14:paraId="223CC162" w14:textId="77777777" w:rsidR="00990B14" w:rsidRDefault="00990B14">
            <w:pPr>
              <w:spacing w:before="20" w:after="20"/>
            </w:pPr>
          </w:p>
        </w:tc>
        <w:tc>
          <w:tcPr>
            <w:tcW w:w="1910" w:type="dxa"/>
            <w:shd w:val="clear" w:color="auto" w:fill="4472C4"/>
            <w:vAlign w:val="center"/>
          </w:tcPr>
          <w:p w14:paraId="0FD37FB5" w14:textId="77777777" w:rsidR="00990B14" w:rsidRDefault="00000000">
            <w:pPr>
              <w:keepNext/>
              <w:spacing w:before="20" w:after="20"/>
              <w:jc w:val="center"/>
            </w:pPr>
            <w:r>
              <w:rPr>
                <w:b/>
                <w:bCs/>
                <w:i/>
                <w:iCs/>
                <w:color w:val="FFFFFF"/>
                <w:sz w:val="18"/>
                <w:szCs w:val="18"/>
              </w:rPr>
              <w:t>Criterio</w:t>
            </w:r>
          </w:p>
        </w:tc>
        <w:tc>
          <w:tcPr>
            <w:tcW w:w="1836" w:type="dxa"/>
            <w:shd w:val="clear" w:color="auto" w:fill="4472C4"/>
            <w:vAlign w:val="center"/>
          </w:tcPr>
          <w:p w14:paraId="3FD6F196"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33FECF20" w14:textId="77777777" w:rsidR="00990B14" w:rsidRDefault="00000000">
            <w:pPr>
              <w:keepNext/>
              <w:spacing w:before="20" w:after="20"/>
              <w:jc w:val="center"/>
            </w:pPr>
            <w:r>
              <w:rPr>
                <w:b/>
                <w:bCs/>
                <w:i/>
                <w:iCs/>
                <w:color w:val="FFFFFF"/>
                <w:sz w:val="18"/>
                <w:szCs w:val="18"/>
              </w:rPr>
              <w:t>Suficiente (51–80)</w:t>
            </w:r>
          </w:p>
        </w:tc>
        <w:tc>
          <w:tcPr>
            <w:tcW w:w="1837" w:type="dxa"/>
            <w:shd w:val="clear" w:color="auto" w:fill="4472C4"/>
            <w:vAlign w:val="center"/>
          </w:tcPr>
          <w:p w14:paraId="515CCAFA" w14:textId="77777777" w:rsidR="00990B14" w:rsidRDefault="00000000">
            <w:pPr>
              <w:keepNext/>
              <w:spacing w:before="20" w:after="20"/>
              <w:jc w:val="center"/>
            </w:pPr>
            <w:r>
              <w:rPr>
                <w:b/>
                <w:bCs/>
                <w:i/>
                <w:iCs/>
                <w:color w:val="FFFFFF"/>
                <w:sz w:val="18"/>
                <w:szCs w:val="18"/>
              </w:rPr>
              <w:t>Destacado (81–100)</w:t>
            </w:r>
          </w:p>
        </w:tc>
      </w:tr>
      <w:tr w:rsidR="00990B14" w14:paraId="3775E961" w14:textId="77777777">
        <w:trPr>
          <w:cantSplit/>
          <w:jc w:val="center"/>
        </w:trPr>
        <w:tc>
          <w:tcPr>
            <w:tcW w:w="1807" w:type="dxa"/>
            <w:vMerge/>
            <w:shd w:val="clear" w:color="auto" w:fill="4472C4"/>
            <w:vAlign w:val="center"/>
          </w:tcPr>
          <w:p w14:paraId="0DD0E8FE" w14:textId="77777777" w:rsidR="00990B14" w:rsidRDefault="00990B14">
            <w:pPr>
              <w:spacing w:before="20" w:after="20"/>
            </w:pPr>
          </w:p>
        </w:tc>
        <w:tc>
          <w:tcPr>
            <w:tcW w:w="1910" w:type="dxa"/>
            <w:shd w:val="clear" w:color="auto" w:fill="D9E2F3"/>
            <w:vAlign w:val="center"/>
          </w:tcPr>
          <w:p w14:paraId="22870981" w14:textId="77777777" w:rsidR="00990B14" w:rsidRDefault="00000000">
            <w:pPr>
              <w:spacing w:before="20" w:after="20"/>
              <w:jc w:val="both"/>
            </w:pPr>
            <w:r>
              <w:rPr>
                <w:sz w:val="18"/>
                <w:szCs w:val="18"/>
              </w:rPr>
              <w:t>Identificación de impactos</w:t>
            </w:r>
          </w:p>
        </w:tc>
        <w:tc>
          <w:tcPr>
            <w:tcW w:w="1836" w:type="dxa"/>
            <w:shd w:val="clear" w:color="auto" w:fill="D9E2F3"/>
            <w:vAlign w:val="center"/>
          </w:tcPr>
          <w:p w14:paraId="31845A4E" w14:textId="77777777" w:rsidR="00990B14" w:rsidRDefault="00000000">
            <w:pPr>
              <w:spacing w:before="20" w:after="20"/>
              <w:jc w:val="both"/>
            </w:pPr>
            <w:r>
              <w:rPr>
                <w:sz w:val="18"/>
                <w:szCs w:val="18"/>
              </w:rPr>
              <w:t>No identifica los impactos.</w:t>
            </w:r>
          </w:p>
        </w:tc>
        <w:tc>
          <w:tcPr>
            <w:tcW w:w="2015" w:type="dxa"/>
            <w:shd w:val="clear" w:color="auto" w:fill="D9E2F3"/>
            <w:vAlign w:val="center"/>
          </w:tcPr>
          <w:p w14:paraId="3D891DE8" w14:textId="77777777" w:rsidR="00990B14" w:rsidRDefault="00000000">
            <w:pPr>
              <w:spacing w:before="20" w:after="20"/>
              <w:jc w:val="both"/>
            </w:pPr>
            <w:r>
              <w:rPr>
                <w:sz w:val="18"/>
                <w:szCs w:val="18"/>
              </w:rPr>
              <w:t>Identifica los impactos en el agua, el suelo y la salud.</w:t>
            </w:r>
          </w:p>
        </w:tc>
        <w:tc>
          <w:tcPr>
            <w:tcW w:w="1837" w:type="dxa"/>
            <w:shd w:val="clear" w:color="auto" w:fill="D9E2F3"/>
            <w:vAlign w:val="center"/>
          </w:tcPr>
          <w:p w14:paraId="504D1044" w14:textId="77777777" w:rsidR="00990B14" w:rsidRDefault="00000000">
            <w:pPr>
              <w:spacing w:before="20" w:after="20"/>
              <w:jc w:val="both"/>
            </w:pPr>
            <w:r>
              <w:rPr>
                <w:sz w:val="18"/>
                <w:szCs w:val="18"/>
              </w:rPr>
              <w:t>Prioriza los impactos según su gravedad y la zona afectada.</w:t>
            </w:r>
          </w:p>
        </w:tc>
      </w:tr>
      <w:tr w:rsidR="00990B14" w14:paraId="34B6C22F" w14:textId="77777777">
        <w:trPr>
          <w:cantSplit/>
          <w:jc w:val="center"/>
        </w:trPr>
        <w:tc>
          <w:tcPr>
            <w:tcW w:w="1807" w:type="dxa"/>
            <w:vMerge/>
            <w:shd w:val="clear" w:color="auto" w:fill="4472C4"/>
            <w:vAlign w:val="center"/>
          </w:tcPr>
          <w:p w14:paraId="4186FE90" w14:textId="77777777" w:rsidR="00990B14" w:rsidRDefault="00990B14">
            <w:pPr>
              <w:spacing w:before="20" w:after="20"/>
            </w:pPr>
          </w:p>
        </w:tc>
        <w:tc>
          <w:tcPr>
            <w:tcW w:w="1910" w:type="dxa"/>
            <w:shd w:val="clear" w:color="auto" w:fill="D9E2F3"/>
            <w:vAlign w:val="center"/>
          </w:tcPr>
          <w:p w14:paraId="72E0A95C" w14:textId="77777777" w:rsidR="00990B14" w:rsidRDefault="00000000">
            <w:pPr>
              <w:spacing w:before="20" w:after="20"/>
              <w:jc w:val="both"/>
            </w:pPr>
            <w:r>
              <w:rPr>
                <w:sz w:val="18"/>
                <w:szCs w:val="18"/>
              </w:rPr>
              <w:t>Diseño de las diapositivas</w:t>
            </w:r>
          </w:p>
        </w:tc>
        <w:tc>
          <w:tcPr>
            <w:tcW w:w="1836" w:type="dxa"/>
            <w:shd w:val="clear" w:color="auto" w:fill="D9E2F3"/>
            <w:vAlign w:val="center"/>
          </w:tcPr>
          <w:p w14:paraId="2FCE2077" w14:textId="77777777" w:rsidR="00990B14" w:rsidRDefault="00000000">
            <w:pPr>
              <w:spacing w:before="20" w:after="20"/>
              <w:jc w:val="both"/>
            </w:pPr>
            <w:r>
              <w:rPr>
                <w:sz w:val="18"/>
                <w:szCs w:val="18"/>
              </w:rPr>
              <w:t>Las diapositivas están recargadas o desordenadas.</w:t>
            </w:r>
          </w:p>
        </w:tc>
        <w:tc>
          <w:tcPr>
            <w:tcW w:w="2015" w:type="dxa"/>
            <w:shd w:val="clear" w:color="auto" w:fill="D9E2F3"/>
            <w:vAlign w:val="center"/>
          </w:tcPr>
          <w:p w14:paraId="11C03A64" w14:textId="77777777" w:rsidR="00990B14" w:rsidRDefault="00000000">
            <w:pPr>
              <w:spacing w:before="20" w:after="20"/>
              <w:jc w:val="both"/>
            </w:pPr>
            <w:r>
              <w:rPr>
                <w:sz w:val="18"/>
                <w:szCs w:val="18"/>
              </w:rPr>
              <w:t>Las diapositivas son claras, con texto breve e imágenes pertinentes.</w:t>
            </w:r>
          </w:p>
        </w:tc>
        <w:tc>
          <w:tcPr>
            <w:tcW w:w="1837" w:type="dxa"/>
            <w:shd w:val="clear" w:color="auto" w:fill="D9E2F3"/>
            <w:vAlign w:val="center"/>
          </w:tcPr>
          <w:p w14:paraId="168CDAE8" w14:textId="77777777" w:rsidR="00990B14" w:rsidRDefault="00000000">
            <w:pPr>
              <w:spacing w:before="20" w:after="20"/>
              <w:jc w:val="both"/>
            </w:pPr>
            <w:r>
              <w:rPr>
                <w:sz w:val="18"/>
                <w:szCs w:val="18"/>
              </w:rPr>
              <w:t>Usa mapas, datos y gráficos que sustentan el mensaje.</w:t>
            </w:r>
          </w:p>
        </w:tc>
      </w:tr>
      <w:tr w:rsidR="00990B14" w14:paraId="1E5AC254" w14:textId="77777777">
        <w:trPr>
          <w:cantSplit/>
          <w:jc w:val="center"/>
        </w:trPr>
        <w:tc>
          <w:tcPr>
            <w:tcW w:w="1807" w:type="dxa"/>
            <w:vMerge/>
            <w:shd w:val="clear" w:color="auto" w:fill="4472C4"/>
            <w:vAlign w:val="center"/>
          </w:tcPr>
          <w:p w14:paraId="62445EFD" w14:textId="77777777" w:rsidR="00990B14" w:rsidRDefault="00990B14">
            <w:pPr>
              <w:spacing w:before="20" w:after="20"/>
            </w:pPr>
          </w:p>
        </w:tc>
        <w:tc>
          <w:tcPr>
            <w:tcW w:w="1910" w:type="dxa"/>
            <w:shd w:val="clear" w:color="auto" w:fill="D9E2F3"/>
            <w:vAlign w:val="center"/>
          </w:tcPr>
          <w:p w14:paraId="73FCE88C" w14:textId="77777777" w:rsidR="00990B14" w:rsidRDefault="00000000">
            <w:pPr>
              <w:spacing w:before="20" w:after="20"/>
              <w:jc w:val="both"/>
            </w:pPr>
            <w:r>
              <w:rPr>
                <w:sz w:val="18"/>
                <w:szCs w:val="18"/>
              </w:rPr>
              <w:t>Exposición en equipo</w:t>
            </w:r>
          </w:p>
        </w:tc>
        <w:tc>
          <w:tcPr>
            <w:tcW w:w="1836" w:type="dxa"/>
            <w:shd w:val="clear" w:color="auto" w:fill="D9E2F3"/>
            <w:vAlign w:val="center"/>
          </w:tcPr>
          <w:p w14:paraId="48723E7E" w14:textId="77777777" w:rsidR="00990B14" w:rsidRDefault="00000000">
            <w:pPr>
              <w:spacing w:before="20" w:after="20"/>
              <w:jc w:val="both"/>
            </w:pPr>
            <w:r>
              <w:rPr>
                <w:sz w:val="18"/>
                <w:szCs w:val="18"/>
              </w:rPr>
              <w:t>La exposición es desordenada.</w:t>
            </w:r>
          </w:p>
        </w:tc>
        <w:tc>
          <w:tcPr>
            <w:tcW w:w="2015" w:type="dxa"/>
            <w:shd w:val="clear" w:color="auto" w:fill="D9E2F3"/>
            <w:vAlign w:val="center"/>
          </w:tcPr>
          <w:p w14:paraId="61D43685" w14:textId="77777777" w:rsidR="00990B14" w:rsidRDefault="00000000">
            <w:pPr>
              <w:spacing w:before="20" w:after="20"/>
              <w:jc w:val="both"/>
            </w:pPr>
            <w:r>
              <w:rPr>
                <w:sz w:val="18"/>
                <w:szCs w:val="18"/>
              </w:rPr>
              <w:t>La exposición es clara y todos participan.</w:t>
            </w:r>
          </w:p>
        </w:tc>
        <w:tc>
          <w:tcPr>
            <w:tcW w:w="1837" w:type="dxa"/>
            <w:shd w:val="clear" w:color="auto" w:fill="D9E2F3"/>
            <w:vAlign w:val="center"/>
          </w:tcPr>
          <w:p w14:paraId="253C88D9" w14:textId="77777777" w:rsidR="00990B14" w:rsidRDefault="00000000">
            <w:pPr>
              <w:spacing w:before="20" w:after="20"/>
              <w:jc w:val="both"/>
            </w:pPr>
            <w:r>
              <w:rPr>
                <w:sz w:val="18"/>
                <w:szCs w:val="18"/>
              </w:rPr>
              <w:t>El equipo responde con solvencia a las preguntas del curso.</w:t>
            </w:r>
          </w:p>
        </w:tc>
      </w:tr>
      <w:tr w:rsidR="00990B14" w14:paraId="396EE9B8" w14:textId="77777777">
        <w:trPr>
          <w:cantSplit/>
          <w:jc w:val="center"/>
        </w:trPr>
        <w:tc>
          <w:tcPr>
            <w:tcW w:w="1807" w:type="dxa"/>
            <w:vMerge/>
            <w:shd w:val="clear" w:color="auto" w:fill="4472C4"/>
            <w:vAlign w:val="center"/>
          </w:tcPr>
          <w:p w14:paraId="1ADDCDA9" w14:textId="77777777" w:rsidR="00990B14" w:rsidRDefault="00990B14">
            <w:pPr>
              <w:spacing w:before="20" w:after="20"/>
            </w:pPr>
          </w:p>
        </w:tc>
        <w:tc>
          <w:tcPr>
            <w:tcW w:w="5761" w:type="dxa"/>
            <w:gridSpan w:val="3"/>
            <w:shd w:val="clear" w:color="auto" w:fill="D9E2F3"/>
            <w:vAlign w:val="center"/>
          </w:tcPr>
          <w:p w14:paraId="4A278843" w14:textId="77777777" w:rsidR="00990B14" w:rsidRDefault="00000000">
            <w:pPr>
              <w:keepNext/>
              <w:spacing w:before="20" w:after="20"/>
              <w:jc w:val="both"/>
            </w:pPr>
            <w:r>
              <w:rPr>
                <w:b/>
                <w:bCs/>
                <w:i/>
                <w:iCs/>
                <w:sz w:val="18"/>
                <w:szCs w:val="18"/>
              </w:rPr>
              <w:t xml:space="preserve">Producto 32: </w:t>
            </w:r>
            <w:r>
              <w:rPr>
                <w:sz w:val="18"/>
                <w:szCs w:val="18"/>
              </w:rPr>
              <w:t>Resumen explicativo de la normativa ambiental vigente</w:t>
            </w:r>
          </w:p>
        </w:tc>
        <w:tc>
          <w:tcPr>
            <w:tcW w:w="1837" w:type="dxa"/>
            <w:shd w:val="clear" w:color="auto" w:fill="D9E2F3"/>
            <w:vAlign w:val="center"/>
          </w:tcPr>
          <w:p w14:paraId="69A35132" w14:textId="77777777" w:rsidR="00990B14" w:rsidRDefault="00000000">
            <w:pPr>
              <w:spacing w:before="20" w:after="20"/>
              <w:jc w:val="center"/>
            </w:pPr>
            <w:r>
              <w:rPr>
                <w:b/>
                <w:bCs/>
                <w:sz w:val="18"/>
                <w:szCs w:val="18"/>
              </w:rPr>
              <w:t>3%</w:t>
            </w:r>
          </w:p>
        </w:tc>
      </w:tr>
      <w:tr w:rsidR="00990B14" w14:paraId="063E314F" w14:textId="77777777">
        <w:trPr>
          <w:cantSplit/>
          <w:jc w:val="center"/>
        </w:trPr>
        <w:tc>
          <w:tcPr>
            <w:tcW w:w="1807" w:type="dxa"/>
            <w:vMerge/>
            <w:shd w:val="clear" w:color="auto" w:fill="4472C4"/>
            <w:vAlign w:val="center"/>
          </w:tcPr>
          <w:p w14:paraId="6F0909AA" w14:textId="77777777" w:rsidR="00990B14" w:rsidRDefault="00990B14">
            <w:pPr>
              <w:spacing w:before="20" w:after="20"/>
            </w:pPr>
          </w:p>
        </w:tc>
        <w:tc>
          <w:tcPr>
            <w:tcW w:w="1910" w:type="dxa"/>
            <w:shd w:val="clear" w:color="auto" w:fill="4472C4"/>
            <w:vAlign w:val="center"/>
          </w:tcPr>
          <w:p w14:paraId="48C4A615" w14:textId="77777777" w:rsidR="00990B14" w:rsidRDefault="00000000">
            <w:pPr>
              <w:keepNext/>
              <w:spacing w:before="20" w:after="20"/>
              <w:jc w:val="center"/>
            </w:pPr>
            <w:r>
              <w:rPr>
                <w:b/>
                <w:bCs/>
                <w:i/>
                <w:iCs/>
                <w:color w:val="FFFFFF"/>
                <w:sz w:val="18"/>
                <w:szCs w:val="18"/>
              </w:rPr>
              <w:t>Criterio</w:t>
            </w:r>
          </w:p>
        </w:tc>
        <w:tc>
          <w:tcPr>
            <w:tcW w:w="1836" w:type="dxa"/>
            <w:shd w:val="clear" w:color="auto" w:fill="4472C4"/>
            <w:vAlign w:val="center"/>
          </w:tcPr>
          <w:p w14:paraId="3B24600D"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7D85A630" w14:textId="77777777" w:rsidR="00990B14" w:rsidRDefault="00000000">
            <w:pPr>
              <w:keepNext/>
              <w:spacing w:before="20" w:after="20"/>
              <w:jc w:val="center"/>
            </w:pPr>
            <w:r>
              <w:rPr>
                <w:b/>
                <w:bCs/>
                <w:i/>
                <w:iCs/>
                <w:color w:val="FFFFFF"/>
                <w:sz w:val="18"/>
                <w:szCs w:val="18"/>
              </w:rPr>
              <w:t>Suficiente (51–80)</w:t>
            </w:r>
          </w:p>
        </w:tc>
        <w:tc>
          <w:tcPr>
            <w:tcW w:w="1837" w:type="dxa"/>
            <w:shd w:val="clear" w:color="auto" w:fill="4472C4"/>
            <w:vAlign w:val="center"/>
          </w:tcPr>
          <w:p w14:paraId="0B458CFB" w14:textId="77777777" w:rsidR="00990B14" w:rsidRDefault="00000000">
            <w:pPr>
              <w:keepNext/>
              <w:spacing w:before="20" w:after="20"/>
              <w:jc w:val="center"/>
            </w:pPr>
            <w:r>
              <w:rPr>
                <w:b/>
                <w:bCs/>
                <w:i/>
                <w:iCs/>
                <w:color w:val="FFFFFF"/>
                <w:sz w:val="18"/>
                <w:szCs w:val="18"/>
              </w:rPr>
              <w:t>Destacado (81–100)</w:t>
            </w:r>
          </w:p>
        </w:tc>
      </w:tr>
      <w:tr w:rsidR="00990B14" w14:paraId="578F121B" w14:textId="77777777">
        <w:trPr>
          <w:cantSplit/>
          <w:jc w:val="center"/>
        </w:trPr>
        <w:tc>
          <w:tcPr>
            <w:tcW w:w="1807" w:type="dxa"/>
            <w:vMerge/>
            <w:shd w:val="clear" w:color="auto" w:fill="4472C4"/>
            <w:vAlign w:val="center"/>
          </w:tcPr>
          <w:p w14:paraId="1AF6590D" w14:textId="77777777" w:rsidR="00990B14" w:rsidRDefault="00990B14">
            <w:pPr>
              <w:spacing w:before="20" w:after="20"/>
            </w:pPr>
          </w:p>
        </w:tc>
        <w:tc>
          <w:tcPr>
            <w:tcW w:w="1910" w:type="dxa"/>
            <w:shd w:val="clear" w:color="auto" w:fill="D9E2F3"/>
            <w:vAlign w:val="center"/>
          </w:tcPr>
          <w:p w14:paraId="77C307C9" w14:textId="77777777" w:rsidR="00990B14" w:rsidRDefault="00000000">
            <w:pPr>
              <w:spacing w:before="20" w:after="20"/>
              <w:jc w:val="both"/>
            </w:pPr>
            <w:r>
              <w:rPr>
                <w:sz w:val="18"/>
                <w:szCs w:val="18"/>
              </w:rPr>
              <w:t>Normas vigentes</w:t>
            </w:r>
          </w:p>
        </w:tc>
        <w:tc>
          <w:tcPr>
            <w:tcW w:w="1836" w:type="dxa"/>
            <w:shd w:val="clear" w:color="auto" w:fill="D9E2F3"/>
            <w:vAlign w:val="center"/>
          </w:tcPr>
          <w:p w14:paraId="100E8F7A" w14:textId="77777777" w:rsidR="00990B14" w:rsidRDefault="00000000">
            <w:pPr>
              <w:spacing w:before="20" w:after="20"/>
              <w:jc w:val="both"/>
            </w:pPr>
            <w:r>
              <w:rPr>
                <w:sz w:val="18"/>
                <w:szCs w:val="18"/>
              </w:rPr>
              <w:t>Omite normas o cita normas derogadas.</w:t>
            </w:r>
          </w:p>
        </w:tc>
        <w:tc>
          <w:tcPr>
            <w:tcW w:w="2015" w:type="dxa"/>
            <w:shd w:val="clear" w:color="auto" w:fill="D9E2F3"/>
            <w:vAlign w:val="center"/>
          </w:tcPr>
          <w:p w14:paraId="19A2ECB3" w14:textId="77777777" w:rsidR="00990B14" w:rsidRDefault="00000000">
            <w:pPr>
              <w:spacing w:before="20" w:after="20"/>
              <w:jc w:val="both"/>
            </w:pPr>
            <w:r>
              <w:rPr>
                <w:sz w:val="18"/>
                <w:szCs w:val="18"/>
              </w:rPr>
              <w:t>Resume la Ley 1333 y sus reglamentos sectoriales.</w:t>
            </w:r>
          </w:p>
        </w:tc>
        <w:tc>
          <w:tcPr>
            <w:tcW w:w="1837" w:type="dxa"/>
            <w:shd w:val="clear" w:color="auto" w:fill="D9E2F3"/>
            <w:vAlign w:val="center"/>
          </w:tcPr>
          <w:p w14:paraId="1A5F5D68" w14:textId="77777777" w:rsidR="00990B14" w:rsidRDefault="00000000">
            <w:pPr>
              <w:spacing w:before="20" w:after="20"/>
              <w:jc w:val="both"/>
            </w:pPr>
            <w:r>
              <w:rPr>
                <w:sz w:val="18"/>
                <w:szCs w:val="18"/>
              </w:rPr>
              <w:t>Explica la jerarquía y la vigencia de cada norma.</w:t>
            </w:r>
          </w:p>
        </w:tc>
      </w:tr>
      <w:tr w:rsidR="00990B14" w14:paraId="15C4D041" w14:textId="77777777">
        <w:trPr>
          <w:cantSplit/>
          <w:jc w:val="center"/>
        </w:trPr>
        <w:tc>
          <w:tcPr>
            <w:tcW w:w="1807" w:type="dxa"/>
            <w:vMerge/>
            <w:shd w:val="clear" w:color="auto" w:fill="4472C4"/>
            <w:vAlign w:val="center"/>
          </w:tcPr>
          <w:p w14:paraId="26B67FE9" w14:textId="77777777" w:rsidR="00990B14" w:rsidRDefault="00990B14">
            <w:pPr>
              <w:spacing w:before="20" w:after="20"/>
            </w:pPr>
          </w:p>
        </w:tc>
        <w:tc>
          <w:tcPr>
            <w:tcW w:w="1910" w:type="dxa"/>
            <w:shd w:val="clear" w:color="auto" w:fill="D9E2F3"/>
            <w:vAlign w:val="center"/>
          </w:tcPr>
          <w:p w14:paraId="4255C8EA" w14:textId="77777777" w:rsidR="00990B14" w:rsidRDefault="00000000">
            <w:pPr>
              <w:spacing w:before="20" w:after="20"/>
              <w:jc w:val="both"/>
            </w:pPr>
            <w:r>
              <w:rPr>
                <w:sz w:val="18"/>
                <w:szCs w:val="18"/>
              </w:rPr>
              <w:t>Aplicación a la actividad</w:t>
            </w:r>
          </w:p>
        </w:tc>
        <w:tc>
          <w:tcPr>
            <w:tcW w:w="1836" w:type="dxa"/>
            <w:shd w:val="clear" w:color="auto" w:fill="D9E2F3"/>
            <w:vAlign w:val="center"/>
          </w:tcPr>
          <w:p w14:paraId="7009867B" w14:textId="77777777" w:rsidR="00990B14" w:rsidRDefault="00000000">
            <w:pPr>
              <w:spacing w:before="20" w:after="20"/>
              <w:jc w:val="both"/>
            </w:pPr>
            <w:r>
              <w:rPr>
                <w:sz w:val="18"/>
                <w:szCs w:val="18"/>
              </w:rPr>
              <w:t>No relaciona la norma con la actividad.</w:t>
            </w:r>
          </w:p>
        </w:tc>
        <w:tc>
          <w:tcPr>
            <w:tcW w:w="2015" w:type="dxa"/>
            <w:shd w:val="clear" w:color="auto" w:fill="D9E2F3"/>
            <w:vAlign w:val="center"/>
          </w:tcPr>
          <w:p w14:paraId="387915D8" w14:textId="77777777" w:rsidR="00990B14" w:rsidRDefault="00000000">
            <w:pPr>
              <w:spacing w:before="20" w:after="20"/>
              <w:jc w:val="both"/>
            </w:pPr>
            <w:r>
              <w:rPr>
                <w:sz w:val="18"/>
                <w:szCs w:val="18"/>
              </w:rPr>
              <w:t>Explica los instrumentos de regulación ambiental aplicables.</w:t>
            </w:r>
          </w:p>
        </w:tc>
        <w:tc>
          <w:tcPr>
            <w:tcW w:w="1837" w:type="dxa"/>
            <w:shd w:val="clear" w:color="auto" w:fill="D9E2F3"/>
            <w:vAlign w:val="center"/>
          </w:tcPr>
          <w:p w14:paraId="1847CE5F" w14:textId="77777777" w:rsidR="00990B14" w:rsidRDefault="00000000">
            <w:pPr>
              <w:spacing w:before="20" w:after="20"/>
              <w:jc w:val="both"/>
            </w:pPr>
            <w:r>
              <w:rPr>
                <w:sz w:val="18"/>
                <w:szCs w:val="18"/>
              </w:rPr>
              <w:t>Vincula las obligaciones ambientales con su registro contable.</w:t>
            </w:r>
          </w:p>
        </w:tc>
      </w:tr>
      <w:tr w:rsidR="00990B14" w14:paraId="0373C31E" w14:textId="77777777">
        <w:trPr>
          <w:cantSplit/>
          <w:jc w:val="center"/>
        </w:trPr>
        <w:tc>
          <w:tcPr>
            <w:tcW w:w="1807" w:type="dxa"/>
            <w:vMerge/>
            <w:shd w:val="clear" w:color="auto" w:fill="4472C4"/>
            <w:vAlign w:val="center"/>
          </w:tcPr>
          <w:p w14:paraId="3A761ADD" w14:textId="77777777" w:rsidR="00990B14" w:rsidRDefault="00990B14">
            <w:pPr>
              <w:spacing w:before="20" w:after="20"/>
            </w:pPr>
          </w:p>
        </w:tc>
        <w:tc>
          <w:tcPr>
            <w:tcW w:w="1910" w:type="dxa"/>
            <w:shd w:val="clear" w:color="auto" w:fill="D9E2F3"/>
            <w:vAlign w:val="center"/>
          </w:tcPr>
          <w:p w14:paraId="5FF1748A" w14:textId="77777777" w:rsidR="00990B14" w:rsidRDefault="00000000">
            <w:pPr>
              <w:spacing w:before="20" w:after="20"/>
              <w:jc w:val="both"/>
            </w:pPr>
            <w:r>
              <w:rPr>
                <w:sz w:val="18"/>
                <w:szCs w:val="18"/>
              </w:rPr>
              <w:t>Redacción</w:t>
            </w:r>
          </w:p>
        </w:tc>
        <w:tc>
          <w:tcPr>
            <w:tcW w:w="1836" w:type="dxa"/>
            <w:shd w:val="clear" w:color="auto" w:fill="D9E2F3"/>
            <w:vAlign w:val="center"/>
          </w:tcPr>
          <w:p w14:paraId="4D10AD52" w14:textId="77777777" w:rsidR="00990B14" w:rsidRDefault="00000000">
            <w:pPr>
              <w:spacing w:before="20" w:after="20"/>
              <w:jc w:val="both"/>
            </w:pPr>
            <w:r>
              <w:rPr>
                <w:sz w:val="18"/>
                <w:szCs w:val="18"/>
              </w:rPr>
              <w:t>El resumen es confuso.</w:t>
            </w:r>
          </w:p>
        </w:tc>
        <w:tc>
          <w:tcPr>
            <w:tcW w:w="2015" w:type="dxa"/>
            <w:shd w:val="clear" w:color="auto" w:fill="D9E2F3"/>
            <w:vAlign w:val="center"/>
          </w:tcPr>
          <w:p w14:paraId="13D5FECE" w14:textId="77777777" w:rsidR="00990B14" w:rsidRDefault="00000000">
            <w:pPr>
              <w:spacing w:before="20" w:after="20"/>
              <w:jc w:val="both"/>
            </w:pPr>
            <w:r>
              <w:rPr>
                <w:sz w:val="18"/>
                <w:szCs w:val="18"/>
              </w:rPr>
              <w:t>El resumen es claro y ordenado.</w:t>
            </w:r>
          </w:p>
        </w:tc>
        <w:tc>
          <w:tcPr>
            <w:tcW w:w="1837" w:type="dxa"/>
            <w:shd w:val="clear" w:color="auto" w:fill="D9E2F3"/>
            <w:vAlign w:val="center"/>
          </w:tcPr>
          <w:p w14:paraId="139CDA6A" w14:textId="77777777" w:rsidR="00990B14" w:rsidRDefault="00000000">
            <w:pPr>
              <w:spacing w:before="20" w:after="20"/>
              <w:jc w:val="both"/>
            </w:pPr>
            <w:r>
              <w:rPr>
                <w:sz w:val="18"/>
                <w:szCs w:val="18"/>
              </w:rPr>
              <w:t>El resumen es sintético y sustenta sus conclusiones.</w:t>
            </w:r>
          </w:p>
        </w:tc>
      </w:tr>
      <w:tr w:rsidR="00990B14" w14:paraId="2A00A658" w14:textId="77777777">
        <w:trPr>
          <w:cantSplit/>
          <w:jc w:val="center"/>
        </w:trPr>
        <w:tc>
          <w:tcPr>
            <w:tcW w:w="7568" w:type="dxa"/>
            <w:gridSpan w:val="4"/>
            <w:shd w:val="clear" w:color="auto" w:fill="4472C4"/>
            <w:vAlign w:val="center"/>
          </w:tcPr>
          <w:p w14:paraId="0B1108A1" w14:textId="77777777" w:rsidR="00990B14" w:rsidRDefault="00000000">
            <w:pPr>
              <w:keepNext/>
              <w:spacing w:before="20" w:after="20"/>
              <w:jc w:val="center"/>
            </w:pPr>
            <w:r>
              <w:rPr>
                <w:b/>
                <w:bCs/>
                <w:i/>
                <w:iCs/>
                <w:color w:val="FFFFFF"/>
                <w:sz w:val="18"/>
                <w:szCs w:val="18"/>
              </w:rPr>
              <w:t>TOTAL</w:t>
            </w:r>
          </w:p>
        </w:tc>
        <w:tc>
          <w:tcPr>
            <w:tcW w:w="1837" w:type="dxa"/>
            <w:shd w:val="clear" w:color="auto" w:fill="4472C4"/>
            <w:vAlign w:val="center"/>
          </w:tcPr>
          <w:p w14:paraId="2784BAD8" w14:textId="77777777" w:rsidR="00990B14" w:rsidRDefault="00000000">
            <w:pPr>
              <w:keepNext/>
              <w:spacing w:before="20" w:after="20"/>
              <w:jc w:val="center"/>
            </w:pPr>
            <w:r>
              <w:rPr>
                <w:b/>
                <w:bCs/>
                <w:i/>
                <w:iCs/>
                <w:color w:val="FFFFFF"/>
                <w:sz w:val="18"/>
                <w:szCs w:val="18"/>
              </w:rPr>
              <w:t>100%</w:t>
            </w:r>
          </w:p>
        </w:tc>
      </w:tr>
    </w:tbl>
    <w:p w14:paraId="75FA4872"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9405"/>
      </w:tblGrid>
      <w:tr w:rsidR="00990B14" w14:paraId="4E7377FE" w14:textId="77777777">
        <w:trPr>
          <w:jc w:val="center"/>
        </w:trPr>
        <w:tc>
          <w:tcPr>
            <w:tcW w:w="9405" w:type="dxa"/>
            <w:shd w:val="clear" w:color="auto" w:fill="D9E2F3"/>
          </w:tcPr>
          <w:p w14:paraId="1DBA2C63" w14:textId="77777777" w:rsidR="00990B14" w:rsidRDefault="00000000">
            <w:pPr>
              <w:spacing w:before="40" w:after="40"/>
              <w:jc w:val="both"/>
            </w:pPr>
            <w:r>
              <w:rPr>
                <w:b/>
                <w:bCs/>
                <w:i/>
                <w:iCs/>
                <w:sz w:val="18"/>
                <w:szCs w:val="18"/>
              </w:rPr>
              <w:t>Bibliografía básica:</w:t>
            </w:r>
          </w:p>
          <w:p w14:paraId="0A4585E5" w14:textId="77777777" w:rsidR="00990B14" w:rsidRDefault="00000000">
            <w:pPr>
              <w:numPr>
                <w:ilvl w:val="0"/>
                <w:numId w:val="140"/>
              </w:numPr>
              <w:spacing w:after="20"/>
              <w:jc w:val="both"/>
            </w:pPr>
            <w:r>
              <w:rPr>
                <w:sz w:val="18"/>
                <w:szCs w:val="18"/>
              </w:rPr>
              <w:t>Código de Comercio, Decreto Ley N.º 14379.</w:t>
            </w:r>
          </w:p>
          <w:p w14:paraId="282E50F3" w14:textId="77777777" w:rsidR="00990B14" w:rsidRDefault="00000000">
            <w:pPr>
              <w:numPr>
                <w:ilvl w:val="0"/>
                <w:numId w:val="140"/>
              </w:numPr>
              <w:spacing w:after="20"/>
              <w:jc w:val="both"/>
            </w:pPr>
            <w:r>
              <w:rPr>
                <w:sz w:val="18"/>
                <w:szCs w:val="18"/>
              </w:rPr>
              <w:t>Código Tributario Boliviano, Ley N.º 2492.</w:t>
            </w:r>
          </w:p>
          <w:p w14:paraId="13E43AF2" w14:textId="77777777" w:rsidR="00990B14" w:rsidRDefault="00000000">
            <w:pPr>
              <w:numPr>
                <w:ilvl w:val="0"/>
                <w:numId w:val="140"/>
              </w:numPr>
              <w:spacing w:after="20"/>
              <w:jc w:val="both"/>
            </w:pPr>
            <w:r>
              <w:rPr>
                <w:sz w:val="18"/>
                <w:szCs w:val="18"/>
              </w:rPr>
              <w:t xml:space="preserve">Colegio de Auditores o Contadores Públicos de Bolivia, CAUB – Consejo Técnico Nacional de Auditoría y Contabilidad, CTNAC (2023). </w:t>
            </w:r>
            <w:r>
              <w:rPr>
                <w:i/>
                <w:iCs/>
                <w:sz w:val="18"/>
                <w:szCs w:val="18"/>
              </w:rPr>
              <w:t>Compendio de Normas de Contabilidad y Auditoría</w:t>
            </w:r>
            <w:r>
              <w:rPr>
                <w:sz w:val="18"/>
                <w:szCs w:val="18"/>
              </w:rPr>
              <w:t>. Santa Cruz – Bolivia.</w:t>
            </w:r>
          </w:p>
          <w:p w14:paraId="35B60006" w14:textId="77777777" w:rsidR="00990B14" w:rsidRDefault="00000000">
            <w:pPr>
              <w:numPr>
                <w:ilvl w:val="0"/>
                <w:numId w:val="140"/>
              </w:numPr>
              <w:spacing w:after="20"/>
              <w:jc w:val="both"/>
            </w:pPr>
            <w:r>
              <w:rPr>
                <w:sz w:val="18"/>
                <w:szCs w:val="18"/>
              </w:rPr>
              <w:t>Consejo de Normas Internacionales de Contabilidad (IASB). NIIF 6 Exploración y Evaluación de Recursos Minerales, CINIIF 20 Costos de desmonte y NIIF 15 Ingresos de actividades ordinarias procedentes de contratos con clientes.</w:t>
            </w:r>
          </w:p>
          <w:p w14:paraId="222BC32B" w14:textId="77777777" w:rsidR="00990B14" w:rsidRDefault="00000000">
            <w:pPr>
              <w:numPr>
                <w:ilvl w:val="0"/>
                <w:numId w:val="140"/>
              </w:numPr>
              <w:spacing w:after="20"/>
              <w:jc w:val="both"/>
            </w:pPr>
            <w:r>
              <w:rPr>
                <w:sz w:val="18"/>
                <w:szCs w:val="18"/>
              </w:rPr>
              <w:t xml:space="preserve">Fundación IFRS – Consejo de Normas Internacionales de Contabilidad, IASB (2023). </w:t>
            </w:r>
            <w:r>
              <w:rPr>
                <w:i/>
                <w:iCs/>
                <w:sz w:val="18"/>
                <w:szCs w:val="18"/>
              </w:rPr>
              <w:t>Normas Internacionales de Información Financiera 2023</w:t>
            </w:r>
            <w:r>
              <w:rPr>
                <w:sz w:val="18"/>
                <w:szCs w:val="18"/>
              </w:rPr>
              <w:t>. Londres.</w:t>
            </w:r>
          </w:p>
          <w:p w14:paraId="03EB0C10" w14:textId="77777777" w:rsidR="00990B14" w:rsidRDefault="00000000">
            <w:pPr>
              <w:numPr>
                <w:ilvl w:val="0"/>
                <w:numId w:val="140"/>
              </w:numPr>
              <w:spacing w:after="20"/>
              <w:jc w:val="both"/>
            </w:pPr>
            <w:r>
              <w:rPr>
                <w:sz w:val="18"/>
                <w:szCs w:val="18"/>
              </w:rPr>
              <w:t>Ley N.º 1333, del Medio Ambiente, de 27 de abril de 1992; Decreto Supremo N.º 24782, Reglamento Ambiental para Actividades Mineras, y Decreto Supremo N.º 24335, Reglamento Ambiental para el Sector Hidrocarburos.</w:t>
            </w:r>
          </w:p>
          <w:p w14:paraId="6B3A6135" w14:textId="77777777" w:rsidR="00990B14" w:rsidRDefault="00000000">
            <w:pPr>
              <w:numPr>
                <w:ilvl w:val="0"/>
                <w:numId w:val="140"/>
              </w:numPr>
              <w:spacing w:after="20"/>
              <w:jc w:val="both"/>
            </w:pPr>
            <w:r>
              <w:rPr>
                <w:sz w:val="18"/>
                <w:szCs w:val="18"/>
              </w:rPr>
              <w:t>Ley N.º 3058, de Hidrocarburos, de 17 de mayo de 2005.</w:t>
            </w:r>
          </w:p>
          <w:p w14:paraId="39B00C37" w14:textId="77777777" w:rsidR="00990B14" w:rsidRDefault="00000000">
            <w:pPr>
              <w:numPr>
                <w:ilvl w:val="0"/>
                <w:numId w:val="140"/>
              </w:numPr>
              <w:spacing w:after="20"/>
              <w:jc w:val="both"/>
            </w:pPr>
            <w:r>
              <w:rPr>
                <w:sz w:val="18"/>
                <w:szCs w:val="18"/>
              </w:rPr>
              <w:t>Ley N.º 535, de Minería y Metalurgia, de 28 de mayo de 2014.</w:t>
            </w:r>
          </w:p>
          <w:p w14:paraId="31D16B6E" w14:textId="77777777" w:rsidR="00990B14" w:rsidRDefault="00000000">
            <w:pPr>
              <w:numPr>
                <w:ilvl w:val="0"/>
                <w:numId w:val="140"/>
              </w:numPr>
              <w:spacing w:after="20"/>
              <w:jc w:val="both"/>
            </w:pPr>
            <w:r>
              <w:rPr>
                <w:sz w:val="18"/>
                <w:szCs w:val="18"/>
              </w:rPr>
              <w:t>Normas legales relacionadas con la industria minera y petrolera de Bolivia.</w:t>
            </w:r>
          </w:p>
          <w:p w14:paraId="4A131F72" w14:textId="77777777" w:rsidR="00990B14" w:rsidRDefault="00000000">
            <w:pPr>
              <w:numPr>
                <w:ilvl w:val="0"/>
                <w:numId w:val="140"/>
              </w:numPr>
              <w:spacing w:after="20"/>
              <w:jc w:val="both"/>
            </w:pPr>
            <w:r>
              <w:rPr>
                <w:sz w:val="18"/>
                <w:szCs w:val="18"/>
              </w:rPr>
              <w:t>Perez Vargas, Juan (2025). Fundamentos de Contabilidad Minera. Latinas Editores Ltda. Primera edición.</w:t>
            </w:r>
          </w:p>
          <w:p w14:paraId="5AAA3300" w14:textId="77777777" w:rsidR="00990B14" w:rsidRDefault="00000000">
            <w:pPr>
              <w:numPr>
                <w:ilvl w:val="0"/>
                <w:numId w:val="140"/>
              </w:numPr>
              <w:spacing w:after="20"/>
              <w:jc w:val="both"/>
            </w:pPr>
            <w:r>
              <w:rPr>
                <w:sz w:val="18"/>
                <w:szCs w:val="18"/>
              </w:rPr>
              <w:t xml:space="preserve">Pozo Balderrama, E. (2022). </w:t>
            </w:r>
            <w:r>
              <w:rPr>
                <w:i/>
                <w:iCs/>
                <w:sz w:val="18"/>
                <w:szCs w:val="18"/>
              </w:rPr>
              <w:t>Guía práctica de contabilidad minera</w:t>
            </w:r>
            <w:r>
              <w:rPr>
                <w:sz w:val="18"/>
                <w:szCs w:val="18"/>
              </w:rPr>
              <w:t>. Bolivia.</w:t>
            </w:r>
          </w:p>
        </w:tc>
      </w:tr>
      <w:tr w:rsidR="00990B14" w14:paraId="3A30732B" w14:textId="77777777">
        <w:trPr>
          <w:jc w:val="center"/>
        </w:trPr>
        <w:tc>
          <w:tcPr>
            <w:tcW w:w="9405" w:type="dxa"/>
            <w:shd w:val="clear" w:color="auto" w:fill="D9E2F3"/>
          </w:tcPr>
          <w:p w14:paraId="3ECF21D1" w14:textId="77777777" w:rsidR="00990B14" w:rsidRDefault="00000000">
            <w:pPr>
              <w:spacing w:before="40" w:after="40"/>
              <w:jc w:val="both"/>
            </w:pPr>
            <w:r>
              <w:rPr>
                <w:b/>
                <w:bCs/>
                <w:i/>
                <w:iCs/>
                <w:sz w:val="18"/>
                <w:szCs w:val="18"/>
              </w:rPr>
              <w:t>Bibliografía complementaria:</w:t>
            </w:r>
          </w:p>
          <w:p w14:paraId="2B5120E6" w14:textId="77777777" w:rsidR="00990B14" w:rsidRDefault="00000000">
            <w:pPr>
              <w:numPr>
                <w:ilvl w:val="0"/>
                <w:numId w:val="140"/>
              </w:numPr>
              <w:spacing w:after="20"/>
              <w:jc w:val="both"/>
            </w:pPr>
            <w:r>
              <w:rPr>
                <w:sz w:val="18"/>
                <w:szCs w:val="18"/>
              </w:rPr>
              <w:t>Agencia Nacional de Hidrocarburos: https://www.anh.gob.bo y Ministerio de Hidrocarburos y Energías: https://www.mhe.gob.bo</w:t>
            </w:r>
          </w:p>
          <w:p w14:paraId="6267E674" w14:textId="77777777" w:rsidR="00990B14" w:rsidRDefault="00000000">
            <w:pPr>
              <w:numPr>
                <w:ilvl w:val="0"/>
                <w:numId w:val="140"/>
              </w:numPr>
              <w:spacing w:after="20"/>
              <w:jc w:val="both"/>
            </w:pPr>
            <w:r>
              <w:rPr>
                <w:sz w:val="18"/>
                <w:szCs w:val="18"/>
              </w:rPr>
              <w:t>Consejo de Normas Internacionales de Sostenibilidad (ISSB). NIIF S1 y NIIF S2, de aplicación en Bolivia desde el 1 de enero de 2027 por la Resolución CTNAC N.º 01/2024.</w:t>
            </w:r>
          </w:p>
          <w:p w14:paraId="4700D43F" w14:textId="77777777" w:rsidR="00990B14" w:rsidRDefault="00000000">
            <w:pPr>
              <w:numPr>
                <w:ilvl w:val="0"/>
                <w:numId w:val="140"/>
              </w:numPr>
              <w:spacing w:after="20"/>
              <w:jc w:val="both"/>
            </w:pPr>
            <w:r>
              <w:rPr>
                <w:sz w:val="18"/>
                <w:szCs w:val="18"/>
              </w:rPr>
              <w:t xml:space="preserve">Fowler Newton, E. (2001). </w:t>
            </w:r>
            <w:r>
              <w:rPr>
                <w:i/>
                <w:iCs/>
                <w:sz w:val="18"/>
                <w:szCs w:val="18"/>
              </w:rPr>
              <w:t>Cuestiones Contables Fundamentales</w:t>
            </w:r>
            <w:r>
              <w:rPr>
                <w:sz w:val="18"/>
                <w:szCs w:val="18"/>
              </w:rPr>
              <w:t>. Buenos Aires – Argentina: Ediciones Macchi.</w:t>
            </w:r>
          </w:p>
          <w:p w14:paraId="05DB4224" w14:textId="77777777" w:rsidR="00990B14" w:rsidRDefault="00000000">
            <w:pPr>
              <w:numPr>
                <w:ilvl w:val="0"/>
                <w:numId w:val="140"/>
              </w:numPr>
              <w:spacing w:after="20"/>
              <w:jc w:val="both"/>
            </w:pPr>
            <w:r>
              <w:rPr>
                <w:sz w:val="18"/>
                <w:szCs w:val="18"/>
              </w:rPr>
              <w:t>Páginas de internet especializadas en la industria minera y petrolera.</w:t>
            </w:r>
          </w:p>
          <w:p w14:paraId="47851CF8" w14:textId="77777777" w:rsidR="00990B14" w:rsidRDefault="00000000">
            <w:pPr>
              <w:numPr>
                <w:ilvl w:val="0"/>
                <w:numId w:val="140"/>
              </w:numPr>
              <w:spacing w:after="20"/>
              <w:jc w:val="both"/>
            </w:pPr>
            <w:r>
              <w:rPr>
                <w:sz w:val="18"/>
                <w:szCs w:val="18"/>
              </w:rPr>
              <w:t>Servicio Nacional de Registro y Control de la Comercialización de Minerales y Metales: https://www.senarecom.gob.bo</w:t>
            </w:r>
          </w:p>
          <w:p w14:paraId="58B53148" w14:textId="77777777" w:rsidR="00990B14" w:rsidRDefault="00000000">
            <w:pPr>
              <w:numPr>
                <w:ilvl w:val="0"/>
                <w:numId w:val="140"/>
              </w:numPr>
              <w:spacing w:after="20"/>
              <w:jc w:val="both"/>
            </w:pPr>
            <w:r>
              <w:rPr>
                <w:sz w:val="18"/>
                <w:szCs w:val="18"/>
              </w:rPr>
              <w:t>Yacimientos Petrolíferos Fiscales Bolivianos: https://www.ypfb.gob.bo</w:t>
            </w:r>
          </w:p>
        </w:tc>
      </w:tr>
    </w:tbl>
    <w:p w14:paraId="6FBF148E" w14:textId="77777777" w:rsidR="00990B14" w:rsidRDefault="00000000">
      <w:pPr>
        <w:pStyle w:val="TituloPlanAsignatura"/>
        <w:keepNext/>
        <w:pageBreakBefore/>
        <w:spacing w:after="120"/>
        <w:jc w:val="center"/>
        <w:outlineLvl w:val="2"/>
      </w:pPr>
      <w:bookmarkStart w:id="174" w:name="_Toc000000115"/>
      <w:r>
        <w:rPr>
          <w:b/>
          <w:bCs/>
          <w:sz w:val="24"/>
          <w:szCs w:val="24"/>
        </w:rPr>
        <w:t>CPA-402 Contabilidad Agrícola y Ganadera</w:t>
      </w:r>
      <w:bookmarkEnd w:id="174"/>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249"/>
        <w:gridCol w:w="1100"/>
        <w:gridCol w:w="149"/>
        <w:gridCol w:w="635"/>
        <w:gridCol w:w="615"/>
        <w:gridCol w:w="952"/>
        <w:gridCol w:w="298"/>
        <w:gridCol w:w="1250"/>
        <w:gridCol w:w="20"/>
        <w:gridCol w:w="385"/>
        <w:gridCol w:w="398"/>
        <w:gridCol w:w="447"/>
        <w:gridCol w:w="1907"/>
      </w:tblGrid>
      <w:tr w:rsidR="00990B14" w14:paraId="16CAA609" w14:textId="77777777">
        <w:trPr>
          <w:cantSplit/>
          <w:jc w:val="center"/>
        </w:trPr>
        <w:tc>
          <w:tcPr>
            <w:tcW w:w="2349" w:type="dxa"/>
            <w:gridSpan w:val="2"/>
            <w:shd w:val="clear" w:color="auto" w:fill="4472C4"/>
            <w:vAlign w:val="center"/>
          </w:tcPr>
          <w:p w14:paraId="108486EC" w14:textId="77777777" w:rsidR="00990B14" w:rsidRDefault="00000000">
            <w:pPr>
              <w:keepNext/>
              <w:spacing w:before="20" w:after="20"/>
              <w:jc w:val="center"/>
            </w:pPr>
            <w:r>
              <w:rPr>
                <w:b/>
                <w:bCs/>
                <w:i/>
                <w:iCs/>
                <w:color w:val="FFFFFF"/>
                <w:sz w:val="18"/>
                <w:szCs w:val="18"/>
              </w:rPr>
              <w:t>Asignatura</w:t>
            </w:r>
          </w:p>
        </w:tc>
        <w:tc>
          <w:tcPr>
            <w:tcW w:w="2351" w:type="dxa"/>
            <w:gridSpan w:val="4"/>
            <w:shd w:val="clear" w:color="auto" w:fill="4472C4"/>
            <w:vAlign w:val="center"/>
          </w:tcPr>
          <w:p w14:paraId="4738BE9C" w14:textId="77777777" w:rsidR="00990B14" w:rsidRDefault="00000000">
            <w:pPr>
              <w:keepNext/>
              <w:spacing w:before="20" w:after="20"/>
              <w:jc w:val="center"/>
            </w:pPr>
            <w:r>
              <w:rPr>
                <w:b/>
                <w:bCs/>
                <w:i/>
                <w:iCs/>
                <w:color w:val="FFFFFF"/>
                <w:sz w:val="18"/>
                <w:szCs w:val="18"/>
              </w:rPr>
              <w:t>Sigla</w:t>
            </w:r>
          </w:p>
        </w:tc>
        <w:tc>
          <w:tcPr>
            <w:tcW w:w="2351" w:type="dxa"/>
            <w:gridSpan w:val="5"/>
            <w:shd w:val="clear" w:color="auto" w:fill="4472C4"/>
            <w:vAlign w:val="center"/>
          </w:tcPr>
          <w:p w14:paraId="66F54D52" w14:textId="77777777" w:rsidR="00990B14" w:rsidRDefault="00000000">
            <w:pPr>
              <w:keepNext/>
              <w:spacing w:before="20" w:after="20"/>
              <w:jc w:val="center"/>
            </w:pPr>
            <w:r>
              <w:rPr>
                <w:b/>
                <w:bCs/>
                <w:i/>
                <w:iCs/>
                <w:color w:val="FFFFFF"/>
                <w:sz w:val="18"/>
                <w:szCs w:val="18"/>
              </w:rPr>
              <w:t>Nivel/Área</w:t>
            </w:r>
          </w:p>
        </w:tc>
        <w:tc>
          <w:tcPr>
            <w:tcW w:w="2354" w:type="dxa"/>
            <w:gridSpan w:val="2"/>
            <w:shd w:val="clear" w:color="auto" w:fill="4472C4"/>
            <w:vAlign w:val="center"/>
          </w:tcPr>
          <w:p w14:paraId="6BA43D25" w14:textId="77777777" w:rsidR="00990B14" w:rsidRDefault="00000000">
            <w:pPr>
              <w:keepNext/>
              <w:spacing w:before="20" w:after="20"/>
              <w:jc w:val="center"/>
            </w:pPr>
            <w:r>
              <w:rPr>
                <w:b/>
                <w:bCs/>
                <w:i/>
                <w:iCs/>
                <w:color w:val="FFFFFF"/>
                <w:sz w:val="18"/>
                <w:szCs w:val="18"/>
              </w:rPr>
              <w:t>Prerrequisito</w:t>
            </w:r>
          </w:p>
        </w:tc>
      </w:tr>
      <w:tr w:rsidR="00990B14" w14:paraId="377C3AC9" w14:textId="77777777">
        <w:trPr>
          <w:cantSplit/>
          <w:jc w:val="center"/>
        </w:trPr>
        <w:tc>
          <w:tcPr>
            <w:tcW w:w="2349" w:type="dxa"/>
            <w:gridSpan w:val="2"/>
            <w:shd w:val="clear" w:color="auto" w:fill="D9E2F3"/>
            <w:vAlign w:val="center"/>
          </w:tcPr>
          <w:p w14:paraId="775068D4" w14:textId="77777777" w:rsidR="00990B14" w:rsidRDefault="00000000">
            <w:pPr>
              <w:spacing w:before="20" w:after="20"/>
              <w:jc w:val="center"/>
            </w:pPr>
            <w:r>
              <w:rPr>
                <w:b/>
                <w:bCs/>
                <w:i/>
                <w:iCs/>
                <w:sz w:val="18"/>
                <w:szCs w:val="18"/>
              </w:rPr>
              <w:t>Contabilidad Agrícola y Ganadera</w:t>
            </w:r>
          </w:p>
        </w:tc>
        <w:tc>
          <w:tcPr>
            <w:tcW w:w="2351" w:type="dxa"/>
            <w:gridSpan w:val="4"/>
            <w:shd w:val="clear" w:color="auto" w:fill="D9E2F3"/>
            <w:vAlign w:val="center"/>
          </w:tcPr>
          <w:p w14:paraId="62D28ABE" w14:textId="77777777" w:rsidR="00990B14" w:rsidRDefault="00000000">
            <w:pPr>
              <w:spacing w:before="20" w:after="20"/>
              <w:jc w:val="center"/>
            </w:pPr>
            <w:r>
              <w:rPr>
                <w:b/>
                <w:bCs/>
                <w:i/>
                <w:iCs/>
                <w:sz w:val="18"/>
                <w:szCs w:val="18"/>
              </w:rPr>
              <w:t>CPA-402</w:t>
            </w:r>
          </w:p>
        </w:tc>
        <w:tc>
          <w:tcPr>
            <w:tcW w:w="2351" w:type="dxa"/>
            <w:gridSpan w:val="5"/>
            <w:shd w:val="clear" w:color="auto" w:fill="D9E2F3"/>
            <w:vAlign w:val="center"/>
          </w:tcPr>
          <w:p w14:paraId="4221936F" w14:textId="77777777" w:rsidR="00990B14" w:rsidRDefault="00000000">
            <w:pPr>
              <w:spacing w:before="20" w:after="20"/>
              <w:jc w:val="center"/>
            </w:pPr>
            <w:r>
              <w:rPr>
                <w:b/>
                <w:bCs/>
                <w:i/>
                <w:iCs/>
                <w:sz w:val="18"/>
                <w:szCs w:val="18"/>
              </w:rPr>
              <w:t>Información Financiera</w:t>
            </w:r>
          </w:p>
        </w:tc>
        <w:tc>
          <w:tcPr>
            <w:tcW w:w="2354" w:type="dxa"/>
            <w:gridSpan w:val="2"/>
            <w:shd w:val="clear" w:color="auto" w:fill="D9E2F3"/>
            <w:vAlign w:val="center"/>
          </w:tcPr>
          <w:p w14:paraId="1D21DF32" w14:textId="77777777" w:rsidR="00990B14" w:rsidRDefault="00000000">
            <w:pPr>
              <w:spacing w:before="20" w:after="20"/>
              <w:jc w:val="center"/>
            </w:pPr>
            <w:r>
              <w:rPr>
                <w:b/>
                <w:bCs/>
                <w:i/>
                <w:iCs/>
                <w:sz w:val="18"/>
                <w:szCs w:val="18"/>
              </w:rPr>
              <w:t>CPA-301, CPA-302</w:t>
            </w:r>
          </w:p>
        </w:tc>
      </w:tr>
      <w:tr w:rsidR="00990B14" w14:paraId="1658136F" w14:textId="77777777">
        <w:trPr>
          <w:cantSplit/>
          <w:jc w:val="center"/>
        </w:trPr>
        <w:tc>
          <w:tcPr>
            <w:tcW w:w="7498" w:type="dxa"/>
            <w:gridSpan w:val="12"/>
            <w:shd w:val="clear" w:color="auto" w:fill="4472C4"/>
            <w:vAlign w:val="center"/>
          </w:tcPr>
          <w:p w14:paraId="33E7FEA5" w14:textId="77777777" w:rsidR="00990B14" w:rsidRDefault="00000000">
            <w:pPr>
              <w:keepNext/>
              <w:spacing w:before="20" w:after="20"/>
              <w:jc w:val="center"/>
            </w:pPr>
            <w:r>
              <w:rPr>
                <w:b/>
                <w:bCs/>
                <w:i/>
                <w:iCs/>
                <w:color w:val="FFFFFF"/>
                <w:sz w:val="18"/>
                <w:szCs w:val="18"/>
              </w:rPr>
              <w:t>Carga Horaria</w:t>
            </w:r>
          </w:p>
        </w:tc>
        <w:tc>
          <w:tcPr>
            <w:tcW w:w="1907" w:type="dxa"/>
            <w:shd w:val="clear" w:color="auto" w:fill="4472C4"/>
            <w:vAlign w:val="center"/>
          </w:tcPr>
          <w:p w14:paraId="6620E0AC" w14:textId="77777777" w:rsidR="00990B14" w:rsidRDefault="00000000">
            <w:pPr>
              <w:keepNext/>
              <w:spacing w:before="20" w:after="20"/>
              <w:jc w:val="center"/>
            </w:pPr>
            <w:r>
              <w:rPr>
                <w:b/>
                <w:bCs/>
                <w:i/>
                <w:iCs/>
                <w:color w:val="FFFFFF"/>
                <w:sz w:val="18"/>
                <w:szCs w:val="18"/>
              </w:rPr>
              <w:t>Créditos</w:t>
            </w:r>
          </w:p>
        </w:tc>
      </w:tr>
      <w:tr w:rsidR="00990B14" w14:paraId="30A5877A" w14:textId="77777777">
        <w:trPr>
          <w:cantSplit/>
          <w:jc w:val="center"/>
        </w:trPr>
        <w:tc>
          <w:tcPr>
            <w:tcW w:w="1249" w:type="dxa"/>
            <w:shd w:val="clear" w:color="auto" w:fill="4472C4"/>
            <w:vAlign w:val="center"/>
          </w:tcPr>
          <w:p w14:paraId="4BEE40D8" w14:textId="77777777" w:rsidR="00990B14" w:rsidRDefault="00000000">
            <w:pPr>
              <w:keepNext/>
              <w:spacing w:before="20" w:after="20"/>
              <w:jc w:val="center"/>
            </w:pPr>
            <w:r>
              <w:rPr>
                <w:b/>
                <w:bCs/>
                <w:i/>
                <w:iCs/>
                <w:color w:val="FFFFFF"/>
                <w:sz w:val="18"/>
                <w:szCs w:val="18"/>
              </w:rPr>
              <w:t>HP</w:t>
            </w:r>
          </w:p>
        </w:tc>
        <w:tc>
          <w:tcPr>
            <w:tcW w:w="1249" w:type="dxa"/>
            <w:gridSpan w:val="2"/>
            <w:shd w:val="clear" w:color="auto" w:fill="4472C4"/>
            <w:vAlign w:val="center"/>
          </w:tcPr>
          <w:p w14:paraId="0E3A8F2A" w14:textId="77777777" w:rsidR="00990B14" w:rsidRDefault="00000000">
            <w:pPr>
              <w:keepNext/>
              <w:spacing w:before="20" w:after="20"/>
              <w:jc w:val="center"/>
            </w:pPr>
            <w:r>
              <w:rPr>
                <w:b/>
                <w:bCs/>
                <w:i/>
                <w:iCs/>
                <w:color w:val="FFFFFF"/>
                <w:sz w:val="18"/>
                <w:szCs w:val="18"/>
              </w:rPr>
              <w:t>HAA</w:t>
            </w:r>
          </w:p>
        </w:tc>
        <w:tc>
          <w:tcPr>
            <w:tcW w:w="1250" w:type="dxa"/>
            <w:gridSpan w:val="2"/>
            <w:shd w:val="clear" w:color="auto" w:fill="4472C4"/>
            <w:vAlign w:val="center"/>
          </w:tcPr>
          <w:p w14:paraId="7792F8EC" w14:textId="77777777" w:rsidR="00990B14" w:rsidRDefault="00000000">
            <w:pPr>
              <w:keepNext/>
              <w:spacing w:before="20" w:after="20"/>
              <w:jc w:val="center"/>
            </w:pPr>
            <w:r>
              <w:rPr>
                <w:b/>
                <w:bCs/>
                <w:i/>
                <w:iCs/>
                <w:color w:val="FFFFFF"/>
                <w:sz w:val="18"/>
                <w:szCs w:val="18"/>
              </w:rPr>
              <w:t>HTG</w:t>
            </w:r>
          </w:p>
        </w:tc>
        <w:tc>
          <w:tcPr>
            <w:tcW w:w="1250" w:type="dxa"/>
            <w:gridSpan w:val="2"/>
            <w:shd w:val="clear" w:color="auto" w:fill="4472C4"/>
            <w:vAlign w:val="center"/>
          </w:tcPr>
          <w:p w14:paraId="5C647E8D" w14:textId="77777777" w:rsidR="00990B14" w:rsidRDefault="00000000">
            <w:pPr>
              <w:keepNext/>
              <w:spacing w:before="20" w:after="20"/>
              <w:jc w:val="center"/>
            </w:pPr>
            <w:r>
              <w:rPr>
                <w:b/>
                <w:bCs/>
                <w:i/>
                <w:iCs/>
                <w:color w:val="FFFFFF"/>
                <w:sz w:val="18"/>
                <w:szCs w:val="18"/>
              </w:rPr>
              <w:t>HIP</w:t>
            </w:r>
          </w:p>
        </w:tc>
        <w:tc>
          <w:tcPr>
            <w:tcW w:w="1250" w:type="dxa"/>
            <w:shd w:val="clear" w:color="auto" w:fill="4472C4"/>
            <w:vAlign w:val="center"/>
          </w:tcPr>
          <w:p w14:paraId="1657DB24" w14:textId="77777777" w:rsidR="00990B14" w:rsidRDefault="00000000">
            <w:pPr>
              <w:keepNext/>
              <w:spacing w:before="20" w:after="20"/>
              <w:jc w:val="center"/>
            </w:pPr>
            <w:r>
              <w:rPr>
                <w:b/>
                <w:bCs/>
                <w:i/>
                <w:iCs/>
                <w:color w:val="FFFFFF"/>
                <w:sz w:val="18"/>
                <w:szCs w:val="18"/>
              </w:rPr>
              <w:t>HE</w:t>
            </w:r>
          </w:p>
        </w:tc>
        <w:tc>
          <w:tcPr>
            <w:tcW w:w="1250" w:type="dxa"/>
            <w:gridSpan w:val="4"/>
            <w:shd w:val="clear" w:color="auto" w:fill="4472C4"/>
            <w:vAlign w:val="center"/>
          </w:tcPr>
          <w:p w14:paraId="437EA77B" w14:textId="77777777" w:rsidR="00990B14" w:rsidRDefault="00000000">
            <w:pPr>
              <w:keepNext/>
              <w:spacing w:before="20" w:after="20"/>
              <w:jc w:val="center"/>
            </w:pPr>
            <w:r>
              <w:rPr>
                <w:b/>
                <w:bCs/>
                <w:i/>
                <w:iCs/>
                <w:color w:val="FFFFFF"/>
                <w:sz w:val="18"/>
                <w:szCs w:val="18"/>
              </w:rPr>
              <w:t>TOTAL</w:t>
            </w:r>
          </w:p>
        </w:tc>
        <w:tc>
          <w:tcPr>
            <w:tcW w:w="1907" w:type="dxa"/>
            <w:vMerge w:val="restart"/>
            <w:shd w:val="clear" w:color="auto" w:fill="D9E2F3"/>
            <w:vAlign w:val="center"/>
          </w:tcPr>
          <w:p w14:paraId="6CEBE462" w14:textId="77777777" w:rsidR="00990B14" w:rsidRDefault="00000000">
            <w:pPr>
              <w:spacing w:before="20" w:after="20"/>
              <w:jc w:val="center"/>
            </w:pPr>
            <w:r>
              <w:rPr>
                <w:sz w:val="18"/>
                <w:szCs w:val="18"/>
              </w:rPr>
              <w:t>7</w:t>
            </w:r>
          </w:p>
        </w:tc>
      </w:tr>
      <w:tr w:rsidR="00990B14" w14:paraId="1BBE7513" w14:textId="77777777">
        <w:trPr>
          <w:cantSplit/>
          <w:jc w:val="center"/>
        </w:trPr>
        <w:tc>
          <w:tcPr>
            <w:tcW w:w="1249" w:type="dxa"/>
            <w:shd w:val="clear" w:color="auto" w:fill="D9E2F3"/>
            <w:vAlign w:val="center"/>
          </w:tcPr>
          <w:p w14:paraId="594B212B" w14:textId="77777777" w:rsidR="00990B14" w:rsidRDefault="00000000">
            <w:pPr>
              <w:spacing w:before="20" w:after="20"/>
              <w:jc w:val="center"/>
            </w:pPr>
            <w:r>
              <w:rPr>
                <w:sz w:val="18"/>
                <w:szCs w:val="18"/>
              </w:rPr>
              <w:t>160</w:t>
            </w:r>
          </w:p>
        </w:tc>
        <w:tc>
          <w:tcPr>
            <w:tcW w:w="1249" w:type="dxa"/>
            <w:gridSpan w:val="2"/>
            <w:shd w:val="clear" w:color="auto" w:fill="D9E2F3"/>
            <w:vAlign w:val="center"/>
          </w:tcPr>
          <w:p w14:paraId="32446442" w14:textId="77777777" w:rsidR="00990B14" w:rsidRDefault="00000000">
            <w:pPr>
              <w:spacing w:before="20" w:after="20"/>
              <w:jc w:val="center"/>
            </w:pPr>
            <w:r>
              <w:rPr>
                <w:sz w:val="18"/>
                <w:szCs w:val="18"/>
              </w:rPr>
              <w:t>6</w:t>
            </w:r>
          </w:p>
        </w:tc>
        <w:tc>
          <w:tcPr>
            <w:tcW w:w="1250" w:type="dxa"/>
            <w:gridSpan w:val="2"/>
            <w:shd w:val="clear" w:color="auto" w:fill="D9E2F3"/>
            <w:vAlign w:val="center"/>
          </w:tcPr>
          <w:p w14:paraId="04C71890" w14:textId="77777777" w:rsidR="00990B14" w:rsidRDefault="00000000">
            <w:pPr>
              <w:spacing w:before="20" w:after="20"/>
              <w:jc w:val="center"/>
            </w:pPr>
            <w:r>
              <w:rPr>
                <w:sz w:val="18"/>
                <w:szCs w:val="18"/>
              </w:rPr>
              <w:t>6</w:t>
            </w:r>
          </w:p>
        </w:tc>
        <w:tc>
          <w:tcPr>
            <w:tcW w:w="1250" w:type="dxa"/>
            <w:gridSpan w:val="2"/>
            <w:shd w:val="clear" w:color="auto" w:fill="D9E2F3"/>
            <w:vAlign w:val="center"/>
          </w:tcPr>
          <w:p w14:paraId="650604F5" w14:textId="77777777" w:rsidR="00990B14" w:rsidRDefault="00000000">
            <w:pPr>
              <w:spacing w:before="20" w:after="20"/>
              <w:jc w:val="center"/>
            </w:pPr>
            <w:r>
              <w:rPr>
                <w:sz w:val="18"/>
                <w:szCs w:val="18"/>
              </w:rPr>
              <w:t>13</w:t>
            </w:r>
          </w:p>
        </w:tc>
        <w:tc>
          <w:tcPr>
            <w:tcW w:w="1250" w:type="dxa"/>
            <w:shd w:val="clear" w:color="auto" w:fill="D9E2F3"/>
            <w:vAlign w:val="center"/>
          </w:tcPr>
          <w:p w14:paraId="32F91122" w14:textId="77777777" w:rsidR="00990B14" w:rsidRDefault="00000000">
            <w:pPr>
              <w:spacing w:before="20" w:after="20"/>
              <w:jc w:val="center"/>
            </w:pPr>
            <w:r>
              <w:rPr>
                <w:sz w:val="18"/>
                <w:szCs w:val="18"/>
              </w:rPr>
              <w:t>25</w:t>
            </w:r>
          </w:p>
        </w:tc>
        <w:tc>
          <w:tcPr>
            <w:tcW w:w="1250" w:type="dxa"/>
            <w:gridSpan w:val="4"/>
            <w:shd w:val="clear" w:color="auto" w:fill="D9E2F3"/>
            <w:vAlign w:val="center"/>
          </w:tcPr>
          <w:p w14:paraId="18130EEF" w14:textId="77777777" w:rsidR="00990B14" w:rsidRDefault="00000000">
            <w:pPr>
              <w:spacing w:before="20" w:after="20"/>
              <w:jc w:val="center"/>
            </w:pPr>
            <w:r>
              <w:rPr>
                <w:sz w:val="18"/>
                <w:szCs w:val="18"/>
              </w:rPr>
              <w:t>210</w:t>
            </w:r>
          </w:p>
        </w:tc>
        <w:tc>
          <w:tcPr>
            <w:tcW w:w="1907" w:type="dxa"/>
            <w:vMerge/>
            <w:shd w:val="clear" w:color="auto" w:fill="D9E2F3"/>
            <w:vAlign w:val="center"/>
          </w:tcPr>
          <w:p w14:paraId="2E30A88A" w14:textId="77777777" w:rsidR="00990B14" w:rsidRDefault="00990B14">
            <w:pPr>
              <w:spacing w:before="20" w:after="20"/>
            </w:pPr>
          </w:p>
        </w:tc>
      </w:tr>
      <w:tr w:rsidR="00990B14" w14:paraId="71C6EDA1" w14:textId="77777777">
        <w:trPr>
          <w:cantSplit/>
          <w:jc w:val="center"/>
        </w:trPr>
        <w:tc>
          <w:tcPr>
            <w:tcW w:w="9405" w:type="dxa"/>
            <w:gridSpan w:val="13"/>
            <w:shd w:val="clear" w:color="auto" w:fill="4472C4"/>
            <w:vAlign w:val="center"/>
          </w:tcPr>
          <w:p w14:paraId="749E238E" w14:textId="77777777" w:rsidR="00990B14" w:rsidRDefault="00000000">
            <w:pPr>
              <w:keepNext/>
              <w:spacing w:before="20" w:after="20"/>
              <w:jc w:val="center"/>
            </w:pPr>
            <w:r>
              <w:rPr>
                <w:b/>
                <w:bCs/>
                <w:i/>
                <w:iCs/>
                <w:color w:val="FFFFFF"/>
                <w:sz w:val="18"/>
                <w:szCs w:val="18"/>
              </w:rPr>
              <w:t>Unidad de Competencia</w:t>
            </w:r>
          </w:p>
        </w:tc>
      </w:tr>
      <w:tr w:rsidR="00990B14" w14:paraId="7AECC254" w14:textId="77777777">
        <w:trPr>
          <w:cantSplit/>
          <w:jc w:val="center"/>
        </w:trPr>
        <w:tc>
          <w:tcPr>
            <w:tcW w:w="9405" w:type="dxa"/>
            <w:gridSpan w:val="13"/>
            <w:shd w:val="clear" w:color="auto" w:fill="D9E2F3"/>
            <w:vAlign w:val="center"/>
          </w:tcPr>
          <w:p w14:paraId="77971AD1" w14:textId="77777777" w:rsidR="00990B14" w:rsidRDefault="00000000">
            <w:pPr>
              <w:spacing w:before="20" w:after="20"/>
              <w:jc w:val="both"/>
            </w:pPr>
            <w:r>
              <w:rPr>
                <w:sz w:val="18"/>
                <w:szCs w:val="18"/>
              </w:rPr>
              <w:t>Elabora los estados financieros de las empresas agrícolas y ganaderas conforme a las normas de contabilidad y las disposiciones legales vigentes en Bolivia, explicando los fundamentos y la administración de la empresa agropecuaria, determinando las obligaciones del régimen impositivo agropecuario, describiendo los procesos de producción agrícola y ganadera, registrando las operaciones contables de ambas actividades, determinando los costos de producción con hojas de costos en hoja de cálculo y aplicando NC y NIIF y herramientas tecnológicas, con sentido crítico ante el riesgo climático y de mercado, ética profesional y atención al desempeño ambiental y social del sector.</w:t>
            </w:r>
          </w:p>
        </w:tc>
      </w:tr>
      <w:tr w:rsidR="00990B14" w14:paraId="498EDA5A" w14:textId="77777777">
        <w:trPr>
          <w:cantSplit/>
          <w:jc w:val="center"/>
        </w:trPr>
        <w:tc>
          <w:tcPr>
            <w:tcW w:w="9405" w:type="dxa"/>
            <w:gridSpan w:val="13"/>
            <w:shd w:val="clear" w:color="auto" w:fill="D9E2F3"/>
            <w:vAlign w:val="center"/>
          </w:tcPr>
          <w:p w14:paraId="67E7FAD6" w14:textId="77777777" w:rsidR="00990B14" w:rsidRDefault="00000000">
            <w:pPr>
              <w:spacing w:before="20" w:after="20"/>
              <w:jc w:val="both"/>
            </w:pPr>
            <w:r>
              <w:rPr>
                <w:b/>
                <w:bCs/>
                <w:i/>
                <w:iCs/>
                <w:sz w:val="18"/>
                <w:szCs w:val="18"/>
              </w:rPr>
              <w:t xml:space="preserve">Elemento de competencia 1: </w:t>
            </w:r>
            <w:r>
              <w:rPr>
                <w:sz w:val="18"/>
                <w:szCs w:val="18"/>
              </w:rPr>
              <w:t>Explica los fundamentos y la administración de la empresa agropecuaria, relacionando sus elementos de producción con las instituciones y el capital del sector en Bolivia.</w:t>
            </w:r>
          </w:p>
        </w:tc>
      </w:tr>
      <w:tr w:rsidR="00990B14" w14:paraId="0287160A" w14:textId="77777777">
        <w:trPr>
          <w:cantSplit/>
          <w:jc w:val="center"/>
        </w:trPr>
        <w:tc>
          <w:tcPr>
            <w:tcW w:w="3133" w:type="dxa"/>
            <w:gridSpan w:val="4"/>
            <w:shd w:val="clear" w:color="auto" w:fill="4472C4"/>
            <w:vAlign w:val="center"/>
          </w:tcPr>
          <w:p w14:paraId="085B9D25"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3DA83DE1"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7A5AA55F" w14:textId="77777777" w:rsidR="00990B14" w:rsidRDefault="00000000">
            <w:pPr>
              <w:keepNext/>
              <w:spacing w:before="20" w:after="20"/>
              <w:jc w:val="center"/>
            </w:pPr>
            <w:r>
              <w:rPr>
                <w:b/>
                <w:bCs/>
                <w:i/>
                <w:iCs/>
                <w:color w:val="FFFFFF"/>
                <w:sz w:val="18"/>
                <w:szCs w:val="18"/>
              </w:rPr>
              <w:t>Evidencias de producto</w:t>
            </w:r>
          </w:p>
        </w:tc>
      </w:tr>
      <w:tr w:rsidR="00990B14" w14:paraId="26AA3200" w14:textId="77777777">
        <w:trPr>
          <w:cantSplit/>
          <w:jc w:val="center"/>
        </w:trPr>
        <w:tc>
          <w:tcPr>
            <w:tcW w:w="3133" w:type="dxa"/>
            <w:gridSpan w:val="4"/>
            <w:vMerge w:val="restart"/>
            <w:shd w:val="clear" w:color="auto" w:fill="D9E2F3"/>
            <w:vAlign w:val="center"/>
          </w:tcPr>
          <w:p w14:paraId="13654019" w14:textId="77777777" w:rsidR="00990B14" w:rsidRDefault="00000000">
            <w:pPr>
              <w:spacing w:before="20" w:after="20"/>
              <w:jc w:val="both"/>
            </w:pPr>
            <w:r>
              <w:rPr>
                <w:sz w:val="18"/>
                <w:szCs w:val="18"/>
              </w:rPr>
              <w:t>1. Analiza los fundamentos y la administración de la empresa agropecuaria, diferenciando su capital y sus elementos de producción de los de la actividad comercial e industrial.</w:t>
            </w:r>
          </w:p>
        </w:tc>
        <w:tc>
          <w:tcPr>
            <w:tcW w:w="3135" w:type="dxa"/>
            <w:gridSpan w:val="5"/>
            <w:shd w:val="clear" w:color="auto" w:fill="D9E2F3"/>
            <w:vAlign w:val="center"/>
          </w:tcPr>
          <w:p w14:paraId="2E58B6FB" w14:textId="77777777" w:rsidR="00990B14" w:rsidRDefault="00000000">
            <w:pPr>
              <w:spacing w:before="20" w:after="20"/>
              <w:jc w:val="both"/>
            </w:pPr>
            <w:r>
              <w:rPr>
                <w:sz w:val="18"/>
                <w:szCs w:val="18"/>
              </w:rPr>
              <w:t>1.1 Expone en equipo la estructura del capital y los elementos de producción de una empresa agropecuaria.</w:t>
            </w:r>
          </w:p>
        </w:tc>
        <w:tc>
          <w:tcPr>
            <w:tcW w:w="3137" w:type="dxa"/>
            <w:gridSpan w:val="4"/>
            <w:shd w:val="clear" w:color="auto" w:fill="D9E2F3"/>
            <w:vAlign w:val="center"/>
          </w:tcPr>
          <w:p w14:paraId="1C7098FF" w14:textId="77777777" w:rsidR="00990B14" w:rsidRDefault="00000000">
            <w:pPr>
              <w:spacing w:before="20" w:after="20"/>
              <w:jc w:val="both"/>
            </w:pPr>
            <w:r>
              <w:rPr>
                <w:b/>
                <w:bCs/>
                <w:sz w:val="18"/>
                <w:szCs w:val="18"/>
              </w:rPr>
              <w:t xml:space="preserve">Producto 1: </w:t>
            </w:r>
            <w:r>
              <w:rPr>
                <w:sz w:val="18"/>
                <w:szCs w:val="18"/>
              </w:rPr>
              <w:t>Esquema del capital y de los elementos de producción de una empresa agropecuaria.</w:t>
            </w:r>
          </w:p>
        </w:tc>
      </w:tr>
      <w:tr w:rsidR="00990B14" w14:paraId="2C462D9A" w14:textId="77777777">
        <w:trPr>
          <w:cantSplit/>
          <w:jc w:val="center"/>
        </w:trPr>
        <w:tc>
          <w:tcPr>
            <w:tcW w:w="3133" w:type="dxa"/>
            <w:gridSpan w:val="4"/>
            <w:vMerge/>
            <w:shd w:val="clear" w:color="auto" w:fill="D9E2F3"/>
            <w:vAlign w:val="center"/>
          </w:tcPr>
          <w:p w14:paraId="6A4CE8CA" w14:textId="77777777" w:rsidR="00990B14" w:rsidRDefault="00990B14">
            <w:pPr>
              <w:spacing w:before="20" w:after="20"/>
            </w:pPr>
          </w:p>
        </w:tc>
        <w:tc>
          <w:tcPr>
            <w:tcW w:w="3135" w:type="dxa"/>
            <w:gridSpan w:val="5"/>
            <w:shd w:val="clear" w:color="auto" w:fill="D9E2F3"/>
            <w:vAlign w:val="center"/>
          </w:tcPr>
          <w:p w14:paraId="238B6F77" w14:textId="77777777" w:rsidR="00990B14" w:rsidRDefault="00000000">
            <w:pPr>
              <w:spacing w:before="20" w:after="20"/>
              <w:jc w:val="both"/>
            </w:pPr>
            <w:r>
              <w:rPr>
                <w:sz w:val="18"/>
                <w:szCs w:val="18"/>
              </w:rPr>
              <w:t>1.2 Compara en aula la actividad agropecuaria empresarial con la actividad comercial e industrial.</w:t>
            </w:r>
          </w:p>
        </w:tc>
        <w:tc>
          <w:tcPr>
            <w:tcW w:w="3137" w:type="dxa"/>
            <w:gridSpan w:val="4"/>
            <w:shd w:val="clear" w:color="auto" w:fill="D9E2F3"/>
            <w:vAlign w:val="center"/>
          </w:tcPr>
          <w:p w14:paraId="373FF927" w14:textId="77777777" w:rsidR="00990B14" w:rsidRDefault="00000000">
            <w:pPr>
              <w:spacing w:before="20" w:after="20"/>
              <w:jc w:val="both"/>
            </w:pPr>
            <w:r>
              <w:rPr>
                <w:b/>
                <w:bCs/>
                <w:sz w:val="18"/>
                <w:szCs w:val="18"/>
              </w:rPr>
              <w:t xml:space="preserve">Producto 2: </w:t>
            </w:r>
            <w:r>
              <w:rPr>
                <w:sz w:val="18"/>
                <w:szCs w:val="18"/>
              </w:rPr>
              <w:t>Cuadro comparativo de la actividad agropecuaria frente a la actividad comercial e industrial.</w:t>
            </w:r>
          </w:p>
        </w:tc>
      </w:tr>
      <w:tr w:rsidR="00990B14" w14:paraId="57D5FDCD" w14:textId="77777777">
        <w:trPr>
          <w:cantSplit/>
          <w:jc w:val="center"/>
        </w:trPr>
        <w:tc>
          <w:tcPr>
            <w:tcW w:w="3133" w:type="dxa"/>
            <w:gridSpan w:val="4"/>
            <w:vMerge w:val="restart"/>
            <w:shd w:val="clear" w:color="auto" w:fill="D9E2F3"/>
            <w:vAlign w:val="center"/>
          </w:tcPr>
          <w:p w14:paraId="1B503E05" w14:textId="77777777" w:rsidR="00990B14" w:rsidRDefault="00000000">
            <w:pPr>
              <w:spacing w:before="20" w:after="20"/>
              <w:jc w:val="both"/>
            </w:pPr>
            <w:r>
              <w:rPr>
                <w:sz w:val="18"/>
                <w:szCs w:val="18"/>
              </w:rPr>
              <w:t>2. Evalúa la exposición de una empresa agropecuaria a los riesgos climático y de precio, identificando las instituciones y los instrumentos de cobertura del sector.</w:t>
            </w:r>
          </w:p>
        </w:tc>
        <w:tc>
          <w:tcPr>
            <w:tcW w:w="3135" w:type="dxa"/>
            <w:gridSpan w:val="5"/>
            <w:shd w:val="clear" w:color="auto" w:fill="D9E2F3"/>
            <w:vAlign w:val="center"/>
          </w:tcPr>
          <w:p w14:paraId="70680DD2" w14:textId="77777777" w:rsidR="00990B14" w:rsidRDefault="00000000">
            <w:pPr>
              <w:spacing w:before="20" w:after="20"/>
              <w:jc w:val="both"/>
            </w:pPr>
            <w:r>
              <w:rPr>
                <w:sz w:val="18"/>
                <w:szCs w:val="18"/>
              </w:rPr>
              <w:t>2.1 Analiza en equipo los riesgos de una explotación agropecuaria y los seguros y financiamientos disponibles.</w:t>
            </w:r>
          </w:p>
        </w:tc>
        <w:tc>
          <w:tcPr>
            <w:tcW w:w="3137" w:type="dxa"/>
            <w:gridSpan w:val="4"/>
            <w:shd w:val="clear" w:color="auto" w:fill="D9E2F3"/>
            <w:vAlign w:val="center"/>
          </w:tcPr>
          <w:p w14:paraId="62E7207B" w14:textId="77777777" w:rsidR="00990B14" w:rsidRDefault="00000000">
            <w:pPr>
              <w:spacing w:before="20" w:after="20"/>
              <w:jc w:val="both"/>
            </w:pPr>
            <w:r>
              <w:rPr>
                <w:b/>
                <w:bCs/>
                <w:sz w:val="18"/>
                <w:szCs w:val="18"/>
              </w:rPr>
              <w:t xml:space="preserve">Producto 3: </w:t>
            </w:r>
            <w:r>
              <w:rPr>
                <w:sz w:val="18"/>
                <w:szCs w:val="18"/>
              </w:rPr>
              <w:t>Matriz de riesgos de una explotación agropecuaria con sus instrumentos de cobertura.</w:t>
            </w:r>
          </w:p>
        </w:tc>
      </w:tr>
      <w:tr w:rsidR="00990B14" w14:paraId="24B3FAE5" w14:textId="77777777">
        <w:trPr>
          <w:cantSplit/>
          <w:jc w:val="center"/>
        </w:trPr>
        <w:tc>
          <w:tcPr>
            <w:tcW w:w="3133" w:type="dxa"/>
            <w:gridSpan w:val="4"/>
            <w:vMerge/>
            <w:shd w:val="clear" w:color="auto" w:fill="D9E2F3"/>
            <w:vAlign w:val="center"/>
          </w:tcPr>
          <w:p w14:paraId="4776899F" w14:textId="77777777" w:rsidR="00990B14" w:rsidRDefault="00990B14">
            <w:pPr>
              <w:spacing w:before="20" w:after="20"/>
            </w:pPr>
          </w:p>
        </w:tc>
        <w:tc>
          <w:tcPr>
            <w:tcW w:w="3135" w:type="dxa"/>
            <w:gridSpan w:val="5"/>
            <w:shd w:val="clear" w:color="auto" w:fill="D9E2F3"/>
            <w:vAlign w:val="center"/>
          </w:tcPr>
          <w:p w14:paraId="298A8509" w14:textId="77777777" w:rsidR="00990B14" w:rsidRDefault="00000000">
            <w:pPr>
              <w:spacing w:before="20" w:after="20"/>
              <w:jc w:val="both"/>
            </w:pPr>
            <w:r>
              <w:rPr>
                <w:sz w:val="18"/>
                <w:szCs w:val="18"/>
              </w:rPr>
              <w:t>2.2 Identifica en aula las instituciones del sector agropecuario y sus funciones de registro, sanidad y certificación.</w:t>
            </w:r>
          </w:p>
        </w:tc>
        <w:tc>
          <w:tcPr>
            <w:tcW w:w="3137" w:type="dxa"/>
            <w:gridSpan w:val="4"/>
            <w:shd w:val="clear" w:color="auto" w:fill="D9E2F3"/>
            <w:vAlign w:val="center"/>
          </w:tcPr>
          <w:p w14:paraId="421E6FCE" w14:textId="77777777" w:rsidR="00990B14" w:rsidRDefault="00000000">
            <w:pPr>
              <w:spacing w:before="20" w:after="20"/>
              <w:jc w:val="both"/>
            </w:pPr>
            <w:r>
              <w:rPr>
                <w:b/>
                <w:bCs/>
                <w:sz w:val="18"/>
                <w:szCs w:val="18"/>
              </w:rPr>
              <w:t xml:space="preserve">Producto 4: </w:t>
            </w:r>
            <w:r>
              <w:rPr>
                <w:sz w:val="18"/>
                <w:szCs w:val="18"/>
              </w:rPr>
              <w:t>Mapa institucional del sector agropecuario boliviano.</w:t>
            </w:r>
          </w:p>
        </w:tc>
      </w:tr>
      <w:tr w:rsidR="00990B14" w14:paraId="2D46C933" w14:textId="77777777">
        <w:trPr>
          <w:cantSplit/>
          <w:jc w:val="center"/>
        </w:trPr>
        <w:tc>
          <w:tcPr>
            <w:tcW w:w="9405" w:type="dxa"/>
            <w:gridSpan w:val="13"/>
            <w:shd w:val="clear" w:color="auto" w:fill="4472C4"/>
            <w:vAlign w:val="center"/>
          </w:tcPr>
          <w:p w14:paraId="27ACDA7E" w14:textId="77777777" w:rsidR="00990B14" w:rsidRDefault="00000000">
            <w:pPr>
              <w:keepNext/>
              <w:spacing w:before="20" w:after="20"/>
              <w:jc w:val="center"/>
            </w:pPr>
            <w:r>
              <w:rPr>
                <w:b/>
                <w:bCs/>
                <w:i/>
                <w:iCs/>
                <w:color w:val="FFFFFF"/>
                <w:sz w:val="18"/>
                <w:szCs w:val="18"/>
              </w:rPr>
              <w:t>Evidencias de conocimiento</w:t>
            </w:r>
          </w:p>
        </w:tc>
      </w:tr>
      <w:tr w:rsidR="00990B14" w14:paraId="4A1836D2" w14:textId="77777777">
        <w:trPr>
          <w:cantSplit/>
          <w:jc w:val="center"/>
        </w:trPr>
        <w:tc>
          <w:tcPr>
            <w:tcW w:w="2349" w:type="dxa"/>
            <w:gridSpan w:val="2"/>
            <w:shd w:val="clear" w:color="auto" w:fill="4472C4"/>
            <w:vAlign w:val="center"/>
          </w:tcPr>
          <w:p w14:paraId="0FA17090"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3F67FF48" w14:textId="77777777" w:rsidR="00990B14" w:rsidRDefault="00000000">
            <w:pPr>
              <w:keepNext/>
              <w:spacing w:before="20" w:after="20"/>
              <w:jc w:val="both"/>
            </w:pPr>
            <w:r>
              <w:rPr>
                <w:b/>
                <w:bCs/>
                <w:i/>
                <w:iCs/>
                <w:color w:val="FFFFFF"/>
                <w:sz w:val="18"/>
                <w:szCs w:val="18"/>
              </w:rPr>
              <w:t>Contenidos</w:t>
            </w:r>
          </w:p>
          <w:p w14:paraId="13B94520"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459D998B" w14:textId="77777777" w:rsidR="00990B14" w:rsidRDefault="00000000">
            <w:pPr>
              <w:keepNext/>
              <w:spacing w:before="20" w:after="20"/>
              <w:jc w:val="center"/>
            </w:pPr>
            <w:r>
              <w:rPr>
                <w:b/>
                <w:bCs/>
                <w:i/>
                <w:iCs/>
                <w:color w:val="FFFFFF"/>
                <w:sz w:val="18"/>
                <w:szCs w:val="18"/>
              </w:rPr>
              <w:t>Conocimientos circunstanciales</w:t>
            </w:r>
          </w:p>
        </w:tc>
      </w:tr>
      <w:tr w:rsidR="00990B14" w14:paraId="19C6F678" w14:textId="77777777">
        <w:trPr>
          <w:jc w:val="center"/>
        </w:trPr>
        <w:tc>
          <w:tcPr>
            <w:tcW w:w="2349" w:type="dxa"/>
            <w:gridSpan w:val="2"/>
            <w:shd w:val="clear" w:color="auto" w:fill="D9E2F3"/>
          </w:tcPr>
          <w:p w14:paraId="1DFC0184" w14:textId="77777777" w:rsidR="00990B14" w:rsidRDefault="00000000">
            <w:pPr>
              <w:spacing w:before="20" w:after="40"/>
              <w:jc w:val="both"/>
            </w:pPr>
            <w:r>
              <w:rPr>
                <w:sz w:val="18"/>
                <w:szCs w:val="18"/>
              </w:rPr>
              <w:t>Tema 1: La organización agrícola y ganadera en Bolivia</w:t>
            </w:r>
          </w:p>
        </w:tc>
        <w:tc>
          <w:tcPr>
            <w:tcW w:w="4304" w:type="dxa"/>
            <w:gridSpan w:val="8"/>
            <w:shd w:val="clear" w:color="auto" w:fill="D9E2F3"/>
          </w:tcPr>
          <w:p w14:paraId="67D2D5A8" w14:textId="77777777" w:rsidR="00990B14" w:rsidRDefault="00000000">
            <w:pPr>
              <w:spacing w:after="40"/>
              <w:jc w:val="both"/>
            </w:pPr>
            <w:r>
              <w:rPr>
                <w:sz w:val="18"/>
                <w:szCs w:val="18"/>
              </w:rPr>
              <w:t>Etimología, significado e importancia de la actividad agropecuaria. (C)</w:t>
            </w:r>
          </w:p>
          <w:p w14:paraId="1E5B6A6C" w14:textId="77777777" w:rsidR="00990B14" w:rsidRDefault="00000000">
            <w:pPr>
              <w:spacing w:after="40"/>
              <w:jc w:val="both"/>
            </w:pPr>
            <w:r>
              <w:rPr>
                <w:sz w:val="18"/>
                <w:szCs w:val="18"/>
              </w:rPr>
              <w:t>Concepto y objetivos de la empresa agropecuaria. (C)</w:t>
            </w:r>
          </w:p>
          <w:p w14:paraId="340E634A" w14:textId="77777777" w:rsidR="00990B14" w:rsidRDefault="00000000">
            <w:pPr>
              <w:spacing w:after="40"/>
              <w:jc w:val="both"/>
            </w:pPr>
            <w:r>
              <w:rPr>
                <w:sz w:val="18"/>
                <w:szCs w:val="18"/>
              </w:rPr>
              <w:t>Capital de la empresa agropecuaria: capital personal, capital agropecuario y reservas. (C)</w:t>
            </w:r>
          </w:p>
          <w:p w14:paraId="2703CE40" w14:textId="77777777" w:rsidR="00990B14" w:rsidRDefault="00000000">
            <w:pPr>
              <w:spacing w:after="40"/>
              <w:jc w:val="both"/>
            </w:pPr>
            <w:r>
              <w:rPr>
                <w:sz w:val="18"/>
                <w:szCs w:val="18"/>
              </w:rPr>
              <w:t>Concepto de administración de las empresas agropecuarias, su importancia, exigencias, desafíos, expectativas y funciones. (C)</w:t>
            </w:r>
          </w:p>
          <w:p w14:paraId="580C21D9" w14:textId="77777777" w:rsidR="00990B14" w:rsidRDefault="00000000">
            <w:pPr>
              <w:spacing w:after="40"/>
              <w:jc w:val="both"/>
            </w:pPr>
            <w:r>
              <w:rPr>
                <w:sz w:val="18"/>
                <w:szCs w:val="18"/>
              </w:rPr>
              <w:t>Relación de la administración agropecuaria con las ciencias naturales, las ciencias económicas y la tecnología. (C)</w:t>
            </w:r>
          </w:p>
          <w:p w14:paraId="647B6F4D" w14:textId="77777777" w:rsidR="00990B14" w:rsidRDefault="00000000">
            <w:pPr>
              <w:spacing w:after="40"/>
              <w:jc w:val="both"/>
            </w:pPr>
            <w:r>
              <w:rPr>
                <w:sz w:val="18"/>
                <w:szCs w:val="18"/>
              </w:rPr>
              <w:t>Características y diferencias entre la actividad agropecuaria empresarial y la actividad comercial e industrial. (C)</w:t>
            </w:r>
          </w:p>
          <w:p w14:paraId="6E69C545" w14:textId="77777777" w:rsidR="00990B14" w:rsidRDefault="00000000">
            <w:pPr>
              <w:spacing w:after="40"/>
              <w:jc w:val="both"/>
            </w:pPr>
            <w:r>
              <w:rPr>
                <w:sz w:val="18"/>
                <w:szCs w:val="18"/>
              </w:rPr>
              <w:t>Fuerza primaria de la producción, producción y productividad, características de la producción y precios. (C)</w:t>
            </w:r>
          </w:p>
          <w:p w14:paraId="6AC1E246" w14:textId="77777777" w:rsidR="00990B14" w:rsidRDefault="00000000">
            <w:pPr>
              <w:spacing w:after="40"/>
              <w:jc w:val="both"/>
            </w:pPr>
            <w:r>
              <w:rPr>
                <w:sz w:val="18"/>
                <w:szCs w:val="18"/>
              </w:rPr>
              <w:t>Seguros agropecuarios, financiamiento y cuentas contables que se utilizan en el proceso de producción. (C)</w:t>
            </w:r>
          </w:p>
          <w:p w14:paraId="2B127B29" w14:textId="77777777" w:rsidR="00990B14" w:rsidRDefault="00000000">
            <w:pPr>
              <w:spacing w:after="40"/>
              <w:jc w:val="both"/>
            </w:pPr>
            <w:r>
              <w:rPr>
                <w:sz w:val="18"/>
                <w:szCs w:val="18"/>
              </w:rPr>
              <w:t>Gestión del riesgo agropecuario y los instrumentos de cobertura disponibles en Bolivia. (C)</w:t>
            </w:r>
          </w:p>
          <w:p w14:paraId="7F0BA4AA" w14:textId="77777777" w:rsidR="00990B14" w:rsidRDefault="00000000">
            <w:pPr>
              <w:spacing w:after="40"/>
              <w:jc w:val="both"/>
            </w:pPr>
            <w:r>
              <w:rPr>
                <w:sz w:val="18"/>
                <w:szCs w:val="18"/>
              </w:rPr>
              <w:t>Elementos de la empresa agropecuaria: elementos intrínsecos naturales y no naturales de la producción, elementos extrínsecos de la producción y otros elementos relacionados con la actividad agropecuaria. (C)</w:t>
            </w:r>
          </w:p>
          <w:p w14:paraId="7CB9069D" w14:textId="77777777" w:rsidR="00990B14" w:rsidRDefault="00000000">
            <w:pPr>
              <w:spacing w:after="40"/>
              <w:jc w:val="both"/>
            </w:pPr>
            <w:r>
              <w:rPr>
                <w:sz w:val="18"/>
                <w:szCs w:val="18"/>
              </w:rPr>
              <w:t>Instituciones involucradas con el sector agropecuario. (C)</w:t>
            </w:r>
          </w:p>
        </w:tc>
        <w:tc>
          <w:tcPr>
            <w:tcW w:w="2752" w:type="dxa"/>
            <w:gridSpan w:val="3"/>
            <w:shd w:val="clear" w:color="auto" w:fill="D9E2F3"/>
          </w:tcPr>
          <w:p w14:paraId="613FB4C9" w14:textId="77777777" w:rsidR="00990B14" w:rsidRDefault="00000000">
            <w:pPr>
              <w:numPr>
                <w:ilvl w:val="0"/>
                <w:numId w:val="139"/>
              </w:numPr>
              <w:spacing w:before="10" w:after="10"/>
              <w:jc w:val="both"/>
            </w:pPr>
            <w:r>
              <w:rPr>
                <w:sz w:val="18"/>
                <w:szCs w:val="18"/>
              </w:rPr>
              <w:t>Seguro Agrario Universal Pachamama creado por la Ley N.º 144 de la Revolución Productiva Comunitaria Agropecuaria y administrado por el Instituto del Seguro Agrario, INSA.</w:t>
            </w:r>
          </w:p>
          <w:p w14:paraId="640777AE" w14:textId="77777777" w:rsidR="00990B14" w:rsidRDefault="00000000">
            <w:pPr>
              <w:numPr>
                <w:ilvl w:val="0"/>
                <w:numId w:val="139"/>
              </w:numPr>
              <w:spacing w:before="10" w:after="10"/>
              <w:jc w:val="both"/>
            </w:pPr>
            <w:r>
              <w:rPr>
                <w:sz w:val="18"/>
                <w:szCs w:val="18"/>
              </w:rPr>
              <w:t>Instituciones bolivianas vinculadas al sector, como el Ministerio de Desarrollo Rural y Tierras, el Instituto Nacional de Innovación Agropecuaria y Forestal, INIAF, y el Servicio Nacional de Sanidad Agropecuaria e Inocuidad Alimentaria, SENASAG.</w:t>
            </w:r>
          </w:p>
          <w:p w14:paraId="0D87474C" w14:textId="77777777" w:rsidR="00990B14" w:rsidRDefault="00000000">
            <w:pPr>
              <w:numPr>
                <w:ilvl w:val="0"/>
                <w:numId w:val="139"/>
              </w:numPr>
              <w:spacing w:before="10" w:after="10"/>
              <w:jc w:val="both"/>
            </w:pPr>
            <w:r>
              <w:rPr>
                <w:sz w:val="18"/>
                <w:szCs w:val="18"/>
              </w:rPr>
              <w:t>Efecto de las sequías, las heladas y los incendios forestales sobre la producción agropecuaria boliviana.</w:t>
            </w:r>
          </w:p>
        </w:tc>
      </w:tr>
      <w:tr w:rsidR="00990B14" w14:paraId="2F20D069" w14:textId="77777777">
        <w:trPr>
          <w:cantSplit/>
          <w:jc w:val="center"/>
        </w:trPr>
        <w:tc>
          <w:tcPr>
            <w:tcW w:w="9405" w:type="dxa"/>
            <w:gridSpan w:val="13"/>
            <w:shd w:val="clear" w:color="auto" w:fill="D9E2F3"/>
            <w:vAlign w:val="center"/>
          </w:tcPr>
          <w:p w14:paraId="00EA147E" w14:textId="77777777" w:rsidR="00990B14" w:rsidRDefault="00000000">
            <w:pPr>
              <w:spacing w:before="20" w:after="20"/>
              <w:jc w:val="both"/>
            </w:pPr>
            <w:r>
              <w:rPr>
                <w:b/>
                <w:bCs/>
                <w:i/>
                <w:iCs/>
                <w:sz w:val="18"/>
                <w:szCs w:val="18"/>
              </w:rPr>
              <w:t xml:space="preserve">Elemento de competencia 2: </w:t>
            </w:r>
            <w:r>
              <w:rPr>
                <w:sz w:val="18"/>
                <w:szCs w:val="18"/>
              </w:rPr>
              <w:t>Determina las obligaciones tributarias de la actividad agropecuaria empresarial y no empresarial, aplicando el Régimen General y el Régimen Agropecuario Unificado conforme a las disposiciones legales vigentes.</w:t>
            </w:r>
          </w:p>
        </w:tc>
      </w:tr>
      <w:tr w:rsidR="00990B14" w14:paraId="2AA3A4A0" w14:textId="77777777">
        <w:trPr>
          <w:cantSplit/>
          <w:jc w:val="center"/>
        </w:trPr>
        <w:tc>
          <w:tcPr>
            <w:tcW w:w="3133" w:type="dxa"/>
            <w:gridSpan w:val="4"/>
            <w:shd w:val="clear" w:color="auto" w:fill="4472C4"/>
            <w:vAlign w:val="center"/>
          </w:tcPr>
          <w:p w14:paraId="18E80D30"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194E9C88"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77D7BE12" w14:textId="77777777" w:rsidR="00990B14" w:rsidRDefault="00000000">
            <w:pPr>
              <w:keepNext/>
              <w:spacing w:before="20" w:after="20"/>
              <w:jc w:val="center"/>
            </w:pPr>
            <w:r>
              <w:rPr>
                <w:b/>
                <w:bCs/>
                <w:i/>
                <w:iCs/>
                <w:color w:val="FFFFFF"/>
                <w:sz w:val="18"/>
                <w:szCs w:val="18"/>
              </w:rPr>
              <w:t>Evidencias de producto</w:t>
            </w:r>
          </w:p>
        </w:tc>
      </w:tr>
      <w:tr w:rsidR="00990B14" w14:paraId="6753298B" w14:textId="77777777">
        <w:trPr>
          <w:cantSplit/>
          <w:jc w:val="center"/>
        </w:trPr>
        <w:tc>
          <w:tcPr>
            <w:tcW w:w="3133" w:type="dxa"/>
            <w:gridSpan w:val="4"/>
            <w:vMerge w:val="restart"/>
            <w:shd w:val="clear" w:color="auto" w:fill="D9E2F3"/>
            <w:vAlign w:val="center"/>
          </w:tcPr>
          <w:p w14:paraId="62EF5588" w14:textId="77777777" w:rsidR="00990B14" w:rsidRDefault="00000000">
            <w:pPr>
              <w:spacing w:before="20" w:after="20"/>
              <w:jc w:val="both"/>
            </w:pPr>
            <w:r>
              <w:rPr>
                <w:sz w:val="18"/>
                <w:szCs w:val="18"/>
              </w:rPr>
              <w:t>1. Determina las obligaciones tributarias de la empresa agropecuaria en el Régimen General, aplicando el cierre de gestión del sector y los deberes formales vigentes.</w:t>
            </w:r>
          </w:p>
        </w:tc>
        <w:tc>
          <w:tcPr>
            <w:tcW w:w="3135" w:type="dxa"/>
            <w:gridSpan w:val="5"/>
            <w:shd w:val="clear" w:color="auto" w:fill="D9E2F3"/>
            <w:vAlign w:val="center"/>
          </w:tcPr>
          <w:p w14:paraId="12B12038" w14:textId="77777777" w:rsidR="00990B14" w:rsidRDefault="00000000">
            <w:pPr>
              <w:spacing w:before="20" w:after="20"/>
              <w:jc w:val="both"/>
            </w:pPr>
            <w:r>
              <w:rPr>
                <w:sz w:val="18"/>
                <w:szCs w:val="18"/>
              </w:rPr>
              <w:t>1.1 Resuelve en aula un caso de declaración y pago del Impuesto sobre las Utilidades de las Empresas de una empresa agropecuaria.</w:t>
            </w:r>
          </w:p>
        </w:tc>
        <w:tc>
          <w:tcPr>
            <w:tcW w:w="3137" w:type="dxa"/>
            <w:gridSpan w:val="4"/>
            <w:shd w:val="clear" w:color="auto" w:fill="D9E2F3"/>
            <w:vAlign w:val="center"/>
          </w:tcPr>
          <w:p w14:paraId="302DC7B5" w14:textId="77777777" w:rsidR="00990B14" w:rsidRDefault="00000000">
            <w:pPr>
              <w:spacing w:before="20" w:after="20"/>
              <w:jc w:val="both"/>
            </w:pPr>
            <w:r>
              <w:rPr>
                <w:b/>
                <w:bCs/>
                <w:sz w:val="18"/>
                <w:szCs w:val="18"/>
              </w:rPr>
              <w:t xml:space="preserve">Producto 5: </w:t>
            </w:r>
            <w:r>
              <w:rPr>
                <w:sz w:val="18"/>
                <w:szCs w:val="18"/>
              </w:rPr>
              <w:t>Informe de declaración y pago del Impuesto sobre las Utilidades de las Empresas de un caso agropecuario.</w:t>
            </w:r>
          </w:p>
        </w:tc>
      </w:tr>
      <w:tr w:rsidR="00990B14" w14:paraId="4218C296" w14:textId="77777777">
        <w:trPr>
          <w:cantSplit/>
          <w:jc w:val="center"/>
        </w:trPr>
        <w:tc>
          <w:tcPr>
            <w:tcW w:w="3133" w:type="dxa"/>
            <w:gridSpan w:val="4"/>
            <w:vMerge/>
            <w:shd w:val="clear" w:color="auto" w:fill="D9E2F3"/>
            <w:vAlign w:val="center"/>
          </w:tcPr>
          <w:p w14:paraId="7C6D9B93" w14:textId="77777777" w:rsidR="00990B14" w:rsidRDefault="00990B14">
            <w:pPr>
              <w:spacing w:before="20" w:after="20"/>
            </w:pPr>
          </w:p>
        </w:tc>
        <w:tc>
          <w:tcPr>
            <w:tcW w:w="3135" w:type="dxa"/>
            <w:gridSpan w:val="5"/>
            <w:shd w:val="clear" w:color="auto" w:fill="D9E2F3"/>
            <w:vAlign w:val="center"/>
          </w:tcPr>
          <w:p w14:paraId="13F64DB1" w14:textId="77777777" w:rsidR="00990B14" w:rsidRDefault="00000000">
            <w:pPr>
              <w:spacing w:before="20" w:after="20"/>
              <w:jc w:val="both"/>
            </w:pPr>
            <w:r>
              <w:rPr>
                <w:sz w:val="18"/>
                <w:szCs w:val="18"/>
              </w:rPr>
              <w:t>1.2 Analiza en equipo los requisitos de importación y exportación del sector con sus certificados y beneficios.</w:t>
            </w:r>
          </w:p>
        </w:tc>
        <w:tc>
          <w:tcPr>
            <w:tcW w:w="3137" w:type="dxa"/>
            <w:gridSpan w:val="4"/>
            <w:shd w:val="clear" w:color="auto" w:fill="D9E2F3"/>
            <w:vAlign w:val="center"/>
          </w:tcPr>
          <w:p w14:paraId="6B0F395E" w14:textId="77777777" w:rsidR="00990B14" w:rsidRDefault="00000000">
            <w:pPr>
              <w:spacing w:before="20" w:after="20"/>
              <w:jc w:val="both"/>
            </w:pPr>
            <w:r>
              <w:rPr>
                <w:b/>
                <w:bCs/>
                <w:sz w:val="18"/>
                <w:szCs w:val="18"/>
              </w:rPr>
              <w:t xml:space="preserve">Producto 6: </w:t>
            </w:r>
            <w:r>
              <w:rPr>
                <w:sz w:val="18"/>
                <w:szCs w:val="18"/>
              </w:rPr>
              <w:t>Procedimientos de importación y exportación de una empresa agropecuaria.</w:t>
            </w:r>
          </w:p>
        </w:tc>
      </w:tr>
      <w:tr w:rsidR="00990B14" w14:paraId="17B9BB69" w14:textId="77777777">
        <w:trPr>
          <w:cantSplit/>
          <w:jc w:val="center"/>
        </w:trPr>
        <w:tc>
          <w:tcPr>
            <w:tcW w:w="3133" w:type="dxa"/>
            <w:gridSpan w:val="4"/>
            <w:vMerge w:val="restart"/>
            <w:shd w:val="clear" w:color="auto" w:fill="D9E2F3"/>
            <w:vAlign w:val="center"/>
          </w:tcPr>
          <w:p w14:paraId="4AEDBCA6" w14:textId="77777777" w:rsidR="00990B14" w:rsidRDefault="00000000">
            <w:pPr>
              <w:spacing w:before="20" w:after="20"/>
              <w:jc w:val="both"/>
            </w:pPr>
            <w:r>
              <w:rPr>
                <w:sz w:val="18"/>
                <w:szCs w:val="18"/>
              </w:rPr>
              <w:t>2. Evalúa la conveniencia del Régimen General frente al Régimen Agropecuario Unificado para un productor.</w:t>
            </w:r>
          </w:p>
        </w:tc>
        <w:tc>
          <w:tcPr>
            <w:tcW w:w="3135" w:type="dxa"/>
            <w:gridSpan w:val="5"/>
            <w:shd w:val="clear" w:color="auto" w:fill="D9E2F3"/>
            <w:vAlign w:val="center"/>
          </w:tcPr>
          <w:p w14:paraId="1D6B0313" w14:textId="77777777" w:rsidR="00990B14" w:rsidRDefault="00000000">
            <w:pPr>
              <w:spacing w:before="20" w:after="20"/>
              <w:jc w:val="both"/>
            </w:pPr>
            <w:r>
              <w:rPr>
                <w:sz w:val="18"/>
                <w:szCs w:val="18"/>
              </w:rPr>
              <w:t>2.1 Calcula la cuota del Régimen Agropecuario Unificado según la superficie y la actividad.</w:t>
            </w:r>
          </w:p>
        </w:tc>
        <w:tc>
          <w:tcPr>
            <w:tcW w:w="3137" w:type="dxa"/>
            <w:gridSpan w:val="4"/>
            <w:shd w:val="clear" w:color="auto" w:fill="D9E2F3"/>
            <w:vAlign w:val="center"/>
          </w:tcPr>
          <w:p w14:paraId="2D61B06B" w14:textId="77777777" w:rsidR="00990B14" w:rsidRDefault="00000000">
            <w:pPr>
              <w:spacing w:before="20" w:after="20"/>
              <w:jc w:val="both"/>
            </w:pPr>
            <w:r>
              <w:rPr>
                <w:b/>
                <w:bCs/>
                <w:sz w:val="18"/>
                <w:szCs w:val="18"/>
              </w:rPr>
              <w:t xml:space="preserve">Producto 7: </w:t>
            </w:r>
            <w:r>
              <w:rPr>
                <w:sz w:val="18"/>
                <w:szCs w:val="18"/>
              </w:rPr>
              <w:t>Planilla de cálculo de la cuota del Régimen Agropecuario Unificado.</w:t>
            </w:r>
          </w:p>
        </w:tc>
      </w:tr>
      <w:tr w:rsidR="00990B14" w14:paraId="772AEB99" w14:textId="77777777">
        <w:trPr>
          <w:cantSplit/>
          <w:jc w:val="center"/>
        </w:trPr>
        <w:tc>
          <w:tcPr>
            <w:tcW w:w="3133" w:type="dxa"/>
            <w:gridSpan w:val="4"/>
            <w:vMerge/>
            <w:shd w:val="clear" w:color="auto" w:fill="D9E2F3"/>
            <w:vAlign w:val="center"/>
          </w:tcPr>
          <w:p w14:paraId="4B576A02" w14:textId="77777777" w:rsidR="00990B14" w:rsidRDefault="00990B14">
            <w:pPr>
              <w:spacing w:before="20" w:after="20"/>
            </w:pPr>
          </w:p>
        </w:tc>
        <w:tc>
          <w:tcPr>
            <w:tcW w:w="3135" w:type="dxa"/>
            <w:gridSpan w:val="5"/>
            <w:shd w:val="clear" w:color="auto" w:fill="D9E2F3"/>
            <w:vAlign w:val="center"/>
          </w:tcPr>
          <w:p w14:paraId="738AB7C6" w14:textId="77777777" w:rsidR="00990B14" w:rsidRDefault="00000000">
            <w:pPr>
              <w:spacing w:before="20" w:after="20"/>
              <w:jc w:val="both"/>
            </w:pPr>
            <w:r>
              <w:rPr>
                <w:sz w:val="18"/>
                <w:szCs w:val="18"/>
              </w:rPr>
              <w:t>2.2 Compara en equipo las obligaciones del Régimen General y del Régimen Agropecuario Unificado de un productor.</w:t>
            </w:r>
          </w:p>
        </w:tc>
        <w:tc>
          <w:tcPr>
            <w:tcW w:w="3137" w:type="dxa"/>
            <w:gridSpan w:val="4"/>
            <w:shd w:val="clear" w:color="auto" w:fill="D9E2F3"/>
            <w:vAlign w:val="center"/>
          </w:tcPr>
          <w:p w14:paraId="2BB91A19" w14:textId="77777777" w:rsidR="00990B14" w:rsidRDefault="00000000">
            <w:pPr>
              <w:spacing w:before="20" w:after="20"/>
              <w:jc w:val="both"/>
            </w:pPr>
            <w:r>
              <w:rPr>
                <w:b/>
                <w:bCs/>
                <w:sz w:val="18"/>
                <w:szCs w:val="18"/>
              </w:rPr>
              <w:t xml:space="preserve">Producto 8: </w:t>
            </w:r>
            <w:r>
              <w:rPr>
                <w:sz w:val="18"/>
                <w:szCs w:val="18"/>
              </w:rPr>
              <w:t>Cuadro comparativo del Régimen General y del Régimen Agropecuario Unificado.</w:t>
            </w:r>
          </w:p>
        </w:tc>
      </w:tr>
      <w:tr w:rsidR="00990B14" w14:paraId="60CB75DF" w14:textId="77777777">
        <w:trPr>
          <w:cantSplit/>
          <w:jc w:val="center"/>
        </w:trPr>
        <w:tc>
          <w:tcPr>
            <w:tcW w:w="9405" w:type="dxa"/>
            <w:gridSpan w:val="13"/>
            <w:shd w:val="clear" w:color="auto" w:fill="4472C4"/>
            <w:vAlign w:val="center"/>
          </w:tcPr>
          <w:p w14:paraId="449D4777" w14:textId="77777777" w:rsidR="00990B14" w:rsidRDefault="00000000">
            <w:pPr>
              <w:keepNext/>
              <w:spacing w:before="20" w:after="20"/>
              <w:jc w:val="center"/>
            </w:pPr>
            <w:r>
              <w:rPr>
                <w:b/>
                <w:bCs/>
                <w:i/>
                <w:iCs/>
                <w:color w:val="FFFFFF"/>
                <w:sz w:val="18"/>
                <w:szCs w:val="18"/>
              </w:rPr>
              <w:t>Evidencias de conocimiento</w:t>
            </w:r>
          </w:p>
        </w:tc>
      </w:tr>
      <w:tr w:rsidR="00990B14" w14:paraId="0984F6CD" w14:textId="77777777">
        <w:trPr>
          <w:cantSplit/>
          <w:jc w:val="center"/>
        </w:trPr>
        <w:tc>
          <w:tcPr>
            <w:tcW w:w="2349" w:type="dxa"/>
            <w:gridSpan w:val="2"/>
            <w:shd w:val="clear" w:color="auto" w:fill="4472C4"/>
            <w:vAlign w:val="center"/>
          </w:tcPr>
          <w:p w14:paraId="7875DD73"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5CBD8521" w14:textId="77777777" w:rsidR="00990B14" w:rsidRDefault="00000000">
            <w:pPr>
              <w:keepNext/>
              <w:spacing w:before="20" w:after="20"/>
              <w:jc w:val="both"/>
            </w:pPr>
            <w:r>
              <w:rPr>
                <w:b/>
                <w:bCs/>
                <w:i/>
                <w:iCs/>
                <w:color w:val="FFFFFF"/>
                <w:sz w:val="18"/>
                <w:szCs w:val="18"/>
              </w:rPr>
              <w:t>Contenidos</w:t>
            </w:r>
          </w:p>
          <w:p w14:paraId="6DA922AB"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0CA3F89A" w14:textId="77777777" w:rsidR="00990B14" w:rsidRDefault="00000000">
            <w:pPr>
              <w:keepNext/>
              <w:spacing w:before="20" w:after="20"/>
              <w:jc w:val="center"/>
            </w:pPr>
            <w:r>
              <w:rPr>
                <w:b/>
                <w:bCs/>
                <w:i/>
                <w:iCs/>
                <w:color w:val="FFFFFF"/>
                <w:sz w:val="18"/>
                <w:szCs w:val="18"/>
              </w:rPr>
              <w:t>Conocimientos circunstanciales</w:t>
            </w:r>
          </w:p>
        </w:tc>
      </w:tr>
      <w:tr w:rsidR="00990B14" w14:paraId="1CABDA3A" w14:textId="77777777">
        <w:trPr>
          <w:jc w:val="center"/>
        </w:trPr>
        <w:tc>
          <w:tcPr>
            <w:tcW w:w="2349" w:type="dxa"/>
            <w:gridSpan w:val="2"/>
            <w:shd w:val="clear" w:color="auto" w:fill="D9E2F3"/>
          </w:tcPr>
          <w:p w14:paraId="4CFCDB8E" w14:textId="77777777" w:rsidR="00990B14" w:rsidRDefault="00000000">
            <w:pPr>
              <w:spacing w:before="20" w:after="40"/>
              <w:jc w:val="both"/>
            </w:pPr>
            <w:r>
              <w:rPr>
                <w:sz w:val="18"/>
                <w:szCs w:val="18"/>
              </w:rPr>
              <w:t>Tema 2: Regímenes tributarios relacionados a la actividad agropecuaria empresarial y no empresarial en Bolivia.</w:t>
            </w:r>
          </w:p>
        </w:tc>
        <w:tc>
          <w:tcPr>
            <w:tcW w:w="4304" w:type="dxa"/>
            <w:gridSpan w:val="8"/>
            <w:shd w:val="clear" w:color="auto" w:fill="D9E2F3"/>
          </w:tcPr>
          <w:p w14:paraId="1B7FC28F" w14:textId="77777777" w:rsidR="00990B14" w:rsidRDefault="00000000">
            <w:pPr>
              <w:spacing w:after="40"/>
              <w:jc w:val="both"/>
            </w:pPr>
            <w:r>
              <w:rPr>
                <w:sz w:val="18"/>
                <w:szCs w:val="18"/>
              </w:rPr>
              <w:t>Ámbito impositivo relacionado con la actividad agrícola y ganadera en Bolivia, y la actividad agropecuaria empresarial y lucrativa vinculada a la prestación de servicios a terceros. (C)</w:t>
            </w:r>
          </w:p>
          <w:p w14:paraId="0F57B7FA" w14:textId="77777777" w:rsidR="00990B14" w:rsidRDefault="00000000">
            <w:pPr>
              <w:spacing w:after="40"/>
              <w:jc w:val="both"/>
            </w:pPr>
            <w:r>
              <w:rPr>
                <w:sz w:val="18"/>
                <w:szCs w:val="18"/>
              </w:rPr>
              <w:t>Marco legal: Ley N.º 2492, Ley N.º 843 y Decreto Supremo N.º 24051, reglamento del Impuesto sobre las Utilidades de las Empresas. (C)</w:t>
            </w:r>
          </w:p>
          <w:p w14:paraId="3339A4FF" w14:textId="77777777" w:rsidR="00990B14" w:rsidRDefault="00000000">
            <w:pPr>
              <w:spacing w:after="40"/>
              <w:jc w:val="both"/>
            </w:pPr>
            <w:r>
              <w:rPr>
                <w:sz w:val="18"/>
                <w:szCs w:val="18"/>
              </w:rPr>
              <w:t>Declaración y pago del impuesto, plazo y cierres de gestión según el artículo 39, y ciclo económico. (C)</w:t>
            </w:r>
          </w:p>
          <w:p w14:paraId="457BA6CC" w14:textId="77777777" w:rsidR="00990B14" w:rsidRDefault="00000000">
            <w:pPr>
              <w:spacing w:after="40"/>
              <w:jc w:val="both"/>
            </w:pPr>
            <w:r>
              <w:rPr>
                <w:sz w:val="18"/>
                <w:szCs w:val="18"/>
              </w:rPr>
              <w:t>Organismos de control de las empresas agropecuarias, y análisis de la conducta tributaria y su efecto en los estados financieros de las empresas agropecuarias. (C, A)</w:t>
            </w:r>
          </w:p>
          <w:p w14:paraId="33BAC9FC" w14:textId="77777777" w:rsidR="00990B14" w:rsidRDefault="00000000">
            <w:pPr>
              <w:spacing w:after="40"/>
              <w:jc w:val="both"/>
            </w:pPr>
            <w:r>
              <w:rPr>
                <w:sz w:val="18"/>
                <w:szCs w:val="18"/>
              </w:rPr>
              <w:t>Actividades de importación: admisión de mercancías con exoneración de tributos aduaneros, régimen de suspensión a la importación, subvención en las importaciones y subvención en el mercado interno. (C)</w:t>
            </w:r>
          </w:p>
          <w:p w14:paraId="1FE39547" w14:textId="77777777" w:rsidR="00990B14" w:rsidRDefault="00000000">
            <w:pPr>
              <w:spacing w:after="40"/>
              <w:jc w:val="both"/>
            </w:pPr>
            <w:r>
              <w:rPr>
                <w:sz w:val="18"/>
                <w:szCs w:val="18"/>
              </w:rPr>
              <w:t>Empadronamiento y reempadronamiento de las empresas agropecuarias. (C)</w:t>
            </w:r>
          </w:p>
          <w:p w14:paraId="78E27844" w14:textId="77777777" w:rsidR="00990B14" w:rsidRDefault="00000000">
            <w:pPr>
              <w:spacing w:after="40"/>
              <w:jc w:val="both"/>
            </w:pPr>
            <w:r>
              <w:rPr>
                <w:sz w:val="18"/>
                <w:szCs w:val="18"/>
              </w:rPr>
              <w:t>Actividades de exportación y medidas aplicadas por el gobierno para lograr la seguridad alimentaria. (C)</w:t>
            </w:r>
          </w:p>
          <w:p w14:paraId="232CC0BE" w14:textId="77777777" w:rsidR="00990B14" w:rsidRDefault="00000000">
            <w:pPr>
              <w:spacing w:after="40"/>
              <w:jc w:val="both"/>
            </w:pPr>
            <w:r>
              <w:rPr>
                <w:sz w:val="18"/>
                <w:szCs w:val="18"/>
              </w:rPr>
              <w:t>Requisitos, procedimientos y condiciones para exportar, y certificado de suficiencia de abastecimiento y precio justo, con su control, condiciones e incumplimiento. (P)</w:t>
            </w:r>
          </w:p>
          <w:p w14:paraId="06EAEC34" w14:textId="77777777" w:rsidR="00990B14" w:rsidRDefault="00000000">
            <w:pPr>
              <w:spacing w:after="40"/>
              <w:jc w:val="both"/>
            </w:pPr>
            <w:r>
              <w:rPr>
                <w:sz w:val="18"/>
                <w:szCs w:val="18"/>
              </w:rPr>
              <w:t>Deberes formales de las empresas agropecuarias, su incumplimiento y sanciones. (C)</w:t>
            </w:r>
          </w:p>
          <w:p w14:paraId="7D743CB0" w14:textId="77777777" w:rsidR="00990B14" w:rsidRDefault="00000000">
            <w:pPr>
              <w:spacing w:after="40"/>
              <w:jc w:val="both"/>
            </w:pPr>
            <w:r>
              <w:rPr>
                <w:sz w:val="18"/>
                <w:szCs w:val="18"/>
              </w:rPr>
              <w:t>Actividad agropecuaria no empresarial y Decreto Supremo N.º 24463, del Régimen Agropecuario Unificado, RAU. (C)</w:t>
            </w:r>
          </w:p>
          <w:p w14:paraId="6F4915CF" w14:textId="77777777" w:rsidR="00990B14" w:rsidRDefault="00000000">
            <w:pPr>
              <w:spacing w:after="40"/>
              <w:jc w:val="both"/>
            </w:pPr>
            <w:r>
              <w:rPr>
                <w:sz w:val="18"/>
                <w:szCs w:val="18"/>
              </w:rPr>
              <w:t>Incumplimiento de deberes formales y pago, y resoluciones normativas de directorio sobre la actualización de la cuota fija por hectárea y sobre el procedimiento para obtener el Certificado de No Imponibilidad del RAU. (C, P)</w:t>
            </w:r>
          </w:p>
        </w:tc>
        <w:tc>
          <w:tcPr>
            <w:tcW w:w="2752" w:type="dxa"/>
            <w:gridSpan w:val="3"/>
            <w:shd w:val="clear" w:color="auto" w:fill="D9E2F3"/>
          </w:tcPr>
          <w:p w14:paraId="61D6995D" w14:textId="77777777" w:rsidR="00990B14" w:rsidRDefault="00000000">
            <w:pPr>
              <w:numPr>
                <w:ilvl w:val="0"/>
                <w:numId w:val="139"/>
              </w:numPr>
              <w:spacing w:before="10" w:after="10"/>
              <w:jc w:val="both"/>
            </w:pPr>
            <w:r>
              <w:rPr>
                <w:sz w:val="18"/>
                <w:szCs w:val="18"/>
              </w:rPr>
              <w:t>Clasificación de la propiedad agraria en pequeña propiedad, mediana propiedad y empresa agropecuaria.</w:t>
            </w:r>
          </w:p>
          <w:p w14:paraId="00C665AC" w14:textId="77777777" w:rsidR="00990B14" w:rsidRDefault="00000000">
            <w:pPr>
              <w:numPr>
                <w:ilvl w:val="0"/>
                <w:numId w:val="139"/>
              </w:numPr>
              <w:spacing w:before="10" w:after="10"/>
              <w:jc w:val="both"/>
            </w:pPr>
            <w:r>
              <w:rPr>
                <w:sz w:val="18"/>
                <w:szCs w:val="18"/>
              </w:rPr>
              <w:t>Requisitos sanitarios y fitosanitarios exigidos a los productos agropecuarios de exportación.</w:t>
            </w:r>
          </w:p>
          <w:p w14:paraId="563725A4" w14:textId="77777777" w:rsidR="00990B14" w:rsidRDefault="00000000">
            <w:pPr>
              <w:numPr>
                <w:ilvl w:val="0"/>
                <w:numId w:val="139"/>
              </w:numPr>
              <w:spacing w:before="10" w:after="10"/>
              <w:jc w:val="both"/>
            </w:pPr>
            <w:r>
              <w:rPr>
                <w:sz w:val="18"/>
                <w:szCs w:val="18"/>
              </w:rPr>
              <w:t>Cadenas productivas agropecuarias de exportación de Bolivia: soya, quinua, castaña y carne bovina.</w:t>
            </w:r>
          </w:p>
        </w:tc>
      </w:tr>
      <w:tr w:rsidR="00990B14" w14:paraId="2720D039" w14:textId="77777777">
        <w:trPr>
          <w:cantSplit/>
          <w:jc w:val="center"/>
        </w:trPr>
        <w:tc>
          <w:tcPr>
            <w:tcW w:w="9405" w:type="dxa"/>
            <w:gridSpan w:val="13"/>
            <w:shd w:val="clear" w:color="auto" w:fill="D9E2F3"/>
            <w:vAlign w:val="center"/>
          </w:tcPr>
          <w:p w14:paraId="07DF9341" w14:textId="77777777" w:rsidR="00990B14" w:rsidRDefault="00000000">
            <w:pPr>
              <w:spacing w:before="20" w:after="20"/>
              <w:jc w:val="both"/>
            </w:pPr>
            <w:r>
              <w:rPr>
                <w:b/>
                <w:bCs/>
                <w:i/>
                <w:iCs/>
                <w:sz w:val="18"/>
                <w:szCs w:val="18"/>
              </w:rPr>
              <w:t xml:space="preserve">Elemento de competencia 3: </w:t>
            </w:r>
            <w:r>
              <w:rPr>
                <w:sz w:val="18"/>
                <w:szCs w:val="18"/>
              </w:rPr>
              <w:t>Analiza el proceso de producción agrícola y registra las operaciones contables de una empresa agrícola en base al proceso de producción agrícola y su rendimiento, determinando el costo unitario de sus adquisiciones y preparando sus estados financieros conforme a la normativa vigente.</w:t>
            </w:r>
          </w:p>
        </w:tc>
      </w:tr>
      <w:tr w:rsidR="00990B14" w14:paraId="477DA4BB" w14:textId="77777777">
        <w:trPr>
          <w:cantSplit/>
          <w:jc w:val="center"/>
        </w:trPr>
        <w:tc>
          <w:tcPr>
            <w:tcW w:w="3133" w:type="dxa"/>
            <w:gridSpan w:val="4"/>
            <w:shd w:val="clear" w:color="auto" w:fill="4472C4"/>
            <w:vAlign w:val="center"/>
          </w:tcPr>
          <w:p w14:paraId="30E0E99C"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3F6EC36A"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174B86C3" w14:textId="77777777" w:rsidR="00990B14" w:rsidRDefault="00000000">
            <w:pPr>
              <w:keepNext/>
              <w:spacing w:before="20" w:after="20"/>
              <w:jc w:val="center"/>
            </w:pPr>
            <w:r>
              <w:rPr>
                <w:b/>
                <w:bCs/>
                <w:i/>
                <w:iCs/>
                <w:color w:val="FFFFFF"/>
                <w:sz w:val="18"/>
                <w:szCs w:val="18"/>
              </w:rPr>
              <w:t>Evidencias de producto</w:t>
            </w:r>
          </w:p>
        </w:tc>
      </w:tr>
      <w:tr w:rsidR="00990B14" w14:paraId="2AEAD21E" w14:textId="77777777">
        <w:trPr>
          <w:cantSplit/>
          <w:jc w:val="center"/>
        </w:trPr>
        <w:tc>
          <w:tcPr>
            <w:tcW w:w="3133" w:type="dxa"/>
            <w:gridSpan w:val="4"/>
            <w:vMerge w:val="restart"/>
            <w:shd w:val="clear" w:color="auto" w:fill="D9E2F3"/>
            <w:vAlign w:val="center"/>
          </w:tcPr>
          <w:p w14:paraId="3A25751F" w14:textId="77777777" w:rsidR="00990B14" w:rsidRDefault="00000000">
            <w:pPr>
              <w:spacing w:before="20" w:after="20"/>
              <w:jc w:val="both"/>
            </w:pPr>
            <w:r>
              <w:rPr>
                <w:sz w:val="18"/>
                <w:szCs w:val="18"/>
              </w:rPr>
              <w:t>1. Analiza el proceso de producción agrícola, diferenciando los cultivos transitorios de los permanentes y las etapas de su ciclo productivo.</w:t>
            </w:r>
          </w:p>
        </w:tc>
        <w:tc>
          <w:tcPr>
            <w:tcW w:w="3135" w:type="dxa"/>
            <w:gridSpan w:val="5"/>
            <w:shd w:val="clear" w:color="auto" w:fill="D9E2F3"/>
            <w:vAlign w:val="center"/>
          </w:tcPr>
          <w:p w14:paraId="4A0B0246" w14:textId="77777777" w:rsidR="00990B14" w:rsidRDefault="00000000">
            <w:pPr>
              <w:spacing w:before="20" w:after="20"/>
              <w:jc w:val="both"/>
            </w:pPr>
            <w:r>
              <w:rPr>
                <w:sz w:val="18"/>
                <w:szCs w:val="18"/>
              </w:rPr>
              <w:t>1.1 Expone en equipo el ciclo de producción de un cultivo transitorio y de un cultivo permanente.</w:t>
            </w:r>
          </w:p>
        </w:tc>
        <w:tc>
          <w:tcPr>
            <w:tcW w:w="3137" w:type="dxa"/>
            <w:gridSpan w:val="4"/>
            <w:shd w:val="clear" w:color="auto" w:fill="D9E2F3"/>
            <w:vAlign w:val="center"/>
          </w:tcPr>
          <w:p w14:paraId="2363135E" w14:textId="77777777" w:rsidR="00990B14" w:rsidRDefault="00000000">
            <w:pPr>
              <w:spacing w:before="20" w:after="20"/>
              <w:jc w:val="both"/>
            </w:pPr>
            <w:r>
              <w:rPr>
                <w:b/>
                <w:bCs/>
                <w:sz w:val="18"/>
                <w:szCs w:val="18"/>
              </w:rPr>
              <w:t xml:space="preserve">Producto 9: </w:t>
            </w:r>
            <w:r>
              <w:rPr>
                <w:sz w:val="18"/>
                <w:szCs w:val="18"/>
              </w:rPr>
              <w:t>Esquema del ciclo de producción agrícola de un cultivo transitorio y de un cultivo permanente.</w:t>
            </w:r>
          </w:p>
        </w:tc>
      </w:tr>
      <w:tr w:rsidR="00990B14" w14:paraId="0DD6EF44" w14:textId="77777777">
        <w:trPr>
          <w:cantSplit/>
          <w:jc w:val="center"/>
        </w:trPr>
        <w:tc>
          <w:tcPr>
            <w:tcW w:w="3133" w:type="dxa"/>
            <w:gridSpan w:val="4"/>
            <w:vMerge/>
            <w:shd w:val="clear" w:color="auto" w:fill="D9E2F3"/>
            <w:vAlign w:val="center"/>
          </w:tcPr>
          <w:p w14:paraId="0D8BA1FE" w14:textId="77777777" w:rsidR="00990B14" w:rsidRDefault="00990B14">
            <w:pPr>
              <w:spacing w:before="20" w:after="20"/>
            </w:pPr>
          </w:p>
        </w:tc>
        <w:tc>
          <w:tcPr>
            <w:tcW w:w="3135" w:type="dxa"/>
            <w:gridSpan w:val="5"/>
            <w:shd w:val="clear" w:color="auto" w:fill="D9E2F3"/>
            <w:vAlign w:val="center"/>
          </w:tcPr>
          <w:p w14:paraId="40D23FA0" w14:textId="77777777" w:rsidR="00990B14" w:rsidRDefault="00000000">
            <w:pPr>
              <w:spacing w:before="20" w:after="20"/>
              <w:jc w:val="both"/>
            </w:pPr>
            <w:r>
              <w:rPr>
                <w:sz w:val="18"/>
                <w:szCs w:val="18"/>
              </w:rPr>
              <w:t>1.2 Calcula en el laboratorio de cómputo el rendimiento por hectárea de una campaña con sus registros de campo.</w:t>
            </w:r>
          </w:p>
        </w:tc>
        <w:tc>
          <w:tcPr>
            <w:tcW w:w="3137" w:type="dxa"/>
            <w:gridSpan w:val="4"/>
            <w:shd w:val="clear" w:color="auto" w:fill="D9E2F3"/>
            <w:vAlign w:val="center"/>
          </w:tcPr>
          <w:p w14:paraId="5CDFB95C" w14:textId="77777777" w:rsidR="00990B14" w:rsidRDefault="00000000">
            <w:pPr>
              <w:spacing w:before="20" w:after="20"/>
              <w:jc w:val="both"/>
            </w:pPr>
            <w:r>
              <w:rPr>
                <w:b/>
                <w:bCs/>
                <w:sz w:val="18"/>
                <w:szCs w:val="18"/>
              </w:rPr>
              <w:t xml:space="preserve">Producto 10: </w:t>
            </w:r>
            <w:r>
              <w:rPr>
                <w:sz w:val="18"/>
                <w:szCs w:val="18"/>
              </w:rPr>
              <w:t>Registro de campaña agrícola con el rendimiento por hectárea.</w:t>
            </w:r>
          </w:p>
        </w:tc>
      </w:tr>
      <w:tr w:rsidR="00990B14" w14:paraId="428018AE" w14:textId="77777777">
        <w:trPr>
          <w:cantSplit/>
          <w:jc w:val="center"/>
        </w:trPr>
        <w:tc>
          <w:tcPr>
            <w:tcW w:w="3133" w:type="dxa"/>
            <w:gridSpan w:val="4"/>
            <w:vMerge w:val="restart"/>
            <w:shd w:val="clear" w:color="auto" w:fill="D9E2F3"/>
            <w:vAlign w:val="center"/>
          </w:tcPr>
          <w:p w14:paraId="09A5CC50" w14:textId="77777777" w:rsidR="00990B14" w:rsidRDefault="00000000">
            <w:pPr>
              <w:spacing w:before="20" w:after="20"/>
              <w:jc w:val="both"/>
            </w:pPr>
            <w:r>
              <w:rPr>
                <w:sz w:val="18"/>
                <w:szCs w:val="18"/>
              </w:rPr>
              <w:t>2. Determina el costo unitario de adquisición de los bienes de una empresa agrícola según la condición tributaria del proveedor y la operación de comercio exterior.</w:t>
            </w:r>
          </w:p>
        </w:tc>
        <w:tc>
          <w:tcPr>
            <w:tcW w:w="3135" w:type="dxa"/>
            <w:gridSpan w:val="5"/>
            <w:shd w:val="clear" w:color="auto" w:fill="D9E2F3"/>
            <w:vAlign w:val="center"/>
          </w:tcPr>
          <w:p w14:paraId="389BCCEA" w14:textId="77777777" w:rsidR="00990B14" w:rsidRDefault="00000000">
            <w:pPr>
              <w:spacing w:before="20" w:after="20"/>
              <w:jc w:val="both"/>
            </w:pPr>
            <w:r>
              <w:rPr>
                <w:sz w:val="18"/>
                <w:szCs w:val="18"/>
              </w:rPr>
              <w:t>2.1 Determina el costo unitario de adquisición de insumos agrícolas en los cinco casos del régimen tributario.</w:t>
            </w:r>
          </w:p>
        </w:tc>
        <w:tc>
          <w:tcPr>
            <w:tcW w:w="3137" w:type="dxa"/>
            <w:gridSpan w:val="4"/>
            <w:shd w:val="clear" w:color="auto" w:fill="D9E2F3"/>
            <w:vAlign w:val="center"/>
          </w:tcPr>
          <w:p w14:paraId="4C10FB28" w14:textId="77777777" w:rsidR="00990B14" w:rsidRDefault="00000000">
            <w:pPr>
              <w:spacing w:before="20" w:after="20"/>
              <w:jc w:val="both"/>
            </w:pPr>
            <w:r>
              <w:rPr>
                <w:b/>
                <w:bCs/>
                <w:sz w:val="18"/>
                <w:szCs w:val="18"/>
              </w:rPr>
              <w:t xml:space="preserve">Producto 11: </w:t>
            </w:r>
            <w:r>
              <w:rPr>
                <w:sz w:val="18"/>
                <w:szCs w:val="18"/>
              </w:rPr>
              <w:t>Cédula de determinación del costo unitario de adquisición de insumos agrícolas.</w:t>
            </w:r>
          </w:p>
        </w:tc>
      </w:tr>
      <w:tr w:rsidR="00990B14" w14:paraId="6C53E291" w14:textId="77777777">
        <w:trPr>
          <w:cantSplit/>
          <w:jc w:val="center"/>
        </w:trPr>
        <w:tc>
          <w:tcPr>
            <w:tcW w:w="3133" w:type="dxa"/>
            <w:gridSpan w:val="4"/>
            <w:vMerge/>
            <w:shd w:val="clear" w:color="auto" w:fill="D9E2F3"/>
            <w:vAlign w:val="center"/>
          </w:tcPr>
          <w:p w14:paraId="473F9B4F" w14:textId="77777777" w:rsidR="00990B14" w:rsidRDefault="00990B14">
            <w:pPr>
              <w:spacing w:before="20" w:after="20"/>
            </w:pPr>
          </w:p>
        </w:tc>
        <w:tc>
          <w:tcPr>
            <w:tcW w:w="3135" w:type="dxa"/>
            <w:gridSpan w:val="5"/>
            <w:shd w:val="clear" w:color="auto" w:fill="D9E2F3"/>
            <w:vAlign w:val="center"/>
          </w:tcPr>
          <w:p w14:paraId="6E360634" w14:textId="77777777" w:rsidR="00990B14" w:rsidRDefault="00000000">
            <w:pPr>
              <w:spacing w:before="20" w:after="20"/>
              <w:jc w:val="both"/>
            </w:pPr>
            <w:r>
              <w:rPr>
                <w:sz w:val="18"/>
                <w:szCs w:val="18"/>
              </w:rPr>
              <w:t>2.2 Registra en equipo las retenciones por compras sin factura y su respaldo documental.</w:t>
            </w:r>
          </w:p>
        </w:tc>
        <w:tc>
          <w:tcPr>
            <w:tcW w:w="3137" w:type="dxa"/>
            <w:gridSpan w:val="4"/>
            <w:shd w:val="clear" w:color="auto" w:fill="D9E2F3"/>
            <w:vAlign w:val="center"/>
          </w:tcPr>
          <w:p w14:paraId="2998F74C" w14:textId="77777777" w:rsidR="00990B14" w:rsidRDefault="00000000">
            <w:pPr>
              <w:spacing w:before="20" w:after="20"/>
              <w:jc w:val="both"/>
            </w:pPr>
            <w:r>
              <w:rPr>
                <w:b/>
                <w:bCs/>
                <w:sz w:val="18"/>
                <w:szCs w:val="18"/>
              </w:rPr>
              <w:t xml:space="preserve">Producto 12: </w:t>
            </w:r>
            <w:r>
              <w:rPr>
                <w:sz w:val="18"/>
                <w:szCs w:val="18"/>
              </w:rPr>
              <w:t>Planilla de retenciones por compras sin factura con su respaldo documental.</w:t>
            </w:r>
          </w:p>
        </w:tc>
      </w:tr>
      <w:tr w:rsidR="00990B14" w14:paraId="36CF959F" w14:textId="77777777">
        <w:trPr>
          <w:cantSplit/>
          <w:jc w:val="center"/>
        </w:trPr>
        <w:tc>
          <w:tcPr>
            <w:tcW w:w="3133" w:type="dxa"/>
            <w:gridSpan w:val="4"/>
            <w:vMerge w:val="restart"/>
            <w:shd w:val="clear" w:color="auto" w:fill="D9E2F3"/>
            <w:vAlign w:val="center"/>
          </w:tcPr>
          <w:p w14:paraId="6927CB36" w14:textId="77777777" w:rsidR="00990B14" w:rsidRDefault="00000000">
            <w:pPr>
              <w:spacing w:before="20" w:after="20"/>
              <w:jc w:val="both"/>
            </w:pPr>
            <w:r>
              <w:rPr>
                <w:sz w:val="18"/>
                <w:szCs w:val="18"/>
              </w:rPr>
              <w:t>3. Elabora los estados financieros de una empresa agrícola, registrando sus activos biológicos, plantas productoras, pasivos y previsiones conforme a NC y NIIF.</w:t>
            </w:r>
          </w:p>
        </w:tc>
        <w:tc>
          <w:tcPr>
            <w:tcW w:w="3135" w:type="dxa"/>
            <w:gridSpan w:val="5"/>
            <w:shd w:val="clear" w:color="auto" w:fill="D9E2F3"/>
            <w:vAlign w:val="center"/>
          </w:tcPr>
          <w:p w14:paraId="36ABBE3E" w14:textId="77777777" w:rsidR="00990B14" w:rsidRDefault="00000000">
            <w:pPr>
              <w:spacing w:before="20" w:after="20"/>
              <w:jc w:val="both"/>
            </w:pPr>
            <w:r>
              <w:rPr>
                <w:sz w:val="18"/>
                <w:szCs w:val="18"/>
              </w:rPr>
              <w:t>3.1 Contabiliza los sembradíos en curso y los cultivos permanentes con su costo de producción.</w:t>
            </w:r>
          </w:p>
        </w:tc>
        <w:tc>
          <w:tcPr>
            <w:tcW w:w="3137" w:type="dxa"/>
            <w:gridSpan w:val="4"/>
            <w:shd w:val="clear" w:color="auto" w:fill="D9E2F3"/>
            <w:vAlign w:val="center"/>
          </w:tcPr>
          <w:p w14:paraId="75AE3260" w14:textId="77777777" w:rsidR="00990B14" w:rsidRDefault="00000000">
            <w:pPr>
              <w:spacing w:before="20" w:after="20"/>
              <w:jc w:val="both"/>
            </w:pPr>
            <w:r>
              <w:rPr>
                <w:b/>
                <w:bCs/>
                <w:sz w:val="18"/>
                <w:szCs w:val="18"/>
              </w:rPr>
              <w:t xml:space="preserve">Producto 13: </w:t>
            </w:r>
            <w:r>
              <w:rPr>
                <w:sz w:val="18"/>
                <w:szCs w:val="18"/>
              </w:rPr>
              <w:t>Esquema de contabilización de sembradíos en curso y de cultivos permanentes.</w:t>
            </w:r>
          </w:p>
        </w:tc>
      </w:tr>
      <w:tr w:rsidR="00990B14" w14:paraId="64F5C04B" w14:textId="77777777">
        <w:trPr>
          <w:cantSplit/>
          <w:jc w:val="center"/>
        </w:trPr>
        <w:tc>
          <w:tcPr>
            <w:tcW w:w="3133" w:type="dxa"/>
            <w:gridSpan w:val="4"/>
            <w:vMerge/>
            <w:shd w:val="clear" w:color="auto" w:fill="D9E2F3"/>
            <w:vAlign w:val="center"/>
          </w:tcPr>
          <w:p w14:paraId="54ABBB45" w14:textId="77777777" w:rsidR="00990B14" w:rsidRDefault="00990B14">
            <w:pPr>
              <w:spacing w:before="20" w:after="20"/>
            </w:pPr>
          </w:p>
        </w:tc>
        <w:tc>
          <w:tcPr>
            <w:tcW w:w="3135" w:type="dxa"/>
            <w:gridSpan w:val="5"/>
            <w:shd w:val="clear" w:color="auto" w:fill="D9E2F3"/>
            <w:vAlign w:val="center"/>
          </w:tcPr>
          <w:p w14:paraId="5B3C1CFB" w14:textId="77777777" w:rsidR="00990B14" w:rsidRDefault="00000000">
            <w:pPr>
              <w:spacing w:before="20" w:after="20"/>
              <w:jc w:val="both"/>
            </w:pPr>
            <w:r>
              <w:rPr>
                <w:sz w:val="18"/>
                <w:szCs w:val="18"/>
              </w:rPr>
              <w:t>3.2 Desarrolla el ciclo contable de una empresa agrícola, de la apertura a los estados financieros.</w:t>
            </w:r>
          </w:p>
        </w:tc>
        <w:tc>
          <w:tcPr>
            <w:tcW w:w="3137" w:type="dxa"/>
            <w:gridSpan w:val="4"/>
            <w:shd w:val="clear" w:color="auto" w:fill="D9E2F3"/>
            <w:vAlign w:val="center"/>
          </w:tcPr>
          <w:p w14:paraId="2C30BE00" w14:textId="77777777" w:rsidR="00990B14" w:rsidRDefault="00000000">
            <w:pPr>
              <w:spacing w:before="20" w:after="20"/>
              <w:jc w:val="both"/>
            </w:pPr>
            <w:r>
              <w:rPr>
                <w:b/>
                <w:bCs/>
                <w:sz w:val="18"/>
                <w:szCs w:val="18"/>
              </w:rPr>
              <w:t xml:space="preserve">Producto 14: </w:t>
            </w:r>
            <w:r>
              <w:rPr>
                <w:sz w:val="18"/>
                <w:szCs w:val="18"/>
              </w:rPr>
              <w:t>Estados financieros de una empresa agrícola.</w:t>
            </w:r>
          </w:p>
        </w:tc>
      </w:tr>
      <w:tr w:rsidR="00990B14" w14:paraId="7BBFE3B6" w14:textId="77777777">
        <w:trPr>
          <w:cantSplit/>
          <w:jc w:val="center"/>
        </w:trPr>
        <w:tc>
          <w:tcPr>
            <w:tcW w:w="9405" w:type="dxa"/>
            <w:gridSpan w:val="13"/>
            <w:shd w:val="clear" w:color="auto" w:fill="4472C4"/>
            <w:vAlign w:val="center"/>
          </w:tcPr>
          <w:p w14:paraId="42DEE339" w14:textId="77777777" w:rsidR="00990B14" w:rsidRDefault="00000000">
            <w:pPr>
              <w:keepNext/>
              <w:spacing w:before="20" w:after="20"/>
              <w:jc w:val="center"/>
            </w:pPr>
            <w:r>
              <w:rPr>
                <w:b/>
                <w:bCs/>
                <w:i/>
                <w:iCs/>
                <w:color w:val="FFFFFF"/>
                <w:sz w:val="18"/>
                <w:szCs w:val="18"/>
              </w:rPr>
              <w:t>Evidencias de conocimiento</w:t>
            </w:r>
          </w:p>
        </w:tc>
      </w:tr>
      <w:tr w:rsidR="00990B14" w14:paraId="6F33D29E" w14:textId="77777777">
        <w:trPr>
          <w:cantSplit/>
          <w:jc w:val="center"/>
        </w:trPr>
        <w:tc>
          <w:tcPr>
            <w:tcW w:w="2349" w:type="dxa"/>
            <w:gridSpan w:val="2"/>
            <w:shd w:val="clear" w:color="auto" w:fill="4472C4"/>
            <w:vAlign w:val="center"/>
          </w:tcPr>
          <w:p w14:paraId="0B8FAD70"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21FD5FF4" w14:textId="77777777" w:rsidR="00990B14" w:rsidRDefault="00000000">
            <w:pPr>
              <w:keepNext/>
              <w:spacing w:before="20" w:after="20"/>
              <w:jc w:val="both"/>
            </w:pPr>
            <w:r>
              <w:rPr>
                <w:b/>
                <w:bCs/>
                <w:i/>
                <w:iCs/>
                <w:color w:val="FFFFFF"/>
                <w:sz w:val="18"/>
                <w:szCs w:val="18"/>
              </w:rPr>
              <w:t>Contenidos</w:t>
            </w:r>
          </w:p>
          <w:p w14:paraId="1056EB4F"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718DFD1A" w14:textId="77777777" w:rsidR="00990B14" w:rsidRDefault="00000000">
            <w:pPr>
              <w:keepNext/>
              <w:spacing w:before="20" w:after="20"/>
              <w:jc w:val="center"/>
            </w:pPr>
            <w:r>
              <w:rPr>
                <w:b/>
                <w:bCs/>
                <w:i/>
                <w:iCs/>
                <w:color w:val="FFFFFF"/>
                <w:sz w:val="18"/>
                <w:szCs w:val="18"/>
              </w:rPr>
              <w:t>Conocimientos circunstanciales</w:t>
            </w:r>
          </w:p>
        </w:tc>
      </w:tr>
      <w:tr w:rsidR="00990B14" w14:paraId="2E01C29C" w14:textId="77777777">
        <w:trPr>
          <w:jc w:val="center"/>
        </w:trPr>
        <w:tc>
          <w:tcPr>
            <w:tcW w:w="2349" w:type="dxa"/>
            <w:gridSpan w:val="2"/>
            <w:shd w:val="clear" w:color="auto" w:fill="D9E2F3"/>
          </w:tcPr>
          <w:p w14:paraId="3223E120" w14:textId="77777777" w:rsidR="00990B14" w:rsidRDefault="00000000">
            <w:pPr>
              <w:spacing w:before="20" w:after="40"/>
              <w:jc w:val="both"/>
            </w:pPr>
            <w:r>
              <w:rPr>
                <w:sz w:val="18"/>
                <w:szCs w:val="18"/>
              </w:rPr>
              <w:t>Tema 3: El proceso de producción en la agricultura</w:t>
            </w:r>
          </w:p>
          <w:p w14:paraId="2580477E" w14:textId="77777777" w:rsidR="00990B14" w:rsidRDefault="00000000">
            <w:pPr>
              <w:spacing w:before="20" w:after="40"/>
              <w:jc w:val="both"/>
            </w:pPr>
            <w:r>
              <w:rPr>
                <w:sz w:val="18"/>
                <w:szCs w:val="18"/>
              </w:rPr>
              <w:t>Tema 4: Inversión, explotación y rendimiento en la actividad agrícola</w:t>
            </w:r>
          </w:p>
          <w:p w14:paraId="45436F76" w14:textId="77777777" w:rsidR="00990B14" w:rsidRDefault="00000000">
            <w:pPr>
              <w:spacing w:before="20" w:after="40"/>
              <w:jc w:val="both"/>
            </w:pPr>
            <w:r>
              <w:rPr>
                <w:sz w:val="18"/>
                <w:szCs w:val="18"/>
              </w:rPr>
              <w:t>Tema 5: Práctica contable agrícola</w:t>
            </w:r>
          </w:p>
        </w:tc>
        <w:tc>
          <w:tcPr>
            <w:tcW w:w="4304" w:type="dxa"/>
            <w:gridSpan w:val="8"/>
            <w:shd w:val="clear" w:color="auto" w:fill="D9E2F3"/>
          </w:tcPr>
          <w:p w14:paraId="4717CEAB" w14:textId="77777777" w:rsidR="00990B14" w:rsidRDefault="00000000">
            <w:pPr>
              <w:spacing w:after="40"/>
              <w:jc w:val="both"/>
            </w:pPr>
            <w:r>
              <w:rPr>
                <w:sz w:val="18"/>
                <w:szCs w:val="18"/>
              </w:rPr>
              <w:t>La agricultura en Bolivia, su importancia y zonas agrícolas. (C)</w:t>
            </w:r>
          </w:p>
          <w:p w14:paraId="776056ED" w14:textId="77777777" w:rsidR="00990B14" w:rsidRDefault="00000000">
            <w:pPr>
              <w:spacing w:after="40"/>
              <w:jc w:val="both"/>
            </w:pPr>
            <w:r>
              <w:rPr>
                <w:sz w:val="18"/>
                <w:szCs w:val="18"/>
              </w:rPr>
              <w:t>Concepto de agricultura, división y productividad del agro o actividad agrícola, agricultura extensiva e intensiva, la especialización y la potencialidad de la producción agrícola. (C)</w:t>
            </w:r>
          </w:p>
          <w:p w14:paraId="45F3B603" w14:textId="77777777" w:rsidR="00990B14" w:rsidRDefault="00000000">
            <w:pPr>
              <w:spacing w:after="40"/>
              <w:jc w:val="both"/>
            </w:pPr>
            <w:r>
              <w:rPr>
                <w:sz w:val="18"/>
                <w:szCs w:val="18"/>
              </w:rPr>
              <w:t>Formas de producción por el tiempo: cultivos transitorios con sus características y cultivos permanentes con sus particularidades. (C)</w:t>
            </w:r>
          </w:p>
          <w:p w14:paraId="319A6AEE" w14:textId="77777777" w:rsidR="00990B14" w:rsidRDefault="00000000">
            <w:pPr>
              <w:spacing w:after="40"/>
              <w:jc w:val="both"/>
            </w:pPr>
            <w:r>
              <w:rPr>
                <w:sz w:val="18"/>
                <w:szCs w:val="18"/>
              </w:rPr>
              <w:t>Ciclo de producción agrícola: preparación de tierras, siembra, labores culturales o post siembra, cosecha y manipuleo. (P)</w:t>
            </w:r>
          </w:p>
          <w:p w14:paraId="0C04FE23" w14:textId="77777777" w:rsidR="00990B14" w:rsidRDefault="00000000">
            <w:pPr>
              <w:spacing w:after="40"/>
              <w:jc w:val="both"/>
            </w:pPr>
            <w:r>
              <w:rPr>
                <w:sz w:val="18"/>
                <w:szCs w:val="18"/>
              </w:rPr>
              <w:t>Buenas prácticas agrícolas y manejo sostenible del suelo y del agua: rotación de cultivos, uso de agroquímicos y conservación de la cobertura vegetal. (C)</w:t>
            </w:r>
          </w:p>
          <w:p w14:paraId="369637BE" w14:textId="77777777" w:rsidR="00990B14" w:rsidRDefault="00000000">
            <w:pPr>
              <w:spacing w:after="40"/>
              <w:jc w:val="both"/>
            </w:pPr>
            <w:r>
              <w:rPr>
                <w:sz w:val="18"/>
                <w:szCs w:val="18"/>
              </w:rPr>
              <w:t>Importancia de la inversión, la explotación y el rendimiento en la actividad agrícola. (C)</w:t>
            </w:r>
          </w:p>
          <w:p w14:paraId="3BE54240" w14:textId="77777777" w:rsidR="00990B14" w:rsidRDefault="00000000">
            <w:pPr>
              <w:spacing w:after="40"/>
              <w:jc w:val="both"/>
            </w:pPr>
            <w:r>
              <w:rPr>
                <w:sz w:val="18"/>
                <w:szCs w:val="18"/>
              </w:rPr>
              <w:t>Posición del Estado Plurinacional de Bolivia en las negociaciones internacionales de Naciones Unidas, y la Conferencia de Desarrollo Sostenible Río+20, El futuro que queremos. (C)</w:t>
            </w:r>
          </w:p>
          <w:p w14:paraId="652B5D00" w14:textId="77777777" w:rsidR="00990B14" w:rsidRDefault="00000000">
            <w:pPr>
              <w:spacing w:after="40"/>
              <w:jc w:val="both"/>
            </w:pPr>
            <w:r>
              <w:rPr>
                <w:sz w:val="18"/>
                <w:szCs w:val="18"/>
              </w:rPr>
              <w:t>El vivir bien en el Programa de las Naciones Unidas para el Medio Ambiente, en el Convenio sobre la Diversidad Biológica, en el Foro de las Naciones Unidas sobre los Bosques y en la Plataforma Intergubernamental sobre Biodiversidad y Servicios Ecosistémicos. (C, T)</w:t>
            </w:r>
          </w:p>
          <w:p w14:paraId="4B9BBB57" w14:textId="77777777" w:rsidR="00990B14" w:rsidRDefault="00000000">
            <w:pPr>
              <w:spacing w:after="40"/>
              <w:jc w:val="both"/>
            </w:pPr>
            <w:r>
              <w:rPr>
                <w:sz w:val="18"/>
                <w:szCs w:val="18"/>
              </w:rPr>
              <w:t>Avance del mecanismo conjunto de mitigación y adaptación para el manejo integral y sustentable de los bosques, el vivir bien en la Convención Marco de las Naciones Unidas sobre el Cambio Climático, y la cooperación internacional. (C)</w:t>
            </w:r>
          </w:p>
          <w:p w14:paraId="306ED97D" w14:textId="77777777" w:rsidR="00990B14" w:rsidRDefault="00000000">
            <w:pPr>
              <w:spacing w:after="40"/>
              <w:jc w:val="both"/>
            </w:pPr>
            <w:r>
              <w:rPr>
                <w:sz w:val="18"/>
                <w:szCs w:val="18"/>
              </w:rPr>
              <w:t>Riesgo climático de la actividad agrícola y su revelación conforme a la NIIF S2: sequías, heladas, inundaciones e incendios. (C)</w:t>
            </w:r>
          </w:p>
          <w:p w14:paraId="279A64EE" w14:textId="77777777" w:rsidR="00990B14" w:rsidRDefault="00000000">
            <w:pPr>
              <w:spacing w:after="40"/>
              <w:jc w:val="both"/>
            </w:pPr>
            <w:r>
              <w:rPr>
                <w:sz w:val="18"/>
                <w:szCs w:val="18"/>
              </w:rPr>
              <w:t>Agricultura de precisión y uso de datos: registros de campaña, rendimiento por hectárea e imágenes satelitales en la planificación del cultivo. (P)</w:t>
            </w:r>
          </w:p>
          <w:p w14:paraId="691ED41A" w14:textId="77777777" w:rsidR="00990B14" w:rsidRDefault="00000000">
            <w:pPr>
              <w:spacing w:after="40"/>
              <w:jc w:val="both"/>
            </w:pPr>
            <w:r>
              <w:rPr>
                <w:sz w:val="18"/>
                <w:szCs w:val="18"/>
              </w:rPr>
              <w:t>Conceptos de contabilidad agrícola y nomenclatura de cuentas. (C)</w:t>
            </w:r>
          </w:p>
          <w:p w14:paraId="5EBBDAE3" w14:textId="77777777" w:rsidR="00990B14" w:rsidRDefault="00000000">
            <w:pPr>
              <w:spacing w:after="40"/>
              <w:jc w:val="both"/>
            </w:pPr>
            <w:r>
              <w:rPr>
                <w:sz w:val="18"/>
                <w:szCs w:val="18"/>
              </w:rPr>
              <w:t>Cuentas del activo: disponibilidades y cuentas por cobrar. (C)</w:t>
            </w:r>
          </w:p>
          <w:p w14:paraId="67C91074" w14:textId="77777777" w:rsidR="00990B14" w:rsidRDefault="00000000">
            <w:pPr>
              <w:spacing w:after="40"/>
              <w:jc w:val="both"/>
            </w:pPr>
            <w:r>
              <w:rPr>
                <w:sz w:val="18"/>
                <w:szCs w:val="18"/>
              </w:rPr>
              <w:t>Inventarios o almacenes: almacén de productos cosechados, almacén de sanidad vegetal, almacén de suministros, almacén de combustibles, almacén de biocombustibles y almacén de semillas, con la adquisición de semillas. (C)</w:t>
            </w:r>
          </w:p>
          <w:p w14:paraId="278911C0" w14:textId="77777777" w:rsidR="00990B14" w:rsidRDefault="00000000">
            <w:pPr>
              <w:spacing w:after="40"/>
              <w:jc w:val="both"/>
            </w:pPr>
            <w:r>
              <w:rPr>
                <w:sz w:val="18"/>
                <w:szCs w:val="18"/>
              </w:rPr>
              <w:t>Determinación del costo unitario de adquisición de bienes en cinco casos: empresas del mercado interno que adquieren bienes del mercado formal con factura o nota fiscal; empresas del mercado interno que adquieren bienes sin factura; empresas del mercado interno que adquieren bienes de una persona natural inscrita en el Régimen Agropecuario Unificado; empresas del mercado interno o externo que importan bienes; y empresas exportadoras con actividades industriales que adquieren bienes sin factura. (P)</w:t>
            </w:r>
          </w:p>
          <w:p w14:paraId="507AC3E6" w14:textId="77777777" w:rsidR="00990B14" w:rsidRDefault="00000000">
            <w:pPr>
              <w:spacing w:after="40"/>
              <w:jc w:val="both"/>
            </w:pPr>
            <w:r>
              <w:rPr>
                <w:sz w:val="18"/>
                <w:szCs w:val="18"/>
              </w:rPr>
              <w:t>Decreto Supremo N.º 27337 y resoluciones normativas de directorio sobre las retenciones del Impuesto sobre las Utilidades de las Empresas y del Impuesto a las Transacciones en el sector industrial exportador, y su efecto en el costo unitario. (C)</w:t>
            </w:r>
          </w:p>
          <w:p w14:paraId="10BA1D88" w14:textId="77777777" w:rsidR="00990B14" w:rsidRDefault="00000000">
            <w:pPr>
              <w:spacing w:after="40"/>
              <w:jc w:val="both"/>
            </w:pPr>
            <w:r>
              <w:rPr>
                <w:sz w:val="18"/>
                <w:szCs w:val="18"/>
              </w:rPr>
              <w:t>Almacén de subproductos agrícolas, almacén de estiércol o estercolero, y pagos anticipados. (C)</w:t>
            </w:r>
          </w:p>
          <w:p w14:paraId="4F0BAF1D" w14:textId="77777777" w:rsidR="00990B14" w:rsidRDefault="00000000">
            <w:pPr>
              <w:spacing w:after="40"/>
              <w:jc w:val="both"/>
            </w:pPr>
            <w:r>
              <w:rPr>
                <w:sz w:val="18"/>
                <w:szCs w:val="18"/>
              </w:rPr>
              <w:t>Inversiones, obras en ejecución y activos fijos, con las características de sus adquisiciones y compras como aportes de capital, sus registros auxiliares, valuación y actualización. (C, P)</w:t>
            </w:r>
          </w:p>
          <w:p w14:paraId="0E49DB08" w14:textId="77777777" w:rsidR="00990B14" w:rsidRDefault="00000000">
            <w:pPr>
              <w:spacing w:after="40"/>
              <w:jc w:val="both"/>
            </w:pPr>
            <w:r>
              <w:rPr>
                <w:sz w:val="18"/>
                <w:szCs w:val="18"/>
              </w:rPr>
              <w:t>Existencias de materiales y repuestos, activos biológicos productivos y activos transitorios biológicos. (C)</w:t>
            </w:r>
          </w:p>
          <w:p w14:paraId="4264802C" w14:textId="77777777" w:rsidR="00990B14" w:rsidRDefault="00000000">
            <w:pPr>
              <w:spacing w:after="40"/>
              <w:jc w:val="both"/>
            </w:pPr>
            <w:r>
              <w:rPr>
                <w:sz w:val="18"/>
                <w:szCs w:val="18"/>
              </w:rPr>
              <w:t>Clasificación de las plantaciones: plantas productoras y activos biológicos consumibles medidos. (C)</w:t>
            </w:r>
          </w:p>
          <w:p w14:paraId="2495EFA7" w14:textId="77777777" w:rsidR="00990B14" w:rsidRDefault="00000000">
            <w:pPr>
              <w:spacing w:after="40"/>
              <w:jc w:val="both"/>
            </w:pPr>
            <w:r>
              <w:rPr>
                <w:sz w:val="18"/>
                <w:szCs w:val="18"/>
              </w:rPr>
              <w:t>Sembradíos en curso: contabilidad, esquema y determinación del costo de producción. (P)</w:t>
            </w:r>
          </w:p>
          <w:p w14:paraId="2717A114" w14:textId="77777777" w:rsidR="00990B14" w:rsidRDefault="00000000">
            <w:pPr>
              <w:spacing w:after="40"/>
              <w:jc w:val="both"/>
            </w:pPr>
            <w:r>
              <w:rPr>
                <w:sz w:val="18"/>
                <w:szCs w:val="18"/>
              </w:rPr>
              <w:t>Activos productivos: existencias de plantaciones, proyectos de plantaciones y cosechas pendientes; contabilidad de los cultivos permanentes, esquema y determinación del costo de producción. (P)</w:t>
            </w:r>
          </w:p>
          <w:p w14:paraId="508B33B6" w14:textId="77777777" w:rsidR="00990B14" w:rsidRDefault="00000000">
            <w:pPr>
              <w:spacing w:after="40"/>
              <w:jc w:val="both"/>
            </w:pPr>
            <w:r>
              <w:rPr>
                <w:sz w:val="18"/>
                <w:szCs w:val="18"/>
              </w:rPr>
              <w:t>Activos transitorios de producción en curso, fabricación y elaboración, diferidos e intangibles. (P)</w:t>
            </w:r>
          </w:p>
          <w:p w14:paraId="074BB6D8" w14:textId="77777777" w:rsidR="00990B14" w:rsidRDefault="00000000">
            <w:pPr>
              <w:spacing w:after="40"/>
              <w:jc w:val="both"/>
            </w:pPr>
            <w:r>
              <w:rPr>
                <w:sz w:val="18"/>
                <w:szCs w:val="18"/>
              </w:rPr>
              <w:t>Cuentas del pasivo: obligaciones tributarias, laborales y comerciales, otras obligaciones, ingresos anticipados, obligaciones a largo plazo y diferidos. (C)</w:t>
            </w:r>
          </w:p>
          <w:p w14:paraId="7EB23B41" w14:textId="77777777" w:rsidR="00990B14" w:rsidRDefault="00000000">
            <w:pPr>
              <w:spacing w:after="40"/>
              <w:jc w:val="both"/>
            </w:pPr>
            <w:r>
              <w:rPr>
                <w:sz w:val="18"/>
                <w:szCs w:val="18"/>
              </w:rPr>
              <w:t>Previsiones y provisiones: previsión para riesgos no asegurables y previsión para desvalorización de productos agropecuarios. (C)</w:t>
            </w:r>
          </w:p>
          <w:p w14:paraId="16983510" w14:textId="77777777" w:rsidR="00990B14" w:rsidRDefault="00000000">
            <w:pPr>
              <w:spacing w:after="40"/>
              <w:jc w:val="both"/>
            </w:pPr>
            <w:r>
              <w:rPr>
                <w:sz w:val="18"/>
                <w:szCs w:val="18"/>
              </w:rPr>
              <w:t>Deterioro de los activos biológicos y de las existencias por eventos climáticos o sanitarios, y su respaldo documental. (C)</w:t>
            </w:r>
          </w:p>
          <w:p w14:paraId="68385172" w14:textId="77777777" w:rsidR="00990B14" w:rsidRDefault="00000000">
            <w:pPr>
              <w:spacing w:after="40"/>
              <w:jc w:val="both"/>
            </w:pPr>
            <w:r>
              <w:rPr>
                <w:sz w:val="18"/>
                <w:szCs w:val="18"/>
              </w:rPr>
              <w:t>Cuentas del patrimonio y recomendaciones específicas: aportes por capitalizar, capital social, libro de asamblea de accionistas y registro de emisión de acciones, utilidades y reserva legal, y cuentas reguladoras. (P)</w:t>
            </w:r>
          </w:p>
          <w:p w14:paraId="539969D0" w14:textId="77777777" w:rsidR="00990B14" w:rsidRDefault="00000000">
            <w:pPr>
              <w:spacing w:after="40"/>
              <w:jc w:val="both"/>
            </w:pPr>
            <w:r>
              <w:rPr>
                <w:sz w:val="18"/>
                <w:szCs w:val="18"/>
              </w:rPr>
              <w:t>Cuentas de ingresos: ingresos operativos, ventas y otros ingresos; cuentas de orden; cuentas de costo y costo de ventas. (C)</w:t>
            </w:r>
          </w:p>
          <w:p w14:paraId="3F7D43E1" w14:textId="77777777" w:rsidR="00990B14" w:rsidRDefault="00000000">
            <w:pPr>
              <w:spacing w:after="40"/>
              <w:jc w:val="both"/>
            </w:pPr>
            <w:r>
              <w:rPr>
                <w:sz w:val="18"/>
                <w:szCs w:val="18"/>
              </w:rPr>
              <w:t>Cuentas de egresos: gastos de administración, sueldos y salarios, manutención o subvención al personal, pagos a contratistas o personal eventual, depreciaciones, mantenimiento y reparaciones, pérdida de productos cosechados y mermas. (C)</w:t>
            </w:r>
          </w:p>
          <w:p w14:paraId="43A1D71E" w14:textId="77777777" w:rsidR="00990B14" w:rsidRDefault="00000000">
            <w:pPr>
              <w:spacing w:after="40"/>
              <w:jc w:val="both"/>
            </w:pPr>
            <w:r>
              <w:rPr>
                <w:sz w:val="18"/>
                <w:szCs w:val="18"/>
              </w:rPr>
              <w:t>Ventas con sus descuentos, rebajas y bonificaciones. (C)</w:t>
            </w:r>
          </w:p>
          <w:p w14:paraId="32C68592" w14:textId="77777777" w:rsidR="00990B14" w:rsidRDefault="00000000">
            <w:pPr>
              <w:spacing w:after="40"/>
              <w:jc w:val="both"/>
            </w:pPr>
            <w:r>
              <w:rPr>
                <w:sz w:val="18"/>
                <w:szCs w:val="18"/>
              </w:rPr>
              <w:t>Inicio de actividades, balance de apertura, registros contables, ajustes y regularizaciones, y preparación de los estados financieros. (P)</w:t>
            </w:r>
          </w:p>
          <w:p w14:paraId="04FF0C8E" w14:textId="77777777" w:rsidR="00990B14" w:rsidRDefault="00000000">
            <w:pPr>
              <w:spacing w:after="40"/>
              <w:jc w:val="both"/>
            </w:pPr>
            <w:r>
              <w:rPr>
                <w:sz w:val="18"/>
                <w:szCs w:val="18"/>
              </w:rPr>
              <w:t>Registro de las operaciones agrícolas en sistema contable excel: control por campaña, por cultivo y por centro de costo. (P, T)</w:t>
            </w:r>
          </w:p>
        </w:tc>
        <w:tc>
          <w:tcPr>
            <w:tcW w:w="2752" w:type="dxa"/>
            <w:gridSpan w:val="3"/>
            <w:shd w:val="clear" w:color="auto" w:fill="D9E2F3"/>
          </w:tcPr>
          <w:p w14:paraId="4791673F" w14:textId="77777777" w:rsidR="00990B14" w:rsidRDefault="00000000">
            <w:pPr>
              <w:numPr>
                <w:ilvl w:val="0"/>
                <w:numId w:val="139"/>
              </w:numPr>
              <w:spacing w:before="10" w:after="10"/>
              <w:jc w:val="both"/>
            </w:pPr>
            <w:r>
              <w:rPr>
                <w:sz w:val="18"/>
                <w:szCs w:val="18"/>
              </w:rPr>
              <w:t>Calendario agrícola de los principales cultivos de Bolivia.</w:t>
            </w:r>
          </w:p>
          <w:p w14:paraId="3032B68D" w14:textId="77777777" w:rsidR="00990B14" w:rsidRDefault="00000000">
            <w:pPr>
              <w:numPr>
                <w:ilvl w:val="0"/>
                <w:numId w:val="139"/>
              </w:numPr>
              <w:spacing w:before="10" w:after="10"/>
              <w:jc w:val="both"/>
            </w:pPr>
            <w:r>
              <w:rPr>
                <w:sz w:val="18"/>
                <w:szCs w:val="18"/>
              </w:rPr>
              <w:t>Nociones de climatología agrícola y de sistemas de riego.</w:t>
            </w:r>
          </w:p>
          <w:p w14:paraId="249210D2" w14:textId="77777777" w:rsidR="00990B14" w:rsidRDefault="00000000">
            <w:pPr>
              <w:numPr>
                <w:ilvl w:val="0"/>
                <w:numId w:val="139"/>
              </w:numPr>
              <w:spacing w:before="10" w:after="10"/>
              <w:jc w:val="both"/>
            </w:pPr>
            <w:r>
              <w:rPr>
                <w:sz w:val="18"/>
                <w:szCs w:val="18"/>
              </w:rPr>
              <w:t>Insumos agrícolas: semillas certificadas, fertilizantes y productos fitosanitarios.</w:t>
            </w:r>
          </w:p>
          <w:p w14:paraId="129C1AB7" w14:textId="77777777" w:rsidR="00990B14" w:rsidRDefault="00000000">
            <w:pPr>
              <w:numPr>
                <w:ilvl w:val="0"/>
                <w:numId w:val="139"/>
              </w:numPr>
              <w:spacing w:before="10" w:after="10"/>
              <w:jc w:val="both"/>
            </w:pPr>
            <w:r>
              <w:rPr>
                <w:sz w:val="18"/>
                <w:szCs w:val="18"/>
              </w:rPr>
              <w:t>Nociones de maquinaria y equipo agrícola y de su vida útil en el campo.</w:t>
            </w:r>
          </w:p>
          <w:p w14:paraId="09B98A78" w14:textId="77777777" w:rsidR="00990B14" w:rsidRDefault="00000000">
            <w:pPr>
              <w:numPr>
                <w:ilvl w:val="0"/>
                <w:numId w:val="139"/>
              </w:numPr>
              <w:spacing w:before="10" w:after="10"/>
              <w:jc w:val="both"/>
            </w:pPr>
            <w:r>
              <w:rPr>
                <w:sz w:val="18"/>
                <w:szCs w:val="18"/>
              </w:rPr>
              <w:t>Anexo 2 vida útil de activos fijos DS 24051.</w:t>
            </w:r>
          </w:p>
        </w:tc>
      </w:tr>
      <w:tr w:rsidR="00990B14" w14:paraId="7FF4291B" w14:textId="77777777">
        <w:trPr>
          <w:cantSplit/>
          <w:jc w:val="center"/>
        </w:trPr>
        <w:tc>
          <w:tcPr>
            <w:tcW w:w="9405" w:type="dxa"/>
            <w:gridSpan w:val="13"/>
            <w:shd w:val="clear" w:color="auto" w:fill="D9E2F3"/>
            <w:vAlign w:val="center"/>
          </w:tcPr>
          <w:p w14:paraId="1493AA2C" w14:textId="77777777" w:rsidR="00990B14" w:rsidRDefault="00000000">
            <w:pPr>
              <w:spacing w:before="20" w:after="20"/>
              <w:jc w:val="both"/>
            </w:pPr>
            <w:r>
              <w:rPr>
                <w:b/>
                <w:bCs/>
                <w:i/>
                <w:iCs/>
                <w:sz w:val="18"/>
                <w:szCs w:val="18"/>
              </w:rPr>
              <w:t xml:space="preserve">Elemento de competencia 4: </w:t>
            </w:r>
            <w:r>
              <w:rPr>
                <w:sz w:val="18"/>
                <w:szCs w:val="18"/>
              </w:rPr>
              <w:t>Analiza el proceso de producción ganadera y registra las operaciones contables de una empresa ganadera, contabilizando los activos biológicos semovientes y preparando sus estados financieros conforme a la normativa vigente.</w:t>
            </w:r>
          </w:p>
        </w:tc>
      </w:tr>
      <w:tr w:rsidR="00990B14" w14:paraId="3DDA9F16" w14:textId="77777777">
        <w:trPr>
          <w:cantSplit/>
          <w:jc w:val="center"/>
        </w:trPr>
        <w:tc>
          <w:tcPr>
            <w:tcW w:w="3133" w:type="dxa"/>
            <w:gridSpan w:val="4"/>
            <w:shd w:val="clear" w:color="auto" w:fill="4472C4"/>
            <w:vAlign w:val="center"/>
          </w:tcPr>
          <w:p w14:paraId="54D9E9D1"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46EBDE40"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61BA2998" w14:textId="77777777" w:rsidR="00990B14" w:rsidRDefault="00000000">
            <w:pPr>
              <w:keepNext/>
              <w:spacing w:before="20" w:after="20"/>
              <w:jc w:val="center"/>
            </w:pPr>
            <w:r>
              <w:rPr>
                <w:b/>
                <w:bCs/>
                <w:i/>
                <w:iCs/>
                <w:color w:val="FFFFFF"/>
                <w:sz w:val="18"/>
                <w:szCs w:val="18"/>
              </w:rPr>
              <w:t>Evidencias de producto</w:t>
            </w:r>
          </w:p>
        </w:tc>
      </w:tr>
      <w:tr w:rsidR="00990B14" w14:paraId="62E4C756" w14:textId="77777777">
        <w:trPr>
          <w:cantSplit/>
          <w:jc w:val="center"/>
        </w:trPr>
        <w:tc>
          <w:tcPr>
            <w:tcW w:w="3133" w:type="dxa"/>
            <w:gridSpan w:val="4"/>
            <w:vMerge w:val="restart"/>
            <w:shd w:val="clear" w:color="auto" w:fill="D9E2F3"/>
            <w:vAlign w:val="center"/>
          </w:tcPr>
          <w:p w14:paraId="0715D3EE" w14:textId="77777777" w:rsidR="00990B14" w:rsidRDefault="00000000">
            <w:pPr>
              <w:spacing w:before="20" w:after="20"/>
              <w:jc w:val="both"/>
            </w:pPr>
            <w:r>
              <w:rPr>
                <w:sz w:val="18"/>
                <w:szCs w:val="18"/>
              </w:rPr>
              <w:t>1. Proyecta el hato ganadero por categorías, evaluando el efecto de los coeficientes de procreación, mortandad y descarte.</w:t>
            </w:r>
          </w:p>
        </w:tc>
        <w:tc>
          <w:tcPr>
            <w:tcW w:w="3135" w:type="dxa"/>
            <w:gridSpan w:val="5"/>
            <w:shd w:val="clear" w:color="auto" w:fill="D9E2F3"/>
            <w:vAlign w:val="center"/>
          </w:tcPr>
          <w:p w14:paraId="6B700921" w14:textId="77777777" w:rsidR="00990B14" w:rsidRDefault="00000000">
            <w:pPr>
              <w:spacing w:before="20" w:after="20"/>
              <w:jc w:val="both"/>
            </w:pPr>
            <w:r>
              <w:rPr>
                <w:sz w:val="18"/>
                <w:szCs w:val="18"/>
              </w:rPr>
              <w:t>1.1 Proyecta en el laboratorio de cómputo el hato de ganado vacuno de un caso práctico con su categorización.</w:t>
            </w:r>
          </w:p>
        </w:tc>
        <w:tc>
          <w:tcPr>
            <w:tcW w:w="3137" w:type="dxa"/>
            <w:gridSpan w:val="4"/>
            <w:shd w:val="clear" w:color="auto" w:fill="D9E2F3"/>
            <w:vAlign w:val="center"/>
          </w:tcPr>
          <w:p w14:paraId="441B359E" w14:textId="77777777" w:rsidR="00990B14" w:rsidRDefault="00000000">
            <w:pPr>
              <w:spacing w:before="20" w:after="20"/>
              <w:jc w:val="both"/>
            </w:pPr>
            <w:r>
              <w:rPr>
                <w:b/>
                <w:bCs/>
                <w:sz w:val="18"/>
                <w:szCs w:val="18"/>
              </w:rPr>
              <w:t xml:space="preserve">Producto 15: </w:t>
            </w:r>
            <w:r>
              <w:rPr>
                <w:sz w:val="18"/>
                <w:szCs w:val="18"/>
              </w:rPr>
              <w:t>Proyección del hato de ganado vacuno con su categorización e índices.</w:t>
            </w:r>
          </w:p>
        </w:tc>
      </w:tr>
      <w:tr w:rsidR="00990B14" w14:paraId="78451AF0" w14:textId="77777777">
        <w:trPr>
          <w:cantSplit/>
          <w:jc w:val="center"/>
        </w:trPr>
        <w:tc>
          <w:tcPr>
            <w:tcW w:w="3133" w:type="dxa"/>
            <w:gridSpan w:val="4"/>
            <w:vMerge/>
            <w:shd w:val="clear" w:color="auto" w:fill="D9E2F3"/>
            <w:vAlign w:val="center"/>
          </w:tcPr>
          <w:p w14:paraId="7DC01F61" w14:textId="77777777" w:rsidR="00990B14" w:rsidRDefault="00990B14">
            <w:pPr>
              <w:spacing w:before="20" w:after="20"/>
            </w:pPr>
          </w:p>
        </w:tc>
        <w:tc>
          <w:tcPr>
            <w:tcW w:w="3135" w:type="dxa"/>
            <w:gridSpan w:val="5"/>
            <w:shd w:val="clear" w:color="auto" w:fill="D9E2F3"/>
            <w:vAlign w:val="center"/>
          </w:tcPr>
          <w:p w14:paraId="4E80D714" w14:textId="77777777" w:rsidR="00990B14" w:rsidRDefault="00000000">
            <w:pPr>
              <w:spacing w:before="20" w:after="20"/>
              <w:jc w:val="both"/>
            </w:pPr>
            <w:r>
              <w:rPr>
                <w:sz w:val="18"/>
                <w:szCs w:val="18"/>
              </w:rPr>
              <w:t>1.2 Categoriza en equipo el ganado ovino, porcino y equino con su coeficiente de procreación.</w:t>
            </w:r>
          </w:p>
        </w:tc>
        <w:tc>
          <w:tcPr>
            <w:tcW w:w="3137" w:type="dxa"/>
            <w:gridSpan w:val="4"/>
            <w:shd w:val="clear" w:color="auto" w:fill="D9E2F3"/>
            <w:vAlign w:val="center"/>
          </w:tcPr>
          <w:p w14:paraId="3FC80A6F" w14:textId="77777777" w:rsidR="00990B14" w:rsidRDefault="00000000">
            <w:pPr>
              <w:spacing w:before="20" w:after="20"/>
              <w:jc w:val="both"/>
            </w:pPr>
            <w:r>
              <w:rPr>
                <w:b/>
                <w:bCs/>
                <w:sz w:val="18"/>
                <w:szCs w:val="18"/>
              </w:rPr>
              <w:t xml:space="preserve">Producto 16: </w:t>
            </w:r>
            <w:r>
              <w:rPr>
                <w:sz w:val="18"/>
                <w:szCs w:val="18"/>
              </w:rPr>
              <w:t>Cuadro de categorización del ganado ovino, porcino y equino.</w:t>
            </w:r>
          </w:p>
        </w:tc>
      </w:tr>
      <w:tr w:rsidR="00990B14" w14:paraId="3B671203" w14:textId="77777777">
        <w:trPr>
          <w:cantSplit/>
          <w:jc w:val="center"/>
        </w:trPr>
        <w:tc>
          <w:tcPr>
            <w:tcW w:w="3133" w:type="dxa"/>
            <w:gridSpan w:val="4"/>
            <w:vMerge w:val="restart"/>
            <w:shd w:val="clear" w:color="auto" w:fill="D9E2F3"/>
            <w:vAlign w:val="center"/>
          </w:tcPr>
          <w:p w14:paraId="0E27687E" w14:textId="77777777" w:rsidR="00990B14" w:rsidRDefault="00000000">
            <w:pPr>
              <w:spacing w:before="20" w:after="20"/>
              <w:jc w:val="both"/>
            </w:pPr>
            <w:r>
              <w:rPr>
                <w:sz w:val="18"/>
                <w:szCs w:val="18"/>
              </w:rPr>
              <w:t>2. Registra las operaciones del hato ganadero, contabilizando la adquisición, el procreo, la venta y las bajas de ganado conforme a la NC</w:t>
            </w:r>
          </w:p>
        </w:tc>
        <w:tc>
          <w:tcPr>
            <w:tcW w:w="3135" w:type="dxa"/>
            <w:gridSpan w:val="5"/>
            <w:shd w:val="clear" w:color="auto" w:fill="D9E2F3"/>
            <w:vAlign w:val="center"/>
          </w:tcPr>
          <w:p w14:paraId="18E074A1" w14:textId="77777777" w:rsidR="00990B14" w:rsidRDefault="00000000">
            <w:pPr>
              <w:spacing w:before="20" w:after="20"/>
              <w:jc w:val="both"/>
            </w:pPr>
            <w:r>
              <w:rPr>
                <w:sz w:val="18"/>
                <w:szCs w:val="18"/>
              </w:rPr>
              <w:t>2.1 Registra en aula la adquisición, el procreo y la venta de ganado de un caso práctico.</w:t>
            </w:r>
          </w:p>
        </w:tc>
        <w:tc>
          <w:tcPr>
            <w:tcW w:w="3137" w:type="dxa"/>
            <w:gridSpan w:val="4"/>
            <w:shd w:val="clear" w:color="auto" w:fill="D9E2F3"/>
            <w:vAlign w:val="center"/>
          </w:tcPr>
          <w:p w14:paraId="75E70992" w14:textId="77777777" w:rsidR="00990B14" w:rsidRDefault="00000000">
            <w:pPr>
              <w:spacing w:before="20" w:after="20"/>
              <w:jc w:val="both"/>
            </w:pPr>
            <w:r>
              <w:rPr>
                <w:b/>
                <w:bCs/>
                <w:sz w:val="18"/>
                <w:szCs w:val="18"/>
              </w:rPr>
              <w:t xml:space="preserve">Producto 17: </w:t>
            </w:r>
            <w:r>
              <w:rPr>
                <w:sz w:val="18"/>
                <w:szCs w:val="18"/>
              </w:rPr>
              <w:t>Esquema del proceso de producción biológico del ganado con su contabilización.</w:t>
            </w:r>
          </w:p>
        </w:tc>
      </w:tr>
      <w:tr w:rsidR="00990B14" w14:paraId="5C56A3E3" w14:textId="77777777">
        <w:trPr>
          <w:cantSplit/>
          <w:jc w:val="center"/>
        </w:trPr>
        <w:tc>
          <w:tcPr>
            <w:tcW w:w="3133" w:type="dxa"/>
            <w:gridSpan w:val="4"/>
            <w:vMerge/>
            <w:shd w:val="clear" w:color="auto" w:fill="D9E2F3"/>
            <w:vAlign w:val="center"/>
          </w:tcPr>
          <w:p w14:paraId="7C2ACD2F" w14:textId="77777777" w:rsidR="00990B14" w:rsidRDefault="00990B14">
            <w:pPr>
              <w:spacing w:before="20" w:after="20"/>
            </w:pPr>
          </w:p>
        </w:tc>
        <w:tc>
          <w:tcPr>
            <w:tcW w:w="3135" w:type="dxa"/>
            <w:gridSpan w:val="5"/>
            <w:shd w:val="clear" w:color="auto" w:fill="D9E2F3"/>
            <w:vAlign w:val="center"/>
          </w:tcPr>
          <w:p w14:paraId="110E8AF3" w14:textId="77777777" w:rsidR="00990B14" w:rsidRDefault="00000000">
            <w:pPr>
              <w:spacing w:before="20" w:after="20"/>
              <w:jc w:val="both"/>
            </w:pPr>
            <w:r>
              <w:rPr>
                <w:sz w:val="18"/>
                <w:szCs w:val="18"/>
              </w:rPr>
              <w:t>2.2 Contabiliza en equipo las bajas y altas del hato por mortandad, extravío, consumo y cambio de edad.</w:t>
            </w:r>
          </w:p>
        </w:tc>
        <w:tc>
          <w:tcPr>
            <w:tcW w:w="3137" w:type="dxa"/>
            <w:gridSpan w:val="4"/>
            <w:shd w:val="clear" w:color="auto" w:fill="D9E2F3"/>
            <w:vAlign w:val="center"/>
          </w:tcPr>
          <w:p w14:paraId="75F53DF4" w14:textId="77777777" w:rsidR="00990B14" w:rsidRDefault="00000000">
            <w:pPr>
              <w:spacing w:before="20" w:after="20"/>
              <w:jc w:val="both"/>
            </w:pPr>
            <w:r>
              <w:rPr>
                <w:b/>
                <w:bCs/>
                <w:sz w:val="18"/>
                <w:szCs w:val="18"/>
              </w:rPr>
              <w:t xml:space="preserve">Producto 18: </w:t>
            </w:r>
            <w:r>
              <w:rPr>
                <w:sz w:val="18"/>
                <w:szCs w:val="18"/>
              </w:rPr>
              <w:t>Práctico de contabilización de las bajas y altas del hato ganadero.</w:t>
            </w:r>
          </w:p>
        </w:tc>
      </w:tr>
      <w:tr w:rsidR="00990B14" w14:paraId="3F6A2853" w14:textId="77777777">
        <w:trPr>
          <w:cantSplit/>
          <w:jc w:val="center"/>
        </w:trPr>
        <w:tc>
          <w:tcPr>
            <w:tcW w:w="3133" w:type="dxa"/>
            <w:gridSpan w:val="4"/>
            <w:vMerge w:val="restart"/>
            <w:shd w:val="clear" w:color="auto" w:fill="D9E2F3"/>
            <w:vAlign w:val="center"/>
          </w:tcPr>
          <w:p w14:paraId="02DA2B30" w14:textId="77777777" w:rsidR="00990B14" w:rsidRDefault="00000000">
            <w:pPr>
              <w:spacing w:before="20" w:after="20"/>
              <w:jc w:val="both"/>
            </w:pPr>
            <w:r>
              <w:rPr>
                <w:sz w:val="18"/>
                <w:szCs w:val="18"/>
              </w:rPr>
              <w:t>3. Elabora los estados financieros de una empresa ganadera, evaluando la razonabilidad del inventario de ganado frente al conteo físico.</w:t>
            </w:r>
          </w:p>
        </w:tc>
        <w:tc>
          <w:tcPr>
            <w:tcW w:w="3135" w:type="dxa"/>
            <w:gridSpan w:val="5"/>
            <w:shd w:val="clear" w:color="auto" w:fill="D9E2F3"/>
            <w:vAlign w:val="center"/>
          </w:tcPr>
          <w:p w14:paraId="06B77D40" w14:textId="77777777" w:rsidR="00990B14" w:rsidRDefault="00000000">
            <w:pPr>
              <w:spacing w:before="20" w:after="20"/>
              <w:jc w:val="both"/>
            </w:pPr>
            <w:r>
              <w:rPr>
                <w:sz w:val="18"/>
                <w:szCs w:val="18"/>
              </w:rPr>
              <w:t>3.1 Concilia en equipo el inventario físico del hato por categoría con los registros contables.</w:t>
            </w:r>
          </w:p>
        </w:tc>
        <w:tc>
          <w:tcPr>
            <w:tcW w:w="3137" w:type="dxa"/>
            <w:gridSpan w:val="4"/>
            <w:shd w:val="clear" w:color="auto" w:fill="D9E2F3"/>
            <w:vAlign w:val="center"/>
          </w:tcPr>
          <w:p w14:paraId="484CA531" w14:textId="77777777" w:rsidR="00990B14" w:rsidRDefault="00000000">
            <w:pPr>
              <w:spacing w:before="20" w:after="20"/>
              <w:jc w:val="both"/>
            </w:pPr>
            <w:r>
              <w:rPr>
                <w:b/>
                <w:bCs/>
                <w:sz w:val="18"/>
                <w:szCs w:val="18"/>
              </w:rPr>
              <w:t xml:space="preserve">Producto 19: </w:t>
            </w:r>
            <w:r>
              <w:rPr>
                <w:sz w:val="18"/>
                <w:szCs w:val="18"/>
              </w:rPr>
              <w:t>Acta de conciliación del inventario físico del hato con los registros contables.</w:t>
            </w:r>
          </w:p>
        </w:tc>
      </w:tr>
      <w:tr w:rsidR="00990B14" w14:paraId="4619C9A3" w14:textId="77777777">
        <w:trPr>
          <w:cantSplit/>
          <w:jc w:val="center"/>
        </w:trPr>
        <w:tc>
          <w:tcPr>
            <w:tcW w:w="3133" w:type="dxa"/>
            <w:gridSpan w:val="4"/>
            <w:vMerge/>
            <w:shd w:val="clear" w:color="auto" w:fill="D9E2F3"/>
            <w:vAlign w:val="center"/>
          </w:tcPr>
          <w:p w14:paraId="6699D968" w14:textId="77777777" w:rsidR="00990B14" w:rsidRDefault="00990B14">
            <w:pPr>
              <w:spacing w:before="20" w:after="20"/>
            </w:pPr>
          </w:p>
        </w:tc>
        <w:tc>
          <w:tcPr>
            <w:tcW w:w="3135" w:type="dxa"/>
            <w:gridSpan w:val="5"/>
            <w:shd w:val="clear" w:color="auto" w:fill="D9E2F3"/>
            <w:vAlign w:val="center"/>
          </w:tcPr>
          <w:p w14:paraId="37366225" w14:textId="77777777" w:rsidR="00990B14" w:rsidRDefault="00000000">
            <w:pPr>
              <w:spacing w:before="20" w:after="20"/>
              <w:jc w:val="both"/>
            </w:pPr>
            <w:r>
              <w:rPr>
                <w:sz w:val="18"/>
                <w:szCs w:val="18"/>
              </w:rPr>
              <w:t>3.2 Desarrolla en el laboratorio de cómputo el ciclo contable de una empresa ganadera, de la apertura a los estados financieros.</w:t>
            </w:r>
          </w:p>
        </w:tc>
        <w:tc>
          <w:tcPr>
            <w:tcW w:w="3137" w:type="dxa"/>
            <w:gridSpan w:val="4"/>
            <w:shd w:val="clear" w:color="auto" w:fill="D9E2F3"/>
            <w:vAlign w:val="center"/>
          </w:tcPr>
          <w:p w14:paraId="3C5FE67B" w14:textId="77777777" w:rsidR="00990B14" w:rsidRDefault="00000000">
            <w:pPr>
              <w:spacing w:before="20" w:after="20"/>
              <w:jc w:val="both"/>
            </w:pPr>
            <w:r>
              <w:rPr>
                <w:b/>
                <w:bCs/>
                <w:sz w:val="18"/>
                <w:szCs w:val="18"/>
              </w:rPr>
              <w:t xml:space="preserve">Producto 20: </w:t>
            </w:r>
            <w:r>
              <w:rPr>
                <w:sz w:val="18"/>
                <w:szCs w:val="18"/>
              </w:rPr>
              <w:t>Estados financieros de una empresa ganadera.</w:t>
            </w:r>
          </w:p>
        </w:tc>
      </w:tr>
      <w:tr w:rsidR="00990B14" w14:paraId="0829C4E5" w14:textId="77777777">
        <w:trPr>
          <w:cantSplit/>
          <w:jc w:val="center"/>
        </w:trPr>
        <w:tc>
          <w:tcPr>
            <w:tcW w:w="9405" w:type="dxa"/>
            <w:gridSpan w:val="13"/>
            <w:shd w:val="clear" w:color="auto" w:fill="4472C4"/>
            <w:vAlign w:val="center"/>
          </w:tcPr>
          <w:p w14:paraId="66593A98" w14:textId="77777777" w:rsidR="00990B14" w:rsidRDefault="00000000">
            <w:pPr>
              <w:keepNext/>
              <w:spacing w:before="20" w:after="20"/>
              <w:jc w:val="center"/>
            </w:pPr>
            <w:r>
              <w:rPr>
                <w:b/>
                <w:bCs/>
                <w:i/>
                <w:iCs/>
                <w:color w:val="FFFFFF"/>
                <w:sz w:val="18"/>
                <w:szCs w:val="18"/>
              </w:rPr>
              <w:t>Evidencias de conocimiento</w:t>
            </w:r>
          </w:p>
        </w:tc>
      </w:tr>
      <w:tr w:rsidR="00990B14" w14:paraId="5DBFB170" w14:textId="77777777">
        <w:trPr>
          <w:cantSplit/>
          <w:jc w:val="center"/>
        </w:trPr>
        <w:tc>
          <w:tcPr>
            <w:tcW w:w="2349" w:type="dxa"/>
            <w:gridSpan w:val="2"/>
            <w:shd w:val="clear" w:color="auto" w:fill="4472C4"/>
            <w:vAlign w:val="center"/>
          </w:tcPr>
          <w:p w14:paraId="45733957"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706BA8A0" w14:textId="77777777" w:rsidR="00990B14" w:rsidRDefault="00000000">
            <w:pPr>
              <w:keepNext/>
              <w:spacing w:before="20" w:after="20"/>
              <w:jc w:val="both"/>
            </w:pPr>
            <w:r>
              <w:rPr>
                <w:b/>
                <w:bCs/>
                <w:i/>
                <w:iCs/>
                <w:color w:val="FFFFFF"/>
                <w:sz w:val="18"/>
                <w:szCs w:val="18"/>
              </w:rPr>
              <w:t>Contenidos</w:t>
            </w:r>
          </w:p>
          <w:p w14:paraId="6D310326"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0C52C0EB" w14:textId="77777777" w:rsidR="00990B14" w:rsidRDefault="00000000">
            <w:pPr>
              <w:keepNext/>
              <w:spacing w:before="20" w:after="20"/>
              <w:jc w:val="center"/>
            </w:pPr>
            <w:r>
              <w:rPr>
                <w:b/>
                <w:bCs/>
                <w:i/>
                <w:iCs/>
                <w:color w:val="FFFFFF"/>
                <w:sz w:val="18"/>
                <w:szCs w:val="18"/>
              </w:rPr>
              <w:t>Conocimientos circunstanciales</w:t>
            </w:r>
          </w:p>
        </w:tc>
      </w:tr>
      <w:tr w:rsidR="00990B14" w14:paraId="4E1255F1" w14:textId="77777777">
        <w:trPr>
          <w:jc w:val="center"/>
        </w:trPr>
        <w:tc>
          <w:tcPr>
            <w:tcW w:w="2349" w:type="dxa"/>
            <w:gridSpan w:val="2"/>
            <w:shd w:val="clear" w:color="auto" w:fill="D9E2F3"/>
          </w:tcPr>
          <w:p w14:paraId="1E070D20" w14:textId="77777777" w:rsidR="00990B14" w:rsidRDefault="00000000">
            <w:pPr>
              <w:spacing w:before="20" w:after="40"/>
              <w:jc w:val="both"/>
            </w:pPr>
            <w:r>
              <w:rPr>
                <w:sz w:val="18"/>
                <w:szCs w:val="18"/>
              </w:rPr>
              <w:t>Tema 7: El proceso de producción en la ganadería, Categorización y proyección del hato ganadero</w:t>
            </w:r>
          </w:p>
          <w:p w14:paraId="0F8F4CA2" w14:textId="77777777" w:rsidR="00990B14" w:rsidRDefault="00000000">
            <w:pPr>
              <w:spacing w:before="20" w:after="40"/>
              <w:jc w:val="both"/>
            </w:pPr>
            <w:r>
              <w:rPr>
                <w:sz w:val="18"/>
                <w:szCs w:val="18"/>
              </w:rPr>
              <w:t>Tema 8: Análisis contable y aplicación práctica</w:t>
            </w:r>
          </w:p>
        </w:tc>
        <w:tc>
          <w:tcPr>
            <w:tcW w:w="4304" w:type="dxa"/>
            <w:gridSpan w:val="8"/>
            <w:shd w:val="clear" w:color="auto" w:fill="D9E2F3"/>
          </w:tcPr>
          <w:p w14:paraId="077BABB0" w14:textId="77777777" w:rsidR="00990B14" w:rsidRDefault="00000000">
            <w:pPr>
              <w:spacing w:after="40"/>
              <w:jc w:val="both"/>
            </w:pPr>
            <w:r>
              <w:rPr>
                <w:sz w:val="18"/>
                <w:szCs w:val="18"/>
              </w:rPr>
              <w:t>Concepto e importancia de la actividad ganadera, y producción extensiva e intensiva. (C)</w:t>
            </w:r>
          </w:p>
          <w:p w14:paraId="2E762155" w14:textId="77777777" w:rsidR="00990B14" w:rsidRDefault="00000000">
            <w:pPr>
              <w:spacing w:after="40"/>
              <w:jc w:val="both"/>
            </w:pPr>
            <w:r>
              <w:rPr>
                <w:sz w:val="18"/>
                <w:szCs w:val="18"/>
              </w:rPr>
              <w:t>Actividad ganadera vacuna, su riqueza y evolución, y ganadería lechera, con la innovación tecnológica de la ganadería de leche en el altiplano boliviano. (C)</w:t>
            </w:r>
          </w:p>
          <w:p w14:paraId="04E97BAB" w14:textId="77777777" w:rsidR="00990B14" w:rsidRDefault="00000000">
            <w:pPr>
              <w:spacing w:after="40"/>
              <w:jc w:val="both"/>
            </w:pPr>
            <w:r>
              <w:rPr>
                <w:sz w:val="18"/>
                <w:szCs w:val="18"/>
              </w:rPr>
              <w:t>Impacto económico y social de la actividad ganadera en Bolivia: tecnología, acceso al crédito, delitos, faenado, control sanitario y catastro. (C)</w:t>
            </w:r>
          </w:p>
          <w:p w14:paraId="0C3A1508" w14:textId="77777777" w:rsidR="00990B14" w:rsidRDefault="00000000">
            <w:pPr>
              <w:spacing w:after="40"/>
              <w:jc w:val="both"/>
            </w:pPr>
            <w:r>
              <w:rPr>
                <w:sz w:val="18"/>
                <w:szCs w:val="18"/>
              </w:rPr>
              <w:t>Trazabilidad del ganado y certificación sanitaria para la exportación de carne: registro de predios, aretado e inspección oficial. (P)</w:t>
            </w:r>
          </w:p>
          <w:p w14:paraId="2B459971" w14:textId="77777777" w:rsidR="00990B14" w:rsidRDefault="00000000">
            <w:pPr>
              <w:spacing w:after="40"/>
              <w:jc w:val="both"/>
            </w:pPr>
            <w:r>
              <w:rPr>
                <w:sz w:val="18"/>
                <w:szCs w:val="18"/>
              </w:rPr>
              <w:t>Industrialización de la carne para el mercado interno y el mercado internacional, con sus requisitos, y servicios de los rodeos. (C)</w:t>
            </w:r>
          </w:p>
          <w:p w14:paraId="281C4D1C" w14:textId="77777777" w:rsidR="00990B14" w:rsidRDefault="00000000">
            <w:pPr>
              <w:spacing w:after="40"/>
              <w:jc w:val="both"/>
            </w:pPr>
            <w:r>
              <w:rPr>
                <w:sz w:val="18"/>
                <w:szCs w:val="18"/>
              </w:rPr>
              <w:t>Formas de explotación del ganado vacuno: cría y recría, invernada y cabaña; resumen del proceso de producción del ganado vacuno. (C)</w:t>
            </w:r>
          </w:p>
          <w:p w14:paraId="60C6E278" w14:textId="77777777" w:rsidR="00990B14" w:rsidRDefault="00000000">
            <w:pPr>
              <w:spacing w:after="40"/>
              <w:jc w:val="both"/>
            </w:pPr>
            <w:r>
              <w:rPr>
                <w:sz w:val="18"/>
                <w:szCs w:val="18"/>
              </w:rPr>
              <w:t>Proyección del hato de ganado vacuno y elementos a considerar en su categorización: terneros, destete o desmamante, lactancia natural y artificial, cuidado de terneros, descorne, marcación y castración. (C)</w:t>
            </w:r>
          </w:p>
          <w:p w14:paraId="48EAF161" w14:textId="77777777" w:rsidR="00990B14" w:rsidRDefault="00000000">
            <w:pPr>
              <w:spacing w:after="40"/>
              <w:jc w:val="both"/>
            </w:pPr>
            <w:r>
              <w:rPr>
                <w:sz w:val="18"/>
                <w:szCs w:val="18"/>
              </w:rPr>
              <w:t>La edad del ganado vacuno y su contabilización, con un ejemplo de categorización. (C)</w:t>
            </w:r>
          </w:p>
          <w:p w14:paraId="783B03A1" w14:textId="77777777" w:rsidR="00990B14" w:rsidRDefault="00000000">
            <w:pPr>
              <w:spacing w:after="40"/>
              <w:jc w:val="both"/>
            </w:pPr>
            <w:r>
              <w:rPr>
                <w:sz w:val="18"/>
                <w:szCs w:val="18"/>
              </w:rPr>
              <w:t>Tipos de hato: rebaño LS, hato PO y hato comercial, con sus índices y utilidad. (C)</w:t>
            </w:r>
          </w:p>
          <w:p w14:paraId="0B073F30" w14:textId="77777777" w:rsidR="00990B14" w:rsidRDefault="00000000">
            <w:pPr>
              <w:spacing w:after="40"/>
              <w:jc w:val="both"/>
            </w:pPr>
            <w:r>
              <w:rPr>
                <w:sz w:val="18"/>
                <w:szCs w:val="18"/>
              </w:rPr>
              <w:t>Proyección del hato en hoja de cálculo: coeficientes de procreación, mortandad, descarte y cambio de edad por categoría. (P, T)</w:t>
            </w:r>
          </w:p>
          <w:p w14:paraId="300FC61E" w14:textId="77777777" w:rsidR="00990B14" w:rsidRDefault="00000000">
            <w:pPr>
              <w:spacing w:after="40"/>
              <w:jc w:val="both"/>
            </w:pPr>
            <w:r>
              <w:rPr>
                <w:sz w:val="18"/>
                <w:szCs w:val="18"/>
              </w:rPr>
              <w:t>Categorización del ganado ovino, porcino y equino, con sus elementos adicionales en la proyección, el coeficiente de procreación y su contabilización. (C)</w:t>
            </w:r>
          </w:p>
          <w:p w14:paraId="683030C8" w14:textId="77777777" w:rsidR="00990B14" w:rsidRDefault="00000000">
            <w:pPr>
              <w:spacing w:after="40"/>
              <w:jc w:val="both"/>
            </w:pPr>
            <w:r>
              <w:rPr>
                <w:sz w:val="18"/>
                <w:szCs w:val="18"/>
              </w:rPr>
              <w:t>Inventario del ganado en Bolivia. (C)</w:t>
            </w:r>
          </w:p>
          <w:p w14:paraId="1BCC583A" w14:textId="77777777" w:rsidR="00990B14" w:rsidRDefault="00000000">
            <w:pPr>
              <w:spacing w:after="40"/>
              <w:jc w:val="both"/>
            </w:pPr>
            <w:r>
              <w:rPr>
                <w:sz w:val="18"/>
                <w:szCs w:val="18"/>
              </w:rPr>
              <w:t>Sostenibilidad de la ganadería. (C)</w:t>
            </w:r>
          </w:p>
          <w:p w14:paraId="09616E4F" w14:textId="77777777" w:rsidR="00990B14" w:rsidRDefault="00000000">
            <w:pPr>
              <w:spacing w:after="40"/>
              <w:jc w:val="both"/>
            </w:pPr>
            <w:r>
              <w:rPr>
                <w:sz w:val="18"/>
                <w:szCs w:val="18"/>
              </w:rPr>
              <w:t>Concepto de contabilidad ganadera, sistemas contables y cuentas contables. (C, T)</w:t>
            </w:r>
          </w:p>
          <w:p w14:paraId="79D179E1" w14:textId="77777777" w:rsidR="00990B14" w:rsidRDefault="00000000">
            <w:pPr>
              <w:spacing w:after="40"/>
              <w:jc w:val="both"/>
            </w:pPr>
            <w:r>
              <w:rPr>
                <w:sz w:val="18"/>
                <w:szCs w:val="18"/>
              </w:rPr>
              <w:t>Cuentas del activo: disponibilidades, fondo para compras con su kárdex de control, y fondo para anticipos. (C)</w:t>
            </w:r>
          </w:p>
          <w:p w14:paraId="743D9AE1" w14:textId="77777777" w:rsidR="00990B14" w:rsidRDefault="00000000">
            <w:pPr>
              <w:spacing w:after="40"/>
              <w:jc w:val="both"/>
            </w:pPr>
            <w:r>
              <w:rPr>
                <w:sz w:val="18"/>
                <w:szCs w:val="18"/>
              </w:rPr>
              <w:t>Inventarios: inventario de productos veterinarios, inventario de alimentos para el ganado, inventario de materiales, inventario de subproductos ganaderos e inventario de genética, con su contabilización por la importación de genética bovina. (C, A)</w:t>
            </w:r>
          </w:p>
          <w:p w14:paraId="7A6BAA89" w14:textId="77777777" w:rsidR="00990B14" w:rsidRDefault="00000000">
            <w:pPr>
              <w:spacing w:after="40"/>
              <w:jc w:val="both"/>
            </w:pPr>
            <w:r>
              <w:rPr>
                <w:sz w:val="18"/>
                <w:szCs w:val="18"/>
              </w:rPr>
              <w:t>Inventario de ganado de rodeo general, con la contabilización de la adquisición de ganado no reproductor y de los animales de descarte, como bueyes y torunos, y la reclasificación del ganado reproductor a animales de descarte. (C)</w:t>
            </w:r>
          </w:p>
          <w:p w14:paraId="0F7A5344" w14:textId="77777777" w:rsidR="00990B14" w:rsidRDefault="00000000">
            <w:pPr>
              <w:spacing w:after="40"/>
              <w:jc w:val="both"/>
            </w:pPr>
            <w:r>
              <w:rPr>
                <w:sz w:val="18"/>
                <w:szCs w:val="18"/>
              </w:rPr>
              <w:t>Activos transitorios: ganado en campo de terceros, con la contabilización del ganado en otros campos o pastizales, y ganado en tránsito, con la contabilización del tránsito y del arribo del ganado. (C)</w:t>
            </w:r>
          </w:p>
          <w:p w14:paraId="62D9172A" w14:textId="77777777" w:rsidR="00990B14" w:rsidRDefault="00000000">
            <w:pPr>
              <w:spacing w:after="40"/>
              <w:jc w:val="both"/>
            </w:pPr>
            <w:r>
              <w:rPr>
                <w:sz w:val="18"/>
                <w:szCs w:val="18"/>
              </w:rPr>
              <w:t>Activos vinculados al proceso de producción: procreo en proceso, con la contabilización de los costos durante la gestación, y la cría y marcación del ternero, según el esquema del proceso de producción biológico. (C)</w:t>
            </w:r>
          </w:p>
          <w:p w14:paraId="3D5AA0B1" w14:textId="77777777" w:rsidR="00990B14" w:rsidRDefault="00000000">
            <w:pPr>
              <w:spacing w:after="40"/>
              <w:jc w:val="both"/>
            </w:pPr>
            <w:r>
              <w:rPr>
                <w:sz w:val="18"/>
                <w:szCs w:val="18"/>
              </w:rPr>
              <w:t>Activos biológicos semovientes: animales de trabajo y ganado reproductor, con la contabilización de la adquisición de ganado reproductor. (C)</w:t>
            </w:r>
          </w:p>
          <w:p w14:paraId="58D3787F" w14:textId="77777777" w:rsidR="00990B14" w:rsidRDefault="00000000">
            <w:pPr>
              <w:spacing w:after="40"/>
              <w:jc w:val="both"/>
            </w:pPr>
            <w:r>
              <w:rPr>
                <w:sz w:val="18"/>
                <w:szCs w:val="18"/>
              </w:rPr>
              <w:t>Clasificación del ganado conforme a la NIC 41: animales productores medidos al valor razonable menos los costos de venta, y su distinción de los activos de la NIC 16. (C)</w:t>
            </w:r>
          </w:p>
          <w:p w14:paraId="43C283F1" w14:textId="77777777" w:rsidR="00990B14" w:rsidRDefault="00000000">
            <w:pPr>
              <w:spacing w:after="40"/>
              <w:jc w:val="both"/>
            </w:pPr>
            <w:r>
              <w:rPr>
                <w:sz w:val="18"/>
                <w:szCs w:val="18"/>
              </w:rPr>
              <w:t>Cuentas del pasivo y su contabilización: retención a la Federación por pagar, retención por contratación de servicios sin factura y retención por compra de bienes sin factura, con la contabilización de la compra sin factura y de su utilización. (C)</w:t>
            </w:r>
          </w:p>
          <w:p w14:paraId="184C8C4B" w14:textId="77777777" w:rsidR="00990B14" w:rsidRDefault="00000000">
            <w:pPr>
              <w:spacing w:after="40"/>
              <w:jc w:val="both"/>
            </w:pPr>
            <w:r>
              <w:rPr>
                <w:sz w:val="18"/>
                <w:szCs w:val="18"/>
              </w:rPr>
              <w:t>Previsión para riesgos no asegurables. (C)</w:t>
            </w:r>
          </w:p>
          <w:p w14:paraId="4BAEE79F" w14:textId="77777777" w:rsidR="00990B14" w:rsidRDefault="00000000">
            <w:pPr>
              <w:spacing w:after="40"/>
              <w:jc w:val="both"/>
            </w:pPr>
            <w:r>
              <w:rPr>
                <w:sz w:val="18"/>
                <w:szCs w:val="18"/>
              </w:rPr>
              <w:t>Cuentas de ingresos: ventas de ganado con sus descuentos, rebajas y bonificaciones, venta de ganado no reproductor y venta de ganado en pie, por punta o por peso según precio por kilo, con su contabilización. (C)</w:t>
            </w:r>
          </w:p>
          <w:p w14:paraId="0FF89874" w14:textId="77777777" w:rsidR="00990B14" w:rsidRDefault="00000000">
            <w:pPr>
              <w:spacing w:after="40"/>
              <w:jc w:val="both"/>
            </w:pPr>
            <w:r>
              <w:rPr>
                <w:sz w:val="18"/>
                <w:szCs w:val="18"/>
              </w:rPr>
              <w:t>Venta de ganado faenado y venta de ganado reproductor, con su contabilización, e ingresos por cambio de edad, otros ingresos y venta de subproductos. (C)</w:t>
            </w:r>
          </w:p>
          <w:p w14:paraId="4EFD5DE0" w14:textId="77777777" w:rsidR="00990B14" w:rsidRDefault="00000000">
            <w:pPr>
              <w:spacing w:after="40"/>
              <w:jc w:val="both"/>
            </w:pPr>
            <w:r>
              <w:rPr>
                <w:sz w:val="18"/>
                <w:szCs w:val="18"/>
              </w:rPr>
              <w:t>Costo y costo de ventas. (C)</w:t>
            </w:r>
          </w:p>
          <w:p w14:paraId="69073C01" w14:textId="77777777" w:rsidR="00990B14" w:rsidRDefault="00000000">
            <w:pPr>
              <w:spacing w:after="40"/>
              <w:jc w:val="both"/>
            </w:pPr>
            <w:r>
              <w:rPr>
                <w:sz w:val="18"/>
                <w:szCs w:val="18"/>
              </w:rPr>
              <w:t>Gastos: mantenimiento y reparaciones, bajas por pérdida, extravío, consumo, mortandad y cambio de edad del ganado, con su contabilización, y gastos de alimentos, gastos de sanidad y mermas. (C)</w:t>
            </w:r>
          </w:p>
          <w:p w14:paraId="5595E634" w14:textId="77777777" w:rsidR="00990B14" w:rsidRDefault="00000000">
            <w:pPr>
              <w:spacing w:after="40"/>
              <w:jc w:val="both"/>
            </w:pPr>
            <w:r>
              <w:rPr>
                <w:sz w:val="18"/>
                <w:szCs w:val="18"/>
              </w:rPr>
              <w:t>Control del hato y conciliación del inventario físico con los registros contables: conteo por categoría, aretado y actas de baja. (P)</w:t>
            </w:r>
          </w:p>
          <w:p w14:paraId="72AD2BAF" w14:textId="77777777" w:rsidR="00990B14" w:rsidRDefault="00000000">
            <w:pPr>
              <w:spacing w:after="40"/>
              <w:jc w:val="both"/>
            </w:pPr>
            <w:r>
              <w:rPr>
                <w:sz w:val="18"/>
                <w:szCs w:val="18"/>
              </w:rPr>
              <w:t>Inicio de actividades, balance de apertura, registros contables y ajustes y regularizaciones. (P)</w:t>
            </w:r>
          </w:p>
          <w:p w14:paraId="7871CDC2" w14:textId="77777777" w:rsidR="00990B14" w:rsidRDefault="00000000">
            <w:pPr>
              <w:spacing w:after="40"/>
              <w:jc w:val="both"/>
            </w:pPr>
            <w:r>
              <w:rPr>
                <w:sz w:val="18"/>
                <w:szCs w:val="18"/>
              </w:rPr>
              <w:t>Contabilidad del hato de ganado vacuno, ovino, porcino y equino, por mortandad, consumo, extravío, descarte, y bajas y altas por cambio de edad; preparación de los estados financieros. (P)</w:t>
            </w:r>
          </w:p>
          <w:p w14:paraId="40EF8EFA" w14:textId="77777777" w:rsidR="00990B14" w:rsidRDefault="00000000">
            <w:pPr>
              <w:spacing w:after="40"/>
              <w:jc w:val="both"/>
            </w:pPr>
            <w:r>
              <w:rPr>
                <w:sz w:val="18"/>
                <w:szCs w:val="18"/>
              </w:rPr>
              <w:t>Respaldo documental de las compras sin factura y de las retenciones: responsabilidad del contador y riesgo tributario de la operación. (C, A)</w:t>
            </w:r>
          </w:p>
        </w:tc>
        <w:tc>
          <w:tcPr>
            <w:tcW w:w="2752" w:type="dxa"/>
            <w:gridSpan w:val="3"/>
            <w:shd w:val="clear" w:color="auto" w:fill="D9E2F3"/>
          </w:tcPr>
          <w:p w14:paraId="414CDE45" w14:textId="77777777" w:rsidR="00990B14" w:rsidRDefault="00000000">
            <w:pPr>
              <w:numPr>
                <w:ilvl w:val="0"/>
                <w:numId w:val="139"/>
              </w:numPr>
              <w:spacing w:before="10" w:after="10"/>
              <w:jc w:val="both"/>
            </w:pPr>
            <w:r>
              <w:rPr>
                <w:sz w:val="18"/>
                <w:szCs w:val="18"/>
              </w:rPr>
              <w:t>Nociones de zootecnia y de las razas bovinas criadas en Bolivia.</w:t>
            </w:r>
          </w:p>
          <w:p w14:paraId="3CF7C18D" w14:textId="77777777" w:rsidR="00990B14" w:rsidRDefault="00000000">
            <w:pPr>
              <w:numPr>
                <w:ilvl w:val="0"/>
                <w:numId w:val="139"/>
              </w:numPr>
              <w:spacing w:before="10" w:after="10"/>
              <w:jc w:val="both"/>
            </w:pPr>
            <w:r>
              <w:rPr>
                <w:sz w:val="18"/>
                <w:szCs w:val="18"/>
              </w:rPr>
              <w:t>Ciclo reproductivo del ganado vacuno: gestación, parición, lactancia y destete.</w:t>
            </w:r>
          </w:p>
          <w:p w14:paraId="07C918D1" w14:textId="77777777" w:rsidR="00990B14" w:rsidRDefault="00000000">
            <w:pPr>
              <w:numPr>
                <w:ilvl w:val="0"/>
                <w:numId w:val="139"/>
              </w:numPr>
              <w:spacing w:before="10" w:after="10"/>
              <w:jc w:val="both"/>
            </w:pPr>
            <w:r>
              <w:rPr>
                <w:sz w:val="18"/>
                <w:szCs w:val="18"/>
              </w:rPr>
              <w:t>Nociones de sanidad animal y de los calendarios de vacunación del ganado</w:t>
            </w:r>
          </w:p>
          <w:p w14:paraId="48C9AE31" w14:textId="77777777" w:rsidR="00990B14" w:rsidRDefault="00000000">
            <w:pPr>
              <w:numPr>
                <w:ilvl w:val="0"/>
                <w:numId w:val="139"/>
              </w:numPr>
              <w:spacing w:before="10" w:after="10"/>
              <w:jc w:val="both"/>
            </w:pPr>
            <w:r>
              <w:rPr>
                <w:sz w:val="18"/>
                <w:szCs w:val="18"/>
              </w:rPr>
              <w:t>Sistemas de identificación del ganado: marcas a fuego, aretes y registros de predio.</w:t>
            </w:r>
          </w:p>
          <w:p w14:paraId="7C2C6457" w14:textId="77777777" w:rsidR="00990B14" w:rsidRDefault="00000000">
            <w:pPr>
              <w:numPr>
                <w:ilvl w:val="0"/>
                <w:numId w:val="139"/>
              </w:numPr>
              <w:spacing w:before="10" w:after="10"/>
              <w:jc w:val="both"/>
            </w:pPr>
            <w:r>
              <w:rPr>
                <w:sz w:val="18"/>
                <w:szCs w:val="18"/>
              </w:rPr>
              <w:t>Nociones de nutrición animal y de manejo de pasturas.</w:t>
            </w:r>
          </w:p>
        </w:tc>
      </w:tr>
      <w:tr w:rsidR="00990B14" w14:paraId="7F17589F" w14:textId="77777777">
        <w:trPr>
          <w:cantSplit/>
          <w:jc w:val="center"/>
        </w:trPr>
        <w:tc>
          <w:tcPr>
            <w:tcW w:w="9405" w:type="dxa"/>
            <w:gridSpan w:val="13"/>
            <w:shd w:val="clear" w:color="auto" w:fill="D9E2F3"/>
            <w:vAlign w:val="center"/>
          </w:tcPr>
          <w:p w14:paraId="3077CD9A" w14:textId="77777777" w:rsidR="00990B14" w:rsidRDefault="00000000">
            <w:pPr>
              <w:spacing w:before="20" w:after="20"/>
              <w:jc w:val="both"/>
            </w:pPr>
            <w:r>
              <w:rPr>
                <w:b/>
                <w:bCs/>
                <w:i/>
                <w:iCs/>
                <w:sz w:val="18"/>
                <w:szCs w:val="18"/>
              </w:rPr>
              <w:t xml:space="preserve">Elemento de competencia 5: </w:t>
            </w:r>
            <w:r>
              <w:rPr>
                <w:sz w:val="18"/>
                <w:szCs w:val="18"/>
              </w:rPr>
              <w:t>Determina el costo de producción agrícola y ganadera, conforme al tipo de producto agropecuario.</w:t>
            </w:r>
          </w:p>
        </w:tc>
      </w:tr>
      <w:tr w:rsidR="00990B14" w14:paraId="6BF180F2" w14:textId="77777777">
        <w:trPr>
          <w:cantSplit/>
          <w:jc w:val="center"/>
        </w:trPr>
        <w:tc>
          <w:tcPr>
            <w:tcW w:w="3133" w:type="dxa"/>
            <w:gridSpan w:val="4"/>
            <w:shd w:val="clear" w:color="auto" w:fill="4472C4"/>
            <w:vAlign w:val="center"/>
          </w:tcPr>
          <w:p w14:paraId="3DAFB722"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1911786F"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4E45EF13" w14:textId="77777777" w:rsidR="00990B14" w:rsidRDefault="00000000">
            <w:pPr>
              <w:keepNext/>
              <w:spacing w:before="20" w:after="20"/>
              <w:jc w:val="center"/>
            </w:pPr>
            <w:r>
              <w:rPr>
                <w:b/>
                <w:bCs/>
                <w:i/>
                <w:iCs/>
                <w:color w:val="FFFFFF"/>
                <w:sz w:val="18"/>
                <w:szCs w:val="18"/>
              </w:rPr>
              <w:t>Evidencias de producto</w:t>
            </w:r>
          </w:p>
        </w:tc>
      </w:tr>
      <w:tr w:rsidR="00990B14" w14:paraId="0868ECFC" w14:textId="77777777">
        <w:trPr>
          <w:cantSplit/>
          <w:jc w:val="center"/>
        </w:trPr>
        <w:tc>
          <w:tcPr>
            <w:tcW w:w="3133" w:type="dxa"/>
            <w:gridSpan w:val="4"/>
            <w:vMerge w:val="restart"/>
            <w:shd w:val="clear" w:color="auto" w:fill="D9E2F3"/>
            <w:vAlign w:val="center"/>
          </w:tcPr>
          <w:p w14:paraId="2AECA3F9" w14:textId="77777777" w:rsidR="00990B14" w:rsidRDefault="00000000">
            <w:pPr>
              <w:spacing w:before="20" w:after="20"/>
              <w:jc w:val="both"/>
            </w:pPr>
            <w:r>
              <w:rPr>
                <w:sz w:val="18"/>
                <w:szCs w:val="18"/>
              </w:rPr>
              <w:t>1. Determina el costo de producción de productos agropecuarios, según el lugar, la campaña y el nivel tecnológico.</w:t>
            </w:r>
          </w:p>
        </w:tc>
        <w:tc>
          <w:tcPr>
            <w:tcW w:w="3135" w:type="dxa"/>
            <w:gridSpan w:val="5"/>
            <w:shd w:val="clear" w:color="auto" w:fill="D9E2F3"/>
            <w:vAlign w:val="center"/>
          </w:tcPr>
          <w:p w14:paraId="535B5C33" w14:textId="77777777" w:rsidR="00990B14" w:rsidRDefault="00000000">
            <w:pPr>
              <w:spacing w:before="20" w:after="20"/>
              <w:jc w:val="both"/>
            </w:pPr>
            <w:r>
              <w:rPr>
                <w:sz w:val="18"/>
                <w:szCs w:val="18"/>
              </w:rPr>
              <w:t>1.1 Elabora en aula la hoja de costos de producción de productos agropecuarios.</w:t>
            </w:r>
          </w:p>
        </w:tc>
        <w:tc>
          <w:tcPr>
            <w:tcW w:w="3137" w:type="dxa"/>
            <w:gridSpan w:val="4"/>
            <w:shd w:val="clear" w:color="auto" w:fill="D9E2F3"/>
            <w:vAlign w:val="center"/>
          </w:tcPr>
          <w:p w14:paraId="72ECFB13" w14:textId="77777777" w:rsidR="00990B14" w:rsidRDefault="00000000">
            <w:pPr>
              <w:spacing w:before="20" w:after="20"/>
              <w:jc w:val="both"/>
            </w:pPr>
            <w:r>
              <w:rPr>
                <w:b/>
                <w:bCs/>
                <w:sz w:val="18"/>
                <w:szCs w:val="18"/>
              </w:rPr>
              <w:t xml:space="preserve">Producto 21: </w:t>
            </w:r>
            <w:r>
              <w:rPr>
                <w:sz w:val="18"/>
                <w:szCs w:val="18"/>
              </w:rPr>
              <w:t>Hoja de costos agropecuarios</w:t>
            </w:r>
          </w:p>
        </w:tc>
      </w:tr>
      <w:tr w:rsidR="00990B14" w14:paraId="7D128E5D" w14:textId="77777777">
        <w:trPr>
          <w:cantSplit/>
          <w:jc w:val="center"/>
        </w:trPr>
        <w:tc>
          <w:tcPr>
            <w:tcW w:w="3133" w:type="dxa"/>
            <w:gridSpan w:val="4"/>
            <w:vMerge/>
            <w:shd w:val="clear" w:color="auto" w:fill="D9E2F3"/>
            <w:vAlign w:val="center"/>
          </w:tcPr>
          <w:p w14:paraId="3C58345F" w14:textId="77777777" w:rsidR="00990B14" w:rsidRDefault="00990B14">
            <w:pPr>
              <w:spacing w:before="20" w:after="20"/>
            </w:pPr>
          </w:p>
        </w:tc>
        <w:tc>
          <w:tcPr>
            <w:tcW w:w="3135" w:type="dxa"/>
            <w:gridSpan w:val="5"/>
            <w:shd w:val="clear" w:color="auto" w:fill="D9E2F3"/>
            <w:vAlign w:val="center"/>
          </w:tcPr>
          <w:p w14:paraId="1EDDFC87" w14:textId="77777777" w:rsidR="00990B14" w:rsidRDefault="00000000">
            <w:pPr>
              <w:spacing w:before="20" w:after="20"/>
              <w:jc w:val="both"/>
            </w:pPr>
            <w:r>
              <w:rPr>
                <w:sz w:val="18"/>
                <w:szCs w:val="18"/>
              </w:rPr>
              <w:t>1.2 Clasifica en equipo los costos directos e indirectos de una campaña con su costo financiero y de oportunidad.</w:t>
            </w:r>
          </w:p>
        </w:tc>
        <w:tc>
          <w:tcPr>
            <w:tcW w:w="3137" w:type="dxa"/>
            <w:gridSpan w:val="4"/>
            <w:shd w:val="clear" w:color="auto" w:fill="D9E2F3"/>
            <w:vAlign w:val="center"/>
          </w:tcPr>
          <w:p w14:paraId="452D7C9E" w14:textId="77777777" w:rsidR="00990B14" w:rsidRDefault="00000000">
            <w:pPr>
              <w:spacing w:before="20" w:after="20"/>
              <w:jc w:val="both"/>
            </w:pPr>
            <w:r>
              <w:rPr>
                <w:b/>
                <w:bCs/>
                <w:sz w:val="18"/>
                <w:szCs w:val="18"/>
              </w:rPr>
              <w:t xml:space="preserve">Producto 22: </w:t>
            </w:r>
            <w:r>
              <w:rPr>
                <w:sz w:val="18"/>
                <w:szCs w:val="18"/>
              </w:rPr>
              <w:t>Cuadro de clasificación de los costos agropecuarios</w:t>
            </w:r>
          </w:p>
        </w:tc>
      </w:tr>
      <w:tr w:rsidR="00990B14" w14:paraId="334BC968" w14:textId="77777777">
        <w:trPr>
          <w:cantSplit/>
          <w:jc w:val="center"/>
        </w:trPr>
        <w:tc>
          <w:tcPr>
            <w:tcW w:w="3133" w:type="dxa"/>
            <w:gridSpan w:val="4"/>
            <w:vMerge w:val="restart"/>
            <w:shd w:val="clear" w:color="auto" w:fill="D9E2F3"/>
            <w:vAlign w:val="center"/>
          </w:tcPr>
          <w:p w14:paraId="4BEC853D" w14:textId="77777777" w:rsidR="00990B14" w:rsidRDefault="00000000">
            <w:pPr>
              <w:spacing w:before="20" w:after="20"/>
              <w:jc w:val="both"/>
            </w:pPr>
            <w:r>
              <w:rPr>
                <w:sz w:val="18"/>
                <w:szCs w:val="18"/>
              </w:rPr>
              <w:t>2. Elabora el presupuesto agrícola de productos agropecuarios evaluando su sensibilidad ante variaciones del rendimiento y del precio de los insumos.</w:t>
            </w:r>
          </w:p>
        </w:tc>
        <w:tc>
          <w:tcPr>
            <w:tcW w:w="3135" w:type="dxa"/>
            <w:gridSpan w:val="5"/>
            <w:shd w:val="clear" w:color="auto" w:fill="D9E2F3"/>
            <w:vAlign w:val="center"/>
          </w:tcPr>
          <w:p w14:paraId="4BC04DF3" w14:textId="77777777" w:rsidR="00990B14" w:rsidRDefault="00000000">
            <w:pPr>
              <w:spacing w:before="20" w:after="20"/>
              <w:jc w:val="both"/>
            </w:pPr>
            <w:r>
              <w:rPr>
                <w:sz w:val="18"/>
                <w:szCs w:val="18"/>
              </w:rPr>
              <w:t>2.1 Presenta en equipo el presupuesto de producción, de inversiones y de resultados de un cultivo.</w:t>
            </w:r>
          </w:p>
        </w:tc>
        <w:tc>
          <w:tcPr>
            <w:tcW w:w="3137" w:type="dxa"/>
            <w:gridSpan w:val="4"/>
            <w:shd w:val="clear" w:color="auto" w:fill="D9E2F3"/>
            <w:vAlign w:val="center"/>
          </w:tcPr>
          <w:p w14:paraId="2B7B467C" w14:textId="77777777" w:rsidR="00990B14" w:rsidRDefault="00000000">
            <w:pPr>
              <w:spacing w:before="20" w:after="20"/>
              <w:jc w:val="both"/>
            </w:pPr>
            <w:r>
              <w:rPr>
                <w:b/>
                <w:bCs/>
                <w:sz w:val="18"/>
                <w:szCs w:val="18"/>
              </w:rPr>
              <w:t xml:space="preserve">Producto 23: </w:t>
            </w:r>
            <w:r>
              <w:rPr>
                <w:sz w:val="18"/>
                <w:szCs w:val="18"/>
              </w:rPr>
              <w:t>Presupuesto agrícola de productos agropecuarios</w:t>
            </w:r>
          </w:p>
        </w:tc>
      </w:tr>
      <w:tr w:rsidR="00990B14" w14:paraId="21AB1CF5" w14:textId="77777777">
        <w:trPr>
          <w:cantSplit/>
          <w:jc w:val="center"/>
        </w:trPr>
        <w:tc>
          <w:tcPr>
            <w:tcW w:w="3133" w:type="dxa"/>
            <w:gridSpan w:val="4"/>
            <w:vMerge/>
            <w:shd w:val="clear" w:color="auto" w:fill="D9E2F3"/>
            <w:vAlign w:val="center"/>
          </w:tcPr>
          <w:p w14:paraId="7D7A63C2" w14:textId="77777777" w:rsidR="00990B14" w:rsidRDefault="00990B14">
            <w:pPr>
              <w:spacing w:before="20" w:after="20"/>
            </w:pPr>
          </w:p>
        </w:tc>
        <w:tc>
          <w:tcPr>
            <w:tcW w:w="3135" w:type="dxa"/>
            <w:gridSpan w:val="5"/>
            <w:shd w:val="clear" w:color="auto" w:fill="D9E2F3"/>
            <w:vAlign w:val="center"/>
          </w:tcPr>
          <w:p w14:paraId="5B520688" w14:textId="77777777" w:rsidR="00990B14" w:rsidRDefault="00000000">
            <w:pPr>
              <w:spacing w:before="20" w:after="20"/>
              <w:jc w:val="both"/>
            </w:pPr>
            <w:r>
              <w:rPr>
                <w:sz w:val="18"/>
                <w:szCs w:val="18"/>
              </w:rPr>
              <w:t>2.2 Compara el costo presupuestado y el costo real de una campaña con su análisis de sensibilidad.</w:t>
            </w:r>
          </w:p>
        </w:tc>
        <w:tc>
          <w:tcPr>
            <w:tcW w:w="3137" w:type="dxa"/>
            <w:gridSpan w:val="4"/>
            <w:shd w:val="clear" w:color="auto" w:fill="D9E2F3"/>
            <w:vAlign w:val="center"/>
          </w:tcPr>
          <w:p w14:paraId="74D16F63" w14:textId="77777777" w:rsidR="00990B14" w:rsidRDefault="00000000">
            <w:pPr>
              <w:spacing w:before="20" w:after="20"/>
              <w:jc w:val="both"/>
            </w:pPr>
            <w:r>
              <w:rPr>
                <w:b/>
                <w:bCs/>
                <w:sz w:val="18"/>
                <w:szCs w:val="18"/>
              </w:rPr>
              <w:t xml:space="preserve">Producto 24: </w:t>
            </w:r>
            <w:r>
              <w:rPr>
                <w:sz w:val="18"/>
                <w:szCs w:val="18"/>
              </w:rPr>
              <w:t>Informe de sensibilidad y de desviaciones del costo de productos agropecuarios.</w:t>
            </w:r>
          </w:p>
        </w:tc>
      </w:tr>
      <w:tr w:rsidR="00990B14" w14:paraId="79DC3274" w14:textId="77777777">
        <w:trPr>
          <w:cantSplit/>
          <w:jc w:val="center"/>
        </w:trPr>
        <w:tc>
          <w:tcPr>
            <w:tcW w:w="9405" w:type="dxa"/>
            <w:gridSpan w:val="13"/>
            <w:shd w:val="clear" w:color="auto" w:fill="4472C4"/>
            <w:vAlign w:val="center"/>
          </w:tcPr>
          <w:p w14:paraId="3C829D60" w14:textId="77777777" w:rsidR="00990B14" w:rsidRDefault="00000000">
            <w:pPr>
              <w:keepNext/>
              <w:spacing w:before="20" w:after="20"/>
              <w:jc w:val="center"/>
            </w:pPr>
            <w:r>
              <w:rPr>
                <w:b/>
                <w:bCs/>
                <w:i/>
                <w:iCs/>
                <w:color w:val="FFFFFF"/>
                <w:sz w:val="18"/>
                <w:szCs w:val="18"/>
              </w:rPr>
              <w:t>Evidencias de conocimiento</w:t>
            </w:r>
          </w:p>
        </w:tc>
      </w:tr>
      <w:tr w:rsidR="00990B14" w14:paraId="1F8008AC" w14:textId="77777777">
        <w:trPr>
          <w:cantSplit/>
          <w:jc w:val="center"/>
        </w:trPr>
        <w:tc>
          <w:tcPr>
            <w:tcW w:w="2349" w:type="dxa"/>
            <w:gridSpan w:val="2"/>
            <w:shd w:val="clear" w:color="auto" w:fill="4472C4"/>
            <w:vAlign w:val="center"/>
          </w:tcPr>
          <w:p w14:paraId="0F889064"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051816BC" w14:textId="77777777" w:rsidR="00990B14" w:rsidRDefault="00000000">
            <w:pPr>
              <w:keepNext/>
              <w:spacing w:before="20" w:after="20"/>
              <w:jc w:val="both"/>
            </w:pPr>
            <w:r>
              <w:rPr>
                <w:b/>
                <w:bCs/>
                <w:i/>
                <w:iCs/>
                <w:color w:val="FFFFFF"/>
                <w:sz w:val="18"/>
                <w:szCs w:val="18"/>
              </w:rPr>
              <w:t>Contenidos</w:t>
            </w:r>
          </w:p>
          <w:p w14:paraId="082CEBF0"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3E640E29" w14:textId="77777777" w:rsidR="00990B14" w:rsidRDefault="00000000">
            <w:pPr>
              <w:keepNext/>
              <w:spacing w:before="20" w:after="20"/>
              <w:jc w:val="center"/>
            </w:pPr>
            <w:r>
              <w:rPr>
                <w:b/>
                <w:bCs/>
                <w:i/>
                <w:iCs/>
                <w:color w:val="FFFFFF"/>
                <w:sz w:val="18"/>
                <w:szCs w:val="18"/>
              </w:rPr>
              <w:t>Conocimientos circunstanciales</w:t>
            </w:r>
          </w:p>
        </w:tc>
      </w:tr>
      <w:tr w:rsidR="00990B14" w14:paraId="6F6BF534" w14:textId="77777777">
        <w:trPr>
          <w:jc w:val="center"/>
        </w:trPr>
        <w:tc>
          <w:tcPr>
            <w:tcW w:w="2349" w:type="dxa"/>
            <w:gridSpan w:val="2"/>
            <w:shd w:val="clear" w:color="auto" w:fill="D9E2F3"/>
          </w:tcPr>
          <w:p w14:paraId="0DD976CB" w14:textId="77777777" w:rsidR="00990B14" w:rsidRDefault="00000000">
            <w:pPr>
              <w:spacing w:before="20" w:after="40"/>
              <w:jc w:val="both"/>
            </w:pPr>
            <w:r>
              <w:rPr>
                <w:sz w:val="18"/>
                <w:szCs w:val="18"/>
              </w:rPr>
              <w:t>Tema 9: Enfoque de los costos agropecuarios.</w:t>
            </w:r>
          </w:p>
        </w:tc>
        <w:tc>
          <w:tcPr>
            <w:tcW w:w="4304" w:type="dxa"/>
            <w:gridSpan w:val="8"/>
            <w:shd w:val="clear" w:color="auto" w:fill="D9E2F3"/>
          </w:tcPr>
          <w:p w14:paraId="6AAF0816" w14:textId="77777777" w:rsidR="00990B14" w:rsidRDefault="00000000">
            <w:pPr>
              <w:spacing w:after="40"/>
              <w:jc w:val="both"/>
            </w:pPr>
            <w:r>
              <w:rPr>
                <w:sz w:val="18"/>
                <w:szCs w:val="18"/>
              </w:rPr>
              <w:t>Importancia de los costos agropecuarios a nivel nacional e internacional. (C)</w:t>
            </w:r>
          </w:p>
          <w:p w14:paraId="57D612A0" w14:textId="77777777" w:rsidR="00990B14" w:rsidRDefault="00000000">
            <w:pPr>
              <w:spacing w:after="40"/>
              <w:jc w:val="both"/>
            </w:pPr>
            <w:r>
              <w:rPr>
                <w:sz w:val="18"/>
                <w:szCs w:val="18"/>
              </w:rPr>
              <w:t>Análisis de los elementos del costo agrícola y ganadero; determinación de los costos de producción según el lugar de producción por departamento y municipio, el nivel tecnológico mecanizado o semimecanizado, el periodo. (C, P)</w:t>
            </w:r>
          </w:p>
          <w:p w14:paraId="4A956DC6" w14:textId="77777777" w:rsidR="00990B14" w:rsidRDefault="00000000">
            <w:pPr>
              <w:spacing w:after="40"/>
              <w:jc w:val="both"/>
            </w:pPr>
            <w:r>
              <w:rPr>
                <w:sz w:val="18"/>
                <w:szCs w:val="18"/>
              </w:rPr>
              <w:t>Costos directos: gastos de productos agropecuarios, gastos generales, alquiler de terreno y depreciación; costos indirectos y costo total de producción. (C)</w:t>
            </w:r>
          </w:p>
          <w:p w14:paraId="61A1231D" w14:textId="77777777" w:rsidR="00990B14" w:rsidRDefault="00000000">
            <w:pPr>
              <w:spacing w:after="40"/>
              <w:jc w:val="both"/>
            </w:pPr>
            <w:r>
              <w:rPr>
                <w:sz w:val="18"/>
                <w:szCs w:val="18"/>
              </w:rPr>
              <w:t>Gastos, amortizaciones y depreciaciones, costo financiero y costo de oportunidad. (C)</w:t>
            </w:r>
          </w:p>
          <w:p w14:paraId="7DCCF5BC" w14:textId="77777777" w:rsidR="00990B14" w:rsidRDefault="00000000">
            <w:pPr>
              <w:spacing w:after="40"/>
              <w:jc w:val="both"/>
            </w:pPr>
            <w:r>
              <w:rPr>
                <w:sz w:val="18"/>
                <w:szCs w:val="18"/>
              </w:rPr>
              <w:t>Óptica empresarial de costo-beneficio y la óptica no empresarial: hoja de costos de producción con sus costos directos, depreciaciones, costo financiero y los componentes esenciales del costo agropecuario. (C)</w:t>
            </w:r>
          </w:p>
          <w:p w14:paraId="3AFC2435" w14:textId="77777777" w:rsidR="00990B14" w:rsidRDefault="00000000">
            <w:pPr>
              <w:spacing w:after="40"/>
              <w:jc w:val="both"/>
            </w:pPr>
            <w:r>
              <w:rPr>
                <w:sz w:val="18"/>
                <w:szCs w:val="18"/>
              </w:rPr>
              <w:t>Presupuesto agrícola de producción, de inversiones y de resultados, con sus costos y beneficios, y otros enfoques. (C)</w:t>
            </w:r>
          </w:p>
          <w:p w14:paraId="7605E948" w14:textId="77777777" w:rsidR="00990B14" w:rsidRDefault="00000000">
            <w:pPr>
              <w:spacing w:after="40"/>
              <w:jc w:val="both"/>
            </w:pPr>
            <w:r>
              <w:rPr>
                <w:sz w:val="18"/>
                <w:szCs w:val="18"/>
              </w:rPr>
              <w:t>Elaboración de planillas de costos de los productos agropecuarios. (P)</w:t>
            </w:r>
          </w:p>
          <w:p w14:paraId="5BD35BCD" w14:textId="77777777" w:rsidR="00990B14" w:rsidRDefault="00000000">
            <w:pPr>
              <w:spacing w:after="40"/>
              <w:jc w:val="both"/>
            </w:pPr>
            <w:r>
              <w:rPr>
                <w:sz w:val="18"/>
                <w:szCs w:val="18"/>
              </w:rPr>
              <w:t>Costos ambientales de la producción agropecuaria. (C)</w:t>
            </w:r>
          </w:p>
        </w:tc>
        <w:tc>
          <w:tcPr>
            <w:tcW w:w="2752" w:type="dxa"/>
            <w:gridSpan w:val="3"/>
            <w:shd w:val="clear" w:color="auto" w:fill="D9E2F3"/>
          </w:tcPr>
          <w:p w14:paraId="5675AFFF" w14:textId="77777777" w:rsidR="00990B14" w:rsidRDefault="00000000">
            <w:pPr>
              <w:numPr>
                <w:ilvl w:val="0"/>
                <w:numId w:val="139"/>
              </w:numPr>
              <w:spacing w:before="10" w:after="10"/>
              <w:jc w:val="both"/>
            </w:pPr>
            <w:r>
              <w:rPr>
                <w:sz w:val="18"/>
                <w:szCs w:val="18"/>
              </w:rPr>
              <w:t>Labores culturales y su requerimiento de jornales y de maquinaria por hectárea.</w:t>
            </w:r>
          </w:p>
          <w:p w14:paraId="7BEDB262" w14:textId="77777777" w:rsidR="00990B14" w:rsidRDefault="00000000">
            <w:pPr>
              <w:numPr>
                <w:ilvl w:val="0"/>
                <w:numId w:val="139"/>
              </w:numPr>
              <w:spacing w:before="10" w:after="10"/>
              <w:jc w:val="both"/>
            </w:pPr>
            <w:r>
              <w:rPr>
                <w:sz w:val="18"/>
                <w:szCs w:val="18"/>
              </w:rPr>
              <w:t>Unidades de medida agrícolas usadas en Bolivia: hectárea, arroba, quintal y tonelada.</w:t>
            </w:r>
          </w:p>
          <w:p w14:paraId="68E15741" w14:textId="77777777" w:rsidR="00990B14" w:rsidRDefault="00000000">
            <w:pPr>
              <w:numPr>
                <w:ilvl w:val="0"/>
                <w:numId w:val="139"/>
              </w:numPr>
              <w:spacing w:before="10" w:after="10"/>
              <w:jc w:val="both"/>
            </w:pPr>
            <w:r>
              <w:rPr>
                <w:sz w:val="18"/>
                <w:szCs w:val="18"/>
              </w:rPr>
              <w:t>Indicadores zootécnicos: tasa de natalidad, ganancia diaria de peso y conversión alimenticia.</w:t>
            </w:r>
          </w:p>
          <w:p w14:paraId="27DD49FB" w14:textId="77777777" w:rsidR="00990B14" w:rsidRDefault="00000000">
            <w:pPr>
              <w:numPr>
                <w:ilvl w:val="0"/>
                <w:numId w:val="139"/>
              </w:numPr>
              <w:spacing w:before="10" w:after="10"/>
              <w:jc w:val="both"/>
            </w:pPr>
            <w:r>
              <w:rPr>
                <w:sz w:val="18"/>
                <w:szCs w:val="18"/>
              </w:rPr>
              <w:t>Comercialización del ganado en pie en ferias y mataderos de Bolivia.</w:t>
            </w:r>
          </w:p>
        </w:tc>
      </w:tr>
      <w:tr w:rsidR="00990B14" w14:paraId="7E20379B" w14:textId="77777777">
        <w:trPr>
          <w:cantSplit/>
          <w:jc w:val="center"/>
        </w:trPr>
        <w:tc>
          <w:tcPr>
            <w:tcW w:w="9405" w:type="dxa"/>
            <w:gridSpan w:val="13"/>
            <w:shd w:val="clear" w:color="auto" w:fill="D9E2F3"/>
            <w:vAlign w:val="center"/>
          </w:tcPr>
          <w:p w14:paraId="1BAAAF9F" w14:textId="77777777" w:rsidR="00990B14" w:rsidRDefault="00000000">
            <w:pPr>
              <w:spacing w:before="20" w:after="20"/>
              <w:jc w:val="both"/>
            </w:pPr>
            <w:r>
              <w:rPr>
                <w:b/>
                <w:bCs/>
                <w:i/>
                <w:iCs/>
                <w:sz w:val="18"/>
                <w:szCs w:val="18"/>
              </w:rPr>
              <w:t xml:space="preserve">Elemento de competencia 6: </w:t>
            </w:r>
            <w:r>
              <w:rPr>
                <w:sz w:val="18"/>
                <w:szCs w:val="18"/>
              </w:rPr>
              <w:t>Aplica la NIC 41 Agricultura, reconociendo y midiendo los activos biológicos y los productos agrícolas conforme al ordenamiento jurídico tributario boliviano.</w:t>
            </w:r>
          </w:p>
        </w:tc>
      </w:tr>
      <w:tr w:rsidR="00990B14" w14:paraId="240EE1EE" w14:textId="77777777">
        <w:trPr>
          <w:cantSplit/>
          <w:jc w:val="center"/>
        </w:trPr>
        <w:tc>
          <w:tcPr>
            <w:tcW w:w="3133" w:type="dxa"/>
            <w:gridSpan w:val="4"/>
            <w:shd w:val="clear" w:color="auto" w:fill="4472C4"/>
            <w:vAlign w:val="center"/>
          </w:tcPr>
          <w:p w14:paraId="35023523"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30BD550F"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6A74F604" w14:textId="77777777" w:rsidR="00990B14" w:rsidRDefault="00000000">
            <w:pPr>
              <w:keepNext/>
              <w:spacing w:before="20" w:after="20"/>
              <w:jc w:val="center"/>
            </w:pPr>
            <w:r>
              <w:rPr>
                <w:b/>
                <w:bCs/>
                <w:i/>
                <w:iCs/>
                <w:color w:val="FFFFFF"/>
                <w:sz w:val="18"/>
                <w:szCs w:val="18"/>
              </w:rPr>
              <w:t>Evidencias de producto</w:t>
            </w:r>
          </w:p>
        </w:tc>
      </w:tr>
      <w:tr w:rsidR="00990B14" w14:paraId="1CFD1DD9" w14:textId="77777777">
        <w:trPr>
          <w:cantSplit/>
          <w:jc w:val="center"/>
        </w:trPr>
        <w:tc>
          <w:tcPr>
            <w:tcW w:w="3133" w:type="dxa"/>
            <w:gridSpan w:val="4"/>
            <w:vMerge w:val="restart"/>
            <w:shd w:val="clear" w:color="auto" w:fill="D9E2F3"/>
            <w:vAlign w:val="center"/>
          </w:tcPr>
          <w:p w14:paraId="69FE1F35" w14:textId="77777777" w:rsidR="00990B14" w:rsidRDefault="00000000">
            <w:pPr>
              <w:spacing w:before="20" w:after="20"/>
              <w:jc w:val="both"/>
            </w:pPr>
            <w:r>
              <w:rPr>
                <w:sz w:val="18"/>
                <w:szCs w:val="18"/>
              </w:rPr>
              <w:t>1. Aplica la NIC 41 Agricultura, reconociendo y midiendo los activos biológicos y los productos agrícolas al valor razonable menos los costos de venta.</w:t>
            </w:r>
          </w:p>
        </w:tc>
        <w:tc>
          <w:tcPr>
            <w:tcW w:w="3135" w:type="dxa"/>
            <w:gridSpan w:val="5"/>
            <w:shd w:val="clear" w:color="auto" w:fill="D9E2F3"/>
            <w:vAlign w:val="center"/>
          </w:tcPr>
          <w:p w14:paraId="5500137D" w14:textId="77777777" w:rsidR="00990B14" w:rsidRDefault="00000000">
            <w:pPr>
              <w:spacing w:before="20" w:after="20"/>
              <w:jc w:val="both"/>
            </w:pPr>
            <w:r>
              <w:rPr>
                <w:sz w:val="18"/>
                <w:szCs w:val="18"/>
              </w:rPr>
              <w:t>1.1 Mide en aula el valor razonable de un activo biológico con la jerarquía de la NIIF 13.</w:t>
            </w:r>
          </w:p>
        </w:tc>
        <w:tc>
          <w:tcPr>
            <w:tcW w:w="3137" w:type="dxa"/>
            <w:gridSpan w:val="4"/>
            <w:shd w:val="clear" w:color="auto" w:fill="D9E2F3"/>
            <w:vAlign w:val="center"/>
          </w:tcPr>
          <w:p w14:paraId="7EF87713" w14:textId="77777777" w:rsidR="00990B14" w:rsidRDefault="00000000">
            <w:pPr>
              <w:spacing w:before="20" w:after="20"/>
              <w:jc w:val="both"/>
            </w:pPr>
            <w:r>
              <w:rPr>
                <w:b/>
                <w:bCs/>
                <w:sz w:val="18"/>
                <w:szCs w:val="18"/>
              </w:rPr>
              <w:t xml:space="preserve">Producto 25: </w:t>
            </w:r>
            <w:r>
              <w:rPr>
                <w:sz w:val="18"/>
                <w:szCs w:val="18"/>
              </w:rPr>
              <w:t>Informe de reconocimiento y medición al valor razonable de un activo biológico.</w:t>
            </w:r>
          </w:p>
        </w:tc>
      </w:tr>
      <w:tr w:rsidR="00990B14" w14:paraId="17E243FE" w14:textId="77777777">
        <w:trPr>
          <w:cantSplit/>
          <w:jc w:val="center"/>
        </w:trPr>
        <w:tc>
          <w:tcPr>
            <w:tcW w:w="3133" w:type="dxa"/>
            <w:gridSpan w:val="4"/>
            <w:vMerge/>
            <w:shd w:val="clear" w:color="auto" w:fill="D9E2F3"/>
            <w:vAlign w:val="center"/>
          </w:tcPr>
          <w:p w14:paraId="356ED0BE" w14:textId="77777777" w:rsidR="00990B14" w:rsidRDefault="00990B14">
            <w:pPr>
              <w:spacing w:before="20" w:after="20"/>
            </w:pPr>
          </w:p>
        </w:tc>
        <w:tc>
          <w:tcPr>
            <w:tcW w:w="3135" w:type="dxa"/>
            <w:gridSpan w:val="5"/>
            <w:shd w:val="clear" w:color="auto" w:fill="D9E2F3"/>
            <w:vAlign w:val="center"/>
          </w:tcPr>
          <w:p w14:paraId="774AEABA" w14:textId="77777777" w:rsidR="00990B14" w:rsidRDefault="00000000">
            <w:pPr>
              <w:spacing w:before="20" w:after="20"/>
              <w:jc w:val="both"/>
            </w:pPr>
            <w:r>
              <w:rPr>
                <w:sz w:val="18"/>
                <w:szCs w:val="18"/>
              </w:rPr>
              <w:t>1.2 Prepara en equipo la información a revelar de un caso práctico bajo la NIC 41.</w:t>
            </w:r>
          </w:p>
        </w:tc>
        <w:tc>
          <w:tcPr>
            <w:tcW w:w="3137" w:type="dxa"/>
            <w:gridSpan w:val="4"/>
            <w:shd w:val="clear" w:color="auto" w:fill="D9E2F3"/>
            <w:vAlign w:val="center"/>
          </w:tcPr>
          <w:p w14:paraId="101BDC62" w14:textId="77777777" w:rsidR="00990B14" w:rsidRDefault="00000000">
            <w:pPr>
              <w:spacing w:before="20" w:after="20"/>
              <w:jc w:val="both"/>
            </w:pPr>
            <w:r>
              <w:rPr>
                <w:b/>
                <w:bCs/>
                <w:sz w:val="18"/>
                <w:szCs w:val="18"/>
              </w:rPr>
              <w:t xml:space="preserve">Producto 26: </w:t>
            </w:r>
            <w:r>
              <w:rPr>
                <w:sz w:val="18"/>
                <w:szCs w:val="18"/>
              </w:rPr>
              <w:t>Cuadro de información a revelar de un caso práctico bajo la NIC 41.</w:t>
            </w:r>
          </w:p>
        </w:tc>
      </w:tr>
      <w:tr w:rsidR="00990B14" w14:paraId="256B676B" w14:textId="77777777">
        <w:trPr>
          <w:cantSplit/>
          <w:jc w:val="center"/>
        </w:trPr>
        <w:tc>
          <w:tcPr>
            <w:tcW w:w="3133" w:type="dxa"/>
            <w:gridSpan w:val="4"/>
            <w:vMerge w:val="restart"/>
            <w:shd w:val="clear" w:color="auto" w:fill="D9E2F3"/>
            <w:vAlign w:val="center"/>
          </w:tcPr>
          <w:p w14:paraId="5E571713" w14:textId="77777777" w:rsidR="00990B14" w:rsidRDefault="00000000">
            <w:pPr>
              <w:spacing w:before="20" w:after="20"/>
              <w:jc w:val="both"/>
            </w:pPr>
            <w:r>
              <w:rPr>
                <w:sz w:val="18"/>
                <w:szCs w:val="18"/>
              </w:rPr>
              <w:t>2. Evalúa las diferencias entre la medición de la NIC 41 y el tratamiento tributario boliviano, conciliando su efecto en el resultado contable e impositivo.</w:t>
            </w:r>
          </w:p>
        </w:tc>
        <w:tc>
          <w:tcPr>
            <w:tcW w:w="3135" w:type="dxa"/>
            <w:gridSpan w:val="5"/>
            <w:shd w:val="clear" w:color="auto" w:fill="D9E2F3"/>
            <w:vAlign w:val="center"/>
          </w:tcPr>
          <w:p w14:paraId="4E1D2FC2" w14:textId="77777777" w:rsidR="00990B14" w:rsidRDefault="00000000">
            <w:pPr>
              <w:spacing w:before="20" w:after="20"/>
              <w:jc w:val="both"/>
            </w:pPr>
            <w:r>
              <w:rPr>
                <w:sz w:val="18"/>
                <w:szCs w:val="18"/>
              </w:rPr>
              <w:t>2.1 Analiza en equipo la NIC 41 frente al ordenamiento jurídico tributario boliviano.</w:t>
            </w:r>
          </w:p>
        </w:tc>
        <w:tc>
          <w:tcPr>
            <w:tcW w:w="3137" w:type="dxa"/>
            <w:gridSpan w:val="4"/>
            <w:shd w:val="clear" w:color="auto" w:fill="D9E2F3"/>
            <w:vAlign w:val="center"/>
          </w:tcPr>
          <w:p w14:paraId="50BE08FB" w14:textId="77777777" w:rsidR="00990B14" w:rsidRDefault="00000000">
            <w:pPr>
              <w:spacing w:before="20" w:after="20"/>
              <w:jc w:val="both"/>
            </w:pPr>
            <w:r>
              <w:rPr>
                <w:b/>
                <w:bCs/>
                <w:sz w:val="18"/>
                <w:szCs w:val="18"/>
              </w:rPr>
              <w:t xml:space="preserve">Producto 27: </w:t>
            </w:r>
            <w:r>
              <w:rPr>
                <w:sz w:val="18"/>
                <w:szCs w:val="18"/>
              </w:rPr>
              <w:t>Cuadro comparativo de la NIC 41 y del tratamiento tributario boliviano.</w:t>
            </w:r>
          </w:p>
        </w:tc>
      </w:tr>
      <w:tr w:rsidR="00990B14" w14:paraId="3A5685ED" w14:textId="77777777">
        <w:trPr>
          <w:cantSplit/>
          <w:jc w:val="center"/>
        </w:trPr>
        <w:tc>
          <w:tcPr>
            <w:tcW w:w="3133" w:type="dxa"/>
            <w:gridSpan w:val="4"/>
            <w:vMerge/>
            <w:shd w:val="clear" w:color="auto" w:fill="D9E2F3"/>
            <w:vAlign w:val="center"/>
          </w:tcPr>
          <w:p w14:paraId="246B2C5E" w14:textId="77777777" w:rsidR="00990B14" w:rsidRDefault="00990B14">
            <w:pPr>
              <w:spacing w:before="20" w:after="20"/>
            </w:pPr>
          </w:p>
        </w:tc>
        <w:tc>
          <w:tcPr>
            <w:tcW w:w="3135" w:type="dxa"/>
            <w:gridSpan w:val="5"/>
            <w:shd w:val="clear" w:color="auto" w:fill="D9E2F3"/>
            <w:vAlign w:val="center"/>
          </w:tcPr>
          <w:p w14:paraId="3E91EA57" w14:textId="77777777" w:rsidR="00990B14" w:rsidRDefault="00000000">
            <w:pPr>
              <w:spacing w:before="20" w:after="20"/>
              <w:jc w:val="both"/>
            </w:pPr>
            <w:r>
              <w:rPr>
                <w:sz w:val="18"/>
                <w:szCs w:val="18"/>
              </w:rPr>
              <w:t>2.2 Concilia en aula el resultado contable y el resultado impositivo de una empresa agropecuaria con activos biológicos.</w:t>
            </w:r>
          </w:p>
        </w:tc>
        <w:tc>
          <w:tcPr>
            <w:tcW w:w="3137" w:type="dxa"/>
            <w:gridSpan w:val="4"/>
            <w:shd w:val="clear" w:color="auto" w:fill="D9E2F3"/>
            <w:vAlign w:val="center"/>
          </w:tcPr>
          <w:p w14:paraId="7ED7DD6C" w14:textId="77777777" w:rsidR="00990B14" w:rsidRDefault="00000000">
            <w:pPr>
              <w:spacing w:before="20" w:after="20"/>
              <w:jc w:val="both"/>
            </w:pPr>
            <w:r>
              <w:rPr>
                <w:b/>
                <w:bCs/>
                <w:sz w:val="18"/>
                <w:szCs w:val="18"/>
              </w:rPr>
              <w:t xml:space="preserve">Producto 28: </w:t>
            </w:r>
            <w:r>
              <w:rPr>
                <w:sz w:val="18"/>
                <w:szCs w:val="18"/>
              </w:rPr>
              <w:t>Conciliación contable impositiva de una empresa agropecuaria.</w:t>
            </w:r>
          </w:p>
        </w:tc>
      </w:tr>
      <w:tr w:rsidR="00990B14" w14:paraId="0FB92101" w14:textId="77777777">
        <w:trPr>
          <w:cantSplit/>
          <w:jc w:val="center"/>
        </w:trPr>
        <w:tc>
          <w:tcPr>
            <w:tcW w:w="9405" w:type="dxa"/>
            <w:gridSpan w:val="13"/>
            <w:shd w:val="clear" w:color="auto" w:fill="4472C4"/>
            <w:vAlign w:val="center"/>
          </w:tcPr>
          <w:p w14:paraId="245C9B28" w14:textId="77777777" w:rsidR="00990B14" w:rsidRDefault="00000000">
            <w:pPr>
              <w:keepNext/>
              <w:spacing w:before="20" w:after="20"/>
              <w:jc w:val="center"/>
            </w:pPr>
            <w:r>
              <w:rPr>
                <w:b/>
                <w:bCs/>
                <w:i/>
                <w:iCs/>
                <w:color w:val="FFFFFF"/>
                <w:sz w:val="18"/>
                <w:szCs w:val="18"/>
              </w:rPr>
              <w:t>Evidencias de conocimiento</w:t>
            </w:r>
          </w:p>
        </w:tc>
      </w:tr>
      <w:tr w:rsidR="00990B14" w14:paraId="3C4FD4C7" w14:textId="77777777">
        <w:trPr>
          <w:cantSplit/>
          <w:jc w:val="center"/>
        </w:trPr>
        <w:tc>
          <w:tcPr>
            <w:tcW w:w="2349" w:type="dxa"/>
            <w:gridSpan w:val="2"/>
            <w:shd w:val="clear" w:color="auto" w:fill="4472C4"/>
            <w:vAlign w:val="center"/>
          </w:tcPr>
          <w:p w14:paraId="4C33E42D"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7DC570C1" w14:textId="77777777" w:rsidR="00990B14" w:rsidRDefault="00000000">
            <w:pPr>
              <w:keepNext/>
              <w:spacing w:before="20" w:after="20"/>
              <w:jc w:val="both"/>
            </w:pPr>
            <w:r>
              <w:rPr>
                <w:b/>
                <w:bCs/>
                <w:i/>
                <w:iCs/>
                <w:color w:val="FFFFFF"/>
                <w:sz w:val="18"/>
                <w:szCs w:val="18"/>
              </w:rPr>
              <w:t>Contenidos</w:t>
            </w:r>
          </w:p>
          <w:p w14:paraId="1A839739"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454D29F7" w14:textId="77777777" w:rsidR="00990B14" w:rsidRDefault="00000000">
            <w:pPr>
              <w:keepNext/>
              <w:spacing w:before="20" w:after="20"/>
              <w:jc w:val="center"/>
            </w:pPr>
            <w:r>
              <w:rPr>
                <w:b/>
                <w:bCs/>
                <w:i/>
                <w:iCs/>
                <w:color w:val="FFFFFF"/>
                <w:sz w:val="18"/>
                <w:szCs w:val="18"/>
              </w:rPr>
              <w:t>Conocimientos circunstanciales</w:t>
            </w:r>
          </w:p>
        </w:tc>
      </w:tr>
      <w:tr w:rsidR="00990B14" w14:paraId="421E988C" w14:textId="77777777">
        <w:trPr>
          <w:jc w:val="center"/>
        </w:trPr>
        <w:tc>
          <w:tcPr>
            <w:tcW w:w="2349" w:type="dxa"/>
            <w:gridSpan w:val="2"/>
            <w:shd w:val="clear" w:color="auto" w:fill="D9E2F3"/>
          </w:tcPr>
          <w:p w14:paraId="5DA2AD49" w14:textId="77777777" w:rsidR="00990B14" w:rsidRDefault="00000000">
            <w:pPr>
              <w:spacing w:before="20" w:after="40"/>
              <w:jc w:val="both"/>
            </w:pPr>
            <w:r>
              <w:rPr>
                <w:sz w:val="18"/>
                <w:szCs w:val="18"/>
              </w:rPr>
              <w:t>Tema 15: NIC 41 Agricultura</w:t>
            </w:r>
          </w:p>
        </w:tc>
        <w:tc>
          <w:tcPr>
            <w:tcW w:w="4304" w:type="dxa"/>
            <w:gridSpan w:val="8"/>
            <w:shd w:val="clear" w:color="auto" w:fill="D9E2F3"/>
          </w:tcPr>
          <w:p w14:paraId="44DE9EF0" w14:textId="77777777" w:rsidR="00990B14" w:rsidRDefault="00000000">
            <w:pPr>
              <w:spacing w:after="40"/>
              <w:jc w:val="both"/>
            </w:pPr>
            <w:r>
              <w:rPr>
                <w:sz w:val="18"/>
                <w:szCs w:val="18"/>
              </w:rPr>
              <w:t>Objetivo, alcance y definiciones de la NIC 41 Agricultura. (C)</w:t>
            </w:r>
          </w:p>
          <w:p w14:paraId="2B8439BA" w14:textId="77777777" w:rsidR="00990B14" w:rsidRDefault="00000000">
            <w:pPr>
              <w:spacing w:after="40"/>
              <w:jc w:val="both"/>
            </w:pPr>
            <w:r>
              <w:rPr>
                <w:sz w:val="18"/>
                <w:szCs w:val="18"/>
              </w:rPr>
              <w:t>Reconocimiento y medición, ganancias y pérdidas, y valor razonable de los activos biológicos y productos agrícolas. (P)</w:t>
            </w:r>
          </w:p>
          <w:p w14:paraId="0AA75490" w14:textId="77777777" w:rsidR="00990B14" w:rsidRDefault="00000000">
            <w:pPr>
              <w:spacing w:after="40"/>
              <w:jc w:val="both"/>
            </w:pPr>
            <w:r>
              <w:rPr>
                <w:sz w:val="18"/>
                <w:szCs w:val="18"/>
              </w:rPr>
              <w:t>Jerarquía del valor razonable de la NIIF 13 aplicada a los activos biológicos y presunción de fiabilidad de la medición. (P)</w:t>
            </w:r>
          </w:p>
          <w:p w14:paraId="5063D06F" w14:textId="77777777" w:rsidR="00990B14" w:rsidRDefault="00000000">
            <w:pPr>
              <w:spacing w:after="40"/>
              <w:jc w:val="both"/>
            </w:pPr>
            <w:r>
              <w:rPr>
                <w:sz w:val="18"/>
                <w:szCs w:val="18"/>
              </w:rPr>
              <w:t>Subvenciones del gobierno e información a revelar según la NIC 41. (P)</w:t>
            </w:r>
          </w:p>
          <w:p w14:paraId="20400E0A" w14:textId="77777777" w:rsidR="00990B14" w:rsidRDefault="00000000">
            <w:pPr>
              <w:spacing w:after="40"/>
              <w:jc w:val="both"/>
            </w:pPr>
            <w:r>
              <w:rPr>
                <w:sz w:val="18"/>
                <w:szCs w:val="18"/>
              </w:rPr>
              <w:t>Plantas productoras excluidas del alcance de la NIC 41 y tratadas conforme a la NIC 16, y productos agrícolas cosechados medidos conforme a la NIC 2 desde el momento de la cosecha. (C)</w:t>
            </w:r>
          </w:p>
          <w:p w14:paraId="546755B2" w14:textId="77777777" w:rsidR="00990B14" w:rsidRDefault="00000000">
            <w:pPr>
              <w:spacing w:after="40"/>
              <w:jc w:val="both"/>
            </w:pPr>
            <w:r>
              <w:rPr>
                <w:sz w:val="18"/>
                <w:szCs w:val="18"/>
              </w:rPr>
              <w:t>Análisis de la norma internacional conforme al ordenamiento jurídico tributario del país. (C, P)</w:t>
            </w:r>
          </w:p>
          <w:p w14:paraId="1B4F731F" w14:textId="77777777" w:rsidR="00990B14" w:rsidRDefault="00000000">
            <w:pPr>
              <w:spacing w:after="40"/>
              <w:jc w:val="both"/>
            </w:pPr>
            <w:r>
              <w:rPr>
                <w:sz w:val="18"/>
                <w:szCs w:val="18"/>
              </w:rPr>
              <w:t>Diferencias entre la medición al valor razonable de la NIC 41 y el costo histórico admitido por la normativa tributaria boliviana, y su efecto en la conciliación contable impositiva. (C, P)</w:t>
            </w:r>
          </w:p>
        </w:tc>
        <w:tc>
          <w:tcPr>
            <w:tcW w:w="2752" w:type="dxa"/>
            <w:gridSpan w:val="3"/>
            <w:shd w:val="clear" w:color="auto" w:fill="D9E2F3"/>
          </w:tcPr>
          <w:p w14:paraId="52001D7D" w14:textId="77777777" w:rsidR="00990B14" w:rsidRDefault="00000000">
            <w:pPr>
              <w:numPr>
                <w:ilvl w:val="0"/>
                <w:numId w:val="139"/>
              </w:numPr>
              <w:spacing w:before="10" w:after="10"/>
              <w:jc w:val="both"/>
            </w:pPr>
            <w:r>
              <w:rPr>
                <w:sz w:val="18"/>
                <w:szCs w:val="18"/>
              </w:rPr>
              <w:t>Fuentes oficiales de precios de los productos agropecuarios en Bolivia.</w:t>
            </w:r>
          </w:p>
          <w:p w14:paraId="69782B36" w14:textId="77777777" w:rsidR="00990B14" w:rsidRDefault="00000000">
            <w:pPr>
              <w:numPr>
                <w:ilvl w:val="0"/>
                <w:numId w:val="139"/>
              </w:numPr>
              <w:spacing w:before="10" w:after="10"/>
              <w:jc w:val="both"/>
            </w:pPr>
            <w:r>
              <w:rPr>
                <w:sz w:val="18"/>
                <w:szCs w:val="18"/>
              </w:rPr>
              <w:t>Nociones de peritaje agronómico y pecuario aplicadas a la medición de activos biológicos.</w:t>
            </w:r>
          </w:p>
        </w:tc>
      </w:tr>
    </w:tbl>
    <w:p w14:paraId="2ACF1C36"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570"/>
        <w:gridCol w:w="1654"/>
        <w:gridCol w:w="1821"/>
        <w:gridCol w:w="1821"/>
        <w:gridCol w:w="2539"/>
      </w:tblGrid>
      <w:tr w:rsidR="00990B14" w14:paraId="72424BC8" w14:textId="77777777">
        <w:trPr>
          <w:cantSplit/>
          <w:jc w:val="center"/>
        </w:trPr>
        <w:tc>
          <w:tcPr>
            <w:tcW w:w="9405" w:type="dxa"/>
            <w:gridSpan w:val="5"/>
            <w:shd w:val="clear" w:color="auto" w:fill="4472C4"/>
            <w:vAlign w:val="center"/>
          </w:tcPr>
          <w:p w14:paraId="667A05ED" w14:textId="77777777" w:rsidR="00990B14" w:rsidRDefault="00000000">
            <w:pPr>
              <w:keepNext/>
              <w:spacing w:before="20" w:after="20"/>
              <w:jc w:val="center"/>
            </w:pPr>
            <w:r>
              <w:rPr>
                <w:b/>
                <w:bCs/>
                <w:i/>
                <w:iCs/>
                <w:color w:val="FFFFFF"/>
                <w:sz w:val="18"/>
                <w:szCs w:val="18"/>
              </w:rPr>
              <w:t>Actividades</w:t>
            </w:r>
          </w:p>
        </w:tc>
      </w:tr>
      <w:tr w:rsidR="00990B14" w14:paraId="4F852A9C" w14:textId="77777777">
        <w:trPr>
          <w:cantSplit/>
          <w:jc w:val="center"/>
        </w:trPr>
        <w:tc>
          <w:tcPr>
            <w:tcW w:w="1570" w:type="dxa"/>
            <w:shd w:val="clear" w:color="auto" w:fill="4472C4"/>
            <w:vAlign w:val="center"/>
          </w:tcPr>
          <w:p w14:paraId="74622D11" w14:textId="77777777" w:rsidR="00990B14" w:rsidRDefault="00000000">
            <w:pPr>
              <w:keepNext/>
              <w:spacing w:before="20" w:after="20"/>
              <w:jc w:val="center"/>
            </w:pPr>
            <w:r>
              <w:rPr>
                <w:b/>
                <w:bCs/>
                <w:i/>
                <w:iCs/>
                <w:color w:val="FFFFFF"/>
                <w:sz w:val="18"/>
                <w:szCs w:val="18"/>
              </w:rPr>
              <w:t>En clase</w:t>
            </w:r>
          </w:p>
        </w:tc>
        <w:tc>
          <w:tcPr>
            <w:tcW w:w="1654" w:type="dxa"/>
            <w:shd w:val="clear" w:color="auto" w:fill="4472C4"/>
            <w:vAlign w:val="center"/>
          </w:tcPr>
          <w:p w14:paraId="7567D74A" w14:textId="77777777" w:rsidR="00990B14" w:rsidRDefault="00000000">
            <w:pPr>
              <w:keepNext/>
              <w:spacing w:before="20" w:after="20"/>
              <w:jc w:val="center"/>
            </w:pPr>
            <w:r>
              <w:rPr>
                <w:b/>
                <w:bCs/>
                <w:i/>
                <w:iCs/>
                <w:color w:val="FFFFFF"/>
                <w:sz w:val="18"/>
                <w:szCs w:val="18"/>
              </w:rPr>
              <w:t>Autónomas</w:t>
            </w:r>
          </w:p>
        </w:tc>
        <w:tc>
          <w:tcPr>
            <w:tcW w:w="1821" w:type="dxa"/>
            <w:shd w:val="clear" w:color="auto" w:fill="4472C4"/>
            <w:vAlign w:val="center"/>
          </w:tcPr>
          <w:p w14:paraId="2BBB244D" w14:textId="77777777" w:rsidR="00990B14" w:rsidRDefault="00000000">
            <w:pPr>
              <w:keepNext/>
              <w:spacing w:before="20" w:after="20"/>
              <w:jc w:val="center"/>
            </w:pPr>
            <w:r>
              <w:rPr>
                <w:b/>
                <w:bCs/>
                <w:i/>
                <w:iCs/>
                <w:color w:val="FFFFFF"/>
                <w:sz w:val="18"/>
                <w:szCs w:val="18"/>
              </w:rPr>
              <w:t>B-Learning</w:t>
            </w:r>
          </w:p>
        </w:tc>
        <w:tc>
          <w:tcPr>
            <w:tcW w:w="1821" w:type="dxa"/>
            <w:shd w:val="clear" w:color="auto" w:fill="4472C4"/>
            <w:vAlign w:val="center"/>
          </w:tcPr>
          <w:p w14:paraId="456C5F89" w14:textId="77777777" w:rsidR="00990B14" w:rsidRDefault="00000000">
            <w:pPr>
              <w:keepNext/>
              <w:spacing w:before="20" w:after="20"/>
              <w:jc w:val="center"/>
            </w:pPr>
            <w:r>
              <w:rPr>
                <w:b/>
                <w:bCs/>
                <w:i/>
                <w:iCs/>
                <w:color w:val="FFFFFF"/>
                <w:sz w:val="18"/>
                <w:szCs w:val="18"/>
              </w:rPr>
              <w:t>Taller</w:t>
            </w:r>
          </w:p>
        </w:tc>
        <w:tc>
          <w:tcPr>
            <w:tcW w:w="2539" w:type="dxa"/>
            <w:shd w:val="clear" w:color="auto" w:fill="4472C4"/>
            <w:vAlign w:val="center"/>
          </w:tcPr>
          <w:p w14:paraId="6999E222" w14:textId="77777777" w:rsidR="00990B14" w:rsidRDefault="00000000">
            <w:pPr>
              <w:keepNext/>
              <w:spacing w:before="20" w:after="20"/>
              <w:jc w:val="center"/>
            </w:pPr>
            <w:r>
              <w:rPr>
                <w:b/>
                <w:bCs/>
                <w:i/>
                <w:iCs/>
                <w:color w:val="FFFFFF"/>
                <w:sz w:val="18"/>
                <w:szCs w:val="18"/>
              </w:rPr>
              <w:t>Investigación/Práctica</w:t>
            </w:r>
          </w:p>
        </w:tc>
      </w:tr>
      <w:tr w:rsidR="00990B14" w14:paraId="31B1CDE3" w14:textId="77777777">
        <w:trPr>
          <w:jc w:val="center"/>
        </w:trPr>
        <w:tc>
          <w:tcPr>
            <w:tcW w:w="1570" w:type="dxa"/>
            <w:shd w:val="clear" w:color="auto" w:fill="D9E2F3"/>
          </w:tcPr>
          <w:p w14:paraId="42C090F7" w14:textId="77777777" w:rsidR="00990B14" w:rsidRDefault="00000000">
            <w:pPr>
              <w:numPr>
                <w:ilvl w:val="0"/>
                <w:numId w:val="139"/>
              </w:numPr>
              <w:spacing w:before="10" w:after="10"/>
              <w:jc w:val="both"/>
            </w:pPr>
            <w:r>
              <w:rPr>
                <w:sz w:val="18"/>
                <w:szCs w:val="18"/>
              </w:rPr>
              <w:t>Exposición dialogada de los procesos de producción agrícola y ganadera y de su efecto contable.</w:t>
            </w:r>
          </w:p>
          <w:p w14:paraId="70863BF4" w14:textId="77777777" w:rsidR="00990B14" w:rsidRDefault="00000000">
            <w:pPr>
              <w:numPr>
                <w:ilvl w:val="0"/>
                <w:numId w:val="139"/>
              </w:numPr>
              <w:spacing w:before="10" w:after="10"/>
              <w:jc w:val="both"/>
            </w:pPr>
            <w:r>
              <w:rPr>
                <w:sz w:val="18"/>
                <w:szCs w:val="18"/>
              </w:rPr>
              <w:t>Resolución guiada del costo unitario de adquisición según la condición tributaria del proveedor.</w:t>
            </w:r>
          </w:p>
          <w:p w14:paraId="68B6F2E1" w14:textId="77777777" w:rsidR="00990B14" w:rsidRDefault="00000000">
            <w:pPr>
              <w:numPr>
                <w:ilvl w:val="0"/>
                <w:numId w:val="139"/>
              </w:numPr>
              <w:spacing w:before="10" w:after="10"/>
              <w:jc w:val="both"/>
            </w:pPr>
            <w:r>
              <w:rPr>
                <w:sz w:val="18"/>
                <w:szCs w:val="18"/>
              </w:rPr>
              <w:t>Demostración en hoja de cálculo de la proyección del hato y de la hoja de costos de una campaña.</w:t>
            </w:r>
          </w:p>
          <w:p w14:paraId="4D9089AA" w14:textId="77777777" w:rsidR="00990B14" w:rsidRDefault="00000000">
            <w:pPr>
              <w:numPr>
                <w:ilvl w:val="0"/>
                <w:numId w:val="139"/>
              </w:numPr>
              <w:spacing w:before="10" w:after="10"/>
              <w:jc w:val="both"/>
            </w:pPr>
            <w:r>
              <w:rPr>
                <w:sz w:val="18"/>
                <w:szCs w:val="18"/>
              </w:rPr>
              <w:t>Análisis de casos de medición de activos biológicos bajo la NIC 41.</w:t>
            </w:r>
          </w:p>
          <w:p w14:paraId="3CFE1620" w14:textId="77777777" w:rsidR="00990B14" w:rsidRDefault="00000000">
            <w:pPr>
              <w:numPr>
                <w:ilvl w:val="0"/>
                <w:numId w:val="139"/>
              </w:numPr>
              <w:spacing w:before="10" w:after="10"/>
              <w:jc w:val="both"/>
            </w:pPr>
            <w:r>
              <w:rPr>
                <w:sz w:val="18"/>
                <w:szCs w:val="18"/>
              </w:rPr>
              <w:t>Preguntas de comprensión sobre el Régimen General y el Régimen Agropecuario Unificado.</w:t>
            </w:r>
          </w:p>
        </w:tc>
        <w:tc>
          <w:tcPr>
            <w:tcW w:w="1654" w:type="dxa"/>
            <w:shd w:val="clear" w:color="auto" w:fill="D9E2F3"/>
          </w:tcPr>
          <w:p w14:paraId="7AA39B85" w14:textId="77777777" w:rsidR="00990B14" w:rsidRDefault="00000000">
            <w:pPr>
              <w:numPr>
                <w:ilvl w:val="0"/>
                <w:numId w:val="139"/>
              </w:numPr>
              <w:spacing w:before="10" w:after="10"/>
              <w:jc w:val="both"/>
            </w:pPr>
            <w:r>
              <w:rPr>
                <w:sz w:val="18"/>
                <w:szCs w:val="18"/>
              </w:rPr>
              <w:t>Resolución de ejercicios de determinación de costo unitario y de costos de producción al cierre de cada tema.</w:t>
            </w:r>
          </w:p>
          <w:p w14:paraId="71922B9C" w14:textId="77777777" w:rsidR="00990B14" w:rsidRDefault="00000000">
            <w:pPr>
              <w:numPr>
                <w:ilvl w:val="0"/>
                <w:numId w:val="139"/>
              </w:numPr>
              <w:spacing w:before="10" w:after="10"/>
              <w:jc w:val="both"/>
            </w:pPr>
            <w:r>
              <w:rPr>
                <w:sz w:val="18"/>
                <w:szCs w:val="18"/>
              </w:rPr>
              <w:t>Lectura de las leyes y decretos que rigen el régimen impositivo agropecuario.</w:t>
            </w:r>
          </w:p>
          <w:p w14:paraId="0F9FE7E7" w14:textId="77777777" w:rsidR="00990B14" w:rsidRDefault="00000000">
            <w:pPr>
              <w:numPr>
                <w:ilvl w:val="0"/>
                <w:numId w:val="139"/>
              </w:numPr>
              <w:spacing w:before="10" w:after="10"/>
              <w:jc w:val="both"/>
            </w:pPr>
            <w:r>
              <w:rPr>
                <w:sz w:val="18"/>
                <w:szCs w:val="18"/>
              </w:rPr>
              <w:t>Desarrollo progresivo del caso práctico integral de una empresa agrícola y de una empresa ganadera.</w:t>
            </w:r>
          </w:p>
        </w:tc>
        <w:tc>
          <w:tcPr>
            <w:tcW w:w="1821" w:type="dxa"/>
            <w:shd w:val="clear" w:color="auto" w:fill="D9E2F3"/>
          </w:tcPr>
          <w:p w14:paraId="04902F83" w14:textId="77777777" w:rsidR="00990B14" w:rsidRDefault="00000000">
            <w:pPr>
              <w:numPr>
                <w:ilvl w:val="0"/>
                <w:numId w:val="139"/>
              </w:numPr>
              <w:spacing w:before="10" w:after="10"/>
              <w:jc w:val="both"/>
            </w:pPr>
            <w:r>
              <w:rPr>
                <w:sz w:val="18"/>
                <w:szCs w:val="18"/>
              </w:rPr>
              <w:t>Cuestionarios de comprensión en la plataforma Moodle UMSA.</w:t>
            </w:r>
          </w:p>
          <w:p w14:paraId="2A7B569C" w14:textId="77777777" w:rsidR="00990B14" w:rsidRDefault="00000000">
            <w:pPr>
              <w:numPr>
                <w:ilvl w:val="0"/>
                <w:numId w:val="139"/>
              </w:numPr>
              <w:spacing w:before="10" w:after="10"/>
              <w:jc w:val="both"/>
            </w:pPr>
            <w:r>
              <w:rPr>
                <w:sz w:val="18"/>
                <w:szCs w:val="18"/>
              </w:rPr>
              <w:t>Foros de consulta sobre casos prácticos de costeo agrícola y ganadero.</w:t>
            </w:r>
          </w:p>
          <w:p w14:paraId="58B663FB" w14:textId="77777777" w:rsidR="00990B14" w:rsidRDefault="00000000">
            <w:pPr>
              <w:numPr>
                <w:ilvl w:val="0"/>
                <w:numId w:val="139"/>
              </w:numPr>
              <w:spacing w:before="10" w:after="10"/>
              <w:jc w:val="both"/>
            </w:pPr>
            <w:r>
              <w:rPr>
                <w:sz w:val="18"/>
                <w:szCs w:val="18"/>
              </w:rPr>
              <w:t>Videotutoriales de registro contable de activos biológicos.</w:t>
            </w:r>
          </w:p>
          <w:p w14:paraId="68266EB2" w14:textId="77777777" w:rsidR="00990B14" w:rsidRDefault="00000000">
            <w:pPr>
              <w:numPr>
                <w:ilvl w:val="0"/>
                <w:numId w:val="139"/>
              </w:numPr>
              <w:spacing w:before="10" w:after="10"/>
              <w:jc w:val="both"/>
            </w:pPr>
            <w:r>
              <w:rPr>
                <w:sz w:val="18"/>
                <w:szCs w:val="18"/>
              </w:rPr>
              <w:t>Ejercicios de determinación del costo unitario de adquisición según la condición del proveedor.</w:t>
            </w:r>
          </w:p>
        </w:tc>
        <w:tc>
          <w:tcPr>
            <w:tcW w:w="1821" w:type="dxa"/>
            <w:shd w:val="clear" w:color="auto" w:fill="D9E2F3"/>
          </w:tcPr>
          <w:p w14:paraId="25718CB1" w14:textId="77777777" w:rsidR="00990B14" w:rsidRDefault="00000000">
            <w:pPr>
              <w:numPr>
                <w:ilvl w:val="0"/>
                <w:numId w:val="139"/>
              </w:numPr>
              <w:spacing w:before="10" w:after="10"/>
              <w:jc w:val="both"/>
            </w:pPr>
            <w:r>
              <w:rPr>
                <w:sz w:val="18"/>
                <w:szCs w:val="18"/>
              </w:rPr>
              <w:t>Resolución colaborativa de casos de contabilización de activos biológicos agrícolas y ganaderos.</w:t>
            </w:r>
          </w:p>
          <w:p w14:paraId="102F169B" w14:textId="77777777" w:rsidR="00990B14" w:rsidRDefault="00000000">
            <w:pPr>
              <w:numPr>
                <w:ilvl w:val="0"/>
                <w:numId w:val="139"/>
              </w:numPr>
              <w:spacing w:before="10" w:after="10"/>
              <w:jc w:val="both"/>
            </w:pPr>
            <w:r>
              <w:rPr>
                <w:sz w:val="18"/>
                <w:szCs w:val="18"/>
              </w:rPr>
              <w:t>Elaboración guiada de hojas de costos agrícolas y ganaderos.</w:t>
            </w:r>
          </w:p>
          <w:p w14:paraId="7982E38A" w14:textId="77777777" w:rsidR="00990B14" w:rsidRDefault="00000000">
            <w:pPr>
              <w:numPr>
                <w:ilvl w:val="0"/>
                <w:numId w:val="139"/>
              </w:numPr>
              <w:spacing w:before="10" w:after="10"/>
              <w:jc w:val="both"/>
            </w:pPr>
            <w:r>
              <w:rPr>
                <w:sz w:val="18"/>
                <w:szCs w:val="18"/>
              </w:rPr>
              <w:t>Revisión cruzada de estados financieros entre equipos.</w:t>
            </w:r>
          </w:p>
          <w:p w14:paraId="2D601DEB" w14:textId="77777777" w:rsidR="00990B14" w:rsidRDefault="00000000">
            <w:pPr>
              <w:numPr>
                <w:ilvl w:val="0"/>
                <w:numId w:val="139"/>
              </w:numPr>
              <w:spacing w:before="10" w:after="10"/>
              <w:jc w:val="both"/>
            </w:pPr>
            <w:r>
              <w:rPr>
                <w:sz w:val="18"/>
                <w:szCs w:val="18"/>
              </w:rPr>
              <w:t>Proyección del hato ganadero y elaboración de la hoja de costos de una campaña agrícola en hoja de cálculo.</w:t>
            </w:r>
          </w:p>
        </w:tc>
        <w:tc>
          <w:tcPr>
            <w:tcW w:w="2539" w:type="dxa"/>
            <w:shd w:val="clear" w:color="auto" w:fill="D9E2F3"/>
          </w:tcPr>
          <w:p w14:paraId="5B6892B7" w14:textId="77777777" w:rsidR="00990B14" w:rsidRDefault="00000000">
            <w:pPr>
              <w:numPr>
                <w:ilvl w:val="0"/>
                <w:numId w:val="139"/>
              </w:numPr>
              <w:spacing w:before="10" w:after="10"/>
              <w:jc w:val="both"/>
            </w:pPr>
            <w:r>
              <w:rPr>
                <w:sz w:val="18"/>
                <w:szCs w:val="18"/>
              </w:rPr>
              <w:t>Análisis de estados financieros publicados por empresas agropecuarias bolivianas.</w:t>
            </w:r>
          </w:p>
          <w:p w14:paraId="55D16838" w14:textId="77777777" w:rsidR="00990B14" w:rsidRDefault="00000000">
            <w:pPr>
              <w:numPr>
                <w:ilvl w:val="0"/>
                <w:numId w:val="139"/>
              </w:numPr>
              <w:spacing w:before="10" w:after="10"/>
              <w:jc w:val="both"/>
            </w:pPr>
            <w:r>
              <w:rPr>
                <w:sz w:val="18"/>
                <w:szCs w:val="18"/>
              </w:rPr>
              <w:t>Revisión de la normativa del Régimen Agropecuario Unificado y de la NIC 41 Agricultura.</w:t>
            </w:r>
          </w:p>
          <w:p w14:paraId="5D982234" w14:textId="77777777" w:rsidR="00990B14" w:rsidRDefault="00000000">
            <w:pPr>
              <w:numPr>
                <w:ilvl w:val="0"/>
                <w:numId w:val="139"/>
              </w:numPr>
              <w:spacing w:before="10" w:after="10"/>
              <w:jc w:val="both"/>
            </w:pPr>
            <w:r>
              <w:rPr>
                <w:sz w:val="18"/>
                <w:szCs w:val="18"/>
              </w:rPr>
              <w:t>Comparación de los enfoques bolivianos e internacionales de costeo agrícola y ganadero.</w:t>
            </w:r>
          </w:p>
          <w:p w14:paraId="30651A61" w14:textId="77777777" w:rsidR="00990B14" w:rsidRDefault="00000000">
            <w:pPr>
              <w:numPr>
                <w:ilvl w:val="0"/>
                <w:numId w:val="139"/>
              </w:numPr>
              <w:spacing w:before="10" w:after="10"/>
              <w:jc w:val="both"/>
            </w:pPr>
            <w:r>
              <w:rPr>
                <w:sz w:val="18"/>
                <w:szCs w:val="18"/>
              </w:rPr>
              <w:t>Comparación de la medición de los activos biológicos bajo la NIC 41 con el tratamiento tributario boliviano.</w:t>
            </w:r>
          </w:p>
        </w:tc>
      </w:tr>
    </w:tbl>
    <w:p w14:paraId="0D343E5B"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772"/>
        <w:gridCol w:w="1854"/>
        <w:gridCol w:w="2015"/>
        <w:gridCol w:w="1854"/>
        <w:gridCol w:w="1910"/>
      </w:tblGrid>
      <w:tr w:rsidR="00990B14" w14:paraId="28744B74" w14:textId="77777777">
        <w:trPr>
          <w:jc w:val="center"/>
        </w:trPr>
        <w:tc>
          <w:tcPr>
            <w:tcW w:w="1772" w:type="dxa"/>
            <w:shd w:val="clear" w:color="auto" w:fill="4472C4"/>
            <w:vAlign w:val="center"/>
          </w:tcPr>
          <w:p w14:paraId="2848E813" w14:textId="77777777" w:rsidR="00990B14" w:rsidRDefault="00000000">
            <w:pPr>
              <w:spacing w:before="20" w:after="20"/>
              <w:jc w:val="center"/>
            </w:pPr>
            <w:r>
              <w:rPr>
                <w:b/>
                <w:bCs/>
                <w:i/>
                <w:iCs/>
                <w:color w:val="FFFFFF"/>
                <w:sz w:val="18"/>
                <w:szCs w:val="18"/>
              </w:rPr>
              <w:t>Estrategias de aprendizaje y enseñanza</w:t>
            </w:r>
          </w:p>
        </w:tc>
        <w:tc>
          <w:tcPr>
            <w:tcW w:w="7633" w:type="dxa"/>
            <w:gridSpan w:val="4"/>
            <w:shd w:val="clear" w:color="auto" w:fill="D9E2F3"/>
            <w:vAlign w:val="center"/>
          </w:tcPr>
          <w:p w14:paraId="0FFBF187" w14:textId="77777777" w:rsidR="00990B14" w:rsidRDefault="00000000">
            <w:pPr>
              <w:numPr>
                <w:ilvl w:val="0"/>
                <w:numId w:val="140"/>
              </w:numPr>
              <w:spacing w:before="10" w:after="10"/>
              <w:jc w:val="both"/>
            </w:pPr>
            <w:r>
              <w:rPr>
                <w:sz w:val="18"/>
                <w:szCs w:val="18"/>
              </w:rPr>
              <w:t>Aprendizaje basado en problemas con casos de empresas agrícolas y ganaderas bolivianas.</w:t>
            </w:r>
          </w:p>
          <w:p w14:paraId="4F6D8C9A" w14:textId="77777777" w:rsidR="00990B14" w:rsidRDefault="00000000">
            <w:pPr>
              <w:numPr>
                <w:ilvl w:val="0"/>
                <w:numId w:val="140"/>
              </w:numPr>
              <w:spacing w:before="10" w:after="10"/>
              <w:jc w:val="both"/>
            </w:pPr>
            <w:r>
              <w:rPr>
                <w:sz w:val="18"/>
                <w:szCs w:val="18"/>
              </w:rPr>
              <w:t>Resolución guiada de ejercicios en orden de dificultad creciente.</w:t>
            </w:r>
          </w:p>
          <w:p w14:paraId="38B7D181" w14:textId="77777777" w:rsidR="00990B14" w:rsidRDefault="00000000">
            <w:pPr>
              <w:numPr>
                <w:ilvl w:val="0"/>
                <w:numId w:val="140"/>
              </w:numPr>
              <w:spacing w:before="10" w:after="10"/>
              <w:jc w:val="both"/>
            </w:pPr>
            <w:r>
              <w:rPr>
                <w:sz w:val="18"/>
                <w:szCs w:val="18"/>
              </w:rPr>
              <w:t>Caso práctico integral que recorre el ciclo contable de una empresa agrícola y de una empresa ganadera.</w:t>
            </w:r>
          </w:p>
          <w:p w14:paraId="7EED085E" w14:textId="77777777" w:rsidR="00990B14" w:rsidRDefault="00000000">
            <w:pPr>
              <w:numPr>
                <w:ilvl w:val="0"/>
                <w:numId w:val="140"/>
              </w:numPr>
              <w:spacing w:before="10" w:after="10"/>
              <w:jc w:val="both"/>
            </w:pPr>
            <w:r>
              <w:rPr>
                <w:sz w:val="18"/>
                <w:szCs w:val="18"/>
              </w:rPr>
              <w:t>Estudio de casos de costeo y de activos biológicos del sector agropecuario.</w:t>
            </w:r>
          </w:p>
          <w:p w14:paraId="6666FB6D" w14:textId="77777777" w:rsidR="00990B14" w:rsidRDefault="00000000">
            <w:pPr>
              <w:numPr>
                <w:ilvl w:val="0"/>
                <w:numId w:val="140"/>
              </w:numPr>
              <w:spacing w:before="10" w:after="10"/>
              <w:jc w:val="both"/>
            </w:pPr>
            <w:r>
              <w:rPr>
                <w:sz w:val="18"/>
                <w:szCs w:val="18"/>
              </w:rPr>
              <w:t>Trabajo colaborativo en equipos de registro y determinación de costos.</w:t>
            </w:r>
          </w:p>
          <w:p w14:paraId="17C8796A" w14:textId="77777777" w:rsidR="00990B14" w:rsidRDefault="00000000">
            <w:pPr>
              <w:numPr>
                <w:ilvl w:val="0"/>
                <w:numId w:val="140"/>
              </w:numPr>
              <w:spacing w:before="10" w:after="10"/>
              <w:jc w:val="both"/>
            </w:pPr>
            <w:r>
              <w:rPr>
                <w:sz w:val="18"/>
                <w:szCs w:val="18"/>
              </w:rPr>
              <w:t>Clase invertida para los contenidos normativos y tributarios.</w:t>
            </w:r>
          </w:p>
          <w:p w14:paraId="00E691CE" w14:textId="77777777" w:rsidR="00990B14" w:rsidRDefault="00000000">
            <w:pPr>
              <w:numPr>
                <w:ilvl w:val="0"/>
                <w:numId w:val="140"/>
              </w:numPr>
              <w:spacing w:before="10" w:after="10"/>
              <w:jc w:val="both"/>
            </w:pPr>
            <w:r>
              <w:rPr>
                <w:sz w:val="18"/>
                <w:szCs w:val="18"/>
              </w:rPr>
              <w:t>Análisis crítico del efecto del riesgo climático y de precios sobre los resultados de una explotación agropecuaria.</w:t>
            </w:r>
          </w:p>
        </w:tc>
      </w:tr>
      <w:tr w:rsidR="00990B14" w14:paraId="65577697" w14:textId="77777777">
        <w:trPr>
          <w:jc w:val="center"/>
        </w:trPr>
        <w:tc>
          <w:tcPr>
            <w:tcW w:w="1772" w:type="dxa"/>
            <w:shd w:val="clear" w:color="auto" w:fill="4472C4"/>
            <w:vAlign w:val="center"/>
          </w:tcPr>
          <w:p w14:paraId="107F5CCA" w14:textId="77777777" w:rsidR="00990B14" w:rsidRDefault="00000000">
            <w:pPr>
              <w:spacing w:before="20" w:after="20"/>
              <w:jc w:val="center"/>
            </w:pPr>
            <w:r>
              <w:rPr>
                <w:b/>
                <w:bCs/>
                <w:i/>
                <w:iCs/>
                <w:color w:val="FFFFFF"/>
                <w:sz w:val="18"/>
                <w:szCs w:val="18"/>
              </w:rPr>
              <w:t>Recursos para el aprendizaje</w:t>
            </w:r>
          </w:p>
        </w:tc>
        <w:tc>
          <w:tcPr>
            <w:tcW w:w="7633" w:type="dxa"/>
            <w:gridSpan w:val="4"/>
            <w:shd w:val="clear" w:color="auto" w:fill="D9E2F3"/>
            <w:vAlign w:val="center"/>
          </w:tcPr>
          <w:p w14:paraId="0117607B" w14:textId="77777777" w:rsidR="00990B14" w:rsidRDefault="00000000">
            <w:pPr>
              <w:numPr>
                <w:ilvl w:val="0"/>
                <w:numId w:val="140"/>
              </w:numPr>
              <w:spacing w:before="10" w:after="10"/>
              <w:jc w:val="both"/>
            </w:pPr>
            <w:r>
              <w:rPr>
                <w:sz w:val="18"/>
                <w:szCs w:val="18"/>
              </w:rPr>
              <w:t>Plataforma Moodle UMSA.</w:t>
            </w:r>
          </w:p>
          <w:p w14:paraId="78DCF528" w14:textId="77777777" w:rsidR="00990B14" w:rsidRDefault="00000000">
            <w:pPr>
              <w:numPr>
                <w:ilvl w:val="0"/>
                <w:numId w:val="140"/>
              </w:numPr>
              <w:spacing w:before="10" w:after="10"/>
              <w:jc w:val="both"/>
            </w:pPr>
            <w:r>
              <w:rPr>
                <w:sz w:val="18"/>
                <w:szCs w:val="18"/>
              </w:rPr>
              <w:t>Hoja de cálculo y sistemas contables de uso académico.</w:t>
            </w:r>
          </w:p>
          <w:p w14:paraId="4FB5F701" w14:textId="77777777" w:rsidR="00990B14" w:rsidRDefault="00000000">
            <w:pPr>
              <w:numPr>
                <w:ilvl w:val="0"/>
                <w:numId w:val="140"/>
              </w:numPr>
              <w:spacing w:before="10" w:after="10"/>
              <w:jc w:val="both"/>
            </w:pPr>
            <w:r>
              <w:rPr>
                <w:sz w:val="18"/>
                <w:szCs w:val="18"/>
              </w:rPr>
              <w:t>Formularios de declaración jurada del Régimen Agropecuario Unificado y de certificados de abastecimiento.</w:t>
            </w:r>
          </w:p>
          <w:p w14:paraId="12D1CB8A" w14:textId="77777777" w:rsidR="00990B14" w:rsidRDefault="00000000">
            <w:pPr>
              <w:numPr>
                <w:ilvl w:val="0"/>
                <w:numId w:val="140"/>
              </w:numPr>
              <w:spacing w:before="10" w:after="10"/>
              <w:jc w:val="both"/>
            </w:pPr>
            <w:r>
              <w:rPr>
                <w:sz w:val="18"/>
                <w:szCs w:val="18"/>
              </w:rPr>
              <w:t>Compendio de Normas de Contabilidad y Auditoría del CAUB y Normas Internacionales de Información Financiera.</w:t>
            </w:r>
          </w:p>
          <w:p w14:paraId="157A2F5F" w14:textId="77777777" w:rsidR="00990B14" w:rsidRDefault="00000000">
            <w:pPr>
              <w:numPr>
                <w:ilvl w:val="0"/>
                <w:numId w:val="140"/>
              </w:numPr>
              <w:spacing w:before="10" w:after="10"/>
              <w:jc w:val="both"/>
            </w:pPr>
            <w:r>
              <w:rPr>
                <w:sz w:val="18"/>
                <w:szCs w:val="18"/>
              </w:rPr>
              <w:t>Guías de ejercicios y casos elaborados por la cátedra sobre contabilidad agrícola y ganadera.</w:t>
            </w:r>
          </w:p>
          <w:p w14:paraId="0B7818DF" w14:textId="77777777" w:rsidR="00990B14" w:rsidRDefault="00000000">
            <w:pPr>
              <w:numPr>
                <w:ilvl w:val="0"/>
                <w:numId w:val="140"/>
              </w:numPr>
              <w:spacing w:before="10" w:after="10"/>
              <w:jc w:val="both"/>
            </w:pPr>
            <w:r>
              <w:rPr>
                <w:sz w:val="18"/>
                <w:szCs w:val="18"/>
              </w:rPr>
              <w:t>Hoja de cálculo para las hojas de costos agrícolas y ganaderos y para la proyección del hato.</w:t>
            </w:r>
          </w:p>
          <w:p w14:paraId="195ECFD2" w14:textId="77777777" w:rsidR="00990B14" w:rsidRDefault="00000000">
            <w:pPr>
              <w:numPr>
                <w:ilvl w:val="0"/>
                <w:numId w:val="140"/>
              </w:numPr>
              <w:spacing w:before="10" w:after="10"/>
              <w:jc w:val="both"/>
            </w:pPr>
            <w:r>
              <w:rPr>
                <w:sz w:val="18"/>
                <w:szCs w:val="18"/>
              </w:rPr>
              <w:t>Normativa tributaria del Régimen Agropecuario Unificado y formularios del Servicio de Impuestos Nacionales.</w:t>
            </w:r>
          </w:p>
        </w:tc>
      </w:tr>
      <w:tr w:rsidR="00990B14" w14:paraId="751B7C85" w14:textId="77777777">
        <w:trPr>
          <w:jc w:val="center"/>
        </w:trPr>
        <w:tc>
          <w:tcPr>
            <w:tcW w:w="1772" w:type="dxa"/>
            <w:shd w:val="clear" w:color="auto" w:fill="4472C4"/>
            <w:vAlign w:val="center"/>
          </w:tcPr>
          <w:p w14:paraId="676D6DBF" w14:textId="77777777" w:rsidR="00990B14" w:rsidRDefault="00000000">
            <w:pPr>
              <w:spacing w:before="20" w:after="20"/>
              <w:jc w:val="center"/>
            </w:pPr>
            <w:r>
              <w:rPr>
                <w:b/>
                <w:bCs/>
                <w:i/>
                <w:iCs/>
                <w:color w:val="FFFFFF"/>
                <w:sz w:val="18"/>
                <w:szCs w:val="18"/>
              </w:rPr>
              <w:t>Estrategias de evaluación</w:t>
            </w:r>
          </w:p>
        </w:tc>
        <w:tc>
          <w:tcPr>
            <w:tcW w:w="7633" w:type="dxa"/>
            <w:gridSpan w:val="4"/>
            <w:shd w:val="clear" w:color="auto" w:fill="D9E2F3"/>
            <w:vAlign w:val="center"/>
          </w:tcPr>
          <w:p w14:paraId="6C1831FE" w14:textId="77777777" w:rsidR="00990B14" w:rsidRDefault="00000000">
            <w:pPr>
              <w:numPr>
                <w:ilvl w:val="0"/>
                <w:numId w:val="140"/>
              </w:numPr>
              <w:spacing w:before="10" w:after="10"/>
              <w:jc w:val="both"/>
            </w:pPr>
            <w:r>
              <w:rPr>
                <w:sz w:val="18"/>
                <w:szCs w:val="18"/>
              </w:rPr>
              <w:t>Evaluación diagnóstica: prueba inicial sobre los conocimientos previos de contabilidad internacional y de contabilidad de costos y gestión.</w:t>
            </w:r>
          </w:p>
          <w:p w14:paraId="7742D5E8" w14:textId="77777777" w:rsidR="00990B14" w:rsidRDefault="00000000">
            <w:pPr>
              <w:numPr>
                <w:ilvl w:val="0"/>
                <w:numId w:val="140"/>
              </w:numPr>
              <w:spacing w:before="10" w:after="10"/>
              <w:jc w:val="both"/>
            </w:pPr>
            <w:r>
              <w:rPr>
                <w:sz w:val="18"/>
                <w:szCs w:val="18"/>
              </w:rPr>
              <w:t>Evaluación formativa: preguntas de comprensión y desarrollo de ejercicios prácticos en el aula, con retroalimentación continua, autoevaluación y coevaluación.</w:t>
            </w:r>
          </w:p>
          <w:p w14:paraId="5A151034" w14:textId="77777777" w:rsidR="00990B14" w:rsidRDefault="00000000">
            <w:pPr>
              <w:numPr>
                <w:ilvl w:val="0"/>
                <w:numId w:val="140"/>
              </w:numPr>
              <w:spacing w:before="10" w:after="10"/>
              <w:jc w:val="both"/>
            </w:pPr>
            <w:r>
              <w:rPr>
                <w:sz w:val="18"/>
                <w:szCs w:val="18"/>
              </w:rPr>
              <w:t>Evaluación sumativa: controles de lectura y asistencia, evaluación de casos prácticos, trabajos de investigación y desarrollo, exámenes parciales y examen final.</w:t>
            </w:r>
          </w:p>
        </w:tc>
      </w:tr>
      <w:tr w:rsidR="00990B14" w14:paraId="21301D50" w14:textId="77777777">
        <w:trPr>
          <w:jc w:val="center"/>
        </w:trPr>
        <w:tc>
          <w:tcPr>
            <w:tcW w:w="1772" w:type="dxa"/>
            <w:shd w:val="clear" w:color="auto" w:fill="4472C4"/>
            <w:vAlign w:val="center"/>
          </w:tcPr>
          <w:p w14:paraId="3A84EE28" w14:textId="77777777" w:rsidR="00990B14" w:rsidRDefault="00000000">
            <w:pPr>
              <w:spacing w:before="20" w:after="20"/>
              <w:jc w:val="center"/>
            </w:pPr>
            <w:r>
              <w:rPr>
                <w:b/>
                <w:bCs/>
                <w:i/>
                <w:iCs/>
                <w:color w:val="FFFFFF"/>
                <w:sz w:val="18"/>
                <w:szCs w:val="18"/>
              </w:rPr>
              <w:t>Criterios de calificación</w:t>
            </w:r>
          </w:p>
        </w:tc>
        <w:tc>
          <w:tcPr>
            <w:tcW w:w="7633" w:type="dxa"/>
            <w:gridSpan w:val="4"/>
            <w:shd w:val="clear" w:color="auto" w:fill="D9E2F3"/>
            <w:vAlign w:val="center"/>
          </w:tcPr>
          <w:p w14:paraId="18B1477B" w14:textId="77777777" w:rsidR="00990B14" w:rsidRDefault="00000000">
            <w:pPr>
              <w:numPr>
                <w:ilvl w:val="0"/>
                <w:numId w:val="140"/>
              </w:numPr>
              <w:spacing w:before="10" w:after="10"/>
              <w:jc w:val="both"/>
            </w:pPr>
            <w:r>
              <w:rPr>
                <w:sz w:val="18"/>
                <w:szCs w:val="18"/>
              </w:rPr>
              <w:t>Nota mínima de aprobación: 51/100.</w:t>
            </w:r>
          </w:p>
          <w:p w14:paraId="640FF014" w14:textId="77777777" w:rsidR="00990B14" w:rsidRDefault="00000000">
            <w:pPr>
              <w:numPr>
                <w:ilvl w:val="0"/>
                <w:numId w:val="140"/>
              </w:numPr>
              <w:spacing w:before="10" w:after="10"/>
              <w:jc w:val="both"/>
            </w:pPr>
            <w:r>
              <w:rPr>
                <w:sz w:val="18"/>
                <w:szCs w:val="18"/>
              </w:rPr>
              <w:t>Evaluación periódica al finalizar cada tema, basada en evidencias de conocimiento, desempeño y producto.</w:t>
            </w:r>
          </w:p>
          <w:p w14:paraId="527A2A86" w14:textId="77777777" w:rsidR="00990B14" w:rsidRDefault="00000000">
            <w:pPr>
              <w:numPr>
                <w:ilvl w:val="0"/>
                <w:numId w:val="140"/>
              </w:numPr>
              <w:spacing w:before="10" w:after="10"/>
              <w:jc w:val="both"/>
            </w:pPr>
            <w:r>
              <w:rPr>
                <w:sz w:val="18"/>
                <w:szCs w:val="18"/>
              </w:rPr>
              <w:t>Cada evidencia de producto se evalúa con su propia rúbrica de tres niveles: Insuficiente, Suficiente y Destacado.</w:t>
            </w:r>
          </w:p>
          <w:p w14:paraId="33BE28CD" w14:textId="77777777" w:rsidR="00990B14" w:rsidRDefault="00000000">
            <w:pPr>
              <w:numPr>
                <w:ilvl w:val="0"/>
                <w:numId w:val="140"/>
              </w:numPr>
              <w:spacing w:before="10" w:after="10"/>
              <w:jc w:val="both"/>
            </w:pPr>
            <w:r>
              <w:rPr>
                <w:sz w:val="18"/>
                <w:szCs w:val="18"/>
              </w:rPr>
              <w:t>La calificación de cada elemento de competencia suma las calificaciones de sus evidencias de producto.</w:t>
            </w:r>
          </w:p>
        </w:tc>
      </w:tr>
      <w:tr w:rsidR="00990B14" w14:paraId="0E51A0C6" w14:textId="77777777">
        <w:trPr>
          <w:cantSplit/>
          <w:jc w:val="center"/>
        </w:trPr>
        <w:tc>
          <w:tcPr>
            <w:tcW w:w="1772" w:type="dxa"/>
            <w:vMerge w:val="restart"/>
            <w:shd w:val="clear" w:color="auto" w:fill="4472C4"/>
            <w:vAlign w:val="center"/>
          </w:tcPr>
          <w:p w14:paraId="4DE13B90" w14:textId="77777777" w:rsidR="00990B14" w:rsidRDefault="00000000">
            <w:pPr>
              <w:spacing w:before="20" w:after="20"/>
              <w:jc w:val="center"/>
            </w:pPr>
            <w:r>
              <w:rPr>
                <w:b/>
                <w:bCs/>
                <w:i/>
                <w:iCs/>
                <w:color w:val="FFFFFF"/>
                <w:sz w:val="18"/>
                <w:szCs w:val="18"/>
              </w:rPr>
              <w:t>Niveles de logro y distribución de la calificación</w:t>
            </w:r>
          </w:p>
        </w:tc>
        <w:tc>
          <w:tcPr>
            <w:tcW w:w="5723" w:type="dxa"/>
            <w:gridSpan w:val="3"/>
            <w:shd w:val="clear" w:color="auto" w:fill="D9E2F3"/>
            <w:vAlign w:val="center"/>
          </w:tcPr>
          <w:p w14:paraId="54B6D150" w14:textId="77777777" w:rsidR="00990B14" w:rsidRDefault="00000000">
            <w:pPr>
              <w:keepNext/>
              <w:spacing w:before="20" w:after="20"/>
              <w:jc w:val="both"/>
            </w:pPr>
            <w:r>
              <w:rPr>
                <w:b/>
                <w:bCs/>
                <w:i/>
                <w:iCs/>
                <w:sz w:val="18"/>
                <w:szCs w:val="18"/>
              </w:rPr>
              <w:t xml:space="preserve">Producto 1: </w:t>
            </w:r>
            <w:r>
              <w:rPr>
                <w:sz w:val="18"/>
                <w:szCs w:val="18"/>
              </w:rPr>
              <w:t>Esquema del capital agropecuario</w:t>
            </w:r>
          </w:p>
        </w:tc>
        <w:tc>
          <w:tcPr>
            <w:tcW w:w="1910" w:type="dxa"/>
            <w:shd w:val="clear" w:color="auto" w:fill="D9E2F3"/>
            <w:vAlign w:val="center"/>
          </w:tcPr>
          <w:p w14:paraId="0488C747" w14:textId="77777777" w:rsidR="00990B14" w:rsidRDefault="00000000">
            <w:pPr>
              <w:spacing w:before="20" w:after="20"/>
              <w:jc w:val="center"/>
            </w:pPr>
            <w:r>
              <w:rPr>
                <w:b/>
                <w:bCs/>
                <w:sz w:val="18"/>
                <w:szCs w:val="18"/>
              </w:rPr>
              <w:t>2%</w:t>
            </w:r>
          </w:p>
        </w:tc>
      </w:tr>
      <w:tr w:rsidR="00990B14" w14:paraId="152A3E1A" w14:textId="77777777">
        <w:trPr>
          <w:cantSplit/>
          <w:jc w:val="center"/>
        </w:trPr>
        <w:tc>
          <w:tcPr>
            <w:tcW w:w="1772" w:type="dxa"/>
            <w:vMerge/>
            <w:shd w:val="clear" w:color="auto" w:fill="4472C4"/>
            <w:vAlign w:val="center"/>
          </w:tcPr>
          <w:p w14:paraId="6C918553" w14:textId="77777777" w:rsidR="00990B14" w:rsidRDefault="00990B14">
            <w:pPr>
              <w:spacing w:before="20" w:after="20"/>
            </w:pPr>
          </w:p>
        </w:tc>
        <w:tc>
          <w:tcPr>
            <w:tcW w:w="1854" w:type="dxa"/>
            <w:shd w:val="clear" w:color="auto" w:fill="4472C4"/>
            <w:vAlign w:val="center"/>
          </w:tcPr>
          <w:p w14:paraId="25B4A03D"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1D740AF8" w14:textId="77777777" w:rsidR="00990B14" w:rsidRDefault="00000000">
            <w:pPr>
              <w:keepNext/>
              <w:spacing w:before="20" w:after="20"/>
              <w:jc w:val="center"/>
            </w:pPr>
            <w:r>
              <w:rPr>
                <w:b/>
                <w:bCs/>
                <w:i/>
                <w:iCs/>
                <w:color w:val="FFFFFF"/>
                <w:sz w:val="18"/>
                <w:szCs w:val="18"/>
              </w:rPr>
              <w:t>Insuficiente (1–50)</w:t>
            </w:r>
          </w:p>
        </w:tc>
        <w:tc>
          <w:tcPr>
            <w:tcW w:w="1854" w:type="dxa"/>
            <w:shd w:val="clear" w:color="auto" w:fill="4472C4"/>
            <w:vAlign w:val="center"/>
          </w:tcPr>
          <w:p w14:paraId="07D59886"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28490AA6" w14:textId="77777777" w:rsidR="00990B14" w:rsidRDefault="00000000">
            <w:pPr>
              <w:keepNext/>
              <w:spacing w:before="20" w:after="20"/>
              <w:jc w:val="center"/>
            </w:pPr>
            <w:r>
              <w:rPr>
                <w:b/>
                <w:bCs/>
                <w:i/>
                <w:iCs/>
                <w:color w:val="FFFFFF"/>
                <w:sz w:val="18"/>
                <w:szCs w:val="18"/>
              </w:rPr>
              <w:t>Destacado (81–100)</w:t>
            </w:r>
          </w:p>
        </w:tc>
      </w:tr>
      <w:tr w:rsidR="00990B14" w14:paraId="25D283D0" w14:textId="77777777">
        <w:trPr>
          <w:cantSplit/>
          <w:jc w:val="center"/>
        </w:trPr>
        <w:tc>
          <w:tcPr>
            <w:tcW w:w="1772" w:type="dxa"/>
            <w:vMerge/>
            <w:shd w:val="clear" w:color="auto" w:fill="4472C4"/>
            <w:vAlign w:val="center"/>
          </w:tcPr>
          <w:p w14:paraId="109D1CFA" w14:textId="77777777" w:rsidR="00990B14" w:rsidRDefault="00990B14">
            <w:pPr>
              <w:spacing w:before="20" w:after="20"/>
            </w:pPr>
          </w:p>
        </w:tc>
        <w:tc>
          <w:tcPr>
            <w:tcW w:w="1854" w:type="dxa"/>
            <w:shd w:val="clear" w:color="auto" w:fill="D9E2F3"/>
            <w:vAlign w:val="center"/>
          </w:tcPr>
          <w:p w14:paraId="766D58C4" w14:textId="77777777" w:rsidR="00990B14" w:rsidRDefault="00000000">
            <w:pPr>
              <w:spacing w:before="20" w:after="20"/>
              <w:jc w:val="both"/>
            </w:pPr>
            <w:r>
              <w:rPr>
                <w:sz w:val="18"/>
                <w:szCs w:val="18"/>
              </w:rPr>
              <w:t>Capital de la empresa</w:t>
            </w:r>
          </w:p>
        </w:tc>
        <w:tc>
          <w:tcPr>
            <w:tcW w:w="2015" w:type="dxa"/>
            <w:shd w:val="clear" w:color="auto" w:fill="D9E2F3"/>
            <w:vAlign w:val="center"/>
          </w:tcPr>
          <w:p w14:paraId="5BF34F03" w14:textId="77777777" w:rsidR="00990B14" w:rsidRDefault="00000000">
            <w:pPr>
              <w:spacing w:before="20" w:after="20"/>
              <w:jc w:val="both"/>
            </w:pPr>
            <w:r>
              <w:rPr>
                <w:sz w:val="18"/>
                <w:szCs w:val="18"/>
              </w:rPr>
              <w:t>Confunde los tipos de capital.</w:t>
            </w:r>
          </w:p>
        </w:tc>
        <w:tc>
          <w:tcPr>
            <w:tcW w:w="1854" w:type="dxa"/>
            <w:shd w:val="clear" w:color="auto" w:fill="D9E2F3"/>
            <w:vAlign w:val="center"/>
          </w:tcPr>
          <w:p w14:paraId="202B1104" w14:textId="77777777" w:rsidR="00990B14" w:rsidRDefault="00000000">
            <w:pPr>
              <w:spacing w:before="20" w:after="20"/>
              <w:jc w:val="both"/>
            </w:pPr>
            <w:r>
              <w:rPr>
                <w:sz w:val="18"/>
                <w:szCs w:val="18"/>
              </w:rPr>
              <w:t>Diferencia el capital personal, el agropecuario y las reservas.</w:t>
            </w:r>
          </w:p>
        </w:tc>
        <w:tc>
          <w:tcPr>
            <w:tcW w:w="1910" w:type="dxa"/>
            <w:shd w:val="clear" w:color="auto" w:fill="D9E2F3"/>
            <w:vAlign w:val="center"/>
          </w:tcPr>
          <w:p w14:paraId="2F3881A6" w14:textId="77777777" w:rsidR="00990B14" w:rsidRDefault="00000000">
            <w:pPr>
              <w:spacing w:before="20" w:after="20"/>
              <w:jc w:val="both"/>
            </w:pPr>
            <w:r>
              <w:rPr>
                <w:sz w:val="18"/>
                <w:szCs w:val="18"/>
              </w:rPr>
              <w:t>Relaciona el capital con la escala de la explotación.</w:t>
            </w:r>
          </w:p>
        </w:tc>
      </w:tr>
      <w:tr w:rsidR="00990B14" w14:paraId="6F813302" w14:textId="77777777">
        <w:trPr>
          <w:cantSplit/>
          <w:jc w:val="center"/>
        </w:trPr>
        <w:tc>
          <w:tcPr>
            <w:tcW w:w="1772" w:type="dxa"/>
            <w:vMerge/>
            <w:shd w:val="clear" w:color="auto" w:fill="4472C4"/>
            <w:vAlign w:val="center"/>
          </w:tcPr>
          <w:p w14:paraId="1817997B" w14:textId="77777777" w:rsidR="00990B14" w:rsidRDefault="00990B14">
            <w:pPr>
              <w:spacing w:before="20" w:after="20"/>
            </w:pPr>
          </w:p>
        </w:tc>
        <w:tc>
          <w:tcPr>
            <w:tcW w:w="1854" w:type="dxa"/>
            <w:shd w:val="clear" w:color="auto" w:fill="D9E2F3"/>
            <w:vAlign w:val="center"/>
          </w:tcPr>
          <w:p w14:paraId="5C67D222" w14:textId="77777777" w:rsidR="00990B14" w:rsidRDefault="00000000">
            <w:pPr>
              <w:spacing w:before="20" w:after="20"/>
              <w:jc w:val="both"/>
            </w:pPr>
            <w:r>
              <w:rPr>
                <w:sz w:val="18"/>
                <w:szCs w:val="18"/>
              </w:rPr>
              <w:t>Elementos de producción</w:t>
            </w:r>
          </w:p>
        </w:tc>
        <w:tc>
          <w:tcPr>
            <w:tcW w:w="2015" w:type="dxa"/>
            <w:shd w:val="clear" w:color="auto" w:fill="D9E2F3"/>
            <w:vAlign w:val="center"/>
          </w:tcPr>
          <w:p w14:paraId="15F54303" w14:textId="77777777" w:rsidR="00990B14" w:rsidRDefault="00000000">
            <w:pPr>
              <w:spacing w:before="20" w:after="20"/>
              <w:jc w:val="both"/>
            </w:pPr>
            <w:r>
              <w:rPr>
                <w:sz w:val="18"/>
                <w:szCs w:val="18"/>
              </w:rPr>
              <w:t>Omite elementos intrínsecos o extrínsecos.</w:t>
            </w:r>
          </w:p>
        </w:tc>
        <w:tc>
          <w:tcPr>
            <w:tcW w:w="1854" w:type="dxa"/>
            <w:shd w:val="clear" w:color="auto" w:fill="D9E2F3"/>
            <w:vAlign w:val="center"/>
          </w:tcPr>
          <w:p w14:paraId="7D1889B3" w14:textId="77777777" w:rsidR="00990B14" w:rsidRDefault="00000000">
            <w:pPr>
              <w:spacing w:before="20" w:after="20"/>
              <w:jc w:val="both"/>
            </w:pPr>
            <w:r>
              <w:rPr>
                <w:sz w:val="18"/>
                <w:szCs w:val="18"/>
              </w:rPr>
              <w:t>Clasifica los elementos intrínsecos y extrínsecos.</w:t>
            </w:r>
          </w:p>
        </w:tc>
        <w:tc>
          <w:tcPr>
            <w:tcW w:w="1910" w:type="dxa"/>
            <w:shd w:val="clear" w:color="auto" w:fill="D9E2F3"/>
            <w:vAlign w:val="center"/>
          </w:tcPr>
          <w:p w14:paraId="3167A066" w14:textId="77777777" w:rsidR="00990B14" w:rsidRDefault="00000000">
            <w:pPr>
              <w:spacing w:before="20" w:after="20"/>
              <w:jc w:val="both"/>
            </w:pPr>
            <w:r>
              <w:rPr>
                <w:sz w:val="18"/>
                <w:szCs w:val="18"/>
              </w:rPr>
              <w:t>Analiza su efecto en la productividad.</w:t>
            </w:r>
          </w:p>
        </w:tc>
      </w:tr>
      <w:tr w:rsidR="00990B14" w14:paraId="72D82E99" w14:textId="77777777">
        <w:trPr>
          <w:cantSplit/>
          <w:jc w:val="center"/>
        </w:trPr>
        <w:tc>
          <w:tcPr>
            <w:tcW w:w="1772" w:type="dxa"/>
            <w:vMerge/>
            <w:shd w:val="clear" w:color="auto" w:fill="4472C4"/>
            <w:vAlign w:val="center"/>
          </w:tcPr>
          <w:p w14:paraId="4A8EB848" w14:textId="77777777" w:rsidR="00990B14" w:rsidRDefault="00990B14">
            <w:pPr>
              <w:spacing w:before="20" w:after="20"/>
            </w:pPr>
          </w:p>
        </w:tc>
        <w:tc>
          <w:tcPr>
            <w:tcW w:w="1854" w:type="dxa"/>
            <w:shd w:val="clear" w:color="auto" w:fill="D9E2F3"/>
            <w:vAlign w:val="center"/>
          </w:tcPr>
          <w:p w14:paraId="60407301" w14:textId="77777777" w:rsidR="00990B14" w:rsidRDefault="00000000">
            <w:pPr>
              <w:spacing w:before="20" w:after="20"/>
              <w:jc w:val="both"/>
            </w:pPr>
            <w:r>
              <w:rPr>
                <w:sz w:val="18"/>
                <w:szCs w:val="18"/>
              </w:rPr>
              <w:t>Exposición en equipo</w:t>
            </w:r>
          </w:p>
        </w:tc>
        <w:tc>
          <w:tcPr>
            <w:tcW w:w="2015" w:type="dxa"/>
            <w:shd w:val="clear" w:color="auto" w:fill="D9E2F3"/>
            <w:vAlign w:val="center"/>
          </w:tcPr>
          <w:p w14:paraId="2388C6D4" w14:textId="77777777" w:rsidR="00990B14" w:rsidRDefault="00000000">
            <w:pPr>
              <w:spacing w:before="20" w:after="20"/>
              <w:jc w:val="both"/>
            </w:pPr>
            <w:r>
              <w:rPr>
                <w:sz w:val="18"/>
                <w:szCs w:val="18"/>
              </w:rPr>
              <w:t>La exposición es desordenada.</w:t>
            </w:r>
          </w:p>
        </w:tc>
        <w:tc>
          <w:tcPr>
            <w:tcW w:w="1854" w:type="dxa"/>
            <w:shd w:val="clear" w:color="auto" w:fill="D9E2F3"/>
            <w:vAlign w:val="center"/>
          </w:tcPr>
          <w:p w14:paraId="51408835" w14:textId="77777777" w:rsidR="00990B14" w:rsidRDefault="00000000">
            <w:pPr>
              <w:spacing w:before="20" w:after="20"/>
              <w:jc w:val="both"/>
            </w:pPr>
            <w:r>
              <w:rPr>
                <w:sz w:val="18"/>
                <w:szCs w:val="18"/>
              </w:rPr>
              <w:t>La exposición es clara y todos participan.</w:t>
            </w:r>
          </w:p>
        </w:tc>
        <w:tc>
          <w:tcPr>
            <w:tcW w:w="1910" w:type="dxa"/>
            <w:shd w:val="clear" w:color="auto" w:fill="D9E2F3"/>
            <w:vAlign w:val="center"/>
          </w:tcPr>
          <w:p w14:paraId="33B64740" w14:textId="77777777" w:rsidR="00990B14" w:rsidRDefault="00000000">
            <w:pPr>
              <w:spacing w:before="20" w:after="20"/>
              <w:jc w:val="both"/>
            </w:pPr>
            <w:r>
              <w:rPr>
                <w:sz w:val="18"/>
                <w:szCs w:val="18"/>
              </w:rPr>
              <w:t>El equipo responde con solvencia a las preguntas del curso.</w:t>
            </w:r>
          </w:p>
        </w:tc>
      </w:tr>
      <w:tr w:rsidR="00990B14" w14:paraId="4CE003D6" w14:textId="77777777">
        <w:trPr>
          <w:cantSplit/>
          <w:jc w:val="center"/>
        </w:trPr>
        <w:tc>
          <w:tcPr>
            <w:tcW w:w="1772" w:type="dxa"/>
            <w:vMerge/>
            <w:shd w:val="clear" w:color="auto" w:fill="4472C4"/>
            <w:vAlign w:val="center"/>
          </w:tcPr>
          <w:p w14:paraId="6A80A74E" w14:textId="77777777" w:rsidR="00990B14" w:rsidRDefault="00990B14">
            <w:pPr>
              <w:spacing w:before="20" w:after="20"/>
            </w:pPr>
          </w:p>
        </w:tc>
        <w:tc>
          <w:tcPr>
            <w:tcW w:w="5723" w:type="dxa"/>
            <w:gridSpan w:val="3"/>
            <w:shd w:val="clear" w:color="auto" w:fill="D9E2F3"/>
            <w:vAlign w:val="center"/>
          </w:tcPr>
          <w:p w14:paraId="649F41C3" w14:textId="77777777" w:rsidR="00990B14" w:rsidRDefault="00000000">
            <w:pPr>
              <w:keepNext/>
              <w:spacing w:before="20" w:after="20"/>
              <w:jc w:val="both"/>
            </w:pPr>
            <w:r>
              <w:rPr>
                <w:b/>
                <w:bCs/>
                <w:i/>
                <w:iCs/>
                <w:sz w:val="18"/>
                <w:szCs w:val="18"/>
              </w:rPr>
              <w:t xml:space="preserve">Producto 2: </w:t>
            </w:r>
            <w:r>
              <w:rPr>
                <w:sz w:val="18"/>
                <w:szCs w:val="18"/>
              </w:rPr>
              <w:t>Cuadro comparativo de actividades</w:t>
            </w:r>
          </w:p>
        </w:tc>
        <w:tc>
          <w:tcPr>
            <w:tcW w:w="1910" w:type="dxa"/>
            <w:shd w:val="clear" w:color="auto" w:fill="D9E2F3"/>
            <w:vAlign w:val="center"/>
          </w:tcPr>
          <w:p w14:paraId="4CAABB4B" w14:textId="77777777" w:rsidR="00990B14" w:rsidRDefault="00000000">
            <w:pPr>
              <w:spacing w:before="20" w:after="20"/>
              <w:jc w:val="center"/>
            </w:pPr>
            <w:r>
              <w:rPr>
                <w:b/>
                <w:bCs/>
                <w:sz w:val="18"/>
                <w:szCs w:val="18"/>
              </w:rPr>
              <w:t>2%</w:t>
            </w:r>
          </w:p>
        </w:tc>
      </w:tr>
      <w:tr w:rsidR="00990B14" w14:paraId="77A4FBC2" w14:textId="77777777">
        <w:trPr>
          <w:cantSplit/>
          <w:jc w:val="center"/>
        </w:trPr>
        <w:tc>
          <w:tcPr>
            <w:tcW w:w="1772" w:type="dxa"/>
            <w:vMerge/>
            <w:shd w:val="clear" w:color="auto" w:fill="4472C4"/>
            <w:vAlign w:val="center"/>
          </w:tcPr>
          <w:p w14:paraId="49000F8B" w14:textId="77777777" w:rsidR="00990B14" w:rsidRDefault="00990B14">
            <w:pPr>
              <w:spacing w:before="20" w:after="20"/>
            </w:pPr>
          </w:p>
        </w:tc>
        <w:tc>
          <w:tcPr>
            <w:tcW w:w="1854" w:type="dxa"/>
            <w:shd w:val="clear" w:color="auto" w:fill="4472C4"/>
            <w:vAlign w:val="center"/>
          </w:tcPr>
          <w:p w14:paraId="2261296E"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047F23F3" w14:textId="77777777" w:rsidR="00990B14" w:rsidRDefault="00000000">
            <w:pPr>
              <w:keepNext/>
              <w:spacing w:before="20" w:after="20"/>
              <w:jc w:val="center"/>
            </w:pPr>
            <w:r>
              <w:rPr>
                <w:b/>
                <w:bCs/>
                <w:i/>
                <w:iCs/>
                <w:color w:val="FFFFFF"/>
                <w:sz w:val="18"/>
                <w:szCs w:val="18"/>
              </w:rPr>
              <w:t>Insuficiente (1–50)</w:t>
            </w:r>
          </w:p>
        </w:tc>
        <w:tc>
          <w:tcPr>
            <w:tcW w:w="1854" w:type="dxa"/>
            <w:shd w:val="clear" w:color="auto" w:fill="4472C4"/>
            <w:vAlign w:val="center"/>
          </w:tcPr>
          <w:p w14:paraId="1C92E397"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4A31E82E" w14:textId="77777777" w:rsidR="00990B14" w:rsidRDefault="00000000">
            <w:pPr>
              <w:keepNext/>
              <w:spacing w:before="20" w:after="20"/>
              <w:jc w:val="center"/>
            </w:pPr>
            <w:r>
              <w:rPr>
                <w:b/>
                <w:bCs/>
                <w:i/>
                <w:iCs/>
                <w:color w:val="FFFFFF"/>
                <w:sz w:val="18"/>
                <w:szCs w:val="18"/>
              </w:rPr>
              <w:t>Destacado (81–100)</w:t>
            </w:r>
          </w:p>
        </w:tc>
      </w:tr>
      <w:tr w:rsidR="00990B14" w14:paraId="0519D484" w14:textId="77777777">
        <w:trPr>
          <w:cantSplit/>
          <w:jc w:val="center"/>
        </w:trPr>
        <w:tc>
          <w:tcPr>
            <w:tcW w:w="1772" w:type="dxa"/>
            <w:vMerge/>
            <w:shd w:val="clear" w:color="auto" w:fill="4472C4"/>
            <w:vAlign w:val="center"/>
          </w:tcPr>
          <w:p w14:paraId="0F5B3385" w14:textId="77777777" w:rsidR="00990B14" w:rsidRDefault="00990B14">
            <w:pPr>
              <w:spacing w:before="20" w:after="20"/>
            </w:pPr>
          </w:p>
        </w:tc>
        <w:tc>
          <w:tcPr>
            <w:tcW w:w="1854" w:type="dxa"/>
            <w:shd w:val="clear" w:color="auto" w:fill="D9E2F3"/>
            <w:vAlign w:val="center"/>
          </w:tcPr>
          <w:p w14:paraId="38D43A7A" w14:textId="77777777" w:rsidR="00990B14" w:rsidRDefault="00000000">
            <w:pPr>
              <w:spacing w:before="20" w:after="20"/>
              <w:jc w:val="both"/>
            </w:pPr>
            <w:r>
              <w:rPr>
                <w:sz w:val="18"/>
                <w:szCs w:val="18"/>
              </w:rPr>
              <w:t>Características</w:t>
            </w:r>
          </w:p>
        </w:tc>
        <w:tc>
          <w:tcPr>
            <w:tcW w:w="2015" w:type="dxa"/>
            <w:shd w:val="clear" w:color="auto" w:fill="D9E2F3"/>
            <w:vAlign w:val="center"/>
          </w:tcPr>
          <w:p w14:paraId="40D426E6" w14:textId="77777777" w:rsidR="00990B14" w:rsidRDefault="00000000">
            <w:pPr>
              <w:spacing w:before="20" w:after="20"/>
              <w:jc w:val="both"/>
            </w:pPr>
            <w:r>
              <w:rPr>
                <w:sz w:val="18"/>
                <w:szCs w:val="18"/>
              </w:rPr>
              <w:t>Omite rasgos propios del agro.</w:t>
            </w:r>
          </w:p>
        </w:tc>
        <w:tc>
          <w:tcPr>
            <w:tcW w:w="1854" w:type="dxa"/>
            <w:shd w:val="clear" w:color="auto" w:fill="D9E2F3"/>
            <w:vAlign w:val="center"/>
          </w:tcPr>
          <w:p w14:paraId="25E51175" w14:textId="77777777" w:rsidR="00990B14" w:rsidRDefault="00000000">
            <w:pPr>
              <w:spacing w:before="20" w:after="20"/>
              <w:jc w:val="both"/>
            </w:pPr>
            <w:r>
              <w:rPr>
                <w:sz w:val="18"/>
                <w:szCs w:val="18"/>
              </w:rPr>
              <w:t>Diferencia el ciclo biológico, el riesgo y los precios del agro.</w:t>
            </w:r>
          </w:p>
        </w:tc>
        <w:tc>
          <w:tcPr>
            <w:tcW w:w="1910" w:type="dxa"/>
            <w:shd w:val="clear" w:color="auto" w:fill="D9E2F3"/>
            <w:vAlign w:val="center"/>
          </w:tcPr>
          <w:p w14:paraId="5FDB8F6B" w14:textId="77777777" w:rsidR="00990B14" w:rsidRDefault="00000000">
            <w:pPr>
              <w:spacing w:before="20" w:after="20"/>
              <w:jc w:val="both"/>
            </w:pPr>
            <w:r>
              <w:rPr>
                <w:sz w:val="18"/>
                <w:szCs w:val="18"/>
              </w:rPr>
              <w:t>Explica el efecto de cada rasgo en la contabilidad.</w:t>
            </w:r>
          </w:p>
        </w:tc>
      </w:tr>
      <w:tr w:rsidR="00990B14" w14:paraId="073EC48D" w14:textId="77777777">
        <w:trPr>
          <w:cantSplit/>
          <w:jc w:val="center"/>
        </w:trPr>
        <w:tc>
          <w:tcPr>
            <w:tcW w:w="1772" w:type="dxa"/>
            <w:vMerge/>
            <w:shd w:val="clear" w:color="auto" w:fill="4472C4"/>
            <w:vAlign w:val="center"/>
          </w:tcPr>
          <w:p w14:paraId="4AFA7ADC" w14:textId="77777777" w:rsidR="00990B14" w:rsidRDefault="00990B14">
            <w:pPr>
              <w:spacing w:before="20" w:after="20"/>
            </w:pPr>
          </w:p>
        </w:tc>
        <w:tc>
          <w:tcPr>
            <w:tcW w:w="1854" w:type="dxa"/>
            <w:shd w:val="clear" w:color="auto" w:fill="D9E2F3"/>
            <w:vAlign w:val="center"/>
          </w:tcPr>
          <w:p w14:paraId="06481887" w14:textId="77777777" w:rsidR="00990B14" w:rsidRDefault="00000000">
            <w:pPr>
              <w:spacing w:before="20" w:after="20"/>
              <w:jc w:val="both"/>
            </w:pPr>
            <w:r>
              <w:rPr>
                <w:sz w:val="18"/>
                <w:szCs w:val="18"/>
              </w:rPr>
              <w:t>Administración</w:t>
            </w:r>
          </w:p>
        </w:tc>
        <w:tc>
          <w:tcPr>
            <w:tcW w:w="2015" w:type="dxa"/>
            <w:shd w:val="clear" w:color="auto" w:fill="D9E2F3"/>
            <w:vAlign w:val="center"/>
          </w:tcPr>
          <w:p w14:paraId="16E194EA" w14:textId="77777777" w:rsidR="00990B14" w:rsidRDefault="00000000">
            <w:pPr>
              <w:spacing w:before="20" w:after="20"/>
              <w:jc w:val="both"/>
            </w:pPr>
            <w:r>
              <w:rPr>
                <w:sz w:val="18"/>
                <w:szCs w:val="18"/>
              </w:rPr>
              <w:t>No identifica funciones administrativas.</w:t>
            </w:r>
          </w:p>
        </w:tc>
        <w:tc>
          <w:tcPr>
            <w:tcW w:w="1854" w:type="dxa"/>
            <w:shd w:val="clear" w:color="auto" w:fill="D9E2F3"/>
            <w:vAlign w:val="center"/>
          </w:tcPr>
          <w:p w14:paraId="671A8C61" w14:textId="77777777" w:rsidR="00990B14" w:rsidRDefault="00000000">
            <w:pPr>
              <w:spacing w:before="20" w:after="20"/>
              <w:jc w:val="both"/>
            </w:pPr>
            <w:r>
              <w:rPr>
                <w:sz w:val="18"/>
                <w:szCs w:val="18"/>
              </w:rPr>
              <w:t>Describe las funciones de la administración agropecuaria.</w:t>
            </w:r>
          </w:p>
        </w:tc>
        <w:tc>
          <w:tcPr>
            <w:tcW w:w="1910" w:type="dxa"/>
            <w:shd w:val="clear" w:color="auto" w:fill="D9E2F3"/>
            <w:vAlign w:val="center"/>
          </w:tcPr>
          <w:p w14:paraId="008847FF" w14:textId="77777777" w:rsidR="00990B14" w:rsidRDefault="00000000">
            <w:pPr>
              <w:spacing w:before="20" w:after="20"/>
              <w:jc w:val="both"/>
            </w:pPr>
            <w:r>
              <w:rPr>
                <w:sz w:val="18"/>
                <w:szCs w:val="18"/>
              </w:rPr>
              <w:t>Relaciona la administración con las ciencias naturales y económicas.</w:t>
            </w:r>
          </w:p>
        </w:tc>
      </w:tr>
      <w:tr w:rsidR="00990B14" w14:paraId="552BD617" w14:textId="77777777">
        <w:trPr>
          <w:cantSplit/>
          <w:jc w:val="center"/>
        </w:trPr>
        <w:tc>
          <w:tcPr>
            <w:tcW w:w="1772" w:type="dxa"/>
            <w:vMerge/>
            <w:shd w:val="clear" w:color="auto" w:fill="4472C4"/>
            <w:vAlign w:val="center"/>
          </w:tcPr>
          <w:p w14:paraId="0E071092" w14:textId="77777777" w:rsidR="00990B14" w:rsidRDefault="00990B14">
            <w:pPr>
              <w:spacing w:before="20" w:after="20"/>
            </w:pPr>
          </w:p>
        </w:tc>
        <w:tc>
          <w:tcPr>
            <w:tcW w:w="1854" w:type="dxa"/>
            <w:shd w:val="clear" w:color="auto" w:fill="D9E2F3"/>
            <w:vAlign w:val="center"/>
          </w:tcPr>
          <w:p w14:paraId="40136A9F" w14:textId="77777777" w:rsidR="00990B14" w:rsidRDefault="00000000">
            <w:pPr>
              <w:spacing w:before="20" w:after="20"/>
              <w:jc w:val="both"/>
            </w:pPr>
            <w:r>
              <w:rPr>
                <w:sz w:val="18"/>
                <w:szCs w:val="18"/>
              </w:rPr>
              <w:t>Claridad</w:t>
            </w:r>
          </w:p>
        </w:tc>
        <w:tc>
          <w:tcPr>
            <w:tcW w:w="2015" w:type="dxa"/>
            <w:shd w:val="clear" w:color="auto" w:fill="D9E2F3"/>
            <w:vAlign w:val="center"/>
          </w:tcPr>
          <w:p w14:paraId="43EE3316" w14:textId="77777777" w:rsidR="00990B14" w:rsidRDefault="00000000">
            <w:pPr>
              <w:spacing w:before="20" w:after="20"/>
              <w:jc w:val="both"/>
            </w:pPr>
            <w:r>
              <w:rPr>
                <w:sz w:val="18"/>
                <w:szCs w:val="18"/>
              </w:rPr>
              <w:t>El cuadro es incompleto.</w:t>
            </w:r>
          </w:p>
        </w:tc>
        <w:tc>
          <w:tcPr>
            <w:tcW w:w="1854" w:type="dxa"/>
            <w:shd w:val="clear" w:color="auto" w:fill="D9E2F3"/>
            <w:vAlign w:val="center"/>
          </w:tcPr>
          <w:p w14:paraId="242AA291" w14:textId="77777777" w:rsidR="00990B14" w:rsidRDefault="00000000">
            <w:pPr>
              <w:spacing w:before="20" w:after="20"/>
              <w:jc w:val="both"/>
            </w:pPr>
            <w:r>
              <w:rPr>
                <w:sz w:val="18"/>
                <w:szCs w:val="18"/>
              </w:rPr>
              <w:t>El cuadro es claro y completo.</w:t>
            </w:r>
          </w:p>
        </w:tc>
        <w:tc>
          <w:tcPr>
            <w:tcW w:w="1910" w:type="dxa"/>
            <w:shd w:val="clear" w:color="auto" w:fill="D9E2F3"/>
            <w:vAlign w:val="center"/>
          </w:tcPr>
          <w:p w14:paraId="12AB6AC5" w14:textId="77777777" w:rsidR="00990B14" w:rsidRDefault="00000000">
            <w:pPr>
              <w:spacing w:before="20" w:after="20"/>
              <w:jc w:val="both"/>
            </w:pPr>
            <w:r>
              <w:rPr>
                <w:sz w:val="18"/>
                <w:szCs w:val="18"/>
              </w:rPr>
              <w:t>Incluye ejemplos de empresas bolivianas.</w:t>
            </w:r>
          </w:p>
        </w:tc>
      </w:tr>
      <w:tr w:rsidR="00990B14" w14:paraId="08F923E4" w14:textId="77777777">
        <w:trPr>
          <w:cantSplit/>
          <w:jc w:val="center"/>
        </w:trPr>
        <w:tc>
          <w:tcPr>
            <w:tcW w:w="1772" w:type="dxa"/>
            <w:vMerge/>
            <w:shd w:val="clear" w:color="auto" w:fill="4472C4"/>
            <w:vAlign w:val="center"/>
          </w:tcPr>
          <w:p w14:paraId="0DC117FC" w14:textId="77777777" w:rsidR="00990B14" w:rsidRDefault="00990B14">
            <w:pPr>
              <w:spacing w:before="20" w:after="20"/>
            </w:pPr>
          </w:p>
        </w:tc>
        <w:tc>
          <w:tcPr>
            <w:tcW w:w="5723" w:type="dxa"/>
            <w:gridSpan w:val="3"/>
            <w:shd w:val="clear" w:color="auto" w:fill="D9E2F3"/>
            <w:vAlign w:val="center"/>
          </w:tcPr>
          <w:p w14:paraId="43C1DA0A" w14:textId="77777777" w:rsidR="00990B14" w:rsidRDefault="00000000">
            <w:pPr>
              <w:keepNext/>
              <w:spacing w:before="20" w:after="20"/>
              <w:jc w:val="both"/>
            </w:pPr>
            <w:r>
              <w:rPr>
                <w:b/>
                <w:bCs/>
                <w:i/>
                <w:iCs/>
                <w:sz w:val="18"/>
                <w:szCs w:val="18"/>
              </w:rPr>
              <w:t xml:space="preserve">Producto 3: </w:t>
            </w:r>
            <w:r>
              <w:rPr>
                <w:sz w:val="18"/>
                <w:szCs w:val="18"/>
              </w:rPr>
              <w:t>Matriz de riesgos agropecuarios</w:t>
            </w:r>
          </w:p>
        </w:tc>
        <w:tc>
          <w:tcPr>
            <w:tcW w:w="1910" w:type="dxa"/>
            <w:shd w:val="clear" w:color="auto" w:fill="D9E2F3"/>
            <w:vAlign w:val="center"/>
          </w:tcPr>
          <w:p w14:paraId="7ED69403" w14:textId="77777777" w:rsidR="00990B14" w:rsidRDefault="00000000">
            <w:pPr>
              <w:spacing w:before="20" w:after="20"/>
              <w:jc w:val="center"/>
            </w:pPr>
            <w:r>
              <w:rPr>
                <w:b/>
                <w:bCs/>
                <w:sz w:val="18"/>
                <w:szCs w:val="18"/>
              </w:rPr>
              <w:t>2%</w:t>
            </w:r>
          </w:p>
        </w:tc>
      </w:tr>
      <w:tr w:rsidR="00990B14" w14:paraId="010EF692" w14:textId="77777777">
        <w:trPr>
          <w:cantSplit/>
          <w:jc w:val="center"/>
        </w:trPr>
        <w:tc>
          <w:tcPr>
            <w:tcW w:w="1772" w:type="dxa"/>
            <w:vMerge/>
            <w:shd w:val="clear" w:color="auto" w:fill="4472C4"/>
            <w:vAlign w:val="center"/>
          </w:tcPr>
          <w:p w14:paraId="58E28B6A" w14:textId="77777777" w:rsidR="00990B14" w:rsidRDefault="00990B14">
            <w:pPr>
              <w:spacing w:before="20" w:after="20"/>
            </w:pPr>
          </w:p>
        </w:tc>
        <w:tc>
          <w:tcPr>
            <w:tcW w:w="1854" w:type="dxa"/>
            <w:shd w:val="clear" w:color="auto" w:fill="4472C4"/>
            <w:vAlign w:val="center"/>
          </w:tcPr>
          <w:p w14:paraId="060B3415"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76D9C38C" w14:textId="77777777" w:rsidR="00990B14" w:rsidRDefault="00000000">
            <w:pPr>
              <w:keepNext/>
              <w:spacing w:before="20" w:after="20"/>
              <w:jc w:val="center"/>
            </w:pPr>
            <w:r>
              <w:rPr>
                <w:b/>
                <w:bCs/>
                <w:i/>
                <w:iCs/>
                <w:color w:val="FFFFFF"/>
                <w:sz w:val="18"/>
                <w:szCs w:val="18"/>
              </w:rPr>
              <w:t>Insuficiente (1–50)</w:t>
            </w:r>
          </w:p>
        </w:tc>
        <w:tc>
          <w:tcPr>
            <w:tcW w:w="1854" w:type="dxa"/>
            <w:shd w:val="clear" w:color="auto" w:fill="4472C4"/>
            <w:vAlign w:val="center"/>
          </w:tcPr>
          <w:p w14:paraId="1B2FBB5C"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113388AC" w14:textId="77777777" w:rsidR="00990B14" w:rsidRDefault="00000000">
            <w:pPr>
              <w:keepNext/>
              <w:spacing w:before="20" w:after="20"/>
              <w:jc w:val="center"/>
            </w:pPr>
            <w:r>
              <w:rPr>
                <w:b/>
                <w:bCs/>
                <w:i/>
                <w:iCs/>
                <w:color w:val="FFFFFF"/>
                <w:sz w:val="18"/>
                <w:szCs w:val="18"/>
              </w:rPr>
              <w:t>Destacado (81–100)</w:t>
            </w:r>
          </w:p>
        </w:tc>
      </w:tr>
      <w:tr w:rsidR="00990B14" w14:paraId="7C4B1EFA" w14:textId="77777777">
        <w:trPr>
          <w:cantSplit/>
          <w:jc w:val="center"/>
        </w:trPr>
        <w:tc>
          <w:tcPr>
            <w:tcW w:w="1772" w:type="dxa"/>
            <w:vMerge/>
            <w:shd w:val="clear" w:color="auto" w:fill="4472C4"/>
            <w:vAlign w:val="center"/>
          </w:tcPr>
          <w:p w14:paraId="3615E87A" w14:textId="77777777" w:rsidR="00990B14" w:rsidRDefault="00990B14">
            <w:pPr>
              <w:spacing w:before="20" w:after="20"/>
            </w:pPr>
          </w:p>
        </w:tc>
        <w:tc>
          <w:tcPr>
            <w:tcW w:w="1854" w:type="dxa"/>
            <w:shd w:val="clear" w:color="auto" w:fill="D9E2F3"/>
            <w:vAlign w:val="center"/>
          </w:tcPr>
          <w:p w14:paraId="018454F6" w14:textId="77777777" w:rsidR="00990B14" w:rsidRDefault="00000000">
            <w:pPr>
              <w:spacing w:before="20" w:after="20"/>
              <w:jc w:val="both"/>
            </w:pPr>
            <w:r>
              <w:rPr>
                <w:sz w:val="18"/>
                <w:szCs w:val="18"/>
              </w:rPr>
              <w:t>Identificación de riesgos</w:t>
            </w:r>
          </w:p>
        </w:tc>
        <w:tc>
          <w:tcPr>
            <w:tcW w:w="2015" w:type="dxa"/>
            <w:shd w:val="clear" w:color="auto" w:fill="D9E2F3"/>
            <w:vAlign w:val="center"/>
          </w:tcPr>
          <w:p w14:paraId="4CBC08A1" w14:textId="77777777" w:rsidR="00990B14" w:rsidRDefault="00000000">
            <w:pPr>
              <w:spacing w:before="20" w:after="20"/>
              <w:jc w:val="both"/>
            </w:pPr>
            <w:r>
              <w:rPr>
                <w:sz w:val="18"/>
                <w:szCs w:val="18"/>
              </w:rPr>
              <w:t>Omite riesgos relevantes.</w:t>
            </w:r>
          </w:p>
        </w:tc>
        <w:tc>
          <w:tcPr>
            <w:tcW w:w="1854" w:type="dxa"/>
            <w:shd w:val="clear" w:color="auto" w:fill="D9E2F3"/>
            <w:vAlign w:val="center"/>
          </w:tcPr>
          <w:p w14:paraId="64A3E938" w14:textId="77777777" w:rsidR="00990B14" w:rsidRDefault="00000000">
            <w:pPr>
              <w:spacing w:before="20" w:after="20"/>
              <w:jc w:val="both"/>
            </w:pPr>
            <w:r>
              <w:rPr>
                <w:sz w:val="18"/>
                <w:szCs w:val="18"/>
              </w:rPr>
              <w:t>Identifica los riesgos climáticos, sanitarios y de precio.</w:t>
            </w:r>
          </w:p>
        </w:tc>
        <w:tc>
          <w:tcPr>
            <w:tcW w:w="1910" w:type="dxa"/>
            <w:shd w:val="clear" w:color="auto" w:fill="D9E2F3"/>
            <w:vAlign w:val="center"/>
          </w:tcPr>
          <w:p w14:paraId="7F3701C0" w14:textId="77777777" w:rsidR="00990B14" w:rsidRDefault="00000000">
            <w:pPr>
              <w:spacing w:before="20" w:after="20"/>
              <w:jc w:val="both"/>
            </w:pPr>
            <w:r>
              <w:rPr>
                <w:sz w:val="18"/>
                <w:szCs w:val="18"/>
              </w:rPr>
              <w:t>Valora la probabilidad y el impacto de cada riesgo.</w:t>
            </w:r>
          </w:p>
        </w:tc>
      </w:tr>
      <w:tr w:rsidR="00990B14" w14:paraId="10754713" w14:textId="77777777">
        <w:trPr>
          <w:cantSplit/>
          <w:jc w:val="center"/>
        </w:trPr>
        <w:tc>
          <w:tcPr>
            <w:tcW w:w="1772" w:type="dxa"/>
            <w:vMerge/>
            <w:shd w:val="clear" w:color="auto" w:fill="4472C4"/>
            <w:vAlign w:val="center"/>
          </w:tcPr>
          <w:p w14:paraId="68F06350" w14:textId="77777777" w:rsidR="00990B14" w:rsidRDefault="00990B14">
            <w:pPr>
              <w:spacing w:before="20" w:after="20"/>
            </w:pPr>
          </w:p>
        </w:tc>
        <w:tc>
          <w:tcPr>
            <w:tcW w:w="1854" w:type="dxa"/>
            <w:shd w:val="clear" w:color="auto" w:fill="D9E2F3"/>
            <w:vAlign w:val="center"/>
          </w:tcPr>
          <w:p w14:paraId="691EF610" w14:textId="77777777" w:rsidR="00990B14" w:rsidRDefault="00000000">
            <w:pPr>
              <w:spacing w:before="20" w:after="20"/>
              <w:jc w:val="both"/>
            </w:pPr>
            <w:r>
              <w:rPr>
                <w:sz w:val="18"/>
                <w:szCs w:val="18"/>
              </w:rPr>
              <w:t>Instrumentos de cobertura</w:t>
            </w:r>
          </w:p>
        </w:tc>
        <w:tc>
          <w:tcPr>
            <w:tcW w:w="2015" w:type="dxa"/>
            <w:shd w:val="clear" w:color="auto" w:fill="D9E2F3"/>
            <w:vAlign w:val="center"/>
          </w:tcPr>
          <w:p w14:paraId="63D2A345" w14:textId="77777777" w:rsidR="00990B14" w:rsidRDefault="00000000">
            <w:pPr>
              <w:spacing w:before="20" w:after="20"/>
              <w:jc w:val="both"/>
            </w:pPr>
            <w:r>
              <w:rPr>
                <w:sz w:val="18"/>
                <w:szCs w:val="18"/>
              </w:rPr>
              <w:t>No propone coberturas.</w:t>
            </w:r>
          </w:p>
        </w:tc>
        <w:tc>
          <w:tcPr>
            <w:tcW w:w="1854" w:type="dxa"/>
            <w:shd w:val="clear" w:color="auto" w:fill="D9E2F3"/>
            <w:vAlign w:val="center"/>
          </w:tcPr>
          <w:p w14:paraId="22CE77A4" w14:textId="77777777" w:rsidR="00990B14" w:rsidRDefault="00000000">
            <w:pPr>
              <w:spacing w:before="20" w:after="20"/>
              <w:jc w:val="both"/>
            </w:pPr>
            <w:r>
              <w:rPr>
                <w:sz w:val="18"/>
                <w:szCs w:val="18"/>
              </w:rPr>
              <w:t>Asocia cada riesgo con un seguro o financiamiento.</w:t>
            </w:r>
          </w:p>
        </w:tc>
        <w:tc>
          <w:tcPr>
            <w:tcW w:w="1910" w:type="dxa"/>
            <w:shd w:val="clear" w:color="auto" w:fill="D9E2F3"/>
            <w:vAlign w:val="center"/>
          </w:tcPr>
          <w:p w14:paraId="65D0A5CB" w14:textId="77777777" w:rsidR="00990B14" w:rsidRDefault="00000000">
            <w:pPr>
              <w:spacing w:before="20" w:after="20"/>
              <w:jc w:val="both"/>
            </w:pPr>
            <w:r>
              <w:rPr>
                <w:sz w:val="18"/>
                <w:szCs w:val="18"/>
              </w:rPr>
              <w:t>Evalúa el costo y la eficacia de la cobertura.</w:t>
            </w:r>
          </w:p>
        </w:tc>
      </w:tr>
      <w:tr w:rsidR="00990B14" w14:paraId="30AEAF14" w14:textId="77777777">
        <w:trPr>
          <w:cantSplit/>
          <w:jc w:val="center"/>
        </w:trPr>
        <w:tc>
          <w:tcPr>
            <w:tcW w:w="1772" w:type="dxa"/>
            <w:vMerge/>
            <w:shd w:val="clear" w:color="auto" w:fill="4472C4"/>
            <w:vAlign w:val="center"/>
          </w:tcPr>
          <w:p w14:paraId="7E344DB5" w14:textId="77777777" w:rsidR="00990B14" w:rsidRDefault="00990B14">
            <w:pPr>
              <w:spacing w:before="20" w:after="20"/>
            </w:pPr>
          </w:p>
        </w:tc>
        <w:tc>
          <w:tcPr>
            <w:tcW w:w="1854" w:type="dxa"/>
            <w:shd w:val="clear" w:color="auto" w:fill="D9E2F3"/>
            <w:vAlign w:val="center"/>
          </w:tcPr>
          <w:p w14:paraId="37962698" w14:textId="77777777" w:rsidR="00990B14" w:rsidRDefault="00000000">
            <w:pPr>
              <w:spacing w:before="20" w:after="20"/>
              <w:jc w:val="both"/>
            </w:pPr>
            <w:r>
              <w:rPr>
                <w:sz w:val="18"/>
                <w:szCs w:val="18"/>
              </w:rPr>
              <w:t>Trabajo en equipo</w:t>
            </w:r>
          </w:p>
        </w:tc>
        <w:tc>
          <w:tcPr>
            <w:tcW w:w="2015" w:type="dxa"/>
            <w:shd w:val="clear" w:color="auto" w:fill="D9E2F3"/>
            <w:vAlign w:val="center"/>
          </w:tcPr>
          <w:p w14:paraId="16536937" w14:textId="77777777" w:rsidR="00990B14" w:rsidRDefault="00000000">
            <w:pPr>
              <w:spacing w:before="20" w:after="20"/>
              <w:jc w:val="both"/>
            </w:pPr>
            <w:r>
              <w:rPr>
                <w:sz w:val="18"/>
                <w:szCs w:val="18"/>
              </w:rPr>
              <w:t>La participación es desigual.</w:t>
            </w:r>
          </w:p>
        </w:tc>
        <w:tc>
          <w:tcPr>
            <w:tcW w:w="1854" w:type="dxa"/>
            <w:shd w:val="clear" w:color="auto" w:fill="D9E2F3"/>
            <w:vAlign w:val="center"/>
          </w:tcPr>
          <w:p w14:paraId="18F82E36" w14:textId="77777777" w:rsidR="00990B14" w:rsidRDefault="00000000">
            <w:pPr>
              <w:spacing w:before="20" w:after="20"/>
              <w:jc w:val="both"/>
            </w:pPr>
            <w:r>
              <w:rPr>
                <w:sz w:val="18"/>
                <w:szCs w:val="18"/>
              </w:rPr>
              <w:t>Todos los integrantes participan.</w:t>
            </w:r>
          </w:p>
        </w:tc>
        <w:tc>
          <w:tcPr>
            <w:tcW w:w="1910" w:type="dxa"/>
            <w:shd w:val="clear" w:color="auto" w:fill="D9E2F3"/>
            <w:vAlign w:val="center"/>
          </w:tcPr>
          <w:p w14:paraId="04118F2F" w14:textId="77777777" w:rsidR="00990B14" w:rsidRDefault="00000000">
            <w:pPr>
              <w:spacing w:before="20" w:after="20"/>
              <w:jc w:val="both"/>
            </w:pPr>
            <w:r>
              <w:rPr>
                <w:sz w:val="18"/>
                <w:szCs w:val="18"/>
              </w:rPr>
              <w:t>El equipo sustenta sus conclusiones ante el curso.</w:t>
            </w:r>
          </w:p>
        </w:tc>
      </w:tr>
      <w:tr w:rsidR="00990B14" w14:paraId="7DC73AA1" w14:textId="77777777">
        <w:trPr>
          <w:cantSplit/>
          <w:jc w:val="center"/>
        </w:trPr>
        <w:tc>
          <w:tcPr>
            <w:tcW w:w="1772" w:type="dxa"/>
            <w:vMerge/>
            <w:shd w:val="clear" w:color="auto" w:fill="4472C4"/>
            <w:vAlign w:val="center"/>
          </w:tcPr>
          <w:p w14:paraId="387F642A" w14:textId="77777777" w:rsidR="00990B14" w:rsidRDefault="00990B14">
            <w:pPr>
              <w:spacing w:before="20" w:after="20"/>
            </w:pPr>
          </w:p>
        </w:tc>
        <w:tc>
          <w:tcPr>
            <w:tcW w:w="5723" w:type="dxa"/>
            <w:gridSpan w:val="3"/>
            <w:shd w:val="clear" w:color="auto" w:fill="D9E2F3"/>
            <w:vAlign w:val="center"/>
          </w:tcPr>
          <w:p w14:paraId="0A326731" w14:textId="77777777" w:rsidR="00990B14" w:rsidRDefault="00000000">
            <w:pPr>
              <w:keepNext/>
              <w:spacing w:before="20" w:after="20"/>
              <w:jc w:val="both"/>
            </w:pPr>
            <w:r>
              <w:rPr>
                <w:b/>
                <w:bCs/>
                <w:i/>
                <w:iCs/>
                <w:sz w:val="18"/>
                <w:szCs w:val="18"/>
              </w:rPr>
              <w:t xml:space="preserve">Producto 4: </w:t>
            </w:r>
            <w:r>
              <w:rPr>
                <w:sz w:val="18"/>
                <w:szCs w:val="18"/>
              </w:rPr>
              <w:t>Mapa institucional agropecuario</w:t>
            </w:r>
          </w:p>
        </w:tc>
        <w:tc>
          <w:tcPr>
            <w:tcW w:w="1910" w:type="dxa"/>
            <w:shd w:val="clear" w:color="auto" w:fill="D9E2F3"/>
            <w:vAlign w:val="center"/>
          </w:tcPr>
          <w:p w14:paraId="4AAD84AA" w14:textId="77777777" w:rsidR="00990B14" w:rsidRDefault="00000000">
            <w:pPr>
              <w:spacing w:before="20" w:after="20"/>
              <w:jc w:val="center"/>
            </w:pPr>
            <w:r>
              <w:rPr>
                <w:b/>
                <w:bCs/>
                <w:sz w:val="18"/>
                <w:szCs w:val="18"/>
              </w:rPr>
              <w:t>2%</w:t>
            </w:r>
          </w:p>
        </w:tc>
      </w:tr>
      <w:tr w:rsidR="00990B14" w14:paraId="569032B4" w14:textId="77777777">
        <w:trPr>
          <w:cantSplit/>
          <w:jc w:val="center"/>
        </w:trPr>
        <w:tc>
          <w:tcPr>
            <w:tcW w:w="1772" w:type="dxa"/>
            <w:vMerge/>
            <w:shd w:val="clear" w:color="auto" w:fill="4472C4"/>
            <w:vAlign w:val="center"/>
          </w:tcPr>
          <w:p w14:paraId="5F2140A0" w14:textId="77777777" w:rsidR="00990B14" w:rsidRDefault="00990B14">
            <w:pPr>
              <w:spacing w:before="20" w:after="20"/>
            </w:pPr>
          </w:p>
        </w:tc>
        <w:tc>
          <w:tcPr>
            <w:tcW w:w="1854" w:type="dxa"/>
            <w:shd w:val="clear" w:color="auto" w:fill="4472C4"/>
            <w:vAlign w:val="center"/>
          </w:tcPr>
          <w:p w14:paraId="19B929FF"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6F8CD661" w14:textId="77777777" w:rsidR="00990B14" w:rsidRDefault="00000000">
            <w:pPr>
              <w:keepNext/>
              <w:spacing w:before="20" w:after="20"/>
              <w:jc w:val="center"/>
            </w:pPr>
            <w:r>
              <w:rPr>
                <w:b/>
                <w:bCs/>
                <w:i/>
                <w:iCs/>
                <w:color w:val="FFFFFF"/>
                <w:sz w:val="18"/>
                <w:szCs w:val="18"/>
              </w:rPr>
              <w:t>Insuficiente (1–50)</w:t>
            </w:r>
          </w:p>
        </w:tc>
        <w:tc>
          <w:tcPr>
            <w:tcW w:w="1854" w:type="dxa"/>
            <w:shd w:val="clear" w:color="auto" w:fill="4472C4"/>
            <w:vAlign w:val="center"/>
          </w:tcPr>
          <w:p w14:paraId="090930AB"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409CB31D" w14:textId="77777777" w:rsidR="00990B14" w:rsidRDefault="00000000">
            <w:pPr>
              <w:keepNext/>
              <w:spacing w:before="20" w:after="20"/>
              <w:jc w:val="center"/>
            </w:pPr>
            <w:r>
              <w:rPr>
                <w:b/>
                <w:bCs/>
                <w:i/>
                <w:iCs/>
                <w:color w:val="FFFFFF"/>
                <w:sz w:val="18"/>
                <w:szCs w:val="18"/>
              </w:rPr>
              <w:t>Destacado (81–100)</w:t>
            </w:r>
          </w:p>
        </w:tc>
      </w:tr>
      <w:tr w:rsidR="00990B14" w14:paraId="532FD4DF" w14:textId="77777777">
        <w:trPr>
          <w:cantSplit/>
          <w:jc w:val="center"/>
        </w:trPr>
        <w:tc>
          <w:tcPr>
            <w:tcW w:w="1772" w:type="dxa"/>
            <w:vMerge/>
            <w:shd w:val="clear" w:color="auto" w:fill="4472C4"/>
            <w:vAlign w:val="center"/>
          </w:tcPr>
          <w:p w14:paraId="74F6150E" w14:textId="77777777" w:rsidR="00990B14" w:rsidRDefault="00990B14">
            <w:pPr>
              <w:spacing w:before="20" w:after="20"/>
            </w:pPr>
          </w:p>
        </w:tc>
        <w:tc>
          <w:tcPr>
            <w:tcW w:w="1854" w:type="dxa"/>
            <w:shd w:val="clear" w:color="auto" w:fill="D9E2F3"/>
            <w:vAlign w:val="center"/>
          </w:tcPr>
          <w:p w14:paraId="1F92A8FB" w14:textId="77777777" w:rsidR="00990B14" w:rsidRDefault="00000000">
            <w:pPr>
              <w:spacing w:before="20" w:after="20"/>
              <w:jc w:val="both"/>
            </w:pPr>
            <w:r>
              <w:rPr>
                <w:sz w:val="18"/>
                <w:szCs w:val="18"/>
              </w:rPr>
              <w:t>Instituciones</w:t>
            </w:r>
          </w:p>
        </w:tc>
        <w:tc>
          <w:tcPr>
            <w:tcW w:w="2015" w:type="dxa"/>
            <w:shd w:val="clear" w:color="auto" w:fill="D9E2F3"/>
            <w:vAlign w:val="center"/>
          </w:tcPr>
          <w:p w14:paraId="5869786E" w14:textId="77777777" w:rsidR="00990B14" w:rsidRDefault="00000000">
            <w:pPr>
              <w:spacing w:before="20" w:after="20"/>
              <w:jc w:val="both"/>
            </w:pPr>
            <w:r>
              <w:rPr>
                <w:sz w:val="18"/>
                <w:szCs w:val="18"/>
              </w:rPr>
              <w:t>Omite instituciones clave.</w:t>
            </w:r>
          </w:p>
        </w:tc>
        <w:tc>
          <w:tcPr>
            <w:tcW w:w="1854" w:type="dxa"/>
            <w:shd w:val="clear" w:color="auto" w:fill="D9E2F3"/>
            <w:vAlign w:val="center"/>
          </w:tcPr>
          <w:p w14:paraId="613DE63B" w14:textId="77777777" w:rsidR="00990B14" w:rsidRDefault="00000000">
            <w:pPr>
              <w:spacing w:before="20" w:after="20"/>
              <w:jc w:val="both"/>
            </w:pPr>
            <w:r>
              <w:rPr>
                <w:sz w:val="18"/>
                <w:szCs w:val="18"/>
              </w:rPr>
              <w:t>Identifica las instituciones públicas y privadas del sector.</w:t>
            </w:r>
          </w:p>
        </w:tc>
        <w:tc>
          <w:tcPr>
            <w:tcW w:w="1910" w:type="dxa"/>
            <w:shd w:val="clear" w:color="auto" w:fill="D9E2F3"/>
            <w:vAlign w:val="center"/>
          </w:tcPr>
          <w:p w14:paraId="1EB65035" w14:textId="77777777" w:rsidR="00990B14" w:rsidRDefault="00000000">
            <w:pPr>
              <w:spacing w:before="20" w:after="20"/>
              <w:jc w:val="both"/>
            </w:pPr>
            <w:r>
              <w:rPr>
                <w:sz w:val="18"/>
                <w:szCs w:val="18"/>
              </w:rPr>
              <w:t>Explica la relación entre ellas.</w:t>
            </w:r>
          </w:p>
        </w:tc>
      </w:tr>
      <w:tr w:rsidR="00990B14" w14:paraId="3FDF00EB" w14:textId="77777777">
        <w:trPr>
          <w:cantSplit/>
          <w:jc w:val="center"/>
        </w:trPr>
        <w:tc>
          <w:tcPr>
            <w:tcW w:w="1772" w:type="dxa"/>
            <w:vMerge/>
            <w:shd w:val="clear" w:color="auto" w:fill="4472C4"/>
            <w:vAlign w:val="center"/>
          </w:tcPr>
          <w:p w14:paraId="6D06641F" w14:textId="77777777" w:rsidR="00990B14" w:rsidRDefault="00990B14">
            <w:pPr>
              <w:spacing w:before="20" w:after="20"/>
            </w:pPr>
          </w:p>
        </w:tc>
        <w:tc>
          <w:tcPr>
            <w:tcW w:w="1854" w:type="dxa"/>
            <w:shd w:val="clear" w:color="auto" w:fill="D9E2F3"/>
            <w:vAlign w:val="center"/>
          </w:tcPr>
          <w:p w14:paraId="293BF5CB" w14:textId="77777777" w:rsidR="00990B14" w:rsidRDefault="00000000">
            <w:pPr>
              <w:spacing w:before="20" w:after="20"/>
              <w:jc w:val="both"/>
            </w:pPr>
            <w:r>
              <w:rPr>
                <w:sz w:val="18"/>
                <w:szCs w:val="18"/>
              </w:rPr>
              <w:t>Funciones</w:t>
            </w:r>
          </w:p>
        </w:tc>
        <w:tc>
          <w:tcPr>
            <w:tcW w:w="2015" w:type="dxa"/>
            <w:shd w:val="clear" w:color="auto" w:fill="D9E2F3"/>
            <w:vAlign w:val="center"/>
          </w:tcPr>
          <w:p w14:paraId="7C514263" w14:textId="77777777" w:rsidR="00990B14" w:rsidRDefault="00000000">
            <w:pPr>
              <w:spacing w:before="20" w:after="20"/>
              <w:jc w:val="both"/>
            </w:pPr>
            <w:r>
              <w:rPr>
                <w:sz w:val="18"/>
                <w:szCs w:val="18"/>
              </w:rPr>
              <w:t>Confunde las funciones.</w:t>
            </w:r>
          </w:p>
        </w:tc>
        <w:tc>
          <w:tcPr>
            <w:tcW w:w="1854" w:type="dxa"/>
            <w:shd w:val="clear" w:color="auto" w:fill="D9E2F3"/>
            <w:vAlign w:val="center"/>
          </w:tcPr>
          <w:p w14:paraId="546CC168" w14:textId="77777777" w:rsidR="00990B14" w:rsidRDefault="00000000">
            <w:pPr>
              <w:spacing w:before="20" w:after="20"/>
              <w:jc w:val="both"/>
            </w:pPr>
            <w:r>
              <w:rPr>
                <w:sz w:val="18"/>
                <w:szCs w:val="18"/>
              </w:rPr>
              <w:t>Asigna a cada institución su función.</w:t>
            </w:r>
          </w:p>
        </w:tc>
        <w:tc>
          <w:tcPr>
            <w:tcW w:w="1910" w:type="dxa"/>
            <w:shd w:val="clear" w:color="auto" w:fill="D9E2F3"/>
            <w:vAlign w:val="center"/>
          </w:tcPr>
          <w:p w14:paraId="6B448CEB" w14:textId="77777777" w:rsidR="00990B14" w:rsidRDefault="00000000">
            <w:pPr>
              <w:spacing w:before="20" w:after="20"/>
              <w:jc w:val="both"/>
            </w:pPr>
            <w:r>
              <w:rPr>
                <w:sz w:val="18"/>
                <w:szCs w:val="18"/>
              </w:rPr>
              <w:t>Relaciona cada función con un registro contable o documental.</w:t>
            </w:r>
          </w:p>
        </w:tc>
      </w:tr>
      <w:tr w:rsidR="00990B14" w14:paraId="518000F4" w14:textId="77777777">
        <w:trPr>
          <w:cantSplit/>
          <w:jc w:val="center"/>
        </w:trPr>
        <w:tc>
          <w:tcPr>
            <w:tcW w:w="1772" w:type="dxa"/>
            <w:vMerge/>
            <w:shd w:val="clear" w:color="auto" w:fill="4472C4"/>
            <w:vAlign w:val="center"/>
          </w:tcPr>
          <w:p w14:paraId="6933006D" w14:textId="77777777" w:rsidR="00990B14" w:rsidRDefault="00990B14">
            <w:pPr>
              <w:spacing w:before="20" w:after="20"/>
            </w:pPr>
          </w:p>
        </w:tc>
        <w:tc>
          <w:tcPr>
            <w:tcW w:w="1854" w:type="dxa"/>
            <w:shd w:val="clear" w:color="auto" w:fill="D9E2F3"/>
            <w:vAlign w:val="center"/>
          </w:tcPr>
          <w:p w14:paraId="64A43342" w14:textId="77777777" w:rsidR="00990B14" w:rsidRDefault="00000000">
            <w:pPr>
              <w:spacing w:before="20" w:after="20"/>
              <w:jc w:val="both"/>
            </w:pPr>
            <w:r>
              <w:rPr>
                <w:sz w:val="18"/>
                <w:szCs w:val="18"/>
              </w:rPr>
              <w:t>Trazabilidad</w:t>
            </w:r>
          </w:p>
        </w:tc>
        <w:tc>
          <w:tcPr>
            <w:tcW w:w="2015" w:type="dxa"/>
            <w:shd w:val="clear" w:color="auto" w:fill="D9E2F3"/>
            <w:vAlign w:val="center"/>
          </w:tcPr>
          <w:p w14:paraId="0A4F46C4" w14:textId="77777777" w:rsidR="00990B14" w:rsidRDefault="00000000">
            <w:pPr>
              <w:spacing w:before="20" w:after="20"/>
              <w:jc w:val="both"/>
            </w:pPr>
            <w:r>
              <w:rPr>
                <w:sz w:val="18"/>
                <w:szCs w:val="18"/>
              </w:rPr>
              <w:t>No considera la certificación.</w:t>
            </w:r>
          </w:p>
        </w:tc>
        <w:tc>
          <w:tcPr>
            <w:tcW w:w="1854" w:type="dxa"/>
            <w:shd w:val="clear" w:color="auto" w:fill="D9E2F3"/>
            <w:vAlign w:val="center"/>
          </w:tcPr>
          <w:p w14:paraId="1E5A943D" w14:textId="77777777" w:rsidR="00990B14" w:rsidRDefault="00000000">
            <w:pPr>
              <w:spacing w:before="20" w:after="20"/>
              <w:jc w:val="both"/>
            </w:pPr>
            <w:r>
              <w:rPr>
                <w:sz w:val="18"/>
                <w:szCs w:val="18"/>
              </w:rPr>
              <w:t>Describe el registro sanitario y la certificación de origen.</w:t>
            </w:r>
          </w:p>
        </w:tc>
        <w:tc>
          <w:tcPr>
            <w:tcW w:w="1910" w:type="dxa"/>
            <w:shd w:val="clear" w:color="auto" w:fill="D9E2F3"/>
            <w:vAlign w:val="center"/>
          </w:tcPr>
          <w:p w14:paraId="13F5A322" w14:textId="77777777" w:rsidR="00990B14" w:rsidRDefault="00000000">
            <w:pPr>
              <w:spacing w:before="20" w:after="20"/>
              <w:jc w:val="both"/>
            </w:pPr>
            <w:r>
              <w:rPr>
                <w:sz w:val="18"/>
                <w:szCs w:val="18"/>
              </w:rPr>
              <w:t>Analiza su efecto en el acceso a mercados.</w:t>
            </w:r>
          </w:p>
        </w:tc>
      </w:tr>
      <w:tr w:rsidR="00990B14" w14:paraId="29C4E18D" w14:textId="77777777">
        <w:trPr>
          <w:cantSplit/>
          <w:jc w:val="center"/>
        </w:trPr>
        <w:tc>
          <w:tcPr>
            <w:tcW w:w="1772" w:type="dxa"/>
            <w:vMerge/>
            <w:shd w:val="clear" w:color="auto" w:fill="4472C4"/>
            <w:vAlign w:val="center"/>
          </w:tcPr>
          <w:p w14:paraId="36B173EC" w14:textId="77777777" w:rsidR="00990B14" w:rsidRDefault="00990B14">
            <w:pPr>
              <w:spacing w:before="20" w:after="20"/>
            </w:pPr>
          </w:p>
        </w:tc>
        <w:tc>
          <w:tcPr>
            <w:tcW w:w="5723" w:type="dxa"/>
            <w:gridSpan w:val="3"/>
            <w:shd w:val="clear" w:color="auto" w:fill="D9E2F3"/>
            <w:vAlign w:val="center"/>
          </w:tcPr>
          <w:p w14:paraId="50B8F20F" w14:textId="77777777" w:rsidR="00990B14" w:rsidRDefault="00000000">
            <w:pPr>
              <w:keepNext/>
              <w:spacing w:before="20" w:after="20"/>
              <w:jc w:val="both"/>
            </w:pPr>
            <w:r>
              <w:rPr>
                <w:b/>
                <w:bCs/>
                <w:i/>
                <w:iCs/>
                <w:sz w:val="18"/>
                <w:szCs w:val="18"/>
              </w:rPr>
              <w:t xml:space="preserve">Producto 5: </w:t>
            </w:r>
            <w:r>
              <w:rPr>
                <w:sz w:val="18"/>
                <w:szCs w:val="18"/>
              </w:rPr>
              <w:t>Informe de declaración del IUE agropecuario</w:t>
            </w:r>
          </w:p>
        </w:tc>
        <w:tc>
          <w:tcPr>
            <w:tcW w:w="1910" w:type="dxa"/>
            <w:shd w:val="clear" w:color="auto" w:fill="D9E2F3"/>
            <w:vAlign w:val="center"/>
          </w:tcPr>
          <w:p w14:paraId="622B14AB" w14:textId="77777777" w:rsidR="00990B14" w:rsidRDefault="00000000">
            <w:pPr>
              <w:spacing w:before="20" w:after="20"/>
              <w:jc w:val="center"/>
            </w:pPr>
            <w:r>
              <w:rPr>
                <w:b/>
                <w:bCs/>
                <w:sz w:val="18"/>
                <w:szCs w:val="18"/>
              </w:rPr>
              <w:t>3%</w:t>
            </w:r>
          </w:p>
        </w:tc>
      </w:tr>
      <w:tr w:rsidR="00990B14" w14:paraId="51E87CF7" w14:textId="77777777">
        <w:trPr>
          <w:cantSplit/>
          <w:jc w:val="center"/>
        </w:trPr>
        <w:tc>
          <w:tcPr>
            <w:tcW w:w="1772" w:type="dxa"/>
            <w:vMerge/>
            <w:shd w:val="clear" w:color="auto" w:fill="4472C4"/>
            <w:vAlign w:val="center"/>
          </w:tcPr>
          <w:p w14:paraId="010DBA9D" w14:textId="77777777" w:rsidR="00990B14" w:rsidRDefault="00990B14">
            <w:pPr>
              <w:spacing w:before="20" w:after="20"/>
            </w:pPr>
          </w:p>
        </w:tc>
        <w:tc>
          <w:tcPr>
            <w:tcW w:w="1854" w:type="dxa"/>
            <w:shd w:val="clear" w:color="auto" w:fill="4472C4"/>
            <w:vAlign w:val="center"/>
          </w:tcPr>
          <w:p w14:paraId="06BCCB17"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13C7F1B9" w14:textId="77777777" w:rsidR="00990B14" w:rsidRDefault="00000000">
            <w:pPr>
              <w:keepNext/>
              <w:spacing w:before="20" w:after="20"/>
              <w:jc w:val="center"/>
            </w:pPr>
            <w:r>
              <w:rPr>
                <w:b/>
                <w:bCs/>
                <w:i/>
                <w:iCs/>
                <w:color w:val="FFFFFF"/>
                <w:sz w:val="18"/>
                <w:szCs w:val="18"/>
              </w:rPr>
              <w:t>Insuficiente (1–50)</w:t>
            </w:r>
          </w:p>
        </w:tc>
        <w:tc>
          <w:tcPr>
            <w:tcW w:w="1854" w:type="dxa"/>
            <w:shd w:val="clear" w:color="auto" w:fill="4472C4"/>
            <w:vAlign w:val="center"/>
          </w:tcPr>
          <w:p w14:paraId="7891064E"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6EABDA74" w14:textId="77777777" w:rsidR="00990B14" w:rsidRDefault="00000000">
            <w:pPr>
              <w:keepNext/>
              <w:spacing w:before="20" w:after="20"/>
              <w:jc w:val="center"/>
            </w:pPr>
            <w:r>
              <w:rPr>
                <w:b/>
                <w:bCs/>
                <w:i/>
                <w:iCs/>
                <w:color w:val="FFFFFF"/>
                <w:sz w:val="18"/>
                <w:szCs w:val="18"/>
              </w:rPr>
              <w:t>Destacado (81–100)</w:t>
            </w:r>
          </w:p>
        </w:tc>
      </w:tr>
      <w:tr w:rsidR="00990B14" w14:paraId="1CE517A2" w14:textId="77777777">
        <w:trPr>
          <w:cantSplit/>
          <w:jc w:val="center"/>
        </w:trPr>
        <w:tc>
          <w:tcPr>
            <w:tcW w:w="1772" w:type="dxa"/>
            <w:vMerge/>
            <w:shd w:val="clear" w:color="auto" w:fill="4472C4"/>
            <w:vAlign w:val="center"/>
          </w:tcPr>
          <w:p w14:paraId="5F0EEE10" w14:textId="77777777" w:rsidR="00990B14" w:rsidRDefault="00990B14">
            <w:pPr>
              <w:spacing w:before="20" w:after="20"/>
            </w:pPr>
          </w:p>
        </w:tc>
        <w:tc>
          <w:tcPr>
            <w:tcW w:w="1854" w:type="dxa"/>
            <w:shd w:val="clear" w:color="auto" w:fill="D9E2F3"/>
            <w:vAlign w:val="center"/>
          </w:tcPr>
          <w:p w14:paraId="5ACFCFF3" w14:textId="77777777" w:rsidR="00990B14" w:rsidRDefault="00000000">
            <w:pPr>
              <w:spacing w:before="20" w:after="20"/>
              <w:jc w:val="both"/>
            </w:pPr>
            <w:r>
              <w:rPr>
                <w:sz w:val="18"/>
                <w:szCs w:val="18"/>
              </w:rPr>
              <w:t>Cierre de gestión</w:t>
            </w:r>
          </w:p>
        </w:tc>
        <w:tc>
          <w:tcPr>
            <w:tcW w:w="2015" w:type="dxa"/>
            <w:shd w:val="clear" w:color="auto" w:fill="D9E2F3"/>
            <w:vAlign w:val="center"/>
          </w:tcPr>
          <w:p w14:paraId="71698BF2" w14:textId="77777777" w:rsidR="00990B14" w:rsidRDefault="00000000">
            <w:pPr>
              <w:spacing w:before="20" w:after="20"/>
              <w:jc w:val="both"/>
            </w:pPr>
            <w:r>
              <w:rPr>
                <w:sz w:val="18"/>
                <w:szCs w:val="18"/>
              </w:rPr>
              <w:t>Aplica un cierre que no corresponde.</w:t>
            </w:r>
          </w:p>
        </w:tc>
        <w:tc>
          <w:tcPr>
            <w:tcW w:w="1854" w:type="dxa"/>
            <w:shd w:val="clear" w:color="auto" w:fill="D9E2F3"/>
            <w:vAlign w:val="center"/>
          </w:tcPr>
          <w:p w14:paraId="792AA79D" w14:textId="77777777" w:rsidR="00990B14" w:rsidRDefault="00000000">
            <w:pPr>
              <w:spacing w:before="20" w:after="20"/>
              <w:jc w:val="both"/>
            </w:pPr>
            <w:r>
              <w:rPr>
                <w:sz w:val="18"/>
                <w:szCs w:val="18"/>
              </w:rPr>
              <w:t>Aplica el cierre de gestión del sector agropecuario.</w:t>
            </w:r>
          </w:p>
        </w:tc>
        <w:tc>
          <w:tcPr>
            <w:tcW w:w="1910" w:type="dxa"/>
            <w:shd w:val="clear" w:color="auto" w:fill="D9E2F3"/>
            <w:vAlign w:val="center"/>
          </w:tcPr>
          <w:p w14:paraId="746D3708" w14:textId="77777777" w:rsidR="00990B14" w:rsidRDefault="00000000">
            <w:pPr>
              <w:spacing w:before="20" w:after="20"/>
              <w:jc w:val="both"/>
            </w:pPr>
            <w:r>
              <w:rPr>
                <w:sz w:val="18"/>
                <w:szCs w:val="18"/>
              </w:rPr>
              <w:t>Explica la relación del cierre con el ciclo productivo.</w:t>
            </w:r>
          </w:p>
        </w:tc>
      </w:tr>
      <w:tr w:rsidR="00990B14" w14:paraId="7292C770" w14:textId="77777777">
        <w:trPr>
          <w:cantSplit/>
          <w:jc w:val="center"/>
        </w:trPr>
        <w:tc>
          <w:tcPr>
            <w:tcW w:w="1772" w:type="dxa"/>
            <w:vMerge/>
            <w:shd w:val="clear" w:color="auto" w:fill="4472C4"/>
            <w:vAlign w:val="center"/>
          </w:tcPr>
          <w:p w14:paraId="1BC860B8" w14:textId="77777777" w:rsidR="00990B14" w:rsidRDefault="00990B14">
            <w:pPr>
              <w:spacing w:before="20" w:after="20"/>
            </w:pPr>
          </w:p>
        </w:tc>
        <w:tc>
          <w:tcPr>
            <w:tcW w:w="1854" w:type="dxa"/>
            <w:shd w:val="clear" w:color="auto" w:fill="D9E2F3"/>
            <w:vAlign w:val="center"/>
          </w:tcPr>
          <w:p w14:paraId="71333587" w14:textId="77777777" w:rsidR="00990B14" w:rsidRDefault="00000000">
            <w:pPr>
              <w:spacing w:before="20" w:after="20"/>
              <w:jc w:val="both"/>
            </w:pPr>
            <w:r>
              <w:rPr>
                <w:sz w:val="18"/>
                <w:szCs w:val="18"/>
              </w:rPr>
              <w:t>Determinación del impuesto</w:t>
            </w:r>
          </w:p>
        </w:tc>
        <w:tc>
          <w:tcPr>
            <w:tcW w:w="2015" w:type="dxa"/>
            <w:shd w:val="clear" w:color="auto" w:fill="D9E2F3"/>
            <w:vAlign w:val="center"/>
          </w:tcPr>
          <w:p w14:paraId="54996F35" w14:textId="77777777" w:rsidR="00990B14" w:rsidRDefault="00000000">
            <w:pPr>
              <w:spacing w:before="20" w:after="20"/>
              <w:jc w:val="both"/>
            </w:pPr>
            <w:r>
              <w:rPr>
                <w:sz w:val="18"/>
                <w:szCs w:val="18"/>
              </w:rPr>
              <w:t>Calcula mal la utilidad imponible.</w:t>
            </w:r>
          </w:p>
        </w:tc>
        <w:tc>
          <w:tcPr>
            <w:tcW w:w="1854" w:type="dxa"/>
            <w:shd w:val="clear" w:color="auto" w:fill="D9E2F3"/>
            <w:vAlign w:val="center"/>
          </w:tcPr>
          <w:p w14:paraId="1D4C2523" w14:textId="77777777" w:rsidR="00990B14" w:rsidRDefault="00000000">
            <w:pPr>
              <w:spacing w:before="20" w:after="20"/>
              <w:jc w:val="both"/>
            </w:pPr>
            <w:r>
              <w:rPr>
                <w:sz w:val="18"/>
                <w:szCs w:val="18"/>
              </w:rPr>
              <w:t>Determina el impuesto y su plazo de pago.</w:t>
            </w:r>
          </w:p>
        </w:tc>
        <w:tc>
          <w:tcPr>
            <w:tcW w:w="1910" w:type="dxa"/>
            <w:shd w:val="clear" w:color="auto" w:fill="D9E2F3"/>
            <w:vAlign w:val="center"/>
          </w:tcPr>
          <w:p w14:paraId="0D39843D" w14:textId="77777777" w:rsidR="00990B14" w:rsidRDefault="00000000">
            <w:pPr>
              <w:spacing w:before="20" w:after="20"/>
              <w:jc w:val="both"/>
            </w:pPr>
            <w:r>
              <w:rPr>
                <w:sz w:val="18"/>
                <w:szCs w:val="18"/>
              </w:rPr>
              <w:t>Concilia la utilidad contable con la imponible.</w:t>
            </w:r>
          </w:p>
        </w:tc>
      </w:tr>
      <w:tr w:rsidR="00990B14" w14:paraId="72040140" w14:textId="77777777">
        <w:trPr>
          <w:cantSplit/>
          <w:jc w:val="center"/>
        </w:trPr>
        <w:tc>
          <w:tcPr>
            <w:tcW w:w="1772" w:type="dxa"/>
            <w:vMerge/>
            <w:shd w:val="clear" w:color="auto" w:fill="4472C4"/>
            <w:vAlign w:val="center"/>
          </w:tcPr>
          <w:p w14:paraId="03FA0522" w14:textId="77777777" w:rsidR="00990B14" w:rsidRDefault="00990B14">
            <w:pPr>
              <w:spacing w:before="20" w:after="20"/>
            </w:pPr>
          </w:p>
        </w:tc>
        <w:tc>
          <w:tcPr>
            <w:tcW w:w="1854" w:type="dxa"/>
            <w:shd w:val="clear" w:color="auto" w:fill="D9E2F3"/>
            <w:vAlign w:val="center"/>
          </w:tcPr>
          <w:p w14:paraId="29A39D21" w14:textId="77777777" w:rsidR="00990B14" w:rsidRDefault="00000000">
            <w:pPr>
              <w:spacing w:before="20" w:after="20"/>
              <w:jc w:val="both"/>
            </w:pPr>
            <w:r>
              <w:rPr>
                <w:sz w:val="18"/>
                <w:szCs w:val="18"/>
              </w:rPr>
              <w:t>Deberes formales</w:t>
            </w:r>
          </w:p>
        </w:tc>
        <w:tc>
          <w:tcPr>
            <w:tcW w:w="2015" w:type="dxa"/>
            <w:shd w:val="clear" w:color="auto" w:fill="D9E2F3"/>
            <w:vAlign w:val="center"/>
          </w:tcPr>
          <w:p w14:paraId="04CFC22D" w14:textId="77777777" w:rsidR="00990B14" w:rsidRDefault="00000000">
            <w:pPr>
              <w:spacing w:before="20" w:after="20"/>
              <w:jc w:val="both"/>
            </w:pPr>
            <w:r>
              <w:rPr>
                <w:sz w:val="18"/>
                <w:szCs w:val="18"/>
              </w:rPr>
              <w:t>Omite deberes formales.</w:t>
            </w:r>
          </w:p>
        </w:tc>
        <w:tc>
          <w:tcPr>
            <w:tcW w:w="1854" w:type="dxa"/>
            <w:shd w:val="clear" w:color="auto" w:fill="D9E2F3"/>
            <w:vAlign w:val="center"/>
          </w:tcPr>
          <w:p w14:paraId="3158DAE4" w14:textId="77777777" w:rsidR="00990B14" w:rsidRDefault="00000000">
            <w:pPr>
              <w:spacing w:before="20" w:after="20"/>
              <w:jc w:val="both"/>
            </w:pPr>
            <w:r>
              <w:rPr>
                <w:sz w:val="18"/>
                <w:szCs w:val="18"/>
              </w:rPr>
              <w:t>Identifica los deberes formales y sus sanciones.</w:t>
            </w:r>
          </w:p>
        </w:tc>
        <w:tc>
          <w:tcPr>
            <w:tcW w:w="1910" w:type="dxa"/>
            <w:shd w:val="clear" w:color="auto" w:fill="D9E2F3"/>
            <w:vAlign w:val="center"/>
          </w:tcPr>
          <w:p w14:paraId="38D22C8D" w14:textId="77777777" w:rsidR="00990B14" w:rsidRDefault="00000000">
            <w:pPr>
              <w:spacing w:before="20" w:after="20"/>
              <w:jc w:val="both"/>
            </w:pPr>
            <w:r>
              <w:rPr>
                <w:sz w:val="18"/>
                <w:szCs w:val="18"/>
              </w:rPr>
              <w:t>Propone controles para evitar incumplimientos.</w:t>
            </w:r>
          </w:p>
        </w:tc>
      </w:tr>
      <w:tr w:rsidR="00990B14" w14:paraId="19F7B0BB" w14:textId="77777777">
        <w:trPr>
          <w:cantSplit/>
          <w:jc w:val="center"/>
        </w:trPr>
        <w:tc>
          <w:tcPr>
            <w:tcW w:w="1772" w:type="dxa"/>
            <w:vMerge/>
            <w:shd w:val="clear" w:color="auto" w:fill="4472C4"/>
            <w:vAlign w:val="center"/>
          </w:tcPr>
          <w:p w14:paraId="1EB0E0E6" w14:textId="77777777" w:rsidR="00990B14" w:rsidRDefault="00990B14">
            <w:pPr>
              <w:spacing w:before="20" w:after="20"/>
            </w:pPr>
          </w:p>
        </w:tc>
        <w:tc>
          <w:tcPr>
            <w:tcW w:w="5723" w:type="dxa"/>
            <w:gridSpan w:val="3"/>
            <w:shd w:val="clear" w:color="auto" w:fill="D9E2F3"/>
            <w:vAlign w:val="center"/>
          </w:tcPr>
          <w:p w14:paraId="02B099B8" w14:textId="77777777" w:rsidR="00990B14" w:rsidRDefault="00000000">
            <w:pPr>
              <w:keepNext/>
              <w:spacing w:before="20" w:after="20"/>
              <w:jc w:val="both"/>
            </w:pPr>
            <w:r>
              <w:rPr>
                <w:b/>
                <w:bCs/>
                <w:i/>
                <w:iCs/>
                <w:sz w:val="18"/>
                <w:szCs w:val="18"/>
              </w:rPr>
              <w:t xml:space="preserve">Producto 6: </w:t>
            </w:r>
            <w:r>
              <w:rPr>
                <w:sz w:val="18"/>
                <w:szCs w:val="18"/>
              </w:rPr>
              <w:t>Procedimientos de importación de una empresa agropecuaria</w:t>
            </w:r>
          </w:p>
        </w:tc>
        <w:tc>
          <w:tcPr>
            <w:tcW w:w="1910" w:type="dxa"/>
            <w:shd w:val="clear" w:color="auto" w:fill="D9E2F3"/>
            <w:vAlign w:val="center"/>
          </w:tcPr>
          <w:p w14:paraId="4C05EA3B" w14:textId="77777777" w:rsidR="00990B14" w:rsidRDefault="00000000">
            <w:pPr>
              <w:spacing w:before="20" w:after="20"/>
              <w:jc w:val="center"/>
            </w:pPr>
            <w:r>
              <w:rPr>
                <w:b/>
                <w:bCs/>
                <w:sz w:val="18"/>
                <w:szCs w:val="18"/>
              </w:rPr>
              <w:t>5%</w:t>
            </w:r>
          </w:p>
        </w:tc>
      </w:tr>
      <w:tr w:rsidR="00990B14" w14:paraId="5BEB211B" w14:textId="77777777">
        <w:trPr>
          <w:cantSplit/>
          <w:jc w:val="center"/>
        </w:trPr>
        <w:tc>
          <w:tcPr>
            <w:tcW w:w="1772" w:type="dxa"/>
            <w:vMerge/>
            <w:shd w:val="clear" w:color="auto" w:fill="4472C4"/>
            <w:vAlign w:val="center"/>
          </w:tcPr>
          <w:p w14:paraId="4E43B180" w14:textId="77777777" w:rsidR="00990B14" w:rsidRDefault="00990B14">
            <w:pPr>
              <w:spacing w:before="20" w:after="20"/>
            </w:pPr>
          </w:p>
        </w:tc>
        <w:tc>
          <w:tcPr>
            <w:tcW w:w="1854" w:type="dxa"/>
            <w:shd w:val="clear" w:color="auto" w:fill="4472C4"/>
            <w:vAlign w:val="center"/>
          </w:tcPr>
          <w:p w14:paraId="15FD64DA"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3512C182" w14:textId="77777777" w:rsidR="00990B14" w:rsidRDefault="00000000">
            <w:pPr>
              <w:keepNext/>
              <w:spacing w:before="20" w:after="20"/>
              <w:jc w:val="center"/>
            </w:pPr>
            <w:r>
              <w:rPr>
                <w:b/>
                <w:bCs/>
                <w:i/>
                <w:iCs/>
                <w:color w:val="FFFFFF"/>
                <w:sz w:val="18"/>
                <w:szCs w:val="18"/>
              </w:rPr>
              <w:t>Insuficiente (1–50)</w:t>
            </w:r>
          </w:p>
        </w:tc>
        <w:tc>
          <w:tcPr>
            <w:tcW w:w="1854" w:type="dxa"/>
            <w:shd w:val="clear" w:color="auto" w:fill="4472C4"/>
            <w:vAlign w:val="center"/>
          </w:tcPr>
          <w:p w14:paraId="2B96688D"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4435B846" w14:textId="77777777" w:rsidR="00990B14" w:rsidRDefault="00000000">
            <w:pPr>
              <w:keepNext/>
              <w:spacing w:before="20" w:after="20"/>
              <w:jc w:val="center"/>
            </w:pPr>
            <w:r>
              <w:rPr>
                <w:b/>
                <w:bCs/>
                <w:i/>
                <w:iCs/>
                <w:color w:val="FFFFFF"/>
                <w:sz w:val="18"/>
                <w:szCs w:val="18"/>
              </w:rPr>
              <w:t>Destacado (81–100)</w:t>
            </w:r>
          </w:p>
        </w:tc>
      </w:tr>
      <w:tr w:rsidR="00990B14" w14:paraId="68B9D8CA" w14:textId="77777777">
        <w:trPr>
          <w:cantSplit/>
          <w:jc w:val="center"/>
        </w:trPr>
        <w:tc>
          <w:tcPr>
            <w:tcW w:w="1772" w:type="dxa"/>
            <w:vMerge/>
            <w:shd w:val="clear" w:color="auto" w:fill="4472C4"/>
            <w:vAlign w:val="center"/>
          </w:tcPr>
          <w:p w14:paraId="6661F42E" w14:textId="77777777" w:rsidR="00990B14" w:rsidRDefault="00990B14">
            <w:pPr>
              <w:spacing w:before="20" w:after="20"/>
            </w:pPr>
          </w:p>
        </w:tc>
        <w:tc>
          <w:tcPr>
            <w:tcW w:w="1854" w:type="dxa"/>
            <w:shd w:val="clear" w:color="auto" w:fill="D9E2F3"/>
            <w:vAlign w:val="center"/>
          </w:tcPr>
          <w:p w14:paraId="56E16DB7" w14:textId="77777777" w:rsidR="00990B14" w:rsidRDefault="00000000">
            <w:pPr>
              <w:spacing w:before="20" w:after="20"/>
              <w:jc w:val="both"/>
            </w:pPr>
            <w:r>
              <w:rPr>
                <w:sz w:val="18"/>
                <w:szCs w:val="18"/>
              </w:rPr>
              <w:t>Importación</w:t>
            </w:r>
          </w:p>
        </w:tc>
        <w:tc>
          <w:tcPr>
            <w:tcW w:w="2015" w:type="dxa"/>
            <w:shd w:val="clear" w:color="auto" w:fill="D9E2F3"/>
            <w:vAlign w:val="center"/>
          </w:tcPr>
          <w:p w14:paraId="213AD9A1" w14:textId="77777777" w:rsidR="00990B14" w:rsidRDefault="00000000">
            <w:pPr>
              <w:spacing w:before="20" w:after="20"/>
              <w:jc w:val="both"/>
            </w:pPr>
            <w:r>
              <w:rPr>
                <w:sz w:val="18"/>
                <w:szCs w:val="18"/>
              </w:rPr>
              <w:t>Omite regímenes de importación.</w:t>
            </w:r>
          </w:p>
        </w:tc>
        <w:tc>
          <w:tcPr>
            <w:tcW w:w="1854" w:type="dxa"/>
            <w:shd w:val="clear" w:color="auto" w:fill="D9E2F3"/>
            <w:vAlign w:val="center"/>
          </w:tcPr>
          <w:p w14:paraId="69BBA84A" w14:textId="77777777" w:rsidR="00990B14" w:rsidRDefault="00000000">
            <w:pPr>
              <w:spacing w:before="20" w:after="20"/>
              <w:jc w:val="both"/>
            </w:pPr>
            <w:r>
              <w:rPr>
                <w:sz w:val="18"/>
                <w:szCs w:val="18"/>
              </w:rPr>
              <w:t>Describe la exoneración y la suspensión de tributos.</w:t>
            </w:r>
          </w:p>
        </w:tc>
        <w:tc>
          <w:tcPr>
            <w:tcW w:w="1910" w:type="dxa"/>
            <w:shd w:val="clear" w:color="auto" w:fill="D9E2F3"/>
            <w:vAlign w:val="center"/>
          </w:tcPr>
          <w:p w14:paraId="5F33FE91" w14:textId="77777777" w:rsidR="00990B14" w:rsidRDefault="00000000">
            <w:pPr>
              <w:spacing w:before="20" w:after="20"/>
              <w:jc w:val="both"/>
            </w:pPr>
            <w:r>
              <w:rPr>
                <w:sz w:val="18"/>
                <w:szCs w:val="18"/>
              </w:rPr>
              <w:t>Analiza el efecto de los beneficios en el costo.</w:t>
            </w:r>
          </w:p>
        </w:tc>
      </w:tr>
      <w:tr w:rsidR="00990B14" w14:paraId="7D81C579" w14:textId="77777777">
        <w:trPr>
          <w:cantSplit/>
          <w:jc w:val="center"/>
        </w:trPr>
        <w:tc>
          <w:tcPr>
            <w:tcW w:w="1772" w:type="dxa"/>
            <w:vMerge/>
            <w:shd w:val="clear" w:color="auto" w:fill="4472C4"/>
            <w:vAlign w:val="center"/>
          </w:tcPr>
          <w:p w14:paraId="3CBEAE9A" w14:textId="77777777" w:rsidR="00990B14" w:rsidRDefault="00990B14">
            <w:pPr>
              <w:spacing w:before="20" w:after="20"/>
            </w:pPr>
          </w:p>
        </w:tc>
        <w:tc>
          <w:tcPr>
            <w:tcW w:w="1854" w:type="dxa"/>
            <w:shd w:val="clear" w:color="auto" w:fill="D9E2F3"/>
            <w:vAlign w:val="center"/>
          </w:tcPr>
          <w:p w14:paraId="7A3D0F07" w14:textId="77777777" w:rsidR="00990B14" w:rsidRDefault="00000000">
            <w:pPr>
              <w:spacing w:before="20" w:after="20"/>
              <w:jc w:val="both"/>
            </w:pPr>
            <w:r>
              <w:rPr>
                <w:sz w:val="18"/>
                <w:szCs w:val="18"/>
              </w:rPr>
              <w:t>Exportación</w:t>
            </w:r>
          </w:p>
        </w:tc>
        <w:tc>
          <w:tcPr>
            <w:tcW w:w="2015" w:type="dxa"/>
            <w:shd w:val="clear" w:color="auto" w:fill="D9E2F3"/>
            <w:vAlign w:val="center"/>
          </w:tcPr>
          <w:p w14:paraId="13766B85" w14:textId="77777777" w:rsidR="00990B14" w:rsidRDefault="00000000">
            <w:pPr>
              <w:spacing w:before="20" w:after="20"/>
              <w:jc w:val="both"/>
            </w:pPr>
            <w:r>
              <w:rPr>
                <w:sz w:val="18"/>
                <w:szCs w:val="18"/>
              </w:rPr>
              <w:t>Omite certificados exigidos.</w:t>
            </w:r>
          </w:p>
        </w:tc>
        <w:tc>
          <w:tcPr>
            <w:tcW w:w="1854" w:type="dxa"/>
            <w:shd w:val="clear" w:color="auto" w:fill="D9E2F3"/>
            <w:vAlign w:val="center"/>
          </w:tcPr>
          <w:p w14:paraId="4107770D" w14:textId="77777777" w:rsidR="00990B14" w:rsidRDefault="00000000">
            <w:pPr>
              <w:spacing w:before="20" w:after="20"/>
              <w:jc w:val="both"/>
            </w:pPr>
            <w:r>
              <w:rPr>
                <w:sz w:val="18"/>
                <w:szCs w:val="18"/>
              </w:rPr>
              <w:t>Describe los requisitos y certificados de exportación.</w:t>
            </w:r>
          </w:p>
        </w:tc>
        <w:tc>
          <w:tcPr>
            <w:tcW w:w="1910" w:type="dxa"/>
            <w:shd w:val="clear" w:color="auto" w:fill="D9E2F3"/>
            <w:vAlign w:val="center"/>
          </w:tcPr>
          <w:p w14:paraId="566F0E3B" w14:textId="77777777" w:rsidR="00990B14" w:rsidRDefault="00000000">
            <w:pPr>
              <w:spacing w:before="20" w:after="20"/>
              <w:jc w:val="both"/>
            </w:pPr>
            <w:r>
              <w:rPr>
                <w:sz w:val="18"/>
                <w:szCs w:val="18"/>
              </w:rPr>
              <w:t>Evalúa las consecuencias de su incumplimiento.</w:t>
            </w:r>
          </w:p>
        </w:tc>
      </w:tr>
      <w:tr w:rsidR="00990B14" w14:paraId="35625951" w14:textId="77777777">
        <w:trPr>
          <w:cantSplit/>
          <w:jc w:val="center"/>
        </w:trPr>
        <w:tc>
          <w:tcPr>
            <w:tcW w:w="1772" w:type="dxa"/>
            <w:vMerge/>
            <w:shd w:val="clear" w:color="auto" w:fill="4472C4"/>
            <w:vAlign w:val="center"/>
          </w:tcPr>
          <w:p w14:paraId="76819D34" w14:textId="77777777" w:rsidR="00990B14" w:rsidRDefault="00990B14">
            <w:pPr>
              <w:spacing w:before="20" w:after="20"/>
            </w:pPr>
          </w:p>
        </w:tc>
        <w:tc>
          <w:tcPr>
            <w:tcW w:w="1854" w:type="dxa"/>
            <w:shd w:val="clear" w:color="auto" w:fill="D9E2F3"/>
            <w:vAlign w:val="center"/>
          </w:tcPr>
          <w:p w14:paraId="6578C39B" w14:textId="77777777" w:rsidR="00990B14" w:rsidRDefault="00000000">
            <w:pPr>
              <w:spacing w:before="20" w:after="20"/>
              <w:jc w:val="both"/>
            </w:pPr>
            <w:r>
              <w:rPr>
                <w:sz w:val="18"/>
                <w:szCs w:val="18"/>
              </w:rPr>
              <w:t>Trabajo en equipo</w:t>
            </w:r>
          </w:p>
        </w:tc>
        <w:tc>
          <w:tcPr>
            <w:tcW w:w="2015" w:type="dxa"/>
            <w:shd w:val="clear" w:color="auto" w:fill="D9E2F3"/>
            <w:vAlign w:val="center"/>
          </w:tcPr>
          <w:p w14:paraId="64F50AEA" w14:textId="77777777" w:rsidR="00990B14" w:rsidRDefault="00000000">
            <w:pPr>
              <w:spacing w:before="20" w:after="20"/>
              <w:jc w:val="both"/>
            </w:pPr>
            <w:r>
              <w:rPr>
                <w:sz w:val="18"/>
                <w:szCs w:val="18"/>
              </w:rPr>
              <w:t>La participación es desigual.</w:t>
            </w:r>
          </w:p>
        </w:tc>
        <w:tc>
          <w:tcPr>
            <w:tcW w:w="1854" w:type="dxa"/>
            <w:shd w:val="clear" w:color="auto" w:fill="D9E2F3"/>
            <w:vAlign w:val="center"/>
          </w:tcPr>
          <w:p w14:paraId="27B0ABA5" w14:textId="77777777" w:rsidR="00990B14" w:rsidRDefault="00000000">
            <w:pPr>
              <w:spacing w:before="20" w:after="20"/>
              <w:jc w:val="both"/>
            </w:pPr>
            <w:r>
              <w:rPr>
                <w:sz w:val="18"/>
                <w:szCs w:val="18"/>
              </w:rPr>
              <w:t>Todos los integrantes participan.</w:t>
            </w:r>
          </w:p>
        </w:tc>
        <w:tc>
          <w:tcPr>
            <w:tcW w:w="1910" w:type="dxa"/>
            <w:shd w:val="clear" w:color="auto" w:fill="D9E2F3"/>
            <w:vAlign w:val="center"/>
          </w:tcPr>
          <w:p w14:paraId="3FB59D5A" w14:textId="77777777" w:rsidR="00990B14" w:rsidRDefault="00000000">
            <w:pPr>
              <w:spacing w:before="20" w:after="20"/>
              <w:jc w:val="both"/>
            </w:pPr>
            <w:r>
              <w:rPr>
                <w:sz w:val="18"/>
                <w:szCs w:val="18"/>
              </w:rPr>
              <w:t>El equipo sustenta sus conclusiones ante el curso.</w:t>
            </w:r>
          </w:p>
        </w:tc>
      </w:tr>
      <w:tr w:rsidR="00990B14" w14:paraId="318E98EC" w14:textId="77777777">
        <w:trPr>
          <w:cantSplit/>
          <w:jc w:val="center"/>
        </w:trPr>
        <w:tc>
          <w:tcPr>
            <w:tcW w:w="1772" w:type="dxa"/>
            <w:vMerge/>
            <w:shd w:val="clear" w:color="auto" w:fill="4472C4"/>
            <w:vAlign w:val="center"/>
          </w:tcPr>
          <w:p w14:paraId="1909472E" w14:textId="77777777" w:rsidR="00990B14" w:rsidRDefault="00990B14">
            <w:pPr>
              <w:spacing w:before="20" w:after="20"/>
            </w:pPr>
          </w:p>
        </w:tc>
        <w:tc>
          <w:tcPr>
            <w:tcW w:w="5723" w:type="dxa"/>
            <w:gridSpan w:val="3"/>
            <w:shd w:val="clear" w:color="auto" w:fill="D9E2F3"/>
            <w:vAlign w:val="center"/>
          </w:tcPr>
          <w:p w14:paraId="13FC5F85" w14:textId="77777777" w:rsidR="00990B14" w:rsidRDefault="00000000">
            <w:pPr>
              <w:keepNext/>
              <w:spacing w:before="20" w:after="20"/>
              <w:jc w:val="both"/>
            </w:pPr>
            <w:r>
              <w:rPr>
                <w:b/>
                <w:bCs/>
                <w:i/>
                <w:iCs/>
                <w:sz w:val="18"/>
                <w:szCs w:val="18"/>
              </w:rPr>
              <w:t xml:space="preserve">Producto 7: </w:t>
            </w:r>
            <w:r>
              <w:rPr>
                <w:sz w:val="18"/>
                <w:szCs w:val="18"/>
              </w:rPr>
              <w:t>Planilla de la cuota del RAU</w:t>
            </w:r>
          </w:p>
        </w:tc>
        <w:tc>
          <w:tcPr>
            <w:tcW w:w="1910" w:type="dxa"/>
            <w:shd w:val="clear" w:color="auto" w:fill="D9E2F3"/>
            <w:vAlign w:val="center"/>
          </w:tcPr>
          <w:p w14:paraId="53E92072" w14:textId="77777777" w:rsidR="00990B14" w:rsidRDefault="00000000">
            <w:pPr>
              <w:spacing w:before="20" w:after="20"/>
              <w:jc w:val="center"/>
            </w:pPr>
            <w:r>
              <w:rPr>
                <w:b/>
                <w:bCs/>
                <w:sz w:val="18"/>
                <w:szCs w:val="18"/>
              </w:rPr>
              <w:t>2%</w:t>
            </w:r>
          </w:p>
        </w:tc>
      </w:tr>
      <w:tr w:rsidR="00990B14" w14:paraId="155DA985" w14:textId="77777777">
        <w:trPr>
          <w:cantSplit/>
          <w:jc w:val="center"/>
        </w:trPr>
        <w:tc>
          <w:tcPr>
            <w:tcW w:w="1772" w:type="dxa"/>
            <w:vMerge/>
            <w:shd w:val="clear" w:color="auto" w:fill="4472C4"/>
            <w:vAlign w:val="center"/>
          </w:tcPr>
          <w:p w14:paraId="468D519A" w14:textId="77777777" w:rsidR="00990B14" w:rsidRDefault="00990B14">
            <w:pPr>
              <w:spacing w:before="20" w:after="20"/>
            </w:pPr>
          </w:p>
        </w:tc>
        <w:tc>
          <w:tcPr>
            <w:tcW w:w="1854" w:type="dxa"/>
            <w:shd w:val="clear" w:color="auto" w:fill="4472C4"/>
            <w:vAlign w:val="center"/>
          </w:tcPr>
          <w:p w14:paraId="36805FCE"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75E83A06" w14:textId="77777777" w:rsidR="00990B14" w:rsidRDefault="00000000">
            <w:pPr>
              <w:keepNext/>
              <w:spacing w:before="20" w:after="20"/>
              <w:jc w:val="center"/>
            </w:pPr>
            <w:r>
              <w:rPr>
                <w:b/>
                <w:bCs/>
                <w:i/>
                <w:iCs/>
                <w:color w:val="FFFFFF"/>
                <w:sz w:val="18"/>
                <w:szCs w:val="18"/>
              </w:rPr>
              <w:t>Insuficiente (1–50)</w:t>
            </w:r>
          </w:p>
        </w:tc>
        <w:tc>
          <w:tcPr>
            <w:tcW w:w="1854" w:type="dxa"/>
            <w:shd w:val="clear" w:color="auto" w:fill="4472C4"/>
            <w:vAlign w:val="center"/>
          </w:tcPr>
          <w:p w14:paraId="6906F05D"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4A40071C" w14:textId="77777777" w:rsidR="00990B14" w:rsidRDefault="00000000">
            <w:pPr>
              <w:keepNext/>
              <w:spacing w:before="20" w:after="20"/>
              <w:jc w:val="center"/>
            </w:pPr>
            <w:r>
              <w:rPr>
                <w:b/>
                <w:bCs/>
                <w:i/>
                <w:iCs/>
                <w:color w:val="FFFFFF"/>
                <w:sz w:val="18"/>
                <w:szCs w:val="18"/>
              </w:rPr>
              <w:t>Destacado (81–100)</w:t>
            </w:r>
          </w:p>
        </w:tc>
      </w:tr>
      <w:tr w:rsidR="00990B14" w14:paraId="663D9DB0" w14:textId="77777777">
        <w:trPr>
          <w:cantSplit/>
          <w:jc w:val="center"/>
        </w:trPr>
        <w:tc>
          <w:tcPr>
            <w:tcW w:w="1772" w:type="dxa"/>
            <w:vMerge/>
            <w:shd w:val="clear" w:color="auto" w:fill="4472C4"/>
            <w:vAlign w:val="center"/>
          </w:tcPr>
          <w:p w14:paraId="453D1FD1" w14:textId="77777777" w:rsidR="00990B14" w:rsidRDefault="00990B14">
            <w:pPr>
              <w:spacing w:before="20" w:after="20"/>
            </w:pPr>
          </w:p>
        </w:tc>
        <w:tc>
          <w:tcPr>
            <w:tcW w:w="1854" w:type="dxa"/>
            <w:shd w:val="clear" w:color="auto" w:fill="D9E2F3"/>
            <w:vAlign w:val="center"/>
          </w:tcPr>
          <w:p w14:paraId="54FA8039" w14:textId="77777777" w:rsidR="00990B14" w:rsidRDefault="00000000">
            <w:pPr>
              <w:spacing w:before="20" w:after="20"/>
              <w:jc w:val="both"/>
            </w:pPr>
            <w:r>
              <w:rPr>
                <w:sz w:val="18"/>
                <w:szCs w:val="18"/>
              </w:rPr>
              <w:t>Superficie y actividad</w:t>
            </w:r>
          </w:p>
        </w:tc>
        <w:tc>
          <w:tcPr>
            <w:tcW w:w="2015" w:type="dxa"/>
            <w:shd w:val="clear" w:color="auto" w:fill="D9E2F3"/>
            <w:vAlign w:val="center"/>
          </w:tcPr>
          <w:p w14:paraId="2915E8BE" w14:textId="77777777" w:rsidR="00990B14" w:rsidRDefault="00000000">
            <w:pPr>
              <w:spacing w:before="20" w:after="20"/>
              <w:jc w:val="both"/>
            </w:pPr>
            <w:r>
              <w:rPr>
                <w:sz w:val="18"/>
                <w:szCs w:val="18"/>
              </w:rPr>
              <w:t>Clasifica mal la superficie o la actividad.</w:t>
            </w:r>
          </w:p>
        </w:tc>
        <w:tc>
          <w:tcPr>
            <w:tcW w:w="1854" w:type="dxa"/>
            <w:shd w:val="clear" w:color="auto" w:fill="D9E2F3"/>
            <w:vAlign w:val="center"/>
          </w:tcPr>
          <w:p w14:paraId="488E994A" w14:textId="77777777" w:rsidR="00990B14" w:rsidRDefault="00000000">
            <w:pPr>
              <w:spacing w:before="20" w:after="20"/>
              <w:jc w:val="both"/>
            </w:pPr>
            <w:r>
              <w:rPr>
                <w:sz w:val="18"/>
                <w:szCs w:val="18"/>
              </w:rPr>
              <w:t>Clasifica la superficie y la actividad del productor.</w:t>
            </w:r>
          </w:p>
        </w:tc>
        <w:tc>
          <w:tcPr>
            <w:tcW w:w="1910" w:type="dxa"/>
            <w:shd w:val="clear" w:color="auto" w:fill="D9E2F3"/>
            <w:vAlign w:val="center"/>
          </w:tcPr>
          <w:p w14:paraId="219B84AD" w14:textId="77777777" w:rsidR="00990B14" w:rsidRDefault="00000000">
            <w:pPr>
              <w:spacing w:before="20" w:after="20"/>
              <w:jc w:val="both"/>
            </w:pPr>
            <w:r>
              <w:rPr>
                <w:sz w:val="18"/>
                <w:szCs w:val="18"/>
              </w:rPr>
              <w:t>Verifica los límites de superficie del régimen.</w:t>
            </w:r>
          </w:p>
        </w:tc>
      </w:tr>
      <w:tr w:rsidR="00990B14" w14:paraId="7C9AC7A8" w14:textId="77777777">
        <w:trPr>
          <w:cantSplit/>
          <w:jc w:val="center"/>
        </w:trPr>
        <w:tc>
          <w:tcPr>
            <w:tcW w:w="1772" w:type="dxa"/>
            <w:vMerge/>
            <w:shd w:val="clear" w:color="auto" w:fill="4472C4"/>
            <w:vAlign w:val="center"/>
          </w:tcPr>
          <w:p w14:paraId="64D755A8" w14:textId="77777777" w:rsidR="00990B14" w:rsidRDefault="00990B14">
            <w:pPr>
              <w:spacing w:before="20" w:after="20"/>
            </w:pPr>
          </w:p>
        </w:tc>
        <w:tc>
          <w:tcPr>
            <w:tcW w:w="1854" w:type="dxa"/>
            <w:shd w:val="clear" w:color="auto" w:fill="D9E2F3"/>
            <w:vAlign w:val="center"/>
          </w:tcPr>
          <w:p w14:paraId="33FDFD60" w14:textId="77777777" w:rsidR="00990B14" w:rsidRDefault="00000000">
            <w:pPr>
              <w:spacing w:before="20" w:after="20"/>
              <w:jc w:val="both"/>
            </w:pPr>
            <w:r>
              <w:rPr>
                <w:sz w:val="18"/>
                <w:szCs w:val="18"/>
              </w:rPr>
              <w:t>Cálculo de la cuota</w:t>
            </w:r>
          </w:p>
        </w:tc>
        <w:tc>
          <w:tcPr>
            <w:tcW w:w="2015" w:type="dxa"/>
            <w:shd w:val="clear" w:color="auto" w:fill="D9E2F3"/>
            <w:vAlign w:val="center"/>
          </w:tcPr>
          <w:p w14:paraId="31EE2291" w14:textId="77777777" w:rsidR="00990B14" w:rsidRDefault="00000000">
            <w:pPr>
              <w:spacing w:before="20" w:after="20"/>
              <w:jc w:val="both"/>
            </w:pPr>
            <w:r>
              <w:rPr>
                <w:sz w:val="18"/>
                <w:szCs w:val="18"/>
              </w:rPr>
              <w:t>Calcula mal la cuota.</w:t>
            </w:r>
          </w:p>
        </w:tc>
        <w:tc>
          <w:tcPr>
            <w:tcW w:w="1854" w:type="dxa"/>
            <w:shd w:val="clear" w:color="auto" w:fill="D9E2F3"/>
            <w:vAlign w:val="center"/>
          </w:tcPr>
          <w:p w14:paraId="17B0F496" w14:textId="77777777" w:rsidR="00990B14" w:rsidRDefault="00000000">
            <w:pPr>
              <w:spacing w:before="20" w:after="20"/>
              <w:jc w:val="both"/>
            </w:pPr>
            <w:r>
              <w:rPr>
                <w:sz w:val="18"/>
                <w:szCs w:val="18"/>
              </w:rPr>
              <w:t>Calcula la cuota por hectárea actualizada.</w:t>
            </w:r>
          </w:p>
        </w:tc>
        <w:tc>
          <w:tcPr>
            <w:tcW w:w="1910" w:type="dxa"/>
            <w:shd w:val="clear" w:color="auto" w:fill="D9E2F3"/>
            <w:vAlign w:val="center"/>
          </w:tcPr>
          <w:p w14:paraId="7AA3E525" w14:textId="77777777" w:rsidR="00990B14" w:rsidRDefault="00000000">
            <w:pPr>
              <w:spacing w:before="20" w:after="20"/>
              <w:jc w:val="both"/>
            </w:pPr>
            <w:r>
              <w:rPr>
                <w:sz w:val="18"/>
                <w:szCs w:val="18"/>
              </w:rPr>
              <w:t>Simula la cuota ante cambios de superficie.</w:t>
            </w:r>
          </w:p>
        </w:tc>
      </w:tr>
      <w:tr w:rsidR="00990B14" w14:paraId="5246383F" w14:textId="77777777">
        <w:trPr>
          <w:cantSplit/>
          <w:jc w:val="center"/>
        </w:trPr>
        <w:tc>
          <w:tcPr>
            <w:tcW w:w="1772" w:type="dxa"/>
            <w:vMerge/>
            <w:shd w:val="clear" w:color="auto" w:fill="4472C4"/>
            <w:vAlign w:val="center"/>
          </w:tcPr>
          <w:p w14:paraId="58EA64C0" w14:textId="77777777" w:rsidR="00990B14" w:rsidRDefault="00990B14">
            <w:pPr>
              <w:spacing w:before="20" w:after="20"/>
            </w:pPr>
          </w:p>
        </w:tc>
        <w:tc>
          <w:tcPr>
            <w:tcW w:w="1854" w:type="dxa"/>
            <w:shd w:val="clear" w:color="auto" w:fill="D9E2F3"/>
            <w:vAlign w:val="center"/>
          </w:tcPr>
          <w:p w14:paraId="3328092B" w14:textId="77777777" w:rsidR="00990B14" w:rsidRDefault="00000000">
            <w:pPr>
              <w:spacing w:before="20" w:after="20"/>
              <w:jc w:val="both"/>
            </w:pPr>
            <w:r>
              <w:rPr>
                <w:sz w:val="18"/>
                <w:szCs w:val="18"/>
              </w:rPr>
              <w:t>Uso de la hoja de cálculo</w:t>
            </w:r>
          </w:p>
        </w:tc>
        <w:tc>
          <w:tcPr>
            <w:tcW w:w="2015" w:type="dxa"/>
            <w:shd w:val="clear" w:color="auto" w:fill="D9E2F3"/>
            <w:vAlign w:val="center"/>
          </w:tcPr>
          <w:p w14:paraId="21F49449" w14:textId="77777777" w:rsidR="00990B14" w:rsidRDefault="00000000">
            <w:pPr>
              <w:spacing w:before="20" w:after="20"/>
              <w:jc w:val="both"/>
            </w:pPr>
            <w:r>
              <w:rPr>
                <w:sz w:val="18"/>
                <w:szCs w:val="18"/>
              </w:rPr>
              <w:t>No usa fórmulas.</w:t>
            </w:r>
          </w:p>
        </w:tc>
        <w:tc>
          <w:tcPr>
            <w:tcW w:w="1854" w:type="dxa"/>
            <w:shd w:val="clear" w:color="auto" w:fill="D9E2F3"/>
            <w:vAlign w:val="center"/>
          </w:tcPr>
          <w:p w14:paraId="3EE969F2" w14:textId="77777777" w:rsidR="00990B14" w:rsidRDefault="00000000">
            <w:pPr>
              <w:spacing w:before="20" w:after="20"/>
              <w:jc w:val="both"/>
            </w:pPr>
            <w:r>
              <w:rPr>
                <w:sz w:val="18"/>
                <w:szCs w:val="18"/>
              </w:rPr>
              <w:t>Usa fórmulas y referencias correctas.</w:t>
            </w:r>
          </w:p>
        </w:tc>
        <w:tc>
          <w:tcPr>
            <w:tcW w:w="1910" w:type="dxa"/>
            <w:shd w:val="clear" w:color="auto" w:fill="D9E2F3"/>
            <w:vAlign w:val="center"/>
          </w:tcPr>
          <w:p w14:paraId="1B922FF3" w14:textId="77777777" w:rsidR="00990B14" w:rsidRDefault="00000000">
            <w:pPr>
              <w:spacing w:before="20" w:after="20"/>
              <w:jc w:val="both"/>
            </w:pPr>
            <w:r>
              <w:rPr>
                <w:sz w:val="18"/>
                <w:szCs w:val="18"/>
              </w:rPr>
              <w:t>El modelo es reutilizable para cada gestión.</w:t>
            </w:r>
          </w:p>
        </w:tc>
      </w:tr>
      <w:tr w:rsidR="00990B14" w14:paraId="30B6C41C" w14:textId="77777777">
        <w:trPr>
          <w:cantSplit/>
          <w:jc w:val="center"/>
        </w:trPr>
        <w:tc>
          <w:tcPr>
            <w:tcW w:w="1772" w:type="dxa"/>
            <w:vMerge/>
            <w:shd w:val="clear" w:color="auto" w:fill="4472C4"/>
            <w:vAlign w:val="center"/>
          </w:tcPr>
          <w:p w14:paraId="6AE8A0DA" w14:textId="77777777" w:rsidR="00990B14" w:rsidRDefault="00990B14">
            <w:pPr>
              <w:spacing w:before="20" w:after="20"/>
            </w:pPr>
          </w:p>
        </w:tc>
        <w:tc>
          <w:tcPr>
            <w:tcW w:w="5723" w:type="dxa"/>
            <w:gridSpan w:val="3"/>
            <w:shd w:val="clear" w:color="auto" w:fill="D9E2F3"/>
            <w:vAlign w:val="center"/>
          </w:tcPr>
          <w:p w14:paraId="796FAE79" w14:textId="77777777" w:rsidR="00990B14" w:rsidRDefault="00000000">
            <w:pPr>
              <w:keepNext/>
              <w:spacing w:before="20" w:after="20"/>
              <w:jc w:val="both"/>
            </w:pPr>
            <w:r>
              <w:rPr>
                <w:b/>
                <w:bCs/>
                <w:i/>
                <w:iCs/>
                <w:sz w:val="18"/>
                <w:szCs w:val="18"/>
              </w:rPr>
              <w:t xml:space="preserve">Producto 8: </w:t>
            </w:r>
            <w:r>
              <w:rPr>
                <w:sz w:val="18"/>
                <w:szCs w:val="18"/>
              </w:rPr>
              <w:t>Cuadro comparativo de regímenes</w:t>
            </w:r>
          </w:p>
        </w:tc>
        <w:tc>
          <w:tcPr>
            <w:tcW w:w="1910" w:type="dxa"/>
            <w:shd w:val="clear" w:color="auto" w:fill="D9E2F3"/>
            <w:vAlign w:val="center"/>
          </w:tcPr>
          <w:p w14:paraId="4C854BB9" w14:textId="77777777" w:rsidR="00990B14" w:rsidRDefault="00000000">
            <w:pPr>
              <w:spacing w:before="20" w:after="20"/>
              <w:jc w:val="center"/>
            </w:pPr>
            <w:r>
              <w:rPr>
                <w:b/>
                <w:bCs/>
                <w:sz w:val="18"/>
                <w:szCs w:val="18"/>
              </w:rPr>
              <w:t>2%</w:t>
            </w:r>
          </w:p>
        </w:tc>
      </w:tr>
      <w:tr w:rsidR="00990B14" w14:paraId="3ECBFEE4" w14:textId="77777777">
        <w:trPr>
          <w:cantSplit/>
          <w:jc w:val="center"/>
        </w:trPr>
        <w:tc>
          <w:tcPr>
            <w:tcW w:w="1772" w:type="dxa"/>
            <w:vMerge/>
            <w:shd w:val="clear" w:color="auto" w:fill="4472C4"/>
            <w:vAlign w:val="center"/>
          </w:tcPr>
          <w:p w14:paraId="6E8E4015" w14:textId="77777777" w:rsidR="00990B14" w:rsidRDefault="00990B14">
            <w:pPr>
              <w:spacing w:before="20" w:after="20"/>
            </w:pPr>
          </w:p>
        </w:tc>
        <w:tc>
          <w:tcPr>
            <w:tcW w:w="1854" w:type="dxa"/>
            <w:shd w:val="clear" w:color="auto" w:fill="4472C4"/>
            <w:vAlign w:val="center"/>
          </w:tcPr>
          <w:p w14:paraId="623D64A1"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684A7031" w14:textId="77777777" w:rsidR="00990B14" w:rsidRDefault="00000000">
            <w:pPr>
              <w:keepNext/>
              <w:spacing w:before="20" w:after="20"/>
              <w:jc w:val="center"/>
            </w:pPr>
            <w:r>
              <w:rPr>
                <w:b/>
                <w:bCs/>
                <w:i/>
                <w:iCs/>
                <w:color w:val="FFFFFF"/>
                <w:sz w:val="18"/>
                <w:szCs w:val="18"/>
              </w:rPr>
              <w:t>Insuficiente (1–50)</w:t>
            </w:r>
          </w:p>
        </w:tc>
        <w:tc>
          <w:tcPr>
            <w:tcW w:w="1854" w:type="dxa"/>
            <w:shd w:val="clear" w:color="auto" w:fill="4472C4"/>
            <w:vAlign w:val="center"/>
          </w:tcPr>
          <w:p w14:paraId="0ABF03BC"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5CFF0768" w14:textId="77777777" w:rsidR="00990B14" w:rsidRDefault="00000000">
            <w:pPr>
              <w:keepNext/>
              <w:spacing w:before="20" w:after="20"/>
              <w:jc w:val="center"/>
            </w:pPr>
            <w:r>
              <w:rPr>
                <w:b/>
                <w:bCs/>
                <w:i/>
                <w:iCs/>
                <w:color w:val="FFFFFF"/>
                <w:sz w:val="18"/>
                <w:szCs w:val="18"/>
              </w:rPr>
              <w:t>Destacado (81–100)</w:t>
            </w:r>
          </w:p>
        </w:tc>
      </w:tr>
      <w:tr w:rsidR="00990B14" w14:paraId="59997AA7" w14:textId="77777777">
        <w:trPr>
          <w:cantSplit/>
          <w:jc w:val="center"/>
        </w:trPr>
        <w:tc>
          <w:tcPr>
            <w:tcW w:w="1772" w:type="dxa"/>
            <w:vMerge/>
            <w:shd w:val="clear" w:color="auto" w:fill="4472C4"/>
            <w:vAlign w:val="center"/>
          </w:tcPr>
          <w:p w14:paraId="32FE5010" w14:textId="77777777" w:rsidR="00990B14" w:rsidRDefault="00990B14">
            <w:pPr>
              <w:spacing w:before="20" w:after="20"/>
            </w:pPr>
          </w:p>
        </w:tc>
        <w:tc>
          <w:tcPr>
            <w:tcW w:w="1854" w:type="dxa"/>
            <w:shd w:val="clear" w:color="auto" w:fill="D9E2F3"/>
            <w:vAlign w:val="center"/>
          </w:tcPr>
          <w:p w14:paraId="61524A7B" w14:textId="77777777" w:rsidR="00990B14" w:rsidRDefault="00000000">
            <w:pPr>
              <w:spacing w:before="20" w:after="20"/>
              <w:jc w:val="both"/>
            </w:pPr>
            <w:r>
              <w:rPr>
                <w:sz w:val="18"/>
                <w:szCs w:val="18"/>
              </w:rPr>
              <w:t>Obligaciones</w:t>
            </w:r>
          </w:p>
        </w:tc>
        <w:tc>
          <w:tcPr>
            <w:tcW w:w="2015" w:type="dxa"/>
            <w:shd w:val="clear" w:color="auto" w:fill="D9E2F3"/>
            <w:vAlign w:val="center"/>
          </w:tcPr>
          <w:p w14:paraId="2D003444" w14:textId="77777777" w:rsidR="00990B14" w:rsidRDefault="00000000">
            <w:pPr>
              <w:spacing w:before="20" w:after="20"/>
              <w:jc w:val="both"/>
            </w:pPr>
            <w:r>
              <w:rPr>
                <w:sz w:val="18"/>
                <w:szCs w:val="18"/>
              </w:rPr>
              <w:t>Omite obligaciones de algún régimen.</w:t>
            </w:r>
          </w:p>
        </w:tc>
        <w:tc>
          <w:tcPr>
            <w:tcW w:w="1854" w:type="dxa"/>
            <w:shd w:val="clear" w:color="auto" w:fill="D9E2F3"/>
            <w:vAlign w:val="center"/>
          </w:tcPr>
          <w:p w14:paraId="7BE1D789" w14:textId="77777777" w:rsidR="00990B14" w:rsidRDefault="00000000">
            <w:pPr>
              <w:spacing w:before="20" w:after="20"/>
              <w:jc w:val="both"/>
            </w:pPr>
            <w:r>
              <w:rPr>
                <w:sz w:val="18"/>
                <w:szCs w:val="18"/>
              </w:rPr>
              <w:t>Compara las obligaciones de ambos regímenes.</w:t>
            </w:r>
          </w:p>
        </w:tc>
        <w:tc>
          <w:tcPr>
            <w:tcW w:w="1910" w:type="dxa"/>
            <w:shd w:val="clear" w:color="auto" w:fill="D9E2F3"/>
            <w:vAlign w:val="center"/>
          </w:tcPr>
          <w:p w14:paraId="2216A3E0" w14:textId="77777777" w:rsidR="00990B14" w:rsidRDefault="00000000">
            <w:pPr>
              <w:spacing w:before="20" w:after="20"/>
              <w:jc w:val="both"/>
            </w:pPr>
            <w:r>
              <w:rPr>
                <w:sz w:val="18"/>
                <w:szCs w:val="18"/>
              </w:rPr>
              <w:t>Recomienda el régimen con fundamento.</w:t>
            </w:r>
          </w:p>
        </w:tc>
      </w:tr>
      <w:tr w:rsidR="00990B14" w14:paraId="02B38E58" w14:textId="77777777">
        <w:trPr>
          <w:cantSplit/>
          <w:jc w:val="center"/>
        </w:trPr>
        <w:tc>
          <w:tcPr>
            <w:tcW w:w="1772" w:type="dxa"/>
            <w:vMerge/>
            <w:shd w:val="clear" w:color="auto" w:fill="4472C4"/>
            <w:vAlign w:val="center"/>
          </w:tcPr>
          <w:p w14:paraId="70032DEF" w14:textId="77777777" w:rsidR="00990B14" w:rsidRDefault="00990B14">
            <w:pPr>
              <w:spacing w:before="20" w:after="20"/>
            </w:pPr>
          </w:p>
        </w:tc>
        <w:tc>
          <w:tcPr>
            <w:tcW w:w="1854" w:type="dxa"/>
            <w:shd w:val="clear" w:color="auto" w:fill="D9E2F3"/>
            <w:vAlign w:val="center"/>
          </w:tcPr>
          <w:p w14:paraId="45061ECA" w14:textId="77777777" w:rsidR="00990B14" w:rsidRDefault="00000000">
            <w:pPr>
              <w:spacing w:before="20" w:after="20"/>
              <w:jc w:val="both"/>
            </w:pPr>
            <w:r>
              <w:rPr>
                <w:sz w:val="18"/>
                <w:szCs w:val="18"/>
              </w:rPr>
              <w:t>Elusión y evasión</w:t>
            </w:r>
          </w:p>
        </w:tc>
        <w:tc>
          <w:tcPr>
            <w:tcW w:w="2015" w:type="dxa"/>
            <w:shd w:val="clear" w:color="auto" w:fill="D9E2F3"/>
            <w:vAlign w:val="center"/>
          </w:tcPr>
          <w:p w14:paraId="16D7F3B1" w14:textId="77777777" w:rsidR="00990B14" w:rsidRDefault="00000000">
            <w:pPr>
              <w:spacing w:before="20" w:after="20"/>
              <w:jc w:val="both"/>
            </w:pPr>
            <w:r>
              <w:rPr>
                <w:sz w:val="18"/>
                <w:szCs w:val="18"/>
              </w:rPr>
              <w:t>Confunde ambas conductas.</w:t>
            </w:r>
          </w:p>
        </w:tc>
        <w:tc>
          <w:tcPr>
            <w:tcW w:w="1854" w:type="dxa"/>
            <w:shd w:val="clear" w:color="auto" w:fill="D9E2F3"/>
            <w:vAlign w:val="center"/>
          </w:tcPr>
          <w:p w14:paraId="75AC8BA3" w14:textId="77777777" w:rsidR="00990B14" w:rsidRDefault="00000000">
            <w:pPr>
              <w:spacing w:before="20" w:after="20"/>
              <w:jc w:val="both"/>
            </w:pPr>
            <w:r>
              <w:rPr>
                <w:sz w:val="18"/>
                <w:szCs w:val="18"/>
              </w:rPr>
              <w:t>Distingue la planificación, la elusión y la evasión.</w:t>
            </w:r>
          </w:p>
        </w:tc>
        <w:tc>
          <w:tcPr>
            <w:tcW w:w="1910" w:type="dxa"/>
            <w:shd w:val="clear" w:color="auto" w:fill="D9E2F3"/>
            <w:vAlign w:val="center"/>
          </w:tcPr>
          <w:p w14:paraId="7775F136" w14:textId="77777777" w:rsidR="00990B14" w:rsidRDefault="00000000">
            <w:pPr>
              <w:spacing w:before="20" w:after="20"/>
              <w:jc w:val="both"/>
            </w:pPr>
            <w:r>
              <w:rPr>
                <w:sz w:val="18"/>
                <w:szCs w:val="18"/>
              </w:rPr>
              <w:t>Analiza un caso real con criterio ético.</w:t>
            </w:r>
          </w:p>
        </w:tc>
      </w:tr>
      <w:tr w:rsidR="00990B14" w14:paraId="5EFEE371" w14:textId="77777777">
        <w:trPr>
          <w:cantSplit/>
          <w:jc w:val="center"/>
        </w:trPr>
        <w:tc>
          <w:tcPr>
            <w:tcW w:w="1772" w:type="dxa"/>
            <w:vMerge/>
            <w:shd w:val="clear" w:color="auto" w:fill="4472C4"/>
            <w:vAlign w:val="center"/>
          </w:tcPr>
          <w:p w14:paraId="3D6884D6" w14:textId="77777777" w:rsidR="00990B14" w:rsidRDefault="00990B14">
            <w:pPr>
              <w:spacing w:before="20" w:after="20"/>
            </w:pPr>
          </w:p>
        </w:tc>
        <w:tc>
          <w:tcPr>
            <w:tcW w:w="1854" w:type="dxa"/>
            <w:shd w:val="clear" w:color="auto" w:fill="D9E2F3"/>
            <w:vAlign w:val="center"/>
          </w:tcPr>
          <w:p w14:paraId="6DBCC86E" w14:textId="77777777" w:rsidR="00990B14" w:rsidRDefault="00000000">
            <w:pPr>
              <w:spacing w:before="20" w:after="20"/>
              <w:jc w:val="both"/>
            </w:pPr>
            <w:r>
              <w:rPr>
                <w:sz w:val="18"/>
                <w:szCs w:val="18"/>
              </w:rPr>
              <w:t>Presentación</w:t>
            </w:r>
          </w:p>
        </w:tc>
        <w:tc>
          <w:tcPr>
            <w:tcW w:w="2015" w:type="dxa"/>
            <w:shd w:val="clear" w:color="auto" w:fill="D9E2F3"/>
            <w:vAlign w:val="center"/>
          </w:tcPr>
          <w:p w14:paraId="7E6207C3" w14:textId="77777777" w:rsidR="00990B14" w:rsidRDefault="00000000">
            <w:pPr>
              <w:spacing w:before="20" w:after="20"/>
              <w:jc w:val="both"/>
            </w:pPr>
            <w:r>
              <w:rPr>
                <w:sz w:val="18"/>
                <w:szCs w:val="18"/>
              </w:rPr>
              <w:t>El cuadro es incompleto.</w:t>
            </w:r>
          </w:p>
        </w:tc>
        <w:tc>
          <w:tcPr>
            <w:tcW w:w="1854" w:type="dxa"/>
            <w:shd w:val="clear" w:color="auto" w:fill="D9E2F3"/>
            <w:vAlign w:val="center"/>
          </w:tcPr>
          <w:p w14:paraId="11D0C1F3" w14:textId="77777777" w:rsidR="00990B14" w:rsidRDefault="00000000">
            <w:pPr>
              <w:spacing w:before="20" w:after="20"/>
              <w:jc w:val="both"/>
            </w:pPr>
            <w:r>
              <w:rPr>
                <w:sz w:val="18"/>
                <w:szCs w:val="18"/>
              </w:rPr>
              <w:t>El cuadro es claro y completo.</w:t>
            </w:r>
          </w:p>
        </w:tc>
        <w:tc>
          <w:tcPr>
            <w:tcW w:w="1910" w:type="dxa"/>
            <w:shd w:val="clear" w:color="auto" w:fill="D9E2F3"/>
            <w:vAlign w:val="center"/>
          </w:tcPr>
          <w:p w14:paraId="10AD2F5E" w14:textId="77777777" w:rsidR="00990B14" w:rsidRDefault="00000000">
            <w:pPr>
              <w:spacing w:before="20" w:after="20"/>
              <w:jc w:val="both"/>
            </w:pPr>
            <w:r>
              <w:rPr>
                <w:sz w:val="18"/>
                <w:szCs w:val="18"/>
              </w:rPr>
              <w:t>Sustenta la comparación con la normativa.</w:t>
            </w:r>
          </w:p>
        </w:tc>
      </w:tr>
      <w:tr w:rsidR="00990B14" w14:paraId="78575BE7" w14:textId="77777777">
        <w:trPr>
          <w:cantSplit/>
          <w:jc w:val="center"/>
        </w:trPr>
        <w:tc>
          <w:tcPr>
            <w:tcW w:w="1772" w:type="dxa"/>
            <w:vMerge/>
            <w:shd w:val="clear" w:color="auto" w:fill="4472C4"/>
            <w:vAlign w:val="center"/>
          </w:tcPr>
          <w:p w14:paraId="73684C06" w14:textId="77777777" w:rsidR="00990B14" w:rsidRDefault="00990B14">
            <w:pPr>
              <w:spacing w:before="20" w:after="20"/>
            </w:pPr>
          </w:p>
        </w:tc>
        <w:tc>
          <w:tcPr>
            <w:tcW w:w="5723" w:type="dxa"/>
            <w:gridSpan w:val="3"/>
            <w:shd w:val="clear" w:color="auto" w:fill="D9E2F3"/>
            <w:vAlign w:val="center"/>
          </w:tcPr>
          <w:p w14:paraId="03398A8E" w14:textId="77777777" w:rsidR="00990B14" w:rsidRDefault="00000000">
            <w:pPr>
              <w:keepNext/>
              <w:spacing w:before="20" w:after="20"/>
              <w:jc w:val="both"/>
            </w:pPr>
            <w:r>
              <w:rPr>
                <w:b/>
                <w:bCs/>
                <w:i/>
                <w:iCs/>
                <w:sz w:val="18"/>
                <w:szCs w:val="18"/>
              </w:rPr>
              <w:t xml:space="preserve">Producto 9: </w:t>
            </w:r>
            <w:r>
              <w:rPr>
                <w:sz w:val="18"/>
                <w:szCs w:val="18"/>
              </w:rPr>
              <w:t>Esquema del ciclo agrícola</w:t>
            </w:r>
          </w:p>
        </w:tc>
        <w:tc>
          <w:tcPr>
            <w:tcW w:w="1910" w:type="dxa"/>
            <w:shd w:val="clear" w:color="auto" w:fill="D9E2F3"/>
            <w:vAlign w:val="center"/>
          </w:tcPr>
          <w:p w14:paraId="51850D2D" w14:textId="77777777" w:rsidR="00990B14" w:rsidRDefault="00000000">
            <w:pPr>
              <w:spacing w:before="20" w:after="20"/>
              <w:jc w:val="center"/>
            </w:pPr>
            <w:r>
              <w:rPr>
                <w:b/>
                <w:bCs/>
                <w:sz w:val="18"/>
                <w:szCs w:val="18"/>
              </w:rPr>
              <w:t>2%</w:t>
            </w:r>
          </w:p>
        </w:tc>
      </w:tr>
      <w:tr w:rsidR="00990B14" w14:paraId="5F7A884C" w14:textId="77777777">
        <w:trPr>
          <w:cantSplit/>
          <w:jc w:val="center"/>
        </w:trPr>
        <w:tc>
          <w:tcPr>
            <w:tcW w:w="1772" w:type="dxa"/>
            <w:vMerge/>
            <w:shd w:val="clear" w:color="auto" w:fill="4472C4"/>
            <w:vAlign w:val="center"/>
          </w:tcPr>
          <w:p w14:paraId="4A6D949E" w14:textId="77777777" w:rsidR="00990B14" w:rsidRDefault="00990B14">
            <w:pPr>
              <w:spacing w:before="20" w:after="20"/>
            </w:pPr>
          </w:p>
        </w:tc>
        <w:tc>
          <w:tcPr>
            <w:tcW w:w="1854" w:type="dxa"/>
            <w:shd w:val="clear" w:color="auto" w:fill="4472C4"/>
            <w:vAlign w:val="center"/>
          </w:tcPr>
          <w:p w14:paraId="68EB5A39"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27F11AF8" w14:textId="77777777" w:rsidR="00990B14" w:rsidRDefault="00000000">
            <w:pPr>
              <w:keepNext/>
              <w:spacing w:before="20" w:after="20"/>
              <w:jc w:val="center"/>
            </w:pPr>
            <w:r>
              <w:rPr>
                <w:b/>
                <w:bCs/>
                <w:i/>
                <w:iCs/>
                <w:color w:val="FFFFFF"/>
                <w:sz w:val="18"/>
                <w:szCs w:val="18"/>
              </w:rPr>
              <w:t>Insuficiente (1–50)</w:t>
            </w:r>
          </w:p>
        </w:tc>
        <w:tc>
          <w:tcPr>
            <w:tcW w:w="1854" w:type="dxa"/>
            <w:shd w:val="clear" w:color="auto" w:fill="4472C4"/>
            <w:vAlign w:val="center"/>
          </w:tcPr>
          <w:p w14:paraId="67A462E6"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28730459" w14:textId="77777777" w:rsidR="00990B14" w:rsidRDefault="00000000">
            <w:pPr>
              <w:keepNext/>
              <w:spacing w:before="20" w:after="20"/>
              <w:jc w:val="center"/>
            </w:pPr>
            <w:r>
              <w:rPr>
                <w:b/>
                <w:bCs/>
                <w:i/>
                <w:iCs/>
                <w:color w:val="FFFFFF"/>
                <w:sz w:val="18"/>
                <w:szCs w:val="18"/>
              </w:rPr>
              <w:t>Destacado (81–100)</w:t>
            </w:r>
          </w:p>
        </w:tc>
      </w:tr>
      <w:tr w:rsidR="00990B14" w14:paraId="1678512E" w14:textId="77777777">
        <w:trPr>
          <w:cantSplit/>
          <w:jc w:val="center"/>
        </w:trPr>
        <w:tc>
          <w:tcPr>
            <w:tcW w:w="1772" w:type="dxa"/>
            <w:vMerge/>
            <w:shd w:val="clear" w:color="auto" w:fill="4472C4"/>
            <w:vAlign w:val="center"/>
          </w:tcPr>
          <w:p w14:paraId="7ACBADC3" w14:textId="77777777" w:rsidR="00990B14" w:rsidRDefault="00990B14">
            <w:pPr>
              <w:spacing w:before="20" w:after="20"/>
            </w:pPr>
          </w:p>
        </w:tc>
        <w:tc>
          <w:tcPr>
            <w:tcW w:w="1854" w:type="dxa"/>
            <w:shd w:val="clear" w:color="auto" w:fill="D9E2F3"/>
            <w:vAlign w:val="center"/>
          </w:tcPr>
          <w:p w14:paraId="72D61017" w14:textId="77777777" w:rsidR="00990B14" w:rsidRDefault="00000000">
            <w:pPr>
              <w:spacing w:before="20" w:after="20"/>
              <w:jc w:val="both"/>
            </w:pPr>
            <w:r>
              <w:rPr>
                <w:sz w:val="18"/>
                <w:szCs w:val="18"/>
              </w:rPr>
              <w:t>Tipos de cultivo</w:t>
            </w:r>
          </w:p>
        </w:tc>
        <w:tc>
          <w:tcPr>
            <w:tcW w:w="2015" w:type="dxa"/>
            <w:shd w:val="clear" w:color="auto" w:fill="D9E2F3"/>
            <w:vAlign w:val="center"/>
          </w:tcPr>
          <w:p w14:paraId="1934451C" w14:textId="77777777" w:rsidR="00990B14" w:rsidRDefault="00000000">
            <w:pPr>
              <w:spacing w:before="20" w:after="20"/>
              <w:jc w:val="both"/>
            </w:pPr>
            <w:r>
              <w:rPr>
                <w:sz w:val="18"/>
                <w:szCs w:val="18"/>
              </w:rPr>
              <w:t>Confunde cultivos transitorios y permanentes.</w:t>
            </w:r>
          </w:p>
        </w:tc>
        <w:tc>
          <w:tcPr>
            <w:tcW w:w="1854" w:type="dxa"/>
            <w:shd w:val="clear" w:color="auto" w:fill="D9E2F3"/>
            <w:vAlign w:val="center"/>
          </w:tcPr>
          <w:p w14:paraId="054BF54E" w14:textId="77777777" w:rsidR="00990B14" w:rsidRDefault="00000000">
            <w:pPr>
              <w:spacing w:before="20" w:after="20"/>
              <w:jc w:val="both"/>
            </w:pPr>
            <w:r>
              <w:rPr>
                <w:sz w:val="18"/>
                <w:szCs w:val="18"/>
              </w:rPr>
              <w:t>Diferencia ambos tipos de cultivo.</w:t>
            </w:r>
          </w:p>
        </w:tc>
        <w:tc>
          <w:tcPr>
            <w:tcW w:w="1910" w:type="dxa"/>
            <w:shd w:val="clear" w:color="auto" w:fill="D9E2F3"/>
            <w:vAlign w:val="center"/>
          </w:tcPr>
          <w:p w14:paraId="4E0E524E" w14:textId="77777777" w:rsidR="00990B14" w:rsidRDefault="00000000">
            <w:pPr>
              <w:spacing w:before="20" w:after="20"/>
              <w:jc w:val="both"/>
            </w:pPr>
            <w:r>
              <w:rPr>
                <w:sz w:val="18"/>
                <w:szCs w:val="18"/>
              </w:rPr>
              <w:t>Relaciona cada tipo con su tratamiento contable.</w:t>
            </w:r>
          </w:p>
        </w:tc>
      </w:tr>
      <w:tr w:rsidR="00990B14" w14:paraId="7E1ACA75" w14:textId="77777777">
        <w:trPr>
          <w:cantSplit/>
          <w:jc w:val="center"/>
        </w:trPr>
        <w:tc>
          <w:tcPr>
            <w:tcW w:w="1772" w:type="dxa"/>
            <w:vMerge/>
            <w:shd w:val="clear" w:color="auto" w:fill="4472C4"/>
            <w:vAlign w:val="center"/>
          </w:tcPr>
          <w:p w14:paraId="20CF1932" w14:textId="77777777" w:rsidR="00990B14" w:rsidRDefault="00990B14">
            <w:pPr>
              <w:spacing w:before="20" w:after="20"/>
            </w:pPr>
          </w:p>
        </w:tc>
        <w:tc>
          <w:tcPr>
            <w:tcW w:w="1854" w:type="dxa"/>
            <w:shd w:val="clear" w:color="auto" w:fill="D9E2F3"/>
            <w:vAlign w:val="center"/>
          </w:tcPr>
          <w:p w14:paraId="44065194" w14:textId="77777777" w:rsidR="00990B14" w:rsidRDefault="00000000">
            <w:pPr>
              <w:spacing w:before="20" w:after="20"/>
              <w:jc w:val="both"/>
            </w:pPr>
            <w:r>
              <w:rPr>
                <w:sz w:val="18"/>
                <w:szCs w:val="18"/>
              </w:rPr>
              <w:t>Etapas del ciclo</w:t>
            </w:r>
          </w:p>
        </w:tc>
        <w:tc>
          <w:tcPr>
            <w:tcW w:w="2015" w:type="dxa"/>
            <w:shd w:val="clear" w:color="auto" w:fill="D9E2F3"/>
            <w:vAlign w:val="center"/>
          </w:tcPr>
          <w:p w14:paraId="4174805E" w14:textId="77777777" w:rsidR="00990B14" w:rsidRDefault="00000000">
            <w:pPr>
              <w:spacing w:before="20" w:after="20"/>
              <w:jc w:val="both"/>
            </w:pPr>
            <w:r>
              <w:rPr>
                <w:sz w:val="18"/>
                <w:szCs w:val="18"/>
              </w:rPr>
              <w:t>Omite etapas del ciclo.</w:t>
            </w:r>
          </w:p>
        </w:tc>
        <w:tc>
          <w:tcPr>
            <w:tcW w:w="1854" w:type="dxa"/>
            <w:shd w:val="clear" w:color="auto" w:fill="D9E2F3"/>
            <w:vAlign w:val="center"/>
          </w:tcPr>
          <w:p w14:paraId="2D6D7BAD" w14:textId="77777777" w:rsidR="00990B14" w:rsidRDefault="00000000">
            <w:pPr>
              <w:spacing w:before="20" w:after="20"/>
              <w:jc w:val="both"/>
            </w:pPr>
            <w:r>
              <w:rPr>
                <w:sz w:val="18"/>
                <w:szCs w:val="18"/>
              </w:rPr>
              <w:t>Presenta las etapas de preparación, siembra, labores y cosecha.</w:t>
            </w:r>
          </w:p>
        </w:tc>
        <w:tc>
          <w:tcPr>
            <w:tcW w:w="1910" w:type="dxa"/>
            <w:shd w:val="clear" w:color="auto" w:fill="D9E2F3"/>
            <w:vAlign w:val="center"/>
          </w:tcPr>
          <w:p w14:paraId="5C2E7A68" w14:textId="77777777" w:rsidR="00990B14" w:rsidRDefault="00000000">
            <w:pPr>
              <w:spacing w:before="20" w:after="20"/>
              <w:jc w:val="both"/>
            </w:pPr>
            <w:r>
              <w:rPr>
                <w:sz w:val="18"/>
                <w:szCs w:val="18"/>
              </w:rPr>
              <w:t>Identifica los costos de cada etapa.</w:t>
            </w:r>
          </w:p>
        </w:tc>
      </w:tr>
      <w:tr w:rsidR="00990B14" w14:paraId="1D7986C8" w14:textId="77777777">
        <w:trPr>
          <w:cantSplit/>
          <w:jc w:val="center"/>
        </w:trPr>
        <w:tc>
          <w:tcPr>
            <w:tcW w:w="1772" w:type="dxa"/>
            <w:vMerge/>
            <w:shd w:val="clear" w:color="auto" w:fill="4472C4"/>
            <w:vAlign w:val="center"/>
          </w:tcPr>
          <w:p w14:paraId="64D5F32C" w14:textId="77777777" w:rsidR="00990B14" w:rsidRDefault="00990B14">
            <w:pPr>
              <w:spacing w:before="20" w:after="20"/>
            </w:pPr>
          </w:p>
        </w:tc>
        <w:tc>
          <w:tcPr>
            <w:tcW w:w="1854" w:type="dxa"/>
            <w:shd w:val="clear" w:color="auto" w:fill="D9E2F3"/>
            <w:vAlign w:val="center"/>
          </w:tcPr>
          <w:p w14:paraId="7EDEC4CF" w14:textId="77777777" w:rsidR="00990B14" w:rsidRDefault="00000000">
            <w:pPr>
              <w:spacing w:before="20" w:after="20"/>
              <w:jc w:val="both"/>
            </w:pPr>
            <w:r>
              <w:rPr>
                <w:sz w:val="18"/>
                <w:szCs w:val="18"/>
              </w:rPr>
              <w:t>Exposición en equipo</w:t>
            </w:r>
          </w:p>
        </w:tc>
        <w:tc>
          <w:tcPr>
            <w:tcW w:w="2015" w:type="dxa"/>
            <w:shd w:val="clear" w:color="auto" w:fill="D9E2F3"/>
            <w:vAlign w:val="center"/>
          </w:tcPr>
          <w:p w14:paraId="433133A2" w14:textId="77777777" w:rsidR="00990B14" w:rsidRDefault="00000000">
            <w:pPr>
              <w:spacing w:before="20" w:after="20"/>
              <w:jc w:val="both"/>
            </w:pPr>
            <w:r>
              <w:rPr>
                <w:sz w:val="18"/>
                <w:szCs w:val="18"/>
              </w:rPr>
              <w:t>La exposición es desordenada.</w:t>
            </w:r>
          </w:p>
        </w:tc>
        <w:tc>
          <w:tcPr>
            <w:tcW w:w="1854" w:type="dxa"/>
            <w:shd w:val="clear" w:color="auto" w:fill="D9E2F3"/>
            <w:vAlign w:val="center"/>
          </w:tcPr>
          <w:p w14:paraId="5196A032" w14:textId="77777777" w:rsidR="00990B14" w:rsidRDefault="00000000">
            <w:pPr>
              <w:spacing w:before="20" w:after="20"/>
              <w:jc w:val="both"/>
            </w:pPr>
            <w:r>
              <w:rPr>
                <w:sz w:val="18"/>
                <w:szCs w:val="18"/>
              </w:rPr>
              <w:t>La exposición es clara y todos participan.</w:t>
            </w:r>
          </w:p>
        </w:tc>
        <w:tc>
          <w:tcPr>
            <w:tcW w:w="1910" w:type="dxa"/>
            <w:shd w:val="clear" w:color="auto" w:fill="D9E2F3"/>
            <w:vAlign w:val="center"/>
          </w:tcPr>
          <w:p w14:paraId="1A8C8FE8" w14:textId="77777777" w:rsidR="00990B14" w:rsidRDefault="00000000">
            <w:pPr>
              <w:spacing w:before="20" w:after="20"/>
              <w:jc w:val="both"/>
            </w:pPr>
            <w:r>
              <w:rPr>
                <w:sz w:val="18"/>
                <w:szCs w:val="18"/>
              </w:rPr>
              <w:t>El equipo responde con solvencia a las preguntas del curso.</w:t>
            </w:r>
          </w:p>
        </w:tc>
      </w:tr>
      <w:tr w:rsidR="00990B14" w14:paraId="22A32916" w14:textId="77777777">
        <w:trPr>
          <w:cantSplit/>
          <w:jc w:val="center"/>
        </w:trPr>
        <w:tc>
          <w:tcPr>
            <w:tcW w:w="1772" w:type="dxa"/>
            <w:vMerge/>
            <w:shd w:val="clear" w:color="auto" w:fill="4472C4"/>
            <w:vAlign w:val="center"/>
          </w:tcPr>
          <w:p w14:paraId="5A3475C7" w14:textId="77777777" w:rsidR="00990B14" w:rsidRDefault="00990B14">
            <w:pPr>
              <w:spacing w:before="20" w:after="20"/>
            </w:pPr>
          </w:p>
        </w:tc>
        <w:tc>
          <w:tcPr>
            <w:tcW w:w="5723" w:type="dxa"/>
            <w:gridSpan w:val="3"/>
            <w:shd w:val="clear" w:color="auto" w:fill="D9E2F3"/>
            <w:vAlign w:val="center"/>
          </w:tcPr>
          <w:p w14:paraId="29974C4E" w14:textId="77777777" w:rsidR="00990B14" w:rsidRDefault="00000000">
            <w:pPr>
              <w:keepNext/>
              <w:spacing w:before="20" w:after="20"/>
              <w:jc w:val="both"/>
            </w:pPr>
            <w:r>
              <w:rPr>
                <w:b/>
                <w:bCs/>
                <w:i/>
                <w:iCs/>
                <w:sz w:val="18"/>
                <w:szCs w:val="18"/>
              </w:rPr>
              <w:t xml:space="preserve">Producto 10: </w:t>
            </w:r>
            <w:r>
              <w:rPr>
                <w:sz w:val="18"/>
                <w:szCs w:val="18"/>
              </w:rPr>
              <w:t>Registro de campaña agrícola</w:t>
            </w:r>
          </w:p>
        </w:tc>
        <w:tc>
          <w:tcPr>
            <w:tcW w:w="1910" w:type="dxa"/>
            <w:shd w:val="clear" w:color="auto" w:fill="D9E2F3"/>
            <w:vAlign w:val="center"/>
          </w:tcPr>
          <w:p w14:paraId="2C570D3A" w14:textId="77777777" w:rsidR="00990B14" w:rsidRDefault="00000000">
            <w:pPr>
              <w:spacing w:before="20" w:after="20"/>
              <w:jc w:val="center"/>
            </w:pPr>
            <w:r>
              <w:rPr>
                <w:b/>
                <w:bCs/>
                <w:sz w:val="18"/>
                <w:szCs w:val="18"/>
              </w:rPr>
              <w:t>2%</w:t>
            </w:r>
          </w:p>
        </w:tc>
      </w:tr>
      <w:tr w:rsidR="00990B14" w14:paraId="09FA42B5" w14:textId="77777777">
        <w:trPr>
          <w:cantSplit/>
          <w:jc w:val="center"/>
        </w:trPr>
        <w:tc>
          <w:tcPr>
            <w:tcW w:w="1772" w:type="dxa"/>
            <w:vMerge/>
            <w:shd w:val="clear" w:color="auto" w:fill="4472C4"/>
            <w:vAlign w:val="center"/>
          </w:tcPr>
          <w:p w14:paraId="686C019D" w14:textId="77777777" w:rsidR="00990B14" w:rsidRDefault="00990B14">
            <w:pPr>
              <w:spacing w:before="20" w:after="20"/>
            </w:pPr>
          </w:p>
        </w:tc>
        <w:tc>
          <w:tcPr>
            <w:tcW w:w="1854" w:type="dxa"/>
            <w:shd w:val="clear" w:color="auto" w:fill="4472C4"/>
            <w:vAlign w:val="center"/>
          </w:tcPr>
          <w:p w14:paraId="1286CEF6"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58BE6E8F" w14:textId="77777777" w:rsidR="00990B14" w:rsidRDefault="00000000">
            <w:pPr>
              <w:keepNext/>
              <w:spacing w:before="20" w:after="20"/>
              <w:jc w:val="center"/>
            </w:pPr>
            <w:r>
              <w:rPr>
                <w:b/>
                <w:bCs/>
                <w:i/>
                <w:iCs/>
                <w:color w:val="FFFFFF"/>
                <w:sz w:val="18"/>
                <w:szCs w:val="18"/>
              </w:rPr>
              <w:t>Insuficiente (1–50)</w:t>
            </w:r>
          </w:p>
        </w:tc>
        <w:tc>
          <w:tcPr>
            <w:tcW w:w="1854" w:type="dxa"/>
            <w:shd w:val="clear" w:color="auto" w:fill="4472C4"/>
            <w:vAlign w:val="center"/>
          </w:tcPr>
          <w:p w14:paraId="1CA450D3"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66BD5F34" w14:textId="77777777" w:rsidR="00990B14" w:rsidRDefault="00000000">
            <w:pPr>
              <w:keepNext/>
              <w:spacing w:before="20" w:after="20"/>
              <w:jc w:val="center"/>
            </w:pPr>
            <w:r>
              <w:rPr>
                <w:b/>
                <w:bCs/>
                <w:i/>
                <w:iCs/>
                <w:color w:val="FFFFFF"/>
                <w:sz w:val="18"/>
                <w:szCs w:val="18"/>
              </w:rPr>
              <w:t>Destacado (81–100)</w:t>
            </w:r>
          </w:p>
        </w:tc>
      </w:tr>
      <w:tr w:rsidR="00990B14" w14:paraId="22DE111D" w14:textId="77777777">
        <w:trPr>
          <w:cantSplit/>
          <w:jc w:val="center"/>
        </w:trPr>
        <w:tc>
          <w:tcPr>
            <w:tcW w:w="1772" w:type="dxa"/>
            <w:vMerge/>
            <w:shd w:val="clear" w:color="auto" w:fill="4472C4"/>
            <w:vAlign w:val="center"/>
          </w:tcPr>
          <w:p w14:paraId="60DDD40C" w14:textId="77777777" w:rsidR="00990B14" w:rsidRDefault="00990B14">
            <w:pPr>
              <w:spacing w:before="20" w:after="20"/>
            </w:pPr>
          </w:p>
        </w:tc>
        <w:tc>
          <w:tcPr>
            <w:tcW w:w="1854" w:type="dxa"/>
            <w:shd w:val="clear" w:color="auto" w:fill="D9E2F3"/>
            <w:vAlign w:val="center"/>
          </w:tcPr>
          <w:p w14:paraId="391CB656" w14:textId="77777777" w:rsidR="00990B14" w:rsidRDefault="00000000">
            <w:pPr>
              <w:spacing w:before="20" w:after="20"/>
              <w:jc w:val="both"/>
            </w:pPr>
            <w:r>
              <w:rPr>
                <w:sz w:val="18"/>
                <w:szCs w:val="18"/>
              </w:rPr>
              <w:t>Registros de campo</w:t>
            </w:r>
          </w:p>
        </w:tc>
        <w:tc>
          <w:tcPr>
            <w:tcW w:w="2015" w:type="dxa"/>
            <w:shd w:val="clear" w:color="auto" w:fill="D9E2F3"/>
            <w:vAlign w:val="center"/>
          </w:tcPr>
          <w:p w14:paraId="1D8BE340" w14:textId="77777777" w:rsidR="00990B14" w:rsidRDefault="00000000">
            <w:pPr>
              <w:spacing w:before="20" w:after="20"/>
              <w:jc w:val="both"/>
            </w:pPr>
            <w:r>
              <w:rPr>
                <w:sz w:val="18"/>
                <w:szCs w:val="18"/>
              </w:rPr>
              <w:t>Los registros son incompletos.</w:t>
            </w:r>
          </w:p>
        </w:tc>
        <w:tc>
          <w:tcPr>
            <w:tcW w:w="1854" w:type="dxa"/>
            <w:shd w:val="clear" w:color="auto" w:fill="D9E2F3"/>
            <w:vAlign w:val="center"/>
          </w:tcPr>
          <w:p w14:paraId="1A99D835" w14:textId="77777777" w:rsidR="00990B14" w:rsidRDefault="00000000">
            <w:pPr>
              <w:spacing w:before="20" w:after="20"/>
              <w:jc w:val="both"/>
            </w:pPr>
            <w:r>
              <w:rPr>
                <w:sz w:val="18"/>
                <w:szCs w:val="18"/>
              </w:rPr>
              <w:t>Registra superficie, insumos y cosecha.</w:t>
            </w:r>
          </w:p>
        </w:tc>
        <w:tc>
          <w:tcPr>
            <w:tcW w:w="1910" w:type="dxa"/>
            <w:shd w:val="clear" w:color="auto" w:fill="D9E2F3"/>
            <w:vAlign w:val="center"/>
          </w:tcPr>
          <w:p w14:paraId="1B082772" w14:textId="77777777" w:rsidR="00990B14" w:rsidRDefault="00000000">
            <w:pPr>
              <w:spacing w:before="20" w:after="20"/>
              <w:jc w:val="both"/>
            </w:pPr>
            <w:r>
              <w:rPr>
                <w:sz w:val="18"/>
                <w:szCs w:val="18"/>
              </w:rPr>
              <w:t>Organiza los registros por lote y por campaña.</w:t>
            </w:r>
          </w:p>
        </w:tc>
      </w:tr>
      <w:tr w:rsidR="00990B14" w14:paraId="2D46A988" w14:textId="77777777">
        <w:trPr>
          <w:cantSplit/>
          <w:jc w:val="center"/>
        </w:trPr>
        <w:tc>
          <w:tcPr>
            <w:tcW w:w="1772" w:type="dxa"/>
            <w:vMerge/>
            <w:shd w:val="clear" w:color="auto" w:fill="4472C4"/>
            <w:vAlign w:val="center"/>
          </w:tcPr>
          <w:p w14:paraId="3C435110" w14:textId="77777777" w:rsidR="00990B14" w:rsidRDefault="00990B14">
            <w:pPr>
              <w:spacing w:before="20" w:after="20"/>
            </w:pPr>
          </w:p>
        </w:tc>
        <w:tc>
          <w:tcPr>
            <w:tcW w:w="1854" w:type="dxa"/>
            <w:shd w:val="clear" w:color="auto" w:fill="D9E2F3"/>
            <w:vAlign w:val="center"/>
          </w:tcPr>
          <w:p w14:paraId="7D89B03F" w14:textId="77777777" w:rsidR="00990B14" w:rsidRDefault="00000000">
            <w:pPr>
              <w:spacing w:before="20" w:after="20"/>
              <w:jc w:val="both"/>
            </w:pPr>
            <w:r>
              <w:rPr>
                <w:sz w:val="18"/>
                <w:szCs w:val="18"/>
              </w:rPr>
              <w:t>Rendimiento</w:t>
            </w:r>
          </w:p>
        </w:tc>
        <w:tc>
          <w:tcPr>
            <w:tcW w:w="2015" w:type="dxa"/>
            <w:shd w:val="clear" w:color="auto" w:fill="D9E2F3"/>
            <w:vAlign w:val="center"/>
          </w:tcPr>
          <w:p w14:paraId="263B4E22" w14:textId="77777777" w:rsidR="00990B14" w:rsidRDefault="00000000">
            <w:pPr>
              <w:spacing w:before="20" w:after="20"/>
              <w:jc w:val="both"/>
            </w:pPr>
            <w:r>
              <w:rPr>
                <w:sz w:val="18"/>
                <w:szCs w:val="18"/>
              </w:rPr>
              <w:t>Calcula mal el rendimiento.</w:t>
            </w:r>
          </w:p>
        </w:tc>
        <w:tc>
          <w:tcPr>
            <w:tcW w:w="1854" w:type="dxa"/>
            <w:shd w:val="clear" w:color="auto" w:fill="D9E2F3"/>
            <w:vAlign w:val="center"/>
          </w:tcPr>
          <w:p w14:paraId="4C3141E5" w14:textId="77777777" w:rsidR="00990B14" w:rsidRDefault="00000000">
            <w:pPr>
              <w:spacing w:before="20" w:after="20"/>
              <w:jc w:val="both"/>
            </w:pPr>
            <w:r>
              <w:rPr>
                <w:sz w:val="18"/>
                <w:szCs w:val="18"/>
              </w:rPr>
              <w:t>Calcula el rendimiento por hectárea.</w:t>
            </w:r>
          </w:p>
        </w:tc>
        <w:tc>
          <w:tcPr>
            <w:tcW w:w="1910" w:type="dxa"/>
            <w:shd w:val="clear" w:color="auto" w:fill="D9E2F3"/>
            <w:vAlign w:val="center"/>
          </w:tcPr>
          <w:p w14:paraId="18B9DC57" w14:textId="77777777" w:rsidR="00990B14" w:rsidRDefault="00000000">
            <w:pPr>
              <w:spacing w:before="20" w:after="20"/>
              <w:jc w:val="both"/>
            </w:pPr>
            <w:r>
              <w:rPr>
                <w:sz w:val="18"/>
                <w:szCs w:val="18"/>
              </w:rPr>
              <w:t>Compara el rendimiento con el de la zona.</w:t>
            </w:r>
          </w:p>
        </w:tc>
      </w:tr>
      <w:tr w:rsidR="00990B14" w14:paraId="77801C38" w14:textId="77777777">
        <w:trPr>
          <w:cantSplit/>
          <w:jc w:val="center"/>
        </w:trPr>
        <w:tc>
          <w:tcPr>
            <w:tcW w:w="1772" w:type="dxa"/>
            <w:vMerge/>
            <w:shd w:val="clear" w:color="auto" w:fill="4472C4"/>
            <w:vAlign w:val="center"/>
          </w:tcPr>
          <w:p w14:paraId="0AE29B87" w14:textId="77777777" w:rsidR="00990B14" w:rsidRDefault="00990B14">
            <w:pPr>
              <w:spacing w:before="20" w:after="20"/>
            </w:pPr>
          </w:p>
        </w:tc>
        <w:tc>
          <w:tcPr>
            <w:tcW w:w="1854" w:type="dxa"/>
            <w:shd w:val="clear" w:color="auto" w:fill="D9E2F3"/>
            <w:vAlign w:val="center"/>
          </w:tcPr>
          <w:p w14:paraId="32754AB5" w14:textId="77777777" w:rsidR="00990B14" w:rsidRDefault="00000000">
            <w:pPr>
              <w:spacing w:before="20" w:after="20"/>
              <w:jc w:val="both"/>
            </w:pPr>
            <w:r>
              <w:rPr>
                <w:sz w:val="18"/>
                <w:szCs w:val="18"/>
              </w:rPr>
              <w:t>Inversión y explotación</w:t>
            </w:r>
          </w:p>
        </w:tc>
        <w:tc>
          <w:tcPr>
            <w:tcW w:w="2015" w:type="dxa"/>
            <w:shd w:val="clear" w:color="auto" w:fill="D9E2F3"/>
            <w:vAlign w:val="center"/>
          </w:tcPr>
          <w:p w14:paraId="58BFD23A" w14:textId="77777777" w:rsidR="00990B14" w:rsidRDefault="00000000">
            <w:pPr>
              <w:spacing w:before="20" w:after="20"/>
              <w:jc w:val="both"/>
            </w:pPr>
            <w:r>
              <w:rPr>
                <w:sz w:val="18"/>
                <w:szCs w:val="18"/>
              </w:rPr>
              <w:t>No relaciona rendimiento e inversión.</w:t>
            </w:r>
          </w:p>
        </w:tc>
        <w:tc>
          <w:tcPr>
            <w:tcW w:w="1854" w:type="dxa"/>
            <w:shd w:val="clear" w:color="auto" w:fill="D9E2F3"/>
            <w:vAlign w:val="center"/>
          </w:tcPr>
          <w:p w14:paraId="51F0D80E" w14:textId="77777777" w:rsidR="00990B14" w:rsidRDefault="00000000">
            <w:pPr>
              <w:spacing w:before="20" w:after="20"/>
              <w:jc w:val="both"/>
            </w:pPr>
            <w:r>
              <w:rPr>
                <w:sz w:val="18"/>
                <w:szCs w:val="18"/>
              </w:rPr>
              <w:t>Relaciona el rendimiento con la inversión.</w:t>
            </w:r>
          </w:p>
        </w:tc>
        <w:tc>
          <w:tcPr>
            <w:tcW w:w="1910" w:type="dxa"/>
            <w:shd w:val="clear" w:color="auto" w:fill="D9E2F3"/>
            <w:vAlign w:val="center"/>
          </w:tcPr>
          <w:p w14:paraId="1F9D7AE3" w14:textId="77777777" w:rsidR="00990B14" w:rsidRDefault="00000000">
            <w:pPr>
              <w:spacing w:before="20" w:after="20"/>
              <w:jc w:val="both"/>
            </w:pPr>
            <w:r>
              <w:rPr>
                <w:sz w:val="18"/>
                <w:szCs w:val="18"/>
              </w:rPr>
              <w:t>Propone mejoras de productividad.</w:t>
            </w:r>
          </w:p>
        </w:tc>
      </w:tr>
      <w:tr w:rsidR="00990B14" w14:paraId="30567D6B" w14:textId="77777777">
        <w:trPr>
          <w:cantSplit/>
          <w:jc w:val="center"/>
        </w:trPr>
        <w:tc>
          <w:tcPr>
            <w:tcW w:w="1772" w:type="dxa"/>
            <w:vMerge/>
            <w:shd w:val="clear" w:color="auto" w:fill="4472C4"/>
            <w:vAlign w:val="center"/>
          </w:tcPr>
          <w:p w14:paraId="08C794AC" w14:textId="77777777" w:rsidR="00990B14" w:rsidRDefault="00990B14">
            <w:pPr>
              <w:spacing w:before="20" w:after="20"/>
            </w:pPr>
          </w:p>
        </w:tc>
        <w:tc>
          <w:tcPr>
            <w:tcW w:w="5723" w:type="dxa"/>
            <w:gridSpan w:val="3"/>
            <w:shd w:val="clear" w:color="auto" w:fill="D9E2F3"/>
            <w:vAlign w:val="center"/>
          </w:tcPr>
          <w:p w14:paraId="6B9F3591" w14:textId="77777777" w:rsidR="00990B14" w:rsidRDefault="00000000">
            <w:pPr>
              <w:keepNext/>
              <w:spacing w:before="20" w:after="20"/>
              <w:jc w:val="both"/>
            </w:pPr>
            <w:r>
              <w:rPr>
                <w:b/>
                <w:bCs/>
                <w:i/>
                <w:iCs/>
                <w:sz w:val="18"/>
                <w:szCs w:val="18"/>
              </w:rPr>
              <w:t xml:space="preserve">Producto 11: </w:t>
            </w:r>
            <w:r>
              <w:rPr>
                <w:sz w:val="18"/>
                <w:szCs w:val="18"/>
              </w:rPr>
              <w:t>Cédula de costo unitario de adquisición</w:t>
            </w:r>
          </w:p>
        </w:tc>
        <w:tc>
          <w:tcPr>
            <w:tcW w:w="1910" w:type="dxa"/>
            <w:shd w:val="clear" w:color="auto" w:fill="D9E2F3"/>
            <w:vAlign w:val="center"/>
          </w:tcPr>
          <w:p w14:paraId="55D6E686" w14:textId="77777777" w:rsidR="00990B14" w:rsidRDefault="00000000">
            <w:pPr>
              <w:spacing w:before="20" w:after="20"/>
              <w:jc w:val="center"/>
            </w:pPr>
            <w:r>
              <w:rPr>
                <w:b/>
                <w:bCs/>
                <w:sz w:val="18"/>
                <w:szCs w:val="18"/>
              </w:rPr>
              <w:t>2%</w:t>
            </w:r>
          </w:p>
        </w:tc>
      </w:tr>
      <w:tr w:rsidR="00990B14" w14:paraId="03988C70" w14:textId="77777777">
        <w:trPr>
          <w:cantSplit/>
          <w:jc w:val="center"/>
        </w:trPr>
        <w:tc>
          <w:tcPr>
            <w:tcW w:w="1772" w:type="dxa"/>
            <w:vMerge/>
            <w:shd w:val="clear" w:color="auto" w:fill="4472C4"/>
            <w:vAlign w:val="center"/>
          </w:tcPr>
          <w:p w14:paraId="01164A71" w14:textId="77777777" w:rsidR="00990B14" w:rsidRDefault="00990B14">
            <w:pPr>
              <w:spacing w:before="20" w:after="20"/>
            </w:pPr>
          </w:p>
        </w:tc>
        <w:tc>
          <w:tcPr>
            <w:tcW w:w="1854" w:type="dxa"/>
            <w:shd w:val="clear" w:color="auto" w:fill="4472C4"/>
            <w:vAlign w:val="center"/>
          </w:tcPr>
          <w:p w14:paraId="4F3278FD"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5E5854A1" w14:textId="77777777" w:rsidR="00990B14" w:rsidRDefault="00000000">
            <w:pPr>
              <w:keepNext/>
              <w:spacing w:before="20" w:after="20"/>
              <w:jc w:val="center"/>
            </w:pPr>
            <w:r>
              <w:rPr>
                <w:b/>
                <w:bCs/>
                <w:i/>
                <w:iCs/>
                <w:color w:val="FFFFFF"/>
                <w:sz w:val="18"/>
                <w:szCs w:val="18"/>
              </w:rPr>
              <w:t>Insuficiente (1–50)</w:t>
            </w:r>
          </w:p>
        </w:tc>
        <w:tc>
          <w:tcPr>
            <w:tcW w:w="1854" w:type="dxa"/>
            <w:shd w:val="clear" w:color="auto" w:fill="4472C4"/>
            <w:vAlign w:val="center"/>
          </w:tcPr>
          <w:p w14:paraId="7DB39E2B"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6EC7D739" w14:textId="77777777" w:rsidR="00990B14" w:rsidRDefault="00000000">
            <w:pPr>
              <w:keepNext/>
              <w:spacing w:before="20" w:after="20"/>
              <w:jc w:val="center"/>
            </w:pPr>
            <w:r>
              <w:rPr>
                <w:b/>
                <w:bCs/>
                <w:i/>
                <w:iCs/>
                <w:color w:val="FFFFFF"/>
                <w:sz w:val="18"/>
                <w:szCs w:val="18"/>
              </w:rPr>
              <w:t>Destacado (81–100)</w:t>
            </w:r>
          </w:p>
        </w:tc>
      </w:tr>
      <w:tr w:rsidR="00990B14" w14:paraId="3B6C9A64" w14:textId="77777777">
        <w:trPr>
          <w:cantSplit/>
          <w:jc w:val="center"/>
        </w:trPr>
        <w:tc>
          <w:tcPr>
            <w:tcW w:w="1772" w:type="dxa"/>
            <w:vMerge/>
            <w:shd w:val="clear" w:color="auto" w:fill="4472C4"/>
            <w:vAlign w:val="center"/>
          </w:tcPr>
          <w:p w14:paraId="0E50595E" w14:textId="77777777" w:rsidR="00990B14" w:rsidRDefault="00990B14">
            <w:pPr>
              <w:spacing w:before="20" w:after="20"/>
            </w:pPr>
          </w:p>
        </w:tc>
        <w:tc>
          <w:tcPr>
            <w:tcW w:w="1854" w:type="dxa"/>
            <w:shd w:val="clear" w:color="auto" w:fill="D9E2F3"/>
            <w:vAlign w:val="center"/>
          </w:tcPr>
          <w:p w14:paraId="3B8112DC" w14:textId="77777777" w:rsidR="00990B14" w:rsidRDefault="00000000">
            <w:pPr>
              <w:spacing w:before="20" w:after="20"/>
              <w:jc w:val="both"/>
            </w:pPr>
            <w:r>
              <w:rPr>
                <w:sz w:val="18"/>
                <w:szCs w:val="18"/>
              </w:rPr>
              <w:t>Casos tributarios</w:t>
            </w:r>
          </w:p>
        </w:tc>
        <w:tc>
          <w:tcPr>
            <w:tcW w:w="2015" w:type="dxa"/>
            <w:shd w:val="clear" w:color="auto" w:fill="D9E2F3"/>
            <w:vAlign w:val="center"/>
          </w:tcPr>
          <w:p w14:paraId="61BD6619" w14:textId="77777777" w:rsidR="00990B14" w:rsidRDefault="00000000">
            <w:pPr>
              <w:spacing w:before="20" w:after="20"/>
              <w:jc w:val="both"/>
            </w:pPr>
            <w:r>
              <w:rPr>
                <w:sz w:val="18"/>
                <w:szCs w:val="18"/>
              </w:rPr>
              <w:t>Confunde los casos del proveedor.</w:t>
            </w:r>
          </w:p>
        </w:tc>
        <w:tc>
          <w:tcPr>
            <w:tcW w:w="1854" w:type="dxa"/>
            <w:shd w:val="clear" w:color="auto" w:fill="D9E2F3"/>
            <w:vAlign w:val="center"/>
          </w:tcPr>
          <w:p w14:paraId="3A02C7AA" w14:textId="77777777" w:rsidR="00990B14" w:rsidRDefault="00000000">
            <w:pPr>
              <w:spacing w:before="20" w:after="20"/>
              <w:jc w:val="both"/>
            </w:pPr>
            <w:r>
              <w:rPr>
                <w:sz w:val="18"/>
                <w:szCs w:val="18"/>
              </w:rPr>
              <w:t>Aplica el tratamiento de cada uno de los cinco casos.</w:t>
            </w:r>
          </w:p>
        </w:tc>
        <w:tc>
          <w:tcPr>
            <w:tcW w:w="1910" w:type="dxa"/>
            <w:shd w:val="clear" w:color="auto" w:fill="D9E2F3"/>
            <w:vAlign w:val="center"/>
          </w:tcPr>
          <w:p w14:paraId="17B2A4E5" w14:textId="77777777" w:rsidR="00990B14" w:rsidRDefault="00000000">
            <w:pPr>
              <w:spacing w:before="20" w:after="20"/>
              <w:jc w:val="both"/>
            </w:pPr>
            <w:r>
              <w:rPr>
                <w:sz w:val="18"/>
                <w:szCs w:val="18"/>
              </w:rPr>
              <w:t>Explica la diferencia de costo entre los casos.</w:t>
            </w:r>
          </w:p>
        </w:tc>
      </w:tr>
      <w:tr w:rsidR="00990B14" w14:paraId="5932E43D" w14:textId="77777777">
        <w:trPr>
          <w:cantSplit/>
          <w:jc w:val="center"/>
        </w:trPr>
        <w:tc>
          <w:tcPr>
            <w:tcW w:w="1772" w:type="dxa"/>
            <w:vMerge/>
            <w:shd w:val="clear" w:color="auto" w:fill="4472C4"/>
            <w:vAlign w:val="center"/>
          </w:tcPr>
          <w:p w14:paraId="506BC6D1" w14:textId="77777777" w:rsidR="00990B14" w:rsidRDefault="00990B14">
            <w:pPr>
              <w:spacing w:before="20" w:after="20"/>
            </w:pPr>
          </w:p>
        </w:tc>
        <w:tc>
          <w:tcPr>
            <w:tcW w:w="1854" w:type="dxa"/>
            <w:shd w:val="clear" w:color="auto" w:fill="D9E2F3"/>
            <w:vAlign w:val="center"/>
          </w:tcPr>
          <w:p w14:paraId="51B72D9F" w14:textId="77777777" w:rsidR="00990B14" w:rsidRDefault="00000000">
            <w:pPr>
              <w:spacing w:before="20" w:after="20"/>
              <w:jc w:val="both"/>
            </w:pPr>
            <w:r>
              <w:rPr>
                <w:sz w:val="18"/>
                <w:szCs w:val="18"/>
              </w:rPr>
              <w:t>Cálculo del costo</w:t>
            </w:r>
          </w:p>
        </w:tc>
        <w:tc>
          <w:tcPr>
            <w:tcW w:w="2015" w:type="dxa"/>
            <w:shd w:val="clear" w:color="auto" w:fill="D9E2F3"/>
            <w:vAlign w:val="center"/>
          </w:tcPr>
          <w:p w14:paraId="7B5E039A" w14:textId="77777777" w:rsidR="00990B14" w:rsidRDefault="00000000">
            <w:pPr>
              <w:spacing w:before="20" w:after="20"/>
              <w:jc w:val="both"/>
            </w:pPr>
            <w:r>
              <w:rPr>
                <w:sz w:val="18"/>
                <w:szCs w:val="18"/>
              </w:rPr>
              <w:t>Incluye o excluye impuestos sin criterio.</w:t>
            </w:r>
          </w:p>
        </w:tc>
        <w:tc>
          <w:tcPr>
            <w:tcW w:w="1854" w:type="dxa"/>
            <w:shd w:val="clear" w:color="auto" w:fill="D9E2F3"/>
            <w:vAlign w:val="center"/>
          </w:tcPr>
          <w:p w14:paraId="60BD18CA" w14:textId="77777777" w:rsidR="00990B14" w:rsidRDefault="00000000">
            <w:pPr>
              <w:spacing w:before="20" w:after="20"/>
              <w:jc w:val="both"/>
            </w:pPr>
            <w:r>
              <w:rPr>
                <w:sz w:val="18"/>
                <w:szCs w:val="18"/>
              </w:rPr>
              <w:t>Determina el costo unitario correcto.</w:t>
            </w:r>
          </w:p>
        </w:tc>
        <w:tc>
          <w:tcPr>
            <w:tcW w:w="1910" w:type="dxa"/>
            <w:shd w:val="clear" w:color="auto" w:fill="D9E2F3"/>
            <w:vAlign w:val="center"/>
          </w:tcPr>
          <w:p w14:paraId="516CE24F" w14:textId="77777777" w:rsidR="00990B14" w:rsidRDefault="00000000">
            <w:pPr>
              <w:spacing w:before="20" w:after="20"/>
              <w:jc w:val="both"/>
            </w:pPr>
            <w:r>
              <w:rPr>
                <w:sz w:val="18"/>
                <w:szCs w:val="18"/>
              </w:rPr>
              <w:t>Verifica el costo con la documentación de respaldo.</w:t>
            </w:r>
          </w:p>
        </w:tc>
      </w:tr>
      <w:tr w:rsidR="00990B14" w14:paraId="2F1ECE98" w14:textId="77777777">
        <w:trPr>
          <w:cantSplit/>
          <w:jc w:val="center"/>
        </w:trPr>
        <w:tc>
          <w:tcPr>
            <w:tcW w:w="1772" w:type="dxa"/>
            <w:vMerge/>
            <w:shd w:val="clear" w:color="auto" w:fill="4472C4"/>
            <w:vAlign w:val="center"/>
          </w:tcPr>
          <w:p w14:paraId="106AD573" w14:textId="77777777" w:rsidR="00990B14" w:rsidRDefault="00990B14">
            <w:pPr>
              <w:spacing w:before="20" w:after="20"/>
            </w:pPr>
          </w:p>
        </w:tc>
        <w:tc>
          <w:tcPr>
            <w:tcW w:w="1854" w:type="dxa"/>
            <w:shd w:val="clear" w:color="auto" w:fill="D9E2F3"/>
            <w:vAlign w:val="center"/>
          </w:tcPr>
          <w:p w14:paraId="6D8B55B8" w14:textId="77777777" w:rsidR="00990B14" w:rsidRDefault="00000000">
            <w:pPr>
              <w:spacing w:before="20" w:after="20"/>
              <w:jc w:val="both"/>
            </w:pPr>
            <w:r>
              <w:rPr>
                <w:sz w:val="18"/>
                <w:szCs w:val="18"/>
              </w:rPr>
              <w:t>Exactitud</w:t>
            </w:r>
          </w:p>
        </w:tc>
        <w:tc>
          <w:tcPr>
            <w:tcW w:w="2015" w:type="dxa"/>
            <w:shd w:val="clear" w:color="auto" w:fill="D9E2F3"/>
            <w:vAlign w:val="center"/>
          </w:tcPr>
          <w:p w14:paraId="156475D9" w14:textId="77777777" w:rsidR="00990B14" w:rsidRDefault="00000000">
            <w:pPr>
              <w:spacing w:before="20" w:after="20"/>
              <w:jc w:val="both"/>
            </w:pPr>
            <w:r>
              <w:rPr>
                <w:sz w:val="18"/>
                <w:szCs w:val="18"/>
              </w:rPr>
              <w:t>Presenta errores de cálculo.</w:t>
            </w:r>
          </w:p>
        </w:tc>
        <w:tc>
          <w:tcPr>
            <w:tcW w:w="1854" w:type="dxa"/>
            <w:shd w:val="clear" w:color="auto" w:fill="D9E2F3"/>
            <w:vAlign w:val="center"/>
          </w:tcPr>
          <w:p w14:paraId="4A09BF01" w14:textId="77777777" w:rsidR="00990B14" w:rsidRDefault="00000000">
            <w:pPr>
              <w:spacing w:before="20" w:after="20"/>
              <w:jc w:val="both"/>
            </w:pPr>
            <w:r>
              <w:rPr>
                <w:sz w:val="18"/>
                <w:szCs w:val="18"/>
              </w:rPr>
              <w:t>Los cálculos son correctos.</w:t>
            </w:r>
          </w:p>
        </w:tc>
        <w:tc>
          <w:tcPr>
            <w:tcW w:w="1910" w:type="dxa"/>
            <w:shd w:val="clear" w:color="auto" w:fill="D9E2F3"/>
            <w:vAlign w:val="center"/>
          </w:tcPr>
          <w:p w14:paraId="72F1538A" w14:textId="77777777" w:rsidR="00990B14" w:rsidRDefault="00000000">
            <w:pPr>
              <w:spacing w:before="20" w:after="20"/>
              <w:jc w:val="both"/>
            </w:pPr>
            <w:r>
              <w:rPr>
                <w:sz w:val="18"/>
                <w:szCs w:val="18"/>
              </w:rPr>
              <w:t>Concilia el costo con el kárdex del almacén.</w:t>
            </w:r>
          </w:p>
        </w:tc>
      </w:tr>
      <w:tr w:rsidR="00990B14" w14:paraId="14D6ACE8" w14:textId="77777777">
        <w:trPr>
          <w:cantSplit/>
          <w:jc w:val="center"/>
        </w:trPr>
        <w:tc>
          <w:tcPr>
            <w:tcW w:w="1772" w:type="dxa"/>
            <w:vMerge/>
            <w:shd w:val="clear" w:color="auto" w:fill="4472C4"/>
            <w:vAlign w:val="center"/>
          </w:tcPr>
          <w:p w14:paraId="4BE861A1" w14:textId="77777777" w:rsidR="00990B14" w:rsidRDefault="00990B14">
            <w:pPr>
              <w:spacing w:before="20" w:after="20"/>
            </w:pPr>
          </w:p>
        </w:tc>
        <w:tc>
          <w:tcPr>
            <w:tcW w:w="5723" w:type="dxa"/>
            <w:gridSpan w:val="3"/>
            <w:shd w:val="clear" w:color="auto" w:fill="D9E2F3"/>
            <w:vAlign w:val="center"/>
          </w:tcPr>
          <w:p w14:paraId="2CF6311C" w14:textId="77777777" w:rsidR="00990B14" w:rsidRDefault="00000000">
            <w:pPr>
              <w:keepNext/>
              <w:spacing w:before="20" w:after="20"/>
              <w:jc w:val="both"/>
            </w:pPr>
            <w:r>
              <w:rPr>
                <w:b/>
                <w:bCs/>
                <w:i/>
                <w:iCs/>
                <w:sz w:val="18"/>
                <w:szCs w:val="18"/>
              </w:rPr>
              <w:t xml:space="preserve">Producto 12: </w:t>
            </w:r>
            <w:r>
              <w:rPr>
                <w:sz w:val="18"/>
                <w:szCs w:val="18"/>
              </w:rPr>
              <w:t>Planilla de retenciones compras agrícolas</w:t>
            </w:r>
          </w:p>
        </w:tc>
        <w:tc>
          <w:tcPr>
            <w:tcW w:w="1910" w:type="dxa"/>
            <w:shd w:val="clear" w:color="auto" w:fill="D9E2F3"/>
            <w:vAlign w:val="center"/>
          </w:tcPr>
          <w:p w14:paraId="7BC6CDEB" w14:textId="77777777" w:rsidR="00990B14" w:rsidRDefault="00000000">
            <w:pPr>
              <w:spacing w:before="20" w:after="20"/>
              <w:jc w:val="center"/>
            </w:pPr>
            <w:r>
              <w:rPr>
                <w:b/>
                <w:bCs/>
                <w:sz w:val="18"/>
                <w:szCs w:val="18"/>
              </w:rPr>
              <w:t>2%</w:t>
            </w:r>
          </w:p>
        </w:tc>
      </w:tr>
      <w:tr w:rsidR="00990B14" w14:paraId="067474D9" w14:textId="77777777">
        <w:trPr>
          <w:cantSplit/>
          <w:jc w:val="center"/>
        </w:trPr>
        <w:tc>
          <w:tcPr>
            <w:tcW w:w="1772" w:type="dxa"/>
            <w:vMerge/>
            <w:shd w:val="clear" w:color="auto" w:fill="4472C4"/>
            <w:vAlign w:val="center"/>
          </w:tcPr>
          <w:p w14:paraId="0AB3EF91" w14:textId="77777777" w:rsidR="00990B14" w:rsidRDefault="00990B14">
            <w:pPr>
              <w:spacing w:before="20" w:after="20"/>
            </w:pPr>
          </w:p>
        </w:tc>
        <w:tc>
          <w:tcPr>
            <w:tcW w:w="1854" w:type="dxa"/>
            <w:shd w:val="clear" w:color="auto" w:fill="4472C4"/>
            <w:vAlign w:val="center"/>
          </w:tcPr>
          <w:p w14:paraId="33FA3264"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206C0052" w14:textId="77777777" w:rsidR="00990B14" w:rsidRDefault="00000000">
            <w:pPr>
              <w:keepNext/>
              <w:spacing w:before="20" w:after="20"/>
              <w:jc w:val="center"/>
            </w:pPr>
            <w:r>
              <w:rPr>
                <w:b/>
                <w:bCs/>
                <w:i/>
                <w:iCs/>
                <w:color w:val="FFFFFF"/>
                <w:sz w:val="18"/>
                <w:szCs w:val="18"/>
              </w:rPr>
              <w:t>Insuficiente (1–50)</w:t>
            </w:r>
          </w:p>
        </w:tc>
        <w:tc>
          <w:tcPr>
            <w:tcW w:w="1854" w:type="dxa"/>
            <w:shd w:val="clear" w:color="auto" w:fill="4472C4"/>
            <w:vAlign w:val="center"/>
          </w:tcPr>
          <w:p w14:paraId="6A550308"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5A62416A" w14:textId="77777777" w:rsidR="00990B14" w:rsidRDefault="00000000">
            <w:pPr>
              <w:keepNext/>
              <w:spacing w:before="20" w:after="20"/>
              <w:jc w:val="center"/>
            </w:pPr>
            <w:r>
              <w:rPr>
                <w:b/>
                <w:bCs/>
                <w:i/>
                <w:iCs/>
                <w:color w:val="FFFFFF"/>
                <w:sz w:val="18"/>
                <w:szCs w:val="18"/>
              </w:rPr>
              <w:t>Destacado (81–100)</w:t>
            </w:r>
          </w:p>
        </w:tc>
      </w:tr>
      <w:tr w:rsidR="00990B14" w14:paraId="1FC48AA0" w14:textId="77777777">
        <w:trPr>
          <w:cantSplit/>
          <w:jc w:val="center"/>
        </w:trPr>
        <w:tc>
          <w:tcPr>
            <w:tcW w:w="1772" w:type="dxa"/>
            <w:vMerge/>
            <w:shd w:val="clear" w:color="auto" w:fill="4472C4"/>
            <w:vAlign w:val="center"/>
          </w:tcPr>
          <w:p w14:paraId="3CB36D8B" w14:textId="77777777" w:rsidR="00990B14" w:rsidRDefault="00990B14">
            <w:pPr>
              <w:spacing w:before="20" w:after="20"/>
            </w:pPr>
          </w:p>
        </w:tc>
        <w:tc>
          <w:tcPr>
            <w:tcW w:w="1854" w:type="dxa"/>
            <w:shd w:val="clear" w:color="auto" w:fill="D9E2F3"/>
            <w:vAlign w:val="center"/>
          </w:tcPr>
          <w:p w14:paraId="4A7E36A0" w14:textId="77777777" w:rsidR="00990B14" w:rsidRDefault="00000000">
            <w:pPr>
              <w:spacing w:before="20" w:after="20"/>
              <w:jc w:val="both"/>
            </w:pPr>
            <w:r>
              <w:rPr>
                <w:sz w:val="18"/>
                <w:szCs w:val="18"/>
              </w:rPr>
              <w:t>Cálculo de retenciones</w:t>
            </w:r>
          </w:p>
        </w:tc>
        <w:tc>
          <w:tcPr>
            <w:tcW w:w="2015" w:type="dxa"/>
            <w:shd w:val="clear" w:color="auto" w:fill="D9E2F3"/>
            <w:vAlign w:val="center"/>
          </w:tcPr>
          <w:p w14:paraId="67027CC0" w14:textId="77777777" w:rsidR="00990B14" w:rsidRDefault="00000000">
            <w:pPr>
              <w:spacing w:before="20" w:after="20"/>
              <w:jc w:val="both"/>
            </w:pPr>
            <w:r>
              <w:rPr>
                <w:sz w:val="18"/>
                <w:szCs w:val="18"/>
              </w:rPr>
              <w:t>Calcula mal las retenciones.</w:t>
            </w:r>
          </w:p>
        </w:tc>
        <w:tc>
          <w:tcPr>
            <w:tcW w:w="1854" w:type="dxa"/>
            <w:shd w:val="clear" w:color="auto" w:fill="D9E2F3"/>
            <w:vAlign w:val="center"/>
          </w:tcPr>
          <w:p w14:paraId="6578CFC7" w14:textId="77777777" w:rsidR="00990B14" w:rsidRDefault="00000000">
            <w:pPr>
              <w:spacing w:before="20" w:after="20"/>
              <w:jc w:val="both"/>
            </w:pPr>
            <w:r>
              <w:rPr>
                <w:sz w:val="18"/>
                <w:szCs w:val="18"/>
              </w:rPr>
              <w:t>Calcula las retenciones del IUE y del IT.</w:t>
            </w:r>
          </w:p>
        </w:tc>
        <w:tc>
          <w:tcPr>
            <w:tcW w:w="1910" w:type="dxa"/>
            <w:shd w:val="clear" w:color="auto" w:fill="D9E2F3"/>
            <w:vAlign w:val="center"/>
          </w:tcPr>
          <w:p w14:paraId="66C7F310" w14:textId="77777777" w:rsidR="00990B14" w:rsidRDefault="00000000">
            <w:pPr>
              <w:spacing w:before="20" w:after="20"/>
              <w:jc w:val="both"/>
            </w:pPr>
            <w:r>
              <w:rPr>
                <w:sz w:val="18"/>
                <w:szCs w:val="18"/>
              </w:rPr>
              <w:t>Analiza el efecto de las retenciones en el costo.</w:t>
            </w:r>
          </w:p>
        </w:tc>
      </w:tr>
      <w:tr w:rsidR="00990B14" w14:paraId="65C3F080" w14:textId="77777777">
        <w:trPr>
          <w:cantSplit/>
          <w:jc w:val="center"/>
        </w:trPr>
        <w:tc>
          <w:tcPr>
            <w:tcW w:w="1772" w:type="dxa"/>
            <w:vMerge/>
            <w:shd w:val="clear" w:color="auto" w:fill="4472C4"/>
            <w:vAlign w:val="center"/>
          </w:tcPr>
          <w:p w14:paraId="5206DF7C" w14:textId="77777777" w:rsidR="00990B14" w:rsidRDefault="00990B14">
            <w:pPr>
              <w:spacing w:before="20" w:after="20"/>
            </w:pPr>
          </w:p>
        </w:tc>
        <w:tc>
          <w:tcPr>
            <w:tcW w:w="1854" w:type="dxa"/>
            <w:shd w:val="clear" w:color="auto" w:fill="D9E2F3"/>
            <w:vAlign w:val="center"/>
          </w:tcPr>
          <w:p w14:paraId="6CB87D33" w14:textId="77777777" w:rsidR="00990B14" w:rsidRDefault="00000000">
            <w:pPr>
              <w:spacing w:before="20" w:after="20"/>
              <w:jc w:val="both"/>
            </w:pPr>
            <w:r>
              <w:rPr>
                <w:sz w:val="18"/>
                <w:szCs w:val="18"/>
              </w:rPr>
              <w:t>Respaldo documental</w:t>
            </w:r>
          </w:p>
        </w:tc>
        <w:tc>
          <w:tcPr>
            <w:tcW w:w="2015" w:type="dxa"/>
            <w:shd w:val="clear" w:color="auto" w:fill="D9E2F3"/>
            <w:vAlign w:val="center"/>
          </w:tcPr>
          <w:p w14:paraId="7CA7EF9B" w14:textId="77777777" w:rsidR="00990B14" w:rsidRDefault="00000000">
            <w:pPr>
              <w:spacing w:before="20" w:after="20"/>
              <w:jc w:val="both"/>
            </w:pPr>
            <w:r>
              <w:rPr>
                <w:sz w:val="18"/>
                <w:szCs w:val="18"/>
              </w:rPr>
              <w:t>Omite el respaldo.</w:t>
            </w:r>
          </w:p>
        </w:tc>
        <w:tc>
          <w:tcPr>
            <w:tcW w:w="1854" w:type="dxa"/>
            <w:shd w:val="clear" w:color="auto" w:fill="D9E2F3"/>
            <w:vAlign w:val="center"/>
          </w:tcPr>
          <w:p w14:paraId="51A004AB" w14:textId="77777777" w:rsidR="00990B14" w:rsidRDefault="00000000">
            <w:pPr>
              <w:spacing w:before="20" w:after="20"/>
              <w:jc w:val="both"/>
            </w:pPr>
            <w:r>
              <w:rPr>
                <w:sz w:val="18"/>
                <w:szCs w:val="18"/>
              </w:rPr>
              <w:t>Adjunta el respaldo exigido.</w:t>
            </w:r>
          </w:p>
        </w:tc>
        <w:tc>
          <w:tcPr>
            <w:tcW w:w="1910" w:type="dxa"/>
            <w:shd w:val="clear" w:color="auto" w:fill="D9E2F3"/>
            <w:vAlign w:val="center"/>
          </w:tcPr>
          <w:p w14:paraId="02DFFB9A" w14:textId="77777777" w:rsidR="00990B14" w:rsidRDefault="00000000">
            <w:pPr>
              <w:spacing w:before="20" w:after="20"/>
              <w:jc w:val="both"/>
            </w:pPr>
            <w:r>
              <w:rPr>
                <w:sz w:val="18"/>
                <w:szCs w:val="18"/>
              </w:rPr>
              <w:t>Señala el riesgo tributario de la operación.</w:t>
            </w:r>
          </w:p>
        </w:tc>
      </w:tr>
      <w:tr w:rsidR="00990B14" w14:paraId="61C4D2DF" w14:textId="77777777">
        <w:trPr>
          <w:cantSplit/>
          <w:jc w:val="center"/>
        </w:trPr>
        <w:tc>
          <w:tcPr>
            <w:tcW w:w="1772" w:type="dxa"/>
            <w:vMerge/>
            <w:shd w:val="clear" w:color="auto" w:fill="4472C4"/>
            <w:vAlign w:val="center"/>
          </w:tcPr>
          <w:p w14:paraId="28EE4921" w14:textId="77777777" w:rsidR="00990B14" w:rsidRDefault="00990B14">
            <w:pPr>
              <w:spacing w:before="20" w:after="20"/>
            </w:pPr>
          </w:p>
        </w:tc>
        <w:tc>
          <w:tcPr>
            <w:tcW w:w="1854" w:type="dxa"/>
            <w:shd w:val="clear" w:color="auto" w:fill="D9E2F3"/>
            <w:vAlign w:val="center"/>
          </w:tcPr>
          <w:p w14:paraId="58782D4F" w14:textId="77777777" w:rsidR="00990B14" w:rsidRDefault="00000000">
            <w:pPr>
              <w:spacing w:before="20" w:after="20"/>
              <w:jc w:val="both"/>
            </w:pPr>
            <w:r>
              <w:rPr>
                <w:sz w:val="18"/>
                <w:szCs w:val="18"/>
              </w:rPr>
              <w:t>Trabajo en equipo</w:t>
            </w:r>
          </w:p>
        </w:tc>
        <w:tc>
          <w:tcPr>
            <w:tcW w:w="2015" w:type="dxa"/>
            <w:shd w:val="clear" w:color="auto" w:fill="D9E2F3"/>
            <w:vAlign w:val="center"/>
          </w:tcPr>
          <w:p w14:paraId="156F23FE" w14:textId="77777777" w:rsidR="00990B14" w:rsidRDefault="00000000">
            <w:pPr>
              <w:spacing w:before="20" w:after="20"/>
              <w:jc w:val="both"/>
            </w:pPr>
            <w:r>
              <w:rPr>
                <w:sz w:val="18"/>
                <w:szCs w:val="18"/>
              </w:rPr>
              <w:t>La participación es desigual.</w:t>
            </w:r>
          </w:p>
        </w:tc>
        <w:tc>
          <w:tcPr>
            <w:tcW w:w="1854" w:type="dxa"/>
            <w:shd w:val="clear" w:color="auto" w:fill="D9E2F3"/>
            <w:vAlign w:val="center"/>
          </w:tcPr>
          <w:p w14:paraId="63C47727" w14:textId="77777777" w:rsidR="00990B14" w:rsidRDefault="00000000">
            <w:pPr>
              <w:spacing w:before="20" w:after="20"/>
              <w:jc w:val="both"/>
            </w:pPr>
            <w:r>
              <w:rPr>
                <w:sz w:val="18"/>
                <w:szCs w:val="18"/>
              </w:rPr>
              <w:t>Todos los integrantes participan.</w:t>
            </w:r>
          </w:p>
        </w:tc>
        <w:tc>
          <w:tcPr>
            <w:tcW w:w="1910" w:type="dxa"/>
            <w:shd w:val="clear" w:color="auto" w:fill="D9E2F3"/>
            <w:vAlign w:val="center"/>
          </w:tcPr>
          <w:p w14:paraId="031BEFA2" w14:textId="77777777" w:rsidR="00990B14" w:rsidRDefault="00000000">
            <w:pPr>
              <w:spacing w:before="20" w:after="20"/>
              <w:jc w:val="both"/>
            </w:pPr>
            <w:r>
              <w:rPr>
                <w:sz w:val="18"/>
                <w:szCs w:val="18"/>
              </w:rPr>
              <w:t>El equipo sustenta sus conclusiones ante el curso.</w:t>
            </w:r>
          </w:p>
        </w:tc>
      </w:tr>
      <w:tr w:rsidR="00990B14" w14:paraId="7E0BFA03" w14:textId="77777777">
        <w:trPr>
          <w:cantSplit/>
          <w:jc w:val="center"/>
        </w:trPr>
        <w:tc>
          <w:tcPr>
            <w:tcW w:w="1772" w:type="dxa"/>
            <w:vMerge/>
            <w:shd w:val="clear" w:color="auto" w:fill="4472C4"/>
            <w:vAlign w:val="center"/>
          </w:tcPr>
          <w:p w14:paraId="56DA979E" w14:textId="77777777" w:rsidR="00990B14" w:rsidRDefault="00990B14">
            <w:pPr>
              <w:spacing w:before="20" w:after="20"/>
            </w:pPr>
          </w:p>
        </w:tc>
        <w:tc>
          <w:tcPr>
            <w:tcW w:w="5723" w:type="dxa"/>
            <w:gridSpan w:val="3"/>
            <w:shd w:val="clear" w:color="auto" w:fill="D9E2F3"/>
            <w:vAlign w:val="center"/>
          </w:tcPr>
          <w:p w14:paraId="1AF77ABE" w14:textId="77777777" w:rsidR="00990B14" w:rsidRDefault="00000000">
            <w:pPr>
              <w:keepNext/>
              <w:spacing w:before="20" w:after="20"/>
              <w:jc w:val="both"/>
            </w:pPr>
            <w:r>
              <w:rPr>
                <w:b/>
                <w:bCs/>
                <w:i/>
                <w:iCs/>
                <w:sz w:val="18"/>
                <w:szCs w:val="18"/>
              </w:rPr>
              <w:t xml:space="preserve">Producto 13: </w:t>
            </w:r>
            <w:r>
              <w:rPr>
                <w:sz w:val="18"/>
                <w:szCs w:val="18"/>
              </w:rPr>
              <w:t>Esquema de contabilización de cultivos</w:t>
            </w:r>
          </w:p>
        </w:tc>
        <w:tc>
          <w:tcPr>
            <w:tcW w:w="1910" w:type="dxa"/>
            <w:shd w:val="clear" w:color="auto" w:fill="D9E2F3"/>
            <w:vAlign w:val="center"/>
          </w:tcPr>
          <w:p w14:paraId="232C858B" w14:textId="77777777" w:rsidR="00990B14" w:rsidRDefault="00000000">
            <w:pPr>
              <w:spacing w:before="20" w:after="20"/>
              <w:jc w:val="center"/>
            </w:pPr>
            <w:r>
              <w:rPr>
                <w:b/>
                <w:bCs/>
                <w:sz w:val="18"/>
                <w:szCs w:val="18"/>
              </w:rPr>
              <w:t>4%</w:t>
            </w:r>
          </w:p>
        </w:tc>
      </w:tr>
      <w:tr w:rsidR="00990B14" w14:paraId="4E02640C" w14:textId="77777777">
        <w:trPr>
          <w:cantSplit/>
          <w:jc w:val="center"/>
        </w:trPr>
        <w:tc>
          <w:tcPr>
            <w:tcW w:w="1772" w:type="dxa"/>
            <w:vMerge/>
            <w:shd w:val="clear" w:color="auto" w:fill="4472C4"/>
            <w:vAlign w:val="center"/>
          </w:tcPr>
          <w:p w14:paraId="2C834119" w14:textId="77777777" w:rsidR="00990B14" w:rsidRDefault="00990B14">
            <w:pPr>
              <w:spacing w:before="20" w:after="20"/>
            </w:pPr>
          </w:p>
        </w:tc>
        <w:tc>
          <w:tcPr>
            <w:tcW w:w="1854" w:type="dxa"/>
            <w:shd w:val="clear" w:color="auto" w:fill="4472C4"/>
            <w:vAlign w:val="center"/>
          </w:tcPr>
          <w:p w14:paraId="4265273C"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3D9F09C1" w14:textId="77777777" w:rsidR="00990B14" w:rsidRDefault="00000000">
            <w:pPr>
              <w:keepNext/>
              <w:spacing w:before="20" w:after="20"/>
              <w:jc w:val="center"/>
            </w:pPr>
            <w:r>
              <w:rPr>
                <w:b/>
                <w:bCs/>
                <w:i/>
                <w:iCs/>
                <w:color w:val="FFFFFF"/>
                <w:sz w:val="18"/>
                <w:szCs w:val="18"/>
              </w:rPr>
              <w:t>Insuficiente (1–50)</w:t>
            </w:r>
          </w:p>
        </w:tc>
        <w:tc>
          <w:tcPr>
            <w:tcW w:w="1854" w:type="dxa"/>
            <w:shd w:val="clear" w:color="auto" w:fill="4472C4"/>
            <w:vAlign w:val="center"/>
          </w:tcPr>
          <w:p w14:paraId="19460C9A"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2F5E4178" w14:textId="77777777" w:rsidR="00990B14" w:rsidRDefault="00000000">
            <w:pPr>
              <w:keepNext/>
              <w:spacing w:before="20" w:after="20"/>
              <w:jc w:val="center"/>
            </w:pPr>
            <w:r>
              <w:rPr>
                <w:b/>
                <w:bCs/>
                <w:i/>
                <w:iCs/>
                <w:color w:val="FFFFFF"/>
                <w:sz w:val="18"/>
                <w:szCs w:val="18"/>
              </w:rPr>
              <w:t>Destacado (81–100)</w:t>
            </w:r>
          </w:p>
        </w:tc>
      </w:tr>
      <w:tr w:rsidR="00990B14" w14:paraId="5F25476E" w14:textId="77777777">
        <w:trPr>
          <w:cantSplit/>
          <w:jc w:val="center"/>
        </w:trPr>
        <w:tc>
          <w:tcPr>
            <w:tcW w:w="1772" w:type="dxa"/>
            <w:vMerge/>
            <w:shd w:val="clear" w:color="auto" w:fill="4472C4"/>
            <w:vAlign w:val="center"/>
          </w:tcPr>
          <w:p w14:paraId="4CC4F6D3" w14:textId="77777777" w:rsidR="00990B14" w:rsidRDefault="00990B14">
            <w:pPr>
              <w:spacing w:before="20" w:after="20"/>
            </w:pPr>
          </w:p>
        </w:tc>
        <w:tc>
          <w:tcPr>
            <w:tcW w:w="1854" w:type="dxa"/>
            <w:shd w:val="clear" w:color="auto" w:fill="D9E2F3"/>
            <w:vAlign w:val="center"/>
          </w:tcPr>
          <w:p w14:paraId="3B3DEE05" w14:textId="77777777" w:rsidR="00990B14" w:rsidRDefault="00000000">
            <w:pPr>
              <w:spacing w:before="20" w:after="20"/>
              <w:jc w:val="both"/>
            </w:pPr>
            <w:r>
              <w:rPr>
                <w:sz w:val="18"/>
                <w:szCs w:val="18"/>
              </w:rPr>
              <w:t>Clasificación de plantaciones</w:t>
            </w:r>
          </w:p>
        </w:tc>
        <w:tc>
          <w:tcPr>
            <w:tcW w:w="2015" w:type="dxa"/>
            <w:shd w:val="clear" w:color="auto" w:fill="D9E2F3"/>
            <w:vAlign w:val="center"/>
          </w:tcPr>
          <w:p w14:paraId="51E108D6" w14:textId="77777777" w:rsidR="00990B14" w:rsidRDefault="00000000">
            <w:pPr>
              <w:spacing w:before="20" w:after="20"/>
              <w:jc w:val="both"/>
            </w:pPr>
            <w:r>
              <w:rPr>
                <w:sz w:val="18"/>
                <w:szCs w:val="18"/>
              </w:rPr>
              <w:t>Confunde plantas productoras y activos consumibles.</w:t>
            </w:r>
          </w:p>
        </w:tc>
        <w:tc>
          <w:tcPr>
            <w:tcW w:w="1854" w:type="dxa"/>
            <w:shd w:val="clear" w:color="auto" w:fill="D9E2F3"/>
            <w:vAlign w:val="center"/>
          </w:tcPr>
          <w:p w14:paraId="411CDD79" w14:textId="77777777" w:rsidR="00990B14" w:rsidRDefault="00000000">
            <w:pPr>
              <w:spacing w:before="20" w:after="20"/>
              <w:jc w:val="both"/>
            </w:pPr>
            <w:r>
              <w:rPr>
                <w:sz w:val="18"/>
                <w:szCs w:val="18"/>
              </w:rPr>
              <w:t>Clasifica las plantaciones según la NC.</w:t>
            </w:r>
          </w:p>
        </w:tc>
        <w:tc>
          <w:tcPr>
            <w:tcW w:w="1910" w:type="dxa"/>
            <w:shd w:val="clear" w:color="auto" w:fill="D9E2F3"/>
            <w:vAlign w:val="center"/>
          </w:tcPr>
          <w:p w14:paraId="0B693BBC" w14:textId="77777777" w:rsidR="00990B14" w:rsidRDefault="00000000">
            <w:pPr>
              <w:spacing w:before="20" w:after="20"/>
              <w:jc w:val="both"/>
            </w:pPr>
            <w:r>
              <w:rPr>
                <w:sz w:val="18"/>
                <w:szCs w:val="18"/>
              </w:rPr>
              <w:t>Justifica la clasificación de cada plantación.</w:t>
            </w:r>
          </w:p>
        </w:tc>
      </w:tr>
      <w:tr w:rsidR="00990B14" w14:paraId="60D782BD" w14:textId="77777777">
        <w:trPr>
          <w:cantSplit/>
          <w:jc w:val="center"/>
        </w:trPr>
        <w:tc>
          <w:tcPr>
            <w:tcW w:w="1772" w:type="dxa"/>
            <w:vMerge/>
            <w:shd w:val="clear" w:color="auto" w:fill="4472C4"/>
            <w:vAlign w:val="center"/>
          </w:tcPr>
          <w:p w14:paraId="34322047" w14:textId="77777777" w:rsidR="00990B14" w:rsidRDefault="00990B14">
            <w:pPr>
              <w:spacing w:before="20" w:after="20"/>
            </w:pPr>
          </w:p>
        </w:tc>
        <w:tc>
          <w:tcPr>
            <w:tcW w:w="1854" w:type="dxa"/>
            <w:shd w:val="clear" w:color="auto" w:fill="D9E2F3"/>
            <w:vAlign w:val="center"/>
          </w:tcPr>
          <w:p w14:paraId="020D0B0E" w14:textId="77777777" w:rsidR="00990B14" w:rsidRDefault="00000000">
            <w:pPr>
              <w:spacing w:before="20" w:after="20"/>
              <w:jc w:val="both"/>
            </w:pPr>
            <w:r>
              <w:rPr>
                <w:sz w:val="18"/>
                <w:szCs w:val="18"/>
              </w:rPr>
              <w:t>Costo de producción</w:t>
            </w:r>
          </w:p>
        </w:tc>
        <w:tc>
          <w:tcPr>
            <w:tcW w:w="2015" w:type="dxa"/>
            <w:shd w:val="clear" w:color="auto" w:fill="D9E2F3"/>
            <w:vAlign w:val="center"/>
          </w:tcPr>
          <w:p w14:paraId="496DC199" w14:textId="77777777" w:rsidR="00990B14" w:rsidRDefault="00000000">
            <w:pPr>
              <w:spacing w:before="20" w:after="20"/>
              <w:jc w:val="both"/>
            </w:pPr>
            <w:r>
              <w:rPr>
                <w:sz w:val="18"/>
                <w:szCs w:val="18"/>
              </w:rPr>
              <w:t>Omite elementos del costo.</w:t>
            </w:r>
          </w:p>
        </w:tc>
        <w:tc>
          <w:tcPr>
            <w:tcW w:w="1854" w:type="dxa"/>
            <w:shd w:val="clear" w:color="auto" w:fill="D9E2F3"/>
            <w:vAlign w:val="center"/>
          </w:tcPr>
          <w:p w14:paraId="12A8D631" w14:textId="77777777" w:rsidR="00990B14" w:rsidRDefault="00000000">
            <w:pPr>
              <w:spacing w:before="20" w:after="20"/>
              <w:jc w:val="both"/>
            </w:pPr>
            <w:r>
              <w:rPr>
                <w:sz w:val="18"/>
                <w:szCs w:val="18"/>
              </w:rPr>
              <w:t>Acumula el costo de los sembradíos y cultivos.</w:t>
            </w:r>
          </w:p>
        </w:tc>
        <w:tc>
          <w:tcPr>
            <w:tcW w:w="1910" w:type="dxa"/>
            <w:shd w:val="clear" w:color="auto" w:fill="D9E2F3"/>
            <w:vAlign w:val="center"/>
          </w:tcPr>
          <w:p w14:paraId="722DC47A" w14:textId="77777777" w:rsidR="00990B14" w:rsidRDefault="00000000">
            <w:pPr>
              <w:spacing w:before="20" w:after="20"/>
              <w:jc w:val="both"/>
            </w:pPr>
            <w:r>
              <w:rPr>
                <w:sz w:val="18"/>
                <w:szCs w:val="18"/>
              </w:rPr>
              <w:t>Controla el costo por campaña y por cultivo.</w:t>
            </w:r>
          </w:p>
        </w:tc>
      </w:tr>
      <w:tr w:rsidR="00990B14" w14:paraId="282FE40B" w14:textId="77777777">
        <w:trPr>
          <w:cantSplit/>
          <w:jc w:val="center"/>
        </w:trPr>
        <w:tc>
          <w:tcPr>
            <w:tcW w:w="1772" w:type="dxa"/>
            <w:vMerge/>
            <w:shd w:val="clear" w:color="auto" w:fill="4472C4"/>
            <w:vAlign w:val="center"/>
          </w:tcPr>
          <w:p w14:paraId="46BF87C4" w14:textId="77777777" w:rsidR="00990B14" w:rsidRDefault="00990B14">
            <w:pPr>
              <w:spacing w:before="20" w:after="20"/>
            </w:pPr>
          </w:p>
        </w:tc>
        <w:tc>
          <w:tcPr>
            <w:tcW w:w="1854" w:type="dxa"/>
            <w:shd w:val="clear" w:color="auto" w:fill="D9E2F3"/>
            <w:vAlign w:val="center"/>
          </w:tcPr>
          <w:p w14:paraId="3CC854C0" w14:textId="77777777" w:rsidR="00990B14" w:rsidRDefault="00000000">
            <w:pPr>
              <w:spacing w:before="20" w:after="20"/>
              <w:jc w:val="both"/>
            </w:pPr>
            <w:r>
              <w:rPr>
                <w:sz w:val="18"/>
                <w:szCs w:val="18"/>
              </w:rPr>
              <w:t>Registro contable</w:t>
            </w:r>
          </w:p>
        </w:tc>
        <w:tc>
          <w:tcPr>
            <w:tcW w:w="2015" w:type="dxa"/>
            <w:shd w:val="clear" w:color="auto" w:fill="D9E2F3"/>
            <w:vAlign w:val="center"/>
          </w:tcPr>
          <w:p w14:paraId="6C682ED3" w14:textId="77777777" w:rsidR="00990B14" w:rsidRDefault="00000000">
            <w:pPr>
              <w:spacing w:before="20" w:after="20"/>
              <w:jc w:val="both"/>
            </w:pPr>
            <w:r>
              <w:rPr>
                <w:sz w:val="18"/>
                <w:szCs w:val="18"/>
              </w:rPr>
              <w:t>Los asientos no corresponden.</w:t>
            </w:r>
          </w:p>
        </w:tc>
        <w:tc>
          <w:tcPr>
            <w:tcW w:w="1854" w:type="dxa"/>
            <w:shd w:val="clear" w:color="auto" w:fill="D9E2F3"/>
            <w:vAlign w:val="center"/>
          </w:tcPr>
          <w:p w14:paraId="73D95620" w14:textId="77777777" w:rsidR="00990B14" w:rsidRDefault="00000000">
            <w:pPr>
              <w:spacing w:before="20" w:after="20"/>
              <w:jc w:val="both"/>
            </w:pPr>
            <w:r>
              <w:rPr>
                <w:sz w:val="18"/>
                <w:szCs w:val="18"/>
              </w:rPr>
              <w:t>Registra correctamente las operaciones.</w:t>
            </w:r>
          </w:p>
        </w:tc>
        <w:tc>
          <w:tcPr>
            <w:tcW w:w="1910" w:type="dxa"/>
            <w:shd w:val="clear" w:color="auto" w:fill="D9E2F3"/>
            <w:vAlign w:val="center"/>
          </w:tcPr>
          <w:p w14:paraId="73CA0507" w14:textId="77777777" w:rsidR="00990B14" w:rsidRDefault="00000000">
            <w:pPr>
              <w:spacing w:before="20" w:after="20"/>
              <w:jc w:val="both"/>
            </w:pPr>
            <w:r>
              <w:rPr>
                <w:sz w:val="18"/>
                <w:szCs w:val="18"/>
              </w:rPr>
              <w:t>Explica la transferencia a productos cosechados.</w:t>
            </w:r>
          </w:p>
        </w:tc>
      </w:tr>
      <w:tr w:rsidR="00990B14" w14:paraId="61132BD4" w14:textId="77777777">
        <w:trPr>
          <w:cantSplit/>
          <w:jc w:val="center"/>
        </w:trPr>
        <w:tc>
          <w:tcPr>
            <w:tcW w:w="1772" w:type="dxa"/>
            <w:vMerge/>
            <w:shd w:val="clear" w:color="auto" w:fill="4472C4"/>
            <w:vAlign w:val="center"/>
          </w:tcPr>
          <w:p w14:paraId="504C2F45" w14:textId="77777777" w:rsidR="00990B14" w:rsidRDefault="00990B14">
            <w:pPr>
              <w:spacing w:before="20" w:after="20"/>
            </w:pPr>
          </w:p>
        </w:tc>
        <w:tc>
          <w:tcPr>
            <w:tcW w:w="5723" w:type="dxa"/>
            <w:gridSpan w:val="3"/>
            <w:shd w:val="clear" w:color="auto" w:fill="D9E2F3"/>
            <w:vAlign w:val="center"/>
          </w:tcPr>
          <w:p w14:paraId="15BE4987" w14:textId="77777777" w:rsidR="00990B14" w:rsidRDefault="00000000">
            <w:pPr>
              <w:keepNext/>
              <w:spacing w:before="20" w:after="20"/>
              <w:jc w:val="both"/>
            </w:pPr>
            <w:r>
              <w:rPr>
                <w:b/>
                <w:bCs/>
                <w:i/>
                <w:iCs/>
                <w:sz w:val="18"/>
                <w:szCs w:val="18"/>
              </w:rPr>
              <w:t xml:space="preserve">Producto 14: </w:t>
            </w:r>
            <w:r>
              <w:rPr>
                <w:sz w:val="18"/>
                <w:szCs w:val="18"/>
              </w:rPr>
              <w:t>Estados financieros agrícolas</w:t>
            </w:r>
          </w:p>
        </w:tc>
        <w:tc>
          <w:tcPr>
            <w:tcW w:w="1910" w:type="dxa"/>
            <w:shd w:val="clear" w:color="auto" w:fill="D9E2F3"/>
            <w:vAlign w:val="center"/>
          </w:tcPr>
          <w:p w14:paraId="40178341" w14:textId="77777777" w:rsidR="00990B14" w:rsidRDefault="00000000">
            <w:pPr>
              <w:spacing w:before="20" w:after="20"/>
              <w:jc w:val="center"/>
            </w:pPr>
            <w:r>
              <w:rPr>
                <w:b/>
                <w:bCs/>
                <w:sz w:val="18"/>
                <w:szCs w:val="18"/>
              </w:rPr>
              <w:t>10%</w:t>
            </w:r>
          </w:p>
        </w:tc>
      </w:tr>
      <w:tr w:rsidR="00990B14" w14:paraId="7ADE8C2A" w14:textId="77777777">
        <w:trPr>
          <w:cantSplit/>
          <w:jc w:val="center"/>
        </w:trPr>
        <w:tc>
          <w:tcPr>
            <w:tcW w:w="1772" w:type="dxa"/>
            <w:vMerge/>
            <w:shd w:val="clear" w:color="auto" w:fill="4472C4"/>
            <w:vAlign w:val="center"/>
          </w:tcPr>
          <w:p w14:paraId="37854E57" w14:textId="77777777" w:rsidR="00990B14" w:rsidRDefault="00990B14">
            <w:pPr>
              <w:spacing w:before="20" w:after="20"/>
            </w:pPr>
          </w:p>
        </w:tc>
        <w:tc>
          <w:tcPr>
            <w:tcW w:w="1854" w:type="dxa"/>
            <w:shd w:val="clear" w:color="auto" w:fill="4472C4"/>
            <w:vAlign w:val="center"/>
          </w:tcPr>
          <w:p w14:paraId="101B2FC8"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7E04CCC4" w14:textId="77777777" w:rsidR="00990B14" w:rsidRDefault="00000000">
            <w:pPr>
              <w:keepNext/>
              <w:spacing w:before="20" w:after="20"/>
              <w:jc w:val="center"/>
            </w:pPr>
            <w:r>
              <w:rPr>
                <w:b/>
                <w:bCs/>
                <w:i/>
                <w:iCs/>
                <w:color w:val="FFFFFF"/>
                <w:sz w:val="18"/>
                <w:szCs w:val="18"/>
              </w:rPr>
              <w:t>Insuficiente (1–50)</w:t>
            </w:r>
          </w:p>
        </w:tc>
        <w:tc>
          <w:tcPr>
            <w:tcW w:w="1854" w:type="dxa"/>
            <w:shd w:val="clear" w:color="auto" w:fill="4472C4"/>
            <w:vAlign w:val="center"/>
          </w:tcPr>
          <w:p w14:paraId="1930757D"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731800AB" w14:textId="77777777" w:rsidR="00990B14" w:rsidRDefault="00000000">
            <w:pPr>
              <w:keepNext/>
              <w:spacing w:before="20" w:after="20"/>
              <w:jc w:val="center"/>
            </w:pPr>
            <w:r>
              <w:rPr>
                <w:b/>
                <w:bCs/>
                <w:i/>
                <w:iCs/>
                <w:color w:val="FFFFFF"/>
                <w:sz w:val="18"/>
                <w:szCs w:val="18"/>
              </w:rPr>
              <w:t>Destacado (81–100)</w:t>
            </w:r>
          </w:p>
        </w:tc>
      </w:tr>
      <w:tr w:rsidR="00990B14" w14:paraId="3F9293FC" w14:textId="77777777">
        <w:trPr>
          <w:cantSplit/>
          <w:jc w:val="center"/>
        </w:trPr>
        <w:tc>
          <w:tcPr>
            <w:tcW w:w="1772" w:type="dxa"/>
            <w:vMerge/>
            <w:shd w:val="clear" w:color="auto" w:fill="4472C4"/>
            <w:vAlign w:val="center"/>
          </w:tcPr>
          <w:p w14:paraId="46B424C3" w14:textId="77777777" w:rsidR="00990B14" w:rsidRDefault="00990B14">
            <w:pPr>
              <w:spacing w:before="20" w:after="20"/>
            </w:pPr>
          </w:p>
        </w:tc>
        <w:tc>
          <w:tcPr>
            <w:tcW w:w="1854" w:type="dxa"/>
            <w:shd w:val="clear" w:color="auto" w:fill="D9E2F3"/>
            <w:vAlign w:val="center"/>
          </w:tcPr>
          <w:p w14:paraId="07F33046" w14:textId="77777777" w:rsidR="00990B14" w:rsidRDefault="00000000">
            <w:pPr>
              <w:spacing w:before="20" w:after="20"/>
              <w:jc w:val="both"/>
            </w:pPr>
            <w:r>
              <w:rPr>
                <w:sz w:val="18"/>
                <w:szCs w:val="18"/>
              </w:rPr>
              <w:t>Ciclo contable</w:t>
            </w:r>
          </w:p>
        </w:tc>
        <w:tc>
          <w:tcPr>
            <w:tcW w:w="2015" w:type="dxa"/>
            <w:shd w:val="clear" w:color="auto" w:fill="D9E2F3"/>
            <w:vAlign w:val="center"/>
          </w:tcPr>
          <w:p w14:paraId="178FA255" w14:textId="77777777" w:rsidR="00990B14" w:rsidRDefault="00000000">
            <w:pPr>
              <w:spacing w:before="20" w:after="20"/>
              <w:jc w:val="both"/>
            </w:pPr>
            <w:r>
              <w:rPr>
                <w:sz w:val="18"/>
                <w:szCs w:val="18"/>
              </w:rPr>
              <w:t>Omite ajustes o regularizaciones.</w:t>
            </w:r>
          </w:p>
        </w:tc>
        <w:tc>
          <w:tcPr>
            <w:tcW w:w="1854" w:type="dxa"/>
            <w:shd w:val="clear" w:color="auto" w:fill="D9E2F3"/>
            <w:vAlign w:val="center"/>
          </w:tcPr>
          <w:p w14:paraId="7C53537E" w14:textId="77777777" w:rsidR="00990B14" w:rsidRDefault="00000000">
            <w:pPr>
              <w:spacing w:before="20" w:after="20"/>
              <w:jc w:val="both"/>
            </w:pPr>
            <w:r>
              <w:rPr>
                <w:sz w:val="18"/>
                <w:szCs w:val="18"/>
              </w:rPr>
              <w:t>Completa el ciclo de la apertura al cierre.</w:t>
            </w:r>
          </w:p>
        </w:tc>
        <w:tc>
          <w:tcPr>
            <w:tcW w:w="1910" w:type="dxa"/>
            <w:shd w:val="clear" w:color="auto" w:fill="D9E2F3"/>
            <w:vAlign w:val="center"/>
          </w:tcPr>
          <w:p w14:paraId="23B706F4" w14:textId="77777777" w:rsidR="00990B14" w:rsidRDefault="00000000">
            <w:pPr>
              <w:spacing w:before="20" w:after="20"/>
              <w:jc w:val="both"/>
            </w:pPr>
            <w:r>
              <w:rPr>
                <w:sz w:val="18"/>
                <w:szCs w:val="18"/>
              </w:rPr>
              <w:t>Concilia los saldos con los registros auxiliares.</w:t>
            </w:r>
          </w:p>
        </w:tc>
      </w:tr>
      <w:tr w:rsidR="00990B14" w14:paraId="635E2331" w14:textId="77777777">
        <w:trPr>
          <w:cantSplit/>
          <w:jc w:val="center"/>
        </w:trPr>
        <w:tc>
          <w:tcPr>
            <w:tcW w:w="1772" w:type="dxa"/>
            <w:vMerge/>
            <w:shd w:val="clear" w:color="auto" w:fill="4472C4"/>
            <w:vAlign w:val="center"/>
          </w:tcPr>
          <w:p w14:paraId="7544001D" w14:textId="77777777" w:rsidR="00990B14" w:rsidRDefault="00990B14">
            <w:pPr>
              <w:spacing w:before="20" w:after="20"/>
            </w:pPr>
          </w:p>
        </w:tc>
        <w:tc>
          <w:tcPr>
            <w:tcW w:w="1854" w:type="dxa"/>
            <w:shd w:val="clear" w:color="auto" w:fill="D9E2F3"/>
            <w:vAlign w:val="center"/>
          </w:tcPr>
          <w:p w14:paraId="4CC54302" w14:textId="77777777" w:rsidR="00990B14" w:rsidRDefault="00000000">
            <w:pPr>
              <w:spacing w:before="20" w:after="20"/>
              <w:jc w:val="both"/>
            </w:pPr>
            <w:r>
              <w:rPr>
                <w:sz w:val="18"/>
                <w:szCs w:val="18"/>
              </w:rPr>
              <w:t>Previsiones y deterioro</w:t>
            </w:r>
          </w:p>
        </w:tc>
        <w:tc>
          <w:tcPr>
            <w:tcW w:w="2015" w:type="dxa"/>
            <w:shd w:val="clear" w:color="auto" w:fill="D9E2F3"/>
            <w:vAlign w:val="center"/>
          </w:tcPr>
          <w:p w14:paraId="46A881E9" w14:textId="77777777" w:rsidR="00990B14" w:rsidRDefault="00000000">
            <w:pPr>
              <w:spacing w:before="20" w:after="20"/>
              <w:jc w:val="both"/>
            </w:pPr>
            <w:r>
              <w:rPr>
                <w:sz w:val="18"/>
                <w:szCs w:val="18"/>
              </w:rPr>
              <w:t>Omite previsiones.</w:t>
            </w:r>
          </w:p>
        </w:tc>
        <w:tc>
          <w:tcPr>
            <w:tcW w:w="1854" w:type="dxa"/>
            <w:shd w:val="clear" w:color="auto" w:fill="D9E2F3"/>
            <w:vAlign w:val="center"/>
          </w:tcPr>
          <w:p w14:paraId="498CADD9" w14:textId="77777777" w:rsidR="00990B14" w:rsidRDefault="00000000">
            <w:pPr>
              <w:spacing w:before="20" w:after="20"/>
              <w:jc w:val="both"/>
            </w:pPr>
            <w:r>
              <w:rPr>
                <w:sz w:val="18"/>
                <w:szCs w:val="18"/>
              </w:rPr>
              <w:t>Registra previsiones y deterioro por eventos climáticos.</w:t>
            </w:r>
          </w:p>
        </w:tc>
        <w:tc>
          <w:tcPr>
            <w:tcW w:w="1910" w:type="dxa"/>
            <w:shd w:val="clear" w:color="auto" w:fill="D9E2F3"/>
            <w:vAlign w:val="center"/>
          </w:tcPr>
          <w:p w14:paraId="34F62E62" w14:textId="77777777" w:rsidR="00990B14" w:rsidRDefault="00000000">
            <w:pPr>
              <w:spacing w:before="20" w:after="20"/>
              <w:jc w:val="both"/>
            </w:pPr>
            <w:r>
              <w:rPr>
                <w:sz w:val="18"/>
                <w:szCs w:val="18"/>
              </w:rPr>
              <w:t>Sustenta las estimaciones con documentación.</w:t>
            </w:r>
          </w:p>
        </w:tc>
      </w:tr>
      <w:tr w:rsidR="00990B14" w14:paraId="33B9100D" w14:textId="77777777">
        <w:trPr>
          <w:cantSplit/>
          <w:jc w:val="center"/>
        </w:trPr>
        <w:tc>
          <w:tcPr>
            <w:tcW w:w="1772" w:type="dxa"/>
            <w:vMerge/>
            <w:shd w:val="clear" w:color="auto" w:fill="4472C4"/>
            <w:vAlign w:val="center"/>
          </w:tcPr>
          <w:p w14:paraId="2D78F47B" w14:textId="77777777" w:rsidR="00990B14" w:rsidRDefault="00990B14">
            <w:pPr>
              <w:spacing w:before="20" w:after="20"/>
            </w:pPr>
          </w:p>
        </w:tc>
        <w:tc>
          <w:tcPr>
            <w:tcW w:w="1854" w:type="dxa"/>
            <w:shd w:val="clear" w:color="auto" w:fill="D9E2F3"/>
            <w:vAlign w:val="center"/>
          </w:tcPr>
          <w:p w14:paraId="1447D8D2" w14:textId="77777777" w:rsidR="00990B14" w:rsidRDefault="00000000">
            <w:pPr>
              <w:spacing w:before="20" w:after="20"/>
              <w:jc w:val="both"/>
            </w:pPr>
            <w:r>
              <w:rPr>
                <w:sz w:val="18"/>
                <w:szCs w:val="18"/>
              </w:rPr>
              <w:t>Estados financieros</w:t>
            </w:r>
          </w:p>
        </w:tc>
        <w:tc>
          <w:tcPr>
            <w:tcW w:w="2015" w:type="dxa"/>
            <w:shd w:val="clear" w:color="auto" w:fill="D9E2F3"/>
            <w:vAlign w:val="center"/>
          </w:tcPr>
          <w:p w14:paraId="2355A45E" w14:textId="77777777" w:rsidR="00990B14" w:rsidRDefault="00000000">
            <w:pPr>
              <w:spacing w:before="20" w:after="20"/>
              <w:jc w:val="both"/>
            </w:pPr>
            <w:r>
              <w:rPr>
                <w:sz w:val="18"/>
                <w:szCs w:val="18"/>
              </w:rPr>
              <w:t>Los estados no cuadran.</w:t>
            </w:r>
          </w:p>
        </w:tc>
        <w:tc>
          <w:tcPr>
            <w:tcW w:w="1854" w:type="dxa"/>
            <w:shd w:val="clear" w:color="auto" w:fill="D9E2F3"/>
            <w:vAlign w:val="center"/>
          </w:tcPr>
          <w:p w14:paraId="278F66D8" w14:textId="77777777" w:rsidR="00990B14" w:rsidRDefault="00000000">
            <w:pPr>
              <w:spacing w:before="20" w:after="20"/>
              <w:jc w:val="both"/>
            </w:pPr>
            <w:r>
              <w:rPr>
                <w:sz w:val="18"/>
                <w:szCs w:val="18"/>
              </w:rPr>
              <w:t>Presenta los estados completos y cuadrados.</w:t>
            </w:r>
          </w:p>
        </w:tc>
        <w:tc>
          <w:tcPr>
            <w:tcW w:w="1910" w:type="dxa"/>
            <w:shd w:val="clear" w:color="auto" w:fill="D9E2F3"/>
            <w:vAlign w:val="center"/>
          </w:tcPr>
          <w:p w14:paraId="436924E4" w14:textId="77777777" w:rsidR="00990B14" w:rsidRDefault="00000000">
            <w:pPr>
              <w:spacing w:before="20" w:after="20"/>
              <w:jc w:val="both"/>
            </w:pPr>
            <w:r>
              <w:rPr>
                <w:sz w:val="18"/>
                <w:szCs w:val="18"/>
              </w:rPr>
              <w:t>Analiza la situación financiera de la empresa.</w:t>
            </w:r>
          </w:p>
        </w:tc>
      </w:tr>
      <w:tr w:rsidR="00990B14" w14:paraId="4BFD7FDE" w14:textId="77777777">
        <w:trPr>
          <w:cantSplit/>
          <w:jc w:val="center"/>
        </w:trPr>
        <w:tc>
          <w:tcPr>
            <w:tcW w:w="1772" w:type="dxa"/>
            <w:vMerge/>
            <w:shd w:val="clear" w:color="auto" w:fill="4472C4"/>
            <w:vAlign w:val="center"/>
          </w:tcPr>
          <w:p w14:paraId="5DA998AA" w14:textId="77777777" w:rsidR="00990B14" w:rsidRDefault="00990B14">
            <w:pPr>
              <w:spacing w:before="20" w:after="20"/>
            </w:pPr>
          </w:p>
        </w:tc>
        <w:tc>
          <w:tcPr>
            <w:tcW w:w="5723" w:type="dxa"/>
            <w:gridSpan w:val="3"/>
            <w:shd w:val="clear" w:color="auto" w:fill="D9E2F3"/>
            <w:vAlign w:val="center"/>
          </w:tcPr>
          <w:p w14:paraId="4E5298B5" w14:textId="77777777" w:rsidR="00990B14" w:rsidRDefault="00000000">
            <w:pPr>
              <w:keepNext/>
              <w:spacing w:before="20" w:after="20"/>
              <w:jc w:val="both"/>
            </w:pPr>
            <w:r>
              <w:rPr>
                <w:b/>
                <w:bCs/>
                <w:i/>
                <w:iCs/>
                <w:sz w:val="18"/>
                <w:szCs w:val="18"/>
              </w:rPr>
              <w:t xml:space="preserve">Producto 15: </w:t>
            </w:r>
            <w:r>
              <w:rPr>
                <w:sz w:val="18"/>
                <w:szCs w:val="18"/>
              </w:rPr>
              <w:t>Proyección del hato vacuno</w:t>
            </w:r>
          </w:p>
        </w:tc>
        <w:tc>
          <w:tcPr>
            <w:tcW w:w="1910" w:type="dxa"/>
            <w:shd w:val="clear" w:color="auto" w:fill="D9E2F3"/>
            <w:vAlign w:val="center"/>
          </w:tcPr>
          <w:p w14:paraId="51B9479F" w14:textId="77777777" w:rsidR="00990B14" w:rsidRDefault="00000000">
            <w:pPr>
              <w:spacing w:before="20" w:after="20"/>
              <w:jc w:val="center"/>
            </w:pPr>
            <w:r>
              <w:rPr>
                <w:b/>
                <w:bCs/>
                <w:sz w:val="18"/>
                <w:szCs w:val="18"/>
              </w:rPr>
              <w:t>2%</w:t>
            </w:r>
          </w:p>
        </w:tc>
      </w:tr>
      <w:tr w:rsidR="00990B14" w14:paraId="0C6FBE58" w14:textId="77777777">
        <w:trPr>
          <w:cantSplit/>
          <w:jc w:val="center"/>
        </w:trPr>
        <w:tc>
          <w:tcPr>
            <w:tcW w:w="1772" w:type="dxa"/>
            <w:vMerge/>
            <w:shd w:val="clear" w:color="auto" w:fill="4472C4"/>
            <w:vAlign w:val="center"/>
          </w:tcPr>
          <w:p w14:paraId="571F5112" w14:textId="77777777" w:rsidR="00990B14" w:rsidRDefault="00990B14">
            <w:pPr>
              <w:spacing w:before="20" w:after="20"/>
            </w:pPr>
          </w:p>
        </w:tc>
        <w:tc>
          <w:tcPr>
            <w:tcW w:w="1854" w:type="dxa"/>
            <w:shd w:val="clear" w:color="auto" w:fill="4472C4"/>
            <w:vAlign w:val="center"/>
          </w:tcPr>
          <w:p w14:paraId="67760F2E"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37314A47" w14:textId="77777777" w:rsidR="00990B14" w:rsidRDefault="00000000">
            <w:pPr>
              <w:keepNext/>
              <w:spacing w:before="20" w:after="20"/>
              <w:jc w:val="center"/>
            </w:pPr>
            <w:r>
              <w:rPr>
                <w:b/>
                <w:bCs/>
                <w:i/>
                <w:iCs/>
                <w:color w:val="FFFFFF"/>
                <w:sz w:val="18"/>
                <w:szCs w:val="18"/>
              </w:rPr>
              <w:t>Insuficiente (1–50)</w:t>
            </w:r>
          </w:p>
        </w:tc>
        <w:tc>
          <w:tcPr>
            <w:tcW w:w="1854" w:type="dxa"/>
            <w:shd w:val="clear" w:color="auto" w:fill="4472C4"/>
            <w:vAlign w:val="center"/>
          </w:tcPr>
          <w:p w14:paraId="78FB5537"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5D010D80" w14:textId="77777777" w:rsidR="00990B14" w:rsidRDefault="00000000">
            <w:pPr>
              <w:keepNext/>
              <w:spacing w:before="20" w:after="20"/>
              <w:jc w:val="center"/>
            </w:pPr>
            <w:r>
              <w:rPr>
                <w:b/>
                <w:bCs/>
                <w:i/>
                <w:iCs/>
                <w:color w:val="FFFFFF"/>
                <w:sz w:val="18"/>
                <w:szCs w:val="18"/>
              </w:rPr>
              <w:t>Destacado (81–100)</w:t>
            </w:r>
          </w:p>
        </w:tc>
      </w:tr>
      <w:tr w:rsidR="00990B14" w14:paraId="3AC89390" w14:textId="77777777">
        <w:trPr>
          <w:cantSplit/>
          <w:jc w:val="center"/>
        </w:trPr>
        <w:tc>
          <w:tcPr>
            <w:tcW w:w="1772" w:type="dxa"/>
            <w:vMerge/>
            <w:shd w:val="clear" w:color="auto" w:fill="4472C4"/>
            <w:vAlign w:val="center"/>
          </w:tcPr>
          <w:p w14:paraId="35E5FD74" w14:textId="77777777" w:rsidR="00990B14" w:rsidRDefault="00990B14">
            <w:pPr>
              <w:spacing w:before="20" w:after="20"/>
            </w:pPr>
          </w:p>
        </w:tc>
        <w:tc>
          <w:tcPr>
            <w:tcW w:w="1854" w:type="dxa"/>
            <w:shd w:val="clear" w:color="auto" w:fill="D9E2F3"/>
            <w:vAlign w:val="center"/>
          </w:tcPr>
          <w:p w14:paraId="5339098E" w14:textId="77777777" w:rsidR="00990B14" w:rsidRDefault="00000000">
            <w:pPr>
              <w:spacing w:before="20" w:after="20"/>
              <w:jc w:val="both"/>
            </w:pPr>
            <w:r>
              <w:rPr>
                <w:sz w:val="18"/>
                <w:szCs w:val="18"/>
              </w:rPr>
              <w:t>Categorización</w:t>
            </w:r>
          </w:p>
        </w:tc>
        <w:tc>
          <w:tcPr>
            <w:tcW w:w="2015" w:type="dxa"/>
            <w:shd w:val="clear" w:color="auto" w:fill="D9E2F3"/>
            <w:vAlign w:val="center"/>
          </w:tcPr>
          <w:p w14:paraId="4E307230" w14:textId="77777777" w:rsidR="00990B14" w:rsidRDefault="00000000">
            <w:pPr>
              <w:spacing w:before="20" w:after="20"/>
              <w:jc w:val="both"/>
            </w:pPr>
            <w:r>
              <w:rPr>
                <w:sz w:val="18"/>
                <w:szCs w:val="18"/>
              </w:rPr>
              <w:t>Categoriza mal por edad o destino.</w:t>
            </w:r>
          </w:p>
        </w:tc>
        <w:tc>
          <w:tcPr>
            <w:tcW w:w="1854" w:type="dxa"/>
            <w:shd w:val="clear" w:color="auto" w:fill="D9E2F3"/>
            <w:vAlign w:val="center"/>
          </w:tcPr>
          <w:p w14:paraId="339980F7" w14:textId="77777777" w:rsidR="00990B14" w:rsidRDefault="00000000">
            <w:pPr>
              <w:spacing w:before="20" w:after="20"/>
              <w:jc w:val="both"/>
            </w:pPr>
            <w:r>
              <w:rPr>
                <w:sz w:val="18"/>
                <w:szCs w:val="18"/>
              </w:rPr>
              <w:t>Categoriza el hato por edad y destino.</w:t>
            </w:r>
          </w:p>
        </w:tc>
        <w:tc>
          <w:tcPr>
            <w:tcW w:w="1910" w:type="dxa"/>
            <w:shd w:val="clear" w:color="auto" w:fill="D9E2F3"/>
            <w:vAlign w:val="center"/>
          </w:tcPr>
          <w:p w14:paraId="22F5624B" w14:textId="77777777" w:rsidR="00990B14" w:rsidRDefault="00000000">
            <w:pPr>
              <w:spacing w:before="20" w:after="20"/>
              <w:jc w:val="both"/>
            </w:pPr>
            <w:r>
              <w:rPr>
                <w:sz w:val="18"/>
                <w:szCs w:val="18"/>
              </w:rPr>
              <w:t>Explica el cambio de edad entre categorías.</w:t>
            </w:r>
          </w:p>
        </w:tc>
      </w:tr>
      <w:tr w:rsidR="00990B14" w14:paraId="70594A51" w14:textId="77777777">
        <w:trPr>
          <w:cantSplit/>
          <w:jc w:val="center"/>
        </w:trPr>
        <w:tc>
          <w:tcPr>
            <w:tcW w:w="1772" w:type="dxa"/>
            <w:vMerge/>
            <w:shd w:val="clear" w:color="auto" w:fill="4472C4"/>
            <w:vAlign w:val="center"/>
          </w:tcPr>
          <w:p w14:paraId="3BD1DD9E" w14:textId="77777777" w:rsidR="00990B14" w:rsidRDefault="00990B14">
            <w:pPr>
              <w:spacing w:before="20" w:after="20"/>
            </w:pPr>
          </w:p>
        </w:tc>
        <w:tc>
          <w:tcPr>
            <w:tcW w:w="1854" w:type="dxa"/>
            <w:shd w:val="clear" w:color="auto" w:fill="D9E2F3"/>
            <w:vAlign w:val="center"/>
          </w:tcPr>
          <w:p w14:paraId="7D2FDC39" w14:textId="77777777" w:rsidR="00990B14" w:rsidRDefault="00000000">
            <w:pPr>
              <w:spacing w:before="20" w:after="20"/>
              <w:jc w:val="both"/>
            </w:pPr>
            <w:r>
              <w:rPr>
                <w:sz w:val="18"/>
                <w:szCs w:val="18"/>
              </w:rPr>
              <w:t>Coeficientes</w:t>
            </w:r>
          </w:p>
        </w:tc>
        <w:tc>
          <w:tcPr>
            <w:tcW w:w="2015" w:type="dxa"/>
            <w:shd w:val="clear" w:color="auto" w:fill="D9E2F3"/>
            <w:vAlign w:val="center"/>
          </w:tcPr>
          <w:p w14:paraId="30207124" w14:textId="77777777" w:rsidR="00990B14" w:rsidRDefault="00000000">
            <w:pPr>
              <w:spacing w:before="20" w:after="20"/>
              <w:jc w:val="both"/>
            </w:pPr>
            <w:r>
              <w:rPr>
                <w:sz w:val="18"/>
                <w:szCs w:val="18"/>
              </w:rPr>
              <w:t>Omite coeficientes.</w:t>
            </w:r>
          </w:p>
        </w:tc>
        <w:tc>
          <w:tcPr>
            <w:tcW w:w="1854" w:type="dxa"/>
            <w:shd w:val="clear" w:color="auto" w:fill="D9E2F3"/>
            <w:vAlign w:val="center"/>
          </w:tcPr>
          <w:p w14:paraId="67A1446C" w14:textId="77777777" w:rsidR="00990B14" w:rsidRDefault="00000000">
            <w:pPr>
              <w:spacing w:before="20" w:after="20"/>
              <w:jc w:val="both"/>
            </w:pPr>
            <w:r>
              <w:rPr>
                <w:sz w:val="18"/>
                <w:szCs w:val="18"/>
              </w:rPr>
              <w:t>Aplica los coeficientes de procreación, mortandad y descarte.</w:t>
            </w:r>
          </w:p>
        </w:tc>
        <w:tc>
          <w:tcPr>
            <w:tcW w:w="1910" w:type="dxa"/>
            <w:shd w:val="clear" w:color="auto" w:fill="D9E2F3"/>
            <w:vAlign w:val="center"/>
          </w:tcPr>
          <w:p w14:paraId="30CAD4FA" w14:textId="77777777" w:rsidR="00990B14" w:rsidRDefault="00000000">
            <w:pPr>
              <w:spacing w:before="20" w:after="20"/>
              <w:jc w:val="both"/>
            </w:pPr>
            <w:r>
              <w:rPr>
                <w:sz w:val="18"/>
                <w:szCs w:val="18"/>
              </w:rPr>
              <w:t>Evalúa el efecto de cada coeficiente en la proyección.</w:t>
            </w:r>
          </w:p>
        </w:tc>
      </w:tr>
      <w:tr w:rsidR="00990B14" w14:paraId="07F30770" w14:textId="77777777">
        <w:trPr>
          <w:cantSplit/>
          <w:jc w:val="center"/>
        </w:trPr>
        <w:tc>
          <w:tcPr>
            <w:tcW w:w="1772" w:type="dxa"/>
            <w:vMerge/>
            <w:shd w:val="clear" w:color="auto" w:fill="4472C4"/>
            <w:vAlign w:val="center"/>
          </w:tcPr>
          <w:p w14:paraId="2C84FAEA" w14:textId="77777777" w:rsidR="00990B14" w:rsidRDefault="00990B14">
            <w:pPr>
              <w:spacing w:before="20" w:after="20"/>
            </w:pPr>
          </w:p>
        </w:tc>
        <w:tc>
          <w:tcPr>
            <w:tcW w:w="1854" w:type="dxa"/>
            <w:shd w:val="clear" w:color="auto" w:fill="D9E2F3"/>
            <w:vAlign w:val="center"/>
          </w:tcPr>
          <w:p w14:paraId="049AB5A8" w14:textId="77777777" w:rsidR="00990B14" w:rsidRDefault="00000000">
            <w:pPr>
              <w:spacing w:before="20" w:after="20"/>
              <w:jc w:val="both"/>
            </w:pPr>
            <w:r>
              <w:rPr>
                <w:sz w:val="18"/>
                <w:szCs w:val="18"/>
              </w:rPr>
              <w:t>Uso de la hoja de cálculo</w:t>
            </w:r>
          </w:p>
        </w:tc>
        <w:tc>
          <w:tcPr>
            <w:tcW w:w="2015" w:type="dxa"/>
            <w:shd w:val="clear" w:color="auto" w:fill="D9E2F3"/>
            <w:vAlign w:val="center"/>
          </w:tcPr>
          <w:p w14:paraId="3E37AEEB" w14:textId="77777777" w:rsidR="00990B14" w:rsidRDefault="00000000">
            <w:pPr>
              <w:spacing w:before="20" w:after="20"/>
              <w:jc w:val="both"/>
            </w:pPr>
            <w:r>
              <w:rPr>
                <w:sz w:val="18"/>
                <w:szCs w:val="18"/>
              </w:rPr>
              <w:t>No usa fórmulas.</w:t>
            </w:r>
          </w:p>
        </w:tc>
        <w:tc>
          <w:tcPr>
            <w:tcW w:w="1854" w:type="dxa"/>
            <w:shd w:val="clear" w:color="auto" w:fill="D9E2F3"/>
            <w:vAlign w:val="center"/>
          </w:tcPr>
          <w:p w14:paraId="793E52BF" w14:textId="77777777" w:rsidR="00990B14" w:rsidRDefault="00000000">
            <w:pPr>
              <w:spacing w:before="20" w:after="20"/>
              <w:jc w:val="both"/>
            </w:pPr>
            <w:r>
              <w:rPr>
                <w:sz w:val="18"/>
                <w:szCs w:val="18"/>
              </w:rPr>
              <w:t>Usa fórmulas y vínculos entre años.</w:t>
            </w:r>
          </w:p>
        </w:tc>
        <w:tc>
          <w:tcPr>
            <w:tcW w:w="1910" w:type="dxa"/>
            <w:shd w:val="clear" w:color="auto" w:fill="D9E2F3"/>
            <w:vAlign w:val="center"/>
          </w:tcPr>
          <w:p w14:paraId="66F9605F" w14:textId="77777777" w:rsidR="00990B14" w:rsidRDefault="00000000">
            <w:pPr>
              <w:spacing w:before="20" w:after="20"/>
              <w:jc w:val="both"/>
            </w:pPr>
            <w:r>
              <w:rPr>
                <w:sz w:val="18"/>
                <w:szCs w:val="18"/>
              </w:rPr>
              <w:t>El modelo permite simular escenarios.</w:t>
            </w:r>
          </w:p>
        </w:tc>
      </w:tr>
      <w:tr w:rsidR="00990B14" w14:paraId="2E4D744F" w14:textId="77777777">
        <w:trPr>
          <w:cantSplit/>
          <w:jc w:val="center"/>
        </w:trPr>
        <w:tc>
          <w:tcPr>
            <w:tcW w:w="1772" w:type="dxa"/>
            <w:vMerge/>
            <w:shd w:val="clear" w:color="auto" w:fill="4472C4"/>
            <w:vAlign w:val="center"/>
          </w:tcPr>
          <w:p w14:paraId="11710EE2" w14:textId="77777777" w:rsidR="00990B14" w:rsidRDefault="00990B14">
            <w:pPr>
              <w:spacing w:before="20" w:after="20"/>
            </w:pPr>
          </w:p>
        </w:tc>
        <w:tc>
          <w:tcPr>
            <w:tcW w:w="5723" w:type="dxa"/>
            <w:gridSpan w:val="3"/>
            <w:shd w:val="clear" w:color="auto" w:fill="D9E2F3"/>
            <w:vAlign w:val="center"/>
          </w:tcPr>
          <w:p w14:paraId="3954BA9C" w14:textId="77777777" w:rsidR="00990B14" w:rsidRDefault="00000000">
            <w:pPr>
              <w:keepNext/>
              <w:spacing w:before="20" w:after="20"/>
              <w:jc w:val="both"/>
            </w:pPr>
            <w:r>
              <w:rPr>
                <w:b/>
                <w:bCs/>
                <w:i/>
                <w:iCs/>
                <w:sz w:val="18"/>
                <w:szCs w:val="18"/>
              </w:rPr>
              <w:t xml:space="preserve">Producto 16: </w:t>
            </w:r>
            <w:r>
              <w:rPr>
                <w:sz w:val="18"/>
                <w:szCs w:val="18"/>
              </w:rPr>
              <w:t>Cuadro de categorización de especies</w:t>
            </w:r>
          </w:p>
        </w:tc>
        <w:tc>
          <w:tcPr>
            <w:tcW w:w="1910" w:type="dxa"/>
            <w:shd w:val="clear" w:color="auto" w:fill="D9E2F3"/>
            <w:vAlign w:val="center"/>
          </w:tcPr>
          <w:p w14:paraId="0287C998" w14:textId="77777777" w:rsidR="00990B14" w:rsidRDefault="00000000">
            <w:pPr>
              <w:spacing w:before="20" w:after="20"/>
              <w:jc w:val="center"/>
            </w:pPr>
            <w:r>
              <w:rPr>
                <w:b/>
                <w:bCs/>
                <w:sz w:val="18"/>
                <w:szCs w:val="18"/>
              </w:rPr>
              <w:t>2%</w:t>
            </w:r>
          </w:p>
        </w:tc>
      </w:tr>
      <w:tr w:rsidR="00990B14" w14:paraId="37350F2D" w14:textId="77777777">
        <w:trPr>
          <w:cantSplit/>
          <w:jc w:val="center"/>
        </w:trPr>
        <w:tc>
          <w:tcPr>
            <w:tcW w:w="1772" w:type="dxa"/>
            <w:vMerge/>
            <w:shd w:val="clear" w:color="auto" w:fill="4472C4"/>
            <w:vAlign w:val="center"/>
          </w:tcPr>
          <w:p w14:paraId="6C73B4FE" w14:textId="77777777" w:rsidR="00990B14" w:rsidRDefault="00990B14">
            <w:pPr>
              <w:spacing w:before="20" w:after="20"/>
            </w:pPr>
          </w:p>
        </w:tc>
        <w:tc>
          <w:tcPr>
            <w:tcW w:w="1854" w:type="dxa"/>
            <w:shd w:val="clear" w:color="auto" w:fill="4472C4"/>
            <w:vAlign w:val="center"/>
          </w:tcPr>
          <w:p w14:paraId="2DF37141"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6F4CA38D" w14:textId="77777777" w:rsidR="00990B14" w:rsidRDefault="00000000">
            <w:pPr>
              <w:keepNext/>
              <w:spacing w:before="20" w:after="20"/>
              <w:jc w:val="center"/>
            </w:pPr>
            <w:r>
              <w:rPr>
                <w:b/>
                <w:bCs/>
                <w:i/>
                <w:iCs/>
                <w:color w:val="FFFFFF"/>
                <w:sz w:val="18"/>
                <w:szCs w:val="18"/>
              </w:rPr>
              <w:t>Insuficiente (1–50)</w:t>
            </w:r>
          </w:p>
        </w:tc>
        <w:tc>
          <w:tcPr>
            <w:tcW w:w="1854" w:type="dxa"/>
            <w:shd w:val="clear" w:color="auto" w:fill="4472C4"/>
            <w:vAlign w:val="center"/>
          </w:tcPr>
          <w:p w14:paraId="6A2B495D"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19AA596B" w14:textId="77777777" w:rsidR="00990B14" w:rsidRDefault="00000000">
            <w:pPr>
              <w:keepNext/>
              <w:spacing w:before="20" w:after="20"/>
              <w:jc w:val="center"/>
            </w:pPr>
            <w:r>
              <w:rPr>
                <w:b/>
                <w:bCs/>
                <w:i/>
                <w:iCs/>
                <w:color w:val="FFFFFF"/>
                <w:sz w:val="18"/>
                <w:szCs w:val="18"/>
              </w:rPr>
              <w:t>Destacado (81–100)</w:t>
            </w:r>
          </w:p>
        </w:tc>
      </w:tr>
      <w:tr w:rsidR="00990B14" w14:paraId="2C030547" w14:textId="77777777">
        <w:trPr>
          <w:cantSplit/>
          <w:jc w:val="center"/>
        </w:trPr>
        <w:tc>
          <w:tcPr>
            <w:tcW w:w="1772" w:type="dxa"/>
            <w:vMerge/>
            <w:shd w:val="clear" w:color="auto" w:fill="4472C4"/>
            <w:vAlign w:val="center"/>
          </w:tcPr>
          <w:p w14:paraId="0993F8C2" w14:textId="77777777" w:rsidR="00990B14" w:rsidRDefault="00990B14">
            <w:pPr>
              <w:spacing w:before="20" w:after="20"/>
            </w:pPr>
          </w:p>
        </w:tc>
        <w:tc>
          <w:tcPr>
            <w:tcW w:w="1854" w:type="dxa"/>
            <w:shd w:val="clear" w:color="auto" w:fill="D9E2F3"/>
            <w:vAlign w:val="center"/>
          </w:tcPr>
          <w:p w14:paraId="0CBAE1ED" w14:textId="77777777" w:rsidR="00990B14" w:rsidRDefault="00000000">
            <w:pPr>
              <w:spacing w:before="20" w:after="20"/>
              <w:jc w:val="both"/>
            </w:pPr>
            <w:r>
              <w:rPr>
                <w:sz w:val="18"/>
                <w:szCs w:val="18"/>
              </w:rPr>
              <w:t>Categorías por especie</w:t>
            </w:r>
          </w:p>
        </w:tc>
        <w:tc>
          <w:tcPr>
            <w:tcW w:w="2015" w:type="dxa"/>
            <w:shd w:val="clear" w:color="auto" w:fill="D9E2F3"/>
            <w:vAlign w:val="center"/>
          </w:tcPr>
          <w:p w14:paraId="787A0474" w14:textId="77777777" w:rsidR="00990B14" w:rsidRDefault="00000000">
            <w:pPr>
              <w:spacing w:before="20" w:after="20"/>
              <w:jc w:val="both"/>
            </w:pPr>
            <w:r>
              <w:rPr>
                <w:sz w:val="18"/>
                <w:szCs w:val="18"/>
              </w:rPr>
              <w:t>Confunde categorías.</w:t>
            </w:r>
          </w:p>
        </w:tc>
        <w:tc>
          <w:tcPr>
            <w:tcW w:w="1854" w:type="dxa"/>
            <w:shd w:val="clear" w:color="auto" w:fill="D9E2F3"/>
            <w:vAlign w:val="center"/>
          </w:tcPr>
          <w:p w14:paraId="7C09E1A7" w14:textId="77777777" w:rsidR="00990B14" w:rsidRDefault="00000000">
            <w:pPr>
              <w:spacing w:before="20" w:after="20"/>
              <w:jc w:val="both"/>
            </w:pPr>
            <w:r>
              <w:rPr>
                <w:sz w:val="18"/>
                <w:szCs w:val="18"/>
              </w:rPr>
              <w:t>Categoriza cada especie.</w:t>
            </w:r>
          </w:p>
        </w:tc>
        <w:tc>
          <w:tcPr>
            <w:tcW w:w="1910" w:type="dxa"/>
            <w:shd w:val="clear" w:color="auto" w:fill="D9E2F3"/>
            <w:vAlign w:val="center"/>
          </w:tcPr>
          <w:p w14:paraId="2222CC44" w14:textId="77777777" w:rsidR="00990B14" w:rsidRDefault="00000000">
            <w:pPr>
              <w:spacing w:before="20" w:after="20"/>
              <w:jc w:val="both"/>
            </w:pPr>
            <w:r>
              <w:rPr>
                <w:sz w:val="18"/>
                <w:szCs w:val="18"/>
              </w:rPr>
              <w:t>Compara las diferencias de manejo entre especies.</w:t>
            </w:r>
          </w:p>
        </w:tc>
      </w:tr>
      <w:tr w:rsidR="00990B14" w14:paraId="59AC7764" w14:textId="77777777">
        <w:trPr>
          <w:cantSplit/>
          <w:jc w:val="center"/>
        </w:trPr>
        <w:tc>
          <w:tcPr>
            <w:tcW w:w="1772" w:type="dxa"/>
            <w:vMerge/>
            <w:shd w:val="clear" w:color="auto" w:fill="4472C4"/>
            <w:vAlign w:val="center"/>
          </w:tcPr>
          <w:p w14:paraId="0AEE2D98" w14:textId="77777777" w:rsidR="00990B14" w:rsidRDefault="00990B14">
            <w:pPr>
              <w:spacing w:before="20" w:after="20"/>
            </w:pPr>
          </w:p>
        </w:tc>
        <w:tc>
          <w:tcPr>
            <w:tcW w:w="1854" w:type="dxa"/>
            <w:shd w:val="clear" w:color="auto" w:fill="D9E2F3"/>
            <w:vAlign w:val="center"/>
          </w:tcPr>
          <w:p w14:paraId="6E57C78E" w14:textId="77777777" w:rsidR="00990B14" w:rsidRDefault="00000000">
            <w:pPr>
              <w:spacing w:before="20" w:after="20"/>
              <w:jc w:val="both"/>
            </w:pPr>
            <w:r>
              <w:rPr>
                <w:sz w:val="18"/>
                <w:szCs w:val="18"/>
              </w:rPr>
              <w:t>Coeficiente de procreación</w:t>
            </w:r>
          </w:p>
        </w:tc>
        <w:tc>
          <w:tcPr>
            <w:tcW w:w="2015" w:type="dxa"/>
            <w:shd w:val="clear" w:color="auto" w:fill="D9E2F3"/>
            <w:vAlign w:val="center"/>
          </w:tcPr>
          <w:p w14:paraId="388F7A4A" w14:textId="77777777" w:rsidR="00990B14" w:rsidRDefault="00000000">
            <w:pPr>
              <w:spacing w:before="20" w:after="20"/>
              <w:jc w:val="both"/>
            </w:pPr>
            <w:r>
              <w:rPr>
                <w:sz w:val="18"/>
                <w:szCs w:val="18"/>
              </w:rPr>
              <w:t>Aplica mal el coeficiente.</w:t>
            </w:r>
          </w:p>
        </w:tc>
        <w:tc>
          <w:tcPr>
            <w:tcW w:w="1854" w:type="dxa"/>
            <w:shd w:val="clear" w:color="auto" w:fill="D9E2F3"/>
            <w:vAlign w:val="center"/>
          </w:tcPr>
          <w:p w14:paraId="73532B57" w14:textId="77777777" w:rsidR="00990B14" w:rsidRDefault="00000000">
            <w:pPr>
              <w:spacing w:before="20" w:after="20"/>
              <w:jc w:val="both"/>
            </w:pPr>
            <w:r>
              <w:rPr>
                <w:sz w:val="18"/>
                <w:szCs w:val="18"/>
              </w:rPr>
              <w:t>Aplica el coeficiente de cada especie.</w:t>
            </w:r>
          </w:p>
        </w:tc>
        <w:tc>
          <w:tcPr>
            <w:tcW w:w="1910" w:type="dxa"/>
            <w:shd w:val="clear" w:color="auto" w:fill="D9E2F3"/>
            <w:vAlign w:val="center"/>
          </w:tcPr>
          <w:p w14:paraId="58B2AD3A" w14:textId="77777777" w:rsidR="00990B14" w:rsidRDefault="00000000">
            <w:pPr>
              <w:spacing w:before="20" w:after="20"/>
              <w:jc w:val="both"/>
            </w:pPr>
            <w:r>
              <w:rPr>
                <w:sz w:val="18"/>
                <w:szCs w:val="18"/>
              </w:rPr>
              <w:t>Justifica el coeficiente con datos del sector.</w:t>
            </w:r>
          </w:p>
        </w:tc>
      </w:tr>
      <w:tr w:rsidR="00990B14" w14:paraId="13F64229" w14:textId="77777777">
        <w:trPr>
          <w:cantSplit/>
          <w:jc w:val="center"/>
        </w:trPr>
        <w:tc>
          <w:tcPr>
            <w:tcW w:w="1772" w:type="dxa"/>
            <w:vMerge/>
            <w:shd w:val="clear" w:color="auto" w:fill="4472C4"/>
            <w:vAlign w:val="center"/>
          </w:tcPr>
          <w:p w14:paraId="486D11B1" w14:textId="77777777" w:rsidR="00990B14" w:rsidRDefault="00990B14">
            <w:pPr>
              <w:spacing w:before="20" w:after="20"/>
            </w:pPr>
          </w:p>
        </w:tc>
        <w:tc>
          <w:tcPr>
            <w:tcW w:w="1854" w:type="dxa"/>
            <w:shd w:val="clear" w:color="auto" w:fill="D9E2F3"/>
            <w:vAlign w:val="center"/>
          </w:tcPr>
          <w:p w14:paraId="1B4C8F64" w14:textId="77777777" w:rsidR="00990B14" w:rsidRDefault="00000000">
            <w:pPr>
              <w:spacing w:before="20" w:after="20"/>
              <w:jc w:val="both"/>
            </w:pPr>
            <w:r>
              <w:rPr>
                <w:sz w:val="18"/>
                <w:szCs w:val="18"/>
              </w:rPr>
              <w:t>Trabajo en equipo</w:t>
            </w:r>
          </w:p>
        </w:tc>
        <w:tc>
          <w:tcPr>
            <w:tcW w:w="2015" w:type="dxa"/>
            <w:shd w:val="clear" w:color="auto" w:fill="D9E2F3"/>
            <w:vAlign w:val="center"/>
          </w:tcPr>
          <w:p w14:paraId="6325ABDE" w14:textId="77777777" w:rsidR="00990B14" w:rsidRDefault="00000000">
            <w:pPr>
              <w:spacing w:before="20" w:after="20"/>
              <w:jc w:val="both"/>
            </w:pPr>
            <w:r>
              <w:rPr>
                <w:sz w:val="18"/>
                <w:szCs w:val="18"/>
              </w:rPr>
              <w:t>La participación es desigual.</w:t>
            </w:r>
          </w:p>
        </w:tc>
        <w:tc>
          <w:tcPr>
            <w:tcW w:w="1854" w:type="dxa"/>
            <w:shd w:val="clear" w:color="auto" w:fill="D9E2F3"/>
            <w:vAlign w:val="center"/>
          </w:tcPr>
          <w:p w14:paraId="373F5ADC" w14:textId="77777777" w:rsidR="00990B14" w:rsidRDefault="00000000">
            <w:pPr>
              <w:spacing w:before="20" w:after="20"/>
              <w:jc w:val="both"/>
            </w:pPr>
            <w:r>
              <w:rPr>
                <w:sz w:val="18"/>
                <w:szCs w:val="18"/>
              </w:rPr>
              <w:t>Todos los integrantes participan.</w:t>
            </w:r>
          </w:p>
        </w:tc>
        <w:tc>
          <w:tcPr>
            <w:tcW w:w="1910" w:type="dxa"/>
            <w:shd w:val="clear" w:color="auto" w:fill="D9E2F3"/>
            <w:vAlign w:val="center"/>
          </w:tcPr>
          <w:p w14:paraId="148D8364" w14:textId="77777777" w:rsidR="00990B14" w:rsidRDefault="00000000">
            <w:pPr>
              <w:spacing w:before="20" w:after="20"/>
              <w:jc w:val="both"/>
            </w:pPr>
            <w:r>
              <w:rPr>
                <w:sz w:val="18"/>
                <w:szCs w:val="18"/>
              </w:rPr>
              <w:t>El equipo sustenta sus conclusiones ante el curso.</w:t>
            </w:r>
          </w:p>
        </w:tc>
      </w:tr>
      <w:tr w:rsidR="00990B14" w14:paraId="78ACD626" w14:textId="77777777">
        <w:trPr>
          <w:cantSplit/>
          <w:jc w:val="center"/>
        </w:trPr>
        <w:tc>
          <w:tcPr>
            <w:tcW w:w="1772" w:type="dxa"/>
            <w:vMerge/>
            <w:shd w:val="clear" w:color="auto" w:fill="4472C4"/>
            <w:vAlign w:val="center"/>
          </w:tcPr>
          <w:p w14:paraId="6954E686" w14:textId="77777777" w:rsidR="00990B14" w:rsidRDefault="00990B14">
            <w:pPr>
              <w:spacing w:before="20" w:after="20"/>
            </w:pPr>
          </w:p>
        </w:tc>
        <w:tc>
          <w:tcPr>
            <w:tcW w:w="5723" w:type="dxa"/>
            <w:gridSpan w:val="3"/>
            <w:shd w:val="clear" w:color="auto" w:fill="D9E2F3"/>
            <w:vAlign w:val="center"/>
          </w:tcPr>
          <w:p w14:paraId="791C9564" w14:textId="77777777" w:rsidR="00990B14" w:rsidRDefault="00000000">
            <w:pPr>
              <w:keepNext/>
              <w:spacing w:before="20" w:after="20"/>
              <w:jc w:val="both"/>
            </w:pPr>
            <w:r>
              <w:rPr>
                <w:b/>
                <w:bCs/>
                <w:i/>
                <w:iCs/>
                <w:sz w:val="18"/>
                <w:szCs w:val="18"/>
              </w:rPr>
              <w:t xml:space="preserve">Producto 17: </w:t>
            </w:r>
            <w:r>
              <w:rPr>
                <w:sz w:val="18"/>
                <w:szCs w:val="18"/>
              </w:rPr>
              <w:t>Esquema del proceso biológico del ganado</w:t>
            </w:r>
          </w:p>
        </w:tc>
        <w:tc>
          <w:tcPr>
            <w:tcW w:w="1910" w:type="dxa"/>
            <w:shd w:val="clear" w:color="auto" w:fill="D9E2F3"/>
            <w:vAlign w:val="center"/>
          </w:tcPr>
          <w:p w14:paraId="589C210D" w14:textId="77777777" w:rsidR="00990B14" w:rsidRDefault="00000000">
            <w:pPr>
              <w:spacing w:before="20" w:after="20"/>
              <w:jc w:val="center"/>
            </w:pPr>
            <w:r>
              <w:rPr>
                <w:b/>
                <w:bCs/>
                <w:sz w:val="18"/>
                <w:szCs w:val="18"/>
              </w:rPr>
              <w:t>4%</w:t>
            </w:r>
          </w:p>
        </w:tc>
      </w:tr>
      <w:tr w:rsidR="00990B14" w14:paraId="23277FFF" w14:textId="77777777">
        <w:trPr>
          <w:cantSplit/>
          <w:jc w:val="center"/>
        </w:trPr>
        <w:tc>
          <w:tcPr>
            <w:tcW w:w="1772" w:type="dxa"/>
            <w:vMerge/>
            <w:shd w:val="clear" w:color="auto" w:fill="4472C4"/>
            <w:vAlign w:val="center"/>
          </w:tcPr>
          <w:p w14:paraId="19A05543" w14:textId="77777777" w:rsidR="00990B14" w:rsidRDefault="00990B14">
            <w:pPr>
              <w:spacing w:before="20" w:after="20"/>
            </w:pPr>
          </w:p>
        </w:tc>
        <w:tc>
          <w:tcPr>
            <w:tcW w:w="1854" w:type="dxa"/>
            <w:shd w:val="clear" w:color="auto" w:fill="4472C4"/>
            <w:vAlign w:val="center"/>
          </w:tcPr>
          <w:p w14:paraId="36F39CB8"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3AD00D38" w14:textId="77777777" w:rsidR="00990B14" w:rsidRDefault="00000000">
            <w:pPr>
              <w:keepNext/>
              <w:spacing w:before="20" w:after="20"/>
              <w:jc w:val="center"/>
            </w:pPr>
            <w:r>
              <w:rPr>
                <w:b/>
                <w:bCs/>
                <w:i/>
                <w:iCs/>
                <w:color w:val="FFFFFF"/>
                <w:sz w:val="18"/>
                <w:szCs w:val="18"/>
              </w:rPr>
              <w:t>Insuficiente (1–50)</w:t>
            </w:r>
          </w:p>
        </w:tc>
        <w:tc>
          <w:tcPr>
            <w:tcW w:w="1854" w:type="dxa"/>
            <w:shd w:val="clear" w:color="auto" w:fill="4472C4"/>
            <w:vAlign w:val="center"/>
          </w:tcPr>
          <w:p w14:paraId="5A97F708"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12ECD802" w14:textId="77777777" w:rsidR="00990B14" w:rsidRDefault="00000000">
            <w:pPr>
              <w:keepNext/>
              <w:spacing w:before="20" w:after="20"/>
              <w:jc w:val="center"/>
            </w:pPr>
            <w:r>
              <w:rPr>
                <w:b/>
                <w:bCs/>
                <w:i/>
                <w:iCs/>
                <w:color w:val="FFFFFF"/>
                <w:sz w:val="18"/>
                <w:szCs w:val="18"/>
              </w:rPr>
              <w:t>Destacado (81–100)</w:t>
            </w:r>
          </w:p>
        </w:tc>
      </w:tr>
      <w:tr w:rsidR="00990B14" w14:paraId="0FCA1564" w14:textId="77777777">
        <w:trPr>
          <w:cantSplit/>
          <w:jc w:val="center"/>
        </w:trPr>
        <w:tc>
          <w:tcPr>
            <w:tcW w:w="1772" w:type="dxa"/>
            <w:vMerge/>
            <w:shd w:val="clear" w:color="auto" w:fill="4472C4"/>
            <w:vAlign w:val="center"/>
          </w:tcPr>
          <w:p w14:paraId="3D66271D" w14:textId="77777777" w:rsidR="00990B14" w:rsidRDefault="00990B14">
            <w:pPr>
              <w:spacing w:before="20" w:after="20"/>
            </w:pPr>
          </w:p>
        </w:tc>
        <w:tc>
          <w:tcPr>
            <w:tcW w:w="1854" w:type="dxa"/>
            <w:shd w:val="clear" w:color="auto" w:fill="D9E2F3"/>
            <w:vAlign w:val="center"/>
          </w:tcPr>
          <w:p w14:paraId="12F75656" w14:textId="77777777" w:rsidR="00990B14" w:rsidRDefault="00000000">
            <w:pPr>
              <w:spacing w:before="20" w:after="20"/>
              <w:jc w:val="both"/>
            </w:pPr>
            <w:r>
              <w:rPr>
                <w:sz w:val="18"/>
                <w:szCs w:val="18"/>
              </w:rPr>
              <w:t>Adquisición y procreo</w:t>
            </w:r>
          </w:p>
        </w:tc>
        <w:tc>
          <w:tcPr>
            <w:tcW w:w="2015" w:type="dxa"/>
            <w:shd w:val="clear" w:color="auto" w:fill="D9E2F3"/>
            <w:vAlign w:val="center"/>
          </w:tcPr>
          <w:p w14:paraId="35B7C9B4" w14:textId="77777777" w:rsidR="00990B14" w:rsidRDefault="00000000">
            <w:pPr>
              <w:spacing w:before="20" w:after="20"/>
              <w:jc w:val="both"/>
            </w:pPr>
            <w:r>
              <w:rPr>
                <w:sz w:val="18"/>
                <w:szCs w:val="18"/>
              </w:rPr>
              <w:t>Omite el procreo en proceso.</w:t>
            </w:r>
          </w:p>
        </w:tc>
        <w:tc>
          <w:tcPr>
            <w:tcW w:w="1854" w:type="dxa"/>
            <w:shd w:val="clear" w:color="auto" w:fill="D9E2F3"/>
            <w:vAlign w:val="center"/>
          </w:tcPr>
          <w:p w14:paraId="66C1DB86" w14:textId="77777777" w:rsidR="00990B14" w:rsidRDefault="00000000">
            <w:pPr>
              <w:spacing w:before="20" w:after="20"/>
              <w:jc w:val="both"/>
            </w:pPr>
            <w:r>
              <w:rPr>
                <w:sz w:val="18"/>
                <w:szCs w:val="18"/>
              </w:rPr>
              <w:t>Registra la adquisición y el procreo.</w:t>
            </w:r>
          </w:p>
        </w:tc>
        <w:tc>
          <w:tcPr>
            <w:tcW w:w="1910" w:type="dxa"/>
            <w:shd w:val="clear" w:color="auto" w:fill="D9E2F3"/>
            <w:vAlign w:val="center"/>
          </w:tcPr>
          <w:p w14:paraId="360F9B6B" w14:textId="77777777" w:rsidR="00990B14" w:rsidRDefault="00000000">
            <w:pPr>
              <w:spacing w:before="20" w:after="20"/>
              <w:jc w:val="both"/>
            </w:pPr>
            <w:r>
              <w:rPr>
                <w:sz w:val="18"/>
                <w:szCs w:val="18"/>
              </w:rPr>
              <w:t>Acumula los costos durante la gestación.</w:t>
            </w:r>
          </w:p>
        </w:tc>
      </w:tr>
      <w:tr w:rsidR="00990B14" w14:paraId="1DE008A3" w14:textId="77777777">
        <w:trPr>
          <w:cantSplit/>
          <w:jc w:val="center"/>
        </w:trPr>
        <w:tc>
          <w:tcPr>
            <w:tcW w:w="1772" w:type="dxa"/>
            <w:vMerge/>
            <w:shd w:val="clear" w:color="auto" w:fill="4472C4"/>
            <w:vAlign w:val="center"/>
          </w:tcPr>
          <w:p w14:paraId="56A355AC" w14:textId="77777777" w:rsidR="00990B14" w:rsidRDefault="00990B14">
            <w:pPr>
              <w:spacing w:before="20" w:after="20"/>
            </w:pPr>
          </w:p>
        </w:tc>
        <w:tc>
          <w:tcPr>
            <w:tcW w:w="1854" w:type="dxa"/>
            <w:shd w:val="clear" w:color="auto" w:fill="D9E2F3"/>
            <w:vAlign w:val="center"/>
          </w:tcPr>
          <w:p w14:paraId="531A981A" w14:textId="77777777" w:rsidR="00990B14" w:rsidRDefault="00000000">
            <w:pPr>
              <w:spacing w:before="20" w:after="20"/>
              <w:jc w:val="both"/>
            </w:pPr>
            <w:r>
              <w:rPr>
                <w:sz w:val="18"/>
                <w:szCs w:val="18"/>
              </w:rPr>
              <w:t>Venta de ganado</w:t>
            </w:r>
          </w:p>
        </w:tc>
        <w:tc>
          <w:tcPr>
            <w:tcW w:w="2015" w:type="dxa"/>
            <w:shd w:val="clear" w:color="auto" w:fill="D9E2F3"/>
            <w:vAlign w:val="center"/>
          </w:tcPr>
          <w:p w14:paraId="3E49F782" w14:textId="77777777" w:rsidR="00990B14" w:rsidRDefault="00000000">
            <w:pPr>
              <w:spacing w:before="20" w:after="20"/>
              <w:jc w:val="both"/>
            </w:pPr>
            <w:r>
              <w:rPr>
                <w:sz w:val="18"/>
                <w:szCs w:val="18"/>
              </w:rPr>
              <w:t>Confunde las modalidades de venta.</w:t>
            </w:r>
          </w:p>
        </w:tc>
        <w:tc>
          <w:tcPr>
            <w:tcW w:w="1854" w:type="dxa"/>
            <w:shd w:val="clear" w:color="auto" w:fill="D9E2F3"/>
            <w:vAlign w:val="center"/>
          </w:tcPr>
          <w:p w14:paraId="36A91CCE" w14:textId="77777777" w:rsidR="00990B14" w:rsidRDefault="00000000">
            <w:pPr>
              <w:spacing w:before="20" w:after="20"/>
              <w:jc w:val="both"/>
            </w:pPr>
            <w:r>
              <w:rPr>
                <w:sz w:val="18"/>
                <w:szCs w:val="18"/>
              </w:rPr>
              <w:t>Registra la venta por punta, por peso y faenado.</w:t>
            </w:r>
          </w:p>
        </w:tc>
        <w:tc>
          <w:tcPr>
            <w:tcW w:w="1910" w:type="dxa"/>
            <w:shd w:val="clear" w:color="auto" w:fill="D9E2F3"/>
            <w:vAlign w:val="center"/>
          </w:tcPr>
          <w:p w14:paraId="10C2D7DE" w14:textId="77777777" w:rsidR="00990B14" w:rsidRDefault="00000000">
            <w:pPr>
              <w:spacing w:before="20" w:after="20"/>
              <w:jc w:val="both"/>
            </w:pPr>
            <w:r>
              <w:rPr>
                <w:sz w:val="18"/>
                <w:szCs w:val="18"/>
              </w:rPr>
              <w:t>Analiza el resultado de cada modalidad.</w:t>
            </w:r>
          </w:p>
        </w:tc>
      </w:tr>
      <w:tr w:rsidR="00990B14" w14:paraId="4688B09E" w14:textId="77777777">
        <w:trPr>
          <w:cantSplit/>
          <w:jc w:val="center"/>
        </w:trPr>
        <w:tc>
          <w:tcPr>
            <w:tcW w:w="1772" w:type="dxa"/>
            <w:vMerge/>
            <w:shd w:val="clear" w:color="auto" w:fill="4472C4"/>
            <w:vAlign w:val="center"/>
          </w:tcPr>
          <w:p w14:paraId="36B81667" w14:textId="77777777" w:rsidR="00990B14" w:rsidRDefault="00990B14">
            <w:pPr>
              <w:spacing w:before="20" w:after="20"/>
            </w:pPr>
          </w:p>
        </w:tc>
        <w:tc>
          <w:tcPr>
            <w:tcW w:w="1854" w:type="dxa"/>
            <w:shd w:val="clear" w:color="auto" w:fill="D9E2F3"/>
            <w:vAlign w:val="center"/>
          </w:tcPr>
          <w:p w14:paraId="4F40484E" w14:textId="77777777" w:rsidR="00990B14" w:rsidRDefault="00000000">
            <w:pPr>
              <w:spacing w:before="20" w:after="20"/>
              <w:jc w:val="both"/>
            </w:pPr>
            <w:r>
              <w:rPr>
                <w:sz w:val="18"/>
                <w:szCs w:val="18"/>
              </w:rPr>
              <w:t>Medición</w:t>
            </w:r>
          </w:p>
        </w:tc>
        <w:tc>
          <w:tcPr>
            <w:tcW w:w="2015" w:type="dxa"/>
            <w:shd w:val="clear" w:color="auto" w:fill="D9E2F3"/>
            <w:vAlign w:val="center"/>
          </w:tcPr>
          <w:p w14:paraId="7022BED6" w14:textId="77777777" w:rsidR="00990B14" w:rsidRDefault="00000000">
            <w:pPr>
              <w:spacing w:before="20" w:after="20"/>
              <w:jc w:val="both"/>
            </w:pPr>
            <w:r>
              <w:rPr>
                <w:sz w:val="18"/>
                <w:szCs w:val="18"/>
              </w:rPr>
              <w:t>No aplica la NIC 41.</w:t>
            </w:r>
          </w:p>
        </w:tc>
        <w:tc>
          <w:tcPr>
            <w:tcW w:w="1854" w:type="dxa"/>
            <w:shd w:val="clear" w:color="auto" w:fill="D9E2F3"/>
            <w:vAlign w:val="center"/>
          </w:tcPr>
          <w:p w14:paraId="0000042B" w14:textId="77777777" w:rsidR="00990B14" w:rsidRDefault="00000000">
            <w:pPr>
              <w:spacing w:before="20" w:after="20"/>
              <w:jc w:val="both"/>
            </w:pPr>
            <w:r>
              <w:rPr>
                <w:sz w:val="18"/>
                <w:szCs w:val="18"/>
              </w:rPr>
              <w:t>Mide el ganado conforme a la NIC 41.</w:t>
            </w:r>
          </w:p>
        </w:tc>
        <w:tc>
          <w:tcPr>
            <w:tcW w:w="1910" w:type="dxa"/>
            <w:shd w:val="clear" w:color="auto" w:fill="D9E2F3"/>
            <w:vAlign w:val="center"/>
          </w:tcPr>
          <w:p w14:paraId="1BAC92CE" w14:textId="77777777" w:rsidR="00990B14" w:rsidRDefault="00000000">
            <w:pPr>
              <w:spacing w:before="20" w:after="20"/>
              <w:jc w:val="both"/>
            </w:pPr>
            <w:r>
              <w:rPr>
                <w:sz w:val="18"/>
                <w:szCs w:val="18"/>
              </w:rPr>
              <w:t>Distingue el ganado de la NIC 41 de los activos de la NIC 16.</w:t>
            </w:r>
          </w:p>
        </w:tc>
      </w:tr>
      <w:tr w:rsidR="00990B14" w14:paraId="41DDBE52" w14:textId="77777777">
        <w:trPr>
          <w:cantSplit/>
          <w:jc w:val="center"/>
        </w:trPr>
        <w:tc>
          <w:tcPr>
            <w:tcW w:w="1772" w:type="dxa"/>
            <w:vMerge/>
            <w:shd w:val="clear" w:color="auto" w:fill="4472C4"/>
            <w:vAlign w:val="center"/>
          </w:tcPr>
          <w:p w14:paraId="04EC857A" w14:textId="77777777" w:rsidR="00990B14" w:rsidRDefault="00990B14">
            <w:pPr>
              <w:spacing w:before="20" w:after="20"/>
            </w:pPr>
          </w:p>
        </w:tc>
        <w:tc>
          <w:tcPr>
            <w:tcW w:w="5723" w:type="dxa"/>
            <w:gridSpan w:val="3"/>
            <w:shd w:val="clear" w:color="auto" w:fill="D9E2F3"/>
            <w:vAlign w:val="center"/>
          </w:tcPr>
          <w:p w14:paraId="00C95844" w14:textId="77777777" w:rsidR="00990B14" w:rsidRDefault="00000000">
            <w:pPr>
              <w:keepNext/>
              <w:spacing w:before="20" w:after="20"/>
              <w:jc w:val="both"/>
            </w:pPr>
            <w:r>
              <w:rPr>
                <w:b/>
                <w:bCs/>
                <w:i/>
                <w:iCs/>
                <w:sz w:val="18"/>
                <w:szCs w:val="18"/>
              </w:rPr>
              <w:t xml:space="preserve">Producto 18: </w:t>
            </w:r>
            <w:r>
              <w:rPr>
                <w:sz w:val="18"/>
                <w:szCs w:val="18"/>
              </w:rPr>
              <w:t>Práctico de bajas y altas del hato</w:t>
            </w:r>
          </w:p>
        </w:tc>
        <w:tc>
          <w:tcPr>
            <w:tcW w:w="1910" w:type="dxa"/>
            <w:shd w:val="clear" w:color="auto" w:fill="D9E2F3"/>
            <w:vAlign w:val="center"/>
          </w:tcPr>
          <w:p w14:paraId="474BCBFF" w14:textId="77777777" w:rsidR="00990B14" w:rsidRDefault="00000000">
            <w:pPr>
              <w:spacing w:before="20" w:after="20"/>
              <w:jc w:val="center"/>
            </w:pPr>
            <w:r>
              <w:rPr>
                <w:b/>
                <w:bCs/>
                <w:sz w:val="18"/>
                <w:szCs w:val="18"/>
              </w:rPr>
              <w:t>4%</w:t>
            </w:r>
          </w:p>
        </w:tc>
      </w:tr>
      <w:tr w:rsidR="00990B14" w14:paraId="044BD4AE" w14:textId="77777777">
        <w:trPr>
          <w:cantSplit/>
          <w:jc w:val="center"/>
        </w:trPr>
        <w:tc>
          <w:tcPr>
            <w:tcW w:w="1772" w:type="dxa"/>
            <w:vMerge/>
            <w:shd w:val="clear" w:color="auto" w:fill="4472C4"/>
            <w:vAlign w:val="center"/>
          </w:tcPr>
          <w:p w14:paraId="72DB1612" w14:textId="77777777" w:rsidR="00990B14" w:rsidRDefault="00990B14">
            <w:pPr>
              <w:spacing w:before="20" w:after="20"/>
            </w:pPr>
          </w:p>
        </w:tc>
        <w:tc>
          <w:tcPr>
            <w:tcW w:w="1854" w:type="dxa"/>
            <w:shd w:val="clear" w:color="auto" w:fill="4472C4"/>
            <w:vAlign w:val="center"/>
          </w:tcPr>
          <w:p w14:paraId="59EA98EA"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17F923E6" w14:textId="77777777" w:rsidR="00990B14" w:rsidRDefault="00000000">
            <w:pPr>
              <w:keepNext/>
              <w:spacing w:before="20" w:after="20"/>
              <w:jc w:val="center"/>
            </w:pPr>
            <w:r>
              <w:rPr>
                <w:b/>
                <w:bCs/>
                <w:i/>
                <w:iCs/>
                <w:color w:val="FFFFFF"/>
                <w:sz w:val="18"/>
                <w:szCs w:val="18"/>
              </w:rPr>
              <w:t>Insuficiente (1–50)</w:t>
            </w:r>
          </w:p>
        </w:tc>
        <w:tc>
          <w:tcPr>
            <w:tcW w:w="1854" w:type="dxa"/>
            <w:shd w:val="clear" w:color="auto" w:fill="4472C4"/>
            <w:vAlign w:val="center"/>
          </w:tcPr>
          <w:p w14:paraId="4BE2EEB1"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5BEBE8B8" w14:textId="77777777" w:rsidR="00990B14" w:rsidRDefault="00000000">
            <w:pPr>
              <w:keepNext/>
              <w:spacing w:before="20" w:after="20"/>
              <w:jc w:val="center"/>
            </w:pPr>
            <w:r>
              <w:rPr>
                <w:b/>
                <w:bCs/>
                <w:i/>
                <w:iCs/>
                <w:color w:val="FFFFFF"/>
                <w:sz w:val="18"/>
                <w:szCs w:val="18"/>
              </w:rPr>
              <w:t>Destacado (81–100)</w:t>
            </w:r>
          </w:p>
        </w:tc>
      </w:tr>
      <w:tr w:rsidR="00990B14" w14:paraId="388D5F5D" w14:textId="77777777">
        <w:trPr>
          <w:cantSplit/>
          <w:jc w:val="center"/>
        </w:trPr>
        <w:tc>
          <w:tcPr>
            <w:tcW w:w="1772" w:type="dxa"/>
            <w:vMerge/>
            <w:shd w:val="clear" w:color="auto" w:fill="4472C4"/>
            <w:vAlign w:val="center"/>
          </w:tcPr>
          <w:p w14:paraId="6C2AD806" w14:textId="77777777" w:rsidR="00990B14" w:rsidRDefault="00990B14">
            <w:pPr>
              <w:spacing w:before="20" w:after="20"/>
            </w:pPr>
          </w:p>
        </w:tc>
        <w:tc>
          <w:tcPr>
            <w:tcW w:w="1854" w:type="dxa"/>
            <w:shd w:val="clear" w:color="auto" w:fill="D9E2F3"/>
            <w:vAlign w:val="center"/>
          </w:tcPr>
          <w:p w14:paraId="42AE3C97" w14:textId="77777777" w:rsidR="00990B14" w:rsidRDefault="00000000">
            <w:pPr>
              <w:spacing w:before="20" w:after="20"/>
              <w:jc w:val="both"/>
            </w:pPr>
            <w:r>
              <w:rPr>
                <w:sz w:val="18"/>
                <w:szCs w:val="18"/>
              </w:rPr>
              <w:t>Bajas</w:t>
            </w:r>
          </w:p>
        </w:tc>
        <w:tc>
          <w:tcPr>
            <w:tcW w:w="2015" w:type="dxa"/>
            <w:shd w:val="clear" w:color="auto" w:fill="D9E2F3"/>
            <w:vAlign w:val="center"/>
          </w:tcPr>
          <w:p w14:paraId="3157419A" w14:textId="77777777" w:rsidR="00990B14" w:rsidRDefault="00000000">
            <w:pPr>
              <w:spacing w:before="20" w:after="20"/>
              <w:jc w:val="both"/>
            </w:pPr>
            <w:r>
              <w:rPr>
                <w:sz w:val="18"/>
                <w:szCs w:val="18"/>
              </w:rPr>
              <w:t>Omite tipos de baja.</w:t>
            </w:r>
          </w:p>
        </w:tc>
        <w:tc>
          <w:tcPr>
            <w:tcW w:w="1854" w:type="dxa"/>
            <w:shd w:val="clear" w:color="auto" w:fill="D9E2F3"/>
            <w:vAlign w:val="center"/>
          </w:tcPr>
          <w:p w14:paraId="7B7C7520" w14:textId="77777777" w:rsidR="00990B14" w:rsidRDefault="00000000">
            <w:pPr>
              <w:spacing w:before="20" w:after="20"/>
              <w:jc w:val="both"/>
            </w:pPr>
            <w:r>
              <w:rPr>
                <w:sz w:val="18"/>
                <w:szCs w:val="18"/>
              </w:rPr>
              <w:t>Registra cada tipo de baja con su respaldo.</w:t>
            </w:r>
          </w:p>
        </w:tc>
        <w:tc>
          <w:tcPr>
            <w:tcW w:w="1910" w:type="dxa"/>
            <w:shd w:val="clear" w:color="auto" w:fill="D9E2F3"/>
            <w:vAlign w:val="center"/>
          </w:tcPr>
          <w:p w14:paraId="70A65810" w14:textId="77777777" w:rsidR="00990B14" w:rsidRDefault="00000000">
            <w:pPr>
              <w:spacing w:before="20" w:after="20"/>
              <w:jc w:val="both"/>
            </w:pPr>
            <w:r>
              <w:rPr>
                <w:sz w:val="18"/>
                <w:szCs w:val="18"/>
              </w:rPr>
              <w:t>Analiza las causas de las bajas anormales.</w:t>
            </w:r>
          </w:p>
        </w:tc>
      </w:tr>
      <w:tr w:rsidR="00990B14" w14:paraId="05F43C54" w14:textId="77777777">
        <w:trPr>
          <w:cantSplit/>
          <w:jc w:val="center"/>
        </w:trPr>
        <w:tc>
          <w:tcPr>
            <w:tcW w:w="1772" w:type="dxa"/>
            <w:vMerge/>
            <w:shd w:val="clear" w:color="auto" w:fill="4472C4"/>
            <w:vAlign w:val="center"/>
          </w:tcPr>
          <w:p w14:paraId="22904EE0" w14:textId="77777777" w:rsidR="00990B14" w:rsidRDefault="00990B14">
            <w:pPr>
              <w:spacing w:before="20" w:after="20"/>
            </w:pPr>
          </w:p>
        </w:tc>
        <w:tc>
          <w:tcPr>
            <w:tcW w:w="1854" w:type="dxa"/>
            <w:shd w:val="clear" w:color="auto" w:fill="D9E2F3"/>
            <w:vAlign w:val="center"/>
          </w:tcPr>
          <w:p w14:paraId="152EA3EC" w14:textId="77777777" w:rsidR="00990B14" w:rsidRDefault="00000000">
            <w:pPr>
              <w:spacing w:before="20" w:after="20"/>
              <w:jc w:val="both"/>
            </w:pPr>
            <w:r>
              <w:rPr>
                <w:sz w:val="18"/>
                <w:szCs w:val="18"/>
              </w:rPr>
              <w:t>Cambio de edad</w:t>
            </w:r>
          </w:p>
        </w:tc>
        <w:tc>
          <w:tcPr>
            <w:tcW w:w="2015" w:type="dxa"/>
            <w:shd w:val="clear" w:color="auto" w:fill="D9E2F3"/>
            <w:vAlign w:val="center"/>
          </w:tcPr>
          <w:p w14:paraId="39533F38" w14:textId="77777777" w:rsidR="00990B14" w:rsidRDefault="00000000">
            <w:pPr>
              <w:spacing w:before="20" w:after="20"/>
              <w:jc w:val="both"/>
            </w:pPr>
            <w:r>
              <w:rPr>
                <w:sz w:val="18"/>
                <w:szCs w:val="18"/>
              </w:rPr>
              <w:t>No registra el cambio de edad.</w:t>
            </w:r>
          </w:p>
        </w:tc>
        <w:tc>
          <w:tcPr>
            <w:tcW w:w="1854" w:type="dxa"/>
            <w:shd w:val="clear" w:color="auto" w:fill="D9E2F3"/>
            <w:vAlign w:val="center"/>
          </w:tcPr>
          <w:p w14:paraId="49AD20CF" w14:textId="77777777" w:rsidR="00990B14" w:rsidRDefault="00000000">
            <w:pPr>
              <w:spacing w:before="20" w:after="20"/>
              <w:jc w:val="both"/>
            </w:pPr>
            <w:r>
              <w:rPr>
                <w:sz w:val="18"/>
                <w:szCs w:val="18"/>
              </w:rPr>
              <w:t>Registra las altas y bajas por cambio de edad.</w:t>
            </w:r>
          </w:p>
        </w:tc>
        <w:tc>
          <w:tcPr>
            <w:tcW w:w="1910" w:type="dxa"/>
            <w:shd w:val="clear" w:color="auto" w:fill="D9E2F3"/>
            <w:vAlign w:val="center"/>
          </w:tcPr>
          <w:p w14:paraId="11D07A65" w14:textId="77777777" w:rsidR="00990B14" w:rsidRDefault="00000000">
            <w:pPr>
              <w:spacing w:before="20" w:after="20"/>
              <w:jc w:val="both"/>
            </w:pPr>
            <w:r>
              <w:rPr>
                <w:sz w:val="18"/>
                <w:szCs w:val="18"/>
              </w:rPr>
              <w:t>Concilia las categorías con la proyección del hato.</w:t>
            </w:r>
          </w:p>
        </w:tc>
      </w:tr>
      <w:tr w:rsidR="00990B14" w14:paraId="06B937E3" w14:textId="77777777">
        <w:trPr>
          <w:cantSplit/>
          <w:jc w:val="center"/>
        </w:trPr>
        <w:tc>
          <w:tcPr>
            <w:tcW w:w="1772" w:type="dxa"/>
            <w:vMerge/>
            <w:shd w:val="clear" w:color="auto" w:fill="4472C4"/>
            <w:vAlign w:val="center"/>
          </w:tcPr>
          <w:p w14:paraId="05BB0882" w14:textId="77777777" w:rsidR="00990B14" w:rsidRDefault="00990B14">
            <w:pPr>
              <w:spacing w:before="20" w:after="20"/>
            </w:pPr>
          </w:p>
        </w:tc>
        <w:tc>
          <w:tcPr>
            <w:tcW w:w="1854" w:type="dxa"/>
            <w:shd w:val="clear" w:color="auto" w:fill="D9E2F3"/>
            <w:vAlign w:val="center"/>
          </w:tcPr>
          <w:p w14:paraId="73421A39" w14:textId="77777777" w:rsidR="00990B14" w:rsidRDefault="00000000">
            <w:pPr>
              <w:spacing w:before="20" w:after="20"/>
              <w:jc w:val="both"/>
            </w:pPr>
            <w:r>
              <w:rPr>
                <w:sz w:val="18"/>
                <w:szCs w:val="18"/>
              </w:rPr>
              <w:t>Trabajo en equipo</w:t>
            </w:r>
          </w:p>
        </w:tc>
        <w:tc>
          <w:tcPr>
            <w:tcW w:w="2015" w:type="dxa"/>
            <w:shd w:val="clear" w:color="auto" w:fill="D9E2F3"/>
            <w:vAlign w:val="center"/>
          </w:tcPr>
          <w:p w14:paraId="49F4E2FC" w14:textId="77777777" w:rsidR="00990B14" w:rsidRDefault="00000000">
            <w:pPr>
              <w:spacing w:before="20" w:after="20"/>
              <w:jc w:val="both"/>
            </w:pPr>
            <w:r>
              <w:rPr>
                <w:sz w:val="18"/>
                <w:szCs w:val="18"/>
              </w:rPr>
              <w:t>La participación es desigual.</w:t>
            </w:r>
          </w:p>
        </w:tc>
        <w:tc>
          <w:tcPr>
            <w:tcW w:w="1854" w:type="dxa"/>
            <w:shd w:val="clear" w:color="auto" w:fill="D9E2F3"/>
            <w:vAlign w:val="center"/>
          </w:tcPr>
          <w:p w14:paraId="52B4B523" w14:textId="77777777" w:rsidR="00990B14" w:rsidRDefault="00000000">
            <w:pPr>
              <w:spacing w:before="20" w:after="20"/>
              <w:jc w:val="both"/>
            </w:pPr>
            <w:r>
              <w:rPr>
                <w:sz w:val="18"/>
                <w:szCs w:val="18"/>
              </w:rPr>
              <w:t>Todos los integrantes participan.</w:t>
            </w:r>
          </w:p>
        </w:tc>
        <w:tc>
          <w:tcPr>
            <w:tcW w:w="1910" w:type="dxa"/>
            <w:shd w:val="clear" w:color="auto" w:fill="D9E2F3"/>
            <w:vAlign w:val="center"/>
          </w:tcPr>
          <w:p w14:paraId="7995E683" w14:textId="77777777" w:rsidR="00990B14" w:rsidRDefault="00000000">
            <w:pPr>
              <w:spacing w:before="20" w:after="20"/>
              <w:jc w:val="both"/>
            </w:pPr>
            <w:r>
              <w:rPr>
                <w:sz w:val="18"/>
                <w:szCs w:val="18"/>
              </w:rPr>
              <w:t>El equipo sustenta sus conclusiones ante el curso.</w:t>
            </w:r>
          </w:p>
        </w:tc>
      </w:tr>
      <w:tr w:rsidR="00990B14" w14:paraId="55C62C8E" w14:textId="77777777">
        <w:trPr>
          <w:cantSplit/>
          <w:jc w:val="center"/>
        </w:trPr>
        <w:tc>
          <w:tcPr>
            <w:tcW w:w="1772" w:type="dxa"/>
            <w:vMerge/>
            <w:shd w:val="clear" w:color="auto" w:fill="4472C4"/>
            <w:vAlign w:val="center"/>
          </w:tcPr>
          <w:p w14:paraId="0AA1C287" w14:textId="77777777" w:rsidR="00990B14" w:rsidRDefault="00990B14">
            <w:pPr>
              <w:spacing w:before="20" w:after="20"/>
            </w:pPr>
          </w:p>
        </w:tc>
        <w:tc>
          <w:tcPr>
            <w:tcW w:w="5723" w:type="dxa"/>
            <w:gridSpan w:val="3"/>
            <w:shd w:val="clear" w:color="auto" w:fill="D9E2F3"/>
            <w:vAlign w:val="center"/>
          </w:tcPr>
          <w:p w14:paraId="7AB07E52" w14:textId="77777777" w:rsidR="00990B14" w:rsidRDefault="00000000">
            <w:pPr>
              <w:keepNext/>
              <w:spacing w:before="20" w:after="20"/>
              <w:jc w:val="both"/>
            </w:pPr>
            <w:r>
              <w:rPr>
                <w:b/>
                <w:bCs/>
                <w:i/>
                <w:iCs/>
                <w:sz w:val="18"/>
                <w:szCs w:val="18"/>
              </w:rPr>
              <w:t xml:space="preserve">Producto 19: </w:t>
            </w:r>
            <w:r>
              <w:rPr>
                <w:sz w:val="18"/>
                <w:szCs w:val="18"/>
              </w:rPr>
              <w:t>Acta de conciliación del hato</w:t>
            </w:r>
          </w:p>
        </w:tc>
        <w:tc>
          <w:tcPr>
            <w:tcW w:w="1910" w:type="dxa"/>
            <w:shd w:val="clear" w:color="auto" w:fill="D9E2F3"/>
            <w:vAlign w:val="center"/>
          </w:tcPr>
          <w:p w14:paraId="5FEB025A" w14:textId="77777777" w:rsidR="00990B14" w:rsidRDefault="00000000">
            <w:pPr>
              <w:spacing w:before="20" w:after="20"/>
              <w:jc w:val="center"/>
            </w:pPr>
            <w:r>
              <w:rPr>
                <w:b/>
                <w:bCs/>
                <w:sz w:val="18"/>
                <w:szCs w:val="18"/>
              </w:rPr>
              <w:t>4%</w:t>
            </w:r>
          </w:p>
        </w:tc>
      </w:tr>
      <w:tr w:rsidR="00990B14" w14:paraId="0D17AF65" w14:textId="77777777">
        <w:trPr>
          <w:cantSplit/>
          <w:jc w:val="center"/>
        </w:trPr>
        <w:tc>
          <w:tcPr>
            <w:tcW w:w="1772" w:type="dxa"/>
            <w:vMerge/>
            <w:shd w:val="clear" w:color="auto" w:fill="4472C4"/>
            <w:vAlign w:val="center"/>
          </w:tcPr>
          <w:p w14:paraId="2EA83913" w14:textId="77777777" w:rsidR="00990B14" w:rsidRDefault="00990B14">
            <w:pPr>
              <w:spacing w:before="20" w:after="20"/>
            </w:pPr>
          </w:p>
        </w:tc>
        <w:tc>
          <w:tcPr>
            <w:tcW w:w="1854" w:type="dxa"/>
            <w:shd w:val="clear" w:color="auto" w:fill="4472C4"/>
            <w:vAlign w:val="center"/>
          </w:tcPr>
          <w:p w14:paraId="06A2608D"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1E5EC21D" w14:textId="77777777" w:rsidR="00990B14" w:rsidRDefault="00000000">
            <w:pPr>
              <w:keepNext/>
              <w:spacing w:before="20" w:after="20"/>
              <w:jc w:val="center"/>
            </w:pPr>
            <w:r>
              <w:rPr>
                <w:b/>
                <w:bCs/>
                <w:i/>
                <w:iCs/>
                <w:color w:val="FFFFFF"/>
                <w:sz w:val="18"/>
                <w:szCs w:val="18"/>
              </w:rPr>
              <w:t>Insuficiente (1–50)</w:t>
            </w:r>
          </w:p>
        </w:tc>
        <w:tc>
          <w:tcPr>
            <w:tcW w:w="1854" w:type="dxa"/>
            <w:shd w:val="clear" w:color="auto" w:fill="4472C4"/>
            <w:vAlign w:val="center"/>
          </w:tcPr>
          <w:p w14:paraId="3449918D"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05619ED9" w14:textId="77777777" w:rsidR="00990B14" w:rsidRDefault="00000000">
            <w:pPr>
              <w:keepNext/>
              <w:spacing w:before="20" w:after="20"/>
              <w:jc w:val="center"/>
            </w:pPr>
            <w:r>
              <w:rPr>
                <w:b/>
                <w:bCs/>
                <w:i/>
                <w:iCs/>
                <w:color w:val="FFFFFF"/>
                <w:sz w:val="18"/>
                <w:szCs w:val="18"/>
              </w:rPr>
              <w:t>Destacado (81–100)</w:t>
            </w:r>
          </w:p>
        </w:tc>
      </w:tr>
      <w:tr w:rsidR="00990B14" w14:paraId="7547D12C" w14:textId="77777777">
        <w:trPr>
          <w:cantSplit/>
          <w:jc w:val="center"/>
        </w:trPr>
        <w:tc>
          <w:tcPr>
            <w:tcW w:w="1772" w:type="dxa"/>
            <w:vMerge/>
            <w:shd w:val="clear" w:color="auto" w:fill="4472C4"/>
            <w:vAlign w:val="center"/>
          </w:tcPr>
          <w:p w14:paraId="60B070E2" w14:textId="77777777" w:rsidR="00990B14" w:rsidRDefault="00990B14">
            <w:pPr>
              <w:spacing w:before="20" w:after="20"/>
            </w:pPr>
          </w:p>
        </w:tc>
        <w:tc>
          <w:tcPr>
            <w:tcW w:w="1854" w:type="dxa"/>
            <w:shd w:val="clear" w:color="auto" w:fill="D9E2F3"/>
            <w:vAlign w:val="center"/>
          </w:tcPr>
          <w:p w14:paraId="6BE77AF8" w14:textId="77777777" w:rsidR="00990B14" w:rsidRDefault="00000000">
            <w:pPr>
              <w:spacing w:before="20" w:after="20"/>
              <w:jc w:val="both"/>
            </w:pPr>
            <w:r>
              <w:rPr>
                <w:sz w:val="18"/>
                <w:szCs w:val="18"/>
              </w:rPr>
              <w:t>Conteo físico</w:t>
            </w:r>
          </w:p>
        </w:tc>
        <w:tc>
          <w:tcPr>
            <w:tcW w:w="2015" w:type="dxa"/>
            <w:shd w:val="clear" w:color="auto" w:fill="D9E2F3"/>
            <w:vAlign w:val="center"/>
          </w:tcPr>
          <w:p w14:paraId="2A657960" w14:textId="77777777" w:rsidR="00990B14" w:rsidRDefault="00000000">
            <w:pPr>
              <w:spacing w:before="20" w:after="20"/>
              <w:jc w:val="both"/>
            </w:pPr>
            <w:r>
              <w:rPr>
                <w:sz w:val="18"/>
                <w:szCs w:val="18"/>
              </w:rPr>
              <w:t>El conteo es incompleto.</w:t>
            </w:r>
          </w:p>
        </w:tc>
        <w:tc>
          <w:tcPr>
            <w:tcW w:w="1854" w:type="dxa"/>
            <w:shd w:val="clear" w:color="auto" w:fill="D9E2F3"/>
            <w:vAlign w:val="center"/>
          </w:tcPr>
          <w:p w14:paraId="11EE2654" w14:textId="77777777" w:rsidR="00990B14" w:rsidRDefault="00000000">
            <w:pPr>
              <w:spacing w:before="20" w:after="20"/>
              <w:jc w:val="both"/>
            </w:pPr>
            <w:r>
              <w:rPr>
                <w:sz w:val="18"/>
                <w:szCs w:val="18"/>
              </w:rPr>
              <w:t>Registra el conteo por categoría y aretado.</w:t>
            </w:r>
          </w:p>
        </w:tc>
        <w:tc>
          <w:tcPr>
            <w:tcW w:w="1910" w:type="dxa"/>
            <w:shd w:val="clear" w:color="auto" w:fill="D9E2F3"/>
            <w:vAlign w:val="center"/>
          </w:tcPr>
          <w:p w14:paraId="78411ECF" w14:textId="77777777" w:rsidR="00990B14" w:rsidRDefault="00000000">
            <w:pPr>
              <w:spacing w:before="20" w:after="20"/>
              <w:jc w:val="both"/>
            </w:pPr>
            <w:r>
              <w:rPr>
                <w:sz w:val="18"/>
                <w:szCs w:val="18"/>
              </w:rPr>
              <w:t>Documenta el conteo con actas firmadas.</w:t>
            </w:r>
          </w:p>
        </w:tc>
      </w:tr>
      <w:tr w:rsidR="00990B14" w14:paraId="784819AB" w14:textId="77777777">
        <w:trPr>
          <w:cantSplit/>
          <w:jc w:val="center"/>
        </w:trPr>
        <w:tc>
          <w:tcPr>
            <w:tcW w:w="1772" w:type="dxa"/>
            <w:vMerge/>
            <w:shd w:val="clear" w:color="auto" w:fill="4472C4"/>
            <w:vAlign w:val="center"/>
          </w:tcPr>
          <w:p w14:paraId="5F308D6D" w14:textId="77777777" w:rsidR="00990B14" w:rsidRDefault="00990B14">
            <w:pPr>
              <w:spacing w:before="20" w:after="20"/>
            </w:pPr>
          </w:p>
        </w:tc>
        <w:tc>
          <w:tcPr>
            <w:tcW w:w="1854" w:type="dxa"/>
            <w:shd w:val="clear" w:color="auto" w:fill="D9E2F3"/>
            <w:vAlign w:val="center"/>
          </w:tcPr>
          <w:p w14:paraId="64AE85F5" w14:textId="77777777" w:rsidR="00990B14" w:rsidRDefault="00000000">
            <w:pPr>
              <w:spacing w:before="20" w:after="20"/>
              <w:jc w:val="both"/>
            </w:pPr>
            <w:r>
              <w:rPr>
                <w:sz w:val="18"/>
                <w:szCs w:val="18"/>
              </w:rPr>
              <w:t>Conciliación</w:t>
            </w:r>
          </w:p>
        </w:tc>
        <w:tc>
          <w:tcPr>
            <w:tcW w:w="2015" w:type="dxa"/>
            <w:shd w:val="clear" w:color="auto" w:fill="D9E2F3"/>
            <w:vAlign w:val="center"/>
          </w:tcPr>
          <w:p w14:paraId="1655EF68" w14:textId="77777777" w:rsidR="00990B14" w:rsidRDefault="00000000">
            <w:pPr>
              <w:spacing w:before="20" w:after="20"/>
              <w:jc w:val="both"/>
            </w:pPr>
            <w:r>
              <w:rPr>
                <w:sz w:val="18"/>
                <w:szCs w:val="18"/>
              </w:rPr>
              <w:t>No explica diferencias.</w:t>
            </w:r>
          </w:p>
        </w:tc>
        <w:tc>
          <w:tcPr>
            <w:tcW w:w="1854" w:type="dxa"/>
            <w:shd w:val="clear" w:color="auto" w:fill="D9E2F3"/>
            <w:vAlign w:val="center"/>
          </w:tcPr>
          <w:p w14:paraId="79CE35BB" w14:textId="77777777" w:rsidR="00990B14" w:rsidRDefault="00000000">
            <w:pPr>
              <w:spacing w:before="20" w:after="20"/>
              <w:jc w:val="both"/>
            </w:pPr>
            <w:r>
              <w:rPr>
                <w:sz w:val="18"/>
                <w:szCs w:val="18"/>
              </w:rPr>
              <w:t>Concilia el conteo con los registros.</w:t>
            </w:r>
          </w:p>
        </w:tc>
        <w:tc>
          <w:tcPr>
            <w:tcW w:w="1910" w:type="dxa"/>
            <w:shd w:val="clear" w:color="auto" w:fill="D9E2F3"/>
            <w:vAlign w:val="center"/>
          </w:tcPr>
          <w:p w14:paraId="76F035AD" w14:textId="77777777" w:rsidR="00990B14" w:rsidRDefault="00000000">
            <w:pPr>
              <w:spacing w:before="20" w:after="20"/>
              <w:jc w:val="both"/>
            </w:pPr>
            <w:r>
              <w:rPr>
                <w:sz w:val="18"/>
                <w:szCs w:val="18"/>
              </w:rPr>
              <w:t>Propone ajustes y controles sobre las diferencias.</w:t>
            </w:r>
          </w:p>
        </w:tc>
      </w:tr>
      <w:tr w:rsidR="00990B14" w14:paraId="7DCC0DBB" w14:textId="77777777">
        <w:trPr>
          <w:cantSplit/>
          <w:jc w:val="center"/>
        </w:trPr>
        <w:tc>
          <w:tcPr>
            <w:tcW w:w="1772" w:type="dxa"/>
            <w:vMerge/>
            <w:shd w:val="clear" w:color="auto" w:fill="4472C4"/>
            <w:vAlign w:val="center"/>
          </w:tcPr>
          <w:p w14:paraId="010D9DA6" w14:textId="77777777" w:rsidR="00990B14" w:rsidRDefault="00990B14">
            <w:pPr>
              <w:spacing w:before="20" w:after="20"/>
            </w:pPr>
          </w:p>
        </w:tc>
        <w:tc>
          <w:tcPr>
            <w:tcW w:w="1854" w:type="dxa"/>
            <w:shd w:val="clear" w:color="auto" w:fill="D9E2F3"/>
            <w:vAlign w:val="center"/>
          </w:tcPr>
          <w:p w14:paraId="0265ABC5" w14:textId="77777777" w:rsidR="00990B14" w:rsidRDefault="00000000">
            <w:pPr>
              <w:spacing w:before="20" w:after="20"/>
              <w:jc w:val="both"/>
            </w:pPr>
            <w:r>
              <w:rPr>
                <w:sz w:val="18"/>
                <w:szCs w:val="18"/>
              </w:rPr>
              <w:t>Ética profesional</w:t>
            </w:r>
          </w:p>
        </w:tc>
        <w:tc>
          <w:tcPr>
            <w:tcW w:w="2015" w:type="dxa"/>
            <w:shd w:val="clear" w:color="auto" w:fill="D9E2F3"/>
            <w:vAlign w:val="center"/>
          </w:tcPr>
          <w:p w14:paraId="117B5C78" w14:textId="77777777" w:rsidR="00990B14" w:rsidRDefault="00000000">
            <w:pPr>
              <w:spacing w:before="20" w:after="20"/>
              <w:jc w:val="both"/>
            </w:pPr>
            <w:r>
              <w:rPr>
                <w:sz w:val="18"/>
                <w:szCs w:val="18"/>
              </w:rPr>
              <w:t>Omite diferencias detectadas.</w:t>
            </w:r>
          </w:p>
        </w:tc>
        <w:tc>
          <w:tcPr>
            <w:tcW w:w="1854" w:type="dxa"/>
            <w:shd w:val="clear" w:color="auto" w:fill="D9E2F3"/>
            <w:vAlign w:val="center"/>
          </w:tcPr>
          <w:p w14:paraId="44971389" w14:textId="77777777" w:rsidR="00990B14" w:rsidRDefault="00000000">
            <w:pPr>
              <w:spacing w:before="20" w:after="20"/>
              <w:jc w:val="both"/>
            </w:pPr>
            <w:r>
              <w:rPr>
                <w:sz w:val="18"/>
                <w:szCs w:val="18"/>
              </w:rPr>
              <w:t>Informa todas las diferencias.</w:t>
            </w:r>
          </w:p>
        </w:tc>
        <w:tc>
          <w:tcPr>
            <w:tcW w:w="1910" w:type="dxa"/>
            <w:shd w:val="clear" w:color="auto" w:fill="D9E2F3"/>
            <w:vAlign w:val="center"/>
          </w:tcPr>
          <w:p w14:paraId="72D55934" w14:textId="77777777" w:rsidR="00990B14" w:rsidRDefault="00000000">
            <w:pPr>
              <w:spacing w:before="20" w:after="20"/>
              <w:jc w:val="both"/>
            </w:pPr>
            <w:r>
              <w:rPr>
                <w:sz w:val="18"/>
                <w:szCs w:val="18"/>
              </w:rPr>
              <w:t>Señala el riesgo tributario de las compras sin factura.</w:t>
            </w:r>
          </w:p>
        </w:tc>
      </w:tr>
      <w:tr w:rsidR="00990B14" w14:paraId="60D5172F" w14:textId="77777777">
        <w:trPr>
          <w:cantSplit/>
          <w:jc w:val="center"/>
        </w:trPr>
        <w:tc>
          <w:tcPr>
            <w:tcW w:w="1772" w:type="dxa"/>
            <w:vMerge/>
            <w:shd w:val="clear" w:color="auto" w:fill="4472C4"/>
            <w:vAlign w:val="center"/>
          </w:tcPr>
          <w:p w14:paraId="1837CA3A" w14:textId="77777777" w:rsidR="00990B14" w:rsidRDefault="00990B14">
            <w:pPr>
              <w:spacing w:before="20" w:after="20"/>
            </w:pPr>
          </w:p>
        </w:tc>
        <w:tc>
          <w:tcPr>
            <w:tcW w:w="5723" w:type="dxa"/>
            <w:gridSpan w:val="3"/>
            <w:shd w:val="clear" w:color="auto" w:fill="D9E2F3"/>
            <w:vAlign w:val="center"/>
          </w:tcPr>
          <w:p w14:paraId="2F55E053" w14:textId="77777777" w:rsidR="00990B14" w:rsidRDefault="00000000">
            <w:pPr>
              <w:keepNext/>
              <w:spacing w:before="20" w:after="20"/>
              <w:jc w:val="both"/>
            </w:pPr>
            <w:r>
              <w:rPr>
                <w:b/>
                <w:bCs/>
                <w:i/>
                <w:iCs/>
                <w:sz w:val="18"/>
                <w:szCs w:val="18"/>
              </w:rPr>
              <w:t xml:space="preserve">Producto 20: </w:t>
            </w:r>
            <w:r>
              <w:rPr>
                <w:sz w:val="18"/>
                <w:szCs w:val="18"/>
              </w:rPr>
              <w:t>Estados financieros ganaderos</w:t>
            </w:r>
          </w:p>
        </w:tc>
        <w:tc>
          <w:tcPr>
            <w:tcW w:w="1910" w:type="dxa"/>
            <w:shd w:val="clear" w:color="auto" w:fill="D9E2F3"/>
            <w:vAlign w:val="center"/>
          </w:tcPr>
          <w:p w14:paraId="0C8B8E0C" w14:textId="77777777" w:rsidR="00990B14" w:rsidRDefault="00000000">
            <w:pPr>
              <w:spacing w:before="20" w:after="20"/>
              <w:jc w:val="center"/>
            </w:pPr>
            <w:r>
              <w:rPr>
                <w:b/>
                <w:bCs/>
                <w:sz w:val="18"/>
                <w:szCs w:val="18"/>
              </w:rPr>
              <w:t>10%</w:t>
            </w:r>
          </w:p>
        </w:tc>
      </w:tr>
      <w:tr w:rsidR="00990B14" w14:paraId="4A066CCB" w14:textId="77777777">
        <w:trPr>
          <w:cantSplit/>
          <w:jc w:val="center"/>
        </w:trPr>
        <w:tc>
          <w:tcPr>
            <w:tcW w:w="1772" w:type="dxa"/>
            <w:vMerge/>
            <w:shd w:val="clear" w:color="auto" w:fill="4472C4"/>
            <w:vAlign w:val="center"/>
          </w:tcPr>
          <w:p w14:paraId="69E74215" w14:textId="77777777" w:rsidR="00990B14" w:rsidRDefault="00990B14">
            <w:pPr>
              <w:spacing w:before="20" w:after="20"/>
            </w:pPr>
          </w:p>
        </w:tc>
        <w:tc>
          <w:tcPr>
            <w:tcW w:w="1854" w:type="dxa"/>
            <w:shd w:val="clear" w:color="auto" w:fill="4472C4"/>
            <w:vAlign w:val="center"/>
          </w:tcPr>
          <w:p w14:paraId="67DF21ED"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76257C6D" w14:textId="77777777" w:rsidR="00990B14" w:rsidRDefault="00000000">
            <w:pPr>
              <w:keepNext/>
              <w:spacing w:before="20" w:after="20"/>
              <w:jc w:val="center"/>
            </w:pPr>
            <w:r>
              <w:rPr>
                <w:b/>
                <w:bCs/>
                <w:i/>
                <w:iCs/>
                <w:color w:val="FFFFFF"/>
                <w:sz w:val="18"/>
                <w:szCs w:val="18"/>
              </w:rPr>
              <w:t>Insuficiente (1–50)</w:t>
            </w:r>
          </w:p>
        </w:tc>
        <w:tc>
          <w:tcPr>
            <w:tcW w:w="1854" w:type="dxa"/>
            <w:shd w:val="clear" w:color="auto" w:fill="4472C4"/>
            <w:vAlign w:val="center"/>
          </w:tcPr>
          <w:p w14:paraId="1723610E"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434F0883" w14:textId="77777777" w:rsidR="00990B14" w:rsidRDefault="00000000">
            <w:pPr>
              <w:keepNext/>
              <w:spacing w:before="20" w:after="20"/>
              <w:jc w:val="center"/>
            </w:pPr>
            <w:r>
              <w:rPr>
                <w:b/>
                <w:bCs/>
                <w:i/>
                <w:iCs/>
                <w:color w:val="FFFFFF"/>
                <w:sz w:val="18"/>
                <w:szCs w:val="18"/>
              </w:rPr>
              <w:t>Destacado (81–100)</w:t>
            </w:r>
          </w:p>
        </w:tc>
      </w:tr>
      <w:tr w:rsidR="00990B14" w14:paraId="07225172" w14:textId="77777777">
        <w:trPr>
          <w:cantSplit/>
          <w:jc w:val="center"/>
        </w:trPr>
        <w:tc>
          <w:tcPr>
            <w:tcW w:w="1772" w:type="dxa"/>
            <w:vMerge/>
            <w:shd w:val="clear" w:color="auto" w:fill="4472C4"/>
            <w:vAlign w:val="center"/>
          </w:tcPr>
          <w:p w14:paraId="73889477" w14:textId="77777777" w:rsidR="00990B14" w:rsidRDefault="00990B14">
            <w:pPr>
              <w:spacing w:before="20" w:after="20"/>
            </w:pPr>
          </w:p>
        </w:tc>
        <w:tc>
          <w:tcPr>
            <w:tcW w:w="1854" w:type="dxa"/>
            <w:shd w:val="clear" w:color="auto" w:fill="D9E2F3"/>
            <w:vAlign w:val="center"/>
          </w:tcPr>
          <w:p w14:paraId="59B48893" w14:textId="77777777" w:rsidR="00990B14" w:rsidRDefault="00000000">
            <w:pPr>
              <w:spacing w:before="20" w:after="20"/>
              <w:jc w:val="both"/>
            </w:pPr>
            <w:r>
              <w:rPr>
                <w:sz w:val="18"/>
                <w:szCs w:val="18"/>
              </w:rPr>
              <w:t>Ciclo contable</w:t>
            </w:r>
          </w:p>
        </w:tc>
        <w:tc>
          <w:tcPr>
            <w:tcW w:w="2015" w:type="dxa"/>
            <w:shd w:val="clear" w:color="auto" w:fill="D9E2F3"/>
            <w:vAlign w:val="center"/>
          </w:tcPr>
          <w:p w14:paraId="7DE8463E" w14:textId="77777777" w:rsidR="00990B14" w:rsidRDefault="00000000">
            <w:pPr>
              <w:spacing w:before="20" w:after="20"/>
              <w:jc w:val="both"/>
            </w:pPr>
            <w:r>
              <w:rPr>
                <w:sz w:val="18"/>
                <w:szCs w:val="18"/>
              </w:rPr>
              <w:t>Omite ajustes o regularizaciones.</w:t>
            </w:r>
          </w:p>
        </w:tc>
        <w:tc>
          <w:tcPr>
            <w:tcW w:w="1854" w:type="dxa"/>
            <w:shd w:val="clear" w:color="auto" w:fill="D9E2F3"/>
            <w:vAlign w:val="center"/>
          </w:tcPr>
          <w:p w14:paraId="52DBA65E" w14:textId="77777777" w:rsidR="00990B14" w:rsidRDefault="00000000">
            <w:pPr>
              <w:spacing w:before="20" w:after="20"/>
              <w:jc w:val="both"/>
            </w:pPr>
            <w:r>
              <w:rPr>
                <w:sz w:val="18"/>
                <w:szCs w:val="18"/>
              </w:rPr>
              <w:t>Completa el ciclo de la apertura al cierre.</w:t>
            </w:r>
          </w:p>
        </w:tc>
        <w:tc>
          <w:tcPr>
            <w:tcW w:w="1910" w:type="dxa"/>
            <w:shd w:val="clear" w:color="auto" w:fill="D9E2F3"/>
            <w:vAlign w:val="center"/>
          </w:tcPr>
          <w:p w14:paraId="4F8A4914" w14:textId="77777777" w:rsidR="00990B14" w:rsidRDefault="00000000">
            <w:pPr>
              <w:spacing w:before="20" w:after="20"/>
              <w:jc w:val="both"/>
            </w:pPr>
            <w:r>
              <w:rPr>
                <w:sz w:val="18"/>
                <w:szCs w:val="18"/>
              </w:rPr>
              <w:t>Concilia los saldos con los registros auxiliares.</w:t>
            </w:r>
          </w:p>
        </w:tc>
      </w:tr>
      <w:tr w:rsidR="00990B14" w14:paraId="71FE0E85" w14:textId="77777777">
        <w:trPr>
          <w:cantSplit/>
          <w:jc w:val="center"/>
        </w:trPr>
        <w:tc>
          <w:tcPr>
            <w:tcW w:w="1772" w:type="dxa"/>
            <w:vMerge/>
            <w:shd w:val="clear" w:color="auto" w:fill="4472C4"/>
            <w:vAlign w:val="center"/>
          </w:tcPr>
          <w:p w14:paraId="4A9B3956" w14:textId="77777777" w:rsidR="00990B14" w:rsidRDefault="00990B14">
            <w:pPr>
              <w:spacing w:before="20" w:after="20"/>
            </w:pPr>
          </w:p>
        </w:tc>
        <w:tc>
          <w:tcPr>
            <w:tcW w:w="1854" w:type="dxa"/>
            <w:shd w:val="clear" w:color="auto" w:fill="D9E2F3"/>
            <w:vAlign w:val="center"/>
          </w:tcPr>
          <w:p w14:paraId="3FF3778D" w14:textId="77777777" w:rsidR="00990B14" w:rsidRDefault="00000000">
            <w:pPr>
              <w:spacing w:before="20" w:after="20"/>
              <w:jc w:val="both"/>
            </w:pPr>
            <w:r>
              <w:rPr>
                <w:sz w:val="18"/>
                <w:szCs w:val="18"/>
              </w:rPr>
              <w:t>Pasivos y retenciones</w:t>
            </w:r>
          </w:p>
        </w:tc>
        <w:tc>
          <w:tcPr>
            <w:tcW w:w="2015" w:type="dxa"/>
            <w:shd w:val="clear" w:color="auto" w:fill="D9E2F3"/>
            <w:vAlign w:val="center"/>
          </w:tcPr>
          <w:p w14:paraId="7A3E37DB" w14:textId="77777777" w:rsidR="00990B14" w:rsidRDefault="00000000">
            <w:pPr>
              <w:spacing w:before="20" w:after="20"/>
              <w:jc w:val="both"/>
            </w:pPr>
            <w:r>
              <w:rPr>
                <w:sz w:val="18"/>
                <w:szCs w:val="18"/>
              </w:rPr>
              <w:t>Omite retenciones por pagar.</w:t>
            </w:r>
          </w:p>
        </w:tc>
        <w:tc>
          <w:tcPr>
            <w:tcW w:w="1854" w:type="dxa"/>
            <w:shd w:val="clear" w:color="auto" w:fill="D9E2F3"/>
            <w:vAlign w:val="center"/>
          </w:tcPr>
          <w:p w14:paraId="3FF1D262" w14:textId="77777777" w:rsidR="00990B14" w:rsidRDefault="00000000">
            <w:pPr>
              <w:spacing w:before="20" w:after="20"/>
              <w:jc w:val="both"/>
            </w:pPr>
            <w:r>
              <w:rPr>
                <w:sz w:val="18"/>
                <w:szCs w:val="18"/>
              </w:rPr>
              <w:t>Registra los pasivos y las retenciones del sector.</w:t>
            </w:r>
          </w:p>
        </w:tc>
        <w:tc>
          <w:tcPr>
            <w:tcW w:w="1910" w:type="dxa"/>
            <w:shd w:val="clear" w:color="auto" w:fill="D9E2F3"/>
            <w:vAlign w:val="center"/>
          </w:tcPr>
          <w:p w14:paraId="3B20BCF6" w14:textId="77777777" w:rsidR="00990B14" w:rsidRDefault="00000000">
            <w:pPr>
              <w:spacing w:before="20" w:after="20"/>
              <w:jc w:val="both"/>
            </w:pPr>
            <w:r>
              <w:rPr>
                <w:sz w:val="18"/>
                <w:szCs w:val="18"/>
              </w:rPr>
              <w:t>Verifica las retenciones con su respaldo.</w:t>
            </w:r>
          </w:p>
        </w:tc>
      </w:tr>
      <w:tr w:rsidR="00990B14" w14:paraId="36A3971D" w14:textId="77777777">
        <w:trPr>
          <w:cantSplit/>
          <w:jc w:val="center"/>
        </w:trPr>
        <w:tc>
          <w:tcPr>
            <w:tcW w:w="1772" w:type="dxa"/>
            <w:vMerge/>
            <w:shd w:val="clear" w:color="auto" w:fill="4472C4"/>
            <w:vAlign w:val="center"/>
          </w:tcPr>
          <w:p w14:paraId="3A7FE666" w14:textId="77777777" w:rsidR="00990B14" w:rsidRDefault="00990B14">
            <w:pPr>
              <w:spacing w:before="20" w:after="20"/>
            </w:pPr>
          </w:p>
        </w:tc>
        <w:tc>
          <w:tcPr>
            <w:tcW w:w="1854" w:type="dxa"/>
            <w:shd w:val="clear" w:color="auto" w:fill="D9E2F3"/>
            <w:vAlign w:val="center"/>
          </w:tcPr>
          <w:p w14:paraId="57B6A80D" w14:textId="77777777" w:rsidR="00990B14" w:rsidRDefault="00000000">
            <w:pPr>
              <w:spacing w:before="20" w:after="20"/>
              <w:jc w:val="both"/>
            </w:pPr>
            <w:r>
              <w:rPr>
                <w:sz w:val="18"/>
                <w:szCs w:val="18"/>
              </w:rPr>
              <w:t>Estados financieros</w:t>
            </w:r>
          </w:p>
        </w:tc>
        <w:tc>
          <w:tcPr>
            <w:tcW w:w="2015" w:type="dxa"/>
            <w:shd w:val="clear" w:color="auto" w:fill="D9E2F3"/>
            <w:vAlign w:val="center"/>
          </w:tcPr>
          <w:p w14:paraId="1559E220" w14:textId="77777777" w:rsidR="00990B14" w:rsidRDefault="00000000">
            <w:pPr>
              <w:spacing w:before="20" w:after="20"/>
              <w:jc w:val="both"/>
            </w:pPr>
            <w:r>
              <w:rPr>
                <w:sz w:val="18"/>
                <w:szCs w:val="18"/>
              </w:rPr>
              <w:t>Los estados no cuadran.</w:t>
            </w:r>
          </w:p>
        </w:tc>
        <w:tc>
          <w:tcPr>
            <w:tcW w:w="1854" w:type="dxa"/>
            <w:shd w:val="clear" w:color="auto" w:fill="D9E2F3"/>
            <w:vAlign w:val="center"/>
          </w:tcPr>
          <w:p w14:paraId="3444B294" w14:textId="77777777" w:rsidR="00990B14" w:rsidRDefault="00000000">
            <w:pPr>
              <w:spacing w:before="20" w:after="20"/>
              <w:jc w:val="both"/>
            </w:pPr>
            <w:r>
              <w:rPr>
                <w:sz w:val="18"/>
                <w:szCs w:val="18"/>
              </w:rPr>
              <w:t>Presenta los estados completos y cuadrados.</w:t>
            </w:r>
          </w:p>
        </w:tc>
        <w:tc>
          <w:tcPr>
            <w:tcW w:w="1910" w:type="dxa"/>
            <w:shd w:val="clear" w:color="auto" w:fill="D9E2F3"/>
            <w:vAlign w:val="center"/>
          </w:tcPr>
          <w:p w14:paraId="4A83A025" w14:textId="77777777" w:rsidR="00990B14" w:rsidRDefault="00000000">
            <w:pPr>
              <w:spacing w:before="20" w:after="20"/>
              <w:jc w:val="both"/>
            </w:pPr>
            <w:r>
              <w:rPr>
                <w:sz w:val="18"/>
                <w:szCs w:val="18"/>
              </w:rPr>
              <w:t>Analiza la situación financiera de la empresa.</w:t>
            </w:r>
          </w:p>
        </w:tc>
      </w:tr>
      <w:tr w:rsidR="00990B14" w14:paraId="3CFC504D" w14:textId="77777777">
        <w:trPr>
          <w:cantSplit/>
          <w:jc w:val="center"/>
        </w:trPr>
        <w:tc>
          <w:tcPr>
            <w:tcW w:w="1772" w:type="dxa"/>
            <w:vMerge/>
            <w:shd w:val="clear" w:color="auto" w:fill="4472C4"/>
            <w:vAlign w:val="center"/>
          </w:tcPr>
          <w:p w14:paraId="3CE90E0D" w14:textId="77777777" w:rsidR="00990B14" w:rsidRDefault="00990B14">
            <w:pPr>
              <w:spacing w:before="20" w:after="20"/>
            </w:pPr>
          </w:p>
        </w:tc>
        <w:tc>
          <w:tcPr>
            <w:tcW w:w="5723" w:type="dxa"/>
            <w:gridSpan w:val="3"/>
            <w:shd w:val="clear" w:color="auto" w:fill="D9E2F3"/>
            <w:vAlign w:val="center"/>
          </w:tcPr>
          <w:p w14:paraId="53CCCC62" w14:textId="77777777" w:rsidR="00990B14" w:rsidRDefault="00000000">
            <w:pPr>
              <w:keepNext/>
              <w:spacing w:before="20" w:after="20"/>
              <w:jc w:val="both"/>
            </w:pPr>
            <w:r>
              <w:rPr>
                <w:b/>
                <w:bCs/>
                <w:i/>
                <w:iCs/>
                <w:sz w:val="18"/>
                <w:szCs w:val="18"/>
              </w:rPr>
              <w:t xml:space="preserve">Producto 21: </w:t>
            </w:r>
            <w:r>
              <w:rPr>
                <w:sz w:val="18"/>
                <w:szCs w:val="18"/>
              </w:rPr>
              <w:t>Hoja de costos agropecuarios</w:t>
            </w:r>
          </w:p>
        </w:tc>
        <w:tc>
          <w:tcPr>
            <w:tcW w:w="1910" w:type="dxa"/>
            <w:shd w:val="clear" w:color="auto" w:fill="D9E2F3"/>
            <w:vAlign w:val="center"/>
          </w:tcPr>
          <w:p w14:paraId="72C9A643" w14:textId="77777777" w:rsidR="00990B14" w:rsidRDefault="00000000">
            <w:pPr>
              <w:spacing w:before="20" w:after="20"/>
              <w:jc w:val="center"/>
            </w:pPr>
            <w:r>
              <w:rPr>
                <w:b/>
                <w:bCs/>
                <w:sz w:val="18"/>
                <w:szCs w:val="18"/>
              </w:rPr>
              <w:t>14%</w:t>
            </w:r>
          </w:p>
        </w:tc>
      </w:tr>
      <w:tr w:rsidR="00990B14" w14:paraId="521B4FCF" w14:textId="77777777">
        <w:trPr>
          <w:cantSplit/>
          <w:jc w:val="center"/>
        </w:trPr>
        <w:tc>
          <w:tcPr>
            <w:tcW w:w="1772" w:type="dxa"/>
            <w:vMerge/>
            <w:shd w:val="clear" w:color="auto" w:fill="4472C4"/>
            <w:vAlign w:val="center"/>
          </w:tcPr>
          <w:p w14:paraId="36A16C78" w14:textId="77777777" w:rsidR="00990B14" w:rsidRDefault="00990B14">
            <w:pPr>
              <w:spacing w:before="20" w:after="20"/>
            </w:pPr>
          </w:p>
        </w:tc>
        <w:tc>
          <w:tcPr>
            <w:tcW w:w="1854" w:type="dxa"/>
            <w:shd w:val="clear" w:color="auto" w:fill="4472C4"/>
            <w:vAlign w:val="center"/>
          </w:tcPr>
          <w:p w14:paraId="69CB10E8"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2E5481E7" w14:textId="77777777" w:rsidR="00990B14" w:rsidRDefault="00000000">
            <w:pPr>
              <w:keepNext/>
              <w:spacing w:before="20" w:after="20"/>
              <w:jc w:val="center"/>
            </w:pPr>
            <w:r>
              <w:rPr>
                <w:b/>
                <w:bCs/>
                <w:i/>
                <w:iCs/>
                <w:color w:val="FFFFFF"/>
                <w:sz w:val="18"/>
                <w:szCs w:val="18"/>
              </w:rPr>
              <w:t>Insuficiente (1–50)</w:t>
            </w:r>
          </w:p>
        </w:tc>
        <w:tc>
          <w:tcPr>
            <w:tcW w:w="1854" w:type="dxa"/>
            <w:shd w:val="clear" w:color="auto" w:fill="4472C4"/>
            <w:vAlign w:val="center"/>
          </w:tcPr>
          <w:p w14:paraId="7B084ACA"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082A195A" w14:textId="77777777" w:rsidR="00990B14" w:rsidRDefault="00000000">
            <w:pPr>
              <w:keepNext/>
              <w:spacing w:before="20" w:after="20"/>
              <w:jc w:val="center"/>
            </w:pPr>
            <w:r>
              <w:rPr>
                <w:b/>
                <w:bCs/>
                <w:i/>
                <w:iCs/>
                <w:color w:val="FFFFFF"/>
                <w:sz w:val="18"/>
                <w:szCs w:val="18"/>
              </w:rPr>
              <w:t>Destacado (81–100)</w:t>
            </w:r>
          </w:p>
        </w:tc>
      </w:tr>
      <w:tr w:rsidR="00990B14" w14:paraId="215B6FAE" w14:textId="77777777">
        <w:trPr>
          <w:cantSplit/>
          <w:jc w:val="center"/>
        </w:trPr>
        <w:tc>
          <w:tcPr>
            <w:tcW w:w="1772" w:type="dxa"/>
            <w:vMerge/>
            <w:shd w:val="clear" w:color="auto" w:fill="4472C4"/>
            <w:vAlign w:val="center"/>
          </w:tcPr>
          <w:p w14:paraId="7CD1A84A" w14:textId="77777777" w:rsidR="00990B14" w:rsidRDefault="00990B14">
            <w:pPr>
              <w:spacing w:before="20" w:after="20"/>
            </w:pPr>
          </w:p>
        </w:tc>
        <w:tc>
          <w:tcPr>
            <w:tcW w:w="1854" w:type="dxa"/>
            <w:shd w:val="clear" w:color="auto" w:fill="D9E2F3"/>
            <w:vAlign w:val="center"/>
          </w:tcPr>
          <w:p w14:paraId="123214E6" w14:textId="77777777" w:rsidR="00990B14" w:rsidRDefault="00000000">
            <w:pPr>
              <w:spacing w:before="20" w:after="20"/>
              <w:jc w:val="both"/>
            </w:pPr>
            <w:r>
              <w:rPr>
                <w:sz w:val="18"/>
                <w:szCs w:val="18"/>
              </w:rPr>
              <w:t>Componentes del costo</w:t>
            </w:r>
          </w:p>
        </w:tc>
        <w:tc>
          <w:tcPr>
            <w:tcW w:w="2015" w:type="dxa"/>
            <w:shd w:val="clear" w:color="auto" w:fill="D9E2F3"/>
            <w:vAlign w:val="center"/>
          </w:tcPr>
          <w:p w14:paraId="26587254" w14:textId="77777777" w:rsidR="00990B14" w:rsidRDefault="00000000">
            <w:pPr>
              <w:spacing w:before="20" w:after="20"/>
              <w:jc w:val="both"/>
            </w:pPr>
            <w:r>
              <w:rPr>
                <w:sz w:val="18"/>
                <w:szCs w:val="18"/>
              </w:rPr>
              <w:t>Omite componentes esenciales.</w:t>
            </w:r>
          </w:p>
        </w:tc>
        <w:tc>
          <w:tcPr>
            <w:tcW w:w="1854" w:type="dxa"/>
            <w:shd w:val="clear" w:color="auto" w:fill="D9E2F3"/>
            <w:vAlign w:val="center"/>
          </w:tcPr>
          <w:p w14:paraId="2A26D1E4" w14:textId="77777777" w:rsidR="00990B14" w:rsidRDefault="00000000">
            <w:pPr>
              <w:spacing w:before="20" w:after="20"/>
              <w:jc w:val="both"/>
            </w:pPr>
            <w:r>
              <w:rPr>
                <w:sz w:val="18"/>
                <w:szCs w:val="18"/>
              </w:rPr>
              <w:t>Integra el costo estable, de crianza y de procreo.</w:t>
            </w:r>
          </w:p>
        </w:tc>
        <w:tc>
          <w:tcPr>
            <w:tcW w:w="1910" w:type="dxa"/>
            <w:shd w:val="clear" w:color="auto" w:fill="D9E2F3"/>
            <w:vAlign w:val="center"/>
          </w:tcPr>
          <w:p w14:paraId="2E4ED558" w14:textId="77777777" w:rsidR="00990B14" w:rsidRDefault="00000000">
            <w:pPr>
              <w:spacing w:before="20" w:after="20"/>
              <w:jc w:val="both"/>
            </w:pPr>
            <w:r>
              <w:rPr>
                <w:sz w:val="18"/>
                <w:szCs w:val="18"/>
              </w:rPr>
              <w:t>Distingue el costo por categoría del hato.</w:t>
            </w:r>
          </w:p>
        </w:tc>
      </w:tr>
      <w:tr w:rsidR="00990B14" w14:paraId="66587093" w14:textId="77777777">
        <w:trPr>
          <w:cantSplit/>
          <w:jc w:val="center"/>
        </w:trPr>
        <w:tc>
          <w:tcPr>
            <w:tcW w:w="1772" w:type="dxa"/>
            <w:vMerge/>
            <w:shd w:val="clear" w:color="auto" w:fill="4472C4"/>
            <w:vAlign w:val="center"/>
          </w:tcPr>
          <w:p w14:paraId="4BD83077" w14:textId="77777777" w:rsidR="00990B14" w:rsidRDefault="00990B14">
            <w:pPr>
              <w:spacing w:before="20" w:after="20"/>
            </w:pPr>
          </w:p>
        </w:tc>
        <w:tc>
          <w:tcPr>
            <w:tcW w:w="1854" w:type="dxa"/>
            <w:shd w:val="clear" w:color="auto" w:fill="D9E2F3"/>
            <w:vAlign w:val="center"/>
          </w:tcPr>
          <w:p w14:paraId="3FC81F4B" w14:textId="77777777" w:rsidR="00990B14" w:rsidRDefault="00000000">
            <w:pPr>
              <w:spacing w:before="20" w:after="20"/>
              <w:jc w:val="both"/>
            </w:pPr>
            <w:r>
              <w:rPr>
                <w:sz w:val="18"/>
                <w:szCs w:val="18"/>
              </w:rPr>
              <w:t>Distribución</w:t>
            </w:r>
          </w:p>
        </w:tc>
        <w:tc>
          <w:tcPr>
            <w:tcW w:w="2015" w:type="dxa"/>
            <w:shd w:val="clear" w:color="auto" w:fill="D9E2F3"/>
            <w:vAlign w:val="center"/>
          </w:tcPr>
          <w:p w14:paraId="7B6566D2" w14:textId="77777777" w:rsidR="00990B14" w:rsidRDefault="00000000">
            <w:pPr>
              <w:spacing w:before="20" w:after="20"/>
              <w:jc w:val="both"/>
            </w:pPr>
            <w:r>
              <w:rPr>
                <w:sz w:val="18"/>
                <w:szCs w:val="18"/>
              </w:rPr>
              <w:t>Distribuye sin base.</w:t>
            </w:r>
          </w:p>
        </w:tc>
        <w:tc>
          <w:tcPr>
            <w:tcW w:w="1854" w:type="dxa"/>
            <w:shd w:val="clear" w:color="auto" w:fill="D9E2F3"/>
            <w:vAlign w:val="center"/>
          </w:tcPr>
          <w:p w14:paraId="7C2679AD" w14:textId="77777777" w:rsidR="00990B14" w:rsidRDefault="00000000">
            <w:pPr>
              <w:spacing w:before="20" w:after="20"/>
              <w:jc w:val="both"/>
            </w:pPr>
            <w:r>
              <w:rPr>
                <w:sz w:val="18"/>
                <w:szCs w:val="18"/>
              </w:rPr>
              <w:t>Distribuye los costos por categoría.</w:t>
            </w:r>
          </w:p>
        </w:tc>
        <w:tc>
          <w:tcPr>
            <w:tcW w:w="1910" w:type="dxa"/>
            <w:shd w:val="clear" w:color="auto" w:fill="D9E2F3"/>
            <w:vAlign w:val="center"/>
          </w:tcPr>
          <w:p w14:paraId="6B16D78F" w14:textId="77777777" w:rsidR="00990B14" w:rsidRDefault="00000000">
            <w:pPr>
              <w:spacing w:before="20" w:after="20"/>
              <w:jc w:val="both"/>
            </w:pPr>
            <w:r>
              <w:rPr>
                <w:sz w:val="18"/>
                <w:szCs w:val="18"/>
              </w:rPr>
              <w:t>Justifica las bases de distribución.</w:t>
            </w:r>
          </w:p>
        </w:tc>
      </w:tr>
      <w:tr w:rsidR="00990B14" w14:paraId="04FB2D4D" w14:textId="77777777">
        <w:trPr>
          <w:cantSplit/>
          <w:jc w:val="center"/>
        </w:trPr>
        <w:tc>
          <w:tcPr>
            <w:tcW w:w="1772" w:type="dxa"/>
            <w:vMerge/>
            <w:shd w:val="clear" w:color="auto" w:fill="4472C4"/>
            <w:vAlign w:val="center"/>
          </w:tcPr>
          <w:p w14:paraId="69E39955" w14:textId="77777777" w:rsidR="00990B14" w:rsidRDefault="00990B14">
            <w:pPr>
              <w:spacing w:before="20" w:after="20"/>
            </w:pPr>
          </w:p>
        </w:tc>
        <w:tc>
          <w:tcPr>
            <w:tcW w:w="1854" w:type="dxa"/>
            <w:shd w:val="clear" w:color="auto" w:fill="D9E2F3"/>
            <w:vAlign w:val="center"/>
          </w:tcPr>
          <w:p w14:paraId="5B7E3B3A" w14:textId="77777777" w:rsidR="00990B14" w:rsidRDefault="00000000">
            <w:pPr>
              <w:spacing w:before="20" w:after="20"/>
              <w:jc w:val="both"/>
            </w:pPr>
            <w:r>
              <w:rPr>
                <w:sz w:val="18"/>
                <w:szCs w:val="18"/>
              </w:rPr>
              <w:t>Uso de la hoja de cálculo</w:t>
            </w:r>
          </w:p>
        </w:tc>
        <w:tc>
          <w:tcPr>
            <w:tcW w:w="2015" w:type="dxa"/>
            <w:shd w:val="clear" w:color="auto" w:fill="D9E2F3"/>
            <w:vAlign w:val="center"/>
          </w:tcPr>
          <w:p w14:paraId="14B308C0" w14:textId="77777777" w:rsidR="00990B14" w:rsidRDefault="00000000">
            <w:pPr>
              <w:spacing w:before="20" w:after="20"/>
              <w:jc w:val="both"/>
            </w:pPr>
            <w:r>
              <w:rPr>
                <w:sz w:val="18"/>
                <w:szCs w:val="18"/>
              </w:rPr>
              <w:t>No usa fórmulas.</w:t>
            </w:r>
          </w:p>
        </w:tc>
        <w:tc>
          <w:tcPr>
            <w:tcW w:w="1854" w:type="dxa"/>
            <w:shd w:val="clear" w:color="auto" w:fill="D9E2F3"/>
            <w:vAlign w:val="center"/>
          </w:tcPr>
          <w:p w14:paraId="336357B6" w14:textId="77777777" w:rsidR="00990B14" w:rsidRDefault="00000000">
            <w:pPr>
              <w:spacing w:before="20" w:after="20"/>
              <w:jc w:val="both"/>
            </w:pPr>
            <w:r>
              <w:rPr>
                <w:sz w:val="18"/>
                <w:szCs w:val="18"/>
              </w:rPr>
              <w:t>Usa fórmulas y vínculos correctos.</w:t>
            </w:r>
          </w:p>
        </w:tc>
        <w:tc>
          <w:tcPr>
            <w:tcW w:w="1910" w:type="dxa"/>
            <w:shd w:val="clear" w:color="auto" w:fill="D9E2F3"/>
            <w:vAlign w:val="center"/>
          </w:tcPr>
          <w:p w14:paraId="0528B02C" w14:textId="77777777" w:rsidR="00990B14" w:rsidRDefault="00000000">
            <w:pPr>
              <w:spacing w:before="20" w:after="20"/>
              <w:jc w:val="both"/>
            </w:pPr>
            <w:r>
              <w:rPr>
                <w:sz w:val="18"/>
                <w:szCs w:val="18"/>
              </w:rPr>
              <w:t>El modelo es reutilizable para otra gestión.</w:t>
            </w:r>
          </w:p>
        </w:tc>
      </w:tr>
      <w:tr w:rsidR="00990B14" w14:paraId="1B5D535F" w14:textId="77777777">
        <w:trPr>
          <w:cantSplit/>
          <w:jc w:val="center"/>
        </w:trPr>
        <w:tc>
          <w:tcPr>
            <w:tcW w:w="1772" w:type="dxa"/>
            <w:vMerge/>
            <w:shd w:val="clear" w:color="auto" w:fill="4472C4"/>
            <w:vAlign w:val="center"/>
          </w:tcPr>
          <w:p w14:paraId="3305A7FC" w14:textId="77777777" w:rsidR="00990B14" w:rsidRDefault="00990B14">
            <w:pPr>
              <w:spacing w:before="20" w:after="20"/>
            </w:pPr>
          </w:p>
        </w:tc>
        <w:tc>
          <w:tcPr>
            <w:tcW w:w="5723" w:type="dxa"/>
            <w:gridSpan w:val="3"/>
            <w:shd w:val="clear" w:color="auto" w:fill="D9E2F3"/>
            <w:vAlign w:val="center"/>
          </w:tcPr>
          <w:p w14:paraId="7B0A2D2F" w14:textId="77777777" w:rsidR="00990B14" w:rsidRDefault="00000000">
            <w:pPr>
              <w:keepNext/>
              <w:spacing w:before="20" w:after="20"/>
              <w:jc w:val="both"/>
            </w:pPr>
            <w:r>
              <w:rPr>
                <w:b/>
                <w:bCs/>
                <w:i/>
                <w:iCs/>
                <w:sz w:val="18"/>
                <w:szCs w:val="18"/>
              </w:rPr>
              <w:t xml:space="preserve">Producto 22: </w:t>
            </w:r>
            <w:r>
              <w:rPr>
                <w:sz w:val="18"/>
                <w:szCs w:val="18"/>
              </w:rPr>
              <w:t>Cuadro de clasificación de los costos agropecuarios</w:t>
            </w:r>
          </w:p>
        </w:tc>
        <w:tc>
          <w:tcPr>
            <w:tcW w:w="1910" w:type="dxa"/>
            <w:shd w:val="clear" w:color="auto" w:fill="D9E2F3"/>
            <w:vAlign w:val="center"/>
          </w:tcPr>
          <w:p w14:paraId="50745E95" w14:textId="77777777" w:rsidR="00990B14" w:rsidRDefault="00000000">
            <w:pPr>
              <w:spacing w:before="20" w:after="20"/>
              <w:jc w:val="center"/>
            </w:pPr>
            <w:r>
              <w:rPr>
                <w:b/>
                <w:bCs/>
                <w:sz w:val="18"/>
                <w:szCs w:val="18"/>
              </w:rPr>
              <w:t>2%</w:t>
            </w:r>
          </w:p>
        </w:tc>
      </w:tr>
      <w:tr w:rsidR="00990B14" w14:paraId="135BBA3B" w14:textId="77777777">
        <w:trPr>
          <w:cantSplit/>
          <w:jc w:val="center"/>
        </w:trPr>
        <w:tc>
          <w:tcPr>
            <w:tcW w:w="1772" w:type="dxa"/>
            <w:vMerge/>
            <w:shd w:val="clear" w:color="auto" w:fill="4472C4"/>
            <w:vAlign w:val="center"/>
          </w:tcPr>
          <w:p w14:paraId="665423CC" w14:textId="77777777" w:rsidR="00990B14" w:rsidRDefault="00990B14">
            <w:pPr>
              <w:spacing w:before="20" w:after="20"/>
            </w:pPr>
          </w:p>
        </w:tc>
        <w:tc>
          <w:tcPr>
            <w:tcW w:w="1854" w:type="dxa"/>
            <w:shd w:val="clear" w:color="auto" w:fill="4472C4"/>
            <w:vAlign w:val="center"/>
          </w:tcPr>
          <w:p w14:paraId="44EE4378"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039F1DD3" w14:textId="77777777" w:rsidR="00990B14" w:rsidRDefault="00000000">
            <w:pPr>
              <w:keepNext/>
              <w:spacing w:before="20" w:after="20"/>
              <w:jc w:val="center"/>
            </w:pPr>
            <w:r>
              <w:rPr>
                <w:b/>
                <w:bCs/>
                <w:i/>
                <w:iCs/>
                <w:color w:val="FFFFFF"/>
                <w:sz w:val="18"/>
                <w:szCs w:val="18"/>
              </w:rPr>
              <w:t>Insuficiente (1–50)</w:t>
            </w:r>
          </w:p>
        </w:tc>
        <w:tc>
          <w:tcPr>
            <w:tcW w:w="1854" w:type="dxa"/>
            <w:shd w:val="clear" w:color="auto" w:fill="4472C4"/>
            <w:vAlign w:val="center"/>
          </w:tcPr>
          <w:p w14:paraId="0A47E938"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03CABA5A" w14:textId="77777777" w:rsidR="00990B14" w:rsidRDefault="00000000">
            <w:pPr>
              <w:keepNext/>
              <w:spacing w:before="20" w:after="20"/>
              <w:jc w:val="center"/>
            </w:pPr>
            <w:r>
              <w:rPr>
                <w:b/>
                <w:bCs/>
                <w:i/>
                <w:iCs/>
                <w:color w:val="FFFFFF"/>
                <w:sz w:val="18"/>
                <w:szCs w:val="18"/>
              </w:rPr>
              <w:t>Destacado (81–100)</w:t>
            </w:r>
          </w:p>
        </w:tc>
      </w:tr>
      <w:tr w:rsidR="00990B14" w14:paraId="17D12E2C" w14:textId="77777777">
        <w:trPr>
          <w:cantSplit/>
          <w:jc w:val="center"/>
        </w:trPr>
        <w:tc>
          <w:tcPr>
            <w:tcW w:w="1772" w:type="dxa"/>
            <w:vMerge/>
            <w:shd w:val="clear" w:color="auto" w:fill="4472C4"/>
            <w:vAlign w:val="center"/>
          </w:tcPr>
          <w:p w14:paraId="4104315D" w14:textId="77777777" w:rsidR="00990B14" w:rsidRDefault="00990B14">
            <w:pPr>
              <w:spacing w:before="20" w:after="20"/>
            </w:pPr>
          </w:p>
        </w:tc>
        <w:tc>
          <w:tcPr>
            <w:tcW w:w="1854" w:type="dxa"/>
            <w:shd w:val="clear" w:color="auto" w:fill="D9E2F3"/>
            <w:vAlign w:val="center"/>
          </w:tcPr>
          <w:p w14:paraId="58E6A502" w14:textId="77777777" w:rsidR="00990B14" w:rsidRDefault="00000000">
            <w:pPr>
              <w:spacing w:before="20" w:after="20"/>
              <w:jc w:val="both"/>
            </w:pPr>
            <w:r>
              <w:rPr>
                <w:sz w:val="18"/>
                <w:szCs w:val="18"/>
              </w:rPr>
              <w:t>Directos e indirectos</w:t>
            </w:r>
          </w:p>
        </w:tc>
        <w:tc>
          <w:tcPr>
            <w:tcW w:w="2015" w:type="dxa"/>
            <w:shd w:val="clear" w:color="auto" w:fill="D9E2F3"/>
            <w:vAlign w:val="center"/>
          </w:tcPr>
          <w:p w14:paraId="235530F8" w14:textId="77777777" w:rsidR="00990B14" w:rsidRDefault="00000000">
            <w:pPr>
              <w:spacing w:before="20" w:after="20"/>
              <w:jc w:val="both"/>
            </w:pPr>
            <w:r>
              <w:rPr>
                <w:sz w:val="18"/>
                <w:szCs w:val="18"/>
              </w:rPr>
              <w:t>Confunde costos directos e indirectos.</w:t>
            </w:r>
          </w:p>
        </w:tc>
        <w:tc>
          <w:tcPr>
            <w:tcW w:w="1854" w:type="dxa"/>
            <w:shd w:val="clear" w:color="auto" w:fill="D9E2F3"/>
            <w:vAlign w:val="center"/>
          </w:tcPr>
          <w:p w14:paraId="16445B82" w14:textId="77777777" w:rsidR="00990B14" w:rsidRDefault="00000000">
            <w:pPr>
              <w:spacing w:before="20" w:after="20"/>
              <w:jc w:val="both"/>
            </w:pPr>
            <w:r>
              <w:rPr>
                <w:sz w:val="18"/>
                <w:szCs w:val="18"/>
              </w:rPr>
              <w:t>Clasifica los costos de la campaña.</w:t>
            </w:r>
          </w:p>
        </w:tc>
        <w:tc>
          <w:tcPr>
            <w:tcW w:w="1910" w:type="dxa"/>
            <w:shd w:val="clear" w:color="auto" w:fill="D9E2F3"/>
            <w:vAlign w:val="center"/>
          </w:tcPr>
          <w:p w14:paraId="577753A8" w14:textId="77777777" w:rsidR="00990B14" w:rsidRDefault="00000000">
            <w:pPr>
              <w:spacing w:before="20" w:after="20"/>
              <w:jc w:val="both"/>
            </w:pPr>
            <w:r>
              <w:rPr>
                <w:sz w:val="18"/>
                <w:szCs w:val="18"/>
              </w:rPr>
              <w:t>Justifica la clasificación de los casos dudosos.</w:t>
            </w:r>
          </w:p>
        </w:tc>
      </w:tr>
      <w:tr w:rsidR="00990B14" w14:paraId="69B3B3A3" w14:textId="77777777">
        <w:trPr>
          <w:cantSplit/>
          <w:jc w:val="center"/>
        </w:trPr>
        <w:tc>
          <w:tcPr>
            <w:tcW w:w="1772" w:type="dxa"/>
            <w:vMerge/>
            <w:shd w:val="clear" w:color="auto" w:fill="4472C4"/>
            <w:vAlign w:val="center"/>
          </w:tcPr>
          <w:p w14:paraId="4EE5152A" w14:textId="77777777" w:rsidR="00990B14" w:rsidRDefault="00990B14">
            <w:pPr>
              <w:spacing w:before="20" w:after="20"/>
            </w:pPr>
          </w:p>
        </w:tc>
        <w:tc>
          <w:tcPr>
            <w:tcW w:w="1854" w:type="dxa"/>
            <w:shd w:val="clear" w:color="auto" w:fill="D9E2F3"/>
            <w:vAlign w:val="center"/>
          </w:tcPr>
          <w:p w14:paraId="4569DB87" w14:textId="77777777" w:rsidR="00990B14" w:rsidRDefault="00000000">
            <w:pPr>
              <w:spacing w:before="20" w:after="20"/>
              <w:jc w:val="both"/>
            </w:pPr>
            <w:r>
              <w:rPr>
                <w:sz w:val="18"/>
                <w:szCs w:val="18"/>
              </w:rPr>
              <w:t>Costo financiero y de oportunidad</w:t>
            </w:r>
          </w:p>
        </w:tc>
        <w:tc>
          <w:tcPr>
            <w:tcW w:w="2015" w:type="dxa"/>
            <w:shd w:val="clear" w:color="auto" w:fill="D9E2F3"/>
            <w:vAlign w:val="center"/>
          </w:tcPr>
          <w:p w14:paraId="091799C5" w14:textId="77777777" w:rsidR="00990B14" w:rsidRDefault="00000000">
            <w:pPr>
              <w:spacing w:before="20" w:after="20"/>
              <w:jc w:val="both"/>
            </w:pPr>
            <w:r>
              <w:rPr>
                <w:sz w:val="18"/>
                <w:szCs w:val="18"/>
              </w:rPr>
              <w:t>Omite ambos costos.</w:t>
            </w:r>
          </w:p>
        </w:tc>
        <w:tc>
          <w:tcPr>
            <w:tcW w:w="1854" w:type="dxa"/>
            <w:shd w:val="clear" w:color="auto" w:fill="D9E2F3"/>
            <w:vAlign w:val="center"/>
          </w:tcPr>
          <w:p w14:paraId="6972D83B" w14:textId="77777777" w:rsidR="00990B14" w:rsidRDefault="00000000">
            <w:pPr>
              <w:spacing w:before="20" w:after="20"/>
              <w:jc w:val="both"/>
            </w:pPr>
            <w:r>
              <w:rPr>
                <w:sz w:val="18"/>
                <w:szCs w:val="18"/>
              </w:rPr>
              <w:t>Calcula el costo financiero y el de oportunidad.</w:t>
            </w:r>
          </w:p>
        </w:tc>
        <w:tc>
          <w:tcPr>
            <w:tcW w:w="1910" w:type="dxa"/>
            <w:shd w:val="clear" w:color="auto" w:fill="D9E2F3"/>
            <w:vAlign w:val="center"/>
          </w:tcPr>
          <w:p w14:paraId="75DE3C14" w14:textId="77777777" w:rsidR="00990B14" w:rsidRDefault="00000000">
            <w:pPr>
              <w:spacing w:before="20" w:after="20"/>
              <w:jc w:val="both"/>
            </w:pPr>
            <w:r>
              <w:rPr>
                <w:sz w:val="18"/>
                <w:szCs w:val="18"/>
              </w:rPr>
              <w:t>Analiza su efecto en la rentabilidad.</w:t>
            </w:r>
          </w:p>
        </w:tc>
      </w:tr>
      <w:tr w:rsidR="00990B14" w14:paraId="4DAAF8D4" w14:textId="77777777">
        <w:trPr>
          <w:cantSplit/>
          <w:jc w:val="center"/>
        </w:trPr>
        <w:tc>
          <w:tcPr>
            <w:tcW w:w="1772" w:type="dxa"/>
            <w:vMerge/>
            <w:shd w:val="clear" w:color="auto" w:fill="4472C4"/>
            <w:vAlign w:val="center"/>
          </w:tcPr>
          <w:p w14:paraId="2DFF7578" w14:textId="77777777" w:rsidR="00990B14" w:rsidRDefault="00990B14">
            <w:pPr>
              <w:spacing w:before="20" w:after="20"/>
            </w:pPr>
          </w:p>
        </w:tc>
        <w:tc>
          <w:tcPr>
            <w:tcW w:w="1854" w:type="dxa"/>
            <w:shd w:val="clear" w:color="auto" w:fill="D9E2F3"/>
            <w:vAlign w:val="center"/>
          </w:tcPr>
          <w:p w14:paraId="3C4A3CBC" w14:textId="77777777" w:rsidR="00990B14" w:rsidRDefault="00000000">
            <w:pPr>
              <w:spacing w:before="20" w:after="20"/>
              <w:jc w:val="both"/>
            </w:pPr>
            <w:r>
              <w:rPr>
                <w:sz w:val="18"/>
                <w:szCs w:val="18"/>
              </w:rPr>
              <w:t>Trabajo en equipo</w:t>
            </w:r>
          </w:p>
        </w:tc>
        <w:tc>
          <w:tcPr>
            <w:tcW w:w="2015" w:type="dxa"/>
            <w:shd w:val="clear" w:color="auto" w:fill="D9E2F3"/>
            <w:vAlign w:val="center"/>
          </w:tcPr>
          <w:p w14:paraId="0708BE5C" w14:textId="77777777" w:rsidR="00990B14" w:rsidRDefault="00000000">
            <w:pPr>
              <w:spacing w:before="20" w:after="20"/>
              <w:jc w:val="both"/>
            </w:pPr>
            <w:r>
              <w:rPr>
                <w:sz w:val="18"/>
                <w:szCs w:val="18"/>
              </w:rPr>
              <w:t>La participación es desigual.</w:t>
            </w:r>
          </w:p>
        </w:tc>
        <w:tc>
          <w:tcPr>
            <w:tcW w:w="1854" w:type="dxa"/>
            <w:shd w:val="clear" w:color="auto" w:fill="D9E2F3"/>
            <w:vAlign w:val="center"/>
          </w:tcPr>
          <w:p w14:paraId="757B7C87" w14:textId="77777777" w:rsidR="00990B14" w:rsidRDefault="00000000">
            <w:pPr>
              <w:spacing w:before="20" w:after="20"/>
              <w:jc w:val="both"/>
            </w:pPr>
            <w:r>
              <w:rPr>
                <w:sz w:val="18"/>
                <w:szCs w:val="18"/>
              </w:rPr>
              <w:t>Todos los integrantes participan.</w:t>
            </w:r>
          </w:p>
        </w:tc>
        <w:tc>
          <w:tcPr>
            <w:tcW w:w="1910" w:type="dxa"/>
            <w:shd w:val="clear" w:color="auto" w:fill="D9E2F3"/>
            <w:vAlign w:val="center"/>
          </w:tcPr>
          <w:p w14:paraId="1D652E39" w14:textId="77777777" w:rsidR="00990B14" w:rsidRDefault="00000000">
            <w:pPr>
              <w:spacing w:before="20" w:after="20"/>
              <w:jc w:val="both"/>
            </w:pPr>
            <w:r>
              <w:rPr>
                <w:sz w:val="18"/>
                <w:szCs w:val="18"/>
              </w:rPr>
              <w:t>El equipo sustenta sus conclusiones ante el curso.</w:t>
            </w:r>
          </w:p>
        </w:tc>
      </w:tr>
      <w:tr w:rsidR="00990B14" w14:paraId="7178BAF2" w14:textId="77777777">
        <w:trPr>
          <w:cantSplit/>
          <w:jc w:val="center"/>
        </w:trPr>
        <w:tc>
          <w:tcPr>
            <w:tcW w:w="1772" w:type="dxa"/>
            <w:vMerge/>
            <w:shd w:val="clear" w:color="auto" w:fill="4472C4"/>
            <w:vAlign w:val="center"/>
          </w:tcPr>
          <w:p w14:paraId="3318B8BB" w14:textId="77777777" w:rsidR="00990B14" w:rsidRDefault="00990B14">
            <w:pPr>
              <w:spacing w:before="20" w:after="20"/>
            </w:pPr>
          </w:p>
        </w:tc>
        <w:tc>
          <w:tcPr>
            <w:tcW w:w="5723" w:type="dxa"/>
            <w:gridSpan w:val="3"/>
            <w:shd w:val="clear" w:color="auto" w:fill="D9E2F3"/>
            <w:vAlign w:val="center"/>
          </w:tcPr>
          <w:p w14:paraId="56739DFF" w14:textId="77777777" w:rsidR="00990B14" w:rsidRDefault="00000000">
            <w:pPr>
              <w:keepNext/>
              <w:spacing w:before="20" w:after="20"/>
              <w:jc w:val="both"/>
            </w:pPr>
            <w:r>
              <w:rPr>
                <w:b/>
                <w:bCs/>
                <w:i/>
                <w:iCs/>
                <w:sz w:val="18"/>
                <w:szCs w:val="18"/>
              </w:rPr>
              <w:t xml:space="preserve">Producto 23: </w:t>
            </w:r>
            <w:r>
              <w:rPr>
                <w:sz w:val="18"/>
                <w:szCs w:val="18"/>
              </w:rPr>
              <w:t>Presupuesto agrícola</w:t>
            </w:r>
          </w:p>
        </w:tc>
        <w:tc>
          <w:tcPr>
            <w:tcW w:w="1910" w:type="dxa"/>
            <w:shd w:val="clear" w:color="auto" w:fill="D9E2F3"/>
            <w:vAlign w:val="center"/>
          </w:tcPr>
          <w:p w14:paraId="2C812517" w14:textId="77777777" w:rsidR="00990B14" w:rsidRDefault="00000000">
            <w:pPr>
              <w:spacing w:before="20" w:after="20"/>
              <w:jc w:val="center"/>
            </w:pPr>
            <w:r>
              <w:rPr>
                <w:b/>
                <w:bCs/>
                <w:sz w:val="18"/>
                <w:szCs w:val="18"/>
              </w:rPr>
              <w:t>2%</w:t>
            </w:r>
          </w:p>
        </w:tc>
      </w:tr>
      <w:tr w:rsidR="00990B14" w14:paraId="10E19D80" w14:textId="77777777">
        <w:trPr>
          <w:cantSplit/>
          <w:jc w:val="center"/>
        </w:trPr>
        <w:tc>
          <w:tcPr>
            <w:tcW w:w="1772" w:type="dxa"/>
            <w:vMerge/>
            <w:shd w:val="clear" w:color="auto" w:fill="4472C4"/>
            <w:vAlign w:val="center"/>
          </w:tcPr>
          <w:p w14:paraId="3FA8BCB7" w14:textId="77777777" w:rsidR="00990B14" w:rsidRDefault="00990B14">
            <w:pPr>
              <w:spacing w:before="20" w:after="20"/>
            </w:pPr>
          </w:p>
        </w:tc>
        <w:tc>
          <w:tcPr>
            <w:tcW w:w="1854" w:type="dxa"/>
            <w:shd w:val="clear" w:color="auto" w:fill="4472C4"/>
            <w:vAlign w:val="center"/>
          </w:tcPr>
          <w:p w14:paraId="475C9A69"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469C977E" w14:textId="77777777" w:rsidR="00990B14" w:rsidRDefault="00000000">
            <w:pPr>
              <w:keepNext/>
              <w:spacing w:before="20" w:after="20"/>
              <w:jc w:val="center"/>
            </w:pPr>
            <w:r>
              <w:rPr>
                <w:b/>
                <w:bCs/>
                <w:i/>
                <w:iCs/>
                <w:color w:val="FFFFFF"/>
                <w:sz w:val="18"/>
                <w:szCs w:val="18"/>
              </w:rPr>
              <w:t>Insuficiente (1–50)</w:t>
            </w:r>
          </w:p>
        </w:tc>
        <w:tc>
          <w:tcPr>
            <w:tcW w:w="1854" w:type="dxa"/>
            <w:shd w:val="clear" w:color="auto" w:fill="4472C4"/>
            <w:vAlign w:val="center"/>
          </w:tcPr>
          <w:p w14:paraId="006CA574"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6313FD19" w14:textId="77777777" w:rsidR="00990B14" w:rsidRDefault="00000000">
            <w:pPr>
              <w:keepNext/>
              <w:spacing w:before="20" w:after="20"/>
              <w:jc w:val="center"/>
            </w:pPr>
            <w:r>
              <w:rPr>
                <w:b/>
                <w:bCs/>
                <w:i/>
                <w:iCs/>
                <w:color w:val="FFFFFF"/>
                <w:sz w:val="18"/>
                <w:szCs w:val="18"/>
              </w:rPr>
              <w:t>Destacado (81–100)</w:t>
            </w:r>
          </w:p>
        </w:tc>
      </w:tr>
      <w:tr w:rsidR="00990B14" w14:paraId="4DF6ADE4" w14:textId="77777777">
        <w:trPr>
          <w:cantSplit/>
          <w:jc w:val="center"/>
        </w:trPr>
        <w:tc>
          <w:tcPr>
            <w:tcW w:w="1772" w:type="dxa"/>
            <w:vMerge/>
            <w:shd w:val="clear" w:color="auto" w:fill="4472C4"/>
            <w:vAlign w:val="center"/>
          </w:tcPr>
          <w:p w14:paraId="3A63E847" w14:textId="77777777" w:rsidR="00990B14" w:rsidRDefault="00990B14">
            <w:pPr>
              <w:spacing w:before="20" w:after="20"/>
            </w:pPr>
          </w:p>
        </w:tc>
        <w:tc>
          <w:tcPr>
            <w:tcW w:w="1854" w:type="dxa"/>
            <w:shd w:val="clear" w:color="auto" w:fill="D9E2F3"/>
            <w:vAlign w:val="center"/>
          </w:tcPr>
          <w:p w14:paraId="25D2CF26" w14:textId="77777777" w:rsidR="00990B14" w:rsidRDefault="00000000">
            <w:pPr>
              <w:spacing w:before="20" w:after="20"/>
              <w:jc w:val="both"/>
            </w:pPr>
            <w:r>
              <w:rPr>
                <w:sz w:val="18"/>
                <w:szCs w:val="18"/>
              </w:rPr>
              <w:t>Presupuesto de producción</w:t>
            </w:r>
          </w:p>
        </w:tc>
        <w:tc>
          <w:tcPr>
            <w:tcW w:w="2015" w:type="dxa"/>
            <w:shd w:val="clear" w:color="auto" w:fill="D9E2F3"/>
            <w:vAlign w:val="center"/>
          </w:tcPr>
          <w:p w14:paraId="2361B91A" w14:textId="77777777" w:rsidR="00990B14" w:rsidRDefault="00000000">
            <w:pPr>
              <w:spacing w:before="20" w:after="20"/>
              <w:jc w:val="both"/>
            </w:pPr>
            <w:r>
              <w:rPr>
                <w:sz w:val="18"/>
                <w:szCs w:val="18"/>
              </w:rPr>
              <w:t>Está incompleto.</w:t>
            </w:r>
          </w:p>
        </w:tc>
        <w:tc>
          <w:tcPr>
            <w:tcW w:w="1854" w:type="dxa"/>
            <w:shd w:val="clear" w:color="auto" w:fill="D9E2F3"/>
            <w:vAlign w:val="center"/>
          </w:tcPr>
          <w:p w14:paraId="7706DB2E" w14:textId="77777777" w:rsidR="00990B14" w:rsidRDefault="00000000">
            <w:pPr>
              <w:spacing w:before="20" w:after="20"/>
              <w:jc w:val="both"/>
            </w:pPr>
            <w:r>
              <w:rPr>
                <w:sz w:val="18"/>
                <w:szCs w:val="18"/>
              </w:rPr>
              <w:t>Proyecta la producción y sus costos.</w:t>
            </w:r>
          </w:p>
        </w:tc>
        <w:tc>
          <w:tcPr>
            <w:tcW w:w="1910" w:type="dxa"/>
            <w:shd w:val="clear" w:color="auto" w:fill="D9E2F3"/>
            <w:vAlign w:val="center"/>
          </w:tcPr>
          <w:p w14:paraId="5D137184" w14:textId="77777777" w:rsidR="00990B14" w:rsidRDefault="00000000">
            <w:pPr>
              <w:spacing w:before="20" w:after="20"/>
              <w:jc w:val="both"/>
            </w:pPr>
            <w:r>
              <w:rPr>
                <w:sz w:val="18"/>
                <w:szCs w:val="18"/>
              </w:rPr>
              <w:t>Relaciona la producción con el periodo vegetativo.</w:t>
            </w:r>
          </w:p>
        </w:tc>
      </w:tr>
      <w:tr w:rsidR="00990B14" w14:paraId="056D1F4C" w14:textId="77777777">
        <w:trPr>
          <w:cantSplit/>
          <w:jc w:val="center"/>
        </w:trPr>
        <w:tc>
          <w:tcPr>
            <w:tcW w:w="1772" w:type="dxa"/>
            <w:vMerge/>
            <w:shd w:val="clear" w:color="auto" w:fill="4472C4"/>
            <w:vAlign w:val="center"/>
          </w:tcPr>
          <w:p w14:paraId="0B79F4F9" w14:textId="77777777" w:rsidR="00990B14" w:rsidRDefault="00990B14">
            <w:pPr>
              <w:spacing w:before="20" w:after="20"/>
            </w:pPr>
          </w:p>
        </w:tc>
        <w:tc>
          <w:tcPr>
            <w:tcW w:w="1854" w:type="dxa"/>
            <w:shd w:val="clear" w:color="auto" w:fill="D9E2F3"/>
            <w:vAlign w:val="center"/>
          </w:tcPr>
          <w:p w14:paraId="60B7B292" w14:textId="77777777" w:rsidR="00990B14" w:rsidRDefault="00000000">
            <w:pPr>
              <w:spacing w:before="20" w:after="20"/>
              <w:jc w:val="both"/>
            </w:pPr>
            <w:r>
              <w:rPr>
                <w:sz w:val="18"/>
                <w:szCs w:val="18"/>
              </w:rPr>
              <w:t>Inversiones y resultados</w:t>
            </w:r>
          </w:p>
        </w:tc>
        <w:tc>
          <w:tcPr>
            <w:tcW w:w="2015" w:type="dxa"/>
            <w:shd w:val="clear" w:color="auto" w:fill="D9E2F3"/>
            <w:vAlign w:val="center"/>
          </w:tcPr>
          <w:p w14:paraId="024A7B23" w14:textId="77777777" w:rsidR="00990B14" w:rsidRDefault="00000000">
            <w:pPr>
              <w:spacing w:before="20" w:after="20"/>
              <w:jc w:val="both"/>
            </w:pPr>
            <w:r>
              <w:rPr>
                <w:sz w:val="18"/>
                <w:szCs w:val="18"/>
              </w:rPr>
              <w:t>No integra las inversiones.</w:t>
            </w:r>
          </w:p>
        </w:tc>
        <w:tc>
          <w:tcPr>
            <w:tcW w:w="1854" w:type="dxa"/>
            <w:shd w:val="clear" w:color="auto" w:fill="D9E2F3"/>
            <w:vAlign w:val="center"/>
          </w:tcPr>
          <w:p w14:paraId="7E6296FF" w14:textId="77777777" w:rsidR="00990B14" w:rsidRDefault="00000000">
            <w:pPr>
              <w:spacing w:before="20" w:after="20"/>
              <w:jc w:val="both"/>
            </w:pPr>
            <w:r>
              <w:rPr>
                <w:sz w:val="18"/>
                <w:szCs w:val="18"/>
              </w:rPr>
              <w:t>Integra las inversiones y el resultado esperado.</w:t>
            </w:r>
          </w:p>
        </w:tc>
        <w:tc>
          <w:tcPr>
            <w:tcW w:w="1910" w:type="dxa"/>
            <w:shd w:val="clear" w:color="auto" w:fill="D9E2F3"/>
            <w:vAlign w:val="center"/>
          </w:tcPr>
          <w:p w14:paraId="2747B811" w14:textId="77777777" w:rsidR="00990B14" w:rsidRDefault="00000000">
            <w:pPr>
              <w:spacing w:before="20" w:after="20"/>
              <w:jc w:val="both"/>
            </w:pPr>
            <w:r>
              <w:rPr>
                <w:sz w:val="18"/>
                <w:szCs w:val="18"/>
              </w:rPr>
              <w:t>Evalúa la recuperación de la inversión.</w:t>
            </w:r>
          </w:p>
        </w:tc>
      </w:tr>
      <w:tr w:rsidR="00990B14" w14:paraId="1B466B18" w14:textId="77777777">
        <w:trPr>
          <w:cantSplit/>
          <w:jc w:val="center"/>
        </w:trPr>
        <w:tc>
          <w:tcPr>
            <w:tcW w:w="1772" w:type="dxa"/>
            <w:vMerge/>
            <w:shd w:val="clear" w:color="auto" w:fill="4472C4"/>
            <w:vAlign w:val="center"/>
          </w:tcPr>
          <w:p w14:paraId="46566626" w14:textId="77777777" w:rsidR="00990B14" w:rsidRDefault="00990B14">
            <w:pPr>
              <w:spacing w:before="20" w:after="20"/>
            </w:pPr>
          </w:p>
        </w:tc>
        <w:tc>
          <w:tcPr>
            <w:tcW w:w="1854" w:type="dxa"/>
            <w:shd w:val="clear" w:color="auto" w:fill="D9E2F3"/>
            <w:vAlign w:val="center"/>
          </w:tcPr>
          <w:p w14:paraId="7B999AD7" w14:textId="77777777" w:rsidR="00990B14" w:rsidRDefault="00000000">
            <w:pPr>
              <w:spacing w:before="20" w:after="20"/>
              <w:jc w:val="both"/>
            </w:pPr>
            <w:r>
              <w:rPr>
                <w:sz w:val="18"/>
                <w:szCs w:val="18"/>
              </w:rPr>
              <w:t>Presentación</w:t>
            </w:r>
          </w:p>
        </w:tc>
        <w:tc>
          <w:tcPr>
            <w:tcW w:w="2015" w:type="dxa"/>
            <w:shd w:val="clear" w:color="auto" w:fill="D9E2F3"/>
            <w:vAlign w:val="center"/>
          </w:tcPr>
          <w:p w14:paraId="4ED61E8B" w14:textId="77777777" w:rsidR="00990B14" w:rsidRDefault="00000000">
            <w:pPr>
              <w:spacing w:before="20" w:after="20"/>
              <w:jc w:val="both"/>
            </w:pPr>
            <w:r>
              <w:rPr>
                <w:sz w:val="18"/>
                <w:szCs w:val="18"/>
              </w:rPr>
              <w:t>La presentación es desordenada.</w:t>
            </w:r>
          </w:p>
        </w:tc>
        <w:tc>
          <w:tcPr>
            <w:tcW w:w="1854" w:type="dxa"/>
            <w:shd w:val="clear" w:color="auto" w:fill="D9E2F3"/>
            <w:vAlign w:val="center"/>
          </w:tcPr>
          <w:p w14:paraId="075E9ED4" w14:textId="77777777" w:rsidR="00990B14" w:rsidRDefault="00000000">
            <w:pPr>
              <w:spacing w:before="20" w:after="20"/>
              <w:jc w:val="both"/>
            </w:pPr>
            <w:r>
              <w:rPr>
                <w:sz w:val="18"/>
                <w:szCs w:val="18"/>
              </w:rPr>
              <w:t>La presentación es clara.</w:t>
            </w:r>
          </w:p>
        </w:tc>
        <w:tc>
          <w:tcPr>
            <w:tcW w:w="1910" w:type="dxa"/>
            <w:shd w:val="clear" w:color="auto" w:fill="D9E2F3"/>
            <w:vAlign w:val="center"/>
          </w:tcPr>
          <w:p w14:paraId="53FFE6CF" w14:textId="77777777" w:rsidR="00990B14" w:rsidRDefault="00000000">
            <w:pPr>
              <w:spacing w:before="20" w:after="20"/>
              <w:jc w:val="both"/>
            </w:pPr>
            <w:r>
              <w:rPr>
                <w:sz w:val="18"/>
                <w:szCs w:val="18"/>
              </w:rPr>
              <w:t>El equipo sustenta sus supuestos ante el curso.</w:t>
            </w:r>
          </w:p>
        </w:tc>
      </w:tr>
      <w:tr w:rsidR="00990B14" w14:paraId="249F5A24" w14:textId="77777777">
        <w:trPr>
          <w:cantSplit/>
          <w:jc w:val="center"/>
        </w:trPr>
        <w:tc>
          <w:tcPr>
            <w:tcW w:w="1772" w:type="dxa"/>
            <w:vMerge/>
            <w:shd w:val="clear" w:color="auto" w:fill="4472C4"/>
            <w:vAlign w:val="center"/>
          </w:tcPr>
          <w:p w14:paraId="77872DAA" w14:textId="77777777" w:rsidR="00990B14" w:rsidRDefault="00990B14">
            <w:pPr>
              <w:spacing w:before="20" w:after="20"/>
            </w:pPr>
          </w:p>
        </w:tc>
        <w:tc>
          <w:tcPr>
            <w:tcW w:w="5723" w:type="dxa"/>
            <w:gridSpan w:val="3"/>
            <w:shd w:val="clear" w:color="auto" w:fill="D9E2F3"/>
            <w:vAlign w:val="center"/>
          </w:tcPr>
          <w:p w14:paraId="17EFCA92" w14:textId="77777777" w:rsidR="00990B14" w:rsidRDefault="00000000">
            <w:pPr>
              <w:keepNext/>
              <w:spacing w:before="20" w:after="20"/>
              <w:jc w:val="both"/>
            </w:pPr>
            <w:r>
              <w:rPr>
                <w:b/>
                <w:bCs/>
                <w:i/>
                <w:iCs/>
                <w:sz w:val="18"/>
                <w:szCs w:val="18"/>
              </w:rPr>
              <w:t xml:space="preserve">Producto 24: </w:t>
            </w:r>
            <w:r>
              <w:rPr>
                <w:sz w:val="18"/>
                <w:szCs w:val="18"/>
              </w:rPr>
              <w:t>Informe de sensibilidad agrícola</w:t>
            </w:r>
          </w:p>
        </w:tc>
        <w:tc>
          <w:tcPr>
            <w:tcW w:w="1910" w:type="dxa"/>
            <w:shd w:val="clear" w:color="auto" w:fill="D9E2F3"/>
            <w:vAlign w:val="center"/>
          </w:tcPr>
          <w:p w14:paraId="653B0799" w14:textId="77777777" w:rsidR="00990B14" w:rsidRDefault="00000000">
            <w:pPr>
              <w:spacing w:before="20" w:after="20"/>
              <w:jc w:val="center"/>
            </w:pPr>
            <w:r>
              <w:rPr>
                <w:b/>
                <w:bCs/>
                <w:sz w:val="18"/>
                <w:szCs w:val="18"/>
              </w:rPr>
              <w:t>2%</w:t>
            </w:r>
          </w:p>
        </w:tc>
      </w:tr>
      <w:tr w:rsidR="00990B14" w14:paraId="19CF24C7" w14:textId="77777777">
        <w:trPr>
          <w:cantSplit/>
          <w:jc w:val="center"/>
        </w:trPr>
        <w:tc>
          <w:tcPr>
            <w:tcW w:w="1772" w:type="dxa"/>
            <w:vMerge/>
            <w:shd w:val="clear" w:color="auto" w:fill="4472C4"/>
            <w:vAlign w:val="center"/>
          </w:tcPr>
          <w:p w14:paraId="1051DD97" w14:textId="77777777" w:rsidR="00990B14" w:rsidRDefault="00990B14">
            <w:pPr>
              <w:spacing w:before="20" w:after="20"/>
            </w:pPr>
          </w:p>
        </w:tc>
        <w:tc>
          <w:tcPr>
            <w:tcW w:w="1854" w:type="dxa"/>
            <w:shd w:val="clear" w:color="auto" w:fill="4472C4"/>
            <w:vAlign w:val="center"/>
          </w:tcPr>
          <w:p w14:paraId="2FAE9A69"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58667C98" w14:textId="77777777" w:rsidR="00990B14" w:rsidRDefault="00000000">
            <w:pPr>
              <w:keepNext/>
              <w:spacing w:before="20" w:after="20"/>
              <w:jc w:val="center"/>
            </w:pPr>
            <w:r>
              <w:rPr>
                <w:b/>
                <w:bCs/>
                <w:i/>
                <w:iCs/>
                <w:color w:val="FFFFFF"/>
                <w:sz w:val="18"/>
                <w:szCs w:val="18"/>
              </w:rPr>
              <w:t>Insuficiente (1–50)</w:t>
            </w:r>
          </w:p>
        </w:tc>
        <w:tc>
          <w:tcPr>
            <w:tcW w:w="1854" w:type="dxa"/>
            <w:shd w:val="clear" w:color="auto" w:fill="4472C4"/>
            <w:vAlign w:val="center"/>
          </w:tcPr>
          <w:p w14:paraId="6EC6B3E0"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57EF7E5A" w14:textId="77777777" w:rsidR="00990B14" w:rsidRDefault="00000000">
            <w:pPr>
              <w:keepNext/>
              <w:spacing w:before="20" w:after="20"/>
              <w:jc w:val="center"/>
            </w:pPr>
            <w:r>
              <w:rPr>
                <w:b/>
                <w:bCs/>
                <w:i/>
                <w:iCs/>
                <w:color w:val="FFFFFF"/>
                <w:sz w:val="18"/>
                <w:szCs w:val="18"/>
              </w:rPr>
              <w:t>Destacado (81–100)</w:t>
            </w:r>
          </w:p>
        </w:tc>
      </w:tr>
      <w:tr w:rsidR="00990B14" w14:paraId="5A53BE1D" w14:textId="77777777">
        <w:trPr>
          <w:cantSplit/>
          <w:jc w:val="center"/>
        </w:trPr>
        <w:tc>
          <w:tcPr>
            <w:tcW w:w="1772" w:type="dxa"/>
            <w:vMerge/>
            <w:shd w:val="clear" w:color="auto" w:fill="4472C4"/>
            <w:vAlign w:val="center"/>
          </w:tcPr>
          <w:p w14:paraId="3AC2B737" w14:textId="77777777" w:rsidR="00990B14" w:rsidRDefault="00990B14">
            <w:pPr>
              <w:spacing w:before="20" w:after="20"/>
            </w:pPr>
          </w:p>
        </w:tc>
        <w:tc>
          <w:tcPr>
            <w:tcW w:w="1854" w:type="dxa"/>
            <w:shd w:val="clear" w:color="auto" w:fill="D9E2F3"/>
            <w:vAlign w:val="center"/>
          </w:tcPr>
          <w:p w14:paraId="5AFB9969" w14:textId="77777777" w:rsidR="00990B14" w:rsidRDefault="00000000">
            <w:pPr>
              <w:spacing w:before="20" w:after="20"/>
              <w:jc w:val="both"/>
            </w:pPr>
            <w:r>
              <w:rPr>
                <w:sz w:val="18"/>
                <w:szCs w:val="18"/>
              </w:rPr>
              <w:t>Desviaciones</w:t>
            </w:r>
          </w:p>
        </w:tc>
        <w:tc>
          <w:tcPr>
            <w:tcW w:w="2015" w:type="dxa"/>
            <w:shd w:val="clear" w:color="auto" w:fill="D9E2F3"/>
            <w:vAlign w:val="center"/>
          </w:tcPr>
          <w:p w14:paraId="01394896" w14:textId="77777777" w:rsidR="00990B14" w:rsidRDefault="00000000">
            <w:pPr>
              <w:spacing w:before="20" w:after="20"/>
              <w:jc w:val="both"/>
            </w:pPr>
            <w:r>
              <w:rPr>
                <w:sz w:val="18"/>
                <w:szCs w:val="18"/>
              </w:rPr>
              <w:t>No calcula desviaciones.</w:t>
            </w:r>
          </w:p>
        </w:tc>
        <w:tc>
          <w:tcPr>
            <w:tcW w:w="1854" w:type="dxa"/>
            <w:shd w:val="clear" w:color="auto" w:fill="D9E2F3"/>
            <w:vAlign w:val="center"/>
          </w:tcPr>
          <w:p w14:paraId="0DA24423" w14:textId="77777777" w:rsidR="00990B14" w:rsidRDefault="00000000">
            <w:pPr>
              <w:spacing w:before="20" w:after="20"/>
              <w:jc w:val="both"/>
            </w:pPr>
            <w:r>
              <w:rPr>
                <w:sz w:val="18"/>
                <w:szCs w:val="18"/>
              </w:rPr>
              <w:t>Calcula las desviaciones entre presupuesto y real.</w:t>
            </w:r>
          </w:p>
        </w:tc>
        <w:tc>
          <w:tcPr>
            <w:tcW w:w="1910" w:type="dxa"/>
            <w:shd w:val="clear" w:color="auto" w:fill="D9E2F3"/>
            <w:vAlign w:val="center"/>
          </w:tcPr>
          <w:p w14:paraId="251CBB8C" w14:textId="77777777" w:rsidR="00990B14" w:rsidRDefault="00000000">
            <w:pPr>
              <w:spacing w:before="20" w:after="20"/>
              <w:jc w:val="both"/>
            </w:pPr>
            <w:r>
              <w:rPr>
                <w:sz w:val="18"/>
                <w:szCs w:val="18"/>
              </w:rPr>
              <w:t>Explica las causas de cada desviación.</w:t>
            </w:r>
          </w:p>
        </w:tc>
      </w:tr>
      <w:tr w:rsidR="00990B14" w14:paraId="0B9959DA" w14:textId="77777777">
        <w:trPr>
          <w:cantSplit/>
          <w:jc w:val="center"/>
        </w:trPr>
        <w:tc>
          <w:tcPr>
            <w:tcW w:w="1772" w:type="dxa"/>
            <w:vMerge/>
            <w:shd w:val="clear" w:color="auto" w:fill="4472C4"/>
            <w:vAlign w:val="center"/>
          </w:tcPr>
          <w:p w14:paraId="59B15555" w14:textId="77777777" w:rsidR="00990B14" w:rsidRDefault="00990B14">
            <w:pPr>
              <w:spacing w:before="20" w:after="20"/>
            </w:pPr>
          </w:p>
        </w:tc>
        <w:tc>
          <w:tcPr>
            <w:tcW w:w="1854" w:type="dxa"/>
            <w:shd w:val="clear" w:color="auto" w:fill="D9E2F3"/>
            <w:vAlign w:val="center"/>
          </w:tcPr>
          <w:p w14:paraId="03238A87" w14:textId="77777777" w:rsidR="00990B14" w:rsidRDefault="00000000">
            <w:pPr>
              <w:spacing w:before="20" w:after="20"/>
              <w:jc w:val="both"/>
            </w:pPr>
            <w:r>
              <w:rPr>
                <w:sz w:val="18"/>
                <w:szCs w:val="18"/>
              </w:rPr>
              <w:t>Sensibilidad</w:t>
            </w:r>
          </w:p>
        </w:tc>
        <w:tc>
          <w:tcPr>
            <w:tcW w:w="2015" w:type="dxa"/>
            <w:shd w:val="clear" w:color="auto" w:fill="D9E2F3"/>
            <w:vAlign w:val="center"/>
          </w:tcPr>
          <w:p w14:paraId="05861F0F" w14:textId="77777777" w:rsidR="00990B14" w:rsidRDefault="00000000">
            <w:pPr>
              <w:spacing w:before="20" w:after="20"/>
              <w:jc w:val="both"/>
            </w:pPr>
            <w:r>
              <w:rPr>
                <w:sz w:val="18"/>
                <w:szCs w:val="18"/>
              </w:rPr>
              <w:t>No simula escenarios.</w:t>
            </w:r>
          </w:p>
        </w:tc>
        <w:tc>
          <w:tcPr>
            <w:tcW w:w="1854" w:type="dxa"/>
            <w:shd w:val="clear" w:color="auto" w:fill="D9E2F3"/>
            <w:vAlign w:val="center"/>
          </w:tcPr>
          <w:p w14:paraId="056236E8" w14:textId="77777777" w:rsidR="00990B14" w:rsidRDefault="00000000">
            <w:pPr>
              <w:spacing w:before="20" w:after="20"/>
              <w:jc w:val="both"/>
            </w:pPr>
            <w:r>
              <w:rPr>
                <w:sz w:val="18"/>
                <w:szCs w:val="18"/>
              </w:rPr>
              <w:t>Simula cambios del rendimiento y de los precios.</w:t>
            </w:r>
          </w:p>
        </w:tc>
        <w:tc>
          <w:tcPr>
            <w:tcW w:w="1910" w:type="dxa"/>
            <w:shd w:val="clear" w:color="auto" w:fill="D9E2F3"/>
            <w:vAlign w:val="center"/>
          </w:tcPr>
          <w:p w14:paraId="23E10C15" w14:textId="77777777" w:rsidR="00990B14" w:rsidRDefault="00000000">
            <w:pPr>
              <w:spacing w:before="20" w:after="20"/>
              <w:jc w:val="both"/>
            </w:pPr>
            <w:r>
              <w:rPr>
                <w:sz w:val="18"/>
                <w:szCs w:val="18"/>
              </w:rPr>
              <w:t>Propone medidas ante el escenario adverso.</w:t>
            </w:r>
          </w:p>
        </w:tc>
      </w:tr>
      <w:tr w:rsidR="00990B14" w14:paraId="7F28EDE0" w14:textId="77777777">
        <w:trPr>
          <w:cantSplit/>
          <w:jc w:val="center"/>
        </w:trPr>
        <w:tc>
          <w:tcPr>
            <w:tcW w:w="1772" w:type="dxa"/>
            <w:vMerge/>
            <w:shd w:val="clear" w:color="auto" w:fill="4472C4"/>
            <w:vAlign w:val="center"/>
          </w:tcPr>
          <w:p w14:paraId="1518B313" w14:textId="77777777" w:rsidR="00990B14" w:rsidRDefault="00990B14">
            <w:pPr>
              <w:spacing w:before="20" w:after="20"/>
            </w:pPr>
          </w:p>
        </w:tc>
        <w:tc>
          <w:tcPr>
            <w:tcW w:w="1854" w:type="dxa"/>
            <w:shd w:val="clear" w:color="auto" w:fill="D9E2F3"/>
            <w:vAlign w:val="center"/>
          </w:tcPr>
          <w:p w14:paraId="6F9AA030" w14:textId="77777777" w:rsidR="00990B14" w:rsidRDefault="00000000">
            <w:pPr>
              <w:spacing w:before="20" w:after="20"/>
              <w:jc w:val="both"/>
            </w:pPr>
            <w:r>
              <w:rPr>
                <w:sz w:val="18"/>
                <w:szCs w:val="18"/>
              </w:rPr>
              <w:t>Costos ambientales</w:t>
            </w:r>
          </w:p>
        </w:tc>
        <w:tc>
          <w:tcPr>
            <w:tcW w:w="2015" w:type="dxa"/>
            <w:shd w:val="clear" w:color="auto" w:fill="D9E2F3"/>
            <w:vAlign w:val="center"/>
          </w:tcPr>
          <w:p w14:paraId="1A004BCC" w14:textId="77777777" w:rsidR="00990B14" w:rsidRDefault="00000000">
            <w:pPr>
              <w:spacing w:before="20" w:after="20"/>
              <w:jc w:val="both"/>
            </w:pPr>
            <w:r>
              <w:rPr>
                <w:sz w:val="18"/>
                <w:szCs w:val="18"/>
              </w:rPr>
              <w:t>Omite costos ambientales.</w:t>
            </w:r>
          </w:p>
        </w:tc>
        <w:tc>
          <w:tcPr>
            <w:tcW w:w="1854" w:type="dxa"/>
            <w:shd w:val="clear" w:color="auto" w:fill="D9E2F3"/>
            <w:vAlign w:val="center"/>
          </w:tcPr>
          <w:p w14:paraId="18689C6A" w14:textId="77777777" w:rsidR="00990B14" w:rsidRDefault="00000000">
            <w:pPr>
              <w:spacing w:before="20" w:after="20"/>
              <w:jc w:val="both"/>
            </w:pPr>
            <w:r>
              <w:rPr>
                <w:sz w:val="18"/>
                <w:szCs w:val="18"/>
              </w:rPr>
              <w:t>Incluye el manejo de envases y residuos.</w:t>
            </w:r>
          </w:p>
        </w:tc>
        <w:tc>
          <w:tcPr>
            <w:tcW w:w="1910" w:type="dxa"/>
            <w:shd w:val="clear" w:color="auto" w:fill="D9E2F3"/>
            <w:vAlign w:val="center"/>
          </w:tcPr>
          <w:p w14:paraId="0045570B" w14:textId="77777777" w:rsidR="00990B14" w:rsidRDefault="00000000">
            <w:pPr>
              <w:spacing w:before="20" w:after="20"/>
              <w:jc w:val="both"/>
            </w:pPr>
            <w:r>
              <w:rPr>
                <w:sz w:val="18"/>
                <w:szCs w:val="18"/>
              </w:rPr>
              <w:t>Analiza el costo de recuperar los suelos.</w:t>
            </w:r>
          </w:p>
        </w:tc>
      </w:tr>
      <w:tr w:rsidR="00990B14" w14:paraId="7C45F704" w14:textId="77777777">
        <w:trPr>
          <w:cantSplit/>
          <w:jc w:val="center"/>
        </w:trPr>
        <w:tc>
          <w:tcPr>
            <w:tcW w:w="1772" w:type="dxa"/>
            <w:vMerge/>
            <w:shd w:val="clear" w:color="auto" w:fill="4472C4"/>
            <w:vAlign w:val="center"/>
          </w:tcPr>
          <w:p w14:paraId="603AA302" w14:textId="77777777" w:rsidR="00990B14" w:rsidRDefault="00990B14">
            <w:pPr>
              <w:spacing w:before="20" w:after="20"/>
            </w:pPr>
          </w:p>
        </w:tc>
        <w:tc>
          <w:tcPr>
            <w:tcW w:w="5723" w:type="dxa"/>
            <w:gridSpan w:val="3"/>
            <w:shd w:val="clear" w:color="auto" w:fill="D9E2F3"/>
            <w:vAlign w:val="center"/>
          </w:tcPr>
          <w:p w14:paraId="448C7CE3" w14:textId="77777777" w:rsidR="00990B14" w:rsidRDefault="00000000">
            <w:pPr>
              <w:keepNext/>
              <w:spacing w:before="20" w:after="20"/>
              <w:jc w:val="both"/>
            </w:pPr>
            <w:r>
              <w:rPr>
                <w:b/>
                <w:bCs/>
                <w:i/>
                <w:iCs/>
                <w:sz w:val="18"/>
                <w:szCs w:val="18"/>
              </w:rPr>
              <w:t xml:space="preserve">Producto 25: </w:t>
            </w:r>
            <w:r>
              <w:rPr>
                <w:sz w:val="18"/>
                <w:szCs w:val="18"/>
              </w:rPr>
              <w:t>Informe de medición de activos biológicos</w:t>
            </w:r>
          </w:p>
        </w:tc>
        <w:tc>
          <w:tcPr>
            <w:tcW w:w="1910" w:type="dxa"/>
            <w:shd w:val="clear" w:color="auto" w:fill="D9E2F3"/>
            <w:vAlign w:val="center"/>
          </w:tcPr>
          <w:p w14:paraId="5C9FDF4A" w14:textId="77777777" w:rsidR="00990B14" w:rsidRDefault="00000000">
            <w:pPr>
              <w:spacing w:before="20" w:after="20"/>
              <w:jc w:val="center"/>
            </w:pPr>
            <w:r>
              <w:rPr>
                <w:b/>
                <w:bCs/>
                <w:sz w:val="18"/>
                <w:szCs w:val="18"/>
              </w:rPr>
              <w:t>6%</w:t>
            </w:r>
          </w:p>
        </w:tc>
      </w:tr>
      <w:tr w:rsidR="00990B14" w14:paraId="412AAEA1" w14:textId="77777777">
        <w:trPr>
          <w:cantSplit/>
          <w:jc w:val="center"/>
        </w:trPr>
        <w:tc>
          <w:tcPr>
            <w:tcW w:w="1772" w:type="dxa"/>
            <w:vMerge/>
            <w:shd w:val="clear" w:color="auto" w:fill="4472C4"/>
            <w:vAlign w:val="center"/>
          </w:tcPr>
          <w:p w14:paraId="23224C31" w14:textId="77777777" w:rsidR="00990B14" w:rsidRDefault="00990B14">
            <w:pPr>
              <w:spacing w:before="20" w:after="20"/>
            </w:pPr>
          </w:p>
        </w:tc>
        <w:tc>
          <w:tcPr>
            <w:tcW w:w="1854" w:type="dxa"/>
            <w:shd w:val="clear" w:color="auto" w:fill="4472C4"/>
            <w:vAlign w:val="center"/>
          </w:tcPr>
          <w:p w14:paraId="75D1B177"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08920EE1" w14:textId="77777777" w:rsidR="00990B14" w:rsidRDefault="00000000">
            <w:pPr>
              <w:keepNext/>
              <w:spacing w:before="20" w:after="20"/>
              <w:jc w:val="center"/>
            </w:pPr>
            <w:r>
              <w:rPr>
                <w:b/>
                <w:bCs/>
                <w:i/>
                <w:iCs/>
                <w:color w:val="FFFFFF"/>
                <w:sz w:val="18"/>
                <w:szCs w:val="18"/>
              </w:rPr>
              <w:t>Insuficiente (1–50)</w:t>
            </w:r>
          </w:p>
        </w:tc>
        <w:tc>
          <w:tcPr>
            <w:tcW w:w="1854" w:type="dxa"/>
            <w:shd w:val="clear" w:color="auto" w:fill="4472C4"/>
            <w:vAlign w:val="center"/>
          </w:tcPr>
          <w:p w14:paraId="66518FE6"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620A534D" w14:textId="77777777" w:rsidR="00990B14" w:rsidRDefault="00000000">
            <w:pPr>
              <w:keepNext/>
              <w:spacing w:before="20" w:after="20"/>
              <w:jc w:val="center"/>
            </w:pPr>
            <w:r>
              <w:rPr>
                <w:b/>
                <w:bCs/>
                <w:i/>
                <w:iCs/>
                <w:color w:val="FFFFFF"/>
                <w:sz w:val="18"/>
                <w:szCs w:val="18"/>
              </w:rPr>
              <w:t>Destacado (81–100)</w:t>
            </w:r>
          </w:p>
        </w:tc>
      </w:tr>
      <w:tr w:rsidR="00990B14" w14:paraId="251F342C" w14:textId="77777777">
        <w:trPr>
          <w:cantSplit/>
          <w:jc w:val="center"/>
        </w:trPr>
        <w:tc>
          <w:tcPr>
            <w:tcW w:w="1772" w:type="dxa"/>
            <w:vMerge/>
            <w:shd w:val="clear" w:color="auto" w:fill="4472C4"/>
            <w:vAlign w:val="center"/>
          </w:tcPr>
          <w:p w14:paraId="1D7A216B" w14:textId="77777777" w:rsidR="00990B14" w:rsidRDefault="00990B14">
            <w:pPr>
              <w:spacing w:before="20" w:after="20"/>
            </w:pPr>
          </w:p>
        </w:tc>
        <w:tc>
          <w:tcPr>
            <w:tcW w:w="1854" w:type="dxa"/>
            <w:shd w:val="clear" w:color="auto" w:fill="D9E2F3"/>
            <w:vAlign w:val="center"/>
          </w:tcPr>
          <w:p w14:paraId="7160D1EC" w14:textId="77777777" w:rsidR="00990B14" w:rsidRDefault="00000000">
            <w:pPr>
              <w:spacing w:before="20" w:after="20"/>
              <w:jc w:val="both"/>
            </w:pPr>
            <w:r>
              <w:rPr>
                <w:sz w:val="18"/>
                <w:szCs w:val="18"/>
              </w:rPr>
              <w:t>Reconocimiento</w:t>
            </w:r>
          </w:p>
        </w:tc>
        <w:tc>
          <w:tcPr>
            <w:tcW w:w="2015" w:type="dxa"/>
            <w:shd w:val="clear" w:color="auto" w:fill="D9E2F3"/>
            <w:vAlign w:val="center"/>
          </w:tcPr>
          <w:p w14:paraId="2A623296" w14:textId="77777777" w:rsidR="00990B14" w:rsidRDefault="00000000">
            <w:pPr>
              <w:spacing w:before="20" w:after="20"/>
              <w:jc w:val="both"/>
            </w:pPr>
            <w:r>
              <w:rPr>
                <w:sz w:val="18"/>
                <w:szCs w:val="18"/>
              </w:rPr>
              <w:t>Reconoce activos fuera del alcance.</w:t>
            </w:r>
          </w:p>
        </w:tc>
        <w:tc>
          <w:tcPr>
            <w:tcW w:w="1854" w:type="dxa"/>
            <w:shd w:val="clear" w:color="auto" w:fill="D9E2F3"/>
            <w:vAlign w:val="center"/>
          </w:tcPr>
          <w:p w14:paraId="143B750B" w14:textId="77777777" w:rsidR="00990B14" w:rsidRDefault="00000000">
            <w:pPr>
              <w:spacing w:before="20" w:after="20"/>
              <w:jc w:val="both"/>
            </w:pPr>
            <w:r>
              <w:rPr>
                <w:sz w:val="18"/>
                <w:szCs w:val="18"/>
              </w:rPr>
              <w:t>Reconoce los activos biológicos y los productos agrícolas.</w:t>
            </w:r>
          </w:p>
        </w:tc>
        <w:tc>
          <w:tcPr>
            <w:tcW w:w="1910" w:type="dxa"/>
            <w:shd w:val="clear" w:color="auto" w:fill="D9E2F3"/>
            <w:vAlign w:val="center"/>
          </w:tcPr>
          <w:p w14:paraId="4805E496" w14:textId="77777777" w:rsidR="00990B14" w:rsidRDefault="00000000">
            <w:pPr>
              <w:spacing w:before="20" w:after="20"/>
              <w:jc w:val="both"/>
            </w:pPr>
            <w:r>
              <w:rPr>
                <w:sz w:val="18"/>
                <w:szCs w:val="18"/>
              </w:rPr>
              <w:t>Excluye con fundamento las plantas productoras.</w:t>
            </w:r>
          </w:p>
        </w:tc>
      </w:tr>
      <w:tr w:rsidR="00990B14" w14:paraId="439AA0F3" w14:textId="77777777">
        <w:trPr>
          <w:cantSplit/>
          <w:jc w:val="center"/>
        </w:trPr>
        <w:tc>
          <w:tcPr>
            <w:tcW w:w="1772" w:type="dxa"/>
            <w:vMerge/>
            <w:shd w:val="clear" w:color="auto" w:fill="4472C4"/>
            <w:vAlign w:val="center"/>
          </w:tcPr>
          <w:p w14:paraId="3921421E" w14:textId="77777777" w:rsidR="00990B14" w:rsidRDefault="00990B14">
            <w:pPr>
              <w:spacing w:before="20" w:after="20"/>
            </w:pPr>
          </w:p>
        </w:tc>
        <w:tc>
          <w:tcPr>
            <w:tcW w:w="1854" w:type="dxa"/>
            <w:shd w:val="clear" w:color="auto" w:fill="D9E2F3"/>
            <w:vAlign w:val="center"/>
          </w:tcPr>
          <w:p w14:paraId="4BF25356" w14:textId="77777777" w:rsidR="00990B14" w:rsidRDefault="00000000">
            <w:pPr>
              <w:spacing w:before="20" w:after="20"/>
              <w:jc w:val="both"/>
            </w:pPr>
            <w:r>
              <w:rPr>
                <w:sz w:val="18"/>
                <w:szCs w:val="18"/>
              </w:rPr>
              <w:t>Medición</w:t>
            </w:r>
          </w:p>
        </w:tc>
        <w:tc>
          <w:tcPr>
            <w:tcW w:w="2015" w:type="dxa"/>
            <w:shd w:val="clear" w:color="auto" w:fill="D9E2F3"/>
            <w:vAlign w:val="center"/>
          </w:tcPr>
          <w:p w14:paraId="2A73ED4D" w14:textId="77777777" w:rsidR="00990B14" w:rsidRDefault="00000000">
            <w:pPr>
              <w:spacing w:before="20" w:after="20"/>
              <w:jc w:val="both"/>
            </w:pPr>
            <w:r>
              <w:rPr>
                <w:sz w:val="18"/>
                <w:szCs w:val="18"/>
              </w:rPr>
              <w:t>Mide sin aplicar la jerarquía.</w:t>
            </w:r>
          </w:p>
        </w:tc>
        <w:tc>
          <w:tcPr>
            <w:tcW w:w="1854" w:type="dxa"/>
            <w:shd w:val="clear" w:color="auto" w:fill="D9E2F3"/>
            <w:vAlign w:val="center"/>
          </w:tcPr>
          <w:p w14:paraId="3C635B65" w14:textId="77777777" w:rsidR="00990B14" w:rsidRDefault="00000000">
            <w:pPr>
              <w:spacing w:before="20" w:after="20"/>
              <w:jc w:val="both"/>
            </w:pPr>
            <w:r>
              <w:rPr>
                <w:sz w:val="18"/>
                <w:szCs w:val="18"/>
              </w:rPr>
              <w:t>Mide al valor razonable menos los costos de venta.</w:t>
            </w:r>
          </w:p>
        </w:tc>
        <w:tc>
          <w:tcPr>
            <w:tcW w:w="1910" w:type="dxa"/>
            <w:shd w:val="clear" w:color="auto" w:fill="D9E2F3"/>
            <w:vAlign w:val="center"/>
          </w:tcPr>
          <w:p w14:paraId="4AB602EA" w14:textId="77777777" w:rsidR="00990B14" w:rsidRDefault="00000000">
            <w:pPr>
              <w:spacing w:before="20" w:after="20"/>
              <w:jc w:val="both"/>
            </w:pPr>
            <w:r>
              <w:rPr>
                <w:sz w:val="18"/>
                <w:szCs w:val="18"/>
              </w:rPr>
              <w:t>Evalúa la fiabilidad sin mercado activo.</w:t>
            </w:r>
          </w:p>
        </w:tc>
      </w:tr>
      <w:tr w:rsidR="00990B14" w14:paraId="7C636967" w14:textId="77777777">
        <w:trPr>
          <w:cantSplit/>
          <w:jc w:val="center"/>
        </w:trPr>
        <w:tc>
          <w:tcPr>
            <w:tcW w:w="1772" w:type="dxa"/>
            <w:vMerge/>
            <w:shd w:val="clear" w:color="auto" w:fill="4472C4"/>
            <w:vAlign w:val="center"/>
          </w:tcPr>
          <w:p w14:paraId="1E1D713B" w14:textId="77777777" w:rsidR="00990B14" w:rsidRDefault="00990B14">
            <w:pPr>
              <w:spacing w:before="20" w:after="20"/>
            </w:pPr>
          </w:p>
        </w:tc>
        <w:tc>
          <w:tcPr>
            <w:tcW w:w="1854" w:type="dxa"/>
            <w:shd w:val="clear" w:color="auto" w:fill="D9E2F3"/>
            <w:vAlign w:val="center"/>
          </w:tcPr>
          <w:p w14:paraId="6A8DADF0" w14:textId="77777777" w:rsidR="00990B14" w:rsidRDefault="00000000">
            <w:pPr>
              <w:spacing w:before="20" w:after="20"/>
              <w:jc w:val="both"/>
            </w:pPr>
            <w:r>
              <w:rPr>
                <w:sz w:val="18"/>
                <w:szCs w:val="18"/>
              </w:rPr>
              <w:t>Ganancias y pérdidas</w:t>
            </w:r>
          </w:p>
        </w:tc>
        <w:tc>
          <w:tcPr>
            <w:tcW w:w="2015" w:type="dxa"/>
            <w:shd w:val="clear" w:color="auto" w:fill="D9E2F3"/>
            <w:vAlign w:val="center"/>
          </w:tcPr>
          <w:p w14:paraId="5856B14B" w14:textId="77777777" w:rsidR="00990B14" w:rsidRDefault="00000000">
            <w:pPr>
              <w:spacing w:before="20" w:after="20"/>
              <w:jc w:val="both"/>
            </w:pPr>
            <w:r>
              <w:rPr>
                <w:sz w:val="18"/>
                <w:szCs w:val="18"/>
              </w:rPr>
              <w:t>No reconoce la variación.</w:t>
            </w:r>
          </w:p>
        </w:tc>
        <w:tc>
          <w:tcPr>
            <w:tcW w:w="1854" w:type="dxa"/>
            <w:shd w:val="clear" w:color="auto" w:fill="D9E2F3"/>
            <w:vAlign w:val="center"/>
          </w:tcPr>
          <w:p w14:paraId="10DC73AC" w14:textId="77777777" w:rsidR="00990B14" w:rsidRDefault="00000000">
            <w:pPr>
              <w:spacing w:before="20" w:after="20"/>
              <w:jc w:val="both"/>
            </w:pPr>
            <w:r>
              <w:rPr>
                <w:sz w:val="18"/>
                <w:szCs w:val="18"/>
              </w:rPr>
              <w:t>Reconoce las ganancias y pérdidas del periodo.</w:t>
            </w:r>
          </w:p>
        </w:tc>
        <w:tc>
          <w:tcPr>
            <w:tcW w:w="1910" w:type="dxa"/>
            <w:shd w:val="clear" w:color="auto" w:fill="D9E2F3"/>
            <w:vAlign w:val="center"/>
          </w:tcPr>
          <w:p w14:paraId="744E56C3" w14:textId="77777777" w:rsidR="00990B14" w:rsidRDefault="00000000">
            <w:pPr>
              <w:spacing w:before="20" w:after="20"/>
              <w:jc w:val="both"/>
            </w:pPr>
            <w:r>
              <w:rPr>
                <w:sz w:val="18"/>
                <w:szCs w:val="18"/>
              </w:rPr>
              <w:t>Analiza su efecto en el resultado.</w:t>
            </w:r>
          </w:p>
        </w:tc>
      </w:tr>
      <w:tr w:rsidR="00990B14" w14:paraId="5C87889D" w14:textId="77777777">
        <w:trPr>
          <w:cantSplit/>
          <w:jc w:val="center"/>
        </w:trPr>
        <w:tc>
          <w:tcPr>
            <w:tcW w:w="1772" w:type="dxa"/>
            <w:vMerge/>
            <w:shd w:val="clear" w:color="auto" w:fill="4472C4"/>
            <w:vAlign w:val="center"/>
          </w:tcPr>
          <w:p w14:paraId="0CCF8A49" w14:textId="77777777" w:rsidR="00990B14" w:rsidRDefault="00990B14">
            <w:pPr>
              <w:spacing w:before="20" w:after="20"/>
            </w:pPr>
          </w:p>
        </w:tc>
        <w:tc>
          <w:tcPr>
            <w:tcW w:w="5723" w:type="dxa"/>
            <w:gridSpan w:val="3"/>
            <w:shd w:val="clear" w:color="auto" w:fill="D9E2F3"/>
            <w:vAlign w:val="center"/>
          </w:tcPr>
          <w:p w14:paraId="10F8BB5C" w14:textId="77777777" w:rsidR="00990B14" w:rsidRDefault="00000000">
            <w:pPr>
              <w:keepNext/>
              <w:spacing w:before="20" w:after="20"/>
              <w:jc w:val="both"/>
            </w:pPr>
            <w:r>
              <w:rPr>
                <w:b/>
                <w:bCs/>
                <w:i/>
                <w:iCs/>
                <w:sz w:val="18"/>
                <w:szCs w:val="18"/>
              </w:rPr>
              <w:t xml:space="preserve">Producto 26: </w:t>
            </w:r>
            <w:r>
              <w:rPr>
                <w:sz w:val="18"/>
                <w:szCs w:val="18"/>
              </w:rPr>
              <w:t>Cuadro de revelaciones de la NIC 41</w:t>
            </w:r>
          </w:p>
        </w:tc>
        <w:tc>
          <w:tcPr>
            <w:tcW w:w="1910" w:type="dxa"/>
            <w:shd w:val="clear" w:color="auto" w:fill="D9E2F3"/>
            <w:vAlign w:val="center"/>
          </w:tcPr>
          <w:p w14:paraId="31386BAD" w14:textId="77777777" w:rsidR="00990B14" w:rsidRDefault="00000000">
            <w:pPr>
              <w:spacing w:before="20" w:after="20"/>
              <w:jc w:val="center"/>
            </w:pPr>
            <w:r>
              <w:rPr>
                <w:b/>
                <w:bCs/>
                <w:sz w:val="18"/>
                <w:szCs w:val="18"/>
              </w:rPr>
              <w:t>2%</w:t>
            </w:r>
          </w:p>
        </w:tc>
      </w:tr>
      <w:tr w:rsidR="00990B14" w14:paraId="34B0DA60" w14:textId="77777777">
        <w:trPr>
          <w:cantSplit/>
          <w:jc w:val="center"/>
        </w:trPr>
        <w:tc>
          <w:tcPr>
            <w:tcW w:w="1772" w:type="dxa"/>
            <w:vMerge/>
            <w:shd w:val="clear" w:color="auto" w:fill="4472C4"/>
            <w:vAlign w:val="center"/>
          </w:tcPr>
          <w:p w14:paraId="5690D4C9" w14:textId="77777777" w:rsidR="00990B14" w:rsidRDefault="00990B14">
            <w:pPr>
              <w:spacing w:before="20" w:after="20"/>
            </w:pPr>
          </w:p>
        </w:tc>
        <w:tc>
          <w:tcPr>
            <w:tcW w:w="1854" w:type="dxa"/>
            <w:shd w:val="clear" w:color="auto" w:fill="4472C4"/>
            <w:vAlign w:val="center"/>
          </w:tcPr>
          <w:p w14:paraId="0D40167D"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6EAB695D" w14:textId="77777777" w:rsidR="00990B14" w:rsidRDefault="00000000">
            <w:pPr>
              <w:keepNext/>
              <w:spacing w:before="20" w:after="20"/>
              <w:jc w:val="center"/>
            </w:pPr>
            <w:r>
              <w:rPr>
                <w:b/>
                <w:bCs/>
                <w:i/>
                <w:iCs/>
                <w:color w:val="FFFFFF"/>
                <w:sz w:val="18"/>
                <w:szCs w:val="18"/>
              </w:rPr>
              <w:t>Insuficiente (1–50)</w:t>
            </w:r>
          </w:p>
        </w:tc>
        <w:tc>
          <w:tcPr>
            <w:tcW w:w="1854" w:type="dxa"/>
            <w:shd w:val="clear" w:color="auto" w:fill="4472C4"/>
            <w:vAlign w:val="center"/>
          </w:tcPr>
          <w:p w14:paraId="40F5F837"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37403152" w14:textId="77777777" w:rsidR="00990B14" w:rsidRDefault="00000000">
            <w:pPr>
              <w:keepNext/>
              <w:spacing w:before="20" w:after="20"/>
              <w:jc w:val="center"/>
            </w:pPr>
            <w:r>
              <w:rPr>
                <w:b/>
                <w:bCs/>
                <w:i/>
                <w:iCs/>
                <w:color w:val="FFFFFF"/>
                <w:sz w:val="18"/>
                <w:szCs w:val="18"/>
              </w:rPr>
              <w:t>Destacado (81–100)</w:t>
            </w:r>
          </w:p>
        </w:tc>
      </w:tr>
      <w:tr w:rsidR="00990B14" w14:paraId="192F6A19" w14:textId="77777777">
        <w:trPr>
          <w:cantSplit/>
          <w:jc w:val="center"/>
        </w:trPr>
        <w:tc>
          <w:tcPr>
            <w:tcW w:w="1772" w:type="dxa"/>
            <w:vMerge/>
            <w:shd w:val="clear" w:color="auto" w:fill="4472C4"/>
            <w:vAlign w:val="center"/>
          </w:tcPr>
          <w:p w14:paraId="7FB66891" w14:textId="77777777" w:rsidR="00990B14" w:rsidRDefault="00990B14">
            <w:pPr>
              <w:spacing w:before="20" w:after="20"/>
            </w:pPr>
          </w:p>
        </w:tc>
        <w:tc>
          <w:tcPr>
            <w:tcW w:w="1854" w:type="dxa"/>
            <w:shd w:val="clear" w:color="auto" w:fill="D9E2F3"/>
            <w:vAlign w:val="center"/>
          </w:tcPr>
          <w:p w14:paraId="13D67EC3" w14:textId="77777777" w:rsidR="00990B14" w:rsidRDefault="00000000">
            <w:pPr>
              <w:spacing w:before="20" w:after="20"/>
              <w:jc w:val="both"/>
            </w:pPr>
            <w:r>
              <w:rPr>
                <w:sz w:val="18"/>
                <w:szCs w:val="18"/>
              </w:rPr>
              <w:t>Revelaciones exigidas</w:t>
            </w:r>
          </w:p>
        </w:tc>
        <w:tc>
          <w:tcPr>
            <w:tcW w:w="2015" w:type="dxa"/>
            <w:shd w:val="clear" w:color="auto" w:fill="D9E2F3"/>
            <w:vAlign w:val="center"/>
          </w:tcPr>
          <w:p w14:paraId="26C9AA86" w14:textId="77777777" w:rsidR="00990B14" w:rsidRDefault="00000000">
            <w:pPr>
              <w:spacing w:before="20" w:after="20"/>
              <w:jc w:val="both"/>
            </w:pPr>
            <w:r>
              <w:rPr>
                <w:sz w:val="18"/>
                <w:szCs w:val="18"/>
              </w:rPr>
              <w:t>Omite revelaciones.</w:t>
            </w:r>
          </w:p>
        </w:tc>
        <w:tc>
          <w:tcPr>
            <w:tcW w:w="1854" w:type="dxa"/>
            <w:shd w:val="clear" w:color="auto" w:fill="D9E2F3"/>
            <w:vAlign w:val="center"/>
          </w:tcPr>
          <w:p w14:paraId="219FAC8D" w14:textId="77777777" w:rsidR="00990B14" w:rsidRDefault="00000000">
            <w:pPr>
              <w:spacing w:before="20" w:after="20"/>
              <w:jc w:val="both"/>
            </w:pPr>
            <w:r>
              <w:rPr>
                <w:sz w:val="18"/>
                <w:szCs w:val="18"/>
              </w:rPr>
              <w:t>Incluye las revelaciones exigidas por la norma.</w:t>
            </w:r>
          </w:p>
        </w:tc>
        <w:tc>
          <w:tcPr>
            <w:tcW w:w="1910" w:type="dxa"/>
            <w:shd w:val="clear" w:color="auto" w:fill="D9E2F3"/>
            <w:vAlign w:val="center"/>
          </w:tcPr>
          <w:p w14:paraId="05AB56D9" w14:textId="77777777" w:rsidR="00990B14" w:rsidRDefault="00000000">
            <w:pPr>
              <w:spacing w:before="20" w:after="20"/>
              <w:jc w:val="both"/>
            </w:pPr>
            <w:r>
              <w:rPr>
                <w:sz w:val="18"/>
                <w:szCs w:val="18"/>
              </w:rPr>
              <w:t>Redacta las notas con claridad técnica.</w:t>
            </w:r>
          </w:p>
        </w:tc>
      </w:tr>
      <w:tr w:rsidR="00990B14" w14:paraId="3E6A6CC9" w14:textId="77777777">
        <w:trPr>
          <w:cantSplit/>
          <w:jc w:val="center"/>
        </w:trPr>
        <w:tc>
          <w:tcPr>
            <w:tcW w:w="1772" w:type="dxa"/>
            <w:vMerge/>
            <w:shd w:val="clear" w:color="auto" w:fill="4472C4"/>
            <w:vAlign w:val="center"/>
          </w:tcPr>
          <w:p w14:paraId="4B05FB73" w14:textId="77777777" w:rsidR="00990B14" w:rsidRDefault="00990B14">
            <w:pPr>
              <w:spacing w:before="20" w:after="20"/>
            </w:pPr>
          </w:p>
        </w:tc>
        <w:tc>
          <w:tcPr>
            <w:tcW w:w="1854" w:type="dxa"/>
            <w:shd w:val="clear" w:color="auto" w:fill="D9E2F3"/>
            <w:vAlign w:val="center"/>
          </w:tcPr>
          <w:p w14:paraId="3F8C57B9" w14:textId="77777777" w:rsidR="00990B14" w:rsidRDefault="00000000">
            <w:pPr>
              <w:spacing w:before="20" w:after="20"/>
              <w:jc w:val="both"/>
            </w:pPr>
            <w:r>
              <w:rPr>
                <w:sz w:val="18"/>
                <w:szCs w:val="18"/>
              </w:rPr>
              <w:t>Subvenciones</w:t>
            </w:r>
          </w:p>
        </w:tc>
        <w:tc>
          <w:tcPr>
            <w:tcW w:w="2015" w:type="dxa"/>
            <w:shd w:val="clear" w:color="auto" w:fill="D9E2F3"/>
            <w:vAlign w:val="center"/>
          </w:tcPr>
          <w:p w14:paraId="060E3219" w14:textId="77777777" w:rsidR="00990B14" w:rsidRDefault="00000000">
            <w:pPr>
              <w:spacing w:before="20" w:after="20"/>
              <w:jc w:val="both"/>
            </w:pPr>
            <w:r>
              <w:rPr>
                <w:sz w:val="18"/>
                <w:szCs w:val="18"/>
              </w:rPr>
              <w:t>No trata las subvenciones.</w:t>
            </w:r>
          </w:p>
        </w:tc>
        <w:tc>
          <w:tcPr>
            <w:tcW w:w="1854" w:type="dxa"/>
            <w:shd w:val="clear" w:color="auto" w:fill="D9E2F3"/>
            <w:vAlign w:val="center"/>
          </w:tcPr>
          <w:p w14:paraId="69A48D0C" w14:textId="77777777" w:rsidR="00990B14" w:rsidRDefault="00000000">
            <w:pPr>
              <w:spacing w:before="20" w:after="20"/>
              <w:jc w:val="both"/>
            </w:pPr>
            <w:r>
              <w:rPr>
                <w:sz w:val="18"/>
                <w:szCs w:val="18"/>
              </w:rPr>
              <w:t>Revela las subvenciones del gobierno.</w:t>
            </w:r>
          </w:p>
        </w:tc>
        <w:tc>
          <w:tcPr>
            <w:tcW w:w="1910" w:type="dxa"/>
            <w:shd w:val="clear" w:color="auto" w:fill="D9E2F3"/>
            <w:vAlign w:val="center"/>
          </w:tcPr>
          <w:p w14:paraId="68C3E664" w14:textId="77777777" w:rsidR="00990B14" w:rsidRDefault="00000000">
            <w:pPr>
              <w:spacing w:before="20" w:after="20"/>
              <w:jc w:val="both"/>
            </w:pPr>
            <w:r>
              <w:rPr>
                <w:sz w:val="18"/>
                <w:szCs w:val="18"/>
              </w:rPr>
              <w:t>Explica sus condiciones y contingencias.</w:t>
            </w:r>
          </w:p>
        </w:tc>
      </w:tr>
      <w:tr w:rsidR="00990B14" w14:paraId="504E3AAC" w14:textId="77777777">
        <w:trPr>
          <w:cantSplit/>
          <w:jc w:val="center"/>
        </w:trPr>
        <w:tc>
          <w:tcPr>
            <w:tcW w:w="1772" w:type="dxa"/>
            <w:vMerge/>
            <w:shd w:val="clear" w:color="auto" w:fill="4472C4"/>
            <w:vAlign w:val="center"/>
          </w:tcPr>
          <w:p w14:paraId="13DC286C" w14:textId="77777777" w:rsidR="00990B14" w:rsidRDefault="00990B14">
            <w:pPr>
              <w:spacing w:before="20" w:after="20"/>
            </w:pPr>
          </w:p>
        </w:tc>
        <w:tc>
          <w:tcPr>
            <w:tcW w:w="1854" w:type="dxa"/>
            <w:shd w:val="clear" w:color="auto" w:fill="D9E2F3"/>
            <w:vAlign w:val="center"/>
          </w:tcPr>
          <w:p w14:paraId="00078311" w14:textId="77777777" w:rsidR="00990B14" w:rsidRDefault="00000000">
            <w:pPr>
              <w:spacing w:before="20" w:after="20"/>
              <w:jc w:val="both"/>
            </w:pPr>
            <w:r>
              <w:rPr>
                <w:sz w:val="18"/>
                <w:szCs w:val="18"/>
              </w:rPr>
              <w:t>Trabajo en equipo</w:t>
            </w:r>
          </w:p>
        </w:tc>
        <w:tc>
          <w:tcPr>
            <w:tcW w:w="2015" w:type="dxa"/>
            <w:shd w:val="clear" w:color="auto" w:fill="D9E2F3"/>
            <w:vAlign w:val="center"/>
          </w:tcPr>
          <w:p w14:paraId="3B3BCFC2" w14:textId="77777777" w:rsidR="00990B14" w:rsidRDefault="00000000">
            <w:pPr>
              <w:spacing w:before="20" w:after="20"/>
              <w:jc w:val="both"/>
            </w:pPr>
            <w:r>
              <w:rPr>
                <w:sz w:val="18"/>
                <w:szCs w:val="18"/>
              </w:rPr>
              <w:t>La participación es desigual.</w:t>
            </w:r>
          </w:p>
        </w:tc>
        <w:tc>
          <w:tcPr>
            <w:tcW w:w="1854" w:type="dxa"/>
            <w:shd w:val="clear" w:color="auto" w:fill="D9E2F3"/>
            <w:vAlign w:val="center"/>
          </w:tcPr>
          <w:p w14:paraId="009E223E" w14:textId="77777777" w:rsidR="00990B14" w:rsidRDefault="00000000">
            <w:pPr>
              <w:spacing w:before="20" w:after="20"/>
              <w:jc w:val="both"/>
            </w:pPr>
            <w:r>
              <w:rPr>
                <w:sz w:val="18"/>
                <w:szCs w:val="18"/>
              </w:rPr>
              <w:t>Todos los integrantes participan.</w:t>
            </w:r>
          </w:p>
        </w:tc>
        <w:tc>
          <w:tcPr>
            <w:tcW w:w="1910" w:type="dxa"/>
            <w:shd w:val="clear" w:color="auto" w:fill="D9E2F3"/>
            <w:vAlign w:val="center"/>
          </w:tcPr>
          <w:p w14:paraId="4D9460B1" w14:textId="77777777" w:rsidR="00990B14" w:rsidRDefault="00000000">
            <w:pPr>
              <w:spacing w:before="20" w:after="20"/>
              <w:jc w:val="both"/>
            </w:pPr>
            <w:r>
              <w:rPr>
                <w:sz w:val="18"/>
                <w:szCs w:val="18"/>
              </w:rPr>
              <w:t>El equipo sustenta sus conclusiones ante el curso.</w:t>
            </w:r>
          </w:p>
        </w:tc>
      </w:tr>
      <w:tr w:rsidR="00990B14" w14:paraId="3743AD2D" w14:textId="77777777">
        <w:trPr>
          <w:cantSplit/>
          <w:jc w:val="center"/>
        </w:trPr>
        <w:tc>
          <w:tcPr>
            <w:tcW w:w="1772" w:type="dxa"/>
            <w:vMerge/>
            <w:shd w:val="clear" w:color="auto" w:fill="4472C4"/>
            <w:vAlign w:val="center"/>
          </w:tcPr>
          <w:p w14:paraId="642DABA7" w14:textId="77777777" w:rsidR="00990B14" w:rsidRDefault="00990B14">
            <w:pPr>
              <w:spacing w:before="20" w:after="20"/>
            </w:pPr>
          </w:p>
        </w:tc>
        <w:tc>
          <w:tcPr>
            <w:tcW w:w="5723" w:type="dxa"/>
            <w:gridSpan w:val="3"/>
            <w:shd w:val="clear" w:color="auto" w:fill="D9E2F3"/>
            <w:vAlign w:val="center"/>
          </w:tcPr>
          <w:p w14:paraId="471F1756" w14:textId="77777777" w:rsidR="00990B14" w:rsidRDefault="00000000">
            <w:pPr>
              <w:keepNext/>
              <w:spacing w:before="20" w:after="20"/>
              <w:jc w:val="both"/>
            </w:pPr>
            <w:r>
              <w:rPr>
                <w:b/>
                <w:bCs/>
                <w:i/>
                <w:iCs/>
                <w:sz w:val="18"/>
                <w:szCs w:val="18"/>
              </w:rPr>
              <w:t xml:space="preserve">Producto 27: </w:t>
            </w:r>
            <w:r>
              <w:rPr>
                <w:sz w:val="18"/>
                <w:szCs w:val="18"/>
              </w:rPr>
              <w:t>Cuadro comparativo NIC 41 y norma tributaria</w:t>
            </w:r>
          </w:p>
        </w:tc>
        <w:tc>
          <w:tcPr>
            <w:tcW w:w="1910" w:type="dxa"/>
            <w:shd w:val="clear" w:color="auto" w:fill="D9E2F3"/>
            <w:vAlign w:val="center"/>
          </w:tcPr>
          <w:p w14:paraId="0ECF06C7" w14:textId="77777777" w:rsidR="00990B14" w:rsidRDefault="00000000">
            <w:pPr>
              <w:spacing w:before="20" w:after="20"/>
              <w:jc w:val="center"/>
            </w:pPr>
            <w:r>
              <w:rPr>
                <w:b/>
                <w:bCs/>
                <w:sz w:val="18"/>
                <w:szCs w:val="18"/>
              </w:rPr>
              <w:t>2%</w:t>
            </w:r>
          </w:p>
        </w:tc>
      </w:tr>
      <w:tr w:rsidR="00990B14" w14:paraId="25B698E5" w14:textId="77777777">
        <w:trPr>
          <w:cantSplit/>
          <w:jc w:val="center"/>
        </w:trPr>
        <w:tc>
          <w:tcPr>
            <w:tcW w:w="1772" w:type="dxa"/>
            <w:vMerge/>
            <w:shd w:val="clear" w:color="auto" w:fill="4472C4"/>
            <w:vAlign w:val="center"/>
          </w:tcPr>
          <w:p w14:paraId="3A57699F" w14:textId="77777777" w:rsidR="00990B14" w:rsidRDefault="00990B14">
            <w:pPr>
              <w:spacing w:before="20" w:after="20"/>
            </w:pPr>
          </w:p>
        </w:tc>
        <w:tc>
          <w:tcPr>
            <w:tcW w:w="1854" w:type="dxa"/>
            <w:shd w:val="clear" w:color="auto" w:fill="4472C4"/>
            <w:vAlign w:val="center"/>
          </w:tcPr>
          <w:p w14:paraId="467BBD2C"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1415149B" w14:textId="77777777" w:rsidR="00990B14" w:rsidRDefault="00000000">
            <w:pPr>
              <w:keepNext/>
              <w:spacing w:before="20" w:after="20"/>
              <w:jc w:val="center"/>
            </w:pPr>
            <w:r>
              <w:rPr>
                <w:b/>
                <w:bCs/>
                <w:i/>
                <w:iCs/>
                <w:color w:val="FFFFFF"/>
                <w:sz w:val="18"/>
                <w:szCs w:val="18"/>
              </w:rPr>
              <w:t>Insuficiente (1–50)</w:t>
            </w:r>
          </w:p>
        </w:tc>
        <w:tc>
          <w:tcPr>
            <w:tcW w:w="1854" w:type="dxa"/>
            <w:shd w:val="clear" w:color="auto" w:fill="4472C4"/>
            <w:vAlign w:val="center"/>
          </w:tcPr>
          <w:p w14:paraId="07C44D10"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10CD0E9F" w14:textId="77777777" w:rsidR="00990B14" w:rsidRDefault="00000000">
            <w:pPr>
              <w:keepNext/>
              <w:spacing w:before="20" w:after="20"/>
              <w:jc w:val="center"/>
            </w:pPr>
            <w:r>
              <w:rPr>
                <w:b/>
                <w:bCs/>
                <w:i/>
                <w:iCs/>
                <w:color w:val="FFFFFF"/>
                <w:sz w:val="18"/>
                <w:szCs w:val="18"/>
              </w:rPr>
              <w:t>Destacado (81–100)</w:t>
            </w:r>
          </w:p>
        </w:tc>
      </w:tr>
      <w:tr w:rsidR="00990B14" w14:paraId="246A4A1E" w14:textId="77777777">
        <w:trPr>
          <w:cantSplit/>
          <w:jc w:val="center"/>
        </w:trPr>
        <w:tc>
          <w:tcPr>
            <w:tcW w:w="1772" w:type="dxa"/>
            <w:vMerge/>
            <w:shd w:val="clear" w:color="auto" w:fill="4472C4"/>
            <w:vAlign w:val="center"/>
          </w:tcPr>
          <w:p w14:paraId="69144655" w14:textId="77777777" w:rsidR="00990B14" w:rsidRDefault="00990B14">
            <w:pPr>
              <w:spacing w:before="20" w:after="20"/>
            </w:pPr>
          </w:p>
        </w:tc>
        <w:tc>
          <w:tcPr>
            <w:tcW w:w="1854" w:type="dxa"/>
            <w:shd w:val="clear" w:color="auto" w:fill="D9E2F3"/>
            <w:vAlign w:val="center"/>
          </w:tcPr>
          <w:p w14:paraId="49DB0D1C" w14:textId="77777777" w:rsidR="00990B14" w:rsidRDefault="00000000">
            <w:pPr>
              <w:spacing w:before="20" w:after="20"/>
              <w:jc w:val="both"/>
            </w:pPr>
            <w:r>
              <w:rPr>
                <w:sz w:val="18"/>
                <w:szCs w:val="18"/>
              </w:rPr>
              <w:t>Criterios de medición</w:t>
            </w:r>
          </w:p>
        </w:tc>
        <w:tc>
          <w:tcPr>
            <w:tcW w:w="2015" w:type="dxa"/>
            <w:shd w:val="clear" w:color="auto" w:fill="D9E2F3"/>
            <w:vAlign w:val="center"/>
          </w:tcPr>
          <w:p w14:paraId="7392CA07" w14:textId="77777777" w:rsidR="00990B14" w:rsidRDefault="00000000">
            <w:pPr>
              <w:spacing w:before="20" w:after="20"/>
              <w:jc w:val="both"/>
            </w:pPr>
            <w:r>
              <w:rPr>
                <w:sz w:val="18"/>
                <w:szCs w:val="18"/>
              </w:rPr>
              <w:t>Confunde los criterios.</w:t>
            </w:r>
          </w:p>
        </w:tc>
        <w:tc>
          <w:tcPr>
            <w:tcW w:w="1854" w:type="dxa"/>
            <w:shd w:val="clear" w:color="auto" w:fill="D9E2F3"/>
            <w:vAlign w:val="center"/>
          </w:tcPr>
          <w:p w14:paraId="615D6D18" w14:textId="77777777" w:rsidR="00990B14" w:rsidRDefault="00000000">
            <w:pPr>
              <w:spacing w:before="20" w:after="20"/>
              <w:jc w:val="both"/>
            </w:pPr>
            <w:r>
              <w:rPr>
                <w:sz w:val="18"/>
                <w:szCs w:val="18"/>
              </w:rPr>
              <w:t>Criterios de medición</w:t>
            </w:r>
          </w:p>
        </w:tc>
        <w:tc>
          <w:tcPr>
            <w:tcW w:w="1910" w:type="dxa"/>
            <w:shd w:val="clear" w:color="auto" w:fill="D9E2F3"/>
            <w:vAlign w:val="center"/>
          </w:tcPr>
          <w:p w14:paraId="582F29FA" w14:textId="77777777" w:rsidR="00990B14" w:rsidRDefault="00000000">
            <w:pPr>
              <w:spacing w:before="20" w:after="20"/>
              <w:jc w:val="both"/>
            </w:pPr>
            <w:r>
              <w:rPr>
                <w:sz w:val="18"/>
                <w:szCs w:val="18"/>
              </w:rPr>
              <w:t>Confunde los criterios.</w:t>
            </w:r>
          </w:p>
        </w:tc>
      </w:tr>
      <w:tr w:rsidR="00990B14" w14:paraId="53B97FEA" w14:textId="77777777">
        <w:trPr>
          <w:cantSplit/>
          <w:jc w:val="center"/>
        </w:trPr>
        <w:tc>
          <w:tcPr>
            <w:tcW w:w="1772" w:type="dxa"/>
            <w:vMerge/>
            <w:shd w:val="clear" w:color="auto" w:fill="4472C4"/>
            <w:vAlign w:val="center"/>
          </w:tcPr>
          <w:p w14:paraId="1CAA22C3" w14:textId="77777777" w:rsidR="00990B14" w:rsidRDefault="00990B14">
            <w:pPr>
              <w:spacing w:before="20" w:after="20"/>
            </w:pPr>
          </w:p>
        </w:tc>
        <w:tc>
          <w:tcPr>
            <w:tcW w:w="1854" w:type="dxa"/>
            <w:shd w:val="clear" w:color="auto" w:fill="D9E2F3"/>
            <w:vAlign w:val="center"/>
          </w:tcPr>
          <w:p w14:paraId="46045FB7" w14:textId="77777777" w:rsidR="00990B14" w:rsidRDefault="00000000">
            <w:pPr>
              <w:spacing w:before="20" w:after="20"/>
              <w:jc w:val="both"/>
            </w:pPr>
            <w:r>
              <w:rPr>
                <w:sz w:val="18"/>
                <w:szCs w:val="18"/>
              </w:rPr>
              <w:t>Normativa</w:t>
            </w:r>
          </w:p>
        </w:tc>
        <w:tc>
          <w:tcPr>
            <w:tcW w:w="2015" w:type="dxa"/>
            <w:shd w:val="clear" w:color="auto" w:fill="D9E2F3"/>
            <w:vAlign w:val="center"/>
          </w:tcPr>
          <w:p w14:paraId="30D8D742" w14:textId="77777777" w:rsidR="00990B14" w:rsidRDefault="00000000">
            <w:pPr>
              <w:spacing w:before="20" w:after="20"/>
              <w:jc w:val="both"/>
            </w:pPr>
            <w:r>
              <w:rPr>
                <w:sz w:val="18"/>
                <w:szCs w:val="18"/>
              </w:rPr>
              <w:t>Cita normas de forma imprecisa.</w:t>
            </w:r>
          </w:p>
        </w:tc>
        <w:tc>
          <w:tcPr>
            <w:tcW w:w="1854" w:type="dxa"/>
            <w:shd w:val="clear" w:color="auto" w:fill="D9E2F3"/>
            <w:vAlign w:val="center"/>
          </w:tcPr>
          <w:p w14:paraId="09C6C869" w14:textId="77777777" w:rsidR="00990B14" w:rsidRDefault="00000000">
            <w:pPr>
              <w:spacing w:before="20" w:after="20"/>
              <w:jc w:val="both"/>
            </w:pPr>
            <w:r>
              <w:rPr>
                <w:sz w:val="18"/>
                <w:szCs w:val="18"/>
              </w:rPr>
              <w:t>Normativa</w:t>
            </w:r>
          </w:p>
        </w:tc>
        <w:tc>
          <w:tcPr>
            <w:tcW w:w="1910" w:type="dxa"/>
            <w:shd w:val="clear" w:color="auto" w:fill="D9E2F3"/>
            <w:vAlign w:val="center"/>
          </w:tcPr>
          <w:p w14:paraId="2A0317EC" w14:textId="77777777" w:rsidR="00990B14" w:rsidRDefault="00000000">
            <w:pPr>
              <w:spacing w:before="20" w:after="20"/>
              <w:jc w:val="both"/>
            </w:pPr>
            <w:r>
              <w:rPr>
                <w:sz w:val="18"/>
                <w:szCs w:val="18"/>
              </w:rPr>
              <w:t>Cita normas de forma imprecisa.</w:t>
            </w:r>
          </w:p>
        </w:tc>
      </w:tr>
      <w:tr w:rsidR="00990B14" w14:paraId="333FA1E2" w14:textId="77777777">
        <w:trPr>
          <w:cantSplit/>
          <w:jc w:val="center"/>
        </w:trPr>
        <w:tc>
          <w:tcPr>
            <w:tcW w:w="1772" w:type="dxa"/>
            <w:vMerge/>
            <w:shd w:val="clear" w:color="auto" w:fill="4472C4"/>
            <w:vAlign w:val="center"/>
          </w:tcPr>
          <w:p w14:paraId="0E6D2348" w14:textId="77777777" w:rsidR="00990B14" w:rsidRDefault="00990B14">
            <w:pPr>
              <w:spacing w:before="20" w:after="20"/>
            </w:pPr>
          </w:p>
        </w:tc>
        <w:tc>
          <w:tcPr>
            <w:tcW w:w="1854" w:type="dxa"/>
            <w:shd w:val="clear" w:color="auto" w:fill="D9E2F3"/>
            <w:vAlign w:val="center"/>
          </w:tcPr>
          <w:p w14:paraId="0BEF2A85" w14:textId="77777777" w:rsidR="00990B14" w:rsidRDefault="00000000">
            <w:pPr>
              <w:spacing w:before="20" w:after="20"/>
              <w:jc w:val="both"/>
            </w:pPr>
            <w:r>
              <w:rPr>
                <w:sz w:val="18"/>
                <w:szCs w:val="18"/>
              </w:rPr>
              <w:t>Presentación</w:t>
            </w:r>
          </w:p>
        </w:tc>
        <w:tc>
          <w:tcPr>
            <w:tcW w:w="2015" w:type="dxa"/>
            <w:shd w:val="clear" w:color="auto" w:fill="D9E2F3"/>
            <w:vAlign w:val="center"/>
          </w:tcPr>
          <w:p w14:paraId="713EEDFB" w14:textId="77777777" w:rsidR="00990B14" w:rsidRDefault="00000000">
            <w:pPr>
              <w:spacing w:before="20" w:after="20"/>
              <w:jc w:val="both"/>
            </w:pPr>
            <w:r>
              <w:rPr>
                <w:sz w:val="18"/>
                <w:szCs w:val="18"/>
              </w:rPr>
              <w:t>El cuadro es incompleto.</w:t>
            </w:r>
          </w:p>
        </w:tc>
        <w:tc>
          <w:tcPr>
            <w:tcW w:w="1854" w:type="dxa"/>
            <w:shd w:val="clear" w:color="auto" w:fill="D9E2F3"/>
            <w:vAlign w:val="center"/>
          </w:tcPr>
          <w:p w14:paraId="163CA2D5" w14:textId="77777777" w:rsidR="00990B14" w:rsidRDefault="00000000">
            <w:pPr>
              <w:spacing w:before="20" w:after="20"/>
              <w:jc w:val="both"/>
            </w:pPr>
            <w:r>
              <w:rPr>
                <w:sz w:val="18"/>
                <w:szCs w:val="18"/>
              </w:rPr>
              <w:t>Presentación</w:t>
            </w:r>
          </w:p>
        </w:tc>
        <w:tc>
          <w:tcPr>
            <w:tcW w:w="1910" w:type="dxa"/>
            <w:shd w:val="clear" w:color="auto" w:fill="D9E2F3"/>
            <w:vAlign w:val="center"/>
          </w:tcPr>
          <w:p w14:paraId="2F3F878B" w14:textId="77777777" w:rsidR="00990B14" w:rsidRDefault="00000000">
            <w:pPr>
              <w:spacing w:before="20" w:after="20"/>
              <w:jc w:val="both"/>
            </w:pPr>
            <w:r>
              <w:rPr>
                <w:sz w:val="18"/>
                <w:szCs w:val="18"/>
              </w:rPr>
              <w:t>El cuadro es incompleto.</w:t>
            </w:r>
          </w:p>
        </w:tc>
      </w:tr>
      <w:tr w:rsidR="00990B14" w14:paraId="6604E569" w14:textId="77777777">
        <w:trPr>
          <w:cantSplit/>
          <w:jc w:val="center"/>
        </w:trPr>
        <w:tc>
          <w:tcPr>
            <w:tcW w:w="1772" w:type="dxa"/>
            <w:vMerge/>
            <w:shd w:val="clear" w:color="auto" w:fill="4472C4"/>
            <w:vAlign w:val="center"/>
          </w:tcPr>
          <w:p w14:paraId="2B323265" w14:textId="77777777" w:rsidR="00990B14" w:rsidRDefault="00990B14">
            <w:pPr>
              <w:spacing w:before="20" w:after="20"/>
            </w:pPr>
          </w:p>
        </w:tc>
        <w:tc>
          <w:tcPr>
            <w:tcW w:w="5723" w:type="dxa"/>
            <w:gridSpan w:val="3"/>
            <w:shd w:val="clear" w:color="auto" w:fill="D9E2F3"/>
            <w:vAlign w:val="center"/>
          </w:tcPr>
          <w:p w14:paraId="3FC4179F" w14:textId="77777777" w:rsidR="00990B14" w:rsidRDefault="00000000">
            <w:pPr>
              <w:keepNext/>
              <w:spacing w:before="20" w:after="20"/>
              <w:jc w:val="both"/>
            </w:pPr>
            <w:r>
              <w:rPr>
                <w:b/>
                <w:bCs/>
                <w:i/>
                <w:iCs/>
                <w:sz w:val="18"/>
                <w:szCs w:val="18"/>
              </w:rPr>
              <w:t xml:space="preserve">Producto 28: </w:t>
            </w:r>
            <w:r>
              <w:rPr>
                <w:sz w:val="18"/>
                <w:szCs w:val="18"/>
              </w:rPr>
              <w:t>Conciliación contable impositiva</w:t>
            </w:r>
          </w:p>
        </w:tc>
        <w:tc>
          <w:tcPr>
            <w:tcW w:w="1910" w:type="dxa"/>
            <w:shd w:val="clear" w:color="auto" w:fill="D9E2F3"/>
            <w:vAlign w:val="center"/>
          </w:tcPr>
          <w:p w14:paraId="60CAFAD0" w14:textId="77777777" w:rsidR="00990B14" w:rsidRDefault="00000000">
            <w:pPr>
              <w:spacing w:before="20" w:after="20"/>
              <w:jc w:val="center"/>
            </w:pPr>
            <w:r>
              <w:rPr>
                <w:b/>
                <w:bCs/>
                <w:sz w:val="18"/>
                <w:szCs w:val="18"/>
              </w:rPr>
              <w:t>2%</w:t>
            </w:r>
          </w:p>
        </w:tc>
      </w:tr>
      <w:tr w:rsidR="00990B14" w14:paraId="75FB1E42" w14:textId="77777777">
        <w:trPr>
          <w:cantSplit/>
          <w:jc w:val="center"/>
        </w:trPr>
        <w:tc>
          <w:tcPr>
            <w:tcW w:w="1772" w:type="dxa"/>
            <w:vMerge/>
            <w:shd w:val="clear" w:color="auto" w:fill="4472C4"/>
            <w:vAlign w:val="center"/>
          </w:tcPr>
          <w:p w14:paraId="64E1E3E7" w14:textId="77777777" w:rsidR="00990B14" w:rsidRDefault="00990B14">
            <w:pPr>
              <w:spacing w:before="20" w:after="20"/>
            </w:pPr>
          </w:p>
        </w:tc>
        <w:tc>
          <w:tcPr>
            <w:tcW w:w="1854" w:type="dxa"/>
            <w:shd w:val="clear" w:color="auto" w:fill="4472C4"/>
            <w:vAlign w:val="center"/>
          </w:tcPr>
          <w:p w14:paraId="48F1114C"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63317E87" w14:textId="77777777" w:rsidR="00990B14" w:rsidRDefault="00000000">
            <w:pPr>
              <w:keepNext/>
              <w:spacing w:before="20" w:after="20"/>
              <w:jc w:val="center"/>
            </w:pPr>
            <w:r>
              <w:rPr>
                <w:b/>
                <w:bCs/>
                <w:i/>
                <w:iCs/>
                <w:color w:val="FFFFFF"/>
                <w:sz w:val="18"/>
                <w:szCs w:val="18"/>
              </w:rPr>
              <w:t>Insuficiente (1–50)</w:t>
            </w:r>
          </w:p>
        </w:tc>
        <w:tc>
          <w:tcPr>
            <w:tcW w:w="1854" w:type="dxa"/>
            <w:shd w:val="clear" w:color="auto" w:fill="4472C4"/>
            <w:vAlign w:val="center"/>
          </w:tcPr>
          <w:p w14:paraId="7CCFECC9" w14:textId="77777777" w:rsidR="00990B14" w:rsidRDefault="00000000">
            <w:pPr>
              <w:keepNext/>
              <w:spacing w:before="20" w:after="20"/>
              <w:jc w:val="center"/>
            </w:pPr>
            <w:r>
              <w:rPr>
                <w:b/>
                <w:bCs/>
                <w:i/>
                <w:iCs/>
                <w:color w:val="FFFFFF"/>
                <w:sz w:val="18"/>
                <w:szCs w:val="18"/>
              </w:rPr>
              <w:t>Suficiente (51–80)</w:t>
            </w:r>
          </w:p>
        </w:tc>
        <w:tc>
          <w:tcPr>
            <w:tcW w:w="1910" w:type="dxa"/>
            <w:shd w:val="clear" w:color="auto" w:fill="4472C4"/>
            <w:vAlign w:val="center"/>
          </w:tcPr>
          <w:p w14:paraId="4FBBE2DD" w14:textId="77777777" w:rsidR="00990B14" w:rsidRDefault="00000000">
            <w:pPr>
              <w:keepNext/>
              <w:spacing w:before="20" w:after="20"/>
              <w:jc w:val="center"/>
            </w:pPr>
            <w:r>
              <w:rPr>
                <w:b/>
                <w:bCs/>
                <w:i/>
                <w:iCs/>
                <w:color w:val="FFFFFF"/>
                <w:sz w:val="18"/>
                <w:szCs w:val="18"/>
              </w:rPr>
              <w:t>Destacado (81–100)</w:t>
            </w:r>
          </w:p>
        </w:tc>
      </w:tr>
      <w:tr w:rsidR="00990B14" w14:paraId="7DD36664" w14:textId="77777777">
        <w:trPr>
          <w:cantSplit/>
          <w:jc w:val="center"/>
        </w:trPr>
        <w:tc>
          <w:tcPr>
            <w:tcW w:w="1772" w:type="dxa"/>
            <w:vMerge/>
            <w:shd w:val="clear" w:color="auto" w:fill="4472C4"/>
            <w:vAlign w:val="center"/>
          </w:tcPr>
          <w:p w14:paraId="3DC4D259" w14:textId="77777777" w:rsidR="00990B14" w:rsidRDefault="00990B14">
            <w:pPr>
              <w:spacing w:before="20" w:after="20"/>
            </w:pPr>
          </w:p>
        </w:tc>
        <w:tc>
          <w:tcPr>
            <w:tcW w:w="1854" w:type="dxa"/>
            <w:shd w:val="clear" w:color="auto" w:fill="D9E2F3"/>
            <w:vAlign w:val="center"/>
          </w:tcPr>
          <w:p w14:paraId="42C66A49" w14:textId="77777777" w:rsidR="00990B14" w:rsidRDefault="00000000">
            <w:pPr>
              <w:spacing w:before="20" w:after="20"/>
              <w:jc w:val="both"/>
            </w:pPr>
            <w:r>
              <w:rPr>
                <w:sz w:val="18"/>
                <w:szCs w:val="18"/>
              </w:rPr>
              <w:t>Partidas de conciliación</w:t>
            </w:r>
          </w:p>
        </w:tc>
        <w:tc>
          <w:tcPr>
            <w:tcW w:w="2015" w:type="dxa"/>
            <w:shd w:val="clear" w:color="auto" w:fill="D9E2F3"/>
            <w:vAlign w:val="center"/>
          </w:tcPr>
          <w:p w14:paraId="50E85713" w14:textId="77777777" w:rsidR="00990B14" w:rsidRDefault="00000000">
            <w:pPr>
              <w:spacing w:before="20" w:after="20"/>
              <w:jc w:val="both"/>
            </w:pPr>
            <w:r>
              <w:rPr>
                <w:sz w:val="18"/>
                <w:szCs w:val="18"/>
              </w:rPr>
              <w:t>Omite partidas.</w:t>
            </w:r>
          </w:p>
        </w:tc>
        <w:tc>
          <w:tcPr>
            <w:tcW w:w="1854" w:type="dxa"/>
            <w:shd w:val="clear" w:color="auto" w:fill="D9E2F3"/>
            <w:vAlign w:val="center"/>
          </w:tcPr>
          <w:p w14:paraId="7C614499" w14:textId="77777777" w:rsidR="00990B14" w:rsidRDefault="00000000">
            <w:pPr>
              <w:spacing w:before="20" w:after="20"/>
              <w:jc w:val="both"/>
            </w:pPr>
            <w:r>
              <w:rPr>
                <w:sz w:val="18"/>
                <w:szCs w:val="18"/>
              </w:rPr>
              <w:t>Identifica las diferencias por la medición biológica.</w:t>
            </w:r>
          </w:p>
        </w:tc>
        <w:tc>
          <w:tcPr>
            <w:tcW w:w="1910" w:type="dxa"/>
            <w:shd w:val="clear" w:color="auto" w:fill="D9E2F3"/>
            <w:vAlign w:val="center"/>
          </w:tcPr>
          <w:p w14:paraId="3A919379" w14:textId="77777777" w:rsidR="00990B14" w:rsidRDefault="00000000">
            <w:pPr>
              <w:spacing w:before="20" w:after="20"/>
              <w:jc w:val="both"/>
            </w:pPr>
            <w:r>
              <w:rPr>
                <w:sz w:val="18"/>
                <w:szCs w:val="18"/>
              </w:rPr>
              <w:t>Clasifica las diferencias en permanentes y temporarias.</w:t>
            </w:r>
          </w:p>
        </w:tc>
      </w:tr>
      <w:tr w:rsidR="00990B14" w14:paraId="3ADF2452" w14:textId="77777777">
        <w:trPr>
          <w:cantSplit/>
          <w:jc w:val="center"/>
        </w:trPr>
        <w:tc>
          <w:tcPr>
            <w:tcW w:w="1772" w:type="dxa"/>
            <w:vMerge/>
            <w:shd w:val="clear" w:color="auto" w:fill="4472C4"/>
            <w:vAlign w:val="center"/>
          </w:tcPr>
          <w:p w14:paraId="320BF793" w14:textId="77777777" w:rsidR="00990B14" w:rsidRDefault="00990B14">
            <w:pPr>
              <w:spacing w:before="20" w:after="20"/>
            </w:pPr>
          </w:p>
        </w:tc>
        <w:tc>
          <w:tcPr>
            <w:tcW w:w="1854" w:type="dxa"/>
            <w:shd w:val="clear" w:color="auto" w:fill="D9E2F3"/>
            <w:vAlign w:val="center"/>
          </w:tcPr>
          <w:p w14:paraId="102595F3" w14:textId="77777777" w:rsidR="00990B14" w:rsidRDefault="00000000">
            <w:pPr>
              <w:spacing w:before="20" w:after="20"/>
              <w:jc w:val="both"/>
            </w:pPr>
            <w:r>
              <w:rPr>
                <w:sz w:val="18"/>
                <w:szCs w:val="18"/>
              </w:rPr>
              <w:t>Resultado impositivo</w:t>
            </w:r>
          </w:p>
        </w:tc>
        <w:tc>
          <w:tcPr>
            <w:tcW w:w="2015" w:type="dxa"/>
            <w:shd w:val="clear" w:color="auto" w:fill="D9E2F3"/>
            <w:vAlign w:val="center"/>
          </w:tcPr>
          <w:p w14:paraId="0CF65310" w14:textId="77777777" w:rsidR="00990B14" w:rsidRDefault="00000000">
            <w:pPr>
              <w:spacing w:before="20" w:after="20"/>
              <w:jc w:val="both"/>
            </w:pPr>
            <w:r>
              <w:rPr>
                <w:sz w:val="18"/>
                <w:szCs w:val="18"/>
              </w:rPr>
              <w:t>Calcula mal el resultado.</w:t>
            </w:r>
          </w:p>
        </w:tc>
        <w:tc>
          <w:tcPr>
            <w:tcW w:w="1854" w:type="dxa"/>
            <w:shd w:val="clear" w:color="auto" w:fill="D9E2F3"/>
            <w:vAlign w:val="center"/>
          </w:tcPr>
          <w:p w14:paraId="60DD40BC" w14:textId="77777777" w:rsidR="00990B14" w:rsidRDefault="00000000">
            <w:pPr>
              <w:spacing w:before="20" w:after="20"/>
              <w:jc w:val="both"/>
            </w:pPr>
            <w:r>
              <w:rPr>
                <w:sz w:val="18"/>
                <w:szCs w:val="18"/>
              </w:rPr>
              <w:t>Determina el resultado impositivo.</w:t>
            </w:r>
          </w:p>
        </w:tc>
        <w:tc>
          <w:tcPr>
            <w:tcW w:w="1910" w:type="dxa"/>
            <w:shd w:val="clear" w:color="auto" w:fill="D9E2F3"/>
            <w:vAlign w:val="center"/>
          </w:tcPr>
          <w:p w14:paraId="230967C8" w14:textId="77777777" w:rsidR="00990B14" w:rsidRDefault="00000000">
            <w:pPr>
              <w:spacing w:before="20" w:after="20"/>
              <w:jc w:val="both"/>
            </w:pPr>
            <w:r>
              <w:rPr>
                <w:sz w:val="18"/>
                <w:szCs w:val="18"/>
              </w:rPr>
              <w:t>Analiza el efecto en el impuesto a pagar.</w:t>
            </w:r>
          </w:p>
        </w:tc>
      </w:tr>
      <w:tr w:rsidR="00990B14" w14:paraId="695605C0" w14:textId="77777777">
        <w:trPr>
          <w:cantSplit/>
          <w:jc w:val="center"/>
        </w:trPr>
        <w:tc>
          <w:tcPr>
            <w:tcW w:w="1772" w:type="dxa"/>
            <w:vMerge/>
            <w:shd w:val="clear" w:color="auto" w:fill="4472C4"/>
            <w:vAlign w:val="center"/>
          </w:tcPr>
          <w:p w14:paraId="1D812E44" w14:textId="77777777" w:rsidR="00990B14" w:rsidRDefault="00990B14">
            <w:pPr>
              <w:spacing w:before="20" w:after="20"/>
            </w:pPr>
          </w:p>
        </w:tc>
        <w:tc>
          <w:tcPr>
            <w:tcW w:w="1854" w:type="dxa"/>
            <w:shd w:val="clear" w:color="auto" w:fill="D9E2F3"/>
            <w:vAlign w:val="center"/>
          </w:tcPr>
          <w:p w14:paraId="7FD89D53" w14:textId="77777777" w:rsidR="00990B14" w:rsidRDefault="00000000">
            <w:pPr>
              <w:spacing w:before="20" w:after="20"/>
              <w:jc w:val="both"/>
            </w:pPr>
            <w:r>
              <w:rPr>
                <w:sz w:val="18"/>
                <w:szCs w:val="18"/>
              </w:rPr>
              <w:t>Exactitud</w:t>
            </w:r>
          </w:p>
        </w:tc>
        <w:tc>
          <w:tcPr>
            <w:tcW w:w="2015" w:type="dxa"/>
            <w:shd w:val="clear" w:color="auto" w:fill="D9E2F3"/>
            <w:vAlign w:val="center"/>
          </w:tcPr>
          <w:p w14:paraId="341862F4" w14:textId="77777777" w:rsidR="00990B14" w:rsidRDefault="00000000">
            <w:pPr>
              <w:spacing w:before="20" w:after="20"/>
              <w:jc w:val="both"/>
            </w:pPr>
            <w:r>
              <w:rPr>
                <w:sz w:val="18"/>
                <w:szCs w:val="18"/>
              </w:rPr>
              <w:t>Presenta errores de cálculo.</w:t>
            </w:r>
          </w:p>
        </w:tc>
        <w:tc>
          <w:tcPr>
            <w:tcW w:w="1854" w:type="dxa"/>
            <w:shd w:val="clear" w:color="auto" w:fill="D9E2F3"/>
            <w:vAlign w:val="center"/>
          </w:tcPr>
          <w:p w14:paraId="2698F067" w14:textId="77777777" w:rsidR="00990B14" w:rsidRDefault="00000000">
            <w:pPr>
              <w:spacing w:before="20" w:after="20"/>
              <w:jc w:val="both"/>
            </w:pPr>
            <w:r>
              <w:rPr>
                <w:sz w:val="18"/>
                <w:szCs w:val="18"/>
              </w:rPr>
              <w:t>Los cálculos son correctos.</w:t>
            </w:r>
          </w:p>
        </w:tc>
        <w:tc>
          <w:tcPr>
            <w:tcW w:w="1910" w:type="dxa"/>
            <w:shd w:val="clear" w:color="auto" w:fill="D9E2F3"/>
            <w:vAlign w:val="center"/>
          </w:tcPr>
          <w:p w14:paraId="544B5704" w14:textId="77777777" w:rsidR="00990B14" w:rsidRDefault="00000000">
            <w:pPr>
              <w:spacing w:before="20" w:after="20"/>
              <w:jc w:val="both"/>
            </w:pPr>
            <w:r>
              <w:rPr>
                <w:sz w:val="18"/>
                <w:szCs w:val="18"/>
              </w:rPr>
              <w:t>Verifica la conciliación con los estados financieros.</w:t>
            </w:r>
          </w:p>
        </w:tc>
      </w:tr>
      <w:tr w:rsidR="00990B14" w14:paraId="73DB63F2" w14:textId="77777777">
        <w:trPr>
          <w:cantSplit/>
          <w:jc w:val="center"/>
        </w:trPr>
        <w:tc>
          <w:tcPr>
            <w:tcW w:w="7495" w:type="dxa"/>
            <w:gridSpan w:val="4"/>
            <w:shd w:val="clear" w:color="auto" w:fill="4472C4"/>
            <w:vAlign w:val="center"/>
          </w:tcPr>
          <w:p w14:paraId="242773AA" w14:textId="77777777" w:rsidR="00990B14" w:rsidRDefault="00000000">
            <w:pPr>
              <w:keepNext/>
              <w:spacing w:before="20" w:after="20"/>
              <w:jc w:val="center"/>
            </w:pPr>
            <w:r>
              <w:rPr>
                <w:b/>
                <w:bCs/>
                <w:i/>
                <w:iCs/>
                <w:color w:val="FFFFFF"/>
                <w:sz w:val="18"/>
                <w:szCs w:val="18"/>
              </w:rPr>
              <w:t>TOTAL</w:t>
            </w:r>
          </w:p>
        </w:tc>
        <w:tc>
          <w:tcPr>
            <w:tcW w:w="1910" w:type="dxa"/>
            <w:shd w:val="clear" w:color="auto" w:fill="4472C4"/>
            <w:vAlign w:val="center"/>
          </w:tcPr>
          <w:p w14:paraId="188CFD3A" w14:textId="77777777" w:rsidR="00990B14" w:rsidRDefault="00000000">
            <w:pPr>
              <w:keepNext/>
              <w:spacing w:before="20" w:after="20"/>
              <w:jc w:val="center"/>
            </w:pPr>
            <w:r>
              <w:rPr>
                <w:b/>
                <w:bCs/>
                <w:i/>
                <w:iCs/>
                <w:color w:val="FFFFFF"/>
                <w:sz w:val="18"/>
                <w:szCs w:val="18"/>
              </w:rPr>
              <w:t>100%</w:t>
            </w:r>
          </w:p>
        </w:tc>
      </w:tr>
    </w:tbl>
    <w:p w14:paraId="42963EDD"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9405"/>
      </w:tblGrid>
      <w:tr w:rsidR="00990B14" w14:paraId="5AE95BC0" w14:textId="77777777">
        <w:trPr>
          <w:jc w:val="center"/>
        </w:trPr>
        <w:tc>
          <w:tcPr>
            <w:tcW w:w="9405" w:type="dxa"/>
            <w:shd w:val="clear" w:color="auto" w:fill="D9E2F3"/>
          </w:tcPr>
          <w:p w14:paraId="18F6792E" w14:textId="77777777" w:rsidR="00990B14" w:rsidRDefault="00000000">
            <w:pPr>
              <w:spacing w:before="40" w:after="40"/>
              <w:jc w:val="both"/>
            </w:pPr>
            <w:r>
              <w:rPr>
                <w:b/>
                <w:bCs/>
                <w:i/>
                <w:iCs/>
                <w:sz w:val="18"/>
                <w:szCs w:val="18"/>
              </w:rPr>
              <w:t>Bibliografía básica:</w:t>
            </w:r>
          </w:p>
          <w:p w14:paraId="4293ABD5" w14:textId="77777777" w:rsidR="00990B14" w:rsidRDefault="00000000">
            <w:pPr>
              <w:numPr>
                <w:ilvl w:val="0"/>
                <w:numId w:val="140"/>
              </w:numPr>
              <w:spacing w:after="20"/>
              <w:jc w:val="both"/>
            </w:pPr>
            <w:r>
              <w:rPr>
                <w:sz w:val="18"/>
                <w:szCs w:val="18"/>
              </w:rPr>
              <w:t>Código de Comercio, Decreto Ley N.º 14379.</w:t>
            </w:r>
          </w:p>
          <w:p w14:paraId="3633E737" w14:textId="77777777" w:rsidR="00990B14" w:rsidRDefault="00000000">
            <w:pPr>
              <w:numPr>
                <w:ilvl w:val="0"/>
                <w:numId w:val="140"/>
              </w:numPr>
              <w:spacing w:after="20"/>
              <w:jc w:val="both"/>
            </w:pPr>
            <w:r>
              <w:rPr>
                <w:sz w:val="18"/>
                <w:szCs w:val="18"/>
              </w:rPr>
              <w:t xml:space="preserve">Colegio de Auditores o Contadores Públicos de Bolivia, CAUB – Consejo Técnico Nacional de Auditoría y Contabilidad, CTNAC (2023). </w:t>
            </w:r>
            <w:r>
              <w:rPr>
                <w:i/>
                <w:iCs/>
                <w:sz w:val="18"/>
                <w:szCs w:val="18"/>
              </w:rPr>
              <w:t>Compendio de Normas de Contabilidad y Auditoría</w:t>
            </w:r>
            <w:r>
              <w:rPr>
                <w:sz w:val="18"/>
                <w:szCs w:val="18"/>
              </w:rPr>
              <w:t>. Santa Cruz – Bolivia.</w:t>
            </w:r>
          </w:p>
          <w:p w14:paraId="003A04D9" w14:textId="77777777" w:rsidR="00990B14" w:rsidRDefault="00000000">
            <w:pPr>
              <w:numPr>
                <w:ilvl w:val="0"/>
                <w:numId w:val="140"/>
              </w:numPr>
              <w:spacing w:after="20"/>
              <w:jc w:val="both"/>
            </w:pPr>
            <w:r>
              <w:rPr>
                <w:sz w:val="18"/>
                <w:szCs w:val="18"/>
              </w:rPr>
              <w:t>Consejo de Normas Internacionales de Contabilidad (IASB). NIC 41 Agricultura, NIC 16 Propiedades, planta y equipo, NIC 2 Inventarios y NIIF 13 Medición del valor razonable.</w:t>
            </w:r>
          </w:p>
          <w:p w14:paraId="4CD8A078" w14:textId="77777777" w:rsidR="00990B14" w:rsidRDefault="00000000">
            <w:pPr>
              <w:numPr>
                <w:ilvl w:val="0"/>
                <w:numId w:val="140"/>
              </w:numPr>
              <w:spacing w:after="20"/>
              <w:jc w:val="both"/>
            </w:pPr>
            <w:r>
              <w:rPr>
                <w:sz w:val="18"/>
                <w:szCs w:val="18"/>
              </w:rPr>
              <w:t>Decreto Supremo N.º 24051, Reglamento del Impuesto sobre las Utilidades de las Empresas, de 29 de junio de 1995.</w:t>
            </w:r>
          </w:p>
          <w:p w14:paraId="2D90F8CF" w14:textId="77777777" w:rsidR="00990B14" w:rsidRDefault="00000000">
            <w:pPr>
              <w:numPr>
                <w:ilvl w:val="0"/>
                <w:numId w:val="140"/>
              </w:numPr>
              <w:spacing w:after="20"/>
              <w:jc w:val="both"/>
            </w:pPr>
            <w:r>
              <w:rPr>
                <w:sz w:val="18"/>
                <w:szCs w:val="18"/>
              </w:rPr>
              <w:t>Decreto Supremo N.º 24463, del Régimen Agropecuario Unificado.</w:t>
            </w:r>
          </w:p>
          <w:p w14:paraId="2DA5DD90" w14:textId="77777777" w:rsidR="00990B14" w:rsidRDefault="00000000">
            <w:pPr>
              <w:numPr>
                <w:ilvl w:val="0"/>
                <w:numId w:val="140"/>
              </w:numPr>
              <w:spacing w:after="20"/>
              <w:jc w:val="both"/>
            </w:pPr>
            <w:r>
              <w:rPr>
                <w:sz w:val="18"/>
                <w:szCs w:val="18"/>
              </w:rPr>
              <w:t>Decreto Supremo N.º 24848, de los Consejos de Políticas Agropecuarias.</w:t>
            </w:r>
          </w:p>
          <w:p w14:paraId="4F31B846" w14:textId="77777777" w:rsidR="00990B14" w:rsidRDefault="00000000">
            <w:pPr>
              <w:numPr>
                <w:ilvl w:val="0"/>
                <w:numId w:val="140"/>
              </w:numPr>
              <w:spacing w:after="20"/>
              <w:jc w:val="both"/>
            </w:pPr>
            <w:r>
              <w:rPr>
                <w:sz w:val="18"/>
                <w:szCs w:val="18"/>
              </w:rPr>
              <w:t>Decreto Supremo N.º 24895, de Funciones Agrarias.</w:t>
            </w:r>
          </w:p>
          <w:p w14:paraId="417742E6" w14:textId="77777777" w:rsidR="00990B14" w:rsidRDefault="00000000">
            <w:pPr>
              <w:numPr>
                <w:ilvl w:val="0"/>
                <w:numId w:val="140"/>
              </w:numPr>
              <w:spacing w:after="20"/>
              <w:jc w:val="both"/>
            </w:pPr>
            <w:r>
              <w:rPr>
                <w:sz w:val="18"/>
                <w:szCs w:val="18"/>
              </w:rPr>
              <w:t xml:space="preserve">Fundación IFRS – Consejo de Normas Internacionales de Contabilidad, IASB (2023). </w:t>
            </w:r>
            <w:r>
              <w:rPr>
                <w:i/>
                <w:iCs/>
                <w:sz w:val="18"/>
                <w:szCs w:val="18"/>
              </w:rPr>
              <w:t>Normas Internacionales de Información Financiera 2023</w:t>
            </w:r>
            <w:r>
              <w:rPr>
                <w:sz w:val="18"/>
                <w:szCs w:val="18"/>
              </w:rPr>
              <w:t>. Londres.</w:t>
            </w:r>
          </w:p>
          <w:p w14:paraId="174E59DC" w14:textId="77777777" w:rsidR="00990B14" w:rsidRDefault="00000000">
            <w:pPr>
              <w:numPr>
                <w:ilvl w:val="0"/>
                <w:numId w:val="140"/>
              </w:numPr>
              <w:spacing w:after="20"/>
              <w:jc w:val="both"/>
            </w:pPr>
            <w:r>
              <w:rPr>
                <w:sz w:val="18"/>
                <w:szCs w:val="18"/>
              </w:rPr>
              <w:t>Ley N.º 1333, Ley del Medio Ambiente, y sus decretos supremos reglamentarios.</w:t>
            </w:r>
          </w:p>
          <w:p w14:paraId="33D9FA68" w14:textId="77777777" w:rsidR="00990B14" w:rsidRDefault="00000000">
            <w:pPr>
              <w:numPr>
                <w:ilvl w:val="0"/>
                <w:numId w:val="140"/>
              </w:numPr>
              <w:spacing w:after="20"/>
              <w:jc w:val="both"/>
            </w:pPr>
            <w:r>
              <w:rPr>
                <w:sz w:val="18"/>
                <w:szCs w:val="18"/>
              </w:rPr>
              <w:t>Ley N.º 144, de la Revolución Productiva Comunitaria Agropecuaria, de 26 de junio de 2011, que crea el Seguro Agrario Universal Pachamama.</w:t>
            </w:r>
          </w:p>
          <w:p w14:paraId="4C682512" w14:textId="77777777" w:rsidR="00990B14" w:rsidRDefault="00000000">
            <w:pPr>
              <w:numPr>
                <w:ilvl w:val="0"/>
                <w:numId w:val="140"/>
              </w:numPr>
              <w:spacing w:after="20"/>
              <w:jc w:val="both"/>
            </w:pPr>
            <w:r>
              <w:rPr>
                <w:sz w:val="18"/>
                <w:szCs w:val="18"/>
              </w:rPr>
              <w:t>Ley N.º 1700, Ley Forestal.</w:t>
            </w:r>
          </w:p>
          <w:p w14:paraId="526313B5" w14:textId="77777777" w:rsidR="00990B14" w:rsidRDefault="00000000">
            <w:pPr>
              <w:numPr>
                <w:ilvl w:val="0"/>
                <w:numId w:val="140"/>
              </w:numPr>
              <w:spacing w:after="20"/>
              <w:jc w:val="both"/>
            </w:pPr>
            <w:r>
              <w:rPr>
                <w:sz w:val="18"/>
                <w:szCs w:val="18"/>
              </w:rPr>
              <w:t>Ley N.º 1715, del Servicio Nacional de Reforma Agraria, INRA.</w:t>
            </w:r>
          </w:p>
          <w:p w14:paraId="3DF7DD5F" w14:textId="77777777" w:rsidR="00990B14" w:rsidRDefault="00000000">
            <w:pPr>
              <w:numPr>
                <w:ilvl w:val="0"/>
                <w:numId w:val="140"/>
              </w:numPr>
              <w:spacing w:after="20"/>
              <w:jc w:val="both"/>
            </w:pPr>
            <w:r>
              <w:rPr>
                <w:sz w:val="18"/>
                <w:szCs w:val="18"/>
              </w:rPr>
              <w:t>Ley N.º 2492, Código Tributario Boliviano.</w:t>
            </w:r>
          </w:p>
          <w:p w14:paraId="68F45E73" w14:textId="77777777" w:rsidR="00990B14" w:rsidRDefault="00000000">
            <w:pPr>
              <w:numPr>
                <w:ilvl w:val="0"/>
                <w:numId w:val="140"/>
              </w:numPr>
              <w:spacing w:after="20"/>
              <w:jc w:val="both"/>
            </w:pPr>
            <w:r>
              <w:rPr>
                <w:sz w:val="18"/>
                <w:szCs w:val="18"/>
              </w:rPr>
              <w:t xml:space="preserve">López, E. (2019). </w:t>
            </w:r>
            <w:r>
              <w:rPr>
                <w:i/>
                <w:iCs/>
                <w:sz w:val="18"/>
                <w:szCs w:val="18"/>
              </w:rPr>
              <w:t>Contabilidad Agrícola y Ganadera</w:t>
            </w:r>
            <w:r>
              <w:rPr>
                <w:sz w:val="18"/>
                <w:szCs w:val="18"/>
              </w:rPr>
              <w:t>. La Paz – Bolivia: Editorial La Primera S.R.L., Artes Gráficas.</w:t>
            </w:r>
          </w:p>
          <w:p w14:paraId="01D852EC" w14:textId="77777777" w:rsidR="00990B14" w:rsidRDefault="00000000">
            <w:pPr>
              <w:numPr>
                <w:ilvl w:val="0"/>
                <w:numId w:val="140"/>
              </w:numPr>
              <w:spacing w:after="20"/>
              <w:jc w:val="both"/>
            </w:pPr>
            <w:r>
              <w:rPr>
                <w:sz w:val="18"/>
                <w:szCs w:val="18"/>
              </w:rPr>
              <w:t xml:space="preserve">Mendoza, A. (2010). </w:t>
            </w:r>
            <w:r>
              <w:rPr>
                <w:i/>
                <w:iCs/>
                <w:sz w:val="18"/>
                <w:szCs w:val="18"/>
              </w:rPr>
              <w:t>Manual de Contabilidad Agrícola – Ganadera</w:t>
            </w:r>
            <w:r>
              <w:rPr>
                <w:sz w:val="18"/>
                <w:szCs w:val="18"/>
              </w:rPr>
              <w:t>. La Paz – Bolivia: Editorial Sagitario S.R.L.</w:t>
            </w:r>
          </w:p>
          <w:p w14:paraId="62F1E5D9" w14:textId="77777777" w:rsidR="00990B14" w:rsidRDefault="00000000">
            <w:pPr>
              <w:numPr>
                <w:ilvl w:val="0"/>
                <w:numId w:val="140"/>
              </w:numPr>
              <w:spacing w:after="20"/>
              <w:jc w:val="both"/>
            </w:pPr>
            <w:r>
              <w:rPr>
                <w:sz w:val="18"/>
                <w:szCs w:val="18"/>
              </w:rPr>
              <w:t xml:space="preserve">Mendoza, A. (2017). </w:t>
            </w:r>
            <w:r>
              <w:rPr>
                <w:i/>
                <w:iCs/>
                <w:sz w:val="18"/>
                <w:szCs w:val="18"/>
              </w:rPr>
              <w:t>Costos Agropecuarios</w:t>
            </w:r>
            <w:r>
              <w:rPr>
                <w:sz w:val="18"/>
                <w:szCs w:val="18"/>
              </w:rPr>
              <w:t>. La Paz – Bolivia: Imprenta Miltluz.</w:t>
            </w:r>
          </w:p>
          <w:p w14:paraId="750BA5ED" w14:textId="77777777" w:rsidR="00990B14" w:rsidRDefault="00000000">
            <w:pPr>
              <w:numPr>
                <w:ilvl w:val="0"/>
                <w:numId w:val="140"/>
              </w:numPr>
              <w:spacing w:after="20"/>
              <w:jc w:val="both"/>
            </w:pPr>
            <w:r>
              <w:rPr>
                <w:sz w:val="18"/>
                <w:szCs w:val="18"/>
              </w:rPr>
              <w:t>Texto ordenado de la Ley N.º 843 y sus decretos supremos reglamentarios.</w:t>
            </w:r>
          </w:p>
        </w:tc>
      </w:tr>
      <w:tr w:rsidR="00990B14" w14:paraId="5011C4B7" w14:textId="77777777">
        <w:trPr>
          <w:jc w:val="center"/>
        </w:trPr>
        <w:tc>
          <w:tcPr>
            <w:tcW w:w="9405" w:type="dxa"/>
            <w:shd w:val="clear" w:color="auto" w:fill="D9E2F3"/>
          </w:tcPr>
          <w:p w14:paraId="4571A8E5" w14:textId="77777777" w:rsidR="00990B14" w:rsidRDefault="00000000">
            <w:pPr>
              <w:spacing w:before="40" w:after="40"/>
              <w:jc w:val="both"/>
            </w:pPr>
            <w:r>
              <w:rPr>
                <w:b/>
                <w:bCs/>
                <w:i/>
                <w:iCs/>
                <w:sz w:val="18"/>
                <w:szCs w:val="18"/>
              </w:rPr>
              <w:t>Bibliografía complementaria:</w:t>
            </w:r>
          </w:p>
          <w:p w14:paraId="3469325B" w14:textId="77777777" w:rsidR="00990B14" w:rsidRDefault="00000000">
            <w:pPr>
              <w:numPr>
                <w:ilvl w:val="0"/>
                <w:numId w:val="140"/>
              </w:numPr>
              <w:spacing w:after="20"/>
              <w:jc w:val="both"/>
            </w:pPr>
            <w:r>
              <w:rPr>
                <w:sz w:val="18"/>
                <w:szCs w:val="18"/>
              </w:rPr>
              <w:t>Consejo de Normas Internacionales de Sostenibilidad (ISSB). NIIF S2 Información a revelar relacionada con el clima, de aplicación en Bolivia desde el 1 de enero de 2027.</w:t>
            </w:r>
          </w:p>
          <w:p w14:paraId="42BDACBE" w14:textId="77777777" w:rsidR="00990B14" w:rsidRDefault="00000000">
            <w:pPr>
              <w:numPr>
                <w:ilvl w:val="0"/>
                <w:numId w:val="140"/>
              </w:numPr>
              <w:spacing w:after="20"/>
              <w:jc w:val="both"/>
            </w:pPr>
            <w:r>
              <w:rPr>
                <w:sz w:val="18"/>
                <w:szCs w:val="18"/>
              </w:rPr>
              <w:t>Instituto del Seguro Agrario: https://www.insa.gob.bo</w:t>
            </w:r>
          </w:p>
          <w:p w14:paraId="0198CD25" w14:textId="77777777" w:rsidR="00990B14" w:rsidRDefault="00000000">
            <w:pPr>
              <w:numPr>
                <w:ilvl w:val="0"/>
                <w:numId w:val="140"/>
              </w:numPr>
              <w:spacing w:after="20"/>
              <w:jc w:val="both"/>
            </w:pPr>
            <w:r>
              <w:rPr>
                <w:sz w:val="18"/>
                <w:szCs w:val="18"/>
              </w:rPr>
              <w:t>Instituto Nacional de Estadística de Bolivia, estadísticas agropecuarias: https://www.ine.gob.bo</w:t>
            </w:r>
          </w:p>
          <w:p w14:paraId="5E02A8EE" w14:textId="77777777" w:rsidR="00990B14" w:rsidRDefault="00000000">
            <w:pPr>
              <w:numPr>
                <w:ilvl w:val="0"/>
                <w:numId w:val="140"/>
              </w:numPr>
              <w:spacing w:after="20"/>
              <w:jc w:val="both"/>
            </w:pPr>
            <w:r>
              <w:rPr>
                <w:sz w:val="18"/>
                <w:szCs w:val="18"/>
              </w:rPr>
              <w:t xml:space="preserve">Kime, L. (2014). </w:t>
            </w:r>
            <w:r>
              <w:rPr>
                <w:i/>
                <w:iCs/>
                <w:sz w:val="18"/>
                <w:szCs w:val="18"/>
              </w:rPr>
              <w:t>Presupuestos para tomar decisiones agrícolas</w:t>
            </w:r>
            <w:r>
              <w:rPr>
                <w:sz w:val="18"/>
                <w:szCs w:val="18"/>
              </w:rPr>
              <w:t>. PennState Extension.</w:t>
            </w:r>
          </w:p>
          <w:p w14:paraId="27179DE9" w14:textId="77777777" w:rsidR="00990B14" w:rsidRDefault="00000000">
            <w:pPr>
              <w:numPr>
                <w:ilvl w:val="0"/>
                <w:numId w:val="140"/>
              </w:numPr>
              <w:spacing w:after="20"/>
              <w:jc w:val="both"/>
            </w:pPr>
            <w:r>
              <w:rPr>
                <w:sz w:val="18"/>
                <w:szCs w:val="18"/>
              </w:rPr>
              <w:t>Servicio Nacional de Sanidad Agropecuaria e Inocuidad Alimentaria: https://www.senasag.gob.bo</w:t>
            </w:r>
          </w:p>
        </w:tc>
      </w:tr>
    </w:tbl>
    <w:p w14:paraId="54B48ED9" w14:textId="77777777" w:rsidR="00990B14" w:rsidRDefault="00000000">
      <w:pPr>
        <w:pStyle w:val="TituloPlanAsignatura"/>
        <w:keepNext/>
        <w:pageBreakBefore/>
        <w:spacing w:after="120"/>
        <w:jc w:val="center"/>
        <w:outlineLvl w:val="2"/>
      </w:pPr>
      <w:bookmarkStart w:id="175" w:name="_Toc000000116"/>
      <w:r>
        <w:rPr>
          <w:b/>
          <w:bCs/>
          <w:sz w:val="24"/>
          <w:szCs w:val="24"/>
        </w:rPr>
        <w:t>CPA-403 Contabilidad de Seguros: Privado y Público</w:t>
      </w:r>
      <w:bookmarkEnd w:id="175"/>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249"/>
        <w:gridCol w:w="1100"/>
        <w:gridCol w:w="149"/>
        <w:gridCol w:w="635"/>
        <w:gridCol w:w="615"/>
        <w:gridCol w:w="952"/>
        <w:gridCol w:w="298"/>
        <w:gridCol w:w="1250"/>
        <w:gridCol w:w="20"/>
        <w:gridCol w:w="385"/>
        <w:gridCol w:w="398"/>
        <w:gridCol w:w="447"/>
        <w:gridCol w:w="1907"/>
      </w:tblGrid>
      <w:tr w:rsidR="00990B14" w14:paraId="457AC706" w14:textId="77777777">
        <w:trPr>
          <w:cantSplit/>
          <w:jc w:val="center"/>
        </w:trPr>
        <w:tc>
          <w:tcPr>
            <w:tcW w:w="2349" w:type="dxa"/>
            <w:gridSpan w:val="2"/>
            <w:shd w:val="clear" w:color="auto" w:fill="4472C4"/>
            <w:vAlign w:val="center"/>
          </w:tcPr>
          <w:p w14:paraId="2DD90A07" w14:textId="77777777" w:rsidR="00990B14" w:rsidRDefault="00000000">
            <w:pPr>
              <w:keepNext/>
              <w:spacing w:before="20" w:after="20"/>
              <w:jc w:val="center"/>
            </w:pPr>
            <w:r>
              <w:rPr>
                <w:b/>
                <w:bCs/>
                <w:i/>
                <w:iCs/>
                <w:color w:val="FFFFFF"/>
                <w:sz w:val="18"/>
                <w:szCs w:val="18"/>
              </w:rPr>
              <w:t>Asignatura</w:t>
            </w:r>
          </w:p>
        </w:tc>
        <w:tc>
          <w:tcPr>
            <w:tcW w:w="2351" w:type="dxa"/>
            <w:gridSpan w:val="4"/>
            <w:shd w:val="clear" w:color="auto" w:fill="4472C4"/>
            <w:vAlign w:val="center"/>
          </w:tcPr>
          <w:p w14:paraId="7A62774C" w14:textId="77777777" w:rsidR="00990B14" w:rsidRDefault="00000000">
            <w:pPr>
              <w:keepNext/>
              <w:spacing w:before="20" w:after="20"/>
              <w:jc w:val="center"/>
            </w:pPr>
            <w:r>
              <w:rPr>
                <w:b/>
                <w:bCs/>
                <w:i/>
                <w:iCs/>
                <w:color w:val="FFFFFF"/>
                <w:sz w:val="18"/>
                <w:szCs w:val="18"/>
              </w:rPr>
              <w:t>Sigla</w:t>
            </w:r>
          </w:p>
        </w:tc>
        <w:tc>
          <w:tcPr>
            <w:tcW w:w="2351" w:type="dxa"/>
            <w:gridSpan w:val="5"/>
            <w:shd w:val="clear" w:color="auto" w:fill="4472C4"/>
            <w:vAlign w:val="center"/>
          </w:tcPr>
          <w:p w14:paraId="2E8786C3" w14:textId="77777777" w:rsidR="00990B14" w:rsidRDefault="00000000">
            <w:pPr>
              <w:keepNext/>
              <w:spacing w:before="20" w:after="20"/>
              <w:jc w:val="center"/>
            </w:pPr>
            <w:r>
              <w:rPr>
                <w:b/>
                <w:bCs/>
                <w:i/>
                <w:iCs/>
                <w:color w:val="FFFFFF"/>
                <w:sz w:val="18"/>
                <w:szCs w:val="18"/>
              </w:rPr>
              <w:t>Nivel/Área</w:t>
            </w:r>
          </w:p>
        </w:tc>
        <w:tc>
          <w:tcPr>
            <w:tcW w:w="2354" w:type="dxa"/>
            <w:gridSpan w:val="2"/>
            <w:shd w:val="clear" w:color="auto" w:fill="4472C4"/>
            <w:vAlign w:val="center"/>
          </w:tcPr>
          <w:p w14:paraId="2049ACE6" w14:textId="77777777" w:rsidR="00990B14" w:rsidRDefault="00000000">
            <w:pPr>
              <w:keepNext/>
              <w:spacing w:before="20" w:after="20"/>
              <w:jc w:val="center"/>
            </w:pPr>
            <w:r>
              <w:rPr>
                <w:b/>
                <w:bCs/>
                <w:i/>
                <w:iCs/>
                <w:color w:val="FFFFFF"/>
                <w:sz w:val="18"/>
                <w:szCs w:val="18"/>
              </w:rPr>
              <w:t>Prerrequisito</w:t>
            </w:r>
          </w:p>
        </w:tc>
      </w:tr>
      <w:tr w:rsidR="00990B14" w14:paraId="14941077" w14:textId="77777777">
        <w:trPr>
          <w:cantSplit/>
          <w:jc w:val="center"/>
        </w:trPr>
        <w:tc>
          <w:tcPr>
            <w:tcW w:w="2349" w:type="dxa"/>
            <w:gridSpan w:val="2"/>
            <w:shd w:val="clear" w:color="auto" w:fill="D9E2F3"/>
            <w:vAlign w:val="center"/>
          </w:tcPr>
          <w:p w14:paraId="1232185C" w14:textId="77777777" w:rsidR="00990B14" w:rsidRDefault="00000000">
            <w:pPr>
              <w:spacing w:before="20" w:after="20"/>
              <w:jc w:val="center"/>
            </w:pPr>
            <w:r>
              <w:rPr>
                <w:b/>
                <w:bCs/>
                <w:i/>
                <w:iCs/>
                <w:sz w:val="18"/>
                <w:szCs w:val="18"/>
              </w:rPr>
              <w:t>Contabilidad de Seguros: Privado y Público</w:t>
            </w:r>
          </w:p>
        </w:tc>
        <w:tc>
          <w:tcPr>
            <w:tcW w:w="2351" w:type="dxa"/>
            <w:gridSpan w:val="4"/>
            <w:shd w:val="clear" w:color="auto" w:fill="D9E2F3"/>
            <w:vAlign w:val="center"/>
          </w:tcPr>
          <w:p w14:paraId="26DD3978" w14:textId="77777777" w:rsidR="00990B14" w:rsidRDefault="00000000">
            <w:pPr>
              <w:spacing w:before="20" w:after="20"/>
              <w:jc w:val="center"/>
            </w:pPr>
            <w:r>
              <w:rPr>
                <w:b/>
                <w:bCs/>
                <w:i/>
                <w:iCs/>
                <w:sz w:val="18"/>
                <w:szCs w:val="18"/>
              </w:rPr>
              <w:t>CPA-403</w:t>
            </w:r>
          </w:p>
        </w:tc>
        <w:tc>
          <w:tcPr>
            <w:tcW w:w="2351" w:type="dxa"/>
            <w:gridSpan w:val="5"/>
            <w:shd w:val="clear" w:color="auto" w:fill="D9E2F3"/>
            <w:vAlign w:val="center"/>
          </w:tcPr>
          <w:p w14:paraId="0FF28557" w14:textId="77777777" w:rsidR="00990B14" w:rsidRDefault="00000000">
            <w:pPr>
              <w:spacing w:before="20" w:after="20"/>
              <w:jc w:val="center"/>
            </w:pPr>
            <w:r>
              <w:rPr>
                <w:b/>
                <w:bCs/>
                <w:i/>
                <w:iCs/>
                <w:sz w:val="18"/>
                <w:szCs w:val="18"/>
              </w:rPr>
              <w:t>Información Financiera</w:t>
            </w:r>
          </w:p>
        </w:tc>
        <w:tc>
          <w:tcPr>
            <w:tcW w:w="2354" w:type="dxa"/>
            <w:gridSpan w:val="2"/>
            <w:shd w:val="clear" w:color="auto" w:fill="D9E2F3"/>
            <w:vAlign w:val="center"/>
          </w:tcPr>
          <w:p w14:paraId="65F21ECA" w14:textId="77777777" w:rsidR="00990B14" w:rsidRDefault="00000000">
            <w:pPr>
              <w:spacing w:before="20" w:after="20"/>
              <w:jc w:val="center"/>
            </w:pPr>
            <w:r>
              <w:rPr>
                <w:b/>
                <w:bCs/>
                <w:i/>
                <w:iCs/>
                <w:sz w:val="18"/>
                <w:szCs w:val="18"/>
              </w:rPr>
              <w:t>CPA-301, CPA-302</w:t>
            </w:r>
          </w:p>
        </w:tc>
      </w:tr>
      <w:tr w:rsidR="00990B14" w14:paraId="49D7DC21" w14:textId="77777777">
        <w:trPr>
          <w:cantSplit/>
          <w:jc w:val="center"/>
        </w:trPr>
        <w:tc>
          <w:tcPr>
            <w:tcW w:w="7498" w:type="dxa"/>
            <w:gridSpan w:val="12"/>
            <w:shd w:val="clear" w:color="auto" w:fill="4472C4"/>
            <w:vAlign w:val="center"/>
          </w:tcPr>
          <w:p w14:paraId="0F4859FC" w14:textId="77777777" w:rsidR="00990B14" w:rsidRDefault="00000000">
            <w:pPr>
              <w:keepNext/>
              <w:spacing w:before="20" w:after="20"/>
              <w:jc w:val="center"/>
            </w:pPr>
            <w:r>
              <w:rPr>
                <w:b/>
                <w:bCs/>
                <w:i/>
                <w:iCs/>
                <w:color w:val="FFFFFF"/>
                <w:sz w:val="18"/>
                <w:szCs w:val="18"/>
              </w:rPr>
              <w:t>Carga Horaria</w:t>
            </w:r>
          </w:p>
        </w:tc>
        <w:tc>
          <w:tcPr>
            <w:tcW w:w="1907" w:type="dxa"/>
            <w:shd w:val="clear" w:color="auto" w:fill="4472C4"/>
            <w:vAlign w:val="center"/>
          </w:tcPr>
          <w:p w14:paraId="65B0C73A" w14:textId="77777777" w:rsidR="00990B14" w:rsidRDefault="00000000">
            <w:pPr>
              <w:keepNext/>
              <w:spacing w:before="20" w:after="20"/>
              <w:jc w:val="center"/>
            </w:pPr>
            <w:r>
              <w:rPr>
                <w:b/>
                <w:bCs/>
                <w:i/>
                <w:iCs/>
                <w:color w:val="FFFFFF"/>
                <w:sz w:val="18"/>
                <w:szCs w:val="18"/>
              </w:rPr>
              <w:t>Créditos</w:t>
            </w:r>
          </w:p>
        </w:tc>
      </w:tr>
      <w:tr w:rsidR="00990B14" w14:paraId="64AACF11" w14:textId="77777777">
        <w:trPr>
          <w:cantSplit/>
          <w:jc w:val="center"/>
        </w:trPr>
        <w:tc>
          <w:tcPr>
            <w:tcW w:w="1249" w:type="dxa"/>
            <w:shd w:val="clear" w:color="auto" w:fill="4472C4"/>
            <w:vAlign w:val="center"/>
          </w:tcPr>
          <w:p w14:paraId="7924B294" w14:textId="77777777" w:rsidR="00990B14" w:rsidRDefault="00000000">
            <w:pPr>
              <w:keepNext/>
              <w:spacing w:before="20" w:after="20"/>
              <w:jc w:val="center"/>
            </w:pPr>
            <w:r>
              <w:rPr>
                <w:b/>
                <w:bCs/>
                <w:i/>
                <w:iCs/>
                <w:color w:val="FFFFFF"/>
                <w:sz w:val="18"/>
                <w:szCs w:val="18"/>
              </w:rPr>
              <w:t>HP</w:t>
            </w:r>
          </w:p>
        </w:tc>
        <w:tc>
          <w:tcPr>
            <w:tcW w:w="1249" w:type="dxa"/>
            <w:gridSpan w:val="2"/>
            <w:shd w:val="clear" w:color="auto" w:fill="4472C4"/>
            <w:vAlign w:val="center"/>
          </w:tcPr>
          <w:p w14:paraId="0FE3DABE" w14:textId="77777777" w:rsidR="00990B14" w:rsidRDefault="00000000">
            <w:pPr>
              <w:keepNext/>
              <w:spacing w:before="20" w:after="20"/>
              <w:jc w:val="center"/>
            </w:pPr>
            <w:r>
              <w:rPr>
                <w:b/>
                <w:bCs/>
                <w:i/>
                <w:iCs/>
                <w:color w:val="FFFFFF"/>
                <w:sz w:val="18"/>
                <w:szCs w:val="18"/>
              </w:rPr>
              <w:t>HAA</w:t>
            </w:r>
          </w:p>
        </w:tc>
        <w:tc>
          <w:tcPr>
            <w:tcW w:w="1250" w:type="dxa"/>
            <w:gridSpan w:val="2"/>
            <w:shd w:val="clear" w:color="auto" w:fill="4472C4"/>
            <w:vAlign w:val="center"/>
          </w:tcPr>
          <w:p w14:paraId="334B71FB" w14:textId="77777777" w:rsidR="00990B14" w:rsidRDefault="00000000">
            <w:pPr>
              <w:keepNext/>
              <w:spacing w:before="20" w:after="20"/>
              <w:jc w:val="center"/>
            </w:pPr>
            <w:r>
              <w:rPr>
                <w:b/>
                <w:bCs/>
                <w:i/>
                <w:iCs/>
                <w:color w:val="FFFFFF"/>
                <w:sz w:val="18"/>
                <w:szCs w:val="18"/>
              </w:rPr>
              <w:t>HTG</w:t>
            </w:r>
          </w:p>
        </w:tc>
        <w:tc>
          <w:tcPr>
            <w:tcW w:w="1250" w:type="dxa"/>
            <w:gridSpan w:val="2"/>
            <w:shd w:val="clear" w:color="auto" w:fill="4472C4"/>
            <w:vAlign w:val="center"/>
          </w:tcPr>
          <w:p w14:paraId="7060848B" w14:textId="77777777" w:rsidR="00990B14" w:rsidRDefault="00000000">
            <w:pPr>
              <w:keepNext/>
              <w:spacing w:before="20" w:after="20"/>
              <w:jc w:val="center"/>
            </w:pPr>
            <w:r>
              <w:rPr>
                <w:b/>
                <w:bCs/>
                <w:i/>
                <w:iCs/>
                <w:color w:val="FFFFFF"/>
                <w:sz w:val="18"/>
                <w:szCs w:val="18"/>
              </w:rPr>
              <w:t>HIP</w:t>
            </w:r>
          </w:p>
        </w:tc>
        <w:tc>
          <w:tcPr>
            <w:tcW w:w="1250" w:type="dxa"/>
            <w:shd w:val="clear" w:color="auto" w:fill="4472C4"/>
            <w:vAlign w:val="center"/>
          </w:tcPr>
          <w:p w14:paraId="41C9CAF2" w14:textId="77777777" w:rsidR="00990B14" w:rsidRDefault="00000000">
            <w:pPr>
              <w:keepNext/>
              <w:spacing w:before="20" w:after="20"/>
              <w:jc w:val="center"/>
            </w:pPr>
            <w:r>
              <w:rPr>
                <w:b/>
                <w:bCs/>
                <w:i/>
                <w:iCs/>
                <w:color w:val="FFFFFF"/>
                <w:sz w:val="18"/>
                <w:szCs w:val="18"/>
              </w:rPr>
              <w:t>HE</w:t>
            </w:r>
          </w:p>
        </w:tc>
        <w:tc>
          <w:tcPr>
            <w:tcW w:w="1250" w:type="dxa"/>
            <w:gridSpan w:val="4"/>
            <w:shd w:val="clear" w:color="auto" w:fill="4472C4"/>
            <w:vAlign w:val="center"/>
          </w:tcPr>
          <w:p w14:paraId="757B88E4" w14:textId="77777777" w:rsidR="00990B14" w:rsidRDefault="00000000">
            <w:pPr>
              <w:keepNext/>
              <w:spacing w:before="20" w:after="20"/>
              <w:jc w:val="center"/>
            </w:pPr>
            <w:r>
              <w:rPr>
                <w:b/>
                <w:bCs/>
                <w:i/>
                <w:iCs/>
                <w:color w:val="FFFFFF"/>
                <w:sz w:val="18"/>
                <w:szCs w:val="18"/>
              </w:rPr>
              <w:t>TOTAL</w:t>
            </w:r>
          </w:p>
        </w:tc>
        <w:tc>
          <w:tcPr>
            <w:tcW w:w="1907" w:type="dxa"/>
            <w:vMerge w:val="restart"/>
            <w:shd w:val="clear" w:color="auto" w:fill="D9E2F3"/>
            <w:vAlign w:val="center"/>
          </w:tcPr>
          <w:p w14:paraId="1F3F9102" w14:textId="77777777" w:rsidR="00990B14" w:rsidRDefault="00000000">
            <w:pPr>
              <w:spacing w:before="20" w:after="20"/>
              <w:jc w:val="center"/>
            </w:pPr>
            <w:r>
              <w:rPr>
                <w:sz w:val="18"/>
                <w:szCs w:val="18"/>
              </w:rPr>
              <w:t>7</w:t>
            </w:r>
          </w:p>
        </w:tc>
      </w:tr>
      <w:tr w:rsidR="00990B14" w14:paraId="469F4EBF" w14:textId="77777777">
        <w:trPr>
          <w:cantSplit/>
          <w:jc w:val="center"/>
        </w:trPr>
        <w:tc>
          <w:tcPr>
            <w:tcW w:w="1249" w:type="dxa"/>
            <w:shd w:val="clear" w:color="auto" w:fill="D9E2F3"/>
            <w:vAlign w:val="center"/>
          </w:tcPr>
          <w:p w14:paraId="07D6BB1C" w14:textId="77777777" w:rsidR="00990B14" w:rsidRDefault="00000000">
            <w:pPr>
              <w:spacing w:before="20" w:after="20"/>
              <w:jc w:val="center"/>
            </w:pPr>
            <w:r>
              <w:rPr>
                <w:sz w:val="18"/>
                <w:szCs w:val="18"/>
              </w:rPr>
              <w:t>160</w:t>
            </w:r>
          </w:p>
        </w:tc>
        <w:tc>
          <w:tcPr>
            <w:tcW w:w="1249" w:type="dxa"/>
            <w:gridSpan w:val="2"/>
            <w:shd w:val="clear" w:color="auto" w:fill="D9E2F3"/>
            <w:vAlign w:val="center"/>
          </w:tcPr>
          <w:p w14:paraId="53D4E548" w14:textId="77777777" w:rsidR="00990B14" w:rsidRDefault="00000000">
            <w:pPr>
              <w:spacing w:before="20" w:after="20"/>
              <w:jc w:val="center"/>
            </w:pPr>
            <w:r>
              <w:rPr>
                <w:sz w:val="18"/>
                <w:szCs w:val="18"/>
              </w:rPr>
              <w:t>10</w:t>
            </w:r>
          </w:p>
        </w:tc>
        <w:tc>
          <w:tcPr>
            <w:tcW w:w="1250" w:type="dxa"/>
            <w:gridSpan w:val="2"/>
            <w:shd w:val="clear" w:color="auto" w:fill="D9E2F3"/>
            <w:vAlign w:val="center"/>
          </w:tcPr>
          <w:p w14:paraId="296CD945" w14:textId="77777777" w:rsidR="00990B14" w:rsidRDefault="00000000">
            <w:pPr>
              <w:spacing w:before="20" w:after="20"/>
              <w:jc w:val="center"/>
            </w:pPr>
            <w:r>
              <w:rPr>
                <w:sz w:val="18"/>
                <w:szCs w:val="18"/>
              </w:rPr>
              <w:t>10</w:t>
            </w:r>
          </w:p>
        </w:tc>
        <w:tc>
          <w:tcPr>
            <w:tcW w:w="1250" w:type="dxa"/>
            <w:gridSpan w:val="2"/>
            <w:shd w:val="clear" w:color="auto" w:fill="D9E2F3"/>
            <w:vAlign w:val="center"/>
          </w:tcPr>
          <w:p w14:paraId="4FD7E4F0" w14:textId="77777777" w:rsidR="00990B14" w:rsidRDefault="00000000">
            <w:pPr>
              <w:spacing w:before="20" w:after="20"/>
              <w:jc w:val="center"/>
            </w:pPr>
            <w:r>
              <w:rPr>
                <w:sz w:val="18"/>
                <w:szCs w:val="18"/>
              </w:rPr>
              <w:t>20</w:t>
            </w:r>
          </w:p>
        </w:tc>
        <w:tc>
          <w:tcPr>
            <w:tcW w:w="1250" w:type="dxa"/>
            <w:shd w:val="clear" w:color="auto" w:fill="D9E2F3"/>
            <w:vAlign w:val="center"/>
          </w:tcPr>
          <w:p w14:paraId="28769FDC" w14:textId="77777777" w:rsidR="00990B14" w:rsidRDefault="00000000">
            <w:pPr>
              <w:spacing w:before="20" w:after="20"/>
              <w:jc w:val="center"/>
            </w:pPr>
            <w:r>
              <w:rPr>
                <w:sz w:val="18"/>
                <w:szCs w:val="18"/>
              </w:rPr>
              <w:t>10</w:t>
            </w:r>
          </w:p>
        </w:tc>
        <w:tc>
          <w:tcPr>
            <w:tcW w:w="1250" w:type="dxa"/>
            <w:gridSpan w:val="4"/>
            <w:shd w:val="clear" w:color="auto" w:fill="D9E2F3"/>
            <w:vAlign w:val="center"/>
          </w:tcPr>
          <w:p w14:paraId="69DF7823" w14:textId="77777777" w:rsidR="00990B14" w:rsidRDefault="00000000">
            <w:pPr>
              <w:spacing w:before="20" w:after="20"/>
              <w:jc w:val="center"/>
            </w:pPr>
            <w:r>
              <w:rPr>
                <w:sz w:val="18"/>
                <w:szCs w:val="18"/>
              </w:rPr>
              <w:t>210</w:t>
            </w:r>
          </w:p>
        </w:tc>
        <w:tc>
          <w:tcPr>
            <w:tcW w:w="1907" w:type="dxa"/>
            <w:vMerge/>
            <w:shd w:val="clear" w:color="auto" w:fill="D9E2F3"/>
            <w:vAlign w:val="center"/>
          </w:tcPr>
          <w:p w14:paraId="3D10BFEA" w14:textId="77777777" w:rsidR="00990B14" w:rsidRDefault="00990B14">
            <w:pPr>
              <w:spacing w:before="20" w:after="20"/>
            </w:pPr>
          </w:p>
        </w:tc>
      </w:tr>
      <w:tr w:rsidR="00990B14" w14:paraId="6295D7F0" w14:textId="77777777">
        <w:trPr>
          <w:cantSplit/>
          <w:jc w:val="center"/>
        </w:trPr>
        <w:tc>
          <w:tcPr>
            <w:tcW w:w="9405" w:type="dxa"/>
            <w:gridSpan w:val="13"/>
            <w:shd w:val="clear" w:color="auto" w:fill="4472C4"/>
            <w:vAlign w:val="center"/>
          </w:tcPr>
          <w:p w14:paraId="689CCDF3" w14:textId="77777777" w:rsidR="00990B14" w:rsidRDefault="00000000">
            <w:pPr>
              <w:keepNext/>
              <w:spacing w:before="20" w:after="20"/>
              <w:jc w:val="center"/>
            </w:pPr>
            <w:r>
              <w:rPr>
                <w:b/>
                <w:bCs/>
                <w:i/>
                <w:iCs/>
                <w:color w:val="FFFFFF"/>
                <w:sz w:val="18"/>
                <w:szCs w:val="18"/>
              </w:rPr>
              <w:t>Unidad de Competencia</w:t>
            </w:r>
          </w:p>
        </w:tc>
      </w:tr>
      <w:tr w:rsidR="00990B14" w14:paraId="2FDF444A" w14:textId="77777777">
        <w:trPr>
          <w:cantSplit/>
          <w:jc w:val="center"/>
        </w:trPr>
        <w:tc>
          <w:tcPr>
            <w:tcW w:w="9405" w:type="dxa"/>
            <w:gridSpan w:val="13"/>
            <w:shd w:val="clear" w:color="auto" w:fill="D9E2F3"/>
            <w:vAlign w:val="center"/>
          </w:tcPr>
          <w:p w14:paraId="298A0B46" w14:textId="77777777" w:rsidR="00990B14" w:rsidRDefault="00000000">
            <w:pPr>
              <w:spacing w:before="20" w:after="20"/>
              <w:jc w:val="both"/>
            </w:pPr>
            <w:r>
              <w:rPr>
                <w:sz w:val="18"/>
                <w:szCs w:val="18"/>
              </w:rPr>
              <w:t>Desarrolla los fundamentos del seguro privado y Seguro Publico, aspectos legales, técnicos, reglamentarios teóricos, y prácticos del área de la actividad especializada considerando su función social y las formas específicas de la contabilidad, para la elaboración de Estados Financieros de las entidades de seguro privado y seguro público, en consideración a los aspectos técnicos para su contabilización y análisis e interpretación de los estados financieros del Sistema que abarca al mercado de seguros con principios, valores y ética profesional.</w:t>
            </w:r>
          </w:p>
        </w:tc>
      </w:tr>
      <w:tr w:rsidR="00990B14" w14:paraId="2357F44B" w14:textId="77777777">
        <w:trPr>
          <w:cantSplit/>
          <w:jc w:val="center"/>
        </w:trPr>
        <w:tc>
          <w:tcPr>
            <w:tcW w:w="9405" w:type="dxa"/>
            <w:gridSpan w:val="13"/>
            <w:shd w:val="clear" w:color="auto" w:fill="D9E2F3"/>
            <w:vAlign w:val="center"/>
          </w:tcPr>
          <w:p w14:paraId="234B85C7" w14:textId="77777777" w:rsidR="00990B14" w:rsidRDefault="00000000">
            <w:pPr>
              <w:spacing w:before="20" w:after="20"/>
              <w:jc w:val="both"/>
            </w:pPr>
            <w:r>
              <w:rPr>
                <w:b/>
                <w:bCs/>
                <w:i/>
                <w:iCs/>
                <w:sz w:val="18"/>
                <w:szCs w:val="18"/>
              </w:rPr>
              <w:t xml:space="preserve">Elemento de competencia 1: </w:t>
            </w:r>
            <w:r>
              <w:rPr>
                <w:sz w:val="18"/>
                <w:szCs w:val="18"/>
              </w:rPr>
              <w:t>Explica los fundamentos y la función económica del Seguro Privado, clasificando sus ramos y las operaciones de distribución del riesgo en coaseguro y reaseguro conforme a la normativa vigente.</w:t>
            </w:r>
          </w:p>
        </w:tc>
      </w:tr>
      <w:tr w:rsidR="00990B14" w14:paraId="391F6E4D" w14:textId="77777777">
        <w:trPr>
          <w:cantSplit/>
          <w:jc w:val="center"/>
        </w:trPr>
        <w:tc>
          <w:tcPr>
            <w:tcW w:w="3133" w:type="dxa"/>
            <w:gridSpan w:val="4"/>
            <w:shd w:val="clear" w:color="auto" w:fill="4472C4"/>
            <w:vAlign w:val="center"/>
          </w:tcPr>
          <w:p w14:paraId="0043A24A"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3DB59779"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7A80C556" w14:textId="77777777" w:rsidR="00990B14" w:rsidRDefault="00000000">
            <w:pPr>
              <w:keepNext/>
              <w:spacing w:before="20" w:after="20"/>
              <w:jc w:val="center"/>
            </w:pPr>
            <w:r>
              <w:rPr>
                <w:b/>
                <w:bCs/>
                <w:i/>
                <w:iCs/>
                <w:color w:val="FFFFFF"/>
                <w:sz w:val="18"/>
                <w:szCs w:val="18"/>
              </w:rPr>
              <w:t>Evidencias de producto</w:t>
            </w:r>
          </w:p>
        </w:tc>
      </w:tr>
      <w:tr w:rsidR="00990B14" w14:paraId="45E391B7" w14:textId="77777777">
        <w:trPr>
          <w:cantSplit/>
          <w:jc w:val="center"/>
        </w:trPr>
        <w:tc>
          <w:tcPr>
            <w:tcW w:w="3133" w:type="dxa"/>
            <w:gridSpan w:val="4"/>
            <w:vMerge w:val="restart"/>
            <w:shd w:val="clear" w:color="auto" w:fill="D9E2F3"/>
            <w:vAlign w:val="center"/>
          </w:tcPr>
          <w:p w14:paraId="05D755C5" w14:textId="77777777" w:rsidR="00990B14" w:rsidRDefault="00000000">
            <w:pPr>
              <w:spacing w:before="20" w:after="20"/>
              <w:jc w:val="both"/>
            </w:pPr>
            <w:r>
              <w:rPr>
                <w:sz w:val="18"/>
                <w:szCs w:val="18"/>
              </w:rPr>
              <w:t>1. Explica y analiza los fundamentos legales, técnicos y económicos de la actividad del Seguro en todas sus áreas, y que cuenten con la suficiente credibilidad, solvencia y transparencia.</w:t>
            </w:r>
          </w:p>
        </w:tc>
        <w:tc>
          <w:tcPr>
            <w:tcW w:w="3135" w:type="dxa"/>
            <w:gridSpan w:val="5"/>
            <w:shd w:val="clear" w:color="auto" w:fill="D9E2F3"/>
            <w:vAlign w:val="center"/>
          </w:tcPr>
          <w:p w14:paraId="31021938" w14:textId="77777777" w:rsidR="00990B14" w:rsidRDefault="00000000">
            <w:pPr>
              <w:spacing w:before="20" w:after="20"/>
              <w:jc w:val="both"/>
            </w:pPr>
            <w:r>
              <w:rPr>
                <w:sz w:val="18"/>
                <w:szCs w:val="18"/>
              </w:rPr>
              <w:t>1.1 Elabora una proyección conceptual de los fundamentos, legales técnicos principios y características del campo del seguro, explicando su función social económica y de prevención con ejemplos contextualizados con el mercado de seguros.</w:t>
            </w:r>
          </w:p>
        </w:tc>
        <w:tc>
          <w:tcPr>
            <w:tcW w:w="3137" w:type="dxa"/>
            <w:gridSpan w:val="4"/>
            <w:shd w:val="clear" w:color="auto" w:fill="D9E2F3"/>
            <w:vAlign w:val="center"/>
          </w:tcPr>
          <w:p w14:paraId="388E4B17" w14:textId="77777777" w:rsidR="00990B14" w:rsidRDefault="00000000">
            <w:pPr>
              <w:spacing w:before="20" w:after="20"/>
              <w:jc w:val="both"/>
            </w:pPr>
            <w:r>
              <w:rPr>
                <w:b/>
                <w:bCs/>
                <w:sz w:val="18"/>
                <w:szCs w:val="18"/>
              </w:rPr>
              <w:t xml:space="preserve">Producto 1: </w:t>
            </w:r>
            <w:r>
              <w:rPr>
                <w:sz w:val="18"/>
                <w:szCs w:val="18"/>
              </w:rPr>
              <w:t>Introducción básica al conocimiento aprendizaje cognitivo de los aspectos fundamentales y conceptuales que se relacionan con las actividades del mercado de seguros.</w:t>
            </w:r>
          </w:p>
        </w:tc>
      </w:tr>
      <w:tr w:rsidR="00990B14" w14:paraId="2C0341A0" w14:textId="77777777">
        <w:trPr>
          <w:cantSplit/>
          <w:jc w:val="center"/>
        </w:trPr>
        <w:tc>
          <w:tcPr>
            <w:tcW w:w="3133" w:type="dxa"/>
            <w:gridSpan w:val="4"/>
            <w:vMerge/>
            <w:shd w:val="clear" w:color="auto" w:fill="D9E2F3"/>
            <w:vAlign w:val="center"/>
          </w:tcPr>
          <w:p w14:paraId="4659E396" w14:textId="77777777" w:rsidR="00990B14" w:rsidRDefault="00990B14">
            <w:pPr>
              <w:spacing w:before="20" w:after="20"/>
            </w:pPr>
          </w:p>
        </w:tc>
        <w:tc>
          <w:tcPr>
            <w:tcW w:w="3135" w:type="dxa"/>
            <w:gridSpan w:val="5"/>
            <w:shd w:val="clear" w:color="auto" w:fill="D9E2F3"/>
            <w:vAlign w:val="center"/>
          </w:tcPr>
          <w:p w14:paraId="017CBDA0" w14:textId="77777777" w:rsidR="00990B14" w:rsidRDefault="00000000">
            <w:pPr>
              <w:spacing w:before="20" w:after="20"/>
              <w:jc w:val="both"/>
            </w:pPr>
            <w:r>
              <w:rPr>
                <w:sz w:val="18"/>
                <w:szCs w:val="18"/>
              </w:rPr>
              <w:t>1.2 Analiza en aula con casos prácticos respecto de la importancia de la prevención de hechos, eventos casuales y fortuitos que afectan a las personas naturales, jurídicas y la sociedad en su conjunto respecto de la ocurrencia o acaecimiento de estos eventos.</w:t>
            </w:r>
          </w:p>
        </w:tc>
        <w:tc>
          <w:tcPr>
            <w:tcW w:w="3137" w:type="dxa"/>
            <w:gridSpan w:val="4"/>
            <w:shd w:val="clear" w:color="auto" w:fill="D9E2F3"/>
            <w:vAlign w:val="center"/>
          </w:tcPr>
          <w:p w14:paraId="29834538" w14:textId="77777777" w:rsidR="00990B14" w:rsidRDefault="00000000">
            <w:pPr>
              <w:spacing w:before="20" w:after="20"/>
              <w:jc w:val="both"/>
            </w:pPr>
            <w:r>
              <w:rPr>
                <w:b/>
                <w:bCs/>
                <w:sz w:val="18"/>
                <w:szCs w:val="18"/>
              </w:rPr>
              <w:t xml:space="preserve">Producto 2: </w:t>
            </w:r>
            <w:r>
              <w:rPr>
                <w:sz w:val="18"/>
                <w:szCs w:val="18"/>
              </w:rPr>
              <w:t>Asimilación consciente de la importancia de los hechos y eventos casuales y fortuitos que afectan constantemente a toda clase la personas, cosas, bienes y operaciones financieras incluido el estado, ante la ocurrencia de los mismos.</w:t>
            </w:r>
          </w:p>
        </w:tc>
      </w:tr>
      <w:tr w:rsidR="00990B14" w14:paraId="53CDAE71" w14:textId="77777777">
        <w:trPr>
          <w:cantSplit/>
          <w:jc w:val="center"/>
        </w:trPr>
        <w:tc>
          <w:tcPr>
            <w:tcW w:w="3133" w:type="dxa"/>
            <w:gridSpan w:val="4"/>
            <w:vMerge w:val="restart"/>
            <w:shd w:val="clear" w:color="auto" w:fill="D9E2F3"/>
            <w:vAlign w:val="center"/>
          </w:tcPr>
          <w:p w14:paraId="13F952A9" w14:textId="77777777" w:rsidR="00990B14" w:rsidRDefault="00000000">
            <w:pPr>
              <w:spacing w:before="20" w:after="20"/>
              <w:jc w:val="both"/>
            </w:pPr>
            <w:r>
              <w:rPr>
                <w:sz w:val="18"/>
                <w:szCs w:val="18"/>
              </w:rPr>
              <w:t>2. Exterioriza las características de los diferentes tipos de seguros y clase de coberturas, así como los fines y objetivos de cada clase y/o tipo de seguros vigentes en el territorio nacional.</w:t>
            </w:r>
          </w:p>
        </w:tc>
        <w:tc>
          <w:tcPr>
            <w:tcW w:w="3135" w:type="dxa"/>
            <w:gridSpan w:val="5"/>
            <w:shd w:val="clear" w:color="auto" w:fill="D9E2F3"/>
            <w:vAlign w:val="center"/>
          </w:tcPr>
          <w:p w14:paraId="5EE4C9B7" w14:textId="77777777" w:rsidR="00990B14" w:rsidRDefault="00000000">
            <w:pPr>
              <w:spacing w:before="20" w:after="20"/>
              <w:jc w:val="both"/>
            </w:pPr>
            <w:r>
              <w:rPr>
                <w:sz w:val="18"/>
                <w:szCs w:val="18"/>
              </w:rPr>
              <w:t>2.1 Asimila, analiza e interactúa en equipo escenarios de eventos o hechos (riesgos) para aplicar el instrumento técnico financiero del seguro y ocasionalmente en coaseguro.</w:t>
            </w:r>
          </w:p>
        </w:tc>
        <w:tc>
          <w:tcPr>
            <w:tcW w:w="3137" w:type="dxa"/>
            <w:gridSpan w:val="4"/>
            <w:shd w:val="clear" w:color="auto" w:fill="D9E2F3"/>
            <w:vAlign w:val="center"/>
          </w:tcPr>
          <w:p w14:paraId="0A1B490A" w14:textId="77777777" w:rsidR="00990B14" w:rsidRDefault="00000000">
            <w:pPr>
              <w:spacing w:before="20" w:after="20"/>
              <w:jc w:val="both"/>
            </w:pPr>
            <w:r>
              <w:rPr>
                <w:b/>
                <w:bCs/>
                <w:sz w:val="18"/>
                <w:szCs w:val="18"/>
              </w:rPr>
              <w:t xml:space="preserve">Producto 3: </w:t>
            </w:r>
            <w:r>
              <w:rPr>
                <w:sz w:val="18"/>
                <w:szCs w:val="18"/>
              </w:rPr>
              <w:t>Uso obligatorio de los manuales de cuentas y planes de cuentas aprobados oficialmente por las autoridades de control fiscalización para cada área específica.</w:t>
            </w:r>
          </w:p>
        </w:tc>
      </w:tr>
      <w:tr w:rsidR="00990B14" w14:paraId="2ACE5AF5" w14:textId="77777777">
        <w:trPr>
          <w:cantSplit/>
          <w:jc w:val="center"/>
        </w:trPr>
        <w:tc>
          <w:tcPr>
            <w:tcW w:w="3133" w:type="dxa"/>
            <w:gridSpan w:val="4"/>
            <w:vMerge/>
            <w:shd w:val="clear" w:color="auto" w:fill="D9E2F3"/>
            <w:vAlign w:val="center"/>
          </w:tcPr>
          <w:p w14:paraId="14AA0C88" w14:textId="77777777" w:rsidR="00990B14" w:rsidRDefault="00990B14">
            <w:pPr>
              <w:spacing w:before="20" w:after="20"/>
            </w:pPr>
          </w:p>
        </w:tc>
        <w:tc>
          <w:tcPr>
            <w:tcW w:w="3135" w:type="dxa"/>
            <w:gridSpan w:val="5"/>
            <w:shd w:val="clear" w:color="auto" w:fill="D9E2F3"/>
            <w:vAlign w:val="center"/>
          </w:tcPr>
          <w:p w14:paraId="5AAF6AF6" w14:textId="77777777" w:rsidR="00990B14" w:rsidRDefault="00000000">
            <w:pPr>
              <w:spacing w:before="20" w:after="20"/>
              <w:jc w:val="both"/>
            </w:pPr>
            <w:r>
              <w:rPr>
                <w:sz w:val="18"/>
                <w:szCs w:val="18"/>
              </w:rPr>
              <w:t>2.2 Despliega y analiza en equipo situaciones de escenarios de sucesos casuales y fortuitos posibles de acontecer (riesgos), según cada tipo de seguro para instrumentar políticas, y prácticas de prevención y salvaguarda de bienes cosas y personas. Y operaciones financieras A través del seguro.</w:t>
            </w:r>
          </w:p>
        </w:tc>
        <w:tc>
          <w:tcPr>
            <w:tcW w:w="3137" w:type="dxa"/>
            <w:gridSpan w:val="4"/>
            <w:shd w:val="clear" w:color="auto" w:fill="D9E2F3"/>
            <w:vAlign w:val="center"/>
          </w:tcPr>
          <w:p w14:paraId="16A749FE" w14:textId="77777777" w:rsidR="00990B14" w:rsidRDefault="00000000">
            <w:pPr>
              <w:spacing w:before="20" w:after="20"/>
              <w:jc w:val="both"/>
            </w:pPr>
            <w:r>
              <w:rPr>
                <w:b/>
                <w:bCs/>
                <w:sz w:val="18"/>
                <w:szCs w:val="18"/>
              </w:rPr>
              <w:t xml:space="preserve">Producto 4: </w:t>
            </w:r>
            <w:r>
              <w:rPr>
                <w:sz w:val="18"/>
                <w:szCs w:val="18"/>
              </w:rPr>
              <w:t>Análisis de la póliza de seguro (contrato) para su aplicación en caso de ocurrencia del hecho imprevisto (Siniestro) y colateralmente con el Reaseguro.</w:t>
            </w:r>
          </w:p>
        </w:tc>
      </w:tr>
      <w:tr w:rsidR="00990B14" w14:paraId="7197EF0D" w14:textId="77777777">
        <w:trPr>
          <w:cantSplit/>
          <w:jc w:val="center"/>
        </w:trPr>
        <w:tc>
          <w:tcPr>
            <w:tcW w:w="9405" w:type="dxa"/>
            <w:gridSpan w:val="13"/>
            <w:shd w:val="clear" w:color="auto" w:fill="4472C4"/>
            <w:vAlign w:val="center"/>
          </w:tcPr>
          <w:p w14:paraId="49843FFF" w14:textId="77777777" w:rsidR="00990B14" w:rsidRDefault="00000000">
            <w:pPr>
              <w:keepNext/>
              <w:spacing w:before="20" w:after="20"/>
              <w:jc w:val="center"/>
            </w:pPr>
            <w:r>
              <w:rPr>
                <w:b/>
                <w:bCs/>
                <w:i/>
                <w:iCs/>
                <w:color w:val="FFFFFF"/>
                <w:sz w:val="18"/>
                <w:szCs w:val="18"/>
              </w:rPr>
              <w:t>Evidencias de conocimiento</w:t>
            </w:r>
          </w:p>
        </w:tc>
      </w:tr>
      <w:tr w:rsidR="00990B14" w14:paraId="56C34390" w14:textId="77777777">
        <w:trPr>
          <w:cantSplit/>
          <w:jc w:val="center"/>
        </w:trPr>
        <w:tc>
          <w:tcPr>
            <w:tcW w:w="2349" w:type="dxa"/>
            <w:gridSpan w:val="2"/>
            <w:shd w:val="clear" w:color="auto" w:fill="4472C4"/>
            <w:vAlign w:val="center"/>
          </w:tcPr>
          <w:p w14:paraId="6CBAC89F"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54AF6230" w14:textId="77777777" w:rsidR="00990B14" w:rsidRDefault="00000000">
            <w:pPr>
              <w:keepNext/>
              <w:spacing w:before="20" w:after="20"/>
              <w:jc w:val="both"/>
            </w:pPr>
            <w:r>
              <w:rPr>
                <w:b/>
                <w:bCs/>
                <w:i/>
                <w:iCs/>
                <w:color w:val="FFFFFF"/>
                <w:sz w:val="18"/>
                <w:szCs w:val="18"/>
              </w:rPr>
              <w:t>Contenidos</w:t>
            </w:r>
          </w:p>
          <w:p w14:paraId="6756B0F7"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03CFD24B" w14:textId="77777777" w:rsidR="00990B14" w:rsidRDefault="00000000">
            <w:pPr>
              <w:keepNext/>
              <w:spacing w:before="20" w:after="20"/>
              <w:jc w:val="center"/>
            </w:pPr>
            <w:r>
              <w:rPr>
                <w:b/>
                <w:bCs/>
                <w:i/>
                <w:iCs/>
                <w:color w:val="FFFFFF"/>
                <w:sz w:val="18"/>
                <w:szCs w:val="18"/>
              </w:rPr>
              <w:t>Conocimientos circunstanciales</w:t>
            </w:r>
          </w:p>
        </w:tc>
      </w:tr>
      <w:tr w:rsidR="00990B14" w14:paraId="164906AC" w14:textId="77777777">
        <w:trPr>
          <w:jc w:val="center"/>
        </w:trPr>
        <w:tc>
          <w:tcPr>
            <w:tcW w:w="2349" w:type="dxa"/>
            <w:gridSpan w:val="2"/>
            <w:shd w:val="clear" w:color="auto" w:fill="D9E2F3"/>
          </w:tcPr>
          <w:p w14:paraId="1C03CD9F" w14:textId="77777777" w:rsidR="00990B14" w:rsidRDefault="00000000">
            <w:pPr>
              <w:spacing w:before="20" w:after="40"/>
              <w:jc w:val="both"/>
            </w:pPr>
            <w:r>
              <w:rPr>
                <w:b/>
                <w:bCs/>
                <w:sz w:val="18"/>
                <w:szCs w:val="18"/>
              </w:rPr>
              <w:t>Capítulo 1: Seguro Privado</w:t>
            </w:r>
          </w:p>
          <w:p w14:paraId="58F40C3A" w14:textId="77777777" w:rsidR="00990B14" w:rsidRDefault="00000000">
            <w:pPr>
              <w:spacing w:before="20" w:after="40"/>
              <w:jc w:val="both"/>
            </w:pPr>
            <w:r>
              <w:rPr>
                <w:sz w:val="18"/>
                <w:szCs w:val="18"/>
              </w:rPr>
              <w:t>Tema 1: El Seguro Privado</w:t>
            </w:r>
          </w:p>
          <w:p w14:paraId="2585E124" w14:textId="77777777" w:rsidR="00990B14" w:rsidRDefault="00000000">
            <w:pPr>
              <w:spacing w:before="20" w:after="40"/>
              <w:jc w:val="both"/>
            </w:pPr>
            <w:r>
              <w:rPr>
                <w:sz w:val="18"/>
                <w:szCs w:val="18"/>
              </w:rPr>
              <w:t>Tema 2: Riesgo y Seguro</w:t>
            </w:r>
          </w:p>
          <w:p w14:paraId="1C1AF447" w14:textId="77777777" w:rsidR="00990B14" w:rsidRDefault="00000000">
            <w:pPr>
              <w:spacing w:before="20" w:after="40"/>
              <w:jc w:val="both"/>
            </w:pPr>
            <w:r>
              <w:rPr>
                <w:sz w:val="18"/>
                <w:szCs w:val="18"/>
              </w:rPr>
              <w:t>Tema 3: Clasificación de los Seguros</w:t>
            </w:r>
          </w:p>
          <w:p w14:paraId="511A053C" w14:textId="77777777" w:rsidR="00990B14" w:rsidRDefault="00000000">
            <w:pPr>
              <w:spacing w:before="20" w:after="40"/>
              <w:jc w:val="both"/>
            </w:pPr>
            <w:r>
              <w:rPr>
                <w:sz w:val="18"/>
                <w:szCs w:val="18"/>
              </w:rPr>
              <w:t>Tema 4: Distribución del Riesgo: Coaseguro y Reaseguro</w:t>
            </w:r>
          </w:p>
        </w:tc>
        <w:tc>
          <w:tcPr>
            <w:tcW w:w="4304" w:type="dxa"/>
            <w:gridSpan w:val="8"/>
            <w:shd w:val="clear" w:color="auto" w:fill="D9E2F3"/>
          </w:tcPr>
          <w:p w14:paraId="6E47A689" w14:textId="77777777" w:rsidR="00990B14" w:rsidRDefault="00000000">
            <w:pPr>
              <w:spacing w:before="60" w:after="20"/>
              <w:jc w:val="both"/>
            </w:pPr>
            <w:r>
              <w:rPr>
                <w:b/>
                <w:bCs/>
                <w:sz w:val="18"/>
                <w:szCs w:val="18"/>
              </w:rPr>
              <w:t>TEMA 1: El Seguro Privado</w:t>
            </w:r>
          </w:p>
          <w:p w14:paraId="4DCCCA82" w14:textId="77777777" w:rsidR="00990B14" w:rsidRDefault="00000000">
            <w:pPr>
              <w:spacing w:after="40"/>
              <w:jc w:val="both"/>
            </w:pPr>
            <w:r>
              <w:rPr>
                <w:sz w:val="18"/>
                <w:szCs w:val="18"/>
              </w:rPr>
              <w:t>Antecedentes Históricos. (C)</w:t>
            </w:r>
          </w:p>
          <w:p w14:paraId="4481B711" w14:textId="77777777" w:rsidR="00990B14" w:rsidRDefault="00000000">
            <w:pPr>
              <w:spacing w:after="40"/>
              <w:jc w:val="both"/>
            </w:pPr>
            <w:r>
              <w:rPr>
                <w:sz w:val="18"/>
                <w:szCs w:val="18"/>
              </w:rPr>
              <w:t>Definiciones del Seguro. (C)</w:t>
            </w:r>
          </w:p>
          <w:p w14:paraId="3F58D8D9" w14:textId="77777777" w:rsidR="00990B14" w:rsidRDefault="00000000">
            <w:pPr>
              <w:spacing w:after="40"/>
              <w:jc w:val="both"/>
            </w:pPr>
            <w:r>
              <w:rPr>
                <w:sz w:val="18"/>
                <w:szCs w:val="18"/>
              </w:rPr>
              <w:t>Teorías sobre el Seguro. (C)</w:t>
            </w:r>
          </w:p>
          <w:p w14:paraId="4E83D639" w14:textId="77777777" w:rsidR="00990B14" w:rsidRDefault="00000000">
            <w:pPr>
              <w:spacing w:after="40"/>
              <w:jc w:val="both"/>
            </w:pPr>
            <w:r>
              <w:rPr>
                <w:sz w:val="18"/>
                <w:szCs w:val="18"/>
              </w:rPr>
              <w:t>La Técnica del Seguro y su Relación con Otras Ciencias. (C, P)</w:t>
            </w:r>
          </w:p>
          <w:p w14:paraId="32BE16EF" w14:textId="77777777" w:rsidR="00990B14" w:rsidRDefault="00000000">
            <w:pPr>
              <w:spacing w:after="40"/>
              <w:jc w:val="both"/>
            </w:pPr>
            <w:r>
              <w:rPr>
                <w:sz w:val="18"/>
                <w:szCs w:val="18"/>
              </w:rPr>
              <w:t>Características del Seguro. (C)</w:t>
            </w:r>
          </w:p>
          <w:p w14:paraId="41829A94" w14:textId="77777777" w:rsidR="00990B14" w:rsidRDefault="00000000">
            <w:pPr>
              <w:spacing w:after="40"/>
              <w:jc w:val="both"/>
            </w:pPr>
            <w:r>
              <w:rPr>
                <w:sz w:val="18"/>
                <w:szCs w:val="18"/>
              </w:rPr>
              <w:t>Importancia Económica del Seguro. (C)</w:t>
            </w:r>
          </w:p>
          <w:p w14:paraId="4A70EBBE" w14:textId="77777777" w:rsidR="00990B14" w:rsidRDefault="00000000">
            <w:pPr>
              <w:spacing w:after="40"/>
              <w:jc w:val="both"/>
            </w:pPr>
            <w:r>
              <w:rPr>
                <w:sz w:val="18"/>
                <w:szCs w:val="18"/>
              </w:rPr>
              <w:t>Función Económica del Seguro. (C)</w:t>
            </w:r>
          </w:p>
          <w:p w14:paraId="6910B8E7" w14:textId="77777777" w:rsidR="00990B14" w:rsidRDefault="00000000">
            <w:pPr>
              <w:spacing w:before="60" w:after="20"/>
              <w:jc w:val="both"/>
            </w:pPr>
            <w:r>
              <w:rPr>
                <w:b/>
                <w:bCs/>
                <w:sz w:val="18"/>
                <w:szCs w:val="18"/>
              </w:rPr>
              <w:t>TEMA 2: Riesgo y Seguro</w:t>
            </w:r>
          </w:p>
          <w:p w14:paraId="419270CD" w14:textId="77777777" w:rsidR="00990B14" w:rsidRDefault="00000000">
            <w:pPr>
              <w:spacing w:after="40"/>
              <w:jc w:val="both"/>
            </w:pPr>
            <w:r>
              <w:rPr>
                <w:sz w:val="18"/>
                <w:szCs w:val="18"/>
              </w:rPr>
              <w:t>Definición del Riesgo. (C)</w:t>
            </w:r>
          </w:p>
          <w:p w14:paraId="29FE3E1E" w14:textId="77777777" w:rsidR="00990B14" w:rsidRDefault="00000000">
            <w:pPr>
              <w:spacing w:after="40"/>
              <w:jc w:val="both"/>
            </w:pPr>
            <w:r>
              <w:rPr>
                <w:sz w:val="18"/>
                <w:szCs w:val="18"/>
              </w:rPr>
              <w:t>Clasificación de los Riesgos. (C, P)</w:t>
            </w:r>
          </w:p>
          <w:p w14:paraId="19A1CFFB" w14:textId="77777777" w:rsidR="00990B14" w:rsidRDefault="00000000">
            <w:pPr>
              <w:spacing w:after="40"/>
              <w:jc w:val="both"/>
            </w:pPr>
            <w:r>
              <w:rPr>
                <w:sz w:val="18"/>
                <w:szCs w:val="18"/>
              </w:rPr>
              <w:t>La Póliza de Seguro (El Contrato). (C)</w:t>
            </w:r>
          </w:p>
          <w:p w14:paraId="6FB483CE" w14:textId="77777777" w:rsidR="00990B14" w:rsidRDefault="00000000">
            <w:pPr>
              <w:spacing w:after="40"/>
              <w:jc w:val="both"/>
            </w:pPr>
            <w:r>
              <w:rPr>
                <w:sz w:val="18"/>
                <w:szCs w:val="18"/>
              </w:rPr>
              <w:t>Partes de la Póliza de Seguro (Contrato),Características, Principios. (C, P, A)</w:t>
            </w:r>
          </w:p>
          <w:p w14:paraId="7B317BCE" w14:textId="77777777" w:rsidR="00990B14" w:rsidRDefault="00000000">
            <w:pPr>
              <w:spacing w:before="60" w:after="20"/>
              <w:jc w:val="both"/>
            </w:pPr>
            <w:r>
              <w:rPr>
                <w:b/>
                <w:bCs/>
                <w:sz w:val="18"/>
                <w:szCs w:val="18"/>
              </w:rPr>
              <w:t>TEMA 3: Clasificación de los Seguros</w:t>
            </w:r>
          </w:p>
          <w:p w14:paraId="34678559" w14:textId="77777777" w:rsidR="00990B14" w:rsidRDefault="00000000">
            <w:pPr>
              <w:spacing w:after="40"/>
              <w:jc w:val="both"/>
            </w:pPr>
            <w:r>
              <w:rPr>
                <w:sz w:val="18"/>
                <w:szCs w:val="18"/>
              </w:rPr>
              <w:t>Clasificación de los Seguros, según la naturaleza jurídica del seguro. (C)</w:t>
            </w:r>
          </w:p>
          <w:p w14:paraId="02737663" w14:textId="77777777" w:rsidR="00990B14" w:rsidRDefault="00000000">
            <w:pPr>
              <w:spacing w:after="40"/>
              <w:jc w:val="both"/>
            </w:pPr>
            <w:r>
              <w:rPr>
                <w:sz w:val="18"/>
                <w:szCs w:val="18"/>
              </w:rPr>
              <w:t>Clasificación de las Entidades Aseguradora y Reaseguradoras, según normativa legal. (C)</w:t>
            </w:r>
          </w:p>
          <w:p w14:paraId="22915948" w14:textId="77777777" w:rsidR="00990B14" w:rsidRDefault="00000000">
            <w:pPr>
              <w:spacing w:after="40"/>
              <w:jc w:val="both"/>
            </w:pPr>
            <w:r>
              <w:rPr>
                <w:sz w:val="18"/>
                <w:szCs w:val="18"/>
              </w:rPr>
              <w:t>Clasificación de los Seguros Según la Materia Asegurada; Seguros Generales, Fianzas y Cauciones, Seguro de Personas y Seguros previsionales de índole similar al seguro. (C, P)</w:t>
            </w:r>
          </w:p>
          <w:p w14:paraId="3D1AE42B" w14:textId="77777777" w:rsidR="00990B14" w:rsidRDefault="00000000">
            <w:pPr>
              <w:spacing w:before="60" w:after="20"/>
              <w:jc w:val="both"/>
            </w:pPr>
            <w:r>
              <w:rPr>
                <w:b/>
                <w:bCs/>
                <w:sz w:val="18"/>
                <w:szCs w:val="18"/>
              </w:rPr>
              <w:t>TEMA 4: Retención y Cesión del Riesgo: Coaseguro y Reaseguro</w:t>
            </w:r>
          </w:p>
          <w:p w14:paraId="4BB01B44" w14:textId="77777777" w:rsidR="00990B14" w:rsidRDefault="00000000">
            <w:pPr>
              <w:spacing w:after="40"/>
              <w:jc w:val="both"/>
            </w:pPr>
            <w:r>
              <w:rPr>
                <w:sz w:val="18"/>
                <w:szCs w:val="18"/>
              </w:rPr>
              <w:t>Limitaciones de las Entidades Aseguradoras y Reaseguradoras. (C)</w:t>
            </w:r>
          </w:p>
          <w:p w14:paraId="3E12CAC8" w14:textId="77777777" w:rsidR="00990B14" w:rsidRDefault="00000000">
            <w:pPr>
              <w:spacing w:after="40"/>
              <w:jc w:val="both"/>
            </w:pPr>
            <w:r>
              <w:rPr>
                <w:sz w:val="18"/>
                <w:szCs w:val="18"/>
              </w:rPr>
              <w:t>Coaseguro – Definición. (C)</w:t>
            </w:r>
          </w:p>
          <w:p w14:paraId="71FA34A4" w14:textId="77777777" w:rsidR="00990B14" w:rsidRDefault="00000000">
            <w:pPr>
              <w:spacing w:after="40"/>
              <w:jc w:val="both"/>
            </w:pPr>
            <w:r>
              <w:rPr>
                <w:sz w:val="18"/>
                <w:szCs w:val="18"/>
              </w:rPr>
              <w:t>Coaseguro Activo y Pasivo. (C, P)</w:t>
            </w:r>
          </w:p>
          <w:p w14:paraId="26C27D8D" w14:textId="77777777" w:rsidR="00990B14" w:rsidRDefault="00000000">
            <w:pPr>
              <w:spacing w:after="40"/>
              <w:jc w:val="both"/>
            </w:pPr>
            <w:r>
              <w:rPr>
                <w:sz w:val="18"/>
                <w:szCs w:val="18"/>
              </w:rPr>
              <w:t>Reaseguro – Definición, Objetivo y Clasificación. Reaseguro Activo - Reaseguro Pasivo; Retrocesiones. (C)</w:t>
            </w:r>
          </w:p>
          <w:p w14:paraId="0E575B60" w14:textId="77777777" w:rsidR="00990B14" w:rsidRDefault="00000000">
            <w:pPr>
              <w:spacing w:after="40"/>
              <w:jc w:val="both"/>
            </w:pPr>
            <w:r>
              <w:rPr>
                <w:sz w:val="18"/>
                <w:szCs w:val="18"/>
              </w:rPr>
              <w:t>Reservas Técnicas e Inversiones en Operaciones de Seguros y Reaseguro. (C, P)</w:t>
            </w:r>
          </w:p>
          <w:p w14:paraId="48591A7C" w14:textId="77777777" w:rsidR="00990B14" w:rsidRDefault="00000000">
            <w:pPr>
              <w:spacing w:after="40"/>
              <w:jc w:val="both"/>
            </w:pPr>
            <w:r>
              <w:rPr>
                <w:sz w:val="18"/>
                <w:szCs w:val="18"/>
              </w:rPr>
              <w:t>Operaciones de Reaseguro en el Exterior. (C, P)</w:t>
            </w:r>
          </w:p>
          <w:p w14:paraId="1D59F21F" w14:textId="77777777" w:rsidR="00990B14" w:rsidRDefault="00000000">
            <w:pPr>
              <w:spacing w:after="40"/>
              <w:jc w:val="both"/>
            </w:pPr>
            <w:r>
              <w:rPr>
                <w:sz w:val="18"/>
                <w:szCs w:val="18"/>
              </w:rPr>
              <w:t>Impuesto a las Operaciones de Reaseguro. (C, P)</w:t>
            </w:r>
          </w:p>
        </w:tc>
        <w:tc>
          <w:tcPr>
            <w:tcW w:w="2752" w:type="dxa"/>
            <w:gridSpan w:val="3"/>
            <w:shd w:val="clear" w:color="auto" w:fill="D9E2F3"/>
          </w:tcPr>
          <w:p w14:paraId="1EAA5865" w14:textId="77777777" w:rsidR="00990B14" w:rsidRDefault="00000000">
            <w:pPr>
              <w:numPr>
                <w:ilvl w:val="0"/>
                <w:numId w:val="139"/>
              </w:numPr>
              <w:spacing w:before="10" w:after="10"/>
              <w:jc w:val="both"/>
            </w:pPr>
            <w:r>
              <w:rPr>
                <w:sz w:val="18"/>
                <w:szCs w:val="18"/>
              </w:rPr>
              <w:t>Función social e importancia económica del seguro en el mercado económico financiero.</w:t>
            </w:r>
          </w:p>
          <w:p w14:paraId="080DD8F6" w14:textId="77777777" w:rsidR="00990B14" w:rsidRDefault="00000000">
            <w:pPr>
              <w:numPr>
                <w:ilvl w:val="0"/>
                <w:numId w:val="139"/>
              </w:numPr>
              <w:spacing w:before="10" w:after="10"/>
              <w:jc w:val="both"/>
            </w:pPr>
            <w:r>
              <w:rPr>
                <w:sz w:val="18"/>
                <w:szCs w:val="18"/>
              </w:rPr>
              <w:t>Elementos formales y contractuales de la Póliza de Seguros (contrato). Elementos Personales, Elementos Impersonales de seguro.</w:t>
            </w:r>
          </w:p>
        </w:tc>
      </w:tr>
      <w:tr w:rsidR="00990B14" w14:paraId="13E1F7A4" w14:textId="77777777">
        <w:trPr>
          <w:cantSplit/>
          <w:jc w:val="center"/>
        </w:trPr>
        <w:tc>
          <w:tcPr>
            <w:tcW w:w="9405" w:type="dxa"/>
            <w:gridSpan w:val="13"/>
            <w:shd w:val="clear" w:color="auto" w:fill="D9E2F3"/>
            <w:vAlign w:val="center"/>
          </w:tcPr>
          <w:p w14:paraId="0A91BBE5" w14:textId="77777777" w:rsidR="00990B14" w:rsidRDefault="00000000">
            <w:pPr>
              <w:spacing w:before="20" w:after="20"/>
              <w:jc w:val="both"/>
            </w:pPr>
            <w:r>
              <w:rPr>
                <w:b/>
                <w:bCs/>
                <w:i/>
                <w:iCs/>
                <w:sz w:val="18"/>
                <w:szCs w:val="18"/>
              </w:rPr>
              <w:t xml:space="preserve">Elemento de competencia 2: </w:t>
            </w:r>
            <w:r>
              <w:rPr>
                <w:sz w:val="18"/>
                <w:szCs w:val="18"/>
              </w:rPr>
              <w:t>Elabora los estados financieros de una entidad aseguradora, y/o reaseguradora en base al manual de cuentas y Plan Único de Cuentas de las operaciones de emisión, retención y cesiones al reaseguro, las anulaciones y devoluciones, de corto y largo plazo, activación, análisis de los, siniestros y recupero de siniestro, así como la determinación de las reservas técnicas, el margen de solvencia y el régimen de inversiones de acuerdo con el plan de cuentas, conforme a la normativa vigente.</w:t>
            </w:r>
          </w:p>
        </w:tc>
      </w:tr>
      <w:tr w:rsidR="00990B14" w14:paraId="7702A0DB" w14:textId="77777777">
        <w:trPr>
          <w:cantSplit/>
          <w:jc w:val="center"/>
        </w:trPr>
        <w:tc>
          <w:tcPr>
            <w:tcW w:w="3133" w:type="dxa"/>
            <w:gridSpan w:val="4"/>
            <w:shd w:val="clear" w:color="auto" w:fill="4472C4"/>
            <w:vAlign w:val="center"/>
          </w:tcPr>
          <w:p w14:paraId="5EE611F0"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3B4B0957"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48B230B0" w14:textId="77777777" w:rsidR="00990B14" w:rsidRDefault="00000000">
            <w:pPr>
              <w:keepNext/>
              <w:spacing w:before="20" w:after="20"/>
              <w:jc w:val="center"/>
            </w:pPr>
            <w:r>
              <w:rPr>
                <w:b/>
                <w:bCs/>
                <w:i/>
                <w:iCs/>
                <w:color w:val="FFFFFF"/>
                <w:sz w:val="18"/>
                <w:szCs w:val="18"/>
              </w:rPr>
              <w:t>Evidencias de producto</w:t>
            </w:r>
          </w:p>
        </w:tc>
      </w:tr>
      <w:tr w:rsidR="00990B14" w14:paraId="79B24824" w14:textId="77777777">
        <w:trPr>
          <w:cantSplit/>
          <w:jc w:val="center"/>
        </w:trPr>
        <w:tc>
          <w:tcPr>
            <w:tcW w:w="3133" w:type="dxa"/>
            <w:gridSpan w:val="4"/>
            <w:vMerge w:val="restart"/>
            <w:shd w:val="clear" w:color="auto" w:fill="D9E2F3"/>
            <w:vAlign w:val="center"/>
          </w:tcPr>
          <w:p w14:paraId="3AE1F85B" w14:textId="77777777" w:rsidR="00990B14" w:rsidRDefault="00000000">
            <w:pPr>
              <w:spacing w:before="20" w:after="20"/>
              <w:jc w:val="both"/>
            </w:pPr>
            <w:r>
              <w:rPr>
                <w:sz w:val="18"/>
                <w:szCs w:val="18"/>
              </w:rPr>
              <w:t>1. Registra las operaciones contables, aplicando el plan de cuentas y los procedimientos contables establecidos en la normativa vigente para entidades aseguradoras.</w:t>
            </w:r>
          </w:p>
        </w:tc>
        <w:tc>
          <w:tcPr>
            <w:tcW w:w="3135" w:type="dxa"/>
            <w:gridSpan w:val="5"/>
            <w:shd w:val="clear" w:color="auto" w:fill="D9E2F3"/>
            <w:vAlign w:val="center"/>
          </w:tcPr>
          <w:p w14:paraId="0A018C36" w14:textId="77777777" w:rsidR="00990B14" w:rsidRDefault="00000000">
            <w:pPr>
              <w:spacing w:before="20" w:after="20"/>
              <w:jc w:val="both"/>
            </w:pPr>
            <w:r>
              <w:rPr>
                <w:sz w:val="18"/>
                <w:szCs w:val="18"/>
              </w:rPr>
              <w:t>1.1 Identifica en aula las operaciones del seguro privado y las cuentas correspondientes al plan único de cuentas de entidades aseguradoras.</w:t>
            </w:r>
          </w:p>
        </w:tc>
        <w:tc>
          <w:tcPr>
            <w:tcW w:w="3137" w:type="dxa"/>
            <w:gridSpan w:val="4"/>
            <w:shd w:val="clear" w:color="auto" w:fill="D9E2F3"/>
            <w:vAlign w:val="center"/>
          </w:tcPr>
          <w:p w14:paraId="786C9C3A" w14:textId="77777777" w:rsidR="00990B14" w:rsidRDefault="00000000">
            <w:pPr>
              <w:spacing w:before="20" w:after="20"/>
              <w:jc w:val="both"/>
            </w:pPr>
            <w:r>
              <w:rPr>
                <w:b/>
                <w:bCs/>
                <w:sz w:val="18"/>
                <w:szCs w:val="18"/>
              </w:rPr>
              <w:t xml:space="preserve">Producto 5: </w:t>
            </w:r>
            <w:r>
              <w:rPr>
                <w:sz w:val="18"/>
                <w:szCs w:val="18"/>
              </w:rPr>
              <w:t>Matriz de identificación de cuentas contables para las operaciones de seguros.</w:t>
            </w:r>
          </w:p>
        </w:tc>
      </w:tr>
      <w:tr w:rsidR="00990B14" w14:paraId="3E9F1AE2" w14:textId="77777777">
        <w:trPr>
          <w:cantSplit/>
          <w:jc w:val="center"/>
        </w:trPr>
        <w:tc>
          <w:tcPr>
            <w:tcW w:w="3133" w:type="dxa"/>
            <w:gridSpan w:val="4"/>
            <w:vMerge/>
            <w:shd w:val="clear" w:color="auto" w:fill="D9E2F3"/>
            <w:vAlign w:val="center"/>
          </w:tcPr>
          <w:p w14:paraId="47867CA5" w14:textId="77777777" w:rsidR="00990B14" w:rsidRDefault="00990B14">
            <w:pPr>
              <w:spacing w:before="20" w:after="20"/>
            </w:pPr>
          </w:p>
        </w:tc>
        <w:tc>
          <w:tcPr>
            <w:tcW w:w="3135" w:type="dxa"/>
            <w:gridSpan w:val="5"/>
            <w:shd w:val="clear" w:color="auto" w:fill="D9E2F3"/>
            <w:vAlign w:val="center"/>
          </w:tcPr>
          <w:p w14:paraId="0D68B19E" w14:textId="77777777" w:rsidR="00990B14" w:rsidRDefault="00000000">
            <w:pPr>
              <w:spacing w:before="20" w:after="20"/>
              <w:jc w:val="both"/>
            </w:pPr>
            <w:r>
              <w:rPr>
                <w:sz w:val="18"/>
                <w:szCs w:val="18"/>
              </w:rPr>
              <w:t>1.2 Registra en equipo contablemente las operaciones del seguro privado para la generación de información financiera.</w:t>
            </w:r>
          </w:p>
        </w:tc>
        <w:tc>
          <w:tcPr>
            <w:tcW w:w="3137" w:type="dxa"/>
            <w:gridSpan w:val="4"/>
            <w:shd w:val="clear" w:color="auto" w:fill="D9E2F3"/>
            <w:vAlign w:val="center"/>
          </w:tcPr>
          <w:p w14:paraId="0472AE8D" w14:textId="77777777" w:rsidR="00990B14" w:rsidRDefault="00000000">
            <w:pPr>
              <w:spacing w:before="20" w:after="20"/>
              <w:jc w:val="both"/>
            </w:pPr>
            <w:r>
              <w:rPr>
                <w:b/>
                <w:bCs/>
                <w:sz w:val="18"/>
                <w:szCs w:val="18"/>
              </w:rPr>
              <w:t xml:space="preserve">Producto 6: </w:t>
            </w:r>
            <w:r>
              <w:rPr>
                <w:sz w:val="18"/>
                <w:szCs w:val="18"/>
              </w:rPr>
              <w:t>Registro contable de operaciones del Seguro Privado.</w:t>
            </w:r>
          </w:p>
        </w:tc>
      </w:tr>
      <w:tr w:rsidR="00990B14" w14:paraId="4D12A77C" w14:textId="77777777">
        <w:trPr>
          <w:cantSplit/>
          <w:jc w:val="center"/>
        </w:trPr>
        <w:tc>
          <w:tcPr>
            <w:tcW w:w="3133" w:type="dxa"/>
            <w:gridSpan w:val="4"/>
            <w:vMerge w:val="restart"/>
            <w:shd w:val="clear" w:color="auto" w:fill="D9E2F3"/>
            <w:vAlign w:val="center"/>
          </w:tcPr>
          <w:p w14:paraId="78D72AC3" w14:textId="77777777" w:rsidR="00990B14" w:rsidRDefault="00000000">
            <w:pPr>
              <w:spacing w:before="20" w:after="20"/>
              <w:jc w:val="both"/>
            </w:pPr>
            <w:r>
              <w:rPr>
                <w:sz w:val="18"/>
                <w:szCs w:val="18"/>
              </w:rPr>
              <w:t>2. Elabora los estados financieros de una entidad aseguradora, integrando los registros contables, las reservas técnicas, el margen de solvencia y el régimen de inversiones, aplicando los métodos de cálculo y las disposiciones normativas vigentes.</w:t>
            </w:r>
          </w:p>
        </w:tc>
        <w:tc>
          <w:tcPr>
            <w:tcW w:w="3135" w:type="dxa"/>
            <w:gridSpan w:val="5"/>
            <w:shd w:val="clear" w:color="auto" w:fill="D9E2F3"/>
            <w:vAlign w:val="center"/>
          </w:tcPr>
          <w:p w14:paraId="719072CC" w14:textId="77777777" w:rsidR="00990B14" w:rsidRDefault="00000000">
            <w:pPr>
              <w:spacing w:before="20" w:after="20"/>
              <w:jc w:val="both"/>
            </w:pPr>
            <w:r>
              <w:rPr>
                <w:sz w:val="18"/>
                <w:szCs w:val="18"/>
              </w:rPr>
              <w:t>2.1 Calcula las reservas técnicas y el margen de solvencia, verificando el cumplimiento del régimen de inversiones y la aplicación de normativa vigente.</w:t>
            </w:r>
          </w:p>
        </w:tc>
        <w:tc>
          <w:tcPr>
            <w:tcW w:w="3137" w:type="dxa"/>
            <w:gridSpan w:val="4"/>
            <w:shd w:val="clear" w:color="auto" w:fill="D9E2F3"/>
            <w:vAlign w:val="center"/>
          </w:tcPr>
          <w:p w14:paraId="4D90F4F8" w14:textId="77777777" w:rsidR="00990B14" w:rsidRDefault="00000000">
            <w:pPr>
              <w:spacing w:before="20" w:after="20"/>
              <w:jc w:val="both"/>
            </w:pPr>
            <w:r>
              <w:rPr>
                <w:b/>
                <w:bCs/>
                <w:sz w:val="18"/>
                <w:szCs w:val="18"/>
              </w:rPr>
              <w:t xml:space="preserve">Producto 7: </w:t>
            </w:r>
            <w:r>
              <w:rPr>
                <w:sz w:val="18"/>
                <w:szCs w:val="18"/>
              </w:rPr>
              <w:t>Informe de cumplimiento de la determinación de Reservas Técnicas, márgenes de solvencia e Inversiones.</w:t>
            </w:r>
          </w:p>
        </w:tc>
      </w:tr>
      <w:tr w:rsidR="00990B14" w14:paraId="43BB859B" w14:textId="77777777">
        <w:trPr>
          <w:cantSplit/>
          <w:jc w:val="center"/>
        </w:trPr>
        <w:tc>
          <w:tcPr>
            <w:tcW w:w="3133" w:type="dxa"/>
            <w:gridSpan w:val="4"/>
            <w:vMerge/>
            <w:shd w:val="clear" w:color="auto" w:fill="D9E2F3"/>
            <w:vAlign w:val="center"/>
          </w:tcPr>
          <w:p w14:paraId="5FB00E45" w14:textId="77777777" w:rsidR="00990B14" w:rsidRDefault="00990B14">
            <w:pPr>
              <w:spacing w:before="20" w:after="20"/>
            </w:pPr>
          </w:p>
        </w:tc>
        <w:tc>
          <w:tcPr>
            <w:tcW w:w="3135" w:type="dxa"/>
            <w:gridSpan w:val="5"/>
            <w:shd w:val="clear" w:color="auto" w:fill="D9E2F3"/>
            <w:vAlign w:val="center"/>
          </w:tcPr>
          <w:p w14:paraId="00205F30" w14:textId="77777777" w:rsidR="00990B14" w:rsidRDefault="00000000">
            <w:pPr>
              <w:spacing w:before="20" w:after="20"/>
              <w:jc w:val="both"/>
            </w:pPr>
            <w:r>
              <w:rPr>
                <w:sz w:val="18"/>
                <w:szCs w:val="18"/>
              </w:rPr>
              <w:t>2.2 Elabora en equipo la Información Financiera de una entidad aseguradora, integrando los registros contables y los cálculos técnicos, conforme a la normativa vigente.</w:t>
            </w:r>
          </w:p>
        </w:tc>
        <w:tc>
          <w:tcPr>
            <w:tcW w:w="3137" w:type="dxa"/>
            <w:gridSpan w:val="4"/>
            <w:shd w:val="clear" w:color="auto" w:fill="D9E2F3"/>
            <w:vAlign w:val="center"/>
          </w:tcPr>
          <w:p w14:paraId="74F05A0C" w14:textId="77777777" w:rsidR="00990B14" w:rsidRDefault="00000000">
            <w:pPr>
              <w:spacing w:before="20" w:after="20"/>
              <w:jc w:val="both"/>
            </w:pPr>
            <w:r>
              <w:rPr>
                <w:b/>
                <w:bCs/>
                <w:sz w:val="18"/>
                <w:szCs w:val="18"/>
              </w:rPr>
              <w:t xml:space="preserve">Producto 8: </w:t>
            </w:r>
            <w:r>
              <w:rPr>
                <w:sz w:val="18"/>
                <w:szCs w:val="18"/>
              </w:rPr>
              <w:t>Estados Financieros de una entidad aseguradora.</w:t>
            </w:r>
          </w:p>
        </w:tc>
      </w:tr>
      <w:tr w:rsidR="00990B14" w14:paraId="2DF0E4B3" w14:textId="77777777">
        <w:trPr>
          <w:cantSplit/>
          <w:jc w:val="center"/>
        </w:trPr>
        <w:tc>
          <w:tcPr>
            <w:tcW w:w="9405" w:type="dxa"/>
            <w:gridSpan w:val="13"/>
            <w:shd w:val="clear" w:color="auto" w:fill="4472C4"/>
            <w:vAlign w:val="center"/>
          </w:tcPr>
          <w:p w14:paraId="0C016E4B" w14:textId="77777777" w:rsidR="00990B14" w:rsidRDefault="00000000">
            <w:pPr>
              <w:keepNext/>
              <w:spacing w:before="20" w:after="20"/>
              <w:jc w:val="center"/>
            </w:pPr>
            <w:r>
              <w:rPr>
                <w:b/>
                <w:bCs/>
                <w:i/>
                <w:iCs/>
                <w:color w:val="FFFFFF"/>
                <w:sz w:val="18"/>
                <w:szCs w:val="18"/>
              </w:rPr>
              <w:t>Evidencias de conocimiento</w:t>
            </w:r>
          </w:p>
        </w:tc>
      </w:tr>
      <w:tr w:rsidR="00990B14" w14:paraId="76C65BCC" w14:textId="77777777">
        <w:trPr>
          <w:cantSplit/>
          <w:jc w:val="center"/>
        </w:trPr>
        <w:tc>
          <w:tcPr>
            <w:tcW w:w="2349" w:type="dxa"/>
            <w:gridSpan w:val="2"/>
            <w:shd w:val="clear" w:color="auto" w:fill="4472C4"/>
            <w:vAlign w:val="center"/>
          </w:tcPr>
          <w:p w14:paraId="0D827C60"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61EA1E14" w14:textId="77777777" w:rsidR="00990B14" w:rsidRDefault="00000000">
            <w:pPr>
              <w:keepNext/>
              <w:spacing w:before="20" w:after="20"/>
              <w:jc w:val="both"/>
            </w:pPr>
            <w:r>
              <w:rPr>
                <w:b/>
                <w:bCs/>
                <w:i/>
                <w:iCs/>
                <w:color w:val="FFFFFF"/>
                <w:sz w:val="18"/>
                <w:szCs w:val="18"/>
              </w:rPr>
              <w:t>Contenidos</w:t>
            </w:r>
          </w:p>
          <w:p w14:paraId="6D90CFBC"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677E63C5" w14:textId="77777777" w:rsidR="00990B14" w:rsidRDefault="00000000">
            <w:pPr>
              <w:keepNext/>
              <w:spacing w:before="20" w:after="20"/>
              <w:jc w:val="center"/>
            </w:pPr>
            <w:r>
              <w:rPr>
                <w:b/>
                <w:bCs/>
                <w:i/>
                <w:iCs/>
                <w:color w:val="FFFFFF"/>
                <w:sz w:val="18"/>
                <w:szCs w:val="18"/>
              </w:rPr>
              <w:t>Conocimientos circunstanciales</w:t>
            </w:r>
          </w:p>
        </w:tc>
      </w:tr>
      <w:tr w:rsidR="00990B14" w14:paraId="38B2903F" w14:textId="77777777">
        <w:trPr>
          <w:jc w:val="center"/>
        </w:trPr>
        <w:tc>
          <w:tcPr>
            <w:tcW w:w="2349" w:type="dxa"/>
            <w:gridSpan w:val="2"/>
            <w:shd w:val="clear" w:color="auto" w:fill="D9E2F3"/>
          </w:tcPr>
          <w:p w14:paraId="32BC9C25" w14:textId="77777777" w:rsidR="00990B14" w:rsidRDefault="00000000">
            <w:pPr>
              <w:spacing w:before="20" w:after="40"/>
              <w:jc w:val="both"/>
            </w:pPr>
            <w:r>
              <w:rPr>
                <w:b/>
                <w:bCs/>
                <w:sz w:val="18"/>
                <w:szCs w:val="18"/>
              </w:rPr>
              <w:t>Capítulo 1: Seguro Privado</w:t>
            </w:r>
          </w:p>
          <w:p w14:paraId="08BEF4D0" w14:textId="77777777" w:rsidR="00990B14" w:rsidRDefault="00000000">
            <w:pPr>
              <w:spacing w:before="20" w:after="40"/>
              <w:jc w:val="both"/>
            </w:pPr>
            <w:r>
              <w:rPr>
                <w:sz w:val="18"/>
                <w:szCs w:val="18"/>
              </w:rPr>
              <w:t>Tema 5: Reservas Técnicas y Provisiones</w:t>
            </w:r>
          </w:p>
          <w:p w14:paraId="20C279F9" w14:textId="77777777" w:rsidR="00990B14" w:rsidRDefault="00000000">
            <w:pPr>
              <w:spacing w:before="20" w:after="40"/>
              <w:jc w:val="both"/>
            </w:pPr>
            <w:r>
              <w:rPr>
                <w:sz w:val="18"/>
                <w:szCs w:val="18"/>
              </w:rPr>
              <w:t>Tema 6: Margen de Solvencia y Patrimonio Técnico en las Entidades Aseguradoras</w:t>
            </w:r>
          </w:p>
          <w:p w14:paraId="5FCE17F4" w14:textId="77777777" w:rsidR="00990B14" w:rsidRDefault="00000000">
            <w:pPr>
              <w:spacing w:before="20" w:after="40"/>
              <w:jc w:val="both"/>
            </w:pPr>
            <w:r>
              <w:rPr>
                <w:sz w:val="18"/>
                <w:szCs w:val="18"/>
              </w:rPr>
              <w:t>Tema 7: Régimen de Inversiones de las Compañías Aseguradoras y Reaseguradoras</w:t>
            </w:r>
          </w:p>
          <w:p w14:paraId="0079C4F6" w14:textId="77777777" w:rsidR="00990B14" w:rsidRDefault="00000000">
            <w:pPr>
              <w:spacing w:before="20" w:after="40"/>
              <w:jc w:val="both"/>
            </w:pPr>
            <w:r>
              <w:rPr>
                <w:sz w:val="18"/>
                <w:szCs w:val="18"/>
              </w:rPr>
              <w:t>Tema 8: Siniestros</w:t>
            </w:r>
          </w:p>
          <w:p w14:paraId="5A85B242" w14:textId="77777777" w:rsidR="00990B14" w:rsidRDefault="00000000">
            <w:pPr>
              <w:spacing w:before="20" w:after="40"/>
              <w:jc w:val="both"/>
            </w:pPr>
            <w:r>
              <w:rPr>
                <w:sz w:val="18"/>
                <w:szCs w:val="18"/>
              </w:rPr>
              <w:t>Tema 9: Contabilidad de Sociedades de Seguros</w:t>
            </w:r>
          </w:p>
        </w:tc>
        <w:tc>
          <w:tcPr>
            <w:tcW w:w="4304" w:type="dxa"/>
            <w:gridSpan w:val="8"/>
            <w:shd w:val="clear" w:color="auto" w:fill="D9E2F3"/>
          </w:tcPr>
          <w:p w14:paraId="56148437" w14:textId="77777777" w:rsidR="00990B14" w:rsidRDefault="00000000">
            <w:pPr>
              <w:spacing w:before="60" w:after="20"/>
              <w:jc w:val="both"/>
            </w:pPr>
            <w:r>
              <w:rPr>
                <w:b/>
                <w:bCs/>
                <w:sz w:val="18"/>
                <w:szCs w:val="18"/>
              </w:rPr>
              <w:t>TEMA 5: Reservas Técnicas y Provisiones</w:t>
            </w:r>
          </w:p>
          <w:p w14:paraId="6C21090B" w14:textId="77777777" w:rsidR="00990B14" w:rsidRDefault="00000000">
            <w:pPr>
              <w:spacing w:after="40"/>
              <w:jc w:val="both"/>
            </w:pPr>
            <w:r>
              <w:rPr>
                <w:sz w:val="18"/>
                <w:szCs w:val="18"/>
              </w:rPr>
              <w:t>Reservas Técnicas. Clases. (C)</w:t>
            </w:r>
          </w:p>
          <w:p w14:paraId="4A64EDBF" w14:textId="77777777" w:rsidR="00990B14" w:rsidRDefault="00000000">
            <w:pPr>
              <w:spacing w:after="20"/>
              <w:ind w:left="360" w:hanging="180"/>
              <w:jc w:val="both"/>
            </w:pPr>
            <w:r>
              <w:rPr>
                <w:sz w:val="18"/>
                <w:szCs w:val="18"/>
              </w:rPr>
              <w:t>– Seguros de personas</w:t>
            </w:r>
          </w:p>
          <w:p w14:paraId="1D0190E1" w14:textId="77777777" w:rsidR="00990B14" w:rsidRDefault="00000000">
            <w:pPr>
              <w:spacing w:after="20"/>
              <w:ind w:left="360" w:hanging="180"/>
              <w:jc w:val="both"/>
            </w:pPr>
            <w:r>
              <w:rPr>
                <w:sz w:val="18"/>
                <w:szCs w:val="18"/>
              </w:rPr>
              <w:t>– Reservas Matemáticas de Vida Largo Plazo.</w:t>
            </w:r>
          </w:p>
          <w:p w14:paraId="601FCF12" w14:textId="77777777" w:rsidR="00990B14" w:rsidRDefault="00000000">
            <w:pPr>
              <w:spacing w:after="20"/>
              <w:ind w:left="360" w:hanging="180"/>
              <w:jc w:val="both"/>
            </w:pPr>
            <w:r>
              <w:rPr>
                <w:sz w:val="18"/>
                <w:szCs w:val="18"/>
              </w:rPr>
              <w:t>– Seguros generales – fianzas y cauciones:</w:t>
            </w:r>
          </w:p>
          <w:p w14:paraId="3F57BC62" w14:textId="77777777" w:rsidR="00990B14" w:rsidRDefault="00000000">
            <w:pPr>
              <w:spacing w:after="20"/>
              <w:ind w:left="360" w:hanging="180"/>
              <w:jc w:val="both"/>
            </w:pPr>
            <w:r>
              <w:rPr>
                <w:sz w:val="18"/>
                <w:szCs w:val="18"/>
              </w:rPr>
              <w:t>– Riesgos en Curso</w:t>
            </w:r>
          </w:p>
          <w:p w14:paraId="23E2C316" w14:textId="77777777" w:rsidR="00990B14" w:rsidRDefault="00000000">
            <w:pPr>
              <w:spacing w:after="20"/>
              <w:ind w:left="360" w:hanging="180"/>
              <w:jc w:val="both"/>
            </w:pPr>
            <w:r>
              <w:rPr>
                <w:sz w:val="18"/>
                <w:szCs w:val="18"/>
              </w:rPr>
              <w:t>– Reserva para Siniestros Pendientes</w:t>
            </w:r>
          </w:p>
          <w:p w14:paraId="4D62E168" w14:textId="77777777" w:rsidR="00990B14" w:rsidRDefault="00000000">
            <w:pPr>
              <w:spacing w:after="20"/>
              <w:ind w:left="360" w:hanging="180"/>
              <w:jc w:val="both"/>
            </w:pPr>
            <w:r>
              <w:rPr>
                <w:sz w:val="18"/>
                <w:szCs w:val="18"/>
              </w:rPr>
              <w:t>– Reserva para Primas Por Cobrar</w:t>
            </w:r>
          </w:p>
          <w:p w14:paraId="656E3862" w14:textId="77777777" w:rsidR="00990B14" w:rsidRDefault="00000000">
            <w:pPr>
              <w:spacing w:after="40"/>
              <w:jc w:val="both"/>
            </w:pPr>
            <w:r>
              <w:rPr>
                <w:sz w:val="18"/>
                <w:szCs w:val="18"/>
              </w:rPr>
              <w:t>Características de las Reservas para Seguros de bienes y cosas. (C)</w:t>
            </w:r>
          </w:p>
          <w:p w14:paraId="5075ED21" w14:textId="77777777" w:rsidR="00990B14" w:rsidRDefault="00000000">
            <w:pPr>
              <w:spacing w:after="40"/>
              <w:jc w:val="both"/>
            </w:pPr>
            <w:r>
              <w:rPr>
                <w:sz w:val="18"/>
                <w:szCs w:val="18"/>
              </w:rPr>
              <w:t>Métodos de Cálculo de las Reservas de Seguros de personas. Matemáticas de Vida. (C, P)</w:t>
            </w:r>
          </w:p>
          <w:p w14:paraId="5716E98C" w14:textId="77777777" w:rsidR="00990B14" w:rsidRDefault="00000000">
            <w:pPr>
              <w:spacing w:after="40"/>
              <w:jc w:val="both"/>
            </w:pPr>
            <w:r>
              <w:rPr>
                <w:sz w:val="18"/>
                <w:szCs w:val="18"/>
              </w:rPr>
              <w:t>Proceso contable. (C, P)</w:t>
            </w:r>
          </w:p>
          <w:p w14:paraId="250A828B" w14:textId="77777777" w:rsidR="00990B14" w:rsidRDefault="00000000">
            <w:pPr>
              <w:spacing w:before="60" w:after="20"/>
              <w:jc w:val="both"/>
            </w:pPr>
            <w:r>
              <w:rPr>
                <w:b/>
                <w:bCs/>
                <w:sz w:val="18"/>
                <w:szCs w:val="18"/>
              </w:rPr>
              <w:t>TEMA 6: Margen de Solvencia y Patrimonio Técnico en las Entidades Aseguradoras</w:t>
            </w:r>
          </w:p>
          <w:p w14:paraId="1F3ECA71" w14:textId="77777777" w:rsidR="00990B14" w:rsidRDefault="00000000">
            <w:pPr>
              <w:spacing w:after="40"/>
              <w:jc w:val="both"/>
            </w:pPr>
            <w:r>
              <w:rPr>
                <w:sz w:val="18"/>
                <w:szCs w:val="18"/>
              </w:rPr>
              <w:t>Margen de Solvencia de Corto y Largo Plazo. (C)</w:t>
            </w:r>
          </w:p>
          <w:p w14:paraId="46E91084" w14:textId="77777777" w:rsidR="00990B14" w:rsidRDefault="00000000">
            <w:pPr>
              <w:spacing w:after="40"/>
              <w:jc w:val="both"/>
            </w:pPr>
            <w:r>
              <w:rPr>
                <w:sz w:val="18"/>
                <w:szCs w:val="18"/>
              </w:rPr>
              <w:t>Proceso contable. (C, P)</w:t>
            </w:r>
          </w:p>
          <w:p w14:paraId="762B6C05" w14:textId="77777777" w:rsidR="00990B14" w:rsidRDefault="00000000">
            <w:pPr>
              <w:spacing w:before="60" w:after="20"/>
              <w:jc w:val="both"/>
            </w:pPr>
            <w:r>
              <w:rPr>
                <w:b/>
                <w:bCs/>
                <w:sz w:val="18"/>
                <w:szCs w:val="18"/>
              </w:rPr>
              <w:t>TEMA 7: Régimen de Inversiones de las Compañías Aseguradoras y Reaseguradoras.</w:t>
            </w:r>
          </w:p>
          <w:p w14:paraId="7ADBF45F" w14:textId="77777777" w:rsidR="00990B14" w:rsidRDefault="00000000">
            <w:pPr>
              <w:spacing w:after="40"/>
              <w:jc w:val="both"/>
            </w:pPr>
            <w:r>
              <w:rPr>
                <w:sz w:val="18"/>
                <w:szCs w:val="18"/>
              </w:rPr>
              <w:t>Límites de Inversión para Compañías Aseguradoras. (C, P, T)</w:t>
            </w:r>
          </w:p>
          <w:p w14:paraId="633AEAC1" w14:textId="77777777" w:rsidR="00990B14" w:rsidRDefault="00000000">
            <w:pPr>
              <w:spacing w:before="60" w:after="20"/>
              <w:jc w:val="both"/>
            </w:pPr>
            <w:r>
              <w:rPr>
                <w:b/>
                <w:bCs/>
                <w:sz w:val="18"/>
                <w:szCs w:val="18"/>
              </w:rPr>
              <w:t>TEMA 8: Siniestros</w:t>
            </w:r>
          </w:p>
          <w:p w14:paraId="664CCCE5" w14:textId="77777777" w:rsidR="00990B14" w:rsidRDefault="00000000">
            <w:pPr>
              <w:spacing w:after="40"/>
              <w:jc w:val="both"/>
            </w:pPr>
            <w:r>
              <w:rPr>
                <w:sz w:val="18"/>
                <w:szCs w:val="18"/>
              </w:rPr>
              <w:t>Concepto de Siniestro. (C)</w:t>
            </w:r>
          </w:p>
          <w:p w14:paraId="2B5D64C7" w14:textId="77777777" w:rsidR="00990B14" w:rsidRDefault="00000000">
            <w:pPr>
              <w:spacing w:after="40"/>
              <w:jc w:val="both"/>
            </w:pPr>
            <w:r>
              <w:rPr>
                <w:sz w:val="18"/>
                <w:szCs w:val="18"/>
              </w:rPr>
              <w:t>Ocurrencia del hecho inesperado, Consumación del Riesgo (Siniestro). (C)</w:t>
            </w:r>
          </w:p>
          <w:p w14:paraId="38EFFC3D" w14:textId="77777777" w:rsidR="00990B14" w:rsidRDefault="00000000">
            <w:pPr>
              <w:spacing w:after="40"/>
              <w:jc w:val="both"/>
            </w:pPr>
            <w:r>
              <w:rPr>
                <w:sz w:val="18"/>
                <w:szCs w:val="18"/>
              </w:rPr>
              <w:t>Proceso de la ocurrencia y materialización del Siniestro. (C)</w:t>
            </w:r>
          </w:p>
          <w:p w14:paraId="69AC70BF" w14:textId="77777777" w:rsidR="00990B14" w:rsidRDefault="00000000">
            <w:pPr>
              <w:spacing w:after="40"/>
              <w:jc w:val="both"/>
            </w:pPr>
            <w:r>
              <w:rPr>
                <w:sz w:val="18"/>
                <w:szCs w:val="18"/>
              </w:rPr>
              <w:t>Evidencia del siniestro. (C)</w:t>
            </w:r>
          </w:p>
          <w:p w14:paraId="176E3F42" w14:textId="77777777" w:rsidR="00990B14" w:rsidRDefault="00000000">
            <w:pPr>
              <w:spacing w:after="40"/>
              <w:jc w:val="both"/>
            </w:pPr>
            <w:r>
              <w:rPr>
                <w:sz w:val="18"/>
                <w:szCs w:val="18"/>
              </w:rPr>
              <w:t>Proceso contable. (C, P)</w:t>
            </w:r>
          </w:p>
          <w:p w14:paraId="7B7D81B8" w14:textId="77777777" w:rsidR="00990B14" w:rsidRDefault="00000000">
            <w:pPr>
              <w:spacing w:before="60" w:after="20"/>
              <w:jc w:val="both"/>
            </w:pPr>
            <w:r>
              <w:rPr>
                <w:b/>
                <w:bCs/>
                <w:sz w:val="18"/>
                <w:szCs w:val="18"/>
              </w:rPr>
              <w:t>TEMA 9: Contabilidad de Entidades Aseguradores Reaseguradores, Intermediarios y Auxiliares del Seguro</w:t>
            </w:r>
          </w:p>
          <w:p w14:paraId="18E65945" w14:textId="77777777" w:rsidR="00990B14" w:rsidRDefault="00000000">
            <w:pPr>
              <w:spacing w:after="40"/>
              <w:jc w:val="both"/>
            </w:pPr>
            <w:r>
              <w:rPr>
                <w:sz w:val="18"/>
                <w:szCs w:val="18"/>
              </w:rPr>
              <w:t>Contabilidad de las Entidades Aseguradoras Reaseguradores, Intermediarios y Auxiliares. (C, P)</w:t>
            </w:r>
          </w:p>
          <w:p w14:paraId="57FB756C" w14:textId="77777777" w:rsidR="00990B14" w:rsidRDefault="00000000">
            <w:pPr>
              <w:spacing w:after="40"/>
              <w:jc w:val="both"/>
            </w:pPr>
            <w:r>
              <w:rPr>
                <w:sz w:val="18"/>
                <w:szCs w:val="18"/>
              </w:rPr>
              <w:t>Manual de Cuentas y Plan Único de Cuentas. (C, P)</w:t>
            </w:r>
          </w:p>
          <w:p w14:paraId="64D48367" w14:textId="77777777" w:rsidR="00990B14" w:rsidRDefault="00000000">
            <w:pPr>
              <w:spacing w:after="40"/>
              <w:jc w:val="both"/>
            </w:pPr>
            <w:r>
              <w:rPr>
                <w:sz w:val="18"/>
                <w:szCs w:val="18"/>
              </w:rPr>
              <w:t>Sistema de Liquidación de Primas y Registro Contable de las primas de seguros. (C, P)</w:t>
            </w:r>
          </w:p>
          <w:p w14:paraId="47C1F816" w14:textId="77777777" w:rsidR="00990B14" w:rsidRDefault="00000000">
            <w:pPr>
              <w:spacing w:after="40"/>
              <w:jc w:val="both"/>
            </w:pPr>
            <w:r>
              <w:rPr>
                <w:sz w:val="18"/>
                <w:szCs w:val="18"/>
              </w:rPr>
              <w:t>Seguros de Largo Plazo (Diferidos). (C, P)</w:t>
            </w:r>
          </w:p>
          <w:p w14:paraId="77572C85" w14:textId="77777777" w:rsidR="00990B14" w:rsidRDefault="00000000">
            <w:pPr>
              <w:spacing w:after="40"/>
              <w:jc w:val="both"/>
            </w:pPr>
            <w:r>
              <w:rPr>
                <w:sz w:val="18"/>
                <w:szCs w:val="18"/>
              </w:rPr>
              <w:t>Consideraciones Generales NIIF 17 Contratos de Seguros. (C)</w:t>
            </w:r>
          </w:p>
          <w:p w14:paraId="6653E3EC" w14:textId="77777777" w:rsidR="00990B14" w:rsidRDefault="00000000">
            <w:pPr>
              <w:spacing w:after="40"/>
              <w:jc w:val="both"/>
            </w:pPr>
            <w:r>
              <w:rPr>
                <w:sz w:val="18"/>
                <w:szCs w:val="18"/>
              </w:rPr>
              <w:t>Estados Financieros de Entidades Aseguradoras. (C, P)</w:t>
            </w:r>
          </w:p>
        </w:tc>
        <w:tc>
          <w:tcPr>
            <w:tcW w:w="2752" w:type="dxa"/>
            <w:gridSpan w:val="3"/>
            <w:shd w:val="clear" w:color="auto" w:fill="D9E2F3"/>
          </w:tcPr>
          <w:p w14:paraId="3B5BCD72" w14:textId="77777777" w:rsidR="00990B14" w:rsidRDefault="00000000">
            <w:pPr>
              <w:numPr>
                <w:ilvl w:val="0"/>
                <w:numId w:val="139"/>
              </w:numPr>
              <w:spacing w:before="10" w:after="10"/>
              <w:jc w:val="both"/>
            </w:pPr>
            <w:r>
              <w:rPr>
                <w:sz w:val="18"/>
                <w:szCs w:val="18"/>
              </w:rPr>
              <w:t>Determinación del patrimonio técnico requerido y respaldo patrimonial de la entidad aseguradora.</w:t>
            </w:r>
          </w:p>
          <w:p w14:paraId="4BE559CB" w14:textId="77777777" w:rsidR="00990B14" w:rsidRDefault="00000000">
            <w:pPr>
              <w:numPr>
                <w:ilvl w:val="0"/>
                <w:numId w:val="139"/>
              </w:numPr>
              <w:spacing w:before="10" w:after="10"/>
              <w:jc w:val="both"/>
            </w:pPr>
            <w:r>
              <w:rPr>
                <w:sz w:val="18"/>
                <w:szCs w:val="18"/>
              </w:rPr>
              <w:t>Criterios técnicos, financieros y de control operativo en la gestión de carteras de inversión del sector asegurador.</w:t>
            </w:r>
          </w:p>
        </w:tc>
      </w:tr>
      <w:tr w:rsidR="00990B14" w14:paraId="082595BD" w14:textId="77777777">
        <w:trPr>
          <w:cantSplit/>
          <w:jc w:val="center"/>
        </w:trPr>
        <w:tc>
          <w:tcPr>
            <w:tcW w:w="9405" w:type="dxa"/>
            <w:gridSpan w:val="13"/>
            <w:shd w:val="clear" w:color="auto" w:fill="D9E2F3"/>
            <w:vAlign w:val="center"/>
          </w:tcPr>
          <w:p w14:paraId="35549003" w14:textId="77777777" w:rsidR="00990B14" w:rsidRDefault="00000000">
            <w:pPr>
              <w:spacing w:before="20" w:after="20"/>
              <w:jc w:val="both"/>
            </w:pPr>
            <w:r>
              <w:rPr>
                <w:b/>
                <w:bCs/>
                <w:i/>
                <w:iCs/>
                <w:sz w:val="18"/>
                <w:szCs w:val="18"/>
              </w:rPr>
              <w:t xml:space="preserve">Elemento de competencia 3: </w:t>
            </w:r>
            <w:r>
              <w:rPr>
                <w:sz w:val="18"/>
                <w:szCs w:val="18"/>
              </w:rPr>
              <w:t>Describe la información financiera y el marco jurídico del Seguro Publico (Social) en Bolivia, identificando las instituciones responsables de la Gestión administración y Control del Seguro social de corto, así como del Seguro social de largo plazo, evaluando las cotizaciones y las prestaciones e identificando a los beneficiarios directos e indirectos de los riesgos de corto de corto y largo plazo.</w:t>
            </w:r>
          </w:p>
        </w:tc>
      </w:tr>
      <w:tr w:rsidR="00990B14" w14:paraId="519C6B94" w14:textId="77777777">
        <w:trPr>
          <w:cantSplit/>
          <w:jc w:val="center"/>
        </w:trPr>
        <w:tc>
          <w:tcPr>
            <w:tcW w:w="3133" w:type="dxa"/>
            <w:gridSpan w:val="4"/>
            <w:shd w:val="clear" w:color="auto" w:fill="4472C4"/>
            <w:vAlign w:val="center"/>
          </w:tcPr>
          <w:p w14:paraId="24EE348D"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6162C43C"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250F28C9" w14:textId="77777777" w:rsidR="00990B14" w:rsidRDefault="00000000">
            <w:pPr>
              <w:keepNext/>
              <w:spacing w:before="20" w:after="20"/>
              <w:jc w:val="center"/>
            </w:pPr>
            <w:r>
              <w:rPr>
                <w:b/>
                <w:bCs/>
                <w:i/>
                <w:iCs/>
                <w:color w:val="FFFFFF"/>
                <w:sz w:val="18"/>
                <w:szCs w:val="18"/>
              </w:rPr>
              <w:t>Evidencias de producto</w:t>
            </w:r>
          </w:p>
        </w:tc>
      </w:tr>
      <w:tr w:rsidR="00990B14" w14:paraId="0805F963" w14:textId="77777777">
        <w:trPr>
          <w:cantSplit/>
          <w:jc w:val="center"/>
        </w:trPr>
        <w:tc>
          <w:tcPr>
            <w:tcW w:w="3133" w:type="dxa"/>
            <w:gridSpan w:val="4"/>
            <w:vMerge w:val="restart"/>
            <w:shd w:val="clear" w:color="auto" w:fill="D9E2F3"/>
            <w:vAlign w:val="center"/>
          </w:tcPr>
          <w:p w14:paraId="78D7EE52" w14:textId="77777777" w:rsidR="00990B14" w:rsidRDefault="00000000">
            <w:pPr>
              <w:spacing w:before="20" w:after="20"/>
              <w:jc w:val="both"/>
            </w:pPr>
            <w:r>
              <w:rPr>
                <w:sz w:val="18"/>
                <w:szCs w:val="18"/>
              </w:rPr>
              <w:t>1. Refiere el marco jurídico Institucional, la estructura funcional administrativa, operativa y información financiera de las entidades a cargo del Seguro Social de corto y Largo Plazo, Así como del Seguro Universal de Salud “SUS”, según la normativa jurídica vigente.</w:t>
            </w:r>
          </w:p>
        </w:tc>
        <w:tc>
          <w:tcPr>
            <w:tcW w:w="3135" w:type="dxa"/>
            <w:gridSpan w:val="5"/>
            <w:shd w:val="clear" w:color="auto" w:fill="D9E2F3"/>
            <w:vAlign w:val="center"/>
          </w:tcPr>
          <w:p w14:paraId="0EDEACAA" w14:textId="77777777" w:rsidR="00990B14" w:rsidRDefault="00000000">
            <w:pPr>
              <w:spacing w:before="20" w:after="20"/>
              <w:jc w:val="both"/>
            </w:pPr>
            <w:r>
              <w:rPr>
                <w:sz w:val="18"/>
                <w:szCs w:val="18"/>
              </w:rPr>
              <w:t>1.1 Expone en equipo la estructura funcional, organización e institucional, así como el financiamiento del Seguro Social a Corto y Largo Plazo, diferenciando las funciones de cada entidad y el destino de las contribuciones patronales y aportes laborales</w:t>
            </w:r>
          </w:p>
        </w:tc>
        <w:tc>
          <w:tcPr>
            <w:tcW w:w="3137" w:type="dxa"/>
            <w:gridSpan w:val="4"/>
            <w:shd w:val="clear" w:color="auto" w:fill="D9E2F3"/>
            <w:vAlign w:val="center"/>
          </w:tcPr>
          <w:p w14:paraId="0F92A664" w14:textId="77777777" w:rsidR="00990B14" w:rsidRDefault="00000000">
            <w:pPr>
              <w:spacing w:before="20" w:after="20"/>
              <w:jc w:val="both"/>
            </w:pPr>
            <w:r>
              <w:rPr>
                <w:b/>
                <w:bCs/>
                <w:sz w:val="18"/>
                <w:szCs w:val="18"/>
              </w:rPr>
              <w:t xml:space="preserve">Producto 9: </w:t>
            </w:r>
            <w:r>
              <w:rPr>
                <w:sz w:val="18"/>
                <w:szCs w:val="18"/>
              </w:rPr>
              <w:t>Estímulo en el aspecto cognitivo la parte conceptual jurídica, técnica y descriptiva de la estructura institucional del Seguro Social a Corto y Largo Plazo, S.U.S., así como de la universalidad de los mismos</w:t>
            </w:r>
          </w:p>
        </w:tc>
      </w:tr>
      <w:tr w:rsidR="00990B14" w14:paraId="0004C31C" w14:textId="77777777">
        <w:trPr>
          <w:cantSplit/>
          <w:jc w:val="center"/>
        </w:trPr>
        <w:tc>
          <w:tcPr>
            <w:tcW w:w="3133" w:type="dxa"/>
            <w:gridSpan w:val="4"/>
            <w:vMerge/>
            <w:shd w:val="clear" w:color="auto" w:fill="D9E2F3"/>
            <w:vAlign w:val="center"/>
          </w:tcPr>
          <w:p w14:paraId="683D0123" w14:textId="77777777" w:rsidR="00990B14" w:rsidRDefault="00990B14">
            <w:pPr>
              <w:spacing w:before="20" w:after="20"/>
            </w:pPr>
          </w:p>
        </w:tc>
        <w:tc>
          <w:tcPr>
            <w:tcW w:w="3135" w:type="dxa"/>
            <w:gridSpan w:val="5"/>
            <w:shd w:val="clear" w:color="auto" w:fill="D9E2F3"/>
            <w:vAlign w:val="center"/>
          </w:tcPr>
          <w:p w14:paraId="07618212" w14:textId="77777777" w:rsidR="00990B14" w:rsidRDefault="00000000">
            <w:pPr>
              <w:spacing w:before="20" w:after="20"/>
              <w:jc w:val="both"/>
            </w:pPr>
            <w:r>
              <w:rPr>
                <w:sz w:val="18"/>
                <w:szCs w:val="18"/>
              </w:rPr>
              <w:t>1.2 Analiza en aula casos prácticos de prestaciones de los Seguros de Corto Plazo (Enfermedad, Maternidad y R.P), Paralelamente se analiza las coberturas del Seguro de Largo Plazo (Rentas de vejez, invalidez, parcial y total permanentes, muerte y defunción identificando, los beneficiarios directos e indirectos del Seguro Social a Largo Plazo.</w:t>
            </w:r>
          </w:p>
        </w:tc>
        <w:tc>
          <w:tcPr>
            <w:tcW w:w="3137" w:type="dxa"/>
            <w:gridSpan w:val="4"/>
            <w:shd w:val="clear" w:color="auto" w:fill="D9E2F3"/>
            <w:vAlign w:val="center"/>
          </w:tcPr>
          <w:p w14:paraId="42C7A4A9" w14:textId="77777777" w:rsidR="00990B14" w:rsidRDefault="00000000">
            <w:pPr>
              <w:spacing w:before="20" w:after="20"/>
              <w:jc w:val="both"/>
            </w:pPr>
            <w:r>
              <w:rPr>
                <w:b/>
                <w:bCs/>
                <w:sz w:val="18"/>
                <w:szCs w:val="18"/>
              </w:rPr>
              <w:t xml:space="preserve">Producto 10: </w:t>
            </w:r>
            <w:r>
              <w:rPr>
                <w:sz w:val="18"/>
                <w:szCs w:val="18"/>
              </w:rPr>
              <w:t>Ejecución y análisis de casos prácticos de aplicación tanto de las prestaciones del Seguro Social de Corto Plazo como también de las Prestaciones de Largo Plazo.</w:t>
            </w:r>
          </w:p>
        </w:tc>
      </w:tr>
      <w:tr w:rsidR="00990B14" w14:paraId="1B3E0522" w14:textId="77777777">
        <w:trPr>
          <w:cantSplit/>
          <w:jc w:val="center"/>
        </w:trPr>
        <w:tc>
          <w:tcPr>
            <w:tcW w:w="3133" w:type="dxa"/>
            <w:gridSpan w:val="4"/>
            <w:vMerge w:val="restart"/>
            <w:shd w:val="clear" w:color="auto" w:fill="D9E2F3"/>
            <w:vAlign w:val="center"/>
          </w:tcPr>
          <w:p w14:paraId="51BDC93C" w14:textId="77777777" w:rsidR="00990B14" w:rsidRDefault="00000000">
            <w:pPr>
              <w:spacing w:before="20" w:after="20"/>
              <w:jc w:val="both"/>
            </w:pPr>
            <w:r>
              <w:rPr>
                <w:sz w:val="18"/>
                <w:szCs w:val="18"/>
              </w:rPr>
              <w:t>2. Describe la estructura organizacional funcional institucional, tuición, forma de financiamiento económico financiera y las prestaciones de los Seguro Sociales tanto a Corto Plazo, como Largo Plazo identificando la aplicación de suso, prestaciones y asignaciones a sus beneficiarios en cada caso en particular y riesgos profesionales, conforme a la normativa vigente.</w:t>
            </w:r>
          </w:p>
        </w:tc>
        <w:tc>
          <w:tcPr>
            <w:tcW w:w="3135" w:type="dxa"/>
            <w:gridSpan w:val="5"/>
            <w:shd w:val="clear" w:color="auto" w:fill="D9E2F3"/>
            <w:vAlign w:val="center"/>
          </w:tcPr>
          <w:p w14:paraId="78DDE840" w14:textId="77777777" w:rsidR="00990B14" w:rsidRDefault="00000000">
            <w:pPr>
              <w:spacing w:before="20" w:after="20"/>
              <w:jc w:val="both"/>
            </w:pPr>
            <w:r>
              <w:rPr>
                <w:sz w:val="18"/>
                <w:szCs w:val="18"/>
              </w:rPr>
              <w:t>2.1 Identifica en aula la estructura institucional del Seguro Social a Corto Plazo y su fuente de financiamiento, verificando la aplicación de los recursos, distinguiendo las funciones de administración y del servicio social.</w:t>
            </w:r>
          </w:p>
        </w:tc>
        <w:tc>
          <w:tcPr>
            <w:tcW w:w="3137" w:type="dxa"/>
            <w:gridSpan w:val="4"/>
            <w:shd w:val="clear" w:color="auto" w:fill="D9E2F3"/>
            <w:vAlign w:val="center"/>
          </w:tcPr>
          <w:p w14:paraId="7423C4B3" w14:textId="77777777" w:rsidR="00990B14" w:rsidRDefault="00000000">
            <w:pPr>
              <w:spacing w:before="20" w:after="20"/>
              <w:jc w:val="both"/>
            </w:pPr>
            <w:r>
              <w:rPr>
                <w:b/>
                <w:bCs/>
                <w:sz w:val="18"/>
                <w:szCs w:val="18"/>
              </w:rPr>
              <w:t xml:space="preserve">Producto 11: </w:t>
            </w:r>
            <w:r>
              <w:rPr>
                <w:sz w:val="18"/>
                <w:szCs w:val="18"/>
              </w:rPr>
              <w:t>Diseño de una estructura organizacional de una Entidad de Seguro Social de largo plazo (GESTORA PUBLICA) y descriptiva de sus funciones y atribuciones.</w:t>
            </w:r>
          </w:p>
        </w:tc>
      </w:tr>
      <w:tr w:rsidR="00990B14" w14:paraId="2975B4BD" w14:textId="77777777">
        <w:trPr>
          <w:cantSplit/>
          <w:jc w:val="center"/>
        </w:trPr>
        <w:tc>
          <w:tcPr>
            <w:tcW w:w="3133" w:type="dxa"/>
            <w:gridSpan w:val="4"/>
            <w:vMerge/>
            <w:shd w:val="clear" w:color="auto" w:fill="D9E2F3"/>
            <w:vAlign w:val="center"/>
          </w:tcPr>
          <w:p w14:paraId="3557B7CD" w14:textId="77777777" w:rsidR="00990B14" w:rsidRDefault="00990B14">
            <w:pPr>
              <w:spacing w:before="20" w:after="20"/>
            </w:pPr>
          </w:p>
        </w:tc>
        <w:tc>
          <w:tcPr>
            <w:tcW w:w="3135" w:type="dxa"/>
            <w:gridSpan w:val="5"/>
            <w:shd w:val="clear" w:color="auto" w:fill="D9E2F3"/>
            <w:vAlign w:val="center"/>
          </w:tcPr>
          <w:p w14:paraId="01331422" w14:textId="77777777" w:rsidR="00990B14" w:rsidRDefault="00000000">
            <w:pPr>
              <w:spacing w:before="20" w:after="20"/>
              <w:jc w:val="both"/>
            </w:pPr>
            <w:r>
              <w:rPr>
                <w:sz w:val="18"/>
                <w:szCs w:val="18"/>
              </w:rPr>
              <w:t>2.2 Elabora y sustenta en equipo el análisis contable-financiero de una entidad de Seguridad Social de Corto Plazo de prestaciones de: Enfermedad, Maternidad y Riesgos Profesionales.</w:t>
            </w:r>
          </w:p>
        </w:tc>
        <w:tc>
          <w:tcPr>
            <w:tcW w:w="3137" w:type="dxa"/>
            <w:gridSpan w:val="4"/>
            <w:shd w:val="clear" w:color="auto" w:fill="D9E2F3"/>
            <w:vAlign w:val="center"/>
          </w:tcPr>
          <w:p w14:paraId="1F981BF8" w14:textId="77777777" w:rsidR="00990B14" w:rsidRDefault="00000000">
            <w:pPr>
              <w:spacing w:before="20" w:after="20"/>
              <w:jc w:val="both"/>
            </w:pPr>
            <w:r>
              <w:rPr>
                <w:b/>
                <w:bCs/>
                <w:sz w:val="18"/>
                <w:szCs w:val="18"/>
              </w:rPr>
              <w:t xml:space="preserve">Producto 12: </w:t>
            </w:r>
            <w:r>
              <w:rPr>
                <w:sz w:val="18"/>
                <w:szCs w:val="18"/>
              </w:rPr>
              <w:t>Informe de análisis de casos prácticos de aplicación del Seguro Social a Corto Plazo. Demostración de las prestaciones en Especie y en dinero, como así también de los subsidios</w:t>
            </w:r>
          </w:p>
        </w:tc>
      </w:tr>
      <w:tr w:rsidR="00990B14" w14:paraId="544327BD" w14:textId="77777777">
        <w:trPr>
          <w:cantSplit/>
          <w:jc w:val="center"/>
        </w:trPr>
        <w:tc>
          <w:tcPr>
            <w:tcW w:w="9405" w:type="dxa"/>
            <w:gridSpan w:val="13"/>
            <w:shd w:val="clear" w:color="auto" w:fill="4472C4"/>
            <w:vAlign w:val="center"/>
          </w:tcPr>
          <w:p w14:paraId="23A38C1E" w14:textId="77777777" w:rsidR="00990B14" w:rsidRDefault="00000000">
            <w:pPr>
              <w:keepNext/>
              <w:spacing w:before="20" w:after="20"/>
              <w:jc w:val="center"/>
            </w:pPr>
            <w:r>
              <w:rPr>
                <w:b/>
                <w:bCs/>
                <w:i/>
                <w:iCs/>
                <w:color w:val="FFFFFF"/>
                <w:sz w:val="18"/>
                <w:szCs w:val="18"/>
              </w:rPr>
              <w:t>Evidencias de conocimiento</w:t>
            </w:r>
          </w:p>
        </w:tc>
      </w:tr>
      <w:tr w:rsidR="00990B14" w14:paraId="401C63D0" w14:textId="77777777">
        <w:trPr>
          <w:cantSplit/>
          <w:jc w:val="center"/>
        </w:trPr>
        <w:tc>
          <w:tcPr>
            <w:tcW w:w="2349" w:type="dxa"/>
            <w:gridSpan w:val="2"/>
            <w:shd w:val="clear" w:color="auto" w:fill="4472C4"/>
            <w:vAlign w:val="center"/>
          </w:tcPr>
          <w:p w14:paraId="2F584EC5"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69D2BA46" w14:textId="77777777" w:rsidR="00990B14" w:rsidRDefault="00000000">
            <w:pPr>
              <w:keepNext/>
              <w:spacing w:before="20" w:after="20"/>
              <w:jc w:val="both"/>
            </w:pPr>
            <w:r>
              <w:rPr>
                <w:b/>
                <w:bCs/>
                <w:i/>
                <w:iCs/>
                <w:color w:val="FFFFFF"/>
                <w:sz w:val="18"/>
                <w:szCs w:val="18"/>
              </w:rPr>
              <w:t>Contenidos</w:t>
            </w:r>
          </w:p>
          <w:p w14:paraId="5441000C"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5CABA66C" w14:textId="77777777" w:rsidR="00990B14" w:rsidRDefault="00000000">
            <w:pPr>
              <w:keepNext/>
              <w:spacing w:before="20" w:after="20"/>
              <w:jc w:val="center"/>
            </w:pPr>
            <w:r>
              <w:rPr>
                <w:b/>
                <w:bCs/>
                <w:i/>
                <w:iCs/>
                <w:color w:val="FFFFFF"/>
                <w:sz w:val="18"/>
                <w:szCs w:val="18"/>
              </w:rPr>
              <w:t>Conocimientos circunstanciales</w:t>
            </w:r>
          </w:p>
        </w:tc>
      </w:tr>
      <w:tr w:rsidR="00990B14" w14:paraId="1B4E4771" w14:textId="77777777">
        <w:trPr>
          <w:jc w:val="center"/>
        </w:trPr>
        <w:tc>
          <w:tcPr>
            <w:tcW w:w="2349" w:type="dxa"/>
            <w:gridSpan w:val="2"/>
            <w:shd w:val="clear" w:color="auto" w:fill="D9E2F3"/>
          </w:tcPr>
          <w:p w14:paraId="1C2DEF97" w14:textId="77777777" w:rsidR="00990B14" w:rsidRDefault="00000000">
            <w:pPr>
              <w:spacing w:before="20" w:after="40"/>
              <w:jc w:val="both"/>
            </w:pPr>
            <w:r>
              <w:rPr>
                <w:sz w:val="18"/>
                <w:szCs w:val="18"/>
              </w:rPr>
              <w:t>Capítulo 2: Seguro Social Tema 10: Los Seguros Sociales y la Seguridad Social</w:t>
            </w:r>
          </w:p>
          <w:p w14:paraId="294D4335" w14:textId="77777777" w:rsidR="00990B14" w:rsidRDefault="00000000">
            <w:pPr>
              <w:spacing w:before="20" w:after="40"/>
              <w:jc w:val="both"/>
            </w:pPr>
            <w:r>
              <w:rPr>
                <w:sz w:val="18"/>
                <w:szCs w:val="18"/>
              </w:rPr>
              <w:t>Tema 11: Las Prestaciones de la Seguridad Social a Corto y Largo Plazo.</w:t>
            </w:r>
          </w:p>
        </w:tc>
        <w:tc>
          <w:tcPr>
            <w:tcW w:w="4304" w:type="dxa"/>
            <w:gridSpan w:val="8"/>
            <w:shd w:val="clear" w:color="auto" w:fill="D9E2F3"/>
          </w:tcPr>
          <w:p w14:paraId="14180972" w14:textId="77777777" w:rsidR="00990B14" w:rsidRDefault="00000000">
            <w:pPr>
              <w:spacing w:before="60" w:after="20"/>
              <w:jc w:val="both"/>
            </w:pPr>
            <w:r>
              <w:rPr>
                <w:b/>
                <w:bCs/>
                <w:sz w:val="18"/>
                <w:szCs w:val="18"/>
              </w:rPr>
              <w:t>TEMA 10: Los Seguros Sociales y la Seguridad Social</w:t>
            </w:r>
          </w:p>
          <w:p w14:paraId="792F0EF0" w14:textId="77777777" w:rsidR="00990B14" w:rsidRDefault="00000000">
            <w:pPr>
              <w:spacing w:after="40"/>
              <w:jc w:val="both"/>
            </w:pPr>
            <w:r>
              <w:rPr>
                <w:sz w:val="18"/>
                <w:szCs w:val="18"/>
              </w:rPr>
              <w:t>Antecedentes. (C)</w:t>
            </w:r>
          </w:p>
          <w:p w14:paraId="1D5CF3B1" w14:textId="77777777" w:rsidR="00990B14" w:rsidRDefault="00000000">
            <w:pPr>
              <w:spacing w:after="40"/>
              <w:jc w:val="both"/>
            </w:pPr>
            <w:r>
              <w:rPr>
                <w:sz w:val="18"/>
                <w:szCs w:val="18"/>
              </w:rPr>
              <w:t>Concepto y definiciones. (C)</w:t>
            </w:r>
          </w:p>
          <w:p w14:paraId="11FD935D" w14:textId="77777777" w:rsidR="00990B14" w:rsidRDefault="00000000">
            <w:pPr>
              <w:spacing w:after="40"/>
              <w:jc w:val="both"/>
            </w:pPr>
            <w:r>
              <w:rPr>
                <w:sz w:val="18"/>
                <w:szCs w:val="18"/>
              </w:rPr>
              <w:t>Diferencias entre la Seguro Social y el Seguro Privado. (C)</w:t>
            </w:r>
          </w:p>
          <w:p w14:paraId="480B03E4" w14:textId="77777777" w:rsidR="00990B14" w:rsidRDefault="00000000">
            <w:pPr>
              <w:spacing w:after="40"/>
              <w:jc w:val="both"/>
            </w:pPr>
            <w:r>
              <w:rPr>
                <w:sz w:val="18"/>
                <w:szCs w:val="18"/>
              </w:rPr>
              <w:t>Gestión de las prestaciones económicas de la seguridad social. (C)</w:t>
            </w:r>
          </w:p>
          <w:p w14:paraId="69A12901" w14:textId="77777777" w:rsidR="00990B14" w:rsidRDefault="00000000">
            <w:pPr>
              <w:spacing w:before="60" w:after="20"/>
              <w:jc w:val="both"/>
            </w:pPr>
            <w:r>
              <w:rPr>
                <w:b/>
                <w:bCs/>
                <w:sz w:val="18"/>
                <w:szCs w:val="18"/>
              </w:rPr>
              <w:t>TEMA 11: Las Prestaciones de la Seguridad Social a Corto y Largo Plazo.</w:t>
            </w:r>
          </w:p>
          <w:p w14:paraId="66AEE9C5" w14:textId="77777777" w:rsidR="00990B14" w:rsidRDefault="00000000">
            <w:pPr>
              <w:spacing w:after="40"/>
              <w:jc w:val="both"/>
            </w:pPr>
            <w:r>
              <w:rPr>
                <w:sz w:val="18"/>
                <w:szCs w:val="18"/>
              </w:rPr>
              <w:t>Las prestaciones – concepto, clases (En Especie y en Dinero). (C)</w:t>
            </w:r>
          </w:p>
          <w:p w14:paraId="5F4B25AC" w14:textId="77777777" w:rsidR="00990B14" w:rsidRDefault="00000000">
            <w:pPr>
              <w:spacing w:after="40"/>
              <w:jc w:val="both"/>
            </w:pPr>
            <w:r>
              <w:rPr>
                <w:sz w:val="18"/>
                <w:szCs w:val="18"/>
              </w:rPr>
              <w:t>Sistema Contable - Financiero de la Seguro Social de Corto Plazo y Seguro Social de Largo Plazo. (C, P)</w:t>
            </w:r>
          </w:p>
        </w:tc>
        <w:tc>
          <w:tcPr>
            <w:tcW w:w="2752" w:type="dxa"/>
            <w:gridSpan w:val="3"/>
            <w:shd w:val="clear" w:color="auto" w:fill="D9E2F3"/>
          </w:tcPr>
          <w:p w14:paraId="60F12208" w14:textId="77777777" w:rsidR="00990B14" w:rsidRDefault="00000000">
            <w:pPr>
              <w:numPr>
                <w:ilvl w:val="0"/>
                <w:numId w:val="139"/>
              </w:numPr>
              <w:spacing w:before="10" w:after="10"/>
              <w:jc w:val="both"/>
            </w:pPr>
            <w:r>
              <w:rPr>
                <w:sz w:val="18"/>
                <w:szCs w:val="18"/>
              </w:rPr>
              <w:t>Procesos de registro, contabilización y control de las contribuciones patronales, al sistema de Seguro Corto plazo</w:t>
            </w:r>
          </w:p>
          <w:p w14:paraId="1DB371FD" w14:textId="77777777" w:rsidR="00990B14" w:rsidRDefault="00000000">
            <w:pPr>
              <w:numPr>
                <w:ilvl w:val="0"/>
                <w:numId w:val="139"/>
              </w:numPr>
              <w:spacing w:before="10" w:after="10"/>
              <w:jc w:val="both"/>
            </w:pPr>
            <w:r>
              <w:rPr>
                <w:sz w:val="18"/>
                <w:szCs w:val="18"/>
              </w:rPr>
              <w:t>Procesos de registro, contabilización y control de los Aportes Laborales al sistema de Seguros Social de Largo Plazo</w:t>
            </w:r>
          </w:p>
          <w:p w14:paraId="0828ABAA" w14:textId="77777777" w:rsidR="00990B14" w:rsidRDefault="00000000">
            <w:pPr>
              <w:numPr>
                <w:ilvl w:val="0"/>
                <w:numId w:val="139"/>
              </w:numPr>
              <w:spacing w:before="10" w:after="10"/>
              <w:jc w:val="both"/>
            </w:pPr>
            <w:r>
              <w:rPr>
                <w:sz w:val="18"/>
                <w:szCs w:val="18"/>
              </w:rPr>
              <w:t>Descripción practica de la forma de la retribución de las prestaciones de corto y largo plazo a los beneficiarios directos y derecho habientes conforme a la normativa legal vigente.</w:t>
            </w:r>
          </w:p>
        </w:tc>
      </w:tr>
    </w:tbl>
    <w:p w14:paraId="251773BF"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697"/>
        <w:gridCol w:w="1494"/>
        <w:gridCol w:w="1910"/>
        <w:gridCol w:w="1764"/>
        <w:gridCol w:w="2540"/>
      </w:tblGrid>
      <w:tr w:rsidR="00990B14" w14:paraId="5CA38BCB" w14:textId="77777777">
        <w:trPr>
          <w:cantSplit/>
          <w:jc w:val="center"/>
        </w:trPr>
        <w:tc>
          <w:tcPr>
            <w:tcW w:w="9405" w:type="dxa"/>
            <w:gridSpan w:val="5"/>
            <w:shd w:val="clear" w:color="auto" w:fill="4472C4"/>
            <w:vAlign w:val="center"/>
          </w:tcPr>
          <w:p w14:paraId="0FC03AFC" w14:textId="77777777" w:rsidR="00990B14" w:rsidRDefault="00000000">
            <w:pPr>
              <w:keepNext/>
              <w:spacing w:before="20" w:after="20"/>
              <w:jc w:val="center"/>
            </w:pPr>
            <w:r>
              <w:rPr>
                <w:b/>
                <w:bCs/>
                <w:i/>
                <w:iCs/>
                <w:color w:val="FFFFFF"/>
                <w:sz w:val="18"/>
                <w:szCs w:val="18"/>
              </w:rPr>
              <w:t>Actividades</w:t>
            </w:r>
          </w:p>
        </w:tc>
      </w:tr>
      <w:tr w:rsidR="00990B14" w14:paraId="593E0F8C" w14:textId="77777777">
        <w:trPr>
          <w:cantSplit/>
          <w:jc w:val="center"/>
        </w:trPr>
        <w:tc>
          <w:tcPr>
            <w:tcW w:w="1697" w:type="dxa"/>
            <w:shd w:val="clear" w:color="auto" w:fill="4472C4"/>
            <w:vAlign w:val="center"/>
          </w:tcPr>
          <w:p w14:paraId="0936D812" w14:textId="77777777" w:rsidR="00990B14" w:rsidRDefault="00000000">
            <w:pPr>
              <w:keepNext/>
              <w:spacing w:before="20" w:after="20"/>
              <w:jc w:val="center"/>
            </w:pPr>
            <w:r>
              <w:rPr>
                <w:b/>
                <w:bCs/>
                <w:i/>
                <w:iCs/>
                <w:color w:val="FFFFFF"/>
                <w:sz w:val="18"/>
                <w:szCs w:val="18"/>
              </w:rPr>
              <w:t>En clase</w:t>
            </w:r>
          </w:p>
        </w:tc>
        <w:tc>
          <w:tcPr>
            <w:tcW w:w="1494" w:type="dxa"/>
            <w:shd w:val="clear" w:color="auto" w:fill="4472C4"/>
            <w:vAlign w:val="center"/>
          </w:tcPr>
          <w:p w14:paraId="180BDE8B" w14:textId="77777777" w:rsidR="00990B14" w:rsidRDefault="00000000">
            <w:pPr>
              <w:keepNext/>
              <w:spacing w:before="20" w:after="20"/>
              <w:jc w:val="center"/>
            </w:pPr>
            <w:r>
              <w:rPr>
                <w:b/>
                <w:bCs/>
                <w:i/>
                <w:iCs/>
                <w:color w:val="FFFFFF"/>
                <w:sz w:val="18"/>
                <w:szCs w:val="18"/>
              </w:rPr>
              <w:t>Autónomas</w:t>
            </w:r>
          </w:p>
        </w:tc>
        <w:tc>
          <w:tcPr>
            <w:tcW w:w="1910" w:type="dxa"/>
            <w:shd w:val="clear" w:color="auto" w:fill="4472C4"/>
            <w:vAlign w:val="center"/>
          </w:tcPr>
          <w:p w14:paraId="1A653039" w14:textId="77777777" w:rsidR="00990B14" w:rsidRDefault="00000000">
            <w:pPr>
              <w:keepNext/>
              <w:spacing w:before="20" w:after="20"/>
              <w:jc w:val="center"/>
            </w:pPr>
            <w:r>
              <w:rPr>
                <w:b/>
                <w:bCs/>
                <w:i/>
                <w:iCs/>
                <w:color w:val="FFFFFF"/>
                <w:sz w:val="18"/>
                <w:szCs w:val="18"/>
              </w:rPr>
              <w:t>B-Learning</w:t>
            </w:r>
          </w:p>
        </w:tc>
        <w:tc>
          <w:tcPr>
            <w:tcW w:w="1764" w:type="dxa"/>
            <w:shd w:val="clear" w:color="auto" w:fill="4472C4"/>
            <w:vAlign w:val="center"/>
          </w:tcPr>
          <w:p w14:paraId="36F7B740" w14:textId="77777777" w:rsidR="00990B14" w:rsidRDefault="00000000">
            <w:pPr>
              <w:keepNext/>
              <w:spacing w:before="20" w:after="20"/>
              <w:jc w:val="center"/>
            </w:pPr>
            <w:r>
              <w:rPr>
                <w:b/>
                <w:bCs/>
                <w:i/>
                <w:iCs/>
                <w:color w:val="FFFFFF"/>
                <w:sz w:val="18"/>
                <w:szCs w:val="18"/>
              </w:rPr>
              <w:t>Taller</w:t>
            </w:r>
          </w:p>
        </w:tc>
        <w:tc>
          <w:tcPr>
            <w:tcW w:w="2540" w:type="dxa"/>
            <w:shd w:val="clear" w:color="auto" w:fill="4472C4"/>
            <w:vAlign w:val="center"/>
          </w:tcPr>
          <w:p w14:paraId="583DE319" w14:textId="77777777" w:rsidR="00990B14" w:rsidRDefault="00000000">
            <w:pPr>
              <w:keepNext/>
              <w:spacing w:before="20" w:after="20"/>
              <w:jc w:val="center"/>
            </w:pPr>
            <w:r>
              <w:rPr>
                <w:b/>
                <w:bCs/>
                <w:i/>
                <w:iCs/>
                <w:color w:val="FFFFFF"/>
                <w:sz w:val="18"/>
                <w:szCs w:val="18"/>
              </w:rPr>
              <w:t>Investigación/Práctica</w:t>
            </w:r>
          </w:p>
        </w:tc>
      </w:tr>
      <w:tr w:rsidR="00990B14" w14:paraId="318C178D" w14:textId="77777777">
        <w:trPr>
          <w:jc w:val="center"/>
        </w:trPr>
        <w:tc>
          <w:tcPr>
            <w:tcW w:w="1697" w:type="dxa"/>
            <w:shd w:val="clear" w:color="auto" w:fill="D9E2F3"/>
          </w:tcPr>
          <w:p w14:paraId="3CE7430E" w14:textId="77777777" w:rsidR="00990B14" w:rsidRDefault="00000000">
            <w:pPr>
              <w:numPr>
                <w:ilvl w:val="0"/>
                <w:numId w:val="139"/>
              </w:numPr>
              <w:spacing w:before="10" w:after="10"/>
              <w:jc w:val="both"/>
            </w:pPr>
            <w:r>
              <w:rPr>
                <w:sz w:val="18"/>
                <w:szCs w:val="18"/>
              </w:rPr>
              <w:t>Exposición, comunicación, dialogada.</w:t>
            </w:r>
          </w:p>
          <w:p w14:paraId="0F0437B8" w14:textId="77777777" w:rsidR="00990B14" w:rsidRDefault="00000000">
            <w:pPr>
              <w:numPr>
                <w:ilvl w:val="0"/>
                <w:numId w:val="139"/>
              </w:numPr>
              <w:spacing w:before="10" w:after="10"/>
              <w:jc w:val="both"/>
            </w:pPr>
            <w:r>
              <w:rPr>
                <w:sz w:val="18"/>
                <w:szCs w:val="18"/>
              </w:rPr>
              <w:t>Demostración y resolución guiada de casos prácticos reales.</w:t>
            </w:r>
          </w:p>
          <w:p w14:paraId="2FDA5A32" w14:textId="77777777" w:rsidR="00990B14" w:rsidRDefault="00000000">
            <w:pPr>
              <w:numPr>
                <w:ilvl w:val="0"/>
                <w:numId w:val="139"/>
              </w:numPr>
              <w:spacing w:before="10" w:after="10"/>
              <w:jc w:val="both"/>
            </w:pPr>
            <w:r>
              <w:rPr>
                <w:sz w:val="18"/>
                <w:szCs w:val="18"/>
              </w:rPr>
              <w:t>De generación registro y cálculo, para análisis financiero.</w:t>
            </w:r>
          </w:p>
        </w:tc>
        <w:tc>
          <w:tcPr>
            <w:tcW w:w="1494" w:type="dxa"/>
            <w:shd w:val="clear" w:color="auto" w:fill="D9E2F3"/>
          </w:tcPr>
          <w:p w14:paraId="66C30D86" w14:textId="77777777" w:rsidR="00990B14" w:rsidRDefault="00000000">
            <w:pPr>
              <w:numPr>
                <w:ilvl w:val="0"/>
                <w:numId w:val="139"/>
              </w:numPr>
              <w:spacing w:before="10" w:after="10"/>
              <w:jc w:val="both"/>
            </w:pPr>
            <w:r>
              <w:rPr>
                <w:sz w:val="18"/>
                <w:szCs w:val="18"/>
              </w:rPr>
              <w:t>Lectura de normativa jurídica y técnica.</w:t>
            </w:r>
          </w:p>
          <w:p w14:paraId="63EAB3F4" w14:textId="77777777" w:rsidR="00990B14" w:rsidRDefault="00000000">
            <w:pPr>
              <w:numPr>
                <w:ilvl w:val="0"/>
                <w:numId w:val="139"/>
              </w:numPr>
              <w:spacing w:before="10" w:after="10"/>
              <w:jc w:val="both"/>
            </w:pPr>
            <w:r>
              <w:rPr>
                <w:sz w:val="18"/>
                <w:szCs w:val="18"/>
              </w:rPr>
              <w:t>Ejercicios de simulación de creación de reservas, para la seguridad social de corto plazo, registro contable.</w:t>
            </w:r>
          </w:p>
        </w:tc>
        <w:tc>
          <w:tcPr>
            <w:tcW w:w="1910" w:type="dxa"/>
            <w:shd w:val="clear" w:color="auto" w:fill="D9E2F3"/>
          </w:tcPr>
          <w:p w14:paraId="3E069585" w14:textId="77777777" w:rsidR="00990B14" w:rsidRDefault="00000000">
            <w:pPr>
              <w:numPr>
                <w:ilvl w:val="0"/>
                <w:numId w:val="139"/>
              </w:numPr>
              <w:spacing w:before="10" w:after="10"/>
              <w:jc w:val="both"/>
            </w:pPr>
            <w:r>
              <w:rPr>
                <w:sz w:val="18"/>
                <w:szCs w:val="18"/>
              </w:rPr>
              <w:t>Cuestionarios y Talleres con Herramientas Digitales UMSA.</w:t>
            </w:r>
          </w:p>
          <w:p w14:paraId="1DA2EF27" w14:textId="77777777" w:rsidR="00990B14" w:rsidRDefault="00000000">
            <w:pPr>
              <w:numPr>
                <w:ilvl w:val="0"/>
                <w:numId w:val="139"/>
              </w:numPr>
              <w:spacing w:before="10" w:after="10"/>
              <w:jc w:val="both"/>
            </w:pPr>
            <w:r>
              <w:rPr>
                <w:sz w:val="18"/>
                <w:szCs w:val="18"/>
              </w:rPr>
              <w:t>Videotutoriales.</w:t>
            </w:r>
          </w:p>
          <w:p w14:paraId="0EBD6ADC" w14:textId="77777777" w:rsidR="00990B14" w:rsidRDefault="00000000">
            <w:pPr>
              <w:numPr>
                <w:ilvl w:val="0"/>
                <w:numId w:val="139"/>
              </w:numPr>
              <w:spacing w:before="10" w:after="10"/>
              <w:jc w:val="both"/>
            </w:pPr>
            <w:r>
              <w:rPr>
                <w:sz w:val="18"/>
                <w:szCs w:val="18"/>
              </w:rPr>
              <w:t>Ejercicios digitales de contabilidad y análisis.</w:t>
            </w:r>
          </w:p>
        </w:tc>
        <w:tc>
          <w:tcPr>
            <w:tcW w:w="1764" w:type="dxa"/>
            <w:shd w:val="clear" w:color="auto" w:fill="D9E2F3"/>
          </w:tcPr>
          <w:p w14:paraId="13B93C89" w14:textId="77777777" w:rsidR="00990B14" w:rsidRDefault="00000000">
            <w:pPr>
              <w:numPr>
                <w:ilvl w:val="0"/>
                <w:numId w:val="139"/>
              </w:numPr>
              <w:spacing w:before="10" w:after="10"/>
              <w:jc w:val="both"/>
            </w:pPr>
            <w:r>
              <w:rPr>
                <w:sz w:val="18"/>
                <w:szCs w:val="18"/>
              </w:rPr>
              <w:t>Resolución de Talleres en Equipo de liquidación de Contribuciones y aportes para la seguridad social Gabinetes prácticos sobre el conocimiento de pólizas de seguros, necesidades de conocer la gravedad de los riesgos y siniestros</w:t>
            </w:r>
          </w:p>
        </w:tc>
        <w:tc>
          <w:tcPr>
            <w:tcW w:w="2540" w:type="dxa"/>
            <w:shd w:val="clear" w:color="auto" w:fill="D9E2F3"/>
          </w:tcPr>
          <w:p w14:paraId="4454199A" w14:textId="77777777" w:rsidR="00990B14" w:rsidRDefault="00000000">
            <w:pPr>
              <w:numPr>
                <w:ilvl w:val="0"/>
                <w:numId w:val="139"/>
              </w:numPr>
              <w:spacing w:before="10" w:after="10"/>
              <w:jc w:val="both"/>
            </w:pPr>
            <w:r>
              <w:rPr>
                <w:sz w:val="18"/>
                <w:szCs w:val="18"/>
              </w:rPr>
              <w:t>Análisis de información publicada por entidades aseguradoras y reaseguradoras, como asimismo de las entidades gestoras y de control y fiscalización.</w:t>
            </w:r>
          </w:p>
          <w:p w14:paraId="69670DDF" w14:textId="77777777" w:rsidR="00990B14" w:rsidRDefault="00000000">
            <w:pPr>
              <w:numPr>
                <w:ilvl w:val="0"/>
                <w:numId w:val="139"/>
              </w:numPr>
              <w:spacing w:before="10" w:after="10"/>
              <w:jc w:val="both"/>
            </w:pPr>
            <w:r>
              <w:rPr>
                <w:sz w:val="18"/>
                <w:szCs w:val="18"/>
              </w:rPr>
              <w:t>Revisión de normativa y datos sectoriales oficiales.</w:t>
            </w:r>
          </w:p>
        </w:tc>
      </w:tr>
    </w:tbl>
    <w:p w14:paraId="66705982"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883"/>
        <w:gridCol w:w="1873"/>
        <w:gridCol w:w="1873"/>
        <w:gridCol w:w="1910"/>
        <w:gridCol w:w="1866"/>
      </w:tblGrid>
      <w:tr w:rsidR="00990B14" w14:paraId="163C5BFD" w14:textId="77777777">
        <w:trPr>
          <w:jc w:val="center"/>
        </w:trPr>
        <w:tc>
          <w:tcPr>
            <w:tcW w:w="1883" w:type="dxa"/>
            <w:shd w:val="clear" w:color="auto" w:fill="4472C4"/>
            <w:vAlign w:val="center"/>
          </w:tcPr>
          <w:p w14:paraId="7F26AF88" w14:textId="77777777" w:rsidR="00990B14" w:rsidRDefault="00000000">
            <w:pPr>
              <w:spacing w:before="20" w:after="20"/>
              <w:jc w:val="center"/>
            </w:pPr>
            <w:r>
              <w:rPr>
                <w:b/>
                <w:bCs/>
                <w:i/>
                <w:iCs/>
                <w:color w:val="FFFFFF"/>
                <w:sz w:val="18"/>
                <w:szCs w:val="18"/>
              </w:rPr>
              <w:t>Estrategias de aprendizaje y enseñanza</w:t>
            </w:r>
          </w:p>
        </w:tc>
        <w:tc>
          <w:tcPr>
            <w:tcW w:w="7522" w:type="dxa"/>
            <w:gridSpan w:val="4"/>
            <w:shd w:val="clear" w:color="auto" w:fill="D9E2F3"/>
            <w:vAlign w:val="center"/>
          </w:tcPr>
          <w:p w14:paraId="0A28F669" w14:textId="77777777" w:rsidR="00990B14" w:rsidRDefault="00000000">
            <w:pPr>
              <w:numPr>
                <w:ilvl w:val="0"/>
                <w:numId w:val="140"/>
              </w:numPr>
              <w:spacing w:before="10" w:after="10"/>
              <w:jc w:val="both"/>
            </w:pPr>
            <w:r>
              <w:rPr>
                <w:sz w:val="18"/>
                <w:szCs w:val="18"/>
              </w:rPr>
              <w:t>Aprendizaje basado en casos prácticos y concretos.</w:t>
            </w:r>
          </w:p>
          <w:p w14:paraId="6081D350" w14:textId="77777777" w:rsidR="00990B14" w:rsidRDefault="00000000">
            <w:pPr>
              <w:numPr>
                <w:ilvl w:val="0"/>
                <w:numId w:val="140"/>
              </w:numPr>
              <w:spacing w:before="10" w:after="10"/>
              <w:jc w:val="both"/>
            </w:pPr>
            <w:r>
              <w:rPr>
                <w:sz w:val="18"/>
                <w:szCs w:val="18"/>
              </w:rPr>
              <w:t>Resolución de problemas guiada de ejercicios.</w:t>
            </w:r>
          </w:p>
          <w:p w14:paraId="6F94949A" w14:textId="77777777" w:rsidR="00990B14" w:rsidRDefault="00000000">
            <w:pPr>
              <w:numPr>
                <w:ilvl w:val="0"/>
                <w:numId w:val="140"/>
              </w:numPr>
              <w:spacing w:before="10" w:after="10"/>
              <w:jc w:val="both"/>
            </w:pPr>
            <w:r>
              <w:rPr>
                <w:sz w:val="18"/>
                <w:szCs w:val="18"/>
              </w:rPr>
              <w:t>Caso práctico integral.</w:t>
            </w:r>
          </w:p>
          <w:p w14:paraId="3215D168" w14:textId="77777777" w:rsidR="00990B14" w:rsidRDefault="00000000">
            <w:pPr>
              <w:numPr>
                <w:ilvl w:val="0"/>
                <w:numId w:val="140"/>
              </w:numPr>
              <w:spacing w:before="10" w:after="10"/>
              <w:jc w:val="both"/>
            </w:pPr>
            <w:r>
              <w:rPr>
                <w:sz w:val="18"/>
                <w:szCs w:val="18"/>
              </w:rPr>
              <w:t>Trabajo colaborativo.</w:t>
            </w:r>
          </w:p>
          <w:p w14:paraId="0A0F4732" w14:textId="77777777" w:rsidR="00990B14" w:rsidRDefault="00000000">
            <w:pPr>
              <w:numPr>
                <w:ilvl w:val="0"/>
                <w:numId w:val="140"/>
              </w:numPr>
              <w:spacing w:before="10" w:after="10"/>
              <w:jc w:val="both"/>
            </w:pPr>
            <w:r>
              <w:rPr>
                <w:sz w:val="18"/>
                <w:szCs w:val="18"/>
              </w:rPr>
              <w:t>Clase invertida para contenidos normativos.</w:t>
            </w:r>
          </w:p>
          <w:p w14:paraId="072AF66D" w14:textId="77777777" w:rsidR="00990B14" w:rsidRDefault="00000000">
            <w:pPr>
              <w:numPr>
                <w:ilvl w:val="0"/>
                <w:numId w:val="140"/>
              </w:numPr>
              <w:spacing w:before="10" w:after="10"/>
              <w:jc w:val="both"/>
            </w:pPr>
            <w:r>
              <w:rPr>
                <w:sz w:val="18"/>
                <w:szCs w:val="18"/>
              </w:rPr>
              <w:t>Análisis crítico de casos concretos, análisis del concepto técnico de reservas, credibilidad, solvencia y transparencia, información financiera y sostenibilidad.</w:t>
            </w:r>
          </w:p>
        </w:tc>
      </w:tr>
      <w:tr w:rsidR="00990B14" w14:paraId="4A72993A" w14:textId="77777777">
        <w:trPr>
          <w:jc w:val="center"/>
        </w:trPr>
        <w:tc>
          <w:tcPr>
            <w:tcW w:w="1883" w:type="dxa"/>
            <w:shd w:val="clear" w:color="auto" w:fill="4472C4"/>
            <w:vAlign w:val="center"/>
          </w:tcPr>
          <w:p w14:paraId="24A1A8B7" w14:textId="77777777" w:rsidR="00990B14" w:rsidRDefault="00000000">
            <w:pPr>
              <w:spacing w:before="20" w:after="20"/>
              <w:jc w:val="center"/>
            </w:pPr>
            <w:r>
              <w:rPr>
                <w:b/>
                <w:bCs/>
                <w:i/>
                <w:iCs/>
                <w:color w:val="FFFFFF"/>
                <w:sz w:val="18"/>
                <w:szCs w:val="18"/>
              </w:rPr>
              <w:t>Recursos para el aprendizaje</w:t>
            </w:r>
          </w:p>
        </w:tc>
        <w:tc>
          <w:tcPr>
            <w:tcW w:w="7522" w:type="dxa"/>
            <w:gridSpan w:val="4"/>
            <w:shd w:val="clear" w:color="auto" w:fill="D9E2F3"/>
            <w:vAlign w:val="center"/>
          </w:tcPr>
          <w:p w14:paraId="68D249F9" w14:textId="77777777" w:rsidR="00990B14" w:rsidRDefault="00000000">
            <w:pPr>
              <w:numPr>
                <w:ilvl w:val="0"/>
                <w:numId w:val="140"/>
              </w:numPr>
              <w:spacing w:before="10" w:after="10"/>
              <w:jc w:val="both"/>
            </w:pPr>
            <w:r>
              <w:rPr>
                <w:sz w:val="18"/>
                <w:szCs w:val="18"/>
              </w:rPr>
              <w:t>Plataforma de Herramientas Digitales de la UMSA.</w:t>
            </w:r>
          </w:p>
          <w:p w14:paraId="666CB8F6" w14:textId="77777777" w:rsidR="00990B14" w:rsidRDefault="00000000">
            <w:pPr>
              <w:numPr>
                <w:ilvl w:val="0"/>
                <w:numId w:val="140"/>
              </w:numPr>
              <w:spacing w:before="10" w:after="10"/>
              <w:jc w:val="both"/>
            </w:pPr>
            <w:r>
              <w:rPr>
                <w:sz w:val="18"/>
                <w:szCs w:val="18"/>
              </w:rPr>
              <w:t>Sistemas contables de uso académico.</w:t>
            </w:r>
          </w:p>
          <w:p w14:paraId="74009798" w14:textId="77777777" w:rsidR="00990B14" w:rsidRDefault="00000000">
            <w:pPr>
              <w:numPr>
                <w:ilvl w:val="0"/>
                <w:numId w:val="140"/>
              </w:numPr>
              <w:spacing w:before="10" w:after="10"/>
              <w:jc w:val="both"/>
            </w:pPr>
            <w:r>
              <w:rPr>
                <w:sz w:val="18"/>
                <w:szCs w:val="18"/>
              </w:rPr>
              <w:t>Manuales de Cuentas aplicables a cada actividad.</w:t>
            </w:r>
          </w:p>
          <w:p w14:paraId="55C4A771" w14:textId="77777777" w:rsidR="00990B14" w:rsidRDefault="00000000">
            <w:pPr>
              <w:numPr>
                <w:ilvl w:val="0"/>
                <w:numId w:val="140"/>
              </w:numPr>
              <w:spacing w:before="10" w:after="10"/>
              <w:jc w:val="both"/>
            </w:pPr>
            <w:r>
              <w:rPr>
                <w:sz w:val="18"/>
                <w:szCs w:val="18"/>
              </w:rPr>
              <w:t>NIIF vigentes.</w:t>
            </w:r>
          </w:p>
          <w:p w14:paraId="74587263" w14:textId="77777777" w:rsidR="00990B14" w:rsidRDefault="00000000">
            <w:pPr>
              <w:numPr>
                <w:ilvl w:val="0"/>
                <w:numId w:val="140"/>
              </w:numPr>
              <w:spacing w:before="10" w:after="10"/>
              <w:jc w:val="both"/>
            </w:pPr>
            <w:r>
              <w:rPr>
                <w:sz w:val="18"/>
                <w:szCs w:val="18"/>
              </w:rPr>
              <w:t>Compendios normativos y boletines estadísticos de las autoridades competentes.</w:t>
            </w:r>
          </w:p>
          <w:p w14:paraId="00294617" w14:textId="77777777" w:rsidR="00990B14" w:rsidRDefault="00000000">
            <w:pPr>
              <w:numPr>
                <w:ilvl w:val="0"/>
                <w:numId w:val="140"/>
              </w:numPr>
              <w:spacing w:before="10" w:after="10"/>
              <w:jc w:val="both"/>
            </w:pPr>
            <w:r>
              <w:rPr>
                <w:sz w:val="18"/>
                <w:szCs w:val="18"/>
              </w:rPr>
              <w:t>Guías de la cátedra.</w:t>
            </w:r>
          </w:p>
        </w:tc>
      </w:tr>
      <w:tr w:rsidR="00990B14" w14:paraId="7085B02A" w14:textId="77777777">
        <w:trPr>
          <w:jc w:val="center"/>
        </w:trPr>
        <w:tc>
          <w:tcPr>
            <w:tcW w:w="1883" w:type="dxa"/>
            <w:shd w:val="clear" w:color="auto" w:fill="4472C4"/>
            <w:vAlign w:val="center"/>
          </w:tcPr>
          <w:p w14:paraId="296D1ABE" w14:textId="77777777" w:rsidR="00990B14" w:rsidRDefault="00000000">
            <w:pPr>
              <w:spacing w:before="20" w:after="20"/>
              <w:jc w:val="center"/>
            </w:pPr>
            <w:r>
              <w:rPr>
                <w:b/>
                <w:bCs/>
                <w:i/>
                <w:iCs/>
                <w:color w:val="FFFFFF"/>
                <w:sz w:val="18"/>
                <w:szCs w:val="18"/>
              </w:rPr>
              <w:t>Estrategias de evaluación</w:t>
            </w:r>
          </w:p>
        </w:tc>
        <w:tc>
          <w:tcPr>
            <w:tcW w:w="7522" w:type="dxa"/>
            <w:gridSpan w:val="4"/>
            <w:shd w:val="clear" w:color="auto" w:fill="D9E2F3"/>
            <w:vAlign w:val="center"/>
          </w:tcPr>
          <w:p w14:paraId="59A7B6A0" w14:textId="77777777" w:rsidR="00990B14" w:rsidRDefault="00000000">
            <w:pPr>
              <w:numPr>
                <w:ilvl w:val="0"/>
                <w:numId w:val="140"/>
              </w:numPr>
              <w:spacing w:before="10" w:after="10"/>
              <w:jc w:val="both"/>
            </w:pPr>
            <w:r>
              <w:rPr>
                <w:sz w:val="18"/>
                <w:szCs w:val="18"/>
              </w:rPr>
              <w:t>Evaluación diagnóstica, formativa y sumativa.</w:t>
            </w:r>
          </w:p>
          <w:p w14:paraId="1215FC88" w14:textId="77777777" w:rsidR="00990B14" w:rsidRDefault="00000000">
            <w:pPr>
              <w:numPr>
                <w:ilvl w:val="0"/>
                <w:numId w:val="140"/>
              </w:numPr>
              <w:spacing w:before="10" w:after="10"/>
              <w:jc w:val="both"/>
            </w:pPr>
            <w:r>
              <w:rPr>
                <w:sz w:val="18"/>
                <w:szCs w:val="18"/>
              </w:rPr>
              <w:t>Se aplican ejercicios, preguntas, retroalimentación, caso práctico (Bureau), exposiciones, disertaciones, exámenes parciales y examen final.</w:t>
            </w:r>
          </w:p>
        </w:tc>
      </w:tr>
      <w:tr w:rsidR="00990B14" w14:paraId="1EE9CF8E" w14:textId="77777777">
        <w:trPr>
          <w:jc w:val="center"/>
        </w:trPr>
        <w:tc>
          <w:tcPr>
            <w:tcW w:w="1883" w:type="dxa"/>
            <w:shd w:val="clear" w:color="auto" w:fill="4472C4"/>
            <w:vAlign w:val="center"/>
          </w:tcPr>
          <w:p w14:paraId="53C43564" w14:textId="77777777" w:rsidR="00990B14" w:rsidRDefault="00000000">
            <w:pPr>
              <w:spacing w:before="20" w:after="20"/>
              <w:jc w:val="center"/>
            </w:pPr>
            <w:r>
              <w:rPr>
                <w:b/>
                <w:bCs/>
                <w:i/>
                <w:iCs/>
                <w:color w:val="FFFFFF"/>
                <w:sz w:val="18"/>
                <w:szCs w:val="18"/>
              </w:rPr>
              <w:t>Criterios de calificación</w:t>
            </w:r>
          </w:p>
        </w:tc>
        <w:tc>
          <w:tcPr>
            <w:tcW w:w="7522" w:type="dxa"/>
            <w:gridSpan w:val="4"/>
            <w:shd w:val="clear" w:color="auto" w:fill="D9E2F3"/>
            <w:vAlign w:val="center"/>
          </w:tcPr>
          <w:p w14:paraId="29411A2A" w14:textId="77777777" w:rsidR="00990B14" w:rsidRDefault="00000000">
            <w:pPr>
              <w:numPr>
                <w:ilvl w:val="0"/>
                <w:numId w:val="140"/>
              </w:numPr>
              <w:spacing w:before="10" w:after="10"/>
              <w:jc w:val="both"/>
            </w:pPr>
            <w:r>
              <w:rPr>
                <w:sz w:val="18"/>
                <w:szCs w:val="18"/>
              </w:rPr>
              <w:t>Nota mínima de aprobación: 51/100.</w:t>
            </w:r>
          </w:p>
          <w:p w14:paraId="4195991F" w14:textId="77777777" w:rsidR="00990B14" w:rsidRDefault="00000000">
            <w:pPr>
              <w:numPr>
                <w:ilvl w:val="0"/>
                <w:numId w:val="140"/>
              </w:numPr>
              <w:spacing w:before="10" w:after="10"/>
              <w:jc w:val="both"/>
            </w:pPr>
            <w:r>
              <w:rPr>
                <w:sz w:val="18"/>
                <w:szCs w:val="18"/>
              </w:rPr>
              <w:t>La calificación se basa en evidencias de producto.</w:t>
            </w:r>
          </w:p>
          <w:p w14:paraId="23200844" w14:textId="77777777" w:rsidR="00990B14" w:rsidRDefault="00000000">
            <w:pPr>
              <w:numPr>
                <w:ilvl w:val="0"/>
                <w:numId w:val="140"/>
              </w:numPr>
              <w:spacing w:before="10" w:after="10"/>
              <w:jc w:val="both"/>
            </w:pPr>
            <w:r>
              <w:rPr>
                <w:sz w:val="18"/>
                <w:szCs w:val="18"/>
              </w:rPr>
              <w:t>Cada producto cuenta con su propia rúbrica y los pesos suman 100%.</w:t>
            </w:r>
          </w:p>
        </w:tc>
      </w:tr>
      <w:tr w:rsidR="00990B14" w14:paraId="05605DDC" w14:textId="77777777">
        <w:trPr>
          <w:cantSplit/>
          <w:jc w:val="center"/>
        </w:trPr>
        <w:tc>
          <w:tcPr>
            <w:tcW w:w="1883" w:type="dxa"/>
            <w:vMerge w:val="restart"/>
            <w:shd w:val="clear" w:color="auto" w:fill="4472C4"/>
            <w:vAlign w:val="center"/>
          </w:tcPr>
          <w:p w14:paraId="0ACC2C91" w14:textId="77777777" w:rsidR="00990B14" w:rsidRDefault="00000000">
            <w:pPr>
              <w:spacing w:before="20" w:after="20"/>
              <w:jc w:val="center"/>
            </w:pPr>
            <w:r>
              <w:rPr>
                <w:b/>
                <w:bCs/>
                <w:i/>
                <w:iCs/>
                <w:color w:val="FFFFFF"/>
                <w:sz w:val="18"/>
                <w:szCs w:val="18"/>
              </w:rPr>
              <w:t>Niveles de logro y distribución de la calificación</w:t>
            </w:r>
          </w:p>
        </w:tc>
        <w:tc>
          <w:tcPr>
            <w:tcW w:w="5656" w:type="dxa"/>
            <w:gridSpan w:val="3"/>
            <w:shd w:val="clear" w:color="auto" w:fill="D9E2F3"/>
            <w:vAlign w:val="center"/>
          </w:tcPr>
          <w:p w14:paraId="55D67012" w14:textId="77777777" w:rsidR="00990B14" w:rsidRDefault="00000000">
            <w:pPr>
              <w:keepNext/>
              <w:spacing w:before="20" w:after="20"/>
              <w:jc w:val="both"/>
            </w:pPr>
            <w:r>
              <w:rPr>
                <w:b/>
                <w:bCs/>
                <w:i/>
                <w:iCs/>
                <w:sz w:val="18"/>
                <w:szCs w:val="18"/>
              </w:rPr>
              <w:t xml:space="preserve">Producto 1: </w:t>
            </w:r>
            <w:r>
              <w:rPr>
                <w:sz w:val="18"/>
                <w:szCs w:val="18"/>
              </w:rPr>
              <w:t>Mapa conceptual que integra los fundamentos del Seguro Privado.</w:t>
            </w:r>
          </w:p>
        </w:tc>
        <w:tc>
          <w:tcPr>
            <w:tcW w:w="1866" w:type="dxa"/>
            <w:shd w:val="clear" w:color="auto" w:fill="D9E2F3"/>
            <w:vAlign w:val="center"/>
          </w:tcPr>
          <w:p w14:paraId="1E9641A0" w14:textId="77777777" w:rsidR="00990B14" w:rsidRDefault="00000000">
            <w:pPr>
              <w:spacing w:before="20" w:after="20"/>
              <w:jc w:val="center"/>
            </w:pPr>
            <w:r>
              <w:rPr>
                <w:b/>
                <w:bCs/>
                <w:sz w:val="18"/>
                <w:szCs w:val="18"/>
              </w:rPr>
              <w:t>6%</w:t>
            </w:r>
          </w:p>
        </w:tc>
      </w:tr>
      <w:tr w:rsidR="00990B14" w14:paraId="78AE590D" w14:textId="77777777">
        <w:trPr>
          <w:cantSplit/>
          <w:jc w:val="center"/>
        </w:trPr>
        <w:tc>
          <w:tcPr>
            <w:tcW w:w="1883" w:type="dxa"/>
            <w:vMerge/>
            <w:shd w:val="clear" w:color="auto" w:fill="4472C4"/>
            <w:vAlign w:val="center"/>
          </w:tcPr>
          <w:p w14:paraId="5CFD8661" w14:textId="77777777" w:rsidR="00990B14" w:rsidRDefault="00990B14">
            <w:pPr>
              <w:spacing w:before="20" w:after="20"/>
            </w:pPr>
          </w:p>
        </w:tc>
        <w:tc>
          <w:tcPr>
            <w:tcW w:w="1873" w:type="dxa"/>
            <w:shd w:val="clear" w:color="auto" w:fill="4472C4"/>
            <w:vAlign w:val="center"/>
          </w:tcPr>
          <w:p w14:paraId="05191FB1" w14:textId="77777777" w:rsidR="00990B14" w:rsidRDefault="00000000">
            <w:pPr>
              <w:keepNext/>
              <w:spacing w:before="20" w:after="20"/>
              <w:jc w:val="center"/>
            </w:pPr>
            <w:r>
              <w:rPr>
                <w:b/>
                <w:bCs/>
                <w:i/>
                <w:iCs/>
                <w:color w:val="FFFFFF"/>
                <w:sz w:val="18"/>
                <w:szCs w:val="18"/>
              </w:rPr>
              <w:t>Criterio</w:t>
            </w:r>
          </w:p>
        </w:tc>
        <w:tc>
          <w:tcPr>
            <w:tcW w:w="1873" w:type="dxa"/>
            <w:shd w:val="clear" w:color="auto" w:fill="4472C4"/>
            <w:vAlign w:val="center"/>
          </w:tcPr>
          <w:p w14:paraId="2FE184B8"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79AD6241" w14:textId="77777777" w:rsidR="00990B14" w:rsidRDefault="00000000">
            <w:pPr>
              <w:keepNext/>
              <w:spacing w:before="20" w:after="20"/>
              <w:jc w:val="center"/>
            </w:pPr>
            <w:r>
              <w:rPr>
                <w:b/>
                <w:bCs/>
                <w:i/>
                <w:iCs/>
                <w:color w:val="FFFFFF"/>
                <w:sz w:val="18"/>
                <w:szCs w:val="18"/>
              </w:rPr>
              <w:t>Suficiente (51–80)</w:t>
            </w:r>
          </w:p>
        </w:tc>
        <w:tc>
          <w:tcPr>
            <w:tcW w:w="1866" w:type="dxa"/>
            <w:shd w:val="clear" w:color="auto" w:fill="4472C4"/>
            <w:vAlign w:val="center"/>
          </w:tcPr>
          <w:p w14:paraId="0B9F4889" w14:textId="77777777" w:rsidR="00990B14" w:rsidRDefault="00000000">
            <w:pPr>
              <w:keepNext/>
              <w:spacing w:before="20" w:after="20"/>
              <w:jc w:val="center"/>
            </w:pPr>
            <w:r>
              <w:rPr>
                <w:b/>
                <w:bCs/>
                <w:i/>
                <w:iCs/>
                <w:color w:val="FFFFFF"/>
                <w:sz w:val="18"/>
                <w:szCs w:val="18"/>
              </w:rPr>
              <w:t>Destacado (81–100)</w:t>
            </w:r>
          </w:p>
        </w:tc>
      </w:tr>
      <w:tr w:rsidR="00990B14" w14:paraId="13776301" w14:textId="77777777">
        <w:trPr>
          <w:cantSplit/>
          <w:jc w:val="center"/>
        </w:trPr>
        <w:tc>
          <w:tcPr>
            <w:tcW w:w="1883" w:type="dxa"/>
            <w:vMerge/>
            <w:shd w:val="clear" w:color="auto" w:fill="4472C4"/>
            <w:vAlign w:val="center"/>
          </w:tcPr>
          <w:p w14:paraId="539B4B25" w14:textId="77777777" w:rsidR="00990B14" w:rsidRDefault="00990B14">
            <w:pPr>
              <w:spacing w:before="20" w:after="20"/>
            </w:pPr>
          </w:p>
        </w:tc>
        <w:tc>
          <w:tcPr>
            <w:tcW w:w="1873" w:type="dxa"/>
            <w:shd w:val="clear" w:color="auto" w:fill="D9E2F3"/>
            <w:vAlign w:val="center"/>
          </w:tcPr>
          <w:p w14:paraId="079EBB5D" w14:textId="77777777" w:rsidR="00990B14" w:rsidRDefault="00000000">
            <w:pPr>
              <w:spacing w:before="20" w:after="20"/>
              <w:jc w:val="both"/>
            </w:pPr>
            <w:r>
              <w:rPr>
                <w:sz w:val="18"/>
                <w:szCs w:val="18"/>
              </w:rPr>
              <w:t>Fundamentos</w:t>
            </w:r>
          </w:p>
        </w:tc>
        <w:tc>
          <w:tcPr>
            <w:tcW w:w="1873" w:type="dxa"/>
            <w:shd w:val="clear" w:color="auto" w:fill="D9E2F3"/>
            <w:vAlign w:val="center"/>
          </w:tcPr>
          <w:p w14:paraId="6F8687FE" w14:textId="77777777" w:rsidR="00990B14" w:rsidRDefault="00000000">
            <w:pPr>
              <w:spacing w:before="20" w:after="20"/>
              <w:jc w:val="both"/>
            </w:pPr>
            <w:r>
              <w:rPr>
                <w:sz w:val="18"/>
                <w:szCs w:val="18"/>
              </w:rPr>
              <w:t>Confunde conceptos.</w:t>
            </w:r>
          </w:p>
        </w:tc>
        <w:tc>
          <w:tcPr>
            <w:tcW w:w="1910" w:type="dxa"/>
            <w:shd w:val="clear" w:color="auto" w:fill="D9E2F3"/>
            <w:vAlign w:val="center"/>
          </w:tcPr>
          <w:p w14:paraId="171C17BB" w14:textId="77777777" w:rsidR="00990B14" w:rsidRDefault="00000000">
            <w:pPr>
              <w:spacing w:before="20" w:after="20"/>
              <w:jc w:val="both"/>
            </w:pPr>
            <w:r>
              <w:rPr>
                <w:sz w:val="18"/>
                <w:szCs w:val="18"/>
              </w:rPr>
              <w:t>Diferencia fundamentos y características.</w:t>
            </w:r>
          </w:p>
        </w:tc>
        <w:tc>
          <w:tcPr>
            <w:tcW w:w="1866" w:type="dxa"/>
            <w:shd w:val="clear" w:color="auto" w:fill="D9E2F3"/>
            <w:vAlign w:val="center"/>
          </w:tcPr>
          <w:p w14:paraId="2BC72F89" w14:textId="77777777" w:rsidR="00990B14" w:rsidRDefault="00000000">
            <w:pPr>
              <w:spacing w:before="20" w:after="20"/>
              <w:jc w:val="both"/>
            </w:pPr>
            <w:r>
              <w:rPr>
                <w:sz w:val="18"/>
                <w:szCs w:val="18"/>
              </w:rPr>
              <w:t>Relaciona fundamentos con la función económica.</w:t>
            </w:r>
          </w:p>
        </w:tc>
      </w:tr>
      <w:tr w:rsidR="00990B14" w14:paraId="0A3BC730" w14:textId="77777777">
        <w:trPr>
          <w:cantSplit/>
          <w:jc w:val="center"/>
        </w:trPr>
        <w:tc>
          <w:tcPr>
            <w:tcW w:w="1883" w:type="dxa"/>
            <w:vMerge/>
            <w:shd w:val="clear" w:color="auto" w:fill="4472C4"/>
            <w:vAlign w:val="center"/>
          </w:tcPr>
          <w:p w14:paraId="661DD4BC" w14:textId="77777777" w:rsidR="00990B14" w:rsidRDefault="00990B14">
            <w:pPr>
              <w:spacing w:before="20" w:after="20"/>
            </w:pPr>
          </w:p>
        </w:tc>
        <w:tc>
          <w:tcPr>
            <w:tcW w:w="1873" w:type="dxa"/>
            <w:shd w:val="clear" w:color="auto" w:fill="D9E2F3"/>
            <w:vAlign w:val="center"/>
          </w:tcPr>
          <w:p w14:paraId="2177130E" w14:textId="77777777" w:rsidR="00990B14" w:rsidRDefault="00000000">
            <w:pPr>
              <w:spacing w:before="20" w:after="20"/>
              <w:jc w:val="both"/>
            </w:pPr>
            <w:r>
              <w:rPr>
                <w:sz w:val="18"/>
                <w:szCs w:val="18"/>
              </w:rPr>
              <w:t>Principios</w:t>
            </w:r>
          </w:p>
        </w:tc>
        <w:tc>
          <w:tcPr>
            <w:tcW w:w="1873" w:type="dxa"/>
            <w:shd w:val="clear" w:color="auto" w:fill="D9E2F3"/>
            <w:vAlign w:val="center"/>
          </w:tcPr>
          <w:p w14:paraId="7022C2FF" w14:textId="77777777" w:rsidR="00990B14" w:rsidRDefault="00000000">
            <w:pPr>
              <w:spacing w:before="20" w:after="20"/>
              <w:jc w:val="both"/>
            </w:pPr>
            <w:r>
              <w:rPr>
                <w:sz w:val="18"/>
                <w:szCs w:val="18"/>
              </w:rPr>
              <w:t>Omite principios.</w:t>
            </w:r>
          </w:p>
        </w:tc>
        <w:tc>
          <w:tcPr>
            <w:tcW w:w="1910" w:type="dxa"/>
            <w:shd w:val="clear" w:color="auto" w:fill="D9E2F3"/>
            <w:vAlign w:val="center"/>
          </w:tcPr>
          <w:p w14:paraId="009F9259" w14:textId="77777777" w:rsidR="00990B14" w:rsidRDefault="00000000">
            <w:pPr>
              <w:spacing w:before="20" w:after="20"/>
              <w:jc w:val="both"/>
            </w:pPr>
            <w:r>
              <w:rPr>
                <w:sz w:val="18"/>
                <w:szCs w:val="18"/>
              </w:rPr>
              <w:t>Identifica y explica principios.</w:t>
            </w:r>
          </w:p>
        </w:tc>
        <w:tc>
          <w:tcPr>
            <w:tcW w:w="1866" w:type="dxa"/>
            <w:shd w:val="clear" w:color="auto" w:fill="D9E2F3"/>
            <w:vAlign w:val="center"/>
          </w:tcPr>
          <w:p w14:paraId="04BE0E6B" w14:textId="77777777" w:rsidR="00990B14" w:rsidRDefault="00000000">
            <w:pPr>
              <w:spacing w:before="20" w:after="20"/>
              <w:jc w:val="both"/>
            </w:pPr>
            <w:r>
              <w:rPr>
                <w:sz w:val="18"/>
                <w:szCs w:val="18"/>
              </w:rPr>
              <w:t>Justifica su aplicación contractual.</w:t>
            </w:r>
          </w:p>
        </w:tc>
      </w:tr>
      <w:tr w:rsidR="00990B14" w14:paraId="3DC6C743" w14:textId="77777777">
        <w:trPr>
          <w:cantSplit/>
          <w:jc w:val="center"/>
        </w:trPr>
        <w:tc>
          <w:tcPr>
            <w:tcW w:w="1883" w:type="dxa"/>
            <w:vMerge/>
            <w:shd w:val="clear" w:color="auto" w:fill="4472C4"/>
            <w:vAlign w:val="center"/>
          </w:tcPr>
          <w:p w14:paraId="325530C5" w14:textId="77777777" w:rsidR="00990B14" w:rsidRDefault="00990B14">
            <w:pPr>
              <w:spacing w:before="20" w:after="20"/>
            </w:pPr>
          </w:p>
        </w:tc>
        <w:tc>
          <w:tcPr>
            <w:tcW w:w="1873" w:type="dxa"/>
            <w:shd w:val="clear" w:color="auto" w:fill="D9E2F3"/>
            <w:vAlign w:val="center"/>
          </w:tcPr>
          <w:p w14:paraId="093CD635" w14:textId="77777777" w:rsidR="00990B14" w:rsidRDefault="00000000">
            <w:pPr>
              <w:spacing w:before="20" w:after="20"/>
              <w:jc w:val="both"/>
            </w:pPr>
            <w:r>
              <w:rPr>
                <w:sz w:val="18"/>
                <w:szCs w:val="18"/>
              </w:rPr>
              <w:t>Presentación</w:t>
            </w:r>
          </w:p>
        </w:tc>
        <w:tc>
          <w:tcPr>
            <w:tcW w:w="1873" w:type="dxa"/>
            <w:shd w:val="clear" w:color="auto" w:fill="D9E2F3"/>
            <w:vAlign w:val="center"/>
          </w:tcPr>
          <w:p w14:paraId="7DF276BB" w14:textId="77777777" w:rsidR="00990B14" w:rsidRDefault="00000000">
            <w:pPr>
              <w:spacing w:before="20" w:after="20"/>
              <w:jc w:val="both"/>
            </w:pPr>
            <w:r>
              <w:rPr>
                <w:sz w:val="18"/>
                <w:szCs w:val="18"/>
              </w:rPr>
              <w:t>Es incompleto.</w:t>
            </w:r>
          </w:p>
        </w:tc>
        <w:tc>
          <w:tcPr>
            <w:tcW w:w="1910" w:type="dxa"/>
            <w:shd w:val="clear" w:color="auto" w:fill="D9E2F3"/>
            <w:vAlign w:val="center"/>
          </w:tcPr>
          <w:p w14:paraId="59C1EF13" w14:textId="77777777" w:rsidR="00990B14" w:rsidRDefault="00000000">
            <w:pPr>
              <w:spacing w:before="20" w:after="20"/>
              <w:jc w:val="both"/>
            </w:pPr>
            <w:r>
              <w:rPr>
                <w:sz w:val="18"/>
                <w:szCs w:val="18"/>
              </w:rPr>
              <w:t>Es claro y ordenado.</w:t>
            </w:r>
          </w:p>
        </w:tc>
        <w:tc>
          <w:tcPr>
            <w:tcW w:w="1866" w:type="dxa"/>
            <w:shd w:val="clear" w:color="auto" w:fill="D9E2F3"/>
            <w:vAlign w:val="center"/>
          </w:tcPr>
          <w:p w14:paraId="7FFD9194" w14:textId="77777777" w:rsidR="00990B14" w:rsidRDefault="00000000">
            <w:pPr>
              <w:spacing w:before="20" w:after="20"/>
              <w:jc w:val="both"/>
            </w:pPr>
            <w:r>
              <w:rPr>
                <w:sz w:val="18"/>
                <w:szCs w:val="18"/>
              </w:rPr>
              <w:t>Integra relaciones y conclusiones.</w:t>
            </w:r>
          </w:p>
        </w:tc>
      </w:tr>
      <w:tr w:rsidR="00990B14" w14:paraId="5D89991F" w14:textId="77777777">
        <w:trPr>
          <w:cantSplit/>
          <w:jc w:val="center"/>
        </w:trPr>
        <w:tc>
          <w:tcPr>
            <w:tcW w:w="1883" w:type="dxa"/>
            <w:vMerge/>
            <w:shd w:val="clear" w:color="auto" w:fill="4472C4"/>
            <w:vAlign w:val="center"/>
          </w:tcPr>
          <w:p w14:paraId="0DD72FC8" w14:textId="77777777" w:rsidR="00990B14" w:rsidRDefault="00990B14">
            <w:pPr>
              <w:spacing w:before="20" w:after="20"/>
            </w:pPr>
          </w:p>
        </w:tc>
        <w:tc>
          <w:tcPr>
            <w:tcW w:w="5656" w:type="dxa"/>
            <w:gridSpan w:val="3"/>
            <w:shd w:val="clear" w:color="auto" w:fill="D9E2F3"/>
            <w:vAlign w:val="center"/>
          </w:tcPr>
          <w:p w14:paraId="1350C85A" w14:textId="77777777" w:rsidR="00990B14" w:rsidRDefault="00000000">
            <w:pPr>
              <w:keepNext/>
              <w:spacing w:before="20" w:after="20"/>
              <w:jc w:val="both"/>
            </w:pPr>
            <w:r>
              <w:rPr>
                <w:b/>
                <w:bCs/>
                <w:i/>
                <w:iCs/>
                <w:sz w:val="18"/>
                <w:szCs w:val="18"/>
              </w:rPr>
              <w:t xml:space="preserve">Producto 2: </w:t>
            </w:r>
            <w:r>
              <w:rPr>
                <w:sz w:val="18"/>
                <w:szCs w:val="18"/>
              </w:rPr>
              <w:t>Informe de análisis de riesgos sobre la protección patrimonial y estabilidad financiera de los asegurados.</w:t>
            </w:r>
          </w:p>
        </w:tc>
        <w:tc>
          <w:tcPr>
            <w:tcW w:w="1866" w:type="dxa"/>
            <w:shd w:val="clear" w:color="auto" w:fill="D9E2F3"/>
            <w:vAlign w:val="center"/>
          </w:tcPr>
          <w:p w14:paraId="1D22DD1E" w14:textId="77777777" w:rsidR="00990B14" w:rsidRDefault="00000000">
            <w:pPr>
              <w:spacing w:before="20" w:after="20"/>
              <w:jc w:val="center"/>
            </w:pPr>
            <w:r>
              <w:rPr>
                <w:b/>
                <w:bCs/>
                <w:sz w:val="18"/>
                <w:szCs w:val="18"/>
              </w:rPr>
              <w:t>6%</w:t>
            </w:r>
          </w:p>
        </w:tc>
      </w:tr>
      <w:tr w:rsidR="00990B14" w14:paraId="38FD0E60" w14:textId="77777777">
        <w:trPr>
          <w:cantSplit/>
          <w:jc w:val="center"/>
        </w:trPr>
        <w:tc>
          <w:tcPr>
            <w:tcW w:w="1883" w:type="dxa"/>
            <w:vMerge/>
            <w:shd w:val="clear" w:color="auto" w:fill="4472C4"/>
            <w:vAlign w:val="center"/>
          </w:tcPr>
          <w:p w14:paraId="02C41035" w14:textId="77777777" w:rsidR="00990B14" w:rsidRDefault="00990B14">
            <w:pPr>
              <w:spacing w:before="20" w:after="20"/>
            </w:pPr>
          </w:p>
        </w:tc>
        <w:tc>
          <w:tcPr>
            <w:tcW w:w="1873" w:type="dxa"/>
            <w:shd w:val="clear" w:color="auto" w:fill="4472C4"/>
            <w:vAlign w:val="center"/>
          </w:tcPr>
          <w:p w14:paraId="36AE81D8" w14:textId="77777777" w:rsidR="00990B14" w:rsidRDefault="00000000">
            <w:pPr>
              <w:keepNext/>
              <w:spacing w:before="20" w:after="20"/>
              <w:jc w:val="center"/>
            </w:pPr>
            <w:r>
              <w:rPr>
                <w:b/>
                <w:bCs/>
                <w:i/>
                <w:iCs/>
                <w:color w:val="FFFFFF"/>
                <w:sz w:val="18"/>
                <w:szCs w:val="18"/>
              </w:rPr>
              <w:t>Criterio</w:t>
            </w:r>
          </w:p>
        </w:tc>
        <w:tc>
          <w:tcPr>
            <w:tcW w:w="1873" w:type="dxa"/>
            <w:shd w:val="clear" w:color="auto" w:fill="4472C4"/>
            <w:vAlign w:val="center"/>
          </w:tcPr>
          <w:p w14:paraId="5FB804F9"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31A3BC91" w14:textId="77777777" w:rsidR="00990B14" w:rsidRDefault="00000000">
            <w:pPr>
              <w:keepNext/>
              <w:spacing w:before="20" w:after="20"/>
              <w:jc w:val="center"/>
            </w:pPr>
            <w:r>
              <w:rPr>
                <w:b/>
                <w:bCs/>
                <w:i/>
                <w:iCs/>
                <w:color w:val="FFFFFF"/>
                <w:sz w:val="18"/>
                <w:szCs w:val="18"/>
              </w:rPr>
              <w:t>Suficiente (51–80)</w:t>
            </w:r>
          </w:p>
        </w:tc>
        <w:tc>
          <w:tcPr>
            <w:tcW w:w="1866" w:type="dxa"/>
            <w:shd w:val="clear" w:color="auto" w:fill="4472C4"/>
            <w:vAlign w:val="center"/>
          </w:tcPr>
          <w:p w14:paraId="7185E708" w14:textId="77777777" w:rsidR="00990B14" w:rsidRDefault="00000000">
            <w:pPr>
              <w:keepNext/>
              <w:spacing w:before="20" w:after="20"/>
              <w:jc w:val="center"/>
            </w:pPr>
            <w:r>
              <w:rPr>
                <w:b/>
                <w:bCs/>
                <w:i/>
                <w:iCs/>
                <w:color w:val="FFFFFF"/>
                <w:sz w:val="18"/>
                <w:szCs w:val="18"/>
              </w:rPr>
              <w:t>Destacado (81–100)</w:t>
            </w:r>
          </w:p>
        </w:tc>
      </w:tr>
      <w:tr w:rsidR="00990B14" w14:paraId="2CA7979A" w14:textId="77777777">
        <w:trPr>
          <w:cantSplit/>
          <w:jc w:val="center"/>
        </w:trPr>
        <w:tc>
          <w:tcPr>
            <w:tcW w:w="1883" w:type="dxa"/>
            <w:vMerge/>
            <w:shd w:val="clear" w:color="auto" w:fill="4472C4"/>
            <w:vAlign w:val="center"/>
          </w:tcPr>
          <w:p w14:paraId="5F1D4513" w14:textId="77777777" w:rsidR="00990B14" w:rsidRDefault="00990B14">
            <w:pPr>
              <w:spacing w:before="20" w:after="20"/>
            </w:pPr>
          </w:p>
        </w:tc>
        <w:tc>
          <w:tcPr>
            <w:tcW w:w="1873" w:type="dxa"/>
            <w:shd w:val="clear" w:color="auto" w:fill="D9E2F3"/>
            <w:vAlign w:val="center"/>
          </w:tcPr>
          <w:p w14:paraId="00EFDFB2" w14:textId="77777777" w:rsidR="00990B14" w:rsidRDefault="00000000">
            <w:pPr>
              <w:spacing w:before="20" w:after="20"/>
              <w:jc w:val="both"/>
            </w:pPr>
            <w:r>
              <w:rPr>
                <w:sz w:val="18"/>
                <w:szCs w:val="18"/>
              </w:rPr>
              <w:t>Identificación y Clasificación de Riesgos</w:t>
            </w:r>
          </w:p>
        </w:tc>
        <w:tc>
          <w:tcPr>
            <w:tcW w:w="1873" w:type="dxa"/>
            <w:shd w:val="clear" w:color="auto" w:fill="D9E2F3"/>
            <w:vAlign w:val="center"/>
          </w:tcPr>
          <w:p w14:paraId="0D655176" w14:textId="77777777" w:rsidR="00990B14" w:rsidRDefault="00000000">
            <w:pPr>
              <w:spacing w:before="20" w:after="20"/>
              <w:jc w:val="both"/>
            </w:pPr>
            <w:r>
              <w:rPr>
                <w:sz w:val="18"/>
                <w:szCs w:val="18"/>
              </w:rPr>
              <w:t>Identifica de forma incompleta los riesgos</w:t>
            </w:r>
          </w:p>
        </w:tc>
        <w:tc>
          <w:tcPr>
            <w:tcW w:w="1910" w:type="dxa"/>
            <w:shd w:val="clear" w:color="auto" w:fill="D9E2F3"/>
            <w:vAlign w:val="center"/>
          </w:tcPr>
          <w:p w14:paraId="02F2CC47" w14:textId="77777777" w:rsidR="00990B14" w:rsidRDefault="00000000">
            <w:pPr>
              <w:spacing w:before="20" w:after="20"/>
              <w:jc w:val="both"/>
            </w:pPr>
            <w:r>
              <w:rPr>
                <w:sz w:val="18"/>
                <w:szCs w:val="18"/>
              </w:rPr>
              <w:t>Identifica y clasifica adecuadamente los riesgos</w:t>
            </w:r>
          </w:p>
        </w:tc>
        <w:tc>
          <w:tcPr>
            <w:tcW w:w="1866" w:type="dxa"/>
            <w:shd w:val="clear" w:color="auto" w:fill="D9E2F3"/>
            <w:vAlign w:val="center"/>
          </w:tcPr>
          <w:p w14:paraId="37936572" w14:textId="77777777" w:rsidR="00990B14" w:rsidRDefault="00000000">
            <w:pPr>
              <w:spacing w:before="20" w:after="20"/>
              <w:jc w:val="both"/>
            </w:pPr>
            <w:r>
              <w:rPr>
                <w:sz w:val="18"/>
                <w:szCs w:val="18"/>
              </w:rPr>
              <w:t>Analiza y categoriza los riesgos con precisión técnica</w:t>
            </w:r>
          </w:p>
        </w:tc>
      </w:tr>
      <w:tr w:rsidR="00990B14" w14:paraId="6EBDE7A6" w14:textId="77777777">
        <w:trPr>
          <w:cantSplit/>
          <w:jc w:val="center"/>
        </w:trPr>
        <w:tc>
          <w:tcPr>
            <w:tcW w:w="1883" w:type="dxa"/>
            <w:vMerge/>
            <w:shd w:val="clear" w:color="auto" w:fill="4472C4"/>
            <w:vAlign w:val="center"/>
          </w:tcPr>
          <w:p w14:paraId="346FC530" w14:textId="77777777" w:rsidR="00990B14" w:rsidRDefault="00990B14">
            <w:pPr>
              <w:spacing w:before="20" w:after="20"/>
            </w:pPr>
          </w:p>
        </w:tc>
        <w:tc>
          <w:tcPr>
            <w:tcW w:w="1873" w:type="dxa"/>
            <w:shd w:val="clear" w:color="auto" w:fill="D9E2F3"/>
            <w:vAlign w:val="center"/>
          </w:tcPr>
          <w:p w14:paraId="3EEC9EE6" w14:textId="77777777" w:rsidR="00990B14" w:rsidRDefault="00000000">
            <w:pPr>
              <w:spacing w:before="20" w:after="20"/>
              <w:jc w:val="both"/>
            </w:pPr>
            <w:r>
              <w:rPr>
                <w:sz w:val="18"/>
                <w:szCs w:val="18"/>
              </w:rPr>
              <w:t>Análisis de Estabilidad Financiera y Coberturas</w:t>
            </w:r>
          </w:p>
        </w:tc>
        <w:tc>
          <w:tcPr>
            <w:tcW w:w="1873" w:type="dxa"/>
            <w:shd w:val="clear" w:color="auto" w:fill="D9E2F3"/>
            <w:vAlign w:val="center"/>
          </w:tcPr>
          <w:p w14:paraId="1698BCF1" w14:textId="77777777" w:rsidR="00990B14" w:rsidRDefault="00000000">
            <w:pPr>
              <w:spacing w:before="20" w:after="20"/>
              <w:jc w:val="both"/>
            </w:pPr>
            <w:r>
              <w:rPr>
                <w:sz w:val="18"/>
                <w:szCs w:val="18"/>
              </w:rPr>
              <w:t>Presenta cálculos o descripciones deficientes.</w:t>
            </w:r>
          </w:p>
        </w:tc>
        <w:tc>
          <w:tcPr>
            <w:tcW w:w="1910" w:type="dxa"/>
            <w:shd w:val="clear" w:color="auto" w:fill="D9E2F3"/>
            <w:vAlign w:val="center"/>
          </w:tcPr>
          <w:p w14:paraId="7C9525CA" w14:textId="77777777" w:rsidR="00990B14" w:rsidRDefault="00000000">
            <w:pPr>
              <w:spacing w:before="20" w:after="20"/>
              <w:jc w:val="both"/>
            </w:pPr>
            <w:r>
              <w:rPr>
                <w:sz w:val="18"/>
                <w:szCs w:val="18"/>
              </w:rPr>
              <w:t>Examina correctamente la relación de cobertura.</w:t>
            </w:r>
          </w:p>
        </w:tc>
        <w:tc>
          <w:tcPr>
            <w:tcW w:w="1866" w:type="dxa"/>
            <w:shd w:val="clear" w:color="auto" w:fill="D9E2F3"/>
            <w:vAlign w:val="center"/>
          </w:tcPr>
          <w:p w14:paraId="00D7B816" w14:textId="77777777" w:rsidR="00990B14" w:rsidRDefault="00000000">
            <w:pPr>
              <w:spacing w:before="20" w:after="20"/>
              <w:jc w:val="both"/>
            </w:pPr>
            <w:r>
              <w:rPr>
                <w:sz w:val="18"/>
                <w:szCs w:val="18"/>
              </w:rPr>
              <w:t>Evalúa correctamente el impacto financiero de las coberturas y primas.</w:t>
            </w:r>
          </w:p>
        </w:tc>
      </w:tr>
      <w:tr w:rsidR="00990B14" w14:paraId="230A4328" w14:textId="77777777">
        <w:trPr>
          <w:cantSplit/>
          <w:jc w:val="center"/>
        </w:trPr>
        <w:tc>
          <w:tcPr>
            <w:tcW w:w="1883" w:type="dxa"/>
            <w:vMerge/>
            <w:shd w:val="clear" w:color="auto" w:fill="4472C4"/>
            <w:vAlign w:val="center"/>
          </w:tcPr>
          <w:p w14:paraId="066CCC56" w14:textId="77777777" w:rsidR="00990B14" w:rsidRDefault="00990B14">
            <w:pPr>
              <w:spacing w:before="20" w:after="20"/>
            </w:pPr>
          </w:p>
        </w:tc>
        <w:tc>
          <w:tcPr>
            <w:tcW w:w="1873" w:type="dxa"/>
            <w:shd w:val="clear" w:color="auto" w:fill="D9E2F3"/>
            <w:vAlign w:val="center"/>
          </w:tcPr>
          <w:p w14:paraId="16E7B605" w14:textId="77777777" w:rsidR="00990B14" w:rsidRDefault="00000000">
            <w:pPr>
              <w:spacing w:before="20" w:after="20"/>
              <w:jc w:val="both"/>
            </w:pPr>
            <w:r>
              <w:rPr>
                <w:sz w:val="18"/>
                <w:szCs w:val="18"/>
              </w:rPr>
              <w:t>Estructura, Fundamentación Normativa y Conclusiones</w:t>
            </w:r>
          </w:p>
        </w:tc>
        <w:tc>
          <w:tcPr>
            <w:tcW w:w="1873" w:type="dxa"/>
            <w:shd w:val="clear" w:color="auto" w:fill="D9E2F3"/>
            <w:vAlign w:val="center"/>
          </w:tcPr>
          <w:p w14:paraId="523E88D3" w14:textId="77777777" w:rsidR="00990B14" w:rsidRDefault="00000000">
            <w:pPr>
              <w:spacing w:before="20" w:after="20"/>
              <w:jc w:val="both"/>
            </w:pPr>
            <w:r>
              <w:rPr>
                <w:sz w:val="18"/>
                <w:szCs w:val="18"/>
              </w:rPr>
              <w:t>El informe carece de orden lógico</w:t>
            </w:r>
          </w:p>
        </w:tc>
        <w:tc>
          <w:tcPr>
            <w:tcW w:w="1910" w:type="dxa"/>
            <w:shd w:val="clear" w:color="auto" w:fill="D9E2F3"/>
            <w:vAlign w:val="center"/>
          </w:tcPr>
          <w:p w14:paraId="4413EA88" w14:textId="77777777" w:rsidR="00990B14" w:rsidRDefault="00000000">
            <w:pPr>
              <w:spacing w:before="20" w:after="20"/>
              <w:jc w:val="both"/>
            </w:pPr>
            <w:r>
              <w:rPr>
                <w:sz w:val="18"/>
                <w:szCs w:val="18"/>
              </w:rPr>
              <w:t>El informe cuenta con una estructura formal aceptable</w:t>
            </w:r>
          </w:p>
        </w:tc>
        <w:tc>
          <w:tcPr>
            <w:tcW w:w="1866" w:type="dxa"/>
            <w:shd w:val="clear" w:color="auto" w:fill="D9E2F3"/>
            <w:vAlign w:val="center"/>
          </w:tcPr>
          <w:p w14:paraId="4B19421E" w14:textId="77777777" w:rsidR="00990B14" w:rsidRDefault="00000000">
            <w:pPr>
              <w:spacing w:before="20" w:after="20"/>
              <w:jc w:val="both"/>
            </w:pPr>
            <w:r>
              <w:rPr>
                <w:sz w:val="18"/>
                <w:szCs w:val="18"/>
              </w:rPr>
              <w:t>El informe destaca por su redacción formal impecable.</w:t>
            </w:r>
          </w:p>
        </w:tc>
      </w:tr>
      <w:tr w:rsidR="00990B14" w14:paraId="6E7CE93F" w14:textId="77777777">
        <w:trPr>
          <w:cantSplit/>
          <w:jc w:val="center"/>
        </w:trPr>
        <w:tc>
          <w:tcPr>
            <w:tcW w:w="1883" w:type="dxa"/>
            <w:vMerge/>
            <w:shd w:val="clear" w:color="auto" w:fill="4472C4"/>
            <w:vAlign w:val="center"/>
          </w:tcPr>
          <w:p w14:paraId="5BBF093B" w14:textId="77777777" w:rsidR="00990B14" w:rsidRDefault="00990B14">
            <w:pPr>
              <w:spacing w:before="20" w:after="20"/>
            </w:pPr>
          </w:p>
        </w:tc>
        <w:tc>
          <w:tcPr>
            <w:tcW w:w="5656" w:type="dxa"/>
            <w:gridSpan w:val="3"/>
            <w:shd w:val="clear" w:color="auto" w:fill="D9E2F3"/>
            <w:vAlign w:val="center"/>
          </w:tcPr>
          <w:p w14:paraId="4AD20303" w14:textId="77777777" w:rsidR="00990B14" w:rsidRDefault="00000000">
            <w:pPr>
              <w:keepNext/>
              <w:spacing w:before="20" w:after="20"/>
              <w:jc w:val="both"/>
            </w:pPr>
            <w:r>
              <w:rPr>
                <w:b/>
                <w:bCs/>
                <w:i/>
                <w:iCs/>
                <w:sz w:val="18"/>
                <w:szCs w:val="18"/>
              </w:rPr>
              <w:t xml:space="preserve">Producto 3: </w:t>
            </w:r>
            <w:r>
              <w:rPr>
                <w:sz w:val="18"/>
                <w:szCs w:val="18"/>
              </w:rPr>
              <w:t>Aplicación técnica y contable del Contrato de Coaseguro</w:t>
            </w:r>
          </w:p>
        </w:tc>
        <w:tc>
          <w:tcPr>
            <w:tcW w:w="1866" w:type="dxa"/>
            <w:shd w:val="clear" w:color="auto" w:fill="D9E2F3"/>
            <w:vAlign w:val="center"/>
          </w:tcPr>
          <w:p w14:paraId="75CA571D" w14:textId="77777777" w:rsidR="00990B14" w:rsidRDefault="00000000">
            <w:pPr>
              <w:spacing w:before="20" w:after="20"/>
              <w:jc w:val="center"/>
            </w:pPr>
            <w:r>
              <w:rPr>
                <w:b/>
                <w:bCs/>
                <w:sz w:val="18"/>
                <w:szCs w:val="18"/>
              </w:rPr>
              <w:t>6%</w:t>
            </w:r>
          </w:p>
        </w:tc>
      </w:tr>
      <w:tr w:rsidR="00990B14" w14:paraId="38F24A4D" w14:textId="77777777">
        <w:trPr>
          <w:cantSplit/>
          <w:jc w:val="center"/>
        </w:trPr>
        <w:tc>
          <w:tcPr>
            <w:tcW w:w="1883" w:type="dxa"/>
            <w:vMerge/>
            <w:shd w:val="clear" w:color="auto" w:fill="4472C4"/>
            <w:vAlign w:val="center"/>
          </w:tcPr>
          <w:p w14:paraId="490CFD83" w14:textId="77777777" w:rsidR="00990B14" w:rsidRDefault="00990B14">
            <w:pPr>
              <w:spacing w:before="20" w:after="20"/>
            </w:pPr>
          </w:p>
        </w:tc>
        <w:tc>
          <w:tcPr>
            <w:tcW w:w="1873" w:type="dxa"/>
            <w:shd w:val="clear" w:color="auto" w:fill="4472C4"/>
            <w:vAlign w:val="center"/>
          </w:tcPr>
          <w:p w14:paraId="12666C86" w14:textId="77777777" w:rsidR="00990B14" w:rsidRDefault="00000000">
            <w:pPr>
              <w:keepNext/>
              <w:spacing w:before="20" w:after="20"/>
              <w:jc w:val="center"/>
            </w:pPr>
            <w:r>
              <w:rPr>
                <w:b/>
                <w:bCs/>
                <w:i/>
                <w:iCs/>
                <w:color w:val="FFFFFF"/>
                <w:sz w:val="18"/>
                <w:szCs w:val="18"/>
              </w:rPr>
              <w:t>Criterio</w:t>
            </w:r>
          </w:p>
        </w:tc>
        <w:tc>
          <w:tcPr>
            <w:tcW w:w="1873" w:type="dxa"/>
            <w:shd w:val="clear" w:color="auto" w:fill="4472C4"/>
            <w:vAlign w:val="center"/>
          </w:tcPr>
          <w:p w14:paraId="7E5E13A9"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7A25496E" w14:textId="77777777" w:rsidR="00990B14" w:rsidRDefault="00000000">
            <w:pPr>
              <w:keepNext/>
              <w:spacing w:before="20" w:after="20"/>
              <w:jc w:val="center"/>
            </w:pPr>
            <w:r>
              <w:rPr>
                <w:b/>
                <w:bCs/>
                <w:i/>
                <w:iCs/>
                <w:color w:val="FFFFFF"/>
                <w:sz w:val="18"/>
                <w:szCs w:val="18"/>
              </w:rPr>
              <w:t>Suficiente (51–80)</w:t>
            </w:r>
          </w:p>
        </w:tc>
        <w:tc>
          <w:tcPr>
            <w:tcW w:w="1866" w:type="dxa"/>
            <w:shd w:val="clear" w:color="auto" w:fill="4472C4"/>
            <w:vAlign w:val="center"/>
          </w:tcPr>
          <w:p w14:paraId="037EF7BA" w14:textId="77777777" w:rsidR="00990B14" w:rsidRDefault="00000000">
            <w:pPr>
              <w:keepNext/>
              <w:spacing w:before="20" w:after="20"/>
              <w:jc w:val="center"/>
            </w:pPr>
            <w:r>
              <w:rPr>
                <w:b/>
                <w:bCs/>
                <w:i/>
                <w:iCs/>
                <w:color w:val="FFFFFF"/>
                <w:sz w:val="18"/>
                <w:szCs w:val="18"/>
              </w:rPr>
              <w:t>Destacado (81–100)</w:t>
            </w:r>
          </w:p>
        </w:tc>
      </w:tr>
      <w:tr w:rsidR="00990B14" w14:paraId="2D17BF91" w14:textId="77777777">
        <w:trPr>
          <w:cantSplit/>
          <w:jc w:val="center"/>
        </w:trPr>
        <w:tc>
          <w:tcPr>
            <w:tcW w:w="1883" w:type="dxa"/>
            <w:vMerge/>
            <w:shd w:val="clear" w:color="auto" w:fill="4472C4"/>
            <w:vAlign w:val="center"/>
          </w:tcPr>
          <w:p w14:paraId="42193A7F" w14:textId="77777777" w:rsidR="00990B14" w:rsidRDefault="00990B14">
            <w:pPr>
              <w:spacing w:before="20" w:after="20"/>
            </w:pPr>
          </w:p>
        </w:tc>
        <w:tc>
          <w:tcPr>
            <w:tcW w:w="1873" w:type="dxa"/>
            <w:shd w:val="clear" w:color="auto" w:fill="D9E2F3"/>
            <w:vAlign w:val="center"/>
          </w:tcPr>
          <w:p w14:paraId="5CE601C3" w14:textId="77777777" w:rsidR="00990B14" w:rsidRDefault="00000000">
            <w:pPr>
              <w:spacing w:before="20" w:after="20"/>
              <w:jc w:val="both"/>
            </w:pPr>
            <w:r>
              <w:rPr>
                <w:sz w:val="18"/>
                <w:szCs w:val="18"/>
              </w:rPr>
              <w:t>Determinación y Liquidación Técnica de Participaciones</w:t>
            </w:r>
          </w:p>
        </w:tc>
        <w:tc>
          <w:tcPr>
            <w:tcW w:w="1873" w:type="dxa"/>
            <w:shd w:val="clear" w:color="auto" w:fill="D9E2F3"/>
            <w:vAlign w:val="center"/>
          </w:tcPr>
          <w:p w14:paraId="7EDE77B1" w14:textId="77777777" w:rsidR="00990B14" w:rsidRDefault="00000000">
            <w:pPr>
              <w:spacing w:before="20" w:after="20"/>
              <w:jc w:val="both"/>
            </w:pPr>
            <w:r>
              <w:rPr>
                <w:sz w:val="18"/>
                <w:szCs w:val="18"/>
              </w:rPr>
              <w:t>Presenta errores en el cálculo de los porcentajes de participación.</w:t>
            </w:r>
          </w:p>
        </w:tc>
        <w:tc>
          <w:tcPr>
            <w:tcW w:w="1910" w:type="dxa"/>
            <w:shd w:val="clear" w:color="auto" w:fill="D9E2F3"/>
            <w:vAlign w:val="center"/>
          </w:tcPr>
          <w:p w14:paraId="37A2CA0C" w14:textId="77777777" w:rsidR="00990B14" w:rsidRDefault="00000000">
            <w:pPr>
              <w:spacing w:before="20" w:after="20"/>
              <w:jc w:val="both"/>
            </w:pPr>
            <w:r>
              <w:rPr>
                <w:sz w:val="18"/>
                <w:szCs w:val="18"/>
              </w:rPr>
              <w:t>Calcula e identifica de manera correcta los porcentajes de participación.</w:t>
            </w:r>
          </w:p>
        </w:tc>
        <w:tc>
          <w:tcPr>
            <w:tcW w:w="1866" w:type="dxa"/>
            <w:shd w:val="clear" w:color="auto" w:fill="D9E2F3"/>
            <w:vAlign w:val="center"/>
          </w:tcPr>
          <w:p w14:paraId="7B2DF4DD" w14:textId="77777777" w:rsidR="00990B14" w:rsidRDefault="00000000">
            <w:pPr>
              <w:spacing w:before="20" w:after="20"/>
              <w:jc w:val="both"/>
            </w:pPr>
            <w:r>
              <w:rPr>
                <w:sz w:val="18"/>
                <w:szCs w:val="18"/>
              </w:rPr>
              <w:t>Determina con precisión la distribución del riesgo, primas y comisiones.</w:t>
            </w:r>
          </w:p>
        </w:tc>
      </w:tr>
      <w:tr w:rsidR="00990B14" w14:paraId="789C4B8B" w14:textId="77777777">
        <w:trPr>
          <w:cantSplit/>
          <w:jc w:val="center"/>
        </w:trPr>
        <w:tc>
          <w:tcPr>
            <w:tcW w:w="1883" w:type="dxa"/>
            <w:vMerge/>
            <w:shd w:val="clear" w:color="auto" w:fill="4472C4"/>
            <w:vAlign w:val="center"/>
          </w:tcPr>
          <w:p w14:paraId="031CEC21" w14:textId="77777777" w:rsidR="00990B14" w:rsidRDefault="00990B14">
            <w:pPr>
              <w:spacing w:before="20" w:after="20"/>
            </w:pPr>
          </w:p>
        </w:tc>
        <w:tc>
          <w:tcPr>
            <w:tcW w:w="1873" w:type="dxa"/>
            <w:shd w:val="clear" w:color="auto" w:fill="D9E2F3"/>
            <w:vAlign w:val="center"/>
          </w:tcPr>
          <w:p w14:paraId="079B6849" w14:textId="77777777" w:rsidR="00990B14" w:rsidRDefault="00000000">
            <w:pPr>
              <w:spacing w:before="20" w:after="20"/>
              <w:jc w:val="both"/>
            </w:pPr>
            <w:r>
              <w:rPr>
                <w:sz w:val="18"/>
                <w:szCs w:val="18"/>
              </w:rPr>
              <w:t>Registro y Tratamiento Contable de Contratos de (Coaseguro Activo y Pasivo)</w:t>
            </w:r>
          </w:p>
        </w:tc>
        <w:tc>
          <w:tcPr>
            <w:tcW w:w="1873" w:type="dxa"/>
            <w:shd w:val="clear" w:color="auto" w:fill="D9E2F3"/>
            <w:vAlign w:val="center"/>
          </w:tcPr>
          <w:p w14:paraId="6FFC7822" w14:textId="77777777" w:rsidR="00990B14" w:rsidRDefault="00000000">
            <w:pPr>
              <w:spacing w:before="20" w:after="20"/>
              <w:jc w:val="both"/>
            </w:pPr>
            <w:r>
              <w:rPr>
                <w:sz w:val="18"/>
                <w:szCs w:val="18"/>
              </w:rPr>
              <w:t>Comete errores conceptuales.</w:t>
            </w:r>
          </w:p>
        </w:tc>
        <w:tc>
          <w:tcPr>
            <w:tcW w:w="1910" w:type="dxa"/>
            <w:shd w:val="clear" w:color="auto" w:fill="D9E2F3"/>
            <w:vAlign w:val="center"/>
          </w:tcPr>
          <w:p w14:paraId="4399A95A" w14:textId="77777777" w:rsidR="00990B14" w:rsidRDefault="00000000">
            <w:pPr>
              <w:spacing w:before="20" w:after="20"/>
              <w:jc w:val="both"/>
            </w:pPr>
            <w:r>
              <w:rPr>
                <w:sz w:val="18"/>
                <w:szCs w:val="18"/>
              </w:rPr>
              <w:t>Registra correctamente las Operaciones</w:t>
            </w:r>
          </w:p>
        </w:tc>
        <w:tc>
          <w:tcPr>
            <w:tcW w:w="1866" w:type="dxa"/>
            <w:shd w:val="clear" w:color="auto" w:fill="D9E2F3"/>
            <w:vAlign w:val="center"/>
          </w:tcPr>
          <w:p w14:paraId="7902B9BC" w14:textId="77777777" w:rsidR="00990B14" w:rsidRDefault="00000000">
            <w:pPr>
              <w:spacing w:before="20" w:after="20"/>
              <w:jc w:val="both"/>
            </w:pPr>
            <w:r>
              <w:rPr>
                <w:sz w:val="18"/>
                <w:szCs w:val="18"/>
              </w:rPr>
              <w:t>Desarrolla de manera precisa el ciclo contable.</w:t>
            </w:r>
          </w:p>
        </w:tc>
      </w:tr>
      <w:tr w:rsidR="00990B14" w14:paraId="627DFDAB" w14:textId="77777777">
        <w:trPr>
          <w:cantSplit/>
          <w:jc w:val="center"/>
        </w:trPr>
        <w:tc>
          <w:tcPr>
            <w:tcW w:w="1883" w:type="dxa"/>
            <w:vMerge/>
            <w:shd w:val="clear" w:color="auto" w:fill="4472C4"/>
            <w:vAlign w:val="center"/>
          </w:tcPr>
          <w:p w14:paraId="1F0B0337" w14:textId="77777777" w:rsidR="00990B14" w:rsidRDefault="00990B14">
            <w:pPr>
              <w:spacing w:before="20" w:after="20"/>
            </w:pPr>
          </w:p>
        </w:tc>
        <w:tc>
          <w:tcPr>
            <w:tcW w:w="1873" w:type="dxa"/>
            <w:shd w:val="clear" w:color="auto" w:fill="D9E2F3"/>
            <w:vAlign w:val="center"/>
          </w:tcPr>
          <w:p w14:paraId="0487283B" w14:textId="77777777" w:rsidR="00990B14" w:rsidRDefault="00000000">
            <w:pPr>
              <w:spacing w:before="20" w:after="20"/>
              <w:jc w:val="both"/>
            </w:pPr>
            <w:r>
              <w:rPr>
                <w:sz w:val="18"/>
                <w:szCs w:val="18"/>
              </w:rPr>
              <w:t>Fundamentación Normativa y Presentación Técnica</w:t>
            </w:r>
          </w:p>
        </w:tc>
        <w:tc>
          <w:tcPr>
            <w:tcW w:w="1873" w:type="dxa"/>
            <w:shd w:val="clear" w:color="auto" w:fill="D9E2F3"/>
            <w:vAlign w:val="center"/>
          </w:tcPr>
          <w:p w14:paraId="501F0B57" w14:textId="77777777" w:rsidR="00990B14" w:rsidRDefault="00000000">
            <w:pPr>
              <w:spacing w:before="20" w:after="20"/>
              <w:jc w:val="both"/>
            </w:pPr>
            <w:r>
              <w:rPr>
                <w:sz w:val="18"/>
                <w:szCs w:val="18"/>
              </w:rPr>
              <w:t>No aplica la legislación regulatoria.</w:t>
            </w:r>
          </w:p>
        </w:tc>
        <w:tc>
          <w:tcPr>
            <w:tcW w:w="1910" w:type="dxa"/>
            <w:shd w:val="clear" w:color="auto" w:fill="D9E2F3"/>
            <w:vAlign w:val="center"/>
          </w:tcPr>
          <w:p w14:paraId="5202F361" w14:textId="77777777" w:rsidR="00990B14" w:rsidRDefault="00000000">
            <w:pPr>
              <w:spacing w:before="20" w:after="20"/>
              <w:jc w:val="both"/>
            </w:pPr>
            <w:r>
              <w:rPr>
                <w:sz w:val="18"/>
                <w:szCs w:val="18"/>
              </w:rPr>
              <w:t>Justifica el procedimiento de acuerdo con la normativa vigente.</w:t>
            </w:r>
          </w:p>
        </w:tc>
        <w:tc>
          <w:tcPr>
            <w:tcW w:w="1866" w:type="dxa"/>
            <w:shd w:val="clear" w:color="auto" w:fill="D9E2F3"/>
            <w:vAlign w:val="center"/>
          </w:tcPr>
          <w:p w14:paraId="563FA3DB" w14:textId="77777777" w:rsidR="00990B14" w:rsidRDefault="00000000">
            <w:pPr>
              <w:spacing w:before="20" w:after="20"/>
              <w:jc w:val="both"/>
            </w:pPr>
            <w:r>
              <w:rPr>
                <w:sz w:val="18"/>
                <w:szCs w:val="18"/>
              </w:rPr>
              <w:t>Presenta el Informe con el respaldo normativo preciso.</w:t>
            </w:r>
          </w:p>
        </w:tc>
      </w:tr>
      <w:tr w:rsidR="00990B14" w14:paraId="2BA3684A" w14:textId="77777777">
        <w:trPr>
          <w:cantSplit/>
          <w:jc w:val="center"/>
        </w:trPr>
        <w:tc>
          <w:tcPr>
            <w:tcW w:w="1883" w:type="dxa"/>
            <w:vMerge/>
            <w:shd w:val="clear" w:color="auto" w:fill="4472C4"/>
            <w:vAlign w:val="center"/>
          </w:tcPr>
          <w:p w14:paraId="167985A8" w14:textId="77777777" w:rsidR="00990B14" w:rsidRDefault="00990B14">
            <w:pPr>
              <w:spacing w:before="20" w:after="20"/>
            </w:pPr>
          </w:p>
        </w:tc>
        <w:tc>
          <w:tcPr>
            <w:tcW w:w="5656" w:type="dxa"/>
            <w:gridSpan w:val="3"/>
            <w:shd w:val="clear" w:color="auto" w:fill="D9E2F3"/>
            <w:vAlign w:val="center"/>
          </w:tcPr>
          <w:p w14:paraId="4F092D29" w14:textId="77777777" w:rsidR="00990B14" w:rsidRDefault="00000000">
            <w:pPr>
              <w:keepNext/>
              <w:spacing w:before="20" w:after="20"/>
              <w:jc w:val="both"/>
            </w:pPr>
            <w:r>
              <w:rPr>
                <w:b/>
                <w:bCs/>
                <w:i/>
                <w:iCs/>
                <w:sz w:val="18"/>
                <w:szCs w:val="18"/>
              </w:rPr>
              <w:t xml:space="preserve">Producto 4: </w:t>
            </w:r>
            <w:r>
              <w:rPr>
                <w:sz w:val="18"/>
                <w:szCs w:val="18"/>
              </w:rPr>
              <w:t>Aplicación técnica y contable de los Contratos de Reaseguro.</w:t>
            </w:r>
          </w:p>
        </w:tc>
        <w:tc>
          <w:tcPr>
            <w:tcW w:w="1866" w:type="dxa"/>
            <w:shd w:val="clear" w:color="auto" w:fill="D9E2F3"/>
            <w:vAlign w:val="center"/>
          </w:tcPr>
          <w:p w14:paraId="2E166167" w14:textId="77777777" w:rsidR="00990B14" w:rsidRDefault="00000000">
            <w:pPr>
              <w:spacing w:before="20" w:after="20"/>
              <w:jc w:val="center"/>
            </w:pPr>
            <w:r>
              <w:rPr>
                <w:b/>
                <w:bCs/>
                <w:sz w:val="18"/>
                <w:szCs w:val="18"/>
              </w:rPr>
              <w:t>7%</w:t>
            </w:r>
          </w:p>
        </w:tc>
      </w:tr>
      <w:tr w:rsidR="00990B14" w14:paraId="53BE86E8" w14:textId="77777777">
        <w:trPr>
          <w:cantSplit/>
          <w:jc w:val="center"/>
        </w:trPr>
        <w:tc>
          <w:tcPr>
            <w:tcW w:w="1883" w:type="dxa"/>
            <w:vMerge/>
            <w:shd w:val="clear" w:color="auto" w:fill="4472C4"/>
            <w:vAlign w:val="center"/>
          </w:tcPr>
          <w:p w14:paraId="36E49761" w14:textId="77777777" w:rsidR="00990B14" w:rsidRDefault="00990B14">
            <w:pPr>
              <w:spacing w:before="20" w:after="20"/>
            </w:pPr>
          </w:p>
        </w:tc>
        <w:tc>
          <w:tcPr>
            <w:tcW w:w="1873" w:type="dxa"/>
            <w:shd w:val="clear" w:color="auto" w:fill="4472C4"/>
            <w:vAlign w:val="center"/>
          </w:tcPr>
          <w:p w14:paraId="7A903C6D" w14:textId="77777777" w:rsidR="00990B14" w:rsidRDefault="00000000">
            <w:pPr>
              <w:keepNext/>
              <w:spacing w:before="20" w:after="20"/>
              <w:jc w:val="center"/>
            </w:pPr>
            <w:r>
              <w:rPr>
                <w:b/>
                <w:bCs/>
                <w:i/>
                <w:iCs/>
                <w:color w:val="FFFFFF"/>
                <w:sz w:val="18"/>
                <w:szCs w:val="18"/>
              </w:rPr>
              <w:t>Criterio</w:t>
            </w:r>
          </w:p>
        </w:tc>
        <w:tc>
          <w:tcPr>
            <w:tcW w:w="1873" w:type="dxa"/>
            <w:shd w:val="clear" w:color="auto" w:fill="4472C4"/>
            <w:vAlign w:val="center"/>
          </w:tcPr>
          <w:p w14:paraId="0A6B19C9"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49C8F4FB" w14:textId="77777777" w:rsidR="00990B14" w:rsidRDefault="00000000">
            <w:pPr>
              <w:keepNext/>
              <w:spacing w:before="20" w:after="20"/>
              <w:jc w:val="center"/>
            </w:pPr>
            <w:r>
              <w:rPr>
                <w:b/>
                <w:bCs/>
                <w:i/>
                <w:iCs/>
                <w:color w:val="FFFFFF"/>
                <w:sz w:val="18"/>
                <w:szCs w:val="18"/>
              </w:rPr>
              <w:t>Suficiente (51–80)</w:t>
            </w:r>
          </w:p>
        </w:tc>
        <w:tc>
          <w:tcPr>
            <w:tcW w:w="1866" w:type="dxa"/>
            <w:shd w:val="clear" w:color="auto" w:fill="4472C4"/>
            <w:vAlign w:val="center"/>
          </w:tcPr>
          <w:p w14:paraId="3D6B2D88" w14:textId="77777777" w:rsidR="00990B14" w:rsidRDefault="00000000">
            <w:pPr>
              <w:keepNext/>
              <w:spacing w:before="20" w:after="20"/>
              <w:jc w:val="center"/>
            </w:pPr>
            <w:r>
              <w:rPr>
                <w:b/>
                <w:bCs/>
                <w:i/>
                <w:iCs/>
                <w:color w:val="FFFFFF"/>
                <w:sz w:val="18"/>
                <w:szCs w:val="18"/>
              </w:rPr>
              <w:t>Destacado (81–100)</w:t>
            </w:r>
          </w:p>
        </w:tc>
      </w:tr>
      <w:tr w:rsidR="00990B14" w14:paraId="32BCEAB0" w14:textId="77777777">
        <w:trPr>
          <w:cantSplit/>
          <w:jc w:val="center"/>
        </w:trPr>
        <w:tc>
          <w:tcPr>
            <w:tcW w:w="1883" w:type="dxa"/>
            <w:vMerge/>
            <w:shd w:val="clear" w:color="auto" w:fill="4472C4"/>
            <w:vAlign w:val="center"/>
          </w:tcPr>
          <w:p w14:paraId="4F4A5D94" w14:textId="77777777" w:rsidR="00990B14" w:rsidRDefault="00990B14">
            <w:pPr>
              <w:spacing w:before="20" w:after="20"/>
            </w:pPr>
          </w:p>
        </w:tc>
        <w:tc>
          <w:tcPr>
            <w:tcW w:w="1873" w:type="dxa"/>
            <w:shd w:val="clear" w:color="auto" w:fill="D9E2F3"/>
            <w:vAlign w:val="center"/>
          </w:tcPr>
          <w:p w14:paraId="72F4D4CC" w14:textId="77777777" w:rsidR="00990B14" w:rsidRDefault="00000000">
            <w:pPr>
              <w:spacing w:before="20" w:after="20"/>
              <w:jc w:val="both"/>
            </w:pPr>
            <w:r>
              <w:rPr>
                <w:sz w:val="18"/>
                <w:szCs w:val="18"/>
              </w:rPr>
              <w:t>Determinación Técnica de Contratos, Retenciones y Cesiones</w:t>
            </w:r>
          </w:p>
        </w:tc>
        <w:tc>
          <w:tcPr>
            <w:tcW w:w="1873" w:type="dxa"/>
            <w:shd w:val="clear" w:color="auto" w:fill="D9E2F3"/>
            <w:vAlign w:val="center"/>
          </w:tcPr>
          <w:p w14:paraId="359494BD" w14:textId="77777777" w:rsidR="00990B14" w:rsidRDefault="00000000">
            <w:pPr>
              <w:spacing w:before="20" w:after="20"/>
              <w:jc w:val="both"/>
            </w:pPr>
            <w:r>
              <w:rPr>
                <w:sz w:val="18"/>
                <w:szCs w:val="18"/>
              </w:rPr>
              <w:t>Calcula mal.</w:t>
            </w:r>
          </w:p>
        </w:tc>
        <w:tc>
          <w:tcPr>
            <w:tcW w:w="1910" w:type="dxa"/>
            <w:shd w:val="clear" w:color="auto" w:fill="D9E2F3"/>
            <w:vAlign w:val="center"/>
          </w:tcPr>
          <w:p w14:paraId="201AEF9A" w14:textId="77777777" w:rsidR="00990B14" w:rsidRDefault="00000000">
            <w:pPr>
              <w:spacing w:before="20" w:after="20"/>
              <w:jc w:val="both"/>
            </w:pPr>
            <w:r>
              <w:rPr>
                <w:sz w:val="18"/>
                <w:szCs w:val="18"/>
              </w:rPr>
              <w:t>Calcula correctamente.</w:t>
            </w:r>
          </w:p>
        </w:tc>
        <w:tc>
          <w:tcPr>
            <w:tcW w:w="1866" w:type="dxa"/>
            <w:shd w:val="clear" w:color="auto" w:fill="D9E2F3"/>
            <w:vAlign w:val="center"/>
          </w:tcPr>
          <w:p w14:paraId="4466B1B9" w14:textId="77777777" w:rsidR="00990B14" w:rsidRDefault="00000000">
            <w:pPr>
              <w:spacing w:before="20" w:after="20"/>
              <w:jc w:val="both"/>
            </w:pPr>
            <w:r>
              <w:rPr>
                <w:sz w:val="18"/>
                <w:szCs w:val="18"/>
              </w:rPr>
              <w:t>Determina con precisión los cálculos.</w:t>
            </w:r>
          </w:p>
        </w:tc>
      </w:tr>
      <w:tr w:rsidR="00990B14" w14:paraId="52101F38" w14:textId="77777777">
        <w:trPr>
          <w:cantSplit/>
          <w:jc w:val="center"/>
        </w:trPr>
        <w:tc>
          <w:tcPr>
            <w:tcW w:w="1883" w:type="dxa"/>
            <w:vMerge/>
            <w:shd w:val="clear" w:color="auto" w:fill="4472C4"/>
            <w:vAlign w:val="center"/>
          </w:tcPr>
          <w:p w14:paraId="14842BAB" w14:textId="77777777" w:rsidR="00990B14" w:rsidRDefault="00990B14">
            <w:pPr>
              <w:spacing w:before="20" w:after="20"/>
            </w:pPr>
          </w:p>
        </w:tc>
        <w:tc>
          <w:tcPr>
            <w:tcW w:w="1873" w:type="dxa"/>
            <w:shd w:val="clear" w:color="auto" w:fill="D9E2F3"/>
            <w:vAlign w:val="center"/>
          </w:tcPr>
          <w:p w14:paraId="2D8C0EC5" w14:textId="77777777" w:rsidR="00990B14" w:rsidRDefault="00000000">
            <w:pPr>
              <w:spacing w:before="20" w:after="20"/>
              <w:jc w:val="both"/>
            </w:pPr>
            <w:r>
              <w:rPr>
                <w:sz w:val="18"/>
                <w:szCs w:val="18"/>
              </w:rPr>
              <w:t>Proceso y Tratamiento Contable (Cesión y Aceptación)</w:t>
            </w:r>
          </w:p>
        </w:tc>
        <w:tc>
          <w:tcPr>
            <w:tcW w:w="1873" w:type="dxa"/>
            <w:shd w:val="clear" w:color="auto" w:fill="D9E2F3"/>
            <w:vAlign w:val="center"/>
          </w:tcPr>
          <w:p w14:paraId="711F78A0" w14:textId="77777777" w:rsidR="00990B14" w:rsidRDefault="00000000">
            <w:pPr>
              <w:spacing w:before="20" w:after="20"/>
              <w:jc w:val="both"/>
            </w:pPr>
            <w:r>
              <w:rPr>
                <w:sz w:val="18"/>
                <w:szCs w:val="18"/>
              </w:rPr>
              <w:t>Comete errores conceptuales.</w:t>
            </w:r>
          </w:p>
        </w:tc>
        <w:tc>
          <w:tcPr>
            <w:tcW w:w="1910" w:type="dxa"/>
            <w:shd w:val="clear" w:color="auto" w:fill="D9E2F3"/>
            <w:vAlign w:val="center"/>
          </w:tcPr>
          <w:p w14:paraId="5F6382E4" w14:textId="77777777" w:rsidR="00990B14" w:rsidRDefault="00000000">
            <w:pPr>
              <w:spacing w:before="20" w:after="20"/>
              <w:jc w:val="both"/>
            </w:pPr>
            <w:r>
              <w:rPr>
                <w:sz w:val="18"/>
                <w:szCs w:val="18"/>
              </w:rPr>
              <w:t>Registra correctamente las Operaciones</w:t>
            </w:r>
          </w:p>
        </w:tc>
        <w:tc>
          <w:tcPr>
            <w:tcW w:w="1866" w:type="dxa"/>
            <w:shd w:val="clear" w:color="auto" w:fill="D9E2F3"/>
            <w:vAlign w:val="center"/>
          </w:tcPr>
          <w:p w14:paraId="07A14CE8" w14:textId="77777777" w:rsidR="00990B14" w:rsidRDefault="00000000">
            <w:pPr>
              <w:spacing w:before="20" w:after="20"/>
              <w:jc w:val="both"/>
            </w:pPr>
            <w:r>
              <w:rPr>
                <w:sz w:val="18"/>
                <w:szCs w:val="18"/>
              </w:rPr>
              <w:t>Desarrolla de manera precisa el ciclo contable.</w:t>
            </w:r>
          </w:p>
        </w:tc>
      </w:tr>
      <w:tr w:rsidR="00990B14" w14:paraId="2AA36DD3" w14:textId="77777777">
        <w:trPr>
          <w:cantSplit/>
          <w:jc w:val="center"/>
        </w:trPr>
        <w:tc>
          <w:tcPr>
            <w:tcW w:w="1883" w:type="dxa"/>
            <w:vMerge/>
            <w:shd w:val="clear" w:color="auto" w:fill="4472C4"/>
            <w:vAlign w:val="center"/>
          </w:tcPr>
          <w:p w14:paraId="4F8A975C" w14:textId="77777777" w:rsidR="00990B14" w:rsidRDefault="00990B14">
            <w:pPr>
              <w:spacing w:before="20" w:after="20"/>
            </w:pPr>
          </w:p>
        </w:tc>
        <w:tc>
          <w:tcPr>
            <w:tcW w:w="1873" w:type="dxa"/>
            <w:shd w:val="clear" w:color="auto" w:fill="D9E2F3"/>
            <w:vAlign w:val="center"/>
          </w:tcPr>
          <w:p w14:paraId="12DD9378" w14:textId="77777777" w:rsidR="00990B14" w:rsidRDefault="00000000">
            <w:pPr>
              <w:spacing w:before="20" w:after="20"/>
              <w:jc w:val="both"/>
            </w:pPr>
            <w:r>
              <w:rPr>
                <w:sz w:val="18"/>
                <w:szCs w:val="18"/>
              </w:rPr>
              <w:t>Tratamiento de las Reservas Técnicas y Normativa Aplicable</w:t>
            </w:r>
          </w:p>
        </w:tc>
        <w:tc>
          <w:tcPr>
            <w:tcW w:w="1873" w:type="dxa"/>
            <w:shd w:val="clear" w:color="auto" w:fill="D9E2F3"/>
            <w:vAlign w:val="center"/>
          </w:tcPr>
          <w:p w14:paraId="596F1D69" w14:textId="77777777" w:rsidR="00990B14" w:rsidRDefault="00000000">
            <w:pPr>
              <w:spacing w:before="20" w:after="20"/>
              <w:jc w:val="both"/>
            </w:pPr>
            <w:r>
              <w:rPr>
                <w:sz w:val="18"/>
                <w:szCs w:val="18"/>
              </w:rPr>
              <w:t>No aplica la legislación regulatoria.</w:t>
            </w:r>
          </w:p>
        </w:tc>
        <w:tc>
          <w:tcPr>
            <w:tcW w:w="1910" w:type="dxa"/>
            <w:shd w:val="clear" w:color="auto" w:fill="D9E2F3"/>
            <w:vAlign w:val="center"/>
          </w:tcPr>
          <w:p w14:paraId="16C8358A" w14:textId="77777777" w:rsidR="00990B14" w:rsidRDefault="00000000">
            <w:pPr>
              <w:spacing w:before="20" w:after="20"/>
              <w:jc w:val="both"/>
            </w:pPr>
            <w:r>
              <w:rPr>
                <w:sz w:val="18"/>
                <w:szCs w:val="18"/>
              </w:rPr>
              <w:t>Justifica el procedimiento de acuerdo con la normativa vigente.</w:t>
            </w:r>
          </w:p>
        </w:tc>
        <w:tc>
          <w:tcPr>
            <w:tcW w:w="1866" w:type="dxa"/>
            <w:shd w:val="clear" w:color="auto" w:fill="D9E2F3"/>
            <w:vAlign w:val="center"/>
          </w:tcPr>
          <w:p w14:paraId="19BAB44B" w14:textId="77777777" w:rsidR="00990B14" w:rsidRDefault="00000000">
            <w:pPr>
              <w:spacing w:before="20" w:after="20"/>
              <w:jc w:val="both"/>
            </w:pPr>
            <w:r>
              <w:rPr>
                <w:sz w:val="18"/>
                <w:szCs w:val="18"/>
              </w:rPr>
              <w:t>Presenta el Informe con el respaldo normativo preciso.</w:t>
            </w:r>
          </w:p>
        </w:tc>
      </w:tr>
      <w:tr w:rsidR="00990B14" w14:paraId="1EDCBD59" w14:textId="77777777">
        <w:trPr>
          <w:cantSplit/>
          <w:jc w:val="center"/>
        </w:trPr>
        <w:tc>
          <w:tcPr>
            <w:tcW w:w="1883" w:type="dxa"/>
            <w:vMerge/>
            <w:shd w:val="clear" w:color="auto" w:fill="4472C4"/>
            <w:vAlign w:val="center"/>
          </w:tcPr>
          <w:p w14:paraId="5AB9038E" w14:textId="77777777" w:rsidR="00990B14" w:rsidRDefault="00990B14">
            <w:pPr>
              <w:spacing w:before="20" w:after="20"/>
            </w:pPr>
          </w:p>
        </w:tc>
        <w:tc>
          <w:tcPr>
            <w:tcW w:w="5656" w:type="dxa"/>
            <w:gridSpan w:val="3"/>
            <w:shd w:val="clear" w:color="auto" w:fill="D9E2F3"/>
            <w:vAlign w:val="center"/>
          </w:tcPr>
          <w:p w14:paraId="06CA3881" w14:textId="77777777" w:rsidR="00990B14" w:rsidRDefault="00000000">
            <w:pPr>
              <w:keepNext/>
              <w:spacing w:before="20" w:after="20"/>
              <w:jc w:val="both"/>
            </w:pPr>
            <w:r>
              <w:rPr>
                <w:b/>
                <w:bCs/>
                <w:i/>
                <w:iCs/>
                <w:sz w:val="18"/>
                <w:szCs w:val="18"/>
              </w:rPr>
              <w:t xml:space="preserve">Producto 5: </w:t>
            </w:r>
            <w:r>
              <w:rPr>
                <w:sz w:val="18"/>
                <w:szCs w:val="18"/>
              </w:rPr>
              <w:t>Matriz de identificación de cuentas contables para las operaciones de seguros.</w:t>
            </w:r>
          </w:p>
        </w:tc>
        <w:tc>
          <w:tcPr>
            <w:tcW w:w="1866" w:type="dxa"/>
            <w:shd w:val="clear" w:color="auto" w:fill="D9E2F3"/>
            <w:vAlign w:val="center"/>
          </w:tcPr>
          <w:p w14:paraId="16E65F25" w14:textId="77777777" w:rsidR="00990B14" w:rsidRDefault="00000000">
            <w:pPr>
              <w:spacing w:before="20" w:after="20"/>
              <w:jc w:val="center"/>
            </w:pPr>
            <w:r>
              <w:rPr>
                <w:b/>
                <w:bCs/>
                <w:sz w:val="18"/>
                <w:szCs w:val="18"/>
              </w:rPr>
              <w:t>10%</w:t>
            </w:r>
          </w:p>
        </w:tc>
      </w:tr>
      <w:tr w:rsidR="00990B14" w14:paraId="3C1BDE84" w14:textId="77777777">
        <w:trPr>
          <w:cantSplit/>
          <w:jc w:val="center"/>
        </w:trPr>
        <w:tc>
          <w:tcPr>
            <w:tcW w:w="1883" w:type="dxa"/>
            <w:vMerge/>
            <w:shd w:val="clear" w:color="auto" w:fill="4472C4"/>
            <w:vAlign w:val="center"/>
          </w:tcPr>
          <w:p w14:paraId="1558CDEF" w14:textId="77777777" w:rsidR="00990B14" w:rsidRDefault="00990B14">
            <w:pPr>
              <w:spacing w:before="20" w:after="20"/>
            </w:pPr>
          </w:p>
        </w:tc>
        <w:tc>
          <w:tcPr>
            <w:tcW w:w="1873" w:type="dxa"/>
            <w:shd w:val="clear" w:color="auto" w:fill="4472C4"/>
            <w:vAlign w:val="center"/>
          </w:tcPr>
          <w:p w14:paraId="0AE1120F" w14:textId="77777777" w:rsidR="00990B14" w:rsidRDefault="00000000">
            <w:pPr>
              <w:keepNext/>
              <w:spacing w:before="20" w:after="20"/>
              <w:jc w:val="center"/>
            </w:pPr>
            <w:r>
              <w:rPr>
                <w:b/>
                <w:bCs/>
                <w:i/>
                <w:iCs/>
                <w:color w:val="FFFFFF"/>
                <w:sz w:val="18"/>
                <w:szCs w:val="18"/>
              </w:rPr>
              <w:t>Criterio</w:t>
            </w:r>
          </w:p>
        </w:tc>
        <w:tc>
          <w:tcPr>
            <w:tcW w:w="1873" w:type="dxa"/>
            <w:shd w:val="clear" w:color="auto" w:fill="4472C4"/>
            <w:vAlign w:val="center"/>
          </w:tcPr>
          <w:p w14:paraId="777E80D1"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4B20DB0B" w14:textId="77777777" w:rsidR="00990B14" w:rsidRDefault="00000000">
            <w:pPr>
              <w:keepNext/>
              <w:spacing w:before="20" w:after="20"/>
              <w:jc w:val="center"/>
            </w:pPr>
            <w:r>
              <w:rPr>
                <w:b/>
                <w:bCs/>
                <w:i/>
                <w:iCs/>
                <w:color w:val="FFFFFF"/>
                <w:sz w:val="18"/>
                <w:szCs w:val="18"/>
              </w:rPr>
              <w:t>Suficiente (51–80)</w:t>
            </w:r>
          </w:p>
        </w:tc>
        <w:tc>
          <w:tcPr>
            <w:tcW w:w="1866" w:type="dxa"/>
            <w:shd w:val="clear" w:color="auto" w:fill="4472C4"/>
            <w:vAlign w:val="center"/>
          </w:tcPr>
          <w:p w14:paraId="46801E6C" w14:textId="77777777" w:rsidR="00990B14" w:rsidRDefault="00000000">
            <w:pPr>
              <w:keepNext/>
              <w:spacing w:before="20" w:after="20"/>
              <w:jc w:val="center"/>
            </w:pPr>
            <w:r>
              <w:rPr>
                <w:b/>
                <w:bCs/>
                <w:i/>
                <w:iCs/>
                <w:color w:val="FFFFFF"/>
                <w:sz w:val="18"/>
                <w:szCs w:val="18"/>
              </w:rPr>
              <w:t>Destacado (81–100)</w:t>
            </w:r>
          </w:p>
        </w:tc>
      </w:tr>
      <w:tr w:rsidR="00990B14" w14:paraId="54C7AEC8" w14:textId="77777777">
        <w:trPr>
          <w:cantSplit/>
          <w:jc w:val="center"/>
        </w:trPr>
        <w:tc>
          <w:tcPr>
            <w:tcW w:w="1883" w:type="dxa"/>
            <w:vMerge/>
            <w:shd w:val="clear" w:color="auto" w:fill="4472C4"/>
            <w:vAlign w:val="center"/>
          </w:tcPr>
          <w:p w14:paraId="14343A28" w14:textId="77777777" w:rsidR="00990B14" w:rsidRDefault="00990B14">
            <w:pPr>
              <w:spacing w:before="20" w:after="20"/>
            </w:pPr>
          </w:p>
        </w:tc>
        <w:tc>
          <w:tcPr>
            <w:tcW w:w="1873" w:type="dxa"/>
            <w:shd w:val="clear" w:color="auto" w:fill="D9E2F3"/>
            <w:vAlign w:val="center"/>
          </w:tcPr>
          <w:p w14:paraId="32A7DFF5" w14:textId="77777777" w:rsidR="00990B14" w:rsidRDefault="00000000">
            <w:pPr>
              <w:spacing w:before="20" w:after="20"/>
              <w:jc w:val="both"/>
            </w:pPr>
            <w:r>
              <w:rPr>
                <w:sz w:val="18"/>
                <w:szCs w:val="18"/>
              </w:rPr>
              <w:t>Estructura y Codificación del Plan de Cuentas</w:t>
            </w:r>
          </w:p>
        </w:tc>
        <w:tc>
          <w:tcPr>
            <w:tcW w:w="1873" w:type="dxa"/>
            <w:shd w:val="clear" w:color="auto" w:fill="D9E2F3"/>
            <w:vAlign w:val="center"/>
          </w:tcPr>
          <w:p w14:paraId="6D478228" w14:textId="77777777" w:rsidR="00990B14" w:rsidRDefault="00000000">
            <w:pPr>
              <w:spacing w:before="20" w:after="20"/>
              <w:jc w:val="both"/>
            </w:pPr>
            <w:r>
              <w:rPr>
                <w:sz w:val="18"/>
                <w:szCs w:val="18"/>
              </w:rPr>
              <w:t>Presenta errores</w:t>
            </w:r>
          </w:p>
        </w:tc>
        <w:tc>
          <w:tcPr>
            <w:tcW w:w="1910" w:type="dxa"/>
            <w:shd w:val="clear" w:color="auto" w:fill="D9E2F3"/>
            <w:vAlign w:val="center"/>
          </w:tcPr>
          <w:p w14:paraId="6B5935A9" w14:textId="77777777" w:rsidR="00990B14" w:rsidRDefault="00000000">
            <w:pPr>
              <w:spacing w:before="20" w:after="20"/>
              <w:jc w:val="both"/>
            </w:pPr>
            <w:r>
              <w:rPr>
                <w:sz w:val="18"/>
                <w:szCs w:val="18"/>
              </w:rPr>
              <w:t>Estructura adecuada</w:t>
            </w:r>
          </w:p>
        </w:tc>
        <w:tc>
          <w:tcPr>
            <w:tcW w:w="1866" w:type="dxa"/>
            <w:shd w:val="clear" w:color="auto" w:fill="D9E2F3"/>
            <w:vAlign w:val="center"/>
          </w:tcPr>
          <w:p w14:paraId="586C7B6B" w14:textId="77777777" w:rsidR="00990B14" w:rsidRDefault="00000000">
            <w:pPr>
              <w:spacing w:before="20" w:after="20"/>
              <w:jc w:val="both"/>
            </w:pPr>
            <w:r>
              <w:rPr>
                <w:sz w:val="18"/>
                <w:szCs w:val="18"/>
              </w:rPr>
              <w:t>Estructura correctamente</w:t>
            </w:r>
          </w:p>
        </w:tc>
      </w:tr>
      <w:tr w:rsidR="00990B14" w14:paraId="60B55EF2" w14:textId="77777777">
        <w:trPr>
          <w:cantSplit/>
          <w:jc w:val="center"/>
        </w:trPr>
        <w:tc>
          <w:tcPr>
            <w:tcW w:w="1883" w:type="dxa"/>
            <w:vMerge/>
            <w:shd w:val="clear" w:color="auto" w:fill="4472C4"/>
            <w:vAlign w:val="center"/>
          </w:tcPr>
          <w:p w14:paraId="0B89129D" w14:textId="77777777" w:rsidR="00990B14" w:rsidRDefault="00990B14">
            <w:pPr>
              <w:spacing w:before="20" w:after="20"/>
            </w:pPr>
          </w:p>
        </w:tc>
        <w:tc>
          <w:tcPr>
            <w:tcW w:w="1873" w:type="dxa"/>
            <w:shd w:val="clear" w:color="auto" w:fill="D9E2F3"/>
            <w:vAlign w:val="center"/>
          </w:tcPr>
          <w:p w14:paraId="249BD05A" w14:textId="77777777" w:rsidR="00990B14" w:rsidRDefault="00000000">
            <w:pPr>
              <w:spacing w:before="20" w:after="20"/>
              <w:jc w:val="both"/>
            </w:pPr>
            <w:r>
              <w:rPr>
                <w:sz w:val="18"/>
                <w:szCs w:val="18"/>
              </w:rPr>
              <w:t>Registro Contable</w:t>
            </w:r>
          </w:p>
        </w:tc>
        <w:tc>
          <w:tcPr>
            <w:tcW w:w="1873" w:type="dxa"/>
            <w:shd w:val="clear" w:color="auto" w:fill="D9E2F3"/>
            <w:vAlign w:val="center"/>
          </w:tcPr>
          <w:p w14:paraId="0894D2D5" w14:textId="77777777" w:rsidR="00990B14" w:rsidRDefault="00000000">
            <w:pPr>
              <w:spacing w:before="20" w:after="20"/>
              <w:jc w:val="both"/>
            </w:pPr>
            <w:r>
              <w:rPr>
                <w:sz w:val="18"/>
                <w:szCs w:val="18"/>
              </w:rPr>
              <w:t>Comete errores conceptuales.</w:t>
            </w:r>
          </w:p>
        </w:tc>
        <w:tc>
          <w:tcPr>
            <w:tcW w:w="1910" w:type="dxa"/>
            <w:shd w:val="clear" w:color="auto" w:fill="D9E2F3"/>
            <w:vAlign w:val="center"/>
          </w:tcPr>
          <w:p w14:paraId="5068E974" w14:textId="77777777" w:rsidR="00990B14" w:rsidRDefault="00000000">
            <w:pPr>
              <w:spacing w:before="20" w:after="20"/>
              <w:jc w:val="both"/>
            </w:pPr>
            <w:r>
              <w:rPr>
                <w:sz w:val="18"/>
                <w:szCs w:val="18"/>
              </w:rPr>
              <w:t>Registra correctamente las Operaciones</w:t>
            </w:r>
          </w:p>
        </w:tc>
        <w:tc>
          <w:tcPr>
            <w:tcW w:w="1866" w:type="dxa"/>
            <w:shd w:val="clear" w:color="auto" w:fill="D9E2F3"/>
            <w:vAlign w:val="center"/>
          </w:tcPr>
          <w:p w14:paraId="63D0EA32" w14:textId="77777777" w:rsidR="00990B14" w:rsidRDefault="00000000">
            <w:pPr>
              <w:spacing w:before="20" w:after="20"/>
              <w:jc w:val="both"/>
            </w:pPr>
            <w:r>
              <w:rPr>
                <w:sz w:val="18"/>
                <w:szCs w:val="18"/>
              </w:rPr>
              <w:t>Desarrolla de manera precisa el ciclo contable.</w:t>
            </w:r>
          </w:p>
        </w:tc>
      </w:tr>
      <w:tr w:rsidR="00990B14" w14:paraId="408B0C69" w14:textId="77777777">
        <w:trPr>
          <w:cantSplit/>
          <w:jc w:val="center"/>
        </w:trPr>
        <w:tc>
          <w:tcPr>
            <w:tcW w:w="1883" w:type="dxa"/>
            <w:vMerge/>
            <w:shd w:val="clear" w:color="auto" w:fill="4472C4"/>
            <w:vAlign w:val="center"/>
          </w:tcPr>
          <w:p w14:paraId="29086180" w14:textId="77777777" w:rsidR="00990B14" w:rsidRDefault="00990B14">
            <w:pPr>
              <w:spacing w:before="20" w:after="20"/>
            </w:pPr>
          </w:p>
        </w:tc>
        <w:tc>
          <w:tcPr>
            <w:tcW w:w="1873" w:type="dxa"/>
            <w:shd w:val="clear" w:color="auto" w:fill="D9E2F3"/>
            <w:vAlign w:val="center"/>
          </w:tcPr>
          <w:p w14:paraId="41914171" w14:textId="77777777" w:rsidR="00990B14" w:rsidRDefault="00000000">
            <w:pPr>
              <w:spacing w:before="20" w:after="20"/>
              <w:jc w:val="both"/>
            </w:pPr>
            <w:r>
              <w:rPr>
                <w:sz w:val="18"/>
                <w:szCs w:val="18"/>
              </w:rPr>
              <w:t>Fundamentación y Presentación del Documento</w:t>
            </w:r>
          </w:p>
        </w:tc>
        <w:tc>
          <w:tcPr>
            <w:tcW w:w="1873" w:type="dxa"/>
            <w:shd w:val="clear" w:color="auto" w:fill="D9E2F3"/>
            <w:vAlign w:val="center"/>
          </w:tcPr>
          <w:p w14:paraId="7C887300" w14:textId="77777777" w:rsidR="00990B14" w:rsidRDefault="00000000">
            <w:pPr>
              <w:spacing w:before="20" w:after="20"/>
              <w:jc w:val="both"/>
            </w:pPr>
            <w:r>
              <w:rPr>
                <w:sz w:val="18"/>
                <w:szCs w:val="18"/>
              </w:rPr>
              <w:t>Carece de orden.</w:t>
            </w:r>
          </w:p>
        </w:tc>
        <w:tc>
          <w:tcPr>
            <w:tcW w:w="1910" w:type="dxa"/>
            <w:shd w:val="clear" w:color="auto" w:fill="D9E2F3"/>
            <w:vAlign w:val="center"/>
          </w:tcPr>
          <w:p w14:paraId="19B0B6DF" w14:textId="77777777" w:rsidR="00990B14" w:rsidRDefault="00000000">
            <w:pPr>
              <w:spacing w:before="20" w:after="20"/>
              <w:jc w:val="both"/>
            </w:pPr>
            <w:r>
              <w:rPr>
                <w:sz w:val="18"/>
                <w:szCs w:val="18"/>
              </w:rPr>
              <w:t>Presenta de forma clara y ordenada.</w:t>
            </w:r>
          </w:p>
        </w:tc>
        <w:tc>
          <w:tcPr>
            <w:tcW w:w="1866" w:type="dxa"/>
            <w:shd w:val="clear" w:color="auto" w:fill="D9E2F3"/>
            <w:vAlign w:val="center"/>
          </w:tcPr>
          <w:p w14:paraId="2B6443D5" w14:textId="77777777" w:rsidR="00990B14" w:rsidRDefault="00000000">
            <w:pPr>
              <w:spacing w:before="20" w:after="20"/>
              <w:jc w:val="both"/>
            </w:pPr>
            <w:r>
              <w:rPr>
                <w:sz w:val="18"/>
                <w:szCs w:val="18"/>
              </w:rPr>
              <w:t>Presenta la documentación legal y contable.</w:t>
            </w:r>
          </w:p>
        </w:tc>
      </w:tr>
      <w:tr w:rsidR="00990B14" w14:paraId="36AF5DA2" w14:textId="77777777">
        <w:trPr>
          <w:cantSplit/>
          <w:jc w:val="center"/>
        </w:trPr>
        <w:tc>
          <w:tcPr>
            <w:tcW w:w="1883" w:type="dxa"/>
            <w:vMerge/>
            <w:shd w:val="clear" w:color="auto" w:fill="4472C4"/>
            <w:vAlign w:val="center"/>
          </w:tcPr>
          <w:p w14:paraId="3167DD4E" w14:textId="77777777" w:rsidR="00990B14" w:rsidRDefault="00990B14">
            <w:pPr>
              <w:spacing w:before="20" w:after="20"/>
            </w:pPr>
          </w:p>
        </w:tc>
        <w:tc>
          <w:tcPr>
            <w:tcW w:w="5656" w:type="dxa"/>
            <w:gridSpan w:val="3"/>
            <w:shd w:val="clear" w:color="auto" w:fill="D9E2F3"/>
            <w:vAlign w:val="center"/>
          </w:tcPr>
          <w:p w14:paraId="78A1C5E9" w14:textId="77777777" w:rsidR="00990B14" w:rsidRDefault="00000000">
            <w:pPr>
              <w:keepNext/>
              <w:spacing w:before="20" w:after="20"/>
              <w:jc w:val="both"/>
            </w:pPr>
            <w:r>
              <w:rPr>
                <w:b/>
                <w:bCs/>
                <w:i/>
                <w:iCs/>
                <w:sz w:val="18"/>
                <w:szCs w:val="18"/>
              </w:rPr>
              <w:t xml:space="preserve">Producto 6: </w:t>
            </w:r>
            <w:r>
              <w:rPr>
                <w:sz w:val="18"/>
                <w:szCs w:val="18"/>
              </w:rPr>
              <w:t>Registro contable de operaciones del Seguro Privado.</w:t>
            </w:r>
          </w:p>
        </w:tc>
        <w:tc>
          <w:tcPr>
            <w:tcW w:w="1866" w:type="dxa"/>
            <w:shd w:val="clear" w:color="auto" w:fill="D9E2F3"/>
            <w:vAlign w:val="center"/>
          </w:tcPr>
          <w:p w14:paraId="71326DE8" w14:textId="77777777" w:rsidR="00990B14" w:rsidRDefault="00000000">
            <w:pPr>
              <w:spacing w:before="20" w:after="20"/>
              <w:jc w:val="center"/>
            </w:pPr>
            <w:r>
              <w:rPr>
                <w:b/>
                <w:bCs/>
                <w:sz w:val="18"/>
                <w:szCs w:val="18"/>
              </w:rPr>
              <w:t>10%</w:t>
            </w:r>
          </w:p>
        </w:tc>
      </w:tr>
      <w:tr w:rsidR="00990B14" w14:paraId="06F8F5FF" w14:textId="77777777">
        <w:trPr>
          <w:cantSplit/>
          <w:jc w:val="center"/>
        </w:trPr>
        <w:tc>
          <w:tcPr>
            <w:tcW w:w="1883" w:type="dxa"/>
            <w:vMerge/>
            <w:shd w:val="clear" w:color="auto" w:fill="4472C4"/>
            <w:vAlign w:val="center"/>
          </w:tcPr>
          <w:p w14:paraId="00A7EF8A" w14:textId="77777777" w:rsidR="00990B14" w:rsidRDefault="00990B14">
            <w:pPr>
              <w:spacing w:before="20" w:after="20"/>
            </w:pPr>
          </w:p>
        </w:tc>
        <w:tc>
          <w:tcPr>
            <w:tcW w:w="1873" w:type="dxa"/>
            <w:shd w:val="clear" w:color="auto" w:fill="4472C4"/>
            <w:vAlign w:val="center"/>
          </w:tcPr>
          <w:p w14:paraId="459D32E3" w14:textId="77777777" w:rsidR="00990B14" w:rsidRDefault="00000000">
            <w:pPr>
              <w:keepNext/>
              <w:spacing w:before="20" w:after="20"/>
              <w:jc w:val="center"/>
            </w:pPr>
            <w:r>
              <w:rPr>
                <w:b/>
                <w:bCs/>
                <w:i/>
                <w:iCs/>
                <w:color w:val="FFFFFF"/>
                <w:sz w:val="18"/>
                <w:szCs w:val="18"/>
              </w:rPr>
              <w:t>Criterio</w:t>
            </w:r>
          </w:p>
        </w:tc>
        <w:tc>
          <w:tcPr>
            <w:tcW w:w="1873" w:type="dxa"/>
            <w:shd w:val="clear" w:color="auto" w:fill="4472C4"/>
            <w:vAlign w:val="center"/>
          </w:tcPr>
          <w:p w14:paraId="3AB5F952"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722A8F56" w14:textId="77777777" w:rsidR="00990B14" w:rsidRDefault="00000000">
            <w:pPr>
              <w:keepNext/>
              <w:spacing w:before="20" w:after="20"/>
              <w:jc w:val="center"/>
            </w:pPr>
            <w:r>
              <w:rPr>
                <w:b/>
                <w:bCs/>
                <w:i/>
                <w:iCs/>
                <w:color w:val="FFFFFF"/>
                <w:sz w:val="18"/>
                <w:szCs w:val="18"/>
              </w:rPr>
              <w:t>Suficiente (51–80)</w:t>
            </w:r>
          </w:p>
        </w:tc>
        <w:tc>
          <w:tcPr>
            <w:tcW w:w="1866" w:type="dxa"/>
            <w:shd w:val="clear" w:color="auto" w:fill="4472C4"/>
            <w:vAlign w:val="center"/>
          </w:tcPr>
          <w:p w14:paraId="65C9BA32" w14:textId="77777777" w:rsidR="00990B14" w:rsidRDefault="00000000">
            <w:pPr>
              <w:keepNext/>
              <w:spacing w:before="20" w:after="20"/>
              <w:jc w:val="center"/>
            </w:pPr>
            <w:r>
              <w:rPr>
                <w:b/>
                <w:bCs/>
                <w:i/>
                <w:iCs/>
                <w:color w:val="FFFFFF"/>
                <w:sz w:val="18"/>
                <w:szCs w:val="18"/>
              </w:rPr>
              <w:t>Destacado (81–100)</w:t>
            </w:r>
          </w:p>
        </w:tc>
      </w:tr>
      <w:tr w:rsidR="00990B14" w14:paraId="63BFCB34" w14:textId="77777777">
        <w:trPr>
          <w:cantSplit/>
          <w:jc w:val="center"/>
        </w:trPr>
        <w:tc>
          <w:tcPr>
            <w:tcW w:w="1883" w:type="dxa"/>
            <w:vMerge/>
            <w:shd w:val="clear" w:color="auto" w:fill="4472C4"/>
            <w:vAlign w:val="center"/>
          </w:tcPr>
          <w:p w14:paraId="1801E559" w14:textId="77777777" w:rsidR="00990B14" w:rsidRDefault="00990B14">
            <w:pPr>
              <w:spacing w:before="20" w:after="20"/>
            </w:pPr>
          </w:p>
        </w:tc>
        <w:tc>
          <w:tcPr>
            <w:tcW w:w="1873" w:type="dxa"/>
            <w:shd w:val="clear" w:color="auto" w:fill="D9E2F3"/>
            <w:vAlign w:val="center"/>
          </w:tcPr>
          <w:p w14:paraId="1BC8332B" w14:textId="77777777" w:rsidR="00990B14" w:rsidRDefault="00000000">
            <w:pPr>
              <w:spacing w:before="20" w:after="20"/>
              <w:jc w:val="both"/>
            </w:pPr>
            <w:r>
              <w:rPr>
                <w:sz w:val="18"/>
                <w:szCs w:val="18"/>
              </w:rPr>
              <w:t>Aplicación de la Dinámica Contable del Sector Asegurador</w:t>
            </w:r>
          </w:p>
        </w:tc>
        <w:tc>
          <w:tcPr>
            <w:tcW w:w="1873" w:type="dxa"/>
            <w:shd w:val="clear" w:color="auto" w:fill="D9E2F3"/>
            <w:vAlign w:val="center"/>
          </w:tcPr>
          <w:p w14:paraId="6A5FB60F" w14:textId="77777777" w:rsidR="00990B14" w:rsidRDefault="00000000">
            <w:pPr>
              <w:spacing w:before="20" w:after="20"/>
              <w:jc w:val="both"/>
            </w:pPr>
            <w:r>
              <w:rPr>
                <w:sz w:val="18"/>
                <w:szCs w:val="18"/>
              </w:rPr>
              <w:t>Presenta errores.</w:t>
            </w:r>
          </w:p>
        </w:tc>
        <w:tc>
          <w:tcPr>
            <w:tcW w:w="1910" w:type="dxa"/>
            <w:shd w:val="clear" w:color="auto" w:fill="D9E2F3"/>
            <w:vAlign w:val="center"/>
          </w:tcPr>
          <w:p w14:paraId="74D85B8D" w14:textId="77777777" w:rsidR="00990B14" w:rsidRDefault="00000000">
            <w:pPr>
              <w:spacing w:before="20" w:after="20"/>
              <w:jc w:val="both"/>
            </w:pPr>
            <w:r>
              <w:rPr>
                <w:sz w:val="18"/>
                <w:szCs w:val="18"/>
              </w:rPr>
              <w:t>Aplica correctamente.</w:t>
            </w:r>
          </w:p>
        </w:tc>
        <w:tc>
          <w:tcPr>
            <w:tcW w:w="1866" w:type="dxa"/>
            <w:shd w:val="clear" w:color="auto" w:fill="D9E2F3"/>
            <w:vAlign w:val="center"/>
          </w:tcPr>
          <w:p w14:paraId="2B3D24F6" w14:textId="77777777" w:rsidR="00990B14" w:rsidRDefault="00000000">
            <w:pPr>
              <w:spacing w:before="20" w:after="20"/>
              <w:jc w:val="both"/>
            </w:pPr>
            <w:r>
              <w:rPr>
                <w:sz w:val="18"/>
                <w:szCs w:val="18"/>
              </w:rPr>
              <w:t>Aplica con precisión la dinámica contable</w:t>
            </w:r>
          </w:p>
        </w:tc>
      </w:tr>
      <w:tr w:rsidR="00990B14" w14:paraId="0D31F06D" w14:textId="77777777">
        <w:trPr>
          <w:cantSplit/>
          <w:jc w:val="center"/>
        </w:trPr>
        <w:tc>
          <w:tcPr>
            <w:tcW w:w="1883" w:type="dxa"/>
            <w:vMerge/>
            <w:shd w:val="clear" w:color="auto" w:fill="4472C4"/>
            <w:vAlign w:val="center"/>
          </w:tcPr>
          <w:p w14:paraId="4FE381ED" w14:textId="77777777" w:rsidR="00990B14" w:rsidRDefault="00990B14">
            <w:pPr>
              <w:spacing w:before="20" w:after="20"/>
            </w:pPr>
          </w:p>
        </w:tc>
        <w:tc>
          <w:tcPr>
            <w:tcW w:w="1873" w:type="dxa"/>
            <w:shd w:val="clear" w:color="auto" w:fill="D9E2F3"/>
            <w:vAlign w:val="center"/>
          </w:tcPr>
          <w:p w14:paraId="65FC3A7C" w14:textId="77777777" w:rsidR="00990B14" w:rsidRDefault="00000000">
            <w:pPr>
              <w:spacing w:before="20" w:after="20"/>
              <w:jc w:val="both"/>
            </w:pPr>
            <w:r>
              <w:rPr>
                <w:sz w:val="18"/>
                <w:szCs w:val="18"/>
              </w:rPr>
              <w:t>Procesamiento de Operaciones Especiales Producción Diferida (Anulaciones, Siniestros y Recupero de Siniestros)</w:t>
            </w:r>
          </w:p>
        </w:tc>
        <w:tc>
          <w:tcPr>
            <w:tcW w:w="1873" w:type="dxa"/>
            <w:shd w:val="clear" w:color="auto" w:fill="D9E2F3"/>
            <w:vAlign w:val="center"/>
          </w:tcPr>
          <w:p w14:paraId="185C9BA3" w14:textId="77777777" w:rsidR="00990B14" w:rsidRDefault="00000000">
            <w:pPr>
              <w:spacing w:before="20" w:after="20"/>
              <w:jc w:val="both"/>
            </w:pPr>
            <w:r>
              <w:rPr>
                <w:sz w:val="18"/>
                <w:szCs w:val="18"/>
              </w:rPr>
              <w:t>Omite la verificación</w:t>
            </w:r>
          </w:p>
        </w:tc>
        <w:tc>
          <w:tcPr>
            <w:tcW w:w="1910" w:type="dxa"/>
            <w:shd w:val="clear" w:color="auto" w:fill="D9E2F3"/>
            <w:vAlign w:val="center"/>
          </w:tcPr>
          <w:p w14:paraId="33CB87F8" w14:textId="77777777" w:rsidR="00990B14" w:rsidRDefault="00000000">
            <w:pPr>
              <w:spacing w:before="20" w:after="20"/>
              <w:jc w:val="both"/>
            </w:pPr>
            <w:r>
              <w:rPr>
                <w:sz w:val="18"/>
                <w:szCs w:val="18"/>
              </w:rPr>
              <w:t>Registra correctamente</w:t>
            </w:r>
          </w:p>
        </w:tc>
        <w:tc>
          <w:tcPr>
            <w:tcW w:w="1866" w:type="dxa"/>
            <w:shd w:val="clear" w:color="auto" w:fill="D9E2F3"/>
            <w:vAlign w:val="center"/>
          </w:tcPr>
          <w:p w14:paraId="222C0113" w14:textId="77777777" w:rsidR="00990B14" w:rsidRDefault="00000000">
            <w:pPr>
              <w:spacing w:before="20" w:after="20"/>
              <w:jc w:val="both"/>
            </w:pPr>
            <w:r>
              <w:rPr>
                <w:sz w:val="18"/>
                <w:szCs w:val="18"/>
              </w:rPr>
              <w:t>Registra con Precisión</w:t>
            </w:r>
          </w:p>
        </w:tc>
      </w:tr>
      <w:tr w:rsidR="00990B14" w14:paraId="4055313D" w14:textId="77777777">
        <w:trPr>
          <w:cantSplit/>
          <w:jc w:val="center"/>
        </w:trPr>
        <w:tc>
          <w:tcPr>
            <w:tcW w:w="1883" w:type="dxa"/>
            <w:vMerge/>
            <w:shd w:val="clear" w:color="auto" w:fill="4472C4"/>
            <w:vAlign w:val="center"/>
          </w:tcPr>
          <w:p w14:paraId="4FE133C1" w14:textId="77777777" w:rsidR="00990B14" w:rsidRDefault="00990B14">
            <w:pPr>
              <w:spacing w:before="20" w:after="20"/>
            </w:pPr>
          </w:p>
        </w:tc>
        <w:tc>
          <w:tcPr>
            <w:tcW w:w="1873" w:type="dxa"/>
            <w:shd w:val="clear" w:color="auto" w:fill="D9E2F3"/>
            <w:vAlign w:val="center"/>
          </w:tcPr>
          <w:p w14:paraId="0D8B48C2" w14:textId="77777777" w:rsidR="00990B14" w:rsidRDefault="00000000">
            <w:pPr>
              <w:spacing w:before="20" w:after="20"/>
              <w:jc w:val="both"/>
            </w:pPr>
            <w:r>
              <w:rPr>
                <w:sz w:val="18"/>
                <w:szCs w:val="18"/>
              </w:rPr>
              <w:t>Formalidad, Orden y Presentación de los Comprobantes</w:t>
            </w:r>
          </w:p>
        </w:tc>
        <w:tc>
          <w:tcPr>
            <w:tcW w:w="1873" w:type="dxa"/>
            <w:shd w:val="clear" w:color="auto" w:fill="D9E2F3"/>
            <w:vAlign w:val="center"/>
          </w:tcPr>
          <w:p w14:paraId="3373058E" w14:textId="77777777" w:rsidR="00990B14" w:rsidRDefault="00000000">
            <w:pPr>
              <w:spacing w:before="20" w:after="20"/>
              <w:jc w:val="both"/>
            </w:pPr>
            <w:r>
              <w:rPr>
                <w:sz w:val="18"/>
                <w:szCs w:val="18"/>
              </w:rPr>
              <w:t>Carecen de respaldos.</w:t>
            </w:r>
          </w:p>
        </w:tc>
        <w:tc>
          <w:tcPr>
            <w:tcW w:w="1910" w:type="dxa"/>
            <w:shd w:val="clear" w:color="auto" w:fill="D9E2F3"/>
            <w:vAlign w:val="center"/>
          </w:tcPr>
          <w:p w14:paraId="5EA8F293" w14:textId="77777777" w:rsidR="00990B14" w:rsidRDefault="00000000">
            <w:pPr>
              <w:spacing w:before="20" w:after="20"/>
              <w:jc w:val="both"/>
            </w:pPr>
            <w:r>
              <w:rPr>
                <w:sz w:val="18"/>
                <w:szCs w:val="18"/>
              </w:rPr>
              <w:t>Organiza y respalda los comprobantes</w:t>
            </w:r>
          </w:p>
        </w:tc>
        <w:tc>
          <w:tcPr>
            <w:tcW w:w="1866" w:type="dxa"/>
            <w:shd w:val="clear" w:color="auto" w:fill="D9E2F3"/>
            <w:vAlign w:val="center"/>
          </w:tcPr>
          <w:p w14:paraId="126ED104" w14:textId="77777777" w:rsidR="00990B14" w:rsidRDefault="00000000">
            <w:pPr>
              <w:spacing w:before="20" w:after="20"/>
              <w:jc w:val="both"/>
            </w:pPr>
            <w:r>
              <w:rPr>
                <w:sz w:val="18"/>
                <w:szCs w:val="18"/>
              </w:rPr>
              <w:t>Registro completo.</w:t>
            </w:r>
          </w:p>
        </w:tc>
      </w:tr>
      <w:tr w:rsidR="00990B14" w14:paraId="7415C532" w14:textId="77777777">
        <w:trPr>
          <w:cantSplit/>
          <w:jc w:val="center"/>
        </w:trPr>
        <w:tc>
          <w:tcPr>
            <w:tcW w:w="1883" w:type="dxa"/>
            <w:vMerge/>
            <w:shd w:val="clear" w:color="auto" w:fill="4472C4"/>
            <w:vAlign w:val="center"/>
          </w:tcPr>
          <w:p w14:paraId="1F4EC023" w14:textId="77777777" w:rsidR="00990B14" w:rsidRDefault="00990B14">
            <w:pPr>
              <w:spacing w:before="20" w:after="20"/>
            </w:pPr>
          </w:p>
        </w:tc>
        <w:tc>
          <w:tcPr>
            <w:tcW w:w="5656" w:type="dxa"/>
            <w:gridSpan w:val="3"/>
            <w:shd w:val="clear" w:color="auto" w:fill="D9E2F3"/>
            <w:vAlign w:val="center"/>
          </w:tcPr>
          <w:p w14:paraId="2B2DC36D" w14:textId="77777777" w:rsidR="00990B14" w:rsidRDefault="00000000">
            <w:pPr>
              <w:keepNext/>
              <w:spacing w:before="20" w:after="20"/>
              <w:jc w:val="both"/>
            </w:pPr>
            <w:r>
              <w:rPr>
                <w:b/>
                <w:bCs/>
                <w:i/>
                <w:iCs/>
                <w:sz w:val="18"/>
                <w:szCs w:val="18"/>
              </w:rPr>
              <w:t xml:space="preserve">Producto 7: </w:t>
            </w:r>
            <w:r>
              <w:rPr>
                <w:sz w:val="18"/>
                <w:szCs w:val="18"/>
              </w:rPr>
              <w:t>Informe de cumplimiento de la determinación de Reservas Técnicas</w:t>
            </w:r>
          </w:p>
        </w:tc>
        <w:tc>
          <w:tcPr>
            <w:tcW w:w="1866" w:type="dxa"/>
            <w:shd w:val="clear" w:color="auto" w:fill="D9E2F3"/>
            <w:vAlign w:val="center"/>
          </w:tcPr>
          <w:p w14:paraId="15AEF5BB" w14:textId="77777777" w:rsidR="00990B14" w:rsidRDefault="00000000">
            <w:pPr>
              <w:spacing w:before="20" w:after="20"/>
              <w:jc w:val="center"/>
            </w:pPr>
            <w:r>
              <w:rPr>
                <w:b/>
                <w:bCs/>
                <w:sz w:val="18"/>
                <w:szCs w:val="18"/>
              </w:rPr>
              <w:t>10%</w:t>
            </w:r>
          </w:p>
        </w:tc>
      </w:tr>
      <w:tr w:rsidR="00990B14" w14:paraId="35534DEA" w14:textId="77777777">
        <w:trPr>
          <w:cantSplit/>
          <w:jc w:val="center"/>
        </w:trPr>
        <w:tc>
          <w:tcPr>
            <w:tcW w:w="1883" w:type="dxa"/>
            <w:vMerge/>
            <w:shd w:val="clear" w:color="auto" w:fill="4472C4"/>
            <w:vAlign w:val="center"/>
          </w:tcPr>
          <w:p w14:paraId="023B0D33" w14:textId="77777777" w:rsidR="00990B14" w:rsidRDefault="00990B14">
            <w:pPr>
              <w:spacing w:before="20" w:after="20"/>
            </w:pPr>
          </w:p>
        </w:tc>
        <w:tc>
          <w:tcPr>
            <w:tcW w:w="1873" w:type="dxa"/>
            <w:shd w:val="clear" w:color="auto" w:fill="4472C4"/>
            <w:vAlign w:val="center"/>
          </w:tcPr>
          <w:p w14:paraId="2E75FEB9" w14:textId="77777777" w:rsidR="00990B14" w:rsidRDefault="00000000">
            <w:pPr>
              <w:keepNext/>
              <w:spacing w:before="20" w:after="20"/>
              <w:jc w:val="center"/>
            </w:pPr>
            <w:r>
              <w:rPr>
                <w:b/>
                <w:bCs/>
                <w:i/>
                <w:iCs/>
                <w:color w:val="FFFFFF"/>
                <w:sz w:val="18"/>
                <w:szCs w:val="18"/>
              </w:rPr>
              <w:t>Criterio</w:t>
            </w:r>
          </w:p>
        </w:tc>
        <w:tc>
          <w:tcPr>
            <w:tcW w:w="1873" w:type="dxa"/>
            <w:shd w:val="clear" w:color="auto" w:fill="4472C4"/>
            <w:vAlign w:val="center"/>
          </w:tcPr>
          <w:p w14:paraId="7FB9C497"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14B7CD58" w14:textId="77777777" w:rsidR="00990B14" w:rsidRDefault="00000000">
            <w:pPr>
              <w:keepNext/>
              <w:spacing w:before="20" w:after="20"/>
              <w:jc w:val="center"/>
            </w:pPr>
            <w:r>
              <w:rPr>
                <w:b/>
                <w:bCs/>
                <w:i/>
                <w:iCs/>
                <w:color w:val="FFFFFF"/>
                <w:sz w:val="18"/>
                <w:szCs w:val="18"/>
              </w:rPr>
              <w:t>Suficiente (51–80)</w:t>
            </w:r>
          </w:p>
        </w:tc>
        <w:tc>
          <w:tcPr>
            <w:tcW w:w="1866" w:type="dxa"/>
            <w:shd w:val="clear" w:color="auto" w:fill="4472C4"/>
            <w:vAlign w:val="center"/>
          </w:tcPr>
          <w:p w14:paraId="6A4D5F70" w14:textId="77777777" w:rsidR="00990B14" w:rsidRDefault="00000000">
            <w:pPr>
              <w:keepNext/>
              <w:spacing w:before="20" w:after="20"/>
              <w:jc w:val="center"/>
            </w:pPr>
            <w:r>
              <w:rPr>
                <w:b/>
                <w:bCs/>
                <w:i/>
                <w:iCs/>
                <w:color w:val="FFFFFF"/>
                <w:sz w:val="18"/>
                <w:szCs w:val="18"/>
              </w:rPr>
              <w:t>Destacado (81–100)</w:t>
            </w:r>
          </w:p>
        </w:tc>
      </w:tr>
      <w:tr w:rsidR="00990B14" w14:paraId="2742F5AF" w14:textId="77777777">
        <w:trPr>
          <w:cantSplit/>
          <w:jc w:val="center"/>
        </w:trPr>
        <w:tc>
          <w:tcPr>
            <w:tcW w:w="1883" w:type="dxa"/>
            <w:vMerge/>
            <w:shd w:val="clear" w:color="auto" w:fill="4472C4"/>
            <w:vAlign w:val="center"/>
          </w:tcPr>
          <w:p w14:paraId="57E0D802" w14:textId="77777777" w:rsidR="00990B14" w:rsidRDefault="00990B14">
            <w:pPr>
              <w:spacing w:before="20" w:after="20"/>
            </w:pPr>
          </w:p>
        </w:tc>
        <w:tc>
          <w:tcPr>
            <w:tcW w:w="1873" w:type="dxa"/>
            <w:shd w:val="clear" w:color="auto" w:fill="D9E2F3"/>
            <w:vAlign w:val="center"/>
          </w:tcPr>
          <w:p w14:paraId="67CBA1EF" w14:textId="77777777" w:rsidR="00990B14" w:rsidRDefault="00000000">
            <w:pPr>
              <w:spacing w:before="20" w:after="20"/>
              <w:jc w:val="both"/>
            </w:pPr>
            <w:r>
              <w:rPr>
                <w:sz w:val="18"/>
                <w:szCs w:val="18"/>
              </w:rPr>
              <w:t>Metodología y Cálculo de Reservas Técnicas</w:t>
            </w:r>
          </w:p>
        </w:tc>
        <w:tc>
          <w:tcPr>
            <w:tcW w:w="1873" w:type="dxa"/>
            <w:shd w:val="clear" w:color="auto" w:fill="D9E2F3"/>
            <w:vAlign w:val="center"/>
          </w:tcPr>
          <w:p w14:paraId="0A104C88" w14:textId="77777777" w:rsidR="00990B14" w:rsidRDefault="00000000">
            <w:pPr>
              <w:spacing w:before="20" w:after="20"/>
              <w:jc w:val="both"/>
            </w:pPr>
            <w:r>
              <w:rPr>
                <w:sz w:val="18"/>
                <w:szCs w:val="18"/>
              </w:rPr>
              <w:t>Presenta errores.</w:t>
            </w:r>
          </w:p>
        </w:tc>
        <w:tc>
          <w:tcPr>
            <w:tcW w:w="1910" w:type="dxa"/>
            <w:shd w:val="clear" w:color="auto" w:fill="D9E2F3"/>
            <w:vAlign w:val="center"/>
          </w:tcPr>
          <w:p w14:paraId="2E54B6CD" w14:textId="77777777" w:rsidR="00990B14" w:rsidRDefault="00000000">
            <w:pPr>
              <w:spacing w:before="20" w:after="20"/>
              <w:jc w:val="both"/>
            </w:pPr>
            <w:r>
              <w:rPr>
                <w:sz w:val="18"/>
                <w:szCs w:val="18"/>
              </w:rPr>
              <w:t>Aplica correctamente.</w:t>
            </w:r>
          </w:p>
        </w:tc>
        <w:tc>
          <w:tcPr>
            <w:tcW w:w="1866" w:type="dxa"/>
            <w:shd w:val="clear" w:color="auto" w:fill="D9E2F3"/>
            <w:vAlign w:val="center"/>
          </w:tcPr>
          <w:p w14:paraId="02F5B590" w14:textId="77777777" w:rsidR="00990B14" w:rsidRDefault="00000000">
            <w:pPr>
              <w:spacing w:before="20" w:after="20"/>
              <w:jc w:val="both"/>
            </w:pPr>
            <w:r>
              <w:rPr>
                <w:sz w:val="18"/>
                <w:szCs w:val="18"/>
              </w:rPr>
              <w:t>Determina con precisión.</w:t>
            </w:r>
          </w:p>
        </w:tc>
      </w:tr>
      <w:tr w:rsidR="00990B14" w14:paraId="5AABE2DE" w14:textId="77777777">
        <w:trPr>
          <w:cantSplit/>
          <w:jc w:val="center"/>
        </w:trPr>
        <w:tc>
          <w:tcPr>
            <w:tcW w:w="1883" w:type="dxa"/>
            <w:vMerge/>
            <w:shd w:val="clear" w:color="auto" w:fill="4472C4"/>
            <w:vAlign w:val="center"/>
          </w:tcPr>
          <w:p w14:paraId="4ED80009" w14:textId="77777777" w:rsidR="00990B14" w:rsidRDefault="00990B14">
            <w:pPr>
              <w:spacing w:before="20" w:after="20"/>
            </w:pPr>
          </w:p>
        </w:tc>
        <w:tc>
          <w:tcPr>
            <w:tcW w:w="1873" w:type="dxa"/>
            <w:shd w:val="clear" w:color="auto" w:fill="D9E2F3"/>
            <w:vAlign w:val="center"/>
          </w:tcPr>
          <w:p w14:paraId="4F86325C" w14:textId="77777777" w:rsidR="00990B14" w:rsidRDefault="00000000">
            <w:pPr>
              <w:spacing w:before="20" w:after="20"/>
              <w:jc w:val="both"/>
            </w:pPr>
            <w:r>
              <w:rPr>
                <w:sz w:val="18"/>
                <w:szCs w:val="18"/>
              </w:rPr>
              <w:t>Evaluación de Suficiencia y Cumplimiento Normativo</w:t>
            </w:r>
          </w:p>
        </w:tc>
        <w:tc>
          <w:tcPr>
            <w:tcW w:w="1873" w:type="dxa"/>
            <w:shd w:val="clear" w:color="auto" w:fill="D9E2F3"/>
            <w:vAlign w:val="center"/>
          </w:tcPr>
          <w:p w14:paraId="6A46CC22" w14:textId="77777777" w:rsidR="00990B14" w:rsidRDefault="00000000">
            <w:pPr>
              <w:spacing w:before="20" w:after="20"/>
              <w:jc w:val="both"/>
            </w:pPr>
            <w:r>
              <w:rPr>
                <w:sz w:val="18"/>
                <w:szCs w:val="18"/>
              </w:rPr>
              <w:t>Omite la evaluación</w:t>
            </w:r>
          </w:p>
        </w:tc>
        <w:tc>
          <w:tcPr>
            <w:tcW w:w="1910" w:type="dxa"/>
            <w:shd w:val="clear" w:color="auto" w:fill="D9E2F3"/>
            <w:vAlign w:val="center"/>
          </w:tcPr>
          <w:p w14:paraId="391236F4" w14:textId="77777777" w:rsidR="00990B14" w:rsidRDefault="00000000">
            <w:pPr>
              <w:spacing w:before="20" w:after="20"/>
              <w:jc w:val="both"/>
            </w:pPr>
            <w:r>
              <w:rPr>
                <w:sz w:val="18"/>
                <w:szCs w:val="18"/>
              </w:rPr>
              <w:t>Verifica de manera adecuada.</w:t>
            </w:r>
          </w:p>
        </w:tc>
        <w:tc>
          <w:tcPr>
            <w:tcW w:w="1866" w:type="dxa"/>
            <w:shd w:val="clear" w:color="auto" w:fill="D9E2F3"/>
            <w:vAlign w:val="center"/>
          </w:tcPr>
          <w:p w14:paraId="0AD2F91F" w14:textId="77777777" w:rsidR="00990B14" w:rsidRDefault="00000000">
            <w:pPr>
              <w:spacing w:before="20" w:after="20"/>
              <w:jc w:val="both"/>
            </w:pPr>
            <w:r>
              <w:rPr>
                <w:sz w:val="18"/>
                <w:szCs w:val="18"/>
              </w:rPr>
              <w:t>Evalúa con precisión.</w:t>
            </w:r>
          </w:p>
        </w:tc>
      </w:tr>
      <w:tr w:rsidR="00990B14" w14:paraId="31D05B43" w14:textId="77777777">
        <w:trPr>
          <w:cantSplit/>
          <w:jc w:val="center"/>
        </w:trPr>
        <w:tc>
          <w:tcPr>
            <w:tcW w:w="1883" w:type="dxa"/>
            <w:vMerge/>
            <w:shd w:val="clear" w:color="auto" w:fill="4472C4"/>
            <w:vAlign w:val="center"/>
          </w:tcPr>
          <w:p w14:paraId="0F2B38DE" w14:textId="77777777" w:rsidR="00990B14" w:rsidRDefault="00990B14">
            <w:pPr>
              <w:spacing w:before="20" w:after="20"/>
            </w:pPr>
          </w:p>
        </w:tc>
        <w:tc>
          <w:tcPr>
            <w:tcW w:w="1873" w:type="dxa"/>
            <w:shd w:val="clear" w:color="auto" w:fill="D9E2F3"/>
            <w:vAlign w:val="center"/>
          </w:tcPr>
          <w:p w14:paraId="08314470" w14:textId="77777777" w:rsidR="00990B14" w:rsidRDefault="00000000">
            <w:pPr>
              <w:spacing w:before="20" w:after="20"/>
              <w:jc w:val="both"/>
            </w:pPr>
            <w:r>
              <w:rPr>
                <w:sz w:val="18"/>
                <w:szCs w:val="18"/>
              </w:rPr>
              <w:t>Estructura, Análisis y Calidad del Informe Técnico</w:t>
            </w:r>
          </w:p>
        </w:tc>
        <w:tc>
          <w:tcPr>
            <w:tcW w:w="1873" w:type="dxa"/>
            <w:shd w:val="clear" w:color="auto" w:fill="D9E2F3"/>
            <w:vAlign w:val="center"/>
          </w:tcPr>
          <w:p w14:paraId="651B4178" w14:textId="77777777" w:rsidR="00990B14" w:rsidRDefault="00000000">
            <w:pPr>
              <w:spacing w:before="20" w:after="20"/>
              <w:jc w:val="both"/>
            </w:pPr>
            <w:r>
              <w:rPr>
                <w:sz w:val="18"/>
                <w:szCs w:val="18"/>
              </w:rPr>
              <w:t>Falta respaldo.</w:t>
            </w:r>
          </w:p>
        </w:tc>
        <w:tc>
          <w:tcPr>
            <w:tcW w:w="1910" w:type="dxa"/>
            <w:shd w:val="clear" w:color="auto" w:fill="D9E2F3"/>
            <w:vAlign w:val="center"/>
          </w:tcPr>
          <w:p w14:paraId="61AB8F0E" w14:textId="77777777" w:rsidR="00990B14" w:rsidRDefault="00000000">
            <w:pPr>
              <w:spacing w:before="20" w:after="20"/>
              <w:jc w:val="both"/>
            </w:pPr>
            <w:r>
              <w:rPr>
                <w:sz w:val="18"/>
                <w:szCs w:val="18"/>
              </w:rPr>
              <w:t>Con respaldo suficiente.</w:t>
            </w:r>
          </w:p>
        </w:tc>
        <w:tc>
          <w:tcPr>
            <w:tcW w:w="1866" w:type="dxa"/>
            <w:shd w:val="clear" w:color="auto" w:fill="D9E2F3"/>
            <w:vAlign w:val="center"/>
          </w:tcPr>
          <w:p w14:paraId="0D9BEC99" w14:textId="77777777" w:rsidR="00990B14" w:rsidRDefault="00000000">
            <w:pPr>
              <w:spacing w:before="20" w:after="20"/>
              <w:jc w:val="both"/>
            </w:pPr>
            <w:r>
              <w:rPr>
                <w:sz w:val="18"/>
                <w:szCs w:val="18"/>
              </w:rPr>
              <w:t>Integra expediente verificable.</w:t>
            </w:r>
          </w:p>
        </w:tc>
      </w:tr>
      <w:tr w:rsidR="00990B14" w14:paraId="132D2017" w14:textId="77777777">
        <w:trPr>
          <w:cantSplit/>
          <w:jc w:val="center"/>
        </w:trPr>
        <w:tc>
          <w:tcPr>
            <w:tcW w:w="1883" w:type="dxa"/>
            <w:vMerge/>
            <w:shd w:val="clear" w:color="auto" w:fill="4472C4"/>
            <w:vAlign w:val="center"/>
          </w:tcPr>
          <w:p w14:paraId="2149DD3A" w14:textId="77777777" w:rsidR="00990B14" w:rsidRDefault="00990B14">
            <w:pPr>
              <w:spacing w:before="20" w:after="20"/>
            </w:pPr>
          </w:p>
        </w:tc>
        <w:tc>
          <w:tcPr>
            <w:tcW w:w="5656" w:type="dxa"/>
            <w:gridSpan w:val="3"/>
            <w:shd w:val="clear" w:color="auto" w:fill="D9E2F3"/>
            <w:vAlign w:val="center"/>
          </w:tcPr>
          <w:p w14:paraId="29B8C347" w14:textId="77777777" w:rsidR="00990B14" w:rsidRDefault="00000000">
            <w:pPr>
              <w:keepNext/>
              <w:spacing w:before="20" w:after="20"/>
              <w:jc w:val="both"/>
            </w:pPr>
            <w:r>
              <w:rPr>
                <w:b/>
                <w:bCs/>
                <w:i/>
                <w:iCs/>
                <w:sz w:val="18"/>
                <w:szCs w:val="18"/>
              </w:rPr>
              <w:t xml:space="preserve">Producto 8: </w:t>
            </w:r>
            <w:r>
              <w:rPr>
                <w:sz w:val="18"/>
                <w:szCs w:val="18"/>
              </w:rPr>
              <w:t>Estados Financieros de una entidad aseguradora y Reaseguradora</w:t>
            </w:r>
          </w:p>
        </w:tc>
        <w:tc>
          <w:tcPr>
            <w:tcW w:w="1866" w:type="dxa"/>
            <w:shd w:val="clear" w:color="auto" w:fill="D9E2F3"/>
            <w:vAlign w:val="center"/>
          </w:tcPr>
          <w:p w14:paraId="30284007" w14:textId="77777777" w:rsidR="00990B14" w:rsidRDefault="00000000">
            <w:pPr>
              <w:spacing w:before="20" w:after="20"/>
              <w:jc w:val="center"/>
            </w:pPr>
            <w:r>
              <w:rPr>
                <w:b/>
                <w:bCs/>
                <w:sz w:val="18"/>
                <w:szCs w:val="18"/>
              </w:rPr>
              <w:t>10%</w:t>
            </w:r>
          </w:p>
        </w:tc>
      </w:tr>
      <w:tr w:rsidR="00990B14" w14:paraId="60865AFD" w14:textId="77777777">
        <w:trPr>
          <w:cantSplit/>
          <w:jc w:val="center"/>
        </w:trPr>
        <w:tc>
          <w:tcPr>
            <w:tcW w:w="1883" w:type="dxa"/>
            <w:vMerge/>
            <w:shd w:val="clear" w:color="auto" w:fill="4472C4"/>
            <w:vAlign w:val="center"/>
          </w:tcPr>
          <w:p w14:paraId="4534DA23" w14:textId="77777777" w:rsidR="00990B14" w:rsidRDefault="00990B14">
            <w:pPr>
              <w:spacing w:before="20" w:after="20"/>
            </w:pPr>
          </w:p>
        </w:tc>
        <w:tc>
          <w:tcPr>
            <w:tcW w:w="1873" w:type="dxa"/>
            <w:shd w:val="clear" w:color="auto" w:fill="4472C4"/>
            <w:vAlign w:val="center"/>
          </w:tcPr>
          <w:p w14:paraId="17A14B02" w14:textId="77777777" w:rsidR="00990B14" w:rsidRDefault="00000000">
            <w:pPr>
              <w:keepNext/>
              <w:spacing w:before="20" w:after="20"/>
              <w:jc w:val="center"/>
            </w:pPr>
            <w:r>
              <w:rPr>
                <w:b/>
                <w:bCs/>
                <w:i/>
                <w:iCs/>
                <w:color w:val="FFFFFF"/>
                <w:sz w:val="18"/>
                <w:szCs w:val="18"/>
              </w:rPr>
              <w:t>Criterio</w:t>
            </w:r>
          </w:p>
        </w:tc>
        <w:tc>
          <w:tcPr>
            <w:tcW w:w="1873" w:type="dxa"/>
            <w:shd w:val="clear" w:color="auto" w:fill="4472C4"/>
            <w:vAlign w:val="center"/>
          </w:tcPr>
          <w:p w14:paraId="21C73A7C"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731B67B5" w14:textId="77777777" w:rsidR="00990B14" w:rsidRDefault="00000000">
            <w:pPr>
              <w:keepNext/>
              <w:spacing w:before="20" w:after="20"/>
              <w:jc w:val="center"/>
            </w:pPr>
            <w:r>
              <w:rPr>
                <w:b/>
                <w:bCs/>
                <w:i/>
                <w:iCs/>
                <w:color w:val="FFFFFF"/>
                <w:sz w:val="18"/>
                <w:szCs w:val="18"/>
              </w:rPr>
              <w:t>Suficiente (51–80)</w:t>
            </w:r>
          </w:p>
        </w:tc>
        <w:tc>
          <w:tcPr>
            <w:tcW w:w="1866" w:type="dxa"/>
            <w:shd w:val="clear" w:color="auto" w:fill="4472C4"/>
            <w:vAlign w:val="center"/>
          </w:tcPr>
          <w:p w14:paraId="7D668196" w14:textId="77777777" w:rsidR="00990B14" w:rsidRDefault="00000000">
            <w:pPr>
              <w:keepNext/>
              <w:spacing w:before="20" w:after="20"/>
              <w:jc w:val="center"/>
            </w:pPr>
            <w:r>
              <w:rPr>
                <w:b/>
                <w:bCs/>
                <w:i/>
                <w:iCs/>
                <w:color w:val="FFFFFF"/>
                <w:sz w:val="18"/>
                <w:szCs w:val="18"/>
              </w:rPr>
              <w:t>Destacado (81–100)</w:t>
            </w:r>
          </w:p>
        </w:tc>
      </w:tr>
      <w:tr w:rsidR="00990B14" w14:paraId="17A38255" w14:textId="77777777">
        <w:trPr>
          <w:cantSplit/>
          <w:jc w:val="center"/>
        </w:trPr>
        <w:tc>
          <w:tcPr>
            <w:tcW w:w="1883" w:type="dxa"/>
            <w:vMerge/>
            <w:shd w:val="clear" w:color="auto" w:fill="4472C4"/>
            <w:vAlign w:val="center"/>
          </w:tcPr>
          <w:p w14:paraId="1D5D93B9" w14:textId="77777777" w:rsidR="00990B14" w:rsidRDefault="00990B14">
            <w:pPr>
              <w:spacing w:before="20" w:after="20"/>
            </w:pPr>
          </w:p>
        </w:tc>
        <w:tc>
          <w:tcPr>
            <w:tcW w:w="1873" w:type="dxa"/>
            <w:shd w:val="clear" w:color="auto" w:fill="D9E2F3"/>
            <w:vAlign w:val="center"/>
          </w:tcPr>
          <w:p w14:paraId="29F8E4B1" w14:textId="77777777" w:rsidR="00990B14" w:rsidRDefault="00000000">
            <w:pPr>
              <w:spacing w:before="20" w:after="20"/>
              <w:jc w:val="both"/>
            </w:pPr>
            <w:r>
              <w:rPr>
                <w:sz w:val="18"/>
                <w:szCs w:val="18"/>
              </w:rPr>
              <w:t>Estructura y Presentación de los Estados Financieros</w:t>
            </w:r>
          </w:p>
        </w:tc>
        <w:tc>
          <w:tcPr>
            <w:tcW w:w="1873" w:type="dxa"/>
            <w:shd w:val="clear" w:color="auto" w:fill="D9E2F3"/>
            <w:vAlign w:val="center"/>
          </w:tcPr>
          <w:p w14:paraId="4C6A34E3" w14:textId="77777777" w:rsidR="00990B14" w:rsidRDefault="00000000">
            <w:pPr>
              <w:spacing w:before="20" w:after="20"/>
              <w:jc w:val="both"/>
            </w:pPr>
            <w:r>
              <w:rPr>
                <w:sz w:val="18"/>
                <w:szCs w:val="18"/>
              </w:rPr>
              <w:t>Presenta deficiencias</w:t>
            </w:r>
          </w:p>
        </w:tc>
        <w:tc>
          <w:tcPr>
            <w:tcW w:w="1910" w:type="dxa"/>
            <w:shd w:val="clear" w:color="auto" w:fill="D9E2F3"/>
            <w:vAlign w:val="center"/>
          </w:tcPr>
          <w:p w14:paraId="217BD975" w14:textId="77777777" w:rsidR="00990B14" w:rsidRDefault="00000000">
            <w:pPr>
              <w:spacing w:before="20" w:after="20"/>
              <w:jc w:val="both"/>
            </w:pPr>
            <w:r>
              <w:rPr>
                <w:sz w:val="18"/>
                <w:szCs w:val="18"/>
              </w:rPr>
              <w:t>Elabora los Estados Financieros completos.</w:t>
            </w:r>
          </w:p>
        </w:tc>
        <w:tc>
          <w:tcPr>
            <w:tcW w:w="1866" w:type="dxa"/>
            <w:shd w:val="clear" w:color="auto" w:fill="D9E2F3"/>
            <w:vAlign w:val="center"/>
          </w:tcPr>
          <w:p w14:paraId="2752340C" w14:textId="77777777" w:rsidR="00990B14" w:rsidRDefault="00000000">
            <w:pPr>
              <w:spacing w:before="20" w:after="20"/>
              <w:jc w:val="both"/>
            </w:pPr>
            <w:r>
              <w:rPr>
                <w:sz w:val="18"/>
                <w:szCs w:val="18"/>
              </w:rPr>
              <w:t>Consolida y presenta los Estados Financieros completos y sustentados.</w:t>
            </w:r>
          </w:p>
        </w:tc>
      </w:tr>
      <w:tr w:rsidR="00990B14" w14:paraId="5383714C" w14:textId="77777777">
        <w:trPr>
          <w:cantSplit/>
          <w:jc w:val="center"/>
        </w:trPr>
        <w:tc>
          <w:tcPr>
            <w:tcW w:w="1883" w:type="dxa"/>
            <w:vMerge/>
            <w:shd w:val="clear" w:color="auto" w:fill="4472C4"/>
            <w:vAlign w:val="center"/>
          </w:tcPr>
          <w:p w14:paraId="76CBC5C6" w14:textId="77777777" w:rsidR="00990B14" w:rsidRDefault="00990B14">
            <w:pPr>
              <w:spacing w:before="20" w:after="20"/>
            </w:pPr>
          </w:p>
        </w:tc>
        <w:tc>
          <w:tcPr>
            <w:tcW w:w="1873" w:type="dxa"/>
            <w:shd w:val="clear" w:color="auto" w:fill="D9E2F3"/>
            <w:vAlign w:val="center"/>
          </w:tcPr>
          <w:p w14:paraId="026F4767" w14:textId="77777777" w:rsidR="00990B14" w:rsidRDefault="00000000">
            <w:pPr>
              <w:spacing w:before="20" w:after="20"/>
              <w:jc w:val="both"/>
            </w:pPr>
            <w:r>
              <w:rPr>
                <w:sz w:val="18"/>
                <w:szCs w:val="18"/>
              </w:rPr>
              <w:t>Revelación en Notas y Aplicación de Normas del Sector (NIIF 17)</w:t>
            </w:r>
          </w:p>
        </w:tc>
        <w:tc>
          <w:tcPr>
            <w:tcW w:w="1873" w:type="dxa"/>
            <w:shd w:val="clear" w:color="auto" w:fill="D9E2F3"/>
            <w:vAlign w:val="center"/>
          </w:tcPr>
          <w:p w14:paraId="0212E14F" w14:textId="77777777" w:rsidR="00990B14" w:rsidRDefault="00000000">
            <w:pPr>
              <w:spacing w:before="20" w:after="20"/>
              <w:jc w:val="both"/>
            </w:pPr>
            <w:r>
              <w:rPr>
                <w:sz w:val="18"/>
                <w:szCs w:val="18"/>
              </w:rPr>
              <w:t>Omite información</w:t>
            </w:r>
          </w:p>
        </w:tc>
        <w:tc>
          <w:tcPr>
            <w:tcW w:w="1910" w:type="dxa"/>
            <w:shd w:val="clear" w:color="auto" w:fill="D9E2F3"/>
            <w:vAlign w:val="center"/>
          </w:tcPr>
          <w:p w14:paraId="295A5198" w14:textId="77777777" w:rsidR="00990B14" w:rsidRDefault="00000000">
            <w:pPr>
              <w:spacing w:before="20" w:after="20"/>
              <w:jc w:val="both"/>
            </w:pPr>
            <w:r>
              <w:rPr>
                <w:sz w:val="18"/>
                <w:szCs w:val="18"/>
              </w:rPr>
              <w:t>Revela las políticas contables.</w:t>
            </w:r>
          </w:p>
        </w:tc>
        <w:tc>
          <w:tcPr>
            <w:tcW w:w="1866" w:type="dxa"/>
            <w:shd w:val="clear" w:color="auto" w:fill="D9E2F3"/>
            <w:vAlign w:val="center"/>
          </w:tcPr>
          <w:p w14:paraId="08F9000C" w14:textId="77777777" w:rsidR="00990B14" w:rsidRDefault="00000000">
            <w:pPr>
              <w:spacing w:before="20" w:after="20"/>
              <w:jc w:val="both"/>
            </w:pPr>
            <w:r>
              <w:rPr>
                <w:sz w:val="18"/>
                <w:szCs w:val="18"/>
              </w:rPr>
              <w:t>Revela la información en aplicación a las normas.</w:t>
            </w:r>
          </w:p>
        </w:tc>
      </w:tr>
      <w:tr w:rsidR="00990B14" w14:paraId="498F8046" w14:textId="77777777">
        <w:trPr>
          <w:cantSplit/>
          <w:jc w:val="center"/>
        </w:trPr>
        <w:tc>
          <w:tcPr>
            <w:tcW w:w="1883" w:type="dxa"/>
            <w:vMerge/>
            <w:shd w:val="clear" w:color="auto" w:fill="4472C4"/>
            <w:vAlign w:val="center"/>
          </w:tcPr>
          <w:p w14:paraId="749E5F80" w14:textId="77777777" w:rsidR="00990B14" w:rsidRDefault="00990B14">
            <w:pPr>
              <w:spacing w:before="20" w:after="20"/>
            </w:pPr>
          </w:p>
        </w:tc>
        <w:tc>
          <w:tcPr>
            <w:tcW w:w="1873" w:type="dxa"/>
            <w:shd w:val="clear" w:color="auto" w:fill="D9E2F3"/>
            <w:vAlign w:val="center"/>
          </w:tcPr>
          <w:p w14:paraId="7AC2AB1B" w14:textId="77777777" w:rsidR="00990B14" w:rsidRDefault="00000000">
            <w:pPr>
              <w:spacing w:before="20" w:after="20"/>
              <w:jc w:val="both"/>
            </w:pPr>
            <w:r>
              <w:rPr>
                <w:sz w:val="18"/>
                <w:szCs w:val="18"/>
              </w:rPr>
              <w:t>Coherencia Técnica, Sumas y Análisis Financiero</w:t>
            </w:r>
          </w:p>
        </w:tc>
        <w:tc>
          <w:tcPr>
            <w:tcW w:w="1873" w:type="dxa"/>
            <w:shd w:val="clear" w:color="auto" w:fill="D9E2F3"/>
            <w:vAlign w:val="center"/>
          </w:tcPr>
          <w:p w14:paraId="192B2385" w14:textId="77777777" w:rsidR="00990B14" w:rsidRDefault="00000000">
            <w:pPr>
              <w:spacing w:before="20" w:after="20"/>
              <w:jc w:val="both"/>
            </w:pPr>
            <w:r>
              <w:rPr>
                <w:sz w:val="18"/>
                <w:szCs w:val="18"/>
              </w:rPr>
              <w:t>Presenta inconsistencias</w:t>
            </w:r>
          </w:p>
        </w:tc>
        <w:tc>
          <w:tcPr>
            <w:tcW w:w="1910" w:type="dxa"/>
            <w:shd w:val="clear" w:color="auto" w:fill="D9E2F3"/>
            <w:vAlign w:val="center"/>
          </w:tcPr>
          <w:p w14:paraId="26FE70C5" w14:textId="77777777" w:rsidR="00990B14" w:rsidRDefault="00000000">
            <w:pPr>
              <w:spacing w:before="20" w:after="20"/>
              <w:jc w:val="both"/>
            </w:pPr>
            <w:r>
              <w:rPr>
                <w:sz w:val="18"/>
                <w:szCs w:val="18"/>
              </w:rPr>
              <w:t>Muestra coherencia</w:t>
            </w:r>
          </w:p>
        </w:tc>
        <w:tc>
          <w:tcPr>
            <w:tcW w:w="1866" w:type="dxa"/>
            <w:shd w:val="clear" w:color="auto" w:fill="D9E2F3"/>
            <w:vAlign w:val="center"/>
          </w:tcPr>
          <w:p w14:paraId="0A390C0A" w14:textId="77777777" w:rsidR="00990B14" w:rsidRDefault="00000000">
            <w:pPr>
              <w:spacing w:before="20" w:after="20"/>
              <w:jc w:val="both"/>
            </w:pPr>
            <w:r>
              <w:rPr>
                <w:sz w:val="18"/>
                <w:szCs w:val="18"/>
              </w:rPr>
              <w:t>Presenta coherencia y exactitud.</w:t>
            </w:r>
          </w:p>
        </w:tc>
      </w:tr>
      <w:tr w:rsidR="00990B14" w14:paraId="6235D57F" w14:textId="77777777">
        <w:trPr>
          <w:cantSplit/>
          <w:jc w:val="center"/>
        </w:trPr>
        <w:tc>
          <w:tcPr>
            <w:tcW w:w="1883" w:type="dxa"/>
            <w:vMerge/>
            <w:shd w:val="clear" w:color="auto" w:fill="4472C4"/>
            <w:vAlign w:val="center"/>
          </w:tcPr>
          <w:p w14:paraId="2138D074" w14:textId="77777777" w:rsidR="00990B14" w:rsidRDefault="00990B14">
            <w:pPr>
              <w:spacing w:before="20" w:after="20"/>
            </w:pPr>
          </w:p>
        </w:tc>
        <w:tc>
          <w:tcPr>
            <w:tcW w:w="5656" w:type="dxa"/>
            <w:gridSpan w:val="3"/>
            <w:shd w:val="clear" w:color="auto" w:fill="D9E2F3"/>
            <w:vAlign w:val="center"/>
          </w:tcPr>
          <w:p w14:paraId="1BA1AF82" w14:textId="77777777" w:rsidR="00990B14" w:rsidRDefault="00000000">
            <w:pPr>
              <w:keepNext/>
              <w:spacing w:before="20" w:after="20"/>
              <w:jc w:val="both"/>
            </w:pPr>
            <w:r>
              <w:rPr>
                <w:b/>
                <w:bCs/>
                <w:i/>
                <w:iCs/>
                <w:sz w:val="18"/>
                <w:szCs w:val="18"/>
              </w:rPr>
              <w:t xml:space="preserve">Producto 9: </w:t>
            </w:r>
            <w:r>
              <w:rPr>
                <w:sz w:val="18"/>
                <w:szCs w:val="18"/>
              </w:rPr>
              <w:t>Mapa conceptual y descriptiva de la estructura institucional y financiamiento del Seguro Social a Largo Plazo.</w:t>
            </w:r>
          </w:p>
        </w:tc>
        <w:tc>
          <w:tcPr>
            <w:tcW w:w="1866" w:type="dxa"/>
            <w:shd w:val="clear" w:color="auto" w:fill="D9E2F3"/>
            <w:vAlign w:val="center"/>
          </w:tcPr>
          <w:p w14:paraId="24D6DF00" w14:textId="77777777" w:rsidR="00990B14" w:rsidRDefault="00000000">
            <w:pPr>
              <w:spacing w:before="20" w:after="20"/>
              <w:jc w:val="center"/>
            </w:pPr>
            <w:r>
              <w:rPr>
                <w:b/>
                <w:bCs/>
                <w:sz w:val="18"/>
                <w:szCs w:val="18"/>
              </w:rPr>
              <w:t>9%</w:t>
            </w:r>
          </w:p>
        </w:tc>
      </w:tr>
      <w:tr w:rsidR="00990B14" w14:paraId="54D28DE3" w14:textId="77777777">
        <w:trPr>
          <w:cantSplit/>
          <w:jc w:val="center"/>
        </w:trPr>
        <w:tc>
          <w:tcPr>
            <w:tcW w:w="1883" w:type="dxa"/>
            <w:vMerge/>
            <w:shd w:val="clear" w:color="auto" w:fill="4472C4"/>
            <w:vAlign w:val="center"/>
          </w:tcPr>
          <w:p w14:paraId="464C4274" w14:textId="77777777" w:rsidR="00990B14" w:rsidRDefault="00990B14">
            <w:pPr>
              <w:spacing w:before="20" w:after="20"/>
            </w:pPr>
          </w:p>
        </w:tc>
        <w:tc>
          <w:tcPr>
            <w:tcW w:w="1873" w:type="dxa"/>
            <w:shd w:val="clear" w:color="auto" w:fill="4472C4"/>
            <w:vAlign w:val="center"/>
          </w:tcPr>
          <w:p w14:paraId="769E2365" w14:textId="77777777" w:rsidR="00990B14" w:rsidRDefault="00000000">
            <w:pPr>
              <w:keepNext/>
              <w:spacing w:before="20" w:after="20"/>
              <w:jc w:val="center"/>
            </w:pPr>
            <w:r>
              <w:rPr>
                <w:b/>
                <w:bCs/>
                <w:i/>
                <w:iCs/>
                <w:color w:val="FFFFFF"/>
                <w:sz w:val="18"/>
                <w:szCs w:val="18"/>
              </w:rPr>
              <w:t>Criterio</w:t>
            </w:r>
          </w:p>
        </w:tc>
        <w:tc>
          <w:tcPr>
            <w:tcW w:w="1873" w:type="dxa"/>
            <w:shd w:val="clear" w:color="auto" w:fill="4472C4"/>
            <w:vAlign w:val="center"/>
          </w:tcPr>
          <w:p w14:paraId="2BC0CFEE"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1EF5A937" w14:textId="77777777" w:rsidR="00990B14" w:rsidRDefault="00000000">
            <w:pPr>
              <w:keepNext/>
              <w:spacing w:before="20" w:after="20"/>
              <w:jc w:val="center"/>
            </w:pPr>
            <w:r>
              <w:rPr>
                <w:b/>
                <w:bCs/>
                <w:i/>
                <w:iCs/>
                <w:color w:val="FFFFFF"/>
                <w:sz w:val="18"/>
                <w:szCs w:val="18"/>
              </w:rPr>
              <w:t>Suficiente (51–80)</w:t>
            </w:r>
          </w:p>
        </w:tc>
        <w:tc>
          <w:tcPr>
            <w:tcW w:w="1866" w:type="dxa"/>
            <w:shd w:val="clear" w:color="auto" w:fill="4472C4"/>
            <w:vAlign w:val="center"/>
          </w:tcPr>
          <w:p w14:paraId="51696EF5" w14:textId="77777777" w:rsidR="00990B14" w:rsidRDefault="00000000">
            <w:pPr>
              <w:keepNext/>
              <w:spacing w:before="20" w:after="20"/>
              <w:jc w:val="center"/>
            </w:pPr>
            <w:r>
              <w:rPr>
                <w:b/>
                <w:bCs/>
                <w:i/>
                <w:iCs/>
                <w:color w:val="FFFFFF"/>
                <w:sz w:val="18"/>
                <w:szCs w:val="18"/>
              </w:rPr>
              <w:t>Destacado (81–100)</w:t>
            </w:r>
          </w:p>
        </w:tc>
      </w:tr>
      <w:tr w:rsidR="00990B14" w14:paraId="61CB21BA" w14:textId="77777777">
        <w:trPr>
          <w:cantSplit/>
          <w:jc w:val="center"/>
        </w:trPr>
        <w:tc>
          <w:tcPr>
            <w:tcW w:w="1883" w:type="dxa"/>
            <w:vMerge/>
            <w:shd w:val="clear" w:color="auto" w:fill="4472C4"/>
            <w:vAlign w:val="center"/>
          </w:tcPr>
          <w:p w14:paraId="2C9A11FC" w14:textId="77777777" w:rsidR="00990B14" w:rsidRDefault="00990B14">
            <w:pPr>
              <w:spacing w:before="20" w:after="20"/>
            </w:pPr>
          </w:p>
        </w:tc>
        <w:tc>
          <w:tcPr>
            <w:tcW w:w="1873" w:type="dxa"/>
            <w:shd w:val="clear" w:color="auto" w:fill="D9E2F3"/>
            <w:vAlign w:val="center"/>
          </w:tcPr>
          <w:p w14:paraId="2DB0C631" w14:textId="77777777" w:rsidR="00990B14" w:rsidRDefault="00000000">
            <w:pPr>
              <w:spacing w:before="20" w:after="20"/>
              <w:jc w:val="both"/>
            </w:pPr>
            <w:r>
              <w:rPr>
                <w:sz w:val="18"/>
                <w:szCs w:val="18"/>
              </w:rPr>
              <w:t>Fundamentos</w:t>
            </w:r>
          </w:p>
        </w:tc>
        <w:tc>
          <w:tcPr>
            <w:tcW w:w="1873" w:type="dxa"/>
            <w:shd w:val="clear" w:color="auto" w:fill="D9E2F3"/>
            <w:vAlign w:val="center"/>
          </w:tcPr>
          <w:p w14:paraId="71B010E0" w14:textId="77777777" w:rsidR="00990B14" w:rsidRDefault="00000000">
            <w:pPr>
              <w:spacing w:before="20" w:after="20"/>
              <w:jc w:val="both"/>
            </w:pPr>
            <w:r>
              <w:rPr>
                <w:sz w:val="18"/>
                <w:szCs w:val="18"/>
              </w:rPr>
              <w:t>Confunde conceptos.</w:t>
            </w:r>
          </w:p>
        </w:tc>
        <w:tc>
          <w:tcPr>
            <w:tcW w:w="1910" w:type="dxa"/>
            <w:shd w:val="clear" w:color="auto" w:fill="D9E2F3"/>
            <w:vAlign w:val="center"/>
          </w:tcPr>
          <w:p w14:paraId="0A8461BB" w14:textId="77777777" w:rsidR="00990B14" w:rsidRDefault="00000000">
            <w:pPr>
              <w:spacing w:before="20" w:after="20"/>
              <w:jc w:val="both"/>
            </w:pPr>
            <w:r>
              <w:rPr>
                <w:sz w:val="18"/>
                <w:szCs w:val="18"/>
              </w:rPr>
              <w:t>Diferencia fundamentos y características.</w:t>
            </w:r>
          </w:p>
        </w:tc>
        <w:tc>
          <w:tcPr>
            <w:tcW w:w="1866" w:type="dxa"/>
            <w:shd w:val="clear" w:color="auto" w:fill="D9E2F3"/>
            <w:vAlign w:val="center"/>
          </w:tcPr>
          <w:p w14:paraId="13A5FC42" w14:textId="77777777" w:rsidR="00990B14" w:rsidRDefault="00000000">
            <w:pPr>
              <w:spacing w:before="20" w:after="20"/>
              <w:jc w:val="both"/>
            </w:pPr>
            <w:r>
              <w:rPr>
                <w:sz w:val="18"/>
                <w:szCs w:val="18"/>
              </w:rPr>
              <w:t>Estructura con precisión</w:t>
            </w:r>
          </w:p>
        </w:tc>
      </w:tr>
      <w:tr w:rsidR="00990B14" w14:paraId="11DE7B06" w14:textId="77777777">
        <w:trPr>
          <w:cantSplit/>
          <w:jc w:val="center"/>
        </w:trPr>
        <w:tc>
          <w:tcPr>
            <w:tcW w:w="1883" w:type="dxa"/>
            <w:vMerge/>
            <w:shd w:val="clear" w:color="auto" w:fill="4472C4"/>
            <w:vAlign w:val="center"/>
          </w:tcPr>
          <w:p w14:paraId="48D9CDC9" w14:textId="77777777" w:rsidR="00990B14" w:rsidRDefault="00990B14">
            <w:pPr>
              <w:spacing w:before="20" w:after="20"/>
            </w:pPr>
          </w:p>
        </w:tc>
        <w:tc>
          <w:tcPr>
            <w:tcW w:w="1873" w:type="dxa"/>
            <w:shd w:val="clear" w:color="auto" w:fill="D9E2F3"/>
            <w:vAlign w:val="center"/>
          </w:tcPr>
          <w:p w14:paraId="66B88377" w14:textId="77777777" w:rsidR="00990B14" w:rsidRDefault="00000000">
            <w:pPr>
              <w:spacing w:before="20" w:after="20"/>
              <w:jc w:val="both"/>
            </w:pPr>
            <w:r>
              <w:rPr>
                <w:sz w:val="18"/>
                <w:szCs w:val="18"/>
              </w:rPr>
              <w:t>Análisis Financiero y Elementos de Financiamiento</w:t>
            </w:r>
          </w:p>
        </w:tc>
        <w:tc>
          <w:tcPr>
            <w:tcW w:w="1873" w:type="dxa"/>
            <w:shd w:val="clear" w:color="auto" w:fill="D9E2F3"/>
            <w:vAlign w:val="center"/>
          </w:tcPr>
          <w:p w14:paraId="4F985834" w14:textId="77777777" w:rsidR="00990B14" w:rsidRDefault="00000000">
            <w:pPr>
              <w:spacing w:before="20" w:after="20"/>
              <w:jc w:val="both"/>
            </w:pPr>
            <w:r>
              <w:rPr>
                <w:sz w:val="18"/>
                <w:szCs w:val="18"/>
              </w:rPr>
              <w:t>Análisis parcial.</w:t>
            </w:r>
          </w:p>
        </w:tc>
        <w:tc>
          <w:tcPr>
            <w:tcW w:w="1910" w:type="dxa"/>
            <w:shd w:val="clear" w:color="auto" w:fill="D9E2F3"/>
            <w:vAlign w:val="center"/>
          </w:tcPr>
          <w:p w14:paraId="227C92EB" w14:textId="77777777" w:rsidR="00990B14" w:rsidRDefault="00000000">
            <w:pPr>
              <w:spacing w:before="20" w:after="20"/>
              <w:jc w:val="both"/>
            </w:pPr>
            <w:r>
              <w:rPr>
                <w:sz w:val="18"/>
                <w:szCs w:val="18"/>
              </w:rPr>
              <w:t>Análisis correcto.</w:t>
            </w:r>
          </w:p>
        </w:tc>
        <w:tc>
          <w:tcPr>
            <w:tcW w:w="1866" w:type="dxa"/>
            <w:shd w:val="clear" w:color="auto" w:fill="D9E2F3"/>
            <w:vAlign w:val="center"/>
          </w:tcPr>
          <w:p w14:paraId="201CF48D" w14:textId="77777777" w:rsidR="00990B14" w:rsidRDefault="00000000">
            <w:pPr>
              <w:spacing w:before="20" w:after="20"/>
              <w:jc w:val="both"/>
            </w:pPr>
            <w:r>
              <w:rPr>
                <w:sz w:val="18"/>
                <w:szCs w:val="18"/>
              </w:rPr>
              <w:t>Análisis Integral.</w:t>
            </w:r>
          </w:p>
        </w:tc>
      </w:tr>
      <w:tr w:rsidR="00990B14" w14:paraId="6D208683" w14:textId="77777777">
        <w:trPr>
          <w:cantSplit/>
          <w:jc w:val="center"/>
        </w:trPr>
        <w:tc>
          <w:tcPr>
            <w:tcW w:w="1883" w:type="dxa"/>
            <w:vMerge/>
            <w:shd w:val="clear" w:color="auto" w:fill="4472C4"/>
            <w:vAlign w:val="center"/>
          </w:tcPr>
          <w:p w14:paraId="1F2258B1" w14:textId="77777777" w:rsidR="00990B14" w:rsidRDefault="00990B14">
            <w:pPr>
              <w:spacing w:before="20" w:after="20"/>
            </w:pPr>
          </w:p>
        </w:tc>
        <w:tc>
          <w:tcPr>
            <w:tcW w:w="1873" w:type="dxa"/>
            <w:shd w:val="clear" w:color="auto" w:fill="D9E2F3"/>
            <w:vAlign w:val="center"/>
          </w:tcPr>
          <w:p w14:paraId="03B14B08" w14:textId="77777777" w:rsidR="00990B14" w:rsidRDefault="00000000">
            <w:pPr>
              <w:spacing w:before="20" w:after="20"/>
              <w:jc w:val="both"/>
            </w:pPr>
            <w:r>
              <w:rPr>
                <w:sz w:val="18"/>
                <w:szCs w:val="18"/>
              </w:rPr>
              <w:t>Presentación</w:t>
            </w:r>
          </w:p>
        </w:tc>
        <w:tc>
          <w:tcPr>
            <w:tcW w:w="1873" w:type="dxa"/>
            <w:shd w:val="clear" w:color="auto" w:fill="D9E2F3"/>
            <w:vAlign w:val="center"/>
          </w:tcPr>
          <w:p w14:paraId="43982562" w14:textId="77777777" w:rsidR="00990B14" w:rsidRDefault="00000000">
            <w:pPr>
              <w:spacing w:before="20" w:after="20"/>
              <w:jc w:val="both"/>
            </w:pPr>
            <w:r>
              <w:rPr>
                <w:sz w:val="18"/>
                <w:szCs w:val="18"/>
              </w:rPr>
              <w:t>Es incompleto.</w:t>
            </w:r>
          </w:p>
        </w:tc>
        <w:tc>
          <w:tcPr>
            <w:tcW w:w="1910" w:type="dxa"/>
            <w:shd w:val="clear" w:color="auto" w:fill="D9E2F3"/>
            <w:vAlign w:val="center"/>
          </w:tcPr>
          <w:p w14:paraId="3EDEF246" w14:textId="77777777" w:rsidR="00990B14" w:rsidRDefault="00000000">
            <w:pPr>
              <w:spacing w:before="20" w:after="20"/>
              <w:jc w:val="both"/>
            </w:pPr>
            <w:r>
              <w:rPr>
                <w:sz w:val="18"/>
                <w:szCs w:val="18"/>
              </w:rPr>
              <w:t>Es claro y ordenado.</w:t>
            </w:r>
          </w:p>
        </w:tc>
        <w:tc>
          <w:tcPr>
            <w:tcW w:w="1866" w:type="dxa"/>
            <w:shd w:val="clear" w:color="auto" w:fill="D9E2F3"/>
            <w:vAlign w:val="center"/>
          </w:tcPr>
          <w:p w14:paraId="0A0140D3" w14:textId="77777777" w:rsidR="00990B14" w:rsidRDefault="00000000">
            <w:pPr>
              <w:spacing w:before="20" w:after="20"/>
              <w:jc w:val="both"/>
            </w:pPr>
            <w:r>
              <w:rPr>
                <w:sz w:val="18"/>
                <w:szCs w:val="18"/>
              </w:rPr>
              <w:t>Integra relaciones y conclusiones.</w:t>
            </w:r>
          </w:p>
        </w:tc>
      </w:tr>
      <w:tr w:rsidR="00990B14" w14:paraId="2A3AE67D" w14:textId="77777777">
        <w:trPr>
          <w:cantSplit/>
          <w:jc w:val="center"/>
        </w:trPr>
        <w:tc>
          <w:tcPr>
            <w:tcW w:w="1883" w:type="dxa"/>
            <w:vMerge/>
            <w:shd w:val="clear" w:color="auto" w:fill="4472C4"/>
            <w:vAlign w:val="center"/>
          </w:tcPr>
          <w:p w14:paraId="13D541B5" w14:textId="77777777" w:rsidR="00990B14" w:rsidRDefault="00990B14">
            <w:pPr>
              <w:spacing w:before="20" w:after="20"/>
            </w:pPr>
          </w:p>
        </w:tc>
        <w:tc>
          <w:tcPr>
            <w:tcW w:w="5656" w:type="dxa"/>
            <w:gridSpan w:val="3"/>
            <w:shd w:val="clear" w:color="auto" w:fill="D9E2F3"/>
            <w:vAlign w:val="center"/>
          </w:tcPr>
          <w:p w14:paraId="774688CE" w14:textId="77777777" w:rsidR="00990B14" w:rsidRDefault="00000000">
            <w:pPr>
              <w:keepNext/>
              <w:spacing w:before="20" w:after="20"/>
              <w:jc w:val="both"/>
            </w:pPr>
            <w:r>
              <w:rPr>
                <w:b/>
                <w:bCs/>
                <w:i/>
                <w:iCs/>
                <w:sz w:val="18"/>
                <w:szCs w:val="18"/>
              </w:rPr>
              <w:t xml:space="preserve">Producto 10: </w:t>
            </w:r>
            <w:r>
              <w:rPr>
                <w:sz w:val="18"/>
                <w:szCs w:val="18"/>
              </w:rPr>
              <w:t>Informe de análisis de casos prácticos de aplicación del Seguro Social a Largo Plazo</w:t>
            </w:r>
          </w:p>
        </w:tc>
        <w:tc>
          <w:tcPr>
            <w:tcW w:w="1866" w:type="dxa"/>
            <w:shd w:val="clear" w:color="auto" w:fill="D9E2F3"/>
            <w:vAlign w:val="center"/>
          </w:tcPr>
          <w:p w14:paraId="67FB2EAF" w14:textId="77777777" w:rsidR="00990B14" w:rsidRDefault="00000000">
            <w:pPr>
              <w:spacing w:before="20" w:after="20"/>
              <w:jc w:val="center"/>
            </w:pPr>
            <w:r>
              <w:rPr>
                <w:b/>
                <w:bCs/>
                <w:sz w:val="18"/>
                <w:szCs w:val="18"/>
              </w:rPr>
              <w:t>8%</w:t>
            </w:r>
          </w:p>
        </w:tc>
      </w:tr>
      <w:tr w:rsidR="00990B14" w14:paraId="36BC0F87" w14:textId="77777777">
        <w:trPr>
          <w:cantSplit/>
          <w:jc w:val="center"/>
        </w:trPr>
        <w:tc>
          <w:tcPr>
            <w:tcW w:w="1883" w:type="dxa"/>
            <w:vMerge/>
            <w:shd w:val="clear" w:color="auto" w:fill="4472C4"/>
            <w:vAlign w:val="center"/>
          </w:tcPr>
          <w:p w14:paraId="30A90701" w14:textId="77777777" w:rsidR="00990B14" w:rsidRDefault="00990B14">
            <w:pPr>
              <w:spacing w:before="20" w:after="20"/>
            </w:pPr>
          </w:p>
        </w:tc>
        <w:tc>
          <w:tcPr>
            <w:tcW w:w="1873" w:type="dxa"/>
            <w:shd w:val="clear" w:color="auto" w:fill="4472C4"/>
            <w:vAlign w:val="center"/>
          </w:tcPr>
          <w:p w14:paraId="5F7E70AD" w14:textId="77777777" w:rsidR="00990B14" w:rsidRDefault="00000000">
            <w:pPr>
              <w:keepNext/>
              <w:spacing w:before="20" w:after="20"/>
              <w:jc w:val="center"/>
            </w:pPr>
            <w:r>
              <w:rPr>
                <w:b/>
                <w:bCs/>
                <w:i/>
                <w:iCs/>
                <w:color w:val="FFFFFF"/>
                <w:sz w:val="18"/>
                <w:szCs w:val="18"/>
              </w:rPr>
              <w:t>Criterio</w:t>
            </w:r>
          </w:p>
        </w:tc>
        <w:tc>
          <w:tcPr>
            <w:tcW w:w="1873" w:type="dxa"/>
            <w:shd w:val="clear" w:color="auto" w:fill="4472C4"/>
            <w:vAlign w:val="center"/>
          </w:tcPr>
          <w:p w14:paraId="10B58959"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1F62CF69" w14:textId="77777777" w:rsidR="00990B14" w:rsidRDefault="00000000">
            <w:pPr>
              <w:keepNext/>
              <w:spacing w:before="20" w:after="20"/>
              <w:jc w:val="center"/>
            </w:pPr>
            <w:r>
              <w:rPr>
                <w:b/>
                <w:bCs/>
                <w:i/>
                <w:iCs/>
                <w:color w:val="FFFFFF"/>
                <w:sz w:val="18"/>
                <w:szCs w:val="18"/>
              </w:rPr>
              <w:t>Suficiente (51–80)</w:t>
            </w:r>
          </w:p>
        </w:tc>
        <w:tc>
          <w:tcPr>
            <w:tcW w:w="1866" w:type="dxa"/>
            <w:shd w:val="clear" w:color="auto" w:fill="4472C4"/>
            <w:vAlign w:val="center"/>
          </w:tcPr>
          <w:p w14:paraId="2CBBABD7" w14:textId="77777777" w:rsidR="00990B14" w:rsidRDefault="00000000">
            <w:pPr>
              <w:keepNext/>
              <w:spacing w:before="20" w:after="20"/>
              <w:jc w:val="center"/>
            </w:pPr>
            <w:r>
              <w:rPr>
                <w:b/>
                <w:bCs/>
                <w:i/>
                <w:iCs/>
                <w:color w:val="FFFFFF"/>
                <w:sz w:val="18"/>
                <w:szCs w:val="18"/>
              </w:rPr>
              <w:t>Destacado (81–100)</w:t>
            </w:r>
          </w:p>
        </w:tc>
      </w:tr>
      <w:tr w:rsidR="00990B14" w14:paraId="438BAAFE" w14:textId="77777777">
        <w:trPr>
          <w:cantSplit/>
          <w:jc w:val="center"/>
        </w:trPr>
        <w:tc>
          <w:tcPr>
            <w:tcW w:w="1883" w:type="dxa"/>
            <w:vMerge/>
            <w:shd w:val="clear" w:color="auto" w:fill="4472C4"/>
            <w:vAlign w:val="center"/>
          </w:tcPr>
          <w:p w14:paraId="67AC7F43" w14:textId="77777777" w:rsidR="00990B14" w:rsidRDefault="00990B14">
            <w:pPr>
              <w:spacing w:before="20" w:after="20"/>
            </w:pPr>
          </w:p>
        </w:tc>
        <w:tc>
          <w:tcPr>
            <w:tcW w:w="1873" w:type="dxa"/>
            <w:shd w:val="clear" w:color="auto" w:fill="D9E2F3"/>
            <w:vAlign w:val="center"/>
          </w:tcPr>
          <w:p w14:paraId="5F9B29A5" w14:textId="77777777" w:rsidR="00990B14" w:rsidRDefault="00000000">
            <w:pPr>
              <w:spacing w:before="20" w:after="20"/>
              <w:jc w:val="both"/>
            </w:pPr>
            <w:r>
              <w:rPr>
                <w:sz w:val="18"/>
                <w:szCs w:val="18"/>
              </w:rPr>
              <w:t>Comprensión y Planteamiento del Caso Práctico</w:t>
            </w:r>
          </w:p>
        </w:tc>
        <w:tc>
          <w:tcPr>
            <w:tcW w:w="1873" w:type="dxa"/>
            <w:shd w:val="clear" w:color="auto" w:fill="D9E2F3"/>
            <w:vAlign w:val="center"/>
          </w:tcPr>
          <w:p w14:paraId="5E9985E4" w14:textId="77777777" w:rsidR="00990B14" w:rsidRDefault="00000000">
            <w:pPr>
              <w:spacing w:before="20" w:after="20"/>
              <w:jc w:val="both"/>
            </w:pPr>
            <w:r>
              <w:rPr>
                <w:sz w:val="18"/>
                <w:szCs w:val="18"/>
              </w:rPr>
              <w:t>Presenta deficiencias</w:t>
            </w:r>
          </w:p>
        </w:tc>
        <w:tc>
          <w:tcPr>
            <w:tcW w:w="1910" w:type="dxa"/>
            <w:shd w:val="clear" w:color="auto" w:fill="D9E2F3"/>
            <w:vAlign w:val="center"/>
          </w:tcPr>
          <w:p w14:paraId="42B26BB2" w14:textId="77777777" w:rsidR="00990B14" w:rsidRDefault="00000000">
            <w:pPr>
              <w:spacing w:before="20" w:after="20"/>
              <w:jc w:val="both"/>
            </w:pPr>
            <w:r>
              <w:rPr>
                <w:sz w:val="18"/>
                <w:szCs w:val="18"/>
              </w:rPr>
              <w:t>Interpreta y plantea correctamente</w:t>
            </w:r>
          </w:p>
        </w:tc>
        <w:tc>
          <w:tcPr>
            <w:tcW w:w="1866" w:type="dxa"/>
            <w:shd w:val="clear" w:color="auto" w:fill="D9E2F3"/>
            <w:vAlign w:val="center"/>
          </w:tcPr>
          <w:p w14:paraId="51DA6CC5" w14:textId="77777777" w:rsidR="00990B14" w:rsidRDefault="00000000">
            <w:pPr>
              <w:spacing w:before="20" w:after="20"/>
              <w:jc w:val="both"/>
            </w:pPr>
            <w:r>
              <w:rPr>
                <w:sz w:val="18"/>
                <w:szCs w:val="18"/>
              </w:rPr>
              <w:t>Analiza con profundidad</w:t>
            </w:r>
          </w:p>
        </w:tc>
      </w:tr>
      <w:tr w:rsidR="00990B14" w14:paraId="509DD587" w14:textId="77777777">
        <w:trPr>
          <w:cantSplit/>
          <w:jc w:val="center"/>
        </w:trPr>
        <w:tc>
          <w:tcPr>
            <w:tcW w:w="1883" w:type="dxa"/>
            <w:vMerge/>
            <w:shd w:val="clear" w:color="auto" w:fill="4472C4"/>
            <w:vAlign w:val="center"/>
          </w:tcPr>
          <w:p w14:paraId="602B9B8D" w14:textId="77777777" w:rsidR="00990B14" w:rsidRDefault="00990B14">
            <w:pPr>
              <w:spacing w:before="20" w:after="20"/>
            </w:pPr>
          </w:p>
        </w:tc>
        <w:tc>
          <w:tcPr>
            <w:tcW w:w="1873" w:type="dxa"/>
            <w:shd w:val="clear" w:color="auto" w:fill="D9E2F3"/>
            <w:vAlign w:val="center"/>
          </w:tcPr>
          <w:p w14:paraId="03FB62CB" w14:textId="77777777" w:rsidR="00990B14" w:rsidRDefault="00000000">
            <w:pPr>
              <w:spacing w:before="20" w:after="20"/>
              <w:jc w:val="both"/>
            </w:pPr>
            <w:r>
              <w:rPr>
                <w:sz w:val="18"/>
                <w:szCs w:val="18"/>
              </w:rPr>
              <w:t>Aplicación Metodológica y Cálculo de Prestaciones</w:t>
            </w:r>
          </w:p>
        </w:tc>
        <w:tc>
          <w:tcPr>
            <w:tcW w:w="1873" w:type="dxa"/>
            <w:shd w:val="clear" w:color="auto" w:fill="D9E2F3"/>
            <w:vAlign w:val="center"/>
          </w:tcPr>
          <w:p w14:paraId="5E09AECE" w14:textId="77777777" w:rsidR="00990B14" w:rsidRDefault="00000000">
            <w:pPr>
              <w:spacing w:before="20" w:after="20"/>
              <w:jc w:val="both"/>
            </w:pPr>
            <w:r>
              <w:rPr>
                <w:sz w:val="18"/>
                <w:szCs w:val="18"/>
              </w:rPr>
              <w:t>Comete errores</w:t>
            </w:r>
          </w:p>
        </w:tc>
        <w:tc>
          <w:tcPr>
            <w:tcW w:w="1910" w:type="dxa"/>
            <w:shd w:val="clear" w:color="auto" w:fill="D9E2F3"/>
            <w:vAlign w:val="center"/>
          </w:tcPr>
          <w:p w14:paraId="3484035B" w14:textId="77777777" w:rsidR="00990B14" w:rsidRDefault="00000000">
            <w:pPr>
              <w:spacing w:before="20" w:after="20"/>
              <w:jc w:val="both"/>
            </w:pPr>
            <w:r>
              <w:rPr>
                <w:sz w:val="18"/>
                <w:szCs w:val="18"/>
              </w:rPr>
              <w:t>Aplica correctamente</w:t>
            </w:r>
          </w:p>
        </w:tc>
        <w:tc>
          <w:tcPr>
            <w:tcW w:w="1866" w:type="dxa"/>
            <w:shd w:val="clear" w:color="auto" w:fill="D9E2F3"/>
            <w:vAlign w:val="center"/>
          </w:tcPr>
          <w:p w14:paraId="478190D3" w14:textId="77777777" w:rsidR="00990B14" w:rsidRDefault="00000000">
            <w:pPr>
              <w:spacing w:before="20" w:after="20"/>
              <w:jc w:val="both"/>
            </w:pPr>
            <w:r>
              <w:rPr>
                <w:sz w:val="18"/>
                <w:szCs w:val="18"/>
              </w:rPr>
              <w:t>Aplica con precisión</w:t>
            </w:r>
          </w:p>
        </w:tc>
      </w:tr>
      <w:tr w:rsidR="00990B14" w14:paraId="77B2976C" w14:textId="77777777">
        <w:trPr>
          <w:cantSplit/>
          <w:jc w:val="center"/>
        </w:trPr>
        <w:tc>
          <w:tcPr>
            <w:tcW w:w="1883" w:type="dxa"/>
            <w:vMerge/>
            <w:shd w:val="clear" w:color="auto" w:fill="4472C4"/>
            <w:vAlign w:val="center"/>
          </w:tcPr>
          <w:p w14:paraId="521584F1" w14:textId="77777777" w:rsidR="00990B14" w:rsidRDefault="00990B14">
            <w:pPr>
              <w:spacing w:before="20" w:after="20"/>
            </w:pPr>
          </w:p>
        </w:tc>
        <w:tc>
          <w:tcPr>
            <w:tcW w:w="1873" w:type="dxa"/>
            <w:shd w:val="clear" w:color="auto" w:fill="D9E2F3"/>
            <w:vAlign w:val="center"/>
          </w:tcPr>
          <w:p w14:paraId="1E99F6C8" w14:textId="77777777" w:rsidR="00990B14" w:rsidRDefault="00000000">
            <w:pPr>
              <w:spacing w:before="20" w:after="20"/>
              <w:jc w:val="both"/>
            </w:pPr>
            <w:r>
              <w:rPr>
                <w:sz w:val="18"/>
                <w:szCs w:val="18"/>
              </w:rPr>
              <w:t>Fundamentación Normativa y Estructura del Informe</w:t>
            </w:r>
          </w:p>
        </w:tc>
        <w:tc>
          <w:tcPr>
            <w:tcW w:w="1873" w:type="dxa"/>
            <w:shd w:val="clear" w:color="auto" w:fill="D9E2F3"/>
            <w:vAlign w:val="center"/>
          </w:tcPr>
          <w:p w14:paraId="139D1958" w14:textId="77777777" w:rsidR="00990B14" w:rsidRDefault="00000000">
            <w:pPr>
              <w:spacing w:before="20" w:after="20"/>
              <w:jc w:val="both"/>
            </w:pPr>
            <w:r>
              <w:rPr>
                <w:sz w:val="18"/>
                <w:szCs w:val="18"/>
              </w:rPr>
              <w:t>Falta respaldo.</w:t>
            </w:r>
          </w:p>
        </w:tc>
        <w:tc>
          <w:tcPr>
            <w:tcW w:w="1910" w:type="dxa"/>
            <w:shd w:val="clear" w:color="auto" w:fill="D9E2F3"/>
            <w:vAlign w:val="center"/>
          </w:tcPr>
          <w:p w14:paraId="0CE211C6" w14:textId="77777777" w:rsidR="00990B14" w:rsidRDefault="00000000">
            <w:pPr>
              <w:spacing w:before="20" w:after="20"/>
              <w:jc w:val="both"/>
            </w:pPr>
            <w:r>
              <w:rPr>
                <w:sz w:val="18"/>
                <w:szCs w:val="18"/>
              </w:rPr>
              <w:t>Con respaldo suficiente.</w:t>
            </w:r>
          </w:p>
        </w:tc>
        <w:tc>
          <w:tcPr>
            <w:tcW w:w="1866" w:type="dxa"/>
            <w:shd w:val="clear" w:color="auto" w:fill="D9E2F3"/>
            <w:vAlign w:val="center"/>
          </w:tcPr>
          <w:p w14:paraId="57D0935F" w14:textId="77777777" w:rsidR="00990B14" w:rsidRDefault="00000000">
            <w:pPr>
              <w:spacing w:before="20" w:after="20"/>
              <w:jc w:val="both"/>
            </w:pPr>
            <w:r>
              <w:rPr>
                <w:sz w:val="18"/>
                <w:szCs w:val="18"/>
              </w:rPr>
              <w:t>Integra expediente con la normativa vigente.</w:t>
            </w:r>
          </w:p>
        </w:tc>
      </w:tr>
      <w:tr w:rsidR="00990B14" w14:paraId="50ED735E" w14:textId="77777777">
        <w:trPr>
          <w:cantSplit/>
          <w:jc w:val="center"/>
        </w:trPr>
        <w:tc>
          <w:tcPr>
            <w:tcW w:w="1883" w:type="dxa"/>
            <w:vMerge/>
            <w:shd w:val="clear" w:color="auto" w:fill="4472C4"/>
            <w:vAlign w:val="center"/>
          </w:tcPr>
          <w:p w14:paraId="19680A5D" w14:textId="77777777" w:rsidR="00990B14" w:rsidRDefault="00990B14">
            <w:pPr>
              <w:spacing w:before="20" w:after="20"/>
            </w:pPr>
          </w:p>
        </w:tc>
        <w:tc>
          <w:tcPr>
            <w:tcW w:w="5656" w:type="dxa"/>
            <w:gridSpan w:val="3"/>
            <w:shd w:val="clear" w:color="auto" w:fill="D9E2F3"/>
            <w:vAlign w:val="center"/>
          </w:tcPr>
          <w:p w14:paraId="47625CA3" w14:textId="77777777" w:rsidR="00990B14" w:rsidRDefault="00000000">
            <w:pPr>
              <w:keepNext/>
              <w:spacing w:before="20" w:after="20"/>
              <w:jc w:val="both"/>
            </w:pPr>
            <w:r>
              <w:rPr>
                <w:b/>
                <w:bCs/>
                <w:i/>
                <w:iCs/>
                <w:sz w:val="18"/>
                <w:szCs w:val="18"/>
              </w:rPr>
              <w:t xml:space="preserve">Producto 11: </w:t>
            </w:r>
            <w:r>
              <w:rPr>
                <w:sz w:val="18"/>
                <w:szCs w:val="18"/>
              </w:rPr>
              <w:t>Mapa conceptual y descriptiva de la estructura institucional y financiamiento del Seguro Social a Corto Plazo.</w:t>
            </w:r>
          </w:p>
        </w:tc>
        <w:tc>
          <w:tcPr>
            <w:tcW w:w="1866" w:type="dxa"/>
            <w:shd w:val="clear" w:color="auto" w:fill="D9E2F3"/>
            <w:vAlign w:val="center"/>
          </w:tcPr>
          <w:p w14:paraId="2388C4AA" w14:textId="77777777" w:rsidR="00990B14" w:rsidRDefault="00000000">
            <w:pPr>
              <w:spacing w:before="20" w:after="20"/>
              <w:jc w:val="center"/>
            </w:pPr>
            <w:r>
              <w:rPr>
                <w:b/>
                <w:bCs/>
                <w:sz w:val="18"/>
                <w:szCs w:val="18"/>
              </w:rPr>
              <w:t>9%</w:t>
            </w:r>
          </w:p>
        </w:tc>
      </w:tr>
      <w:tr w:rsidR="00990B14" w14:paraId="1FCECC5B" w14:textId="77777777">
        <w:trPr>
          <w:cantSplit/>
          <w:jc w:val="center"/>
        </w:trPr>
        <w:tc>
          <w:tcPr>
            <w:tcW w:w="1883" w:type="dxa"/>
            <w:vMerge/>
            <w:shd w:val="clear" w:color="auto" w:fill="4472C4"/>
            <w:vAlign w:val="center"/>
          </w:tcPr>
          <w:p w14:paraId="406FAD2C" w14:textId="77777777" w:rsidR="00990B14" w:rsidRDefault="00990B14">
            <w:pPr>
              <w:spacing w:before="20" w:after="20"/>
            </w:pPr>
          </w:p>
        </w:tc>
        <w:tc>
          <w:tcPr>
            <w:tcW w:w="1873" w:type="dxa"/>
            <w:shd w:val="clear" w:color="auto" w:fill="4472C4"/>
            <w:vAlign w:val="center"/>
          </w:tcPr>
          <w:p w14:paraId="17534A87" w14:textId="77777777" w:rsidR="00990B14" w:rsidRDefault="00000000">
            <w:pPr>
              <w:keepNext/>
              <w:spacing w:before="20" w:after="20"/>
              <w:jc w:val="center"/>
            </w:pPr>
            <w:r>
              <w:rPr>
                <w:b/>
                <w:bCs/>
                <w:i/>
                <w:iCs/>
                <w:color w:val="FFFFFF"/>
                <w:sz w:val="18"/>
                <w:szCs w:val="18"/>
              </w:rPr>
              <w:t>Criterio</w:t>
            </w:r>
          </w:p>
        </w:tc>
        <w:tc>
          <w:tcPr>
            <w:tcW w:w="1873" w:type="dxa"/>
            <w:shd w:val="clear" w:color="auto" w:fill="4472C4"/>
            <w:vAlign w:val="center"/>
          </w:tcPr>
          <w:p w14:paraId="715ED2D7"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5DCB6BFA" w14:textId="77777777" w:rsidR="00990B14" w:rsidRDefault="00000000">
            <w:pPr>
              <w:keepNext/>
              <w:spacing w:before="20" w:after="20"/>
              <w:jc w:val="center"/>
            </w:pPr>
            <w:r>
              <w:rPr>
                <w:b/>
                <w:bCs/>
                <w:i/>
                <w:iCs/>
                <w:color w:val="FFFFFF"/>
                <w:sz w:val="18"/>
                <w:szCs w:val="18"/>
              </w:rPr>
              <w:t>Suficiente (51–80)</w:t>
            </w:r>
          </w:p>
        </w:tc>
        <w:tc>
          <w:tcPr>
            <w:tcW w:w="1866" w:type="dxa"/>
            <w:shd w:val="clear" w:color="auto" w:fill="4472C4"/>
            <w:vAlign w:val="center"/>
          </w:tcPr>
          <w:p w14:paraId="5FFA48FC" w14:textId="77777777" w:rsidR="00990B14" w:rsidRDefault="00000000">
            <w:pPr>
              <w:keepNext/>
              <w:spacing w:before="20" w:after="20"/>
              <w:jc w:val="center"/>
            </w:pPr>
            <w:r>
              <w:rPr>
                <w:b/>
                <w:bCs/>
                <w:i/>
                <w:iCs/>
                <w:color w:val="FFFFFF"/>
                <w:sz w:val="18"/>
                <w:szCs w:val="18"/>
              </w:rPr>
              <w:t>Destacado (81–100)</w:t>
            </w:r>
          </w:p>
        </w:tc>
      </w:tr>
      <w:tr w:rsidR="00990B14" w14:paraId="6E5D8D47" w14:textId="77777777">
        <w:trPr>
          <w:cantSplit/>
          <w:jc w:val="center"/>
        </w:trPr>
        <w:tc>
          <w:tcPr>
            <w:tcW w:w="1883" w:type="dxa"/>
            <w:vMerge/>
            <w:shd w:val="clear" w:color="auto" w:fill="4472C4"/>
            <w:vAlign w:val="center"/>
          </w:tcPr>
          <w:p w14:paraId="5B828C9C" w14:textId="77777777" w:rsidR="00990B14" w:rsidRDefault="00990B14">
            <w:pPr>
              <w:spacing w:before="20" w:after="20"/>
            </w:pPr>
          </w:p>
        </w:tc>
        <w:tc>
          <w:tcPr>
            <w:tcW w:w="1873" w:type="dxa"/>
            <w:shd w:val="clear" w:color="auto" w:fill="D9E2F3"/>
            <w:vAlign w:val="center"/>
          </w:tcPr>
          <w:p w14:paraId="3A591670" w14:textId="77777777" w:rsidR="00990B14" w:rsidRDefault="00000000">
            <w:pPr>
              <w:spacing w:before="20" w:after="20"/>
              <w:jc w:val="both"/>
            </w:pPr>
            <w:r>
              <w:rPr>
                <w:sz w:val="18"/>
                <w:szCs w:val="18"/>
              </w:rPr>
              <w:t>Estructura Conceptual e Institucional</w:t>
            </w:r>
          </w:p>
        </w:tc>
        <w:tc>
          <w:tcPr>
            <w:tcW w:w="1873" w:type="dxa"/>
            <w:shd w:val="clear" w:color="auto" w:fill="D9E2F3"/>
            <w:vAlign w:val="center"/>
          </w:tcPr>
          <w:p w14:paraId="06BE9165" w14:textId="77777777" w:rsidR="00990B14" w:rsidRDefault="00000000">
            <w:pPr>
              <w:spacing w:before="20" w:after="20"/>
              <w:jc w:val="both"/>
            </w:pPr>
            <w:r>
              <w:rPr>
                <w:sz w:val="18"/>
                <w:szCs w:val="18"/>
              </w:rPr>
              <w:t>Presenta deficiencias</w:t>
            </w:r>
          </w:p>
        </w:tc>
        <w:tc>
          <w:tcPr>
            <w:tcW w:w="1910" w:type="dxa"/>
            <w:shd w:val="clear" w:color="auto" w:fill="D9E2F3"/>
            <w:vAlign w:val="center"/>
          </w:tcPr>
          <w:p w14:paraId="57DC86D6" w14:textId="77777777" w:rsidR="00990B14" w:rsidRDefault="00000000">
            <w:pPr>
              <w:spacing w:before="20" w:after="20"/>
              <w:jc w:val="both"/>
            </w:pPr>
            <w:r>
              <w:rPr>
                <w:sz w:val="18"/>
                <w:szCs w:val="18"/>
              </w:rPr>
              <w:t>Representa adecuadamente la estructura institucional.</w:t>
            </w:r>
          </w:p>
        </w:tc>
        <w:tc>
          <w:tcPr>
            <w:tcW w:w="1866" w:type="dxa"/>
            <w:shd w:val="clear" w:color="auto" w:fill="D9E2F3"/>
            <w:vAlign w:val="center"/>
          </w:tcPr>
          <w:p w14:paraId="422DB3F5" w14:textId="77777777" w:rsidR="00990B14" w:rsidRDefault="00000000">
            <w:pPr>
              <w:spacing w:before="20" w:after="20"/>
              <w:jc w:val="both"/>
            </w:pPr>
            <w:r>
              <w:rPr>
                <w:sz w:val="18"/>
                <w:szCs w:val="18"/>
              </w:rPr>
              <w:t>Presenta con precisión la estructura</w:t>
            </w:r>
          </w:p>
        </w:tc>
      </w:tr>
      <w:tr w:rsidR="00990B14" w14:paraId="3DC15DEE" w14:textId="77777777">
        <w:trPr>
          <w:cantSplit/>
          <w:jc w:val="center"/>
        </w:trPr>
        <w:tc>
          <w:tcPr>
            <w:tcW w:w="1883" w:type="dxa"/>
            <w:vMerge/>
            <w:shd w:val="clear" w:color="auto" w:fill="4472C4"/>
            <w:vAlign w:val="center"/>
          </w:tcPr>
          <w:p w14:paraId="1601BD61" w14:textId="77777777" w:rsidR="00990B14" w:rsidRDefault="00990B14">
            <w:pPr>
              <w:spacing w:before="20" w:after="20"/>
            </w:pPr>
          </w:p>
        </w:tc>
        <w:tc>
          <w:tcPr>
            <w:tcW w:w="1873" w:type="dxa"/>
            <w:shd w:val="clear" w:color="auto" w:fill="D9E2F3"/>
            <w:vAlign w:val="center"/>
          </w:tcPr>
          <w:p w14:paraId="5BCAEAF5" w14:textId="77777777" w:rsidR="00990B14" w:rsidRDefault="00000000">
            <w:pPr>
              <w:spacing w:before="20" w:after="20"/>
              <w:jc w:val="both"/>
            </w:pPr>
            <w:r>
              <w:rPr>
                <w:sz w:val="18"/>
                <w:szCs w:val="18"/>
              </w:rPr>
              <w:t>Análisis del Financiamiento (Aportes Laborales y Contribuciones Patronales)</w:t>
            </w:r>
          </w:p>
        </w:tc>
        <w:tc>
          <w:tcPr>
            <w:tcW w:w="1873" w:type="dxa"/>
            <w:shd w:val="clear" w:color="auto" w:fill="D9E2F3"/>
            <w:vAlign w:val="center"/>
          </w:tcPr>
          <w:p w14:paraId="12A4A61A" w14:textId="77777777" w:rsidR="00990B14" w:rsidRDefault="00000000">
            <w:pPr>
              <w:spacing w:before="20" w:after="20"/>
              <w:jc w:val="both"/>
            </w:pPr>
            <w:r>
              <w:rPr>
                <w:sz w:val="18"/>
                <w:szCs w:val="18"/>
              </w:rPr>
              <w:t>Omite información</w:t>
            </w:r>
          </w:p>
        </w:tc>
        <w:tc>
          <w:tcPr>
            <w:tcW w:w="1910" w:type="dxa"/>
            <w:shd w:val="clear" w:color="auto" w:fill="D9E2F3"/>
            <w:vAlign w:val="center"/>
          </w:tcPr>
          <w:p w14:paraId="5184F8E7" w14:textId="77777777" w:rsidR="00990B14" w:rsidRDefault="00000000">
            <w:pPr>
              <w:spacing w:before="20" w:after="20"/>
              <w:jc w:val="both"/>
            </w:pPr>
            <w:r>
              <w:rPr>
                <w:sz w:val="18"/>
                <w:szCs w:val="18"/>
              </w:rPr>
              <w:t>Explica de manera correcta</w:t>
            </w:r>
          </w:p>
        </w:tc>
        <w:tc>
          <w:tcPr>
            <w:tcW w:w="1866" w:type="dxa"/>
            <w:shd w:val="clear" w:color="auto" w:fill="D9E2F3"/>
            <w:vAlign w:val="center"/>
          </w:tcPr>
          <w:p w14:paraId="754D9E5D" w14:textId="77777777" w:rsidR="00990B14" w:rsidRDefault="00000000">
            <w:pPr>
              <w:spacing w:before="20" w:after="20"/>
              <w:jc w:val="both"/>
            </w:pPr>
            <w:r>
              <w:rPr>
                <w:sz w:val="18"/>
                <w:szCs w:val="18"/>
              </w:rPr>
              <w:t>Revela la información en aplicación a las normas.</w:t>
            </w:r>
          </w:p>
        </w:tc>
      </w:tr>
      <w:tr w:rsidR="00990B14" w14:paraId="5100D13B" w14:textId="77777777">
        <w:trPr>
          <w:cantSplit/>
          <w:jc w:val="center"/>
        </w:trPr>
        <w:tc>
          <w:tcPr>
            <w:tcW w:w="1883" w:type="dxa"/>
            <w:vMerge/>
            <w:shd w:val="clear" w:color="auto" w:fill="4472C4"/>
            <w:vAlign w:val="center"/>
          </w:tcPr>
          <w:p w14:paraId="3E3D4EF3" w14:textId="77777777" w:rsidR="00990B14" w:rsidRDefault="00990B14">
            <w:pPr>
              <w:spacing w:before="20" w:after="20"/>
            </w:pPr>
          </w:p>
        </w:tc>
        <w:tc>
          <w:tcPr>
            <w:tcW w:w="1873" w:type="dxa"/>
            <w:shd w:val="clear" w:color="auto" w:fill="D9E2F3"/>
            <w:vAlign w:val="center"/>
          </w:tcPr>
          <w:p w14:paraId="510A91CC" w14:textId="77777777" w:rsidR="00990B14" w:rsidRDefault="00000000">
            <w:pPr>
              <w:spacing w:before="20" w:after="20"/>
              <w:jc w:val="both"/>
            </w:pPr>
            <w:r>
              <w:rPr>
                <w:sz w:val="18"/>
                <w:szCs w:val="18"/>
              </w:rPr>
              <w:t>Calidad Descriptiva, Presentación y Fundamentación Normativa</w:t>
            </w:r>
          </w:p>
        </w:tc>
        <w:tc>
          <w:tcPr>
            <w:tcW w:w="1873" w:type="dxa"/>
            <w:shd w:val="clear" w:color="auto" w:fill="D9E2F3"/>
            <w:vAlign w:val="center"/>
          </w:tcPr>
          <w:p w14:paraId="1D8830EE" w14:textId="77777777" w:rsidR="00990B14" w:rsidRDefault="00000000">
            <w:pPr>
              <w:spacing w:before="20" w:after="20"/>
              <w:jc w:val="both"/>
            </w:pPr>
            <w:r>
              <w:rPr>
                <w:sz w:val="18"/>
                <w:szCs w:val="18"/>
              </w:rPr>
              <w:t>Presenta inconsistencias</w:t>
            </w:r>
          </w:p>
        </w:tc>
        <w:tc>
          <w:tcPr>
            <w:tcW w:w="1910" w:type="dxa"/>
            <w:shd w:val="clear" w:color="auto" w:fill="D9E2F3"/>
            <w:vAlign w:val="center"/>
          </w:tcPr>
          <w:p w14:paraId="0CC9CA91" w14:textId="77777777" w:rsidR="00990B14" w:rsidRDefault="00000000">
            <w:pPr>
              <w:spacing w:before="20" w:after="20"/>
              <w:jc w:val="both"/>
            </w:pPr>
            <w:r>
              <w:rPr>
                <w:sz w:val="18"/>
                <w:szCs w:val="18"/>
              </w:rPr>
              <w:t>Muestra coherencia</w:t>
            </w:r>
          </w:p>
        </w:tc>
        <w:tc>
          <w:tcPr>
            <w:tcW w:w="1866" w:type="dxa"/>
            <w:shd w:val="clear" w:color="auto" w:fill="D9E2F3"/>
            <w:vAlign w:val="center"/>
          </w:tcPr>
          <w:p w14:paraId="346CE7AE" w14:textId="77777777" w:rsidR="00990B14" w:rsidRDefault="00000000">
            <w:pPr>
              <w:spacing w:before="20" w:after="20"/>
              <w:jc w:val="both"/>
            </w:pPr>
            <w:r>
              <w:rPr>
                <w:sz w:val="18"/>
                <w:szCs w:val="18"/>
              </w:rPr>
              <w:t>Presenta coherencia y exactitud.</w:t>
            </w:r>
          </w:p>
        </w:tc>
      </w:tr>
      <w:tr w:rsidR="00990B14" w14:paraId="7DE55DBB" w14:textId="77777777">
        <w:trPr>
          <w:cantSplit/>
          <w:jc w:val="center"/>
        </w:trPr>
        <w:tc>
          <w:tcPr>
            <w:tcW w:w="1883" w:type="dxa"/>
            <w:vMerge/>
            <w:shd w:val="clear" w:color="auto" w:fill="4472C4"/>
            <w:vAlign w:val="center"/>
          </w:tcPr>
          <w:p w14:paraId="2767A82A" w14:textId="77777777" w:rsidR="00990B14" w:rsidRDefault="00990B14">
            <w:pPr>
              <w:spacing w:before="20" w:after="20"/>
            </w:pPr>
          </w:p>
        </w:tc>
        <w:tc>
          <w:tcPr>
            <w:tcW w:w="5656" w:type="dxa"/>
            <w:gridSpan w:val="3"/>
            <w:shd w:val="clear" w:color="auto" w:fill="D9E2F3"/>
            <w:vAlign w:val="center"/>
          </w:tcPr>
          <w:p w14:paraId="4EAB2408" w14:textId="77777777" w:rsidR="00990B14" w:rsidRDefault="00000000">
            <w:pPr>
              <w:keepNext/>
              <w:spacing w:before="20" w:after="20"/>
              <w:jc w:val="both"/>
            </w:pPr>
            <w:r>
              <w:rPr>
                <w:b/>
                <w:bCs/>
                <w:i/>
                <w:iCs/>
                <w:sz w:val="18"/>
                <w:szCs w:val="18"/>
              </w:rPr>
              <w:t xml:space="preserve">Producto 12: </w:t>
            </w:r>
            <w:r>
              <w:rPr>
                <w:sz w:val="18"/>
                <w:szCs w:val="18"/>
              </w:rPr>
              <w:t>Informe contable-financiero de Seguridad Social de Corto Plazo</w:t>
            </w:r>
          </w:p>
        </w:tc>
        <w:tc>
          <w:tcPr>
            <w:tcW w:w="1866" w:type="dxa"/>
            <w:shd w:val="clear" w:color="auto" w:fill="D9E2F3"/>
            <w:vAlign w:val="center"/>
          </w:tcPr>
          <w:p w14:paraId="16921968" w14:textId="77777777" w:rsidR="00990B14" w:rsidRDefault="00000000">
            <w:pPr>
              <w:spacing w:before="20" w:after="20"/>
              <w:jc w:val="center"/>
            </w:pPr>
            <w:r>
              <w:rPr>
                <w:b/>
                <w:bCs/>
                <w:sz w:val="18"/>
                <w:szCs w:val="18"/>
              </w:rPr>
              <w:t>9%</w:t>
            </w:r>
          </w:p>
        </w:tc>
      </w:tr>
      <w:tr w:rsidR="00990B14" w14:paraId="0D2872FB" w14:textId="77777777">
        <w:trPr>
          <w:cantSplit/>
          <w:jc w:val="center"/>
        </w:trPr>
        <w:tc>
          <w:tcPr>
            <w:tcW w:w="1883" w:type="dxa"/>
            <w:vMerge/>
            <w:shd w:val="clear" w:color="auto" w:fill="4472C4"/>
            <w:vAlign w:val="center"/>
          </w:tcPr>
          <w:p w14:paraId="6349BC8D" w14:textId="77777777" w:rsidR="00990B14" w:rsidRDefault="00990B14">
            <w:pPr>
              <w:spacing w:before="20" w:after="20"/>
            </w:pPr>
          </w:p>
        </w:tc>
        <w:tc>
          <w:tcPr>
            <w:tcW w:w="1873" w:type="dxa"/>
            <w:shd w:val="clear" w:color="auto" w:fill="4472C4"/>
            <w:vAlign w:val="center"/>
          </w:tcPr>
          <w:p w14:paraId="1ED36389" w14:textId="77777777" w:rsidR="00990B14" w:rsidRDefault="00000000">
            <w:pPr>
              <w:keepNext/>
              <w:spacing w:before="20" w:after="20"/>
              <w:jc w:val="center"/>
            </w:pPr>
            <w:r>
              <w:rPr>
                <w:b/>
                <w:bCs/>
                <w:i/>
                <w:iCs/>
                <w:color w:val="FFFFFF"/>
                <w:sz w:val="18"/>
                <w:szCs w:val="18"/>
              </w:rPr>
              <w:t>Criterio</w:t>
            </w:r>
          </w:p>
        </w:tc>
        <w:tc>
          <w:tcPr>
            <w:tcW w:w="1873" w:type="dxa"/>
            <w:shd w:val="clear" w:color="auto" w:fill="4472C4"/>
            <w:vAlign w:val="center"/>
          </w:tcPr>
          <w:p w14:paraId="2E9E5158"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0AA356E4" w14:textId="77777777" w:rsidR="00990B14" w:rsidRDefault="00000000">
            <w:pPr>
              <w:keepNext/>
              <w:spacing w:before="20" w:after="20"/>
              <w:jc w:val="center"/>
            </w:pPr>
            <w:r>
              <w:rPr>
                <w:b/>
                <w:bCs/>
                <w:i/>
                <w:iCs/>
                <w:color w:val="FFFFFF"/>
                <w:sz w:val="18"/>
                <w:szCs w:val="18"/>
              </w:rPr>
              <w:t>Suficiente (51–80)</w:t>
            </w:r>
          </w:p>
        </w:tc>
        <w:tc>
          <w:tcPr>
            <w:tcW w:w="1866" w:type="dxa"/>
            <w:shd w:val="clear" w:color="auto" w:fill="4472C4"/>
            <w:vAlign w:val="center"/>
          </w:tcPr>
          <w:p w14:paraId="37492BF7" w14:textId="77777777" w:rsidR="00990B14" w:rsidRDefault="00000000">
            <w:pPr>
              <w:keepNext/>
              <w:spacing w:before="20" w:after="20"/>
              <w:jc w:val="center"/>
            </w:pPr>
            <w:r>
              <w:rPr>
                <w:b/>
                <w:bCs/>
                <w:i/>
                <w:iCs/>
                <w:color w:val="FFFFFF"/>
                <w:sz w:val="18"/>
                <w:szCs w:val="18"/>
              </w:rPr>
              <w:t>Destacado (81–100)</w:t>
            </w:r>
          </w:p>
        </w:tc>
      </w:tr>
      <w:tr w:rsidR="00990B14" w14:paraId="5F77BEBB" w14:textId="77777777">
        <w:trPr>
          <w:cantSplit/>
          <w:jc w:val="center"/>
        </w:trPr>
        <w:tc>
          <w:tcPr>
            <w:tcW w:w="1883" w:type="dxa"/>
            <w:vMerge/>
            <w:shd w:val="clear" w:color="auto" w:fill="4472C4"/>
            <w:vAlign w:val="center"/>
          </w:tcPr>
          <w:p w14:paraId="63CFCF43" w14:textId="77777777" w:rsidR="00990B14" w:rsidRDefault="00990B14">
            <w:pPr>
              <w:spacing w:before="20" w:after="20"/>
            </w:pPr>
          </w:p>
        </w:tc>
        <w:tc>
          <w:tcPr>
            <w:tcW w:w="1873" w:type="dxa"/>
            <w:shd w:val="clear" w:color="auto" w:fill="D9E2F3"/>
            <w:vAlign w:val="center"/>
          </w:tcPr>
          <w:p w14:paraId="364F3381" w14:textId="77777777" w:rsidR="00990B14" w:rsidRDefault="00000000">
            <w:pPr>
              <w:spacing w:before="20" w:after="20"/>
              <w:jc w:val="both"/>
            </w:pPr>
            <w:r>
              <w:rPr>
                <w:sz w:val="18"/>
                <w:szCs w:val="18"/>
              </w:rPr>
              <w:t>Comprensión y Planteamiento del Caso Práctico</w:t>
            </w:r>
          </w:p>
        </w:tc>
        <w:tc>
          <w:tcPr>
            <w:tcW w:w="1873" w:type="dxa"/>
            <w:shd w:val="clear" w:color="auto" w:fill="D9E2F3"/>
            <w:vAlign w:val="center"/>
          </w:tcPr>
          <w:p w14:paraId="1777A080" w14:textId="77777777" w:rsidR="00990B14" w:rsidRDefault="00000000">
            <w:pPr>
              <w:spacing w:before="20" w:after="20"/>
              <w:jc w:val="both"/>
            </w:pPr>
            <w:r>
              <w:rPr>
                <w:sz w:val="18"/>
                <w:szCs w:val="18"/>
              </w:rPr>
              <w:t>Presenta deficiencias</w:t>
            </w:r>
          </w:p>
        </w:tc>
        <w:tc>
          <w:tcPr>
            <w:tcW w:w="1910" w:type="dxa"/>
            <w:shd w:val="clear" w:color="auto" w:fill="D9E2F3"/>
            <w:vAlign w:val="center"/>
          </w:tcPr>
          <w:p w14:paraId="635510A9" w14:textId="77777777" w:rsidR="00990B14" w:rsidRDefault="00000000">
            <w:pPr>
              <w:spacing w:before="20" w:after="20"/>
              <w:jc w:val="both"/>
            </w:pPr>
            <w:r>
              <w:rPr>
                <w:sz w:val="18"/>
                <w:szCs w:val="18"/>
              </w:rPr>
              <w:t>Interpreta y plantea correctamente</w:t>
            </w:r>
          </w:p>
        </w:tc>
        <w:tc>
          <w:tcPr>
            <w:tcW w:w="1866" w:type="dxa"/>
            <w:shd w:val="clear" w:color="auto" w:fill="D9E2F3"/>
            <w:vAlign w:val="center"/>
          </w:tcPr>
          <w:p w14:paraId="516D0C25" w14:textId="77777777" w:rsidR="00990B14" w:rsidRDefault="00000000">
            <w:pPr>
              <w:spacing w:before="20" w:after="20"/>
              <w:jc w:val="both"/>
            </w:pPr>
            <w:r>
              <w:rPr>
                <w:sz w:val="18"/>
                <w:szCs w:val="18"/>
              </w:rPr>
              <w:t>Analiza con profundidad</w:t>
            </w:r>
          </w:p>
        </w:tc>
      </w:tr>
      <w:tr w:rsidR="00990B14" w14:paraId="3D35EE91" w14:textId="77777777">
        <w:trPr>
          <w:cantSplit/>
          <w:jc w:val="center"/>
        </w:trPr>
        <w:tc>
          <w:tcPr>
            <w:tcW w:w="1883" w:type="dxa"/>
            <w:vMerge/>
            <w:shd w:val="clear" w:color="auto" w:fill="4472C4"/>
            <w:vAlign w:val="center"/>
          </w:tcPr>
          <w:p w14:paraId="0FDCFD3A" w14:textId="77777777" w:rsidR="00990B14" w:rsidRDefault="00990B14">
            <w:pPr>
              <w:spacing w:before="20" w:after="20"/>
            </w:pPr>
          </w:p>
        </w:tc>
        <w:tc>
          <w:tcPr>
            <w:tcW w:w="1873" w:type="dxa"/>
            <w:shd w:val="clear" w:color="auto" w:fill="D9E2F3"/>
            <w:vAlign w:val="center"/>
          </w:tcPr>
          <w:p w14:paraId="2BEB6620" w14:textId="77777777" w:rsidR="00990B14" w:rsidRDefault="00000000">
            <w:pPr>
              <w:spacing w:before="20" w:after="20"/>
              <w:jc w:val="both"/>
            </w:pPr>
            <w:r>
              <w:rPr>
                <w:sz w:val="18"/>
                <w:szCs w:val="18"/>
              </w:rPr>
              <w:t>Aplicación Metodológica y Liquidación de Prestaciones</w:t>
            </w:r>
          </w:p>
        </w:tc>
        <w:tc>
          <w:tcPr>
            <w:tcW w:w="1873" w:type="dxa"/>
            <w:shd w:val="clear" w:color="auto" w:fill="D9E2F3"/>
            <w:vAlign w:val="center"/>
          </w:tcPr>
          <w:p w14:paraId="00B99B1E" w14:textId="77777777" w:rsidR="00990B14" w:rsidRDefault="00000000">
            <w:pPr>
              <w:spacing w:before="20" w:after="20"/>
              <w:jc w:val="both"/>
            </w:pPr>
            <w:r>
              <w:rPr>
                <w:sz w:val="18"/>
                <w:szCs w:val="18"/>
              </w:rPr>
              <w:t>Comete errores</w:t>
            </w:r>
          </w:p>
        </w:tc>
        <w:tc>
          <w:tcPr>
            <w:tcW w:w="1910" w:type="dxa"/>
            <w:shd w:val="clear" w:color="auto" w:fill="D9E2F3"/>
            <w:vAlign w:val="center"/>
          </w:tcPr>
          <w:p w14:paraId="6B8077EE" w14:textId="77777777" w:rsidR="00990B14" w:rsidRDefault="00000000">
            <w:pPr>
              <w:spacing w:before="20" w:after="20"/>
              <w:jc w:val="both"/>
            </w:pPr>
            <w:r>
              <w:rPr>
                <w:sz w:val="18"/>
                <w:szCs w:val="18"/>
              </w:rPr>
              <w:t>Aplica correctamente</w:t>
            </w:r>
          </w:p>
        </w:tc>
        <w:tc>
          <w:tcPr>
            <w:tcW w:w="1866" w:type="dxa"/>
            <w:shd w:val="clear" w:color="auto" w:fill="D9E2F3"/>
            <w:vAlign w:val="center"/>
          </w:tcPr>
          <w:p w14:paraId="3A85E1D8" w14:textId="77777777" w:rsidR="00990B14" w:rsidRDefault="00000000">
            <w:pPr>
              <w:spacing w:before="20" w:after="20"/>
              <w:jc w:val="both"/>
            </w:pPr>
            <w:r>
              <w:rPr>
                <w:sz w:val="18"/>
                <w:szCs w:val="18"/>
              </w:rPr>
              <w:t>Aplica con precisión</w:t>
            </w:r>
          </w:p>
        </w:tc>
      </w:tr>
      <w:tr w:rsidR="00990B14" w14:paraId="1E2A7EEF" w14:textId="77777777">
        <w:trPr>
          <w:cantSplit/>
          <w:jc w:val="center"/>
        </w:trPr>
        <w:tc>
          <w:tcPr>
            <w:tcW w:w="1883" w:type="dxa"/>
            <w:vMerge/>
            <w:shd w:val="clear" w:color="auto" w:fill="4472C4"/>
            <w:vAlign w:val="center"/>
          </w:tcPr>
          <w:p w14:paraId="590DF502" w14:textId="77777777" w:rsidR="00990B14" w:rsidRDefault="00990B14">
            <w:pPr>
              <w:spacing w:before="20" w:after="20"/>
            </w:pPr>
          </w:p>
        </w:tc>
        <w:tc>
          <w:tcPr>
            <w:tcW w:w="1873" w:type="dxa"/>
            <w:shd w:val="clear" w:color="auto" w:fill="D9E2F3"/>
            <w:vAlign w:val="center"/>
          </w:tcPr>
          <w:p w14:paraId="077D40BF" w14:textId="77777777" w:rsidR="00990B14" w:rsidRDefault="00000000">
            <w:pPr>
              <w:spacing w:before="20" w:after="20"/>
              <w:jc w:val="both"/>
            </w:pPr>
            <w:r>
              <w:rPr>
                <w:sz w:val="18"/>
                <w:szCs w:val="18"/>
              </w:rPr>
              <w:t>Fundamentación Normativa y Estructura del Informe</w:t>
            </w:r>
          </w:p>
        </w:tc>
        <w:tc>
          <w:tcPr>
            <w:tcW w:w="1873" w:type="dxa"/>
            <w:shd w:val="clear" w:color="auto" w:fill="D9E2F3"/>
            <w:vAlign w:val="center"/>
          </w:tcPr>
          <w:p w14:paraId="6B298BE4" w14:textId="77777777" w:rsidR="00990B14" w:rsidRDefault="00000000">
            <w:pPr>
              <w:spacing w:before="20" w:after="20"/>
              <w:jc w:val="both"/>
            </w:pPr>
            <w:r>
              <w:rPr>
                <w:sz w:val="18"/>
                <w:szCs w:val="18"/>
              </w:rPr>
              <w:t>Falta respaldo.</w:t>
            </w:r>
          </w:p>
        </w:tc>
        <w:tc>
          <w:tcPr>
            <w:tcW w:w="1910" w:type="dxa"/>
            <w:shd w:val="clear" w:color="auto" w:fill="D9E2F3"/>
            <w:vAlign w:val="center"/>
          </w:tcPr>
          <w:p w14:paraId="33E8A5FC" w14:textId="77777777" w:rsidR="00990B14" w:rsidRDefault="00000000">
            <w:pPr>
              <w:spacing w:before="20" w:after="20"/>
              <w:jc w:val="both"/>
            </w:pPr>
            <w:r>
              <w:rPr>
                <w:sz w:val="18"/>
                <w:szCs w:val="18"/>
              </w:rPr>
              <w:t>Con respaldo suficiente.</w:t>
            </w:r>
          </w:p>
        </w:tc>
        <w:tc>
          <w:tcPr>
            <w:tcW w:w="1866" w:type="dxa"/>
            <w:shd w:val="clear" w:color="auto" w:fill="D9E2F3"/>
            <w:vAlign w:val="center"/>
          </w:tcPr>
          <w:p w14:paraId="7F348DA2" w14:textId="77777777" w:rsidR="00990B14" w:rsidRDefault="00000000">
            <w:pPr>
              <w:spacing w:before="20" w:after="20"/>
              <w:jc w:val="both"/>
            </w:pPr>
            <w:r>
              <w:rPr>
                <w:sz w:val="18"/>
                <w:szCs w:val="18"/>
              </w:rPr>
              <w:t>Integra expediente con la normativa vigente.</w:t>
            </w:r>
          </w:p>
        </w:tc>
      </w:tr>
      <w:tr w:rsidR="00990B14" w14:paraId="231DF8D6" w14:textId="77777777">
        <w:trPr>
          <w:cantSplit/>
          <w:jc w:val="center"/>
        </w:trPr>
        <w:tc>
          <w:tcPr>
            <w:tcW w:w="7539" w:type="dxa"/>
            <w:gridSpan w:val="4"/>
            <w:shd w:val="clear" w:color="auto" w:fill="4472C4"/>
            <w:vAlign w:val="center"/>
          </w:tcPr>
          <w:p w14:paraId="5F544CB2" w14:textId="77777777" w:rsidR="00990B14" w:rsidRDefault="00000000">
            <w:pPr>
              <w:keepNext/>
              <w:spacing w:before="20" w:after="20"/>
              <w:jc w:val="center"/>
            </w:pPr>
            <w:r>
              <w:rPr>
                <w:b/>
                <w:bCs/>
                <w:i/>
                <w:iCs/>
                <w:color w:val="FFFFFF"/>
                <w:sz w:val="18"/>
                <w:szCs w:val="18"/>
              </w:rPr>
              <w:t>TOTAL</w:t>
            </w:r>
          </w:p>
        </w:tc>
        <w:tc>
          <w:tcPr>
            <w:tcW w:w="1866" w:type="dxa"/>
            <w:shd w:val="clear" w:color="auto" w:fill="4472C4"/>
            <w:vAlign w:val="center"/>
          </w:tcPr>
          <w:p w14:paraId="400F3982" w14:textId="77777777" w:rsidR="00990B14" w:rsidRDefault="00000000">
            <w:pPr>
              <w:keepNext/>
              <w:spacing w:before="20" w:after="20"/>
              <w:jc w:val="center"/>
            </w:pPr>
            <w:r>
              <w:rPr>
                <w:b/>
                <w:bCs/>
                <w:i/>
                <w:iCs/>
                <w:color w:val="FFFFFF"/>
                <w:sz w:val="18"/>
                <w:szCs w:val="18"/>
              </w:rPr>
              <w:t>100%</w:t>
            </w:r>
          </w:p>
        </w:tc>
      </w:tr>
    </w:tbl>
    <w:p w14:paraId="4FDFDD98"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9405"/>
      </w:tblGrid>
      <w:tr w:rsidR="00990B14" w14:paraId="4DFC116D" w14:textId="77777777">
        <w:trPr>
          <w:jc w:val="center"/>
        </w:trPr>
        <w:tc>
          <w:tcPr>
            <w:tcW w:w="9405" w:type="dxa"/>
            <w:shd w:val="clear" w:color="auto" w:fill="D9E2F3"/>
          </w:tcPr>
          <w:p w14:paraId="5A44DE5E" w14:textId="77777777" w:rsidR="00990B14" w:rsidRDefault="00000000">
            <w:pPr>
              <w:spacing w:before="40" w:after="40"/>
              <w:jc w:val="both"/>
            </w:pPr>
            <w:r>
              <w:rPr>
                <w:b/>
                <w:bCs/>
                <w:i/>
                <w:iCs/>
                <w:sz w:val="18"/>
                <w:szCs w:val="18"/>
              </w:rPr>
              <w:t>Bibliografía básica:</w:t>
            </w:r>
          </w:p>
          <w:p w14:paraId="1F13A74C" w14:textId="77777777" w:rsidR="00990B14" w:rsidRDefault="00000000">
            <w:pPr>
              <w:numPr>
                <w:ilvl w:val="0"/>
                <w:numId w:val="140"/>
              </w:numPr>
              <w:spacing w:after="20"/>
              <w:jc w:val="both"/>
            </w:pPr>
            <w:r>
              <w:rPr>
                <w:sz w:val="18"/>
                <w:szCs w:val="18"/>
              </w:rPr>
              <w:t xml:space="preserve">Arce, J. R. (1977). </w:t>
            </w:r>
            <w:r>
              <w:rPr>
                <w:i/>
                <w:iCs/>
                <w:sz w:val="18"/>
                <w:szCs w:val="18"/>
              </w:rPr>
              <w:t>Régimen Legal de las Entidades Aseguradoras</w:t>
            </w:r>
            <w:r>
              <w:rPr>
                <w:sz w:val="18"/>
                <w:szCs w:val="18"/>
              </w:rPr>
              <w:t>. La Paz, Bolivia: Superintendencia Nacional de Seguros y Reaseguros.</w:t>
            </w:r>
          </w:p>
          <w:p w14:paraId="5005DEB5" w14:textId="77777777" w:rsidR="00990B14" w:rsidRDefault="00000000">
            <w:pPr>
              <w:numPr>
                <w:ilvl w:val="0"/>
                <w:numId w:val="140"/>
              </w:numPr>
              <w:spacing w:after="20"/>
              <w:jc w:val="both"/>
            </w:pPr>
            <w:r>
              <w:rPr>
                <w:sz w:val="18"/>
                <w:szCs w:val="18"/>
              </w:rPr>
              <w:t>Autoridad de Fiscalización y Control de Pensiones y Seguros: resoluciones, circulares y normas regulatorias vigentes.</w:t>
            </w:r>
          </w:p>
          <w:p w14:paraId="0C3DA644" w14:textId="77777777" w:rsidR="00990B14" w:rsidRDefault="00000000">
            <w:pPr>
              <w:numPr>
                <w:ilvl w:val="0"/>
                <w:numId w:val="140"/>
              </w:numPr>
              <w:spacing w:after="20"/>
              <w:jc w:val="both"/>
            </w:pPr>
            <w:r>
              <w:rPr>
                <w:sz w:val="18"/>
                <w:szCs w:val="18"/>
              </w:rPr>
              <w:t xml:space="preserve">Campero Villalba, I. (2005). </w:t>
            </w:r>
            <w:r>
              <w:rPr>
                <w:i/>
                <w:iCs/>
                <w:sz w:val="18"/>
                <w:szCs w:val="18"/>
              </w:rPr>
              <w:t>Introducción al Estudio de la Seguridad Social</w:t>
            </w:r>
            <w:r>
              <w:rPr>
                <w:sz w:val="18"/>
                <w:szCs w:val="18"/>
              </w:rPr>
              <w:t>. 4.ª ed. Servicios Gráficos Illimani.</w:t>
            </w:r>
          </w:p>
          <w:p w14:paraId="34203062" w14:textId="77777777" w:rsidR="00990B14" w:rsidRDefault="00000000">
            <w:pPr>
              <w:numPr>
                <w:ilvl w:val="0"/>
                <w:numId w:val="140"/>
              </w:numPr>
              <w:spacing w:after="20"/>
              <w:jc w:val="both"/>
            </w:pPr>
            <w:r>
              <w:rPr>
                <w:sz w:val="18"/>
                <w:szCs w:val="18"/>
              </w:rPr>
              <w:t>Código de Comercio, Decreto Ley N.º 14379, de 25 de febrero de 1977.</w:t>
            </w:r>
          </w:p>
          <w:p w14:paraId="51ECE37C" w14:textId="77777777" w:rsidR="00990B14" w:rsidRDefault="00000000">
            <w:pPr>
              <w:numPr>
                <w:ilvl w:val="0"/>
                <w:numId w:val="140"/>
              </w:numPr>
              <w:spacing w:after="20"/>
              <w:jc w:val="both"/>
            </w:pPr>
            <w:r>
              <w:rPr>
                <w:sz w:val="18"/>
                <w:szCs w:val="18"/>
              </w:rPr>
              <w:t xml:space="preserve">Consejo de Normas Internacionales de Contabilidad, IASB. </w:t>
            </w:r>
            <w:r>
              <w:rPr>
                <w:i/>
                <w:iCs/>
                <w:sz w:val="18"/>
                <w:szCs w:val="18"/>
              </w:rPr>
              <w:t>NIIF 17 Contratos de Seguro y NIIF 9 Instrumentos Financieros</w:t>
            </w:r>
            <w:r>
              <w:rPr>
                <w:sz w:val="18"/>
                <w:szCs w:val="18"/>
              </w:rPr>
              <w:t>.</w:t>
            </w:r>
          </w:p>
          <w:p w14:paraId="07DFFB9E" w14:textId="77777777" w:rsidR="00990B14" w:rsidRDefault="00000000">
            <w:pPr>
              <w:numPr>
                <w:ilvl w:val="0"/>
                <w:numId w:val="140"/>
              </w:numPr>
              <w:spacing w:after="20"/>
              <w:jc w:val="both"/>
            </w:pPr>
            <w:r>
              <w:rPr>
                <w:sz w:val="18"/>
                <w:szCs w:val="18"/>
              </w:rPr>
              <w:t>Decreto Supremo N.º 25201, de 16 de octubre de 1998.</w:t>
            </w:r>
          </w:p>
          <w:p w14:paraId="36C4A1A2" w14:textId="77777777" w:rsidR="00990B14" w:rsidRDefault="00000000">
            <w:pPr>
              <w:numPr>
                <w:ilvl w:val="0"/>
                <w:numId w:val="140"/>
              </w:numPr>
              <w:spacing w:after="20"/>
              <w:jc w:val="both"/>
            </w:pPr>
            <w:r>
              <w:rPr>
                <w:sz w:val="18"/>
                <w:szCs w:val="18"/>
              </w:rPr>
              <w:t xml:space="preserve">Eguino, C. A. (1975). </w:t>
            </w:r>
            <w:r>
              <w:rPr>
                <w:i/>
                <w:iCs/>
                <w:sz w:val="18"/>
                <w:szCs w:val="18"/>
              </w:rPr>
              <w:t>Desarrollo del Seguro Privado en Bolivia</w:t>
            </w:r>
            <w:r>
              <w:rPr>
                <w:sz w:val="18"/>
                <w:szCs w:val="18"/>
              </w:rPr>
              <w:t>. 14.ª ed., vol. 16. Bolivia: Asociación Boliviana de Aseguradoras.</w:t>
            </w:r>
          </w:p>
          <w:p w14:paraId="30799766" w14:textId="77777777" w:rsidR="00990B14" w:rsidRDefault="00000000">
            <w:pPr>
              <w:numPr>
                <w:ilvl w:val="0"/>
                <w:numId w:val="140"/>
              </w:numPr>
              <w:spacing w:after="20"/>
              <w:jc w:val="both"/>
            </w:pPr>
            <w:r>
              <w:rPr>
                <w:sz w:val="18"/>
                <w:szCs w:val="18"/>
              </w:rPr>
              <w:t>Ley de Pensiones, N.º 065, de 10 de diciembre de 2010.</w:t>
            </w:r>
          </w:p>
          <w:p w14:paraId="43B1EBD6" w14:textId="77777777" w:rsidR="00990B14" w:rsidRDefault="00000000">
            <w:pPr>
              <w:numPr>
                <w:ilvl w:val="0"/>
                <w:numId w:val="140"/>
              </w:numPr>
              <w:spacing w:after="20"/>
              <w:jc w:val="both"/>
            </w:pPr>
            <w:r>
              <w:rPr>
                <w:sz w:val="18"/>
                <w:szCs w:val="18"/>
              </w:rPr>
              <w:t>Ley de Seguros, N.º 1883, de 25 de junio de 1998.</w:t>
            </w:r>
          </w:p>
          <w:p w14:paraId="1BB14B09" w14:textId="77777777" w:rsidR="00990B14" w:rsidRDefault="00000000">
            <w:pPr>
              <w:numPr>
                <w:ilvl w:val="0"/>
                <w:numId w:val="140"/>
              </w:numPr>
              <w:spacing w:after="20"/>
              <w:jc w:val="both"/>
            </w:pPr>
            <w:r>
              <w:rPr>
                <w:sz w:val="18"/>
                <w:szCs w:val="18"/>
              </w:rPr>
              <w:t>Ley N.º 475, de Prestaciones de Servicios de Salud Integral, de 30 de diciembre de 2013.</w:t>
            </w:r>
          </w:p>
          <w:p w14:paraId="7B984705" w14:textId="77777777" w:rsidR="00990B14" w:rsidRDefault="00000000">
            <w:pPr>
              <w:numPr>
                <w:ilvl w:val="0"/>
                <w:numId w:val="140"/>
              </w:numPr>
              <w:spacing w:after="20"/>
              <w:jc w:val="both"/>
            </w:pPr>
            <w:r>
              <w:rPr>
                <w:sz w:val="18"/>
                <w:szCs w:val="18"/>
              </w:rPr>
              <w:t>Ley N.º 1152, de 20 de febrero de 2019.</w:t>
            </w:r>
          </w:p>
          <w:p w14:paraId="1BE99835" w14:textId="77777777" w:rsidR="00990B14" w:rsidRDefault="00000000">
            <w:pPr>
              <w:numPr>
                <w:ilvl w:val="0"/>
                <w:numId w:val="140"/>
              </w:numPr>
              <w:spacing w:after="20"/>
              <w:jc w:val="both"/>
            </w:pPr>
            <w:r>
              <w:rPr>
                <w:sz w:val="18"/>
                <w:szCs w:val="18"/>
              </w:rPr>
              <w:t xml:space="preserve">Vela Quiroga, G. (2002). </w:t>
            </w:r>
            <w:r>
              <w:rPr>
                <w:i/>
                <w:iCs/>
                <w:sz w:val="18"/>
                <w:szCs w:val="18"/>
              </w:rPr>
              <w:t>Contabilidad de Seguros II: Parte Práctica</w:t>
            </w:r>
            <w:r>
              <w:rPr>
                <w:sz w:val="18"/>
                <w:szCs w:val="18"/>
              </w:rPr>
              <w:t>. Producciones Gráficas C&amp;M.</w:t>
            </w:r>
          </w:p>
          <w:p w14:paraId="6B80F9CD" w14:textId="77777777" w:rsidR="00990B14" w:rsidRDefault="00000000">
            <w:pPr>
              <w:numPr>
                <w:ilvl w:val="0"/>
                <w:numId w:val="140"/>
              </w:numPr>
              <w:spacing w:after="20"/>
              <w:jc w:val="both"/>
            </w:pPr>
            <w:r>
              <w:rPr>
                <w:sz w:val="18"/>
                <w:szCs w:val="18"/>
              </w:rPr>
              <w:t xml:space="preserve">Vela Quiroga, G. (2004). </w:t>
            </w:r>
            <w:r>
              <w:rPr>
                <w:i/>
                <w:iCs/>
                <w:sz w:val="18"/>
                <w:szCs w:val="18"/>
              </w:rPr>
              <w:t>Contabilidad de Seguros: Aspectos Económicos, Financieros y Contables del Seguro Privado en Bolivia</w:t>
            </w:r>
            <w:r>
              <w:rPr>
                <w:sz w:val="18"/>
                <w:szCs w:val="18"/>
              </w:rPr>
              <w:t>. Ediciones Excelsior S.R.L.</w:t>
            </w:r>
          </w:p>
        </w:tc>
      </w:tr>
      <w:tr w:rsidR="00990B14" w14:paraId="5317184F" w14:textId="77777777">
        <w:trPr>
          <w:jc w:val="center"/>
        </w:trPr>
        <w:tc>
          <w:tcPr>
            <w:tcW w:w="9405" w:type="dxa"/>
            <w:shd w:val="clear" w:color="auto" w:fill="D9E2F3"/>
          </w:tcPr>
          <w:p w14:paraId="5A35686D" w14:textId="77777777" w:rsidR="00990B14" w:rsidRDefault="00000000">
            <w:pPr>
              <w:spacing w:before="40" w:after="40"/>
              <w:jc w:val="both"/>
            </w:pPr>
            <w:r>
              <w:rPr>
                <w:b/>
                <w:bCs/>
                <w:i/>
                <w:iCs/>
                <w:sz w:val="18"/>
                <w:szCs w:val="18"/>
              </w:rPr>
              <w:t>Bibliografía complementaria:</w:t>
            </w:r>
          </w:p>
          <w:p w14:paraId="4DF3F1AB" w14:textId="77777777" w:rsidR="00990B14" w:rsidRDefault="00000000">
            <w:pPr>
              <w:numPr>
                <w:ilvl w:val="0"/>
                <w:numId w:val="140"/>
              </w:numPr>
              <w:spacing w:after="20"/>
              <w:jc w:val="both"/>
            </w:pPr>
            <w:r>
              <w:rPr>
                <w:sz w:val="18"/>
                <w:szCs w:val="18"/>
              </w:rPr>
              <w:t xml:space="preserve">Almanza Pastor, J. M. (1981). </w:t>
            </w:r>
            <w:r>
              <w:rPr>
                <w:i/>
                <w:iCs/>
                <w:sz w:val="18"/>
                <w:szCs w:val="18"/>
              </w:rPr>
              <w:t>Derecho de la Seguridad Social</w:t>
            </w:r>
            <w:r>
              <w:rPr>
                <w:sz w:val="18"/>
                <w:szCs w:val="18"/>
              </w:rPr>
              <w:t>. 3.ª ed. Madrid, España: Tecnos.</w:t>
            </w:r>
          </w:p>
          <w:p w14:paraId="228AFF52" w14:textId="77777777" w:rsidR="00990B14" w:rsidRDefault="00000000">
            <w:pPr>
              <w:numPr>
                <w:ilvl w:val="0"/>
                <w:numId w:val="140"/>
              </w:numPr>
              <w:spacing w:after="20"/>
              <w:jc w:val="both"/>
            </w:pPr>
            <w:r>
              <w:rPr>
                <w:sz w:val="18"/>
                <w:szCs w:val="18"/>
              </w:rPr>
              <w:t>Asociación Boliviana de Aseguradores: https://ababolivia.org</w:t>
            </w:r>
          </w:p>
          <w:p w14:paraId="4971AA3B" w14:textId="77777777" w:rsidR="00990B14" w:rsidRDefault="00000000">
            <w:pPr>
              <w:numPr>
                <w:ilvl w:val="0"/>
                <w:numId w:val="140"/>
              </w:numPr>
              <w:spacing w:after="20"/>
              <w:jc w:val="both"/>
            </w:pPr>
            <w:r>
              <w:rPr>
                <w:sz w:val="18"/>
                <w:szCs w:val="18"/>
              </w:rPr>
              <w:t>Autoridad de Fiscalización y Control de Pensiones y Seguros: https://www.aps.gob.bo</w:t>
            </w:r>
          </w:p>
          <w:p w14:paraId="289C712D" w14:textId="77777777" w:rsidR="00990B14" w:rsidRDefault="00000000">
            <w:pPr>
              <w:numPr>
                <w:ilvl w:val="0"/>
                <w:numId w:val="140"/>
              </w:numPr>
              <w:spacing w:after="20"/>
              <w:jc w:val="both"/>
            </w:pPr>
            <w:r>
              <w:rPr>
                <w:sz w:val="18"/>
                <w:szCs w:val="18"/>
              </w:rPr>
              <w:t xml:space="preserve">Broseta Pont, M. (1961). </w:t>
            </w:r>
            <w:r>
              <w:rPr>
                <w:i/>
                <w:iCs/>
                <w:sz w:val="18"/>
                <w:szCs w:val="18"/>
              </w:rPr>
              <w:t>El Contrato de Reaseguro</w:t>
            </w:r>
            <w:r>
              <w:rPr>
                <w:sz w:val="18"/>
                <w:szCs w:val="18"/>
              </w:rPr>
              <w:t>. Madrid, España: Ediciones Aguilar.</w:t>
            </w:r>
          </w:p>
          <w:p w14:paraId="14AE99BA" w14:textId="77777777" w:rsidR="00990B14" w:rsidRDefault="00000000">
            <w:pPr>
              <w:numPr>
                <w:ilvl w:val="0"/>
                <w:numId w:val="140"/>
              </w:numPr>
              <w:spacing w:after="20"/>
              <w:jc w:val="both"/>
            </w:pPr>
            <w:r>
              <w:rPr>
                <w:sz w:val="18"/>
                <w:szCs w:val="18"/>
              </w:rPr>
              <w:t xml:space="preserve">Centro Suizo de Formación Aseguradora (s.f.). </w:t>
            </w:r>
            <w:r>
              <w:rPr>
                <w:i/>
                <w:iCs/>
                <w:sz w:val="18"/>
                <w:szCs w:val="18"/>
              </w:rPr>
              <w:t>Principios y Práctica del Seguro</w:t>
            </w:r>
            <w:r>
              <w:rPr>
                <w:sz w:val="18"/>
                <w:szCs w:val="18"/>
              </w:rPr>
              <w:t>. Bolivia: Zurich.</w:t>
            </w:r>
          </w:p>
          <w:p w14:paraId="094C27E6" w14:textId="77777777" w:rsidR="00990B14" w:rsidRDefault="00000000">
            <w:pPr>
              <w:numPr>
                <w:ilvl w:val="0"/>
                <w:numId w:val="140"/>
              </w:numPr>
              <w:spacing w:after="20"/>
              <w:jc w:val="both"/>
            </w:pPr>
            <w:r>
              <w:rPr>
                <w:sz w:val="18"/>
                <w:szCs w:val="18"/>
              </w:rPr>
              <w:t xml:space="preserve">Chartered Insurance Institute (1973). </w:t>
            </w:r>
            <w:r>
              <w:rPr>
                <w:i/>
                <w:iCs/>
                <w:sz w:val="18"/>
                <w:szCs w:val="18"/>
              </w:rPr>
              <w:t>Aspectos Legales y Económicos del Seguro</w:t>
            </w:r>
            <w:r>
              <w:rPr>
                <w:sz w:val="18"/>
                <w:szCs w:val="18"/>
              </w:rPr>
              <w:t>. Madrid, España: MAPFRE.</w:t>
            </w:r>
          </w:p>
          <w:p w14:paraId="49A3664A" w14:textId="77777777" w:rsidR="00990B14" w:rsidRDefault="00000000">
            <w:pPr>
              <w:numPr>
                <w:ilvl w:val="0"/>
                <w:numId w:val="140"/>
              </w:numPr>
              <w:spacing w:after="20"/>
              <w:jc w:val="both"/>
            </w:pPr>
            <w:r>
              <w:rPr>
                <w:sz w:val="18"/>
                <w:szCs w:val="18"/>
              </w:rPr>
              <w:t xml:space="preserve">Cobo Cayón, J. F. (1969). </w:t>
            </w:r>
            <w:r>
              <w:rPr>
                <w:i/>
                <w:iCs/>
                <w:sz w:val="18"/>
                <w:szCs w:val="18"/>
              </w:rPr>
              <w:t>Seguros y Reaseguros</w:t>
            </w:r>
            <w:r>
              <w:rPr>
                <w:sz w:val="18"/>
                <w:szCs w:val="18"/>
              </w:rPr>
              <w:t>. Bogotá, Colombia: Escuela de Seguros y Reaseguros.</w:t>
            </w:r>
          </w:p>
          <w:p w14:paraId="1C980684" w14:textId="77777777" w:rsidR="00990B14" w:rsidRDefault="00000000">
            <w:pPr>
              <w:numPr>
                <w:ilvl w:val="0"/>
                <w:numId w:val="140"/>
              </w:numPr>
              <w:spacing w:after="20"/>
              <w:jc w:val="both"/>
            </w:pPr>
            <w:r>
              <w:rPr>
                <w:sz w:val="18"/>
                <w:szCs w:val="18"/>
              </w:rPr>
              <w:t xml:space="preserve">Colegio de Auditores o Contadores Públicos de Bolivia, CAUB – Consejo Técnico Nacional de Auditoría y Contabilidad, CTNAC (2023). </w:t>
            </w:r>
            <w:r>
              <w:rPr>
                <w:i/>
                <w:iCs/>
                <w:sz w:val="18"/>
                <w:szCs w:val="18"/>
              </w:rPr>
              <w:t>Compendio de Normas de Contabilidad y Auditoría</w:t>
            </w:r>
            <w:r>
              <w:rPr>
                <w:sz w:val="18"/>
                <w:szCs w:val="18"/>
              </w:rPr>
              <w:t>. Santa Cruz – Bolivia.</w:t>
            </w:r>
          </w:p>
          <w:p w14:paraId="0F3EC36F" w14:textId="77777777" w:rsidR="00990B14" w:rsidRDefault="00000000">
            <w:pPr>
              <w:numPr>
                <w:ilvl w:val="0"/>
                <w:numId w:val="140"/>
              </w:numPr>
              <w:spacing w:after="20"/>
              <w:jc w:val="both"/>
            </w:pPr>
            <w:r>
              <w:rPr>
                <w:sz w:val="18"/>
                <w:szCs w:val="18"/>
              </w:rPr>
              <w:t xml:space="preserve">Compañía Suiza de Reaseguros (1976). </w:t>
            </w:r>
            <w:r>
              <w:rPr>
                <w:i/>
                <w:iCs/>
                <w:sz w:val="18"/>
                <w:szCs w:val="18"/>
              </w:rPr>
              <w:t>El Reaseguro</w:t>
            </w:r>
            <w:r>
              <w:rPr>
                <w:sz w:val="18"/>
                <w:szCs w:val="18"/>
              </w:rPr>
              <w:t>. Zurich: Servicio de Colaboración Técnica.</w:t>
            </w:r>
          </w:p>
          <w:p w14:paraId="75DC25C1" w14:textId="77777777" w:rsidR="00990B14" w:rsidRDefault="00000000">
            <w:pPr>
              <w:numPr>
                <w:ilvl w:val="0"/>
                <w:numId w:val="140"/>
              </w:numPr>
              <w:spacing w:after="20"/>
              <w:jc w:val="both"/>
            </w:pPr>
            <w:r>
              <w:rPr>
                <w:sz w:val="18"/>
                <w:szCs w:val="18"/>
              </w:rPr>
              <w:t xml:space="preserve">Diz Cruz, E. (2006). </w:t>
            </w:r>
            <w:r>
              <w:rPr>
                <w:i/>
                <w:iCs/>
                <w:sz w:val="18"/>
                <w:szCs w:val="18"/>
              </w:rPr>
              <w:t>Teoría del Riesgo</w:t>
            </w:r>
            <w:r>
              <w:rPr>
                <w:sz w:val="18"/>
                <w:szCs w:val="18"/>
              </w:rPr>
              <w:t>. Bogotá, Colombia: Editorial Kempres.</w:t>
            </w:r>
          </w:p>
          <w:p w14:paraId="19A1524E" w14:textId="77777777" w:rsidR="00990B14" w:rsidRDefault="00000000">
            <w:pPr>
              <w:numPr>
                <w:ilvl w:val="0"/>
                <w:numId w:val="140"/>
              </w:numPr>
              <w:spacing w:after="20"/>
              <w:jc w:val="both"/>
            </w:pPr>
            <w:r>
              <w:rPr>
                <w:sz w:val="18"/>
                <w:szCs w:val="18"/>
              </w:rPr>
              <w:t xml:space="preserve">Fernández Dirube, A. (1996). </w:t>
            </w:r>
            <w:r>
              <w:rPr>
                <w:i/>
                <w:iCs/>
                <w:sz w:val="18"/>
                <w:szCs w:val="18"/>
              </w:rPr>
              <w:t>El Seguro, su Estructura y Función Económica</w:t>
            </w:r>
            <w:r>
              <w:rPr>
                <w:sz w:val="18"/>
                <w:szCs w:val="18"/>
              </w:rPr>
              <w:t>. Buenos Aires, Argentina: Ediciones Schappire.</w:t>
            </w:r>
          </w:p>
          <w:p w14:paraId="5CDF311B" w14:textId="77777777" w:rsidR="00990B14" w:rsidRDefault="00000000">
            <w:pPr>
              <w:numPr>
                <w:ilvl w:val="0"/>
                <w:numId w:val="140"/>
              </w:numPr>
              <w:spacing w:after="20"/>
              <w:jc w:val="both"/>
            </w:pPr>
            <w:r>
              <w:rPr>
                <w:sz w:val="18"/>
                <w:szCs w:val="18"/>
              </w:rPr>
              <w:t xml:space="preserve">Fischer, H. (1975). </w:t>
            </w:r>
            <w:r>
              <w:rPr>
                <w:i/>
                <w:iCs/>
                <w:sz w:val="18"/>
                <w:szCs w:val="18"/>
              </w:rPr>
              <w:t>El Seguro de Transporte de Mercancías</w:t>
            </w:r>
            <w:r>
              <w:rPr>
                <w:sz w:val="18"/>
                <w:szCs w:val="18"/>
              </w:rPr>
              <w:t>. Zurich: Compañía Suiza de Reaseguros.</w:t>
            </w:r>
          </w:p>
          <w:p w14:paraId="796BD08A" w14:textId="77777777" w:rsidR="00990B14" w:rsidRDefault="00000000">
            <w:pPr>
              <w:numPr>
                <w:ilvl w:val="0"/>
                <w:numId w:val="140"/>
              </w:numPr>
              <w:spacing w:after="20"/>
              <w:jc w:val="both"/>
            </w:pPr>
            <w:r>
              <w:rPr>
                <w:sz w:val="18"/>
                <w:szCs w:val="18"/>
              </w:rPr>
              <w:t>Gestora Pública de la Seguridad Social de Largo Plazo: https://www.gestora.bo</w:t>
            </w:r>
          </w:p>
          <w:p w14:paraId="382C4860" w14:textId="77777777" w:rsidR="00990B14" w:rsidRDefault="00000000">
            <w:pPr>
              <w:numPr>
                <w:ilvl w:val="0"/>
                <w:numId w:val="140"/>
              </w:numPr>
              <w:spacing w:after="20"/>
              <w:jc w:val="both"/>
            </w:pPr>
            <w:r>
              <w:rPr>
                <w:sz w:val="18"/>
                <w:szCs w:val="18"/>
              </w:rPr>
              <w:t xml:space="preserve">Greene, M. R. (1974). </w:t>
            </w:r>
            <w:r>
              <w:rPr>
                <w:i/>
                <w:iCs/>
                <w:sz w:val="18"/>
                <w:szCs w:val="18"/>
              </w:rPr>
              <w:t>El Riesgo y el Seguro</w:t>
            </w:r>
            <w:r>
              <w:rPr>
                <w:sz w:val="18"/>
                <w:szCs w:val="18"/>
              </w:rPr>
              <w:t>. España: Fundación MAPFRE.</w:t>
            </w:r>
          </w:p>
          <w:p w14:paraId="15E169AA" w14:textId="77777777" w:rsidR="00990B14" w:rsidRDefault="00000000">
            <w:pPr>
              <w:numPr>
                <w:ilvl w:val="0"/>
                <w:numId w:val="140"/>
              </w:numPr>
              <w:spacing w:after="20"/>
              <w:jc w:val="both"/>
            </w:pPr>
            <w:r>
              <w:rPr>
                <w:sz w:val="18"/>
                <w:szCs w:val="18"/>
              </w:rPr>
              <w:t>Ley N.º 365, de 23 de abril de 2013, que establece la denominación de Autoridad de Fiscalización y Control de Pensiones y Seguros.</w:t>
            </w:r>
          </w:p>
          <w:p w14:paraId="039F499F" w14:textId="77777777" w:rsidR="00990B14" w:rsidRDefault="00000000">
            <w:pPr>
              <w:numPr>
                <w:ilvl w:val="0"/>
                <w:numId w:val="140"/>
              </w:numPr>
              <w:spacing w:after="20"/>
              <w:jc w:val="both"/>
            </w:pPr>
            <w:r>
              <w:rPr>
                <w:sz w:val="18"/>
                <w:szCs w:val="18"/>
              </w:rPr>
              <w:t xml:space="preserve">Servicio de Impuestos Nacionales (2026). </w:t>
            </w:r>
            <w:r>
              <w:rPr>
                <w:i/>
                <w:iCs/>
                <w:sz w:val="18"/>
                <w:szCs w:val="18"/>
              </w:rPr>
              <w:t>Ley 843 y Decretos Reglamentarios. Texto ordenado, complementado y actualizado</w:t>
            </w:r>
            <w:r>
              <w:rPr>
                <w:sz w:val="18"/>
                <w:szCs w:val="18"/>
              </w:rPr>
              <w:t>. Departamento de Servicio al Contribuyente, Libros Digitales.</w:t>
            </w:r>
          </w:p>
          <w:p w14:paraId="10D80858" w14:textId="77777777" w:rsidR="00990B14" w:rsidRDefault="00000000">
            <w:pPr>
              <w:numPr>
                <w:ilvl w:val="0"/>
                <w:numId w:val="140"/>
              </w:numPr>
              <w:spacing w:after="20"/>
              <w:jc w:val="both"/>
            </w:pPr>
            <w:r>
              <w:rPr>
                <w:sz w:val="18"/>
                <w:szCs w:val="18"/>
              </w:rPr>
              <w:t xml:space="preserve">Servicio de Impuestos Nacionales (2026). </w:t>
            </w:r>
            <w:r>
              <w:rPr>
                <w:i/>
                <w:iCs/>
                <w:sz w:val="18"/>
                <w:szCs w:val="18"/>
              </w:rPr>
              <w:t>Ley 2492 Código Tributario Boliviano y Decretos Reglamentarios. Texto ordenado, complementado y actualizado</w:t>
            </w:r>
            <w:r>
              <w:rPr>
                <w:sz w:val="18"/>
                <w:szCs w:val="18"/>
              </w:rPr>
              <w:t>. Departamento de Servicio al Contribuyente, Libros Digitales.</w:t>
            </w:r>
          </w:p>
          <w:p w14:paraId="4AC4D88E" w14:textId="77777777" w:rsidR="00990B14" w:rsidRDefault="00000000">
            <w:pPr>
              <w:numPr>
                <w:ilvl w:val="0"/>
                <w:numId w:val="140"/>
              </w:numPr>
              <w:spacing w:after="20"/>
              <w:jc w:val="both"/>
            </w:pPr>
            <w:r>
              <w:rPr>
                <w:sz w:val="18"/>
                <w:szCs w:val="18"/>
              </w:rPr>
              <w:t xml:space="preserve">Torniel, E. R. y Paniés Ametlló, J. M. (1973). </w:t>
            </w:r>
            <w:r>
              <w:rPr>
                <w:i/>
                <w:iCs/>
                <w:sz w:val="18"/>
                <w:szCs w:val="18"/>
              </w:rPr>
              <w:t>Manual Práctico del Seguro sobre la Vida</w:t>
            </w:r>
            <w:r>
              <w:rPr>
                <w:sz w:val="18"/>
                <w:szCs w:val="18"/>
              </w:rPr>
              <w:t>. Barcelona, España: Ediciones Ariel.</w:t>
            </w:r>
          </w:p>
          <w:p w14:paraId="7CB4AF73" w14:textId="77777777" w:rsidR="00990B14" w:rsidRDefault="00000000">
            <w:pPr>
              <w:numPr>
                <w:ilvl w:val="0"/>
                <w:numId w:val="140"/>
              </w:numPr>
              <w:spacing w:after="20"/>
              <w:jc w:val="both"/>
            </w:pPr>
            <w:r>
              <w:rPr>
                <w:sz w:val="18"/>
                <w:szCs w:val="18"/>
              </w:rPr>
              <w:t xml:space="preserve">Vaughan, E. J. (s.f.). </w:t>
            </w:r>
            <w:r>
              <w:rPr>
                <w:i/>
                <w:iCs/>
                <w:sz w:val="18"/>
                <w:szCs w:val="18"/>
              </w:rPr>
              <w:t>Fundamentos del Riesgo</w:t>
            </w:r>
            <w:r>
              <w:rPr>
                <w:sz w:val="18"/>
                <w:szCs w:val="18"/>
              </w:rPr>
              <w:t>.</w:t>
            </w:r>
          </w:p>
          <w:p w14:paraId="3ABBD640" w14:textId="77777777" w:rsidR="00990B14" w:rsidRDefault="00000000">
            <w:pPr>
              <w:numPr>
                <w:ilvl w:val="0"/>
                <w:numId w:val="140"/>
              </w:numPr>
              <w:spacing w:after="20"/>
              <w:jc w:val="both"/>
            </w:pPr>
            <w:r>
              <w:rPr>
                <w:sz w:val="18"/>
                <w:szCs w:val="18"/>
              </w:rPr>
              <w:t xml:space="preserve">Viviante, C. (1977). </w:t>
            </w:r>
            <w:r>
              <w:rPr>
                <w:i/>
                <w:iCs/>
                <w:sz w:val="18"/>
                <w:szCs w:val="18"/>
              </w:rPr>
              <w:t>Derecho Mercantil</w:t>
            </w:r>
            <w:r>
              <w:rPr>
                <w:sz w:val="18"/>
                <w:szCs w:val="18"/>
              </w:rPr>
              <w:t>. Madrid, España: Editorial La España Moderna.</w:t>
            </w:r>
          </w:p>
        </w:tc>
      </w:tr>
    </w:tbl>
    <w:p w14:paraId="380C7E58" w14:textId="77777777" w:rsidR="00990B14" w:rsidRDefault="00000000">
      <w:pPr>
        <w:pStyle w:val="TituloPlanAsignatura"/>
        <w:keepNext/>
        <w:pageBreakBefore/>
        <w:spacing w:after="120"/>
        <w:jc w:val="center"/>
        <w:outlineLvl w:val="2"/>
      </w:pPr>
      <w:bookmarkStart w:id="176" w:name="_Toc000000117"/>
      <w:r>
        <w:rPr>
          <w:b/>
          <w:bCs/>
          <w:sz w:val="24"/>
          <w:szCs w:val="24"/>
        </w:rPr>
        <w:t>CPA-404 Diseño e Implantación de Sistemas de Contabilidad</w:t>
      </w:r>
      <w:bookmarkEnd w:id="176"/>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249"/>
        <w:gridCol w:w="1100"/>
        <w:gridCol w:w="149"/>
        <w:gridCol w:w="635"/>
        <w:gridCol w:w="615"/>
        <w:gridCol w:w="952"/>
        <w:gridCol w:w="298"/>
        <w:gridCol w:w="1250"/>
        <w:gridCol w:w="20"/>
        <w:gridCol w:w="385"/>
        <w:gridCol w:w="398"/>
        <w:gridCol w:w="447"/>
        <w:gridCol w:w="1907"/>
      </w:tblGrid>
      <w:tr w:rsidR="00990B14" w14:paraId="41A8228A" w14:textId="77777777">
        <w:trPr>
          <w:cantSplit/>
          <w:jc w:val="center"/>
        </w:trPr>
        <w:tc>
          <w:tcPr>
            <w:tcW w:w="2349" w:type="dxa"/>
            <w:gridSpan w:val="2"/>
            <w:shd w:val="clear" w:color="auto" w:fill="4472C4"/>
            <w:vAlign w:val="center"/>
          </w:tcPr>
          <w:p w14:paraId="5257C22C" w14:textId="77777777" w:rsidR="00990B14" w:rsidRDefault="00000000">
            <w:pPr>
              <w:keepNext/>
              <w:spacing w:before="20" w:after="20"/>
              <w:jc w:val="center"/>
            </w:pPr>
            <w:r>
              <w:rPr>
                <w:b/>
                <w:bCs/>
                <w:i/>
                <w:iCs/>
                <w:color w:val="FFFFFF"/>
                <w:sz w:val="18"/>
                <w:szCs w:val="18"/>
              </w:rPr>
              <w:t>Asignatura</w:t>
            </w:r>
          </w:p>
        </w:tc>
        <w:tc>
          <w:tcPr>
            <w:tcW w:w="2351" w:type="dxa"/>
            <w:gridSpan w:val="4"/>
            <w:shd w:val="clear" w:color="auto" w:fill="4472C4"/>
            <w:vAlign w:val="center"/>
          </w:tcPr>
          <w:p w14:paraId="0BC0E169" w14:textId="77777777" w:rsidR="00990B14" w:rsidRDefault="00000000">
            <w:pPr>
              <w:keepNext/>
              <w:spacing w:before="20" w:after="20"/>
              <w:jc w:val="center"/>
            </w:pPr>
            <w:r>
              <w:rPr>
                <w:b/>
                <w:bCs/>
                <w:i/>
                <w:iCs/>
                <w:color w:val="FFFFFF"/>
                <w:sz w:val="18"/>
                <w:szCs w:val="18"/>
              </w:rPr>
              <w:t>Sigla</w:t>
            </w:r>
          </w:p>
        </w:tc>
        <w:tc>
          <w:tcPr>
            <w:tcW w:w="2351" w:type="dxa"/>
            <w:gridSpan w:val="5"/>
            <w:shd w:val="clear" w:color="auto" w:fill="4472C4"/>
            <w:vAlign w:val="center"/>
          </w:tcPr>
          <w:p w14:paraId="0194414E" w14:textId="77777777" w:rsidR="00990B14" w:rsidRDefault="00000000">
            <w:pPr>
              <w:keepNext/>
              <w:spacing w:before="20" w:after="20"/>
              <w:jc w:val="center"/>
            </w:pPr>
            <w:r>
              <w:rPr>
                <w:b/>
                <w:bCs/>
                <w:i/>
                <w:iCs/>
                <w:color w:val="FFFFFF"/>
                <w:sz w:val="18"/>
                <w:szCs w:val="18"/>
              </w:rPr>
              <w:t>Nivel/Área</w:t>
            </w:r>
          </w:p>
        </w:tc>
        <w:tc>
          <w:tcPr>
            <w:tcW w:w="2354" w:type="dxa"/>
            <w:gridSpan w:val="2"/>
            <w:shd w:val="clear" w:color="auto" w:fill="4472C4"/>
            <w:vAlign w:val="center"/>
          </w:tcPr>
          <w:p w14:paraId="2F99FDBE" w14:textId="77777777" w:rsidR="00990B14" w:rsidRDefault="00000000">
            <w:pPr>
              <w:keepNext/>
              <w:spacing w:before="20" w:after="20"/>
              <w:jc w:val="center"/>
            </w:pPr>
            <w:r>
              <w:rPr>
                <w:b/>
                <w:bCs/>
                <w:i/>
                <w:iCs/>
                <w:color w:val="FFFFFF"/>
                <w:sz w:val="18"/>
                <w:szCs w:val="18"/>
              </w:rPr>
              <w:t>Prerrequisito</w:t>
            </w:r>
          </w:p>
        </w:tc>
      </w:tr>
      <w:tr w:rsidR="00990B14" w14:paraId="20113123" w14:textId="77777777">
        <w:trPr>
          <w:cantSplit/>
          <w:jc w:val="center"/>
        </w:trPr>
        <w:tc>
          <w:tcPr>
            <w:tcW w:w="2349" w:type="dxa"/>
            <w:gridSpan w:val="2"/>
            <w:shd w:val="clear" w:color="auto" w:fill="D9E2F3"/>
            <w:vAlign w:val="center"/>
          </w:tcPr>
          <w:p w14:paraId="6A41D62B" w14:textId="77777777" w:rsidR="00990B14" w:rsidRDefault="00000000">
            <w:pPr>
              <w:spacing w:before="20" w:after="20"/>
              <w:jc w:val="center"/>
            </w:pPr>
            <w:r>
              <w:rPr>
                <w:b/>
                <w:bCs/>
                <w:i/>
                <w:iCs/>
                <w:sz w:val="18"/>
                <w:szCs w:val="18"/>
              </w:rPr>
              <w:t>Diseño e Implantación de Sistemas de Contabilidad</w:t>
            </w:r>
          </w:p>
        </w:tc>
        <w:tc>
          <w:tcPr>
            <w:tcW w:w="2351" w:type="dxa"/>
            <w:gridSpan w:val="4"/>
            <w:shd w:val="clear" w:color="auto" w:fill="D9E2F3"/>
            <w:vAlign w:val="center"/>
          </w:tcPr>
          <w:p w14:paraId="7AC22375" w14:textId="77777777" w:rsidR="00990B14" w:rsidRDefault="00000000">
            <w:pPr>
              <w:spacing w:before="20" w:after="20"/>
              <w:jc w:val="center"/>
            </w:pPr>
            <w:r>
              <w:rPr>
                <w:b/>
                <w:bCs/>
                <w:i/>
                <w:iCs/>
                <w:sz w:val="18"/>
                <w:szCs w:val="18"/>
              </w:rPr>
              <w:t>CPA-404</w:t>
            </w:r>
          </w:p>
        </w:tc>
        <w:tc>
          <w:tcPr>
            <w:tcW w:w="2351" w:type="dxa"/>
            <w:gridSpan w:val="5"/>
            <w:shd w:val="clear" w:color="auto" w:fill="D9E2F3"/>
            <w:vAlign w:val="center"/>
          </w:tcPr>
          <w:p w14:paraId="04D738AB" w14:textId="77777777" w:rsidR="00990B14" w:rsidRDefault="00000000">
            <w:pPr>
              <w:spacing w:before="20" w:after="20"/>
              <w:jc w:val="center"/>
            </w:pPr>
            <w:r>
              <w:rPr>
                <w:b/>
                <w:bCs/>
                <w:i/>
                <w:iCs/>
                <w:sz w:val="18"/>
                <w:szCs w:val="18"/>
              </w:rPr>
              <w:t>Información Financiera</w:t>
            </w:r>
          </w:p>
        </w:tc>
        <w:tc>
          <w:tcPr>
            <w:tcW w:w="2354" w:type="dxa"/>
            <w:gridSpan w:val="2"/>
            <w:shd w:val="clear" w:color="auto" w:fill="D9E2F3"/>
            <w:vAlign w:val="center"/>
          </w:tcPr>
          <w:p w14:paraId="4FA5A0A8" w14:textId="77777777" w:rsidR="00990B14" w:rsidRDefault="00000000">
            <w:pPr>
              <w:spacing w:before="20" w:after="20"/>
              <w:jc w:val="center"/>
            </w:pPr>
            <w:r>
              <w:rPr>
                <w:b/>
                <w:bCs/>
                <w:i/>
                <w:iCs/>
                <w:sz w:val="18"/>
                <w:szCs w:val="18"/>
              </w:rPr>
              <w:t>CPA-301 a CPA-305</w:t>
            </w:r>
          </w:p>
        </w:tc>
      </w:tr>
      <w:tr w:rsidR="00990B14" w14:paraId="1E8521BD" w14:textId="77777777">
        <w:trPr>
          <w:cantSplit/>
          <w:jc w:val="center"/>
        </w:trPr>
        <w:tc>
          <w:tcPr>
            <w:tcW w:w="7498" w:type="dxa"/>
            <w:gridSpan w:val="12"/>
            <w:shd w:val="clear" w:color="auto" w:fill="4472C4"/>
            <w:vAlign w:val="center"/>
          </w:tcPr>
          <w:p w14:paraId="4E96D8F7" w14:textId="77777777" w:rsidR="00990B14" w:rsidRDefault="00000000">
            <w:pPr>
              <w:keepNext/>
              <w:spacing w:before="20" w:after="20"/>
              <w:jc w:val="center"/>
            </w:pPr>
            <w:r>
              <w:rPr>
                <w:b/>
                <w:bCs/>
                <w:i/>
                <w:iCs/>
                <w:color w:val="FFFFFF"/>
                <w:sz w:val="18"/>
                <w:szCs w:val="18"/>
              </w:rPr>
              <w:t>Carga Horaria</w:t>
            </w:r>
          </w:p>
        </w:tc>
        <w:tc>
          <w:tcPr>
            <w:tcW w:w="1907" w:type="dxa"/>
            <w:shd w:val="clear" w:color="auto" w:fill="4472C4"/>
            <w:vAlign w:val="center"/>
          </w:tcPr>
          <w:p w14:paraId="0C0E5FFD" w14:textId="77777777" w:rsidR="00990B14" w:rsidRDefault="00000000">
            <w:pPr>
              <w:keepNext/>
              <w:spacing w:before="20" w:after="20"/>
              <w:jc w:val="center"/>
            </w:pPr>
            <w:r>
              <w:rPr>
                <w:b/>
                <w:bCs/>
                <w:i/>
                <w:iCs/>
                <w:color w:val="FFFFFF"/>
                <w:sz w:val="18"/>
                <w:szCs w:val="18"/>
              </w:rPr>
              <w:t>Créditos</w:t>
            </w:r>
          </w:p>
        </w:tc>
      </w:tr>
      <w:tr w:rsidR="00990B14" w14:paraId="574A6B8A" w14:textId="77777777">
        <w:trPr>
          <w:cantSplit/>
          <w:jc w:val="center"/>
        </w:trPr>
        <w:tc>
          <w:tcPr>
            <w:tcW w:w="1249" w:type="dxa"/>
            <w:shd w:val="clear" w:color="auto" w:fill="4472C4"/>
            <w:vAlign w:val="center"/>
          </w:tcPr>
          <w:p w14:paraId="746C054E" w14:textId="77777777" w:rsidR="00990B14" w:rsidRDefault="00000000">
            <w:pPr>
              <w:keepNext/>
              <w:spacing w:before="20" w:after="20"/>
              <w:jc w:val="center"/>
            </w:pPr>
            <w:r>
              <w:rPr>
                <w:b/>
                <w:bCs/>
                <w:i/>
                <w:iCs/>
                <w:color w:val="FFFFFF"/>
                <w:sz w:val="18"/>
                <w:szCs w:val="18"/>
              </w:rPr>
              <w:t>HP</w:t>
            </w:r>
          </w:p>
        </w:tc>
        <w:tc>
          <w:tcPr>
            <w:tcW w:w="1249" w:type="dxa"/>
            <w:gridSpan w:val="2"/>
            <w:shd w:val="clear" w:color="auto" w:fill="4472C4"/>
            <w:vAlign w:val="center"/>
          </w:tcPr>
          <w:p w14:paraId="6F1483A2" w14:textId="77777777" w:rsidR="00990B14" w:rsidRDefault="00000000">
            <w:pPr>
              <w:keepNext/>
              <w:spacing w:before="20" w:after="20"/>
              <w:jc w:val="center"/>
            </w:pPr>
            <w:r>
              <w:rPr>
                <w:b/>
                <w:bCs/>
                <w:i/>
                <w:iCs/>
                <w:color w:val="FFFFFF"/>
                <w:sz w:val="18"/>
                <w:szCs w:val="18"/>
              </w:rPr>
              <w:t>HAA</w:t>
            </w:r>
          </w:p>
        </w:tc>
        <w:tc>
          <w:tcPr>
            <w:tcW w:w="1250" w:type="dxa"/>
            <w:gridSpan w:val="2"/>
            <w:shd w:val="clear" w:color="auto" w:fill="4472C4"/>
            <w:vAlign w:val="center"/>
          </w:tcPr>
          <w:p w14:paraId="010AD943" w14:textId="77777777" w:rsidR="00990B14" w:rsidRDefault="00000000">
            <w:pPr>
              <w:keepNext/>
              <w:spacing w:before="20" w:after="20"/>
              <w:jc w:val="center"/>
            </w:pPr>
            <w:r>
              <w:rPr>
                <w:b/>
                <w:bCs/>
                <w:i/>
                <w:iCs/>
                <w:color w:val="FFFFFF"/>
                <w:sz w:val="18"/>
                <w:szCs w:val="18"/>
              </w:rPr>
              <w:t>HTG</w:t>
            </w:r>
          </w:p>
        </w:tc>
        <w:tc>
          <w:tcPr>
            <w:tcW w:w="1250" w:type="dxa"/>
            <w:gridSpan w:val="2"/>
            <w:shd w:val="clear" w:color="auto" w:fill="4472C4"/>
            <w:vAlign w:val="center"/>
          </w:tcPr>
          <w:p w14:paraId="183D991D" w14:textId="77777777" w:rsidR="00990B14" w:rsidRDefault="00000000">
            <w:pPr>
              <w:keepNext/>
              <w:spacing w:before="20" w:after="20"/>
              <w:jc w:val="center"/>
            </w:pPr>
            <w:r>
              <w:rPr>
                <w:b/>
                <w:bCs/>
                <w:i/>
                <w:iCs/>
                <w:color w:val="FFFFFF"/>
                <w:sz w:val="18"/>
                <w:szCs w:val="18"/>
              </w:rPr>
              <w:t>HIP</w:t>
            </w:r>
          </w:p>
        </w:tc>
        <w:tc>
          <w:tcPr>
            <w:tcW w:w="1250" w:type="dxa"/>
            <w:shd w:val="clear" w:color="auto" w:fill="4472C4"/>
            <w:vAlign w:val="center"/>
          </w:tcPr>
          <w:p w14:paraId="0E27A2BD" w14:textId="77777777" w:rsidR="00990B14" w:rsidRDefault="00000000">
            <w:pPr>
              <w:keepNext/>
              <w:spacing w:before="20" w:after="20"/>
              <w:jc w:val="center"/>
            </w:pPr>
            <w:r>
              <w:rPr>
                <w:b/>
                <w:bCs/>
                <w:i/>
                <w:iCs/>
                <w:color w:val="FFFFFF"/>
                <w:sz w:val="18"/>
                <w:szCs w:val="18"/>
              </w:rPr>
              <w:t>HE</w:t>
            </w:r>
          </w:p>
        </w:tc>
        <w:tc>
          <w:tcPr>
            <w:tcW w:w="1250" w:type="dxa"/>
            <w:gridSpan w:val="4"/>
            <w:shd w:val="clear" w:color="auto" w:fill="4472C4"/>
            <w:vAlign w:val="center"/>
          </w:tcPr>
          <w:p w14:paraId="219AEA4A" w14:textId="77777777" w:rsidR="00990B14" w:rsidRDefault="00000000">
            <w:pPr>
              <w:keepNext/>
              <w:spacing w:before="20" w:after="20"/>
              <w:jc w:val="center"/>
            </w:pPr>
            <w:r>
              <w:rPr>
                <w:b/>
                <w:bCs/>
                <w:i/>
                <w:iCs/>
                <w:color w:val="FFFFFF"/>
                <w:sz w:val="18"/>
                <w:szCs w:val="18"/>
              </w:rPr>
              <w:t>TOTAL</w:t>
            </w:r>
          </w:p>
        </w:tc>
        <w:tc>
          <w:tcPr>
            <w:tcW w:w="1907" w:type="dxa"/>
            <w:vMerge w:val="restart"/>
            <w:shd w:val="clear" w:color="auto" w:fill="D9E2F3"/>
            <w:vAlign w:val="center"/>
          </w:tcPr>
          <w:p w14:paraId="4F1AEEDD" w14:textId="77777777" w:rsidR="00990B14" w:rsidRDefault="00000000">
            <w:pPr>
              <w:spacing w:before="20" w:after="20"/>
              <w:jc w:val="center"/>
            </w:pPr>
            <w:r>
              <w:rPr>
                <w:sz w:val="18"/>
                <w:szCs w:val="18"/>
              </w:rPr>
              <w:t>7</w:t>
            </w:r>
          </w:p>
        </w:tc>
      </w:tr>
      <w:tr w:rsidR="00990B14" w14:paraId="6A343543" w14:textId="77777777">
        <w:trPr>
          <w:cantSplit/>
          <w:jc w:val="center"/>
        </w:trPr>
        <w:tc>
          <w:tcPr>
            <w:tcW w:w="1249" w:type="dxa"/>
            <w:shd w:val="clear" w:color="auto" w:fill="D9E2F3"/>
            <w:vAlign w:val="center"/>
          </w:tcPr>
          <w:p w14:paraId="5D0C67CB" w14:textId="77777777" w:rsidR="00990B14" w:rsidRDefault="00000000">
            <w:pPr>
              <w:spacing w:before="20" w:after="20"/>
              <w:jc w:val="center"/>
            </w:pPr>
            <w:r>
              <w:rPr>
                <w:sz w:val="18"/>
                <w:szCs w:val="18"/>
              </w:rPr>
              <w:t>160</w:t>
            </w:r>
          </w:p>
        </w:tc>
        <w:tc>
          <w:tcPr>
            <w:tcW w:w="1249" w:type="dxa"/>
            <w:gridSpan w:val="2"/>
            <w:shd w:val="clear" w:color="auto" w:fill="D9E2F3"/>
            <w:vAlign w:val="center"/>
          </w:tcPr>
          <w:p w14:paraId="3FF6CEB5" w14:textId="77777777" w:rsidR="00990B14" w:rsidRDefault="00000000">
            <w:pPr>
              <w:spacing w:before="20" w:after="20"/>
              <w:jc w:val="center"/>
            </w:pPr>
            <w:r>
              <w:rPr>
                <w:sz w:val="18"/>
                <w:szCs w:val="18"/>
              </w:rPr>
              <w:t>13</w:t>
            </w:r>
          </w:p>
        </w:tc>
        <w:tc>
          <w:tcPr>
            <w:tcW w:w="1250" w:type="dxa"/>
            <w:gridSpan w:val="2"/>
            <w:shd w:val="clear" w:color="auto" w:fill="D9E2F3"/>
            <w:vAlign w:val="center"/>
          </w:tcPr>
          <w:p w14:paraId="7A64C82C" w14:textId="77777777" w:rsidR="00990B14" w:rsidRDefault="00000000">
            <w:pPr>
              <w:spacing w:before="20" w:after="20"/>
              <w:jc w:val="center"/>
            </w:pPr>
            <w:r>
              <w:rPr>
                <w:sz w:val="18"/>
                <w:szCs w:val="18"/>
              </w:rPr>
              <w:t>9</w:t>
            </w:r>
          </w:p>
        </w:tc>
        <w:tc>
          <w:tcPr>
            <w:tcW w:w="1250" w:type="dxa"/>
            <w:gridSpan w:val="2"/>
            <w:shd w:val="clear" w:color="auto" w:fill="D9E2F3"/>
            <w:vAlign w:val="center"/>
          </w:tcPr>
          <w:p w14:paraId="076038B3" w14:textId="77777777" w:rsidR="00990B14" w:rsidRDefault="00000000">
            <w:pPr>
              <w:spacing w:before="20" w:after="20"/>
              <w:jc w:val="center"/>
            </w:pPr>
            <w:r>
              <w:rPr>
                <w:sz w:val="18"/>
                <w:szCs w:val="18"/>
              </w:rPr>
              <w:t>16</w:t>
            </w:r>
          </w:p>
        </w:tc>
        <w:tc>
          <w:tcPr>
            <w:tcW w:w="1250" w:type="dxa"/>
            <w:shd w:val="clear" w:color="auto" w:fill="D9E2F3"/>
            <w:vAlign w:val="center"/>
          </w:tcPr>
          <w:p w14:paraId="116BD01F" w14:textId="77777777" w:rsidR="00990B14" w:rsidRDefault="00000000">
            <w:pPr>
              <w:spacing w:before="20" w:after="20"/>
              <w:jc w:val="center"/>
            </w:pPr>
            <w:r>
              <w:rPr>
                <w:sz w:val="18"/>
                <w:szCs w:val="18"/>
              </w:rPr>
              <w:t>12</w:t>
            </w:r>
          </w:p>
        </w:tc>
        <w:tc>
          <w:tcPr>
            <w:tcW w:w="1250" w:type="dxa"/>
            <w:gridSpan w:val="4"/>
            <w:shd w:val="clear" w:color="auto" w:fill="D9E2F3"/>
            <w:vAlign w:val="center"/>
          </w:tcPr>
          <w:p w14:paraId="701BE55D" w14:textId="77777777" w:rsidR="00990B14" w:rsidRDefault="00000000">
            <w:pPr>
              <w:spacing w:before="20" w:after="20"/>
              <w:jc w:val="center"/>
            </w:pPr>
            <w:r>
              <w:rPr>
                <w:sz w:val="18"/>
                <w:szCs w:val="18"/>
              </w:rPr>
              <w:t>210</w:t>
            </w:r>
          </w:p>
        </w:tc>
        <w:tc>
          <w:tcPr>
            <w:tcW w:w="1907" w:type="dxa"/>
            <w:vMerge/>
            <w:shd w:val="clear" w:color="auto" w:fill="D9E2F3"/>
            <w:vAlign w:val="center"/>
          </w:tcPr>
          <w:p w14:paraId="793B1226" w14:textId="77777777" w:rsidR="00990B14" w:rsidRDefault="00990B14">
            <w:pPr>
              <w:spacing w:before="20" w:after="20"/>
            </w:pPr>
          </w:p>
        </w:tc>
      </w:tr>
      <w:tr w:rsidR="00990B14" w14:paraId="53E4CA27" w14:textId="77777777">
        <w:trPr>
          <w:cantSplit/>
          <w:jc w:val="center"/>
        </w:trPr>
        <w:tc>
          <w:tcPr>
            <w:tcW w:w="9405" w:type="dxa"/>
            <w:gridSpan w:val="13"/>
            <w:shd w:val="clear" w:color="auto" w:fill="4472C4"/>
            <w:vAlign w:val="center"/>
          </w:tcPr>
          <w:p w14:paraId="6FEC361C" w14:textId="77777777" w:rsidR="00990B14" w:rsidRDefault="00000000">
            <w:pPr>
              <w:keepNext/>
              <w:spacing w:before="20" w:after="20"/>
              <w:jc w:val="center"/>
            </w:pPr>
            <w:r>
              <w:rPr>
                <w:b/>
                <w:bCs/>
                <w:i/>
                <w:iCs/>
                <w:color w:val="FFFFFF"/>
                <w:sz w:val="18"/>
                <w:szCs w:val="18"/>
              </w:rPr>
              <w:t>Unidad de Competencia</w:t>
            </w:r>
          </w:p>
        </w:tc>
      </w:tr>
      <w:tr w:rsidR="00990B14" w14:paraId="391EB353" w14:textId="77777777">
        <w:trPr>
          <w:cantSplit/>
          <w:jc w:val="center"/>
        </w:trPr>
        <w:tc>
          <w:tcPr>
            <w:tcW w:w="9405" w:type="dxa"/>
            <w:gridSpan w:val="13"/>
            <w:shd w:val="clear" w:color="auto" w:fill="D9E2F3"/>
            <w:vAlign w:val="center"/>
          </w:tcPr>
          <w:p w14:paraId="0B2C2F49" w14:textId="77777777" w:rsidR="00990B14" w:rsidRDefault="00000000">
            <w:pPr>
              <w:spacing w:before="20" w:after="20"/>
              <w:jc w:val="both"/>
            </w:pPr>
            <w:r>
              <w:rPr>
                <w:sz w:val="18"/>
                <w:szCs w:val="18"/>
              </w:rPr>
              <w:t>Diseña el sistema contable integrado de una organización conforme a las normas de contabilidad y las disposiciones legales vigentes en Bolivia, explicando los fundamentos del diseño de sistemas y el modelo de negocios de la empresa, analizando y diagnosticando sus sistemas empresariales, estructurando el plan de cuentas y los componentes del sistema de información contable, evaluando el sistema de control interno de sus ciclos transaccionales con los marcos COSO y los controles generales de tecnología de la información, elaborando la documentación interna del sistema y relacionando el Sistema de Contabilidad Integrada con la gestión financiera pública, con rigor técnico, sentido crítico, resguardo de la información y ética profesional.</w:t>
            </w:r>
          </w:p>
        </w:tc>
      </w:tr>
      <w:tr w:rsidR="00990B14" w14:paraId="43D33972" w14:textId="77777777">
        <w:trPr>
          <w:cantSplit/>
          <w:jc w:val="center"/>
        </w:trPr>
        <w:tc>
          <w:tcPr>
            <w:tcW w:w="9405" w:type="dxa"/>
            <w:gridSpan w:val="13"/>
            <w:shd w:val="clear" w:color="auto" w:fill="D9E2F3"/>
            <w:vAlign w:val="center"/>
          </w:tcPr>
          <w:p w14:paraId="69D24CA5" w14:textId="77777777" w:rsidR="00990B14" w:rsidRDefault="00000000">
            <w:pPr>
              <w:spacing w:before="20" w:after="20"/>
              <w:jc w:val="both"/>
            </w:pPr>
            <w:r>
              <w:rPr>
                <w:b/>
                <w:bCs/>
                <w:i/>
                <w:iCs/>
                <w:sz w:val="18"/>
                <w:szCs w:val="18"/>
              </w:rPr>
              <w:t xml:space="preserve">Elemento de competencia 1: </w:t>
            </w:r>
            <w:r>
              <w:rPr>
                <w:sz w:val="18"/>
                <w:szCs w:val="18"/>
              </w:rPr>
              <w:t>Explica los fundamentos del diseño de sistemas contables y el modelo de negocios de la empresa, relacionando su estructura organizacional con sus procesos financieros.</w:t>
            </w:r>
          </w:p>
        </w:tc>
      </w:tr>
      <w:tr w:rsidR="00990B14" w14:paraId="6C044F94" w14:textId="77777777">
        <w:trPr>
          <w:cantSplit/>
          <w:jc w:val="center"/>
        </w:trPr>
        <w:tc>
          <w:tcPr>
            <w:tcW w:w="3133" w:type="dxa"/>
            <w:gridSpan w:val="4"/>
            <w:shd w:val="clear" w:color="auto" w:fill="4472C4"/>
            <w:vAlign w:val="center"/>
          </w:tcPr>
          <w:p w14:paraId="194FACA6"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209F14CE"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11EDD4AB" w14:textId="77777777" w:rsidR="00990B14" w:rsidRDefault="00000000">
            <w:pPr>
              <w:keepNext/>
              <w:spacing w:before="20" w:after="20"/>
              <w:jc w:val="center"/>
            </w:pPr>
            <w:r>
              <w:rPr>
                <w:b/>
                <w:bCs/>
                <w:i/>
                <w:iCs/>
                <w:color w:val="FFFFFF"/>
                <w:sz w:val="18"/>
                <w:szCs w:val="18"/>
              </w:rPr>
              <w:t>Evidencias de producto</w:t>
            </w:r>
          </w:p>
        </w:tc>
      </w:tr>
      <w:tr w:rsidR="00990B14" w14:paraId="4FCDA6E3" w14:textId="77777777">
        <w:trPr>
          <w:cantSplit/>
          <w:jc w:val="center"/>
        </w:trPr>
        <w:tc>
          <w:tcPr>
            <w:tcW w:w="3133" w:type="dxa"/>
            <w:gridSpan w:val="4"/>
            <w:vMerge w:val="restart"/>
            <w:shd w:val="clear" w:color="auto" w:fill="D9E2F3"/>
            <w:vAlign w:val="center"/>
          </w:tcPr>
          <w:p w14:paraId="7C6DC817" w14:textId="77777777" w:rsidR="00990B14" w:rsidRDefault="00000000">
            <w:pPr>
              <w:spacing w:before="20" w:after="20"/>
              <w:jc w:val="both"/>
            </w:pPr>
            <w:r>
              <w:rPr>
                <w:sz w:val="18"/>
                <w:szCs w:val="18"/>
              </w:rPr>
              <w:t>1. Explica los fundamentos del diseño de sistemas contables y el papel del contador público, relacionando los sistemas de información con los sistemas de planificación de recursos empresariales (ERP).</w:t>
            </w:r>
          </w:p>
        </w:tc>
        <w:tc>
          <w:tcPr>
            <w:tcW w:w="3135" w:type="dxa"/>
            <w:gridSpan w:val="5"/>
            <w:shd w:val="clear" w:color="auto" w:fill="D9E2F3"/>
            <w:vAlign w:val="center"/>
          </w:tcPr>
          <w:p w14:paraId="1AA206C8" w14:textId="77777777" w:rsidR="00990B14" w:rsidRDefault="00000000">
            <w:pPr>
              <w:spacing w:before="20" w:after="20"/>
              <w:jc w:val="both"/>
            </w:pPr>
            <w:r>
              <w:rPr>
                <w:sz w:val="18"/>
                <w:szCs w:val="18"/>
              </w:rPr>
              <w:t>1.1 Expone en equipo la clasificación de los sistemas de información (SIE) y el alcance de los módulos de un sistema de planificación de recursos empresariales (ERP).</w:t>
            </w:r>
          </w:p>
        </w:tc>
        <w:tc>
          <w:tcPr>
            <w:tcW w:w="3137" w:type="dxa"/>
            <w:gridSpan w:val="4"/>
            <w:shd w:val="clear" w:color="auto" w:fill="D9E2F3"/>
            <w:vAlign w:val="center"/>
          </w:tcPr>
          <w:p w14:paraId="54EAD3D6" w14:textId="77777777" w:rsidR="00990B14" w:rsidRDefault="00000000">
            <w:pPr>
              <w:spacing w:before="20" w:after="20"/>
              <w:jc w:val="both"/>
            </w:pPr>
            <w:r>
              <w:rPr>
                <w:b/>
                <w:bCs/>
                <w:sz w:val="18"/>
                <w:szCs w:val="18"/>
              </w:rPr>
              <w:t xml:space="preserve">Producto 1: </w:t>
            </w:r>
            <w:r>
              <w:rPr>
                <w:sz w:val="18"/>
                <w:szCs w:val="18"/>
              </w:rPr>
              <w:t>Cuadro de clasificación de los sistemas de información empresarial (SIE) y de sus componentes.</w:t>
            </w:r>
          </w:p>
        </w:tc>
      </w:tr>
      <w:tr w:rsidR="00990B14" w14:paraId="1686EA58" w14:textId="77777777">
        <w:trPr>
          <w:cantSplit/>
          <w:jc w:val="center"/>
        </w:trPr>
        <w:tc>
          <w:tcPr>
            <w:tcW w:w="3133" w:type="dxa"/>
            <w:gridSpan w:val="4"/>
            <w:vMerge/>
            <w:shd w:val="clear" w:color="auto" w:fill="D9E2F3"/>
            <w:vAlign w:val="center"/>
          </w:tcPr>
          <w:p w14:paraId="1F882CC1" w14:textId="77777777" w:rsidR="00990B14" w:rsidRDefault="00990B14">
            <w:pPr>
              <w:spacing w:before="20" w:after="20"/>
            </w:pPr>
          </w:p>
        </w:tc>
        <w:tc>
          <w:tcPr>
            <w:tcW w:w="3135" w:type="dxa"/>
            <w:gridSpan w:val="5"/>
            <w:shd w:val="clear" w:color="auto" w:fill="D9E2F3"/>
            <w:vAlign w:val="center"/>
          </w:tcPr>
          <w:p w14:paraId="4629BD3B" w14:textId="77777777" w:rsidR="00990B14" w:rsidRDefault="00000000">
            <w:pPr>
              <w:spacing w:before="20" w:after="20"/>
              <w:jc w:val="both"/>
            </w:pPr>
            <w:r>
              <w:rPr>
                <w:sz w:val="18"/>
                <w:szCs w:val="18"/>
              </w:rPr>
              <w:t>1.2 Analiza en aula las causas y los efectos de un sistema contable deficiente en una empresa boliviana.</w:t>
            </w:r>
          </w:p>
        </w:tc>
        <w:tc>
          <w:tcPr>
            <w:tcW w:w="3137" w:type="dxa"/>
            <w:gridSpan w:val="4"/>
            <w:shd w:val="clear" w:color="auto" w:fill="D9E2F3"/>
            <w:vAlign w:val="center"/>
          </w:tcPr>
          <w:p w14:paraId="4A4D6776" w14:textId="77777777" w:rsidR="00990B14" w:rsidRDefault="00000000">
            <w:pPr>
              <w:spacing w:before="20" w:after="20"/>
              <w:jc w:val="both"/>
            </w:pPr>
            <w:r>
              <w:rPr>
                <w:b/>
                <w:bCs/>
                <w:sz w:val="18"/>
                <w:szCs w:val="18"/>
              </w:rPr>
              <w:t xml:space="preserve">Producto 2: </w:t>
            </w:r>
            <w:r>
              <w:rPr>
                <w:sz w:val="18"/>
                <w:szCs w:val="18"/>
              </w:rPr>
              <w:t>Informe de causas y efectos de un sistema contable deficiente.</w:t>
            </w:r>
          </w:p>
        </w:tc>
      </w:tr>
      <w:tr w:rsidR="00990B14" w14:paraId="5D25EF57" w14:textId="77777777">
        <w:trPr>
          <w:cantSplit/>
          <w:jc w:val="center"/>
        </w:trPr>
        <w:tc>
          <w:tcPr>
            <w:tcW w:w="3133" w:type="dxa"/>
            <w:gridSpan w:val="4"/>
            <w:vMerge w:val="restart"/>
            <w:shd w:val="clear" w:color="auto" w:fill="D9E2F3"/>
            <w:vAlign w:val="center"/>
          </w:tcPr>
          <w:p w14:paraId="50D8E897" w14:textId="77777777" w:rsidR="00990B14" w:rsidRDefault="00000000">
            <w:pPr>
              <w:spacing w:before="20" w:after="20"/>
              <w:jc w:val="both"/>
            </w:pPr>
            <w:r>
              <w:rPr>
                <w:sz w:val="18"/>
                <w:szCs w:val="18"/>
              </w:rPr>
              <w:t>2. Estructura el modelo de negocios de una empresa, analizando su organización administrativa, sus procesos financieros y la información no financiera que su sistema debe producir.</w:t>
            </w:r>
          </w:p>
        </w:tc>
        <w:tc>
          <w:tcPr>
            <w:tcW w:w="3135" w:type="dxa"/>
            <w:gridSpan w:val="5"/>
            <w:shd w:val="clear" w:color="auto" w:fill="D9E2F3"/>
            <w:vAlign w:val="center"/>
          </w:tcPr>
          <w:p w14:paraId="2C5FD2A8" w14:textId="77777777" w:rsidR="00990B14" w:rsidRDefault="00000000">
            <w:pPr>
              <w:spacing w:before="20" w:after="20"/>
              <w:jc w:val="both"/>
            </w:pPr>
            <w:r>
              <w:rPr>
                <w:sz w:val="18"/>
                <w:szCs w:val="18"/>
              </w:rPr>
              <w:t>2.1 Elabora en aula el modelo de negocios (Canvas, plan de negocios) de una empresa con la identificación de sus procesos financieros.</w:t>
            </w:r>
          </w:p>
        </w:tc>
        <w:tc>
          <w:tcPr>
            <w:tcW w:w="3137" w:type="dxa"/>
            <w:gridSpan w:val="4"/>
            <w:shd w:val="clear" w:color="auto" w:fill="D9E2F3"/>
            <w:vAlign w:val="center"/>
          </w:tcPr>
          <w:p w14:paraId="73213CC9" w14:textId="77777777" w:rsidR="00990B14" w:rsidRDefault="00000000">
            <w:pPr>
              <w:spacing w:before="20" w:after="20"/>
              <w:jc w:val="both"/>
            </w:pPr>
            <w:r>
              <w:rPr>
                <w:b/>
                <w:bCs/>
                <w:sz w:val="18"/>
                <w:szCs w:val="18"/>
              </w:rPr>
              <w:t xml:space="preserve">Producto 3: </w:t>
            </w:r>
            <w:r>
              <w:rPr>
                <w:sz w:val="18"/>
                <w:szCs w:val="18"/>
              </w:rPr>
              <w:t>Modelo de negocios de una empresa con sus procesos generales y financieros identificados.</w:t>
            </w:r>
          </w:p>
        </w:tc>
      </w:tr>
      <w:tr w:rsidR="00990B14" w14:paraId="3CB42CEF" w14:textId="77777777">
        <w:trPr>
          <w:cantSplit/>
          <w:jc w:val="center"/>
        </w:trPr>
        <w:tc>
          <w:tcPr>
            <w:tcW w:w="3133" w:type="dxa"/>
            <w:gridSpan w:val="4"/>
            <w:vMerge/>
            <w:shd w:val="clear" w:color="auto" w:fill="D9E2F3"/>
            <w:vAlign w:val="center"/>
          </w:tcPr>
          <w:p w14:paraId="135BD46B" w14:textId="77777777" w:rsidR="00990B14" w:rsidRDefault="00990B14">
            <w:pPr>
              <w:spacing w:before="20" w:after="20"/>
            </w:pPr>
          </w:p>
        </w:tc>
        <w:tc>
          <w:tcPr>
            <w:tcW w:w="3135" w:type="dxa"/>
            <w:gridSpan w:val="5"/>
            <w:shd w:val="clear" w:color="auto" w:fill="D9E2F3"/>
            <w:vAlign w:val="center"/>
          </w:tcPr>
          <w:p w14:paraId="44F0D15B" w14:textId="77777777" w:rsidR="00990B14" w:rsidRDefault="00000000">
            <w:pPr>
              <w:spacing w:before="20" w:after="20"/>
              <w:jc w:val="both"/>
            </w:pPr>
            <w:r>
              <w:rPr>
                <w:sz w:val="18"/>
                <w:szCs w:val="18"/>
              </w:rPr>
              <w:t>2.2 Diseña en equipo el organigrama y la estructura funcional de una empresa en base a sus procesos, señalando la separación de funciones del área contable.</w:t>
            </w:r>
          </w:p>
        </w:tc>
        <w:tc>
          <w:tcPr>
            <w:tcW w:w="3137" w:type="dxa"/>
            <w:gridSpan w:val="4"/>
            <w:shd w:val="clear" w:color="auto" w:fill="D9E2F3"/>
            <w:vAlign w:val="center"/>
          </w:tcPr>
          <w:p w14:paraId="659C6AA5" w14:textId="77777777" w:rsidR="00990B14" w:rsidRDefault="00000000">
            <w:pPr>
              <w:spacing w:before="20" w:after="20"/>
              <w:jc w:val="both"/>
            </w:pPr>
            <w:r>
              <w:rPr>
                <w:b/>
                <w:bCs/>
                <w:sz w:val="18"/>
                <w:szCs w:val="18"/>
              </w:rPr>
              <w:t xml:space="preserve">Producto 4: </w:t>
            </w:r>
            <w:r>
              <w:rPr>
                <w:sz w:val="18"/>
                <w:szCs w:val="18"/>
              </w:rPr>
              <w:t>Organigrama de una empresa con su estructura funcional y la separación de funciones contables orientada a cumplir los objetivos de la empresa.</w:t>
            </w:r>
          </w:p>
        </w:tc>
      </w:tr>
      <w:tr w:rsidR="00990B14" w14:paraId="36841F1F" w14:textId="77777777">
        <w:trPr>
          <w:cantSplit/>
          <w:jc w:val="center"/>
        </w:trPr>
        <w:tc>
          <w:tcPr>
            <w:tcW w:w="9405" w:type="dxa"/>
            <w:gridSpan w:val="13"/>
            <w:shd w:val="clear" w:color="auto" w:fill="4472C4"/>
            <w:vAlign w:val="center"/>
          </w:tcPr>
          <w:p w14:paraId="672CA35D" w14:textId="77777777" w:rsidR="00990B14" w:rsidRDefault="00000000">
            <w:pPr>
              <w:keepNext/>
              <w:spacing w:before="20" w:after="20"/>
              <w:jc w:val="center"/>
            </w:pPr>
            <w:r>
              <w:rPr>
                <w:b/>
                <w:bCs/>
                <w:i/>
                <w:iCs/>
                <w:color w:val="FFFFFF"/>
                <w:sz w:val="18"/>
                <w:szCs w:val="18"/>
              </w:rPr>
              <w:t>Evidencias de conocimiento</w:t>
            </w:r>
          </w:p>
        </w:tc>
      </w:tr>
      <w:tr w:rsidR="00990B14" w14:paraId="6D5A7383" w14:textId="77777777">
        <w:trPr>
          <w:cantSplit/>
          <w:jc w:val="center"/>
        </w:trPr>
        <w:tc>
          <w:tcPr>
            <w:tcW w:w="2349" w:type="dxa"/>
            <w:gridSpan w:val="2"/>
            <w:shd w:val="clear" w:color="auto" w:fill="4472C4"/>
            <w:vAlign w:val="center"/>
          </w:tcPr>
          <w:p w14:paraId="05AAB72A"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01418401" w14:textId="77777777" w:rsidR="00990B14" w:rsidRDefault="00000000">
            <w:pPr>
              <w:keepNext/>
              <w:spacing w:before="20" w:after="20"/>
              <w:jc w:val="both"/>
            </w:pPr>
            <w:r>
              <w:rPr>
                <w:b/>
                <w:bCs/>
                <w:i/>
                <w:iCs/>
                <w:color w:val="FFFFFF"/>
                <w:sz w:val="18"/>
                <w:szCs w:val="18"/>
              </w:rPr>
              <w:t>Contenidos</w:t>
            </w:r>
          </w:p>
          <w:p w14:paraId="4971C140"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2C0F9882" w14:textId="77777777" w:rsidR="00990B14" w:rsidRDefault="00000000">
            <w:pPr>
              <w:keepNext/>
              <w:spacing w:before="20" w:after="20"/>
              <w:jc w:val="center"/>
            </w:pPr>
            <w:r>
              <w:rPr>
                <w:b/>
                <w:bCs/>
                <w:i/>
                <w:iCs/>
                <w:color w:val="FFFFFF"/>
                <w:sz w:val="18"/>
                <w:szCs w:val="18"/>
              </w:rPr>
              <w:t>Conocimientos circunstanciales</w:t>
            </w:r>
          </w:p>
        </w:tc>
      </w:tr>
      <w:tr w:rsidR="00990B14" w14:paraId="1BD169EA" w14:textId="77777777">
        <w:trPr>
          <w:jc w:val="center"/>
        </w:trPr>
        <w:tc>
          <w:tcPr>
            <w:tcW w:w="2349" w:type="dxa"/>
            <w:gridSpan w:val="2"/>
            <w:shd w:val="clear" w:color="auto" w:fill="D9E2F3"/>
          </w:tcPr>
          <w:p w14:paraId="420E62F3" w14:textId="77777777" w:rsidR="00990B14" w:rsidRDefault="00000000">
            <w:pPr>
              <w:spacing w:before="20" w:after="40"/>
              <w:jc w:val="both"/>
            </w:pPr>
            <w:r>
              <w:rPr>
                <w:sz w:val="18"/>
                <w:szCs w:val="18"/>
              </w:rPr>
              <w:t>Tema 1: Introducción al diseño de sistemas contables</w:t>
            </w:r>
          </w:p>
          <w:p w14:paraId="3CF6CF95" w14:textId="77777777" w:rsidR="00990B14" w:rsidRDefault="00000000">
            <w:pPr>
              <w:spacing w:before="20" w:after="40"/>
              <w:jc w:val="both"/>
            </w:pPr>
            <w:r>
              <w:rPr>
                <w:sz w:val="18"/>
                <w:szCs w:val="18"/>
              </w:rPr>
              <w:t>Tema 2: La empresa</w:t>
            </w:r>
          </w:p>
        </w:tc>
        <w:tc>
          <w:tcPr>
            <w:tcW w:w="4304" w:type="dxa"/>
            <w:gridSpan w:val="8"/>
            <w:shd w:val="clear" w:color="auto" w:fill="D9E2F3"/>
          </w:tcPr>
          <w:p w14:paraId="63864FA8" w14:textId="77777777" w:rsidR="00990B14" w:rsidRDefault="00000000">
            <w:pPr>
              <w:spacing w:after="40"/>
              <w:jc w:val="both"/>
            </w:pPr>
            <w:r>
              <w:rPr>
                <w:sz w:val="18"/>
                <w:szCs w:val="18"/>
              </w:rPr>
              <w:t>Antecedentes, reseña histórica, justificación e importancia del diseño de sistemas contables. (P, T)</w:t>
            </w:r>
          </w:p>
          <w:p w14:paraId="32AAD9A4" w14:textId="77777777" w:rsidR="00990B14" w:rsidRDefault="00000000">
            <w:pPr>
              <w:spacing w:after="40"/>
              <w:jc w:val="both"/>
            </w:pPr>
            <w:r>
              <w:rPr>
                <w:sz w:val="18"/>
                <w:szCs w:val="18"/>
              </w:rPr>
              <w:t>Conceptualización y definición de los sistemas, con la teoría general y la estructura de los sistemas. (C)</w:t>
            </w:r>
          </w:p>
          <w:p w14:paraId="5F6C3AD9" w14:textId="77777777" w:rsidR="00990B14" w:rsidRDefault="00000000">
            <w:pPr>
              <w:spacing w:after="40"/>
              <w:jc w:val="both"/>
            </w:pPr>
            <w:r>
              <w:rPr>
                <w:sz w:val="18"/>
                <w:szCs w:val="18"/>
              </w:rPr>
              <w:t>Sistemas empresariales y sistemas de información: definición, importancia, características y componentes. (C)</w:t>
            </w:r>
          </w:p>
          <w:p w14:paraId="561A819B" w14:textId="77777777" w:rsidR="00990B14" w:rsidRDefault="00000000">
            <w:pPr>
              <w:spacing w:after="40"/>
              <w:jc w:val="both"/>
            </w:pPr>
            <w:r>
              <w:rPr>
                <w:sz w:val="18"/>
                <w:szCs w:val="18"/>
              </w:rPr>
              <w:t>Clasificación de los sistemas de información y principios en su desarrollo. (C)</w:t>
            </w:r>
          </w:p>
          <w:p w14:paraId="51EAEAEE" w14:textId="77777777" w:rsidR="00990B14" w:rsidRDefault="00000000">
            <w:pPr>
              <w:spacing w:after="40"/>
              <w:jc w:val="both"/>
            </w:pPr>
            <w:r>
              <w:rPr>
                <w:sz w:val="18"/>
                <w:szCs w:val="18"/>
              </w:rPr>
              <w:t>Sistemas de planificación de recursos empresariales (ERP) y soluciones en la nube: alcance de sus módulos e integración con la contabilidad. (C)</w:t>
            </w:r>
          </w:p>
          <w:p w14:paraId="3C437B36" w14:textId="77777777" w:rsidR="00990B14" w:rsidRDefault="00000000">
            <w:pPr>
              <w:spacing w:after="40"/>
              <w:jc w:val="both"/>
            </w:pPr>
            <w:r>
              <w:rPr>
                <w:sz w:val="18"/>
                <w:szCs w:val="18"/>
              </w:rPr>
              <w:t>El papel del contador público en los sistemas, y causas y efectos de un sistema contable inexistente o deficiente. (C, T)</w:t>
            </w:r>
          </w:p>
          <w:p w14:paraId="03DA9CCA" w14:textId="77777777" w:rsidR="00990B14" w:rsidRDefault="00000000">
            <w:pPr>
              <w:spacing w:after="40"/>
              <w:jc w:val="both"/>
            </w:pPr>
            <w:r>
              <w:rPr>
                <w:sz w:val="18"/>
                <w:szCs w:val="18"/>
              </w:rPr>
              <w:t>Las funciones de la empresa y la empresa frente a su control interno. (C)</w:t>
            </w:r>
          </w:p>
          <w:p w14:paraId="74BDA083" w14:textId="77777777" w:rsidR="00990B14" w:rsidRDefault="00000000">
            <w:pPr>
              <w:spacing w:after="40"/>
              <w:jc w:val="both"/>
            </w:pPr>
            <w:r>
              <w:rPr>
                <w:sz w:val="18"/>
                <w:szCs w:val="18"/>
              </w:rPr>
              <w:t>Organización administrativa, estructura funcional, separación de funciones y departamentos o secciones. (C)</w:t>
            </w:r>
          </w:p>
          <w:p w14:paraId="29C3A519" w14:textId="77777777" w:rsidR="00990B14" w:rsidRDefault="00000000">
            <w:pPr>
              <w:spacing w:after="40"/>
              <w:jc w:val="both"/>
            </w:pPr>
            <w:r>
              <w:rPr>
                <w:sz w:val="18"/>
                <w:szCs w:val="18"/>
              </w:rPr>
              <w:t>Definición del modelo de negocios (Canvas, plan de negocios), con los objetivos y los tipos de empresa. (C)</w:t>
            </w:r>
          </w:p>
          <w:p w14:paraId="51A16BF3" w14:textId="77777777" w:rsidR="00990B14" w:rsidRDefault="00000000">
            <w:pPr>
              <w:spacing w:after="40"/>
              <w:jc w:val="both"/>
            </w:pPr>
            <w:r>
              <w:rPr>
                <w:sz w:val="18"/>
                <w:szCs w:val="18"/>
              </w:rPr>
              <w:t>Identificación y análisis de procesos generales y procedimientos financieros, y estructura funcional de la empresa con su organigrama. (C, P)</w:t>
            </w:r>
          </w:p>
          <w:p w14:paraId="38B72823" w14:textId="77777777" w:rsidR="00990B14" w:rsidRDefault="00000000">
            <w:pPr>
              <w:spacing w:after="40"/>
              <w:jc w:val="both"/>
            </w:pPr>
            <w:r>
              <w:rPr>
                <w:sz w:val="18"/>
                <w:szCs w:val="18"/>
              </w:rPr>
              <w:t>Información no financiera de la organización: indicadores ambientales, sociales y de gobernanza que el sistema de información debe producir. (C)</w:t>
            </w:r>
          </w:p>
          <w:p w14:paraId="658B9EE7" w14:textId="77777777" w:rsidR="00990B14" w:rsidRDefault="00000000">
            <w:pPr>
              <w:spacing w:after="40"/>
              <w:jc w:val="both"/>
            </w:pPr>
            <w:r>
              <w:rPr>
                <w:sz w:val="18"/>
                <w:szCs w:val="18"/>
              </w:rPr>
              <w:t>Terminología de sistemas de información en inglés: enterprise resource planning, workflow, interface, dashboard y data governance. (C)</w:t>
            </w:r>
          </w:p>
        </w:tc>
        <w:tc>
          <w:tcPr>
            <w:tcW w:w="2752" w:type="dxa"/>
            <w:gridSpan w:val="3"/>
            <w:shd w:val="clear" w:color="auto" w:fill="D9E2F3"/>
          </w:tcPr>
          <w:p w14:paraId="385BFC1B" w14:textId="77777777" w:rsidR="00990B14" w:rsidRDefault="00000000">
            <w:pPr>
              <w:numPr>
                <w:ilvl w:val="0"/>
                <w:numId w:val="139"/>
              </w:numPr>
              <w:spacing w:before="10" w:after="10"/>
              <w:jc w:val="both"/>
            </w:pPr>
            <w:r>
              <w:rPr>
                <w:sz w:val="18"/>
                <w:szCs w:val="18"/>
              </w:rPr>
              <w:t>Nociones de notación BPMN para la representación de procesos de negocio.</w:t>
            </w:r>
          </w:p>
          <w:p w14:paraId="3BE358C6" w14:textId="77777777" w:rsidR="00990B14" w:rsidRDefault="00000000">
            <w:pPr>
              <w:numPr>
                <w:ilvl w:val="0"/>
                <w:numId w:val="139"/>
              </w:numPr>
              <w:spacing w:before="10" w:after="10"/>
              <w:jc w:val="both"/>
            </w:pPr>
            <w:r>
              <w:rPr>
                <w:sz w:val="18"/>
                <w:szCs w:val="18"/>
              </w:rPr>
              <w:t>Modalidades de licenciamiento de software contable: licencia perpetua, suscripción y software libre.</w:t>
            </w:r>
          </w:p>
        </w:tc>
      </w:tr>
      <w:tr w:rsidR="00990B14" w14:paraId="5F422086" w14:textId="77777777">
        <w:trPr>
          <w:cantSplit/>
          <w:jc w:val="center"/>
        </w:trPr>
        <w:tc>
          <w:tcPr>
            <w:tcW w:w="9405" w:type="dxa"/>
            <w:gridSpan w:val="13"/>
            <w:shd w:val="clear" w:color="auto" w:fill="D9E2F3"/>
            <w:vAlign w:val="center"/>
          </w:tcPr>
          <w:p w14:paraId="4BD90282" w14:textId="77777777" w:rsidR="00990B14" w:rsidRDefault="00000000">
            <w:pPr>
              <w:spacing w:before="20" w:after="20"/>
              <w:jc w:val="both"/>
            </w:pPr>
            <w:r>
              <w:rPr>
                <w:b/>
                <w:bCs/>
                <w:i/>
                <w:iCs/>
                <w:sz w:val="18"/>
                <w:szCs w:val="18"/>
              </w:rPr>
              <w:t xml:space="preserve">Elemento de competencia 2: </w:t>
            </w:r>
            <w:r>
              <w:rPr>
                <w:sz w:val="18"/>
                <w:szCs w:val="18"/>
              </w:rPr>
              <w:t>Diagnostica los sistemas de información de una organización, analizando su gestión contable y financiera conforme a los distintos tipos de diagnóstico.</w:t>
            </w:r>
          </w:p>
        </w:tc>
      </w:tr>
      <w:tr w:rsidR="00990B14" w14:paraId="0456778F" w14:textId="77777777">
        <w:trPr>
          <w:cantSplit/>
          <w:jc w:val="center"/>
        </w:trPr>
        <w:tc>
          <w:tcPr>
            <w:tcW w:w="3133" w:type="dxa"/>
            <w:gridSpan w:val="4"/>
            <w:shd w:val="clear" w:color="auto" w:fill="4472C4"/>
            <w:vAlign w:val="center"/>
          </w:tcPr>
          <w:p w14:paraId="06E692B8"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56974EBF"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05B4CE2E" w14:textId="77777777" w:rsidR="00990B14" w:rsidRDefault="00000000">
            <w:pPr>
              <w:keepNext/>
              <w:spacing w:before="20" w:after="20"/>
              <w:jc w:val="center"/>
            </w:pPr>
            <w:r>
              <w:rPr>
                <w:b/>
                <w:bCs/>
                <w:i/>
                <w:iCs/>
                <w:color w:val="FFFFFF"/>
                <w:sz w:val="18"/>
                <w:szCs w:val="18"/>
              </w:rPr>
              <w:t>Evidencias de producto</w:t>
            </w:r>
          </w:p>
        </w:tc>
      </w:tr>
      <w:tr w:rsidR="00990B14" w14:paraId="0BC2BD03" w14:textId="77777777">
        <w:trPr>
          <w:cantSplit/>
          <w:jc w:val="center"/>
        </w:trPr>
        <w:tc>
          <w:tcPr>
            <w:tcW w:w="3133" w:type="dxa"/>
            <w:gridSpan w:val="4"/>
            <w:vMerge w:val="restart"/>
            <w:shd w:val="clear" w:color="auto" w:fill="D9E2F3"/>
            <w:vAlign w:val="center"/>
          </w:tcPr>
          <w:p w14:paraId="043548F3" w14:textId="77777777" w:rsidR="00990B14" w:rsidRDefault="00000000">
            <w:pPr>
              <w:spacing w:before="20" w:after="20"/>
              <w:jc w:val="both"/>
            </w:pPr>
            <w:r>
              <w:rPr>
                <w:sz w:val="18"/>
                <w:szCs w:val="18"/>
              </w:rPr>
              <w:t>1. Diagnostica la organización y la gestión de sus funciones, analizando su macroambiente, su planeación, su control general y su madurez digital.</w:t>
            </w:r>
          </w:p>
        </w:tc>
        <w:tc>
          <w:tcPr>
            <w:tcW w:w="3135" w:type="dxa"/>
            <w:gridSpan w:val="5"/>
            <w:shd w:val="clear" w:color="auto" w:fill="D9E2F3"/>
            <w:vAlign w:val="center"/>
          </w:tcPr>
          <w:p w14:paraId="0B3C34E6" w14:textId="77777777" w:rsidR="00990B14" w:rsidRDefault="00000000">
            <w:pPr>
              <w:spacing w:before="20" w:after="20"/>
              <w:jc w:val="both"/>
            </w:pPr>
            <w:r>
              <w:rPr>
                <w:sz w:val="18"/>
                <w:szCs w:val="18"/>
              </w:rPr>
              <w:t>1.1 Diagnostica en equipo la gestión contable y financiera de una empresa con encuestas y cuestionarios.</w:t>
            </w:r>
          </w:p>
        </w:tc>
        <w:tc>
          <w:tcPr>
            <w:tcW w:w="3137" w:type="dxa"/>
            <w:gridSpan w:val="4"/>
            <w:shd w:val="clear" w:color="auto" w:fill="D9E2F3"/>
            <w:vAlign w:val="center"/>
          </w:tcPr>
          <w:p w14:paraId="1FC60BE3" w14:textId="77777777" w:rsidR="00990B14" w:rsidRDefault="00000000">
            <w:pPr>
              <w:spacing w:before="20" w:after="20"/>
              <w:jc w:val="both"/>
            </w:pPr>
            <w:r>
              <w:rPr>
                <w:b/>
                <w:bCs/>
                <w:sz w:val="18"/>
                <w:szCs w:val="18"/>
              </w:rPr>
              <w:t xml:space="preserve">Producto 5: </w:t>
            </w:r>
            <w:r>
              <w:rPr>
                <w:sz w:val="18"/>
                <w:szCs w:val="18"/>
              </w:rPr>
              <w:t>Informe de diagnóstico de la organización y de la gestión de sus funciones.</w:t>
            </w:r>
          </w:p>
        </w:tc>
      </w:tr>
      <w:tr w:rsidR="00990B14" w14:paraId="196AC558" w14:textId="77777777">
        <w:trPr>
          <w:cantSplit/>
          <w:jc w:val="center"/>
        </w:trPr>
        <w:tc>
          <w:tcPr>
            <w:tcW w:w="3133" w:type="dxa"/>
            <w:gridSpan w:val="4"/>
            <w:vMerge/>
            <w:shd w:val="clear" w:color="auto" w:fill="D9E2F3"/>
            <w:vAlign w:val="center"/>
          </w:tcPr>
          <w:p w14:paraId="48D9E2BF" w14:textId="77777777" w:rsidR="00990B14" w:rsidRDefault="00990B14">
            <w:pPr>
              <w:spacing w:before="20" w:after="20"/>
            </w:pPr>
          </w:p>
        </w:tc>
        <w:tc>
          <w:tcPr>
            <w:tcW w:w="3135" w:type="dxa"/>
            <w:gridSpan w:val="5"/>
            <w:shd w:val="clear" w:color="auto" w:fill="D9E2F3"/>
            <w:vAlign w:val="center"/>
          </w:tcPr>
          <w:p w14:paraId="69DC9E3D" w14:textId="77777777" w:rsidR="00990B14" w:rsidRDefault="00000000">
            <w:pPr>
              <w:spacing w:before="20" w:after="20"/>
              <w:jc w:val="both"/>
            </w:pPr>
            <w:r>
              <w:rPr>
                <w:sz w:val="18"/>
                <w:szCs w:val="18"/>
              </w:rPr>
              <w:t>1.2 Evalúa en aula la madurez digital y los riesgos tecnológicos de los procesos contables de un caso práctico.</w:t>
            </w:r>
          </w:p>
        </w:tc>
        <w:tc>
          <w:tcPr>
            <w:tcW w:w="3137" w:type="dxa"/>
            <w:gridSpan w:val="4"/>
            <w:shd w:val="clear" w:color="auto" w:fill="D9E2F3"/>
            <w:vAlign w:val="center"/>
          </w:tcPr>
          <w:p w14:paraId="4FAF76BB" w14:textId="77777777" w:rsidR="00990B14" w:rsidRDefault="00000000">
            <w:pPr>
              <w:spacing w:before="20" w:after="20"/>
              <w:jc w:val="both"/>
            </w:pPr>
            <w:r>
              <w:rPr>
                <w:b/>
                <w:bCs/>
                <w:sz w:val="18"/>
                <w:szCs w:val="18"/>
              </w:rPr>
              <w:t xml:space="preserve">Producto 6: </w:t>
            </w:r>
            <w:r>
              <w:rPr>
                <w:sz w:val="18"/>
                <w:szCs w:val="18"/>
              </w:rPr>
              <w:t>Matriz de madurez digital y de riesgos tecnológicos de los procesos contables.</w:t>
            </w:r>
          </w:p>
        </w:tc>
      </w:tr>
      <w:tr w:rsidR="00990B14" w14:paraId="1C08DF9E" w14:textId="77777777">
        <w:trPr>
          <w:cantSplit/>
          <w:jc w:val="center"/>
        </w:trPr>
        <w:tc>
          <w:tcPr>
            <w:tcW w:w="3133" w:type="dxa"/>
            <w:gridSpan w:val="4"/>
            <w:vMerge w:val="restart"/>
            <w:shd w:val="clear" w:color="auto" w:fill="D9E2F3"/>
            <w:vAlign w:val="center"/>
          </w:tcPr>
          <w:p w14:paraId="3021798A" w14:textId="77777777" w:rsidR="00990B14" w:rsidRDefault="00000000">
            <w:pPr>
              <w:spacing w:before="20" w:after="20"/>
              <w:jc w:val="both"/>
            </w:pPr>
            <w:r>
              <w:rPr>
                <w:sz w:val="18"/>
                <w:szCs w:val="18"/>
              </w:rPr>
              <w:t>2. Evalúa la situación del sistema de información contable de una empresa, determinando la brecha entre la información que produce y la que la organización necesita para decidir.</w:t>
            </w:r>
          </w:p>
        </w:tc>
        <w:tc>
          <w:tcPr>
            <w:tcW w:w="3135" w:type="dxa"/>
            <w:gridSpan w:val="5"/>
            <w:shd w:val="clear" w:color="auto" w:fill="D9E2F3"/>
            <w:vAlign w:val="center"/>
          </w:tcPr>
          <w:p w14:paraId="0F40824C" w14:textId="77777777" w:rsidR="00990B14" w:rsidRDefault="00000000">
            <w:pPr>
              <w:spacing w:before="20" w:after="20"/>
              <w:jc w:val="both"/>
            </w:pPr>
            <w:r>
              <w:rPr>
                <w:sz w:val="18"/>
                <w:szCs w:val="18"/>
              </w:rPr>
              <w:t>2.1 Presenta ante el curso el diagnóstico del sistema de información contable de un caso práctico.</w:t>
            </w:r>
          </w:p>
        </w:tc>
        <w:tc>
          <w:tcPr>
            <w:tcW w:w="3137" w:type="dxa"/>
            <w:gridSpan w:val="4"/>
            <w:shd w:val="clear" w:color="auto" w:fill="D9E2F3"/>
            <w:vAlign w:val="center"/>
          </w:tcPr>
          <w:p w14:paraId="38D344F3" w14:textId="77777777" w:rsidR="00990B14" w:rsidRDefault="00000000">
            <w:pPr>
              <w:spacing w:before="20" w:after="20"/>
              <w:jc w:val="both"/>
            </w:pPr>
            <w:r>
              <w:rPr>
                <w:b/>
                <w:bCs/>
                <w:sz w:val="18"/>
                <w:szCs w:val="18"/>
              </w:rPr>
              <w:t xml:space="preserve">Producto 7: </w:t>
            </w:r>
            <w:r>
              <w:rPr>
                <w:sz w:val="18"/>
                <w:szCs w:val="18"/>
              </w:rPr>
              <w:t>Informe de diagnóstico del sistema de información contable de una empresa.</w:t>
            </w:r>
          </w:p>
        </w:tc>
      </w:tr>
      <w:tr w:rsidR="00990B14" w14:paraId="0AC7D788" w14:textId="77777777">
        <w:trPr>
          <w:cantSplit/>
          <w:jc w:val="center"/>
        </w:trPr>
        <w:tc>
          <w:tcPr>
            <w:tcW w:w="3133" w:type="dxa"/>
            <w:gridSpan w:val="4"/>
            <w:vMerge/>
            <w:shd w:val="clear" w:color="auto" w:fill="D9E2F3"/>
            <w:vAlign w:val="center"/>
          </w:tcPr>
          <w:p w14:paraId="1B7772DD" w14:textId="77777777" w:rsidR="00990B14" w:rsidRDefault="00990B14">
            <w:pPr>
              <w:spacing w:before="20" w:after="20"/>
            </w:pPr>
          </w:p>
        </w:tc>
        <w:tc>
          <w:tcPr>
            <w:tcW w:w="3135" w:type="dxa"/>
            <w:gridSpan w:val="5"/>
            <w:shd w:val="clear" w:color="auto" w:fill="D9E2F3"/>
            <w:vAlign w:val="center"/>
          </w:tcPr>
          <w:p w14:paraId="507E402E" w14:textId="77777777" w:rsidR="00990B14" w:rsidRDefault="00000000">
            <w:pPr>
              <w:spacing w:before="20" w:after="20"/>
              <w:jc w:val="both"/>
            </w:pPr>
            <w:r>
              <w:rPr>
                <w:sz w:val="18"/>
                <w:szCs w:val="18"/>
              </w:rPr>
              <w:t>2.2 Contrasta en equipo los informes que emite el sistema vigente con los requerimientos de información de la gerencia.</w:t>
            </w:r>
          </w:p>
        </w:tc>
        <w:tc>
          <w:tcPr>
            <w:tcW w:w="3137" w:type="dxa"/>
            <w:gridSpan w:val="4"/>
            <w:shd w:val="clear" w:color="auto" w:fill="D9E2F3"/>
            <w:vAlign w:val="center"/>
          </w:tcPr>
          <w:p w14:paraId="167111E2" w14:textId="77777777" w:rsidR="00990B14" w:rsidRDefault="00000000">
            <w:pPr>
              <w:spacing w:before="20" w:after="20"/>
              <w:jc w:val="both"/>
            </w:pPr>
            <w:r>
              <w:rPr>
                <w:b/>
                <w:bCs/>
                <w:sz w:val="18"/>
                <w:szCs w:val="18"/>
              </w:rPr>
              <w:t xml:space="preserve">Producto 8: </w:t>
            </w:r>
            <w:r>
              <w:rPr>
                <w:sz w:val="18"/>
                <w:szCs w:val="18"/>
              </w:rPr>
              <w:t>Cuadro de brechas de información del sistema contable vigente.</w:t>
            </w:r>
          </w:p>
        </w:tc>
      </w:tr>
      <w:tr w:rsidR="00990B14" w14:paraId="4A6030AB" w14:textId="77777777">
        <w:trPr>
          <w:cantSplit/>
          <w:jc w:val="center"/>
        </w:trPr>
        <w:tc>
          <w:tcPr>
            <w:tcW w:w="9405" w:type="dxa"/>
            <w:gridSpan w:val="13"/>
            <w:shd w:val="clear" w:color="auto" w:fill="4472C4"/>
            <w:vAlign w:val="center"/>
          </w:tcPr>
          <w:p w14:paraId="2FA43A60" w14:textId="77777777" w:rsidR="00990B14" w:rsidRDefault="00000000">
            <w:pPr>
              <w:keepNext/>
              <w:spacing w:before="20" w:after="20"/>
              <w:jc w:val="center"/>
            </w:pPr>
            <w:r>
              <w:rPr>
                <w:b/>
                <w:bCs/>
                <w:i/>
                <w:iCs/>
                <w:color w:val="FFFFFF"/>
                <w:sz w:val="18"/>
                <w:szCs w:val="18"/>
              </w:rPr>
              <w:t>Evidencias de conocimiento</w:t>
            </w:r>
          </w:p>
        </w:tc>
      </w:tr>
      <w:tr w:rsidR="00990B14" w14:paraId="01866AF2" w14:textId="77777777">
        <w:trPr>
          <w:cantSplit/>
          <w:jc w:val="center"/>
        </w:trPr>
        <w:tc>
          <w:tcPr>
            <w:tcW w:w="2349" w:type="dxa"/>
            <w:gridSpan w:val="2"/>
            <w:shd w:val="clear" w:color="auto" w:fill="4472C4"/>
            <w:vAlign w:val="center"/>
          </w:tcPr>
          <w:p w14:paraId="6737E803"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66CC9766" w14:textId="77777777" w:rsidR="00990B14" w:rsidRDefault="00000000">
            <w:pPr>
              <w:keepNext/>
              <w:spacing w:before="20" w:after="20"/>
              <w:jc w:val="both"/>
            </w:pPr>
            <w:r>
              <w:rPr>
                <w:b/>
                <w:bCs/>
                <w:i/>
                <w:iCs/>
                <w:color w:val="FFFFFF"/>
                <w:sz w:val="18"/>
                <w:szCs w:val="18"/>
              </w:rPr>
              <w:t>Contenidos</w:t>
            </w:r>
          </w:p>
          <w:p w14:paraId="51D91BDD"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110ED823" w14:textId="77777777" w:rsidR="00990B14" w:rsidRDefault="00000000">
            <w:pPr>
              <w:keepNext/>
              <w:spacing w:before="20" w:after="20"/>
              <w:jc w:val="center"/>
            </w:pPr>
            <w:r>
              <w:rPr>
                <w:b/>
                <w:bCs/>
                <w:i/>
                <w:iCs/>
                <w:color w:val="FFFFFF"/>
                <w:sz w:val="18"/>
                <w:szCs w:val="18"/>
              </w:rPr>
              <w:t>Conocimientos circunstanciales</w:t>
            </w:r>
          </w:p>
        </w:tc>
      </w:tr>
      <w:tr w:rsidR="00990B14" w14:paraId="765B539D" w14:textId="77777777">
        <w:trPr>
          <w:jc w:val="center"/>
        </w:trPr>
        <w:tc>
          <w:tcPr>
            <w:tcW w:w="2349" w:type="dxa"/>
            <w:gridSpan w:val="2"/>
            <w:shd w:val="clear" w:color="auto" w:fill="D9E2F3"/>
          </w:tcPr>
          <w:p w14:paraId="1CC16A2F" w14:textId="77777777" w:rsidR="00990B14" w:rsidRDefault="00000000">
            <w:pPr>
              <w:spacing w:before="20" w:after="40"/>
              <w:jc w:val="both"/>
            </w:pPr>
            <w:r>
              <w:rPr>
                <w:sz w:val="18"/>
                <w:szCs w:val="18"/>
              </w:rPr>
              <w:t>Tema 3: Análisis y diseño planificado de los sistemas empresariales</w:t>
            </w:r>
          </w:p>
          <w:p w14:paraId="43133D41" w14:textId="77777777" w:rsidR="00990B14" w:rsidRDefault="00000000">
            <w:pPr>
              <w:spacing w:before="20" w:after="40"/>
              <w:jc w:val="both"/>
            </w:pPr>
            <w:r>
              <w:rPr>
                <w:sz w:val="18"/>
                <w:szCs w:val="18"/>
              </w:rPr>
              <w:t>Tema 4: Diagnóstico de los sistemas de información</w:t>
            </w:r>
          </w:p>
        </w:tc>
        <w:tc>
          <w:tcPr>
            <w:tcW w:w="4304" w:type="dxa"/>
            <w:gridSpan w:val="8"/>
            <w:shd w:val="clear" w:color="auto" w:fill="D9E2F3"/>
          </w:tcPr>
          <w:p w14:paraId="5421C416" w14:textId="77777777" w:rsidR="00990B14" w:rsidRDefault="00000000">
            <w:pPr>
              <w:spacing w:after="40"/>
              <w:jc w:val="both"/>
            </w:pPr>
            <w:r>
              <w:rPr>
                <w:sz w:val="18"/>
                <w:szCs w:val="18"/>
              </w:rPr>
              <w:t>Concepto de sistemas y de sistemas de información, con su importancia, características, componentes, clasificación y principios de desarrollo, y el ciclo de vida. (P)</w:t>
            </w:r>
          </w:p>
          <w:p w14:paraId="2E6C5D81" w14:textId="77777777" w:rsidR="00990B14" w:rsidRDefault="00000000">
            <w:pPr>
              <w:spacing w:after="40"/>
              <w:jc w:val="both"/>
            </w:pPr>
            <w:r>
              <w:rPr>
                <w:sz w:val="18"/>
                <w:szCs w:val="18"/>
              </w:rPr>
              <w:t>Metodologías ágiles e iterativas de desarrollo y su diferencia con el ciclo de vida secuencial del sistema. (P)</w:t>
            </w:r>
          </w:p>
          <w:p w14:paraId="0E4BEBB8" w14:textId="77777777" w:rsidR="00990B14" w:rsidRDefault="00000000">
            <w:pPr>
              <w:spacing w:after="40"/>
              <w:jc w:val="both"/>
            </w:pPr>
            <w:r>
              <w:rPr>
                <w:sz w:val="18"/>
                <w:szCs w:val="18"/>
              </w:rPr>
              <w:t>Desarrollo teórico de una metodología planificada, con sus fases: interpretación de los objetivos, relevamiento de los sistemas, estratificación y centros de decisión. (C, P)</w:t>
            </w:r>
          </w:p>
          <w:p w14:paraId="119E9AC2" w14:textId="77777777" w:rsidR="00990B14" w:rsidRDefault="00000000">
            <w:pPr>
              <w:spacing w:after="40"/>
              <w:jc w:val="both"/>
            </w:pPr>
            <w:r>
              <w:rPr>
                <w:sz w:val="18"/>
                <w:szCs w:val="18"/>
              </w:rPr>
              <w:t>Principales técnicas de relevamiento: uso de test, encuestas y entrevistas, cuestionarios, flujogramas y resúmenes descriptivos, y otras técnicas. (P)</w:t>
            </w:r>
          </w:p>
          <w:p w14:paraId="0CA3BEB3" w14:textId="77777777" w:rsidR="00990B14" w:rsidRDefault="00000000">
            <w:pPr>
              <w:spacing w:after="40"/>
              <w:jc w:val="both"/>
            </w:pPr>
            <w:r>
              <w:rPr>
                <w:sz w:val="18"/>
                <w:szCs w:val="18"/>
              </w:rPr>
              <w:t>Gestión del cambio en la implantación de un sistema contable: comunicación, capacitación y tratamiento de la resistencia de los usuarios. (C, T)</w:t>
            </w:r>
          </w:p>
          <w:p w14:paraId="00D791AD" w14:textId="77777777" w:rsidR="00990B14" w:rsidRDefault="00000000">
            <w:pPr>
              <w:spacing w:after="40"/>
              <w:jc w:val="both"/>
            </w:pPr>
            <w:r>
              <w:rPr>
                <w:sz w:val="18"/>
                <w:szCs w:val="18"/>
              </w:rPr>
              <w:t>Definición y tipos de diagnóstico de sistemas de información empresarial, con encuestas, entrevistas, cuestionarios y flujogramas. (C)</w:t>
            </w:r>
          </w:p>
          <w:p w14:paraId="68FC599C" w14:textId="77777777" w:rsidR="00990B14" w:rsidRDefault="00000000">
            <w:pPr>
              <w:spacing w:after="40"/>
              <w:jc w:val="both"/>
            </w:pPr>
            <w:r>
              <w:rPr>
                <w:sz w:val="18"/>
                <w:szCs w:val="18"/>
              </w:rPr>
              <w:t>Diagnóstico de la organización: análisis del macro ambiente y diagnóstico interno de la planeación, la organización y el control general. (C)</w:t>
            </w:r>
          </w:p>
          <w:p w14:paraId="3406A59E" w14:textId="77777777" w:rsidR="00990B14" w:rsidRDefault="00000000">
            <w:pPr>
              <w:spacing w:after="40"/>
              <w:jc w:val="both"/>
            </w:pPr>
            <w:r>
              <w:rPr>
                <w:sz w:val="18"/>
                <w:szCs w:val="18"/>
              </w:rPr>
              <w:t>Diagnóstico de la madurez digital de la organización: automatización de los procesos contables, interfaces entre sistemas y calidad de los datos. (C, T)</w:t>
            </w:r>
          </w:p>
          <w:p w14:paraId="7E0C6B92" w14:textId="77777777" w:rsidR="00990B14" w:rsidRDefault="00000000">
            <w:pPr>
              <w:spacing w:after="40"/>
              <w:jc w:val="both"/>
            </w:pPr>
            <w:r>
              <w:rPr>
                <w:sz w:val="18"/>
                <w:szCs w:val="18"/>
              </w:rPr>
              <w:t>Diagnóstico de la gestión de las funciones de la empresa: gestión contable y financiera, gestión de recursos financieros, gestión y situación comercial, y gestión y situación del sistema de información contable, con sus procesos y procedimientos financieros. (P)</w:t>
            </w:r>
          </w:p>
          <w:p w14:paraId="3D87C3B0" w14:textId="77777777" w:rsidR="00990B14" w:rsidRDefault="00000000">
            <w:pPr>
              <w:spacing w:after="40"/>
              <w:jc w:val="both"/>
            </w:pPr>
            <w:r>
              <w:rPr>
                <w:sz w:val="18"/>
                <w:szCs w:val="18"/>
              </w:rPr>
              <w:t>Riesgos tecnológicos detectados en el diagnóstico: accesos no autorizados, dependencia de un proveedor, pérdida de información y continuidad del servicio. (C)</w:t>
            </w:r>
          </w:p>
        </w:tc>
        <w:tc>
          <w:tcPr>
            <w:tcW w:w="2752" w:type="dxa"/>
            <w:gridSpan w:val="3"/>
            <w:shd w:val="clear" w:color="auto" w:fill="D9E2F3"/>
          </w:tcPr>
          <w:p w14:paraId="1C6B1653" w14:textId="77777777" w:rsidR="00990B14" w:rsidRDefault="00000000">
            <w:pPr>
              <w:numPr>
                <w:ilvl w:val="0"/>
                <w:numId w:val="139"/>
              </w:numPr>
              <w:spacing w:before="10" w:after="10"/>
              <w:jc w:val="both"/>
            </w:pPr>
            <w:r>
              <w:rPr>
                <w:sz w:val="18"/>
                <w:szCs w:val="18"/>
              </w:rPr>
              <w:t>Nociones de ingeniería de requerimientos: requisitos funcionales y no funcionales de un sistema.</w:t>
            </w:r>
          </w:p>
          <w:p w14:paraId="53442A65" w14:textId="77777777" w:rsidR="00990B14" w:rsidRDefault="00000000">
            <w:pPr>
              <w:numPr>
                <w:ilvl w:val="0"/>
                <w:numId w:val="139"/>
              </w:numPr>
              <w:spacing w:before="10" w:after="10"/>
              <w:jc w:val="both"/>
            </w:pPr>
            <w:r>
              <w:rPr>
                <w:sz w:val="18"/>
                <w:szCs w:val="18"/>
              </w:rPr>
              <w:t>Nociones de pruebas de software: pruebas unitarias, de integración y de aceptación del usuario</w:t>
            </w:r>
          </w:p>
          <w:p w14:paraId="791B4007" w14:textId="77777777" w:rsidR="00990B14" w:rsidRDefault="00000000">
            <w:pPr>
              <w:numPr>
                <w:ilvl w:val="0"/>
                <w:numId w:val="139"/>
              </w:numPr>
              <w:spacing w:before="10" w:after="10"/>
              <w:jc w:val="both"/>
            </w:pPr>
            <w:r>
              <w:rPr>
                <w:sz w:val="18"/>
                <w:szCs w:val="18"/>
              </w:rPr>
              <w:t>Nociones de análisis del macroentorno con la herramienta PESTEL.</w:t>
            </w:r>
          </w:p>
          <w:p w14:paraId="2574367E" w14:textId="77777777" w:rsidR="00990B14" w:rsidRDefault="00000000">
            <w:pPr>
              <w:numPr>
                <w:ilvl w:val="0"/>
                <w:numId w:val="139"/>
              </w:numPr>
              <w:spacing w:before="10" w:after="10"/>
              <w:jc w:val="both"/>
            </w:pPr>
            <w:r>
              <w:rPr>
                <w:sz w:val="18"/>
                <w:szCs w:val="18"/>
              </w:rPr>
              <w:t>Nociones de comparación referencial con empresas del mismo sector.</w:t>
            </w:r>
          </w:p>
        </w:tc>
      </w:tr>
      <w:tr w:rsidR="00990B14" w14:paraId="2BD8BB0B" w14:textId="77777777">
        <w:trPr>
          <w:cantSplit/>
          <w:jc w:val="center"/>
        </w:trPr>
        <w:tc>
          <w:tcPr>
            <w:tcW w:w="9405" w:type="dxa"/>
            <w:gridSpan w:val="13"/>
            <w:shd w:val="clear" w:color="auto" w:fill="D9E2F3"/>
            <w:vAlign w:val="center"/>
          </w:tcPr>
          <w:p w14:paraId="28A3B80E" w14:textId="77777777" w:rsidR="00990B14" w:rsidRDefault="00000000">
            <w:pPr>
              <w:spacing w:before="20" w:after="20"/>
              <w:jc w:val="both"/>
            </w:pPr>
            <w:r>
              <w:rPr>
                <w:b/>
                <w:bCs/>
                <w:i/>
                <w:iCs/>
                <w:sz w:val="18"/>
                <w:szCs w:val="18"/>
              </w:rPr>
              <w:t xml:space="preserve">Elemento de competencia 3: </w:t>
            </w:r>
            <w:r>
              <w:rPr>
                <w:sz w:val="18"/>
                <w:szCs w:val="18"/>
              </w:rPr>
              <w:t>Diseña el sistema de información financiero contable administrativo de una empresa, estructurando el plan de cuentas y los componentes del sistema de información contable integrado conforme a las normas contables vigentes.</w:t>
            </w:r>
          </w:p>
        </w:tc>
      </w:tr>
      <w:tr w:rsidR="00990B14" w14:paraId="34E4FAF6" w14:textId="77777777">
        <w:trPr>
          <w:cantSplit/>
          <w:jc w:val="center"/>
        </w:trPr>
        <w:tc>
          <w:tcPr>
            <w:tcW w:w="3133" w:type="dxa"/>
            <w:gridSpan w:val="4"/>
            <w:shd w:val="clear" w:color="auto" w:fill="4472C4"/>
            <w:vAlign w:val="center"/>
          </w:tcPr>
          <w:p w14:paraId="348C5330"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06602924"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3216EF3E" w14:textId="77777777" w:rsidR="00990B14" w:rsidRDefault="00000000">
            <w:pPr>
              <w:keepNext/>
              <w:spacing w:before="20" w:after="20"/>
              <w:jc w:val="center"/>
            </w:pPr>
            <w:r>
              <w:rPr>
                <w:b/>
                <w:bCs/>
                <w:i/>
                <w:iCs/>
                <w:color w:val="FFFFFF"/>
                <w:sz w:val="18"/>
                <w:szCs w:val="18"/>
              </w:rPr>
              <w:t>Evidencias de producto</w:t>
            </w:r>
          </w:p>
        </w:tc>
      </w:tr>
      <w:tr w:rsidR="00990B14" w14:paraId="7F110E55" w14:textId="77777777">
        <w:trPr>
          <w:cantSplit/>
          <w:jc w:val="center"/>
        </w:trPr>
        <w:tc>
          <w:tcPr>
            <w:tcW w:w="3133" w:type="dxa"/>
            <w:gridSpan w:val="4"/>
            <w:vMerge w:val="restart"/>
            <w:shd w:val="clear" w:color="auto" w:fill="D9E2F3"/>
            <w:vAlign w:val="center"/>
          </w:tcPr>
          <w:p w14:paraId="4F7C7640" w14:textId="77777777" w:rsidR="00990B14" w:rsidRDefault="00000000">
            <w:pPr>
              <w:spacing w:before="20" w:after="20"/>
              <w:jc w:val="both"/>
            </w:pPr>
            <w:r>
              <w:rPr>
                <w:sz w:val="18"/>
                <w:szCs w:val="18"/>
              </w:rPr>
              <w:t>1. Diseña el plan de cuentas de una empresa, codificando sus grupos fundamentales y su apertura analítica conforme a las normas contables y a los requerimientos tributarios.</w:t>
            </w:r>
          </w:p>
        </w:tc>
        <w:tc>
          <w:tcPr>
            <w:tcW w:w="3135" w:type="dxa"/>
            <w:gridSpan w:val="5"/>
            <w:shd w:val="clear" w:color="auto" w:fill="D9E2F3"/>
            <w:vAlign w:val="center"/>
          </w:tcPr>
          <w:p w14:paraId="74D148A4" w14:textId="77777777" w:rsidR="00990B14" w:rsidRDefault="00000000">
            <w:pPr>
              <w:spacing w:before="20" w:after="20"/>
              <w:jc w:val="both"/>
            </w:pPr>
            <w:r>
              <w:rPr>
                <w:sz w:val="18"/>
                <w:szCs w:val="18"/>
              </w:rPr>
              <w:t>1.1 Diseña en aula el plan de cuentas de una empresa con su codificación y sus grupos fundamentales.</w:t>
            </w:r>
          </w:p>
        </w:tc>
        <w:tc>
          <w:tcPr>
            <w:tcW w:w="3137" w:type="dxa"/>
            <w:gridSpan w:val="4"/>
            <w:shd w:val="clear" w:color="auto" w:fill="D9E2F3"/>
            <w:vAlign w:val="center"/>
          </w:tcPr>
          <w:p w14:paraId="1BDCC227" w14:textId="77777777" w:rsidR="00990B14" w:rsidRDefault="00000000">
            <w:pPr>
              <w:spacing w:before="20" w:after="20"/>
              <w:jc w:val="both"/>
            </w:pPr>
            <w:r>
              <w:rPr>
                <w:b/>
                <w:bCs/>
                <w:sz w:val="18"/>
                <w:szCs w:val="18"/>
              </w:rPr>
              <w:t xml:space="preserve">Producto 9: </w:t>
            </w:r>
            <w:r>
              <w:rPr>
                <w:sz w:val="18"/>
                <w:szCs w:val="18"/>
              </w:rPr>
              <w:t>Plan de cuentas codificado de una empresa con sus grupos fundamentales.</w:t>
            </w:r>
          </w:p>
        </w:tc>
      </w:tr>
      <w:tr w:rsidR="00990B14" w14:paraId="130DB7FE" w14:textId="77777777">
        <w:trPr>
          <w:cantSplit/>
          <w:jc w:val="center"/>
        </w:trPr>
        <w:tc>
          <w:tcPr>
            <w:tcW w:w="3133" w:type="dxa"/>
            <w:gridSpan w:val="4"/>
            <w:vMerge/>
            <w:shd w:val="clear" w:color="auto" w:fill="D9E2F3"/>
            <w:vAlign w:val="center"/>
          </w:tcPr>
          <w:p w14:paraId="4C5FCD9C" w14:textId="77777777" w:rsidR="00990B14" w:rsidRDefault="00990B14">
            <w:pPr>
              <w:spacing w:before="20" w:after="20"/>
            </w:pPr>
          </w:p>
        </w:tc>
        <w:tc>
          <w:tcPr>
            <w:tcW w:w="3135" w:type="dxa"/>
            <w:gridSpan w:val="5"/>
            <w:shd w:val="clear" w:color="auto" w:fill="D9E2F3"/>
            <w:vAlign w:val="center"/>
          </w:tcPr>
          <w:p w14:paraId="125FC7E5" w14:textId="77777777" w:rsidR="00990B14" w:rsidRDefault="00000000">
            <w:pPr>
              <w:spacing w:before="20" w:after="20"/>
              <w:jc w:val="both"/>
            </w:pPr>
            <w:r>
              <w:rPr>
                <w:sz w:val="18"/>
                <w:szCs w:val="18"/>
              </w:rPr>
              <w:t>1.2 Estructura en equipo la apertura analítica del plan de cuentas por centro de costo, proyecto y unidad de negocio.</w:t>
            </w:r>
          </w:p>
        </w:tc>
        <w:tc>
          <w:tcPr>
            <w:tcW w:w="3137" w:type="dxa"/>
            <w:gridSpan w:val="4"/>
            <w:shd w:val="clear" w:color="auto" w:fill="D9E2F3"/>
            <w:vAlign w:val="center"/>
          </w:tcPr>
          <w:p w14:paraId="7F845715" w14:textId="77777777" w:rsidR="00990B14" w:rsidRDefault="00000000">
            <w:pPr>
              <w:spacing w:before="20" w:after="20"/>
              <w:jc w:val="both"/>
            </w:pPr>
            <w:r>
              <w:rPr>
                <w:b/>
                <w:bCs/>
                <w:sz w:val="18"/>
                <w:szCs w:val="18"/>
              </w:rPr>
              <w:t xml:space="preserve">Producto 10: </w:t>
            </w:r>
            <w:r>
              <w:rPr>
                <w:sz w:val="18"/>
                <w:szCs w:val="18"/>
              </w:rPr>
              <w:t>Esquema de apertura analítica del plan de cuentas.</w:t>
            </w:r>
          </w:p>
        </w:tc>
      </w:tr>
      <w:tr w:rsidR="00990B14" w14:paraId="296D7A41" w14:textId="77777777">
        <w:trPr>
          <w:cantSplit/>
          <w:jc w:val="center"/>
        </w:trPr>
        <w:tc>
          <w:tcPr>
            <w:tcW w:w="3133" w:type="dxa"/>
            <w:gridSpan w:val="4"/>
            <w:vMerge w:val="restart"/>
            <w:shd w:val="clear" w:color="auto" w:fill="D9E2F3"/>
            <w:vAlign w:val="center"/>
          </w:tcPr>
          <w:p w14:paraId="10584C64" w14:textId="77777777" w:rsidR="00990B14" w:rsidRDefault="00000000">
            <w:pPr>
              <w:spacing w:before="20" w:after="20"/>
              <w:jc w:val="both"/>
            </w:pPr>
            <w:r>
              <w:rPr>
                <w:sz w:val="18"/>
                <w:szCs w:val="18"/>
              </w:rPr>
              <w:t>2. Define los objetivos, la estructura organizacional y las políticas contables del sistema de información contable integrado, evaluando su correspondencia con las necesidades de información.</w:t>
            </w:r>
          </w:p>
        </w:tc>
        <w:tc>
          <w:tcPr>
            <w:tcW w:w="3135" w:type="dxa"/>
            <w:gridSpan w:val="5"/>
            <w:shd w:val="clear" w:color="auto" w:fill="D9E2F3"/>
            <w:vAlign w:val="center"/>
          </w:tcPr>
          <w:p w14:paraId="267745E3" w14:textId="77777777" w:rsidR="00990B14" w:rsidRDefault="00000000">
            <w:pPr>
              <w:spacing w:before="20" w:after="20"/>
              <w:jc w:val="both"/>
            </w:pPr>
            <w:r>
              <w:rPr>
                <w:sz w:val="18"/>
                <w:szCs w:val="18"/>
              </w:rPr>
              <w:t>2.1 Define en equipo la misión, los objetivos y la estructura organizacional del sistema de información contable de un caso práctico.</w:t>
            </w:r>
          </w:p>
        </w:tc>
        <w:tc>
          <w:tcPr>
            <w:tcW w:w="3137" w:type="dxa"/>
            <w:gridSpan w:val="4"/>
            <w:shd w:val="clear" w:color="auto" w:fill="D9E2F3"/>
            <w:vAlign w:val="center"/>
          </w:tcPr>
          <w:p w14:paraId="48C0D9B9" w14:textId="77777777" w:rsidR="00990B14" w:rsidRDefault="00000000">
            <w:pPr>
              <w:spacing w:before="20" w:after="20"/>
              <w:jc w:val="both"/>
            </w:pPr>
            <w:r>
              <w:rPr>
                <w:b/>
                <w:bCs/>
                <w:sz w:val="18"/>
                <w:szCs w:val="18"/>
              </w:rPr>
              <w:t xml:space="preserve">Producto 11: </w:t>
            </w:r>
            <w:r>
              <w:rPr>
                <w:sz w:val="18"/>
                <w:szCs w:val="18"/>
              </w:rPr>
              <w:t>Esquema de los objetivos y la estructura organizacional del sistema de información financiero contable.</w:t>
            </w:r>
          </w:p>
        </w:tc>
      </w:tr>
      <w:tr w:rsidR="00990B14" w14:paraId="69AF8329" w14:textId="77777777">
        <w:trPr>
          <w:cantSplit/>
          <w:jc w:val="center"/>
        </w:trPr>
        <w:tc>
          <w:tcPr>
            <w:tcW w:w="3133" w:type="dxa"/>
            <w:gridSpan w:val="4"/>
            <w:vMerge/>
            <w:shd w:val="clear" w:color="auto" w:fill="D9E2F3"/>
            <w:vAlign w:val="center"/>
          </w:tcPr>
          <w:p w14:paraId="67F7E69A" w14:textId="77777777" w:rsidR="00990B14" w:rsidRDefault="00990B14">
            <w:pPr>
              <w:spacing w:before="20" w:after="20"/>
            </w:pPr>
          </w:p>
        </w:tc>
        <w:tc>
          <w:tcPr>
            <w:tcW w:w="3135" w:type="dxa"/>
            <w:gridSpan w:val="5"/>
            <w:shd w:val="clear" w:color="auto" w:fill="D9E2F3"/>
            <w:vAlign w:val="center"/>
          </w:tcPr>
          <w:p w14:paraId="2C569DBA" w14:textId="77777777" w:rsidR="00990B14" w:rsidRDefault="00000000">
            <w:pPr>
              <w:spacing w:before="20" w:after="20"/>
              <w:jc w:val="both"/>
            </w:pPr>
            <w:r>
              <w:rPr>
                <w:sz w:val="18"/>
                <w:szCs w:val="18"/>
              </w:rPr>
              <w:t>2.2 Redacta en aula las políticas contables de reconocimiento, medición y revelación de los rubros principales de una empresa.</w:t>
            </w:r>
          </w:p>
        </w:tc>
        <w:tc>
          <w:tcPr>
            <w:tcW w:w="3137" w:type="dxa"/>
            <w:gridSpan w:val="4"/>
            <w:shd w:val="clear" w:color="auto" w:fill="D9E2F3"/>
            <w:vAlign w:val="center"/>
          </w:tcPr>
          <w:p w14:paraId="11EDC51C" w14:textId="77777777" w:rsidR="00990B14" w:rsidRDefault="00000000">
            <w:pPr>
              <w:spacing w:before="20" w:after="20"/>
              <w:jc w:val="both"/>
            </w:pPr>
            <w:r>
              <w:rPr>
                <w:b/>
                <w:bCs/>
                <w:sz w:val="18"/>
                <w:szCs w:val="18"/>
              </w:rPr>
              <w:t xml:space="preserve">Producto 12: </w:t>
            </w:r>
            <w:r>
              <w:rPr>
                <w:sz w:val="18"/>
                <w:szCs w:val="18"/>
              </w:rPr>
              <w:t>Documento de políticas contables por rubro.</w:t>
            </w:r>
          </w:p>
        </w:tc>
      </w:tr>
      <w:tr w:rsidR="00990B14" w14:paraId="0EFA56F4" w14:textId="77777777">
        <w:trPr>
          <w:cantSplit/>
          <w:jc w:val="center"/>
        </w:trPr>
        <w:tc>
          <w:tcPr>
            <w:tcW w:w="9405" w:type="dxa"/>
            <w:gridSpan w:val="13"/>
            <w:shd w:val="clear" w:color="auto" w:fill="4472C4"/>
            <w:vAlign w:val="center"/>
          </w:tcPr>
          <w:p w14:paraId="0D479A62" w14:textId="77777777" w:rsidR="00990B14" w:rsidRDefault="00000000">
            <w:pPr>
              <w:keepNext/>
              <w:spacing w:before="20" w:after="20"/>
              <w:jc w:val="center"/>
            </w:pPr>
            <w:r>
              <w:rPr>
                <w:b/>
                <w:bCs/>
                <w:i/>
                <w:iCs/>
                <w:color w:val="FFFFFF"/>
                <w:sz w:val="18"/>
                <w:szCs w:val="18"/>
              </w:rPr>
              <w:t>Evidencias de conocimiento</w:t>
            </w:r>
          </w:p>
        </w:tc>
      </w:tr>
      <w:tr w:rsidR="00990B14" w14:paraId="0B2BF12F" w14:textId="77777777">
        <w:trPr>
          <w:cantSplit/>
          <w:jc w:val="center"/>
        </w:trPr>
        <w:tc>
          <w:tcPr>
            <w:tcW w:w="2349" w:type="dxa"/>
            <w:gridSpan w:val="2"/>
            <w:shd w:val="clear" w:color="auto" w:fill="4472C4"/>
            <w:vAlign w:val="center"/>
          </w:tcPr>
          <w:p w14:paraId="34E68EB5"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0BFD74D9" w14:textId="77777777" w:rsidR="00990B14" w:rsidRDefault="00000000">
            <w:pPr>
              <w:keepNext/>
              <w:spacing w:before="20" w:after="20"/>
              <w:jc w:val="both"/>
            </w:pPr>
            <w:r>
              <w:rPr>
                <w:b/>
                <w:bCs/>
                <w:i/>
                <w:iCs/>
                <w:color w:val="FFFFFF"/>
                <w:sz w:val="18"/>
                <w:szCs w:val="18"/>
              </w:rPr>
              <w:t>Contenidos</w:t>
            </w:r>
          </w:p>
          <w:p w14:paraId="15785A10"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4523D840" w14:textId="77777777" w:rsidR="00990B14" w:rsidRDefault="00000000">
            <w:pPr>
              <w:keepNext/>
              <w:spacing w:before="20" w:after="20"/>
              <w:jc w:val="center"/>
            </w:pPr>
            <w:r>
              <w:rPr>
                <w:b/>
                <w:bCs/>
                <w:i/>
                <w:iCs/>
                <w:color w:val="FFFFFF"/>
                <w:sz w:val="18"/>
                <w:szCs w:val="18"/>
              </w:rPr>
              <w:t>Conocimientos circunstanciales</w:t>
            </w:r>
          </w:p>
        </w:tc>
      </w:tr>
      <w:tr w:rsidR="00990B14" w14:paraId="051AD719" w14:textId="77777777">
        <w:trPr>
          <w:jc w:val="center"/>
        </w:trPr>
        <w:tc>
          <w:tcPr>
            <w:tcW w:w="2349" w:type="dxa"/>
            <w:gridSpan w:val="2"/>
            <w:shd w:val="clear" w:color="auto" w:fill="D9E2F3"/>
          </w:tcPr>
          <w:p w14:paraId="2FD05B10" w14:textId="77777777" w:rsidR="00990B14" w:rsidRDefault="00000000">
            <w:pPr>
              <w:spacing w:before="20" w:after="40"/>
              <w:jc w:val="both"/>
            </w:pPr>
            <w:r>
              <w:rPr>
                <w:sz w:val="18"/>
                <w:szCs w:val="18"/>
              </w:rPr>
              <w:t>Tema 5: Diseño del sistema financiero contable integrado administrativo, estructura contable</w:t>
            </w:r>
          </w:p>
        </w:tc>
        <w:tc>
          <w:tcPr>
            <w:tcW w:w="4304" w:type="dxa"/>
            <w:gridSpan w:val="8"/>
            <w:shd w:val="clear" w:color="auto" w:fill="D9E2F3"/>
          </w:tcPr>
          <w:p w14:paraId="6742371F" w14:textId="77777777" w:rsidR="00990B14" w:rsidRDefault="00000000">
            <w:pPr>
              <w:spacing w:after="40"/>
              <w:jc w:val="both"/>
            </w:pPr>
            <w:r>
              <w:rPr>
                <w:sz w:val="18"/>
                <w:szCs w:val="18"/>
              </w:rPr>
              <w:t>Diseño de un sistema financiero contable y del plan de cuentas: su propósito, las particularidades que debe reunir y los aspectos a considerar en su elaboración. (P, T)</w:t>
            </w:r>
          </w:p>
          <w:p w14:paraId="724996F2" w14:textId="77777777" w:rsidR="00990B14" w:rsidRDefault="00000000">
            <w:pPr>
              <w:spacing w:after="40"/>
              <w:jc w:val="both"/>
            </w:pPr>
            <w:r>
              <w:rPr>
                <w:sz w:val="18"/>
                <w:szCs w:val="18"/>
              </w:rPr>
              <w:t>Codificación del plan de cuentas, su finalidad, los diversos sistemas de planes y los grupos fundamentales de cuentas. (C)</w:t>
            </w:r>
          </w:p>
          <w:p w14:paraId="0C30B755" w14:textId="77777777" w:rsidR="00990B14" w:rsidRDefault="00000000">
            <w:pPr>
              <w:spacing w:after="40"/>
              <w:jc w:val="both"/>
            </w:pPr>
            <w:r>
              <w:rPr>
                <w:sz w:val="18"/>
                <w:szCs w:val="18"/>
              </w:rPr>
              <w:t>Plan de cuentas con apertura analítica por centro de costo, proyecto y unidad de negocio, y su correspondencia con los reportes tributarios exigidos. (C)</w:t>
            </w:r>
          </w:p>
          <w:p w14:paraId="43F5DD45" w14:textId="77777777" w:rsidR="00990B14" w:rsidRDefault="00000000">
            <w:pPr>
              <w:spacing w:after="40"/>
              <w:jc w:val="both"/>
            </w:pPr>
            <w:r>
              <w:rPr>
                <w:sz w:val="18"/>
                <w:szCs w:val="18"/>
              </w:rPr>
              <w:t>Aspectos fundamentales de la contabilidad y las normas contables, y definición de la misión y los objetivos del sistema de información contable integrado. (C)</w:t>
            </w:r>
          </w:p>
          <w:p w14:paraId="4A366C0B" w14:textId="77777777" w:rsidR="00990B14" w:rsidRDefault="00000000">
            <w:pPr>
              <w:spacing w:after="40"/>
              <w:jc w:val="both"/>
            </w:pPr>
            <w:r>
              <w:rPr>
                <w:sz w:val="18"/>
                <w:szCs w:val="18"/>
              </w:rPr>
              <w:t>Diseño de la estructura organizacional para el sistema de información financiero contable y expedición de documentos soporte. (C, P)</w:t>
            </w:r>
          </w:p>
          <w:p w14:paraId="24DBC2E1" w14:textId="77777777" w:rsidR="00990B14" w:rsidRDefault="00000000">
            <w:pPr>
              <w:spacing w:after="40"/>
              <w:jc w:val="both"/>
            </w:pPr>
            <w:r>
              <w:rPr>
                <w:sz w:val="18"/>
                <w:szCs w:val="18"/>
              </w:rPr>
              <w:t>Análisis de la aplicación de las normas contables internacionales y nacionales, y relación de los componentes del sistema de información contable. (C, P)</w:t>
            </w:r>
          </w:p>
          <w:p w14:paraId="1DD00643" w14:textId="77777777" w:rsidR="00990B14" w:rsidRDefault="00000000">
            <w:pPr>
              <w:spacing w:after="40"/>
              <w:jc w:val="both"/>
            </w:pPr>
            <w:r>
              <w:rPr>
                <w:sz w:val="18"/>
                <w:szCs w:val="18"/>
              </w:rPr>
              <w:t>Políticas contables documentadas del sistema: criterios de reconocimiento, medición, baja en cuentas y revelación por rubro. (C, P)</w:t>
            </w:r>
          </w:p>
          <w:p w14:paraId="508CE79E" w14:textId="77777777" w:rsidR="00990B14" w:rsidRDefault="00000000">
            <w:pPr>
              <w:spacing w:after="40"/>
              <w:jc w:val="both"/>
            </w:pPr>
            <w:r>
              <w:rPr>
                <w:sz w:val="18"/>
                <w:szCs w:val="18"/>
              </w:rPr>
              <w:t>Trazabilidad entre el comprobante, el registro contable y el estado financiero como requisito del diseño del plan de cuentas. (P)</w:t>
            </w:r>
          </w:p>
        </w:tc>
        <w:tc>
          <w:tcPr>
            <w:tcW w:w="2752" w:type="dxa"/>
            <w:gridSpan w:val="3"/>
            <w:shd w:val="clear" w:color="auto" w:fill="D9E2F3"/>
          </w:tcPr>
          <w:p w14:paraId="489E89D7" w14:textId="77777777" w:rsidR="00990B14" w:rsidRDefault="00000000">
            <w:pPr>
              <w:numPr>
                <w:ilvl w:val="0"/>
                <w:numId w:val="139"/>
              </w:numPr>
              <w:spacing w:before="10" w:after="10"/>
              <w:jc w:val="both"/>
            </w:pPr>
            <w:r>
              <w:rPr>
                <w:sz w:val="18"/>
                <w:szCs w:val="18"/>
              </w:rPr>
              <w:t>Nociones de diseño de catálogos de datos maestros: clientes, proveedores, productos y centros de costo.</w:t>
            </w:r>
          </w:p>
        </w:tc>
      </w:tr>
      <w:tr w:rsidR="00990B14" w14:paraId="1DB2CEAA" w14:textId="77777777">
        <w:trPr>
          <w:cantSplit/>
          <w:jc w:val="center"/>
        </w:trPr>
        <w:tc>
          <w:tcPr>
            <w:tcW w:w="9405" w:type="dxa"/>
            <w:gridSpan w:val="13"/>
            <w:shd w:val="clear" w:color="auto" w:fill="D9E2F3"/>
            <w:vAlign w:val="center"/>
          </w:tcPr>
          <w:p w14:paraId="71BA9353" w14:textId="77777777" w:rsidR="00990B14" w:rsidRDefault="00000000">
            <w:pPr>
              <w:spacing w:before="20" w:after="20"/>
              <w:jc w:val="both"/>
            </w:pPr>
            <w:r>
              <w:rPr>
                <w:b/>
                <w:bCs/>
                <w:i/>
                <w:iCs/>
                <w:sz w:val="18"/>
                <w:szCs w:val="18"/>
              </w:rPr>
              <w:t xml:space="preserve">Elemento de competencia 4: </w:t>
            </w:r>
            <w:r>
              <w:rPr>
                <w:sz w:val="18"/>
                <w:szCs w:val="18"/>
              </w:rPr>
              <w:t>Diseña el sistema de información financiero contable integrado de una empresa, estructurando sus subsistemas y los procesos de registros contables conforme al mapa de procesos y las políticas contables.</w:t>
            </w:r>
          </w:p>
        </w:tc>
      </w:tr>
      <w:tr w:rsidR="00990B14" w14:paraId="774C3621" w14:textId="77777777">
        <w:trPr>
          <w:cantSplit/>
          <w:jc w:val="center"/>
        </w:trPr>
        <w:tc>
          <w:tcPr>
            <w:tcW w:w="3133" w:type="dxa"/>
            <w:gridSpan w:val="4"/>
            <w:shd w:val="clear" w:color="auto" w:fill="4472C4"/>
            <w:vAlign w:val="center"/>
          </w:tcPr>
          <w:p w14:paraId="6FAF1ECE"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2C3DB6E1"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569D9AE5" w14:textId="77777777" w:rsidR="00990B14" w:rsidRDefault="00000000">
            <w:pPr>
              <w:keepNext/>
              <w:spacing w:before="20" w:after="20"/>
              <w:jc w:val="center"/>
            </w:pPr>
            <w:r>
              <w:rPr>
                <w:b/>
                <w:bCs/>
                <w:i/>
                <w:iCs/>
                <w:color w:val="FFFFFF"/>
                <w:sz w:val="18"/>
                <w:szCs w:val="18"/>
              </w:rPr>
              <w:t>Evidencias de producto</w:t>
            </w:r>
          </w:p>
        </w:tc>
      </w:tr>
      <w:tr w:rsidR="00990B14" w14:paraId="24E678BC" w14:textId="77777777">
        <w:trPr>
          <w:cantSplit/>
          <w:jc w:val="center"/>
        </w:trPr>
        <w:tc>
          <w:tcPr>
            <w:tcW w:w="3133" w:type="dxa"/>
            <w:gridSpan w:val="4"/>
            <w:vMerge w:val="restart"/>
            <w:shd w:val="clear" w:color="auto" w:fill="D9E2F3"/>
            <w:vAlign w:val="center"/>
          </w:tcPr>
          <w:p w14:paraId="41C58241" w14:textId="77777777" w:rsidR="00990B14" w:rsidRDefault="00000000">
            <w:pPr>
              <w:spacing w:before="20" w:after="20"/>
              <w:jc w:val="both"/>
            </w:pPr>
            <w:r>
              <w:rPr>
                <w:sz w:val="18"/>
                <w:szCs w:val="18"/>
              </w:rPr>
              <w:t>1. Diseña los subsistemas del sistema de información financiero contable integrado de una empresa, integrando los procesos de compras, comercialización, activos fijos y nóminas con sus registros contables.</w:t>
            </w:r>
          </w:p>
        </w:tc>
        <w:tc>
          <w:tcPr>
            <w:tcW w:w="3135" w:type="dxa"/>
            <w:gridSpan w:val="5"/>
            <w:shd w:val="clear" w:color="auto" w:fill="D9E2F3"/>
            <w:vAlign w:val="center"/>
          </w:tcPr>
          <w:p w14:paraId="5122D19A" w14:textId="77777777" w:rsidR="00990B14" w:rsidRDefault="00000000">
            <w:pPr>
              <w:spacing w:before="20" w:after="20"/>
              <w:jc w:val="both"/>
            </w:pPr>
            <w:r>
              <w:rPr>
                <w:sz w:val="18"/>
                <w:szCs w:val="18"/>
              </w:rPr>
              <w:t>1.1 Diseña en equipo los subsistemas de compras, ventas y activos fijos de una empresa.</w:t>
            </w:r>
          </w:p>
        </w:tc>
        <w:tc>
          <w:tcPr>
            <w:tcW w:w="3137" w:type="dxa"/>
            <w:gridSpan w:val="4"/>
            <w:shd w:val="clear" w:color="auto" w:fill="D9E2F3"/>
            <w:vAlign w:val="center"/>
          </w:tcPr>
          <w:p w14:paraId="3FCFE08E" w14:textId="77777777" w:rsidR="00990B14" w:rsidRDefault="00000000">
            <w:pPr>
              <w:spacing w:before="20" w:after="20"/>
              <w:jc w:val="both"/>
            </w:pPr>
            <w:r>
              <w:rPr>
                <w:b/>
                <w:bCs/>
                <w:sz w:val="18"/>
                <w:szCs w:val="18"/>
              </w:rPr>
              <w:t xml:space="preserve">Producto 13: </w:t>
            </w:r>
            <w:r>
              <w:rPr>
                <w:sz w:val="18"/>
                <w:szCs w:val="18"/>
              </w:rPr>
              <w:t>Esquema de los subsistemas del sistema de información contable integrado.</w:t>
            </w:r>
          </w:p>
        </w:tc>
      </w:tr>
      <w:tr w:rsidR="00990B14" w14:paraId="19D53CE3" w14:textId="77777777">
        <w:trPr>
          <w:cantSplit/>
          <w:jc w:val="center"/>
        </w:trPr>
        <w:tc>
          <w:tcPr>
            <w:tcW w:w="3133" w:type="dxa"/>
            <w:gridSpan w:val="4"/>
            <w:vMerge/>
            <w:shd w:val="clear" w:color="auto" w:fill="D9E2F3"/>
            <w:vAlign w:val="center"/>
          </w:tcPr>
          <w:p w14:paraId="38B29346" w14:textId="77777777" w:rsidR="00990B14" w:rsidRDefault="00990B14">
            <w:pPr>
              <w:spacing w:before="20" w:after="20"/>
            </w:pPr>
          </w:p>
        </w:tc>
        <w:tc>
          <w:tcPr>
            <w:tcW w:w="3135" w:type="dxa"/>
            <w:gridSpan w:val="5"/>
            <w:shd w:val="clear" w:color="auto" w:fill="D9E2F3"/>
            <w:vAlign w:val="center"/>
          </w:tcPr>
          <w:p w14:paraId="35C8A924" w14:textId="77777777" w:rsidR="00990B14" w:rsidRDefault="00000000">
            <w:pPr>
              <w:spacing w:before="20" w:after="20"/>
              <w:jc w:val="both"/>
            </w:pPr>
            <w:r>
              <w:rPr>
                <w:sz w:val="18"/>
                <w:szCs w:val="18"/>
              </w:rPr>
              <w:t>1.2 Diagrama en aula la integración del subsistema de ventas con la facturación en línea y del subsistema de nóminas con los aportes a la seguridad social.</w:t>
            </w:r>
          </w:p>
        </w:tc>
        <w:tc>
          <w:tcPr>
            <w:tcW w:w="3137" w:type="dxa"/>
            <w:gridSpan w:val="4"/>
            <w:shd w:val="clear" w:color="auto" w:fill="D9E2F3"/>
            <w:vAlign w:val="center"/>
          </w:tcPr>
          <w:p w14:paraId="6E0D9335" w14:textId="77777777" w:rsidR="00990B14" w:rsidRDefault="00000000">
            <w:pPr>
              <w:spacing w:before="20" w:after="20"/>
              <w:jc w:val="both"/>
            </w:pPr>
            <w:r>
              <w:rPr>
                <w:b/>
                <w:bCs/>
                <w:sz w:val="18"/>
                <w:szCs w:val="18"/>
              </w:rPr>
              <w:t xml:space="preserve">Producto 14: </w:t>
            </w:r>
            <w:r>
              <w:rPr>
                <w:sz w:val="18"/>
                <w:szCs w:val="18"/>
              </w:rPr>
              <w:t>Diagrama de integración de los subsistemas de ventas y de nóminas.</w:t>
            </w:r>
          </w:p>
        </w:tc>
      </w:tr>
      <w:tr w:rsidR="00990B14" w14:paraId="4B4F51A1" w14:textId="77777777">
        <w:trPr>
          <w:cantSplit/>
          <w:jc w:val="center"/>
        </w:trPr>
        <w:tc>
          <w:tcPr>
            <w:tcW w:w="3133" w:type="dxa"/>
            <w:gridSpan w:val="4"/>
            <w:vMerge w:val="restart"/>
            <w:shd w:val="clear" w:color="auto" w:fill="D9E2F3"/>
            <w:vAlign w:val="center"/>
          </w:tcPr>
          <w:p w14:paraId="248D81D8" w14:textId="77777777" w:rsidR="00990B14" w:rsidRDefault="00000000">
            <w:pPr>
              <w:spacing w:before="20" w:after="20"/>
              <w:jc w:val="both"/>
            </w:pPr>
            <w:r>
              <w:rPr>
                <w:sz w:val="18"/>
                <w:szCs w:val="18"/>
              </w:rPr>
              <w:t>2. Elabora el mapa de procesos y el manual contable del sistema de información contable integrado, evaluando la integridad del flujo de información y los controles de aplicación.</w:t>
            </w:r>
          </w:p>
        </w:tc>
        <w:tc>
          <w:tcPr>
            <w:tcW w:w="3135" w:type="dxa"/>
            <w:gridSpan w:val="5"/>
            <w:shd w:val="clear" w:color="auto" w:fill="D9E2F3"/>
            <w:vAlign w:val="center"/>
          </w:tcPr>
          <w:p w14:paraId="63BB09D8" w14:textId="77777777" w:rsidR="00990B14" w:rsidRDefault="00000000">
            <w:pPr>
              <w:spacing w:before="20" w:after="20"/>
              <w:jc w:val="both"/>
            </w:pPr>
            <w:r>
              <w:rPr>
                <w:sz w:val="18"/>
                <w:szCs w:val="18"/>
              </w:rPr>
              <w:t>2.1 Elabora en aula el mapa de procesos conceptual del sistema de información contable integrado de un caso práctico.</w:t>
            </w:r>
          </w:p>
        </w:tc>
        <w:tc>
          <w:tcPr>
            <w:tcW w:w="3137" w:type="dxa"/>
            <w:gridSpan w:val="4"/>
            <w:shd w:val="clear" w:color="auto" w:fill="D9E2F3"/>
            <w:vAlign w:val="center"/>
          </w:tcPr>
          <w:p w14:paraId="19757D29" w14:textId="77777777" w:rsidR="00990B14" w:rsidRDefault="00000000">
            <w:pPr>
              <w:spacing w:before="20" w:after="20"/>
              <w:jc w:val="both"/>
            </w:pPr>
            <w:r>
              <w:rPr>
                <w:b/>
                <w:bCs/>
                <w:sz w:val="18"/>
                <w:szCs w:val="18"/>
              </w:rPr>
              <w:t xml:space="preserve">Producto 15: </w:t>
            </w:r>
            <w:r>
              <w:rPr>
                <w:sz w:val="18"/>
                <w:szCs w:val="18"/>
              </w:rPr>
              <w:t>Mapa de procesos conceptual del sistema de información contable integrado.</w:t>
            </w:r>
          </w:p>
        </w:tc>
      </w:tr>
      <w:tr w:rsidR="00990B14" w14:paraId="610C7554" w14:textId="77777777">
        <w:trPr>
          <w:cantSplit/>
          <w:jc w:val="center"/>
        </w:trPr>
        <w:tc>
          <w:tcPr>
            <w:tcW w:w="3133" w:type="dxa"/>
            <w:gridSpan w:val="4"/>
            <w:vMerge/>
            <w:shd w:val="clear" w:color="auto" w:fill="D9E2F3"/>
            <w:vAlign w:val="center"/>
          </w:tcPr>
          <w:p w14:paraId="3CFB6F1F" w14:textId="77777777" w:rsidR="00990B14" w:rsidRDefault="00990B14">
            <w:pPr>
              <w:spacing w:before="20" w:after="20"/>
            </w:pPr>
          </w:p>
        </w:tc>
        <w:tc>
          <w:tcPr>
            <w:tcW w:w="3135" w:type="dxa"/>
            <w:gridSpan w:val="5"/>
            <w:shd w:val="clear" w:color="auto" w:fill="D9E2F3"/>
            <w:vAlign w:val="center"/>
          </w:tcPr>
          <w:p w14:paraId="14E2C5BE" w14:textId="77777777" w:rsidR="00990B14" w:rsidRDefault="00000000">
            <w:pPr>
              <w:spacing w:before="20" w:after="20"/>
              <w:jc w:val="both"/>
            </w:pPr>
            <w:r>
              <w:rPr>
                <w:sz w:val="18"/>
                <w:szCs w:val="18"/>
              </w:rPr>
              <w:t>2.2 Define en equipo los informes, los indicadores y los controles de aplicación que genera el sistema contable integrado.</w:t>
            </w:r>
          </w:p>
        </w:tc>
        <w:tc>
          <w:tcPr>
            <w:tcW w:w="3137" w:type="dxa"/>
            <w:gridSpan w:val="4"/>
            <w:shd w:val="clear" w:color="auto" w:fill="D9E2F3"/>
            <w:vAlign w:val="center"/>
          </w:tcPr>
          <w:p w14:paraId="5AC8B674" w14:textId="77777777" w:rsidR="00990B14" w:rsidRDefault="00000000">
            <w:pPr>
              <w:spacing w:before="20" w:after="20"/>
              <w:jc w:val="both"/>
            </w:pPr>
            <w:r>
              <w:rPr>
                <w:b/>
                <w:bCs/>
                <w:sz w:val="18"/>
                <w:szCs w:val="18"/>
              </w:rPr>
              <w:t xml:space="preserve">Producto 16: </w:t>
            </w:r>
            <w:r>
              <w:rPr>
                <w:sz w:val="18"/>
                <w:szCs w:val="18"/>
              </w:rPr>
              <w:t>Manual contable con los informes, los indicadores y los controles de aplicación del sistema.</w:t>
            </w:r>
          </w:p>
        </w:tc>
      </w:tr>
      <w:tr w:rsidR="00990B14" w14:paraId="6A9F7C0A" w14:textId="77777777">
        <w:trPr>
          <w:cantSplit/>
          <w:jc w:val="center"/>
        </w:trPr>
        <w:tc>
          <w:tcPr>
            <w:tcW w:w="9405" w:type="dxa"/>
            <w:gridSpan w:val="13"/>
            <w:shd w:val="clear" w:color="auto" w:fill="4472C4"/>
            <w:vAlign w:val="center"/>
          </w:tcPr>
          <w:p w14:paraId="35FDF4A7" w14:textId="77777777" w:rsidR="00990B14" w:rsidRDefault="00000000">
            <w:pPr>
              <w:keepNext/>
              <w:spacing w:before="20" w:after="20"/>
              <w:jc w:val="center"/>
            </w:pPr>
            <w:r>
              <w:rPr>
                <w:b/>
                <w:bCs/>
                <w:i/>
                <w:iCs/>
                <w:color w:val="FFFFFF"/>
                <w:sz w:val="18"/>
                <w:szCs w:val="18"/>
              </w:rPr>
              <w:t>Evidencias de conocimiento</w:t>
            </w:r>
          </w:p>
        </w:tc>
      </w:tr>
      <w:tr w:rsidR="00990B14" w14:paraId="559190ED" w14:textId="77777777">
        <w:trPr>
          <w:cantSplit/>
          <w:jc w:val="center"/>
        </w:trPr>
        <w:tc>
          <w:tcPr>
            <w:tcW w:w="2349" w:type="dxa"/>
            <w:gridSpan w:val="2"/>
            <w:shd w:val="clear" w:color="auto" w:fill="4472C4"/>
            <w:vAlign w:val="center"/>
          </w:tcPr>
          <w:p w14:paraId="03666F84"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0BD0D34D" w14:textId="77777777" w:rsidR="00990B14" w:rsidRDefault="00000000">
            <w:pPr>
              <w:keepNext/>
              <w:spacing w:before="20" w:after="20"/>
              <w:jc w:val="both"/>
            </w:pPr>
            <w:r>
              <w:rPr>
                <w:b/>
                <w:bCs/>
                <w:i/>
                <w:iCs/>
                <w:color w:val="FFFFFF"/>
                <w:sz w:val="18"/>
                <w:szCs w:val="18"/>
              </w:rPr>
              <w:t>Contenidos</w:t>
            </w:r>
          </w:p>
          <w:p w14:paraId="6546FB3A"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6F20BA22" w14:textId="77777777" w:rsidR="00990B14" w:rsidRDefault="00000000">
            <w:pPr>
              <w:keepNext/>
              <w:spacing w:before="20" w:after="20"/>
              <w:jc w:val="center"/>
            </w:pPr>
            <w:r>
              <w:rPr>
                <w:b/>
                <w:bCs/>
                <w:i/>
                <w:iCs/>
                <w:color w:val="FFFFFF"/>
                <w:sz w:val="18"/>
                <w:szCs w:val="18"/>
              </w:rPr>
              <w:t>Conocimientos circunstanciales</w:t>
            </w:r>
          </w:p>
        </w:tc>
      </w:tr>
      <w:tr w:rsidR="00990B14" w14:paraId="1EFECDB1" w14:textId="77777777">
        <w:trPr>
          <w:jc w:val="center"/>
        </w:trPr>
        <w:tc>
          <w:tcPr>
            <w:tcW w:w="2349" w:type="dxa"/>
            <w:gridSpan w:val="2"/>
            <w:shd w:val="clear" w:color="auto" w:fill="D9E2F3"/>
          </w:tcPr>
          <w:p w14:paraId="4C71C790" w14:textId="77777777" w:rsidR="00990B14" w:rsidRDefault="00000000">
            <w:pPr>
              <w:spacing w:before="20" w:after="40"/>
              <w:jc w:val="both"/>
            </w:pPr>
            <w:r>
              <w:rPr>
                <w:sz w:val="18"/>
                <w:szCs w:val="18"/>
              </w:rPr>
              <w:t>Tema 6: Diseño del sistema financiero contable administrativo de los ciclos transaccionales.</w:t>
            </w:r>
          </w:p>
          <w:p w14:paraId="4401B5A1" w14:textId="77777777" w:rsidR="00990B14" w:rsidRDefault="00000000">
            <w:pPr>
              <w:spacing w:before="20" w:after="40"/>
              <w:jc w:val="both"/>
            </w:pPr>
            <w:r>
              <w:rPr>
                <w:sz w:val="18"/>
                <w:szCs w:val="18"/>
              </w:rPr>
              <w:t>Tema 7: Diseño del sistema de información financiero contable integrado (SCI).</w:t>
            </w:r>
          </w:p>
        </w:tc>
        <w:tc>
          <w:tcPr>
            <w:tcW w:w="4304" w:type="dxa"/>
            <w:gridSpan w:val="8"/>
            <w:shd w:val="clear" w:color="auto" w:fill="D9E2F3"/>
          </w:tcPr>
          <w:p w14:paraId="10A1C4EC" w14:textId="77777777" w:rsidR="00990B14" w:rsidRDefault="00000000">
            <w:pPr>
              <w:spacing w:after="40"/>
              <w:jc w:val="both"/>
            </w:pPr>
            <w:r>
              <w:rPr>
                <w:sz w:val="18"/>
                <w:szCs w:val="18"/>
              </w:rPr>
              <w:t>Pasos de los procesos y procedimientos contables: captación de documentos, control de los documentos y análisis de los datos. (P)</w:t>
            </w:r>
          </w:p>
          <w:p w14:paraId="290C46A3" w14:textId="77777777" w:rsidR="00990B14" w:rsidRDefault="00000000">
            <w:pPr>
              <w:spacing w:after="40"/>
              <w:jc w:val="both"/>
            </w:pPr>
            <w:r>
              <w:rPr>
                <w:sz w:val="18"/>
                <w:szCs w:val="18"/>
              </w:rPr>
              <w:t>Sistemas centralizados o integrales y sistemas descentralizados o sectoriales, con los comprobantes de diario, de traspasos y otros comprobantes. (P)</w:t>
            </w:r>
          </w:p>
          <w:p w14:paraId="56FE97D5" w14:textId="77777777" w:rsidR="00990B14" w:rsidRDefault="00000000">
            <w:pPr>
              <w:spacing w:after="40"/>
              <w:jc w:val="both"/>
            </w:pPr>
            <w:r>
              <w:rPr>
                <w:sz w:val="18"/>
                <w:szCs w:val="18"/>
              </w:rPr>
              <w:t>Subsistemas de compras y costos, almacenes, cajas y bancos, y acreedores y proveedores. (C)</w:t>
            </w:r>
          </w:p>
          <w:p w14:paraId="00139E33" w14:textId="77777777" w:rsidR="00990B14" w:rsidRDefault="00000000">
            <w:pPr>
              <w:spacing w:after="40"/>
              <w:jc w:val="both"/>
            </w:pPr>
            <w:r>
              <w:rPr>
                <w:sz w:val="18"/>
                <w:szCs w:val="18"/>
              </w:rPr>
              <w:t>Subsistemas de comercialización, ventas y costos, cajas y bancos, y clientes y deudores. (C)</w:t>
            </w:r>
          </w:p>
          <w:p w14:paraId="0BA8B983" w14:textId="77777777" w:rsidR="00990B14" w:rsidRDefault="00000000">
            <w:pPr>
              <w:spacing w:after="40"/>
              <w:jc w:val="both"/>
            </w:pPr>
            <w:r>
              <w:rPr>
                <w:sz w:val="18"/>
                <w:szCs w:val="18"/>
              </w:rPr>
              <w:t>Subsistemas de activos fijos, inversiones y otros activos, nóminas o planillas, y presupuestos y programas. (C)</w:t>
            </w:r>
          </w:p>
          <w:p w14:paraId="62E185CB" w14:textId="77777777" w:rsidR="00990B14" w:rsidRDefault="00000000">
            <w:pPr>
              <w:spacing w:after="40"/>
              <w:jc w:val="both"/>
            </w:pPr>
            <w:r>
              <w:rPr>
                <w:sz w:val="18"/>
                <w:szCs w:val="18"/>
              </w:rPr>
              <w:t>Integración del subsistema de ventas con la facturación en línea y del subsistema de nóminas con los aportes a la seguridad social. (C, T)</w:t>
            </w:r>
          </w:p>
          <w:p w14:paraId="00D6B4E1" w14:textId="77777777" w:rsidR="00990B14" w:rsidRDefault="00000000">
            <w:pPr>
              <w:spacing w:after="40"/>
              <w:jc w:val="both"/>
            </w:pPr>
            <w:r>
              <w:rPr>
                <w:sz w:val="18"/>
                <w:szCs w:val="18"/>
              </w:rPr>
              <w:t>Diseño conceptual del Sistema de Información Contable Integrado y su mapa de procesos conceptual, con sus políticas contables. (P)</w:t>
            </w:r>
          </w:p>
          <w:p w14:paraId="47E5CDDD" w14:textId="77777777" w:rsidR="00990B14" w:rsidRDefault="00000000">
            <w:pPr>
              <w:spacing w:after="40"/>
              <w:jc w:val="both"/>
            </w:pPr>
            <w:r>
              <w:rPr>
                <w:sz w:val="18"/>
                <w:szCs w:val="18"/>
              </w:rPr>
              <w:t>Identificación de los datos de entrada requeridos por el sistema y de los procesos y procedimientos financiero-contables. (P)</w:t>
            </w:r>
          </w:p>
          <w:p w14:paraId="561784FB" w14:textId="77777777" w:rsidR="00990B14" w:rsidRDefault="00000000">
            <w:pPr>
              <w:spacing w:after="40"/>
              <w:jc w:val="both"/>
            </w:pPr>
            <w:r>
              <w:rPr>
                <w:sz w:val="18"/>
                <w:szCs w:val="18"/>
              </w:rPr>
              <w:t>Descripción de las cuentas: su reconocimiento, valuación y exposición, con los diversos planes y los grupos fundamentales de cuentas. (C, P)</w:t>
            </w:r>
          </w:p>
          <w:p w14:paraId="5F55737D" w14:textId="77777777" w:rsidR="00990B14" w:rsidRDefault="00000000">
            <w:pPr>
              <w:spacing w:after="40"/>
              <w:jc w:val="both"/>
            </w:pPr>
            <w:r>
              <w:rPr>
                <w:sz w:val="18"/>
                <w:szCs w:val="18"/>
              </w:rPr>
              <w:t>Informes financieros y contables que genera el sistema, información gerencial e indicadores estratégicos financieros, y el manual contable. (C)</w:t>
            </w:r>
          </w:p>
          <w:p w14:paraId="6C3C683C" w14:textId="77777777" w:rsidR="00990B14" w:rsidRDefault="00000000">
            <w:pPr>
              <w:spacing w:after="40"/>
              <w:jc w:val="both"/>
            </w:pPr>
            <w:r>
              <w:rPr>
                <w:sz w:val="18"/>
                <w:szCs w:val="18"/>
              </w:rPr>
              <w:t>Los recursos financieros y materiales necesarios para el sistema de información contable. (C)</w:t>
            </w:r>
          </w:p>
          <w:p w14:paraId="6477C03A" w14:textId="77777777" w:rsidR="00990B14" w:rsidRDefault="00000000">
            <w:pPr>
              <w:spacing w:after="40"/>
              <w:jc w:val="both"/>
            </w:pPr>
            <w:r>
              <w:rPr>
                <w:sz w:val="18"/>
                <w:szCs w:val="18"/>
              </w:rPr>
              <w:t>Tableros de control e indicadores generados por el sistema: periodicidad, responsable y fuente de cada indicador. (C)</w:t>
            </w:r>
          </w:p>
          <w:p w14:paraId="611669C7" w14:textId="77777777" w:rsidR="00990B14" w:rsidRDefault="00000000">
            <w:pPr>
              <w:spacing w:after="40"/>
              <w:jc w:val="both"/>
            </w:pPr>
            <w:r>
              <w:rPr>
                <w:sz w:val="18"/>
                <w:szCs w:val="18"/>
              </w:rPr>
              <w:t>Controles de aplicación del sistema: validaciones de entrada, campos obligatorios, cierres de periodo y pistas de auditoría. (P)</w:t>
            </w:r>
          </w:p>
        </w:tc>
        <w:tc>
          <w:tcPr>
            <w:tcW w:w="2752" w:type="dxa"/>
            <w:gridSpan w:val="3"/>
            <w:shd w:val="clear" w:color="auto" w:fill="D9E2F3"/>
          </w:tcPr>
          <w:p w14:paraId="33E4E909" w14:textId="77777777" w:rsidR="00990B14" w:rsidRDefault="00000000">
            <w:pPr>
              <w:numPr>
                <w:ilvl w:val="0"/>
                <w:numId w:val="139"/>
              </w:numPr>
              <w:spacing w:before="10" w:after="10"/>
              <w:jc w:val="both"/>
            </w:pPr>
            <w:r>
              <w:rPr>
                <w:sz w:val="18"/>
                <w:szCs w:val="18"/>
              </w:rPr>
              <w:t>Nociones de interfaces de programación de aplicaciones para el intercambio de datos entre sistemas.</w:t>
            </w:r>
          </w:p>
          <w:p w14:paraId="6FCCCDC4" w14:textId="77777777" w:rsidR="00990B14" w:rsidRDefault="00000000">
            <w:pPr>
              <w:numPr>
                <w:ilvl w:val="0"/>
                <w:numId w:val="139"/>
              </w:numPr>
              <w:spacing w:before="10" w:after="10"/>
              <w:jc w:val="both"/>
            </w:pPr>
            <w:r>
              <w:rPr>
                <w:sz w:val="18"/>
                <w:szCs w:val="18"/>
              </w:rPr>
              <w:t>Nociones de diagramas de casos de uso para describir la interacción del usuario con el sistema.</w:t>
            </w:r>
          </w:p>
        </w:tc>
      </w:tr>
      <w:tr w:rsidR="00990B14" w14:paraId="35F4182B" w14:textId="77777777">
        <w:trPr>
          <w:cantSplit/>
          <w:jc w:val="center"/>
        </w:trPr>
        <w:tc>
          <w:tcPr>
            <w:tcW w:w="9405" w:type="dxa"/>
            <w:gridSpan w:val="13"/>
            <w:shd w:val="clear" w:color="auto" w:fill="D9E2F3"/>
            <w:vAlign w:val="center"/>
          </w:tcPr>
          <w:p w14:paraId="3025D1F3" w14:textId="77777777" w:rsidR="00990B14" w:rsidRDefault="00000000">
            <w:pPr>
              <w:spacing w:before="20" w:after="20"/>
              <w:jc w:val="both"/>
            </w:pPr>
            <w:r>
              <w:rPr>
                <w:b/>
                <w:bCs/>
                <w:i/>
                <w:iCs/>
                <w:sz w:val="18"/>
                <w:szCs w:val="18"/>
              </w:rPr>
              <w:t xml:space="preserve">Elemento de competencia 5: </w:t>
            </w:r>
            <w:r>
              <w:rPr>
                <w:sz w:val="18"/>
                <w:szCs w:val="18"/>
              </w:rPr>
              <w:t>Diseña el sistema de control interno de una empresa, evaluando los riesgos de los ciclos transaccionales conforme a los principios de control interno vigentes y la documentación interna del sistema contable integrado, estructurando manuales, reglamentos, guías e instructivos conforme a la metodología de elaboración de documentos.</w:t>
            </w:r>
          </w:p>
        </w:tc>
      </w:tr>
      <w:tr w:rsidR="00990B14" w14:paraId="4FFB5450" w14:textId="77777777">
        <w:trPr>
          <w:cantSplit/>
          <w:jc w:val="center"/>
        </w:trPr>
        <w:tc>
          <w:tcPr>
            <w:tcW w:w="3133" w:type="dxa"/>
            <w:gridSpan w:val="4"/>
            <w:shd w:val="clear" w:color="auto" w:fill="4472C4"/>
            <w:vAlign w:val="center"/>
          </w:tcPr>
          <w:p w14:paraId="704FE8A2"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449C85D6"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43C74DAA" w14:textId="77777777" w:rsidR="00990B14" w:rsidRDefault="00000000">
            <w:pPr>
              <w:keepNext/>
              <w:spacing w:before="20" w:after="20"/>
              <w:jc w:val="center"/>
            </w:pPr>
            <w:r>
              <w:rPr>
                <w:b/>
                <w:bCs/>
                <w:i/>
                <w:iCs/>
                <w:color w:val="FFFFFF"/>
                <w:sz w:val="18"/>
                <w:szCs w:val="18"/>
              </w:rPr>
              <w:t>Evidencias de producto</w:t>
            </w:r>
          </w:p>
        </w:tc>
      </w:tr>
      <w:tr w:rsidR="00990B14" w14:paraId="6AA60D9D" w14:textId="77777777">
        <w:trPr>
          <w:cantSplit/>
          <w:jc w:val="center"/>
        </w:trPr>
        <w:tc>
          <w:tcPr>
            <w:tcW w:w="3133" w:type="dxa"/>
            <w:gridSpan w:val="4"/>
            <w:vMerge w:val="restart"/>
            <w:shd w:val="clear" w:color="auto" w:fill="D9E2F3"/>
            <w:vAlign w:val="center"/>
          </w:tcPr>
          <w:p w14:paraId="77DE6DEE" w14:textId="77777777" w:rsidR="00990B14" w:rsidRDefault="00000000">
            <w:pPr>
              <w:spacing w:before="20" w:after="20"/>
              <w:jc w:val="both"/>
            </w:pPr>
            <w:r>
              <w:rPr>
                <w:sz w:val="18"/>
                <w:szCs w:val="18"/>
              </w:rPr>
              <w:t>1. Elabora el manual contable de una empresa, estructurando sus contenidos mínimos y la jerarquía de los documentos internos conforme a una metodología de elaboración de documentos.</w:t>
            </w:r>
          </w:p>
        </w:tc>
        <w:tc>
          <w:tcPr>
            <w:tcW w:w="3135" w:type="dxa"/>
            <w:gridSpan w:val="5"/>
            <w:shd w:val="clear" w:color="auto" w:fill="D9E2F3"/>
            <w:vAlign w:val="center"/>
          </w:tcPr>
          <w:p w14:paraId="2B2C40BE" w14:textId="77777777" w:rsidR="00990B14" w:rsidRDefault="00000000">
            <w:pPr>
              <w:spacing w:before="20" w:after="20"/>
              <w:jc w:val="both"/>
            </w:pPr>
            <w:r>
              <w:rPr>
                <w:sz w:val="18"/>
                <w:szCs w:val="18"/>
              </w:rPr>
              <w:t>1.1 Elabora en equipo un manual contable de una empresa con sus contenidos mínimos.</w:t>
            </w:r>
          </w:p>
        </w:tc>
        <w:tc>
          <w:tcPr>
            <w:tcW w:w="3137" w:type="dxa"/>
            <w:gridSpan w:val="4"/>
            <w:shd w:val="clear" w:color="auto" w:fill="D9E2F3"/>
            <w:vAlign w:val="center"/>
          </w:tcPr>
          <w:p w14:paraId="5BBC8779" w14:textId="77777777" w:rsidR="00990B14" w:rsidRDefault="00000000">
            <w:pPr>
              <w:spacing w:before="20" w:after="20"/>
              <w:jc w:val="both"/>
            </w:pPr>
            <w:r>
              <w:rPr>
                <w:b/>
                <w:bCs/>
                <w:sz w:val="18"/>
                <w:szCs w:val="18"/>
              </w:rPr>
              <w:t xml:space="preserve">Producto 17: </w:t>
            </w:r>
            <w:r>
              <w:rPr>
                <w:sz w:val="18"/>
                <w:szCs w:val="18"/>
              </w:rPr>
              <w:t>Manual contable de una empresa con su jerarquía de documentos.</w:t>
            </w:r>
          </w:p>
        </w:tc>
      </w:tr>
      <w:tr w:rsidR="00990B14" w14:paraId="39487DD3" w14:textId="77777777">
        <w:trPr>
          <w:cantSplit/>
          <w:jc w:val="center"/>
        </w:trPr>
        <w:tc>
          <w:tcPr>
            <w:tcW w:w="3133" w:type="dxa"/>
            <w:gridSpan w:val="4"/>
            <w:vMerge/>
            <w:shd w:val="clear" w:color="auto" w:fill="D9E2F3"/>
            <w:vAlign w:val="center"/>
          </w:tcPr>
          <w:p w14:paraId="7F652602" w14:textId="77777777" w:rsidR="00990B14" w:rsidRDefault="00990B14">
            <w:pPr>
              <w:spacing w:before="20" w:after="20"/>
            </w:pPr>
          </w:p>
        </w:tc>
        <w:tc>
          <w:tcPr>
            <w:tcW w:w="3135" w:type="dxa"/>
            <w:gridSpan w:val="5"/>
            <w:shd w:val="clear" w:color="auto" w:fill="D9E2F3"/>
            <w:vAlign w:val="center"/>
          </w:tcPr>
          <w:p w14:paraId="66702318" w14:textId="77777777" w:rsidR="00990B14" w:rsidRDefault="00000000">
            <w:pPr>
              <w:spacing w:before="20" w:after="20"/>
              <w:jc w:val="both"/>
            </w:pPr>
            <w:r>
              <w:rPr>
                <w:sz w:val="18"/>
                <w:szCs w:val="18"/>
              </w:rPr>
              <w:t>1.2 Estructura en aula una guía o instructivo de un proceso contable de un caso práctico.</w:t>
            </w:r>
          </w:p>
        </w:tc>
        <w:tc>
          <w:tcPr>
            <w:tcW w:w="3137" w:type="dxa"/>
            <w:gridSpan w:val="4"/>
            <w:shd w:val="clear" w:color="auto" w:fill="D9E2F3"/>
            <w:vAlign w:val="center"/>
          </w:tcPr>
          <w:p w14:paraId="76FF4009" w14:textId="77777777" w:rsidR="00990B14" w:rsidRDefault="00000000">
            <w:pPr>
              <w:spacing w:before="20" w:after="20"/>
              <w:jc w:val="both"/>
            </w:pPr>
            <w:r>
              <w:rPr>
                <w:b/>
                <w:bCs/>
                <w:sz w:val="18"/>
                <w:szCs w:val="18"/>
              </w:rPr>
              <w:t xml:space="preserve">Producto 18: </w:t>
            </w:r>
            <w:r>
              <w:rPr>
                <w:sz w:val="18"/>
                <w:szCs w:val="18"/>
              </w:rPr>
              <w:t>Guía o instructivo de un proceso contable de una empresa.</w:t>
            </w:r>
          </w:p>
        </w:tc>
      </w:tr>
      <w:tr w:rsidR="00990B14" w14:paraId="56BB7ABA" w14:textId="77777777">
        <w:trPr>
          <w:cantSplit/>
          <w:jc w:val="center"/>
        </w:trPr>
        <w:tc>
          <w:tcPr>
            <w:tcW w:w="3133" w:type="dxa"/>
            <w:gridSpan w:val="4"/>
            <w:vMerge w:val="restart"/>
            <w:shd w:val="clear" w:color="auto" w:fill="D9E2F3"/>
            <w:vAlign w:val="center"/>
          </w:tcPr>
          <w:p w14:paraId="2D0FD880" w14:textId="77777777" w:rsidR="00990B14" w:rsidRDefault="00000000">
            <w:pPr>
              <w:spacing w:before="20" w:after="20"/>
              <w:jc w:val="both"/>
            </w:pPr>
            <w:r>
              <w:rPr>
                <w:sz w:val="18"/>
                <w:szCs w:val="18"/>
              </w:rPr>
              <w:t>2. Diseña el sistema de control interno de los ciclos transaccionales, evaluando sus controles frente a los riesgos identificados y proponiendo medidas de prevención del fraude, incluyendo el control documental de los manuales, reglamentos y políticas del sistema.</w:t>
            </w:r>
          </w:p>
        </w:tc>
        <w:tc>
          <w:tcPr>
            <w:tcW w:w="3135" w:type="dxa"/>
            <w:gridSpan w:val="5"/>
            <w:shd w:val="clear" w:color="auto" w:fill="D9E2F3"/>
            <w:vAlign w:val="center"/>
          </w:tcPr>
          <w:p w14:paraId="53F17FF7" w14:textId="77777777" w:rsidR="00990B14" w:rsidRDefault="00000000">
            <w:pPr>
              <w:spacing w:before="20" w:after="20"/>
              <w:jc w:val="both"/>
            </w:pPr>
            <w:r>
              <w:rPr>
                <w:sz w:val="18"/>
                <w:szCs w:val="18"/>
              </w:rPr>
              <w:t>2.1 Evalúa en equipo el sistema de control interno de un caso práctico con sus métodos y técnicas.</w:t>
            </w:r>
          </w:p>
        </w:tc>
        <w:tc>
          <w:tcPr>
            <w:tcW w:w="3137" w:type="dxa"/>
            <w:gridSpan w:val="4"/>
            <w:shd w:val="clear" w:color="auto" w:fill="D9E2F3"/>
            <w:vAlign w:val="center"/>
          </w:tcPr>
          <w:p w14:paraId="72C6FBEC" w14:textId="77777777" w:rsidR="00990B14" w:rsidRDefault="00000000">
            <w:pPr>
              <w:spacing w:before="20" w:after="20"/>
              <w:jc w:val="both"/>
            </w:pPr>
            <w:r>
              <w:rPr>
                <w:b/>
                <w:bCs/>
                <w:sz w:val="18"/>
                <w:szCs w:val="18"/>
              </w:rPr>
              <w:t xml:space="preserve">Producto 19: </w:t>
            </w:r>
            <w:r>
              <w:rPr>
                <w:sz w:val="18"/>
                <w:szCs w:val="18"/>
              </w:rPr>
              <w:t>Informe de evaluación del sistema de control interno con su diagramación.</w:t>
            </w:r>
          </w:p>
        </w:tc>
      </w:tr>
      <w:tr w:rsidR="00990B14" w14:paraId="30803FB6" w14:textId="77777777">
        <w:trPr>
          <w:cantSplit/>
          <w:jc w:val="center"/>
        </w:trPr>
        <w:tc>
          <w:tcPr>
            <w:tcW w:w="3133" w:type="dxa"/>
            <w:gridSpan w:val="4"/>
            <w:vMerge/>
            <w:shd w:val="clear" w:color="auto" w:fill="D9E2F3"/>
            <w:vAlign w:val="center"/>
          </w:tcPr>
          <w:p w14:paraId="71602448" w14:textId="77777777" w:rsidR="00990B14" w:rsidRDefault="00990B14">
            <w:pPr>
              <w:spacing w:before="20" w:after="20"/>
            </w:pPr>
          </w:p>
        </w:tc>
        <w:tc>
          <w:tcPr>
            <w:tcW w:w="3135" w:type="dxa"/>
            <w:gridSpan w:val="5"/>
            <w:shd w:val="clear" w:color="auto" w:fill="D9E2F3"/>
            <w:vAlign w:val="center"/>
          </w:tcPr>
          <w:p w14:paraId="105CE1E2" w14:textId="77777777" w:rsidR="00990B14" w:rsidRDefault="00000000">
            <w:pPr>
              <w:spacing w:before="20" w:after="20"/>
              <w:jc w:val="both"/>
            </w:pPr>
            <w:r>
              <w:rPr>
                <w:sz w:val="18"/>
                <w:szCs w:val="18"/>
              </w:rPr>
              <w:t>2.2 Diseña en aula la matriz de riesgos y controles de un ciclo transaccional con sus medidas de prevención del fraude.</w:t>
            </w:r>
          </w:p>
        </w:tc>
        <w:tc>
          <w:tcPr>
            <w:tcW w:w="3137" w:type="dxa"/>
            <w:gridSpan w:val="4"/>
            <w:shd w:val="clear" w:color="auto" w:fill="D9E2F3"/>
            <w:vAlign w:val="center"/>
          </w:tcPr>
          <w:p w14:paraId="56525B2A" w14:textId="77777777" w:rsidR="00990B14" w:rsidRDefault="00000000">
            <w:pPr>
              <w:spacing w:before="20" w:after="20"/>
              <w:jc w:val="both"/>
            </w:pPr>
            <w:r>
              <w:rPr>
                <w:b/>
                <w:bCs/>
                <w:sz w:val="18"/>
                <w:szCs w:val="18"/>
              </w:rPr>
              <w:t xml:space="preserve">Producto 20: </w:t>
            </w:r>
            <w:r>
              <w:rPr>
                <w:sz w:val="18"/>
                <w:szCs w:val="18"/>
              </w:rPr>
              <w:t>Matriz de riesgos y controles de un ciclo transaccional.</w:t>
            </w:r>
          </w:p>
        </w:tc>
      </w:tr>
      <w:tr w:rsidR="00990B14" w14:paraId="313D068F" w14:textId="77777777">
        <w:trPr>
          <w:cantSplit/>
          <w:jc w:val="center"/>
        </w:trPr>
        <w:tc>
          <w:tcPr>
            <w:tcW w:w="9405" w:type="dxa"/>
            <w:gridSpan w:val="13"/>
            <w:shd w:val="clear" w:color="auto" w:fill="4472C4"/>
            <w:vAlign w:val="center"/>
          </w:tcPr>
          <w:p w14:paraId="431900B5" w14:textId="77777777" w:rsidR="00990B14" w:rsidRDefault="00000000">
            <w:pPr>
              <w:keepNext/>
              <w:spacing w:before="20" w:after="20"/>
              <w:jc w:val="center"/>
            </w:pPr>
            <w:r>
              <w:rPr>
                <w:b/>
                <w:bCs/>
                <w:i/>
                <w:iCs/>
                <w:color w:val="FFFFFF"/>
                <w:sz w:val="18"/>
                <w:szCs w:val="18"/>
              </w:rPr>
              <w:t>Evidencias de conocimiento</w:t>
            </w:r>
          </w:p>
        </w:tc>
      </w:tr>
      <w:tr w:rsidR="00990B14" w14:paraId="6485DD8A" w14:textId="77777777">
        <w:trPr>
          <w:cantSplit/>
          <w:jc w:val="center"/>
        </w:trPr>
        <w:tc>
          <w:tcPr>
            <w:tcW w:w="2349" w:type="dxa"/>
            <w:gridSpan w:val="2"/>
            <w:shd w:val="clear" w:color="auto" w:fill="4472C4"/>
            <w:vAlign w:val="center"/>
          </w:tcPr>
          <w:p w14:paraId="0D315785"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38F74C4E" w14:textId="77777777" w:rsidR="00990B14" w:rsidRDefault="00000000">
            <w:pPr>
              <w:keepNext/>
              <w:spacing w:before="20" w:after="20"/>
              <w:jc w:val="both"/>
            </w:pPr>
            <w:r>
              <w:rPr>
                <w:b/>
                <w:bCs/>
                <w:i/>
                <w:iCs/>
                <w:color w:val="FFFFFF"/>
                <w:sz w:val="18"/>
                <w:szCs w:val="18"/>
              </w:rPr>
              <w:t>Contenidos</w:t>
            </w:r>
          </w:p>
          <w:p w14:paraId="02370EA7"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1539C6A1" w14:textId="77777777" w:rsidR="00990B14" w:rsidRDefault="00000000">
            <w:pPr>
              <w:keepNext/>
              <w:spacing w:before="20" w:after="20"/>
              <w:jc w:val="center"/>
            </w:pPr>
            <w:r>
              <w:rPr>
                <w:b/>
                <w:bCs/>
                <w:i/>
                <w:iCs/>
                <w:color w:val="FFFFFF"/>
                <w:sz w:val="18"/>
                <w:szCs w:val="18"/>
              </w:rPr>
              <w:t>Conocimientos circunstanciales</w:t>
            </w:r>
          </w:p>
        </w:tc>
      </w:tr>
      <w:tr w:rsidR="00990B14" w14:paraId="4C4D472E" w14:textId="77777777">
        <w:trPr>
          <w:jc w:val="center"/>
        </w:trPr>
        <w:tc>
          <w:tcPr>
            <w:tcW w:w="2349" w:type="dxa"/>
            <w:gridSpan w:val="2"/>
            <w:shd w:val="clear" w:color="auto" w:fill="D9E2F3"/>
          </w:tcPr>
          <w:p w14:paraId="7E90D9CF" w14:textId="77777777" w:rsidR="00990B14" w:rsidRDefault="00000000">
            <w:pPr>
              <w:spacing w:before="20" w:after="40"/>
              <w:jc w:val="both"/>
            </w:pPr>
            <w:r>
              <w:rPr>
                <w:sz w:val="18"/>
                <w:szCs w:val="18"/>
              </w:rPr>
              <w:t>Tema 8: Diseño de sistemas de administración y control</w:t>
            </w:r>
          </w:p>
          <w:p w14:paraId="1600E2DF" w14:textId="77777777" w:rsidR="00990B14" w:rsidRDefault="00000000">
            <w:pPr>
              <w:spacing w:before="20" w:after="40"/>
              <w:jc w:val="both"/>
            </w:pPr>
            <w:r>
              <w:rPr>
                <w:sz w:val="18"/>
                <w:szCs w:val="18"/>
              </w:rPr>
              <w:t>Tema 9: Manuales, reglamentos, guías e instructivos</w:t>
            </w:r>
          </w:p>
        </w:tc>
        <w:tc>
          <w:tcPr>
            <w:tcW w:w="4304" w:type="dxa"/>
            <w:gridSpan w:val="8"/>
            <w:shd w:val="clear" w:color="auto" w:fill="D9E2F3"/>
          </w:tcPr>
          <w:p w14:paraId="3B0C447A" w14:textId="77777777" w:rsidR="00990B14" w:rsidRDefault="00000000">
            <w:pPr>
              <w:spacing w:after="40"/>
              <w:jc w:val="both"/>
            </w:pPr>
            <w:r>
              <w:rPr>
                <w:sz w:val="18"/>
                <w:szCs w:val="18"/>
              </w:rPr>
              <w:t>El sistema de control interno: definición, principios y formas de implementarlo en una empresa. (C)</w:t>
            </w:r>
          </w:p>
          <w:p w14:paraId="60ABD063" w14:textId="77777777" w:rsidR="00990B14" w:rsidRDefault="00000000">
            <w:pPr>
              <w:spacing w:after="40"/>
              <w:jc w:val="both"/>
            </w:pPr>
            <w:r>
              <w:rPr>
                <w:sz w:val="18"/>
                <w:szCs w:val="18"/>
              </w:rPr>
              <w:t>Componentes y principios del control interno del Marco Integrado COSO 2013 y gestión del riesgo empresarial del marco COSO ERM. (C)</w:t>
            </w:r>
          </w:p>
          <w:p w14:paraId="3A665E86" w14:textId="77777777" w:rsidR="00990B14" w:rsidRDefault="00000000">
            <w:pPr>
              <w:spacing w:after="40"/>
              <w:jc w:val="both"/>
            </w:pPr>
            <w:r>
              <w:rPr>
                <w:sz w:val="18"/>
                <w:szCs w:val="18"/>
              </w:rPr>
              <w:t>Ciclos transaccionales y sus funciones, y períodos de los informes financieros: ciclo de adquisición y pago de compras, ciclo de adquisición y pago de nómina, ciclo de tesorería, ciclo de transformación y ciclo de ingresos. (C)</w:t>
            </w:r>
          </w:p>
          <w:p w14:paraId="04451E7D" w14:textId="77777777" w:rsidR="00990B14" w:rsidRDefault="00000000">
            <w:pPr>
              <w:spacing w:after="40"/>
              <w:jc w:val="both"/>
            </w:pPr>
            <w:r>
              <w:rPr>
                <w:sz w:val="18"/>
                <w:szCs w:val="18"/>
              </w:rPr>
              <w:t>Evaluación del sistema de control interno: métodos de evaluación y técnicas de obtención de información. (P)</w:t>
            </w:r>
          </w:p>
          <w:p w14:paraId="6AAF52C9" w14:textId="77777777" w:rsidR="00990B14" w:rsidRDefault="00000000">
            <w:pPr>
              <w:spacing w:after="40"/>
              <w:jc w:val="both"/>
            </w:pPr>
            <w:r>
              <w:rPr>
                <w:sz w:val="18"/>
                <w:szCs w:val="18"/>
              </w:rPr>
              <w:t>Controles generales de tecnología de la información: gestión de accesos, control de cambios en los programas, respaldos y continuidad operativa. (C)</w:t>
            </w:r>
          </w:p>
          <w:p w14:paraId="6307DDC2" w14:textId="77777777" w:rsidR="00990B14" w:rsidRDefault="00000000">
            <w:pPr>
              <w:spacing w:after="40"/>
              <w:jc w:val="both"/>
            </w:pPr>
            <w:r>
              <w:rPr>
                <w:sz w:val="18"/>
                <w:szCs w:val="18"/>
              </w:rPr>
              <w:t>Prevención del fraude en los ciclos transaccionales: segregación de funciones, conciliaciones independientes y canal de denuncias. (C)</w:t>
            </w:r>
          </w:p>
          <w:p w14:paraId="3FD3352B" w14:textId="77777777" w:rsidR="00990B14" w:rsidRDefault="00000000">
            <w:pPr>
              <w:spacing w:after="40"/>
              <w:jc w:val="both"/>
            </w:pPr>
            <w:r>
              <w:rPr>
                <w:sz w:val="18"/>
                <w:szCs w:val="18"/>
              </w:rPr>
              <w:t>Políticas contables, reglamentos internos, manuales, guías e instructivos. (C)</w:t>
            </w:r>
          </w:p>
          <w:p w14:paraId="24AB765C" w14:textId="77777777" w:rsidR="00990B14" w:rsidRDefault="00000000">
            <w:pPr>
              <w:spacing w:after="40"/>
              <w:jc w:val="both"/>
            </w:pPr>
            <w:r>
              <w:rPr>
                <w:sz w:val="18"/>
                <w:szCs w:val="18"/>
              </w:rPr>
              <w:t>Metodología de elaboración de documentos: estructura, contenidos mínimos y modelos. (C, P)</w:t>
            </w:r>
          </w:p>
          <w:p w14:paraId="60E862B0" w14:textId="77777777" w:rsidR="00990B14" w:rsidRDefault="00000000">
            <w:pPr>
              <w:spacing w:after="40"/>
              <w:jc w:val="both"/>
            </w:pPr>
            <w:r>
              <w:rPr>
                <w:sz w:val="18"/>
                <w:szCs w:val="18"/>
              </w:rPr>
              <w:t>Documentación digital del sistema: repositorio único, control de versiones y acceso por perfil de usuario. (P, T)</w:t>
            </w:r>
          </w:p>
        </w:tc>
        <w:tc>
          <w:tcPr>
            <w:tcW w:w="2752" w:type="dxa"/>
            <w:gridSpan w:val="3"/>
            <w:shd w:val="clear" w:color="auto" w:fill="D9E2F3"/>
          </w:tcPr>
          <w:p w14:paraId="4E1EEDC7" w14:textId="77777777" w:rsidR="00990B14" w:rsidRDefault="00000000">
            <w:pPr>
              <w:numPr>
                <w:ilvl w:val="0"/>
                <w:numId w:val="139"/>
              </w:numPr>
              <w:spacing w:before="10" w:after="10"/>
              <w:jc w:val="both"/>
            </w:pPr>
            <w:r>
              <w:rPr>
                <w:sz w:val="18"/>
                <w:szCs w:val="18"/>
              </w:rPr>
              <w:t>Simbología de diagramación de procesos de las normas ASME e ISO 5807.</w:t>
            </w:r>
          </w:p>
          <w:p w14:paraId="1394BE17" w14:textId="77777777" w:rsidR="00990B14" w:rsidRDefault="00000000">
            <w:pPr>
              <w:numPr>
                <w:ilvl w:val="0"/>
                <w:numId w:val="139"/>
              </w:numPr>
              <w:spacing w:before="10" w:after="10"/>
              <w:jc w:val="both"/>
            </w:pPr>
            <w:r>
              <w:rPr>
                <w:sz w:val="18"/>
                <w:szCs w:val="18"/>
              </w:rPr>
              <w:t>Técnicas de redacción normativa: estructura, numeración de artículos y estilo.</w:t>
            </w:r>
          </w:p>
        </w:tc>
      </w:tr>
      <w:tr w:rsidR="00990B14" w14:paraId="4F183234" w14:textId="77777777">
        <w:trPr>
          <w:cantSplit/>
          <w:jc w:val="center"/>
        </w:trPr>
        <w:tc>
          <w:tcPr>
            <w:tcW w:w="9405" w:type="dxa"/>
            <w:gridSpan w:val="13"/>
            <w:shd w:val="clear" w:color="auto" w:fill="D9E2F3"/>
            <w:vAlign w:val="center"/>
          </w:tcPr>
          <w:p w14:paraId="4BB08CD9" w14:textId="77777777" w:rsidR="00990B14" w:rsidRDefault="00000000">
            <w:pPr>
              <w:spacing w:before="20" w:after="20"/>
              <w:jc w:val="both"/>
            </w:pPr>
            <w:r>
              <w:rPr>
                <w:b/>
                <w:bCs/>
                <w:i/>
                <w:iCs/>
                <w:sz w:val="18"/>
                <w:szCs w:val="18"/>
              </w:rPr>
              <w:t xml:space="preserve">Elemento de competencia 6: </w:t>
            </w:r>
            <w:r>
              <w:rPr>
                <w:sz w:val="18"/>
                <w:szCs w:val="18"/>
              </w:rPr>
              <w:t>Explica el Sistema de Información de Administración Financiera, relacionando el Sistema de Contabilidad Integrada con la gestión y las finanzas públicas bolivianas.</w:t>
            </w:r>
          </w:p>
        </w:tc>
      </w:tr>
      <w:tr w:rsidR="00990B14" w14:paraId="5138586C" w14:textId="77777777">
        <w:trPr>
          <w:cantSplit/>
          <w:jc w:val="center"/>
        </w:trPr>
        <w:tc>
          <w:tcPr>
            <w:tcW w:w="3133" w:type="dxa"/>
            <w:gridSpan w:val="4"/>
            <w:shd w:val="clear" w:color="auto" w:fill="4472C4"/>
            <w:vAlign w:val="center"/>
          </w:tcPr>
          <w:p w14:paraId="6E4AD8C4"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486ADC47"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46915A0C" w14:textId="77777777" w:rsidR="00990B14" w:rsidRDefault="00000000">
            <w:pPr>
              <w:keepNext/>
              <w:spacing w:before="20" w:after="20"/>
              <w:jc w:val="center"/>
            </w:pPr>
            <w:r>
              <w:rPr>
                <w:b/>
                <w:bCs/>
                <w:i/>
                <w:iCs/>
                <w:color w:val="FFFFFF"/>
                <w:sz w:val="18"/>
                <w:szCs w:val="18"/>
              </w:rPr>
              <w:t>Evidencias de producto</w:t>
            </w:r>
          </w:p>
        </w:tc>
      </w:tr>
      <w:tr w:rsidR="00990B14" w14:paraId="16935B72" w14:textId="77777777">
        <w:trPr>
          <w:cantSplit/>
          <w:jc w:val="center"/>
        </w:trPr>
        <w:tc>
          <w:tcPr>
            <w:tcW w:w="3133" w:type="dxa"/>
            <w:gridSpan w:val="4"/>
            <w:vMerge w:val="restart"/>
            <w:shd w:val="clear" w:color="auto" w:fill="D9E2F3"/>
            <w:vAlign w:val="center"/>
          </w:tcPr>
          <w:p w14:paraId="79A50DCF" w14:textId="77777777" w:rsidR="00990B14" w:rsidRDefault="00000000">
            <w:pPr>
              <w:spacing w:before="20" w:after="20"/>
              <w:jc w:val="both"/>
            </w:pPr>
            <w:r>
              <w:rPr>
                <w:sz w:val="18"/>
                <w:szCs w:val="18"/>
              </w:rPr>
              <w:t>1. Explica la organización, los procesos y los estados financieros del Sistema de Contabilidad Integrada del modelo de gestión pública de la Ley N.º 1178 y con los módulos del SIGEP.</w:t>
            </w:r>
          </w:p>
        </w:tc>
        <w:tc>
          <w:tcPr>
            <w:tcW w:w="3135" w:type="dxa"/>
            <w:gridSpan w:val="5"/>
            <w:shd w:val="clear" w:color="auto" w:fill="D9E2F3"/>
            <w:vAlign w:val="center"/>
          </w:tcPr>
          <w:p w14:paraId="4C0FB197" w14:textId="77777777" w:rsidR="00990B14" w:rsidRDefault="00000000">
            <w:pPr>
              <w:spacing w:before="20" w:after="20"/>
              <w:jc w:val="both"/>
            </w:pPr>
            <w:r>
              <w:rPr>
                <w:sz w:val="18"/>
                <w:szCs w:val="18"/>
              </w:rPr>
              <w:t>1.1 Expone en equipo la organización y los procesos del Sistema de Contabilidad Integrada gubernamental.</w:t>
            </w:r>
          </w:p>
        </w:tc>
        <w:tc>
          <w:tcPr>
            <w:tcW w:w="3137" w:type="dxa"/>
            <w:gridSpan w:val="4"/>
            <w:shd w:val="clear" w:color="auto" w:fill="D9E2F3"/>
            <w:vAlign w:val="center"/>
          </w:tcPr>
          <w:p w14:paraId="111CBD35" w14:textId="77777777" w:rsidR="00990B14" w:rsidRDefault="00000000">
            <w:pPr>
              <w:spacing w:before="20" w:after="20"/>
              <w:jc w:val="both"/>
            </w:pPr>
            <w:r>
              <w:rPr>
                <w:b/>
                <w:bCs/>
                <w:sz w:val="18"/>
                <w:szCs w:val="18"/>
              </w:rPr>
              <w:t xml:space="preserve">Producto 21: </w:t>
            </w:r>
            <w:r>
              <w:rPr>
                <w:sz w:val="18"/>
                <w:szCs w:val="18"/>
              </w:rPr>
              <w:t>Esquema de la organización y los procesos del Sistema de Contabilidad Integrada.</w:t>
            </w:r>
          </w:p>
        </w:tc>
      </w:tr>
      <w:tr w:rsidR="00990B14" w14:paraId="2CB6F5E5" w14:textId="77777777">
        <w:trPr>
          <w:cantSplit/>
          <w:jc w:val="center"/>
        </w:trPr>
        <w:tc>
          <w:tcPr>
            <w:tcW w:w="3133" w:type="dxa"/>
            <w:gridSpan w:val="4"/>
            <w:vMerge/>
            <w:shd w:val="clear" w:color="auto" w:fill="D9E2F3"/>
            <w:vAlign w:val="center"/>
          </w:tcPr>
          <w:p w14:paraId="2E27D8F1" w14:textId="77777777" w:rsidR="00990B14" w:rsidRDefault="00990B14">
            <w:pPr>
              <w:spacing w:before="20" w:after="20"/>
            </w:pPr>
          </w:p>
        </w:tc>
        <w:tc>
          <w:tcPr>
            <w:tcW w:w="3135" w:type="dxa"/>
            <w:gridSpan w:val="5"/>
            <w:shd w:val="clear" w:color="auto" w:fill="D9E2F3"/>
            <w:vAlign w:val="center"/>
          </w:tcPr>
          <w:p w14:paraId="49BA55B0" w14:textId="77777777" w:rsidR="00990B14" w:rsidRDefault="00000000">
            <w:pPr>
              <w:spacing w:before="20" w:after="20"/>
              <w:jc w:val="both"/>
            </w:pPr>
            <w:r>
              <w:rPr>
                <w:sz w:val="18"/>
                <w:szCs w:val="18"/>
              </w:rPr>
              <w:t>1.2 Relaciona en aula los módulos del SIAF (SIGEP) con el diseño del sistema contable de una entidad pública.</w:t>
            </w:r>
          </w:p>
        </w:tc>
        <w:tc>
          <w:tcPr>
            <w:tcW w:w="3137" w:type="dxa"/>
            <w:gridSpan w:val="4"/>
            <w:shd w:val="clear" w:color="auto" w:fill="D9E2F3"/>
            <w:vAlign w:val="center"/>
          </w:tcPr>
          <w:p w14:paraId="0C762D5D" w14:textId="77777777" w:rsidR="00990B14" w:rsidRDefault="00000000">
            <w:pPr>
              <w:spacing w:before="20" w:after="20"/>
              <w:jc w:val="both"/>
            </w:pPr>
            <w:r>
              <w:rPr>
                <w:b/>
                <w:bCs/>
                <w:sz w:val="18"/>
                <w:szCs w:val="18"/>
              </w:rPr>
              <w:t xml:space="preserve">Producto 22: </w:t>
            </w:r>
            <w:r>
              <w:rPr>
                <w:sz w:val="18"/>
                <w:szCs w:val="18"/>
              </w:rPr>
              <w:t>Cuadro de relación entre los módulos del SIGEP y el sistema contable de una entidad pública.</w:t>
            </w:r>
          </w:p>
        </w:tc>
      </w:tr>
      <w:tr w:rsidR="00990B14" w14:paraId="7FAFCB08" w14:textId="77777777">
        <w:trPr>
          <w:cantSplit/>
          <w:jc w:val="center"/>
        </w:trPr>
        <w:tc>
          <w:tcPr>
            <w:tcW w:w="3133" w:type="dxa"/>
            <w:gridSpan w:val="4"/>
            <w:vMerge w:val="restart"/>
            <w:shd w:val="clear" w:color="auto" w:fill="D9E2F3"/>
            <w:vAlign w:val="center"/>
          </w:tcPr>
          <w:p w14:paraId="02041302" w14:textId="77777777" w:rsidR="00990B14" w:rsidRDefault="00000000">
            <w:pPr>
              <w:spacing w:before="20" w:after="20"/>
              <w:jc w:val="both"/>
            </w:pPr>
            <w:r>
              <w:rPr>
                <w:sz w:val="18"/>
                <w:szCs w:val="18"/>
              </w:rPr>
              <w:t>2. Analiza los sistemas de información de administración financiera de la región, evaluando su modelo conceptual, su gobernanza y su aporte a la transparencia fiscal.</w:t>
            </w:r>
          </w:p>
        </w:tc>
        <w:tc>
          <w:tcPr>
            <w:tcW w:w="3135" w:type="dxa"/>
            <w:gridSpan w:val="5"/>
            <w:shd w:val="clear" w:color="auto" w:fill="D9E2F3"/>
            <w:vAlign w:val="center"/>
          </w:tcPr>
          <w:p w14:paraId="7159EBC5" w14:textId="77777777" w:rsidR="00990B14" w:rsidRDefault="00000000">
            <w:pPr>
              <w:spacing w:before="20" w:after="20"/>
              <w:jc w:val="both"/>
            </w:pPr>
            <w:r>
              <w:rPr>
                <w:sz w:val="18"/>
                <w:szCs w:val="18"/>
              </w:rPr>
              <w:t>2.1 Compara en equipo los sistemas de información de administración financiera de América Latina, el Caribe y otras regiones.</w:t>
            </w:r>
          </w:p>
        </w:tc>
        <w:tc>
          <w:tcPr>
            <w:tcW w:w="3137" w:type="dxa"/>
            <w:gridSpan w:val="4"/>
            <w:shd w:val="clear" w:color="auto" w:fill="D9E2F3"/>
            <w:vAlign w:val="center"/>
          </w:tcPr>
          <w:p w14:paraId="21B6DFAE" w14:textId="77777777" w:rsidR="00990B14" w:rsidRDefault="00000000">
            <w:pPr>
              <w:spacing w:before="20" w:after="20"/>
              <w:jc w:val="both"/>
            </w:pPr>
            <w:r>
              <w:rPr>
                <w:b/>
                <w:bCs/>
                <w:sz w:val="18"/>
                <w:szCs w:val="18"/>
              </w:rPr>
              <w:t xml:space="preserve">Producto 23: </w:t>
            </w:r>
            <w:r>
              <w:rPr>
                <w:sz w:val="18"/>
                <w:szCs w:val="18"/>
              </w:rPr>
              <w:t>Cuadro comparativo de sistemas de información de administración financiera.</w:t>
            </w:r>
          </w:p>
        </w:tc>
      </w:tr>
      <w:tr w:rsidR="00990B14" w14:paraId="1E4CEC08" w14:textId="77777777">
        <w:trPr>
          <w:cantSplit/>
          <w:jc w:val="center"/>
        </w:trPr>
        <w:tc>
          <w:tcPr>
            <w:tcW w:w="3133" w:type="dxa"/>
            <w:gridSpan w:val="4"/>
            <w:vMerge/>
            <w:shd w:val="clear" w:color="auto" w:fill="D9E2F3"/>
            <w:vAlign w:val="center"/>
          </w:tcPr>
          <w:p w14:paraId="160CF449" w14:textId="77777777" w:rsidR="00990B14" w:rsidRDefault="00990B14">
            <w:pPr>
              <w:spacing w:before="20" w:after="20"/>
            </w:pPr>
          </w:p>
        </w:tc>
        <w:tc>
          <w:tcPr>
            <w:tcW w:w="3135" w:type="dxa"/>
            <w:gridSpan w:val="5"/>
            <w:shd w:val="clear" w:color="auto" w:fill="D9E2F3"/>
            <w:vAlign w:val="center"/>
          </w:tcPr>
          <w:p w14:paraId="0A044A19" w14:textId="77777777" w:rsidR="00990B14" w:rsidRDefault="00000000">
            <w:pPr>
              <w:spacing w:before="20" w:after="20"/>
              <w:jc w:val="both"/>
            </w:pPr>
            <w:r>
              <w:rPr>
                <w:sz w:val="18"/>
                <w:szCs w:val="18"/>
              </w:rPr>
              <w:t>2.2 Analiza en aula un modelo conceptual de un proyecto SIAF con sus indicadores de desempeño.</w:t>
            </w:r>
          </w:p>
        </w:tc>
        <w:tc>
          <w:tcPr>
            <w:tcW w:w="3137" w:type="dxa"/>
            <w:gridSpan w:val="4"/>
            <w:shd w:val="clear" w:color="auto" w:fill="D9E2F3"/>
            <w:vAlign w:val="center"/>
          </w:tcPr>
          <w:p w14:paraId="619B4FB0" w14:textId="77777777" w:rsidR="00990B14" w:rsidRDefault="00000000">
            <w:pPr>
              <w:spacing w:before="20" w:after="20"/>
              <w:jc w:val="both"/>
            </w:pPr>
            <w:r>
              <w:rPr>
                <w:b/>
                <w:bCs/>
                <w:sz w:val="18"/>
                <w:szCs w:val="18"/>
              </w:rPr>
              <w:t xml:space="preserve">Producto 24: </w:t>
            </w:r>
            <w:r>
              <w:rPr>
                <w:sz w:val="18"/>
                <w:szCs w:val="18"/>
              </w:rPr>
              <w:t>Informe del modelo conceptual y de los indicadores de desempeño de un proyecto SIAF.</w:t>
            </w:r>
          </w:p>
        </w:tc>
      </w:tr>
      <w:tr w:rsidR="00990B14" w14:paraId="27C23D37" w14:textId="77777777">
        <w:trPr>
          <w:cantSplit/>
          <w:jc w:val="center"/>
        </w:trPr>
        <w:tc>
          <w:tcPr>
            <w:tcW w:w="9405" w:type="dxa"/>
            <w:gridSpan w:val="13"/>
            <w:shd w:val="clear" w:color="auto" w:fill="4472C4"/>
            <w:vAlign w:val="center"/>
          </w:tcPr>
          <w:p w14:paraId="0807A143" w14:textId="77777777" w:rsidR="00990B14" w:rsidRDefault="00000000">
            <w:pPr>
              <w:keepNext/>
              <w:spacing w:before="20" w:after="20"/>
              <w:jc w:val="center"/>
            </w:pPr>
            <w:r>
              <w:rPr>
                <w:b/>
                <w:bCs/>
                <w:i/>
                <w:iCs/>
                <w:color w:val="FFFFFF"/>
                <w:sz w:val="18"/>
                <w:szCs w:val="18"/>
              </w:rPr>
              <w:t>Evidencias de conocimiento</w:t>
            </w:r>
          </w:p>
        </w:tc>
      </w:tr>
      <w:tr w:rsidR="00990B14" w14:paraId="6734417F" w14:textId="77777777">
        <w:trPr>
          <w:cantSplit/>
          <w:jc w:val="center"/>
        </w:trPr>
        <w:tc>
          <w:tcPr>
            <w:tcW w:w="2349" w:type="dxa"/>
            <w:gridSpan w:val="2"/>
            <w:shd w:val="clear" w:color="auto" w:fill="4472C4"/>
            <w:vAlign w:val="center"/>
          </w:tcPr>
          <w:p w14:paraId="61B33175"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327D4479" w14:textId="77777777" w:rsidR="00990B14" w:rsidRDefault="00000000">
            <w:pPr>
              <w:keepNext/>
              <w:spacing w:before="20" w:after="20"/>
              <w:jc w:val="both"/>
            </w:pPr>
            <w:r>
              <w:rPr>
                <w:b/>
                <w:bCs/>
                <w:i/>
                <w:iCs/>
                <w:color w:val="FFFFFF"/>
                <w:sz w:val="18"/>
                <w:szCs w:val="18"/>
              </w:rPr>
              <w:t>Contenidos</w:t>
            </w:r>
          </w:p>
          <w:p w14:paraId="0AB8B02D"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6A4B5622" w14:textId="77777777" w:rsidR="00990B14" w:rsidRDefault="00000000">
            <w:pPr>
              <w:keepNext/>
              <w:spacing w:before="20" w:after="20"/>
              <w:jc w:val="center"/>
            </w:pPr>
            <w:r>
              <w:rPr>
                <w:b/>
                <w:bCs/>
                <w:i/>
                <w:iCs/>
                <w:color w:val="FFFFFF"/>
                <w:sz w:val="18"/>
                <w:szCs w:val="18"/>
              </w:rPr>
              <w:t>Conocimientos circunstanciales</w:t>
            </w:r>
          </w:p>
        </w:tc>
      </w:tr>
      <w:tr w:rsidR="00990B14" w14:paraId="0A62C68B" w14:textId="77777777">
        <w:trPr>
          <w:jc w:val="center"/>
        </w:trPr>
        <w:tc>
          <w:tcPr>
            <w:tcW w:w="2349" w:type="dxa"/>
            <w:gridSpan w:val="2"/>
            <w:shd w:val="clear" w:color="auto" w:fill="D9E2F3"/>
          </w:tcPr>
          <w:p w14:paraId="5AC19B99" w14:textId="77777777" w:rsidR="00990B14" w:rsidRDefault="00000000">
            <w:pPr>
              <w:spacing w:before="20" w:after="40"/>
              <w:jc w:val="both"/>
            </w:pPr>
            <w:r>
              <w:rPr>
                <w:sz w:val="18"/>
                <w:szCs w:val="18"/>
              </w:rPr>
              <w:t>Tema 10: Sistemas de Información de Administración Financiera, SIAF</w:t>
            </w:r>
          </w:p>
        </w:tc>
        <w:tc>
          <w:tcPr>
            <w:tcW w:w="4304" w:type="dxa"/>
            <w:gridSpan w:val="8"/>
            <w:shd w:val="clear" w:color="auto" w:fill="D9E2F3"/>
          </w:tcPr>
          <w:p w14:paraId="507B1D17" w14:textId="77777777" w:rsidR="00990B14" w:rsidRDefault="00000000">
            <w:pPr>
              <w:spacing w:after="40"/>
              <w:jc w:val="both"/>
            </w:pPr>
            <w:r>
              <w:rPr>
                <w:sz w:val="18"/>
                <w:szCs w:val="18"/>
              </w:rPr>
              <w:t>Descripción del sistema de información del modelo de gestión pública (Ley N.º 1178): sus generalidades, organización, procesos y estados financieros. (C)</w:t>
            </w:r>
          </w:p>
          <w:p w14:paraId="1E17D366" w14:textId="77777777" w:rsidR="00990B14" w:rsidRDefault="00000000">
            <w:pPr>
              <w:spacing w:after="40"/>
              <w:jc w:val="both"/>
            </w:pPr>
            <w:r>
              <w:rPr>
                <w:sz w:val="18"/>
                <w:szCs w:val="18"/>
              </w:rPr>
              <w:t>Los sistemas de información de administración financiera en América Latina, el Caribe y el mundo, con un modelo conceptual para su diseño. (P)</w:t>
            </w:r>
          </w:p>
          <w:p w14:paraId="1315B3F1" w14:textId="77777777" w:rsidR="00990B14" w:rsidRDefault="00000000">
            <w:pPr>
              <w:spacing w:after="40"/>
              <w:jc w:val="both"/>
            </w:pPr>
            <w:r>
              <w:rPr>
                <w:sz w:val="18"/>
                <w:szCs w:val="18"/>
              </w:rPr>
              <w:t>Diseño y organización de la gobernanza y la gestión de indicadores de un proyecto de este tipo, y sus indicadores de desempeño y de gestión financiera pública. (P)</w:t>
            </w:r>
          </w:p>
          <w:p w14:paraId="42A4EDC2" w14:textId="77777777" w:rsidR="00990B14" w:rsidRDefault="00000000">
            <w:pPr>
              <w:spacing w:after="40"/>
              <w:jc w:val="both"/>
            </w:pPr>
            <w:r>
              <w:rPr>
                <w:sz w:val="18"/>
                <w:szCs w:val="18"/>
              </w:rPr>
              <w:t>Transparencia fiscal y rendición de cuentas como objetivos del sistema de información de administración financiera. (C, A)</w:t>
            </w:r>
          </w:p>
        </w:tc>
        <w:tc>
          <w:tcPr>
            <w:tcW w:w="2752" w:type="dxa"/>
            <w:gridSpan w:val="3"/>
            <w:shd w:val="clear" w:color="auto" w:fill="D9E2F3"/>
          </w:tcPr>
          <w:p w14:paraId="4C41F0B6" w14:textId="77777777" w:rsidR="00990B14" w:rsidRDefault="00000000">
            <w:pPr>
              <w:numPr>
                <w:ilvl w:val="0"/>
                <w:numId w:val="139"/>
              </w:numPr>
              <w:spacing w:before="10" w:after="10"/>
              <w:jc w:val="both"/>
            </w:pPr>
            <w:r>
              <w:rPr>
                <w:sz w:val="18"/>
                <w:szCs w:val="18"/>
              </w:rPr>
              <w:t>Nociones del marco PEFA de evaluación del gasto público y la rendición de cuentas financieras.</w:t>
            </w:r>
          </w:p>
          <w:p w14:paraId="18BC49AA" w14:textId="77777777" w:rsidR="00990B14" w:rsidRDefault="00000000">
            <w:pPr>
              <w:numPr>
                <w:ilvl w:val="0"/>
                <w:numId w:val="139"/>
              </w:numPr>
              <w:spacing w:before="10" w:after="10"/>
              <w:jc w:val="both"/>
            </w:pPr>
            <w:r>
              <w:rPr>
                <w:sz w:val="18"/>
                <w:szCs w:val="18"/>
              </w:rPr>
              <w:t>Experiencias de reforma de los sistemas integrados de administración financiera en países de la región.</w:t>
            </w:r>
          </w:p>
        </w:tc>
      </w:tr>
      <w:tr w:rsidR="00990B14" w14:paraId="3E36E25A" w14:textId="77777777">
        <w:trPr>
          <w:cantSplit/>
          <w:jc w:val="center"/>
        </w:trPr>
        <w:tc>
          <w:tcPr>
            <w:tcW w:w="9405" w:type="dxa"/>
            <w:gridSpan w:val="13"/>
            <w:shd w:val="clear" w:color="auto" w:fill="D9E2F3"/>
            <w:vAlign w:val="center"/>
          </w:tcPr>
          <w:p w14:paraId="0A67766D" w14:textId="77777777" w:rsidR="00990B14" w:rsidRDefault="00000000">
            <w:pPr>
              <w:spacing w:before="20" w:after="20"/>
              <w:jc w:val="both"/>
            </w:pPr>
            <w:r>
              <w:rPr>
                <w:b/>
                <w:bCs/>
                <w:i/>
                <w:iCs/>
                <w:sz w:val="18"/>
                <w:szCs w:val="18"/>
              </w:rPr>
              <w:t xml:space="preserve">Elemento de competencia 7: </w:t>
            </w:r>
            <w:r>
              <w:rPr>
                <w:sz w:val="18"/>
                <w:szCs w:val="18"/>
              </w:rPr>
              <w:t>Opera un sistema de planificación de recursos empresariales, parametrizando sus módulos contables, de compras, ventas e inventarios, y elabora tableros de indicadores financieros con herramientas de inteligencia de negocios a partir de los datos del sistema.</w:t>
            </w:r>
          </w:p>
        </w:tc>
      </w:tr>
      <w:tr w:rsidR="00990B14" w14:paraId="146A99F7" w14:textId="77777777">
        <w:trPr>
          <w:cantSplit/>
          <w:jc w:val="center"/>
        </w:trPr>
        <w:tc>
          <w:tcPr>
            <w:tcW w:w="3133" w:type="dxa"/>
            <w:gridSpan w:val="4"/>
            <w:shd w:val="clear" w:color="auto" w:fill="4472C4"/>
            <w:vAlign w:val="center"/>
          </w:tcPr>
          <w:p w14:paraId="5A967DB8"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5A61F2AE"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7AA7DA32" w14:textId="77777777" w:rsidR="00990B14" w:rsidRDefault="00000000">
            <w:pPr>
              <w:keepNext/>
              <w:spacing w:before="20" w:after="20"/>
              <w:jc w:val="center"/>
            </w:pPr>
            <w:r>
              <w:rPr>
                <w:b/>
                <w:bCs/>
                <w:i/>
                <w:iCs/>
                <w:color w:val="FFFFFF"/>
                <w:sz w:val="18"/>
                <w:szCs w:val="18"/>
              </w:rPr>
              <w:t>Evidencias de producto</w:t>
            </w:r>
          </w:p>
        </w:tc>
      </w:tr>
      <w:tr w:rsidR="00990B14" w14:paraId="0548921D" w14:textId="77777777">
        <w:trPr>
          <w:cantSplit/>
          <w:jc w:val="center"/>
        </w:trPr>
        <w:tc>
          <w:tcPr>
            <w:tcW w:w="3133" w:type="dxa"/>
            <w:gridSpan w:val="4"/>
            <w:vMerge w:val="restart"/>
            <w:shd w:val="clear" w:color="auto" w:fill="D9E2F3"/>
            <w:vAlign w:val="center"/>
          </w:tcPr>
          <w:p w14:paraId="58A15E7D" w14:textId="77777777" w:rsidR="00990B14" w:rsidRDefault="00000000">
            <w:pPr>
              <w:spacing w:before="20" w:after="20"/>
              <w:jc w:val="both"/>
            </w:pPr>
            <w:r>
              <w:rPr>
                <w:sz w:val="18"/>
                <w:szCs w:val="18"/>
              </w:rPr>
              <w:t>1. Explica la arquitectura modular de un sistema ERP y su diferencia con el software contable independiente.</w:t>
            </w:r>
          </w:p>
        </w:tc>
        <w:tc>
          <w:tcPr>
            <w:tcW w:w="3135" w:type="dxa"/>
            <w:gridSpan w:val="5"/>
            <w:shd w:val="clear" w:color="auto" w:fill="D9E2F3"/>
            <w:vAlign w:val="center"/>
          </w:tcPr>
          <w:p w14:paraId="41B2BF5F" w14:textId="77777777" w:rsidR="00990B14" w:rsidRDefault="00000000">
            <w:pPr>
              <w:spacing w:before="20" w:after="20"/>
              <w:jc w:val="both"/>
            </w:pPr>
            <w:r>
              <w:rPr>
                <w:sz w:val="18"/>
                <w:szCs w:val="18"/>
              </w:rPr>
              <w:t>1.1 Parametriza en equipo los módulos contables de una empresa para la planificación y elaboración de un ERP.</w:t>
            </w:r>
          </w:p>
        </w:tc>
        <w:tc>
          <w:tcPr>
            <w:tcW w:w="3137" w:type="dxa"/>
            <w:gridSpan w:val="4"/>
            <w:shd w:val="clear" w:color="auto" w:fill="D9E2F3"/>
            <w:vAlign w:val="center"/>
          </w:tcPr>
          <w:p w14:paraId="016470D0" w14:textId="77777777" w:rsidR="00990B14" w:rsidRDefault="00000000">
            <w:pPr>
              <w:spacing w:before="20" w:after="20"/>
              <w:jc w:val="both"/>
            </w:pPr>
            <w:r>
              <w:rPr>
                <w:b/>
                <w:bCs/>
                <w:sz w:val="18"/>
                <w:szCs w:val="18"/>
              </w:rPr>
              <w:t xml:space="preserve">Producto 25: </w:t>
            </w:r>
            <w:r>
              <w:rPr>
                <w:sz w:val="18"/>
                <w:szCs w:val="18"/>
              </w:rPr>
              <w:t>Empresa parametrizada en el ERP.</w:t>
            </w:r>
          </w:p>
        </w:tc>
      </w:tr>
      <w:tr w:rsidR="00990B14" w14:paraId="2075978D" w14:textId="77777777">
        <w:trPr>
          <w:cantSplit/>
          <w:jc w:val="center"/>
        </w:trPr>
        <w:tc>
          <w:tcPr>
            <w:tcW w:w="3133" w:type="dxa"/>
            <w:gridSpan w:val="4"/>
            <w:vMerge/>
            <w:shd w:val="clear" w:color="auto" w:fill="D9E2F3"/>
            <w:vAlign w:val="center"/>
          </w:tcPr>
          <w:p w14:paraId="4C1A1F01" w14:textId="77777777" w:rsidR="00990B14" w:rsidRDefault="00990B14">
            <w:pPr>
              <w:spacing w:before="20" w:after="20"/>
            </w:pPr>
          </w:p>
        </w:tc>
        <w:tc>
          <w:tcPr>
            <w:tcW w:w="3135" w:type="dxa"/>
            <w:gridSpan w:val="5"/>
            <w:shd w:val="clear" w:color="auto" w:fill="D9E2F3"/>
            <w:vAlign w:val="center"/>
          </w:tcPr>
          <w:p w14:paraId="21243EBE" w14:textId="77777777" w:rsidR="00990B14" w:rsidRDefault="00000000">
            <w:pPr>
              <w:spacing w:before="20" w:after="20"/>
              <w:jc w:val="both"/>
            </w:pPr>
            <w:r>
              <w:rPr>
                <w:sz w:val="18"/>
                <w:szCs w:val="18"/>
              </w:rPr>
              <w:t>1.2 Registra en aula un ciclo completo de operaciones y su cierre en el ERP.</w:t>
            </w:r>
          </w:p>
        </w:tc>
        <w:tc>
          <w:tcPr>
            <w:tcW w:w="3137" w:type="dxa"/>
            <w:gridSpan w:val="4"/>
            <w:shd w:val="clear" w:color="auto" w:fill="D9E2F3"/>
            <w:vAlign w:val="center"/>
          </w:tcPr>
          <w:p w14:paraId="0687BD4B" w14:textId="77777777" w:rsidR="00990B14" w:rsidRDefault="00000000">
            <w:pPr>
              <w:spacing w:before="20" w:after="20"/>
              <w:jc w:val="both"/>
            </w:pPr>
            <w:r>
              <w:rPr>
                <w:b/>
                <w:bCs/>
                <w:sz w:val="18"/>
                <w:szCs w:val="18"/>
              </w:rPr>
              <w:t xml:space="preserve">Producto 26: </w:t>
            </w:r>
            <w:r>
              <w:rPr>
                <w:sz w:val="18"/>
                <w:szCs w:val="18"/>
              </w:rPr>
              <w:t>Registro de un ciclo completo de operaciones y su cierre en el ERP.</w:t>
            </w:r>
          </w:p>
        </w:tc>
      </w:tr>
      <w:tr w:rsidR="00990B14" w14:paraId="1C97D81C" w14:textId="77777777">
        <w:trPr>
          <w:cantSplit/>
          <w:jc w:val="center"/>
        </w:trPr>
        <w:tc>
          <w:tcPr>
            <w:tcW w:w="3133" w:type="dxa"/>
            <w:gridSpan w:val="4"/>
            <w:vMerge w:val="restart"/>
            <w:shd w:val="clear" w:color="auto" w:fill="D9E2F3"/>
            <w:vAlign w:val="center"/>
          </w:tcPr>
          <w:p w14:paraId="5A43C3A1" w14:textId="77777777" w:rsidR="00990B14" w:rsidRDefault="00000000">
            <w:pPr>
              <w:spacing w:before="20" w:after="20"/>
              <w:jc w:val="both"/>
            </w:pPr>
            <w:r>
              <w:rPr>
                <w:sz w:val="18"/>
                <w:szCs w:val="18"/>
              </w:rPr>
              <w:t>2. Parametriza la empresa en el ERP: plan de cuentas, monedas, impuestos, periodos y perfiles de usuario.</w:t>
            </w:r>
          </w:p>
        </w:tc>
        <w:tc>
          <w:tcPr>
            <w:tcW w:w="3135" w:type="dxa"/>
            <w:gridSpan w:val="5"/>
            <w:shd w:val="clear" w:color="auto" w:fill="D9E2F3"/>
            <w:vAlign w:val="center"/>
          </w:tcPr>
          <w:p w14:paraId="74B4D54C" w14:textId="77777777" w:rsidR="00990B14" w:rsidRDefault="00000000">
            <w:pPr>
              <w:spacing w:before="20" w:after="20"/>
              <w:jc w:val="both"/>
            </w:pPr>
            <w:r>
              <w:rPr>
                <w:sz w:val="18"/>
                <w:szCs w:val="18"/>
              </w:rPr>
              <w:t>2.1 Resuelve en laboratorio la parametrización de una empresa en un ERP de uso académico.</w:t>
            </w:r>
          </w:p>
        </w:tc>
        <w:tc>
          <w:tcPr>
            <w:tcW w:w="3137" w:type="dxa"/>
            <w:gridSpan w:val="4"/>
            <w:shd w:val="clear" w:color="auto" w:fill="D9E2F3"/>
            <w:vAlign w:val="center"/>
          </w:tcPr>
          <w:p w14:paraId="5867AE55" w14:textId="77777777" w:rsidR="00990B14" w:rsidRDefault="00000000">
            <w:pPr>
              <w:spacing w:before="20" w:after="20"/>
              <w:jc w:val="both"/>
            </w:pPr>
            <w:r>
              <w:rPr>
                <w:b/>
                <w:bCs/>
                <w:sz w:val="18"/>
                <w:szCs w:val="18"/>
              </w:rPr>
              <w:t xml:space="preserve">Producto 27: </w:t>
            </w:r>
            <w:r>
              <w:rPr>
                <w:sz w:val="18"/>
                <w:szCs w:val="18"/>
              </w:rPr>
              <w:t>Informe de parametrización de una empresa en un ERP de uso académico.</w:t>
            </w:r>
          </w:p>
        </w:tc>
      </w:tr>
      <w:tr w:rsidR="00990B14" w14:paraId="2E205901" w14:textId="77777777">
        <w:trPr>
          <w:cantSplit/>
          <w:jc w:val="center"/>
        </w:trPr>
        <w:tc>
          <w:tcPr>
            <w:tcW w:w="3133" w:type="dxa"/>
            <w:gridSpan w:val="4"/>
            <w:vMerge/>
            <w:shd w:val="clear" w:color="auto" w:fill="D9E2F3"/>
            <w:vAlign w:val="center"/>
          </w:tcPr>
          <w:p w14:paraId="084A6CDD" w14:textId="77777777" w:rsidR="00990B14" w:rsidRDefault="00990B14">
            <w:pPr>
              <w:spacing w:before="20" w:after="20"/>
            </w:pPr>
          </w:p>
        </w:tc>
        <w:tc>
          <w:tcPr>
            <w:tcW w:w="3135" w:type="dxa"/>
            <w:gridSpan w:val="5"/>
            <w:shd w:val="clear" w:color="auto" w:fill="D9E2F3"/>
            <w:vAlign w:val="center"/>
          </w:tcPr>
          <w:p w14:paraId="2A3F00BA" w14:textId="77777777" w:rsidR="00990B14" w:rsidRDefault="00000000">
            <w:pPr>
              <w:spacing w:before="20" w:after="20"/>
              <w:jc w:val="both"/>
            </w:pPr>
            <w:r>
              <w:rPr>
                <w:sz w:val="18"/>
                <w:szCs w:val="18"/>
              </w:rPr>
              <w:t>2.2 Presenta en aula el tablero de indicadores financieros de la empresa del caso.</w:t>
            </w:r>
          </w:p>
        </w:tc>
        <w:tc>
          <w:tcPr>
            <w:tcW w:w="3137" w:type="dxa"/>
            <w:gridSpan w:val="4"/>
            <w:shd w:val="clear" w:color="auto" w:fill="D9E2F3"/>
            <w:vAlign w:val="center"/>
          </w:tcPr>
          <w:p w14:paraId="4E0B9A04" w14:textId="77777777" w:rsidR="00990B14" w:rsidRDefault="00000000">
            <w:pPr>
              <w:spacing w:before="20" w:after="20"/>
              <w:jc w:val="both"/>
            </w:pPr>
            <w:r>
              <w:rPr>
                <w:b/>
                <w:bCs/>
                <w:sz w:val="18"/>
                <w:szCs w:val="18"/>
              </w:rPr>
              <w:t xml:space="preserve">Producto 28: </w:t>
            </w:r>
            <w:r>
              <w:rPr>
                <w:sz w:val="18"/>
                <w:szCs w:val="18"/>
              </w:rPr>
              <w:t>Tablero de indicadores financieros en Power BI con su informe de interpretación.</w:t>
            </w:r>
          </w:p>
        </w:tc>
      </w:tr>
      <w:tr w:rsidR="00990B14" w14:paraId="5CE59DB1" w14:textId="77777777">
        <w:trPr>
          <w:cantSplit/>
          <w:jc w:val="center"/>
        </w:trPr>
        <w:tc>
          <w:tcPr>
            <w:tcW w:w="9405" w:type="dxa"/>
            <w:gridSpan w:val="13"/>
            <w:shd w:val="clear" w:color="auto" w:fill="4472C4"/>
            <w:vAlign w:val="center"/>
          </w:tcPr>
          <w:p w14:paraId="2A035521" w14:textId="77777777" w:rsidR="00990B14" w:rsidRDefault="00000000">
            <w:pPr>
              <w:keepNext/>
              <w:spacing w:before="20" w:after="20"/>
              <w:jc w:val="center"/>
            </w:pPr>
            <w:r>
              <w:rPr>
                <w:b/>
                <w:bCs/>
                <w:i/>
                <w:iCs/>
                <w:color w:val="FFFFFF"/>
                <w:sz w:val="18"/>
                <w:szCs w:val="18"/>
              </w:rPr>
              <w:t>Evidencias de conocimiento</w:t>
            </w:r>
          </w:p>
        </w:tc>
      </w:tr>
      <w:tr w:rsidR="00990B14" w14:paraId="22964410" w14:textId="77777777">
        <w:trPr>
          <w:cantSplit/>
          <w:jc w:val="center"/>
        </w:trPr>
        <w:tc>
          <w:tcPr>
            <w:tcW w:w="2349" w:type="dxa"/>
            <w:gridSpan w:val="2"/>
            <w:shd w:val="clear" w:color="auto" w:fill="4472C4"/>
            <w:vAlign w:val="center"/>
          </w:tcPr>
          <w:p w14:paraId="6FDF6CCF"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695E3569" w14:textId="77777777" w:rsidR="00990B14" w:rsidRDefault="00000000">
            <w:pPr>
              <w:keepNext/>
              <w:spacing w:before="20" w:after="20"/>
              <w:jc w:val="both"/>
            </w:pPr>
            <w:r>
              <w:rPr>
                <w:b/>
                <w:bCs/>
                <w:i/>
                <w:iCs/>
                <w:color w:val="FFFFFF"/>
                <w:sz w:val="18"/>
                <w:szCs w:val="18"/>
              </w:rPr>
              <w:t>Contenidos</w:t>
            </w:r>
          </w:p>
          <w:p w14:paraId="5E33F2DB"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09F8A31D" w14:textId="77777777" w:rsidR="00990B14" w:rsidRDefault="00000000">
            <w:pPr>
              <w:keepNext/>
              <w:spacing w:before="20" w:after="20"/>
              <w:jc w:val="center"/>
            </w:pPr>
            <w:r>
              <w:rPr>
                <w:b/>
                <w:bCs/>
                <w:i/>
                <w:iCs/>
                <w:color w:val="FFFFFF"/>
                <w:sz w:val="18"/>
                <w:szCs w:val="18"/>
              </w:rPr>
              <w:t>Conocimientos circunstanciales</w:t>
            </w:r>
          </w:p>
        </w:tc>
      </w:tr>
      <w:tr w:rsidR="00990B14" w14:paraId="1359AAAA" w14:textId="77777777">
        <w:trPr>
          <w:jc w:val="center"/>
        </w:trPr>
        <w:tc>
          <w:tcPr>
            <w:tcW w:w="2349" w:type="dxa"/>
            <w:gridSpan w:val="2"/>
            <w:shd w:val="clear" w:color="auto" w:fill="D9E2F3"/>
          </w:tcPr>
          <w:p w14:paraId="79BDD9F3" w14:textId="77777777" w:rsidR="00990B14" w:rsidRDefault="00000000">
            <w:pPr>
              <w:spacing w:before="20" w:after="40"/>
              <w:jc w:val="both"/>
            </w:pPr>
            <w:r>
              <w:rPr>
                <w:sz w:val="18"/>
                <w:szCs w:val="18"/>
              </w:rPr>
              <w:t>Tema 11: Sistemas de planificación de recursos empresariales</w:t>
            </w:r>
          </w:p>
          <w:p w14:paraId="035F2BB4" w14:textId="77777777" w:rsidR="00990B14" w:rsidRDefault="00000000">
            <w:pPr>
              <w:spacing w:before="20" w:after="40"/>
              <w:jc w:val="both"/>
            </w:pPr>
            <w:r>
              <w:rPr>
                <w:sz w:val="18"/>
                <w:szCs w:val="18"/>
              </w:rPr>
              <w:t>Tema 12: Análisis de datos financieros e inteligencia de negocios</w:t>
            </w:r>
          </w:p>
        </w:tc>
        <w:tc>
          <w:tcPr>
            <w:tcW w:w="4304" w:type="dxa"/>
            <w:gridSpan w:val="8"/>
            <w:shd w:val="clear" w:color="auto" w:fill="D9E2F3"/>
          </w:tcPr>
          <w:p w14:paraId="751C4592" w14:textId="77777777" w:rsidR="00990B14" w:rsidRDefault="00000000">
            <w:pPr>
              <w:spacing w:after="40"/>
              <w:jc w:val="both"/>
            </w:pPr>
            <w:r>
              <w:rPr>
                <w:sz w:val="18"/>
                <w:szCs w:val="18"/>
              </w:rPr>
              <w:t>Sistemas de planificación de recursos empresariales: concepto, arquitectura modular e integración de los procesos de negocio. (C)</w:t>
            </w:r>
          </w:p>
          <w:p w14:paraId="58A5E02F" w14:textId="77777777" w:rsidR="00990B14" w:rsidRDefault="00000000">
            <w:pPr>
              <w:spacing w:after="40"/>
              <w:jc w:val="both"/>
            </w:pPr>
            <w:r>
              <w:rPr>
                <w:sz w:val="18"/>
                <w:szCs w:val="18"/>
              </w:rPr>
              <w:t>Principales sistemas ERP del mercado: SAP Business One, Oracle NetSuite y Odoo; licenciamiento y versiones de uso académico. (C)</w:t>
            </w:r>
          </w:p>
          <w:p w14:paraId="6E964583" w14:textId="77777777" w:rsidR="00990B14" w:rsidRDefault="00000000">
            <w:pPr>
              <w:spacing w:after="40"/>
              <w:jc w:val="both"/>
            </w:pPr>
            <w:r>
              <w:rPr>
                <w:sz w:val="18"/>
                <w:szCs w:val="18"/>
              </w:rPr>
              <w:t>Parametrización de la empresa en el ERP: plan de cuentas, monedas, impuestos, periodos contables y usuarios con perfiles de acceso. (C, P, T)</w:t>
            </w:r>
          </w:p>
          <w:p w14:paraId="15F595A6" w14:textId="77777777" w:rsidR="00990B14" w:rsidRDefault="00000000">
            <w:pPr>
              <w:spacing w:after="40"/>
              <w:jc w:val="both"/>
            </w:pPr>
            <w:r>
              <w:rPr>
                <w:sz w:val="18"/>
                <w:szCs w:val="18"/>
              </w:rPr>
              <w:t>Integración de los módulos de compras, ventas, inventarios y contabilidad: del documento comercial al asiento contable automático. (C, P, T)</w:t>
            </w:r>
          </w:p>
          <w:p w14:paraId="097AB9E1" w14:textId="77777777" w:rsidR="00990B14" w:rsidRDefault="00000000">
            <w:pPr>
              <w:spacing w:after="40"/>
              <w:jc w:val="both"/>
            </w:pPr>
            <w:r>
              <w:rPr>
                <w:sz w:val="18"/>
                <w:szCs w:val="18"/>
              </w:rPr>
              <w:t>Cierre del periodo y emisión de los estados financieros desde el ERP. (P, T)</w:t>
            </w:r>
          </w:p>
          <w:p w14:paraId="4439A589" w14:textId="77777777" w:rsidR="00990B14" w:rsidRDefault="00000000">
            <w:pPr>
              <w:spacing w:after="40"/>
              <w:jc w:val="both"/>
            </w:pPr>
            <w:r>
              <w:rPr>
                <w:sz w:val="18"/>
                <w:szCs w:val="18"/>
              </w:rPr>
              <w:t>Controles de aplicación, pistas de auditoría y segregación de funciones en el ERP. (C, P)</w:t>
            </w:r>
          </w:p>
          <w:p w14:paraId="72904678" w14:textId="77777777" w:rsidR="00990B14" w:rsidRDefault="00000000">
            <w:pPr>
              <w:spacing w:after="40"/>
              <w:jc w:val="both"/>
            </w:pPr>
            <w:r>
              <w:rPr>
                <w:sz w:val="18"/>
                <w:szCs w:val="18"/>
              </w:rPr>
              <w:t>Extracción y depuración de datos contables: exportación desde el ERP y transformación con Power Query. (P, T)</w:t>
            </w:r>
          </w:p>
          <w:p w14:paraId="23EC514C" w14:textId="77777777" w:rsidR="00990B14" w:rsidRDefault="00000000">
            <w:pPr>
              <w:spacing w:after="40"/>
              <w:jc w:val="both"/>
            </w:pPr>
            <w:r>
              <w:rPr>
                <w:sz w:val="18"/>
                <w:szCs w:val="18"/>
              </w:rPr>
              <w:t>Modelo de datos e indicadores financieros con Power BI: relaciones, medidas y tablero de control gerencial. (P, T)</w:t>
            </w:r>
          </w:p>
          <w:p w14:paraId="3BF79312" w14:textId="77777777" w:rsidR="00990B14" w:rsidRDefault="00000000">
            <w:pPr>
              <w:spacing w:after="40"/>
              <w:jc w:val="both"/>
            </w:pPr>
            <w:r>
              <w:rPr>
                <w:sz w:val="18"/>
                <w:szCs w:val="18"/>
              </w:rPr>
              <w:t>Analítica descriptiva y detección de valores atípicos en la información contable. (C, P, T)</w:t>
            </w:r>
          </w:p>
          <w:p w14:paraId="23D1F7CD" w14:textId="77777777" w:rsidR="00990B14" w:rsidRDefault="00000000">
            <w:pPr>
              <w:spacing w:after="40"/>
              <w:jc w:val="both"/>
            </w:pPr>
            <w:r>
              <w:rPr>
                <w:sz w:val="18"/>
                <w:szCs w:val="18"/>
              </w:rPr>
              <w:t>Reportes financieros digitales e interpretación de los indicadores para la toma de decisiones. (C, P, A)</w:t>
            </w:r>
          </w:p>
        </w:tc>
        <w:tc>
          <w:tcPr>
            <w:tcW w:w="2752" w:type="dxa"/>
            <w:gridSpan w:val="3"/>
            <w:shd w:val="clear" w:color="auto" w:fill="D9E2F3"/>
          </w:tcPr>
          <w:p w14:paraId="491C3A48" w14:textId="77777777" w:rsidR="00990B14" w:rsidRDefault="00000000">
            <w:pPr>
              <w:numPr>
                <w:ilvl w:val="0"/>
                <w:numId w:val="139"/>
              </w:numPr>
              <w:spacing w:before="10" w:after="10"/>
              <w:jc w:val="both"/>
            </w:pPr>
            <w:r>
              <w:rPr>
                <w:sz w:val="18"/>
                <w:szCs w:val="18"/>
              </w:rPr>
              <w:t>Uso de sistemas ERP en las medianas y grandes empresas bolivianas y su integración con la facturación en línea del Servicio de Impuestos Nacionales.</w:t>
            </w:r>
          </w:p>
          <w:p w14:paraId="5AF4A895" w14:textId="77777777" w:rsidR="00990B14" w:rsidRDefault="00000000">
            <w:pPr>
              <w:numPr>
                <w:ilvl w:val="0"/>
                <w:numId w:val="139"/>
              </w:numPr>
              <w:spacing w:before="10" w:after="10"/>
              <w:jc w:val="both"/>
            </w:pPr>
            <w:r>
              <w:rPr>
                <w:sz w:val="18"/>
                <w:szCs w:val="18"/>
              </w:rPr>
              <w:t>Requerimientos de información gerencial de las empresas bolivianas expresados en tableros de control.</w:t>
            </w:r>
          </w:p>
          <w:p w14:paraId="76F44074" w14:textId="77777777" w:rsidR="00990B14" w:rsidRDefault="00000000">
            <w:pPr>
              <w:numPr>
                <w:ilvl w:val="0"/>
                <w:numId w:val="139"/>
              </w:numPr>
              <w:spacing w:before="10" w:after="10"/>
              <w:jc w:val="both"/>
            </w:pPr>
            <w:r>
              <w:rPr>
                <w:sz w:val="18"/>
                <w:szCs w:val="18"/>
              </w:rPr>
              <w:t>Demanda de competencias en ERP y análisis de datos en las ofertas laborales para contadores en Bolivia.</w:t>
            </w:r>
          </w:p>
        </w:tc>
      </w:tr>
    </w:tbl>
    <w:p w14:paraId="71F4ED6F"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910"/>
        <w:gridCol w:w="1700"/>
        <w:gridCol w:w="1805"/>
        <w:gridCol w:w="1805"/>
        <w:gridCol w:w="2185"/>
      </w:tblGrid>
      <w:tr w:rsidR="00990B14" w14:paraId="76EDC1C1" w14:textId="77777777">
        <w:trPr>
          <w:cantSplit/>
          <w:jc w:val="center"/>
        </w:trPr>
        <w:tc>
          <w:tcPr>
            <w:tcW w:w="9405" w:type="dxa"/>
            <w:gridSpan w:val="5"/>
            <w:shd w:val="clear" w:color="auto" w:fill="4472C4"/>
            <w:vAlign w:val="center"/>
          </w:tcPr>
          <w:p w14:paraId="5C45A592" w14:textId="77777777" w:rsidR="00990B14" w:rsidRDefault="00000000">
            <w:pPr>
              <w:keepNext/>
              <w:spacing w:before="20" w:after="20"/>
              <w:jc w:val="center"/>
            </w:pPr>
            <w:r>
              <w:rPr>
                <w:b/>
                <w:bCs/>
                <w:i/>
                <w:iCs/>
                <w:color w:val="FFFFFF"/>
                <w:sz w:val="18"/>
                <w:szCs w:val="18"/>
              </w:rPr>
              <w:t>Actividades</w:t>
            </w:r>
          </w:p>
        </w:tc>
      </w:tr>
      <w:tr w:rsidR="00990B14" w14:paraId="6D817D0E" w14:textId="77777777">
        <w:trPr>
          <w:cantSplit/>
          <w:jc w:val="center"/>
        </w:trPr>
        <w:tc>
          <w:tcPr>
            <w:tcW w:w="1910" w:type="dxa"/>
            <w:shd w:val="clear" w:color="auto" w:fill="4472C4"/>
            <w:vAlign w:val="center"/>
          </w:tcPr>
          <w:p w14:paraId="1A2F02A6" w14:textId="77777777" w:rsidR="00990B14" w:rsidRDefault="00000000">
            <w:pPr>
              <w:keepNext/>
              <w:spacing w:before="20" w:after="20"/>
              <w:jc w:val="center"/>
            </w:pPr>
            <w:r>
              <w:rPr>
                <w:b/>
                <w:bCs/>
                <w:i/>
                <w:iCs/>
                <w:color w:val="FFFFFF"/>
                <w:sz w:val="18"/>
                <w:szCs w:val="18"/>
              </w:rPr>
              <w:t>En clase</w:t>
            </w:r>
          </w:p>
        </w:tc>
        <w:tc>
          <w:tcPr>
            <w:tcW w:w="1700" w:type="dxa"/>
            <w:shd w:val="clear" w:color="auto" w:fill="4472C4"/>
            <w:vAlign w:val="center"/>
          </w:tcPr>
          <w:p w14:paraId="188565C3" w14:textId="77777777" w:rsidR="00990B14" w:rsidRDefault="00000000">
            <w:pPr>
              <w:keepNext/>
              <w:spacing w:before="20" w:after="20"/>
              <w:jc w:val="center"/>
            </w:pPr>
            <w:r>
              <w:rPr>
                <w:b/>
                <w:bCs/>
                <w:i/>
                <w:iCs/>
                <w:color w:val="FFFFFF"/>
                <w:sz w:val="18"/>
                <w:szCs w:val="18"/>
              </w:rPr>
              <w:t>Autónomas</w:t>
            </w:r>
          </w:p>
        </w:tc>
        <w:tc>
          <w:tcPr>
            <w:tcW w:w="1805" w:type="dxa"/>
            <w:shd w:val="clear" w:color="auto" w:fill="4472C4"/>
            <w:vAlign w:val="center"/>
          </w:tcPr>
          <w:p w14:paraId="509D99F1" w14:textId="77777777" w:rsidR="00990B14" w:rsidRDefault="00000000">
            <w:pPr>
              <w:keepNext/>
              <w:spacing w:before="20" w:after="20"/>
              <w:jc w:val="center"/>
            </w:pPr>
            <w:r>
              <w:rPr>
                <w:b/>
                <w:bCs/>
                <w:i/>
                <w:iCs/>
                <w:color w:val="FFFFFF"/>
                <w:sz w:val="18"/>
                <w:szCs w:val="18"/>
              </w:rPr>
              <w:t>B-Learning</w:t>
            </w:r>
          </w:p>
        </w:tc>
        <w:tc>
          <w:tcPr>
            <w:tcW w:w="1805" w:type="dxa"/>
            <w:shd w:val="clear" w:color="auto" w:fill="4472C4"/>
            <w:vAlign w:val="center"/>
          </w:tcPr>
          <w:p w14:paraId="4927A3EB" w14:textId="77777777" w:rsidR="00990B14" w:rsidRDefault="00000000">
            <w:pPr>
              <w:keepNext/>
              <w:spacing w:before="20" w:after="20"/>
              <w:jc w:val="center"/>
            </w:pPr>
            <w:r>
              <w:rPr>
                <w:b/>
                <w:bCs/>
                <w:i/>
                <w:iCs/>
                <w:color w:val="FFFFFF"/>
                <w:sz w:val="18"/>
                <w:szCs w:val="18"/>
              </w:rPr>
              <w:t>Taller</w:t>
            </w:r>
          </w:p>
        </w:tc>
        <w:tc>
          <w:tcPr>
            <w:tcW w:w="2185" w:type="dxa"/>
            <w:shd w:val="clear" w:color="auto" w:fill="4472C4"/>
            <w:vAlign w:val="center"/>
          </w:tcPr>
          <w:p w14:paraId="10C84165" w14:textId="77777777" w:rsidR="00990B14" w:rsidRDefault="00000000">
            <w:pPr>
              <w:keepNext/>
              <w:spacing w:before="20" w:after="20"/>
              <w:jc w:val="center"/>
            </w:pPr>
            <w:r>
              <w:rPr>
                <w:b/>
                <w:bCs/>
                <w:i/>
                <w:iCs/>
                <w:color w:val="FFFFFF"/>
                <w:sz w:val="18"/>
                <w:szCs w:val="18"/>
              </w:rPr>
              <w:t>Investigación/Práctica</w:t>
            </w:r>
          </w:p>
        </w:tc>
      </w:tr>
      <w:tr w:rsidR="00990B14" w14:paraId="47F07C05" w14:textId="77777777">
        <w:trPr>
          <w:jc w:val="center"/>
        </w:trPr>
        <w:tc>
          <w:tcPr>
            <w:tcW w:w="1910" w:type="dxa"/>
            <w:shd w:val="clear" w:color="auto" w:fill="D9E2F3"/>
          </w:tcPr>
          <w:p w14:paraId="1BA77939" w14:textId="77777777" w:rsidR="00990B14" w:rsidRDefault="00000000">
            <w:pPr>
              <w:numPr>
                <w:ilvl w:val="0"/>
                <w:numId w:val="139"/>
              </w:numPr>
              <w:spacing w:before="10" w:after="10"/>
              <w:jc w:val="both"/>
            </w:pPr>
            <w:r>
              <w:rPr>
                <w:sz w:val="18"/>
                <w:szCs w:val="18"/>
              </w:rPr>
              <w:t>Exposición dialogada de los fundamentos y de la metodología de diseño de sistemas contables.</w:t>
            </w:r>
          </w:p>
          <w:p w14:paraId="02E2525B" w14:textId="77777777" w:rsidR="00990B14" w:rsidRDefault="00000000">
            <w:pPr>
              <w:numPr>
                <w:ilvl w:val="0"/>
                <w:numId w:val="139"/>
              </w:numPr>
              <w:spacing w:before="10" w:after="10"/>
              <w:jc w:val="both"/>
            </w:pPr>
            <w:r>
              <w:rPr>
                <w:sz w:val="18"/>
                <w:szCs w:val="18"/>
              </w:rPr>
              <w:t>Resolución guiada del plan de cuentas codificado y de su apertura analítica.</w:t>
            </w:r>
          </w:p>
          <w:p w14:paraId="3F7E2DF2" w14:textId="77777777" w:rsidR="00990B14" w:rsidRDefault="00000000">
            <w:pPr>
              <w:numPr>
                <w:ilvl w:val="0"/>
                <w:numId w:val="139"/>
              </w:numPr>
              <w:spacing w:before="10" w:after="10"/>
              <w:jc w:val="both"/>
            </w:pPr>
            <w:r>
              <w:rPr>
                <w:sz w:val="18"/>
                <w:szCs w:val="18"/>
              </w:rPr>
              <w:t>Demostración en hoja de cálculo de pruebas de integridad sobre registros extraídos de un sistema.</w:t>
            </w:r>
          </w:p>
          <w:p w14:paraId="66B5824B" w14:textId="77777777" w:rsidR="00990B14" w:rsidRDefault="00000000">
            <w:pPr>
              <w:numPr>
                <w:ilvl w:val="0"/>
                <w:numId w:val="139"/>
              </w:numPr>
              <w:spacing w:before="10" w:after="10"/>
              <w:jc w:val="both"/>
            </w:pPr>
            <w:r>
              <w:rPr>
                <w:sz w:val="18"/>
                <w:szCs w:val="18"/>
              </w:rPr>
              <w:t>Análisis de casos de diagnóstico y de control interno de ciclos transaccionales.</w:t>
            </w:r>
          </w:p>
          <w:p w14:paraId="5C545EDF" w14:textId="77777777" w:rsidR="00990B14" w:rsidRDefault="00000000">
            <w:pPr>
              <w:numPr>
                <w:ilvl w:val="0"/>
                <w:numId w:val="139"/>
              </w:numPr>
              <w:spacing w:before="10" w:after="10"/>
              <w:jc w:val="both"/>
            </w:pPr>
            <w:r>
              <w:rPr>
                <w:sz w:val="18"/>
                <w:szCs w:val="18"/>
              </w:rPr>
              <w:t>Revisión comentada de manuales contables y de documentos internos de empresas.</w:t>
            </w:r>
          </w:p>
          <w:p w14:paraId="2BC872DF" w14:textId="77777777" w:rsidR="00990B14" w:rsidRDefault="00000000">
            <w:pPr>
              <w:numPr>
                <w:ilvl w:val="0"/>
                <w:numId w:val="139"/>
              </w:numPr>
              <w:spacing w:before="10" w:after="10"/>
              <w:jc w:val="both"/>
            </w:pPr>
            <w:r>
              <w:rPr>
                <w:sz w:val="18"/>
                <w:szCs w:val="18"/>
              </w:rPr>
              <w:t>Preguntas de comprensión sobre el Sistema de Contabilidad Integrada y el SIGEP.</w:t>
            </w:r>
          </w:p>
        </w:tc>
        <w:tc>
          <w:tcPr>
            <w:tcW w:w="1700" w:type="dxa"/>
            <w:shd w:val="clear" w:color="auto" w:fill="D9E2F3"/>
          </w:tcPr>
          <w:p w14:paraId="43EB9108" w14:textId="77777777" w:rsidR="00990B14" w:rsidRDefault="00000000">
            <w:pPr>
              <w:numPr>
                <w:ilvl w:val="0"/>
                <w:numId w:val="139"/>
              </w:numPr>
              <w:spacing w:before="10" w:after="10"/>
              <w:jc w:val="both"/>
            </w:pPr>
            <w:r>
              <w:rPr>
                <w:sz w:val="18"/>
                <w:szCs w:val="18"/>
              </w:rPr>
              <w:t>Resolución de ejercicios de diseño de plan de cuentas y de subsistemas contables al cierre de cada tema.</w:t>
            </w:r>
          </w:p>
          <w:p w14:paraId="3F27A657" w14:textId="77777777" w:rsidR="00990B14" w:rsidRDefault="00000000">
            <w:pPr>
              <w:numPr>
                <w:ilvl w:val="0"/>
                <w:numId w:val="139"/>
              </w:numPr>
              <w:spacing w:before="10" w:after="10"/>
              <w:jc w:val="both"/>
            </w:pPr>
            <w:r>
              <w:rPr>
                <w:sz w:val="18"/>
                <w:szCs w:val="18"/>
              </w:rPr>
              <w:t>Lectura de las normas y disposiciones legales que rigen el diseño de sistemas contables.</w:t>
            </w:r>
          </w:p>
          <w:p w14:paraId="6F25278D" w14:textId="77777777" w:rsidR="00990B14" w:rsidRDefault="00000000">
            <w:pPr>
              <w:numPr>
                <w:ilvl w:val="0"/>
                <w:numId w:val="139"/>
              </w:numPr>
              <w:spacing w:before="10" w:after="10"/>
              <w:jc w:val="both"/>
            </w:pPr>
            <w:r>
              <w:rPr>
                <w:sz w:val="18"/>
                <w:szCs w:val="18"/>
              </w:rPr>
              <w:t>Desarrollo progresivo del caso práctico integral de diseño del sistema contable de una organización y modelo de negocio en los distintos sistemas automatizados.</w:t>
            </w:r>
          </w:p>
          <w:p w14:paraId="7F6B4527" w14:textId="77777777" w:rsidR="00990B14" w:rsidRDefault="00000000">
            <w:pPr>
              <w:numPr>
                <w:ilvl w:val="0"/>
                <w:numId w:val="139"/>
              </w:numPr>
              <w:spacing w:before="10" w:after="10"/>
              <w:jc w:val="both"/>
            </w:pPr>
            <w:r>
              <w:rPr>
                <w:sz w:val="18"/>
                <w:szCs w:val="18"/>
              </w:rPr>
              <w:t>Instalación y configuración de un sistema contable, de activos fijos, de inventarios y de planillas en equipos propios o de laboratorio.</w:t>
            </w:r>
          </w:p>
          <w:p w14:paraId="5148EFF7" w14:textId="77777777" w:rsidR="00990B14" w:rsidRDefault="00000000">
            <w:pPr>
              <w:numPr>
                <w:ilvl w:val="0"/>
                <w:numId w:val="139"/>
              </w:numPr>
              <w:spacing w:before="10" w:after="10"/>
              <w:jc w:val="both"/>
            </w:pPr>
            <w:r>
              <w:rPr>
                <w:sz w:val="18"/>
                <w:szCs w:val="18"/>
              </w:rPr>
              <w:t>Lectura de los manuales de usuario de los sistemas contables automatizados y de las guías del SIAT.</w:t>
            </w:r>
          </w:p>
        </w:tc>
        <w:tc>
          <w:tcPr>
            <w:tcW w:w="1805" w:type="dxa"/>
            <w:shd w:val="clear" w:color="auto" w:fill="D9E2F3"/>
          </w:tcPr>
          <w:p w14:paraId="762AA7E0" w14:textId="77777777" w:rsidR="00990B14" w:rsidRDefault="00000000">
            <w:pPr>
              <w:numPr>
                <w:ilvl w:val="0"/>
                <w:numId w:val="139"/>
              </w:numPr>
              <w:spacing w:before="10" w:after="10"/>
              <w:jc w:val="both"/>
            </w:pPr>
            <w:r>
              <w:rPr>
                <w:sz w:val="18"/>
                <w:szCs w:val="18"/>
              </w:rPr>
              <w:t>Cuestionarios de comprensión de cada sistema automatizado en la plataforma Moodle UMSA.</w:t>
            </w:r>
          </w:p>
          <w:p w14:paraId="5D7731B6" w14:textId="77777777" w:rsidR="00990B14" w:rsidRDefault="00000000">
            <w:pPr>
              <w:numPr>
                <w:ilvl w:val="0"/>
                <w:numId w:val="139"/>
              </w:numPr>
              <w:spacing w:before="10" w:after="10"/>
              <w:jc w:val="both"/>
            </w:pPr>
            <w:r>
              <w:rPr>
                <w:sz w:val="18"/>
                <w:szCs w:val="18"/>
              </w:rPr>
              <w:t>Foros de consulta sobre casos prácticos de diagnóstico y diseño de sistemas contables, errores frecuentes de registro en los sistemas contables y en el SIAT.</w:t>
            </w:r>
          </w:p>
          <w:p w14:paraId="40BAFE57" w14:textId="77777777" w:rsidR="00990B14" w:rsidRDefault="00000000">
            <w:pPr>
              <w:numPr>
                <w:ilvl w:val="0"/>
                <w:numId w:val="139"/>
              </w:numPr>
              <w:spacing w:before="10" w:after="10"/>
              <w:jc w:val="both"/>
            </w:pPr>
            <w:r>
              <w:rPr>
                <w:sz w:val="18"/>
                <w:szCs w:val="18"/>
              </w:rPr>
              <w:t>Videotutoriales de elaboración de manuales, diagramas de control interno y de configuración e ingreso de datos en cada sistema automatizado.</w:t>
            </w:r>
          </w:p>
          <w:p w14:paraId="60BC26AC" w14:textId="77777777" w:rsidR="00990B14" w:rsidRDefault="00000000">
            <w:pPr>
              <w:numPr>
                <w:ilvl w:val="0"/>
                <w:numId w:val="139"/>
              </w:numPr>
              <w:spacing w:before="10" w:after="10"/>
              <w:jc w:val="both"/>
            </w:pPr>
            <w:r>
              <w:rPr>
                <w:sz w:val="18"/>
                <w:szCs w:val="18"/>
              </w:rPr>
              <w:t>Elaboración colaborativa del mapa de procesos y del plan de cuentas de un caso práctico.</w:t>
            </w:r>
          </w:p>
          <w:p w14:paraId="2D2470DF" w14:textId="77777777" w:rsidR="00990B14" w:rsidRDefault="00000000">
            <w:pPr>
              <w:numPr>
                <w:ilvl w:val="0"/>
                <w:numId w:val="139"/>
              </w:numPr>
              <w:spacing w:before="10" w:after="10"/>
              <w:jc w:val="both"/>
            </w:pPr>
            <w:r>
              <w:rPr>
                <w:sz w:val="18"/>
                <w:szCs w:val="18"/>
              </w:rPr>
              <w:t>Prácticas guiadas en el ambiente de pruebas del Sistema de Facturación del Servicio de Impuestos Nacionales.</w:t>
            </w:r>
          </w:p>
        </w:tc>
        <w:tc>
          <w:tcPr>
            <w:tcW w:w="1805" w:type="dxa"/>
            <w:shd w:val="clear" w:color="auto" w:fill="D9E2F3"/>
          </w:tcPr>
          <w:p w14:paraId="6A0AF36D" w14:textId="77777777" w:rsidR="00990B14" w:rsidRDefault="00000000">
            <w:pPr>
              <w:numPr>
                <w:ilvl w:val="0"/>
                <w:numId w:val="139"/>
              </w:numPr>
              <w:spacing w:before="10" w:after="10"/>
              <w:jc w:val="both"/>
            </w:pPr>
            <w:r>
              <w:rPr>
                <w:sz w:val="18"/>
                <w:szCs w:val="18"/>
              </w:rPr>
              <w:t>Resolución colaborativa de casos de relevamiento, diagnóstico de sistemas empresariales y de registro en el sistema contable, de activos fijos, de inventarios y de planillas.</w:t>
            </w:r>
          </w:p>
          <w:p w14:paraId="41298353" w14:textId="77777777" w:rsidR="00990B14" w:rsidRDefault="00000000">
            <w:pPr>
              <w:numPr>
                <w:ilvl w:val="0"/>
                <w:numId w:val="139"/>
              </w:numPr>
              <w:spacing w:before="10" w:after="10"/>
              <w:jc w:val="both"/>
            </w:pPr>
            <w:r>
              <w:rPr>
                <w:sz w:val="18"/>
                <w:szCs w:val="18"/>
              </w:rPr>
              <w:t>Elaboración guiada del plan de cuentas, del mapa de procesos de un sistema contable integrado.</w:t>
            </w:r>
          </w:p>
          <w:p w14:paraId="709FE21D" w14:textId="77777777" w:rsidR="00990B14" w:rsidRDefault="00000000">
            <w:pPr>
              <w:numPr>
                <w:ilvl w:val="0"/>
                <w:numId w:val="139"/>
              </w:numPr>
              <w:spacing w:before="10" w:after="10"/>
              <w:jc w:val="both"/>
            </w:pPr>
            <w:r>
              <w:rPr>
                <w:sz w:val="18"/>
                <w:szCs w:val="18"/>
              </w:rPr>
              <w:t>Revisión cruzada de manuales contables, matrices de riesgo entre equipos y reportes generados por cada sistema automatizado entre equipos.</w:t>
            </w:r>
          </w:p>
          <w:p w14:paraId="40B26001" w14:textId="77777777" w:rsidR="00990B14" w:rsidRDefault="00000000">
            <w:pPr>
              <w:numPr>
                <w:ilvl w:val="0"/>
                <w:numId w:val="139"/>
              </w:numPr>
              <w:spacing w:before="10" w:after="10"/>
              <w:jc w:val="both"/>
            </w:pPr>
            <w:r>
              <w:rPr>
                <w:sz w:val="18"/>
                <w:szCs w:val="18"/>
              </w:rPr>
              <w:t>Diseño de la matriz de riesgos y controles de un ciclo transaccional de un caso práctico.</w:t>
            </w:r>
          </w:p>
          <w:p w14:paraId="1619EEBE" w14:textId="77777777" w:rsidR="00990B14" w:rsidRDefault="00000000">
            <w:pPr>
              <w:numPr>
                <w:ilvl w:val="0"/>
                <w:numId w:val="139"/>
              </w:numPr>
              <w:spacing w:before="10" w:after="10"/>
              <w:jc w:val="both"/>
            </w:pPr>
            <w:r>
              <w:rPr>
                <w:sz w:val="18"/>
                <w:szCs w:val="18"/>
              </w:rPr>
              <w:t>Revisión de los perfiles de acceso y de las pistas de auditoría de un sistema contable.</w:t>
            </w:r>
          </w:p>
          <w:p w14:paraId="7BE8A378" w14:textId="77777777" w:rsidR="00990B14" w:rsidRDefault="00000000">
            <w:pPr>
              <w:numPr>
                <w:ilvl w:val="0"/>
                <w:numId w:val="139"/>
              </w:numPr>
              <w:spacing w:before="10" w:after="10"/>
              <w:jc w:val="both"/>
            </w:pPr>
            <w:r>
              <w:rPr>
                <w:sz w:val="18"/>
                <w:szCs w:val="18"/>
              </w:rPr>
              <w:t>Parametrización guiada de una empresa en un ERP de uso académico y elaboración de su tablero de indicadores.</w:t>
            </w:r>
          </w:p>
        </w:tc>
        <w:tc>
          <w:tcPr>
            <w:tcW w:w="2185" w:type="dxa"/>
            <w:shd w:val="clear" w:color="auto" w:fill="D9E2F3"/>
          </w:tcPr>
          <w:p w14:paraId="26D4387E" w14:textId="77777777" w:rsidR="00990B14" w:rsidRDefault="00000000">
            <w:pPr>
              <w:numPr>
                <w:ilvl w:val="0"/>
                <w:numId w:val="139"/>
              </w:numPr>
              <w:spacing w:before="10" w:after="10"/>
              <w:jc w:val="both"/>
            </w:pPr>
            <w:r>
              <w:rPr>
                <w:sz w:val="18"/>
                <w:szCs w:val="18"/>
              </w:rPr>
              <w:t>Análisis de sistemas contables computarizados de escritorio y en la nube disponibles e implementados por empresas bolivianas.</w:t>
            </w:r>
          </w:p>
          <w:p w14:paraId="36880407" w14:textId="77777777" w:rsidR="00990B14" w:rsidRDefault="00000000">
            <w:pPr>
              <w:numPr>
                <w:ilvl w:val="0"/>
                <w:numId w:val="139"/>
              </w:numPr>
              <w:spacing w:before="10" w:after="10"/>
              <w:jc w:val="both"/>
            </w:pPr>
            <w:r>
              <w:rPr>
                <w:sz w:val="18"/>
                <w:szCs w:val="18"/>
              </w:rPr>
              <w:t>Revisión de las guías y opciones del SIAT en línea publicadas por el Servicio de Impuestos Nacionales.</w:t>
            </w:r>
          </w:p>
          <w:p w14:paraId="1B0F5A9C" w14:textId="77777777" w:rsidR="00990B14" w:rsidRDefault="00000000">
            <w:pPr>
              <w:numPr>
                <w:ilvl w:val="0"/>
                <w:numId w:val="139"/>
              </w:numPr>
              <w:spacing w:before="10" w:after="10"/>
              <w:jc w:val="both"/>
            </w:pPr>
            <w:r>
              <w:rPr>
                <w:sz w:val="18"/>
                <w:szCs w:val="18"/>
              </w:rPr>
              <w:t>Y la normativa del Sistema de Contabilidad Integrada y de la Ley N.º 1178.</w:t>
            </w:r>
          </w:p>
          <w:p w14:paraId="3713D2E3" w14:textId="77777777" w:rsidR="00990B14" w:rsidRDefault="00000000">
            <w:pPr>
              <w:numPr>
                <w:ilvl w:val="0"/>
                <w:numId w:val="139"/>
              </w:numPr>
              <w:spacing w:before="10" w:after="10"/>
              <w:jc w:val="both"/>
            </w:pPr>
            <w:r>
              <w:rPr>
                <w:sz w:val="18"/>
                <w:szCs w:val="18"/>
              </w:rPr>
              <w:t>Comparación de metodologías de diseño e implantación de sistemas contables.</w:t>
            </w:r>
          </w:p>
          <w:p w14:paraId="0E8E1B7F" w14:textId="77777777" w:rsidR="00990B14" w:rsidRDefault="00000000">
            <w:pPr>
              <w:numPr>
                <w:ilvl w:val="0"/>
                <w:numId w:val="139"/>
              </w:numPr>
              <w:spacing w:before="10" w:after="10"/>
              <w:jc w:val="both"/>
            </w:pPr>
            <w:r>
              <w:rPr>
                <w:sz w:val="18"/>
                <w:szCs w:val="18"/>
              </w:rPr>
              <w:t>Comparación de las funcionalidades contables de dos sistemas de planificación de recursos empresariales del mercado.</w:t>
            </w:r>
          </w:p>
          <w:p w14:paraId="7CC1801E" w14:textId="77777777" w:rsidR="00990B14" w:rsidRDefault="00000000">
            <w:pPr>
              <w:numPr>
                <w:ilvl w:val="0"/>
                <w:numId w:val="139"/>
              </w:numPr>
              <w:spacing w:before="10" w:after="10"/>
              <w:jc w:val="both"/>
            </w:pPr>
            <w:r>
              <w:rPr>
                <w:sz w:val="18"/>
                <w:szCs w:val="18"/>
              </w:rPr>
              <w:t>Comparación de plataformas de facturación e inventarios en la nube utilizadas por empresas bolivianas.</w:t>
            </w:r>
          </w:p>
          <w:p w14:paraId="265D0CD1" w14:textId="77777777" w:rsidR="00990B14" w:rsidRDefault="00000000">
            <w:pPr>
              <w:numPr>
                <w:ilvl w:val="0"/>
                <w:numId w:val="139"/>
              </w:numPr>
              <w:spacing w:before="10" w:after="10"/>
              <w:jc w:val="both"/>
            </w:pPr>
            <w:r>
              <w:rPr>
                <w:sz w:val="18"/>
                <w:szCs w:val="18"/>
              </w:rPr>
              <w:t>Análisis de un tablero de control elaborado con los datos de un sistema contable automatizado.</w:t>
            </w:r>
          </w:p>
          <w:p w14:paraId="5AC16299" w14:textId="77777777" w:rsidR="00990B14" w:rsidRDefault="00000000">
            <w:pPr>
              <w:numPr>
                <w:ilvl w:val="0"/>
                <w:numId w:val="139"/>
              </w:numPr>
              <w:spacing w:before="10" w:after="10"/>
              <w:jc w:val="both"/>
            </w:pPr>
            <w:r>
              <w:rPr>
                <w:sz w:val="18"/>
                <w:szCs w:val="18"/>
              </w:rPr>
              <w:t>Análisis del sistema ERP utilizado por una empresa boliviana y de los reportes que genera para la gerencia.</w:t>
            </w:r>
          </w:p>
        </w:tc>
      </w:tr>
    </w:tbl>
    <w:p w14:paraId="6FD2AFFE"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533"/>
        <w:gridCol w:w="1812"/>
        <w:gridCol w:w="2435"/>
        <w:gridCol w:w="1812"/>
        <w:gridCol w:w="1813"/>
      </w:tblGrid>
      <w:tr w:rsidR="00990B14" w14:paraId="008D70E9" w14:textId="77777777">
        <w:trPr>
          <w:jc w:val="center"/>
        </w:trPr>
        <w:tc>
          <w:tcPr>
            <w:tcW w:w="1533" w:type="dxa"/>
            <w:shd w:val="clear" w:color="auto" w:fill="4472C4"/>
            <w:vAlign w:val="center"/>
          </w:tcPr>
          <w:p w14:paraId="00B69DDC" w14:textId="77777777" w:rsidR="00990B14" w:rsidRDefault="00000000">
            <w:pPr>
              <w:spacing w:before="20" w:after="20"/>
              <w:jc w:val="center"/>
            </w:pPr>
            <w:r>
              <w:rPr>
                <w:b/>
                <w:bCs/>
                <w:i/>
                <w:iCs/>
                <w:color w:val="FFFFFF"/>
                <w:sz w:val="18"/>
                <w:szCs w:val="18"/>
              </w:rPr>
              <w:t>Estrategias de aprendizaje y enseñanza</w:t>
            </w:r>
          </w:p>
        </w:tc>
        <w:tc>
          <w:tcPr>
            <w:tcW w:w="7872" w:type="dxa"/>
            <w:gridSpan w:val="4"/>
            <w:shd w:val="clear" w:color="auto" w:fill="D9E2F3"/>
            <w:vAlign w:val="center"/>
          </w:tcPr>
          <w:p w14:paraId="78D2BAB0" w14:textId="77777777" w:rsidR="00990B14" w:rsidRDefault="00000000">
            <w:pPr>
              <w:numPr>
                <w:ilvl w:val="0"/>
                <w:numId w:val="140"/>
              </w:numPr>
              <w:spacing w:before="10" w:after="10"/>
              <w:jc w:val="both"/>
            </w:pPr>
            <w:r>
              <w:rPr>
                <w:sz w:val="18"/>
                <w:szCs w:val="18"/>
              </w:rPr>
              <w:t>Aprendizaje basado en problemas con casos de diseño de sistemas contables de empresas bolivianas e implementación de sistemas automatizados en modelos de negocio bolivianos.</w:t>
            </w:r>
          </w:p>
          <w:p w14:paraId="4750F3DD" w14:textId="77777777" w:rsidR="00990B14" w:rsidRDefault="00000000">
            <w:pPr>
              <w:numPr>
                <w:ilvl w:val="0"/>
                <w:numId w:val="140"/>
              </w:numPr>
              <w:spacing w:before="10" w:after="10"/>
              <w:jc w:val="both"/>
            </w:pPr>
            <w:r>
              <w:rPr>
                <w:sz w:val="18"/>
                <w:szCs w:val="18"/>
              </w:rPr>
              <w:t>Resolución guiada de ejercicios en orden de dificultad creciente por sistema automatizado.</w:t>
            </w:r>
          </w:p>
          <w:p w14:paraId="07A84951" w14:textId="77777777" w:rsidR="00990B14" w:rsidRDefault="00000000">
            <w:pPr>
              <w:numPr>
                <w:ilvl w:val="0"/>
                <w:numId w:val="140"/>
              </w:numPr>
              <w:spacing w:before="10" w:after="10"/>
              <w:jc w:val="both"/>
            </w:pPr>
            <w:r>
              <w:rPr>
                <w:sz w:val="18"/>
                <w:szCs w:val="18"/>
              </w:rPr>
              <w:t>Caso práctico integral que recorre el diseño completo del sistema contable de una organización, su implementación hasta la presentación de sus obligaciones en el SIAT.</w:t>
            </w:r>
          </w:p>
          <w:p w14:paraId="5E116EB5" w14:textId="77777777" w:rsidR="00990B14" w:rsidRDefault="00000000">
            <w:pPr>
              <w:numPr>
                <w:ilvl w:val="0"/>
                <w:numId w:val="140"/>
              </w:numPr>
              <w:spacing w:before="10" w:after="10"/>
              <w:jc w:val="both"/>
            </w:pPr>
            <w:r>
              <w:rPr>
                <w:sz w:val="18"/>
                <w:szCs w:val="18"/>
              </w:rPr>
              <w:t>Estudio de casos de diagnóstico, control interno y documentación de sistemas contables.</w:t>
            </w:r>
          </w:p>
          <w:p w14:paraId="5DD0FE21" w14:textId="77777777" w:rsidR="00990B14" w:rsidRDefault="00000000">
            <w:pPr>
              <w:numPr>
                <w:ilvl w:val="0"/>
                <w:numId w:val="140"/>
              </w:numPr>
              <w:spacing w:before="10" w:after="10"/>
              <w:jc w:val="both"/>
            </w:pPr>
            <w:r>
              <w:rPr>
                <w:sz w:val="18"/>
                <w:szCs w:val="18"/>
              </w:rPr>
              <w:t>Trabajo colaborativo en equipos de diseño de subsistemas contables, configuración y resolución de casos en los sistemas automatizados.</w:t>
            </w:r>
          </w:p>
          <w:p w14:paraId="35B212CD" w14:textId="77777777" w:rsidR="00990B14" w:rsidRDefault="00000000">
            <w:pPr>
              <w:numPr>
                <w:ilvl w:val="0"/>
                <w:numId w:val="140"/>
              </w:numPr>
              <w:spacing w:before="10" w:after="10"/>
              <w:jc w:val="both"/>
            </w:pPr>
            <w:r>
              <w:rPr>
                <w:sz w:val="18"/>
                <w:szCs w:val="18"/>
              </w:rPr>
              <w:t>Clase invertida para los contenidos introductorios, normativos, metodológicos y de instalación de cada sistema.</w:t>
            </w:r>
          </w:p>
          <w:p w14:paraId="0B882202" w14:textId="77777777" w:rsidR="00990B14" w:rsidRDefault="00000000">
            <w:pPr>
              <w:numPr>
                <w:ilvl w:val="0"/>
                <w:numId w:val="140"/>
              </w:numPr>
              <w:spacing w:before="10" w:after="10"/>
              <w:jc w:val="both"/>
            </w:pPr>
            <w:r>
              <w:rPr>
                <w:sz w:val="18"/>
                <w:szCs w:val="18"/>
              </w:rPr>
              <w:t>Análisis crítico de la brecha entre el sistema vigente, los requerimientos de información antes de proponer el diseño y la consistencia de los reportes de un sistema automatizado antes de su presentación.</w:t>
            </w:r>
          </w:p>
        </w:tc>
      </w:tr>
      <w:tr w:rsidR="00990B14" w14:paraId="3549023F" w14:textId="77777777">
        <w:trPr>
          <w:jc w:val="center"/>
        </w:trPr>
        <w:tc>
          <w:tcPr>
            <w:tcW w:w="1533" w:type="dxa"/>
            <w:shd w:val="clear" w:color="auto" w:fill="4472C4"/>
            <w:vAlign w:val="center"/>
          </w:tcPr>
          <w:p w14:paraId="4D314760" w14:textId="77777777" w:rsidR="00990B14" w:rsidRDefault="00000000">
            <w:pPr>
              <w:spacing w:before="20" w:after="20"/>
              <w:jc w:val="center"/>
            </w:pPr>
            <w:r>
              <w:rPr>
                <w:b/>
                <w:bCs/>
                <w:i/>
                <w:iCs/>
                <w:color w:val="FFFFFF"/>
                <w:sz w:val="18"/>
                <w:szCs w:val="18"/>
              </w:rPr>
              <w:t>Recursos para el aprendizaje</w:t>
            </w:r>
          </w:p>
        </w:tc>
        <w:tc>
          <w:tcPr>
            <w:tcW w:w="7872" w:type="dxa"/>
            <w:gridSpan w:val="4"/>
            <w:shd w:val="clear" w:color="auto" w:fill="D9E2F3"/>
            <w:vAlign w:val="center"/>
          </w:tcPr>
          <w:p w14:paraId="768C1892" w14:textId="77777777" w:rsidR="00990B14" w:rsidRDefault="00000000">
            <w:pPr>
              <w:numPr>
                <w:ilvl w:val="0"/>
                <w:numId w:val="140"/>
              </w:numPr>
              <w:spacing w:before="10" w:after="10"/>
              <w:jc w:val="both"/>
            </w:pPr>
            <w:r>
              <w:rPr>
                <w:sz w:val="18"/>
                <w:szCs w:val="18"/>
              </w:rPr>
              <w:t>Plataforma Moodle UMSA.</w:t>
            </w:r>
          </w:p>
          <w:p w14:paraId="77979784" w14:textId="77777777" w:rsidR="00990B14" w:rsidRDefault="00000000">
            <w:pPr>
              <w:numPr>
                <w:ilvl w:val="0"/>
                <w:numId w:val="140"/>
              </w:numPr>
              <w:spacing w:before="10" w:after="10"/>
              <w:jc w:val="both"/>
            </w:pPr>
            <w:r>
              <w:rPr>
                <w:sz w:val="18"/>
                <w:szCs w:val="18"/>
              </w:rPr>
              <w:t>Hoja de cálculo tablas dinámicas y herramientas de tableros de control para el análisis de los reportes.</w:t>
            </w:r>
          </w:p>
          <w:p w14:paraId="0D9C942C" w14:textId="77777777" w:rsidR="00990B14" w:rsidRDefault="00000000">
            <w:pPr>
              <w:numPr>
                <w:ilvl w:val="0"/>
                <w:numId w:val="140"/>
              </w:numPr>
              <w:spacing w:before="10" w:after="10"/>
              <w:jc w:val="both"/>
            </w:pPr>
            <w:r>
              <w:rPr>
                <w:sz w:val="18"/>
                <w:szCs w:val="18"/>
              </w:rPr>
              <w:t>Software contable, de activos fijos, de inventarios y de planillas de uso académico, de escritorio y en la nube.</w:t>
            </w:r>
          </w:p>
          <w:p w14:paraId="4AED2125" w14:textId="77777777" w:rsidR="00990B14" w:rsidRDefault="00000000">
            <w:pPr>
              <w:numPr>
                <w:ilvl w:val="0"/>
                <w:numId w:val="140"/>
              </w:numPr>
              <w:spacing w:before="10" w:after="10"/>
              <w:jc w:val="both"/>
            </w:pPr>
            <w:r>
              <w:rPr>
                <w:sz w:val="18"/>
                <w:szCs w:val="18"/>
              </w:rPr>
              <w:t>Plataforma SIAT en línea del Servicio de Impuestos Nacionales.</w:t>
            </w:r>
          </w:p>
          <w:p w14:paraId="061D5506" w14:textId="77777777" w:rsidR="00990B14" w:rsidRDefault="00000000">
            <w:pPr>
              <w:numPr>
                <w:ilvl w:val="0"/>
                <w:numId w:val="140"/>
              </w:numPr>
              <w:spacing w:before="10" w:after="10"/>
              <w:jc w:val="both"/>
            </w:pPr>
            <w:r>
              <w:rPr>
                <w:sz w:val="18"/>
                <w:szCs w:val="18"/>
              </w:rPr>
              <w:t>Modelos de manuales contables, flujogramas y matrices de riesgo.</w:t>
            </w:r>
          </w:p>
          <w:p w14:paraId="2E536CB8" w14:textId="77777777" w:rsidR="00990B14" w:rsidRDefault="00000000">
            <w:pPr>
              <w:numPr>
                <w:ilvl w:val="0"/>
                <w:numId w:val="140"/>
              </w:numPr>
              <w:spacing w:before="10" w:after="10"/>
              <w:jc w:val="both"/>
            </w:pPr>
            <w:r>
              <w:rPr>
                <w:sz w:val="18"/>
                <w:szCs w:val="18"/>
              </w:rPr>
              <w:t>Compendio de Normas de Contabilidad y Auditoría del CAUB y Normas Internacionales de Información Financiera y NIIF para PYMES.</w:t>
            </w:r>
          </w:p>
          <w:p w14:paraId="517EA8C2" w14:textId="77777777" w:rsidR="00990B14" w:rsidRDefault="00000000">
            <w:pPr>
              <w:numPr>
                <w:ilvl w:val="0"/>
                <w:numId w:val="140"/>
              </w:numPr>
              <w:spacing w:before="10" w:after="10"/>
              <w:jc w:val="both"/>
            </w:pPr>
            <w:r>
              <w:rPr>
                <w:sz w:val="18"/>
                <w:szCs w:val="18"/>
              </w:rPr>
              <w:t>Equipos de cómputo y conexión a internet para las aplicaciones prácticas.</w:t>
            </w:r>
          </w:p>
          <w:p w14:paraId="031CF31F" w14:textId="77777777" w:rsidR="00990B14" w:rsidRDefault="00000000">
            <w:pPr>
              <w:numPr>
                <w:ilvl w:val="0"/>
                <w:numId w:val="140"/>
              </w:numPr>
              <w:spacing w:before="10" w:after="10"/>
              <w:jc w:val="both"/>
            </w:pPr>
            <w:r>
              <w:rPr>
                <w:sz w:val="18"/>
                <w:szCs w:val="18"/>
              </w:rPr>
              <w:t>Guías de ejercicios y casos elaborados por la cátedra sobre diseño e implantación de sistemas contables.</w:t>
            </w:r>
          </w:p>
          <w:p w14:paraId="08A79B2C" w14:textId="77777777" w:rsidR="00990B14" w:rsidRDefault="00000000">
            <w:pPr>
              <w:numPr>
                <w:ilvl w:val="0"/>
                <w:numId w:val="140"/>
              </w:numPr>
              <w:spacing w:before="10" w:after="10"/>
              <w:jc w:val="both"/>
            </w:pPr>
            <w:r>
              <w:rPr>
                <w:sz w:val="18"/>
                <w:szCs w:val="18"/>
              </w:rPr>
              <w:t>Herramientas de diagramación de procesos y de elaboración de matrices de riesgos y controles.</w:t>
            </w:r>
          </w:p>
          <w:p w14:paraId="20F88F3A" w14:textId="77777777" w:rsidR="00990B14" w:rsidRDefault="00000000">
            <w:pPr>
              <w:numPr>
                <w:ilvl w:val="0"/>
                <w:numId w:val="140"/>
              </w:numPr>
              <w:spacing w:before="10" w:after="10"/>
              <w:jc w:val="both"/>
            </w:pPr>
            <w:r>
              <w:rPr>
                <w:sz w:val="18"/>
                <w:szCs w:val="18"/>
              </w:rPr>
              <w:t>Normativa tributaria de facturación en línea y de presentación digital de estados financieros.</w:t>
            </w:r>
          </w:p>
          <w:p w14:paraId="7A9B5CEE" w14:textId="77777777" w:rsidR="00990B14" w:rsidRDefault="00000000">
            <w:pPr>
              <w:numPr>
                <w:ilvl w:val="0"/>
                <w:numId w:val="140"/>
              </w:numPr>
              <w:spacing w:before="10" w:after="10"/>
              <w:jc w:val="both"/>
            </w:pPr>
            <w:r>
              <w:rPr>
                <w:sz w:val="18"/>
                <w:szCs w:val="18"/>
              </w:rPr>
              <w:t>Sistema ERP de uso académico, como Odoo en su versión comunitaria, y Power BI Desktop.</w:t>
            </w:r>
          </w:p>
        </w:tc>
      </w:tr>
      <w:tr w:rsidR="00990B14" w14:paraId="6950B34F" w14:textId="77777777">
        <w:trPr>
          <w:jc w:val="center"/>
        </w:trPr>
        <w:tc>
          <w:tcPr>
            <w:tcW w:w="1533" w:type="dxa"/>
            <w:shd w:val="clear" w:color="auto" w:fill="4472C4"/>
            <w:vAlign w:val="center"/>
          </w:tcPr>
          <w:p w14:paraId="4CE7FCC8" w14:textId="77777777" w:rsidR="00990B14" w:rsidRDefault="00000000">
            <w:pPr>
              <w:spacing w:before="20" w:after="20"/>
              <w:jc w:val="center"/>
            </w:pPr>
            <w:r>
              <w:rPr>
                <w:b/>
                <w:bCs/>
                <w:i/>
                <w:iCs/>
                <w:color w:val="FFFFFF"/>
                <w:sz w:val="18"/>
                <w:szCs w:val="18"/>
              </w:rPr>
              <w:t>Estrategias de evaluación</w:t>
            </w:r>
          </w:p>
        </w:tc>
        <w:tc>
          <w:tcPr>
            <w:tcW w:w="7872" w:type="dxa"/>
            <w:gridSpan w:val="4"/>
            <w:shd w:val="clear" w:color="auto" w:fill="D9E2F3"/>
            <w:vAlign w:val="center"/>
          </w:tcPr>
          <w:p w14:paraId="7AD972F3" w14:textId="77777777" w:rsidR="00990B14" w:rsidRDefault="00000000">
            <w:pPr>
              <w:numPr>
                <w:ilvl w:val="0"/>
                <w:numId w:val="140"/>
              </w:numPr>
              <w:spacing w:before="10" w:after="10"/>
              <w:jc w:val="both"/>
            </w:pPr>
            <w:r>
              <w:rPr>
                <w:sz w:val="18"/>
                <w:szCs w:val="18"/>
              </w:rPr>
              <w:t>Evaluación diagnóstica: prueba inicial sobre los conocimientos previos de tecnologías de la información, contabilidad internacional, de costos, de bancos, gubernamental y de sistemas automatizados.</w:t>
            </w:r>
          </w:p>
          <w:p w14:paraId="031BBC82" w14:textId="77777777" w:rsidR="00990B14" w:rsidRDefault="00000000">
            <w:pPr>
              <w:numPr>
                <w:ilvl w:val="0"/>
                <w:numId w:val="140"/>
              </w:numPr>
              <w:spacing w:before="10" w:after="10"/>
              <w:jc w:val="both"/>
            </w:pPr>
            <w:r>
              <w:rPr>
                <w:sz w:val="18"/>
                <w:szCs w:val="18"/>
              </w:rPr>
              <w:t>Evaluación formativa: preguntas de comprensión y desarrollo de ejercicios prácticos en el aula, con retroalimentación continua, autoevaluación y coevaluación.</w:t>
            </w:r>
          </w:p>
          <w:p w14:paraId="5A1B6DD0" w14:textId="77777777" w:rsidR="00990B14" w:rsidRDefault="00000000">
            <w:pPr>
              <w:numPr>
                <w:ilvl w:val="0"/>
                <w:numId w:val="140"/>
              </w:numPr>
              <w:spacing w:before="10" w:after="10"/>
              <w:jc w:val="both"/>
            </w:pPr>
            <w:r>
              <w:rPr>
                <w:sz w:val="18"/>
                <w:szCs w:val="18"/>
              </w:rPr>
              <w:t>Evaluación sumativa: controles de lectura y asistencia, evaluación de casos prácticos, trabajos de investigación y desarrollo, exámenes parciales y examen final.</w:t>
            </w:r>
          </w:p>
        </w:tc>
      </w:tr>
      <w:tr w:rsidR="00990B14" w14:paraId="27B5AB75" w14:textId="77777777">
        <w:trPr>
          <w:jc w:val="center"/>
        </w:trPr>
        <w:tc>
          <w:tcPr>
            <w:tcW w:w="1533" w:type="dxa"/>
            <w:shd w:val="clear" w:color="auto" w:fill="4472C4"/>
            <w:vAlign w:val="center"/>
          </w:tcPr>
          <w:p w14:paraId="57FBBA02" w14:textId="77777777" w:rsidR="00990B14" w:rsidRDefault="00000000">
            <w:pPr>
              <w:spacing w:before="20" w:after="20"/>
              <w:jc w:val="center"/>
            </w:pPr>
            <w:r>
              <w:rPr>
                <w:b/>
                <w:bCs/>
                <w:i/>
                <w:iCs/>
                <w:color w:val="FFFFFF"/>
                <w:sz w:val="18"/>
                <w:szCs w:val="18"/>
              </w:rPr>
              <w:t>Criterios de calificación</w:t>
            </w:r>
          </w:p>
        </w:tc>
        <w:tc>
          <w:tcPr>
            <w:tcW w:w="7872" w:type="dxa"/>
            <w:gridSpan w:val="4"/>
            <w:shd w:val="clear" w:color="auto" w:fill="D9E2F3"/>
            <w:vAlign w:val="center"/>
          </w:tcPr>
          <w:p w14:paraId="6F1BD689" w14:textId="77777777" w:rsidR="00990B14" w:rsidRDefault="00000000">
            <w:pPr>
              <w:numPr>
                <w:ilvl w:val="0"/>
                <w:numId w:val="140"/>
              </w:numPr>
              <w:spacing w:before="10" w:after="10"/>
              <w:jc w:val="both"/>
            </w:pPr>
            <w:r>
              <w:rPr>
                <w:sz w:val="18"/>
                <w:szCs w:val="18"/>
              </w:rPr>
              <w:t>Nota mínima de aprobación: 51/100.</w:t>
            </w:r>
          </w:p>
          <w:p w14:paraId="1A02309F" w14:textId="77777777" w:rsidR="00990B14" w:rsidRDefault="00000000">
            <w:pPr>
              <w:numPr>
                <w:ilvl w:val="0"/>
                <w:numId w:val="140"/>
              </w:numPr>
              <w:spacing w:before="10" w:after="10"/>
              <w:jc w:val="both"/>
            </w:pPr>
            <w:r>
              <w:rPr>
                <w:sz w:val="18"/>
                <w:szCs w:val="18"/>
              </w:rPr>
              <w:t>Evaluación periódica al finalizar cada tema, basada en evidencias de conocimiento, desempeño y producto.</w:t>
            </w:r>
          </w:p>
          <w:p w14:paraId="610FF823" w14:textId="77777777" w:rsidR="00990B14" w:rsidRDefault="00000000">
            <w:pPr>
              <w:numPr>
                <w:ilvl w:val="0"/>
                <w:numId w:val="140"/>
              </w:numPr>
              <w:spacing w:before="10" w:after="10"/>
              <w:jc w:val="both"/>
            </w:pPr>
            <w:r>
              <w:rPr>
                <w:sz w:val="18"/>
                <w:szCs w:val="18"/>
              </w:rPr>
              <w:t>Cada evidencia de producto se evalúa con su propia rúbrica de tres niveles: Insuficiente, Suficiente y Destacado.</w:t>
            </w:r>
          </w:p>
          <w:p w14:paraId="3CAF2F48" w14:textId="77777777" w:rsidR="00990B14" w:rsidRDefault="00000000">
            <w:pPr>
              <w:numPr>
                <w:ilvl w:val="0"/>
                <w:numId w:val="140"/>
              </w:numPr>
              <w:spacing w:before="10" w:after="10"/>
              <w:jc w:val="both"/>
            </w:pPr>
            <w:r>
              <w:rPr>
                <w:sz w:val="18"/>
                <w:szCs w:val="18"/>
              </w:rPr>
              <w:t>La calificación de cada elemento de competencia suma las calificaciones de sus evidencias de producto.</w:t>
            </w:r>
          </w:p>
        </w:tc>
      </w:tr>
      <w:tr w:rsidR="00990B14" w14:paraId="72F09EED" w14:textId="77777777">
        <w:trPr>
          <w:cantSplit/>
          <w:jc w:val="center"/>
        </w:trPr>
        <w:tc>
          <w:tcPr>
            <w:tcW w:w="1533" w:type="dxa"/>
            <w:vMerge w:val="restart"/>
            <w:shd w:val="clear" w:color="auto" w:fill="4472C4"/>
            <w:vAlign w:val="center"/>
          </w:tcPr>
          <w:p w14:paraId="7F7F7A39" w14:textId="77777777" w:rsidR="00990B14" w:rsidRDefault="00000000">
            <w:pPr>
              <w:spacing w:before="20" w:after="20"/>
              <w:jc w:val="center"/>
            </w:pPr>
            <w:r>
              <w:rPr>
                <w:b/>
                <w:bCs/>
                <w:i/>
                <w:iCs/>
                <w:color w:val="FFFFFF"/>
                <w:sz w:val="18"/>
                <w:szCs w:val="18"/>
              </w:rPr>
              <w:t>Niveles de logro y distribución de la calificación</w:t>
            </w:r>
          </w:p>
        </w:tc>
        <w:tc>
          <w:tcPr>
            <w:tcW w:w="6059" w:type="dxa"/>
            <w:gridSpan w:val="3"/>
            <w:shd w:val="clear" w:color="auto" w:fill="D9E2F3"/>
            <w:vAlign w:val="center"/>
          </w:tcPr>
          <w:p w14:paraId="5880CAED" w14:textId="77777777" w:rsidR="00990B14" w:rsidRDefault="00000000">
            <w:pPr>
              <w:keepNext/>
              <w:spacing w:before="20" w:after="20"/>
              <w:jc w:val="both"/>
            </w:pPr>
            <w:r>
              <w:rPr>
                <w:b/>
                <w:bCs/>
                <w:i/>
                <w:iCs/>
                <w:sz w:val="18"/>
                <w:szCs w:val="18"/>
              </w:rPr>
              <w:t xml:space="preserve">Producto 1: </w:t>
            </w:r>
            <w:r>
              <w:rPr>
                <w:sz w:val="18"/>
                <w:szCs w:val="18"/>
              </w:rPr>
              <w:t>Cuadro de clasificación de los sistemas de información</w:t>
            </w:r>
          </w:p>
        </w:tc>
        <w:tc>
          <w:tcPr>
            <w:tcW w:w="1813" w:type="dxa"/>
            <w:shd w:val="clear" w:color="auto" w:fill="D9E2F3"/>
            <w:vAlign w:val="center"/>
          </w:tcPr>
          <w:p w14:paraId="5FF5C76E" w14:textId="77777777" w:rsidR="00990B14" w:rsidRDefault="00000000">
            <w:pPr>
              <w:spacing w:before="20" w:after="20"/>
              <w:jc w:val="center"/>
            </w:pPr>
            <w:r>
              <w:rPr>
                <w:b/>
                <w:bCs/>
                <w:sz w:val="18"/>
                <w:szCs w:val="18"/>
              </w:rPr>
              <w:t>2%</w:t>
            </w:r>
          </w:p>
        </w:tc>
      </w:tr>
      <w:tr w:rsidR="00990B14" w14:paraId="50145FC6" w14:textId="77777777">
        <w:trPr>
          <w:cantSplit/>
          <w:jc w:val="center"/>
        </w:trPr>
        <w:tc>
          <w:tcPr>
            <w:tcW w:w="1533" w:type="dxa"/>
            <w:vMerge/>
            <w:shd w:val="clear" w:color="auto" w:fill="4472C4"/>
            <w:vAlign w:val="center"/>
          </w:tcPr>
          <w:p w14:paraId="140DCD61" w14:textId="77777777" w:rsidR="00990B14" w:rsidRDefault="00990B14">
            <w:pPr>
              <w:spacing w:before="20" w:after="20"/>
            </w:pPr>
          </w:p>
        </w:tc>
        <w:tc>
          <w:tcPr>
            <w:tcW w:w="1812" w:type="dxa"/>
            <w:shd w:val="clear" w:color="auto" w:fill="4472C4"/>
            <w:vAlign w:val="center"/>
          </w:tcPr>
          <w:p w14:paraId="708CCFA3" w14:textId="77777777" w:rsidR="00990B14" w:rsidRDefault="00000000">
            <w:pPr>
              <w:keepNext/>
              <w:spacing w:before="20" w:after="20"/>
              <w:jc w:val="center"/>
            </w:pPr>
            <w:r>
              <w:rPr>
                <w:b/>
                <w:bCs/>
                <w:i/>
                <w:iCs/>
                <w:color w:val="FFFFFF"/>
                <w:sz w:val="18"/>
                <w:szCs w:val="18"/>
              </w:rPr>
              <w:t>Criterio</w:t>
            </w:r>
          </w:p>
        </w:tc>
        <w:tc>
          <w:tcPr>
            <w:tcW w:w="2435" w:type="dxa"/>
            <w:shd w:val="clear" w:color="auto" w:fill="4472C4"/>
            <w:vAlign w:val="center"/>
          </w:tcPr>
          <w:p w14:paraId="65069267" w14:textId="77777777" w:rsidR="00990B14" w:rsidRDefault="00000000">
            <w:pPr>
              <w:keepNext/>
              <w:spacing w:before="20" w:after="20"/>
              <w:jc w:val="center"/>
            </w:pPr>
            <w:r>
              <w:rPr>
                <w:b/>
                <w:bCs/>
                <w:i/>
                <w:iCs/>
                <w:color w:val="FFFFFF"/>
                <w:sz w:val="18"/>
                <w:szCs w:val="18"/>
              </w:rPr>
              <w:t>Insuficiente (1–50)</w:t>
            </w:r>
          </w:p>
        </w:tc>
        <w:tc>
          <w:tcPr>
            <w:tcW w:w="1812" w:type="dxa"/>
            <w:shd w:val="clear" w:color="auto" w:fill="4472C4"/>
            <w:vAlign w:val="center"/>
          </w:tcPr>
          <w:p w14:paraId="482B72BA" w14:textId="77777777" w:rsidR="00990B14" w:rsidRDefault="00000000">
            <w:pPr>
              <w:keepNext/>
              <w:spacing w:before="20" w:after="20"/>
              <w:jc w:val="center"/>
            </w:pPr>
            <w:r>
              <w:rPr>
                <w:b/>
                <w:bCs/>
                <w:i/>
                <w:iCs/>
                <w:color w:val="FFFFFF"/>
                <w:sz w:val="18"/>
                <w:szCs w:val="18"/>
              </w:rPr>
              <w:t>Suficiente (51–80)</w:t>
            </w:r>
          </w:p>
        </w:tc>
        <w:tc>
          <w:tcPr>
            <w:tcW w:w="1813" w:type="dxa"/>
            <w:shd w:val="clear" w:color="auto" w:fill="4472C4"/>
            <w:vAlign w:val="center"/>
          </w:tcPr>
          <w:p w14:paraId="45DD2655" w14:textId="77777777" w:rsidR="00990B14" w:rsidRDefault="00000000">
            <w:pPr>
              <w:keepNext/>
              <w:spacing w:before="20" w:after="20"/>
              <w:jc w:val="center"/>
            </w:pPr>
            <w:r>
              <w:rPr>
                <w:b/>
                <w:bCs/>
                <w:i/>
                <w:iCs/>
                <w:color w:val="FFFFFF"/>
                <w:sz w:val="18"/>
                <w:szCs w:val="18"/>
              </w:rPr>
              <w:t>Destacado (81–100)</w:t>
            </w:r>
          </w:p>
        </w:tc>
      </w:tr>
      <w:tr w:rsidR="00990B14" w14:paraId="47E4D405" w14:textId="77777777">
        <w:trPr>
          <w:cantSplit/>
          <w:jc w:val="center"/>
        </w:trPr>
        <w:tc>
          <w:tcPr>
            <w:tcW w:w="1533" w:type="dxa"/>
            <w:vMerge/>
            <w:shd w:val="clear" w:color="auto" w:fill="4472C4"/>
            <w:vAlign w:val="center"/>
          </w:tcPr>
          <w:p w14:paraId="38AB010D" w14:textId="77777777" w:rsidR="00990B14" w:rsidRDefault="00990B14">
            <w:pPr>
              <w:spacing w:before="20" w:after="20"/>
            </w:pPr>
          </w:p>
        </w:tc>
        <w:tc>
          <w:tcPr>
            <w:tcW w:w="1812" w:type="dxa"/>
            <w:shd w:val="clear" w:color="auto" w:fill="D9E2F3"/>
            <w:vAlign w:val="center"/>
          </w:tcPr>
          <w:p w14:paraId="13542C90" w14:textId="77777777" w:rsidR="00990B14" w:rsidRDefault="00000000">
            <w:pPr>
              <w:spacing w:before="20" w:after="20"/>
              <w:jc w:val="both"/>
            </w:pPr>
            <w:r>
              <w:rPr>
                <w:sz w:val="18"/>
                <w:szCs w:val="18"/>
              </w:rPr>
              <w:t>Clasificación de sistemas</w:t>
            </w:r>
          </w:p>
        </w:tc>
        <w:tc>
          <w:tcPr>
            <w:tcW w:w="2435" w:type="dxa"/>
            <w:shd w:val="clear" w:color="auto" w:fill="D9E2F3"/>
            <w:vAlign w:val="center"/>
          </w:tcPr>
          <w:p w14:paraId="1F3E45D0" w14:textId="77777777" w:rsidR="00990B14" w:rsidRDefault="00000000">
            <w:pPr>
              <w:spacing w:before="20" w:after="20"/>
              <w:jc w:val="both"/>
            </w:pPr>
            <w:r>
              <w:rPr>
                <w:sz w:val="18"/>
                <w:szCs w:val="18"/>
              </w:rPr>
              <w:t>Confunde los tipos de sistemas de información.</w:t>
            </w:r>
          </w:p>
        </w:tc>
        <w:tc>
          <w:tcPr>
            <w:tcW w:w="1812" w:type="dxa"/>
            <w:shd w:val="clear" w:color="auto" w:fill="D9E2F3"/>
            <w:vAlign w:val="center"/>
          </w:tcPr>
          <w:p w14:paraId="33090A90" w14:textId="77777777" w:rsidR="00990B14" w:rsidRDefault="00000000">
            <w:pPr>
              <w:spacing w:before="20" w:after="20"/>
              <w:jc w:val="both"/>
            </w:pPr>
            <w:r>
              <w:rPr>
                <w:sz w:val="18"/>
                <w:szCs w:val="18"/>
              </w:rPr>
              <w:t>Clasifica los sistemas según su función y su nivel de decisión.</w:t>
            </w:r>
          </w:p>
        </w:tc>
        <w:tc>
          <w:tcPr>
            <w:tcW w:w="1813" w:type="dxa"/>
            <w:shd w:val="clear" w:color="auto" w:fill="D9E2F3"/>
            <w:vAlign w:val="center"/>
          </w:tcPr>
          <w:p w14:paraId="7CE71385" w14:textId="77777777" w:rsidR="00990B14" w:rsidRDefault="00000000">
            <w:pPr>
              <w:spacing w:before="20" w:after="20"/>
              <w:jc w:val="both"/>
            </w:pPr>
            <w:r>
              <w:rPr>
                <w:sz w:val="18"/>
                <w:szCs w:val="18"/>
              </w:rPr>
              <w:t>Relaciona cada tipo de sistema con las decisiones que respalda.</w:t>
            </w:r>
          </w:p>
        </w:tc>
      </w:tr>
      <w:tr w:rsidR="00990B14" w14:paraId="3388320D" w14:textId="77777777">
        <w:trPr>
          <w:cantSplit/>
          <w:jc w:val="center"/>
        </w:trPr>
        <w:tc>
          <w:tcPr>
            <w:tcW w:w="1533" w:type="dxa"/>
            <w:vMerge/>
            <w:shd w:val="clear" w:color="auto" w:fill="4472C4"/>
            <w:vAlign w:val="center"/>
          </w:tcPr>
          <w:p w14:paraId="30A6A3A7" w14:textId="77777777" w:rsidR="00990B14" w:rsidRDefault="00990B14">
            <w:pPr>
              <w:spacing w:before="20" w:after="20"/>
            </w:pPr>
          </w:p>
        </w:tc>
        <w:tc>
          <w:tcPr>
            <w:tcW w:w="1812" w:type="dxa"/>
            <w:shd w:val="clear" w:color="auto" w:fill="D9E2F3"/>
            <w:vAlign w:val="center"/>
          </w:tcPr>
          <w:p w14:paraId="03E0FD5C" w14:textId="77777777" w:rsidR="00990B14" w:rsidRDefault="00000000">
            <w:pPr>
              <w:spacing w:before="20" w:after="20"/>
              <w:jc w:val="both"/>
            </w:pPr>
            <w:r>
              <w:rPr>
                <w:sz w:val="18"/>
                <w:szCs w:val="18"/>
              </w:rPr>
              <w:t>Integración contable</w:t>
            </w:r>
          </w:p>
        </w:tc>
        <w:tc>
          <w:tcPr>
            <w:tcW w:w="2435" w:type="dxa"/>
            <w:shd w:val="clear" w:color="auto" w:fill="D9E2F3"/>
            <w:vAlign w:val="center"/>
          </w:tcPr>
          <w:p w14:paraId="69647508" w14:textId="77777777" w:rsidR="00990B14" w:rsidRDefault="00000000">
            <w:pPr>
              <w:spacing w:before="20" w:after="20"/>
              <w:jc w:val="both"/>
            </w:pPr>
            <w:r>
              <w:rPr>
                <w:sz w:val="18"/>
                <w:szCs w:val="18"/>
              </w:rPr>
              <w:t>Omite la relación de los módulos con la contabilidad.</w:t>
            </w:r>
          </w:p>
        </w:tc>
        <w:tc>
          <w:tcPr>
            <w:tcW w:w="1812" w:type="dxa"/>
            <w:shd w:val="clear" w:color="auto" w:fill="D9E2F3"/>
            <w:vAlign w:val="center"/>
          </w:tcPr>
          <w:p w14:paraId="4DEAA01A" w14:textId="77777777" w:rsidR="00990B14" w:rsidRDefault="00000000">
            <w:pPr>
              <w:spacing w:before="20" w:after="20"/>
              <w:jc w:val="both"/>
            </w:pPr>
            <w:r>
              <w:rPr>
                <w:sz w:val="18"/>
                <w:szCs w:val="18"/>
              </w:rPr>
              <w:t>Describe la integración de los módulos con el registro contable.</w:t>
            </w:r>
          </w:p>
        </w:tc>
        <w:tc>
          <w:tcPr>
            <w:tcW w:w="1813" w:type="dxa"/>
            <w:shd w:val="clear" w:color="auto" w:fill="D9E2F3"/>
            <w:vAlign w:val="center"/>
          </w:tcPr>
          <w:p w14:paraId="3D0CEA60" w14:textId="77777777" w:rsidR="00990B14" w:rsidRDefault="00000000">
            <w:pPr>
              <w:spacing w:before="20" w:after="20"/>
              <w:jc w:val="both"/>
            </w:pPr>
            <w:r>
              <w:rPr>
                <w:sz w:val="18"/>
                <w:szCs w:val="18"/>
              </w:rPr>
              <w:t>Identifica los puntos de control en las interfaces entre módulos.</w:t>
            </w:r>
          </w:p>
        </w:tc>
      </w:tr>
      <w:tr w:rsidR="00990B14" w14:paraId="7DBC680D" w14:textId="77777777">
        <w:trPr>
          <w:cantSplit/>
          <w:jc w:val="center"/>
        </w:trPr>
        <w:tc>
          <w:tcPr>
            <w:tcW w:w="1533" w:type="dxa"/>
            <w:vMerge/>
            <w:shd w:val="clear" w:color="auto" w:fill="4472C4"/>
            <w:vAlign w:val="center"/>
          </w:tcPr>
          <w:p w14:paraId="0AF4FA03" w14:textId="77777777" w:rsidR="00990B14" w:rsidRDefault="00990B14">
            <w:pPr>
              <w:spacing w:before="20" w:after="20"/>
            </w:pPr>
          </w:p>
        </w:tc>
        <w:tc>
          <w:tcPr>
            <w:tcW w:w="1812" w:type="dxa"/>
            <w:shd w:val="clear" w:color="auto" w:fill="D9E2F3"/>
            <w:vAlign w:val="center"/>
          </w:tcPr>
          <w:p w14:paraId="7327FE08" w14:textId="77777777" w:rsidR="00990B14" w:rsidRDefault="00000000">
            <w:pPr>
              <w:spacing w:before="20" w:after="20"/>
              <w:jc w:val="both"/>
            </w:pPr>
            <w:r>
              <w:rPr>
                <w:sz w:val="18"/>
                <w:szCs w:val="18"/>
              </w:rPr>
              <w:t>Claridad de la exposición</w:t>
            </w:r>
          </w:p>
        </w:tc>
        <w:tc>
          <w:tcPr>
            <w:tcW w:w="2435" w:type="dxa"/>
            <w:shd w:val="clear" w:color="auto" w:fill="D9E2F3"/>
            <w:vAlign w:val="center"/>
          </w:tcPr>
          <w:p w14:paraId="60497AE8" w14:textId="77777777" w:rsidR="00990B14" w:rsidRDefault="00000000">
            <w:pPr>
              <w:spacing w:before="20" w:after="20"/>
              <w:jc w:val="both"/>
            </w:pPr>
            <w:r>
              <w:rPr>
                <w:sz w:val="18"/>
                <w:szCs w:val="18"/>
              </w:rPr>
              <w:t>La exposición es desordenada.</w:t>
            </w:r>
          </w:p>
        </w:tc>
        <w:tc>
          <w:tcPr>
            <w:tcW w:w="1812" w:type="dxa"/>
            <w:shd w:val="clear" w:color="auto" w:fill="D9E2F3"/>
            <w:vAlign w:val="center"/>
          </w:tcPr>
          <w:p w14:paraId="7DFCF5D0" w14:textId="77777777" w:rsidR="00990B14" w:rsidRDefault="00000000">
            <w:pPr>
              <w:spacing w:before="20" w:after="20"/>
              <w:jc w:val="both"/>
            </w:pPr>
            <w:r>
              <w:rPr>
                <w:sz w:val="18"/>
                <w:szCs w:val="18"/>
              </w:rPr>
              <w:t>La exposición es clara y ordenada.</w:t>
            </w:r>
          </w:p>
        </w:tc>
        <w:tc>
          <w:tcPr>
            <w:tcW w:w="1813" w:type="dxa"/>
            <w:shd w:val="clear" w:color="auto" w:fill="D9E2F3"/>
            <w:vAlign w:val="center"/>
          </w:tcPr>
          <w:p w14:paraId="6C6F1D1A" w14:textId="77777777" w:rsidR="00990B14" w:rsidRDefault="00000000">
            <w:pPr>
              <w:spacing w:before="20" w:after="20"/>
              <w:jc w:val="both"/>
            </w:pPr>
            <w:r>
              <w:rPr>
                <w:sz w:val="18"/>
                <w:szCs w:val="18"/>
              </w:rPr>
              <w:t>Responde con solvencia las preguntas del curso.</w:t>
            </w:r>
          </w:p>
        </w:tc>
      </w:tr>
      <w:tr w:rsidR="00990B14" w14:paraId="79B81FD7" w14:textId="77777777">
        <w:trPr>
          <w:cantSplit/>
          <w:jc w:val="center"/>
        </w:trPr>
        <w:tc>
          <w:tcPr>
            <w:tcW w:w="1533" w:type="dxa"/>
            <w:vMerge/>
            <w:shd w:val="clear" w:color="auto" w:fill="4472C4"/>
            <w:vAlign w:val="center"/>
          </w:tcPr>
          <w:p w14:paraId="3FF0B36F" w14:textId="77777777" w:rsidR="00990B14" w:rsidRDefault="00990B14">
            <w:pPr>
              <w:spacing w:before="20" w:after="20"/>
            </w:pPr>
          </w:p>
        </w:tc>
        <w:tc>
          <w:tcPr>
            <w:tcW w:w="6059" w:type="dxa"/>
            <w:gridSpan w:val="3"/>
            <w:shd w:val="clear" w:color="auto" w:fill="D9E2F3"/>
            <w:vAlign w:val="center"/>
          </w:tcPr>
          <w:p w14:paraId="102074C8" w14:textId="77777777" w:rsidR="00990B14" w:rsidRDefault="00000000">
            <w:pPr>
              <w:keepNext/>
              <w:spacing w:before="20" w:after="20"/>
              <w:jc w:val="both"/>
            </w:pPr>
            <w:r>
              <w:rPr>
                <w:b/>
                <w:bCs/>
                <w:i/>
                <w:iCs/>
                <w:sz w:val="18"/>
                <w:szCs w:val="18"/>
              </w:rPr>
              <w:t xml:space="preserve">Producto 2: </w:t>
            </w:r>
            <w:r>
              <w:rPr>
                <w:sz w:val="18"/>
                <w:szCs w:val="18"/>
              </w:rPr>
              <w:t>Informe de causas y efectos de un sistema deficiente</w:t>
            </w:r>
          </w:p>
        </w:tc>
        <w:tc>
          <w:tcPr>
            <w:tcW w:w="1813" w:type="dxa"/>
            <w:shd w:val="clear" w:color="auto" w:fill="D9E2F3"/>
            <w:vAlign w:val="center"/>
          </w:tcPr>
          <w:p w14:paraId="482CCCC3" w14:textId="77777777" w:rsidR="00990B14" w:rsidRDefault="00000000">
            <w:pPr>
              <w:spacing w:before="20" w:after="20"/>
              <w:jc w:val="center"/>
            </w:pPr>
            <w:r>
              <w:rPr>
                <w:b/>
                <w:bCs/>
                <w:sz w:val="18"/>
                <w:szCs w:val="18"/>
              </w:rPr>
              <w:t>2%</w:t>
            </w:r>
          </w:p>
        </w:tc>
      </w:tr>
      <w:tr w:rsidR="00990B14" w14:paraId="6B1658A7" w14:textId="77777777">
        <w:trPr>
          <w:cantSplit/>
          <w:jc w:val="center"/>
        </w:trPr>
        <w:tc>
          <w:tcPr>
            <w:tcW w:w="1533" w:type="dxa"/>
            <w:vMerge/>
            <w:shd w:val="clear" w:color="auto" w:fill="4472C4"/>
            <w:vAlign w:val="center"/>
          </w:tcPr>
          <w:p w14:paraId="27AA747E" w14:textId="77777777" w:rsidR="00990B14" w:rsidRDefault="00990B14">
            <w:pPr>
              <w:spacing w:before="20" w:after="20"/>
            </w:pPr>
          </w:p>
        </w:tc>
        <w:tc>
          <w:tcPr>
            <w:tcW w:w="1812" w:type="dxa"/>
            <w:shd w:val="clear" w:color="auto" w:fill="4472C4"/>
            <w:vAlign w:val="center"/>
          </w:tcPr>
          <w:p w14:paraId="5143C324" w14:textId="77777777" w:rsidR="00990B14" w:rsidRDefault="00000000">
            <w:pPr>
              <w:keepNext/>
              <w:spacing w:before="20" w:after="20"/>
              <w:jc w:val="center"/>
            </w:pPr>
            <w:r>
              <w:rPr>
                <w:b/>
                <w:bCs/>
                <w:i/>
                <w:iCs/>
                <w:color w:val="FFFFFF"/>
                <w:sz w:val="18"/>
                <w:szCs w:val="18"/>
              </w:rPr>
              <w:t>Criterio</w:t>
            </w:r>
          </w:p>
        </w:tc>
        <w:tc>
          <w:tcPr>
            <w:tcW w:w="2435" w:type="dxa"/>
            <w:shd w:val="clear" w:color="auto" w:fill="4472C4"/>
            <w:vAlign w:val="center"/>
          </w:tcPr>
          <w:p w14:paraId="2FA20CDA" w14:textId="77777777" w:rsidR="00990B14" w:rsidRDefault="00000000">
            <w:pPr>
              <w:keepNext/>
              <w:spacing w:before="20" w:after="20"/>
              <w:jc w:val="center"/>
            </w:pPr>
            <w:r>
              <w:rPr>
                <w:b/>
                <w:bCs/>
                <w:i/>
                <w:iCs/>
                <w:color w:val="FFFFFF"/>
                <w:sz w:val="18"/>
                <w:szCs w:val="18"/>
              </w:rPr>
              <w:t>Insuficiente (1–50)</w:t>
            </w:r>
          </w:p>
        </w:tc>
        <w:tc>
          <w:tcPr>
            <w:tcW w:w="1812" w:type="dxa"/>
            <w:shd w:val="clear" w:color="auto" w:fill="4472C4"/>
            <w:vAlign w:val="center"/>
          </w:tcPr>
          <w:p w14:paraId="76D3D9B0" w14:textId="77777777" w:rsidR="00990B14" w:rsidRDefault="00000000">
            <w:pPr>
              <w:keepNext/>
              <w:spacing w:before="20" w:after="20"/>
              <w:jc w:val="center"/>
            </w:pPr>
            <w:r>
              <w:rPr>
                <w:b/>
                <w:bCs/>
                <w:i/>
                <w:iCs/>
                <w:color w:val="FFFFFF"/>
                <w:sz w:val="18"/>
                <w:szCs w:val="18"/>
              </w:rPr>
              <w:t>Suficiente (51–80)</w:t>
            </w:r>
          </w:p>
        </w:tc>
        <w:tc>
          <w:tcPr>
            <w:tcW w:w="1813" w:type="dxa"/>
            <w:shd w:val="clear" w:color="auto" w:fill="4472C4"/>
            <w:vAlign w:val="center"/>
          </w:tcPr>
          <w:p w14:paraId="3853349E" w14:textId="77777777" w:rsidR="00990B14" w:rsidRDefault="00000000">
            <w:pPr>
              <w:keepNext/>
              <w:spacing w:before="20" w:after="20"/>
              <w:jc w:val="center"/>
            </w:pPr>
            <w:r>
              <w:rPr>
                <w:b/>
                <w:bCs/>
                <w:i/>
                <w:iCs/>
                <w:color w:val="FFFFFF"/>
                <w:sz w:val="18"/>
                <w:szCs w:val="18"/>
              </w:rPr>
              <w:t>Destacado (81–100)</w:t>
            </w:r>
          </w:p>
        </w:tc>
      </w:tr>
      <w:tr w:rsidR="00990B14" w14:paraId="7C007981" w14:textId="77777777">
        <w:trPr>
          <w:cantSplit/>
          <w:jc w:val="center"/>
        </w:trPr>
        <w:tc>
          <w:tcPr>
            <w:tcW w:w="1533" w:type="dxa"/>
            <w:vMerge/>
            <w:shd w:val="clear" w:color="auto" w:fill="4472C4"/>
            <w:vAlign w:val="center"/>
          </w:tcPr>
          <w:p w14:paraId="5353F4E7" w14:textId="77777777" w:rsidR="00990B14" w:rsidRDefault="00990B14">
            <w:pPr>
              <w:spacing w:before="20" w:after="20"/>
            </w:pPr>
          </w:p>
        </w:tc>
        <w:tc>
          <w:tcPr>
            <w:tcW w:w="1812" w:type="dxa"/>
            <w:shd w:val="clear" w:color="auto" w:fill="D9E2F3"/>
            <w:vAlign w:val="center"/>
          </w:tcPr>
          <w:p w14:paraId="56E73408" w14:textId="77777777" w:rsidR="00990B14" w:rsidRDefault="00000000">
            <w:pPr>
              <w:spacing w:before="20" w:after="20"/>
              <w:jc w:val="both"/>
            </w:pPr>
            <w:r>
              <w:rPr>
                <w:sz w:val="18"/>
                <w:szCs w:val="18"/>
              </w:rPr>
              <w:t>Identificación de causas</w:t>
            </w:r>
          </w:p>
        </w:tc>
        <w:tc>
          <w:tcPr>
            <w:tcW w:w="2435" w:type="dxa"/>
            <w:shd w:val="clear" w:color="auto" w:fill="D9E2F3"/>
            <w:vAlign w:val="center"/>
          </w:tcPr>
          <w:p w14:paraId="7EC4093E" w14:textId="77777777" w:rsidR="00990B14" w:rsidRDefault="00000000">
            <w:pPr>
              <w:spacing w:before="20" w:after="20"/>
              <w:jc w:val="both"/>
            </w:pPr>
            <w:r>
              <w:rPr>
                <w:sz w:val="18"/>
                <w:szCs w:val="18"/>
              </w:rPr>
              <w:t>No identifica las causas de la deficiencia.</w:t>
            </w:r>
          </w:p>
        </w:tc>
        <w:tc>
          <w:tcPr>
            <w:tcW w:w="1812" w:type="dxa"/>
            <w:shd w:val="clear" w:color="auto" w:fill="D9E2F3"/>
            <w:vAlign w:val="center"/>
          </w:tcPr>
          <w:p w14:paraId="41A396C5" w14:textId="77777777" w:rsidR="00990B14" w:rsidRDefault="00000000">
            <w:pPr>
              <w:spacing w:before="20" w:after="20"/>
              <w:jc w:val="both"/>
            </w:pPr>
            <w:r>
              <w:rPr>
                <w:sz w:val="18"/>
                <w:szCs w:val="18"/>
              </w:rPr>
              <w:t>Identifica las causas organizativas y técnicas.</w:t>
            </w:r>
          </w:p>
        </w:tc>
        <w:tc>
          <w:tcPr>
            <w:tcW w:w="1813" w:type="dxa"/>
            <w:shd w:val="clear" w:color="auto" w:fill="D9E2F3"/>
            <w:vAlign w:val="center"/>
          </w:tcPr>
          <w:p w14:paraId="3BDBD829" w14:textId="77777777" w:rsidR="00990B14" w:rsidRDefault="00000000">
            <w:pPr>
              <w:spacing w:before="20" w:after="20"/>
              <w:jc w:val="both"/>
            </w:pPr>
            <w:r>
              <w:rPr>
                <w:sz w:val="18"/>
                <w:szCs w:val="18"/>
              </w:rPr>
              <w:t>Jerarquiza las causas según su efecto en la información.</w:t>
            </w:r>
          </w:p>
        </w:tc>
      </w:tr>
      <w:tr w:rsidR="00990B14" w14:paraId="78A3FDB0" w14:textId="77777777">
        <w:trPr>
          <w:cantSplit/>
          <w:jc w:val="center"/>
        </w:trPr>
        <w:tc>
          <w:tcPr>
            <w:tcW w:w="1533" w:type="dxa"/>
            <w:vMerge/>
            <w:shd w:val="clear" w:color="auto" w:fill="4472C4"/>
            <w:vAlign w:val="center"/>
          </w:tcPr>
          <w:p w14:paraId="3942372F" w14:textId="77777777" w:rsidR="00990B14" w:rsidRDefault="00990B14">
            <w:pPr>
              <w:spacing w:before="20" w:after="20"/>
            </w:pPr>
          </w:p>
        </w:tc>
        <w:tc>
          <w:tcPr>
            <w:tcW w:w="1812" w:type="dxa"/>
            <w:shd w:val="clear" w:color="auto" w:fill="D9E2F3"/>
            <w:vAlign w:val="center"/>
          </w:tcPr>
          <w:p w14:paraId="3C4BE083" w14:textId="77777777" w:rsidR="00990B14" w:rsidRDefault="00000000">
            <w:pPr>
              <w:spacing w:before="20" w:after="20"/>
              <w:jc w:val="both"/>
            </w:pPr>
            <w:r>
              <w:rPr>
                <w:sz w:val="18"/>
                <w:szCs w:val="18"/>
              </w:rPr>
              <w:t>Efectos en la información</w:t>
            </w:r>
          </w:p>
        </w:tc>
        <w:tc>
          <w:tcPr>
            <w:tcW w:w="2435" w:type="dxa"/>
            <w:shd w:val="clear" w:color="auto" w:fill="D9E2F3"/>
            <w:vAlign w:val="center"/>
          </w:tcPr>
          <w:p w14:paraId="45F0E4A5" w14:textId="77777777" w:rsidR="00990B14" w:rsidRDefault="00000000">
            <w:pPr>
              <w:spacing w:before="20" w:after="20"/>
              <w:jc w:val="both"/>
            </w:pPr>
            <w:r>
              <w:rPr>
                <w:sz w:val="18"/>
                <w:szCs w:val="18"/>
              </w:rPr>
              <w:t>Describe efectos ajenos al caso.</w:t>
            </w:r>
          </w:p>
        </w:tc>
        <w:tc>
          <w:tcPr>
            <w:tcW w:w="1812" w:type="dxa"/>
            <w:shd w:val="clear" w:color="auto" w:fill="D9E2F3"/>
            <w:vAlign w:val="center"/>
          </w:tcPr>
          <w:p w14:paraId="45806CBA" w14:textId="77777777" w:rsidR="00990B14" w:rsidRDefault="00000000">
            <w:pPr>
              <w:spacing w:before="20" w:after="20"/>
              <w:jc w:val="both"/>
            </w:pPr>
            <w:r>
              <w:rPr>
                <w:sz w:val="18"/>
                <w:szCs w:val="18"/>
              </w:rPr>
              <w:t>Relaciona las deficiencias con errores de la información financiera.</w:t>
            </w:r>
          </w:p>
        </w:tc>
        <w:tc>
          <w:tcPr>
            <w:tcW w:w="1813" w:type="dxa"/>
            <w:shd w:val="clear" w:color="auto" w:fill="D9E2F3"/>
            <w:vAlign w:val="center"/>
          </w:tcPr>
          <w:p w14:paraId="6AD7ECCA" w14:textId="77777777" w:rsidR="00990B14" w:rsidRDefault="00000000">
            <w:pPr>
              <w:spacing w:before="20" w:after="20"/>
              <w:jc w:val="both"/>
            </w:pPr>
            <w:r>
              <w:rPr>
                <w:sz w:val="18"/>
                <w:szCs w:val="18"/>
              </w:rPr>
              <w:t>Estima el efecto de las deficiencias en las decisiones.</w:t>
            </w:r>
          </w:p>
        </w:tc>
      </w:tr>
      <w:tr w:rsidR="00990B14" w14:paraId="5EE20202" w14:textId="77777777">
        <w:trPr>
          <w:cantSplit/>
          <w:jc w:val="center"/>
        </w:trPr>
        <w:tc>
          <w:tcPr>
            <w:tcW w:w="1533" w:type="dxa"/>
            <w:vMerge/>
            <w:shd w:val="clear" w:color="auto" w:fill="4472C4"/>
            <w:vAlign w:val="center"/>
          </w:tcPr>
          <w:p w14:paraId="46482FF7" w14:textId="77777777" w:rsidR="00990B14" w:rsidRDefault="00990B14">
            <w:pPr>
              <w:spacing w:before="20" w:after="20"/>
            </w:pPr>
          </w:p>
        </w:tc>
        <w:tc>
          <w:tcPr>
            <w:tcW w:w="1812" w:type="dxa"/>
            <w:shd w:val="clear" w:color="auto" w:fill="D9E2F3"/>
            <w:vAlign w:val="center"/>
          </w:tcPr>
          <w:p w14:paraId="5A64E747" w14:textId="77777777" w:rsidR="00990B14" w:rsidRDefault="00000000">
            <w:pPr>
              <w:spacing w:before="20" w:after="20"/>
              <w:jc w:val="both"/>
            </w:pPr>
            <w:r>
              <w:rPr>
                <w:sz w:val="18"/>
                <w:szCs w:val="18"/>
              </w:rPr>
              <w:t>Papel del contador</w:t>
            </w:r>
          </w:p>
        </w:tc>
        <w:tc>
          <w:tcPr>
            <w:tcW w:w="2435" w:type="dxa"/>
            <w:shd w:val="clear" w:color="auto" w:fill="D9E2F3"/>
            <w:vAlign w:val="center"/>
          </w:tcPr>
          <w:p w14:paraId="6C0972BF" w14:textId="77777777" w:rsidR="00990B14" w:rsidRDefault="00000000">
            <w:pPr>
              <w:spacing w:before="20" w:after="20"/>
              <w:jc w:val="both"/>
            </w:pPr>
            <w:r>
              <w:rPr>
                <w:sz w:val="18"/>
                <w:szCs w:val="18"/>
              </w:rPr>
              <w:t>Omite la responsabilidad del contador.</w:t>
            </w:r>
          </w:p>
        </w:tc>
        <w:tc>
          <w:tcPr>
            <w:tcW w:w="1812" w:type="dxa"/>
            <w:shd w:val="clear" w:color="auto" w:fill="D9E2F3"/>
            <w:vAlign w:val="center"/>
          </w:tcPr>
          <w:p w14:paraId="4183EF11" w14:textId="77777777" w:rsidR="00990B14" w:rsidRDefault="00000000">
            <w:pPr>
              <w:spacing w:before="20" w:after="20"/>
              <w:jc w:val="both"/>
            </w:pPr>
            <w:r>
              <w:rPr>
                <w:sz w:val="18"/>
                <w:szCs w:val="18"/>
              </w:rPr>
              <w:t>Explica la intervención del contador en el rediseño.</w:t>
            </w:r>
          </w:p>
        </w:tc>
        <w:tc>
          <w:tcPr>
            <w:tcW w:w="1813" w:type="dxa"/>
            <w:shd w:val="clear" w:color="auto" w:fill="D9E2F3"/>
            <w:vAlign w:val="center"/>
          </w:tcPr>
          <w:p w14:paraId="7D772561" w14:textId="77777777" w:rsidR="00990B14" w:rsidRDefault="00000000">
            <w:pPr>
              <w:spacing w:before="20" w:after="20"/>
              <w:jc w:val="both"/>
            </w:pPr>
            <w:r>
              <w:rPr>
                <w:sz w:val="18"/>
                <w:szCs w:val="18"/>
              </w:rPr>
              <w:t>Propone acciones concretas de mejora del sistema.</w:t>
            </w:r>
          </w:p>
        </w:tc>
      </w:tr>
      <w:tr w:rsidR="00990B14" w14:paraId="3EAA3438" w14:textId="77777777">
        <w:trPr>
          <w:cantSplit/>
          <w:jc w:val="center"/>
        </w:trPr>
        <w:tc>
          <w:tcPr>
            <w:tcW w:w="1533" w:type="dxa"/>
            <w:vMerge/>
            <w:shd w:val="clear" w:color="auto" w:fill="4472C4"/>
            <w:vAlign w:val="center"/>
          </w:tcPr>
          <w:p w14:paraId="1F73E5AA" w14:textId="77777777" w:rsidR="00990B14" w:rsidRDefault="00990B14">
            <w:pPr>
              <w:spacing w:before="20" w:after="20"/>
            </w:pPr>
          </w:p>
        </w:tc>
        <w:tc>
          <w:tcPr>
            <w:tcW w:w="6059" w:type="dxa"/>
            <w:gridSpan w:val="3"/>
            <w:shd w:val="clear" w:color="auto" w:fill="D9E2F3"/>
            <w:vAlign w:val="center"/>
          </w:tcPr>
          <w:p w14:paraId="3C3E638E" w14:textId="77777777" w:rsidR="00990B14" w:rsidRDefault="00000000">
            <w:pPr>
              <w:keepNext/>
              <w:spacing w:before="20" w:after="20"/>
              <w:jc w:val="both"/>
            </w:pPr>
            <w:r>
              <w:rPr>
                <w:b/>
                <w:bCs/>
                <w:i/>
                <w:iCs/>
                <w:sz w:val="18"/>
                <w:szCs w:val="18"/>
              </w:rPr>
              <w:t xml:space="preserve">Producto 3: </w:t>
            </w:r>
            <w:r>
              <w:rPr>
                <w:sz w:val="18"/>
                <w:szCs w:val="18"/>
              </w:rPr>
              <w:t>Modelo de negocios de una empresa</w:t>
            </w:r>
          </w:p>
        </w:tc>
        <w:tc>
          <w:tcPr>
            <w:tcW w:w="1813" w:type="dxa"/>
            <w:shd w:val="clear" w:color="auto" w:fill="D9E2F3"/>
            <w:vAlign w:val="center"/>
          </w:tcPr>
          <w:p w14:paraId="407E0C49" w14:textId="77777777" w:rsidR="00990B14" w:rsidRDefault="00000000">
            <w:pPr>
              <w:spacing w:before="20" w:after="20"/>
              <w:jc w:val="center"/>
            </w:pPr>
            <w:r>
              <w:rPr>
                <w:b/>
                <w:bCs/>
                <w:sz w:val="18"/>
                <w:szCs w:val="18"/>
              </w:rPr>
              <w:t>3%</w:t>
            </w:r>
          </w:p>
        </w:tc>
      </w:tr>
      <w:tr w:rsidR="00990B14" w14:paraId="396663CE" w14:textId="77777777">
        <w:trPr>
          <w:cantSplit/>
          <w:jc w:val="center"/>
        </w:trPr>
        <w:tc>
          <w:tcPr>
            <w:tcW w:w="1533" w:type="dxa"/>
            <w:vMerge/>
            <w:shd w:val="clear" w:color="auto" w:fill="4472C4"/>
            <w:vAlign w:val="center"/>
          </w:tcPr>
          <w:p w14:paraId="22A2312C" w14:textId="77777777" w:rsidR="00990B14" w:rsidRDefault="00990B14">
            <w:pPr>
              <w:spacing w:before="20" w:after="20"/>
            </w:pPr>
          </w:p>
        </w:tc>
        <w:tc>
          <w:tcPr>
            <w:tcW w:w="1812" w:type="dxa"/>
            <w:shd w:val="clear" w:color="auto" w:fill="4472C4"/>
            <w:vAlign w:val="center"/>
          </w:tcPr>
          <w:p w14:paraId="43451CE2" w14:textId="77777777" w:rsidR="00990B14" w:rsidRDefault="00000000">
            <w:pPr>
              <w:keepNext/>
              <w:spacing w:before="20" w:after="20"/>
              <w:jc w:val="center"/>
            </w:pPr>
            <w:r>
              <w:rPr>
                <w:b/>
                <w:bCs/>
                <w:i/>
                <w:iCs/>
                <w:color w:val="FFFFFF"/>
                <w:sz w:val="18"/>
                <w:szCs w:val="18"/>
              </w:rPr>
              <w:t>Criterio</w:t>
            </w:r>
          </w:p>
        </w:tc>
        <w:tc>
          <w:tcPr>
            <w:tcW w:w="2435" w:type="dxa"/>
            <w:shd w:val="clear" w:color="auto" w:fill="4472C4"/>
            <w:vAlign w:val="center"/>
          </w:tcPr>
          <w:p w14:paraId="4D71D0E9" w14:textId="77777777" w:rsidR="00990B14" w:rsidRDefault="00000000">
            <w:pPr>
              <w:keepNext/>
              <w:spacing w:before="20" w:after="20"/>
              <w:jc w:val="center"/>
            </w:pPr>
            <w:r>
              <w:rPr>
                <w:b/>
                <w:bCs/>
                <w:i/>
                <w:iCs/>
                <w:color w:val="FFFFFF"/>
                <w:sz w:val="18"/>
                <w:szCs w:val="18"/>
              </w:rPr>
              <w:t>Insuficiente (1–50)</w:t>
            </w:r>
          </w:p>
        </w:tc>
        <w:tc>
          <w:tcPr>
            <w:tcW w:w="1812" w:type="dxa"/>
            <w:shd w:val="clear" w:color="auto" w:fill="4472C4"/>
            <w:vAlign w:val="center"/>
          </w:tcPr>
          <w:p w14:paraId="22684713" w14:textId="77777777" w:rsidR="00990B14" w:rsidRDefault="00000000">
            <w:pPr>
              <w:keepNext/>
              <w:spacing w:before="20" w:after="20"/>
              <w:jc w:val="center"/>
            </w:pPr>
            <w:r>
              <w:rPr>
                <w:b/>
                <w:bCs/>
                <w:i/>
                <w:iCs/>
                <w:color w:val="FFFFFF"/>
                <w:sz w:val="18"/>
                <w:szCs w:val="18"/>
              </w:rPr>
              <w:t>Suficiente (51–80)</w:t>
            </w:r>
          </w:p>
        </w:tc>
        <w:tc>
          <w:tcPr>
            <w:tcW w:w="1813" w:type="dxa"/>
            <w:shd w:val="clear" w:color="auto" w:fill="4472C4"/>
            <w:vAlign w:val="center"/>
          </w:tcPr>
          <w:p w14:paraId="157B61DF" w14:textId="77777777" w:rsidR="00990B14" w:rsidRDefault="00000000">
            <w:pPr>
              <w:keepNext/>
              <w:spacing w:before="20" w:after="20"/>
              <w:jc w:val="center"/>
            </w:pPr>
            <w:r>
              <w:rPr>
                <w:b/>
                <w:bCs/>
                <w:i/>
                <w:iCs/>
                <w:color w:val="FFFFFF"/>
                <w:sz w:val="18"/>
                <w:szCs w:val="18"/>
              </w:rPr>
              <w:t>Destacado (81–100)</w:t>
            </w:r>
          </w:p>
        </w:tc>
      </w:tr>
      <w:tr w:rsidR="00990B14" w14:paraId="615E42A3" w14:textId="77777777">
        <w:trPr>
          <w:cantSplit/>
          <w:jc w:val="center"/>
        </w:trPr>
        <w:tc>
          <w:tcPr>
            <w:tcW w:w="1533" w:type="dxa"/>
            <w:vMerge/>
            <w:shd w:val="clear" w:color="auto" w:fill="4472C4"/>
            <w:vAlign w:val="center"/>
          </w:tcPr>
          <w:p w14:paraId="280FADBB" w14:textId="77777777" w:rsidR="00990B14" w:rsidRDefault="00990B14">
            <w:pPr>
              <w:spacing w:before="20" w:after="20"/>
            </w:pPr>
          </w:p>
        </w:tc>
        <w:tc>
          <w:tcPr>
            <w:tcW w:w="1812" w:type="dxa"/>
            <w:shd w:val="clear" w:color="auto" w:fill="D9E2F3"/>
            <w:vAlign w:val="center"/>
          </w:tcPr>
          <w:p w14:paraId="7C8894E1" w14:textId="77777777" w:rsidR="00990B14" w:rsidRDefault="00000000">
            <w:pPr>
              <w:spacing w:before="20" w:after="20"/>
              <w:jc w:val="both"/>
            </w:pPr>
            <w:r>
              <w:rPr>
                <w:sz w:val="18"/>
                <w:szCs w:val="18"/>
              </w:rPr>
              <w:t>Bloques del modelo</w:t>
            </w:r>
          </w:p>
        </w:tc>
        <w:tc>
          <w:tcPr>
            <w:tcW w:w="2435" w:type="dxa"/>
            <w:shd w:val="clear" w:color="auto" w:fill="D9E2F3"/>
            <w:vAlign w:val="center"/>
          </w:tcPr>
          <w:p w14:paraId="1EC4738D" w14:textId="77777777" w:rsidR="00990B14" w:rsidRDefault="00000000">
            <w:pPr>
              <w:spacing w:before="20" w:after="20"/>
              <w:jc w:val="both"/>
            </w:pPr>
            <w:r>
              <w:rPr>
                <w:sz w:val="18"/>
                <w:szCs w:val="18"/>
              </w:rPr>
              <w:t>Omite bloques del modelo.</w:t>
            </w:r>
          </w:p>
        </w:tc>
        <w:tc>
          <w:tcPr>
            <w:tcW w:w="1812" w:type="dxa"/>
            <w:shd w:val="clear" w:color="auto" w:fill="D9E2F3"/>
            <w:vAlign w:val="center"/>
          </w:tcPr>
          <w:p w14:paraId="7191ACC8" w14:textId="77777777" w:rsidR="00990B14" w:rsidRDefault="00000000">
            <w:pPr>
              <w:spacing w:before="20" w:after="20"/>
              <w:jc w:val="both"/>
            </w:pPr>
            <w:r>
              <w:rPr>
                <w:sz w:val="18"/>
                <w:szCs w:val="18"/>
              </w:rPr>
              <w:t>Desarrolla los nueve bloques con coherencia.</w:t>
            </w:r>
          </w:p>
        </w:tc>
        <w:tc>
          <w:tcPr>
            <w:tcW w:w="1813" w:type="dxa"/>
            <w:shd w:val="clear" w:color="auto" w:fill="D9E2F3"/>
            <w:vAlign w:val="center"/>
          </w:tcPr>
          <w:p w14:paraId="7C9E5636" w14:textId="77777777" w:rsidR="00990B14" w:rsidRDefault="00000000">
            <w:pPr>
              <w:spacing w:before="20" w:after="20"/>
              <w:jc w:val="both"/>
            </w:pPr>
            <w:r>
              <w:rPr>
                <w:sz w:val="18"/>
                <w:szCs w:val="18"/>
              </w:rPr>
              <w:t>Vincula la propuesta de valor con la estructura de costos e ingresos.</w:t>
            </w:r>
          </w:p>
        </w:tc>
      </w:tr>
      <w:tr w:rsidR="00990B14" w14:paraId="7C1CC585" w14:textId="77777777">
        <w:trPr>
          <w:cantSplit/>
          <w:jc w:val="center"/>
        </w:trPr>
        <w:tc>
          <w:tcPr>
            <w:tcW w:w="1533" w:type="dxa"/>
            <w:vMerge/>
            <w:shd w:val="clear" w:color="auto" w:fill="4472C4"/>
            <w:vAlign w:val="center"/>
          </w:tcPr>
          <w:p w14:paraId="782F4C24" w14:textId="77777777" w:rsidR="00990B14" w:rsidRDefault="00990B14">
            <w:pPr>
              <w:spacing w:before="20" w:after="20"/>
            </w:pPr>
          </w:p>
        </w:tc>
        <w:tc>
          <w:tcPr>
            <w:tcW w:w="1812" w:type="dxa"/>
            <w:shd w:val="clear" w:color="auto" w:fill="D9E2F3"/>
            <w:vAlign w:val="center"/>
          </w:tcPr>
          <w:p w14:paraId="4988F49E" w14:textId="77777777" w:rsidR="00990B14" w:rsidRDefault="00000000">
            <w:pPr>
              <w:spacing w:before="20" w:after="20"/>
              <w:jc w:val="both"/>
            </w:pPr>
            <w:r>
              <w:rPr>
                <w:sz w:val="18"/>
                <w:szCs w:val="18"/>
              </w:rPr>
              <w:t>Procesos financieros</w:t>
            </w:r>
          </w:p>
        </w:tc>
        <w:tc>
          <w:tcPr>
            <w:tcW w:w="2435" w:type="dxa"/>
            <w:shd w:val="clear" w:color="auto" w:fill="D9E2F3"/>
            <w:vAlign w:val="center"/>
          </w:tcPr>
          <w:p w14:paraId="261D2ED6" w14:textId="77777777" w:rsidR="00990B14" w:rsidRDefault="00000000">
            <w:pPr>
              <w:spacing w:before="20" w:after="20"/>
              <w:jc w:val="both"/>
            </w:pPr>
            <w:r>
              <w:rPr>
                <w:sz w:val="18"/>
                <w:szCs w:val="18"/>
              </w:rPr>
              <w:t>No identifica procesos financieros.</w:t>
            </w:r>
          </w:p>
        </w:tc>
        <w:tc>
          <w:tcPr>
            <w:tcW w:w="1812" w:type="dxa"/>
            <w:shd w:val="clear" w:color="auto" w:fill="D9E2F3"/>
            <w:vAlign w:val="center"/>
          </w:tcPr>
          <w:p w14:paraId="489A8EA0" w14:textId="77777777" w:rsidR="00990B14" w:rsidRDefault="00000000">
            <w:pPr>
              <w:spacing w:before="20" w:after="20"/>
              <w:jc w:val="both"/>
            </w:pPr>
            <w:r>
              <w:rPr>
                <w:sz w:val="18"/>
                <w:szCs w:val="18"/>
              </w:rPr>
              <w:t>Identifica los procesos financieros derivados del modelo.</w:t>
            </w:r>
          </w:p>
        </w:tc>
        <w:tc>
          <w:tcPr>
            <w:tcW w:w="1813" w:type="dxa"/>
            <w:shd w:val="clear" w:color="auto" w:fill="D9E2F3"/>
            <w:vAlign w:val="center"/>
          </w:tcPr>
          <w:p w14:paraId="6C5E6385" w14:textId="77777777" w:rsidR="00990B14" w:rsidRDefault="00000000">
            <w:pPr>
              <w:spacing w:before="20" w:after="20"/>
              <w:jc w:val="both"/>
            </w:pPr>
            <w:r>
              <w:rPr>
                <w:sz w:val="18"/>
                <w:szCs w:val="18"/>
              </w:rPr>
              <w:t>Señala la información contable que requiere cada proceso.</w:t>
            </w:r>
          </w:p>
        </w:tc>
      </w:tr>
      <w:tr w:rsidR="00990B14" w14:paraId="3D8B27DA" w14:textId="77777777">
        <w:trPr>
          <w:cantSplit/>
          <w:jc w:val="center"/>
        </w:trPr>
        <w:tc>
          <w:tcPr>
            <w:tcW w:w="1533" w:type="dxa"/>
            <w:vMerge/>
            <w:shd w:val="clear" w:color="auto" w:fill="4472C4"/>
            <w:vAlign w:val="center"/>
          </w:tcPr>
          <w:p w14:paraId="76D28835" w14:textId="77777777" w:rsidR="00990B14" w:rsidRDefault="00990B14">
            <w:pPr>
              <w:spacing w:before="20" w:after="20"/>
            </w:pPr>
          </w:p>
        </w:tc>
        <w:tc>
          <w:tcPr>
            <w:tcW w:w="1812" w:type="dxa"/>
            <w:shd w:val="clear" w:color="auto" w:fill="D9E2F3"/>
            <w:vAlign w:val="center"/>
          </w:tcPr>
          <w:p w14:paraId="05C05411" w14:textId="77777777" w:rsidR="00990B14" w:rsidRDefault="00000000">
            <w:pPr>
              <w:spacing w:before="20" w:after="20"/>
              <w:jc w:val="both"/>
            </w:pPr>
            <w:r>
              <w:rPr>
                <w:sz w:val="18"/>
                <w:szCs w:val="18"/>
              </w:rPr>
              <w:t>Información no financiera</w:t>
            </w:r>
          </w:p>
        </w:tc>
        <w:tc>
          <w:tcPr>
            <w:tcW w:w="2435" w:type="dxa"/>
            <w:shd w:val="clear" w:color="auto" w:fill="D9E2F3"/>
            <w:vAlign w:val="center"/>
          </w:tcPr>
          <w:p w14:paraId="3E65B890" w14:textId="77777777" w:rsidR="00990B14" w:rsidRDefault="00000000">
            <w:pPr>
              <w:spacing w:before="20" w:after="20"/>
              <w:jc w:val="both"/>
            </w:pPr>
            <w:r>
              <w:rPr>
                <w:sz w:val="18"/>
                <w:szCs w:val="18"/>
              </w:rPr>
              <w:t>Omite la información ambiental y social.</w:t>
            </w:r>
          </w:p>
        </w:tc>
        <w:tc>
          <w:tcPr>
            <w:tcW w:w="1812" w:type="dxa"/>
            <w:shd w:val="clear" w:color="auto" w:fill="D9E2F3"/>
            <w:vAlign w:val="center"/>
          </w:tcPr>
          <w:p w14:paraId="5F66427A" w14:textId="77777777" w:rsidR="00990B14" w:rsidRDefault="00000000">
            <w:pPr>
              <w:spacing w:before="20" w:after="20"/>
              <w:jc w:val="both"/>
            </w:pPr>
            <w:r>
              <w:rPr>
                <w:sz w:val="18"/>
                <w:szCs w:val="18"/>
              </w:rPr>
              <w:t>Identifica los indicadores no financieros pertinentes.</w:t>
            </w:r>
          </w:p>
        </w:tc>
        <w:tc>
          <w:tcPr>
            <w:tcW w:w="1813" w:type="dxa"/>
            <w:shd w:val="clear" w:color="auto" w:fill="D9E2F3"/>
            <w:vAlign w:val="center"/>
          </w:tcPr>
          <w:p w14:paraId="71113E2D" w14:textId="77777777" w:rsidR="00990B14" w:rsidRDefault="00000000">
            <w:pPr>
              <w:spacing w:before="20" w:after="20"/>
              <w:jc w:val="both"/>
            </w:pPr>
            <w:r>
              <w:rPr>
                <w:sz w:val="18"/>
                <w:szCs w:val="18"/>
              </w:rPr>
              <w:t>Define la fuente y el responsable de cada indicador.</w:t>
            </w:r>
          </w:p>
        </w:tc>
      </w:tr>
      <w:tr w:rsidR="00990B14" w14:paraId="0D19CA7D" w14:textId="77777777">
        <w:trPr>
          <w:cantSplit/>
          <w:jc w:val="center"/>
        </w:trPr>
        <w:tc>
          <w:tcPr>
            <w:tcW w:w="1533" w:type="dxa"/>
            <w:vMerge/>
            <w:shd w:val="clear" w:color="auto" w:fill="4472C4"/>
            <w:vAlign w:val="center"/>
          </w:tcPr>
          <w:p w14:paraId="1E84B86E" w14:textId="77777777" w:rsidR="00990B14" w:rsidRDefault="00990B14">
            <w:pPr>
              <w:spacing w:before="20" w:after="20"/>
            </w:pPr>
          </w:p>
        </w:tc>
        <w:tc>
          <w:tcPr>
            <w:tcW w:w="6059" w:type="dxa"/>
            <w:gridSpan w:val="3"/>
            <w:shd w:val="clear" w:color="auto" w:fill="D9E2F3"/>
            <w:vAlign w:val="center"/>
          </w:tcPr>
          <w:p w14:paraId="64A40C74" w14:textId="77777777" w:rsidR="00990B14" w:rsidRDefault="00000000">
            <w:pPr>
              <w:keepNext/>
              <w:spacing w:before="20" w:after="20"/>
              <w:jc w:val="both"/>
            </w:pPr>
            <w:r>
              <w:rPr>
                <w:b/>
                <w:bCs/>
                <w:i/>
                <w:iCs/>
                <w:sz w:val="18"/>
                <w:szCs w:val="18"/>
              </w:rPr>
              <w:t xml:space="preserve">Producto 4: </w:t>
            </w:r>
            <w:r>
              <w:rPr>
                <w:sz w:val="18"/>
                <w:szCs w:val="18"/>
              </w:rPr>
              <w:t>Organigrama y estructura funcional</w:t>
            </w:r>
          </w:p>
        </w:tc>
        <w:tc>
          <w:tcPr>
            <w:tcW w:w="1813" w:type="dxa"/>
            <w:shd w:val="clear" w:color="auto" w:fill="D9E2F3"/>
            <w:vAlign w:val="center"/>
          </w:tcPr>
          <w:p w14:paraId="047EBCB3" w14:textId="77777777" w:rsidR="00990B14" w:rsidRDefault="00000000">
            <w:pPr>
              <w:spacing w:before="20" w:after="20"/>
              <w:jc w:val="center"/>
            </w:pPr>
            <w:r>
              <w:rPr>
                <w:b/>
                <w:bCs/>
                <w:sz w:val="18"/>
                <w:szCs w:val="18"/>
              </w:rPr>
              <w:t>2%</w:t>
            </w:r>
          </w:p>
        </w:tc>
      </w:tr>
      <w:tr w:rsidR="00990B14" w14:paraId="25BA1651" w14:textId="77777777">
        <w:trPr>
          <w:cantSplit/>
          <w:jc w:val="center"/>
        </w:trPr>
        <w:tc>
          <w:tcPr>
            <w:tcW w:w="1533" w:type="dxa"/>
            <w:vMerge/>
            <w:shd w:val="clear" w:color="auto" w:fill="4472C4"/>
            <w:vAlign w:val="center"/>
          </w:tcPr>
          <w:p w14:paraId="3179DE60" w14:textId="77777777" w:rsidR="00990B14" w:rsidRDefault="00990B14">
            <w:pPr>
              <w:spacing w:before="20" w:after="20"/>
            </w:pPr>
          </w:p>
        </w:tc>
        <w:tc>
          <w:tcPr>
            <w:tcW w:w="1812" w:type="dxa"/>
            <w:shd w:val="clear" w:color="auto" w:fill="4472C4"/>
            <w:vAlign w:val="center"/>
          </w:tcPr>
          <w:p w14:paraId="2B54CEDC" w14:textId="77777777" w:rsidR="00990B14" w:rsidRDefault="00000000">
            <w:pPr>
              <w:keepNext/>
              <w:spacing w:before="20" w:after="20"/>
              <w:jc w:val="center"/>
            </w:pPr>
            <w:r>
              <w:rPr>
                <w:b/>
                <w:bCs/>
                <w:i/>
                <w:iCs/>
                <w:color w:val="FFFFFF"/>
                <w:sz w:val="18"/>
                <w:szCs w:val="18"/>
              </w:rPr>
              <w:t>Criterio</w:t>
            </w:r>
          </w:p>
        </w:tc>
        <w:tc>
          <w:tcPr>
            <w:tcW w:w="2435" w:type="dxa"/>
            <w:shd w:val="clear" w:color="auto" w:fill="4472C4"/>
            <w:vAlign w:val="center"/>
          </w:tcPr>
          <w:p w14:paraId="6F909A6C" w14:textId="77777777" w:rsidR="00990B14" w:rsidRDefault="00000000">
            <w:pPr>
              <w:keepNext/>
              <w:spacing w:before="20" w:after="20"/>
              <w:jc w:val="center"/>
            </w:pPr>
            <w:r>
              <w:rPr>
                <w:b/>
                <w:bCs/>
                <w:i/>
                <w:iCs/>
                <w:color w:val="FFFFFF"/>
                <w:sz w:val="18"/>
                <w:szCs w:val="18"/>
              </w:rPr>
              <w:t>Insuficiente (1–50)</w:t>
            </w:r>
          </w:p>
        </w:tc>
        <w:tc>
          <w:tcPr>
            <w:tcW w:w="1812" w:type="dxa"/>
            <w:shd w:val="clear" w:color="auto" w:fill="4472C4"/>
            <w:vAlign w:val="center"/>
          </w:tcPr>
          <w:p w14:paraId="19810C89" w14:textId="77777777" w:rsidR="00990B14" w:rsidRDefault="00000000">
            <w:pPr>
              <w:keepNext/>
              <w:spacing w:before="20" w:after="20"/>
              <w:jc w:val="center"/>
            </w:pPr>
            <w:r>
              <w:rPr>
                <w:b/>
                <w:bCs/>
                <w:i/>
                <w:iCs/>
                <w:color w:val="FFFFFF"/>
                <w:sz w:val="18"/>
                <w:szCs w:val="18"/>
              </w:rPr>
              <w:t>Suficiente (51–80)</w:t>
            </w:r>
          </w:p>
        </w:tc>
        <w:tc>
          <w:tcPr>
            <w:tcW w:w="1813" w:type="dxa"/>
            <w:shd w:val="clear" w:color="auto" w:fill="4472C4"/>
            <w:vAlign w:val="center"/>
          </w:tcPr>
          <w:p w14:paraId="06CA9B72" w14:textId="77777777" w:rsidR="00990B14" w:rsidRDefault="00000000">
            <w:pPr>
              <w:keepNext/>
              <w:spacing w:before="20" w:after="20"/>
              <w:jc w:val="center"/>
            </w:pPr>
            <w:r>
              <w:rPr>
                <w:b/>
                <w:bCs/>
                <w:i/>
                <w:iCs/>
                <w:color w:val="FFFFFF"/>
                <w:sz w:val="18"/>
                <w:szCs w:val="18"/>
              </w:rPr>
              <w:t>Destacado (81–100)</w:t>
            </w:r>
          </w:p>
        </w:tc>
      </w:tr>
      <w:tr w:rsidR="00990B14" w14:paraId="0F28DA45" w14:textId="77777777">
        <w:trPr>
          <w:cantSplit/>
          <w:jc w:val="center"/>
        </w:trPr>
        <w:tc>
          <w:tcPr>
            <w:tcW w:w="1533" w:type="dxa"/>
            <w:vMerge/>
            <w:shd w:val="clear" w:color="auto" w:fill="4472C4"/>
            <w:vAlign w:val="center"/>
          </w:tcPr>
          <w:p w14:paraId="6EF6FA37" w14:textId="77777777" w:rsidR="00990B14" w:rsidRDefault="00990B14">
            <w:pPr>
              <w:spacing w:before="20" w:after="20"/>
            </w:pPr>
          </w:p>
        </w:tc>
        <w:tc>
          <w:tcPr>
            <w:tcW w:w="1812" w:type="dxa"/>
            <w:shd w:val="clear" w:color="auto" w:fill="D9E2F3"/>
            <w:vAlign w:val="center"/>
          </w:tcPr>
          <w:p w14:paraId="13E9F330" w14:textId="77777777" w:rsidR="00990B14" w:rsidRDefault="00000000">
            <w:pPr>
              <w:spacing w:before="20" w:after="20"/>
              <w:jc w:val="both"/>
            </w:pPr>
            <w:r>
              <w:rPr>
                <w:sz w:val="18"/>
                <w:szCs w:val="18"/>
              </w:rPr>
              <w:t>Estructura organizacional</w:t>
            </w:r>
          </w:p>
        </w:tc>
        <w:tc>
          <w:tcPr>
            <w:tcW w:w="2435" w:type="dxa"/>
            <w:shd w:val="clear" w:color="auto" w:fill="D9E2F3"/>
            <w:vAlign w:val="center"/>
          </w:tcPr>
          <w:p w14:paraId="11233ECC" w14:textId="77777777" w:rsidR="00990B14" w:rsidRDefault="00000000">
            <w:pPr>
              <w:spacing w:before="20" w:after="20"/>
              <w:jc w:val="both"/>
            </w:pPr>
            <w:r>
              <w:rPr>
                <w:sz w:val="18"/>
                <w:szCs w:val="18"/>
              </w:rPr>
              <w:t>El organigrama no refleja los niveles jerárquicos.</w:t>
            </w:r>
          </w:p>
        </w:tc>
        <w:tc>
          <w:tcPr>
            <w:tcW w:w="1812" w:type="dxa"/>
            <w:shd w:val="clear" w:color="auto" w:fill="D9E2F3"/>
            <w:vAlign w:val="center"/>
          </w:tcPr>
          <w:p w14:paraId="102CE118" w14:textId="77777777" w:rsidR="00990B14" w:rsidRDefault="00000000">
            <w:pPr>
              <w:spacing w:before="20" w:after="20"/>
              <w:jc w:val="both"/>
            </w:pPr>
            <w:r>
              <w:rPr>
                <w:sz w:val="18"/>
                <w:szCs w:val="18"/>
              </w:rPr>
              <w:t>Representa los niveles y las líneas de autoridad.</w:t>
            </w:r>
          </w:p>
        </w:tc>
        <w:tc>
          <w:tcPr>
            <w:tcW w:w="1813" w:type="dxa"/>
            <w:shd w:val="clear" w:color="auto" w:fill="D9E2F3"/>
            <w:vAlign w:val="center"/>
          </w:tcPr>
          <w:p w14:paraId="24C4060D" w14:textId="77777777" w:rsidR="00990B14" w:rsidRDefault="00000000">
            <w:pPr>
              <w:spacing w:before="20" w:after="20"/>
              <w:jc w:val="both"/>
            </w:pPr>
            <w:r>
              <w:rPr>
                <w:sz w:val="18"/>
                <w:szCs w:val="18"/>
              </w:rPr>
              <w:t>Justifica el tipo de estructura elegido.</w:t>
            </w:r>
          </w:p>
        </w:tc>
      </w:tr>
      <w:tr w:rsidR="00990B14" w14:paraId="2748FDD0" w14:textId="77777777">
        <w:trPr>
          <w:cantSplit/>
          <w:jc w:val="center"/>
        </w:trPr>
        <w:tc>
          <w:tcPr>
            <w:tcW w:w="1533" w:type="dxa"/>
            <w:vMerge/>
            <w:shd w:val="clear" w:color="auto" w:fill="4472C4"/>
            <w:vAlign w:val="center"/>
          </w:tcPr>
          <w:p w14:paraId="2D4A4FBA" w14:textId="77777777" w:rsidR="00990B14" w:rsidRDefault="00990B14">
            <w:pPr>
              <w:spacing w:before="20" w:after="20"/>
            </w:pPr>
          </w:p>
        </w:tc>
        <w:tc>
          <w:tcPr>
            <w:tcW w:w="1812" w:type="dxa"/>
            <w:shd w:val="clear" w:color="auto" w:fill="D9E2F3"/>
            <w:vAlign w:val="center"/>
          </w:tcPr>
          <w:p w14:paraId="16E15110" w14:textId="77777777" w:rsidR="00990B14" w:rsidRDefault="00000000">
            <w:pPr>
              <w:spacing w:before="20" w:after="20"/>
              <w:jc w:val="both"/>
            </w:pPr>
            <w:r>
              <w:rPr>
                <w:sz w:val="18"/>
                <w:szCs w:val="18"/>
              </w:rPr>
              <w:t>Separación de funciones</w:t>
            </w:r>
          </w:p>
        </w:tc>
        <w:tc>
          <w:tcPr>
            <w:tcW w:w="2435" w:type="dxa"/>
            <w:shd w:val="clear" w:color="auto" w:fill="D9E2F3"/>
            <w:vAlign w:val="center"/>
          </w:tcPr>
          <w:p w14:paraId="5CEF9905" w14:textId="77777777" w:rsidR="00990B14" w:rsidRDefault="00000000">
            <w:pPr>
              <w:spacing w:before="20" w:after="20"/>
              <w:jc w:val="both"/>
            </w:pPr>
            <w:r>
              <w:rPr>
                <w:sz w:val="18"/>
                <w:szCs w:val="18"/>
              </w:rPr>
              <w:t>No separa funciones incompatibles.</w:t>
            </w:r>
          </w:p>
        </w:tc>
        <w:tc>
          <w:tcPr>
            <w:tcW w:w="1812" w:type="dxa"/>
            <w:shd w:val="clear" w:color="auto" w:fill="D9E2F3"/>
            <w:vAlign w:val="center"/>
          </w:tcPr>
          <w:p w14:paraId="6ECE3638" w14:textId="77777777" w:rsidR="00990B14" w:rsidRDefault="00000000">
            <w:pPr>
              <w:spacing w:before="20" w:after="20"/>
              <w:jc w:val="both"/>
            </w:pPr>
            <w:r>
              <w:rPr>
                <w:sz w:val="18"/>
                <w:szCs w:val="18"/>
              </w:rPr>
              <w:t>Separa la autorización, el registro y la custodia.</w:t>
            </w:r>
          </w:p>
        </w:tc>
        <w:tc>
          <w:tcPr>
            <w:tcW w:w="1813" w:type="dxa"/>
            <w:shd w:val="clear" w:color="auto" w:fill="D9E2F3"/>
            <w:vAlign w:val="center"/>
          </w:tcPr>
          <w:p w14:paraId="780307A3" w14:textId="77777777" w:rsidR="00990B14" w:rsidRDefault="00000000">
            <w:pPr>
              <w:spacing w:before="20" w:after="20"/>
              <w:jc w:val="both"/>
            </w:pPr>
            <w:r>
              <w:rPr>
                <w:sz w:val="18"/>
                <w:szCs w:val="18"/>
              </w:rPr>
              <w:t>Identifica riesgos ante la falta de personal suficiente.</w:t>
            </w:r>
          </w:p>
        </w:tc>
      </w:tr>
      <w:tr w:rsidR="00990B14" w14:paraId="07C56FE5" w14:textId="77777777">
        <w:trPr>
          <w:cantSplit/>
          <w:jc w:val="center"/>
        </w:trPr>
        <w:tc>
          <w:tcPr>
            <w:tcW w:w="1533" w:type="dxa"/>
            <w:vMerge/>
            <w:shd w:val="clear" w:color="auto" w:fill="4472C4"/>
            <w:vAlign w:val="center"/>
          </w:tcPr>
          <w:p w14:paraId="363DE94F" w14:textId="77777777" w:rsidR="00990B14" w:rsidRDefault="00990B14">
            <w:pPr>
              <w:spacing w:before="20" w:after="20"/>
            </w:pPr>
          </w:p>
        </w:tc>
        <w:tc>
          <w:tcPr>
            <w:tcW w:w="1812" w:type="dxa"/>
            <w:shd w:val="clear" w:color="auto" w:fill="D9E2F3"/>
            <w:vAlign w:val="center"/>
          </w:tcPr>
          <w:p w14:paraId="002C3FE3" w14:textId="77777777" w:rsidR="00990B14" w:rsidRDefault="00000000">
            <w:pPr>
              <w:spacing w:before="20" w:after="20"/>
              <w:jc w:val="both"/>
            </w:pPr>
            <w:r>
              <w:rPr>
                <w:sz w:val="18"/>
                <w:szCs w:val="18"/>
              </w:rPr>
              <w:t>Trabajo en equipo</w:t>
            </w:r>
          </w:p>
        </w:tc>
        <w:tc>
          <w:tcPr>
            <w:tcW w:w="2435" w:type="dxa"/>
            <w:shd w:val="clear" w:color="auto" w:fill="D9E2F3"/>
            <w:vAlign w:val="center"/>
          </w:tcPr>
          <w:p w14:paraId="3C9BA62E" w14:textId="77777777" w:rsidR="00990B14" w:rsidRDefault="00000000">
            <w:pPr>
              <w:spacing w:before="20" w:after="20"/>
              <w:jc w:val="both"/>
            </w:pPr>
            <w:r>
              <w:rPr>
                <w:sz w:val="18"/>
                <w:szCs w:val="18"/>
              </w:rPr>
              <w:t>La participación es desigual.</w:t>
            </w:r>
          </w:p>
        </w:tc>
        <w:tc>
          <w:tcPr>
            <w:tcW w:w="1812" w:type="dxa"/>
            <w:shd w:val="clear" w:color="auto" w:fill="D9E2F3"/>
            <w:vAlign w:val="center"/>
          </w:tcPr>
          <w:p w14:paraId="3A430DD3" w14:textId="77777777" w:rsidR="00990B14" w:rsidRDefault="00000000">
            <w:pPr>
              <w:spacing w:before="20" w:after="20"/>
              <w:jc w:val="both"/>
            </w:pPr>
            <w:r>
              <w:rPr>
                <w:sz w:val="18"/>
                <w:szCs w:val="18"/>
              </w:rPr>
              <w:t>Todos los integrantes participan.</w:t>
            </w:r>
          </w:p>
        </w:tc>
        <w:tc>
          <w:tcPr>
            <w:tcW w:w="1813" w:type="dxa"/>
            <w:shd w:val="clear" w:color="auto" w:fill="D9E2F3"/>
            <w:vAlign w:val="center"/>
          </w:tcPr>
          <w:p w14:paraId="39763B15" w14:textId="77777777" w:rsidR="00990B14" w:rsidRDefault="00000000">
            <w:pPr>
              <w:spacing w:before="20" w:after="20"/>
              <w:jc w:val="both"/>
            </w:pPr>
            <w:r>
              <w:rPr>
                <w:sz w:val="18"/>
                <w:szCs w:val="18"/>
              </w:rPr>
              <w:t>El equipo sustenta sus decisiones ante el curso.</w:t>
            </w:r>
          </w:p>
        </w:tc>
      </w:tr>
      <w:tr w:rsidR="00990B14" w14:paraId="30E5C2AE" w14:textId="77777777">
        <w:trPr>
          <w:cantSplit/>
          <w:jc w:val="center"/>
        </w:trPr>
        <w:tc>
          <w:tcPr>
            <w:tcW w:w="1533" w:type="dxa"/>
            <w:vMerge/>
            <w:shd w:val="clear" w:color="auto" w:fill="4472C4"/>
            <w:vAlign w:val="center"/>
          </w:tcPr>
          <w:p w14:paraId="3C6260CF" w14:textId="77777777" w:rsidR="00990B14" w:rsidRDefault="00990B14">
            <w:pPr>
              <w:spacing w:before="20" w:after="20"/>
            </w:pPr>
          </w:p>
        </w:tc>
        <w:tc>
          <w:tcPr>
            <w:tcW w:w="6059" w:type="dxa"/>
            <w:gridSpan w:val="3"/>
            <w:shd w:val="clear" w:color="auto" w:fill="D9E2F3"/>
            <w:vAlign w:val="center"/>
          </w:tcPr>
          <w:p w14:paraId="2528BD04" w14:textId="77777777" w:rsidR="00990B14" w:rsidRDefault="00000000">
            <w:pPr>
              <w:keepNext/>
              <w:spacing w:before="20" w:after="20"/>
              <w:jc w:val="both"/>
            </w:pPr>
            <w:r>
              <w:rPr>
                <w:b/>
                <w:bCs/>
                <w:i/>
                <w:iCs/>
                <w:sz w:val="18"/>
                <w:szCs w:val="18"/>
              </w:rPr>
              <w:t xml:space="preserve">Producto 5: </w:t>
            </w:r>
            <w:r>
              <w:rPr>
                <w:sz w:val="18"/>
                <w:szCs w:val="18"/>
              </w:rPr>
              <w:t>Informe de diagnóstico de la organización</w:t>
            </w:r>
          </w:p>
        </w:tc>
        <w:tc>
          <w:tcPr>
            <w:tcW w:w="1813" w:type="dxa"/>
            <w:shd w:val="clear" w:color="auto" w:fill="D9E2F3"/>
            <w:vAlign w:val="center"/>
          </w:tcPr>
          <w:p w14:paraId="26E817CC" w14:textId="77777777" w:rsidR="00990B14" w:rsidRDefault="00000000">
            <w:pPr>
              <w:spacing w:before="20" w:after="20"/>
              <w:jc w:val="center"/>
            </w:pPr>
            <w:r>
              <w:rPr>
                <w:b/>
                <w:bCs/>
                <w:sz w:val="18"/>
                <w:szCs w:val="18"/>
              </w:rPr>
              <w:t>3%</w:t>
            </w:r>
          </w:p>
        </w:tc>
      </w:tr>
      <w:tr w:rsidR="00990B14" w14:paraId="2AD266EF" w14:textId="77777777">
        <w:trPr>
          <w:cantSplit/>
          <w:jc w:val="center"/>
        </w:trPr>
        <w:tc>
          <w:tcPr>
            <w:tcW w:w="1533" w:type="dxa"/>
            <w:vMerge/>
            <w:shd w:val="clear" w:color="auto" w:fill="4472C4"/>
            <w:vAlign w:val="center"/>
          </w:tcPr>
          <w:p w14:paraId="796A5151" w14:textId="77777777" w:rsidR="00990B14" w:rsidRDefault="00990B14">
            <w:pPr>
              <w:spacing w:before="20" w:after="20"/>
            </w:pPr>
          </w:p>
        </w:tc>
        <w:tc>
          <w:tcPr>
            <w:tcW w:w="1812" w:type="dxa"/>
            <w:shd w:val="clear" w:color="auto" w:fill="4472C4"/>
            <w:vAlign w:val="center"/>
          </w:tcPr>
          <w:p w14:paraId="7EBE94E5" w14:textId="77777777" w:rsidR="00990B14" w:rsidRDefault="00000000">
            <w:pPr>
              <w:keepNext/>
              <w:spacing w:before="20" w:after="20"/>
              <w:jc w:val="center"/>
            </w:pPr>
            <w:r>
              <w:rPr>
                <w:b/>
                <w:bCs/>
                <w:i/>
                <w:iCs/>
                <w:color w:val="FFFFFF"/>
                <w:sz w:val="18"/>
                <w:szCs w:val="18"/>
              </w:rPr>
              <w:t>Criterio</w:t>
            </w:r>
          </w:p>
        </w:tc>
        <w:tc>
          <w:tcPr>
            <w:tcW w:w="2435" w:type="dxa"/>
            <w:shd w:val="clear" w:color="auto" w:fill="4472C4"/>
            <w:vAlign w:val="center"/>
          </w:tcPr>
          <w:p w14:paraId="70631AC9" w14:textId="77777777" w:rsidR="00990B14" w:rsidRDefault="00000000">
            <w:pPr>
              <w:keepNext/>
              <w:spacing w:before="20" w:after="20"/>
              <w:jc w:val="center"/>
            </w:pPr>
            <w:r>
              <w:rPr>
                <w:b/>
                <w:bCs/>
                <w:i/>
                <w:iCs/>
                <w:color w:val="FFFFFF"/>
                <w:sz w:val="18"/>
                <w:szCs w:val="18"/>
              </w:rPr>
              <w:t>Insuficiente (1–50)</w:t>
            </w:r>
          </w:p>
        </w:tc>
        <w:tc>
          <w:tcPr>
            <w:tcW w:w="1812" w:type="dxa"/>
            <w:shd w:val="clear" w:color="auto" w:fill="4472C4"/>
            <w:vAlign w:val="center"/>
          </w:tcPr>
          <w:p w14:paraId="25078C21" w14:textId="77777777" w:rsidR="00990B14" w:rsidRDefault="00000000">
            <w:pPr>
              <w:keepNext/>
              <w:spacing w:before="20" w:after="20"/>
              <w:jc w:val="center"/>
            </w:pPr>
            <w:r>
              <w:rPr>
                <w:b/>
                <w:bCs/>
                <w:i/>
                <w:iCs/>
                <w:color w:val="FFFFFF"/>
                <w:sz w:val="18"/>
                <w:szCs w:val="18"/>
              </w:rPr>
              <w:t>Suficiente (51–80)</w:t>
            </w:r>
          </w:p>
        </w:tc>
        <w:tc>
          <w:tcPr>
            <w:tcW w:w="1813" w:type="dxa"/>
            <w:shd w:val="clear" w:color="auto" w:fill="4472C4"/>
            <w:vAlign w:val="center"/>
          </w:tcPr>
          <w:p w14:paraId="2D979240" w14:textId="77777777" w:rsidR="00990B14" w:rsidRDefault="00000000">
            <w:pPr>
              <w:keepNext/>
              <w:spacing w:before="20" w:after="20"/>
              <w:jc w:val="center"/>
            </w:pPr>
            <w:r>
              <w:rPr>
                <w:b/>
                <w:bCs/>
                <w:i/>
                <w:iCs/>
                <w:color w:val="FFFFFF"/>
                <w:sz w:val="18"/>
                <w:szCs w:val="18"/>
              </w:rPr>
              <w:t>Destacado (81–100)</w:t>
            </w:r>
          </w:p>
        </w:tc>
      </w:tr>
      <w:tr w:rsidR="00990B14" w14:paraId="5088D3F1" w14:textId="77777777">
        <w:trPr>
          <w:cantSplit/>
          <w:jc w:val="center"/>
        </w:trPr>
        <w:tc>
          <w:tcPr>
            <w:tcW w:w="1533" w:type="dxa"/>
            <w:vMerge/>
            <w:shd w:val="clear" w:color="auto" w:fill="4472C4"/>
            <w:vAlign w:val="center"/>
          </w:tcPr>
          <w:p w14:paraId="64C3B5D0" w14:textId="77777777" w:rsidR="00990B14" w:rsidRDefault="00990B14">
            <w:pPr>
              <w:spacing w:before="20" w:after="20"/>
            </w:pPr>
          </w:p>
        </w:tc>
        <w:tc>
          <w:tcPr>
            <w:tcW w:w="1812" w:type="dxa"/>
            <w:shd w:val="clear" w:color="auto" w:fill="D9E2F3"/>
            <w:vAlign w:val="center"/>
          </w:tcPr>
          <w:p w14:paraId="4322E858" w14:textId="77777777" w:rsidR="00990B14" w:rsidRDefault="00000000">
            <w:pPr>
              <w:spacing w:before="20" w:after="20"/>
              <w:jc w:val="both"/>
            </w:pPr>
            <w:r>
              <w:rPr>
                <w:sz w:val="18"/>
                <w:szCs w:val="18"/>
              </w:rPr>
              <w:t>Análisis del macroambiente</w:t>
            </w:r>
          </w:p>
        </w:tc>
        <w:tc>
          <w:tcPr>
            <w:tcW w:w="2435" w:type="dxa"/>
            <w:shd w:val="clear" w:color="auto" w:fill="D9E2F3"/>
            <w:vAlign w:val="center"/>
          </w:tcPr>
          <w:p w14:paraId="2D385482" w14:textId="77777777" w:rsidR="00990B14" w:rsidRDefault="00000000">
            <w:pPr>
              <w:spacing w:before="20" w:after="20"/>
              <w:jc w:val="both"/>
            </w:pPr>
            <w:r>
              <w:rPr>
                <w:sz w:val="18"/>
                <w:szCs w:val="18"/>
              </w:rPr>
              <w:t>Omite factores externos relevantes.</w:t>
            </w:r>
          </w:p>
        </w:tc>
        <w:tc>
          <w:tcPr>
            <w:tcW w:w="1812" w:type="dxa"/>
            <w:shd w:val="clear" w:color="auto" w:fill="D9E2F3"/>
            <w:vAlign w:val="center"/>
          </w:tcPr>
          <w:p w14:paraId="650EBF37" w14:textId="77777777" w:rsidR="00990B14" w:rsidRDefault="00000000">
            <w:pPr>
              <w:spacing w:before="20" w:after="20"/>
              <w:jc w:val="both"/>
            </w:pPr>
            <w:r>
              <w:rPr>
                <w:sz w:val="18"/>
                <w:szCs w:val="18"/>
              </w:rPr>
              <w:t>Analiza los factores externos que afectan a la empresa.</w:t>
            </w:r>
          </w:p>
        </w:tc>
        <w:tc>
          <w:tcPr>
            <w:tcW w:w="1813" w:type="dxa"/>
            <w:shd w:val="clear" w:color="auto" w:fill="D9E2F3"/>
            <w:vAlign w:val="center"/>
          </w:tcPr>
          <w:p w14:paraId="01CA7F78" w14:textId="77777777" w:rsidR="00990B14" w:rsidRDefault="00000000">
            <w:pPr>
              <w:spacing w:before="20" w:after="20"/>
              <w:jc w:val="both"/>
            </w:pPr>
            <w:r>
              <w:rPr>
                <w:sz w:val="18"/>
                <w:szCs w:val="18"/>
              </w:rPr>
              <w:t>Relaciona los factores externos con riesgos del sistema.</w:t>
            </w:r>
          </w:p>
        </w:tc>
      </w:tr>
      <w:tr w:rsidR="00990B14" w14:paraId="27213626" w14:textId="77777777">
        <w:trPr>
          <w:cantSplit/>
          <w:jc w:val="center"/>
        </w:trPr>
        <w:tc>
          <w:tcPr>
            <w:tcW w:w="1533" w:type="dxa"/>
            <w:vMerge/>
            <w:shd w:val="clear" w:color="auto" w:fill="4472C4"/>
            <w:vAlign w:val="center"/>
          </w:tcPr>
          <w:p w14:paraId="2C37AAFB" w14:textId="77777777" w:rsidR="00990B14" w:rsidRDefault="00990B14">
            <w:pPr>
              <w:spacing w:before="20" w:after="20"/>
            </w:pPr>
          </w:p>
        </w:tc>
        <w:tc>
          <w:tcPr>
            <w:tcW w:w="1812" w:type="dxa"/>
            <w:shd w:val="clear" w:color="auto" w:fill="D9E2F3"/>
            <w:vAlign w:val="center"/>
          </w:tcPr>
          <w:p w14:paraId="6EA73546" w14:textId="77777777" w:rsidR="00990B14" w:rsidRDefault="00000000">
            <w:pPr>
              <w:spacing w:before="20" w:after="20"/>
              <w:jc w:val="both"/>
            </w:pPr>
            <w:r>
              <w:rPr>
                <w:sz w:val="18"/>
                <w:szCs w:val="18"/>
              </w:rPr>
              <w:t>Diagnóstico interno</w:t>
            </w:r>
          </w:p>
        </w:tc>
        <w:tc>
          <w:tcPr>
            <w:tcW w:w="2435" w:type="dxa"/>
            <w:shd w:val="clear" w:color="auto" w:fill="D9E2F3"/>
            <w:vAlign w:val="center"/>
          </w:tcPr>
          <w:p w14:paraId="1FB3B352" w14:textId="77777777" w:rsidR="00990B14" w:rsidRDefault="00000000">
            <w:pPr>
              <w:spacing w:before="20" w:after="20"/>
              <w:jc w:val="both"/>
            </w:pPr>
            <w:r>
              <w:rPr>
                <w:sz w:val="18"/>
                <w:szCs w:val="18"/>
              </w:rPr>
              <w:t>El diagnóstico es superficial.</w:t>
            </w:r>
          </w:p>
        </w:tc>
        <w:tc>
          <w:tcPr>
            <w:tcW w:w="1812" w:type="dxa"/>
            <w:shd w:val="clear" w:color="auto" w:fill="D9E2F3"/>
            <w:vAlign w:val="center"/>
          </w:tcPr>
          <w:p w14:paraId="4BF3120D" w14:textId="77777777" w:rsidR="00990B14" w:rsidRDefault="00000000">
            <w:pPr>
              <w:spacing w:before="20" w:after="20"/>
              <w:jc w:val="both"/>
            </w:pPr>
            <w:r>
              <w:rPr>
                <w:sz w:val="18"/>
                <w:szCs w:val="18"/>
              </w:rPr>
              <w:t>Diagnostica la planeación, la organización y el control.</w:t>
            </w:r>
          </w:p>
        </w:tc>
        <w:tc>
          <w:tcPr>
            <w:tcW w:w="1813" w:type="dxa"/>
            <w:shd w:val="clear" w:color="auto" w:fill="D9E2F3"/>
            <w:vAlign w:val="center"/>
          </w:tcPr>
          <w:p w14:paraId="47085E94" w14:textId="77777777" w:rsidR="00990B14" w:rsidRDefault="00000000">
            <w:pPr>
              <w:spacing w:before="20" w:after="20"/>
              <w:jc w:val="both"/>
            </w:pPr>
            <w:r>
              <w:rPr>
                <w:sz w:val="18"/>
                <w:szCs w:val="18"/>
              </w:rPr>
              <w:t>Sustenta cada hallazgo con evidencia.</w:t>
            </w:r>
          </w:p>
        </w:tc>
      </w:tr>
      <w:tr w:rsidR="00990B14" w14:paraId="77E2FDFD" w14:textId="77777777">
        <w:trPr>
          <w:cantSplit/>
          <w:jc w:val="center"/>
        </w:trPr>
        <w:tc>
          <w:tcPr>
            <w:tcW w:w="1533" w:type="dxa"/>
            <w:vMerge/>
            <w:shd w:val="clear" w:color="auto" w:fill="4472C4"/>
            <w:vAlign w:val="center"/>
          </w:tcPr>
          <w:p w14:paraId="4027163D" w14:textId="77777777" w:rsidR="00990B14" w:rsidRDefault="00990B14">
            <w:pPr>
              <w:spacing w:before="20" w:after="20"/>
            </w:pPr>
          </w:p>
        </w:tc>
        <w:tc>
          <w:tcPr>
            <w:tcW w:w="1812" w:type="dxa"/>
            <w:shd w:val="clear" w:color="auto" w:fill="D9E2F3"/>
            <w:vAlign w:val="center"/>
          </w:tcPr>
          <w:p w14:paraId="368CF21C" w14:textId="77777777" w:rsidR="00990B14" w:rsidRDefault="00000000">
            <w:pPr>
              <w:spacing w:before="20" w:after="20"/>
              <w:jc w:val="both"/>
            </w:pPr>
            <w:r>
              <w:rPr>
                <w:sz w:val="18"/>
                <w:szCs w:val="18"/>
              </w:rPr>
              <w:t>Instrumentos aplicados</w:t>
            </w:r>
          </w:p>
        </w:tc>
        <w:tc>
          <w:tcPr>
            <w:tcW w:w="2435" w:type="dxa"/>
            <w:shd w:val="clear" w:color="auto" w:fill="D9E2F3"/>
            <w:vAlign w:val="center"/>
          </w:tcPr>
          <w:p w14:paraId="5830EEBE" w14:textId="77777777" w:rsidR="00990B14" w:rsidRDefault="00000000">
            <w:pPr>
              <w:spacing w:before="20" w:after="20"/>
              <w:jc w:val="both"/>
            </w:pPr>
            <w:r>
              <w:rPr>
                <w:sz w:val="18"/>
                <w:szCs w:val="18"/>
              </w:rPr>
              <w:t>Los instrumentos son inadecuados.</w:t>
            </w:r>
          </w:p>
        </w:tc>
        <w:tc>
          <w:tcPr>
            <w:tcW w:w="1812" w:type="dxa"/>
            <w:shd w:val="clear" w:color="auto" w:fill="D9E2F3"/>
            <w:vAlign w:val="center"/>
          </w:tcPr>
          <w:p w14:paraId="6843CF4E" w14:textId="77777777" w:rsidR="00990B14" w:rsidRDefault="00000000">
            <w:pPr>
              <w:spacing w:before="20" w:after="20"/>
              <w:jc w:val="both"/>
            </w:pPr>
            <w:r>
              <w:rPr>
                <w:sz w:val="18"/>
                <w:szCs w:val="18"/>
              </w:rPr>
              <w:t>Aplica encuestas y cuestionarios pertinentes.</w:t>
            </w:r>
          </w:p>
        </w:tc>
        <w:tc>
          <w:tcPr>
            <w:tcW w:w="1813" w:type="dxa"/>
            <w:shd w:val="clear" w:color="auto" w:fill="D9E2F3"/>
            <w:vAlign w:val="center"/>
          </w:tcPr>
          <w:p w14:paraId="0C74CCD7" w14:textId="77777777" w:rsidR="00990B14" w:rsidRDefault="00000000">
            <w:pPr>
              <w:spacing w:before="20" w:after="20"/>
              <w:jc w:val="both"/>
            </w:pPr>
            <w:r>
              <w:rPr>
                <w:sz w:val="18"/>
                <w:szCs w:val="18"/>
              </w:rPr>
              <w:t>Valida los instrumentos antes de aplicarlos.</w:t>
            </w:r>
          </w:p>
        </w:tc>
      </w:tr>
      <w:tr w:rsidR="00990B14" w14:paraId="19FB96E5" w14:textId="77777777">
        <w:trPr>
          <w:cantSplit/>
          <w:jc w:val="center"/>
        </w:trPr>
        <w:tc>
          <w:tcPr>
            <w:tcW w:w="1533" w:type="dxa"/>
            <w:vMerge/>
            <w:shd w:val="clear" w:color="auto" w:fill="4472C4"/>
            <w:vAlign w:val="center"/>
          </w:tcPr>
          <w:p w14:paraId="5A36C15A" w14:textId="77777777" w:rsidR="00990B14" w:rsidRDefault="00990B14">
            <w:pPr>
              <w:spacing w:before="20" w:after="20"/>
            </w:pPr>
          </w:p>
        </w:tc>
        <w:tc>
          <w:tcPr>
            <w:tcW w:w="6059" w:type="dxa"/>
            <w:gridSpan w:val="3"/>
            <w:shd w:val="clear" w:color="auto" w:fill="D9E2F3"/>
            <w:vAlign w:val="center"/>
          </w:tcPr>
          <w:p w14:paraId="01A49003" w14:textId="77777777" w:rsidR="00990B14" w:rsidRDefault="00000000">
            <w:pPr>
              <w:keepNext/>
              <w:spacing w:before="20" w:after="20"/>
              <w:jc w:val="both"/>
            </w:pPr>
            <w:r>
              <w:rPr>
                <w:b/>
                <w:bCs/>
                <w:i/>
                <w:iCs/>
                <w:sz w:val="18"/>
                <w:szCs w:val="18"/>
              </w:rPr>
              <w:t xml:space="preserve">Producto 6: </w:t>
            </w:r>
            <w:r>
              <w:rPr>
                <w:sz w:val="18"/>
                <w:szCs w:val="18"/>
              </w:rPr>
              <w:t>Matriz de madurez digital</w:t>
            </w:r>
          </w:p>
        </w:tc>
        <w:tc>
          <w:tcPr>
            <w:tcW w:w="1813" w:type="dxa"/>
            <w:shd w:val="clear" w:color="auto" w:fill="D9E2F3"/>
            <w:vAlign w:val="center"/>
          </w:tcPr>
          <w:p w14:paraId="21356F4D" w14:textId="77777777" w:rsidR="00990B14" w:rsidRDefault="00000000">
            <w:pPr>
              <w:spacing w:before="20" w:after="20"/>
              <w:jc w:val="center"/>
            </w:pPr>
            <w:r>
              <w:rPr>
                <w:b/>
                <w:bCs/>
                <w:sz w:val="18"/>
                <w:szCs w:val="18"/>
              </w:rPr>
              <w:t>2%</w:t>
            </w:r>
          </w:p>
        </w:tc>
      </w:tr>
      <w:tr w:rsidR="00990B14" w14:paraId="4E706700" w14:textId="77777777">
        <w:trPr>
          <w:cantSplit/>
          <w:jc w:val="center"/>
        </w:trPr>
        <w:tc>
          <w:tcPr>
            <w:tcW w:w="1533" w:type="dxa"/>
            <w:vMerge/>
            <w:shd w:val="clear" w:color="auto" w:fill="4472C4"/>
            <w:vAlign w:val="center"/>
          </w:tcPr>
          <w:p w14:paraId="63D89DD4" w14:textId="77777777" w:rsidR="00990B14" w:rsidRDefault="00990B14">
            <w:pPr>
              <w:spacing w:before="20" w:after="20"/>
            </w:pPr>
          </w:p>
        </w:tc>
        <w:tc>
          <w:tcPr>
            <w:tcW w:w="1812" w:type="dxa"/>
            <w:shd w:val="clear" w:color="auto" w:fill="4472C4"/>
            <w:vAlign w:val="center"/>
          </w:tcPr>
          <w:p w14:paraId="082BACEB" w14:textId="77777777" w:rsidR="00990B14" w:rsidRDefault="00000000">
            <w:pPr>
              <w:keepNext/>
              <w:spacing w:before="20" w:after="20"/>
              <w:jc w:val="center"/>
            </w:pPr>
            <w:r>
              <w:rPr>
                <w:b/>
                <w:bCs/>
                <w:i/>
                <w:iCs/>
                <w:color w:val="FFFFFF"/>
                <w:sz w:val="18"/>
                <w:szCs w:val="18"/>
              </w:rPr>
              <w:t>Criterio</w:t>
            </w:r>
          </w:p>
        </w:tc>
        <w:tc>
          <w:tcPr>
            <w:tcW w:w="2435" w:type="dxa"/>
            <w:shd w:val="clear" w:color="auto" w:fill="4472C4"/>
            <w:vAlign w:val="center"/>
          </w:tcPr>
          <w:p w14:paraId="0E95558B" w14:textId="77777777" w:rsidR="00990B14" w:rsidRDefault="00000000">
            <w:pPr>
              <w:keepNext/>
              <w:spacing w:before="20" w:after="20"/>
              <w:jc w:val="center"/>
            </w:pPr>
            <w:r>
              <w:rPr>
                <w:b/>
                <w:bCs/>
                <w:i/>
                <w:iCs/>
                <w:color w:val="FFFFFF"/>
                <w:sz w:val="18"/>
                <w:szCs w:val="18"/>
              </w:rPr>
              <w:t>Insuficiente (1–50)</w:t>
            </w:r>
          </w:p>
        </w:tc>
        <w:tc>
          <w:tcPr>
            <w:tcW w:w="1812" w:type="dxa"/>
            <w:shd w:val="clear" w:color="auto" w:fill="4472C4"/>
            <w:vAlign w:val="center"/>
          </w:tcPr>
          <w:p w14:paraId="11FF6262" w14:textId="77777777" w:rsidR="00990B14" w:rsidRDefault="00000000">
            <w:pPr>
              <w:keepNext/>
              <w:spacing w:before="20" w:after="20"/>
              <w:jc w:val="center"/>
            </w:pPr>
            <w:r>
              <w:rPr>
                <w:b/>
                <w:bCs/>
                <w:i/>
                <w:iCs/>
                <w:color w:val="FFFFFF"/>
                <w:sz w:val="18"/>
                <w:szCs w:val="18"/>
              </w:rPr>
              <w:t>Suficiente (51–80)</w:t>
            </w:r>
          </w:p>
        </w:tc>
        <w:tc>
          <w:tcPr>
            <w:tcW w:w="1813" w:type="dxa"/>
            <w:shd w:val="clear" w:color="auto" w:fill="4472C4"/>
            <w:vAlign w:val="center"/>
          </w:tcPr>
          <w:p w14:paraId="0D6DF583" w14:textId="77777777" w:rsidR="00990B14" w:rsidRDefault="00000000">
            <w:pPr>
              <w:keepNext/>
              <w:spacing w:before="20" w:after="20"/>
              <w:jc w:val="center"/>
            </w:pPr>
            <w:r>
              <w:rPr>
                <w:b/>
                <w:bCs/>
                <w:i/>
                <w:iCs/>
                <w:color w:val="FFFFFF"/>
                <w:sz w:val="18"/>
                <w:szCs w:val="18"/>
              </w:rPr>
              <w:t>Destacado (81–100)</w:t>
            </w:r>
          </w:p>
        </w:tc>
      </w:tr>
      <w:tr w:rsidR="00990B14" w14:paraId="05DFE2D1" w14:textId="77777777">
        <w:trPr>
          <w:cantSplit/>
          <w:jc w:val="center"/>
        </w:trPr>
        <w:tc>
          <w:tcPr>
            <w:tcW w:w="1533" w:type="dxa"/>
            <w:vMerge/>
            <w:shd w:val="clear" w:color="auto" w:fill="4472C4"/>
            <w:vAlign w:val="center"/>
          </w:tcPr>
          <w:p w14:paraId="492C3E9F" w14:textId="77777777" w:rsidR="00990B14" w:rsidRDefault="00990B14">
            <w:pPr>
              <w:spacing w:before="20" w:after="20"/>
            </w:pPr>
          </w:p>
        </w:tc>
        <w:tc>
          <w:tcPr>
            <w:tcW w:w="1812" w:type="dxa"/>
            <w:shd w:val="clear" w:color="auto" w:fill="D9E2F3"/>
            <w:vAlign w:val="center"/>
          </w:tcPr>
          <w:p w14:paraId="416B2883" w14:textId="77777777" w:rsidR="00990B14" w:rsidRDefault="00000000">
            <w:pPr>
              <w:spacing w:before="20" w:after="20"/>
              <w:jc w:val="both"/>
            </w:pPr>
            <w:r>
              <w:rPr>
                <w:sz w:val="18"/>
                <w:szCs w:val="18"/>
              </w:rPr>
              <w:t>Nivel de automatización</w:t>
            </w:r>
          </w:p>
        </w:tc>
        <w:tc>
          <w:tcPr>
            <w:tcW w:w="2435" w:type="dxa"/>
            <w:shd w:val="clear" w:color="auto" w:fill="D9E2F3"/>
            <w:vAlign w:val="center"/>
          </w:tcPr>
          <w:p w14:paraId="46FDFFC2" w14:textId="77777777" w:rsidR="00990B14" w:rsidRDefault="00000000">
            <w:pPr>
              <w:spacing w:before="20" w:after="20"/>
              <w:jc w:val="both"/>
            </w:pPr>
            <w:r>
              <w:rPr>
                <w:sz w:val="18"/>
                <w:szCs w:val="18"/>
              </w:rPr>
              <w:t>No distingue procesos manuales y automatizados.</w:t>
            </w:r>
          </w:p>
        </w:tc>
        <w:tc>
          <w:tcPr>
            <w:tcW w:w="1812" w:type="dxa"/>
            <w:shd w:val="clear" w:color="auto" w:fill="D9E2F3"/>
            <w:vAlign w:val="center"/>
          </w:tcPr>
          <w:p w14:paraId="19498AF9" w14:textId="77777777" w:rsidR="00990B14" w:rsidRDefault="00000000">
            <w:pPr>
              <w:spacing w:before="20" w:after="20"/>
              <w:jc w:val="both"/>
            </w:pPr>
            <w:r>
              <w:rPr>
                <w:sz w:val="18"/>
                <w:szCs w:val="18"/>
              </w:rPr>
              <w:t>Clasifica los procesos según su nivel de automatización.</w:t>
            </w:r>
          </w:p>
        </w:tc>
        <w:tc>
          <w:tcPr>
            <w:tcW w:w="1813" w:type="dxa"/>
            <w:shd w:val="clear" w:color="auto" w:fill="D9E2F3"/>
            <w:vAlign w:val="center"/>
          </w:tcPr>
          <w:p w14:paraId="35652F99" w14:textId="77777777" w:rsidR="00990B14" w:rsidRDefault="00000000">
            <w:pPr>
              <w:spacing w:before="20" w:after="20"/>
              <w:jc w:val="both"/>
            </w:pPr>
            <w:r>
              <w:rPr>
                <w:sz w:val="18"/>
                <w:szCs w:val="18"/>
              </w:rPr>
              <w:t>Prioriza los procesos que conviene automatizar.</w:t>
            </w:r>
          </w:p>
        </w:tc>
      </w:tr>
      <w:tr w:rsidR="00990B14" w14:paraId="06A37E4C" w14:textId="77777777">
        <w:trPr>
          <w:cantSplit/>
          <w:jc w:val="center"/>
        </w:trPr>
        <w:tc>
          <w:tcPr>
            <w:tcW w:w="1533" w:type="dxa"/>
            <w:vMerge/>
            <w:shd w:val="clear" w:color="auto" w:fill="4472C4"/>
            <w:vAlign w:val="center"/>
          </w:tcPr>
          <w:p w14:paraId="790D246B" w14:textId="77777777" w:rsidR="00990B14" w:rsidRDefault="00990B14">
            <w:pPr>
              <w:spacing w:before="20" w:after="20"/>
            </w:pPr>
          </w:p>
        </w:tc>
        <w:tc>
          <w:tcPr>
            <w:tcW w:w="1812" w:type="dxa"/>
            <w:shd w:val="clear" w:color="auto" w:fill="D9E2F3"/>
            <w:vAlign w:val="center"/>
          </w:tcPr>
          <w:p w14:paraId="083B1B6E" w14:textId="77777777" w:rsidR="00990B14" w:rsidRDefault="00000000">
            <w:pPr>
              <w:spacing w:before="20" w:after="20"/>
              <w:jc w:val="both"/>
            </w:pPr>
            <w:r>
              <w:rPr>
                <w:sz w:val="18"/>
                <w:szCs w:val="18"/>
              </w:rPr>
              <w:t>Riesgos tecnológicos</w:t>
            </w:r>
          </w:p>
        </w:tc>
        <w:tc>
          <w:tcPr>
            <w:tcW w:w="2435" w:type="dxa"/>
            <w:shd w:val="clear" w:color="auto" w:fill="D9E2F3"/>
            <w:vAlign w:val="center"/>
          </w:tcPr>
          <w:p w14:paraId="5E97F67E" w14:textId="77777777" w:rsidR="00990B14" w:rsidRDefault="00000000">
            <w:pPr>
              <w:spacing w:before="20" w:after="20"/>
              <w:jc w:val="both"/>
            </w:pPr>
            <w:r>
              <w:rPr>
                <w:sz w:val="18"/>
                <w:szCs w:val="18"/>
              </w:rPr>
              <w:t>Omite riesgos tecnológicos.</w:t>
            </w:r>
          </w:p>
        </w:tc>
        <w:tc>
          <w:tcPr>
            <w:tcW w:w="1812" w:type="dxa"/>
            <w:shd w:val="clear" w:color="auto" w:fill="D9E2F3"/>
            <w:vAlign w:val="center"/>
          </w:tcPr>
          <w:p w14:paraId="06D82E12" w14:textId="77777777" w:rsidR="00990B14" w:rsidRDefault="00000000">
            <w:pPr>
              <w:spacing w:before="20" w:after="20"/>
              <w:jc w:val="both"/>
            </w:pPr>
            <w:r>
              <w:rPr>
                <w:sz w:val="18"/>
                <w:szCs w:val="18"/>
              </w:rPr>
              <w:t>Identifica accesos, dependencia, pérdida y continuidad.</w:t>
            </w:r>
          </w:p>
        </w:tc>
        <w:tc>
          <w:tcPr>
            <w:tcW w:w="1813" w:type="dxa"/>
            <w:shd w:val="clear" w:color="auto" w:fill="D9E2F3"/>
            <w:vAlign w:val="center"/>
          </w:tcPr>
          <w:p w14:paraId="2E6C2A67" w14:textId="77777777" w:rsidR="00990B14" w:rsidRDefault="00000000">
            <w:pPr>
              <w:spacing w:before="20" w:after="20"/>
              <w:jc w:val="both"/>
            </w:pPr>
            <w:r>
              <w:rPr>
                <w:sz w:val="18"/>
                <w:szCs w:val="18"/>
              </w:rPr>
              <w:t>Califica los riesgos por probabilidad e impacto.</w:t>
            </w:r>
          </w:p>
        </w:tc>
      </w:tr>
      <w:tr w:rsidR="00990B14" w14:paraId="657BD0DC" w14:textId="77777777">
        <w:trPr>
          <w:cantSplit/>
          <w:jc w:val="center"/>
        </w:trPr>
        <w:tc>
          <w:tcPr>
            <w:tcW w:w="1533" w:type="dxa"/>
            <w:vMerge/>
            <w:shd w:val="clear" w:color="auto" w:fill="4472C4"/>
            <w:vAlign w:val="center"/>
          </w:tcPr>
          <w:p w14:paraId="4930EB06" w14:textId="77777777" w:rsidR="00990B14" w:rsidRDefault="00990B14">
            <w:pPr>
              <w:spacing w:before="20" w:after="20"/>
            </w:pPr>
          </w:p>
        </w:tc>
        <w:tc>
          <w:tcPr>
            <w:tcW w:w="1812" w:type="dxa"/>
            <w:shd w:val="clear" w:color="auto" w:fill="D9E2F3"/>
            <w:vAlign w:val="center"/>
          </w:tcPr>
          <w:p w14:paraId="74B50E9B" w14:textId="77777777" w:rsidR="00990B14" w:rsidRDefault="00000000">
            <w:pPr>
              <w:spacing w:before="20" w:after="20"/>
              <w:jc w:val="both"/>
            </w:pPr>
            <w:r>
              <w:rPr>
                <w:sz w:val="18"/>
                <w:szCs w:val="18"/>
              </w:rPr>
              <w:t>Presentación</w:t>
            </w:r>
          </w:p>
        </w:tc>
        <w:tc>
          <w:tcPr>
            <w:tcW w:w="2435" w:type="dxa"/>
            <w:shd w:val="clear" w:color="auto" w:fill="D9E2F3"/>
            <w:vAlign w:val="center"/>
          </w:tcPr>
          <w:p w14:paraId="60FE50CF" w14:textId="77777777" w:rsidR="00990B14" w:rsidRDefault="00000000">
            <w:pPr>
              <w:spacing w:before="20" w:after="20"/>
              <w:jc w:val="both"/>
            </w:pPr>
            <w:r>
              <w:rPr>
                <w:sz w:val="18"/>
                <w:szCs w:val="18"/>
              </w:rPr>
              <w:t>La matriz es confusa.</w:t>
            </w:r>
          </w:p>
        </w:tc>
        <w:tc>
          <w:tcPr>
            <w:tcW w:w="1812" w:type="dxa"/>
            <w:shd w:val="clear" w:color="auto" w:fill="D9E2F3"/>
            <w:vAlign w:val="center"/>
          </w:tcPr>
          <w:p w14:paraId="176F02D2" w14:textId="77777777" w:rsidR="00990B14" w:rsidRDefault="00000000">
            <w:pPr>
              <w:spacing w:before="20" w:after="20"/>
              <w:jc w:val="both"/>
            </w:pPr>
            <w:r>
              <w:rPr>
                <w:sz w:val="18"/>
                <w:szCs w:val="18"/>
              </w:rPr>
              <w:t>La matriz es clara y completa.</w:t>
            </w:r>
          </w:p>
        </w:tc>
        <w:tc>
          <w:tcPr>
            <w:tcW w:w="1813" w:type="dxa"/>
            <w:shd w:val="clear" w:color="auto" w:fill="D9E2F3"/>
            <w:vAlign w:val="center"/>
          </w:tcPr>
          <w:p w14:paraId="18CC022A" w14:textId="77777777" w:rsidR="00990B14" w:rsidRDefault="00000000">
            <w:pPr>
              <w:spacing w:before="20" w:after="20"/>
              <w:jc w:val="both"/>
            </w:pPr>
            <w:r>
              <w:rPr>
                <w:sz w:val="18"/>
                <w:szCs w:val="18"/>
              </w:rPr>
              <w:t>Incluye recomendaciones por cada riesgo.</w:t>
            </w:r>
          </w:p>
        </w:tc>
      </w:tr>
      <w:tr w:rsidR="00990B14" w14:paraId="2D78A900" w14:textId="77777777">
        <w:trPr>
          <w:cantSplit/>
          <w:jc w:val="center"/>
        </w:trPr>
        <w:tc>
          <w:tcPr>
            <w:tcW w:w="1533" w:type="dxa"/>
            <w:vMerge/>
            <w:shd w:val="clear" w:color="auto" w:fill="4472C4"/>
            <w:vAlign w:val="center"/>
          </w:tcPr>
          <w:p w14:paraId="5A086C53" w14:textId="77777777" w:rsidR="00990B14" w:rsidRDefault="00990B14">
            <w:pPr>
              <w:spacing w:before="20" w:after="20"/>
            </w:pPr>
          </w:p>
        </w:tc>
        <w:tc>
          <w:tcPr>
            <w:tcW w:w="6059" w:type="dxa"/>
            <w:gridSpan w:val="3"/>
            <w:shd w:val="clear" w:color="auto" w:fill="D9E2F3"/>
            <w:vAlign w:val="center"/>
          </w:tcPr>
          <w:p w14:paraId="10309548" w14:textId="77777777" w:rsidR="00990B14" w:rsidRDefault="00000000">
            <w:pPr>
              <w:keepNext/>
              <w:spacing w:before="20" w:after="20"/>
              <w:jc w:val="both"/>
            </w:pPr>
            <w:r>
              <w:rPr>
                <w:b/>
                <w:bCs/>
                <w:i/>
                <w:iCs/>
                <w:sz w:val="18"/>
                <w:szCs w:val="18"/>
              </w:rPr>
              <w:t xml:space="preserve">Producto 7: </w:t>
            </w:r>
            <w:r>
              <w:rPr>
                <w:sz w:val="18"/>
                <w:szCs w:val="18"/>
              </w:rPr>
              <w:t>Informe de diagnóstico del sistema contable</w:t>
            </w:r>
          </w:p>
        </w:tc>
        <w:tc>
          <w:tcPr>
            <w:tcW w:w="1813" w:type="dxa"/>
            <w:shd w:val="clear" w:color="auto" w:fill="D9E2F3"/>
            <w:vAlign w:val="center"/>
          </w:tcPr>
          <w:p w14:paraId="32DB9890" w14:textId="77777777" w:rsidR="00990B14" w:rsidRDefault="00000000">
            <w:pPr>
              <w:spacing w:before="20" w:after="20"/>
              <w:jc w:val="center"/>
            </w:pPr>
            <w:r>
              <w:rPr>
                <w:b/>
                <w:bCs/>
                <w:sz w:val="18"/>
                <w:szCs w:val="18"/>
              </w:rPr>
              <w:t>3%</w:t>
            </w:r>
          </w:p>
        </w:tc>
      </w:tr>
      <w:tr w:rsidR="00990B14" w14:paraId="4EF277EC" w14:textId="77777777">
        <w:trPr>
          <w:cantSplit/>
          <w:jc w:val="center"/>
        </w:trPr>
        <w:tc>
          <w:tcPr>
            <w:tcW w:w="1533" w:type="dxa"/>
            <w:vMerge/>
            <w:shd w:val="clear" w:color="auto" w:fill="4472C4"/>
            <w:vAlign w:val="center"/>
          </w:tcPr>
          <w:p w14:paraId="08F832EE" w14:textId="77777777" w:rsidR="00990B14" w:rsidRDefault="00990B14">
            <w:pPr>
              <w:spacing w:before="20" w:after="20"/>
            </w:pPr>
          </w:p>
        </w:tc>
        <w:tc>
          <w:tcPr>
            <w:tcW w:w="1812" w:type="dxa"/>
            <w:shd w:val="clear" w:color="auto" w:fill="4472C4"/>
            <w:vAlign w:val="center"/>
          </w:tcPr>
          <w:p w14:paraId="34C68457" w14:textId="77777777" w:rsidR="00990B14" w:rsidRDefault="00000000">
            <w:pPr>
              <w:keepNext/>
              <w:spacing w:before="20" w:after="20"/>
              <w:jc w:val="center"/>
            </w:pPr>
            <w:r>
              <w:rPr>
                <w:b/>
                <w:bCs/>
                <w:i/>
                <w:iCs/>
                <w:color w:val="FFFFFF"/>
                <w:sz w:val="18"/>
                <w:szCs w:val="18"/>
              </w:rPr>
              <w:t>Criterio</w:t>
            </w:r>
          </w:p>
        </w:tc>
        <w:tc>
          <w:tcPr>
            <w:tcW w:w="2435" w:type="dxa"/>
            <w:shd w:val="clear" w:color="auto" w:fill="4472C4"/>
            <w:vAlign w:val="center"/>
          </w:tcPr>
          <w:p w14:paraId="3ECFDA11" w14:textId="77777777" w:rsidR="00990B14" w:rsidRDefault="00000000">
            <w:pPr>
              <w:keepNext/>
              <w:spacing w:before="20" w:after="20"/>
              <w:jc w:val="center"/>
            </w:pPr>
            <w:r>
              <w:rPr>
                <w:b/>
                <w:bCs/>
                <w:i/>
                <w:iCs/>
                <w:color w:val="FFFFFF"/>
                <w:sz w:val="18"/>
                <w:szCs w:val="18"/>
              </w:rPr>
              <w:t>Insuficiente (1–50)</w:t>
            </w:r>
          </w:p>
        </w:tc>
        <w:tc>
          <w:tcPr>
            <w:tcW w:w="1812" w:type="dxa"/>
            <w:shd w:val="clear" w:color="auto" w:fill="4472C4"/>
            <w:vAlign w:val="center"/>
          </w:tcPr>
          <w:p w14:paraId="46ED9D8F" w14:textId="77777777" w:rsidR="00990B14" w:rsidRDefault="00000000">
            <w:pPr>
              <w:keepNext/>
              <w:spacing w:before="20" w:after="20"/>
              <w:jc w:val="center"/>
            </w:pPr>
            <w:r>
              <w:rPr>
                <w:b/>
                <w:bCs/>
                <w:i/>
                <w:iCs/>
                <w:color w:val="FFFFFF"/>
                <w:sz w:val="18"/>
                <w:szCs w:val="18"/>
              </w:rPr>
              <w:t>Suficiente (51–80)</w:t>
            </w:r>
          </w:p>
        </w:tc>
        <w:tc>
          <w:tcPr>
            <w:tcW w:w="1813" w:type="dxa"/>
            <w:shd w:val="clear" w:color="auto" w:fill="4472C4"/>
            <w:vAlign w:val="center"/>
          </w:tcPr>
          <w:p w14:paraId="24C2598F" w14:textId="77777777" w:rsidR="00990B14" w:rsidRDefault="00000000">
            <w:pPr>
              <w:keepNext/>
              <w:spacing w:before="20" w:after="20"/>
              <w:jc w:val="center"/>
            </w:pPr>
            <w:r>
              <w:rPr>
                <w:b/>
                <w:bCs/>
                <w:i/>
                <w:iCs/>
                <w:color w:val="FFFFFF"/>
                <w:sz w:val="18"/>
                <w:szCs w:val="18"/>
              </w:rPr>
              <w:t>Destacado (81–100)</w:t>
            </w:r>
          </w:p>
        </w:tc>
      </w:tr>
      <w:tr w:rsidR="00990B14" w14:paraId="61F92BFA" w14:textId="77777777">
        <w:trPr>
          <w:cantSplit/>
          <w:jc w:val="center"/>
        </w:trPr>
        <w:tc>
          <w:tcPr>
            <w:tcW w:w="1533" w:type="dxa"/>
            <w:vMerge/>
            <w:shd w:val="clear" w:color="auto" w:fill="4472C4"/>
            <w:vAlign w:val="center"/>
          </w:tcPr>
          <w:p w14:paraId="46EF82AF" w14:textId="77777777" w:rsidR="00990B14" w:rsidRDefault="00990B14">
            <w:pPr>
              <w:spacing w:before="20" w:after="20"/>
            </w:pPr>
          </w:p>
        </w:tc>
        <w:tc>
          <w:tcPr>
            <w:tcW w:w="1812" w:type="dxa"/>
            <w:shd w:val="clear" w:color="auto" w:fill="D9E2F3"/>
            <w:vAlign w:val="center"/>
          </w:tcPr>
          <w:p w14:paraId="6D754744" w14:textId="77777777" w:rsidR="00990B14" w:rsidRDefault="00000000">
            <w:pPr>
              <w:spacing w:before="20" w:after="20"/>
              <w:jc w:val="both"/>
            </w:pPr>
            <w:r>
              <w:rPr>
                <w:sz w:val="18"/>
                <w:szCs w:val="18"/>
              </w:rPr>
              <w:t>Situación del sistema</w:t>
            </w:r>
          </w:p>
        </w:tc>
        <w:tc>
          <w:tcPr>
            <w:tcW w:w="2435" w:type="dxa"/>
            <w:shd w:val="clear" w:color="auto" w:fill="D9E2F3"/>
            <w:vAlign w:val="center"/>
          </w:tcPr>
          <w:p w14:paraId="473BF7C9" w14:textId="77777777" w:rsidR="00990B14" w:rsidRDefault="00000000">
            <w:pPr>
              <w:spacing w:before="20" w:after="20"/>
              <w:jc w:val="both"/>
            </w:pPr>
            <w:r>
              <w:rPr>
                <w:sz w:val="18"/>
                <w:szCs w:val="18"/>
              </w:rPr>
              <w:t>Describe el sistema sin evaluarlo.</w:t>
            </w:r>
          </w:p>
        </w:tc>
        <w:tc>
          <w:tcPr>
            <w:tcW w:w="1812" w:type="dxa"/>
            <w:shd w:val="clear" w:color="auto" w:fill="D9E2F3"/>
            <w:vAlign w:val="center"/>
          </w:tcPr>
          <w:p w14:paraId="629DAC10" w14:textId="77777777" w:rsidR="00990B14" w:rsidRDefault="00000000">
            <w:pPr>
              <w:spacing w:before="20" w:after="20"/>
              <w:jc w:val="both"/>
            </w:pPr>
            <w:r>
              <w:rPr>
                <w:sz w:val="18"/>
                <w:szCs w:val="18"/>
              </w:rPr>
              <w:t>Evalúa los procesos y procedimientos del sistema.</w:t>
            </w:r>
          </w:p>
        </w:tc>
        <w:tc>
          <w:tcPr>
            <w:tcW w:w="1813" w:type="dxa"/>
            <w:shd w:val="clear" w:color="auto" w:fill="D9E2F3"/>
            <w:vAlign w:val="center"/>
          </w:tcPr>
          <w:p w14:paraId="55DEDE0B" w14:textId="77777777" w:rsidR="00990B14" w:rsidRDefault="00000000">
            <w:pPr>
              <w:spacing w:before="20" w:after="20"/>
              <w:jc w:val="both"/>
            </w:pPr>
            <w:r>
              <w:rPr>
                <w:sz w:val="18"/>
                <w:szCs w:val="18"/>
              </w:rPr>
              <w:t>Identifica las causas de las deficiencias.</w:t>
            </w:r>
          </w:p>
        </w:tc>
      </w:tr>
      <w:tr w:rsidR="00990B14" w14:paraId="2545FA98" w14:textId="77777777">
        <w:trPr>
          <w:cantSplit/>
          <w:jc w:val="center"/>
        </w:trPr>
        <w:tc>
          <w:tcPr>
            <w:tcW w:w="1533" w:type="dxa"/>
            <w:vMerge/>
            <w:shd w:val="clear" w:color="auto" w:fill="4472C4"/>
            <w:vAlign w:val="center"/>
          </w:tcPr>
          <w:p w14:paraId="2F1909D0" w14:textId="77777777" w:rsidR="00990B14" w:rsidRDefault="00990B14">
            <w:pPr>
              <w:spacing w:before="20" w:after="20"/>
            </w:pPr>
          </w:p>
        </w:tc>
        <w:tc>
          <w:tcPr>
            <w:tcW w:w="1812" w:type="dxa"/>
            <w:shd w:val="clear" w:color="auto" w:fill="D9E2F3"/>
            <w:vAlign w:val="center"/>
          </w:tcPr>
          <w:p w14:paraId="6E9A2AEE" w14:textId="77777777" w:rsidR="00990B14" w:rsidRDefault="00000000">
            <w:pPr>
              <w:spacing w:before="20" w:after="20"/>
              <w:jc w:val="both"/>
            </w:pPr>
            <w:r>
              <w:rPr>
                <w:sz w:val="18"/>
                <w:szCs w:val="18"/>
              </w:rPr>
              <w:t>Conclusiones</w:t>
            </w:r>
          </w:p>
        </w:tc>
        <w:tc>
          <w:tcPr>
            <w:tcW w:w="2435" w:type="dxa"/>
            <w:shd w:val="clear" w:color="auto" w:fill="D9E2F3"/>
            <w:vAlign w:val="center"/>
          </w:tcPr>
          <w:p w14:paraId="2B6DD969" w14:textId="77777777" w:rsidR="00990B14" w:rsidRDefault="00000000">
            <w:pPr>
              <w:spacing w:before="20" w:after="20"/>
              <w:jc w:val="both"/>
            </w:pPr>
            <w:r>
              <w:rPr>
                <w:sz w:val="18"/>
                <w:szCs w:val="18"/>
              </w:rPr>
              <w:t>Las conclusiones no derivan del diagnóstico.</w:t>
            </w:r>
          </w:p>
        </w:tc>
        <w:tc>
          <w:tcPr>
            <w:tcW w:w="1812" w:type="dxa"/>
            <w:shd w:val="clear" w:color="auto" w:fill="D9E2F3"/>
            <w:vAlign w:val="center"/>
          </w:tcPr>
          <w:p w14:paraId="303A48D1" w14:textId="77777777" w:rsidR="00990B14" w:rsidRDefault="00000000">
            <w:pPr>
              <w:spacing w:before="20" w:after="20"/>
              <w:jc w:val="both"/>
            </w:pPr>
            <w:r>
              <w:rPr>
                <w:sz w:val="18"/>
                <w:szCs w:val="18"/>
              </w:rPr>
              <w:t>Formula conclusiones coherentes con los hallazgos.</w:t>
            </w:r>
          </w:p>
        </w:tc>
        <w:tc>
          <w:tcPr>
            <w:tcW w:w="1813" w:type="dxa"/>
            <w:shd w:val="clear" w:color="auto" w:fill="D9E2F3"/>
            <w:vAlign w:val="center"/>
          </w:tcPr>
          <w:p w14:paraId="47085231" w14:textId="77777777" w:rsidR="00990B14" w:rsidRDefault="00000000">
            <w:pPr>
              <w:spacing w:before="20" w:after="20"/>
              <w:jc w:val="both"/>
            </w:pPr>
            <w:r>
              <w:rPr>
                <w:sz w:val="18"/>
                <w:szCs w:val="18"/>
              </w:rPr>
              <w:t>Propone un orden de prioridad para las mejoras.</w:t>
            </w:r>
          </w:p>
        </w:tc>
      </w:tr>
      <w:tr w:rsidR="00990B14" w14:paraId="5D2F5919" w14:textId="77777777">
        <w:trPr>
          <w:cantSplit/>
          <w:jc w:val="center"/>
        </w:trPr>
        <w:tc>
          <w:tcPr>
            <w:tcW w:w="1533" w:type="dxa"/>
            <w:vMerge/>
            <w:shd w:val="clear" w:color="auto" w:fill="4472C4"/>
            <w:vAlign w:val="center"/>
          </w:tcPr>
          <w:p w14:paraId="08AB5610" w14:textId="77777777" w:rsidR="00990B14" w:rsidRDefault="00990B14">
            <w:pPr>
              <w:spacing w:before="20" w:after="20"/>
            </w:pPr>
          </w:p>
        </w:tc>
        <w:tc>
          <w:tcPr>
            <w:tcW w:w="1812" w:type="dxa"/>
            <w:shd w:val="clear" w:color="auto" w:fill="D9E2F3"/>
            <w:vAlign w:val="center"/>
          </w:tcPr>
          <w:p w14:paraId="30116A2C" w14:textId="77777777" w:rsidR="00990B14" w:rsidRDefault="00000000">
            <w:pPr>
              <w:spacing w:before="20" w:after="20"/>
              <w:jc w:val="both"/>
            </w:pPr>
            <w:r>
              <w:rPr>
                <w:sz w:val="18"/>
                <w:szCs w:val="18"/>
              </w:rPr>
              <w:t>Sustentación</w:t>
            </w:r>
          </w:p>
        </w:tc>
        <w:tc>
          <w:tcPr>
            <w:tcW w:w="2435" w:type="dxa"/>
            <w:shd w:val="clear" w:color="auto" w:fill="D9E2F3"/>
            <w:vAlign w:val="center"/>
          </w:tcPr>
          <w:p w14:paraId="2722E2F7" w14:textId="77777777" w:rsidR="00990B14" w:rsidRDefault="00000000">
            <w:pPr>
              <w:spacing w:before="20" w:after="20"/>
              <w:jc w:val="both"/>
            </w:pPr>
            <w:r>
              <w:rPr>
                <w:sz w:val="18"/>
                <w:szCs w:val="18"/>
              </w:rPr>
              <w:t>La sustentación es confusa.</w:t>
            </w:r>
          </w:p>
        </w:tc>
        <w:tc>
          <w:tcPr>
            <w:tcW w:w="1812" w:type="dxa"/>
            <w:shd w:val="clear" w:color="auto" w:fill="D9E2F3"/>
            <w:vAlign w:val="center"/>
          </w:tcPr>
          <w:p w14:paraId="0069F46D" w14:textId="77777777" w:rsidR="00990B14" w:rsidRDefault="00000000">
            <w:pPr>
              <w:spacing w:before="20" w:after="20"/>
              <w:jc w:val="both"/>
            </w:pPr>
            <w:r>
              <w:rPr>
                <w:sz w:val="18"/>
                <w:szCs w:val="18"/>
              </w:rPr>
              <w:t>Sustenta con claridad ante el curso.</w:t>
            </w:r>
          </w:p>
        </w:tc>
        <w:tc>
          <w:tcPr>
            <w:tcW w:w="1813" w:type="dxa"/>
            <w:shd w:val="clear" w:color="auto" w:fill="D9E2F3"/>
            <w:vAlign w:val="center"/>
          </w:tcPr>
          <w:p w14:paraId="7BD2B324" w14:textId="77777777" w:rsidR="00990B14" w:rsidRDefault="00000000">
            <w:pPr>
              <w:spacing w:before="20" w:after="20"/>
              <w:jc w:val="both"/>
            </w:pPr>
            <w:r>
              <w:rPr>
                <w:sz w:val="18"/>
                <w:szCs w:val="18"/>
              </w:rPr>
              <w:t>Responde con fundamentos a las observaciones.</w:t>
            </w:r>
          </w:p>
        </w:tc>
      </w:tr>
      <w:tr w:rsidR="00990B14" w14:paraId="115385F8" w14:textId="77777777">
        <w:trPr>
          <w:cantSplit/>
          <w:jc w:val="center"/>
        </w:trPr>
        <w:tc>
          <w:tcPr>
            <w:tcW w:w="1533" w:type="dxa"/>
            <w:vMerge/>
            <w:shd w:val="clear" w:color="auto" w:fill="4472C4"/>
            <w:vAlign w:val="center"/>
          </w:tcPr>
          <w:p w14:paraId="7C7A0765" w14:textId="77777777" w:rsidR="00990B14" w:rsidRDefault="00990B14">
            <w:pPr>
              <w:spacing w:before="20" w:after="20"/>
            </w:pPr>
          </w:p>
        </w:tc>
        <w:tc>
          <w:tcPr>
            <w:tcW w:w="6059" w:type="dxa"/>
            <w:gridSpan w:val="3"/>
            <w:shd w:val="clear" w:color="auto" w:fill="D9E2F3"/>
            <w:vAlign w:val="center"/>
          </w:tcPr>
          <w:p w14:paraId="707A9C6F" w14:textId="77777777" w:rsidR="00990B14" w:rsidRDefault="00000000">
            <w:pPr>
              <w:keepNext/>
              <w:spacing w:before="20" w:after="20"/>
              <w:jc w:val="both"/>
            </w:pPr>
            <w:r>
              <w:rPr>
                <w:b/>
                <w:bCs/>
                <w:i/>
                <w:iCs/>
                <w:sz w:val="18"/>
                <w:szCs w:val="18"/>
              </w:rPr>
              <w:t xml:space="preserve">Producto 8: </w:t>
            </w:r>
            <w:r>
              <w:rPr>
                <w:sz w:val="18"/>
                <w:szCs w:val="18"/>
              </w:rPr>
              <w:t>Cuadro de brechas de información</w:t>
            </w:r>
          </w:p>
        </w:tc>
        <w:tc>
          <w:tcPr>
            <w:tcW w:w="1813" w:type="dxa"/>
            <w:shd w:val="clear" w:color="auto" w:fill="D9E2F3"/>
            <w:vAlign w:val="center"/>
          </w:tcPr>
          <w:p w14:paraId="2AD03A26" w14:textId="77777777" w:rsidR="00990B14" w:rsidRDefault="00000000">
            <w:pPr>
              <w:spacing w:before="20" w:after="20"/>
              <w:jc w:val="center"/>
            </w:pPr>
            <w:r>
              <w:rPr>
                <w:b/>
                <w:bCs/>
                <w:sz w:val="18"/>
                <w:szCs w:val="18"/>
              </w:rPr>
              <w:t>2%</w:t>
            </w:r>
          </w:p>
        </w:tc>
      </w:tr>
      <w:tr w:rsidR="00990B14" w14:paraId="422F4C8D" w14:textId="77777777">
        <w:trPr>
          <w:cantSplit/>
          <w:jc w:val="center"/>
        </w:trPr>
        <w:tc>
          <w:tcPr>
            <w:tcW w:w="1533" w:type="dxa"/>
            <w:vMerge/>
            <w:shd w:val="clear" w:color="auto" w:fill="4472C4"/>
            <w:vAlign w:val="center"/>
          </w:tcPr>
          <w:p w14:paraId="4C473D7B" w14:textId="77777777" w:rsidR="00990B14" w:rsidRDefault="00990B14">
            <w:pPr>
              <w:spacing w:before="20" w:after="20"/>
            </w:pPr>
          </w:p>
        </w:tc>
        <w:tc>
          <w:tcPr>
            <w:tcW w:w="1812" w:type="dxa"/>
            <w:shd w:val="clear" w:color="auto" w:fill="4472C4"/>
            <w:vAlign w:val="center"/>
          </w:tcPr>
          <w:p w14:paraId="640E6EF9" w14:textId="77777777" w:rsidR="00990B14" w:rsidRDefault="00000000">
            <w:pPr>
              <w:keepNext/>
              <w:spacing w:before="20" w:after="20"/>
              <w:jc w:val="center"/>
            </w:pPr>
            <w:r>
              <w:rPr>
                <w:b/>
                <w:bCs/>
                <w:i/>
                <w:iCs/>
                <w:color w:val="FFFFFF"/>
                <w:sz w:val="18"/>
                <w:szCs w:val="18"/>
              </w:rPr>
              <w:t>Criterio</w:t>
            </w:r>
          </w:p>
        </w:tc>
        <w:tc>
          <w:tcPr>
            <w:tcW w:w="2435" w:type="dxa"/>
            <w:shd w:val="clear" w:color="auto" w:fill="4472C4"/>
            <w:vAlign w:val="center"/>
          </w:tcPr>
          <w:p w14:paraId="18C437C0" w14:textId="77777777" w:rsidR="00990B14" w:rsidRDefault="00000000">
            <w:pPr>
              <w:keepNext/>
              <w:spacing w:before="20" w:after="20"/>
              <w:jc w:val="center"/>
            </w:pPr>
            <w:r>
              <w:rPr>
                <w:b/>
                <w:bCs/>
                <w:i/>
                <w:iCs/>
                <w:color w:val="FFFFFF"/>
                <w:sz w:val="18"/>
                <w:szCs w:val="18"/>
              </w:rPr>
              <w:t>Insuficiente (1–50)</w:t>
            </w:r>
          </w:p>
        </w:tc>
        <w:tc>
          <w:tcPr>
            <w:tcW w:w="1812" w:type="dxa"/>
            <w:shd w:val="clear" w:color="auto" w:fill="4472C4"/>
            <w:vAlign w:val="center"/>
          </w:tcPr>
          <w:p w14:paraId="3A9B8CCE" w14:textId="77777777" w:rsidR="00990B14" w:rsidRDefault="00000000">
            <w:pPr>
              <w:keepNext/>
              <w:spacing w:before="20" w:after="20"/>
              <w:jc w:val="center"/>
            </w:pPr>
            <w:r>
              <w:rPr>
                <w:b/>
                <w:bCs/>
                <w:i/>
                <w:iCs/>
                <w:color w:val="FFFFFF"/>
                <w:sz w:val="18"/>
                <w:szCs w:val="18"/>
              </w:rPr>
              <w:t>Suficiente (51–80)</w:t>
            </w:r>
          </w:p>
        </w:tc>
        <w:tc>
          <w:tcPr>
            <w:tcW w:w="1813" w:type="dxa"/>
            <w:shd w:val="clear" w:color="auto" w:fill="4472C4"/>
            <w:vAlign w:val="center"/>
          </w:tcPr>
          <w:p w14:paraId="7C757C52" w14:textId="77777777" w:rsidR="00990B14" w:rsidRDefault="00000000">
            <w:pPr>
              <w:keepNext/>
              <w:spacing w:before="20" w:after="20"/>
              <w:jc w:val="center"/>
            </w:pPr>
            <w:r>
              <w:rPr>
                <w:b/>
                <w:bCs/>
                <w:i/>
                <w:iCs/>
                <w:color w:val="FFFFFF"/>
                <w:sz w:val="18"/>
                <w:szCs w:val="18"/>
              </w:rPr>
              <w:t>Destacado (81–100)</w:t>
            </w:r>
          </w:p>
        </w:tc>
      </w:tr>
      <w:tr w:rsidR="00990B14" w14:paraId="61767D7E" w14:textId="77777777">
        <w:trPr>
          <w:cantSplit/>
          <w:jc w:val="center"/>
        </w:trPr>
        <w:tc>
          <w:tcPr>
            <w:tcW w:w="1533" w:type="dxa"/>
            <w:vMerge/>
            <w:shd w:val="clear" w:color="auto" w:fill="4472C4"/>
            <w:vAlign w:val="center"/>
          </w:tcPr>
          <w:p w14:paraId="2B989351" w14:textId="77777777" w:rsidR="00990B14" w:rsidRDefault="00990B14">
            <w:pPr>
              <w:spacing w:before="20" w:after="20"/>
            </w:pPr>
          </w:p>
        </w:tc>
        <w:tc>
          <w:tcPr>
            <w:tcW w:w="1812" w:type="dxa"/>
            <w:shd w:val="clear" w:color="auto" w:fill="D9E2F3"/>
            <w:vAlign w:val="center"/>
          </w:tcPr>
          <w:p w14:paraId="175858F4" w14:textId="77777777" w:rsidR="00990B14" w:rsidRDefault="00000000">
            <w:pPr>
              <w:spacing w:before="20" w:after="20"/>
              <w:jc w:val="both"/>
            </w:pPr>
            <w:r>
              <w:rPr>
                <w:sz w:val="18"/>
                <w:szCs w:val="18"/>
              </w:rPr>
              <w:t>Requerimientos de información</w:t>
            </w:r>
          </w:p>
        </w:tc>
        <w:tc>
          <w:tcPr>
            <w:tcW w:w="2435" w:type="dxa"/>
            <w:shd w:val="clear" w:color="auto" w:fill="D9E2F3"/>
            <w:vAlign w:val="center"/>
          </w:tcPr>
          <w:p w14:paraId="335949E7" w14:textId="77777777" w:rsidR="00990B14" w:rsidRDefault="00000000">
            <w:pPr>
              <w:spacing w:before="20" w:after="20"/>
              <w:jc w:val="both"/>
            </w:pPr>
            <w:r>
              <w:rPr>
                <w:sz w:val="18"/>
                <w:szCs w:val="18"/>
              </w:rPr>
              <w:t>No identifica los requerimientos de la gerencia.</w:t>
            </w:r>
          </w:p>
        </w:tc>
        <w:tc>
          <w:tcPr>
            <w:tcW w:w="1812" w:type="dxa"/>
            <w:shd w:val="clear" w:color="auto" w:fill="D9E2F3"/>
            <w:vAlign w:val="center"/>
          </w:tcPr>
          <w:p w14:paraId="037504C7" w14:textId="77777777" w:rsidR="00990B14" w:rsidRDefault="00000000">
            <w:pPr>
              <w:spacing w:before="20" w:after="20"/>
              <w:jc w:val="both"/>
            </w:pPr>
            <w:r>
              <w:rPr>
                <w:sz w:val="18"/>
                <w:szCs w:val="18"/>
              </w:rPr>
              <w:t>Identifica los requerimientos de cada usuario.</w:t>
            </w:r>
          </w:p>
        </w:tc>
        <w:tc>
          <w:tcPr>
            <w:tcW w:w="1813" w:type="dxa"/>
            <w:shd w:val="clear" w:color="auto" w:fill="D9E2F3"/>
            <w:vAlign w:val="center"/>
          </w:tcPr>
          <w:p w14:paraId="3B450250" w14:textId="77777777" w:rsidR="00990B14" w:rsidRDefault="00000000">
            <w:pPr>
              <w:spacing w:before="20" w:after="20"/>
              <w:jc w:val="both"/>
            </w:pPr>
            <w:r>
              <w:rPr>
                <w:sz w:val="18"/>
                <w:szCs w:val="18"/>
              </w:rPr>
              <w:t>Clasifica los requerimientos por su urgencia.</w:t>
            </w:r>
          </w:p>
        </w:tc>
      </w:tr>
      <w:tr w:rsidR="00990B14" w14:paraId="4A6DE0B1" w14:textId="77777777">
        <w:trPr>
          <w:cantSplit/>
          <w:jc w:val="center"/>
        </w:trPr>
        <w:tc>
          <w:tcPr>
            <w:tcW w:w="1533" w:type="dxa"/>
            <w:vMerge/>
            <w:shd w:val="clear" w:color="auto" w:fill="4472C4"/>
            <w:vAlign w:val="center"/>
          </w:tcPr>
          <w:p w14:paraId="19B94116" w14:textId="77777777" w:rsidR="00990B14" w:rsidRDefault="00990B14">
            <w:pPr>
              <w:spacing w:before="20" w:after="20"/>
            </w:pPr>
          </w:p>
        </w:tc>
        <w:tc>
          <w:tcPr>
            <w:tcW w:w="1812" w:type="dxa"/>
            <w:shd w:val="clear" w:color="auto" w:fill="D9E2F3"/>
            <w:vAlign w:val="center"/>
          </w:tcPr>
          <w:p w14:paraId="7302BB8F" w14:textId="77777777" w:rsidR="00990B14" w:rsidRDefault="00000000">
            <w:pPr>
              <w:spacing w:before="20" w:after="20"/>
              <w:jc w:val="both"/>
            </w:pPr>
            <w:r>
              <w:rPr>
                <w:sz w:val="18"/>
                <w:szCs w:val="18"/>
              </w:rPr>
              <w:t>Determinación de brechas</w:t>
            </w:r>
          </w:p>
        </w:tc>
        <w:tc>
          <w:tcPr>
            <w:tcW w:w="2435" w:type="dxa"/>
            <w:shd w:val="clear" w:color="auto" w:fill="D9E2F3"/>
            <w:vAlign w:val="center"/>
          </w:tcPr>
          <w:p w14:paraId="4AE26398" w14:textId="77777777" w:rsidR="00990B14" w:rsidRDefault="00000000">
            <w:pPr>
              <w:spacing w:before="20" w:after="20"/>
              <w:jc w:val="both"/>
            </w:pPr>
            <w:r>
              <w:rPr>
                <w:sz w:val="18"/>
                <w:szCs w:val="18"/>
              </w:rPr>
              <w:t>No compara la información disponible y la requerida.</w:t>
            </w:r>
          </w:p>
        </w:tc>
        <w:tc>
          <w:tcPr>
            <w:tcW w:w="1812" w:type="dxa"/>
            <w:shd w:val="clear" w:color="auto" w:fill="D9E2F3"/>
            <w:vAlign w:val="center"/>
          </w:tcPr>
          <w:p w14:paraId="6A13A7CA" w14:textId="77777777" w:rsidR="00990B14" w:rsidRDefault="00000000">
            <w:pPr>
              <w:spacing w:before="20" w:after="20"/>
              <w:jc w:val="both"/>
            </w:pPr>
            <w:r>
              <w:rPr>
                <w:sz w:val="18"/>
                <w:szCs w:val="18"/>
              </w:rPr>
              <w:t>Determina las brechas entre ambas.</w:t>
            </w:r>
          </w:p>
        </w:tc>
        <w:tc>
          <w:tcPr>
            <w:tcW w:w="1813" w:type="dxa"/>
            <w:shd w:val="clear" w:color="auto" w:fill="D9E2F3"/>
            <w:vAlign w:val="center"/>
          </w:tcPr>
          <w:p w14:paraId="0F18EDF7" w14:textId="77777777" w:rsidR="00990B14" w:rsidRDefault="00000000">
            <w:pPr>
              <w:spacing w:before="20" w:after="20"/>
              <w:jc w:val="both"/>
            </w:pPr>
            <w:r>
              <w:rPr>
                <w:sz w:val="18"/>
                <w:szCs w:val="18"/>
              </w:rPr>
              <w:t>Estima el costo de cada brecha para la empresa.</w:t>
            </w:r>
          </w:p>
        </w:tc>
      </w:tr>
      <w:tr w:rsidR="00990B14" w14:paraId="48A86080" w14:textId="77777777">
        <w:trPr>
          <w:cantSplit/>
          <w:jc w:val="center"/>
        </w:trPr>
        <w:tc>
          <w:tcPr>
            <w:tcW w:w="1533" w:type="dxa"/>
            <w:vMerge/>
            <w:shd w:val="clear" w:color="auto" w:fill="4472C4"/>
            <w:vAlign w:val="center"/>
          </w:tcPr>
          <w:p w14:paraId="7451B679" w14:textId="77777777" w:rsidR="00990B14" w:rsidRDefault="00990B14">
            <w:pPr>
              <w:spacing w:before="20" w:after="20"/>
            </w:pPr>
          </w:p>
        </w:tc>
        <w:tc>
          <w:tcPr>
            <w:tcW w:w="1812" w:type="dxa"/>
            <w:shd w:val="clear" w:color="auto" w:fill="D9E2F3"/>
            <w:vAlign w:val="center"/>
          </w:tcPr>
          <w:p w14:paraId="7DD2276E" w14:textId="77777777" w:rsidR="00990B14" w:rsidRDefault="00000000">
            <w:pPr>
              <w:spacing w:before="20" w:after="20"/>
              <w:jc w:val="both"/>
            </w:pPr>
            <w:r>
              <w:rPr>
                <w:sz w:val="18"/>
                <w:szCs w:val="18"/>
              </w:rPr>
              <w:t>Trabajo en equipo</w:t>
            </w:r>
          </w:p>
        </w:tc>
        <w:tc>
          <w:tcPr>
            <w:tcW w:w="2435" w:type="dxa"/>
            <w:shd w:val="clear" w:color="auto" w:fill="D9E2F3"/>
            <w:vAlign w:val="center"/>
          </w:tcPr>
          <w:p w14:paraId="023FA153" w14:textId="77777777" w:rsidR="00990B14" w:rsidRDefault="00000000">
            <w:pPr>
              <w:spacing w:before="20" w:after="20"/>
              <w:jc w:val="both"/>
            </w:pPr>
            <w:r>
              <w:rPr>
                <w:sz w:val="18"/>
                <w:szCs w:val="18"/>
              </w:rPr>
              <w:t>La participación es desigual.</w:t>
            </w:r>
          </w:p>
        </w:tc>
        <w:tc>
          <w:tcPr>
            <w:tcW w:w="1812" w:type="dxa"/>
            <w:shd w:val="clear" w:color="auto" w:fill="D9E2F3"/>
            <w:vAlign w:val="center"/>
          </w:tcPr>
          <w:p w14:paraId="5E1C9217" w14:textId="77777777" w:rsidR="00990B14" w:rsidRDefault="00000000">
            <w:pPr>
              <w:spacing w:before="20" w:after="20"/>
              <w:jc w:val="both"/>
            </w:pPr>
            <w:r>
              <w:rPr>
                <w:sz w:val="18"/>
                <w:szCs w:val="18"/>
              </w:rPr>
              <w:t>Todos los integrantes participan.</w:t>
            </w:r>
          </w:p>
        </w:tc>
        <w:tc>
          <w:tcPr>
            <w:tcW w:w="1813" w:type="dxa"/>
            <w:shd w:val="clear" w:color="auto" w:fill="D9E2F3"/>
            <w:vAlign w:val="center"/>
          </w:tcPr>
          <w:p w14:paraId="091D6B41" w14:textId="77777777" w:rsidR="00990B14" w:rsidRDefault="00000000">
            <w:pPr>
              <w:spacing w:before="20" w:after="20"/>
              <w:jc w:val="both"/>
            </w:pPr>
            <w:r>
              <w:rPr>
                <w:sz w:val="18"/>
                <w:szCs w:val="18"/>
              </w:rPr>
              <w:t>El equipo integra los aportes en una propuesta común.</w:t>
            </w:r>
          </w:p>
        </w:tc>
      </w:tr>
      <w:tr w:rsidR="00990B14" w14:paraId="0BEF304A" w14:textId="77777777">
        <w:trPr>
          <w:cantSplit/>
          <w:jc w:val="center"/>
        </w:trPr>
        <w:tc>
          <w:tcPr>
            <w:tcW w:w="1533" w:type="dxa"/>
            <w:vMerge/>
            <w:shd w:val="clear" w:color="auto" w:fill="4472C4"/>
            <w:vAlign w:val="center"/>
          </w:tcPr>
          <w:p w14:paraId="7E8AD7B4" w14:textId="77777777" w:rsidR="00990B14" w:rsidRDefault="00990B14">
            <w:pPr>
              <w:spacing w:before="20" w:after="20"/>
            </w:pPr>
          </w:p>
        </w:tc>
        <w:tc>
          <w:tcPr>
            <w:tcW w:w="6059" w:type="dxa"/>
            <w:gridSpan w:val="3"/>
            <w:shd w:val="clear" w:color="auto" w:fill="D9E2F3"/>
            <w:vAlign w:val="center"/>
          </w:tcPr>
          <w:p w14:paraId="2F81FFFD" w14:textId="77777777" w:rsidR="00990B14" w:rsidRDefault="00000000">
            <w:pPr>
              <w:keepNext/>
              <w:spacing w:before="20" w:after="20"/>
              <w:jc w:val="both"/>
            </w:pPr>
            <w:r>
              <w:rPr>
                <w:b/>
                <w:bCs/>
                <w:i/>
                <w:iCs/>
                <w:sz w:val="18"/>
                <w:szCs w:val="18"/>
              </w:rPr>
              <w:t xml:space="preserve">Producto 9: </w:t>
            </w:r>
            <w:r>
              <w:rPr>
                <w:sz w:val="18"/>
                <w:szCs w:val="18"/>
              </w:rPr>
              <w:t>Plan de cuentas codificado</w:t>
            </w:r>
          </w:p>
        </w:tc>
        <w:tc>
          <w:tcPr>
            <w:tcW w:w="1813" w:type="dxa"/>
            <w:shd w:val="clear" w:color="auto" w:fill="D9E2F3"/>
            <w:vAlign w:val="center"/>
          </w:tcPr>
          <w:p w14:paraId="29466075" w14:textId="77777777" w:rsidR="00990B14" w:rsidRDefault="00000000">
            <w:pPr>
              <w:spacing w:before="20" w:after="20"/>
              <w:jc w:val="center"/>
            </w:pPr>
            <w:r>
              <w:rPr>
                <w:b/>
                <w:bCs/>
                <w:sz w:val="18"/>
                <w:szCs w:val="18"/>
              </w:rPr>
              <w:t>3%</w:t>
            </w:r>
          </w:p>
        </w:tc>
      </w:tr>
      <w:tr w:rsidR="00990B14" w14:paraId="75471D9D" w14:textId="77777777">
        <w:trPr>
          <w:cantSplit/>
          <w:jc w:val="center"/>
        </w:trPr>
        <w:tc>
          <w:tcPr>
            <w:tcW w:w="1533" w:type="dxa"/>
            <w:vMerge/>
            <w:shd w:val="clear" w:color="auto" w:fill="4472C4"/>
            <w:vAlign w:val="center"/>
          </w:tcPr>
          <w:p w14:paraId="721C3ACE" w14:textId="77777777" w:rsidR="00990B14" w:rsidRDefault="00990B14">
            <w:pPr>
              <w:spacing w:before="20" w:after="20"/>
            </w:pPr>
          </w:p>
        </w:tc>
        <w:tc>
          <w:tcPr>
            <w:tcW w:w="1812" w:type="dxa"/>
            <w:shd w:val="clear" w:color="auto" w:fill="4472C4"/>
            <w:vAlign w:val="center"/>
          </w:tcPr>
          <w:p w14:paraId="4008EC51" w14:textId="77777777" w:rsidR="00990B14" w:rsidRDefault="00000000">
            <w:pPr>
              <w:keepNext/>
              <w:spacing w:before="20" w:after="20"/>
              <w:jc w:val="center"/>
            </w:pPr>
            <w:r>
              <w:rPr>
                <w:b/>
                <w:bCs/>
                <w:i/>
                <w:iCs/>
                <w:color w:val="FFFFFF"/>
                <w:sz w:val="18"/>
                <w:szCs w:val="18"/>
              </w:rPr>
              <w:t>Criterio</w:t>
            </w:r>
          </w:p>
        </w:tc>
        <w:tc>
          <w:tcPr>
            <w:tcW w:w="2435" w:type="dxa"/>
            <w:shd w:val="clear" w:color="auto" w:fill="4472C4"/>
            <w:vAlign w:val="center"/>
          </w:tcPr>
          <w:p w14:paraId="315EC674" w14:textId="77777777" w:rsidR="00990B14" w:rsidRDefault="00000000">
            <w:pPr>
              <w:keepNext/>
              <w:spacing w:before="20" w:after="20"/>
              <w:jc w:val="center"/>
            </w:pPr>
            <w:r>
              <w:rPr>
                <w:b/>
                <w:bCs/>
                <w:i/>
                <w:iCs/>
                <w:color w:val="FFFFFF"/>
                <w:sz w:val="18"/>
                <w:szCs w:val="18"/>
              </w:rPr>
              <w:t>Insuficiente (1–50)</w:t>
            </w:r>
          </w:p>
        </w:tc>
        <w:tc>
          <w:tcPr>
            <w:tcW w:w="1812" w:type="dxa"/>
            <w:shd w:val="clear" w:color="auto" w:fill="4472C4"/>
            <w:vAlign w:val="center"/>
          </w:tcPr>
          <w:p w14:paraId="1BF0209E" w14:textId="77777777" w:rsidR="00990B14" w:rsidRDefault="00000000">
            <w:pPr>
              <w:keepNext/>
              <w:spacing w:before="20" w:after="20"/>
              <w:jc w:val="center"/>
            </w:pPr>
            <w:r>
              <w:rPr>
                <w:b/>
                <w:bCs/>
                <w:i/>
                <w:iCs/>
                <w:color w:val="FFFFFF"/>
                <w:sz w:val="18"/>
                <w:szCs w:val="18"/>
              </w:rPr>
              <w:t>Suficiente (51–80)</w:t>
            </w:r>
          </w:p>
        </w:tc>
        <w:tc>
          <w:tcPr>
            <w:tcW w:w="1813" w:type="dxa"/>
            <w:shd w:val="clear" w:color="auto" w:fill="4472C4"/>
            <w:vAlign w:val="center"/>
          </w:tcPr>
          <w:p w14:paraId="66200405" w14:textId="77777777" w:rsidR="00990B14" w:rsidRDefault="00000000">
            <w:pPr>
              <w:keepNext/>
              <w:spacing w:before="20" w:after="20"/>
              <w:jc w:val="center"/>
            </w:pPr>
            <w:r>
              <w:rPr>
                <w:b/>
                <w:bCs/>
                <w:i/>
                <w:iCs/>
                <w:color w:val="FFFFFF"/>
                <w:sz w:val="18"/>
                <w:szCs w:val="18"/>
              </w:rPr>
              <w:t>Destacado (81–100)</w:t>
            </w:r>
          </w:p>
        </w:tc>
      </w:tr>
      <w:tr w:rsidR="00990B14" w14:paraId="4208ACEC" w14:textId="77777777">
        <w:trPr>
          <w:cantSplit/>
          <w:jc w:val="center"/>
        </w:trPr>
        <w:tc>
          <w:tcPr>
            <w:tcW w:w="1533" w:type="dxa"/>
            <w:vMerge/>
            <w:shd w:val="clear" w:color="auto" w:fill="4472C4"/>
            <w:vAlign w:val="center"/>
          </w:tcPr>
          <w:p w14:paraId="4447FC28" w14:textId="77777777" w:rsidR="00990B14" w:rsidRDefault="00990B14">
            <w:pPr>
              <w:spacing w:before="20" w:after="20"/>
            </w:pPr>
          </w:p>
        </w:tc>
        <w:tc>
          <w:tcPr>
            <w:tcW w:w="1812" w:type="dxa"/>
            <w:shd w:val="clear" w:color="auto" w:fill="D9E2F3"/>
            <w:vAlign w:val="center"/>
          </w:tcPr>
          <w:p w14:paraId="18A16892" w14:textId="77777777" w:rsidR="00990B14" w:rsidRDefault="00000000">
            <w:pPr>
              <w:spacing w:before="20" w:after="20"/>
              <w:jc w:val="both"/>
            </w:pPr>
            <w:r>
              <w:rPr>
                <w:sz w:val="18"/>
                <w:szCs w:val="18"/>
              </w:rPr>
              <w:t>Estructura del plan</w:t>
            </w:r>
          </w:p>
        </w:tc>
        <w:tc>
          <w:tcPr>
            <w:tcW w:w="2435" w:type="dxa"/>
            <w:shd w:val="clear" w:color="auto" w:fill="D9E2F3"/>
            <w:vAlign w:val="center"/>
          </w:tcPr>
          <w:p w14:paraId="03355AF2" w14:textId="77777777" w:rsidR="00990B14" w:rsidRDefault="00000000">
            <w:pPr>
              <w:spacing w:before="20" w:after="20"/>
              <w:jc w:val="both"/>
            </w:pPr>
            <w:r>
              <w:rPr>
                <w:sz w:val="18"/>
                <w:szCs w:val="18"/>
              </w:rPr>
              <w:t>Omite grupos o cuentas necesarias.</w:t>
            </w:r>
          </w:p>
        </w:tc>
        <w:tc>
          <w:tcPr>
            <w:tcW w:w="1812" w:type="dxa"/>
            <w:shd w:val="clear" w:color="auto" w:fill="D9E2F3"/>
            <w:vAlign w:val="center"/>
          </w:tcPr>
          <w:p w14:paraId="30EEA858" w14:textId="77777777" w:rsidR="00990B14" w:rsidRDefault="00000000">
            <w:pPr>
              <w:spacing w:before="20" w:after="20"/>
              <w:jc w:val="both"/>
            </w:pPr>
            <w:r>
              <w:rPr>
                <w:sz w:val="18"/>
                <w:szCs w:val="18"/>
              </w:rPr>
              <w:t>Estructura los grupos fundamentales de cuentas.</w:t>
            </w:r>
          </w:p>
        </w:tc>
        <w:tc>
          <w:tcPr>
            <w:tcW w:w="1813" w:type="dxa"/>
            <w:shd w:val="clear" w:color="auto" w:fill="D9E2F3"/>
            <w:vAlign w:val="center"/>
          </w:tcPr>
          <w:p w14:paraId="4EBCF4D0" w14:textId="77777777" w:rsidR="00990B14" w:rsidRDefault="00000000">
            <w:pPr>
              <w:spacing w:before="20" w:after="20"/>
              <w:jc w:val="both"/>
            </w:pPr>
            <w:r>
              <w:rPr>
                <w:sz w:val="18"/>
                <w:szCs w:val="18"/>
              </w:rPr>
              <w:t>Adapta el plan a la actividad de la empresa.</w:t>
            </w:r>
          </w:p>
        </w:tc>
      </w:tr>
      <w:tr w:rsidR="00990B14" w14:paraId="57A74A4E" w14:textId="77777777">
        <w:trPr>
          <w:cantSplit/>
          <w:jc w:val="center"/>
        </w:trPr>
        <w:tc>
          <w:tcPr>
            <w:tcW w:w="1533" w:type="dxa"/>
            <w:vMerge/>
            <w:shd w:val="clear" w:color="auto" w:fill="4472C4"/>
            <w:vAlign w:val="center"/>
          </w:tcPr>
          <w:p w14:paraId="61DEC002" w14:textId="77777777" w:rsidR="00990B14" w:rsidRDefault="00990B14">
            <w:pPr>
              <w:spacing w:before="20" w:after="20"/>
            </w:pPr>
          </w:p>
        </w:tc>
        <w:tc>
          <w:tcPr>
            <w:tcW w:w="1812" w:type="dxa"/>
            <w:shd w:val="clear" w:color="auto" w:fill="D9E2F3"/>
            <w:vAlign w:val="center"/>
          </w:tcPr>
          <w:p w14:paraId="39790A9B" w14:textId="77777777" w:rsidR="00990B14" w:rsidRDefault="00000000">
            <w:pPr>
              <w:spacing w:before="20" w:after="20"/>
              <w:jc w:val="both"/>
            </w:pPr>
            <w:r>
              <w:rPr>
                <w:sz w:val="18"/>
                <w:szCs w:val="18"/>
              </w:rPr>
              <w:t>Codificación</w:t>
            </w:r>
          </w:p>
        </w:tc>
        <w:tc>
          <w:tcPr>
            <w:tcW w:w="2435" w:type="dxa"/>
            <w:shd w:val="clear" w:color="auto" w:fill="D9E2F3"/>
            <w:vAlign w:val="center"/>
          </w:tcPr>
          <w:p w14:paraId="7398BC24" w14:textId="77777777" w:rsidR="00990B14" w:rsidRDefault="00000000">
            <w:pPr>
              <w:spacing w:before="20" w:after="20"/>
              <w:jc w:val="both"/>
            </w:pPr>
            <w:r>
              <w:rPr>
                <w:sz w:val="18"/>
                <w:szCs w:val="18"/>
              </w:rPr>
              <w:t>La codificación es inconsistente.</w:t>
            </w:r>
          </w:p>
        </w:tc>
        <w:tc>
          <w:tcPr>
            <w:tcW w:w="1812" w:type="dxa"/>
            <w:shd w:val="clear" w:color="auto" w:fill="D9E2F3"/>
            <w:vAlign w:val="center"/>
          </w:tcPr>
          <w:p w14:paraId="45769721" w14:textId="77777777" w:rsidR="00990B14" w:rsidRDefault="00000000">
            <w:pPr>
              <w:spacing w:before="20" w:after="20"/>
              <w:jc w:val="both"/>
            </w:pPr>
            <w:r>
              <w:rPr>
                <w:sz w:val="18"/>
                <w:szCs w:val="18"/>
              </w:rPr>
              <w:t>Aplica un sistema de codificación coherente.</w:t>
            </w:r>
          </w:p>
        </w:tc>
        <w:tc>
          <w:tcPr>
            <w:tcW w:w="1813" w:type="dxa"/>
            <w:shd w:val="clear" w:color="auto" w:fill="D9E2F3"/>
            <w:vAlign w:val="center"/>
          </w:tcPr>
          <w:p w14:paraId="7190B61C" w14:textId="77777777" w:rsidR="00990B14" w:rsidRDefault="00000000">
            <w:pPr>
              <w:spacing w:before="20" w:after="20"/>
              <w:jc w:val="both"/>
            </w:pPr>
            <w:r>
              <w:rPr>
                <w:sz w:val="18"/>
                <w:szCs w:val="18"/>
              </w:rPr>
              <w:t>Prevé la expansión futura del plan.</w:t>
            </w:r>
          </w:p>
        </w:tc>
      </w:tr>
      <w:tr w:rsidR="00990B14" w14:paraId="0D939AED" w14:textId="77777777">
        <w:trPr>
          <w:cantSplit/>
          <w:jc w:val="center"/>
        </w:trPr>
        <w:tc>
          <w:tcPr>
            <w:tcW w:w="1533" w:type="dxa"/>
            <w:vMerge/>
            <w:shd w:val="clear" w:color="auto" w:fill="4472C4"/>
            <w:vAlign w:val="center"/>
          </w:tcPr>
          <w:p w14:paraId="47DA6F2C" w14:textId="77777777" w:rsidR="00990B14" w:rsidRDefault="00990B14">
            <w:pPr>
              <w:spacing w:before="20" w:after="20"/>
            </w:pPr>
          </w:p>
        </w:tc>
        <w:tc>
          <w:tcPr>
            <w:tcW w:w="1812" w:type="dxa"/>
            <w:shd w:val="clear" w:color="auto" w:fill="D9E2F3"/>
            <w:vAlign w:val="center"/>
          </w:tcPr>
          <w:p w14:paraId="21E7C6D9" w14:textId="77777777" w:rsidR="00990B14" w:rsidRDefault="00000000">
            <w:pPr>
              <w:spacing w:before="20" w:after="20"/>
              <w:jc w:val="both"/>
            </w:pPr>
            <w:r>
              <w:rPr>
                <w:sz w:val="18"/>
                <w:szCs w:val="18"/>
              </w:rPr>
              <w:t>Correspondencia normativa</w:t>
            </w:r>
          </w:p>
        </w:tc>
        <w:tc>
          <w:tcPr>
            <w:tcW w:w="2435" w:type="dxa"/>
            <w:shd w:val="clear" w:color="auto" w:fill="D9E2F3"/>
            <w:vAlign w:val="center"/>
          </w:tcPr>
          <w:p w14:paraId="53C440D5" w14:textId="77777777" w:rsidR="00990B14" w:rsidRDefault="00000000">
            <w:pPr>
              <w:spacing w:before="20" w:after="20"/>
              <w:jc w:val="both"/>
            </w:pPr>
            <w:r>
              <w:rPr>
                <w:sz w:val="18"/>
                <w:szCs w:val="18"/>
              </w:rPr>
              <w:t>El plan no responde a las normas contables.</w:t>
            </w:r>
          </w:p>
        </w:tc>
        <w:tc>
          <w:tcPr>
            <w:tcW w:w="1812" w:type="dxa"/>
            <w:shd w:val="clear" w:color="auto" w:fill="D9E2F3"/>
            <w:vAlign w:val="center"/>
          </w:tcPr>
          <w:p w14:paraId="2AF80897" w14:textId="77777777" w:rsidR="00990B14" w:rsidRDefault="00000000">
            <w:pPr>
              <w:spacing w:before="20" w:after="20"/>
              <w:jc w:val="both"/>
            </w:pPr>
            <w:r>
              <w:rPr>
                <w:sz w:val="18"/>
                <w:szCs w:val="18"/>
              </w:rPr>
              <w:t>El plan responde a las normas contables vigentes.</w:t>
            </w:r>
          </w:p>
        </w:tc>
        <w:tc>
          <w:tcPr>
            <w:tcW w:w="1813" w:type="dxa"/>
            <w:shd w:val="clear" w:color="auto" w:fill="D9E2F3"/>
            <w:vAlign w:val="center"/>
          </w:tcPr>
          <w:p w14:paraId="086E6133" w14:textId="77777777" w:rsidR="00990B14" w:rsidRDefault="00000000">
            <w:pPr>
              <w:spacing w:before="20" w:after="20"/>
              <w:jc w:val="both"/>
            </w:pPr>
            <w:r>
              <w:rPr>
                <w:sz w:val="18"/>
                <w:szCs w:val="18"/>
              </w:rPr>
              <w:t>Vincula las cuentas con los reportes tributarios.</w:t>
            </w:r>
          </w:p>
        </w:tc>
      </w:tr>
      <w:tr w:rsidR="00990B14" w14:paraId="5B06D1AA" w14:textId="77777777">
        <w:trPr>
          <w:cantSplit/>
          <w:jc w:val="center"/>
        </w:trPr>
        <w:tc>
          <w:tcPr>
            <w:tcW w:w="1533" w:type="dxa"/>
            <w:vMerge/>
            <w:shd w:val="clear" w:color="auto" w:fill="4472C4"/>
            <w:vAlign w:val="center"/>
          </w:tcPr>
          <w:p w14:paraId="72AB2ED1" w14:textId="77777777" w:rsidR="00990B14" w:rsidRDefault="00990B14">
            <w:pPr>
              <w:spacing w:before="20" w:after="20"/>
            </w:pPr>
          </w:p>
        </w:tc>
        <w:tc>
          <w:tcPr>
            <w:tcW w:w="6059" w:type="dxa"/>
            <w:gridSpan w:val="3"/>
            <w:shd w:val="clear" w:color="auto" w:fill="D9E2F3"/>
            <w:vAlign w:val="center"/>
          </w:tcPr>
          <w:p w14:paraId="2C2FF506" w14:textId="77777777" w:rsidR="00990B14" w:rsidRDefault="00000000">
            <w:pPr>
              <w:keepNext/>
              <w:spacing w:before="20" w:after="20"/>
              <w:jc w:val="both"/>
            </w:pPr>
            <w:r>
              <w:rPr>
                <w:b/>
                <w:bCs/>
                <w:i/>
                <w:iCs/>
                <w:sz w:val="18"/>
                <w:szCs w:val="18"/>
              </w:rPr>
              <w:t xml:space="preserve">Producto 10: </w:t>
            </w:r>
            <w:r>
              <w:rPr>
                <w:sz w:val="18"/>
                <w:szCs w:val="18"/>
              </w:rPr>
              <w:t>Esquema de apertura analítica</w:t>
            </w:r>
          </w:p>
        </w:tc>
        <w:tc>
          <w:tcPr>
            <w:tcW w:w="1813" w:type="dxa"/>
            <w:shd w:val="clear" w:color="auto" w:fill="D9E2F3"/>
            <w:vAlign w:val="center"/>
          </w:tcPr>
          <w:p w14:paraId="46D7ACA3" w14:textId="77777777" w:rsidR="00990B14" w:rsidRDefault="00000000">
            <w:pPr>
              <w:spacing w:before="20" w:after="20"/>
              <w:jc w:val="center"/>
            </w:pPr>
            <w:r>
              <w:rPr>
                <w:b/>
                <w:bCs/>
                <w:sz w:val="18"/>
                <w:szCs w:val="18"/>
              </w:rPr>
              <w:t>2%</w:t>
            </w:r>
          </w:p>
        </w:tc>
      </w:tr>
      <w:tr w:rsidR="00990B14" w14:paraId="4D0BD2CE" w14:textId="77777777">
        <w:trPr>
          <w:cantSplit/>
          <w:jc w:val="center"/>
        </w:trPr>
        <w:tc>
          <w:tcPr>
            <w:tcW w:w="1533" w:type="dxa"/>
            <w:vMerge/>
            <w:shd w:val="clear" w:color="auto" w:fill="4472C4"/>
            <w:vAlign w:val="center"/>
          </w:tcPr>
          <w:p w14:paraId="2FA6488A" w14:textId="77777777" w:rsidR="00990B14" w:rsidRDefault="00990B14">
            <w:pPr>
              <w:spacing w:before="20" w:after="20"/>
            </w:pPr>
          </w:p>
        </w:tc>
        <w:tc>
          <w:tcPr>
            <w:tcW w:w="1812" w:type="dxa"/>
            <w:shd w:val="clear" w:color="auto" w:fill="4472C4"/>
            <w:vAlign w:val="center"/>
          </w:tcPr>
          <w:p w14:paraId="1939B18C" w14:textId="77777777" w:rsidR="00990B14" w:rsidRDefault="00000000">
            <w:pPr>
              <w:keepNext/>
              <w:spacing w:before="20" w:after="20"/>
              <w:jc w:val="center"/>
            </w:pPr>
            <w:r>
              <w:rPr>
                <w:b/>
                <w:bCs/>
                <w:i/>
                <w:iCs/>
                <w:color w:val="FFFFFF"/>
                <w:sz w:val="18"/>
                <w:szCs w:val="18"/>
              </w:rPr>
              <w:t>Criterio</w:t>
            </w:r>
          </w:p>
        </w:tc>
        <w:tc>
          <w:tcPr>
            <w:tcW w:w="2435" w:type="dxa"/>
            <w:shd w:val="clear" w:color="auto" w:fill="4472C4"/>
            <w:vAlign w:val="center"/>
          </w:tcPr>
          <w:p w14:paraId="555D1269" w14:textId="77777777" w:rsidR="00990B14" w:rsidRDefault="00000000">
            <w:pPr>
              <w:keepNext/>
              <w:spacing w:before="20" w:after="20"/>
              <w:jc w:val="center"/>
            </w:pPr>
            <w:r>
              <w:rPr>
                <w:b/>
                <w:bCs/>
                <w:i/>
                <w:iCs/>
                <w:color w:val="FFFFFF"/>
                <w:sz w:val="18"/>
                <w:szCs w:val="18"/>
              </w:rPr>
              <w:t>Insuficiente (1–50)</w:t>
            </w:r>
          </w:p>
        </w:tc>
        <w:tc>
          <w:tcPr>
            <w:tcW w:w="1812" w:type="dxa"/>
            <w:shd w:val="clear" w:color="auto" w:fill="4472C4"/>
            <w:vAlign w:val="center"/>
          </w:tcPr>
          <w:p w14:paraId="6E983C14" w14:textId="77777777" w:rsidR="00990B14" w:rsidRDefault="00000000">
            <w:pPr>
              <w:keepNext/>
              <w:spacing w:before="20" w:after="20"/>
              <w:jc w:val="center"/>
            </w:pPr>
            <w:r>
              <w:rPr>
                <w:b/>
                <w:bCs/>
                <w:i/>
                <w:iCs/>
                <w:color w:val="FFFFFF"/>
                <w:sz w:val="18"/>
                <w:szCs w:val="18"/>
              </w:rPr>
              <w:t>Suficiente (51–80)</w:t>
            </w:r>
          </w:p>
        </w:tc>
        <w:tc>
          <w:tcPr>
            <w:tcW w:w="1813" w:type="dxa"/>
            <w:shd w:val="clear" w:color="auto" w:fill="4472C4"/>
            <w:vAlign w:val="center"/>
          </w:tcPr>
          <w:p w14:paraId="6145C7B8" w14:textId="77777777" w:rsidR="00990B14" w:rsidRDefault="00000000">
            <w:pPr>
              <w:keepNext/>
              <w:spacing w:before="20" w:after="20"/>
              <w:jc w:val="center"/>
            </w:pPr>
            <w:r>
              <w:rPr>
                <w:b/>
                <w:bCs/>
                <w:i/>
                <w:iCs/>
                <w:color w:val="FFFFFF"/>
                <w:sz w:val="18"/>
                <w:szCs w:val="18"/>
              </w:rPr>
              <w:t>Destacado (81–100)</w:t>
            </w:r>
          </w:p>
        </w:tc>
      </w:tr>
      <w:tr w:rsidR="00990B14" w14:paraId="2478E040" w14:textId="77777777">
        <w:trPr>
          <w:cantSplit/>
          <w:jc w:val="center"/>
        </w:trPr>
        <w:tc>
          <w:tcPr>
            <w:tcW w:w="1533" w:type="dxa"/>
            <w:vMerge/>
            <w:shd w:val="clear" w:color="auto" w:fill="4472C4"/>
            <w:vAlign w:val="center"/>
          </w:tcPr>
          <w:p w14:paraId="59A3176E" w14:textId="77777777" w:rsidR="00990B14" w:rsidRDefault="00990B14">
            <w:pPr>
              <w:spacing w:before="20" w:after="20"/>
            </w:pPr>
          </w:p>
        </w:tc>
        <w:tc>
          <w:tcPr>
            <w:tcW w:w="1812" w:type="dxa"/>
            <w:shd w:val="clear" w:color="auto" w:fill="D9E2F3"/>
            <w:vAlign w:val="center"/>
          </w:tcPr>
          <w:p w14:paraId="60C6B4B2" w14:textId="77777777" w:rsidR="00990B14" w:rsidRDefault="00000000">
            <w:pPr>
              <w:spacing w:before="20" w:after="20"/>
              <w:jc w:val="both"/>
            </w:pPr>
            <w:r>
              <w:rPr>
                <w:sz w:val="18"/>
                <w:szCs w:val="18"/>
              </w:rPr>
              <w:t>Dimensiones analíticas</w:t>
            </w:r>
          </w:p>
        </w:tc>
        <w:tc>
          <w:tcPr>
            <w:tcW w:w="2435" w:type="dxa"/>
            <w:shd w:val="clear" w:color="auto" w:fill="D9E2F3"/>
            <w:vAlign w:val="center"/>
          </w:tcPr>
          <w:p w14:paraId="420EF36B" w14:textId="77777777" w:rsidR="00990B14" w:rsidRDefault="00000000">
            <w:pPr>
              <w:spacing w:before="20" w:after="20"/>
              <w:jc w:val="both"/>
            </w:pPr>
            <w:r>
              <w:rPr>
                <w:sz w:val="18"/>
                <w:szCs w:val="18"/>
              </w:rPr>
              <w:t>No define dimensiones analíticas.</w:t>
            </w:r>
          </w:p>
        </w:tc>
        <w:tc>
          <w:tcPr>
            <w:tcW w:w="1812" w:type="dxa"/>
            <w:shd w:val="clear" w:color="auto" w:fill="D9E2F3"/>
            <w:vAlign w:val="center"/>
          </w:tcPr>
          <w:p w14:paraId="529D3925" w14:textId="77777777" w:rsidR="00990B14" w:rsidRDefault="00000000">
            <w:pPr>
              <w:spacing w:before="20" w:after="20"/>
              <w:jc w:val="both"/>
            </w:pPr>
            <w:r>
              <w:rPr>
                <w:sz w:val="18"/>
                <w:szCs w:val="18"/>
              </w:rPr>
              <w:t>Define centros de costo, proyectos y unidades de negocio.</w:t>
            </w:r>
          </w:p>
        </w:tc>
        <w:tc>
          <w:tcPr>
            <w:tcW w:w="1813" w:type="dxa"/>
            <w:shd w:val="clear" w:color="auto" w:fill="D9E2F3"/>
            <w:vAlign w:val="center"/>
          </w:tcPr>
          <w:p w14:paraId="74A62225" w14:textId="77777777" w:rsidR="00990B14" w:rsidRDefault="00000000">
            <w:pPr>
              <w:spacing w:before="20" w:after="20"/>
              <w:jc w:val="both"/>
            </w:pPr>
            <w:r>
              <w:rPr>
                <w:sz w:val="18"/>
                <w:szCs w:val="18"/>
              </w:rPr>
              <w:t>Justifica cada dimensión con una necesidad de información.</w:t>
            </w:r>
          </w:p>
        </w:tc>
      </w:tr>
      <w:tr w:rsidR="00990B14" w14:paraId="6B80BD24" w14:textId="77777777">
        <w:trPr>
          <w:cantSplit/>
          <w:jc w:val="center"/>
        </w:trPr>
        <w:tc>
          <w:tcPr>
            <w:tcW w:w="1533" w:type="dxa"/>
            <w:vMerge/>
            <w:shd w:val="clear" w:color="auto" w:fill="4472C4"/>
            <w:vAlign w:val="center"/>
          </w:tcPr>
          <w:p w14:paraId="4C3FC600" w14:textId="77777777" w:rsidR="00990B14" w:rsidRDefault="00990B14">
            <w:pPr>
              <w:spacing w:before="20" w:after="20"/>
            </w:pPr>
          </w:p>
        </w:tc>
        <w:tc>
          <w:tcPr>
            <w:tcW w:w="1812" w:type="dxa"/>
            <w:shd w:val="clear" w:color="auto" w:fill="D9E2F3"/>
            <w:vAlign w:val="center"/>
          </w:tcPr>
          <w:p w14:paraId="459BC42B" w14:textId="77777777" w:rsidR="00990B14" w:rsidRDefault="00000000">
            <w:pPr>
              <w:spacing w:before="20" w:after="20"/>
              <w:jc w:val="both"/>
            </w:pPr>
            <w:r>
              <w:rPr>
                <w:sz w:val="18"/>
                <w:szCs w:val="18"/>
              </w:rPr>
              <w:t>Trazabilidad</w:t>
            </w:r>
          </w:p>
        </w:tc>
        <w:tc>
          <w:tcPr>
            <w:tcW w:w="2435" w:type="dxa"/>
            <w:shd w:val="clear" w:color="auto" w:fill="D9E2F3"/>
            <w:vAlign w:val="center"/>
          </w:tcPr>
          <w:p w14:paraId="03C17B1E" w14:textId="77777777" w:rsidR="00990B14" w:rsidRDefault="00000000">
            <w:pPr>
              <w:spacing w:before="20" w:after="20"/>
              <w:jc w:val="both"/>
            </w:pPr>
            <w:r>
              <w:rPr>
                <w:sz w:val="18"/>
                <w:szCs w:val="18"/>
              </w:rPr>
              <w:t>No asegura la trazabilidad.</w:t>
            </w:r>
          </w:p>
        </w:tc>
        <w:tc>
          <w:tcPr>
            <w:tcW w:w="1812" w:type="dxa"/>
            <w:shd w:val="clear" w:color="auto" w:fill="D9E2F3"/>
            <w:vAlign w:val="center"/>
          </w:tcPr>
          <w:p w14:paraId="309CEB0B" w14:textId="77777777" w:rsidR="00990B14" w:rsidRDefault="00000000">
            <w:pPr>
              <w:spacing w:before="20" w:after="20"/>
              <w:jc w:val="both"/>
            </w:pPr>
            <w:r>
              <w:rPr>
                <w:sz w:val="18"/>
                <w:szCs w:val="18"/>
              </w:rPr>
              <w:t>Vincula el comprobante, el registro y el estado financiero.</w:t>
            </w:r>
          </w:p>
        </w:tc>
        <w:tc>
          <w:tcPr>
            <w:tcW w:w="1813" w:type="dxa"/>
            <w:shd w:val="clear" w:color="auto" w:fill="D9E2F3"/>
            <w:vAlign w:val="center"/>
          </w:tcPr>
          <w:p w14:paraId="0EF1C0DE" w14:textId="77777777" w:rsidR="00990B14" w:rsidRDefault="00000000">
            <w:pPr>
              <w:spacing w:before="20" w:after="20"/>
              <w:jc w:val="both"/>
            </w:pPr>
            <w:r>
              <w:rPr>
                <w:sz w:val="18"/>
                <w:szCs w:val="18"/>
              </w:rPr>
              <w:t>Demuestra la trazabilidad con un ejemplo completo.</w:t>
            </w:r>
          </w:p>
        </w:tc>
      </w:tr>
      <w:tr w:rsidR="00990B14" w14:paraId="26AE253D" w14:textId="77777777">
        <w:trPr>
          <w:cantSplit/>
          <w:jc w:val="center"/>
        </w:trPr>
        <w:tc>
          <w:tcPr>
            <w:tcW w:w="1533" w:type="dxa"/>
            <w:vMerge/>
            <w:shd w:val="clear" w:color="auto" w:fill="4472C4"/>
            <w:vAlign w:val="center"/>
          </w:tcPr>
          <w:p w14:paraId="44E50CA2" w14:textId="77777777" w:rsidR="00990B14" w:rsidRDefault="00990B14">
            <w:pPr>
              <w:spacing w:before="20" w:after="20"/>
            </w:pPr>
          </w:p>
        </w:tc>
        <w:tc>
          <w:tcPr>
            <w:tcW w:w="1812" w:type="dxa"/>
            <w:shd w:val="clear" w:color="auto" w:fill="D9E2F3"/>
            <w:vAlign w:val="center"/>
          </w:tcPr>
          <w:p w14:paraId="222274C0" w14:textId="77777777" w:rsidR="00990B14" w:rsidRDefault="00000000">
            <w:pPr>
              <w:spacing w:before="20" w:after="20"/>
              <w:jc w:val="both"/>
            </w:pPr>
            <w:r>
              <w:rPr>
                <w:sz w:val="18"/>
                <w:szCs w:val="18"/>
              </w:rPr>
              <w:t>Trabajo en equipo</w:t>
            </w:r>
          </w:p>
        </w:tc>
        <w:tc>
          <w:tcPr>
            <w:tcW w:w="2435" w:type="dxa"/>
            <w:shd w:val="clear" w:color="auto" w:fill="D9E2F3"/>
            <w:vAlign w:val="center"/>
          </w:tcPr>
          <w:p w14:paraId="1EE5B1AF" w14:textId="77777777" w:rsidR="00990B14" w:rsidRDefault="00000000">
            <w:pPr>
              <w:spacing w:before="20" w:after="20"/>
              <w:jc w:val="both"/>
            </w:pPr>
            <w:r>
              <w:rPr>
                <w:sz w:val="18"/>
                <w:szCs w:val="18"/>
              </w:rPr>
              <w:t>La participación es desigual.</w:t>
            </w:r>
          </w:p>
        </w:tc>
        <w:tc>
          <w:tcPr>
            <w:tcW w:w="1812" w:type="dxa"/>
            <w:shd w:val="clear" w:color="auto" w:fill="D9E2F3"/>
            <w:vAlign w:val="center"/>
          </w:tcPr>
          <w:p w14:paraId="6CDE486F" w14:textId="77777777" w:rsidR="00990B14" w:rsidRDefault="00000000">
            <w:pPr>
              <w:spacing w:before="20" w:after="20"/>
              <w:jc w:val="both"/>
            </w:pPr>
            <w:r>
              <w:rPr>
                <w:sz w:val="18"/>
                <w:szCs w:val="18"/>
              </w:rPr>
              <w:t>Todos los integrantes participan.</w:t>
            </w:r>
          </w:p>
        </w:tc>
        <w:tc>
          <w:tcPr>
            <w:tcW w:w="1813" w:type="dxa"/>
            <w:shd w:val="clear" w:color="auto" w:fill="D9E2F3"/>
            <w:vAlign w:val="center"/>
          </w:tcPr>
          <w:p w14:paraId="268DBD91" w14:textId="77777777" w:rsidR="00990B14" w:rsidRDefault="00000000">
            <w:pPr>
              <w:spacing w:before="20" w:after="20"/>
              <w:jc w:val="both"/>
            </w:pPr>
            <w:r>
              <w:rPr>
                <w:sz w:val="18"/>
                <w:szCs w:val="18"/>
              </w:rPr>
              <w:t>El equipo sustenta sus decisiones ante el curso.</w:t>
            </w:r>
          </w:p>
        </w:tc>
      </w:tr>
      <w:tr w:rsidR="00990B14" w14:paraId="3E4426EA" w14:textId="77777777">
        <w:trPr>
          <w:cantSplit/>
          <w:jc w:val="center"/>
        </w:trPr>
        <w:tc>
          <w:tcPr>
            <w:tcW w:w="1533" w:type="dxa"/>
            <w:vMerge/>
            <w:shd w:val="clear" w:color="auto" w:fill="4472C4"/>
            <w:vAlign w:val="center"/>
          </w:tcPr>
          <w:p w14:paraId="01D76C88" w14:textId="77777777" w:rsidR="00990B14" w:rsidRDefault="00990B14">
            <w:pPr>
              <w:spacing w:before="20" w:after="20"/>
            </w:pPr>
          </w:p>
        </w:tc>
        <w:tc>
          <w:tcPr>
            <w:tcW w:w="6059" w:type="dxa"/>
            <w:gridSpan w:val="3"/>
            <w:shd w:val="clear" w:color="auto" w:fill="D9E2F3"/>
            <w:vAlign w:val="center"/>
          </w:tcPr>
          <w:p w14:paraId="406B48F1" w14:textId="77777777" w:rsidR="00990B14" w:rsidRDefault="00000000">
            <w:pPr>
              <w:keepNext/>
              <w:spacing w:before="20" w:after="20"/>
              <w:jc w:val="both"/>
            </w:pPr>
            <w:r>
              <w:rPr>
                <w:b/>
                <w:bCs/>
                <w:i/>
                <w:iCs/>
                <w:sz w:val="18"/>
                <w:szCs w:val="18"/>
              </w:rPr>
              <w:t xml:space="preserve">Producto 11: </w:t>
            </w:r>
            <w:r>
              <w:rPr>
                <w:sz w:val="18"/>
                <w:szCs w:val="18"/>
              </w:rPr>
              <w:t>Esquema de la misión y la estructura del sistema</w:t>
            </w:r>
          </w:p>
        </w:tc>
        <w:tc>
          <w:tcPr>
            <w:tcW w:w="1813" w:type="dxa"/>
            <w:shd w:val="clear" w:color="auto" w:fill="D9E2F3"/>
            <w:vAlign w:val="center"/>
          </w:tcPr>
          <w:p w14:paraId="6EDA0D7B" w14:textId="77777777" w:rsidR="00990B14" w:rsidRDefault="00000000">
            <w:pPr>
              <w:spacing w:before="20" w:after="20"/>
              <w:jc w:val="center"/>
            </w:pPr>
            <w:r>
              <w:rPr>
                <w:b/>
                <w:bCs/>
                <w:sz w:val="18"/>
                <w:szCs w:val="18"/>
              </w:rPr>
              <w:t>3%</w:t>
            </w:r>
          </w:p>
        </w:tc>
      </w:tr>
      <w:tr w:rsidR="00990B14" w14:paraId="0E91383A" w14:textId="77777777">
        <w:trPr>
          <w:cantSplit/>
          <w:jc w:val="center"/>
        </w:trPr>
        <w:tc>
          <w:tcPr>
            <w:tcW w:w="1533" w:type="dxa"/>
            <w:vMerge/>
            <w:shd w:val="clear" w:color="auto" w:fill="4472C4"/>
            <w:vAlign w:val="center"/>
          </w:tcPr>
          <w:p w14:paraId="5795A2F7" w14:textId="77777777" w:rsidR="00990B14" w:rsidRDefault="00990B14">
            <w:pPr>
              <w:spacing w:before="20" w:after="20"/>
            </w:pPr>
          </w:p>
        </w:tc>
        <w:tc>
          <w:tcPr>
            <w:tcW w:w="1812" w:type="dxa"/>
            <w:shd w:val="clear" w:color="auto" w:fill="4472C4"/>
            <w:vAlign w:val="center"/>
          </w:tcPr>
          <w:p w14:paraId="2299D445" w14:textId="77777777" w:rsidR="00990B14" w:rsidRDefault="00000000">
            <w:pPr>
              <w:keepNext/>
              <w:spacing w:before="20" w:after="20"/>
              <w:jc w:val="center"/>
            </w:pPr>
            <w:r>
              <w:rPr>
                <w:b/>
                <w:bCs/>
                <w:i/>
                <w:iCs/>
                <w:color w:val="FFFFFF"/>
                <w:sz w:val="18"/>
                <w:szCs w:val="18"/>
              </w:rPr>
              <w:t>Criterio</w:t>
            </w:r>
          </w:p>
        </w:tc>
        <w:tc>
          <w:tcPr>
            <w:tcW w:w="2435" w:type="dxa"/>
            <w:shd w:val="clear" w:color="auto" w:fill="4472C4"/>
            <w:vAlign w:val="center"/>
          </w:tcPr>
          <w:p w14:paraId="02711C2F" w14:textId="77777777" w:rsidR="00990B14" w:rsidRDefault="00000000">
            <w:pPr>
              <w:keepNext/>
              <w:spacing w:before="20" w:after="20"/>
              <w:jc w:val="center"/>
            </w:pPr>
            <w:r>
              <w:rPr>
                <w:b/>
                <w:bCs/>
                <w:i/>
                <w:iCs/>
                <w:color w:val="FFFFFF"/>
                <w:sz w:val="18"/>
                <w:szCs w:val="18"/>
              </w:rPr>
              <w:t>Insuficiente (1–50)</w:t>
            </w:r>
          </w:p>
        </w:tc>
        <w:tc>
          <w:tcPr>
            <w:tcW w:w="1812" w:type="dxa"/>
            <w:shd w:val="clear" w:color="auto" w:fill="4472C4"/>
            <w:vAlign w:val="center"/>
          </w:tcPr>
          <w:p w14:paraId="4852E4A1" w14:textId="77777777" w:rsidR="00990B14" w:rsidRDefault="00000000">
            <w:pPr>
              <w:keepNext/>
              <w:spacing w:before="20" w:after="20"/>
              <w:jc w:val="center"/>
            </w:pPr>
            <w:r>
              <w:rPr>
                <w:b/>
                <w:bCs/>
                <w:i/>
                <w:iCs/>
                <w:color w:val="FFFFFF"/>
                <w:sz w:val="18"/>
                <w:szCs w:val="18"/>
              </w:rPr>
              <w:t>Suficiente (51–80)</w:t>
            </w:r>
          </w:p>
        </w:tc>
        <w:tc>
          <w:tcPr>
            <w:tcW w:w="1813" w:type="dxa"/>
            <w:shd w:val="clear" w:color="auto" w:fill="4472C4"/>
            <w:vAlign w:val="center"/>
          </w:tcPr>
          <w:p w14:paraId="2F19DF1D" w14:textId="77777777" w:rsidR="00990B14" w:rsidRDefault="00000000">
            <w:pPr>
              <w:keepNext/>
              <w:spacing w:before="20" w:after="20"/>
              <w:jc w:val="center"/>
            </w:pPr>
            <w:r>
              <w:rPr>
                <w:b/>
                <w:bCs/>
                <w:i/>
                <w:iCs/>
                <w:color w:val="FFFFFF"/>
                <w:sz w:val="18"/>
                <w:szCs w:val="18"/>
              </w:rPr>
              <w:t>Destacado (81–100)</w:t>
            </w:r>
          </w:p>
        </w:tc>
      </w:tr>
      <w:tr w:rsidR="00990B14" w14:paraId="16A014B2" w14:textId="77777777">
        <w:trPr>
          <w:cantSplit/>
          <w:jc w:val="center"/>
        </w:trPr>
        <w:tc>
          <w:tcPr>
            <w:tcW w:w="1533" w:type="dxa"/>
            <w:vMerge/>
            <w:shd w:val="clear" w:color="auto" w:fill="4472C4"/>
            <w:vAlign w:val="center"/>
          </w:tcPr>
          <w:p w14:paraId="7426B0A1" w14:textId="77777777" w:rsidR="00990B14" w:rsidRDefault="00990B14">
            <w:pPr>
              <w:spacing w:before="20" w:after="20"/>
            </w:pPr>
          </w:p>
        </w:tc>
        <w:tc>
          <w:tcPr>
            <w:tcW w:w="1812" w:type="dxa"/>
            <w:shd w:val="clear" w:color="auto" w:fill="D9E2F3"/>
            <w:vAlign w:val="center"/>
          </w:tcPr>
          <w:p w14:paraId="0B530D19" w14:textId="77777777" w:rsidR="00990B14" w:rsidRDefault="00000000">
            <w:pPr>
              <w:spacing w:before="20" w:after="20"/>
              <w:jc w:val="both"/>
            </w:pPr>
            <w:r>
              <w:rPr>
                <w:sz w:val="18"/>
                <w:szCs w:val="18"/>
              </w:rPr>
              <w:t>Misión y objetivos</w:t>
            </w:r>
          </w:p>
        </w:tc>
        <w:tc>
          <w:tcPr>
            <w:tcW w:w="2435" w:type="dxa"/>
            <w:shd w:val="clear" w:color="auto" w:fill="D9E2F3"/>
            <w:vAlign w:val="center"/>
          </w:tcPr>
          <w:p w14:paraId="0C2A2E42" w14:textId="77777777" w:rsidR="00990B14" w:rsidRDefault="00000000">
            <w:pPr>
              <w:spacing w:before="20" w:after="20"/>
              <w:jc w:val="both"/>
            </w:pPr>
            <w:r>
              <w:rPr>
                <w:sz w:val="18"/>
                <w:szCs w:val="18"/>
              </w:rPr>
              <w:t>La misión y los objetivos son genéricos.</w:t>
            </w:r>
          </w:p>
        </w:tc>
        <w:tc>
          <w:tcPr>
            <w:tcW w:w="1812" w:type="dxa"/>
            <w:shd w:val="clear" w:color="auto" w:fill="D9E2F3"/>
            <w:vAlign w:val="center"/>
          </w:tcPr>
          <w:p w14:paraId="493D59F7" w14:textId="77777777" w:rsidR="00990B14" w:rsidRDefault="00000000">
            <w:pPr>
              <w:spacing w:before="20" w:after="20"/>
              <w:jc w:val="both"/>
            </w:pPr>
            <w:r>
              <w:rPr>
                <w:sz w:val="18"/>
                <w:szCs w:val="18"/>
              </w:rPr>
              <w:t>Define una misión y objetivos propios del sistema.</w:t>
            </w:r>
          </w:p>
        </w:tc>
        <w:tc>
          <w:tcPr>
            <w:tcW w:w="1813" w:type="dxa"/>
            <w:shd w:val="clear" w:color="auto" w:fill="D9E2F3"/>
            <w:vAlign w:val="center"/>
          </w:tcPr>
          <w:p w14:paraId="51B13737" w14:textId="77777777" w:rsidR="00990B14" w:rsidRDefault="00000000">
            <w:pPr>
              <w:spacing w:before="20" w:after="20"/>
              <w:jc w:val="both"/>
            </w:pPr>
            <w:r>
              <w:rPr>
                <w:sz w:val="18"/>
                <w:szCs w:val="18"/>
              </w:rPr>
              <w:t>Relaciona los objetivos con los usuarios de la información.</w:t>
            </w:r>
          </w:p>
        </w:tc>
      </w:tr>
      <w:tr w:rsidR="00990B14" w14:paraId="14E0429E" w14:textId="77777777">
        <w:trPr>
          <w:cantSplit/>
          <w:jc w:val="center"/>
        </w:trPr>
        <w:tc>
          <w:tcPr>
            <w:tcW w:w="1533" w:type="dxa"/>
            <w:vMerge/>
            <w:shd w:val="clear" w:color="auto" w:fill="4472C4"/>
            <w:vAlign w:val="center"/>
          </w:tcPr>
          <w:p w14:paraId="1646B0BB" w14:textId="77777777" w:rsidR="00990B14" w:rsidRDefault="00990B14">
            <w:pPr>
              <w:spacing w:before="20" w:after="20"/>
            </w:pPr>
          </w:p>
        </w:tc>
        <w:tc>
          <w:tcPr>
            <w:tcW w:w="1812" w:type="dxa"/>
            <w:shd w:val="clear" w:color="auto" w:fill="D9E2F3"/>
            <w:vAlign w:val="center"/>
          </w:tcPr>
          <w:p w14:paraId="30F6B506" w14:textId="77777777" w:rsidR="00990B14" w:rsidRDefault="00000000">
            <w:pPr>
              <w:spacing w:before="20" w:after="20"/>
              <w:jc w:val="both"/>
            </w:pPr>
            <w:r>
              <w:rPr>
                <w:sz w:val="18"/>
                <w:szCs w:val="18"/>
              </w:rPr>
              <w:t>Estructura organizacional</w:t>
            </w:r>
          </w:p>
        </w:tc>
        <w:tc>
          <w:tcPr>
            <w:tcW w:w="2435" w:type="dxa"/>
            <w:shd w:val="clear" w:color="auto" w:fill="D9E2F3"/>
            <w:vAlign w:val="center"/>
          </w:tcPr>
          <w:p w14:paraId="038B7EC6" w14:textId="77777777" w:rsidR="00990B14" w:rsidRDefault="00000000">
            <w:pPr>
              <w:spacing w:before="20" w:after="20"/>
              <w:jc w:val="both"/>
            </w:pPr>
            <w:r>
              <w:rPr>
                <w:sz w:val="18"/>
                <w:szCs w:val="18"/>
              </w:rPr>
              <w:t>Omite cargos o funciones.</w:t>
            </w:r>
          </w:p>
        </w:tc>
        <w:tc>
          <w:tcPr>
            <w:tcW w:w="1812" w:type="dxa"/>
            <w:shd w:val="clear" w:color="auto" w:fill="D9E2F3"/>
            <w:vAlign w:val="center"/>
          </w:tcPr>
          <w:p w14:paraId="198B325F" w14:textId="77777777" w:rsidR="00990B14" w:rsidRDefault="00000000">
            <w:pPr>
              <w:spacing w:before="20" w:after="20"/>
              <w:jc w:val="both"/>
            </w:pPr>
            <w:r>
              <w:rPr>
                <w:sz w:val="18"/>
                <w:szCs w:val="18"/>
              </w:rPr>
              <w:t>Define los cargos y las funciones del área contable.</w:t>
            </w:r>
          </w:p>
        </w:tc>
        <w:tc>
          <w:tcPr>
            <w:tcW w:w="1813" w:type="dxa"/>
            <w:shd w:val="clear" w:color="auto" w:fill="D9E2F3"/>
            <w:vAlign w:val="center"/>
          </w:tcPr>
          <w:p w14:paraId="0C182215" w14:textId="77777777" w:rsidR="00990B14" w:rsidRDefault="00000000">
            <w:pPr>
              <w:spacing w:before="20" w:after="20"/>
              <w:jc w:val="both"/>
            </w:pPr>
            <w:r>
              <w:rPr>
                <w:sz w:val="18"/>
                <w:szCs w:val="18"/>
              </w:rPr>
              <w:t>Asegura la separación de funciones incompatibles.</w:t>
            </w:r>
          </w:p>
        </w:tc>
      </w:tr>
      <w:tr w:rsidR="00990B14" w14:paraId="76121598" w14:textId="77777777">
        <w:trPr>
          <w:cantSplit/>
          <w:jc w:val="center"/>
        </w:trPr>
        <w:tc>
          <w:tcPr>
            <w:tcW w:w="1533" w:type="dxa"/>
            <w:vMerge/>
            <w:shd w:val="clear" w:color="auto" w:fill="4472C4"/>
            <w:vAlign w:val="center"/>
          </w:tcPr>
          <w:p w14:paraId="7A6869B5" w14:textId="77777777" w:rsidR="00990B14" w:rsidRDefault="00990B14">
            <w:pPr>
              <w:spacing w:before="20" w:after="20"/>
            </w:pPr>
          </w:p>
        </w:tc>
        <w:tc>
          <w:tcPr>
            <w:tcW w:w="1812" w:type="dxa"/>
            <w:shd w:val="clear" w:color="auto" w:fill="D9E2F3"/>
            <w:vAlign w:val="center"/>
          </w:tcPr>
          <w:p w14:paraId="12AC3B72" w14:textId="77777777" w:rsidR="00990B14" w:rsidRDefault="00000000">
            <w:pPr>
              <w:spacing w:before="20" w:after="20"/>
              <w:jc w:val="both"/>
            </w:pPr>
            <w:r>
              <w:rPr>
                <w:sz w:val="18"/>
                <w:szCs w:val="18"/>
              </w:rPr>
              <w:t>Documentos soporte</w:t>
            </w:r>
          </w:p>
        </w:tc>
        <w:tc>
          <w:tcPr>
            <w:tcW w:w="2435" w:type="dxa"/>
            <w:shd w:val="clear" w:color="auto" w:fill="D9E2F3"/>
            <w:vAlign w:val="center"/>
          </w:tcPr>
          <w:p w14:paraId="74712D19" w14:textId="77777777" w:rsidR="00990B14" w:rsidRDefault="00000000">
            <w:pPr>
              <w:spacing w:before="20" w:after="20"/>
              <w:jc w:val="both"/>
            </w:pPr>
            <w:r>
              <w:rPr>
                <w:sz w:val="18"/>
                <w:szCs w:val="18"/>
              </w:rPr>
              <w:t>No considera los documentos soporte.</w:t>
            </w:r>
          </w:p>
        </w:tc>
        <w:tc>
          <w:tcPr>
            <w:tcW w:w="1812" w:type="dxa"/>
            <w:shd w:val="clear" w:color="auto" w:fill="D9E2F3"/>
            <w:vAlign w:val="center"/>
          </w:tcPr>
          <w:p w14:paraId="34DC0A20" w14:textId="77777777" w:rsidR="00990B14" w:rsidRDefault="00000000">
            <w:pPr>
              <w:spacing w:before="20" w:after="20"/>
              <w:jc w:val="both"/>
            </w:pPr>
            <w:r>
              <w:rPr>
                <w:sz w:val="18"/>
                <w:szCs w:val="18"/>
              </w:rPr>
              <w:t>Establece los documentos soporte del sistema.</w:t>
            </w:r>
          </w:p>
        </w:tc>
        <w:tc>
          <w:tcPr>
            <w:tcW w:w="1813" w:type="dxa"/>
            <w:shd w:val="clear" w:color="auto" w:fill="D9E2F3"/>
            <w:vAlign w:val="center"/>
          </w:tcPr>
          <w:p w14:paraId="787D32C8" w14:textId="77777777" w:rsidR="00990B14" w:rsidRDefault="00000000">
            <w:pPr>
              <w:spacing w:before="20" w:after="20"/>
              <w:jc w:val="both"/>
            </w:pPr>
            <w:r>
              <w:rPr>
                <w:sz w:val="18"/>
                <w:szCs w:val="18"/>
              </w:rPr>
              <w:t>Define el responsable de emitir cada documento.</w:t>
            </w:r>
          </w:p>
        </w:tc>
      </w:tr>
      <w:tr w:rsidR="00990B14" w14:paraId="1A536A72" w14:textId="77777777">
        <w:trPr>
          <w:cantSplit/>
          <w:jc w:val="center"/>
        </w:trPr>
        <w:tc>
          <w:tcPr>
            <w:tcW w:w="1533" w:type="dxa"/>
            <w:vMerge/>
            <w:shd w:val="clear" w:color="auto" w:fill="4472C4"/>
            <w:vAlign w:val="center"/>
          </w:tcPr>
          <w:p w14:paraId="2ED35AA3" w14:textId="77777777" w:rsidR="00990B14" w:rsidRDefault="00990B14">
            <w:pPr>
              <w:spacing w:before="20" w:after="20"/>
            </w:pPr>
          </w:p>
        </w:tc>
        <w:tc>
          <w:tcPr>
            <w:tcW w:w="6059" w:type="dxa"/>
            <w:gridSpan w:val="3"/>
            <w:shd w:val="clear" w:color="auto" w:fill="D9E2F3"/>
            <w:vAlign w:val="center"/>
          </w:tcPr>
          <w:p w14:paraId="7D48E0C6" w14:textId="77777777" w:rsidR="00990B14" w:rsidRDefault="00000000">
            <w:pPr>
              <w:keepNext/>
              <w:spacing w:before="20" w:after="20"/>
              <w:jc w:val="both"/>
            </w:pPr>
            <w:r>
              <w:rPr>
                <w:b/>
                <w:bCs/>
                <w:i/>
                <w:iCs/>
                <w:sz w:val="18"/>
                <w:szCs w:val="18"/>
              </w:rPr>
              <w:t xml:space="preserve">Producto 12: </w:t>
            </w:r>
            <w:r>
              <w:rPr>
                <w:sz w:val="18"/>
                <w:szCs w:val="18"/>
              </w:rPr>
              <w:t>Documento de políticas contables</w:t>
            </w:r>
          </w:p>
        </w:tc>
        <w:tc>
          <w:tcPr>
            <w:tcW w:w="1813" w:type="dxa"/>
            <w:shd w:val="clear" w:color="auto" w:fill="D9E2F3"/>
            <w:vAlign w:val="center"/>
          </w:tcPr>
          <w:p w14:paraId="6FE409A8" w14:textId="77777777" w:rsidR="00990B14" w:rsidRDefault="00000000">
            <w:pPr>
              <w:spacing w:before="20" w:after="20"/>
              <w:jc w:val="center"/>
            </w:pPr>
            <w:r>
              <w:rPr>
                <w:b/>
                <w:bCs/>
                <w:sz w:val="18"/>
                <w:szCs w:val="18"/>
              </w:rPr>
              <w:t>3%</w:t>
            </w:r>
          </w:p>
        </w:tc>
      </w:tr>
      <w:tr w:rsidR="00990B14" w14:paraId="7BEE22F2" w14:textId="77777777">
        <w:trPr>
          <w:cantSplit/>
          <w:jc w:val="center"/>
        </w:trPr>
        <w:tc>
          <w:tcPr>
            <w:tcW w:w="1533" w:type="dxa"/>
            <w:vMerge/>
            <w:shd w:val="clear" w:color="auto" w:fill="4472C4"/>
            <w:vAlign w:val="center"/>
          </w:tcPr>
          <w:p w14:paraId="0D2746FF" w14:textId="77777777" w:rsidR="00990B14" w:rsidRDefault="00990B14">
            <w:pPr>
              <w:spacing w:before="20" w:after="20"/>
            </w:pPr>
          </w:p>
        </w:tc>
        <w:tc>
          <w:tcPr>
            <w:tcW w:w="1812" w:type="dxa"/>
            <w:shd w:val="clear" w:color="auto" w:fill="4472C4"/>
            <w:vAlign w:val="center"/>
          </w:tcPr>
          <w:p w14:paraId="36DB653A" w14:textId="77777777" w:rsidR="00990B14" w:rsidRDefault="00000000">
            <w:pPr>
              <w:keepNext/>
              <w:spacing w:before="20" w:after="20"/>
              <w:jc w:val="center"/>
            </w:pPr>
            <w:r>
              <w:rPr>
                <w:b/>
                <w:bCs/>
                <w:i/>
                <w:iCs/>
                <w:color w:val="FFFFFF"/>
                <w:sz w:val="18"/>
                <w:szCs w:val="18"/>
              </w:rPr>
              <w:t>Criterio</w:t>
            </w:r>
          </w:p>
        </w:tc>
        <w:tc>
          <w:tcPr>
            <w:tcW w:w="2435" w:type="dxa"/>
            <w:shd w:val="clear" w:color="auto" w:fill="4472C4"/>
            <w:vAlign w:val="center"/>
          </w:tcPr>
          <w:p w14:paraId="19C72B94" w14:textId="77777777" w:rsidR="00990B14" w:rsidRDefault="00000000">
            <w:pPr>
              <w:keepNext/>
              <w:spacing w:before="20" w:after="20"/>
              <w:jc w:val="center"/>
            </w:pPr>
            <w:r>
              <w:rPr>
                <w:b/>
                <w:bCs/>
                <w:i/>
                <w:iCs/>
                <w:color w:val="FFFFFF"/>
                <w:sz w:val="18"/>
                <w:szCs w:val="18"/>
              </w:rPr>
              <w:t>Insuficiente (1–50)</w:t>
            </w:r>
          </w:p>
        </w:tc>
        <w:tc>
          <w:tcPr>
            <w:tcW w:w="1812" w:type="dxa"/>
            <w:shd w:val="clear" w:color="auto" w:fill="4472C4"/>
            <w:vAlign w:val="center"/>
          </w:tcPr>
          <w:p w14:paraId="08DF8783" w14:textId="77777777" w:rsidR="00990B14" w:rsidRDefault="00000000">
            <w:pPr>
              <w:keepNext/>
              <w:spacing w:before="20" w:after="20"/>
              <w:jc w:val="center"/>
            </w:pPr>
            <w:r>
              <w:rPr>
                <w:b/>
                <w:bCs/>
                <w:i/>
                <w:iCs/>
                <w:color w:val="FFFFFF"/>
                <w:sz w:val="18"/>
                <w:szCs w:val="18"/>
              </w:rPr>
              <w:t>Suficiente (51–80)</w:t>
            </w:r>
          </w:p>
        </w:tc>
        <w:tc>
          <w:tcPr>
            <w:tcW w:w="1813" w:type="dxa"/>
            <w:shd w:val="clear" w:color="auto" w:fill="4472C4"/>
            <w:vAlign w:val="center"/>
          </w:tcPr>
          <w:p w14:paraId="025E6FA8" w14:textId="77777777" w:rsidR="00990B14" w:rsidRDefault="00000000">
            <w:pPr>
              <w:keepNext/>
              <w:spacing w:before="20" w:after="20"/>
              <w:jc w:val="center"/>
            </w:pPr>
            <w:r>
              <w:rPr>
                <w:b/>
                <w:bCs/>
                <w:i/>
                <w:iCs/>
                <w:color w:val="FFFFFF"/>
                <w:sz w:val="18"/>
                <w:szCs w:val="18"/>
              </w:rPr>
              <w:t>Destacado (81–100)</w:t>
            </w:r>
          </w:p>
        </w:tc>
      </w:tr>
      <w:tr w:rsidR="00990B14" w14:paraId="5FBE644A" w14:textId="77777777">
        <w:trPr>
          <w:cantSplit/>
          <w:jc w:val="center"/>
        </w:trPr>
        <w:tc>
          <w:tcPr>
            <w:tcW w:w="1533" w:type="dxa"/>
            <w:vMerge/>
            <w:shd w:val="clear" w:color="auto" w:fill="4472C4"/>
            <w:vAlign w:val="center"/>
          </w:tcPr>
          <w:p w14:paraId="79BF907B" w14:textId="77777777" w:rsidR="00990B14" w:rsidRDefault="00990B14">
            <w:pPr>
              <w:spacing w:before="20" w:after="20"/>
            </w:pPr>
          </w:p>
        </w:tc>
        <w:tc>
          <w:tcPr>
            <w:tcW w:w="1812" w:type="dxa"/>
            <w:shd w:val="clear" w:color="auto" w:fill="D9E2F3"/>
            <w:vAlign w:val="center"/>
          </w:tcPr>
          <w:p w14:paraId="4516A51C" w14:textId="77777777" w:rsidR="00990B14" w:rsidRDefault="00000000">
            <w:pPr>
              <w:spacing w:before="20" w:after="20"/>
              <w:jc w:val="both"/>
            </w:pPr>
            <w:r>
              <w:rPr>
                <w:sz w:val="18"/>
                <w:szCs w:val="18"/>
              </w:rPr>
              <w:t>Reconocimiento y medición</w:t>
            </w:r>
          </w:p>
        </w:tc>
        <w:tc>
          <w:tcPr>
            <w:tcW w:w="2435" w:type="dxa"/>
            <w:shd w:val="clear" w:color="auto" w:fill="D9E2F3"/>
            <w:vAlign w:val="center"/>
          </w:tcPr>
          <w:p w14:paraId="10C908B4" w14:textId="77777777" w:rsidR="00990B14" w:rsidRDefault="00000000">
            <w:pPr>
              <w:spacing w:before="20" w:after="20"/>
              <w:jc w:val="both"/>
            </w:pPr>
            <w:r>
              <w:rPr>
                <w:sz w:val="18"/>
                <w:szCs w:val="18"/>
              </w:rPr>
              <w:t>Las políticas contradicen las normas.</w:t>
            </w:r>
          </w:p>
        </w:tc>
        <w:tc>
          <w:tcPr>
            <w:tcW w:w="1812" w:type="dxa"/>
            <w:shd w:val="clear" w:color="auto" w:fill="D9E2F3"/>
            <w:vAlign w:val="center"/>
          </w:tcPr>
          <w:p w14:paraId="0B5F9997" w14:textId="77777777" w:rsidR="00990B14" w:rsidRDefault="00000000">
            <w:pPr>
              <w:spacing w:before="20" w:after="20"/>
              <w:jc w:val="both"/>
            </w:pPr>
            <w:r>
              <w:rPr>
                <w:sz w:val="18"/>
                <w:szCs w:val="18"/>
              </w:rPr>
              <w:t>Define criterios de reconocimiento y medición conformes.</w:t>
            </w:r>
          </w:p>
        </w:tc>
        <w:tc>
          <w:tcPr>
            <w:tcW w:w="1813" w:type="dxa"/>
            <w:shd w:val="clear" w:color="auto" w:fill="D9E2F3"/>
            <w:vAlign w:val="center"/>
          </w:tcPr>
          <w:p w14:paraId="6D93F22C" w14:textId="77777777" w:rsidR="00990B14" w:rsidRDefault="00000000">
            <w:pPr>
              <w:spacing w:before="20" w:after="20"/>
              <w:jc w:val="both"/>
            </w:pPr>
            <w:r>
              <w:rPr>
                <w:sz w:val="18"/>
                <w:szCs w:val="18"/>
              </w:rPr>
              <w:t>Justifica la elección entre alternativas permitidas.</w:t>
            </w:r>
          </w:p>
        </w:tc>
      </w:tr>
      <w:tr w:rsidR="00990B14" w14:paraId="5CCD4161" w14:textId="77777777">
        <w:trPr>
          <w:cantSplit/>
          <w:jc w:val="center"/>
        </w:trPr>
        <w:tc>
          <w:tcPr>
            <w:tcW w:w="1533" w:type="dxa"/>
            <w:vMerge/>
            <w:shd w:val="clear" w:color="auto" w:fill="4472C4"/>
            <w:vAlign w:val="center"/>
          </w:tcPr>
          <w:p w14:paraId="261A50B6" w14:textId="77777777" w:rsidR="00990B14" w:rsidRDefault="00990B14">
            <w:pPr>
              <w:spacing w:before="20" w:after="20"/>
            </w:pPr>
          </w:p>
        </w:tc>
        <w:tc>
          <w:tcPr>
            <w:tcW w:w="1812" w:type="dxa"/>
            <w:shd w:val="clear" w:color="auto" w:fill="D9E2F3"/>
            <w:vAlign w:val="center"/>
          </w:tcPr>
          <w:p w14:paraId="5A972A2F" w14:textId="77777777" w:rsidR="00990B14" w:rsidRDefault="00000000">
            <w:pPr>
              <w:spacing w:before="20" w:after="20"/>
              <w:jc w:val="both"/>
            </w:pPr>
            <w:r>
              <w:rPr>
                <w:sz w:val="18"/>
                <w:szCs w:val="18"/>
              </w:rPr>
              <w:t>Revelación</w:t>
            </w:r>
          </w:p>
        </w:tc>
        <w:tc>
          <w:tcPr>
            <w:tcW w:w="2435" w:type="dxa"/>
            <w:shd w:val="clear" w:color="auto" w:fill="D9E2F3"/>
            <w:vAlign w:val="center"/>
          </w:tcPr>
          <w:p w14:paraId="743A45A2" w14:textId="77777777" w:rsidR="00990B14" w:rsidRDefault="00000000">
            <w:pPr>
              <w:spacing w:before="20" w:after="20"/>
              <w:jc w:val="both"/>
            </w:pPr>
            <w:r>
              <w:rPr>
                <w:sz w:val="18"/>
                <w:szCs w:val="18"/>
              </w:rPr>
              <w:t>Omite los requisitos de revelación.</w:t>
            </w:r>
          </w:p>
        </w:tc>
        <w:tc>
          <w:tcPr>
            <w:tcW w:w="1812" w:type="dxa"/>
            <w:shd w:val="clear" w:color="auto" w:fill="D9E2F3"/>
            <w:vAlign w:val="center"/>
          </w:tcPr>
          <w:p w14:paraId="7A8E3BA7" w14:textId="77777777" w:rsidR="00990B14" w:rsidRDefault="00000000">
            <w:pPr>
              <w:spacing w:before="20" w:after="20"/>
              <w:jc w:val="both"/>
            </w:pPr>
            <w:r>
              <w:rPr>
                <w:sz w:val="18"/>
                <w:szCs w:val="18"/>
              </w:rPr>
              <w:t>Establece las revelaciones de cada rubro.</w:t>
            </w:r>
          </w:p>
        </w:tc>
        <w:tc>
          <w:tcPr>
            <w:tcW w:w="1813" w:type="dxa"/>
            <w:shd w:val="clear" w:color="auto" w:fill="D9E2F3"/>
            <w:vAlign w:val="center"/>
          </w:tcPr>
          <w:p w14:paraId="3D9373C6" w14:textId="77777777" w:rsidR="00990B14" w:rsidRDefault="00000000">
            <w:pPr>
              <w:spacing w:before="20" w:after="20"/>
              <w:jc w:val="both"/>
            </w:pPr>
            <w:r>
              <w:rPr>
                <w:sz w:val="18"/>
                <w:szCs w:val="18"/>
              </w:rPr>
              <w:t>Relaciona las revelaciones con las notas a los estados financieros.</w:t>
            </w:r>
          </w:p>
        </w:tc>
      </w:tr>
      <w:tr w:rsidR="00990B14" w14:paraId="54468002" w14:textId="77777777">
        <w:trPr>
          <w:cantSplit/>
          <w:jc w:val="center"/>
        </w:trPr>
        <w:tc>
          <w:tcPr>
            <w:tcW w:w="1533" w:type="dxa"/>
            <w:vMerge/>
            <w:shd w:val="clear" w:color="auto" w:fill="4472C4"/>
            <w:vAlign w:val="center"/>
          </w:tcPr>
          <w:p w14:paraId="495206E5" w14:textId="77777777" w:rsidR="00990B14" w:rsidRDefault="00990B14">
            <w:pPr>
              <w:spacing w:before="20" w:after="20"/>
            </w:pPr>
          </w:p>
        </w:tc>
        <w:tc>
          <w:tcPr>
            <w:tcW w:w="1812" w:type="dxa"/>
            <w:shd w:val="clear" w:color="auto" w:fill="D9E2F3"/>
            <w:vAlign w:val="center"/>
          </w:tcPr>
          <w:p w14:paraId="6ADF652B" w14:textId="77777777" w:rsidR="00990B14" w:rsidRDefault="00000000">
            <w:pPr>
              <w:spacing w:before="20" w:after="20"/>
              <w:jc w:val="both"/>
            </w:pPr>
            <w:r>
              <w:rPr>
                <w:sz w:val="18"/>
                <w:szCs w:val="18"/>
              </w:rPr>
              <w:t>Redacción</w:t>
            </w:r>
          </w:p>
        </w:tc>
        <w:tc>
          <w:tcPr>
            <w:tcW w:w="2435" w:type="dxa"/>
            <w:shd w:val="clear" w:color="auto" w:fill="D9E2F3"/>
            <w:vAlign w:val="center"/>
          </w:tcPr>
          <w:p w14:paraId="173904A1" w14:textId="77777777" w:rsidR="00990B14" w:rsidRDefault="00000000">
            <w:pPr>
              <w:spacing w:before="20" w:after="20"/>
              <w:jc w:val="both"/>
            </w:pPr>
            <w:r>
              <w:rPr>
                <w:sz w:val="18"/>
                <w:szCs w:val="18"/>
              </w:rPr>
              <w:t>La redacción es ambigua.</w:t>
            </w:r>
          </w:p>
        </w:tc>
        <w:tc>
          <w:tcPr>
            <w:tcW w:w="1812" w:type="dxa"/>
            <w:shd w:val="clear" w:color="auto" w:fill="D9E2F3"/>
            <w:vAlign w:val="center"/>
          </w:tcPr>
          <w:p w14:paraId="01735E72" w14:textId="77777777" w:rsidR="00990B14" w:rsidRDefault="00000000">
            <w:pPr>
              <w:spacing w:before="20" w:after="20"/>
              <w:jc w:val="both"/>
            </w:pPr>
            <w:r>
              <w:rPr>
                <w:sz w:val="18"/>
                <w:szCs w:val="18"/>
              </w:rPr>
              <w:t>La redacción es precisa y ordenada.</w:t>
            </w:r>
          </w:p>
        </w:tc>
        <w:tc>
          <w:tcPr>
            <w:tcW w:w="1813" w:type="dxa"/>
            <w:shd w:val="clear" w:color="auto" w:fill="D9E2F3"/>
            <w:vAlign w:val="center"/>
          </w:tcPr>
          <w:p w14:paraId="41FAF99B" w14:textId="77777777" w:rsidR="00990B14" w:rsidRDefault="00000000">
            <w:pPr>
              <w:spacing w:before="20" w:after="20"/>
              <w:jc w:val="both"/>
            </w:pPr>
            <w:r>
              <w:rPr>
                <w:sz w:val="18"/>
                <w:szCs w:val="18"/>
              </w:rPr>
              <w:t>El documento es aplicable sin consultas adicionales.</w:t>
            </w:r>
          </w:p>
        </w:tc>
      </w:tr>
      <w:tr w:rsidR="00990B14" w14:paraId="66CDDCBA" w14:textId="77777777">
        <w:trPr>
          <w:cantSplit/>
          <w:jc w:val="center"/>
        </w:trPr>
        <w:tc>
          <w:tcPr>
            <w:tcW w:w="1533" w:type="dxa"/>
            <w:vMerge/>
            <w:shd w:val="clear" w:color="auto" w:fill="4472C4"/>
            <w:vAlign w:val="center"/>
          </w:tcPr>
          <w:p w14:paraId="2FA9A3B8" w14:textId="77777777" w:rsidR="00990B14" w:rsidRDefault="00990B14">
            <w:pPr>
              <w:spacing w:before="20" w:after="20"/>
            </w:pPr>
          </w:p>
        </w:tc>
        <w:tc>
          <w:tcPr>
            <w:tcW w:w="6059" w:type="dxa"/>
            <w:gridSpan w:val="3"/>
            <w:shd w:val="clear" w:color="auto" w:fill="D9E2F3"/>
            <w:vAlign w:val="center"/>
          </w:tcPr>
          <w:p w14:paraId="19FA9F44" w14:textId="77777777" w:rsidR="00990B14" w:rsidRDefault="00000000">
            <w:pPr>
              <w:keepNext/>
              <w:spacing w:before="20" w:after="20"/>
              <w:jc w:val="both"/>
            </w:pPr>
            <w:r>
              <w:rPr>
                <w:b/>
                <w:bCs/>
                <w:i/>
                <w:iCs/>
                <w:sz w:val="18"/>
                <w:szCs w:val="18"/>
              </w:rPr>
              <w:t xml:space="preserve">Producto 13: </w:t>
            </w:r>
            <w:r>
              <w:rPr>
                <w:sz w:val="18"/>
                <w:szCs w:val="18"/>
              </w:rPr>
              <w:t>Esquema de los subsistemas</w:t>
            </w:r>
          </w:p>
        </w:tc>
        <w:tc>
          <w:tcPr>
            <w:tcW w:w="1813" w:type="dxa"/>
            <w:shd w:val="clear" w:color="auto" w:fill="D9E2F3"/>
            <w:vAlign w:val="center"/>
          </w:tcPr>
          <w:p w14:paraId="3EBCA9E0" w14:textId="77777777" w:rsidR="00990B14" w:rsidRDefault="00000000">
            <w:pPr>
              <w:spacing w:before="20" w:after="20"/>
              <w:jc w:val="center"/>
            </w:pPr>
            <w:r>
              <w:rPr>
                <w:b/>
                <w:bCs/>
                <w:sz w:val="18"/>
                <w:szCs w:val="18"/>
              </w:rPr>
              <w:t>5%</w:t>
            </w:r>
          </w:p>
        </w:tc>
      </w:tr>
      <w:tr w:rsidR="00990B14" w14:paraId="78A943C9" w14:textId="77777777">
        <w:trPr>
          <w:cantSplit/>
          <w:jc w:val="center"/>
        </w:trPr>
        <w:tc>
          <w:tcPr>
            <w:tcW w:w="1533" w:type="dxa"/>
            <w:vMerge/>
            <w:shd w:val="clear" w:color="auto" w:fill="4472C4"/>
            <w:vAlign w:val="center"/>
          </w:tcPr>
          <w:p w14:paraId="0299AA0F" w14:textId="77777777" w:rsidR="00990B14" w:rsidRDefault="00990B14">
            <w:pPr>
              <w:spacing w:before="20" w:after="20"/>
            </w:pPr>
          </w:p>
        </w:tc>
        <w:tc>
          <w:tcPr>
            <w:tcW w:w="1812" w:type="dxa"/>
            <w:shd w:val="clear" w:color="auto" w:fill="4472C4"/>
            <w:vAlign w:val="center"/>
          </w:tcPr>
          <w:p w14:paraId="5C1DB6CC" w14:textId="77777777" w:rsidR="00990B14" w:rsidRDefault="00000000">
            <w:pPr>
              <w:keepNext/>
              <w:spacing w:before="20" w:after="20"/>
              <w:jc w:val="center"/>
            </w:pPr>
            <w:r>
              <w:rPr>
                <w:b/>
                <w:bCs/>
                <w:i/>
                <w:iCs/>
                <w:color w:val="FFFFFF"/>
                <w:sz w:val="18"/>
                <w:szCs w:val="18"/>
              </w:rPr>
              <w:t>Criterio</w:t>
            </w:r>
          </w:p>
        </w:tc>
        <w:tc>
          <w:tcPr>
            <w:tcW w:w="2435" w:type="dxa"/>
            <w:shd w:val="clear" w:color="auto" w:fill="4472C4"/>
            <w:vAlign w:val="center"/>
          </w:tcPr>
          <w:p w14:paraId="7AFA9689" w14:textId="77777777" w:rsidR="00990B14" w:rsidRDefault="00000000">
            <w:pPr>
              <w:keepNext/>
              <w:spacing w:before="20" w:after="20"/>
              <w:jc w:val="center"/>
            </w:pPr>
            <w:r>
              <w:rPr>
                <w:b/>
                <w:bCs/>
                <w:i/>
                <w:iCs/>
                <w:color w:val="FFFFFF"/>
                <w:sz w:val="18"/>
                <w:szCs w:val="18"/>
              </w:rPr>
              <w:t>Insuficiente (1–50)</w:t>
            </w:r>
          </w:p>
        </w:tc>
        <w:tc>
          <w:tcPr>
            <w:tcW w:w="1812" w:type="dxa"/>
            <w:shd w:val="clear" w:color="auto" w:fill="4472C4"/>
            <w:vAlign w:val="center"/>
          </w:tcPr>
          <w:p w14:paraId="7A6E0239" w14:textId="77777777" w:rsidR="00990B14" w:rsidRDefault="00000000">
            <w:pPr>
              <w:keepNext/>
              <w:spacing w:before="20" w:after="20"/>
              <w:jc w:val="center"/>
            </w:pPr>
            <w:r>
              <w:rPr>
                <w:b/>
                <w:bCs/>
                <w:i/>
                <w:iCs/>
                <w:color w:val="FFFFFF"/>
                <w:sz w:val="18"/>
                <w:szCs w:val="18"/>
              </w:rPr>
              <w:t>Suficiente (51–80)</w:t>
            </w:r>
          </w:p>
        </w:tc>
        <w:tc>
          <w:tcPr>
            <w:tcW w:w="1813" w:type="dxa"/>
            <w:shd w:val="clear" w:color="auto" w:fill="4472C4"/>
            <w:vAlign w:val="center"/>
          </w:tcPr>
          <w:p w14:paraId="695839AB" w14:textId="77777777" w:rsidR="00990B14" w:rsidRDefault="00000000">
            <w:pPr>
              <w:keepNext/>
              <w:spacing w:before="20" w:after="20"/>
              <w:jc w:val="center"/>
            </w:pPr>
            <w:r>
              <w:rPr>
                <w:b/>
                <w:bCs/>
                <w:i/>
                <w:iCs/>
                <w:color w:val="FFFFFF"/>
                <w:sz w:val="18"/>
                <w:szCs w:val="18"/>
              </w:rPr>
              <w:t>Destacado (81–100)</w:t>
            </w:r>
          </w:p>
        </w:tc>
      </w:tr>
      <w:tr w:rsidR="00990B14" w14:paraId="00D72936" w14:textId="77777777">
        <w:trPr>
          <w:cantSplit/>
          <w:jc w:val="center"/>
        </w:trPr>
        <w:tc>
          <w:tcPr>
            <w:tcW w:w="1533" w:type="dxa"/>
            <w:vMerge/>
            <w:shd w:val="clear" w:color="auto" w:fill="4472C4"/>
            <w:vAlign w:val="center"/>
          </w:tcPr>
          <w:p w14:paraId="109A8117" w14:textId="77777777" w:rsidR="00990B14" w:rsidRDefault="00990B14">
            <w:pPr>
              <w:spacing w:before="20" w:after="20"/>
            </w:pPr>
          </w:p>
        </w:tc>
        <w:tc>
          <w:tcPr>
            <w:tcW w:w="1812" w:type="dxa"/>
            <w:shd w:val="clear" w:color="auto" w:fill="D9E2F3"/>
            <w:vAlign w:val="center"/>
          </w:tcPr>
          <w:p w14:paraId="125707A1" w14:textId="77777777" w:rsidR="00990B14" w:rsidRDefault="00000000">
            <w:pPr>
              <w:spacing w:before="20" w:after="20"/>
              <w:jc w:val="both"/>
            </w:pPr>
            <w:r>
              <w:rPr>
                <w:sz w:val="18"/>
                <w:szCs w:val="18"/>
              </w:rPr>
              <w:t>Diseño de subsistemas</w:t>
            </w:r>
          </w:p>
        </w:tc>
        <w:tc>
          <w:tcPr>
            <w:tcW w:w="2435" w:type="dxa"/>
            <w:shd w:val="clear" w:color="auto" w:fill="D9E2F3"/>
            <w:vAlign w:val="center"/>
          </w:tcPr>
          <w:p w14:paraId="2FCC6EC6" w14:textId="77777777" w:rsidR="00990B14" w:rsidRDefault="00000000">
            <w:pPr>
              <w:spacing w:before="20" w:after="20"/>
              <w:jc w:val="both"/>
            </w:pPr>
            <w:r>
              <w:rPr>
                <w:sz w:val="18"/>
                <w:szCs w:val="18"/>
              </w:rPr>
              <w:t>Omite subsistemas relevantes.</w:t>
            </w:r>
          </w:p>
        </w:tc>
        <w:tc>
          <w:tcPr>
            <w:tcW w:w="1812" w:type="dxa"/>
            <w:shd w:val="clear" w:color="auto" w:fill="D9E2F3"/>
            <w:vAlign w:val="center"/>
          </w:tcPr>
          <w:p w14:paraId="50C2801D" w14:textId="77777777" w:rsidR="00990B14" w:rsidRDefault="00000000">
            <w:pPr>
              <w:spacing w:before="20" w:after="20"/>
              <w:jc w:val="both"/>
            </w:pPr>
            <w:r>
              <w:rPr>
                <w:sz w:val="18"/>
                <w:szCs w:val="18"/>
              </w:rPr>
              <w:t>Diseña los subsistemas con sus entradas, procesos y salidas.</w:t>
            </w:r>
          </w:p>
        </w:tc>
        <w:tc>
          <w:tcPr>
            <w:tcW w:w="1813" w:type="dxa"/>
            <w:shd w:val="clear" w:color="auto" w:fill="D9E2F3"/>
            <w:vAlign w:val="center"/>
          </w:tcPr>
          <w:p w14:paraId="50B9BEBD" w14:textId="77777777" w:rsidR="00990B14" w:rsidRDefault="00000000">
            <w:pPr>
              <w:spacing w:before="20" w:after="20"/>
              <w:jc w:val="both"/>
            </w:pPr>
            <w:r>
              <w:rPr>
                <w:sz w:val="18"/>
                <w:szCs w:val="18"/>
              </w:rPr>
              <w:t>Identifica los controles de cada subsistema.</w:t>
            </w:r>
          </w:p>
        </w:tc>
      </w:tr>
      <w:tr w:rsidR="00990B14" w14:paraId="30EDE101" w14:textId="77777777">
        <w:trPr>
          <w:cantSplit/>
          <w:jc w:val="center"/>
        </w:trPr>
        <w:tc>
          <w:tcPr>
            <w:tcW w:w="1533" w:type="dxa"/>
            <w:vMerge/>
            <w:shd w:val="clear" w:color="auto" w:fill="4472C4"/>
            <w:vAlign w:val="center"/>
          </w:tcPr>
          <w:p w14:paraId="5954BA35" w14:textId="77777777" w:rsidR="00990B14" w:rsidRDefault="00990B14">
            <w:pPr>
              <w:spacing w:before="20" w:after="20"/>
            </w:pPr>
          </w:p>
        </w:tc>
        <w:tc>
          <w:tcPr>
            <w:tcW w:w="1812" w:type="dxa"/>
            <w:shd w:val="clear" w:color="auto" w:fill="D9E2F3"/>
            <w:vAlign w:val="center"/>
          </w:tcPr>
          <w:p w14:paraId="227868EF" w14:textId="77777777" w:rsidR="00990B14" w:rsidRDefault="00000000">
            <w:pPr>
              <w:spacing w:before="20" w:after="20"/>
              <w:jc w:val="both"/>
            </w:pPr>
            <w:r>
              <w:rPr>
                <w:sz w:val="18"/>
                <w:szCs w:val="18"/>
              </w:rPr>
              <w:t>Integración contable</w:t>
            </w:r>
          </w:p>
        </w:tc>
        <w:tc>
          <w:tcPr>
            <w:tcW w:w="2435" w:type="dxa"/>
            <w:shd w:val="clear" w:color="auto" w:fill="D9E2F3"/>
            <w:vAlign w:val="center"/>
          </w:tcPr>
          <w:p w14:paraId="005E6A6D" w14:textId="77777777" w:rsidR="00990B14" w:rsidRDefault="00000000">
            <w:pPr>
              <w:spacing w:before="20" w:after="20"/>
              <w:jc w:val="both"/>
            </w:pPr>
            <w:r>
              <w:rPr>
                <w:sz w:val="18"/>
                <w:szCs w:val="18"/>
              </w:rPr>
              <w:t>Los subsistemas no se vinculan con la contabilidad.</w:t>
            </w:r>
          </w:p>
        </w:tc>
        <w:tc>
          <w:tcPr>
            <w:tcW w:w="1812" w:type="dxa"/>
            <w:shd w:val="clear" w:color="auto" w:fill="D9E2F3"/>
            <w:vAlign w:val="center"/>
          </w:tcPr>
          <w:p w14:paraId="412583A8" w14:textId="77777777" w:rsidR="00990B14" w:rsidRDefault="00000000">
            <w:pPr>
              <w:spacing w:before="20" w:after="20"/>
              <w:jc w:val="both"/>
            </w:pPr>
            <w:r>
              <w:rPr>
                <w:sz w:val="18"/>
                <w:szCs w:val="18"/>
              </w:rPr>
              <w:t>Vincula cada subsistema con sus asientos contables.</w:t>
            </w:r>
          </w:p>
        </w:tc>
        <w:tc>
          <w:tcPr>
            <w:tcW w:w="1813" w:type="dxa"/>
            <w:shd w:val="clear" w:color="auto" w:fill="D9E2F3"/>
            <w:vAlign w:val="center"/>
          </w:tcPr>
          <w:p w14:paraId="57389661" w14:textId="77777777" w:rsidR="00990B14" w:rsidRDefault="00000000">
            <w:pPr>
              <w:spacing w:before="20" w:after="20"/>
              <w:jc w:val="both"/>
            </w:pPr>
            <w:r>
              <w:rPr>
                <w:sz w:val="18"/>
                <w:szCs w:val="18"/>
              </w:rPr>
              <w:t>Detecta duplicidades de registro entre subsistemas.</w:t>
            </w:r>
          </w:p>
        </w:tc>
      </w:tr>
      <w:tr w:rsidR="00990B14" w14:paraId="1E3D830C" w14:textId="77777777">
        <w:trPr>
          <w:cantSplit/>
          <w:jc w:val="center"/>
        </w:trPr>
        <w:tc>
          <w:tcPr>
            <w:tcW w:w="1533" w:type="dxa"/>
            <w:vMerge/>
            <w:shd w:val="clear" w:color="auto" w:fill="4472C4"/>
            <w:vAlign w:val="center"/>
          </w:tcPr>
          <w:p w14:paraId="30DDAE11" w14:textId="77777777" w:rsidR="00990B14" w:rsidRDefault="00990B14">
            <w:pPr>
              <w:spacing w:before="20" w:after="20"/>
            </w:pPr>
          </w:p>
        </w:tc>
        <w:tc>
          <w:tcPr>
            <w:tcW w:w="1812" w:type="dxa"/>
            <w:shd w:val="clear" w:color="auto" w:fill="D9E2F3"/>
            <w:vAlign w:val="center"/>
          </w:tcPr>
          <w:p w14:paraId="436B9FB0" w14:textId="77777777" w:rsidR="00990B14" w:rsidRDefault="00000000">
            <w:pPr>
              <w:spacing w:before="20" w:after="20"/>
              <w:jc w:val="both"/>
            </w:pPr>
            <w:r>
              <w:rPr>
                <w:sz w:val="18"/>
                <w:szCs w:val="18"/>
              </w:rPr>
              <w:t>Trabajo en equipo</w:t>
            </w:r>
          </w:p>
        </w:tc>
        <w:tc>
          <w:tcPr>
            <w:tcW w:w="2435" w:type="dxa"/>
            <w:shd w:val="clear" w:color="auto" w:fill="D9E2F3"/>
            <w:vAlign w:val="center"/>
          </w:tcPr>
          <w:p w14:paraId="12D9F0CB" w14:textId="77777777" w:rsidR="00990B14" w:rsidRDefault="00000000">
            <w:pPr>
              <w:spacing w:before="20" w:after="20"/>
              <w:jc w:val="both"/>
            </w:pPr>
            <w:r>
              <w:rPr>
                <w:sz w:val="18"/>
                <w:szCs w:val="18"/>
              </w:rPr>
              <w:t>La participación es desigual.</w:t>
            </w:r>
          </w:p>
        </w:tc>
        <w:tc>
          <w:tcPr>
            <w:tcW w:w="1812" w:type="dxa"/>
            <w:shd w:val="clear" w:color="auto" w:fill="D9E2F3"/>
            <w:vAlign w:val="center"/>
          </w:tcPr>
          <w:p w14:paraId="4DF744A8" w14:textId="77777777" w:rsidR="00990B14" w:rsidRDefault="00000000">
            <w:pPr>
              <w:spacing w:before="20" w:after="20"/>
              <w:jc w:val="both"/>
            </w:pPr>
            <w:r>
              <w:rPr>
                <w:sz w:val="18"/>
                <w:szCs w:val="18"/>
              </w:rPr>
              <w:t>Todos los integrantes participan.</w:t>
            </w:r>
          </w:p>
        </w:tc>
        <w:tc>
          <w:tcPr>
            <w:tcW w:w="1813" w:type="dxa"/>
            <w:shd w:val="clear" w:color="auto" w:fill="D9E2F3"/>
            <w:vAlign w:val="center"/>
          </w:tcPr>
          <w:p w14:paraId="2211C19E" w14:textId="77777777" w:rsidR="00990B14" w:rsidRDefault="00000000">
            <w:pPr>
              <w:spacing w:before="20" w:after="20"/>
              <w:jc w:val="both"/>
            </w:pPr>
            <w:r>
              <w:rPr>
                <w:sz w:val="18"/>
                <w:szCs w:val="18"/>
              </w:rPr>
              <w:t>El equipo sustenta el diseño ante el curso.</w:t>
            </w:r>
          </w:p>
        </w:tc>
      </w:tr>
      <w:tr w:rsidR="00990B14" w14:paraId="03873F1D" w14:textId="77777777">
        <w:trPr>
          <w:cantSplit/>
          <w:jc w:val="center"/>
        </w:trPr>
        <w:tc>
          <w:tcPr>
            <w:tcW w:w="1533" w:type="dxa"/>
            <w:vMerge/>
            <w:shd w:val="clear" w:color="auto" w:fill="4472C4"/>
            <w:vAlign w:val="center"/>
          </w:tcPr>
          <w:p w14:paraId="38D92320" w14:textId="77777777" w:rsidR="00990B14" w:rsidRDefault="00990B14">
            <w:pPr>
              <w:spacing w:before="20" w:after="20"/>
            </w:pPr>
          </w:p>
        </w:tc>
        <w:tc>
          <w:tcPr>
            <w:tcW w:w="6059" w:type="dxa"/>
            <w:gridSpan w:val="3"/>
            <w:shd w:val="clear" w:color="auto" w:fill="D9E2F3"/>
            <w:vAlign w:val="center"/>
          </w:tcPr>
          <w:p w14:paraId="7D254C34" w14:textId="77777777" w:rsidR="00990B14" w:rsidRDefault="00000000">
            <w:pPr>
              <w:keepNext/>
              <w:spacing w:before="20" w:after="20"/>
              <w:jc w:val="both"/>
            </w:pPr>
            <w:r>
              <w:rPr>
                <w:b/>
                <w:bCs/>
                <w:i/>
                <w:iCs/>
                <w:sz w:val="18"/>
                <w:szCs w:val="18"/>
              </w:rPr>
              <w:t xml:space="preserve">Producto 14: </w:t>
            </w:r>
            <w:r>
              <w:rPr>
                <w:sz w:val="18"/>
                <w:szCs w:val="18"/>
              </w:rPr>
              <w:t>Diagrama de integración de subsistemas</w:t>
            </w:r>
          </w:p>
        </w:tc>
        <w:tc>
          <w:tcPr>
            <w:tcW w:w="1813" w:type="dxa"/>
            <w:shd w:val="clear" w:color="auto" w:fill="D9E2F3"/>
            <w:vAlign w:val="center"/>
          </w:tcPr>
          <w:p w14:paraId="1AE94EF8" w14:textId="77777777" w:rsidR="00990B14" w:rsidRDefault="00000000">
            <w:pPr>
              <w:spacing w:before="20" w:after="20"/>
              <w:jc w:val="center"/>
            </w:pPr>
            <w:r>
              <w:rPr>
                <w:b/>
                <w:bCs/>
                <w:sz w:val="18"/>
                <w:szCs w:val="18"/>
              </w:rPr>
              <w:t>5%</w:t>
            </w:r>
          </w:p>
        </w:tc>
      </w:tr>
      <w:tr w:rsidR="00990B14" w14:paraId="0E8F997F" w14:textId="77777777">
        <w:trPr>
          <w:cantSplit/>
          <w:jc w:val="center"/>
        </w:trPr>
        <w:tc>
          <w:tcPr>
            <w:tcW w:w="1533" w:type="dxa"/>
            <w:vMerge/>
            <w:shd w:val="clear" w:color="auto" w:fill="4472C4"/>
            <w:vAlign w:val="center"/>
          </w:tcPr>
          <w:p w14:paraId="768CE5CB" w14:textId="77777777" w:rsidR="00990B14" w:rsidRDefault="00990B14">
            <w:pPr>
              <w:spacing w:before="20" w:after="20"/>
            </w:pPr>
          </w:p>
        </w:tc>
        <w:tc>
          <w:tcPr>
            <w:tcW w:w="1812" w:type="dxa"/>
            <w:shd w:val="clear" w:color="auto" w:fill="4472C4"/>
            <w:vAlign w:val="center"/>
          </w:tcPr>
          <w:p w14:paraId="165887AC" w14:textId="77777777" w:rsidR="00990B14" w:rsidRDefault="00000000">
            <w:pPr>
              <w:keepNext/>
              <w:spacing w:before="20" w:after="20"/>
              <w:jc w:val="center"/>
            </w:pPr>
            <w:r>
              <w:rPr>
                <w:b/>
                <w:bCs/>
                <w:i/>
                <w:iCs/>
                <w:color w:val="FFFFFF"/>
                <w:sz w:val="18"/>
                <w:szCs w:val="18"/>
              </w:rPr>
              <w:t>Criterio</w:t>
            </w:r>
          </w:p>
        </w:tc>
        <w:tc>
          <w:tcPr>
            <w:tcW w:w="2435" w:type="dxa"/>
            <w:shd w:val="clear" w:color="auto" w:fill="4472C4"/>
            <w:vAlign w:val="center"/>
          </w:tcPr>
          <w:p w14:paraId="5D598CC0" w14:textId="77777777" w:rsidR="00990B14" w:rsidRDefault="00000000">
            <w:pPr>
              <w:keepNext/>
              <w:spacing w:before="20" w:after="20"/>
              <w:jc w:val="center"/>
            </w:pPr>
            <w:r>
              <w:rPr>
                <w:b/>
                <w:bCs/>
                <w:i/>
                <w:iCs/>
                <w:color w:val="FFFFFF"/>
                <w:sz w:val="18"/>
                <w:szCs w:val="18"/>
              </w:rPr>
              <w:t>Insuficiente (1–50)</w:t>
            </w:r>
          </w:p>
        </w:tc>
        <w:tc>
          <w:tcPr>
            <w:tcW w:w="1812" w:type="dxa"/>
            <w:shd w:val="clear" w:color="auto" w:fill="4472C4"/>
            <w:vAlign w:val="center"/>
          </w:tcPr>
          <w:p w14:paraId="4F799597" w14:textId="77777777" w:rsidR="00990B14" w:rsidRDefault="00000000">
            <w:pPr>
              <w:keepNext/>
              <w:spacing w:before="20" w:after="20"/>
              <w:jc w:val="center"/>
            </w:pPr>
            <w:r>
              <w:rPr>
                <w:b/>
                <w:bCs/>
                <w:i/>
                <w:iCs/>
                <w:color w:val="FFFFFF"/>
                <w:sz w:val="18"/>
                <w:szCs w:val="18"/>
              </w:rPr>
              <w:t>Suficiente (51–80)</w:t>
            </w:r>
          </w:p>
        </w:tc>
        <w:tc>
          <w:tcPr>
            <w:tcW w:w="1813" w:type="dxa"/>
            <w:shd w:val="clear" w:color="auto" w:fill="4472C4"/>
            <w:vAlign w:val="center"/>
          </w:tcPr>
          <w:p w14:paraId="066C94A8" w14:textId="77777777" w:rsidR="00990B14" w:rsidRDefault="00000000">
            <w:pPr>
              <w:keepNext/>
              <w:spacing w:before="20" w:after="20"/>
              <w:jc w:val="center"/>
            </w:pPr>
            <w:r>
              <w:rPr>
                <w:b/>
                <w:bCs/>
                <w:i/>
                <w:iCs/>
                <w:color w:val="FFFFFF"/>
                <w:sz w:val="18"/>
                <w:szCs w:val="18"/>
              </w:rPr>
              <w:t>Destacado (81–100)</w:t>
            </w:r>
          </w:p>
        </w:tc>
      </w:tr>
      <w:tr w:rsidR="00990B14" w14:paraId="3023623D" w14:textId="77777777">
        <w:trPr>
          <w:cantSplit/>
          <w:jc w:val="center"/>
        </w:trPr>
        <w:tc>
          <w:tcPr>
            <w:tcW w:w="1533" w:type="dxa"/>
            <w:vMerge/>
            <w:shd w:val="clear" w:color="auto" w:fill="4472C4"/>
            <w:vAlign w:val="center"/>
          </w:tcPr>
          <w:p w14:paraId="360053E9" w14:textId="77777777" w:rsidR="00990B14" w:rsidRDefault="00990B14">
            <w:pPr>
              <w:spacing w:before="20" w:after="20"/>
            </w:pPr>
          </w:p>
        </w:tc>
        <w:tc>
          <w:tcPr>
            <w:tcW w:w="1812" w:type="dxa"/>
            <w:shd w:val="clear" w:color="auto" w:fill="D9E2F3"/>
            <w:vAlign w:val="center"/>
          </w:tcPr>
          <w:p w14:paraId="459FE304" w14:textId="77777777" w:rsidR="00990B14" w:rsidRDefault="00000000">
            <w:pPr>
              <w:spacing w:before="20" w:after="20"/>
              <w:jc w:val="both"/>
            </w:pPr>
            <w:r>
              <w:rPr>
                <w:sz w:val="18"/>
                <w:szCs w:val="18"/>
              </w:rPr>
              <w:t>Flujo de información</w:t>
            </w:r>
          </w:p>
        </w:tc>
        <w:tc>
          <w:tcPr>
            <w:tcW w:w="2435" w:type="dxa"/>
            <w:shd w:val="clear" w:color="auto" w:fill="D9E2F3"/>
            <w:vAlign w:val="center"/>
          </w:tcPr>
          <w:p w14:paraId="21D4F456" w14:textId="77777777" w:rsidR="00990B14" w:rsidRDefault="00000000">
            <w:pPr>
              <w:spacing w:before="20" w:after="20"/>
              <w:jc w:val="both"/>
            </w:pPr>
            <w:r>
              <w:rPr>
                <w:sz w:val="18"/>
                <w:szCs w:val="18"/>
              </w:rPr>
              <w:t>El flujo es incompleto.</w:t>
            </w:r>
          </w:p>
        </w:tc>
        <w:tc>
          <w:tcPr>
            <w:tcW w:w="1812" w:type="dxa"/>
            <w:shd w:val="clear" w:color="auto" w:fill="D9E2F3"/>
            <w:vAlign w:val="center"/>
          </w:tcPr>
          <w:p w14:paraId="01AE3F98" w14:textId="77777777" w:rsidR="00990B14" w:rsidRDefault="00000000">
            <w:pPr>
              <w:spacing w:before="20" w:after="20"/>
              <w:jc w:val="both"/>
            </w:pPr>
            <w:r>
              <w:rPr>
                <w:sz w:val="18"/>
                <w:szCs w:val="18"/>
              </w:rPr>
              <w:t>Representa el flujo desde el documento hasta el registro.</w:t>
            </w:r>
          </w:p>
        </w:tc>
        <w:tc>
          <w:tcPr>
            <w:tcW w:w="1813" w:type="dxa"/>
            <w:shd w:val="clear" w:color="auto" w:fill="D9E2F3"/>
            <w:vAlign w:val="center"/>
          </w:tcPr>
          <w:p w14:paraId="14CA4E1D" w14:textId="77777777" w:rsidR="00990B14" w:rsidRDefault="00000000">
            <w:pPr>
              <w:spacing w:before="20" w:after="20"/>
              <w:jc w:val="both"/>
            </w:pPr>
            <w:r>
              <w:rPr>
                <w:sz w:val="18"/>
                <w:szCs w:val="18"/>
              </w:rPr>
              <w:t>Señala los puntos de validación automática.</w:t>
            </w:r>
          </w:p>
        </w:tc>
      </w:tr>
      <w:tr w:rsidR="00990B14" w14:paraId="32598748" w14:textId="77777777">
        <w:trPr>
          <w:cantSplit/>
          <w:jc w:val="center"/>
        </w:trPr>
        <w:tc>
          <w:tcPr>
            <w:tcW w:w="1533" w:type="dxa"/>
            <w:vMerge/>
            <w:shd w:val="clear" w:color="auto" w:fill="4472C4"/>
            <w:vAlign w:val="center"/>
          </w:tcPr>
          <w:p w14:paraId="587C9560" w14:textId="77777777" w:rsidR="00990B14" w:rsidRDefault="00990B14">
            <w:pPr>
              <w:spacing w:before="20" w:after="20"/>
            </w:pPr>
          </w:p>
        </w:tc>
        <w:tc>
          <w:tcPr>
            <w:tcW w:w="1812" w:type="dxa"/>
            <w:shd w:val="clear" w:color="auto" w:fill="D9E2F3"/>
            <w:vAlign w:val="center"/>
          </w:tcPr>
          <w:p w14:paraId="3E7B6E33" w14:textId="77777777" w:rsidR="00990B14" w:rsidRDefault="00000000">
            <w:pPr>
              <w:spacing w:before="20" w:after="20"/>
              <w:jc w:val="both"/>
            </w:pPr>
            <w:r>
              <w:rPr>
                <w:sz w:val="18"/>
                <w:szCs w:val="18"/>
              </w:rPr>
              <w:t>Interfaces externas</w:t>
            </w:r>
          </w:p>
        </w:tc>
        <w:tc>
          <w:tcPr>
            <w:tcW w:w="2435" w:type="dxa"/>
            <w:shd w:val="clear" w:color="auto" w:fill="D9E2F3"/>
            <w:vAlign w:val="center"/>
          </w:tcPr>
          <w:p w14:paraId="203F6AB4" w14:textId="77777777" w:rsidR="00990B14" w:rsidRDefault="00000000">
            <w:pPr>
              <w:spacing w:before="20" w:after="20"/>
              <w:jc w:val="both"/>
            </w:pPr>
            <w:r>
              <w:rPr>
                <w:sz w:val="18"/>
                <w:szCs w:val="18"/>
              </w:rPr>
              <w:t>Omite las interfaces con entidades externas.</w:t>
            </w:r>
          </w:p>
        </w:tc>
        <w:tc>
          <w:tcPr>
            <w:tcW w:w="1812" w:type="dxa"/>
            <w:shd w:val="clear" w:color="auto" w:fill="D9E2F3"/>
            <w:vAlign w:val="center"/>
          </w:tcPr>
          <w:p w14:paraId="3BED3C81" w14:textId="77777777" w:rsidR="00990B14" w:rsidRDefault="00000000">
            <w:pPr>
              <w:spacing w:before="20" w:after="20"/>
              <w:jc w:val="both"/>
            </w:pPr>
            <w:r>
              <w:rPr>
                <w:sz w:val="18"/>
                <w:szCs w:val="18"/>
              </w:rPr>
              <w:t>Representa las interfaces con la facturación y la seguridad social.</w:t>
            </w:r>
          </w:p>
        </w:tc>
        <w:tc>
          <w:tcPr>
            <w:tcW w:w="1813" w:type="dxa"/>
            <w:shd w:val="clear" w:color="auto" w:fill="D9E2F3"/>
            <w:vAlign w:val="center"/>
          </w:tcPr>
          <w:p w14:paraId="1736F4C9" w14:textId="77777777" w:rsidR="00990B14" w:rsidRDefault="00000000">
            <w:pPr>
              <w:spacing w:before="20" w:after="20"/>
              <w:jc w:val="both"/>
            </w:pPr>
            <w:r>
              <w:rPr>
                <w:sz w:val="18"/>
                <w:szCs w:val="18"/>
              </w:rPr>
              <w:t>Prevé el tratamiento de los rechazos y errores.</w:t>
            </w:r>
          </w:p>
        </w:tc>
      </w:tr>
      <w:tr w:rsidR="00990B14" w14:paraId="3CF9ED66" w14:textId="77777777">
        <w:trPr>
          <w:cantSplit/>
          <w:jc w:val="center"/>
        </w:trPr>
        <w:tc>
          <w:tcPr>
            <w:tcW w:w="1533" w:type="dxa"/>
            <w:vMerge/>
            <w:shd w:val="clear" w:color="auto" w:fill="4472C4"/>
            <w:vAlign w:val="center"/>
          </w:tcPr>
          <w:p w14:paraId="2FA79AD7" w14:textId="77777777" w:rsidR="00990B14" w:rsidRDefault="00990B14">
            <w:pPr>
              <w:spacing w:before="20" w:after="20"/>
            </w:pPr>
          </w:p>
        </w:tc>
        <w:tc>
          <w:tcPr>
            <w:tcW w:w="1812" w:type="dxa"/>
            <w:shd w:val="clear" w:color="auto" w:fill="D9E2F3"/>
            <w:vAlign w:val="center"/>
          </w:tcPr>
          <w:p w14:paraId="4BEC0119" w14:textId="77777777" w:rsidR="00990B14" w:rsidRDefault="00000000">
            <w:pPr>
              <w:spacing w:before="20" w:after="20"/>
              <w:jc w:val="both"/>
            </w:pPr>
            <w:r>
              <w:rPr>
                <w:sz w:val="18"/>
                <w:szCs w:val="18"/>
              </w:rPr>
              <w:t>Uso de la herramienta</w:t>
            </w:r>
          </w:p>
        </w:tc>
        <w:tc>
          <w:tcPr>
            <w:tcW w:w="2435" w:type="dxa"/>
            <w:shd w:val="clear" w:color="auto" w:fill="D9E2F3"/>
            <w:vAlign w:val="center"/>
          </w:tcPr>
          <w:p w14:paraId="37F2F180" w14:textId="77777777" w:rsidR="00990B14" w:rsidRDefault="00000000">
            <w:pPr>
              <w:spacing w:before="20" w:after="20"/>
              <w:jc w:val="both"/>
            </w:pPr>
            <w:r>
              <w:rPr>
                <w:sz w:val="18"/>
                <w:szCs w:val="18"/>
              </w:rPr>
              <w:t>El diagrama es poco legible.</w:t>
            </w:r>
          </w:p>
        </w:tc>
        <w:tc>
          <w:tcPr>
            <w:tcW w:w="1812" w:type="dxa"/>
            <w:shd w:val="clear" w:color="auto" w:fill="D9E2F3"/>
            <w:vAlign w:val="center"/>
          </w:tcPr>
          <w:p w14:paraId="7E279808" w14:textId="77777777" w:rsidR="00990B14" w:rsidRDefault="00000000">
            <w:pPr>
              <w:spacing w:before="20" w:after="20"/>
              <w:jc w:val="both"/>
            </w:pPr>
            <w:r>
              <w:rPr>
                <w:sz w:val="18"/>
                <w:szCs w:val="18"/>
              </w:rPr>
              <w:t>Usa la simbología de forma correcta.</w:t>
            </w:r>
          </w:p>
        </w:tc>
        <w:tc>
          <w:tcPr>
            <w:tcW w:w="1813" w:type="dxa"/>
            <w:shd w:val="clear" w:color="auto" w:fill="D9E2F3"/>
            <w:vAlign w:val="center"/>
          </w:tcPr>
          <w:p w14:paraId="5000779F" w14:textId="77777777" w:rsidR="00990B14" w:rsidRDefault="00000000">
            <w:pPr>
              <w:spacing w:before="20" w:after="20"/>
              <w:jc w:val="both"/>
            </w:pPr>
            <w:r>
              <w:rPr>
                <w:sz w:val="18"/>
                <w:szCs w:val="18"/>
              </w:rPr>
              <w:t>El diagrama es reutilizable y verificable.</w:t>
            </w:r>
          </w:p>
        </w:tc>
      </w:tr>
      <w:tr w:rsidR="00990B14" w14:paraId="6D67020A" w14:textId="77777777">
        <w:trPr>
          <w:cantSplit/>
          <w:jc w:val="center"/>
        </w:trPr>
        <w:tc>
          <w:tcPr>
            <w:tcW w:w="1533" w:type="dxa"/>
            <w:vMerge/>
            <w:shd w:val="clear" w:color="auto" w:fill="4472C4"/>
            <w:vAlign w:val="center"/>
          </w:tcPr>
          <w:p w14:paraId="5B152557" w14:textId="77777777" w:rsidR="00990B14" w:rsidRDefault="00990B14">
            <w:pPr>
              <w:spacing w:before="20" w:after="20"/>
            </w:pPr>
          </w:p>
        </w:tc>
        <w:tc>
          <w:tcPr>
            <w:tcW w:w="6059" w:type="dxa"/>
            <w:gridSpan w:val="3"/>
            <w:shd w:val="clear" w:color="auto" w:fill="D9E2F3"/>
            <w:vAlign w:val="center"/>
          </w:tcPr>
          <w:p w14:paraId="554658CA" w14:textId="77777777" w:rsidR="00990B14" w:rsidRDefault="00000000">
            <w:pPr>
              <w:keepNext/>
              <w:spacing w:before="20" w:after="20"/>
              <w:jc w:val="both"/>
            </w:pPr>
            <w:r>
              <w:rPr>
                <w:b/>
                <w:bCs/>
                <w:i/>
                <w:iCs/>
                <w:sz w:val="18"/>
                <w:szCs w:val="18"/>
              </w:rPr>
              <w:t xml:space="preserve">Producto 15: </w:t>
            </w:r>
            <w:r>
              <w:rPr>
                <w:sz w:val="18"/>
                <w:szCs w:val="18"/>
              </w:rPr>
              <w:t>Mapa de procesos conceptual</w:t>
            </w:r>
          </w:p>
        </w:tc>
        <w:tc>
          <w:tcPr>
            <w:tcW w:w="1813" w:type="dxa"/>
            <w:shd w:val="clear" w:color="auto" w:fill="D9E2F3"/>
            <w:vAlign w:val="center"/>
          </w:tcPr>
          <w:p w14:paraId="06C92397" w14:textId="77777777" w:rsidR="00990B14" w:rsidRDefault="00000000">
            <w:pPr>
              <w:spacing w:before="20" w:after="20"/>
              <w:jc w:val="center"/>
            </w:pPr>
            <w:r>
              <w:rPr>
                <w:b/>
                <w:bCs/>
                <w:sz w:val="18"/>
                <w:szCs w:val="18"/>
              </w:rPr>
              <w:t>5%</w:t>
            </w:r>
          </w:p>
        </w:tc>
      </w:tr>
      <w:tr w:rsidR="00990B14" w14:paraId="25E8476E" w14:textId="77777777">
        <w:trPr>
          <w:cantSplit/>
          <w:jc w:val="center"/>
        </w:trPr>
        <w:tc>
          <w:tcPr>
            <w:tcW w:w="1533" w:type="dxa"/>
            <w:vMerge/>
            <w:shd w:val="clear" w:color="auto" w:fill="4472C4"/>
            <w:vAlign w:val="center"/>
          </w:tcPr>
          <w:p w14:paraId="23C61D97" w14:textId="77777777" w:rsidR="00990B14" w:rsidRDefault="00990B14">
            <w:pPr>
              <w:spacing w:before="20" w:after="20"/>
            </w:pPr>
          </w:p>
        </w:tc>
        <w:tc>
          <w:tcPr>
            <w:tcW w:w="1812" w:type="dxa"/>
            <w:shd w:val="clear" w:color="auto" w:fill="4472C4"/>
            <w:vAlign w:val="center"/>
          </w:tcPr>
          <w:p w14:paraId="0269E953" w14:textId="77777777" w:rsidR="00990B14" w:rsidRDefault="00000000">
            <w:pPr>
              <w:keepNext/>
              <w:spacing w:before="20" w:after="20"/>
              <w:jc w:val="center"/>
            </w:pPr>
            <w:r>
              <w:rPr>
                <w:b/>
                <w:bCs/>
                <w:i/>
                <w:iCs/>
                <w:color w:val="FFFFFF"/>
                <w:sz w:val="18"/>
                <w:szCs w:val="18"/>
              </w:rPr>
              <w:t>Criterio</w:t>
            </w:r>
          </w:p>
        </w:tc>
        <w:tc>
          <w:tcPr>
            <w:tcW w:w="2435" w:type="dxa"/>
            <w:shd w:val="clear" w:color="auto" w:fill="4472C4"/>
            <w:vAlign w:val="center"/>
          </w:tcPr>
          <w:p w14:paraId="3428C2DC" w14:textId="77777777" w:rsidR="00990B14" w:rsidRDefault="00000000">
            <w:pPr>
              <w:keepNext/>
              <w:spacing w:before="20" w:after="20"/>
              <w:jc w:val="center"/>
            </w:pPr>
            <w:r>
              <w:rPr>
                <w:b/>
                <w:bCs/>
                <w:i/>
                <w:iCs/>
                <w:color w:val="FFFFFF"/>
                <w:sz w:val="18"/>
                <w:szCs w:val="18"/>
              </w:rPr>
              <w:t>Insuficiente (1–50)</w:t>
            </w:r>
          </w:p>
        </w:tc>
        <w:tc>
          <w:tcPr>
            <w:tcW w:w="1812" w:type="dxa"/>
            <w:shd w:val="clear" w:color="auto" w:fill="4472C4"/>
            <w:vAlign w:val="center"/>
          </w:tcPr>
          <w:p w14:paraId="1AC84420" w14:textId="77777777" w:rsidR="00990B14" w:rsidRDefault="00000000">
            <w:pPr>
              <w:keepNext/>
              <w:spacing w:before="20" w:after="20"/>
              <w:jc w:val="center"/>
            </w:pPr>
            <w:r>
              <w:rPr>
                <w:b/>
                <w:bCs/>
                <w:i/>
                <w:iCs/>
                <w:color w:val="FFFFFF"/>
                <w:sz w:val="18"/>
                <w:szCs w:val="18"/>
              </w:rPr>
              <w:t>Suficiente (51–80)</w:t>
            </w:r>
          </w:p>
        </w:tc>
        <w:tc>
          <w:tcPr>
            <w:tcW w:w="1813" w:type="dxa"/>
            <w:shd w:val="clear" w:color="auto" w:fill="4472C4"/>
            <w:vAlign w:val="center"/>
          </w:tcPr>
          <w:p w14:paraId="0FEA2DB6" w14:textId="77777777" w:rsidR="00990B14" w:rsidRDefault="00000000">
            <w:pPr>
              <w:keepNext/>
              <w:spacing w:before="20" w:after="20"/>
              <w:jc w:val="center"/>
            </w:pPr>
            <w:r>
              <w:rPr>
                <w:b/>
                <w:bCs/>
                <w:i/>
                <w:iCs/>
                <w:color w:val="FFFFFF"/>
                <w:sz w:val="18"/>
                <w:szCs w:val="18"/>
              </w:rPr>
              <w:t>Destacado (81–100)</w:t>
            </w:r>
          </w:p>
        </w:tc>
      </w:tr>
      <w:tr w:rsidR="00990B14" w14:paraId="0882C214" w14:textId="77777777">
        <w:trPr>
          <w:cantSplit/>
          <w:jc w:val="center"/>
        </w:trPr>
        <w:tc>
          <w:tcPr>
            <w:tcW w:w="1533" w:type="dxa"/>
            <w:vMerge/>
            <w:shd w:val="clear" w:color="auto" w:fill="4472C4"/>
            <w:vAlign w:val="center"/>
          </w:tcPr>
          <w:p w14:paraId="5B091629" w14:textId="77777777" w:rsidR="00990B14" w:rsidRDefault="00990B14">
            <w:pPr>
              <w:spacing w:before="20" w:after="20"/>
            </w:pPr>
          </w:p>
        </w:tc>
        <w:tc>
          <w:tcPr>
            <w:tcW w:w="1812" w:type="dxa"/>
            <w:shd w:val="clear" w:color="auto" w:fill="D9E2F3"/>
            <w:vAlign w:val="center"/>
          </w:tcPr>
          <w:p w14:paraId="06A3FC83" w14:textId="77777777" w:rsidR="00990B14" w:rsidRDefault="00000000">
            <w:pPr>
              <w:spacing w:before="20" w:after="20"/>
              <w:jc w:val="both"/>
            </w:pPr>
            <w:r>
              <w:rPr>
                <w:sz w:val="18"/>
                <w:szCs w:val="18"/>
              </w:rPr>
              <w:t>Identificación de procesos</w:t>
            </w:r>
          </w:p>
        </w:tc>
        <w:tc>
          <w:tcPr>
            <w:tcW w:w="2435" w:type="dxa"/>
            <w:shd w:val="clear" w:color="auto" w:fill="D9E2F3"/>
            <w:vAlign w:val="center"/>
          </w:tcPr>
          <w:p w14:paraId="5C1AEA5B" w14:textId="77777777" w:rsidR="00990B14" w:rsidRDefault="00000000">
            <w:pPr>
              <w:spacing w:before="20" w:after="20"/>
              <w:jc w:val="both"/>
            </w:pPr>
            <w:r>
              <w:rPr>
                <w:sz w:val="18"/>
                <w:szCs w:val="18"/>
              </w:rPr>
              <w:t>Omite procesos financiero-contables.</w:t>
            </w:r>
          </w:p>
        </w:tc>
        <w:tc>
          <w:tcPr>
            <w:tcW w:w="1812" w:type="dxa"/>
            <w:shd w:val="clear" w:color="auto" w:fill="D9E2F3"/>
            <w:vAlign w:val="center"/>
          </w:tcPr>
          <w:p w14:paraId="0F9D8AD1" w14:textId="77777777" w:rsidR="00990B14" w:rsidRDefault="00000000">
            <w:pPr>
              <w:spacing w:before="20" w:after="20"/>
              <w:jc w:val="both"/>
            </w:pPr>
            <w:r>
              <w:rPr>
                <w:sz w:val="18"/>
                <w:szCs w:val="18"/>
              </w:rPr>
              <w:t>Identifica los procesos estratégicos, operativos y de apoyo.</w:t>
            </w:r>
          </w:p>
        </w:tc>
        <w:tc>
          <w:tcPr>
            <w:tcW w:w="1813" w:type="dxa"/>
            <w:shd w:val="clear" w:color="auto" w:fill="D9E2F3"/>
            <w:vAlign w:val="center"/>
          </w:tcPr>
          <w:p w14:paraId="29E31AAA" w14:textId="77777777" w:rsidR="00990B14" w:rsidRDefault="00000000">
            <w:pPr>
              <w:spacing w:before="20" w:after="20"/>
              <w:jc w:val="both"/>
            </w:pPr>
            <w:r>
              <w:rPr>
                <w:sz w:val="18"/>
                <w:szCs w:val="18"/>
              </w:rPr>
              <w:t>Relaciona los procesos con las políticas contables.</w:t>
            </w:r>
          </w:p>
        </w:tc>
      </w:tr>
      <w:tr w:rsidR="00990B14" w14:paraId="3CD25CEE" w14:textId="77777777">
        <w:trPr>
          <w:cantSplit/>
          <w:jc w:val="center"/>
        </w:trPr>
        <w:tc>
          <w:tcPr>
            <w:tcW w:w="1533" w:type="dxa"/>
            <w:vMerge/>
            <w:shd w:val="clear" w:color="auto" w:fill="4472C4"/>
            <w:vAlign w:val="center"/>
          </w:tcPr>
          <w:p w14:paraId="1B5C3656" w14:textId="77777777" w:rsidR="00990B14" w:rsidRDefault="00990B14">
            <w:pPr>
              <w:spacing w:before="20" w:after="20"/>
            </w:pPr>
          </w:p>
        </w:tc>
        <w:tc>
          <w:tcPr>
            <w:tcW w:w="1812" w:type="dxa"/>
            <w:shd w:val="clear" w:color="auto" w:fill="D9E2F3"/>
            <w:vAlign w:val="center"/>
          </w:tcPr>
          <w:p w14:paraId="3B9D3624" w14:textId="77777777" w:rsidR="00990B14" w:rsidRDefault="00000000">
            <w:pPr>
              <w:spacing w:before="20" w:after="20"/>
              <w:jc w:val="both"/>
            </w:pPr>
            <w:r>
              <w:rPr>
                <w:sz w:val="18"/>
                <w:szCs w:val="18"/>
              </w:rPr>
              <w:t>Datos de entrada</w:t>
            </w:r>
          </w:p>
        </w:tc>
        <w:tc>
          <w:tcPr>
            <w:tcW w:w="2435" w:type="dxa"/>
            <w:shd w:val="clear" w:color="auto" w:fill="D9E2F3"/>
            <w:vAlign w:val="center"/>
          </w:tcPr>
          <w:p w14:paraId="1932E610" w14:textId="77777777" w:rsidR="00990B14" w:rsidRDefault="00000000">
            <w:pPr>
              <w:spacing w:before="20" w:after="20"/>
              <w:jc w:val="both"/>
            </w:pPr>
            <w:r>
              <w:rPr>
                <w:sz w:val="18"/>
                <w:szCs w:val="18"/>
              </w:rPr>
              <w:t>No define los datos de entrada.</w:t>
            </w:r>
          </w:p>
        </w:tc>
        <w:tc>
          <w:tcPr>
            <w:tcW w:w="1812" w:type="dxa"/>
            <w:shd w:val="clear" w:color="auto" w:fill="D9E2F3"/>
            <w:vAlign w:val="center"/>
          </w:tcPr>
          <w:p w14:paraId="50B0A544" w14:textId="77777777" w:rsidR="00990B14" w:rsidRDefault="00000000">
            <w:pPr>
              <w:spacing w:before="20" w:after="20"/>
              <w:jc w:val="both"/>
            </w:pPr>
            <w:r>
              <w:rPr>
                <w:sz w:val="18"/>
                <w:szCs w:val="18"/>
              </w:rPr>
              <w:t>Define los datos de entrada de cada proceso.</w:t>
            </w:r>
          </w:p>
        </w:tc>
        <w:tc>
          <w:tcPr>
            <w:tcW w:w="1813" w:type="dxa"/>
            <w:shd w:val="clear" w:color="auto" w:fill="D9E2F3"/>
            <w:vAlign w:val="center"/>
          </w:tcPr>
          <w:p w14:paraId="23C0F70C" w14:textId="77777777" w:rsidR="00990B14" w:rsidRDefault="00000000">
            <w:pPr>
              <w:spacing w:before="20" w:after="20"/>
              <w:jc w:val="both"/>
            </w:pPr>
            <w:r>
              <w:rPr>
                <w:sz w:val="18"/>
                <w:szCs w:val="18"/>
              </w:rPr>
              <w:t>Establece el responsable de cada dato.</w:t>
            </w:r>
          </w:p>
        </w:tc>
      </w:tr>
      <w:tr w:rsidR="00990B14" w14:paraId="47382D7F" w14:textId="77777777">
        <w:trPr>
          <w:cantSplit/>
          <w:jc w:val="center"/>
        </w:trPr>
        <w:tc>
          <w:tcPr>
            <w:tcW w:w="1533" w:type="dxa"/>
            <w:vMerge/>
            <w:shd w:val="clear" w:color="auto" w:fill="4472C4"/>
            <w:vAlign w:val="center"/>
          </w:tcPr>
          <w:p w14:paraId="6D43DA91" w14:textId="77777777" w:rsidR="00990B14" w:rsidRDefault="00990B14">
            <w:pPr>
              <w:spacing w:before="20" w:after="20"/>
            </w:pPr>
          </w:p>
        </w:tc>
        <w:tc>
          <w:tcPr>
            <w:tcW w:w="1812" w:type="dxa"/>
            <w:shd w:val="clear" w:color="auto" w:fill="D9E2F3"/>
            <w:vAlign w:val="center"/>
          </w:tcPr>
          <w:p w14:paraId="5F24F126" w14:textId="77777777" w:rsidR="00990B14" w:rsidRDefault="00000000">
            <w:pPr>
              <w:spacing w:before="20" w:after="20"/>
              <w:jc w:val="both"/>
            </w:pPr>
            <w:r>
              <w:rPr>
                <w:sz w:val="18"/>
                <w:szCs w:val="18"/>
              </w:rPr>
              <w:t>Coherencia del mapa</w:t>
            </w:r>
          </w:p>
        </w:tc>
        <w:tc>
          <w:tcPr>
            <w:tcW w:w="2435" w:type="dxa"/>
            <w:shd w:val="clear" w:color="auto" w:fill="D9E2F3"/>
            <w:vAlign w:val="center"/>
          </w:tcPr>
          <w:p w14:paraId="27441E0A" w14:textId="77777777" w:rsidR="00990B14" w:rsidRDefault="00000000">
            <w:pPr>
              <w:spacing w:before="20" w:after="20"/>
              <w:jc w:val="both"/>
            </w:pPr>
            <w:r>
              <w:rPr>
                <w:sz w:val="18"/>
                <w:szCs w:val="18"/>
              </w:rPr>
              <w:t>El mapa es incoherente.</w:t>
            </w:r>
          </w:p>
        </w:tc>
        <w:tc>
          <w:tcPr>
            <w:tcW w:w="1812" w:type="dxa"/>
            <w:shd w:val="clear" w:color="auto" w:fill="D9E2F3"/>
            <w:vAlign w:val="center"/>
          </w:tcPr>
          <w:p w14:paraId="7B413A4C" w14:textId="77777777" w:rsidR="00990B14" w:rsidRDefault="00000000">
            <w:pPr>
              <w:spacing w:before="20" w:after="20"/>
              <w:jc w:val="both"/>
            </w:pPr>
            <w:r>
              <w:rPr>
                <w:sz w:val="18"/>
                <w:szCs w:val="18"/>
              </w:rPr>
              <w:t>El mapa es coherente y completo.</w:t>
            </w:r>
          </w:p>
        </w:tc>
        <w:tc>
          <w:tcPr>
            <w:tcW w:w="1813" w:type="dxa"/>
            <w:shd w:val="clear" w:color="auto" w:fill="D9E2F3"/>
            <w:vAlign w:val="center"/>
          </w:tcPr>
          <w:p w14:paraId="10667F8E" w14:textId="77777777" w:rsidR="00990B14" w:rsidRDefault="00000000">
            <w:pPr>
              <w:spacing w:before="20" w:after="20"/>
              <w:jc w:val="both"/>
            </w:pPr>
            <w:r>
              <w:rPr>
                <w:sz w:val="18"/>
                <w:szCs w:val="18"/>
              </w:rPr>
              <w:t>Verifica la integridad del flujo entre procesos.</w:t>
            </w:r>
          </w:p>
        </w:tc>
      </w:tr>
      <w:tr w:rsidR="00990B14" w14:paraId="78AA97C5" w14:textId="77777777">
        <w:trPr>
          <w:cantSplit/>
          <w:jc w:val="center"/>
        </w:trPr>
        <w:tc>
          <w:tcPr>
            <w:tcW w:w="1533" w:type="dxa"/>
            <w:vMerge/>
            <w:shd w:val="clear" w:color="auto" w:fill="4472C4"/>
            <w:vAlign w:val="center"/>
          </w:tcPr>
          <w:p w14:paraId="513642D8" w14:textId="77777777" w:rsidR="00990B14" w:rsidRDefault="00990B14">
            <w:pPr>
              <w:spacing w:before="20" w:after="20"/>
            </w:pPr>
          </w:p>
        </w:tc>
        <w:tc>
          <w:tcPr>
            <w:tcW w:w="6059" w:type="dxa"/>
            <w:gridSpan w:val="3"/>
            <w:shd w:val="clear" w:color="auto" w:fill="D9E2F3"/>
            <w:vAlign w:val="center"/>
          </w:tcPr>
          <w:p w14:paraId="29AF2CEA" w14:textId="77777777" w:rsidR="00990B14" w:rsidRDefault="00000000">
            <w:pPr>
              <w:keepNext/>
              <w:spacing w:before="20" w:after="20"/>
              <w:jc w:val="both"/>
            </w:pPr>
            <w:r>
              <w:rPr>
                <w:b/>
                <w:bCs/>
                <w:i/>
                <w:iCs/>
                <w:sz w:val="18"/>
                <w:szCs w:val="18"/>
              </w:rPr>
              <w:t xml:space="preserve">Producto 16: </w:t>
            </w:r>
            <w:r>
              <w:rPr>
                <w:sz w:val="18"/>
                <w:szCs w:val="18"/>
              </w:rPr>
              <w:t>Manual contable con informes, indicadores y controles de aplicación</w:t>
            </w:r>
          </w:p>
        </w:tc>
        <w:tc>
          <w:tcPr>
            <w:tcW w:w="1813" w:type="dxa"/>
            <w:shd w:val="clear" w:color="auto" w:fill="D9E2F3"/>
            <w:vAlign w:val="center"/>
          </w:tcPr>
          <w:p w14:paraId="405ADBAF" w14:textId="77777777" w:rsidR="00990B14" w:rsidRDefault="00000000">
            <w:pPr>
              <w:spacing w:before="20" w:after="20"/>
              <w:jc w:val="center"/>
            </w:pPr>
            <w:r>
              <w:rPr>
                <w:b/>
                <w:bCs/>
                <w:sz w:val="18"/>
                <w:szCs w:val="18"/>
              </w:rPr>
              <w:t>5%</w:t>
            </w:r>
          </w:p>
        </w:tc>
      </w:tr>
      <w:tr w:rsidR="00990B14" w14:paraId="2C027A2B" w14:textId="77777777">
        <w:trPr>
          <w:cantSplit/>
          <w:jc w:val="center"/>
        </w:trPr>
        <w:tc>
          <w:tcPr>
            <w:tcW w:w="1533" w:type="dxa"/>
            <w:vMerge/>
            <w:shd w:val="clear" w:color="auto" w:fill="4472C4"/>
            <w:vAlign w:val="center"/>
          </w:tcPr>
          <w:p w14:paraId="438D608B" w14:textId="77777777" w:rsidR="00990B14" w:rsidRDefault="00990B14">
            <w:pPr>
              <w:spacing w:before="20" w:after="20"/>
            </w:pPr>
          </w:p>
        </w:tc>
        <w:tc>
          <w:tcPr>
            <w:tcW w:w="1812" w:type="dxa"/>
            <w:shd w:val="clear" w:color="auto" w:fill="4472C4"/>
            <w:vAlign w:val="center"/>
          </w:tcPr>
          <w:p w14:paraId="21BD97A1" w14:textId="77777777" w:rsidR="00990B14" w:rsidRDefault="00000000">
            <w:pPr>
              <w:keepNext/>
              <w:spacing w:before="20" w:after="20"/>
              <w:jc w:val="center"/>
            </w:pPr>
            <w:r>
              <w:rPr>
                <w:b/>
                <w:bCs/>
                <w:i/>
                <w:iCs/>
                <w:color w:val="FFFFFF"/>
                <w:sz w:val="18"/>
                <w:szCs w:val="18"/>
              </w:rPr>
              <w:t>Criterio</w:t>
            </w:r>
          </w:p>
        </w:tc>
        <w:tc>
          <w:tcPr>
            <w:tcW w:w="2435" w:type="dxa"/>
            <w:shd w:val="clear" w:color="auto" w:fill="4472C4"/>
            <w:vAlign w:val="center"/>
          </w:tcPr>
          <w:p w14:paraId="016EBAE2" w14:textId="77777777" w:rsidR="00990B14" w:rsidRDefault="00000000">
            <w:pPr>
              <w:keepNext/>
              <w:spacing w:before="20" w:after="20"/>
              <w:jc w:val="center"/>
            </w:pPr>
            <w:r>
              <w:rPr>
                <w:b/>
                <w:bCs/>
                <w:i/>
                <w:iCs/>
                <w:color w:val="FFFFFF"/>
                <w:sz w:val="18"/>
                <w:szCs w:val="18"/>
              </w:rPr>
              <w:t>Insuficiente (1–50)</w:t>
            </w:r>
          </w:p>
        </w:tc>
        <w:tc>
          <w:tcPr>
            <w:tcW w:w="1812" w:type="dxa"/>
            <w:shd w:val="clear" w:color="auto" w:fill="4472C4"/>
            <w:vAlign w:val="center"/>
          </w:tcPr>
          <w:p w14:paraId="100416D8" w14:textId="77777777" w:rsidR="00990B14" w:rsidRDefault="00000000">
            <w:pPr>
              <w:keepNext/>
              <w:spacing w:before="20" w:after="20"/>
              <w:jc w:val="center"/>
            </w:pPr>
            <w:r>
              <w:rPr>
                <w:b/>
                <w:bCs/>
                <w:i/>
                <w:iCs/>
                <w:color w:val="FFFFFF"/>
                <w:sz w:val="18"/>
                <w:szCs w:val="18"/>
              </w:rPr>
              <w:t>Suficiente (51–80)</w:t>
            </w:r>
          </w:p>
        </w:tc>
        <w:tc>
          <w:tcPr>
            <w:tcW w:w="1813" w:type="dxa"/>
            <w:shd w:val="clear" w:color="auto" w:fill="4472C4"/>
            <w:vAlign w:val="center"/>
          </w:tcPr>
          <w:p w14:paraId="07ED0C6E" w14:textId="77777777" w:rsidR="00990B14" w:rsidRDefault="00000000">
            <w:pPr>
              <w:keepNext/>
              <w:spacing w:before="20" w:after="20"/>
              <w:jc w:val="center"/>
            </w:pPr>
            <w:r>
              <w:rPr>
                <w:b/>
                <w:bCs/>
                <w:i/>
                <w:iCs/>
                <w:color w:val="FFFFFF"/>
                <w:sz w:val="18"/>
                <w:szCs w:val="18"/>
              </w:rPr>
              <w:t>Destacado (81–100)</w:t>
            </w:r>
          </w:p>
        </w:tc>
      </w:tr>
      <w:tr w:rsidR="00990B14" w14:paraId="2D511AE3" w14:textId="77777777">
        <w:trPr>
          <w:cantSplit/>
          <w:jc w:val="center"/>
        </w:trPr>
        <w:tc>
          <w:tcPr>
            <w:tcW w:w="1533" w:type="dxa"/>
            <w:vMerge/>
            <w:shd w:val="clear" w:color="auto" w:fill="4472C4"/>
            <w:vAlign w:val="center"/>
          </w:tcPr>
          <w:p w14:paraId="7615872A" w14:textId="77777777" w:rsidR="00990B14" w:rsidRDefault="00990B14">
            <w:pPr>
              <w:spacing w:before="20" w:after="20"/>
            </w:pPr>
          </w:p>
        </w:tc>
        <w:tc>
          <w:tcPr>
            <w:tcW w:w="1812" w:type="dxa"/>
            <w:shd w:val="clear" w:color="auto" w:fill="D9E2F3"/>
            <w:vAlign w:val="center"/>
          </w:tcPr>
          <w:p w14:paraId="32EF6004" w14:textId="77777777" w:rsidR="00990B14" w:rsidRDefault="00000000">
            <w:pPr>
              <w:spacing w:before="20" w:after="20"/>
              <w:jc w:val="both"/>
            </w:pPr>
            <w:r>
              <w:rPr>
                <w:sz w:val="18"/>
                <w:szCs w:val="18"/>
              </w:rPr>
              <w:t>Informes e indicadores</w:t>
            </w:r>
          </w:p>
        </w:tc>
        <w:tc>
          <w:tcPr>
            <w:tcW w:w="2435" w:type="dxa"/>
            <w:shd w:val="clear" w:color="auto" w:fill="D9E2F3"/>
            <w:vAlign w:val="center"/>
          </w:tcPr>
          <w:p w14:paraId="24433E2A" w14:textId="77777777" w:rsidR="00990B14" w:rsidRDefault="00000000">
            <w:pPr>
              <w:spacing w:before="20" w:after="20"/>
              <w:jc w:val="both"/>
            </w:pPr>
            <w:r>
              <w:rPr>
                <w:sz w:val="18"/>
                <w:szCs w:val="18"/>
              </w:rPr>
              <w:t>Omite informes gerenciales.</w:t>
            </w:r>
          </w:p>
        </w:tc>
        <w:tc>
          <w:tcPr>
            <w:tcW w:w="1812" w:type="dxa"/>
            <w:shd w:val="clear" w:color="auto" w:fill="D9E2F3"/>
            <w:vAlign w:val="center"/>
          </w:tcPr>
          <w:p w14:paraId="42B49A63" w14:textId="77777777" w:rsidR="00990B14" w:rsidRDefault="00000000">
            <w:pPr>
              <w:spacing w:before="20" w:after="20"/>
              <w:jc w:val="both"/>
            </w:pPr>
            <w:r>
              <w:rPr>
                <w:sz w:val="18"/>
                <w:szCs w:val="18"/>
              </w:rPr>
              <w:t>Define informes financieros e indicadores con su periodicidad.</w:t>
            </w:r>
          </w:p>
        </w:tc>
        <w:tc>
          <w:tcPr>
            <w:tcW w:w="1813" w:type="dxa"/>
            <w:shd w:val="clear" w:color="auto" w:fill="D9E2F3"/>
            <w:vAlign w:val="center"/>
          </w:tcPr>
          <w:p w14:paraId="2593AC98" w14:textId="77777777" w:rsidR="00990B14" w:rsidRDefault="00000000">
            <w:pPr>
              <w:spacing w:before="20" w:after="20"/>
              <w:jc w:val="both"/>
            </w:pPr>
            <w:r>
              <w:rPr>
                <w:sz w:val="18"/>
                <w:szCs w:val="18"/>
              </w:rPr>
              <w:t>Asigna fuente y responsable a cada indicador.</w:t>
            </w:r>
          </w:p>
        </w:tc>
      </w:tr>
      <w:tr w:rsidR="00990B14" w14:paraId="1BCC4A3C" w14:textId="77777777">
        <w:trPr>
          <w:cantSplit/>
          <w:jc w:val="center"/>
        </w:trPr>
        <w:tc>
          <w:tcPr>
            <w:tcW w:w="1533" w:type="dxa"/>
            <w:vMerge/>
            <w:shd w:val="clear" w:color="auto" w:fill="4472C4"/>
            <w:vAlign w:val="center"/>
          </w:tcPr>
          <w:p w14:paraId="1B813DE0" w14:textId="77777777" w:rsidR="00990B14" w:rsidRDefault="00990B14">
            <w:pPr>
              <w:spacing w:before="20" w:after="20"/>
            </w:pPr>
          </w:p>
        </w:tc>
        <w:tc>
          <w:tcPr>
            <w:tcW w:w="1812" w:type="dxa"/>
            <w:shd w:val="clear" w:color="auto" w:fill="D9E2F3"/>
            <w:vAlign w:val="center"/>
          </w:tcPr>
          <w:p w14:paraId="482F71D2" w14:textId="77777777" w:rsidR="00990B14" w:rsidRDefault="00000000">
            <w:pPr>
              <w:spacing w:before="20" w:after="20"/>
              <w:jc w:val="both"/>
            </w:pPr>
            <w:r>
              <w:rPr>
                <w:sz w:val="18"/>
                <w:szCs w:val="18"/>
              </w:rPr>
              <w:t>Controles de aplicación</w:t>
            </w:r>
          </w:p>
        </w:tc>
        <w:tc>
          <w:tcPr>
            <w:tcW w:w="2435" w:type="dxa"/>
            <w:shd w:val="clear" w:color="auto" w:fill="D9E2F3"/>
            <w:vAlign w:val="center"/>
          </w:tcPr>
          <w:p w14:paraId="5F2E6F03" w14:textId="77777777" w:rsidR="00990B14" w:rsidRDefault="00000000">
            <w:pPr>
              <w:spacing w:before="20" w:after="20"/>
              <w:jc w:val="both"/>
            </w:pPr>
            <w:r>
              <w:rPr>
                <w:sz w:val="18"/>
                <w:szCs w:val="18"/>
              </w:rPr>
              <w:t>No define controles.</w:t>
            </w:r>
          </w:p>
        </w:tc>
        <w:tc>
          <w:tcPr>
            <w:tcW w:w="1812" w:type="dxa"/>
            <w:shd w:val="clear" w:color="auto" w:fill="D9E2F3"/>
            <w:vAlign w:val="center"/>
          </w:tcPr>
          <w:p w14:paraId="1365AB3F" w14:textId="77777777" w:rsidR="00990B14" w:rsidRDefault="00000000">
            <w:pPr>
              <w:spacing w:before="20" w:after="20"/>
              <w:jc w:val="both"/>
            </w:pPr>
            <w:r>
              <w:rPr>
                <w:sz w:val="18"/>
                <w:szCs w:val="18"/>
              </w:rPr>
              <w:t>Define validaciones, campos obligatorios y cierres de periodo.</w:t>
            </w:r>
          </w:p>
        </w:tc>
        <w:tc>
          <w:tcPr>
            <w:tcW w:w="1813" w:type="dxa"/>
            <w:shd w:val="clear" w:color="auto" w:fill="D9E2F3"/>
            <w:vAlign w:val="center"/>
          </w:tcPr>
          <w:p w14:paraId="3E674B9B" w14:textId="77777777" w:rsidR="00990B14" w:rsidRDefault="00000000">
            <w:pPr>
              <w:spacing w:before="20" w:after="20"/>
              <w:jc w:val="both"/>
            </w:pPr>
            <w:r>
              <w:rPr>
                <w:sz w:val="18"/>
                <w:szCs w:val="18"/>
              </w:rPr>
              <w:t>Incluye pistas de auditoría en cada proceso.</w:t>
            </w:r>
          </w:p>
        </w:tc>
      </w:tr>
      <w:tr w:rsidR="00990B14" w14:paraId="2A6EB4A7" w14:textId="77777777">
        <w:trPr>
          <w:cantSplit/>
          <w:jc w:val="center"/>
        </w:trPr>
        <w:tc>
          <w:tcPr>
            <w:tcW w:w="1533" w:type="dxa"/>
            <w:vMerge/>
            <w:shd w:val="clear" w:color="auto" w:fill="4472C4"/>
            <w:vAlign w:val="center"/>
          </w:tcPr>
          <w:p w14:paraId="074899DF" w14:textId="77777777" w:rsidR="00990B14" w:rsidRDefault="00990B14">
            <w:pPr>
              <w:spacing w:before="20" w:after="20"/>
            </w:pPr>
          </w:p>
        </w:tc>
        <w:tc>
          <w:tcPr>
            <w:tcW w:w="1812" w:type="dxa"/>
            <w:shd w:val="clear" w:color="auto" w:fill="D9E2F3"/>
            <w:vAlign w:val="center"/>
          </w:tcPr>
          <w:p w14:paraId="0743AABA" w14:textId="77777777" w:rsidR="00990B14" w:rsidRDefault="00000000">
            <w:pPr>
              <w:spacing w:before="20" w:after="20"/>
              <w:jc w:val="both"/>
            </w:pPr>
            <w:r>
              <w:rPr>
                <w:sz w:val="18"/>
                <w:szCs w:val="18"/>
              </w:rPr>
              <w:t>Presentación del manual</w:t>
            </w:r>
          </w:p>
        </w:tc>
        <w:tc>
          <w:tcPr>
            <w:tcW w:w="2435" w:type="dxa"/>
            <w:shd w:val="clear" w:color="auto" w:fill="D9E2F3"/>
            <w:vAlign w:val="center"/>
          </w:tcPr>
          <w:p w14:paraId="49F94336" w14:textId="77777777" w:rsidR="00990B14" w:rsidRDefault="00000000">
            <w:pPr>
              <w:spacing w:before="20" w:after="20"/>
              <w:jc w:val="both"/>
            </w:pPr>
            <w:r>
              <w:rPr>
                <w:sz w:val="18"/>
                <w:szCs w:val="18"/>
              </w:rPr>
              <w:t>El manual es desordenado.</w:t>
            </w:r>
          </w:p>
        </w:tc>
        <w:tc>
          <w:tcPr>
            <w:tcW w:w="1812" w:type="dxa"/>
            <w:shd w:val="clear" w:color="auto" w:fill="D9E2F3"/>
            <w:vAlign w:val="center"/>
          </w:tcPr>
          <w:p w14:paraId="7A945DCF" w14:textId="77777777" w:rsidR="00990B14" w:rsidRDefault="00000000">
            <w:pPr>
              <w:spacing w:before="20" w:after="20"/>
              <w:jc w:val="both"/>
            </w:pPr>
            <w:r>
              <w:rPr>
                <w:sz w:val="18"/>
                <w:szCs w:val="18"/>
              </w:rPr>
              <w:t>El manual es claro y completo.</w:t>
            </w:r>
          </w:p>
        </w:tc>
        <w:tc>
          <w:tcPr>
            <w:tcW w:w="1813" w:type="dxa"/>
            <w:shd w:val="clear" w:color="auto" w:fill="D9E2F3"/>
            <w:vAlign w:val="center"/>
          </w:tcPr>
          <w:p w14:paraId="28DFBD52" w14:textId="77777777" w:rsidR="00990B14" w:rsidRDefault="00000000">
            <w:pPr>
              <w:spacing w:before="20" w:after="20"/>
              <w:jc w:val="both"/>
            </w:pPr>
            <w:r>
              <w:rPr>
                <w:sz w:val="18"/>
                <w:szCs w:val="18"/>
              </w:rPr>
              <w:t>El manual es aplicable por un usuario nuevo.</w:t>
            </w:r>
          </w:p>
        </w:tc>
      </w:tr>
      <w:tr w:rsidR="00990B14" w14:paraId="0CB3CF02" w14:textId="77777777">
        <w:trPr>
          <w:cantSplit/>
          <w:jc w:val="center"/>
        </w:trPr>
        <w:tc>
          <w:tcPr>
            <w:tcW w:w="1533" w:type="dxa"/>
            <w:vMerge/>
            <w:shd w:val="clear" w:color="auto" w:fill="4472C4"/>
            <w:vAlign w:val="center"/>
          </w:tcPr>
          <w:p w14:paraId="7415378B" w14:textId="77777777" w:rsidR="00990B14" w:rsidRDefault="00990B14">
            <w:pPr>
              <w:spacing w:before="20" w:after="20"/>
            </w:pPr>
          </w:p>
        </w:tc>
        <w:tc>
          <w:tcPr>
            <w:tcW w:w="6059" w:type="dxa"/>
            <w:gridSpan w:val="3"/>
            <w:shd w:val="clear" w:color="auto" w:fill="D9E2F3"/>
            <w:vAlign w:val="center"/>
          </w:tcPr>
          <w:p w14:paraId="6D00B745" w14:textId="77777777" w:rsidR="00990B14" w:rsidRDefault="00000000">
            <w:pPr>
              <w:keepNext/>
              <w:spacing w:before="20" w:after="20"/>
              <w:jc w:val="both"/>
            </w:pPr>
            <w:r>
              <w:rPr>
                <w:b/>
                <w:bCs/>
                <w:i/>
                <w:iCs/>
                <w:sz w:val="18"/>
                <w:szCs w:val="18"/>
              </w:rPr>
              <w:t xml:space="preserve">Producto 17: </w:t>
            </w:r>
            <w:r>
              <w:rPr>
                <w:sz w:val="18"/>
                <w:szCs w:val="18"/>
              </w:rPr>
              <w:t>Manual contable con jerarquía de documentos</w:t>
            </w:r>
          </w:p>
        </w:tc>
        <w:tc>
          <w:tcPr>
            <w:tcW w:w="1813" w:type="dxa"/>
            <w:shd w:val="clear" w:color="auto" w:fill="D9E2F3"/>
            <w:vAlign w:val="center"/>
          </w:tcPr>
          <w:p w14:paraId="4F83C1EF" w14:textId="77777777" w:rsidR="00990B14" w:rsidRDefault="00000000">
            <w:pPr>
              <w:spacing w:before="20" w:after="20"/>
              <w:jc w:val="center"/>
            </w:pPr>
            <w:r>
              <w:rPr>
                <w:b/>
                <w:bCs/>
                <w:sz w:val="18"/>
                <w:szCs w:val="18"/>
              </w:rPr>
              <w:t>8%</w:t>
            </w:r>
          </w:p>
        </w:tc>
      </w:tr>
      <w:tr w:rsidR="00990B14" w14:paraId="4CDF36FC" w14:textId="77777777">
        <w:trPr>
          <w:cantSplit/>
          <w:jc w:val="center"/>
        </w:trPr>
        <w:tc>
          <w:tcPr>
            <w:tcW w:w="1533" w:type="dxa"/>
            <w:vMerge/>
            <w:shd w:val="clear" w:color="auto" w:fill="4472C4"/>
            <w:vAlign w:val="center"/>
          </w:tcPr>
          <w:p w14:paraId="691949C1" w14:textId="77777777" w:rsidR="00990B14" w:rsidRDefault="00990B14">
            <w:pPr>
              <w:spacing w:before="20" w:after="20"/>
            </w:pPr>
          </w:p>
        </w:tc>
        <w:tc>
          <w:tcPr>
            <w:tcW w:w="1812" w:type="dxa"/>
            <w:shd w:val="clear" w:color="auto" w:fill="4472C4"/>
            <w:vAlign w:val="center"/>
          </w:tcPr>
          <w:p w14:paraId="0A2F5CA4" w14:textId="77777777" w:rsidR="00990B14" w:rsidRDefault="00000000">
            <w:pPr>
              <w:keepNext/>
              <w:spacing w:before="20" w:after="20"/>
              <w:jc w:val="center"/>
            </w:pPr>
            <w:r>
              <w:rPr>
                <w:b/>
                <w:bCs/>
                <w:i/>
                <w:iCs/>
                <w:color w:val="FFFFFF"/>
                <w:sz w:val="18"/>
                <w:szCs w:val="18"/>
              </w:rPr>
              <w:t>Criterio</w:t>
            </w:r>
          </w:p>
        </w:tc>
        <w:tc>
          <w:tcPr>
            <w:tcW w:w="2435" w:type="dxa"/>
            <w:shd w:val="clear" w:color="auto" w:fill="4472C4"/>
            <w:vAlign w:val="center"/>
          </w:tcPr>
          <w:p w14:paraId="5601A5CA" w14:textId="77777777" w:rsidR="00990B14" w:rsidRDefault="00000000">
            <w:pPr>
              <w:keepNext/>
              <w:spacing w:before="20" w:after="20"/>
              <w:jc w:val="center"/>
            </w:pPr>
            <w:r>
              <w:rPr>
                <w:b/>
                <w:bCs/>
                <w:i/>
                <w:iCs/>
                <w:color w:val="FFFFFF"/>
                <w:sz w:val="18"/>
                <w:szCs w:val="18"/>
              </w:rPr>
              <w:t>Insuficiente (1–50)</w:t>
            </w:r>
          </w:p>
        </w:tc>
        <w:tc>
          <w:tcPr>
            <w:tcW w:w="1812" w:type="dxa"/>
            <w:shd w:val="clear" w:color="auto" w:fill="4472C4"/>
            <w:vAlign w:val="center"/>
          </w:tcPr>
          <w:p w14:paraId="184228A7" w14:textId="77777777" w:rsidR="00990B14" w:rsidRDefault="00000000">
            <w:pPr>
              <w:keepNext/>
              <w:spacing w:before="20" w:after="20"/>
              <w:jc w:val="center"/>
            </w:pPr>
            <w:r>
              <w:rPr>
                <w:b/>
                <w:bCs/>
                <w:i/>
                <w:iCs/>
                <w:color w:val="FFFFFF"/>
                <w:sz w:val="18"/>
                <w:szCs w:val="18"/>
              </w:rPr>
              <w:t>Suficiente (51–80)</w:t>
            </w:r>
          </w:p>
        </w:tc>
        <w:tc>
          <w:tcPr>
            <w:tcW w:w="1813" w:type="dxa"/>
            <w:shd w:val="clear" w:color="auto" w:fill="4472C4"/>
            <w:vAlign w:val="center"/>
          </w:tcPr>
          <w:p w14:paraId="3D1E4238" w14:textId="77777777" w:rsidR="00990B14" w:rsidRDefault="00000000">
            <w:pPr>
              <w:keepNext/>
              <w:spacing w:before="20" w:after="20"/>
              <w:jc w:val="center"/>
            </w:pPr>
            <w:r>
              <w:rPr>
                <w:b/>
                <w:bCs/>
                <w:i/>
                <w:iCs/>
                <w:color w:val="FFFFFF"/>
                <w:sz w:val="18"/>
                <w:szCs w:val="18"/>
              </w:rPr>
              <w:t>Destacado (81–100)</w:t>
            </w:r>
          </w:p>
        </w:tc>
      </w:tr>
      <w:tr w:rsidR="00990B14" w14:paraId="7E64B25C" w14:textId="77777777">
        <w:trPr>
          <w:cantSplit/>
          <w:jc w:val="center"/>
        </w:trPr>
        <w:tc>
          <w:tcPr>
            <w:tcW w:w="1533" w:type="dxa"/>
            <w:vMerge/>
            <w:shd w:val="clear" w:color="auto" w:fill="4472C4"/>
            <w:vAlign w:val="center"/>
          </w:tcPr>
          <w:p w14:paraId="2A4D36D1" w14:textId="77777777" w:rsidR="00990B14" w:rsidRDefault="00990B14">
            <w:pPr>
              <w:spacing w:before="20" w:after="20"/>
            </w:pPr>
          </w:p>
        </w:tc>
        <w:tc>
          <w:tcPr>
            <w:tcW w:w="1812" w:type="dxa"/>
            <w:shd w:val="clear" w:color="auto" w:fill="D9E2F3"/>
            <w:vAlign w:val="center"/>
          </w:tcPr>
          <w:p w14:paraId="6F3CBE86" w14:textId="77777777" w:rsidR="00990B14" w:rsidRDefault="00000000">
            <w:pPr>
              <w:spacing w:before="20" w:after="20"/>
              <w:jc w:val="both"/>
            </w:pPr>
            <w:r>
              <w:rPr>
                <w:sz w:val="18"/>
                <w:szCs w:val="18"/>
              </w:rPr>
              <w:t>Contenidos mínimos</w:t>
            </w:r>
          </w:p>
        </w:tc>
        <w:tc>
          <w:tcPr>
            <w:tcW w:w="2435" w:type="dxa"/>
            <w:shd w:val="clear" w:color="auto" w:fill="D9E2F3"/>
            <w:vAlign w:val="center"/>
          </w:tcPr>
          <w:p w14:paraId="08660947" w14:textId="77777777" w:rsidR="00990B14" w:rsidRDefault="00000000">
            <w:pPr>
              <w:spacing w:before="20" w:after="20"/>
              <w:jc w:val="both"/>
            </w:pPr>
            <w:r>
              <w:rPr>
                <w:sz w:val="18"/>
                <w:szCs w:val="18"/>
              </w:rPr>
              <w:t>Omite contenidos mínimos.</w:t>
            </w:r>
          </w:p>
        </w:tc>
        <w:tc>
          <w:tcPr>
            <w:tcW w:w="1812" w:type="dxa"/>
            <w:shd w:val="clear" w:color="auto" w:fill="D9E2F3"/>
            <w:vAlign w:val="center"/>
          </w:tcPr>
          <w:p w14:paraId="4D7EA02A" w14:textId="77777777" w:rsidR="00990B14" w:rsidRDefault="00000000">
            <w:pPr>
              <w:spacing w:before="20" w:after="20"/>
              <w:jc w:val="both"/>
            </w:pPr>
            <w:r>
              <w:rPr>
                <w:sz w:val="18"/>
                <w:szCs w:val="18"/>
              </w:rPr>
              <w:t>Incluye todos los contenidos mínimos del manual.</w:t>
            </w:r>
          </w:p>
        </w:tc>
        <w:tc>
          <w:tcPr>
            <w:tcW w:w="1813" w:type="dxa"/>
            <w:shd w:val="clear" w:color="auto" w:fill="D9E2F3"/>
            <w:vAlign w:val="center"/>
          </w:tcPr>
          <w:p w14:paraId="0DD34E04" w14:textId="77777777" w:rsidR="00990B14" w:rsidRDefault="00000000">
            <w:pPr>
              <w:spacing w:before="20" w:after="20"/>
              <w:jc w:val="both"/>
            </w:pPr>
            <w:r>
              <w:rPr>
                <w:sz w:val="18"/>
                <w:szCs w:val="18"/>
              </w:rPr>
              <w:t>Adapta los contenidos a la actividad de la empresa.</w:t>
            </w:r>
          </w:p>
        </w:tc>
      </w:tr>
      <w:tr w:rsidR="00990B14" w14:paraId="23AD4183" w14:textId="77777777">
        <w:trPr>
          <w:cantSplit/>
          <w:jc w:val="center"/>
        </w:trPr>
        <w:tc>
          <w:tcPr>
            <w:tcW w:w="1533" w:type="dxa"/>
            <w:vMerge/>
            <w:shd w:val="clear" w:color="auto" w:fill="4472C4"/>
            <w:vAlign w:val="center"/>
          </w:tcPr>
          <w:p w14:paraId="781B7B7D" w14:textId="77777777" w:rsidR="00990B14" w:rsidRDefault="00990B14">
            <w:pPr>
              <w:spacing w:before="20" w:after="20"/>
            </w:pPr>
          </w:p>
        </w:tc>
        <w:tc>
          <w:tcPr>
            <w:tcW w:w="1812" w:type="dxa"/>
            <w:shd w:val="clear" w:color="auto" w:fill="D9E2F3"/>
            <w:vAlign w:val="center"/>
          </w:tcPr>
          <w:p w14:paraId="515D6538" w14:textId="77777777" w:rsidR="00990B14" w:rsidRDefault="00000000">
            <w:pPr>
              <w:spacing w:before="20" w:after="20"/>
              <w:jc w:val="both"/>
            </w:pPr>
            <w:r>
              <w:rPr>
                <w:sz w:val="18"/>
                <w:szCs w:val="18"/>
              </w:rPr>
              <w:t>Jerarquía documental</w:t>
            </w:r>
          </w:p>
        </w:tc>
        <w:tc>
          <w:tcPr>
            <w:tcW w:w="2435" w:type="dxa"/>
            <w:shd w:val="clear" w:color="auto" w:fill="D9E2F3"/>
            <w:vAlign w:val="center"/>
          </w:tcPr>
          <w:p w14:paraId="0700E419" w14:textId="77777777" w:rsidR="00990B14" w:rsidRDefault="00000000">
            <w:pPr>
              <w:spacing w:before="20" w:after="20"/>
              <w:jc w:val="both"/>
            </w:pPr>
            <w:r>
              <w:rPr>
                <w:sz w:val="18"/>
                <w:szCs w:val="18"/>
              </w:rPr>
              <w:t>No distingue los niveles de documentos.</w:t>
            </w:r>
          </w:p>
        </w:tc>
        <w:tc>
          <w:tcPr>
            <w:tcW w:w="1812" w:type="dxa"/>
            <w:shd w:val="clear" w:color="auto" w:fill="D9E2F3"/>
            <w:vAlign w:val="center"/>
          </w:tcPr>
          <w:p w14:paraId="483B42E3" w14:textId="77777777" w:rsidR="00990B14" w:rsidRDefault="00000000">
            <w:pPr>
              <w:spacing w:before="20" w:after="20"/>
              <w:jc w:val="both"/>
            </w:pPr>
            <w:r>
              <w:rPr>
                <w:sz w:val="18"/>
                <w:szCs w:val="18"/>
              </w:rPr>
              <w:t>Ordena políticas, reglamentos, guías e instructivos.</w:t>
            </w:r>
          </w:p>
        </w:tc>
        <w:tc>
          <w:tcPr>
            <w:tcW w:w="1813" w:type="dxa"/>
            <w:shd w:val="clear" w:color="auto" w:fill="D9E2F3"/>
            <w:vAlign w:val="center"/>
          </w:tcPr>
          <w:p w14:paraId="2481D3F6" w14:textId="77777777" w:rsidR="00990B14" w:rsidRDefault="00000000">
            <w:pPr>
              <w:spacing w:before="20" w:after="20"/>
              <w:jc w:val="both"/>
            </w:pPr>
            <w:r>
              <w:rPr>
                <w:sz w:val="18"/>
                <w:szCs w:val="18"/>
              </w:rPr>
              <w:t>Justifica la ubicación de cada documento.</w:t>
            </w:r>
          </w:p>
        </w:tc>
      </w:tr>
      <w:tr w:rsidR="00990B14" w14:paraId="0DC9D058" w14:textId="77777777">
        <w:trPr>
          <w:cantSplit/>
          <w:jc w:val="center"/>
        </w:trPr>
        <w:tc>
          <w:tcPr>
            <w:tcW w:w="1533" w:type="dxa"/>
            <w:vMerge/>
            <w:shd w:val="clear" w:color="auto" w:fill="4472C4"/>
            <w:vAlign w:val="center"/>
          </w:tcPr>
          <w:p w14:paraId="48B6FA75" w14:textId="77777777" w:rsidR="00990B14" w:rsidRDefault="00990B14">
            <w:pPr>
              <w:spacing w:before="20" w:after="20"/>
            </w:pPr>
          </w:p>
        </w:tc>
        <w:tc>
          <w:tcPr>
            <w:tcW w:w="1812" w:type="dxa"/>
            <w:shd w:val="clear" w:color="auto" w:fill="D9E2F3"/>
            <w:vAlign w:val="center"/>
          </w:tcPr>
          <w:p w14:paraId="2EB3395D" w14:textId="77777777" w:rsidR="00990B14" w:rsidRDefault="00000000">
            <w:pPr>
              <w:spacing w:before="20" w:after="20"/>
              <w:jc w:val="both"/>
            </w:pPr>
            <w:r>
              <w:rPr>
                <w:sz w:val="18"/>
                <w:szCs w:val="18"/>
              </w:rPr>
              <w:t>Trabajo en equipo</w:t>
            </w:r>
          </w:p>
        </w:tc>
        <w:tc>
          <w:tcPr>
            <w:tcW w:w="2435" w:type="dxa"/>
            <w:shd w:val="clear" w:color="auto" w:fill="D9E2F3"/>
            <w:vAlign w:val="center"/>
          </w:tcPr>
          <w:p w14:paraId="2CAC7CFA" w14:textId="77777777" w:rsidR="00990B14" w:rsidRDefault="00000000">
            <w:pPr>
              <w:spacing w:before="20" w:after="20"/>
              <w:jc w:val="both"/>
            </w:pPr>
            <w:r>
              <w:rPr>
                <w:sz w:val="18"/>
                <w:szCs w:val="18"/>
              </w:rPr>
              <w:t>La participación es desigual.</w:t>
            </w:r>
          </w:p>
        </w:tc>
        <w:tc>
          <w:tcPr>
            <w:tcW w:w="1812" w:type="dxa"/>
            <w:shd w:val="clear" w:color="auto" w:fill="D9E2F3"/>
            <w:vAlign w:val="center"/>
          </w:tcPr>
          <w:p w14:paraId="704354A4" w14:textId="77777777" w:rsidR="00990B14" w:rsidRDefault="00000000">
            <w:pPr>
              <w:spacing w:before="20" w:after="20"/>
              <w:jc w:val="both"/>
            </w:pPr>
            <w:r>
              <w:rPr>
                <w:sz w:val="18"/>
                <w:szCs w:val="18"/>
              </w:rPr>
              <w:t>Todos los integrantes participan.</w:t>
            </w:r>
          </w:p>
        </w:tc>
        <w:tc>
          <w:tcPr>
            <w:tcW w:w="1813" w:type="dxa"/>
            <w:shd w:val="clear" w:color="auto" w:fill="D9E2F3"/>
            <w:vAlign w:val="center"/>
          </w:tcPr>
          <w:p w14:paraId="6212FEE7" w14:textId="77777777" w:rsidR="00990B14" w:rsidRDefault="00000000">
            <w:pPr>
              <w:spacing w:before="20" w:after="20"/>
              <w:jc w:val="both"/>
            </w:pPr>
            <w:r>
              <w:rPr>
                <w:sz w:val="18"/>
                <w:szCs w:val="18"/>
              </w:rPr>
              <w:t>El equipo sustenta el manual ante el curso.</w:t>
            </w:r>
          </w:p>
        </w:tc>
      </w:tr>
      <w:tr w:rsidR="00990B14" w14:paraId="4271EB97" w14:textId="77777777">
        <w:trPr>
          <w:cantSplit/>
          <w:jc w:val="center"/>
        </w:trPr>
        <w:tc>
          <w:tcPr>
            <w:tcW w:w="1533" w:type="dxa"/>
            <w:vMerge/>
            <w:shd w:val="clear" w:color="auto" w:fill="4472C4"/>
            <w:vAlign w:val="center"/>
          </w:tcPr>
          <w:p w14:paraId="124A6D14" w14:textId="77777777" w:rsidR="00990B14" w:rsidRDefault="00990B14">
            <w:pPr>
              <w:spacing w:before="20" w:after="20"/>
            </w:pPr>
          </w:p>
        </w:tc>
        <w:tc>
          <w:tcPr>
            <w:tcW w:w="6059" w:type="dxa"/>
            <w:gridSpan w:val="3"/>
            <w:shd w:val="clear" w:color="auto" w:fill="D9E2F3"/>
            <w:vAlign w:val="center"/>
          </w:tcPr>
          <w:p w14:paraId="4C475914" w14:textId="77777777" w:rsidR="00990B14" w:rsidRDefault="00000000">
            <w:pPr>
              <w:keepNext/>
              <w:spacing w:before="20" w:after="20"/>
              <w:jc w:val="both"/>
            </w:pPr>
            <w:r>
              <w:rPr>
                <w:b/>
                <w:bCs/>
                <w:i/>
                <w:iCs/>
                <w:sz w:val="18"/>
                <w:szCs w:val="18"/>
              </w:rPr>
              <w:t xml:space="preserve">Producto 18: </w:t>
            </w:r>
            <w:r>
              <w:rPr>
                <w:sz w:val="18"/>
                <w:szCs w:val="18"/>
              </w:rPr>
              <w:t>Guía o instructivo de un proceso contable</w:t>
            </w:r>
          </w:p>
        </w:tc>
        <w:tc>
          <w:tcPr>
            <w:tcW w:w="1813" w:type="dxa"/>
            <w:shd w:val="clear" w:color="auto" w:fill="D9E2F3"/>
            <w:vAlign w:val="center"/>
          </w:tcPr>
          <w:p w14:paraId="683132AC" w14:textId="77777777" w:rsidR="00990B14" w:rsidRDefault="00000000">
            <w:pPr>
              <w:spacing w:before="20" w:after="20"/>
              <w:jc w:val="center"/>
            </w:pPr>
            <w:r>
              <w:rPr>
                <w:b/>
                <w:bCs/>
                <w:sz w:val="18"/>
                <w:szCs w:val="18"/>
              </w:rPr>
              <w:t>5%</w:t>
            </w:r>
          </w:p>
        </w:tc>
      </w:tr>
      <w:tr w:rsidR="00990B14" w14:paraId="566F7EEE" w14:textId="77777777">
        <w:trPr>
          <w:cantSplit/>
          <w:jc w:val="center"/>
        </w:trPr>
        <w:tc>
          <w:tcPr>
            <w:tcW w:w="1533" w:type="dxa"/>
            <w:vMerge/>
            <w:shd w:val="clear" w:color="auto" w:fill="4472C4"/>
            <w:vAlign w:val="center"/>
          </w:tcPr>
          <w:p w14:paraId="2767EA68" w14:textId="77777777" w:rsidR="00990B14" w:rsidRDefault="00990B14">
            <w:pPr>
              <w:spacing w:before="20" w:after="20"/>
            </w:pPr>
          </w:p>
        </w:tc>
        <w:tc>
          <w:tcPr>
            <w:tcW w:w="1812" w:type="dxa"/>
            <w:shd w:val="clear" w:color="auto" w:fill="4472C4"/>
            <w:vAlign w:val="center"/>
          </w:tcPr>
          <w:p w14:paraId="5898567F" w14:textId="77777777" w:rsidR="00990B14" w:rsidRDefault="00000000">
            <w:pPr>
              <w:keepNext/>
              <w:spacing w:before="20" w:after="20"/>
              <w:jc w:val="center"/>
            </w:pPr>
            <w:r>
              <w:rPr>
                <w:b/>
                <w:bCs/>
                <w:i/>
                <w:iCs/>
                <w:color w:val="FFFFFF"/>
                <w:sz w:val="18"/>
                <w:szCs w:val="18"/>
              </w:rPr>
              <w:t>Criterio</w:t>
            </w:r>
          </w:p>
        </w:tc>
        <w:tc>
          <w:tcPr>
            <w:tcW w:w="2435" w:type="dxa"/>
            <w:shd w:val="clear" w:color="auto" w:fill="4472C4"/>
            <w:vAlign w:val="center"/>
          </w:tcPr>
          <w:p w14:paraId="673B213F" w14:textId="77777777" w:rsidR="00990B14" w:rsidRDefault="00000000">
            <w:pPr>
              <w:keepNext/>
              <w:spacing w:before="20" w:after="20"/>
              <w:jc w:val="center"/>
            </w:pPr>
            <w:r>
              <w:rPr>
                <w:b/>
                <w:bCs/>
                <w:i/>
                <w:iCs/>
                <w:color w:val="FFFFFF"/>
                <w:sz w:val="18"/>
                <w:szCs w:val="18"/>
              </w:rPr>
              <w:t>Insuficiente (1–50)</w:t>
            </w:r>
          </w:p>
        </w:tc>
        <w:tc>
          <w:tcPr>
            <w:tcW w:w="1812" w:type="dxa"/>
            <w:shd w:val="clear" w:color="auto" w:fill="4472C4"/>
            <w:vAlign w:val="center"/>
          </w:tcPr>
          <w:p w14:paraId="6277694B" w14:textId="77777777" w:rsidR="00990B14" w:rsidRDefault="00000000">
            <w:pPr>
              <w:keepNext/>
              <w:spacing w:before="20" w:after="20"/>
              <w:jc w:val="center"/>
            </w:pPr>
            <w:r>
              <w:rPr>
                <w:b/>
                <w:bCs/>
                <w:i/>
                <w:iCs/>
                <w:color w:val="FFFFFF"/>
                <w:sz w:val="18"/>
                <w:szCs w:val="18"/>
              </w:rPr>
              <w:t>Suficiente (51–80)</w:t>
            </w:r>
          </w:p>
        </w:tc>
        <w:tc>
          <w:tcPr>
            <w:tcW w:w="1813" w:type="dxa"/>
            <w:shd w:val="clear" w:color="auto" w:fill="4472C4"/>
            <w:vAlign w:val="center"/>
          </w:tcPr>
          <w:p w14:paraId="1A0F424F" w14:textId="77777777" w:rsidR="00990B14" w:rsidRDefault="00000000">
            <w:pPr>
              <w:keepNext/>
              <w:spacing w:before="20" w:after="20"/>
              <w:jc w:val="center"/>
            </w:pPr>
            <w:r>
              <w:rPr>
                <w:b/>
                <w:bCs/>
                <w:i/>
                <w:iCs/>
                <w:color w:val="FFFFFF"/>
                <w:sz w:val="18"/>
                <w:szCs w:val="18"/>
              </w:rPr>
              <w:t>Destacado (81–100)</w:t>
            </w:r>
          </w:p>
        </w:tc>
      </w:tr>
      <w:tr w:rsidR="00990B14" w14:paraId="17CFF5D5" w14:textId="77777777">
        <w:trPr>
          <w:cantSplit/>
          <w:jc w:val="center"/>
        </w:trPr>
        <w:tc>
          <w:tcPr>
            <w:tcW w:w="1533" w:type="dxa"/>
            <w:vMerge/>
            <w:shd w:val="clear" w:color="auto" w:fill="4472C4"/>
            <w:vAlign w:val="center"/>
          </w:tcPr>
          <w:p w14:paraId="0E654D13" w14:textId="77777777" w:rsidR="00990B14" w:rsidRDefault="00990B14">
            <w:pPr>
              <w:spacing w:before="20" w:after="20"/>
            </w:pPr>
          </w:p>
        </w:tc>
        <w:tc>
          <w:tcPr>
            <w:tcW w:w="1812" w:type="dxa"/>
            <w:shd w:val="clear" w:color="auto" w:fill="D9E2F3"/>
            <w:vAlign w:val="center"/>
          </w:tcPr>
          <w:p w14:paraId="5F4A98DC" w14:textId="77777777" w:rsidR="00990B14" w:rsidRDefault="00000000">
            <w:pPr>
              <w:spacing w:before="20" w:after="20"/>
              <w:jc w:val="both"/>
            </w:pPr>
            <w:r>
              <w:rPr>
                <w:sz w:val="18"/>
                <w:szCs w:val="18"/>
              </w:rPr>
              <w:t>Estructura</w:t>
            </w:r>
          </w:p>
        </w:tc>
        <w:tc>
          <w:tcPr>
            <w:tcW w:w="2435" w:type="dxa"/>
            <w:shd w:val="clear" w:color="auto" w:fill="D9E2F3"/>
            <w:vAlign w:val="center"/>
          </w:tcPr>
          <w:p w14:paraId="4BD70A49" w14:textId="77777777" w:rsidR="00990B14" w:rsidRDefault="00000000">
            <w:pPr>
              <w:spacing w:before="20" w:after="20"/>
              <w:jc w:val="both"/>
            </w:pPr>
            <w:r>
              <w:rPr>
                <w:sz w:val="18"/>
                <w:szCs w:val="18"/>
              </w:rPr>
              <w:t>La guía carece de estructura.</w:t>
            </w:r>
          </w:p>
        </w:tc>
        <w:tc>
          <w:tcPr>
            <w:tcW w:w="1812" w:type="dxa"/>
            <w:shd w:val="clear" w:color="auto" w:fill="D9E2F3"/>
            <w:vAlign w:val="center"/>
          </w:tcPr>
          <w:p w14:paraId="13B26E9C" w14:textId="77777777" w:rsidR="00990B14" w:rsidRDefault="00000000">
            <w:pPr>
              <w:spacing w:before="20" w:after="20"/>
              <w:jc w:val="both"/>
            </w:pPr>
            <w:r>
              <w:rPr>
                <w:sz w:val="18"/>
                <w:szCs w:val="18"/>
              </w:rPr>
              <w:t>Presenta objetivo, alcance, responsables y pasos.</w:t>
            </w:r>
          </w:p>
        </w:tc>
        <w:tc>
          <w:tcPr>
            <w:tcW w:w="1813" w:type="dxa"/>
            <w:shd w:val="clear" w:color="auto" w:fill="D9E2F3"/>
            <w:vAlign w:val="center"/>
          </w:tcPr>
          <w:p w14:paraId="3F4A1337" w14:textId="77777777" w:rsidR="00990B14" w:rsidRDefault="00000000">
            <w:pPr>
              <w:spacing w:before="20" w:after="20"/>
              <w:jc w:val="both"/>
            </w:pPr>
            <w:r>
              <w:rPr>
                <w:sz w:val="18"/>
                <w:szCs w:val="18"/>
              </w:rPr>
              <w:t>Incluye formularios y ejemplos de llenado.</w:t>
            </w:r>
          </w:p>
        </w:tc>
      </w:tr>
      <w:tr w:rsidR="00990B14" w14:paraId="078D7839" w14:textId="77777777">
        <w:trPr>
          <w:cantSplit/>
          <w:jc w:val="center"/>
        </w:trPr>
        <w:tc>
          <w:tcPr>
            <w:tcW w:w="1533" w:type="dxa"/>
            <w:vMerge/>
            <w:shd w:val="clear" w:color="auto" w:fill="4472C4"/>
            <w:vAlign w:val="center"/>
          </w:tcPr>
          <w:p w14:paraId="20169F7B" w14:textId="77777777" w:rsidR="00990B14" w:rsidRDefault="00990B14">
            <w:pPr>
              <w:spacing w:before="20" w:after="20"/>
            </w:pPr>
          </w:p>
        </w:tc>
        <w:tc>
          <w:tcPr>
            <w:tcW w:w="1812" w:type="dxa"/>
            <w:shd w:val="clear" w:color="auto" w:fill="D9E2F3"/>
            <w:vAlign w:val="center"/>
          </w:tcPr>
          <w:p w14:paraId="1EF106E1" w14:textId="77777777" w:rsidR="00990B14" w:rsidRDefault="00000000">
            <w:pPr>
              <w:spacing w:before="20" w:after="20"/>
              <w:jc w:val="both"/>
            </w:pPr>
            <w:r>
              <w:rPr>
                <w:sz w:val="18"/>
                <w:szCs w:val="18"/>
              </w:rPr>
              <w:t>Claridad de los pasos</w:t>
            </w:r>
          </w:p>
        </w:tc>
        <w:tc>
          <w:tcPr>
            <w:tcW w:w="2435" w:type="dxa"/>
            <w:shd w:val="clear" w:color="auto" w:fill="D9E2F3"/>
            <w:vAlign w:val="center"/>
          </w:tcPr>
          <w:p w14:paraId="1FA1AD5F" w14:textId="77777777" w:rsidR="00990B14" w:rsidRDefault="00000000">
            <w:pPr>
              <w:spacing w:before="20" w:after="20"/>
              <w:jc w:val="both"/>
            </w:pPr>
            <w:r>
              <w:rPr>
                <w:sz w:val="18"/>
                <w:szCs w:val="18"/>
              </w:rPr>
              <w:t>Los pasos son ambiguos.</w:t>
            </w:r>
          </w:p>
        </w:tc>
        <w:tc>
          <w:tcPr>
            <w:tcW w:w="1812" w:type="dxa"/>
            <w:shd w:val="clear" w:color="auto" w:fill="D9E2F3"/>
            <w:vAlign w:val="center"/>
          </w:tcPr>
          <w:p w14:paraId="1884E1DE" w14:textId="77777777" w:rsidR="00990B14" w:rsidRDefault="00000000">
            <w:pPr>
              <w:spacing w:before="20" w:after="20"/>
              <w:jc w:val="both"/>
            </w:pPr>
            <w:r>
              <w:rPr>
                <w:sz w:val="18"/>
                <w:szCs w:val="18"/>
              </w:rPr>
              <w:t>Los pasos son claros y secuenciales.</w:t>
            </w:r>
          </w:p>
        </w:tc>
        <w:tc>
          <w:tcPr>
            <w:tcW w:w="1813" w:type="dxa"/>
            <w:shd w:val="clear" w:color="auto" w:fill="D9E2F3"/>
            <w:vAlign w:val="center"/>
          </w:tcPr>
          <w:p w14:paraId="3CD9B8A5" w14:textId="77777777" w:rsidR="00990B14" w:rsidRDefault="00000000">
            <w:pPr>
              <w:spacing w:before="20" w:after="20"/>
              <w:jc w:val="both"/>
            </w:pPr>
            <w:r>
              <w:rPr>
                <w:sz w:val="18"/>
                <w:szCs w:val="18"/>
              </w:rPr>
              <w:t>Prevé las excepciones del proceso.</w:t>
            </w:r>
          </w:p>
        </w:tc>
      </w:tr>
      <w:tr w:rsidR="00990B14" w14:paraId="00B98F97" w14:textId="77777777">
        <w:trPr>
          <w:cantSplit/>
          <w:jc w:val="center"/>
        </w:trPr>
        <w:tc>
          <w:tcPr>
            <w:tcW w:w="1533" w:type="dxa"/>
            <w:vMerge/>
            <w:shd w:val="clear" w:color="auto" w:fill="4472C4"/>
            <w:vAlign w:val="center"/>
          </w:tcPr>
          <w:p w14:paraId="5949D3DC" w14:textId="77777777" w:rsidR="00990B14" w:rsidRDefault="00990B14">
            <w:pPr>
              <w:spacing w:before="20" w:after="20"/>
            </w:pPr>
          </w:p>
        </w:tc>
        <w:tc>
          <w:tcPr>
            <w:tcW w:w="1812" w:type="dxa"/>
            <w:shd w:val="clear" w:color="auto" w:fill="D9E2F3"/>
            <w:vAlign w:val="center"/>
          </w:tcPr>
          <w:p w14:paraId="00517EC2" w14:textId="77777777" w:rsidR="00990B14" w:rsidRDefault="00000000">
            <w:pPr>
              <w:spacing w:before="20" w:after="20"/>
              <w:jc w:val="both"/>
            </w:pPr>
            <w:r>
              <w:rPr>
                <w:sz w:val="18"/>
                <w:szCs w:val="18"/>
              </w:rPr>
              <w:t>Redacción</w:t>
            </w:r>
          </w:p>
        </w:tc>
        <w:tc>
          <w:tcPr>
            <w:tcW w:w="2435" w:type="dxa"/>
            <w:shd w:val="clear" w:color="auto" w:fill="D9E2F3"/>
            <w:vAlign w:val="center"/>
          </w:tcPr>
          <w:p w14:paraId="5178982A" w14:textId="77777777" w:rsidR="00990B14" w:rsidRDefault="00000000">
            <w:pPr>
              <w:spacing w:before="20" w:after="20"/>
              <w:jc w:val="both"/>
            </w:pPr>
            <w:r>
              <w:rPr>
                <w:sz w:val="18"/>
                <w:szCs w:val="18"/>
              </w:rPr>
              <w:t>La redacción tiene errores.</w:t>
            </w:r>
          </w:p>
        </w:tc>
        <w:tc>
          <w:tcPr>
            <w:tcW w:w="1812" w:type="dxa"/>
            <w:shd w:val="clear" w:color="auto" w:fill="D9E2F3"/>
            <w:vAlign w:val="center"/>
          </w:tcPr>
          <w:p w14:paraId="1A726C3D" w14:textId="77777777" w:rsidR="00990B14" w:rsidRDefault="00000000">
            <w:pPr>
              <w:spacing w:before="20" w:after="20"/>
              <w:jc w:val="both"/>
            </w:pPr>
            <w:r>
              <w:rPr>
                <w:sz w:val="18"/>
                <w:szCs w:val="18"/>
              </w:rPr>
              <w:t>La redacción es correcta y precisa.</w:t>
            </w:r>
          </w:p>
        </w:tc>
        <w:tc>
          <w:tcPr>
            <w:tcW w:w="1813" w:type="dxa"/>
            <w:shd w:val="clear" w:color="auto" w:fill="D9E2F3"/>
            <w:vAlign w:val="center"/>
          </w:tcPr>
          <w:p w14:paraId="32AF0E04" w14:textId="77777777" w:rsidR="00990B14" w:rsidRDefault="00000000">
            <w:pPr>
              <w:spacing w:before="20" w:after="20"/>
              <w:jc w:val="both"/>
            </w:pPr>
            <w:r>
              <w:rPr>
                <w:sz w:val="18"/>
                <w:szCs w:val="18"/>
              </w:rPr>
              <w:t>El instructivo es aplicable sin capacitación adicional.</w:t>
            </w:r>
          </w:p>
        </w:tc>
      </w:tr>
      <w:tr w:rsidR="00990B14" w14:paraId="63690936" w14:textId="77777777">
        <w:trPr>
          <w:cantSplit/>
          <w:jc w:val="center"/>
        </w:trPr>
        <w:tc>
          <w:tcPr>
            <w:tcW w:w="1533" w:type="dxa"/>
            <w:vMerge/>
            <w:shd w:val="clear" w:color="auto" w:fill="4472C4"/>
            <w:vAlign w:val="center"/>
          </w:tcPr>
          <w:p w14:paraId="69C6490D" w14:textId="77777777" w:rsidR="00990B14" w:rsidRDefault="00990B14">
            <w:pPr>
              <w:spacing w:before="20" w:after="20"/>
            </w:pPr>
          </w:p>
        </w:tc>
        <w:tc>
          <w:tcPr>
            <w:tcW w:w="6059" w:type="dxa"/>
            <w:gridSpan w:val="3"/>
            <w:shd w:val="clear" w:color="auto" w:fill="D9E2F3"/>
            <w:vAlign w:val="center"/>
          </w:tcPr>
          <w:p w14:paraId="76ED7693" w14:textId="77777777" w:rsidR="00990B14" w:rsidRDefault="00000000">
            <w:pPr>
              <w:keepNext/>
              <w:spacing w:before="20" w:after="20"/>
              <w:jc w:val="both"/>
            </w:pPr>
            <w:r>
              <w:rPr>
                <w:b/>
                <w:bCs/>
                <w:i/>
                <w:iCs/>
                <w:sz w:val="18"/>
                <w:szCs w:val="18"/>
              </w:rPr>
              <w:t xml:space="preserve">Producto 19: </w:t>
            </w:r>
            <w:r>
              <w:rPr>
                <w:sz w:val="18"/>
                <w:szCs w:val="18"/>
              </w:rPr>
              <w:t>Informe de evaluación del control interno</w:t>
            </w:r>
          </w:p>
        </w:tc>
        <w:tc>
          <w:tcPr>
            <w:tcW w:w="1813" w:type="dxa"/>
            <w:shd w:val="clear" w:color="auto" w:fill="D9E2F3"/>
            <w:vAlign w:val="center"/>
          </w:tcPr>
          <w:p w14:paraId="0EEADE91" w14:textId="77777777" w:rsidR="00990B14" w:rsidRDefault="00000000">
            <w:pPr>
              <w:spacing w:before="20" w:after="20"/>
              <w:jc w:val="center"/>
            </w:pPr>
            <w:r>
              <w:rPr>
                <w:b/>
                <w:bCs/>
                <w:sz w:val="18"/>
                <w:szCs w:val="18"/>
              </w:rPr>
              <w:t>4%</w:t>
            </w:r>
          </w:p>
        </w:tc>
      </w:tr>
      <w:tr w:rsidR="00990B14" w14:paraId="1BE5F960" w14:textId="77777777">
        <w:trPr>
          <w:cantSplit/>
          <w:jc w:val="center"/>
        </w:trPr>
        <w:tc>
          <w:tcPr>
            <w:tcW w:w="1533" w:type="dxa"/>
            <w:vMerge/>
            <w:shd w:val="clear" w:color="auto" w:fill="4472C4"/>
            <w:vAlign w:val="center"/>
          </w:tcPr>
          <w:p w14:paraId="4F9340B9" w14:textId="77777777" w:rsidR="00990B14" w:rsidRDefault="00990B14">
            <w:pPr>
              <w:spacing w:before="20" w:after="20"/>
            </w:pPr>
          </w:p>
        </w:tc>
        <w:tc>
          <w:tcPr>
            <w:tcW w:w="1812" w:type="dxa"/>
            <w:shd w:val="clear" w:color="auto" w:fill="4472C4"/>
            <w:vAlign w:val="center"/>
          </w:tcPr>
          <w:p w14:paraId="5F26C675" w14:textId="77777777" w:rsidR="00990B14" w:rsidRDefault="00000000">
            <w:pPr>
              <w:keepNext/>
              <w:spacing w:before="20" w:after="20"/>
              <w:jc w:val="center"/>
            </w:pPr>
            <w:r>
              <w:rPr>
                <w:b/>
                <w:bCs/>
                <w:i/>
                <w:iCs/>
                <w:color w:val="FFFFFF"/>
                <w:sz w:val="18"/>
                <w:szCs w:val="18"/>
              </w:rPr>
              <w:t>Criterio</w:t>
            </w:r>
          </w:p>
        </w:tc>
        <w:tc>
          <w:tcPr>
            <w:tcW w:w="2435" w:type="dxa"/>
            <w:shd w:val="clear" w:color="auto" w:fill="4472C4"/>
            <w:vAlign w:val="center"/>
          </w:tcPr>
          <w:p w14:paraId="6D985AC1" w14:textId="77777777" w:rsidR="00990B14" w:rsidRDefault="00000000">
            <w:pPr>
              <w:keepNext/>
              <w:spacing w:before="20" w:after="20"/>
              <w:jc w:val="center"/>
            </w:pPr>
            <w:r>
              <w:rPr>
                <w:b/>
                <w:bCs/>
                <w:i/>
                <w:iCs/>
                <w:color w:val="FFFFFF"/>
                <w:sz w:val="18"/>
                <w:szCs w:val="18"/>
              </w:rPr>
              <w:t>Insuficiente (1–50)</w:t>
            </w:r>
          </w:p>
        </w:tc>
        <w:tc>
          <w:tcPr>
            <w:tcW w:w="1812" w:type="dxa"/>
            <w:shd w:val="clear" w:color="auto" w:fill="4472C4"/>
            <w:vAlign w:val="center"/>
          </w:tcPr>
          <w:p w14:paraId="08DE9FAB" w14:textId="77777777" w:rsidR="00990B14" w:rsidRDefault="00000000">
            <w:pPr>
              <w:keepNext/>
              <w:spacing w:before="20" w:after="20"/>
              <w:jc w:val="center"/>
            </w:pPr>
            <w:r>
              <w:rPr>
                <w:b/>
                <w:bCs/>
                <w:i/>
                <w:iCs/>
                <w:color w:val="FFFFFF"/>
                <w:sz w:val="18"/>
                <w:szCs w:val="18"/>
              </w:rPr>
              <w:t>Suficiente (51–80)</w:t>
            </w:r>
          </w:p>
        </w:tc>
        <w:tc>
          <w:tcPr>
            <w:tcW w:w="1813" w:type="dxa"/>
            <w:shd w:val="clear" w:color="auto" w:fill="4472C4"/>
            <w:vAlign w:val="center"/>
          </w:tcPr>
          <w:p w14:paraId="5FA018D8" w14:textId="77777777" w:rsidR="00990B14" w:rsidRDefault="00000000">
            <w:pPr>
              <w:keepNext/>
              <w:spacing w:before="20" w:after="20"/>
              <w:jc w:val="center"/>
            </w:pPr>
            <w:r>
              <w:rPr>
                <w:b/>
                <w:bCs/>
                <w:i/>
                <w:iCs/>
                <w:color w:val="FFFFFF"/>
                <w:sz w:val="18"/>
                <w:szCs w:val="18"/>
              </w:rPr>
              <w:t>Destacado (81–100)</w:t>
            </w:r>
          </w:p>
        </w:tc>
      </w:tr>
      <w:tr w:rsidR="00990B14" w14:paraId="20A7EC8B" w14:textId="77777777">
        <w:trPr>
          <w:cantSplit/>
          <w:jc w:val="center"/>
        </w:trPr>
        <w:tc>
          <w:tcPr>
            <w:tcW w:w="1533" w:type="dxa"/>
            <w:vMerge/>
            <w:shd w:val="clear" w:color="auto" w:fill="4472C4"/>
            <w:vAlign w:val="center"/>
          </w:tcPr>
          <w:p w14:paraId="609CA8B9" w14:textId="77777777" w:rsidR="00990B14" w:rsidRDefault="00990B14">
            <w:pPr>
              <w:spacing w:before="20" w:after="20"/>
            </w:pPr>
          </w:p>
        </w:tc>
        <w:tc>
          <w:tcPr>
            <w:tcW w:w="1812" w:type="dxa"/>
            <w:shd w:val="clear" w:color="auto" w:fill="D9E2F3"/>
            <w:vAlign w:val="center"/>
          </w:tcPr>
          <w:p w14:paraId="75019AAB" w14:textId="77777777" w:rsidR="00990B14" w:rsidRDefault="00000000">
            <w:pPr>
              <w:spacing w:before="20" w:after="20"/>
              <w:jc w:val="both"/>
            </w:pPr>
            <w:r>
              <w:rPr>
                <w:sz w:val="18"/>
                <w:szCs w:val="18"/>
              </w:rPr>
              <w:t>Métodos de evaluación</w:t>
            </w:r>
          </w:p>
        </w:tc>
        <w:tc>
          <w:tcPr>
            <w:tcW w:w="2435" w:type="dxa"/>
            <w:shd w:val="clear" w:color="auto" w:fill="D9E2F3"/>
            <w:vAlign w:val="center"/>
          </w:tcPr>
          <w:p w14:paraId="59978DAD" w14:textId="77777777" w:rsidR="00990B14" w:rsidRDefault="00000000">
            <w:pPr>
              <w:spacing w:before="20" w:after="20"/>
              <w:jc w:val="both"/>
            </w:pPr>
            <w:r>
              <w:rPr>
                <w:sz w:val="18"/>
                <w:szCs w:val="18"/>
              </w:rPr>
              <w:t>Aplica un método inadecuado.</w:t>
            </w:r>
          </w:p>
        </w:tc>
        <w:tc>
          <w:tcPr>
            <w:tcW w:w="1812" w:type="dxa"/>
            <w:shd w:val="clear" w:color="auto" w:fill="D9E2F3"/>
            <w:vAlign w:val="center"/>
          </w:tcPr>
          <w:p w14:paraId="262313EB" w14:textId="77777777" w:rsidR="00990B14" w:rsidRDefault="00000000">
            <w:pPr>
              <w:spacing w:before="20" w:after="20"/>
              <w:jc w:val="both"/>
            </w:pPr>
            <w:r>
              <w:rPr>
                <w:sz w:val="18"/>
                <w:szCs w:val="18"/>
              </w:rPr>
              <w:t>Aplica cuestionarios, narrativas y diagramas.</w:t>
            </w:r>
          </w:p>
        </w:tc>
        <w:tc>
          <w:tcPr>
            <w:tcW w:w="1813" w:type="dxa"/>
            <w:shd w:val="clear" w:color="auto" w:fill="D9E2F3"/>
            <w:vAlign w:val="center"/>
          </w:tcPr>
          <w:p w14:paraId="2ABFF1B1" w14:textId="77777777" w:rsidR="00990B14" w:rsidRDefault="00000000">
            <w:pPr>
              <w:spacing w:before="20" w:after="20"/>
              <w:jc w:val="both"/>
            </w:pPr>
            <w:r>
              <w:rPr>
                <w:sz w:val="18"/>
                <w:szCs w:val="18"/>
              </w:rPr>
              <w:t>Combina métodos para confirmar los hallazgos.</w:t>
            </w:r>
          </w:p>
        </w:tc>
      </w:tr>
      <w:tr w:rsidR="00990B14" w14:paraId="57F46F86" w14:textId="77777777">
        <w:trPr>
          <w:cantSplit/>
          <w:jc w:val="center"/>
        </w:trPr>
        <w:tc>
          <w:tcPr>
            <w:tcW w:w="1533" w:type="dxa"/>
            <w:vMerge/>
            <w:shd w:val="clear" w:color="auto" w:fill="4472C4"/>
            <w:vAlign w:val="center"/>
          </w:tcPr>
          <w:p w14:paraId="652A50C8" w14:textId="77777777" w:rsidR="00990B14" w:rsidRDefault="00990B14">
            <w:pPr>
              <w:spacing w:before="20" w:after="20"/>
            </w:pPr>
          </w:p>
        </w:tc>
        <w:tc>
          <w:tcPr>
            <w:tcW w:w="1812" w:type="dxa"/>
            <w:shd w:val="clear" w:color="auto" w:fill="D9E2F3"/>
            <w:vAlign w:val="center"/>
          </w:tcPr>
          <w:p w14:paraId="236A0304" w14:textId="77777777" w:rsidR="00990B14" w:rsidRDefault="00000000">
            <w:pPr>
              <w:spacing w:before="20" w:after="20"/>
              <w:jc w:val="both"/>
            </w:pPr>
            <w:r>
              <w:rPr>
                <w:sz w:val="18"/>
                <w:szCs w:val="18"/>
              </w:rPr>
              <w:t>Diagramación</w:t>
            </w:r>
          </w:p>
        </w:tc>
        <w:tc>
          <w:tcPr>
            <w:tcW w:w="2435" w:type="dxa"/>
            <w:shd w:val="clear" w:color="auto" w:fill="D9E2F3"/>
            <w:vAlign w:val="center"/>
          </w:tcPr>
          <w:p w14:paraId="35027BAF" w14:textId="77777777" w:rsidR="00990B14" w:rsidRDefault="00000000">
            <w:pPr>
              <w:spacing w:before="20" w:after="20"/>
              <w:jc w:val="both"/>
            </w:pPr>
            <w:r>
              <w:rPr>
                <w:sz w:val="18"/>
                <w:szCs w:val="18"/>
              </w:rPr>
              <w:t>El diagrama no refleja el ciclo.</w:t>
            </w:r>
          </w:p>
        </w:tc>
        <w:tc>
          <w:tcPr>
            <w:tcW w:w="1812" w:type="dxa"/>
            <w:shd w:val="clear" w:color="auto" w:fill="D9E2F3"/>
            <w:vAlign w:val="center"/>
          </w:tcPr>
          <w:p w14:paraId="3B4FAA23" w14:textId="77777777" w:rsidR="00990B14" w:rsidRDefault="00000000">
            <w:pPr>
              <w:spacing w:before="20" w:after="20"/>
              <w:jc w:val="both"/>
            </w:pPr>
            <w:r>
              <w:rPr>
                <w:sz w:val="18"/>
                <w:szCs w:val="18"/>
              </w:rPr>
              <w:t>Diagrama el ciclo con su simbología.</w:t>
            </w:r>
          </w:p>
        </w:tc>
        <w:tc>
          <w:tcPr>
            <w:tcW w:w="1813" w:type="dxa"/>
            <w:shd w:val="clear" w:color="auto" w:fill="D9E2F3"/>
            <w:vAlign w:val="center"/>
          </w:tcPr>
          <w:p w14:paraId="7A3ED814" w14:textId="77777777" w:rsidR="00990B14" w:rsidRDefault="00000000">
            <w:pPr>
              <w:spacing w:before="20" w:after="20"/>
              <w:jc w:val="both"/>
            </w:pPr>
            <w:r>
              <w:rPr>
                <w:sz w:val="18"/>
                <w:szCs w:val="18"/>
              </w:rPr>
              <w:t>Marca en el diagrama los controles clave.</w:t>
            </w:r>
          </w:p>
        </w:tc>
      </w:tr>
      <w:tr w:rsidR="00990B14" w14:paraId="66EAE592" w14:textId="77777777">
        <w:trPr>
          <w:cantSplit/>
          <w:jc w:val="center"/>
        </w:trPr>
        <w:tc>
          <w:tcPr>
            <w:tcW w:w="1533" w:type="dxa"/>
            <w:vMerge/>
            <w:shd w:val="clear" w:color="auto" w:fill="4472C4"/>
            <w:vAlign w:val="center"/>
          </w:tcPr>
          <w:p w14:paraId="5767560C" w14:textId="77777777" w:rsidR="00990B14" w:rsidRDefault="00990B14">
            <w:pPr>
              <w:spacing w:before="20" w:after="20"/>
            </w:pPr>
          </w:p>
        </w:tc>
        <w:tc>
          <w:tcPr>
            <w:tcW w:w="1812" w:type="dxa"/>
            <w:shd w:val="clear" w:color="auto" w:fill="D9E2F3"/>
            <w:vAlign w:val="center"/>
          </w:tcPr>
          <w:p w14:paraId="325CF98E" w14:textId="77777777" w:rsidR="00990B14" w:rsidRDefault="00000000">
            <w:pPr>
              <w:spacing w:before="20" w:after="20"/>
              <w:jc w:val="both"/>
            </w:pPr>
            <w:r>
              <w:rPr>
                <w:sz w:val="18"/>
                <w:szCs w:val="18"/>
              </w:rPr>
              <w:t>Conclusiones</w:t>
            </w:r>
          </w:p>
        </w:tc>
        <w:tc>
          <w:tcPr>
            <w:tcW w:w="2435" w:type="dxa"/>
            <w:shd w:val="clear" w:color="auto" w:fill="D9E2F3"/>
            <w:vAlign w:val="center"/>
          </w:tcPr>
          <w:p w14:paraId="33DE8558" w14:textId="77777777" w:rsidR="00990B14" w:rsidRDefault="00000000">
            <w:pPr>
              <w:spacing w:before="20" w:after="20"/>
              <w:jc w:val="both"/>
            </w:pPr>
            <w:r>
              <w:rPr>
                <w:sz w:val="18"/>
                <w:szCs w:val="18"/>
              </w:rPr>
              <w:t>Las conclusiones son vagas.</w:t>
            </w:r>
          </w:p>
        </w:tc>
        <w:tc>
          <w:tcPr>
            <w:tcW w:w="1812" w:type="dxa"/>
            <w:shd w:val="clear" w:color="auto" w:fill="D9E2F3"/>
            <w:vAlign w:val="center"/>
          </w:tcPr>
          <w:p w14:paraId="7AAE42C1" w14:textId="77777777" w:rsidR="00990B14" w:rsidRDefault="00000000">
            <w:pPr>
              <w:spacing w:before="20" w:after="20"/>
              <w:jc w:val="both"/>
            </w:pPr>
            <w:r>
              <w:rPr>
                <w:sz w:val="18"/>
                <w:szCs w:val="18"/>
              </w:rPr>
              <w:t>Concluye sobre la eficacia del diseño de controles.</w:t>
            </w:r>
          </w:p>
        </w:tc>
        <w:tc>
          <w:tcPr>
            <w:tcW w:w="1813" w:type="dxa"/>
            <w:shd w:val="clear" w:color="auto" w:fill="D9E2F3"/>
            <w:vAlign w:val="center"/>
          </w:tcPr>
          <w:p w14:paraId="0A43D263" w14:textId="77777777" w:rsidR="00990B14" w:rsidRDefault="00000000">
            <w:pPr>
              <w:spacing w:before="20" w:after="20"/>
              <w:jc w:val="both"/>
            </w:pPr>
            <w:r>
              <w:rPr>
                <w:sz w:val="18"/>
                <w:szCs w:val="18"/>
              </w:rPr>
              <w:t>Propone mejoras viables a los controles.</w:t>
            </w:r>
          </w:p>
        </w:tc>
      </w:tr>
      <w:tr w:rsidR="00990B14" w14:paraId="23C8FC40" w14:textId="77777777">
        <w:trPr>
          <w:cantSplit/>
          <w:jc w:val="center"/>
        </w:trPr>
        <w:tc>
          <w:tcPr>
            <w:tcW w:w="1533" w:type="dxa"/>
            <w:vMerge/>
            <w:shd w:val="clear" w:color="auto" w:fill="4472C4"/>
            <w:vAlign w:val="center"/>
          </w:tcPr>
          <w:p w14:paraId="5C76086D" w14:textId="77777777" w:rsidR="00990B14" w:rsidRDefault="00990B14">
            <w:pPr>
              <w:spacing w:before="20" w:after="20"/>
            </w:pPr>
          </w:p>
        </w:tc>
        <w:tc>
          <w:tcPr>
            <w:tcW w:w="6059" w:type="dxa"/>
            <w:gridSpan w:val="3"/>
            <w:shd w:val="clear" w:color="auto" w:fill="D9E2F3"/>
            <w:vAlign w:val="center"/>
          </w:tcPr>
          <w:p w14:paraId="372E1723" w14:textId="77777777" w:rsidR="00990B14" w:rsidRDefault="00000000">
            <w:pPr>
              <w:keepNext/>
              <w:spacing w:before="20" w:after="20"/>
              <w:jc w:val="both"/>
            </w:pPr>
            <w:r>
              <w:rPr>
                <w:b/>
                <w:bCs/>
                <w:i/>
                <w:iCs/>
                <w:sz w:val="18"/>
                <w:szCs w:val="18"/>
              </w:rPr>
              <w:t xml:space="preserve">Producto 20: </w:t>
            </w:r>
            <w:r>
              <w:rPr>
                <w:sz w:val="18"/>
                <w:szCs w:val="18"/>
              </w:rPr>
              <w:t>Matriz de riesgos y controles</w:t>
            </w:r>
          </w:p>
        </w:tc>
        <w:tc>
          <w:tcPr>
            <w:tcW w:w="1813" w:type="dxa"/>
            <w:shd w:val="clear" w:color="auto" w:fill="D9E2F3"/>
            <w:vAlign w:val="center"/>
          </w:tcPr>
          <w:p w14:paraId="7E3A75E0" w14:textId="77777777" w:rsidR="00990B14" w:rsidRDefault="00000000">
            <w:pPr>
              <w:spacing w:before="20" w:after="20"/>
              <w:jc w:val="center"/>
            </w:pPr>
            <w:r>
              <w:rPr>
                <w:b/>
                <w:bCs/>
                <w:sz w:val="18"/>
                <w:szCs w:val="18"/>
              </w:rPr>
              <w:t>3%</w:t>
            </w:r>
          </w:p>
        </w:tc>
      </w:tr>
      <w:tr w:rsidR="00990B14" w14:paraId="22B66D52" w14:textId="77777777">
        <w:trPr>
          <w:cantSplit/>
          <w:jc w:val="center"/>
        </w:trPr>
        <w:tc>
          <w:tcPr>
            <w:tcW w:w="1533" w:type="dxa"/>
            <w:vMerge/>
            <w:shd w:val="clear" w:color="auto" w:fill="4472C4"/>
            <w:vAlign w:val="center"/>
          </w:tcPr>
          <w:p w14:paraId="7081F00D" w14:textId="77777777" w:rsidR="00990B14" w:rsidRDefault="00990B14">
            <w:pPr>
              <w:spacing w:before="20" w:after="20"/>
            </w:pPr>
          </w:p>
        </w:tc>
        <w:tc>
          <w:tcPr>
            <w:tcW w:w="1812" w:type="dxa"/>
            <w:shd w:val="clear" w:color="auto" w:fill="4472C4"/>
            <w:vAlign w:val="center"/>
          </w:tcPr>
          <w:p w14:paraId="43E30388" w14:textId="77777777" w:rsidR="00990B14" w:rsidRDefault="00000000">
            <w:pPr>
              <w:keepNext/>
              <w:spacing w:before="20" w:after="20"/>
              <w:jc w:val="center"/>
            </w:pPr>
            <w:r>
              <w:rPr>
                <w:b/>
                <w:bCs/>
                <w:i/>
                <w:iCs/>
                <w:color w:val="FFFFFF"/>
                <w:sz w:val="18"/>
                <w:szCs w:val="18"/>
              </w:rPr>
              <w:t>Criterio</w:t>
            </w:r>
          </w:p>
        </w:tc>
        <w:tc>
          <w:tcPr>
            <w:tcW w:w="2435" w:type="dxa"/>
            <w:shd w:val="clear" w:color="auto" w:fill="4472C4"/>
            <w:vAlign w:val="center"/>
          </w:tcPr>
          <w:p w14:paraId="770B45F4" w14:textId="77777777" w:rsidR="00990B14" w:rsidRDefault="00000000">
            <w:pPr>
              <w:keepNext/>
              <w:spacing w:before="20" w:after="20"/>
              <w:jc w:val="center"/>
            </w:pPr>
            <w:r>
              <w:rPr>
                <w:b/>
                <w:bCs/>
                <w:i/>
                <w:iCs/>
                <w:color w:val="FFFFFF"/>
                <w:sz w:val="18"/>
                <w:szCs w:val="18"/>
              </w:rPr>
              <w:t>Insuficiente (1–50)</w:t>
            </w:r>
          </w:p>
        </w:tc>
        <w:tc>
          <w:tcPr>
            <w:tcW w:w="1812" w:type="dxa"/>
            <w:shd w:val="clear" w:color="auto" w:fill="4472C4"/>
            <w:vAlign w:val="center"/>
          </w:tcPr>
          <w:p w14:paraId="0687A1C6" w14:textId="77777777" w:rsidR="00990B14" w:rsidRDefault="00000000">
            <w:pPr>
              <w:keepNext/>
              <w:spacing w:before="20" w:after="20"/>
              <w:jc w:val="center"/>
            </w:pPr>
            <w:r>
              <w:rPr>
                <w:b/>
                <w:bCs/>
                <w:i/>
                <w:iCs/>
                <w:color w:val="FFFFFF"/>
                <w:sz w:val="18"/>
                <w:szCs w:val="18"/>
              </w:rPr>
              <w:t>Suficiente (51–80)</w:t>
            </w:r>
          </w:p>
        </w:tc>
        <w:tc>
          <w:tcPr>
            <w:tcW w:w="1813" w:type="dxa"/>
            <w:shd w:val="clear" w:color="auto" w:fill="4472C4"/>
            <w:vAlign w:val="center"/>
          </w:tcPr>
          <w:p w14:paraId="1C55CD6C" w14:textId="77777777" w:rsidR="00990B14" w:rsidRDefault="00000000">
            <w:pPr>
              <w:keepNext/>
              <w:spacing w:before="20" w:after="20"/>
              <w:jc w:val="center"/>
            </w:pPr>
            <w:r>
              <w:rPr>
                <w:b/>
                <w:bCs/>
                <w:i/>
                <w:iCs/>
                <w:color w:val="FFFFFF"/>
                <w:sz w:val="18"/>
                <w:szCs w:val="18"/>
              </w:rPr>
              <w:t>Destacado (81–100)</w:t>
            </w:r>
          </w:p>
        </w:tc>
      </w:tr>
      <w:tr w:rsidR="00990B14" w14:paraId="5206AB35" w14:textId="77777777">
        <w:trPr>
          <w:cantSplit/>
          <w:jc w:val="center"/>
        </w:trPr>
        <w:tc>
          <w:tcPr>
            <w:tcW w:w="1533" w:type="dxa"/>
            <w:vMerge/>
            <w:shd w:val="clear" w:color="auto" w:fill="4472C4"/>
            <w:vAlign w:val="center"/>
          </w:tcPr>
          <w:p w14:paraId="4B8CA866" w14:textId="77777777" w:rsidR="00990B14" w:rsidRDefault="00990B14">
            <w:pPr>
              <w:spacing w:before="20" w:after="20"/>
            </w:pPr>
          </w:p>
        </w:tc>
        <w:tc>
          <w:tcPr>
            <w:tcW w:w="1812" w:type="dxa"/>
            <w:shd w:val="clear" w:color="auto" w:fill="D9E2F3"/>
            <w:vAlign w:val="center"/>
          </w:tcPr>
          <w:p w14:paraId="6E252113" w14:textId="77777777" w:rsidR="00990B14" w:rsidRDefault="00000000">
            <w:pPr>
              <w:spacing w:before="20" w:after="20"/>
              <w:jc w:val="both"/>
            </w:pPr>
            <w:r>
              <w:rPr>
                <w:sz w:val="18"/>
                <w:szCs w:val="18"/>
              </w:rPr>
              <w:t>Relación riesgo y control</w:t>
            </w:r>
          </w:p>
        </w:tc>
        <w:tc>
          <w:tcPr>
            <w:tcW w:w="2435" w:type="dxa"/>
            <w:shd w:val="clear" w:color="auto" w:fill="D9E2F3"/>
            <w:vAlign w:val="center"/>
          </w:tcPr>
          <w:p w14:paraId="2172D5CF" w14:textId="77777777" w:rsidR="00990B14" w:rsidRDefault="00000000">
            <w:pPr>
              <w:spacing w:before="20" w:after="20"/>
              <w:jc w:val="both"/>
            </w:pPr>
            <w:r>
              <w:rPr>
                <w:sz w:val="18"/>
                <w:szCs w:val="18"/>
              </w:rPr>
              <w:t>Los controles no responden a los riesgos.</w:t>
            </w:r>
          </w:p>
        </w:tc>
        <w:tc>
          <w:tcPr>
            <w:tcW w:w="1812" w:type="dxa"/>
            <w:shd w:val="clear" w:color="auto" w:fill="D9E2F3"/>
            <w:vAlign w:val="center"/>
          </w:tcPr>
          <w:p w14:paraId="4D811C12" w14:textId="77777777" w:rsidR="00990B14" w:rsidRDefault="00000000">
            <w:pPr>
              <w:spacing w:before="20" w:after="20"/>
              <w:jc w:val="both"/>
            </w:pPr>
            <w:r>
              <w:rPr>
                <w:sz w:val="18"/>
                <w:szCs w:val="18"/>
              </w:rPr>
              <w:t>Asigna a cada riesgo un control pertinente.</w:t>
            </w:r>
          </w:p>
        </w:tc>
        <w:tc>
          <w:tcPr>
            <w:tcW w:w="1813" w:type="dxa"/>
            <w:shd w:val="clear" w:color="auto" w:fill="D9E2F3"/>
            <w:vAlign w:val="center"/>
          </w:tcPr>
          <w:p w14:paraId="6D1ECF61" w14:textId="77777777" w:rsidR="00990B14" w:rsidRDefault="00000000">
            <w:pPr>
              <w:spacing w:before="20" w:after="20"/>
              <w:jc w:val="both"/>
            </w:pPr>
            <w:r>
              <w:rPr>
                <w:sz w:val="18"/>
                <w:szCs w:val="18"/>
              </w:rPr>
              <w:t>Distingue controles preventivos y detectivos.</w:t>
            </w:r>
          </w:p>
        </w:tc>
      </w:tr>
      <w:tr w:rsidR="00990B14" w14:paraId="3C54488E" w14:textId="77777777">
        <w:trPr>
          <w:cantSplit/>
          <w:jc w:val="center"/>
        </w:trPr>
        <w:tc>
          <w:tcPr>
            <w:tcW w:w="1533" w:type="dxa"/>
            <w:vMerge/>
            <w:shd w:val="clear" w:color="auto" w:fill="4472C4"/>
            <w:vAlign w:val="center"/>
          </w:tcPr>
          <w:p w14:paraId="64E2EA8A" w14:textId="77777777" w:rsidR="00990B14" w:rsidRDefault="00990B14">
            <w:pPr>
              <w:spacing w:before="20" w:after="20"/>
            </w:pPr>
          </w:p>
        </w:tc>
        <w:tc>
          <w:tcPr>
            <w:tcW w:w="1812" w:type="dxa"/>
            <w:shd w:val="clear" w:color="auto" w:fill="D9E2F3"/>
            <w:vAlign w:val="center"/>
          </w:tcPr>
          <w:p w14:paraId="704CAB9D" w14:textId="77777777" w:rsidR="00990B14" w:rsidRDefault="00000000">
            <w:pPr>
              <w:spacing w:before="20" w:after="20"/>
              <w:jc w:val="both"/>
            </w:pPr>
            <w:r>
              <w:rPr>
                <w:sz w:val="18"/>
                <w:szCs w:val="18"/>
              </w:rPr>
              <w:t>Prevención del fraude</w:t>
            </w:r>
          </w:p>
        </w:tc>
        <w:tc>
          <w:tcPr>
            <w:tcW w:w="2435" w:type="dxa"/>
            <w:shd w:val="clear" w:color="auto" w:fill="D9E2F3"/>
            <w:vAlign w:val="center"/>
          </w:tcPr>
          <w:p w14:paraId="48608D10" w14:textId="77777777" w:rsidR="00990B14" w:rsidRDefault="00000000">
            <w:pPr>
              <w:spacing w:before="20" w:after="20"/>
              <w:jc w:val="both"/>
            </w:pPr>
            <w:r>
              <w:rPr>
                <w:sz w:val="18"/>
                <w:szCs w:val="18"/>
              </w:rPr>
              <w:t>Omite medidas antifraude.</w:t>
            </w:r>
          </w:p>
        </w:tc>
        <w:tc>
          <w:tcPr>
            <w:tcW w:w="1812" w:type="dxa"/>
            <w:shd w:val="clear" w:color="auto" w:fill="D9E2F3"/>
            <w:vAlign w:val="center"/>
          </w:tcPr>
          <w:p w14:paraId="3B106F5C" w14:textId="77777777" w:rsidR="00990B14" w:rsidRDefault="00000000">
            <w:pPr>
              <w:spacing w:before="20" w:after="20"/>
              <w:jc w:val="both"/>
            </w:pPr>
            <w:r>
              <w:rPr>
                <w:sz w:val="18"/>
                <w:szCs w:val="18"/>
              </w:rPr>
              <w:t>Incluye segregación, conciliaciones y canal de denuncias.</w:t>
            </w:r>
          </w:p>
        </w:tc>
        <w:tc>
          <w:tcPr>
            <w:tcW w:w="1813" w:type="dxa"/>
            <w:shd w:val="clear" w:color="auto" w:fill="D9E2F3"/>
            <w:vAlign w:val="center"/>
          </w:tcPr>
          <w:p w14:paraId="008D0061" w14:textId="77777777" w:rsidR="00990B14" w:rsidRDefault="00000000">
            <w:pPr>
              <w:spacing w:before="20" w:after="20"/>
              <w:jc w:val="both"/>
            </w:pPr>
            <w:r>
              <w:rPr>
                <w:sz w:val="18"/>
                <w:szCs w:val="18"/>
              </w:rPr>
              <w:t>Evalúa el costo y el beneficio de cada control.</w:t>
            </w:r>
          </w:p>
        </w:tc>
      </w:tr>
      <w:tr w:rsidR="00990B14" w14:paraId="4D69B5B8" w14:textId="77777777">
        <w:trPr>
          <w:cantSplit/>
          <w:jc w:val="center"/>
        </w:trPr>
        <w:tc>
          <w:tcPr>
            <w:tcW w:w="1533" w:type="dxa"/>
            <w:vMerge/>
            <w:shd w:val="clear" w:color="auto" w:fill="4472C4"/>
            <w:vAlign w:val="center"/>
          </w:tcPr>
          <w:p w14:paraId="087035B9" w14:textId="77777777" w:rsidR="00990B14" w:rsidRDefault="00990B14">
            <w:pPr>
              <w:spacing w:before="20" w:after="20"/>
            </w:pPr>
          </w:p>
        </w:tc>
        <w:tc>
          <w:tcPr>
            <w:tcW w:w="1812" w:type="dxa"/>
            <w:shd w:val="clear" w:color="auto" w:fill="D9E2F3"/>
            <w:vAlign w:val="center"/>
          </w:tcPr>
          <w:p w14:paraId="53C9B9BF" w14:textId="77777777" w:rsidR="00990B14" w:rsidRDefault="00000000">
            <w:pPr>
              <w:spacing w:before="20" w:after="20"/>
              <w:jc w:val="both"/>
            </w:pPr>
            <w:r>
              <w:rPr>
                <w:sz w:val="18"/>
                <w:szCs w:val="18"/>
              </w:rPr>
              <w:t>Ética profesional</w:t>
            </w:r>
          </w:p>
        </w:tc>
        <w:tc>
          <w:tcPr>
            <w:tcW w:w="2435" w:type="dxa"/>
            <w:shd w:val="clear" w:color="auto" w:fill="D9E2F3"/>
            <w:vAlign w:val="center"/>
          </w:tcPr>
          <w:p w14:paraId="7CE7AF6C" w14:textId="77777777" w:rsidR="00990B14" w:rsidRDefault="00000000">
            <w:pPr>
              <w:spacing w:before="20" w:after="20"/>
              <w:jc w:val="both"/>
            </w:pPr>
            <w:r>
              <w:rPr>
                <w:sz w:val="18"/>
                <w:szCs w:val="18"/>
              </w:rPr>
              <w:t>Ignora los conflictos de interés.</w:t>
            </w:r>
          </w:p>
        </w:tc>
        <w:tc>
          <w:tcPr>
            <w:tcW w:w="1812" w:type="dxa"/>
            <w:shd w:val="clear" w:color="auto" w:fill="D9E2F3"/>
            <w:vAlign w:val="center"/>
          </w:tcPr>
          <w:p w14:paraId="5F41B6AC" w14:textId="77777777" w:rsidR="00990B14" w:rsidRDefault="00000000">
            <w:pPr>
              <w:spacing w:before="20" w:after="20"/>
              <w:jc w:val="both"/>
            </w:pPr>
            <w:r>
              <w:rPr>
                <w:sz w:val="18"/>
                <w:szCs w:val="18"/>
              </w:rPr>
              <w:t>Considera los conflictos de interés en el diseño.</w:t>
            </w:r>
          </w:p>
        </w:tc>
        <w:tc>
          <w:tcPr>
            <w:tcW w:w="1813" w:type="dxa"/>
            <w:shd w:val="clear" w:color="auto" w:fill="D9E2F3"/>
            <w:vAlign w:val="center"/>
          </w:tcPr>
          <w:p w14:paraId="7709C8CF" w14:textId="77777777" w:rsidR="00990B14" w:rsidRDefault="00000000">
            <w:pPr>
              <w:spacing w:before="20" w:after="20"/>
              <w:jc w:val="both"/>
            </w:pPr>
            <w:r>
              <w:rPr>
                <w:sz w:val="18"/>
                <w:szCs w:val="18"/>
              </w:rPr>
              <w:t>Propone una política de conducta para el área.</w:t>
            </w:r>
          </w:p>
        </w:tc>
      </w:tr>
      <w:tr w:rsidR="00990B14" w14:paraId="471B12E5" w14:textId="77777777">
        <w:trPr>
          <w:cantSplit/>
          <w:jc w:val="center"/>
        </w:trPr>
        <w:tc>
          <w:tcPr>
            <w:tcW w:w="1533" w:type="dxa"/>
            <w:vMerge/>
            <w:shd w:val="clear" w:color="auto" w:fill="4472C4"/>
            <w:vAlign w:val="center"/>
          </w:tcPr>
          <w:p w14:paraId="6B6D2BE2" w14:textId="77777777" w:rsidR="00990B14" w:rsidRDefault="00990B14">
            <w:pPr>
              <w:spacing w:before="20" w:after="20"/>
            </w:pPr>
          </w:p>
        </w:tc>
        <w:tc>
          <w:tcPr>
            <w:tcW w:w="6059" w:type="dxa"/>
            <w:gridSpan w:val="3"/>
            <w:shd w:val="clear" w:color="auto" w:fill="D9E2F3"/>
            <w:vAlign w:val="center"/>
          </w:tcPr>
          <w:p w14:paraId="56396759" w14:textId="77777777" w:rsidR="00990B14" w:rsidRDefault="00000000">
            <w:pPr>
              <w:keepNext/>
              <w:spacing w:before="20" w:after="20"/>
              <w:jc w:val="both"/>
            </w:pPr>
            <w:r>
              <w:rPr>
                <w:b/>
                <w:bCs/>
                <w:i/>
                <w:iCs/>
                <w:sz w:val="18"/>
                <w:szCs w:val="18"/>
              </w:rPr>
              <w:t xml:space="preserve">Producto 21: </w:t>
            </w:r>
            <w:r>
              <w:rPr>
                <w:sz w:val="18"/>
                <w:szCs w:val="18"/>
              </w:rPr>
              <w:t>Esquema del Sistema de Contabilidad Integrada</w:t>
            </w:r>
          </w:p>
        </w:tc>
        <w:tc>
          <w:tcPr>
            <w:tcW w:w="1813" w:type="dxa"/>
            <w:shd w:val="clear" w:color="auto" w:fill="D9E2F3"/>
            <w:vAlign w:val="center"/>
          </w:tcPr>
          <w:p w14:paraId="733EB10C" w14:textId="77777777" w:rsidR="00990B14" w:rsidRDefault="00000000">
            <w:pPr>
              <w:spacing w:before="20" w:after="20"/>
              <w:jc w:val="center"/>
            </w:pPr>
            <w:r>
              <w:rPr>
                <w:b/>
                <w:bCs/>
                <w:sz w:val="18"/>
                <w:szCs w:val="18"/>
              </w:rPr>
              <w:t>3%</w:t>
            </w:r>
          </w:p>
        </w:tc>
      </w:tr>
      <w:tr w:rsidR="00990B14" w14:paraId="77419F85" w14:textId="77777777">
        <w:trPr>
          <w:cantSplit/>
          <w:jc w:val="center"/>
        </w:trPr>
        <w:tc>
          <w:tcPr>
            <w:tcW w:w="1533" w:type="dxa"/>
            <w:vMerge/>
            <w:shd w:val="clear" w:color="auto" w:fill="4472C4"/>
            <w:vAlign w:val="center"/>
          </w:tcPr>
          <w:p w14:paraId="74B0A6A4" w14:textId="77777777" w:rsidR="00990B14" w:rsidRDefault="00990B14">
            <w:pPr>
              <w:spacing w:before="20" w:after="20"/>
            </w:pPr>
          </w:p>
        </w:tc>
        <w:tc>
          <w:tcPr>
            <w:tcW w:w="1812" w:type="dxa"/>
            <w:shd w:val="clear" w:color="auto" w:fill="4472C4"/>
            <w:vAlign w:val="center"/>
          </w:tcPr>
          <w:p w14:paraId="37F5DE69" w14:textId="77777777" w:rsidR="00990B14" w:rsidRDefault="00000000">
            <w:pPr>
              <w:keepNext/>
              <w:spacing w:before="20" w:after="20"/>
              <w:jc w:val="center"/>
            </w:pPr>
            <w:r>
              <w:rPr>
                <w:b/>
                <w:bCs/>
                <w:i/>
                <w:iCs/>
                <w:color w:val="FFFFFF"/>
                <w:sz w:val="18"/>
                <w:szCs w:val="18"/>
              </w:rPr>
              <w:t>Criterio</w:t>
            </w:r>
          </w:p>
        </w:tc>
        <w:tc>
          <w:tcPr>
            <w:tcW w:w="2435" w:type="dxa"/>
            <w:shd w:val="clear" w:color="auto" w:fill="4472C4"/>
            <w:vAlign w:val="center"/>
          </w:tcPr>
          <w:p w14:paraId="6E622D4C" w14:textId="77777777" w:rsidR="00990B14" w:rsidRDefault="00000000">
            <w:pPr>
              <w:keepNext/>
              <w:spacing w:before="20" w:after="20"/>
              <w:jc w:val="center"/>
            </w:pPr>
            <w:r>
              <w:rPr>
                <w:b/>
                <w:bCs/>
                <w:i/>
                <w:iCs/>
                <w:color w:val="FFFFFF"/>
                <w:sz w:val="18"/>
                <w:szCs w:val="18"/>
              </w:rPr>
              <w:t>Insuficiente (1–50)</w:t>
            </w:r>
          </w:p>
        </w:tc>
        <w:tc>
          <w:tcPr>
            <w:tcW w:w="1812" w:type="dxa"/>
            <w:shd w:val="clear" w:color="auto" w:fill="4472C4"/>
            <w:vAlign w:val="center"/>
          </w:tcPr>
          <w:p w14:paraId="47709D91" w14:textId="77777777" w:rsidR="00990B14" w:rsidRDefault="00000000">
            <w:pPr>
              <w:keepNext/>
              <w:spacing w:before="20" w:after="20"/>
              <w:jc w:val="center"/>
            </w:pPr>
            <w:r>
              <w:rPr>
                <w:b/>
                <w:bCs/>
                <w:i/>
                <w:iCs/>
                <w:color w:val="FFFFFF"/>
                <w:sz w:val="18"/>
                <w:szCs w:val="18"/>
              </w:rPr>
              <w:t>Suficiente (51–80)</w:t>
            </w:r>
          </w:p>
        </w:tc>
        <w:tc>
          <w:tcPr>
            <w:tcW w:w="1813" w:type="dxa"/>
            <w:shd w:val="clear" w:color="auto" w:fill="4472C4"/>
            <w:vAlign w:val="center"/>
          </w:tcPr>
          <w:p w14:paraId="46599F50" w14:textId="77777777" w:rsidR="00990B14" w:rsidRDefault="00000000">
            <w:pPr>
              <w:keepNext/>
              <w:spacing w:before="20" w:after="20"/>
              <w:jc w:val="center"/>
            </w:pPr>
            <w:r>
              <w:rPr>
                <w:b/>
                <w:bCs/>
                <w:i/>
                <w:iCs/>
                <w:color w:val="FFFFFF"/>
                <w:sz w:val="18"/>
                <w:szCs w:val="18"/>
              </w:rPr>
              <w:t>Destacado (81–100)</w:t>
            </w:r>
          </w:p>
        </w:tc>
      </w:tr>
      <w:tr w:rsidR="00990B14" w14:paraId="3CFEE2C2" w14:textId="77777777">
        <w:trPr>
          <w:cantSplit/>
          <w:jc w:val="center"/>
        </w:trPr>
        <w:tc>
          <w:tcPr>
            <w:tcW w:w="1533" w:type="dxa"/>
            <w:vMerge/>
            <w:shd w:val="clear" w:color="auto" w:fill="4472C4"/>
            <w:vAlign w:val="center"/>
          </w:tcPr>
          <w:p w14:paraId="2B919AE4" w14:textId="77777777" w:rsidR="00990B14" w:rsidRDefault="00990B14">
            <w:pPr>
              <w:spacing w:before="20" w:after="20"/>
            </w:pPr>
          </w:p>
        </w:tc>
        <w:tc>
          <w:tcPr>
            <w:tcW w:w="1812" w:type="dxa"/>
            <w:shd w:val="clear" w:color="auto" w:fill="D9E2F3"/>
            <w:vAlign w:val="center"/>
          </w:tcPr>
          <w:p w14:paraId="0BEFF420" w14:textId="77777777" w:rsidR="00990B14" w:rsidRDefault="00000000">
            <w:pPr>
              <w:spacing w:before="20" w:after="20"/>
              <w:jc w:val="both"/>
            </w:pPr>
            <w:r>
              <w:rPr>
                <w:sz w:val="18"/>
                <w:szCs w:val="18"/>
              </w:rPr>
              <w:t>Organización del sistema</w:t>
            </w:r>
          </w:p>
        </w:tc>
        <w:tc>
          <w:tcPr>
            <w:tcW w:w="2435" w:type="dxa"/>
            <w:shd w:val="clear" w:color="auto" w:fill="D9E2F3"/>
            <w:vAlign w:val="center"/>
          </w:tcPr>
          <w:p w14:paraId="0F751431" w14:textId="77777777" w:rsidR="00990B14" w:rsidRDefault="00000000">
            <w:pPr>
              <w:spacing w:before="20" w:after="20"/>
              <w:jc w:val="both"/>
            </w:pPr>
            <w:r>
              <w:rPr>
                <w:sz w:val="18"/>
                <w:szCs w:val="18"/>
              </w:rPr>
              <w:t>Confunde los órganos del sistema.</w:t>
            </w:r>
          </w:p>
        </w:tc>
        <w:tc>
          <w:tcPr>
            <w:tcW w:w="1812" w:type="dxa"/>
            <w:shd w:val="clear" w:color="auto" w:fill="D9E2F3"/>
            <w:vAlign w:val="center"/>
          </w:tcPr>
          <w:p w14:paraId="199467DB" w14:textId="77777777" w:rsidR="00990B14" w:rsidRDefault="00000000">
            <w:pPr>
              <w:spacing w:before="20" w:after="20"/>
              <w:jc w:val="both"/>
            </w:pPr>
            <w:r>
              <w:rPr>
                <w:sz w:val="18"/>
                <w:szCs w:val="18"/>
              </w:rPr>
              <w:t>Describe el órgano rector y las unidades ejecutoras.</w:t>
            </w:r>
          </w:p>
        </w:tc>
        <w:tc>
          <w:tcPr>
            <w:tcW w:w="1813" w:type="dxa"/>
            <w:shd w:val="clear" w:color="auto" w:fill="D9E2F3"/>
            <w:vAlign w:val="center"/>
          </w:tcPr>
          <w:p w14:paraId="6D60FE0B" w14:textId="77777777" w:rsidR="00990B14" w:rsidRDefault="00000000">
            <w:pPr>
              <w:spacing w:before="20" w:after="20"/>
              <w:jc w:val="both"/>
            </w:pPr>
            <w:r>
              <w:rPr>
                <w:sz w:val="18"/>
                <w:szCs w:val="18"/>
              </w:rPr>
              <w:t>Relaciona la organización con su reglamento específico.</w:t>
            </w:r>
          </w:p>
        </w:tc>
      </w:tr>
      <w:tr w:rsidR="00990B14" w14:paraId="4F5038AC" w14:textId="77777777">
        <w:trPr>
          <w:cantSplit/>
          <w:jc w:val="center"/>
        </w:trPr>
        <w:tc>
          <w:tcPr>
            <w:tcW w:w="1533" w:type="dxa"/>
            <w:vMerge/>
            <w:shd w:val="clear" w:color="auto" w:fill="4472C4"/>
            <w:vAlign w:val="center"/>
          </w:tcPr>
          <w:p w14:paraId="194E0292" w14:textId="77777777" w:rsidR="00990B14" w:rsidRDefault="00990B14">
            <w:pPr>
              <w:spacing w:before="20" w:after="20"/>
            </w:pPr>
          </w:p>
        </w:tc>
        <w:tc>
          <w:tcPr>
            <w:tcW w:w="1812" w:type="dxa"/>
            <w:shd w:val="clear" w:color="auto" w:fill="D9E2F3"/>
            <w:vAlign w:val="center"/>
          </w:tcPr>
          <w:p w14:paraId="60C56990" w14:textId="77777777" w:rsidR="00990B14" w:rsidRDefault="00000000">
            <w:pPr>
              <w:spacing w:before="20" w:after="20"/>
              <w:jc w:val="both"/>
            </w:pPr>
            <w:r>
              <w:rPr>
                <w:sz w:val="18"/>
                <w:szCs w:val="18"/>
              </w:rPr>
              <w:t>Procesos y estados</w:t>
            </w:r>
          </w:p>
        </w:tc>
        <w:tc>
          <w:tcPr>
            <w:tcW w:w="2435" w:type="dxa"/>
            <w:shd w:val="clear" w:color="auto" w:fill="D9E2F3"/>
            <w:vAlign w:val="center"/>
          </w:tcPr>
          <w:p w14:paraId="106FA0F1" w14:textId="77777777" w:rsidR="00990B14" w:rsidRDefault="00000000">
            <w:pPr>
              <w:spacing w:before="20" w:after="20"/>
              <w:jc w:val="both"/>
            </w:pPr>
            <w:r>
              <w:rPr>
                <w:sz w:val="18"/>
                <w:szCs w:val="18"/>
              </w:rPr>
              <w:t>Omite procesos o estados financieros.</w:t>
            </w:r>
          </w:p>
        </w:tc>
        <w:tc>
          <w:tcPr>
            <w:tcW w:w="1812" w:type="dxa"/>
            <w:shd w:val="clear" w:color="auto" w:fill="D9E2F3"/>
            <w:vAlign w:val="center"/>
          </w:tcPr>
          <w:p w14:paraId="257DF90C" w14:textId="77777777" w:rsidR="00990B14" w:rsidRDefault="00000000">
            <w:pPr>
              <w:spacing w:before="20" w:after="20"/>
              <w:jc w:val="both"/>
            </w:pPr>
            <w:r>
              <w:rPr>
                <w:sz w:val="18"/>
                <w:szCs w:val="18"/>
              </w:rPr>
              <w:t>Describe los procesos y los estados que genera el sistema.</w:t>
            </w:r>
          </w:p>
        </w:tc>
        <w:tc>
          <w:tcPr>
            <w:tcW w:w="1813" w:type="dxa"/>
            <w:shd w:val="clear" w:color="auto" w:fill="D9E2F3"/>
            <w:vAlign w:val="center"/>
          </w:tcPr>
          <w:p w14:paraId="6CC7FD60" w14:textId="77777777" w:rsidR="00990B14" w:rsidRDefault="00000000">
            <w:pPr>
              <w:spacing w:before="20" w:after="20"/>
              <w:jc w:val="both"/>
            </w:pPr>
            <w:r>
              <w:rPr>
                <w:sz w:val="18"/>
                <w:szCs w:val="18"/>
              </w:rPr>
              <w:t>Relaciona los estados con la rendición de cuentas.</w:t>
            </w:r>
          </w:p>
        </w:tc>
      </w:tr>
      <w:tr w:rsidR="00990B14" w14:paraId="072997F6" w14:textId="77777777">
        <w:trPr>
          <w:cantSplit/>
          <w:jc w:val="center"/>
        </w:trPr>
        <w:tc>
          <w:tcPr>
            <w:tcW w:w="1533" w:type="dxa"/>
            <w:vMerge/>
            <w:shd w:val="clear" w:color="auto" w:fill="4472C4"/>
            <w:vAlign w:val="center"/>
          </w:tcPr>
          <w:p w14:paraId="539AEE6F" w14:textId="77777777" w:rsidR="00990B14" w:rsidRDefault="00990B14">
            <w:pPr>
              <w:spacing w:before="20" w:after="20"/>
            </w:pPr>
          </w:p>
        </w:tc>
        <w:tc>
          <w:tcPr>
            <w:tcW w:w="1812" w:type="dxa"/>
            <w:shd w:val="clear" w:color="auto" w:fill="D9E2F3"/>
            <w:vAlign w:val="center"/>
          </w:tcPr>
          <w:p w14:paraId="79B9EAE4" w14:textId="77777777" w:rsidR="00990B14" w:rsidRDefault="00000000">
            <w:pPr>
              <w:spacing w:before="20" w:after="20"/>
              <w:jc w:val="both"/>
            </w:pPr>
            <w:r>
              <w:rPr>
                <w:sz w:val="18"/>
                <w:szCs w:val="18"/>
              </w:rPr>
              <w:t>Claridad de la exposición</w:t>
            </w:r>
          </w:p>
        </w:tc>
        <w:tc>
          <w:tcPr>
            <w:tcW w:w="2435" w:type="dxa"/>
            <w:shd w:val="clear" w:color="auto" w:fill="D9E2F3"/>
            <w:vAlign w:val="center"/>
          </w:tcPr>
          <w:p w14:paraId="6C753379" w14:textId="77777777" w:rsidR="00990B14" w:rsidRDefault="00000000">
            <w:pPr>
              <w:spacing w:before="20" w:after="20"/>
              <w:jc w:val="both"/>
            </w:pPr>
            <w:r>
              <w:rPr>
                <w:sz w:val="18"/>
                <w:szCs w:val="18"/>
              </w:rPr>
              <w:t>La exposición es desordenada.</w:t>
            </w:r>
          </w:p>
        </w:tc>
        <w:tc>
          <w:tcPr>
            <w:tcW w:w="1812" w:type="dxa"/>
            <w:shd w:val="clear" w:color="auto" w:fill="D9E2F3"/>
            <w:vAlign w:val="center"/>
          </w:tcPr>
          <w:p w14:paraId="67449287" w14:textId="77777777" w:rsidR="00990B14" w:rsidRDefault="00000000">
            <w:pPr>
              <w:spacing w:before="20" w:after="20"/>
              <w:jc w:val="both"/>
            </w:pPr>
            <w:r>
              <w:rPr>
                <w:sz w:val="18"/>
                <w:szCs w:val="18"/>
              </w:rPr>
              <w:t>La exposición es clara y ordenada.</w:t>
            </w:r>
          </w:p>
        </w:tc>
        <w:tc>
          <w:tcPr>
            <w:tcW w:w="1813" w:type="dxa"/>
            <w:shd w:val="clear" w:color="auto" w:fill="D9E2F3"/>
            <w:vAlign w:val="center"/>
          </w:tcPr>
          <w:p w14:paraId="4CB642B2" w14:textId="77777777" w:rsidR="00990B14" w:rsidRDefault="00000000">
            <w:pPr>
              <w:spacing w:before="20" w:after="20"/>
              <w:jc w:val="both"/>
            </w:pPr>
            <w:r>
              <w:rPr>
                <w:sz w:val="18"/>
                <w:szCs w:val="18"/>
              </w:rPr>
              <w:t>Responde con solvencia las preguntas del curso.</w:t>
            </w:r>
          </w:p>
        </w:tc>
      </w:tr>
      <w:tr w:rsidR="00990B14" w14:paraId="2F317183" w14:textId="77777777">
        <w:trPr>
          <w:cantSplit/>
          <w:jc w:val="center"/>
        </w:trPr>
        <w:tc>
          <w:tcPr>
            <w:tcW w:w="1533" w:type="dxa"/>
            <w:vMerge/>
            <w:shd w:val="clear" w:color="auto" w:fill="4472C4"/>
            <w:vAlign w:val="center"/>
          </w:tcPr>
          <w:p w14:paraId="61B75E0E" w14:textId="77777777" w:rsidR="00990B14" w:rsidRDefault="00990B14">
            <w:pPr>
              <w:spacing w:before="20" w:after="20"/>
            </w:pPr>
          </w:p>
        </w:tc>
        <w:tc>
          <w:tcPr>
            <w:tcW w:w="6059" w:type="dxa"/>
            <w:gridSpan w:val="3"/>
            <w:shd w:val="clear" w:color="auto" w:fill="D9E2F3"/>
            <w:vAlign w:val="center"/>
          </w:tcPr>
          <w:p w14:paraId="52A026F0" w14:textId="77777777" w:rsidR="00990B14" w:rsidRDefault="00000000">
            <w:pPr>
              <w:keepNext/>
              <w:spacing w:before="20" w:after="20"/>
              <w:jc w:val="both"/>
            </w:pPr>
            <w:r>
              <w:rPr>
                <w:b/>
                <w:bCs/>
                <w:i/>
                <w:iCs/>
                <w:sz w:val="18"/>
                <w:szCs w:val="18"/>
              </w:rPr>
              <w:t xml:space="preserve">Producto 22: </w:t>
            </w:r>
            <w:r>
              <w:rPr>
                <w:sz w:val="18"/>
                <w:szCs w:val="18"/>
              </w:rPr>
              <w:t>Cuadro de módulos del SIGEP</w:t>
            </w:r>
          </w:p>
        </w:tc>
        <w:tc>
          <w:tcPr>
            <w:tcW w:w="1813" w:type="dxa"/>
            <w:shd w:val="clear" w:color="auto" w:fill="D9E2F3"/>
            <w:vAlign w:val="center"/>
          </w:tcPr>
          <w:p w14:paraId="65029595" w14:textId="77777777" w:rsidR="00990B14" w:rsidRDefault="00000000">
            <w:pPr>
              <w:spacing w:before="20" w:after="20"/>
              <w:jc w:val="center"/>
            </w:pPr>
            <w:r>
              <w:rPr>
                <w:b/>
                <w:bCs/>
                <w:sz w:val="18"/>
                <w:szCs w:val="18"/>
              </w:rPr>
              <w:t>3%</w:t>
            </w:r>
          </w:p>
        </w:tc>
      </w:tr>
      <w:tr w:rsidR="00990B14" w14:paraId="230345AC" w14:textId="77777777">
        <w:trPr>
          <w:cantSplit/>
          <w:jc w:val="center"/>
        </w:trPr>
        <w:tc>
          <w:tcPr>
            <w:tcW w:w="1533" w:type="dxa"/>
            <w:vMerge/>
            <w:shd w:val="clear" w:color="auto" w:fill="4472C4"/>
            <w:vAlign w:val="center"/>
          </w:tcPr>
          <w:p w14:paraId="16DC7626" w14:textId="77777777" w:rsidR="00990B14" w:rsidRDefault="00990B14">
            <w:pPr>
              <w:spacing w:before="20" w:after="20"/>
            </w:pPr>
          </w:p>
        </w:tc>
        <w:tc>
          <w:tcPr>
            <w:tcW w:w="1812" w:type="dxa"/>
            <w:shd w:val="clear" w:color="auto" w:fill="4472C4"/>
            <w:vAlign w:val="center"/>
          </w:tcPr>
          <w:p w14:paraId="22AD5531" w14:textId="77777777" w:rsidR="00990B14" w:rsidRDefault="00000000">
            <w:pPr>
              <w:keepNext/>
              <w:spacing w:before="20" w:after="20"/>
              <w:jc w:val="center"/>
            </w:pPr>
            <w:r>
              <w:rPr>
                <w:b/>
                <w:bCs/>
                <w:i/>
                <w:iCs/>
                <w:color w:val="FFFFFF"/>
                <w:sz w:val="18"/>
                <w:szCs w:val="18"/>
              </w:rPr>
              <w:t>Criterio</w:t>
            </w:r>
          </w:p>
        </w:tc>
        <w:tc>
          <w:tcPr>
            <w:tcW w:w="2435" w:type="dxa"/>
            <w:shd w:val="clear" w:color="auto" w:fill="4472C4"/>
            <w:vAlign w:val="center"/>
          </w:tcPr>
          <w:p w14:paraId="6EA9F3EB" w14:textId="77777777" w:rsidR="00990B14" w:rsidRDefault="00000000">
            <w:pPr>
              <w:keepNext/>
              <w:spacing w:before="20" w:after="20"/>
              <w:jc w:val="center"/>
            </w:pPr>
            <w:r>
              <w:rPr>
                <w:b/>
                <w:bCs/>
                <w:i/>
                <w:iCs/>
                <w:color w:val="FFFFFF"/>
                <w:sz w:val="18"/>
                <w:szCs w:val="18"/>
              </w:rPr>
              <w:t>Insuficiente (1–50)</w:t>
            </w:r>
          </w:p>
        </w:tc>
        <w:tc>
          <w:tcPr>
            <w:tcW w:w="1812" w:type="dxa"/>
            <w:shd w:val="clear" w:color="auto" w:fill="4472C4"/>
            <w:vAlign w:val="center"/>
          </w:tcPr>
          <w:p w14:paraId="08FF6447" w14:textId="77777777" w:rsidR="00990B14" w:rsidRDefault="00000000">
            <w:pPr>
              <w:keepNext/>
              <w:spacing w:before="20" w:after="20"/>
              <w:jc w:val="center"/>
            </w:pPr>
            <w:r>
              <w:rPr>
                <w:b/>
                <w:bCs/>
                <w:i/>
                <w:iCs/>
                <w:color w:val="FFFFFF"/>
                <w:sz w:val="18"/>
                <w:szCs w:val="18"/>
              </w:rPr>
              <w:t>Suficiente (51–80)</w:t>
            </w:r>
          </w:p>
        </w:tc>
        <w:tc>
          <w:tcPr>
            <w:tcW w:w="1813" w:type="dxa"/>
            <w:shd w:val="clear" w:color="auto" w:fill="4472C4"/>
            <w:vAlign w:val="center"/>
          </w:tcPr>
          <w:p w14:paraId="48B6AC78" w14:textId="77777777" w:rsidR="00990B14" w:rsidRDefault="00000000">
            <w:pPr>
              <w:keepNext/>
              <w:spacing w:before="20" w:after="20"/>
              <w:jc w:val="center"/>
            </w:pPr>
            <w:r>
              <w:rPr>
                <w:b/>
                <w:bCs/>
                <w:i/>
                <w:iCs/>
                <w:color w:val="FFFFFF"/>
                <w:sz w:val="18"/>
                <w:szCs w:val="18"/>
              </w:rPr>
              <w:t>Destacado (81–100)</w:t>
            </w:r>
          </w:p>
        </w:tc>
      </w:tr>
      <w:tr w:rsidR="00990B14" w14:paraId="104153D7" w14:textId="77777777">
        <w:trPr>
          <w:cantSplit/>
          <w:jc w:val="center"/>
        </w:trPr>
        <w:tc>
          <w:tcPr>
            <w:tcW w:w="1533" w:type="dxa"/>
            <w:vMerge/>
            <w:shd w:val="clear" w:color="auto" w:fill="4472C4"/>
            <w:vAlign w:val="center"/>
          </w:tcPr>
          <w:p w14:paraId="4F94954D" w14:textId="77777777" w:rsidR="00990B14" w:rsidRDefault="00990B14">
            <w:pPr>
              <w:spacing w:before="20" w:after="20"/>
            </w:pPr>
          </w:p>
        </w:tc>
        <w:tc>
          <w:tcPr>
            <w:tcW w:w="1812" w:type="dxa"/>
            <w:shd w:val="clear" w:color="auto" w:fill="D9E2F3"/>
            <w:vAlign w:val="center"/>
          </w:tcPr>
          <w:p w14:paraId="12307F32" w14:textId="77777777" w:rsidR="00990B14" w:rsidRDefault="00000000">
            <w:pPr>
              <w:spacing w:before="20" w:after="20"/>
              <w:jc w:val="both"/>
            </w:pPr>
            <w:r>
              <w:rPr>
                <w:sz w:val="18"/>
                <w:szCs w:val="18"/>
              </w:rPr>
              <w:t>Identificación de módulos</w:t>
            </w:r>
          </w:p>
        </w:tc>
        <w:tc>
          <w:tcPr>
            <w:tcW w:w="2435" w:type="dxa"/>
            <w:shd w:val="clear" w:color="auto" w:fill="D9E2F3"/>
            <w:vAlign w:val="center"/>
          </w:tcPr>
          <w:p w14:paraId="698C5AEE" w14:textId="77777777" w:rsidR="00990B14" w:rsidRDefault="00000000">
            <w:pPr>
              <w:spacing w:before="20" w:after="20"/>
              <w:jc w:val="both"/>
            </w:pPr>
            <w:r>
              <w:rPr>
                <w:sz w:val="18"/>
                <w:szCs w:val="18"/>
              </w:rPr>
              <w:t>Omite módulos relevantes.</w:t>
            </w:r>
          </w:p>
        </w:tc>
        <w:tc>
          <w:tcPr>
            <w:tcW w:w="1812" w:type="dxa"/>
            <w:shd w:val="clear" w:color="auto" w:fill="D9E2F3"/>
            <w:vAlign w:val="center"/>
          </w:tcPr>
          <w:p w14:paraId="48895E63" w14:textId="77777777" w:rsidR="00990B14" w:rsidRDefault="00000000">
            <w:pPr>
              <w:spacing w:before="20" w:after="20"/>
              <w:jc w:val="both"/>
            </w:pPr>
            <w:r>
              <w:rPr>
                <w:sz w:val="18"/>
                <w:szCs w:val="18"/>
              </w:rPr>
              <w:t>Identifica los módulos y su función.</w:t>
            </w:r>
          </w:p>
        </w:tc>
        <w:tc>
          <w:tcPr>
            <w:tcW w:w="1813" w:type="dxa"/>
            <w:shd w:val="clear" w:color="auto" w:fill="D9E2F3"/>
            <w:vAlign w:val="center"/>
          </w:tcPr>
          <w:p w14:paraId="58F6D474" w14:textId="77777777" w:rsidR="00990B14" w:rsidRDefault="00000000">
            <w:pPr>
              <w:spacing w:before="20" w:after="20"/>
              <w:jc w:val="both"/>
            </w:pPr>
            <w:r>
              <w:rPr>
                <w:sz w:val="18"/>
                <w:szCs w:val="18"/>
              </w:rPr>
              <w:t>Explica la integración entre presupuesto, contabilidad y tesorería.</w:t>
            </w:r>
          </w:p>
        </w:tc>
      </w:tr>
      <w:tr w:rsidR="00990B14" w14:paraId="701020B0" w14:textId="77777777">
        <w:trPr>
          <w:cantSplit/>
          <w:jc w:val="center"/>
        </w:trPr>
        <w:tc>
          <w:tcPr>
            <w:tcW w:w="1533" w:type="dxa"/>
            <w:vMerge/>
            <w:shd w:val="clear" w:color="auto" w:fill="4472C4"/>
            <w:vAlign w:val="center"/>
          </w:tcPr>
          <w:p w14:paraId="353A0F96" w14:textId="77777777" w:rsidR="00990B14" w:rsidRDefault="00990B14">
            <w:pPr>
              <w:spacing w:before="20" w:after="20"/>
            </w:pPr>
          </w:p>
        </w:tc>
        <w:tc>
          <w:tcPr>
            <w:tcW w:w="1812" w:type="dxa"/>
            <w:shd w:val="clear" w:color="auto" w:fill="D9E2F3"/>
            <w:vAlign w:val="center"/>
          </w:tcPr>
          <w:p w14:paraId="0F74B4FA" w14:textId="77777777" w:rsidR="00990B14" w:rsidRDefault="00000000">
            <w:pPr>
              <w:spacing w:before="20" w:after="20"/>
              <w:jc w:val="both"/>
            </w:pPr>
            <w:r>
              <w:rPr>
                <w:sz w:val="18"/>
                <w:szCs w:val="18"/>
              </w:rPr>
              <w:t>Relación con el diseño</w:t>
            </w:r>
          </w:p>
        </w:tc>
        <w:tc>
          <w:tcPr>
            <w:tcW w:w="2435" w:type="dxa"/>
            <w:shd w:val="clear" w:color="auto" w:fill="D9E2F3"/>
            <w:vAlign w:val="center"/>
          </w:tcPr>
          <w:p w14:paraId="0B4F993D" w14:textId="77777777" w:rsidR="00990B14" w:rsidRDefault="00000000">
            <w:pPr>
              <w:spacing w:before="20" w:after="20"/>
              <w:jc w:val="both"/>
            </w:pPr>
            <w:r>
              <w:rPr>
                <w:sz w:val="18"/>
                <w:szCs w:val="18"/>
              </w:rPr>
              <w:t>No relaciona los módulos con el diseño.</w:t>
            </w:r>
          </w:p>
        </w:tc>
        <w:tc>
          <w:tcPr>
            <w:tcW w:w="1812" w:type="dxa"/>
            <w:shd w:val="clear" w:color="auto" w:fill="D9E2F3"/>
            <w:vAlign w:val="center"/>
          </w:tcPr>
          <w:p w14:paraId="07B67867" w14:textId="77777777" w:rsidR="00990B14" w:rsidRDefault="00000000">
            <w:pPr>
              <w:spacing w:before="20" w:after="20"/>
              <w:jc w:val="both"/>
            </w:pPr>
            <w:r>
              <w:rPr>
                <w:sz w:val="18"/>
                <w:szCs w:val="18"/>
              </w:rPr>
              <w:t>Vincula cada módulo con el sistema contable de la entidad.</w:t>
            </w:r>
          </w:p>
        </w:tc>
        <w:tc>
          <w:tcPr>
            <w:tcW w:w="1813" w:type="dxa"/>
            <w:shd w:val="clear" w:color="auto" w:fill="D9E2F3"/>
            <w:vAlign w:val="center"/>
          </w:tcPr>
          <w:p w14:paraId="7E35C694" w14:textId="77777777" w:rsidR="00990B14" w:rsidRDefault="00000000">
            <w:pPr>
              <w:spacing w:before="20" w:after="20"/>
              <w:jc w:val="both"/>
            </w:pPr>
            <w:r>
              <w:rPr>
                <w:sz w:val="18"/>
                <w:szCs w:val="18"/>
              </w:rPr>
              <w:t>Señala los controles que aporta cada módulo.</w:t>
            </w:r>
          </w:p>
        </w:tc>
      </w:tr>
      <w:tr w:rsidR="00990B14" w14:paraId="3D82CA40" w14:textId="77777777">
        <w:trPr>
          <w:cantSplit/>
          <w:jc w:val="center"/>
        </w:trPr>
        <w:tc>
          <w:tcPr>
            <w:tcW w:w="1533" w:type="dxa"/>
            <w:vMerge/>
            <w:shd w:val="clear" w:color="auto" w:fill="4472C4"/>
            <w:vAlign w:val="center"/>
          </w:tcPr>
          <w:p w14:paraId="35C2E2C5" w14:textId="77777777" w:rsidR="00990B14" w:rsidRDefault="00990B14">
            <w:pPr>
              <w:spacing w:before="20" w:after="20"/>
            </w:pPr>
          </w:p>
        </w:tc>
        <w:tc>
          <w:tcPr>
            <w:tcW w:w="1812" w:type="dxa"/>
            <w:shd w:val="clear" w:color="auto" w:fill="D9E2F3"/>
            <w:vAlign w:val="center"/>
          </w:tcPr>
          <w:p w14:paraId="10826986" w14:textId="77777777" w:rsidR="00990B14" w:rsidRDefault="00000000">
            <w:pPr>
              <w:spacing w:before="20" w:after="20"/>
              <w:jc w:val="both"/>
            </w:pPr>
            <w:r>
              <w:rPr>
                <w:sz w:val="18"/>
                <w:szCs w:val="18"/>
              </w:rPr>
              <w:t>Precisión normativa</w:t>
            </w:r>
          </w:p>
        </w:tc>
        <w:tc>
          <w:tcPr>
            <w:tcW w:w="2435" w:type="dxa"/>
            <w:shd w:val="clear" w:color="auto" w:fill="D9E2F3"/>
            <w:vAlign w:val="center"/>
          </w:tcPr>
          <w:p w14:paraId="7616F7DE" w14:textId="77777777" w:rsidR="00990B14" w:rsidRDefault="00000000">
            <w:pPr>
              <w:spacing w:before="20" w:after="20"/>
              <w:jc w:val="both"/>
            </w:pPr>
            <w:r>
              <w:rPr>
                <w:sz w:val="18"/>
                <w:szCs w:val="18"/>
              </w:rPr>
              <w:t>Cita normas de forma imprecisa.</w:t>
            </w:r>
          </w:p>
        </w:tc>
        <w:tc>
          <w:tcPr>
            <w:tcW w:w="1812" w:type="dxa"/>
            <w:shd w:val="clear" w:color="auto" w:fill="D9E2F3"/>
            <w:vAlign w:val="center"/>
          </w:tcPr>
          <w:p w14:paraId="6A2FF6B5" w14:textId="77777777" w:rsidR="00990B14" w:rsidRDefault="00000000">
            <w:pPr>
              <w:spacing w:before="20" w:after="20"/>
              <w:jc w:val="both"/>
            </w:pPr>
            <w:r>
              <w:rPr>
                <w:sz w:val="18"/>
                <w:szCs w:val="18"/>
              </w:rPr>
              <w:t>Cita correctamente la normativa aplicable.</w:t>
            </w:r>
          </w:p>
        </w:tc>
        <w:tc>
          <w:tcPr>
            <w:tcW w:w="1813" w:type="dxa"/>
            <w:shd w:val="clear" w:color="auto" w:fill="D9E2F3"/>
            <w:vAlign w:val="center"/>
          </w:tcPr>
          <w:p w14:paraId="4D186FB8" w14:textId="77777777" w:rsidR="00990B14" w:rsidRDefault="00000000">
            <w:pPr>
              <w:spacing w:before="20" w:after="20"/>
              <w:jc w:val="both"/>
            </w:pPr>
            <w:r>
              <w:rPr>
                <w:sz w:val="18"/>
                <w:szCs w:val="18"/>
              </w:rPr>
              <w:t>Contrasta la normativa con la práctica de una entidad.</w:t>
            </w:r>
          </w:p>
        </w:tc>
      </w:tr>
      <w:tr w:rsidR="00990B14" w14:paraId="4F28D499" w14:textId="77777777">
        <w:trPr>
          <w:cantSplit/>
          <w:jc w:val="center"/>
        </w:trPr>
        <w:tc>
          <w:tcPr>
            <w:tcW w:w="1533" w:type="dxa"/>
            <w:vMerge/>
            <w:shd w:val="clear" w:color="auto" w:fill="4472C4"/>
            <w:vAlign w:val="center"/>
          </w:tcPr>
          <w:p w14:paraId="5D95BC02" w14:textId="77777777" w:rsidR="00990B14" w:rsidRDefault="00990B14">
            <w:pPr>
              <w:spacing w:before="20" w:after="20"/>
            </w:pPr>
          </w:p>
        </w:tc>
        <w:tc>
          <w:tcPr>
            <w:tcW w:w="6059" w:type="dxa"/>
            <w:gridSpan w:val="3"/>
            <w:shd w:val="clear" w:color="auto" w:fill="D9E2F3"/>
            <w:vAlign w:val="center"/>
          </w:tcPr>
          <w:p w14:paraId="545A92DC" w14:textId="77777777" w:rsidR="00990B14" w:rsidRDefault="00000000">
            <w:pPr>
              <w:keepNext/>
              <w:spacing w:before="20" w:after="20"/>
              <w:jc w:val="both"/>
            </w:pPr>
            <w:r>
              <w:rPr>
                <w:b/>
                <w:bCs/>
                <w:i/>
                <w:iCs/>
                <w:sz w:val="18"/>
                <w:szCs w:val="18"/>
              </w:rPr>
              <w:t xml:space="preserve">Producto 23: </w:t>
            </w:r>
            <w:r>
              <w:rPr>
                <w:sz w:val="18"/>
                <w:szCs w:val="18"/>
              </w:rPr>
              <w:t>Cuadro comparativo de sistemas SIAF</w:t>
            </w:r>
          </w:p>
        </w:tc>
        <w:tc>
          <w:tcPr>
            <w:tcW w:w="1813" w:type="dxa"/>
            <w:shd w:val="clear" w:color="auto" w:fill="D9E2F3"/>
            <w:vAlign w:val="center"/>
          </w:tcPr>
          <w:p w14:paraId="31C0DE9C" w14:textId="77777777" w:rsidR="00990B14" w:rsidRDefault="00000000">
            <w:pPr>
              <w:spacing w:before="20" w:after="20"/>
              <w:jc w:val="center"/>
            </w:pPr>
            <w:r>
              <w:rPr>
                <w:b/>
                <w:bCs/>
                <w:sz w:val="18"/>
                <w:szCs w:val="18"/>
              </w:rPr>
              <w:t>2%</w:t>
            </w:r>
          </w:p>
        </w:tc>
      </w:tr>
      <w:tr w:rsidR="00990B14" w14:paraId="3A056CA1" w14:textId="77777777">
        <w:trPr>
          <w:cantSplit/>
          <w:jc w:val="center"/>
        </w:trPr>
        <w:tc>
          <w:tcPr>
            <w:tcW w:w="1533" w:type="dxa"/>
            <w:vMerge/>
            <w:shd w:val="clear" w:color="auto" w:fill="4472C4"/>
            <w:vAlign w:val="center"/>
          </w:tcPr>
          <w:p w14:paraId="6C70C7D2" w14:textId="77777777" w:rsidR="00990B14" w:rsidRDefault="00990B14">
            <w:pPr>
              <w:spacing w:before="20" w:after="20"/>
            </w:pPr>
          </w:p>
        </w:tc>
        <w:tc>
          <w:tcPr>
            <w:tcW w:w="1812" w:type="dxa"/>
            <w:shd w:val="clear" w:color="auto" w:fill="4472C4"/>
            <w:vAlign w:val="center"/>
          </w:tcPr>
          <w:p w14:paraId="3DAEC61D" w14:textId="77777777" w:rsidR="00990B14" w:rsidRDefault="00000000">
            <w:pPr>
              <w:keepNext/>
              <w:spacing w:before="20" w:after="20"/>
              <w:jc w:val="center"/>
            </w:pPr>
            <w:r>
              <w:rPr>
                <w:b/>
                <w:bCs/>
                <w:i/>
                <w:iCs/>
                <w:color w:val="FFFFFF"/>
                <w:sz w:val="18"/>
                <w:szCs w:val="18"/>
              </w:rPr>
              <w:t>Criterio</w:t>
            </w:r>
          </w:p>
        </w:tc>
        <w:tc>
          <w:tcPr>
            <w:tcW w:w="2435" w:type="dxa"/>
            <w:shd w:val="clear" w:color="auto" w:fill="4472C4"/>
            <w:vAlign w:val="center"/>
          </w:tcPr>
          <w:p w14:paraId="74F32611" w14:textId="77777777" w:rsidR="00990B14" w:rsidRDefault="00000000">
            <w:pPr>
              <w:keepNext/>
              <w:spacing w:before="20" w:after="20"/>
              <w:jc w:val="center"/>
            </w:pPr>
            <w:r>
              <w:rPr>
                <w:b/>
                <w:bCs/>
                <w:i/>
                <w:iCs/>
                <w:color w:val="FFFFFF"/>
                <w:sz w:val="18"/>
                <w:szCs w:val="18"/>
              </w:rPr>
              <w:t>Insuficiente (1–50)</w:t>
            </w:r>
          </w:p>
        </w:tc>
        <w:tc>
          <w:tcPr>
            <w:tcW w:w="1812" w:type="dxa"/>
            <w:shd w:val="clear" w:color="auto" w:fill="4472C4"/>
            <w:vAlign w:val="center"/>
          </w:tcPr>
          <w:p w14:paraId="2F084AB8" w14:textId="77777777" w:rsidR="00990B14" w:rsidRDefault="00000000">
            <w:pPr>
              <w:keepNext/>
              <w:spacing w:before="20" w:after="20"/>
              <w:jc w:val="center"/>
            </w:pPr>
            <w:r>
              <w:rPr>
                <w:b/>
                <w:bCs/>
                <w:i/>
                <w:iCs/>
                <w:color w:val="FFFFFF"/>
                <w:sz w:val="18"/>
                <w:szCs w:val="18"/>
              </w:rPr>
              <w:t>Suficiente (51–80)</w:t>
            </w:r>
          </w:p>
        </w:tc>
        <w:tc>
          <w:tcPr>
            <w:tcW w:w="1813" w:type="dxa"/>
            <w:shd w:val="clear" w:color="auto" w:fill="4472C4"/>
            <w:vAlign w:val="center"/>
          </w:tcPr>
          <w:p w14:paraId="6C274816" w14:textId="77777777" w:rsidR="00990B14" w:rsidRDefault="00000000">
            <w:pPr>
              <w:keepNext/>
              <w:spacing w:before="20" w:after="20"/>
              <w:jc w:val="center"/>
            </w:pPr>
            <w:r>
              <w:rPr>
                <w:b/>
                <w:bCs/>
                <w:i/>
                <w:iCs/>
                <w:color w:val="FFFFFF"/>
                <w:sz w:val="18"/>
                <w:szCs w:val="18"/>
              </w:rPr>
              <w:t>Destacado (81–100)</w:t>
            </w:r>
          </w:p>
        </w:tc>
      </w:tr>
      <w:tr w:rsidR="00990B14" w14:paraId="02F357C0" w14:textId="77777777">
        <w:trPr>
          <w:cantSplit/>
          <w:jc w:val="center"/>
        </w:trPr>
        <w:tc>
          <w:tcPr>
            <w:tcW w:w="1533" w:type="dxa"/>
            <w:vMerge/>
            <w:shd w:val="clear" w:color="auto" w:fill="4472C4"/>
            <w:vAlign w:val="center"/>
          </w:tcPr>
          <w:p w14:paraId="7D25210B" w14:textId="77777777" w:rsidR="00990B14" w:rsidRDefault="00990B14">
            <w:pPr>
              <w:spacing w:before="20" w:after="20"/>
            </w:pPr>
          </w:p>
        </w:tc>
        <w:tc>
          <w:tcPr>
            <w:tcW w:w="1812" w:type="dxa"/>
            <w:shd w:val="clear" w:color="auto" w:fill="D9E2F3"/>
            <w:vAlign w:val="center"/>
          </w:tcPr>
          <w:p w14:paraId="1471AAEB" w14:textId="77777777" w:rsidR="00990B14" w:rsidRDefault="00000000">
            <w:pPr>
              <w:spacing w:before="20" w:after="20"/>
              <w:jc w:val="both"/>
            </w:pPr>
            <w:r>
              <w:rPr>
                <w:sz w:val="18"/>
                <w:szCs w:val="18"/>
              </w:rPr>
              <w:t>Criterios de comparación</w:t>
            </w:r>
          </w:p>
        </w:tc>
        <w:tc>
          <w:tcPr>
            <w:tcW w:w="2435" w:type="dxa"/>
            <w:shd w:val="clear" w:color="auto" w:fill="D9E2F3"/>
            <w:vAlign w:val="center"/>
          </w:tcPr>
          <w:p w14:paraId="67B6C007" w14:textId="77777777" w:rsidR="00990B14" w:rsidRDefault="00000000">
            <w:pPr>
              <w:spacing w:before="20" w:after="20"/>
              <w:jc w:val="both"/>
            </w:pPr>
            <w:r>
              <w:rPr>
                <w:sz w:val="18"/>
                <w:szCs w:val="18"/>
              </w:rPr>
              <w:t>Compara sin criterios definidos.</w:t>
            </w:r>
          </w:p>
        </w:tc>
        <w:tc>
          <w:tcPr>
            <w:tcW w:w="1812" w:type="dxa"/>
            <w:shd w:val="clear" w:color="auto" w:fill="D9E2F3"/>
            <w:vAlign w:val="center"/>
          </w:tcPr>
          <w:p w14:paraId="68F1B165" w14:textId="77777777" w:rsidR="00990B14" w:rsidRDefault="00000000">
            <w:pPr>
              <w:spacing w:before="20" w:after="20"/>
              <w:jc w:val="both"/>
            </w:pPr>
            <w:r>
              <w:rPr>
                <w:sz w:val="18"/>
                <w:szCs w:val="18"/>
              </w:rPr>
              <w:t>Compara cobertura, integración y gobernanza.</w:t>
            </w:r>
          </w:p>
        </w:tc>
        <w:tc>
          <w:tcPr>
            <w:tcW w:w="1813" w:type="dxa"/>
            <w:shd w:val="clear" w:color="auto" w:fill="D9E2F3"/>
            <w:vAlign w:val="center"/>
          </w:tcPr>
          <w:p w14:paraId="1B2F5C44" w14:textId="77777777" w:rsidR="00990B14" w:rsidRDefault="00000000">
            <w:pPr>
              <w:spacing w:before="20" w:after="20"/>
              <w:jc w:val="both"/>
            </w:pPr>
            <w:r>
              <w:rPr>
                <w:sz w:val="18"/>
                <w:szCs w:val="18"/>
              </w:rPr>
              <w:t>Extrae lecciones aplicables a Bolivia.</w:t>
            </w:r>
          </w:p>
        </w:tc>
      </w:tr>
      <w:tr w:rsidR="00990B14" w14:paraId="7DC756F2" w14:textId="77777777">
        <w:trPr>
          <w:cantSplit/>
          <w:jc w:val="center"/>
        </w:trPr>
        <w:tc>
          <w:tcPr>
            <w:tcW w:w="1533" w:type="dxa"/>
            <w:vMerge/>
            <w:shd w:val="clear" w:color="auto" w:fill="4472C4"/>
            <w:vAlign w:val="center"/>
          </w:tcPr>
          <w:p w14:paraId="4C7A1952" w14:textId="77777777" w:rsidR="00990B14" w:rsidRDefault="00990B14">
            <w:pPr>
              <w:spacing w:before="20" w:after="20"/>
            </w:pPr>
          </w:p>
        </w:tc>
        <w:tc>
          <w:tcPr>
            <w:tcW w:w="1812" w:type="dxa"/>
            <w:shd w:val="clear" w:color="auto" w:fill="D9E2F3"/>
            <w:vAlign w:val="center"/>
          </w:tcPr>
          <w:p w14:paraId="032A3DF4" w14:textId="77777777" w:rsidR="00990B14" w:rsidRDefault="00000000">
            <w:pPr>
              <w:spacing w:before="20" w:after="20"/>
              <w:jc w:val="both"/>
            </w:pPr>
            <w:r>
              <w:rPr>
                <w:sz w:val="18"/>
                <w:szCs w:val="18"/>
              </w:rPr>
              <w:t>Fuentes</w:t>
            </w:r>
          </w:p>
        </w:tc>
        <w:tc>
          <w:tcPr>
            <w:tcW w:w="2435" w:type="dxa"/>
            <w:shd w:val="clear" w:color="auto" w:fill="D9E2F3"/>
            <w:vAlign w:val="center"/>
          </w:tcPr>
          <w:p w14:paraId="069777FC" w14:textId="77777777" w:rsidR="00990B14" w:rsidRDefault="00000000">
            <w:pPr>
              <w:spacing w:before="20" w:after="20"/>
              <w:jc w:val="both"/>
            </w:pPr>
            <w:r>
              <w:rPr>
                <w:sz w:val="18"/>
                <w:szCs w:val="18"/>
              </w:rPr>
              <w:t>Usa fuentes no confiables.</w:t>
            </w:r>
          </w:p>
        </w:tc>
        <w:tc>
          <w:tcPr>
            <w:tcW w:w="1812" w:type="dxa"/>
            <w:shd w:val="clear" w:color="auto" w:fill="D9E2F3"/>
            <w:vAlign w:val="center"/>
          </w:tcPr>
          <w:p w14:paraId="7BE2B6D1" w14:textId="77777777" w:rsidR="00990B14" w:rsidRDefault="00000000">
            <w:pPr>
              <w:spacing w:before="20" w:after="20"/>
              <w:jc w:val="both"/>
            </w:pPr>
            <w:r>
              <w:rPr>
                <w:sz w:val="18"/>
                <w:szCs w:val="18"/>
              </w:rPr>
              <w:t>Usa fuentes oficiales y académicas.</w:t>
            </w:r>
          </w:p>
        </w:tc>
        <w:tc>
          <w:tcPr>
            <w:tcW w:w="1813" w:type="dxa"/>
            <w:shd w:val="clear" w:color="auto" w:fill="D9E2F3"/>
            <w:vAlign w:val="center"/>
          </w:tcPr>
          <w:p w14:paraId="438C7092" w14:textId="77777777" w:rsidR="00990B14" w:rsidRDefault="00000000">
            <w:pPr>
              <w:spacing w:before="20" w:after="20"/>
              <w:jc w:val="both"/>
            </w:pPr>
            <w:r>
              <w:rPr>
                <w:sz w:val="18"/>
                <w:szCs w:val="18"/>
              </w:rPr>
              <w:t>Contrasta varias fuentes por cada país.</w:t>
            </w:r>
          </w:p>
        </w:tc>
      </w:tr>
      <w:tr w:rsidR="00990B14" w14:paraId="6A789F21" w14:textId="77777777">
        <w:trPr>
          <w:cantSplit/>
          <w:jc w:val="center"/>
        </w:trPr>
        <w:tc>
          <w:tcPr>
            <w:tcW w:w="1533" w:type="dxa"/>
            <w:vMerge/>
            <w:shd w:val="clear" w:color="auto" w:fill="4472C4"/>
            <w:vAlign w:val="center"/>
          </w:tcPr>
          <w:p w14:paraId="635F6DCF" w14:textId="77777777" w:rsidR="00990B14" w:rsidRDefault="00990B14">
            <w:pPr>
              <w:spacing w:before="20" w:after="20"/>
            </w:pPr>
          </w:p>
        </w:tc>
        <w:tc>
          <w:tcPr>
            <w:tcW w:w="1812" w:type="dxa"/>
            <w:shd w:val="clear" w:color="auto" w:fill="D9E2F3"/>
            <w:vAlign w:val="center"/>
          </w:tcPr>
          <w:p w14:paraId="5F048D9E" w14:textId="77777777" w:rsidR="00990B14" w:rsidRDefault="00000000">
            <w:pPr>
              <w:spacing w:before="20" w:after="20"/>
              <w:jc w:val="both"/>
            </w:pPr>
            <w:r>
              <w:rPr>
                <w:sz w:val="18"/>
                <w:szCs w:val="18"/>
              </w:rPr>
              <w:t>Trabajo en equipo</w:t>
            </w:r>
          </w:p>
        </w:tc>
        <w:tc>
          <w:tcPr>
            <w:tcW w:w="2435" w:type="dxa"/>
            <w:shd w:val="clear" w:color="auto" w:fill="D9E2F3"/>
            <w:vAlign w:val="center"/>
          </w:tcPr>
          <w:p w14:paraId="4CB9C40F" w14:textId="77777777" w:rsidR="00990B14" w:rsidRDefault="00000000">
            <w:pPr>
              <w:spacing w:before="20" w:after="20"/>
              <w:jc w:val="both"/>
            </w:pPr>
            <w:r>
              <w:rPr>
                <w:sz w:val="18"/>
                <w:szCs w:val="18"/>
              </w:rPr>
              <w:t>La participación es desigual.</w:t>
            </w:r>
          </w:p>
        </w:tc>
        <w:tc>
          <w:tcPr>
            <w:tcW w:w="1812" w:type="dxa"/>
            <w:shd w:val="clear" w:color="auto" w:fill="D9E2F3"/>
            <w:vAlign w:val="center"/>
          </w:tcPr>
          <w:p w14:paraId="0DA34F3D" w14:textId="77777777" w:rsidR="00990B14" w:rsidRDefault="00000000">
            <w:pPr>
              <w:spacing w:before="20" w:after="20"/>
              <w:jc w:val="both"/>
            </w:pPr>
            <w:r>
              <w:rPr>
                <w:sz w:val="18"/>
                <w:szCs w:val="18"/>
              </w:rPr>
              <w:t>Todos los integrantes participan.</w:t>
            </w:r>
          </w:p>
        </w:tc>
        <w:tc>
          <w:tcPr>
            <w:tcW w:w="1813" w:type="dxa"/>
            <w:shd w:val="clear" w:color="auto" w:fill="D9E2F3"/>
            <w:vAlign w:val="center"/>
          </w:tcPr>
          <w:p w14:paraId="4D239E31" w14:textId="77777777" w:rsidR="00990B14" w:rsidRDefault="00000000">
            <w:pPr>
              <w:spacing w:before="20" w:after="20"/>
              <w:jc w:val="both"/>
            </w:pPr>
            <w:r>
              <w:rPr>
                <w:sz w:val="18"/>
                <w:szCs w:val="18"/>
              </w:rPr>
              <w:t>El equipo sustenta sus conclusiones ante el curso.</w:t>
            </w:r>
          </w:p>
        </w:tc>
      </w:tr>
      <w:tr w:rsidR="00990B14" w14:paraId="4F1F387D" w14:textId="77777777">
        <w:trPr>
          <w:cantSplit/>
          <w:jc w:val="center"/>
        </w:trPr>
        <w:tc>
          <w:tcPr>
            <w:tcW w:w="1533" w:type="dxa"/>
            <w:vMerge/>
            <w:shd w:val="clear" w:color="auto" w:fill="4472C4"/>
            <w:vAlign w:val="center"/>
          </w:tcPr>
          <w:p w14:paraId="307DB352" w14:textId="77777777" w:rsidR="00990B14" w:rsidRDefault="00990B14">
            <w:pPr>
              <w:spacing w:before="20" w:after="20"/>
            </w:pPr>
          </w:p>
        </w:tc>
        <w:tc>
          <w:tcPr>
            <w:tcW w:w="6059" w:type="dxa"/>
            <w:gridSpan w:val="3"/>
            <w:shd w:val="clear" w:color="auto" w:fill="D9E2F3"/>
            <w:vAlign w:val="center"/>
          </w:tcPr>
          <w:p w14:paraId="61550DB4" w14:textId="77777777" w:rsidR="00990B14" w:rsidRDefault="00000000">
            <w:pPr>
              <w:keepNext/>
              <w:spacing w:before="20" w:after="20"/>
              <w:jc w:val="both"/>
            </w:pPr>
            <w:r>
              <w:rPr>
                <w:b/>
                <w:bCs/>
                <w:i/>
                <w:iCs/>
                <w:sz w:val="18"/>
                <w:szCs w:val="18"/>
              </w:rPr>
              <w:t xml:space="preserve">Producto 24: </w:t>
            </w:r>
            <w:r>
              <w:rPr>
                <w:sz w:val="18"/>
                <w:szCs w:val="18"/>
              </w:rPr>
              <w:t>Informe del modelo conceptual SIAF</w:t>
            </w:r>
          </w:p>
        </w:tc>
        <w:tc>
          <w:tcPr>
            <w:tcW w:w="1813" w:type="dxa"/>
            <w:shd w:val="clear" w:color="auto" w:fill="D9E2F3"/>
            <w:vAlign w:val="center"/>
          </w:tcPr>
          <w:p w14:paraId="16FBA615" w14:textId="77777777" w:rsidR="00990B14" w:rsidRDefault="00000000">
            <w:pPr>
              <w:spacing w:before="20" w:after="20"/>
              <w:jc w:val="center"/>
            </w:pPr>
            <w:r>
              <w:rPr>
                <w:b/>
                <w:bCs/>
                <w:sz w:val="18"/>
                <w:szCs w:val="18"/>
              </w:rPr>
              <w:t>2%</w:t>
            </w:r>
          </w:p>
        </w:tc>
      </w:tr>
      <w:tr w:rsidR="00990B14" w14:paraId="18C53DEC" w14:textId="77777777">
        <w:trPr>
          <w:cantSplit/>
          <w:jc w:val="center"/>
        </w:trPr>
        <w:tc>
          <w:tcPr>
            <w:tcW w:w="1533" w:type="dxa"/>
            <w:vMerge/>
            <w:shd w:val="clear" w:color="auto" w:fill="4472C4"/>
            <w:vAlign w:val="center"/>
          </w:tcPr>
          <w:p w14:paraId="7BC6EA79" w14:textId="77777777" w:rsidR="00990B14" w:rsidRDefault="00990B14">
            <w:pPr>
              <w:spacing w:before="20" w:after="20"/>
            </w:pPr>
          </w:p>
        </w:tc>
        <w:tc>
          <w:tcPr>
            <w:tcW w:w="1812" w:type="dxa"/>
            <w:shd w:val="clear" w:color="auto" w:fill="4472C4"/>
            <w:vAlign w:val="center"/>
          </w:tcPr>
          <w:p w14:paraId="191E26B6" w14:textId="77777777" w:rsidR="00990B14" w:rsidRDefault="00000000">
            <w:pPr>
              <w:keepNext/>
              <w:spacing w:before="20" w:after="20"/>
              <w:jc w:val="center"/>
            </w:pPr>
            <w:r>
              <w:rPr>
                <w:b/>
                <w:bCs/>
                <w:i/>
                <w:iCs/>
                <w:color w:val="FFFFFF"/>
                <w:sz w:val="18"/>
                <w:szCs w:val="18"/>
              </w:rPr>
              <w:t>Criterio</w:t>
            </w:r>
          </w:p>
        </w:tc>
        <w:tc>
          <w:tcPr>
            <w:tcW w:w="2435" w:type="dxa"/>
            <w:shd w:val="clear" w:color="auto" w:fill="4472C4"/>
            <w:vAlign w:val="center"/>
          </w:tcPr>
          <w:p w14:paraId="34BFC63F" w14:textId="77777777" w:rsidR="00990B14" w:rsidRDefault="00000000">
            <w:pPr>
              <w:keepNext/>
              <w:spacing w:before="20" w:after="20"/>
              <w:jc w:val="center"/>
            </w:pPr>
            <w:r>
              <w:rPr>
                <w:b/>
                <w:bCs/>
                <w:i/>
                <w:iCs/>
                <w:color w:val="FFFFFF"/>
                <w:sz w:val="18"/>
                <w:szCs w:val="18"/>
              </w:rPr>
              <w:t>Insuficiente (1–50)</w:t>
            </w:r>
          </w:p>
        </w:tc>
        <w:tc>
          <w:tcPr>
            <w:tcW w:w="1812" w:type="dxa"/>
            <w:shd w:val="clear" w:color="auto" w:fill="4472C4"/>
            <w:vAlign w:val="center"/>
          </w:tcPr>
          <w:p w14:paraId="3C252638" w14:textId="77777777" w:rsidR="00990B14" w:rsidRDefault="00000000">
            <w:pPr>
              <w:keepNext/>
              <w:spacing w:before="20" w:after="20"/>
              <w:jc w:val="center"/>
            </w:pPr>
            <w:r>
              <w:rPr>
                <w:b/>
                <w:bCs/>
                <w:i/>
                <w:iCs/>
                <w:color w:val="FFFFFF"/>
                <w:sz w:val="18"/>
                <w:szCs w:val="18"/>
              </w:rPr>
              <w:t>Suficiente (51–80)</w:t>
            </w:r>
          </w:p>
        </w:tc>
        <w:tc>
          <w:tcPr>
            <w:tcW w:w="1813" w:type="dxa"/>
            <w:shd w:val="clear" w:color="auto" w:fill="4472C4"/>
            <w:vAlign w:val="center"/>
          </w:tcPr>
          <w:p w14:paraId="7838092F" w14:textId="77777777" w:rsidR="00990B14" w:rsidRDefault="00000000">
            <w:pPr>
              <w:keepNext/>
              <w:spacing w:before="20" w:after="20"/>
              <w:jc w:val="center"/>
            </w:pPr>
            <w:r>
              <w:rPr>
                <w:b/>
                <w:bCs/>
                <w:i/>
                <w:iCs/>
                <w:color w:val="FFFFFF"/>
                <w:sz w:val="18"/>
                <w:szCs w:val="18"/>
              </w:rPr>
              <w:t>Destacado (81–100)</w:t>
            </w:r>
          </w:p>
        </w:tc>
      </w:tr>
      <w:tr w:rsidR="00990B14" w14:paraId="77252F26" w14:textId="77777777">
        <w:trPr>
          <w:cantSplit/>
          <w:jc w:val="center"/>
        </w:trPr>
        <w:tc>
          <w:tcPr>
            <w:tcW w:w="1533" w:type="dxa"/>
            <w:vMerge/>
            <w:shd w:val="clear" w:color="auto" w:fill="4472C4"/>
            <w:vAlign w:val="center"/>
          </w:tcPr>
          <w:p w14:paraId="61E5454C" w14:textId="77777777" w:rsidR="00990B14" w:rsidRDefault="00990B14">
            <w:pPr>
              <w:spacing w:before="20" w:after="20"/>
            </w:pPr>
          </w:p>
        </w:tc>
        <w:tc>
          <w:tcPr>
            <w:tcW w:w="1812" w:type="dxa"/>
            <w:shd w:val="clear" w:color="auto" w:fill="D9E2F3"/>
            <w:vAlign w:val="center"/>
          </w:tcPr>
          <w:p w14:paraId="33A06826" w14:textId="77777777" w:rsidR="00990B14" w:rsidRDefault="00000000">
            <w:pPr>
              <w:spacing w:before="20" w:after="20"/>
              <w:jc w:val="both"/>
            </w:pPr>
            <w:r>
              <w:rPr>
                <w:sz w:val="18"/>
                <w:szCs w:val="18"/>
              </w:rPr>
              <w:t>Modelo conceptual</w:t>
            </w:r>
          </w:p>
        </w:tc>
        <w:tc>
          <w:tcPr>
            <w:tcW w:w="2435" w:type="dxa"/>
            <w:shd w:val="clear" w:color="auto" w:fill="D9E2F3"/>
            <w:vAlign w:val="center"/>
          </w:tcPr>
          <w:p w14:paraId="2BC85718" w14:textId="77777777" w:rsidR="00990B14" w:rsidRDefault="00000000">
            <w:pPr>
              <w:spacing w:before="20" w:after="20"/>
              <w:jc w:val="both"/>
            </w:pPr>
            <w:r>
              <w:rPr>
                <w:sz w:val="18"/>
                <w:szCs w:val="18"/>
              </w:rPr>
              <w:t>Describe el modelo de forma incompleta.</w:t>
            </w:r>
          </w:p>
        </w:tc>
        <w:tc>
          <w:tcPr>
            <w:tcW w:w="1812" w:type="dxa"/>
            <w:shd w:val="clear" w:color="auto" w:fill="D9E2F3"/>
            <w:vAlign w:val="center"/>
          </w:tcPr>
          <w:p w14:paraId="3FC1ECAA" w14:textId="77777777" w:rsidR="00990B14" w:rsidRDefault="00000000">
            <w:pPr>
              <w:spacing w:before="20" w:after="20"/>
              <w:jc w:val="both"/>
            </w:pPr>
            <w:r>
              <w:rPr>
                <w:sz w:val="18"/>
                <w:szCs w:val="18"/>
              </w:rPr>
              <w:t>Explica los componentes del modelo conceptual.</w:t>
            </w:r>
          </w:p>
        </w:tc>
        <w:tc>
          <w:tcPr>
            <w:tcW w:w="1813" w:type="dxa"/>
            <w:shd w:val="clear" w:color="auto" w:fill="D9E2F3"/>
            <w:vAlign w:val="center"/>
          </w:tcPr>
          <w:p w14:paraId="0DA11166" w14:textId="77777777" w:rsidR="00990B14" w:rsidRDefault="00000000">
            <w:pPr>
              <w:spacing w:before="20" w:after="20"/>
              <w:jc w:val="both"/>
            </w:pPr>
            <w:r>
              <w:rPr>
                <w:sz w:val="18"/>
                <w:szCs w:val="18"/>
              </w:rPr>
              <w:t>Evalúa la viabilidad del modelo en una entidad boliviana.</w:t>
            </w:r>
          </w:p>
        </w:tc>
      </w:tr>
      <w:tr w:rsidR="00990B14" w14:paraId="098FB9A2" w14:textId="77777777">
        <w:trPr>
          <w:cantSplit/>
          <w:jc w:val="center"/>
        </w:trPr>
        <w:tc>
          <w:tcPr>
            <w:tcW w:w="1533" w:type="dxa"/>
            <w:vMerge/>
            <w:shd w:val="clear" w:color="auto" w:fill="4472C4"/>
            <w:vAlign w:val="center"/>
          </w:tcPr>
          <w:p w14:paraId="688EAE60" w14:textId="77777777" w:rsidR="00990B14" w:rsidRDefault="00990B14">
            <w:pPr>
              <w:spacing w:before="20" w:after="20"/>
            </w:pPr>
          </w:p>
        </w:tc>
        <w:tc>
          <w:tcPr>
            <w:tcW w:w="1812" w:type="dxa"/>
            <w:shd w:val="clear" w:color="auto" w:fill="D9E2F3"/>
            <w:vAlign w:val="center"/>
          </w:tcPr>
          <w:p w14:paraId="44C49688" w14:textId="77777777" w:rsidR="00990B14" w:rsidRDefault="00000000">
            <w:pPr>
              <w:spacing w:before="20" w:after="20"/>
              <w:jc w:val="both"/>
            </w:pPr>
            <w:r>
              <w:rPr>
                <w:sz w:val="18"/>
                <w:szCs w:val="18"/>
              </w:rPr>
              <w:t>Indicadores de desempeño</w:t>
            </w:r>
          </w:p>
        </w:tc>
        <w:tc>
          <w:tcPr>
            <w:tcW w:w="2435" w:type="dxa"/>
            <w:shd w:val="clear" w:color="auto" w:fill="D9E2F3"/>
            <w:vAlign w:val="center"/>
          </w:tcPr>
          <w:p w14:paraId="44CFAA56" w14:textId="77777777" w:rsidR="00990B14" w:rsidRDefault="00000000">
            <w:pPr>
              <w:spacing w:before="20" w:after="20"/>
              <w:jc w:val="both"/>
            </w:pPr>
            <w:r>
              <w:rPr>
                <w:sz w:val="18"/>
                <w:szCs w:val="18"/>
              </w:rPr>
              <w:t>No identifica indicadores.</w:t>
            </w:r>
          </w:p>
        </w:tc>
        <w:tc>
          <w:tcPr>
            <w:tcW w:w="1812" w:type="dxa"/>
            <w:shd w:val="clear" w:color="auto" w:fill="D9E2F3"/>
            <w:vAlign w:val="center"/>
          </w:tcPr>
          <w:p w14:paraId="6DC6714B" w14:textId="77777777" w:rsidR="00990B14" w:rsidRDefault="00000000">
            <w:pPr>
              <w:spacing w:before="20" w:after="20"/>
              <w:jc w:val="both"/>
            </w:pPr>
            <w:r>
              <w:rPr>
                <w:sz w:val="18"/>
                <w:szCs w:val="18"/>
              </w:rPr>
              <w:t>Identifica indicadores de desempeño y de gestión financiera.</w:t>
            </w:r>
          </w:p>
        </w:tc>
        <w:tc>
          <w:tcPr>
            <w:tcW w:w="1813" w:type="dxa"/>
            <w:shd w:val="clear" w:color="auto" w:fill="D9E2F3"/>
            <w:vAlign w:val="center"/>
          </w:tcPr>
          <w:p w14:paraId="70F53218" w14:textId="77777777" w:rsidR="00990B14" w:rsidRDefault="00000000">
            <w:pPr>
              <w:spacing w:before="20" w:after="20"/>
              <w:jc w:val="both"/>
            </w:pPr>
            <w:r>
              <w:rPr>
                <w:sz w:val="18"/>
                <w:szCs w:val="18"/>
              </w:rPr>
              <w:t>Propone metas para cada indicador.</w:t>
            </w:r>
          </w:p>
        </w:tc>
      </w:tr>
      <w:tr w:rsidR="00990B14" w14:paraId="6832010B" w14:textId="77777777">
        <w:trPr>
          <w:cantSplit/>
          <w:jc w:val="center"/>
        </w:trPr>
        <w:tc>
          <w:tcPr>
            <w:tcW w:w="1533" w:type="dxa"/>
            <w:vMerge/>
            <w:shd w:val="clear" w:color="auto" w:fill="4472C4"/>
            <w:vAlign w:val="center"/>
          </w:tcPr>
          <w:p w14:paraId="69D13984" w14:textId="77777777" w:rsidR="00990B14" w:rsidRDefault="00990B14">
            <w:pPr>
              <w:spacing w:before="20" w:after="20"/>
            </w:pPr>
          </w:p>
        </w:tc>
        <w:tc>
          <w:tcPr>
            <w:tcW w:w="1812" w:type="dxa"/>
            <w:shd w:val="clear" w:color="auto" w:fill="D9E2F3"/>
            <w:vAlign w:val="center"/>
          </w:tcPr>
          <w:p w14:paraId="1A98699A" w14:textId="77777777" w:rsidR="00990B14" w:rsidRDefault="00000000">
            <w:pPr>
              <w:spacing w:before="20" w:after="20"/>
              <w:jc w:val="both"/>
            </w:pPr>
            <w:r>
              <w:rPr>
                <w:sz w:val="18"/>
                <w:szCs w:val="18"/>
              </w:rPr>
              <w:t>Transparencia</w:t>
            </w:r>
          </w:p>
        </w:tc>
        <w:tc>
          <w:tcPr>
            <w:tcW w:w="2435" w:type="dxa"/>
            <w:shd w:val="clear" w:color="auto" w:fill="D9E2F3"/>
            <w:vAlign w:val="center"/>
          </w:tcPr>
          <w:p w14:paraId="6417FAF5" w14:textId="77777777" w:rsidR="00990B14" w:rsidRDefault="00000000">
            <w:pPr>
              <w:spacing w:before="20" w:after="20"/>
              <w:jc w:val="both"/>
            </w:pPr>
            <w:r>
              <w:rPr>
                <w:sz w:val="18"/>
                <w:szCs w:val="18"/>
              </w:rPr>
              <w:t>Omite la rendición de cuentas.</w:t>
            </w:r>
          </w:p>
        </w:tc>
        <w:tc>
          <w:tcPr>
            <w:tcW w:w="1812" w:type="dxa"/>
            <w:shd w:val="clear" w:color="auto" w:fill="D9E2F3"/>
            <w:vAlign w:val="center"/>
          </w:tcPr>
          <w:p w14:paraId="070363D2" w14:textId="77777777" w:rsidR="00990B14" w:rsidRDefault="00000000">
            <w:pPr>
              <w:spacing w:before="20" w:after="20"/>
              <w:jc w:val="both"/>
            </w:pPr>
            <w:r>
              <w:rPr>
                <w:sz w:val="18"/>
                <w:szCs w:val="18"/>
              </w:rPr>
              <w:t>Relaciona el sistema con la transparencia fiscal.</w:t>
            </w:r>
          </w:p>
        </w:tc>
        <w:tc>
          <w:tcPr>
            <w:tcW w:w="1813" w:type="dxa"/>
            <w:shd w:val="clear" w:color="auto" w:fill="D9E2F3"/>
            <w:vAlign w:val="center"/>
          </w:tcPr>
          <w:p w14:paraId="28192876" w14:textId="77777777" w:rsidR="00990B14" w:rsidRDefault="00000000">
            <w:pPr>
              <w:spacing w:before="20" w:after="20"/>
              <w:jc w:val="both"/>
            </w:pPr>
            <w:r>
              <w:rPr>
                <w:sz w:val="18"/>
                <w:szCs w:val="18"/>
              </w:rPr>
              <w:t>Valora el aporte del sistema al control de la gestión pública.</w:t>
            </w:r>
          </w:p>
        </w:tc>
      </w:tr>
      <w:tr w:rsidR="00990B14" w14:paraId="55BCF159" w14:textId="77777777">
        <w:trPr>
          <w:cantSplit/>
          <w:jc w:val="center"/>
        </w:trPr>
        <w:tc>
          <w:tcPr>
            <w:tcW w:w="1533" w:type="dxa"/>
            <w:vMerge/>
            <w:shd w:val="clear" w:color="auto" w:fill="4472C4"/>
            <w:vAlign w:val="center"/>
          </w:tcPr>
          <w:p w14:paraId="615EFC74" w14:textId="77777777" w:rsidR="00990B14" w:rsidRDefault="00990B14">
            <w:pPr>
              <w:spacing w:before="20" w:after="20"/>
            </w:pPr>
          </w:p>
        </w:tc>
        <w:tc>
          <w:tcPr>
            <w:tcW w:w="6059" w:type="dxa"/>
            <w:gridSpan w:val="3"/>
            <w:shd w:val="clear" w:color="auto" w:fill="D9E2F3"/>
            <w:vAlign w:val="center"/>
          </w:tcPr>
          <w:p w14:paraId="1407D8D7" w14:textId="77777777" w:rsidR="00990B14" w:rsidRDefault="00000000">
            <w:pPr>
              <w:keepNext/>
              <w:spacing w:before="20" w:after="20"/>
              <w:jc w:val="both"/>
            </w:pPr>
            <w:r>
              <w:rPr>
                <w:b/>
                <w:bCs/>
                <w:i/>
                <w:iCs/>
                <w:sz w:val="18"/>
                <w:szCs w:val="18"/>
              </w:rPr>
              <w:t xml:space="preserve">Producto 25: </w:t>
            </w:r>
            <w:r>
              <w:rPr>
                <w:sz w:val="18"/>
                <w:szCs w:val="18"/>
              </w:rPr>
              <w:t>Empresa parametrizada en el ERP</w:t>
            </w:r>
          </w:p>
        </w:tc>
        <w:tc>
          <w:tcPr>
            <w:tcW w:w="1813" w:type="dxa"/>
            <w:shd w:val="clear" w:color="auto" w:fill="D9E2F3"/>
            <w:vAlign w:val="center"/>
          </w:tcPr>
          <w:p w14:paraId="0C167CC3" w14:textId="77777777" w:rsidR="00990B14" w:rsidRDefault="00000000">
            <w:pPr>
              <w:spacing w:before="20" w:after="20"/>
              <w:jc w:val="center"/>
            </w:pPr>
            <w:r>
              <w:rPr>
                <w:b/>
                <w:bCs/>
                <w:sz w:val="18"/>
                <w:szCs w:val="18"/>
              </w:rPr>
              <w:t>5%</w:t>
            </w:r>
          </w:p>
        </w:tc>
      </w:tr>
      <w:tr w:rsidR="00990B14" w14:paraId="5ADAB3AE" w14:textId="77777777">
        <w:trPr>
          <w:cantSplit/>
          <w:jc w:val="center"/>
        </w:trPr>
        <w:tc>
          <w:tcPr>
            <w:tcW w:w="1533" w:type="dxa"/>
            <w:vMerge/>
            <w:shd w:val="clear" w:color="auto" w:fill="4472C4"/>
            <w:vAlign w:val="center"/>
          </w:tcPr>
          <w:p w14:paraId="4C83B920" w14:textId="77777777" w:rsidR="00990B14" w:rsidRDefault="00990B14">
            <w:pPr>
              <w:spacing w:before="20" w:after="20"/>
            </w:pPr>
          </w:p>
        </w:tc>
        <w:tc>
          <w:tcPr>
            <w:tcW w:w="1812" w:type="dxa"/>
            <w:shd w:val="clear" w:color="auto" w:fill="4472C4"/>
            <w:vAlign w:val="center"/>
          </w:tcPr>
          <w:p w14:paraId="7461D9A3" w14:textId="77777777" w:rsidR="00990B14" w:rsidRDefault="00000000">
            <w:pPr>
              <w:keepNext/>
              <w:spacing w:before="20" w:after="20"/>
              <w:jc w:val="center"/>
            </w:pPr>
            <w:r>
              <w:rPr>
                <w:b/>
                <w:bCs/>
                <w:i/>
                <w:iCs/>
                <w:color w:val="FFFFFF"/>
                <w:sz w:val="18"/>
                <w:szCs w:val="18"/>
              </w:rPr>
              <w:t>Criterio</w:t>
            </w:r>
          </w:p>
        </w:tc>
        <w:tc>
          <w:tcPr>
            <w:tcW w:w="2435" w:type="dxa"/>
            <w:shd w:val="clear" w:color="auto" w:fill="4472C4"/>
            <w:vAlign w:val="center"/>
          </w:tcPr>
          <w:p w14:paraId="68E73A53" w14:textId="77777777" w:rsidR="00990B14" w:rsidRDefault="00000000">
            <w:pPr>
              <w:keepNext/>
              <w:spacing w:before="20" w:after="20"/>
              <w:jc w:val="center"/>
            </w:pPr>
            <w:r>
              <w:rPr>
                <w:b/>
                <w:bCs/>
                <w:i/>
                <w:iCs/>
                <w:color w:val="FFFFFF"/>
                <w:sz w:val="18"/>
                <w:szCs w:val="18"/>
              </w:rPr>
              <w:t>Insuficiente (1–50)</w:t>
            </w:r>
          </w:p>
        </w:tc>
        <w:tc>
          <w:tcPr>
            <w:tcW w:w="1812" w:type="dxa"/>
            <w:shd w:val="clear" w:color="auto" w:fill="4472C4"/>
            <w:vAlign w:val="center"/>
          </w:tcPr>
          <w:p w14:paraId="09B56297" w14:textId="77777777" w:rsidR="00990B14" w:rsidRDefault="00000000">
            <w:pPr>
              <w:keepNext/>
              <w:spacing w:before="20" w:after="20"/>
              <w:jc w:val="center"/>
            </w:pPr>
            <w:r>
              <w:rPr>
                <w:b/>
                <w:bCs/>
                <w:i/>
                <w:iCs/>
                <w:color w:val="FFFFFF"/>
                <w:sz w:val="18"/>
                <w:szCs w:val="18"/>
              </w:rPr>
              <w:t>Suficiente (51–80)</w:t>
            </w:r>
          </w:p>
        </w:tc>
        <w:tc>
          <w:tcPr>
            <w:tcW w:w="1813" w:type="dxa"/>
            <w:shd w:val="clear" w:color="auto" w:fill="4472C4"/>
            <w:vAlign w:val="center"/>
          </w:tcPr>
          <w:p w14:paraId="0E93E591" w14:textId="77777777" w:rsidR="00990B14" w:rsidRDefault="00000000">
            <w:pPr>
              <w:keepNext/>
              <w:spacing w:before="20" w:after="20"/>
              <w:jc w:val="center"/>
            </w:pPr>
            <w:r>
              <w:rPr>
                <w:b/>
                <w:bCs/>
                <w:i/>
                <w:iCs/>
                <w:color w:val="FFFFFF"/>
                <w:sz w:val="18"/>
                <w:szCs w:val="18"/>
              </w:rPr>
              <w:t>Destacado (81–100)</w:t>
            </w:r>
          </w:p>
        </w:tc>
      </w:tr>
      <w:tr w:rsidR="00990B14" w14:paraId="2BF7CD53" w14:textId="77777777">
        <w:trPr>
          <w:cantSplit/>
          <w:jc w:val="center"/>
        </w:trPr>
        <w:tc>
          <w:tcPr>
            <w:tcW w:w="1533" w:type="dxa"/>
            <w:vMerge/>
            <w:shd w:val="clear" w:color="auto" w:fill="4472C4"/>
            <w:vAlign w:val="center"/>
          </w:tcPr>
          <w:p w14:paraId="132C0968" w14:textId="77777777" w:rsidR="00990B14" w:rsidRDefault="00990B14">
            <w:pPr>
              <w:spacing w:before="20" w:after="20"/>
            </w:pPr>
          </w:p>
        </w:tc>
        <w:tc>
          <w:tcPr>
            <w:tcW w:w="1812" w:type="dxa"/>
            <w:shd w:val="clear" w:color="auto" w:fill="D9E2F3"/>
            <w:vAlign w:val="center"/>
          </w:tcPr>
          <w:p w14:paraId="1B71A38A" w14:textId="77777777" w:rsidR="00990B14" w:rsidRDefault="00000000">
            <w:pPr>
              <w:spacing w:before="20" w:after="20"/>
              <w:jc w:val="both"/>
            </w:pPr>
            <w:r>
              <w:rPr>
                <w:sz w:val="18"/>
                <w:szCs w:val="18"/>
              </w:rPr>
              <w:t>Parametrización del ERP</w:t>
            </w:r>
          </w:p>
        </w:tc>
        <w:tc>
          <w:tcPr>
            <w:tcW w:w="2435" w:type="dxa"/>
            <w:shd w:val="clear" w:color="auto" w:fill="D9E2F3"/>
            <w:vAlign w:val="center"/>
          </w:tcPr>
          <w:p w14:paraId="719BA6EB" w14:textId="77777777" w:rsidR="00990B14" w:rsidRDefault="00000000">
            <w:pPr>
              <w:spacing w:before="20" w:after="20"/>
              <w:jc w:val="both"/>
            </w:pPr>
            <w:r>
              <w:rPr>
                <w:sz w:val="18"/>
                <w:szCs w:val="18"/>
              </w:rPr>
              <w:t>La parametrización omite el plan de cuentas, los impuestos o los perfiles de usuario.</w:t>
            </w:r>
          </w:p>
        </w:tc>
        <w:tc>
          <w:tcPr>
            <w:tcW w:w="1812" w:type="dxa"/>
            <w:shd w:val="clear" w:color="auto" w:fill="D9E2F3"/>
            <w:vAlign w:val="center"/>
          </w:tcPr>
          <w:p w14:paraId="7B5F71A4" w14:textId="77777777" w:rsidR="00990B14" w:rsidRDefault="00000000">
            <w:pPr>
              <w:spacing w:before="20" w:after="20"/>
              <w:jc w:val="both"/>
            </w:pPr>
            <w:r>
              <w:rPr>
                <w:sz w:val="18"/>
                <w:szCs w:val="18"/>
              </w:rPr>
              <w:t>Parametriza la empresa con su plan de cuentas, impuestos, periodos y usuarios.</w:t>
            </w:r>
          </w:p>
        </w:tc>
        <w:tc>
          <w:tcPr>
            <w:tcW w:w="1813" w:type="dxa"/>
            <w:shd w:val="clear" w:color="auto" w:fill="D9E2F3"/>
            <w:vAlign w:val="center"/>
          </w:tcPr>
          <w:p w14:paraId="17978C8D" w14:textId="77777777" w:rsidR="00990B14" w:rsidRDefault="00000000">
            <w:pPr>
              <w:spacing w:before="20" w:after="20"/>
              <w:jc w:val="both"/>
            </w:pPr>
            <w:r>
              <w:rPr>
                <w:sz w:val="18"/>
                <w:szCs w:val="18"/>
              </w:rPr>
              <w:t>Parametriza la empresa y justifica los perfiles de acceso según la segregación de funciones.</w:t>
            </w:r>
          </w:p>
        </w:tc>
      </w:tr>
      <w:tr w:rsidR="00990B14" w14:paraId="508A74BA" w14:textId="77777777">
        <w:trPr>
          <w:cantSplit/>
          <w:jc w:val="center"/>
        </w:trPr>
        <w:tc>
          <w:tcPr>
            <w:tcW w:w="1533" w:type="dxa"/>
            <w:vMerge/>
            <w:shd w:val="clear" w:color="auto" w:fill="4472C4"/>
            <w:vAlign w:val="center"/>
          </w:tcPr>
          <w:p w14:paraId="5C8CA34C" w14:textId="77777777" w:rsidR="00990B14" w:rsidRDefault="00990B14">
            <w:pPr>
              <w:spacing w:before="20" w:after="20"/>
            </w:pPr>
          </w:p>
        </w:tc>
        <w:tc>
          <w:tcPr>
            <w:tcW w:w="1812" w:type="dxa"/>
            <w:shd w:val="clear" w:color="auto" w:fill="D9E2F3"/>
            <w:vAlign w:val="center"/>
          </w:tcPr>
          <w:p w14:paraId="1A6172A7" w14:textId="77777777" w:rsidR="00990B14" w:rsidRDefault="00000000">
            <w:pPr>
              <w:spacing w:before="20" w:after="20"/>
              <w:jc w:val="both"/>
            </w:pPr>
            <w:r>
              <w:rPr>
                <w:sz w:val="18"/>
                <w:szCs w:val="18"/>
              </w:rPr>
              <w:t>Configuración de módulos</w:t>
            </w:r>
          </w:p>
        </w:tc>
        <w:tc>
          <w:tcPr>
            <w:tcW w:w="2435" w:type="dxa"/>
            <w:shd w:val="clear" w:color="auto" w:fill="D9E2F3"/>
            <w:vAlign w:val="center"/>
          </w:tcPr>
          <w:p w14:paraId="2778348E" w14:textId="77777777" w:rsidR="00990B14" w:rsidRDefault="00000000">
            <w:pPr>
              <w:spacing w:before="20" w:after="20"/>
              <w:jc w:val="both"/>
            </w:pPr>
            <w:r>
              <w:rPr>
                <w:sz w:val="18"/>
                <w:szCs w:val="18"/>
              </w:rPr>
              <w:t>Omite módulos en la configuración.</w:t>
            </w:r>
          </w:p>
        </w:tc>
        <w:tc>
          <w:tcPr>
            <w:tcW w:w="1812" w:type="dxa"/>
            <w:shd w:val="clear" w:color="auto" w:fill="D9E2F3"/>
            <w:vAlign w:val="center"/>
          </w:tcPr>
          <w:p w14:paraId="4984F4CA" w14:textId="77777777" w:rsidR="00990B14" w:rsidRDefault="00000000">
            <w:pPr>
              <w:spacing w:before="20" w:after="20"/>
              <w:jc w:val="both"/>
            </w:pPr>
            <w:r>
              <w:rPr>
                <w:sz w:val="18"/>
                <w:szCs w:val="18"/>
              </w:rPr>
              <w:t>Configura los módulos contables, de compras, ventas e inventarios.</w:t>
            </w:r>
          </w:p>
        </w:tc>
        <w:tc>
          <w:tcPr>
            <w:tcW w:w="1813" w:type="dxa"/>
            <w:shd w:val="clear" w:color="auto" w:fill="D9E2F3"/>
            <w:vAlign w:val="center"/>
          </w:tcPr>
          <w:p w14:paraId="0CAFD4FC" w14:textId="77777777" w:rsidR="00990B14" w:rsidRDefault="00000000">
            <w:pPr>
              <w:spacing w:before="20" w:after="20"/>
              <w:jc w:val="both"/>
            </w:pPr>
            <w:r>
              <w:rPr>
                <w:sz w:val="18"/>
                <w:szCs w:val="18"/>
              </w:rPr>
              <w:t>Configura los módulos y verifica su integración con la contabilidad.</w:t>
            </w:r>
          </w:p>
        </w:tc>
      </w:tr>
      <w:tr w:rsidR="00990B14" w14:paraId="5C9CDEDB" w14:textId="77777777">
        <w:trPr>
          <w:cantSplit/>
          <w:jc w:val="center"/>
        </w:trPr>
        <w:tc>
          <w:tcPr>
            <w:tcW w:w="1533" w:type="dxa"/>
            <w:vMerge/>
            <w:shd w:val="clear" w:color="auto" w:fill="4472C4"/>
            <w:vAlign w:val="center"/>
          </w:tcPr>
          <w:p w14:paraId="6AACF1B6" w14:textId="77777777" w:rsidR="00990B14" w:rsidRDefault="00990B14">
            <w:pPr>
              <w:spacing w:before="20" w:after="20"/>
            </w:pPr>
          </w:p>
        </w:tc>
        <w:tc>
          <w:tcPr>
            <w:tcW w:w="1812" w:type="dxa"/>
            <w:shd w:val="clear" w:color="auto" w:fill="D9E2F3"/>
            <w:vAlign w:val="center"/>
          </w:tcPr>
          <w:p w14:paraId="07C1D3C6" w14:textId="77777777" w:rsidR="00990B14" w:rsidRDefault="00000000">
            <w:pPr>
              <w:spacing w:before="20" w:after="20"/>
              <w:jc w:val="both"/>
            </w:pPr>
            <w:r>
              <w:rPr>
                <w:sz w:val="18"/>
                <w:szCs w:val="18"/>
              </w:rPr>
              <w:t>Trabajo en equipo</w:t>
            </w:r>
          </w:p>
        </w:tc>
        <w:tc>
          <w:tcPr>
            <w:tcW w:w="2435" w:type="dxa"/>
            <w:shd w:val="clear" w:color="auto" w:fill="D9E2F3"/>
            <w:vAlign w:val="center"/>
          </w:tcPr>
          <w:p w14:paraId="31E601B0" w14:textId="77777777" w:rsidR="00990B14" w:rsidRDefault="00000000">
            <w:pPr>
              <w:spacing w:before="20" w:after="20"/>
              <w:jc w:val="both"/>
            </w:pPr>
            <w:r>
              <w:rPr>
                <w:sz w:val="18"/>
                <w:szCs w:val="18"/>
              </w:rPr>
              <w:t>Participan solo algunos integrantes.</w:t>
            </w:r>
          </w:p>
        </w:tc>
        <w:tc>
          <w:tcPr>
            <w:tcW w:w="1812" w:type="dxa"/>
            <w:shd w:val="clear" w:color="auto" w:fill="D9E2F3"/>
            <w:vAlign w:val="center"/>
          </w:tcPr>
          <w:p w14:paraId="5FDB7D99" w14:textId="77777777" w:rsidR="00990B14" w:rsidRDefault="00000000">
            <w:pPr>
              <w:spacing w:before="20" w:after="20"/>
              <w:jc w:val="both"/>
            </w:pPr>
            <w:r>
              <w:rPr>
                <w:sz w:val="18"/>
                <w:szCs w:val="18"/>
              </w:rPr>
              <w:t>Todos los integrantes participan en la elaboración.</w:t>
            </w:r>
          </w:p>
        </w:tc>
        <w:tc>
          <w:tcPr>
            <w:tcW w:w="1813" w:type="dxa"/>
            <w:shd w:val="clear" w:color="auto" w:fill="D9E2F3"/>
            <w:vAlign w:val="center"/>
          </w:tcPr>
          <w:p w14:paraId="026E4D6C" w14:textId="77777777" w:rsidR="00990B14" w:rsidRDefault="00000000">
            <w:pPr>
              <w:spacing w:before="20" w:after="20"/>
              <w:jc w:val="both"/>
            </w:pPr>
            <w:r>
              <w:rPr>
                <w:sz w:val="18"/>
                <w:szCs w:val="18"/>
              </w:rPr>
              <w:t>El equipo distribuye roles y sustenta sus resultados.</w:t>
            </w:r>
          </w:p>
        </w:tc>
      </w:tr>
      <w:tr w:rsidR="00990B14" w14:paraId="0F5E3A4B" w14:textId="77777777">
        <w:trPr>
          <w:cantSplit/>
          <w:jc w:val="center"/>
        </w:trPr>
        <w:tc>
          <w:tcPr>
            <w:tcW w:w="1533" w:type="dxa"/>
            <w:vMerge/>
            <w:shd w:val="clear" w:color="auto" w:fill="4472C4"/>
            <w:vAlign w:val="center"/>
          </w:tcPr>
          <w:p w14:paraId="091E615D" w14:textId="77777777" w:rsidR="00990B14" w:rsidRDefault="00990B14">
            <w:pPr>
              <w:spacing w:before="20" w:after="20"/>
            </w:pPr>
          </w:p>
        </w:tc>
        <w:tc>
          <w:tcPr>
            <w:tcW w:w="6059" w:type="dxa"/>
            <w:gridSpan w:val="3"/>
            <w:shd w:val="clear" w:color="auto" w:fill="D9E2F3"/>
            <w:vAlign w:val="center"/>
          </w:tcPr>
          <w:p w14:paraId="6D89E32E" w14:textId="77777777" w:rsidR="00990B14" w:rsidRDefault="00000000">
            <w:pPr>
              <w:keepNext/>
              <w:spacing w:before="20" w:after="20"/>
              <w:jc w:val="both"/>
            </w:pPr>
            <w:r>
              <w:rPr>
                <w:b/>
                <w:bCs/>
                <w:i/>
                <w:iCs/>
                <w:sz w:val="18"/>
                <w:szCs w:val="18"/>
              </w:rPr>
              <w:t xml:space="preserve">Producto 26: </w:t>
            </w:r>
            <w:r>
              <w:rPr>
                <w:sz w:val="18"/>
                <w:szCs w:val="18"/>
              </w:rPr>
              <w:t>Registro de un ciclo completo de operaciones y su cierre en el ERP</w:t>
            </w:r>
          </w:p>
        </w:tc>
        <w:tc>
          <w:tcPr>
            <w:tcW w:w="1813" w:type="dxa"/>
            <w:shd w:val="clear" w:color="auto" w:fill="D9E2F3"/>
            <w:vAlign w:val="center"/>
          </w:tcPr>
          <w:p w14:paraId="5DDD56F7" w14:textId="77777777" w:rsidR="00990B14" w:rsidRDefault="00000000">
            <w:pPr>
              <w:spacing w:before="20" w:after="20"/>
              <w:jc w:val="center"/>
            </w:pPr>
            <w:r>
              <w:rPr>
                <w:b/>
                <w:bCs/>
                <w:sz w:val="18"/>
                <w:szCs w:val="18"/>
              </w:rPr>
              <w:t>5%</w:t>
            </w:r>
          </w:p>
        </w:tc>
      </w:tr>
      <w:tr w:rsidR="00990B14" w14:paraId="6C802FD5" w14:textId="77777777">
        <w:trPr>
          <w:cantSplit/>
          <w:jc w:val="center"/>
        </w:trPr>
        <w:tc>
          <w:tcPr>
            <w:tcW w:w="1533" w:type="dxa"/>
            <w:vMerge/>
            <w:shd w:val="clear" w:color="auto" w:fill="4472C4"/>
            <w:vAlign w:val="center"/>
          </w:tcPr>
          <w:p w14:paraId="2CEF0CB0" w14:textId="77777777" w:rsidR="00990B14" w:rsidRDefault="00990B14">
            <w:pPr>
              <w:spacing w:before="20" w:after="20"/>
            </w:pPr>
          </w:p>
        </w:tc>
        <w:tc>
          <w:tcPr>
            <w:tcW w:w="1812" w:type="dxa"/>
            <w:shd w:val="clear" w:color="auto" w:fill="4472C4"/>
            <w:vAlign w:val="center"/>
          </w:tcPr>
          <w:p w14:paraId="69C693AD" w14:textId="77777777" w:rsidR="00990B14" w:rsidRDefault="00000000">
            <w:pPr>
              <w:keepNext/>
              <w:spacing w:before="20" w:after="20"/>
              <w:jc w:val="center"/>
            </w:pPr>
            <w:r>
              <w:rPr>
                <w:b/>
                <w:bCs/>
                <w:i/>
                <w:iCs/>
                <w:color w:val="FFFFFF"/>
                <w:sz w:val="18"/>
                <w:szCs w:val="18"/>
              </w:rPr>
              <w:t>Criterio</w:t>
            </w:r>
          </w:p>
        </w:tc>
        <w:tc>
          <w:tcPr>
            <w:tcW w:w="2435" w:type="dxa"/>
            <w:shd w:val="clear" w:color="auto" w:fill="4472C4"/>
            <w:vAlign w:val="center"/>
          </w:tcPr>
          <w:p w14:paraId="021C4897" w14:textId="77777777" w:rsidR="00990B14" w:rsidRDefault="00000000">
            <w:pPr>
              <w:keepNext/>
              <w:spacing w:before="20" w:after="20"/>
              <w:jc w:val="center"/>
            </w:pPr>
            <w:r>
              <w:rPr>
                <w:b/>
                <w:bCs/>
                <w:i/>
                <w:iCs/>
                <w:color w:val="FFFFFF"/>
                <w:sz w:val="18"/>
                <w:szCs w:val="18"/>
              </w:rPr>
              <w:t>Insuficiente (1–50)</w:t>
            </w:r>
          </w:p>
        </w:tc>
        <w:tc>
          <w:tcPr>
            <w:tcW w:w="1812" w:type="dxa"/>
            <w:shd w:val="clear" w:color="auto" w:fill="4472C4"/>
            <w:vAlign w:val="center"/>
          </w:tcPr>
          <w:p w14:paraId="12197C2F" w14:textId="77777777" w:rsidR="00990B14" w:rsidRDefault="00000000">
            <w:pPr>
              <w:keepNext/>
              <w:spacing w:before="20" w:after="20"/>
              <w:jc w:val="center"/>
            </w:pPr>
            <w:r>
              <w:rPr>
                <w:b/>
                <w:bCs/>
                <w:i/>
                <w:iCs/>
                <w:color w:val="FFFFFF"/>
                <w:sz w:val="18"/>
                <w:szCs w:val="18"/>
              </w:rPr>
              <w:t>Suficiente (51–80)</w:t>
            </w:r>
          </w:p>
        </w:tc>
        <w:tc>
          <w:tcPr>
            <w:tcW w:w="1813" w:type="dxa"/>
            <w:shd w:val="clear" w:color="auto" w:fill="4472C4"/>
            <w:vAlign w:val="center"/>
          </w:tcPr>
          <w:p w14:paraId="76BDDACF" w14:textId="77777777" w:rsidR="00990B14" w:rsidRDefault="00000000">
            <w:pPr>
              <w:keepNext/>
              <w:spacing w:before="20" w:after="20"/>
              <w:jc w:val="center"/>
            </w:pPr>
            <w:r>
              <w:rPr>
                <w:b/>
                <w:bCs/>
                <w:i/>
                <w:iCs/>
                <w:color w:val="FFFFFF"/>
                <w:sz w:val="18"/>
                <w:szCs w:val="18"/>
              </w:rPr>
              <w:t>Destacado (81–100)</w:t>
            </w:r>
          </w:p>
        </w:tc>
      </w:tr>
      <w:tr w:rsidR="00990B14" w14:paraId="561CAEE3" w14:textId="77777777">
        <w:trPr>
          <w:cantSplit/>
          <w:jc w:val="center"/>
        </w:trPr>
        <w:tc>
          <w:tcPr>
            <w:tcW w:w="1533" w:type="dxa"/>
            <w:vMerge/>
            <w:shd w:val="clear" w:color="auto" w:fill="4472C4"/>
            <w:vAlign w:val="center"/>
          </w:tcPr>
          <w:p w14:paraId="0CB7E94E" w14:textId="77777777" w:rsidR="00990B14" w:rsidRDefault="00990B14">
            <w:pPr>
              <w:spacing w:before="20" w:after="20"/>
            </w:pPr>
          </w:p>
        </w:tc>
        <w:tc>
          <w:tcPr>
            <w:tcW w:w="1812" w:type="dxa"/>
            <w:shd w:val="clear" w:color="auto" w:fill="D9E2F3"/>
            <w:vAlign w:val="center"/>
          </w:tcPr>
          <w:p w14:paraId="067E109C" w14:textId="77777777" w:rsidR="00990B14" w:rsidRDefault="00000000">
            <w:pPr>
              <w:spacing w:before="20" w:after="20"/>
              <w:jc w:val="both"/>
            </w:pPr>
            <w:r>
              <w:rPr>
                <w:sz w:val="18"/>
                <w:szCs w:val="18"/>
              </w:rPr>
              <w:t>Registro de operaciones</w:t>
            </w:r>
          </w:p>
        </w:tc>
        <w:tc>
          <w:tcPr>
            <w:tcW w:w="2435" w:type="dxa"/>
            <w:shd w:val="clear" w:color="auto" w:fill="D9E2F3"/>
            <w:vAlign w:val="center"/>
          </w:tcPr>
          <w:p w14:paraId="2D4FD7C9" w14:textId="77777777" w:rsidR="00990B14" w:rsidRDefault="00000000">
            <w:pPr>
              <w:spacing w:before="20" w:after="20"/>
              <w:jc w:val="both"/>
            </w:pPr>
            <w:r>
              <w:rPr>
                <w:sz w:val="18"/>
                <w:szCs w:val="18"/>
              </w:rPr>
              <w:t>Registra operaciones con errores de imputación.</w:t>
            </w:r>
          </w:p>
        </w:tc>
        <w:tc>
          <w:tcPr>
            <w:tcW w:w="1812" w:type="dxa"/>
            <w:shd w:val="clear" w:color="auto" w:fill="D9E2F3"/>
            <w:vAlign w:val="center"/>
          </w:tcPr>
          <w:p w14:paraId="6B160CD0" w14:textId="77777777" w:rsidR="00990B14" w:rsidRDefault="00000000">
            <w:pPr>
              <w:spacing w:before="20" w:after="20"/>
              <w:jc w:val="both"/>
            </w:pPr>
            <w:r>
              <w:rPr>
                <w:sz w:val="18"/>
                <w:szCs w:val="18"/>
              </w:rPr>
              <w:t>Registra correctamente las operaciones del ciclo.</w:t>
            </w:r>
          </w:p>
        </w:tc>
        <w:tc>
          <w:tcPr>
            <w:tcW w:w="1813" w:type="dxa"/>
            <w:shd w:val="clear" w:color="auto" w:fill="D9E2F3"/>
            <w:vAlign w:val="center"/>
          </w:tcPr>
          <w:p w14:paraId="47F67CC0" w14:textId="77777777" w:rsidR="00990B14" w:rsidRDefault="00000000">
            <w:pPr>
              <w:spacing w:before="20" w:after="20"/>
              <w:jc w:val="both"/>
            </w:pPr>
            <w:r>
              <w:rPr>
                <w:sz w:val="18"/>
                <w:szCs w:val="18"/>
              </w:rPr>
              <w:t>Registra las operaciones y verifica su efecto en los módulos integrados.</w:t>
            </w:r>
          </w:p>
        </w:tc>
      </w:tr>
      <w:tr w:rsidR="00990B14" w14:paraId="011160AA" w14:textId="77777777">
        <w:trPr>
          <w:cantSplit/>
          <w:jc w:val="center"/>
        </w:trPr>
        <w:tc>
          <w:tcPr>
            <w:tcW w:w="1533" w:type="dxa"/>
            <w:vMerge/>
            <w:shd w:val="clear" w:color="auto" w:fill="4472C4"/>
            <w:vAlign w:val="center"/>
          </w:tcPr>
          <w:p w14:paraId="256E0BD7" w14:textId="77777777" w:rsidR="00990B14" w:rsidRDefault="00990B14">
            <w:pPr>
              <w:spacing w:before="20" w:after="20"/>
            </w:pPr>
          </w:p>
        </w:tc>
        <w:tc>
          <w:tcPr>
            <w:tcW w:w="1812" w:type="dxa"/>
            <w:shd w:val="clear" w:color="auto" w:fill="D9E2F3"/>
            <w:vAlign w:val="center"/>
          </w:tcPr>
          <w:p w14:paraId="09C8F4A0" w14:textId="77777777" w:rsidR="00990B14" w:rsidRDefault="00000000">
            <w:pPr>
              <w:spacing w:before="20" w:after="20"/>
              <w:jc w:val="both"/>
            </w:pPr>
            <w:r>
              <w:rPr>
                <w:sz w:val="18"/>
                <w:szCs w:val="18"/>
              </w:rPr>
              <w:t>Cierre del periodo</w:t>
            </w:r>
          </w:p>
        </w:tc>
        <w:tc>
          <w:tcPr>
            <w:tcW w:w="2435" w:type="dxa"/>
            <w:shd w:val="clear" w:color="auto" w:fill="D9E2F3"/>
            <w:vAlign w:val="center"/>
          </w:tcPr>
          <w:p w14:paraId="7D5D5678" w14:textId="77777777" w:rsidR="00990B14" w:rsidRDefault="00000000">
            <w:pPr>
              <w:spacing w:before="20" w:after="20"/>
              <w:jc w:val="both"/>
            </w:pPr>
            <w:r>
              <w:rPr>
                <w:sz w:val="18"/>
                <w:szCs w:val="18"/>
              </w:rPr>
              <w:t>No ejecuta el cierre del periodo.</w:t>
            </w:r>
          </w:p>
        </w:tc>
        <w:tc>
          <w:tcPr>
            <w:tcW w:w="1812" w:type="dxa"/>
            <w:shd w:val="clear" w:color="auto" w:fill="D9E2F3"/>
            <w:vAlign w:val="center"/>
          </w:tcPr>
          <w:p w14:paraId="00CB2A37" w14:textId="77777777" w:rsidR="00990B14" w:rsidRDefault="00000000">
            <w:pPr>
              <w:spacing w:before="20" w:after="20"/>
              <w:jc w:val="both"/>
            </w:pPr>
            <w:r>
              <w:rPr>
                <w:sz w:val="18"/>
                <w:szCs w:val="18"/>
              </w:rPr>
              <w:t>Ejecuta el cierre del periodo en el ERP.</w:t>
            </w:r>
          </w:p>
        </w:tc>
        <w:tc>
          <w:tcPr>
            <w:tcW w:w="1813" w:type="dxa"/>
            <w:shd w:val="clear" w:color="auto" w:fill="D9E2F3"/>
            <w:vAlign w:val="center"/>
          </w:tcPr>
          <w:p w14:paraId="0D1F33C2" w14:textId="77777777" w:rsidR="00990B14" w:rsidRDefault="00000000">
            <w:pPr>
              <w:spacing w:before="20" w:after="20"/>
              <w:jc w:val="both"/>
            </w:pPr>
            <w:r>
              <w:rPr>
                <w:sz w:val="18"/>
                <w:szCs w:val="18"/>
              </w:rPr>
              <w:t>Ejecuta el cierre y concilia los saldos de los módulos con la contabilidad.</w:t>
            </w:r>
          </w:p>
        </w:tc>
      </w:tr>
      <w:tr w:rsidR="00990B14" w14:paraId="323F3DE4" w14:textId="77777777">
        <w:trPr>
          <w:cantSplit/>
          <w:jc w:val="center"/>
        </w:trPr>
        <w:tc>
          <w:tcPr>
            <w:tcW w:w="1533" w:type="dxa"/>
            <w:vMerge/>
            <w:shd w:val="clear" w:color="auto" w:fill="4472C4"/>
            <w:vAlign w:val="center"/>
          </w:tcPr>
          <w:p w14:paraId="12B607CE" w14:textId="77777777" w:rsidR="00990B14" w:rsidRDefault="00990B14">
            <w:pPr>
              <w:spacing w:before="20" w:after="20"/>
            </w:pPr>
          </w:p>
        </w:tc>
        <w:tc>
          <w:tcPr>
            <w:tcW w:w="1812" w:type="dxa"/>
            <w:shd w:val="clear" w:color="auto" w:fill="D9E2F3"/>
            <w:vAlign w:val="center"/>
          </w:tcPr>
          <w:p w14:paraId="6C5621D8" w14:textId="77777777" w:rsidR="00990B14" w:rsidRDefault="00000000">
            <w:pPr>
              <w:spacing w:before="20" w:after="20"/>
              <w:jc w:val="both"/>
            </w:pPr>
            <w:r>
              <w:rPr>
                <w:sz w:val="18"/>
                <w:szCs w:val="18"/>
              </w:rPr>
              <w:t>Reportes del sistema</w:t>
            </w:r>
          </w:p>
        </w:tc>
        <w:tc>
          <w:tcPr>
            <w:tcW w:w="2435" w:type="dxa"/>
            <w:shd w:val="clear" w:color="auto" w:fill="D9E2F3"/>
            <w:vAlign w:val="center"/>
          </w:tcPr>
          <w:p w14:paraId="3F5D4B69" w14:textId="77777777" w:rsidR="00990B14" w:rsidRDefault="00000000">
            <w:pPr>
              <w:spacing w:before="20" w:after="20"/>
              <w:jc w:val="both"/>
            </w:pPr>
            <w:r>
              <w:rPr>
                <w:sz w:val="18"/>
                <w:szCs w:val="18"/>
              </w:rPr>
              <w:t>No obtiene reportes del sistema.</w:t>
            </w:r>
          </w:p>
        </w:tc>
        <w:tc>
          <w:tcPr>
            <w:tcW w:w="1812" w:type="dxa"/>
            <w:shd w:val="clear" w:color="auto" w:fill="D9E2F3"/>
            <w:vAlign w:val="center"/>
          </w:tcPr>
          <w:p w14:paraId="7922E35E" w14:textId="77777777" w:rsidR="00990B14" w:rsidRDefault="00000000">
            <w:pPr>
              <w:spacing w:before="20" w:after="20"/>
              <w:jc w:val="both"/>
            </w:pPr>
            <w:r>
              <w:rPr>
                <w:sz w:val="18"/>
                <w:szCs w:val="18"/>
              </w:rPr>
              <w:t>Obtiene los estados financieros desde el ERP.</w:t>
            </w:r>
          </w:p>
        </w:tc>
        <w:tc>
          <w:tcPr>
            <w:tcW w:w="1813" w:type="dxa"/>
            <w:shd w:val="clear" w:color="auto" w:fill="D9E2F3"/>
            <w:vAlign w:val="center"/>
          </w:tcPr>
          <w:p w14:paraId="4A798063" w14:textId="77777777" w:rsidR="00990B14" w:rsidRDefault="00000000">
            <w:pPr>
              <w:spacing w:before="20" w:after="20"/>
              <w:jc w:val="both"/>
            </w:pPr>
            <w:r>
              <w:rPr>
                <w:sz w:val="18"/>
                <w:szCs w:val="18"/>
              </w:rPr>
              <w:t>Obtiene y analiza los reportes del ERP para validar el ciclo.</w:t>
            </w:r>
          </w:p>
        </w:tc>
      </w:tr>
      <w:tr w:rsidR="00990B14" w14:paraId="21046140" w14:textId="77777777">
        <w:trPr>
          <w:cantSplit/>
          <w:jc w:val="center"/>
        </w:trPr>
        <w:tc>
          <w:tcPr>
            <w:tcW w:w="1533" w:type="dxa"/>
            <w:vMerge/>
            <w:shd w:val="clear" w:color="auto" w:fill="4472C4"/>
            <w:vAlign w:val="center"/>
          </w:tcPr>
          <w:p w14:paraId="3F362B32" w14:textId="77777777" w:rsidR="00990B14" w:rsidRDefault="00990B14">
            <w:pPr>
              <w:spacing w:before="20" w:after="20"/>
            </w:pPr>
          </w:p>
        </w:tc>
        <w:tc>
          <w:tcPr>
            <w:tcW w:w="6059" w:type="dxa"/>
            <w:gridSpan w:val="3"/>
            <w:shd w:val="clear" w:color="auto" w:fill="D9E2F3"/>
            <w:vAlign w:val="center"/>
          </w:tcPr>
          <w:p w14:paraId="1C23EF10" w14:textId="77777777" w:rsidR="00990B14" w:rsidRDefault="00000000">
            <w:pPr>
              <w:keepNext/>
              <w:spacing w:before="20" w:after="20"/>
              <w:jc w:val="both"/>
            </w:pPr>
            <w:r>
              <w:rPr>
                <w:b/>
                <w:bCs/>
                <w:i/>
                <w:iCs/>
                <w:sz w:val="18"/>
                <w:szCs w:val="18"/>
              </w:rPr>
              <w:t xml:space="preserve">Producto 27: </w:t>
            </w:r>
            <w:r>
              <w:rPr>
                <w:sz w:val="18"/>
                <w:szCs w:val="18"/>
              </w:rPr>
              <w:t>Informe de parametrización de una empresa en un ERP de uso académico</w:t>
            </w:r>
          </w:p>
        </w:tc>
        <w:tc>
          <w:tcPr>
            <w:tcW w:w="1813" w:type="dxa"/>
            <w:shd w:val="clear" w:color="auto" w:fill="D9E2F3"/>
            <w:vAlign w:val="center"/>
          </w:tcPr>
          <w:p w14:paraId="299700BF" w14:textId="77777777" w:rsidR="00990B14" w:rsidRDefault="00000000">
            <w:pPr>
              <w:spacing w:before="20" w:after="20"/>
              <w:jc w:val="center"/>
            </w:pPr>
            <w:r>
              <w:rPr>
                <w:b/>
                <w:bCs/>
                <w:sz w:val="18"/>
                <w:szCs w:val="18"/>
              </w:rPr>
              <w:t>5%</w:t>
            </w:r>
          </w:p>
        </w:tc>
      </w:tr>
      <w:tr w:rsidR="00990B14" w14:paraId="60F6AD5A" w14:textId="77777777">
        <w:trPr>
          <w:cantSplit/>
          <w:jc w:val="center"/>
        </w:trPr>
        <w:tc>
          <w:tcPr>
            <w:tcW w:w="1533" w:type="dxa"/>
            <w:vMerge/>
            <w:shd w:val="clear" w:color="auto" w:fill="4472C4"/>
            <w:vAlign w:val="center"/>
          </w:tcPr>
          <w:p w14:paraId="4013A120" w14:textId="77777777" w:rsidR="00990B14" w:rsidRDefault="00990B14">
            <w:pPr>
              <w:spacing w:before="20" w:after="20"/>
            </w:pPr>
          </w:p>
        </w:tc>
        <w:tc>
          <w:tcPr>
            <w:tcW w:w="1812" w:type="dxa"/>
            <w:shd w:val="clear" w:color="auto" w:fill="4472C4"/>
            <w:vAlign w:val="center"/>
          </w:tcPr>
          <w:p w14:paraId="4C193066" w14:textId="77777777" w:rsidR="00990B14" w:rsidRDefault="00000000">
            <w:pPr>
              <w:keepNext/>
              <w:spacing w:before="20" w:after="20"/>
              <w:jc w:val="center"/>
            </w:pPr>
            <w:r>
              <w:rPr>
                <w:b/>
                <w:bCs/>
                <w:i/>
                <w:iCs/>
                <w:color w:val="FFFFFF"/>
                <w:sz w:val="18"/>
                <w:szCs w:val="18"/>
              </w:rPr>
              <w:t>Criterio</w:t>
            </w:r>
          </w:p>
        </w:tc>
        <w:tc>
          <w:tcPr>
            <w:tcW w:w="2435" w:type="dxa"/>
            <w:shd w:val="clear" w:color="auto" w:fill="4472C4"/>
            <w:vAlign w:val="center"/>
          </w:tcPr>
          <w:p w14:paraId="7D62A8D8" w14:textId="77777777" w:rsidR="00990B14" w:rsidRDefault="00000000">
            <w:pPr>
              <w:keepNext/>
              <w:spacing w:before="20" w:after="20"/>
              <w:jc w:val="center"/>
            </w:pPr>
            <w:r>
              <w:rPr>
                <w:b/>
                <w:bCs/>
                <w:i/>
                <w:iCs/>
                <w:color w:val="FFFFFF"/>
                <w:sz w:val="18"/>
                <w:szCs w:val="18"/>
              </w:rPr>
              <w:t>Insuficiente (1–50)</w:t>
            </w:r>
          </w:p>
        </w:tc>
        <w:tc>
          <w:tcPr>
            <w:tcW w:w="1812" w:type="dxa"/>
            <w:shd w:val="clear" w:color="auto" w:fill="4472C4"/>
            <w:vAlign w:val="center"/>
          </w:tcPr>
          <w:p w14:paraId="4CF466F8" w14:textId="77777777" w:rsidR="00990B14" w:rsidRDefault="00000000">
            <w:pPr>
              <w:keepNext/>
              <w:spacing w:before="20" w:after="20"/>
              <w:jc w:val="center"/>
            </w:pPr>
            <w:r>
              <w:rPr>
                <w:b/>
                <w:bCs/>
                <w:i/>
                <w:iCs/>
                <w:color w:val="FFFFFF"/>
                <w:sz w:val="18"/>
                <w:szCs w:val="18"/>
              </w:rPr>
              <w:t>Suficiente (51–80)</w:t>
            </w:r>
          </w:p>
        </w:tc>
        <w:tc>
          <w:tcPr>
            <w:tcW w:w="1813" w:type="dxa"/>
            <w:shd w:val="clear" w:color="auto" w:fill="4472C4"/>
            <w:vAlign w:val="center"/>
          </w:tcPr>
          <w:p w14:paraId="571F25B6" w14:textId="77777777" w:rsidR="00990B14" w:rsidRDefault="00000000">
            <w:pPr>
              <w:keepNext/>
              <w:spacing w:before="20" w:after="20"/>
              <w:jc w:val="center"/>
            </w:pPr>
            <w:r>
              <w:rPr>
                <w:b/>
                <w:bCs/>
                <w:i/>
                <w:iCs/>
                <w:color w:val="FFFFFF"/>
                <w:sz w:val="18"/>
                <w:szCs w:val="18"/>
              </w:rPr>
              <w:t>Destacado (81–100)</w:t>
            </w:r>
          </w:p>
        </w:tc>
      </w:tr>
      <w:tr w:rsidR="00990B14" w14:paraId="3CAFBAB6" w14:textId="77777777">
        <w:trPr>
          <w:cantSplit/>
          <w:jc w:val="center"/>
        </w:trPr>
        <w:tc>
          <w:tcPr>
            <w:tcW w:w="1533" w:type="dxa"/>
            <w:vMerge/>
            <w:shd w:val="clear" w:color="auto" w:fill="4472C4"/>
            <w:vAlign w:val="center"/>
          </w:tcPr>
          <w:p w14:paraId="726547A9" w14:textId="77777777" w:rsidR="00990B14" w:rsidRDefault="00990B14">
            <w:pPr>
              <w:spacing w:before="20" w:after="20"/>
            </w:pPr>
          </w:p>
        </w:tc>
        <w:tc>
          <w:tcPr>
            <w:tcW w:w="1812" w:type="dxa"/>
            <w:shd w:val="clear" w:color="auto" w:fill="D9E2F3"/>
            <w:vAlign w:val="center"/>
          </w:tcPr>
          <w:p w14:paraId="327B02CD" w14:textId="77777777" w:rsidR="00990B14" w:rsidRDefault="00000000">
            <w:pPr>
              <w:spacing w:before="20" w:after="20"/>
              <w:jc w:val="both"/>
            </w:pPr>
            <w:r>
              <w:rPr>
                <w:sz w:val="18"/>
                <w:szCs w:val="18"/>
              </w:rPr>
              <w:t>Plan de cuentas y monedas</w:t>
            </w:r>
          </w:p>
        </w:tc>
        <w:tc>
          <w:tcPr>
            <w:tcW w:w="2435" w:type="dxa"/>
            <w:shd w:val="clear" w:color="auto" w:fill="D9E2F3"/>
            <w:vAlign w:val="center"/>
          </w:tcPr>
          <w:p w14:paraId="3427353C" w14:textId="77777777" w:rsidR="00990B14" w:rsidRDefault="00000000">
            <w:pPr>
              <w:spacing w:before="20" w:after="20"/>
              <w:jc w:val="both"/>
            </w:pPr>
            <w:r>
              <w:rPr>
                <w:sz w:val="18"/>
                <w:szCs w:val="18"/>
              </w:rPr>
              <w:t>El plan de cuentas o las monedas presentan errores.</w:t>
            </w:r>
          </w:p>
        </w:tc>
        <w:tc>
          <w:tcPr>
            <w:tcW w:w="1812" w:type="dxa"/>
            <w:shd w:val="clear" w:color="auto" w:fill="D9E2F3"/>
            <w:vAlign w:val="center"/>
          </w:tcPr>
          <w:p w14:paraId="5F321291" w14:textId="77777777" w:rsidR="00990B14" w:rsidRDefault="00000000">
            <w:pPr>
              <w:spacing w:before="20" w:after="20"/>
              <w:jc w:val="both"/>
            </w:pPr>
            <w:r>
              <w:rPr>
                <w:sz w:val="18"/>
                <w:szCs w:val="18"/>
              </w:rPr>
              <w:t>Configura el plan de cuentas y las monedas de la empresa.</w:t>
            </w:r>
          </w:p>
        </w:tc>
        <w:tc>
          <w:tcPr>
            <w:tcW w:w="1813" w:type="dxa"/>
            <w:shd w:val="clear" w:color="auto" w:fill="D9E2F3"/>
            <w:vAlign w:val="center"/>
          </w:tcPr>
          <w:p w14:paraId="1EFF215D" w14:textId="77777777" w:rsidR="00990B14" w:rsidRDefault="00000000">
            <w:pPr>
              <w:spacing w:before="20" w:after="20"/>
              <w:jc w:val="both"/>
            </w:pPr>
            <w:r>
              <w:rPr>
                <w:sz w:val="18"/>
                <w:szCs w:val="18"/>
              </w:rPr>
              <w:t>Configura el plan de cuentas y las monedas y justifica su estructura.</w:t>
            </w:r>
          </w:p>
        </w:tc>
      </w:tr>
      <w:tr w:rsidR="00990B14" w14:paraId="299C2C51" w14:textId="77777777">
        <w:trPr>
          <w:cantSplit/>
          <w:jc w:val="center"/>
        </w:trPr>
        <w:tc>
          <w:tcPr>
            <w:tcW w:w="1533" w:type="dxa"/>
            <w:vMerge/>
            <w:shd w:val="clear" w:color="auto" w:fill="4472C4"/>
            <w:vAlign w:val="center"/>
          </w:tcPr>
          <w:p w14:paraId="3C9AAE5C" w14:textId="77777777" w:rsidR="00990B14" w:rsidRDefault="00990B14">
            <w:pPr>
              <w:spacing w:before="20" w:after="20"/>
            </w:pPr>
          </w:p>
        </w:tc>
        <w:tc>
          <w:tcPr>
            <w:tcW w:w="1812" w:type="dxa"/>
            <w:shd w:val="clear" w:color="auto" w:fill="D9E2F3"/>
            <w:vAlign w:val="center"/>
          </w:tcPr>
          <w:p w14:paraId="151FDBE3" w14:textId="77777777" w:rsidR="00990B14" w:rsidRDefault="00000000">
            <w:pPr>
              <w:spacing w:before="20" w:after="20"/>
              <w:jc w:val="both"/>
            </w:pPr>
            <w:r>
              <w:rPr>
                <w:sz w:val="18"/>
                <w:szCs w:val="18"/>
              </w:rPr>
              <w:t>Impuestos y periodos</w:t>
            </w:r>
          </w:p>
        </w:tc>
        <w:tc>
          <w:tcPr>
            <w:tcW w:w="2435" w:type="dxa"/>
            <w:shd w:val="clear" w:color="auto" w:fill="D9E2F3"/>
            <w:vAlign w:val="center"/>
          </w:tcPr>
          <w:p w14:paraId="02434C7D" w14:textId="77777777" w:rsidR="00990B14" w:rsidRDefault="00000000">
            <w:pPr>
              <w:spacing w:before="20" w:after="20"/>
              <w:jc w:val="both"/>
            </w:pPr>
            <w:r>
              <w:rPr>
                <w:sz w:val="18"/>
                <w:szCs w:val="18"/>
              </w:rPr>
              <w:t>Omite la configuración de impuestos o de periodos.</w:t>
            </w:r>
          </w:p>
        </w:tc>
        <w:tc>
          <w:tcPr>
            <w:tcW w:w="1812" w:type="dxa"/>
            <w:shd w:val="clear" w:color="auto" w:fill="D9E2F3"/>
            <w:vAlign w:val="center"/>
          </w:tcPr>
          <w:p w14:paraId="6ADA13A6" w14:textId="77777777" w:rsidR="00990B14" w:rsidRDefault="00000000">
            <w:pPr>
              <w:spacing w:before="20" w:after="20"/>
              <w:jc w:val="both"/>
            </w:pPr>
            <w:r>
              <w:rPr>
                <w:sz w:val="18"/>
                <w:szCs w:val="18"/>
              </w:rPr>
              <w:t>Configura los impuestos y los periodos contables.</w:t>
            </w:r>
          </w:p>
        </w:tc>
        <w:tc>
          <w:tcPr>
            <w:tcW w:w="1813" w:type="dxa"/>
            <w:shd w:val="clear" w:color="auto" w:fill="D9E2F3"/>
            <w:vAlign w:val="center"/>
          </w:tcPr>
          <w:p w14:paraId="4B30C902" w14:textId="77777777" w:rsidR="00990B14" w:rsidRDefault="00000000">
            <w:pPr>
              <w:spacing w:before="20" w:after="20"/>
              <w:jc w:val="both"/>
            </w:pPr>
            <w:r>
              <w:rPr>
                <w:sz w:val="18"/>
                <w:szCs w:val="18"/>
              </w:rPr>
              <w:t>Configura los impuestos y los periodos conforme a la normativa tributaria vigente.</w:t>
            </w:r>
          </w:p>
        </w:tc>
      </w:tr>
      <w:tr w:rsidR="00990B14" w14:paraId="792D4E9A" w14:textId="77777777">
        <w:trPr>
          <w:cantSplit/>
          <w:jc w:val="center"/>
        </w:trPr>
        <w:tc>
          <w:tcPr>
            <w:tcW w:w="1533" w:type="dxa"/>
            <w:vMerge/>
            <w:shd w:val="clear" w:color="auto" w:fill="4472C4"/>
            <w:vAlign w:val="center"/>
          </w:tcPr>
          <w:p w14:paraId="675CEA0D" w14:textId="77777777" w:rsidR="00990B14" w:rsidRDefault="00990B14">
            <w:pPr>
              <w:spacing w:before="20" w:after="20"/>
            </w:pPr>
          </w:p>
        </w:tc>
        <w:tc>
          <w:tcPr>
            <w:tcW w:w="1812" w:type="dxa"/>
            <w:shd w:val="clear" w:color="auto" w:fill="D9E2F3"/>
            <w:vAlign w:val="center"/>
          </w:tcPr>
          <w:p w14:paraId="728BF1A0" w14:textId="77777777" w:rsidR="00990B14" w:rsidRDefault="00000000">
            <w:pPr>
              <w:spacing w:before="20" w:after="20"/>
              <w:jc w:val="both"/>
            </w:pPr>
            <w:r>
              <w:rPr>
                <w:sz w:val="18"/>
                <w:szCs w:val="18"/>
              </w:rPr>
              <w:t>Perfiles de usuario</w:t>
            </w:r>
          </w:p>
        </w:tc>
        <w:tc>
          <w:tcPr>
            <w:tcW w:w="2435" w:type="dxa"/>
            <w:shd w:val="clear" w:color="auto" w:fill="D9E2F3"/>
            <w:vAlign w:val="center"/>
          </w:tcPr>
          <w:p w14:paraId="7DC17F75" w14:textId="77777777" w:rsidR="00990B14" w:rsidRDefault="00000000">
            <w:pPr>
              <w:spacing w:before="20" w:after="20"/>
              <w:jc w:val="both"/>
            </w:pPr>
            <w:r>
              <w:rPr>
                <w:sz w:val="18"/>
                <w:szCs w:val="18"/>
              </w:rPr>
              <w:t>No define perfiles de usuario.</w:t>
            </w:r>
          </w:p>
        </w:tc>
        <w:tc>
          <w:tcPr>
            <w:tcW w:w="1812" w:type="dxa"/>
            <w:shd w:val="clear" w:color="auto" w:fill="D9E2F3"/>
            <w:vAlign w:val="center"/>
          </w:tcPr>
          <w:p w14:paraId="0343A0EC" w14:textId="77777777" w:rsidR="00990B14" w:rsidRDefault="00000000">
            <w:pPr>
              <w:spacing w:before="20" w:after="20"/>
              <w:jc w:val="both"/>
            </w:pPr>
            <w:r>
              <w:rPr>
                <w:sz w:val="18"/>
                <w:szCs w:val="18"/>
              </w:rPr>
              <w:t>Define los perfiles de usuario.</w:t>
            </w:r>
          </w:p>
        </w:tc>
        <w:tc>
          <w:tcPr>
            <w:tcW w:w="1813" w:type="dxa"/>
            <w:shd w:val="clear" w:color="auto" w:fill="D9E2F3"/>
            <w:vAlign w:val="center"/>
          </w:tcPr>
          <w:p w14:paraId="5481231F" w14:textId="77777777" w:rsidR="00990B14" w:rsidRDefault="00000000">
            <w:pPr>
              <w:spacing w:before="20" w:after="20"/>
              <w:jc w:val="both"/>
            </w:pPr>
            <w:r>
              <w:rPr>
                <w:sz w:val="18"/>
                <w:szCs w:val="18"/>
              </w:rPr>
              <w:t>Define los perfiles de usuario según la segregación de funciones.</w:t>
            </w:r>
          </w:p>
        </w:tc>
      </w:tr>
      <w:tr w:rsidR="00990B14" w14:paraId="6B3937D5" w14:textId="77777777">
        <w:trPr>
          <w:cantSplit/>
          <w:jc w:val="center"/>
        </w:trPr>
        <w:tc>
          <w:tcPr>
            <w:tcW w:w="1533" w:type="dxa"/>
            <w:vMerge/>
            <w:shd w:val="clear" w:color="auto" w:fill="4472C4"/>
            <w:vAlign w:val="center"/>
          </w:tcPr>
          <w:p w14:paraId="5A2D61D4" w14:textId="77777777" w:rsidR="00990B14" w:rsidRDefault="00990B14">
            <w:pPr>
              <w:spacing w:before="20" w:after="20"/>
            </w:pPr>
          </w:p>
        </w:tc>
        <w:tc>
          <w:tcPr>
            <w:tcW w:w="6059" w:type="dxa"/>
            <w:gridSpan w:val="3"/>
            <w:shd w:val="clear" w:color="auto" w:fill="D9E2F3"/>
            <w:vAlign w:val="center"/>
          </w:tcPr>
          <w:p w14:paraId="1A0EF3D6" w14:textId="77777777" w:rsidR="00990B14" w:rsidRDefault="00000000">
            <w:pPr>
              <w:keepNext/>
              <w:spacing w:before="20" w:after="20"/>
              <w:jc w:val="both"/>
            </w:pPr>
            <w:r>
              <w:rPr>
                <w:b/>
                <w:bCs/>
                <w:i/>
                <w:iCs/>
                <w:sz w:val="18"/>
                <w:szCs w:val="18"/>
              </w:rPr>
              <w:t xml:space="preserve">Producto 28: </w:t>
            </w:r>
            <w:r>
              <w:rPr>
                <w:sz w:val="18"/>
                <w:szCs w:val="18"/>
              </w:rPr>
              <w:t>Tablero de indicadores financieros en Power BI con su informe de interpretación</w:t>
            </w:r>
          </w:p>
        </w:tc>
        <w:tc>
          <w:tcPr>
            <w:tcW w:w="1813" w:type="dxa"/>
            <w:shd w:val="clear" w:color="auto" w:fill="D9E2F3"/>
            <w:vAlign w:val="center"/>
          </w:tcPr>
          <w:p w14:paraId="4AAD08D9" w14:textId="77777777" w:rsidR="00990B14" w:rsidRDefault="00000000">
            <w:pPr>
              <w:spacing w:before="20" w:after="20"/>
              <w:jc w:val="center"/>
            </w:pPr>
            <w:r>
              <w:rPr>
                <w:b/>
                <w:bCs/>
                <w:sz w:val="18"/>
                <w:szCs w:val="18"/>
              </w:rPr>
              <w:t>5%</w:t>
            </w:r>
          </w:p>
        </w:tc>
      </w:tr>
      <w:tr w:rsidR="00990B14" w14:paraId="4328F055" w14:textId="77777777">
        <w:trPr>
          <w:cantSplit/>
          <w:jc w:val="center"/>
        </w:trPr>
        <w:tc>
          <w:tcPr>
            <w:tcW w:w="1533" w:type="dxa"/>
            <w:vMerge/>
            <w:shd w:val="clear" w:color="auto" w:fill="4472C4"/>
            <w:vAlign w:val="center"/>
          </w:tcPr>
          <w:p w14:paraId="0D1FDFC4" w14:textId="77777777" w:rsidR="00990B14" w:rsidRDefault="00990B14">
            <w:pPr>
              <w:spacing w:before="20" w:after="20"/>
            </w:pPr>
          </w:p>
        </w:tc>
        <w:tc>
          <w:tcPr>
            <w:tcW w:w="1812" w:type="dxa"/>
            <w:shd w:val="clear" w:color="auto" w:fill="4472C4"/>
            <w:vAlign w:val="center"/>
          </w:tcPr>
          <w:p w14:paraId="1AD81F92" w14:textId="77777777" w:rsidR="00990B14" w:rsidRDefault="00000000">
            <w:pPr>
              <w:keepNext/>
              <w:spacing w:before="20" w:after="20"/>
              <w:jc w:val="center"/>
            </w:pPr>
            <w:r>
              <w:rPr>
                <w:b/>
                <w:bCs/>
                <w:i/>
                <w:iCs/>
                <w:color w:val="FFFFFF"/>
                <w:sz w:val="18"/>
                <w:szCs w:val="18"/>
              </w:rPr>
              <w:t>Criterio</w:t>
            </w:r>
          </w:p>
        </w:tc>
        <w:tc>
          <w:tcPr>
            <w:tcW w:w="2435" w:type="dxa"/>
            <w:shd w:val="clear" w:color="auto" w:fill="4472C4"/>
            <w:vAlign w:val="center"/>
          </w:tcPr>
          <w:p w14:paraId="703FF4CF" w14:textId="77777777" w:rsidR="00990B14" w:rsidRDefault="00000000">
            <w:pPr>
              <w:keepNext/>
              <w:spacing w:before="20" w:after="20"/>
              <w:jc w:val="center"/>
            </w:pPr>
            <w:r>
              <w:rPr>
                <w:b/>
                <w:bCs/>
                <w:i/>
                <w:iCs/>
                <w:color w:val="FFFFFF"/>
                <w:sz w:val="18"/>
                <w:szCs w:val="18"/>
              </w:rPr>
              <w:t>Insuficiente (1–50)</w:t>
            </w:r>
          </w:p>
        </w:tc>
        <w:tc>
          <w:tcPr>
            <w:tcW w:w="1812" w:type="dxa"/>
            <w:shd w:val="clear" w:color="auto" w:fill="4472C4"/>
            <w:vAlign w:val="center"/>
          </w:tcPr>
          <w:p w14:paraId="609FA20F" w14:textId="77777777" w:rsidR="00990B14" w:rsidRDefault="00000000">
            <w:pPr>
              <w:keepNext/>
              <w:spacing w:before="20" w:after="20"/>
              <w:jc w:val="center"/>
            </w:pPr>
            <w:r>
              <w:rPr>
                <w:b/>
                <w:bCs/>
                <w:i/>
                <w:iCs/>
                <w:color w:val="FFFFFF"/>
                <w:sz w:val="18"/>
                <w:szCs w:val="18"/>
              </w:rPr>
              <w:t>Suficiente (51–80)</w:t>
            </w:r>
          </w:p>
        </w:tc>
        <w:tc>
          <w:tcPr>
            <w:tcW w:w="1813" w:type="dxa"/>
            <w:shd w:val="clear" w:color="auto" w:fill="4472C4"/>
            <w:vAlign w:val="center"/>
          </w:tcPr>
          <w:p w14:paraId="6718F2D6" w14:textId="77777777" w:rsidR="00990B14" w:rsidRDefault="00000000">
            <w:pPr>
              <w:keepNext/>
              <w:spacing w:before="20" w:after="20"/>
              <w:jc w:val="center"/>
            </w:pPr>
            <w:r>
              <w:rPr>
                <w:b/>
                <w:bCs/>
                <w:i/>
                <w:iCs/>
                <w:color w:val="FFFFFF"/>
                <w:sz w:val="18"/>
                <w:szCs w:val="18"/>
              </w:rPr>
              <w:t>Destacado (81–100)</w:t>
            </w:r>
          </w:p>
        </w:tc>
      </w:tr>
      <w:tr w:rsidR="00990B14" w14:paraId="3EB1EAF0" w14:textId="77777777">
        <w:trPr>
          <w:cantSplit/>
          <w:jc w:val="center"/>
        </w:trPr>
        <w:tc>
          <w:tcPr>
            <w:tcW w:w="1533" w:type="dxa"/>
            <w:vMerge/>
            <w:shd w:val="clear" w:color="auto" w:fill="4472C4"/>
            <w:vAlign w:val="center"/>
          </w:tcPr>
          <w:p w14:paraId="1498B8A2" w14:textId="77777777" w:rsidR="00990B14" w:rsidRDefault="00990B14">
            <w:pPr>
              <w:spacing w:before="20" w:after="20"/>
            </w:pPr>
          </w:p>
        </w:tc>
        <w:tc>
          <w:tcPr>
            <w:tcW w:w="1812" w:type="dxa"/>
            <w:shd w:val="clear" w:color="auto" w:fill="D9E2F3"/>
            <w:vAlign w:val="center"/>
          </w:tcPr>
          <w:p w14:paraId="41EFEAD4" w14:textId="77777777" w:rsidR="00990B14" w:rsidRDefault="00000000">
            <w:pPr>
              <w:spacing w:before="20" w:after="20"/>
              <w:jc w:val="both"/>
            </w:pPr>
            <w:r>
              <w:rPr>
                <w:sz w:val="18"/>
                <w:szCs w:val="18"/>
              </w:rPr>
              <w:t>Tablero de indicadores</w:t>
            </w:r>
          </w:p>
        </w:tc>
        <w:tc>
          <w:tcPr>
            <w:tcW w:w="2435" w:type="dxa"/>
            <w:shd w:val="clear" w:color="auto" w:fill="D9E2F3"/>
            <w:vAlign w:val="center"/>
          </w:tcPr>
          <w:p w14:paraId="2C10A7E6" w14:textId="77777777" w:rsidR="00990B14" w:rsidRDefault="00000000">
            <w:pPr>
              <w:spacing w:before="20" w:after="20"/>
              <w:jc w:val="both"/>
            </w:pPr>
            <w:r>
              <w:rPr>
                <w:sz w:val="18"/>
                <w:szCs w:val="18"/>
              </w:rPr>
              <w:t>El tablero presenta datos sin depurar o indicadores mal calculados.</w:t>
            </w:r>
          </w:p>
        </w:tc>
        <w:tc>
          <w:tcPr>
            <w:tcW w:w="1812" w:type="dxa"/>
            <w:shd w:val="clear" w:color="auto" w:fill="D9E2F3"/>
            <w:vAlign w:val="center"/>
          </w:tcPr>
          <w:p w14:paraId="1605F714" w14:textId="77777777" w:rsidR="00990B14" w:rsidRDefault="00000000">
            <w:pPr>
              <w:spacing w:before="20" w:after="20"/>
              <w:jc w:val="both"/>
            </w:pPr>
            <w:r>
              <w:rPr>
                <w:sz w:val="18"/>
                <w:szCs w:val="18"/>
              </w:rPr>
              <w:t>Elabora el tablero con indicadores financieros correctos e interpreta sus resultados.</w:t>
            </w:r>
          </w:p>
        </w:tc>
        <w:tc>
          <w:tcPr>
            <w:tcW w:w="1813" w:type="dxa"/>
            <w:shd w:val="clear" w:color="auto" w:fill="D9E2F3"/>
            <w:vAlign w:val="center"/>
          </w:tcPr>
          <w:p w14:paraId="7DE4698B" w14:textId="77777777" w:rsidR="00990B14" w:rsidRDefault="00000000">
            <w:pPr>
              <w:spacing w:before="20" w:after="20"/>
              <w:jc w:val="both"/>
            </w:pPr>
            <w:r>
              <w:rPr>
                <w:sz w:val="18"/>
                <w:szCs w:val="18"/>
              </w:rPr>
              <w:t>El tablero identifica tendencias y valores atípicos y sustenta recomendaciones para la gerencia.</w:t>
            </w:r>
          </w:p>
        </w:tc>
      </w:tr>
      <w:tr w:rsidR="00990B14" w14:paraId="1DE9821D" w14:textId="77777777">
        <w:trPr>
          <w:cantSplit/>
          <w:jc w:val="center"/>
        </w:trPr>
        <w:tc>
          <w:tcPr>
            <w:tcW w:w="1533" w:type="dxa"/>
            <w:vMerge/>
            <w:shd w:val="clear" w:color="auto" w:fill="4472C4"/>
            <w:vAlign w:val="center"/>
          </w:tcPr>
          <w:p w14:paraId="4A8ED353" w14:textId="77777777" w:rsidR="00990B14" w:rsidRDefault="00990B14">
            <w:pPr>
              <w:spacing w:before="20" w:after="20"/>
            </w:pPr>
          </w:p>
        </w:tc>
        <w:tc>
          <w:tcPr>
            <w:tcW w:w="1812" w:type="dxa"/>
            <w:shd w:val="clear" w:color="auto" w:fill="D9E2F3"/>
            <w:vAlign w:val="center"/>
          </w:tcPr>
          <w:p w14:paraId="644E04B2" w14:textId="77777777" w:rsidR="00990B14" w:rsidRDefault="00000000">
            <w:pPr>
              <w:spacing w:before="20" w:after="20"/>
              <w:jc w:val="both"/>
            </w:pPr>
            <w:r>
              <w:rPr>
                <w:sz w:val="18"/>
                <w:szCs w:val="18"/>
              </w:rPr>
              <w:t>Calidad de los datos</w:t>
            </w:r>
          </w:p>
        </w:tc>
        <w:tc>
          <w:tcPr>
            <w:tcW w:w="2435" w:type="dxa"/>
            <w:shd w:val="clear" w:color="auto" w:fill="D9E2F3"/>
            <w:vAlign w:val="center"/>
          </w:tcPr>
          <w:p w14:paraId="20170FEF" w14:textId="77777777" w:rsidR="00990B14" w:rsidRDefault="00000000">
            <w:pPr>
              <w:spacing w:before="20" w:after="20"/>
              <w:jc w:val="both"/>
            </w:pPr>
            <w:r>
              <w:rPr>
                <w:sz w:val="18"/>
                <w:szCs w:val="18"/>
              </w:rPr>
              <w:t>Usa datos sin verificar su origen.</w:t>
            </w:r>
          </w:p>
        </w:tc>
        <w:tc>
          <w:tcPr>
            <w:tcW w:w="1812" w:type="dxa"/>
            <w:shd w:val="clear" w:color="auto" w:fill="D9E2F3"/>
            <w:vAlign w:val="center"/>
          </w:tcPr>
          <w:p w14:paraId="2FCB138D" w14:textId="77777777" w:rsidR="00990B14" w:rsidRDefault="00000000">
            <w:pPr>
              <w:spacing w:before="20" w:after="20"/>
              <w:jc w:val="both"/>
            </w:pPr>
            <w:r>
              <w:rPr>
                <w:sz w:val="18"/>
                <w:szCs w:val="18"/>
              </w:rPr>
              <w:t>Usa datos del ERP verificados.</w:t>
            </w:r>
          </w:p>
        </w:tc>
        <w:tc>
          <w:tcPr>
            <w:tcW w:w="1813" w:type="dxa"/>
            <w:shd w:val="clear" w:color="auto" w:fill="D9E2F3"/>
            <w:vAlign w:val="center"/>
          </w:tcPr>
          <w:p w14:paraId="1CB9C5E4" w14:textId="77777777" w:rsidR="00990B14" w:rsidRDefault="00000000">
            <w:pPr>
              <w:spacing w:before="20" w:after="20"/>
              <w:jc w:val="both"/>
            </w:pPr>
            <w:r>
              <w:rPr>
                <w:sz w:val="18"/>
                <w:szCs w:val="18"/>
              </w:rPr>
              <w:t>Usa datos del ERP verificados y documenta su transformación.</w:t>
            </w:r>
          </w:p>
        </w:tc>
      </w:tr>
      <w:tr w:rsidR="00990B14" w14:paraId="6AF26D5F" w14:textId="77777777">
        <w:trPr>
          <w:cantSplit/>
          <w:jc w:val="center"/>
        </w:trPr>
        <w:tc>
          <w:tcPr>
            <w:tcW w:w="1533" w:type="dxa"/>
            <w:vMerge/>
            <w:shd w:val="clear" w:color="auto" w:fill="4472C4"/>
            <w:vAlign w:val="center"/>
          </w:tcPr>
          <w:p w14:paraId="2231548D" w14:textId="77777777" w:rsidR="00990B14" w:rsidRDefault="00990B14">
            <w:pPr>
              <w:spacing w:before="20" w:after="20"/>
            </w:pPr>
          </w:p>
        </w:tc>
        <w:tc>
          <w:tcPr>
            <w:tcW w:w="1812" w:type="dxa"/>
            <w:shd w:val="clear" w:color="auto" w:fill="D9E2F3"/>
            <w:vAlign w:val="center"/>
          </w:tcPr>
          <w:p w14:paraId="598559AC" w14:textId="77777777" w:rsidR="00990B14" w:rsidRDefault="00000000">
            <w:pPr>
              <w:spacing w:before="20" w:after="20"/>
              <w:jc w:val="both"/>
            </w:pPr>
            <w:r>
              <w:rPr>
                <w:sz w:val="18"/>
                <w:szCs w:val="18"/>
              </w:rPr>
              <w:t>Exposición ante el curso</w:t>
            </w:r>
          </w:p>
        </w:tc>
        <w:tc>
          <w:tcPr>
            <w:tcW w:w="2435" w:type="dxa"/>
            <w:shd w:val="clear" w:color="auto" w:fill="D9E2F3"/>
            <w:vAlign w:val="center"/>
          </w:tcPr>
          <w:p w14:paraId="6BCDFB04" w14:textId="77777777" w:rsidR="00990B14" w:rsidRDefault="00000000">
            <w:pPr>
              <w:spacing w:before="20" w:after="20"/>
              <w:jc w:val="both"/>
            </w:pPr>
            <w:r>
              <w:rPr>
                <w:sz w:val="18"/>
                <w:szCs w:val="18"/>
              </w:rPr>
              <w:t>La exposición es desordenada.</w:t>
            </w:r>
          </w:p>
        </w:tc>
        <w:tc>
          <w:tcPr>
            <w:tcW w:w="1812" w:type="dxa"/>
            <w:shd w:val="clear" w:color="auto" w:fill="D9E2F3"/>
            <w:vAlign w:val="center"/>
          </w:tcPr>
          <w:p w14:paraId="5823B8FF" w14:textId="77777777" w:rsidR="00990B14" w:rsidRDefault="00000000">
            <w:pPr>
              <w:spacing w:before="20" w:after="20"/>
              <w:jc w:val="both"/>
            </w:pPr>
            <w:r>
              <w:rPr>
                <w:sz w:val="18"/>
                <w:szCs w:val="18"/>
              </w:rPr>
              <w:t>Expone con claridad los resultados.</w:t>
            </w:r>
          </w:p>
        </w:tc>
        <w:tc>
          <w:tcPr>
            <w:tcW w:w="1813" w:type="dxa"/>
            <w:shd w:val="clear" w:color="auto" w:fill="D9E2F3"/>
            <w:vAlign w:val="center"/>
          </w:tcPr>
          <w:p w14:paraId="6D7CE1E1" w14:textId="77777777" w:rsidR="00990B14" w:rsidRDefault="00000000">
            <w:pPr>
              <w:spacing w:before="20" w:after="20"/>
              <w:jc w:val="both"/>
            </w:pPr>
            <w:r>
              <w:rPr>
                <w:sz w:val="18"/>
                <w:szCs w:val="18"/>
              </w:rPr>
              <w:t>Expone con claridad y responde con solvencia a las preguntas.</w:t>
            </w:r>
          </w:p>
        </w:tc>
      </w:tr>
      <w:tr w:rsidR="00990B14" w14:paraId="165CDB8F" w14:textId="77777777">
        <w:trPr>
          <w:cantSplit/>
          <w:jc w:val="center"/>
        </w:trPr>
        <w:tc>
          <w:tcPr>
            <w:tcW w:w="7592" w:type="dxa"/>
            <w:gridSpan w:val="4"/>
            <w:shd w:val="clear" w:color="auto" w:fill="4472C4"/>
            <w:vAlign w:val="center"/>
          </w:tcPr>
          <w:p w14:paraId="715AC06F" w14:textId="77777777" w:rsidR="00990B14" w:rsidRDefault="00000000">
            <w:pPr>
              <w:keepNext/>
              <w:spacing w:before="20" w:after="20"/>
              <w:jc w:val="center"/>
            </w:pPr>
            <w:r>
              <w:rPr>
                <w:b/>
                <w:bCs/>
                <w:i/>
                <w:iCs/>
                <w:color w:val="FFFFFF"/>
                <w:sz w:val="18"/>
                <w:szCs w:val="18"/>
              </w:rPr>
              <w:t>TOTAL</w:t>
            </w:r>
          </w:p>
        </w:tc>
        <w:tc>
          <w:tcPr>
            <w:tcW w:w="1813" w:type="dxa"/>
            <w:shd w:val="clear" w:color="auto" w:fill="4472C4"/>
            <w:vAlign w:val="center"/>
          </w:tcPr>
          <w:p w14:paraId="419543F5" w14:textId="77777777" w:rsidR="00990B14" w:rsidRDefault="00000000">
            <w:pPr>
              <w:keepNext/>
              <w:spacing w:before="20" w:after="20"/>
              <w:jc w:val="center"/>
            </w:pPr>
            <w:r>
              <w:rPr>
                <w:b/>
                <w:bCs/>
                <w:i/>
                <w:iCs/>
                <w:color w:val="FFFFFF"/>
                <w:sz w:val="18"/>
                <w:szCs w:val="18"/>
              </w:rPr>
              <w:t>100%</w:t>
            </w:r>
          </w:p>
        </w:tc>
      </w:tr>
    </w:tbl>
    <w:p w14:paraId="035FB05B"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9405"/>
      </w:tblGrid>
      <w:tr w:rsidR="00990B14" w14:paraId="0CDECF36" w14:textId="77777777">
        <w:trPr>
          <w:jc w:val="center"/>
        </w:trPr>
        <w:tc>
          <w:tcPr>
            <w:tcW w:w="9405" w:type="dxa"/>
            <w:shd w:val="clear" w:color="auto" w:fill="D9E2F3"/>
          </w:tcPr>
          <w:p w14:paraId="08FD3767" w14:textId="77777777" w:rsidR="00990B14" w:rsidRDefault="00000000">
            <w:pPr>
              <w:spacing w:before="40" w:after="40"/>
              <w:jc w:val="both"/>
            </w:pPr>
            <w:r>
              <w:rPr>
                <w:b/>
                <w:bCs/>
                <w:i/>
                <w:iCs/>
                <w:sz w:val="18"/>
                <w:szCs w:val="18"/>
              </w:rPr>
              <w:t>Bibliografía básica:</w:t>
            </w:r>
          </w:p>
          <w:p w14:paraId="75432190" w14:textId="77777777" w:rsidR="00990B14" w:rsidRDefault="00000000">
            <w:pPr>
              <w:numPr>
                <w:ilvl w:val="0"/>
                <w:numId w:val="140"/>
              </w:numPr>
              <w:spacing w:after="20"/>
              <w:jc w:val="both"/>
            </w:pPr>
            <w:r w:rsidRPr="00BD34F7">
              <w:rPr>
                <w:sz w:val="18"/>
                <w:szCs w:val="18"/>
                <w:lang w:val="en-US"/>
              </w:rPr>
              <w:t xml:space="preserve">Agramonth Mier, N. (s.f.). </w:t>
            </w:r>
            <w:r>
              <w:rPr>
                <w:i/>
                <w:iCs/>
                <w:sz w:val="18"/>
                <w:szCs w:val="18"/>
              </w:rPr>
              <w:t>Organización contable de la empresa</w:t>
            </w:r>
            <w:r>
              <w:rPr>
                <w:sz w:val="18"/>
                <w:szCs w:val="18"/>
              </w:rPr>
              <w:t>.</w:t>
            </w:r>
          </w:p>
          <w:p w14:paraId="2B6B8587" w14:textId="77777777" w:rsidR="00990B14" w:rsidRDefault="00000000">
            <w:pPr>
              <w:numPr>
                <w:ilvl w:val="0"/>
                <w:numId w:val="140"/>
              </w:numPr>
              <w:spacing w:after="20"/>
              <w:jc w:val="both"/>
            </w:pPr>
            <w:r>
              <w:rPr>
                <w:sz w:val="18"/>
                <w:szCs w:val="18"/>
              </w:rPr>
              <w:t>BID.</w:t>
            </w:r>
          </w:p>
          <w:p w14:paraId="56EE5B64" w14:textId="77777777" w:rsidR="00990B14" w:rsidRDefault="00000000">
            <w:pPr>
              <w:numPr>
                <w:ilvl w:val="0"/>
                <w:numId w:val="140"/>
              </w:numPr>
              <w:spacing w:after="20"/>
              <w:jc w:val="both"/>
            </w:pPr>
            <w:r>
              <w:rPr>
                <w:sz w:val="18"/>
                <w:szCs w:val="18"/>
              </w:rPr>
              <w:t>Código de Comercio, Decreto Ley N.º 14379, de 25 de febrero de 1977.</w:t>
            </w:r>
          </w:p>
          <w:p w14:paraId="1134F2E2" w14:textId="77777777" w:rsidR="00990B14" w:rsidRDefault="00000000">
            <w:pPr>
              <w:numPr>
                <w:ilvl w:val="0"/>
                <w:numId w:val="140"/>
              </w:numPr>
              <w:spacing w:after="20"/>
              <w:jc w:val="both"/>
            </w:pPr>
            <w:r>
              <w:rPr>
                <w:sz w:val="18"/>
                <w:szCs w:val="18"/>
              </w:rPr>
              <w:t>Colegio de Auditores o Contadores Públicos de Bolivia, CAUB – Consejo Técnico Nacional de Auditoría y</w:t>
            </w:r>
          </w:p>
          <w:p w14:paraId="37567CA1" w14:textId="77777777" w:rsidR="00990B14" w:rsidRDefault="00000000">
            <w:pPr>
              <w:numPr>
                <w:ilvl w:val="0"/>
                <w:numId w:val="140"/>
              </w:numPr>
              <w:spacing w:after="20"/>
              <w:jc w:val="both"/>
            </w:pPr>
            <w:r>
              <w:rPr>
                <w:sz w:val="18"/>
                <w:szCs w:val="18"/>
              </w:rPr>
              <w:t>Consejo Técnico Nacional de Auditoría y Contabilidad. Resolución CTNAC N.º 01/2012, sobre la vigencia de las</w:t>
            </w:r>
          </w:p>
          <w:p w14:paraId="0BF7ECA1" w14:textId="77777777" w:rsidR="00990B14" w:rsidRDefault="00000000">
            <w:pPr>
              <w:numPr>
                <w:ilvl w:val="0"/>
                <w:numId w:val="140"/>
              </w:numPr>
              <w:spacing w:after="20"/>
              <w:jc w:val="both"/>
            </w:pPr>
            <w:r>
              <w:rPr>
                <w:sz w:val="18"/>
                <w:szCs w:val="18"/>
              </w:rPr>
              <w:t xml:space="preserve">Contabilidad, CTNAC (2023). </w:t>
            </w:r>
            <w:r>
              <w:rPr>
                <w:i/>
                <w:iCs/>
                <w:sz w:val="18"/>
                <w:szCs w:val="18"/>
              </w:rPr>
              <w:t>Compendio de Normas de Contabilidad y Auditoría</w:t>
            </w:r>
            <w:r>
              <w:rPr>
                <w:sz w:val="18"/>
                <w:szCs w:val="18"/>
              </w:rPr>
              <w:t>. Santa Cruz – Bolivia.</w:t>
            </w:r>
          </w:p>
          <w:p w14:paraId="413DA28C" w14:textId="77777777" w:rsidR="00990B14" w:rsidRDefault="00000000">
            <w:pPr>
              <w:numPr>
                <w:ilvl w:val="0"/>
                <w:numId w:val="140"/>
              </w:numPr>
              <w:spacing w:after="20"/>
              <w:jc w:val="both"/>
            </w:pPr>
            <w:r>
              <w:rPr>
                <w:i/>
                <w:iCs/>
                <w:sz w:val="18"/>
                <w:szCs w:val="18"/>
              </w:rPr>
              <w:t>COSO I, II y III</w:t>
            </w:r>
            <w:r>
              <w:rPr>
                <w:sz w:val="18"/>
                <w:szCs w:val="18"/>
              </w:rPr>
              <w:t>. 3a ed. Ediciones ECOE.</w:t>
            </w:r>
          </w:p>
          <w:p w14:paraId="7491A854" w14:textId="77777777" w:rsidR="00990B14" w:rsidRDefault="00000000">
            <w:pPr>
              <w:numPr>
                <w:ilvl w:val="0"/>
                <w:numId w:val="140"/>
              </w:numPr>
              <w:spacing w:after="20"/>
              <w:jc w:val="both"/>
            </w:pPr>
            <w:r>
              <w:rPr>
                <w:sz w:val="18"/>
                <w:szCs w:val="18"/>
              </w:rPr>
              <w:t>Decretos Supremos Reglamentarios de la Ley N.º 843.</w:t>
            </w:r>
          </w:p>
          <w:p w14:paraId="12F385B2" w14:textId="77777777" w:rsidR="00990B14" w:rsidRDefault="00000000">
            <w:pPr>
              <w:numPr>
                <w:ilvl w:val="0"/>
                <w:numId w:val="140"/>
              </w:numPr>
              <w:spacing w:after="20"/>
              <w:jc w:val="both"/>
            </w:pPr>
            <w:r>
              <w:rPr>
                <w:sz w:val="18"/>
                <w:szCs w:val="18"/>
              </w:rPr>
              <w:t>del Sistema de Facturación, y Resolución Normativa de Directorio N.º 102600000014, de 16 de abril de 2026.</w:t>
            </w:r>
          </w:p>
          <w:p w14:paraId="235CB5CA" w14:textId="77777777" w:rsidR="00990B14" w:rsidRDefault="00000000">
            <w:pPr>
              <w:numPr>
                <w:ilvl w:val="0"/>
                <w:numId w:val="140"/>
              </w:numPr>
              <w:spacing w:after="20"/>
              <w:jc w:val="both"/>
            </w:pPr>
            <w:r>
              <w:rPr>
                <w:sz w:val="18"/>
                <w:szCs w:val="18"/>
              </w:rPr>
              <w:t xml:space="preserve">Estupiñán Gaitán, R. (2019). </w:t>
            </w:r>
            <w:r>
              <w:rPr>
                <w:i/>
                <w:iCs/>
                <w:sz w:val="18"/>
                <w:szCs w:val="18"/>
              </w:rPr>
              <w:t>Control Interno y Fraudes con Base en los Ciclos Transaccionales: Análisis de Informe</w:t>
            </w:r>
          </w:p>
          <w:p w14:paraId="36B6BBBC" w14:textId="77777777" w:rsidR="00990B14" w:rsidRDefault="00000000">
            <w:pPr>
              <w:numPr>
                <w:ilvl w:val="0"/>
                <w:numId w:val="140"/>
              </w:numPr>
              <w:spacing w:after="20"/>
              <w:jc w:val="both"/>
            </w:pPr>
            <w:r w:rsidRPr="00BD34F7">
              <w:rPr>
                <w:sz w:val="18"/>
                <w:szCs w:val="18"/>
                <w:lang w:val="en-US"/>
              </w:rPr>
              <w:t xml:space="preserve">Fowler Newton, E. (s.f.). </w:t>
            </w:r>
            <w:r>
              <w:rPr>
                <w:i/>
                <w:iCs/>
                <w:sz w:val="18"/>
                <w:szCs w:val="18"/>
              </w:rPr>
              <w:t>Organización de sistemas contables</w:t>
            </w:r>
            <w:r>
              <w:rPr>
                <w:sz w:val="18"/>
                <w:szCs w:val="18"/>
              </w:rPr>
              <w:t>.</w:t>
            </w:r>
          </w:p>
          <w:p w14:paraId="1B4CDB5D" w14:textId="77777777" w:rsidR="00990B14" w:rsidRDefault="00000000">
            <w:pPr>
              <w:numPr>
                <w:ilvl w:val="0"/>
                <w:numId w:val="140"/>
              </w:numPr>
              <w:spacing w:after="20"/>
              <w:jc w:val="both"/>
            </w:pPr>
            <w:r>
              <w:rPr>
                <w:sz w:val="18"/>
                <w:szCs w:val="18"/>
              </w:rPr>
              <w:t xml:space="preserve">Fundación IFRS – Consejo de Normas Internacionales de Contabilidad, IASB (2023). </w:t>
            </w:r>
            <w:r>
              <w:rPr>
                <w:i/>
                <w:iCs/>
                <w:sz w:val="18"/>
                <w:szCs w:val="18"/>
              </w:rPr>
              <w:t>Normas Internacionales de</w:t>
            </w:r>
          </w:p>
          <w:p w14:paraId="6E883DDF" w14:textId="77777777" w:rsidR="00990B14" w:rsidRDefault="00000000">
            <w:pPr>
              <w:numPr>
                <w:ilvl w:val="0"/>
                <w:numId w:val="140"/>
              </w:numPr>
              <w:spacing w:after="20"/>
              <w:jc w:val="both"/>
            </w:pPr>
            <w:r>
              <w:rPr>
                <w:sz w:val="18"/>
                <w:szCs w:val="18"/>
              </w:rPr>
              <w:t xml:space="preserve">Gonzales Alanes, C. (2022). </w:t>
            </w:r>
            <w:r>
              <w:rPr>
                <w:i/>
                <w:iCs/>
                <w:sz w:val="18"/>
                <w:szCs w:val="18"/>
              </w:rPr>
              <w:t>Marco Normativo para la Preparación de la Información Financiera en Bolivia</w:t>
            </w:r>
            <w:r>
              <w:rPr>
                <w:sz w:val="18"/>
                <w:szCs w:val="18"/>
              </w:rPr>
              <w:t>. 5a ed.</w:t>
            </w:r>
          </w:p>
          <w:p w14:paraId="7BBA91F6" w14:textId="77777777" w:rsidR="00990B14" w:rsidRDefault="00000000">
            <w:pPr>
              <w:numPr>
                <w:ilvl w:val="0"/>
                <w:numId w:val="140"/>
              </w:numPr>
              <w:spacing w:after="20"/>
              <w:jc w:val="both"/>
            </w:pPr>
            <w:r>
              <w:rPr>
                <w:sz w:val="18"/>
                <w:szCs w:val="18"/>
              </w:rPr>
              <w:t xml:space="preserve">Guillispie, C. (s.f.). </w:t>
            </w:r>
            <w:r>
              <w:rPr>
                <w:i/>
                <w:iCs/>
                <w:sz w:val="18"/>
                <w:szCs w:val="18"/>
              </w:rPr>
              <w:t>Sistemas de contabilidad, procedimiento y métodos</w:t>
            </w:r>
            <w:r>
              <w:rPr>
                <w:sz w:val="18"/>
                <w:szCs w:val="18"/>
              </w:rPr>
              <w:t>.</w:t>
            </w:r>
          </w:p>
          <w:p w14:paraId="3F7E979B" w14:textId="77777777" w:rsidR="00990B14" w:rsidRDefault="00000000">
            <w:pPr>
              <w:numPr>
                <w:ilvl w:val="0"/>
                <w:numId w:val="140"/>
              </w:numPr>
              <w:spacing w:after="20"/>
              <w:jc w:val="both"/>
            </w:pPr>
            <w:r>
              <w:rPr>
                <w:i/>
                <w:iCs/>
                <w:sz w:val="18"/>
                <w:szCs w:val="18"/>
              </w:rPr>
              <w:t>Información Financiera 2023</w:t>
            </w:r>
            <w:r>
              <w:rPr>
                <w:sz w:val="18"/>
                <w:szCs w:val="18"/>
              </w:rPr>
              <w:t>. Londres.</w:t>
            </w:r>
          </w:p>
          <w:p w14:paraId="768AFE48" w14:textId="77777777" w:rsidR="00990B14" w:rsidRDefault="00000000">
            <w:pPr>
              <w:numPr>
                <w:ilvl w:val="0"/>
                <w:numId w:val="140"/>
              </w:numPr>
              <w:spacing w:after="20"/>
              <w:jc w:val="both"/>
            </w:pPr>
            <w:r>
              <w:rPr>
                <w:sz w:val="18"/>
                <w:szCs w:val="18"/>
              </w:rPr>
              <w:t>La Paz.</w:t>
            </w:r>
          </w:p>
          <w:p w14:paraId="4D49FC5A" w14:textId="77777777" w:rsidR="00990B14" w:rsidRDefault="00000000">
            <w:pPr>
              <w:numPr>
                <w:ilvl w:val="0"/>
                <w:numId w:val="140"/>
              </w:numPr>
              <w:spacing w:after="20"/>
              <w:jc w:val="both"/>
            </w:pPr>
            <w:r>
              <w:rPr>
                <w:sz w:val="18"/>
                <w:szCs w:val="18"/>
              </w:rPr>
              <w:t>Ley N.º 1178, de Administración y Control Gubernamental, de 20 de julio de 1990.</w:t>
            </w:r>
          </w:p>
          <w:p w14:paraId="2A62EDA0" w14:textId="77777777" w:rsidR="00990B14" w:rsidRDefault="00000000">
            <w:pPr>
              <w:numPr>
                <w:ilvl w:val="0"/>
                <w:numId w:val="140"/>
              </w:numPr>
              <w:spacing w:after="20"/>
              <w:jc w:val="both"/>
            </w:pPr>
            <w:r>
              <w:rPr>
                <w:sz w:val="18"/>
                <w:szCs w:val="18"/>
              </w:rPr>
              <w:t>Ley N.º 164, de 8 de agosto de 2011, y Decreto Supremo N.º 1793, de 13 de noviembre de 2013, sobre la firma digital</w:t>
            </w:r>
          </w:p>
          <w:p w14:paraId="3042E04D" w14:textId="77777777" w:rsidR="00990B14" w:rsidRDefault="00000000">
            <w:pPr>
              <w:numPr>
                <w:ilvl w:val="0"/>
                <w:numId w:val="140"/>
              </w:numPr>
              <w:spacing w:after="20"/>
              <w:jc w:val="both"/>
            </w:pPr>
            <w:r>
              <w:rPr>
                <w:sz w:val="18"/>
                <w:szCs w:val="18"/>
              </w:rPr>
              <w:t>Ley N.º 2492, Código Tributario Boliviano.</w:t>
            </w:r>
          </w:p>
          <w:p w14:paraId="10A3C743" w14:textId="77777777" w:rsidR="00990B14" w:rsidRDefault="00000000">
            <w:pPr>
              <w:numPr>
                <w:ilvl w:val="0"/>
                <w:numId w:val="140"/>
              </w:numPr>
              <w:spacing w:after="20"/>
              <w:jc w:val="both"/>
            </w:pPr>
            <w:r>
              <w:rPr>
                <w:sz w:val="18"/>
                <w:szCs w:val="18"/>
              </w:rPr>
              <w:t>Normas de Contabilidad Generalmente Aceptadas en Bolivia.</w:t>
            </w:r>
          </w:p>
          <w:p w14:paraId="76200E48" w14:textId="77777777" w:rsidR="00990B14" w:rsidRDefault="00000000">
            <w:pPr>
              <w:numPr>
                <w:ilvl w:val="0"/>
                <w:numId w:val="140"/>
              </w:numPr>
              <w:spacing w:after="20"/>
              <w:jc w:val="both"/>
            </w:pPr>
            <w:r>
              <w:rPr>
                <w:sz w:val="18"/>
                <w:szCs w:val="18"/>
              </w:rPr>
              <w:t>Normas legales, resoluciones y otras disposiciones relacionadas con la aprobación de normas contables y la</w:t>
            </w:r>
          </w:p>
          <w:p w14:paraId="46D0E228" w14:textId="77777777" w:rsidR="00990B14" w:rsidRDefault="00000000">
            <w:pPr>
              <w:numPr>
                <w:ilvl w:val="0"/>
                <w:numId w:val="140"/>
              </w:numPr>
              <w:spacing w:after="20"/>
              <w:jc w:val="both"/>
            </w:pPr>
            <w:r>
              <w:rPr>
                <w:sz w:val="18"/>
                <w:szCs w:val="18"/>
              </w:rPr>
              <w:t>Normas tributarias relacionadas con la preparación de estados financieros.</w:t>
            </w:r>
          </w:p>
          <w:p w14:paraId="5680F810" w14:textId="77777777" w:rsidR="00990B14" w:rsidRDefault="00000000">
            <w:pPr>
              <w:numPr>
                <w:ilvl w:val="0"/>
                <w:numId w:val="140"/>
              </w:numPr>
              <w:spacing w:after="20"/>
              <w:jc w:val="both"/>
            </w:pPr>
            <w:r w:rsidRPr="00BD34F7">
              <w:rPr>
                <w:sz w:val="18"/>
                <w:szCs w:val="18"/>
                <w:lang w:val="en-US"/>
              </w:rPr>
              <w:t xml:space="preserve">Osterwalder, A. y Pigneur, Y. (s.f.). </w:t>
            </w:r>
            <w:r>
              <w:rPr>
                <w:i/>
                <w:iCs/>
                <w:sz w:val="18"/>
                <w:szCs w:val="18"/>
              </w:rPr>
              <w:t>Generación de Modelo Canvas</w:t>
            </w:r>
            <w:r>
              <w:rPr>
                <w:sz w:val="18"/>
                <w:szCs w:val="18"/>
              </w:rPr>
              <w:t>. BusinessModelGeneration.com.</w:t>
            </w:r>
          </w:p>
          <w:p w14:paraId="2CB96E5B" w14:textId="77777777" w:rsidR="00990B14" w:rsidRDefault="00000000">
            <w:pPr>
              <w:numPr>
                <w:ilvl w:val="0"/>
                <w:numId w:val="140"/>
              </w:numPr>
              <w:spacing w:after="20"/>
              <w:jc w:val="both"/>
            </w:pPr>
            <w:r>
              <w:rPr>
                <w:sz w:val="18"/>
                <w:szCs w:val="18"/>
              </w:rPr>
              <w:t xml:space="preserve">Pimenta, C. y Seco, A. (2022). </w:t>
            </w:r>
            <w:r>
              <w:rPr>
                <w:i/>
                <w:iCs/>
                <w:sz w:val="18"/>
                <w:szCs w:val="18"/>
              </w:rPr>
              <w:t>Guía de proyectos de sistemas de información de administración financiera (SIAF)</w:t>
            </w:r>
            <w:r>
              <w:rPr>
                <w:sz w:val="18"/>
                <w:szCs w:val="18"/>
              </w:rPr>
              <w:t>.</w:t>
            </w:r>
          </w:p>
          <w:p w14:paraId="60CB6C27" w14:textId="77777777" w:rsidR="00990B14" w:rsidRDefault="00000000">
            <w:pPr>
              <w:numPr>
                <w:ilvl w:val="0"/>
                <w:numId w:val="140"/>
              </w:numPr>
              <w:spacing w:after="20"/>
              <w:jc w:val="both"/>
            </w:pPr>
            <w:r>
              <w:rPr>
                <w:sz w:val="18"/>
                <w:szCs w:val="18"/>
              </w:rPr>
              <w:t>preparación de estados financieros.</w:t>
            </w:r>
          </w:p>
          <w:p w14:paraId="7700FEDD" w14:textId="77777777" w:rsidR="00990B14" w:rsidRDefault="00000000">
            <w:pPr>
              <w:numPr>
                <w:ilvl w:val="0"/>
                <w:numId w:val="140"/>
              </w:numPr>
              <w:spacing w:after="20"/>
              <w:jc w:val="both"/>
            </w:pPr>
            <w:r>
              <w:rPr>
                <w:sz w:val="18"/>
                <w:szCs w:val="18"/>
              </w:rPr>
              <w:t>Servicio de Impuestos Nacionales. Resolución Normativa de Directorio N.º 102100000011, de 11 de agosto de 2021,</w:t>
            </w:r>
          </w:p>
          <w:p w14:paraId="7C3E574C" w14:textId="77777777" w:rsidR="00990B14" w:rsidRDefault="00000000">
            <w:pPr>
              <w:numPr>
                <w:ilvl w:val="0"/>
                <w:numId w:val="140"/>
              </w:numPr>
              <w:spacing w:after="20"/>
              <w:jc w:val="both"/>
            </w:pPr>
            <w:r>
              <w:rPr>
                <w:sz w:val="18"/>
                <w:szCs w:val="18"/>
              </w:rPr>
              <w:t>Texto ordenado de la Ley N.º 843.</w:t>
            </w:r>
          </w:p>
          <w:p w14:paraId="7EA7F7EA" w14:textId="77777777" w:rsidR="00990B14" w:rsidRDefault="00000000">
            <w:pPr>
              <w:numPr>
                <w:ilvl w:val="0"/>
                <w:numId w:val="140"/>
              </w:numPr>
              <w:spacing w:after="20"/>
              <w:jc w:val="both"/>
            </w:pPr>
            <w:r>
              <w:rPr>
                <w:sz w:val="18"/>
                <w:szCs w:val="18"/>
              </w:rPr>
              <w:t>y los documentos electrónicos.</w:t>
            </w:r>
          </w:p>
        </w:tc>
      </w:tr>
      <w:tr w:rsidR="00990B14" w14:paraId="1A5746AA" w14:textId="77777777">
        <w:trPr>
          <w:jc w:val="center"/>
        </w:trPr>
        <w:tc>
          <w:tcPr>
            <w:tcW w:w="9405" w:type="dxa"/>
            <w:shd w:val="clear" w:color="auto" w:fill="D9E2F3"/>
          </w:tcPr>
          <w:p w14:paraId="5AC00031" w14:textId="77777777" w:rsidR="00990B14" w:rsidRDefault="00000000">
            <w:pPr>
              <w:spacing w:before="40" w:after="40"/>
              <w:jc w:val="both"/>
            </w:pPr>
            <w:r>
              <w:rPr>
                <w:b/>
                <w:bCs/>
                <w:i/>
                <w:iCs/>
                <w:sz w:val="18"/>
                <w:szCs w:val="18"/>
              </w:rPr>
              <w:t>Bibliografía complementaria:</w:t>
            </w:r>
          </w:p>
          <w:p w14:paraId="12D42CC6" w14:textId="77777777" w:rsidR="00990B14" w:rsidRDefault="00000000">
            <w:pPr>
              <w:numPr>
                <w:ilvl w:val="0"/>
                <w:numId w:val="140"/>
              </w:numPr>
              <w:spacing w:after="20"/>
              <w:jc w:val="both"/>
            </w:pPr>
            <w:r>
              <w:rPr>
                <w:sz w:val="18"/>
                <w:szCs w:val="18"/>
              </w:rPr>
              <w:t xml:space="preserve">Cascante, P. (s.f.). </w:t>
            </w:r>
            <w:r>
              <w:rPr>
                <w:i/>
                <w:iCs/>
                <w:sz w:val="18"/>
                <w:szCs w:val="18"/>
              </w:rPr>
              <w:t>Organización y Control</w:t>
            </w:r>
            <w:r>
              <w:rPr>
                <w:sz w:val="18"/>
                <w:szCs w:val="18"/>
              </w:rPr>
              <w:t>.</w:t>
            </w:r>
          </w:p>
          <w:p w14:paraId="70C65AA7" w14:textId="77777777" w:rsidR="00990B14" w:rsidRDefault="00000000">
            <w:pPr>
              <w:numPr>
                <w:ilvl w:val="0"/>
                <w:numId w:val="140"/>
              </w:numPr>
              <w:spacing w:after="20"/>
              <w:jc w:val="both"/>
            </w:pPr>
            <w:r w:rsidRPr="00BD34F7">
              <w:rPr>
                <w:sz w:val="18"/>
                <w:szCs w:val="18"/>
                <w:lang w:val="en-US"/>
              </w:rPr>
              <w:t xml:space="preserve">Committee of Sponsoring Organizations of the Treadway Commission, COSO (2013). </w:t>
            </w:r>
            <w:r>
              <w:rPr>
                <w:i/>
                <w:iCs/>
                <w:sz w:val="18"/>
                <w:szCs w:val="18"/>
              </w:rPr>
              <w:t>Control Interno: Marco</w:t>
            </w:r>
          </w:p>
          <w:p w14:paraId="0490B7C0" w14:textId="77777777" w:rsidR="00990B14" w:rsidRDefault="00000000">
            <w:pPr>
              <w:numPr>
                <w:ilvl w:val="0"/>
                <w:numId w:val="140"/>
              </w:numPr>
              <w:spacing w:after="20"/>
              <w:jc w:val="both"/>
            </w:pPr>
            <w:r>
              <w:rPr>
                <w:sz w:val="18"/>
                <w:szCs w:val="18"/>
              </w:rPr>
              <w:t xml:space="preserve">Elkins (s.f.). </w:t>
            </w:r>
            <w:r>
              <w:rPr>
                <w:i/>
                <w:iCs/>
                <w:sz w:val="18"/>
                <w:szCs w:val="18"/>
              </w:rPr>
              <w:t>Administración y Gerencia</w:t>
            </w:r>
            <w:r>
              <w:rPr>
                <w:sz w:val="18"/>
                <w:szCs w:val="18"/>
              </w:rPr>
              <w:t>.</w:t>
            </w:r>
          </w:p>
          <w:p w14:paraId="3EE5F6A0" w14:textId="77777777" w:rsidR="00990B14" w:rsidRDefault="00000000">
            <w:pPr>
              <w:numPr>
                <w:ilvl w:val="0"/>
                <w:numId w:val="140"/>
              </w:numPr>
              <w:spacing w:after="20"/>
              <w:jc w:val="both"/>
            </w:pPr>
            <w:r>
              <w:rPr>
                <w:sz w:val="18"/>
                <w:szCs w:val="18"/>
              </w:rPr>
              <w:t>Gestión de procesos en la UCA. Gestión de procesos.</w:t>
            </w:r>
          </w:p>
          <w:p w14:paraId="1733229B" w14:textId="77777777" w:rsidR="00990B14" w:rsidRDefault="00000000">
            <w:pPr>
              <w:numPr>
                <w:ilvl w:val="0"/>
                <w:numId w:val="140"/>
              </w:numPr>
              <w:spacing w:after="20"/>
              <w:jc w:val="both"/>
            </w:pPr>
            <w:r>
              <w:rPr>
                <w:sz w:val="18"/>
                <w:szCs w:val="18"/>
              </w:rPr>
              <w:t>https://www.economiayfinanzas.gob.bo</w:t>
            </w:r>
          </w:p>
          <w:p w14:paraId="1FC35CEB" w14:textId="77777777" w:rsidR="00990B14" w:rsidRDefault="00000000">
            <w:pPr>
              <w:numPr>
                <w:ilvl w:val="0"/>
                <w:numId w:val="140"/>
              </w:numPr>
              <w:spacing w:after="20"/>
              <w:jc w:val="both"/>
            </w:pPr>
            <w:r>
              <w:rPr>
                <w:i/>
                <w:iCs/>
                <w:sz w:val="18"/>
                <w:szCs w:val="18"/>
              </w:rPr>
              <w:t>Integrado</w:t>
            </w:r>
            <w:r>
              <w:rPr>
                <w:sz w:val="18"/>
                <w:szCs w:val="18"/>
              </w:rPr>
              <w:t>. Nueva York.</w:t>
            </w:r>
          </w:p>
          <w:p w14:paraId="24D05739" w14:textId="77777777" w:rsidR="00990B14" w:rsidRDefault="00000000">
            <w:pPr>
              <w:numPr>
                <w:ilvl w:val="0"/>
                <w:numId w:val="140"/>
              </w:numPr>
              <w:spacing w:after="20"/>
              <w:jc w:val="both"/>
            </w:pPr>
            <w:r w:rsidRPr="00BD34F7">
              <w:rPr>
                <w:sz w:val="18"/>
                <w:szCs w:val="18"/>
                <w:lang w:val="en-US"/>
              </w:rPr>
              <w:t xml:space="preserve">ISACA (2019). </w:t>
            </w:r>
            <w:r w:rsidRPr="00BD34F7">
              <w:rPr>
                <w:i/>
                <w:iCs/>
                <w:sz w:val="18"/>
                <w:szCs w:val="18"/>
                <w:lang w:val="en-US"/>
              </w:rPr>
              <w:t>COBIT 2019 Framework: Governance and Management Objectives</w:t>
            </w:r>
            <w:r w:rsidRPr="00BD34F7">
              <w:rPr>
                <w:sz w:val="18"/>
                <w:szCs w:val="18"/>
                <w:lang w:val="en-US"/>
              </w:rPr>
              <w:t xml:space="preserve">. </w:t>
            </w:r>
            <w:r>
              <w:rPr>
                <w:sz w:val="18"/>
                <w:szCs w:val="18"/>
              </w:rPr>
              <w:t>Schaumburg – Estados</w:t>
            </w:r>
          </w:p>
          <w:p w14:paraId="67AEF3DB" w14:textId="77777777" w:rsidR="00990B14" w:rsidRDefault="00000000">
            <w:pPr>
              <w:numPr>
                <w:ilvl w:val="0"/>
                <w:numId w:val="140"/>
              </w:numPr>
              <w:spacing w:after="20"/>
              <w:jc w:val="both"/>
            </w:pPr>
            <w:r>
              <w:rPr>
                <w:sz w:val="18"/>
                <w:szCs w:val="18"/>
              </w:rPr>
              <w:t xml:space="preserve">Laudon, K. C. y Laudon, J. P. (s.f.). </w:t>
            </w:r>
            <w:r>
              <w:rPr>
                <w:i/>
                <w:iCs/>
                <w:sz w:val="18"/>
                <w:szCs w:val="18"/>
              </w:rPr>
              <w:t>Administración de los sistemas de información</w:t>
            </w:r>
            <w:r>
              <w:rPr>
                <w:sz w:val="18"/>
                <w:szCs w:val="18"/>
              </w:rPr>
              <w:t>.</w:t>
            </w:r>
          </w:p>
          <w:p w14:paraId="3DCE03B5" w14:textId="77777777" w:rsidR="00990B14" w:rsidRDefault="00000000">
            <w:pPr>
              <w:numPr>
                <w:ilvl w:val="0"/>
                <w:numId w:val="140"/>
              </w:numPr>
              <w:spacing w:after="20"/>
              <w:jc w:val="both"/>
            </w:pPr>
            <w:r>
              <w:rPr>
                <w:sz w:val="18"/>
                <w:szCs w:val="18"/>
              </w:rPr>
              <w:t xml:space="preserve">Laudon, K. C. y Laudon, J. P. (s.f.). </w:t>
            </w:r>
            <w:r>
              <w:rPr>
                <w:i/>
                <w:iCs/>
                <w:sz w:val="18"/>
                <w:szCs w:val="18"/>
              </w:rPr>
              <w:t>Administración de los sistemas de información: organización y tecnología</w:t>
            </w:r>
            <w:r>
              <w:rPr>
                <w:sz w:val="18"/>
                <w:szCs w:val="18"/>
              </w:rPr>
              <w:t>.</w:t>
            </w:r>
          </w:p>
          <w:p w14:paraId="237106DB" w14:textId="77777777" w:rsidR="00990B14" w:rsidRDefault="00000000">
            <w:pPr>
              <w:numPr>
                <w:ilvl w:val="0"/>
                <w:numId w:val="140"/>
              </w:numPr>
              <w:spacing w:after="20"/>
              <w:jc w:val="both"/>
            </w:pPr>
            <w:r>
              <w:rPr>
                <w:sz w:val="18"/>
                <w:szCs w:val="18"/>
              </w:rPr>
              <w:t xml:space="preserve">Lazarro, V. (s.f.). </w:t>
            </w:r>
            <w:r>
              <w:rPr>
                <w:i/>
                <w:iCs/>
                <w:sz w:val="18"/>
                <w:szCs w:val="18"/>
              </w:rPr>
              <w:t>Sistemas y Procedimientos</w:t>
            </w:r>
            <w:r>
              <w:rPr>
                <w:sz w:val="18"/>
                <w:szCs w:val="18"/>
              </w:rPr>
              <w:t>.</w:t>
            </w:r>
          </w:p>
          <w:p w14:paraId="4220B9B4" w14:textId="77777777" w:rsidR="00990B14" w:rsidRDefault="00000000">
            <w:pPr>
              <w:numPr>
                <w:ilvl w:val="0"/>
                <w:numId w:val="140"/>
              </w:numPr>
              <w:spacing w:after="20"/>
              <w:jc w:val="both"/>
            </w:pPr>
            <w:r>
              <w:rPr>
                <w:sz w:val="18"/>
                <w:szCs w:val="18"/>
              </w:rPr>
              <w:t>Ministerio de Economía y Finanzas Públicas. Guías operativas del Sistema de Gestión Pública (SIGEP):</w:t>
            </w:r>
          </w:p>
          <w:p w14:paraId="7C81066E" w14:textId="77777777" w:rsidR="00990B14" w:rsidRDefault="00000000">
            <w:pPr>
              <w:numPr>
                <w:ilvl w:val="0"/>
                <w:numId w:val="140"/>
              </w:numPr>
              <w:spacing w:after="20"/>
              <w:jc w:val="both"/>
            </w:pPr>
            <w:r>
              <w:rPr>
                <w:sz w:val="18"/>
                <w:szCs w:val="18"/>
              </w:rPr>
              <w:t>Sarracino Ruiz, Luis. Análisis de Procesos. Recuperado de http://kugelsc.com/files/Analisis-de-Procesos.pdf</w:t>
            </w:r>
          </w:p>
          <w:p w14:paraId="7CE09435" w14:textId="77777777" w:rsidR="00990B14" w:rsidRDefault="00000000">
            <w:pPr>
              <w:numPr>
                <w:ilvl w:val="0"/>
                <w:numId w:val="140"/>
              </w:numPr>
              <w:spacing w:after="20"/>
              <w:jc w:val="both"/>
            </w:pPr>
            <w:r w:rsidRPr="00BD34F7">
              <w:rPr>
                <w:sz w:val="18"/>
                <w:szCs w:val="18"/>
                <w:lang w:val="en-US"/>
              </w:rPr>
              <w:t xml:space="preserve">Stoner, J. A. F., Freeman, R. E. y Gilbert Jr., D. R. (s.f.). </w:t>
            </w:r>
            <w:r>
              <w:rPr>
                <w:i/>
                <w:iCs/>
                <w:sz w:val="18"/>
                <w:szCs w:val="18"/>
              </w:rPr>
              <w:t>Administración</w:t>
            </w:r>
            <w:r>
              <w:rPr>
                <w:sz w:val="18"/>
                <w:szCs w:val="18"/>
              </w:rPr>
              <w:t>.</w:t>
            </w:r>
          </w:p>
          <w:p w14:paraId="4EA2A4F9" w14:textId="77777777" w:rsidR="00990B14" w:rsidRDefault="00000000">
            <w:pPr>
              <w:numPr>
                <w:ilvl w:val="0"/>
                <w:numId w:val="140"/>
              </w:numPr>
              <w:spacing w:after="20"/>
              <w:jc w:val="both"/>
            </w:pPr>
            <w:r>
              <w:rPr>
                <w:sz w:val="18"/>
                <w:szCs w:val="18"/>
              </w:rPr>
              <w:t>Unidos.</w:t>
            </w:r>
          </w:p>
          <w:p w14:paraId="509FB7B4" w14:textId="77777777" w:rsidR="00990B14" w:rsidRDefault="00000000">
            <w:pPr>
              <w:numPr>
                <w:ilvl w:val="0"/>
                <w:numId w:val="140"/>
              </w:numPr>
              <w:spacing w:after="20"/>
              <w:jc w:val="both"/>
            </w:pPr>
            <w:r>
              <w:rPr>
                <w:sz w:val="18"/>
                <w:szCs w:val="18"/>
              </w:rPr>
              <w:t>Universidad de Cádiz. (2007). Guía para la identificación y análisis de procesos, V0.</w:t>
            </w:r>
          </w:p>
        </w:tc>
      </w:tr>
    </w:tbl>
    <w:p w14:paraId="213EAC2B" w14:textId="77777777" w:rsidR="00990B14" w:rsidRDefault="00000000">
      <w:pPr>
        <w:pStyle w:val="TituloPlanAsignatura"/>
        <w:keepNext/>
        <w:pageBreakBefore/>
        <w:spacing w:after="120"/>
        <w:jc w:val="center"/>
        <w:outlineLvl w:val="2"/>
      </w:pPr>
      <w:bookmarkStart w:id="177" w:name="_Toc000000118"/>
      <w:r>
        <w:rPr>
          <w:b/>
          <w:bCs/>
          <w:sz w:val="24"/>
          <w:szCs w:val="24"/>
        </w:rPr>
        <w:t>CPA-405 Finanzas Corporativas</w:t>
      </w:r>
      <w:bookmarkEnd w:id="177"/>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249"/>
        <w:gridCol w:w="1100"/>
        <w:gridCol w:w="149"/>
        <w:gridCol w:w="635"/>
        <w:gridCol w:w="615"/>
        <w:gridCol w:w="952"/>
        <w:gridCol w:w="298"/>
        <w:gridCol w:w="1250"/>
        <w:gridCol w:w="20"/>
        <w:gridCol w:w="385"/>
        <w:gridCol w:w="398"/>
        <w:gridCol w:w="447"/>
        <w:gridCol w:w="1907"/>
      </w:tblGrid>
      <w:tr w:rsidR="00990B14" w14:paraId="35A741CD" w14:textId="77777777">
        <w:trPr>
          <w:cantSplit/>
          <w:jc w:val="center"/>
        </w:trPr>
        <w:tc>
          <w:tcPr>
            <w:tcW w:w="2349" w:type="dxa"/>
            <w:gridSpan w:val="2"/>
            <w:shd w:val="clear" w:color="auto" w:fill="4472C4"/>
            <w:vAlign w:val="center"/>
          </w:tcPr>
          <w:p w14:paraId="7C5FC13D" w14:textId="77777777" w:rsidR="00990B14" w:rsidRDefault="00000000">
            <w:pPr>
              <w:keepNext/>
              <w:spacing w:before="20" w:after="20"/>
              <w:jc w:val="center"/>
            </w:pPr>
            <w:r>
              <w:rPr>
                <w:b/>
                <w:bCs/>
                <w:i/>
                <w:iCs/>
                <w:color w:val="FFFFFF"/>
                <w:sz w:val="18"/>
                <w:szCs w:val="18"/>
              </w:rPr>
              <w:t>Asignatura</w:t>
            </w:r>
          </w:p>
        </w:tc>
        <w:tc>
          <w:tcPr>
            <w:tcW w:w="2351" w:type="dxa"/>
            <w:gridSpan w:val="4"/>
            <w:shd w:val="clear" w:color="auto" w:fill="4472C4"/>
            <w:vAlign w:val="center"/>
          </w:tcPr>
          <w:p w14:paraId="00853647" w14:textId="77777777" w:rsidR="00990B14" w:rsidRDefault="00000000">
            <w:pPr>
              <w:keepNext/>
              <w:spacing w:before="20" w:after="20"/>
              <w:jc w:val="center"/>
            </w:pPr>
            <w:r>
              <w:rPr>
                <w:b/>
                <w:bCs/>
                <w:i/>
                <w:iCs/>
                <w:color w:val="FFFFFF"/>
                <w:sz w:val="18"/>
                <w:szCs w:val="18"/>
              </w:rPr>
              <w:t>Sigla</w:t>
            </w:r>
          </w:p>
        </w:tc>
        <w:tc>
          <w:tcPr>
            <w:tcW w:w="2351" w:type="dxa"/>
            <w:gridSpan w:val="5"/>
            <w:shd w:val="clear" w:color="auto" w:fill="4472C4"/>
            <w:vAlign w:val="center"/>
          </w:tcPr>
          <w:p w14:paraId="117FF1AD" w14:textId="77777777" w:rsidR="00990B14" w:rsidRDefault="00000000">
            <w:pPr>
              <w:keepNext/>
              <w:spacing w:before="20" w:after="20"/>
              <w:jc w:val="center"/>
            </w:pPr>
            <w:r>
              <w:rPr>
                <w:b/>
                <w:bCs/>
                <w:i/>
                <w:iCs/>
                <w:color w:val="FFFFFF"/>
                <w:sz w:val="18"/>
                <w:szCs w:val="18"/>
              </w:rPr>
              <w:t>Nivel/Área</w:t>
            </w:r>
          </w:p>
        </w:tc>
        <w:tc>
          <w:tcPr>
            <w:tcW w:w="2354" w:type="dxa"/>
            <w:gridSpan w:val="2"/>
            <w:shd w:val="clear" w:color="auto" w:fill="4472C4"/>
            <w:vAlign w:val="center"/>
          </w:tcPr>
          <w:p w14:paraId="74672FF2" w14:textId="77777777" w:rsidR="00990B14" w:rsidRDefault="00000000">
            <w:pPr>
              <w:keepNext/>
              <w:spacing w:before="20" w:after="20"/>
              <w:jc w:val="center"/>
            </w:pPr>
            <w:r>
              <w:rPr>
                <w:b/>
                <w:bCs/>
                <w:i/>
                <w:iCs/>
                <w:color w:val="FFFFFF"/>
                <w:sz w:val="18"/>
                <w:szCs w:val="18"/>
              </w:rPr>
              <w:t>Prerrequisito</w:t>
            </w:r>
          </w:p>
        </w:tc>
      </w:tr>
      <w:tr w:rsidR="00990B14" w14:paraId="55F18BF3" w14:textId="77777777">
        <w:trPr>
          <w:cantSplit/>
          <w:jc w:val="center"/>
        </w:trPr>
        <w:tc>
          <w:tcPr>
            <w:tcW w:w="2349" w:type="dxa"/>
            <w:gridSpan w:val="2"/>
            <w:shd w:val="clear" w:color="auto" w:fill="D9E2F3"/>
            <w:vAlign w:val="center"/>
          </w:tcPr>
          <w:p w14:paraId="6C942079" w14:textId="77777777" w:rsidR="00990B14" w:rsidRDefault="00000000">
            <w:pPr>
              <w:spacing w:before="20" w:after="20"/>
              <w:jc w:val="center"/>
            </w:pPr>
            <w:r>
              <w:rPr>
                <w:b/>
                <w:bCs/>
                <w:i/>
                <w:iCs/>
                <w:sz w:val="18"/>
                <w:szCs w:val="18"/>
              </w:rPr>
              <w:t>Finanzas Corporativas</w:t>
            </w:r>
          </w:p>
        </w:tc>
        <w:tc>
          <w:tcPr>
            <w:tcW w:w="2351" w:type="dxa"/>
            <w:gridSpan w:val="4"/>
            <w:shd w:val="clear" w:color="auto" w:fill="D9E2F3"/>
            <w:vAlign w:val="center"/>
          </w:tcPr>
          <w:p w14:paraId="09AEBB58" w14:textId="77777777" w:rsidR="00990B14" w:rsidRDefault="00000000">
            <w:pPr>
              <w:spacing w:before="20" w:after="20"/>
              <w:jc w:val="center"/>
            </w:pPr>
            <w:r>
              <w:rPr>
                <w:b/>
                <w:bCs/>
                <w:i/>
                <w:iCs/>
                <w:sz w:val="18"/>
                <w:szCs w:val="18"/>
              </w:rPr>
              <w:t>CPA-405</w:t>
            </w:r>
          </w:p>
        </w:tc>
        <w:tc>
          <w:tcPr>
            <w:tcW w:w="2351" w:type="dxa"/>
            <w:gridSpan w:val="5"/>
            <w:shd w:val="clear" w:color="auto" w:fill="D9E2F3"/>
            <w:vAlign w:val="center"/>
          </w:tcPr>
          <w:p w14:paraId="0F55DC57" w14:textId="77777777" w:rsidR="00990B14" w:rsidRDefault="00000000">
            <w:pPr>
              <w:spacing w:before="20" w:after="20"/>
              <w:jc w:val="center"/>
            </w:pPr>
            <w:r>
              <w:rPr>
                <w:b/>
                <w:bCs/>
                <w:i/>
                <w:iCs/>
                <w:sz w:val="18"/>
                <w:szCs w:val="18"/>
              </w:rPr>
              <w:t>Información Financiera</w:t>
            </w:r>
          </w:p>
        </w:tc>
        <w:tc>
          <w:tcPr>
            <w:tcW w:w="2354" w:type="dxa"/>
            <w:gridSpan w:val="2"/>
            <w:shd w:val="clear" w:color="auto" w:fill="D9E2F3"/>
            <w:vAlign w:val="center"/>
          </w:tcPr>
          <w:p w14:paraId="6BF2A003" w14:textId="77777777" w:rsidR="00990B14" w:rsidRDefault="00000000">
            <w:pPr>
              <w:spacing w:before="20" w:after="20"/>
              <w:jc w:val="center"/>
            </w:pPr>
            <w:r>
              <w:rPr>
                <w:b/>
                <w:bCs/>
                <w:i/>
                <w:iCs/>
                <w:sz w:val="18"/>
                <w:szCs w:val="18"/>
              </w:rPr>
              <w:t>CPA-301 a CPA-304</w:t>
            </w:r>
          </w:p>
        </w:tc>
      </w:tr>
      <w:tr w:rsidR="00990B14" w14:paraId="54D86A15" w14:textId="77777777">
        <w:trPr>
          <w:cantSplit/>
          <w:jc w:val="center"/>
        </w:trPr>
        <w:tc>
          <w:tcPr>
            <w:tcW w:w="7498" w:type="dxa"/>
            <w:gridSpan w:val="12"/>
            <w:shd w:val="clear" w:color="auto" w:fill="4472C4"/>
            <w:vAlign w:val="center"/>
          </w:tcPr>
          <w:p w14:paraId="2E92C2AB" w14:textId="77777777" w:rsidR="00990B14" w:rsidRDefault="00000000">
            <w:pPr>
              <w:keepNext/>
              <w:spacing w:before="20" w:after="20"/>
              <w:jc w:val="center"/>
            </w:pPr>
            <w:r>
              <w:rPr>
                <w:b/>
                <w:bCs/>
                <w:i/>
                <w:iCs/>
                <w:color w:val="FFFFFF"/>
                <w:sz w:val="18"/>
                <w:szCs w:val="18"/>
              </w:rPr>
              <w:t>Carga Horaria</w:t>
            </w:r>
          </w:p>
        </w:tc>
        <w:tc>
          <w:tcPr>
            <w:tcW w:w="1907" w:type="dxa"/>
            <w:shd w:val="clear" w:color="auto" w:fill="4472C4"/>
            <w:vAlign w:val="center"/>
          </w:tcPr>
          <w:p w14:paraId="4F42E858" w14:textId="77777777" w:rsidR="00990B14" w:rsidRDefault="00000000">
            <w:pPr>
              <w:keepNext/>
              <w:spacing w:before="20" w:after="20"/>
              <w:jc w:val="center"/>
            </w:pPr>
            <w:r>
              <w:rPr>
                <w:b/>
                <w:bCs/>
                <w:i/>
                <w:iCs/>
                <w:color w:val="FFFFFF"/>
                <w:sz w:val="18"/>
                <w:szCs w:val="18"/>
              </w:rPr>
              <w:t>Créditos</w:t>
            </w:r>
          </w:p>
        </w:tc>
      </w:tr>
      <w:tr w:rsidR="00990B14" w14:paraId="26A6B61B" w14:textId="77777777">
        <w:trPr>
          <w:cantSplit/>
          <w:jc w:val="center"/>
        </w:trPr>
        <w:tc>
          <w:tcPr>
            <w:tcW w:w="1249" w:type="dxa"/>
            <w:shd w:val="clear" w:color="auto" w:fill="4472C4"/>
            <w:vAlign w:val="center"/>
          </w:tcPr>
          <w:p w14:paraId="0D6A99F9" w14:textId="77777777" w:rsidR="00990B14" w:rsidRDefault="00000000">
            <w:pPr>
              <w:keepNext/>
              <w:spacing w:before="20" w:after="20"/>
              <w:jc w:val="center"/>
            </w:pPr>
            <w:r>
              <w:rPr>
                <w:b/>
                <w:bCs/>
                <w:i/>
                <w:iCs/>
                <w:color w:val="FFFFFF"/>
                <w:sz w:val="18"/>
                <w:szCs w:val="18"/>
              </w:rPr>
              <w:t>HP</w:t>
            </w:r>
          </w:p>
        </w:tc>
        <w:tc>
          <w:tcPr>
            <w:tcW w:w="1249" w:type="dxa"/>
            <w:gridSpan w:val="2"/>
            <w:shd w:val="clear" w:color="auto" w:fill="4472C4"/>
            <w:vAlign w:val="center"/>
          </w:tcPr>
          <w:p w14:paraId="4DA19FFA" w14:textId="77777777" w:rsidR="00990B14" w:rsidRDefault="00000000">
            <w:pPr>
              <w:keepNext/>
              <w:spacing w:before="20" w:after="20"/>
              <w:jc w:val="center"/>
            </w:pPr>
            <w:r>
              <w:rPr>
                <w:b/>
                <w:bCs/>
                <w:i/>
                <w:iCs/>
                <w:color w:val="FFFFFF"/>
                <w:sz w:val="18"/>
                <w:szCs w:val="18"/>
              </w:rPr>
              <w:t>HAA</w:t>
            </w:r>
          </w:p>
        </w:tc>
        <w:tc>
          <w:tcPr>
            <w:tcW w:w="1250" w:type="dxa"/>
            <w:gridSpan w:val="2"/>
            <w:shd w:val="clear" w:color="auto" w:fill="4472C4"/>
            <w:vAlign w:val="center"/>
          </w:tcPr>
          <w:p w14:paraId="4C830E57" w14:textId="77777777" w:rsidR="00990B14" w:rsidRDefault="00000000">
            <w:pPr>
              <w:keepNext/>
              <w:spacing w:before="20" w:after="20"/>
              <w:jc w:val="center"/>
            </w:pPr>
            <w:r>
              <w:rPr>
                <w:b/>
                <w:bCs/>
                <w:i/>
                <w:iCs/>
                <w:color w:val="FFFFFF"/>
                <w:sz w:val="18"/>
                <w:szCs w:val="18"/>
              </w:rPr>
              <w:t>HTG</w:t>
            </w:r>
          </w:p>
        </w:tc>
        <w:tc>
          <w:tcPr>
            <w:tcW w:w="1250" w:type="dxa"/>
            <w:gridSpan w:val="2"/>
            <w:shd w:val="clear" w:color="auto" w:fill="4472C4"/>
            <w:vAlign w:val="center"/>
          </w:tcPr>
          <w:p w14:paraId="5AC9F53F" w14:textId="77777777" w:rsidR="00990B14" w:rsidRDefault="00000000">
            <w:pPr>
              <w:keepNext/>
              <w:spacing w:before="20" w:after="20"/>
              <w:jc w:val="center"/>
            </w:pPr>
            <w:r>
              <w:rPr>
                <w:b/>
                <w:bCs/>
                <w:i/>
                <w:iCs/>
                <w:color w:val="FFFFFF"/>
                <w:sz w:val="18"/>
                <w:szCs w:val="18"/>
              </w:rPr>
              <w:t>HIP</w:t>
            </w:r>
          </w:p>
        </w:tc>
        <w:tc>
          <w:tcPr>
            <w:tcW w:w="1250" w:type="dxa"/>
            <w:shd w:val="clear" w:color="auto" w:fill="4472C4"/>
            <w:vAlign w:val="center"/>
          </w:tcPr>
          <w:p w14:paraId="10D26355" w14:textId="77777777" w:rsidR="00990B14" w:rsidRDefault="00000000">
            <w:pPr>
              <w:keepNext/>
              <w:spacing w:before="20" w:after="20"/>
              <w:jc w:val="center"/>
            </w:pPr>
            <w:r>
              <w:rPr>
                <w:b/>
                <w:bCs/>
                <w:i/>
                <w:iCs/>
                <w:color w:val="FFFFFF"/>
                <w:sz w:val="18"/>
                <w:szCs w:val="18"/>
              </w:rPr>
              <w:t>HE</w:t>
            </w:r>
          </w:p>
        </w:tc>
        <w:tc>
          <w:tcPr>
            <w:tcW w:w="1250" w:type="dxa"/>
            <w:gridSpan w:val="4"/>
            <w:shd w:val="clear" w:color="auto" w:fill="4472C4"/>
            <w:vAlign w:val="center"/>
          </w:tcPr>
          <w:p w14:paraId="72396780" w14:textId="77777777" w:rsidR="00990B14" w:rsidRDefault="00000000">
            <w:pPr>
              <w:keepNext/>
              <w:spacing w:before="20" w:after="20"/>
              <w:jc w:val="center"/>
            </w:pPr>
            <w:r>
              <w:rPr>
                <w:b/>
                <w:bCs/>
                <w:i/>
                <w:iCs/>
                <w:color w:val="FFFFFF"/>
                <w:sz w:val="18"/>
                <w:szCs w:val="18"/>
              </w:rPr>
              <w:t>TOTAL</w:t>
            </w:r>
          </w:p>
        </w:tc>
        <w:tc>
          <w:tcPr>
            <w:tcW w:w="1907" w:type="dxa"/>
            <w:vMerge w:val="restart"/>
            <w:shd w:val="clear" w:color="auto" w:fill="D9E2F3"/>
            <w:vAlign w:val="center"/>
          </w:tcPr>
          <w:p w14:paraId="1F449F79" w14:textId="77777777" w:rsidR="00990B14" w:rsidRDefault="00000000">
            <w:pPr>
              <w:spacing w:before="20" w:after="20"/>
              <w:jc w:val="center"/>
            </w:pPr>
            <w:r>
              <w:rPr>
                <w:sz w:val="18"/>
                <w:szCs w:val="18"/>
              </w:rPr>
              <w:t>7</w:t>
            </w:r>
          </w:p>
        </w:tc>
      </w:tr>
      <w:tr w:rsidR="00990B14" w14:paraId="6CB8C22C" w14:textId="77777777">
        <w:trPr>
          <w:cantSplit/>
          <w:jc w:val="center"/>
        </w:trPr>
        <w:tc>
          <w:tcPr>
            <w:tcW w:w="1249" w:type="dxa"/>
            <w:shd w:val="clear" w:color="auto" w:fill="D9E2F3"/>
            <w:vAlign w:val="center"/>
          </w:tcPr>
          <w:p w14:paraId="64A4F8C8" w14:textId="77777777" w:rsidR="00990B14" w:rsidRDefault="00000000">
            <w:pPr>
              <w:spacing w:before="20" w:after="20"/>
              <w:jc w:val="center"/>
            </w:pPr>
            <w:r>
              <w:rPr>
                <w:sz w:val="18"/>
                <w:szCs w:val="18"/>
              </w:rPr>
              <w:t>160</w:t>
            </w:r>
          </w:p>
        </w:tc>
        <w:tc>
          <w:tcPr>
            <w:tcW w:w="1249" w:type="dxa"/>
            <w:gridSpan w:val="2"/>
            <w:shd w:val="clear" w:color="auto" w:fill="D9E2F3"/>
            <w:vAlign w:val="center"/>
          </w:tcPr>
          <w:p w14:paraId="27E8FBBB" w14:textId="77777777" w:rsidR="00990B14" w:rsidRDefault="00000000">
            <w:pPr>
              <w:spacing w:before="20" w:after="20"/>
              <w:jc w:val="center"/>
            </w:pPr>
            <w:r>
              <w:rPr>
                <w:sz w:val="18"/>
                <w:szCs w:val="18"/>
              </w:rPr>
              <w:t>13</w:t>
            </w:r>
          </w:p>
        </w:tc>
        <w:tc>
          <w:tcPr>
            <w:tcW w:w="1250" w:type="dxa"/>
            <w:gridSpan w:val="2"/>
            <w:shd w:val="clear" w:color="auto" w:fill="D9E2F3"/>
            <w:vAlign w:val="center"/>
          </w:tcPr>
          <w:p w14:paraId="300DFE11" w14:textId="77777777" w:rsidR="00990B14" w:rsidRDefault="00000000">
            <w:pPr>
              <w:spacing w:before="20" w:after="20"/>
              <w:jc w:val="center"/>
            </w:pPr>
            <w:r>
              <w:rPr>
                <w:sz w:val="18"/>
                <w:szCs w:val="18"/>
              </w:rPr>
              <w:t>13</w:t>
            </w:r>
          </w:p>
        </w:tc>
        <w:tc>
          <w:tcPr>
            <w:tcW w:w="1250" w:type="dxa"/>
            <w:gridSpan w:val="2"/>
            <w:shd w:val="clear" w:color="auto" w:fill="D9E2F3"/>
            <w:vAlign w:val="center"/>
          </w:tcPr>
          <w:p w14:paraId="23D89071" w14:textId="77777777" w:rsidR="00990B14" w:rsidRDefault="00000000">
            <w:pPr>
              <w:spacing w:before="20" w:after="20"/>
              <w:jc w:val="center"/>
            </w:pPr>
            <w:r>
              <w:rPr>
                <w:sz w:val="18"/>
                <w:szCs w:val="18"/>
              </w:rPr>
              <w:t>12</w:t>
            </w:r>
          </w:p>
        </w:tc>
        <w:tc>
          <w:tcPr>
            <w:tcW w:w="1250" w:type="dxa"/>
            <w:shd w:val="clear" w:color="auto" w:fill="D9E2F3"/>
            <w:vAlign w:val="center"/>
          </w:tcPr>
          <w:p w14:paraId="462A16B8" w14:textId="77777777" w:rsidR="00990B14" w:rsidRDefault="00000000">
            <w:pPr>
              <w:spacing w:before="20" w:after="20"/>
              <w:jc w:val="center"/>
            </w:pPr>
            <w:r>
              <w:rPr>
                <w:sz w:val="18"/>
                <w:szCs w:val="18"/>
              </w:rPr>
              <w:t>12</w:t>
            </w:r>
          </w:p>
        </w:tc>
        <w:tc>
          <w:tcPr>
            <w:tcW w:w="1250" w:type="dxa"/>
            <w:gridSpan w:val="4"/>
            <w:shd w:val="clear" w:color="auto" w:fill="D9E2F3"/>
            <w:vAlign w:val="center"/>
          </w:tcPr>
          <w:p w14:paraId="57B65840" w14:textId="77777777" w:rsidR="00990B14" w:rsidRDefault="00000000">
            <w:pPr>
              <w:spacing w:before="20" w:after="20"/>
              <w:jc w:val="center"/>
            </w:pPr>
            <w:r>
              <w:rPr>
                <w:sz w:val="18"/>
                <w:szCs w:val="18"/>
              </w:rPr>
              <w:t>210</w:t>
            </w:r>
          </w:p>
        </w:tc>
        <w:tc>
          <w:tcPr>
            <w:tcW w:w="1907" w:type="dxa"/>
            <w:vMerge/>
            <w:shd w:val="clear" w:color="auto" w:fill="D9E2F3"/>
            <w:vAlign w:val="center"/>
          </w:tcPr>
          <w:p w14:paraId="09646D10" w14:textId="77777777" w:rsidR="00990B14" w:rsidRDefault="00990B14">
            <w:pPr>
              <w:spacing w:before="20" w:after="20"/>
            </w:pPr>
          </w:p>
        </w:tc>
      </w:tr>
      <w:tr w:rsidR="00990B14" w14:paraId="57FEDBF2" w14:textId="77777777">
        <w:trPr>
          <w:cantSplit/>
          <w:jc w:val="center"/>
        </w:trPr>
        <w:tc>
          <w:tcPr>
            <w:tcW w:w="9405" w:type="dxa"/>
            <w:gridSpan w:val="13"/>
            <w:shd w:val="clear" w:color="auto" w:fill="4472C4"/>
            <w:vAlign w:val="center"/>
          </w:tcPr>
          <w:p w14:paraId="06FDF724" w14:textId="77777777" w:rsidR="00990B14" w:rsidRDefault="00000000">
            <w:pPr>
              <w:keepNext/>
              <w:spacing w:before="20" w:after="20"/>
              <w:jc w:val="center"/>
            </w:pPr>
            <w:r>
              <w:rPr>
                <w:b/>
                <w:bCs/>
                <w:i/>
                <w:iCs/>
                <w:color w:val="FFFFFF"/>
                <w:sz w:val="18"/>
                <w:szCs w:val="18"/>
              </w:rPr>
              <w:t>Unidad de Competencia</w:t>
            </w:r>
          </w:p>
        </w:tc>
      </w:tr>
      <w:tr w:rsidR="00990B14" w14:paraId="6AD8D11E" w14:textId="77777777">
        <w:trPr>
          <w:cantSplit/>
          <w:jc w:val="center"/>
        </w:trPr>
        <w:tc>
          <w:tcPr>
            <w:tcW w:w="9405" w:type="dxa"/>
            <w:gridSpan w:val="13"/>
            <w:shd w:val="clear" w:color="auto" w:fill="D9E2F3"/>
            <w:vAlign w:val="center"/>
          </w:tcPr>
          <w:p w14:paraId="6748B1C5" w14:textId="77777777" w:rsidR="00990B14" w:rsidRDefault="00000000">
            <w:pPr>
              <w:spacing w:before="20" w:after="20"/>
              <w:jc w:val="both"/>
            </w:pPr>
            <w:r>
              <w:rPr>
                <w:sz w:val="18"/>
                <w:szCs w:val="18"/>
              </w:rPr>
              <w:t>Gestiona los recursos financieros de una organización conforme a los principios de las finanzas corporativas y las disposiciones vigentes, explicando la función y los objetivos de la administración financiera, analizando e interpretando sus estados financieros, planificando su presupuesto financiero, administrando su capital de trabajo, valuando el dinero en el tiempo, sus obligaciones y sus acciones, midiendo el riesgo de su cartera y cubriéndolo con las alternativas disponibles en el mercado, evaluando proyectos de inversión a largo plazo y valorando empresas, determinando su apalancamiento, su estructura de capital y su política de dividendos, y aplicando la inteligencia de negocios y las finanzas internacionales, con hojas de cálculo, sentido crítico ante el riesgo cambiario e inflacionario, ética profesional y visión estratégica.</w:t>
            </w:r>
          </w:p>
        </w:tc>
      </w:tr>
      <w:tr w:rsidR="00990B14" w14:paraId="6D9B60F4" w14:textId="77777777">
        <w:trPr>
          <w:cantSplit/>
          <w:jc w:val="center"/>
        </w:trPr>
        <w:tc>
          <w:tcPr>
            <w:tcW w:w="9405" w:type="dxa"/>
            <w:gridSpan w:val="13"/>
            <w:shd w:val="clear" w:color="auto" w:fill="D9E2F3"/>
            <w:vAlign w:val="center"/>
          </w:tcPr>
          <w:p w14:paraId="1ADB6416" w14:textId="77777777" w:rsidR="00990B14" w:rsidRDefault="00000000">
            <w:pPr>
              <w:spacing w:before="20" w:after="20"/>
              <w:jc w:val="both"/>
            </w:pPr>
            <w:r>
              <w:rPr>
                <w:b/>
                <w:bCs/>
                <w:i/>
                <w:iCs/>
                <w:sz w:val="18"/>
                <w:szCs w:val="18"/>
              </w:rPr>
              <w:t xml:space="preserve">Elemento de competencia 1: </w:t>
            </w:r>
            <w:r>
              <w:rPr>
                <w:sz w:val="18"/>
                <w:szCs w:val="18"/>
              </w:rPr>
              <w:t>Diagnostica la situación financiera de la empresa, relacionando los objetivos y la organización de su administración financiera con las instituciones, los mercados financieros y el marco técnico vigente.</w:t>
            </w:r>
          </w:p>
        </w:tc>
      </w:tr>
      <w:tr w:rsidR="00990B14" w14:paraId="0B5FDDBE" w14:textId="77777777">
        <w:trPr>
          <w:cantSplit/>
          <w:jc w:val="center"/>
        </w:trPr>
        <w:tc>
          <w:tcPr>
            <w:tcW w:w="3133" w:type="dxa"/>
            <w:gridSpan w:val="4"/>
            <w:shd w:val="clear" w:color="auto" w:fill="4472C4"/>
            <w:vAlign w:val="center"/>
          </w:tcPr>
          <w:p w14:paraId="7CE35CFC"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39732290"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1101C143" w14:textId="77777777" w:rsidR="00990B14" w:rsidRDefault="00000000">
            <w:pPr>
              <w:keepNext/>
              <w:spacing w:before="20" w:after="20"/>
              <w:jc w:val="center"/>
            </w:pPr>
            <w:r>
              <w:rPr>
                <w:b/>
                <w:bCs/>
                <w:i/>
                <w:iCs/>
                <w:color w:val="FFFFFF"/>
                <w:sz w:val="18"/>
                <w:szCs w:val="18"/>
              </w:rPr>
              <w:t>Evidencias de producto</w:t>
            </w:r>
          </w:p>
        </w:tc>
      </w:tr>
      <w:tr w:rsidR="00990B14" w14:paraId="57C0D9B7" w14:textId="77777777">
        <w:trPr>
          <w:cantSplit/>
          <w:jc w:val="center"/>
        </w:trPr>
        <w:tc>
          <w:tcPr>
            <w:tcW w:w="3133" w:type="dxa"/>
            <w:gridSpan w:val="4"/>
            <w:vMerge w:val="restart"/>
            <w:shd w:val="clear" w:color="auto" w:fill="D9E2F3"/>
            <w:vAlign w:val="center"/>
          </w:tcPr>
          <w:p w14:paraId="77CA708D" w14:textId="77777777" w:rsidR="00990B14" w:rsidRDefault="00000000">
            <w:pPr>
              <w:spacing w:before="20" w:after="20"/>
              <w:jc w:val="both"/>
            </w:pPr>
            <w:r>
              <w:rPr>
                <w:sz w:val="18"/>
                <w:szCs w:val="18"/>
              </w:rPr>
              <w:t>1. Relaciona los objetivos del área financiera de la empresa con instituciones, mercados financieros y conforme al marco técnico, dentro de un nivel de ética profesional alto.</w:t>
            </w:r>
          </w:p>
        </w:tc>
        <w:tc>
          <w:tcPr>
            <w:tcW w:w="3135" w:type="dxa"/>
            <w:gridSpan w:val="5"/>
            <w:shd w:val="clear" w:color="auto" w:fill="D9E2F3"/>
            <w:vAlign w:val="center"/>
          </w:tcPr>
          <w:p w14:paraId="2C4CC9B5" w14:textId="77777777" w:rsidR="00990B14" w:rsidRDefault="00000000">
            <w:pPr>
              <w:spacing w:before="20" w:after="20"/>
              <w:jc w:val="both"/>
            </w:pPr>
            <w:r>
              <w:rPr>
                <w:sz w:val="18"/>
                <w:szCs w:val="18"/>
              </w:rPr>
              <w:t>1.1 Elabora en equipo la descripción del área financiera de la empresa, con su estructura, sus objetivos y los mercados en que se financia.</w:t>
            </w:r>
          </w:p>
        </w:tc>
        <w:tc>
          <w:tcPr>
            <w:tcW w:w="3137" w:type="dxa"/>
            <w:gridSpan w:val="4"/>
            <w:shd w:val="clear" w:color="auto" w:fill="D9E2F3"/>
            <w:vAlign w:val="center"/>
          </w:tcPr>
          <w:p w14:paraId="18E30198" w14:textId="77777777" w:rsidR="00990B14" w:rsidRDefault="00000000">
            <w:pPr>
              <w:spacing w:before="20" w:after="20"/>
              <w:jc w:val="both"/>
            </w:pPr>
            <w:r>
              <w:rPr>
                <w:b/>
                <w:bCs/>
                <w:sz w:val="18"/>
                <w:szCs w:val="18"/>
              </w:rPr>
              <w:t xml:space="preserve">Producto 1: </w:t>
            </w:r>
            <w:r>
              <w:rPr>
                <w:sz w:val="18"/>
                <w:szCs w:val="18"/>
              </w:rPr>
              <w:t>Informe de descripción financiera de la empresa y de su entorno de mercado.</w:t>
            </w:r>
          </w:p>
        </w:tc>
      </w:tr>
      <w:tr w:rsidR="00990B14" w14:paraId="0DC3BBFC" w14:textId="77777777">
        <w:trPr>
          <w:cantSplit/>
          <w:jc w:val="center"/>
        </w:trPr>
        <w:tc>
          <w:tcPr>
            <w:tcW w:w="3133" w:type="dxa"/>
            <w:gridSpan w:val="4"/>
            <w:vMerge/>
            <w:shd w:val="clear" w:color="auto" w:fill="D9E2F3"/>
            <w:vAlign w:val="center"/>
          </w:tcPr>
          <w:p w14:paraId="1C6D35D9" w14:textId="77777777" w:rsidR="00990B14" w:rsidRDefault="00990B14">
            <w:pPr>
              <w:spacing w:before="20" w:after="20"/>
            </w:pPr>
          </w:p>
        </w:tc>
        <w:tc>
          <w:tcPr>
            <w:tcW w:w="3135" w:type="dxa"/>
            <w:gridSpan w:val="5"/>
            <w:shd w:val="clear" w:color="auto" w:fill="D9E2F3"/>
            <w:vAlign w:val="center"/>
          </w:tcPr>
          <w:p w14:paraId="24B77CAE" w14:textId="77777777" w:rsidR="00990B14" w:rsidRDefault="00000000">
            <w:pPr>
              <w:spacing w:before="20" w:after="20"/>
              <w:jc w:val="both"/>
            </w:pPr>
            <w:r>
              <w:rPr>
                <w:sz w:val="18"/>
                <w:szCs w:val="18"/>
              </w:rPr>
              <w:t>1.2 Analiza en aula un caso de conflicto de intereses del ejecutivo financiero y sustenta la conducta esperada.</w:t>
            </w:r>
          </w:p>
        </w:tc>
        <w:tc>
          <w:tcPr>
            <w:tcW w:w="3137" w:type="dxa"/>
            <w:gridSpan w:val="4"/>
            <w:shd w:val="clear" w:color="auto" w:fill="D9E2F3"/>
            <w:vAlign w:val="center"/>
          </w:tcPr>
          <w:p w14:paraId="2E36F78E" w14:textId="77777777" w:rsidR="00990B14" w:rsidRDefault="00000000">
            <w:pPr>
              <w:spacing w:before="20" w:after="20"/>
              <w:jc w:val="both"/>
            </w:pPr>
            <w:r>
              <w:rPr>
                <w:b/>
                <w:bCs/>
                <w:sz w:val="18"/>
                <w:szCs w:val="18"/>
              </w:rPr>
              <w:t xml:space="preserve">Producto 2: </w:t>
            </w:r>
            <w:r>
              <w:rPr>
                <w:sz w:val="18"/>
                <w:szCs w:val="18"/>
              </w:rPr>
              <w:t>Informe de análisis ético de un caso del ejecutivo financiero.</w:t>
            </w:r>
          </w:p>
        </w:tc>
      </w:tr>
      <w:tr w:rsidR="00990B14" w14:paraId="70FED7E9" w14:textId="77777777">
        <w:trPr>
          <w:cantSplit/>
          <w:jc w:val="center"/>
        </w:trPr>
        <w:tc>
          <w:tcPr>
            <w:tcW w:w="3133" w:type="dxa"/>
            <w:gridSpan w:val="4"/>
            <w:vMerge w:val="restart"/>
            <w:shd w:val="clear" w:color="auto" w:fill="D9E2F3"/>
            <w:vAlign w:val="center"/>
          </w:tcPr>
          <w:p w14:paraId="290F6B45" w14:textId="77777777" w:rsidR="00990B14" w:rsidRDefault="00000000">
            <w:pPr>
              <w:spacing w:before="20" w:after="20"/>
              <w:jc w:val="both"/>
            </w:pPr>
            <w:r>
              <w:rPr>
                <w:sz w:val="18"/>
                <w:szCs w:val="18"/>
              </w:rPr>
              <w:t>2. Analiza los estados financieros de la empresa con los métodos horizontal, vertical y de razones financieras, considerando el impacto de la inflación, la variación del tipo de cambio y el incremento de los riesgos inherentes.</w:t>
            </w:r>
          </w:p>
        </w:tc>
        <w:tc>
          <w:tcPr>
            <w:tcW w:w="3135" w:type="dxa"/>
            <w:gridSpan w:val="5"/>
            <w:shd w:val="clear" w:color="auto" w:fill="D9E2F3"/>
            <w:vAlign w:val="center"/>
          </w:tcPr>
          <w:p w14:paraId="4F92FCCC" w14:textId="77777777" w:rsidR="00990B14" w:rsidRDefault="00000000">
            <w:pPr>
              <w:spacing w:before="20" w:after="20"/>
              <w:jc w:val="both"/>
            </w:pPr>
            <w:r>
              <w:rPr>
                <w:sz w:val="18"/>
                <w:szCs w:val="18"/>
              </w:rPr>
              <w:t>2.1 Elabora por medios tecnológicos el análisis horizontal, vertical, de razones financieras de la empresa, ajustando su comparabilidad del desempeño operativo y financiero, por inflación y variación del tipo de cambio.</w:t>
            </w:r>
          </w:p>
        </w:tc>
        <w:tc>
          <w:tcPr>
            <w:tcW w:w="3137" w:type="dxa"/>
            <w:gridSpan w:val="4"/>
            <w:shd w:val="clear" w:color="auto" w:fill="D9E2F3"/>
            <w:vAlign w:val="center"/>
          </w:tcPr>
          <w:p w14:paraId="54F909EE" w14:textId="77777777" w:rsidR="00990B14" w:rsidRDefault="00000000">
            <w:pPr>
              <w:spacing w:before="20" w:after="20"/>
              <w:jc w:val="both"/>
            </w:pPr>
            <w:r>
              <w:rPr>
                <w:b/>
                <w:bCs/>
                <w:sz w:val="18"/>
                <w:szCs w:val="18"/>
              </w:rPr>
              <w:t xml:space="preserve">Producto 3: </w:t>
            </w:r>
            <w:r>
              <w:rPr>
                <w:sz w:val="18"/>
                <w:szCs w:val="18"/>
              </w:rPr>
              <w:t>Modelo de análisis horizontal, vertical y de razones financieras en herramientas tecnológicas.</w:t>
            </w:r>
          </w:p>
        </w:tc>
      </w:tr>
      <w:tr w:rsidR="00990B14" w14:paraId="6641F846" w14:textId="77777777">
        <w:trPr>
          <w:cantSplit/>
          <w:jc w:val="center"/>
        </w:trPr>
        <w:tc>
          <w:tcPr>
            <w:tcW w:w="3133" w:type="dxa"/>
            <w:gridSpan w:val="4"/>
            <w:vMerge/>
            <w:shd w:val="clear" w:color="auto" w:fill="D9E2F3"/>
            <w:vAlign w:val="center"/>
          </w:tcPr>
          <w:p w14:paraId="7BADE76C" w14:textId="77777777" w:rsidR="00990B14" w:rsidRDefault="00990B14">
            <w:pPr>
              <w:spacing w:before="20" w:after="20"/>
            </w:pPr>
          </w:p>
        </w:tc>
        <w:tc>
          <w:tcPr>
            <w:tcW w:w="3135" w:type="dxa"/>
            <w:gridSpan w:val="5"/>
            <w:shd w:val="clear" w:color="auto" w:fill="D9E2F3"/>
            <w:vAlign w:val="center"/>
          </w:tcPr>
          <w:p w14:paraId="59941C15" w14:textId="77777777" w:rsidR="00990B14" w:rsidRDefault="00000000">
            <w:pPr>
              <w:spacing w:before="20" w:after="20"/>
              <w:jc w:val="both"/>
            </w:pPr>
            <w:r>
              <w:rPr>
                <w:sz w:val="18"/>
                <w:szCs w:val="18"/>
              </w:rPr>
              <w:t>2.2 Sustenta en equipo el diagnóstico financiero de la empresa, como resultado del análisis de riesgo inherente debidamente validado.</w:t>
            </w:r>
          </w:p>
        </w:tc>
        <w:tc>
          <w:tcPr>
            <w:tcW w:w="3137" w:type="dxa"/>
            <w:gridSpan w:val="4"/>
            <w:shd w:val="clear" w:color="auto" w:fill="D9E2F3"/>
            <w:vAlign w:val="center"/>
          </w:tcPr>
          <w:p w14:paraId="22064997" w14:textId="77777777" w:rsidR="00990B14" w:rsidRDefault="00000000">
            <w:pPr>
              <w:spacing w:before="20" w:after="20"/>
              <w:jc w:val="both"/>
            </w:pPr>
            <w:r>
              <w:rPr>
                <w:b/>
                <w:bCs/>
                <w:sz w:val="18"/>
                <w:szCs w:val="18"/>
              </w:rPr>
              <w:t xml:space="preserve">Producto 4: </w:t>
            </w:r>
            <w:r>
              <w:rPr>
                <w:sz w:val="18"/>
                <w:szCs w:val="18"/>
              </w:rPr>
              <w:t>Informe de diagnóstico financiero con sus conclusiones y recomendaciones.</w:t>
            </w:r>
          </w:p>
        </w:tc>
      </w:tr>
      <w:tr w:rsidR="00990B14" w14:paraId="73FFC674" w14:textId="77777777">
        <w:trPr>
          <w:cantSplit/>
          <w:jc w:val="center"/>
        </w:trPr>
        <w:tc>
          <w:tcPr>
            <w:tcW w:w="9405" w:type="dxa"/>
            <w:gridSpan w:val="13"/>
            <w:shd w:val="clear" w:color="auto" w:fill="4472C4"/>
            <w:vAlign w:val="center"/>
          </w:tcPr>
          <w:p w14:paraId="0BDE8E25" w14:textId="77777777" w:rsidR="00990B14" w:rsidRDefault="00000000">
            <w:pPr>
              <w:keepNext/>
              <w:spacing w:before="20" w:after="20"/>
              <w:jc w:val="center"/>
            </w:pPr>
            <w:r>
              <w:rPr>
                <w:b/>
                <w:bCs/>
                <w:i/>
                <w:iCs/>
                <w:color w:val="FFFFFF"/>
                <w:sz w:val="18"/>
                <w:szCs w:val="18"/>
              </w:rPr>
              <w:t>Evidencias de conocimiento</w:t>
            </w:r>
          </w:p>
        </w:tc>
      </w:tr>
      <w:tr w:rsidR="00990B14" w14:paraId="727E85E5" w14:textId="77777777">
        <w:trPr>
          <w:cantSplit/>
          <w:jc w:val="center"/>
        </w:trPr>
        <w:tc>
          <w:tcPr>
            <w:tcW w:w="2349" w:type="dxa"/>
            <w:gridSpan w:val="2"/>
            <w:shd w:val="clear" w:color="auto" w:fill="4472C4"/>
            <w:vAlign w:val="center"/>
          </w:tcPr>
          <w:p w14:paraId="366D4601"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19236391" w14:textId="77777777" w:rsidR="00990B14" w:rsidRDefault="00000000">
            <w:pPr>
              <w:keepNext/>
              <w:spacing w:before="20" w:after="20"/>
              <w:jc w:val="both"/>
            </w:pPr>
            <w:r>
              <w:rPr>
                <w:b/>
                <w:bCs/>
                <w:i/>
                <w:iCs/>
                <w:color w:val="FFFFFF"/>
                <w:sz w:val="18"/>
                <w:szCs w:val="18"/>
              </w:rPr>
              <w:t>Contenidos</w:t>
            </w:r>
          </w:p>
          <w:p w14:paraId="7DAF64EC"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4CBFBB3A" w14:textId="77777777" w:rsidR="00990B14" w:rsidRDefault="00000000">
            <w:pPr>
              <w:keepNext/>
              <w:spacing w:before="20" w:after="20"/>
              <w:jc w:val="center"/>
            </w:pPr>
            <w:r>
              <w:rPr>
                <w:b/>
                <w:bCs/>
                <w:i/>
                <w:iCs/>
                <w:color w:val="FFFFFF"/>
                <w:sz w:val="18"/>
                <w:szCs w:val="18"/>
              </w:rPr>
              <w:t>Conocimientos circunstanciales</w:t>
            </w:r>
          </w:p>
        </w:tc>
      </w:tr>
      <w:tr w:rsidR="00990B14" w14:paraId="0927FE8C" w14:textId="77777777">
        <w:trPr>
          <w:jc w:val="center"/>
        </w:trPr>
        <w:tc>
          <w:tcPr>
            <w:tcW w:w="2349" w:type="dxa"/>
            <w:gridSpan w:val="2"/>
            <w:shd w:val="clear" w:color="auto" w:fill="D9E2F3"/>
          </w:tcPr>
          <w:p w14:paraId="7AE39C9F" w14:textId="77777777" w:rsidR="00990B14" w:rsidRDefault="00000000">
            <w:pPr>
              <w:spacing w:before="20" w:after="40"/>
              <w:jc w:val="both"/>
            </w:pPr>
            <w:r>
              <w:rPr>
                <w:sz w:val="18"/>
                <w:szCs w:val="18"/>
              </w:rPr>
              <w:t>Tema 1: Fundamentos de las finanzas corporativas</w:t>
            </w:r>
          </w:p>
          <w:p w14:paraId="08FC787A" w14:textId="77777777" w:rsidR="00990B14" w:rsidRDefault="00000000">
            <w:pPr>
              <w:spacing w:before="20" w:after="40"/>
              <w:jc w:val="both"/>
            </w:pPr>
            <w:r>
              <w:rPr>
                <w:sz w:val="18"/>
                <w:szCs w:val="18"/>
              </w:rPr>
              <w:t>Tema 2: Métodos de análisis e interpretación</w:t>
            </w:r>
          </w:p>
          <w:p w14:paraId="58A68569" w14:textId="77777777" w:rsidR="00990B14" w:rsidRDefault="00000000">
            <w:pPr>
              <w:spacing w:before="20" w:after="40"/>
              <w:jc w:val="both"/>
            </w:pPr>
            <w:r>
              <w:rPr>
                <w:sz w:val="18"/>
                <w:szCs w:val="18"/>
              </w:rPr>
              <w:t>Tema 3: Apalancamiento</w:t>
            </w:r>
          </w:p>
        </w:tc>
        <w:tc>
          <w:tcPr>
            <w:tcW w:w="4304" w:type="dxa"/>
            <w:gridSpan w:val="8"/>
            <w:shd w:val="clear" w:color="auto" w:fill="D9E2F3"/>
          </w:tcPr>
          <w:p w14:paraId="0758E39E" w14:textId="77777777" w:rsidR="00990B14" w:rsidRDefault="00000000">
            <w:pPr>
              <w:spacing w:after="40"/>
              <w:jc w:val="both"/>
            </w:pPr>
            <w:r>
              <w:rPr>
                <w:sz w:val="18"/>
                <w:szCs w:val="18"/>
              </w:rPr>
              <w:t>1. Naturaleza, evolución y enfoques de las finanzas corporativas. (C)</w:t>
            </w:r>
          </w:p>
          <w:p w14:paraId="7820C909" w14:textId="77777777" w:rsidR="00990B14" w:rsidRDefault="00000000">
            <w:pPr>
              <w:spacing w:after="40"/>
              <w:jc w:val="both"/>
            </w:pPr>
            <w:r>
              <w:rPr>
                <w:sz w:val="18"/>
                <w:szCs w:val="18"/>
              </w:rPr>
              <w:t>2. Las finanzas corporativas en el contexto económico a nivel nacional e internacional. (C)</w:t>
            </w:r>
          </w:p>
          <w:p w14:paraId="1CCD57A8" w14:textId="77777777" w:rsidR="00990B14" w:rsidRDefault="00000000">
            <w:pPr>
              <w:spacing w:after="40"/>
              <w:jc w:val="both"/>
            </w:pPr>
            <w:r>
              <w:rPr>
                <w:sz w:val="18"/>
                <w:szCs w:val="18"/>
              </w:rPr>
              <w:t>3. Objetivos y decisiones de la administración financiera en un contexto corporativo: objetivo básico y objetivo operativo, sus conceptos, sus estructuras y sus diferencias con otros objetivos. (C)</w:t>
            </w:r>
          </w:p>
          <w:p w14:paraId="0CA88567" w14:textId="77777777" w:rsidR="00990B14" w:rsidRDefault="00000000">
            <w:pPr>
              <w:spacing w:after="40"/>
              <w:jc w:val="both"/>
            </w:pPr>
            <w:r>
              <w:rPr>
                <w:sz w:val="18"/>
                <w:szCs w:val="18"/>
              </w:rPr>
              <w:t>4. La función del ejecutivo financiero. (C)</w:t>
            </w:r>
          </w:p>
          <w:p w14:paraId="38126AD4" w14:textId="77777777" w:rsidR="00990B14" w:rsidRDefault="00000000">
            <w:pPr>
              <w:spacing w:after="40"/>
              <w:jc w:val="both"/>
            </w:pPr>
            <w:r>
              <w:rPr>
                <w:sz w:val="18"/>
                <w:szCs w:val="18"/>
              </w:rPr>
              <w:t>5. Las finanzas y la empresa; qué son las finanzas; áreas y oportunidades principales en finanzas. (C)</w:t>
            </w:r>
          </w:p>
          <w:p w14:paraId="35991983" w14:textId="77777777" w:rsidR="00990B14" w:rsidRDefault="00000000">
            <w:pPr>
              <w:spacing w:after="40"/>
              <w:jc w:val="both"/>
            </w:pPr>
            <w:r>
              <w:rPr>
                <w:sz w:val="18"/>
                <w:szCs w:val="18"/>
              </w:rPr>
              <w:t>6. Organización del área financiera: ubicación, relaciones e interdependencias. (C)</w:t>
            </w:r>
          </w:p>
          <w:p w14:paraId="4D748FE7" w14:textId="77777777" w:rsidR="00990B14" w:rsidRDefault="00000000">
            <w:pPr>
              <w:spacing w:after="40"/>
              <w:jc w:val="both"/>
            </w:pPr>
            <w:r>
              <w:rPr>
                <w:sz w:val="18"/>
                <w:szCs w:val="18"/>
              </w:rPr>
              <w:t>7. Instituciones y mercados financieros. (C)</w:t>
            </w:r>
          </w:p>
          <w:p w14:paraId="0BC17E8B" w14:textId="77777777" w:rsidR="00990B14" w:rsidRDefault="00000000">
            <w:pPr>
              <w:spacing w:after="40"/>
              <w:jc w:val="both"/>
            </w:pPr>
            <w:r>
              <w:rPr>
                <w:sz w:val="18"/>
                <w:szCs w:val="18"/>
              </w:rPr>
              <w:t>8. Mercado de valores y mercado de intermediación financiera en Bolivia: participantes, instrumentos y entidades reguladoras. (C, A)</w:t>
            </w:r>
          </w:p>
          <w:p w14:paraId="19204402" w14:textId="77777777" w:rsidR="00990B14" w:rsidRDefault="00000000">
            <w:pPr>
              <w:spacing w:after="40"/>
              <w:jc w:val="both"/>
            </w:pPr>
            <w:r>
              <w:rPr>
                <w:sz w:val="18"/>
                <w:szCs w:val="18"/>
              </w:rPr>
              <w:t>9. Aspectos legales. (C)</w:t>
            </w:r>
          </w:p>
          <w:p w14:paraId="05DDCC55" w14:textId="77777777" w:rsidR="00990B14" w:rsidRDefault="00000000">
            <w:pPr>
              <w:spacing w:after="40"/>
              <w:jc w:val="both"/>
            </w:pPr>
            <w:r>
              <w:rPr>
                <w:sz w:val="18"/>
                <w:szCs w:val="18"/>
              </w:rPr>
              <w:t>10. Estructuración de la emisión. (C)</w:t>
            </w:r>
          </w:p>
          <w:p w14:paraId="28F496EC" w14:textId="77777777" w:rsidR="00990B14" w:rsidRDefault="00000000">
            <w:pPr>
              <w:spacing w:after="40"/>
              <w:jc w:val="both"/>
            </w:pPr>
            <w:r>
              <w:rPr>
                <w:sz w:val="18"/>
                <w:szCs w:val="18"/>
              </w:rPr>
              <w:t>11. Registro e inscripción. (P)</w:t>
            </w:r>
          </w:p>
          <w:p w14:paraId="4A4E9E7F" w14:textId="77777777" w:rsidR="00990B14" w:rsidRDefault="00000000">
            <w:pPr>
              <w:spacing w:after="40"/>
              <w:jc w:val="both"/>
            </w:pPr>
            <w:r>
              <w:rPr>
                <w:sz w:val="18"/>
                <w:szCs w:val="18"/>
              </w:rPr>
              <w:t>12. La empresa en Bolivia. (C)</w:t>
            </w:r>
          </w:p>
          <w:p w14:paraId="452341E8" w14:textId="77777777" w:rsidR="00990B14" w:rsidRDefault="00000000">
            <w:pPr>
              <w:spacing w:after="40"/>
              <w:jc w:val="both"/>
            </w:pPr>
            <w:r>
              <w:rPr>
                <w:sz w:val="18"/>
                <w:szCs w:val="18"/>
              </w:rPr>
              <w:t>13. Ética del ejecutivo financiero: conflicto de intereses, uso de información privilegiada y transparencia con los accionistas. (C, A)</w:t>
            </w:r>
          </w:p>
          <w:p w14:paraId="74A43DF7" w14:textId="77777777" w:rsidR="00990B14" w:rsidRDefault="00000000">
            <w:pPr>
              <w:spacing w:after="40"/>
              <w:jc w:val="both"/>
            </w:pPr>
            <w:r>
              <w:rPr>
                <w:sz w:val="18"/>
                <w:szCs w:val="18"/>
              </w:rPr>
              <w:t>Alcance y propósito del análisis e interpretación de los estados financieros. (C)</w:t>
            </w:r>
          </w:p>
          <w:p w14:paraId="5BEA2105" w14:textId="77777777" w:rsidR="00990B14" w:rsidRDefault="00000000">
            <w:pPr>
              <w:spacing w:after="40"/>
              <w:jc w:val="both"/>
            </w:pPr>
            <w:r>
              <w:rPr>
                <w:sz w:val="18"/>
                <w:szCs w:val="18"/>
              </w:rPr>
              <w:t>El análisis horizontal. (C)</w:t>
            </w:r>
          </w:p>
          <w:p w14:paraId="4001930F" w14:textId="77777777" w:rsidR="00990B14" w:rsidRDefault="00000000">
            <w:pPr>
              <w:spacing w:after="40"/>
              <w:jc w:val="both"/>
            </w:pPr>
            <w:r>
              <w:rPr>
                <w:sz w:val="18"/>
                <w:szCs w:val="18"/>
              </w:rPr>
              <w:t>El análisis vertical. (C)</w:t>
            </w:r>
          </w:p>
          <w:p w14:paraId="177382EA" w14:textId="77777777" w:rsidR="00990B14" w:rsidRDefault="00000000">
            <w:pPr>
              <w:spacing w:after="40"/>
              <w:jc w:val="both"/>
            </w:pPr>
            <w:r>
              <w:rPr>
                <w:sz w:val="18"/>
                <w:szCs w:val="18"/>
              </w:rPr>
              <w:t>Razones financieras. (C)</w:t>
            </w:r>
          </w:p>
          <w:p w14:paraId="45720407" w14:textId="77777777" w:rsidR="00990B14" w:rsidRDefault="00000000">
            <w:pPr>
              <w:spacing w:after="40"/>
              <w:jc w:val="both"/>
            </w:pPr>
            <w:r>
              <w:rPr>
                <w:sz w:val="18"/>
                <w:szCs w:val="18"/>
              </w:rPr>
              <w:t>Análisis de los estados financieros en hoja de cálculo: series comparativas entre gestiones, indicadores por sector y gráficos de tendencia. (P, T)</w:t>
            </w:r>
          </w:p>
          <w:p w14:paraId="42116326" w14:textId="77777777" w:rsidR="00990B14" w:rsidRDefault="00000000">
            <w:pPr>
              <w:spacing w:after="40"/>
              <w:jc w:val="both"/>
            </w:pPr>
            <w:r>
              <w:rPr>
                <w:sz w:val="18"/>
                <w:szCs w:val="18"/>
              </w:rPr>
              <w:t>Resumen y limitaciones del análisis de razones. (C)</w:t>
            </w:r>
          </w:p>
          <w:p w14:paraId="30158425" w14:textId="77777777" w:rsidR="00990B14" w:rsidRDefault="00000000">
            <w:pPr>
              <w:spacing w:after="40"/>
              <w:jc w:val="both"/>
            </w:pPr>
            <w:r>
              <w:rPr>
                <w:sz w:val="18"/>
                <w:szCs w:val="18"/>
              </w:rPr>
              <w:t>Aplicaciones prácticas. (C)</w:t>
            </w:r>
          </w:p>
          <w:p w14:paraId="447B4307" w14:textId="77777777" w:rsidR="00990B14" w:rsidRDefault="00000000">
            <w:pPr>
              <w:spacing w:after="40"/>
              <w:jc w:val="both"/>
            </w:pPr>
            <w:r>
              <w:rPr>
                <w:sz w:val="18"/>
                <w:szCs w:val="18"/>
              </w:rPr>
              <w:t>Efecto de la inflación y de la variación del tipo de cambio en la comparabilidad de los estados financieros entre gestiones. (C)</w:t>
            </w:r>
          </w:p>
          <w:p w14:paraId="47C7373D" w14:textId="77777777" w:rsidR="00990B14" w:rsidRDefault="00000000">
            <w:pPr>
              <w:spacing w:after="40"/>
              <w:jc w:val="both"/>
            </w:pPr>
            <w:r>
              <w:rPr>
                <w:sz w:val="18"/>
                <w:szCs w:val="18"/>
              </w:rPr>
              <w:t>Apalancamiento y análisis del punto de equilibrio. (C)</w:t>
            </w:r>
          </w:p>
          <w:p w14:paraId="409EF4E1" w14:textId="77777777" w:rsidR="00990B14" w:rsidRDefault="00000000">
            <w:pPr>
              <w:spacing w:after="40"/>
              <w:jc w:val="both"/>
            </w:pPr>
            <w:r>
              <w:rPr>
                <w:sz w:val="18"/>
                <w:szCs w:val="18"/>
              </w:rPr>
              <w:t>Apalancamiento operativo. (C)</w:t>
            </w:r>
          </w:p>
          <w:p w14:paraId="2D252DC9" w14:textId="77777777" w:rsidR="00990B14" w:rsidRDefault="00000000">
            <w:pPr>
              <w:spacing w:after="40"/>
              <w:jc w:val="both"/>
            </w:pPr>
            <w:r>
              <w:rPr>
                <w:sz w:val="18"/>
                <w:szCs w:val="18"/>
              </w:rPr>
              <w:t>Apalancamiento financiero. (C)</w:t>
            </w:r>
          </w:p>
          <w:p w14:paraId="065A4DE4" w14:textId="77777777" w:rsidR="00990B14" w:rsidRDefault="00000000">
            <w:pPr>
              <w:spacing w:after="40"/>
              <w:jc w:val="both"/>
            </w:pPr>
            <w:r>
              <w:rPr>
                <w:sz w:val="18"/>
                <w:szCs w:val="18"/>
              </w:rPr>
              <w:t>Apalancamiento total. (C)</w:t>
            </w:r>
          </w:p>
          <w:p w14:paraId="516ADD72" w14:textId="77777777" w:rsidR="00990B14" w:rsidRDefault="00000000">
            <w:pPr>
              <w:spacing w:after="40"/>
              <w:jc w:val="both"/>
            </w:pPr>
            <w:r>
              <w:rPr>
                <w:sz w:val="18"/>
                <w:szCs w:val="18"/>
              </w:rPr>
              <w:t>Grado de apalancamiento y punto de indiferencia entre alternativas de financiamiento con deuda y con capital propio. (C)</w:t>
            </w:r>
          </w:p>
        </w:tc>
        <w:tc>
          <w:tcPr>
            <w:tcW w:w="2752" w:type="dxa"/>
            <w:gridSpan w:val="3"/>
            <w:shd w:val="clear" w:color="auto" w:fill="D9E2F3"/>
          </w:tcPr>
          <w:p w14:paraId="0BBE5268" w14:textId="77777777" w:rsidR="00990B14" w:rsidRDefault="00000000">
            <w:pPr>
              <w:numPr>
                <w:ilvl w:val="0"/>
                <w:numId w:val="139"/>
              </w:numPr>
              <w:spacing w:before="10" w:after="10"/>
              <w:jc w:val="both"/>
            </w:pPr>
            <w:r>
              <w:rPr>
                <w:sz w:val="18"/>
                <w:szCs w:val="18"/>
              </w:rPr>
              <w:t>Nociones de la relación de agencia entre accionistas y administradores.</w:t>
            </w:r>
          </w:p>
          <w:p w14:paraId="1F6C1A27" w14:textId="77777777" w:rsidR="00990B14" w:rsidRDefault="00000000">
            <w:pPr>
              <w:numPr>
                <w:ilvl w:val="0"/>
                <w:numId w:val="139"/>
              </w:numPr>
              <w:spacing w:before="10" w:after="10"/>
              <w:jc w:val="both"/>
            </w:pPr>
            <w:r>
              <w:rPr>
                <w:sz w:val="18"/>
                <w:szCs w:val="18"/>
              </w:rPr>
              <w:t>Estructura organizativa de la tesorería en empresas medianas y grandes.</w:t>
            </w:r>
          </w:p>
          <w:p w14:paraId="113410C1" w14:textId="77777777" w:rsidR="00990B14" w:rsidRDefault="00000000">
            <w:pPr>
              <w:numPr>
                <w:ilvl w:val="0"/>
                <w:numId w:val="139"/>
              </w:numPr>
              <w:spacing w:before="10" w:after="10"/>
              <w:jc w:val="both"/>
            </w:pPr>
            <w:r>
              <w:rPr>
                <w:sz w:val="18"/>
                <w:szCs w:val="18"/>
              </w:rPr>
              <w:t>Fuentes públicas de estados financieros de empresas bolivianas emisoras de valores.</w:t>
            </w:r>
          </w:p>
          <w:p w14:paraId="157373A3" w14:textId="77777777" w:rsidR="00990B14" w:rsidRDefault="00000000">
            <w:pPr>
              <w:numPr>
                <w:ilvl w:val="0"/>
                <w:numId w:val="139"/>
              </w:numPr>
              <w:spacing w:before="10" w:after="10"/>
              <w:jc w:val="both"/>
            </w:pPr>
            <w:r>
              <w:rPr>
                <w:sz w:val="18"/>
                <w:szCs w:val="18"/>
              </w:rPr>
              <w:t>Nociones de la relación entre accionistas y acreedores en las decisiones de endeudamiento.</w:t>
            </w:r>
          </w:p>
        </w:tc>
      </w:tr>
      <w:tr w:rsidR="00990B14" w14:paraId="302A4C80" w14:textId="77777777">
        <w:trPr>
          <w:cantSplit/>
          <w:jc w:val="center"/>
        </w:trPr>
        <w:tc>
          <w:tcPr>
            <w:tcW w:w="9405" w:type="dxa"/>
            <w:gridSpan w:val="13"/>
            <w:shd w:val="clear" w:color="auto" w:fill="D9E2F3"/>
            <w:vAlign w:val="center"/>
          </w:tcPr>
          <w:p w14:paraId="5E5CFB87" w14:textId="77777777" w:rsidR="00990B14" w:rsidRDefault="00000000">
            <w:pPr>
              <w:spacing w:before="20" w:after="20"/>
              <w:jc w:val="both"/>
            </w:pPr>
            <w:r>
              <w:rPr>
                <w:b/>
                <w:bCs/>
                <w:i/>
                <w:iCs/>
                <w:sz w:val="18"/>
                <w:szCs w:val="18"/>
              </w:rPr>
              <w:t xml:space="preserve">Elemento de competencia 2: </w:t>
            </w:r>
            <w:r>
              <w:rPr>
                <w:sz w:val="18"/>
                <w:szCs w:val="18"/>
              </w:rPr>
              <w:t>Elabora la planificación y el presupuesto financiero de la empresa, proyectando su demanda, el presupuesto y la generación del presupuesto maestro conforme a los objetivos y las estrategias corporativas.</w:t>
            </w:r>
          </w:p>
        </w:tc>
      </w:tr>
      <w:tr w:rsidR="00990B14" w14:paraId="0BA667B8" w14:textId="77777777">
        <w:trPr>
          <w:cantSplit/>
          <w:jc w:val="center"/>
        </w:trPr>
        <w:tc>
          <w:tcPr>
            <w:tcW w:w="3133" w:type="dxa"/>
            <w:gridSpan w:val="4"/>
            <w:shd w:val="clear" w:color="auto" w:fill="4472C4"/>
            <w:vAlign w:val="center"/>
          </w:tcPr>
          <w:p w14:paraId="61C597E6"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746144BE"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52972655" w14:textId="77777777" w:rsidR="00990B14" w:rsidRDefault="00000000">
            <w:pPr>
              <w:keepNext/>
              <w:spacing w:before="20" w:after="20"/>
              <w:jc w:val="center"/>
            </w:pPr>
            <w:r>
              <w:rPr>
                <w:b/>
                <w:bCs/>
                <w:i/>
                <w:iCs/>
                <w:color w:val="FFFFFF"/>
                <w:sz w:val="18"/>
                <w:szCs w:val="18"/>
              </w:rPr>
              <w:t>Evidencias de producto</w:t>
            </w:r>
          </w:p>
        </w:tc>
      </w:tr>
      <w:tr w:rsidR="00990B14" w14:paraId="51D437AD" w14:textId="77777777">
        <w:trPr>
          <w:cantSplit/>
          <w:jc w:val="center"/>
        </w:trPr>
        <w:tc>
          <w:tcPr>
            <w:tcW w:w="3133" w:type="dxa"/>
            <w:gridSpan w:val="4"/>
            <w:vMerge w:val="restart"/>
            <w:shd w:val="clear" w:color="auto" w:fill="D9E2F3"/>
            <w:vAlign w:val="center"/>
          </w:tcPr>
          <w:p w14:paraId="09E5B359" w14:textId="77777777" w:rsidR="00990B14" w:rsidRDefault="00000000">
            <w:pPr>
              <w:spacing w:before="20" w:after="20"/>
              <w:jc w:val="both"/>
            </w:pPr>
            <w:r>
              <w:rPr>
                <w:sz w:val="18"/>
                <w:szCs w:val="18"/>
              </w:rPr>
              <w:t>1. Realiza el análisis de la situación financiera de la empresa, estimando las ventas, aplicando series de tiempo, regresiones y tendencias con supuestos razonables.</w:t>
            </w:r>
          </w:p>
        </w:tc>
        <w:tc>
          <w:tcPr>
            <w:tcW w:w="3135" w:type="dxa"/>
            <w:gridSpan w:val="5"/>
            <w:shd w:val="clear" w:color="auto" w:fill="D9E2F3"/>
            <w:vAlign w:val="center"/>
          </w:tcPr>
          <w:p w14:paraId="4C1E04F8" w14:textId="77777777" w:rsidR="00990B14" w:rsidRDefault="00000000">
            <w:pPr>
              <w:spacing w:before="20" w:after="20"/>
              <w:jc w:val="both"/>
            </w:pPr>
            <w:r>
              <w:rPr>
                <w:sz w:val="18"/>
                <w:szCs w:val="18"/>
              </w:rPr>
              <w:t>1.1 Elabora la situación financiera de la empresa con sus objetivos y estrategias corporativas y funcionales.</w:t>
            </w:r>
          </w:p>
        </w:tc>
        <w:tc>
          <w:tcPr>
            <w:tcW w:w="3137" w:type="dxa"/>
            <w:gridSpan w:val="4"/>
            <w:shd w:val="clear" w:color="auto" w:fill="D9E2F3"/>
            <w:vAlign w:val="center"/>
          </w:tcPr>
          <w:p w14:paraId="36B17B4E" w14:textId="77777777" w:rsidR="00990B14" w:rsidRDefault="00000000">
            <w:pPr>
              <w:spacing w:before="20" w:after="20"/>
              <w:jc w:val="both"/>
            </w:pPr>
            <w:r>
              <w:rPr>
                <w:b/>
                <w:bCs/>
                <w:sz w:val="18"/>
                <w:szCs w:val="18"/>
              </w:rPr>
              <w:t xml:space="preserve">Producto 5: </w:t>
            </w:r>
            <w:r>
              <w:rPr>
                <w:sz w:val="18"/>
                <w:szCs w:val="18"/>
              </w:rPr>
              <w:t>Informe de análisis situacional financiero conforme a los objetivos y estrategias de la empresa.</w:t>
            </w:r>
          </w:p>
        </w:tc>
      </w:tr>
      <w:tr w:rsidR="00990B14" w14:paraId="4127440E" w14:textId="77777777">
        <w:trPr>
          <w:cantSplit/>
          <w:jc w:val="center"/>
        </w:trPr>
        <w:tc>
          <w:tcPr>
            <w:tcW w:w="3133" w:type="dxa"/>
            <w:gridSpan w:val="4"/>
            <w:vMerge/>
            <w:shd w:val="clear" w:color="auto" w:fill="D9E2F3"/>
            <w:vAlign w:val="center"/>
          </w:tcPr>
          <w:p w14:paraId="5568C79B" w14:textId="77777777" w:rsidR="00990B14" w:rsidRDefault="00990B14">
            <w:pPr>
              <w:spacing w:before="20" w:after="20"/>
            </w:pPr>
          </w:p>
        </w:tc>
        <w:tc>
          <w:tcPr>
            <w:tcW w:w="3135" w:type="dxa"/>
            <w:gridSpan w:val="5"/>
            <w:shd w:val="clear" w:color="auto" w:fill="D9E2F3"/>
            <w:vAlign w:val="center"/>
          </w:tcPr>
          <w:p w14:paraId="2FBE6465" w14:textId="77777777" w:rsidR="00990B14" w:rsidRDefault="00000000">
            <w:pPr>
              <w:spacing w:before="20" w:after="20"/>
              <w:jc w:val="both"/>
            </w:pPr>
            <w:r>
              <w:rPr>
                <w:sz w:val="18"/>
                <w:szCs w:val="18"/>
              </w:rPr>
              <w:t>1.2 Elabora la proyección de ventas con distintos métodos y procedimientos, con medios tecnológicos.</w:t>
            </w:r>
          </w:p>
        </w:tc>
        <w:tc>
          <w:tcPr>
            <w:tcW w:w="3137" w:type="dxa"/>
            <w:gridSpan w:val="4"/>
            <w:shd w:val="clear" w:color="auto" w:fill="D9E2F3"/>
            <w:vAlign w:val="center"/>
          </w:tcPr>
          <w:p w14:paraId="361E3D6D" w14:textId="77777777" w:rsidR="00990B14" w:rsidRDefault="00000000">
            <w:pPr>
              <w:spacing w:before="20" w:after="20"/>
              <w:jc w:val="both"/>
            </w:pPr>
            <w:r>
              <w:rPr>
                <w:b/>
                <w:bCs/>
                <w:sz w:val="18"/>
                <w:szCs w:val="18"/>
              </w:rPr>
              <w:t xml:space="preserve">Producto 6: </w:t>
            </w:r>
            <w:r>
              <w:rPr>
                <w:sz w:val="18"/>
                <w:szCs w:val="18"/>
              </w:rPr>
              <w:t>Pronóstico de la demanda y presupuesto de ventas por series de tiempo, regresión y tendencias.</w:t>
            </w:r>
          </w:p>
        </w:tc>
      </w:tr>
      <w:tr w:rsidR="00990B14" w14:paraId="6123BDC4" w14:textId="77777777">
        <w:trPr>
          <w:cantSplit/>
          <w:jc w:val="center"/>
        </w:trPr>
        <w:tc>
          <w:tcPr>
            <w:tcW w:w="3133" w:type="dxa"/>
            <w:gridSpan w:val="4"/>
            <w:vMerge w:val="restart"/>
            <w:shd w:val="clear" w:color="auto" w:fill="D9E2F3"/>
            <w:vAlign w:val="center"/>
          </w:tcPr>
          <w:p w14:paraId="1A6AB58A" w14:textId="77777777" w:rsidR="00990B14" w:rsidRDefault="00000000">
            <w:pPr>
              <w:spacing w:before="20" w:after="20"/>
              <w:jc w:val="both"/>
            </w:pPr>
            <w:r>
              <w:rPr>
                <w:sz w:val="18"/>
                <w:szCs w:val="18"/>
              </w:rPr>
              <w:t>2. Elabora el presupuesto maestro y el flujo de caja proyectado, evaluando escenarios conforme a objetivos y comportamiento del mercado.</w:t>
            </w:r>
          </w:p>
        </w:tc>
        <w:tc>
          <w:tcPr>
            <w:tcW w:w="3135" w:type="dxa"/>
            <w:gridSpan w:val="5"/>
            <w:shd w:val="clear" w:color="auto" w:fill="D9E2F3"/>
            <w:vAlign w:val="center"/>
          </w:tcPr>
          <w:p w14:paraId="0AC32A8E" w14:textId="77777777" w:rsidR="00990B14" w:rsidRDefault="00000000">
            <w:pPr>
              <w:spacing w:before="20" w:after="20"/>
              <w:jc w:val="both"/>
            </w:pPr>
            <w:r>
              <w:rPr>
                <w:sz w:val="18"/>
                <w:szCs w:val="18"/>
              </w:rPr>
              <w:t>2.1 Formula en equipo el presupuesto maestro de la empresa a partir de las proyecciones obtenidas.</w:t>
            </w:r>
          </w:p>
        </w:tc>
        <w:tc>
          <w:tcPr>
            <w:tcW w:w="3137" w:type="dxa"/>
            <w:gridSpan w:val="4"/>
            <w:shd w:val="clear" w:color="auto" w:fill="D9E2F3"/>
            <w:vAlign w:val="center"/>
          </w:tcPr>
          <w:p w14:paraId="7C443EA2" w14:textId="77777777" w:rsidR="00990B14" w:rsidRDefault="00000000">
            <w:pPr>
              <w:spacing w:before="20" w:after="20"/>
              <w:jc w:val="both"/>
            </w:pPr>
            <w:r>
              <w:rPr>
                <w:b/>
                <w:bCs/>
                <w:sz w:val="18"/>
                <w:szCs w:val="18"/>
              </w:rPr>
              <w:t xml:space="preserve">Producto 7: </w:t>
            </w:r>
            <w:r>
              <w:rPr>
                <w:sz w:val="18"/>
                <w:szCs w:val="18"/>
              </w:rPr>
              <w:t>Presupuesto maestro de la empresa con sus presupuestos operativo y financiero.</w:t>
            </w:r>
          </w:p>
        </w:tc>
      </w:tr>
      <w:tr w:rsidR="00990B14" w14:paraId="09F00A22" w14:textId="77777777">
        <w:trPr>
          <w:cantSplit/>
          <w:jc w:val="center"/>
        </w:trPr>
        <w:tc>
          <w:tcPr>
            <w:tcW w:w="3133" w:type="dxa"/>
            <w:gridSpan w:val="4"/>
            <w:vMerge/>
            <w:shd w:val="clear" w:color="auto" w:fill="D9E2F3"/>
            <w:vAlign w:val="center"/>
          </w:tcPr>
          <w:p w14:paraId="3333FE37" w14:textId="77777777" w:rsidR="00990B14" w:rsidRDefault="00990B14">
            <w:pPr>
              <w:spacing w:before="20" w:after="20"/>
            </w:pPr>
          </w:p>
        </w:tc>
        <w:tc>
          <w:tcPr>
            <w:tcW w:w="3135" w:type="dxa"/>
            <w:gridSpan w:val="5"/>
            <w:shd w:val="clear" w:color="auto" w:fill="D9E2F3"/>
            <w:vAlign w:val="center"/>
          </w:tcPr>
          <w:p w14:paraId="6CAC610A" w14:textId="77777777" w:rsidR="00990B14" w:rsidRDefault="00000000">
            <w:pPr>
              <w:spacing w:before="20" w:after="20"/>
              <w:jc w:val="both"/>
            </w:pPr>
            <w:r>
              <w:rPr>
                <w:sz w:val="18"/>
                <w:szCs w:val="18"/>
              </w:rPr>
              <w:t>2.2 Construye en aula el análisis de escenarios base, optimista y pesimista del plan financiero de la empresa.</w:t>
            </w:r>
          </w:p>
        </w:tc>
        <w:tc>
          <w:tcPr>
            <w:tcW w:w="3137" w:type="dxa"/>
            <w:gridSpan w:val="4"/>
            <w:shd w:val="clear" w:color="auto" w:fill="D9E2F3"/>
            <w:vAlign w:val="center"/>
          </w:tcPr>
          <w:p w14:paraId="2C13AD67" w14:textId="77777777" w:rsidR="00990B14" w:rsidRDefault="00000000">
            <w:pPr>
              <w:spacing w:before="20" w:after="20"/>
              <w:jc w:val="both"/>
            </w:pPr>
            <w:r>
              <w:rPr>
                <w:b/>
                <w:bCs/>
                <w:sz w:val="18"/>
                <w:szCs w:val="18"/>
              </w:rPr>
              <w:t xml:space="preserve">Producto 8: </w:t>
            </w:r>
            <w:r>
              <w:rPr>
                <w:sz w:val="18"/>
                <w:szCs w:val="18"/>
              </w:rPr>
              <w:t>Cuadro de escenarios del plan financiero con sus variables de mayor impacto.</w:t>
            </w:r>
          </w:p>
        </w:tc>
      </w:tr>
      <w:tr w:rsidR="00990B14" w14:paraId="1156FBE7" w14:textId="77777777">
        <w:trPr>
          <w:cantSplit/>
          <w:jc w:val="center"/>
        </w:trPr>
        <w:tc>
          <w:tcPr>
            <w:tcW w:w="9405" w:type="dxa"/>
            <w:gridSpan w:val="13"/>
            <w:shd w:val="clear" w:color="auto" w:fill="4472C4"/>
            <w:vAlign w:val="center"/>
          </w:tcPr>
          <w:p w14:paraId="58C1794A" w14:textId="77777777" w:rsidR="00990B14" w:rsidRDefault="00000000">
            <w:pPr>
              <w:keepNext/>
              <w:spacing w:before="20" w:after="20"/>
              <w:jc w:val="center"/>
            </w:pPr>
            <w:r>
              <w:rPr>
                <w:b/>
                <w:bCs/>
                <w:i/>
                <w:iCs/>
                <w:color w:val="FFFFFF"/>
                <w:sz w:val="18"/>
                <w:szCs w:val="18"/>
              </w:rPr>
              <w:t>Evidencias de conocimiento</w:t>
            </w:r>
          </w:p>
        </w:tc>
      </w:tr>
      <w:tr w:rsidR="00990B14" w14:paraId="0E7DD995" w14:textId="77777777">
        <w:trPr>
          <w:cantSplit/>
          <w:jc w:val="center"/>
        </w:trPr>
        <w:tc>
          <w:tcPr>
            <w:tcW w:w="2349" w:type="dxa"/>
            <w:gridSpan w:val="2"/>
            <w:shd w:val="clear" w:color="auto" w:fill="4472C4"/>
            <w:vAlign w:val="center"/>
          </w:tcPr>
          <w:p w14:paraId="510A9599"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1E19EFC4" w14:textId="77777777" w:rsidR="00990B14" w:rsidRDefault="00000000">
            <w:pPr>
              <w:keepNext/>
              <w:spacing w:before="20" w:after="20"/>
              <w:jc w:val="both"/>
            </w:pPr>
            <w:r>
              <w:rPr>
                <w:b/>
                <w:bCs/>
                <w:i/>
                <w:iCs/>
                <w:color w:val="FFFFFF"/>
                <w:sz w:val="18"/>
                <w:szCs w:val="18"/>
              </w:rPr>
              <w:t>Contenidos</w:t>
            </w:r>
          </w:p>
          <w:p w14:paraId="640FFC3B"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544C4EF4" w14:textId="77777777" w:rsidR="00990B14" w:rsidRDefault="00000000">
            <w:pPr>
              <w:keepNext/>
              <w:spacing w:before="20" w:after="20"/>
              <w:jc w:val="center"/>
            </w:pPr>
            <w:r>
              <w:rPr>
                <w:b/>
                <w:bCs/>
                <w:i/>
                <w:iCs/>
                <w:color w:val="FFFFFF"/>
                <w:sz w:val="18"/>
                <w:szCs w:val="18"/>
              </w:rPr>
              <w:t>Conocimientos circunstanciales</w:t>
            </w:r>
          </w:p>
        </w:tc>
      </w:tr>
      <w:tr w:rsidR="00990B14" w14:paraId="45A7D84B" w14:textId="77777777">
        <w:trPr>
          <w:jc w:val="center"/>
        </w:trPr>
        <w:tc>
          <w:tcPr>
            <w:tcW w:w="2349" w:type="dxa"/>
            <w:gridSpan w:val="2"/>
            <w:shd w:val="clear" w:color="auto" w:fill="D9E2F3"/>
          </w:tcPr>
          <w:p w14:paraId="0D10F509" w14:textId="77777777" w:rsidR="00990B14" w:rsidRDefault="00000000">
            <w:pPr>
              <w:spacing w:before="20" w:after="40"/>
              <w:jc w:val="both"/>
            </w:pPr>
            <w:r>
              <w:rPr>
                <w:sz w:val="18"/>
                <w:szCs w:val="18"/>
              </w:rPr>
              <w:t>Tema 4: Planificación financiera y pronóstico de la demanda</w:t>
            </w:r>
          </w:p>
          <w:p w14:paraId="5E950DD2" w14:textId="77777777" w:rsidR="00990B14" w:rsidRDefault="00000000">
            <w:pPr>
              <w:spacing w:before="20" w:after="40"/>
              <w:jc w:val="both"/>
            </w:pPr>
            <w:r>
              <w:rPr>
                <w:sz w:val="18"/>
                <w:szCs w:val="18"/>
              </w:rPr>
              <w:t>Tema 5: Plan financiero empresarial y presupuesto maestro</w:t>
            </w:r>
          </w:p>
        </w:tc>
        <w:tc>
          <w:tcPr>
            <w:tcW w:w="4304" w:type="dxa"/>
            <w:gridSpan w:val="8"/>
            <w:shd w:val="clear" w:color="auto" w:fill="D9E2F3"/>
          </w:tcPr>
          <w:p w14:paraId="174009EF" w14:textId="77777777" w:rsidR="00990B14" w:rsidRDefault="00000000">
            <w:pPr>
              <w:spacing w:after="40"/>
              <w:jc w:val="both"/>
            </w:pPr>
            <w:r>
              <w:rPr>
                <w:sz w:val="18"/>
                <w:szCs w:val="18"/>
              </w:rPr>
              <w:t>1. La planificación financiera de corto y de largo plazo. (C)</w:t>
            </w:r>
          </w:p>
          <w:p w14:paraId="0EC9C4BC" w14:textId="77777777" w:rsidR="00990B14" w:rsidRDefault="00000000">
            <w:pPr>
              <w:spacing w:after="40"/>
              <w:jc w:val="both"/>
            </w:pPr>
            <w:r>
              <w:rPr>
                <w:sz w:val="18"/>
                <w:szCs w:val="18"/>
              </w:rPr>
              <w:t>2. Análisis situacional. (P)</w:t>
            </w:r>
          </w:p>
          <w:p w14:paraId="6D8D0888" w14:textId="77777777" w:rsidR="00990B14" w:rsidRDefault="00000000">
            <w:pPr>
              <w:spacing w:after="40"/>
              <w:jc w:val="both"/>
            </w:pPr>
            <w:r>
              <w:rPr>
                <w:sz w:val="18"/>
                <w:szCs w:val="18"/>
              </w:rPr>
              <w:t>3. Objetivos y estrategias corporativas y funcionales. (C)</w:t>
            </w:r>
          </w:p>
          <w:p w14:paraId="568D3800" w14:textId="77777777" w:rsidR="00990B14" w:rsidRDefault="00000000">
            <w:pPr>
              <w:spacing w:after="40"/>
              <w:jc w:val="both"/>
            </w:pPr>
            <w:r>
              <w:rPr>
                <w:sz w:val="18"/>
                <w:szCs w:val="18"/>
              </w:rPr>
              <w:t>4. Series de tiempo, regresiones y tendencias. (C)</w:t>
            </w:r>
          </w:p>
          <w:p w14:paraId="02AA35BD" w14:textId="77777777" w:rsidR="00990B14" w:rsidRDefault="00000000">
            <w:pPr>
              <w:spacing w:after="40"/>
              <w:jc w:val="both"/>
            </w:pPr>
            <w:r>
              <w:rPr>
                <w:sz w:val="18"/>
                <w:szCs w:val="18"/>
              </w:rPr>
              <w:t>5. Proyecciones con base en los ingresos. (C)</w:t>
            </w:r>
          </w:p>
          <w:p w14:paraId="56DC500D" w14:textId="77777777" w:rsidR="00990B14" w:rsidRDefault="00000000">
            <w:pPr>
              <w:spacing w:after="40"/>
              <w:jc w:val="both"/>
            </w:pPr>
            <w:r>
              <w:rPr>
                <w:sz w:val="18"/>
                <w:szCs w:val="18"/>
              </w:rPr>
              <w:t>6. Análisis de escenarios del plan financiero: escenario base, optimista y pesimista, con las variables de mayor incidencia. (P)</w:t>
            </w:r>
          </w:p>
          <w:p w14:paraId="5CF7EBFF" w14:textId="77777777" w:rsidR="00990B14" w:rsidRDefault="00000000">
            <w:pPr>
              <w:spacing w:after="40"/>
              <w:jc w:val="both"/>
            </w:pPr>
            <w:r>
              <w:rPr>
                <w:sz w:val="18"/>
                <w:szCs w:val="18"/>
              </w:rPr>
              <w:t>7. El presupuesto o plan financiero y su estructura. (C)</w:t>
            </w:r>
          </w:p>
          <w:p w14:paraId="2E258E59" w14:textId="77777777" w:rsidR="00990B14" w:rsidRDefault="00000000">
            <w:pPr>
              <w:spacing w:after="40"/>
              <w:jc w:val="both"/>
            </w:pPr>
            <w:r>
              <w:rPr>
                <w:sz w:val="18"/>
                <w:szCs w:val="18"/>
              </w:rPr>
              <w:t>8. Un método abreviado para formular el presupuesto. (C)</w:t>
            </w:r>
          </w:p>
          <w:p w14:paraId="71D2B7B5" w14:textId="77777777" w:rsidR="00990B14" w:rsidRDefault="00000000">
            <w:pPr>
              <w:spacing w:after="40"/>
              <w:jc w:val="both"/>
            </w:pPr>
            <w:r>
              <w:rPr>
                <w:sz w:val="18"/>
                <w:szCs w:val="18"/>
              </w:rPr>
              <w:t>9. Presupuesto maestro. (C)</w:t>
            </w:r>
          </w:p>
          <w:p w14:paraId="3BDE909E" w14:textId="77777777" w:rsidR="00990B14" w:rsidRDefault="00000000">
            <w:pPr>
              <w:spacing w:after="40"/>
              <w:jc w:val="both"/>
            </w:pPr>
            <w:r>
              <w:rPr>
                <w:sz w:val="18"/>
                <w:szCs w:val="18"/>
              </w:rPr>
              <w:t>10. Aplicaciones prácticas. (C)</w:t>
            </w:r>
          </w:p>
          <w:p w14:paraId="645ECC99" w14:textId="77777777" w:rsidR="00990B14" w:rsidRDefault="00000000">
            <w:pPr>
              <w:spacing w:after="40"/>
              <w:jc w:val="both"/>
            </w:pPr>
            <w:r>
              <w:rPr>
                <w:sz w:val="18"/>
                <w:szCs w:val="18"/>
              </w:rPr>
              <w:t>11. Elaboración del presupuesto financiero y del flujo de caja proyectado en hoja de cálculo, con enlaces entre los presupuestos operativo y financiero. (P, T)</w:t>
            </w:r>
          </w:p>
        </w:tc>
        <w:tc>
          <w:tcPr>
            <w:tcW w:w="2752" w:type="dxa"/>
            <w:gridSpan w:val="3"/>
            <w:shd w:val="clear" w:color="auto" w:fill="D9E2F3"/>
          </w:tcPr>
          <w:p w14:paraId="23DBE333" w14:textId="77777777" w:rsidR="00990B14" w:rsidRDefault="00000000">
            <w:pPr>
              <w:numPr>
                <w:ilvl w:val="0"/>
                <w:numId w:val="139"/>
              </w:numPr>
              <w:spacing w:before="10" w:after="10"/>
              <w:jc w:val="both"/>
            </w:pPr>
            <w:r>
              <w:rPr>
                <w:sz w:val="18"/>
                <w:szCs w:val="18"/>
              </w:rPr>
              <w:t>Nociones de construcción de escenarios macroeconómicos en la planificación empresarial.</w:t>
            </w:r>
          </w:p>
        </w:tc>
      </w:tr>
      <w:tr w:rsidR="00990B14" w14:paraId="4B441C1A" w14:textId="77777777">
        <w:trPr>
          <w:cantSplit/>
          <w:jc w:val="center"/>
        </w:trPr>
        <w:tc>
          <w:tcPr>
            <w:tcW w:w="9405" w:type="dxa"/>
            <w:gridSpan w:val="13"/>
            <w:shd w:val="clear" w:color="auto" w:fill="D9E2F3"/>
            <w:vAlign w:val="center"/>
          </w:tcPr>
          <w:p w14:paraId="53219AFF" w14:textId="77777777" w:rsidR="00990B14" w:rsidRDefault="00000000">
            <w:pPr>
              <w:spacing w:before="20" w:after="20"/>
              <w:jc w:val="both"/>
            </w:pPr>
            <w:r>
              <w:rPr>
                <w:b/>
                <w:bCs/>
                <w:i/>
                <w:iCs/>
                <w:sz w:val="18"/>
                <w:szCs w:val="18"/>
              </w:rPr>
              <w:t xml:space="preserve">Elemento de competencia 3: </w:t>
            </w:r>
            <w:r>
              <w:rPr>
                <w:sz w:val="18"/>
                <w:szCs w:val="18"/>
              </w:rPr>
              <w:t>Administra el capital de trabajo neto de la empresa, gestionando el efectivo, las cuentas por cobrar, los inventarios y los pasivos circulantes, y seleccionando las fuentes de financiación a corto plazo conforme a estrategias que equilibran la solvencia y la rentabilidad.</w:t>
            </w:r>
          </w:p>
        </w:tc>
      </w:tr>
      <w:tr w:rsidR="00990B14" w14:paraId="46F9227F" w14:textId="77777777">
        <w:trPr>
          <w:cantSplit/>
          <w:jc w:val="center"/>
        </w:trPr>
        <w:tc>
          <w:tcPr>
            <w:tcW w:w="3133" w:type="dxa"/>
            <w:gridSpan w:val="4"/>
            <w:shd w:val="clear" w:color="auto" w:fill="4472C4"/>
            <w:vAlign w:val="center"/>
          </w:tcPr>
          <w:p w14:paraId="0EF6E7C4"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31260745"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1AF1BD55" w14:textId="77777777" w:rsidR="00990B14" w:rsidRDefault="00000000">
            <w:pPr>
              <w:keepNext/>
              <w:spacing w:before="20" w:after="20"/>
              <w:jc w:val="center"/>
            </w:pPr>
            <w:r>
              <w:rPr>
                <w:b/>
                <w:bCs/>
                <w:i/>
                <w:iCs/>
                <w:color w:val="FFFFFF"/>
                <w:sz w:val="18"/>
                <w:szCs w:val="18"/>
              </w:rPr>
              <w:t>Evidencias de producto</w:t>
            </w:r>
          </w:p>
        </w:tc>
      </w:tr>
      <w:tr w:rsidR="00990B14" w14:paraId="546C4202" w14:textId="77777777">
        <w:trPr>
          <w:cantSplit/>
          <w:jc w:val="center"/>
        </w:trPr>
        <w:tc>
          <w:tcPr>
            <w:tcW w:w="3133" w:type="dxa"/>
            <w:gridSpan w:val="4"/>
            <w:vMerge w:val="restart"/>
            <w:shd w:val="clear" w:color="auto" w:fill="D9E2F3"/>
            <w:vAlign w:val="center"/>
          </w:tcPr>
          <w:p w14:paraId="5EAD39F3" w14:textId="77777777" w:rsidR="00990B14" w:rsidRDefault="00000000">
            <w:pPr>
              <w:spacing w:before="20" w:after="20"/>
              <w:jc w:val="both"/>
            </w:pPr>
            <w:r>
              <w:rPr>
                <w:sz w:val="18"/>
                <w:szCs w:val="18"/>
              </w:rPr>
              <w:t>1. Administra el capital de trabajo neto, el efectivo y las cuentas por cobrar de la empresa, calculando su ciclo de conversión de efectivo y evaluando su política de crédito.</w:t>
            </w:r>
          </w:p>
        </w:tc>
        <w:tc>
          <w:tcPr>
            <w:tcW w:w="3135" w:type="dxa"/>
            <w:gridSpan w:val="5"/>
            <w:shd w:val="clear" w:color="auto" w:fill="D9E2F3"/>
            <w:vAlign w:val="center"/>
          </w:tcPr>
          <w:p w14:paraId="36951AFC" w14:textId="77777777" w:rsidR="00990B14" w:rsidRDefault="00000000">
            <w:pPr>
              <w:spacing w:before="20" w:after="20"/>
              <w:jc w:val="both"/>
            </w:pPr>
            <w:r>
              <w:rPr>
                <w:sz w:val="18"/>
                <w:szCs w:val="18"/>
              </w:rPr>
              <w:t>1.1 Calcula en el laboratorio de cómputo el ciclo de conversión de efectivo de la empresa y su requerimiento de financiamiento.</w:t>
            </w:r>
          </w:p>
        </w:tc>
        <w:tc>
          <w:tcPr>
            <w:tcW w:w="3137" w:type="dxa"/>
            <w:gridSpan w:val="4"/>
            <w:shd w:val="clear" w:color="auto" w:fill="D9E2F3"/>
            <w:vAlign w:val="center"/>
          </w:tcPr>
          <w:p w14:paraId="11390B1E" w14:textId="77777777" w:rsidR="00990B14" w:rsidRDefault="00000000">
            <w:pPr>
              <w:spacing w:before="20" w:after="20"/>
              <w:jc w:val="both"/>
            </w:pPr>
            <w:r>
              <w:rPr>
                <w:b/>
                <w:bCs/>
                <w:sz w:val="18"/>
                <w:szCs w:val="18"/>
              </w:rPr>
              <w:t xml:space="preserve">Producto 9: </w:t>
            </w:r>
            <w:r>
              <w:rPr>
                <w:sz w:val="18"/>
                <w:szCs w:val="18"/>
              </w:rPr>
              <w:t>Cálculo del ciclo de conversión de efectivo con su requerimiento de financiamiento.</w:t>
            </w:r>
          </w:p>
        </w:tc>
      </w:tr>
      <w:tr w:rsidR="00990B14" w14:paraId="300101FE" w14:textId="77777777">
        <w:trPr>
          <w:cantSplit/>
          <w:jc w:val="center"/>
        </w:trPr>
        <w:tc>
          <w:tcPr>
            <w:tcW w:w="3133" w:type="dxa"/>
            <w:gridSpan w:val="4"/>
            <w:vMerge/>
            <w:shd w:val="clear" w:color="auto" w:fill="D9E2F3"/>
            <w:vAlign w:val="center"/>
          </w:tcPr>
          <w:p w14:paraId="582D24D6" w14:textId="77777777" w:rsidR="00990B14" w:rsidRDefault="00990B14">
            <w:pPr>
              <w:spacing w:before="20" w:after="20"/>
            </w:pPr>
          </w:p>
        </w:tc>
        <w:tc>
          <w:tcPr>
            <w:tcW w:w="3135" w:type="dxa"/>
            <w:gridSpan w:val="5"/>
            <w:shd w:val="clear" w:color="auto" w:fill="D9E2F3"/>
            <w:vAlign w:val="center"/>
          </w:tcPr>
          <w:p w14:paraId="56EB04FA" w14:textId="77777777" w:rsidR="00990B14" w:rsidRDefault="00000000">
            <w:pPr>
              <w:spacing w:before="20" w:after="20"/>
              <w:jc w:val="both"/>
            </w:pPr>
            <w:r>
              <w:rPr>
                <w:sz w:val="18"/>
                <w:szCs w:val="18"/>
              </w:rPr>
              <w:t>1.2 Analiza en equipo una política de crédito con el análisis marginal y sustenta su recomendación.</w:t>
            </w:r>
          </w:p>
        </w:tc>
        <w:tc>
          <w:tcPr>
            <w:tcW w:w="3137" w:type="dxa"/>
            <w:gridSpan w:val="4"/>
            <w:shd w:val="clear" w:color="auto" w:fill="D9E2F3"/>
            <w:vAlign w:val="center"/>
          </w:tcPr>
          <w:p w14:paraId="112ABF7E" w14:textId="77777777" w:rsidR="00990B14" w:rsidRDefault="00000000">
            <w:pPr>
              <w:spacing w:before="20" w:after="20"/>
              <w:jc w:val="both"/>
            </w:pPr>
            <w:r>
              <w:rPr>
                <w:b/>
                <w:bCs/>
                <w:sz w:val="18"/>
                <w:szCs w:val="18"/>
              </w:rPr>
              <w:t xml:space="preserve">Producto 10: </w:t>
            </w:r>
            <w:r>
              <w:rPr>
                <w:sz w:val="18"/>
                <w:szCs w:val="18"/>
              </w:rPr>
              <w:t>Política de crédito con sus términos, condiciones y mecanismos de supervisión.</w:t>
            </w:r>
          </w:p>
        </w:tc>
      </w:tr>
      <w:tr w:rsidR="00990B14" w14:paraId="3AAE18EB" w14:textId="77777777">
        <w:trPr>
          <w:cantSplit/>
          <w:jc w:val="center"/>
        </w:trPr>
        <w:tc>
          <w:tcPr>
            <w:tcW w:w="3133" w:type="dxa"/>
            <w:gridSpan w:val="4"/>
            <w:vMerge w:val="restart"/>
            <w:shd w:val="clear" w:color="auto" w:fill="D9E2F3"/>
            <w:vAlign w:val="center"/>
          </w:tcPr>
          <w:p w14:paraId="31B6301C" w14:textId="77777777" w:rsidR="00990B14" w:rsidRDefault="00000000">
            <w:pPr>
              <w:spacing w:before="20" w:after="20"/>
              <w:jc w:val="both"/>
            </w:pPr>
            <w:r>
              <w:rPr>
                <w:sz w:val="18"/>
                <w:szCs w:val="18"/>
              </w:rPr>
              <w:t>2. Administra los inventarios y los pasivos circulantes de la empresa, seleccionando la fuente de financiación a corto plazo de menor costo efectivo.</w:t>
            </w:r>
          </w:p>
        </w:tc>
        <w:tc>
          <w:tcPr>
            <w:tcW w:w="3135" w:type="dxa"/>
            <w:gridSpan w:val="5"/>
            <w:shd w:val="clear" w:color="auto" w:fill="D9E2F3"/>
            <w:vAlign w:val="center"/>
          </w:tcPr>
          <w:p w14:paraId="35607CE9" w14:textId="77777777" w:rsidR="00990B14" w:rsidRDefault="00000000">
            <w:pPr>
              <w:spacing w:before="20" w:after="20"/>
              <w:jc w:val="both"/>
            </w:pPr>
            <w:r>
              <w:rPr>
                <w:sz w:val="18"/>
                <w:szCs w:val="18"/>
              </w:rPr>
              <w:t>2.1 Determina en aula la cantidad económica del pedido y el nivel de inventarios de un caso práctico.</w:t>
            </w:r>
          </w:p>
        </w:tc>
        <w:tc>
          <w:tcPr>
            <w:tcW w:w="3137" w:type="dxa"/>
            <w:gridSpan w:val="4"/>
            <w:shd w:val="clear" w:color="auto" w:fill="D9E2F3"/>
            <w:vAlign w:val="center"/>
          </w:tcPr>
          <w:p w14:paraId="51A4CF36" w14:textId="77777777" w:rsidR="00990B14" w:rsidRDefault="00000000">
            <w:pPr>
              <w:spacing w:before="20" w:after="20"/>
              <w:jc w:val="both"/>
            </w:pPr>
            <w:r>
              <w:rPr>
                <w:b/>
                <w:bCs/>
                <w:sz w:val="18"/>
                <w:szCs w:val="18"/>
              </w:rPr>
              <w:t xml:space="preserve">Producto 11: </w:t>
            </w:r>
            <w:r>
              <w:rPr>
                <w:sz w:val="18"/>
                <w:szCs w:val="18"/>
              </w:rPr>
              <w:t>Cálculo de la cantidad económica del pedido y del nivel de inventarios.</w:t>
            </w:r>
          </w:p>
        </w:tc>
      </w:tr>
      <w:tr w:rsidR="00990B14" w14:paraId="5D899664" w14:textId="77777777">
        <w:trPr>
          <w:cantSplit/>
          <w:jc w:val="center"/>
        </w:trPr>
        <w:tc>
          <w:tcPr>
            <w:tcW w:w="3133" w:type="dxa"/>
            <w:gridSpan w:val="4"/>
            <w:vMerge/>
            <w:shd w:val="clear" w:color="auto" w:fill="D9E2F3"/>
            <w:vAlign w:val="center"/>
          </w:tcPr>
          <w:p w14:paraId="43FEC218" w14:textId="77777777" w:rsidR="00990B14" w:rsidRDefault="00990B14">
            <w:pPr>
              <w:spacing w:before="20" w:after="20"/>
            </w:pPr>
          </w:p>
        </w:tc>
        <w:tc>
          <w:tcPr>
            <w:tcW w:w="3135" w:type="dxa"/>
            <w:gridSpan w:val="5"/>
            <w:shd w:val="clear" w:color="auto" w:fill="D9E2F3"/>
            <w:vAlign w:val="center"/>
          </w:tcPr>
          <w:p w14:paraId="1F68DA94" w14:textId="77777777" w:rsidR="00990B14" w:rsidRDefault="00000000">
            <w:pPr>
              <w:spacing w:before="20" w:after="20"/>
              <w:jc w:val="both"/>
            </w:pPr>
            <w:r>
              <w:rPr>
                <w:sz w:val="18"/>
                <w:szCs w:val="18"/>
              </w:rPr>
              <w:t>2.2 Compara en equipo las fuentes de financiación a corto plazo de la empresa y recomienda la más conveniente.</w:t>
            </w:r>
          </w:p>
        </w:tc>
        <w:tc>
          <w:tcPr>
            <w:tcW w:w="3137" w:type="dxa"/>
            <w:gridSpan w:val="4"/>
            <w:shd w:val="clear" w:color="auto" w:fill="D9E2F3"/>
            <w:vAlign w:val="center"/>
          </w:tcPr>
          <w:p w14:paraId="14961AAA" w14:textId="77777777" w:rsidR="00990B14" w:rsidRDefault="00000000">
            <w:pPr>
              <w:spacing w:before="20" w:after="20"/>
              <w:jc w:val="both"/>
            </w:pPr>
            <w:r>
              <w:rPr>
                <w:b/>
                <w:bCs/>
                <w:sz w:val="18"/>
                <w:szCs w:val="18"/>
              </w:rPr>
              <w:t xml:space="preserve">Producto 12: </w:t>
            </w:r>
            <w:r>
              <w:rPr>
                <w:sz w:val="18"/>
                <w:szCs w:val="18"/>
              </w:rPr>
              <w:t>Cuadro comparativo del costo efectivo de las fuentes de financiación a corto plazo.</w:t>
            </w:r>
          </w:p>
        </w:tc>
      </w:tr>
      <w:tr w:rsidR="00990B14" w14:paraId="06C10FE4" w14:textId="77777777">
        <w:trPr>
          <w:cantSplit/>
          <w:jc w:val="center"/>
        </w:trPr>
        <w:tc>
          <w:tcPr>
            <w:tcW w:w="9405" w:type="dxa"/>
            <w:gridSpan w:val="13"/>
            <w:shd w:val="clear" w:color="auto" w:fill="4472C4"/>
            <w:vAlign w:val="center"/>
          </w:tcPr>
          <w:p w14:paraId="025B61BC" w14:textId="77777777" w:rsidR="00990B14" w:rsidRDefault="00000000">
            <w:pPr>
              <w:keepNext/>
              <w:spacing w:before="20" w:after="20"/>
              <w:jc w:val="center"/>
            </w:pPr>
            <w:r>
              <w:rPr>
                <w:b/>
                <w:bCs/>
                <w:i/>
                <w:iCs/>
                <w:color w:val="FFFFFF"/>
                <w:sz w:val="18"/>
                <w:szCs w:val="18"/>
              </w:rPr>
              <w:t>Evidencias de conocimiento</w:t>
            </w:r>
          </w:p>
        </w:tc>
      </w:tr>
      <w:tr w:rsidR="00990B14" w14:paraId="19E728CA" w14:textId="77777777">
        <w:trPr>
          <w:cantSplit/>
          <w:jc w:val="center"/>
        </w:trPr>
        <w:tc>
          <w:tcPr>
            <w:tcW w:w="2349" w:type="dxa"/>
            <w:gridSpan w:val="2"/>
            <w:shd w:val="clear" w:color="auto" w:fill="4472C4"/>
            <w:vAlign w:val="center"/>
          </w:tcPr>
          <w:p w14:paraId="378B3FD9"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741D4422" w14:textId="77777777" w:rsidR="00990B14" w:rsidRDefault="00000000">
            <w:pPr>
              <w:keepNext/>
              <w:spacing w:before="20" w:after="20"/>
              <w:jc w:val="both"/>
            </w:pPr>
            <w:r>
              <w:rPr>
                <w:b/>
                <w:bCs/>
                <w:i/>
                <w:iCs/>
                <w:color w:val="FFFFFF"/>
                <w:sz w:val="18"/>
                <w:szCs w:val="18"/>
              </w:rPr>
              <w:t>Contenidos</w:t>
            </w:r>
          </w:p>
          <w:p w14:paraId="21CBB4E1"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1EE6DE34" w14:textId="77777777" w:rsidR="00990B14" w:rsidRDefault="00000000">
            <w:pPr>
              <w:keepNext/>
              <w:spacing w:before="20" w:after="20"/>
              <w:jc w:val="center"/>
            </w:pPr>
            <w:r>
              <w:rPr>
                <w:b/>
                <w:bCs/>
                <w:i/>
                <w:iCs/>
                <w:color w:val="FFFFFF"/>
                <w:sz w:val="18"/>
                <w:szCs w:val="18"/>
              </w:rPr>
              <w:t>Conocimientos circunstanciales</w:t>
            </w:r>
          </w:p>
        </w:tc>
      </w:tr>
      <w:tr w:rsidR="00990B14" w14:paraId="140A5A0D" w14:textId="77777777">
        <w:trPr>
          <w:jc w:val="center"/>
        </w:trPr>
        <w:tc>
          <w:tcPr>
            <w:tcW w:w="2349" w:type="dxa"/>
            <w:gridSpan w:val="2"/>
            <w:shd w:val="clear" w:color="auto" w:fill="D9E2F3"/>
          </w:tcPr>
          <w:p w14:paraId="54149430" w14:textId="77777777" w:rsidR="00990B14" w:rsidRDefault="00000000">
            <w:pPr>
              <w:spacing w:before="20" w:after="40"/>
              <w:jc w:val="both"/>
            </w:pPr>
            <w:r>
              <w:rPr>
                <w:sz w:val="18"/>
                <w:szCs w:val="18"/>
              </w:rPr>
              <w:t>Tema 6: Fundamentos del capital de trabajo</w:t>
            </w:r>
          </w:p>
          <w:p w14:paraId="3485E83B" w14:textId="77777777" w:rsidR="00990B14" w:rsidRDefault="00000000">
            <w:pPr>
              <w:spacing w:before="20" w:after="40"/>
              <w:jc w:val="both"/>
            </w:pPr>
            <w:r>
              <w:rPr>
                <w:sz w:val="18"/>
                <w:szCs w:val="18"/>
              </w:rPr>
              <w:t>Tema 7: Gestión de cuentas por cobrar y su relación con el efectivo</w:t>
            </w:r>
          </w:p>
          <w:p w14:paraId="102ADD67" w14:textId="77777777" w:rsidR="00990B14" w:rsidRDefault="00000000">
            <w:pPr>
              <w:spacing w:before="20" w:after="40"/>
              <w:jc w:val="both"/>
            </w:pPr>
            <w:r>
              <w:rPr>
                <w:sz w:val="18"/>
                <w:szCs w:val="18"/>
              </w:rPr>
              <w:t>Tema 8: Gestión de inventarios</w:t>
            </w:r>
          </w:p>
          <w:p w14:paraId="577C7436" w14:textId="77777777" w:rsidR="00990B14" w:rsidRDefault="00000000">
            <w:pPr>
              <w:spacing w:before="20" w:after="40"/>
              <w:jc w:val="both"/>
            </w:pPr>
            <w:r>
              <w:rPr>
                <w:sz w:val="18"/>
                <w:szCs w:val="18"/>
              </w:rPr>
              <w:t>Tema 9: Administración de pasivos circulantes y su financiamiento</w:t>
            </w:r>
          </w:p>
        </w:tc>
        <w:tc>
          <w:tcPr>
            <w:tcW w:w="4304" w:type="dxa"/>
            <w:gridSpan w:val="8"/>
            <w:shd w:val="clear" w:color="auto" w:fill="D9E2F3"/>
          </w:tcPr>
          <w:p w14:paraId="5C831382" w14:textId="77777777" w:rsidR="00990B14" w:rsidRDefault="00000000">
            <w:pPr>
              <w:spacing w:after="40"/>
              <w:jc w:val="both"/>
            </w:pPr>
            <w:r>
              <w:rPr>
                <w:sz w:val="18"/>
                <w:szCs w:val="18"/>
              </w:rPr>
              <w:t>1. La gestión del capital circulante neto. (C)</w:t>
            </w:r>
          </w:p>
          <w:p w14:paraId="2B903E8A" w14:textId="77777777" w:rsidR="00990B14" w:rsidRDefault="00000000">
            <w:pPr>
              <w:spacing w:after="40"/>
              <w:jc w:val="both"/>
            </w:pPr>
            <w:r>
              <w:rPr>
                <w:sz w:val="18"/>
                <w:szCs w:val="18"/>
              </w:rPr>
              <w:t>2. Fundamentos del capital de trabajo neto. (C)</w:t>
            </w:r>
          </w:p>
          <w:p w14:paraId="57BC0594" w14:textId="77777777" w:rsidR="00990B14" w:rsidRDefault="00000000">
            <w:pPr>
              <w:spacing w:after="40"/>
              <w:jc w:val="both"/>
            </w:pPr>
            <w:r>
              <w:rPr>
                <w:sz w:val="18"/>
                <w:szCs w:val="18"/>
              </w:rPr>
              <w:t>3. Los activos circulantes y los pasivos circulantes. (C)</w:t>
            </w:r>
          </w:p>
          <w:p w14:paraId="632EE99D" w14:textId="77777777" w:rsidR="00990B14" w:rsidRDefault="00000000">
            <w:pPr>
              <w:spacing w:after="40"/>
              <w:jc w:val="both"/>
            </w:pPr>
            <w:r>
              <w:rPr>
                <w:sz w:val="18"/>
                <w:szCs w:val="18"/>
              </w:rPr>
              <w:t>4. Requerimiento de financiamiento y solvencia. (C)</w:t>
            </w:r>
          </w:p>
          <w:p w14:paraId="19C506A0" w14:textId="77777777" w:rsidR="00990B14" w:rsidRDefault="00000000">
            <w:pPr>
              <w:spacing w:after="40"/>
              <w:jc w:val="both"/>
            </w:pPr>
            <w:r>
              <w:rPr>
                <w:sz w:val="18"/>
                <w:szCs w:val="18"/>
              </w:rPr>
              <w:t>5. Estrategias de financiamiento. (C)</w:t>
            </w:r>
          </w:p>
          <w:p w14:paraId="369BF2C1" w14:textId="77777777" w:rsidR="00990B14" w:rsidRDefault="00000000">
            <w:pPr>
              <w:spacing w:after="40"/>
              <w:jc w:val="both"/>
            </w:pPr>
            <w:r>
              <w:rPr>
                <w:sz w:val="18"/>
                <w:szCs w:val="18"/>
              </w:rPr>
              <w:t>6. El ciclo de conversión de efectivo y su cálculo. (P)</w:t>
            </w:r>
          </w:p>
          <w:p w14:paraId="17BCACA9" w14:textId="77777777" w:rsidR="00990B14" w:rsidRDefault="00000000">
            <w:pPr>
              <w:spacing w:after="40"/>
              <w:jc w:val="both"/>
            </w:pPr>
            <w:r>
              <w:rPr>
                <w:sz w:val="18"/>
                <w:szCs w:val="18"/>
              </w:rPr>
              <w:t>7. Requerimiento de financiamiento del ciclo de conversión de efectivo. (C)</w:t>
            </w:r>
          </w:p>
          <w:p w14:paraId="3C387B01" w14:textId="77777777" w:rsidR="00990B14" w:rsidRDefault="00000000">
            <w:pPr>
              <w:spacing w:after="40"/>
              <w:jc w:val="both"/>
            </w:pPr>
            <w:r>
              <w:rPr>
                <w:sz w:val="18"/>
                <w:szCs w:val="18"/>
              </w:rPr>
              <w:t>8. Estrategias para administrar el ciclo de conversión de efectivo. (C)</w:t>
            </w:r>
          </w:p>
          <w:p w14:paraId="5DD3A443" w14:textId="77777777" w:rsidR="00990B14" w:rsidRDefault="00000000">
            <w:pPr>
              <w:spacing w:after="40"/>
              <w:jc w:val="both"/>
            </w:pPr>
            <w:r>
              <w:rPr>
                <w:sz w:val="18"/>
                <w:szCs w:val="18"/>
              </w:rPr>
              <w:t>9. Gestión del efectivo con medios de pago digitales: pagos inmediatos con códigos QR, transferencias en línea y conciliación automática. (P, T)</w:t>
            </w:r>
          </w:p>
          <w:p w14:paraId="1B518272" w14:textId="77777777" w:rsidR="00990B14" w:rsidRDefault="00000000">
            <w:pPr>
              <w:spacing w:after="40"/>
              <w:jc w:val="both"/>
            </w:pPr>
            <w:r>
              <w:rPr>
                <w:sz w:val="18"/>
                <w:szCs w:val="18"/>
              </w:rPr>
              <w:t>10. Estrategias y políticas de gestión de cuentas por cobrar. (C)</w:t>
            </w:r>
          </w:p>
          <w:p w14:paraId="21061CAB" w14:textId="77777777" w:rsidR="00990B14" w:rsidRDefault="00000000">
            <w:pPr>
              <w:spacing w:after="40"/>
              <w:jc w:val="both"/>
            </w:pPr>
            <w:r>
              <w:rPr>
                <w:sz w:val="18"/>
                <w:szCs w:val="18"/>
              </w:rPr>
              <w:t>11. Análisis marginal. (P)</w:t>
            </w:r>
          </w:p>
          <w:p w14:paraId="02868A04" w14:textId="77777777" w:rsidR="00990B14" w:rsidRDefault="00000000">
            <w:pPr>
              <w:spacing w:after="40"/>
              <w:jc w:val="both"/>
            </w:pPr>
            <w:r>
              <w:rPr>
                <w:sz w:val="18"/>
                <w:szCs w:val="18"/>
              </w:rPr>
              <w:t>12. Selección y normas de crédito. (C, P)</w:t>
            </w:r>
          </w:p>
          <w:p w14:paraId="7E697046" w14:textId="77777777" w:rsidR="00990B14" w:rsidRDefault="00000000">
            <w:pPr>
              <w:spacing w:after="40"/>
              <w:jc w:val="both"/>
            </w:pPr>
            <w:r>
              <w:rPr>
                <w:sz w:val="18"/>
                <w:szCs w:val="18"/>
              </w:rPr>
              <w:t>13. Términos y condiciones de crédito. (C)</w:t>
            </w:r>
          </w:p>
          <w:p w14:paraId="2E052FCF" w14:textId="77777777" w:rsidR="00990B14" w:rsidRDefault="00000000">
            <w:pPr>
              <w:spacing w:after="40"/>
              <w:jc w:val="both"/>
            </w:pPr>
            <w:r>
              <w:rPr>
                <w:sz w:val="18"/>
                <w:szCs w:val="18"/>
              </w:rPr>
              <w:t>14. Supervisión de crédito. (C)</w:t>
            </w:r>
          </w:p>
          <w:p w14:paraId="1807E4DB" w14:textId="77777777" w:rsidR="00990B14" w:rsidRDefault="00000000">
            <w:pPr>
              <w:spacing w:after="40"/>
              <w:jc w:val="both"/>
            </w:pPr>
            <w:r>
              <w:rPr>
                <w:sz w:val="18"/>
                <w:szCs w:val="18"/>
              </w:rPr>
              <w:t>15. Deterioro de las cuentas por cobrar por pérdidas crediticias esperadas conforme a la NIIF 9 y su efecto en el resultado. (C)</w:t>
            </w:r>
          </w:p>
          <w:p w14:paraId="01E35212" w14:textId="77777777" w:rsidR="00990B14" w:rsidRDefault="00000000">
            <w:pPr>
              <w:spacing w:after="40"/>
              <w:jc w:val="both"/>
            </w:pPr>
            <w:r>
              <w:rPr>
                <w:sz w:val="18"/>
                <w:szCs w:val="18"/>
              </w:rPr>
              <w:t>16. Administración de ingresos y egresos. (C)</w:t>
            </w:r>
          </w:p>
          <w:p w14:paraId="08D02BF9" w14:textId="77777777" w:rsidR="00990B14" w:rsidRDefault="00000000">
            <w:pPr>
              <w:spacing w:after="40"/>
              <w:jc w:val="both"/>
            </w:pPr>
            <w:r>
              <w:rPr>
                <w:sz w:val="18"/>
                <w:szCs w:val="18"/>
              </w:rPr>
              <w:t>17. Flotación. (C)</w:t>
            </w:r>
          </w:p>
          <w:p w14:paraId="3533A21D" w14:textId="77777777" w:rsidR="00990B14" w:rsidRDefault="00000000">
            <w:pPr>
              <w:spacing w:after="40"/>
              <w:jc w:val="both"/>
            </w:pPr>
            <w:r>
              <w:rPr>
                <w:sz w:val="18"/>
                <w:szCs w:val="18"/>
              </w:rPr>
              <w:t>18. Agilización de cobranzas. (C)</w:t>
            </w:r>
          </w:p>
          <w:p w14:paraId="18DEF4EA" w14:textId="77777777" w:rsidR="00990B14" w:rsidRDefault="00000000">
            <w:pPr>
              <w:spacing w:after="40"/>
              <w:jc w:val="both"/>
            </w:pPr>
            <w:r>
              <w:rPr>
                <w:sz w:val="18"/>
                <w:szCs w:val="18"/>
              </w:rPr>
              <w:t>19. Retardo en los pagos. (C)</w:t>
            </w:r>
          </w:p>
          <w:p w14:paraId="3C667D0D" w14:textId="77777777" w:rsidR="00990B14" w:rsidRDefault="00000000">
            <w:pPr>
              <w:spacing w:after="40"/>
              <w:jc w:val="both"/>
            </w:pPr>
            <w:r>
              <w:rPr>
                <w:sz w:val="18"/>
                <w:szCs w:val="18"/>
              </w:rPr>
              <w:t>20. Cálculo del ciclo de conversión de efectivo y del requerimiento de financiamiento en hoja de cálculo. (C, P, T)</w:t>
            </w:r>
          </w:p>
          <w:p w14:paraId="42D83B38" w14:textId="77777777" w:rsidR="00990B14" w:rsidRPr="00BD34F7" w:rsidRDefault="00000000">
            <w:pPr>
              <w:spacing w:after="40"/>
              <w:jc w:val="both"/>
              <w:rPr>
                <w:lang w:val="en-US"/>
              </w:rPr>
            </w:pPr>
            <w:r>
              <w:rPr>
                <w:sz w:val="18"/>
                <w:szCs w:val="18"/>
              </w:rPr>
              <w:t xml:space="preserve">21. Estrategias y políticas de gestión de inventarios. </w:t>
            </w:r>
            <w:r w:rsidRPr="00BD34F7">
              <w:rPr>
                <w:sz w:val="18"/>
                <w:szCs w:val="18"/>
                <w:lang w:val="en-US"/>
              </w:rPr>
              <w:t>(C)</w:t>
            </w:r>
          </w:p>
          <w:p w14:paraId="7C64AD41" w14:textId="77777777" w:rsidR="00990B14" w:rsidRPr="00BD34F7" w:rsidRDefault="00000000">
            <w:pPr>
              <w:spacing w:after="40"/>
              <w:jc w:val="both"/>
              <w:rPr>
                <w:lang w:val="en-US"/>
              </w:rPr>
            </w:pPr>
            <w:r w:rsidRPr="00BD34F7">
              <w:rPr>
                <w:sz w:val="18"/>
                <w:szCs w:val="18"/>
                <w:lang w:val="en-US"/>
              </w:rPr>
              <w:t>22. Just in time. (C)</w:t>
            </w:r>
          </w:p>
          <w:p w14:paraId="3D57959E" w14:textId="77777777" w:rsidR="00990B14" w:rsidRDefault="00000000">
            <w:pPr>
              <w:spacing w:after="40"/>
              <w:jc w:val="both"/>
            </w:pPr>
            <w:r>
              <w:rPr>
                <w:sz w:val="18"/>
                <w:szCs w:val="18"/>
              </w:rPr>
              <w:t>23. Cantidad económica del pedido. (C)</w:t>
            </w:r>
          </w:p>
          <w:p w14:paraId="6413A3BD" w14:textId="77777777" w:rsidR="00990B14" w:rsidRDefault="00000000">
            <w:pPr>
              <w:spacing w:after="40"/>
              <w:jc w:val="both"/>
            </w:pPr>
            <w:r>
              <w:rPr>
                <w:sz w:val="18"/>
                <w:szCs w:val="18"/>
              </w:rPr>
              <w:t>24. El nivel de inventarios. (C)</w:t>
            </w:r>
          </w:p>
          <w:p w14:paraId="607D8597" w14:textId="77777777" w:rsidR="00990B14" w:rsidRDefault="00000000">
            <w:pPr>
              <w:spacing w:after="40"/>
              <w:jc w:val="both"/>
            </w:pPr>
            <w:r>
              <w:rPr>
                <w:sz w:val="18"/>
                <w:szCs w:val="18"/>
              </w:rPr>
              <w:t>25. Técnicas comunes de administración de inventarios. (P)</w:t>
            </w:r>
          </w:p>
          <w:p w14:paraId="4A7ADC54" w14:textId="77777777" w:rsidR="00990B14" w:rsidRDefault="00000000">
            <w:pPr>
              <w:spacing w:after="40"/>
              <w:jc w:val="both"/>
            </w:pPr>
            <w:r>
              <w:rPr>
                <w:sz w:val="18"/>
                <w:szCs w:val="18"/>
              </w:rPr>
              <w:t>26. Pasivos espontáneos. (C)</w:t>
            </w:r>
          </w:p>
          <w:p w14:paraId="666360A0" w14:textId="77777777" w:rsidR="00990B14" w:rsidRDefault="00000000">
            <w:pPr>
              <w:spacing w:after="40"/>
              <w:jc w:val="both"/>
            </w:pPr>
            <w:r>
              <w:rPr>
                <w:sz w:val="18"/>
                <w:szCs w:val="18"/>
              </w:rPr>
              <w:t>27. Administración de cuentas por pagar. (C)</w:t>
            </w:r>
          </w:p>
          <w:p w14:paraId="0D7EB95D" w14:textId="77777777" w:rsidR="00990B14" w:rsidRDefault="00000000">
            <w:pPr>
              <w:spacing w:after="40"/>
              <w:jc w:val="both"/>
            </w:pPr>
            <w:r>
              <w:rPr>
                <w:sz w:val="18"/>
                <w:szCs w:val="18"/>
              </w:rPr>
              <w:t>28. Cargos por pagar. (C)</w:t>
            </w:r>
          </w:p>
          <w:p w14:paraId="5199D317" w14:textId="77777777" w:rsidR="00990B14" w:rsidRDefault="00000000">
            <w:pPr>
              <w:spacing w:after="40"/>
              <w:jc w:val="both"/>
            </w:pPr>
            <w:r>
              <w:rPr>
                <w:sz w:val="18"/>
                <w:szCs w:val="18"/>
              </w:rPr>
              <w:t>29. Fuentes de préstamos no garantizados a corto plazo. (C)</w:t>
            </w:r>
          </w:p>
          <w:p w14:paraId="1543FCF0" w14:textId="77777777" w:rsidR="00990B14" w:rsidRDefault="00000000">
            <w:pPr>
              <w:spacing w:after="40"/>
              <w:jc w:val="both"/>
            </w:pPr>
            <w:r>
              <w:rPr>
                <w:sz w:val="18"/>
                <w:szCs w:val="18"/>
              </w:rPr>
              <w:t>30. Préstamos bancarios y papel comercial. (C)</w:t>
            </w:r>
          </w:p>
          <w:p w14:paraId="6C4B4605" w14:textId="77777777" w:rsidR="00990B14" w:rsidRDefault="00000000">
            <w:pPr>
              <w:spacing w:after="40"/>
              <w:jc w:val="both"/>
            </w:pPr>
            <w:r>
              <w:rPr>
                <w:sz w:val="18"/>
                <w:szCs w:val="18"/>
              </w:rPr>
              <w:t>31. Costo efectivo anual de una fuente de financiación: comisiones, saldos compensatorios, descuentos por pronto pago y plazo real del crédito. (C)</w:t>
            </w:r>
          </w:p>
          <w:p w14:paraId="1ECA2EEC" w14:textId="77777777" w:rsidR="00990B14" w:rsidRDefault="00000000">
            <w:pPr>
              <w:spacing w:after="40"/>
              <w:jc w:val="both"/>
            </w:pPr>
            <w:r>
              <w:rPr>
                <w:sz w:val="18"/>
                <w:szCs w:val="18"/>
              </w:rPr>
              <w:t>32. Fuentes de préstamos garantizados a corto plazo y sus características. (C)</w:t>
            </w:r>
          </w:p>
          <w:p w14:paraId="4D76C603" w14:textId="77777777" w:rsidR="00990B14" w:rsidRDefault="00000000">
            <w:pPr>
              <w:spacing w:after="40"/>
              <w:jc w:val="both"/>
            </w:pPr>
            <w:r>
              <w:rPr>
                <w:sz w:val="18"/>
                <w:szCs w:val="18"/>
              </w:rPr>
              <w:t>33. El crédito comercial. (C)</w:t>
            </w:r>
          </w:p>
          <w:p w14:paraId="6097365B" w14:textId="77777777" w:rsidR="00990B14" w:rsidRDefault="00000000">
            <w:pPr>
              <w:spacing w:after="40"/>
              <w:jc w:val="both"/>
            </w:pPr>
            <w:r>
              <w:rPr>
                <w:sz w:val="18"/>
                <w:szCs w:val="18"/>
              </w:rPr>
              <w:t>34. Financiamiento de compras y negociación con proveedores. (C)</w:t>
            </w:r>
          </w:p>
          <w:p w14:paraId="240D3606" w14:textId="77777777" w:rsidR="00990B14" w:rsidRDefault="00000000">
            <w:pPr>
              <w:spacing w:after="40"/>
              <w:jc w:val="both"/>
            </w:pPr>
            <w:r>
              <w:rPr>
                <w:sz w:val="18"/>
                <w:szCs w:val="18"/>
              </w:rPr>
              <w:t>35. Las aceptaciones bancarias. (C)</w:t>
            </w:r>
          </w:p>
          <w:p w14:paraId="29DE4C6A" w14:textId="77777777" w:rsidR="00990B14" w:rsidRDefault="00000000">
            <w:pPr>
              <w:spacing w:after="40"/>
              <w:jc w:val="both"/>
            </w:pPr>
            <w:r>
              <w:rPr>
                <w:sz w:val="18"/>
                <w:szCs w:val="18"/>
              </w:rPr>
              <w:t>36. Factoraje y descuento de documentos como alternativas de financiación del capital de trabajo en Bolivia. (C)</w:t>
            </w:r>
          </w:p>
        </w:tc>
        <w:tc>
          <w:tcPr>
            <w:tcW w:w="2752" w:type="dxa"/>
            <w:gridSpan w:val="3"/>
            <w:shd w:val="clear" w:color="auto" w:fill="D9E2F3"/>
          </w:tcPr>
          <w:p w14:paraId="502635E1" w14:textId="77777777" w:rsidR="00990B14" w:rsidRDefault="00000000">
            <w:pPr>
              <w:numPr>
                <w:ilvl w:val="0"/>
                <w:numId w:val="139"/>
              </w:numPr>
              <w:spacing w:before="10" w:after="10"/>
              <w:jc w:val="both"/>
            </w:pPr>
            <w:r>
              <w:rPr>
                <w:sz w:val="18"/>
                <w:szCs w:val="18"/>
              </w:rPr>
              <w:t>Nociones de banca electrónica y de los servicios de gestión de tesorería de las entidades financieras.</w:t>
            </w:r>
          </w:p>
          <w:p w14:paraId="64EDDB7E" w14:textId="77777777" w:rsidR="00990B14" w:rsidRDefault="00000000">
            <w:pPr>
              <w:numPr>
                <w:ilvl w:val="0"/>
                <w:numId w:val="139"/>
              </w:numPr>
              <w:spacing w:before="10" w:after="10"/>
              <w:jc w:val="both"/>
            </w:pPr>
            <w:r>
              <w:rPr>
                <w:sz w:val="18"/>
                <w:szCs w:val="18"/>
              </w:rPr>
              <w:t>Nociones de la cadena de suministro y de la logística de abastecimiento.</w:t>
            </w:r>
          </w:p>
        </w:tc>
      </w:tr>
      <w:tr w:rsidR="00990B14" w14:paraId="23CB409F" w14:textId="77777777">
        <w:trPr>
          <w:cantSplit/>
          <w:jc w:val="center"/>
        </w:trPr>
        <w:tc>
          <w:tcPr>
            <w:tcW w:w="9405" w:type="dxa"/>
            <w:gridSpan w:val="13"/>
            <w:shd w:val="clear" w:color="auto" w:fill="D9E2F3"/>
            <w:vAlign w:val="center"/>
          </w:tcPr>
          <w:p w14:paraId="6C2D6010" w14:textId="77777777" w:rsidR="00990B14" w:rsidRDefault="00000000">
            <w:pPr>
              <w:spacing w:before="20" w:after="20"/>
              <w:jc w:val="both"/>
            </w:pPr>
            <w:r>
              <w:rPr>
                <w:b/>
                <w:bCs/>
                <w:i/>
                <w:iCs/>
                <w:sz w:val="18"/>
                <w:szCs w:val="18"/>
              </w:rPr>
              <w:t xml:space="preserve">Elemento de competencia 4: </w:t>
            </w:r>
            <w:r>
              <w:rPr>
                <w:sz w:val="18"/>
                <w:szCs w:val="18"/>
              </w:rPr>
              <w:t>Evalúa las decisiones de inversión de la empresa, aplicando el valor del dinero en el tiempo, midiendo el riesgo y el rendimiento de sus activos, valuando sus bonos y sus acciones conforme al marco legal del mercado de valores, y evaluando sus proyectos de inversión con su costo de capital y su análisis de sensibilidad.</w:t>
            </w:r>
          </w:p>
        </w:tc>
      </w:tr>
      <w:tr w:rsidR="00990B14" w14:paraId="6B03D199" w14:textId="77777777">
        <w:trPr>
          <w:cantSplit/>
          <w:jc w:val="center"/>
        </w:trPr>
        <w:tc>
          <w:tcPr>
            <w:tcW w:w="3133" w:type="dxa"/>
            <w:gridSpan w:val="4"/>
            <w:shd w:val="clear" w:color="auto" w:fill="4472C4"/>
            <w:vAlign w:val="center"/>
          </w:tcPr>
          <w:p w14:paraId="477AE283"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505091C2"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3DF494F8" w14:textId="77777777" w:rsidR="00990B14" w:rsidRDefault="00000000">
            <w:pPr>
              <w:keepNext/>
              <w:spacing w:before="20" w:after="20"/>
              <w:jc w:val="center"/>
            </w:pPr>
            <w:r>
              <w:rPr>
                <w:b/>
                <w:bCs/>
                <w:i/>
                <w:iCs/>
                <w:color w:val="FFFFFF"/>
                <w:sz w:val="18"/>
                <w:szCs w:val="18"/>
              </w:rPr>
              <w:t>Evidencias de producto</w:t>
            </w:r>
          </w:p>
        </w:tc>
      </w:tr>
      <w:tr w:rsidR="00990B14" w14:paraId="268EA250" w14:textId="77777777">
        <w:trPr>
          <w:cantSplit/>
          <w:jc w:val="center"/>
        </w:trPr>
        <w:tc>
          <w:tcPr>
            <w:tcW w:w="3133" w:type="dxa"/>
            <w:gridSpan w:val="4"/>
            <w:vMerge w:val="restart"/>
            <w:shd w:val="clear" w:color="auto" w:fill="D9E2F3"/>
            <w:vAlign w:val="center"/>
          </w:tcPr>
          <w:p w14:paraId="0C8CBCD1" w14:textId="77777777" w:rsidR="00990B14" w:rsidRDefault="00000000">
            <w:pPr>
              <w:spacing w:before="20" w:after="20"/>
              <w:jc w:val="both"/>
            </w:pPr>
            <w:r>
              <w:rPr>
                <w:sz w:val="18"/>
                <w:szCs w:val="18"/>
              </w:rPr>
              <w:t>1. Valúa los bonos y las acciones de la empresa y mide el riesgo y el rendimiento de sus activos, aplicando el valor del dinero en el tiempo con la tasa real, la diversificación y el modelo de valoración de activos de capital conforme a la normativa del mercado de valores.</w:t>
            </w:r>
          </w:p>
        </w:tc>
        <w:tc>
          <w:tcPr>
            <w:tcW w:w="3135" w:type="dxa"/>
            <w:gridSpan w:val="5"/>
            <w:shd w:val="clear" w:color="auto" w:fill="D9E2F3"/>
            <w:vAlign w:val="center"/>
          </w:tcPr>
          <w:p w14:paraId="0E345680" w14:textId="77777777" w:rsidR="00990B14" w:rsidRDefault="00000000">
            <w:pPr>
              <w:spacing w:before="20" w:after="20"/>
              <w:jc w:val="both"/>
            </w:pPr>
            <w:r>
              <w:rPr>
                <w:sz w:val="18"/>
                <w:szCs w:val="18"/>
              </w:rPr>
              <w:t>1.1 Resuelve en el laboratorio de cómputo casos de valor del dinero en el tiempo y de riesgo y rendimiento de una cartera, con las funciones financieras de la hoja de cálculo.</w:t>
            </w:r>
          </w:p>
        </w:tc>
        <w:tc>
          <w:tcPr>
            <w:tcW w:w="3137" w:type="dxa"/>
            <w:gridSpan w:val="4"/>
            <w:shd w:val="clear" w:color="auto" w:fill="D9E2F3"/>
            <w:vAlign w:val="center"/>
          </w:tcPr>
          <w:p w14:paraId="08E7254D" w14:textId="77777777" w:rsidR="00990B14" w:rsidRDefault="00000000">
            <w:pPr>
              <w:spacing w:before="20" w:after="20"/>
              <w:jc w:val="both"/>
            </w:pPr>
            <w:r>
              <w:rPr>
                <w:b/>
                <w:bCs/>
                <w:sz w:val="18"/>
                <w:szCs w:val="18"/>
              </w:rPr>
              <w:t xml:space="preserve">Producto 13: </w:t>
            </w:r>
            <w:r>
              <w:rPr>
                <w:sz w:val="18"/>
                <w:szCs w:val="18"/>
              </w:rPr>
              <w:t>Modelo de valor del dinero en el tiempo y de riesgo y rendimiento de una cartera.</w:t>
            </w:r>
          </w:p>
        </w:tc>
      </w:tr>
      <w:tr w:rsidR="00990B14" w14:paraId="2118B5CF" w14:textId="77777777">
        <w:trPr>
          <w:cantSplit/>
          <w:jc w:val="center"/>
        </w:trPr>
        <w:tc>
          <w:tcPr>
            <w:tcW w:w="3133" w:type="dxa"/>
            <w:gridSpan w:val="4"/>
            <w:vMerge/>
            <w:shd w:val="clear" w:color="auto" w:fill="D9E2F3"/>
            <w:vAlign w:val="center"/>
          </w:tcPr>
          <w:p w14:paraId="48F59866" w14:textId="77777777" w:rsidR="00990B14" w:rsidRDefault="00990B14">
            <w:pPr>
              <w:spacing w:before="20" w:after="20"/>
            </w:pPr>
          </w:p>
        </w:tc>
        <w:tc>
          <w:tcPr>
            <w:tcW w:w="3135" w:type="dxa"/>
            <w:gridSpan w:val="5"/>
            <w:shd w:val="clear" w:color="auto" w:fill="D9E2F3"/>
            <w:vAlign w:val="center"/>
          </w:tcPr>
          <w:p w14:paraId="10E469E2" w14:textId="77777777" w:rsidR="00990B14" w:rsidRDefault="00000000">
            <w:pPr>
              <w:spacing w:before="20" w:after="20"/>
              <w:jc w:val="both"/>
            </w:pPr>
            <w:r>
              <w:rPr>
                <w:sz w:val="18"/>
                <w:szCs w:val="18"/>
              </w:rPr>
              <w:t>1.2 Valúa en equipo los bonos y las acciones de la empresa emisora de valores, interpretando sus cotizaciones, su calificación y la estructura de su emisión.</w:t>
            </w:r>
          </w:p>
        </w:tc>
        <w:tc>
          <w:tcPr>
            <w:tcW w:w="3137" w:type="dxa"/>
            <w:gridSpan w:val="4"/>
            <w:shd w:val="clear" w:color="auto" w:fill="D9E2F3"/>
            <w:vAlign w:val="center"/>
          </w:tcPr>
          <w:p w14:paraId="25BEBB00" w14:textId="77777777" w:rsidR="00990B14" w:rsidRDefault="00000000">
            <w:pPr>
              <w:spacing w:before="20" w:after="20"/>
              <w:jc w:val="both"/>
            </w:pPr>
            <w:r>
              <w:rPr>
                <w:b/>
                <w:bCs/>
                <w:sz w:val="18"/>
                <w:szCs w:val="18"/>
              </w:rPr>
              <w:t xml:space="preserve">Producto 14: </w:t>
            </w:r>
            <w:r>
              <w:rPr>
                <w:sz w:val="18"/>
                <w:szCs w:val="18"/>
              </w:rPr>
              <w:t>Informe de valuación de los bonos y las acciones de la empresa con la estructura de su emisión.</w:t>
            </w:r>
          </w:p>
        </w:tc>
      </w:tr>
      <w:tr w:rsidR="00990B14" w14:paraId="39291780" w14:textId="77777777">
        <w:trPr>
          <w:cantSplit/>
          <w:jc w:val="center"/>
        </w:trPr>
        <w:tc>
          <w:tcPr>
            <w:tcW w:w="3133" w:type="dxa"/>
            <w:gridSpan w:val="4"/>
            <w:vMerge w:val="restart"/>
            <w:shd w:val="clear" w:color="auto" w:fill="D9E2F3"/>
            <w:vAlign w:val="center"/>
          </w:tcPr>
          <w:p w14:paraId="4C0392A0" w14:textId="77777777" w:rsidR="00990B14" w:rsidRDefault="00000000">
            <w:pPr>
              <w:spacing w:before="20" w:after="20"/>
              <w:jc w:val="both"/>
            </w:pPr>
            <w:r>
              <w:rPr>
                <w:sz w:val="18"/>
                <w:szCs w:val="18"/>
              </w:rPr>
              <w:t>2. Evalúa un proyecto de inversión con el valor presente neto, la tasa interna de rendimiento, el periodo de recuperación y el índice de rentabilidad, descontando sus flujos relevantes con el costo de capital promedio ponderado ajustado al riesgo y analizando su sensibilidad ante distintos escenarios.</w:t>
            </w:r>
          </w:p>
        </w:tc>
        <w:tc>
          <w:tcPr>
            <w:tcW w:w="3135" w:type="dxa"/>
            <w:gridSpan w:val="5"/>
            <w:shd w:val="clear" w:color="auto" w:fill="D9E2F3"/>
            <w:vAlign w:val="center"/>
          </w:tcPr>
          <w:p w14:paraId="401CE874" w14:textId="77777777" w:rsidR="00990B14" w:rsidRDefault="00000000">
            <w:pPr>
              <w:spacing w:before="20" w:after="20"/>
              <w:jc w:val="both"/>
            </w:pPr>
            <w:r>
              <w:rPr>
                <w:sz w:val="18"/>
                <w:szCs w:val="18"/>
              </w:rPr>
              <w:t>2.1 Evalúa en equipo un proyecto de inversión de la empresa, determinando su inversión inicial y sus flujos relevantes, y sustenta su decisión.</w:t>
            </w:r>
          </w:p>
        </w:tc>
        <w:tc>
          <w:tcPr>
            <w:tcW w:w="3137" w:type="dxa"/>
            <w:gridSpan w:val="4"/>
            <w:shd w:val="clear" w:color="auto" w:fill="D9E2F3"/>
            <w:vAlign w:val="center"/>
          </w:tcPr>
          <w:p w14:paraId="300E8C4C" w14:textId="77777777" w:rsidR="00990B14" w:rsidRDefault="00000000">
            <w:pPr>
              <w:spacing w:before="20" w:after="20"/>
              <w:jc w:val="both"/>
            </w:pPr>
            <w:r>
              <w:rPr>
                <w:b/>
                <w:bCs/>
                <w:sz w:val="18"/>
                <w:szCs w:val="18"/>
              </w:rPr>
              <w:t xml:space="preserve">Producto 15: </w:t>
            </w:r>
            <w:r>
              <w:rPr>
                <w:sz w:val="18"/>
                <w:szCs w:val="18"/>
              </w:rPr>
              <w:t>Informe de evaluación de un proyecto de inversión con sus flujos relevantes y sus criterios de decisión.</w:t>
            </w:r>
          </w:p>
        </w:tc>
      </w:tr>
      <w:tr w:rsidR="00990B14" w14:paraId="57AC5ADC" w14:textId="77777777">
        <w:trPr>
          <w:cantSplit/>
          <w:jc w:val="center"/>
        </w:trPr>
        <w:tc>
          <w:tcPr>
            <w:tcW w:w="3133" w:type="dxa"/>
            <w:gridSpan w:val="4"/>
            <w:vMerge/>
            <w:shd w:val="clear" w:color="auto" w:fill="D9E2F3"/>
            <w:vAlign w:val="center"/>
          </w:tcPr>
          <w:p w14:paraId="787765CF" w14:textId="77777777" w:rsidR="00990B14" w:rsidRDefault="00990B14">
            <w:pPr>
              <w:spacing w:before="20" w:after="20"/>
            </w:pPr>
          </w:p>
        </w:tc>
        <w:tc>
          <w:tcPr>
            <w:tcW w:w="3135" w:type="dxa"/>
            <w:gridSpan w:val="5"/>
            <w:shd w:val="clear" w:color="auto" w:fill="D9E2F3"/>
            <w:vAlign w:val="center"/>
          </w:tcPr>
          <w:p w14:paraId="1789AE03" w14:textId="77777777" w:rsidR="00990B14" w:rsidRDefault="00000000">
            <w:pPr>
              <w:spacing w:before="20" w:after="20"/>
              <w:jc w:val="both"/>
            </w:pPr>
            <w:r>
              <w:rPr>
                <w:sz w:val="18"/>
                <w:szCs w:val="18"/>
              </w:rPr>
              <w:t>2.2 Determina en el laboratorio de cómputo el costo de capital promedio ponderado de la empresa y analiza la sensibilidad y los escenarios del mismo proyecto.</w:t>
            </w:r>
          </w:p>
        </w:tc>
        <w:tc>
          <w:tcPr>
            <w:tcW w:w="3137" w:type="dxa"/>
            <w:gridSpan w:val="4"/>
            <w:shd w:val="clear" w:color="auto" w:fill="D9E2F3"/>
            <w:vAlign w:val="center"/>
          </w:tcPr>
          <w:p w14:paraId="17E56DA7" w14:textId="77777777" w:rsidR="00990B14" w:rsidRDefault="00000000">
            <w:pPr>
              <w:spacing w:before="20" w:after="20"/>
              <w:jc w:val="both"/>
            </w:pPr>
            <w:r>
              <w:rPr>
                <w:b/>
                <w:bCs/>
                <w:sz w:val="18"/>
                <w:szCs w:val="18"/>
              </w:rPr>
              <w:t xml:space="preserve">Producto 16: </w:t>
            </w:r>
            <w:r>
              <w:rPr>
                <w:sz w:val="18"/>
                <w:szCs w:val="18"/>
              </w:rPr>
              <w:t>Modelo de costo de capital y de sensibilidad del proyecto de inversión.</w:t>
            </w:r>
          </w:p>
        </w:tc>
      </w:tr>
      <w:tr w:rsidR="00990B14" w14:paraId="0573C0AB" w14:textId="77777777">
        <w:trPr>
          <w:cantSplit/>
          <w:jc w:val="center"/>
        </w:trPr>
        <w:tc>
          <w:tcPr>
            <w:tcW w:w="9405" w:type="dxa"/>
            <w:gridSpan w:val="13"/>
            <w:shd w:val="clear" w:color="auto" w:fill="4472C4"/>
            <w:vAlign w:val="center"/>
          </w:tcPr>
          <w:p w14:paraId="0A2696CC" w14:textId="77777777" w:rsidR="00990B14" w:rsidRDefault="00000000">
            <w:pPr>
              <w:keepNext/>
              <w:spacing w:before="20" w:after="20"/>
              <w:jc w:val="center"/>
            </w:pPr>
            <w:r>
              <w:rPr>
                <w:b/>
                <w:bCs/>
                <w:i/>
                <w:iCs/>
                <w:color w:val="FFFFFF"/>
                <w:sz w:val="18"/>
                <w:szCs w:val="18"/>
              </w:rPr>
              <w:t>Evidencias de conocimiento</w:t>
            </w:r>
          </w:p>
        </w:tc>
      </w:tr>
      <w:tr w:rsidR="00990B14" w14:paraId="6B89FD85" w14:textId="77777777">
        <w:trPr>
          <w:cantSplit/>
          <w:jc w:val="center"/>
        </w:trPr>
        <w:tc>
          <w:tcPr>
            <w:tcW w:w="2349" w:type="dxa"/>
            <w:gridSpan w:val="2"/>
            <w:shd w:val="clear" w:color="auto" w:fill="4472C4"/>
            <w:vAlign w:val="center"/>
          </w:tcPr>
          <w:p w14:paraId="44B30835"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234EB9EA" w14:textId="77777777" w:rsidR="00990B14" w:rsidRDefault="00000000">
            <w:pPr>
              <w:keepNext/>
              <w:spacing w:before="20" w:after="20"/>
              <w:jc w:val="both"/>
            </w:pPr>
            <w:r>
              <w:rPr>
                <w:b/>
                <w:bCs/>
                <w:i/>
                <w:iCs/>
                <w:color w:val="FFFFFF"/>
                <w:sz w:val="18"/>
                <w:szCs w:val="18"/>
              </w:rPr>
              <w:t>Contenidos</w:t>
            </w:r>
          </w:p>
          <w:p w14:paraId="1E3F05A0"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72C786C4" w14:textId="77777777" w:rsidR="00990B14" w:rsidRDefault="00000000">
            <w:pPr>
              <w:keepNext/>
              <w:spacing w:before="20" w:after="20"/>
              <w:jc w:val="center"/>
            </w:pPr>
            <w:r>
              <w:rPr>
                <w:b/>
                <w:bCs/>
                <w:i/>
                <w:iCs/>
                <w:color w:val="FFFFFF"/>
                <w:sz w:val="18"/>
                <w:szCs w:val="18"/>
              </w:rPr>
              <w:t>Conocimientos circunstanciales</w:t>
            </w:r>
          </w:p>
        </w:tc>
      </w:tr>
      <w:tr w:rsidR="00990B14" w14:paraId="5A01A508" w14:textId="77777777">
        <w:trPr>
          <w:jc w:val="center"/>
        </w:trPr>
        <w:tc>
          <w:tcPr>
            <w:tcW w:w="2349" w:type="dxa"/>
            <w:gridSpan w:val="2"/>
            <w:shd w:val="clear" w:color="auto" w:fill="D9E2F3"/>
          </w:tcPr>
          <w:p w14:paraId="27CFBBF2" w14:textId="77777777" w:rsidR="00990B14" w:rsidRDefault="00000000">
            <w:pPr>
              <w:spacing w:before="20" w:after="40"/>
              <w:jc w:val="both"/>
            </w:pPr>
            <w:r>
              <w:rPr>
                <w:sz w:val="18"/>
                <w:szCs w:val="18"/>
              </w:rPr>
              <w:t>Tema 10: Valor del dinero e interés compuesto</w:t>
            </w:r>
          </w:p>
          <w:p w14:paraId="676A0AA7" w14:textId="77777777" w:rsidR="00990B14" w:rsidRDefault="00000000">
            <w:pPr>
              <w:spacing w:before="20" w:after="40"/>
              <w:jc w:val="both"/>
            </w:pPr>
            <w:r>
              <w:rPr>
                <w:sz w:val="18"/>
                <w:szCs w:val="18"/>
              </w:rPr>
              <w:t>Tema 11: Anualidades y series combinadas</w:t>
            </w:r>
          </w:p>
          <w:p w14:paraId="6A279D67" w14:textId="77777777" w:rsidR="00990B14" w:rsidRDefault="00000000">
            <w:pPr>
              <w:spacing w:before="20" w:after="40"/>
              <w:jc w:val="both"/>
            </w:pPr>
            <w:r>
              <w:rPr>
                <w:sz w:val="18"/>
                <w:szCs w:val="18"/>
              </w:rPr>
              <w:t>Tema 12: Marco conceptual y jurídico</w:t>
            </w:r>
          </w:p>
          <w:p w14:paraId="0CCE7879" w14:textId="77777777" w:rsidR="00990B14" w:rsidRDefault="00000000">
            <w:pPr>
              <w:spacing w:before="20" w:after="40"/>
              <w:jc w:val="both"/>
            </w:pPr>
            <w:r>
              <w:rPr>
                <w:sz w:val="18"/>
                <w:szCs w:val="18"/>
              </w:rPr>
              <w:t>Tema 13: Riesgo y rendimiento</w:t>
            </w:r>
          </w:p>
          <w:p w14:paraId="67F07DB1" w14:textId="77777777" w:rsidR="00990B14" w:rsidRDefault="00000000">
            <w:pPr>
              <w:spacing w:before="20" w:after="40"/>
              <w:jc w:val="both"/>
            </w:pPr>
            <w:r>
              <w:rPr>
                <w:sz w:val="18"/>
                <w:szCs w:val="18"/>
              </w:rPr>
              <w:t>Tema 14: Bonos y acciones</w:t>
            </w:r>
          </w:p>
          <w:p w14:paraId="1012D0F0" w14:textId="77777777" w:rsidR="00990B14" w:rsidRDefault="00000000">
            <w:pPr>
              <w:spacing w:before="20" w:after="40"/>
              <w:jc w:val="both"/>
            </w:pPr>
            <w:r>
              <w:rPr>
                <w:sz w:val="18"/>
                <w:szCs w:val="18"/>
              </w:rPr>
              <w:t>Tema 15: Presupuesto a largo plazo y metodología del presupuesto de capital</w:t>
            </w:r>
          </w:p>
          <w:p w14:paraId="3CE62E4D" w14:textId="77777777" w:rsidR="00990B14" w:rsidRDefault="00000000">
            <w:pPr>
              <w:spacing w:before="20" w:after="40"/>
              <w:jc w:val="both"/>
            </w:pPr>
            <w:r>
              <w:rPr>
                <w:sz w:val="18"/>
                <w:szCs w:val="18"/>
              </w:rPr>
              <w:t>Tema 16: Análisis de sensibilidad y costo de capital</w:t>
            </w:r>
          </w:p>
        </w:tc>
        <w:tc>
          <w:tcPr>
            <w:tcW w:w="4304" w:type="dxa"/>
            <w:gridSpan w:val="8"/>
            <w:shd w:val="clear" w:color="auto" w:fill="D9E2F3"/>
          </w:tcPr>
          <w:p w14:paraId="658B12C4" w14:textId="77777777" w:rsidR="00990B14" w:rsidRDefault="00000000">
            <w:pPr>
              <w:spacing w:after="40"/>
              <w:jc w:val="both"/>
            </w:pPr>
            <w:r>
              <w:rPr>
                <w:sz w:val="18"/>
                <w:szCs w:val="18"/>
              </w:rPr>
              <w:t>1. El valor futuro y el valor actual. (C)</w:t>
            </w:r>
          </w:p>
          <w:p w14:paraId="235BDE65" w14:textId="77777777" w:rsidR="00990B14" w:rsidRDefault="00000000">
            <w:pPr>
              <w:spacing w:after="40"/>
              <w:jc w:val="both"/>
            </w:pPr>
            <w:r>
              <w:rPr>
                <w:sz w:val="18"/>
                <w:szCs w:val="18"/>
              </w:rPr>
              <w:t>2. La inflación. (C)</w:t>
            </w:r>
          </w:p>
          <w:p w14:paraId="166F7F78" w14:textId="77777777" w:rsidR="00990B14" w:rsidRDefault="00000000">
            <w:pPr>
              <w:spacing w:after="40"/>
              <w:jc w:val="both"/>
            </w:pPr>
            <w:r>
              <w:rPr>
                <w:sz w:val="18"/>
                <w:szCs w:val="18"/>
              </w:rPr>
              <w:t>3. Tasa de interés nominal, tasa efectiva y tasa real: relación de Fisher y efecto de la inflación en el poder adquisitivo. (C)</w:t>
            </w:r>
          </w:p>
          <w:p w14:paraId="4E79C99A" w14:textId="77777777" w:rsidR="00990B14" w:rsidRDefault="00000000">
            <w:pPr>
              <w:spacing w:after="40"/>
              <w:jc w:val="both"/>
            </w:pPr>
            <w:r>
              <w:rPr>
                <w:sz w:val="18"/>
                <w:szCs w:val="18"/>
              </w:rPr>
              <w:t>4. Monto único, capitalizaciones, homogenización y descuentos. (C)</w:t>
            </w:r>
          </w:p>
          <w:p w14:paraId="3137FCD3" w14:textId="77777777" w:rsidR="00990B14" w:rsidRDefault="00000000">
            <w:pPr>
              <w:spacing w:after="40"/>
              <w:jc w:val="both"/>
            </w:pPr>
            <w:r>
              <w:rPr>
                <w:sz w:val="18"/>
                <w:szCs w:val="18"/>
              </w:rPr>
              <w:t>5. Tipos de anualidades. (C)</w:t>
            </w:r>
          </w:p>
          <w:p w14:paraId="4BEB095C" w14:textId="77777777" w:rsidR="00990B14" w:rsidRDefault="00000000">
            <w:pPr>
              <w:spacing w:after="40"/>
              <w:jc w:val="both"/>
            </w:pPr>
            <w:r>
              <w:rPr>
                <w:sz w:val="18"/>
                <w:szCs w:val="18"/>
              </w:rPr>
              <w:t>6. Valor presente de una anualidad vencida. (C)</w:t>
            </w:r>
          </w:p>
          <w:p w14:paraId="12D2FF0B" w14:textId="77777777" w:rsidR="00990B14" w:rsidRDefault="00000000">
            <w:pPr>
              <w:spacing w:after="40"/>
              <w:jc w:val="both"/>
            </w:pPr>
            <w:r>
              <w:rPr>
                <w:sz w:val="18"/>
                <w:szCs w:val="18"/>
              </w:rPr>
              <w:t>7. Valor futuro de una anualidad vencida. (C)</w:t>
            </w:r>
          </w:p>
          <w:p w14:paraId="438EFCB2" w14:textId="77777777" w:rsidR="00990B14" w:rsidRDefault="00000000">
            <w:pPr>
              <w:spacing w:after="40"/>
              <w:jc w:val="both"/>
            </w:pPr>
            <w:r>
              <w:rPr>
                <w:sz w:val="18"/>
                <w:szCs w:val="18"/>
              </w:rPr>
              <w:t>8. Anualidades generales. (C)</w:t>
            </w:r>
          </w:p>
          <w:p w14:paraId="5F811F3D" w14:textId="77777777" w:rsidR="00990B14" w:rsidRDefault="00000000">
            <w:pPr>
              <w:spacing w:after="40"/>
              <w:jc w:val="both"/>
            </w:pPr>
            <w:r>
              <w:rPr>
                <w:sz w:val="18"/>
                <w:szCs w:val="18"/>
              </w:rPr>
              <w:t>9. Valor presente de una serie combinada. (C)</w:t>
            </w:r>
          </w:p>
          <w:p w14:paraId="77985A8C" w14:textId="77777777" w:rsidR="00990B14" w:rsidRDefault="00000000">
            <w:pPr>
              <w:spacing w:after="40"/>
              <w:jc w:val="both"/>
            </w:pPr>
            <w:r>
              <w:rPr>
                <w:sz w:val="18"/>
                <w:szCs w:val="18"/>
              </w:rPr>
              <w:t>10. Valor futuro de una serie combinada. (C)</w:t>
            </w:r>
          </w:p>
          <w:p w14:paraId="2AD6A293" w14:textId="77777777" w:rsidR="00990B14" w:rsidRDefault="00000000">
            <w:pPr>
              <w:spacing w:after="40"/>
              <w:jc w:val="both"/>
            </w:pPr>
            <w:r>
              <w:rPr>
                <w:sz w:val="18"/>
                <w:szCs w:val="18"/>
              </w:rPr>
              <w:t>11. Capitalizaciones en periodos menores de un año. (C)</w:t>
            </w:r>
          </w:p>
          <w:p w14:paraId="0727A2AB" w14:textId="77777777" w:rsidR="00990B14" w:rsidRDefault="00000000">
            <w:pPr>
              <w:spacing w:after="40"/>
              <w:jc w:val="both"/>
            </w:pPr>
            <w:r>
              <w:rPr>
                <w:sz w:val="18"/>
                <w:szCs w:val="18"/>
              </w:rPr>
              <w:t>12. Progresiones aritméticas y geométricas. (C, A)</w:t>
            </w:r>
          </w:p>
          <w:p w14:paraId="1698359E" w14:textId="77777777" w:rsidR="00990B14" w:rsidRDefault="00000000">
            <w:pPr>
              <w:spacing w:after="40"/>
              <w:jc w:val="both"/>
            </w:pPr>
            <w:r>
              <w:rPr>
                <w:sz w:val="18"/>
                <w:szCs w:val="18"/>
              </w:rPr>
              <w:t>13. Aplicaciones prácticas. (C)</w:t>
            </w:r>
          </w:p>
          <w:p w14:paraId="684DAA6A" w14:textId="77777777" w:rsidR="00990B14" w:rsidRDefault="00000000">
            <w:pPr>
              <w:spacing w:after="40"/>
              <w:jc w:val="both"/>
            </w:pPr>
            <w:r>
              <w:rPr>
                <w:sz w:val="18"/>
                <w:szCs w:val="18"/>
              </w:rPr>
              <w:t>14. Resolución de problemas de valor del dinero en el tiempo con las funciones financieras de la hoja de cálculo. (P, T)</w:t>
            </w:r>
          </w:p>
          <w:p w14:paraId="068F914F" w14:textId="77777777" w:rsidR="00990B14" w:rsidRDefault="00000000">
            <w:pPr>
              <w:spacing w:after="40"/>
              <w:jc w:val="both"/>
            </w:pPr>
            <w:r>
              <w:rPr>
                <w:sz w:val="18"/>
                <w:szCs w:val="18"/>
              </w:rPr>
              <w:t>15. Mercado de valores y bolsa de valores. (C, A)</w:t>
            </w:r>
          </w:p>
          <w:p w14:paraId="4CC62D49" w14:textId="77777777" w:rsidR="00990B14" w:rsidRDefault="00000000">
            <w:pPr>
              <w:spacing w:after="40"/>
              <w:jc w:val="both"/>
            </w:pPr>
            <w:r>
              <w:rPr>
                <w:sz w:val="18"/>
                <w:szCs w:val="18"/>
              </w:rPr>
              <w:t>16. Titularización. (C)</w:t>
            </w:r>
          </w:p>
          <w:p w14:paraId="69C41C17" w14:textId="77777777" w:rsidR="00990B14" w:rsidRDefault="00000000">
            <w:pPr>
              <w:spacing w:after="40"/>
              <w:jc w:val="both"/>
            </w:pPr>
            <w:r>
              <w:rPr>
                <w:sz w:val="18"/>
                <w:szCs w:val="18"/>
              </w:rPr>
              <w:t>17. Rentas fijas y rentas variables. (C)</w:t>
            </w:r>
          </w:p>
          <w:p w14:paraId="23767EA4" w14:textId="77777777" w:rsidR="00990B14" w:rsidRDefault="00000000">
            <w:pPr>
              <w:spacing w:after="40"/>
              <w:jc w:val="both"/>
            </w:pPr>
            <w:r>
              <w:rPr>
                <w:sz w:val="18"/>
                <w:szCs w:val="18"/>
              </w:rPr>
              <w:t>18. Definición de riesgo y definición de rendimiento. (C)</w:t>
            </w:r>
          </w:p>
          <w:p w14:paraId="13E51CB8" w14:textId="77777777" w:rsidR="00990B14" w:rsidRDefault="00000000">
            <w:pPr>
              <w:spacing w:after="40"/>
              <w:jc w:val="both"/>
            </w:pPr>
            <w:r>
              <w:rPr>
                <w:sz w:val="18"/>
                <w:szCs w:val="18"/>
              </w:rPr>
              <w:t>19. Aversión al riesgo. (C)</w:t>
            </w:r>
          </w:p>
          <w:p w14:paraId="578B68BA" w14:textId="77777777" w:rsidR="00990B14" w:rsidRDefault="00000000">
            <w:pPr>
              <w:spacing w:after="40"/>
              <w:jc w:val="both"/>
            </w:pPr>
            <w:r>
              <w:rPr>
                <w:sz w:val="18"/>
                <w:szCs w:val="18"/>
              </w:rPr>
              <w:t>20. Riesgo de un activo individual y tipos de riesgo. (C)</w:t>
            </w:r>
          </w:p>
          <w:p w14:paraId="1A3D9604" w14:textId="77777777" w:rsidR="00990B14" w:rsidRDefault="00000000">
            <w:pPr>
              <w:spacing w:after="40"/>
              <w:jc w:val="both"/>
            </w:pPr>
            <w:r>
              <w:rPr>
                <w:sz w:val="18"/>
                <w:szCs w:val="18"/>
              </w:rPr>
              <w:t>21. Riesgo de una cartera, correlación y diversificación. (C)</w:t>
            </w:r>
          </w:p>
          <w:p w14:paraId="47B0E740" w14:textId="77777777" w:rsidR="00990B14" w:rsidRDefault="00000000">
            <w:pPr>
              <w:spacing w:after="40"/>
              <w:jc w:val="both"/>
            </w:pPr>
            <w:r>
              <w:rPr>
                <w:sz w:val="18"/>
                <w:szCs w:val="18"/>
              </w:rPr>
              <w:t>22. Diversificación internacional. (C)</w:t>
            </w:r>
          </w:p>
          <w:p w14:paraId="68A46D3F" w14:textId="77777777" w:rsidR="00990B14" w:rsidRDefault="00000000">
            <w:pPr>
              <w:spacing w:after="40"/>
              <w:jc w:val="both"/>
            </w:pPr>
            <w:r>
              <w:rPr>
                <w:sz w:val="18"/>
                <w:szCs w:val="18"/>
              </w:rPr>
              <w:t>23. Riesgo sistemático y riesgo específico; coeficiente beta y modelo de valoración de activos de capital. (P)</w:t>
            </w:r>
          </w:p>
          <w:p w14:paraId="06FFF26A" w14:textId="77777777" w:rsidR="00990B14" w:rsidRDefault="00000000">
            <w:pPr>
              <w:spacing w:after="40"/>
              <w:jc w:val="both"/>
            </w:pPr>
            <w:r>
              <w:rPr>
                <w:sz w:val="18"/>
                <w:szCs w:val="18"/>
              </w:rPr>
              <w:t>24. Medición del riesgo. (P)</w:t>
            </w:r>
          </w:p>
          <w:p w14:paraId="24038EE5" w14:textId="77777777" w:rsidR="00990B14" w:rsidRDefault="00000000">
            <w:pPr>
              <w:spacing w:after="40"/>
              <w:jc w:val="both"/>
            </w:pPr>
            <w:r>
              <w:rPr>
                <w:sz w:val="18"/>
                <w:szCs w:val="18"/>
              </w:rPr>
              <w:t>25. Modelos matemáticos y estadísticos. (C)</w:t>
            </w:r>
          </w:p>
          <w:p w14:paraId="378DBE7C" w14:textId="77777777" w:rsidR="00990B14" w:rsidRDefault="00000000">
            <w:pPr>
              <w:spacing w:after="40"/>
              <w:jc w:val="both"/>
            </w:pPr>
            <w:r>
              <w:rPr>
                <w:sz w:val="18"/>
                <w:szCs w:val="18"/>
              </w:rPr>
              <w:t>26. Riesgo cambiario, riesgo de tasa de interés y riesgo de precio de las empresas bolivianas, y alternativas de cobertura disponibles en el país. (C)</w:t>
            </w:r>
          </w:p>
          <w:p w14:paraId="53D165F9" w14:textId="77777777" w:rsidR="00990B14" w:rsidRDefault="00000000">
            <w:pPr>
              <w:spacing w:after="40"/>
              <w:jc w:val="both"/>
            </w:pPr>
            <w:r>
              <w:rPr>
                <w:sz w:val="18"/>
                <w:szCs w:val="18"/>
              </w:rPr>
              <w:t>27. Colocación de los valores. (C, A)</w:t>
            </w:r>
          </w:p>
          <w:p w14:paraId="2341F3E0" w14:textId="77777777" w:rsidR="00990B14" w:rsidRDefault="00000000">
            <w:pPr>
              <w:spacing w:after="40"/>
              <w:jc w:val="both"/>
            </w:pPr>
            <w:r>
              <w:rPr>
                <w:sz w:val="18"/>
                <w:szCs w:val="18"/>
              </w:rPr>
              <w:t>28. Calificación del bono. (C)</w:t>
            </w:r>
          </w:p>
          <w:p w14:paraId="343599DD" w14:textId="77777777" w:rsidR="00990B14" w:rsidRDefault="00000000">
            <w:pPr>
              <w:spacing w:after="40"/>
              <w:jc w:val="both"/>
            </w:pPr>
            <w:r>
              <w:rPr>
                <w:sz w:val="18"/>
                <w:szCs w:val="18"/>
              </w:rPr>
              <w:t>29. Tipos de bonos. (C)</w:t>
            </w:r>
          </w:p>
          <w:p w14:paraId="075C83B0" w14:textId="77777777" w:rsidR="00990B14" w:rsidRDefault="00000000">
            <w:pPr>
              <w:spacing w:after="40"/>
              <w:jc w:val="both"/>
            </w:pPr>
            <w:r>
              <w:rPr>
                <w:sz w:val="18"/>
                <w:szCs w:val="18"/>
              </w:rPr>
              <w:t>30. Bonos verdes, bonos sociales y bonos sostenibles del mercado de valores boliviano y sus requisitos de emisión. (C, A)</w:t>
            </w:r>
          </w:p>
          <w:p w14:paraId="0334A699" w14:textId="77777777" w:rsidR="00990B14" w:rsidRDefault="00000000">
            <w:pPr>
              <w:spacing w:after="40"/>
              <w:jc w:val="both"/>
            </w:pPr>
            <w:r>
              <w:rPr>
                <w:sz w:val="18"/>
                <w:szCs w:val="18"/>
              </w:rPr>
              <w:t>31. Costo de los bonos corporativos. (C)</w:t>
            </w:r>
          </w:p>
          <w:p w14:paraId="15E7DCC7" w14:textId="77777777" w:rsidR="00990B14" w:rsidRDefault="00000000">
            <w:pPr>
              <w:spacing w:after="40"/>
              <w:jc w:val="both"/>
            </w:pPr>
            <w:r>
              <w:rPr>
                <w:sz w:val="18"/>
                <w:szCs w:val="18"/>
              </w:rPr>
              <w:t>32. Interpretación de cotizaciones de bonos. (C)</w:t>
            </w:r>
          </w:p>
          <w:p w14:paraId="7B0D83AD" w14:textId="77777777" w:rsidR="00990B14" w:rsidRDefault="00000000">
            <w:pPr>
              <w:spacing w:after="40"/>
              <w:jc w:val="both"/>
            </w:pPr>
            <w:r>
              <w:rPr>
                <w:sz w:val="18"/>
                <w:szCs w:val="18"/>
              </w:rPr>
              <w:t>33. Valuación de bonos. (C)</w:t>
            </w:r>
          </w:p>
          <w:p w14:paraId="50817C55" w14:textId="77777777" w:rsidR="00990B14" w:rsidRDefault="00000000">
            <w:pPr>
              <w:spacing w:after="40"/>
              <w:jc w:val="both"/>
            </w:pPr>
            <w:r>
              <w:rPr>
                <w:sz w:val="18"/>
                <w:szCs w:val="18"/>
              </w:rPr>
              <w:t>34. Relación entre el precio del bono y la tasa de mercado, duración y sensibilidad del precio ante cambios de la tasa. (C)</w:t>
            </w:r>
          </w:p>
          <w:p w14:paraId="128BA5B8" w14:textId="77777777" w:rsidR="00990B14" w:rsidRDefault="00000000">
            <w:pPr>
              <w:spacing w:after="40"/>
              <w:jc w:val="both"/>
            </w:pPr>
            <w:r>
              <w:rPr>
                <w:sz w:val="18"/>
                <w:szCs w:val="18"/>
              </w:rPr>
              <w:t>35. Diferencia entre capital de deuda y capital accionario. (C)</w:t>
            </w:r>
          </w:p>
          <w:p w14:paraId="12613958" w14:textId="77777777" w:rsidR="00990B14" w:rsidRDefault="00000000">
            <w:pPr>
              <w:spacing w:after="40"/>
              <w:jc w:val="both"/>
            </w:pPr>
            <w:r>
              <w:rPr>
                <w:sz w:val="18"/>
                <w:szCs w:val="18"/>
              </w:rPr>
              <w:t>36. Acciones ordinarias y acciones preferentes. (C)</w:t>
            </w:r>
          </w:p>
          <w:p w14:paraId="36E1B2F8" w14:textId="77777777" w:rsidR="00990B14" w:rsidRDefault="00000000">
            <w:pPr>
              <w:spacing w:after="40"/>
              <w:jc w:val="both"/>
            </w:pPr>
            <w:r>
              <w:rPr>
                <w:sz w:val="18"/>
                <w:szCs w:val="18"/>
              </w:rPr>
              <w:t>37. Valuación de acciones ordinarias. (C)</w:t>
            </w:r>
          </w:p>
          <w:p w14:paraId="0B9BB14F" w14:textId="77777777" w:rsidR="00990B14" w:rsidRDefault="00000000">
            <w:pPr>
              <w:spacing w:after="40"/>
              <w:jc w:val="both"/>
            </w:pPr>
            <w:r>
              <w:rPr>
                <w:sz w:val="18"/>
                <w:szCs w:val="18"/>
              </w:rPr>
              <w:t>38. Valuación de bonos y de acciones en hoja de cálculo, con funciones financieras y análisis de sensibilidad del precio. (P, T)</w:t>
            </w:r>
          </w:p>
          <w:p w14:paraId="6EEDD5AD" w14:textId="77777777" w:rsidR="00990B14" w:rsidRDefault="00000000">
            <w:pPr>
              <w:spacing w:after="40"/>
              <w:jc w:val="both"/>
            </w:pPr>
            <w:r>
              <w:rPr>
                <w:sz w:val="18"/>
                <w:szCs w:val="18"/>
              </w:rPr>
              <w:t>39. Proceso de decisión en la preparación del presupuesto de capital. (P)</w:t>
            </w:r>
          </w:p>
          <w:p w14:paraId="352B2D9B" w14:textId="77777777" w:rsidR="00990B14" w:rsidRDefault="00000000">
            <w:pPr>
              <w:spacing w:after="40"/>
              <w:jc w:val="both"/>
            </w:pPr>
            <w:r>
              <w:rPr>
                <w:sz w:val="18"/>
                <w:szCs w:val="18"/>
              </w:rPr>
              <w:t>40. Flujos de efectivo relevantes. (C)</w:t>
            </w:r>
          </w:p>
          <w:p w14:paraId="5481728B" w14:textId="77777777" w:rsidR="00990B14" w:rsidRDefault="00000000">
            <w:pPr>
              <w:spacing w:after="40"/>
              <w:jc w:val="both"/>
            </w:pPr>
            <w:r>
              <w:rPr>
                <w:sz w:val="18"/>
                <w:szCs w:val="18"/>
              </w:rPr>
              <w:t>41. Costos hundidos, costos de oportunidad y efectos colaterales en la determinación de los flujos relevantes del proyecto. (P)</w:t>
            </w:r>
          </w:p>
          <w:p w14:paraId="0514132B" w14:textId="77777777" w:rsidR="00990B14" w:rsidRDefault="00000000">
            <w:pPr>
              <w:spacing w:after="40"/>
              <w:jc w:val="both"/>
            </w:pPr>
            <w:r>
              <w:rPr>
                <w:sz w:val="18"/>
                <w:szCs w:val="18"/>
              </w:rPr>
              <w:t>42. Determinación de la inversión inicial. (P)</w:t>
            </w:r>
          </w:p>
          <w:p w14:paraId="6E3015D6" w14:textId="77777777" w:rsidR="00990B14" w:rsidRDefault="00000000">
            <w:pPr>
              <w:spacing w:after="40"/>
              <w:jc w:val="both"/>
            </w:pPr>
            <w:r>
              <w:rPr>
                <w:sz w:val="18"/>
                <w:szCs w:val="18"/>
              </w:rPr>
              <w:t>43. Cómo encontrar los flujos positivos de efectivo operativos. (C)</w:t>
            </w:r>
          </w:p>
          <w:p w14:paraId="45C29BF1" w14:textId="77777777" w:rsidR="00990B14" w:rsidRDefault="00000000">
            <w:pPr>
              <w:spacing w:after="40"/>
              <w:jc w:val="both"/>
            </w:pPr>
            <w:r>
              <w:rPr>
                <w:sz w:val="18"/>
                <w:szCs w:val="18"/>
              </w:rPr>
              <w:t>44. Técnicas para preparar presupuestos de capital. (P)</w:t>
            </w:r>
          </w:p>
          <w:p w14:paraId="55E5474A" w14:textId="77777777" w:rsidR="00990B14" w:rsidRDefault="00000000">
            <w:pPr>
              <w:spacing w:after="40"/>
              <w:jc w:val="both"/>
            </w:pPr>
            <w:r>
              <w:rPr>
                <w:sz w:val="18"/>
                <w:szCs w:val="18"/>
              </w:rPr>
              <w:t>45. Periodo de recuperación. (C)</w:t>
            </w:r>
          </w:p>
          <w:p w14:paraId="57ECBA72" w14:textId="77777777" w:rsidR="00990B14" w:rsidRDefault="00000000">
            <w:pPr>
              <w:spacing w:after="40"/>
              <w:jc w:val="both"/>
            </w:pPr>
            <w:r>
              <w:rPr>
                <w:sz w:val="18"/>
                <w:szCs w:val="18"/>
              </w:rPr>
              <w:t>46. Valor presente neto, VAN. (C)</w:t>
            </w:r>
          </w:p>
          <w:p w14:paraId="2FB99C14" w14:textId="77777777" w:rsidR="00990B14" w:rsidRDefault="00000000">
            <w:pPr>
              <w:spacing w:after="40"/>
              <w:jc w:val="both"/>
            </w:pPr>
            <w:r>
              <w:rPr>
                <w:sz w:val="18"/>
                <w:szCs w:val="18"/>
              </w:rPr>
              <w:t>47. Tasa interna de rendimiento, TIR. (C)</w:t>
            </w:r>
          </w:p>
          <w:p w14:paraId="7EA57DFC" w14:textId="77777777" w:rsidR="00990B14" w:rsidRDefault="00000000">
            <w:pPr>
              <w:spacing w:after="40"/>
              <w:jc w:val="both"/>
            </w:pPr>
            <w:r>
              <w:rPr>
                <w:sz w:val="18"/>
                <w:szCs w:val="18"/>
              </w:rPr>
              <w:t>48. Índice de rentabilidad y limitaciones de la tasa interna de rendimiento en proyectos con flujos no convencionales o mutuamente excluyentes. (C)</w:t>
            </w:r>
          </w:p>
          <w:p w14:paraId="2DDF1AC5" w14:textId="77777777" w:rsidR="00990B14" w:rsidRDefault="00000000">
            <w:pPr>
              <w:spacing w:after="40"/>
              <w:jc w:val="both"/>
            </w:pPr>
            <w:r>
              <w:rPr>
                <w:sz w:val="18"/>
                <w:szCs w:val="18"/>
              </w:rPr>
              <w:t>49. Criterios ambientales, sociales y de gobernanza en la selección de proyectos de inversión de largo plazo. (C)</w:t>
            </w:r>
          </w:p>
          <w:p w14:paraId="6312B288" w14:textId="77777777" w:rsidR="00990B14" w:rsidRDefault="00000000">
            <w:pPr>
              <w:spacing w:after="40"/>
              <w:jc w:val="both"/>
            </w:pPr>
            <w:r>
              <w:rPr>
                <w:sz w:val="18"/>
                <w:szCs w:val="18"/>
              </w:rPr>
              <w:t>50. Análisis de sensibilidad y de escenarios. (P)</w:t>
            </w:r>
          </w:p>
          <w:p w14:paraId="5F5809BC" w14:textId="77777777" w:rsidR="00990B14" w:rsidRDefault="00000000">
            <w:pPr>
              <w:spacing w:after="40"/>
              <w:jc w:val="both"/>
            </w:pPr>
            <w:r>
              <w:rPr>
                <w:sz w:val="18"/>
                <w:szCs w:val="18"/>
              </w:rPr>
              <w:t>51. Árboles de decisión. (C)</w:t>
            </w:r>
          </w:p>
          <w:p w14:paraId="4F7A5494" w14:textId="77777777" w:rsidR="00990B14" w:rsidRDefault="00000000">
            <w:pPr>
              <w:spacing w:after="40"/>
              <w:jc w:val="both"/>
            </w:pPr>
            <w:r>
              <w:rPr>
                <w:sz w:val="18"/>
                <w:szCs w:val="18"/>
              </w:rPr>
              <w:t>52. Simulación. (C)</w:t>
            </w:r>
          </w:p>
          <w:p w14:paraId="230B7F18" w14:textId="77777777" w:rsidR="00990B14" w:rsidRDefault="00000000">
            <w:pPr>
              <w:spacing w:after="40"/>
              <w:jc w:val="both"/>
            </w:pPr>
            <w:r>
              <w:rPr>
                <w:sz w:val="18"/>
                <w:szCs w:val="18"/>
              </w:rPr>
              <w:t>53. Tasas de descuento ajustadas al riesgo. (C)</w:t>
            </w:r>
          </w:p>
          <w:p w14:paraId="0B178095" w14:textId="77777777" w:rsidR="00990B14" w:rsidRDefault="00000000">
            <w:pPr>
              <w:spacing w:after="40"/>
              <w:jc w:val="both"/>
            </w:pPr>
            <w:r>
              <w:rPr>
                <w:sz w:val="18"/>
                <w:szCs w:val="18"/>
              </w:rPr>
              <w:t>54. Determinación de la tasa de descuento en una economía con inflación y riesgo país: prima por riesgo y tasa libre de riesgo de referencia. (P)</w:t>
            </w:r>
          </w:p>
          <w:p w14:paraId="1FAC84D6" w14:textId="77777777" w:rsidR="00990B14" w:rsidRDefault="00000000">
            <w:pPr>
              <w:spacing w:after="40"/>
              <w:jc w:val="both"/>
            </w:pPr>
            <w:r>
              <w:rPr>
                <w:sz w:val="18"/>
                <w:szCs w:val="18"/>
              </w:rPr>
              <w:t>55. Costo de capital: concepto básico. (C)</w:t>
            </w:r>
          </w:p>
          <w:p w14:paraId="3870BBC4" w14:textId="77777777" w:rsidR="00990B14" w:rsidRDefault="00000000">
            <w:pPr>
              <w:spacing w:after="40"/>
              <w:jc w:val="both"/>
            </w:pPr>
            <w:r>
              <w:rPr>
                <w:sz w:val="18"/>
                <w:szCs w:val="18"/>
              </w:rPr>
              <w:t>56. Costo de fuentes específicas de capital. (C)</w:t>
            </w:r>
          </w:p>
          <w:p w14:paraId="57E0269E" w14:textId="77777777" w:rsidR="00990B14" w:rsidRDefault="00000000">
            <w:pPr>
              <w:spacing w:after="40"/>
              <w:jc w:val="both"/>
            </w:pPr>
            <w:r>
              <w:rPr>
                <w:sz w:val="18"/>
                <w:szCs w:val="18"/>
              </w:rPr>
              <w:t>57. Costo de la deuda a largo plazo. (C)</w:t>
            </w:r>
          </w:p>
          <w:p w14:paraId="4D366220" w14:textId="77777777" w:rsidR="00990B14" w:rsidRDefault="00000000">
            <w:pPr>
              <w:spacing w:after="40"/>
              <w:jc w:val="both"/>
            </w:pPr>
            <w:r>
              <w:rPr>
                <w:sz w:val="18"/>
                <w:szCs w:val="18"/>
              </w:rPr>
              <w:t>58. Costo de la acción preferente. (C)</w:t>
            </w:r>
          </w:p>
          <w:p w14:paraId="3A5F4097" w14:textId="77777777" w:rsidR="00990B14" w:rsidRDefault="00000000">
            <w:pPr>
              <w:spacing w:after="40"/>
              <w:jc w:val="both"/>
            </w:pPr>
            <w:r>
              <w:rPr>
                <w:sz w:val="18"/>
                <w:szCs w:val="18"/>
              </w:rPr>
              <w:t>59. Costo de capital promedio ponderado. (C)</w:t>
            </w:r>
          </w:p>
          <w:p w14:paraId="733DA7F6" w14:textId="77777777" w:rsidR="00990B14" w:rsidRDefault="00000000">
            <w:pPr>
              <w:spacing w:after="40"/>
              <w:jc w:val="both"/>
            </w:pPr>
            <w:r>
              <w:rPr>
                <w:sz w:val="18"/>
                <w:szCs w:val="18"/>
              </w:rPr>
              <w:t>60. Efecto del escudo fiscal de la deuda en el costo de capital y límites del endeudamiento. (C)</w:t>
            </w:r>
          </w:p>
          <w:p w14:paraId="1F6170AB" w14:textId="77777777" w:rsidR="00990B14" w:rsidRDefault="00000000">
            <w:pPr>
              <w:spacing w:after="40"/>
              <w:jc w:val="both"/>
            </w:pPr>
            <w:r>
              <w:rPr>
                <w:sz w:val="18"/>
                <w:szCs w:val="18"/>
              </w:rPr>
              <w:t>61. Costo marginal y decisiones de inversión. (C)</w:t>
            </w:r>
          </w:p>
          <w:p w14:paraId="782C23F6" w14:textId="77777777" w:rsidR="00990B14" w:rsidRDefault="00000000">
            <w:pPr>
              <w:spacing w:after="40"/>
              <w:jc w:val="both"/>
            </w:pPr>
            <w:r>
              <w:rPr>
                <w:sz w:val="18"/>
                <w:szCs w:val="18"/>
              </w:rPr>
              <w:t>62. Aplicaciones. (C)</w:t>
            </w:r>
          </w:p>
        </w:tc>
        <w:tc>
          <w:tcPr>
            <w:tcW w:w="2752" w:type="dxa"/>
            <w:gridSpan w:val="3"/>
            <w:shd w:val="clear" w:color="auto" w:fill="D9E2F3"/>
          </w:tcPr>
          <w:p w14:paraId="506C9E62" w14:textId="77777777" w:rsidR="00990B14" w:rsidRDefault="00000000">
            <w:pPr>
              <w:numPr>
                <w:ilvl w:val="0"/>
                <w:numId w:val="139"/>
              </w:numPr>
              <w:spacing w:before="10" w:after="10"/>
              <w:jc w:val="both"/>
            </w:pPr>
            <w:r>
              <w:rPr>
                <w:sz w:val="18"/>
                <w:szCs w:val="18"/>
              </w:rPr>
              <w:t>Convenciones de cómputo de días y de año comercial en las operaciones financieras.</w:t>
            </w:r>
          </w:p>
          <w:p w14:paraId="720505EB" w14:textId="77777777" w:rsidR="00990B14" w:rsidRDefault="00000000">
            <w:pPr>
              <w:numPr>
                <w:ilvl w:val="0"/>
                <w:numId w:val="139"/>
              </w:numPr>
              <w:spacing w:before="10" w:after="10"/>
              <w:jc w:val="both"/>
            </w:pPr>
            <w:r>
              <w:rPr>
                <w:sz w:val="18"/>
                <w:szCs w:val="18"/>
              </w:rPr>
              <w:t>Lectura de tarifarios y condiciones de los productos de ahorro y crédito de las entidades financieras.</w:t>
            </w:r>
          </w:p>
          <w:p w14:paraId="45C0ECED" w14:textId="77777777" w:rsidR="00990B14" w:rsidRDefault="00000000">
            <w:pPr>
              <w:numPr>
                <w:ilvl w:val="0"/>
                <w:numId w:val="139"/>
              </w:numPr>
              <w:spacing w:before="10" w:after="10"/>
              <w:jc w:val="both"/>
            </w:pPr>
            <w:r>
              <w:rPr>
                <w:sz w:val="18"/>
                <w:szCs w:val="18"/>
              </w:rPr>
              <w:t>Nociones de los índices bursátiles internacionales como referencia del rendimiento de mercado.</w:t>
            </w:r>
          </w:p>
          <w:p w14:paraId="154E10F3" w14:textId="77777777" w:rsidR="00990B14" w:rsidRDefault="00000000">
            <w:pPr>
              <w:numPr>
                <w:ilvl w:val="0"/>
                <w:numId w:val="139"/>
              </w:numPr>
              <w:spacing w:before="10" w:after="10"/>
              <w:jc w:val="both"/>
            </w:pPr>
            <w:r>
              <w:rPr>
                <w:sz w:val="18"/>
                <w:szCs w:val="18"/>
              </w:rPr>
              <w:t>Lectura de las hojas de cotización y de los boletines diarios de la bolsa de valores.</w:t>
            </w:r>
          </w:p>
          <w:p w14:paraId="6EECED60" w14:textId="77777777" w:rsidR="00990B14" w:rsidRDefault="00000000">
            <w:pPr>
              <w:numPr>
                <w:ilvl w:val="0"/>
                <w:numId w:val="139"/>
              </w:numPr>
              <w:spacing w:before="10" w:after="10"/>
              <w:jc w:val="both"/>
            </w:pPr>
            <w:r>
              <w:rPr>
                <w:sz w:val="18"/>
                <w:szCs w:val="18"/>
              </w:rPr>
              <w:t>Fuentes internacionales de tasas libres de riesgo y de primas de riesgo de mercado.</w:t>
            </w:r>
          </w:p>
          <w:p w14:paraId="125B776F" w14:textId="77777777" w:rsidR="00990B14" w:rsidRDefault="00000000">
            <w:pPr>
              <w:numPr>
                <w:ilvl w:val="0"/>
                <w:numId w:val="139"/>
              </w:numPr>
              <w:spacing w:before="10" w:after="10"/>
              <w:jc w:val="both"/>
            </w:pPr>
            <w:r>
              <w:rPr>
                <w:sz w:val="18"/>
                <w:szCs w:val="18"/>
              </w:rPr>
              <w:t>Nociones de riesgo país y de sus indicadores de referencia.</w:t>
            </w:r>
          </w:p>
        </w:tc>
      </w:tr>
      <w:tr w:rsidR="00990B14" w14:paraId="012D4550" w14:textId="77777777">
        <w:trPr>
          <w:cantSplit/>
          <w:jc w:val="center"/>
        </w:trPr>
        <w:tc>
          <w:tcPr>
            <w:tcW w:w="9405" w:type="dxa"/>
            <w:gridSpan w:val="13"/>
            <w:shd w:val="clear" w:color="auto" w:fill="D9E2F3"/>
            <w:vAlign w:val="center"/>
          </w:tcPr>
          <w:p w14:paraId="0C24F73B" w14:textId="77777777" w:rsidR="00990B14" w:rsidRDefault="00000000">
            <w:pPr>
              <w:spacing w:before="20" w:after="20"/>
              <w:jc w:val="both"/>
            </w:pPr>
            <w:r>
              <w:rPr>
                <w:b/>
                <w:bCs/>
                <w:i/>
                <w:iCs/>
                <w:sz w:val="18"/>
                <w:szCs w:val="18"/>
              </w:rPr>
              <w:t xml:space="preserve">Elemento de competencia 5: </w:t>
            </w:r>
            <w:r>
              <w:rPr>
                <w:sz w:val="18"/>
                <w:szCs w:val="18"/>
              </w:rPr>
              <w:t>Valora la empresa y determina su estructura de capital óptima y su política de dividendos, analizando sus fortalezas, sus debilidades y su posicionamiento, aplicando los métodos de valor contable, de liquidación, sustancial, de mercado y de flujos descontados, y considerando las restricciones legales, contractuales e internas.</w:t>
            </w:r>
          </w:p>
        </w:tc>
      </w:tr>
      <w:tr w:rsidR="00990B14" w14:paraId="23BC3242" w14:textId="77777777">
        <w:trPr>
          <w:cantSplit/>
          <w:jc w:val="center"/>
        </w:trPr>
        <w:tc>
          <w:tcPr>
            <w:tcW w:w="3133" w:type="dxa"/>
            <w:gridSpan w:val="4"/>
            <w:shd w:val="clear" w:color="auto" w:fill="4472C4"/>
            <w:vAlign w:val="center"/>
          </w:tcPr>
          <w:p w14:paraId="40C8CE5A"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72A126B0"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2B562AFF" w14:textId="77777777" w:rsidR="00990B14" w:rsidRDefault="00000000">
            <w:pPr>
              <w:keepNext/>
              <w:spacing w:before="20" w:after="20"/>
              <w:jc w:val="center"/>
            </w:pPr>
            <w:r>
              <w:rPr>
                <w:b/>
                <w:bCs/>
                <w:i/>
                <w:iCs/>
                <w:color w:val="FFFFFF"/>
                <w:sz w:val="18"/>
                <w:szCs w:val="18"/>
              </w:rPr>
              <w:t>Evidencias de producto</w:t>
            </w:r>
          </w:p>
        </w:tc>
      </w:tr>
      <w:tr w:rsidR="00990B14" w14:paraId="6C58F9A1" w14:textId="77777777">
        <w:trPr>
          <w:cantSplit/>
          <w:jc w:val="center"/>
        </w:trPr>
        <w:tc>
          <w:tcPr>
            <w:tcW w:w="3133" w:type="dxa"/>
            <w:gridSpan w:val="4"/>
            <w:vMerge w:val="restart"/>
            <w:shd w:val="clear" w:color="auto" w:fill="D9E2F3"/>
            <w:vAlign w:val="center"/>
          </w:tcPr>
          <w:p w14:paraId="05E0DB9B" w14:textId="77777777" w:rsidR="00990B14" w:rsidRDefault="00000000">
            <w:pPr>
              <w:spacing w:before="20" w:after="20"/>
              <w:jc w:val="both"/>
            </w:pPr>
            <w:r>
              <w:rPr>
                <w:sz w:val="18"/>
                <w:szCs w:val="18"/>
              </w:rPr>
              <w:t>1. Valora la empresa con los métodos de valor contable, de liquidación, sustancial, de mercado y de flujos descontados, analizando sus fortalezas, sus debilidades y su posicionamiento y evaluando la pertinencia del método con independencia profesional.</w:t>
            </w:r>
          </w:p>
        </w:tc>
        <w:tc>
          <w:tcPr>
            <w:tcW w:w="3135" w:type="dxa"/>
            <w:gridSpan w:val="5"/>
            <w:shd w:val="clear" w:color="auto" w:fill="D9E2F3"/>
            <w:vAlign w:val="center"/>
          </w:tcPr>
          <w:p w14:paraId="1E5583AE" w14:textId="77777777" w:rsidR="00990B14" w:rsidRDefault="00000000">
            <w:pPr>
              <w:spacing w:before="20" w:after="20"/>
              <w:jc w:val="both"/>
            </w:pPr>
            <w:r>
              <w:rPr>
                <w:sz w:val="18"/>
                <w:szCs w:val="18"/>
              </w:rPr>
              <w:t>1.1 Analiza en aula las fortalezas, las debilidades, las amenazas y las oportunidades de la empresa y su posicionamiento frente a la competencia.</w:t>
            </w:r>
          </w:p>
        </w:tc>
        <w:tc>
          <w:tcPr>
            <w:tcW w:w="3137" w:type="dxa"/>
            <w:gridSpan w:val="4"/>
            <w:shd w:val="clear" w:color="auto" w:fill="D9E2F3"/>
            <w:vAlign w:val="center"/>
          </w:tcPr>
          <w:p w14:paraId="51A970CB" w14:textId="77777777" w:rsidR="00990B14" w:rsidRDefault="00000000">
            <w:pPr>
              <w:spacing w:before="20" w:after="20"/>
              <w:jc w:val="both"/>
            </w:pPr>
            <w:r>
              <w:rPr>
                <w:b/>
                <w:bCs/>
                <w:sz w:val="18"/>
                <w:szCs w:val="18"/>
              </w:rPr>
              <w:t xml:space="preserve">Producto 17: </w:t>
            </w:r>
            <w:r>
              <w:rPr>
                <w:sz w:val="18"/>
                <w:szCs w:val="18"/>
              </w:rPr>
              <w:t>Informe de fortalezas, debilidades, amenazas, oportunidades y posicionamiento de la empresa.</w:t>
            </w:r>
          </w:p>
        </w:tc>
      </w:tr>
      <w:tr w:rsidR="00990B14" w14:paraId="53719616" w14:textId="77777777">
        <w:trPr>
          <w:cantSplit/>
          <w:jc w:val="center"/>
        </w:trPr>
        <w:tc>
          <w:tcPr>
            <w:tcW w:w="3133" w:type="dxa"/>
            <w:gridSpan w:val="4"/>
            <w:vMerge/>
            <w:shd w:val="clear" w:color="auto" w:fill="D9E2F3"/>
            <w:vAlign w:val="center"/>
          </w:tcPr>
          <w:p w14:paraId="2C6D862F" w14:textId="77777777" w:rsidR="00990B14" w:rsidRDefault="00990B14">
            <w:pPr>
              <w:spacing w:before="20" w:after="20"/>
            </w:pPr>
          </w:p>
        </w:tc>
        <w:tc>
          <w:tcPr>
            <w:tcW w:w="3135" w:type="dxa"/>
            <w:gridSpan w:val="5"/>
            <w:shd w:val="clear" w:color="auto" w:fill="D9E2F3"/>
            <w:vAlign w:val="center"/>
          </w:tcPr>
          <w:p w14:paraId="00C173BF" w14:textId="77777777" w:rsidR="00990B14" w:rsidRDefault="00000000">
            <w:pPr>
              <w:spacing w:before="20" w:after="20"/>
              <w:jc w:val="both"/>
            </w:pPr>
            <w:r>
              <w:rPr>
                <w:sz w:val="18"/>
                <w:szCs w:val="18"/>
              </w:rPr>
              <w:t>1.2 Valora en equipo la empresa con los distintos métodos y redacta el informe de valoración con sus supuestos verificables.</w:t>
            </w:r>
          </w:p>
        </w:tc>
        <w:tc>
          <w:tcPr>
            <w:tcW w:w="3137" w:type="dxa"/>
            <w:gridSpan w:val="4"/>
            <w:shd w:val="clear" w:color="auto" w:fill="D9E2F3"/>
            <w:vAlign w:val="center"/>
          </w:tcPr>
          <w:p w14:paraId="1882227B" w14:textId="77777777" w:rsidR="00990B14" w:rsidRDefault="00000000">
            <w:pPr>
              <w:spacing w:before="20" w:after="20"/>
              <w:jc w:val="both"/>
            </w:pPr>
            <w:r>
              <w:rPr>
                <w:b/>
                <w:bCs/>
                <w:sz w:val="18"/>
                <w:szCs w:val="18"/>
              </w:rPr>
              <w:t xml:space="preserve">Producto 18: </w:t>
            </w:r>
            <w:r>
              <w:rPr>
                <w:sz w:val="18"/>
                <w:szCs w:val="18"/>
              </w:rPr>
              <w:t>Informe de valoración de la empresa con sus métodos, supuestos y limitaciones.</w:t>
            </w:r>
          </w:p>
        </w:tc>
      </w:tr>
      <w:tr w:rsidR="00990B14" w14:paraId="53112305" w14:textId="77777777">
        <w:trPr>
          <w:cantSplit/>
          <w:jc w:val="center"/>
        </w:trPr>
        <w:tc>
          <w:tcPr>
            <w:tcW w:w="3133" w:type="dxa"/>
            <w:gridSpan w:val="4"/>
            <w:vMerge w:val="restart"/>
            <w:shd w:val="clear" w:color="auto" w:fill="D9E2F3"/>
            <w:vAlign w:val="center"/>
          </w:tcPr>
          <w:p w14:paraId="4797A152" w14:textId="77777777" w:rsidR="00990B14" w:rsidRDefault="00000000">
            <w:pPr>
              <w:spacing w:before="20" w:after="20"/>
              <w:jc w:val="both"/>
            </w:pPr>
            <w:r>
              <w:rPr>
                <w:sz w:val="18"/>
                <w:szCs w:val="18"/>
              </w:rPr>
              <w:t>2. Selecciona la estructura de capital óptima de la empresa y define su política de dividendos, estimando su valor y su utilidad por acción conforme a las restricciones legales, contractuales e internas.</w:t>
            </w:r>
          </w:p>
        </w:tc>
        <w:tc>
          <w:tcPr>
            <w:tcW w:w="3135" w:type="dxa"/>
            <w:gridSpan w:val="5"/>
            <w:shd w:val="clear" w:color="auto" w:fill="D9E2F3"/>
            <w:vAlign w:val="center"/>
          </w:tcPr>
          <w:p w14:paraId="1F14A859" w14:textId="77777777" w:rsidR="00990B14" w:rsidRDefault="00000000">
            <w:pPr>
              <w:spacing w:before="20" w:after="20"/>
              <w:jc w:val="both"/>
            </w:pPr>
            <w:r>
              <w:rPr>
                <w:sz w:val="18"/>
                <w:szCs w:val="18"/>
              </w:rPr>
              <w:t>2.1 Selecciona en equipo la estructura de capital óptima de la empresa estimando su valor y su utilidad por acción.</w:t>
            </w:r>
          </w:p>
        </w:tc>
        <w:tc>
          <w:tcPr>
            <w:tcW w:w="3137" w:type="dxa"/>
            <w:gridSpan w:val="4"/>
            <w:shd w:val="clear" w:color="auto" w:fill="D9E2F3"/>
            <w:vAlign w:val="center"/>
          </w:tcPr>
          <w:p w14:paraId="768B24D6" w14:textId="77777777" w:rsidR="00990B14" w:rsidRDefault="00000000">
            <w:pPr>
              <w:spacing w:before="20" w:after="20"/>
              <w:jc w:val="both"/>
            </w:pPr>
            <w:r>
              <w:rPr>
                <w:b/>
                <w:bCs/>
                <w:sz w:val="18"/>
                <w:szCs w:val="18"/>
              </w:rPr>
              <w:t xml:space="preserve">Producto 19: </w:t>
            </w:r>
            <w:r>
              <w:rPr>
                <w:sz w:val="18"/>
                <w:szCs w:val="18"/>
              </w:rPr>
              <w:t>Propuesta de estructura de capital óptima de la empresa.</w:t>
            </w:r>
          </w:p>
        </w:tc>
      </w:tr>
      <w:tr w:rsidR="00990B14" w14:paraId="3C57D7F4" w14:textId="77777777">
        <w:trPr>
          <w:cantSplit/>
          <w:jc w:val="center"/>
        </w:trPr>
        <w:tc>
          <w:tcPr>
            <w:tcW w:w="3133" w:type="dxa"/>
            <w:gridSpan w:val="4"/>
            <w:vMerge/>
            <w:shd w:val="clear" w:color="auto" w:fill="D9E2F3"/>
            <w:vAlign w:val="center"/>
          </w:tcPr>
          <w:p w14:paraId="53796BA1" w14:textId="77777777" w:rsidR="00990B14" w:rsidRDefault="00990B14">
            <w:pPr>
              <w:spacing w:before="20" w:after="20"/>
            </w:pPr>
          </w:p>
        </w:tc>
        <w:tc>
          <w:tcPr>
            <w:tcW w:w="3135" w:type="dxa"/>
            <w:gridSpan w:val="5"/>
            <w:shd w:val="clear" w:color="auto" w:fill="D9E2F3"/>
            <w:vAlign w:val="center"/>
          </w:tcPr>
          <w:p w14:paraId="7422E025" w14:textId="77777777" w:rsidR="00990B14" w:rsidRDefault="00000000">
            <w:pPr>
              <w:spacing w:before="20" w:after="20"/>
              <w:jc w:val="both"/>
            </w:pPr>
            <w:r>
              <w:rPr>
                <w:sz w:val="18"/>
                <w:szCs w:val="18"/>
              </w:rPr>
              <w:t>2.2 Propone en aula la política de dividendos de una sociedad anónima considerando la reserva legal.</w:t>
            </w:r>
          </w:p>
        </w:tc>
        <w:tc>
          <w:tcPr>
            <w:tcW w:w="3137" w:type="dxa"/>
            <w:gridSpan w:val="4"/>
            <w:shd w:val="clear" w:color="auto" w:fill="D9E2F3"/>
            <w:vAlign w:val="center"/>
          </w:tcPr>
          <w:p w14:paraId="78FDD16A" w14:textId="77777777" w:rsidR="00990B14" w:rsidRDefault="00000000">
            <w:pPr>
              <w:spacing w:before="20" w:after="20"/>
              <w:jc w:val="both"/>
            </w:pPr>
            <w:r>
              <w:rPr>
                <w:b/>
                <w:bCs/>
                <w:sz w:val="18"/>
                <w:szCs w:val="18"/>
              </w:rPr>
              <w:t xml:space="preserve">Producto 20: </w:t>
            </w:r>
            <w:r>
              <w:rPr>
                <w:sz w:val="18"/>
                <w:szCs w:val="18"/>
              </w:rPr>
              <w:t>Propuesta de política de dividendos con sus restricciones.</w:t>
            </w:r>
          </w:p>
        </w:tc>
      </w:tr>
      <w:tr w:rsidR="00990B14" w14:paraId="742E609D" w14:textId="77777777">
        <w:trPr>
          <w:cantSplit/>
          <w:jc w:val="center"/>
        </w:trPr>
        <w:tc>
          <w:tcPr>
            <w:tcW w:w="9405" w:type="dxa"/>
            <w:gridSpan w:val="13"/>
            <w:shd w:val="clear" w:color="auto" w:fill="4472C4"/>
            <w:vAlign w:val="center"/>
          </w:tcPr>
          <w:p w14:paraId="11047CA4" w14:textId="77777777" w:rsidR="00990B14" w:rsidRDefault="00000000">
            <w:pPr>
              <w:keepNext/>
              <w:spacing w:before="20" w:after="20"/>
              <w:jc w:val="center"/>
            </w:pPr>
            <w:r>
              <w:rPr>
                <w:b/>
                <w:bCs/>
                <w:i/>
                <w:iCs/>
                <w:color w:val="FFFFFF"/>
                <w:sz w:val="18"/>
                <w:szCs w:val="18"/>
              </w:rPr>
              <w:t>Evidencias de conocimiento</w:t>
            </w:r>
          </w:p>
        </w:tc>
      </w:tr>
      <w:tr w:rsidR="00990B14" w14:paraId="26607EFA" w14:textId="77777777">
        <w:trPr>
          <w:cantSplit/>
          <w:jc w:val="center"/>
        </w:trPr>
        <w:tc>
          <w:tcPr>
            <w:tcW w:w="2349" w:type="dxa"/>
            <w:gridSpan w:val="2"/>
            <w:shd w:val="clear" w:color="auto" w:fill="4472C4"/>
            <w:vAlign w:val="center"/>
          </w:tcPr>
          <w:p w14:paraId="323D5A5A"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76BFF726" w14:textId="77777777" w:rsidR="00990B14" w:rsidRDefault="00000000">
            <w:pPr>
              <w:keepNext/>
              <w:spacing w:before="20" w:after="20"/>
              <w:jc w:val="both"/>
            </w:pPr>
            <w:r>
              <w:rPr>
                <w:b/>
                <w:bCs/>
                <w:i/>
                <w:iCs/>
                <w:color w:val="FFFFFF"/>
                <w:sz w:val="18"/>
                <w:szCs w:val="18"/>
              </w:rPr>
              <w:t>Contenidos</w:t>
            </w:r>
          </w:p>
          <w:p w14:paraId="3D795F72"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744F6EF4" w14:textId="77777777" w:rsidR="00990B14" w:rsidRDefault="00000000">
            <w:pPr>
              <w:keepNext/>
              <w:spacing w:before="20" w:after="20"/>
              <w:jc w:val="center"/>
            </w:pPr>
            <w:r>
              <w:rPr>
                <w:b/>
                <w:bCs/>
                <w:i/>
                <w:iCs/>
                <w:color w:val="FFFFFF"/>
                <w:sz w:val="18"/>
                <w:szCs w:val="18"/>
              </w:rPr>
              <w:t>Conocimientos circunstanciales</w:t>
            </w:r>
          </w:p>
        </w:tc>
      </w:tr>
      <w:tr w:rsidR="00990B14" w14:paraId="16DC373A" w14:textId="77777777">
        <w:trPr>
          <w:jc w:val="center"/>
        </w:trPr>
        <w:tc>
          <w:tcPr>
            <w:tcW w:w="2349" w:type="dxa"/>
            <w:gridSpan w:val="2"/>
            <w:shd w:val="clear" w:color="auto" w:fill="D9E2F3"/>
          </w:tcPr>
          <w:p w14:paraId="5EF40BDE" w14:textId="77777777" w:rsidR="00990B14" w:rsidRDefault="00000000">
            <w:pPr>
              <w:spacing w:before="20" w:after="40"/>
              <w:jc w:val="both"/>
            </w:pPr>
            <w:r>
              <w:rPr>
                <w:sz w:val="18"/>
                <w:szCs w:val="18"/>
              </w:rPr>
              <w:t>Tema 17: Factores y condiciones para la valoración de empresas y sus métodos de valoración</w:t>
            </w:r>
          </w:p>
          <w:p w14:paraId="537835B0" w14:textId="77777777" w:rsidR="00990B14" w:rsidRDefault="00000000">
            <w:pPr>
              <w:spacing w:before="20" w:after="40"/>
              <w:jc w:val="both"/>
            </w:pPr>
            <w:r>
              <w:rPr>
                <w:sz w:val="18"/>
                <w:szCs w:val="18"/>
              </w:rPr>
              <w:t>Tema 18: Estructura de capital y dividendos</w:t>
            </w:r>
          </w:p>
        </w:tc>
        <w:tc>
          <w:tcPr>
            <w:tcW w:w="4304" w:type="dxa"/>
            <w:gridSpan w:val="8"/>
            <w:shd w:val="clear" w:color="auto" w:fill="D9E2F3"/>
          </w:tcPr>
          <w:p w14:paraId="45B08C4F" w14:textId="77777777" w:rsidR="00990B14" w:rsidRDefault="00000000">
            <w:pPr>
              <w:spacing w:after="40"/>
              <w:jc w:val="both"/>
            </w:pPr>
            <w:r>
              <w:rPr>
                <w:sz w:val="18"/>
                <w:szCs w:val="18"/>
              </w:rPr>
              <w:t>1. Fundamentos de la valoración: valor contable y valor económico. (C, P)</w:t>
            </w:r>
          </w:p>
          <w:p w14:paraId="210397B4" w14:textId="77777777" w:rsidR="00990B14" w:rsidRDefault="00000000">
            <w:pPr>
              <w:spacing w:after="40"/>
              <w:jc w:val="both"/>
            </w:pPr>
            <w:r>
              <w:rPr>
                <w:sz w:val="18"/>
                <w:szCs w:val="18"/>
              </w:rPr>
              <w:t>2. Las fortalezas y las debilidades de la empresa. (C)</w:t>
            </w:r>
          </w:p>
          <w:p w14:paraId="21DFA88A" w14:textId="77777777" w:rsidR="00990B14" w:rsidRDefault="00000000">
            <w:pPr>
              <w:spacing w:after="40"/>
              <w:jc w:val="both"/>
            </w:pPr>
            <w:r>
              <w:rPr>
                <w:sz w:val="18"/>
                <w:szCs w:val="18"/>
              </w:rPr>
              <w:t>3. El posicionamiento en el mercado en relación con la competencia. (C)</w:t>
            </w:r>
          </w:p>
          <w:p w14:paraId="1C5168F0" w14:textId="77777777" w:rsidR="00990B14" w:rsidRDefault="00000000">
            <w:pPr>
              <w:spacing w:after="40"/>
              <w:jc w:val="both"/>
            </w:pPr>
            <w:r>
              <w:rPr>
                <w:sz w:val="18"/>
                <w:szCs w:val="18"/>
              </w:rPr>
              <w:t>4. Las amenazas a las que podría enfrentarse la empresa. (C)</w:t>
            </w:r>
          </w:p>
          <w:p w14:paraId="7A337881" w14:textId="77777777" w:rsidR="00990B14" w:rsidRDefault="00000000">
            <w:pPr>
              <w:spacing w:after="40"/>
              <w:jc w:val="both"/>
            </w:pPr>
            <w:r>
              <w:rPr>
                <w:sz w:val="18"/>
                <w:szCs w:val="18"/>
              </w:rPr>
              <w:t>5. Las oportunidades de expandirse en el mercado. (C)</w:t>
            </w:r>
          </w:p>
          <w:p w14:paraId="23A2EB58" w14:textId="77777777" w:rsidR="00990B14" w:rsidRDefault="00000000">
            <w:pPr>
              <w:spacing w:after="40"/>
              <w:jc w:val="both"/>
            </w:pPr>
            <w:r>
              <w:rPr>
                <w:sz w:val="18"/>
                <w:szCs w:val="18"/>
              </w:rPr>
              <w:t>6. Métodos de valoración: valor contable, valor de liquidación, valor sustancial y valor de mercado. (P)</w:t>
            </w:r>
          </w:p>
          <w:p w14:paraId="3C2B59D3" w14:textId="77777777" w:rsidR="00990B14" w:rsidRDefault="00000000">
            <w:pPr>
              <w:spacing w:after="40"/>
              <w:jc w:val="both"/>
            </w:pPr>
            <w:r>
              <w:rPr>
                <w:sz w:val="18"/>
                <w:szCs w:val="18"/>
              </w:rPr>
              <w:t>7. Valoración por flujos de efectivo descontados y por múltiplos comparables, con sus supuestos y limitaciones. (P)</w:t>
            </w:r>
          </w:p>
          <w:p w14:paraId="6621B8BC" w14:textId="77777777" w:rsidR="00990B14" w:rsidRDefault="00000000">
            <w:pPr>
              <w:spacing w:after="40"/>
              <w:jc w:val="both"/>
            </w:pPr>
            <w:r>
              <w:rPr>
                <w:sz w:val="18"/>
                <w:szCs w:val="18"/>
              </w:rPr>
              <w:t>8. La valoración y los profesionales. (P)</w:t>
            </w:r>
          </w:p>
          <w:p w14:paraId="36B8F045" w14:textId="77777777" w:rsidR="00990B14" w:rsidRDefault="00000000">
            <w:pPr>
              <w:spacing w:after="40"/>
              <w:jc w:val="both"/>
            </w:pPr>
            <w:r>
              <w:rPr>
                <w:sz w:val="18"/>
                <w:szCs w:val="18"/>
              </w:rPr>
              <w:t>9. Jerarquía del valor razonable de la NIIF 13 aplicada a la valoración de activos y pasivos de la empresa. (P)</w:t>
            </w:r>
          </w:p>
          <w:p w14:paraId="6FE65716" w14:textId="77777777" w:rsidR="00990B14" w:rsidRDefault="00000000">
            <w:pPr>
              <w:spacing w:after="40"/>
              <w:jc w:val="both"/>
            </w:pPr>
            <w:r>
              <w:rPr>
                <w:sz w:val="18"/>
                <w:szCs w:val="18"/>
              </w:rPr>
              <w:t>10. Estructura de capital de la empresa y tipos de capital. (C)</w:t>
            </w:r>
          </w:p>
          <w:p w14:paraId="72A7E6E4" w14:textId="77777777" w:rsidR="00990B14" w:rsidRDefault="00000000">
            <w:pPr>
              <w:spacing w:after="40"/>
              <w:jc w:val="both"/>
            </w:pPr>
            <w:r>
              <w:rPr>
                <w:sz w:val="18"/>
                <w:szCs w:val="18"/>
              </w:rPr>
              <w:t>11. Valuación externa de la estructura de capital. (C)</w:t>
            </w:r>
          </w:p>
          <w:p w14:paraId="2E51BB6E" w14:textId="77777777" w:rsidR="00990B14" w:rsidRDefault="00000000">
            <w:pPr>
              <w:spacing w:after="40"/>
              <w:jc w:val="both"/>
            </w:pPr>
            <w:r>
              <w:rPr>
                <w:sz w:val="18"/>
                <w:szCs w:val="18"/>
              </w:rPr>
              <w:t>12. Utilidad antes de intereses e impuestos. (C)</w:t>
            </w:r>
          </w:p>
          <w:p w14:paraId="10903585" w14:textId="77777777" w:rsidR="00990B14" w:rsidRDefault="00000000">
            <w:pPr>
              <w:spacing w:after="40"/>
              <w:jc w:val="both"/>
            </w:pPr>
            <w:r>
              <w:rPr>
                <w:sz w:val="18"/>
                <w:szCs w:val="18"/>
              </w:rPr>
              <w:t>13. Utilidad por acción, EPS, para la estructura de capital. (C)</w:t>
            </w:r>
          </w:p>
          <w:p w14:paraId="0761D888" w14:textId="77777777" w:rsidR="00990B14" w:rsidRDefault="00000000">
            <w:pPr>
              <w:spacing w:after="40"/>
              <w:jc w:val="both"/>
            </w:pPr>
            <w:r>
              <w:rPr>
                <w:sz w:val="18"/>
                <w:szCs w:val="18"/>
              </w:rPr>
              <w:t>14. Plan de financiamiento. (C)</w:t>
            </w:r>
          </w:p>
          <w:p w14:paraId="4FBC8923" w14:textId="77777777" w:rsidR="00990B14" w:rsidRDefault="00000000">
            <w:pPr>
              <w:spacing w:after="40"/>
              <w:jc w:val="both"/>
            </w:pPr>
            <w:r>
              <w:rPr>
                <w:sz w:val="18"/>
                <w:szCs w:val="18"/>
              </w:rPr>
              <w:t>15. Selección de la estructura de capital óptima. (C, P)</w:t>
            </w:r>
          </w:p>
          <w:p w14:paraId="0EE5D23E" w14:textId="77777777" w:rsidR="00990B14" w:rsidRDefault="00000000">
            <w:pPr>
              <w:spacing w:after="40"/>
              <w:jc w:val="both"/>
            </w:pPr>
            <w:r>
              <w:rPr>
                <w:sz w:val="18"/>
                <w:szCs w:val="18"/>
              </w:rPr>
              <w:t>16. Vinculación y estimación del valor. (C)</w:t>
            </w:r>
          </w:p>
          <w:p w14:paraId="21BF55CA" w14:textId="77777777" w:rsidR="00990B14" w:rsidRDefault="00000000">
            <w:pPr>
              <w:spacing w:after="40"/>
              <w:jc w:val="both"/>
            </w:pPr>
            <w:r>
              <w:rPr>
                <w:sz w:val="18"/>
                <w:szCs w:val="18"/>
              </w:rPr>
              <w:t>17. Fundamentos de los dividendos y relevancia de la política de dividendos. (C)</w:t>
            </w:r>
          </w:p>
          <w:p w14:paraId="444AE1E0" w14:textId="77777777" w:rsidR="00990B14" w:rsidRDefault="00000000">
            <w:pPr>
              <w:spacing w:after="40"/>
              <w:jc w:val="both"/>
            </w:pPr>
            <w:r>
              <w:rPr>
                <w:sz w:val="18"/>
                <w:szCs w:val="18"/>
              </w:rPr>
              <w:t>18. Factores que afectan la política de dividendos: restricciones legales, contractuales e internas. (C)</w:t>
            </w:r>
          </w:p>
          <w:p w14:paraId="07C830C2" w14:textId="77777777" w:rsidR="00990B14" w:rsidRDefault="00000000">
            <w:pPr>
              <w:spacing w:after="40"/>
              <w:jc w:val="both"/>
            </w:pPr>
            <w:r>
              <w:rPr>
                <w:sz w:val="18"/>
                <w:szCs w:val="18"/>
              </w:rPr>
              <w:t>19. Reserva legal y restricciones a la distribución de utilidades previstas en el Código de Comercio para las sociedades bolivianas. (C)</w:t>
            </w:r>
          </w:p>
          <w:p w14:paraId="260348E9" w14:textId="77777777" w:rsidR="00990B14" w:rsidRDefault="00000000">
            <w:pPr>
              <w:spacing w:after="40"/>
              <w:jc w:val="both"/>
            </w:pPr>
            <w:r>
              <w:rPr>
                <w:sz w:val="18"/>
                <w:szCs w:val="18"/>
              </w:rPr>
              <w:t>20. Tipos de políticas de dividendos: razón de pago constante, dividendos regulares, y dividendos regulares bajos y adicionales. (C)</w:t>
            </w:r>
          </w:p>
          <w:p w14:paraId="6710E297" w14:textId="77777777" w:rsidR="00990B14" w:rsidRDefault="00000000">
            <w:pPr>
              <w:spacing w:after="40"/>
              <w:jc w:val="both"/>
            </w:pPr>
            <w:r>
              <w:rPr>
                <w:sz w:val="18"/>
                <w:szCs w:val="18"/>
              </w:rPr>
              <w:t>21. Análisis del apalancamiento y de la estructura de capital en hoja de cálculo, con sensibilidad de la utilidad por acción. (C, P, T)</w:t>
            </w:r>
          </w:p>
        </w:tc>
        <w:tc>
          <w:tcPr>
            <w:tcW w:w="2752" w:type="dxa"/>
            <w:gridSpan w:val="3"/>
            <w:shd w:val="clear" w:color="auto" w:fill="D9E2F3"/>
          </w:tcPr>
          <w:p w14:paraId="0DD1B3CB" w14:textId="77777777" w:rsidR="00990B14" w:rsidRDefault="00000000">
            <w:pPr>
              <w:numPr>
                <w:ilvl w:val="0"/>
                <w:numId w:val="139"/>
              </w:numPr>
              <w:spacing w:before="10" w:after="10"/>
              <w:jc w:val="both"/>
            </w:pPr>
            <w:r>
              <w:rPr>
                <w:sz w:val="18"/>
                <w:szCs w:val="18"/>
              </w:rPr>
              <w:t>Fuentes de múltiplos sectoriales de referencia internacional.</w:t>
            </w:r>
          </w:p>
          <w:p w14:paraId="40EB2CAA" w14:textId="77777777" w:rsidR="00990B14" w:rsidRDefault="00000000">
            <w:pPr>
              <w:numPr>
                <w:ilvl w:val="0"/>
                <w:numId w:val="139"/>
              </w:numPr>
              <w:spacing w:before="10" w:after="10"/>
              <w:jc w:val="both"/>
            </w:pPr>
            <w:r>
              <w:rPr>
                <w:sz w:val="18"/>
                <w:szCs w:val="18"/>
              </w:rPr>
              <w:t>Nociones de análisis competitivo sectorial aplicado a la valoración de empresas.</w:t>
            </w:r>
          </w:p>
          <w:p w14:paraId="191D5F42" w14:textId="77777777" w:rsidR="00990B14" w:rsidRDefault="00000000">
            <w:pPr>
              <w:numPr>
                <w:ilvl w:val="0"/>
                <w:numId w:val="139"/>
              </w:numPr>
              <w:spacing w:before="10" w:after="10"/>
              <w:jc w:val="both"/>
            </w:pPr>
            <w:r>
              <w:rPr>
                <w:sz w:val="18"/>
                <w:szCs w:val="18"/>
              </w:rPr>
              <w:t>Prácticas de distribución de utilidades de las empresas bolivianas que cotizan en bolsa.</w:t>
            </w:r>
          </w:p>
        </w:tc>
      </w:tr>
      <w:tr w:rsidR="00990B14" w14:paraId="3257CBF8" w14:textId="77777777">
        <w:trPr>
          <w:cantSplit/>
          <w:jc w:val="center"/>
        </w:trPr>
        <w:tc>
          <w:tcPr>
            <w:tcW w:w="9405" w:type="dxa"/>
            <w:gridSpan w:val="13"/>
            <w:shd w:val="clear" w:color="auto" w:fill="D9E2F3"/>
            <w:vAlign w:val="center"/>
          </w:tcPr>
          <w:p w14:paraId="193F7427" w14:textId="77777777" w:rsidR="00990B14" w:rsidRDefault="00000000">
            <w:pPr>
              <w:spacing w:before="20" w:after="20"/>
              <w:jc w:val="both"/>
            </w:pPr>
            <w:r>
              <w:rPr>
                <w:b/>
                <w:bCs/>
                <w:i/>
                <w:iCs/>
                <w:sz w:val="18"/>
                <w:szCs w:val="18"/>
              </w:rPr>
              <w:t xml:space="preserve">Elemento de competencia 6: </w:t>
            </w:r>
            <w:r>
              <w:rPr>
                <w:sz w:val="18"/>
                <w:szCs w:val="18"/>
              </w:rPr>
              <w:t>Aplica la inteligencia de negocios y las finanzas internacionales en la gestión financiera de la empresa, considerando las tasas de cambio, las tasas de interés y los riesgos de los diferenciales cambiarios.</w:t>
            </w:r>
          </w:p>
        </w:tc>
      </w:tr>
      <w:tr w:rsidR="00990B14" w14:paraId="0A36F8C2" w14:textId="77777777">
        <w:trPr>
          <w:cantSplit/>
          <w:jc w:val="center"/>
        </w:trPr>
        <w:tc>
          <w:tcPr>
            <w:tcW w:w="3133" w:type="dxa"/>
            <w:gridSpan w:val="4"/>
            <w:shd w:val="clear" w:color="auto" w:fill="4472C4"/>
            <w:vAlign w:val="center"/>
          </w:tcPr>
          <w:p w14:paraId="6D38ADBA"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326DA119"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32C9FE8B" w14:textId="77777777" w:rsidR="00990B14" w:rsidRDefault="00000000">
            <w:pPr>
              <w:keepNext/>
              <w:spacing w:before="20" w:after="20"/>
              <w:jc w:val="center"/>
            </w:pPr>
            <w:r>
              <w:rPr>
                <w:b/>
                <w:bCs/>
                <w:i/>
                <w:iCs/>
                <w:color w:val="FFFFFF"/>
                <w:sz w:val="18"/>
                <w:szCs w:val="18"/>
              </w:rPr>
              <w:t>Evidencias de producto</w:t>
            </w:r>
          </w:p>
        </w:tc>
      </w:tr>
      <w:tr w:rsidR="00990B14" w14:paraId="605205AE" w14:textId="77777777">
        <w:trPr>
          <w:cantSplit/>
          <w:jc w:val="center"/>
        </w:trPr>
        <w:tc>
          <w:tcPr>
            <w:tcW w:w="3133" w:type="dxa"/>
            <w:gridSpan w:val="4"/>
            <w:vMerge w:val="restart"/>
            <w:shd w:val="clear" w:color="auto" w:fill="D9E2F3"/>
            <w:vAlign w:val="center"/>
          </w:tcPr>
          <w:p w14:paraId="79F1F148" w14:textId="77777777" w:rsidR="00990B14" w:rsidRDefault="00000000">
            <w:pPr>
              <w:spacing w:before="20" w:after="20"/>
              <w:jc w:val="both"/>
            </w:pPr>
            <w:r>
              <w:rPr>
                <w:sz w:val="18"/>
                <w:szCs w:val="18"/>
              </w:rPr>
              <w:t>1. Aplica la inteligencia de negocios en el área financiera, diseñando un cuadro de mando integral con datos depurados y verificando con criterio la calidad de la información.</w:t>
            </w:r>
          </w:p>
        </w:tc>
        <w:tc>
          <w:tcPr>
            <w:tcW w:w="3135" w:type="dxa"/>
            <w:gridSpan w:val="5"/>
            <w:shd w:val="clear" w:color="auto" w:fill="D9E2F3"/>
            <w:vAlign w:val="center"/>
          </w:tcPr>
          <w:p w14:paraId="51C249F2" w14:textId="77777777" w:rsidR="00990B14" w:rsidRDefault="00000000">
            <w:pPr>
              <w:spacing w:before="20" w:after="20"/>
              <w:jc w:val="both"/>
            </w:pPr>
            <w:r>
              <w:rPr>
                <w:sz w:val="18"/>
                <w:szCs w:val="18"/>
              </w:rPr>
              <w:t>1.1 Diseña en el laboratorio de cómputo un cuadro de mando integral del área financiera de la empresa.</w:t>
            </w:r>
          </w:p>
        </w:tc>
        <w:tc>
          <w:tcPr>
            <w:tcW w:w="3137" w:type="dxa"/>
            <w:gridSpan w:val="4"/>
            <w:shd w:val="clear" w:color="auto" w:fill="D9E2F3"/>
            <w:vAlign w:val="center"/>
          </w:tcPr>
          <w:p w14:paraId="259BAD3F" w14:textId="77777777" w:rsidR="00990B14" w:rsidRDefault="00000000">
            <w:pPr>
              <w:spacing w:before="20" w:after="20"/>
              <w:jc w:val="both"/>
            </w:pPr>
            <w:r>
              <w:rPr>
                <w:b/>
                <w:bCs/>
                <w:sz w:val="18"/>
                <w:szCs w:val="18"/>
              </w:rPr>
              <w:t xml:space="preserve">Producto 21: </w:t>
            </w:r>
            <w:r>
              <w:rPr>
                <w:sz w:val="18"/>
                <w:szCs w:val="18"/>
              </w:rPr>
              <w:t>Cuadro de mando integral del área financiera con herramientas de inteligencia de negocios.</w:t>
            </w:r>
          </w:p>
        </w:tc>
      </w:tr>
      <w:tr w:rsidR="00990B14" w14:paraId="3211F495" w14:textId="77777777">
        <w:trPr>
          <w:cantSplit/>
          <w:jc w:val="center"/>
        </w:trPr>
        <w:tc>
          <w:tcPr>
            <w:tcW w:w="3133" w:type="dxa"/>
            <w:gridSpan w:val="4"/>
            <w:vMerge/>
            <w:shd w:val="clear" w:color="auto" w:fill="D9E2F3"/>
            <w:vAlign w:val="center"/>
          </w:tcPr>
          <w:p w14:paraId="45B0BC1A" w14:textId="77777777" w:rsidR="00990B14" w:rsidRDefault="00990B14">
            <w:pPr>
              <w:spacing w:before="20" w:after="20"/>
            </w:pPr>
          </w:p>
        </w:tc>
        <w:tc>
          <w:tcPr>
            <w:tcW w:w="3135" w:type="dxa"/>
            <w:gridSpan w:val="5"/>
            <w:shd w:val="clear" w:color="auto" w:fill="D9E2F3"/>
            <w:vAlign w:val="center"/>
          </w:tcPr>
          <w:p w14:paraId="282D0DC2" w14:textId="77777777" w:rsidR="00990B14" w:rsidRDefault="00000000">
            <w:pPr>
              <w:spacing w:before="20" w:after="20"/>
              <w:jc w:val="both"/>
            </w:pPr>
            <w:r>
              <w:rPr>
                <w:sz w:val="18"/>
                <w:szCs w:val="18"/>
              </w:rPr>
              <w:t>1.2 Verifica en equipo la calidad de los datos financieros depurados del cuadro de mando integral antes de sustentar una decisión financiera.</w:t>
            </w:r>
          </w:p>
        </w:tc>
        <w:tc>
          <w:tcPr>
            <w:tcW w:w="3137" w:type="dxa"/>
            <w:gridSpan w:val="4"/>
            <w:shd w:val="clear" w:color="auto" w:fill="D9E2F3"/>
            <w:vAlign w:val="center"/>
          </w:tcPr>
          <w:p w14:paraId="63759CEC" w14:textId="77777777" w:rsidR="00990B14" w:rsidRDefault="00000000">
            <w:pPr>
              <w:spacing w:before="20" w:after="20"/>
              <w:jc w:val="both"/>
            </w:pPr>
            <w:r>
              <w:rPr>
                <w:b/>
                <w:bCs/>
                <w:sz w:val="18"/>
                <w:szCs w:val="18"/>
              </w:rPr>
              <w:t xml:space="preserve">Producto 22: </w:t>
            </w:r>
            <w:r>
              <w:rPr>
                <w:sz w:val="18"/>
                <w:szCs w:val="18"/>
              </w:rPr>
              <w:t>Informe de verificación de la calidad de los datos financieros.</w:t>
            </w:r>
          </w:p>
        </w:tc>
      </w:tr>
      <w:tr w:rsidR="00990B14" w14:paraId="17FE3779" w14:textId="77777777">
        <w:trPr>
          <w:cantSplit/>
          <w:jc w:val="center"/>
        </w:trPr>
        <w:tc>
          <w:tcPr>
            <w:tcW w:w="3133" w:type="dxa"/>
            <w:gridSpan w:val="4"/>
            <w:vMerge w:val="restart"/>
            <w:shd w:val="clear" w:color="auto" w:fill="D9E2F3"/>
            <w:vAlign w:val="center"/>
          </w:tcPr>
          <w:p w14:paraId="75E0D2B7" w14:textId="77777777" w:rsidR="00990B14" w:rsidRDefault="00000000">
            <w:pPr>
              <w:spacing w:before="20" w:after="20"/>
              <w:jc w:val="both"/>
            </w:pPr>
            <w:r>
              <w:rPr>
                <w:sz w:val="18"/>
                <w:szCs w:val="18"/>
              </w:rPr>
              <w:t>2. Analiza las finanzas internacionales de la empresa, evaluando las tasas de cambio, las tasas de interés y el riesgo de los diferenciales cambiarios de sus contratos.</w:t>
            </w:r>
          </w:p>
        </w:tc>
        <w:tc>
          <w:tcPr>
            <w:tcW w:w="3135" w:type="dxa"/>
            <w:gridSpan w:val="5"/>
            <w:shd w:val="clear" w:color="auto" w:fill="D9E2F3"/>
            <w:vAlign w:val="center"/>
          </w:tcPr>
          <w:p w14:paraId="4D00A779" w14:textId="77777777" w:rsidR="00990B14" w:rsidRDefault="00000000">
            <w:pPr>
              <w:spacing w:before="20" w:after="20"/>
              <w:jc w:val="both"/>
            </w:pPr>
            <w:r>
              <w:rPr>
                <w:sz w:val="18"/>
                <w:szCs w:val="18"/>
              </w:rPr>
              <w:t>2.1 Analiza en aula la exposición cambiaria por transacción, por conversión y económica de un contrato internacional.</w:t>
            </w:r>
          </w:p>
        </w:tc>
        <w:tc>
          <w:tcPr>
            <w:tcW w:w="3137" w:type="dxa"/>
            <w:gridSpan w:val="4"/>
            <w:shd w:val="clear" w:color="auto" w:fill="D9E2F3"/>
            <w:vAlign w:val="center"/>
          </w:tcPr>
          <w:p w14:paraId="2D25A380" w14:textId="77777777" w:rsidR="00990B14" w:rsidRDefault="00000000">
            <w:pPr>
              <w:spacing w:before="20" w:after="20"/>
              <w:jc w:val="both"/>
            </w:pPr>
            <w:r>
              <w:rPr>
                <w:b/>
                <w:bCs/>
                <w:sz w:val="18"/>
                <w:szCs w:val="18"/>
              </w:rPr>
              <w:t xml:space="preserve">Producto 23: </w:t>
            </w:r>
            <w:r>
              <w:rPr>
                <w:sz w:val="18"/>
                <w:szCs w:val="18"/>
              </w:rPr>
              <w:t>Informe de riesgo de los diferenciales cambiarios de una operación internacional.</w:t>
            </w:r>
          </w:p>
        </w:tc>
      </w:tr>
      <w:tr w:rsidR="00990B14" w14:paraId="08C9AFFC" w14:textId="77777777">
        <w:trPr>
          <w:cantSplit/>
          <w:jc w:val="center"/>
        </w:trPr>
        <w:tc>
          <w:tcPr>
            <w:tcW w:w="3133" w:type="dxa"/>
            <w:gridSpan w:val="4"/>
            <w:vMerge/>
            <w:shd w:val="clear" w:color="auto" w:fill="D9E2F3"/>
            <w:vAlign w:val="center"/>
          </w:tcPr>
          <w:p w14:paraId="0EA2EBDC" w14:textId="77777777" w:rsidR="00990B14" w:rsidRDefault="00990B14">
            <w:pPr>
              <w:spacing w:before="20" w:after="20"/>
            </w:pPr>
          </w:p>
        </w:tc>
        <w:tc>
          <w:tcPr>
            <w:tcW w:w="3135" w:type="dxa"/>
            <w:gridSpan w:val="5"/>
            <w:shd w:val="clear" w:color="auto" w:fill="D9E2F3"/>
            <w:vAlign w:val="center"/>
          </w:tcPr>
          <w:p w14:paraId="1B3F14AA" w14:textId="77777777" w:rsidR="00990B14" w:rsidRDefault="00000000">
            <w:pPr>
              <w:spacing w:before="20" w:after="20"/>
              <w:jc w:val="both"/>
            </w:pPr>
            <w:r>
              <w:rPr>
                <w:sz w:val="18"/>
                <w:szCs w:val="18"/>
              </w:rPr>
              <w:t>2.2 Compara en equipo las fuentes de financiamiento internacional disponibles para la empresa.</w:t>
            </w:r>
          </w:p>
        </w:tc>
        <w:tc>
          <w:tcPr>
            <w:tcW w:w="3137" w:type="dxa"/>
            <w:gridSpan w:val="4"/>
            <w:shd w:val="clear" w:color="auto" w:fill="D9E2F3"/>
            <w:vAlign w:val="center"/>
          </w:tcPr>
          <w:p w14:paraId="5E088B02" w14:textId="77777777" w:rsidR="00990B14" w:rsidRDefault="00000000">
            <w:pPr>
              <w:spacing w:before="20" w:after="20"/>
              <w:jc w:val="both"/>
            </w:pPr>
            <w:r>
              <w:rPr>
                <w:b/>
                <w:bCs/>
                <w:sz w:val="18"/>
                <w:szCs w:val="18"/>
              </w:rPr>
              <w:t xml:space="preserve">Producto 24: </w:t>
            </w:r>
            <w:r>
              <w:rPr>
                <w:sz w:val="18"/>
                <w:szCs w:val="18"/>
              </w:rPr>
              <w:t>Cuadro comparativo de fuentes de financiamiento internacional.</w:t>
            </w:r>
          </w:p>
        </w:tc>
      </w:tr>
      <w:tr w:rsidR="00990B14" w14:paraId="57CE1786" w14:textId="77777777">
        <w:trPr>
          <w:cantSplit/>
          <w:jc w:val="center"/>
        </w:trPr>
        <w:tc>
          <w:tcPr>
            <w:tcW w:w="9405" w:type="dxa"/>
            <w:gridSpan w:val="13"/>
            <w:shd w:val="clear" w:color="auto" w:fill="4472C4"/>
            <w:vAlign w:val="center"/>
          </w:tcPr>
          <w:p w14:paraId="3C710B5F" w14:textId="77777777" w:rsidR="00990B14" w:rsidRDefault="00000000">
            <w:pPr>
              <w:keepNext/>
              <w:spacing w:before="20" w:after="20"/>
              <w:jc w:val="center"/>
            </w:pPr>
            <w:r>
              <w:rPr>
                <w:b/>
                <w:bCs/>
                <w:i/>
                <w:iCs/>
                <w:color w:val="FFFFFF"/>
                <w:sz w:val="18"/>
                <w:szCs w:val="18"/>
              </w:rPr>
              <w:t>Evidencias de conocimiento</w:t>
            </w:r>
          </w:p>
        </w:tc>
      </w:tr>
      <w:tr w:rsidR="00990B14" w14:paraId="0F95659D" w14:textId="77777777">
        <w:trPr>
          <w:cantSplit/>
          <w:jc w:val="center"/>
        </w:trPr>
        <w:tc>
          <w:tcPr>
            <w:tcW w:w="2349" w:type="dxa"/>
            <w:gridSpan w:val="2"/>
            <w:shd w:val="clear" w:color="auto" w:fill="4472C4"/>
            <w:vAlign w:val="center"/>
          </w:tcPr>
          <w:p w14:paraId="18694B9F"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1A86C15F" w14:textId="77777777" w:rsidR="00990B14" w:rsidRDefault="00000000">
            <w:pPr>
              <w:keepNext/>
              <w:spacing w:before="20" w:after="20"/>
              <w:jc w:val="both"/>
            </w:pPr>
            <w:r>
              <w:rPr>
                <w:b/>
                <w:bCs/>
                <w:i/>
                <w:iCs/>
                <w:color w:val="FFFFFF"/>
                <w:sz w:val="18"/>
                <w:szCs w:val="18"/>
              </w:rPr>
              <w:t>Contenidos</w:t>
            </w:r>
          </w:p>
          <w:p w14:paraId="3EB50C3D"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42A358E0" w14:textId="77777777" w:rsidR="00990B14" w:rsidRDefault="00000000">
            <w:pPr>
              <w:keepNext/>
              <w:spacing w:before="20" w:after="20"/>
              <w:jc w:val="center"/>
            </w:pPr>
            <w:r>
              <w:rPr>
                <w:b/>
                <w:bCs/>
                <w:i/>
                <w:iCs/>
                <w:color w:val="FFFFFF"/>
                <w:sz w:val="18"/>
                <w:szCs w:val="18"/>
              </w:rPr>
              <w:t>Conocimientos circunstanciales</w:t>
            </w:r>
          </w:p>
        </w:tc>
      </w:tr>
      <w:tr w:rsidR="00990B14" w14:paraId="5268F4A0" w14:textId="77777777">
        <w:trPr>
          <w:jc w:val="center"/>
        </w:trPr>
        <w:tc>
          <w:tcPr>
            <w:tcW w:w="2349" w:type="dxa"/>
            <w:gridSpan w:val="2"/>
            <w:shd w:val="clear" w:color="auto" w:fill="D9E2F3"/>
          </w:tcPr>
          <w:p w14:paraId="71680283" w14:textId="77777777" w:rsidR="00990B14" w:rsidRDefault="00000000">
            <w:pPr>
              <w:spacing w:before="20" w:after="40"/>
              <w:jc w:val="both"/>
            </w:pPr>
            <w:r>
              <w:rPr>
                <w:sz w:val="18"/>
                <w:szCs w:val="18"/>
              </w:rPr>
              <w:t>Tema 19: Tecnología e inteligencia artificial</w:t>
            </w:r>
          </w:p>
          <w:p w14:paraId="3E354A8F" w14:textId="77777777" w:rsidR="00990B14" w:rsidRDefault="00000000">
            <w:pPr>
              <w:spacing w:before="20" w:after="40"/>
              <w:jc w:val="both"/>
            </w:pPr>
            <w:r>
              <w:rPr>
                <w:sz w:val="18"/>
                <w:szCs w:val="18"/>
              </w:rPr>
              <w:t>Tema 20: Finanzas internacionales</w:t>
            </w:r>
          </w:p>
        </w:tc>
        <w:tc>
          <w:tcPr>
            <w:tcW w:w="4304" w:type="dxa"/>
            <w:gridSpan w:val="8"/>
            <w:shd w:val="clear" w:color="auto" w:fill="D9E2F3"/>
          </w:tcPr>
          <w:p w14:paraId="1D7A2A3E" w14:textId="77777777" w:rsidR="00990B14" w:rsidRDefault="00000000">
            <w:pPr>
              <w:spacing w:after="40"/>
              <w:jc w:val="both"/>
            </w:pPr>
            <w:r>
              <w:rPr>
                <w:sz w:val="18"/>
                <w:szCs w:val="18"/>
              </w:rPr>
              <w:t>1. Inteligencia de negocios y ciencia de datos. (C)</w:t>
            </w:r>
          </w:p>
          <w:p w14:paraId="72B33B47" w14:textId="77777777" w:rsidR="00990B14" w:rsidRDefault="00000000">
            <w:pPr>
              <w:spacing w:after="40"/>
              <w:jc w:val="both"/>
            </w:pPr>
            <w:r>
              <w:rPr>
                <w:sz w:val="18"/>
                <w:szCs w:val="18"/>
              </w:rPr>
              <w:t>2. Conceptos gerenciales e inteligencia de negocios como estrategia empresarial. (C)</w:t>
            </w:r>
          </w:p>
          <w:p w14:paraId="60F5F9D1" w14:textId="77777777" w:rsidR="00990B14" w:rsidRDefault="00000000">
            <w:pPr>
              <w:spacing w:after="40"/>
              <w:jc w:val="both"/>
            </w:pPr>
            <w:r>
              <w:rPr>
                <w:sz w:val="18"/>
                <w:szCs w:val="18"/>
              </w:rPr>
              <w:t>3. Herramientas tecnológicas de inteligencia de negocios. (C, T)</w:t>
            </w:r>
          </w:p>
          <w:p w14:paraId="577DBDD6" w14:textId="77777777" w:rsidR="00990B14" w:rsidRDefault="00000000">
            <w:pPr>
              <w:spacing w:after="40"/>
              <w:jc w:val="both"/>
            </w:pPr>
            <w:r>
              <w:rPr>
                <w:sz w:val="18"/>
                <w:szCs w:val="18"/>
              </w:rPr>
              <w:t>4. Preparación y depuración de los datos financieros: extracción, transformación y carga, y control de la calidad de la información. (P)</w:t>
            </w:r>
          </w:p>
          <w:p w14:paraId="0DE89EB3" w14:textId="77777777" w:rsidR="00990B14" w:rsidRDefault="00000000">
            <w:pPr>
              <w:spacing w:after="40"/>
              <w:jc w:val="both"/>
            </w:pPr>
            <w:r>
              <w:rPr>
                <w:sz w:val="18"/>
                <w:szCs w:val="18"/>
              </w:rPr>
              <w:t>5. Aplicaciones de la inteligencia de negocios en la organización. (C)</w:t>
            </w:r>
          </w:p>
          <w:p w14:paraId="301CF858" w14:textId="77777777" w:rsidR="00990B14" w:rsidRDefault="00000000">
            <w:pPr>
              <w:spacing w:after="40"/>
              <w:jc w:val="both"/>
            </w:pPr>
            <w:r>
              <w:rPr>
                <w:sz w:val="18"/>
                <w:szCs w:val="18"/>
              </w:rPr>
              <w:t>6. Estrategias de implementación de la inteligencia de negocios. (C)</w:t>
            </w:r>
          </w:p>
          <w:p w14:paraId="62700E1A" w14:textId="77777777" w:rsidR="00990B14" w:rsidRDefault="00000000">
            <w:pPr>
              <w:spacing w:after="40"/>
              <w:jc w:val="both"/>
            </w:pPr>
            <w:r>
              <w:rPr>
                <w:sz w:val="18"/>
                <w:szCs w:val="18"/>
              </w:rPr>
              <w:t>7. Aplicaciones de la inteligencia de negocios en el área financiera: cuadro de mando integral. (C)</w:t>
            </w:r>
          </w:p>
          <w:p w14:paraId="7FD9D5E1" w14:textId="77777777" w:rsidR="00990B14" w:rsidRDefault="00000000">
            <w:pPr>
              <w:spacing w:after="40"/>
              <w:jc w:val="both"/>
            </w:pPr>
            <w:r>
              <w:rPr>
                <w:sz w:val="18"/>
                <w:szCs w:val="18"/>
              </w:rPr>
              <w:t>8. Contextualización de las finanzas internacionales desde la perspectiva de la empresa. (C)</w:t>
            </w:r>
          </w:p>
          <w:p w14:paraId="62EF2228" w14:textId="77777777" w:rsidR="00990B14" w:rsidRDefault="00000000">
            <w:pPr>
              <w:spacing w:after="40"/>
              <w:jc w:val="both"/>
            </w:pPr>
            <w:r>
              <w:rPr>
                <w:sz w:val="18"/>
                <w:szCs w:val="18"/>
              </w:rPr>
              <w:t>9. Tasas de cambio, tasa de devaluación y tasas de interés. (C)</w:t>
            </w:r>
          </w:p>
          <w:p w14:paraId="0AFE3778" w14:textId="77777777" w:rsidR="00990B14" w:rsidRDefault="00000000">
            <w:pPr>
              <w:spacing w:after="40"/>
              <w:jc w:val="both"/>
            </w:pPr>
            <w:r>
              <w:rPr>
                <w:sz w:val="18"/>
                <w:szCs w:val="18"/>
              </w:rPr>
              <w:t>10. Fuentes de financiamiento. (C)</w:t>
            </w:r>
          </w:p>
          <w:p w14:paraId="55A2AF63" w14:textId="77777777" w:rsidR="00990B14" w:rsidRDefault="00000000">
            <w:pPr>
              <w:spacing w:after="40"/>
              <w:jc w:val="both"/>
            </w:pPr>
            <w:r>
              <w:rPr>
                <w:sz w:val="18"/>
                <w:szCs w:val="18"/>
              </w:rPr>
              <w:t>11. Valoración de activos financieros. (P)</w:t>
            </w:r>
          </w:p>
          <w:p w14:paraId="5D2F5D07" w14:textId="77777777" w:rsidR="00990B14" w:rsidRDefault="00000000">
            <w:pPr>
              <w:spacing w:after="40"/>
              <w:jc w:val="both"/>
            </w:pPr>
            <w:r>
              <w:rPr>
                <w:sz w:val="18"/>
                <w:szCs w:val="18"/>
              </w:rPr>
              <w:t>12. Inversiones en empresas. (C)</w:t>
            </w:r>
          </w:p>
          <w:p w14:paraId="7D10BD3E" w14:textId="77777777" w:rsidR="00990B14" w:rsidRDefault="00000000">
            <w:pPr>
              <w:spacing w:after="40"/>
              <w:jc w:val="both"/>
            </w:pPr>
            <w:r>
              <w:rPr>
                <w:sz w:val="18"/>
                <w:szCs w:val="18"/>
              </w:rPr>
              <w:t>13. Riesgos de los diferenciales cambiarios. (C)</w:t>
            </w:r>
          </w:p>
          <w:p w14:paraId="0638DC5A" w14:textId="77777777" w:rsidR="00990B14" w:rsidRDefault="00000000">
            <w:pPr>
              <w:spacing w:after="40"/>
              <w:jc w:val="both"/>
            </w:pPr>
            <w:r>
              <w:rPr>
                <w:sz w:val="18"/>
                <w:szCs w:val="18"/>
              </w:rPr>
              <w:t>14. Exposición cambiaria de la empresa: exposición por transacción, por conversión y económica, y alternativas de cobertura. (C)</w:t>
            </w:r>
          </w:p>
          <w:p w14:paraId="4E6A20AB" w14:textId="77777777" w:rsidR="00990B14" w:rsidRDefault="00000000">
            <w:pPr>
              <w:spacing w:after="40"/>
              <w:jc w:val="both"/>
            </w:pPr>
            <w:r>
              <w:rPr>
                <w:sz w:val="18"/>
                <w:szCs w:val="18"/>
              </w:rPr>
              <w:t>15. Contratos. (C)</w:t>
            </w:r>
          </w:p>
        </w:tc>
        <w:tc>
          <w:tcPr>
            <w:tcW w:w="2752" w:type="dxa"/>
            <w:gridSpan w:val="3"/>
            <w:shd w:val="clear" w:color="auto" w:fill="D9E2F3"/>
          </w:tcPr>
          <w:p w14:paraId="58740DE5" w14:textId="77777777" w:rsidR="00990B14" w:rsidRDefault="00000000">
            <w:pPr>
              <w:numPr>
                <w:ilvl w:val="0"/>
                <w:numId w:val="139"/>
              </w:numPr>
              <w:spacing w:before="10" w:after="10"/>
              <w:jc w:val="both"/>
            </w:pPr>
            <w:r>
              <w:rPr>
                <w:sz w:val="18"/>
                <w:szCs w:val="18"/>
              </w:rPr>
              <w:t>Nociones de cartas de crédito y de cobranzas documentarias en las operaciones de comercio exterior.</w:t>
            </w:r>
          </w:p>
          <w:p w14:paraId="7745F8DC" w14:textId="77777777" w:rsidR="00990B14" w:rsidRDefault="00000000">
            <w:pPr>
              <w:numPr>
                <w:ilvl w:val="0"/>
                <w:numId w:val="139"/>
              </w:numPr>
              <w:spacing w:before="10" w:after="10"/>
              <w:jc w:val="both"/>
            </w:pPr>
            <w:r>
              <w:rPr>
                <w:sz w:val="18"/>
                <w:szCs w:val="18"/>
              </w:rPr>
              <w:t>Nociones de gobernanza de datos y de control de acceso en las herramientas de inteligencia de negocios.</w:t>
            </w:r>
          </w:p>
        </w:tc>
      </w:tr>
    </w:tbl>
    <w:p w14:paraId="1F7D7CC3"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737"/>
        <w:gridCol w:w="1654"/>
        <w:gridCol w:w="1821"/>
        <w:gridCol w:w="1654"/>
        <w:gridCol w:w="2539"/>
      </w:tblGrid>
      <w:tr w:rsidR="00990B14" w14:paraId="16CC91D0" w14:textId="77777777">
        <w:trPr>
          <w:cantSplit/>
          <w:jc w:val="center"/>
        </w:trPr>
        <w:tc>
          <w:tcPr>
            <w:tcW w:w="9405" w:type="dxa"/>
            <w:gridSpan w:val="5"/>
            <w:shd w:val="clear" w:color="auto" w:fill="4472C4"/>
            <w:vAlign w:val="center"/>
          </w:tcPr>
          <w:p w14:paraId="2C280821" w14:textId="77777777" w:rsidR="00990B14" w:rsidRDefault="00000000">
            <w:pPr>
              <w:keepNext/>
              <w:spacing w:before="20" w:after="20"/>
              <w:jc w:val="center"/>
            </w:pPr>
            <w:r>
              <w:rPr>
                <w:b/>
                <w:bCs/>
                <w:i/>
                <w:iCs/>
                <w:color w:val="FFFFFF"/>
                <w:sz w:val="18"/>
                <w:szCs w:val="18"/>
              </w:rPr>
              <w:t>Actividades</w:t>
            </w:r>
          </w:p>
        </w:tc>
      </w:tr>
      <w:tr w:rsidR="00990B14" w14:paraId="4E4428D4" w14:textId="77777777">
        <w:trPr>
          <w:cantSplit/>
          <w:jc w:val="center"/>
        </w:trPr>
        <w:tc>
          <w:tcPr>
            <w:tcW w:w="1737" w:type="dxa"/>
            <w:shd w:val="clear" w:color="auto" w:fill="4472C4"/>
            <w:vAlign w:val="center"/>
          </w:tcPr>
          <w:p w14:paraId="41029867" w14:textId="77777777" w:rsidR="00990B14" w:rsidRDefault="00000000">
            <w:pPr>
              <w:keepNext/>
              <w:spacing w:before="20" w:after="20"/>
              <w:jc w:val="center"/>
            </w:pPr>
            <w:r>
              <w:rPr>
                <w:b/>
                <w:bCs/>
                <w:i/>
                <w:iCs/>
                <w:color w:val="FFFFFF"/>
                <w:sz w:val="18"/>
                <w:szCs w:val="18"/>
              </w:rPr>
              <w:t>En clase</w:t>
            </w:r>
          </w:p>
        </w:tc>
        <w:tc>
          <w:tcPr>
            <w:tcW w:w="1654" w:type="dxa"/>
            <w:shd w:val="clear" w:color="auto" w:fill="4472C4"/>
            <w:vAlign w:val="center"/>
          </w:tcPr>
          <w:p w14:paraId="1B9D77F8" w14:textId="77777777" w:rsidR="00990B14" w:rsidRDefault="00000000">
            <w:pPr>
              <w:keepNext/>
              <w:spacing w:before="20" w:after="20"/>
              <w:jc w:val="center"/>
            </w:pPr>
            <w:r>
              <w:rPr>
                <w:b/>
                <w:bCs/>
                <w:i/>
                <w:iCs/>
                <w:color w:val="FFFFFF"/>
                <w:sz w:val="18"/>
                <w:szCs w:val="18"/>
              </w:rPr>
              <w:t>Autónomas</w:t>
            </w:r>
          </w:p>
        </w:tc>
        <w:tc>
          <w:tcPr>
            <w:tcW w:w="1821" w:type="dxa"/>
            <w:shd w:val="clear" w:color="auto" w:fill="4472C4"/>
            <w:vAlign w:val="center"/>
          </w:tcPr>
          <w:p w14:paraId="031022B0" w14:textId="77777777" w:rsidR="00990B14" w:rsidRDefault="00000000">
            <w:pPr>
              <w:keepNext/>
              <w:spacing w:before="20" w:after="20"/>
              <w:jc w:val="center"/>
            </w:pPr>
            <w:r>
              <w:rPr>
                <w:b/>
                <w:bCs/>
                <w:i/>
                <w:iCs/>
                <w:color w:val="FFFFFF"/>
                <w:sz w:val="18"/>
                <w:szCs w:val="18"/>
              </w:rPr>
              <w:t>B-Learning</w:t>
            </w:r>
          </w:p>
        </w:tc>
        <w:tc>
          <w:tcPr>
            <w:tcW w:w="1654" w:type="dxa"/>
            <w:shd w:val="clear" w:color="auto" w:fill="4472C4"/>
            <w:vAlign w:val="center"/>
          </w:tcPr>
          <w:p w14:paraId="1D0F7941" w14:textId="77777777" w:rsidR="00990B14" w:rsidRDefault="00000000">
            <w:pPr>
              <w:keepNext/>
              <w:spacing w:before="20" w:after="20"/>
              <w:jc w:val="center"/>
            </w:pPr>
            <w:r>
              <w:rPr>
                <w:b/>
                <w:bCs/>
                <w:i/>
                <w:iCs/>
                <w:color w:val="FFFFFF"/>
                <w:sz w:val="18"/>
                <w:szCs w:val="18"/>
              </w:rPr>
              <w:t>Taller</w:t>
            </w:r>
          </w:p>
        </w:tc>
        <w:tc>
          <w:tcPr>
            <w:tcW w:w="2539" w:type="dxa"/>
            <w:shd w:val="clear" w:color="auto" w:fill="4472C4"/>
            <w:vAlign w:val="center"/>
          </w:tcPr>
          <w:p w14:paraId="75AB78BF" w14:textId="77777777" w:rsidR="00990B14" w:rsidRDefault="00000000">
            <w:pPr>
              <w:keepNext/>
              <w:spacing w:before="20" w:after="20"/>
              <w:jc w:val="center"/>
            </w:pPr>
            <w:r>
              <w:rPr>
                <w:b/>
                <w:bCs/>
                <w:i/>
                <w:iCs/>
                <w:color w:val="FFFFFF"/>
                <w:sz w:val="18"/>
                <w:szCs w:val="18"/>
              </w:rPr>
              <w:t>Investigación/Práctica</w:t>
            </w:r>
          </w:p>
        </w:tc>
      </w:tr>
      <w:tr w:rsidR="00990B14" w14:paraId="012D8A52" w14:textId="77777777">
        <w:trPr>
          <w:jc w:val="center"/>
        </w:trPr>
        <w:tc>
          <w:tcPr>
            <w:tcW w:w="1737" w:type="dxa"/>
            <w:shd w:val="clear" w:color="auto" w:fill="D9E2F3"/>
          </w:tcPr>
          <w:p w14:paraId="27DF2728" w14:textId="77777777" w:rsidR="00990B14" w:rsidRDefault="00000000">
            <w:pPr>
              <w:numPr>
                <w:ilvl w:val="0"/>
                <w:numId w:val="139"/>
              </w:numPr>
              <w:spacing w:before="10" w:after="10"/>
              <w:jc w:val="both"/>
            </w:pPr>
            <w:r>
              <w:rPr>
                <w:sz w:val="18"/>
                <w:szCs w:val="18"/>
              </w:rPr>
              <w:t>Exposición dialogada de los fundamentos de la administración financiera y del mercado financiero nacional e internacional.</w:t>
            </w:r>
          </w:p>
          <w:p w14:paraId="36EDF0B7" w14:textId="77777777" w:rsidR="00990B14" w:rsidRDefault="00000000">
            <w:pPr>
              <w:numPr>
                <w:ilvl w:val="0"/>
                <w:numId w:val="139"/>
              </w:numPr>
              <w:spacing w:before="10" w:after="10"/>
              <w:jc w:val="both"/>
            </w:pPr>
            <w:r>
              <w:rPr>
                <w:sz w:val="18"/>
                <w:szCs w:val="18"/>
              </w:rPr>
              <w:t>Resolución guiada de ejercicios de valor del dinero en el tiempo, de valuación de bonos y de acciones.</w:t>
            </w:r>
          </w:p>
          <w:p w14:paraId="61386562" w14:textId="77777777" w:rsidR="00990B14" w:rsidRDefault="00000000">
            <w:pPr>
              <w:numPr>
                <w:ilvl w:val="0"/>
                <w:numId w:val="139"/>
              </w:numPr>
              <w:spacing w:before="10" w:after="10"/>
              <w:jc w:val="both"/>
            </w:pPr>
            <w:r>
              <w:rPr>
                <w:sz w:val="18"/>
                <w:szCs w:val="18"/>
              </w:rPr>
              <w:t>Demostración en hoja de cálculo del presupuesto financiero, del flujo de caja proyectado y del análisis de sensibilidad.</w:t>
            </w:r>
          </w:p>
          <w:p w14:paraId="4B9656B0" w14:textId="77777777" w:rsidR="00990B14" w:rsidRDefault="00000000">
            <w:pPr>
              <w:numPr>
                <w:ilvl w:val="0"/>
                <w:numId w:val="139"/>
              </w:numPr>
              <w:spacing w:before="10" w:after="10"/>
              <w:jc w:val="both"/>
            </w:pPr>
            <w:r>
              <w:rPr>
                <w:sz w:val="18"/>
                <w:szCs w:val="18"/>
              </w:rPr>
              <w:t>Análisis de casos de capital de trabajo, de presupuesto de capital y de estructura de capital de empresas nacionales y extranjeras.</w:t>
            </w:r>
          </w:p>
          <w:p w14:paraId="618881F7" w14:textId="77777777" w:rsidR="00990B14" w:rsidRDefault="00000000">
            <w:pPr>
              <w:numPr>
                <w:ilvl w:val="0"/>
                <w:numId w:val="139"/>
              </w:numPr>
              <w:spacing w:before="10" w:after="10"/>
              <w:jc w:val="both"/>
            </w:pPr>
            <w:r>
              <w:rPr>
                <w:sz w:val="18"/>
                <w:szCs w:val="18"/>
              </w:rPr>
              <w:t>Preguntas de comprensión sobre el riesgo, el costo de capital y la valoración de empresas.</w:t>
            </w:r>
          </w:p>
        </w:tc>
        <w:tc>
          <w:tcPr>
            <w:tcW w:w="1654" w:type="dxa"/>
            <w:shd w:val="clear" w:color="auto" w:fill="D9E2F3"/>
          </w:tcPr>
          <w:p w14:paraId="4CEECD60" w14:textId="77777777" w:rsidR="00990B14" w:rsidRDefault="00000000">
            <w:pPr>
              <w:numPr>
                <w:ilvl w:val="0"/>
                <w:numId w:val="139"/>
              </w:numPr>
              <w:spacing w:before="10" w:after="10"/>
              <w:jc w:val="both"/>
            </w:pPr>
            <w:r>
              <w:rPr>
                <w:sz w:val="18"/>
                <w:szCs w:val="18"/>
              </w:rPr>
              <w:t>Resolución de ejercicios de cálculo financiero al cierre de cada tema.</w:t>
            </w:r>
          </w:p>
          <w:p w14:paraId="0049C441" w14:textId="77777777" w:rsidR="00990B14" w:rsidRDefault="00000000">
            <w:pPr>
              <w:numPr>
                <w:ilvl w:val="0"/>
                <w:numId w:val="139"/>
              </w:numPr>
              <w:spacing w:before="10" w:after="10"/>
              <w:jc w:val="both"/>
            </w:pPr>
            <w:r>
              <w:rPr>
                <w:sz w:val="18"/>
                <w:szCs w:val="18"/>
              </w:rPr>
              <w:t>Lectura de los estados financieros publicados por empresas nacionales y extranjeras.</w:t>
            </w:r>
          </w:p>
          <w:p w14:paraId="28FAA611" w14:textId="77777777" w:rsidR="00990B14" w:rsidRDefault="00000000">
            <w:pPr>
              <w:numPr>
                <w:ilvl w:val="0"/>
                <w:numId w:val="139"/>
              </w:numPr>
              <w:spacing w:before="10" w:after="10"/>
              <w:jc w:val="both"/>
            </w:pPr>
            <w:r>
              <w:rPr>
                <w:sz w:val="18"/>
                <w:szCs w:val="18"/>
              </w:rPr>
              <w:t>Desarrollo progresivo de un caso práctico integral de finanzas corporativas.</w:t>
            </w:r>
          </w:p>
        </w:tc>
        <w:tc>
          <w:tcPr>
            <w:tcW w:w="1821" w:type="dxa"/>
            <w:shd w:val="clear" w:color="auto" w:fill="D9E2F3"/>
          </w:tcPr>
          <w:p w14:paraId="32C19359" w14:textId="77777777" w:rsidR="00990B14" w:rsidRDefault="00000000">
            <w:pPr>
              <w:numPr>
                <w:ilvl w:val="0"/>
                <w:numId w:val="139"/>
              </w:numPr>
              <w:spacing w:before="10" w:after="10"/>
              <w:jc w:val="both"/>
            </w:pPr>
            <w:r>
              <w:rPr>
                <w:sz w:val="18"/>
                <w:szCs w:val="18"/>
              </w:rPr>
              <w:t>Cuestionarios de comprensión en la plataforma Moodle UMSA.</w:t>
            </w:r>
          </w:p>
          <w:p w14:paraId="473E95E6" w14:textId="77777777" w:rsidR="00990B14" w:rsidRDefault="00000000">
            <w:pPr>
              <w:numPr>
                <w:ilvl w:val="0"/>
                <w:numId w:val="139"/>
              </w:numPr>
              <w:spacing w:before="10" w:after="10"/>
              <w:jc w:val="both"/>
            </w:pPr>
            <w:r>
              <w:rPr>
                <w:sz w:val="18"/>
                <w:szCs w:val="18"/>
              </w:rPr>
              <w:t>Foros de consulta sobre casos prácticos de valuación e inversión.</w:t>
            </w:r>
          </w:p>
          <w:p w14:paraId="470966DB" w14:textId="77777777" w:rsidR="00990B14" w:rsidRDefault="00000000">
            <w:pPr>
              <w:numPr>
                <w:ilvl w:val="0"/>
                <w:numId w:val="139"/>
              </w:numPr>
              <w:spacing w:before="10" w:after="10"/>
              <w:jc w:val="both"/>
            </w:pPr>
            <w:r>
              <w:rPr>
                <w:sz w:val="18"/>
                <w:szCs w:val="18"/>
              </w:rPr>
              <w:t>Videotutoriales de cálculo financiero con hoja de cálculo.</w:t>
            </w:r>
          </w:p>
          <w:p w14:paraId="4EBBB247" w14:textId="77777777" w:rsidR="00990B14" w:rsidRDefault="00000000">
            <w:pPr>
              <w:numPr>
                <w:ilvl w:val="0"/>
                <w:numId w:val="139"/>
              </w:numPr>
              <w:spacing w:before="10" w:after="10"/>
              <w:jc w:val="both"/>
            </w:pPr>
            <w:r>
              <w:rPr>
                <w:sz w:val="18"/>
                <w:szCs w:val="18"/>
              </w:rPr>
              <w:t>Ejercicios de valuación de bonos y acciones y de cálculo del costo de capital promedio ponderado.</w:t>
            </w:r>
          </w:p>
        </w:tc>
        <w:tc>
          <w:tcPr>
            <w:tcW w:w="1654" w:type="dxa"/>
            <w:shd w:val="clear" w:color="auto" w:fill="D9E2F3"/>
          </w:tcPr>
          <w:p w14:paraId="11B33C04" w14:textId="77777777" w:rsidR="00990B14" w:rsidRDefault="00000000">
            <w:pPr>
              <w:numPr>
                <w:ilvl w:val="0"/>
                <w:numId w:val="139"/>
              </w:numPr>
              <w:spacing w:before="10" w:after="10"/>
              <w:jc w:val="both"/>
            </w:pPr>
            <w:r>
              <w:rPr>
                <w:sz w:val="18"/>
                <w:szCs w:val="18"/>
              </w:rPr>
              <w:t>Resolución colaborativa de casos de presupuesto de capital y de valuación de bonos y acciones.</w:t>
            </w:r>
          </w:p>
          <w:p w14:paraId="24122059" w14:textId="77777777" w:rsidR="00990B14" w:rsidRDefault="00000000">
            <w:pPr>
              <w:numPr>
                <w:ilvl w:val="0"/>
                <w:numId w:val="139"/>
              </w:numPr>
              <w:spacing w:before="10" w:after="10"/>
              <w:jc w:val="both"/>
            </w:pPr>
            <w:r>
              <w:rPr>
                <w:sz w:val="18"/>
                <w:szCs w:val="18"/>
              </w:rPr>
              <w:t>Elaboración guiada del presupuesto maestro y del análisis de sensibilidad.</w:t>
            </w:r>
          </w:p>
          <w:p w14:paraId="666FC754" w14:textId="77777777" w:rsidR="00990B14" w:rsidRDefault="00000000">
            <w:pPr>
              <w:numPr>
                <w:ilvl w:val="0"/>
                <w:numId w:val="139"/>
              </w:numPr>
              <w:spacing w:before="10" w:after="10"/>
              <w:jc w:val="both"/>
            </w:pPr>
            <w:r>
              <w:rPr>
                <w:sz w:val="18"/>
                <w:szCs w:val="18"/>
              </w:rPr>
              <w:t>Revisión cruzada de la valoración de empresas entre equipos.</w:t>
            </w:r>
          </w:p>
          <w:p w14:paraId="693EC8EA" w14:textId="77777777" w:rsidR="00990B14" w:rsidRDefault="00000000">
            <w:pPr>
              <w:numPr>
                <w:ilvl w:val="0"/>
                <w:numId w:val="139"/>
              </w:numPr>
              <w:spacing w:before="10" w:after="10"/>
              <w:jc w:val="both"/>
            </w:pPr>
            <w:r>
              <w:rPr>
                <w:sz w:val="18"/>
                <w:szCs w:val="18"/>
              </w:rPr>
              <w:t>Construcción del flujo de caja proyectado y del análisis de escenarios de la empresa en hoja de cálculo.</w:t>
            </w:r>
          </w:p>
        </w:tc>
        <w:tc>
          <w:tcPr>
            <w:tcW w:w="2539" w:type="dxa"/>
            <w:shd w:val="clear" w:color="auto" w:fill="D9E2F3"/>
          </w:tcPr>
          <w:p w14:paraId="28AEAC53" w14:textId="77777777" w:rsidR="00990B14" w:rsidRDefault="00000000">
            <w:pPr>
              <w:numPr>
                <w:ilvl w:val="0"/>
                <w:numId w:val="139"/>
              </w:numPr>
              <w:spacing w:before="10" w:after="10"/>
              <w:jc w:val="both"/>
            </w:pPr>
            <w:r>
              <w:rPr>
                <w:sz w:val="18"/>
                <w:szCs w:val="18"/>
              </w:rPr>
              <w:t>Análisis de la estructura de capital y de la política de dividendos de empresas que cotizan en bolsas de valores nacionales e internacionales.</w:t>
            </w:r>
          </w:p>
          <w:p w14:paraId="5015B488" w14:textId="77777777" w:rsidR="00990B14" w:rsidRDefault="00000000">
            <w:pPr>
              <w:numPr>
                <w:ilvl w:val="0"/>
                <w:numId w:val="139"/>
              </w:numPr>
              <w:spacing w:before="10" w:after="10"/>
              <w:jc w:val="both"/>
            </w:pPr>
            <w:r>
              <w:rPr>
                <w:sz w:val="18"/>
                <w:szCs w:val="18"/>
              </w:rPr>
              <w:t>Revisión de emisiones de bonos y acciones registradas en mercados de valores nacionales e internacionales.</w:t>
            </w:r>
          </w:p>
          <w:p w14:paraId="6BBBB113" w14:textId="77777777" w:rsidR="00990B14" w:rsidRDefault="00000000">
            <w:pPr>
              <w:numPr>
                <w:ilvl w:val="0"/>
                <w:numId w:val="139"/>
              </w:numPr>
              <w:spacing w:before="10" w:after="10"/>
              <w:jc w:val="both"/>
            </w:pPr>
            <w:r>
              <w:rPr>
                <w:sz w:val="18"/>
                <w:szCs w:val="18"/>
              </w:rPr>
              <w:t>Comparación de herramientas de inteligencia de negocios aplicadas al área financiera.</w:t>
            </w:r>
          </w:p>
          <w:p w14:paraId="1A8526C8" w14:textId="77777777" w:rsidR="00990B14" w:rsidRDefault="00000000">
            <w:pPr>
              <w:numPr>
                <w:ilvl w:val="0"/>
                <w:numId w:val="139"/>
              </w:numPr>
              <w:spacing w:before="10" w:after="10"/>
              <w:jc w:val="both"/>
            </w:pPr>
            <w:r>
              <w:rPr>
                <w:sz w:val="18"/>
                <w:szCs w:val="18"/>
              </w:rPr>
              <w:t>Análisis de una emisión de valores registrada en una bolsa de valores y de su calificación de riesgo.</w:t>
            </w:r>
          </w:p>
        </w:tc>
      </w:tr>
    </w:tbl>
    <w:p w14:paraId="4B202017"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850"/>
        <w:gridCol w:w="1910"/>
        <w:gridCol w:w="1910"/>
        <w:gridCol w:w="1867"/>
        <w:gridCol w:w="1868"/>
      </w:tblGrid>
      <w:tr w:rsidR="00990B14" w14:paraId="41025AA5" w14:textId="77777777">
        <w:trPr>
          <w:jc w:val="center"/>
        </w:trPr>
        <w:tc>
          <w:tcPr>
            <w:tcW w:w="1850" w:type="dxa"/>
            <w:shd w:val="clear" w:color="auto" w:fill="4472C4"/>
            <w:vAlign w:val="center"/>
          </w:tcPr>
          <w:p w14:paraId="2A7BE3F5" w14:textId="77777777" w:rsidR="00990B14" w:rsidRDefault="00000000">
            <w:pPr>
              <w:spacing w:before="20" w:after="20"/>
              <w:jc w:val="center"/>
            </w:pPr>
            <w:r>
              <w:rPr>
                <w:b/>
                <w:bCs/>
                <w:i/>
                <w:iCs/>
                <w:color w:val="FFFFFF"/>
                <w:sz w:val="18"/>
                <w:szCs w:val="18"/>
              </w:rPr>
              <w:t>Estrategias de aprendizaje y enseñanza</w:t>
            </w:r>
          </w:p>
        </w:tc>
        <w:tc>
          <w:tcPr>
            <w:tcW w:w="7555" w:type="dxa"/>
            <w:gridSpan w:val="4"/>
            <w:shd w:val="clear" w:color="auto" w:fill="D9E2F3"/>
            <w:vAlign w:val="center"/>
          </w:tcPr>
          <w:p w14:paraId="6DE4E586" w14:textId="77777777" w:rsidR="00990B14" w:rsidRDefault="00000000">
            <w:pPr>
              <w:numPr>
                <w:ilvl w:val="0"/>
                <w:numId w:val="140"/>
              </w:numPr>
              <w:spacing w:before="10" w:after="10"/>
              <w:jc w:val="both"/>
            </w:pPr>
            <w:r>
              <w:rPr>
                <w:sz w:val="18"/>
                <w:szCs w:val="18"/>
              </w:rPr>
              <w:t>Aprendizaje basado en problemas con casos de empresas nacionales y extranjeras.</w:t>
            </w:r>
          </w:p>
          <w:p w14:paraId="01463660" w14:textId="77777777" w:rsidR="00990B14" w:rsidRDefault="00000000">
            <w:pPr>
              <w:numPr>
                <w:ilvl w:val="0"/>
                <w:numId w:val="140"/>
              </w:numPr>
              <w:spacing w:before="10" w:after="10"/>
              <w:jc w:val="both"/>
            </w:pPr>
            <w:r>
              <w:rPr>
                <w:sz w:val="18"/>
                <w:szCs w:val="18"/>
              </w:rPr>
              <w:t>Resolución guiada de ejercicios financieros en orden de dificultad creciente.</w:t>
            </w:r>
          </w:p>
          <w:p w14:paraId="7DA0BB8A" w14:textId="77777777" w:rsidR="00990B14" w:rsidRDefault="00000000">
            <w:pPr>
              <w:numPr>
                <w:ilvl w:val="0"/>
                <w:numId w:val="140"/>
              </w:numPr>
              <w:spacing w:before="10" w:after="10"/>
              <w:jc w:val="both"/>
            </w:pPr>
            <w:r>
              <w:rPr>
                <w:sz w:val="18"/>
                <w:szCs w:val="18"/>
              </w:rPr>
              <w:t>Caso práctico integral que recorre la planificación, la inversión y la estructura de capital de la empresa.</w:t>
            </w:r>
          </w:p>
          <w:p w14:paraId="1A47A5F5" w14:textId="77777777" w:rsidR="00990B14" w:rsidRDefault="00000000">
            <w:pPr>
              <w:numPr>
                <w:ilvl w:val="0"/>
                <w:numId w:val="140"/>
              </w:numPr>
              <w:spacing w:before="10" w:after="10"/>
              <w:jc w:val="both"/>
            </w:pPr>
            <w:r>
              <w:rPr>
                <w:sz w:val="18"/>
                <w:szCs w:val="18"/>
              </w:rPr>
              <w:t>Estudio de casos de valoración de empresas reales.</w:t>
            </w:r>
          </w:p>
          <w:p w14:paraId="49B65A95" w14:textId="77777777" w:rsidR="00990B14" w:rsidRDefault="00000000">
            <w:pPr>
              <w:numPr>
                <w:ilvl w:val="0"/>
                <w:numId w:val="140"/>
              </w:numPr>
              <w:spacing w:before="10" w:after="10"/>
              <w:jc w:val="both"/>
            </w:pPr>
            <w:r>
              <w:rPr>
                <w:sz w:val="18"/>
                <w:szCs w:val="18"/>
              </w:rPr>
              <w:t>Trabajo colaborativo en equipos de análisis y de cálculo financiero.</w:t>
            </w:r>
          </w:p>
          <w:p w14:paraId="73BDD0E8" w14:textId="77777777" w:rsidR="00990B14" w:rsidRDefault="00000000">
            <w:pPr>
              <w:numPr>
                <w:ilvl w:val="0"/>
                <w:numId w:val="140"/>
              </w:numPr>
              <w:spacing w:before="10" w:after="10"/>
              <w:jc w:val="both"/>
            </w:pPr>
            <w:r>
              <w:rPr>
                <w:sz w:val="18"/>
                <w:szCs w:val="18"/>
              </w:rPr>
              <w:t>Clase invertida para los contenidos normativos del mercado de valores.</w:t>
            </w:r>
          </w:p>
          <w:p w14:paraId="540438C2" w14:textId="77777777" w:rsidR="00990B14" w:rsidRDefault="00000000">
            <w:pPr>
              <w:numPr>
                <w:ilvl w:val="0"/>
                <w:numId w:val="140"/>
              </w:numPr>
              <w:spacing w:before="10" w:after="10"/>
              <w:jc w:val="both"/>
            </w:pPr>
            <w:r>
              <w:rPr>
                <w:sz w:val="18"/>
                <w:szCs w:val="18"/>
              </w:rPr>
              <w:t>Análisis crítico de los supuestos de un modelo financiero antes de recomendar una decisión.</w:t>
            </w:r>
          </w:p>
        </w:tc>
      </w:tr>
      <w:tr w:rsidR="00990B14" w14:paraId="36F3BD9A" w14:textId="77777777">
        <w:trPr>
          <w:jc w:val="center"/>
        </w:trPr>
        <w:tc>
          <w:tcPr>
            <w:tcW w:w="1850" w:type="dxa"/>
            <w:shd w:val="clear" w:color="auto" w:fill="4472C4"/>
            <w:vAlign w:val="center"/>
          </w:tcPr>
          <w:p w14:paraId="125C4290" w14:textId="77777777" w:rsidR="00990B14" w:rsidRDefault="00000000">
            <w:pPr>
              <w:spacing w:before="20" w:after="20"/>
              <w:jc w:val="center"/>
            </w:pPr>
            <w:r>
              <w:rPr>
                <w:b/>
                <w:bCs/>
                <w:i/>
                <w:iCs/>
                <w:color w:val="FFFFFF"/>
                <w:sz w:val="18"/>
                <w:szCs w:val="18"/>
              </w:rPr>
              <w:t>Recursos para el aprendizaje</w:t>
            </w:r>
          </w:p>
        </w:tc>
        <w:tc>
          <w:tcPr>
            <w:tcW w:w="7555" w:type="dxa"/>
            <w:gridSpan w:val="4"/>
            <w:shd w:val="clear" w:color="auto" w:fill="D9E2F3"/>
            <w:vAlign w:val="center"/>
          </w:tcPr>
          <w:p w14:paraId="787240E3" w14:textId="77777777" w:rsidR="00990B14" w:rsidRDefault="00000000">
            <w:pPr>
              <w:numPr>
                <w:ilvl w:val="0"/>
                <w:numId w:val="140"/>
              </w:numPr>
              <w:spacing w:before="10" w:after="10"/>
              <w:jc w:val="both"/>
            </w:pPr>
            <w:r>
              <w:rPr>
                <w:sz w:val="18"/>
                <w:szCs w:val="18"/>
              </w:rPr>
              <w:t>Plataforma Moodle UMSA.</w:t>
            </w:r>
          </w:p>
          <w:p w14:paraId="5230359B" w14:textId="77777777" w:rsidR="00990B14" w:rsidRDefault="00000000">
            <w:pPr>
              <w:numPr>
                <w:ilvl w:val="0"/>
                <w:numId w:val="140"/>
              </w:numPr>
              <w:spacing w:before="10" w:after="10"/>
              <w:jc w:val="both"/>
            </w:pPr>
            <w:r>
              <w:rPr>
                <w:sz w:val="18"/>
                <w:szCs w:val="18"/>
              </w:rPr>
              <w:t>Hoja de cálculo para modelos financieros.</w:t>
            </w:r>
          </w:p>
          <w:p w14:paraId="1E855FF1" w14:textId="77777777" w:rsidR="00990B14" w:rsidRDefault="00000000">
            <w:pPr>
              <w:numPr>
                <w:ilvl w:val="0"/>
                <w:numId w:val="140"/>
              </w:numPr>
              <w:spacing w:before="10" w:after="10"/>
              <w:jc w:val="both"/>
            </w:pPr>
            <w:r>
              <w:rPr>
                <w:sz w:val="18"/>
                <w:szCs w:val="18"/>
              </w:rPr>
              <w:t>Compendio de Normas de Contabilidad y Auditoría del CAUB y Normas Internacionales de Información Financiera.</w:t>
            </w:r>
          </w:p>
          <w:p w14:paraId="7DBE51DA" w14:textId="77777777" w:rsidR="00990B14" w:rsidRDefault="00000000">
            <w:pPr>
              <w:numPr>
                <w:ilvl w:val="0"/>
                <w:numId w:val="140"/>
              </w:numPr>
              <w:spacing w:before="10" w:after="10"/>
              <w:jc w:val="both"/>
            </w:pPr>
            <w:r>
              <w:rPr>
                <w:sz w:val="18"/>
                <w:szCs w:val="18"/>
              </w:rPr>
              <w:t>Cotizaciones de bonos y acciones de la Bolsa Boliviana de Valores.</w:t>
            </w:r>
          </w:p>
          <w:p w14:paraId="095705F8" w14:textId="77777777" w:rsidR="00990B14" w:rsidRDefault="00000000">
            <w:pPr>
              <w:numPr>
                <w:ilvl w:val="0"/>
                <w:numId w:val="140"/>
              </w:numPr>
              <w:spacing w:before="10" w:after="10"/>
              <w:jc w:val="both"/>
            </w:pPr>
            <w:r>
              <w:rPr>
                <w:sz w:val="18"/>
                <w:szCs w:val="18"/>
              </w:rPr>
              <w:t>Guías de ejercicios y casos elaborados por la cátedra.</w:t>
            </w:r>
          </w:p>
          <w:p w14:paraId="6A8CB29D" w14:textId="77777777" w:rsidR="00990B14" w:rsidRDefault="00000000">
            <w:pPr>
              <w:numPr>
                <w:ilvl w:val="0"/>
                <w:numId w:val="140"/>
              </w:numPr>
              <w:spacing w:before="10" w:after="10"/>
              <w:jc w:val="both"/>
            </w:pPr>
            <w:r>
              <w:rPr>
                <w:sz w:val="18"/>
                <w:szCs w:val="18"/>
              </w:rPr>
              <w:t>Funciones financieras, tablas de datos y herramientas de escenarios de la hoja de cálculo.</w:t>
            </w:r>
          </w:p>
          <w:p w14:paraId="32AD21BA" w14:textId="77777777" w:rsidR="00990B14" w:rsidRDefault="00000000">
            <w:pPr>
              <w:numPr>
                <w:ilvl w:val="0"/>
                <w:numId w:val="140"/>
              </w:numPr>
              <w:spacing w:before="10" w:after="10"/>
              <w:jc w:val="both"/>
            </w:pPr>
            <w:r>
              <w:rPr>
                <w:sz w:val="18"/>
                <w:szCs w:val="18"/>
              </w:rPr>
              <w:t>Información del Banco Central de Bolivia, de la Bolsa Boliviana de Valores y de la Autoridad de Supervisión del Sistema Financiero.</w:t>
            </w:r>
          </w:p>
        </w:tc>
      </w:tr>
      <w:tr w:rsidR="00990B14" w14:paraId="01A8073C" w14:textId="77777777">
        <w:trPr>
          <w:jc w:val="center"/>
        </w:trPr>
        <w:tc>
          <w:tcPr>
            <w:tcW w:w="1850" w:type="dxa"/>
            <w:shd w:val="clear" w:color="auto" w:fill="4472C4"/>
            <w:vAlign w:val="center"/>
          </w:tcPr>
          <w:p w14:paraId="3FBD9F67" w14:textId="77777777" w:rsidR="00990B14" w:rsidRDefault="00000000">
            <w:pPr>
              <w:spacing w:before="20" w:after="20"/>
              <w:jc w:val="center"/>
            </w:pPr>
            <w:r>
              <w:rPr>
                <w:b/>
                <w:bCs/>
                <w:i/>
                <w:iCs/>
                <w:color w:val="FFFFFF"/>
                <w:sz w:val="18"/>
                <w:szCs w:val="18"/>
              </w:rPr>
              <w:t>Estrategias de evaluación</w:t>
            </w:r>
          </w:p>
        </w:tc>
        <w:tc>
          <w:tcPr>
            <w:tcW w:w="7555" w:type="dxa"/>
            <w:gridSpan w:val="4"/>
            <w:shd w:val="clear" w:color="auto" w:fill="D9E2F3"/>
            <w:vAlign w:val="center"/>
          </w:tcPr>
          <w:p w14:paraId="6898FFD1" w14:textId="77777777" w:rsidR="00990B14" w:rsidRDefault="00000000">
            <w:pPr>
              <w:numPr>
                <w:ilvl w:val="0"/>
                <w:numId w:val="140"/>
              </w:numPr>
              <w:spacing w:before="10" w:after="10"/>
              <w:jc w:val="both"/>
            </w:pPr>
            <w:r>
              <w:rPr>
                <w:sz w:val="18"/>
                <w:szCs w:val="18"/>
              </w:rPr>
              <w:t>Evaluación diagnóstica: prueba inicial sobre los conocimientos previos de contabilidad internacional, de costos, de bancos y gubernamental.</w:t>
            </w:r>
          </w:p>
          <w:p w14:paraId="509AE71E" w14:textId="77777777" w:rsidR="00990B14" w:rsidRDefault="00000000">
            <w:pPr>
              <w:numPr>
                <w:ilvl w:val="0"/>
                <w:numId w:val="140"/>
              </w:numPr>
              <w:spacing w:before="10" w:after="10"/>
              <w:jc w:val="both"/>
            </w:pPr>
            <w:r>
              <w:rPr>
                <w:sz w:val="18"/>
                <w:szCs w:val="18"/>
              </w:rPr>
              <w:t>Evaluación formativa: preguntas de comprensión y desarrollo de ejercicios prácticos en el aula, con retroalimentación continua, autoevaluación y coevaluación.</w:t>
            </w:r>
          </w:p>
          <w:p w14:paraId="61A13CD8" w14:textId="77777777" w:rsidR="00990B14" w:rsidRDefault="00000000">
            <w:pPr>
              <w:numPr>
                <w:ilvl w:val="0"/>
                <w:numId w:val="140"/>
              </w:numPr>
              <w:spacing w:before="10" w:after="10"/>
              <w:jc w:val="both"/>
            </w:pPr>
            <w:r>
              <w:rPr>
                <w:sz w:val="18"/>
                <w:szCs w:val="18"/>
              </w:rPr>
              <w:t>Evaluación sumativa: controles de lectura y asistencia, evaluación de casos prácticos, trabajos de investigación y desarrollo, exámenes parciales y examen final.</w:t>
            </w:r>
          </w:p>
        </w:tc>
      </w:tr>
      <w:tr w:rsidR="00990B14" w14:paraId="3B55360E" w14:textId="77777777">
        <w:trPr>
          <w:jc w:val="center"/>
        </w:trPr>
        <w:tc>
          <w:tcPr>
            <w:tcW w:w="1850" w:type="dxa"/>
            <w:shd w:val="clear" w:color="auto" w:fill="4472C4"/>
            <w:vAlign w:val="center"/>
          </w:tcPr>
          <w:p w14:paraId="262A3754" w14:textId="77777777" w:rsidR="00990B14" w:rsidRDefault="00000000">
            <w:pPr>
              <w:spacing w:before="20" w:after="20"/>
              <w:jc w:val="center"/>
            </w:pPr>
            <w:r>
              <w:rPr>
                <w:b/>
                <w:bCs/>
                <w:i/>
                <w:iCs/>
                <w:color w:val="FFFFFF"/>
                <w:sz w:val="18"/>
                <w:szCs w:val="18"/>
              </w:rPr>
              <w:t>Criterios de calificación</w:t>
            </w:r>
          </w:p>
        </w:tc>
        <w:tc>
          <w:tcPr>
            <w:tcW w:w="7555" w:type="dxa"/>
            <w:gridSpan w:val="4"/>
            <w:shd w:val="clear" w:color="auto" w:fill="D9E2F3"/>
            <w:vAlign w:val="center"/>
          </w:tcPr>
          <w:p w14:paraId="3C9963A4" w14:textId="77777777" w:rsidR="00990B14" w:rsidRDefault="00000000">
            <w:pPr>
              <w:numPr>
                <w:ilvl w:val="0"/>
                <w:numId w:val="140"/>
              </w:numPr>
              <w:spacing w:before="10" w:after="10"/>
              <w:jc w:val="both"/>
            </w:pPr>
            <w:r>
              <w:rPr>
                <w:sz w:val="18"/>
                <w:szCs w:val="18"/>
              </w:rPr>
              <w:t>Nota mínima de aprobación: 51/100.</w:t>
            </w:r>
          </w:p>
          <w:p w14:paraId="63904C8D" w14:textId="77777777" w:rsidR="00990B14" w:rsidRDefault="00000000">
            <w:pPr>
              <w:numPr>
                <w:ilvl w:val="0"/>
                <w:numId w:val="140"/>
              </w:numPr>
              <w:spacing w:before="10" w:after="10"/>
              <w:jc w:val="both"/>
            </w:pPr>
            <w:r>
              <w:rPr>
                <w:sz w:val="18"/>
                <w:szCs w:val="18"/>
              </w:rPr>
              <w:t>Evaluación periódica al finalizar cada tema, basada en evidencias de conocimiento, desempeño y producto.</w:t>
            </w:r>
          </w:p>
          <w:p w14:paraId="31D5A7C6" w14:textId="77777777" w:rsidR="00990B14" w:rsidRDefault="00000000">
            <w:pPr>
              <w:numPr>
                <w:ilvl w:val="0"/>
                <w:numId w:val="140"/>
              </w:numPr>
              <w:spacing w:before="10" w:after="10"/>
              <w:jc w:val="both"/>
            </w:pPr>
            <w:r>
              <w:rPr>
                <w:sz w:val="18"/>
                <w:szCs w:val="18"/>
              </w:rPr>
              <w:t>Cada evidencia de producto se evalúa con su propia rúbrica de tres niveles: Insuficiente, Suficiente y Destacado.</w:t>
            </w:r>
          </w:p>
          <w:p w14:paraId="6C9215A4" w14:textId="77777777" w:rsidR="00990B14" w:rsidRDefault="00000000">
            <w:pPr>
              <w:numPr>
                <w:ilvl w:val="0"/>
                <w:numId w:val="140"/>
              </w:numPr>
              <w:spacing w:before="10" w:after="10"/>
              <w:jc w:val="both"/>
            </w:pPr>
            <w:r>
              <w:rPr>
                <w:sz w:val="18"/>
                <w:szCs w:val="18"/>
              </w:rPr>
              <w:t>La calificación de cada elemento de competencia suma las calificaciones de sus evidencias de producto.</w:t>
            </w:r>
          </w:p>
        </w:tc>
      </w:tr>
      <w:tr w:rsidR="00990B14" w14:paraId="06CF2B55" w14:textId="77777777">
        <w:trPr>
          <w:cantSplit/>
          <w:jc w:val="center"/>
        </w:trPr>
        <w:tc>
          <w:tcPr>
            <w:tcW w:w="1850" w:type="dxa"/>
            <w:vMerge w:val="restart"/>
            <w:shd w:val="clear" w:color="auto" w:fill="4472C4"/>
            <w:vAlign w:val="center"/>
          </w:tcPr>
          <w:p w14:paraId="4F078C21" w14:textId="77777777" w:rsidR="00990B14" w:rsidRDefault="00000000">
            <w:pPr>
              <w:spacing w:before="20" w:after="20"/>
              <w:jc w:val="center"/>
            </w:pPr>
            <w:r>
              <w:rPr>
                <w:b/>
                <w:bCs/>
                <w:i/>
                <w:iCs/>
                <w:color w:val="FFFFFF"/>
                <w:sz w:val="18"/>
                <w:szCs w:val="18"/>
              </w:rPr>
              <w:t>Niveles de logro y distribución de la calificación</w:t>
            </w:r>
          </w:p>
        </w:tc>
        <w:tc>
          <w:tcPr>
            <w:tcW w:w="5687" w:type="dxa"/>
            <w:gridSpan w:val="3"/>
            <w:shd w:val="clear" w:color="auto" w:fill="D9E2F3"/>
            <w:vAlign w:val="center"/>
          </w:tcPr>
          <w:p w14:paraId="6F97AE0B" w14:textId="77777777" w:rsidR="00990B14" w:rsidRDefault="00000000">
            <w:pPr>
              <w:keepNext/>
              <w:spacing w:before="20" w:after="20"/>
              <w:jc w:val="both"/>
            </w:pPr>
            <w:r>
              <w:rPr>
                <w:b/>
                <w:bCs/>
                <w:i/>
                <w:iCs/>
                <w:sz w:val="18"/>
                <w:szCs w:val="18"/>
              </w:rPr>
              <w:t xml:space="preserve">Producto 1: </w:t>
            </w:r>
            <w:r>
              <w:rPr>
                <w:sz w:val="18"/>
                <w:szCs w:val="18"/>
              </w:rPr>
              <w:t>Informe de descripción financiera de la empresa y de su entorno de mercado</w:t>
            </w:r>
          </w:p>
        </w:tc>
        <w:tc>
          <w:tcPr>
            <w:tcW w:w="1868" w:type="dxa"/>
            <w:shd w:val="clear" w:color="auto" w:fill="D9E2F3"/>
            <w:vAlign w:val="center"/>
          </w:tcPr>
          <w:p w14:paraId="28FCD6F5" w14:textId="77777777" w:rsidR="00990B14" w:rsidRDefault="00000000">
            <w:pPr>
              <w:spacing w:before="20" w:after="20"/>
              <w:jc w:val="center"/>
            </w:pPr>
            <w:r>
              <w:rPr>
                <w:b/>
                <w:bCs/>
                <w:sz w:val="18"/>
                <w:szCs w:val="18"/>
              </w:rPr>
              <w:t>4%</w:t>
            </w:r>
          </w:p>
        </w:tc>
      </w:tr>
      <w:tr w:rsidR="00990B14" w14:paraId="77F051FF" w14:textId="77777777">
        <w:trPr>
          <w:cantSplit/>
          <w:jc w:val="center"/>
        </w:trPr>
        <w:tc>
          <w:tcPr>
            <w:tcW w:w="1850" w:type="dxa"/>
            <w:vMerge/>
            <w:shd w:val="clear" w:color="auto" w:fill="4472C4"/>
            <w:vAlign w:val="center"/>
          </w:tcPr>
          <w:p w14:paraId="54BE0371" w14:textId="77777777" w:rsidR="00990B14" w:rsidRDefault="00990B14">
            <w:pPr>
              <w:spacing w:before="20" w:after="20"/>
            </w:pPr>
          </w:p>
        </w:tc>
        <w:tc>
          <w:tcPr>
            <w:tcW w:w="1910" w:type="dxa"/>
            <w:shd w:val="clear" w:color="auto" w:fill="4472C4"/>
            <w:vAlign w:val="center"/>
          </w:tcPr>
          <w:p w14:paraId="1896DC4C"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6E8E05B5" w14:textId="77777777" w:rsidR="00990B14" w:rsidRDefault="00000000">
            <w:pPr>
              <w:keepNext/>
              <w:spacing w:before="20" w:after="20"/>
              <w:jc w:val="center"/>
            </w:pPr>
            <w:r>
              <w:rPr>
                <w:b/>
                <w:bCs/>
                <w:i/>
                <w:iCs/>
                <w:color w:val="FFFFFF"/>
                <w:sz w:val="18"/>
                <w:szCs w:val="18"/>
              </w:rPr>
              <w:t>Insuficiente (1–50)</w:t>
            </w:r>
          </w:p>
        </w:tc>
        <w:tc>
          <w:tcPr>
            <w:tcW w:w="1867" w:type="dxa"/>
            <w:shd w:val="clear" w:color="auto" w:fill="4472C4"/>
            <w:vAlign w:val="center"/>
          </w:tcPr>
          <w:p w14:paraId="597DD023" w14:textId="77777777" w:rsidR="00990B14" w:rsidRDefault="00000000">
            <w:pPr>
              <w:keepNext/>
              <w:spacing w:before="20" w:after="20"/>
              <w:jc w:val="center"/>
            </w:pPr>
            <w:r>
              <w:rPr>
                <w:b/>
                <w:bCs/>
                <w:i/>
                <w:iCs/>
                <w:color w:val="FFFFFF"/>
                <w:sz w:val="18"/>
                <w:szCs w:val="18"/>
              </w:rPr>
              <w:t>Suficiente (51–80)</w:t>
            </w:r>
          </w:p>
        </w:tc>
        <w:tc>
          <w:tcPr>
            <w:tcW w:w="1868" w:type="dxa"/>
            <w:shd w:val="clear" w:color="auto" w:fill="4472C4"/>
            <w:vAlign w:val="center"/>
          </w:tcPr>
          <w:p w14:paraId="4AA6B165" w14:textId="77777777" w:rsidR="00990B14" w:rsidRDefault="00000000">
            <w:pPr>
              <w:keepNext/>
              <w:spacing w:before="20" w:after="20"/>
              <w:jc w:val="center"/>
            </w:pPr>
            <w:r>
              <w:rPr>
                <w:b/>
                <w:bCs/>
                <w:i/>
                <w:iCs/>
                <w:color w:val="FFFFFF"/>
                <w:sz w:val="18"/>
                <w:szCs w:val="18"/>
              </w:rPr>
              <w:t>Destacado (81–100)</w:t>
            </w:r>
          </w:p>
        </w:tc>
      </w:tr>
      <w:tr w:rsidR="00990B14" w14:paraId="0C7A5F5A" w14:textId="77777777">
        <w:trPr>
          <w:cantSplit/>
          <w:jc w:val="center"/>
        </w:trPr>
        <w:tc>
          <w:tcPr>
            <w:tcW w:w="1850" w:type="dxa"/>
            <w:vMerge/>
            <w:shd w:val="clear" w:color="auto" w:fill="4472C4"/>
            <w:vAlign w:val="center"/>
          </w:tcPr>
          <w:p w14:paraId="59868977" w14:textId="77777777" w:rsidR="00990B14" w:rsidRDefault="00990B14">
            <w:pPr>
              <w:spacing w:before="20" w:after="20"/>
            </w:pPr>
          </w:p>
        </w:tc>
        <w:tc>
          <w:tcPr>
            <w:tcW w:w="1910" w:type="dxa"/>
            <w:shd w:val="clear" w:color="auto" w:fill="D9E2F3"/>
            <w:vAlign w:val="center"/>
          </w:tcPr>
          <w:p w14:paraId="19546E61" w14:textId="77777777" w:rsidR="00990B14" w:rsidRDefault="00000000">
            <w:pPr>
              <w:spacing w:before="20" w:after="20"/>
              <w:jc w:val="both"/>
            </w:pPr>
            <w:r>
              <w:rPr>
                <w:sz w:val="18"/>
                <w:szCs w:val="18"/>
              </w:rPr>
              <w:t>Organización del área</w:t>
            </w:r>
          </w:p>
        </w:tc>
        <w:tc>
          <w:tcPr>
            <w:tcW w:w="1910" w:type="dxa"/>
            <w:shd w:val="clear" w:color="auto" w:fill="D9E2F3"/>
            <w:vAlign w:val="center"/>
          </w:tcPr>
          <w:p w14:paraId="571B320A" w14:textId="77777777" w:rsidR="00990B14" w:rsidRDefault="00000000">
            <w:pPr>
              <w:spacing w:before="20" w:after="20"/>
              <w:jc w:val="both"/>
            </w:pPr>
            <w:r>
              <w:rPr>
                <w:sz w:val="18"/>
                <w:szCs w:val="18"/>
              </w:rPr>
              <w:t>Omite funciones del área financiera.</w:t>
            </w:r>
          </w:p>
        </w:tc>
        <w:tc>
          <w:tcPr>
            <w:tcW w:w="1867" w:type="dxa"/>
            <w:shd w:val="clear" w:color="auto" w:fill="D9E2F3"/>
            <w:vAlign w:val="center"/>
          </w:tcPr>
          <w:p w14:paraId="495B8951" w14:textId="77777777" w:rsidR="00990B14" w:rsidRDefault="00000000">
            <w:pPr>
              <w:spacing w:before="20" w:after="20"/>
              <w:jc w:val="both"/>
            </w:pPr>
            <w:r>
              <w:rPr>
                <w:sz w:val="18"/>
                <w:szCs w:val="18"/>
              </w:rPr>
              <w:t>Representa la tesorería, la contraloría y la planificación financiera y sus relaciones con otras áreas.</w:t>
            </w:r>
          </w:p>
        </w:tc>
        <w:tc>
          <w:tcPr>
            <w:tcW w:w="1868" w:type="dxa"/>
            <w:shd w:val="clear" w:color="auto" w:fill="D9E2F3"/>
            <w:vAlign w:val="center"/>
          </w:tcPr>
          <w:p w14:paraId="57AFC08A" w14:textId="77777777" w:rsidR="00990B14" w:rsidRDefault="00000000">
            <w:pPr>
              <w:spacing w:before="20" w:after="20"/>
              <w:jc w:val="both"/>
            </w:pPr>
            <w:r>
              <w:rPr>
                <w:sz w:val="18"/>
                <w:szCs w:val="18"/>
              </w:rPr>
              <w:t>Justifica la estructura según el tamaño de la empresa.</w:t>
            </w:r>
          </w:p>
        </w:tc>
      </w:tr>
      <w:tr w:rsidR="00990B14" w14:paraId="0FE58FC1" w14:textId="77777777">
        <w:trPr>
          <w:cantSplit/>
          <w:jc w:val="center"/>
        </w:trPr>
        <w:tc>
          <w:tcPr>
            <w:tcW w:w="1850" w:type="dxa"/>
            <w:vMerge/>
            <w:shd w:val="clear" w:color="auto" w:fill="4472C4"/>
            <w:vAlign w:val="center"/>
          </w:tcPr>
          <w:p w14:paraId="4DA8C4C7" w14:textId="77777777" w:rsidR="00990B14" w:rsidRDefault="00990B14">
            <w:pPr>
              <w:spacing w:before="20" w:after="20"/>
            </w:pPr>
          </w:p>
        </w:tc>
        <w:tc>
          <w:tcPr>
            <w:tcW w:w="1910" w:type="dxa"/>
            <w:shd w:val="clear" w:color="auto" w:fill="D9E2F3"/>
            <w:vAlign w:val="center"/>
          </w:tcPr>
          <w:p w14:paraId="5E91F243" w14:textId="77777777" w:rsidR="00990B14" w:rsidRDefault="00000000">
            <w:pPr>
              <w:spacing w:before="20" w:after="20"/>
              <w:jc w:val="both"/>
            </w:pPr>
            <w:r>
              <w:rPr>
                <w:sz w:val="18"/>
                <w:szCs w:val="18"/>
              </w:rPr>
              <w:t>Mercados e instituciones</w:t>
            </w:r>
          </w:p>
        </w:tc>
        <w:tc>
          <w:tcPr>
            <w:tcW w:w="1910" w:type="dxa"/>
            <w:shd w:val="clear" w:color="auto" w:fill="D9E2F3"/>
            <w:vAlign w:val="center"/>
          </w:tcPr>
          <w:p w14:paraId="2007EABB" w14:textId="77777777" w:rsidR="00990B14" w:rsidRDefault="00000000">
            <w:pPr>
              <w:spacing w:before="20" w:after="20"/>
              <w:jc w:val="both"/>
            </w:pPr>
            <w:r>
              <w:rPr>
                <w:sz w:val="18"/>
                <w:szCs w:val="18"/>
              </w:rPr>
              <w:t>Confunde los mercados o las entidades reguladoras.</w:t>
            </w:r>
          </w:p>
        </w:tc>
        <w:tc>
          <w:tcPr>
            <w:tcW w:w="1867" w:type="dxa"/>
            <w:shd w:val="clear" w:color="auto" w:fill="D9E2F3"/>
            <w:vAlign w:val="center"/>
          </w:tcPr>
          <w:p w14:paraId="6AC4BB1B" w14:textId="77777777" w:rsidR="00990B14" w:rsidRDefault="00000000">
            <w:pPr>
              <w:spacing w:before="20" w:after="20"/>
              <w:jc w:val="both"/>
            </w:pPr>
            <w:r>
              <w:rPr>
                <w:sz w:val="18"/>
                <w:szCs w:val="18"/>
              </w:rPr>
              <w:t>Identifica el mercado en que se financia la empresa, sus instrumentos, su regulador y los requisitos de emisión.</w:t>
            </w:r>
          </w:p>
        </w:tc>
        <w:tc>
          <w:tcPr>
            <w:tcW w:w="1868" w:type="dxa"/>
            <w:shd w:val="clear" w:color="auto" w:fill="D9E2F3"/>
            <w:vAlign w:val="center"/>
          </w:tcPr>
          <w:p w14:paraId="184AFD56" w14:textId="77777777" w:rsidR="00990B14" w:rsidRDefault="00000000">
            <w:pPr>
              <w:spacing w:before="20" w:after="20"/>
              <w:jc w:val="both"/>
            </w:pPr>
            <w:r>
              <w:rPr>
                <w:sz w:val="18"/>
                <w:szCs w:val="18"/>
              </w:rPr>
              <w:t>Explica el efecto de la regulación en el costo del financiamiento de la empresa.</w:t>
            </w:r>
          </w:p>
        </w:tc>
      </w:tr>
      <w:tr w:rsidR="00990B14" w14:paraId="123EF279" w14:textId="77777777">
        <w:trPr>
          <w:cantSplit/>
          <w:jc w:val="center"/>
        </w:trPr>
        <w:tc>
          <w:tcPr>
            <w:tcW w:w="1850" w:type="dxa"/>
            <w:vMerge/>
            <w:shd w:val="clear" w:color="auto" w:fill="4472C4"/>
            <w:vAlign w:val="center"/>
          </w:tcPr>
          <w:p w14:paraId="74C8ABD6" w14:textId="77777777" w:rsidR="00990B14" w:rsidRDefault="00990B14">
            <w:pPr>
              <w:spacing w:before="20" w:after="20"/>
            </w:pPr>
          </w:p>
        </w:tc>
        <w:tc>
          <w:tcPr>
            <w:tcW w:w="1910" w:type="dxa"/>
            <w:shd w:val="clear" w:color="auto" w:fill="D9E2F3"/>
            <w:vAlign w:val="center"/>
          </w:tcPr>
          <w:p w14:paraId="517530F2" w14:textId="77777777" w:rsidR="00990B14" w:rsidRDefault="00000000">
            <w:pPr>
              <w:spacing w:before="20" w:after="20"/>
              <w:jc w:val="both"/>
            </w:pPr>
            <w:r>
              <w:rPr>
                <w:sz w:val="18"/>
                <w:szCs w:val="18"/>
              </w:rPr>
              <w:t>Objetivos financieros</w:t>
            </w:r>
          </w:p>
        </w:tc>
        <w:tc>
          <w:tcPr>
            <w:tcW w:w="1910" w:type="dxa"/>
            <w:shd w:val="clear" w:color="auto" w:fill="D9E2F3"/>
            <w:vAlign w:val="center"/>
          </w:tcPr>
          <w:p w14:paraId="17E385AA" w14:textId="77777777" w:rsidR="00990B14" w:rsidRDefault="00000000">
            <w:pPr>
              <w:spacing w:before="20" w:after="20"/>
              <w:jc w:val="both"/>
            </w:pPr>
            <w:r>
              <w:rPr>
                <w:sz w:val="18"/>
                <w:szCs w:val="18"/>
              </w:rPr>
              <w:t>Confunde el objetivo básico con otros objetivos.</w:t>
            </w:r>
          </w:p>
        </w:tc>
        <w:tc>
          <w:tcPr>
            <w:tcW w:w="1867" w:type="dxa"/>
            <w:shd w:val="clear" w:color="auto" w:fill="D9E2F3"/>
            <w:vAlign w:val="center"/>
          </w:tcPr>
          <w:p w14:paraId="0E8B84C1" w14:textId="77777777" w:rsidR="00990B14" w:rsidRDefault="00000000">
            <w:pPr>
              <w:spacing w:before="20" w:after="20"/>
              <w:jc w:val="both"/>
            </w:pPr>
            <w:r>
              <w:rPr>
                <w:sz w:val="18"/>
                <w:szCs w:val="18"/>
              </w:rPr>
              <w:t>Diferencia el objetivo básico del objetivo operativo en la empresa analizada.</w:t>
            </w:r>
          </w:p>
        </w:tc>
        <w:tc>
          <w:tcPr>
            <w:tcW w:w="1868" w:type="dxa"/>
            <w:shd w:val="clear" w:color="auto" w:fill="D9E2F3"/>
            <w:vAlign w:val="center"/>
          </w:tcPr>
          <w:p w14:paraId="1970AA38" w14:textId="77777777" w:rsidR="00990B14" w:rsidRDefault="00000000">
            <w:pPr>
              <w:spacing w:before="20" w:after="20"/>
              <w:jc w:val="both"/>
            </w:pPr>
            <w:r>
              <w:rPr>
                <w:sz w:val="18"/>
                <w:szCs w:val="18"/>
              </w:rPr>
              <w:t>Explica el conflicto entre la utilidad y el valor para el accionista.</w:t>
            </w:r>
          </w:p>
        </w:tc>
      </w:tr>
      <w:tr w:rsidR="00990B14" w14:paraId="273C698B" w14:textId="77777777">
        <w:trPr>
          <w:cantSplit/>
          <w:jc w:val="center"/>
        </w:trPr>
        <w:tc>
          <w:tcPr>
            <w:tcW w:w="1850" w:type="dxa"/>
            <w:vMerge/>
            <w:shd w:val="clear" w:color="auto" w:fill="4472C4"/>
            <w:vAlign w:val="center"/>
          </w:tcPr>
          <w:p w14:paraId="13E8D46A" w14:textId="77777777" w:rsidR="00990B14" w:rsidRDefault="00990B14">
            <w:pPr>
              <w:spacing w:before="20" w:after="20"/>
            </w:pPr>
          </w:p>
        </w:tc>
        <w:tc>
          <w:tcPr>
            <w:tcW w:w="5687" w:type="dxa"/>
            <w:gridSpan w:val="3"/>
            <w:shd w:val="clear" w:color="auto" w:fill="D9E2F3"/>
            <w:vAlign w:val="center"/>
          </w:tcPr>
          <w:p w14:paraId="6629B2C8" w14:textId="77777777" w:rsidR="00990B14" w:rsidRDefault="00000000">
            <w:pPr>
              <w:keepNext/>
              <w:spacing w:before="20" w:after="20"/>
              <w:jc w:val="both"/>
            </w:pPr>
            <w:r>
              <w:rPr>
                <w:b/>
                <w:bCs/>
                <w:i/>
                <w:iCs/>
                <w:sz w:val="18"/>
                <w:szCs w:val="18"/>
              </w:rPr>
              <w:t xml:space="preserve">Producto 2: </w:t>
            </w:r>
            <w:r>
              <w:rPr>
                <w:sz w:val="18"/>
                <w:szCs w:val="18"/>
              </w:rPr>
              <w:t>Informe de análisis ético de un caso del ejecutivo financiero</w:t>
            </w:r>
          </w:p>
        </w:tc>
        <w:tc>
          <w:tcPr>
            <w:tcW w:w="1868" w:type="dxa"/>
            <w:shd w:val="clear" w:color="auto" w:fill="D9E2F3"/>
            <w:vAlign w:val="center"/>
          </w:tcPr>
          <w:p w14:paraId="68BC9F69" w14:textId="77777777" w:rsidR="00990B14" w:rsidRDefault="00000000">
            <w:pPr>
              <w:spacing w:before="20" w:after="20"/>
              <w:jc w:val="center"/>
            </w:pPr>
            <w:r>
              <w:rPr>
                <w:b/>
                <w:bCs/>
                <w:sz w:val="18"/>
                <w:szCs w:val="18"/>
              </w:rPr>
              <w:t>3%</w:t>
            </w:r>
          </w:p>
        </w:tc>
      </w:tr>
      <w:tr w:rsidR="00990B14" w14:paraId="54DA5AFD" w14:textId="77777777">
        <w:trPr>
          <w:cantSplit/>
          <w:jc w:val="center"/>
        </w:trPr>
        <w:tc>
          <w:tcPr>
            <w:tcW w:w="1850" w:type="dxa"/>
            <w:vMerge/>
            <w:shd w:val="clear" w:color="auto" w:fill="4472C4"/>
            <w:vAlign w:val="center"/>
          </w:tcPr>
          <w:p w14:paraId="53A9D0A3" w14:textId="77777777" w:rsidR="00990B14" w:rsidRDefault="00990B14">
            <w:pPr>
              <w:spacing w:before="20" w:after="20"/>
            </w:pPr>
          </w:p>
        </w:tc>
        <w:tc>
          <w:tcPr>
            <w:tcW w:w="1910" w:type="dxa"/>
            <w:shd w:val="clear" w:color="auto" w:fill="4472C4"/>
            <w:vAlign w:val="center"/>
          </w:tcPr>
          <w:p w14:paraId="34B5E092"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40751555" w14:textId="77777777" w:rsidR="00990B14" w:rsidRDefault="00000000">
            <w:pPr>
              <w:keepNext/>
              <w:spacing w:before="20" w:after="20"/>
              <w:jc w:val="center"/>
            </w:pPr>
            <w:r>
              <w:rPr>
                <w:b/>
                <w:bCs/>
                <w:i/>
                <w:iCs/>
                <w:color w:val="FFFFFF"/>
                <w:sz w:val="18"/>
                <w:szCs w:val="18"/>
              </w:rPr>
              <w:t>Insuficiente (1–50)</w:t>
            </w:r>
          </w:p>
        </w:tc>
        <w:tc>
          <w:tcPr>
            <w:tcW w:w="1867" w:type="dxa"/>
            <w:shd w:val="clear" w:color="auto" w:fill="4472C4"/>
            <w:vAlign w:val="center"/>
          </w:tcPr>
          <w:p w14:paraId="66C044FA" w14:textId="77777777" w:rsidR="00990B14" w:rsidRDefault="00000000">
            <w:pPr>
              <w:keepNext/>
              <w:spacing w:before="20" w:after="20"/>
              <w:jc w:val="center"/>
            </w:pPr>
            <w:r>
              <w:rPr>
                <w:b/>
                <w:bCs/>
                <w:i/>
                <w:iCs/>
                <w:color w:val="FFFFFF"/>
                <w:sz w:val="18"/>
                <w:szCs w:val="18"/>
              </w:rPr>
              <w:t>Suficiente (51–80)</w:t>
            </w:r>
          </w:p>
        </w:tc>
        <w:tc>
          <w:tcPr>
            <w:tcW w:w="1868" w:type="dxa"/>
            <w:shd w:val="clear" w:color="auto" w:fill="4472C4"/>
            <w:vAlign w:val="center"/>
          </w:tcPr>
          <w:p w14:paraId="7923289F" w14:textId="77777777" w:rsidR="00990B14" w:rsidRDefault="00000000">
            <w:pPr>
              <w:keepNext/>
              <w:spacing w:before="20" w:after="20"/>
              <w:jc w:val="center"/>
            </w:pPr>
            <w:r>
              <w:rPr>
                <w:b/>
                <w:bCs/>
                <w:i/>
                <w:iCs/>
                <w:color w:val="FFFFFF"/>
                <w:sz w:val="18"/>
                <w:szCs w:val="18"/>
              </w:rPr>
              <w:t>Destacado (81–100)</w:t>
            </w:r>
          </w:p>
        </w:tc>
      </w:tr>
      <w:tr w:rsidR="00990B14" w14:paraId="4F62EF78" w14:textId="77777777">
        <w:trPr>
          <w:cantSplit/>
          <w:jc w:val="center"/>
        </w:trPr>
        <w:tc>
          <w:tcPr>
            <w:tcW w:w="1850" w:type="dxa"/>
            <w:vMerge/>
            <w:shd w:val="clear" w:color="auto" w:fill="4472C4"/>
            <w:vAlign w:val="center"/>
          </w:tcPr>
          <w:p w14:paraId="57E1863B" w14:textId="77777777" w:rsidR="00990B14" w:rsidRDefault="00990B14">
            <w:pPr>
              <w:spacing w:before="20" w:after="20"/>
            </w:pPr>
          </w:p>
        </w:tc>
        <w:tc>
          <w:tcPr>
            <w:tcW w:w="1910" w:type="dxa"/>
            <w:shd w:val="clear" w:color="auto" w:fill="D9E2F3"/>
            <w:vAlign w:val="center"/>
          </w:tcPr>
          <w:p w14:paraId="01E77BF9" w14:textId="77777777" w:rsidR="00990B14" w:rsidRDefault="00000000">
            <w:pPr>
              <w:spacing w:before="20" w:after="20"/>
              <w:jc w:val="both"/>
            </w:pPr>
            <w:r>
              <w:rPr>
                <w:sz w:val="18"/>
                <w:szCs w:val="18"/>
              </w:rPr>
              <w:t>Identificación del conflicto</w:t>
            </w:r>
          </w:p>
        </w:tc>
        <w:tc>
          <w:tcPr>
            <w:tcW w:w="1910" w:type="dxa"/>
            <w:shd w:val="clear" w:color="auto" w:fill="D9E2F3"/>
            <w:vAlign w:val="center"/>
          </w:tcPr>
          <w:p w14:paraId="288BC092" w14:textId="77777777" w:rsidR="00990B14" w:rsidRDefault="00000000">
            <w:pPr>
              <w:spacing w:before="20" w:after="20"/>
              <w:jc w:val="both"/>
            </w:pPr>
            <w:r>
              <w:rPr>
                <w:sz w:val="18"/>
                <w:szCs w:val="18"/>
              </w:rPr>
              <w:t>No identifica el conflicto de intereses.</w:t>
            </w:r>
          </w:p>
        </w:tc>
        <w:tc>
          <w:tcPr>
            <w:tcW w:w="1867" w:type="dxa"/>
            <w:shd w:val="clear" w:color="auto" w:fill="D9E2F3"/>
            <w:vAlign w:val="center"/>
          </w:tcPr>
          <w:p w14:paraId="146774F7" w14:textId="77777777" w:rsidR="00990B14" w:rsidRDefault="00000000">
            <w:pPr>
              <w:spacing w:before="20" w:after="20"/>
              <w:jc w:val="both"/>
            </w:pPr>
            <w:r>
              <w:rPr>
                <w:sz w:val="18"/>
                <w:szCs w:val="18"/>
              </w:rPr>
              <w:t>Identifica el conflicto y a los afectados.</w:t>
            </w:r>
          </w:p>
        </w:tc>
        <w:tc>
          <w:tcPr>
            <w:tcW w:w="1868" w:type="dxa"/>
            <w:shd w:val="clear" w:color="auto" w:fill="D9E2F3"/>
            <w:vAlign w:val="center"/>
          </w:tcPr>
          <w:p w14:paraId="5FFEDCA1" w14:textId="77777777" w:rsidR="00990B14" w:rsidRDefault="00000000">
            <w:pPr>
              <w:spacing w:before="20" w:after="20"/>
              <w:jc w:val="both"/>
            </w:pPr>
            <w:r>
              <w:rPr>
                <w:sz w:val="18"/>
                <w:szCs w:val="18"/>
              </w:rPr>
              <w:t>Distingue el uso de información privilegiada en el caso.</w:t>
            </w:r>
          </w:p>
        </w:tc>
      </w:tr>
      <w:tr w:rsidR="00990B14" w14:paraId="092764C3" w14:textId="77777777">
        <w:trPr>
          <w:cantSplit/>
          <w:jc w:val="center"/>
        </w:trPr>
        <w:tc>
          <w:tcPr>
            <w:tcW w:w="1850" w:type="dxa"/>
            <w:vMerge/>
            <w:shd w:val="clear" w:color="auto" w:fill="4472C4"/>
            <w:vAlign w:val="center"/>
          </w:tcPr>
          <w:p w14:paraId="2189A669" w14:textId="77777777" w:rsidR="00990B14" w:rsidRDefault="00990B14">
            <w:pPr>
              <w:spacing w:before="20" w:after="20"/>
            </w:pPr>
          </w:p>
        </w:tc>
        <w:tc>
          <w:tcPr>
            <w:tcW w:w="1910" w:type="dxa"/>
            <w:shd w:val="clear" w:color="auto" w:fill="D9E2F3"/>
            <w:vAlign w:val="center"/>
          </w:tcPr>
          <w:p w14:paraId="38C1DF7D" w14:textId="77777777" w:rsidR="00990B14" w:rsidRDefault="00000000">
            <w:pPr>
              <w:spacing w:before="20" w:after="20"/>
              <w:jc w:val="both"/>
            </w:pPr>
            <w:r>
              <w:rPr>
                <w:sz w:val="18"/>
                <w:szCs w:val="18"/>
              </w:rPr>
              <w:t>Conducta esperada</w:t>
            </w:r>
          </w:p>
        </w:tc>
        <w:tc>
          <w:tcPr>
            <w:tcW w:w="1910" w:type="dxa"/>
            <w:shd w:val="clear" w:color="auto" w:fill="D9E2F3"/>
            <w:vAlign w:val="center"/>
          </w:tcPr>
          <w:p w14:paraId="00A793FC" w14:textId="77777777" w:rsidR="00990B14" w:rsidRDefault="00000000">
            <w:pPr>
              <w:spacing w:before="20" w:after="20"/>
              <w:jc w:val="both"/>
            </w:pPr>
            <w:r>
              <w:rPr>
                <w:sz w:val="18"/>
                <w:szCs w:val="18"/>
              </w:rPr>
              <w:t>La conducta propuesta es inadecuada.</w:t>
            </w:r>
          </w:p>
        </w:tc>
        <w:tc>
          <w:tcPr>
            <w:tcW w:w="1867" w:type="dxa"/>
            <w:shd w:val="clear" w:color="auto" w:fill="D9E2F3"/>
            <w:vAlign w:val="center"/>
          </w:tcPr>
          <w:p w14:paraId="37E4C84B" w14:textId="77777777" w:rsidR="00990B14" w:rsidRDefault="00000000">
            <w:pPr>
              <w:spacing w:before="20" w:after="20"/>
              <w:jc w:val="both"/>
            </w:pPr>
            <w:r>
              <w:rPr>
                <w:sz w:val="18"/>
                <w:szCs w:val="18"/>
              </w:rPr>
              <w:t>Propone una conducta transparente con los accionistas.</w:t>
            </w:r>
          </w:p>
        </w:tc>
        <w:tc>
          <w:tcPr>
            <w:tcW w:w="1868" w:type="dxa"/>
            <w:shd w:val="clear" w:color="auto" w:fill="D9E2F3"/>
            <w:vAlign w:val="center"/>
          </w:tcPr>
          <w:p w14:paraId="5EE4C35B" w14:textId="77777777" w:rsidR="00990B14" w:rsidRDefault="00000000">
            <w:pPr>
              <w:spacing w:before="20" w:after="20"/>
              <w:jc w:val="both"/>
            </w:pPr>
            <w:r>
              <w:rPr>
                <w:sz w:val="18"/>
                <w:szCs w:val="18"/>
              </w:rPr>
              <w:t>Fundamenta la conducta en principios éticos explícitos.</w:t>
            </w:r>
          </w:p>
        </w:tc>
      </w:tr>
      <w:tr w:rsidR="00990B14" w14:paraId="108FFC76" w14:textId="77777777">
        <w:trPr>
          <w:cantSplit/>
          <w:jc w:val="center"/>
        </w:trPr>
        <w:tc>
          <w:tcPr>
            <w:tcW w:w="1850" w:type="dxa"/>
            <w:vMerge/>
            <w:shd w:val="clear" w:color="auto" w:fill="4472C4"/>
            <w:vAlign w:val="center"/>
          </w:tcPr>
          <w:p w14:paraId="47513321" w14:textId="77777777" w:rsidR="00990B14" w:rsidRDefault="00990B14">
            <w:pPr>
              <w:spacing w:before="20" w:after="20"/>
            </w:pPr>
          </w:p>
        </w:tc>
        <w:tc>
          <w:tcPr>
            <w:tcW w:w="1910" w:type="dxa"/>
            <w:shd w:val="clear" w:color="auto" w:fill="D9E2F3"/>
            <w:vAlign w:val="center"/>
          </w:tcPr>
          <w:p w14:paraId="11234BDD" w14:textId="77777777" w:rsidR="00990B14" w:rsidRDefault="00000000">
            <w:pPr>
              <w:spacing w:before="20" w:after="20"/>
              <w:jc w:val="both"/>
            </w:pPr>
            <w:r>
              <w:rPr>
                <w:sz w:val="18"/>
                <w:szCs w:val="18"/>
              </w:rPr>
              <w:t>Redacción</w:t>
            </w:r>
          </w:p>
        </w:tc>
        <w:tc>
          <w:tcPr>
            <w:tcW w:w="1910" w:type="dxa"/>
            <w:shd w:val="clear" w:color="auto" w:fill="D9E2F3"/>
            <w:vAlign w:val="center"/>
          </w:tcPr>
          <w:p w14:paraId="12220CB8" w14:textId="77777777" w:rsidR="00990B14" w:rsidRDefault="00000000">
            <w:pPr>
              <w:spacing w:before="20" w:after="20"/>
              <w:jc w:val="both"/>
            </w:pPr>
            <w:r>
              <w:rPr>
                <w:sz w:val="18"/>
                <w:szCs w:val="18"/>
              </w:rPr>
              <w:t>El informe es confuso.</w:t>
            </w:r>
          </w:p>
        </w:tc>
        <w:tc>
          <w:tcPr>
            <w:tcW w:w="1867" w:type="dxa"/>
            <w:shd w:val="clear" w:color="auto" w:fill="D9E2F3"/>
            <w:vAlign w:val="center"/>
          </w:tcPr>
          <w:p w14:paraId="3F4EA17F" w14:textId="77777777" w:rsidR="00990B14" w:rsidRDefault="00000000">
            <w:pPr>
              <w:spacing w:before="20" w:after="20"/>
              <w:jc w:val="both"/>
            </w:pPr>
            <w:r>
              <w:rPr>
                <w:sz w:val="18"/>
                <w:szCs w:val="18"/>
              </w:rPr>
              <w:t>El informe es claro y ordenado.</w:t>
            </w:r>
          </w:p>
        </w:tc>
        <w:tc>
          <w:tcPr>
            <w:tcW w:w="1868" w:type="dxa"/>
            <w:shd w:val="clear" w:color="auto" w:fill="D9E2F3"/>
            <w:vAlign w:val="center"/>
          </w:tcPr>
          <w:p w14:paraId="469656E2" w14:textId="77777777" w:rsidR="00990B14" w:rsidRDefault="00000000">
            <w:pPr>
              <w:spacing w:before="20" w:after="20"/>
              <w:jc w:val="both"/>
            </w:pPr>
            <w:r>
              <w:rPr>
                <w:sz w:val="18"/>
                <w:szCs w:val="18"/>
              </w:rPr>
              <w:t>El informe sustenta sus conclusiones con hechos del caso.</w:t>
            </w:r>
          </w:p>
        </w:tc>
      </w:tr>
      <w:tr w:rsidR="00990B14" w14:paraId="2119408E" w14:textId="77777777">
        <w:trPr>
          <w:cantSplit/>
          <w:jc w:val="center"/>
        </w:trPr>
        <w:tc>
          <w:tcPr>
            <w:tcW w:w="1850" w:type="dxa"/>
            <w:vMerge/>
            <w:shd w:val="clear" w:color="auto" w:fill="4472C4"/>
            <w:vAlign w:val="center"/>
          </w:tcPr>
          <w:p w14:paraId="7ED504F8" w14:textId="77777777" w:rsidR="00990B14" w:rsidRDefault="00990B14">
            <w:pPr>
              <w:spacing w:before="20" w:after="20"/>
            </w:pPr>
          </w:p>
        </w:tc>
        <w:tc>
          <w:tcPr>
            <w:tcW w:w="5687" w:type="dxa"/>
            <w:gridSpan w:val="3"/>
            <w:shd w:val="clear" w:color="auto" w:fill="D9E2F3"/>
            <w:vAlign w:val="center"/>
          </w:tcPr>
          <w:p w14:paraId="4D2C9095" w14:textId="77777777" w:rsidR="00990B14" w:rsidRDefault="00000000">
            <w:pPr>
              <w:keepNext/>
              <w:spacing w:before="20" w:after="20"/>
              <w:jc w:val="both"/>
            </w:pPr>
            <w:r>
              <w:rPr>
                <w:b/>
                <w:bCs/>
                <w:i/>
                <w:iCs/>
                <w:sz w:val="18"/>
                <w:szCs w:val="18"/>
              </w:rPr>
              <w:t xml:space="preserve">Producto 3: </w:t>
            </w:r>
            <w:r>
              <w:rPr>
                <w:sz w:val="18"/>
                <w:szCs w:val="18"/>
              </w:rPr>
              <w:t>Modelo de análisis horizontal, vertical y de razones financieras en herramientas tecnológicas</w:t>
            </w:r>
          </w:p>
        </w:tc>
        <w:tc>
          <w:tcPr>
            <w:tcW w:w="1868" w:type="dxa"/>
            <w:shd w:val="clear" w:color="auto" w:fill="D9E2F3"/>
            <w:vAlign w:val="center"/>
          </w:tcPr>
          <w:p w14:paraId="41B392F3" w14:textId="77777777" w:rsidR="00990B14" w:rsidRDefault="00000000">
            <w:pPr>
              <w:spacing w:before="20" w:after="20"/>
              <w:jc w:val="center"/>
            </w:pPr>
            <w:r>
              <w:rPr>
                <w:b/>
                <w:bCs/>
                <w:sz w:val="18"/>
                <w:szCs w:val="18"/>
              </w:rPr>
              <w:t>6%</w:t>
            </w:r>
          </w:p>
        </w:tc>
      </w:tr>
      <w:tr w:rsidR="00990B14" w14:paraId="6EAE2D37" w14:textId="77777777">
        <w:trPr>
          <w:cantSplit/>
          <w:jc w:val="center"/>
        </w:trPr>
        <w:tc>
          <w:tcPr>
            <w:tcW w:w="1850" w:type="dxa"/>
            <w:vMerge/>
            <w:shd w:val="clear" w:color="auto" w:fill="4472C4"/>
            <w:vAlign w:val="center"/>
          </w:tcPr>
          <w:p w14:paraId="60CE5DFA" w14:textId="77777777" w:rsidR="00990B14" w:rsidRDefault="00990B14">
            <w:pPr>
              <w:spacing w:before="20" w:after="20"/>
            </w:pPr>
          </w:p>
        </w:tc>
        <w:tc>
          <w:tcPr>
            <w:tcW w:w="1910" w:type="dxa"/>
            <w:shd w:val="clear" w:color="auto" w:fill="4472C4"/>
            <w:vAlign w:val="center"/>
          </w:tcPr>
          <w:p w14:paraId="67F82A37"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36787D7C" w14:textId="77777777" w:rsidR="00990B14" w:rsidRDefault="00000000">
            <w:pPr>
              <w:keepNext/>
              <w:spacing w:before="20" w:after="20"/>
              <w:jc w:val="center"/>
            </w:pPr>
            <w:r>
              <w:rPr>
                <w:b/>
                <w:bCs/>
                <w:i/>
                <w:iCs/>
                <w:color w:val="FFFFFF"/>
                <w:sz w:val="18"/>
                <w:szCs w:val="18"/>
              </w:rPr>
              <w:t>Insuficiente (1–50)</w:t>
            </w:r>
          </w:p>
        </w:tc>
        <w:tc>
          <w:tcPr>
            <w:tcW w:w="1867" w:type="dxa"/>
            <w:shd w:val="clear" w:color="auto" w:fill="4472C4"/>
            <w:vAlign w:val="center"/>
          </w:tcPr>
          <w:p w14:paraId="4772E167" w14:textId="77777777" w:rsidR="00990B14" w:rsidRDefault="00000000">
            <w:pPr>
              <w:keepNext/>
              <w:spacing w:before="20" w:after="20"/>
              <w:jc w:val="center"/>
            </w:pPr>
            <w:r>
              <w:rPr>
                <w:b/>
                <w:bCs/>
                <w:i/>
                <w:iCs/>
                <w:color w:val="FFFFFF"/>
                <w:sz w:val="18"/>
                <w:szCs w:val="18"/>
              </w:rPr>
              <w:t>Suficiente (51–80)</w:t>
            </w:r>
          </w:p>
        </w:tc>
        <w:tc>
          <w:tcPr>
            <w:tcW w:w="1868" w:type="dxa"/>
            <w:shd w:val="clear" w:color="auto" w:fill="4472C4"/>
            <w:vAlign w:val="center"/>
          </w:tcPr>
          <w:p w14:paraId="1D3E00B7" w14:textId="77777777" w:rsidR="00990B14" w:rsidRDefault="00000000">
            <w:pPr>
              <w:keepNext/>
              <w:spacing w:before="20" w:after="20"/>
              <w:jc w:val="center"/>
            </w:pPr>
            <w:r>
              <w:rPr>
                <w:b/>
                <w:bCs/>
                <w:i/>
                <w:iCs/>
                <w:color w:val="FFFFFF"/>
                <w:sz w:val="18"/>
                <w:szCs w:val="18"/>
              </w:rPr>
              <w:t>Destacado (81–100)</w:t>
            </w:r>
          </w:p>
        </w:tc>
      </w:tr>
      <w:tr w:rsidR="00990B14" w14:paraId="6B0DE9E0" w14:textId="77777777">
        <w:trPr>
          <w:cantSplit/>
          <w:jc w:val="center"/>
        </w:trPr>
        <w:tc>
          <w:tcPr>
            <w:tcW w:w="1850" w:type="dxa"/>
            <w:vMerge/>
            <w:shd w:val="clear" w:color="auto" w:fill="4472C4"/>
            <w:vAlign w:val="center"/>
          </w:tcPr>
          <w:p w14:paraId="2B0994C9" w14:textId="77777777" w:rsidR="00990B14" w:rsidRDefault="00990B14">
            <w:pPr>
              <w:spacing w:before="20" w:after="20"/>
            </w:pPr>
          </w:p>
        </w:tc>
        <w:tc>
          <w:tcPr>
            <w:tcW w:w="1910" w:type="dxa"/>
            <w:shd w:val="clear" w:color="auto" w:fill="D9E2F3"/>
            <w:vAlign w:val="center"/>
          </w:tcPr>
          <w:p w14:paraId="299DBBF6" w14:textId="77777777" w:rsidR="00990B14" w:rsidRDefault="00000000">
            <w:pPr>
              <w:spacing w:before="20" w:after="20"/>
              <w:jc w:val="both"/>
            </w:pPr>
            <w:r>
              <w:rPr>
                <w:sz w:val="18"/>
                <w:szCs w:val="18"/>
              </w:rPr>
              <w:t>Análisis horizontal y vertical</w:t>
            </w:r>
          </w:p>
        </w:tc>
        <w:tc>
          <w:tcPr>
            <w:tcW w:w="1910" w:type="dxa"/>
            <w:shd w:val="clear" w:color="auto" w:fill="D9E2F3"/>
            <w:vAlign w:val="center"/>
          </w:tcPr>
          <w:p w14:paraId="23409726" w14:textId="77777777" w:rsidR="00990B14" w:rsidRDefault="00000000">
            <w:pPr>
              <w:spacing w:before="20" w:after="20"/>
              <w:jc w:val="both"/>
            </w:pPr>
            <w:r>
              <w:rPr>
                <w:sz w:val="18"/>
                <w:szCs w:val="18"/>
              </w:rPr>
              <w:t>Calcula con errores las variaciones o elige bases inadecuadas.</w:t>
            </w:r>
          </w:p>
        </w:tc>
        <w:tc>
          <w:tcPr>
            <w:tcW w:w="1867" w:type="dxa"/>
            <w:shd w:val="clear" w:color="auto" w:fill="D9E2F3"/>
            <w:vAlign w:val="center"/>
          </w:tcPr>
          <w:p w14:paraId="7FF34AEB" w14:textId="77777777" w:rsidR="00990B14" w:rsidRDefault="00000000">
            <w:pPr>
              <w:spacing w:before="20" w:after="20"/>
              <w:jc w:val="both"/>
            </w:pPr>
            <w:r>
              <w:rPr>
                <w:sz w:val="18"/>
                <w:szCs w:val="18"/>
              </w:rPr>
              <w:t>Calcula las variaciones y la estructura porcentual con bases correctas en herramientas tecnológicas.</w:t>
            </w:r>
          </w:p>
        </w:tc>
        <w:tc>
          <w:tcPr>
            <w:tcW w:w="1868" w:type="dxa"/>
            <w:shd w:val="clear" w:color="auto" w:fill="D9E2F3"/>
            <w:vAlign w:val="center"/>
          </w:tcPr>
          <w:p w14:paraId="338E0977" w14:textId="77777777" w:rsidR="00990B14" w:rsidRDefault="00000000">
            <w:pPr>
              <w:spacing w:before="20" w:after="20"/>
              <w:jc w:val="both"/>
            </w:pPr>
            <w:r>
              <w:rPr>
                <w:sz w:val="18"/>
                <w:szCs w:val="18"/>
              </w:rPr>
              <w:t>Explica las causas de las variaciones significativas.</w:t>
            </w:r>
          </w:p>
        </w:tc>
      </w:tr>
      <w:tr w:rsidR="00990B14" w14:paraId="461417BC" w14:textId="77777777">
        <w:trPr>
          <w:cantSplit/>
          <w:jc w:val="center"/>
        </w:trPr>
        <w:tc>
          <w:tcPr>
            <w:tcW w:w="1850" w:type="dxa"/>
            <w:vMerge/>
            <w:shd w:val="clear" w:color="auto" w:fill="4472C4"/>
            <w:vAlign w:val="center"/>
          </w:tcPr>
          <w:p w14:paraId="0FD239CD" w14:textId="77777777" w:rsidR="00990B14" w:rsidRDefault="00990B14">
            <w:pPr>
              <w:spacing w:before="20" w:after="20"/>
            </w:pPr>
          </w:p>
        </w:tc>
        <w:tc>
          <w:tcPr>
            <w:tcW w:w="1910" w:type="dxa"/>
            <w:shd w:val="clear" w:color="auto" w:fill="D9E2F3"/>
            <w:vAlign w:val="center"/>
          </w:tcPr>
          <w:p w14:paraId="0F003808" w14:textId="77777777" w:rsidR="00990B14" w:rsidRDefault="00000000">
            <w:pPr>
              <w:spacing w:before="20" w:after="20"/>
              <w:jc w:val="both"/>
            </w:pPr>
            <w:r>
              <w:rPr>
                <w:sz w:val="18"/>
                <w:szCs w:val="18"/>
              </w:rPr>
              <w:t>Razones y comparabilidad</w:t>
            </w:r>
          </w:p>
        </w:tc>
        <w:tc>
          <w:tcPr>
            <w:tcW w:w="1910" w:type="dxa"/>
            <w:shd w:val="clear" w:color="auto" w:fill="D9E2F3"/>
            <w:vAlign w:val="center"/>
          </w:tcPr>
          <w:p w14:paraId="1672341F" w14:textId="77777777" w:rsidR="00990B14" w:rsidRDefault="00000000">
            <w:pPr>
              <w:spacing w:before="20" w:after="20"/>
              <w:jc w:val="both"/>
            </w:pPr>
            <w:r>
              <w:rPr>
                <w:sz w:val="18"/>
                <w:szCs w:val="18"/>
              </w:rPr>
              <w:t>Calcula con errores las razones o ignora la inflación.</w:t>
            </w:r>
          </w:p>
        </w:tc>
        <w:tc>
          <w:tcPr>
            <w:tcW w:w="1867" w:type="dxa"/>
            <w:shd w:val="clear" w:color="auto" w:fill="D9E2F3"/>
            <w:vAlign w:val="center"/>
          </w:tcPr>
          <w:p w14:paraId="364638FE" w14:textId="77777777" w:rsidR="00990B14" w:rsidRDefault="00000000">
            <w:pPr>
              <w:spacing w:before="20" w:after="20"/>
              <w:jc w:val="both"/>
            </w:pPr>
            <w:r>
              <w:rPr>
                <w:sz w:val="18"/>
                <w:szCs w:val="18"/>
              </w:rPr>
              <w:t>Calcula las razones de los cuatro grupos y ajusta la comparabilidad por inflación y tipo de cambio.</w:t>
            </w:r>
          </w:p>
        </w:tc>
        <w:tc>
          <w:tcPr>
            <w:tcW w:w="1868" w:type="dxa"/>
            <w:shd w:val="clear" w:color="auto" w:fill="D9E2F3"/>
            <w:vAlign w:val="center"/>
          </w:tcPr>
          <w:p w14:paraId="3F0536CC" w14:textId="77777777" w:rsidR="00990B14" w:rsidRDefault="00000000">
            <w:pPr>
              <w:spacing w:before="20" w:after="20"/>
              <w:jc w:val="both"/>
            </w:pPr>
            <w:r>
              <w:rPr>
                <w:sz w:val="18"/>
                <w:szCs w:val="18"/>
              </w:rPr>
              <w:t>Distingue el efecto inflacionario y cambiario del operativo.</w:t>
            </w:r>
          </w:p>
        </w:tc>
      </w:tr>
      <w:tr w:rsidR="00990B14" w14:paraId="12068D66" w14:textId="77777777">
        <w:trPr>
          <w:cantSplit/>
          <w:jc w:val="center"/>
        </w:trPr>
        <w:tc>
          <w:tcPr>
            <w:tcW w:w="1850" w:type="dxa"/>
            <w:vMerge/>
            <w:shd w:val="clear" w:color="auto" w:fill="4472C4"/>
            <w:vAlign w:val="center"/>
          </w:tcPr>
          <w:p w14:paraId="0BDF6928" w14:textId="77777777" w:rsidR="00990B14" w:rsidRDefault="00990B14">
            <w:pPr>
              <w:spacing w:before="20" w:after="20"/>
            </w:pPr>
          </w:p>
        </w:tc>
        <w:tc>
          <w:tcPr>
            <w:tcW w:w="1910" w:type="dxa"/>
            <w:shd w:val="clear" w:color="auto" w:fill="D9E2F3"/>
            <w:vAlign w:val="center"/>
          </w:tcPr>
          <w:p w14:paraId="14D1DF8D" w14:textId="77777777" w:rsidR="00990B14" w:rsidRDefault="00000000">
            <w:pPr>
              <w:spacing w:before="20" w:after="20"/>
              <w:jc w:val="both"/>
            </w:pPr>
            <w:r>
              <w:rPr>
                <w:sz w:val="18"/>
                <w:szCs w:val="18"/>
              </w:rPr>
              <w:t>Grados de apalancamiento</w:t>
            </w:r>
          </w:p>
        </w:tc>
        <w:tc>
          <w:tcPr>
            <w:tcW w:w="1910" w:type="dxa"/>
            <w:shd w:val="clear" w:color="auto" w:fill="D9E2F3"/>
            <w:vAlign w:val="center"/>
          </w:tcPr>
          <w:p w14:paraId="5279EAA8" w14:textId="77777777" w:rsidR="00990B14" w:rsidRDefault="00000000">
            <w:pPr>
              <w:spacing w:before="20" w:after="20"/>
              <w:jc w:val="both"/>
            </w:pPr>
            <w:r>
              <w:rPr>
                <w:sz w:val="18"/>
                <w:szCs w:val="18"/>
              </w:rPr>
              <w:t>Calcula con errores el punto de equilibrio o los grados.</w:t>
            </w:r>
          </w:p>
        </w:tc>
        <w:tc>
          <w:tcPr>
            <w:tcW w:w="1867" w:type="dxa"/>
            <w:shd w:val="clear" w:color="auto" w:fill="D9E2F3"/>
            <w:vAlign w:val="center"/>
          </w:tcPr>
          <w:p w14:paraId="2A2BFEFB" w14:textId="77777777" w:rsidR="00990B14" w:rsidRDefault="00000000">
            <w:pPr>
              <w:spacing w:before="20" w:after="20"/>
              <w:jc w:val="both"/>
            </w:pPr>
            <w:r>
              <w:rPr>
                <w:sz w:val="18"/>
                <w:szCs w:val="18"/>
              </w:rPr>
              <w:t>Calcula los grados de apalancamiento operativo, financiero y total y el punto de indiferencia.</w:t>
            </w:r>
          </w:p>
        </w:tc>
        <w:tc>
          <w:tcPr>
            <w:tcW w:w="1868" w:type="dxa"/>
            <w:shd w:val="clear" w:color="auto" w:fill="D9E2F3"/>
            <w:vAlign w:val="center"/>
          </w:tcPr>
          <w:p w14:paraId="74E1B5C0" w14:textId="77777777" w:rsidR="00990B14" w:rsidRDefault="00000000">
            <w:pPr>
              <w:spacing w:before="20" w:after="20"/>
              <w:jc w:val="both"/>
            </w:pPr>
            <w:r>
              <w:rPr>
                <w:sz w:val="18"/>
                <w:szCs w:val="18"/>
              </w:rPr>
              <w:t>Interpreta el riesgo financiero que revela cada grado.</w:t>
            </w:r>
          </w:p>
        </w:tc>
      </w:tr>
      <w:tr w:rsidR="00990B14" w14:paraId="6DC951D6" w14:textId="77777777">
        <w:trPr>
          <w:cantSplit/>
          <w:jc w:val="center"/>
        </w:trPr>
        <w:tc>
          <w:tcPr>
            <w:tcW w:w="1850" w:type="dxa"/>
            <w:vMerge/>
            <w:shd w:val="clear" w:color="auto" w:fill="4472C4"/>
            <w:vAlign w:val="center"/>
          </w:tcPr>
          <w:p w14:paraId="206B4545" w14:textId="77777777" w:rsidR="00990B14" w:rsidRDefault="00990B14">
            <w:pPr>
              <w:spacing w:before="20" w:after="20"/>
            </w:pPr>
          </w:p>
        </w:tc>
        <w:tc>
          <w:tcPr>
            <w:tcW w:w="5687" w:type="dxa"/>
            <w:gridSpan w:val="3"/>
            <w:shd w:val="clear" w:color="auto" w:fill="D9E2F3"/>
            <w:vAlign w:val="center"/>
          </w:tcPr>
          <w:p w14:paraId="4E4D18EB" w14:textId="77777777" w:rsidR="00990B14" w:rsidRDefault="00000000">
            <w:pPr>
              <w:keepNext/>
              <w:spacing w:before="20" w:after="20"/>
              <w:jc w:val="both"/>
            </w:pPr>
            <w:r>
              <w:rPr>
                <w:b/>
                <w:bCs/>
                <w:i/>
                <w:iCs/>
                <w:sz w:val="18"/>
                <w:szCs w:val="18"/>
              </w:rPr>
              <w:t xml:space="preserve">Producto 4: </w:t>
            </w:r>
            <w:r>
              <w:rPr>
                <w:sz w:val="18"/>
                <w:szCs w:val="18"/>
              </w:rPr>
              <w:t>Informe de diagnóstico financiero con sus conclusiones y recomendaciones</w:t>
            </w:r>
          </w:p>
        </w:tc>
        <w:tc>
          <w:tcPr>
            <w:tcW w:w="1868" w:type="dxa"/>
            <w:shd w:val="clear" w:color="auto" w:fill="D9E2F3"/>
            <w:vAlign w:val="center"/>
          </w:tcPr>
          <w:p w14:paraId="7EC1D9B1" w14:textId="77777777" w:rsidR="00990B14" w:rsidRDefault="00000000">
            <w:pPr>
              <w:spacing w:before="20" w:after="20"/>
              <w:jc w:val="center"/>
            </w:pPr>
            <w:r>
              <w:rPr>
                <w:b/>
                <w:bCs/>
                <w:sz w:val="18"/>
                <w:szCs w:val="18"/>
              </w:rPr>
              <w:t>4%</w:t>
            </w:r>
          </w:p>
        </w:tc>
      </w:tr>
      <w:tr w:rsidR="00990B14" w14:paraId="66D630F8" w14:textId="77777777">
        <w:trPr>
          <w:cantSplit/>
          <w:jc w:val="center"/>
        </w:trPr>
        <w:tc>
          <w:tcPr>
            <w:tcW w:w="1850" w:type="dxa"/>
            <w:vMerge/>
            <w:shd w:val="clear" w:color="auto" w:fill="4472C4"/>
            <w:vAlign w:val="center"/>
          </w:tcPr>
          <w:p w14:paraId="5F55665E" w14:textId="77777777" w:rsidR="00990B14" w:rsidRDefault="00990B14">
            <w:pPr>
              <w:spacing w:before="20" w:after="20"/>
            </w:pPr>
          </w:p>
        </w:tc>
        <w:tc>
          <w:tcPr>
            <w:tcW w:w="1910" w:type="dxa"/>
            <w:shd w:val="clear" w:color="auto" w:fill="4472C4"/>
            <w:vAlign w:val="center"/>
          </w:tcPr>
          <w:p w14:paraId="6A450614"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7507169D" w14:textId="77777777" w:rsidR="00990B14" w:rsidRDefault="00000000">
            <w:pPr>
              <w:keepNext/>
              <w:spacing w:before="20" w:after="20"/>
              <w:jc w:val="center"/>
            </w:pPr>
            <w:r>
              <w:rPr>
                <w:b/>
                <w:bCs/>
                <w:i/>
                <w:iCs/>
                <w:color w:val="FFFFFF"/>
                <w:sz w:val="18"/>
                <w:szCs w:val="18"/>
              </w:rPr>
              <w:t>Insuficiente (1–50)</w:t>
            </w:r>
          </w:p>
        </w:tc>
        <w:tc>
          <w:tcPr>
            <w:tcW w:w="1867" w:type="dxa"/>
            <w:shd w:val="clear" w:color="auto" w:fill="4472C4"/>
            <w:vAlign w:val="center"/>
          </w:tcPr>
          <w:p w14:paraId="2BFB6DB6" w14:textId="77777777" w:rsidR="00990B14" w:rsidRDefault="00000000">
            <w:pPr>
              <w:keepNext/>
              <w:spacing w:before="20" w:after="20"/>
              <w:jc w:val="center"/>
            </w:pPr>
            <w:r>
              <w:rPr>
                <w:b/>
                <w:bCs/>
                <w:i/>
                <w:iCs/>
                <w:color w:val="FFFFFF"/>
                <w:sz w:val="18"/>
                <w:szCs w:val="18"/>
              </w:rPr>
              <w:t>Suficiente (51–80)</w:t>
            </w:r>
          </w:p>
        </w:tc>
        <w:tc>
          <w:tcPr>
            <w:tcW w:w="1868" w:type="dxa"/>
            <w:shd w:val="clear" w:color="auto" w:fill="4472C4"/>
            <w:vAlign w:val="center"/>
          </w:tcPr>
          <w:p w14:paraId="67ACAF83" w14:textId="77777777" w:rsidR="00990B14" w:rsidRDefault="00000000">
            <w:pPr>
              <w:keepNext/>
              <w:spacing w:before="20" w:after="20"/>
              <w:jc w:val="center"/>
            </w:pPr>
            <w:r>
              <w:rPr>
                <w:b/>
                <w:bCs/>
                <w:i/>
                <w:iCs/>
                <w:color w:val="FFFFFF"/>
                <w:sz w:val="18"/>
                <w:szCs w:val="18"/>
              </w:rPr>
              <w:t>Destacado (81–100)</w:t>
            </w:r>
          </w:p>
        </w:tc>
      </w:tr>
      <w:tr w:rsidR="00990B14" w14:paraId="6DF7D844" w14:textId="77777777">
        <w:trPr>
          <w:cantSplit/>
          <w:jc w:val="center"/>
        </w:trPr>
        <w:tc>
          <w:tcPr>
            <w:tcW w:w="1850" w:type="dxa"/>
            <w:vMerge/>
            <w:shd w:val="clear" w:color="auto" w:fill="4472C4"/>
            <w:vAlign w:val="center"/>
          </w:tcPr>
          <w:p w14:paraId="42218804" w14:textId="77777777" w:rsidR="00990B14" w:rsidRDefault="00990B14">
            <w:pPr>
              <w:spacing w:before="20" w:after="20"/>
            </w:pPr>
          </w:p>
        </w:tc>
        <w:tc>
          <w:tcPr>
            <w:tcW w:w="1910" w:type="dxa"/>
            <w:shd w:val="clear" w:color="auto" w:fill="D9E2F3"/>
            <w:vAlign w:val="center"/>
          </w:tcPr>
          <w:p w14:paraId="1B6BC6D7" w14:textId="77777777" w:rsidR="00990B14" w:rsidRDefault="00000000">
            <w:pPr>
              <w:spacing w:before="20" w:after="20"/>
              <w:jc w:val="both"/>
            </w:pPr>
            <w:r>
              <w:rPr>
                <w:sz w:val="18"/>
                <w:szCs w:val="18"/>
              </w:rPr>
              <w:t>Diagnóstico integral</w:t>
            </w:r>
          </w:p>
        </w:tc>
        <w:tc>
          <w:tcPr>
            <w:tcW w:w="1910" w:type="dxa"/>
            <w:shd w:val="clear" w:color="auto" w:fill="D9E2F3"/>
            <w:vAlign w:val="center"/>
          </w:tcPr>
          <w:p w14:paraId="10B7E13A" w14:textId="77777777" w:rsidR="00990B14" w:rsidRDefault="00000000">
            <w:pPr>
              <w:spacing w:before="20" w:after="20"/>
              <w:jc w:val="both"/>
            </w:pPr>
            <w:r>
              <w:rPr>
                <w:sz w:val="18"/>
                <w:szCs w:val="18"/>
              </w:rPr>
              <w:t>Interpreta las razones de forma aislada.</w:t>
            </w:r>
          </w:p>
        </w:tc>
        <w:tc>
          <w:tcPr>
            <w:tcW w:w="1867" w:type="dxa"/>
            <w:shd w:val="clear" w:color="auto" w:fill="D9E2F3"/>
            <w:vAlign w:val="center"/>
          </w:tcPr>
          <w:p w14:paraId="79482D9B" w14:textId="77777777" w:rsidR="00990B14" w:rsidRDefault="00000000">
            <w:pPr>
              <w:spacing w:before="20" w:after="20"/>
              <w:jc w:val="both"/>
            </w:pPr>
            <w:r>
              <w:rPr>
                <w:sz w:val="18"/>
                <w:szCs w:val="18"/>
              </w:rPr>
              <w:t>Relaciona las razones y el apalancamiento entre sí y con los objetivos de la empresa.</w:t>
            </w:r>
          </w:p>
        </w:tc>
        <w:tc>
          <w:tcPr>
            <w:tcW w:w="1868" w:type="dxa"/>
            <w:shd w:val="clear" w:color="auto" w:fill="D9E2F3"/>
            <w:vAlign w:val="center"/>
          </w:tcPr>
          <w:p w14:paraId="610A94B5" w14:textId="77777777" w:rsidR="00990B14" w:rsidRDefault="00000000">
            <w:pPr>
              <w:spacing w:before="20" w:after="20"/>
              <w:jc w:val="both"/>
            </w:pPr>
            <w:r>
              <w:rPr>
                <w:sz w:val="18"/>
                <w:szCs w:val="18"/>
              </w:rPr>
              <w:t>Propone acciones frente a cada señal de riesgo.</w:t>
            </w:r>
          </w:p>
        </w:tc>
      </w:tr>
      <w:tr w:rsidR="00990B14" w14:paraId="092508D2" w14:textId="77777777">
        <w:trPr>
          <w:cantSplit/>
          <w:jc w:val="center"/>
        </w:trPr>
        <w:tc>
          <w:tcPr>
            <w:tcW w:w="1850" w:type="dxa"/>
            <w:vMerge/>
            <w:shd w:val="clear" w:color="auto" w:fill="4472C4"/>
            <w:vAlign w:val="center"/>
          </w:tcPr>
          <w:p w14:paraId="583093D9" w14:textId="77777777" w:rsidR="00990B14" w:rsidRDefault="00990B14">
            <w:pPr>
              <w:spacing w:before="20" w:after="20"/>
            </w:pPr>
          </w:p>
        </w:tc>
        <w:tc>
          <w:tcPr>
            <w:tcW w:w="1910" w:type="dxa"/>
            <w:shd w:val="clear" w:color="auto" w:fill="D9E2F3"/>
            <w:vAlign w:val="center"/>
          </w:tcPr>
          <w:p w14:paraId="5AA4E271" w14:textId="77777777" w:rsidR="00990B14" w:rsidRDefault="00000000">
            <w:pPr>
              <w:spacing w:before="20" w:after="20"/>
              <w:jc w:val="both"/>
            </w:pPr>
            <w:r>
              <w:rPr>
                <w:sz w:val="18"/>
                <w:szCs w:val="18"/>
              </w:rPr>
              <w:t>Validación del análisis</w:t>
            </w:r>
          </w:p>
        </w:tc>
        <w:tc>
          <w:tcPr>
            <w:tcW w:w="1910" w:type="dxa"/>
            <w:shd w:val="clear" w:color="auto" w:fill="D9E2F3"/>
            <w:vAlign w:val="center"/>
          </w:tcPr>
          <w:p w14:paraId="028FF780" w14:textId="77777777" w:rsidR="00990B14" w:rsidRDefault="00000000">
            <w:pPr>
              <w:spacing w:before="20" w:after="20"/>
              <w:jc w:val="both"/>
            </w:pPr>
            <w:r>
              <w:rPr>
                <w:sz w:val="18"/>
                <w:szCs w:val="18"/>
              </w:rPr>
              <w:t>No reconoce las limitaciones.</w:t>
            </w:r>
          </w:p>
        </w:tc>
        <w:tc>
          <w:tcPr>
            <w:tcW w:w="1867" w:type="dxa"/>
            <w:shd w:val="clear" w:color="auto" w:fill="D9E2F3"/>
            <w:vAlign w:val="center"/>
          </w:tcPr>
          <w:p w14:paraId="681692EF" w14:textId="77777777" w:rsidR="00990B14" w:rsidRDefault="00000000">
            <w:pPr>
              <w:spacing w:before="20" w:after="20"/>
              <w:jc w:val="both"/>
            </w:pPr>
            <w:r>
              <w:rPr>
                <w:sz w:val="18"/>
                <w:szCs w:val="18"/>
              </w:rPr>
              <w:t>Identifica las limitaciones del análisis de razones.</w:t>
            </w:r>
          </w:p>
        </w:tc>
        <w:tc>
          <w:tcPr>
            <w:tcW w:w="1868" w:type="dxa"/>
            <w:shd w:val="clear" w:color="auto" w:fill="D9E2F3"/>
            <w:vAlign w:val="center"/>
          </w:tcPr>
          <w:p w14:paraId="450FC5D3" w14:textId="77777777" w:rsidR="00990B14" w:rsidRDefault="00000000">
            <w:pPr>
              <w:spacing w:before="20" w:after="20"/>
              <w:jc w:val="both"/>
            </w:pPr>
            <w:r>
              <w:rPr>
                <w:sz w:val="18"/>
                <w:szCs w:val="18"/>
              </w:rPr>
              <w:t>Reformula la conclusión con fundamentos.</w:t>
            </w:r>
          </w:p>
        </w:tc>
      </w:tr>
      <w:tr w:rsidR="00990B14" w14:paraId="2AE2942A" w14:textId="77777777">
        <w:trPr>
          <w:cantSplit/>
          <w:jc w:val="center"/>
        </w:trPr>
        <w:tc>
          <w:tcPr>
            <w:tcW w:w="1850" w:type="dxa"/>
            <w:vMerge/>
            <w:shd w:val="clear" w:color="auto" w:fill="4472C4"/>
            <w:vAlign w:val="center"/>
          </w:tcPr>
          <w:p w14:paraId="6CD0199B" w14:textId="77777777" w:rsidR="00990B14" w:rsidRDefault="00990B14">
            <w:pPr>
              <w:spacing w:before="20" w:after="20"/>
            </w:pPr>
          </w:p>
        </w:tc>
        <w:tc>
          <w:tcPr>
            <w:tcW w:w="1910" w:type="dxa"/>
            <w:shd w:val="clear" w:color="auto" w:fill="D9E2F3"/>
            <w:vAlign w:val="center"/>
          </w:tcPr>
          <w:p w14:paraId="06734DCB" w14:textId="77777777" w:rsidR="00990B14" w:rsidRDefault="00000000">
            <w:pPr>
              <w:spacing w:before="20" w:after="20"/>
              <w:jc w:val="both"/>
            </w:pPr>
            <w:r>
              <w:rPr>
                <w:sz w:val="18"/>
                <w:szCs w:val="18"/>
              </w:rPr>
              <w:t>Sustentación del diagnóstico</w:t>
            </w:r>
          </w:p>
        </w:tc>
        <w:tc>
          <w:tcPr>
            <w:tcW w:w="1910" w:type="dxa"/>
            <w:shd w:val="clear" w:color="auto" w:fill="D9E2F3"/>
            <w:vAlign w:val="center"/>
          </w:tcPr>
          <w:p w14:paraId="107C093D" w14:textId="77777777" w:rsidR="00990B14" w:rsidRDefault="00000000">
            <w:pPr>
              <w:spacing w:before="20" w:after="20"/>
              <w:jc w:val="both"/>
            </w:pPr>
            <w:r>
              <w:rPr>
                <w:sz w:val="18"/>
                <w:szCs w:val="18"/>
              </w:rPr>
              <w:t>La participación es desigual.</w:t>
            </w:r>
          </w:p>
        </w:tc>
        <w:tc>
          <w:tcPr>
            <w:tcW w:w="1867" w:type="dxa"/>
            <w:shd w:val="clear" w:color="auto" w:fill="D9E2F3"/>
            <w:vAlign w:val="center"/>
          </w:tcPr>
          <w:p w14:paraId="017B2E40" w14:textId="77777777" w:rsidR="00990B14" w:rsidRDefault="00000000">
            <w:pPr>
              <w:spacing w:before="20" w:after="20"/>
              <w:jc w:val="both"/>
            </w:pPr>
            <w:r>
              <w:rPr>
                <w:sz w:val="18"/>
                <w:szCs w:val="18"/>
              </w:rPr>
              <w:t>Todos los integrantes participan y sustentan el diagnóstico.</w:t>
            </w:r>
          </w:p>
        </w:tc>
        <w:tc>
          <w:tcPr>
            <w:tcW w:w="1868" w:type="dxa"/>
            <w:shd w:val="clear" w:color="auto" w:fill="D9E2F3"/>
            <w:vAlign w:val="center"/>
          </w:tcPr>
          <w:p w14:paraId="6DA9EC7E" w14:textId="77777777" w:rsidR="00990B14" w:rsidRDefault="00000000">
            <w:pPr>
              <w:spacing w:before="20" w:after="20"/>
              <w:jc w:val="both"/>
            </w:pPr>
            <w:r>
              <w:rPr>
                <w:sz w:val="18"/>
                <w:szCs w:val="18"/>
              </w:rPr>
              <w:t>El equipo responde con fundamentos a las observaciones del curso.</w:t>
            </w:r>
          </w:p>
        </w:tc>
      </w:tr>
      <w:tr w:rsidR="00990B14" w14:paraId="14C0E7B1" w14:textId="77777777">
        <w:trPr>
          <w:cantSplit/>
          <w:jc w:val="center"/>
        </w:trPr>
        <w:tc>
          <w:tcPr>
            <w:tcW w:w="1850" w:type="dxa"/>
            <w:vMerge/>
            <w:shd w:val="clear" w:color="auto" w:fill="4472C4"/>
            <w:vAlign w:val="center"/>
          </w:tcPr>
          <w:p w14:paraId="515ACDF9" w14:textId="77777777" w:rsidR="00990B14" w:rsidRDefault="00990B14">
            <w:pPr>
              <w:spacing w:before="20" w:after="20"/>
            </w:pPr>
          </w:p>
        </w:tc>
        <w:tc>
          <w:tcPr>
            <w:tcW w:w="5687" w:type="dxa"/>
            <w:gridSpan w:val="3"/>
            <w:shd w:val="clear" w:color="auto" w:fill="D9E2F3"/>
            <w:vAlign w:val="center"/>
          </w:tcPr>
          <w:p w14:paraId="239CA492" w14:textId="77777777" w:rsidR="00990B14" w:rsidRDefault="00000000">
            <w:pPr>
              <w:keepNext/>
              <w:spacing w:before="20" w:after="20"/>
              <w:jc w:val="both"/>
            </w:pPr>
            <w:r>
              <w:rPr>
                <w:b/>
                <w:bCs/>
                <w:i/>
                <w:iCs/>
                <w:sz w:val="18"/>
                <w:szCs w:val="18"/>
              </w:rPr>
              <w:t xml:space="preserve">Producto 5: </w:t>
            </w:r>
            <w:r>
              <w:rPr>
                <w:sz w:val="18"/>
                <w:szCs w:val="18"/>
              </w:rPr>
              <w:t>Informe de análisis situacional financiero conforme a los objetivos y estrategias de la empresa</w:t>
            </w:r>
          </w:p>
        </w:tc>
        <w:tc>
          <w:tcPr>
            <w:tcW w:w="1868" w:type="dxa"/>
            <w:shd w:val="clear" w:color="auto" w:fill="D9E2F3"/>
            <w:vAlign w:val="center"/>
          </w:tcPr>
          <w:p w14:paraId="4B624A15" w14:textId="77777777" w:rsidR="00990B14" w:rsidRDefault="00000000">
            <w:pPr>
              <w:spacing w:before="20" w:after="20"/>
              <w:jc w:val="center"/>
            </w:pPr>
            <w:r>
              <w:rPr>
                <w:b/>
                <w:bCs/>
                <w:sz w:val="18"/>
                <w:szCs w:val="18"/>
              </w:rPr>
              <w:t>2%</w:t>
            </w:r>
          </w:p>
        </w:tc>
      </w:tr>
      <w:tr w:rsidR="00990B14" w14:paraId="14F2999A" w14:textId="77777777">
        <w:trPr>
          <w:cantSplit/>
          <w:jc w:val="center"/>
        </w:trPr>
        <w:tc>
          <w:tcPr>
            <w:tcW w:w="1850" w:type="dxa"/>
            <w:vMerge/>
            <w:shd w:val="clear" w:color="auto" w:fill="4472C4"/>
            <w:vAlign w:val="center"/>
          </w:tcPr>
          <w:p w14:paraId="47851F88" w14:textId="77777777" w:rsidR="00990B14" w:rsidRDefault="00990B14">
            <w:pPr>
              <w:spacing w:before="20" w:after="20"/>
            </w:pPr>
          </w:p>
        </w:tc>
        <w:tc>
          <w:tcPr>
            <w:tcW w:w="1910" w:type="dxa"/>
            <w:shd w:val="clear" w:color="auto" w:fill="4472C4"/>
            <w:vAlign w:val="center"/>
          </w:tcPr>
          <w:p w14:paraId="59178104"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75BD63C5" w14:textId="77777777" w:rsidR="00990B14" w:rsidRDefault="00000000">
            <w:pPr>
              <w:keepNext/>
              <w:spacing w:before="20" w:after="20"/>
              <w:jc w:val="center"/>
            </w:pPr>
            <w:r>
              <w:rPr>
                <w:b/>
                <w:bCs/>
                <w:i/>
                <w:iCs/>
                <w:color w:val="FFFFFF"/>
                <w:sz w:val="18"/>
                <w:szCs w:val="18"/>
              </w:rPr>
              <w:t>Insuficiente (1–50)</w:t>
            </w:r>
          </w:p>
        </w:tc>
        <w:tc>
          <w:tcPr>
            <w:tcW w:w="1867" w:type="dxa"/>
            <w:shd w:val="clear" w:color="auto" w:fill="4472C4"/>
            <w:vAlign w:val="center"/>
          </w:tcPr>
          <w:p w14:paraId="7DA97D4A" w14:textId="77777777" w:rsidR="00990B14" w:rsidRDefault="00000000">
            <w:pPr>
              <w:keepNext/>
              <w:spacing w:before="20" w:after="20"/>
              <w:jc w:val="center"/>
            </w:pPr>
            <w:r>
              <w:rPr>
                <w:b/>
                <w:bCs/>
                <w:i/>
                <w:iCs/>
                <w:color w:val="FFFFFF"/>
                <w:sz w:val="18"/>
                <w:szCs w:val="18"/>
              </w:rPr>
              <w:t>Suficiente (51–80)</w:t>
            </w:r>
          </w:p>
        </w:tc>
        <w:tc>
          <w:tcPr>
            <w:tcW w:w="1868" w:type="dxa"/>
            <w:shd w:val="clear" w:color="auto" w:fill="4472C4"/>
            <w:vAlign w:val="center"/>
          </w:tcPr>
          <w:p w14:paraId="6A38827B" w14:textId="77777777" w:rsidR="00990B14" w:rsidRDefault="00000000">
            <w:pPr>
              <w:keepNext/>
              <w:spacing w:before="20" w:after="20"/>
              <w:jc w:val="center"/>
            </w:pPr>
            <w:r>
              <w:rPr>
                <w:b/>
                <w:bCs/>
                <w:i/>
                <w:iCs/>
                <w:color w:val="FFFFFF"/>
                <w:sz w:val="18"/>
                <w:szCs w:val="18"/>
              </w:rPr>
              <w:t>Destacado (81–100)</w:t>
            </w:r>
          </w:p>
        </w:tc>
      </w:tr>
      <w:tr w:rsidR="00990B14" w14:paraId="6E23D6E7" w14:textId="77777777">
        <w:trPr>
          <w:cantSplit/>
          <w:jc w:val="center"/>
        </w:trPr>
        <w:tc>
          <w:tcPr>
            <w:tcW w:w="1850" w:type="dxa"/>
            <w:vMerge/>
            <w:shd w:val="clear" w:color="auto" w:fill="4472C4"/>
            <w:vAlign w:val="center"/>
          </w:tcPr>
          <w:p w14:paraId="39FB7885" w14:textId="77777777" w:rsidR="00990B14" w:rsidRDefault="00990B14">
            <w:pPr>
              <w:spacing w:before="20" w:after="20"/>
            </w:pPr>
          </w:p>
        </w:tc>
        <w:tc>
          <w:tcPr>
            <w:tcW w:w="1910" w:type="dxa"/>
            <w:shd w:val="clear" w:color="auto" w:fill="D9E2F3"/>
            <w:vAlign w:val="center"/>
          </w:tcPr>
          <w:p w14:paraId="7F4B5C68" w14:textId="77777777" w:rsidR="00990B14" w:rsidRDefault="00000000">
            <w:pPr>
              <w:spacing w:before="20" w:after="20"/>
              <w:jc w:val="both"/>
            </w:pPr>
            <w:r>
              <w:rPr>
                <w:sz w:val="18"/>
                <w:szCs w:val="18"/>
              </w:rPr>
              <w:t>Análisis situacional</w:t>
            </w:r>
          </w:p>
        </w:tc>
        <w:tc>
          <w:tcPr>
            <w:tcW w:w="1910" w:type="dxa"/>
            <w:shd w:val="clear" w:color="auto" w:fill="D9E2F3"/>
            <w:vAlign w:val="center"/>
          </w:tcPr>
          <w:p w14:paraId="0924F6AC" w14:textId="77777777" w:rsidR="00990B14" w:rsidRDefault="00000000">
            <w:pPr>
              <w:spacing w:before="20" w:after="20"/>
              <w:jc w:val="both"/>
            </w:pPr>
            <w:r>
              <w:rPr>
                <w:sz w:val="18"/>
                <w:szCs w:val="18"/>
              </w:rPr>
              <w:t>El análisis es superficial.</w:t>
            </w:r>
          </w:p>
        </w:tc>
        <w:tc>
          <w:tcPr>
            <w:tcW w:w="1867" w:type="dxa"/>
            <w:shd w:val="clear" w:color="auto" w:fill="D9E2F3"/>
            <w:vAlign w:val="center"/>
          </w:tcPr>
          <w:p w14:paraId="6A17E5BF" w14:textId="77777777" w:rsidR="00990B14" w:rsidRDefault="00000000">
            <w:pPr>
              <w:spacing w:before="20" w:after="20"/>
              <w:jc w:val="both"/>
            </w:pPr>
            <w:r>
              <w:rPr>
                <w:sz w:val="18"/>
                <w:szCs w:val="18"/>
              </w:rPr>
              <w:t>Analiza la situación interna y externa de la empresa.</w:t>
            </w:r>
          </w:p>
        </w:tc>
        <w:tc>
          <w:tcPr>
            <w:tcW w:w="1868" w:type="dxa"/>
            <w:shd w:val="clear" w:color="auto" w:fill="D9E2F3"/>
            <w:vAlign w:val="center"/>
          </w:tcPr>
          <w:p w14:paraId="31D5B23F" w14:textId="77777777" w:rsidR="00990B14" w:rsidRDefault="00000000">
            <w:pPr>
              <w:spacing w:before="20" w:after="20"/>
              <w:jc w:val="both"/>
            </w:pPr>
            <w:r>
              <w:rPr>
                <w:sz w:val="18"/>
                <w:szCs w:val="18"/>
              </w:rPr>
              <w:t>Prioriza los factores de mayor incidencia financiera.</w:t>
            </w:r>
          </w:p>
        </w:tc>
      </w:tr>
      <w:tr w:rsidR="00990B14" w14:paraId="29D8A124" w14:textId="77777777">
        <w:trPr>
          <w:cantSplit/>
          <w:jc w:val="center"/>
        </w:trPr>
        <w:tc>
          <w:tcPr>
            <w:tcW w:w="1850" w:type="dxa"/>
            <w:vMerge/>
            <w:shd w:val="clear" w:color="auto" w:fill="4472C4"/>
            <w:vAlign w:val="center"/>
          </w:tcPr>
          <w:p w14:paraId="6FF848B6" w14:textId="77777777" w:rsidR="00990B14" w:rsidRDefault="00990B14">
            <w:pPr>
              <w:spacing w:before="20" w:after="20"/>
            </w:pPr>
          </w:p>
        </w:tc>
        <w:tc>
          <w:tcPr>
            <w:tcW w:w="1910" w:type="dxa"/>
            <w:shd w:val="clear" w:color="auto" w:fill="D9E2F3"/>
            <w:vAlign w:val="center"/>
          </w:tcPr>
          <w:p w14:paraId="230A646E" w14:textId="77777777" w:rsidR="00990B14" w:rsidRDefault="00000000">
            <w:pPr>
              <w:spacing w:before="20" w:after="20"/>
              <w:jc w:val="both"/>
            </w:pPr>
            <w:r>
              <w:rPr>
                <w:sz w:val="18"/>
                <w:szCs w:val="18"/>
              </w:rPr>
              <w:t>Objetivos y estrategias</w:t>
            </w:r>
          </w:p>
        </w:tc>
        <w:tc>
          <w:tcPr>
            <w:tcW w:w="1910" w:type="dxa"/>
            <w:shd w:val="clear" w:color="auto" w:fill="D9E2F3"/>
            <w:vAlign w:val="center"/>
          </w:tcPr>
          <w:p w14:paraId="60BBA29B" w14:textId="77777777" w:rsidR="00990B14" w:rsidRDefault="00000000">
            <w:pPr>
              <w:spacing w:before="20" w:after="20"/>
              <w:jc w:val="both"/>
            </w:pPr>
            <w:r>
              <w:rPr>
                <w:sz w:val="18"/>
                <w:szCs w:val="18"/>
              </w:rPr>
              <w:t>Los objetivos son vagos.</w:t>
            </w:r>
          </w:p>
        </w:tc>
        <w:tc>
          <w:tcPr>
            <w:tcW w:w="1867" w:type="dxa"/>
            <w:shd w:val="clear" w:color="auto" w:fill="D9E2F3"/>
            <w:vAlign w:val="center"/>
          </w:tcPr>
          <w:p w14:paraId="1959FB90" w14:textId="77777777" w:rsidR="00990B14" w:rsidRDefault="00000000">
            <w:pPr>
              <w:spacing w:before="20" w:after="20"/>
              <w:jc w:val="both"/>
            </w:pPr>
            <w:r>
              <w:rPr>
                <w:sz w:val="18"/>
                <w:szCs w:val="18"/>
              </w:rPr>
              <w:t>Define objetivos y estrategias corporativas y funcionales.</w:t>
            </w:r>
          </w:p>
        </w:tc>
        <w:tc>
          <w:tcPr>
            <w:tcW w:w="1868" w:type="dxa"/>
            <w:shd w:val="clear" w:color="auto" w:fill="D9E2F3"/>
            <w:vAlign w:val="center"/>
          </w:tcPr>
          <w:p w14:paraId="2C148254" w14:textId="77777777" w:rsidR="00990B14" w:rsidRDefault="00000000">
            <w:pPr>
              <w:spacing w:before="20" w:after="20"/>
              <w:jc w:val="both"/>
            </w:pPr>
            <w:r>
              <w:rPr>
                <w:sz w:val="18"/>
                <w:szCs w:val="18"/>
              </w:rPr>
              <w:t>Vincula cada estrategia con una meta financiera.</w:t>
            </w:r>
          </w:p>
        </w:tc>
      </w:tr>
      <w:tr w:rsidR="00990B14" w14:paraId="354CE88A" w14:textId="77777777">
        <w:trPr>
          <w:cantSplit/>
          <w:jc w:val="center"/>
        </w:trPr>
        <w:tc>
          <w:tcPr>
            <w:tcW w:w="1850" w:type="dxa"/>
            <w:vMerge/>
            <w:shd w:val="clear" w:color="auto" w:fill="4472C4"/>
            <w:vAlign w:val="center"/>
          </w:tcPr>
          <w:p w14:paraId="76AAA6A2" w14:textId="77777777" w:rsidR="00990B14" w:rsidRDefault="00990B14">
            <w:pPr>
              <w:spacing w:before="20" w:after="20"/>
            </w:pPr>
          </w:p>
        </w:tc>
        <w:tc>
          <w:tcPr>
            <w:tcW w:w="1910" w:type="dxa"/>
            <w:shd w:val="clear" w:color="auto" w:fill="D9E2F3"/>
            <w:vAlign w:val="center"/>
          </w:tcPr>
          <w:p w14:paraId="0BC79CC6" w14:textId="77777777" w:rsidR="00990B14" w:rsidRDefault="00000000">
            <w:pPr>
              <w:spacing w:before="20" w:after="20"/>
              <w:jc w:val="both"/>
            </w:pPr>
            <w:r>
              <w:rPr>
                <w:sz w:val="18"/>
                <w:szCs w:val="18"/>
              </w:rPr>
              <w:t>Presentación del informe</w:t>
            </w:r>
          </w:p>
        </w:tc>
        <w:tc>
          <w:tcPr>
            <w:tcW w:w="1910" w:type="dxa"/>
            <w:shd w:val="clear" w:color="auto" w:fill="D9E2F3"/>
            <w:vAlign w:val="center"/>
          </w:tcPr>
          <w:p w14:paraId="03D61E97" w14:textId="77777777" w:rsidR="00990B14" w:rsidRDefault="00000000">
            <w:pPr>
              <w:spacing w:before="20" w:after="20"/>
              <w:jc w:val="both"/>
            </w:pPr>
            <w:r>
              <w:rPr>
                <w:sz w:val="18"/>
                <w:szCs w:val="18"/>
              </w:rPr>
              <w:t>El informe es confuso.</w:t>
            </w:r>
          </w:p>
        </w:tc>
        <w:tc>
          <w:tcPr>
            <w:tcW w:w="1867" w:type="dxa"/>
            <w:shd w:val="clear" w:color="auto" w:fill="D9E2F3"/>
            <w:vAlign w:val="center"/>
          </w:tcPr>
          <w:p w14:paraId="48604558" w14:textId="77777777" w:rsidR="00990B14" w:rsidRDefault="00000000">
            <w:pPr>
              <w:spacing w:before="20" w:after="20"/>
              <w:jc w:val="both"/>
            </w:pPr>
            <w:r>
              <w:rPr>
                <w:sz w:val="18"/>
                <w:szCs w:val="18"/>
              </w:rPr>
              <w:t>El informe es claro y ordenado.</w:t>
            </w:r>
          </w:p>
        </w:tc>
        <w:tc>
          <w:tcPr>
            <w:tcW w:w="1868" w:type="dxa"/>
            <w:shd w:val="clear" w:color="auto" w:fill="D9E2F3"/>
            <w:vAlign w:val="center"/>
          </w:tcPr>
          <w:p w14:paraId="30512D8B" w14:textId="77777777" w:rsidR="00990B14" w:rsidRDefault="00000000">
            <w:pPr>
              <w:spacing w:before="20" w:after="20"/>
              <w:jc w:val="both"/>
            </w:pPr>
            <w:r>
              <w:rPr>
                <w:sz w:val="18"/>
                <w:szCs w:val="18"/>
              </w:rPr>
              <w:t>El informe sustenta sus conclusiones con cifras.</w:t>
            </w:r>
          </w:p>
        </w:tc>
      </w:tr>
      <w:tr w:rsidR="00990B14" w14:paraId="23B12141" w14:textId="77777777">
        <w:trPr>
          <w:cantSplit/>
          <w:jc w:val="center"/>
        </w:trPr>
        <w:tc>
          <w:tcPr>
            <w:tcW w:w="1850" w:type="dxa"/>
            <w:vMerge/>
            <w:shd w:val="clear" w:color="auto" w:fill="4472C4"/>
            <w:vAlign w:val="center"/>
          </w:tcPr>
          <w:p w14:paraId="6281D511" w14:textId="77777777" w:rsidR="00990B14" w:rsidRDefault="00990B14">
            <w:pPr>
              <w:spacing w:before="20" w:after="20"/>
            </w:pPr>
          </w:p>
        </w:tc>
        <w:tc>
          <w:tcPr>
            <w:tcW w:w="5687" w:type="dxa"/>
            <w:gridSpan w:val="3"/>
            <w:shd w:val="clear" w:color="auto" w:fill="D9E2F3"/>
            <w:vAlign w:val="center"/>
          </w:tcPr>
          <w:p w14:paraId="29D7CC56" w14:textId="77777777" w:rsidR="00990B14" w:rsidRDefault="00000000">
            <w:pPr>
              <w:keepNext/>
              <w:spacing w:before="20" w:after="20"/>
              <w:jc w:val="both"/>
            </w:pPr>
            <w:r>
              <w:rPr>
                <w:b/>
                <w:bCs/>
                <w:i/>
                <w:iCs/>
                <w:sz w:val="18"/>
                <w:szCs w:val="18"/>
              </w:rPr>
              <w:t xml:space="preserve">Producto 6: </w:t>
            </w:r>
            <w:r>
              <w:rPr>
                <w:sz w:val="18"/>
                <w:szCs w:val="18"/>
              </w:rPr>
              <w:t>Pronóstico de la demanda y presupuesto de ventas por series de tiempo, regresión y tendencias</w:t>
            </w:r>
          </w:p>
        </w:tc>
        <w:tc>
          <w:tcPr>
            <w:tcW w:w="1868" w:type="dxa"/>
            <w:shd w:val="clear" w:color="auto" w:fill="D9E2F3"/>
            <w:vAlign w:val="center"/>
          </w:tcPr>
          <w:p w14:paraId="56C6CCF1" w14:textId="77777777" w:rsidR="00990B14" w:rsidRDefault="00000000">
            <w:pPr>
              <w:spacing w:before="20" w:after="20"/>
              <w:jc w:val="center"/>
            </w:pPr>
            <w:r>
              <w:rPr>
                <w:b/>
                <w:bCs/>
                <w:sz w:val="18"/>
                <w:szCs w:val="18"/>
              </w:rPr>
              <w:t>2%</w:t>
            </w:r>
          </w:p>
        </w:tc>
      </w:tr>
      <w:tr w:rsidR="00990B14" w14:paraId="3CD20996" w14:textId="77777777">
        <w:trPr>
          <w:cantSplit/>
          <w:jc w:val="center"/>
        </w:trPr>
        <w:tc>
          <w:tcPr>
            <w:tcW w:w="1850" w:type="dxa"/>
            <w:vMerge/>
            <w:shd w:val="clear" w:color="auto" w:fill="4472C4"/>
            <w:vAlign w:val="center"/>
          </w:tcPr>
          <w:p w14:paraId="5D557D13" w14:textId="77777777" w:rsidR="00990B14" w:rsidRDefault="00990B14">
            <w:pPr>
              <w:spacing w:before="20" w:after="20"/>
            </w:pPr>
          </w:p>
        </w:tc>
        <w:tc>
          <w:tcPr>
            <w:tcW w:w="1910" w:type="dxa"/>
            <w:shd w:val="clear" w:color="auto" w:fill="4472C4"/>
            <w:vAlign w:val="center"/>
          </w:tcPr>
          <w:p w14:paraId="33AC202A"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6D5AB210" w14:textId="77777777" w:rsidR="00990B14" w:rsidRDefault="00000000">
            <w:pPr>
              <w:keepNext/>
              <w:spacing w:before="20" w:after="20"/>
              <w:jc w:val="center"/>
            </w:pPr>
            <w:r>
              <w:rPr>
                <w:b/>
                <w:bCs/>
                <w:i/>
                <w:iCs/>
                <w:color w:val="FFFFFF"/>
                <w:sz w:val="18"/>
                <w:szCs w:val="18"/>
              </w:rPr>
              <w:t>Insuficiente (1–50)</w:t>
            </w:r>
          </w:p>
        </w:tc>
        <w:tc>
          <w:tcPr>
            <w:tcW w:w="1867" w:type="dxa"/>
            <w:shd w:val="clear" w:color="auto" w:fill="4472C4"/>
            <w:vAlign w:val="center"/>
          </w:tcPr>
          <w:p w14:paraId="4B6E029A" w14:textId="77777777" w:rsidR="00990B14" w:rsidRDefault="00000000">
            <w:pPr>
              <w:keepNext/>
              <w:spacing w:before="20" w:after="20"/>
              <w:jc w:val="center"/>
            </w:pPr>
            <w:r>
              <w:rPr>
                <w:b/>
                <w:bCs/>
                <w:i/>
                <w:iCs/>
                <w:color w:val="FFFFFF"/>
                <w:sz w:val="18"/>
                <w:szCs w:val="18"/>
              </w:rPr>
              <w:t>Suficiente (51–80)</w:t>
            </w:r>
          </w:p>
        </w:tc>
        <w:tc>
          <w:tcPr>
            <w:tcW w:w="1868" w:type="dxa"/>
            <w:shd w:val="clear" w:color="auto" w:fill="4472C4"/>
            <w:vAlign w:val="center"/>
          </w:tcPr>
          <w:p w14:paraId="5666B246" w14:textId="77777777" w:rsidR="00990B14" w:rsidRDefault="00000000">
            <w:pPr>
              <w:keepNext/>
              <w:spacing w:before="20" w:after="20"/>
              <w:jc w:val="center"/>
            </w:pPr>
            <w:r>
              <w:rPr>
                <w:b/>
                <w:bCs/>
                <w:i/>
                <w:iCs/>
                <w:color w:val="FFFFFF"/>
                <w:sz w:val="18"/>
                <w:szCs w:val="18"/>
              </w:rPr>
              <w:t>Destacado (81–100)</w:t>
            </w:r>
          </w:p>
        </w:tc>
      </w:tr>
      <w:tr w:rsidR="00990B14" w14:paraId="40358921" w14:textId="77777777">
        <w:trPr>
          <w:cantSplit/>
          <w:jc w:val="center"/>
        </w:trPr>
        <w:tc>
          <w:tcPr>
            <w:tcW w:w="1850" w:type="dxa"/>
            <w:vMerge/>
            <w:shd w:val="clear" w:color="auto" w:fill="4472C4"/>
            <w:vAlign w:val="center"/>
          </w:tcPr>
          <w:p w14:paraId="60C69762" w14:textId="77777777" w:rsidR="00990B14" w:rsidRDefault="00990B14">
            <w:pPr>
              <w:spacing w:before="20" w:after="20"/>
            </w:pPr>
          </w:p>
        </w:tc>
        <w:tc>
          <w:tcPr>
            <w:tcW w:w="1910" w:type="dxa"/>
            <w:shd w:val="clear" w:color="auto" w:fill="D9E2F3"/>
            <w:vAlign w:val="center"/>
          </w:tcPr>
          <w:p w14:paraId="3DAA66EA" w14:textId="77777777" w:rsidR="00990B14" w:rsidRDefault="00000000">
            <w:pPr>
              <w:spacing w:before="20" w:after="20"/>
              <w:jc w:val="both"/>
            </w:pPr>
            <w:r>
              <w:rPr>
                <w:sz w:val="18"/>
                <w:szCs w:val="18"/>
              </w:rPr>
              <w:t>Aplicación de métodos</w:t>
            </w:r>
          </w:p>
        </w:tc>
        <w:tc>
          <w:tcPr>
            <w:tcW w:w="1910" w:type="dxa"/>
            <w:shd w:val="clear" w:color="auto" w:fill="D9E2F3"/>
            <w:vAlign w:val="center"/>
          </w:tcPr>
          <w:p w14:paraId="4D3AF074" w14:textId="77777777" w:rsidR="00990B14" w:rsidRDefault="00000000">
            <w:pPr>
              <w:spacing w:before="20" w:after="20"/>
              <w:jc w:val="both"/>
            </w:pPr>
            <w:r>
              <w:rPr>
                <w:sz w:val="18"/>
                <w:szCs w:val="18"/>
              </w:rPr>
              <w:t>Aplica un solo método o con errores.</w:t>
            </w:r>
          </w:p>
        </w:tc>
        <w:tc>
          <w:tcPr>
            <w:tcW w:w="1867" w:type="dxa"/>
            <w:shd w:val="clear" w:color="auto" w:fill="D9E2F3"/>
            <w:vAlign w:val="center"/>
          </w:tcPr>
          <w:p w14:paraId="69277CFC" w14:textId="77777777" w:rsidR="00990B14" w:rsidRDefault="00000000">
            <w:pPr>
              <w:spacing w:before="20" w:after="20"/>
              <w:jc w:val="both"/>
            </w:pPr>
            <w:r>
              <w:rPr>
                <w:sz w:val="18"/>
                <w:szCs w:val="18"/>
              </w:rPr>
              <w:t>Aplica series de tiempo, regresión y tendencias.</w:t>
            </w:r>
          </w:p>
        </w:tc>
        <w:tc>
          <w:tcPr>
            <w:tcW w:w="1868" w:type="dxa"/>
            <w:shd w:val="clear" w:color="auto" w:fill="D9E2F3"/>
            <w:vAlign w:val="center"/>
          </w:tcPr>
          <w:p w14:paraId="2AF2D080" w14:textId="77777777" w:rsidR="00990B14" w:rsidRDefault="00000000">
            <w:pPr>
              <w:spacing w:before="20" w:after="20"/>
              <w:jc w:val="both"/>
            </w:pPr>
            <w:r>
              <w:rPr>
                <w:sz w:val="18"/>
                <w:szCs w:val="18"/>
              </w:rPr>
              <w:t>Compara la precisión de los métodos.</w:t>
            </w:r>
          </w:p>
        </w:tc>
      </w:tr>
      <w:tr w:rsidR="00990B14" w14:paraId="5C943963" w14:textId="77777777">
        <w:trPr>
          <w:cantSplit/>
          <w:jc w:val="center"/>
        </w:trPr>
        <w:tc>
          <w:tcPr>
            <w:tcW w:w="1850" w:type="dxa"/>
            <w:vMerge/>
            <w:shd w:val="clear" w:color="auto" w:fill="4472C4"/>
            <w:vAlign w:val="center"/>
          </w:tcPr>
          <w:p w14:paraId="60DA8D87" w14:textId="77777777" w:rsidR="00990B14" w:rsidRDefault="00990B14">
            <w:pPr>
              <w:spacing w:before="20" w:after="20"/>
            </w:pPr>
          </w:p>
        </w:tc>
        <w:tc>
          <w:tcPr>
            <w:tcW w:w="1910" w:type="dxa"/>
            <w:shd w:val="clear" w:color="auto" w:fill="D9E2F3"/>
            <w:vAlign w:val="center"/>
          </w:tcPr>
          <w:p w14:paraId="3B746C61" w14:textId="77777777" w:rsidR="00990B14" w:rsidRDefault="00000000">
            <w:pPr>
              <w:spacing w:before="20" w:after="20"/>
              <w:jc w:val="both"/>
            </w:pPr>
            <w:r>
              <w:rPr>
                <w:sz w:val="18"/>
                <w:szCs w:val="18"/>
              </w:rPr>
              <w:t>Supuestos</w:t>
            </w:r>
          </w:p>
        </w:tc>
        <w:tc>
          <w:tcPr>
            <w:tcW w:w="1910" w:type="dxa"/>
            <w:shd w:val="clear" w:color="auto" w:fill="D9E2F3"/>
            <w:vAlign w:val="center"/>
          </w:tcPr>
          <w:p w14:paraId="7C6E9422" w14:textId="77777777" w:rsidR="00990B14" w:rsidRDefault="00000000">
            <w:pPr>
              <w:spacing w:before="20" w:after="20"/>
              <w:jc w:val="both"/>
            </w:pPr>
            <w:r>
              <w:rPr>
                <w:sz w:val="18"/>
                <w:szCs w:val="18"/>
              </w:rPr>
              <w:t>No explicita los supuestos.</w:t>
            </w:r>
          </w:p>
        </w:tc>
        <w:tc>
          <w:tcPr>
            <w:tcW w:w="1867" w:type="dxa"/>
            <w:shd w:val="clear" w:color="auto" w:fill="D9E2F3"/>
            <w:vAlign w:val="center"/>
          </w:tcPr>
          <w:p w14:paraId="3935E6D2" w14:textId="77777777" w:rsidR="00990B14" w:rsidRDefault="00000000">
            <w:pPr>
              <w:spacing w:before="20" w:after="20"/>
              <w:jc w:val="both"/>
            </w:pPr>
            <w:r>
              <w:rPr>
                <w:sz w:val="18"/>
                <w:szCs w:val="18"/>
              </w:rPr>
              <w:t>Explicita los supuestos del pronóstico.</w:t>
            </w:r>
          </w:p>
        </w:tc>
        <w:tc>
          <w:tcPr>
            <w:tcW w:w="1868" w:type="dxa"/>
            <w:shd w:val="clear" w:color="auto" w:fill="D9E2F3"/>
            <w:vAlign w:val="center"/>
          </w:tcPr>
          <w:p w14:paraId="63E4D38A" w14:textId="77777777" w:rsidR="00990B14" w:rsidRDefault="00000000">
            <w:pPr>
              <w:spacing w:before="20" w:after="20"/>
              <w:jc w:val="both"/>
            </w:pPr>
            <w:r>
              <w:rPr>
                <w:sz w:val="18"/>
                <w:szCs w:val="18"/>
              </w:rPr>
              <w:t>Evalúa la razonabilidad de los supuestos.</w:t>
            </w:r>
          </w:p>
        </w:tc>
      </w:tr>
      <w:tr w:rsidR="00990B14" w14:paraId="44174408" w14:textId="77777777">
        <w:trPr>
          <w:cantSplit/>
          <w:jc w:val="center"/>
        </w:trPr>
        <w:tc>
          <w:tcPr>
            <w:tcW w:w="1850" w:type="dxa"/>
            <w:vMerge/>
            <w:shd w:val="clear" w:color="auto" w:fill="4472C4"/>
            <w:vAlign w:val="center"/>
          </w:tcPr>
          <w:p w14:paraId="3D6A6627" w14:textId="77777777" w:rsidR="00990B14" w:rsidRDefault="00990B14">
            <w:pPr>
              <w:spacing w:before="20" w:after="20"/>
            </w:pPr>
          </w:p>
        </w:tc>
        <w:tc>
          <w:tcPr>
            <w:tcW w:w="1910" w:type="dxa"/>
            <w:shd w:val="clear" w:color="auto" w:fill="D9E2F3"/>
            <w:vAlign w:val="center"/>
          </w:tcPr>
          <w:p w14:paraId="35DDC22E" w14:textId="77777777" w:rsidR="00990B14" w:rsidRDefault="00000000">
            <w:pPr>
              <w:spacing w:before="20" w:after="20"/>
              <w:jc w:val="both"/>
            </w:pPr>
            <w:r>
              <w:rPr>
                <w:sz w:val="18"/>
                <w:szCs w:val="18"/>
              </w:rPr>
              <w:t>Uso de medios tecnológicos</w:t>
            </w:r>
          </w:p>
        </w:tc>
        <w:tc>
          <w:tcPr>
            <w:tcW w:w="1910" w:type="dxa"/>
            <w:shd w:val="clear" w:color="auto" w:fill="D9E2F3"/>
            <w:vAlign w:val="center"/>
          </w:tcPr>
          <w:p w14:paraId="176F3AA7" w14:textId="77777777" w:rsidR="00990B14" w:rsidRDefault="00000000">
            <w:pPr>
              <w:spacing w:before="20" w:after="20"/>
              <w:jc w:val="both"/>
            </w:pPr>
            <w:r>
              <w:rPr>
                <w:sz w:val="18"/>
                <w:szCs w:val="18"/>
              </w:rPr>
              <w:t>No usa funciones estadísticas.</w:t>
            </w:r>
          </w:p>
        </w:tc>
        <w:tc>
          <w:tcPr>
            <w:tcW w:w="1867" w:type="dxa"/>
            <w:shd w:val="clear" w:color="auto" w:fill="D9E2F3"/>
            <w:vAlign w:val="center"/>
          </w:tcPr>
          <w:p w14:paraId="2129C747" w14:textId="77777777" w:rsidR="00990B14" w:rsidRDefault="00000000">
            <w:pPr>
              <w:spacing w:before="20" w:after="20"/>
              <w:jc w:val="both"/>
            </w:pPr>
            <w:r>
              <w:rPr>
                <w:sz w:val="18"/>
                <w:szCs w:val="18"/>
              </w:rPr>
              <w:t>Usa funciones y gráficos pertinentes.</w:t>
            </w:r>
          </w:p>
        </w:tc>
        <w:tc>
          <w:tcPr>
            <w:tcW w:w="1868" w:type="dxa"/>
            <w:shd w:val="clear" w:color="auto" w:fill="D9E2F3"/>
            <w:vAlign w:val="center"/>
          </w:tcPr>
          <w:p w14:paraId="5ACEA185" w14:textId="77777777" w:rsidR="00990B14" w:rsidRDefault="00000000">
            <w:pPr>
              <w:spacing w:before="20" w:after="20"/>
              <w:jc w:val="both"/>
            </w:pPr>
            <w:r>
              <w:rPr>
                <w:sz w:val="18"/>
                <w:szCs w:val="18"/>
              </w:rPr>
              <w:t>El modelo permite actualizar los datos con facilidad.</w:t>
            </w:r>
          </w:p>
        </w:tc>
      </w:tr>
      <w:tr w:rsidR="00990B14" w14:paraId="29BA3DD2" w14:textId="77777777">
        <w:trPr>
          <w:cantSplit/>
          <w:jc w:val="center"/>
        </w:trPr>
        <w:tc>
          <w:tcPr>
            <w:tcW w:w="1850" w:type="dxa"/>
            <w:vMerge/>
            <w:shd w:val="clear" w:color="auto" w:fill="4472C4"/>
            <w:vAlign w:val="center"/>
          </w:tcPr>
          <w:p w14:paraId="4B99C325" w14:textId="77777777" w:rsidR="00990B14" w:rsidRDefault="00990B14">
            <w:pPr>
              <w:spacing w:before="20" w:after="20"/>
            </w:pPr>
          </w:p>
        </w:tc>
        <w:tc>
          <w:tcPr>
            <w:tcW w:w="5687" w:type="dxa"/>
            <w:gridSpan w:val="3"/>
            <w:shd w:val="clear" w:color="auto" w:fill="D9E2F3"/>
            <w:vAlign w:val="center"/>
          </w:tcPr>
          <w:p w14:paraId="64E02CEB" w14:textId="77777777" w:rsidR="00990B14" w:rsidRDefault="00000000">
            <w:pPr>
              <w:keepNext/>
              <w:spacing w:before="20" w:after="20"/>
              <w:jc w:val="both"/>
            </w:pPr>
            <w:r>
              <w:rPr>
                <w:b/>
                <w:bCs/>
                <w:i/>
                <w:iCs/>
                <w:sz w:val="18"/>
                <w:szCs w:val="18"/>
              </w:rPr>
              <w:t xml:space="preserve">Producto 7: </w:t>
            </w:r>
            <w:r>
              <w:rPr>
                <w:sz w:val="18"/>
                <w:szCs w:val="18"/>
              </w:rPr>
              <w:t>Presupuesto maestro de la empresa con sus presupuestos operativo y financiero</w:t>
            </w:r>
          </w:p>
        </w:tc>
        <w:tc>
          <w:tcPr>
            <w:tcW w:w="1868" w:type="dxa"/>
            <w:shd w:val="clear" w:color="auto" w:fill="D9E2F3"/>
            <w:vAlign w:val="center"/>
          </w:tcPr>
          <w:p w14:paraId="07282258" w14:textId="77777777" w:rsidR="00990B14" w:rsidRDefault="00000000">
            <w:pPr>
              <w:spacing w:before="20" w:after="20"/>
              <w:jc w:val="center"/>
            </w:pPr>
            <w:r>
              <w:rPr>
                <w:b/>
                <w:bCs/>
                <w:sz w:val="18"/>
                <w:szCs w:val="18"/>
              </w:rPr>
              <w:t>2%</w:t>
            </w:r>
          </w:p>
        </w:tc>
      </w:tr>
      <w:tr w:rsidR="00990B14" w14:paraId="3C916927" w14:textId="77777777">
        <w:trPr>
          <w:cantSplit/>
          <w:jc w:val="center"/>
        </w:trPr>
        <w:tc>
          <w:tcPr>
            <w:tcW w:w="1850" w:type="dxa"/>
            <w:vMerge/>
            <w:shd w:val="clear" w:color="auto" w:fill="4472C4"/>
            <w:vAlign w:val="center"/>
          </w:tcPr>
          <w:p w14:paraId="68E26F70" w14:textId="77777777" w:rsidR="00990B14" w:rsidRDefault="00990B14">
            <w:pPr>
              <w:spacing w:before="20" w:after="20"/>
            </w:pPr>
          </w:p>
        </w:tc>
        <w:tc>
          <w:tcPr>
            <w:tcW w:w="1910" w:type="dxa"/>
            <w:shd w:val="clear" w:color="auto" w:fill="4472C4"/>
            <w:vAlign w:val="center"/>
          </w:tcPr>
          <w:p w14:paraId="51DA06D6"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34450FD7" w14:textId="77777777" w:rsidR="00990B14" w:rsidRDefault="00000000">
            <w:pPr>
              <w:keepNext/>
              <w:spacing w:before="20" w:after="20"/>
              <w:jc w:val="center"/>
            </w:pPr>
            <w:r>
              <w:rPr>
                <w:b/>
                <w:bCs/>
                <w:i/>
                <w:iCs/>
                <w:color w:val="FFFFFF"/>
                <w:sz w:val="18"/>
                <w:szCs w:val="18"/>
              </w:rPr>
              <w:t>Insuficiente (1–50)</w:t>
            </w:r>
          </w:p>
        </w:tc>
        <w:tc>
          <w:tcPr>
            <w:tcW w:w="1867" w:type="dxa"/>
            <w:shd w:val="clear" w:color="auto" w:fill="4472C4"/>
            <w:vAlign w:val="center"/>
          </w:tcPr>
          <w:p w14:paraId="587D8B9D" w14:textId="77777777" w:rsidR="00990B14" w:rsidRDefault="00000000">
            <w:pPr>
              <w:keepNext/>
              <w:spacing w:before="20" w:after="20"/>
              <w:jc w:val="center"/>
            </w:pPr>
            <w:r>
              <w:rPr>
                <w:b/>
                <w:bCs/>
                <w:i/>
                <w:iCs/>
                <w:color w:val="FFFFFF"/>
                <w:sz w:val="18"/>
                <w:szCs w:val="18"/>
              </w:rPr>
              <w:t>Suficiente (51–80)</w:t>
            </w:r>
          </w:p>
        </w:tc>
        <w:tc>
          <w:tcPr>
            <w:tcW w:w="1868" w:type="dxa"/>
            <w:shd w:val="clear" w:color="auto" w:fill="4472C4"/>
            <w:vAlign w:val="center"/>
          </w:tcPr>
          <w:p w14:paraId="6361DE13" w14:textId="77777777" w:rsidR="00990B14" w:rsidRDefault="00000000">
            <w:pPr>
              <w:keepNext/>
              <w:spacing w:before="20" w:after="20"/>
              <w:jc w:val="center"/>
            </w:pPr>
            <w:r>
              <w:rPr>
                <w:b/>
                <w:bCs/>
                <w:i/>
                <w:iCs/>
                <w:color w:val="FFFFFF"/>
                <w:sz w:val="18"/>
                <w:szCs w:val="18"/>
              </w:rPr>
              <w:t>Destacado (81–100)</w:t>
            </w:r>
          </w:p>
        </w:tc>
      </w:tr>
      <w:tr w:rsidR="00990B14" w14:paraId="69DEBE63" w14:textId="77777777">
        <w:trPr>
          <w:cantSplit/>
          <w:jc w:val="center"/>
        </w:trPr>
        <w:tc>
          <w:tcPr>
            <w:tcW w:w="1850" w:type="dxa"/>
            <w:vMerge/>
            <w:shd w:val="clear" w:color="auto" w:fill="4472C4"/>
            <w:vAlign w:val="center"/>
          </w:tcPr>
          <w:p w14:paraId="317BC660" w14:textId="77777777" w:rsidR="00990B14" w:rsidRDefault="00990B14">
            <w:pPr>
              <w:spacing w:before="20" w:after="20"/>
            </w:pPr>
          </w:p>
        </w:tc>
        <w:tc>
          <w:tcPr>
            <w:tcW w:w="1910" w:type="dxa"/>
            <w:shd w:val="clear" w:color="auto" w:fill="D9E2F3"/>
            <w:vAlign w:val="center"/>
          </w:tcPr>
          <w:p w14:paraId="7476161B" w14:textId="77777777" w:rsidR="00990B14" w:rsidRDefault="00000000">
            <w:pPr>
              <w:spacing w:before="20" w:after="20"/>
              <w:jc w:val="both"/>
            </w:pPr>
            <w:r>
              <w:rPr>
                <w:sz w:val="18"/>
                <w:szCs w:val="18"/>
              </w:rPr>
              <w:t>Presupuesto operativo</w:t>
            </w:r>
          </w:p>
        </w:tc>
        <w:tc>
          <w:tcPr>
            <w:tcW w:w="1910" w:type="dxa"/>
            <w:shd w:val="clear" w:color="auto" w:fill="D9E2F3"/>
            <w:vAlign w:val="center"/>
          </w:tcPr>
          <w:p w14:paraId="713B03B7" w14:textId="77777777" w:rsidR="00990B14" w:rsidRDefault="00000000">
            <w:pPr>
              <w:spacing w:before="20" w:after="20"/>
              <w:jc w:val="both"/>
            </w:pPr>
            <w:r>
              <w:rPr>
                <w:sz w:val="18"/>
                <w:szCs w:val="18"/>
              </w:rPr>
              <w:t>Está incompleto.</w:t>
            </w:r>
          </w:p>
        </w:tc>
        <w:tc>
          <w:tcPr>
            <w:tcW w:w="1867" w:type="dxa"/>
            <w:shd w:val="clear" w:color="auto" w:fill="D9E2F3"/>
            <w:vAlign w:val="center"/>
          </w:tcPr>
          <w:p w14:paraId="000A71B4" w14:textId="77777777" w:rsidR="00990B14" w:rsidRDefault="00000000">
            <w:pPr>
              <w:spacing w:before="20" w:after="20"/>
              <w:jc w:val="both"/>
            </w:pPr>
            <w:r>
              <w:rPr>
                <w:sz w:val="18"/>
                <w:szCs w:val="18"/>
              </w:rPr>
              <w:t>Integra ventas, producción, compras y gastos.</w:t>
            </w:r>
          </w:p>
        </w:tc>
        <w:tc>
          <w:tcPr>
            <w:tcW w:w="1868" w:type="dxa"/>
            <w:shd w:val="clear" w:color="auto" w:fill="D9E2F3"/>
            <w:vAlign w:val="center"/>
          </w:tcPr>
          <w:p w14:paraId="2BB8C15C" w14:textId="77777777" w:rsidR="00990B14" w:rsidRDefault="00000000">
            <w:pPr>
              <w:spacing w:before="20" w:after="20"/>
              <w:jc w:val="both"/>
            </w:pPr>
            <w:r>
              <w:rPr>
                <w:sz w:val="18"/>
                <w:szCs w:val="18"/>
              </w:rPr>
              <w:t>Relaciona el presupuesto con las estrategias definidas.</w:t>
            </w:r>
          </w:p>
        </w:tc>
      </w:tr>
      <w:tr w:rsidR="00990B14" w14:paraId="39460BE6" w14:textId="77777777">
        <w:trPr>
          <w:cantSplit/>
          <w:jc w:val="center"/>
        </w:trPr>
        <w:tc>
          <w:tcPr>
            <w:tcW w:w="1850" w:type="dxa"/>
            <w:vMerge/>
            <w:shd w:val="clear" w:color="auto" w:fill="4472C4"/>
            <w:vAlign w:val="center"/>
          </w:tcPr>
          <w:p w14:paraId="213ACCE2" w14:textId="77777777" w:rsidR="00990B14" w:rsidRDefault="00990B14">
            <w:pPr>
              <w:spacing w:before="20" w:after="20"/>
            </w:pPr>
          </w:p>
        </w:tc>
        <w:tc>
          <w:tcPr>
            <w:tcW w:w="1910" w:type="dxa"/>
            <w:shd w:val="clear" w:color="auto" w:fill="D9E2F3"/>
            <w:vAlign w:val="center"/>
          </w:tcPr>
          <w:p w14:paraId="67D2C9AC" w14:textId="77777777" w:rsidR="00990B14" w:rsidRDefault="00000000">
            <w:pPr>
              <w:spacing w:before="20" w:after="20"/>
              <w:jc w:val="both"/>
            </w:pPr>
            <w:r>
              <w:rPr>
                <w:sz w:val="18"/>
                <w:szCs w:val="18"/>
              </w:rPr>
              <w:t>Presupuesto financiero</w:t>
            </w:r>
          </w:p>
        </w:tc>
        <w:tc>
          <w:tcPr>
            <w:tcW w:w="1910" w:type="dxa"/>
            <w:shd w:val="clear" w:color="auto" w:fill="D9E2F3"/>
            <w:vAlign w:val="center"/>
          </w:tcPr>
          <w:p w14:paraId="1C8FC7F1" w14:textId="77777777" w:rsidR="00990B14" w:rsidRDefault="00000000">
            <w:pPr>
              <w:spacing w:before="20" w:after="20"/>
              <w:jc w:val="both"/>
            </w:pPr>
            <w:r>
              <w:rPr>
                <w:sz w:val="18"/>
                <w:szCs w:val="18"/>
              </w:rPr>
              <w:t>No concilia con el operativo.</w:t>
            </w:r>
          </w:p>
        </w:tc>
        <w:tc>
          <w:tcPr>
            <w:tcW w:w="1867" w:type="dxa"/>
            <w:shd w:val="clear" w:color="auto" w:fill="D9E2F3"/>
            <w:vAlign w:val="center"/>
          </w:tcPr>
          <w:p w14:paraId="52F63713" w14:textId="77777777" w:rsidR="00990B14" w:rsidRDefault="00000000">
            <w:pPr>
              <w:spacing w:before="20" w:after="20"/>
              <w:jc w:val="both"/>
            </w:pPr>
            <w:r>
              <w:rPr>
                <w:sz w:val="18"/>
                <w:szCs w:val="18"/>
              </w:rPr>
              <w:t>Elabora el presupuesto de efectivo y los estados proyectados.</w:t>
            </w:r>
          </w:p>
        </w:tc>
        <w:tc>
          <w:tcPr>
            <w:tcW w:w="1868" w:type="dxa"/>
            <w:shd w:val="clear" w:color="auto" w:fill="D9E2F3"/>
            <w:vAlign w:val="center"/>
          </w:tcPr>
          <w:p w14:paraId="4AABBB87" w14:textId="77777777" w:rsidR="00990B14" w:rsidRDefault="00000000">
            <w:pPr>
              <w:spacing w:before="20" w:after="20"/>
              <w:jc w:val="both"/>
            </w:pPr>
            <w:r>
              <w:rPr>
                <w:sz w:val="18"/>
                <w:szCs w:val="18"/>
              </w:rPr>
              <w:t>Verifica los enlaces entre ambos presupuestos.</w:t>
            </w:r>
          </w:p>
        </w:tc>
      </w:tr>
      <w:tr w:rsidR="00990B14" w14:paraId="34E759EB" w14:textId="77777777">
        <w:trPr>
          <w:cantSplit/>
          <w:jc w:val="center"/>
        </w:trPr>
        <w:tc>
          <w:tcPr>
            <w:tcW w:w="1850" w:type="dxa"/>
            <w:vMerge/>
            <w:shd w:val="clear" w:color="auto" w:fill="4472C4"/>
            <w:vAlign w:val="center"/>
          </w:tcPr>
          <w:p w14:paraId="4F4358EF" w14:textId="77777777" w:rsidR="00990B14" w:rsidRDefault="00990B14">
            <w:pPr>
              <w:spacing w:before="20" w:after="20"/>
            </w:pPr>
          </w:p>
        </w:tc>
        <w:tc>
          <w:tcPr>
            <w:tcW w:w="1910" w:type="dxa"/>
            <w:shd w:val="clear" w:color="auto" w:fill="D9E2F3"/>
            <w:vAlign w:val="center"/>
          </w:tcPr>
          <w:p w14:paraId="65B7B59E" w14:textId="77777777" w:rsidR="00990B14" w:rsidRDefault="00000000">
            <w:pPr>
              <w:spacing w:before="20" w:after="20"/>
              <w:jc w:val="both"/>
            </w:pPr>
            <w:r>
              <w:rPr>
                <w:sz w:val="18"/>
                <w:szCs w:val="18"/>
              </w:rPr>
              <w:t>Trabajo en equipo</w:t>
            </w:r>
          </w:p>
        </w:tc>
        <w:tc>
          <w:tcPr>
            <w:tcW w:w="1910" w:type="dxa"/>
            <w:shd w:val="clear" w:color="auto" w:fill="D9E2F3"/>
            <w:vAlign w:val="center"/>
          </w:tcPr>
          <w:p w14:paraId="53BF64B6" w14:textId="77777777" w:rsidR="00990B14" w:rsidRDefault="00000000">
            <w:pPr>
              <w:spacing w:before="20" w:after="20"/>
              <w:jc w:val="both"/>
            </w:pPr>
            <w:r>
              <w:rPr>
                <w:sz w:val="18"/>
                <w:szCs w:val="18"/>
              </w:rPr>
              <w:t>La participación es desigual.</w:t>
            </w:r>
          </w:p>
        </w:tc>
        <w:tc>
          <w:tcPr>
            <w:tcW w:w="1867" w:type="dxa"/>
            <w:shd w:val="clear" w:color="auto" w:fill="D9E2F3"/>
            <w:vAlign w:val="center"/>
          </w:tcPr>
          <w:p w14:paraId="70876CAF" w14:textId="77777777" w:rsidR="00990B14" w:rsidRDefault="00000000">
            <w:pPr>
              <w:spacing w:before="20" w:after="20"/>
              <w:jc w:val="both"/>
            </w:pPr>
            <w:r>
              <w:rPr>
                <w:sz w:val="18"/>
                <w:szCs w:val="18"/>
              </w:rPr>
              <w:t>Todos los integrantes participan.</w:t>
            </w:r>
          </w:p>
        </w:tc>
        <w:tc>
          <w:tcPr>
            <w:tcW w:w="1868" w:type="dxa"/>
            <w:shd w:val="clear" w:color="auto" w:fill="D9E2F3"/>
            <w:vAlign w:val="center"/>
          </w:tcPr>
          <w:p w14:paraId="16617C39" w14:textId="77777777" w:rsidR="00990B14" w:rsidRDefault="00000000">
            <w:pPr>
              <w:spacing w:before="20" w:after="20"/>
              <w:jc w:val="both"/>
            </w:pPr>
            <w:r>
              <w:rPr>
                <w:sz w:val="18"/>
                <w:szCs w:val="18"/>
              </w:rPr>
              <w:t>El equipo sustenta sus conclusiones ante el curso.</w:t>
            </w:r>
          </w:p>
        </w:tc>
      </w:tr>
      <w:tr w:rsidR="00990B14" w14:paraId="15517390" w14:textId="77777777">
        <w:trPr>
          <w:cantSplit/>
          <w:jc w:val="center"/>
        </w:trPr>
        <w:tc>
          <w:tcPr>
            <w:tcW w:w="1850" w:type="dxa"/>
            <w:vMerge/>
            <w:shd w:val="clear" w:color="auto" w:fill="4472C4"/>
            <w:vAlign w:val="center"/>
          </w:tcPr>
          <w:p w14:paraId="2A716397" w14:textId="77777777" w:rsidR="00990B14" w:rsidRDefault="00990B14">
            <w:pPr>
              <w:spacing w:before="20" w:after="20"/>
            </w:pPr>
          </w:p>
        </w:tc>
        <w:tc>
          <w:tcPr>
            <w:tcW w:w="5687" w:type="dxa"/>
            <w:gridSpan w:val="3"/>
            <w:shd w:val="clear" w:color="auto" w:fill="D9E2F3"/>
            <w:vAlign w:val="center"/>
          </w:tcPr>
          <w:p w14:paraId="5B065BD0" w14:textId="77777777" w:rsidR="00990B14" w:rsidRDefault="00000000">
            <w:pPr>
              <w:keepNext/>
              <w:spacing w:before="20" w:after="20"/>
              <w:jc w:val="both"/>
            </w:pPr>
            <w:r>
              <w:rPr>
                <w:b/>
                <w:bCs/>
                <w:i/>
                <w:iCs/>
                <w:sz w:val="18"/>
                <w:szCs w:val="18"/>
              </w:rPr>
              <w:t xml:space="preserve">Producto 8: </w:t>
            </w:r>
            <w:r>
              <w:rPr>
                <w:sz w:val="18"/>
                <w:szCs w:val="18"/>
              </w:rPr>
              <w:t>Cuadro de escenarios del plan financiero con sus variables de mayor impacto</w:t>
            </w:r>
          </w:p>
        </w:tc>
        <w:tc>
          <w:tcPr>
            <w:tcW w:w="1868" w:type="dxa"/>
            <w:shd w:val="clear" w:color="auto" w:fill="D9E2F3"/>
            <w:vAlign w:val="center"/>
          </w:tcPr>
          <w:p w14:paraId="1DFD311A" w14:textId="77777777" w:rsidR="00990B14" w:rsidRDefault="00000000">
            <w:pPr>
              <w:spacing w:before="20" w:after="20"/>
              <w:jc w:val="center"/>
            </w:pPr>
            <w:r>
              <w:rPr>
                <w:b/>
                <w:bCs/>
                <w:sz w:val="18"/>
                <w:szCs w:val="18"/>
              </w:rPr>
              <w:t>2%</w:t>
            </w:r>
          </w:p>
        </w:tc>
      </w:tr>
      <w:tr w:rsidR="00990B14" w14:paraId="6B3EA89B" w14:textId="77777777">
        <w:trPr>
          <w:cantSplit/>
          <w:jc w:val="center"/>
        </w:trPr>
        <w:tc>
          <w:tcPr>
            <w:tcW w:w="1850" w:type="dxa"/>
            <w:vMerge/>
            <w:shd w:val="clear" w:color="auto" w:fill="4472C4"/>
            <w:vAlign w:val="center"/>
          </w:tcPr>
          <w:p w14:paraId="70CB08DE" w14:textId="77777777" w:rsidR="00990B14" w:rsidRDefault="00990B14">
            <w:pPr>
              <w:spacing w:before="20" w:after="20"/>
            </w:pPr>
          </w:p>
        </w:tc>
        <w:tc>
          <w:tcPr>
            <w:tcW w:w="1910" w:type="dxa"/>
            <w:shd w:val="clear" w:color="auto" w:fill="4472C4"/>
            <w:vAlign w:val="center"/>
          </w:tcPr>
          <w:p w14:paraId="38201746"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42299E30" w14:textId="77777777" w:rsidR="00990B14" w:rsidRDefault="00000000">
            <w:pPr>
              <w:keepNext/>
              <w:spacing w:before="20" w:after="20"/>
              <w:jc w:val="center"/>
            </w:pPr>
            <w:r>
              <w:rPr>
                <w:b/>
                <w:bCs/>
                <w:i/>
                <w:iCs/>
                <w:color w:val="FFFFFF"/>
                <w:sz w:val="18"/>
                <w:szCs w:val="18"/>
              </w:rPr>
              <w:t>Insuficiente (1–50)</w:t>
            </w:r>
          </w:p>
        </w:tc>
        <w:tc>
          <w:tcPr>
            <w:tcW w:w="1867" w:type="dxa"/>
            <w:shd w:val="clear" w:color="auto" w:fill="4472C4"/>
            <w:vAlign w:val="center"/>
          </w:tcPr>
          <w:p w14:paraId="51A67566" w14:textId="77777777" w:rsidR="00990B14" w:rsidRDefault="00000000">
            <w:pPr>
              <w:keepNext/>
              <w:spacing w:before="20" w:after="20"/>
              <w:jc w:val="center"/>
            </w:pPr>
            <w:r>
              <w:rPr>
                <w:b/>
                <w:bCs/>
                <w:i/>
                <w:iCs/>
                <w:color w:val="FFFFFF"/>
                <w:sz w:val="18"/>
                <w:szCs w:val="18"/>
              </w:rPr>
              <w:t>Suficiente (51–80)</w:t>
            </w:r>
          </w:p>
        </w:tc>
        <w:tc>
          <w:tcPr>
            <w:tcW w:w="1868" w:type="dxa"/>
            <w:shd w:val="clear" w:color="auto" w:fill="4472C4"/>
            <w:vAlign w:val="center"/>
          </w:tcPr>
          <w:p w14:paraId="79F29B59" w14:textId="77777777" w:rsidR="00990B14" w:rsidRDefault="00000000">
            <w:pPr>
              <w:keepNext/>
              <w:spacing w:before="20" w:after="20"/>
              <w:jc w:val="center"/>
            </w:pPr>
            <w:r>
              <w:rPr>
                <w:b/>
                <w:bCs/>
                <w:i/>
                <w:iCs/>
                <w:color w:val="FFFFFF"/>
                <w:sz w:val="18"/>
                <w:szCs w:val="18"/>
              </w:rPr>
              <w:t>Destacado (81–100)</w:t>
            </w:r>
          </w:p>
        </w:tc>
      </w:tr>
      <w:tr w:rsidR="00990B14" w14:paraId="74912053" w14:textId="77777777">
        <w:trPr>
          <w:cantSplit/>
          <w:jc w:val="center"/>
        </w:trPr>
        <w:tc>
          <w:tcPr>
            <w:tcW w:w="1850" w:type="dxa"/>
            <w:vMerge/>
            <w:shd w:val="clear" w:color="auto" w:fill="4472C4"/>
            <w:vAlign w:val="center"/>
          </w:tcPr>
          <w:p w14:paraId="5DD72523" w14:textId="77777777" w:rsidR="00990B14" w:rsidRDefault="00990B14">
            <w:pPr>
              <w:spacing w:before="20" w:after="20"/>
            </w:pPr>
          </w:p>
        </w:tc>
        <w:tc>
          <w:tcPr>
            <w:tcW w:w="1910" w:type="dxa"/>
            <w:shd w:val="clear" w:color="auto" w:fill="D9E2F3"/>
            <w:vAlign w:val="center"/>
          </w:tcPr>
          <w:p w14:paraId="21B8A009" w14:textId="77777777" w:rsidR="00990B14" w:rsidRDefault="00000000">
            <w:pPr>
              <w:spacing w:before="20" w:after="20"/>
              <w:jc w:val="both"/>
            </w:pPr>
            <w:r>
              <w:rPr>
                <w:sz w:val="18"/>
                <w:szCs w:val="18"/>
              </w:rPr>
              <w:t>Definición de escenarios</w:t>
            </w:r>
          </w:p>
        </w:tc>
        <w:tc>
          <w:tcPr>
            <w:tcW w:w="1910" w:type="dxa"/>
            <w:shd w:val="clear" w:color="auto" w:fill="D9E2F3"/>
            <w:vAlign w:val="center"/>
          </w:tcPr>
          <w:p w14:paraId="42E03776" w14:textId="77777777" w:rsidR="00990B14" w:rsidRDefault="00000000">
            <w:pPr>
              <w:spacing w:before="20" w:after="20"/>
              <w:jc w:val="both"/>
            </w:pPr>
            <w:r>
              <w:rPr>
                <w:sz w:val="18"/>
                <w:szCs w:val="18"/>
              </w:rPr>
              <w:t>Los escenarios no difieren entre sí.</w:t>
            </w:r>
          </w:p>
        </w:tc>
        <w:tc>
          <w:tcPr>
            <w:tcW w:w="1867" w:type="dxa"/>
            <w:shd w:val="clear" w:color="auto" w:fill="D9E2F3"/>
            <w:vAlign w:val="center"/>
          </w:tcPr>
          <w:p w14:paraId="2EBC7A91" w14:textId="77777777" w:rsidR="00990B14" w:rsidRDefault="00000000">
            <w:pPr>
              <w:spacing w:before="20" w:after="20"/>
              <w:jc w:val="both"/>
            </w:pPr>
            <w:r>
              <w:rPr>
                <w:sz w:val="18"/>
                <w:szCs w:val="18"/>
              </w:rPr>
              <w:t>Define tres escenarios con variables distintas.</w:t>
            </w:r>
          </w:p>
        </w:tc>
        <w:tc>
          <w:tcPr>
            <w:tcW w:w="1868" w:type="dxa"/>
            <w:shd w:val="clear" w:color="auto" w:fill="D9E2F3"/>
            <w:vAlign w:val="center"/>
          </w:tcPr>
          <w:p w14:paraId="0FB6D835" w14:textId="77777777" w:rsidR="00990B14" w:rsidRDefault="00000000">
            <w:pPr>
              <w:spacing w:before="20" w:after="20"/>
              <w:jc w:val="both"/>
            </w:pPr>
            <w:r>
              <w:rPr>
                <w:sz w:val="18"/>
                <w:szCs w:val="18"/>
              </w:rPr>
              <w:t>Justifica los valores de cada variable.</w:t>
            </w:r>
          </w:p>
        </w:tc>
      </w:tr>
      <w:tr w:rsidR="00990B14" w14:paraId="0AEFCCDE" w14:textId="77777777">
        <w:trPr>
          <w:cantSplit/>
          <w:jc w:val="center"/>
        </w:trPr>
        <w:tc>
          <w:tcPr>
            <w:tcW w:w="1850" w:type="dxa"/>
            <w:vMerge/>
            <w:shd w:val="clear" w:color="auto" w:fill="4472C4"/>
            <w:vAlign w:val="center"/>
          </w:tcPr>
          <w:p w14:paraId="7E91FD65" w14:textId="77777777" w:rsidR="00990B14" w:rsidRDefault="00990B14">
            <w:pPr>
              <w:spacing w:before="20" w:after="20"/>
            </w:pPr>
          </w:p>
        </w:tc>
        <w:tc>
          <w:tcPr>
            <w:tcW w:w="1910" w:type="dxa"/>
            <w:shd w:val="clear" w:color="auto" w:fill="D9E2F3"/>
            <w:vAlign w:val="center"/>
          </w:tcPr>
          <w:p w14:paraId="41B3059A" w14:textId="77777777" w:rsidR="00990B14" w:rsidRDefault="00000000">
            <w:pPr>
              <w:spacing w:before="20" w:after="20"/>
              <w:jc w:val="both"/>
            </w:pPr>
            <w:r>
              <w:rPr>
                <w:sz w:val="18"/>
                <w:szCs w:val="18"/>
              </w:rPr>
              <w:t>Efecto en el resultado</w:t>
            </w:r>
          </w:p>
        </w:tc>
        <w:tc>
          <w:tcPr>
            <w:tcW w:w="1910" w:type="dxa"/>
            <w:shd w:val="clear" w:color="auto" w:fill="D9E2F3"/>
            <w:vAlign w:val="center"/>
          </w:tcPr>
          <w:p w14:paraId="0BEAACCE" w14:textId="77777777" w:rsidR="00990B14" w:rsidRDefault="00000000">
            <w:pPr>
              <w:spacing w:before="20" w:after="20"/>
              <w:jc w:val="both"/>
            </w:pPr>
            <w:r>
              <w:rPr>
                <w:sz w:val="18"/>
                <w:szCs w:val="18"/>
              </w:rPr>
              <w:t>No mide el efecto de cada escenario.</w:t>
            </w:r>
          </w:p>
        </w:tc>
        <w:tc>
          <w:tcPr>
            <w:tcW w:w="1867" w:type="dxa"/>
            <w:shd w:val="clear" w:color="auto" w:fill="D9E2F3"/>
            <w:vAlign w:val="center"/>
          </w:tcPr>
          <w:p w14:paraId="44F415BB" w14:textId="77777777" w:rsidR="00990B14" w:rsidRDefault="00000000">
            <w:pPr>
              <w:spacing w:before="20" w:after="20"/>
              <w:jc w:val="both"/>
            </w:pPr>
            <w:r>
              <w:rPr>
                <w:sz w:val="18"/>
                <w:szCs w:val="18"/>
              </w:rPr>
              <w:t>Mide el efecto en la utilidad y en el efectivo.</w:t>
            </w:r>
          </w:p>
        </w:tc>
        <w:tc>
          <w:tcPr>
            <w:tcW w:w="1868" w:type="dxa"/>
            <w:shd w:val="clear" w:color="auto" w:fill="D9E2F3"/>
            <w:vAlign w:val="center"/>
          </w:tcPr>
          <w:p w14:paraId="62F277EE" w14:textId="77777777" w:rsidR="00990B14" w:rsidRDefault="00000000">
            <w:pPr>
              <w:spacing w:before="20" w:after="20"/>
              <w:jc w:val="both"/>
            </w:pPr>
            <w:r>
              <w:rPr>
                <w:sz w:val="18"/>
                <w:szCs w:val="18"/>
              </w:rPr>
              <w:t>Identifica la variable de mayor impacto.</w:t>
            </w:r>
          </w:p>
        </w:tc>
      </w:tr>
      <w:tr w:rsidR="00990B14" w14:paraId="4D5822CC" w14:textId="77777777">
        <w:trPr>
          <w:cantSplit/>
          <w:jc w:val="center"/>
        </w:trPr>
        <w:tc>
          <w:tcPr>
            <w:tcW w:w="1850" w:type="dxa"/>
            <w:vMerge/>
            <w:shd w:val="clear" w:color="auto" w:fill="4472C4"/>
            <w:vAlign w:val="center"/>
          </w:tcPr>
          <w:p w14:paraId="2C93073D" w14:textId="77777777" w:rsidR="00990B14" w:rsidRDefault="00990B14">
            <w:pPr>
              <w:spacing w:before="20" w:after="20"/>
            </w:pPr>
          </w:p>
        </w:tc>
        <w:tc>
          <w:tcPr>
            <w:tcW w:w="1910" w:type="dxa"/>
            <w:shd w:val="clear" w:color="auto" w:fill="D9E2F3"/>
            <w:vAlign w:val="center"/>
          </w:tcPr>
          <w:p w14:paraId="1F89778B" w14:textId="77777777" w:rsidR="00990B14" w:rsidRDefault="00000000">
            <w:pPr>
              <w:spacing w:before="20" w:after="20"/>
              <w:jc w:val="both"/>
            </w:pPr>
            <w:r>
              <w:rPr>
                <w:sz w:val="18"/>
                <w:szCs w:val="18"/>
              </w:rPr>
              <w:t>Recomendación</w:t>
            </w:r>
          </w:p>
        </w:tc>
        <w:tc>
          <w:tcPr>
            <w:tcW w:w="1910" w:type="dxa"/>
            <w:shd w:val="clear" w:color="auto" w:fill="D9E2F3"/>
            <w:vAlign w:val="center"/>
          </w:tcPr>
          <w:p w14:paraId="77BBD4CD" w14:textId="77777777" w:rsidR="00990B14" w:rsidRDefault="00000000">
            <w:pPr>
              <w:spacing w:before="20" w:after="20"/>
              <w:jc w:val="both"/>
            </w:pPr>
            <w:r>
              <w:rPr>
                <w:sz w:val="18"/>
                <w:szCs w:val="18"/>
              </w:rPr>
              <w:t>No formula recomendaciones.</w:t>
            </w:r>
          </w:p>
        </w:tc>
        <w:tc>
          <w:tcPr>
            <w:tcW w:w="1867" w:type="dxa"/>
            <w:shd w:val="clear" w:color="auto" w:fill="D9E2F3"/>
            <w:vAlign w:val="center"/>
          </w:tcPr>
          <w:p w14:paraId="7BDFBD59" w14:textId="77777777" w:rsidR="00990B14" w:rsidRDefault="00000000">
            <w:pPr>
              <w:spacing w:before="20" w:after="20"/>
              <w:jc w:val="both"/>
            </w:pPr>
            <w:r>
              <w:rPr>
                <w:sz w:val="18"/>
                <w:szCs w:val="18"/>
              </w:rPr>
              <w:t>Recomienda acciones según el escenario.</w:t>
            </w:r>
          </w:p>
        </w:tc>
        <w:tc>
          <w:tcPr>
            <w:tcW w:w="1868" w:type="dxa"/>
            <w:shd w:val="clear" w:color="auto" w:fill="D9E2F3"/>
            <w:vAlign w:val="center"/>
          </w:tcPr>
          <w:p w14:paraId="516FE95B" w14:textId="77777777" w:rsidR="00990B14" w:rsidRDefault="00000000">
            <w:pPr>
              <w:spacing w:before="20" w:after="20"/>
              <w:jc w:val="both"/>
            </w:pPr>
            <w:r>
              <w:rPr>
                <w:sz w:val="18"/>
                <w:szCs w:val="18"/>
              </w:rPr>
              <w:t>Propone un plan de contingencia.</w:t>
            </w:r>
          </w:p>
        </w:tc>
      </w:tr>
      <w:tr w:rsidR="00990B14" w14:paraId="4A359DE6" w14:textId="77777777">
        <w:trPr>
          <w:cantSplit/>
          <w:jc w:val="center"/>
        </w:trPr>
        <w:tc>
          <w:tcPr>
            <w:tcW w:w="1850" w:type="dxa"/>
            <w:vMerge/>
            <w:shd w:val="clear" w:color="auto" w:fill="4472C4"/>
            <w:vAlign w:val="center"/>
          </w:tcPr>
          <w:p w14:paraId="493BC4AD" w14:textId="77777777" w:rsidR="00990B14" w:rsidRDefault="00990B14">
            <w:pPr>
              <w:spacing w:before="20" w:after="20"/>
            </w:pPr>
          </w:p>
        </w:tc>
        <w:tc>
          <w:tcPr>
            <w:tcW w:w="5687" w:type="dxa"/>
            <w:gridSpan w:val="3"/>
            <w:shd w:val="clear" w:color="auto" w:fill="D9E2F3"/>
            <w:vAlign w:val="center"/>
          </w:tcPr>
          <w:p w14:paraId="14F4EF27" w14:textId="77777777" w:rsidR="00990B14" w:rsidRDefault="00000000">
            <w:pPr>
              <w:keepNext/>
              <w:spacing w:before="20" w:after="20"/>
              <w:jc w:val="both"/>
            </w:pPr>
            <w:r>
              <w:rPr>
                <w:b/>
                <w:bCs/>
                <w:i/>
                <w:iCs/>
                <w:sz w:val="18"/>
                <w:szCs w:val="18"/>
              </w:rPr>
              <w:t xml:space="preserve">Producto 9: </w:t>
            </w:r>
            <w:r>
              <w:rPr>
                <w:sz w:val="18"/>
                <w:szCs w:val="18"/>
              </w:rPr>
              <w:t>Cálculo del ciclo de conversión de efectivo con su requerimiento de financiamiento</w:t>
            </w:r>
          </w:p>
        </w:tc>
        <w:tc>
          <w:tcPr>
            <w:tcW w:w="1868" w:type="dxa"/>
            <w:shd w:val="clear" w:color="auto" w:fill="D9E2F3"/>
            <w:vAlign w:val="center"/>
          </w:tcPr>
          <w:p w14:paraId="13875787" w14:textId="77777777" w:rsidR="00990B14" w:rsidRDefault="00000000">
            <w:pPr>
              <w:spacing w:before="20" w:after="20"/>
              <w:jc w:val="center"/>
            </w:pPr>
            <w:r>
              <w:rPr>
                <w:b/>
                <w:bCs/>
                <w:sz w:val="18"/>
                <w:szCs w:val="18"/>
              </w:rPr>
              <w:t>5%</w:t>
            </w:r>
          </w:p>
        </w:tc>
      </w:tr>
      <w:tr w:rsidR="00990B14" w14:paraId="1EEEB040" w14:textId="77777777">
        <w:trPr>
          <w:cantSplit/>
          <w:jc w:val="center"/>
        </w:trPr>
        <w:tc>
          <w:tcPr>
            <w:tcW w:w="1850" w:type="dxa"/>
            <w:vMerge/>
            <w:shd w:val="clear" w:color="auto" w:fill="4472C4"/>
            <w:vAlign w:val="center"/>
          </w:tcPr>
          <w:p w14:paraId="05F761D1" w14:textId="77777777" w:rsidR="00990B14" w:rsidRDefault="00990B14">
            <w:pPr>
              <w:spacing w:before="20" w:after="20"/>
            </w:pPr>
          </w:p>
        </w:tc>
        <w:tc>
          <w:tcPr>
            <w:tcW w:w="1910" w:type="dxa"/>
            <w:shd w:val="clear" w:color="auto" w:fill="4472C4"/>
            <w:vAlign w:val="center"/>
          </w:tcPr>
          <w:p w14:paraId="7E70398E"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325D0A5A" w14:textId="77777777" w:rsidR="00990B14" w:rsidRDefault="00000000">
            <w:pPr>
              <w:keepNext/>
              <w:spacing w:before="20" w:after="20"/>
              <w:jc w:val="center"/>
            </w:pPr>
            <w:r>
              <w:rPr>
                <w:b/>
                <w:bCs/>
                <w:i/>
                <w:iCs/>
                <w:color w:val="FFFFFF"/>
                <w:sz w:val="18"/>
                <w:szCs w:val="18"/>
              </w:rPr>
              <w:t>Insuficiente (1–50)</w:t>
            </w:r>
          </w:p>
        </w:tc>
        <w:tc>
          <w:tcPr>
            <w:tcW w:w="1867" w:type="dxa"/>
            <w:shd w:val="clear" w:color="auto" w:fill="4472C4"/>
            <w:vAlign w:val="center"/>
          </w:tcPr>
          <w:p w14:paraId="3662EBA6" w14:textId="77777777" w:rsidR="00990B14" w:rsidRDefault="00000000">
            <w:pPr>
              <w:keepNext/>
              <w:spacing w:before="20" w:after="20"/>
              <w:jc w:val="center"/>
            </w:pPr>
            <w:r>
              <w:rPr>
                <w:b/>
                <w:bCs/>
                <w:i/>
                <w:iCs/>
                <w:color w:val="FFFFFF"/>
                <w:sz w:val="18"/>
                <w:szCs w:val="18"/>
              </w:rPr>
              <w:t>Suficiente (51–80)</w:t>
            </w:r>
          </w:p>
        </w:tc>
        <w:tc>
          <w:tcPr>
            <w:tcW w:w="1868" w:type="dxa"/>
            <w:shd w:val="clear" w:color="auto" w:fill="4472C4"/>
            <w:vAlign w:val="center"/>
          </w:tcPr>
          <w:p w14:paraId="0BF707B0" w14:textId="77777777" w:rsidR="00990B14" w:rsidRDefault="00000000">
            <w:pPr>
              <w:keepNext/>
              <w:spacing w:before="20" w:after="20"/>
              <w:jc w:val="center"/>
            </w:pPr>
            <w:r>
              <w:rPr>
                <w:b/>
                <w:bCs/>
                <w:i/>
                <w:iCs/>
                <w:color w:val="FFFFFF"/>
                <w:sz w:val="18"/>
                <w:szCs w:val="18"/>
              </w:rPr>
              <w:t>Destacado (81–100)</w:t>
            </w:r>
          </w:p>
        </w:tc>
      </w:tr>
      <w:tr w:rsidR="00990B14" w14:paraId="4436254E" w14:textId="77777777">
        <w:trPr>
          <w:cantSplit/>
          <w:jc w:val="center"/>
        </w:trPr>
        <w:tc>
          <w:tcPr>
            <w:tcW w:w="1850" w:type="dxa"/>
            <w:vMerge/>
            <w:shd w:val="clear" w:color="auto" w:fill="4472C4"/>
            <w:vAlign w:val="center"/>
          </w:tcPr>
          <w:p w14:paraId="45EC3B66" w14:textId="77777777" w:rsidR="00990B14" w:rsidRDefault="00990B14">
            <w:pPr>
              <w:spacing w:before="20" w:after="20"/>
            </w:pPr>
          </w:p>
        </w:tc>
        <w:tc>
          <w:tcPr>
            <w:tcW w:w="1910" w:type="dxa"/>
            <w:shd w:val="clear" w:color="auto" w:fill="D9E2F3"/>
            <w:vAlign w:val="center"/>
          </w:tcPr>
          <w:p w14:paraId="12AFA215" w14:textId="77777777" w:rsidR="00990B14" w:rsidRDefault="00000000">
            <w:pPr>
              <w:spacing w:before="20" w:after="20"/>
              <w:jc w:val="both"/>
            </w:pPr>
            <w:r>
              <w:rPr>
                <w:sz w:val="18"/>
                <w:szCs w:val="18"/>
              </w:rPr>
              <w:t>Ciclo de conversión</w:t>
            </w:r>
          </w:p>
        </w:tc>
        <w:tc>
          <w:tcPr>
            <w:tcW w:w="1910" w:type="dxa"/>
            <w:shd w:val="clear" w:color="auto" w:fill="D9E2F3"/>
            <w:vAlign w:val="center"/>
          </w:tcPr>
          <w:p w14:paraId="76E9B3ED" w14:textId="77777777" w:rsidR="00990B14" w:rsidRDefault="00000000">
            <w:pPr>
              <w:spacing w:before="20" w:after="20"/>
              <w:jc w:val="both"/>
            </w:pPr>
            <w:r>
              <w:rPr>
                <w:sz w:val="18"/>
                <w:szCs w:val="18"/>
              </w:rPr>
              <w:t>Calcula con errores los plazos.</w:t>
            </w:r>
          </w:p>
        </w:tc>
        <w:tc>
          <w:tcPr>
            <w:tcW w:w="1867" w:type="dxa"/>
            <w:shd w:val="clear" w:color="auto" w:fill="D9E2F3"/>
            <w:vAlign w:val="center"/>
          </w:tcPr>
          <w:p w14:paraId="7EA8830E" w14:textId="77777777" w:rsidR="00990B14" w:rsidRDefault="00000000">
            <w:pPr>
              <w:spacing w:before="20" w:after="20"/>
              <w:jc w:val="both"/>
            </w:pPr>
            <w:r>
              <w:rPr>
                <w:sz w:val="18"/>
                <w:szCs w:val="18"/>
              </w:rPr>
              <w:t>Calcula los plazos de inventario, cobro y pago.</w:t>
            </w:r>
          </w:p>
        </w:tc>
        <w:tc>
          <w:tcPr>
            <w:tcW w:w="1868" w:type="dxa"/>
            <w:shd w:val="clear" w:color="auto" w:fill="D9E2F3"/>
            <w:vAlign w:val="center"/>
          </w:tcPr>
          <w:p w14:paraId="21B8A8F3" w14:textId="77777777" w:rsidR="00990B14" w:rsidRDefault="00000000">
            <w:pPr>
              <w:spacing w:before="20" w:after="20"/>
              <w:jc w:val="both"/>
            </w:pPr>
            <w:r>
              <w:rPr>
                <w:sz w:val="18"/>
                <w:szCs w:val="18"/>
              </w:rPr>
              <w:t>Explica el efecto de cada plazo en la liquidez.</w:t>
            </w:r>
          </w:p>
        </w:tc>
      </w:tr>
      <w:tr w:rsidR="00990B14" w14:paraId="5DDE575E" w14:textId="77777777">
        <w:trPr>
          <w:cantSplit/>
          <w:jc w:val="center"/>
        </w:trPr>
        <w:tc>
          <w:tcPr>
            <w:tcW w:w="1850" w:type="dxa"/>
            <w:vMerge/>
            <w:shd w:val="clear" w:color="auto" w:fill="4472C4"/>
            <w:vAlign w:val="center"/>
          </w:tcPr>
          <w:p w14:paraId="6C41EF8F" w14:textId="77777777" w:rsidR="00990B14" w:rsidRDefault="00990B14">
            <w:pPr>
              <w:spacing w:before="20" w:after="20"/>
            </w:pPr>
          </w:p>
        </w:tc>
        <w:tc>
          <w:tcPr>
            <w:tcW w:w="1910" w:type="dxa"/>
            <w:shd w:val="clear" w:color="auto" w:fill="D9E2F3"/>
            <w:vAlign w:val="center"/>
          </w:tcPr>
          <w:p w14:paraId="38903311" w14:textId="77777777" w:rsidR="00990B14" w:rsidRDefault="00000000">
            <w:pPr>
              <w:spacing w:before="20" w:after="20"/>
              <w:jc w:val="both"/>
            </w:pPr>
            <w:r>
              <w:rPr>
                <w:sz w:val="18"/>
                <w:szCs w:val="18"/>
              </w:rPr>
              <w:t>Requerimiento de financiamiento</w:t>
            </w:r>
          </w:p>
        </w:tc>
        <w:tc>
          <w:tcPr>
            <w:tcW w:w="1910" w:type="dxa"/>
            <w:shd w:val="clear" w:color="auto" w:fill="D9E2F3"/>
            <w:vAlign w:val="center"/>
          </w:tcPr>
          <w:p w14:paraId="0F03DF3B" w14:textId="77777777" w:rsidR="00990B14" w:rsidRDefault="00000000">
            <w:pPr>
              <w:spacing w:before="20" w:after="20"/>
              <w:jc w:val="both"/>
            </w:pPr>
            <w:r>
              <w:rPr>
                <w:sz w:val="18"/>
                <w:szCs w:val="18"/>
              </w:rPr>
              <w:t>No determina el requerimiento.</w:t>
            </w:r>
          </w:p>
        </w:tc>
        <w:tc>
          <w:tcPr>
            <w:tcW w:w="1867" w:type="dxa"/>
            <w:shd w:val="clear" w:color="auto" w:fill="D9E2F3"/>
            <w:vAlign w:val="center"/>
          </w:tcPr>
          <w:p w14:paraId="22979BEC" w14:textId="77777777" w:rsidR="00990B14" w:rsidRDefault="00000000">
            <w:pPr>
              <w:spacing w:before="20" w:after="20"/>
              <w:jc w:val="both"/>
            </w:pPr>
            <w:r>
              <w:rPr>
                <w:sz w:val="18"/>
                <w:szCs w:val="18"/>
              </w:rPr>
              <w:t>Determina el requerimiento permanente y estacional.</w:t>
            </w:r>
          </w:p>
        </w:tc>
        <w:tc>
          <w:tcPr>
            <w:tcW w:w="1868" w:type="dxa"/>
            <w:shd w:val="clear" w:color="auto" w:fill="D9E2F3"/>
            <w:vAlign w:val="center"/>
          </w:tcPr>
          <w:p w14:paraId="2D457D22" w14:textId="77777777" w:rsidR="00990B14" w:rsidRDefault="00000000">
            <w:pPr>
              <w:spacing w:before="20" w:after="20"/>
              <w:jc w:val="both"/>
            </w:pPr>
            <w:r>
              <w:rPr>
                <w:sz w:val="18"/>
                <w:szCs w:val="18"/>
              </w:rPr>
              <w:t>Propone la estrategia de financiamiento adecuada.</w:t>
            </w:r>
          </w:p>
        </w:tc>
      </w:tr>
      <w:tr w:rsidR="00990B14" w14:paraId="67F4783A" w14:textId="77777777">
        <w:trPr>
          <w:cantSplit/>
          <w:jc w:val="center"/>
        </w:trPr>
        <w:tc>
          <w:tcPr>
            <w:tcW w:w="1850" w:type="dxa"/>
            <w:vMerge/>
            <w:shd w:val="clear" w:color="auto" w:fill="4472C4"/>
            <w:vAlign w:val="center"/>
          </w:tcPr>
          <w:p w14:paraId="35CA9F12" w14:textId="77777777" w:rsidR="00990B14" w:rsidRDefault="00990B14">
            <w:pPr>
              <w:spacing w:before="20" w:after="20"/>
            </w:pPr>
          </w:p>
        </w:tc>
        <w:tc>
          <w:tcPr>
            <w:tcW w:w="1910" w:type="dxa"/>
            <w:shd w:val="clear" w:color="auto" w:fill="D9E2F3"/>
            <w:vAlign w:val="center"/>
          </w:tcPr>
          <w:p w14:paraId="39453AEC" w14:textId="77777777" w:rsidR="00990B14" w:rsidRDefault="00000000">
            <w:pPr>
              <w:spacing w:before="20" w:after="20"/>
              <w:jc w:val="both"/>
            </w:pPr>
            <w:r>
              <w:rPr>
                <w:sz w:val="18"/>
                <w:szCs w:val="18"/>
              </w:rPr>
              <w:t>Estrategias</w:t>
            </w:r>
          </w:p>
        </w:tc>
        <w:tc>
          <w:tcPr>
            <w:tcW w:w="1910" w:type="dxa"/>
            <w:shd w:val="clear" w:color="auto" w:fill="D9E2F3"/>
            <w:vAlign w:val="center"/>
          </w:tcPr>
          <w:p w14:paraId="2FF25138" w14:textId="77777777" w:rsidR="00990B14" w:rsidRDefault="00000000">
            <w:pPr>
              <w:spacing w:before="20" w:after="20"/>
              <w:jc w:val="both"/>
            </w:pPr>
            <w:r>
              <w:rPr>
                <w:sz w:val="18"/>
                <w:szCs w:val="18"/>
              </w:rPr>
              <w:t>No formula estrategias.</w:t>
            </w:r>
          </w:p>
        </w:tc>
        <w:tc>
          <w:tcPr>
            <w:tcW w:w="1867" w:type="dxa"/>
            <w:shd w:val="clear" w:color="auto" w:fill="D9E2F3"/>
            <w:vAlign w:val="center"/>
          </w:tcPr>
          <w:p w14:paraId="7E2290E1" w14:textId="77777777" w:rsidR="00990B14" w:rsidRDefault="00000000">
            <w:pPr>
              <w:spacing w:before="20" w:after="20"/>
              <w:jc w:val="both"/>
            </w:pPr>
            <w:r>
              <w:rPr>
                <w:sz w:val="18"/>
                <w:szCs w:val="18"/>
              </w:rPr>
              <w:t>Propone estrategias para reducir el ciclo.</w:t>
            </w:r>
          </w:p>
        </w:tc>
        <w:tc>
          <w:tcPr>
            <w:tcW w:w="1868" w:type="dxa"/>
            <w:shd w:val="clear" w:color="auto" w:fill="D9E2F3"/>
            <w:vAlign w:val="center"/>
          </w:tcPr>
          <w:p w14:paraId="0F1D0925" w14:textId="77777777" w:rsidR="00990B14" w:rsidRDefault="00000000">
            <w:pPr>
              <w:spacing w:before="20" w:after="20"/>
              <w:jc w:val="both"/>
            </w:pPr>
            <w:r>
              <w:rPr>
                <w:sz w:val="18"/>
                <w:szCs w:val="18"/>
              </w:rPr>
              <w:t>Cuantifica el ahorro de cada estrategia.</w:t>
            </w:r>
          </w:p>
        </w:tc>
      </w:tr>
      <w:tr w:rsidR="00990B14" w14:paraId="50E450FD" w14:textId="77777777">
        <w:trPr>
          <w:cantSplit/>
          <w:jc w:val="center"/>
        </w:trPr>
        <w:tc>
          <w:tcPr>
            <w:tcW w:w="1850" w:type="dxa"/>
            <w:vMerge/>
            <w:shd w:val="clear" w:color="auto" w:fill="4472C4"/>
            <w:vAlign w:val="center"/>
          </w:tcPr>
          <w:p w14:paraId="28B53438" w14:textId="77777777" w:rsidR="00990B14" w:rsidRDefault="00990B14">
            <w:pPr>
              <w:spacing w:before="20" w:after="20"/>
            </w:pPr>
          </w:p>
        </w:tc>
        <w:tc>
          <w:tcPr>
            <w:tcW w:w="5687" w:type="dxa"/>
            <w:gridSpan w:val="3"/>
            <w:shd w:val="clear" w:color="auto" w:fill="D9E2F3"/>
            <w:vAlign w:val="center"/>
          </w:tcPr>
          <w:p w14:paraId="4AA11871" w14:textId="77777777" w:rsidR="00990B14" w:rsidRDefault="00000000">
            <w:pPr>
              <w:keepNext/>
              <w:spacing w:before="20" w:after="20"/>
              <w:jc w:val="both"/>
            </w:pPr>
            <w:r>
              <w:rPr>
                <w:b/>
                <w:bCs/>
                <w:i/>
                <w:iCs/>
                <w:sz w:val="18"/>
                <w:szCs w:val="18"/>
              </w:rPr>
              <w:t xml:space="preserve">Producto 10: </w:t>
            </w:r>
            <w:r>
              <w:rPr>
                <w:sz w:val="18"/>
                <w:szCs w:val="18"/>
              </w:rPr>
              <w:t>Política de crédito con sus términos, condiciones y mecanismos de supervisión</w:t>
            </w:r>
          </w:p>
        </w:tc>
        <w:tc>
          <w:tcPr>
            <w:tcW w:w="1868" w:type="dxa"/>
            <w:shd w:val="clear" w:color="auto" w:fill="D9E2F3"/>
            <w:vAlign w:val="center"/>
          </w:tcPr>
          <w:p w14:paraId="21338790" w14:textId="77777777" w:rsidR="00990B14" w:rsidRDefault="00000000">
            <w:pPr>
              <w:spacing w:before="20" w:after="20"/>
              <w:jc w:val="center"/>
            </w:pPr>
            <w:r>
              <w:rPr>
                <w:b/>
                <w:bCs/>
                <w:sz w:val="18"/>
                <w:szCs w:val="18"/>
              </w:rPr>
              <w:t>4%</w:t>
            </w:r>
          </w:p>
        </w:tc>
      </w:tr>
      <w:tr w:rsidR="00990B14" w14:paraId="06633A45" w14:textId="77777777">
        <w:trPr>
          <w:cantSplit/>
          <w:jc w:val="center"/>
        </w:trPr>
        <w:tc>
          <w:tcPr>
            <w:tcW w:w="1850" w:type="dxa"/>
            <w:vMerge/>
            <w:shd w:val="clear" w:color="auto" w:fill="4472C4"/>
            <w:vAlign w:val="center"/>
          </w:tcPr>
          <w:p w14:paraId="6203E428" w14:textId="77777777" w:rsidR="00990B14" w:rsidRDefault="00990B14">
            <w:pPr>
              <w:spacing w:before="20" w:after="20"/>
            </w:pPr>
          </w:p>
        </w:tc>
        <w:tc>
          <w:tcPr>
            <w:tcW w:w="1910" w:type="dxa"/>
            <w:shd w:val="clear" w:color="auto" w:fill="4472C4"/>
            <w:vAlign w:val="center"/>
          </w:tcPr>
          <w:p w14:paraId="4A54C219"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30A724AE" w14:textId="77777777" w:rsidR="00990B14" w:rsidRDefault="00000000">
            <w:pPr>
              <w:keepNext/>
              <w:spacing w:before="20" w:after="20"/>
              <w:jc w:val="center"/>
            </w:pPr>
            <w:r>
              <w:rPr>
                <w:b/>
                <w:bCs/>
                <w:i/>
                <w:iCs/>
                <w:color w:val="FFFFFF"/>
                <w:sz w:val="18"/>
                <w:szCs w:val="18"/>
              </w:rPr>
              <w:t>Insuficiente (1–50)</w:t>
            </w:r>
          </w:p>
        </w:tc>
        <w:tc>
          <w:tcPr>
            <w:tcW w:w="1867" w:type="dxa"/>
            <w:shd w:val="clear" w:color="auto" w:fill="4472C4"/>
            <w:vAlign w:val="center"/>
          </w:tcPr>
          <w:p w14:paraId="1736FAC2" w14:textId="77777777" w:rsidR="00990B14" w:rsidRDefault="00000000">
            <w:pPr>
              <w:keepNext/>
              <w:spacing w:before="20" w:after="20"/>
              <w:jc w:val="center"/>
            </w:pPr>
            <w:r>
              <w:rPr>
                <w:b/>
                <w:bCs/>
                <w:i/>
                <w:iCs/>
                <w:color w:val="FFFFFF"/>
                <w:sz w:val="18"/>
                <w:szCs w:val="18"/>
              </w:rPr>
              <w:t>Suficiente (51–80)</w:t>
            </w:r>
          </w:p>
        </w:tc>
        <w:tc>
          <w:tcPr>
            <w:tcW w:w="1868" w:type="dxa"/>
            <w:shd w:val="clear" w:color="auto" w:fill="4472C4"/>
            <w:vAlign w:val="center"/>
          </w:tcPr>
          <w:p w14:paraId="333EAC42" w14:textId="77777777" w:rsidR="00990B14" w:rsidRDefault="00000000">
            <w:pPr>
              <w:keepNext/>
              <w:spacing w:before="20" w:after="20"/>
              <w:jc w:val="center"/>
            </w:pPr>
            <w:r>
              <w:rPr>
                <w:b/>
                <w:bCs/>
                <w:i/>
                <w:iCs/>
                <w:color w:val="FFFFFF"/>
                <w:sz w:val="18"/>
                <w:szCs w:val="18"/>
              </w:rPr>
              <w:t>Destacado (81–100)</w:t>
            </w:r>
          </w:p>
        </w:tc>
      </w:tr>
      <w:tr w:rsidR="00990B14" w14:paraId="628F1595" w14:textId="77777777">
        <w:trPr>
          <w:cantSplit/>
          <w:jc w:val="center"/>
        </w:trPr>
        <w:tc>
          <w:tcPr>
            <w:tcW w:w="1850" w:type="dxa"/>
            <w:vMerge/>
            <w:shd w:val="clear" w:color="auto" w:fill="4472C4"/>
            <w:vAlign w:val="center"/>
          </w:tcPr>
          <w:p w14:paraId="27BF17D3" w14:textId="77777777" w:rsidR="00990B14" w:rsidRDefault="00990B14">
            <w:pPr>
              <w:spacing w:before="20" w:after="20"/>
            </w:pPr>
          </w:p>
        </w:tc>
        <w:tc>
          <w:tcPr>
            <w:tcW w:w="1910" w:type="dxa"/>
            <w:shd w:val="clear" w:color="auto" w:fill="D9E2F3"/>
            <w:vAlign w:val="center"/>
          </w:tcPr>
          <w:p w14:paraId="6901BA50" w14:textId="77777777" w:rsidR="00990B14" w:rsidRDefault="00000000">
            <w:pPr>
              <w:spacing w:before="20" w:after="20"/>
              <w:jc w:val="both"/>
            </w:pPr>
            <w:r>
              <w:rPr>
                <w:sz w:val="18"/>
                <w:szCs w:val="18"/>
              </w:rPr>
              <w:t>Análisis marginal</w:t>
            </w:r>
          </w:p>
        </w:tc>
        <w:tc>
          <w:tcPr>
            <w:tcW w:w="1910" w:type="dxa"/>
            <w:shd w:val="clear" w:color="auto" w:fill="D9E2F3"/>
            <w:vAlign w:val="center"/>
          </w:tcPr>
          <w:p w14:paraId="025585E7" w14:textId="77777777" w:rsidR="00990B14" w:rsidRDefault="00000000">
            <w:pPr>
              <w:spacing w:before="20" w:after="20"/>
              <w:jc w:val="both"/>
            </w:pPr>
            <w:r>
              <w:rPr>
                <w:sz w:val="18"/>
                <w:szCs w:val="18"/>
              </w:rPr>
              <w:t>Aplica con errores el análisis marginal.</w:t>
            </w:r>
          </w:p>
        </w:tc>
        <w:tc>
          <w:tcPr>
            <w:tcW w:w="1867" w:type="dxa"/>
            <w:shd w:val="clear" w:color="auto" w:fill="D9E2F3"/>
            <w:vAlign w:val="center"/>
          </w:tcPr>
          <w:p w14:paraId="25FEA58B" w14:textId="77777777" w:rsidR="00990B14" w:rsidRDefault="00000000">
            <w:pPr>
              <w:spacing w:before="20" w:after="20"/>
              <w:jc w:val="both"/>
            </w:pPr>
            <w:r>
              <w:rPr>
                <w:sz w:val="18"/>
                <w:szCs w:val="18"/>
              </w:rPr>
              <w:t>Compara la utilidad marginal y el costo marginal.</w:t>
            </w:r>
          </w:p>
        </w:tc>
        <w:tc>
          <w:tcPr>
            <w:tcW w:w="1868" w:type="dxa"/>
            <w:shd w:val="clear" w:color="auto" w:fill="D9E2F3"/>
            <w:vAlign w:val="center"/>
          </w:tcPr>
          <w:p w14:paraId="352188EF" w14:textId="77777777" w:rsidR="00990B14" w:rsidRDefault="00000000">
            <w:pPr>
              <w:spacing w:before="20" w:after="20"/>
              <w:jc w:val="both"/>
            </w:pPr>
            <w:r>
              <w:rPr>
                <w:sz w:val="18"/>
                <w:szCs w:val="18"/>
              </w:rPr>
              <w:t>Incorpora el deterioro por pérdidas crediticias esperadas.</w:t>
            </w:r>
          </w:p>
        </w:tc>
      </w:tr>
      <w:tr w:rsidR="00990B14" w14:paraId="757140DE" w14:textId="77777777">
        <w:trPr>
          <w:cantSplit/>
          <w:jc w:val="center"/>
        </w:trPr>
        <w:tc>
          <w:tcPr>
            <w:tcW w:w="1850" w:type="dxa"/>
            <w:vMerge/>
            <w:shd w:val="clear" w:color="auto" w:fill="4472C4"/>
            <w:vAlign w:val="center"/>
          </w:tcPr>
          <w:p w14:paraId="263BF063" w14:textId="77777777" w:rsidR="00990B14" w:rsidRDefault="00990B14">
            <w:pPr>
              <w:spacing w:before="20" w:after="20"/>
            </w:pPr>
          </w:p>
        </w:tc>
        <w:tc>
          <w:tcPr>
            <w:tcW w:w="1910" w:type="dxa"/>
            <w:shd w:val="clear" w:color="auto" w:fill="D9E2F3"/>
            <w:vAlign w:val="center"/>
          </w:tcPr>
          <w:p w14:paraId="6481D816" w14:textId="77777777" w:rsidR="00990B14" w:rsidRDefault="00000000">
            <w:pPr>
              <w:spacing w:before="20" w:after="20"/>
              <w:jc w:val="both"/>
            </w:pPr>
            <w:r>
              <w:rPr>
                <w:sz w:val="18"/>
                <w:szCs w:val="18"/>
              </w:rPr>
              <w:t>Términos y condiciones</w:t>
            </w:r>
          </w:p>
        </w:tc>
        <w:tc>
          <w:tcPr>
            <w:tcW w:w="1910" w:type="dxa"/>
            <w:shd w:val="clear" w:color="auto" w:fill="D9E2F3"/>
            <w:vAlign w:val="center"/>
          </w:tcPr>
          <w:p w14:paraId="644BA0D4" w14:textId="77777777" w:rsidR="00990B14" w:rsidRDefault="00000000">
            <w:pPr>
              <w:spacing w:before="20" w:after="20"/>
              <w:jc w:val="both"/>
            </w:pPr>
            <w:r>
              <w:rPr>
                <w:sz w:val="18"/>
                <w:szCs w:val="18"/>
              </w:rPr>
              <w:t>Los términos son incompletos.</w:t>
            </w:r>
          </w:p>
        </w:tc>
        <w:tc>
          <w:tcPr>
            <w:tcW w:w="1867" w:type="dxa"/>
            <w:shd w:val="clear" w:color="auto" w:fill="D9E2F3"/>
            <w:vAlign w:val="center"/>
          </w:tcPr>
          <w:p w14:paraId="4465C0E1" w14:textId="77777777" w:rsidR="00990B14" w:rsidRDefault="00000000">
            <w:pPr>
              <w:spacing w:before="20" w:after="20"/>
              <w:jc w:val="both"/>
            </w:pPr>
            <w:r>
              <w:rPr>
                <w:sz w:val="18"/>
                <w:szCs w:val="18"/>
              </w:rPr>
              <w:t>Define plazos, descuentos y normas de crédito.</w:t>
            </w:r>
          </w:p>
        </w:tc>
        <w:tc>
          <w:tcPr>
            <w:tcW w:w="1868" w:type="dxa"/>
            <w:shd w:val="clear" w:color="auto" w:fill="D9E2F3"/>
            <w:vAlign w:val="center"/>
          </w:tcPr>
          <w:p w14:paraId="0EA545BE" w14:textId="77777777" w:rsidR="00990B14" w:rsidRDefault="00000000">
            <w:pPr>
              <w:spacing w:before="20" w:after="20"/>
              <w:jc w:val="both"/>
            </w:pPr>
            <w:r>
              <w:rPr>
                <w:sz w:val="18"/>
                <w:szCs w:val="18"/>
              </w:rPr>
              <w:t>Ajusta los términos al perfil de cada cliente.</w:t>
            </w:r>
          </w:p>
        </w:tc>
      </w:tr>
      <w:tr w:rsidR="00990B14" w14:paraId="1F2D7BD9" w14:textId="77777777">
        <w:trPr>
          <w:cantSplit/>
          <w:jc w:val="center"/>
        </w:trPr>
        <w:tc>
          <w:tcPr>
            <w:tcW w:w="1850" w:type="dxa"/>
            <w:vMerge/>
            <w:shd w:val="clear" w:color="auto" w:fill="4472C4"/>
            <w:vAlign w:val="center"/>
          </w:tcPr>
          <w:p w14:paraId="14D2835B" w14:textId="77777777" w:rsidR="00990B14" w:rsidRDefault="00990B14">
            <w:pPr>
              <w:spacing w:before="20" w:after="20"/>
            </w:pPr>
          </w:p>
        </w:tc>
        <w:tc>
          <w:tcPr>
            <w:tcW w:w="1910" w:type="dxa"/>
            <w:shd w:val="clear" w:color="auto" w:fill="D9E2F3"/>
            <w:vAlign w:val="center"/>
          </w:tcPr>
          <w:p w14:paraId="6B05F387" w14:textId="77777777" w:rsidR="00990B14" w:rsidRDefault="00000000">
            <w:pPr>
              <w:spacing w:before="20" w:after="20"/>
              <w:jc w:val="both"/>
            </w:pPr>
            <w:r>
              <w:rPr>
                <w:sz w:val="18"/>
                <w:szCs w:val="18"/>
              </w:rPr>
              <w:t>Trabajo en equipo</w:t>
            </w:r>
          </w:p>
        </w:tc>
        <w:tc>
          <w:tcPr>
            <w:tcW w:w="1910" w:type="dxa"/>
            <w:shd w:val="clear" w:color="auto" w:fill="D9E2F3"/>
            <w:vAlign w:val="center"/>
          </w:tcPr>
          <w:p w14:paraId="5E5C6818" w14:textId="77777777" w:rsidR="00990B14" w:rsidRDefault="00000000">
            <w:pPr>
              <w:spacing w:before="20" w:after="20"/>
              <w:jc w:val="both"/>
            </w:pPr>
            <w:r>
              <w:rPr>
                <w:sz w:val="18"/>
                <w:szCs w:val="18"/>
              </w:rPr>
              <w:t>La participación es desigual.</w:t>
            </w:r>
          </w:p>
        </w:tc>
        <w:tc>
          <w:tcPr>
            <w:tcW w:w="1867" w:type="dxa"/>
            <w:shd w:val="clear" w:color="auto" w:fill="D9E2F3"/>
            <w:vAlign w:val="center"/>
          </w:tcPr>
          <w:p w14:paraId="1A1249D9" w14:textId="77777777" w:rsidR="00990B14" w:rsidRDefault="00000000">
            <w:pPr>
              <w:spacing w:before="20" w:after="20"/>
              <w:jc w:val="both"/>
            </w:pPr>
            <w:r>
              <w:rPr>
                <w:sz w:val="18"/>
                <w:szCs w:val="18"/>
              </w:rPr>
              <w:t>Todos los integrantes participan.</w:t>
            </w:r>
          </w:p>
        </w:tc>
        <w:tc>
          <w:tcPr>
            <w:tcW w:w="1868" w:type="dxa"/>
            <w:shd w:val="clear" w:color="auto" w:fill="D9E2F3"/>
            <w:vAlign w:val="center"/>
          </w:tcPr>
          <w:p w14:paraId="4AA7B73D" w14:textId="77777777" w:rsidR="00990B14" w:rsidRDefault="00000000">
            <w:pPr>
              <w:spacing w:before="20" w:after="20"/>
              <w:jc w:val="both"/>
            </w:pPr>
            <w:r>
              <w:rPr>
                <w:sz w:val="18"/>
                <w:szCs w:val="18"/>
              </w:rPr>
              <w:t>El equipo sustenta sus conclusiones ante el curso.</w:t>
            </w:r>
          </w:p>
        </w:tc>
      </w:tr>
      <w:tr w:rsidR="00990B14" w14:paraId="7C030FB7" w14:textId="77777777">
        <w:trPr>
          <w:cantSplit/>
          <w:jc w:val="center"/>
        </w:trPr>
        <w:tc>
          <w:tcPr>
            <w:tcW w:w="1850" w:type="dxa"/>
            <w:vMerge/>
            <w:shd w:val="clear" w:color="auto" w:fill="4472C4"/>
            <w:vAlign w:val="center"/>
          </w:tcPr>
          <w:p w14:paraId="2EF501C2" w14:textId="77777777" w:rsidR="00990B14" w:rsidRDefault="00990B14">
            <w:pPr>
              <w:spacing w:before="20" w:after="20"/>
            </w:pPr>
          </w:p>
        </w:tc>
        <w:tc>
          <w:tcPr>
            <w:tcW w:w="5687" w:type="dxa"/>
            <w:gridSpan w:val="3"/>
            <w:shd w:val="clear" w:color="auto" w:fill="D9E2F3"/>
            <w:vAlign w:val="center"/>
          </w:tcPr>
          <w:p w14:paraId="085145B9" w14:textId="77777777" w:rsidR="00990B14" w:rsidRDefault="00000000">
            <w:pPr>
              <w:keepNext/>
              <w:spacing w:before="20" w:after="20"/>
              <w:jc w:val="both"/>
            </w:pPr>
            <w:r>
              <w:rPr>
                <w:b/>
                <w:bCs/>
                <w:i/>
                <w:iCs/>
                <w:sz w:val="18"/>
                <w:szCs w:val="18"/>
              </w:rPr>
              <w:t xml:space="preserve">Producto 11: </w:t>
            </w:r>
            <w:r>
              <w:rPr>
                <w:sz w:val="18"/>
                <w:szCs w:val="18"/>
              </w:rPr>
              <w:t>Cálculo de la cantidad económica del pedido y del nivel de inventarios</w:t>
            </w:r>
          </w:p>
        </w:tc>
        <w:tc>
          <w:tcPr>
            <w:tcW w:w="1868" w:type="dxa"/>
            <w:shd w:val="clear" w:color="auto" w:fill="D9E2F3"/>
            <w:vAlign w:val="center"/>
          </w:tcPr>
          <w:p w14:paraId="30EC804E" w14:textId="77777777" w:rsidR="00990B14" w:rsidRDefault="00000000">
            <w:pPr>
              <w:spacing w:before="20" w:after="20"/>
              <w:jc w:val="center"/>
            </w:pPr>
            <w:r>
              <w:rPr>
                <w:b/>
                <w:bCs/>
                <w:sz w:val="18"/>
                <w:szCs w:val="18"/>
              </w:rPr>
              <w:t>4%</w:t>
            </w:r>
          </w:p>
        </w:tc>
      </w:tr>
      <w:tr w:rsidR="00990B14" w14:paraId="79C42211" w14:textId="77777777">
        <w:trPr>
          <w:cantSplit/>
          <w:jc w:val="center"/>
        </w:trPr>
        <w:tc>
          <w:tcPr>
            <w:tcW w:w="1850" w:type="dxa"/>
            <w:vMerge/>
            <w:shd w:val="clear" w:color="auto" w:fill="4472C4"/>
            <w:vAlign w:val="center"/>
          </w:tcPr>
          <w:p w14:paraId="1C7EE874" w14:textId="77777777" w:rsidR="00990B14" w:rsidRDefault="00990B14">
            <w:pPr>
              <w:spacing w:before="20" w:after="20"/>
            </w:pPr>
          </w:p>
        </w:tc>
        <w:tc>
          <w:tcPr>
            <w:tcW w:w="1910" w:type="dxa"/>
            <w:shd w:val="clear" w:color="auto" w:fill="4472C4"/>
            <w:vAlign w:val="center"/>
          </w:tcPr>
          <w:p w14:paraId="4BA85F1D"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1555C57D" w14:textId="77777777" w:rsidR="00990B14" w:rsidRDefault="00000000">
            <w:pPr>
              <w:keepNext/>
              <w:spacing w:before="20" w:after="20"/>
              <w:jc w:val="center"/>
            </w:pPr>
            <w:r>
              <w:rPr>
                <w:b/>
                <w:bCs/>
                <w:i/>
                <w:iCs/>
                <w:color w:val="FFFFFF"/>
                <w:sz w:val="18"/>
                <w:szCs w:val="18"/>
              </w:rPr>
              <w:t>Insuficiente (1–50)</w:t>
            </w:r>
          </w:p>
        </w:tc>
        <w:tc>
          <w:tcPr>
            <w:tcW w:w="1867" w:type="dxa"/>
            <w:shd w:val="clear" w:color="auto" w:fill="4472C4"/>
            <w:vAlign w:val="center"/>
          </w:tcPr>
          <w:p w14:paraId="1685F9BF" w14:textId="77777777" w:rsidR="00990B14" w:rsidRDefault="00000000">
            <w:pPr>
              <w:keepNext/>
              <w:spacing w:before="20" w:after="20"/>
              <w:jc w:val="center"/>
            </w:pPr>
            <w:r>
              <w:rPr>
                <w:b/>
                <w:bCs/>
                <w:i/>
                <w:iCs/>
                <w:color w:val="FFFFFF"/>
                <w:sz w:val="18"/>
                <w:szCs w:val="18"/>
              </w:rPr>
              <w:t>Suficiente (51–80)</w:t>
            </w:r>
          </w:p>
        </w:tc>
        <w:tc>
          <w:tcPr>
            <w:tcW w:w="1868" w:type="dxa"/>
            <w:shd w:val="clear" w:color="auto" w:fill="4472C4"/>
            <w:vAlign w:val="center"/>
          </w:tcPr>
          <w:p w14:paraId="2CCAC3BE" w14:textId="77777777" w:rsidR="00990B14" w:rsidRDefault="00000000">
            <w:pPr>
              <w:keepNext/>
              <w:spacing w:before="20" w:after="20"/>
              <w:jc w:val="center"/>
            </w:pPr>
            <w:r>
              <w:rPr>
                <w:b/>
                <w:bCs/>
                <w:i/>
                <w:iCs/>
                <w:color w:val="FFFFFF"/>
                <w:sz w:val="18"/>
                <w:szCs w:val="18"/>
              </w:rPr>
              <w:t>Destacado (81–100)</w:t>
            </w:r>
          </w:p>
        </w:tc>
      </w:tr>
      <w:tr w:rsidR="00990B14" w14:paraId="5DF55D72" w14:textId="77777777">
        <w:trPr>
          <w:cantSplit/>
          <w:jc w:val="center"/>
        </w:trPr>
        <w:tc>
          <w:tcPr>
            <w:tcW w:w="1850" w:type="dxa"/>
            <w:vMerge/>
            <w:shd w:val="clear" w:color="auto" w:fill="4472C4"/>
            <w:vAlign w:val="center"/>
          </w:tcPr>
          <w:p w14:paraId="745BE267" w14:textId="77777777" w:rsidR="00990B14" w:rsidRDefault="00990B14">
            <w:pPr>
              <w:spacing w:before="20" w:after="20"/>
            </w:pPr>
          </w:p>
        </w:tc>
        <w:tc>
          <w:tcPr>
            <w:tcW w:w="1910" w:type="dxa"/>
            <w:shd w:val="clear" w:color="auto" w:fill="D9E2F3"/>
            <w:vAlign w:val="center"/>
          </w:tcPr>
          <w:p w14:paraId="04098FEB" w14:textId="77777777" w:rsidR="00990B14" w:rsidRDefault="00000000">
            <w:pPr>
              <w:spacing w:before="20" w:after="20"/>
              <w:jc w:val="both"/>
            </w:pPr>
            <w:r>
              <w:rPr>
                <w:sz w:val="18"/>
                <w:szCs w:val="18"/>
              </w:rPr>
              <w:t>Cantidad económica</w:t>
            </w:r>
          </w:p>
        </w:tc>
        <w:tc>
          <w:tcPr>
            <w:tcW w:w="1910" w:type="dxa"/>
            <w:shd w:val="clear" w:color="auto" w:fill="D9E2F3"/>
            <w:vAlign w:val="center"/>
          </w:tcPr>
          <w:p w14:paraId="7DE2DFA4" w14:textId="77777777" w:rsidR="00990B14" w:rsidRDefault="00000000">
            <w:pPr>
              <w:spacing w:before="20" w:after="20"/>
              <w:jc w:val="both"/>
            </w:pPr>
            <w:r>
              <w:rPr>
                <w:sz w:val="18"/>
                <w:szCs w:val="18"/>
              </w:rPr>
              <w:t>Calcula con errores la cantidad económica.</w:t>
            </w:r>
          </w:p>
        </w:tc>
        <w:tc>
          <w:tcPr>
            <w:tcW w:w="1867" w:type="dxa"/>
            <w:shd w:val="clear" w:color="auto" w:fill="D9E2F3"/>
            <w:vAlign w:val="center"/>
          </w:tcPr>
          <w:p w14:paraId="03AA9C67" w14:textId="77777777" w:rsidR="00990B14" w:rsidRDefault="00000000">
            <w:pPr>
              <w:spacing w:before="20" w:after="20"/>
              <w:jc w:val="both"/>
            </w:pPr>
            <w:r>
              <w:rPr>
                <w:sz w:val="18"/>
                <w:szCs w:val="18"/>
              </w:rPr>
              <w:t>Calcula la cantidad económica y el punto de pedido.</w:t>
            </w:r>
          </w:p>
        </w:tc>
        <w:tc>
          <w:tcPr>
            <w:tcW w:w="1868" w:type="dxa"/>
            <w:shd w:val="clear" w:color="auto" w:fill="D9E2F3"/>
            <w:vAlign w:val="center"/>
          </w:tcPr>
          <w:p w14:paraId="433EDEC7" w14:textId="77777777" w:rsidR="00990B14" w:rsidRDefault="00000000">
            <w:pPr>
              <w:spacing w:before="20" w:after="20"/>
              <w:jc w:val="both"/>
            </w:pPr>
            <w:r>
              <w:rPr>
                <w:sz w:val="18"/>
                <w:szCs w:val="18"/>
              </w:rPr>
              <w:t>Analiza la sensibilidad ante cambios de la demanda.</w:t>
            </w:r>
          </w:p>
        </w:tc>
      </w:tr>
      <w:tr w:rsidR="00990B14" w14:paraId="086B04F8" w14:textId="77777777">
        <w:trPr>
          <w:cantSplit/>
          <w:jc w:val="center"/>
        </w:trPr>
        <w:tc>
          <w:tcPr>
            <w:tcW w:w="1850" w:type="dxa"/>
            <w:vMerge/>
            <w:shd w:val="clear" w:color="auto" w:fill="4472C4"/>
            <w:vAlign w:val="center"/>
          </w:tcPr>
          <w:p w14:paraId="290EC07F" w14:textId="77777777" w:rsidR="00990B14" w:rsidRDefault="00990B14">
            <w:pPr>
              <w:spacing w:before="20" w:after="20"/>
            </w:pPr>
          </w:p>
        </w:tc>
        <w:tc>
          <w:tcPr>
            <w:tcW w:w="1910" w:type="dxa"/>
            <w:shd w:val="clear" w:color="auto" w:fill="D9E2F3"/>
            <w:vAlign w:val="center"/>
          </w:tcPr>
          <w:p w14:paraId="35FB990F" w14:textId="77777777" w:rsidR="00990B14" w:rsidRDefault="00000000">
            <w:pPr>
              <w:spacing w:before="20" w:after="20"/>
              <w:jc w:val="both"/>
            </w:pPr>
            <w:r>
              <w:rPr>
                <w:sz w:val="18"/>
                <w:szCs w:val="18"/>
              </w:rPr>
              <w:t>Nivel de inventarios</w:t>
            </w:r>
          </w:p>
        </w:tc>
        <w:tc>
          <w:tcPr>
            <w:tcW w:w="1910" w:type="dxa"/>
            <w:shd w:val="clear" w:color="auto" w:fill="D9E2F3"/>
            <w:vAlign w:val="center"/>
          </w:tcPr>
          <w:p w14:paraId="102BB4E3" w14:textId="77777777" w:rsidR="00990B14" w:rsidRDefault="00000000">
            <w:pPr>
              <w:spacing w:before="20" w:after="20"/>
              <w:jc w:val="both"/>
            </w:pPr>
            <w:r>
              <w:rPr>
                <w:sz w:val="18"/>
                <w:szCs w:val="18"/>
              </w:rPr>
              <w:t>No define el inventario de seguridad.</w:t>
            </w:r>
          </w:p>
        </w:tc>
        <w:tc>
          <w:tcPr>
            <w:tcW w:w="1867" w:type="dxa"/>
            <w:shd w:val="clear" w:color="auto" w:fill="D9E2F3"/>
            <w:vAlign w:val="center"/>
          </w:tcPr>
          <w:p w14:paraId="77C7132C" w14:textId="77777777" w:rsidR="00990B14" w:rsidRDefault="00000000">
            <w:pPr>
              <w:spacing w:before="20" w:after="20"/>
              <w:jc w:val="both"/>
            </w:pPr>
            <w:r>
              <w:rPr>
                <w:sz w:val="18"/>
                <w:szCs w:val="18"/>
              </w:rPr>
              <w:t>Establece el nivel de inventarios y su política.</w:t>
            </w:r>
          </w:p>
        </w:tc>
        <w:tc>
          <w:tcPr>
            <w:tcW w:w="1868" w:type="dxa"/>
            <w:shd w:val="clear" w:color="auto" w:fill="D9E2F3"/>
            <w:vAlign w:val="center"/>
          </w:tcPr>
          <w:p w14:paraId="2B376D5B" w14:textId="77777777" w:rsidR="00990B14" w:rsidRDefault="00000000">
            <w:pPr>
              <w:spacing w:before="20" w:after="20"/>
              <w:jc w:val="both"/>
            </w:pPr>
            <w:r>
              <w:rPr>
                <w:sz w:val="18"/>
                <w:szCs w:val="18"/>
              </w:rPr>
              <w:t>Compara el resultado con el enfoque justo a tiempo.</w:t>
            </w:r>
          </w:p>
        </w:tc>
      </w:tr>
      <w:tr w:rsidR="00990B14" w14:paraId="5CCC3CBB" w14:textId="77777777">
        <w:trPr>
          <w:cantSplit/>
          <w:jc w:val="center"/>
        </w:trPr>
        <w:tc>
          <w:tcPr>
            <w:tcW w:w="1850" w:type="dxa"/>
            <w:vMerge/>
            <w:shd w:val="clear" w:color="auto" w:fill="4472C4"/>
            <w:vAlign w:val="center"/>
          </w:tcPr>
          <w:p w14:paraId="0CAA4775" w14:textId="77777777" w:rsidR="00990B14" w:rsidRDefault="00990B14">
            <w:pPr>
              <w:spacing w:before="20" w:after="20"/>
            </w:pPr>
          </w:p>
        </w:tc>
        <w:tc>
          <w:tcPr>
            <w:tcW w:w="1910" w:type="dxa"/>
            <w:shd w:val="clear" w:color="auto" w:fill="D9E2F3"/>
            <w:vAlign w:val="center"/>
          </w:tcPr>
          <w:p w14:paraId="7B84112B" w14:textId="77777777" w:rsidR="00990B14" w:rsidRDefault="00000000">
            <w:pPr>
              <w:spacing w:before="20" w:after="20"/>
              <w:jc w:val="both"/>
            </w:pPr>
            <w:r>
              <w:rPr>
                <w:sz w:val="18"/>
                <w:szCs w:val="18"/>
              </w:rPr>
              <w:t>Exactitud</w:t>
            </w:r>
          </w:p>
        </w:tc>
        <w:tc>
          <w:tcPr>
            <w:tcW w:w="1910" w:type="dxa"/>
            <w:shd w:val="clear" w:color="auto" w:fill="D9E2F3"/>
            <w:vAlign w:val="center"/>
          </w:tcPr>
          <w:p w14:paraId="14938B45" w14:textId="77777777" w:rsidR="00990B14" w:rsidRDefault="00000000">
            <w:pPr>
              <w:spacing w:before="20" w:after="20"/>
              <w:jc w:val="both"/>
            </w:pPr>
            <w:r>
              <w:rPr>
                <w:sz w:val="18"/>
                <w:szCs w:val="18"/>
              </w:rPr>
              <w:t>Presenta errores de cálculo.</w:t>
            </w:r>
          </w:p>
        </w:tc>
        <w:tc>
          <w:tcPr>
            <w:tcW w:w="1867" w:type="dxa"/>
            <w:shd w:val="clear" w:color="auto" w:fill="D9E2F3"/>
            <w:vAlign w:val="center"/>
          </w:tcPr>
          <w:p w14:paraId="7B52983A" w14:textId="77777777" w:rsidR="00990B14" w:rsidRDefault="00000000">
            <w:pPr>
              <w:spacing w:before="20" w:after="20"/>
              <w:jc w:val="both"/>
            </w:pPr>
            <w:r>
              <w:rPr>
                <w:sz w:val="18"/>
                <w:szCs w:val="18"/>
              </w:rPr>
              <w:t>Los cálculos son correctos.</w:t>
            </w:r>
          </w:p>
        </w:tc>
        <w:tc>
          <w:tcPr>
            <w:tcW w:w="1868" w:type="dxa"/>
            <w:shd w:val="clear" w:color="auto" w:fill="D9E2F3"/>
            <w:vAlign w:val="center"/>
          </w:tcPr>
          <w:p w14:paraId="2AA6D1D2" w14:textId="77777777" w:rsidR="00990B14" w:rsidRDefault="00000000">
            <w:pPr>
              <w:spacing w:before="20" w:after="20"/>
              <w:jc w:val="both"/>
            </w:pPr>
            <w:r>
              <w:rPr>
                <w:sz w:val="18"/>
                <w:szCs w:val="18"/>
              </w:rPr>
              <w:t>Verifica los resultados con los costos totales.</w:t>
            </w:r>
          </w:p>
        </w:tc>
      </w:tr>
      <w:tr w:rsidR="00990B14" w14:paraId="48FF33D5" w14:textId="77777777">
        <w:trPr>
          <w:cantSplit/>
          <w:jc w:val="center"/>
        </w:trPr>
        <w:tc>
          <w:tcPr>
            <w:tcW w:w="1850" w:type="dxa"/>
            <w:vMerge/>
            <w:shd w:val="clear" w:color="auto" w:fill="4472C4"/>
            <w:vAlign w:val="center"/>
          </w:tcPr>
          <w:p w14:paraId="2242AACD" w14:textId="77777777" w:rsidR="00990B14" w:rsidRDefault="00990B14">
            <w:pPr>
              <w:spacing w:before="20" w:after="20"/>
            </w:pPr>
          </w:p>
        </w:tc>
        <w:tc>
          <w:tcPr>
            <w:tcW w:w="5687" w:type="dxa"/>
            <w:gridSpan w:val="3"/>
            <w:shd w:val="clear" w:color="auto" w:fill="D9E2F3"/>
            <w:vAlign w:val="center"/>
          </w:tcPr>
          <w:p w14:paraId="729F3E48" w14:textId="77777777" w:rsidR="00990B14" w:rsidRDefault="00000000">
            <w:pPr>
              <w:keepNext/>
              <w:spacing w:before="20" w:after="20"/>
              <w:jc w:val="both"/>
            </w:pPr>
            <w:r>
              <w:rPr>
                <w:b/>
                <w:bCs/>
                <w:i/>
                <w:iCs/>
                <w:sz w:val="18"/>
                <w:szCs w:val="18"/>
              </w:rPr>
              <w:t xml:space="preserve">Producto 12: </w:t>
            </w:r>
            <w:r>
              <w:rPr>
                <w:sz w:val="18"/>
                <w:szCs w:val="18"/>
              </w:rPr>
              <w:t>Cuadro comparativo del costo efectivo de las fuentes de financiación a corto plazo</w:t>
            </w:r>
          </w:p>
        </w:tc>
        <w:tc>
          <w:tcPr>
            <w:tcW w:w="1868" w:type="dxa"/>
            <w:shd w:val="clear" w:color="auto" w:fill="D9E2F3"/>
            <w:vAlign w:val="center"/>
          </w:tcPr>
          <w:p w14:paraId="622538C1" w14:textId="77777777" w:rsidR="00990B14" w:rsidRDefault="00000000">
            <w:pPr>
              <w:spacing w:before="20" w:after="20"/>
              <w:jc w:val="center"/>
            </w:pPr>
            <w:r>
              <w:rPr>
                <w:b/>
                <w:bCs/>
                <w:sz w:val="18"/>
                <w:szCs w:val="18"/>
              </w:rPr>
              <w:t>4%</w:t>
            </w:r>
          </w:p>
        </w:tc>
      </w:tr>
      <w:tr w:rsidR="00990B14" w14:paraId="6097AB72" w14:textId="77777777">
        <w:trPr>
          <w:cantSplit/>
          <w:jc w:val="center"/>
        </w:trPr>
        <w:tc>
          <w:tcPr>
            <w:tcW w:w="1850" w:type="dxa"/>
            <w:vMerge/>
            <w:shd w:val="clear" w:color="auto" w:fill="4472C4"/>
            <w:vAlign w:val="center"/>
          </w:tcPr>
          <w:p w14:paraId="0174458E" w14:textId="77777777" w:rsidR="00990B14" w:rsidRDefault="00990B14">
            <w:pPr>
              <w:spacing w:before="20" w:after="20"/>
            </w:pPr>
          </w:p>
        </w:tc>
        <w:tc>
          <w:tcPr>
            <w:tcW w:w="1910" w:type="dxa"/>
            <w:shd w:val="clear" w:color="auto" w:fill="4472C4"/>
            <w:vAlign w:val="center"/>
          </w:tcPr>
          <w:p w14:paraId="649CFD86"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75B6EC92" w14:textId="77777777" w:rsidR="00990B14" w:rsidRDefault="00000000">
            <w:pPr>
              <w:keepNext/>
              <w:spacing w:before="20" w:after="20"/>
              <w:jc w:val="center"/>
            </w:pPr>
            <w:r>
              <w:rPr>
                <w:b/>
                <w:bCs/>
                <w:i/>
                <w:iCs/>
                <w:color w:val="FFFFFF"/>
                <w:sz w:val="18"/>
                <w:szCs w:val="18"/>
              </w:rPr>
              <w:t>Insuficiente (1–50)</w:t>
            </w:r>
          </w:p>
        </w:tc>
        <w:tc>
          <w:tcPr>
            <w:tcW w:w="1867" w:type="dxa"/>
            <w:shd w:val="clear" w:color="auto" w:fill="4472C4"/>
            <w:vAlign w:val="center"/>
          </w:tcPr>
          <w:p w14:paraId="059EA21E" w14:textId="77777777" w:rsidR="00990B14" w:rsidRDefault="00000000">
            <w:pPr>
              <w:keepNext/>
              <w:spacing w:before="20" w:after="20"/>
              <w:jc w:val="center"/>
            </w:pPr>
            <w:r>
              <w:rPr>
                <w:b/>
                <w:bCs/>
                <w:i/>
                <w:iCs/>
                <w:color w:val="FFFFFF"/>
                <w:sz w:val="18"/>
                <w:szCs w:val="18"/>
              </w:rPr>
              <w:t>Suficiente (51–80)</w:t>
            </w:r>
          </w:p>
        </w:tc>
        <w:tc>
          <w:tcPr>
            <w:tcW w:w="1868" w:type="dxa"/>
            <w:shd w:val="clear" w:color="auto" w:fill="4472C4"/>
            <w:vAlign w:val="center"/>
          </w:tcPr>
          <w:p w14:paraId="31BDFCCA" w14:textId="77777777" w:rsidR="00990B14" w:rsidRDefault="00000000">
            <w:pPr>
              <w:keepNext/>
              <w:spacing w:before="20" w:after="20"/>
              <w:jc w:val="center"/>
            </w:pPr>
            <w:r>
              <w:rPr>
                <w:b/>
                <w:bCs/>
                <w:i/>
                <w:iCs/>
                <w:color w:val="FFFFFF"/>
                <w:sz w:val="18"/>
                <w:szCs w:val="18"/>
              </w:rPr>
              <w:t>Destacado (81–100)</w:t>
            </w:r>
          </w:p>
        </w:tc>
      </w:tr>
      <w:tr w:rsidR="00990B14" w14:paraId="279C515A" w14:textId="77777777">
        <w:trPr>
          <w:cantSplit/>
          <w:jc w:val="center"/>
        </w:trPr>
        <w:tc>
          <w:tcPr>
            <w:tcW w:w="1850" w:type="dxa"/>
            <w:vMerge/>
            <w:shd w:val="clear" w:color="auto" w:fill="4472C4"/>
            <w:vAlign w:val="center"/>
          </w:tcPr>
          <w:p w14:paraId="35991AFE" w14:textId="77777777" w:rsidR="00990B14" w:rsidRDefault="00990B14">
            <w:pPr>
              <w:spacing w:before="20" w:after="20"/>
            </w:pPr>
          </w:p>
        </w:tc>
        <w:tc>
          <w:tcPr>
            <w:tcW w:w="1910" w:type="dxa"/>
            <w:shd w:val="clear" w:color="auto" w:fill="D9E2F3"/>
            <w:vAlign w:val="center"/>
          </w:tcPr>
          <w:p w14:paraId="4DAD4F4D" w14:textId="77777777" w:rsidR="00990B14" w:rsidRDefault="00000000">
            <w:pPr>
              <w:spacing w:before="20" w:after="20"/>
              <w:jc w:val="both"/>
            </w:pPr>
            <w:r>
              <w:rPr>
                <w:sz w:val="18"/>
                <w:szCs w:val="18"/>
              </w:rPr>
              <w:t>Costo efectivo</w:t>
            </w:r>
          </w:p>
        </w:tc>
        <w:tc>
          <w:tcPr>
            <w:tcW w:w="1910" w:type="dxa"/>
            <w:shd w:val="clear" w:color="auto" w:fill="D9E2F3"/>
            <w:vAlign w:val="center"/>
          </w:tcPr>
          <w:p w14:paraId="0CC80C53" w14:textId="77777777" w:rsidR="00990B14" w:rsidRDefault="00000000">
            <w:pPr>
              <w:spacing w:before="20" w:after="20"/>
              <w:jc w:val="both"/>
            </w:pPr>
            <w:r>
              <w:rPr>
                <w:sz w:val="18"/>
                <w:szCs w:val="18"/>
              </w:rPr>
              <w:t>Calcula con errores el costo efectivo.</w:t>
            </w:r>
          </w:p>
        </w:tc>
        <w:tc>
          <w:tcPr>
            <w:tcW w:w="1867" w:type="dxa"/>
            <w:shd w:val="clear" w:color="auto" w:fill="D9E2F3"/>
            <w:vAlign w:val="center"/>
          </w:tcPr>
          <w:p w14:paraId="718D8D56" w14:textId="77777777" w:rsidR="00990B14" w:rsidRDefault="00000000">
            <w:pPr>
              <w:spacing w:before="20" w:after="20"/>
              <w:jc w:val="both"/>
            </w:pPr>
            <w:r>
              <w:rPr>
                <w:sz w:val="18"/>
                <w:szCs w:val="18"/>
              </w:rPr>
              <w:t>Calcula el costo efectivo anual de cada fuente.</w:t>
            </w:r>
          </w:p>
        </w:tc>
        <w:tc>
          <w:tcPr>
            <w:tcW w:w="1868" w:type="dxa"/>
            <w:shd w:val="clear" w:color="auto" w:fill="D9E2F3"/>
            <w:vAlign w:val="center"/>
          </w:tcPr>
          <w:p w14:paraId="5E741D7E" w14:textId="77777777" w:rsidR="00990B14" w:rsidRDefault="00000000">
            <w:pPr>
              <w:spacing w:before="20" w:after="20"/>
              <w:jc w:val="both"/>
            </w:pPr>
            <w:r>
              <w:rPr>
                <w:sz w:val="18"/>
                <w:szCs w:val="18"/>
              </w:rPr>
              <w:t>Incorpora comisiones y saldos compensatorios.</w:t>
            </w:r>
          </w:p>
        </w:tc>
      </w:tr>
      <w:tr w:rsidR="00990B14" w14:paraId="7F2DE5D5" w14:textId="77777777">
        <w:trPr>
          <w:cantSplit/>
          <w:jc w:val="center"/>
        </w:trPr>
        <w:tc>
          <w:tcPr>
            <w:tcW w:w="1850" w:type="dxa"/>
            <w:vMerge/>
            <w:shd w:val="clear" w:color="auto" w:fill="4472C4"/>
            <w:vAlign w:val="center"/>
          </w:tcPr>
          <w:p w14:paraId="32E9B6B9" w14:textId="77777777" w:rsidR="00990B14" w:rsidRDefault="00990B14">
            <w:pPr>
              <w:spacing w:before="20" w:after="20"/>
            </w:pPr>
          </w:p>
        </w:tc>
        <w:tc>
          <w:tcPr>
            <w:tcW w:w="1910" w:type="dxa"/>
            <w:shd w:val="clear" w:color="auto" w:fill="D9E2F3"/>
            <w:vAlign w:val="center"/>
          </w:tcPr>
          <w:p w14:paraId="4B13A68E" w14:textId="77777777" w:rsidR="00990B14" w:rsidRDefault="00000000">
            <w:pPr>
              <w:spacing w:before="20" w:after="20"/>
              <w:jc w:val="both"/>
            </w:pPr>
            <w:r>
              <w:rPr>
                <w:sz w:val="18"/>
                <w:szCs w:val="18"/>
              </w:rPr>
              <w:t>Condiciones y garantías</w:t>
            </w:r>
          </w:p>
        </w:tc>
        <w:tc>
          <w:tcPr>
            <w:tcW w:w="1910" w:type="dxa"/>
            <w:shd w:val="clear" w:color="auto" w:fill="D9E2F3"/>
            <w:vAlign w:val="center"/>
          </w:tcPr>
          <w:p w14:paraId="4BE97D23" w14:textId="77777777" w:rsidR="00990B14" w:rsidRDefault="00000000">
            <w:pPr>
              <w:spacing w:before="20" w:after="20"/>
              <w:jc w:val="both"/>
            </w:pPr>
            <w:r>
              <w:rPr>
                <w:sz w:val="18"/>
                <w:szCs w:val="18"/>
              </w:rPr>
              <w:t>Omite condiciones relevantes.</w:t>
            </w:r>
          </w:p>
        </w:tc>
        <w:tc>
          <w:tcPr>
            <w:tcW w:w="1867" w:type="dxa"/>
            <w:shd w:val="clear" w:color="auto" w:fill="D9E2F3"/>
            <w:vAlign w:val="center"/>
          </w:tcPr>
          <w:p w14:paraId="5772829A" w14:textId="77777777" w:rsidR="00990B14" w:rsidRDefault="00000000">
            <w:pPr>
              <w:spacing w:before="20" w:after="20"/>
              <w:jc w:val="both"/>
            </w:pPr>
            <w:r>
              <w:rPr>
                <w:sz w:val="18"/>
                <w:szCs w:val="18"/>
              </w:rPr>
              <w:t>Compara plazos, garantías y requisitos.</w:t>
            </w:r>
          </w:p>
        </w:tc>
        <w:tc>
          <w:tcPr>
            <w:tcW w:w="1868" w:type="dxa"/>
            <w:shd w:val="clear" w:color="auto" w:fill="D9E2F3"/>
            <w:vAlign w:val="center"/>
          </w:tcPr>
          <w:p w14:paraId="5F093472" w14:textId="77777777" w:rsidR="00990B14" w:rsidRDefault="00000000">
            <w:pPr>
              <w:spacing w:before="20" w:after="20"/>
              <w:jc w:val="both"/>
            </w:pPr>
            <w:r>
              <w:rPr>
                <w:sz w:val="18"/>
                <w:szCs w:val="18"/>
              </w:rPr>
              <w:t>Evalúa el factoraje y el descuento de documentos.</w:t>
            </w:r>
          </w:p>
        </w:tc>
      </w:tr>
      <w:tr w:rsidR="00990B14" w14:paraId="29152E82" w14:textId="77777777">
        <w:trPr>
          <w:cantSplit/>
          <w:jc w:val="center"/>
        </w:trPr>
        <w:tc>
          <w:tcPr>
            <w:tcW w:w="1850" w:type="dxa"/>
            <w:vMerge/>
            <w:shd w:val="clear" w:color="auto" w:fill="4472C4"/>
            <w:vAlign w:val="center"/>
          </w:tcPr>
          <w:p w14:paraId="1ED71637" w14:textId="77777777" w:rsidR="00990B14" w:rsidRDefault="00990B14">
            <w:pPr>
              <w:spacing w:before="20" w:after="20"/>
            </w:pPr>
          </w:p>
        </w:tc>
        <w:tc>
          <w:tcPr>
            <w:tcW w:w="1910" w:type="dxa"/>
            <w:shd w:val="clear" w:color="auto" w:fill="D9E2F3"/>
            <w:vAlign w:val="center"/>
          </w:tcPr>
          <w:p w14:paraId="3C7BFCF2" w14:textId="77777777" w:rsidR="00990B14" w:rsidRDefault="00000000">
            <w:pPr>
              <w:spacing w:before="20" w:after="20"/>
              <w:jc w:val="both"/>
            </w:pPr>
            <w:r>
              <w:rPr>
                <w:sz w:val="18"/>
                <w:szCs w:val="18"/>
              </w:rPr>
              <w:t>Trabajo en equipo</w:t>
            </w:r>
          </w:p>
        </w:tc>
        <w:tc>
          <w:tcPr>
            <w:tcW w:w="1910" w:type="dxa"/>
            <w:shd w:val="clear" w:color="auto" w:fill="D9E2F3"/>
            <w:vAlign w:val="center"/>
          </w:tcPr>
          <w:p w14:paraId="7BA395E5" w14:textId="77777777" w:rsidR="00990B14" w:rsidRDefault="00000000">
            <w:pPr>
              <w:spacing w:before="20" w:after="20"/>
              <w:jc w:val="both"/>
            </w:pPr>
            <w:r>
              <w:rPr>
                <w:sz w:val="18"/>
                <w:szCs w:val="18"/>
              </w:rPr>
              <w:t>La participación es desigual.</w:t>
            </w:r>
          </w:p>
        </w:tc>
        <w:tc>
          <w:tcPr>
            <w:tcW w:w="1867" w:type="dxa"/>
            <w:shd w:val="clear" w:color="auto" w:fill="D9E2F3"/>
            <w:vAlign w:val="center"/>
          </w:tcPr>
          <w:p w14:paraId="4DBA650E" w14:textId="77777777" w:rsidR="00990B14" w:rsidRDefault="00000000">
            <w:pPr>
              <w:spacing w:before="20" w:after="20"/>
              <w:jc w:val="both"/>
            </w:pPr>
            <w:r>
              <w:rPr>
                <w:sz w:val="18"/>
                <w:szCs w:val="18"/>
              </w:rPr>
              <w:t>Todos los integrantes participan.</w:t>
            </w:r>
          </w:p>
        </w:tc>
        <w:tc>
          <w:tcPr>
            <w:tcW w:w="1868" w:type="dxa"/>
            <w:shd w:val="clear" w:color="auto" w:fill="D9E2F3"/>
            <w:vAlign w:val="center"/>
          </w:tcPr>
          <w:p w14:paraId="02C3B576" w14:textId="77777777" w:rsidR="00990B14" w:rsidRDefault="00000000">
            <w:pPr>
              <w:spacing w:before="20" w:after="20"/>
              <w:jc w:val="both"/>
            </w:pPr>
            <w:r>
              <w:rPr>
                <w:sz w:val="18"/>
                <w:szCs w:val="18"/>
              </w:rPr>
              <w:t>El equipo sustenta sus conclusiones ante el curso.</w:t>
            </w:r>
          </w:p>
        </w:tc>
      </w:tr>
      <w:tr w:rsidR="00990B14" w14:paraId="1CDCE7F5" w14:textId="77777777">
        <w:trPr>
          <w:cantSplit/>
          <w:jc w:val="center"/>
        </w:trPr>
        <w:tc>
          <w:tcPr>
            <w:tcW w:w="1850" w:type="dxa"/>
            <w:vMerge/>
            <w:shd w:val="clear" w:color="auto" w:fill="4472C4"/>
            <w:vAlign w:val="center"/>
          </w:tcPr>
          <w:p w14:paraId="2CA60560" w14:textId="77777777" w:rsidR="00990B14" w:rsidRDefault="00990B14">
            <w:pPr>
              <w:spacing w:before="20" w:after="20"/>
            </w:pPr>
          </w:p>
        </w:tc>
        <w:tc>
          <w:tcPr>
            <w:tcW w:w="5687" w:type="dxa"/>
            <w:gridSpan w:val="3"/>
            <w:shd w:val="clear" w:color="auto" w:fill="D9E2F3"/>
            <w:vAlign w:val="center"/>
          </w:tcPr>
          <w:p w14:paraId="7828FDAD" w14:textId="77777777" w:rsidR="00990B14" w:rsidRDefault="00000000">
            <w:pPr>
              <w:keepNext/>
              <w:spacing w:before="20" w:after="20"/>
              <w:jc w:val="both"/>
            </w:pPr>
            <w:r>
              <w:rPr>
                <w:b/>
                <w:bCs/>
                <w:i/>
                <w:iCs/>
                <w:sz w:val="18"/>
                <w:szCs w:val="18"/>
              </w:rPr>
              <w:t xml:space="preserve">Producto 13: </w:t>
            </w:r>
            <w:r>
              <w:rPr>
                <w:sz w:val="18"/>
                <w:szCs w:val="18"/>
              </w:rPr>
              <w:t>Modelo de valor del dinero en el tiempo y de riesgo y rendimiento de una cartera</w:t>
            </w:r>
          </w:p>
        </w:tc>
        <w:tc>
          <w:tcPr>
            <w:tcW w:w="1868" w:type="dxa"/>
            <w:shd w:val="clear" w:color="auto" w:fill="D9E2F3"/>
            <w:vAlign w:val="center"/>
          </w:tcPr>
          <w:p w14:paraId="5798D2D4" w14:textId="77777777" w:rsidR="00990B14" w:rsidRDefault="00000000">
            <w:pPr>
              <w:spacing w:before="20" w:after="20"/>
              <w:jc w:val="center"/>
            </w:pPr>
            <w:r>
              <w:rPr>
                <w:b/>
                <w:bCs/>
                <w:sz w:val="18"/>
                <w:szCs w:val="18"/>
              </w:rPr>
              <w:t>10%</w:t>
            </w:r>
          </w:p>
        </w:tc>
      </w:tr>
      <w:tr w:rsidR="00990B14" w14:paraId="3365B3C8" w14:textId="77777777">
        <w:trPr>
          <w:cantSplit/>
          <w:jc w:val="center"/>
        </w:trPr>
        <w:tc>
          <w:tcPr>
            <w:tcW w:w="1850" w:type="dxa"/>
            <w:vMerge/>
            <w:shd w:val="clear" w:color="auto" w:fill="4472C4"/>
            <w:vAlign w:val="center"/>
          </w:tcPr>
          <w:p w14:paraId="61BB6CC8" w14:textId="77777777" w:rsidR="00990B14" w:rsidRDefault="00990B14">
            <w:pPr>
              <w:spacing w:before="20" w:after="20"/>
            </w:pPr>
          </w:p>
        </w:tc>
        <w:tc>
          <w:tcPr>
            <w:tcW w:w="1910" w:type="dxa"/>
            <w:shd w:val="clear" w:color="auto" w:fill="4472C4"/>
            <w:vAlign w:val="center"/>
          </w:tcPr>
          <w:p w14:paraId="6E491922"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05561D73" w14:textId="77777777" w:rsidR="00990B14" w:rsidRDefault="00000000">
            <w:pPr>
              <w:keepNext/>
              <w:spacing w:before="20" w:after="20"/>
              <w:jc w:val="center"/>
            </w:pPr>
            <w:r>
              <w:rPr>
                <w:b/>
                <w:bCs/>
                <w:i/>
                <w:iCs/>
                <w:color w:val="FFFFFF"/>
                <w:sz w:val="18"/>
                <w:szCs w:val="18"/>
              </w:rPr>
              <w:t>Insuficiente (1–50)</w:t>
            </w:r>
          </w:p>
        </w:tc>
        <w:tc>
          <w:tcPr>
            <w:tcW w:w="1867" w:type="dxa"/>
            <w:shd w:val="clear" w:color="auto" w:fill="4472C4"/>
            <w:vAlign w:val="center"/>
          </w:tcPr>
          <w:p w14:paraId="53B46E10" w14:textId="77777777" w:rsidR="00990B14" w:rsidRDefault="00000000">
            <w:pPr>
              <w:keepNext/>
              <w:spacing w:before="20" w:after="20"/>
              <w:jc w:val="center"/>
            </w:pPr>
            <w:r>
              <w:rPr>
                <w:b/>
                <w:bCs/>
                <w:i/>
                <w:iCs/>
                <w:color w:val="FFFFFF"/>
                <w:sz w:val="18"/>
                <w:szCs w:val="18"/>
              </w:rPr>
              <w:t>Suficiente (51–80)</w:t>
            </w:r>
          </w:p>
        </w:tc>
        <w:tc>
          <w:tcPr>
            <w:tcW w:w="1868" w:type="dxa"/>
            <w:shd w:val="clear" w:color="auto" w:fill="4472C4"/>
            <w:vAlign w:val="center"/>
          </w:tcPr>
          <w:p w14:paraId="4BEF38DF" w14:textId="77777777" w:rsidR="00990B14" w:rsidRDefault="00000000">
            <w:pPr>
              <w:keepNext/>
              <w:spacing w:before="20" w:after="20"/>
              <w:jc w:val="center"/>
            </w:pPr>
            <w:r>
              <w:rPr>
                <w:b/>
                <w:bCs/>
                <w:i/>
                <w:iCs/>
                <w:color w:val="FFFFFF"/>
                <w:sz w:val="18"/>
                <w:szCs w:val="18"/>
              </w:rPr>
              <w:t>Destacado (81–100)</w:t>
            </w:r>
          </w:p>
        </w:tc>
      </w:tr>
      <w:tr w:rsidR="00990B14" w14:paraId="144028CD" w14:textId="77777777">
        <w:trPr>
          <w:cantSplit/>
          <w:jc w:val="center"/>
        </w:trPr>
        <w:tc>
          <w:tcPr>
            <w:tcW w:w="1850" w:type="dxa"/>
            <w:vMerge/>
            <w:shd w:val="clear" w:color="auto" w:fill="4472C4"/>
            <w:vAlign w:val="center"/>
          </w:tcPr>
          <w:p w14:paraId="5FAEC14B" w14:textId="77777777" w:rsidR="00990B14" w:rsidRDefault="00990B14">
            <w:pPr>
              <w:spacing w:before="20" w:after="20"/>
            </w:pPr>
          </w:p>
        </w:tc>
        <w:tc>
          <w:tcPr>
            <w:tcW w:w="1910" w:type="dxa"/>
            <w:shd w:val="clear" w:color="auto" w:fill="D9E2F3"/>
            <w:vAlign w:val="center"/>
          </w:tcPr>
          <w:p w14:paraId="4E3A3895" w14:textId="77777777" w:rsidR="00990B14" w:rsidRDefault="00000000">
            <w:pPr>
              <w:spacing w:before="20" w:after="20"/>
              <w:jc w:val="both"/>
            </w:pPr>
            <w:r>
              <w:rPr>
                <w:sz w:val="18"/>
                <w:szCs w:val="18"/>
              </w:rPr>
              <w:t>Valor del dinero y tasas</w:t>
            </w:r>
          </w:p>
        </w:tc>
        <w:tc>
          <w:tcPr>
            <w:tcW w:w="1910" w:type="dxa"/>
            <w:shd w:val="clear" w:color="auto" w:fill="D9E2F3"/>
            <w:vAlign w:val="center"/>
          </w:tcPr>
          <w:p w14:paraId="2A9979E8" w14:textId="77777777" w:rsidR="00990B14" w:rsidRDefault="00000000">
            <w:pPr>
              <w:spacing w:before="20" w:after="20"/>
              <w:jc w:val="both"/>
            </w:pPr>
            <w:r>
              <w:rPr>
                <w:sz w:val="18"/>
                <w:szCs w:val="18"/>
              </w:rPr>
              <w:t>Confunde las tasas o aplica fórmulas inadecuadas.</w:t>
            </w:r>
          </w:p>
        </w:tc>
        <w:tc>
          <w:tcPr>
            <w:tcW w:w="1867" w:type="dxa"/>
            <w:shd w:val="clear" w:color="auto" w:fill="D9E2F3"/>
            <w:vAlign w:val="center"/>
          </w:tcPr>
          <w:p w14:paraId="5CE68196" w14:textId="77777777" w:rsidR="00990B14" w:rsidRDefault="00000000">
            <w:pPr>
              <w:spacing w:before="20" w:after="20"/>
              <w:jc w:val="both"/>
            </w:pPr>
            <w:r>
              <w:rPr>
                <w:sz w:val="18"/>
                <w:szCs w:val="18"/>
              </w:rPr>
              <w:t>Calcula montos únicos, anualidades y series combinadas con la tasa real.</w:t>
            </w:r>
          </w:p>
        </w:tc>
        <w:tc>
          <w:tcPr>
            <w:tcW w:w="1868" w:type="dxa"/>
            <w:shd w:val="clear" w:color="auto" w:fill="D9E2F3"/>
            <w:vAlign w:val="center"/>
          </w:tcPr>
          <w:p w14:paraId="12063C33" w14:textId="77777777" w:rsidR="00990B14" w:rsidRDefault="00000000">
            <w:pPr>
              <w:spacing w:before="20" w:after="20"/>
              <w:jc w:val="both"/>
            </w:pPr>
            <w:r>
              <w:rPr>
                <w:sz w:val="18"/>
                <w:szCs w:val="18"/>
              </w:rPr>
              <w:t>Verifica los resultados con funciones financieras.</w:t>
            </w:r>
          </w:p>
        </w:tc>
      </w:tr>
      <w:tr w:rsidR="00990B14" w14:paraId="0C58B66F" w14:textId="77777777">
        <w:trPr>
          <w:cantSplit/>
          <w:jc w:val="center"/>
        </w:trPr>
        <w:tc>
          <w:tcPr>
            <w:tcW w:w="1850" w:type="dxa"/>
            <w:vMerge/>
            <w:shd w:val="clear" w:color="auto" w:fill="4472C4"/>
            <w:vAlign w:val="center"/>
          </w:tcPr>
          <w:p w14:paraId="7C6A03C1" w14:textId="77777777" w:rsidR="00990B14" w:rsidRDefault="00990B14">
            <w:pPr>
              <w:spacing w:before="20" w:after="20"/>
            </w:pPr>
          </w:p>
        </w:tc>
        <w:tc>
          <w:tcPr>
            <w:tcW w:w="1910" w:type="dxa"/>
            <w:shd w:val="clear" w:color="auto" w:fill="D9E2F3"/>
            <w:vAlign w:val="center"/>
          </w:tcPr>
          <w:p w14:paraId="0A1F07AA" w14:textId="77777777" w:rsidR="00990B14" w:rsidRDefault="00000000">
            <w:pPr>
              <w:spacing w:before="20" w:after="20"/>
              <w:jc w:val="both"/>
            </w:pPr>
            <w:r>
              <w:rPr>
                <w:sz w:val="18"/>
                <w:szCs w:val="18"/>
              </w:rPr>
              <w:t>Riesgo y rendimiento</w:t>
            </w:r>
          </w:p>
        </w:tc>
        <w:tc>
          <w:tcPr>
            <w:tcW w:w="1910" w:type="dxa"/>
            <w:shd w:val="clear" w:color="auto" w:fill="D9E2F3"/>
            <w:vAlign w:val="center"/>
          </w:tcPr>
          <w:p w14:paraId="6375C4AB" w14:textId="77777777" w:rsidR="00990B14" w:rsidRDefault="00000000">
            <w:pPr>
              <w:spacing w:before="20" w:after="20"/>
              <w:jc w:val="both"/>
            </w:pPr>
            <w:r>
              <w:rPr>
                <w:sz w:val="18"/>
                <w:szCs w:val="18"/>
              </w:rPr>
              <w:t>Calcula con errores las medidas o ignora la correlación.</w:t>
            </w:r>
          </w:p>
        </w:tc>
        <w:tc>
          <w:tcPr>
            <w:tcW w:w="1867" w:type="dxa"/>
            <w:shd w:val="clear" w:color="auto" w:fill="D9E2F3"/>
            <w:vAlign w:val="center"/>
          </w:tcPr>
          <w:p w14:paraId="3806D200" w14:textId="77777777" w:rsidR="00990B14" w:rsidRDefault="00000000">
            <w:pPr>
              <w:spacing w:before="20" w:after="20"/>
              <w:jc w:val="both"/>
            </w:pPr>
            <w:r>
              <w:rPr>
                <w:sz w:val="18"/>
                <w:szCs w:val="18"/>
              </w:rPr>
              <w:t>Calcula el rendimiento esperado y el riesgo de la cartera con su correlación.</w:t>
            </w:r>
          </w:p>
        </w:tc>
        <w:tc>
          <w:tcPr>
            <w:tcW w:w="1868" w:type="dxa"/>
            <w:shd w:val="clear" w:color="auto" w:fill="D9E2F3"/>
            <w:vAlign w:val="center"/>
          </w:tcPr>
          <w:p w14:paraId="78B329D5" w14:textId="77777777" w:rsidR="00990B14" w:rsidRDefault="00000000">
            <w:pPr>
              <w:spacing w:before="20" w:after="20"/>
              <w:jc w:val="both"/>
            </w:pPr>
            <w:r>
              <w:rPr>
                <w:sz w:val="18"/>
                <w:szCs w:val="18"/>
              </w:rPr>
              <w:t>Determina la combinación de menor riesgo.</w:t>
            </w:r>
          </w:p>
        </w:tc>
      </w:tr>
      <w:tr w:rsidR="00990B14" w14:paraId="68E406B4" w14:textId="77777777">
        <w:trPr>
          <w:cantSplit/>
          <w:jc w:val="center"/>
        </w:trPr>
        <w:tc>
          <w:tcPr>
            <w:tcW w:w="1850" w:type="dxa"/>
            <w:vMerge/>
            <w:shd w:val="clear" w:color="auto" w:fill="4472C4"/>
            <w:vAlign w:val="center"/>
          </w:tcPr>
          <w:p w14:paraId="425B8316" w14:textId="77777777" w:rsidR="00990B14" w:rsidRDefault="00990B14">
            <w:pPr>
              <w:spacing w:before="20" w:after="20"/>
            </w:pPr>
          </w:p>
        </w:tc>
        <w:tc>
          <w:tcPr>
            <w:tcW w:w="1910" w:type="dxa"/>
            <w:shd w:val="clear" w:color="auto" w:fill="D9E2F3"/>
            <w:vAlign w:val="center"/>
          </w:tcPr>
          <w:p w14:paraId="4BC0B6C3" w14:textId="77777777" w:rsidR="00990B14" w:rsidRDefault="00000000">
            <w:pPr>
              <w:spacing w:before="20" w:after="20"/>
              <w:jc w:val="both"/>
            </w:pPr>
            <w:r>
              <w:rPr>
                <w:sz w:val="18"/>
                <w:szCs w:val="18"/>
              </w:rPr>
              <w:t>Modelo de valoración de activos</w:t>
            </w:r>
          </w:p>
        </w:tc>
        <w:tc>
          <w:tcPr>
            <w:tcW w:w="1910" w:type="dxa"/>
            <w:shd w:val="clear" w:color="auto" w:fill="D9E2F3"/>
            <w:vAlign w:val="center"/>
          </w:tcPr>
          <w:p w14:paraId="3B303387" w14:textId="77777777" w:rsidR="00990B14" w:rsidRDefault="00000000">
            <w:pPr>
              <w:spacing w:before="20" w:after="20"/>
              <w:jc w:val="both"/>
            </w:pPr>
            <w:r>
              <w:rPr>
                <w:sz w:val="18"/>
                <w:szCs w:val="18"/>
              </w:rPr>
              <w:t>No aplica el coeficiente beta.</w:t>
            </w:r>
          </w:p>
        </w:tc>
        <w:tc>
          <w:tcPr>
            <w:tcW w:w="1867" w:type="dxa"/>
            <w:shd w:val="clear" w:color="auto" w:fill="D9E2F3"/>
            <w:vAlign w:val="center"/>
          </w:tcPr>
          <w:p w14:paraId="43358FF8" w14:textId="77777777" w:rsidR="00990B14" w:rsidRDefault="00000000">
            <w:pPr>
              <w:spacing w:before="20" w:after="20"/>
              <w:jc w:val="both"/>
            </w:pPr>
            <w:r>
              <w:rPr>
                <w:sz w:val="18"/>
                <w:szCs w:val="18"/>
              </w:rPr>
              <w:t>Calcula el rendimiento requerido con el coeficiente beta.</w:t>
            </w:r>
          </w:p>
        </w:tc>
        <w:tc>
          <w:tcPr>
            <w:tcW w:w="1868" w:type="dxa"/>
            <w:shd w:val="clear" w:color="auto" w:fill="D9E2F3"/>
            <w:vAlign w:val="center"/>
          </w:tcPr>
          <w:p w14:paraId="78E0F355" w14:textId="77777777" w:rsidR="00990B14" w:rsidRDefault="00000000">
            <w:pPr>
              <w:spacing w:before="20" w:after="20"/>
              <w:jc w:val="both"/>
            </w:pPr>
            <w:r>
              <w:rPr>
                <w:sz w:val="18"/>
                <w:szCs w:val="18"/>
              </w:rPr>
              <w:t>Distingue el riesgo sistemático del específico.</w:t>
            </w:r>
          </w:p>
        </w:tc>
      </w:tr>
      <w:tr w:rsidR="00990B14" w14:paraId="73D62929" w14:textId="77777777">
        <w:trPr>
          <w:cantSplit/>
          <w:jc w:val="center"/>
        </w:trPr>
        <w:tc>
          <w:tcPr>
            <w:tcW w:w="1850" w:type="dxa"/>
            <w:vMerge/>
            <w:shd w:val="clear" w:color="auto" w:fill="4472C4"/>
            <w:vAlign w:val="center"/>
          </w:tcPr>
          <w:p w14:paraId="0EE206ED" w14:textId="77777777" w:rsidR="00990B14" w:rsidRDefault="00990B14">
            <w:pPr>
              <w:spacing w:before="20" w:after="20"/>
            </w:pPr>
          </w:p>
        </w:tc>
        <w:tc>
          <w:tcPr>
            <w:tcW w:w="5687" w:type="dxa"/>
            <w:gridSpan w:val="3"/>
            <w:shd w:val="clear" w:color="auto" w:fill="D9E2F3"/>
            <w:vAlign w:val="center"/>
          </w:tcPr>
          <w:p w14:paraId="10307C48" w14:textId="77777777" w:rsidR="00990B14" w:rsidRDefault="00000000">
            <w:pPr>
              <w:keepNext/>
              <w:spacing w:before="20" w:after="20"/>
              <w:jc w:val="both"/>
            </w:pPr>
            <w:r>
              <w:rPr>
                <w:b/>
                <w:bCs/>
                <w:i/>
                <w:iCs/>
                <w:sz w:val="18"/>
                <w:szCs w:val="18"/>
              </w:rPr>
              <w:t xml:space="preserve">Producto 14: </w:t>
            </w:r>
            <w:r>
              <w:rPr>
                <w:sz w:val="18"/>
                <w:szCs w:val="18"/>
              </w:rPr>
              <w:t>Informe de valuación de los bonos y las acciones de la empresa con la estructura de su emisión</w:t>
            </w:r>
          </w:p>
        </w:tc>
        <w:tc>
          <w:tcPr>
            <w:tcW w:w="1868" w:type="dxa"/>
            <w:shd w:val="clear" w:color="auto" w:fill="D9E2F3"/>
            <w:vAlign w:val="center"/>
          </w:tcPr>
          <w:p w14:paraId="2F1C82E4" w14:textId="77777777" w:rsidR="00990B14" w:rsidRDefault="00000000">
            <w:pPr>
              <w:spacing w:before="20" w:after="20"/>
              <w:jc w:val="center"/>
            </w:pPr>
            <w:r>
              <w:rPr>
                <w:b/>
                <w:bCs/>
                <w:sz w:val="18"/>
                <w:szCs w:val="18"/>
              </w:rPr>
              <w:t>10%</w:t>
            </w:r>
          </w:p>
        </w:tc>
      </w:tr>
      <w:tr w:rsidR="00990B14" w14:paraId="5D741BF2" w14:textId="77777777">
        <w:trPr>
          <w:cantSplit/>
          <w:jc w:val="center"/>
        </w:trPr>
        <w:tc>
          <w:tcPr>
            <w:tcW w:w="1850" w:type="dxa"/>
            <w:vMerge/>
            <w:shd w:val="clear" w:color="auto" w:fill="4472C4"/>
            <w:vAlign w:val="center"/>
          </w:tcPr>
          <w:p w14:paraId="79F5FCE8" w14:textId="77777777" w:rsidR="00990B14" w:rsidRDefault="00990B14">
            <w:pPr>
              <w:spacing w:before="20" w:after="20"/>
            </w:pPr>
          </w:p>
        </w:tc>
        <w:tc>
          <w:tcPr>
            <w:tcW w:w="1910" w:type="dxa"/>
            <w:shd w:val="clear" w:color="auto" w:fill="4472C4"/>
            <w:vAlign w:val="center"/>
          </w:tcPr>
          <w:p w14:paraId="6CF44996"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72B802B0" w14:textId="77777777" w:rsidR="00990B14" w:rsidRDefault="00000000">
            <w:pPr>
              <w:keepNext/>
              <w:spacing w:before="20" w:after="20"/>
              <w:jc w:val="center"/>
            </w:pPr>
            <w:r>
              <w:rPr>
                <w:b/>
                <w:bCs/>
                <w:i/>
                <w:iCs/>
                <w:color w:val="FFFFFF"/>
                <w:sz w:val="18"/>
                <w:szCs w:val="18"/>
              </w:rPr>
              <w:t>Insuficiente (1–50)</w:t>
            </w:r>
          </w:p>
        </w:tc>
        <w:tc>
          <w:tcPr>
            <w:tcW w:w="1867" w:type="dxa"/>
            <w:shd w:val="clear" w:color="auto" w:fill="4472C4"/>
            <w:vAlign w:val="center"/>
          </w:tcPr>
          <w:p w14:paraId="184C1C3E" w14:textId="77777777" w:rsidR="00990B14" w:rsidRDefault="00000000">
            <w:pPr>
              <w:keepNext/>
              <w:spacing w:before="20" w:after="20"/>
              <w:jc w:val="center"/>
            </w:pPr>
            <w:r>
              <w:rPr>
                <w:b/>
                <w:bCs/>
                <w:i/>
                <w:iCs/>
                <w:color w:val="FFFFFF"/>
                <w:sz w:val="18"/>
                <w:szCs w:val="18"/>
              </w:rPr>
              <w:t>Suficiente (51–80)</w:t>
            </w:r>
          </w:p>
        </w:tc>
        <w:tc>
          <w:tcPr>
            <w:tcW w:w="1868" w:type="dxa"/>
            <w:shd w:val="clear" w:color="auto" w:fill="4472C4"/>
            <w:vAlign w:val="center"/>
          </w:tcPr>
          <w:p w14:paraId="3AE42534" w14:textId="77777777" w:rsidR="00990B14" w:rsidRDefault="00000000">
            <w:pPr>
              <w:keepNext/>
              <w:spacing w:before="20" w:after="20"/>
              <w:jc w:val="center"/>
            </w:pPr>
            <w:r>
              <w:rPr>
                <w:b/>
                <w:bCs/>
                <w:i/>
                <w:iCs/>
                <w:color w:val="FFFFFF"/>
                <w:sz w:val="18"/>
                <w:szCs w:val="18"/>
              </w:rPr>
              <w:t>Destacado (81–100)</w:t>
            </w:r>
          </w:p>
        </w:tc>
      </w:tr>
      <w:tr w:rsidR="00990B14" w14:paraId="53B26454" w14:textId="77777777">
        <w:trPr>
          <w:cantSplit/>
          <w:jc w:val="center"/>
        </w:trPr>
        <w:tc>
          <w:tcPr>
            <w:tcW w:w="1850" w:type="dxa"/>
            <w:vMerge/>
            <w:shd w:val="clear" w:color="auto" w:fill="4472C4"/>
            <w:vAlign w:val="center"/>
          </w:tcPr>
          <w:p w14:paraId="4A610DDF" w14:textId="77777777" w:rsidR="00990B14" w:rsidRDefault="00990B14">
            <w:pPr>
              <w:spacing w:before="20" w:after="20"/>
            </w:pPr>
          </w:p>
        </w:tc>
        <w:tc>
          <w:tcPr>
            <w:tcW w:w="1910" w:type="dxa"/>
            <w:shd w:val="clear" w:color="auto" w:fill="D9E2F3"/>
            <w:vAlign w:val="center"/>
          </w:tcPr>
          <w:p w14:paraId="085E00A0" w14:textId="77777777" w:rsidR="00990B14" w:rsidRDefault="00000000">
            <w:pPr>
              <w:spacing w:before="20" w:after="20"/>
              <w:jc w:val="both"/>
            </w:pPr>
            <w:r>
              <w:rPr>
                <w:sz w:val="18"/>
                <w:szCs w:val="18"/>
              </w:rPr>
              <w:t>Valuación del bono</w:t>
            </w:r>
          </w:p>
        </w:tc>
        <w:tc>
          <w:tcPr>
            <w:tcW w:w="1910" w:type="dxa"/>
            <w:shd w:val="clear" w:color="auto" w:fill="D9E2F3"/>
            <w:vAlign w:val="center"/>
          </w:tcPr>
          <w:p w14:paraId="194AC116" w14:textId="77777777" w:rsidR="00990B14" w:rsidRDefault="00000000">
            <w:pPr>
              <w:spacing w:before="20" w:after="20"/>
              <w:jc w:val="both"/>
            </w:pPr>
            <w:r>
              <w:rPr>
                <w:sz w:val="18"/>
                <w:szCs w:val="18"/>
              </w:rPr>
              <w:t>Calcula con errores el precio.</w:t>
            </w:r>
          </w:p>
        </w:tc>
        <w:tc>
          <w:tcPr>
            <w:tcW w:w="1867" w:type="dxa"/>
            <w:shd w:val="clear" w:color="auto" w:fill="D9E2F3"/>
            <w:vAlign w:val="center"/>
          </w:tcPr>
          <w:p w14:paraId="63DE1CFE" w14:textId="77777777" w:rsidR="00990B14" w:rsidRDefault="00000000">
            <w:pPr>
              <w:spacing w:before="20" w:after="20"/>
              <w:jc w:val="both"/>
            </w:pPr>
            <w:r>
              <w:rPr>
                <w:sz w:val="18"/>
                <w:szCs w:val="18"/>
              </w:rPr>
              <w:t>Calcula el precio del bono con la tasa de mercado e interpreta su calificación.</w:t>
            </w:r>
          </w:p>
        </w:tc>
        <w:tc>
          <w:tcPr>
            <w:tcW w:w="1868" w:type="dxa"/>
            <w:shd w:val="clear" w:color="auto" w:fill="D9E2F3"/>
            <w:vAlign w:val="center"/>
          </w:tcPr>
          <w:p w14:paraId="5B0B185C" w14:textId="77777777" w:rsidR="00990B14" w:rsidRDefault="00000000">
            <w:pPr>
              <w:spacing w:before="20" w:after="20"/>
              <w:jc w:val="both"/>
            </w:pPr>
            <w:r>
              <w:rPr>
                <w:sz w:val="18"/>
                <w:szCs w:val="18"/>
              </w:rPr>
              <w:t>Calcula la duración y la sensibilidad del precio.</w:t>
            </w:r>
          </w:p>
        </w:tc>
      </w:tr>
      <w:tr w:rsidR="00990B14" w14:paraId="439AD4E2" w14:textId="77777777">
        <w:trPr>
          <w:cantSplit/>
          <w:jc w:val="center"/>
        </w:trPr>
        <w:tc>
          <w:tcPr>
            <w:tcW w:w="1850" w:type="dxa"/>
            <w:vMerge/>
            <w:shd w:val="clear" w:color="auto" w:fill="4472C4"/>
            <w:vAlign w:val="center"/>
          </w:tcPr>
          <w:p w14:paraId="7DBFBB5C" w14:textId="77777777" w:rsidR="00990B14" w:rsidRDefault="00990B14">
            <w:pPr>
              <w:spacing w:before="20" w:after="20"/>
            </w:pPr>
          </w:p>
        </w:tc>
        <w:tc>
          <w:tcPr>
            <w:tcW w:w="1910" w:type="dxa"/>
            <w:shd w:val="clear" w:color="auto" w:fill="D9E2F3"/>
            <w:vAlign w:val="center"/>
          </w:tcPr>
          <w:p w14:paraId="3F83B840" w14:textId="77777777" w:rsidR="00990B14" w:rsidRDefault="00000000">
            <w:pPr>
              <w:spacing w:before="20" w:after="20"/>
              <w:jc w:val="both"/>
            </w:pPr>
            <w:r>
              <w:rPr>
                <w:sz w:val="18"/>
                <w:szCs w:val="18"/>
              </w:rPr>
              <w:t>Valuación de la acción</w:t>
            </w:r>
          </w:p>
        </w:tc>
        <w:tc>
          <w:tcPr>
            <w:tcW w:w="1910" w:type="dxa"/>
            <w:shd w:val="clear" w:color="auto" w:fill="D9E2F3"/>
            <w:vAlign w:val="center"/>
          </w:tcPr>
          <w:p w14:paraId="3B404498" w14:textId="77777777" w:rsidR="00990B14" w:rsidRDefault="00000000">
            <w:pPr>
              <w:spacing w:before="20" w:after="20"/>
              <w:jc w:val="both"/>
            </w:pPr>
            <w:r>
              <w:rPr>
                <w:sz w:val="18"/>
                <w:szCs w:val="18"/>
              </w:rPr>
              <w:t>Aplica un modelo inadecuado.</w:t>
            </w:r>
          </w:p>
        </w:tc>
        <w:tc>
          <w:tcPr>
            <w:tcW w:w="1867" w:type="dxa"/>
            <w:shd w:val="clear" w:color="auto" w:fill="D9E2F3"/>
            <w:vAlign w:val="center"/>
          </w:tcPr>
          <w:p w14:paraId="2B9450CA" w14:textId="77777777" w:rsidR="00990B14" w:rsidRDefault="00000000">
            <w:pPr>
              <w:spacing w:before="20" w:after="20"/>
              <w:jc w:val="both"/>
            </w:pPr>
            <w:r>
              <w:rPr>
                <w:sz w:val="18"/>
                <w:szCs w:val="18"/>
              </w:rPr>
              <w:t>Valúa la acción ordinaria con un modelo pertinente.</w:t>
            </w:r>
          </w:p>
        </w:tc>
        <w:tc>
          <w:tcPr>
            <w:tcW w:w="1868" w:type="dxa"/>
            <w:shd w:val="clear" w:color="auto" w:fill="D9E2F3"/>
            <w:vAlign w:val="center"/>
          </w:tcPr>
          <w:p w14:paraId="73EC197D" w14:textId="77777777" w:rsidR="00990B14" w:rsidRDefault="00000000">
            <w:pPr>
              <w:spacing w:before="20" w:after="20"/>
              <w:jc w:val="both"/>
            </w:pPr>
            <w:r>
              <w:rPr>
                <w:sz w:val="18"/>
                <w:szCs w:val="18"/>
              </w:rPr>
              <w:t>Analiza la sensibilidad ante la tasa de crecimiento.</w:t>
            </w:r>
          </w:p>
        </w:tc>
      </w:tr>
      <w:tr w:rsidR="00990B14" w14:paraId="62E72A45" w14:textId="77777777">
        <w:trPr>
          <w:cantSplit/>
          <w:jc w:val="center"/>
        </w:trPr>
        <w:tc>
          <w:tcPr>
            <w:tcW w:w="1850" w:type="dxa"/>
            <w:vMerge/>
            <w:shd w:val="clear" w:color="auto" w:fill="4472C4"/>
            <w:vAlign w:val="center"/>
          </w:tcPr>
          <w:p w14:paraId="25E5C156" w14:textId="77777777" w:rsidR="00990B14" w:rsidRDefault="00990B14">
            <w:pPr>
              <w:spacing w:before="20" w:after="20"/>
            </w:pPr>
          </w:p>
        </w:tc>
        <w:tc>
          <w:tcPr>
            <w:tcW w:w="1910" w:type="dxa"/>
            <w:shd w:val="clear" w:color="auto" w:fill="D9E2F3"/>
            <w:vAlign w:val="center"/>
          </w:tcPr>
          <w:p w14:paraId="7A36D4E8" w14:textId="77777777" w:rsidR="00990B14" w:rsidRDefault="00000000">
            <w:pPr>
              <w:spacing w:before="20" w:after="20"/>
              <w:jc w:val="both"/>
            </w:pPr>
            <w:r>
              <w:rPr>
                <w:sz w:val="18"/>
                <w:szCs w:val="18"/>
              </w:rPr>
              <w:t>Estructura de la emisión</w:t>
            </w:r>
          </w:p>
        </w:tc>
        <w:tc>
          <w:tcPr>
            <w:tcW w:w="1910" w:type="dxa"/>
            <w:shd w:val="clear" w:color="auto" w:fill="D9E2F3"/>
            <w:vAlign w:val="center"/>
          </w:tcPr>
          <w:p w14:paraId="2492D23A" w14:textId="77777777" w:rsidR="00990B14" w:rsidRDefault="00000000">
            <w:pPr>
              <w:spacing w:before="20" w:after="20"/>
              <w:jc w:val="both"/>
            </w:pPr>
            <w:r>
              <w:rPr>
                <w:sz w:val="18"/>
                <w:szCs w:val="18"/>
              </w:rPr>
              <w:t>Omite etapas de la emisión.</w:t>
            </w:r>
          </w:p>
        </w:tc>
        <w:tc>
          <w:tcPr>
            <w:tcW w:w="1867" w:type="dxa"/>
            <w:shd w:val="clear" w:color="auto" w:fill="D9E2F3"/>
            <w:vAlign w:val="center"/>
          </w:tcPr>
          <w:p w14:paraId="2F97BDFC" w14:textId="77777777" w:rsidR="00990B14" w:rsidRDefault="00000000">
            <w:pPr>
              <w:spacing w:before="20" w:after="20"/>
              <w:jc w:val="both"/>
            </w:pPr>
            <w:r>
              <w:rPr>
                <w:sz w:val="18"/>
                <w:szCs w:val="18"/>
              </w:rPr>
              <w:t>Describe la estructuración, el registro y la colocación.</w:t>
            </w:r>
          </w:p>
        </w:tc>
        <w:tc>
          <w:tcPr>
            <w:tcW w:w="1868" w:type="dxa"/>
            <w:shd w:val="clear" w:color="auto" w:fill="D9E2F3"/>
            <w:vAlign w:val="center"/>
          </w:tcPr>
          <w:p w14:paraId="6B6027E3" w14:textId="77777777" w:rsidR="00990B14" w:rsidRDefault="00000000">
            <w:pPr>
              <w:spacing w:before="20" w:after="20"/>
              <w:jc w:val="both"/>
            </w:pPr>
            <w:r>
              <w:rPr>
                <w:sz w:val="18"/>
                <w:szCs w:val="18"/>
              </w:rPr>
              <w:t>Evalúa la conveniencia de un bono verde o sostenible.</w:t>
            </w:r>
          </w:p>
        </w:tc>
      </w:tr>
      <w:tr w:rsidR="00990B14" w14:paraId="5C2FC3F0" w14:textId="77777777">
        <w:trPr>
          <w:cantSplit/>
          <w:jc w:val="center"/>
        </w:trPr>
        <w:tc>
          <w:tcPr>
            <w:tcW w:w="1850" w:type="dxa"/>
            <w:vMerge/>
            <w:shd w:val="clear" w:color="auto" w:fill="4472C4"/>
            <w:vAlign w:val="center"/>
          </w:tcPr>
          <w:p w14:paraId="594D8E2E" w14:textId="77777777" w:rsidR="00990B14" w:rsidRDefault="00990B14">
            <w:pPr>
              <w:spacing w:before="20" w:after="20"/>
            </w:pPr>
          </w:p>
        </w:tc>
        <w:tc>
          <w:tcPr>
            <w:tcW w:w="5687" w:type="dxa"/>
            <w:gridSpan w:val="3"/>
            <w:shd w:val="clear" w:color="auto" w:fill="D9E2F3"/>
            <w:vAlign w:val="center"/>
          </w:tcPr>
          <w:p w14:paraId="0F5450E2" w14:textId="77777777" w:rsidR="00990B14" w:rsidRDefault="00000000">
            <w:pPr>
              <w:keepNext/>
              <w:spacing w:before="20" w:after="20"/>
              <w:jc w:val="both"/>
            </w:pPr>
            <w:r>
              <w:rPr>
                <w:b/>
                <w:bCs/>
                <w:i/>
                <w:iCs/>
                <w:sz w:val="18"/>
                <w:szCs w:val="18"/>
              </w:rPr>
              <w:t xml:space="preserve">Producto 15: </w:t>
            </w:r>
            <w:r>
              <w:rPr>
                <w:sz w:val="18"/>
                <w:szCs w:val="18"/>
              </w:rPr>
              <w:t>Informe de evaluación de un proyecto de inversión con sus flujos relevantes y sus criterios de decisión</w:t>
            </w:r>
          </w:p>
        </w:tc>
        <w:tc>
          <w:tcPr>
            <w:tcW w:w="1868" w:type="dxa"/>
            <w:shd w:val="clear" w:color="auto" w:fill="D9E2F3"/>
            <w:vAlign w:val="center"/>
          </w:tcPr>
          <w:p w14:paraId="30AF9D3C" w14:textId="77777777" w:rsidR="00990B14" w:rsidRDefault="00000000">
            <w:pPr>
              <w:spacing w:before="20" w:after="20"/>
              <w:jc w:val="center"/>
            </w:pPr>
            <w:r>
              <w:rPr>
                <w:b/>
                <w:bCs/>
                <w:sz w:val="18"/>
                <w:szCs w:val="18"/>
              </w:rPr>
              <w:t>11%</w:t>
            </w:r>
          </w:p>
        </w:tc>
      </w:tr>
      <w:tr w:rsidR="00990B14" w14:paraId="07A7ED03" w14:textId="77777777">
        <w:trPr>
          <w:cantSplit/>
          <w:jc w:val="center"/>
        </w:trPr>
        <w:tc>
          <w:tcPr>
            <w:tcW w:w="1850" w:type="dxa"/>
            <w:vMerge/>
            <w:shd w:val="clear" w:color="auto" w:fill="4472C4"/>
            <w:vAlign w:val="center"/>
          </w:tcPr>
          <w:p w14:paraId="2F7CB06B" w14:textId="77777777" w:rsidR="00990B14" w:rsidRDefault="00990B14">
            <w:pPr>
              <w:spacing w:before="20" w:after="20"/>
            </w:pPr>
          </w:p>
        </w:tc>
        <w:tc>
          <w:tcPr>
            <w:tcW w:w="1910" w:type="dxa"/>
            <w:shd w:val="clear" w:color="auto" w:fill="4472C4"/>
            <w:vAlign w:val="center"/>
          </w:tcPr>
          <w:p w14:paraId="5D88D7BB"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65C8F91F" w14:textId="77777777" w:rsidR="00990B14" w:rsidRDefault="00000000">
            <w:pPr>
              <w:keepNext/>
              <w:spacing w:before="20" w:after="20"/>
              <w:jc w:val="center"/>
            </w:pPr>
            <w:r>
              <w:rPr>
                <w:b/>
                <w:bCs/>
                <w:i/>
                <w:iCs/>
                <w:color w:val="FFFFFF"/>
                <w:sz w:val="18"/>
                <w:szCs w:val="18"/>
              </w:rPr>
              <w:t>Insuficiente (1–50)</w:t>
            </w:r>
          </w:p>
        </w:tc>
        <w:tc>
          <w:tcPr>
            <w:tcW w:w="1867" w:type="dxa"/>
            <w:shd w:val="clear" w:color="auto" w:fill="4472C4"/>
            <w:vAlign w:val="center"/>
          </w:tcPr>
          <w:p w14:paraId="6A0A1272" w14:textId="77777777" w:rsidR="00990B14" w:rsidRDefault="00000000">
            <w:pPr>
              <w:keepNext/>
              <w:spacing w:before="20" w:after="20"/>
              <w:jc w:val="center"/>
            </w:pPr>
            <w:r>
              <w:rPr>
                <w:b/>
                <w:bCs/>
                <w:i/>
                <w:iCs/>
                <w:color w:val="FFFFFF"/>
                <w:sz w:val="18"/>
                <w:szCs w:val="18"/>
              </w:rPr>
              <w:t>Suficiente (51–80)</w:t>
            </w:r>
          </w:p>
        </w:tc>
        <w:tc>
          <w:tcPr>
            <w:tcW w:w="1868" w:type="dxa"/>
            <w:shd w:val="clear" w:color="auto" w:fill="4472C4"/>
            <w:vAlign w:val="center"/>
          </w:tcPr>
          <w:p w14:paraId="1F7286BE" w14:textId="77777777" w:rsidR="00990B14" w:rsidRDefault="00000000">
            <w:pPr>
              <w:keepNext/>
              <w:spacing w:before="20" w:after="20"/>
              <w:jc w:val="center"/>
            </w:pPr>
            <w:r>
              <w:rPr>
                <w:b/>
                <w:bCs/>
                <w:i/>
                <w:iCs/>
                <w:color w:val="FFFFFF"/>
                <w:sz w:val="18"/>
                <w:szCs w:val="18"/>
              </w:rPr>
              <w:t>Destacado (81–100)</w:t>
            </w:r>
          </w:p>
        </w:tc>
      </w:tr>
      <w:tr w:rsidR="00990B14" w14:paraId="1244C4E6" w14:textId="77777777">
        <w:trPr>
          <w:cantSplit/>
          <w:jc w:val="center"/>
        </w:trPr>
        <w:tc>
          <w:tcPr>
            <w:tcW w:w="1850" w:type="dxa"/>
            <w:vMerge/>
            <w:shd w:val="clear" w:color="auto" w:fill="4472C4"/>
            <w:vAlign w:val="center"/>
          </w:tcPr>
          <w:p w14:paraId="503C323A" w14:textId="77777777" w:rsidR="00990B14" w:rsidRDefault="00990B14">
            <w:pPr>
              <w:spacing w:before="20" w:after="20"/>
            </w:pPr>
          </w:p>
        </w:tc>
        <w:tc>
          <w:tcPr>
            <w:tcW w:w="1910" w:type="dxa"/>
            <w:shd w:val="clear" w:color="auto" w:fill="D9E2F3"/>
            <w:vAlign w:val="center"/>
          </w:tcPr>
          <w:p w14:paraId="305FC65E" w14:textId="77777777" w:rsidR="00990B14" w:rsidRDefault="00000000">
            <w:pPr>
              <w:spacing w:before="20" w:after="20"/>
              <w:jc w:val="both"/>
            </w:pPr>
            <w:r>
              <w:rPr>
                <w:sz w:val="18"/>
                <w:szCs w:val="18"/>
              </w:rPr>
              <w:t>Inversión inicial y flujos</w:t>
            </w:r>
          </w:p>
        </w:tc>
        <w:tc>
          <w:tcPr>
            <w:tcW w:w="1910" w:type="dxa"/>
            <w:shd w:val="clear" w:color="auto" w:fill="D9E2F3"/>
            <w:vAlign w:val="center"/>
          </w:tcPr>
          <w:p w14:paraId="6549E22E" w14:textId="77777777" w:rsidR="00990B14" w:rsidRDefault="00000000">
            <w:pPr>
              <w:spacing w:before="20" w:after="20"/>
              <w:jc w:val="both"/>
            </w:pPr>
            <w:r>
              <w:rPr>
                <w:sz w:val="18"/>
                <w:szCs w:val="18"/>
              </w:rPr>
              <w:t>Omite componentes de la inversión o incluye costos hundidos.</w:t>
            </w:r>
          </w:p>
        </w:tc>
        <w:tc>
          <w:tcPr>
            <w:tcW w:w="1867" w:type="dxa"/>
            <w:shd w:val="clear" w:color="auto" w:fill="D9E2F3"/>
            <w:vAlign w:val="center"/>
          </w:tcPr>
          <w:p w14:paraId="5E76FD57" w14:textId="77777777" w:rsidR="00990B14" w:rsidRDefault="00000000">
            <w:pPr>
              <w:spacing w:before="20" w:after="20"/>
              <w:jc w:val="both"/>
            </w:pPr>
            <w:r>
              <w:rPr>
                <w:sz w:val="18"/>
                <w:szCs w:val="18"/>
              </w:rPr>
              <w:t>Determina la inversión inicial y los flujos relevantes después de impuestos.</w:t>
            </w:r>
          </w:p>
        </w:tc>
        <w:tc>
          <w:tcPr>
            <w:tcW w:w="1868" w:type="dxa"/>
            <w:shd w:val="clear" w:color="auto" w:fill="D9E2F3"/>
            <w:vAlign w:val="center"/>
          </w:tcPr>
          <w:p w14:paraId="15E1CB66" w14:textId="77777777" w:rsidR="00990B14" w:rsidRDefault="00000000">
            <w:pPr>
              <w:spacing w:before="20" w:after="20"/>
              <w:jc w:val="both"/>
            </w:pPr>
            <w:r>
              <w:rPr>
                <w:sz w:val="18"/>
                <w:szCs w:val="18"/>
              </w:rPr>
              <w:t>Considera el capital de trabajo, los efectos colaterales y la depreciación.</w:t>
            </w:r>
          </w:p>
        </w:tc>
      </w:tr>
      <w:tr w:rsidR="00990B14" w14:paraId="3A500BFB" w14:textId="77777777">
        <w:trPr>
          <w:cantSplit/>
          <w:jc w:val="center"/>
        </w:trPr>
        <w:tc>
          <w:tcPr>
            <w:tcW w:w="1850" w:type="dxa"/>
            <w:vMerge/>
            <w:shd w:val="clear" w:color="auto" w:fill="4472C4"/>
            <w:vAlign w:val="center"/>
          </w:tcPr>
          <w:p w14:paraId="734271E9" w14:textId="77777777" w:rsidR="00990B14" w:rsidRDefault="00990B14">
            <w:pPr>
              <w:spacing w:before="20" w:after="20"/>
            </w:pPr>
          </w:p>
        </w:tc>
        <w:tc>
          <w:tcPr>
            <w:tcW w:w="1910" w:type="dxa"/>
            <w:shd w:val="clear" w:color="auto" w:fill="D9E2F3"/>
            <w:vAlign w:val="center"/>
          </w:tcPr>
          <w:p w14:paraId="5718E6FD" w14:textId="77777777" w:rsidR="00990B14" w:rsidRDefault="00000000">
            <w:pPr>
              <w:spacing w:before="20" w:after="20"/>
              <w:jc w:val="both"/>
            </w:pPr>
            <w:r>
              <w:rPr>
                <w:sz w:val="18"/>
                <w:szCs w:val="18"/>
              </w:rPr>
              <w:t>Criterios de decisión</w:t>
            </w:r>
          </w:p>
        </w:tc>
        <w:tc>
          <w:tcPr>
            <w:tcW w:w="1910" w:type="dxa"/>
            <w:shd w:val="clear" w:color="auto" w:fill="D9E2F3"/>
            <w:vAlign w:val="center"/>
          </w:tcPr>
          <w:p w14:paraId="71624EC0" w14:textId="77777777" w:rsidR="00990B14" w:rsidRDefault="00000000">
            <w:pPr>
              <w:spacing w:before="20" w:after="20"/>
              <w:jc w:val="both"/>
            </w:pPr>
            <w:r>
              <w:rPr>
                <w:sz w:val="18"/>
                <w:szCs w:val="18"/>
              </w:rPr>
              <w:t>Calcula con errores los criterios.</w:t>
            </w:r>
          </w:p>
        </w:tc>
        <w:tc>
          <w:tcPr>
            <w:tcW w:w="1867" w:type="dxa"/>
            <w:shd w:val="clear" w:color="auto" w:fill="D9E2F3"/>
            <w:vAlign w:val="center"/>
          </w:tcPr>
          <w:p w14:paraId="63740998" w14:textId="77777777" w:rsidR="00990B14" w:rsidRDefault="00000000">
            <w:pPr>
              <w:spacing w:before="20" w:after="20"/>
              <w:jc w:val="both"/>
            </w:pPr>
            <w:r>
              <w:rPr>
                <w:sz w:val="18"/>
                <w:szCs w:val="18"/>
              </w:rPr>
              <w:t>Calcula el periodo de recuperación, el VAN, la TIR y el índice de rentabilidad.</w:t>
            </w:r>
          </w:p>
        </w:tc>
        <w:tc>
          <w:tcPr>
            <w:tcW w:w="1868" w:type="dxa"/>
            <w:shd w:val="clear" w:color="auto" w:fill="D9E2F3"/>
            <w:vAlign w:val="center"/>
          </w:tcPr>
          <w:p w14:paraId="75A0F125" w14:textId="77777777" w:rsidR="00990B14" w:rsidRDefault="00000000">
            <w:pPr>
              <w:spacing w:before="20" w:after="20"/>
              <w:jc w:val="both"/>
            </w:pPr>
            <w:r>
              <w:rPr>
                <w:sz w:val="18"/>
                <w:szCs w:val="18"/>
              </w:rPr>
              <w:t>Explica las limitaciones de la TIR en el caso.</w:t>
            </w:r>
          </w:p>
        </w:tc>
      </w:tr>
      <w:tr w:rsidR="00990B14" w14:paraId="0B7E2C26" w14:textId="77777777">
        <w:trPr>
          <w:cantSplit/>
          <w:jc w:val="center"/>
        </w:trPr>
        <w:tc>
          <w:tcPr>
            <w:tcW w:w="1850" w:type="dxa"/>
            <w:vMerge/>
            <w:shd w:val="clear" w:color="auto" w:fill="4472C4"/>
            <w:vAlign w:val="center"/>
          </w:tcPr>
          <w:p w14:paraId="2BE8799F" w14:textId="77777777" w:rsidR="00990B14" w:rsidRDefault="00990B14">
            <w:pPr>
              <w:spacing w:before="20" w:after="20"/>
            </w:pPr>
          </w:p>
        </w:tc>
        <w:tc>
          <w:tcPr>
            <w:tcW w:w="1910" w:type="dxa"/>
            <w:shd w:val="clear" w:color="auto" w:fill="D9E2F3"/>
            <w:vAlign w:val="center"/>
          </w:tcPr>
          <w:p w14:paraId="108E8FA6" w14:textId="77777777" w:rsidR="00990B14" w:rsidRDefault="00000000">
            <w:pPr>
              <w:spacing w:before="20" w:after="20"/>
              <w:jc w:val="both"/>
            </w:pPr>
            <w:r>
              <w:rPr>
                <w:sz w:val="18"/>
                <w:szCs w:val="18"/>
              </w:rPr>
              <w:t>Sustentación de la decisión</w:t>
            </w:r>
          </w:p>
        </w:tc>
        <w:tc>
          <w:tcPr>
            <w:tcW w:w="1910" w:type="dxa"/>
            <w:shd w:val="clear" w:color="auto" w:fill="D9E2F3"/>
            <w:vAlign w:val="center"/>
          </w:tcPr>
          <w:p w14:paraId="48298056" w14:textId="77777777" w:rsidR="00990B14" w:rsidRDefault="00000000">
            <w:pPr>
              <w:spacing w:before="20" w:after="20"/>
              <w:jc w:val="both"/>
            </w:pPr>
            <w:r>
              <w:rPr>
                <w:sz w:val="18"/>
                <w:szCs w:val="18"/>
              </w:rPr>
              <w:t>La decisión contradice los resultados.</w:t>
            </w:r>
          </w:p>
        </w:tc>
        <w:tc>
          <w:tcPr>
            <w:tcW w:w="1867" w:type="dxa"/>
            <w:shd w:val="clear" w:color="auto" w:fill="D9E2F3"/>
            <w:vAlign w:val="center"/>
          </w:tcPr>
          <w:p w14:paraId="7B2D4372" w14:textId="77777777" w:rsidR="00990B14" w:rsidRDefault="00000000">
            <w:pPr>
              <w:spacing w:before="20" w:after="20"/>
              <w:jc w:val="both"/>
            </w:pPr>
            <w:r>
              <w:rPr>
                <w:sz w:val="18"/>
                <w:szCs w:val="18"/>
              </w:rPr>
              <w:t>Toma una decisión coherente con los criterios.</w:t>
            </w:r>
          </w:p>
        </w:tc>
        <w:tc>
          <w:tcPr>
            <w:tcW w:w="1868" w:type="dxa"/>
            <w:shd w:val="clear" w:color="auto" w:fill="D9E2F3"/>
            <w:vAlign w:val="center"/>
          </w:tcPr>
          <w:p w14:paraId="12817550" w14:textId="77777777" w:rsidR="00990B14" w:rsidRDefault="00000000">
            <w:pPr>
              <w:spacing w:before="20" w:after="20"/>
              <w:jc w:val="both"/>
            </w:pPr>
            <w:r>
              <w:rPr>
                <w:sz w:val="18"/>
                <w:szCs w:val="18"/>
              </w:rPr>
              <w:t>Incorpora criterios ambientales, sociales y de gobernanza.</w:t>
            </w:r>
          </w:p>
        </w:tc>
      </w:tr>
      <w:tr w:rsidR="00990B14" w14:paraId="514CCACC" w14:textId="77777777">
        <w:trPr>
          <w:cantSplit/>
          <w:jc w:val="center"/>
        </w:trPr>
        <w:tc>
          <w:tcPr>
            <w:tcW w:w="1850" w:type="dxa"/>
            <w:vMerge/>
            <w:shd w:val="clear" w:color="auto" w:fill="4472C4"/>
            <w:vAlign w:val="center"/>
          </w:tcPr>
          <w:p w14:paraId="0270561F" w14:textId="77777777" w:rsidR="00990B14" w:rsidRDefault="00990B14">
            <w:pPr>
              <w:spacing w:before="20" w:after="20"/>
            </w:pPr>
          </w:p>
        </w:tc>
        <w:tc>
          <w:tcPr>
            <w:tcW w:w="5687" w:type="dxa"/>
            <w:gridSpan w:val="3"/>
            <w:shd w:val="clear" w:color="auto" w:fill="D9E2F3"/>
            <w:vAlign w:val="center"/>
          </w:tcPr>
          <w:p w14:paraId="2AA48C19" w14:textId="77777777" w:rsidR="00990B14" w:rsidRDefault="00000000">
            <w:pPr>
              <w:keepNext/>
              <w:spacing w:before="20" w:after="20"/>
              <w:jc w:val="both"/>
            </w:pPr>
            <w:r>
              <w:rPr>
                <w:b/>
                <w:bCs/>
                <w:i/>
                <w:iCs/>
                <w:sz w:val="18"/>
                <w:szCs w:val="18"/>
              </w:rPr>
              <w:t xml:space="preserve">Producto 16: </w:t>
            </w:r>
            <w:r>
              <w:rPr>
                <w:sz w:val="18"/>
                <w:szCs w:val="18"/>
              </w:rPr>
              <w:t>Modelo de costo de capital y de sensibilidad del proyecto de inversión</w:t>
            </w:r>
          </w:p>
        </w:tc>
        <w:tc>
          <w:tcPr>
            <w:tcW w:w="1868" w:type="dxa"/>
            <w:shd w:val="clear" w:color="auto" w:fill="D9E2F3"/>
            <w:vAlign w:val="center"/>
          </w:tcPr>
          <w:p w14:paraId="059F74B4" w14:textId="77777777" w:rsidR="00990B14" w:rsidRDefault="00000000">
            <w:pPr>
              <w:spacing w:before="20" w:after="20"/>
              <w:jc w:val="center"/>
            </w:pPr>
            <w:r>
              <w:rPr>
                <w:b/>
                <w:bCs/>
                <w:sz w:val="18"/>
                <w:szCs w:val="18"/>
              </w:rPr>
              <w:t>10%</w:t>
            </w:r>
          </w:p>
        </w:tc>
      </w:tr>
      <w:tr w:rsidR="00990B14" w14:paraId="7FD2C127" w14:textId="77777777">
        <w:trPr>
          <w:cantSplit/>
          <w:jc w:val="center"/>
        </w:trPr>
        <w:tc>
          <w:tcPr>
            <w:tcW w:w="1850" w:type="dxa"/>
            <w:vMerge/>
            <w:shd w:val="clear" w:color="auto" w:fill="4472C4"/>
            <w:vAlign w:val="center"/>
          </w:tcPr>
          <w:p w14:paraId="0A0CD0CD" w14:textId="77777777" w:rsidR="00990B14" w:rsidRDefault="00990B14">
            <w:pPr>
              <w:spacing w:before="20" w:after="20"/>
            </w:pPr>
          </w:p>
        </w:tc>
        <w:tc>
          <w:tcPr>
            <w:tcW w:w="1910" w:type="dxa"/>
            <w:shd w:val="clear" w:color="auto" w:fill="4472C4"/>
            <w:vAlign w:val="center"/>
          </w:tcPr>
          <w:p w14:paraId="28B2F009"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73AF5F82" w14:textId="77777777" w:rsidR="00990B14" w:rsidRDefault="00000000">
            <w:pPr>
              <w:keepNext/>
              <w:spacing w:before="20" w:after="20"/>
              <w:jc w:val="center"/>
            </w:pPr>
            <w:r>
              <w:rPr>
                <w:b/>
                <w:bCs/>
                <w:i/>
                <w:iCs/>
                <w:color w:val="FFFFFF"/>
                <w:sz w:val="18"/>
                <w:szCs w:val="18"/>
              </w:rPr>
              <w:t>Insuficiente (1–50)</w:t>
            </w:r>
          </w:p>
        </w:tc>
        <w:tc>
          <w:tcPr>
            <w:tcW w:w="1867" w:type="dxa"/>
            <w:shd w:val="clear" w:color="auto" w:fill="4472C4"/>
            <w:vAlign w:val="center"/>
          </w:tcPr>
          <w:p w14:paraId="29F0010E" w14:textId="77777777" w:rsidR="00990B14" w:rsidRDefault="00000000">
            <w:pPr>
              <w:keepNext/>
              <w:spacing w:before="20" w:after="20"/>
              <w:jc w:val="center"/>
            </w:pPr>
            <w:r>
              <w:rPr>
                <w:b/>
                <w:bCs/>
                <w:i/>
                <w:iCs/>
                <w:color w:val="FFFFFF"/>
                <w:sz w:val="18"/>
                <w:szCs w:val="18"/>
              </w:rPr>
              <w:t>Suficiente (51–80)</w:t>
            </w:r>
          </w:p>
        </w:tc>
        <w:tc>
          <w:tcPr>
            <w:tcW w:w="1868" w:type="dxa"/>
            <w:shd w:val="clear" w:color="auto" w:fill="4472C4"/>
            <w:vAlign w:val="center"/>
          </w:tcPr>
          <w:p w14:paraId="77652F41" w14:textId="77777777" w:rsidR="00990B14" w:rsidRDefault="00000000">
            <w:pPr>
              <w:keepNext/>
              <w:spacing w:before="20" w:after="20"/>
              <w:jc w:val="center"/>
            </w:pPr>
            <w:r>
              <w:rPr>
                <w:b/>
                <w:bCs/>
                <w:i/>
                <w:iCs/>
                <w:color w:val="FFFFFF"/>
                <w:sz w:val="18"/>
                <w:szCs w:val="18"/>
              </w:rPr>
              <w:t>Destacado (81–100)</w:t>
            </w:r>
          </w:p>
        </w:tc>
      </w:tr>
      <w:tr w:rsidR="00990B14" w14:paraId="1524B98F" w14:textId="77777777">
        <w:trPr>
          <w:cantSplit/>
          <w:jc w:val="center"/>
        </w:trPr>
        <w:tc>
          <w:tcPr>
            <w:tcW w:w="1850" w:type="dxa"/>
            <w:vMerge/>
            <w:shd w:val="clear" w:color="auto" w:fill="4472C4"/>
            <w:vAlign w:val="center"/>
          </w:tcPr>
          <w:p w14:paraId="5348EEC7" w14:textId="77777777" w:rsidR="00990B14" w:rsidRDefault="00990B14">
            <w:pPr>
              <w:spacing w:before="20" w:after="20"/>
            </w:pPr>
          </w:p>
        </w:tc>
        <w:tc>
          <w:tcPr>
            <w:tcW w:w="1910" w:type="dxa"/>
            <w:shd w:val="clear" w:color="auto" w:fill="D9E2F3"/>
            <w:vAlign w:val="center"/>
          </w:tcPr>
          <w:p w14:paraId="2FFD1AA4" w14:textId="77777777" w:rsidR="00990B14" w:rsidRDefault="00000000">
            <w:pPr>
              <w:spacing w:before="20" w:after="20"/>
              <w:jc w:val="both"/>
            </w:pPr>
            <w:r>
              <w:rPr>
                <w:sz w:val="18"/>
                <w:szCs w:val="18"/>
              </w:rPr>
              <w:t>Costo de capital</w:t>
            </w:r>
          </w:p>
        </w:tc>
        <w:tc>
          <w:tcPr>
            <w:tcW w:w="1910" w:type="dxa"/>
            <w:shd w:val="clear" w:color="auto" w:fill="D9E2F3"/>
            <w:vAlign w:val="center"/>
          </w:tcPr>
          <w:p w14:paraId="1BF3D0F5" w14:textId="77777777" w:rsidR="00990B14" w:rsidRDefault="00000000">
            <w:pPr>
              <w:spacing w:before="20" w:after="20"/>
              <w:jc w:val="both"/>
            </w:pPr>
            <w:r>
              <w:rPr>
                <w:sz w:val="18"/>
                <w:szCs w:val="18"/>
              </w:rPr>
              <w:t>Calcula con errores el costo de alguna fuente o usa ponderaciones inadecuadas.</w:t>
            </w:r>
          </w:p>
        </w:tc>
        <w:tc>
          <w:tcPr>
            <w:tcW w:w="1867" w:type="dxa"/>
            <w:shd w:val="clear" w:color="auto" w:fill="D9E2F3"/>
            <w:vAlign w:val="center"/>
          </w:tcPr>
          <w:p w14:paraId="73A41680" w14:textId="77777777" w:rsidR="00990B14" w:rsidRDefault="00000000">
            <w:pPr>
              <w:spacing w:before="20" w:after="20"/>
              <w:jc w:val="both"/>
            </w:pPr>
            <w:r>
              <w:rPr>
                <w:sz w:val="18"/>
                <w:szCs w:val="18"/>
              </w:rPr>
              <w:t>Calcula el costo de cada fuente y las pondera según la estructura de capital.</w:t>
            </w:r>
          </w:p>
        </w:tc>
        <w:tc>
          <w:tcPr>
            <w:tcW w:w="1868" w:type="dxa"/>
            <w:shd w:val="clear" w:color="auto" w:fill="D9E2F3"/>
            <w:vAlign w:val="center"/>
          </w:tcPr>
          <w:p w14:paraId="790021FC" w14:textId="77777777" w:rsidR="00990B14" w:rsidRDefault="00000000">
            <w:pPr>
              <w:spacing w:before="20" w:after="20"/>
              <w:jc w:val="both"/>
            </w:pPr>
            <w:r>
              <w:rPr>
                <w:sz w:val="18"/>
                <w:szCs w:val="18"/>
              </w:rPr>
              <w:t>Incorpora el escudo fiscal y la prima por riesgo país.</w:t>
            </w:r>
          </w:p>
        </w:tc>
      </w:tr>
      <w:tr w:rsidR="00990B14" w14:paraId="5D640F13" w14:textId="77777777">
        <w:trPr>
          <w:cantSplit/>
          <w:jc w:val="center"/>
        </w:trPr>
        <w:tc>
          <w:tcPr>
            <w:tcW w:w="1850" w:type="dxa"/>
            <w:vMerge/>
            <w:shd w:val="clear" w:color="auto" w:fill="4472C4"/>
            <w:vAlign w:val="center"/>
          </w:tcPr>
          <w:p w14:paraId="3CEF63EA" w14:textId="77777777" w:rsidR="00990B14" w:rsidRDefault="00990B14">
            <w:pPr>
              <w:spacing w:before="20" w:after="20"/>
            </w:pPr>
          </w:p>
        </w:tc>
        <w:tc>
          <w:tcPr>
            <w:tcW w:w="1910" w:type="dxa"/>
            <w:shd w:val="clear" w:color="auto" w:fill="D9E2F3"/>
            <w:vAlign w:val="center"/>
          </w:tcPr>
          <w:p w14:paraId="46D8CDFE" w14:textId="77777777" w:rsidR="00990B14" w:rsidRDefault="00000000">
            <w:pPr>
              <w:spacing w:before="20" w:after="20"/>
              <w:jc w:val="both"/>
            </w:pPr>
            <w:r>
              <w:rPr>
                <w:sz w:val="18"/>
                <w:szCs w:val="18"/>
              </w:rPr>
              <w:t>Análisis de sensibilidad</w:t>
            </w:r>
          </w:p>
        </w:tc>
        <w:tc>
          <w:tcPr>
            <w:tcW w:w="1910" w:type="dxa"/>
            <w:shd w:val="clear" w:color="auto" w:fill="D9E2F3"/>
            <w:vAlign w:val="center"/>
          </w:tcPr>
          <w:p w14:paraId="066355C7" w14:textId="77777777" w:rsidR="00990B14" w:rsidRDefault="00000000">
            <w:pPr>
              <w:spacing w:before="20" w:after="20"/>
              <w:jc w:val="both"/>
            </w:pPr>
            <w:r>
              <w:rPr>
                <w:sz w:val="18"/>
                <w:szCs w:val="18"/>
              </w:rPr>
              <w:t>No identifica variables críticas.</w:t>
            </w:r>
          </w:p>
        </w:tc>
        <w:tc>
          <w:tcPr>
            <w:tcW w:w="1867" w:type="dxa"/>
            <w:shd w:val="clear" w:color="auto" w:fill="D9E2F3"/>
            <w:vAlign w:val="center"/>
          </w:tcPr>
          <w:p w14:paraId="2BDE783B" w14:textId="77777777" w:rsidR="00990B14" w:rsidRDefault="00000000">
            <w:pPr>
              <w:spacing w:before="20" w:after="20"/>
              <w:jc w:val="both"/>
            </w:pPr>
            <w:r>
              <w:rPr>
                <w:sz w:val="18"/>
                <w:szCs w:val="18"/>
              </w:rPr>
              <w:t>Mide el efecto de las variables críticas en el VAN.</w:t>
            </w:r>
          </w:p>
        </w:tc>
        <w:tc>
          <w:tcPr>
            <w:tcW w:w="1868" w:type="dxa"/>
            <w:shd w:val="clear" w:color="auto" w:fill="D9E2F3"/>
            <w:vAlign w:val="center"/>
          </w:tcPr>
          <w:p w14:paraId="10B7271C" w14:textId="77777777" w:rsidR="00990B14" w:rsidRDefault="00000000">
            <w:pPr>
              <w:spacing w:before="20" w:after="20"/>
              <w:jc w:val="both"/>
            </w:pPr>
            <w:r>
              <w:rPr>
                <w:sz w:val="18"/>
                <w:szCs w:val="18"/>
              </w:rPr>
              <w:t>Determina el valor límite de cada variable.</w:t>
            </w:r>
          </w:p>
        </w:tc>
      </w:tr>
      <w:tr w:rsidR="00990B14" w14:paraId="6DA9C536" w14:textId="77777777">
        <w:trPr>
          <w:cantSplit/>
          <w:jc w:val="center"/>
        </w:trPr>
        <w:tc>
          <w:tcPr>
            <w:tcW w:w="1850" w:type="dxa"/>
            <w:vMerge/>
            <w:shd w:val="clear" w:color="auto" w:fill="4472C4"/>
            <w:vAlign w:val="center"/>
          </w:tcPr>
          <w:p w14:paraId="62A324B1" w14:textId="77777777" w:rsidR="00990B14" w:rsidRDefault="00990B14">
            <w:pPr>
              <w:spacing w:before="20" w:after="20"/>
            </w:pPr>
          </w:p>
        </w:tc>
        <w:tc>
          <w:tcPr>
            <w:tcW w:w="1910" w:type="dxa"/>
            <w:shd w:val="clear" w:color="auto" w:fill="D9E2F3"/>
            <w:vAlign w:val="center"/>
          </w:tcPr>
          <w:p w14:paraId="27C37D82" w14:textId="77777777" w:rsidR="00990B14" w:rsidRDefault="00000000">
            <w:pPr>
              <w:spacing w:before="20" w:after="20"/>
              <w:jc w:val="both"/>
            </w:pPr>
            <w:r>
              <w:rPr>
                <w:sz w:val="18"/>
                <w:szCs w:val="18"/>
              </w:rPr>
              <w:t>Escenarios y simulación</w:t>
            </w:r>
          </w:p>
        </w:tc>
        <w:tc>
          <w:tcPr>
            <w:tcW w:w="1910" w:type="dxa"/>
            <w:shd w:val="clear" w:color="auto" w:fill="D9E2F3"/>
            <w:vAlign w:val="center"/>
          </w:tcPr>
          <w:p w14:paraId="11B2AA96" w14:textId="77777777" w:rsidR="00990B14" w:rsidRDefault="00000000">
            <w:pPr>
              <w:spacing w:before="20" w:after="20"/>
              <w:jc w:val="both"/>
            </w:pPr>
            <w:r>
              <w:rPr>
                <w:sz w:val="18"/>
                <w:szCs w:val="18"/>
              </w:rPr>
              <w:t>Los escenarios o la simulación son incorrectos.</w:t>
            </w:r>
          </w:p>
        </w:tc>
        <w:tc>
          <w:tcPr>
            <w:tcW w:w="1867" w:type="dxa"/>
            <w:shd w:val="clear" w:color="auto" w:fill="D9E2F3"/>
            <w:vAlign w:val="center"/>
          </w:tcPr>
          <w:p w14:paraId="0E47057A" w14:textId="77777777" w:rsidR="00990B14" w:rsidRDefault="00000000">
            <w:pPr>
              <w:spacing w:before="20" w:after="20"/>
              <w:jc w:val="both"/>
            </w:pPr>
            <w:r>
              <w:rPr>
                <w:sz w:val="18"/>
                <w:szCs w:val="18"/>
              </w:rPr>
              <w:t>Construye los escenarios, el árbol de decisión y la simulación del proyecto.</w:t>
            </w:r>
          </w:p>
        </w:tc>
        <w:tc>
          <w:tcPr>
            <w:tcW w:w="1868" w:type="dxa"/>
            <w:shd w:val="clear" w:color="auto" w:fill="D9E2F3"/>
            <w:vAlign w:val="center"/>
          </w:tcPr>
          <w:p w14:paraId="55A9C9A6" w14:textId="77777777" w:rsidR="00990B14" w:rsidRDefault="00000000">
            <w:pPr>
              <w:spacing w:before="20" w:after="20"/>
              <w:jc w:val="both"/>
            </w:pPr>
            <w:r>
              <w:rPr>
                <w:sz w:val="18"/>
                <w:szCs w:val="18"/>
              </w:rPr>
              <w:t>Interpreta la probabilidad de un VAN negativo.</w:t>
            </w:r>
          </w:p>
        </w:tc>
      </w:tr>
      <w:tr w:rsidR="00990B14" w14:paraId="6A1BCDD5" w14:textId="77777777">
        <w:trPr>
          <w:cantSplit/>
          <w:jc w:val="center"/>
        </w:trPr>
        <w:tc>
          <w:tcPr>
            <w:tcW w:w="1850" w:type="dxa"/>
            <w:vMerge/>
            <w:shd w:val="clear" w:color="auto" w:fill="4472C4"/>
            <w:vAlign w:val="center"/>
          </w:tcPr>
          <w:p w14:paraId="24FF95A4" w14:textId="77777777" w:rsidR="00990B14" w:rsidRDefault="00990B14">
            <w:pPr>
              <w:spacing w:before="20" w:after="20"/>
            </w:pPr>
          </w:p>
        </w:tc>
        <w:tc>
          <w:tcPr>
            <w:tcW w:w="5687" w:type="dxa"/>
            <w:gridSpan w:val="3"/>
            <w:shd w:val="clear" w:color="auto" w:fill="D9E2F3"/>
            <w:vAlign w:val="center"/>
          </w:tcPr>
          <w:p w14:paraId="7C1C7324" w14:textId="77777777" w:rsidR="00990B14" w:rsidRDefault="00000000">
            <w:pPr>
              <w:keepNext/>
              <w:spacing w:before="20" w:after="20"/>
              <w:jc w:val="both"/>
            </w:pPr>
            <w:r>
              <w:rPr>
                <w:b/>
                <w:bCs/>
                <w:i/>
                <w:iCs/>
                <w:sz w:val="18"/>
                <w:szCs w:val="18"/>
              </w:rPr>
              <w:t xml:space="preserve">Producto 17: </w:t>
            </w:r>
            <w:r>
              <w:rPr>
                <w:sz w:val="18"/>
                <w:szCs w:val="18"/>
              </w:rPr>
              <w:t>Informe de fortalezas, debilidades, amenazas, oportunidades y posicionamiento de la empresa</w:t>
            </w:r>
          </w:p>
        </w:tc>
        <w:tc>
          <w:tcPr>
            <w:tcW w:w="1868" w:type="dxa"/>
            <w:shd w:val="clear" w:color="auto" w:fill="D9E2F3"/>
            <w:vAlign w:val="center"/>
          </w:tcPr>
          <w:p w14:paraId="6A7A1F9E" w14:textId="77777777" w:rsidR="00990B14" w:rsidRDefault="00000000">
            <w:pPr>
              <w:spacing w:before="20" w:after="20"/>
              <w:jc w:val="center"/>
            </w:pPr>
            <w:r>
              <w:rPr>
                <w:b/>
                <w:bCs/>
                <w:sz w:val="18"/>
                <w:szCs w:val="18"/>
              </w:rPr>
              <w:t>3%</w:t>
            </w:r>
          </w:p>
        </w:tc>
      </w:tr>
      <w:tr w:rsidR="00990B14" w14:paraId="5E705F9D" w14:textId="77777777">
        <w:trPr>
          <w:cantSplit/>
          <w:jc w:val="center"/>
        </w:trPr>
        <w:tc>
          <w:tcPr>
            <w:tcW w:w="1850" w:type="dxa"/>
            <w:vMerge/>
            <w:shd w:val="clear" w:color="auto" w:fill="4472C4"/>
            <w:vAlign w:val="center"/>
          </w:tcPr>
          <w:p w14:paraId="47B451A0" w14:textId="77777777" w:rsidR="00990B14" w:rsidRDefault="00990B14">
            <w:pPr>
              <w:spacing w:before="20" w:after="20"/>
            </w:pPr>
          </w:p>
        </w:tc>
        <w:tc>
          <w:tcPr>
            <w:tcW w:w="1910" w:type="dxa"/>
            <w:shd w:val="clear" w:color="auto" w:fill="4472C4"/>
            <w:vAlign w:val="center"/>
          </w:tcPr>
          <w:p w14:paraId="6BAC3A85"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494DE086" w14:textId="77777777" w:rsidR="00990B14" w:rsidRDefault="00000000">
            <w:pPr>
              <w:keepNext/>
              <w:spacing w:before="20" w:after="20"/>
              <w:jc w:val="center"/>
            </w:pPr>
            <w:r>
              <w:rPr>
                <w:b/>
                <w:bCs/>
                <w:i/>
                <w:iCs/>
                <w:color w:val="FFFFFF"/>
                <w:sz w:val="18"/>
                <w:szCs w:val="18"/>
              </w:rPr>
              <w:t>Insuficiente (1–50)</w:t>
            </w:r>
          </w:p>
        </w:tc>
        <w:tc>
          <w:tcPr>
            <w:tcW w:w="1867" w:type="dxa"/>
            <w:shd w:val="clear" w:color="auto" w:fill="4472C4"/>
            <w:vAlign w:val="center"/>
          </w:tcPr>
          <w:p w14:paraId="4BAB5736" w14:textId="77777777" w:rsidR="00990B14" w:rsidRDefault="00000000">
            <w:pPr>
              <w:keepNext/>
              <w:spacing w:before="20" w:after="20"/>
              <w:jc w:val="center"/>
            </w:pPr>
            <w:r>
              <w:rPr>
                <w:b/>
                <w:bCs/>
                <w:i/>
                <w:iCs/>
                <w:color w:val="FFFFFF"/>
                <w:sz w:val="18"/>
                <w:szCs w:val="18"/>
              </w:rPr>
              <w:t>Suficiente (51–80)</w:t>
            </w:r>
          </w:p>
        </w:tc>
        <w:tc>
          <w:tcPr>
            <w:tcW w:w="1868" w:type="dxa"/>
            <w:shd w:val="clear" w:color="auto" w:fill="4472C4"/>
            <w:vAlign w:val="center"/>
          </w:tcPr>
          <w:p w14:paraId="073D86FE" w14:textId="77777777" w:rsidR="00990B14" w:rsidRDefault="00000000">
            <w:pPr>
              <w:keepNext/>
              <w:spacing w:before="20" w:after="20"/>
              <w:jc w:val="center"/>
            </w:pPr>
            <w:r>
              <w:rPr>
                <w:b/>
                <w:bCs/>
                <w:i/>
                <w:iCs/>
                <w:color w:val="FFFFFF"/>
                <w:sz w:val="18"/>
                <w:szCs w:val="18"/>
              </w:rPr>
              <w:t>Destacado (81–100)</w:t>
            </w:r>
          </w:p>
        </w:tc>
      </w:tr>
      <w:tr w:rsidR="00990B14" w14:paraId="005C7E9F" w14:textId="77777777">
        <w:trPr>
          <w:cantSplit/>
          <w:jc w:val="center"/>
        </w:trPr>
        <w:tc>
          <w:tcPr>
            <w:tcW w:w="1850" w:type="dxa"/>
            <w:vMerge/>
            <w:shd w:val="clear" w:color="auto" w:fill="4472C4"/>
            <w:vAlign w:val="center"/>
          </w:tcPr>
          <w:p w14:paraId="181103B9" w14:textId="77777777" w:rsidR="00990B14" w:rsidRDefault="00990B14">
            <w:pPr>
              <w:spacing w:before="20" w:after="20"/>
            </w:pPr>
          </w:p>
        </w:tc>
        <w:tc>
          <w:tcPr>
            <w:tcW w:w="1910" w:type="dxa"/>
            <w:shd w:val="clear" w:color="auto" w:fill="D9E2F3"/>
            <w:vAlign w:val="center"/>
          </w:tcPr>
          <w:p w14:paraId="5FC88315" w14:textId="77777777" w:rsidR="00990B14" w:rsidRDefault="00000000">
            <w:pPr>
              <w:spacing w:before="20" w:after="20"/>
              <w:jc w:val="both"/>
            </w:pPr>
            <w:r>
              <w:rPr>
                <w:sz w:val="18"/>
                <w:szCs w:val="18"/>
              </w:rPr>
              <w:t>Factores internos</w:t>
            </w:r>
          </w:p>
        </w:tc>
        <w:tc>
          <w:tcPr>
            <w:tcW w:w="1910" w:type="dxa"/>
            <w:shd w:val="clear" w:color="auto" w:fill="D9E2F3"/>
            <w:vAlign w:val="center"/>
          </w:tcPr>
          <w:p w14:paraId="2A59A348" w14:textId="77777777" w:rsidR="00990B14" w:rsidRDefault="00000000">
            <w:pPr>
              <w:spacing w:before="20" w:after="20"/>
              <w:jc w:val="both"/>
            </w:pPr>
            <w:r>
              <w:rPr>
                <w:sz w:val="18"/>
                <w:szCs w:val="18"/>
              </w:rPr>
              <w:t>Enumera factores sin sustento.</w:t>
            </w:r>
          </w:p>
        </w:tc>
        <w:tc>
          <w:tcPr>
            <w:tcW w:w="1867" w:type="dxa"/>
            <w:shd w:val="clear" w:color="auto" w:fill="D9E2F3"/>
            <w:vAlign w:val="center"/>
          </w:tcPr>
          <w:p w14:paraId="4BD9D527" w14:textId="77777777" w:rsidR="00990B14" w:rsidRDefault="00000000">
            <w:pPr>
              <w:spacing w:before="20" w:after="20"/>
              <w:jc w:val="both"/>
            </w:pPr>
            <w:r>
              <w:rPr>
                <w:sz w:val="18"/>
                <w:szCs w:val="18"/>
              </w:rPr>
              <w:t>Identifica fortalezas y debilidades con evidencia.</w:t>
            </w:r>
          </w:p>
        </w:tc>
        <w:tc>
          <w:tcPr>
            <w:tcW w:w="1868" w:type="dxa"/>
            <w:shd w:val="clear" w:color="auto" w:fill="D9E2F3"/>
            <w:vAlign w:val="center"/>
          </w:tcPr>
          <w:p w14:paraId="7ED30464" w14:textId="77777777" w:rsidR="00990B14" w:rsidRDefault="00000000">
            <w:pPr>
              <w:spacing w:before="20" w:after="20"/>
              <w:jc w:val="both"/>
            </w:pPr>
            <w:r>
              <w:rPr>
                <w:sz w:val="18"/>
                <w:szCs w:val="18"/>
              </w:rPr>
              <w:t>Relaciona cada factor con el valor de la empresa.</w:t>
            </w:r>
          </w:p>
        </w:tc>
      </w:tr>
      <w:tr w:rsidR="00990B14" w14:paraId="3A16764B" w14:textId="77777777">
        <w:trPr>
          <w:cantSplit/>
          <w:jc w:val="center"/>
        </w:trPr>
        <w:tc>
          <w:tcPr>
            <w:tcW w:w="1850" w:type="dxa"/>
            <w:vMerge/>
            <w:shd w:val="clear" w:color="auto" w:fill="4472C4"/>
            <w:vAlign w:val="center"/>
          </w:tcPr>
          <w:p w14:paraId="77724AD6" w14:textId="77777777" w:rsidR="00990B14" w:rsidRDefault="00990B14">
            <w:pPr>
              <w:spacing w:before="20" w:after="20"/>
            </w:pPr>
          </w:p>
        </w:tc>
        <w:tc>
          <w:tcPr>
            <w:tcW w:w="1910" w:type="dxa"/>
            <w:shd w:val="clear" w:color="auto" w:fill="D9E2F3"/>
            <w:vAlign w:val="center"/>
          </w:tcPr>
          <w:p w14:paraId="76ADF2F8" w14:textId="77777777" w:rsidR="00990B14" w:rsidRDefault="00000000">
            <w:pPr>
              <w:spacing w:before="20" w:after="20"/>
              <w:jc w:val="both"/>
            </w:pPr>
            <w:r>
              <w:rPr>
                <w:sz w:val="18"/>
                <w:szCs w:val="18"/>
              </w:rPr>
              <w:t>Factores externos</w:t>
            </w:r>
          </w:p>
        </w:tc>
        <w:tc>
          <w:tcPr>
            <w:tcW w:w="1910" w:type="dxa"/>
            <w:shd w:val="clear" w:color="auto" w:fill="D9E2F3"/>
            <w:vAlign w:val="center"/>
          </w:tcPr>
          <w:p w14:paraId="0A4F0CA8" w14:textId="77777777" w:rsidR="00990B14" w:rsidRDefault="00000000">
            <w:pPr>
              <w:spacing w:before="20" w:after="20"/>
              <w:jc w:val="both"/>
            </w:pPr>
            <w:r>
              <w:rPr>
                <w:sz w:val="18"/>
                <w:szCs w:val="18"/>
              </w:rPr>
              <w:t>Omite amenazas u oportunidades relevantes.</w:t>
            </w:r>
          </w:p>
        </w:tc>
        <w:tc>
          <w:tcPr>
            <w:tcW w:w="1867" w:type="dxa"/>
            <w:shd w:val="clear" w:color="auto" w:fill="D9E2F3"/>
            <w:vAlign w:val="center"/>
          </w:tcPr>
          <w:p w14:paraId="15A5468D" w14:textId="77777777" w:rsidR="00990B14" w:rsidRDefault="00000000">
            <w:pPr>
              <w:spacing w:before="20" w:after="20"/>
              <w:jc w:val="both"/>
            </w:pPr>
            <w:r>
              <w:rPr>
                <w:sz w:val="18"/>
                <w:szCs w:val="18"/>
              </w:rPr>
              <w:t>Identifica amenazas y oportunidades del mercado.</w:t>
            </w:r>
          </w:p>
        </w:tc>
        <w:tc>
          <w:tcPr>
            <w:tcW w:w="1868" w:type="dxa"/>
            <w:shd w:val="clear" w:color="auto" w:fill="D9E2F3"/>
            <w:vAlign w:val="center"/>
          </w:tcPr>
          <w:p w14:paraId="00904793" w14:textId="77777777" w:rsidR="00990B14" w:rsidRDefault="00000000">
            <w:pPr>
              <w:spacing w:before="20" w:after="20"/>
              <w:jc w:val="both"/>
            </w:pPr>
            <w:r>
              <w:rPr>
                <w:sz w:val="18"/>
                <w:szCs w:val="18"/>
              </w:rPr>
              <w:t>Estima el efecto de cada factor en los flujos futuros.</w:t>
            </w:r>
          </w:p>
        </w:tc>
      </w:tr>
      <w:tr w:rsidR="00990B14" w14:paraId="73F6828B" w14:textId="77777777">
        <w:trPr>
          <w:cantSplit/>
          <w:jc w:val="center"/>
        </w:trPr>
        <w:tc>
          <w:tcPr>
            <w:tcW w:w="1850" w:type="dxa"/>
            <w:vMerge/>
            <w:shd w:val="clear" w:color="auto" w:fill="4472C4"/>
            <w:vAlign w:val="center"/>
          </w:tcPr>
          <w:p w14:paraId="0AC4F551" w14:textId="77777777" w:rsidR="00990B14" w:rsidRDefault="00990B14">
            <w:pPr>
              <w:spacing w:before="20" w:after="20"/>
            </w:pPr>
          </w:p>
        </w:tc>
        <w:tc>
          <w:tcPr>
            <w:tcW w:w="1910" w:type="dxa"/>
            <w:shd w:val="clear" w:color="auto" w:fill="D9E2F3"/>
            <w:vAlign w:val="center"/>
          </w:tcPr>
          <w:p w14:paraId="4103C9BE" w14:textId="77777777" w:rsidR="00990B14" w:rsidRDefault="00000000">
            <w:pPr>
              <w:spacing w:before="20" w:after="20"/>
              <w:jc w:val="both"/>
            </w:pPr>
            <w:r>
              <w:rPr>
                <w:sz w:val="18"/>
                <w:szCs w:val="18"/>
              </w:rPr>
              <w:t>Posicionamiento competitivo</w:t>
            </w:r>
          </w:p>
        </w:tc>
        <w:tc>
          <w:tcPr>
            <w:tcW w:w="1910" w:type="dxa"/>
            <w:shd w:val="clear" w:color="auto" w:fill="D9E2F3"/>
            <w:vAlign w:val="center"/>
          </w:tcPr>
          <w:p w14:paraId="495F4308" w14:textId="77777777" w:rsidR="00990B14" w:rsidRDefault="00000000">
            <w:pPr>
              <w:spacing w:before="20" w:after="20"/>
              <w:jc w:val="both"/>
            </w:pPr>
            <w:r>
              <w:rPr>
                <w:sz w:val="18"/>
                <w:szCs w:val="18"/>
              </w:rPr>
              <w:t>Describe la competencia sin evaluarla.</w:t>
            </w:r>
          </w:p>
        </w:tc>
        <w:tc>
          <w:tcPr>
            <w:tcW w:w="1867" w:type="dxa"/>
            <w:shd w:val="clear" w:color="auto" w:fill="D9E2F3"/>
            <w:vAlign w:val="center"/>
          </w:tcPr>
          <w:p w14:paraId="669B6EE8" w14:textId="77777777" w:rsidR="00990B14" w:rsidRDefault="00000000">
            <w:pPr>
              <w:spacing w:before="20" w:after="20"/>
              <w:jc w:val="both"/>
            </w:pPr>
            <w:r>
              <w:rPr>
                <w:sz w:val="18"/>
                <w:szCs w:val="18"/>
              </w:rPr>
              <w:t>Evalúa la posición de la empresa frente a sus competidores.</w:t>
            </w:r>
          </w:p>
        </w:tc>
        <w:tc>
          <w:tcPr>
            <w:tcW w:w="1868" w:type="dxa"/>
            <w:shd w:val="clear" w:color="auto" w:fill="D9E2F3"/>
            <w:vAlign w:val="center"/>
          </w:tcPr>
          <w:p w14:paraId="73FAB4C9" w14:textId="77777777" w:rsidR="00990B14" w:rsidRDefault="00000000">
            <w:pPr>
              <w:spacing w:before="20" w:after="20"/>
              <w:jc w:val="both"/>
            </w:pPr>
            <w:r>
              <w:rPr>
                <w:sz w:val="18"/>
                <w:szCs w:val="18"/>
              </w:rPr>
              <w:t>Relaciona la posición competitiva con el valor de la empresa.</w:t>
            </w:r>
          </w:p>
        </w:tc>
      </w:tr>
      <w:tr w:rsidR="00990B14" w14:paraId="1038D736" w14:textId="77777777">
        <w:trPr>
          <w:cantSplit/>
          <w:jc w:val="center"/>
        </w:trPr>
        <w:tc>
          <w:tcPr>
            <w:tcW w:w="1850" w:type="dxa"/>
            <w:vMerge/>
            <w:shd w:val="clear" w:color="auto" w:fill="4472C4"/>
            <w:vAlign w:val="center"/>
          </w:tcPr>
          <w:p w14:paraId="52FB14B1" w14:textId="77777777" w:rsidR="00990B14" w:rsidRDefault="00990B14">
            <w:pPr>
              <w:spacing w:before="20" w:after="20"/>
            </w:pPr>
          </w:p>
        </w:tc>
        <w:tc>
          <w:tcPr>
            <w:tcW w:w="5687" w:type="dxa"/>
            <w:gridSpan w:val="3"/>
            <w:shd w:val="clear" w:color="auto" w:fill="D9E2F3"/>
            <w:vAlign w:val="center"/>
          </w:tcPr>
          <w:p w14:paraId="0555B06F" w14:textId="77777777" w:rsidR="00990B14" w:rsidRDefault="00000000">
            <w:pPr>
              <w:keepNext/>
              <w:spacing w:before="20" w:after="20"/>
              <w:jc w:val="both"/>
            </w:pPr>
            <w:r>
              <w:rPr>
                <w:b/>
                <w:bCs/>
                <w:i/>
                <w:iCs/>
                <w:sz w:val="18"/>
                <w:szCs w:val="18"/>
              </w:rPr>
              <w:t xml:space="preserve">Producto 18: </w:t>
            </w:r>
            <w:r>
              <w:rPr>
                <w:sz w:val="18"/>
                <w:szCs w:val="18"/>
              </w:rPr>
              <w:t>Informe de valoración de la empresa con sus métodos, supuestos y limitaciones</w:t>
            </w:r>
          </w:p>
        </w:tc>
        <w:tc>
          <w:tcPr>
            <w:tcW w:w="1868" w:type="dxa"/>
            <w:shd w:val="clear" w:color="auto" w:fill="D9E2F3"/>
            <w:vAlign w:val="center"/>
          </w:tcPr>
          <w:p w14:paraId="435E358A" w14:textId="77777777" w:rsidR="00990B14" w:rsidRDefault="00000000">
            <w:pPr>
              <w:spacing w:before="20" w:after="20"/>
              <w:jc w:val="center"/>
            </w:pPr>
            <w:r>
              <w:rPr>
                <w:b/>
                <w:bCs/>
                <w:sz w:val="18"/>
                <w:szCs w:val="18"/>
              </w:rPr>
              <w:t>4%</w:t>
            </w:r>
          </w:p>
        </w:tc>
      </w:tr>
      <w:tr w:rsidR="00990B14" w14:paraId="16B8E61D" w14:textId="77777777">
        <w:trPr>
          <w:cantSplit/>
          <w:jc w:val="center"/>
        </w:trPr>
        <w:tc>
          <w:tcPr>
            <w:tcW w:w="1850" w:type="dxa"/>
            <w:vMerge/>
            <w:shd w:val="clear" w:color="auto" w:fill="4472C4"/>
            <w:vAlign w:val="center"/>
          </w:tcPr>
          <w:p w14:paraId="6FA4F18E" w14:textId="77777777" w:rsidR="00990B14" w:rsidRDefault="00990B14">
            <w:pPr>
              <w:spacing w:before="20" w:after="20"/>
            </w:pPr>
          </w:p>
        </w:tc>
        <w:tc>
          <w:tcPr>
            <w:tcW w:w="1910" w:type="dxa"/>
            <w:shd w:val="clear" w:color="auto" w:fill="4472C4"/>
            <w:vAlign w:val="center"/>
          </w:tcPr>
          <w:p w14:paraId="25D3C49B"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482A3710" w14:textId="77777777" w:rsidR="00990B14" w:rsidRDefault="00000000">
            <w:pPr>
              <w:keepNext/>
              <w:spacing w:before="20" w:after="20"/>
              <w:jc w:val="center"/>
            </w:pPr>
            <w:r>
              <w:rPr>
                <w:b/>
                <w:bCs/>
                <w:i/>
                <w:iCs/>
                <w:color w:val="FFFFFF"/>
                <w:sz w:val="18"/>
                <w:szCs w:val="18"/>
              </w:rPr>
              <w:t>Insuficiente (1–50)</w:t>
            </w:r>
          </w:p>
        </w:tc>
        <w:tc>
          <w:tcPr>
            <w:tcW w:w="1867" w:type="dxa"/>
            <w:shd w:val="clear" w:color="auto" w:fill="4472C4"/>
            <w:vAlign w:val="center"/>
          </w:tcPr>
          <w:p w14:paraId="168F48F7" w14:textId="77777777" w:rsidR="00990B14" w:rsidRDefault="00000000">
            <w:pPr>
              <w:keepNext/>
              <w:spacing w:before="20" w:after="20"/>
              <w:jc w:val="center"/>
            </w:pPr>
            <w:r>
              <w:rPr>
                <w:b/>
                <w:bCs/>
                <w:i/>
                <w:iCs/>
                <w:color w:val="FFFFFF"/>
                <w:sz w:val="18"/>
                <w:szCs w:val="18"/>
              </w:rPr>
              <w:t>Suficiente (51–80)</w:t>
            </w:r>
          </w:p>
        </w:tc>
        <w:tc>
          <w:tcPr>
            <w:tcW w:w="1868" w:type="dxa"/>
            <w:shd w:val="clear" w:color="auto" w:fill="4472C4"/>
            <w:vAlign w:val="center"/>
          </w:tcPr>
          <w:p w14:paraId="11EEF1A4" w14:textId="77777777" w:rsidR="00990B14" w:rsidRDefault="00000000">
            <w:pPr>
              <w:keepNext/>
              <w:spacing w:before="20" w:after="20"/>
              <w:jc w:val="center"/>
            </w:pPr>
            <w:r>
              <w:rPr>
                <w:b/>
                <w:bCs/>
                <w:i/>
                <w:iCs/>
                <w:color w:val="FFFFFF"/>
                <w:sz w:val="18"/>
                <w:szCs w:val="18"/>
              </w:rPr>
              <w:t>Destacado (81–100)</w:t>
            </w:r>
          </w:p>
        </w:tc>
      </w:tr>
      <w:tr w:rsidR="00990B14" w14:paraId="30406CBB" w14:textId="77777777">
        <w:trPr>
          <w:cantSplit/>
          <w:jc w:val="center"/>
        </w:trPr>
        <w:tc>
          <w:tcPr>
            <w:tcW w:w="1850" w:type="dxa"/>
            <w:vMerge/>
            <w:shd w:val="clear" w:color="auto" w:fill="4472C4"/>
            <w:vAlign w:val="center"/>
          </w:tcPr>
          <w:p w14:paraId="4E60AF97" w14:textId="77777777" w:rsidR="00990B14" w:rsidRDefault="00990B14">
            <w:pPr>
              <w:spacing w:before="20" w:after="20"/>
            </w:pPr>
          </w:p>
        </w:tc>
        <w:tc>
          <w:tcPr>
            <w:tcW w:w="1910" w:type="dxa"/>
            <w:shd w:val="clear" w:color="auto" w:fill="D9E2F3"/>
            <w:vAlign w:val="center"/>
          </w:tcPr>
          <w:p w14:paraId="6E3D1183" w14:textId="77777777" w:rsidR="00990B14" w:rsidRDefault="00000000">
            <w:pPr>
              <w:spacing w:before="20" w:after="20"/>
              <w:jc w:val="both"/>
            </w:pPr>
            <w:r>
              <w:rPr>
                <w:sz w:val="18"/>
                <w:szCs w:val="18"/>
              </w:rPr>
              <w:t>Aplicación de métodos</w:t>
            </w:r>
          </w:p>
        </w:tc>
        <w:tc>
          <w:tcPr>
            <w:tcW w:w="1910" w:type="dxa"/>
            <w:shd w:val="clear" w:color="auto" w:fill="D9E2F3"/>
            <w:vAlign w:val="center"/>
          </w:tcPr>
          <w:p w14:paraId="37D5D0BE" w14:textId="77777777" w:rsidR="00990B14" w:rsidRDefault="00000000">
            <w:pPr>
              <w:spacing w:before="20" w:after="20"/>
              <w:jc w:val="both"/>
            </w:pPr>
            <w:r>
              <w:rPr>
                <w:sz w:val="18"/>
                <w:szCs w:val="18"/>
              </w:rPr>
              <w:t>Aplica con errores los métodos.</w:t>
            </w:r>
          </w:p>
        </w:tc>
        <w:tc>
          <w:tcPr>
            <w:tcW w:w="1867" w:type="dxa"/>
            <w:shd w:val="clear" w:color="auto" w:fill="D9E2F3"/>
            <w:vAlign w:val="center"/>
          </w:tcPr>
          <w:p w14:paraId="20B5D022" w14:textId="77777777" w:rsidR="00990B14" w:rsidRDefault="00000000">
            <w:pPr>
              <w:spacing w:before="20" w:after="20"/>
              <w:jc w:val="both"/>
            </w:pPr>
            <w:r>
              <w:rPr>
                <w:sz w:val="18"/>
                <w:szCs w:val="18"/>
              </w:rPr>
              <w:t>Aplica los métodos patrimoniales, de mercado y de flujos descontados.</w:t>
            </w:r>
          </w:p>
        </w:tc>
        <w:tc>
          <w:tcPr>
            <w:tcW w:w="1868" w:type="dxa"/>
            <w:shd w:val="clear" w:color="auto" w:fill="D9E2F3"/>
            <w:vAlign w:val="center"/>
          </w:tcPr>
          <w:p w14:paraId="79FE6A49" w14:textId="77777777" w:rsidR="00990B14" w:rsidRDefault="00000000">
            <w:pPr>
              <w:spacing w:before="20" w:after="20"/>
              <w:jc w:val="both"/>
            </w:pPr>
            <w:r>
              <w:rPr>
                <w:sz w:val="18"/>
                <w:szCs w:val="18"/>
              </w:rPr>
              <w:t>Concilia las diferencias entre los resultados.</w:t>
            </w:r>
          </w:p>
        </w:tc>
      </w:tr>
      <w:tr w:rsidR="00990B14" w14:paraId="175BC2F1" w14:textId="77777777">
        <w:trPr>
          <w:cantSplit/>
          <w:jc w:val="center"/>
        </w:trPr>
        <w:tc>
          <w:tcPr>
            <w:tcW w:w="1850" w:type="dxa"/>
            <w:vMerge/>
            <w:shd w:val="clear" w:color="auto" w:fill="4472C4"/>
            <w:vAlign w:val="center"/>
          </w:tcPr>
          <w:p w14:paraId="3297FF4D" w14:textId="77777777" w:rsidR="00990B14" w:rsidRDefault="00990B14">
            <w:pPr>
              <w:spacing w:before="20" w:after="20"/>
            </w:pPr>
          </w:p>
        </w:tc>
        <w:tc>
          <w:tcPr>
            <w:tcW w:w="1910" w:type="dxa"/>
            <w:shd w:val="clear" w:color="auto" w:fill="D9E2F3"/>
            <w:vAlign w:val="center"/>
          </w:tcPr>
          <w:p w14:paraId="0C29FDC0" w14:textId="77777777" w:rsidR="00990B14" w:rsidRDefault="00000000">
            <w:pPr>
              <w:spacing w:before="20" w:after="20"/>
              <w:jc w:val="both"/>
            </w:pPr>
            <w:r>
              <w:rPr>
                <w:sz w:val="18"/>
                <w:szCs w:val="18"/>
              </w:rPr>
              <w:t>Supuestos y limitaciones</w:t>
            </w:r>
          </w:p>
        </w:tc>
        <w:tc>
          <w:tcPr>
            <w:tcW w:w="1910" w:type="dxa"/>
            <w:shd w:val="clear" w:color="auto" w:fill="D9E2F3"/>
            <w:vAlign w:val="center"/>
          </w:tcPr>
          <w:p w14:paraId="41F85AE2" w14:textId="77777777" w:rsidR="00990B14" w:rsidRDefault="00000000">
            <w:pPr>
              <w:spacing w:before="20" w:after="20"/>
              <w:jc w:val="both"/>
            </w:pPr>
            <w:r>
              <w:rPr>
                <w:sz w:val="18"/>
                <w:szCs w:val="18"/>
              </w:rPr>
              <w:t>Los supuestos no son verificables o se omiten las limitaciones.</w:t>
            </w:r>
          </w:p>
        </w:tc>
        <w:tc>
          <w:tcPr>
            <w:tcW w:w="1867" w:type="dxa"/>
            <w:shd w:val="clear" w:color="auto" w:fill="D9E2F3"/>
            <w:vAlign w:val="center"/>
          </w:tcPr>
          <w:p w14:paraId="6FC3696A" w14:textId="77777777" w:rsidR="00990B14" w:rsidRDefault="00000000">
            <w:pPr>
              <w:spacing w:before="20" w:after="20"/>
              <w:jc w:val="both"/>
            </w:pPr>
            <w:r>
              <w:rPr>
                <w:sz w:val="18"/>
                <w:szCs w:val="18"/>
              </w:rPr>
              <w:t>Explicita supuestos verificables y revela las limitaciones.</w:t>
            </w:r>
          </w:p>
        </w:tc>
        <w:tc>
          <w:tcPr>
            <w:tcW w:w="1868" w:type="dxa"/>
            <w:shd w:val="clear" w:color="auto" w:fill="D9E2F3"/>
            <w:vAlign w:val="center"/>
          </w:tcPr>
          <w:p w14:paraId="36AFF521" w14:textId="77777777" w:rsidR="00990B14" w:rsidRDefault="00000000">
            <w:pPr>
              <w:spacing w:before="20" w:after="20"/>
              <w:jc w:val="both"/>
            </w:pPr>
            <w:r>
              <w:rPr>
                <w:sz w:val="18"/>
                <w:szCs w:val="18"/>
              </w:rPr>
              <w:t>Propone un rango de valor razonable.</w:t>
            </w:r>
          </w:p>
        </w:tc>
      </w:tr>
      <w:tr w:rsidR="00990B14" w14:paraId="6DA7348F" w14:textId="77777777">
        <w:trPr>
          <w:cantSplit/>
          <w:jc w:val="center"/>
        </w:trPr>
        <w:tc>
          <w:tcPr>
            <w:tcW w:w="1850" w:type="dxa"/>
            <w:vMerge/>
            <w:shd w:val="clear" w:color="auto" w:fill="4472C4"/>
            <w:vAlign w:val="center"/>
          </w:tcPr>
          <w:p w14:paraId="365243C2" w14:textId="77777777" w:rsidR="00990B14" w:rsidRDefault="00990B14">
            <w:pPr>
              <w:spacing w:before="20" w:after="20"/>
            </w:pPr>
          </w:p>
        </w:tc>
        <w:tc>
          <w:tcPr>
            <w:tcW w:w="1910" w:type="dxa"/>
            <w:shd w:val="clear" w:color="auto" w:fill="D9E2F3"/>
            <w:vAlign w:val="center"/>
          </w:tcPr>
          <w:p w14:paraId="0CFE49C3" w14:textId="77777777" w:rsidR="00990B14" w:rsidRDefault="00000000">
            <w:pPr>
              <w:spacing w:before="20" w:after="20"/>
              <w:jc w:val="both"/>
            </w:pPr>
            <w:r>
              <w:rPr>
                <w:sz w:val="18"/>
                <w:szCs w:val="18"/>
              </w:rPr>
              <w:t>Ética e independencia</w:t>
            </w:r>
          </w:p>
        </w:tc>
        <w:tc>
          <w:tcPr>
            <w:tcW w:w="1910" w:type="dxa"/>
            <w:shd w:val="clear" w:color="auto" w:fill="D9E2F3"/>
            <w:vAlign w:val="center"/>
          </w:tcPr>
          <w:p w14:paraId="126080FB" w14:textId="77777777" w:rsidR="00990B14" w:rsidRDefault="00000000">
            <w:pPr>
              <w:spacing w:before="20" w:after="20"/>
              <w:jc w:val="both"/>
            </w:pPr>
            <w:r>
              <w:rPr>
                <w:sz w:val="18"/>
                <w:szCs w:val="18"/>
              </w:rPr>
              <w:t>Ignora los conflictos de interés.</w:t>
            </w:r>
          </w:p>
        </w:tc>
        <w:tc>
          <w:tcPr>
            <w:tcW w:w="1867" w:type="dxa"/>
            <w:shd w:val="clear" w:color="auto" w:fill="D9E2F3"/>
            <w:vAlign w:val="center"/>
          </w:tcPr>
          <w:p w14:paraId="1B40C712" w14:textId="77777777" w:rsidR="00990B14" w:rsidRDefault="00000000">
            <w:pPr>
              <w:spacing w:before="20" w:after="20"/>
              <w:jc w:val="both"/>
            </w:pPr>
            <w:r>
              <w:rPr>
                <w:sz w:val="18"/>
                <w:szCs w:val="18"/>
              </w:rPr>
              <w:t>Declara su independencia frente al encargo.</w:t>
            </w:r>
          </w:p>
        </w:tc>
        <w:tc>
          <w:tcPr>
            <w:tcW w:w="1868" w:type="dxa"/>
            <w:shd w:val="clear" w:color="auto" w:fill="D9E2F3"/>
            <w:vAlign w:val="center"/>
          </w:tcPr>
          <w:p w14:paraId="1F21C59F" w14:textId="77777777" w:rsidR="00990B14" w:rsidRDefault="00000000">
            <w:pPr>
              <w:spacing w:before="20" w:after="20"/>
              <w:jc w:val="both"/>
            </w:pPr>
            <w:r>
              <w:rPr>
                <w:sz w:val="18"/>
                <w:szCs w:val="18"/>
              </w:rPr>
              <w:t>Asume con claridad la responsabilidad por el informe.</w:t>
            </w:r>
          </w:p>
        </w:tc>
      </w:tr>
      <w:tr w:rsidR="00990B14" w14:paraId="081DA4FC" w14:textId="77777777">
        <w:trPr>
          <w:cantSplit/>
          <w:jc w:val="center"/>
        </w:trPr>
        <w:tc>
          <w:tcPr>
            <w:tcW w:w="1850" w:type="dxa"/>
            <w:vMerge/>
            <w:shd w:val="clear" w:color="auto" w:fill="4472C4"/>
            <w:vAlign w:val="center"/>
          </w:tcPr>
          <w:p w14:paraId="42983CF2" w14:textId="77777777" w:rsidR="00990B14" w:rsidRDefault="00990B14">
            <w:pPr>
              <w:spacing w:before="20" w:after="20"/>
            </w:pPr>
          </w:p>
        </w:tc>
        <w:tc>
          <w:tcPr>
            <w:tcW w:w="5687" w:type="dxa"/>
            <w:gridSpan w:val="3"/>
            <w:shd w:val="clear" w:color="auto" w:fill="D9E2F3"/>
            <w:vAlign w:val="center"/>
          </w:tcPr>
          <w:p w14:paraId="6566F870" w14:textId="77777777" w:rsidR="00990B14" w:rsidRDefault="00000000">
            <w:pPr>
              <w:keepNext/>
              <w:spacing w:before="20" w:after="20"/>
              <w:jc w:val="both"/>
            </w:pPr>
            <w:r>
              <w:rPr>
                <w:b/>
                <w:bCs/>
                <w:i/>
                <w:iCs/>
                <w:sz w:val="18"/>
                <w:szCs w:val="18"/>
              </w:rPr>
              <w:t xml:space="preserve">Producto 19: </w:t>
            </w:r>
            <w:r>
              <w:rPr>
                <w:sz w:val="18"/>
                <w:szCs w:val="18"/>
              </w:rPr>
              <w:t>Propuesta de estructura de capital óptima de la empresa</w:t>
            </w:r>
          </w:p>
        </w:tc>
        <w:tc>
          <w:tcPr>
            <w:tcW w:w="1868" w:type="dxa"/>
            <w:shd w:val="clear" w:color="auto" w:fill="D9E2F3"/>
            <w:vAlign w:val="center"/>
          </w:tcPr>
          <w:p w14:paraId="3A55C970" w14:textId="77777777" w:rsidR="00990B14" w:rsidRDefault="00000000">
            <w:pPr>
              <w:spacing w:before="20" w:after="20"/>
              <w:jc w:val="center"/>
            </w:pPr>
            <w:r>
              <w:rPr>
                <w:b/>
                <w:bCs/>
                <w:sz w:val="18"/>
                <w:szCs w:val="18"/>
              </w:rPr>
              <w:t>2%</w:t>
            </w:r>
          </w:p>
        </w:tc>
      </w:tr>
      <w:tr w:rsidR="00990B14" w14:paraId="5683DF61" w14:textId="77777777">
        <w:trPr>
          <w:cantSplit/>
          <w:jc w:val="center"/>
        </w:trPr>
        <w:tc>
          <w:tcPr>
            <w:tcW w:w="1850" w:type="dxa"/>
            <w:vMerge/>
            <w:shd w:val="clear" w:color="auto" w:fill="4472C4"/>
            <w:vAlign w:val="center"/>
          </w:tcPr>
          <w:p w14:paraId="744EFC1C" w14:textId="77777777" w:rsidR="00990B14" w:rsidRDefault="00990B14">
            <w:pPr>
              <w:spacing w:before="20" w:after="20"/>
            </w:pPr>
          </w:p>
        </w:tc>
        <w:tc>
          <w:tcPr>
            <w:tcW w:w="1910" w:type="dxa"/>
            <w:shd w:val="clear" w:color="auto" w:fill="4472C4"/>
            <w:vAlign w:val="center"/>
          </w:tcPr>
          <w:p w14:paraId="152AB097"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21C5526B" w14:textId="77777777" w:rsidR="00990B14" w:rsidRDefault="00000000">
            <w:pPr>
              <w:keepNext/>
              <w:spacing w:before="20" w:after="20"/>
              <w:jc w:val="center"/>
            </w:pPr>
            <w:r>
              <w:rPr>
                <w:b/>
                <w:bCs/>
                <w:i/>
                <w:iCs/>
                <w:color w:val="FFFFFF"/>
                <w:sz w:val="18"/>
                <w:szCs w:val="18"/>
              </w:rPr>
              <w:t>Insuficiente (1–50)</w:t>
            </w:r>
          </w:p>
        </w:tc>
        <w:tc>
          <w:tcPr>
            <w:tcW w:w="1867" w:type="dxa"/>
            <w:shd w:val="clear" w:color="auto" w:fill="4472C4"/>
            <w:vAlign w:val="center"/>
          </w:tcPr>
          <w:p w14:paraId="29F7AA3D" w14:textId="77777777" w:rsidR="00990B14" w:rsidRDefault="00000000">
            <w:pPr>
              <w:keepNext/>
              <w:spacing w:before="20" w:after="20"/>
              <w:jc w:val="center"/>
            </w:pPr>
            <w:r>
              <w:rPr>
                <w:b/>
                <w:bCs/>
                <w:i/>
                <w:iCs/>
                <w:color w:val="FFFFFF"/>
                <w:sz w:val="18"/>
                <w:szCs w:val="18"/>
              </w:rPr>
              <w:t>Suficiente (51–80)</w:t>
            </w:r>
          </w:p>
        </w:tc>
        <w:tc>
          <w:tcPr>
            <w:tcW w:w="1868" w:type="dxa"/>
            <w:shd w:val="clear" w:color="auto" w:fill="4472C4"/>
            <w:vAlign w:val="center"/>
          </w:tcPr>
          <w:p w14:paraId="1D4AB80F" w14:textId="77777777" w:rsidR="00990B14" w:rsidRDefault="00000000">
            <w:pPr>
              <w:keepNext/>
              <w:spacing w:before="20" w:after="20"/>
              <w:jc w:val="center"/>
            </w:pPr>
            <w:r>
              <w:rPr>
                <w:b/>
                <w:bCs/>
                <w:i/>
                <w:iCs/>
                <w:color w:val="FFFFFF"/>
                <w:sz w:val="18"/>
                <w:szCs w:val="18"/>
              </w:rPr>
              <w:t>Destacado (81–100)</w:t>
            </w:r>
          </w:p>
        </w:tc>
      </w:tr>
      <w:tr w:rsidR="00990B14" w14:paraId="3DD4538F" w14:textId="77777777">
        <w:trPr>
          <w:cantSplit/>
          <w:jc w:val="center"/>
        </w:trPr>
        <w:tc>
          <w:tcPr>
            <w:tcW w:w="1850" w:type="dxa"/>
            <w:vMerge/>
            <w:shd w:val="clear" w:color="auto" w:fill="4472C4"/>
            <w:vAlign w:val="center"/>
          </w:tcPr>
          <w:p w14:paraId="1C1D7477" w14:textId="77777777" w:rsidR="00990B14" w:rsidRDefault="00990B14">
            <w:pPr>
              <w:spacing w:before="20" w:after="20"/>
            </w:pPr>
          </w:p>
        </w:tc>
        <w:tc>
          <w:tcPr>
            <w:tcW w:w="1910" w:type="dxa"/>
            <w:shd w:val="clear" w:color="auto" w:fill="D9E2F3"/>
            <w:vAlign w:val="center"/>
          </w:tcPr>
          <w:p w14:paraId="3109C61C" w14:textId="77777777" w:rsidR="00990B14" w:rsidRDefault="00000000">
            <w:pPr>
              <w:spacing w:before="20" w:after="20"/>
              <w:jc w:val="both"/>
            </w:pPr>
            <w:r>
              <w:rPr>
                <w:sz w:val="18"/>
                <w:szCs w:val="18"/>
              </w:rPr>
              <w:t>Estructura óptima</w:t>
            </w:r>
          </w:p>
        </w:tc>
        <w:tc>
          <w:tcPr>
            <w:tcW w:w="1910" w:type="dxa"/>
            <w:shd w:val="clear" w:color="auto" w:fill="D9E2F3"/>
            <w:vAlign w:val="center"/>
          </w:tcPr>
          <w:p w14:paraId="5F01E195" w14:textId="77777777" w:rsidR="00990B14" w:rsidRDefault="00000000">
            <w:pPr>
              <w:spacing w:before="20" w:after="20"/>
              <w:jc w:val="both"/>
            </w:pPr>
            <w:r>
              <w:rPr>
                <w:sz w:val="18"/>
                <w:szCs w:val="18"/>
              </w:rPr>
              <w:t>Elige la estructura sin análisis.</w:t>
            </w:r>
          </w:p>
        </w:tc>
        <w:tc>
          <w:tcPr>
            <w:tcW w:w="1867" w:type="dxa"/>
            <w:shd w:val="clear" w:color="auto" w:fill="D9E2F3"/>
            <w:vAlign w:val="center"/>
          </w:tcPr>
          <w:p w14:paraId="663800EB" w14:textId="77777777" w:rsidR="00990B14" w:rsidRDefault="00000000">
            <w:pPr>
              <w:spacing w:before="20" w:after="20"/>
              <w:jc w:val="both"/>
            </w:pPr>
            <w:r>
              <w:rPr>
                <w:sz w:val="18"/>
                <w:szCs w:val="18"/>
              </w:rPr>
              <w:t>Selecciona la estructura que maximiza el valor.</w:t>
            </w:r>
          </w:p>
        </w:tc>
        <w:tc>
          <w:tcPr>
            <w:tcW w:w="1868" w:type="dxa"/>
            <w:shd w:val="clear" w:color="auto" w:fill="D9E2F3"/>
            <w:vAlign w:val="center"/>
          </w:tcPr>
          <w:p w14:paraId="0D8837E0" w14:textId="77777777" w:rsidR="00990B14" w:rsidRDefault="00000000">
            <w:pPr>
              <w:spacing w:before="20" w:after="20"/>
              <w:jc w:val="both"/>
            </w:pPr>
            <w:r>
              <w:rPr>
                <w:sz w:val="18"/>
                <w:szCs w:val="18"/>
              </w:rPr>
              <w:t>Relaciona la estructura elegida con la utilidad por acción.</w:t>
            </w:r>
          </w:p>
        </w:tc>
      </w:tr>
      <w:tr w:rsidR="00990B14" w14:paraId="0001CD29" w14:textId="77777777">
        <w:trPr>
          <w:cantSplit/>
          <w:jc w:val="center"/>
        </w:trPr>
        <w:tc>
          <w:tcPr>
            <w:tcW w:w="1850" w:type="dxa"/>
            <w:vMerge/>
            <w:shd w:val="clear" w:color="auto" w:fill="4472C4"/>
            <w:vAlign w:val="center"/>
          </w:tcPr>
          <w:p w14:paraId="15965DDB" w14:textId="77777777" w:rsidR="00990B14" w:rsidRDefault="00990B14">
            <w:pPr>
              <w:spacing w:before="20" w:after="20"/>
            </w:pPr>
          </w:p>
        </w:tc>
        <w:tc>
          <w:tcPr>
            <w:tcW w:w="1910" w:type="dxa"/>
            <w:shd w:val="clear" w:color="auto" w:fill="D9E2F3"/>
            <w:vAlign w:val="center"/>
          </w:tcPr>
          <w:p w14:paraId="449B6A48" w14:textId="77777777" w:rsidR="00990B14" w:rsidRDefault="00000000">
            <w:pPr>
              <w:spacing w:before="20" w:after="20"/>
              <w:jc w:val="both"/>
            </w:pPr>
            <w:r>
              <w:rPr>
                <w:sz w:val="18"/>
                <w:szCs w:val="18"/>
              </w:rPr>
              <w:t>Estimación del valor</w:t>
            </w:r>
          </w:p>
        </w:tc>
        <w:tc>
          <w:tcPr>
            <w:tcW w:w="1910" w:type="dxa"/>
            <w:shd w:val="clear" w:color="auto" w:fill="D9E2F3"/>
            <w:vAlign w:val="center"/>
          </w:tcPr>
          <w:p w14:paraId="19493030" w14:textId="77777777" w:rsidR="00990B14" w:rsidRDefault="00000000">
            <w:pPr>
              <w:spacing w:before="20" w:after="20"/>
              <w:jc w:val="both"/>
            </w:pPr>
            <w:r>
              <w:rPr>
                <w:sz w:val="18"/>
                <w:szCs w:val="18"/>
              </w:rPr>
              <w:t>No estima el valor de la empresa.</w:t>
            </w:r>
          </w:p>
        </w:tc>
        <w:tc>
          <w:tcPr>
            <w:tcW w:w="1867" w:type="dxa"/>
            <w:shd w:val="clear" w:color="auto" w:fill="D9E2F3"/>
            <w:vAlign w:val="center"/>
          </w:tcPr>
          <w:p w14:paraId="27CA67B9" w14:textId="77777777" w:rsidR="00990B14" w:rsidRDefault="00000000">
            <w:pPr>
              <w:spacing w:before="20" w:after="20"/>
              <w:jc w:val="both"/>
            </w:pPr>
            <w:r>
              <w:rPr>
                <w:sz w:val="18"/>
                <w:szCs w:val="18"/>
              </w:rPr>
              <w:t>Estima el valor de cada estructura.</w:t>
            </w:r>
          </w:p>
        </w:tc>
        <w:tc>
          <w:tcPr>
            <w:tcW w:w="1868" w:type="dxa"/>
            <w:shd w:val="clear" w:color="auto" w:fill="D9E2F3"/>
            <w:vAlign w:val="center"/>
          </w:tcPr>
          <w:p w14:paraId="1AF9E639" w14:textId="77777777" w:rsidR="00990B14" w:rsidRDefault="00000000">
            <w:pPr>
              <w:spacing w:before="20" w:after="20"/>
              <w:jc w:val="both"/>
            </w:pPr>
            <w:r>
              <w:rPr>
                <w:sz w:val="18"/>
                <w:szCs w:val="18"/>
              </w:rPr>
              <w:t>Relaciona el valor con el riesgo asumido.</w:t>
            </w:r>
          </w:p>
        </w:tc>
      </w:tr>
      <w:tr w:rsidR="00990B14" w14:paraId="4C84E05B" w14:textId="77777777">
        <w:trPr>
          <w:cantSplit/>
          <w:jc w:val="center"/>
        </w:trPr>
        <w:tc>
          <w:tcPr>
            <w:tcW w:w="1850" w:type="dxa"/>
            <w:vMerge/>
            <w:shd w:val="clear" w:color="auto" w:fill="4472C4"/>
            <w:vAlign w:val="center"/>
          </w:tcPr>
          <w:p w14:paraId="60285710" w14:textId="77777777" w:rsidR="00990B14" w:rsidRDefault="00990B14">
            <w:pPr>
              <w:spacing w:before="20" w:after="20"/>
            </w:pPr>
          </w:p>
        </w:tc>
        <w:tc>
          <w:tcPr>
            <w:tcW w:w="1910" w:type="dxa"/>
            <w:shd w:val="clear" w:color="auto" w:fill="D9E2F3"/>
            <w:vAlign w:val="center"/>
          </w:tcPr>
          <w:p w14:paraId="06A0F15C" w14:textId="77777777" w:rsidR="00990B14" w:rsidRDefault="00000000">
            <w:pPr>
              <w:spacing w:before="20" w:after="20"/>
              <w:jc w:val="both"/>
            </w:pPr>
            <w:r>
              <w:rPr>
                <w:sz w:val="18"/>
                <w:szCs w:val="18"/>
              </w:rPr>
              <w:t>Trabajo en equipo</w:t>
            </w:r>
          </w:p>
        </w:tc>
        <w:tc>
          <w:tcPr>
            <w:tcW w:w="1910" w:type="dxa"/>
            <w:shd w:val="clear" w:color="auto" w:fill="D9E2F3"/>
            <w:vAlign w:val="center"/>
          </w:tcPr>
          <w:p w14:paraId="67581104" w14:textId="77777777" w:rsidR="00990B14" w:rsidRDefault="00000000">
            <w:pPr>
              <w:spacing w:before="20" w:after="20"/>
              <w:jc w:val="both"/>
            </w:pPr>
            <w:r>
              <w:rPr>
                <w:sz w:val="18"/>
                <w:szCs w:val="18"/>
              </w:rPr>
              <w:t>La participación es desigual.</w:t>
            </w:r>
          </w:p>
        </w:tc>
        <w:tc>
          <w:tcPr>
            <w:tcW w:w="1867" w:type="dxa"/>
            <w:shd w:val="clear" w:color="auto" w:fill="D9E2F3"/>
            <w:vAlign w:val="center"/>
          </w:tcPr>
          <w:p w14:paraId="3891A1F1" w14:textId="77777777" w:rsidR="00990B14" w:rsidRDefault="00000000">
            <w:pPr>
              <w:spacing w:before="20" w:after="20"/>
              <w:jc w:val="both"/>
            </w:pPr>
            <w:r>
              <w:rPr>
                <w:sz w:val="18"/>
                <w:szCs w:val="18"/>
              </w:rPr>
              <w:t>Todos los integrantes participan.</w:t>
            </w:r>
          </w:p>
        </w:tc>
        <w:tc>
          <w:tcPr>
            <w:tcW w:w="1868" w:type="dxa"/>
            <w:shd w:val="clear" w:color="auto" w:fill="D9E2F3"/>
            <w:vAlign w:val="center"/>
          </w:tcPr>
          <w:p w14:paraId="45FE6C13" w14:textId="77777777" w:rsidR="00990B14" w:rsidRDefault="00000000">
            <w:pPr>
              <w:spacing w:before="20" w:after="20"/>
              <w:jc w:val="both"/>
            </w:pPr>
            <w:r>
              <w:rPr>
                <w:sz w:val="18"/>
                <w:szCs w:val="18"/>
              </w:rPr>
              <w:t>El equipo sustenta sus conclusiones ante el curso.</w:t>
            </w:r>
          </w:p>
        </w:tc>
      </w:tr>
      <w:tr w:rsidR="00990B14" w14:paraId="230822F8" w14:textId="77777777">
        <w:trPr>
          <w:cantSplit/>
          <w:jc w:val="center"/>
        </w:trPr>
        <w:tc>
          <w:tcPr>
            <w:tcW w:w="1850" w:type="dxa"/>
            <w:vMerge/>
            <w:shd w:val="clear" w:color="auto" w:fill="4472C4"/>
            <w:vAlign w:val="center"/>
          </w:tcPr>
          <w:p w14:paraId="209FD987" w14:textId="77777777" w:rsidR="00990B14" w:rsidRDefault="00990B14">
            <w:pPr>
              <w:spacing w:before="20" w:after="20"/>
            </w:pPr>
          </w:p>
        </w:tc>
        <w:tc>
          <w:tcPr>
            <w:tcW w:w="5687" w:type="dxa"/>
            <w:gridSpan w:val="3"/>
            <w:shd w:val="clear" w:color="auto" w:fill="D9E2F3"/>
            <w:vAlign w:val="center"/>
          </w:tcPr>
          <w:p w14:paraId="2F68DB0C" w14:textId="77777777" w:rsidR="00990B14" w:rsidRDefault="00000000">
            <w:pPr>
              <w:keepNext/>
              <w:spacing w:before="20" w:after="20"/>
              <w:jc w:val="both"/>
            </w:pPr>
            <w:r>
              <w:rPr>
                <w:b/>
                <w:bCs/>
                <w:i/>
                <w:iCs/>
                <w:sz w:val="18"/>
                <w:szCs w:val="18"/>
              </w:rPr>
              <w:t xml:space="preserve">Producto 20: </w:t>
            </w:r>
            <w:r>
              <w:rPr>
                <w:sz w:val="18"/>
                <w:szCs w:val="18"/>
              </w:rPr>
              <w:t>Propuesta de política de dividendos con sus restricciones</w:t>
            </w:r>
          </w:p>
        </w:tc>
        <w:tc>
          <w:tcPr>
            <w:tcW w:w="1868" w:type="dxa"/>
            <w:shd w:val="clear" w:color="auto" w:fill="D9E2F3"/>
            <w:vAlign w:val="center"/>
          </w:tcPr>
          <w:p w14:paraId="64A82E61" w14:textId="77777777" w:rsidR="00990B14" w:rsidRDefault="00000000">
            <w:pPr>
              <w:spacing w:before="20" w:after="20"/>
              <w:jc w:val="center"/>
            </w:pPr>
            <w:r>
              <w:rPr>
                <w:b/>
                <w:bCs/>
                <w:sz w:val="18"/>
                <w:szCs w:val="18"/>
              </w:rPr>
              <w:t>2%</w:t>
            </w:r>
          </w:p>
        </w:tc>
      </w:tr>
      <w:tr w:rsidR="00990B14" w14:paraId="1A14CFBD" w14:textId="77777777">
        <w:trPr>
          <w:cantSplit/>
          <w:jc w:val="center"/>
        </w:trPr>
        <w:tc>
          <w:tcPr>
            <w:tcW w:w="1850" w:type="dxa"/>
            <w:vMerge/>
            <w:shd w:val="clear" w:color="auto" w:fill="4472C4"/>
            <w:vAlign w:val="center"/>
          </w:tcPr>
          <w:p w14:paraId="0A3254DF" w14:textId="77777777" w:rsidR="00990B14" w:rsidRDefault="00990B14">
            <w:pPr>
              <w:spacing w:before="20" w:after="20"/>
            </w:pPr>
          </w:p>
        </w:tc>
        <w:tc>
          <w:tcPr>
            <w:tcW w:w="1910" w:type="dxa"/>
            <w:shd w:val="clear" w:color="auto" w:fill="4472C4"/>
            <w:vAlign w:val="center"/>
          </w:tcPr>
          <w:p w14:paraId="47EE9B25"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27C2B3C2" w14:textId="77777777" w:rsidR="00990B14" w:rsidRDefault="00000000">
            <w:pPr>
              <w:keepNext/>
              <w:spacing w:before="20" w:after="20"/>
              <w:jc w:val="center"/>
            </w:pPr>
            <w:r>
              <w:rPr>
                <w:b/>
                <w:bCs/>
                <w:i/>
                <w:iCs/>
                <w:color w:val="FFFFFF"/>
                <w:sz w:val="18"/>
                <w:szCs w:val="18"/>
              </w:rPr>
              <w:t>Insuficiente (1–50)</w:t>
            </w:r>
          </w:p>
        </w:tc>
        <w:tc>
          <w:tcPr>
            <w:tcW w:w="1867" w:type="dxa"/>
            <w:shd w:val="clear" w:color="auto" w:fill="4472C4"/>
            <w:vAlign w:val="center"/>
          </w:tcPr>
          <w:p w14:paraId="7376E0BB" w14:textId="77777777" w:rsidR="00990B14" w:rsidRDefault="00000000">
            <w:pPr>
              <w:keepNext/>
              <w:spacing w:before="20" w:after="20"/>
              <w:jc w:val="center"/>
            </w:pPr>
            <w:r>
              <w:rPr>
                <w:b/>
                <w:bCs/>
                <w:i/>
                <w:iCs/>
                <w:color w:val="FFFFFF"/>
                <w:sz w:val="18"/>
                <w:szCs w:val="18"/>
              </w:rPr>
              <w:t>Suficiente (51–80)</w:t>
            </w:r>
          </w:p>
        </w:tc>
        <w:tc>
          <w:tcPr>
            <w:tcW w:w="1868" w:type="dxa"/>
            <w:shd w:val="clear" w:color="auto" w:fill="4472C4"/>
            <w:vAlign w:val="center"/>
          </w:tcPr>
          <w:p w14:paraId="32985C2C" w14:textId="77777777" w:rsidR="00990B14" w:rsidRDefault="00000000">
            <w:pPr>
              <w:keepNext/>
              <w:spacing w:before="20" w:after="20"/>
              <w:jc w:val="center"/>
            </w:pPr>
            <w:r>
              <w:rPr>
                <w:b/>
                <w:bCs/>
                <w:i/>
                <w:iCs/>
                <w:color w:val="FFFFFF"/>
                <w:sz w:val="18"/>
                <w:szCs w:val="18"/>
              </w:rPr>
              <w:t>Destacado (81–100)</w:t>
            </w:r>
          </w:p>
        </w:tc>
      </w:tr>
      <w:tr w:rsidR="00990B14" w14:paraId="2B7CE4AF" w14:textId="77777777">
        <w:trPr>
          <w:cantSplit/>
          <w:jc w:val="center"/>
        </w:trPr>
        <w:tc>
          <w:tcPr>
            <w:tcW w:w="1850" w:type="dxa"/>
            <w:vMerge/>
            <w:shd w:val="clear" w:color="auto" w:fill="4472C4"/>
            <w:vAlign w:val="center"/>
          </w:tcPr>
          <w:p w14:paraId="2B7251A4" w14:textId="77777777" w:rsidR="00990B14" w:rsidRDefault="00990B14">
            <w:pPr>
              <w:spacing w:before="20" w:after="20"/>
            </w:pPr>
          </w:p>
        </w:tc>
        <w:tc>
          <w:tcPr>
            <w:tcW w:w="1910" w:type="dxa"/>
            <w:shd w:val="clear" w:color="auto" w:fill="D9E2F3"/>
            <w:vAlign w:val="center"/>
          </w:tcPr>
          <w:p w14:paraId="5BB2BB19" w14:textId="77777777" w:rsidR="00990B14" w:rsidRDefault="00000000">
            <w:pPr>
              <w:spacing w:before="20" w:after="20"/>
              <w:jc w:val="both"/>
            </w:pPr>
            <w:r>
              <w:rPr>
                <w:sz w:val="18"/>
                <w:szCs w:val="18"/>
              </w:rPr>
              <w:t>Tipo de política</w:t>
            </w:r>
          </w:p>
        </w:tc>
        <w:tc>
          <w:tcPr>
            <w:tcW w:w="1910" w:type="dxa"/>
            <w:shd w:val="clear" w:color="auto" w:fill="D9E2F3"/>
            <w:vAlign w:val="center"/>
          </w:tcPr>
          <w:p w14:paraId="72C08299" w14:textId="77777777" w:rsidR="00990B14" w:rsidRDefault="00000000">
            <w:pPr>
              <w:spacing w:before="20" w:after="20"/>
              <w:jc w:val="both"/>
            </w:pPr>
            <w:r>
              <w:rPr>
                <w:sz w:val="18"/>
                <w:szCs w:val="18"/>
              </w:rPr>
              <w:t>Confunde los tipos de política.</w:t>
            </w:r>
          </w:p>
        </w:tc>
        <w:tc>
          <w:tcPr>
            <w:tcW w:w="1867" w:type="dxa"/>
            <w:shd w:val="clear" w:color="auto" w:fill="D9E2F3"/>
            <w:vAlign w:val="center"/>
          </w:tcPr>
          <w:p w14:paraId="5E5F2396" w14:textId="77777777" w:rsidR="00990B14" w:rsidRDefault="00000000">
            <w:pPr>
              <w:spacing w:before="20" w:after="20"/>
              <w:jc w:val="both"/>
            </w:pPr>
            <w:r>
              <w:rPr>
                <w:sz w:val="18"/>
                <w:szCs w:val="18"/>
              </w:rPr>
              <w:t>Selecciona un tipo de política pertinente.</w:t>
            </w:r>
          </w:p>
        </w:tc>
        <w:tc>
          <w:tcPr>
            <w:tcW w:w="1868" w:type="dxa"/>
            <w:shd w:val="clear" w:color="auto" w:fill="D9E2F3"/>
            <w:vAlign w:val="center"/>
          </w:tcPr>
          <w:p w14:paraId="02E52303" w14:textId="77777777" w:rsidR="00990B14" w:rsidRDefault="00000000">
            <w:pPr>
              <w:spacing w:before="20" w:after="20"/>
              <w:jc w:val="both"/>
            </w:pPr>
            <w:r>
              <w:rPr>
                <w:sz w:val="18"/>
                <w:szCs w:val="18"/>
              </w:rPr>
              <w:t>Justifica la política según las necesidades de inversión.</w:t>
            </w:r>
          </w:p>
        </w:tc>
      </w:tr>
      <w:tr w:rsidR="00990B14" w14:paraId="2A416091" w14:textId="77777777">
        <w:trPr>
          <w:cantSplit/>
          <w:jc w:val="center"/>
        </w:trPr>
        <w:tc>
          <w:tcPr>
            <w:tcW w:w="1850" w:type="dxa"/>
            <w:vMerge/>
            <w:shd w:val="clear" w:color="auto" w:fill="4472C4"/>
            <w:vAlign w:val="center"/>
          </w:tcPr>
          <w:p w14:paraId="715DE910" w14:textId="77777777" w:rsidR="00990B14" w:rsidRDefault="00990B14">
            <w:pPr>
              <w:spacing w:before="20" w:after="20"/>
            </w:pPr>
          </w:p>
        </w:tc>
        <w:tc>
          <w:tcPr>
            <w:tcW w:w="1910" w:type="dxa"/>
            <w:shd w:val="clear" w:color="auto" w:fill="D9E2F3"/>
            <w:vAlign w:val="center"/>
          </w:tcPr>
          <w:p w14:paraId="3AC2F357" w14:textId="77777777" w:rsidR="00990B14" w:rsidRDefault="00000000">
            <w:pPr>
              <w:spacing w:before="20" w:after="20"/>
              <w:jc w:val="both"/>
            </w:pPr>
            <w:r>
              <w:rPr>
                <w:sz w:val="18"/>
                <w:szCs w:val="18"/>
              </w:rPr>
              <w:t>Restricciones</w:t>
            </w:r>
          </w:p>
        </w:tc>
        <w:tc>
          <w:tcPr>
            <w:tcW w:w="1910" w:type="dxa"/>
            <w:shd w:val="clear" w:color="auto" w:fill="D9E2F3"/>
            <w:vAlign w:val="center"/>
          </w:tcPr>
          <w:p w14:paraId="63FE1311" w14:textId="77777777" w:rsidR="00990B14" w:rsidRDefault="00000000">
            <w:pPr>
              <w:spacing w:before="20" w:after="20"/>
              <w:jc w:val="both"/>
            </w:pPr>
            <w:r>
              <w:rPr>
                <w:sz w:val="18"/>
                <w:szCs w:val="18"/>
              </w:rPr>
              <w:t>Omite restricciones legales o contractuales.</w:t>
            </w:r>
          </w:p>
        </w:tc>
        <w:tc>
          <w:tcPr>
            <w:tcW w:w="1867" w:type="dxa"/>
            <w:shd w:val="clear" w:color="auto" w:fill="D9E2F3"/>
            <w:vAlign w:val="center"/>
          </w:tcPr>
          <w:p w14:paraId="252E5170" w14:textId="77777777" w:rsidR="00990B14" w:rsidRDefault="00000000">
            <w:pPr>
              <w:spacing w:before="20" w:after="20"/>
              <w:jc w:val="both"/>
            </w:pPr>
            <w:r>
              <w:rPr>
                <w:sz w:val="18"/>
                <w:szCs w:val="18"/>
              </w:rPr>
              <w:t>Considera la reserva legal y las restricciones contractuales.</w:t>
            </w:r>
          </w:p>
        </w:tc>
        <w:tc>
          <w:tcPr>
            <w:tcW w:w="1868" w:type="dxa"/>
            <w:shd w:val="clear" w:color="auto" w:fill="D9E2F3"/>
            <w:vAlign w:val="center"/>
          </w:tcPr>
          <w:p w14:paraId="7CF6FC7E" w14:textId="77777777" w:rsidR="00990B14" w:rsidRDefault="00000000">
            <w:pPr>
              <w:spacing w:before="20" w:after="20"/>
              <w:jc w:val="both"/>
            </w:pPr>
            <w:r>
              <w:rPr>
                <w:sz w:val="18"/>
                <w:szCs w:val="18"/>
              </w:rPr>
              <w:t>Evalúa el efecto tributario de la distribución.</w:t>
            </w:r>
          </w:p>
        </w:tc>
      </w:tr>
      <w:tr w:rsidR="00990B14" w14:paraId="40F18A16" w14:textId="77777777">
        <w:trPr>
          <w:cantSplit/>
          <w:jc w:val="center"/>
        </w:trPr>
        <w:tc>
          <w:tcPr>
            <w:tcW w:w="1850" w:type="dxa"/>
            <w:vMerge/>
            <w:shd w:val="clear" w:color="auto" w:fill="4472C4"/>
            <w:vAlign w:val="center"/>
          </w:tcPr>
          <w:p w14:paraId="292258A5" w14:textId="77777777" w:rsidR="00990B14" w:rsidRDefault="00990B14">
            <w:pPr>
              <w:spacing w:before="20" w:after="20"/>
            </w:pPr>
          </w:p>
        </w:tc>
        <w:tc>
          <w:tcPr>
            <w:tcW w:w="1910" w:type="dxa"/>
            <w:shd w:val="clear" w:color="auto" w:fill="D9E2F3"/>
            <w:vAlign w:val="center"/>
          </w:tcPr>
          <w:p w14:paraId="25AF6DBC" w14:textId="77777777" w:rsidR="00990B14" w:rsidRDefault="00000000">
            <w:pPr>
              <w:spacing w:before="20" w:after="20"/>
              <w:jc w:val="both"/>
            </w:pPr>
            <w:r>
              <w:rPr>
                <w:sz w:val="18"/>
                <w:szCs w:val="18"/>
              </w:rPr>
              <w:t>Sustentación</w:t>
            </w:r>
          </w:p>
        </w:tc>
        <w:tc>
          <w:tcPr>
            <w:tcW w:w="1910" w:type="dxa"/>
            <w:shd w:val="clear" w:color="auto" w:fill="D9E2F3"/>
            <w:vAlign w:val="center"/>
          </w:tcPr>
          <w:p w14:paraId="56119D30" w14:textId="77777777" w:rsidR="00990B14" w:rsidRDefault="00000000">
            <w:pPr>
              <w:spacing w:before="20" w:after="20"/>
              <w:jc w:val="both"/>
            </w:pPr>
            <w:r>
              <w:rPr>
                <w:sz w:val="18"/>
                <w:szCs w:val="18"/>
              </w:rPr>
              <w:t>La sustentación es confusa.</w:t>
            </w:r>
          </w:p>
        </w:tc>
        <w:tc>
          <w:tcPr>
            <w:tcW w:w="1867" w:type="dxa"/>
            <w:shd w:val="clear" w:color="auto" w:fill="D9E2F3"/>
            <w:vAlign w:val="center"/>
          </w:tcPr>
          <w:p w14:paraId="7CC816BF" w14:textId="77777777" w:rsidR="00990B14" w:rsidRDefault="00000000">
            <w:pPr>
              <w:spacing w:before="20" w:after="20"/>
              <w:jc w:val="both"/>
            </w:pPr>
            <w:r>
              <w:rPr>
                <w:sz w:val="18"/>
                <w:szCs w:val="18"/>
              </w:rPr>
              <w:t>Sustenta con claridad la propuesta.</w:t>
            </w:r>
          </w:p>
        </w:tc>
        <w:tc>
          <w:tcPr>
            <w:tcW w:w="1868" w:type="dxa"/>
            <w:shd w:val="clear" w:color="auto" w:fill="D9E2F3"/>
            <w:vAlign w:val="center"/>
          </w:tcPr>
          <w:p w14:paraId="231D9533" w14:textId="77777777" w:rsidR="00990B14" w:rsidRDefault="00000000">
            <w:pPr>
              <w:spacing w:before="20" w:after="20"/>
              <w:jc w:val="both"/>
            </w:pPr>
            <w:r>
              <w:rPr>
                <w:sz w:val="18"/>
                <w:szCs w:val="18"/>
              </w:rPr>
              <w:t>Responde con fundamentos a las observaciones.</w:t>
            </w:r>
          </w:p>
        </w:tc>
      </w:tr>
      <w:tr w:rsidR="00990B14" w14:paraId="6D074FA5" w14:textId="77777777">
        <w:trPr>
          <w:cantSplit/>
          <w:jc w:val="center"/>
        </w:trPr>
        <w:tc>
          <w:tcPr>
            <w:tcW w:w="1850" w:type="dxa"/>
            <w:vMerge/>
            <w:shd w:val="clear" w:color="auto" w:fill="4472C4"/>
            <w:vAlign w:val="center"/>
          </w:tcPr>
          <w:p w14:paraId="0D4B4F8D" w14:textId="77777777" w:rsidR="00990B14" w:rsidRDefault="00990B14">
            <w:pPr>
              <w:spacing w:before="20" w:after="20"/>
            </w:pPr>
          </w:p>
        </w:tc>
        <w:tc>
          <w:tcPr>
            <w:tcW w:w="5687" w:type="dxa"/>
            <w:gridSpan w:val="3"/>
            <w:shd w:val="clear" w:color="auto" w:fill="D9E2F3"/>
            <w:vAlign w:val="center"/>
          </w:tcPr>
          <w:p w14:paraId="1D379ABC" w14:textId="77777777" w:rsidR="00990B14" w:rsidRDefault="00000000">
            <w:pPr>
              <w:keepNext/>
              <w:spacing w:before="20" w:after="20"/>
              <w:jc w:val="both"/>
            </w:pPr>
            <w:r>
              <w:rPr>
                <w:b/>
                <w:bCs/>
                <w:i/>
                <w:iCs/>
                <w:sz w:val="18"/>
                <w:szCs w:val="18"/>
              </w:rPr>
              <w:t xml:space="preserve">Producto 21: </w:t>
            </w:r>
            <w:r>
              <w:rPr>
                <w:sz w:val="18"/>
                <w:szCs w:val="18"/>
              </w:rPr>
              <w:t>Cuadro de mando integral del área financiera con herramientas de inteligencia de negocios</w:t>
            </w:r>
          </w:p>
        </w:tc>
        <w:tc>
          <w:tcPr>
            <w:tcW w:w="1868" w:type="dxa"/>
            <w:shd w:val="clear" w:color="auto" w:fill="D9E2F3"/>
            <w:vAlign w:val="center"/>
          </w:tcPr>
          <w:p w14:paraId="7937CED9" w14:textId="77777777" w:rsidR="00990B14" w:rsidRDefault="00000000">
            <w:pPr>
              <w:spacing w:before="20" w:after="20"/>
              <w:jc w:val="center"/>
            </w:pPr>
            <w:r>
              <w:rPr>
                <w:b/>
                <w:bCs/>
                <w:sz w:val="18"/>
                <w:szCs w:val="18"/>
              </w:rPr>
              <w:t>2%</w:t>
            </w:r>
          </w:p>
        </w:tc>
      </w:tr>
      <w:tr w:rsidR="00990B14" w14:paraId="5A7112B4" w14:textId="77777777">
        <w:trPr>
          <w:cantSplit/>
          <w:jc w:val="center"/>
        </w:trPr>
        <w:tc>
          <w:tcPr>
            <w:tcW w:w="1850" w:type="dxa"/>
            <w:vMerge/>
            <w:shd w:val="clear" w:color="auto" w:fill="4472C4"/>
            <w:vAlign w:val="center"/>
          </w:tcPr>
          <w:p w14:paraId="4C874DAC" w14:textId="77777777" w:rsidR="00990B14" w:rsidRDefault="00990B14">
            <w:pPr>
              <w:spacing w:before="20" w:after="20"/>
            </w:pPr>
          </w:p>
        </w:tc>
        <w:tc>
          <w:tcPr>
            <w:tcW w:w="1910" w:type="dxa"/>
            <w:shd w:val="clear" w:color="auto" w:fill="4472C4"/>
            <w:vAlign w:val="center"/>
          </w:tcPr>
          <w:p w14:paraId="7DBBAC80"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23D5B5B8" w14:textId="77777777" w:rsidR="00990B14" w:rsidRDefault="00000000">
            <w:pPr>
              <w:keepNext/>
              <w:spacing w:before="20" w:after="20"/>
              <w:jc w:val="center"/>
            </w:pPr>
            <w:r>
              <w:rPr>
                <w:b/>
                <w:bCs/>
                <w:i/>
                <w:iCs/>
                <w:color w:val="FFFFFF"/>
                <w:sz w:val="18"/>
                <w:szCs w:val="18"/>
              </w:rPr>
              <w:t>Insuficiente (1–50)</w:t>
            </w:r>
          </w:p>
        </w:tc>
        <w:tc>
          <w:tcPr>
            <w:tcW w:w="1867" w:type="dxa"/>
            <w:shd w:val="clear" w:color="auto" w:fill="4472C4"/>
            <w:vAlign w:val="center"/>
          </w:tcPr>
          <w:p w14:paraId="58A91A33" w14:textId="77777777" w:rsidR="00990B14" w:rsidRDefault="00000000">
            <w:pPr>
              <w:keepNext/>
              <w:spacing w:before="20" w:after="20"/>
              <w:jc w:val="center"/>
            </w:pPr>
            <w:r>
              <w:rPr>
                <w:b/>
                <w:bCs/>
                <w:i/>
                <w:iCs/>
                <w:color w:val="FFFFFF"/>
                <w:sz w:val="18"/>
                <w:szCs w:val="18"/>
              </w:rPr>
              <w:t>Suficiente (51–80)</w:t>
            </w:r>
          </w:p>
        </w:tc>
        <w:tc>
          <w:tcPr>
            <w:tcW w:w="1868" w:type="dxa"/>
            <w:shd w:val="clear" w:color="auto" w:fill="4472C4"/>
            <w:vAlign w:val="center"/>
          </w:tcPr>
          <w:p w14:paraId="6A5F05DE" w14:textId="77777777" w:rsidR="00990B14" w:rsidRDefault="00000000">
            <w:pPr>
              <w:keepNext/>
              <w:spacing w:before="20" w:after="20"/>
              <w:jc w:val="center"/>
            </w:pPr>
            <w:r>
              <w:rPr>
                <w:b/>
                <w:bCs/>
                <w:i/>
                <w:iCs/>
                <w:color w:val="FFFFFF"/>
                <w:sz w:val="18"/>
                <w:szCs w:val="18"/>
              </w:rPr>
              <w:t>Destacado (81–100)</w:t>
            </w:r>
          </w:p>
        </w:tc>
      </w:tr>
      <w:tr w:rsidR="00990B14" w14:paraId="4379C40C" w14:textId="77777777">
        <w:trPr>
          <w:cantSplit/>
          <w:jc w:val="center"/>
        </w:trPr>
        <w:tc>
          <w:tcPr>
            <w:tcW w:w="1850" w:type="dxa"/>
            <w:vMerge/>
            <w:shd w:val="clear" w:color="auto" w:fill="4472C4"/>
            <w:vAlign w:val="center"/>
          </w:tcPr>
          <w:p w14:paraId="3EE7634D" w14:textId="77777777" w:rsidR="00990B14" w:rsidRDefault="00990B14">
            <w:pPr>
              <w:spacing w:before="20" w:after="20"/>
            </w:pPr>
          </w:p>
        </w:tc>
        <w:tc>
          <w:tcPr>
            <w:tcW w:w="1910" w:type="dxa"/>
            <w:shd w:val="clear" w:color="auto" w:fill="D9E2F3"/>
            <w:vAlign w:val="center"/>
          </w:tcPr>
          <w:p w14:paraId="4DD947A1" w14:textId="77777777" w:rsidR="00990B14" w:rsidRDefault="00000000">
            <w:pPr>
              <w:spacing w:before="20" w:after="20"/>
              <w:jc w:val="both"/>
            </w:pPr>
            <w:r>
              <w:rPr>
                <w:sz w:val="18"/>
                <w:szCs w:val="18"/>
              </w:rPr>
              <w:t>Indicadores</w:t>
            </w:r>
          </w:p>
        </w:tc>
        <w:tc>
          <w:tcPr>
            <w:tcW w:w="1910" w:type="dxa"/>
            <w:shd w:val="clear" w:color="auto" w:fill="D9E2F3"/>
            <w:vAlign w:val="center"/>
          </w:tcPr>
          <w:p w14:paraId="239DD058" w14:textId="77777777" w:rsidR="00990B14" w:rsidRDefault="00000000">
            <w:pPr>
              <w:spacing w:before="20" w:after="20"/>
              <w:jc w:val="both"/>
            </w:pPr>
            <w:r>
              <w:rPr>
                <w:sz w:val="18"/>
                <w:szCs w:val="18"/>
              </w:rPr>
              <w:t>Los indicadores no responden a la estrategia.</w:t>
            </w:r>
          </w:p>
        </w:tc>
        <w:tc>
          <w:tcPr>
            <w:tcW w:w="1867" w:type="dxa"/>
            <w:shd w:val="clear" w:color="auto" w:fill="D9E2F3"/>
            <w:vAlign w:val="center"/>
          </w:tcPr>
          <w:p w14:paraId="784E862C" w14:textId="77777777" w:rsidR="00990B14" w:rsidRDefault="00000000">
            <w:pPr>
              <w:spacing w:before="20" w:after="20"/>
              <w:jc w:val="both"/>
            </w:pPr>
            <w:r>
              <w:rPr>
                <w:sz w:val="18"/>
                <w:szCs w:val="18"/>
              </w:rPr>
              <w:t>Define indicadores financieros vinculados a la estrategia.</w:t>
            </w:r>
          </w:p>
        </w:tc>
        <w:tc>
          <w:tcPr>
            <w:tcW w:w="1868" w:type="dxa"/>
            <w:shd w:val="clear" w:color="auto" w:fill="D9E2F3"/>
            <w:vAlign w:val="center"/>
          </w:tcPr>
          <w:p w14:paraId="777E4DC0" w14:textId="77777777" w:rsidR="00990B14" w:rsidRDefault="00000000">
            <w:pPr>
              <w:spacing w:before="20" w:after="20"/>
              <w:jc w:val="both"/>
            </w:pPr>
            <w:r>
              <w:rPr>
                <w:sz w:val="18"/>
                <w:szCs w:val="18"/>
              </w:rPr>
              <w:t>Asigna metas y responsables a cada indicador.</w:t>
            </w:r>
          </w:p>
        </w:tc>
      </w:tr>
      <w:tr w:rsidR="00990B14" w14:paraId="4C8A3B7C" w14:textId="77777777">
        <w:trPr>
          <w:cantSplit/>
          <w:jc w:val="center"/>
        </w:trPr>
        <w:tc>
          <w:tcPr>
            <w:tcW w:w="1850" w:type="dxa"/>
            <w:vMerge/>
            <w:shd w:val="clear" w:color="auto" w:fill="4472C4"/>
            <w:vAlign w:val="center"/>
          </w:tcPr>
          <w:p w14:paraId="3162DF98" w14:textId="77777777" w:rsidR="00990B14" w:rsidRDefault="00990B14">
            <w:pPr>
              <w:spacing w:before="20" w:after="20"/>
            </w:pPr>
          </w:p>
        </w:tc>
        <w:tc>
          <w:tcPr>
            <w:tcW w:w="1910" w:type="dxa"/>
            <w:shd w:val="clear" w:color="auto" w:fill="D9E2F3"/>
            <w:vAlign w:val="center"/>
          </w:tcPr>
          <w:p w14:paraId="39289EE3" w14:textId="77777777" w:rsidR="00990B14" w:rsidRDefault="00000000">
            <w:pPr>
              <w:spacing w:before="20" w:after="20"/>
              <w:jc w:val="both"/>
            </w:pPr>
            <w:r>
              <w:rPr>
                <w:sz w:val="18"/>
                <w:szCs w:val="18"/>
              </w:rPr>
              <w:t>Preparación de datos</w:t>
            </w:r>
          </w:p>
        </w:tc>
        <w:tc>
          <w:tcPr>
            <w:tcW w:w="1910" w:type="dxa"/>
            <w:shd w:val="clear" w:color="auto" w:fill="D9E2F3"/>
            <w:vAlign w:val="center"/>
          </w:tcPr>
          <w:p w14:paraId="66644E0B" w14:textId="77777777" w:rsidR="00990B14" w:rsidRDefault="00000000">
            <w:pPr>
              <w:spacing w:before="20" w:after="20"/>
              <w:jc w:val="both"/>
            </w:pPr>
            <w:r>
              <w:rPr>
                <w:sz w:val="18"/>
                <w:szCs w:val="18"/>
              </w:rPr>
              <w:t>Usa datos sin depurar.</w:t>
            </w:r>
          </w:p>
        </w:tc>
        <w:tc>
          <w:tcPr>
            <w:tcW w:w="1867" w:type="dxa"/>
            <w:shd w:val="clear" w:color="auto" w:fill="D9E2F3"/>
            <w:vAlign w:val="center"/>
          </w:tcPr>
          <w:p w14:paraId="3112E532" w14:textId="77777777" w:rsidR="00990B14" w:rsidRDefault="00000000">
            <w:pPr>
              <w:spacing w:before="20" w:after="20"/>
              <w:jc w:val="both"/>
            </w:pPr>
            <w:r>
              <w:rPr>
                <w:sz w:val="18"/>
                <w:szCs w:val="18"/>
              </w:rPr>
              <w:t>Extrae, transforma y carga los datos con control de calidad.</w:t>
            </w:r>
          </w:p>
        </w:tc>
        <w:tc>
          <w:tcPr>
            <w:tcW w:w="1868" w:type="dxa"/>
            <w:shd w:val="clear" w:color="auto" w:fill="D9E2F3"/>
            <w:vAlign w:val="center"/>
          </w:tcPr>
          <w:p w14:paraId="3CEF89E7" w14:textId="77777777" w:rsidR="00990B14" w:rsidRDefault="00000000">
            <w:pPr>
              <w:spacing w:before="20" w:after="20"/>
              <w:jc w:val="both"/>
            </w:pPr>
            <w:r>
              <w:rPr>
                <w:sz w:val="18"/>
                <w:szCs w:val="18"/>
              </w:rPr>
              <w:t>Documenta el proceso de depuración.</w:t>
            </w:r>
          </w:p>
        </w:tc>
      </w:tr>
      <w:tr w:rsidR="00990B14" w14:paraId="7319D4A3" w14:textId="77777777">
        <w:trPr>
          <w:cantSplit/>
          <w:jc w:val="center"/>
        </w:trPr>
        <w:tc>
          <w:tcPr>
            <w:tcW w:w="1850" w:type="dxa"/>
            <w:vMerge/>
            <w:shd w:val="clear" w:color="auto" w:fill="4472C4"/>
            <w:vAlign w:val="center"/>
          </w:tcPr>
          <w:p w14:paraId="6E18D258" w14:textId="77777777" w:rsidR="00990B14" w:rsidRDefault="00990B14">
            <w:pPr>
              <w:spacing w:before="20" w:after="20"/>
            </w:pPr>
          </w:p>
        </w:tc>
        <w:tc>
          <w:tcPr>
            <w:tcW w:w="1910" w:type="dxa"/>
            <w:shd w:val="clear" w:color="auto" w:fill="D9E2F3"/>
            <w:vAlign w:val="center"/>
          </w:tcPr>
          <w:p w14:paraId="494A730D" w14:textId="77777777" w:rsidR="00990B14" w:rsidRDefault="00000000">
            <w:pPr>
              <w:spacing w:before="20" w:after="20"/>
              <w:jc w:val="both"/>
            </w:pPr>
            <w:r>
              <w:rPr>
                <w:sz w:val="18"/>
                <w:szCs w:val="18"/>
              </w:rPr>
              <w:t>Visualización</w:t>
            </w:r>
          </w:p>
        </w:tc>
        <w:tc>
          <w:tcPr>
            <w:tcW w:w="1910" w:type="dxa"/>
            <w:shd w:val="clear" w:color="auto" w:fill="D9E2F3"/>
            <w:vAlign w:val="center"/>
          </w:tcPr>
          <w:p w14:paraId="482CA7F1" w14:textId="77777777" w:rsidR="00990B14" w:rsidRDefault="00000000">
            <w:pPr>
              <w:spacing w:before="20" w:after="20"/>
              <w:jc w:val="both"/>
            </w:pPr>
            <w:r>
              <w:rPr>
                <w:sz w:val="18"/>
                <w:szCs w:val="18"/>
              </w:rPr>
              <w:t>El tablero es confuso.</w:t>
            </w:r>
          </w:p>
        </w:tc>
        <w:tc>
          <w:tcPr>
            <w:tcW w:w="1867" w:type="dxa"/>
            <w:shd w:val="clear" w:color="auto" w:fill="D9E2F3"/>
            <w:vAlign w:val="center"/>
          </w:tcPr>
          <w:p w14:paraId="7433A9CE" w14:textId="77777777" w:rsidR="00990B14" w:rsidRDefault="00000000">
            <w:pPr>
              <w:spacing w:before="20" w:after="20"/>
              <w:jc w:val="both"/>
            </w:pPr>
            <w:r>
              <w:rPr>
                <w:sz w:val="18"/>
                <w:szCs w:val="18"/>
              </w:rPr>
              <w:t>El tablero es claro y legible.</w:t>
            </w:r>
          </w:p>
        </w:tc>
        <w:tc>
          <w:tcPr>
            <w:tcW w:w="1868" w:type="dxa"/>
            <w:shd w:val="clear" w:color="auto" w:fill="D9E2F3"/>
            <w:vAlign w:val="center"/>
          </w:tcPr>
          <w:p w14:paraId="7D063B31" w14:textId="77777777" w:rsidR="00990B14" w:rsidRDefault="00000000">
            <w:pPr>
              <w:spacing w:before="20" w:after="20"/>
              <w:jc w:val="both"/>
            </w:pPr>
            <w:r>
              <w:rPr>
                <w:sz w:val="18"/>
                <w:szCs w:val="18"/>
              </w:rPr>
              <w:t>El tablero permite analizar por periodo y unidad.</w:t>
            </w:r>
          </w:p>
        </w:tc>
      </w:tr>
      <w:tr w:rsidR="00990B14" w14:paraId="17FD04C5" w14:textId="77777777">
        <w:trPr>
          <w:cantSplit/>
          <w:jc w:val="center"/>
        </w:trPr>
        <w:tc>
          <w:tcPr>
            <w:tcW w:w="1850" w:type="dxa"/>
            <w:vMerge/>
            <w:shd w:val="clear" w:color="auto" w:fill="4472C4"/>
            <w:vAlign w:val="center"/>
          </w:tcPr>
          <w:p w14:paraId="40FF6B93" w14:textId="77777777" w:rsidR="00990B14" w:rsidRDefault="00990B14">
            <w:pPr>
              <w:spacing w:before="20" w:after="20"/>
            </w:pPr>
          </w:p>
        </w:tc>
        <w:tc>
          <w:tcPr>
            <w:tcW w:w="5687" w:type="dxa"/>
            <w:gridSpan w:val="3"/>
            <w:shd w:val="clear" w:color="auto" w:fill="D9E2F3"/>
            <w:vAlign w:val="center"/>
          </w:tcPr>
          <w:p w14:paraId="21CEB1B5" w14:textId="77777777" w:rsidR="00990B14" w:rsidRDefault="00000000">
            <w:pPr>
              <w:keepNext/>
              <w:spacing w:before="20" w:after="20"/>
              <w:jc w:val="both"/>
            </w:pPr>
            <w:r>
              <w:rPr>
                <w:b/>
                <w:bCs/>
                <w:i/>
                <w:iCs/>
                <w:sz w:val="18"/>
                <w:szCs w:val="18"/>
              </w:rPr>
              <w:t xml:space="preserve">Producto 22: </w:t>
            </w:r>
            <w:r>
              <w:rPr>
                <w:sz w:val="18"/>
                <w:szCs w:val="18"/>
              </w:rPr>
              <w:t>Informe de verificación de la calidad de los datos financieros</w:t>
            </w:r>
          </w:p>
        </w:tc>
        <w:tc>
          <w:tcPr>
            <w:tcW w:w="1868" w:type="dxa"/>
            <w:shd w:val="clear" w:color="auto" w:fill="D9E2F3"/>
            <w:vAlign w:val="center"/>
          </w:tcPr>
          <w:p w14:paraId="1184354A" w14:textId="77777777" w:rsidR="00990B14" w:rsidRDefault="00000000">
            <w:pPr>
              <w:spacing w:before="20" w:after="20"/>
              <w:jc w:val="center"/>
            </w:pPr>
            <w:r>
              <w:rPr>
                <w:b/>
                <w:bCs/>
                <w:sz w:val="18"/>
                <w:szCs w:val="18"/>
              </w:rPr>
              <w:t>2%</w:t>
            </w:r>
          </w:p>
        </w:tc>
      </w:tr>
      <w:tr w:rsidR="00990B14" w14:paraId="046DD6CB" w14:textId="77777777">
        <w:trPr>
          <w:cantSplit/>
          <w:jc w:val="center"/>
        </w:trPr>
        <w:tc>
          <w:tcPr>
            <w:tcW w:w="1850" w:type="dxa"/>
            <w:vMerge/>
            <w:shd w:val="clear" w:color="auto" w:fill="4472C4"/>
            <w:vAlign w:val="center"/>
          </w:tcPr>
          <w:p w14:paraId="60ACA579" w14:textId="77777777" w:rsidR="00990B14" w:rsidRDefault="00990B14">
            <w:pPr>
              <w:spacing w:before="20" w:after="20"/>
            </w:pPr>
          </w:p>
        </w:tc>
        <w:tc>
          <w:tcPr>
            <w:tcW w:w="1910" w:type="dxa"/>
            <w:shd w:val="clear" w:color="auto" w:fill="4472C4"/>
            <w:vAlign w:val="center"/>
          </w:tcPr>
          <w:p w14:paraId="5A54FDBB"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0996C28F" w14:textId="77777777" w:rsidR="00990B14" w:rsidRDefault="00000000">
            <w:pPr>
              <w:keepNext/>
              <w:spacing w:before="20" w:after="20"/>
              <w:jc w:val="center"/>
            </w:pPr>
            <w:r>
              <w:rPr>
                <w:b/>
                <w:bCs/>
                <w:i/>
                <w:iCs/>
                <w:color w:val="FFFFFF"/>
                <w:sz w:val="18"/>
                <w:szCs w:val="18"/>
              </w:rPr>
              <w:t>Insuficiente (1–50)</w:t>
            </w:r>
          </w:p>
        </w:tc>
        <w:tc>
          <w:tcPr>
            <w:tcW w:w="1867" w:type="dxa"/>
            <w:shd w:val="clear" w:color="auto" w:fill="4472C4"/>
            <w:vAlign w:val="center"/>
          </w:tcPr>
          <w:p w14:paraId="77B29055" w14:textId="77777777" w:rsidR="00990B14" w:rsidRDefault="00000000">
            <w:pPr>
              <w:keepNext/>
              <w:spacing w:before="20" w:after="20"/>
              <w:jc w:val="center"/>
            </w:pPr>
            <w:r>
              <w:rPr>
                <w:b/>
                <w:bCs/>
                <w:i/>
                <w:iCs/>
                <w:color w:val="FFFFFF"/>
                <w:sz w:val="18"/>
                <w:szCs w:val="18"/>
              </w:rPr>
              <w:t>Suficiente (51–80)</w:t>
            </w:r>
          </w:p>
        </w:tc>
        <w:tc>
          <w:tcPr>
            <w:tcW w:w="1868" w:type="dxa"/>
            <w:shd w:val="clear" w:color="auto" w:fill="4472C4"/>
            <w:vAlign w:val="center"/>
          </w:tcPr>
          <w:p w14:paraId="1858096A" w14:textId="77777777" w:rsidR="00990B14" w:rsidRDefault="00000000">
            <w:pPr>
              <w:keepNext/>
              <w:spacing w:before="20" w:after="20"/>
              <w:jc w:val="center"/>
            </w:pPr>
            <w:r>
              <w:rPr>
                <w:b/>
                <w:bCs/>
                <w:i/>
                <w:iCs/>
                <w:color w:val="FFFFFF"/>
                <w:sz w:val="18"/>
                <w:szCs w:val="18"/>
              </w:rPr>
              <w:t>Destacado (81–100)</w:t>
            </w:r>
          </w:p>
        </w:tc>
      </w:tr>
      <w:tr w:rsidR="00990B14" w14:paraId="04DC225C" w14:textId="77777777">
        <w:trPr>
          <w:cantSplit/>
          <w:jc w:val="center"/>
        </w:trPr>
        <w:tc>
          <w:tcPr>
            <w:tcW w:w="1850" w:type="dxa"/>
            <w:vMerge/>
            <w:shd w:val="clear" w:color="auto" w:fill="4472C4"/>
            <w:vAlign w:val="center"/>
          </w:tcPr>
          <w:p w14:paraId="04D5CE77" w14:textId="77777777" w:rsidR="00990B14" w:rsidRDefault="00990B14">
            <w:pPr>
              <w:spacing w:before="20" w:after="20"/>
            </w:pPr>
          </w:p>
        </w:tc>
        <w:tc>
          <w:tcPr>
            <w:tcW w:w="1910" w:type="dxa"/>
            <w:shd w:val="clear" w:color="auto" w:fill="D9E2F3"/>
            <w:vAlign w:val="center"/>
          </w:tcPr>
          <w:p w14:paraId="195E5EDC" w14:textId="77777777" w:rsidR="00990B14" w:rsidRDefault="00000000">
            <w:pPr>
              <w:spacing w:before="20" w:after="20"/>
              <w:jc w:val="both"/>
            </w:pPr>
            <w:r>
              <w:rPr>
                <w:sz w:val="18"/>
                <w:szCs w:val="18"/>
              </w:rPr>
              <w:t>Verificación de los datos</w:t>
            </w:r>
          </w:p>
        </w:tc>
        <w:tc>
          <w:tcPr>
            <w:tcW w:w="1910" w:type="dxa"/>
            <w:shd w:val="clear" w:color="auto" w:fill="D9E2F3"/>
            <w:vAlign w:val="center"/>
          </w:tcPr>
          <w:p w14:paraId="5469D72B" w14:textId="77777777" w:rsidR="00990B14" w:rsidRDefault="00000000">
            <w:pPr>
              <w:spacing w:before="20" w:after="20"/>
              <w:jc w:val="both"/>
            </w:pPr>
            <w:r>
              <w:rPr>
                <w:sz w:val="18"/>
                <w:szCs w:val="18"/>
              </w:rPr>
              <w:t>Acepta los datos sin revisión.</w:t>
            </w:r>
          </w:p>
        </w:tc>
        <w:tc>
          <w:tcPr>
            <w:tcW w:w="1867" w:type="dxa"/>
            <w:shd w:val="clear" w:color="auto" w:fill="D9E2F3"/>
            <w:vAlign w:val="center"/>
          </w:tcPr>
          <w:p w14:paraId="7B705DC4" w14:textId="77777777" w:rsidR="00990B14" w:rsidRDefault="00000000">
            <w:pPr>
              <w:spacing w:before="20" w:after="20"/>
              <w:jc w:val="both"/>
            </w:pPr>
            <w:r>
              <w:rPr>
                <w:sz w:val="18"/>
                <w:szCs w:val="18"/>
              </w:rPr>
              <w:t>Contrasta los datos depurados con los de origen.</w:t>
            </w:r>
          </w:p>
        </w:tc>
        <w:tc>
          <w:tcPr>
            <w:tcW w:w="1868" w:type="dxa"/>
            <w:shd w:val="clear" w:color="auto" w:fill="D9E2F3"/>
            <w:vAlign w:val="center"/>
          </w:tcPr>
          <w:p w14:paraId="20CA1D8B" w14:textId="77777777" w:rsidR="00990B14" w:rsidRDefault="00000000">
            <w:pPr>
              <w:spacing w:before="20" w:after="20"/>
              <w:jc w:val="both"/>
            </w:pPr>
            <w:r>
              <w:rPr>
                <w:sz w:val="18"/>
                <w:szCs w:val="18"/>
              </w:rPr>
              <w:t>Detecta errores u omisiones en los datos.</w:t>
            </w:r>
          </w:p>
        </w:tc>
      </w:tr>
      <w:tr w:rsidR="00990B14" w14:paraId="3B463B66" w14:textId="77777777">
        <w:trPr>
          <w:cantSplit/>
          <w:jc w:val="center"/>
        </w:trPr>
        <w:tc>
          <w:tcPr>
            <w:tcW w:w="1850" w:type="dxa"/>
            <w:vMerge/>
            <w:shd w:val="clear" w:color="auto" w:fill="4472C4"/>
            <w:vAlign w:val="center"/>
          </w:tcPr>
          <w:p w14:paraId="0C1ED421" w14:textId="77777777" w:rsidR="00990B14" w:rsidRDefault="00990B14">
            <w:pPr>
              <w:spacing w:before="20" w:after="20"/>
            </w:pPr>
          </w:p>
        </w:tc>
        <w:tc>
          <w:tcPr>
            <w:tcW w:w="1910" w:type="dxa"/>
            <w:shd w:val="clear" w:color="auto" w:fill="D9E2F3"/>
            <w:vAlign w:val="center"/>
          </w:tcPr>
          <w:p w14:paraId="15BCAC04" w14:textId="77777777" w:rsidR="00990B14" w:rsidRDefault="00000000">
            <w:pPr>
              <w:spacing w:before="20" w:after="20"/>
              <w:jc w:val="both"/>
            </w:pPr>
            <w:r>
              <w:rPr>
                <w:sz w:val="18"/>
                <w:szCs w:val="18"/>
              </w:rPr>
              <w:t>Confidencialidad</w:t>
            </w:r>
          </w:p>
        </w:tc>
        <w:tc>
          <w:tcPr>
            <w:tcW w:w="1910" w:type="dxa"/>
            <w:shd w:val="clear" w:color="auto" w:fill="D9E2F3"/>
            <w:vAlign w:val="center"/>
          </w:tcPr>
          <w:p w14:paraId="021FC782" w14:textId="77777777" w:rsidR="00990B14" w:rsidRDefault="00000000">
            <w:pPr>
              <w:spacing w:before="20" w:after="20"/>
              <w:jc w:val="both"/>
            </w:pPr>
            <w:r>
              <w:rPr>
                <w:sz w:val="18"/>
                <w:szCs w:val="18"/>
              </w:rPr>
              <w:t>Ignora la confidencialidad de los datos.</w:t>
            </w:r>
          </w:p>
        </w:tc>
        <w:tc>
          <w:tcPr>
            <w:tcW w:w="1867" w:type="dxa"/>
            <w:shd w:val="clear" w:color="auto" w:fill="D9E2F3"/>
            <w:vAlign w:val="center"/>
          </w:tcPr>
          <w:p w14:paraId="18358698" w14:textId="77777777" w:rsidR="00990B14" w:rsidRDefault="00000000">
            <w:pPr>
              <w:spacing w:before="20" w:after="20"/>
              <w:jc w:val="both"/>
            </w:pPr>
            <w:r>
              <w:rPr>
                <w:sz w:val="18"/>
                <w:szCs w:val="18"/>
              </w:rPr>
              <w:t>Aplica medidas de resguardo de los datos.</w:t>
            </w:r>
          </w:p>
        </w:tc>
        <w:tc>
          <w:tcPr>
            <w:tcW w:w="1868" w:type="dxa"/>
            <w:shd w:val="clear" w:color="auto" w:fill="D9E2F3"/>
            <w:vAlign w:val="center"/>
          </w:tcPr>
          <w:p w14:paraId="587929D2" w14:textId="77777777" w:rsidR="00990B14" w:rsidRDefault="00000000">
            <w:pPr>
              <w:spacing w:before="20" w:after="20"/>
              <w:jc w:val="both"/>
            </w:pPr>
            <w:r>
              <w:rPr>
                <w:sz w:val="18"/>
                <w:szCs w:val="18"/>
              </w:rPr>
              <w:t>Propone una política de uso responsable.</w:t>
            </w:r>
          </w:p>
        </w:tc>
      </w:tr>
      <w:tr w:rsidR="00990B14" w14:paraId="5A3D0345" w14:textId="77777777">
        <w:trPr>
          <w:cantSplit/>
          <w:jc w:val="center"/>
        </w:trPr>
        <w:tc>
          <w:tcPr>
            <w:tcW w:w="1850" w:type="dxa"/>
            <w:vMerge/>
            <w:shd w:val="clear" w:color="auto" w:fill="4472C4"/>
            <w:vAlign w:val="center"/>
          </w:tcPr>
          <w:p w14:paraId="1061974B" w14:textId="77777777" w:rsidR="00990B14" w:rsidRDefault="00990B14">
            <w:pPr>
              <w:spacing w:before="20" w:after="20"/>
            </w:pPr>
          </w:p>
        </w:tc>
        <w:tc>
          <w:tcPr>
            <w:tcW w:w="1910" w:type="dxa"/>
            <w:shd w:val="clear" w:color="auto" w:fill="D9E2F3"/>
            <w:vAlign w:val="center"/>
          </w:tcPr>
          <w:p w14:paraId="0AF5C68E" w14:textId="77777777" w:rsidR="00990B14" w:rsidRDefault="00000000">
            <w:pPr>
              <w:spacing w:before="20" w:after="20"/>
              <w:jc w:val="both"/>
            </w:pPr>
            <w:r>
              <w:rPr>
                <w:sz w:val="18"/>
                <w:szCs w:val="18"/>
              </w:rPr>
              <w:t>Trabajo en equipo</w:t>
            </w:r>
          </w:p>
        </w:tc>
        <w:tc>
          <w:tcPr>
            <w:tcW w:w="1910" w:type="dxa"/>
            <w:shd w:val="clear" w:color="auto" w:fill="D9E2F3"/>
            <w:vAlign w:val="center"/>
          </w:tcPr>
          <w:p w14:paraId="11CEF2CE" w14:textId="77777777" w:rsidR="00990B14" w:rsidRDefault="00000000">
            <w:pPr>
              <w:spacing w:before="20" w:after="20"/>
              <w:jc w:val="both"/>
            </w:pPr>
            <w:r>
              <w:rPr>
                <w:sz w:val="18"/>
                <w:szCs w:val="18"/>
              </w:rPr>
              <w:t>La participación es desigual.</w:t>
            </w:r>
          </w:p>
        </w:tc>
        <w:tc>
          <w:tcPr>
            <w:tcW w:w="1867" w:type="dxa"/>
            <w:shd w:val="clear" w:color="auto" w:fill="D9E2F3"/>
            <w:vAlign w:val="center"/>
          </w:tcPr>
          <w:p w14:paraId="4B458BAC" w14:textId="77777777" w:rsidR="00990B14" w:rsidRDefault="00000000">
            <w:pPr>
              <w:spacing w:before="20" w:after="20"/>
              <w:jc w:val="both"/>
            </w:pPr>
            <w:r>
              <w:rPr>
                <w:sz w:val="18"/>
                <w:szCs w:val="18"/>
              </w:rPr>
              <w:t>Todos los integrantes participan.</w:t>
            </w:r>
          </w:p>
        </w:tc>
        <w:tc>
          <w:tcPr>
            <w:tcW w:w="1868" w:type="dxa"/>
            <w:shd w:val="clear" w:color="auto" w:fill="D9E2F3"/>
            <w:vAlign w:val="center"/>
          </w:tcPr>
          <w:p w14:paraId="460C2039" w14:textId="77777777" w:rsidR="00990B14" w:rsidRDefault="00000000">
            <w:pPr>
              <w:spacing w:before="20" w:after="20"/>
              <w:jc w:val="both"/>
            </w:pPr>
            <w:r>
              <w:rPr>
                <w:sz w:val="18"/>
                <w:szCs w:val="18"/>
              </w:rPr>
              <w:t>El equipo sustenta sus conclusiones ante el curso.</w:t>
            </w:r>
          </w:p>
        </w:tc>
      </w:tr>
      <w:tr w:rsidR="00990B14" w14:paraId="5FCB0BB8" w14:textId="77777777">
        <w:trPr>
          <w:cantSplit/>
          <w:jc w:val="center"/>
        </w:trPr>
        <w:tc>
          <w:tcPr>
            <w:tcW w:w="1850" w:type="dxa"/>
            <w:vMerge/>
            <w:shd w:val="clear" w:color="auto" w:fill="4472C4"/>
            <w:vAlign w:val="center"/>
          </w:tcPr>
          <w:p w14:paraId="71B362BA" w14:textId="77777777" w:rsidR="00990B14" w:rsidRDefault="00990B14">
            <w:pPr>
              <w:spacing w:before="20" w:after="20"/>
            </w:pPr>
          </w:p>
        </w:tc>
        <w:tc>
          <w:tcPr>
            <w:tcW w:w="5687" w:type="dxa"/>
            <w:gridSpan w:val="3"/>
            <w:shd w:val="clear" w:color="auto" w:fill="D9E2F3"/>
            <w:vAlign w:val="center"/>
          </w:tcPr>
          <w:p w14:paraId="09DF72A8" w14:textId="77777777" w:rsidR="00990B14" w:rsidRDefault="00000000">
            <w:pPr>
              <w:keepNext/>
              <w:spacing w:before="20" w:after="20"/>
              <w:jc w:val="both"/>
            </w:pPr>
            <w:r>
              <w:rPr>
                <w:b/>
                <w:bCs/>
                <w:i/>
                <w:iCs/>
                <w:sz w:val="18"/>
                <w:szCs w:val="18"/>
              </w:rPr>
              <w:t xml:space="preserve">Producto 23: </w:t>
            </w:r>
            <w:r>
              <w:rPr>
                <w:sz w:val="18"/>
                <w:szCs w:val="18"/>
              </w:rPr>
              <w:t>Informe de riesgo de los diferenciales cambiarios de una operación internacional</w:t>
            </w:r>
          </w:p>
        </w:tc>
        <w:tc>
          <w:tcPr>
            <w:tcW w:w="1868" w:type="dxa"/>
            <w:shd w:val="clear" w:color="auto" w:fill="D9E2F3"/>
            <w:vAlign w:val="center"/>
          </w:tcPr>
          <w:p w14:paraId="5C3E5EE3" w14:textId="77777777" w:rsidR="00990B14" w:rsidRDefault="00000000">
            <w:pPr>
              <w:spacing w:before="20" w:after="20"/>
              <w:jc w:val="center"/>
            </w:pPr>
            <w:r>
              <w:rPr>
                <w:b/>
                <w:bCs/>
                <w:sz w:val="18"/>
                <w:szCs w:val="18"/>
              </w:rPr>
              <w:t>1%</w:t>
            </w:r>
          </w:p>
        </w:tc>
      </w:tr>
      <w:tr w:rsidR="00990B14" w14:paraId="77B22327" w14:textId="77777777">
        <w:trPr>
          <w:cantSplit/>
          <w:jc w:val="center"/>
        </w:trPr>
        <w:tc>
          <w:tcPr>
            <w:tcW w:w="1850" w:type="dxa"/>
            <w:vMerge/>
            <w:shd w:val="clear" w:color="auto" w:fill="4472C4"/>
            <w:vAlign w:val="center"/>
          </w:tcPr>
          <w:p w14:paraId="0B8D8935" w14:textId="77777777" w:rsidR="00990B14" w:rsidRDefault="00990B14">
            <w:pPr>
              <w:spacing w:before="20" w:after="20"/>
            </w:pPr>
          </w:p>
        </w:tc>
        <w:tc>
          <w:tcPr>
            <w:tcW w:w="1910" w:type="dxa"/>
            <w:shd w:val="clear" w:color="auto" w:fill="4472C4"/>
            <w:vAlign w:val="center"/>
          </w:tcPr>
          <w:p w14:paraId="4FD5774B"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4B4E4532" w14:textId="77777777" w:rsidR="00990B14" w:rsidRDefault="00000000">
            <w:pPr>
              <w:keepNext/>
              <w:spacing w:before="20" w:after="20"/>
              <w:jc w:val="center"/>
            </w:pPr>
            <w:r>
              <w:rPr>
                <w:b/>
                <w:bCs/>
                <w:i/>
                <w:iCs/>
                <w:color w:val="FFFFFF"/>
                <w:sz w:val="18"/>
                <w:szCs w:val="18"/>
              </w:rPr>
              <w:t>Insuficiente (1–50)</w:t>
            </w:r>
          </w:p>
        </w:tc>
        <w:tc>
          <w:tcPr>
            <w:tcW w:w="1867" w:type="dxa"/>
            <w:shd w:val="clear" w:color="auto" w:fill="4472C4"/>
            <w:vAlign w:val="center"/>
          </w:tcPr>
          <w:p w14:paraId="14C17DE9" w14:textId="77777777" w:rsidR="00990B14" w:rsidRDefault="00000000">
            <w:pPr>
              <w:keepNext/>
              <w:spacing w:before="20" w:after="20"/>
              <w:jc w:val="center"/>
            </w:pPr>
            <w:r>
              <w:rPr>
                <w:b/>
                <w:bCs/>
                <w:i/>
                <w:iCs/>
                <w:color w:val="FFFFFF"/>
                <w:sz w:val="18"/>
                <w:szCs w:val="18"/>
              </w:rPr>
              <w:t>Suficiente (51–80)</w:t>
            </w:r>
          </w:p>
        </w:tc>
        <w:tc>
          <w:tcPr>
            <w:tcW w:w="1868" w:type="dxa"/>
            <w:shd w:val="clear" w:color="auto" w:fill="4472C4"/>
            <w:vAlign w:val="center"/>
          </w:tcPr>
          <w:p w14:paraId="5E0818F4" w14:textId="77777777" w:rsidR="00990B14" w:rsidRDefault="00000000">
            <w:pPr>
              <w:keepNext/>
              <w:spacing w:before="20" w:after="20"/>
              <w:jc w:val="center"/>
            </w:pPr>
            <w:r>
              <w:rPr>
                <w:b/>
                <w:bCs/>
                <w:i/>
                <w:iCs/>
                <w:color w:val="FFFFFF"/>
                <w:sz w:val="18"/>
                <w:szCs w:val="18"/>
              </w:rPr>
              <w:t>Destacado (81–100)</w:t>
            </w:r>
          </w:p>
        </w:tc>
      </w:tr>
      <w:tr w:rsidR="00990B14" w14:paraId="607EEF04" w14:textId="77777777">
        <w:trPr>
          <w:cantSplit/>
          <w:jc w:val="center"/>
        </w:trPr>
        <w:tc>
          <w:tcPr>
            <w:tcW w:w="1850" w:type="dxa"/>
            <w:vMerge/>
            <w:shd w:val="clear" w:color="auto" w:fill="4472C4"/>
            <w:vAlign w:val="center"/>
          </w:tcPr>
          <w:p w14:paraId="07FB7932" w14:textId="77777777" w:rsidR="00990B14" w:rsidRDefault="00990B14">
            <w:pPr>
              <w:spacing w:before="20" w:after="20"/>
            </w:pPr>
          </w:p>
        </w:tc>
        <w:tc>
          <w:tcPr>
            <w:tcW w:w="1910" w:type="dxa"/>
            <w:shd w:val="clear" w:color="auto" w:fill="D9E2F3"/>
            <w:vAlign w:val="center"/>
          </w:tcPr>
          <w:p w14:paraId="5565278A" w14:textId="77777777" w:rsidR="00990B14" w:rsidRDefault="00000000">
            <w:pPr>
              <w:spacing w:before="20" w:after="20"/>
              <w:jc w:val="both"/>
            </w:pPr>
            <w:r>
              <w:rPr>
                <w:sz w:val="18"/>
                <w:szCs w:val="18"/>
              </w:rPr>
              <w:t>Tipos de exposición</w:t>
            </w:r>
          </w:p>
        </w:tc>
        <w:tc>
          <w:tcPr>
            <w:tcW w:w="1910" w:type="dxa"/>
            <w:shd w:val="clear" w:color="auto" w:fill="D9E2F3"/>
            <w:vAlign w:val="center"/>
          </w:tcPr>
          <w:p w14:paraId="24AAB1B3" w14:textId="77777777" w:rsidR="00990B14" w:rsidRDefault="00000000">
            <w:pPr>
              <w:spacing w:before="20" w:after="20"/>
              <w:jc w:val="both"/>
            </w:pPr>
            <w:r>
              <w:rPr>
                <w:sz w:val="18"/>
                <w:szCs w:val="18"/>
              </w:rPr>
              <w:t>Confunde los tipos de exposición.</w:t>
            </w:r>
          </w:p>
        </w:tc>
        <w:tc>
          <w:tcPr>
            <w:tcW w:w="1867" w:type="dxa"/>
            <w:shd w:val="clear" w:color="auto" w:fill="D9E2F3"/>
            <w:vAlign w:val="center"/>
          </w:tcPr>
          <w:p w14:paraId="436FEE54" w14:textId="77777777" w:rsidR="00990B14" w:rsidRDefault="00000000">
            <w:pPr>
              <w:spacing w:before="20" w:after="20"/>
              <w:jc w:val="both"/>
            </w:pPr>
            <w:r>
              <w:rPr>
                <w:sz w:val="18"/>
                <w:szCs w:val="18"/>
              </w:rPr>
              <w:t>Distingue la exposición por transacción, por conversión y económica.</w:t>
            </w:r>
          </w:p>
        </w:tc>
        <w:tc>
          <w:tcPr>
            <w:tcW w:w="1868" w:type="dxa"/>
            <w:shd w:val="clear" w:color="auto" w:fill="D9E2F3"/>
            <w:vAlign w:val="center"/>
          </w:tcPr>
          <w:p w14:paraId="3816DF3D" w14:textId="77777777" w:rsidR="00990B14" w:rsidRDefault="00000000">
            <w:pPr>
              <w:spacing w:before="20" w:after="20"/>
              <w:jc w:val="both"/>
            </w:pPr>
            <w:r>
              <w:rPr>
                <w:sz w:val="18"/>
                <w:szCs w:val="18"/>
              </w:rPr>
              <w:t>Cuantifica cada exposición del contrato.</w:t>
            </w:r>
          </w:p>
        </w:tc>
      </w:tr>
      <w:tr w:rsidR="00990B14" w14:paraId="52AB4572" w14:textId="77777777">
        <w:trPr>
          <w:cantSplit/>
          <w:jc w:val="center"/>
        </w:trPr>
        <w:tc>
          <w:tcPr>
            <w:tcW w:w="1850" w:type="dxa"/>
            <w:vMerge/>
            <w:shd w:val="clear" w:color="auto" w:fill="4472C4"/>
            <w:vAlign w:val="center"/>
          </w:tcPr>
          <w:p w14:paraId="00A44DB7" w14:textId="77777777" w:rsidR="00990B14" w:rsidRDefault="00990B14">
            <w:pPr>
              <w:spacing w:before="20" w:after="20"/>
            </w:pPr>
          </w:p>
        </w:tc>
        <w:tc>
          <w:tcPr>
            <w:tcW w:w="1910" w:type="dxa"/>
            <w:shd w:val="clear" w:color="auto" w:fill="D9E2F3"/>
            <w:vAlign w:val="center"/>
          </w:tcPr>
          <w:p w14:paraId="3A46101E" w14:textId="77777777" w:rsidR="00990B14" w:rsidRDefault="00000000">
            <w:pPr>
              <w:spacing w:before="20" w:after="20"/>
              <w:jc w:val="both"/>
            </w:pPr>
            <w:r>
              <w:rPr>
                <w:sz w:val="18"/>
                <w:szCs w:val="18"/>
              </w:rPr>
              <w:t>Tasas de cambio e interés</w:t>
            </w:r>
          </w:p>
        </w:tc>
        <w:tc>
          <w:tcPr>
            <w:tcW w:w="1910" w:type="dxa"/>
            <w:shd w:val="clear" w:color="auto" w:fill="D9E2F3"/>
            <w:vAlign w:val="center"/>
          </w:tcPr>
          <w:p w14:paraId="2CE50FF0" w14:textId="77777777" w:rsidR="00990B14" w:rsidRDefault="00000000">
            <w:pPr>
              <w:spacing w:before="20" w:after="20"/>
              <w:jc w:val="both"/>
            </w:pPr>
            <w:r>
              <w:rPr>
                <w:sz w:val="18"/>
                <w:szCs w:val="18"/>
              </w:rPr>
              <w:t>Ignora la relación entre tasas.</w:t>
            </w:r>
          </w:p>
        </w:tc>
        <w:tc>
          <w:tcPr>
            <w:tcW w:w="1867" w:type="dxa"/>
            <w:shd w:val="clear" w:color="auto" w:fill="D9E2F3"/>
            <w:vAlign w:val="center"/>
          </w:tcPr>
          <w:p w14:paraId="6AA1429A" w14:textId="77777777" w:rsidR="00990B14" w:rsidRDefault="00000000">
            <w:pPr>
              <w:spacing w:before="20" w:after="20"/>
              <w:jc w:val="both"/>
            </w:pPr>
            <w:r>
              <w:rPr>
                <w:sz w:val="18"/>
                <w:szCs w:val="18"/>
              </w:rPr>
              <w:t>Relaciona la tasa de cambio, la devaluación y la tasa de interés.</w:t>
            </w:r>
          </w:p>
        </w:tc>
        <w:tc>
          <w:tcPr>
            <w:tcW w:w="1868" w:type="dxa"/>
            <w:shd w:val="clear" w:color="auto" w:fill="D9E2F3"/>
            <w:vAlign w:val="center"/>
          </w:tcPr>
          <w:p w14:paraId="4784F4AC" w14:textId="77777777" w:rsidR="00990B14" w:rsidRDefault="00000000">
            <w:pPr>
              <w:spacing w:before="20" w:after="20"/>
              <w:jc w:val="both"/>
            </w:pPr>
            <w:r>
              <w:rPr>
                <w:sz w:val="18"/>
                <w:szCs w:val="18"/>
              </w:rPr>
              <w:t>Proyecta el efecto de una variación cambiaria.</w:t>
            </w:r>
          </w:p>
        </w:tc>
      </w:tr>
      <w:tr w:rsidR="00990B14" w14:paraId="3F6666AB" w14:textId="77777777">
        <w:trPr>
          <w:cantSplit/>
          <w:jc w:val="center"/>
        </w:trPr>
        <w:tc>
          <w:tcPr>
            <w:tcW w:w="1850" w:type="dxa"/>
            <w:vMerge/>
            <w:shd w:val="clear" w:color="auto" w:fill="4472C4"/>
            <w:vAlign w:val="center"/>
          </w:tcPr>
          <w:p w14:paraId="0F9413E3" w14:textId="77777777" w:rsidR="00990B14" w:rsidRDefault="00990B14">
            <w:pPr>
              <w:spacing w:before="20" w:after="20"/>
            </w:pPr>
          </w:p>
        </w:tc>
        <w:tc>
          <w:tcPr>
            <w:tcW w:w="1910" w:type="dxa"/>
            <w:shd w:val="clear" w:color="auto" w:fill="D9E2F3"/>
            <w:vAlign w:val="center"/>
          </w:tcPr>
          <w:p w14:paraId="3ECBAD67" w14:textId="77777777" w:rsidR="00990B14" w:rsidRDefault="00000000">
            <w:pPr>
              <w:spacing w:before="20" w:after="20"/>
              <w:jc w:val="both"/>
            </w:pPr>
            <w:r>
              <w:rPr>
                <w:sz w:val="18"/>
                <w:szCs w:val="18"/>
              </w:rPr>
              <w:t>Cobertura</w:t>
            </w:r>
          </w:p>
        </w:tc>
        <w:tc>
          <w:tcPr>
            <w:tcW w:w="1910" w:type="dxa"/>
            <w:shd w:val="clear" w:color="auto" w:fill="D9E2F3"/>
            <w:vAlign w:val="center"/>
          </w:tcPr>
          <w:p w14:paraId="26C81C44" w14:textId="77777777" w:rsidR="00990B14" w:rsidRDefault="00000000">
            <w:pPr>
              <w:spacing w:before="20" w:after="20"/>
              <w:jc w:val="both"/>
            </w:pPr>
            <w:r>
              <w:rPr>
                <w:sz w:val="18"/>
                <w:szCs w:val="18"/>
              </w:rPr>
              <w:t>No propone cobertura.</w:t>
            </w:r>
          </w:p>
        </w:tc>
        <w:tc>
          <w:tcPr>
            <w:tcW w:w="1867" w:type="dxa"/>
            <w:shd w:val="clear" w:color="auto" w:fill="D9E2F3"/>
            <w:vAlign w:val="center"/>
          </w:tcPr>
          <w:p w14:paraId="65F119FE" w14:textId="77777777" w:rsidR="00990B14" w:rsidRDefault="00000000">
            <w:pPr>
              <w:spacing w:before="20" w:after="20"/>
              <w:jc w:val="both"/>
            </w:pPr>
            <w:r>
              <w:rPr>
                <w:sz w:val="18"/>
                <w:szCs w:val="18"/>
              </w:rPr>
              <w:t>Propone alternativas de cobertura.</w:t>
            </w:r>
          </w:p>
        </w:tc>
        <w:tc>
          <w:tcPr>
            <w:tcW w:w="1868" w:type="dxa"/>
            <w:shd w:val="clear" w:color="auto" w:fill="D9E2F3"/>
            <w:vAlign w:val="center"/>
          </w:tcPr>
          <w:p w14:paraId="6D7F1570" w14:textId="77777777" w:rsidR="00990B14" w:rsidRDefault="00000000">
            <w:pPr>
              <w:spacing w:before="20" w:after="20"/>
              <w:jc w:val="both"/>
            </w:pPr>
            <w:r>
              <w:rPr>
                <w:sz w:val="18"/>
                <w:szCs w:val="18"/>
              </w:rPr>
              <w:t>Evalúa el costo de cada alternativa.</w:t>
            </w:r>
          </w:p>
        </w:tc>
      </w:tr>
      <w:tr w:rsidR="00990B14" w14:paraId="090750FA" w14:textId="77777777">
        <w:trPr>
          <w:cantSplit/>
          <w:jc w:val="center"/>
        </w:trPr>
        <w:tc>
          <w:tcPr>
            <w:tcW w:w="1850" w:type="dxa"/>
            <w:vMerge/>
            <w:shd w:val="clear" w:color="auto" w:fill="4472C4"/>
            <w:vAlign w:val="center"/>
          </w:tcPr>
          <w:p w14:paraId="567D870F" w14:textId="77777777" w:rsidR="00990B14" w:rsidRDefault="00990B14">
            <w:pPr>
              <w:spacing w:before="20" w:after="20"/>
            </w:pPr>
          </w:p>
        </w:tc>
        <w:tc>
          <w:tcPr>
            <w:tcW w:w="5687" w:type="dxa"/>
            <w:gridSpan w:val="3"/>
            <w:shd w:val="clear" w:color="auto" w:fill="D9E2F3"/>
            <w:vAlign w:val="center"/>
          </w:tcPr>
          <w:p w14:paraId="28B33B98" w14:textId="77777777" w:rsidR="00990B14" w:rsidRDefault="00000000">
            <w:pPr>
              <w:keepNext/>
              <w:spacing w:before="20" w:after="20"/>
              <w:jc w:val="both"/>
            </w:pPr>
            <w:r>
              <w:rPr>
                <w:b/>
                <w:bCs/>
                <w:i/>
                <w:iCs/>
                <w:sz w:val="18"/>
                <w:szCs w:val="18"/>
              </w:rPr>
              <w:t xml:space="preserve">Producto 24: </w:t>
            </w:r>
            <w:r>
              <w:rPr>
                <w:sz w:val="18"/>
                <w:szCs w:val="18"/>
              </w:rPr>
              <w:t>Cuadro comparativo de fuentes de financiamiento internacional</w:t>
            </w:r>
          </w:p>
        </w:tc>
        <w:tc>
          <w:tcPr>
            <w:tcW w:w="1868" w:type="dxa"/>
            <w:shd w:val="clear" w:color="auto" w:fill="D9E2F3"/>
            <w:vAlign w:val="center"/>
          </w:tcPr>
          <w:p w14:paraId="7F01F455" w14:textId="77777777" w:rsidR="00990B14" w:rsidRDefault="00000000">
            <w:pPr>
              <w:spacing w:before="20" w:after="20"/>
              <w:jc w:val="center"/>
            </w:pPr>
            <w:r>
              <w:rPr>
                <w:b/>
                <w:bCs/>
                <w:sz w:val="18"/>
                <w:szCs w:val="18"/>
              </w:rPr>
              <w:t>1%</w:t>
            </w:r>
          </w:p>
        </w:tc>
      </w:tr>
      <w:tr w:rsidR="00990B14" w14:paraId="6080E97C" w14:textId="77777777">
        <w:trPr>
          <w:cantSplit/>
          <w:jc w:val="center"/>
        </w:trPr>
        <w:tc>
          <w:tcPr>
            <w:tcW w:w="1850" w:type="dxa"/>
            <w:vMerge/>
            <w:shd w:val="clear" w:color="auto" w:fill="4472C4"/>
            <w:vAlign w:val="center"/>
          </w:tcPr>
          <w:p w14:paraId="78BA301A" w14:textId="77777777" w:rsidR="00990B14" w:rsidRDefault="00990B14">
            <w:pPr>
              <w:spacing w:before="20" w:after="20"/>
            </w:pPr>
          </w:p>
        </w:tc>
        <w:tc>
          <w:tcPr>
            <w:tcW w:w="1910" w:type="dxa"/>
            <w:shd w:val="clear" w:color="auto" w:fill="4472C4"/>
            <w:vAlign w:val="center"/>
          </w:tcPr>
          <w:p w14:paraId="19D458DF"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02622D92" w14:textId="77777777" w:rsidR="00990B14" w:rsidRDefault="00000000">
            <w:pPr>
              <w:keepNext/>
              <w:spacing w:before="20" w:after="20"/>
              <w:jc w:val="center"/>
            </w:pPr>
            <w:r>
              <w:rPr>
                <w:b/>
                <w:bCs/>
                <w:i/>
                <w:iCs/>
                <w:color w:val="FFFFFF"/>
                <w:sz w:val="18"/>
                <w:szCs w:val="18"/>
              </w:rPr>
              <w:t>Insuficiente (1–50)</w:t>
            </w:r>
          </w:p>
        </w:tc>
        <w:tc>
          <w:tcPr>
            <w:tcW w:w="1867" w:type="dxa"/>
            <w:shd w:val="clear" w:color="auto" w:fill="4472C4"/>
            <w:vAlign w:val="center"/>
          </w:tcPr>
          <w:p w14:paraId="0B7AE341" w14:textId="77777777" w:rsidR="00990B14" w:rsidRDefault="00000000">
            <w:pPr>
              <w:keepNext/>
              <w:spacing w:before="20" w:after="20"/>
              <w:jc w:val="center"/>
            </w:pPr>
            <w:r>
              <w:rPr>
                <w:b/>
                <w:bCs/>
                <w:i/>
                <w:iCs/>
                <w:color w:val="FFFFFF"/>
                <w:sz w:val="18"/>
                <w:szCs w:val="18"/>
              </w:rPr>
              <w:t>Suficiente (51–80)</w:t>
            </w:r>
          </w:p>
        </w:tc>
        <w:tc>
          <w:tcPr>
            <w:tcW w:w="1868" w:type="dxa"/>
            <w:shd w:val="clear" w:color="auto" w:fill="4472C4"/>
            <w:vAlign w:val="center"/>
          </w:tcPr>
          <w:p w14:paraId="046CE459" w14:textId="77777777" w:rsidR="00990B14" w:rsidRDefault="00000000">
            <w:pPr>
              <w:keepNext/>
              <w:spacing w:before="20" w:after="20"/>
              <w:jc w:val="center"/>
            </w:pPr>
            <w:r>
              <w:rPr>
                <w:b/>
                <w:bCs/>
                <w:i/>
                <w:iCs/>
                <w:color w:val="FFFFFF"/>
                <w:sz w:val="18"/>
                <w:szCs w:val="18"/>
              </w:rPr>
              <w:t>Destacado (81–100)</w:t>
            </w:r>
          </w:p>
        </w:tc>
      </w:tr>
      <w:tr w:rsidR="00990B14" w14:paraId="7D88E659" w14:textId="77777777">
        <w:trPr>
          <w:cantSplit/>
          <w:jc w:val="center"/>
        </w:trPr>
        <w:tc>
          <w:tcPr>
            <w:tcW w:w="1850" w:type="dxa"/>
            <w:vMerge/>
            <w:shd w:val="clear" w:color="auto" w:fill="4472C4"/>
            <w:vAlign w:val="center"/>
          </w:tcPr>
          <w:p w14:paraId="4C8A2FB6" w14:textId="77777777" w:rsidR="00990B14" w:rsidRDefault="00990B14">
            <w:pPr>
              <w:spacing w:before="20" w:after="20"/>
            </w:pPr>
          </w:p>
        </w:tc>
        <w:tc>
          <w:tcPr>
            <w:tcW w:w="1910" w:type="dxa"/>
            <w:shd w:val="clear" w:color="auto" w:fill="D9E2F3"/>
            <w:vAlign w:val="center"/>
          </w:tcPr>
          <w:p w14:paraId="6C55411E" w14:textId="77777777" w:rsidR="00990B14" w:rsidRDefault="00000000">
            <w:pPr>
              <w:spacing w:before="20" w:after="20"/>
              <w:jc w:val="both"/>
            </w:pPr>
            <w:r>
              <w:rPr>
                <w:sz w:val="18"/>
                <w:szCs w:val="18"/>
              </w:rPr>
              <w:t>Fuentes identificadas</w:t>
            </w:r>
          </w:p>
        </w:tc>
        <w:tc>
          <w:tcPr>
            <w:tcW w:w="1910" w:type="dxa"/>
            <w:shd w:val="clear" w:color="auto" w:fill="D9E2F3"/>
            <w:vAlign w:val="center"/>
          </w:tcPr>
          <w:p w14:paraId="1DAFFA3C" w14:textId="77777777" w:rsidR="00990B14" w:rsidRDefault="00000000">
            <w:pPr>
              <w:spacing w:before="20" w:after="20"/>
              <w:jc w:val="both"/>
            </w:pPr>
            <w:r>
              <w:rPr>
                <w:sz w:val="18"/>
                <w:szCs w:val="18"/>
              </w:rPr>
              <w:t>Omite fuentes relevantes.</w:t>
            </w:r>
          </w:p>
        </w:tc>
        <w:tc>
          <w:tcPr>
            <w:tcW w:w="1867" w:type="dxa"/>
            <w:shd w:val="clear" w:color="auto" w:fill="D9E2F3"/>
            <w:vAlign w:val="center"/>
          </w:tcPr>
          <w:p w14:paraId="031F9DA7" w14:textId="77777777" w:rsidR="00990B14" w:rsidRDefault="00000000">
            <w:pPr>
              <w:spacing w:before="20" w:after="20"/>
              <w:jc w:val="both"/>
            </w:pPr>
            <w:r>
              <w:rPr>
                <w:sz w:val="18"/>
                <w:szCs w:val="18"/>
              </w:rPr>
              <w:t>Identifica fuentes de financiamiento internacional.</w:t>
            </w:r>
          </w:p>
        </w:tc>
        <w:tc>
          <w:tcPr>
            <w:tcW w:w="1868" w:type="dxa"/>
            <w:shd w:val="clear" w:color="auto" w:fill="D9E2F3"/>
            <w:vAlign w:val="center"/>
          </w:tcPr>
          <w:p w14:paraId="6EEFB894" w14:textId="77777777" w:rsidR="00990B14" w:rsidRDefault="00000000">
            <w:pPr>
              <w:spacing w:before="20" w:after="20"/>
              <w:jc w:val="both"/>
            </w:pPr>
            <w:r>
              <w:rPr>
                <w:sz w:val="18"/>
                <w:szCs w:val="18"/>
              </w:rPr>
              <w:t>Evalúa el acceso real de la empresa a cada fuente.</w:t>
            </w:r>
          </w:p>
        </w:tc>
      </w:tr>
      <w:tr w:rsidR="00990B14" w14:paraId="71F46FED" w14:textId="77777777">
        <w:trPr>
          <w:cantSplit/>
          <w:jc w:val="center"/>
        </w:trPr>
        <w:tc>
          <w:tcPr>
            <w:tcW w:w="1850" w:type="dxa"/>
            <w:vMerge/>
            <w:shd w:val="clear" w:color="auto" w:fill="4472C4"/>
            <w:vAlign w:val="center"/>
          </w:tcPr>
          <w:p w14:paraId="07F9DA59" w14:textId="77777777" w:rsidR="00990B14" w:rsidRDefault="00990B14">
            <w:pPr>
              <w:spacing w:before="20" w:after="20"/>
            </w:pPr>
          </w:p>
        </w:tc>
        <w:tc>
          <w:tcPr>
            <w:tcW w:w="1910" w:type="dxa"/>
            <w:shd w:val="clear" w:color="auto" w:fill="D9E2F3"/>
            <w:vAlign w:val="center"/>
          </w:tcPr>
          <w:p w14:paraId="173A3F1C" w14:textId="77777777" w:rsidR="00990B14" w:rsidRDefault="00000000">
            <w:pPr>
              <w:spacing w:before="20" w:after="20"/>
              <w:jc w:val="both"/>
            </w:pPr>
            <w:r>
              <w:rPr>
                <w:sz w:val="18"/>
                <w:szCs w:val="18"/>
              </w:rPr>
              <w:t>Costo y riesgo</w:t>
            </w:r>
          </w:p>
        </w:tc>
        <w:tc>
          <w:tcPr>
            <w:tcW w:w="1910" w:type="dxa"/>
            <w:shd w:val="clear" w:color="auto" w:fill="D9E2F3"/>
            <w:vAlign w:val="center"/>
          </w:tcPr>
          <w:p w14:paraId="3093C02F" w14:textId="77777777" w:rsidR="00990B14" w:rsidRDefault="00000000">
            <w:pPr>
              <w:spacing w:before="20" w:after="20"/>
              <w:jc w:val="both"/>
            </w:pPr>
            <w:r>
              <w:rPr>
                <w:sz w:val="18"/>
                <w:szCs w:val="18"/>
              </w:rPr>
              <w:t>No considera el riesgo cambiario.</w:t>
            </w:r>
          </w:p>
        </w:tc>
        <w:tc>
          <w:tcPr>
            <w:tcW w:w="1867" w:type="dxa"/>
            <w:shd w:val="clear" w:color="auto" w:fill="D9E2F3"/>
            <w:vAlign w:val="center"/>
          </w:tcPr>
          <w:p w14:paraId="2F408897" w14:textId="77777777" w:rsidR="00990B14" w:rsidRDefault="00000000">
            <w:pPr>
              <w:spacing w:before="20" w:after="20"/>
              <w:jc w:val="both"/>
            </w:pPr>
            <w:r>
              <w:rPr>
                <w:sz w:val="18"/>
                <w:szCs w:val="18"/>
              </w:rPr>
              <w:t>Compara el costo ajustado por riesgo cambiario.</w:t>
            </w:r>
          </w:p>
        </w:tc>
        <w:tc>
          <w:tcPr>
            <w:tcW w:w="1868" w:type="dxa"/>
            <w:shd w:val="clear" w:color="auto" w:fill="D9E2F3"/>
            <w:vAlign w:val="center"/>
          </w:tcPr>
          <w:p w14:paraId="59C4E790" w14:textId="77777777" w:rsidR="00990B14" w:rsidRDefault="00000000">
            <w:pPr>
              <w:spacing w:before="20" w:after="20"/>
              <w:jc w:val="both"/>
            </w:pPr>
            <w:r>
              <w:rPr>
                <w:sz w:val="18"/>
                <w:szCs w:val="18"/>
              </w:rPr>
              <w:t>Recomienda la fuente más conveniente.</w:t>
            </w:r>
          </w:p>
        </w:tc>
      </w:tr>
      <w:tr w:rsidR="00990B14" w14:paraId="4CD51E87" w14:textId="77777777">
        <w:trPr>
          <w:cantSplit/>
          <w:jc w:val="center"/>
        </w:trPr>
        <w:tc>
          <w:tcPr>
            <w:tcW w:w="1850" w:type="dxa"/>
            <w:vMerge/>
            <w:shd w:val="clear" w:color="auto" w:fill="4472C4"/>
            <w:vAlign w:val="center"/>
          </w:tcPr>
          <w:p w14:paraId="4976D786" w14:textId="77777777" w:rsidR="00990B14" w:rsidRDefault="00990B14">
            <w:pPr>
              <w:spacing w:before="20" w:after="20"/>
            </w:pPr>
          </w:p>
        </w:tc>
        <w:tc>
          <w:tcPr>
            <w:tcW w:w="1910" w:type="dxa"/>
            <w:shd w:val="clear" w:color="auto" w:fill="D9E2F3"/>
            <w:vAlign w:val="center"/>
          </w:tcPr>
          <w:p w14:paraId="6F371667" w14:textId="77777777" w:rsidR="00990B14" w:rsidRDefault="00000000">
            <w:pPr>
              <w:spacing w:before="20" w:after="20"/>
              <w:jc w:val="both"/>
            </w:pPr>
            <w:r>
              <w:rPr>
                <w:sz w:val="18"/>
                <w:szCs w:val="18"/>
              </w:rPr>
              <w:t>Trabajo en equipo</w:t>
            </w:r>
          </w:p>
        </w:tc>
        <w:tc>
          <w:tcPr>
            <w:tcW w:w="1910" w:type="dxa"/>
            <w:shd w:val="clear" w:color="auto" w:fill="D9E2F3"/>
            <w:vAlign w:val="center"/>
          </w:tcPr>
          <w:p w14:paraId="2F636EBF" w14:textId="77777777" w:rsidR="00990B14" w:rsidRDefault="00000000">
            <w:pPr>
              <w:spacing w:before="20" w:after="20"/>
              <w:jc w:val="both"/>
            </w:pPr>
            <w:r>
              <w:rPr>
                <w:sz w:val="18"/>
                <w:szCs w:val="18"/>
              </w:rPr>
              <w:t>La participación es desigual.</w:t>
            </w:r>
          </w:p>
        </w:tc>
        <w:tc>
          <w:tcPr>
            <w:tcW w:w="1867" w:type="dxa"/>
            <w:shd w:val="clear" w:color="auto" w:fill="D9E2F3"/>
            <w:vAlign w:val="center"/>
          </w:tcPr>
          <w:p w14:paraId="149C5CA6" w14:textId="77777777" w:rsidR="00990B14" w:rsidRDefault="00000000">
            <w:pPr>
              <w:spacing w:before="20" w:after="20"/>
              <w:jc w:val="both"/>
            </w:pPr>
            <w:r>
              <w:rPr>
                <w:sz w:val="18"/>
                <w:szCs w:val="18"/>
              </w:rPr>
              <w:t>Todos los integrantes participan.</w:t>
            </w:r>
          </w:p>
        </w:tc>
        <w:tc>
          <w:tcPr>
            <w:tcW w:w="1868" w:type="dxa"/>
            <w:shd w:val="clear" w:color="auto" w:fill="D9E2F3"/>
            <w:vAlign w:val="center"/>
          </w:tcPr>
          <w:p w14:paraId="4D9AF5D1" w14:textId="77777777" w:rsidR="00990B14" w:rsidRDefault="00000000">
            <w:pPr>
              <w:spacing w:before="20" w:after="20"/>
              <w:jc w:val="both"/>
            </w:pPr>
            <w:r>
              <w:rPr>
                <w:sz w:val="18"/>
                <w:szCs w:val="18"/>
              </w:rPr>
              <w:t>El equipo sustenta sus conclusiones ante el curso.</w:t>
            </w:r>
          </w:p>
        </w:tc>
      </w:tr>
      <w:tr w:rsidR="00990B14" w14:paraId="0438B4E8" w14:textId="77777777">
        <w:trPr>
          <w:cantSplit/>
          <w:jc w:val="center"/>
        </w:trPr>
        <w:tc>
          <w:tcPr>
            <w:tcW w:w="7537" w:type="dxa"/>
            <w:gridSpan w:val="4"/>
            <w:shd w:val="clear" w:color="auto" w:fill="4472C4"/>
            <w:vAlign w:val="center"/>
          </w:tcPr>
          <w:p w14:paraId="27010573" w14:textId="77777777" w:rsidR="00990B14" w:rsidRDefault="00000000">
            <w:pPr>
              <w:keepNext/>
              <w:spacing w:before="20" w:after="20"/>
              <w:jc w:val="center"/>
            </w:pPr>
            <w:r>
              <w:rPr>
                <w:b/>
                <w:bCs/>
                <w:i/>
                <w:iCs/>
                <w:color w:val="FFFFFF"/>
                <w:sz w:val="18"/>
                <w:szCs w:val="18"/>
              </w:rPr>
              <w:t>TOTAL</w:t>
            </w:r>
          </w:p>
        </w:tc>
        <w:tc>
          <w:tcPr>
            <w:tcW w:w="1868" w:type="dxa"/>
            <w:shd w:val="clear" w:color="auto" w:fill="4472C4"/>
            <w:vAlign w:val="center"/>
          </w:tcPr>
          <w:p w14:paraId="6D3ACF89" w14:textId="77777777" w:rsidR="00990B14" w:rsidRDefault="00000000">
            <w:pPr>
              <w:keepNext/>
              <w:spacing w:before="20" w:after="20"/>
              <w:jc w:val="center"/>
            </w:pPr>
            <w:r>
              <w:rPr>
                <w:b/>
                <w:bCs/>
                <w:i/>
                <w:iCs/>
                <w:color w:val="FFFFFF"/>
                <w:sz w:val="18"/>
                <w:szCs w:val="18"/>
              </w:rPr>
              <w:t>100%</w:t>
            </w:r>
          </w:p>
        </w:tc>
      </w:tr>
    </w:tbl>
    <w:p w14:paraId="0E80DEC2"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9405"/>
      </w:tblGrid>
      <w:tr w:rsidR="00990B14" w14:paraId="1291CA30" w14:textId="77777777">
        <w:trPr>
          <w:jc w:val="center"/>
        </w:trPr>
        <w:tc>
          <w:tcPr>
            <w:tcW w:w="9405" w:type="dxa"/>
            <w:shd w:val="clear" w:color="auto" w:fill="D9E2F3"/>
          </w:tcPr>
          <w:p w14:paraId="00EE6DFB" w14:textId="77777777" w:rsidR="00990B14" w:rsidRDefault="00000000">
            <w:pPr>
              <w:spacing w:before="40" w:after="40"/>
              <w:jc w:val="both"/>
            </w:pPr>
            <w:r>
              <w:rPr>
                <w:b/>
                <w:bCs/>
                <w:i/>
                <w:iCs/>
                <w:sz w:val="18"/>
                <w:szCs w:val="18"/>
              </w:rPr>
              <w:t>Bibliografía básica:</w:t>
            </w:r>
          </w:p>
          <w:p w14:paraId="55FDDDD2" w14:textId="77777777" w:rsidR="00990B14" w:rsidRDefault="00000000">
            <w:pPr>
              <w:numPr>
                <w:ilvl w:val="0"/>
                <w:numId w:val="140"/>
              </w:numPr>
              <w:spacing w:after="20"/>
              <w:jc w:val="both"/>
            </w:pPr>
            <w:r>
              <w:rPr>
                <w:sz w:val="18"/>
                <w:szCs w:val="18"/>
              </w:rPr>
              <w:t>Besley, S. y Brigham, E. (2015). Fundamentos de Administración Financiera. Cengage Learning Editores S.A.</w:t>
            </w:r>
          </w:p>
          <w:p w14:paraId="07339E81" w14:textId="77777777" w:rsidR="00990B14" w:rsidRDefault="00000000">
            <w:pPr>
              <w:numPr>
                <w:ilvl w:val="0"/>
                <w:numId w:val="140"/>
              </w:numPr>
              <w:spacing w:after="20"/>
              <w:jc w:val="both"/>
            </w:pPr>
            <w:r w:rsidRPr="00BD34F7">
              <w:rPr>
                <w:sz w:val="18"/>
                <w:szCs w:val="18"/>
                <w:lang w:val="en-US"/>
              </w:rPr>
              <w:t xml:space="preserve">Block, S. y Hirt, G. (2010). </w:t>
            </w:r>
            <w:r>
              <w:rPr>
                <w:sz w:val="18"/>
                <w:szCs w:val="18"/>
              </w:rPr>
              <w:t>Fundamentos de Gerencia Financiera. 10ma ed. Editorial McGraw Hill.</w:t>
            </w:r>
          </w:p>
          <w:p w14:paraId="6254784D" w14:textId="77777777" w:rsidR="00990B14" w:rsidRDefault="00000000">
            <w:pPr>
              <w:numPr>
                <w:ilvl w:val="0"/>
                <w:numId w:val="140"/>
              </w:numPr>
              <w:spacing w:after="20"/>
              <w:jc w:val="both"/>
            </w:pPr>
            <w:r>
              <w:rPr>
                <w:sz w:val="18"/>
                <w:szCs w:val="18"/>
              </w:rPr>
              <w:t>Brealey, R. y Myers, S. (2018). Principios de Finanzas Corporativas. Editorial McGraw Hill.</w:t>
            </w:r>
          </w:p>
          <w:p w14:paraId="5D982013" w14:textId="77777777" w:rsidR="00990B14" w:rsidRDefault="00000000">
            <w:pPr>
              <w:numPr>
                <w:ilvl w:val="0"/>
                <w:numId w:val="140"/>
              </w:numPr>
              <w:spacing w:after="20"/>
              <w:jc w:val="both"/>
            </w:pPr>
            <w:r>
              <w:rPr>
                <w:sz w:val="18"/>
                <w:szCs w:val="18"/>
              </w:rPr>
              <w:t>Colegio de Auditores o Contadores Públicos de Bolivia, CAUB – Consejo Técnico Nacional de Auditoría y Contabilidad, CTNAC (2023). Compendio de Normas de Contabilidad y Auditoría. Santa Cruz.</w:t>
            </w:r>
          </w:p>
          <w:p w14:paraId="30136DA4" w14:textId="77777777" w:rsidR="00990B14" w:rsidRDefault="00000000">
            <w:pPr>
              <w:numPr>
                <w:ilvl w:val="0"/>
                <w:numId w:val="140"/>
              </w:numPr>
              <w:spacing w:after="20"/>
              <w:jc w:val="both"/>
            </w:pPr>
            <w:r>
              <w:rPr>
                <w:sz w:val="18"/>
                <w:szCs w:val="18"/>
              </w:rPr>
              <w:t>Dumrauf, G. L. (2010). Finanzas Corporativas: un enfoque latinoamericano. 2a ed. Alfaomega.</w:t>
            </w:r>
          </w:p>
          <w:p w14:paraId="74620644" w14:textId="77777777" w:rsidR="00990B14" w:rsidRDefault="00000000">
            <w:pPr>
              <w:numPr>
                <w:ilvl w:val="0"/>
                <w:numId w:val="140"/>
              </w:numPr>
              <w:spacing w:after="20"/>
              <w:jc w:val="both"/>
            </w:pPr>
            <w:r>
              <w:rPr>
                <w:sz w:val="18"/>
                <w:szCs w:val="18"/>
              </w:rPr>
              <w:t>Fundación de Normas Internacionales de Información Financiera, Fundación IFRS – Consejo de Normas Internacionales de Contabilidad, IASB (2023). Normas Internacionales de Información Financiera 2023. Londres.</w:t>
            </w:r>
          </w:p>
          <w:p w14:paraId="6F9748CD" w14:textId="77777777" w:rsidR="00990B14" w:rsidRDefault="00000000">
            <w:pPr>
              <w:numPr>
                <w:ilvl w:val="0"/>
                <w:numId w:val="140"/>
              </w:numPr>
              <w:spacing w:after="20"/>
              <w:jc w:val="both"/>
            </w:pPr>
            <w:r>
              <w:rPr>
                <w:sz w:val="18"/>
                <w:szCs w:val="18"/>
              </w:rPr>
              <w:t>Gitman, L. J. (2016). Principios de Administración Financiera. 14ta ed. Editorial Pearson.</w:t>
            </w:r>
          </w:p>
          <w:p w14:paraId="19D0C21B" w14:textId="77777777" w:rsidR="00990B14" w:rsidRDefault="00000000">
            <w:pPr>
              <w:numPr>
                <w:ilvl w:val="0"/>
                <w:numId w:val="140"/>
              </w:numPr>
              <w:spacing w:after="20"/>
              <w:jc w:val="both"/>
            </w:pPr>
            <w:r w:rsidRPr="00BD34F7">
              <w:rPr>
                <w:sz w:val="18"/>
                <w:szCs w:val="18"/>
                <w:lang w:val="en-US"/>
              </w:rPr>
              <w:t xml:space="preserve">Ross, S., Westerfield, R., Jaffe, J. y Jordan, B. (2018). </w:t>
            </w:r>
            <w:r>
              <w:rPr>
                <w:sz w:val="18"/>
                <w:szCs w:val="18"/>
              </w:rPr>
              <w:t>Finanzas Corporativas. 11va ed. Editorial McGraw Hill.</w:t>
            </w:r>
          </w:p>
          <w:p w14:paraId="78B3535B" w14:textId="77777777" w:rsidR="00990B14" w:rsidRDefault="00000000">
            <w:pPr>
              <w:numPr>
                <w:ilvl w:val="0"/>
                <w:numId w:val="140"/>
              </w:numPr>
              <w:spacing w:after="20"/>
              <w:jc w:val="both"/>
            </w:pPr>
            <w:r>
              <w:rPr>
                <w:sz w:val="18"/>
                <w:szCs w:val="18"/>
              </w:rPr>
              <w:t>Weston, J. F. y Copeland, T. (2015). Finanzas en Administración. 9na ed. Editorial McGraw Hill.</w:t>
            </w:r>
          </w:p>
        </w:tc>
      </w:tr>
      <w:tr w:rsidR="00990B14" w14:paraId="07BD0D67" w14:textId="77777777">
        <w:trPr>
          <w:jc w:val="center"/>
        </w:trPr>
        <w:tc>
          <w:tcPr>
            <w:tcW w:w="9405" w:type="dxa"/>
            <w:shd w:val="clear" w:color="auto" w:fill="D9E2F3"/>
          </w:tcPr>
          <w:p w14:paraId="7E065E4A" w14:textId="77777777" w:rsidR="00990B14" w:rsidRDefault="00000000">
            <w:pPr>
              <w:spacing w:before="40" w:after="40"/>
              <w:jc w:val="both"/>
            </w:pPr>
            <w:r>
              <w:rPr>
                <w:b/>
                <w:bCs/>
                <w:i/>
                <w:iCs/>
                <w:sz w:val="18"/>
                <w:szCs w:val="18"/>
              </w:rPr>
              <w:t>Bibliografía complementaria:</w:t>
            </w:r>
          </w:p>
          <w:p w14:paraId="555C2854" w14:textId="77777777" w:rsidR="00990B14" w:rsidRDefault="00000000">
            <w:pPr>
              <w:numPr>
                <w:ilvl w:val="0"/>
                <w:numId w:val="140"/>
              </w:numPr>
              <w:spacing w:after="20"/>
              <w:jc w:val="both"/>
            </w:pPr>
            <w:r>
              <w:rPr>
                <w:sz w:val="18"/>
                <w:szCs w:val="18"/>
              </w:rPr>
              <w:t>Alanis, M. (2022). Administración de Proyectos de Inteligencia de Negocios. Edición Kindle.</w:t>
            </w:r>
          </w:p>
          <w:p w14:paraId="4B840AA3" w14:textId="77777777" w:rsidR="00990B14" w:rsidRDefault="00000000">
            <w:pPr>
              <w:numPr>
                <w:ilvl w:val="0"/>
                <w:numId w:val="140"/>
              </w:numPr>
              <w:spacing w:after="20"/>
              <w:jc w:val="both"/>
            </w:pPr>
            <w:r>
              <w:rPr>
                <w:sz w:val="18"/>
                <w:szCs w:val="18"/>
              </w:rPr>
              <w:t>Alanis, M. (2022). Excel para Inteligencia de Negocios: Mejores Decisiones con Herramientas que Conoce. Edición Kindle.</w:t>
            </w:r>
          </w:p>
          <w:p w14:paraId="2398ED2D" w14:textId="77777777" w:rsidR="00990B14" w:rsidRDefault="00000000">
            <w:pPr>
              <w:numPr>
                <w:ilvl w:val="0"/>
                <w:numId w:val="140"/>
              </w:numPr>
              <w:spacing w:after="20"/>
              <w:jc w:val="both"/>
            </w:pPr>
            <w:r>
              <w:rPr>
                <w:sz w:val="18"/>
                <w:szCs w:val="18"/>
              </w:rPr>
              <w:t>Alvarado, H. (2022). Análisis financiero con Excel.</w:t>
            </w:r>
          </w:p>
          <w:p w14:paraId="3CCFA8A5" w14:textId="77777777" w:rsidR="00990B14" w:rsidRDefault="00000000">
            <w:pPr>
              <w:numPr>
                <w:ilvl w:val="0"/>
                <w:numId w:val="140"/>
              </w:numPr>
              <w:spacing w:after="20"/>
              <w:jc w:val="both"/>
            </w:pPr>
            <w:r>
              <w:rPr>
                <w:sz w:val="18"/>
                <w:szCs w:val="18"/>
              </w:rPr>
              <w:t>Alvarado, H. (2023). Análisis financiero de entidades financieras con Excel y Power Query.</w:t>
            </w:r>
          </w:p>
          <w:p w14:paraId="05859EDB" w14:textId="77777777" w:rsidR="00990B14" w:rsidRDefault="00000000">
            <w:pPr>
              <w:numPr>
                <w:ilvl w:val="0"/>
                <w:numId w:val="140"/>
              </w:numPr>
              <w:spacing w:after="20"/>
              <w:jc w:val="both"/>
            </w:pPr>
            <w:r>
              <w:rPr>
                <w:sz w:val="18"/>
                <w:szCs w:val="18"/>
              </w:rPr>
              <w:t>Autoridad de Supervisión del Sistema Financiero. Circular ASFI N.º 749/2022, sobre los lineamientos para la emisión de bonos verdes, sociales y sostenibles.</w:t>
            </w:r>
          </w:p>
          <w:p w14:paraId="722BF406" w14:textId="77777777" w:rsidR="00990B14" w:rsidRDefault="00000000">
            <w:pPr>
              <w:numPr>
                <w:ilvl w:val="0"/>
                <w:numId w:val="140"/>
              </w:numPr>
              <w:spacing w:after="20"/>
              <w:jc w:val="both"/>
            </w:pPr>
            <w:r>
              <w:rPr>
                <w:sz w:val="18"/>
                <w:szCs w:val="18"/>
              </w:rPr>
              <w:t>Bateman, T. (2018). Administración: un nuevo panorama competitivo. Editorial McGraw Hill.</w:t>
            </w:r>
          </w:p>
          <w:p w14:paraId="1B3D7A6D" w14:textId="77777777" w:rsidR="00990B14" w:rsidRDefault="00000000">
            <w:pPr>
              <w:numPr>
                <w:ilvl w:val="0"/>
                <w:numId w:val="140"/>
              </w:numPr>
              <w:spacing w:after="20"/>
              <w:jc w:val="both"/>
            </w:pPr>
            <w:r>
              <w:rPr>
                <w:sz w:val="18"/>
                <w:szCs w:val="18"/>
              </w:rPr>
              <w:t>Consejo de Normas Internacionales de Contabilidad (IASB). NIIF 13 Medición del valor razonable, NIIF 9 Instrumentos Financieros y NIC 21 Efectos de las variaciones en las tasas de cambio de la moneda extranjera.</w:t>
            </w:r>
          </w:p>
          <w:p w14:paraId="208E5EF9" w14:textId="77777777" w:rsidR="00990B14" w:rsidRDefault="00000000">
            <w:pPr>
              <w:numPr>
                <w:ilvl w:val="0"/>
                <w:numId w:val="140"/>
              </w:numPr>
              <w:spacing w:after="20"/>
              <w:jc w:val="both"/>
            </w:pPr>
            <w:r>
              <w:rPr>
                <w:sz w:val="18"/>
                <w:szCs w:val="18"/>
              </w:rPr>
              <w:t>Joyanes Aguilar, L. (2019). Inteligencia de negocios y analítica de datos. Alfaomega.</w:t>
            </w:r>
          </w:p>
          <w:p w14:paraId="10DE32DA" w14:textId="77777777" w:rsidR="00990B14" w:rsidRDefault="00000000">
            <w:pPr>
              <w:numPr>
                <w:ilvl w:val="0"/>
                <w:numId w:val="140"/>
              </w:numPr>
              <w:spacing w:after="20"/>
              <w:jc w:val="both"/>
            </w:pPr>
            <w:r>
              <w:rPr>
                <w:sz w:val="18"/>
                <w:szCs w:val="18"/>
              </w:rPr>
              <w:t>Ministerio de Economía y Finanzas Públicas. Resolución Ministerial N.º 245, de 26 de junio de 2026, del régimen de tipo de cambio flexible.</w:t>
            </w:r>
          </w:p>
          <w:p w14:paraId="3751981B" w14:textId="77777777" w:rsidR="00990B14" w:rsidRDefault="00000000">
            <w:pPr>
              <w:numPr>
                <w:ilvl w:val="0"/>
                <w:numId w:val="140"/>
              </w:numPr>
              <w:spacing w:after="20"/>
              <w:jc w:val="both"/>
            </w:pPr>
            <w:r>
              <w:rPr>
                <w:sz w:val="18"/>
                <w:szCs w:val="18"/>
              </w:rPr>
              <w:t>Morocho Moreno, C. (2023). Integrando la Inteligencia Artificial en la Gestión de Proyectos: un Nuevo Horizonte para los Directores de Proyectos.</w:t>
            </w:r>
          </w:p>
          <w:p w14:paraId="50452584" w14:textId="77777777" w:rsidR="00990B14" w:rsidRDefault="00000000">
            <w:pPr>
              <w:numPr>
                <w:ilvl w:val="0"/>
                <w:numId w:val="140"/>
              </w:numPr>
              <w:spacing w:after="20"/>
              <w:jc w:val="both"/>
            </w:pPr>
            <w:r>
              <w:rPr>
                <w:sz w:val="18"/>
                <w:szCs w:val="18"/>
              </w:rPr>
              <w:t>Sitios web oficiales: www.bcb.gob.bo, www.bbv.com.bo, www.asfi.gob.bo y www.ine.gob.bo.</w:t>
            </w:r>
          </w:p>
        </w:tc>
      </w:tr>
    </w:tbl>
    <w:p w14:paraId="7AB7D0BA" w14:textId="77777777" w:rsidR="00990B14" w:rsidRDefault="00000000">
      <w:pPr>
        <w:pStyle w:val="TituloPlanAsignatura"/>
        <w:keepNext/>
        <w:pageBreakBefore/>
        <w:spacing w:after="120"/>
        <w:jc w:val="center"/>
        <w:outlineLvl w:val="2"/>
      </w:pPr>
      <w:bookmarkStart w:id="178" w:name="_Toc000000119"/>
      <w:r>
        <w:rPr>
          <w:b/>
          <w:bCs/>
          <w:sz w:val="24"/>
          <w:szCs w:val="24"/>
        </w:rPr>
        <w:t>CPA-406 Ética e Independencia Profesional</w:t>
      </w:r>
      <w:bookmarkEnd w:id="178"/>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249"/>
        <w:gridCol w:w="1100"/>
        <w:gridCol w:w="149"/>
        <w:gridCol w:w="635"/>
        <w:gridCol w:w="615"/>
        <w:gridCol w:w="952"/>
        <w:gridCol w:w="298"/>
        <w:gridCol w:w="1250"/>
        <w:gridCol w:w="20"/>
        <w:gridCol w:w="385"/>
        <w:gridCol w:w="398"/>
        <w:gridCol w:w="447"/>
        <w:gridCol w:w="1907"/>
      </w:tblGrid>
      <w:tr w:rsidR="00990B14" w14:paraId="67C27D0A" w14:textId="77777777">
        <w:trPr>
          <w:cantSplit/>
          <w:jc w:val="center"/>
        </w:trPr>
        <w:tc>
          <w:tcPr>
            <w:tcW w:w="2349" w:type="dxa"/>
            <w:gridSpan w:val="2"/>
            <w:shd w:val="clear" w:color="auto" w:fill="4472C4"/>
            <w:vAlign w:val="center"/>
          </w:tcPr>
          <w:p w14:paraId="78CF6521" w14:textId="77777777" w:rsidR="00990B14" w:rsidRDefault="00000000">
            <w:pPr>
              <w:keepNext/>
              <w:spacing w:before="20" w:after="20"/>
              <w:jc w:val="center"/>
            </w:pPr>
            <w:r>
              <w:rPr>
                <w:b/>
                <w:bCs/>
                <w:i/>
                <w:iCs/>
                <w:color w:val="FFFFFF"/>
                <w:sz w:val="18"/>
                <w:szCs w:val="18"/>
              </w:rPr>
              <w:t>Asignatura</w:t>
            </w:r>
          </w:p>
        </w:tc>
        <w:tc>
          <w:tcPr>
            <w:tcW w:w="2351" w:type="dxa"/>
            <w:gridSpan w:val="4"/>
            <w:shd w:val="clear" w:color="auto" w:fill="4472C4"/>
            <w:vAlign w:val="center"/>
          </w:tcPr>
          <w:p w14:paraId="4767A30A" w14:textId="77777777" w:rsidR="00990B14" w:rsidRDefault="00000000">
            <w:pPr>
              <w:keepNext/>
              <w:spacing w:before="20" w:after="20"/>
              <w:jc w:val="center"/>
            </w:pPr>
            <w:r>
              <w:rPr>
                <w:b/>
                <w:bCs/>
                <w:i/>
                <w:iCs/>
                <w:color w:val="FFFFFF"/>
                <w:sz w:val="18"/>
                <w:szCs w:val="18"/>
              </w:rPr>
              <w:t>Sigla</w:t>
            </w:r>
          </w:p>
        </w:tc>
        <w:tc>
          <w:tcPr>
            <w:tcW w:w="2351" w:type="dxa"/>
            <w:gridSpan w:val="5"/>
            <w:shd w:val="clear" w:color="auto" w:fill="4472C4"/>
            <w:vAlign w:val="center"/>
          </w:tcPr>
          <w:p w14:paraId="6DE6A0CE" w14:textId="77777777" w:rsidR="00990B14" w:rsidRDefault="00000000">
            <w:pPr>
              <w:keepNext/>
              <w:spacing w:before="20" w:after="20"/>
              <w:jc w:val="center"/>
            </w:pPr>
            <w:r>
              <w:rPr>
                <w:b/>
                <w:bCs/>
                <w:i/>
                <w:iCs/>
                <w:color w:val="FFFFFF"/>
                <w:sz w:val="18"/>
                <w:szCs w:val="18"/>
              </w:rPr>
              <w:t>Nivel/Área</w:t>
            </w:r>
          </w:p>
        </w:tc>
        <w:tc>
          <w:tcPr>
            <w:tcW w:w="2354" w:type="dxa"/>
            <w:gridSpan w:val="2"/>
            <w:shd w:val="clear" w:color="auto" w:fill="4472C4"/>
            <w:vAlign w:val="center"/>
          </w:tcPr>
          <w:p w14:paraId="43B3E770" w14:textId="77777777" w:rsidR="00990B14" w:rsidRDefault="00000000">
            <w:pPr>
              <w:keepNext/>
              <w:spacing w:before="20" w:after="20"/>
              <w:jc w:val="center"/>
            </w:pPr>
            <w:r>
              <w:rPr>
                <w:b/>
                <w:bCs/>
                <w:i/>
                <w:iCs/>
                <w:color w:val="FFFFFF"/>
                <w:sz w:val="18"/>
                <w:szCs w:val="18"/>
              </w:rPr>
              <w:t>Prerrequisito</w:t>
            </w:r>
          </w:p>
        </w:tc>
      </w:tr>
      <w:tr w:rsidR="00990B14" w14:paraId="0D489F93" w14:textId="77777777">
        <w:trPr>
          <w:cantSplit/>
          <w:jc w:val="center"/>
        </w:trPr>
        <w:tc>
          <w:tcPr>
            <w:tcW w:w="2349" w:type="dxa"/>
            <w:gridSpan w:val="2"/>
            <w:shd w:val="clear" w:color="auto" w:fill="D9E2F3"/>
            <w:vAlign w:val="center"/>
          </w:tcPr>
          <w:p w14:paraId="2B43E22B" w14:textId="77777777" w:rsidR="00990B14" w:rsidRDefault="00000000">
            <w:pPr>
              <w:spacing w:before="20" w:after="20"/>
              <w:jc w:val="center"/>
            </w:pPr>
            <w:r>
              <w:rPr>
                <w:b/>
                <w:bCs/>
                <w:i/>
                <w:iCs/>
                <w:sz w:val="18"/>
                <w:szCs w:val="18"/>
              </w:rPr>
              <w:t>Ética e Independencia Profesional</w:t>
            </w:r>
          </w:p>
        </w:tc>
        <w:tc>
          <w:tcPr>
            <w:tcW w:w="2351" w:type="dxa"/>
            <w:gridSpan w:val="4"/>
            <w:shd w:val="clear" w:color="auto" w:fill="D9E2F3"/>
            <w:vAlign w:val="center"/>
          </w:tcPr>
          <w:p w14:paraId="664856EC" w14:textId="77777777" w:rsidR="00990B14" w:rsidRDefault="00000000">
            <w:pPr>
              <w:spacing w:before="20" w:after="20"/>
              <w:jc w:val="center"/>
            </w:pPr>
            <w:r>
              <w:rPr>
                <w:b/>
                <w:bCs/>
                <w:i/>
                <w:iCs/>
                <w:sz w:val="18"/>
                <w:szCs w:val="18"/>
              </w:rPr>
              <w:t>CPA-406</w:t>
            </w:r>
          </w:p>
        </w:tc>
        <w:tc>
          <w:tcPr>
            <w:tcW w:w="2351" w:type="dxa"/>
            <w:gridSpan w:val="5"/>
            <w:shd w:val="clear" w:color="auto" w:fill="D9E2F3"/>
            <w:vAlign w:val="center"/>
          </w:tcPr>
          <w:p w14:paraId="003B8AA2" w14:textId="77777777" w:rsidR="00990B14" w:rsidRDefault="00000000">
            <w:pPr>
              <w:spacing w:before="20" w:after="20"/>
              <w:jc w:val="center"/>
            </w:pPr>
            <w:r>
              <w:rPr>
                <w:b/>
                <w:bCs/>
                <w:i/>
                <w:iCs/>
                <w:sz w:val="18"/>
                <w:szCs w:val="18"/>
              </w:rPr>
              <w:t>Aseguramiento</w:t>
            </w:r>
          </w:p>
        </w:tc>
        <w:tc>
          <w:tcPr>
            <w:tcW w:w="2354" w:type="dxa"/>
            <w:gridSpan w:val="2"/>
            <w:shd w:val="clear" w:color="auto" w:fill="D9E2F3"/>
            <w:vAlign w:val="center"/>
          </w:tcPr>
          <w:p w14:paraId="074215BD" w14:textId="77777777" w:rsidR="00990B14" w:rsidRDefault="00000000">
            <w:pPr>
              <w:spacing w:before="20" w:after="20"/>
              <w:jc w:val="center"/>
            </w:pPr>
            <w:r>
              <w:rPr>
                <w:b/>
                <w:bCs/>
                <w:i/>
                <w:iCs/>
                <w:sz w:val="18"/>
                <w:szCs w:val="18"/>
              </w:rPr>
              <w:t>CPA-301 a CPA-304</w:t>
            </w:r>
          </w:p>
        </w:tc>
      </w:tr>
      <w:tr w:rsidR="00990B14" w14:paraId="1AEFD096" w14:textId="77777777">
        <w:trPr>
          <w:cantSplit/>
          <w:jc w:val="center"/>
        </w:trPr>
        <w:tc>
          <w:tcPr>
            <w:tcW w:w="7498" w:type="dxa"/>
            <w:gridSpan w:val="12"/>
            <w:shd w:val="clear" w:color="auto" w:fill="4472C4"/>
            <w:vAlign w:val="center"/>
          </w:tcPr>
          <w:p w14:paraId="361E76D4" w14:textId="77777777" w:rsidR="00990B14" w:rsidRDefault="00000000">
            <w:pPr>
              <w:keepNext/>
              <w:spacing w:before="20" w:after="20"/>
              <w:jc w:val="center"/>
            </w:pPr>
            <w:r>
              <w:rPr>
                <w:b/>
                <w:bCs/>
                <w:i/>
                <w:iCs/>
                <w:color w:val="FFFFFF"/>
                <w:sz w:val="18"/>
                <w:szCs w:val="18"/>
              </w:rPr>
              <w:t>Carga Horaria</w:t>
            </w:r>
          </w:p>
        </w:tc>
        <w:tc>
          <w:tcPr>
            <w:tcW w:w="1907" w:type="dxa"/>
            <w:shd w:val="clear" w:color="auto" w:fill="4472C4"/>
            <w:vAlign w:val="center"/>
          </w:tcPr>
          <w:p w14:paraId="49C16295" w14:textId="77777777" w:rsidR="00990B14" w:rsidRDefault="00000000">
            <w:pPr>
              <w:keepNext/>
              <w:spacing w:before="20" w:after="20"/>
              <w:jc w:val="center"/>
            </w:pPr>
            <w:r>
              <w:rPr>
                <w:b/>
                <w:bCs/>
                <w:i/>
                <w:iCs/>
                <w:color w:val="FFFFFF"/>
                <w:sz w:val="18"/>
                <w:szCs w:val="18"/>
              </w:rPr>
              <w:t>Créditos</w:t>
            </w:r>
          </w:p>
        </w:tc>
      </w:tr>
      <w:tr w:rsidR="00990B14" w14:paraId="2E840238" w14:textId="77777777">
        <w:trPr>
          <w:cantSplit/>
          <w:jc w:val="center"/>
        </w:trPr>
        <w:tc>
          <w:tcPr>
            <w:tcW w:w="1249" w:type="dxa"/>
            <w:shd w:val="clear" w:color="auto" w:fill="4472C4"/>
            <w:vAlign w:val="center"/>
          </w:tcPr>
          <w:p w14:paraId="7D21D7E4" w14:textId="77777777" w:rsidR="00990B14" w:rsidRDefault="00000000">
            <w:pPr>
              <w:keepNext/>
              <w:spacing w:before="20" w:after="20"/>
              <w:jc w:val="center"/>
            </w:pPr>
            <w:r>
              <w:rPr>
                <w:b/>
                <w:bCs/>
                <w:i/>
                <w:iCs/>
                <w:color w:val="FFFFFF"/>
                <w:sz w:val="18"/>
                <w:szCs w:val="18"/>
              </w:rPr>
              <w:t>HP</w:t>
            </w:r>
          </w:p>
        </w:tc>
        <w:tc>
          <w:tcPr>
            <w:tcW w:w="1249" w:type="dxa"/>
            <w:gridSpan w:val="2"/>
            <w:shd w:val="clear" w:color="auto" w:fill="4472C4"/>
            <w:vAlign w:val="center"/>
          </w:tcPr>
          <w:p w14:paraId="16643806" w14:textId="77777777" w:rsidR="00990B14" w:rsidRDefault="00000000">
            <w:pPr>
              <w:keepNext/>
              <w:spacing w:before="20" w:after="20"/>
              <w:jc w:val="center"/>
            </w:pPr>
            <w:r>
              <w:rPr>
                <w:b/>
                <w:bCs/>
                <w:i/>
                <w:iCs/>
                <w:color w:val="FFFFFF"/>
                <w:sz w:val="18"/>
                <w:szCs w:val="18"/>
              </w:rPr>
              <w:t>HAA</w:t>
            </w:r>
          </w:p>
        </w:tc>
        <w:tc>
          <w:tcPr>
            <w:tcW w:w="1250" w:type="dxa"/>
            <w:gridSpan w:val="2"/>
            <w:shd w:val="clear" w:color="auto" w:fill="4472C4"/>
            <w:vAlign w:val="center"/>
          </w:tcPr>
          <w:p w14:paraId="1DC5EAC4" w14:textId="77777777" w:rsidR="00990B14" w:rsidRDefault="00000000">
            <w:pPr>
              <w:keepNext/>
              <w:spacing w:before="20" w:after="20"/>
              <w:jc w:val="center"/>
            </w:pPr>
            <w:r>
              <w:rPr>
                <w:b/>
                <w:bCs/>
                <w:i/>
                <w:iCs/>
                <w:color w:val="FFFFFF"/>
                <w:sz w:val="18"/>
                <w:szCs w:val="18"/>
              </w:rPr>
              <w:t>HTG</w:t>
            </w:r>
          </w:p>
        </w:tc>
        <w:tc>
          <w:tcPr>
            <w:tcW w:w="1250" w:type="dxa"/>
            <w:gridSpan w:val="2"/>
            <w:shd w:val="clear" w:color="auto" w:fill="4472C4"/>
            <w:vAlign w:val="center"/>
          </w:tcPr>
          <w:p w14:paraId="4CCC179A" w14:textId="77777777" w:rsidR="00990B14" w:rsidRDefault="00000000">
            <w:pPr>
              <w:keepNext/>
              <w:spacing w:before="20" w:after="20"/>
              <w:jc w:val="center"/>
            </w:pPr>
            <w:r>
              <w:rPr>
                <w:b/>
                <w:bCs/>
                <w:i/>
                <w:iCs/>
                <w:color w:val="FFFFFF"/>
                <w:sz w:val="18"/>
                <w:szCs w:val="18"/>
              </w:rPr>
              <w:t>HIP</w:t>
            </w:r>
          </w:p>
        </w:tc>
        <w:tc>
          <w:tcPr>
            <w:tcW w:w="1250" w:type="dxa"/>
            <w:shd w:val="clear" w:color="auto" w:fill="4472C4"/>
            <w:vAlign w:val="center"/>
          </w:tcPr>
          <w:p w14:paraId="4CB243D7" w14:textId="77777777" w:rsidR="00990B14" w:rsidRDefault="00000000">
            <w:pPr>
              <w:keepNext/>
              <w:spacing w:before="20" w:after="20"/>
              <w:jc w:val="center"/>
            </w:pPr>
            <w:r>
              <w:rPr>
                <w:b/>
                <w:bCs/>
                <w:i/>
                <w:iCs/>
                <w:color w:val="FFFFFF"/>
                <w:sz w:val="18"/>
                <w:szCs w:val="18"/>
              </w:rPr>
              <w:t>HE</w:t>
            </w:r>
          </w:p>
        </w:tc>
        <w:tc>
          <w:tcPr>
            <w:tcW w:w="1250" w:type="dxa"/>
            <w:gridSpan w:val="4"/>
            <w:shd w:val="clear" w:color="auto" w:fill="4472C4"/>
            <w:vAlign w:val="center"/>
          </w:tcPr>
          <w:p w14:paraId="6DE16139" w14:textId="77777777" w:rsidR="00990B14" w:rsidRDefault="00000000">
            <w:pPr>
              <w:keepNext/>
              <w:spacing w:before="20" w:after="20"/>
              <w:jc w:val="center"/>
            </w:pPr>
            <w:r>
              <w:rPr>
                <w:b/>
                <w:bCs/>
                <w:i/>
                <w:iCs/>
                <w:color w:val="FFFFFF"/>
                <w:sz w:val="18"/>
                <w:szCs w:val="18"/>
              </w:rPr>
              <w:t>TOTAL</w:t>
            </w:r>
          </w:p>
        </w:tc>
        <w:tc>
          <w:tcPr>
            <w:tcW w:w="1907" w:type="dxa"/>
            <w:vMerge w:val="restart"/>
            <w:shd w:val="clear" w:color="auto" w:fill="D9E2F3"/>
            <w:vAlign w:val="center"/>
          </w:tcPr>
          <w:p w14:paraId="7A5BCAE7" w14:textId="77777777" w:rsidR="00990B14" w:rsidRDefault="00000000">
            <w:pPr>
              <w:spacing w:before="20" w:after="20"/>
              <w:jc w:val="center"/>
            </w:pPr>
            <w:r>
              <w:rPr>
                <w:sz w:val="18"/>
                <w:szCs w:val="18"/>
              </w:rPr>
              <w:t>5</w:t>
            </w:r>
          </w:p>
        </w:tc>
      </w:tr>
      <w:tr w:rsidR="00990B14" w14:paraId="3E6F3939" w14:textId="77777777">
        <w:trPr>
          <w:cantSplit/>
          <w:jc w:val="center"/>
        </w:trPr>
        <w:tc>
          <w:tcPr>
            <w:tcW w:w="1249" w:type="dxa"/>
            <w:shd w:val="clear" w:color="auto" w:fill="D9E2F3"/>
            <w:vAlign w:val="center"/>
          </w:tcPr>
          <w:p w14:paraId="1955F364" w14:textId="77777777" w:rsidR="00990B14" w:rsidRDefault="00000000">
            <w:pPr>
              <w:spacing w:before="20" w:after="20"/>
              <w:jc w:val="center"/>
            </w:pPr>
            <w:r>
              <w:rPr>
                <w:sz w:val="18"/>
                <w:szCs w:val="18"/>
              </w:rPr>
              <w:t>80</w:t>
            </w:r>
          </w:p>
        </w:tc>
        <w:tc>
          <w:tcPr>
            <w:tcW w:w="1249" w:type="dxa"/>
            <w:gridSpan w:val="2"/>
            <w:shd w:val="clear" w:color="auto" w:fill="D9E2F3"/>
            <w:vAlign w:val="center"/>
          </w:tcPr>
          <w:p w14:paraId="1166FD07" w14:textId="77777777" w:rsidR="00990B14" w:rsidRDefault="00000000">
            <w:pPr>
              <w:spacing w:before="20" w:after="20"/>
              <w:jc w:val="center"/>
            </w:pPr>
            <w:r>
              <w:rPr>
                <w:sz w:val="18"/>
                <w:szCs w:val="18"/>
              </w:rPr>
              <w:t>18</w:t>
            </w:r>
          </w:p>
        </w:tc>
        <w:tc>
          <w:tcPr>
            <w:tcW w:w="1250" w:type="dxa"/>
            <w:gridSpan w:val="2"/>
            <w:shd w:val="clear" w:color="auto" w:fill="D9E2F3"/>
            <w:vAlign w:val="center"/>
          </w:tcPr>
          <w:p w14:paraId="3705A3C6" w14:textId="77777777" w:rsidR="00990B14" w:rsidRDefault="00000000">
            <w:pPr>
              <w:spacing w:before="20" w:after="20"/>
              <w:jc w:val="center"/>
            </w:pPr>
            <w:r>
              <w:rPr>
                <w:sz w:val="18"/>
                <w:szCs w:val="18"/>
              </w:rPr>
              <w:t>18</w:t>
            </w:r>
          </w:p>
        </w:tc>
        <w:tc>
          <w:tcPr>
            <w:tcW w:w="1250" w:type="dxa"/>
            <w:gridSpan w:val="2"/>
            <w:shd w:val="clear" w:color="auto" w:fill="D9E2F3"/>
            <w:vAlign w:val="center"/>
          </w:tcPr>
          <w:p w14:paraId="6E68BF8A" w14:textId="77777777" w:rsidR="00990B14" w:rsidRDefault="00000000">
            <w:pPr>
              <w:spacing w:before="20" w:after="20"/>
              <w:jc w:val="center"/>
            </w:pPr>
            <w:r>
              <w:rPr>
                <w:sz w:val="18"/>
                <w:szCs w:val="18"/>
              </w:rPr>
              <w:t>17</w:t>
            </w:r>
          </w:p>
        </w:tc>
        <w:tc>
          <w:tcPr>
            <w:tcW w:w="1250" w:type="dxa"/>
            <w:shd w:val="clear" w:color="auto" w:fill="D9E2F3"/>
            <w:vAlign w:val="center"/>
          </w:tcPr>
          <w:p w14:paraId="4388FE74" w14:textId="77777777" w:rsidR="00990B14" w:rsidRDefault="00000000">
            <w:pPr>
              <w:spacing w:before="20" w:after="20"/>
              <w:jc w:val="center"/>
            </w:pPr>
            <w:r>
              <w:rPr>
                <w:sz w:val="18"/>
                <w:szCs w:val="18"/>
              </w:rPr>
              <w:t>17</w:t>
            </w:r>
          </w:p>
        </w:tc>
        <w:tc>
          <w:tcPr>
            <w:tcW w:w="1250" w:type="dxa"/>
            <w:gridSpan w:val="4"/>
            <w:shd w:val="clear" w:color="auto" w:fill="D9E2F3"/>
            <w:vAlign w:val="center"/>
          </w:tcPr>
          <w:p w14:paraId="79968293" w14:textId="77777777" w:rsidR="00990B14" w:rsidRDefault="00000000">
            <w:pPr>
              <w:spacing w:before="20" w:after="20"/>
              <w:jc w:val="center"/>
            </w:pPr>
            <w:r>
              <w:rPr>
                <w:sz w:val="18"/>
                <w:szCs w:val="18"/>
              </w:rPr>
              <w:t>150</w:t>
            </w:r>
          </w:p>
        </w:tc>
        <w:tc>
          <w:tcPr>
            <w:tcW w:w="1907" w:type="dxa"/>
            <w:vMerge/>
            <w:shd w:val="clear" w:color="auto" w:fill="D9E2F3"/>
            <w:vAlign w:val="center"/>
          </w:tcPr>
          <w:p w14:paraId="1E1C4AD3" w14:textId="77777777" w:rsidR="00990B14" w:rsidRDefault="00990B14">
            <w:pPr>
              <w:spacing w:before="20" w:after="20"/>
            </w:pPr>
          </w:p>
        </w:tc>
      </w:tr>
      <w:tr w:rsidR="00990B14" w14:paraId="48F3F859" w14:textId="77777777">
        <w:trPr>
          <w:cantSplit/>
          <w:jc w:val="center"/>
        </w:trPr>
        <w:tc>
          <w:tcPr>
            <w:tcW w:w="9405" w:type="dxa"/>
            <w:gridSpan w:val="13"/>
            <w:shd w:val="clear" w:color="auto" w:fill="4472C4"/>
            <w:vAlign w:val="center"/>
          </w:tcPr>
          <w:p w14:paraId="4BF31EDE" w14:textId="77777777" w:rsidR="00990B14" w:rsidRDefault="00000000">
            <w:pPr>
              <w:keepNext/>
              <w:spacing w:before="20" w:after="20"/>
              <w:jc w:val="center"/>
            </w:pPr>
            <w:r>
              <w:rPr>
                <w:b/>
                <w:bCs/>
                <w:i/>
                <w:iCs/>
                <w:color w:val="FFFFFF"/>
                <w:sz w:val="18"/>
                <w:szCs w:val="18"/>
              </w:rPr>
              <w:t>Unidad de Competencia</w:t>
            </w:r>
          </w:p>
        </w:tc>
      </w:tr>
      <w:tr w:rsidR="00990B14" w14:paraId="467059BB" w14:textId="77777777">
        <w:trPr>
          <w:cantSplit/>
          <w:jc w:val="center"/>
        </w:trPr>
        <w:tc>
          <w:tcPr>
            <w:tcW w:w="9405" w:type="dxa"/>
            <w:gridSpan w:val="13"/>
            <w:shd w:val="clear" w:color="auto" w:fill="D9E2F3"/>
            <w:vAlign w:val="center"/>
          </w:tcPr>
          <w:p w14:paraId="528B5608" w14:textId="77777777" w:rsidR="00990B14" w:rsidRDefault="00000000">
            <w:pPr>
              <w:spacing w:before="20" w:after="20"/>
              <w:jc w:val="both"/>
            </w:pPr>
            <w:r>
              <w:rPr>
                <w:sz w:val="18"/>
                <w:szCs w:val="18"/>
              </w:rPr>
              <w:t>Resuelve dilemas éticos y evalúa la independencia en los encargos de auditoría, de revisión y de aseguramiento, aplicando los principios éticos y los valores morales del ejercicio profesional de la Contaduría Pública, así como los principios fundamentales y el marco conceptual del Código Internacional de Ética para Profesionales de la Contabilidad en su edición vigente, incluidas las disposiciones sobre planificación fiscal, tecnología e información de sostenibilidad, diferenciando la ética personal de la ética profesional y empresarial e identificando las amenazas frente al fraude y la corrupción, con uso responsable de herramientas tecnológicas, juicio profesional, escepticismo, integridad y apego a las disposiciones vigentes en Bolivia.</w:t>
            </w:r>
          </w:p>
        </w:tc>
      </w:tr>
      <w:tr w:rsidR="00990B14" w14:paraId="31B1F9F9" w14:textId="77777777">
        <w:trPr>
          <w:cantSplit/>
          <w:jc w:val="center"/>
        </w:trPr>
        <w:tc>
          <w:tcPr>
            <w:tcW w:w="9405" w:type="dxa"/>
            <w:gridSpan w:val="13"/>
            <w:shd w:val="clear" w:color="auto" w:fill="D9E2F3"/>
            <w:vAlign w:val="center"/>
          </w:tcPr>
          <w:p w14:paraId="5F2F3931" w14:textId="77777777" w:rsidR="00990B14" w:rsidRDefault="00000000">
            <w:pPr>
              <w:spacing w:before="20" w:after="20"/>
              <w:jc w:val="both"/>
            </w:pPr>
            <w:r>
              <w:rPr>
                <w:b/>
                <w:bCs/>
                <w:i/>
                <w:iCs/>
                <w:sz w:val="18"/>
                <w:szCs w:val="18"/>
              </w:rPr>
              <w:t xml:space="preserve">Elemento de competencia 1: </w:t>
            </w:r>
            <w:r>
              <w:rPr>
                <w:sz w:val="18"/>
                <w:szCs w:val="18"/>
              </w:rPr>
              <w:t>Analiza decisiones de casos del ejercicio de la Contaduría Pública con las corrientes de la filosofía moral y los valores principales del profesional, relacionando la vocación y la formación ética con la integridad académica, con honestidad y respeto.</w:t>
            </w:r>
          </w:p>
        </w:tc>
      </w:tr>
      <w:tr w:rsidR="00990B14" w14:paraId="7AF6A3C9" w14:textId="77777777">
        <w:trPr>
          <w:cantSplit/>
          <w:jc w:val="center"/>
        </w:trPr>
        <w:tc>
          <w:tcPr>
            <w:tcW w:w="3133" w:type="dxa"/>
            <w:gridSpan w:val="4"/>
            <w:shd w:val="clear" w:color="auto" w:fill="4472C4"/>
            <w:vAlign w:val="center"/>
          </w:tcPr>
          <w:p w14:paraId="13CF91E3"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1D1C6F6F"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66EBB11D" w14:textId="77777777" w:rsidR="00990B14" w:rsidRDefault="00000000">
            <w:pPr>
              <w:keepNext/>
              <w:spacing w:before="20" w:after="20"/>
              <w:jc w:val="center"/>
            </w:pPr>
            <w:r>
              <w:rPr>
                <w:b/>
                <w:bCs/>
                <w:i/>
                <w:iCs/>
                <w:color w:val="FFFFFF"/>
                <w:sz w:val="18"/>
                <w:szCs w:val="18"/>
              </w:rPr>
              <w:t>Evidencias de producto</w:t>
            </w:r>
          </w:p>
        </w:tc>
      </w:tr>
      <w:tr w:rsidR="00990B14" w14:paraId="622AC967" w14:textId="77777777">
        <w:trPr>
          <w:cantSplit/>
          <w:jc w:val="center"/>
        </w:trPr>
        <w:tc>
          <w:tcPr>
            <w:tcW w:w="3133" w:type="dxa"/>
            <w:gridSpan w:val="4"/>
            <w:vMerge w:val="restart"/>
            <w:shd w:val="clear" w:color="auto" w:fill="D9E2F3"/>
            <w:vAlign w:val="center"/>
          </w:tcPr>
          <w:p w14:paraId="62F658B1" w14:textId="77777777" w:rsidR="00990B14" w:rsidRDefault="00000000">
            <w:pPr>
              <w:spacing w:before="20" w:after="20"/>
              <w:jc w:val="both"/>
            </w:pPr>
            <w:r>
              <w:rPr>
                <w:sz w:val="18"/>
                <w:szCs w:val="18"/>
              </w:rPr>
              <w:t>1. Aplica las corrientes de la filosofía moral a las decisiones de casos del ejercicio profesional, diferenciando la ética de la moral y de la axiología y argumentando el papel de la vocación en la formación ética del profesional.</w:t>
            </w:r>
          </w:p>
        </w:tc>
        <w:tc>
          <w:tcPr>
            <w:tcW w:w="3135" w:type="dxa"/>
            <w:gridSpan w:val="5"/>
            <w:shd w:val="clear" w:color="auto" w:fill="D9E2F3"/>
            <w:vAlign w:val="center"/>
          </w:tcPr>
          <w:p w14:paraId="1FB5761D" w14:textId="77777777" w:rsidR="00990B14" w:rsidRDefault="00000000">
            <w:pPr>
              <w:spacing w:before="20" w:after="20"/>
              <w:jc w:val="both"/>
            </w:pPr>
            <w:r>
              <w:rPr>
                <w:sz w:val="18"/>
                <w:szCs w:val="18"/>
              </w:rPr>
              <w:t>1.1 Analiza en aula con las corrientes aristotélica, kantiana y utilitarista la decisión de un socio de aceptar un encargo con honorarios importantes que compromete su independencia, y sustenta su posición ante el curso.</w:t>
            </w:r>
          </w:p>
        </w:tc>
        <w:tc>
          <w:tcPr>
            <w:tcW w:w="3137" w:type="dxa"/>
            <w:gridSpan w:val="4"/>
            <w:shd w:val="clear" w:color="auto" w:fill="D9E2F3"/>
            <w:vAlign w:val="center"/>
          </w:tcPr>
          <w:p w14:paraId="0F80FB06" w14:textId="77777777" w:rsidR="00990B14" w:rsidRDefault="00000000">
            <w:pPr>
              <w:spacing w:before="20" w:after="20"/>
              <w:jc w:val="both"/>
            </w:pPr>
            <w:r>
              <w:rPr>
                <w:b/>
                <w:bCs/>
                <w:sz w:val="18"/>
                <w:szCs w:val="18"/>
              </w:rPr>
              <w:t xml:space="preserve">Producto 1: </w:t>
            </w:r>
            <w:r>
              <w:rPr>
                <w:sz w:val="18"/>
                <w:szCs w:val="18"/>
              </w:rPr>
              <w:t>Esquema de la relación entre la ética, la moral y la axiología.</w:t>
            </w:r>
          </w:p>
        </w:tc>
      </w:tr>
      <w:tr w:rsidR="00990B14" w14:paraId="6746218B" w14:textId="77777777">
        <w:trPr>
          <w:cantSplit/>
          <w:jc w:val="center"/>
        </w:trPr>
        <w:tc>
          <w:tcPr>
            <w:tcW w:w="3133" w:type="dxa"/>
            <w:gridSpan w:val="4"/>
            <w:vMerge/>
            <w:shd w:val="clear" w:color="auto" w:fill="D9E2F3"/>
            <w:vAlign w:val="center"/>
          </w:tcPr>
          <w:p w14:paraId="1E7D656A" w14:textId="77777777" w:rsidR="00990B14" w:rsidRDefault="00990B14">
            <w:pPr>
              <w:spacing w:before="20" w:after="20"/>
            </w:pPr>
          </w:p>
        </w:tc>
        <w:tc>
          <w:tcPr>
            <w:tcW w:w="3135" w:type="dxa"/>
            <w:gridSpan w:val="5"/>
            <w:shd w:val="clear" w:color="auto" w:fill="D9E2F3"/>
            <w:vAlign w:val="center"/>
          </w:tcPr>
          <w:p w14:paraId="4BA843B0" w14:textId="77777777" w:rsidR="00990B14" w:rsidRDefault="00000000">
            <w:pPr>
              <w:spacing w:before="20" w:after="20"/>
              <w:jc w:val="both"/>
            </w:pPr>
            <w:r>
              <w:rPr>
                <w:sz w:val="18"/>
                <w:szCs w:val="18"/>
              </w:rPr>
              <w:t>1.2 Evalúa en equipo un caso de integridad académica relacionado con la autoría y el uso de herramientas tecnológicas.</w:t>
            </w:r>
          </w:p>
        </w:tc>
        <w:tc>
          <w:tcPr>
            <w:tcW w:w="3137" w:type="dxa"/>
            <w:gridSpan w:val="4"/>
            <w:shd w:val="clear" w:color="auto" w:fill="D9E2F3"/>
            <w:vAlign w:val="center"/>
          </w:tcPr>
          <w:p w14:paraId="113988EA" w14:textId="77777777" w:rsidR="00990B14" w:rsidRDefault="00000000">
            <w:pPr>
              <w:spacing w:before="20" w:after="20"/>
              <w:jc w:val="both"/>
            </w:pPr>
            <w:r>
              <w:rPr>
                <w:b/>
                <w:bCs/>
                <w:sz w:val="18"/>
                <w:szCs w:val="18"/>
              </w:rPr>
              <w:t xml:space="preserve">Producto 2: </w:t>
            </w:r>
            <w:r>
              <w:rPr>
                <w:sz w:val="18"/>
                <w:szCs w:val="18"/>
              </w:rPr>
              <w:t>Informe de evaluación de un caso de integridad académica.</w:t>
            </w:r>
          </w:p>
        </w:tc>
      </w:tr>
      <w:tr w:rsidR="00990B14" w14:paraId="5249B035" w14:textId="77777777">
        <w:trPr>
          <w:cantSplit/>
          <w:jc w:val="center"/>
        </w:trPr>
        <w:tc>
          <w:tcPr>
            <w:tcW w:w="3133" w:type="dxa"/>
            <w:gridSpan w:val="4"/>
            <w:vMerge w:val="restart"/>
            <w:shd w:val="clear" w:color="auto" w:fill="D9E2F3"/>
            <w:vAlign w:val="center"/>
          </w:tcPr>
          <w:p w14:paraId="0881B59B" w14:textId="77777777" w:rsidR="00990B14" w:rsidRDefault="00000000">
            <w:pPr>
              <w:spacing w:before="20" w:after="20"/>
              <w:jc w:val="both"/>
            </w:pPr>
            <w:r>
              <w:rPr>
                <w:sz w:val="18"/>
                <w:szCs w:val="18"/>
              </w:rPr>
              <w:t>2. Argumenta la importancia de los valores principales del profesional para el ejercicio de la Contaduría Pública, sustentando su posición ante casos de la vida académica y profesional.</w:t>
            </w:r>
          </w:p>
        </w:tc>
        <w:tc>
          <w:tcPr>
            <w:tcW w:w="3135" w:type="dxa"/>
            <w:gridSpan w:val="5"/>
            <w:shd w:val="clear" w:color="auto" w:fill="D9E2F3"/>
            <w:vAlign w:val="center"/>
          </w:tcPr>
          <w:p w14:paraId="7320A232" w14:textId="77777777" w:rsidR="00990B14" w:rsidRDefault="00000000">
            <w:pPr>
              <w:spacing w:before="20" w:after="20"/>
              <w:jc w:val="both"/>
            </w:pPr>
            <w:r>
              <w:rPr>
                <w:sz w:val="18"/>
                <w:szCs w:val="18"/>
              </w:rPr>
              <w:t>2.1 Sustenta en equipo la importancia de cada valor profesional con ejemplos del ejercicio contable.</w:t>
            </w:r>
          </w:p>
        </w:tc>
        <w:tc>
          <w:tcPr>
            <w:tcW w:w="3137" w:type="dxa"/>
            <w:gridSpan w:val="4"/>
            <w:shd w:val="clear" w:color="auto" w:fill="D9E2F3"/>
            <w:vAlign w:val="center"/>
          </w:tcPr>
          <w:p w14:paraId="45FB3C6B" w14:textId="77777777" w:rsidR="00990B14" w:rsidRDefault="00000000">
            <w:pPr>
              <w:spacing w:before="20" w:after="20"/>
              <w:jc w:val="both"/>
            </w:pPr>
            <w:r>
              <w:rPr>
                <w:b/>
                <w:bCs/>
                <w:sz w:val="18"/>
                <w:szCs w:val="18"/>
              </w:rPr>
              <w:t xml:space="preserve">Producto 3: </w:t>
            </w:r>
            <w:r>
              <w:rPr>
                <w:sz w:val="18"/>
                <w:szCs w:val="18"/>
              </w:rPr>
              <w:t>Cuadro de los valores principales del profesional con su importancia para la Contaduría Pública.</w:t>
            </w:r>
          </w:p>
        </w:tc>
      </w:tr>
      <w:tr w:rsidR="00990B14" w14:paraId="3A1ADE89" w14:textId="77777777">
        <w:trPr>
          <w:cantSplit/>
          <w:jc w:val="center"/>
        </w:trPr>
        <w:tc>
          <w:tcPr>
            <w:tcW w:w="3133" w:type="dxa"/>
            <w:gridSpan w:val="4"/>
            <w:vMerge/>
            <w:shd w:val="clear" w:color="auto" w:fill="D9E2F3"/>
            <w:vAlign w:val="center"/>
          </w:tcPr>
          <w:p w14:paraId="6FF9CB33" w14:textId="77777777" w:rsidR="00990B14" w:rsidRDefault="00990B14">
            <w:pPr>
              <w:spacing w:before="20" w:after="20"/>
            </w:pPr>
          </w:p>
        </w:tc>
        <w:tc>
          <w:tcPr>
            <w:tcW w:w="3135" w:type="dxa"/>
            <w:gridSpan w:val="5"/>
            <w:shd w:val="clear" w:color="auto" w:fill="D9E2F3"/>
            <w:vAlign w:val="center"/>
          </w:tcPr>
          <w:p w14:paraId="5CF55D96" w14:textId="77777777" w:rsidR="00990B14" w:rsidRDefault="00000000">
            <w:pPr>
              <w:spacing w:before="20" w:after="20"/>
              <w:jc w:val="both"/>
            </w:pPr>
            <w:r>
              <w:rPr>
                <w:sz w:val="18"/>
                <w:szCs w:val="18"/>
              </w:rPr>
              <w:t>2.2 Redacta en aula un ensayo breve sobre los valores éticos del Contador Público frente a una situación de su ejercicio.</w:t>
            </w:r>
          </w:p>
        </w:tc>
        <w:tc>
          <w:tcPr>
            <w:tcW w:w="3137" w:type="dxa"/>
            <w:gridSpan w:val="4"/>
            <w:shd w:val="clear" w:color="auto" w:fill="D9E2F3"/>
            <w:vAlign w:val="center"/>
          </w:tcPr>
          <w:p w14:paraId="4C141949" w14:textId="77777777" w:rsidR="00990B14" w:rsidRDefault="00000000">
            <w:pPr>
              <w:spacing w:before="20" w:after="20"/>
              <w:jc w:val="both"/>
            </w:pPr>
            <w:r>
              <w:rPr>
                <w:b/>
                <w:bCs/>
                <w:sz w:val="18"/>
                <w:szCs w:val="18"/>
              </w:rPr>
              <w:t xml:space="preserve">Producto 4: </w:t>
            </w:r>
            <w:r>
              <w:rPr>
                <w:sz w:val="18"/>
                <w:szCs w:val="18"/>
              </w:rPr>
              <w:t>Ensayo argumentativo sobre los valores éticos del Contador Público.</w:t>
            </w:r>
          </w:p>
        </w:tc>
      </w:tr>
      <w:tr w:rsidR="00990B14" w14:paraId="00724B51" w14:textId="77777777">
        <w:trPr>
          <w:cantSplit/>
          <w:jc w:val="center"/>
        </w:trPr>
        <w:tc>
          <w:tcPr>
            <w:tcW w:w="9405" w:type="dxa"/>
            <w:gridSpan w:val="13"/>
            <w:shd w:val="clear" w:color="auto" w:fill="4472C4"/>
            <w:vAlign w:val="center"/>
          </w:tcPr>
          <w:p w14:paraId="33D7FF84" w14:textId="77777777" w:rsidR="00990B14" w:rsidRDefault="00000000">
            <w:pPr>
              <w:keepNext/>
              <w:spacing w:before="20" w:after="20"/>
              <w:jc w:val="center"/>
            </w:pPr>
            <w:r>
              <w:rPr>
                <w:b/>
                <w:bCs/>
                <w:i/>
                <w:iCs/>
                <w:color w:val="FFFFFF"/>
                <w:sz w:val="18"/>
                <w:szCs w:val="18"/>
              </w:rPr>
              <w:t>Evidencias de conocimiento</w:t>
            </w:r>
          </w:p>
        </w:tc>
      </w:tr>
      <w:tr w:rsidR="00990B14" w14:paraId="017ABF26" w14:textId="77777777">
        <w:trPr>
          <w:cantSplit/>
          <w:jc w:val="center"/>
        </w:trPr>
        <w:tc>
          <w:tcPr>
            <w:tcW w:w="2349" w:type="dxa"/>
            <w:gridSpan w:val="2"/>
            <w:shd w:val="clear" w:color="auto" w:fill="4472C4"/>
            <w:vAlign w:val="center"/>
          </w:tcPr>
          <w:p w14:paraId="3BC0062B"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50B96BC0" w14:textId="77777777" w:rsidR="00990B14" w:rsidRDefault="00000000">
            <w:pPr>
              <w:keepNext/>
              <w:spacing w:before="20" w:after="20"/>
              <w:jc w:val="both"/>
            </w:pPr>
            <w:r>
              <w:rPr>
                <w:b/>
                <w:bCs/>
                <w:i/>
                <w:iCs/>
                <w:color w:val="FFFFFF"/>
                <w:sz w:val="18"/>
                <w:szCs w:val="18"/>
              </w:rPr>
              <w:t>Contenidos</w:t>
            </w:r>
          </w:p>
          <w:p w14:paraId="746778AB"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408D22BF" w14:textId="77777777" w:rsidR="00990B14" w:rsidRDefault="00000000">
            <w:pPr>
              <w:keepNext/>
              <w:spacing w:before="20" w:after="20"/>
              <w:jc w:val="center"/>
            </w:pPr>
            <w:r>
              <w:rPr>
                <w:b/>
                <w:bCs/>
                <w:i/>
                <w:iCs/>
                <w:color w:val="FFFFFF"/>
                <w:sz w:val="18"/>
                <w:szCs w:val="18"/>
              </w:rPr>
              <w:t>Conocimientos circunstanciales</w:t>
            </w:r>
          </w:p>
        </w:tc>
      </w:tr>
      <w:tr w:rsidR="00990B14" w14:paraId="6477C55D" w14:textId="77777777">
        <w:trPr>
          <w:jc w:val="center"/>
        </w:trPr>
        <w:tc>
          <w:tcPr>
            <w:tcW w:w="2349" w:type="dxa"/>
            <w:gridSpan w:val="2"/>
            <w:shd w:val="clear" w:color="auto" w:fill="D9E2F3"/>
          </w:tcPr>
          <w:p w14:paraId="5D03CC66" w14:textId="77777777" w:rsidR="00990B14" w:rsidRDefault="00000000">
            <w:pPr>
              <w:spacing w:before="20" w:after="40"/>
              <w:jc w:val="both"/>
            </w:pPr>
            <w:r>
              <w:rPr>
                <w:sz w:val="18"/>
                <w:szCs w:val="18"/>
              </w:rPr>
              <w:t>Tema 1: Introducción, concepto de valores éticos y la moral, y corrientes de la filosofía moral</w:t>
            </w:r>
          </w:p>
          <w:p w14:paraId="75C55CB7" w14:textId="77777777" w:rsidR="00990B14" w:rsidRDefault="00000000">
            <w:pPr>
              <w:spacing w:before="20" w:after="40"/>
              <w:jc w:val="both"/>
            </w:pPr>
            <w:r>
              <w:rPr>
                <w:sz w:val="18"/>
                <w:szCs w:val="18"/>
              </w:rPr>
              <w:t>Tema 2: El profesional y sus valores</w:t>
            </w:r>
          </w:p>
        </w:tc>
        <w:tc>
          <w:tcPr>
            <w:tcW w:w="4304" w:type="dxa"/>
            <w:gridSpan w:val="8"/>
            <w:shd w:val="clear" w:color="auto" w:fill="D9E2F3"/>
          </w:tcPr>
          <w:p w14:paraId="2F82C0DB" w14:textId="77777777" w:rsidR="00990B14" w:rsidRDefault="00000000">
            <w:pPr>
              <w:spacing w:after="40"/>
              <w:jc w:val="both"/>
            </w:pPr>
            <w:r>
              <w:rPr>
                <w:sz w:val="18"/>
                <w:szCs w:val="18"/>
              </w:rPr>
              <w:t>1. La ética en el ámbito de la filosofía; concepto de la ética y su relación con otras ciencias. (C)</w:t>
            </w:r>
          </w:p>
          <w:p w14:paraId="462D6C72" w14:textId="77777777" w:rsidR="00990B14" w:rsidRDefault="00000000">
            <w:pPr>
              <w:spacing w:after="40"/>
              <w:jc w:val="both"/>
            </w:pPr>
            <w:r>
              <w:rPr>
                <w:sz w:val="18"/>
                <w:szCs w:val="18"/>
              </w:rPr>
              <w:t>2. Ética y moral: definición de normas y tipos de ética. (C)</w:t>
            </w:r>
          </w:p>
          <w:p w14:paraId="57A637EA" w14:textId="77777777" w:rsidR="00990B14" w:rsidRDefault="00000000">
            <w:pPr>
              <w:spacing w:after="40"/>
              <w:jc w:val="both"/>
            </w:pPr>
            <w:r>
              <w:rPr>
                <w:sz w:val="18"/>
                <w:szCs w:val="18"/>
              </w:rPr>
              <w:t>3. Axiología: naturaleza y raíces de los valores. (C)</w:t>
            </w:r>
          </w:p>
          <w:p w14:paraId="1EBBF86E" w14:textId="77777777" w:rsidR="00990B14" w:rsidRDefault="00000000">
            <w:pPr>
              <w:spacing w:after="40"/>
              <w:jc w:val="both"/>
            </w:pPr>
            <w:r>
              <w:rPr>
                <w:sz w:val="18"/>
                <w:szCs w:val="18"/>
              </w:rPr>
              <w:t>4. Los seres humanos y la ética: lo que significa ser y ser humano. (C)</w:t>
            </w:r>
          </w:p>
          <w:p w14:paraId="2C36676F" w14:textId="77777777" w:rsidR="00990B14" w:rsidRDefault="00000000">
            <w:pPr>
              <w:spacing w:after="40"/>
              <w:jc w:val="both"/>
            </w:pPr>
            <w:r>
              <w:rPr>
                <w:sz w:val="18"/>
                <w:szCs w:val="18"/>
              </w:rPr>
              <w:t>5. Corrientes de la filosofía moral: ética aristotélica, deontología kantiana y utilitarismo, y su aplicación al análisis de decisiones del ejercicio profesional, como la aceptación de un encargo que compromete la independencia. (C, P)</w:t>
            </w:r>
          </w:p>
          <w:p w14:paraId="3E2ACE23" w14:textId="77777777" w:rsidR="00990B14" w:rsidRDefault="00000000">
            <w:pPr>
              <w:spacing w:after="40"/>
              <w:jc w:val="both"/>
            </w:pPr>
            <w:r>
              <w:rPr>
                <w:sz w:val="18"/>
                <w:szCs w:val="18"/>
              </w:rPr>
              <w:t>6. Argumentación de la decisión de un caso con rigor y respeto a las posturas contrarias. (P, A)</w:t>
            </w:r>
          </w:p>
          <w:p w14:paraId="0B32F321" w14:textId="77777777" w:rsidR="00990B14" w:rsidRDefault="00000000">
            <w:pPr>
              <w:spacing w:after="40"/>
              <w:jc w:val="both"/>
            </w:pPr>
            <w:r>
              <w:rPr>
                <w:sz w:val="18"/>
                <w:szCs w:val="18"/>
              </w:rPr>
              <w:t>7. Vocación como parte de la formación ética. (C)</w:t>
            </w:r>
          </w:p>
          <w:p w14:paraId="3CA5E75F" w14:textId="77777777" w:rsidR="00990B14" w:rsidRDefault="00000000">
            <w:pPr>
              <w:spacing w:after="40"/>
              <w:jc w:val="both"/>
            </w:pPr>
            <w:r>
              <w:rPr>
                <w:sz w:val="18"/>
                <w:szCs w:val="18"/>
              </w:rPr>
              <w:t>8. Vida académica y ética; educación superior y sus fines. (C)</w:t>
            </w:r>
          </w:p>
          <w:p w14:paraId="43A9EBB2" w14:textId="77777777" w:rsidR="00990B14" w:rsidRDefault="00000000">
            <w:pPr>
              <w:spacing w:after="40"/>
              <w:jc w:val="both"/>
            </w:pPr>
            <w:r>
              <w:rPr>
                <w:sz w:val="18"/>
                <w:szCs w:val="18"/>
              </w:rPr>
              <w:t>9. Integridad académica: autoría, citación de fuentes y uso responsable de herramientas tecnológicas en los trabajos universitarios. (C, P, A, T)</w:t>
            </w:r>
          </w:p>
          <w:p w14:paraId="68C3F0BD" w14:textId="77777777" w:rsidR="00990B14" w:rsidRDefault="00000000">
            <w:pPr>
              <w:spacing w:after="40"/>
              <w:jc w:val="both"/>
            </w:pPr>
            <w:r>
              <w:rPr>
                <w:sz w:val="18"/>
                <w:szCs w:val="18"/>
              </w:rPr>
              <w:t>10. Principales valores del profesional, respeto, honestidad, ética, responsabilidad y lealtad, su importancia y su práctica en situaciones del ejercicio contable. (C, P, A)</w:t>
            </w:r>
          </w:p>
          <w:p w14:paraId="3FF78423" w14:textId="77777777" w:rsidR="00990B14" w:rsidRDefault="00000000">
            <w:pPr>
              <w:spacing w:after="40"/>
              <w:jc w:val="both"/>
            </w:pPr>
            <w:r>
              <w:rPr>
                <w:sz w:val="18"/>
                <w:szCs w:val="18"/>
              </w:rPr>
              <w:t>11. Terminología de la ética profesional en inglés: integrity, objectivity, independence, due care, safeguards y public interest. (C)</w:t>
            </w:r>
          </w:p>
        </w:tc>
        <w:tc>
          <w:tcPr>
            <w:tcW w:w="2752" w:type="dxa"/>
            <w:gridSpan w:val="3"/>
            <w:shd w:val="clear" w:color="auto" w:fill="D9E2F3"/>
          </w:tcPr>
          <w:p w14:paraId="159507C3" w14:textId="77777777" w:rsidR="00990B14" w:rsidRDefault="00000000">
            <w:pPr>
              <w:numPr>
                <w:ilvl w:val="0"/>
                <w:numId w:val="139"/>
              </w:numPr>
              <w:spacing w:before="10" w:after="10"/>
              <w:jc w:val="both"/>
            </w:pPr>
            <w:r>
              <w:rPr>
                <w:sz w:val="18"/>
                <w:szCs w:val="18"/>
              </w:rPr>
              <w:t>Corrientes de la filosofía moral: ética aristotélica, deontología kantiana y utilitarismo.</w:t>
            </w:r>
          </w:p>
          <w:p w14:paraId="11577D8A" w14:textId="77777777" w:rsidR="00990B14" w:rsidRDefault="00000000">
            <w:pPr>
              <w:numPr>
                <w:ilvl w:val="0"/>
                <w:numId w:val="139"/>
              </w:numPr>
              <w:spacing w:before="10" w:after="10"/>
              <w:jc w:val="both"/>
            </w:pPr>
            <w:r>
              <w:rPr>
                <w:sz w:val="18"/>
                <w:szCs w:val="18"/>
              </w:rPr>
              <w:t>Nociones de argumentación y de identificación de falacias en el razonamiento moral.</w:t>
            </w:r>
          </w:p>
        </w:tc>
      </w:tr>
      <w:tr w:rsidR="00990B14" w14:paraId="379AD903" w14:textId="77777777">
        <w:trPr>
          <w:cantSplit/>
          <w:jc w:val="center"/>
        </w:trPr>
        <w:tc>
          <w:tcPr>
            <w:tcW w:w="9405" w:type="dxa"/>
            <w:gridSpan w:val="13"/>
            <w:shd w:val="clear" w:color="auto" w:fill="D9E2F3"/>
            <w:vAlign w:val="center"/>
          </w:tcPr>
          <w:p w14:paraId="61DB5D65" w14:textId="77777777" w:rsidR="00990B14" w:rsidRDefault="00000000">
            <w:pPr>
              <w:spacing w:before="20" w:after="20"/>
              <w:jc w:val="both"/>
            </w:pPr>
            <w:r>
              <w:rPr>
                <w:b/>
                <w:bCs/>
                <w:i/>
                <w:iCs/>
                <w:sz w:val="18"/>
                <w:szCs w:val="18"/>
              </w:rPr>
              <w:t xml:space="preserve">Elemento de competencia 2: </w:t>
            </w:r>
            <w:r>
              <w:rPr>
                <w:sz w:val="18"/>
                <w:szCs w:val="18"/>
              </w:rPr>
              <w:t>Resuelve los dilemas éticos del Contador Público frente al fraude, la corrupción y las presiones del entorno laboral, diferenciando la ética personal de la ética profesional y empresarial y fundamentando su decisión en la función social de garantizar la confianza pública, con integridad y responsabilidad.</w:t>
            </w:r>
          </w:p>
        </w:tc>
      </w:tr>
      <w:tr w:rsidR="00990B14" w14:paraId="3B8406AB" w14:textId="77777777">
        <w:trPr>
          <w:cantSplit/>
          <w:jc w:val="center"/>
        </w:trPr>
        <w:tc>
          <w:tcPr>
            <w:tcW w:w="3133" w:type="dxa"/>
            <w:gridSpan w:val="4"/>
            <w:shd w:val="clear" w:color="auto" w:fill="4472C4"/>
            <w:vAlign w:val="center"/>
          </w:tcPr>
          <w:p w14:paraId="4A842274"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4A2A983A"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5F1ECBF9" w14:textId="77777777" w:rsidR="00990B14" w:rsidRDefault="00000000">
            <w:pPr>
              <w:keepNext/>
              <w:spacing w:before="20" w:after="20"/>
              <w:jc w:val="center"/>
            </w:pPr>
            <w:r>
              <w:rPr>
                <w:b/>
                <w:bCs/>
                <w:i/>
                <w:iCs/>
                <w:color w:val="FFFFFF"/>
                <w:sz w:val="18"/>
                <w:szCs w:val="18"/>
              </w:rPr>
              <w:t>Evidencias de producto</w:t>
            </w:r>
          </w:p>
        </w:tc>
      </w:tr>
      <w:tr w:rsidR="00990B14" w14:paraId="5FAD2264" w14:textId="77777777">
        <w:trPr>
          <w:cantSplit/>
          <w:jc w:val="center"/>
        </w:trPr>
        <w:tc>
          <w:tcPr>
            <w:tcW w:w="3133" w:type="dxa"/>
            <w:gridSpan w:val="4"/>
            <w:vMerge w:val="restart"/>
            <w:shd w:val="clear" w:color="auto" w:fill="D9E2F3"/>
            <w:vAlign w:val="center"/>
          </w:tcPr>
          <w:p w14:paraId="5300A796" w14:textId="77777777" w:rsidR="00990B14" w:rsidRDefault="00000000">
            <w:pPr>
              <w:spacing w:before="20" w:after="20"/>
              <w:jc w:val="both"/>
            </w:pPr>
            <w:r>
              <w:rPr>
                <w:sz w:val="18"/>
                <w:szCs w:val="18"/>
              </w:rPr>
              <w:t>1. Evalúa el soborno, la corrupción y el fraude en la organización, diferenciando la ética personal de la ética profesional y empresarial y relacionándolos con la gestión anticorrupción y con las normas de auditoría sobre fraude, con integridad</w:t>
            </w:r>
          </w:p>
        </w:tc>
        <w:tc>
          <w:tcPr>
            <w:tcW w:w="3135" w:type="dxa"/>
            <w:gridSpan w:val="5"/>
            <w:shd w:val="clear" w:color="auto" w:fill="D9E2F3"/>
            <w:vAlign w:val="center"/>
          </w:tcPr>
          <w:p w14:paraId="5B29FAAF" w14:textId="77777777" w:rsidR="00990B14" w:rsidRDefault="00000000">
            <w:pPr>
              <w:spacing w:before="20" w:after="20"/>
              <w:jc w:val="both"/>
            </w:pPr>
            <w:r>
              <w:rPr>
                <w:sz w:val="18"/>
                <w:szCs w:val="18"/>
              </w:rPr>
              <w:t>1.1 Analiza en aula un caso de fraude con el triángulo del fraude y la responsabilidad del Contador Público conforme a las normas de auditoría.</w:t>
            </w:r>
          </w:p>
        </w:tc>
        <w:tc>
          <w:tcPr>
            <w:tcW w:w="3137" w:type="dxa"/>
            <w:gridSpan w:val="4"/>
            <w:shd w:val="clear" w:color="auto" w:fill="D9E2F3"/>
            <w:vAlign w:val="center"/>
          </w:tcPr>
          <w:p w14:paraId="7482F991" w14:textId="77777777" w:rsidR="00990B14" w:rsidRDefault="00000000">
            <w:pPr>
              <w:spacing w:before="20" w:after="20"/>
              <w:jc w:val="both"/>
            </w:pPr>
            <w:r>
              <w:rPr>
                <w:b/>
                <w:bCs/>
                <w:sz w:val="18"/>
                <w:szCs w:val="18"/>
              </w:rPr>
              <w:t xml:space="preserve">Producto 5: </w:t>
            </w:r>
            <w:r>
              <w:rPr>
                <w:sz w:val="18"/>
                <w:szCs w:val="18"/>
              </w:rPr>
              <w:t>Análisis de un caso de fraude con la responsabilidad del Contador Público.</w:t>
            </w:r>
          </w:p>
        </w:tc>
      </w:tr>
      <w:tr w:rsidR="00990B14" w14:paraId="49D0CE2C" w14:textId="77777777">
        <w:trPr>
          <w:cantSplit/>
          <w:jc w:val="center"/>
        </w:trPr>
        <w:tc>
          <w:tcPr>
            <w:tcW w:w="3133" w:type="dxa"/>
            <w:gridSpan w:val="4"/>
            <w:vMerge/>
            <w:shd w:val="clear" w:color="auto" w:fill="D9E2F3"/>
            <w:vAlign w:val="center"/>
          </w:tcPr>
          <w:p w14:paraId="100D33C4" w14:textId="77777777" w:rsidR="00990B14" w:rsidRDefault="00990B14">
            <w:pPr>
              <w:spacing w:before="20" w:after="20"/>
            </w:pPr>
          </w:p>
        </w:tc>
        <w:tc>
          <w:tcPr>
            <w:tcW w:w="3135" w:type="dxa"/>
            <w:gridSpan w:val="5"/>
            <w:shd w:val="clear" w:color="auto" w:fill="D9E2F3"/>
            <w:vAlign w:val="center"/>
          </w:tcPr>
          <w:p w14:paraId="6587AD15" w14:textId="77777777" w:rsidR="00990B14" w:rsidRDefault="00000000">
            <w:pPr>
              <w:spacing w:before="20" w:after="20"/>
              <w:jc w:val="both"/>
            </w:pPr>
            <w:r>
              <w:rPr>
                <w:sz w:val="18"/>
                <w:szCs w:val="18"/>
              </w:rPr>
              <w:t>1.2 Analiza en equipo un caso de corrupción o de influencia indebida y propone medidas de gestión anticorrupción, sustentándolas ante el curso.</w:t>
            </w:r>
          </w:p>
        </w:tc>
        <w:tc>
          <w:tcPr>
            <w:tcW w:w="3137" w:type="dxa"/>
            <w:gridSpan w:val="4"/>
            <w:shd w:val="clear" w:color="auto" w:fill="D9E2F3"/>
            <w:vAlign w:val="center"/>
          </w:tcPr>
          <w:p w14:paraId="2107F864" w14:textId="77777777" w:rsidR="00990B14" w:rsidRDefault="00000000">
            <w:pPr>
              <w:spacing w:before="20" w:after="20"/>
              <w:jc w:val="both"/>
            </w:pPr>
            <w:r>
              <w:rPr>
                <w:b/>
                <w:bCs/>
                <w:sz w:val="18"/>
                <w:szCs w:val="18"/>
              </w:rPr>
              <w:t xml:space="preserve">Producto 6: </w:t>
            </w:r>
            <w:r>
              <w:rPr>
                <w:sz w:val="18"/>
                <w:szCs w:val="18"/>
              </w:rPr>
              <w:t>Propuesta de programa de integridad y de gestión anticorrupción de una organización.</w:t>
            </w:r>
          </w:p>
        </w:tc>
      </w:tr>
      <w:tr w:rsidR="00990B14" w14:paraId="4852D23E" w14:textId="77777777">
        <w:trPr>
          <w:cantSplit/>
          <w:jc w:val="center"/>
        </w:trPr>
        <w:tc>
          <w:tcPr>
            <w:tcW w:w="3133" w:type="dxa"/>
            <w:gridSpan w:val="4"/>
            <w:vMerge w:val="restart"/>
            <w:shd w:val="clear" w:color="auto" w:fill="D9E2F3"/>
            <w:vAlign w:val="center"/>
          </w:tcPr>
          <w:p w14:paraId="6A825083" w14:textId="77777777" w:rsidR="00990B14" w:rsidRDefault="00000000">
            <w:pPr>
              <w:spacing w:before="20" w:after="20"/>
              <w:jc w:val="both"/>
            </w:pPr>
            <w:r>
              <w:rPr>
                <w:sz w:val="18"/>
                <w:szCs w:val="18"/>
              </w:rPr>
              <w:t>2. Resuelve los dilemas éticos del Contador Público en la sociedad, analizando las presiones del cliente o del empleador, el uso de la tecnología y la información de sostenibilidad con base en el Código de Ética.</w:t>
            </w:r>
          </w:p>
        </w:tc>
        <w:tc>
          <w:tcPr>
            <w:tcW w:w="3135" w:type="dxa"/>
            <w:gridSpan w:val="5"/>
            <w:shd w:val="clear" w:color="auto" w:fill="D9E2F3"/>
            <w:vAlign w:val="center"/>
          </w:tcPr>
          <w:p w14:paraId="2457AC53" w14:textId="77777777" w:rsidR="00990B14" w:rsidRDefault="00000000">
            <w:pPr>
              <w:spacing w:before="20" w:after="20"/>
              <w:jc w:val="both"/>
            </w:pPr>
            <w:r>
              <w:rPr>
                <w:sz w:val="18"/>
                <w:szCs w:val="18"/>
              </w:rPr>
              <w:t>2.1 Analiza en equipo un dilema ético del Contador Público y sustenta su resolución conforme al Código de Ética.</w:t>
            </w:r>
          </w:p>
        </w:tc>
        <w:tc>
          <w:tcPr>
            <w:tcW w:w="3137" w:type="dxa"/>
            <w:gridSpan w:val="4"/>
            <w:shd w:val="clear" w:color="auto" w:fill="D9E2F3"/>
            <w:vAlign w:val="center"/>
          </w:tcPr>
          <w:p w14:paraId="527AB3DC" w14:textId="77777777" w:rsidR="00990B14" w:rsidRDefault="00000000">
            <w:pPr>
              <w:spacing w:before="20" w:after="20"/>
              <w:jc w:val="both"/>
            </w:pPr>
            <w:r>
              <w:rPr>
                <w:b/>
                <w:bCs/>
                <w:sz w:val="18"/>
                <w:szCs w:val="18"/>
              </w:rPr>
              <w:t xml:space="preserve">Producto 7: </w:t>
            </w:r>
            <w:r>
              <w:rPr>
                <w:sz w:val="18"/>
                <w:szCs w:val="18"/>
              </w:rPr>
              <w:t>Resolución fundamentada de un dilema ético del Contador Público.</w:t>
            </w:r>
          </w:p>
        </w:tc>
      </w:tr>
      <w:tr w:rsidR="00990B14" w14:paraId="026489CC" w14:textId="77777777">
        <w:trPr>
          <w:cantSplit/>
          <w:jc w:val="center"/>
        </w:trPr>
        <w:tc>
          <w:tcPr>
            <w:tcW w:w="3133" w:type="dxa"/>
            <w:gridSpan w:val="4"/>
            <w:vMerge/>
            <w:shd w:val="clear" w:color="auto" w:fill="D9E2F3"/>
            <w:vAlign w:val="center"/>
          </w:tcPr>
          <w:p w14:paraId="2C586DC4" w14:textId="77777777" w:rsidR="00990B14" w:rsidRDefault="00990B14">
            <w:pPr>
              <w:spacing w:before="20" w:after="20"/>
            </w:pPr>
          </w:p>
        </w:tc>
        <w:tc>
          <w:tcPr>
            <w:tcW w:w="3135" w:type="dxa"/>
            <w:gridSpan w:val="5"/>
            <w:shd w:val="clear" w:color="auto" w:fill="D9E2F3"/>
            <w:vAlign w:val="center"/>
          </w:tcPr>
          <w:p w14:paraId="5777B87E" w14:textId="77777777" w:rsidR="00990B14" w:rsidRDefault="00000000">
            <w:pPr>
              <w:spacing w:before="20" w:after="20"/>
              <w:jc w:val="both"/>
            </w:pPr>
            <w:r>
              <w:rPr>
                <w:sz w:val="18"/>
                <w:szCs w:val="18"/>
              </w:rPr>
              <w:t>2.2 Argumenta ante el curso la función social del Contador Público frente al uso de datos y herramientas tecnológicas y a la información de sostenibilidad.</w:t>
            </w:r>
          </w:p>
        </w:tc>
        <w:tc>
          <w:tcPr>
            <w:tcW w:w="3137" w:type="dxa"/>
            <w:gridSpan w:val="4"/>
            <w:shd w:val="clear" w:color="auto" w:fill="D9E2F3"/>
            <w:vAlign w:val="center"/>
          </w:tcPr>
          <w:p w14:paraId="26ED8DC5" w14:textId="77777777" w:rsidR="00990B14" w:rsidRDefault="00000000">
            <w:pPr>
              <w:spacing w:before="20" w:after="20"/>
              <w:jc w:val="both"/>
            </w:pPr>
            <w:r>
              <w:rPr>
                <w:b/>
                <w:bCs/>
                <w:sz w:val="18"/>
                <w:szCs w:val="18"/>
              </w:rPr>
              <w:t xml:space="preserve">Producto 8: </w:t>
            </w:r>
            <w:r>
              <w:rPr>
                <w:sz w:val="18"/>
                <w:szCs w:val="18"/>
              </w:rPr>
              <w:t>Informe sobre la función social del Contador Público ante la tecnología y la sostenibilidad.</w:t>
            </w:r>
          </w:p>
        </w:tc>
      </w:tr>
      <w:tr w:rsidR="00990B14" w14:paraId="394A55DB" w14:textId="77777777">
        <w:trPr>
          <w:cantSplit/>
          <w:jc w:val="center"/>
        </w:trPr>
        <w:tc>
          <w:tcPr>
            <w:tcW w:w="9405" w:type="dxa"/>
            <w:gridSpan w:val="13"/>
            <w:shd w:val="clear" w:color="auto" w:fill="4472C4"/>
            <w:vAlign w:val="center"/>
          </w:tcPr>
          <w:p w14:paraId="660718AB" w14:textId="77777777" w:rsidR="00990B14" w:rsidRDefault="00000000">
            <w:pPr>
              <w:keepNext/>
              <w:spacing w:before="20" w:after="20"/>
              <w:jc w:val="center"/>
            </w:pPr>
            <w:r>
              <w:rPr>
                <w:b/>
                <w:bCs/>
                <w:i/>
                <w:iCs/>
                <w:color w:val="FFFFFF"/>
                <w:sz w:val="18"/>
                <w:szCs w:val="18"/>
              </w:rPr>
              <w:t>Evidencias de conocimiento</w:t>
            </w:r>
          </w:p>
        </w:tc>
      </w:tr>
      <w:tr w:rsidR="00990B14" w14:paraId="2770BE1B" w14:textId="77777777">
        <w:trPr>
          <w:cantSplit/>
          <w:jc w:val="center"/>
        </w:trPr>
        <w:tc>
          <w:tcPr>
            <w:tcW w:w="2349" w:type="dxa"/>
            <w:gridSpan w:val="2"/>
            <w:shd w:val="clear" w:color="auto" w:fill="4472C4"/>
            <w:vAlign w:val="center"/>
          </w:tcPr>
          <w:p w14:paraId="73CC7518"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05B4FEF3" w14:textId="77777777" w:rsidR="00990B14" w:rsidRDefault="00000000">
            <w:pPr>
              <w:keepNext/>
              <w:spacing w:before="20" w:after="20"/>
              <w:jc w:val="both"/>
            </w:pPr>
            <w:r>
              <w:rPr>
                <w:b/>
                <w:bCs/>
                <w:i/>
                <w:iCs/>
                <w:color w:val="FFFFFF"/>
                <w:sz w:val="18"/>
                <w:szCs w:val="18"/>
              </w:rPr>
              <w:t>Contenidos</w:t>
            </w:r>
          </w:p>
          <w:p w14:paraId="0BA5730B"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653B1A67" w14:textId="77777777" w:rsidR="00990B14" w:rsidRDefault="00000000">
            <w:pPr>
              <w:keepNext/>
              <w:spacing w:before="20" w:after="20"/>
              <w:jc w:val="center"/>
            </w:pPr>
            <w:r>
              <w:rPr>
                <w:b/>
                <w:bCs/>
                <w:i/>
                <w:iCs/>
                <w:color w:val="FFFFFF"/>
                <w:sz w:val="18"/>
                <w:szCs w:val="18"/>
              </w:rPr>
              <w:t>Conocimientos circunstanciales</w:t>
            </w:r>
          </w:p>
        </w:tc>
      </w:tr>
      <w:tr w:rsidR="00990B14" w14:paraId="5D6121FA" w14:textId="77777777">
        <w:trPr>
          <w:jc w:val="center"/>
        </w:trPr>
        <w:tc>
          <w:tcPr>
            <w:tcW w:w="2349" w:type="dxa"/>
            <w:gridSpan w:val="2"/>
            <w:shd w:val="clear" w:color="auto" w:fill="D9E2F3"/>
          </w:tcPr>
          <w:p w14:paraId="2B39DFBC" w14:textId="77777777" w:rsidR="00990B14" w:rsidRDefault="00000000">
            <w:pPr>
              <w:spacing w:before="20" w:after="40"/>
              <w:jc w:val="both"/>
            </w:pPr>
            <w:r>
              <w:rPr>
                <w:sz w:val="18"/>
                <w:szCs w:val="18"/>
              </w:rPr>
              <w:t>Tema 3: La ética personal y la ética profesional</w:t>
            </w:r>
          </w:p>
          <w:p w14:paraId="6649058A" w14:textId="77777777" w:rsidR="00990B14" w:rsidRDefault="00000000">
            <w:pPr>
              <w:spacing w:before="20" w:after="40"/>
              <w:jc w:val="both"/>
            </w:pPr>
            <w:r>
              <w:rPr>
                <w:sz w:val="18"/>
                <w:szCs w:val="18"/>
              </w:rPr>
              <w:t>Tema 4: La ética empresarial – responsabilidad social empresarial</w:t>
            </w:r>
          </w:p>
          <w:p w14:paraId="1A665B99" w14:textId="77777777" w:rsidR="00990B14" w:rsidRDefault="00000000">
            <w:pPr>
              <w:spacing w:before="20" w:after="40"/>
              <w:jc w:val="both"/>
            </w:pPr>
            <w:r>
              <w:rPr>
                <w:sz w:val="18"/>
                <w:szCs w:val="18"/>
              </w:rPr>
              <w:t>Tema 5: El profesional frente al fraude</w:t>
            </w:r>
          </w:p>
          <w:p w14:paraId="63D4B59A" w14:textId="77777777" w:rsidR="00990B14" w:rsidRDefault="00000000">
            <w:pPr>
              <w:spacing w:before="20" w:after="40"/>
              <w:jc w:val="both"/>
            </w:pPr>
            <w:r>
              <w:rPr>
                <w:sz w:val="18"/>
                <w:szCs w:val="18"/>
              </w:rPr>
              <w:t>Tema 6: El Contador Público, su responsabilidad social y la confianza pública</w:t>
            </w:r>
          </w:p>
          <w:p w14:paraId="7247B78C" w14:textId="77777777" w:rsidR="00990B14" w:rsidRDefault="00000000">
            <w:pPr>
              <w:spacing w:before="20" w:after="40"/>
              <w:jc w:val="both"/>
            </w:pPr>
            <w:r>
              <w:rPr>
                <w:sz w:val="18"/>
                <w:szCs w:val="18"/>
              </w:rPr>
              <w:t>Tema 7: Dilemas éticos del Contador Público</w:t>
            </w:r>
          </w:p>
        </w:tc>
        <w:tc>
          <w:tcPr>
            <w:tcW w:w="4304" w:type="dxa"/>
            <w:gridSpan w:val="8"/>
            <w:shd w:val="clear" w:color="auto" w:fill="D9E2F3"/>
          </w:tcPr>
          <w:p w14:paraId="4459778F" w14:textId="77777777" w:rsidR="00990B14" w:rsidRDefault="00000000">
            <w:pPr>
              <w:spacing w:after="40"/>
              <w:jc w:val="both"/>
            </w:pPr>
            <w:r>
              <w:rPr>
                <w:sz w:val="18"/>
                <w:szCs w:val="18"/>
              </w:rPr>
              <w:t>1. Ética personal y ética profesional: diferencias y aplicación de los principios y valores personales en el ejercicio de la profesión. (C)</w:t>
            </w:r>
          </w:p>
          <w:p w14:paraId="374C92F9" w14:textId="77777777" w:rsidR="00990B14" w:rsidRDefault="00000000">
            <w:pPr>
              <w:spacing w:after="40"/>
              <w:jc w:val="both"/>
            </w:pPr>
            <w:r>
              <w:rPr>
                <w:sz w:val="18"/>
                <w:szCs w:val="18"/>
              </w:rPr>
              <w:t>2. Ética empresarial o ética de los negocios: valores y normas que surgen de la cultura de la empresa, misión, visión y código de ética laboral. (C)</w:t>
            </w:r>
          </w:p>
          <w:p w14:paraId="0FAF3520" w14:textId="77777777" w:rsidR="00990B14" w:rsidRDefault="00000000">
            <w:pPr>
              <w:spacing w:after="40"/>
              <w:jc w:val="both"/>
            </w:pPr>
            <w:r>
              <w:rPr>
                <w:sz w:val="18"/>
                <w:szCs w:val="18"/>
              </w:rPr>
              <w:t>3. Responsabilidad social empresarial, bien común y beneficio colectivo de la organización. (C)</w:t>
            </w:r>
          </w:p>
          <w:p w14:paraId="4F95B7DC" w14:textId="77777777" w:rsidR="00990B14" w:rsidRDefault="00000000">
            <w:pPr>
              <w:spacing w:after="40"/>
              <w:jc w:val="both"/>
            </w:pPr>
            <w:r>
              <w:rPr>
                <w:sz w:val="18"/>
                <w:szCs w:val="18"/>
              </w:rPr>
              <w:t>4. Moralidad y ética en las relaciones laborales; entorno y clima laboral. (C)</w:t>
            </w:r>
          </w:p>
          <w:p w14:paraId="3DBB4558" w14:textId="77777777" w:rsidR="00990B14" w:rsidRDefault="00000000">
            <w:pPr>
              <w:spacing w:after="40"/>
              <w:jc w:val="both"/>
            </w:pPr>
            <w:r>
              <w:rPr>
                <w:sz w:val="18"/>
                <w:szCs w:val="18"/>
              </w:rPr>
              <w:t>5. Responsabilidades de la empresa u organización y preservación de la ética empresarial. (C)</w:t>
            </w:r>
          </w:p>
          <w:p w14:paraId="54601350" w14:textId="77777777" w:rsidR="00990B14" w:rsidRDefault="00000000">
            <w:pPr>
              <w:spacing w:after="40"/>
              <w:jc w:val="both"/>
            </w:pPr>
            <w:r>
              <w:rPr>
                <w:sz w:val="18"/>
                <w:szCs w:val="18"/>
              </w:rPr>
              <w:t>6. Soborno, corrupción, influencia indebida y conflicto de intereses en la organización. (C)</w:t>
            </w:r>
          </w:p>
          <w:p w14:paraId="04D1D5CF" w14:textId="77777777" w:rsidR="00990B14" w:rsidRDefault="00000000">
            <w:pPr>
              <w:spacing w:after="40"/>
              <w:jc w:val="both"/>
            </w:pPr>
            <w:r>
              <w:rPr>
                <w:sz w:val="18"/>
                <w:szCs w:val="18"/>
              </w:rPr>
              <w:t>7. Programa de integridad de una organización: código de conducta, canal de denuncias, protección del denunciante y debida diligencia de terceros, con diseño de medidas con integridad. (C, P, A)</w:t>
            </w:r>
          </w:p>
          <w:p w14:paraId="01040F57" w14:textId="77777777" w:rsidR="00990B14" w:rsidRDefault="00000000">
            <w:pPr>
              <w:spacing w:after="40"/>
              <w:jc w:val="both"/>
            </w:pPr>
            <w:r>
              <w:rPr>
                <w:sz w:val="18"/>
                <w:szCs w:val="18"/>
              </w:rPr>
              <w:t>8. Gestión anticorrupción y sistemas de gestión antisoborno y de gobernanza de las organizaciones conforme a las normas internacionales de la materia. (C, P)</w:t>
            </w:r>
          </w:p>
          <w:p w14:paraId="13CD255F" w14:textId="77777777" w:rsidR="00990B14" w:rsidRDefault="00000000">
            <w:pPr>
              <w:spacing w:after="40"/>
              <w:jc w:val="both"/>
            </w:pPr>
            <w:r>
              <w:rPr>
                <w:sz w:val="18"/>
                <w:szCs w:val="18"/>
              </w:rPr>
              <w:t>9. Triángulo del fraude: incentivo o presión, oportunidad y racionalización, y su utilidad en la identificación de los riesgos de fraude. (C, P)</w:t>
            </w:r>
          </w:p>
          <w:p w14:paraId="401F59CC" w14:textId="77777777" w:rsidR="00990B14" w:rsidRDefault="00000000">
            <w:pPr>
              <w:spacing w:after="40"/>
              <w:jc w:val="both"/>
            </w:pPr>
            <w:r>
              <w:rPr>
                <w:sz w:val="18"/>
                <w:szCs w:val="18"/>
              </w:rPr>
              <w:t>10. Responsabilidad del Contador Público frente al fraude conforme a las normas de auditoría sobre fraude y sobre otra información, con escepticismo profesional. (C, P, A)</w:t>
            </w:r>
          </w:p>
          <w:p w14:paraId="0DC4B381" w14:textId="77777777" w:rsidR="00990B14" w:rsidRDefault="00000000">
            <w:pPr>
              <w:spacing w:after="40"/>
              <w:jc w:val="both"/>
            </w:pPr>
            <w:r>
              <w:rPr>
                <w:sz w:val="18"/>
                <w:szCs w:val="18"/>
              </w:rPr>
              <w:t>11. Prevención de la legitimación de ganancias ilícitas y responsabilidad del Contador Público como sujeto obligado o asesor de la entidad. (C, P)</w:t>
            </w:r>
          </w:p>
          <w:p w14:paraId="4E270320" w14:textId="77777777" w:rsidR="00990B14" w:rsidRDefault="00000000">
            <w:pPr>
              <w:spacing w:after="40"/>
              <w:jc w:val="both"/>
            </w:pPr>
            <w:r>
              <w:rPr>
                <w:sz w:val="18"/>
                <w:szCs w:val="18"/>
              </w:rPr>
              <w:t>12. Confianza pública como fundamento de la profesión y función social del Contador Público de garantizarla. (C)</w:t>
            </w:r>
          </w:p>
          <w:p w14:paraId="49AFC35B" w14:textId="77777777" w:rsidR="00990B14" w:rsidRDefault="00000000">
            <w:pPr>
              <w:spacing w:after="40"/>
              <w:jc w:val="both"/>
            </w:pPr>
            <w:r>
              <w:rPr>
                <w:sz w:val="18"/>
                <w:szCs w:val="18"/>
              </w:rPr>
              <w:t>13. Responsabilidad del Contador Público frente a los usuarios de la información financiera; interés público frente a los intereses particulares del cliente o empleador. (C, P)</w:t>
            </w:r>
          </w:p>
          <w:p w14:paraId="76E66700" w14:textId="77777777" w:rsidR="00990B14" w:rsidRDefault="00000000">
            <w:pPr>
              <w:spacing w:after="40"/>
              <w:jc w:val="both"/>
            </w:pPr>
            <w:r>
              <w:rPr>
                <w:sz w:val="18"/>
                <w:szCs w:val="18"/>
              </w:rPr>
              <w:t>14. Responsabilidad frente al fraude, la corrupción y la manipulación de información. (C, P)</w:t>
            </w:r>
          </w:p>
          <w:p w14:paraId="000A6F41" w14:textId="77777777" w:rsidR="00990B14" w:rsidRDefault="00000000">
            <w:pPr>
              <w:spacing w:after="40"/>
              <w:jc w:val="both"/>
            </w:pPr>
            <w:r>
              <w:rPr>
                <w:sz w:val="18"/>
                <w:szCs w:val="18"/>
              </w:rPr>
              <w:t>15. Responsabilidad social y ambiental y su relación con la información corporativa: veracidad de los datos reportados y riesgo de declaraciones ambientales engañosas. (C, P)</w:t>
            </w:r>
          </w:p>
          <w:p w14:paraId="2B5AB4A8" w14:textId="77777777" w:rsidR="00990B14" w:rsidRDefault="00000000">
            <w:pPr>
              <w:spacing w:after="40"/>
              <w:jc w:val="both"/>
            </w:pPr>
            <w:r>
              <w:rPr>
                <w:sz w:val="18"/>
                <w:szCs w:val="18"/>
              </w:rPr>
              <w:t>16. Responsabilidad profesional más allá del cumplimiento formal de la norma: evaluación de si las actuaciones preservan la confianza pública, con integridad. (C, P, A)</w:t>
            </w:r>
          </w:p>
          <w:p w14:paraId="51D152AB" w14:textId="77777777" w:rsidR="00990B14" w:rsidRDefault="00000000">
            <w:pPr>
              <w:spacing w:after="40"/>
              <w:jc w:val="both"/>
            </w:pPr>
            <w:r>
              <w:rPr>
                <w:sz w:val="18"/>
                <w:szCs w:val="18"/>
              </w:rPr>
              <w:t>17. Conducta ética en el uso de datos y de herramientas tecnológicas: confidencialidad de la información del cliente, verificación de los resultados de las herramientas automatizadas y responsabilidad por el juicio profesional. (P, A, T)</w:t>
            </w:r>
          </w:p>
          <w:p w14:paraId="665D5617" w14:textId="77777777" w:rsidR="00990B14" w:rsidRDefault="00000000">
            <w:pPr>
              <w:spacing w:after="40"/>
              <w:jc w:val="both"/>
            </w:pPr>
            <w:r>
              <w:rPr>
                <w:sz w:val="18"/>
                <w:szCs w:val="18"/>
              </w:rPr>
              <w:t>18. Papel de la ética en la práctica contable, en las organizaciones y en la sociedad; actividades actuales del Contador Público e importancia de la información financiera para la empresa. (C)</w:t>
            </w:r>
          </w:p>
          <w:p w14:paraId="25BCA6BE" w14:textId="77777777" w:rsidR="00990B14" w:rsidRDefault="00000000">
            <w:pPr>
              <w:spacing w:after="40"/>
              <w:jc w:val="both"/>
            </w:pPr>
            <w:r>
              <w:rPr>
                <w:sz w:val="18"/>
                <w:szCs w:val="18"/>
              </w:rPr>
              <w:t>19. Dilemas éticos del Contador Público: conflicto entre preceptos éticos obligatorios y controversia entre leyes o reglas y situaciones personales o profesionales. (C, P)</w:t>
            </w:r>
          </w:p>
          <w:p w14:paraId="5155A090" w14:textId="77777777" w:rsidR="00990B14" w:rsidRDefault="00000000">
            <w:pPr>
              <w:spacing w:after="40"/>
              <w:jc w:val="both"/>
            </w:pPr>
            <w:r>
              <w:rPr>
                <w:sz w:val="18"/>
                <w:szCs w:val="18"/>
              </w:rPr>
              <w:t>20. Amenazas y dilemas éticos del Contador Público en la aplicación del Código de Ética, con resolución fundamentada de casos. (P, A)</w:t>
            </w:r>
          </w:p>
          <w:p w14:paraId="5CFD9079" w14:textId="77777777" w:rsidR="00990B14" w:rsidRDefault="00000000">
            <w:pPr>
              <w:spacing w:after="40"/>
              <w:jc w:val="both"/>
            </w:pPr>
            <w:r>
              <w:rPr>
                <w:sz w:val="18"/>
                <w:szCs w:val="18"/>
              </w:rPr>
              <w:t>21. Presión del cliente o del empleador sobre los honorarios, los plazos y el contenido del informe, y vías de respuesta del profesional. (C, P)</w:t>
            </w:r>
          </w:p>
          <w:p w14:paraId="069C5BD6" w14:textId="77777777" w:rsidR="00990B14" w:rsidRDefault="00000000">
            <w:pPr>
              <w:spacing w:after="40"/>
              <w:jc w:val="both"/>
            </w:pPr>
            <w:r>
              <w:rPr>
                <w:sz w:val="18"/>
                <w:szCs w:val="18"/>
              </w:rPr>
              <w:t>El papel de la ética en la práctica contable, en las organizaciones y en la sociedad. (C, A)</w:t>
            </w:r>
          </w:p>
        </w:tc>
        <w:tc>
          <w:tcPr>
            <w:tcW w:w="2752" w:type="dxa"/>
            <w:gridSpan w:val="3"/>
            <w:shd w:val="clear" w:color="auto" w:fill="D9E2F3"/>
          </w:tcPr>
          <w:p w14:paraId="377BC71B" w14:textId="77777777" w:rsidR="00990B14" w:rsidRDefault="00000000">
            <w:pPr>
              <w:numPr>
                <w:ilvl w:val="0"/>
                <w:numId w:val="139"/>
              </w:numPr>
              <w:spacing w:before="10" w:after="10"/>
              <w:jc w:val="both"/>
            </w:pPr>
            <w:r>
              <w:rPr>
                <w:sz w:val="18"/>
                <w:szCs w:val="18"/>
              </w:rPr>
              <w:t>Índices internacionales de percepción de la corrupción y su lectura.</w:t>
            </w:r>
          </w:p>
          <w:p w14:paraId="229230A6" w14:textId="77777777" w:rsidR="00990B14" w:rsidRDefault="00000000">
            <w:pPr>
              <w:numPr>
                <w:ilvl w:val="0"/>
                <w:numId w:val="139"/>
              </w:numPr>
              <w:spacing w:before="10" w:after="10"/>
              <w:jc w:val="both"/>
            </w:pPr>
            <w:r>
              <w:rPr>
                <w:sz w:val="18"/>
                <w:szCs w:val="18"/>
              </w:rPr>
              <w:t>Tipologías de corrupción y de fraude documentadas por organismos internacionales.</w:t>
            </w:r>
          </w:p>
        </w:tc>
      </w:tr>
      <w:tr w:rsidR="00990B14" w14:paraId="19DBDED8" w14:textId="77777777">
        <w:trPr>
          <w:cantSplit/>
          <w:jc w:val="center"/>
        </w:trPr>
        <w:tc>
          <w:tcPr>
            <w:tcW w:w="9405" w:type="dxa"/>
            <w:gridSpan w:val="13"/>
            <w:shd w:val="clear" w:color="auto" w:fill="D9E2F3"/>
            <w:vAlign w:val="center"/>
          </w:tcPr>
          <w:p w14:paraId="72614D35" w14:textId="77777777" w:rsidR="00990B14" w:rsidRDefault="00000000">
            <w:pPr>
              <w:spacing w:before="20" w:after="20"/>
              <w:jc w:val="both"/>
            </w:pPr>
            <w:r>
              <w:rPr>
                <w:b/>
                <w:bCs/>
                <w:i/>
                <w:iCs/>
                <w:sz w:val="18"/>
                <w:szCs w:val="18"/>
              </w:rPr>
              <w:t xml:space="preserve">Elemento de competencia 3: </w:t>
            </w:r>
            <w:r>
              <w:rPr>
                <w:sz w:val="18"/>
                <w:szCs w:val="18"/>
              </w:rPr>
              <w:t>Aplica los principios fundamentales y el marco conceptual del Código Internacional de Ética para Profesionales de la Contabilidad, relacionando sus partes con los ámbitos de actuación del profesional de la contabilidad y evaluando las amenazas y las salvaguardas correspondientes, con integridad y objetividad.</w:t>
            </w:r>
          </w:p>
        </w:tc>
      </w:tr>
      <w:tr w:rsidR="00990B14" w14:paraId="35F16519" w14:textId="77777777">
        <w:trPr>
          <w:cantSplit/>
          <w:jc w:val="center"/>
        </w:trPr>
        <w:tc>
          <w:tcPr>
            <w:tcW w:w="3133" w:type="dxa"/>
            <w:gridSpan w:val="4"/>
            <w:shd w:val="clear" w:color="auto" w:fill="4472C4"/>
            <w:vAlign w:val="center"/>
          </w:tcPr>
          <w:p w14:paraId="2300D039"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7140E6AE"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61DEA874" w14:textId="77777777" w:rsidR="00990B14" w:rsidRDefault="00000000">
            <w:pPr>
              <w:keepNext/>
              <w:spacing w:before="20" w:after="20"/>
              <w:jc w:val="center"/>
            </w:pPr>
            <w:r>
              <w:rPr>
                <w:b/>
                <w:bCs/>
                <w:i/>
                <w:iCs/>
                <w:color w:val="FFFFFF"/>
                <w:sz w:val="18"/>
                <w:szCs w:val="18"/>
              </w:rPr>
              <w:t>Evidencias de producto</w:t>
            </w:r>
          </w:p>
        </w:tc>
      </w:tr>
      <w:tr w:rsidR="00990B14" w14:paraId="333AA4B7" w14:textId="77777777">
        <w:trPr>
          <w:cantSplit/>
          <w:jc w:val="center"/>
        </w:trPr>
        <w:tc>
          <w:tcPr>
            <w:tcW w:w="3133" w:type="dxa"/>
            <w:gridSpan w:val="4"/>
            <w:vMerge w:val="restart"/>
            <w:shd w:val="clear" w:color="auto" w:fill="D9E2F3"/>
            <w:vAlign w:val="center"/>
          </w:tcPr>
          <w:p w14:paraId="08C04CB2" w14:textId="77777777" w:rsidR="00990B14" w:rsidRDefault="00000000">
            <w:pPr>
              <w:spacing w:before="20" w:after="20"/>
              <w:jc w:val="both"/>
            </w:pPr>
            <w:r>
              <w:rPr>
                <w:sz w:val="18"/>
                <w:szCs w:val="18"/>
              </w:rPr>
              <w:t>1. Ubica los casos profesionales en la parte del Código de Ética que les corresponde, relacionando su estructura y sus revisiones recientes con los ámbitos de actuación del profesional.</w:t>
            </w:r>
          </w:p>
        </w:tc>
        <w:tc>
          <w:tcPr>
            <w:tcW w:w="3135" w:type="dxa"/>
            <w:gridSpan w:val="5"/>
            <w:shd w:val="clear" w:color="auto" w:fill="D9E2F3"/>
            <w:vAlign w:val="center"/>
          </w:tcPr>
          <w:p w14:paraId="544B0F9F" w14:textId="77777777" w:rsidR="00990B14" w:rsidRDefault="00000000">
            <w:pPr>
              <w:spacing w:before="20" w:after="20"/>
              <w:jc w:val="both"/>
            </w:pPr>
            <w:r>
              <w:rPr>
                <w:sz w:val="18"/>
                <w:szCs w:val="18"/>
              </w:rPr>
              <w:t>1.1 Expone en equipo la estructura completa del Código de Ética con sus partes y sus revisiones recientes, con sus fechas de vigencia.</w:t>
            </w:r>
          </w:p>
        </w:tc>
        <w:tc>
          <w:tcPr>
            <w:tcW w:w="3137" w:type="dxa"/>
            <w:gridSpan w:val="4"/>
            <w:shd w:val="clear" w:color="auto" w:fill="D9E2F3"/>
            <w:vAlign w:val="center"/>
          </w:tcPr>
          <w:p w14:paraId="5EA32120" w14:textId="77777777" w:rsidR="00990B14" w:rsidRDefault="00000000">
            <w:pPr>
              <w:spacing w:before="20" w:after="20"/>
              <w:jc w:val="both"/>
            </w:pPr>
            <w:r>
              <w:rPr>
                <w:b/>
                <w:bCs/>
                <w:sz w:val="18"/>
                <w:szCs w:val="18"/>
              </w:rPr>
              <w:t xml:space="preserve">Producto 9: </w:t>
            </w:r>
            <w:r>
              <w:rPr>
                <w:sz w:val="18"/>
                <w:szCs w:val="18"/>
              </w:rPr>
              <w:t>Esquema de la estructura del Código de Ética con sus partes y sus revisiones recientes con sus fechas de vigencia.</w:t>
            </w:r>
          </w:p>
        </w:tc>
      </w:tr>
      <w:tr w:rsidR="00990B14" w14:paraId="03CCEFCB" w14:textId="77777777">
        <w:trPr>
          <w:cantSplit/>
          <w:jc w:val="center"/>
        </w:trPr>
        <w:tc>
          <w:tcPr>
            <w:tcW w:w="3133" w:type="dxa"/>
            <w:gridSpan w:val="4"/>
            <w:vMerge/>
            <w:shd w:val="clear" w:color="auto" w:fill="D9E2F3"/>
            <w:vAlign w:val="center"/>
          </w:tcPr>
          <w:p w14:paraId="6BCDBD05" w14:textId="77777777" w:rsidR="00990B14" w:rsidRDefault="00990B14">
            <w:pPr>
              <w:spacing w:before="20" w:after="20"/>
            </w:pPr>
          </w:p>
        </w:tc>
        <w:tc>
          <w:tcPr>
            <w:tcW w:w="3135" w:type="dxa"/>
            <w:gridSpan w:val="5"/>
            <w:shd w:val="clear" w:color="auto" w:fill="D9E2F3"/>
            <w:vAlign w:val="center"/>
          </w:tcPr>
          <w:p w14:paraId="4ED96007" w14:textId="77777777" w:rsidR="00990B14" w:rsidRDefault="00000000">
            <w:pPr>
              <w:spacing w:before="20" w:after="20"/>
              <w:jc w:val="both"/>
            </w:pPr>
            <w:r>
              <w:rPr>
                <w:sz w:val="18"/>
                <w:szCs w:val="18"/>
              </w:rPr>
              <w:t>1.2 Clasifica en aula casos profesionales según la parte del Código de Ética que les corresponde.</w:t>
            </w:r>
          </w:p>
        </w:tc>
        <w:tc>
          <w:tcPr>
            <w:tcW w:w="3137" w:type="dxa"/>
            <w:gridSpan w:val="4"/>
            <w:shd w:val="clear" w:color="auto" w:fill="D9E2F3"/>
            <w:vAlign w:val="center"/>
          </w:tcPr>
          <w:p w14:paraId="0445C616" w14:textId="77777777" w:rsidR="00990B14" w:rsidRDefault="00000000">
            <w:pPr>
              <w:spacing w:before="20" w:after="20"/>
              <w:jc w:val="both"/>
            </w:pPr>
            <w:r>
              <w:rPr>
                <w:b/>
                <w:bCs/>
                <w:sz w:val="18"/>
                <w:szCs w:val="18"/>
              </w:rPr>
              <w:t xml:space="preserve">Producto 10: </w:t>
            </w:r>
            <w:r>
              <w:rPr>
                <w:sz w:val="18"/>
                <w:szCs w:val="18"/>
              </w:rPr>
              <w:t>Clasificación de casos profesionales según la parte del Código de Ética.</w:t>
            </w:r>
          </w:p>
        </w:tc>
      </w:tr>
      <w:tr w:rsidR="00990B14" w14:paraId="26A78A2F" w14:textId="77777777">
        <w:trPr>
          <w:cantSplit/>
          <w:jc w:val="center"/>
        </w:trPr>
        <w:tc>
          <w:tcPr>
            <w:tcW w:w="3133" w:type="dxa"/>
            <w:gridSpan w:val="4"/>
            <w:vMerge w:val="restart"/>
            <w:shd w:val="clear" w:color="auto" w:fill="D9E2F3"/>
            <w:vAlign w:val="center"/>
          </w:tcPr>
          <w:p w14:paraId="68180241" w14:textId="77777777" w:rsidR="00990B14" w:rsidRDefault="00000000">
            <w:pPr>
              <w:spacing w:before="20" w:after="20"/>
              <w:jc w:val="both"/>
            </w:pPr>
            <w:r>
              <w:rPr>
                <w:sz w:val="18"/>
                <w:szCs w:val="18"/>
              </w:rPr>
              <w:t>2. Aplica los principios fundamentales y el marco conceptual del Código de Ética, evaluando las amenazas con la prueba del tercero informado y razonable y documentando las salvaguardas adoptadas.</w:t>
            </w:r>
          </w:p>
        </w:tc>
        <w:tc>
          <w:tcPr>
            <w:tcW w:w="3135" w:type="dxa"/>
            <w:gridSpan w:val="5"/>
            <w:shd w:val="clear" w:color="auto" w:fill="D9E2F3"/>
            <w:vAlign w:val="center"/>
          </w:tcPr>
          <w:p w14:paraId="7C1B6AB3" w14:textId="77777777" w:rsidR="00990B14" w:rsidRDefault="00000000">
            <w:pPr>
              <w:spacing w:before="20" w:after="20"/>
              <w:jc w:val="both"/>
            </w:pPr>
            <w:r>
              <w:rPr>
                <w:sz w:val="18"/>
                <w:szCs w:val="18"/>
              </w:rPr>
              <w:t>2.1 Analiza en aula un caso con cada uno de los principios fundamentales del Código de Ética.</w:t>
            </w:r>
          </w:p>
        </w:tc>
        <w:tc>
          <w:tcPr>
            <w:tcW w:w="3137" w:type="dxa"/>
            <w:gridSpan w:val="4"/>
            <w:shd w:val="clear" w:color="auto" w:fill="D9E2F3"/>
            <w:vAlign w:val="center"/>
          </w:tcPr>
          <w:p w14:paraId="42D9553B" w14:textId="77777777" w:rsidR="00990B14" w:rsidRDefault="00000000">
            <w:pPr>
              <w:spacing w:before="20" w:after="20"/>
              <w:jc w:val="both"/>
            </w:pPr>
            <w:r>
              <w:rPr>
                <w:b/>
                <w:bCs/>
                <w:sz w:val="18"/>
                <w:szCs w:val="18"/>
              </w:rPr>
              <w:t xml:space="preserve">Producto 11: </w:t>
            </w:r>
            <w:r>
              <w:rPr>
                <w:sz w:val="18"/>
                <w:szCs w:val="18"/>
              </w:rPr>
              <w:t>Cuadro de los principios fundamentales del Código de Ética con ejemplos de aplicación.</w:t>
            </w:r>
          </w:p>
        </w:tc>
      </w:tr>
      <w:tr w:rsidR="00990B14" w14:paraId="4AE207FF" w14:textId="77777777">
        <w:trPr>
          <w:cantSplit/>
          <w:jc w:val="center"/>
        </w:trPr>
        <w:tc>
          <w:tcPr>
            <w:tcW w:w="3133" w:type="dxa"/>
            <w:gridSpan w:val="4"/>
            <w:vMerge/>
            <w:shd w:val="clear" w:color="auto" w:fill="D9E2F3"/>
            <w:vAlign w:val="center"/>
          </w:tcPr>
          <w:p w14:paraId="046CE713" w14:textId="77777777" w:rsidR="00990B14" w:rsidRDefault="00990B14">
            <w:pPr>
              <w:spacing w:before="20" w:after="20"/>
            </w:pPr>
          </w:p>
        </w:tc>
        <w:tc>
          <w:tcPr>
            <w:tcW w:w="3135" w:type="dxa"/>
            <w:gridSpan w:val="5"/>
            <w:shd w:val="clear" w:color="auto" w:fill="D9E2F3"/>
            <w:vAlign w:val="center"/>
          </w:tcPr>
          <w:p w14:paraId="60E967A4" w14:textId="77777777" w:rsidR="00990B14" w:rsidRDefault="00000000">
            <w:pPr>
              <w:spacing w:before="20" w:after="20"/>
              <w:jc w:val="both"/>
            </w:pPr>
            <w:r>
              <w:rPr>
                <w:sz w:val="18"/>
                <w:szCs w:val="18"/>
              </w:rPr>
              <w:t>2.2 Aplica en equipo el marco conceptual a un caso profesional para identificar amenazas y proponer salvaguardas.</w:t>
            </w:r>
          </w:p>
        </w:tc>
        <w:tc>
          <w:tcPr>
            <w:tcW w:w="3137" w:type="dxa"/>
            <w:gridSpan w:val="4"/>
            <w:shd w:val="clear" w:color="auto" w:fill="D9E2F3"/>
            <w:vAlign w:val="center"/>
          </w:tcPr>
          <w:p w14:paraId="7539F111" w14:textId="77777777" w:rsidR="00990B14" w:rsidRDefault="00000000">
            <w:pPr>
              <w:spacing w:before="20" w:after="20"/>
              <w:jc w:val="both"/>
            </w:pPr>
            <w:r>
              <w:rPr>
                <w:b/>
                <w:bCs/>
                <w:sz w:val="18"/>
                <w:szCs w:val="18"/>
              </w:rPr>
              <w:t xml:space="preserve">Producto 12: </w:t>
            </w:r>
            <w:r>
              <w:rPr>
                <w:sz w:val="18"/>
                <w:szCs w:val="18"/>
              </w:rPr>
              <w:t>Documentación del análisis de amenazas y salvaguardas de un caso profesional.</w:t>
            </w:r>
          </w:p>
        </w:tc>
      </w:tr>
      <w:tr w:rsidR="00990B14" w14:paraId="72A90045" w14:textId="77777777">
        <w:trPr>
          <w:cantSplit/>
          <w:jc w:val="center"/>
        </w:trPr>
        <w:tc>
          <w:tcPr>
            <w:tcW w:w="9405" w:type="dxa"/>
            <w:gridSpan w:val="13"/>
            <w:shd w:val="clear" w:color="auto" w:fill="4472C4"/>
            <w:vAlign w:val="center"/>
          </w:tcPr>
          <w:p w14:paraId="5C598DFD" w14:textId="77777777" w:rsidR="00990B14" w:rsidRDefault="00000000">
            <w:pPr>
              <w:keepNext/>
              <w:spacing w:before="20" w:after="20"/>
              <w:jc w:val="center"/>
            </w:pPr>
            <w:r>
              <w:rPr>
                <w:b/>
                <w:bCs/>
                <w:i/>
                <w:iCs/>
                <w:color w:val="FFFFFF"/>
                <w:sz w:val="18"/>
                <w:szCs w:val="18"/>
              </w:rPr>
              <w:t>Evidencias de conocimiento</w:t>
            </w:r>
          </w:p>
        </w:tc>
      </w:tr>
      <w:tr w:rsidR="00990B14" w14:paraId="75FD8B8F" w14:textId="77777777">
        <w:trPr>
          <w:cantSplit/>
          <w:jc w:val="center"/>
        </w:trPr>
        <w:tc>
          <w:tcPr>
            <w:tcW w:w="2349" w:type="dxa"/>
            <w:gridSpan w:val="2"/>
            <w:shd w:val="clear" w:color="auto" w:fill="4472C4"/>
            <w:vAlign w:val="center"/>
          </w:tcPr>
          <w:p w14:paraId="587C3D58"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314A3090" w14:textId="77777777" w:rsidR="00990B14" w:rsidRDefault="00000000">
            <w:pPr>
              <w:keepNext/>
              <w:spacing w:before="20" w:after="20"/>
              <w:jc w:val="both"/>
            </w:pPr>
            <w:r>
              <w:rPr>
                <w:b/>
                <w:bCs/>
                <w:i/>
                <w:iCs/>
                <w:color w:val="FFFFFF"/>
                <w:sz w:val="18"/>
                <w:szCs w:val="18"/>
              </w:rPr>
              <w:t>Contenidos</w:t>
            </w:r>
          </w:p>
          <w:p w14:paraId="0635C4C1"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57C9DBAE" w14:textId="77777777" w:rsidR="00990B14" w:rsidRDefault="00000000">
            <w:pPr>
              <w:keepNext/>
              <w:spacing w:before="20" w:after="20"/>
              <w:jc w:val="center"/>
            </w:pPr>
            <w:r>
              <w:rPr>
                <w:b/>
                <w:bCs/>
                <w:i/>
                <w:iCs/>
                <w:color w:val="FFFFFF"/>
                <w:sz w:val="18"/>
                <w:szCs w:val="18"/>
              </w:rPr>
              <w:t>Conocimientos circunstanciales</w:t>
            </w:r>
          </w:p>
        </w:tc>
      </w:tr>
      <w:tr w:rsidR="00990B14" w14:paraId="583DB767" w14:textId="77777777">
        <w:trPr>
          <w:jc w:val="center"/>
        </w:trPr>
        <w:tc>
          <w:tcPr>
            <w:tcW w:w="2349" w:type="dxa"/>
            <w:gridSpan w:val="2"/>
            <w:shd w:val="clear" w:color="auto" w:fill="D9E2F3"/>
          </w:tcPr>
          <w:p w14:paraId="1ADFD5A0" w14:textId="77777777" w:rsidR="00990B14" w:rsidRDefault="00000000">
            <w:pPr>
              <w:spacing w:before="20" w:after="40"/>
              <w:jc w:val="both"/>
            </w:pPr>
            <w:r>
              <w:rPr>
                <w:sz w:val="18"/>
                <w:szCs w:val="18"/>
              </w:rPr>
              <w:t>Tema 8: Estructura del Código Internacional de Ética para Profesionales de la Contabilidad y sus revisiones recientes</w:t>
            </w:r>
          </w:p>
          <w:p w14:paraId="18132B87" w14:textId="77777777" w:rsidR="00990B14" w:rsidRDefault="00000000">
            <w:pPr>
              <w:spacing w:before="20" w:after="40"/>
              <w:jc w:val="both"/>
            </w:pPr>
            <w:r>
              <w:rPr>
                <w:sz w:val="18"/>
                <w:szCs w:val="18"/>
              </w:rPr>
              <w:t>Tema 9: Cumplimiento del Código, principios fundamentales, marco conceptual</w:t>
            </w:r>
          </w:p>
        </w:tc>
        <w:tc>
          <w:tcPr>
            <w:tcW w:w="4304" w:type="dxa"/>
            <w:gridSpan w:val="8"/>
            <w:shd w:val="clear" w:color="auto" w:fill="D9E2F3"/>
          </w:tcPr>
          <w:p w14:paraId="327989B3" w14:textId="77777777" w:rsidR="00990B14" w:rsidRDefault="00000000">
            <w:pPr>
              <w:spacing w:after="40"/>
              <w:jc w:val="both"/>
            </w:pPr>
            <w:r>
              <w:rPr>
                <w:sz w:val="18"/>
                <w:szCs w:val="18"/>
              </w:rPr>
              <w:t>1. Estructura del Código de Ética. (C)</w:t>
            </w:r>
          </w:p>
          <w:p w14:paraId="7BA45F95" w14:textId="77777777" w:rsidR="00990B14" w:rsidRDefault="00000000">
            <w:pPr>
              <w:spacing w:after="40"/>
              <w:jc w:val="both"/>
            </w:pPr>
            <w:r>
              <w:rPr>
                <w:sz w:val="18"/>
                <w:szCs w:val="18"/>
              </w:rPr>
              <w:t>2. Partes del Código y ubicación de los casos profesionales en la parte que les corresponde: Parte 1, cumplimiento, principios fundamentales y marco conceptual; Parte 2, profesionales de la contabilidad en la empresa; Parte 3, profesionales de la contabilidad en el ejercicio profesional; Parte 4-A, independencia en encargos de auditoría y de revisión; Parte 4-B, independencia en encargos de aseguramiento distintos de los de auditoría y revisión. (C, P)</w:t>
            </w:r>
          </w:p>
          <w:p w14:paraId="6BF3C2E0" w14:textId="77777777" w:rsidR="00990B14" w:rsidRDefault="00000000">
            <w:pPr>
              <w:spacing w:after="40"/>
              <w:jc w:val="both"/>
            </w:pPr>
            <w:r>
              <w:rPr>
                <w:sz w:val="18"/>
                <w:szCs w:val="18"/>
              </w:rPr>
              <w:t>3. Revisiones recientes del Código: disposiciones sobre planificación fiscal y sobre tecnología, con sus fechas de vigencia. (C)</w:t>
            </w:r>
          </w:p>
          <w:p w14:paraId="0187ED03" w14:textId="77777777" w:rsidR="00990B14" w:rsidRDefault="00000000">
            <w:pPr>
              <w:spacing w:after="40"/>
              <w:jc w:val="both"/>
            </w:pPr>
            <w:r>
              <w:rPr>
                <w:sz w:val="18"/>
                <w:szCs w:val="18"/>
              </w:rPr>
              <w:t>4. Normas Internacionales de Ética para el Aseguramiento de Sostenibilidad y enmiendas del Código relativas a la información de sostenibilidad, con sus fechas de vigencia. (C)</w:t>
            </w:r>
          </w:p>
          <w:p w14:paraId="569C3347" w14:textId="77777777" w:rsidR="00990B14" w:rsidRDefault="00000000">
            <w:pPr>
              <w:spacing w:after="40"/>
              <w:jc w:val="both"/>
            </w:pPr>
            <w:r>
              <w:rPr>
                <w:sz w:val="18"/>
                <w:szCs w:val="18"/>
              </w:rPr>
              <w:t>5. Norma sobre el uso del trabajo de un experto externo: evaluación de su competencia, capacidad y objetividad por el profesional de la contabilidad. (C, P, A)</w:t>
            </w:r>
          </w:p>
          <w:p w14:paraId="4168048F" w14:textId="77777777" w:rsidR="00990B14" w:rsidRDefault="00000000">
            <w:pPr>
              <w:spacing w:after="40"/>
              <w:jc w:val="both"/>
            </w:pPr>
            <w:r>
              <w:rPr>
                <w:sz w:val="18"/>
                <w:szCs w:val="18"/>
              </w:rPr>
              <w:t>6. Principios fundamentales: integridad, objetividad, competencia profesional y cuidado debido, confidencialidad y comportamiento profesional, con su aplicación a casos del ejercicio profesional. (C, P, A)</w:t>
            </w:r>
          </w:p>
          <w:p w14:paraId="4E83B81E" w14:textId="77777777" w:rsidR="00990B14" w:rsidRDefault="00000000">
            <w:pPr>
              <w:spacing w:after="40"/>
              <w:jc w:val="both"/>
            </w:pPr>
            <w:r>
              <w:rPr>
                <w:sz w:val="18"/>
                <w:szCs w:val="18"/>
              </w:rPr>
              <w:t>7. Confidencialidad como principio fundamental y sus excepciones, y mentalidad inquisitiva exigida al profesional de la contabilidad. (C, A)</w:t>
            </w:r>
          </w:p>
          <w:p w14:paraId="2E3B2C65" w14:textId="77777777" w:rsidR="00990B14" w:rsidRDefault="00000000">
            <w:pPr>
              <w:spacing w:after="40"/>
              <w:jc w:val="both"/>
            </w:pPr>
            <w:r>
              <w:rPr>
                <w:sz w:val="18"/>
                <w:szCs w:val="18"/>
              </w:rPr>
              <w:t>8. Marco conceptual: identificación, evaluación y tratamiento de las amenazas con la prueba del tercero informado y razonable. (C, P)</w:t>
            </w:r>
          </w:p>
          <w:p w14:paraId="2F22DBD6" w14:textId="77777777" w:rsidR="00990B14" w:rsidRDefault="00000000">
            <w:pPr>
              <w:spacing w:after="40"/>
              <w:jc w:val="both"/>
            </w:pPr>
            <w:r>
              <w:rPr>
                <w:sz w:val="18"/>
                <w:szCs w:val="18"/>
              </w:rPr>
              <w:t>9. Categorías de amenazas del marco conceptual: interés propio, autorrevisión, abogacía, familiaridad e intimidación, y actuación ante la ausencia de salvaguardas suficientes. (C, P)</w:t>
            </w:r>
          </w:p>
          <w:p w14:paraId="67585C9C" w14:textId="77777777" w:rsidR="00990B14" w:rsidRDefault="00000000">
            <w:pPr>
              <w:spacing w:after="40"/>
              <w:jc w:val="both"/>
            </w:pPr>
            <w:r>
              <w:rPr>
                <w:sz w:val="18"/>
                <w:szCs w:val="18"/>
              </w:rPr>
              <w:t>10. Documentación del análisis ético: registro de la amenaza identificada, de la salvaguarda aplicada y de la conclusión alcanzada. (P, A)</w:t>
            </w:r>
          </w:p>
        </w:tc>
        <w:tc>
          <w:tcPr>
            <w:tcW w:w="2752" w:type="dxa"/>
            <w:gridSpan w:val="3"/>
            <w:shd w:val="clear" w:color="auto" w:fill="D9E2F3"/>
          </w:tcPr>
          <w:p w14:paraId="43E5AB88" w14:textId="77777777" w:rsidR="00990B14" w:rsidRDefault="00000000">
            <w:pPr>
              <w:numPr>
                <w:ilvl w:val="0"/>
                <w:numId w:val="139"/>
              </w:numPr>
              <w:spacing w:before="10" w:after="10"/>
              <w:jc w:val="both"/>
            </w:pPr>
            <w:r>
              <w:rPr>
                <w:sz w:val="18"/>
                <w:szCs w:val="18"/>
              </w:rPr>
              <w:t>Proceso de emisión, consulta pública y adopción de las normas internacionales de ética.</w:t>
            </w:r>
          </w:p>
          <w:p w14:paraId="5CF25898" w14:textId="77777777" w:rsidR="00990B14" w:rsidRDefault="00000000">
            <w:pPr>
              <w:numPr>
                <w:ilvl w:val="0"/>
                <w:numId w:val="139"/>
              </w:numPr>
              <w:spacing w:before="10" w:after="10"/>
              <w:jc w:val="both"/>
            </w:pPr>
            <w:r>
              <w:rPr>
                <w:sz w:val="18"/>
                <w:szCs w:val="18"/>
              </w:rPr>
              <w:t>Nociones de modelos de toma de decisiones éticas aplicados a la práctica profesional.</w:t>
            </w:r>
          </w:p>
        </w:tc>
      </w:tr>
      <w:tr w:rsidR="00990B14" w14:paraId="0AC85260" w14:textId="77777777">
        <w:trPr>
          <w:cantSplit/>
          <w:jc w:val="center"/>
        </w:trPr>
        <w:tc>
          <w:tcPr>
            <w:tcW w:w="9405" w:type="dxa"/>
            <w:gridSpan w:val="13"/>
            <w:shd w:val="clear" w:color="auto" w:fill="D9E2F3"/>
            <w:vAlign w:val="center"/>
          </w:tcPr>
          <w:p w14:paraId="52B1D1BE" w14:textId="77777777" w:rsidR="00990B14" w:rsidRDefault="00000000">
            <w:pPr>
              <w:spacing w:before="20" w:after="20"/>
              <w:jc w:val="both"/>
            </w:pPr>
            <w:r>
              <w:rPr>
                <w:b/>
                <w:bCs/>
                <w:i/>
                <w:iCs/>
                <w:sz w:val="18"/>
                <w:szCs w:val="18"/>
              </w:rPr>
              <w:t xml:space="preserve">Elemento de competencia 4: </w:t>
            </w:r>
            <w:r>
              <w:rPr>
                <w:sz w:val="18"/>
                <w:szCs w:val="18"/>
              </w:rPr>
              <w:t>Resuelve casos de profesionales de la contabilidad en la empresa y en el ejercicio profesional, identificando las amenazas a los principios fundamentales y respondiendo a las presiones y a los incumplimientos de leyes y regulaciones, con integridad y comportamiento profesional.</w:t>
            </w:r>
          </w:p>
        </w:tc>
      </w:tr>
      <w:tr w:rsidR="00990B14" w14:paraId="06D22945" w14:textId="77777777">
        <w:trPr>
          <w:cantSplit/>
          <w:jc w:val="center"/>
        </w:trPr>
        <w:tc>
          <w:tcPr>
            <w:tcW w:w="3133" w:type="dxa"/>
            <w:gridSpan w:val="4"/>
            <w:shd w:val="clear" w:color="auto" w:fill="4472C4"/>
            <w:vAlign w:val="center"/>
          </w:tcPr>
          <w:p w14:paraId="420CD304"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01080564"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2BC38500" w14:textId="77777777" w:rsidR="00990B14" w:rsidRDefault="00000000">
            <w:pPr>
              <w:keepNext/>
              <w:spacing w:before="20" w:after="20"/>
              <w:jc w:val="center"/>
            </w:pPr>
            <w:r>
              <w:rPr>
                <w:b/>
                <w:bCs/>
                <w:i/>
                <w:iCs/>
                <w:color w:val="FFFFFF"/>
                <w:sz w:val="18"/>
                <w:szCs w:val="18"/>
              </w:rPr>
              <w:t>Evidencias de producto</w:t>
            </w:r>
          </w:p>
        </w:tc>
      </w:tr>
      <w:tr w:rsidR="00990B14" w14:paraId="5E94C5AA" w14:textId="77777777">
        <w:trPr>
          <w:cantSplit/>
          <w:jc w:val="center"/>
        </w:trPr>
        <w:tc>
          <w:tcPr>
            <w:tcW w:w="3133" w:type="dxa"/>
            <w:gridSpan w:val="4"/>
            <w:vMerge w:val="restart"/>
            <w:shd w:val="clear" w:color="auto" w:fill="D9E2F3"/>
            <w:vAlign w:val="center"/>
          </w:tcPr>
          <w:p w14:paraId="4785F9FF" w14:textId="77777777" w:rsidR="00990B14" w:rsidRDefault="00000000">
            <w:pPr>
              <w:spacing w:before="20" w:after="20"/>
              <w:jc w:val="both"/>
            </w:pPr>
            <w:r>
              <w:rPr>
                <w:sz w:val="18"/>
                <w:szCs w:val="18"/>
              </w:rPr>
              <w:t>1. Evalúa las amenazas a los principios fundamentales de los profesionales de la contabilidad en la empresa, valorando el conflicto de intereses, los incentivos y las presiones para presentar información engañosa, con integridad.</w:t>
            </w:r>
          </w:p>
        </w:tc>
        <w:tc>
          <w:tcPr>
            <w:tcW w:w="3135" w:type="dxa"/>
            <w:gridSpan w:val="5"/>
            <w:shd w:val="clear" w:color="auto" w:fill="D9E2F3"/>
            <w:vAlign w:val="center"/>
          </w:tcPr>
          <w:p w14:paraId="79D47720" w14:textId="77777777" w:rsidR="00990B14" w:rsidRDefault="00000000">
            <w:pPr>
              <w:spacing w:before="20" w:after="20"/>
              <w:jc w:val="both"/>
            </w:pPr>
            <w:r>
              <w:rPr>
                <w:sz w:val="18"/>
                <w:szCs w:val="18"/>
              </w:rPr>
              <w:t>1.1 Analiza en aula un caso de conflicto de intereses de un profesional de la contabilidad en la empresa.</w:t>
            </w:r>
          </w:p>
        </w:tc>
        <w:tc>
          <w:tcPr>
            <w:tcW w:w="3137" w:type="dxa"/>
            <w:gridSpan w:val="4"/>
            <w:shd w:val="clear" w:color="auto" w:fill="D9E2F3"/>
            <w:vAlign w:val="center"/>
          </w:tcPr>
          <w:p w14:paraId="66EAF3B8" w14:textId="77777777" w:rsidR="00990B14" w:rsidRDefault="00000000">
            <w:pPr>
              <w:spacing w:before="20" w:after="20"/>
              <w:jc w:val="both"/>
            </w:pPr>
            <w:r>
              <w:rPr>
                <w:b/>
                <w:bCs/>
                <w:sz w:val="18"/>
                <w:szCs w:val="18"/>
              </w:rPr>
              <w:t xml:space="preserve">Producto 13: </w:t>
            </w:r>
            <w:r>
              <w:rPr>
                <w:sz w:val="18"/>
                <w:szCs w:val="18"/>
              </w:rPr>
              <w:t>Informe de amenazas identificadas en un caso de profesionales de la contabilidad en la empresa.</w:t>
            </w:r>
          </w:p>
        </w:tc>
      </w:tr>
      <w:tr w:rsidR="00990B14" w14:paraId="18305221" w14:textId="77777777">
        <w:trPr>
          <w:cantSplit/>
          <w:jc w:val="center"/>
        </w:trPr>
        <w:tc>
          <w:tcPr>
            <w:tcW w:w="3133" w:type="dxa"/>
            <w:gridSpan w:val="4"/>
            <w:vMerge/>
            <w:shd w:val="clear" w:color="auto" w:fill="D9E2F3"/>
            <w:vAlign w:val="center"/>
          </w:tcPr>
          <w:p w14:paraId="0C6FF336" w14:textId="77777777" w:rsidR="00990B14" w:rsidRDefault="00990B14">
            <w:pPr>
              <w:spacing w:before="20" w:after="20"/>
            </w:pPr>
          </w:p>
        </w:tc>
        <w:tc>
          <w:tcPr>
            <w:tcW w:w="3135" w:type="dxa"/>
            <w:gridSpan w:val="5"/>
            <w:shd w:val="clear" w:color="auto" w:fill="D9E2F3"/>
            <w:vAlign w:val="center"/>
          </w:tcPr>
          <w:p w14:paraId="3DD21A09" w14:textId="77777777" w:rsidR="00990B14" w:rsidRDefault="00000000">
            <w:pPr>
              <w:spacing w:before="20" w:after="20"/>
              <w:jc w:val="both"/>
            </w:pPr>
            <w:r>
              <w:rPr>
                <w:sz w:val="18"/>
                <w:szCs w:val="18"/>
              </w:rPr>
              <w:t>1.2 Determina en equipo el curso de acción ante una presión para presentar información engañosa.</w:t>
            </w:r>
          </w:p>
        </w:tc>
        <w:tc>
          <w:tcPr>
            <w:tcW w:w="3137" w:type="dxa"/>
            <w:gridSpan w:val="4"/>
            <w:shd w:val="clear" w:color="auto" w:fill="D9E2F3"/>
            <w:vAlign w:val="center"/>
          </w:tcPr>
          <w:p w14:paraId="403DA6AF" w14:textId="77777777" w:rsidR="00990B14" w:rsidRDefault="00000000">
            <w:pPr>
              <w:spacing w:before="20" w:after="20"/>
              <w:jc w:val="both"/>
            </w:pPr>
            <w:r>
              <w:rPr>
                <w:b/>
                <w:bCs/>
                <w:sz w:val="18"/>
                <w:szCs w:val="18"/>
              </w:rPr>
              <w:t xml:space="preserve">Producto 14: </w:t>
            </w:r>
            <w:r>
              <w:rPr>
                <w:sz w:val="18"/>
                <w:szCs w:val="18"/>
              </w:rPr>
              <w:t>Hoja de decisión ante presiones para presentar información engañosa.</w:t>
            </w:r>
          </w:p>
        </w:tc>
      </w:tr>
      <w:tr w:rsidR="00990B14" w14:paraId="6119DCF6" w14:textId="77777777">
        <w:trPr>
          <w:cantSplit/>
          <w:jc w:val="center"/>
        </w:trPr>
        <w:tc>
          <w:tcPr>
            <w:tcW w:w="3133" w:type="dxa"/>
            <w:gridSpan w:val="4"/>
            <w:vMerge w:val="restart"/>
            <w:shd w:val="clear" w:color="auto" w:fill="D9E2F3"/>
            <w:vAlign w:val="center"/>
          </w:tcPr>
          <w:p w14:paraId="10CB8B91" w14:textId="77777777" w:rsidR="00990B14" w:rsidRDefault="00000000">
            <w:pPr>
              <w:spacing w:before="20" w:after="20"/>
              <w:jc w:val="both"/>
            </w:pPr>
            <w:r>
              <w:rPr>
                <w:sz w:val="18"/>
                <w:szCs w:val="18"/>
              </w:rPr>
              <w:t>2. Resuelve casos de los profesionales de la contabilidad en el ejercicio profesional, respondiendo al incumplimiento de leyes y regulaciones y evaluando los honorarios, la custodia de activos y la planificación fiscal.</w:t>
            </w:r>
          </w:p>
        </w:tc>
        <w:tc>
          <w:tcPr>
            <w:tcW w:w="3135" w:type="dxa"/>
            <w:gridSpan w:val="5"/>
            <w:shd w:val="clear" w:color="auto" w:fill="D9E2F3"/>
            <w:vAlign w:val="center"/>
          </w:tcPr>
          <w:p w14:paraId="6BB5E967" w14:textId="77777777" w:rsidR="00990B14" w:rsidRDefault="00000000">
            <w:pPr>
              <w:spacing w:before="20" w:after="20"/>
              <w:jc w:val="both"/>
            </w:pPr>
            <w:r>
              <w:rPr>
                <w:sz w:val="18"/>
                <w:szCs w:val="18"/>
              </w:rPr>
              <w:t>2.1 Resuelve en equipo un caso de incumplimiento de leyes y regulaciones en el ejercicio profesional.</w:t>
            </w:r>
          </w:p>
        </w:tc>
        <w:tc>
          <w:tcPr>
            <w:tcW w:w="3137" w:type="dxa"/>
            <w:gridSpan w:val="4"/>
            <w:shd w:val="clear" w:color="auto" w:fill="D9E2F3"/>
            <w:vAlign w:val="center"/>
          </w:tcPr>
          <w:p w14:paraId="3CC8094E" w14:textId="77777777" w:rsidR="00990B14" w:rsidRDefault="00000000">
            <w:pPr>
              <w:spacing w:before="20" w:after="20"/>
              <w:jc w:val="both"/>
            </w:pPr>
            <w:r>
              <w:rPr>
                <w:b/>
                <w:bCs/>
                <w:sz w:val="18"/>
                <w:szCs w:val="18"/>
              </w:rPr>
              <w:t xml:space="preserve">Producto 15: </w:t>
            </w:r>
            <w:r>
              <w:rPr>
                <w:sz w:val="18"/>
                <w:szCs w:val="18"/>
              </w:rPr>
              <w:t>Resolución de un caso de incumplimiento de leyes y regulaciones.</w:t>
            </w:r>
          </w:p>
        </w:tc>
      </w:tr>
      <w:tr w:rsidR="00990B14" w14:paraId="407C5955" w14:textId="77777777">
        <w:trPr>
          <w:cantSplit/>
          <w:jc w:val="center"/>
        </w:trPr>
        <w:tc>
          <w:tcPr>
            <w:tcW w:w="3133" w:type="dxa"/>
            <w:gridSpan w:val="4"/>
            <w:vMerge/>
            <w:shd w:val="clear" w:color="auto" w:fill="D9E2F3"/>
            <w:vAlign w:val="center"/>
          </w:tcPr>
          <w:p w14:paraId="383EAB39" w14:textId="77777777" w:rsidR="00990B14" w:rsidRDefault="00990B14">
            <w:pPr>
              <w:spacing w:before="20" w:after="20"/>
            </w:pPr>
          </w:p>
        </w:tc>
        <w:tc>
          <w:tcPr>
            <w:tcW w:w="3135" w:type="dxa"/>
            <w:gridSpan w:val="5"/>
            <w:shd w:val="clear" w:color="auto" w:fill="D9E2F3"/>
            <w:vAlign w:val="center"/>
          </w:tcPr>
          <w:p w14:paraId="573B8C16" w14:textId="77777777" w:rsidR="00990B14" w:rsidRDefault="00000000">
            <w:pPr>
              <w:spacing w:before="20" w:after="20"/>
              <w:jc w:val="both"/>
            </w:pPr>
            <w:r>
              <w:rPr>
                <w:sz w:val="18"/>
                <w:szCs w:val="18"/>
              </w:rPr>
              <w:t>2.2 Evalúa en aula un caso de asesoramiento en planificación fiscal y de honorarios condicionados.</w:t>
            </w:r>
          </w:p>
        </w:tc>
        <w:tc>
          <w:tcPr>
            <w:tcW w:w="3137" w:type="dxa"/>
            <w:gridSpan w:val="4"/>
            <w:shd w:val="clear" w:color="auto" w:fill="D9E2F3"/>
            <w:vAlign w:val="center"/>
          </w:tcPr>
          <w:p w14:paraId="227A14CA" w14:textId="77777777" w:rsidR="00990B14" w:rsidRDefault="00000000">
            <w:pPr>
              <w:spacing w:before="20" w:after="20"/>
              <w:jc w:val="both"/>
            </w:pPr>
            <w:r>
              <w:rPr>
                <w:b/>
                <w:bCs/>
                <w:sz w:val="18"/>
                <w:szCs w:val="18"/>
              </w:rPr>
              <w:t xml:space="preserve">Producto 16: </w:t>
            </w:r>
            <w:r>
              <w:rPr>
                <w:sz w:val="18"/>
                <w:szCs w:val="18"/>
              </w:rPr>
              <w:t>Informe de evaluación ética de un asesoramiento en planificación fiscal.</w:t>
            </w:r>
          </w:p>
        </w:tc>
      </w:tr>
      <w:tr w:rsidR="00990B14" w14:paraId="14F7F010" w14:textId="77777777">
        <w:trPr>
          <w:cantSplit/>
          <w:jc w:val="center"/>
        </w:trPr>
        <w:tc>
          <w:tcPr>
            <w:tcW w:w="9405" w:type="dxa"/>
            <w:gridSpan w:val="13"/>
            <w:shd w:val="clear" w:color="auto" w:fill="4472C4"/>
            <w:vAlign w:val="center"/>
          </w:tcPr>
          <w:p w14:paraId="7D7BE472" w14:textId="77777777" w:rsidR="00990B14" w:rsidRDefault="00000000">
            <w:pPr>
              <w:keepNext/>
              <w:spacing w:before="20" w:after="20"/>
              <w:jc w:val="center"/>
            </w:pPr>
            <w:r>
              <w:rPr>
                <w:b/>
                <w:bCs/>
                <w:i/>
                <w:iCs/>
                <w:color w:val="FFFFFF"/>
                <w:sz w:val="18"/>
                <w:szCs w:val="18"/>
              </w:rPr>
              <w:t>Evidencias de conocimiento</w:t>
            </w:r>
          </w:p>
        </w:tc>
      </w:tr>
      <w:tr w:rsidR="00990B14" w14:paraId="16CE95C1" w14:textId="77777777">
        <w:trPr>
          <w:cantSplit/>
          <w:jc w:val="center"/>
        </w:trPr>
        <w:tc>
          <w:tcPr>
            <w:tcW w:w="2349" w:type="dxa"/>
            <w:gridSpan w:val="2"/>
            <w:shd w:val="clear" w:color="auto" w:fill="4472C4"/>
            <w:vAlign w:val="center"/>
          </w:tcPr>
          <w:p w14:paraId="06C15907"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42811265" w14:textId="77777777" w:rsidR="00990B14" w:rsidRDefault="00000000">
            <w:pPr>
              <w:keepNext/>
              <w:spacing w:before="20" w:after="20"/>
              <w:jc w:val="both"/>
            </w:pPr>
            <w:r>
              <w:rPr>
                <w:b/>
                <w:bCs/>
                <w:i/>
                <w:iCs/>
                <w:color w:val="FFFFFF"/>
                <w:sz w:val="18"/>
                <w:szCs w:val="18"/>
              </w:rPr>
              <w:t>Contenidos</w:t>
            </w:r>
          </w:p>
          <w:p w14:paraId="6CAB9703"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0DCD44A1" w14:textId="77777777" w:rsidR="00990B14" w:rsidRDefault="00000000">
            <w:pPr>
              <w:keepNext/>
              <w:spacing w:before="20" w:after="20"/>
              <w:jc w:val="center"/>
            </w:pPr>
            <w:r>
              <w:rPr>
                <w:b/>
                <w:bCs/>
                <w:i/>
                <w:iCs/>
                <w:color w:val="FFFFFF"/>
                <w:sz w:val="18"/>
                <w:szCs w:val="18"/>
              </w:rPr>
              <w:t>Conocimientos circunstanciales</w:t>
            </w:r>
          </w:p>
        </w:tc>
      </w:tr>
      <w:tr w:rsidR="00990B14" w14:paraId="186F518F" w14:textId="77777777">
        <w:trPr>
          <w:jc w:val="center"/>
        </w:trPr>
        <w:tc>
          <w:tcPr>
            <w:tcW w:w="2349" w:type="dxa"/>
            <w:gridSpan w:val="2"/>
            <w:shd w:val="clear" w:color="auto" w:fill="D9E2F3"/>
          </w:tcPr>
          <w:p w14:paraId="0E53C89C" w14:textId="77777777" w:rsidR="00990B14" w:rsidRDefault="00000000">
            <w:pPr>
              <w:spacing w:before="20" w:after="40"/>
              <w:jc w:val="both"/>
            </w:pPr>
            <w:r>
              <w:rPr>
                <w:sz w:val="18"/>
                <w:szCs w:val="18"/>
              </w:rPr>
              <w:t>Tema 10: Profesionales de la Contabilidad en la empresa</w:t>
            </w:r>
          </w:p>
          <w:p w14:paraId="3F43C4B1" w14:textId="77777777" w:rsidR="00990B14" w:rsidRDefault="00000000">
            <w:pPr>
              <w:spacing w:before="20" w:after="40"/>
              <w:jc w:val="both"/>
            </w:pPr>
            <w:r>
              <w:rPr>
                <w:sz w:val="18"/>
                <w:szCs w:val="18"/>
              </w:rPr>
              <w:t>Tema 11: Profesionales de la Contabilidad en el ejercicio profesional</w:t>
            </w:r>
          </w:p>
        </w:tc>
        <w:tc>
          <w:tcPr>
            <w:tcW w:w="4304" w:type="dxa"/>
            <w:gridSpan w:val="8"/>
            <w:shd w:val="clear" w:color="auto" w:fill="D9E2F3"/>
          </w:tcPr>
          <w:p w14:paraId="25DD80BC" w14:textId="77777777" w:rsidR="00990B14" w:rsidRDefault="00000000">
            <w:pPr>
              <w:spacing w:after="40"/>
              <w:jc w:val="both"/>
            </w:pPr>
            <w:r>
              <w:rPr>
                <w:sz w:val="18"/>
                <w:szCs w:val="18"/>
              </w:rPr>
              <w:t>1. Conflicto de intereses y actuación con la suficiente experiencia. (C, P)</w:t>
            </w:r>
          </w:p>
          <w:p w14:paraId="3DA07C3F" w14:textId="77777777" w:rsidR="00990B14" w:rsidRDefault="00000000">
            <w:pPr>
              <w:spacing w:after="40"/>
              <w:jc w:val="both"/>
            </w:pPr>
            <w:r>
              <w:rPr>
                <w:sz w:val="18"/>
                <w:szCs w:val="18"/>
              </w:rPr>
              <w:t>2. Preparación y presentación de la información sin asociarse con informes que contengan datos falsos o que induzcan a error. (C, P, A)</w:t>
            </w:r>
          </w:p>
          <w:p w14:paraId="50CB4F75" w14:textId="77777777" w:rsidR="00990B14" w:rsidRDefault="00000000">
            <w:pPr>
              <w:spacing w:after="40"/>
              <w:jc w:val="both"/>
            </w:pPr>
            <w:r>
              <w:rPr>
                <w:sz w:val="18"/>
                <w:szCs w:val="18"/>
              </w:rPr>
              <w:t>3. Intereses financieros, compensaciones e incentivos vinculados a la información financiera y a la toma de decisiones, incluidos los regalos y las atenciones sociales. (C, P)</w:t>
            </w:r>
          </w:p>
          <w:p w14:paraId="22B41BCA" w14:textId="77777777" w:rsidR="00990B14" w:rsidRDefault="00000000">
            <w:pPr>
              <w:spacing w:after="40"/>
              <w:jc w:val="both"/>
            </w:pPr>
            <w:r>
              <w:rPr>
                <w:sz w:val="18"/>
                <w:szCs w:val="18"/>
              </w:rPr>
              <w:t>4. Respuesta al incumplimiento de leyes y regulaciones. (C, P)</w:t>
            </w:r>
          </w:p>
          <w:p w14:paraId="729AD784" w14:textId="77777777" w:rsidR="00990B14" w:rsidRDefault="00000000">
            <w:pPr>
              <w:spacing w:after="40"/>
              <w:jc w:val="both"/>
            </w:pPr>
            <w:r>
              <w:rPr>
                <w:sz w:val="18"/>
                <w:szCs w:val="18"/>
              </w:rPr>
              <w:t>5. Presiones para infringir los principios fundamentales. (C, P)</w:t>
            </w:r>
          </w:p>
          <w:p w14:paraId="394AD991" w14:textId="77777777" w:rsidR="00990B14" w:rsidRDefault="00000000">
            <w:pPr>
              <w:spacing w:after="40"/>
              <w:jc w:val="both"/>
            </w:pPr>
            <w:r>
              <w:rPr>
                <w:sz w:val="18"/>
                <w:szCs w:val="18"/>
              </w:rPr>
              <w:t>6. Nombramientos profesionales y segundas opiniones. (C)</w:t>
            </w:r>
          </w:p>
          <w:p w14:paraId="078957D6" w14:textId="77777777" w:rsidR="00990B14" w:rsidRDefault="00000000">
            <w:pPr>
              <w:spacing w:after="40"/>
              <w:jc w:val="both"/>
            </w:pPr>
            <w:r>
              <w:rPr>
                <w:sz w:val="18"/>
                <w:szCs w:val="18"/>
              </w:rPr>
              <w:t>7. Tarifas y otros tipos de remuneración. (C)</w:t>
            </w:r>
          </w:p>
          <w:p w14:paraId="3AFB5D26" w14:textId="77777777" w:rsidR="00990B14" w:rsidRDefault="00000000">
            <w:pPr>
              <w:spacing w:after="40"/>
              <w:jc w:val="both"/>
            </w:pPr>
            <w:r>
              <w:rPr>
                <w:sz w:val="18"/>
                <w:szCs w:val="18"/>
              </w:rPr>
              <w:t>8. Honorarios condicionados y dependencia económica de un cliente: evaluación de la amenaza de interés propio y medidas aplicables. (C, P)</w:t>
            </w:r>
          </w:p>
          <w:p w14:paraId="58313B51" w14:textId="77777777" w:rsidR="00990B14" w:rsidRDefault="00000000">
            <w:pPr>
              <w:spacing w:after="40"/>
              <w:jc w:val="both"/>
            </w:pPr>
            <w:r>
              <w:rPr>
                <w:sz w:val="18"/>
                <w:szCs w:val="18"/>
              </w:rPr>
              <w:t>9. Custodia de los activos de los clientes. (C)</w:t>
            </w:r>
          </w:p>
          <w:p w14:paraId="73BD7B53" w14:textId="77777777" w:rsidR="00990B14" w:rsidRDefault="00000000">
            <w:pPr>
              <w:spacing w:after="40"/>
              <w:jc w:val="both"/>
            </w:pPr>
            <w:r>
              <w:rPr>
                <w:sz w:val="18"/>
                <w:szCs w:val="18"/>
              </w:rPr>
              <w:t>10. Planificación fiscal y servicios relacionados: evaluación de la base técnica del asesoramiento y de su efecto reputacional, conforme a las disposiciones vigentes del Código de Ética. (C, P)</w:t>
            </w:r>
          </w:p>
        </w:tc>
        <w:tc>
          <w:tcPr>
            <w:tcW w:w="2752" w:type="dxa"/>
            <w:gridSpan w:val="3"/>
            <w:shd w:val="clear" w:color="auto" w:fill="D9E2F3"/>
          </w:tcPr>
          <w:p w14:paraId="47310461" w14:textId="77777777" w:rsidR="00990B14" w:rsidRDefault="00000000">
            <w:pPr>
              <w:numPr>
                <w:ilvl w:val="0"/>
                <w:numId w:val="139"/>
              </w:numPr>
              <w:spacing w:before="10" w:after="10"/>
              <w:jc w:val="both"/>
            </w:pPr>
            <w:r>
              <w:rPr>
                <w:sz w:val="18"/>
                <w:szCs w:val="18"/>
              </w:rPr>
              <w:t>Procedimiento disciplinario del colegio profesional ante faltas a la ética.</w:t>
            </w:r>
          </w:p>
          <w:p w14:paraId="3E81E65D" w14:textId="77777777" w:rsidR="00990B14" w:rsidRDefault="00000000">
            <w:pPr>
              <w:numPr>
                <w:ilvl w:val="0"/>
                <w:numId w:val="139"/>
              </w:numPr>
              <w:spacing w:before="10" w:after="10"/>
              <w:jc w:val="both"/>
            </w:pPr>
            <w:r>
              <w:rPr>
                <w:sz w:val="18"/>
                <w:szCs w:val="18"/>
              </w:rPr>
              <w:t>Nociones de comunicación asertiva frente a la presión de clientes y superiores.</w:t>
            </w:r>
          </w:p>
        </w:tc>
      </w:tr>
      <w:tr w:rsidR="00990B14" w14:paraId="5509F85B" w14:textId="77777777">
        <w:trPr>
          <w:cantSplit/>
          <w:jc w:val="center"/>
        </w:trPr>
        <w:tc>
          <w:tcPr>
            <w:tcW w:w="9405" w:type="dxa"/>
            <w:gridSpan w:val="13"/>
            <w:shd w:val="clear" w:color="auto" w:fill="D9E2F3"/>
            <w:vAlign w:val="center"/>
          </w:tcPr>
          <w:p w14:paraId="01989147" w14:textId="77777777" w:rsidR="00990B14" w:rsidRDefault="00000000">
            <w:pPr>
              <w:spacing w:before="20" w:after="20"/>
              <w:jc w:val="both"/>
            </w:pPr>
            <w:r>
              <w:rPr>
                <w:b/>
                <w:bCs/>
                <w:i/>
                <w:iCs/>
                <w:sz w:val="18"/>
                <w:szCs w:val="18"/>
              </w:rPr>
              <w:t xml:space="preserve">Elemento de competencia 5: </w:t>
            </w:r>
            <w:r>
              <w:rPr>
                <w:sz w:val="18"/>
                <w:szCs w:val="18"/>
              </w:rPr>
              <w:t>Evalúa las amenazas a la independencia en los encargos de auditoría, de revisión y de otros encargos de aseguramiento, aplicando salvaguardas frente a las relaciones con el cliente, a la prestación de servicios distintos del aseguramiento y a las restricciones de uso de los informes, con independencia de criterio y objetividad.</w:t>
            </w:r>
          </w:p>
        </w:tc>
      </w:tr>
      <w:tr w:rsidR="00990B14" w14:paraId="028BF381" w14:textId="77777777">
        <w:trPr>
          <w:cantSplit/>
          <w:jc w:val="center"/>
        </w:trPr>
        <w:tc>
          <w:tcPr>
            <w:tcW w:w="3133" w:type="dxa"/>
            <w:gridSpan w:val="4"/>
            <w:shd w:val="clear" w:color="auto" w:fill="4472C4"/>
            <w:vAlign w:val="center"/>
          </w:tcPr>
          <w:p w14:paraId="7A89914D"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0A981EE7"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08E63500" w14:textId="77777777" w:rsidR="00990B14" w:rsidRDefault="00000000">
            <w:pPr>
              <w:keepNext/>
              <w:spacing w:before="20" w:after="20"/>
              <w:jc w:val="center"/>
            </w:pPr>
            <w:r>
              <w:rPr>
                <w:b/>
                <w:bCs/>
                <w:i/>
                <w:iCs/>
                <w:color w:val="FFFFFF"/>
                <w:sz w:val="18"/>
                <w:szCs w:val="18"/>
              </w:rPr>
              <w:t>Evidencias de producto</w:t>
            </w:r>
          </w:p>
        </w:tc>
      </w:tr>
      <w:tr w:rsidR="00990B14" w14:paraId="6D7B84CC" w14:textId="77777777">
        <w:trPr>
          <w:cantSplit/>
          <w:jc w:val="center"/>
        </w:trPr>
        <w:tc>
          <w:tcPr>
            <w:tcW w:w="3133" w:type="dxa"/>
            <w:gridSpan w:val="4"/>
            <w:vMerge w:val="restart"/>
            <w:shd w:val="clear" w:color="auto" w:fill="D9E2F3"/>
            <w:vAlign w:val="center"/>
          </w:tcPr>
          <w:p w14:paraId="4E095FAC" w14:textId="77777777" w:rsidR="00990B14" w:rsidRDefault="00000000">
            <w:pPr>
              <w:spacing w:before="20" w:after="20"/>
              <w:jc w:val="both"/>
            </w:pPr>
            <w:r>
              <w:rPr>
                <w:sz w:val="18"/>
                <w:szCs w:val="18"/>
              </w:rPr>
              <w:t>1. Evalúa las amenazas a la independencia en los encargos de auditoría y de revisión, aplicando salvaguardas frente a las relaciones financieras, laborales, familiares y de servicios con el cliente.</w:t>
            </w:r>
          </w:p>
        </w:tc>
        <w:tc>
          <w:tcPr>
            <w:tcW w:w="3135" w:type="dxa"/>
            <w:gridSpan w:val="5"/>
            <w:shd w:val="clear" w:color="auto" w:fill="D9E2F3"/>
            <w:vAlign w:val="center"/>
          </w:tcPr>
          <w:p w14:paraId="58A83216" w14:textId="77777777" w:rsidR="00990B14" w:rsidRDefault="00000000">
            <w:pPr>
              <w:spacing w:before="20" w:after="20"/>
              <w:jc w:val="both"/>
            </w:pPr>
            <w:r>
              <w:rPr>
                <w:sz w:val="18"/>
                <w:szCs w:val="18"/>
              </w:rPr>
              <w:t>1.1 Analiza en aula un caso de amenaza a la independencia por relaciones financieras o familiares con un cliente de auditoría.</w:t>
            </w:r>
          </w:p>
        </w:tc>
        <w:tc>
          <w:tcPr>
            <w:tcW w:w="3137" w:type="dxa"/>
            <w:gridSpan w:val="4"/>
            <w:shd w:val="clear" w:color="auto" w:fill="D9E2F3"/>
            <w:vAlign w:val="center"/>
          </w:tcPr>
          <w:p w14:paraId="4796565A" w14:textId="77777777" w:rsidR="00990B14" w:rsidRDefault="00000000">
            <w:pPr>
              <w:spacing w:before="20" w:after="20"/>
              <w:jc w:val="both"/>
            </w:pPr>
            <w:r>
              <w:rPr>
                <w:b/>
                <w:bCs/>
                <w:sz w:val="18"/>
                <w:szCs w:val="18"/>
              </w:rPr>
              <w:t xml:space="preserve">Producto 17: </w:t>
            </w:r>
            <w:r>
              <w:rPr>
                <w:sz w:val="18"/>
                <w:szCs w:val="18"/>
              </w:rPr>
              <w:t>Matriz de amenazas a la independencia en un encargo de auditoría con sus salvaguardas.</w:t>
            </w:r>
          </w:p>
        </w:tc>
      </w:tr>
      <w:tr w:rsidR="00990B14" w14:paraId="78AB060E" w14:textId="77777777">
        <w:trPr>
          <w:cantSplit/>
          <w:jc w:val="center"/>
        </w:trPr>
        <w:tc>
          <w:tcPr>
            <w:tcW w:w="3133" w:type="dxa"/>
            <w:gridSpan w:val="4"/>
            <w:vMerge/>
            <w:shd w:val="clear" w:color="auto" w:fill="D9E2F3"/>
            <w:vAlign w:val="center"/>
          </w:tcPr>
          <w:p w14:paraId="36A2789A" w14:textId="77777777" w:rsidR="00990B14" w:rsidRDefault="00990B14">
            <w:pPr>
              <w:spacing w:before="20" w:after="20"/>
            </w:pPr>
          </w:p>
        </w:tc>
        <w:tc>
          <w:tcPr>
            <w:tcW w:w="3135" w:type="dxa"/>
            <w:gridSpan w:val="5"/>
            <w:shd w:val="clear" w:color="auto" w:fill="D9E2F3"/>
            <w:vAlign w:val="center"/>
          </w:tcPr>
          <w:p w14:paraId="11F97467" w14:textId="77777777" w:rsidR="00990B14" w:rsidRDefault="00000000">
            <w:pPr>
              <w:spacing w:before="20" w:after="20"/>
              <w:jc w:val="both"/>
            </w:pPr>
            <w:r>
              <w:rPr>
                <w:sz w:val="18"/>
                <w:szCs w:val="18"/>
              </w:rPr>
              <w:t>1.2 Evalúa en equipo la prestación de servicios distintos del aseguramiento a un cliente de auditoría y propone salvaguardas.</w:t>
            </w:r>
          </w:p>
        </w:tc>
        <w:tc>
          <w:tcPr>
            <w:tcW w:w="3137" w:type="dxa"/>
            <w:gridSpan w:val="4"/>
            <w:shd w:val="clear" w:color="auto" w:fill="D9E2F3"/>
            <w:vAlign w:val="center"/>
          </w:tcPr>
          <w:p w14:paraId="29F35FB2" w14:textId="77777777" w:rsidR="00990B14" w:rsidRDefault="00000000">
            <w:pPr>
              <w:spacing w:before="20" w:after="20"/>
              <w:jc w:val="both"/>
            </w:pPr>
            <w:r>
              <w:rPr>
                <w:b/>
                <w:bCs/>
                <w:sz w:val="18"/>
                <w:szCs w:val="18"/>
              </w:rPr>
              <w:t xml:space="preserve">Producto 18: </w:t>
            </w:r>
            <w:r>
              <w:rPr>
                <w:sz w:val="18"/>
                <w:szCs w:val="18"/>
              </w:rPr>
              <w:t>Evaluación de un caso de prestación de servicios distintos del aseguramiento.</w:t>
            </w:r>
          </w:p>
        </w:tc>
      </w:tr>
      <w:tr w:rsidR="00990B14" w14:paraId="4C83450A" w14:textId="77777777">
        <w:trPr>
          <w:cantSplit/>
          <w:jc w:val="center"/>
        </w:trPr>
        <w:tc>
          <w:tcPr>
            <w:tcW w:w="3133" w:type="dxa"/>
            <w:gridSpan w:val="4"/>
            <w:vMerge w:val="restart"/>
            <w:shd w:val="clear" w:color="auto" w:fill="D9E2F3"/>
            <w:vAlign w:val="center"/>
          </w:tcPr>
          <w:p w14:paraId="5414317C" w14:textId="77777777" w:rsidR="00990B14" w:rsidRDefault="00000000">
            <w:pPr>
              <w:spacing w:before="20" w:after="20"/>
              <w:jc w:val="both"/>
            </w:pPr>
            <w:r>
              <w:rPr>
                <w:sz w:val="18"/>
                <w:szCs w:val="18"/>
              </w:rPr>
              <w:t>2. Evalúa la independencia en los encargos de aseguramiento distintos de los de auditoría y de revisión, incluida la información de sostenibilidad, considerando las restricciones de uso de los informes.</w:t>
            </w:r>
          </w:p>
        </w:tc>
        <w:tc>
          <w:tcPr>
            <w:tcW w:w="3135" w:type="dxa"/>
            <w:gridSpan w:val="5"/>
            <w:shd w:val="clear" w:color="auto" w:fill="D9E2F3"/>
            <w:vAlign w:val="center"/>
          </w:tcPr>
          <w:p w14:paraId="25BB3931" w14:textId="77777777" w:rsidR="00990B14" w:rsidRDefault="00000000">
            <w:pPr>
              <w:spacing w:before="20" w:after="20"/>
              <w:jc w:val="both"/>
            </w:pPr>
            <w:r>
              <w:rPr>
                <w:sz w:val="18"/>
                <w:szCs w:val="18"/>
              </w:rPr>
              <w:t>2.1 Evalúa en aula un caso de amenaza a la independencia por relaciones de negocios con un cliente de aseguramiento.</w:t>
            </w:r>
          </w:p>
        </w:tc>
        <w:tc>
          <w:tcPr>
            <w:tcW w:w="3137" w:type="dxa"/>
            <w:gridSpan w:val="4"/>
            <w:shd w:val="clear" w:color="auto" w:fill="D9E2F3"/>
            <w:vAlign w:val="center"/>
          </w:tcPr>
          <w:p w14:paraId="1A8DC9CC" w14:textId="77777777" w:rsidR="00990B14" w:rsidRDefault="00000000">
            <w:pPr>
              <w:spacing w:before="20" w:after="20"/>
              <w:jc w:val="both"/>
            </w:pPr>
            <w:r>
              <w:rPr>
                <w:b/>
                <w:bCs/>
                <w:sz w:val="18"/>
                <w:szCs w:val="18"/>
              </w:rPr>
              <w:t xml:space="preserve">Producto 19: </w:t>
            </w:r>
            <w:r>
              <w:rPr>
                <w:sz w:val="18"/>
                <w:szCs w:val="18"/>
              </w:rPr>
              <w:t>Matriz de amenazas a la independencia en un encargo de aseguramiento con sus salvaguardas.</w:t>
            </w:r>
          </w:p>
        </w:tc>
      </w:tr>
      <w:tr w:rsidR="00990B14" w14:paraId="2DC84BDB" w14:textId="77777777">
        <w:trPr>
          <w:cantSplit/>
          <w:jc w:val="center"/>
        </w:trPr>
        <w:tc>
          <w:tcPr>
            <w:tcW w:w="3133" w:type="dxa"/>
            <w:gridSpan w:val="4"/>
            <w:vMerge/>
            <w:shd w:val="clear" w:color="auto" w:fill="D9E2F3"/>
            <w:vAlign w:val="center"/>
          </w:tcPr>
          <w:p w14:paraId="62FC77BB" w14:textId="77777777" w:rsidR="00990B14" w:rsidRDefault="00990B14">
            <w:pPr>
              <w:spacing w:before="20" w:after="20"/>
            </w:pPr>
          </w:p>
        </w:tc>
        <w:tc>
          <w:tcPr>
            <w:tcW w:w="3135" w:type="dxa"/>
            <w:gridSpan w:val="5"/>
            <w:shd w:val="clear" w:color="auto" w:fill="D9E2F3"/>
            <w:vAlign w:val="center"/>
          </w:tcPr>
          <w:p w14:paraId="0A8A3EBE" w14:textId="77777777" w:rsidR="00990B14" w:rsidRDefault="00000000">
            <w:pPr>
              <w:spacing w:before="20" w:after="20"/>
              <w:jc w:val="both"/>
            </w:pPr>
            <w:r>
              <w:rPr>
                <w:sz w:val="18"/>
                <w:szCs w:val="18"/>
              </w:rPr>
              <w:t>2.2 Analiza en equipo un informe con restricción de uso y distribución y sustenta su tratamiento.</w:t>
            </w:r>
          </w:p>
        </w:tc>
        <w:tc>
          <w:tcPr>
            <w:tcW w:w="3137" w:type="dxa"/>
            <w:gridSpan w:val="4"/>
            <w:shd w:val="clear" w:color="auto" w:fill="D9E2F3"/>
            <w:vAlign w:val="center"/>
          </w:tcPr>
          <w:p w14:paraId="7495B186" w14:textId="77777777" w:rsidR="00990B14" w:rsidRDefault="00000000">
            <w:pPr>
              <w:spacing w:before="20" w:after="20"/>
              <w:jc w:val="both"/>
            </w:pPr>
            <w:r>
              <w:rPr>
                <w:b/>
                <w:bCs/>
                <w:sz w:val="18"/>
                <w:szCs w:val="18"/>
              </w:rPr>
              <w:t xml:space="preserve">Producto 20: </w:t>
            </w:r>
            <w:r>
              <w:rPr>
                <w:sz w:val="18"/>
                <w:szCs w:val="18"/>
              </w:rPr>
              <w:t>Análisis de un informe de aseguramiento con restricción de uso y distribución.</w:t>
            </w:r>
          </w:p>
        </w:tc>
      </w:tr>
      <w:tr w:rsidR="00990B14" w14:paraId="05308557" w14:textId="77777777">
        <w:trPr>
          <w:cantSplit/>
          <w:jc w:val="center"/>
        </w:trPr>
        <w:tc>
          <w:tcPr>
            <w:tcW w:w="9405" w:type="dxa"/>
            <w:gridSpan w:val="13"/>
            <w:shd w:val="clear" w:color="auto" w:fill="4472C4"/>
            <w:vAlign w:val="center"/>
          </w:tcPr>
          <w:p w14:paraId="7812D2DE" w14:textId="77777777" w:rsidR="00990B14" w:rsidRDefault="00000000">
            <w:pPr>
              <w:keepNext/>
              <w:spacing w:before="20" w:after="20"/>
              <w:jc w:val="center"/>
            </w:pPr>
            <w:r>
              <w:rPr>
                <w:b/>
                <w:bCs/>
                <w:i/>
                <w:iCs/>
                <w:color w:val="FFFFFF"/>
                <w:sz w:val="18"/>
                <w:szCs w:val="18"/>
              </w:rPr>
              <w:t>Evidencias de conocimiento</w:t>
            </w:r>
          </w:p>
        </w:tc>
      </w:tr>
      <w:tr w:rsidR="00990B14" w14:paraId="5BA91BB5" w14:textId="77777777">
        <w:trPr>
          <w:cantSplit/>
          <w:jc w:val="center"/>
        </w:trPr>
        <w:tc>
          <w:tcPr>
            <w:tcW w:w="2349" w:type="dxa"/>
            <w:gridSpan w:val="2"/>
            <w:shd w:val="clear" w:color="auto" w:fill="4472C4"/>
            <w:vAlign w:val="center"/>
          </w:tcPr>
          <w:p w14:paraId="3178034B"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64231FEC" w14:textId="77777777" w:rsidR="00990B14" w:rsidRDefault="00000000">
            <w:pPr>
              <w:keepNext/>
              <w:spacing w:before="20" w:after="20"/>
              <w:jc w:val="both"/>
            </w:pPr>
            <w:r>
              <w:rPr>
                <w:b/>
                <w:bCs/>
                <w:i/>
                <w:iCs/>
                <w:color w:val="FFFFFF"/>
                <w:sz w:val="18"/>
                <w:szCs w:val="18"/>
              </w:rPr>
              <w:t>Contenidos</w:t>
            </w:r>
          </w:p>
          <w:p w14:paraId="328C8C1C"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54E7CCD0" w14:textId="77777777" w:rsidR="00990B14" w:rsidRDefault="00000000">
            <w:pPr>
              <w:keepNext/>
              <w:spacing w:before="20" w:after="20"/>
              <w:jc w:val="center"/>
            </w:pPr>
            <w:r>
              <w:rPr>
                <w:b/>
                <w:bCs/>
                <w:i/>
                <w:iCs/>
                <w:color w:val="FFFFFF"/>
                <w:sz w:val="18"/>
                <w:szCs w:val="18"/>
              </w:rPr>
              <w:t>Conocimientos circunstanciales</w:t>
            </w:r>
          </w:p>
        </w:tc>
      </w:tr>
      <w:tr w:rsidR="00990B14" w14:paraId="7620DCB2" w14:textId="77777777">
        <w:trPr>
          <w:jc w:val="center"/>
        </w:trPr>
        <w:tc>
          <w:tcPr>
            <w:tcW w:w="2349" w:type="dxa"/>
            <w:gridSpan w:val="2"/>
            <w:shd w:val="clear" w:color="auto" w:fill="D9E2F3"/>
          </w:tcPr>
          <w:p w14:paraId="0198C7EC" w14:textId="77777777" w:rsidR="00990B14" w:rsidRDefault="00000000">
            <w:pPr>
              <w:spacing w:before="20" w:after="40"/>
              <w:jc w:val="both"/>
            </w:pPr>
            <w:r>
              <w:rPr>
                <w:sz w:val="18"/>
                <w:szCs w:val="18"/>
              </w:rPr>
              <w:t>Tema 12: Independencia en encargos de auditoría y de revisión</w:t>
            </w:r>
          </w:p>
          <w:p w14:paraId="5D3A620E" w14:textId="77777777" w:rsidR="00990B14" w:rsidRDefault="00000000">
            <w:pPr>
              <w:spacing w:before="20" w:after="40"/>
              <w:jc w:val="both"/>
            </w:pPr>
            <w:r>
              <w:rPr>
                <w:sz w:val="18"/>
                <w:szCs w:val="18"/>
              </w:rPr>
              <w:t>Tema 13: Independencia en encargos de aseguramiento, distintos de los encargos de auditoría y revisión</w:t>
            </w:r>
          </w:p>
        </w:tc>
        <w:tc>
          <w:tcPr>
            <w:tcW w:w="4304" w:type="dxa"/>
            <w:gridSpan w:val="8"/>
            <w:shd w:val="clear" w:color="auto" w:fill="D9E2F3"/>
          </w:tcPr>
          <w:p w14:paraId="23D08B34" w14:textId="77777777" w:rsidR="00990B14" w:rsidRDefault="00000000">
            <w:pPr>
              <w:spacing w:after="40"/>
              <w:jc w:val="both"/>
            </w:pPr>
            <w:r>
              <w:rPr>
                <w:sz w:val="18"/>
                <w:szCs w:val="18"/>
              </w:rPr>
              <w:t>1. Independencia de hecho y de apariencia en los encargos de auditoría y de revisión; relaciones con el cliente: tarifas, políticas de compensación y evaluación, regalos y atenciones sociales, y litigios reales o amenazas. (C, P)</w:t>
            </w:r>
          </w:p>
          <w:p w14:paraId="12792036" w14:textId="77777777" w:rsidR="00990B14" w:rsidRDefault="00000000">
            <w:pPr>
              <w:spacing w:after="40"/>
              <w:jc w:val="both"/>
            </w:pPr>
            <w:r>
              <w:rPr>
                <w:sz w:val="18"/>
                <w:szCs w:val="18"/>
              </w:rPr>
              <w:t>2. Relaciones financieras, laborales y de negocios con un cliente de auditoría: intereses financieros, préstamos y garantías, relaciones de negocios, servicio reciente, prestación de servicios como director o ejecutivo, empleo y asignaciones de personal temporal. (C, P)</w:t>
            </w:r>
          </w:p>
          <w:p w14:paraId="4BD574AF" w14:textId="77777777" w:rsidR="00990B14" w:rsidRDefault="00000000">
            <w:pPr>
              <w:spacing w:after="40"/>
              <w:jc w:val="both"/>
            </w:pPr>
            <w:r>
              <w:rPr>
                <w:sz w:val="18"/>
                <w:szCs w:val="18"/>
              </w:rPr>
              <w:t>3. Relaciones familiares y personales con un cliente de auditoría. (C, P)</w:t>
            </w:r>
          </w:p>
          <w:p w14:paraId="56EA38D6" w14:textId="77777777" w:rsidR="00990B14" w:rsidRDefault="00000000">
            <w:pPr>
              <w:spacing w:after="40"/>
              <w:jc w:val="both"/>
            </w:pPr>
            <w:r>
              <w:rPr>
                <w:sz w:val="18"/>
                <w:szCs w:val="18"/>
              </w:rPr>
              <w:t>4. Asociación prolongada de personal con un cliente de auditoría, rotación del socio del encargo y periodos de enfriamiento aplicables a las entidades de interés público. (C, A)</w:t>
            </w:r>
          </w:p>
          <w:p w14:paraId="72934CB8" w14:textId="77777777" w:rsidR="00990B14" w:rsidRDefault="00000000">
            <w:pPr>
              <w:spacing w:after="40"/>
              <w:jc w:val="both"/>
            </w:pPr>
            <w:r>
              <w:rPr>
                <w:sz w:val="18"/>
                <w:szCs w:val="18"/>
              </w:rPr>
              <w:t>5. Prestación de servicios no relacionados con el aseguramiento a un cliente de auditoría: servicios de contabilidad y teneduría de libros, administrativos, de valoración, fiscales, de auditoría interna, de sistemas de tecnología de la información, de apoyo a los litigios, legales, de contratación de personal y de finanzas corporativas. (C, P)</w:t>
            </w:r>
          </w:p>
          <w:p w14:paraId="17F32D07" w14:textId="77777777" w:rsidR="00990B14" w:rsidRDefault="00000000">
            <w:pPr>
              <w:spacing w:after="40"/>
              <w:jc w:val="both"/>
            </w:pPr>
            <w:r>
              <w:rPr>
                <w:sz w:val="18"/>
                <w:szCs w:val="18"/>
              </w:rPr>
              <w:t>6. Servicios relacionados con la información de sostenibilidad prestados a un cliente de auditoría y su efecto en la independencia. (C, A)</w:t>
            </w:r>
          </w:p>
          <w:p w14:paraId="67131485" w14:textId="77777777" w:rsidR="00990B14" w:rsidRDefault="00000000">
            <w:pPr>
              <w:spacing w:after="40"/>
              <w:jc w:val="both"/>
            </w:pPr>
            <w:r>
              <w:rPr>
                <w:sz w:val="18"/>
                <w:szCs w:val="18"/>
              </w:rPr>
              <w:t>7. Comunicación con los responsables del gobierno de la entidad sobre la independencia y declaración de independencia del equipo del encargo. (P, A)</w:t>
            </w:r>
          </w:p>
          <w:p w14:paraId="62072E3F" w14:textId="77777777" w:rsidR="00990B14" w:rsidRDefault="00000000">
            <w:pPr>
              <w:spacing w:after="40"/>
              <w:jc w:val="both"/>
            </w:pPr>
            <w:r>
              <w:rPr>
                <w:sz w:val="18"/>
                <w:szCs w:val="18"/>
              </w:rPr>
              <w:t>8. Independencia en los encargos de aseguramiento distintos de los de auditoría y revisión: relaciones con el cliente de aseguramiento análogas a las del encargo de auditoría y asociación prolongada de personal. (C, P)</w:t>
            </w:r>
          </w:p>
          <w:p w14:paraId="4886115C" w14:textId="77777777" w:rsidR="00990B14" w:rsidRDefault="00000000">
            <w:pPr>
              <w:spacing w:after="40"/>
              <w:jc w:val="both"/>
            </w:pPr>
            <w:r>
              <w:rPr>
                <w:sz w:val="18"/>
                <w:szCs w:val="18"/>
              </w:rPr>
              <w:t>9. Prestación de servicios no relacionados con el aseguramiento a clientes distintos de clientes de encargos de auditoría y revisión. (C)</w:t>
            </w:r>
          </w:p>
          <w:p w14:paraId="5A54D488" w14:textId="77777777" w:rsidR="00990B14" w:rsidRDefault="00000000">
            <w:pPr>
              <w:spacing w:after="40"/>
              <w:jc w:val="both"/>
            </w:pPr>
            <w:r>
              <w:rPr>
                <w:sz w:val="18"/>
                <w:szCs w:val="18"/>
              </w:rPr>
              <w:t>10. Independencia en los encargos de aseguramiento de información de sostenibilidad conforme a las Normas Internacionales de Ética para el Aseguramiento de Sostenibilidad. (C, A)</w:t>
            </w:r>
          </w:p>
          <w:p w14:paraId="036A44A5" w14:textId="77777777" w:rsidR="00990B14" w:rsidRDefault="00000000">
            <w:pPr>
              <w:spacing w:after="40"/>
              <w:jc w:val="both"/>
            </w:pPr>
            <w:r>
              <w:rPr>
                <w:sz w:val="18"/>
                <w:szCs w:val="18"/>
              </w:rPr>
              <w:t>11. Informes que incluyen una restricción de uso y distribución. (C, P)</w:t>
            </w:r>
          </w:p>
          <w:p w14:paraId="1ED81C40" w14:textId="77777777" w:rsidR="00990B14" w:rsidRDefault="00000000">
            <w:pPr>
              <w:spacing w:after="40"/>
              <w:jc w:val="both"/>
            </w:pPr>
            <w:r>
              <w:rPr>
                <w:sz w:val="18"/>
                <w:szCs w:val="18"/>
              </w:rPr>
              <w:t>12. Alcance del encargo y responsabilidad del profesional cuando interviene un experto externo en materias ambientales, sociales o actuariales. (C, A)</w:t>
            </w:r>
          </w:p>
        </w:tc>
        <w:tc>
          <w:tcPr>
            <w:tcW w:w="2752" w:type="dxa"/>
            <w:gridSpan w:val="3"/>
            <w:shd w:val="clear" w:color="auto" w:fill="D9E2F3"/>
          </w:tcPr>
          <w:p w14:paraId="63C08077" w14:textId="77777777" w:rsidR="00990B14" w:rsidRDefault="00000000">
            <w:pPr>
              <w:numPr>
                <w:ilvl w:val="0"/>
                <w:numId w:val="139"/>
              </w:numPr>
              <w:spacing w:before="10" w:after="10"/>
              <w:jc w:val="both"/>
            </w:pPr>
            <w:r>
              <w:rPr>
                <w:sz w:val="18"/>
                <w:szCs w:val="18"/>
              </w:rPr>
              <w:t>Concepto de entidad de interés público y criterios para su determinación.</w:t>
            </w:r>
          </w:p>
          <w:p w14:paraId="6B0D3E6D" w14:textId="77777777" w:rsidR="00990B14" w:rsidRDefault="00000000">
            <w:pPr>
              <w:numPr>
                <w:ilvl w:val="0"/>
                <w:numId w:val="139"/>
              </w:numPr>
              <w:spacing w:before="10" w:after="10"/>
              <w:jc w:val="both"/>
            </w:pPr>
            <w:r>
              <w:rPr>
                <w:sz w:val="18"/>
                <w:szCs w:val="18"/>
              </w:rPr>
              <w:t>Prácticas de declaración anual de independencia en las firmas de auditoría.</w:t>
            </w:r>
          </w:p>
        </w:tc>
      </w:tr>
    </w:tbl>
    <w:p w14:paraId="65BF97AA"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700"/>
        <w:gridCol w:w="1595"/>
        <w:gridCol w:w="2015"/>
        <w:gridCol w:w="1700"/>
        <w:gridCol w:w="2395"/>
      </w:tblGrid>
      <w:tr w:rsidR="00990B14" w14:paraId="2C5DBACD" w14:textId="77777777">
        <w:trPr>
          <w:cantSplit/>
          <w:jc w:val="center"/>
        </w:trPr>
        <w:tc>
          <w:tcPr>
            <w:tcW w:w="9405" w:type="dxa"/>
            <w:gridSpan w:val="5"/>
            <w:shd w:val="clear" w:color="auto" w:fill="4472C4"/>
            <w:vAlign w:val="center"/>
          </w:tcPr>
          <w:p w14:paraId="022A5078" w14:textId="77777777" w:rsidR="00990B14" w:rsidRDefault="00000000">
            <w:pPr>
              <w:keepNext/>
              <w:spacing w:before="20" w:after="20"/>
              <w:jc w:val="center"/>
            </w:pPr>
            <w:r>
              <w:rPr>
                <w:b/>
                <w:bCs/>
                <w:i/>
                <w:iCs/>
                <w:color w:val="FFFFFF"/>
                <w:sz w:val="18"/>
                <w:szCs w:val="18"/>
              </w:rPr>
              <w:t>Actividades</w:t>
            </w:r>
          </w:p>
        </w:tc>
      </w:tr>
      <w:tr w:rsidR="00990B14" w14:paraId="53D6CE7B" w14:textId="77777777">
        <w:trPr>
          <w:cantSplit/>
          <w:jc w:val="center"/>
        </w:trPr>
        <w:tc>
          <w:tcPr>
            <w:tcW w:w="1700" w:type="dxa"/>
            <w:shd w:val="clear" w:color="auto" w:fill="4472C4"/>
            <w:vAlign w:val="center"/>
          </w:tcPr>
          <w:p w14:paraId="22D40E96" w14:textId="77777777" w:rsidR="00990B14" w:rsidRDefault="00000000">
            <w:pPr>
              <w:keepNext/>
              <w:spacing w:before="20" w:after="20"/>
              <w:jc w:val="center"/>
            </w:pPr>
            <w:r>
              <w:rPr>
                <w:b/>
                <w:bCs/>
                <w:i/>
                <w:iCs/>
                <w:color w:val="FFFFFF"/>
                <w:sz w:val="18"/>
                <w:szCs w:val="18"/>
              </w:rPr>
              <w:t>En clase</w:t>
            </w:r>
          </w:p>
        </w:tc>
        <w:tc>
          <w:tcPr>
            <w:tcW w:w="1595" w:type="dxa"/>
            <w:shd w:val="clear" w:color="auto" w:fill="4472C4"/>
            <w:vAlign w:val="center"/>
          </w:tcPr>
          <w:p w14:paraId="3C405F3E" w14:textId="77777777" w:rsidR="00990B14" w:rsidRDefault="00000000">
            <w:pPr>
              <w:keepNext/>
              <w:spacing w:before="20" w:after="20"/>
              <w:jc w:val="center"/>
            </w:pPr>
            <w:r>
              <w:rPr>
                <w:b/>
                <w:bCs/>
                <w:i/>
                <w:iCs/>
                <w:color w:val="FFFFFF"/>
                <w:sz w:val="18"/>
                <w:szCs w:val="18"/>
              </w:rPr>
              <w:t>Autónomas</w:t>
            </w:r>
          </w:p>
        </w:tc>
        <w:tc>
          <w:tcPr>
            <w:tcW w:w="2015" w:type="dxa"/>
            <w:shd w:val="clear" w:color="auto" w:fill="4472C4"/>
            <w:vAlign w:val="center"/>
          </w:tcPr>
          <w:p w14:paraId="0C92A3B2" w14:textId="77777777" w:rsidR="00990B14" w:rsidRDefault="00000000">
            <w:pPr>
              <w:keepNext/>
              <w:spacing w:before="20" w:after="20"/>
              <w:jc w:val="center"/>
            </w:pPr>
            <w:r>
              <w:rPr>
                <w:b/>
                <w:bCs/>
                <w:i/>
                <w:iCs/>
                <w:color w:val="FFFFFF"/>
                <w:sz w:val="18"/>
                <w:szCs w:val="18"/>
              </w:rPr>
              <w:t>B-Learning</w:t>
            </w:r>
          </w:p>
        </w:tc>
        <w:tc>
          <w:tcPr>
            <w:tcW w:w="1700" w:type="dxa"/>
            <w:shd w:val="clear" w:color="auto" w:fill="4472C4"/>
            <w:vAlign w:val="center"/>
          </w:tcPr>
          <w:p w14:paraId="709E92CB" w14:textId="77777777" w:rsidR="00990B14" w:rsidRDefault="00000000">
            <w:pPr>
              <w:keepNext/>
              <w:spacing w:before="20" w:after="20"/>
              <w:jc w:val="center"/>
            </w:pPr>
            <w:r>
              <w:rPr>
                <w:b/>
                <w:bCs/>
                <w:i/>
                <w:iCs/>
                <w:color w:val="FFFFFF"/>
                <w:sz w:val="18"/>
                <w:szCs w:val="18"/>
              </w:rPr>
              <w:t>Taller</w:t>
            </w:r>
          </w:p>
        </w:tc>
        <w:tc>
          <w:tcPr>
            <w:tcW w:w="2395" w:type="dxa"/>
            <w:shd w:val="clear" w:color="auto" w:fill="4472C4"/>
            <w:vAlign w:val="center"/>
          </w:tcPr>
          <w:p w14:paraId="0E725941" w14:textId="77777777" w:rsidR="00990B14" w:rsidRDefault="00000000">
            <w:pPr>
              <w:keepNext/>
              <w:spacing w:before="20" w:after="20"/>
              <w:jc w:val="center"/>
            </w:pPr>
            <w:r>
              <w:rPr>
                <w:b/>
                <w:bCs/>
                <w:i/>
                <w:iCs/>
                <w:color w:val="FFFFFF"/>
                <w:sz w:val="18"/>
                <w:szCs w:val="18"/>
              </w:rPr>
              <w:t>Investigación/Práctica</w:t>
            </w:r>
          </w:p>
        </w:tc>
      </w:tr>
      <w:tr w:rsidR="00990B14" w14:paraId="427D2FC9" w14:textId="77777777">
        <w:trPr>
          <w:jc w:val="center"/>
        </w:trPr>
        <w:tc>
          <w:tcPr>
            <w:tcW w:w="1700" w:type="dxa"/>
            <w:shd w:val="clear" w:color="auto" w:fill="D9E2F3"/>
          </w:tcPr>
          <w:p w14:paraId="72BC238A" w14:textId="77777777" w:rsidR="00990B14" w:rsidRDefault="00000000">
            <w:pPr>
              <w:numPr>
                <w:ilvl w:val="0"/>
                <w:numId w:val="139"/>
              </w:numPr>
              <w:spacing w:before="10" w:after="10"/>
              <w:jc w:val="both"/>
            </w:pPr>
            <w:r>
              <w:rPr>
                <w:sz w:val="18"/>
                <w:szCs w:val="18"/>
              </w:rPr>
              <w:t>Exposición dialogada de los fundamentos de la ética, de las corrientes de la filosofía moral y de los valores del profesional.</w:t>
            </w:r>
          </w:p>
          <w:p w14:paraId="36AC63B0" w14:textId="77777777" w:rsidR="00990B14" w:rsidRDefault="00000000">
            <w:pPr>
              <w:numPr>
                <w:ilvl w:val="0"/>
                <w:numId w:val="139"/>
              </w:numPr>
              <w:spacing w:before="10" w:after="10"/>
              <w:jc w:val="both"/>
            </w:pPr>
            <w:r>
              <w:rPr>
                <w:sz w:val="18"/>
                <w:szCs w:val="18"/>
              </w:rPr>
              <w:t>Análisis de casos de fraude, corrupción y dilemas éticos del Contador Público.</w:t>
            </w:r>
          </w:p>
          <w:p w14:paraId="0E7928D6" w14:textId="77777777" w:rsidR="00990B14" w:rsidRDefault="00000000">
            <w:pPr>
              <w:numPr>
                <w:ilvl w:val="0"/>
                <w:numId w:val="139"/>
              </w:numPr>
              <w:spacing w:before="10" w:after="10"/>
              <w:jc w:val="both"/>
            </w:pPr>
            <w:r>
              <w:rPr>
                <w:sz w:val="18"/>
                <w:szCs w:val="18"/>
              </w:rPr>
              <w:t>Lectura guiada de las partes del Código de Ética y de sus revisiones recientes.</w:t>
            </w:r>
          </w:p>
          <w:p w14:paraId="592061AC" w14:textId="77777777" w:rsidR="00990B14" w:rsidRDefault="00000000">
            <w:pPr>
              <w:numPr>
                <w:ilvl w:val="0"/>
                <w:numId w:val="139"/>
              </w:numPr>
              <w:spacing w:before="10" w:after="10"/>
              <w:jc w:val="both"/>
            </w:pPr>
            <w:r>
              <w:rPr>
                <w:sz w:val="18"/>
                <w:szCs w:val="18"/>
              </w:rPr>
              <w:t>Resolución guiada de casos de amenazas y salvaguardas con el marco conceptual.</w:t>
            </w:r>
          </w:p>
          <w:p w14:paraId="4A4FEBB6" w14:textId="77777777" w:rsidR="00990B14" w:rsidRDefault="00000000">
            <w:pPr>
              <w:numPr>
                <w:ilvl w:val="0"/>
                <w:numId w:val="139"/>
              </w:numPr>
              <w:spacing w:before="10" w:after="10"/>
              <w:jc w:val="both"/>
            </w:pPr>
            <w:r>
              <w:rPr>
                <w:sz w:val="18"/>
                <w:szCs w:val="18"/>
              </w:rPr>
              <w:t>Preguntas de comprensión sobre la independencia en los encargos de auditoría y de aseguramiento.</w:t>
            </w:r>
          </w:p>
        </w:tc>
        <w:tc>
          <w:tcPr>
            <w:tcW w:w="1595" w:type="dxa"/>
            <w:shd w:val="clear" w:color="auto" w:fill="D9E2F3"/>
          </w:tcPr>
          <w:p w14:paraId="771271FE" w14:textId="77777777" w:rsidR="00990B14" w:rsidRDefault="00000000">
            <w:pPr>
              <w:numPr>
                <w:ilvl w:val="0"/>
                <w:numId w:val="139"/>
              </w:numPr>
              <w:spacing w:before="10" w:after="10"/>
              <w:jc w:val="both"/>
            </w:pPr>
            <w:r>
              <w:rPr>
                <w:sz w:val="18"/>
                <w:szCs w:val="18"/>
              </w:rPr>
              <w:t>Lectura del Código Internacional de Ética para Profesionales de la Contabilidad.</w:t>
            </w:r>
          </w:p>
          <w:p w14:paraId="19AC050D" w14:textId="77777777" w:rsidR="00990B14" w:rsidRDefault="00000000">
            <w:pPr>
              <w:numPr>
                <w:ilvl w:val="0"/>
                <w:numId w:val="139"/>
              </w:numPr>
              <w:spacing w:before="10" w:after="10"/>
              <w:jc w:val="both"/>
            </w:pPr>
            <w:r>
              <w:rPr>
                <w:sz w:val="18"/>
                <w:szCs w:val="18"/>
              </w:rPr>
              <w:t>Análisis de casos de dilemas éticos del ejercicio profesional.</w:t>
            </w:r>
          </w:p>
          <w:p w14:paraId="774A8D39" w14:textId="77777777" w:rsidR="00990B14" w:rsidRDefault="00000000">
            <w:pPr>
              <w:numPr>
                <w:ilvl w:val="0"/>
                <w:numId w:val="139"/>
              </w:numPr>
              <w:spacing w:before="10" w:after="10"/>
              <w:jc w:val="both"/>
            </w:pPr>
            <w:r>
              <w:rPr>
                <w:sz w:val="18"/>
                <w:szCs w:val="18"/>
              </w:rPr>
              <w:t>Redacción de un ensayo sobre la ética personal y la ética profesional.</w:t>
            </w:r>
          </w:p>
          <w:p w14:paraId="0218CB2E" w14:textId="77777777" w:rsidR="00990B14" w:rsidRDefault="00000000">
            <w:pPr>
              <w:numPr>
                <w:ilvl w:val="0"/>
                <w:numId w:val="139"/>
              </w:numPr>
              <w:spacing w:before="10" w:after="10"/>
              <w:jc w:val="both"/>
            </w:pPr>
            <w:r>
              <w:rPr>
                <w:sz w:val="18"/>
                <w:szCs w:val="18"/>
              </w:rPr>
              <w:t>Comparación del Código Internacional de Ética con el Código de Ética del Auditor Gubernamental de Bolivia.</w:t>
            </w:r>
          </w:p>
        </w:tc>
        <w:tc>
          <w:tcPr>
            <w:tcW w:w="2015" w:type="dxa"/>
            <w:shd w:val="clear" w:color="auto" w:fill="D9E2F3"/>
          </w:tcPr>
          <w:p w14:paraId="0C3766C6" w14:textId="77777777" w:rsidR="00990B14" w:rsidRDefault="00000000">
            <w:pPr>
              <w:numPr>
                <w:ilvl w:val="0"/>
                <w:numId w:val="139"/>
              </w:numPr>
              <w:spacing w:before="10" w:after="10"/>
              <w:jc w:val="both"/>
            </w:pPr>
            <w:r>
              <w:rPr>
                <w:sz w:val="18"/>
                <w:szCs w:val="18"/>
              </w:rPr>
              <w:t>Cuestionarios de comprensión de cada tema en la plataforma Moodle UMSA.</w:t>
            </w:r>
          </w:p>
          <w:p w14:paraId="446E8336" w14:textId="77777777" w:rsidR="00990B14" w:rsidRDefault="00000000">
            <w:pPr>
              <w:numPr>
                <w:ilvl w:val="0"/>
                <w:numId w:val="139"/>
              </w:numPr>
              <w:spacing w:before="10" w:after="10"/>
              <w:jc w:val="both"/>
            </w:pPr>
            <w:r>
              <w:rPr>
                <w:sz w:val="18"/>
                <w:szCs w:val="18"/>
              </w:rPr>
              <w:t>Foros de debate sobre casos de fraude y corrupción.</w:t>
            </w:r>
          </w:p>
          <w:p w14:paraId="5EAC91D0" w14:textId="77777777" w:rsidR="00990B14" w:rsidRDefault="00000000">
            <w:pPr>
              <w:numPr>
                <w:ilvl w:val="0"/>
                <w:numId w:val="139"/>
              </w:numPr>
              <w:spacing w:before="10" w:after="10"/>
              <w:jc w:val="both"/>
            </w:pPr>
            <w:r>
              <w:rPr>
                <w:sz w:val="18"/>
                <w:szCs w:val="18"/>
              </w:rPr>
              <w:t>Videotutoriales sobre el marco conceptual de amenazas y salvaguardas.</w:t>
            </w:r>
          </w:p>
          <w:p w14:paraId="1D62B600" w14:textId="77777777" w:rsidR="00990B14" w:rsidRDefault="00000000">
            <w:pPr>
              <w:numPr>
                <w:ilvl w:val="0"/>
                <w:numId w:val="139"/>
              </w:numPr>
              <w:spacing w:before="10" w:after="10"/>
              <w:jc w:val="both"/>
            </w:pPr>
            <w:r>
              <w:rPr>
                <w:sz w:val="18"/>
                <w:szCs w:val="18"/>
              </w:rPr>
              <w:t>Entrega y retroalimentación en la plataforma Moodle UMSA de los casos de evaluación de la independencia del equipo del encargo ante distintas relaciones con el cliente.</w:t>
            </w:r>
          </w:p>
        </w:tc>
        <w:tc>
          <w:tcPr>
            <w:tcW w:w="1700" w:type="dxa"/>
            <w:shd w:val="clear" w:color="auto" w:fill="D9E2F3"/>
          </w:tcPr>
          <w:p w14:paraId="6EECE4E1" w14:textId="77777777" w:rsidR="00990B14" w:rsidRDefault="00000000">
            <w:pPr>
              <w:numPr>
                <w:ilvl w:val="0"/>
                <w:numId w:val="139"/>
              </w:numPr>
              <w:spacing w:before="10" w:after="10"/>
              <w:jc w:val="both"/>
            </w:pPr>
            <w:r>
              <w:rPr>
                <w:sz w:val="18"/>
                <w:szCs w:val="18"/>
              </w:rPr>
              <w:t>Análisis colaborativo de dilemas éticos del Contador Público con las corrientes de la filosofía moral.</w:t>
            </w:r>
          </w:p>
          <w:p w14:paraId="11158580" w14:textId="77777777" w:rsidR="00990B14" w:rsidRDefault="00000000">
            <w:pPr>
              <w:numPr>
                <w:ilvl w:val="0"/>
                <w:numId w:val="139"/>
              </w:numPr>
              <w:spacing w:before="10" w:after="10"/>
              <w:jc w:val="both"/>
            </w:pPr>
            <w:r>
              <w:rPr>
                <w:sz w:val="18"/>
                <w:szCs w:val="18"/>
              </w:rPr>
              <w:t>Análisis guiado de amenazas a la independencia en casos de auditoría.</w:t>
            </w:r>
          </w:p>
          <w:p w14:paraId="01AF396C" w14:textId="77777777" w:rsidR="00990B14" w:rsidRDefault="00000000">
            <w:pPr>
              <w:numPr>
                <w:ilvl w:val="0"/>
                <w:numId w:val="139"/>
              </w:numPr>
              <w:spacing w:before="10" w:after="10"/>
              <w:jc w:val="both"/>
            </w:pPr>
            <w:r>
              <w:rPr>
                <w:sz w:val="18"/>
                <w:szCs w:val="18"/>
              </w:rPr>
              <w:t>Revisión cruzada de informes de aseguramiento entre equipos.</w:t>
            </w:r>
          </w:p>
          <w:p w14:paraId="3A3AA75F" w14:textId="77777777" w:rsidR="00990B14" w:rsidRDefault="00000000">
            <w:pPr>
              <w:numPr>
                <w:ilvl w:val="0"/>
                <w:numId w:val="139"/>
              </w:numPr>
              <w:spacing w:before="10" w:after="10"/>
              <w:jc w:val="both"/>
            </w:pPr>
            <w:r>
              <w:rPr>
                <w:sz w:val="18"/>
                <w:szCs w:val="18"/>
              </w:rPr>
              <w:t>Resolución de un dilema ético con el marco conceptual del Código y documentación de la conclusión.</w:t>
            </w:r>
          </w:p>
          <w:p w14:paraId="7733B7C2" w14:textId="77777777" w:rsidR="00990B14" w:rsidRDefault="00000000">
            <w:pPr>
              <w:numPr>
                <w:ilvl w:val="0"/>
                <w:numId w:val="139"/>
              </w:numPr>
              <w:spacing w:before="10" w:after="10"/>
              <w:jc w:val="both"/>
            </w:pPr>
            <w:r>
              <w:rPr>
                <w:sz w:val="18"/>
                <w:szCs w:val="18"/>
              </w:rPr>
              <w:t>Simulación de un comité de ética que decide la aceptación o el rechazo de un encargo que compromete la independencia.</w:t>
            </w:r>
          </w:p>
        </w:tc>
        <w:tc>
          <w:tcPr>
            <w:tcW w:w="2395" w:type="dxa"/>
            <w:shd w:val="clear" w:color="auto" w:fill="D9E2F3"/>
          </w:tcPr>
          <w:p w14:paraId="161D92ED" w14:textId="77777777" w:rsidR="00990B14" w:rsidRDefault="00000000">
            <w:pPr>
              <w:numPr>
                <w:ilvl w:val="0"/>
                <w:numId w:val="139"/>
              </w:numPr>
              <w:spacing w:before="10" w:after="10"/>
              <w:jc w:val="both"/>
            </w:pPr>
            <w:r>
              <w:rPr>
                <w:sz w:val="18"/>
                <w:szCs w:val="18"/>
              </w:rPr>
              <w:t>Revisión de casos de corrupción y fraude en empresas o entidades bolivianas.</w:t>
            </w:r>
          </w:p>
          <w:p w14:paraId="079A54E9" w14:textId="77777777" w:rsidR="00990B14" w:rsidRDefault="00000000">
            <w:pPr>
              <w:numPr>
                <w:ilvl w:val="0"/>
                <w:numId w:val="139"/>
              </w:numPr>
              <w:spacing w:before="10" w:after="10"/>
              <w:jc w:val="both"/>
            </w:pPr>
            <w:r>
              <w:rPr>
                <w:sz w:val="18"/>
                <w:szCs w:val="18"/>
              </w:rPr>
              <w:t>Revisión de los códigos de conducta y de los canales de denuncia de entidades bolivianas, con su autorización.</w:t>
            </w:r>
          </w:p>
          <w:p w14:paraId="46B814B5" w14:textId="77777777" w:rsidR="00990B14" w:rsidRDefault="00000000">
            <w:pPr>
              <w:numPr>
                <w:ilvl w:val="0"/>
                <w:numId w:val="139"/>
              </w:numPr>
              <w:spacing w:before="10" w:after="10"/>
              <w:jc w:val="both"/>
            </w:pPr>
            <w:r>
              <w:rPr>
                <w:sz w:val="18"/>
                <w:szCs w:val="18"/>
              </w:rPr>
              <w:t>Análisis de la aplicación de herramientas tecnológicas en la práctica contable y de sus implicaciones éticas.</w:t>
            </w:r>
          </w:p>
          <w:p w14:paraId="1EFF4816" w14:textId="77777777" w:rsidR="00990B14" w:rsidRDefault="00000000">
            <w:pPr>
              <w:numPr>
                <w:ilvl w:val="0"/>
                <w:numId w:val="139"/>
              </w:numPr>
              <w:spacing w:before="10" w:after="10"/>
              <w:jc w:val="both"/>
            </w:pPr>
            <w:r>
              <w:rPr>
                <w:sz w:val="18"/>
                <w:szCs w:val="18"/>
              </w:rPr>
              <w:t>Revisión de las disposiciones del Código de Ética sobre planificación fiscal y sobre información de sostenibilidad en casos de entidades reales.</w:t>
            </w:r>
          </w:p>
        </w:tc>
      </w:tr>
    </w:tbl>
    <w:p w14:paraId="579F09E9"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545"/>
        <w:gridCol w:w="1815"/>
        <w:gridCol w:w="2120"/>
        <w:gridCol w:w="1910"/>
        <w:gridCol w:w="2015"/>
      </w:tblGrid>
      <w:tr w:rsidR="00990B14" w14:paraId="0EB37239" w14:textId="77777777">
        <w:trPr>
          <w:jc w:val="center"/>
        </w:trPr>
        <w:tc>
          <w:tcPr>
            <w:tcW w:w="1545" w:type="dxa"/>
            <w:shd w:val="clear" w:color="auto" w:fill="4472C4"/>
            <w:vAlign w:val="center"/>
          </w:tcPr>
          <w:p w14:paraId="0B4C0BF6" w14:textId="77777777" w:rsidR="00990B14" w:rsidRDefault="00000000">
            <w:pPr>
              <w:spacing w:before="20" w:after="20"/>
              <w:jc w:val="center"/>
            </w:pPr>
            <w:r>
              <w:rPr>
                <w:b/>
                <w:bCs/>
                <w:i/>
                <w:iCs/>
                <w:color w:val="FFFFFF"/>
                <w:sz w:val="18"/>
                <w:szCs w:val="18"/>
              </w:rPr>
              <w:t>Estrategias de aprendizaje y enseñanza</w:t>
            </w:r>
          </w:p>
        </w:tc>
        <w:tc>
          <w:tcPr>
            <w:tcW w:w="7860" w:type="dxa"/>
            <w:gridSpan w:val="4"/>
            <w:shd w:val="clear" w:color="auto" w:fill="D9E2F3"/>
            <w:vAlign w:val="center"/>
          </w:tcPr>
          <w:p w14:paraId="7F738773" w14:textId="77777777" w:rsidR="00990B14" w:rsidRDefault="00000000">
            <w:pPr>
              <w:numPr>
                <w:ilvl w:val="0"/>
                <w:numId w:val="140"/>
              </w:numPr>
              <w:spacing w:before="10" w:after="10"/>
              <w:jc w:val="both"/>
            </w:pPr>
            <w:r>
              <w:rPr>
                <w:sz w:val="18"/>
                <w:szCs w:val="18"/>
              </w:rPr>
              <w:t>Aprendizaje basado en el análisis de dilemas éticos reales.</w:t>
            </w:r>
          </w:p>
          <w:p w14:paraId="0E2031A1" w14:textId="77777777" w:rsidR="00990B14" w:rsidRDefault="00000000">
            <w:pPr>
              <w:numPr>
                <w:ilvl w:val="0"/>
                <w:numId w:val="140"/>
              </w:numPr>
              <w:spacing w:before="10" w:after="10"/>
              <w:jc w:val="both"/>
            </w:pPr>
            <w:r>
              <w:rPr>
                <w:sz w:val="18"/>
                <w:szCs w:val="18"/>
              </w:rPr>
              <w:t>Estudio de casos de amenazas a la independencia del auditor.</w:t>
            </w:r>
          </w:p>
          <w:p w14:paraId="041CA1DE" w14:textId="77777777" w:rsidR="00990B14" w:rsidRDefault="00000000">
            <w:pPr>
              <w:numPr>
                <w:ilvl w:val="0"/>
                <w:numId w:val="140"/>
              </w:numPr>
              <w:spacing w:before="10" w:after="10"/>
              <w:jc w:val="both"/>
            </w:pPr>
            <w:r>
              <w:rPr>
                <w:sz w:val="18"/>
                <w:szCs w:val="18"/>
              </w:rPr>
              <w:t>Debate estructurado sobre ética empresarial, responsabilidad social y dilemas éticos del ejercicio profesional, con sustento en el Código.</w:t>
            </w:r>
          </w:p>
          <w:p w14:paraId="597A73D9" w14:textId="77777777" w:rsidR="00990B14" w:rsidRDefault="00000000">
            <w:pPr>
              <w:numPr>
                <w:ilvl w:val="0"/>
                <w:numId w:val="140"/>
              </w:numPr>
              <w:spacing w:before="10" w:after="10"/>
              <w:jc w:val="both"/>
            </w:pPr>
            <w:r>
              <w:rPr>
                <w:sz w:val="18"/>
                <w:szCs w:val="18"/>
              </w:rPr>
              <w:t>Trabajo colaborativo en equipos de análisis normativo.</w:t>
            </w:r>
          </w:p>
          <w:p w14:paraId="49BB407F" w14:textId="77777777" w:rsidR="00990B14" w:rsidRDefault="00000000">
            <w:pPr>
              <w:numPr>
                <w:ilvl w:val="0"/>
                <w:numId w:val="140"/>
              </w:numPr>
              <w:spacing w:before="10" w:after="10"/>
              <w:jc w:val="both"/>
            </w:pPr>
            <w:r>
              <w:rPr>
                <w:sz w:val="18"/>
                <w:szCs w:val="18"/>
              </w:rPr>
              <w:t>Clase invertida para la estructura del Código Internacional de Ética.</w:t>
            </w:r>
          </w:p>
          <w:p w14:paraId="2FA61ADC" w14:textId="77777777" w:rsidR="00990B14" w:rsidRDefault="00000000">
            <w:pPr>
              <w:numPr>
                <w:ilvl w:val="0"/>
                <w:numId w:val="140"/>
              </w:numPr>
              <w:spacing w:before="10" w:after="10"/>
              <w:jc w:val="both"/>
            </w:pPr>
            <w:r>
              <w:rPr>
                <w:sz w:val="18"/>
                <w:szCs w:val="18"/>
              </w:rPr>
              <w:t>Reflexión guiada sobre la función social del Contador Público.</w:t>
            </w:r>
          </w:p>
          <w:p w14:paraId="126131C8" w14:textId="77777777" w:rsidR="00990B14" w:rsidRDefault="00000000">
            <w:pPr>
              <w:numPr>
                <w:ilvl w:val="0"/>
                <w:numId w:val="140"/>
              </w:numPr>
              <w:spacing w:before="10" w:after="10"/>
              <w:jc w:val="both"/>
            </w:pPr>
            <w:r>
              <w:rPr>
                <w:sz w:val="18"/>
                <w:szCs w:val="18"/>
              </w:rPr>
              <w:t>Simulación de un comité de ética para la toma de decisiones de aceptación de encargos.</w:t>
            </w:r>
          </w:p>
          <w:p w14:paraId="35BF808D" w14:textId="77777777" w:rsidR="00990B14" w:rsidRDefault="00000000">
            <w:pPr>
              <w:numPr>
                <w:ilvl w:val="0"/>
                <w:numId w:val="140"/>
              </w:numPr>
              <w:spacing w:before="10" w:after="10"/>
              <w:jc w:val="both"/>
            </w:pPr>
            <w:r>
              <w:rPr>
                <w:sz w:val="18"/>
                <w:szCs w:val="18"/>
              </w:rPr>
              <w:t>Práctica con herramientas tecnológicas con verificación de sus resultados por el estudiante.</w:t>
            </w:r>
          </w:p>
        </w:tc>
      </w:tr>
      <w:tr w:rsidR="00990B14" w14:paraId="457352BB" w14:textId="77777777">
        <w:trPr>
          <w:jc w:val="center"/>
        </w:trPr>
        <w:tc>
          <w:tcPr>
            <w:tcW w:w="1545" w:type="dxa"/>
            <w:shd w:val="clear" w:color="auto" w:fill="4472C4"/>
            <w:vAlign w:val="center"/>
          </w:tcPr>
          <w:p w14:paraId="1531B5BF" w14:textId="77777777" w:rsidR="00990B14" w:rsidRDefault="00000000">
            <w:pPr>
              <w:spacing w:before="20" w:after="20"/>
              <w:jc w:val="center"/>
            </w:pPr>
            <w:r>
              <w:rPr>
                <w:b/>
                <w:bCs/>
                <w:i/>
                <w:iCs/>
                <w:color w:val="FFFFFF"/>
                <w:sz w:val="18"/>
                <w:szCs w:val="18"/>
              </w:rPr>
              <w:t>Recursos para el aprendizaje</w:t>
            </w:r>
          </w:p>
        </w:tc>
        <w:tc>
          <w:tcPr>
            <w:tcW w:w="7860" w:type="dxa"/>
            <w:gridSpan w:val="4"/>
            <w:shd w:val="clear" w:color="auto" w:fill="D9E2F3"/>
            <w:vAlign w:val="center"/>
          </w:tcPr>
          <w:p w14:paraId="2F162D57" w14:textId="77777777" w:rsidR="00990B14" w:rsidRDefault="00000000">
            <w:pPr>
              <w:numPr>
                <w:ilvl w:val="0"/>
                <w:numId w:val="140"/>
              </w:numPr>
              <w:spacing w:before="10" w:after="10"/>
              <w:jc w:val="both"/>
            </w:pPr>
            <w:r>
              <w:rPr>
                <w:sz w:val="18"/>
                <w:szCs w:val="18"/>
              </w:rPr>
              <w:t>Plataforma Moodle UMSA.</w:t>
            </w:r>
          </w:p>
          <w:p w14:paraId="00D62AFE" w14:textId="77777777" w:rsidR="00990B14" w:rsidRDefault="00000000">
            <w:pPr>
              <w:numPr>
                <w:ilvl w:val="0"/>
                <w:numId w:val="140"/>
              </w:numPr>
              <w:spacing w:before="10" w:after="10"/>
              <w:jc w:val="both"/>
            </w:pPr>
            <w:r>
              <w:rPr>
                <w:sz w:val="18"/>
                <w:szCs w:val="18"/>
              </w:rPr>
              <w:t>Código Internacional de Ética para Profesionales de la Contabilidad, en su edición vigente, y su manual.</w:t>
            </w:r>
          </w:p>
          <w:p w14:paraId="333BF138" w14:textId="77777777" w:rsidR="00990B14" w:rsidRDefault="00000000">
            <w:pPr>
              <w:numPr>
                <w:ilvl w:val="0"/>
                <w:numId w:val="140"/>
              </w:numPr>
              <w:spacing w:before="10" w:after="10"/>
              <w:jc w:val="both"/>
            </w:pPr>
            <w:r>
              <w:rPr>
                <w:sz w:val="18"/>
                <w:szCs w:val="18"/>
              </w:rPr>
              <w:t>Código de Ética del Auditor Gubernamental de la Contraloría General del Estado.</w:t>
            </w:r>
          </w:p>
          <w:p w14:paraId="1DA1CBDC" w14:textId="77777777" w:rsidR="00990B14" w:rsidRDefault="00000000">
            <w:pPr>
              <w:numPr>
                <w:ilvl w:val="0"/>
                <w:numId w:val="140"/>
              </w:numPr>
              <w:spacing w:before="10" w:after="10"/>
              <w:jc w:val="both"/>
            </w:pPr>
            <w:r>
              <w:rPr>
                <w:sz w:val="18"/>
                <w:szCs w:val="18"/>
              </w:rPr>
              <w:t>Normas de auditoría y de aseguramiento del Consejo de Normas Internacionales de Auditoría y Aseguramiento.</w:t>
            </w:r>
          </w:p>
          <w:p w14:paraId="63168615" w14:textId="77777777" w:rsidR="00990B14" w:rsidRDefault="00000000">
            <w:pPr>
              <w:numPr>
                <w:ilvl w:val="0"/>
                <w:numId w:val="140"/>
              </w:numPr>
              <w:spacing w:before="10" w:after="10"/>
              <w:jc w:val="both"/>
            </w:pPr>
            <w:r>
              <w:rPr>
                <w:sz w:val="18"/>
                <w:szCs w:val="18"/>
              </w:rPr>
              <w:t>Casos de dilemas éticos, de amenazas a la independencia y de decisión de aceptación de encargos, y formularios de declaración de independencia, elaborados por la cátedra.</w:t>
            </w:r>
          </w:p>
          <w:p w14:paraId="7222BCF0" w14:textId="77777777" w:rsidR="00990B14" w:rsidRDefault="00000000">
            <w:pPr>
              <w:numPr>
                <w:ilvl w:val="0"/>
                <w:numId w:val="140"/>
              </w:numPr>
              <w:spacing w:before="10" w:after="10"/>
              <w:jc w:val="both"/>
            </w:pPr>
            <w:r>
              <w:rPr>
                <w:sz w:val="18"/>
                <w:szCs w:val="18"/>
              </w:rPr>
              <w:t>Hoja de cálculo Microsoft Excel y asistente de inteligencia artificial Microsoft Copilot, ambos de Office 365, para el análisis de casos y la documentación del análisis ético.</w:t>
            </w:r>
          </w:p>
          <w:p w14:paraId="39B73B86" w14:textId="77777777" w:rsidR="00990B14" w:rsidRDefault="00000000">
            <w:pPr>
              <w:numPr>
                <w:ilvl w:val="0"/>
                <w:numId w:val="140"/>
              </w:numPr>
              <w:spacing w:before="10" w:after="10"/>
              <w:jc w:val="both"/>
            </w:pPr>
            <w:r>
              <w:rPr>
                <w:sz w:val="18"/>
                <w:szCs w:val="18"/>
              </w:rPr>
              <w:t>Aula con computadores o equipos portátiles de los estudiantes con acceso a internet.</w:t>
            </w:r>
          </w:p>
        </w:tc>
      </w:tr>
      <w:tr w:rsidR="00990B14" w14:paraId="6BFDFC7F" w14:textId="77777777">
        <w:trPr>
          <w:jc w:val="center"/>
        </w:trPr>
        <w:tc>
          <w:tcPr>
            <w:tcW w:w="1545" w:type="dxa"/>
            <w:shd w:val="clear" w:color="auto" w:fill="4472C4"/>
            <w:vAlign w:val="center"/>
          </w:tcPr>
          <w:p w14:paraId="74399B9C" w14:textId="77777777" w:rsidR="00990B14" w:rsidRDefault="00000000">
            <w:pPr>
              <w:spacing w:before="20" w:after="20"/>
              <w:jc w:val="center"/>
            </w:pPr>
            <w:r>
              <w:rPr>
                <w:b/>
                <w:bCs/>
                <w:i/>
                <w:iCs/>
                <w:color w:val="FFFFFF"/>
                <w:sz w:val="18"/>
                <w:szCs w:val="18"/>
              </w:rPr>
              <w:t>Estrategias de evaluación</w:t>
            </w:r>
          </w:p>
        </w:tc>
        <w:tc>
          <w:tcPr>
            <w:tcW w:w="7860" w:type="dxa"/>
            <w:gridSpan w:val="4"/>
            <w:shd w:val="clear" w:color="auto" w:fill="D9E2F3"/>
            <w:vAlign w:val="center"/>
          </w:tcPr>
          <w:p w14:paraId="61139B0B" w14:textId="77777777" w:rsidR="00990B14" w:rsidRDefault="00000000">
            <w:pPr>
              <w:numPr>
                <w:ilvl w:val="0"/>
                <w:numId w:val="140"/>
              </w:numPr>
              <w:spacing w:before="10" w:after="10"/>
              <w:jc w:val="both"/>
            </w:pPr>
            <w:r>
              <w:rPr>
                <w:sz w:val="18"/>
                <w:szCs w:val="18"/>
              </w:rPr>
              <w:t>Evaluación diagnóstica: prueba inicial sobre los conocimientos previos de contabilidad internacional, de costos, de bancos y gubernamental.</w:t>
            </w:r>
          </w:p>
          <w:p w14:paraId="482FDA13" w14:textId="77777777" w:rsidR="00990B14" w:rsidRDefault="00000000">
            <w:pPr>
              <w:numPr>
                <w:ilvl w:val="0"/>
                <w:numId w:val="140"/>
              </w:numPr>
              <w:spacing w:before="10" w:after="10"/>
              <w:jc w:val="both"/>
            </w:pPr>
            <w:r>
              <w:rPr>
                <w:sz w:val="18"/>
                <w:szCs w:val="18"/>
              </w:rPr>
              <w:t>Evaluación formativa: preguntas de comprensión y desarrollo de ejercicios prácticos en el aula, con retroalimentación continua, autoevaluación y coevaluación.</w:t>
            </w:r>
          </w:p>
          <w:p w14:paraId="6ECDE603" w14:textId="77777777" w:rsidR="00990B14" w:rsidRDefault="00000000">
            <w:pPr>
              <w:numPr>
                <w:ilvl w:val="0"/>
                <w:numId w:val="140"/>
              </w:numPr>
              <w:spacing w:before="10" w:after="10"/>
              <w:jc w:val="both"/>
            </w:pPr>
            <w:r>
              <w:rPr>
                <w:sz w:val="18"/>
                <w:szCs w:val="18"/>
              </w:rPr>
              <w:t>Evaluación sumativa: tres evaluaciones que califican los productos del itinerario con sus rúbricas, la primera sobre los Elementos 1 y 2, la segunda sobre los Elementos 3 y 4 y la tercera sobre el Elemento 5.</w:t>
            </w:r>
          </w:p>
        </w:tc>
      </w:tr>
      <w:tr w:rsidR="00990B14" w14:paraId="127C28F7" w14:textId="77777777">
        <w:trPr>
          <w:jc w:val="center"/>
        </w:trPr>
        <w:tc>
          <w:tcPr>
            <w:tcW w:w="1545" w:type="dxa"/>
            <w:shd w:val="clear" w:color="auto" w:fill="4472C4"/>
            <w:vAlign w:val="center"/>
          </w:tcPr>
          <w:p w14:paraId="09CC7446" w14:textId="77777777" w:rsidR="00990B14" w:rsidRDefault="00000000">
            <w:pPr>
              <w:spacing w:before="20" w:after="20"/>
              <w:jc w:val="center"/>
            </w:pPr>
            <w:r>
              <w:rPr>
                <w:b/>
                <w:bCs/>
                <w:i/>
                <w:iCs/>
                <w:color w:val="FFFFFF"/>
                <w:sz w:val="18"/>
                <w:szCs w:val="18"/>
              </w:rPr>
              <w:t>Criterios de calificación</w:t>
            </w:r>
          </w:p>
        </w:tc>
        <w:tc>
          <w:tcPr>
            <w:tcW w:w="7860" w:type="dxa"/>
            <w:gridSpan w:val="4"/>
            <w:shd w:val="clear" w:color="auto" w:fill="D9E2F3"/>
            <w:vAlign w:val="center"/>
          </w:tcPr>
          <w:p w14:paraId="039556B5" w14:textId="77777777" w:rsidR="00990B14" w:rsidRDefault="00000000">
            <w:pPr>
              <w:numPr>
                <w:ilvl w:val="0"/>
                <w:numId w:val="140"/>
              </w:numPr>
              <w:spacing w:before="10" w:after="10"/>
              <w:jc w:val="both"/>
            </w:pPr>
            <w:r>
              <w:rPr>
                <w:sz w:val="18"/>
                <w:szCs w:val="18"/>
              </w:rPr>
              <w:t>Nota mínima de aprobación: 51/100.</w:t>
            </w:r>
          </w:p>
          <w:p w14:paraId="132C16DA" w14:textId="77777777" w:rsidR="00990B14" w:rsidRDefault="00000000">
            <w:pPr>
              <w:numPr>
                <w:ilvl w:val="0"/>
                <w:numId w:val="140"/>
              </w:numPr>
              <w:spacing w:before="10" w:after="10"/>
              <w:jc w:val="both"/>
            </w:pPr>
            <w:r>
              <w:rPr>
                <w:sz w:val="18"/>
                <w:szCs w:val="18"/>
              </w:rPr>
              <w:t>La calificación se obtiene en tres evaluaciones sumativas: la primera, de los Productos 1 a 8, con 35 puntos; la segunda, de los Productos 9 a 16, con 35 puntos; y la tercera, de los Productos 17 a 20, con 30 puntos.</w:t>
            </w:r>
          </w:p>
          <w:p w14:paraId="1D756C69" w14:textId="77777777" w:rsidR="00990B14" w:rsidRDefault="00000000">
            <w:pPr>
              <w:numPr>
                <w:ilvl w:val="0"/>
                <w:numId w:val="140"/>
              </w:numPr>
              <w:spacing w:before="10" w:after="10"/>
              <w:jc w:val="both"/>
            </w:pPr>
            <w:r>
              <w:rPr>
                <w:sz w:val="18"/>
                <w:szCs w:val="18"/>
              </w:rPr>
              <w:t>Cada evidencia de producto se evalúa con su propia rúbrica de tres niveles de logro: Insuficiente, de 1 a 50; Suficiente, de 51 a 80; y Destacado, de 81 a 100.</w:t>
            </w:r>
          </w:p>
          <w:p w14:paraId="3CCCA900" w14:textId="77777777" w:rsidR="00990B14" w:rsidRDefault="00000000">
            <w:pPr>
              <w:numPr>
                <w:ilvl w:val="0"/>
                <w:numId w:val="140"/>
              </w:numPr>
              <w:spacing w:before="10" w:after="10"/>
              <w:jc w:val="both"/>
            </w:pPr>
            <w:r>
              <w:rPr>
                <w:sz w:val="18"/>
                <w:szCs w:val="18"/>
              </w:rPr>
              <w:t>La calificación de cada elemento de competencia suma las calificaciones de sus evidencias de producto, y la nota final suma las de los cinco elementos.</w:t>
            </w:r>
          </w:p>
        </w:tc>
      </w:tr>
      <w:tr w:rsidR="00990B14" w14:paraId="13F6757B" w14:textId="77777777">
        <w:trPr>
          <w:cantSplit/>
          <w:jc w:val="center"/>
        </w:trPr>
        <w:tc>
          <w:tcPr>
            <w:tcW w:w="1545" w:type="dxa"/>
            <w:vMerge w:val="restart"/>
            <w:shd w:val="clear" w:color="auto" w:fill="4472C4"/>
            <w:vAlign w:val="center"/>
          </w:tcPr>
          <w:p w14:paraId="403C358A" w14:textId="77777777" w:rsidR="00990B14" w:rsidRDefault="00000000">
            <w:pPr>
              <w:spacing w:before="20" w:after="20"/>
              <w:jc w:val="center"/>
            </w:pPr>
            <w:r>
              <w:rPr>
                <w:b/>
                <w:bCs/>
                <w:i/>
                <w:iCs/>
                <w:color w:val="FFFFFF"/>
                <w:sz w:val="18"/>
                <w:szCs w:val="18"/>
              </w:rPr>
              <w:t>Niveles de logro y distribución de la calificación</w:t>
            </w:r>
          </w:p>
        </w:tc>
        <w:tc>
          <w:tcPr>
            <w:tcW w:w="5845" w:type="dxa"/>
            <w:gridSpan w:val="3"/>
            <w:shd w:val="clear" w:color="auto" w:fill="D9E2F3"/>
            <w:vAlign w:val="center"/>
          </w:tcPr>
          <w:p w14:paraId="60DED69B" w14:textId="77777777" w:rsidR="00990B14" w:rsidRDefault="00000000">
            <w:pPr>
              <w:keepNext/>
              <w:spacing w:before="20" w:after="20"/>
              <w:jc w:val="both"/>
            </w:pPr>
            <w:r>
              <w:rPr>
                <w:b/>
                <w:bCs/>
                <w:i/>
                <w:iCs/>
                <w:sz w:val="18"/>
                <w:szCs w:val="18"/>
              </w:rPr>
              <w:t xml:space="preserve">Producto 1: </w:t>
            </w:r>
            <w:r>
              <w:rPr>
                <w:sz w:val="18"/>
                <w:szCs w:val="18"/>
              </w:rPr>
              <w:t>Esquema de ética, moral y axiología</w:t>
            </w:r>
          </w:p>
        </w:tc>
        <w:tc>
          <w:tcPr>
            <w:tcW w:w="2015" w:type="dxa"/>
            <w:shd w:val="clear" w:color="auto" w:fill="D9E2F3"/>
            <w:vAlign w:val="center"/>
          </w:tcPr>
          <w:p w14:paraId="5FDBF297" w14:textId="77777777" w:rsidR="00990B14" w:rsidRDefault="00000000">
            <w:pPr>
              <w:spacing w:before="20" w:after="20"/>
              <w:jc w:val="center"/>
            </w:pPr>
            <w:r>
              <w:rPr>
                <w:b/>
                <w:bCs/>
                <w:sz w:val="18"/>
                <w:szCs w:val="18"/>
              </w:rPr>
              <w:t>3%</w:t>
            </w:r>
          </w:p>
        </w:tc>
      </w:tr>
      <w:tr w:rsidR="00990B14" w14:paraId="321748AC" w14:textId="77777777">
        <w:trPr>
          <w:cantSplit/>
          <w:jc w:val="center"/>
        </w:trPr>
        <w:tc>
          <w:tcPr>
            <w:tcW w:w="1545" w:type="dxa"/>
            <w:vMerge/>
            <w:shd w:val="clear" w:color="auto" w:fill="4472C4"/>
            <w:vAlign w:val="center"/>
          </w:tcPr>
          <w:p w14:paraId="7105B55D" w14:textId="77777777" w:rsidR="00990B14" w:rsidRDefault="00990B14">
            <w:pPr>
              <w:spacing w:before="20" w:after="20"/>
            </w:pPr>
          </w:p>
        </w:tc>
        <w:tc>
          <w:tcPr>
            <w:tcW w:w="1815" w:type="dxa"/>
            <w:shd w:val="clear" w:color="auto" w:fill="4472C4"/>
            <w:vAlign w:val="center"/>
          </w:tcPr>
          <w:p w14:paraId="030BAE25" w14:textId="77777777" w:rsidR="00990B14" w:rsidRDefault="00000000">
            <w:pPr>
              <w:keepNext/>
              <w:spacing w:before="20" w:after="20"/>
              <w:jc w:val="center"/>
            </w:pPr>
            <w:r>
              <w:rPr>
                <w:b/>
                <w:bCs/>
                <w:i/>
                <w:iCs/>
                <w:color w:val="FFFFFF"/>
                <w:sz w:val="18"/>
                <w:szCs w:val="18"/>
              </w:rPr>
              <w:t>Criterio</w:t>
            </w:r>
          </w:p>
        </w:tc>
        <w:tc>
          <w:tcPr>
            <w:tcW w:w="2120" w:type="dxa"/>
            <w:shd w:val="clear" w:color="auto" w:fill="4472C4"/>
            <w:vAlign w:val="center"/>
          </w:tcPr>
          <w:p w14:paraId="72247092"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7AFF748B"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3526F1CE" w14:textId="77777777" w:rsidR="00990B14" w:rsidRDefault="00000000">
            <w:pPr>
              <w:keepNext/>
              <w:spacing w:before="20" w:after="20"/>
              <w:jc w:val="center"/>
            </w:pPr>
            <w:r>
              <w:rPr>
                <w:b/>
                <w:bCs/>
                <w:i/>
                <w:iCs/>
                <w:color w:val="FFFFFF"/>
                <w:sz w:val="18"/>
                <w:szCs w:val="18"/>
              </w:rPr>
              <w:t>Destacado (81–100)</w:t>
            </w:r>
          </w:p>
        </w:tc>
      </w:tr>
      <w:tr w:rsidR="00990B14" w14:paraId="42D46C52" w14:textId="77777777">
        <w:trPr>
          <w:cantSplit/>
          <w:jc w:val="center"/>
        </w:trPr>
        <w:tc>
          <w:tcPr>
            <w:tcW w:w="1545" w:type="dxa"/>
            <w:vMerge/>
            <w:shd w:val="clear" w:color="auto" w:fill="4472C4"/>
            <w:vAlign w:val="center"/>
          </w:tcPr>
          <w:p w14:paraId="424BCA59" w14:textId="77777777" w:rsidR="00990B14" w:rsidRDefault="00990B14">
            <w:pPr>
              <w:spacing w:before="20" w:after="20"/>
            </w:pPr>
          </w:p>
        </w:tc>
        <w:tc>
          <w:tcPr>
            <w:tcW w:w="1815" w:type="dxa"/>
            <w:shd w:val="clear" w:color="auto" w:fill="D9E2F3"/>
            <w:vAlign w:val="center"/>
          </w:tcPr>
          <w:p w14:paraId="709E8654" w14:textId="77777777" w:rsidR="00990B14" w:rsidRDefault="00000000">
            <w:pPr>
              <w:spacing w:before="20" w:after="20"/>
              <w:jc w:val="both"/>
            </w:pPr>
            <w:r>
              <w:rPr>
                <w:sz w:val="18"/>
                <w:szCs w:val="18"/>
              </w:rPr>
              <w:t>Distinción conceptual</w:t>
            </w:r>
          </w:p>
        </w:tc>
        <w:tc>
          <w:tcPr>
            <w:tcW w:w="2120" w:type="dxa"/>
            <w:shd w:val="clear" w:color="auto" w:fill="D9E2F3"/>
            <w:vAlign w:val="center"/>
          </w:tcPr>
          <w:p w14:paraId="0C944818" w14:textId="77777777" w:rsidR="00990B14" w:rsidRDefault="00000000">
            <w:pPr>
              <w:spacing w:before="20" w:after="20"/>
              <w:jc w:val="both"/>
            </w:pPr>
            <w:r>
              <w:rPr>
                <w:sz w:val="18"/>
                <w:szCs w:val="18"/>
              </w:rPr>
              <w:t>Confunde la ética con la moral.</w:t>
            </w:r>
          </w:p>
        </w:tc>
        <w:tc>
          <w:tcPr>
            <w:tcW w:w="1910" w:type="dxa"/>
            <w:shd w:val="clear" w:color="auto" w:fill="D9E2F3"/>
            <w:vAlign w:val="center"/>
          </w:tcPr>
          <w:p w14:paraId="2F9E72B2" w14:textId="77777777" w:rsidR="00990B14" w:rsidRDefault="00000000">
            <w:pPr>
              <w:spacing w:before="20" w:after="20"/>
              <w:jc w:val="both"/>
            </w:pPr>
            <w:r>
              <w:rPr>
                <w:sz w:val="18"/>
                <w:szCs w:val="18"/>
              </w:rPr>
              <w:t>Distingue la ética, la moral y la axiología.</w:t>
            </w:r>
          </w:p>
        </w:tc>
        <w:tc>
          <w:tcPr>
            <w:tcW w:w="2015" w:type="dxa"/>
            <w:shd w:val="clear" w:color="auto" w:fill="D9E2F3"/>
            <w:vAlign w:val="center"/>
          </w:tcPr>
          <w:p w14:paraId="6CA2F66C" w14:textId="77777777" w:rsidR="00990B14" w:rsidRDefault="00000000">
            <w:pPr>
              <w:spacing w:before="20" w:after="20"/>
              <w:jc w:val="both"/>
            </w:pPr>
            <w:r>
              <w:rPr>
                <w:sz w:val="18"/>
                <w:szCs w:val="18"/>
              </w:rPr>
              <w:t>Ilustra cada concepto con situaciones del ejercicio contable.</w:t>
            </w:r>
          </w:p>
        </w:tc>
      </w:tr>
      <w:tr w:rsidR="00990B14" w14:paraId="674256D1" w14:textId="77777777">
        <w:trPr>
          <w:cantSplit/>
          <w:jc w:val="center"/>
        </w:trPr>
        <w:tc>
          <w:tcPr>
            <w:tcW w:w="1545" w:type="dxa"/>
            <w:vMerge/>
            <w:shd w:val="clear" w:color="auto" w:fill="4472C4"/>
            <w:vAlign w:val="center"/>
          </w:tcPr>
          <w:p w14:paraId="6A4C4C98" w14:textId="77777777" w:rsidR="00990B14" w:rsidRDefault="00990B14">
            <w:pPr>
              <w:spacing w:before="20" w:after="20"/>
            </w:pPr>
          </w:p>
        </w:tc>
        <w:tc>
          <w:tcPr>
            <w:tcW w:w="1815" w:type="dxa"/>
            <w:shd w:val="clear" w:color="auto" w:fill="D9E2F3"/>
            <w:vAlign w:val="center"/>
          </w:tcPr>
          <w:p w14:paraId="0C235603" w14:textId="77777777" w:rsidR="00990B14" w:rsidRDefault="00000000">
            <w:pPr>
              <w:spacing w:before="20" w:after="20"/>
              <w:jc w:val="both"/>
            </w:pPr>
            <w:r>
              <w:rPr>
                <w:sz w:val="18"/>
                <w:szCs w:val="18"/>
              </w:rPr>
              <w:t>Relación con la vocación</w:t>
            </w:r>
          </w:p>
        </w:tc>
        <w:tc>
          <w:tcPr>
            <w:tcW w:w="2120" w:type="dxa"/>
            <w:shd w:val="clear" w:color="auto" w:fill="D9E2F3"/>
            <w:vAlign w:val="center"/>
          </w:tcPr>
          <w:p w14:paraId="42A76F0E" w14:textId="77777777" w:rsidR="00990B14" w:rsidRDefault="00000000">
            <w:pPr>
              <w:spacing w:before="20" w:after="20"/>
              <w:jc w:val="both"/>
            </w:pPr>
            <w:r>
              <w:rPr>
                <w:sz w:val="18"/>
                <w:szCs w:val="18"/>
              </w:rPr>
              <w:t>Omite la vocación.</w:t>
            </w:r>
          </w:p>
        </w:tc>
        <w:tc>
          <w:tcPr>
            <w:tcW w:w="1910" w:type="dxa"/>
            <w:shd w:val="clear" w:color="auto" w:fill="D9E2F3"/>
            <w:vAlign w:val="center"/>
          </w:tcPr>
          <w:p w14:paraId="2C5C4E3E" w14:textId="77777777" w:rsidR="00990B14" w:rsidRDefault="00000000">
            <w:pPr>
              <w:spacing w:before="20" w:after="20"/>
              <w:jc w:val="both"/>
            </w:pPr>
            <w:r>
              <w:rPr>
                <w:sz w:val="18"/>
                <w:szCs w:val="18"/>
              </w:rPr>
              <w:t>Relaciona la vocación con la formación ética.</w:t>
            </w:r>
          </w:p>
        </w:tc>
        <w:tc>
          <w:tcPr>
            <w:tcW w:w="2015" w:type="dxa"/>
            <w:shd w:val="clear" w:color="auto" w:fill="D9E2F3"/>
            <w:vAlign w:val="center"/>
          </w:tcPr>
          <w:p w14:paraId="6C327869" w14:textId="77777777" w:rsidR="00990B14" w:rsidRDefault="00000000">
            <w:pPr>
              <w:spacing w:before="20" w:after="20"/>
              <w:jc w:val="both"/>
            </w:pPr>
            <w:r>
              <w:rPr>
                <w:sz w:val="18"/>
                <w:szCs w:val="18"/>
              </w:rPr>
              <w:t>Argumenta la vocación como compromiso con el interés público.</w:t>
            </w:r>
          </w:p>
        </w:tc>
      </w:tr>
      <w:tr w:rsidR="00990B14" w14:paraId="4857FA70" w14:textId="77777777">
        <w:trPr>
          <w:cantSplit/>
          <w:jc w:val="center"/>
        </w:trPr>
        <w:tc>
          <w:tcPr>
            <w:tcW w:w="1545" w:type="dxa"/>
            <w:vMerge/>
            <w:shd w:val="clear" w:color="auto" w:fill="4472C4"/>
            <w:vAlign w:val="center"/>
          </w:tcPr>
          <w:p w14:paraId="770987BC" w14:textId="77777777" w:rsidR="00990B14" w:rsidRDefault="00990B14">
            <w:pPr>
              <w:spacing w:before="20" w:after="20"/>
            </w:pPr>
          </w:p>
        </w:tc>
        <w:tc>
          <w:tcPr>
            <w:tcW w:w="1815" w:type="dxa"/>
            <w:shd w:val="clear" w:color="auto" w:fill="D9E2F3"/>
            <w:vAlign w:val="center"/>
          </w:tcPr>
          <w:p w14:paraId="43A92225" w14:textId="77777777" w:rsidR="00990B14" w:rsidRDefault="00000000">
            <w:pPr>
              <w:spacing w:before="20" w:after="20"/>
              <w:jc w:val="both"/>
            </w:pPr>
            <w:r>
              <w:rPr>
                <w:sz w:val="18"/>
                <w:szCs w:val="18"/>
              </w:rPr>
              <w:t>Participación en el debate</w:t>
            </w:r>
          </w:p>
        </w:tc>
        <w:tc>
          <w:tcPr>
            <w:tcW w:w="2120" w:type="dxa"/>
            <w:shd w:val="clear" w:color="auto" w:fill="D9E2F3"/>
            <w:vAlign w:val="center"/>
          </w:tcPr>
          <w:p w14:paraId="4A8FC02E" w14:textId="77777777" w:rsidR="00990B14" w:rsidRDefault="00000000">
            <w:pPr>
              <w:spacing w:before="20" w:after="20"/>
              <w:jc w:val="both"/>
            </w:pPr>
            <w:r>
              <w:rPr>
                <w:sz w:val="18"/>
                <w:szCs w:val="18"/>
              </w:rPr>
              <w:t>No participa o lo hace sin fundamento.</w:t>
            </w:r>
          </w:p>
        </w:tc>
        <w:tc>
          <w:tcPr>
            <w:tcW w:w="1910" w:type="dxa"/>
            <w:shd w:val="clear" w:color="auto" w:fill="D9E2F3"/>
            <w:vAlign w:val="center"/>
          </w:tcPr>
          <w:p w14:paraId="07CC7D48" w14:textId="77777777" w:rsidR="00990B14" w:rsidRDefault="00000000">
            <w:pPr>
              <w:spacing w:before="20" w:after="20"/>
              <w:jc w:val="both"/>
            </w:pPr>
            <w:r>
              <w:rPr>
                <w:sz w:val="18"/>
                <w:szCs w:val="18"/>
              </w:rPr>
              <w:t>Participa con argumentos pertinentes.</w:t>
            </w:r>
          </w:p>
        </w:tc>
        <w:tc>
          <w:tcPr>
            <w:tcW w:w="2015" w:type="dxa"/>
            <w:shd w:val="clear" w:color="auto" w:fill="D9E2F3"/>
            <w:vAlign w:val="center"/>
          </w:tcPr>
          <w:p w14:paraId="4AEEDB18" w14:textId="77777777" w:rsidR="00990B14" w:rsidRDefault="00000000">
            <w:pPr>
              <w:spacing w:before="20" w:after="20"/>
              <w:jc w:val="both"/>
            </w:pPr>
            <w:r>
              <w:rPr>
                <w:sz w:val="18"/>
                <w:szCs w:val="18"/>
              </w:rPr>
              <w:t>Rebate con respeto las posturas contrarias.</w:t>
            </w:r>
          </w:p>
        </w:tc>
      </w:tr>
      <w:tr w:rsidR="00990B14" w14:paraId="0483F122" w14:textId="77777777">
        <w:trPr>
          <w:cantSplit/>
          <w:jc w:val="center"/>
        </w:trPr>
        <w:tc>
          <w:tcPr>
            <w:tcW w:w="1545" w:type="dxa"/>
            <w:vMerge/>
            <w:shd w:val="clear" w:color="auto" w:fill="4472C4"/>
            <w:vAlign w:val="center"/>
          </w:tcPr>
          <w:p w14:paraId="722F88E7" w14:textId="77777777" w:rsidR="00990B14" w:rsidRDefault="00990B14">
            <w:pPr>
              <w:spacing w:before="20" w:after="20"/>
            </w:pPr>
          </w:p>
        </w:tc>
        <w:tc>
          <w:tcPr>
            <w:tcW w:w="5845" w:type="dxa"/>
            <w:gridSpan w:val="3"/>
            <w:shd w:val="clear" w:color="auto" w:fill="D9E2F3"/>
            <w:vAlign w:val="center"/>
          </w:tcPr>
          <w:p w14:paraId="24A40D8A" w14:textId="77777777" w:rsidR="00990B14" w:rsidRDefault="00000000">
            <w:pPr>
              <w:keepNext/>
              <w:spacing w:before="20" w:after="20"/>
              <w:jc w:val="both"/>
            </w:pPr>
            <w:r>
              <w:rPr>
                <w:b/>
                <w:bCs/>
                <w:i/>
                <w:iCs/>
                <w:sz w:val="18"/>
                <w:szCs w:val="18"/>
              </w:rPr>
              <w:t xml:space="preserve">Producto 2: </w:t>
            </w:r>
            <w:r>
              <w:rPr>
                <w:sz w:val="18"/>
                <w:szCs w:val="18"/>
              </w:rPr>
              <w:t>Informe de integridad académica</w:t>
            </w:r>
          </w:p>
        </w:tc>
        <w:tc>
          <w:tcPr>
            <w:tcW w:w="2015" w:type="dxa"/>
            <w:shd w:val="clear" w:color="auto" w:fill="D9E2F3"/>
            <w:vAlign w:val="center"/>
          </w:tcPr>
          <w:p w14:paraId="44A83848" w14:textId="77777777" w:rsidR="00990B14" w:rsidRDefault="00000000">
            <w:pPr>
              <w:spacing w:before="20" w:after="20"/>
              <w:jc w:val="center"/>
            </w:pPr>
            <w:r>
              <w:rPr>
                <w:b/>
                <w:bCs/>
                <w:sz w:val="18"/>
                <w:szCs w:val="18"/>
              </w:rPr>
              <w:t>3%</w:t>
            </w:r>
          </w:p>
        </w:tc>
      </w:tr>
      <w:tr w:rsidR="00990B14" w14:paraId="422FFDC0" w14:textId="77777777">
        <w:trPr>
          <w:cantSplit/>
          <w:jc w:val="center"/>
        </w:trPr>
        <w:tc>
          <w:tcPr>
            <w:tcW w:w="1545" w:type="dxa"/>
            <w:vMerge/>
            <w:shd w:val="clear" w:color="auto" w:fill="4472C4"/>
            <w:vAlign w:val="center"/>
          </w:tcPr>
          <w:p w14:paraId="54C66A0F" w14:textId="77777777" w:rsidR="00990B14" w:rsidRDefault="00990B14">
            <w:pPr>
              <w:spacing w:before="20" w:after="20"/>
            </w:pPr>
          </w:p>
        </w:tc>
        <w:tc>
          <w:tcPr>
            <w:tcW w:w="1815" w:type="dxa"/>
            <w:shd w:val="clear" w:color="auto" w:fill="4472C4"/>
            <w:vAlign w:val="center"/>
          </w:tcPr>
          <w:p w14:paraId="5ADFB0F1" w14:textId="77777777" w:rsidR="00990B14" w:rsidRDefault="00000000">
            <w:pPr>
              <w:keepNext/>
              <w:spacing w:before="20" w:after="20"/>
              <w:jc w:val="center"/>
            </w:pPr>
            <w:r>
              <w:rPr>
                <w:b/>
                <w:bCs/>
                <w:i/>
                <w:iCs/>
                <w:color w:val="FFFFFF"/>
                <w:sz w:val="18"/>
                <w:szCs w:val="18"/>
              </w:rPr>
              <w:t>Criterio</w:t>
            </w:r>
          </w:p>
        </w:tc>
        <w:tc>
          <w:tcPr>
            <w:tcW w:w="2120" w:type="dxa"/>
            <w:shd w:val="clear" w:color="auto" w:fill="4472C4"/>
            <w:vAlign w:val="center"/>
          </w:tcPr>
          <w:p w14:paraId="5293F22E"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10BEA661"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7D019EA4" w14:textId="77777777" w:rsidR="00990B14" w:rsidRDefault="00000000">
            <w:pPr>
              <w:keepNext/>
              <w:spacing w:before="20" w:after="20"/>
              <w:jc w:val="center"/>
            </w:pPr>
            <w:r>
              <w:rPr>
                <w:b/>
                <w:bCs/>
                <w:i/>
                <w:iCs/>
                <w:color w:val="FFFFFF"/>
                <w:sz w:val="18"/>
                <w:szCs w:val="18"/>
              </w:rPr>
              <w:t>Destacado (81–100)</w:t>
            </w:r>
          </w:p>
        </w:tc>
      </w:tr>
      <w:tr w:rsidR="00990B14" w14:paraId="3DA8B4F7" w14:textId="77777777">
        <w:trPr>
          <w:cantSplit/>
          <w:jc w:val="center"/>
        </w:trPr>
        <w:tc>
          <w:tcPr>
            <w:tcW w:w="1545" w:type="dxa"/>
            <w:vMerge/>
            <w:shd w:val="clear" w:color="auto" w:fill="4472C4"/>
            <w:vAlign w:val="center"/>
          </w:tcPr>
          <w:p w14:paraId="46269879" w14:textId="77777777" w:rsidR="00990B14" w:rsidRDefault="00990B14">
            <w:pPr>
              <w:spacing w:before="20" w:after="20"/>
            </w:pPr>
          </w:p>
        </w:tc>
        <w:tc>
          <w:tcPr>
            <w:tcW w:w="1815" w:type="dxa"/>
            <w:shd w:val="clear" w:color="auto" w:fill="D9E2F3"/>
            <w:vAlign w:val="center"/>
          </w:tcPr>
          <w:p w14:paraId="51B43F1C" w14:textId="77777777" w:rsidR="00990B14" w:rsidRDefault="00000000">
            <w:pPr>
              <w:spacing w:before="20" w:after="20"/>
              <w:jc w:val="both"/>
            </w:pPr>
            <w:r>
              <w:rPr>
                <w:sz w:val="18"/>
                <w:szCs w:val="18"/>
              </w:rPr>
              <w:t>Identificación de la falta</w:t>
            </w:r>
          </w:p>
        </w:tc>
        <w:tc>
          <w:tcPr>
            <w:tcW w:w="2120" w:type="dxa"/>
            <w:shd w:val="clear" w:color="auto" w:fill="D9E2F3"/>
            <w:vAlign w:val="center"/>
          </w:tcPr>
          <w:p w14:paraId="0AE5F742" w14:textId="77777777" w:rsidR="00990B14" w:rsidRDefault="00000000">
            <w:pPr>
              <w:spacing w:before="20" w:after="20"/>
              <w:jc w:val="both"/>
            </w:pPr>
            <w:r>
              <w:rPr>
                <w:sz w:val="18"/>
                <w:szCs w:val="18"/>
              </w:rPr>
              <w:t>No identifica la falta.</w:t>
            </w:r>
          </w:p>
        </w:tc>
        <w:tc>
          <w:tcPr>
            <w:tcW w:w="1910" w:type="dxa"/>
            <w:shd w:val="clear" w:color="auto" w:fill="D9E2F3"/>
            <w:vAlign w:val="center"/>
          </w:tcPr>
          <w:p w14:paraId="334B4989" w14:textId="77777777" w:rsidR="00990B14" w:rsidRDefault="00000000">
            <w:pPr>
              <w:spacing w:before="20" w:after="20"/>
              <w:jc w:val="both"/>
            </w:pPr>
            <w:r>
              <w:rPr>
                <w:sz w:val="18"/>
                <w:szCs w:val="18"/>
              </w:rPr>
              <w:t>Identifica la falta de autoría o de citación.</w:t>
            </w:r>
          </w:p>
        </w:tc>
        <w:tc>
          <w:tcPr>
            <w:tcW w:w="2015" w:type="dxa"/>
            <w:shd w:val="clear" w:color="auto" w:fill="D9E2F3"/>
            <w:vAlign w:val="center"/>
          </w:tcPr>
          <w:p w14:paraId="6A50ED33" w14:textId="77777777" w:rsidR="00990B14" w:rsidRDefault="00000000">
            <w:pPr>
              <w:spacing w:before="20" w:after="20"/>
              <w:jc w:val="both"/>
            </w:pPr>
            <w:r>
              <w:rPr>
                <w:sz w:val="18"/>
                <w:szCs w:val="18"/>
              </w:rPr>
              <w:t>Distingue el uso legítimo del uso indebido de la herramienta.</w:t>
            </w:r>
          </w:p>
        </w:tc>
      </w:tr>
      <w:tr w:rsidR="00990B14" w14:paraId="2120C471" w14:textId="77777777">
        <w:trPr>
          <w:cantSplit/>
          <w:jc w:val="center"/>
        </w:trPr>
        <w:tc>
          <w:tcPr>
            <w:tcW w:w="1545" w:type="dxa"/>
            <w:vMerge/>
            <w:shd w:val="clear" w:color="auto" w:fill="4472C4"/>
            <w:vAlign w:val="center"/>
          </w:tcPr>
          <w:p w14:paraId="0C332FBD" w14:textId="77777777" w:rsidR="00990B14" w:rsidRDefault="00990B14">
            <w:pPr>
              <w:spacing w:before="20" w:after="20"/>
            </w:pPr>
          </w:p>
        </w:tc>
        <w:tc>
          <w:tcPr>
            <w:tcW w:w="1815" w:type="dxa"/>
            <w:shd w:val="clear" w:color="auto" w:fill="D9E2F3"/>
            <w:vAlign w:val="center"/>
          </w:tcPr>
          <w:p w14:paraId="22BB2E7E" w14:textId="77777777" w:rsidR="00990B14" w:rsidRDefault="00000000">
            <w:pPr>
              <w:spacing w:before="20" w:after="20"/>
              <w:jc w:val="both"/>
            </w:pPr>
            <w:r>
              <w:rPr>
                <w:sz w:val="18"/>
                <w:szCs w:val="18"/>
              </w:rPr>
              <w:t>Valoración ética</w:t>
            </w:r>
          </w:p>
        </w:tc>
        <w:tc>
          <w:tcPr>
            <w:tcW w:w="2120" w:type="dxa"/>
            <w:shd w:val="clear" w:color="auto" w:fill="D9E2F3"/>
            <w:vAlign w:val="center"/>
          </w:tcPr>
          <w:p w14:paraId="01F36088" w14:textId="77777777" w:rsidR="00990B14" w:rsidRDefault="00000000">
            <w:pPr>
              <w:spacing w:before="20" w:after="20"/>
              <w:jc w:val="both"/>
            </w:pPr>
            <w:r>
              <w:rPr>
                <w:sz w:val="18"/>
                <w:szCs w:val="18"/>
              </w:rPr>
              <w:t>La valoración carece de fundamento.</w:t>
            </w:r>
          </w:p>
        </w:tc>
        <w:tc>
          <w:tcPr>
            <w:tcW w:w="1910" w:type="dxa"/>
            <w:shd w:val="clear" w:color="auto" w:fill="D9E2F3"/>
            <w:vAlign w:val="center"/>
          </w:tcPr>
          <w:p w14:paraId="70CB0331" w14:textId="77777777" w:rsidR="00990B14" w:rsidRDefault="00000000">
            <w:pPr>
              <w:spacing w:before="20" w:after="20"/>
              <w:jc w:val="both"/>
            </w:pPr>
            <w:r>
              <w:rPr>
                <w:sz w:val="18"/>
                <w:szCs w:val="18"/>
              </w:rPr>
              <w:t>Valora el caso con los valores éticos aplicables.</w:t>
            </w:r>
          </w:p>
        </w:tc>
        <w:tc>
          <w:tcPr>
            <w:tcW w:w="2015" w:type="dxa"/>
            <w:shd w:val="clear" w:color="auto" w:fill="D9E2F3"/>
            <w:vAlign w:val="center"/>
          </w:tcPr>
          <w:p w14:paraId="37465B13" w14:textId="77777777" w:rsidR="00990B14" w:rsidRDefault="00000000">
            <w:pPr>
              <w:spacing w:before="20" w:after="20"/>
              <w:jc w:val="both"/>
            </w:pPr>
            <w:r>
              <w:rPr>
                <w:sz w:val="18"/>
                <w:szCs w:val="18"/>
              </w:rPr>
              <w:t>Relaciona la falta con la conducta profesional futura.</w:t>
            </w:r>
          </w:p>
        </w:tc>
      </w:tr>
      <w:tr w:rsidR="00990B14" w14:paraId="4C26A2A2" w14:textId="77777777">
        <w:trPr>
          <w:cantSplit/>
          <w:jc w:val="center"/>
        </w:trPr>
        <w:tc>
          <w:tcPr>
            <w:tcW w:w="1545" w:type="dxa"/>
            <w:vMerge/>
            <w:shd w:val="clear" w:color="auto" w:fill="4472C4"/>
            <w:vAlign w:val="center"/>
          </w:tcPr>
          <w:p w14:paraId="011CE30B" w14:textId="77777777" w:rsidR="00990B14" w:rsidRDefault="00990B14">
            <w:pPr>
              <w:spacing w:before="20" w:after="20"/>
            </w:pPr>
          </w:p>
        </w:tc>
        <w:tc>
          <w:tcPr>
            <w:tcW w:w="1815" w:type="dxa"/>
            <w:shd w:val="clear" w:color="auto" w:fill="D9E2F3"/>
            <w:vAlign w:val="center"/>
          </w:tcPr>
          <w:p w14:paraId="4C3ED51E" w14:textId="77777777" w:rsidR="00990B14" w:rsidRDefault="00000000">
            <w:pPr>
              <w:spacing w:before="20" w:after="20"/>
              <w:jc w:val="both"/>
            </w:pPr>
            <w:r>
              <w:rPr>
                <w:sz w:val="18"/>
                <w:szCs w:val="18"/>
              </w:rPr>
              <w:t>Trabajo en equipo</w:t>
            </w:r>
          </w:p>
        </w:tc>
        <w:tc>
          <w:tcPr>
            <w:tcW w:w="2120" w:type="dxa"/>
            <w:shd w:val="clear" w:color="auto" w:fill="D9E2F3"/>
            <w:vAlign w:val="center"/>
          </w:tcPr>
          <w:p w14:paraId="2182BB9D" w14:textId="77777777" w:rsidR="00990B14" w:rsidRDefault="00000000">
            <w:pPr>
              <w:spacing w:before="20" w:after="20"/>
              <w:jc w:val="both"/>
            </w:pPr>
            <w:r>
              <w:rPr>
                <w:sz w:val="18"/>
                <w:szCs w:val="18"/>
              </w:rPr>
              <w:t>La participación es desigual.</w:t>
            </w:r>
          </w:p>
        </w:tc>
        <w:tc>
          <w:tcPr>
            <w:tcW w:w="1910" w:type="dxa"/>
            <w:shd w:val="clear" w:color="auto" w:fill="D9E2F3"/>
            <w:vAlign w:val="center"/>
          </w:tcPr>
          <w:p w14:paraId="2F644190" w14:textId="77777777" w:rsidR="00990B14" w:rsidRDefault="00000000">
            <w:pPr>
              <w:spacing w:before="20" w:after="20"/>
              <w:jc w:val="both"/>
            </w:pPr>
            <w:r>
              <w:rPr>
                <w:sz w:val="18"/>
                <w:szCs w:val="18"/>
              </w:rPr>
              <w:t>Todos los integrantes participan.</w:t>
            </w:r>
          </w:p>
        </w:tc>
        <w:tc>
          <w:tcPr>
            <w:tcW w:w="2015" w:type="dxa"/>
            <w:shd w:val="clear" w:color="auto" w:fill="D9E2F3"/>
            <w:vAlign w:val="center"/>
          </w:tcPr>
          <w:p w14:paraId="34340EC0" w14:textId="77777777" w:rsidR="00990B14" w:rsidRDefault="00000000">
            <w:pPr>
              <w:spacing w:before="20" w:after="20"/>
              <w:jc w:val="both"/>
            </w:pPr>
            <w:r>
              <w:rPr>
                <w:sz w:val="18"/>
                <w:szCs w:val="18"/>
              </w:rPr>
              <w:t>El equipo sustenta sus conclusiones ante el curso.</w:t>
            </w:r>
          </w:p>
        </w:tc>
      </w:tr>
      <w:tr w:rsidR="00990B14" w14:paraId="7869831E" w14:textId="77777777">
        <w:trPr>
          <w:cantSplit/>
          <w:jc w:val="center"/>
        </w:trPr>
        <w:tc>
          <w:tcPr>
            <w:tcW w:w="1545" w:type="dxa"/>
            <w:vMerge/>
            <w:shd w:val="clear" w:color="auto" w:fill="4472C4"/>
            <w:vAlign w:val="center"/>
          </w:tcPr>
          <w:p w14:paraId="0139F440" w14:textId="77777777" w:rsidR="00990B14" w:rsidRDefault="00990B14">
            <w:pPr>
              <w:spacing w:before="20" w:after="20"/>
            </w:pPr>
          </w:p>
        </w:tc>
        <w:tc>
          <w:tcPr>
            <w:tcW w:w="5845" w:type="dxa"/>
            <w:gridSpan w:val="3"/>
            <w:shd w:val="clear" w:color="auto" w:fill="D9E2F3"/>
            <w:vAlign w:val="center"/>
          </w:tcPr>
          <w:p w14:paraId="275BF519" w14:textId="77777777" w:rsidR="00990B14" w:rsidRDefault="00000000">
            <w:pPr>
              <w:keepNext/>
              <w:spacing w:before="20" w:after="20"/>
              <w:jc w:val="both"/>
            </w:pPr>
            <w:r>
              <w:rPr>
                <w:b/>
                <w:bCs/>
                <w:i/>
                <w:iCs/>
                <w:sz w:val="18"/>
                <w:szCs w:val="18"/>
              </w:rPr>
              <w:t xml:space="preserve">Producto 3: </w:t>
            </w:r>
            <w:r>
              <w:rPr>
                <w:sz w:val="18"/>
                <w:szCs w:val="18"/>
              </w:rPr>
              <w:t>Cuadro de valores del profesional</w:t>
            </w:r>
          </w:p>
        </w:tc>
        <w:tc>
          <w:tcPr>
            <w:tcW w:w="2015" w:type="dxa"/>
            <w:shd w:val="clear" w:color="auto" w:fill="D9E2F3"/>
            <w:vAlign w:val="center"/>
          </w:tcPr>
          <w:p w14:paraId="0DD67C41" w14:textId="77777777" w:rsidR="00990B14" w:rsidRDefault="00000000">
            <w:pPr>
              <w:spacing w:before="20" w:after="20"/>
              <w:jc w:val="center"/>
            </w:pPr>
            <w:r>
              <w:rPr>
                <w:b/>
                <w:bCs/>
                <w:sz w:val="18"/>
                <w:szCs w:val="18"/>
              </w:rPr>
              <w:t>2%</w:t>
            </w:r>
          </w:p>
        </w:tc>
      </w:tr>
      <w:tr w:rsidR="00990B14" w14:paraId="711E9B7C" w14:textId="77777777">
        <w:trPr>
          <w:cantSplit/>
          <w:jc w:val="center"/>
        </w:trPr>
        <w:tc>
          <w:tcPr>
            <w:tcW w:w="1545" w:type="dxa"/>
            <w:vMerge/>
            <w:shd w:val="clear" w:color="auto" w:fill="4472C4"/>
            <w:vAlign w:val="center"/>
          </w:tcPr>
          <w:p w14:paraId="02D8129F" w14:textId="77777777" w:rsidR="00990B14" w:rsidRDefault="00990B14">
            <w:pPr>
              <w:spacing w:before="20" w:after="20"/>
            </w:pPr>
          </w:p>
        </w:tc>
        <w:tc>
          <w:tcPr>
            <w:tcW w:w="1815" w:type="dxa"/>
            <w:shd w:val="clear" w:color="auto" w:fill="4472C4"/>
            <w:vAlign w:val="center"/>
          </w:tcPr>
          <w:p w14:paraId="364F0B3E" w14:textId="77777777" w:rsidR="00990B14" w:rsidRDefault="00000000">
            <w:pPr>
              <w:keepNext/>
              <w:spacing w:before="20" w:after="20"/>
              <w:jc w:val="center"/>
            </w:pPr>
            <w:r>
              <w:rPr>
                <w:b/>
                <w:bCs/>
                <w:i/>
                <w:iCs/>
                <w:color w:val="FFFFFF"/>
                <w:sz w:val="18"/>
                <w:szCs w:val="18"/>
              </w:rPr>
              <w:t>Criterio</w:t>
            </w:r>
          </w:p>
        </w:tc>
        <w:tc>
          <w:tcPr>
            <w:tcW w:w="2120" w:type="dxa"/>
            <w:shd w:val="clear" w:color="auto" w:fill="4472C4"/>
            <w:vAlign w:val="center"/>
          </w:tcPr>
          <w:p w14:paraId="116F2D2F"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71251E84"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3810A1DE" w14:textId="77777777" w:rsidR="00990B14" w:rsidRDefault="00000000">
            <w:pPr>
              <w:keepNext/>
              <w:spacing w:before="20" w:after="20"/>
              <w:jc w:val="center"/>
            </w:pPr>
            <w:r>
              <w:rPr>
                <w:b/>
                <w:bCs/>
                <w:i/>
                <w:iCs/>
                <w:color w:val="FFFFFF"/>
                <w:sz w:val="18"/>
                <w:szCs w:val="18"/>
              </w:rPr>
              <w:t>Destacado (81–100)</w:t>
            </w:r>
          </w:p>
        </w:tc>
      </w:tr>
      <w:tr w:rsidR="00990B14" w14:paraId="075B5611" w14:textId="77777777">
        <w:trPr>
          <w:cantSplit/>
          <w:jc w:val="center"/>
        </w:trPr>
        <w:tc>
          <w:tcPr>
            <w:tcW w:w="1545" w:type="dxa"/>
            <w:vMerge/>
            <w:shd w:val="clear" w:color="auto" w:fill="4472C4"/>
            <w:vAlign w:val="center"/>
          </w:tcPr>
          <w:p w14:paraId="3E3FDC15" w14:textId="77777777" w:rsidR="00990B14" w:rsidRDefault="00990B14">
            <w:pPr>
              <w:spacing w:before="20" w:after="20"/>
            </w:pPr>
          </w:p>
        </w:tc>
        <w:tc>
          <w:tcPr>
            <w:tcW w:w="1815" w:type="dxa"/>
            <w:shd w:val="clear" w:color="auto" w:fill="D9E2F3"/>
            <w:vAlign w:val="center"/>
          </w:tcPr>
          <w:p w14:paraId="32EAEB2B" w14:textId="77777777" w:rsidR="00990B14" w:rsidRDefault="00000000">
            <w:pPr>
              <w:spacing w:before="20" w:after="20"/>
              <w:jc w:val="both"/>
            </w:pPr>
            <w:r>
              <w:rPr>
                <w:sz w:val="18"/>
                <w:szCs w:val="18"/>
              </w:rPr>
              <w:t>Identificación de valores</w:t>
            </w:r>
          </w:p>
        </w:tc>
        <w:tc>
          <w:tcPr>
            <w:tcW w:w="2120" w:type="dxa"/>
            <w:shd w:val="clear" w:color="auto" w:fill="D9E2F3"/>
            <w:vAlign w:val="center"/>
          </w:tcPr>
          <w:p w14:paraId="794CACC8" w14:textId="77777777" w:rsidR="00990B14" w:rsidRDefault="00000000">
            <w:pPr>
              <w:spacing w:before="20" w:after="20"/>
              <w:jc w:val="both"/>
            </w:pPr>
            <w:r>
              <w:rPr>
                <w:sz w:val="18"/>
                <w:szCs w:val="18"/>
              </w:rPr>
              <w:t>Omite valores principales.</w:t>
            </w:r>
          </w:p>
        </w:tc>
        <w:tc>
          <w:tcPr>
            <w:tcW w:w="1910" w:type="dxa"/>
            <w:shd w:val="clear" w:color="auto" w:fill="D9E2F3"/>
            <w:vAlign w:val="center"/>
          </w:tcPr>
          <w:p w14:paraId="0D8D5E89" w14:textId="77777777" w:rsidR="00990B14" w:rsidRDefault="00000000">
            <w:pPr>
              <w:spacing w:before="20" w:after="20"/>
              <w:jc w:val="both"/>
            </w:pPr>
            <w:r>
              <w:rPr>
                <w:sz w:val="18"/>
                <w:szCs w:val="18"/>
              </w:rPr>
              <w:t>Identifica respeto, honestidad, ética, responsabilidad y lealtad.</w:t>
            </w:r>
          </w:p>
        </w:tc>
        <w:tc>
          <w:tcPr>
            <w:tcW w:w="2015" w:type="dxa"/>
            <w:shd w:val="clear" w:color="auto" w:fill="D9E2F3"/>
            <w:vAlign w:val="center"/>
          </w:tcPr>
          <w:p w14:paraId="03705436" w14:textId="77777777" w:rsidR="00990B14" w:rsidRDefault="00000000">
            <w:pPr>
              <w:spacing w:before="20" w:after="20"/>
              <w:jc w:val="both"/>
            </w:pPr>
            <w:r>
              <w:rPr>
                <w:sz w:val="18"/>
                <w:szCs w:val="18"/>
              </w:rPr>
              <w:t>Jerarquiza los valores según el interés público.</w:t>
            </w:r>
          </w:p>
        </w:tc>
      </w:tr>
      <w:tr w:rsidR="00990B14" w14:paraId="02031008" w14:textId="77777777">
        <w:trPr>
          <w:cantSplit/>
          <w:jc w:val="center"/>
        </w:trPr>
        <w:tc>
          <w:tcPr>
            <w:tcW w:w="1545" w:type="dxa"/>
            <w:vMerge/>
            <w:shd w:val="clear" w:color="auto" w:fill="4472C4"/>
            <w:vAlign w:val="center"/>
          </w:tcPr>
          <w:p w14:paraId="5601715D" w14:textId="77777777" w:rsidR="00990B14" w:rsidRDefault="00990B14">
            <w:pPr>
              <w:spacing w:before="20" w:after="20"/>
            </w:pPr>
          </w:p>
        </w:tc>
        <w:tc>
          <w:tcPr>
            <w:tcW w:w="1815" w:type="dxa"/>
            <w:shd w:val="clear" w:color="auto" w:fill="D9E2F3"/>
            <w:vAlign w:val="center"/>
          </w:tcPr>
          <w:p w14:paraId="1066D68D" w14:textId="77777777" w:rsidR="00990B14" w:rsidRDefault="00000000">
            <w:pPr>
              <w:spacing w:before="20" w:after="20"/>
              <w:jc w:val="both"/>
            </w:pPr>
            <w:r>
              <w:rPr>
                <w:sz w:val="18"/>
                <w:szCs w:val="18"/>
              </w:rPr>
              <w:t>Ejemplos del ejercicio contable</w:t>
            </w:r>
          </w:p>
        </w:tc>
        <w:tc>
          <w:tcPr>
            <w:tcW w:w="2120" w:type="dxa"/>
            <w:shd w:val="clear" w:color="auto" w:fill="D9E2F3"/>
            <w:vAlign w:val="center"/>
          </w:tcPr>
          <w:p w14:paraId="5441A9ED" w14:textId="77777777" w:rsidR="00990B14" w:rsidRDefault="00000000">
            <w:pPr>
              <w:spacing w:before="20" w:after="20"/>
              <w:jc w:val="both"/>
            </w:pPr>
            <w:r>
              <w:rPr>
                <w:sz w:val="18"/>
                <w:szCs w:val="18"/>
              </w:rPr>
              <w:t>Los ejemplos no corresponden a la profesión.</w:t>
            </w:r>
          </w:p>
        </w:tc>
        <w:tc>
          <w:tcPr>
            <w:tcW w:w="1910" w:type="dxa"/>
            <w:shd w:val="clear" w:color="auto" w:fill="D9E2F3"/>
            <w:vAlign w:val="center"/>
          </w:tcPr>
          <w:p w14:paraId="7620C69B" w14:textId="77777777" w:rsidR="00990B14" w:rsidRDefault="00000000">
            <w:pPr>
              <w:spacing w:before="20" w:after="20"/>
              <w:jc w:val="both"/>
            </w:pPr>
            <w:r>
              <w:rPr>
                <w:sz w:val="18"/>
                <w:szCs w:val="18"/>
              </w:rPr>
              <w:t>Presenta ejemplos pertinentes del ejercicio contable.</w:t>
            </w:r>
          </w:p>
        </w:tc>
        <w:tc>
          <w:tcPr>
            <w:tcW w:w="2015" w:type="dxa"/>
            <w:shd w:val="clear" w:color="auto" w:fill="D9E2F3"/>
            <w:vAlign w:val="center"/>
          </w:tcPr>
          <w:p w14:paraId="62701C85" w14:textId="77777777" w:rsidR="00990B14" w:rsidRDefault="00000000">
            <w:pPr>
              <w:spacing w:before="20" w:after="20"/>
              <w:jc w:val="both"/>
            </w:pPr>
            <w:r>
              <w:rPr>
                <w:sz w:val="18"/>
                <w:szCs w:val="18"/>
              </w:rPr>
              <w:t>Muestra las consecuencias de vulnerar cada valor.</w:t>
            </w:r>
          </w:p>
        </w:tc>
      </w:tr>
      <w:tr w:rsidR="00990B14" w14:paraId="4BF0C7EF" w14:textId="77777777">
        <w:trPr>
          <w:cantSplit/>
          <w:jc w:val="center"/>
        </w:trPr>
        <w:tc>
          <w:tcPr>
            <w:tcW w:w="1545" w:type="dxa"/>
            <w:vMerge/>
            <w:shd w:val="clear" w:color="auto" w:fill="4472C4"/>
            <w:vAlign w:val="center"/>
          </w:tcPr>
          <w:p w14:paraId="4A8AC418" w14:textId="77777777" w:rsidR="00990B14" w:rsidRDefault="00990B14">
            <w:pPr>
              <w:spacing w:before="20" w:after="20"/>
            </w:pPr>
          </w:p>
        </w:tc>
        <w:tc>
          <w:tcPr>
            <w:tcW w:w="1815" w:type="dxa"/>
            <w:shd w:val="clear" w:color="auto" w:fill="D9E2F3"/>
            <w:vAlign w:val="center"/>
          </w:tcPr>
          <w:p w14:paraId="4891A79C" w14:textId="77777777" w:rsidR="00990B14" w:rsidRDefault="00000000">
            <w:pPr>
              <w:spacing w:before="20" w:after="20"/>
              <w:jc w:val="both"/>
            </w:pPr>
            <w:r>
              <w:rPr>
                <w:sz w:val="18"/>
                <w:szCs w:val="18"/>
              </w:rPr>
              <w:t>Trabajo en equipo</w:t>
            </w:r>
          </w:p>
        </w:tc>
        <w:tc>
          <w:tcPr>
            <w:tcW w:w="2120" w:type="dxa"/>
            <w:shd w:val="clear" w:color="auto" w:fill="D9E2F3"/>
            <w:vAlign w:val="center"/>
          </w:tcPr>
          <w:p w14:paraId="16D7E2D1" w14:textId="77777777" w:rsidR="00990B14" w:rsidRDefault="00000000">
            <w:pPr>
              <w:spacing w:before="20" w:after="20"/>
              <w:jc w:val="both"/>
            </w:pPr>
            <w:r>
              <w:rPr>
                <w:sz w:val="18"/>
                <w:szCs w:val="18"/>
              </w:rPr>
              <w:t>La participación es desigual.</w:t>
            </w:r>
          </w:p>
        </w:tc>
        <w:tc>
          <w:tcPr>
            <w:tcW w:w="1910" w:type="dxa"/>
            <w:shd w:val="clear" w:color="auto" w:fill="D9E2F3"/>
            <w:vAlign w:val="center"/>
          </w:tcPr>
          <w:p w14:paraId="732528EA" w14:textId="77777777" w:rsidR="00990B14" w:rsidRDefault="00000000">
            <w:pPr>
              <w:spacing w:before="20" w:after="20"/>
              <w:jc w:val="both"/>
            </w:pPr>
            <w:r>
              <w:rPr>
                <w:sz w:val="18"/>
                <w:szCs w:val="18"/>
              </w:rPr>
              <w:t>Todos los integrantes participan.</w:t>
            </w:r>
          </w:p>
        </w:tc>
        <w:tc>
          <w:tcPr>
            <w:tcW w:w="2015" w:type="dxa"/>
            <w:shd w:val="clear" w:color="auto" w:fill="D9E2F3"/>
            <w:vAlign w:val="center"/>
          </w:tcPr>
          <w:p w14:paraId="739F93AA" w14:textId="77777777" w:rsidR="00990B14" w:rsidRDefault="00000000">
            <w:pPr>
              <w:spacing w:before="20" w:after="20"/>
              <w:jc w:val="both"/>
            </w:pPr>
            <w:r>
              <w:rPr>
                <w:sz w:val="18"/>
                <w:szCs w:val="18"/>
              </w:rPr>
              <w:t>El equipo sustenta sus conclusiones ante el curso.</w:t>
            </w:r>
          </w:p>
        </w:tc>
      </w:tr>
      <w:tr w:rsidR="00990B14" w14:paraId="11B2447F" w14:textId="77777777">
        <w:trPr>
          <w:cantSplit/>
          <w:jc w:val="center"/>
        </w:trPr>
        <w:tc>
          <w:tcPr>
            <w:tcW w:w="1545" w:type="dxa"/>
            <w:vMerge/>
            <w:shd w:val="clear" w:color="auto" w:fill="4472C4"/>
            <w:vAlign w:val="center"/>
          </w:tcPr>
          <w:p w14:paraId="6F32FA4E" w14:textId="77777777" w:rsidR="00990B14" w:rsidRDefault="00990B14">
            <w:pPr>
              <w:spacing w:before="20" w:after="20"/>
            </w:pPr>
          </w:p>
        </w:tc>
        <w:tc>
          <w:tcPr>
            <w:tcW w:w="5845" w:type="dxa"/>
            <w:gridSpan w:val="3"/>
            <w:shd w:val="clear" w:color="auto" w:fill="D9E2F3"/>
            <w:vAlign w:val="center"/>
          </w:tcPr>
          <w:p w14:paraId="11B9846A" w14:textId="77777777" w:rsidR="00990B14" w:rsidRDefault="00000000">
            <w:pPr>
              <w:keepNext/>
              <w:spacing w:before="20" w:after="20"/>
              <w:jc w:val="both"/>
            </w:pPr>
            <w:r>
              <w:rPr>
                <w:b/>
                <w:bCs/>
                <w:i/>
                <w:iCs/>
                <w:sz w:val="18"/>
                <w:szCs w:val="18"/>
              </w:rPr>
              <w:t xml:space="preserve">Producto 4: </w:t>
            </w:r>
            <w:r>
              <w:rPr>
                <w:sz w:val="18"/>
                <w:szCs w:val="18"/>
              </w:rPr>
              <w:t>Ensayo sobre valores éticos</w:t>
            </w:r>
          </w:p>
        </w:tc>
        <w:tc>
          <w:tcPr>
            <w:tcW w:w="2015" w:type="dxa"/>
            <w:shd w:val="clear" w:color="auto" w:fill="D9E2F3"/>
            <w:vAlign w:val="center"/>
          </w:tcPr>
          <w:p w14:paraId="15199693" w14:textId="77777777" w:rsidR="00990B14" w:rsidRDefault="00000000">
            <w:pPr>
              <w:spacing w:before="20" w:after="20"/>
              <w:jc w:val="center"/>
            </w:pPr>
            <w:r>
              <w:rPr>
                <w:b/>
                <w:bCs/>
                <w:sz w:val="18"/>
                <w:szCs w:val="18"/>
              </w:rPr>
              <w:t>2%</w:t>
            </w:r>
          </w:p>
        </w:tc>
      </w:tr>
      <w:tr w:rsidR="00990B14" w14:paraId="12E6BE3D" w14:textId="77777777">
        <w:trPr>
          <w:cantSplit/>
          <w:jc w:val="center"/>
        </w:trPr>
        <w:tc>
          <w:tcPr>
            <w:tcW w:w="1545" w:type="dxa"/>
            <w:vMerge/>
            <w:shd w:val="clear" w:color="auto" w:fill="4472C4"/>
            <w:vAlign w:val="center"/>
          </w:tcPr>
          <w:p w14:paraId="7EFA6D5C" w14:textId="77777777" w:rsidR="00990B14" w:rsidRDefault="00990B14">
            <w:pPr>
              <w:spacing w:before="20" w:after="20"/>
            </w:pPr>
          </w:p>
        </w:tc>
        <w:tc>
          <w:tcPr>
            <w:tcW w:w="1815" w:type="dxa"/>
            <w:shd w:val="clear" w:color="auto" w:fill="4472C4"/>
            <w:vAlign w:val="center"/>
          </w:tcPr>
          <w:p w14:paraId="68426F96" w14:textId="77777777" w:rsidR="00990B14" w:rsidRDefault="00000000">
            <w:pPr>
              <w:keepNext/>
              <w:spacing w:before="20" w:after="20"/>
              <w:jc w:val="center"/>
            </w:pPr>
            <w:r>
              <w:rPr>
                <w:b/>
                <w:bCs/>
                <w:i/>
                <w:iCs/>
                <w:color w:val="FFFFFF"/>
                <w:sz w:val="18"/>
                <w:szCs w:val="18"/>
              </w:rPr>
              <w:t>Criterio</w:t>
            </w:r>
          </w:p>
        </w:tc>
        <w:tc>
          <w:tcPr>
            <w:tcW w:w="2120" w:type="dxa"/>
            <w:shd w:val="clear" w:color="auto" w:fill="4472C4"/>
            <w:vAlign w:val="center"/>
          </w:tcPr>
          <w:p w14:paraId="57BFAF6C"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6FB9AB95"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40F85BCE" w14:textId="77777777" w:rsidR="00990B14" w:rsidRDefault="00000000">
            <w:pPr>
              <w:keepNext/>
              <w:spacing w:before="20" w:after="20"/>
              <w:jc w:val="center"/>
            </w:pPr>
            <w:r>
              <w:rPr>
                <w:b/>
                <w:bCs/>
                <w:i/>
                <w:iCs/>
                <w:color w:val="FFFFFF"/>
                <w:sz w:val="18"/>
                <w:szCs w:val="18"/>
              </w:rPr>
              <w:t>Destacado (81–100)</w:t>
            </w:r>
          </w:p>
        </w:tc>
      </w:tr>
      <w:tr w:rsidR="00990B14" w14:paraId="0B4384AF" w14:textId="77777777">
        <w:trPr>
          <w:cantSplit/>
          <w:jc w:val="center"/>
        </w:trPr>
        <w:tc>
          <w:tcPr>
            <w:tcW w:w="1545" w:type="dxa"/>
            <w:vMerge/>
            <w:shd w:val="clear" w:color="auto" w:fill="4472C4"/>
            <w:vAlign w:val="center"/>
          </w:tcPr>
          <w:p w14:paraId="391CD9D1" w14:textId="77777777" w:rsidR="00990B14" w:rsidRDefault="00990B14">
            <w:pPr>
              <w:spacing w:before="20" w:after="20"/>
            </w:pPr>
          </w:p>
        </w:tc>
        <w:tc>
          <w:tcPr>
            <w:tcW w:w="1815" w:type="dxa"/>
            <w:shd w:val="clear" w:color="auto" w:fill="D9E2F3"/>
            <w:vAlign w:val="center"/>
          </w:tcPr>
          <w:p w14:paraId="22DCEE7C" w14:textId="77777777" w:rsidR="00990B14" w:rsidRDefault="00000000">
            <w:pPr>
              <w:spacing w:before="20" w:after="20"/>
              <w:jc w:val="both"/>
            </w:pPr>
            <w:r>
              <w:rPr>
                <w:sz w:val="18"/>
                <w:szCs w:val="18"/>
              </w:rPr>
              <w:t>Tesis y argumentos</w:t>
            </w:r>
          </w:p>
        </w:tc>
        <w:tc>
          <w:tcPr>
            <w:tcW w:w="2120" w:type="dxa"/>
            <w:shd w:val="clear" w:color="auto" w:fill="D9E2F3"/>
            <w:vAlign w:val="center"/>
          </w:tcPr>
          <w:p w14:paraId="10B5D06F" w14:textId="77777777" w:rsidR="00990B14" w:rsidRDefault="00000000">
            <w:pPr>
              <w:spacing w:before="20" w:after="20"/>
              <w:jc w:val="both"/>
            </w:pPr>
            <w:r>
              <w:rPr>
                <w:sz w:val="18"/>
                <w:szCs w:val="18"/>
              </w:rPr>
              <w:t>No plantea una tesis.</w:t>
            </w:r>
          </w:p>
        </w:tc>
        <w:tc>
          <w:tcPr>
            <w:tcW w:w="1910" w:type="dxa"/>
            <w:shd w:val="clear" w:color="auto" w:fill="D9E2F3"/>
            <w:vAlign w:val="center"/>
          </w:tcPr>
          <w:p w14:paraId="2A09ED72" w14:textId="77777777" w:rsidR="00990B14" w:rsidRDefault="00000000">
            <w:pPr>
              <w:spacing w:before="20" w:after="20"/>
              <w:jc w:val="both"/>
            </w:pPr>
            <w:r>
              <w:rPr>
                <w:sz w:val="18"/>
                <w:szCs w:val="18"/>
              </w:rPr>
              <w:t>Plantea una tesis sostenida con argumentos.</w:t>
            </w:r>
          </w:p>
        </w:tc>
        <w:tc>
          <w:tcPr>
            <w:tcW w:w="2015" w:type="dxa"/>
            <w:shd w:val="clear" w:color="auto" w:fill="D9E2F3"/>
            <w:vAlign w:val="center"/>
          </w:tcPr>
          <w:p w14:paraId="59E6EDF4" w14:textId="77777777" w:rsidR="00990B14" w:rsidRDefault="00000000">
            <w:pPr>
              <w:spacing w:before="20" w:after="20"/>
              <w:jc w:val="both"/>
            </w:pPr>
            <w:r>
              <w:rPr>
                <w:sz w:val="18"/>
                <w:szCs w:val="18"/>
              </w:rPr>
              <w:t>Anticipa y responde objeciones.</w:t>
            </w:r>
          </w:p>
        </w:tc>
      </w:tr>
      <w:tr w:rsidR="00990B14" w14:paraId="2471D1BB" w14:textId="77777777">
        <w:trPr>
          <w:cantSplit/>
          <w:jc w:val="center"/>
        </w:trPr>
        <w:tc>
          <w:tcPr>
            <w:tcW w:w="1545" w:type="dxa"/>
            <w:vMerge/>
            <w:shd w:val="clear" w:color="auto" w:fill="4472C4"/>
            <w:vAlign w:val="center"/>
          </w:tcPr>
          <w:p w14:paraId="3845D549" w14:textId="77777777" w:rsidR="00990B14" w:rsidRDefault="00990B14">
            <w:pPr>
              <w:spacing w:before="20" w:after="20"/>
            </w:pPr>
          </w:p>
        </w:tc>
        <w:tc>
          <w:tcPr>
            <w:tcW w:w="1815" w:type="dxa"/>
            <w:shd w:val="clear" w:color="auto" w:fill="D9E2F3"/>
            <w:vAlign w:val="center"/>
          </w:tcPr>
          <w:p w14:paraId="6A1435B2" w14:textId="77777777" w:rsidR="00990B14" w:rsidRDefault="00000000">
            <w:pPr>
              <w:spacing w:before="20" w:after="20"/>
              <w:jc w:val="both"/>
            </w:pPr>
            <w:r>
              <w:rPr>
                <w:sz w:val="18"/>
                <w:szCs w:val="18"/>
              </w:rPr>
              <w:t>Uso de fuentes</w:t>
            </w:r>
          </w:p>
        </w:tc>
        <w:tc>
          <w:tcPr>
            <w:tcW w:w="2120" w:type="dxa"/>
            <w:shd w:val="clear" w:color="auto" w:fill="D9E2F3"/>
            <w:vAlign w:val="center"/>
          </w:tcPr>
          <w:p w14:paraId="245CE840" w14:textId="77777777" w:rsidR="00990B14" w:rsidRDefault="00000000">
            <w:pPr>
              <w:spacing w:before="20" w:after="20"/>
              <w:jc w:val="both"/>
            </w:pPr>
            <w:r>
              <w:rPr>
                <w:sz w:val="18"/>
                <w:szCs w:val="18"/>
              </w:rPr>
              <w:t>No cita fuentes.</w:t>
            </w:r>
          </w:p>
        </w:tc>
        <w:tc>
          <w:tcPr>
            <w:tcW w:w="1910" w:type="dxa"/>
            <w:shd w:val="clear" w:color="auto" w:fill="D9E2F3"/>
            <w:vAlign w:val="center"/>
          </w:tcPr>
          <w:p w14:paraId="1B469906" w14:textId="77777777" w:rsidR="00990B14" w:rsidRDefault="00000000">
            <w:pPr>
              <w:spacing w:before="20" w:after="20"/>
              <w:jc w:val="both"/>
            </w:pPr>
            <w:r>
              <w:rPr>
                <w:sz w:val="18"/>
                <w:szCs w:val="18"/>
              </w:rPr>
              <w:t>Cita fuentes de forma correcta.</w:t>
            </w:r>
          </w:p>
        </w:tc>
        <w:tc>
          <w:tcPr>
            <w:tcW w:w="2015" w:type="dxa"/>
            <w:shd w:val="clear" w:color="auto" w:fill="D9E2F3"/>
            <w:vAlign w:val="center"/>
          </w:tcPr>
          <w:p w14:paraId="7E693060" w14:textId="77777777" w:rsidR="00990B14" w:rsidRDefault="00000000">
            <w:pPr>
              <w:spacing w:before="20" w:after="20"/>
              <w:jc w:val="both"/>
            </w:pPr>
            <w:r>
              <w:rPr>
                <w:sz w:val="18"/>
                <w:szCs w:val="18"/>
              </w:rPr>
              <w:t>Integra fuentes diversas con criterio.</w:t>
            </w:r>
          </w:p>
        </w:tc>
      </w:tr>
      <w:tr w:rsidR="00990B14" w14:paraId="70C5A552" w14:textId="77777777">
        <w:trPr>
          <w:cantSplit/>
          <w:jc w:val="center"/>
        </w:trPr>
        <w:tc>
          <w:tcPr>
            <w:tcW w:w="1545" w:type="dxa"/>
            <w:vMerge/>
            <w:shd w:val="clear" w:color="auto" w:fill="4472C4"/>
            <w:vAlign w:val="center"/>
          </w:tcPr>
          <w:p w14:paraId="3D87BA57" w14:textId="77777777" w:rsidR="00990B14" w:rsidRDefault="00990B14">
            <w:pPr>
              <w:spacing w:before="20" w:after="20"/>
            </w:pPr>
          </w:p>
        </w:tc>
        <w:tc>
          <w:tcPr>
            <w:tcW w:w="1815" w:type="dxa"/>
            <w:shd w:val="clear" w:color="auto" w:fill="D9E2F3"/>
            <w:vAlign w:val="center"/>
          </w:tcPr>
          <w:p w14:paraId="1B04796B" w14:textId="77777777" w:rsidR="00990B14" w:rsidRDefault="00000000">
            <w:pPr>
              <w:spacing w:before="20" w:after="20"/>
              <w:jc w:val="both"/>
            </w:pPr>
            <w:r>
              <w:rPr>
                <w:sz w:val="18"/>
                <w:szCs w:val="18"/>
              </w:rPr>
              <w:t>Redacción</w:t>
            </w:r>
          </w:p>
        </w:tc>
        <w:tc>
          <w:tcPr>
            <w:tcW w:w="2120" w:type="dxa"/>
            <w:shd w:val="clear" w:color="auto" w:fill="D9E2F3"/>
            <w:vAlign w:val="center"/>
          </w:tcPr>
          <w:p w14:paraId="15B2C13C" w14:textId="77777777" w:rsidR="00990B14" w:rsidRDefault="00000000">
            <w:pPr>
              <w:spacing w:before="20" w:after="20"/>
              <w:jc w:val="both"/>
            </w:pPr>
            <w:r>
              <w:rPr>
                <w:sz w:val="18"/>
                <w:szCs w:val="18"/>
              </w:rPr>
              <w:t>La redacción es confusa.</w:t>
            </w:r>
          </w:p>
        </w:tc>
        <w:tc>
          <w:tcPr>
            <w:tcW w:w="1910" w:type="dxa"/>
            <w:shd w:val="clear" w:color="auto" w:fill="D9E2F3"/>
            <w:vAlign w:val="center"/>
          </w:tcPr>
          <w:p w14:paraId="05ABD997" w14:textId="77777777" w:rsidR="00990B14" w:rsidRDefault="00000000">
            <w:pPr>
              <w:spacing w:before="20" w:after="20"/>
              <w:jc w:val="both"/>
            </w:pPr>
            <w:r>
              <w:rPr>
                <w:sz w:val="18"/>
                <w:szCs w:val="18"/>
              </w:rPr>
              <w:t>La redacción es clara y ordenada.</w:t>
            </w:r>
          </w:p>
        </w:tc>
        <w:tc>
          <w:tcPr>
            <w:tcW w:w="2015" w:type="dxa"/>
            <w:shd w:val="clear" w:color="auto" w:fill="D9E2F3"/>
            <w:vAlign w:val="center"/>
          </w:tcPr>
          <w:p w14:paraId="2CC73193" w14:textId="77777777" w:rsidR="00990B14" w:rsidRDefault="00000000">
            <w:pPr>
              <w:spacing w:before="20" w:after="20"/>
              <w:jc w:val="both"/>
            </w:pPr>
            <w:r>
              <w:rPr>
                <w:sz w:val="18"/>
                <w:szCs w:val="18"/>
              </w:rPr>
              <w:t>El ensayo es original y persuasivo.</w:t>
            </w:r>
          </w:p>
        </w:tc>
      </w:tr>
      <w:tr w:rsidR="00990B14" w14:paraId="4B14CE4B" w14:textId="77777777">
        <w:trPr>
          <w:cantSplit/>
          <w:jc w:val="center"/>
        </w:trPr>
        <w:tc>
          <w:tcPr>
            <w:tcW w:w="1545" w:type="dxa"/>
            <w:vMerge/>
            <w:shd w:val="clear" w:color="auto" w:fill="4472C4"/>
            <w:vAlign w:val="center"/>
          </w:tcPr>
          <w:p w14:paraId="69644195" w14:textId="77777777" w:rsidR="00990B14" w:rsidRDefault="00990B14">
            <w:pPr>
              <w:spacing w:before="20" w:after="20"/>
            </w:pPr>
          </w:p>
        </w:tc>
        <w:tc>
          <w:tcPr>
            <w:tcW w:w="5845" w:type="dxa"/>
            <w:gridSpan w:val="3"/>
            <w:shd w:val="clear" w:color="auto" w:fill="D9E2F3"/>
            <w:vAlign w:val="center"/>
          </w:tcPr>
          <w:p w14:paraId="4634E8A4" w14:textId="77777777" w:rsidR="00990B14" w:rsidRDefault="00000000">
            <w:pPr>
              <w:keepNext/>
              <w:spacing w:before="20" w:after="20"/>
              <w:jc w:val="both"/>
            </w:pPr>
            <w:r>
              <w:rPr>
                <w:b/>
                <w:bCs/>
                <w:i/>
                <w:iCs/>
                <w:sz w:val="18"/>
                <w:szCs w:val="18"/>
              </w:rPr>
              <w:t xml:space="preserve">Producto 5: </w:t>
            </w:r>
            <w:r>
              <w:rPr>
                <w:sz w:val="18"/>
                <w:szCs w:val="18"/>
              </w:rPr>
              <w:t>Análisis de un caso de fraude</w:t>
            </w:r>
          </w:p>
        </w:tc>
        <w:tc>
          <w:tcPr>
            <w:tcW w:w="2015" w:type="dxa"/>
            <w:shd w:val="clear" w:color="auto" w:fill="D9E2F3"/>
            <w:vAlign w:val="center"/>
          </w:tcPr>
          <w:p w14:paraId="76CDAA8D" w14:textId="77777777" w:rsidR="00990B14" w:rsidRDefault="00000000">
            <w:pPr>
              <w:spacing w:before="20" w:after="20"/>
              <w:jc w:val="center"/>
            </w:pPr>
            <w:r>
              <w:rPr>
                <w:b/>
                <w:bCs/>
                <w:sz w:val="18"/>
                <w:szCs w:val="18"/>
              </w:rPr>
              <w:t>7%</w:t>
            </w:r>
          </w:p>
        </w:tc>
      </w:tr>
      <w:tr w:rsidR="00990B14" w14:paraId="30D724FB" w14:textId="77777777">
        <w:trPr>
          <w:cantSplit/>
          <w:jc w:val="center"/>
        </w:trPr>
        <w:tc>
          <w:tcPr>
            <w:tcW w:w="1545" w:type="dxa"/>
            <w:vMerge/>
            <w:shd w:val="clear" w:color="auto" w:fill="4472C4"/>
            <w:vAlign w:val="center"/>
          </w:tcPr>
          <w:p w14:paraId="783B02D0" w14:textId="77777777" w:rsidR="00990B14" w:rsidRDefault="00990B14">
            <w:pPr>
              <w:spacing w:before="20" w:after="20"/>
            </w:pPr>
          </w:p>
        </w:tc>
        <w:tc>
          <w:tcPr>
            <w:tcW w:w="1815" w:type="dxa"/>
            <w:shd w:val="clear" w:color="auto" w:fill="4472C4"/>
            <w:vAlign w:val="center"/>
          </w:tcPr>
          <w:p w14:paraId="0AE7D12A" w14:textId="77777777" w:rsidR="00990B14" w:rsidRDefault="00000000">
            <w:pPr>
              <w:keepNext/>
              <w:spacing w:before="20" w:after="20"/>
              <w:jc w:val="center"/>
            </w:pPr>
            <w:r>
              <w:rPr>
                <w:b/>
                <w:bCs/>
                <w:i/>
                <w:iCs/>
                <w:color w:val="FFFFFF"/>
                <w:sz w:val="18"/>
                <w:szCs w:val="18"/>
              </w:rPr>
              <w:t>Criterio</w:t>
            </w:r>
          </w:p>
        </w:tc>
        <w:tc>
          <w:tcPr>
            <w:tcW w:w="2120" w:type="dxa"/>
            <w:shd w:val="clear" w:color="auto" w:fill="4472C4"/>
            <w:vAlign w:val="center"/>
          </w:tcPr>
          <w:p w14:paraId="7A4FE570"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6621E7D5"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3DC7B0D1" w14:textId="77777777" w:rsidR="00990B14" w:rsidRDefault="00000000">
            <w:pPr>
              <w:keepNext/>
              <w:spacing w:before="20" w:after="20"/>
              <w:jc w:val="center"/>
            </w:pPr>
            <w:r>
              <w:rPr>
                <w:b/>
                <w:bCs/>
                <w:i/>
                <w:iCs/>
                <w:color w:val="FFFFFF"/>
                <w:sz w:val="18"/>
                <w:szCs w:val="18"/>
              </w:rPr>
              <w:t>Destacado (81–100)</w:t>
            </w:r>
          </w:p>
        </w:tc>
      </w:tr>
      <w:tr w:rsidR="00990B14" w14:paraId="77305FD8" w14:textId="77777777">
        <w:trPr>
          <w:cantSplit/>
          <w:jc w:val="center"/>
        </w:trPr>
        <w:tc>
          <w:tcPr>
            <w:tcW w:w="1545" w:type="dxa"/>
            <w:vMerge/>
            <w:shd w:val="clear" w:color="auto" w:fill="4472C4"/>
            <w:vAlign w:val="center"/>
          </w:tcPr>
          <w:p w14:paraId="48B28FF8" w14:textId="77777777" w:rsidR="00990B14" w:rsidRDefault="00990B14">
            <w:pPr>
              <w:spacing w:before="20" w:after="20"/>
            </w:pPr>
          </w:p>
        </w:tc>
        <w:tc>
          <w:tcPr>
            <w:tcW w:w="1815" w:type="dxa"/>
            <w:shd w:val="clear" w:color="auto" w:fill="D9E2F3"/>
            <w:vAlign w:val="center"/>
          </w:tcPr>
          <w:p w14:paraId="0549EE52" w14:textId="77777777" w:rsidR="00990B14" w:rsidRDefault="00000000">
            <w:pPr>
              <w:spacing w:before="20" w:after="20"/>
              <w:jc w:val="both"/>
            </w:pPr>
            <w:r>
              <w:rPr>
                <w:sz w:val="18"/>
                <w:szCs w:val="18"/>
              </w:rPr>
              <w:t>Triángulo del fraude</w:t>
            </w:r>
          </w:p>
        </w:tc>
        <w:tc>
          <w:tcPr>
            <w:tcW w:w="2120" w:type="dxa"/>
            <w:shd w:val="clear" w:color="auto" w:fill="D9E2F3"/>
            <w:vAlign w:val="center"/>
          </w:tcPr>
          <w:p w14:paraId="00486F5F" w14:textId="77777777" w:rsidR="00990B14" w:rsidRDefault="00000000">
            <w:pPr>
              <w:spacing w:before="20" w:after="20"/>
              <w:jc w:val="both"/>
            </w:pPr>
            <w:r>
              <w:rPr>
                <w:sz w:val="18"/>
                <w:szCs w:val="18"/>
              </w:rPr>
              <w:t>No identifica los elementos del fraude.</w:t>
            </w:r>
          </w:p>
        </w:tc>
        <w:tc>
          <w:tcPr>
            <w:tcW w:w="1910" w:type="dxa"/>
            <w:shd w:val="clear" w:color="auto" w:fill="D9E2F3"/>
            <w:vAlign w:val="center"/>
          </w:tcPr>
          <w:p w14:paraId="75E55019" w14:textId="77777777" w:rsidR="00990B14" w:rsidRDefault="00000000">
            <w:pPr>
              <w:spacing w:before="20" w:after="20"/>
              <w:jc w:val="both"/>
            </w:pPr>
            <w:r>
              <w:rPr>
                <w:sz w:val="18"/>
                <w:szCs w:val="18"/>
              </w:rPr>
              <w:t>Identifica la presión, la oportunidad y la racionalización.</w:t>
            </w:r>
          </w:p>
        </w:tc>
        <w:tc>
          <w:tcPr>
            <w:tcW w:w="2015" w:type="dxa"/>
            <w:shd w:val="clear" w:color="auto" w:fill="D9E2F3"/>
            <w:vAlign w:val="center"/>
          </w:tcPr>
          <w:p w14:paraId="793EBEF3" w14:textId="77777777" w:rsidR="00990B14" w:rsidRDefault="00000000">
            <w:pPr>
              <w:spacing w:before="20" w:after="20"/>
              <w:jc w:val="both"/>
            </w:pPr>
            <w:r>
              <w:rPr>
                <w:sz w:val="18"/>
                <w:szCs w:val="18"/>
              </w:rPr>
              <w:t>Relaciona cada elemento con un control que lo mitiga.</w:t>
            </w:r>
          </w:p>
        </w:tc>
      </w:tr>
      <w:tr w:rsidR="00990B14" w14:paraId="31E16C65" w14:textId="77777777">
        <w:trPr>
          <w:cantSplit/>
          <w:jc w:val="center"/>
        </w:trPr>
        <w:tc>
          <w:tcPr>
            <w:tcW w:w="1545" w:type="dxa"/>
            <w:vMerge/>
            <w:shd w:val="clear" w:color="auto" w:fill="4472C4"/>
            <w:vAlign w:val="center"/>
          </w:tcPr>
          <w:p w14:paraId="15D9CD25" w14:textId="77777777" w:rsidR="00990B14" w:rsidRDefault="00990B14">
            <w:pPr>
              <w:spacing w:before="20" w:after="20"/>
            </w:pPr>
          </w:p>
        </w:tc>
        <w:tc>
          <w:tcPr>
            <w:tcW w:w="1815" w:type="dxa"/>
            <w:shd w:val="clear" w:color="auto" w:fill="D9E2F3"/>
            <w:vAlign w:val="center"/>
          </w:tcPr>
          <w:p w14:paraId="5F9FB8AA" w14:textId="77777777" w:rsidR="00990B14" w:rsidRDefault="00000000">
            <w:pPr>
              <w:spacing w:before="20" w:after="20"/>
              <w:jc w:val="both"/>
            </w:pPr>
            <w:r>
              <w:rPr>
                <w:sz w:val="18"/>
                <w:szCs w:val="18"/>
              </w:rPr>
              <w:t>Responsabilidad profesional</w:t>
            </w:r>
          </w:p>
        </w:tc>
        <w:tc>
          <w:tcPr>
            <w:tcW w:w="2120" w:type="dxa"/>
            <w:shd w:val="clear" w:color="auto" w:fill="D9E2F3"/>
            <w:vAlign w:val="center"/>
          </w:tcPr>
          <w:p w14:paraId="0D7C42C1" w14:textId="77777777" w:rsidR="00990B14" w:rsidRDefault="00000000">
            <w:pPr>
              <w:spacing w:before="20" w:after="20"/>
              <w:jc w:val="both"/>
            </w:pPr>
            <w:r>
              <w:rPr>
                <w:sz w:val="18"/>
                <w:szCs w:val="18"/>
              </w:rPr>
              <w:t>Confunde las responsabilidades.</w:t>
            </w:r>
          </w:p>
        </w:tc>
        <w:tc>
          <w:tcPr>
            <w:tcW w:w="1910" w:type="dxa"/>
            <w:shd w:val="clear" w:color="auto" w:fill="D9E2F3"/>
            <w:vAlign w:val="center"/>
          </w:tcPr>
          <w:p w14:paraId="7319964A" w14:textId="77777777" w:rsidR="00990B14" w:rsidRDefault="00000000">
            <w:pPr>
              <w:spacing w:before="20" w:after="20"/>
              <w:jc w:val="both"/>
            </w:pPr>
            <w:r>
              <w:rPr>
                <w:sz w:val="18"/>
                <w:szCs w:val="18"/>
              </w:rPr>
              <w:t>Explica la responsabilidad según las normas de auditoría sobre fraude.</w:t>
            </w:r>
          </w:p>
        </w:tc>
        <w:tc>
          <w:tcPr>
            <w:tcW w:w="2015" w:type="dxa"/>
            <w:shd w:val="clear" w:color="auto" w:fill="D9E2F3"/>
            <w:vAlign w:val="center"/>
          </w:tcPr>
          <w:p w14:paraId="37A78D38" w14:textId="77777777" w:rsidR="00990B14" w:rsidRDefault="00000000">
            <w:pPr>
              <w:spacing w:before="20" w:after="20"/>
              <w:jc w:val="both"/>
            </w:pPr>
            <w:r>
              <w:rPr>
                <w:sz w:val="18"/>
                <w:szCs w:val="18"/>
              </w:rPr>
              <w:t>Distingue la responsabilidad de la dirección y la del auditor.</w:t>
            </w:r>
          </w:p>
        </w:tc>
      </w:tr>
      <w:tr w:rsidR="00990B14" w14:paraId="5F6CC598" w14:textId="77777777">
        <w:trPr>
          <w:cantSplit/>
          <w:jc w:val="center"/>
        </w:trPr>
        <w:tc>
          <w:tcPr>
            <w:tcW w:w="1545" w:type="dxa"/>
            <w:vMerge/>
            <w:shd w:val="clear" w:color="auto" w:fill="4472C4"/>
            <w:vAlign w:val="center"/>
          </w:tcPr>
          <w:p w14:paraId="30082A5F" w14:textId="77777777" w:rsidR="00990B14" w:rsidRDefault="00990B14">
            <w:pPr>
              <w:spacing w:before="20" w:after="20"/>
            </w:pPr>
          </w:p>
        </w:tc>
        <w:tc>
          <w:tcPr>
            <w:tcW w:w="1815" w:type="dxa"/>
            <w:shd w:val="clear" w:color="auto" w:fill="D9E2F3"/>
            <w:vAlign w:val="center"/>
          </w:tcPr>
          <w:p w14:paraId="444E4385" w14:textId="77777777" w:rsidR="00990B14" w:rsidRDefault="00000000">
            <w:pPr>
              <w:spacing w:before="20" w:after="20"/>
              <w:jc w:val="both"/>
            </w:pPr>
            <w:r>
              <w:rPr>
                <w:sz w:val="18"/>
                <w:szCs w:val="18"/>
              </w:rPr>
              <w:t>Conclusiones</w:t>
            </w:r>
          </w:p>
        </w:tc>
        <w:tc>
          <w:tcPr>
            <w:tcW w:w="2120" w:type="dxa"/>
            <w:shd w:val="clear" w:color="auto" w:fill="D9E2F3"/>
            <w:vAlign w:val="center"/>
          </w:tcPr>
          <w:p w14:paraId="09812A53" w14:textId="77777777" w:rsidR="00990B14" w:rsidRDefault="00000000">
            <w:pPr>
              <w:spacing w:before="20" w:after="20"/>
              <w:jc w:val="both"/>
            </w:pPr>
            <w:r>
              <w:rPr>
                <w:sz w:val="18"/>
                <w:szCs w:val="18"/>
              </w:rPr>
              <w:t>Omite las señales de alerta del caso.</w:t>
            </w:r>
          </w:p>
        </w:tc>
        <w:tc>
          <w:tcPr>
            <w:tcW w:w="1910" w:type="dxa"/>
            <w:shd w:val="clear" w:color="auto" w:fill="D9E2F3"/>
            <w:vAlign w:val="center"/>
          </w:tcPr>
          <w:p w14:paraId="3B415FEF" w14:textId="77777777" w:rsidR="00990B14" w:rsidRDefault="00000000">
            <w:pPr>
              <w:spacing w:before="20" w:after="20"/>
              <w:jc w:val="both"/>
            </w:pPr>
            <w:r>
              <w:rPr>
                <w:sz w:val="18"/>
                <w:szCs w:val="18"/>
              </w:rPr>
              <w:t>Actúa con escepticismo ante las señales de alerta.</w:t>
            </w:r>
          </w:p>
        </w:tc>
        <w:tc>
          <w:tcPr>
            <w:tcW w:w="2015" w:type="dxa"/>
            <w:shd w:val="clear" w:color="auto" w:fill="D9E2F3"/>
            <w:vAlign w:val="center"/>
          </w:tcPr>
          <w:p w14:paraId="560A2CFD" w14:textId="77777777" w:rsidR="00990B14" w:rsidRDefault="00000000">
            <w:pPr>
              <w:spacing w:before="20" w:after="20"/>
              <w:jc w:val="both"/>
            </w:pPr>
            <w:r>
              <w:rPr>
                <w:sz w:val="18"/>
                <w:szCs w:val="18"/>
              </w:rPr>
              <w:t>Propone medidas de prevención viables.</w:t>
            </w:r>
          </w:p>
        </w:tc>
      </w:tr>
      <w:tr w:rsidR="00990B14" w14:paraId="2647992D" w14:textId="77777777">
        <w:trPr>
          <w:cantSplit/>
          <w:jc w:val="center"/>
        </w:trPr>
        <w:tc>
          <w:tcPr>
            <w:tcW w:w="1545" w:type="dxa"/>
            <w:vMerge/>
            <w:shd w:val="clear" w:color="auto" w:fill="4472C4"/>
            <w:vAlign w:val="center"/>
          </w:tcPr>
          <w:p w14:paraId="6AE53055" w14:textId="77777777" w:rsidR="00990B14" w:rsidRDefault="00990B14">
            <w:pPr>
              <w:spacing w:before="20" w:after="20"/>
            </w:pPr>
          </w:p>
        </w:tc>
        <w:tc>
          <w:tcPr>
            <w:tcW w:w="5845" w:type="dxa"/>
            <w:gridSpan w:val="3"/>
            <w:shd w:val="clear" w:color="auto" w:fill="D9E2F3"/>
            <w:vAlign w:val="center"/>
          </w:tcPr>
          <w:p w14:paraId="757C1E18" w14:textId="77777777" w:rsidR="00990B14" w:rsidRDefault="00000000">
            <w:pPr>
              <w:keepNext/>
              <w:spacing w:before="20" w:after="20"/>
              <w:jc w:val="both"/>
            </w:pPr>
            <w:r>
              <w:rPr>
                <w:b/>
                <w:bCs/>
                <w:i/>
                <w:iCs/>
                <w:sz w:val="18"/>
                <w:szCs w:val="18"/>
              </w:rPr>
              <w:t xml:space="preserve">Producto 6: </w:t>
            </w:r>
            <w:r>
              <w:rPr>
                <w:sz w:val="18"/>
                <w:szCs w:val="18"/>
              </w:rPr>
              <w:t>Propuesta de programa de integridad</w:t>
            </w:r>
          </w:p>
        </w:tc>
        <w:tc>
          <w:tcPr>
            <w:tcW w:w="2015" w:type="dxa"/>
            <w:shd w:val="clear" w:color="auto" w:fill="D9E2F3"/>
            <w:vAlign w:val="center"/>
          </w:tcPr>
          <w:p w14:paraId="359B6A3E" w14:textId="77777777" w:rsidR="00990B14" w:rsidRDefault="00000000">
            <w:pPr>
              <w:spacing w:before="20" w:after="20"/>
              <w:jc w:val="center"/>
            </w:pPr>
            <w:r>
              <w:rPr>
                <w:b/>
                <w:bCs/>
                <w:sz w:val="18"/>
                <w:szCs w:val="18"/>
              </w:rPr>
              <w:t>6%</w:t>
            </w:r>
          </w:p>
        </w:tc>
      </w:tr>
      <w:tr w:rsidR="00990B14" w14:paraId="0C0ABC26" w14:textId="77777777">
        <w:trPr>
          <w:cantSplit/>
          <w:jc w:val="center"/>
        </w:trPr>
        <w:tc>
          <w:tcPr>
            <w:tcW w:w="1545" w:type="dxa"/>
            <w:vMerge/>
            <w:shd w:val="clear" w:color="auto" w:fill="4472C4"/>
            <w:vAlign w:val="center"/>
          </w:tcPr>
          <w:p w14:paraId="23CC2638" w14:textId="77777777" w:rsidR="00990B14" w:rsidRDefault="00990B14">
            <w:pPr>
              <w:spacing w:before="20" w:after="20"/>
            </w:pPr>
          </w:p>
        </w:tc>
        <w:tc>
          <w:tcPr>
            <w:tcW w:w="1815" w:type="dxa"/>
            <w:shd w:val="clear" w:color="auto" w:fill="4472C4"/>
            <w:vAlign w:val="center"/>
          </w:tcPr>
          <w:p w14:paraId="69E30822" w14:textId="77777777" w:rsidR="00990B14" w:rsidRDefault="00000000">
            <w:pPr>
              <w:keepNext/>
              <w:spacing w:before="20" w:after="20"/>
              <w:jc w:val="center"/>
            </w:pPr>
            <w:r>
              <w:rPr>
                <w:b/>
                <w:bCs/>
                <w:i/>
                <w:iCs/>
                <w:color w:val="FFFFFF"/>
                <w:sz w:val="18"/>
                <w:szCs w:val="18"/>
              </w:rPr>
              <w:t>Criterio</w:t>
            </w:r>
          </w:p>
        </w:tc>
        <w:tc>
          <w:tcPr>
            <w:tcW w:w="2120" w:type="dxa"/>
            <w:shd w:val="clear" w:color="auto" w:fill="4472C4"/>
            <w:vAlign w:val="center"/>
          </w:tcPr>
          <w:p w14:paraId="45BBFFBB"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584E7AAE"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55C54591" w14:textId="77777777" w:rsidR="00990B14" w:rsidRDefault="00000000">
            <w:pPr>
              <w:keepNext/>
              <w:spacing w:before="20" w:after="20"/>
              <w:jc w:val="center"/>
            </w:pPr>
            <w:r>
              <w:rPr>
                <w:b/>
                <w:bCs/>
                <w:i/>
                <w:iCs/>
                <w:color w:val="FFFFFF"/>
                <w:sz w:val="18"/>
                <w:szCs w:val="18"/>
              </w:rPr>
              <w:t>Destacado (81–100)</w:t>
            </w:r>
          </w:p>
        </w:tc>
      </w:tr>
      <w:tr w:rsidR="00990B14" w14:paraId="5F6720C8" w14:textId="77777777">
        <w:trPr>
          <w:cantSplit/>
          <w:jc w:val="center"/>
        </w:trPr>
        <w:tc>
          <w:tcPr>
            <w:tcW w:w="1545" w:type="dxa"/>
            <w:vMerge/>
            <w:shd w:val="clear" w:color="auto" w:fill="4472C4"/>
            <w:vAlign w:val="center"/>
          </w:tcPr>
          <w:p w14:paraId="12E0A392" w14:textId="77777777" w:rsidR="00990B14" w:rsidRDefault="00990B14">
            <w:pPr>
              <w:spacing w:before="20" w:after="20"/>
            </w:pPr>
          </w:p>
        </w:tc>
        <w:tc>
          <w:tcPr>
            <w:tcW w:w="1815" w:type="dxa"/>
            <w:shd w:val="clear" w:color="auto" w:fill="D9E2F3"/>
            <w:vAlign w:val="center"/>
          </w:tcPr>
          <w:p w14:paraId="4EEFE07E" w14:textId="77777777" w:rsidR="00990B14" w:rsidRDefault="00000000">
            <w:pPr>
              <w:spacing w:before="20" w:after="20"/>
              <w:jc w:val="both"/>
            </w:pPr>
            <w:r>
              <w:rPr>
                <w:sz w:val="18"/>
                <w:szCs w:val="18"/>
              </w:rPr>
              <w:t>Diagnóstico del riesgo</w:t>
            </w:r>
          </w:p>
        </w:tc>
        <w:tc>
          <w:tcPr>
            <w:tcW w:w="2120" w:type="dxa"/>
            <w:shd w:val="clear" w:color="auto" w:fill="D9E2F3"/>
            <w:vAlign w:val="center"/>
          </w:tcPr>
          <w:p w14:paraId="63843469" w14:textId="77777777" w:rsidR="00990B14" w:rsidRDefault="00000000">
            <w:pPr>
              <w:spacing w:before="20" w:after="20"/>
              <w:jc w:val="both"/>
            </w:pPr>
            <w:r>
              <w:rPr>
                <w:sz w:val="18"/>
                <w:szCs w:val="18"/>
              </w:rPr>
              <w:t>No identifica el riesgo de corrupción.</w:t>
            </w:r>
          </w:p>
        </w:tc>
        <w:tc>
          <w:tcPr>
            <w:tcW w:w="1910" w:type="dxa"/>
            <w:shd w:val="clear" w:color="auto" w:fill="D9E2F3"/>
            <w:vAlign w:val="center"/>
          </w:tcPr>
          <w:p w14:paraId="61DB9CE6" w14:textId="77777777" w:rsidR="00990B14" w:rsidRDefault="00000000">
            <w:pPr>
              <w:spacing w:before="20" w:after="20"/>
              <w:jc w:val="both"/>
            </w:pPr>
            <w:r>
              <w:rPr>
                <w:sz w:val="18"/>
                <w:szCs w:val="18"/>
              </w:rPr>
              <w:t>Identifica el soborno, la influencia indebida o el conflicto de intereses.</w:t>
            </w:r>
          </w:p>
        </w:tc>
        <w:tc>
          <w:tcPr>
            <w:tcW w:w="2015" w:type="dxa"/>
            <w:shd w:val="clear" w:color="auto" w:fill="D9E2F3"/>
            <w:vAlign w:val="center"/>
          </w:tcPr>
          <w:p w14:paraId="411F0DF4" w14:textId="77777777" w:rsidR="00990B14" w:rsidRDefault="00000000">
            <w:pPr>
              <w:spacing w:before="20" w:after="20"/>
              <w:jc w:val="both"/>
            </w:pPr>
            <w:r>
              <w:rPr>
                <w:sz w:val="18"/>
                <w:szCs w:val="18"/>
              </w:rPr>
              <w:t>Evalúa la exposición de la organización.</w:t>
            </w:r>
          </w:p>
        </w:tc>
      </w:tr>
      <w:tr w:rsidR="00990B14" w14:paraId="6DB569B2" w14:textId="77777777">
        <w:trPr>
          <w:cantSplit/>
          <w:jc w:val="center"/>
        </w:trPr>
        <w:tc>
          <w:tcPr>
            <w:tcW w:w="1545" w:type="dxa"/>
            <w:vMerge/>
            <w:shd w:val="clear" w:color="auto" w:fill="4472C4"/>
            <w:vAlign w:val="center"/>
          </w:tcPr>
          <w:p w14:paraId="12617C04" w14:textId="77777777" w:rsidR="00990B14" w:rsidRDefault="00990B14">
            <w:pPr>
              <w:spacing w:before="20" w:after="20"/>
            </w:pPr>
          </w:p>
        </w:tc>
        <w:tc>
          <w:tcPr>
            <w:tcW w:w="1815" w:type="dxa"/>
            <w:shd w:val="clear" w:color="auto" w:fill="D9E2F3"/>
            <w:vAlign w:val="center"/>
          </w:tcPr>
          <w:p w14:paraId="40DF5362" w14:textId="77777777" w:rsidR="00990B14" w:rsidRDefault="00000000">
            <w:pPr>
              <w:spacing w:before="20" w:after="20"/>
              <w:jc w:val="both"/>
            </w:pPr>
            <w:r>
              <w:rPr>
                <w:sz w:val="18"/>
                <w:szCs w:val="18"/>
              </w:rPr>
              <w:t>Medidas propuestas</w:t>
            </w:r>
          </w:p>
        </w:tc>
        <w:tc>
          <w:tcPr>
            <w:tcW w:w="2120" w:type="dxa"/>
            <w:shd w:val="clear" w:color="auto" w:fill="D9E2F3"/>
            <w:vAlign w:val="center"/>
          </w:tcPr>
          <w:p w14:paraId="528EBDB4" w14:textId="77777777" w:rsidR="00990B14" w:rsidRDefault="00000000">
            <w:pPr>
              <w:spacing w:before="20" w:after="20"/>
              <w:jc w:val="both"/>
            </w:pPr>
            <w:r>
              <w:rPr>
                <w:sz w:val="18"/>
                <w:szCs w:val="18"/>
              </w:rPr>
              <w:t>Las medidas son genéricas.</w:t>
            </w:r>
          </w:p>
        </w:tc>
        <w:tc>
          <w:tcPr>
            <w:tcW w:w="1910" w:type="dxa"/>
            <w:shd w:val="clear" w:color="auto" w:fill="D9E2F3"/>
            <w:vAlign w:val="center"/>
          </w:tcPr>
          <w:p w14:paraId="491079D5" w14:textId="77777777" w:rsidR="00990B14" w:rsidRDefault="00000000">
            <w:pPr>
              <w:spacing w:before="20" w:after="20"/>
              <w:jc w:val="both"/>
            </w:pPr>
            <w:r>
              <w:rPr>
                <w:sz w:val="18"/>
                <w:szCs w:val="18"/>
              </w:rPr>
              <w:t>Propone código de conducta, canal de denuncias y debida diligencia.</w:t>
            </w:r>
          </w:p>
        </w:tc>
        <w:tc>
          <w:tcPr>
            <w:tcW w:w="2015" w:type="dxa"/>
            <w:shd w:val="clear" w:color="auto" w:fill="D9E2F3"/>
            <w:vAlign w:val="center"/>
          </w:tcPr>
          <w:p w14:paraId="181EB93F" w14:textId="77777777" w:rsidR="00990B14" w:rsidRDefault="00000000">
            <w:pPr>
              <w:spacing w:before="20" w:after="20"/>
              <w:jc w:val="both"/>
            </w:pPr>
            <w:r>
              <w:rPr>
                <w:sz w:val="18"/>
                <w:szCs w:val="18"/>
              </w:rPr>
              <w:t>Alinea las medidas con un sistema de gestión antisoborno reconocido.</w:t>
            </w:r>
          </w:p>
        </w:tc>
      </w:tr>
      <w:tr w:rsidR="00990B14" w14:paraId="1423D3DF" w14:textId="77777777">
        <w:trPr>
          <w:cantSplit/>
          <w:jc w:val="center"/>
        </w:trPr>
        <w:tc>
          <w:tcPr>
            <w:tcW w:w="1545" w:type="dxa"/>
            <w:vMerge/>
            <w:shd w:val="clear" w:color="auto" w:fill="4472C4"/>
            <w:vAlign w:val="center"/>
          </w:tcPr>
          <w:p w14:paraId="63A4BA43" w14:textId="77777777" w:rsidR="00990B14" w:rsidRDefault="00990B14">
            <w:pPr>
              <w:spacing w:before="20" w:after="20"/>
            </w:pPr>
          </w:p>
        </w:tc>
        <w:tc>
          <w:tcPr>
            <w:tcW w:w="1815" w:type="dxa"/>
            <w:shd w:val="clear" w:color="auto" w:fill="D9E2F3"/>
            <w:vAlign w:val="center"/>
          </w:tcPr>
          <w:p w14:paraId="418A8C0F" w14:textId="77777777" w:rsidR="00990B14" w:rsidRDefault="00000000">
            <w:pPr>
              <w:spacing w:before="20" w:after="20"/>
              <w:jc w:val="both"/>
            </w:pPr>
            <w:r>
              <w:rPr>
                <w:sz w:val="18"/>
                <w:szCs w:val="18"/>
              </w:rPr>
              <w:t>Trabajo en equipo</w:t>
            </w:r>
          </w:p>
        </w:tc>
        <w:tc>
          <w:tcPr>
            <w:tcW w:w="2120" w:type="dxa"/>
            <w:shd w:val="clear" w:color="auto" w:fill="D9E2F3"/>
            <w:vAlign w:val="center"/>
          </w:tcPr>
          <w:p w14:paraId="7B2BEE9E" w14:textId="77777777" w:rsidR="00990B14" w:rsidRDefault="00000000">
            <w:pPr>
              <w:spacing w:before="20" w:after="20"/>
              <w:jc w:val="both"/>
            </w:pPr>
            <w:r>
              <w:rPr>
                <w:sz w:val="18"/>
                <w:szCs w:val="18"/>
              </w:rPr>
              <w:t>La participación es desigual.</w:t>
            </w:r>
          </w:p>
        </w:tc>
        <w:tc>
          <w:tcPr>
            <w:tcW w:w="1910" w:type="dxa"/>
            <w:shd w:val="clear" w:color="auto" w:fill="D9E2F3"/>
            <w:vAlign w:val="center"/>
          </w:tcPr>
          <w:p w14:paraId="5F6E1510" w14:textId="77777777" w:rsidR="00990B14" w:rsidRDefault="00000000">
            <w:pPr>
              <w:spacing w:before="20" w:after="20"/>
              <w:jc w:val="both"/>
            </w:pPr>
            <w:r>
              <w:rPr>
                <w:sz w:val="18"/>
                <w:szCs w:val="18"/>
              </w:rPr>
              <w:t>Todos los integrantes participan.</w:t>
            </w:r>
          </w:p>
        </w:tc>
        <w:tc>
          <w:tcPr>
            <w:tcW w:w="2015" w:type="dxa"/>
            <w:shd w:val="clear" w:color="auto" w:fill="D9E2F3"/>
            <w:vAlign w:val="center"/>
          </w:tcPr>
          <w:p w14:paraId="1D2AF5C9" w14:textId="77777777" w:rsidR="00990B14" w:rsidRDefault="00000000">
            <w:pPr>
              <w:spacing w:before="20" w:after="20"/>
              <w:jc w:val="both"/>
            </w:pPr>
            <w:r>
              <w:rPr>
                <w:sz w:val="18"/>
                <w:szCs w:val="18"/>
              </w:rPr>
              <w:t>El equipo sustenta sus conclusiones ante el curso.</w:t>
            </w:r>
          </w:p>
        </w:tc>
      </w:tr>
      <w:tr w:rsidR="00990B14" w14:paraId="3430473A" w14:textId="77777777">
        <w:trPr>
          <w:cantSplit/>
          <w:jc w:val="center"/>
        </w:trPr>
        <w:tc>
          <w:tcPr>
            <w:tcW w:w="1545" w:type="dxa"/>
            <w:vMerge/>
            <w:shd w:val="clear" w:color="auto" w:fill="4472C4"/>
            <w:vAlign w:val="center"/>
          </w:tcPr>
          <w:p w14:paraId="3D83E02A" w14:textId="77777777" w:rsidR="00990B14" w:rsidRDefault="00990B14">
            <w:pPr>
              <w:spacing w:before="20" w:after="20"/>
            </w:pPr>
          </w:p>
        </w:tc>
        <w:tc>
          <w:tcPr>
            <w:tcW w:w="5845" w:type="dxa"/>
            <w:gridSpan w:val="3"/>
            <w:shd w:val="clear" w:color="auto" w:fill="D9E2F3"/>
            <w:vAlign w:val="center"/>
          </w:tcPr>
          <w:p w14:paraId="073B700C" w14:textId="77777777" w:rsidR="00990B14" w:rsidRDefault="00000000">
            <w:pPr>
              <w:keepNext/>
              <w:spacing w:before="20" w:after="20"/>
              <w:jc w:val="both"/>
            </w:pPr>
            <w:r>
              <w:rPr>
                <w:b/>
                <w:bCs/>
                <w:i/>
                <w:iCs/>
                <w:sz w:val="18"/>
                <w:szCs w:val="18"/>
              </w:rPr>
              <w:t xml:space="preserve">Producto 7: </w:t>
            </w:r>
            <w:r>
              <w:rPr>
                <w:sz w:val="18"/>
                <w:szCs w:val="18"/>
              </w:rPr>
              <w:t>Resolución de un dilema ético</w:t>
            </w:r>
          </w:p>
        </w:tc>
        <w:tc>
          <w:tcPr>
            <w:tcW w:w="2015" w:type="dxa"/>
            <w:shd w:val="clear" w:color="auto" w:fill="D9E2F3"/>
            <w:vAlign w:val="center"/>
          </w:tcPr>
          <w:p w14:paraId="0E462619" w14:textId="77777777" w:rsidR="00990B14" w:rsidRDefault="00000000">
            <w:pPr>
              <w:spacing w:before="20" w:after="20"/>
              <w:jc w:val="center"/>
            </w:pPr>
            <w:r>
              <w:rPr>
                <w:b/>
                <w:bCs/>
                <w:sz w:val="18"/>
                <w:szCs w:val="18"/>
              </w:rPr>
              <w:t>6%</w:t>
            </w:r>
          </w:p>
        </w:tc>
      </w:tr>
      <w:tr w:rsidR="00990B14" w14:paraId="417F53F5" w14:textId="77777777">
        <w:trPr>
          <w:cantSplit/>
          <w:jc w:val="center"/>
        </w:trPr>
        <w:tc>
          <w:tcPr>
            <w:tcW w:w="1545" w:type="dxa"/>
            <w:vMerge/>
            <w:shd w:val="clear" w:color="auto" w:fill="4472C4"/>
            <w:vAlign w:val="center"/>
          </w:tcPr>
          <w:p w14:paraId="3B29541D" w14:textId="77777777" w:rsidR="00990B14" w:rsidRDefault="00990B14">
            <w:pPr>
              <w:spacing w:before="20" w:after="20"/>
            </w:pPr>
          </w:p>
        </w:tc>
        <w:tc>
          <w:tcPr>
            <w:tcW w:w="1815" w:type="dxa"/>
            <w:shd w:val="clear" w:color="auto" w:fill="4472C4"/>
            <w:vAlign w:val="center"/>
          </w:tcPr>
          <w:p w14:paraId="3B8CA06C" w14:textId="77777777" w:rsidR="00990B14" w:rsidRDefault="00000000">
            <w:pPr>
              <w:keepNext/>
              <w:spacing w:before="20" w:after="20"/>
              <w:jc w:val="center"/>
            </w:pPr>
            <w:r>
              <w:rPr>
                <w:b/>
                <w:bCs/>
                <w:i/>
                <w:iCs/>
                <w:color w:val="FFFFFF"/>
                <w:sz w:val="18"/>
                <w:szCs w:val="18"/>
              </w:rPr>
              <w:t>Criterio</w:t>
            </w:r>
          </w:p>
        </w:tc>
        <w:tc>
          <w:tcPr>
            <w:tcW w:w="2120" w:type="dxa"/>
            <w:shd w:val="clear" w:color="auto" w:fill="4472C4"/>
            <w:vAlign w:val="center"/>
          </w:tcPr>
          <w:p w14:paraId="1CF31871"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34FD6C49"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79300010" w14:textId="77777777" w:rsidR="00990B14" w:rsidRDefault="00000000">
            <w:pPr>
              <w:keepNext/>
              <w:spacing w:before="20" w:after="20"/>
              <w:jc w:val="center"/>
            </w:pPr>
            <w:r>
              <w:rPr>
                <w:b/>
                <w:bCs/>
                <w:i/>
                <w:iCs/>
                <w:color w:val="FFFFFF"/>
                <w:sz w:val="18"/>
                <w:szCs w:val="18"/>
              </w:rPr>
              <w:t>Destacado (81–100)</w:t>
            </w:r>
          </w:p>
        </w:tc>
      </w:tr>
      <w:tr w:rsidR="00990B14" w14:paraId="767EDF39" w14:textId="77777777">
        <w:trPr>
          <w:cantSplit/>
          <w:jc w:val="center"/>
        </w:trPr>
        <w:tc>
          <w:tcPr>
            <w:tcW w:w="1545" w:type="dxa"/>
            <w:vMerge/>
            <w:shd w:val="clear" w:color="auto" w:fill="4472C4"/>
            <w:vAlign w:val="center"/>
          </w:tcPr>
          <w:p w14:paraId="4CC4B871" w14:textId="77777777" w:rsidR="00990B14" w:rsidRDefault="00990B14">
            <w:pPr>
              <w:spacing w:before="20" w:after="20"/>
            </w:pPr>
          </w:p>
        </w:tc>
        <w:tc>
          <w:tcPr>
            <w:tcW w:w="1815" w:type="dxa"/>
            <w:shd w:val="clear" w:color="auto" w:fill="D9E2F3"/>
            <w:vAlign w:val="center"/>
          </w:tcPr>
          <w:p w14:paraId="31E4AA1B" w14:textId="77777777" w:rsidR="00990B14" w:rsidRDefault="00000000">
            <w:pPr>
              <w:spacing w:before="20" w:after="20"/>
              <w:jc w:val="both"/>
            </w:pPr>
            <w:r>
              <w:rPr>
                <w:sz w:val="18"/>
                <w:szCs w:val="18"/>
              </w:rPr>
              <w:t>Planteamiento del dilema</w:t>
            </w:r>
          </w:p>
        </w:tc>
        <w:tc>
          <w:tcPr>
            <w:tcW w:w="2120" w:type="dxa"/>
            <w:shd w:val="clear" w:color="auto" w:fill="D9E2F3"/>
            <w:vAlign w:val="center"/>
          </w:tcPr>
          <w:p w14:paraId="2C5EAC98" w14:textId="77777777" w:rsidR="00990B14" w:rsidRDefault="00000000">
            <w:pPr>
              <w:spacing w:before="20" w:after="20"/>
              <w:jc w:val="both"/>
            </w:pPr>
            <w:r>
              <w:rPr>
                <w:sz w:val="18"/>
                <w:szCs w:val="18"/>
              </w:rPr>
              <w:t>No identifica los preceptos en conflicto.</w:t>
            </w:r>
          </w:p>
        </w:tc>
        <w:tc>
          <w:tcPr>
            <w:tcW w:w="1910" w:type="dxa"/>
            <w:shd w:val="clear" w:color="auto" w:fill="D9E2F3"/>
            <w:vAlign w:val="center"/>
          </w:tcPr>
          <w:p w14:paraId="47101471" w14:textId="77777777" w:rsidR="00990B14" w:rsidRDefault="00000000">
            <w:pPr>
              <w:spacing w:before="20" w:after="20"/>
              <w:jc w:val="both"/>
            </w:pPr>
            <w:r>
              <w:rPr>
                <w:sz w:val="18"/>
                <w:szCs w:val="18"/>
              </w:rPr>
              <w:t>Identifica los preceptos y los afectados.</w:t>
            </w:r>
          </w:p>
        </w:tc>
        <w:tc>
          <w:tcPr>
            <w:tcW w:w="2015" w:type="dxa"/>
            <w:shd w:val="clear" w:color="auto" w:fill="D9E2F3"/>
            <w:vAlign w:val="center"/>
          </w:tcPr>
          <w:p w14:paraId="4EED08FE" w14:textId="77777777" w:rsidR="00990B14" w:rsidRDefault="00000000">
            <w:pPr>
              <w:spacing w:before="20" w:after="20"/>
              <w:jc w:val="both"/>
            </w:pPr>
            <w:r>
              <w:rPr>
                <w:sz w:val="18"/>
                <w:szCs w:val="18"/>
              </w:rPr>
              <w:t>Distingue el conflicto legal del conflicto moral.</w:t>
            </w:r>
          </w:p>
        </w:tc>
      </w:tr>
      <w:tr w:rsidR="00990B14" w14:paraId="3B1A9FAE" w14:textId="77777777">
        <w:trPr>
          <w:cantSplit/>
          <w:jc w:val="center"/>
        </w:trPr>
        <w:tc>
          <w:tcPr>
            <w:tcW w:w="1545" w:type="dxa"/>
            <w:vMerge/>
            <w:shd w:val="clear" w:color="auto" w:fill="4472C4"/>
            <w:vAlign w:val="center"/>
          </w:tcPr>
          <w:p w14:paraId="7C467D92" w14:textId="77777777" w:rsidR="00990B14" w:rsidRDefault="00990B14">
            <w:pPr>
              <w:spacing w:before="20" w:after="20"/>
            </w:pPr>
          </w:p>
        </w:tc>
        <w:tc>
          <w:tcPr>
            <w:tcW w:w="1815" w:type="dxa"/>
            <w:shd w:val="clear" w:color="auto" w:fill="D9E2F3"/>
            <w:vAlign w:val="center"/>
          </w:tcPr>
          <w:p w14:paraId="374C5196" w14:textId="77777777" w:rsidR="00990B14" w:rsidRDefault="00000000">
            <w:pPr>
              <w:spacing w:before="20" w:after="20"/>
              <w:jc w:val="both"/>
            </w:pPr>
            <w:r>
              <w:rPr>
                <w:sz w:val="18"/>
                <w:szCs w:val="18"/>
              </w:rPr>
              <w:t>Fundamento normativo</w:t>
            </w:r>
          </w:p>
        </w:tc>
        <w:tc>
          <w:tcPr>
            <w:tcW w:w="2120" w:type="dxa"/>
            <w:shd w:val="clear" w:color="auto" w:fill="D9E2F3"/>
            <w:vAlign w:val="center"/>
          </w:tcPr>
          <w:p w14:paraId="05E2B19A" w14:textId="77777777" w:rsidR="00990B14" w:rsidRDefault="00000000">
            <w:pPr>
              <w:spacing w:before="20" w:after="20"/>
              <w:jc w:val="both"/>
            </w:pPr>
            <w:r>
              <w:rPr>
                <w:sz w:val="18"/>
                <w:szCs w:val="18"/>
              </w:rPr>
              <w:t>Resuelve sin referencia al Código.</w:t>
            </w:r>
          </w:p>
        </w:tc>
        <w:tc>
          <w:tcPr>
            <w:tcW w:w="1910" w:type="dxa"/>
            <w:shd w:val="clear" w:color="auto" w:fill="D9E2F3"/>
            <w:vAlign w:val="center"/>
          </w:tcPr>
          <w:p w14:paraId="64C406B5" w14:textId="77777777" w:rsidR="00990B14" w:rsidRDefault="00000000">
            <w:pPr>
              <w:spacing w:before="20" w:after="20"/>
              <w:jc w:val="both"/>
            </w:pPr>
            <w:r>
              <w:rPr>
                <w:sz w:val="18"/>
                <w:szCs w:val="18"/>
              </w:rPr>
              <w:t>Fundamenta la resolución en el Código de Ética.</w:t>
            </w:r>
          </w:p>
        </w:tc>
        <w:tc>
          <w:tcPr>
            <w:tcW w:w="2015" w:type="dxa"/>
            <w:shd w:val="clear" w:color="auto" w:fill="D9E2F3"/>
            <w:vAlign w:val="center"/>
          </w:tcPr>
          <w:p w14:paraId="4F423C92" w14:textId="77777777" w:rsidR="00990B14" w:rsidRDefault="00000000">
            <w:pPr>
              <w:spacing w:before="20" w:after="20"/>
              <w:jc w:val="both"/>
            </w:pPr>
            <w:r>
              <w:rPr>
                <w:sz w:val="18"/>
                <w:szCs w:val="18"/>
              </w:rPr>
              <w:t>Evalúa alternativas antes de decidir.</w:t>
            </w:r>
          </w:p>
        </w:tc>
      </w:tr>
      <w:tr w:rsidR="00990B14" w14:paraId="7000E13B" w14:textId="77777777">
        <w:trPr>
          <w:cantSplit/>
          <w:jc w:val="center"/>
        </w:trPr>
        <w:tc>
          <w:tcPr>
            <w:tcW w:w="1545" w:type="dxa"/>
            <w:vMerge/>
            <w:shd w:val="clear" w:color="auto" w:fill="4472C4"/>
            <w:vAlign w:val="center"/>
          </w:tcPr>
          <w:p w14:paraId="076CAC9B" w14:textId="77777777" w:rsidR="00990B14" w:rsidRDefault="00990B14">
            <w:pPr>
              <w:spacing w:before="20" w:after="20"/>
            </w:pPr>
          </w:p>
        </w:tc>
        <w:tc>
          <w:tcPr>
            <w:tcW w:w="1815" w:type="dxa"/>
            <w:shd w:val="clear" w:color="auto" w:fill="D9E2F3"/>
            <w:vAlign w:val="center"/>
          </w:tcPr>
          <w:p w14:paraId="6F267A57" w14:textId="77777777" w:rsidR="00990B14" w:rsidRDefault="00000000">
            <w:pPr>
              <w:spacing w:before="20" w:after="20"/>
              <w:jc w:val="both"/>
            </w:pPr>
            <w:r>
              <w:rPr>
                <w:sz w:val="18"/>
                <w:szCs w:val="18"/>
              </w:rPr>
              <w:t>Trabajo en equipo</w:t>
            </w:r>
          </w:p>
        </w:tc>
        <w:tc>
          <w:tcPr>
            <w:tcW w:w="2120" w:type="dxa"/>
            <w:shd w:val="clear" w:color="auto" w:fill="D9E2F3"/>
            <w:vAlign w:val="center"/>
          </w:tcPr>
          <w:p w14:paraId="3230591D" w14:textId="77777777" w:rsidR="00990B14" w:rsidRDefault="00000000">
            <w:pPr>
              <w:spacing w:before="20" w:after="20"/>
              <w:jc w:val="both"/>
            </w:pPr>
            <w:r>
              <w:rPr>
                <w:sz w:val="18"/>
                <w:szCs w:val="18"/>
              </w:rPr>
              <w:t>La participación es desigual.</w:t>
            </w:r>
          </w:p>
        </w:tc>
        <w:tc>
          <w:tcPr>
            <w:tcW w:w="1910" w:type="dxa"/>
            <w:shd w:val="clear" w:color="auto" w:fill="D9E2F3"/>
            <w:vAlign w:val="center"/>
          </w:tcPr>
          <w:p w14:paraId="03D76A9B" w14:textId="77777777" w:rsidR="00990B14" w:rsidRDefault="00000000">
            <w:pPr>
              <w:spacing w:before="20" w:after="20"/>
              <w:jc w:val="both"/>
            </w:pPr>
            <w:r>
              <w:rPr>
                <w:sz w:val="18"/>
                <w:szCs w:val="18"/>
              </w:rPr>
              <w:t>Todos los integrantes participan.</w:t>
            </w:r>
          </w:p>
        </w:tc>
        <w:tc>
          <w:tcPr>
            <w:tcW w:w="2015" w:type="dxa"/>
            <w:shd w:val="clear" w:color="auto" w:fill="D9E2F3"/>
            <w:vAlign w:val="center"/>
          </w:tcPr>
          <w:p w14:paraId="7A217134" w14:textId="77777777" w:rsidR="00990B14" w:rsidRDefault="00000000">
            <w:pPr>
              <w:spacing w:before="20" w:after="20"/>
              <w:jc w:val="both"/>
            </w:pPr>
            <w:r>
              <w:rPr>
                <w:sz w:val="18"/>
                <w:szCs w:val="18"/>
              </w:rPr>
              <w:t>El equipo sustenta sus conclusiones ante el curso.</w:t>
            </w:r>
          </w:p>
        </w:tc>
      </w:tr>
      <w:tr w:rsidR="00990B14" w14:paraId="51329F46" w14:textId="77777777">
        <w:trPr>
          <w:cantSplit/>
          <w:jc w:val="center"/>
        </w:trPr>
        <w:tc>
          <w:tcPr>
            <w:tcW w:w="1545" w:type="dxa"/>
            <w:vMerge/>
            <w:shd w:val="clear" w:color="auto" w:fill="4472C4"/>
            <w:vAlign w:val="center"/>
          </w:tcPr>
          <w:p w14:paraId="6CCD92AF" w14:textId="77777777" w:rsidR="00990B14" w:rsidRDefault="00990B14">
            <w:pPr>
              <w:spacing w:before="20" w:after="20"/>
            </w:pPr>
          </w:p>
        </w:tc>
        <w:tc>
          <w:tcPr>
            <w:tcW w:w="5845" w:type="dxa"/>
            <w:gridSpan w:val="3"/>
            <w:shd w:val="clear" w:color="auto" w:fill="D9E2F3"/>
            <w:vAlign w:val="center"/>
          </w:tcPr>
          <w:p w14:paraId="25814653" w14:textId="77777777" w:rsidR="00990B14" w:rsidRDefault="00000000">
            <w:pPr>
              <w:keepNext/>
              <w:spacing w:before="20" w:after="20"/>
              <w:jc w:val="both"/>
            </w:pPr>
            <w:r>
              <w:rPr>
                <w:b/>
                <w:bCs/>
                <w:i/>
                <w:iCs/>
                <w:sz w:val="18"/>
                <w:szCs w:val="18"/>
              </w:rPr>
              <w:t xml:space="preserve">Producto 8: </w:t>
            </w:r>
            <w:r>
              <w:rPr>
                <w:sz w:val="18"/>
                <w:szCs w:val="18"/>
              </w:rPr>
              <w:t>Informe sobre la función social del contador</w:t>
            </w:r>
          </w:p>
        </w:tc>
        <w:tc>
          <w:tcPr>
            <w:tcW w:w="2015" w:type="dxa"/>
            <w:shd w:val="clear" w:color="auto" w:fill="D9E2F3"/>
            <w:vAlign w:val="center"/>
          </w:tcPr>
          <w:p w14:paraId="6B73B6A4" w14:textId="77777777" w:rsidR="00990B14" w:rsidRDefault="00000000">
            <w:pPr>
              <w:spacing w:before="20" w:after="20"/>
              <w:jc w:val="center"/>
            </w:pPr>
            <w:r>
              <w:rPr>
                <w:b/>
                <w:bCs/>
                <w:sz w:val="18"/>
                <w:szCs w:val="18"/>
              </w:rPr>
              <w:t>6%</w:t>
            </w:r>
          </w:p>
        </w:tc>
      </w:tr>
      <w:tr w:rsidR="00990B14" w14:paraId="461B7EA0" w14:textId="77777777">
        <w:trPr>
          <w:cantSplit/>
          <w:jc w:val="center"/>
        </w:trPr>
        <w:tc>
          <w:tcPr>
            <w:tcW w:w="1545" w:type="dxa"/>
            <w:vMerge/>
            <w:shd w:val="clear" w:color="auto" w:fill="4472C4"/>
            <w:vAlign w:val="center"/>
          </w:tcPr>
          <w:p w14:paraId="1E151746" w14:textId="77777777" w:rsidR="00990B14" w:rsidRDefault="00990B14">
            <w:pPr>
              <w:spacing w:before="20" w:after="20"/>
            </w:pPr>
          </w:p>
        </w:tc>
        <w:tc>
          <w:tcPr>
            <w:tcW w:w="1815" w:type="dxa"/>
            <w:shd w:val="clear" w:color="auto" w:fill="4472C4"/>
            <w:vAlign w:val="center"/>
          </w:tcPr>
          <w:p w14:paraId="2A2A9FEA" w14:textId="77777777" w:rsidR="00990B14" w:rsidRDefault="00000000">
            <w:pPr>
              <w:keepNext/>
              <w:spacing w:before="20" w:after="20"/>
              <w:jc w:val="center"/>
            </w:pPr>
            <w:r>
              <w:rPr>
                <w:b/>
                <w:bCs/>
                <w:i/>
                <w:iCs/>
                <w:color w:val="FFFFFF"/>
                <w:sz w:val="18"/>
                <w:szCs w:val="18"/>
              </w:rPr>
              <w:t>Criterio</w:t>
            </w:r>
          </w:p>
        </w:tc>
        <w:tc>
          <w:tcPr>
            <w:tcW w:w="2120" w:type="dxa"/>
            <w:shd w:val="clear" w:color="auto" w:fill="4472C4"/>
            <w:vAlign w:val="center"/>
          </w:tcPr>
          <w:p w14:paraId="4045926C"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480F1ED6"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071EDD46" w14:textId="77777777" w:rsidR="00990B14" w:rsidRDefault="00000000">
            <w:pPr>
              <w:keepNext/>
              <w:spacing w:before="20" w:after="20"/>
              <w:jc w:val="center"/>
            </w:pPr>
            <w:r>
              <w:rPr>
                <w:b/>
                <w:bCs/>
                <w:i/>
                <w:iCs/>
                <w:color w:val="FFFFFF"/>
                <w:sz w:val="18"/>
                <w:szCs w:val="18"/>
              </w:rPr>
              <w:t>Destacado (81–100)</w:t>
            </w:r>
          </w:p>
        </w:tc>
      </w:tr>
      <w:tr w:rsidR="00990B14" w14:paraId="5731B9B5" w14:textId="77777777">
        <w:trPr>
          <w:cantSplit/>
          <w:jc w:val="center"/>
        </w:trPr>
        <w:tc>
          <w:tcPr>
            <w:tcW w:w="1545" w:type="dxa"/>
            <w:vMerge/>
            <w:shd w:val="clear" w:color="auto" w:fill="4472C4"/>
            <w:vAlign w:val="center"/>
          </w:tcPr>
          <w:p w14:paraId="27D5A2CF" w14:textId="77777777" w:rsidR="00990B14" w:rsidRDefault="00990B14">
            <w:pPr>
              <w:spacing w:before="20" w:after="20"/>
            </w:pPr>
          </w:p>
        </w:tc>
        <w:tc>
          <w:tcPr>
            <w:tcW w:w="1815" w:type="dxa"/>
            <w:shd w:val="clear" w:color="auto" w:fill="D9E2F3"/>
            <w:vAlign w:val="center"/>
          </w:tcPr>
          <w:p w14:paraId="49D39B24" w14:textId="77777777" w:rsidR="00990B14" w:rsidRDefault="00000000">
            <w:pPr>
              <w:spacing w:before="20" w:after="20"/>
              <w:jc w:val="both"/>
            </w:pPr>
            <w:r>
              <w:rPr>
                <w:sz w:val="18"/>
                <w:szCs w:val="18"/>
              </w:rPr>
              <w:t>Función social</w:t>
            </w:r>
          </w:p>
        </w:tc>
        <w:tc>
          <w:tcPr>
            <w:tcW w:w="2120" w:type="dxa"/>
            <w:shd w:val="clear" w:color="auto" w:fill="D9E2F3"/>
            <w:vAlign w:val="center"/>
          </w:tcPr>
          <w:p w14:paraId="55F399E8" w14:textId="77777777" w:rsidR="00990B14" w:rsidRDefault="00000000">
            <w:pPr>
              <w:spacing w:before="20" w:after="20"/>
              <w:jc w:val="both"/>
            </w:pPr>
            <w:r>
              <w:rPr>
                <w:sz w:val="18"/>
                <w:szCs w:val="18"/>
              </w:rPr>
              <w:t>Omite la confianza pública.</w:t>
            </w:r>
          </w:p>
        </w:tc>
        <w:tc>
          <w:tcPr>
            <w:tcW w:w="1910" w:type="dxa"/>
            <w:shd w:val="clear" w:color="auto" w:fill="D9E2F3"/>
            <w:vAlign w:val="center"/>
          </w:tcPr>
          <w:p w14:paraId="7D642D59" w14:textId="77777777" w:rsidR="00990B14" w:rsidRDefault="00000000">
            <w:pPr>
              <w:spacing w:before="20" w:after="20"/>
              <w:jc w:val="both"/>
            </w:pPr>
            <w:r>
              <w:rPr>
                <w:sz w:val="18"/>
                <w:szCs w:val="18"/>
              </w:rPr>
              <w:t>Explica la función de garantizar la confianza pública.</w:t>
            </w:r>
          </w:p>
        </w:tc>
        <w:tc>
          <w:tcPr>
            <w:tcW w:w="2015" w:type="dxa"/>
            <w:shd w:val="clear" w:color="auto" w:fill="D9E2F3"/>
            <w:vAlign w:val="center"/>
          </w:tcPr>
          <w:p w14:paraId="072CA7E5" w14:textId="77777777" w:rsidR="00990B14" w:rsidRDefault="00000000">
            <w:pPr>
              <w:spacing w:before="20" w:after="20"/>
              <w:jc w:val="both"/>
            </w:pPr>
            <w:r>
              <w:rPr>
                <w:sz w:val="18"/>
                <w:szCs w:val="18"/>
              </w:rPr>
              <w:t>Relaciona la función con casos recientes.</w:t>
            </w:r>
          </w:p>
        </w:tc>
      </w:tr>
      <w:tr w:rsidR="00990B14" w14:paraId="031BB4A5" w14:textId="77777777">
        <w:trPr>
          <w:cantSplit/>
          <w:jc w:val="center"/>
        </w:trPr>
        <w:tc>
          <w:tcPr>
            <w:tcW w:w="1545" w:type="dxa"/>
            <w:vMerge/>
            <w:shd w:val="clear" w:color="auto" w:fill="4472C4"/>
            <w:vAlign w:val="center"/>
          </w:tcPr>
          <w:p w14:paraId="29AE3377" w14:textId="77777777" w:rsidR="00990B14" w:rsidRDefault="00990B14">
            <w:pPr>
              <w:spacing w:before="20" w:after="20"/>
            </w:pPr>
          </w:p>
        </w:tc>
        <w:tc>
          <w:tcPr>
            <w:tcW w:w="1815" w:type="dxa"/>
            <w:shd w:val="clear" w:color="auto" w:fill="D9E2F3"/>
            <w:vAlign w:val="center"/>
          </w:tcPr>
          <w:p w14:paraId="1AF9267D" w14:textId="77777777" w:rsidR="00990B14" w:rsidRDefault="00000000">
            <w:pPr>
              <w:spacing w:before="20" w:after="20"/>
              <w:jc w:val="both"/>
            </w:pPr>
            <w:r>
              <w:rPr>
                <w:sz w:val="18"/>
                <w:szCs w:val="18"/>
              </w:rPr>
              <w:t>Riesgos éticos</w:t>
            </w:r>
          </w:p>
        </w:tc>
        <w:tc>
          <w:tcPr>
            <w:tcW w:w="2120" w:type="dxa"/>
            <w:shd w:val="clear" w:color="auto" w:fill="D9E2F3"/>
            <w:vAlign w:val="center"/>
          </w:tcPr>
          <w:p w14:paraId="63463D1C" w14:textId="77777777" w:rsidR="00990B14" w:rsidRDefault="00000000">
            <w:pPr>
              <w:spacing w:before="20" w:after="20"/>
              <w:jc w:val="both"/>
            </w:pPr>
            <w:r>
              <w:rPr>
                <w:sz w:val="18"/>
                <w:szCs w:val="18"/>
              </w:rPr>
              <w:t>No identifica riesgos.</w:t>
            </w:r>
          </w:p>
        </w:tc>
        <w:tc>
          <w:tcPr>
            <w:tcW w:w="1910" w:type="dxa"/>
            <w:shd w:val="clear" w:color="auto" w:fill="D9E2F3"/>
            <w:vAlign w:val="center"/>
          </w:tcPr>
          <w:p w14:paraId="18A341C0" w14:textId="77777777" w:rsidR="00990B14" w:rsidRDefault="00000000">
            <w:pPr>
              <w:spacing w:before="20" w:after="20"/>
              <w:jc w:val="both"/>
            </w:pPr>
            <w:r>
              <w:rPr>
                <w:sz w:val="18"/>
                <w:szCs w:val="18"/>
              </w:rPr>
              <w:t>Identifica riesgos de confidencialidad y de declaraciones engañosas.</w:t>
            </w:r>
          </w:p>
        </w:tc>
        <w:tc>
          <w:tcPr>
            <w:tcW w:w="2015" w:type="dxa"/>
            <w:shd w:val="clear" w:color="auto" w:fill="D9E2F3"/>
            <w:vAlign w:val="center"/>
          </w:tcPr>
          <w:p w14:paraId="4A1E2FC7" w14:textId="77777777" w:rsidR="00990B14" w:rsidRDefault="00000000">
            <w:pPr>
              <w:spacing w:before="20" w:after="20"/>
              <w:jc w:val="both"/>
            </w:pPr>
            <w:r>
              <w:rPr>
                <w:sz w:val="18"/>
                <w:szCs w:val="18"/>
              </w:rPr>
              <w:t>Propone pautas de conducta frente a esos riesgos.</w:t>
            </w:r>
          </w:p>
        </w:tc>
      </w:tr>
      <w:tr w:rsidR="00990B14" w14:paraId="0EA96B32" w14:textId="77777777">
        <w:trPr>
          <w:cantSplit/>
          <w:jc w:val="center"/>
        </w:trPr>
        <w:tc>
          <w:tcPr>
            <w:tcW w:w="1545" w:type="dxa"/>
            <w:vMerge/>
            <w:shd w:val="clear" w:color="auto" w:fill="4472C4"/>
            <w:vAlign w:val="center"/>
          </w:tcPr>
          <w:p w14:paraId="58EDDF21" w14:textId="77777777" w:rsidR="00990B14" w:rsidRDefault="00990B14">
            <w:pPr>
              <w:spacing w:before="20" w:after="20"/>
            </w:pPr>
          </w:p>
        </w:tc>
        <w:tc>
          <w:tcPr>
            <w:tcW w:w="1815" w:type="dxa"/>
            <w:shd w:val="clear" w:color="auto" w:fill="D9E2F3"/>
            <w:vAlign w:val="center"/>
          </w:tcPr>
          <w:p w14:paraId="3895CFE1" w14:textId="77777777" w:rsidR="00990B14" w:rsidRDefault="00000000">
            <w:pPr>
              <w:spacing w:before="20" w:after="20"/>
              <w:jc w:val="both"/>
            </w:pPr>
            <w:r>
              <w:rPr>
                <w:sz w:val="18"/>
                <w:szCs w:val="18"/>
              </w:rPr>
              <w:t>Claridad de la sustentación</w:t>
            </w:r>
          </w:p>
        </w:tc>
        <w:tc>
          <w:tcPr>
            <w:tcW w:w="2120" w:type="dxa"/>
            <w:shd w:val="clear" w:color="auto" w:fill="D9E2F3"/>
            <w:vAlign w:val="center"/>
          </w:tcPr>
          <w:p w14:paraId="6654C1E1" w14:textId="77777777" w:rsidR="00990B14" w:rsidRDefault="00000000">
            <w:pPr>
              <w:spacing w:before="20" w:after="20"/>
              <w:jc w:val="both"/>
            </w:pPr>
            <w:r>
              <w:rPr>
                <w:sz w:val="18"/>
                <w:szCs w:val="18"/>
              </w:rPr>
              <w:t>La sustentación es confusa.</w:t>
            </w:r>
          </w:p>
        </w:tc>
        <w:tc>
          <w:tcPr>
            <w:tcW w:w="1910" w:type="dxa"/>
            <w:shd w:val="clear" w:color="auto" w:fill="D9E2F3"/>
            <w:vAlign w:val="center"/>
          </w:tcPr>
          <w:p w14:paraId="5C9EB817" w14:textId="77777777" w:rsidR="00990B14" w:rsidRDefault="00000000">
            <w:pPr>
              <w:spacing w:before="20" w:after="20"/>
              <w:jc w:val="both"/>
            </w:pPr>
            <w:r>
              <w:rPr>
                <w:sz w:val="18"/>
                <w:szCs w:val="18"/>
              </w:rPr>
              <w:t>Sustenta con claridad ante el curso.</w:t>
            </w:r>
          </w:p>
        </w:tc>
        <w:tc>
          <w:tcPr>
            <w:tcW w:w="2015" w:type="dxa"/>
            <w:shd w:val="clear" w:color="auto" w:fill="D9E2F3"/>
            <w:vAlign w:val="center"/>
          </w:tcPr>
          <w:p w14:paraId="50094503" w14:textId="77777777" w:rsidR="00990B14" w:rsidRDefault="00000000">
            <w:pPr>
              <w:spacing w:before="20" w:after="20"/>
              <w:jc w:val="both"/>
            </w:pPr>
            <w:r>
              <w:rPr>
                <w:sz w:val="18"/>
                <w:szCs w:val="18"/>
              </w:rPr>
              <w:t>Responde con fundamentos a las preguntas.</w:t>
            </w:r>
          </w:p>
        </w:tc>
      </w:tr>
      <w:tr w:rsidR="00990B14" w14:paraId="5759A850" w14:textId="77777777">
        <w:trPr>
          <w:cantSplit/>
          <w:jc w:val="center"/>
        </w:trPr>
        <w:tc>
          <w:tcPr>
            <w:tcW w:w="1545" w:type="dxa"/>
            <w:vMerge/>
            <w:shd w:val="clear" w:color="auto" w:fill="4472C4"/>
            <w:vAlign w:val="center"/>
          </w:tcPr>
          <w:p w14:paraId="14820E3F" w14:textId="77777777" w:rsidR="00990B14" w:rsidRDefault="00990B14">
            <w:pPr>
              <w:spacing w:before="20" w:after="20"/>
            </w:pPr>
          </w:p>
        </w:tc>
        <w:tc>
          <w:tcPr>
            <w:tcW w:w="5845" w:type="dxa"/>
            <w:gridSpan w:val="3"/>
            <w:shd w:val="clear" w:color="auto" w:fill="D9E2F3"/>
            <w:vAlign w:val="center"/>
          </w:tcPr>
          <w:p w14:paraId="5C693963" w14:textId="77777777" w:rsidR="00990B14" w:rsidRDefault="00000000">
            <w:pPr>
              <w:keepNext/>
              <w:spacing w:before="20" w:after="20"/>
              <w:jc w:val="both"/>
            </w:pPr>
            <w:r>
              <w:rPr>
                <w:b/>
                <w:bCs/>
                <w:i/>
                <w:iCs/>
                <w:sz w:val="18"/>
                <w:szCs w:val="18"/>
              </w:rPr>
              <w:t xml:space="preserve">Producto 9: </w:t>
            </w:r>
            <w:r>
              <w:rPr>
                <w:sz w:val="18"/>
                <w:szCs w:val="18"/>
              </w:rPr>
              <w:t>Esquema de la estructura del Código</w:t>
            </w:r>
          </w:p>
        </w:tc>
        <w:tc>
          <w:tcPr>
            <w:tcW w:w="2015" w:type="dxa"/>
            <w:shd w:val="clear" w:color="auto" w:fill="D9E2F3"/>
            <w:vAlign w:val="center"/>
          </w:tcPr>
          <w:p w14:paraId="4BCB7523" w14:textId="77777777" w:rsidR="00990B14" w:rsidRDefault="00000000">
            <w:pPr>
              <w:spacing w:before="20" w:after="20"/>
              <w:jc w:val="center"/>
            </w:pPr>
            <w:r>
              <w:rPr>
                <w:b/>
                <w:bCs/>
                <w:sz w:val="18"/>
                <w:szCs w:val="18"/>
              </w:rPr>
              <w:t>6%</w:t>
            </w:r>
          </w:p>
        </w:tc>
      </w:tr>
      <w:tr w:rsidR="00990B14" w14:paraId="2614458B" w14:textId="77777777">
        <w:trPr>
          <w:cantSplit/>
          <w:jc w:val="center"/>
        </w:trPr>
        <w:tc>
          <w:tcPr>
            <w:tcW w:w="1545" w:type="dxa"/>
            <w:vMerge/>
            <w:shd w:val="clear" w:color="auto" w:fill="4472C4"/>
            <w:vAlign w:val="center"/>
          </w:tcPr>
          <w:p w14:paraId="259AF4C8" w14:textId="77777777" w:rsidR="00990B14" w:rsidRDefault="00990B14">
            <w:pPr>
              <w:spacing w:before="20" w:after="20"/>
            </w:pPr>
          </w:p>
        </w:tc>
        <w:tc>
          <w:tcPr>
            <w:tcW w:w="1815" w:type="dxa"/>
            <w:shd w:val="clear" w:color="auto" w:fill="4472C4"/>
            <w:vAlign w:val="center"/>
          </w:tcPr>
          <w:p w14:paraId="44AD6FD4" w14:textId="77777777" w:rsidR="00990B14" w:rsidRDefault="00000000">
            <w:pPr>
              <w:keepNext/>
              <w:spacing w:before="20" w:after="20"/>
              <w:jc w:val="center"/>
            </w:pPr>
            <w:r>
              <w:rPr>
                <w:b/>
                <w:bCs/>
                <w:i/>
                <w:iCs/>
                <w:color w:val="FFFFFF"/>
                <w:sz w:val="18"/>
                <w:szCs w:val="18"/>
              </w:rPr>
              <w:t>Criterio</w:t>
            </w:r>
          </w:p>
        </w:tc>
        <w:tc>
          <w:tcPr>
            <w:tcW w:w="2120" w:type="dxa"/>
            <w:shd w:val="clear" w:color="auto" w:fill="4472C4"/>
            <w:vAlign w:val="center"/>
          </w:tcPr>
          <w:p w14:paraId="4CA7E351"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5FC88951"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2B48E209" w14:textId="77777777" w:rsidR="00990B14" w:rsidRDefault="00000000">
            <w:pPr>
              <w:keepNext/>
              <w:spacing w:before="20" w:after="20"/>
              <w:jc w:val="center"/>
            </w:pPr>
            <w:r>
              <w:rPr>
                <w:b/>
                <w:bCs/>
                <w:i/>
                <w:iCs/>
                <w:color w:val="FFFFFF"/>
                <w:sz w:val="18"/>
                <w:szCs w:val="18"/>
              </w:rPr>
              <w:t>Destacado (81–100)</w:t>
            </w:r>
          </w:p>
        </w:tc>
      </w:tr>
      <w:tr w:rsidR="00990B14" w14:paraId="32D19762" w14:textId="77777777">
        <w:trPr>
          <w:cantSplit/>
          <w:jc w:val="center"/>
        </w:trPr>
        <w:tc>
          <w:tcPr>
            <w:tcW w:w="1545" w:type="dxa"/>
            <w:vMerge/>
            <w:shd w:val="clear" w:color="auto" w:fill="4472C4"/>
            <w:vAlign w:val="center"/>
          </w:tcPr>
          <w:p w14:paraId="72BCA9E7" w14:textId="77777777" w:rsidR="00990B14" w:rsidRDefault="00990B14">
            <w:pPr>
              <w:spacing w:before="20" w:after="20"/>
            </w:pPr>
          </w:p>
        </w:tc>
        <w:tc>
          <w:tcPr>
            <w:tcW w:w="1815" w:type="dxa"/>
            <w:shd w:val="clear" w:color="auto" w:fill="D9E2F3"/>
            <w:vAlign w:val="center"/>
          </w:tcPr>
          <w:p w14:paraId="4ACEFCE7" w14:textId="77777777" w:rsidR="00990B14" w:rsidRDefault="00000000">
            <w:pPr>
              <w:spacing w:before="20" w:after="20"/>
              <w:jc w:val="both"/>
            </w:pPr>
            <w:r>
              <w:rPr>
                <w:sz w:val="18"/>
                <w:szCs w:val="18"/>
              </w:rPr>
              <w:t>Partes del Código</w:t>
            </w:r>
          </w:p>
        </w:tc>
        <w:tc>
          <w:tcPr>
            <w:tcW w:w="2120" w:type="dxa"/>
            <w:shd w:val="clear" w:color="auto" w:fill="D9E2F3"/>
            <w:vAlign w:val="center"/>
          </w:tcPr>
          <w:p w14:paraId="01C8F8AC" w14:textId="77777777" w:rsidR="00990B14" w:rsidRDefault="00000000">
            <w:pPr>
              <w:spacing w:before="20" w:after="20"/>
              <w:jc w:val="both"/>
            </w:pPr>
            <w:r>
              <w:rPr>
                <w:sz w:val="18"/>
                <w:szCs w:val="18"/>
              </w:rPr>
              <w:t>Omite partes del Código.</w:t>
            </w:r>
          </w:p>
        </w:tc>
        <w:tc>
          <w:tcPr>
            <w:tcW w:w="1910" w:type="dxa"/>
            <w:shd w:val="clear" w:color="auto" w:fill="D9E2F3"/>
            <w:vAlign w:val="center"/>
          </w:tcPr>
          <w:p w14:paraId="15F88E4B" w14:textId="77777777" w:rsidR="00990B14" w:rsidRDefault="00000000">
            <w:pPr>
              <w:spacing w:before="20" w:after="20"/>
              <w:jc w:val="both"/>
            </w:pPr>
            <w:r>
              <w:rPr>
                <w:sz w:val="18"/>
                <w:szCs w:val="18"/>
              </w:rPr>
              <w:t>Describe las partes y su ámbito de aplicación.</w:t>
            </w:r>
          </w:p>
        </w:tc>
        <w:tc>
          <w:tcPr>
            <w:tcW w:w="2015" w:type="dxa"/>
            <w:shd w:val="clear" w:color="auto" w:fill="D9E2F3"/>
            <w:vAlign w:val="center"/>
          </w:tcPr>
          <w:p w14:paraId="7B778260" w14:textId="77777777" w:rsidR="00990B14" w:rsidRDefault="00000000">
            <w:pPr>
              <w:spacing w:before="20" w:after="20"/>
              <w:jc w:val="both"/>
            </w:pPr>
            <w:r>
              <w:rPr>
                <w:sz w:val="18"/>
                <w:szCs w:val="18"/>
              </w:rPr>
              <w:t>Relaciona cada parte con un tipo de profesional.</w:t>
            </w:r>
          </w:p>
        </w:tc>
      </w:tr>
      <w:tr w:rsidR="00990B14" w14:paraId="3B8CD65E" w14:textId="77777777">
        <w:trPr>
          <w:cantSplit/>
          <w:jc w:val="center"/>
        </w:trPr>
        <w:tc>
          <w:tcPr>
            <w:tcW w:w="1545" w:type="dxa"/>
            <w:vMerge/>
            <w:shd w:val="clear" w:color="auto" w:fill="4472C4"/>
            <w:vAlign w:val="center"/>
          </w:tcPr>
          <w:p w14:paraId="2DA963D8" w14:textId="77777777" w:rsidR="00990B14" w:rsidRDefault="00990B14">
            <w:pPr>
              <w:spacing w:before="20" w:after="20"/>
            </w:pPr>
          </w:p>
        </w:tc>
        <w:tc>
          <w:tcPr>
            <w:tcW w:w="1815" w:type="dxa"/>
            <w:shd w:val="clear" w:color="auto" w:fill="D9E2F3"/>
            <w:vAlign w:val="center"/>
          </w:tcPr>
          <w:p w14:paraId="566815C2" w14:textId="77777777" w:rsidR="00990B14" w:rsidRDefault="00000000">
            <w:pPr>
              <w:spacing w:before="20" w:after="20"/>
              <w:jc w:val="both"/>
            </w:pPr>
            <w:r>
              <w:rPr>
                <w:sz w:val="18"/>
                <w:szCs w:val="18"/>
              </w:rPr>
              <w:t>Revisiones recientes</w:t>
            </w:r>
          </w:p>
        </w:tc>
        <w:tc>
          <w:tcPr>
            <w:tcW w:w="2120" w:type="dxa"/>
            <w:shd w:val="clear" w:color="auto" w:fill="D9E2F3"/>
            <w:vAlign w:val="center"/>
          </w:tcPr>
          <w:p w14:paraId="72178778" w14:textId="77777777" w:rsidR="00990B14" w:rsidRDefault="00000000">
            <w:pPr>
              <w:spacing w:before="20" w:after="20"/>
              <w:jc w:val="both"/>
            </w:pPr>
            <w:r>
              <w:rPr>
                <w:sz w:val="18"/>
                <w:szCs w:val="18"/>
              </w:rPr>
              <w:t>Ignora las revisiones recientes.</w:t>
            </w:r>
          </w:p>
        </w:tc>
        <w:tc>
          <w:tcPr>
            <w:tcW w:w="1910" w:type="dxa"/>
            <w:shd w:val="clear" w:color="auto" w:fill="D9E2F3"/>
            <w:vAlign w:val="center"/>
          </w:tcPr>
          <w:p w14:paraId="0BB4F830" w14:textId="77777777" w:rsidR="00990B14" w:rsidRDefault="00000000">
            <w:pPr>
              <w:spacing w:before="20" w:after="20"/>
              <w:jc w:val="both"/>
            </w:pPr>
            <w:r>
              <w:rPr>
                <w:sz w:val="18"/>
                <w:szCs w:val="18"/>
              </w:rPr>
              <w:t>Describe las disposiciones sobre planificación fiscal, tecnología y sostenibilidad.</w:t>
            </w:r>
          </w:p>
        </w:tc>
        <w:tc>
          <w:tcPr>
            <w:tcW w:w="2015" w:type="dxa"/>
            <w:shd w:val="clear" w:color="auto" w:fill="D9E2F3"/>
            <w:vAlign w:val="center"/>
          </w:tcPr>
          <w:p w14:paraId="38A20B00" w14:textId="77777777" w:rsidR="00990B14" w:rsidRDefault="00000000">
            <w:pPr>
              <w:spacing w:before="20" w:after="20"/>
              <w:jc w:val="both"/>
            </w:pPr>
            <w:r>
              <w:rPr>
                <w:sz w:val="18"/>
                <w:szCs w:val="18"/>
              </w:rPr>
              <w:t>Explica el efecto de las revisiones en la práctica.</w:t>
            </w:r>
          </w:p>
        </w:tc>
      </w:tr>
      <w:tr w:rsidR="00990B14" w14:paraId="0AC92026" w14:textId="77777777">
        <w:trPr>
          <w:cantSplit/>
          <w:jc w:val="center"/>
        </w:trPr>
        <w:tc>
          <w:tcPr>
            <w:tcW w:w="1545" w:type="dxa"/>
            <w:vMerge/>
            <w:shd w:val="clear" w:color="auto" w:fill="4472C4"/>
            <w:vAlign w:val="center"/>
          </w:tcPr>
          <w:p w14:paraId="2508A60C" w14:textId="77777777" w:rsidR="00990B14" w:rsidRDefault="00990B14">
            <w:pPr>
              <w:spacing w:before="20" w:after="20"/>
            </w:pPr>
          </w:p>
        </w:tc>
        <w:tc>
          <w:tcPr>
            <w:tcW w:w="1815" w:type="dxa"/>
            <w:shd w:val="clear" w:color="auto" w:fill="D9E2F3"/>
            <w:vAlign w:val="center"/>
          </w:tcPr>
          <w:p w14:paraId="57D6E24A" w14:textId="77777777" w:rsidR="00990B14" w:rsidRDefault="00000000">
            <w:pPr>
              <w:spacing w:before="20" w:after="20"/>
              <w:jc w:val="both"/>
            </w:pPr>
            <w:r>
              <w:rPr>
                <w:sz w:val="18"/>
                <w:szCs w:val="18"/>
              </w:rPr>
              <w:t>Claridad de la exposición</w:t>
            </w:r>
          </w:p>
        </w:tc>
        <w:tc>
          <w:tcPr>
            <w:tcW w:w="2120" w:type="dxa"/>
            <w:shd w:val="clear" w:color="auto" w:fill="D9E2F3"/>
            <w:vAlign w:val="center"/>
          </w:tcPr>
          <w:p w14:paraId="69B4191B" w14:textId="77777777" w:rsidR="00990B14" w:rsidRDefault="00000000">
            <w:pPr>
              <w:spacing w:before="20" w:after="20"/>
              <w:jc w:val="both"/>
            </w:pPr>
            <w:r>
              <w:rPr>
                <w:sz w:val="18"/>
                <w:szCs w:val="18"/>
              </w:rPr>
              <w:t>La exposición es desordenada.</w:t>
            </w:r>
          </w:p>
        </w:tc>
        <w:tc>
          <w:tcPr>
            <w:tcW w:w="1910" w:type="dxa"/>
            <w:shd w:val="clear" w:color="auto" w:fill="D9E2F3"/>
            <w:vAlign w:val="center"/>
          </w:tcPr>
          <w:p w14:paraId="3D34140C" w14:textId="77777777" w:rsidR="00990B14" w:rsidRDefault="00000000">
            <w:pPr>
              <w:spacing w:before="20" w:after="20"/>
              <w:jc w:val="both"/>
            </w:pPr>
            <w:r>
              <w:rPr>
                <w:sz w:val="18"/>
                <w:szCs w:val="18"/>
              </w:rPr>
              <w:t>La exposición es clara y ordenada.</w:t>
            </w:r>
          </w:p>
        </w:tc>
        <w:tc>
          <w:tcPr>
            <w:tcW w:w="2015" w:type="dxa"/>
            <w:shd w:val="clear" w:color="auto" w:fill="D9E2F3"/>
            <w:vAlign w:val="center"/>
          </w:tcPr>
          <w:p w14:paraId="11F1F823" w14:textId="77777777" w:rsidR="00990B14" w:rsidRDefault="00000000">
            <w:pPr>
              <w:spacing w:before="20" w:after="20"/>
              <w:jc w:val="both"/>
            </w:pPr>
            <w:r>
              <w:rPr>
                <w:sz w:val="18"/>
                <w:szCs w:val="18"/>
              </w:rPr>
              <w:t>Responde con solvencia las preguntas del curso.</w:t>
            </w:r>
          </w:p>
        </w:tc>
      </w:tr>
      <w:tr w:rsidR="00990B14" w14:paraId="5E45D6D1" w14:textId="77777777">
        <w:trPr>
          <w:cantSplit/>
          <w:jc w:val="center"/>
        </w:trPr>
        <w:tc>
          <w:tcPr>
            <w:tcW w:w="1545" w:type="dxa"/>
            <w:vMerge/>
            <w:shd w:val="clear" w:color="auto" w:fill="4472C4"/>
            <w:vAlign w:val="center"/>
          </w:tcPr>
          <w:p w14:paraId="60E30594" w14:textId="77777777" w:rsidR="00990B14" w:rsidRDefault="00990B14">
            <w:pPr>
              <w:spacing w:before="20" w:after="20"/>
            </w:pPr>
          </w:p>
        </w:tc>
        <w:tc>
          <w:tcPr>
            <w:tcW w:w="5845" w:type="dxa"/>
            <w:gridSpan w:val="3"/>
            <w:shd w:val="clear" w:color="auto" w:fill="D9E2F3"/>
            <w:vAlign w:val="center"/>
          </w:tcPr>
          <w:p w14:paraId="0059EC51" w14:textId="77777777" w:rsidR="00990B14" w:rsidRDefault="00000000">
            <w:pPr>
              <w:keepNext/>
              <w:spacing w:before="20" w:after="20"/>
              <w:jc w:val="both"/>
            </w:pPr>
            <w:r>
              <w:rPr>
                <w:b/>
                <w:bCs/>
                <w:i/>
                <w:iCs/>
                <w:sz w:val="18"/>
                <w:szCs w:val="18"/>
              </w:rPr>
              <w:t xml:space="preserve">Producto 10: </w:t>
            </w:r>
            <w:r>
              <w:rPr>
                <w:sz w:val="18"/>
                <w:szCs w:val="18"/>
              </w:rPr>
              <w:t>Clasificación de casos según el Código</w:t>
            </w:r>
          </w:p>
        </w:tc>
        <w:tc>
          <w:tcPr>
            <w:tcW w:w="2015" w:type="dxa"/>
            <w:shd w:val="clear" w:color="auto" w:fill="D9E2F3"/>
            <w:vAlign w:val="center"/>
          </w:tcPr>
          <w:p w14:paraId="14CB81F8" w14:textId="77777777" w:rsidR="00990B14" w:rsidRDefault="00000000">
            <w:pPr>
              <w:spacing w:before="20" w:after="20"/>
              <w:jc w:val="center"/>
            </w:pPr>
            <w:r>
              <w:rPr>
                <w:b/>
                <w:bCs/>
                <w:sz w:val="18"/>
                <w:szCs w:val="18"/>
              </w:rPr>
              <w:t>6%</w:t>
            </w:r>
          </w:p>
        </w:tc>
      </w:tr>
      <w:tr w:rsidR="00990B14" w14:paraId="4BE2ADE3" w14:textId="77777777">
        <w:trPr>
          <w:cantSplit/>
          <w:jc w:val="center"/>
        </w:trPr>
        <w:tc>
          <w:tcPr>
            <w:tcW w:w="1545" w:type="dxa"/>
            <w:vMerge/>
            <w:shd w:val="clear" w:color="auto" w:fill="4472C4"/>
            <w:vAlign w:val="center"/>
          </w:tcPr>
          <w:p w14:paraId="384F0253" w14:textId="77777777" w:rsidR="00990B14" w:rsidRDefault="00990B14">
            <w:pPr>
              <w:spacing w:before="20" w:after="20"/>
            </w:pPr>
          </w:p>
        </w:tc>
        <w:tc>
          <w:tcPr>
            <w:tcW w:w="1815" w:type="dxa"/>
            <w:shd w:val="clear" w:color="auto" w:fill="4472C4"/>
            <w:vAlign w:val="center"/>
          </w:tcPr>
          <w:p w14:paraId="4A18F382" w14:textId="77777777" w:rsidR="00990B14" w:rsidRDefault="00000000">
            <w:pPr>
              <w:keepNext/>
              <w:spacing w:before="20" w:after="20"/>
              <w:jc w:val="center"/>
            </w:pPr>
            <w:r>
              <w:rPr>
                <w:b/>
                <w:bCs/>
                <w:i/>
                <w:iCs/>
                <w:color w:val="FFFFFF"/>
                <w:sz w:val="18"/>
                <w:szCs w:val="18"/>
              </w:rPr>
              <w:t>Criterio</w:t>
            </w:r>
          </w:p>
        </w:tc>
        <w:tc>
          <w:tcPr>
            <w:tcW w:w="2120" w:type="dxa"/>
            <w:shd w:val="clear" w:color="auto" w:fill="4472C4"/>
            <w:vAlign w:val="center"/>
          </w:tcPr>
          <w:p w14:paraId="3A429566"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276A355C"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308DD2F4" w14:textId="77777777" w:rsidR="00990B14" w:rsidRDefault="00000000">
            <w:pPr>
              <w:keepNext/>
              <w:spacing w:before="20" w:after="20"/>
              <w:jc w:val="center"/>
            </w:pPr>
            <w:r>
              <w:rPr>
                <w:b/>
                <w:bCs/>
                <w:i/>
                <w:iCs/>
                <w:color w:val="FFFFFF"/>
                <w:sz w:val="18"/>
                <w:szCs w:val="18"/>
              </w:rPr>
              <w:t>Destacado (81–100)</w:t>
            </w:r>
          </w:p>
        </w:tc>
      </w:tr>
      <w:tr w:rsidR="00990B14" w14:paraId="405F8AAA" w14:textId="77777777">
        <w:trPr>
          <w:cantSplit/>
          <w:jc w:val="center"/>
        </w:trPr>
        <w:tc>
          <w:tcPr>
            <w:tcW w:w="1545" w:type="dxa"/>
            <w:vMerge/>
            <w:shd w:val="clear" w:color="auto" w:fill="4472C4"/>
            <w:vAlign w:val="center"/>
          </w:tcPr>
          <w:p w14:paraId="5235AFBC" w14:textId="77777777" w:rsidR="00990B14" w:rsidRDefault="00990B14">
            <w:pPr>
              <w:spacing w:before="20" w:after="20"/>
            </w:pPr>
          </w:p>
        </w:tc>
        <w:tc>
          <w:tcPr>
            <w:tcW w:w="1815" w:type="dxa"/>
            <w:shd w:val="clear" w:color="auto" w:fill="D9E2F3"/>
            <w:vAlign w:val="center"/>
          </w:tcPr>
          <w:p w14:paraId="70A3AA11" w14:textId="77777777" w:rsidR="00990B14" w:rsidRDefault="00000000">
            <w:pPr>
              <w:spacing w:before="20" w:after="20"/>
              <w:jc w:val="both"/>
            </w:pPr>
            <w:r>
              <w:rPr>
                <w:sz w:val="18"/>
                <w:szCs w:val="18"/>
              </w:rPr>
              <w:t>Ubicación del caso</w:t>
            </w:r>
          </w:p>
        </w:tc>
        <w:tc>
          <w:tcPr>
            <w:tcW w:w="2120" w:type="dxa"/>
            <w:shd w:val="clear" w:color="auto" w:fill="D9E2F3"/>
            <w:vAlign w:val="center"/>
          </w:tcPr>
          <w:p w14:paraId="51C04829" w14:textId="77777777" w:rsidR="00990B14" w:rsidRDefault="00000000">
            <w:pPr>
              <w:spacing w:before="20" w:after="20"/>
              <w:jc w:val="both"/>
            </w:pPr>
            <w:r>
              <w:rPr>
                <w:sz w:val="18"/>
                <w:szCs w:val="18"/>
              </w:rPr>
              <w:t>Ubica mal los casos.</w:t>
            </w:r>
          </w:p>
        </w:tc>
        <w:tc>
          <w:tcPr>
            <w:tcW w:w="1910" w:type="dxa"/>
            <w:shd w:val="clear" w:color="auto" w:fill="D9E2F3"/>
            <w:vAlign w:val="center"/>
          </w:tcPr>
          <w:p w14:paraId="589D1BA5" w14:textId="77777777" w:rsidR="00990B14" w:rsidRDefault="00000000">
            <w:pPr>
              <w:spacing w:before="20" w:after="20"/>
              <w:jc w:val="both"/>
            </w:pPr>
            <w:r>
              <w:rPr>
                <w:sz w:val="18"/>
                <w:szCs w:val="18"/>
              </w:rPr>
              <w:t>Ubica cada caso en la parte correcta.</w:t>
            </w:r>
          </w:p>
        </w:tc>
        <w:tc>
          <w:tcPr>
            <w:tcW w:w="2015" w:type="dxa"/>
            <w:shd w:val="clear" w:color="auto" w:fill="D9E2F3"/>
            <w:vAlign w:val="center"/>
          </w:tcPr>
          <w:p w14:paraId="1E3A5F1D" w14:textId="77777777" w:rsidR="00990B14" w:rsidRDefault="00000000">
            <w:pPr>
              <w:spacing w:before="20" w:after="20"/>
              <w:jc w:val="both"/>
            </w:pPr>
            <w:r>
              <w:rPr>
                <w:sz w:val="18"/>
                <w:szCs w:val="18"/>
              </w:rPr>
              <w:t>Justifica la ubicación con la sección pertinente.</w:t>
            </w:r>
          </w:p>
        </w:tc>
      </w:tr>
      <w:tr w:rsidR="00990B14" w14:paraId="6735E694" w14:textId="77777777">
        <w:trPr>
          <w:cantSplit/>
          <w:jc w:val="center"/>
        </w:trPr>
        <w:tc>
          <w:tcPr>
            <w:tcW w:w="1545" w:type="dxa"/>
            <w:vMerge/>
            <w:shd w:val="clear" w:color="auto" w:fill="4472C4"/>
            <w:vAlign w:val="center"/>
          </w:tcPr>
          <w:p w14:paraId="2C577F44" w14:textId="77777777" w:rsidR="00990B14" w:rsidRDefault="00990B14">
            <w:pPr>
              <w:spacing w:before="20" w:after="20"/>
            </w:pPr>
          </w:p>
        </w:tc>
        <w:tc>
          <w:tcPr>
            <w:tcW w:w="1815" w:type="dxa"/>
            <w:shd w:val="clear" w:color="auto" w:fill="D9E2F3"/>
            <w:vAlign w:val="center"/>
          </w:tcPr>
          <w:p w14:paraId="33BA0F92" w14:textId="77777777" w:rsidR="00990B14" w:rsidRDefault="00000000">
            <w:pPr>
              <w:spacing w:before="20" w:after="20"/>
              <w:jc w:val="both"/>
            </w:pPr>
            <w:r>
              <w:rPr>
                <w:sz w:val="18"/>
                <w:szCs w:val="18"/>
              </w:rPr>
              <w:t>Distinción de ámbitos</w:t>
            </w:r>
          </w:p>
        </w:tc>
        <w:tc>
          <w:tcPr>
            <w:tcW w:w="2120" w:type="dxa"/>
            <w:shd w:val="clear" w:color="auto" w:fill="D9E2F3"/>
            <w:vAlign w:val="center"/>
          </w:tcPr>
          <w:p w14:paraId="03F432E7" w14:textId="77777777" w:rsidR="00990B14" w:rsidRDefault="00000000">
            <w:pPr>
              <w:spacing w:before="20" w:after="20"/>
              <w:jc w:val="both"/>
            </w:pPr>
            <w:r>
              <w:rPr>
                <w:sz w:val="18"/>
                <w:szCs w:val="18"/>
              </w:rPr>
              <w:t>Confunde la empresa con el ejercicio profesional.</w:t>
            </w:r>
          </w:p>
        </w:tc>
        <w:tc>
          <w:tcPr>
            <w:tcW w:w="1910" w:type="dxa"/>
            <w:shd w:val="clear" w:color="auto" w:fill="D9E2F3"/>
            <w:vAlign w:val="center"/>
          </w:tcPr>
          <w:p w14:paraId="4A5179BF" w14:textId="77777777" w:rsidR="00990B14" w:rsidRDefault="00000000">
            <w:pPr>
              <w:spacing w:before="20" w:after="20"/>
              <w:jc w:val="both"/>
            </w:pPr>
            <w:r>
              <w:rPr>
                <w:sz w:val="18"/>
                <w:szCs w:val="18"/>
              </w:rPr>
              <w:t>Distingue los ámbitos de actuación.</w:t>
            </w:r>
          </w:p>
        </w:tc>
        <w:tc>
          <w:tcPr>
            <w:tcW w:w="2015" w:type="dxa"/>
            <w:shd w:val="clear" w:color="auto" w:fill="D9E2F3"/>
            <w:vAlign w:val="center"/>
          </w:tcPr>
          <w:p w14:paraId="32B86636" w14:textId="77777777" w:rsidR="00990B14" w:rsidRDefault="00000000">
            <w:pPr>
              <w:spacing w:before="20" w:after="20"/>
              <w:jc w:val="both"/>
            </w:pPr>
            <w:r>
              <w:rPr>
                <w:sz w:val="18"/>
                <w:szCs w:val="18"/>
              </w:rPr>
              <w:t>Identifica casos que involucran varias partes.</w:t>
            </w:r>
          </w:p>
        </w:tc>
      </w:tr>
      <w:tr w:rsidR="00990B14" w14:paraId="7487D764" w14:textId="77777777">
        <w:trPr>
          <w:cantSplit/>
          <w:jc w:val="center"/>
        </w:trPr>
        <w:tc>
          <w:tcPr>
            <w:tcW w:w="1545" w:type="dxa"/>
            <w:vMerge/>
            <w:shd w:val="clear" w:color="auto" w:fill="4472C4"/>
            <w:vAlign w:val="center"/>
          </w:tcPr>
          <w:p w14:paraId="19DBA81D" w14:textId="77777777" w:rsidR="00990B14" w:rsidRDefault="00990B14">
            <w:pPr>
              <w:spacing w:before="20" w:after="20"/>
            </w:pPr>
          </w:p>
        </w:tc>
        <w:tc>
          <w:tcPr>
            <w:tcW w:w="1815" w:type="dxa"/>
            <w:shd w:val="clear" w:color="auto" w:fill="D9E2F3"/>
            <w:vAlign w:val="center"/>
          </w:tcPr>
          <w:p w14:paraId="1ACD2D0A" w14:textId="77777777" w:rsidR="00990B14" w:rsidRDefault="00000000">
            <w:pPr>
              <w:spacing w:before="20" w:after="20"/>
              <w:jc w:val="both"/>
            </w:pPr>
            <w:r>
              <w:rPr>
                <w:sz w:val="18"/>
                <w:szCs w:val="18"/>
              </w:rPr>
              <w:t>Precisión</w:t>
            </w:r>
          </w:p>
        </w:tc>
        <w:tc>
          <w:tcPr>
            <w:tcW w:w="2120" w:type="dxa"/>
            <w:shd w:val="clear" w:color="auto" w:fill="D9E2F3"/>
            <w:vAlign w:val="center"/>
          </w:tcPr>
          <w:p w14:paraId="4C459D91" w14:textId="77777777" w:rsidR="00990B14" w:rsidRDefault="00000000">
            <w:pPr>
              <w:spacing w:before="20" w:after="20"/>
              <w:jc w:val="both"/>
            </w:pPr>
            <w:r>
              <w:rPr>
                <w:sz w:val="18"/>
                <w:szCs w:val="18"/>
              </w:rPr>
              <w:t>Cita el Código de forma imprecisa.</w:t>
            </w:r>
          </w:p>
        </w:tc>
        <w:tc>
          <w:tcPr>
            <w:tcW w:w="1910" w:type="dxa"/>
            <w:shd w:val="clear" w:color="auto" w:fill="D9E2F3"/>
            <w:vAlign w:val="center"/>
          </w:tcPr>
          <w:p w14:paraId="25BAA1B6" w14:textId="77777777" w:rsidR="00990B14" w:rsidRDefault="00000000">
            <w:pPr>
              <w:spacing w:before="20" w:after="20"/>
              <w:jc w:val="both"/>
            </w:pPr>
            <w:r>
              <w:rPr>
                <w:sz w:val="18"/>
                <w:szCs w:val="18"/>
              </w:rPr>
              <w:t>Cita el Código con precisión.</w:t>
            </w:r>
          </w:p>
        </w:tc>
        <w:tc>
          <w:tcPr>
            <w:tcW w:w="2015" w:type="dxa"/>
            <w:shd w:val="clear" w:color="auto" w:fill="D9E2F3"/>
            <w:vAlign w:val="center"/>
          </w:tcPr>
          <w:p w14:paraId="03DA9B63" w14:textId="77777777" w:rsidR="00990B14" w:rsidRDefault="00000000">
            <w:pPr>
              <w:spacing w:before="20" w:after="20"/>
              <w:jc w:val="both"/>
            </w:pPr>
            <w:r>
              <w:rPr>
                <w:sz w:val="18"/>
                <w:szCs w:val="18"/>
              </w:rPr>
              <w:t>Contrasta la edición vigente con la anterior.</w:t>
            </w:r>
          </w:p>
        </w:tc>
      </w:tr>
      <w:tr w:rsidR="00990B14" w14:paraId="6D25B2C9" w14:textId="77777777">
        <w:trPr>
          <w:cantSplit/>
          <w:jc w:val="center"/>
        </w:trPr>
        <w:tc>
          <w:tcPr>
            <w:tcW w:w="1545" w:type="dxa"/>
            <w:vMerge/>
            <w:shd w:val="clear" w:color="auto" w:fill="4472C4"/>
            <w:vAlign w:val="center"/>
          </w:tcPr>
          <w:p w14:paraId="1A5EFA89" w14:textId="77777777" w:rsidR="00990B14" w:rsidRDefault="00990B14">
            <w:pPr>
              <w:spacing w:before="20" w:after="20"/>
            </w:pPr>
          </w:p>
        </w:tc>
        <w:tc>
          <w:tcPr>
            <w:tcW w:w="5845" w:type="dxa"/>
            <w:gridSpan w:val="3"/>
            <w:shd w:val="clear" w:color="auto" w:fill="D9E2F3"/>
            <w:vAlign w:val="center"/>
          </w:tcPr>
          <w:p w14:paraId="48BE2021" w14:textId="77777777" w:rsidR="00990B14" w:rsidRDefault="00000000">
            <w:pPr>
              <w:keepNext/>
              <w:spacing w:before="20" w:after="20"/>
              <w:jc w:val="both"/>
            </w:pPr>
            <w:r>
              <w:rPr>
                <w:b/>
                <w:bCs/>
                <w:i/>
                <w:iCs/>
                <w:sz w:val="18"/>
                <w:szCs w:val="18"/>
              </w:rPr>
              <w:t xml:space="preserve">Producto 11: </w:t>
            </w:r>
            <w:r>
              <w:rPr>
                <w:sz w:val="18"/>
                <w:szCs w:val="18"/>
              </w:rPr>
              <w:t>Cuadro de principios fundamentales</w:t>
            </w:r>
          </w:p>
        </w:tc>
        <w:tc>
          <w:tcPr>
            <w:tcW w:w="2015" w:type="dxa"/>
            <w:shd w:val="clear" w:color="auto" w:fill="D9E2F3"/>
            <w:vAlign w:val="center"/>
          </w:tcPr>
          <w:p w14:paraId="40E35AF8" w14:textId="77777777" w:rsidR="00990B14" w:rsidRDefault="00000000">
            <w:pPr>
              <w:spacing w:before="20" w:after="20"/>
              <w:jc w:val="center"/>
            </w:pPr>
            <w:r>
              <w:rPr>
                <w:b/>
                <w:bCs/>
                <w:sz w:val="18"/>
                <w:szCs w:val="18"/>
              </w:rPr>
              <w:t>5%</w:t>
            </w:r>
          </w:p>
        </w:tc>
      </w:tr>
      <w:tr w:rsidR="00990B14" w14:paraId="40177619" w14:textId="77777777">
        <w:trPr>
          <w:cantSplit/>
          <w:jc w:val="center"/>
        </w:trPr>
        <w:tc>
          <w:tcPr>
            <w:tcW w:w="1545" w:type="dxa"/>
            <w:vMerge/>
            <w:shd w:val="clear" w:color="auto" w:fill="4472C4"/>
            <w:vAlign w:val="center"/>
          </w:tcPr>
          <w:p w14:paraId="5A48A8ED" w14:textId="77777777" w:rsidR="00990B14" w:rsidRDefault="00990B14">
            <w:pPr>
              <w:spacing w:before="20" w:after="20"/>
            </w:pPr>
          </w:p>
        </w:tc>
        <w:tc>
          <w:tcPr>
            <w:tcW w:w="1815" w:type="dxa"/>
            <w:shd w:val="clear" w:color="auto" w:fill="4472C4"/>
            <w:vAlign w:val="center"/>
          </w:tcPr>
          <w:p w14:paraId="3085791F" w14:textId="77777777" w:rsidR="00990B14" w:rsidRDefault="00000000">
            <w:pPr>
              <w:keepNext/>
              <w:spacing w:before="20" w:after="20"/>
              <w:jc w:val="center"/>
            </w:pPr>
            <w:r>
              <w:rPr>
                <w:b/>
                <w:bCs/>
                <w:i/>
                <w:iCs/>
                <w:color w:val="FFFFFF"/>
                <w:sz w:val="18"/>
                <w:szCs w:val="18"/>
              </w:rPr>
              <w:t>Criterio</w:t>
            </w:r>
          </w:p>
        </w:tc>
        <w:tc>
          <w:tcPr>
            <w:tcW w:w="2120" w:type="dxa"/>
            <w:shd w:val="clear" w:color="auto" w:fill="4472C4"/>
            <w:vAlign w:val="center"/>
          </w:tcPr>
          <w:p w14:paraId="0B8458C1"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6F4DAA52"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118BED33" w14:textId="77777777" w:rsidR="00990B14" w:rsidRDefault="00000000">
            <w:pPr>
              <w:keepNext/>
              <w:spacing w:before="20" w:after="20"/>
              <w:jc w:val="center"/>
            </w:pPr>
            <w:r>
              <w:rPr>
                <w:b/>
                <w:bCs/>
                <w:i/>
                <w:iCs/>
                <w:color w:val="FFFFFF"/>
                <w:sz w:val="18"/>
                <w:szCs w:val="18"/>
              </w:rPr>
              <w:t>Destacado (81–100)</w:t>
            </w:r>
          </w:p>
        </w:tc>
      </w:tr>
      <w:tr w:rsidR="00990B14" w14:paraId="2CF8CBB8" w14:textId="77777777">
        <w:trPr>
          <w:cantSplit/>
          <w:jc w:val="center"/>
        </w:trPr>
        <w:tc>
          <w:tcPr>
            <w:tcW w:w="1545" w:type="dxa"/>
            <w:vMerge/>
            <w:shd w:val="clear" w:color="auto" w:fill="4472C4"/>
            <w:vAlign w:val="center"/>
          </w:tcPr>
          <w:p w14:paraId="5F1A7C3D" w14:textId="77777777" w:rsidR="00990B14" w:rsidRDefault="00990B14">
            <w:pPr>
              <w:spacing w:before="20" w:after="20"/>
            </w:pPr>
          </w:p>
        </w:tc>
        <w:tc>
          <w:tcPr>
            <w:tcW w:w="1815" w:type="dxa"/>
            <w:shd w:val="clear" w:color="auto" w:fill="D9E2F3"/>
            <w:vAlign w:val="center"/>
          </w:tcPr>
          <w:p w14:paraId="161D243A" w14:textId="77777777" w:rsidR="00990B14" w:rsidRDefault="00000000">
            <w:pPr>
              <w:spacing w:before="20" w:after="20"/>
              <w:jc w:val="both"/>
            </w:pPr>
            <w:r>
              <w:rPr>
                <w:sz w:val="18"/>
                <w:szCs w:val="18"/>
              </w:rPr>
              <w:t>Principios fundamentales</w:t>
            </w:r>
          </w:p>
        </w:tc>
        <w:tc>
          <w:tcPr>
            <w:tcW w:w="2120" w:type="dxa"/>
            <w:shd w:val="clear" w:color="auto" w:fill="D9E2F3"/>
            <w:vAlign w:val="center"/>
          </w:tcPr>
          <w:p w14:paraId="77038668" w14:textId="77777777" w:rsidR="00990B14" w:rsidRDefault="00000000">
            <w:pPr>
              <w:spacing w:before="20" w:after="20"/>
              <w:jc w:val="both"/>
            </w:pPr>
            <w:r>
              <w:rPr>
                <w:sz w:val="18"/>
                <w:szCs w:val="18"/>
              </w:rPr>
              <w:t>Omite principios.</w:t>
            </w:r>
          </w:p>
        </w:tc>
        <w:tc>
          <w:tcPr>
            <w:tcW w:w="1910" w:type="dxa"/>
            <w:shd w:val="clear" w:color="auto" w:fill="D9E2F3"/>
            <w:vAlign w:val="center"/>
          </w:tcPr>
          <w:p w14:paraId="5D482C9B" w14:textId="77777777" w:rsidR="00990B14" w:rsidRDefault="00000000">
            <w:pPr>
              <w:spacing w:before="20" w:after="20"/>
              <w:jc w:val="both"/>
            </w:pPr>
            <w:r>
              <w:rPr>
                <w:sz w:val="18"/>
                <w:szCs w:val="18"/>
              </w:rPr>
              <w:t>Explica los cinco principios fundamentales.</w:t>
            </w:r>
          </w:p>
        </w:tc>
        <w:tc>
          <w:tcPr>
            <w:tcW w:w="2015" w:type="dxa"/>
            <w:shd w:val="clear" w:color="auto" w:fill="D9E2F3"/>
            <w:vAlign w:val="center"/>
          </w:tcPr>
          <w:p w14:paraId="34E414A5" w14:textId="77777777" w:rsidR="00990B14" w:rsidRDefault="00000000">
            <w:pPr>
              <w:spacing w:before="20" w:after="20"/>
              <w:jc w:val="both"/>
            </w:pPr>
            <w:r>
              <w:rPr>
                <w:sz w:val="18"/>
                <w:szCs w:val="18"/>
              </w:rPr>
              <w:t>Relaciona los principios con la mentalidad inquisitiva.</w:t>
            </w:r>
          </w:p>
        </w:tc>
      </w:tr>
      <w:tr w:rsidR="00990B14" w14:paraId="524DC1E9" w14:textId="77777777">
        <w:trPr>
          <w:cantSplit/>
          <w:jc w:val="center"/>
        </w:trPr>
        <w:tc>
          <w:tcPr>
            <w:tcW w:w="1545" w:type="dxa"/>
            <w:vMerge/>
            <w:shd w:val="clear" w:color="auto" w:fill="4472C4"/>
            <w:vAlign w:val="center"/>
          </w:tcPr>
          <w:p w14:paraId="5FAC1A26" w14:textId="77777777" w:rsidR="00990B14" w:rsidRDefault="00990B14">
            <w:pPr>
              <w:spacing w:before="20" w:after="20"/>
            </w:pPr>
          </w:p>
        </w:tc>
        <w:tc>
          <w:tcPr>
            <w:tcW w:w="1815" w:type="dxa"/>
            <w:shd w:val="clear" w:color="auto" w:fill="D9E2F3"/>
            <w:vAlign w:val="center"/>
          </w:tcPr>
          <w:p w14:paraId="68740882" w14:textId="77777777" w:rsidR="00990B14" w:rsidRDefault="00000000">
            <w:pPr>
              <w:spacing w:before="20" w:after="20"/>
              <w:jc w:val="both"/>
            </w:pPr>
            <w:r>
              <w:rPr>
                <w:sz w:val="18"/>
                <w:szCs w:val="18"/>
              </w:rPr>
              <w:t>Aplicación al caso</w:t>
            </w:r>
          </w:p>
        </w:tc>
        <w:tc>
          <w:tcPr>
            <w:tcW w:w="2120" w:type="dxa"/>
            <w:shd w:val="clear" w:color="auto" w:fill="D9E2F3"/>
            <w:vAlign w:val="center"/>
          </w:tcPr>
          <w:p w14:paraId="467741DC" w14:textId="77777777" w:rsidR="00990B14" w:rsidRDefault="00000000">
            <w:pPr>
              <w:spacing w:before="20" w:after="20"/>
              <w:jc w:val="both"/>
            </w:pPr>
            <w:r>
              <w:rPr>
                <w:sz w:val="18"/>
                <w:szCs w:val="18"/>
              </w:rPr>
              <w:t>Los ejemplos no corresponden.</w:t>
            </w:r>
          </w:p>
        </w:tc>
        <w:tc>
          <w:tcPr>
            <w:tcW w:w="1910" w:type="dxa"/>
            <w:shd w:val="clear" w:color="auto" w:fill="D9E2F3"/>
            <w:vAlign w:val="center"/>
          </w:tcPr>
          <w:p w14:paraId="68267E92" w14:textId="77777777" w:rsidR="00990B14" w:rsidRDefault="00000000">
            <w:pPr>
              <w:spacing w:before="20" w:after="20"/>
              <w:jc w:val="both"/>
            </w:pPr>
            <w:r>
              <w:rPr>
                <w:sz w:val="18"/>
                <w:szCs w:val="18"/>
              </w:rPr>
              <w:t>Aplica cada principio al caso.</w:t>
            </w:r>
          </w:p>
        </w:tc>
        <w:tc>
          <w:tcPr>
            <w:tcW w:w="2015" w:type="dxa"/>
            <w:shd w:val="clear" w:color="auto" w:fill="D9E2F3"/>
            <w:vAlign w:val="center"/>
          </w:tcPr>
          <w:p w14:paraId="27D2853A" w14:textId="77777777" w:rsidR="00990B14" w:rsidRDefault="00000000">
            <w:pPr>
              <w:spacing w:before="20" w:after="20"/>
              <w:jc w:val="both"/>
            </w:pPr>
            <w:r>
              <w:rPr>
                <w:sz w:val="18"/>
                <w:szCs w:val="18"/>
              </w:rPr>
              <w:t>Identifica las excepciones a la confidencialidad.</w:t>
            </w:r>
          </w:p>
        </w:tc>
      </w:tr>
      <w:tr w:rsidR="00990B14" w14:paraId="0F075C7B" w14:textId="77777777">
        <w:trPr>
          <w:cantSplit/>
          <w:jc w:val="center"/>
        </w:trPr>
        <w:tc>
          <w:tcPr>
            <w:tcW w:w="1545" w:type="dxa"/>
            <w:vMerge/>
            <w:shd w:val="clear" w:color="auto" w:fill="4472C4"/>
            <w:vAlign w:val="center"/>
          </w:tcPr>
          <w:p w14:paraId="0C14D832" w14:textId="77777777" w:rsidR="00990B14" w:rsidRDefault="00990B14">
            <w:pPr>
              <w:spacing w:before="20" w:after="20"/>
            </w:pPr>
          </w:p>
        </w:tc>
        <w:tc>
          <w:tcPr>
            <w:tcW w:w="1815" w:type="dxa"/>
            <w:shd w:val="clear" w:color="auto" w:fill="D9E2F3"/>
            <w:vAlign w:val="center"/>
          </w:tcPr>
          <w:p w14:paraId="16B6B3C2" w14:textId="77777777" w:rsidR="00990B14" w:rsidRDefault="00000000">
            <w:pPr>
              <w:spacing w:before="20" w:after="20"/>
              <w:jc w:val="both"/>
            </w:pPr>
            <w:r>
              <w:rPr>
                <w:sz w:val="18"/>
                <w:szCs w:val="18"/>
              </w:rPr>
              <w:t>Presentación</w:t>
            </w:r>
          </w:p>
        </w:tc>
        <w:tc>
          <w:tcPr>
            <w:tcW w:w="2120" w:type="dxa"/>
            <w:shd w:val="clear" w:color="auto" w:fill="D9E2F3"/>
            <w:vAlign w:val="center"/>
          </w:tcPr>
          <w:p w14:paraId="7A1AD8CA" w14:textId="77777777" w:rsidR="00990B14" w:rsidRDefault="00000000">
            <w:pPr>
              <w:spacing w:before="20" w:after="20"/>
              <w:jc w:val="both"/>
            </w:pPr>
            <w:r>
              <w:rPr>
                <w:sz w:val="18"/>
                <w:szCs w:val="18"/>
              </w:rPr>
              <w:t>El cuadro es incompleto.</w:t>
            </w:r>
          </w:p>
        </w:tc>
        <w:tc>
          <w:tcPr>
            <w:tcW w:w="1910" w:type="dxa"/>
            <w:shd w:val="clear" w:color="auto" w:fill="D9E2F3"/>
            <w:vAlign w:val="center"/>
          </w:tcPr>
          <w:p w14:paraId="72FBA9E0" w14:textId="77777777" w:rsidR="00990B14" w:rsidRDefault="00000000">
            <w:pPr>
              <w:spacing w:before="20" w:after="20"/>
              <w:jc w:val="both"/>
            </w:pPr>
            <w:r>
              <w:rPr>
                <w:sz w:val="18"/>
                <w:szCs w:val="18"/>
              </w:rPr>
              <w:t>El cuadro es claro y completo.</w:t>
            </w:r>
          </w:p>
        </w:tc>
        <w:tc>
          <w:tcPr>
            <w:tcW w:w="2015" w:type="dxa"/>
            <w:shd w:val="clear" w:color="auto" w:fill="D9E2F3"/>
            <w:vAlign w:val="center"/>
          </w:tcPr>
          <w:p w14:paraId="3BB0F72D" w14:textId="77777777" w:rsidR="00990B14" w:rsidRDefault="00000000">
            <w:pPr>
              <w:spacing w:before="20" w:after="20"/>
              <w:jc w:val="both"/>
            </w:pPr>
            <w:r>
              <w:rPr>
                <w:sz w:val="18"/>
                <w:szCs w:val="18"/>
              </w:rPr>
              <w:t>El cuadro sirve como guía de consulta.</w:t>
            </w:r>
          </w:p>
        </w:tc>
      </w:tr>
      <w:tr w:rsidR="00990B14" w14:paraId="0BAFDAA5" w14:textId="77777777">
        <w:trPr>
          <w:cantSplit/>
          <w:jc w:val="center"/>
        </w:trPr>
        <w:tc>
          <w:tcPr>
            <w:tcW w:w="1545" w:type="dxa"/>
            <w:vMerge/>
            <w:shd w:val="clear" w:color="auto" w:fill="4472C4"/>
            <w:vAlign w:val="center"/>
          </w:tcPr>
          <w:p w14:paraId="28739A13" w14:textId="77777777" w:rsidR="00990B14" w:rsidRDefault="00990B14">
            <w:pPr>
              <w:spacing w:before="20" w:after="20"/>
            </w:pPr>
          </w:p>
        </w:tc>
        <w:tc>
          <w:tcPr>
            <w:tcW w:w="5845" w:type="dxa"/>
            <w:gridSpan w:val="3"/>
            <w:shd w:val="clear" w:color="auto" w:fill="D9E2F3"/>
            <w:vAlign w:val="center"/>
          </w:tcPr>
          <w:p w14:paraId="75EA9800" w14:textId="77777777" w:rsidR="00990B14" w:rsidRDefault="00000000">
            <w:pPr>
              <w:keepNext/>
              <w:spacing w:before="20" w:after="20"/>
              <w:jc w:val="both"/>
            </w:pPr>
            <w:r>
              <w:rPr>
                <w:b/>
                <w:bCs/>
                <w:i/>
                <w:iCs/>
                <w:sz w:val="18"/>
                <w:szCs w:val="18"/>
              </w:rPr>
              <w:t xml:space="preserve">Producto 12: </w:t>
            </w:r>
            <w:r>
              <w:rPr>
                <w:sz w:val="18"/>
                <w:szCs w:val="18"/>
              </w:rPr>
              <w:t>Documentación de amenazas y salvaguardas</w:t>
            </w:r>
          </w:p>
        </w:tc>
        <w:tc>
          <w:tcPr>
            <w:tcW w:w="2015" w:type="dxa"/>
            <w:shd w:val="clear" w:color="auto" w:fill="D9E2F3"/>
            <w:vAlign w:val="center"/>
          </w:tcPr>
          <w:p w14:paraId="43D634AE" w14:textId="77777777" w:rsidR="00990B14" w:rsidRDefault="00000000">
            <w:pPr>
              <w:spacing w:before="20" w:after="20"/>
              <w:jc w:val="center"/>
            </w:pPr>
            <w:r>
              <w:rPr>
                <w:b/>
                <w:bCs/>
                <w:sz w:val="18"/>
                <w:szCs w:val="18"/>
              </w:rPr>
              <w:t>5%</w:t>
            </w:r>
          </w:p>
        </w:tc>
      </w:tr>
      <w:tr w:rsidR="00990B14" w14:paraId="2F46667D" w14:textId="77777777">
        <w:trPr>
          <w:cantSplit/>
          <w:jc w:val="center"/>
        </w:trPr>
        <w:tc>
          <w:tcPr>
            <w:tcW w:w="1545" w:type="dxa"/>
            <w:vMerge/>
            <w:shd w:val="clear" w:color="auto" w:fill="4472C4"/>
            <w:vAlign w:val="center"/>
          </w:tcPr>
          <w:p w14:paraId="7463A0D7" w14:textId="77777777" w:rsidR="00990B14" w:rsidRDefault="00990B14">
            <w:pPr>
              <w:spacing w:before="20" w:after="20"/>
            </w:pPr>
          </w:p>
        </w:tc>
        <w:tc>
          <w:tcPr>
            <w:tcW w:w="1815" w:type="dxa"/>
            <w:shd w:val="clear" w:color="auto" w:fill="4472C4"/>
            <w:vAlign w:val="center"/>
          </w:tcPr>
          <w:p w14:paraId="2D1E3B16" w14:textId="77777777" w:rsidR="00990B14" w:rsidRDefault="00000000">
            <w:pPr>
              <w:keepNext/>
              <w:spacing w:before="20" w:after="20"/>
              <w:jc w:val="center"/>
            </w:pPr>
            <w:r>
              <w:rPr>
                <w:b/>
                <w:bCs/>
                <w:i/>
                <w:iCs/>
                <w:color w:val="FFFFFF"/>
                <w:sz w:val="18"/>
                <w:szCs w:val="18"/>
              </w:rPr>
              <w:t>Criterio</w:t>
            </w:r>
          </w:p>
        </w:tc>
        <w:tc>
          <w:tcPr>
            <w:tcW w:w="2120" w:type="dxa"/>
            <w:shd w:val="clear" w:color="auto" w:fill="4472C4"/>
            <w:vAlign w:val="center"/>
          </w:tcPr>
          <w:p w14:paraId="7BCD92E1"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1888C46A"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51E3E7F4" w14:textId="77777777" w:rsidR="00990B14" w:rsidRDefault="00000000">
            <w:pPr>
              <w:keepNext/>
              <w:spacing w:before="20" w:after="20"/>
              <w:jc w:val="center"/>
            </w:pPr>
            <w:r>
              <w:rPr>
                <w:b/>
                <w:bCs/>
                <w:i/>
                <w:iCs/>
                <w:color w:val="FFFFFF"/>
                <w:sz w:val="18"/>
                <w:szCs w:val="18"/>
              </w:rPr>
              <w:t>Destacado (81–100)</w:t>
            </w:r>
          </w:p>
        </w:tc>
      </w:tr>
      <w:tr w:rsidR="00990B14" w14:paraId="7F72B451" w14:textId="77777777">
        <w:trPr>
          <w:cantSplit/>
          <w:jc w:val="center"/>
        </w:trPr>
        <w:tc>
          <w:tcPr>
            <w:tcW w:w="1545" w:type="dxa"/>
            <w:vMerge/>
            <w:shd w:val="clear" w:color="auto" w:fill="4472C4"/>
            <w:vAlign w:val="center"/>
          </w:tcPr>
          <w:p w14:paraId="3AD6A400" w14:textId="77777777" w:rsidR="00990B14" w:rsidRDefault="00990B14">
            <w:pPr>
              <w:spacing w:before="20" w:after="20"/>
            </w:pPr>
          </w:p>
        </w:tc>
        <w:tc>
          <w:tcPr>
            <w:tcW w:w="1815" w:type="dxa"/>
            <w:shd w:val="clear" w:color="auto" w:fill="D9E2F3"/>
            <w:vAlign w:val="center"/>
          </w:tcPr>
          <w:p w14:paraId="575E5EA1" w14:textId="77777777" w:rsidR="00990B14" w:rsidRDefault="00000000">
            <w:pPr>
              <w:spacing w:before="20" w:after="20"/>
              <w:jc w:val="both"/>
            </w:pPr>
            <w:r>
              <w:rPr>
                <w:sz w:val="18"/>
                <w:szCs w:val="18"/>
              </w:rPr>
              <w:t>Identificación de amenazas</w:t>
            </w:r>
          </w:p>
        </w:tc>
        <w:tc>
          <w:tcPr>
            <w:tcW w:w="2120" w:type="dxa"/>
            <w:shd w:val="clear" w:color="auto" w:fill="D9E2F3"/>
            <w:vAlign w:val="center"/>
          </w:tcPr>
          <w:p w14:paraId="5A611D07" w14:textId="77777777" w:rsidR="00990B14" w:rsidRDefault="00000000">
            <w:pPr>
              <w:spacing w:before="20" w:after="20"/>
              <w:jc w:val="both"/>
            </w:pPr>
            <w:r>
              <w:rPr>
                <w:sz w:val="18"/>
                <w:szCs w:val="18"/>
              </w:rPr>
              <w:t>Confunde las categorías de amenaza.</w:t>
            </w:r>
          </w:p>
        </w:tc>
        <w:tc>
          <w:tcPr>
            <w:tcW w:w="1910" w:type="dxa"/>
            <w:shd w:val="clear" w:color="auto" w:fill="D9E2F3"/>
            <w:vAlign w:val="center"/>
          </w:tcPr>
          <w:p w14:paraId="5AA38DE0" w14:textId="77777777" w:rsidR="00990B14" w:rsidRDefault="00000000">
            <w:pPr>
              <w:spacing w:before="20" w:after="20"/>
              <w:jc w:val="both"/>
            </w:pPr>
            <w:r>
              <w:rPr>
                <w:sz w:val="18"/>
                <w:szCs w:val="18"/>
              </w:rPr>
              <w:t>Identifica las amenazas por categoría.</w:t>
            </w:r>
          </w:p>
        </w:tc>
        <w:tc>
          <w:tcPr>
            <w:tcW w:w="2015" w:type="dxa"/>
            <w:shd w:val="clear" w:color="auto" w:fill="D9E2F3"/>
            <w:vAlign w:val="center"/>
          </w:tcPr>
          <w:p w14:paraId="4F86BFA3" w14:textId="77777777" w:rsidR="00990B14" w:rsidRDefault="00000000">
            <w:pPr>
              <w:spacing w:before="20" w:after="20"/>
              <w:jc w:val="both"/>
            </w:pPr>
            <w:r>
              <w:rPr>
                <w:sz w:val="18"/>
                <w:szCs w:val="18"/>
              </w:rPr>
              <w:t>Evalúa su nivel con la prueba del tercero informado.</w:t>
            </w:r>
          </w:p>
        </w:tc>
      </w:tr>
      <w:tr w:rsidR="00990B14" w14:paraId="3184C016" w14:textId="77777777">
        <w:trPr>
          <w:cantSplit/>
          <w:jc w:val="center"/>
        </w:trPr>
        <w:tc>
          <w:tcPr>
            <w:tcW w:w="1545" w:type="dxa"/>
            <w:vMerge/>
            <w:shd w:val="clear" w:color="auto" w:fill="4472C4"/>
            <w:vAlign w:val="center"/>
          </w:tcPr>
          <w:p w14:paraId="6E7C7B0A" w14:textId="77777777" w:rsidR="00990B14" w:rsidRDefault="00990B14">
            <w:pPr>
              <w:spacing w:before="20" w:after="20"/>
            </w:pPr>
          </w:p>
        </w:tc>
        <w:tc>
          <w:tcPr>
            <w:tcW w:w="1815" w:type="dxa"/>
            <w:shd w:val="clear" w:color="auto" w:fill="D9E2F3"/>
            <w:vAlign w:val="center"/>
          </w:tcPr>
          <w:p w14:paraId="388912F6" w14:textId="77777777" w:rsidR="00990B14" w:rsidRDefault="00000000">
            <w:pPr>
              <w:spacing w:before="20" w:after="20"/>
              <w:jc w:val="both"/>
            </w:pPr>
            <w:r>
              <w:rPr>
                <w:sz w:val="18"/>
                <w:szCs w:val="18"/>
              </w:rPr>
              <w:t>Salvaguardas</w:t>
            </w:r>
          </w:p>
        </w:tc>
        <w:tc>
          <w:tcPr>
            <w:tcW w:w="2120" w:type="dxa"/>
            <w:shd w:val="clear" w:color="auto" w:fill="D9E2F3"/>
            <w:vAlign w:val="center"/>
          </w:tcPr>
          <w:p w14:paraId="7DA94998" w14:textId="77777777" w:rsidR="00990B14" w:rsidRDefault="00000000">
            <w:pPr>
              <w:spacing w:before="20" w:after="20"/>
              <w:jc w:val="both"/>
            </w:pPr>
            <w:r>
              <w:rPr>
                <w:sz w:val="18"/>
                <w:szCs w:val="18"/>
              </w:rPr>
              <w:t>Las salvaguardas no responden a la amenaza.</w:t>
            </w:r>
          </w:p>
        </w:tc>
        <w:tc>
          <w:tcPr>
            <w:tcW w:w="1910" w:type="dxa"/>
            <w:shd w:val="clear" w:color="auto" w:fill="D9E2F3"/>
            <w:vAlign w:val="center"/>
          </w:tcPr>
          <w:p w14:paraId="62795171" w14:textId="77777777" w:rsidR="00990B14" w:rsidRDefault="00000000">
            <w:pPr>
              <w:spacing w:before="20" w:after="20"/>
              <w:jc w:val="both"/>
            </w:pPr>
            <w:r>
              <w:rPr>
                <w:sz w:val="18"/>
                <w:szCs w:val="18"/>
              </w:rPr>
              <w:t>Propone salvaguardas proporcionales.</w:t>
            </w:r>
          </w:p>
        </w:tc>
        <w:tc>
          <w:tcPr>
            <w:tcW w:w="2015" w:type="dxa"/>
            <w:shd w:val="clear" w:color="auto" w:fill="D9E2F3"/>
            <w:vAlign w:val="center"/>
          </w:tcPr>
          <w:p w14:paraId="63363464" w14:textId="77777777" w:rsidR="00990B14" w:rsidRDefault="00000000">
            <w:pPr>
              <w:spacing w:before="20" w:after="20"/>
              <w:jc w:val="both"/>
            </w:pPr>
            <w:r>
              <w:rPr>
                <w:sz w:val="18"/>
                <w:szCs w:val="18"/>
              </w:rPr>
              <w:t>Determina cuándo corresponde rechazar el encargo.</w:t>
            </w:r>
          </w:p>
        </w:tc>
      </w:tr>
      <w:tr w:rsidR="00990B14" w14:paraId="3F13BC69" w14:textId="77777777">
        <w:trPr>
          <w:cantSplit/>
          <w:jc w:val="center"/>
        </w:trPr>
        <w:tc>
          <w:tcPr>
            <w:tcW w:w="1545" w:type="dxa"/>
            <w:vMerge/>
            <w:shd w:val="clear" w:color="auto" w:fill="4472C4"/>
            <w:vAlign w:val="center"/>
          </w:tcPr>
          <w:p w14:paraId="4CC9EB13" w14:textId="77777777" w:rsidR="00990B14" w:rsidRDefault="00990B14">
            <w:pPr>
              <w:spacing w:before="20" w:after="20"/>
            </w:pPr>
          </w:p>
        </w:tc>
        <w:tc>
          <w:tcPr>
            <w:tcW w:w="1815" w:type="dxa"/>
            <w:shd w:val="clear" w:color="auto" w:fill="D9E2F3"/>
            <w:vAlign w:val="center"/>
          </w:tcPr>
          <w:p w14:paraId="794C24FF" w14:textId="77777777" w:rsidR="00990B14" w:rsidRDefault="00000000">
            <w:pPr>
              <w:spacing w:before="20" w:after="20"/>
              <w:jc w:val="both"/>
            </w:pPr>
            <w:r>
              <w:rPr>
                <w:sz w:val="18"/>
                <w:szCs w:val="18"/>
              </w:rPr>
              <w:t>Trabajo en equipo</w:t>
            </w:r>
          </w:p>
        </w:tc>
        <w:tc>
          <w:tcPr>
            <w:tcW w:w="2120" w:type="dxa"/>
            <w:shd w:val="clear" w:color="auto" w:fill="D9E2F3"/>
            <w:vAlign w:val="center"/>
          </w:tcPr>
          <w:p w14:paraId="79343675" w14:textId="77777777" w:rsidR="00990B14" w:rsidRDefault="00000000">
            <w:pPr>
              <w:spacing w:before="20" w:after="20"/>
              <w:jc w:val="both"/>
            </w:pPr>
            <w:r>
              <w:rPr>
                <w:sz w:val="18"/>
                <w:szCs w:val="18"/>
              </w:rPr>
              <w:t>La participación es desigual.</w:t>
            </w:r>
          </w:p>
        </w:tc>
        <w:tc>
          <w:tcPr>
            <w:tcW w:w="1910" w:type="dxa"/>
            <w:shd w:val="clear" w:color="auto" w:fill="D9E2F3"/>
            <w:vAlign w:val="center"/>
          </w:tcPr>
          <w:p w14:paraId="631A0F07" w14:textId="77777777" w:rsidR="00990B14" w:rsidRDefault="00000000">
            <w:pPr>
              <w:spacing w:before="20" w:after="20"/>
              <w:jc w:val="both"/>
            </w:pPr>
            <w:r>
              <w:rPr>
                <w:sz w:val="18"/>
                <w:szCs w:val="18"/>
              </w:rPr>
              <w:t>Todos los integrantes participan.</w:t>
            </w:r>
          </w:p>
        </w:tc>
        <w:tc>
          <w:tcPr>
            <w:tcW w:w="2015" w:type="dxa"/>
            <w:shd w:val="clear" w:color="auto" w:fill="D9E2F3"/>
            <w:vAlign w:val="center"/>
          </w:tcPr>
          <w:p w14:paraId="79BF685D" w14:textId="77777777" w:rsidR="00990B14" w:rsidRDefault="00000000">
            <w:pPr>
              <w:spacing w:before="20" w:after="20"/>
              <w:jc w:val="both"/>
            </w:pPr>
            <w:r>
              <w:rPr>
                <w:sz w:val="18"/>
                <w:szCs w:val="18"/>
              </w:rPr>
              <w:t>El equipo sustenta sus conclusiones ante el curso.</w:t>
            </w:r>
          </w:p>
        </w:tc>
      </w:tr>
      <w:tr w:rsidR="00990B14" w14:paraId="5244522A" w14:textId="77777777">
        <w:trPr>
          <w:cantSplit/>
          <w:jc w:val="center"/>
        </w:trPr>
        <w:tc>
          <w:tcPr>
            <w:tcW w:w="1545" w:type="dxa"/>
            <w:vMerge/>
            <w:shd w:val="clear" w:color="auto" w:fill="4472C4"/>
            <w:vAlign w:val="center"/>
          </w:tcPr>
          <w:p w14:paraId="732FCF19" w14:textId="77777777" w:rsidR="00990B14" w:rsidRDefault="00990B14">
            <w:pPr>
              <w:spacing w:before="20" w:after="20"/>
            </w:pPr>
          </w:p>
        </w:tc>
        <w:tc>
          <w:tcPr>
            <w:tcW w:w="5845" w:type="dxa"/>
            <w:gridSpan w:val="3"/>
            <w:shd w:val="clear" w:color="auto" w:fill="D9E2F3"/>
            <w:vAlign w:val="center"/>
          </w:tcPr>
          <w:p w14:paraId="0C28F2D0" w14:textId="77777777" w:rsidR="00990B14" w:rsidRDefault="00000000">
            <w:pPr>
              <w:keepNext/>
              <w:spacing w:before="20" w:after="20"/>
              <w:jc w:val="both"/>
            </w:pPr>
            <w:r>
              <w:rPr>
                <w:b/>
                <w:bCs/>
                <w:i/>
                <w:iCs/>
                <w:sz w:val="18"/>
                <w:szCs w:val="18"/>
              </w:rPr>
              <w:t xml:space="preserve">Producto 13: </w:t>
            </w:r>
            <w:r>
              <w:rPr>
                <w:sz w:val="18"/>
                <w:szCs w:val="18"/>
              </w:rPr>
              <w:t>Informe de amenazas en la empresa</w:t>
            </w:r>
          </w:p>
        </w:tc>
        <w:tc>
          <w:tcPr>
            <w:tcW w:w="2015" w:type="dxa"/>
            <w:shd w:val="clear" w:color="auto" w:fill="D9E2F3"/>
            <w:vAlign w:val="center"/>
          </w:tcPr>
          <w:p w14:paraId="19F7CB70" w14:textId="77777777" w:rsidR="00990B14" w:rsidRDefault="00000000">
            <w:pPr>
              <w:spacing w:before="20" w:after="20"/>
              <w:jc w:val="center"/>
            </w:pPr>
            <w:r>
              <w:rPr>
                <w:b/>
                <w:bCs/>
                <w:sz w:val="18"/>
                <w:szCs w:val="18"/>
              </w:rPr>
              <w:t>4%</w:t>
            </w:r>
          </w:p>
        </w:tc>
      </w:tr>
      <w:tr w:rsidR="00990B14" w14:paraId="76B8B6EE" w14:textId="77777777">
        <w:trPr>
          <w:cantSplit/>
          <w:jc w:val="center"/>
        </w:trPr>
        <w:tc>
          <w:tcPr>
            <w:tcW w:w="1545" w:type="dxa"/>
            <w:vMerge/>
            <w:shd w:val="clear" w:color="auto" w:fill="4472C4"/>
            <w:vAlign w:val="center"/>
          </w:tcPr>
          <w:p w14:paraId="2211043B" w14:textId="77777777" w:rsidR="00990B14" w:rsidRDefault="00990B14">
            <w:pPr>
              <w:spacing w:before="20" w:after="20"/>
            </w:pPr>
          </w:p>
        </w:tc>
        <w:tc>
          <w:tcPr>
            <w:tcW w:w="1815" w:type="dxa"/>
            <w:shd w:val="clear" w:color="auto" w:fill="4472C4"/>
            <w:vAlign w:val="center"/>
          </w:tcPr>
          <w:p w14:paraId="01DBFF4A" w14:textId="77777777" w:rsidR="00990B14" w:rsidRDefault="00000000">
            <w:pPr>
              <w:keepNext/>
              <w:spacing w:before="20" w:after="20"/>
              <w:jc w:val="center"/>
            </w:pPr>
            <w:r>
              <w:rPr>
                <w:b/>
                <w:bCs/>
                <w:i/>
                <w:iCs/>
                <w:color w:val="FFFFFF"/>
                <w:sz w:val="18"/>
                <w:szCs w:val="18"/>
              </w:rPr>
              <w:t>Criterio</w:t>
            </w:r>
          </w:p>
        </w:tc>
        <w:tc>
          <w:tcPr>
            <w:tcW w:w="2120" w:type="dxa"/>
            <w:shd w:val="clear" w:color="auto" w:fill="4472C4"/>
            <w:vAlign w:val="center"/>
          </w:tcPr>
          <w:p w14:paraId="6FDD61AB"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1AF8C846"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5527E63E" w14:textId="77777777" w:rsidR="00990B14" w:rsidRDefault="00000000">
            <w:pPr>
              <w:keepNext/>
              <w:spacing w:before="20" w:after="20"/>
              <w:jc w:val="center"/>
            </w:pPr>
            <w:r>
              <w:rPr>
                <w:b/>
                <w:bCs/>
                <w:i/>
                <w:iCs/>
                <w:color w:val="FFFFFF"/>
                <w:sz w:val="18"/>
                <w:szCs w:val="18"/>
              </w:rPr>
              <w:t>Destacado (81–100)</w:t>
            </w:r>
          </w:p>
        </w:tc>
      </w:tr>
      <w:tr w:rsidR="00990B14" w14:paraId="75ABA41E" w14:textId="77777777">
        <w:trPr>
          <w:cantSplit/>
          <w:jc w:val="center"/>
        </w:trPr>
        <w:tc>
          <w:tcPr>
            <w:tcW w:w="1545" w:type="dxa"/>
            <w:vMerge/>
            <w:shd w:val="clear" w:color="auto" w:fill="4472C4"/>
            <w:vAlign w:val="center"/>
          </w:tcPr>
          <w:p w14:paraId="274EC392" w14:textId="77777777" w:rsidR="00990B14" w:rsidRDefault="00990B14">
            <w:pPr>
              <w:spacing w:before="20" w:after="20"/>
            </w:pPr>
          </w:p>
        </w:tc>
        <w:tc>
          <w:tcPr>
            <w:tcW w:w="1815" w:type="dxa"/>
            <w:shd w:val="clear" w:color="auto" w:fill="D9E2F3"/>
            <w:vAlign w:val="center"/>
          </w:tcPr>
          <w:p w14:paraId="13B17C4D" w14:textId="77777777" w:rsidR="00990B14" w:rsidRDefault="00000000">
            <w:pPr>
              <w:spacing w:before="20" w:after="20"/>
              <w:jc w:val="both"/>
            </w:pPr>
            <w:r>
              <w:rPr>
                <w:sz w:val="18"/>
                <w:szCs w:val="18"/>
              </w:rPr>
              <w:t>Conflicto de intereses</w:t>
            </w:r>
          </w:p>
        </w:tc>
        <w:tc>
          <w:tcPr>
            <w:tcW w:w="2120" w:type="dxa"/>
            <w:shd w:val="clear" w:color="auto" w:fill="D9E2F3"/>
            <w:vAlign w:val="center"/>
          </w:tcPr>
          <w:p w14:paraId="1AFA5BA9" w14:textId="77777777" w:rsidR="00990B14" w:rsidRDefault="00000000">
            <w:pPr>
              <w:spacing w:before="20" w:after="20"/>
              <w:jc w:val="both"/>
            </w:pPr>
            <w:r>
              <w:rPr>
                <w:sz w:val="18"/>
                <w:szCs w:val="18"/>
              </w:rPr>
              <w:t>No identifica el conflicto.</w:t>
            </w:r>
          </w:p>
        </w:tc>
        <w:tc>
          <w:tcPr>
            <w:tcW w:w="1910" w:type="dxa"/>
            <w:shd w:val="clear" w:color="auto" w:fill="D9E2F3"/>
            <w:vAlign w:val="center"/>
          </w:tcPr>
          <w:p w14:paraId="119B1307" w14:textId="77777777" w:rsidR="00990B14" w:rsidRDefault="00000000">
            <w:pPr>
              <w:spacing w:before="20" w:after="20"/>
              <w:jc w:val="both"/>
            </w:pPr>
            <w:r>
              <w:rPr>
                <w:sz w:val="18"/>
                <w:szCs w:val="18"/>
              </w:rPr>
              <w:t>Identifica el conflicto y los intereses en juego.</w:t>
            </w:r>
          </w:p>
        </w:tc>
        <w:tc>
          <w:tcPr>
            <w:tcW w:w="2015" w:type="dxa"/>
            <w:shd w:val="clear" w:color="auto" w:fill="D9E2F3"/>
            <w:vAlign w:val="center"/>
          </w:tcPr>
          <w:p w14:paraId="0535A29A" w14:textId="77777777" w:rsidR="00990B14" w:rsidRDefault="00000000">
            <w:pPr>
              <w:spacing w:before="20" w:after="20"/>
              <w:jc w:val="both"/>
            </w:pPr>
            <w:r>
              <w:rPr>
                <w:sz w:val="18"/>
                <w:szCs w:val="18"/>
              </w:rPr>
              <w:t>Relaciona el conflicto con la información financiera.</w:t>
            </w:r>
          </w:p>
        </w:tc>
      </w:tr>
      <w:tr w:rsidR="00990B14" w14:paraId="429313DF" w14:textId="77777777">
        <w:trPr>
          <w:cantSplit/>
          <w:jc w:val="center"/>
        </w:trPr>
        <w:tc>
          <w:tcPr>
            <w:tcW w:w="1545" w:type="dxa"/>
            <w:vMerge/>
            <w:shd w:val="clear" w:color="auto" w:fill="4472C4"/>
            <w:vAlign w:val="center"/>
          </w:tcPr>
          <w:p w14:paraId="54C3F940" w14:textId="77777777" w:rsidR="00990B14" w:rsidRDefault="00990B14">
            <w:pPr>
              <w:spacing w:before="20" w:after="20"/>
            </w:pPr>
          </w:p>
        </w:tc>
        <w:tc>
          <w:tcPr>
            <w:tcW w:w="1815" w:type="dxa"/>
            <w:shd w:val="clear" w:color="auto" w:fill="D9E2F3"/>
            <w:vAlign w:val="center"/>
          </w:tcPr>
          <w:p w14:paraId="7D3DEAE2" w14:textId="77777777" w:rsidR="00990B14" w:rsidRDefault="00000000">
            <w:pPr>
              <w:spacing w:before="20" w:after="20"/>
              <w:jc w:val="both"/>
            </w:pPr>
            <w:r>
              <w:rPr>
                <w:sz w:val="18"/>
                <w:szCs w:val="18"/>
              </w:rPr>
              <w:t>Incentivos</w:t>
            </w:r>
          </w:p>
        </w:tc>
        <w:tc>
          <w:tcPr>
            <w:tcW w:w="2120" w:type="dxa"/>
            <w:shd w:val="clear" w:color="auto" w:fill="D9E2F3"/>
            <w:vAlign w:val="center"/>
          </w:tcPr>
          <w:p w14:paraId="4B68C9C0" w14:textId="77777777" w:rsidR="00990B14" w:rsidRDefault="00000000">
            <w:pPr>
              <w:spacing w:before="20" w:after="20"/>
              <w:jc w:val="both"/>
            </w:pPr>
            <w:r>
              <w:rPr>
                <w:sz w:val="18"/>
                <w:szCs w:val="18"/>
              </w:rPr>
              <w:t>Ignora los incentivos y regalos.</w:t>
            </w:r>
          </w:p>
        </w:tc>
        <w:tc>
          <w:tcPr>
            <w:tcW w:w="1910" w:type="dxa"/>
            <w:shd w:val="clear" w:color="auto" w:fill="D9E2F3"/>
            <w:vAlign w:val="center"/>
          </w:tcPr>
          <w:p w14:paraId="0E10A917" w14:textId="77777777" w:rsidR="00990B14" w:rsidRDefault="00000000">
            <w:pPr>
              <w:spacing w:before="20" w:after="20"/>
              <w:jc w:val="both"/>
            </w:pPr>
            <w:r>
              <w:rPr>
                <w:sz w:val="18"/>
                <w:szCs w:val="18"/>
              </w:rPr>
              <w:t>Evalúa los incentivos como amenaza.</w:t>
            </w:r>
          </w:p>
        </w:tc>
        <w:tc>
          <w:tcPr>
            <w:tcW w:w="2015" w:type="dxa"/>
            <w:shd w:val="clear" w:color="auto" w:fill="D9E2F3"/>
            <w:vAlign w:val="center"/>
          </w:tcPr>
          <w:p w14:paraId="30337EC5" w14:textId="77777777" w:rsidR="00990B14" w:rsidRDefault="00000000">
            <w:pPr>
              <w:spacing w:before="20" w:after="20"/>
              <w:jc w:val="both"/>
            </w:pPr>
            <w:r>
              <w:rPr>
                <w:sz w:val="18"/>
                <w:szCs w:val="18"/>
              </w:rPr>
              <w:t>Propone una política de regalos y atenciones.</w:t>
            </w:r>
          </w:p>
        </w:tc>
      </w:tr>
      <w:tr w:rsidR="00990B14" w14:paraId="08A68B43" w14:textId="77777777">
        <w:trPr>
          <w:cantSplit/>
          <w:jc w:val="center"/>
        </w:trPr>
        <w:tc>
          <w:tcPr>
            <w:tcW w:w="1545" w:type="dxa"/>
            <w:vMerge/>
            <w:shd w:val="clear" w:color="auto" w:fill="4472C4"/>
            <w:vAlign w:val="center"/>
          </w:tcPr>
          <w:p w14:paraId="1F6E36B8" w14:textId="77777777" w:rsidR="00990B14" w:rsidRDefault="00990B14">
            <w:pPr>
              <w:spacing w:before="20" w:after="20"/>
            </w:pPr>
          </w:p>
        </w:tc>
        <w:tc>
          <w:tcPr>
            <w:tcW w:w="1815" w:type="dxa"/>
            <w:shd w:val="clear" w:color="auto" w:fill="D9E2F3"/>
            <w:vAlign w:val="center"/>
          </w:tcPr>
          <w:p w14:paraId="6235E91D" w14:textId="77777777" w:rsidR="00990B14" w:rsidRDefault="00000000">
            <w:pPr>
              <w:spacing w:before="20" w:after="20"/>
              <w:jc w:val="both"/>
            </w:pPr>
            <w:r>
              <w:rPr>
                <w:sz w:val="18"/>
                <w:szCs w:val="18"/>
              </w:rPr>
              <w:t>Integridad y objetividad</w:t>
            </w:r>
          </w:p>
        </w:tc>
        <w:tc>
          <w:tcPr>
            <w:tcW w:w="2120" w:type="dxa"/>
            <w:shd w:val="clear" w:color="auto" w:fill="D9E2F3"/>
            <w:vAlign w:val="center"/>
          </w:tcPr>
          <w:p w14:paraId="493CE72F" w14:textId="77777777" w:rsidR="00990B14" w:rsidRDefault="00000000">
            <w:pPr>
              <w:spacing w:before="20" w:after="20"/>
              <w:jc w:val="both"/>
            </w:pPr>
            <w:r>
              <w:rPr>
                <w:sz w:val="18"/>
                <w:szCs w:val="18"/>
              </w:rPr>
              <w:t>Omite los intereses en juego.</w:t>
            </w:r>
          </w:p>
        </w:tc>
        <w:tc>
          <w:tcPr>
            <w:tcW w:w="1910" w:type="dxa"/>
            <w:shd w:val="clear" w:color="auto" w:fill="D9E2F3"/>
            <w:vAlign w:val="center"/>
          </w:tcPr>
          <w:p w14:paraId="407DD442" w14:textId="77777777" w:rsidR="00990B14" w:rsidRDefault="00000000">
            <w:pPr>
              <w:spacing w:before="20" w:after="20"/>
              <w:jc w:val="both"/>
            </w:pPr>
            <w:r>
              <w:rPr>
                <w:sz w:val="18"/>
                <w:szCs w:val="18"/>
              </w:rPr>
              <w:t>Concluye con objetividad conforme al Código.</w:t>
            </w:r>
          </w:p>
        </w:tc>
        <w:tc>
          <w:tcPr>
            <w:tcW w:w="2015" w:type="dxa"/>
            <w:shd w:val="clear" w:color="auto" w:fill="D9E2F3"/>
            <w:vAlign w:val="center"/>
          </w:tcPr>
          <w:p w14:paraId="3644CE2E" w14:textId="77777777" w:rsidR="00990B14" w:rsidRDefault="00000000">
            <w:pPr>
              <w:spacing w:before="20" w:after="20"/>
              <w:jc w:val="both"/>
            </w:pPr>
            <w:r>
              <w:rPr>
                <w:sz w:val="18"/>
                <w:szCs w:val="18"/>
              </w:rPr>
              <w:t>Fundamenta la conclusión con la sección aplicable.</w:t>
            </w:r>
          </w:p>
        </w:tc>
      </w:tr>
      <w:tr w:rsidR="00990B14" w14:paraId="1052DEEE" w14:textId="77777777">
        <w:trPr>
          <w:cantSplit/>
          <w:jc w:val="center"/>
        </w:trPr>
        <w:tc>
          <w:tcPr>
            <w:tcW w:w="1545" w:type="dxa"/>
            <w:vMerge/>
            <w:shd w:val="clear" w:color="auto" w:fill="4472C4"/>
            <w:vAlign w:val="center"/>
          </w:tcPr>
          <w:p w14:paraId="783946EE" w14:textId="77777777" w:rsidR="00990B14" w:rsidRDefault="00990B14">
            <w:pPr>
              <w:spacing w:before="20" w:after="20"/>
            </w:pPr>
          </w:p>
        </w:tc>
        <w:tc>
          <w:tcPr>
            <w:tcW w:w="5845" w:type="dxa"/>
            <w:gridSpan w:val="3"/>
            <w:shd w:val="clear" w:color="auto" w:fill="D9E2F3"/>
            <w:vAlign w:val="center"/>
          </w:tcPr>
          <w:p w14:paraId="4862FE23" w14:textId="77777777" w:rsidR="00990B14" w:rsidRDefault="00000000">
            <w:pPr>
              <w:keepNext/>
              <w:spacing w:before="20" w:after="20"/>
              <w:jc w:val="both"/>
            </w:pPr>
            <w:r>
              <w:rPr>
                <w:b/>
                <w:bCs/>
                <w:i/>
                <w:iCs/>
                <w:sz w:val="18"/>
                <w:szCs w:val="18"/>
              </w:rPr>
              <w:t xml:space="preserve">Producto 14: </w:t>
            </w:r>
            <w:r>
              <w:rPr>
                <w:sz w:val="18"/>
                <w:szCs w:val="18"/>
              </w:rPr>
              <w:t>Hoja de decisión ante presiones</w:t>
            </w:r>
          </w:p>
        </w:tc>
        <w:tc>
          <w:tcPr>
            <w:tcW w:w="2015" w:type="dxa"/>
            <w:shd w:val="clear" w:color="auto" w:fill="D9E2F3"/>
            <w:vAlign w:val="center"/>
          </w:tcPr>
          <w:p w14:paraId="18BC714A" w14:textId="77777777" w:rsidR="00990B14" w:rsidRDefault="00000000">
            <w:pPr>
              <w:spacing w:before="20" w:after="20"/>
              <w:jc w:val="center"/>
            </w:pPr>
            <w:r>
              <w:rPr>
                <w:b/>
                <w:bCs/>
                <w:sz w:val="18"/>
                <w:szCs w:val="18"/>
              </w:rPr>
              <w:t>3%</w:t>
            </w:r>
          </w:p>
        </w:tc>
      </w:tr>
      <w:tr w:rsidR="00990B14" w14:paraId="54E09FD4" w14:textId="77777777">
        <w:trPr>
          <w:cantSplit/>
          <w:jc w:val="center"/>
        </w:trPr>
        <w:tc>
          <w:tcPr>
            <w:tcW w:w="1545" w:type="dxa"/>
            <w:vMerge/>
            <w:shd w:val="clear" w:color="auto" w:fill="4472C4"/>
            <w:vAlign w:val="center"/>
          </w:tcPr>
          <w:p w14:paraId="563F0908" w14:textId="77777777" w:rsidR="00990B14" w:rsidRDefault="00990B14">
            <w:pPr>
              <w:spacing w:before="20" w:after="20"/>
            </w:pPr>
          </w:p>
        </w:tc>
        <w:tc>
          <w:tcPr>
            <w:tcW w:w="1815" w:type="dxa"/>
            <w:shd w:val="clear" w:color="auto" w:fill="4472C4"/>
            <w:vAlign w:val="center"/>
          </w:tcPr>
          <w:p w14:paraId="4B4A5711" w14:textId="77777777" w:rsidR="00990B14" w:rsidRDefault="00000000">
            <w:pPr>
              <w:keepNext/>
              <w:spacing w:before="20" w:after="20"/>
              <w:jc w:val="center"/>
            </w:pPr>
            <w:r>
              <w:rPr>
                <w:b/>
                <w:bCs/>
                <w:i/>
                <w:iCs/>
                <w:color w:val="FFFFFF"/>
                <w:sz w:val="18"/>
                <w:szCs w:val="18"/>
              </w:rPr>
              <w:t>Criterio</w:t>
            </w:r>
          </w:p>
        </w:tc>
        <w:tc>
          <w:tcPr>
            <w:tcW w:w="2120" w:type="dxa"/>
            <w:shd w:val="clear" w:color="auto" w:fill="4472C4"/>
            <w:vAlign w:val="center"/>
          </w:tcPr>
          <w:p w14:paraId="7DFAF4DF"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1F911D14"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1D154ABB" w14:textId="77777777" w:rsidR="00990B14" w:rsidRDefault="00000000">
            <w:pPr>
              <w:keepNext/>
              <w:spacing w:before="20" w:after="20"/>
              <w:jc w:val="center"/>
            </w:pPr>
            <w:r>
              <w:rPr>
                <w:b/>
                <w:bCs/>
                <w:i/>
                <w:iCs/>
                <w:color w:val="FFFFFF"/>
                <w:sz w:val="18"/>
                <w:szCs w:val="18"/>
              </w:rPr>
              <w:t>Destacado (81–100)</w:t>
            </w:r>
          </w:p>
        </w:tc>
      </w:tr>
      <w:tr w:rsidR="00990B14" w14:paraId="3B5CCE9D" w14:textId="77777777">
        <w:trPr>
          <w:cantSplit/>
          <w:jc w:val="center"/>
        </w:trPr>
        <w:tc>
          <w:tcPr>
            <w:tcW w:w="1545" w:type="dxa"/>
            <w:vMerge/>
            <w:shd w:val="clear" w:color="auto" w:fill="4472C4"/>
            <w:vAlign w:val="center"/>
          </w:tcPr>
          <w:p w14:paraId="48607530" w14:textId="77777777" w:rsidR="00990B14" w:rsidRDefault="00990B14">
            <w:pPr>
              <w:spacing w:before="20" w:after="20"/>
            </w:pPr>
          </w:p>
        </w:tc>
        <w:tc>
          <w:tcPr>
            <w:tcW w:w="1815" w:type="dxa"/>
            <w:shd w:val="clear" w:color="auto" w:fill="D9E2F3"/>
            <w:vAlign w:val="center"/>
          </w:tcPr>
          <w:p w14:paraId="377C7EDD" w14:textId="77777777" w:rsidR="00990B14" w:rsidRDefault="00000000">
            <w:pPr>
              <w:spacing w:before="20" w:after="20"/>
              <w:jc w:val="both"/>
            </w:pPr>
            <w:r>
              <w:rPr>
                <w:sz w:val="18"/>
                <w:szCs w:val="18"/>
              </w:rPr>
              <w:t>Análisis de la presión</w:t>
            </w:r>
          </w:p>
        </w:tc>
        <w:tc>
          <w:tcPr>
            <w:tcW w:w="2120" w:type="dxa"/>
            <w:shd w:val="clear" w:color="auto" w:fill="D9E2F3"/>
            <w:vAlign w:val="center"/>
          </w:tcPr>
          <w:p w14:paraId="3E1BC89D" w14:textId="77777777" w:rsidR="00990B14" w:rsidRDefault="00000000">
            <w:pPr>
              <w:spacing w:before="20" w:after="20"/>
              <w:jc w:val="both"/>
            </w:pPr>
            <w:r>
              <w:rPr>
                <w:sz w:val="18"/>
                <w:szCs w:val="18"/>
              </w:rPr>
              <w:t>No reconoce la presión.</w:t>
            </w:r>
          </w:p>
        </w:tc>
        <w:tc>
          <w:tcPr>
            <w:tcW w:w="1910" w:type="dxa"/>
            <w:shd w:val="clear" w:color="auto" w:fill="D9E2F3"/>
            <w:vAlign w:val="center"/>
          </w:tcPr>
          <w:p w14:paraId="4AEC1131" w14:textId="77777777" w:rsidR="00990B14" w:rsidRDefault="00000000">
            <w:pPr>
              <w:spacing w:before="20" w:after="20"/>
              <w:jc w:val="both"/>
            </w:pPr>
            <w:r>
              <w:rPr>
                <w:sz w:val="18"/>
                <w:szCs w:val="18"/>
              </w:rPr>
              <w:t>Describe la presión y su origen.</w:t>
            </w:r>
          </w:p>
        </w:tc>
        <w:tc>
          <w:tcPr>
            <w:tcW w:w="2015" w:type="dxa"/>
            <w:shd w:val="clear" w:color="auto" w:fill="D9E2F3"/>
            <w:vAlign w:val="center"/>
          </w:tcPr>
          <w:p w14:paraId="5D5C5CB1" w14:textId="77777777" w:rsidR="00990B14" w:rsidRDefault="00000000">
            <w:pPr>
              <w:spacing w:before="20" w:after="20"/>
              <w:jc w:val="both"/>
            </w:pPr>
            <w:r>
              <w:rPr>
                <w:sz w:val="18"/>
                <w:szCs w:val="18"/>
              </w:rPr>
              <w:t>Evalúa el efecto en los usuarios de la información.</w:t>
            </w:r>
          </w:p>
        </w:tc>
      </w:tr>
      <w:tr w:rsidR="00990B14" w14:paraId="00B99D45" w14:textId="77777777">
        <w:trPr>
          <w:cantSplit/>
          <w:jc w:val="center"/>
        </w:trPr>
        <w:tc>
          <w:tcPr>
            <w:tcW w:w="1545" w:type="dxa"/>
            <w:vMerge/>
            <w:shd w:val="clear" w:color="auto" w:fill="4472C4"/>
            <w:vAlign w:val="center"/>
          </w:tcPr>
          <w:p w14:paraId="726F2E7B" w14:textId="77777777" w:rsidR="00990B14" w:rsidRDefault="00990B14">
            <w:pPr>
              <w:spacing w:before="20" w:after="20"/>
            </w:pPr>
          </w:p>
        </w:tc>
        <w:tc>
          <w:tcPr>
            <w:tcW w:w="1815" w:type="dxa"/>
            <w:shd w:val="clear" w:color="auto" w:fill="D9E2F3"/>
            <w:vAlign w:val="center"/>
          </w:tcPr>
          <w:p w14:paraId="2E570F88" w14:textId="77777777" w:rsidR="00990B14" w:rsidRDefault="00000000">
            <w:pPr>
              <w:spacing w:before="20" w:after="20"/>
              <w:jc w:val="both"/>
            </w:pPr>
            <w:r>
              <w:rPr>
                <w:sz w:val="18"/>
                <w:szCs w:val="18"/>
              </w:rPr>
              <w:t>Curso de acción</w:t>
            </w:r>
          </w:p>
        </w:tc>
        <w:tc>
          <w:tcPr>
            <w:tcW w:w="2120" w:type="dxa"/>
            <w:shd w:val="clear" w:color="auto" w:fill="D9E2F3"/>
            <w:vAlign w:val="center"/>
          </w:tcPr>
          <w:p w14:paraId="5CFBAF25" w14:textId="77777777" w:rsidR="00990B14" w:rsidRDefault="00000000">
            <w:pPr>
              <w:spacing w:before="20" w:after="20"/>
              <w:jc w:val="both"/>
            </w:pPr>
            <w:r>
              <w:rPr>
                <w:sz w:val="18"/>
                <w:szCs w:val="18"/>
              </w:rPr>
              <w:t>El curso de acción vulnera el Código.</w:t>
            </w:r>
          </w:p>
        </w:tc>
        <w:tc>
          <w:tcPr>
            <w:tcW w:w="1910" w:type="dxa"/>
            <w:shd w:val="clear" w:color="auto" w:fill="D9E2F3"/>
            <w:vAlign w:val="center"/>
          </w:tcPr>
          <w:p w14:paraId="3E7AF702" w14:textId="77777777" w:rsidR="00990B14" w:rsidRDefault="00000000">
            <w:pPr>
              <w:spacing w:before="20" w:after="20"/>
              <w:jc w:val="both"/>
            </w:pPr>
            <w:r>
              <w:rPr>
                <w:sz w:val="18"/>
                <w:szCs w:val="18"/>
              </w:rPr>
              <w:t>Determina un curso de acción conforme al Código.</w:t>
            </w:r>
          </w:p>
        </w:tc>
        <w:tc>
          <w:tcPr>
            <w:tcW w:w="2015" w:type="dxa"/>
            <w:shd w:val="clear" w:color="auto" w:fill="D9E2F3"/>
            <w:vAlign w:val="center"/>
          </w:tcPr>
          <w:p w14:paraId="0E62D608" w14:textId="77777777" w:rsidR="00990B14" w:rsidRDefault="00000000">
            <w:pPr>
              <w:spacing w:before="20" w:after="20"/>
              <w:jc w:val="both"/>
            </w:pPr>
            <w:r>
              <w:rPr>
                <w:sz w:val="18"/>
                <w:szCs w:val="18"/>
              </w:rPr>
              <w:t>Prevé la escalada a los órganos de gobierno.</w:t>
            </w:r>
          </w:p>
        </w:tc>
      </w:tr>
      <w:tr w:rsidR="00990B14" w14:paraId="61A2A65E" w14:textId="77777777">
        <w:trPr>
          <w:cantSplit/>
          <w:jc w:val="center"/>
        </w:trPr>
        <w:tc>
          <w:tcPr>
            <w:tcW w:w="1545" w:type="dxa"/>
            <w:vMerge/>
            <w:shd w:val="clear" w:color="auto" w:fill="4472C4"/>
            <w:vAlign w:val="center"/>
          </w:tcPr>
          <w:p w14:paraId="6BD3018F" w14:textId="77777777" w:rsidR="00990B14" w:rsidRDefault="00990B14">
            <w:pPr>
              <w:spacing w:before="20" w:after="20"/>
            </w:pPr>
          </w:p>
        </w:tc>
        <w:tc>
          <w:tcPr>
            <w:tcW w:w="1815" w:type="dxa"/>
            <w:shd w:val="clear" w:color="auto" w:fill="D9E2F3"/>
            <w:vAlign w:val="center"/>
          </w:tcPr>
          <w:p w14:paraId="18EFAC36" w14:textId="77777777" w:rsidR="00990B14" w:rsidRDefault="00000000">
            <w:pPr>
              <w:spacing w:before="20" w:after="20"/>
              <w:jc w:val="both"/>
            </w:pPr>
            <w:r>
              <w:rPr>
                <w:sz w:val="18"/>
                <w:szCs w:val="18"/>
              </w:rPr>
              <w:t>Trabajo en equipo</w:t>
            </w:r>
          </w:p>
        </w:tc>
        <w:tc>
          <w:tcPr>
            <w:tcW w:w="2120" w:type="dxa"/>
            <w:shd w:val="clear" w:color="auto" w:fill="D9E2F3"/>
            <w:vAlign w:val="center"/>
          </w:tcPr>
          <w:p w14:paraId="3DAE49CA" w14:textId="77777777" w:rsidR="00990B14" w:rsidRDefault="00000000">
            <w:pPr>
              <w:spacing w:before="20" w:after="20"/>
              <w:jc w:val="both"/>
            </w:pPr>
            <w:r>
              <w:rPr>
                <w:sz w:val="18"/>
                <w:szCs w:val="18"/>
              </w:rPr>
              <w:t>La participación es desigual.</w:t>
            </w:r>
          </w:p>
        </w:tc>
        <w:tc>
          <w:tcPr>
            <w:tcW w:w="1910" w:type="dxa"/>
            <w:shd w:val="clear" w:color="auto" w:fill="D9E2F3"/>
            <w:vAlign w:val="center"/>
          </w:tcPr>
          <w:p w14:paraId="6251B0BC" w14:textId="77777777" w:rsidR="00990B14" w:rsidRDefault="00000000">
            <w:pPr>
              <w:spacing w:before="20" w:after="20"/>
              <w:jc w:val="both"/>
            </w:pPr>
            <w:r>
              <w:rPr>
                <w:sz w:val="18"/>
                <w:szCs w:val="18"/>
              </w:rPr>
              <w:t>Todos los integrantes participan.</w:t>
            </w:r>
          </w:p>
        </w:tc>
        <w:tc>
          <w:tcPr>
            <w:tcW w:w="2015" w:type="dxa"/>
            <w:shd w:val="clear" w:color="auto" w:fill="D9E2F3"/>
            <w:vAlign w:val="center"/>
          </w:tcPr>
          <w:p w14:paraId="72F5FAC7" w14:textId="77777777" w:rsidR="00990B14" w:rsidRDefault="00000000">
            <w:pPr>
              <w:spacing w:before="20" w:after="20"/>
              <w:jc w:val="both"/>
            </w:pPr>
            <w:r>
              <w:rPr>
                <w:sz w:val="18"/>
                <w:szCs w:val="18"/>
              </w:rPr>
              <w:t>El equipo sustenta sus conclusiones ante el curso.</w:t>
            </w:r>
          </w:p>
        </w:tc>
      </w:tr>
      <w:tr w:rsidR="00990B14" w14:paraId="2360BB9C" w14:textId="77777777">
        <w:trPr>
          <w:cantSplit/>
          <w:jc w:val="center"/>
        </w:trPr>
        <w:tc>
          <w:tcPr>
            <w:tcW w:w="1545" w:type="dxa"/>
            <w:vMerge/>
            <w:shd w:val="clear" w:color="auto" w:fill="4472C4"/>
            <w:vAlign w:val="center"/>
          </w:tcPr>
          <w:p w14:paraId="37D54A94" w14:textId="77777777" w:rsidR="00990B14" w:rsidRDefault="00990B14">
            <w:pPr>
              <w:spacing w:before="20" w:after="20"/>
            </w:pPr>
          </w:p>
        </w:tc>
        <w:tc>
          <w:tcPr>
            <w:tcW w:w="5845" w:type="dxa"/>
            <w:gridSpan w:val="3"/>
            <w:shd w:val="clear" w:color="auto" w:fill="D9E2F3"/>
            <w:vAlign w:val="center"/>
          </w:tcPr>
          <w:p w14:paraId="0C9ACEDC" w14:textId="77777777" w:rsidR="00990B14" w:rsidRDefault="00000000">
            <w:pPr>
              <w:keepNext/>
              <w:spacing w:before="20" w:after="20"/>
              <w:jc w:val="both"/>
            </w:pPr>
            <w:r>
              <w:rPr>
                <w:b/>
                <w:bCs/>
                <w:i/>
                <w:iCs/>
                <w:sz w:val="18"/>
                <w:szCs w:val="18"/>
              </w:rPr>
              <w:t xml:space="preserve">Producto 15: </w:t>
            </w:r>
            <w:r>
              <w:rPr>
                <w:sz w:val="18"/>
                <w:szCs w:val="18"/>
              </w:rPr>
              <w:t>Resolución de un caso de incumplimiento</w:t>
            </w:r>
          </w:p>
        </w:tc>
        <w:tc>
          <w:tcPr>
            <w:tcW w:w="2015" w:type="dxa"/>
            <w:shd w:val="clear" w:color="auto" w:fill="D9E2F3"/>
            <w:vAlign w:val="center"/>
          </w:tcPr>
          <w:p w14:paraId="29FE7F27" w14:textId="77777777" w:rsidR="00990B14" w:rsidRDefault="00000000">
            <w:pPr>
              <w:spacing w:before="20" w:after="20"/>
              <w:jc w:val="center"/>
            </w:pPr>
            <w:r>
              <w:rPr>
                <w:b/>
                <w:bCs/>
                <w:sz w:val="18"/>
                <w:szCs w:val="18"/>
              </w:rPr>
              <w:t>3%</w:t>
            </w:r>
          </w:p>
        </w:tc>
      </w:tr>
      <w:tr w:rsidR="00990B14" w14:paraId="12E90116" w14:textId="77777777">
        <w:trPr>
          <w:cantSplit/>
          <w:jc w:val="center"/>
        </w:trPr>
        <w:tc>
          <w:tcPr>
            <w:tcW w:w="1545" w:type="dxa"/>
            <w:vMerge/>
            <w:shd w:val="clear" w:color="auto" w:fill="4472C4"/>
            <w:vAlign w:val="center"/>
          </w:tcPr>
          <w:p w14:paraId="510A0B3D" w14:textId="77777777" w:rsidR="00990B14" w:rsidRDefault="00990B14">
            <w:pPr>
              <w:spacing w:before="20" w:after="20"/>
            </w:pPr>
          </w:p>
        </w:tc>
        <w:tc>
          <w:tcPr>
            <w:tcW w:w="1815" w:type="dxa"/>
            <w:shd w:val="clear" w:color="auto" w:fill="4472C4"/>
            <w:vAlign w:val="center"/>
          </w:tcPr>
          <w:p w14:paraId="095E0C83" w14:textId="77777777" w:rsidR="00990B14" w:rsidRDefault="00000000">
            <w:pPr>
              <w:keepNext/>
              <w:spacing w:before="20" w:after="20"/>
              <w:jc w:val="center"/>
            </w:pPr>
            <w:r>
              <w:rPr>
                <w:b/>
                <w:bCs/>
                <w:i/>
                <w:iCs/>
                <w:color w:val="FFFFFF"/>
                <w:sz w:val="18"/>
                <w:szCs w:val="18"/>
              </w:rPr>
              <w:t>Criterio</w:t>
            </w:r>
          </w:p>
        </w:tc>
        <w:tc>
          <w:tcPr>
            <w:tcW w:w="2120" w:type="dxa"/>
            <w:shd w:val="clear" w:color="auto" w:fill="4472C4"/>
            <w:vAlign w:val="center"/>
          </w:tcPr>
          <w:p w14:paraId="7812BFE6"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0258D13F"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24600693" w14:textId="77777777" w:rsidR="00990B14" w:rsidRDefault="00000000">
            <w:pPr>
              <w:keepNext/>
              <w:spacing w:before="20" w:after="20"/>
              <w:jc w:val="center"/>
            </w:pPr>
            <w:r>
              <w:rPr>
                <w:b/>
                <w:bCs/>
                <w:i/>
                <w:iCs/>
                <w:color w:val="FFFFFF"/>
                <w:sz w:val="18"/>
                <w:szCs w:val="18"/>
              </w:rPr>
              <w:t>Destacado (81–100)</w:t>
            </w:r>
          </w:p>
        </w:tc>
      </w:tr>
      <w:tr w:rsidR="00990B14" w14:paraId="050B182C" w14:textId="77777777">
        <w:trPr>
          <w:cantSplit/>
          <w:jc w:val="center"/>
        </w:trPr>
        <w:tc>
          <w:tcPr>
            <w:tcW w:w="1545" w:type="dxa"/>
            <w:vMerge/>
            <w:shd w:val="clear" w:color="auto" w:fill="4472C4"/>
            <w:vAlign w:val="center"/>
          </w:tcPr>
          <w:p w14:paraId="0FDB5EA5" w14:textId="77777777" w:rsidR="00990B14" w:rsidRDefault="00990B14">
            <w:pPr>
              <w:spacing w:before="20" w:after="20"/>
            </w:pPr>
          </w:p>
        </w:tc>
        <w:tc>
          <w:tcPr>
            <w:tcW w:w="1815" w:type="dxa"/>
            <w:shd w:val="clear" w:color="auto" w:fill="D9E2F3"/>
            <w:vAlign w:val="center"/>
          </w:tcPr>
          <w:p w14:paraId="6DCA9583" w14:textId="77777777" w:rsidR="00990B14" w:rsidRDefault="00000000">
            <w:pPr>
              <w:spacing w:before="20" w:after="20"/>
              <w:jc w:val="both"/>
            </w:pPr>
            <w:r>
              <w:rPr>
                <w:sz w:val="18"/>
                <w:szCs w:val="18"/>
              </w:rPr>
              <w:t>Identificación del incumplimiento</w:t>
            </w:r>
          </w:p>
        </w:tc>
        <w:tc>
          <w:tcPr>
            <w:tcW w:w="2120" w:type="dxa"/>
            <w:shd w:val="clear" w:color="auto" w:fill="D9E2F3"/>
            <w:vAlign w:val="center"/>
          </w:tcPr>
          <w:p w14:paraId="0FD6BDED" w14:textId="77777777" w:rsidR="00990B14" w:rsidRDefault="00000000">
            <w:pPr>
              <w:spacing w:before="20" w:after="20"/>
              <w:jc w:val="both"/>
            </w:pPr>
            <w:r>
              <w:rPr>
                <w:sz w:val="18"/>
                <w:szCs w:val="18"/>
              </w:rPr>
              <w:t>No identifica el incumplimiento.</w:t>
            </w:r>
          </w:p>
        </w:tc>
        <w:tc>
          <w:tcPr>
            <w:tcW w:w="1910" w:type="dxa"/>
            <w:shd w:val="clear" w:color="auto" w:fill="D9E2F3"/>
            <w:vAlign w:val="center"/>
          </w:tcPr>
          <w:p w14:paraId="3C40DFF9" w14:textId="77777777" w:rsidR="00990B14" w:rsidRDefault="00000000">
            <w:pPr>
              <w:spacing w:before="20" w:after="20"/>
              <w:jc w:val="both"/>
            </w:pPr>
            <w:r>
              <w:rPr>
                <w:sz w:val="18"/>
                <w:szCs w:val="18"/>
              </w:rPr>
              <w:t>Identifica el incumplimiento y su gravedad.</w:t>
            </w:r>
          </w:p>
        </w:tc>
        <w:tc>
          <w:tcPr>
            <w:tcW w:w="2015" w:type="dxa"/>
            <w:shd w:val="clear" w:color="auto" w:fill="D9E2F3"/>
            <w:vAlign w:val="center"/>
          </w:tcPr>
          <w:p w14:paraId="1FDD3A1C" w14:textId="77777777" w:rsidR="00990B14" w:rsidRDefault="00000000">
            <w:pPr>
              <w:spacing w:before="20" w:after="20"/>
              <w:jc w:val="both"/>
            </w:pPr>
            <w:r>
              <w:rPr>
                <w:sz w:val="18"/>
                <w:szCs w:val="18"/>
              </w:rPr>
              <w:t>Distingue los incumplimientos según su efecto.</w:t>
            </w:r>
          </w:p>
        </w:tc>
      </w:tr>
      <w:tr w:rsidR="00990B14" w14:paraId="2D8ABA5D" w14:textId="77777777">
        <w:trPr>
          <w:cantSplit/>
          <w:jc w:val="center"/>
        </w:trPr>
        <w:tc>
          <w:tcPr>
            <w:tcW w:w="1545" w:type="dxa"/>
            <w:vMerge/>
            <w:shd w:val="clear" w:color="auto" w:fill="4472C4"/>
            <w:vAlign w:val="center"/>
          </w:tcPr>
          <w:p w14:paraId="15AAF4DA" w14:textId="77777777" w:rsidR="00990B14" w:rsidRDefault="00990B14">
            <w:pPr>
              <w:spacing w:before="20" w:after="20"/>
            </w:pPr>
          </w:p>
        </w:tc>
        <w:tc>
          <w:tcPr>
            <w:tcW w:w="1815" w:type="dxa"/>
            <w:shd w:val="clear" w:color="auto" w:fill="D9E2F3"/>
            <w:vAlign w:val="center"/>
          </w:tcPr>
          <w:p w14:paraId="5A8010C2" w14:textId="77777777" w:rsidR="00990B14" w:rsidRDefault="00000000">
            <w:pPr>
              <w:spacing w:before="20" w:after="20"/>
              <w:jc w:val="both"/>
            </w:pPr>
            <w:r>
              <w:rPr>
                <w:sz w:val="18"/>
                <w:szCs w:val="18"/>
              </w:rPr>
              <w:t>Respuesta profesional</w:t>
            </w:r>
          </w:p>
        </w:tc>
        <w:tc>
          <w:tcPr>
            <w:tcW w:w="2120" w:type="dxa"/>
            <w:shd w:val="clear" w:color="auto" w:fill="D9E2F3"/>
            <w:vAlign w:val="center"/>
          </w:tcPr>
          <w:p w14:paraId="7E0FB9D7" w14:textId="77777777" w:rsidR="00990B14" w:rsidRDefault="00000000">
            <w:pPr>
              <w:spacing w:before="20" w:after="20"/>
              <w:jc w:val="both"/>
            </w:pPr>
            <w:r>
              <w:rPr>
                <w:sz w:val="18"/>
                <w:szCs w:val="18"/>
              </w:rPr>
              <w:t>La respuesta es inadecuada.</w:t>
            </w:r>
          </w:p>
        </w:tc>
        <w:tc>
          <w:tcPr>
            <w:tcW w:w="1910" w:type="dxa"/>
            <w:shd w:val="clear" w:color="auto" w:fill="D9E2F3"/>
            <w:vAlign w:val="center"/>
          </w:tcPr>
          <w:p w14:paraId="3C59655E" w14:textId="77777777" w:rsidR="00990B14" w:rsidRDefault="00000000">
            <w:pPr>
              <w:spacing w:before="20" w:after="20"/>
              <w:jc w:val="both"/>
            </w:pPr>
            <w:r>
              <w:rPr>
                <w:sz w:val="18"/>
                <w:szCs w:val="18"/>
              </w:rPr>
              <w:t>Aplica la respuesta prevista en el Código.</w:t>
            </w:r>
          </w:p>
        </w:tc>
        <w:tc>
          <w:tcPr>
            <w:tcW w:w="2015" w:type="dxa"/>
            <w:shd w:val="clear" w:color="auto" w:fill="D9E2F3"/>
            <w:vAlign w:val="center"/>
          </w:tcPr>
          <w:p w14:paraId="4C928F27" w14:textId="77777777" w:rsidR="00990B14" w:rsidRDefault="00000000">
            <w:pPr>
              <w:spacing w:before="20" w:after="20"/>
              <w:jc w:val="both"/>
            </w:pPr>
            <w:r>
              <w:rPr>
                <w:sz w:val="18"/>
                <w:szCs w:val="18"/>
              </w:rPr>
              <w:t>Evalúa la comunicación a la autoridad competente.</w:t>
            </w:r>
          </w:p>
        </w:tc>
      </w:tr>
      <w:tr w:rsidR="00990B14" w14:paraId="1C92B177" w14:textId="77777777">
        <w:trPr>
          <w:cantSplit/>
          <w:jc w:val="center"/>
        </w:trPr>
        <w:tc>
          <w:tcPr>
            <w:tcW w:w="1545" w:type="dxa"/>
            <w:vMerge/>
            <w:shd w:val="clear" w:color="auto" w:fill="4472C4"/>
            <w:vAlign w:val="center"/>
          </w:tcPr>
          <w:p w14:paraId="3E1C4A8A" w14:textId="77777777" w:rsidR="00990B14" w:rsidRDefault="00990B14">
            <w:pPr>
              <w:spacing w:before="20" w:after="20"/>
            </w:pPr>
          </w:p>
        </w:tc>
        <w:tc>
          <w:tcPr>
            <w:tcW w:w="1815" w:type="dxa"/>
            <w:shd w:val="clear" w:color="auto" w:fill="D9E2F3"/>
            <w:vAlign w:val="center"/>
          </w:tcPr>
          <w:p w14:paraId="5E647848" w14:textId="77777777" w:rsidR="00990B14" w:rsidRDefault="00000000">
            <w:pPr>
              <w:spacing w:before="20" w:after="20"/>
              <w:jc w:val="both"/>
            </w:pPr>
            <w:r>
              <w:rPr>
                <w:sz w:val="18"/>
                <w:szCs w:val="18"/>
              </w:rPr>
              <w:t>Trabajo en equipo</w:t>
            </w:r>
          </w:p>
        </w:tc>
        <w:tc>
          <w:tcPr>
            <w:tcW w:w="2120" w:type="dxa"/>
            <w:shd w:val="clear" w:color="auto" w:fill="D9E2F3"/>
            <w:vAlign w:val="center"/>
          </w:tcPr>
          <w:p w14:paraId="4F674E6D" w14:textId="77777777" w:rsidR="00990B14" w:rsidRDefault="00000000">
            <w:pPr>
              <w:spacing w:before="20" w:after="20"/>
              <w:jc w:val="both"/>
            </w:pPr>
            <w:r>
              <w:rPr>
                <w:sz w:val="18"/>
                <w:szCs w:val="18"/>
              </w:rPr>
              <w:t>La participación es desigual.</w:t>
            </w:r>
          </w:p>
        </w:tc>
        <w:tc>
          <w:tcPr>
            <w:tcW w:w="1910" w:type="dxa"/>
            <w:shd w:val="clear" w:color="auto" w:fill="D9E2F3"/>
            <w:vAlign w:val="center"/>
          </w:tcPr>
          <w:p w14:paraId="4938977F" w14:textId="77777777" w:rsidR="00990B14" w:rsidRDefault="00000000">
            <w:pPr>
              <w:spacing w:before="20" w:after="20"/>
              <w:jc w:val="both"/>
            </w:pPr>
            <w:r>
              <w:rPr>
                <w:sz w:val="18"/>
                <w:szCs w:val="18"/>
              </w:rPr>
              <w:t>Todos los integrantes participan.</w:t>
            </w:r>
          </w:p>
        </w:tc>
        <w:tc>
          <w:tcPr>
            <w:tcW w:w="2015" w:type="dxa"/>
            <w:shd w:val="clear" w:color="auto" w:fill="D9E2F3"/>
            <w:vAlign w:val="center"/>
          </w:tcPr>
          <w:p w14:paraId="1B18AC32" w14:textId="77777777" w:rsidR="00990B14" w:rsidRDefault="00000000">
            <w:pPr>
              <w:spacing w:before="20" w:after="20"/>
              <w:jc w:val="both"/>
            </w:pPr>
            <w:r>
              <w:rPr>
                <w:sz w:val="18"/>
                <w:szCs w:val="18"/>
              </w:rPr>
              <w:t>El equipo sustenta sus conclusiones ante el curso.</w:t>
            </w:r>
          </w:p>
        </w:tc>
      </w:tr>
      <w:tr w:rsidR="00990B14" w14:paraId="307BF569" w14:textId="77777777">
        <w:trPr>
          <w:cantSplit/>
          <w:jc w:val="center"/>
        </w:trPr>
        <w:tc>
          <w:tcPr>
            <w:tcW w:w="1545" w:type="dxa"/>
            <w:vMerge/>
            <w:shd w:val="clear" w:color="auto" w:fill="4472C4"/>
            <w:vAlign w:val="center"/>
          </w:tcPr>
          <w:p w14:paraId="42AED7A8" w14:textId="77777777" w:rsidR="00990B14" w:rsidRDefault="00990B14">
            <w:pPr>
              <w:spacing w:before="20" w:after="20"/>
            </w:pPr>
          </w:p>
        </w:tc>
        <w:tc>
          <w:tcPr>
            <w:tcW w:w="5845" w:type="dxa"/>
            <w:gridSpan w:val="3"/>
            <w:shd w:val="clear" w:color="auto" w:fill="D9E2F3"/>
            <w:vAlign w:val="center"/>
          </w:tcPr>
          <w:p w14:paraId="48940F10" w14:textId="77777777" w:rsidR="00990B14" w:rsidRDefault="00000000">
            <w:pPr>
              <w:keepNext/>
              <w:spacing w:before="20" w:after="20"/>
              <w:jc w:val="both"/>
            </w:pPr>
            <w:r>
              <w:rPr>
                <w:b/>
                <w:bCs/>
                <w:i/>
                <w:iCs/>
                <w:sz w:val="18"/>
                <w:szCs w:val="18"/>
              </w:rPr>
              <w:t xml:space="preserve">Producto 16: </w:t>
            </w:r>
            <w:r>
              <w:rPr>
                <w:sz w:val="18"/>
                <w:szCs w:val="18"/>
              </w:rPr>
              <w:t>Informe de planificación fiscal</w:t>
            </w:r>
          </w:p>
        </w:tc>
        <w:tc>
          <w:tcPr>
            <w:tcW w:w="2015" w:type="dxa"/>
            <w:shd w:val="clear" w:color="auto" w:fill="D9E2F3"/>
            <w:vAlign w:val="center"/>
          </w:tcPr>
          <w:p w14:paraId="7312BA24" w14:textId="77777777" w:rsidR="00990B14" w:rsidRDefault="00000000">
            <w:pPr>
              <w:spacing w:before="20" w:after="20"/>
              <w:jc w:val="center"/>
            </w:pPr>
            <w:r>
              <w:rPr>
                <w:b/>
                <w:bCs/>
                <w:sz w:val="18"/>
                <w:szCs w:val="18"/>
              </w:rPr>
              <w:t>3%</w:t>
            </w:r>
          </w:p>
        </w:tc>
      </w:tr>
      <w:tr w:rsidR="00990B14" w14:paraId="0506703B" w14:textId="77777777">
        <w:trPr>
          <w:cantSplit/>
          <w:jc w:val="center"/>
        </w:trPr>
        <w:tc>
          <w:tcPr>
            <w:tcW w:w="1545" w:type="dxa"/>
            <w:vMerge/>
            <w:shd w:val="clear" w:color="auto" w:fill="4472C4"/>
            <w:vAlign w:val="center"/>
          </w:tcPr>
          <w:p w14:paraId="1E827A37" w14:textId="77777777" w:rsidR="00990B14" w:rsidRDefault="00990B14">
            <w:pPr>
              <w:spacing w:before="20" w:after="20"/>
            </w:pPr>
          </w:p>
        </w:tc>
        <w:tc>
          <w:tcPr>
            <w:tcW w:w="1815" w:type="dxa"/>
            <w:shd w:val="clear" w:color="auto" w:fill="4472C4"/>
            <w:vAlign w:val="center"/>
          </w:tcPr>
          <w:p w14:paraId="0E9744E2" w14:textId="77777777" w:rsidR="00990B14" w:rsidRDefault="00000000">
            <w:pPr>
              <w:keepNext/>
              <w:spacing w:before="20" w:after="20"/>
              <w:jc w:val="center"/>
            </w:pPr>
            <w:r>
              <w:rPr>
                <w:b/>
                <w:bCs/>
                <w:i/>
                <w:iCs/>
                <w:color w:val="FFFFFF"/>
                <w:sz w:val="18"/>
                <w:szCs w:val="18"/>
              </w:rPr>
              <w:t>Criterio</w:t>
            </w:r>
          </w:p>
        </w:tc>
        <w:tc>
          <w:tcPr>
            <w:tcW w:w="2120" w:type="dxa"/>
            <w:shd w:val="clear" w:color="auto" w:fill="4472C4"/>
            <w:vAlign w:val="center"/>
          </w:tcPr>
          <w:p w14:paraId="5C3A4EB8"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43EAC0A9"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1FEDE8BD" w14:textId="77777777" w:rsidR="00990B14" w:rsidRDefault="00000000">
            <w:pPr>
              <w:keepNext/>
              <w:spacing w:before="20" w:after="20"/>
              <w:jc w:val="center"/>
            </w:pPr>
            <w:r>
              <w:rPr>
                <w:b/>
                <w:bCs/>
                <w:i/>
                <w:iCs/>
                <w:color w:val="FFFFFF"/>
                <w:sz w:val="18"/>
                <w:szCs w:val="18"/>
              </w:rPr>
              <w:t>Destacado (81–100)</w:t>
            </w:r>
          </w:p>
        </w:tc>
      </w:tr>
      <w:tr w:rsidR="00990B14" w14:paraId="06FD9FF2" w14:textId="77777777">
        <w:trPr>
          <w:cantSplit/>
          <w:jc w:val="center"/>
        </w:trPr>
        <w:tc>
          <w:tcPr>
            <w:tcW w:w="1545" w:type="dxa"/>
            <w:vMerge/>
            <w:shd w:val="clear" w:color="auto" w:fill="4472C4"/>
            <w:vAlign w:val="center"/>
          </w:tcPr>
          <w:p w14:paraId="630C4B8B" w14:textId="77777777" w:rsidR="00990B14" w:rsidRDefault="00990B14">
            <w:pPr>
              <w:spacing w:before="20" w:after="20"/>
            </w:pPr>
          </w:p>
        </w:tc>
        <w:tc>
          <w:tcPr>
            <w:tcW w:w="1815" w:type="dxa"/>
            <w:shd w:val="clear" w:color="auto" w:fill="D9E2F3"/>
            <w:vAlign w:val="center"/>
          </w:tcPr>
          <w:p w14:paraId="69BAF19B" w14:textId="77777777" w:rsidR="00990B14" w:rsidRDefault="00000000">
            <w:pPr>
              <w:spacing w:before="20" w:after="20"/>
              <w:jc w:val="both"/>
            </w:pPr>
            <w:r>
              <w:rPr>
                <w:sz w:val="18"/>
                <w:szCs w:val="18"/>
              </w:rPr>
              <w:t>Base técnica</w:t>
            </w:r>
          </w:p>
        </w:tc>
        <w:tc>
          <w:tcPr>
            <w:tcW w:w="2120" w:type="dxa"/>
            <w:shd w:val="clear" w:color="auto" w:fill="D9E2F3"/>
            <w:vAlign w:val="center"/>
          </w:tcPr>
          <w:p w14:paraId="43D3A68B" w14:textId="77777777" w:rsidR="00990B14" w:rsidRDefault="00000000">
            <w:pPr>
              <w:spacing w:before="20" w:after="20"/>
              <w:jc w:val="both"/>
            </w:pPr>
            <w:r>
              <w:rPr>
                <w:sz w:val="18"/>
                <w:szCs w:val="18"/>
              </w:rPr>
              <w:t>No evalúa la base técnica.</w:t>
            </w:r>
          </w:p>
        </w:tc>
        <w:tc>
          <w:tcPr>
            <w:tcW w:w="1910" w:type="dxa"/>
            <w:shd w:val="clear" w:color="auto" w:fill="D9E2F3"/>
            <w:vAlign w:val="center"/>
          </w:tcPr>
          <w:p w14:paraId="29A8F72B" w14:textId="77777777" w:rsidR="00990B14" w:rsidRDefault="00000000">
            <w:pPr>
              <w:spacing w:before="20" w:after="20"/>
              <w:jc w:val="both"/>
            </w:pPr>
            <w:r>
              <w:rPr>
                <w:sz w:val="18"/>
                <w:szCs w:val="18"/>
              </w:rPr>
              <w:t>Evalúa la base técnica del asesoramiento.</w:t>
            </w:r>
          </w:p>
        </w:tc>
        <w:tc>
          <w:tcPr>
            <w:tcW w:w="2015" w:type="dxa"/>
            <w:shd w:val="clear" w:color="auto" w:fill="D9E2F3"/>
            <w:vAlign w:val="center"/>
          </w:tcPr>
          <w:p w14:paraId="521EE9D6" w14:textId="77777777" w:rsidR="00990B14" w:rsidRDefault="00000000">
            <w:pPr>
              <w:spacing w:before="20" w:after="20"/>
              <w:jc w:val="both"/>
            </w:pPr>
            <w:r>
              <w:rPr>
                <w:sz w:val="18"/>
                <w:szCs w:val="18"/>
              </w:rPr>
              <w:t>Distingue la planificación legítima de la elusión.</w:t>
            </w:r>
          </w:p>
        </w:tc>
      </w:tr>
      <w:tr w:rsidR="00990B14" w14:paraId="49161689" w14:textId="77777777">
        <w:trPr>
          <w:cantSplit/>
          <w:jc w:val="center"/>
        </w:trPr>
        <w:tc>
          <w:tcPr>
            <w:tcW w:w="1545" w:type="dxa"/>
            <w:vMerge/>
            <w:shd w:val="clear" w:color="auto" w:fill="4472C4"/>
            <w:vAlign w:val="center"/>
          </w:tcPr>
          <w:p w14:paraId="4AEDBB4A" w14:textId="77777777" w:rsidR="00990B14" w:rsidRDefault="00990B14">
            <w:pPr>
              <w:spacing w:before="20" w:after="20"/>
            </w:pPr>
          </w:p>
        </w:tc>
        <w:tc>
          <w:tcPr>
            <w:tcW w:w="1815" w:type="dxa"/>
            <w:shd w:val="clear" w:color="auto" w:fill="D9E2F3"/>
            <w:vAlign w:val="center"/>
          </w:tcPr>
          <w:p w14:paraId="1D36DE73" w14:textId="77777777" w:rsidR="00990B14" w:rsidRDefault="00000000">
            <w:pPr>
              <w:spacing w:before="20" w:after="20"/>
              <w:jc w:val="both"/>
            </w:pPr>
            <w:r>
              <w:rPr>
                <w:sz w:val="18"/>
                <w:szCs w:val="18"/>
              </w:rPr>
              <w:t>Honorarios y dependencia</w:t>
            </w:r>
          </w:p>
        </w:tc>
        <w:tc>
          <w:tcPr>
            <w:tcW w:w="2120" w:type="dxa"/>
            <w:shd w:val="clear" w:color="auto" w:fill="D9E2F3"/>
            <w:vAlign w:val="center"/>
          </w:tcPr>
          <w:p w14:paraId="5D00B013" w14:textId="77777777" w:rsidR="00990B14" w:rsidRDefault="00000000">
            <w:pPr>
              <w:spacing w:before="20" w:after="20"/>
              <w:jc w:val="both"/>
            </w:pPr>
            <w:r>
              <w:rPr>
                <w:sz w:val="18"/>
                <w:szCs w:val="18"/>
              </w:rPr>
              <w:t>Ignora la amenaza de interés propio.</w:t>
            </w:r>
          </w:p>
        </w:tc>
        <w:tc>
          <w:tcPr>
            <w:tcW w:w="1910" w:type="dxa"/>
            <w:shd w:val="clear" w:color="auto" w:fill="D9E2F3"/>
            <w:vAlign w:val="center"/>
          </w:tcPr>
          <w:p w14:paraId="7E6FC1FC" w14:textId="77777777" w:rsidR="00990B14" w:rsidRDefault="00000000">
            <w:pPr>
              <w:spacing w:before="20" w:after="20"/>
              <w:jc w:val="both"/>
            </w:pPr>
            <w:r>
              <w:rPr>
                <w:sz w:val="18"/>
                <w:szCs w:val="18"/>
              </w:rPr>
              <w:t>Evalúa los honorarios condicionados y la dependencia.</w:t>
            </w:r>
          </w:p>
        </w:tc>
        <w:tc>
          <w:tcPr>
            <w:tcW w:w="2015" w:type="dxa"/>
            <w:shd w:val="clear" w:color="auto" w:fill="D9E2F3"/>
            <w:vAlign w:val="center"/>
          </w:tcPr>
          <w:p w14:paraId="2071CEC5" w14:textId="77777777" w:rsidR="00990B14" w:rsidRDefault="00000000">
            <w:pPr>
              <w:spacing w:before="20" w:after="20"/>
              <w:jc w:val="both"/>
            </w:pPr>
            <w:r>
              <w:rPr>
                <w:sz w:val="18"/>
                <w:szCs w:val="18"/>
              </w:rPr>
              <w:t>Propone medidas frente a la amenaza.</w:t>
            </w:r>
          </w:p>
        </w:tc>
      </w:tr>
      <w:tr w:rsidR="00990B14" w14:paraId="6751CFF7" w14:textId="77777777">
        <w:trPr>
          <w:cantSplit/>
          <w:jc w:val="center"/>
        </w:trPr>
        <w:tc>
          <w:tcPr>
            <w:tcW w:w="1545" w:type="dxa"/>
            <w:vMerge/>
            <w:shd w:val="clear" w:color="auto" w:fill="4472C4"/>
            <w:vAlign w:val="center"/>
          </w:tcPr>
          <w:p w14:paraId="6F6B5DBC" w14:textId="77777777" w:rsidR="00990B14" w:rsidRDefault="00990B14">
            <w:pPr>
              <w:spacing w:before="20" w:after="20"/>
            </w:pPr>
          </w:p>
        </w:tc>
        <w:tc>
          <w:tcPr>
            <w:tcW w:w="1815" w:type="dxa"/>
            <w:shd w:val="clear" w:color="auto" w:fill="D9E2F3"/>
            <w:vAlign w:val="center"/>
          </w:tcPr>
          <w:p w14:paraId="04F7D895" w14:textId="77777777" w:rsidR="00990B14" w:rsidRDefault="00000000">
            <w:pPr>
              <w:spacing w:before="20" w:after="20"/>
              <w:jc w:val="both"/>
            </w:pPr>
            <w:r>
              <w:rPr>
                <w:sz w:val="18"/>
                <w:szCs w:val="18"/>
              </w:rPr>
              <w:t>Efecto reputacional</w:t>
            </w:r>
          </w:p>
        </w:tc>
        <w:tc>
          <w:tcPr>
            <w:tcW w:w="2120" w:type="dxa"/>
            <w:shd w:val="clear" w:color="auto" w:fill="D9E2F3"/>
            <w:vAlign w:val="center"/>
          </w:tcPr>
          <w:p w14:paraId="333C732B" w14:textId="77777777" w:rsidR="00990B14" w:rsidRDefault="00000000">
            <w:pPr>
              <w:spacing w:before="20" w:after="20"/>
              <w:jc w:val="both"/>
            </w:pPr>
            <w:r>
              <w:rPr>
                <w:sz w:val="18"/>
                <w:szCs w:val="18"/>
              </w:rPr>
              <w:t>Omite el efecto reputacional.</w:t>
            </w:r>
          </w:p>
        </w:tc>
        <w:tc>
          <w:tcPr>
            <w:tcW w:w="1910" w:type="dxa"/>
            <w:shd w:val="clear" w:color="auto" w:fill="D9E2F3"/>
            <w:vAlign w:val="center"/>
          </w:tcPr>
          <w:p w14:paraId="311B0473" w14:textId="77777777" w:rsidR="00990B14" w:rsidRDefault="00000000">
            <w:pPr>
              <w:spacing w:before="20" w:after="20"/>
              <w:jc w:val="both"/>
            </w:pPr>
            <w:r>
              <w:rPr>
                <w:sz w:val="18"/>
                <w:szCs w:val="18"/>
              </w:rPr>
              <w:t>Valora el efecto reputacional del asesoramiento.</w:t>
            </w:r>
          </w:p>
        </w:tc>
        <w:tc>
          <w:tcPr>
            <w:tcW w:w="2015" w:type="dxa"/>
            <w:shd w:val="clear" w:color="auto" w:fill="D9E2F3"/>
            <w:vAlign w:val="center"/>
          </w:tcPr>
          <w:p w14:paraId="748682B8" w14:textId="77777777" w:rsidR="00990B14" w:rsidRDefault="00000000">
            <w:pPr>
              <w:spacing w:before="20" w:after="20"/>
              <w:jc w:val="both"/>
            </w:pPr>
            <w:r>
              <w:rPr>
                <w:sz w:val="18"/>
                <w:szCs w:val="18"/>
              </w:rPr>
              <w:t>Recomienda una conducta que preserve la confianza pública.</w:t>
            </w:r>
          </w:p>
        </w:tc>
      </w:tr>
      <w:tr w:rsidR="00990B14" w14:paraId="3435F94B" w14:textId="77777777">
        <w:trPr>
          <w:cantSplit/>
          <w:jc w:val="center"/>
        </w:trPr>
        <w:tc>
          <w:tcPr>
            <w:tcW w:w="1545" w:type="dxa"/>
            <w:vMerge/>
            <w:shd w:val="clear" w:color="auto" w:fill="4472C4"/>
            <w:vAlign w:val="center"/>
          </w:tcPr>
          <w:p w14:paraId="48A43223" w14:textId="77777777" w:rsidR="00990B14" w:rsidRDefault="00990B14">
            <w:pPr>
              <w:spacing w:before="20" w:after="20"/>
            </w:pPr>
          </w:p>
        </w:tc>
        <w:tc>
          <w:tcPr>
            <w:tcW w:w="5845" w:type="dxa"/>
            <w:gridSpan w:val="3"/>
            <w:shd w:val="clear" w:color="auto" w:fill="D9E2F3"/>
            <w:vAlign w:val="center"/>
          </w:tcPr>
          <w:p w14:paraId="5E2448C5" w14:textId="77777777" w:rsidR="00990B14" w:rsidRDefault="00000000">
            <w:pPr>
              <w:keepNext/>
              <w:spacing w:before="20" w:after="20"/>
              <w:jc w:val="both"/>
            </w:pPr>
            <w:r>
              <w:rPr>
                <w:b/>
                <w:bCs/>
                <w:i/>
                <w:iCs/>
                <w:sz w:val="18"/>
                <w:szCs w:val="18"/>
              </w:rPr>
              <w:t xml:space="preserve">Producto 17: </w:t>
            </w:r>
            <w:r>
              <w:rPr>
                <w:sz w:val="18"/>
                <w:szCs w:val="18"/>
              </w:rPr>
              <w:t>Matriz de amenazas en auditoría</w:t>
            </w:r>
          </w:p>
        </w:tc>
        <w:tc>
          <w:tcPr>
            <w:tcW w:w="2015" w:type="dxa"/>
            <w:shd w:val="clear" w:color="auto" w:fill="D9E2F3"/>
            <w:vAlign w:val="center"/>
          </w:tcPr>
          <w:p w14:paraId="3108A886" w14:textId="77777777" w:rsidR="00990B14" w:rsidRDefault="00000000">
            <w:pPr>
              <w:spacing w:before="20" w:after="20"/>
              <w:jc w:val="center"/>
            </w:pPr>
            <w:r>
              <w:rPr>
                <w:b/>
                <w:bCs/>
                <w:sz w:val="18"/>
                <w:szCs w:val="18"/>
              </w:rPr>
              <w:t>8%</w:t>
            </w:r>
          </w:p>
        </w:tc>
      </w:tr>
      <w:tr w:rsidR="00990B14" w14:paraId="767CF105" w14:textId="77777777">
        <w:trPr>
          <w:cantSplit/>
          <w:jc w:val="center"/>
        </w:trPr>
        <w:tc>
          <w:tcPr>
            <w:tcW w:w="1545" w:type="dxa"/>
            <w:vMerge/>
            <w:shd w:val="clear" w:color="auto" w:fill="4472C4"/>
            <w:vAlign w:val="center"/>
          </w:tcPr>
          <w:p w14:paraId="15A97935" w14:textId="77777777" w:rsidR="00990B14" w:rsidRDefault="00990B14">
            <w:pPr>
              <w:spacing w:before="20" w:after="20"/>
            </w:pPr>
          </w:p>
        </w:tc>
        <w:tc>
          <w:tcPr>
            <w:tcW w:w="1815" w:type="dxa"/>
            <w:shd w:val="clear" w:color="auto" w:fill="4472C4"/>
            <w:vAlign w:val="center"/>
          </w:tcPr>
          <w:p w14:paraId="219B9A42" w14:textId="77777777" w:rsidR="00990B14" w:rsidRDefault="00000000">
            <w:pPr>
              <w:keepNext/>
              <w:spacing w:before="20" w:after="20"/>
              <w:jc w:val="center"/>
            </w:pPr>
            <w:r>
              <w:rPr>
                <w:b/>
                <w:bCs/>
                <w:i/>
                <w:iCs/>
                <w:color w:val="FFFFFF"/>
                <w:sz w:val="18"/>
                <w:szCs w:val="18"/>
              </w:rPr>
              <w:t>Criterio</w:t>
            </w:r>
          </w:p>
        </w:tc>
        <w:tc>
          <w:tcPr>
            <w:tcW w:w="2120" w:type="dxa"/>
            <w:shd w:val="clear" w:color="auto" w:fill="4472C4"/>
            <w:vAlign w:val="center"/>
          </w:tcPr>
          <w:p w14:paraId="69798BB3"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76F134EE"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1E8885AD" w14:textId="77777777" w:rsidR="00990B14" w:rsidRDefault="00000000">
            <w:pPr>
              <w:keepNext/>
              <w:spacing w:before="20" w:after="20"/>
              <w:jc w:val="center"/>
            </w:pPr>
            <w:r>
              <w:rPr>
                <w:b/>
                <w:bCs/>
                <w:i/>
                <w:iCs/>
                <w:color w:val="FFFFFF"/>
                <w:sz w:val="18"/>
                <w:szCs w:val="18"/>
              </w:rPr>
              <w:t>Destacado (81–100)</w:t>
            </w:r>
          </w:p>
        </w:tc>
      </w:tr>
      <w:tr w:rsidR="00990B14" w14:paraId="6727C302" w14:textId="77777777">
        <w:trPr>
          <w:cantSplit/>
          <w:jc w:val="center"/>
        </w:trPr>
        <w:tc>
          <w:tcPr>
            <w:tcW w:w="1545" w:type="dxa"/>
            <w:vMerge/>
            <w:shd w:val="clear" w:color="auto" w:fill="4472C4"/>
            <w:vAlign w:val="center"/>
          </w:tcPr>
          <w:p w14:paraId="32374F58" w14:textId="77777777" w:rsidR="00990B14" w:rsidRDefault="00990B14">
            <w:pPr>
              <w:spacing w:before="20" w:after="20"/>
            </w:pPr>
          </w:p>
        </w:tc>
        <w:tc>
          <w:tcPr>
            <w:tcW w:w="1815" w:type="dxa"/>
            <w:shd w:val="clear" w:color="auto" w:fill="D9E2F3"/>
            <w:vAlign w:val="center"/>
          </w:tcPr>
          <w:p w14:paraId="0EEBA6A2" w14:textId="77777777" w:rsidR="00990B14" w:rsidRDefault="00000000">
            <w:pPr>
              <w:spacing w:before="20" w:after="20"/>
              <w:jc w:val="both"/>
            </w:pPr>
            <w:r>
              <w:rPr>
                <w:sz w:val="18"/>
                <w:szCs w:val="18"/>
              </w:rPr>
              <w:t>Identificación de relaciones</w:t>
            </w:r>
          </w:p>
        </w:tc>
        <w:tc>
          <w:tcPr>
            <w:tcW w:w="2120" w:type="dxa"/>
            <w:shd w:val="clear" w:color="auto" w:fill="D9E2F3"/>
            <w:vAlign w:val="center"/>
          </w:tcPr>
          <w:p w14:paraId="01644928" w14:textId="77777777" w:rsidR="00990B14" w:rsidRDefault="00000000">
            <w:pPr>
              <w:spacing w:before="20" w:after="20"/>
              <w:jc w:val="both"/>
            </w:pPr>
            <w:r>
              <w:rPr>
                <w:sz w:val="18"/>
                <w:szCs w:val="18"/>
              </w:rPr>
              <w:t>Omite relaciones relevantes.</w:t>
            </w:r>
          </w:p>
        </w:tc>
        <w:tc>
          <w:tcPr>
            <w:tcW w:w="1910" w:type="dxa"/>
            <w:shd w:val="clear" w:color="auto" w:fill="D9E2F3"/>
            <w:vAlign w:val="center"/>
          </w:tcPr>
          <w:p w14:paraId="7F572EC3" w14:textId="77777777" w:rsidR="00990B14" w:rsidRDefault="00000000">
            <w:pPr>
              <w:spacing w:before="20" w:after="20"/>
              <w:jc w:val="both"/>
            </w:pPr>
            <w:r>
              <w:rPr>
                <w:sz w:val="18"/>
                <w:szCs w:val="18"/>
              </w:rPr>
              <w:t>Identifica las relaciones financieras, laborales y familiares.</w:t>
            </w:r>
          </w:p>
        </w:tc>
        <w:tc>
          <w:tcPr>
            <w:tcW w:w="2015" w:type="dxa"/>
            <w:shd w:val="clear" w:color="auto" w:fill="D9E2F3"/>
            <w:vAlign w:val="center"/>
          </w:tcPr>
          <w:p w14:paraId="4EA9E7A0" w14:textId="77777777" w:rsidR="00990B14" w:rsidRDefault="00000000">
            <w:pPr>
              <w:spacing w:before="20" w:after="20"/>
              <w:jc w:val="both"/>
            </w:pPr>
            <w:r>
              <w:rPr>
                <w:sz w:val="18"/>
                <w:szCs w:val="18"/>
              </w:rPr>
              <w:t>Evalúa la rotación y los periodos de enfriamiento.</w:t>
            </w:r>
          </w:p>
        </w:tc>
      </w:tr>
      <w:tr w:rsidR="00990B14" w14:paraId="0DDD36EA" w14:textId="77777777">
        <w:trPr>
          <w:cantSplit/>
          <w:jc w:val="center"/>
        </w:trPr>
        <w:tc>
          <w:tcPr>
            <w:tcW w:w="1545" w:type="dxa"/>
            <w:vMerge/>
            <w:shd w:val="clear" w:color="auto" w:fill="4472C4"/>
            <w:vAlign w:val="center"/>
          </w:tcPr>
          <w:p w14:paraId="7B71146A" w14:textId="77777777" w:rsidR="00990B14" w:rsidRDefault="00990B14">
            <w:pPr>
              <w:spacing w:before="20" w:after="20"/>
            </w:pPr>
          </w:p>
        </w:tc>
        <w:tc>
          <w:tcPr>
            <w:tcW w:w="1815" w:type="dxa"/>
            <w:shd w:val="clear" w:color="auto" w:fill="D9E2F3"/>
            <w:vAlign w:val="center"/>
          </w:tcPr>
          <w:p w14:paraId="3C292DE7" w14:textId="77777777" w:rsidR="00990B14" w:rsidRDefault="00000000">
            <w:pPr>
              <w:spacing w:before="20" w:after="20"/>
              <w:jc w:val="both"/>
            </w:pPr>
            <w:r>
              <w:rPr>
                <w:sz w:val="18"/>
                <w:szCs w:val="18"/>
              </w:rPr>
              <w:t>Salvaguardas</w:t>
            </w:r>
          </w:p>
        </w:tc>
        <w:tc>
          <w:tcPr>
            <w:tcW w:w="2120" w:type="dxa"/>
            <w:shd w:val="clear" w:color="auto" w:fill="D9E2F3"/>
            <w:vAlign w:val="center"/>
          </w:tcPr>
          <w:p w14:paraId="12D2D974" w14:textId="77777777" w:rsidR="00990B14" w:rsidRDefault="00000000">
            <w:pPr>
              <w:spacing w:before="20" w:after="20"/>
              <w:jc w:val="both"/>
            </w:pPr>
            <w:r>
              <w:rPr>
                <w:sz w:val="18"/>
                <w:szCs w:val="18"/>
              </w:rPr>
              <w:t>Las salvaguardas son insuficientes.</w:t>
            </w:r>
          </w:p>
        </w:tc>
        <w:tc>
          <w:tcPr>
            <w:tcW w:w="1910" w:type="dxa"/>
            <w:shd w:val="clear" w:color="auto" w:fill="D9E2F3"/>
            <w:vAlign w:val="center"/>
          </w:tcPr>
          <w:p w14:paraId="3DECE526" w14:textId="77777777" w:rsidR="00990B14" w:rsidRDefault="00000000">
            <w:pPr>
              <w:spacing w:before="20" w:after="20"/>
              <w:jc w:val="both"/>
            </w:pPr>
            <w:r>
              <w:rPr>
                <w:sz w:val="18"/>
                <w:szCs w:val="18"/>
              </w:rPr>
              <w:t>Propone salvaguardas pertinentes.</w:t>
            </w:r>
          </w:p>
        </w:tc>
        <w:tc>
          <w:tcPr>
            <w:tcW w:w="2015" w:type="dxa"/>
            <w:shd w:val="clear" w:color="auto" w:fill="D9E2F3"/>
            <w:vAlign w:val="center"/>
          </w:tcPr>
          <w:p w14:paraId="441FAA83" w14:textId="77777777" w:rsidR="00990B14" w:rsidRDefault="00000000">
            <w:pPr>
              <w:spacing w:before="20" w:after="20"/>
              <w:jc w:val="both"/>
            </w:pPr>
            <w:r>
              <w:rPr>
                <w:sz w:val="18"/>
                <w:szCs w:val="18"/>
              </w:rPr>
              <w:t>Determina cuándo corresponde renunciar al encargo.</w:t>
            </w:r>
          </w:p>
        </w:tc>
      </w:tr>
      <w:tr w:rsidR="00990B14" w14:paraId="0D08BAF5" w14:textId="77777777">
        <w:trPr>
          <w:cantSplit/>
          <w:jc w:val="center"/>
        </w:trPr>
        <w:tc>
          <w:tcPr>
            <w:tcW w:w="1545" w:type="dxa"/>
            <w:vMerge/>
            <w:shd w:val="clear" w:color="auto" w:fill="4472C4"/>
            <w:vAlign w:val="center"/>
          </w:tcPr>
          <w:p w14:paraId="7A9061E2" w14:textId="77777777" w:rsidR="00990B14" w:rsidRDefault="00990B14">
            <w:pPr>
              <w:spacing w:before="20" w:after="20"/>
            </w:pPr>
          </w:p>
        </w:tc>
        <w:tc>
          <w:tcPr>
            <w:tcW w:w="1815" w:type="dxa"/>
            <w:shd w:val="clear" w:color="auto" w:fill="D9E2F3"/>
            <w:vAlign w:val="center"/>
          </w:tcPr>
          <w:p w14:paraId="100801C2" w14:textId="77777777" w:rsidR="00990B14" w:rsidRDefault="00000000">
            <w:pPr>
              <w:spacing w:before="20" w:after="20"/>
              <w:jc w:val="both"/>
            </w:pPr>
            <w:r>
              <w:rPr>
                <w:sz w:val="18"/>
                <w:szCs w:val="18"/>
              </w:rPr>
              <w:t>Comunicación</w:t>
            </w:r>
          </w:p>
        </w:tc>
        <w:tc>
          <w:tcPr>
            <w:tcW w:w="2120" w:type="dxa"/>
            <w:shd w:val="clear" w:color="auto" w:fill="D9E2F3"/>
            <w:vAlign w:val="center"/>
          </w:tcPr>
          <w:p w14:paraId="1E381D43" w14:textId="77777777" w:rsidR="00990B14" w:rsidRDefault="00000000">
            <w:pPr>
              <w:spacing w:before="20" w:after="20"/>
              <w:jc w:val="both"/>
            </w:pPr>
            <w:r>
              <w:rPr>
                <w:sz w:val="18"/>
                <w:szCs w:val="18"/>
              </w:rPr>
              <w:t>Omite la comunicación con el gobierno de la entidad.</w:t>
            </w:r>
          </w:p>
        </w:tc>
        <w:tc>
          <w:tcPr>
            <w:tcW w:w="1910" w:type="dxa"/>
            <w:shd w:val="clear" w:color="auto" w:fill="D9E2F3"/>
            <w:vAlign w:val="center"/>
          </w:tcPr>
          <w:p w14:paraId="69C74624" w14:textId="77777777" w:rsidR="00990B14" w:rsidRDefault="00000000">
            <w:pPr>
              <w:spacing w:before="20" w:after="20"/>
              <w:jc w:val="both"/>
            </w:pPr>
            <w:r>
              <w:rPr>
                <w:sz w:val="18"/>
                <w:szCs w:val="18"/>
              </w:rPr>
              <w:t>Prevé la comunicación con los responsables del gobierno.</w:t>
            </w:r>
          </w:p>
        </w:tc>
        <w:tc>
          <w:tcPr>
            <w:tcW w:w="2015" w:type="dxa"/>
            <w:shd w:val="clear" w:color="auto" w:fill="D9E2F3"/>
            <w:vAlign w:val="center"/>
          </w:tcPr>
          <w:p w14:paraId="1CDAB2C4" w14:textId="77777777" w:rsidR="00990B14" w:rsidRDefault="00000000">
            <w:pPr>
              <w:spacing w:before="20" w:after="20"/>
              <w:jc w:val="both"/>
            </w:pPr>
            <w:r>
              <w:rPr>
                <w:sz w:val="18"/>
                <w:szCs w:val="18"/>
              </w:rPr>
              <w:t>Redacta la declaración de independencia del equipo.</w:t>
            </w:r>
          </w:p>
        </w:tc>
      </w:tr>
      <w:tr w:rsidR="00990B14" w14:paraId="6CAD0143" w14:textId="77777777">
        <w:trPr>
          <w:cantSplit/>
          <w:jc w:val="center"/>
        </w:trPr>
        <w:tc>
          <w:tcPr>
            <w:tcW w:w="1545" w:type="dxa"/>
            <w:vMerge/>
            <w:shd w:val="clear" w:color="auto" w:fill="4472C4"/>
            <w:vAlign w:val="center"/>
          </w:tcPr>
          <w:p w14:paraId="22F913DC" w14:textId="77777777" w:rsidR="00990B14" w:rsidRDefault="00990B14">
            <w:pPr>
              <w:spacing w:before="20" w:after="20"/>
            </w:pPr>
          </w:p>
        </w:tc>
        <w:tc>
          <w:tcPr>
            <w:tcW w:w="5845" w:type="dxa"/>
            <w:gridSpan w:val="3"/>
            <w:shd w:val="clear" w:color="auto" w:fill="D9E2F3"/>
            <w:vAlign w:val="center"/>
          </w:tcPr>
          <w:p w14:paraId="487BA401" w14:textId="77777777" w:rsidR="00990B14" w:rsidRDefault="00000000">
            <w:pPr>
              <w:keepNext/>
              <w:spacing w:before="20" w:after="20"/>
              <w:jc w:val="both"/>
            </w:pPr>
            <w:r>
              <w:rPr>
                <w:b/>
                <w:bCs/>
                <w:i/>
                <w:iCs/>
                <w:sz w:val="18"/>
                <w:szCs w:val="18"/>
              </w:rPr>
              <w:t xml:space="preserve">Producto 18: </w:t>
            </w:r>
            <w:r>
              <w:rPr>
                <w:sz w:val="18"/>
                <w:szCs w:val="18"/>
              </w:rPr>
              <w:t>Evaluación de servicios distintos del aseguramiento</w:t>
            </w:r>
          </w:p>
        </w:tc>
        <w:tc>
          <w:tcPr>
            <w:tcW w:w="2015" w:type="dxa"/>
            <w:shd w:val="clear" w:color="auto" w:fill="D9E2F3"/>
            <w:vAlign w:val="center"/>
          </w:tcPr>
          <w:p w14:paraId="4A4FA656" w14:textId="77777777" w:rsidR="00990B14" w:rsidRDefault="00000000">
            <w:pPr>
              <w:spacing w:before="20" w:after="20"/>
              <w:jc w:val="center"/>
            </w:pPr>
            <w:r>
              <w:rPr>
                <w:b/>
                <w:bCs/>
                <w:sz w:val="18"/>
                <w:szCs w:val="18"/>
              </w:rPr>
              <w:t>8%</w:t>
            </w:r>
          </w:p>
        </w:tc>
      </w:tr>
      <w:tr w:rsidR="00990B14" w14:paraId="6AA5B06E" w14:textId="77777777">
        <w:trPr>
          <w:cantSplit/>
          <w:jc w:val="center"/>
        </w:trPr>
        <w:tc>
          <w:tcPr>
            <w:tcW w:w="1545" w:type="dxa"/>
            <w:vMerge/>
            <w:shd w:val="clear" w:color="auto" w:fill="4472C4"/>
            <w:vAlign w:val="center"/>
          </w:tcPr>
          <w:p w14:paraId="4416673E" w14:textId="77777777" w:rsidR="00990B14" w:rsidRDefault="00990B14">
            <w:pPr>
              <w:spacing w:before="20" w:after="20"/>
            </w:pPr>
          </w:p>
        </w:tc>
        <w:tc>
          <w:tcPr>
            <w:tcW w:w="1815" w:type="dxa"/>
            <w:shd w:val="clear" w:color="auto" w:fill="4472C4"/>
            <w:vAlign w:val="center"/>
          </w:tcPr>
          <w:p w14:paraId="2A8391C3" w14:textId="77777777" w:rsidR="00990B14" w:rsidRDefault="00000000">
            <w:pPr>
              <w:keepNext/>
              <w:spacing w:before="20" w:after="20"/>
              <w:jc w:val="center"/>
            </w:pPr>
            <w:r>
              <w:rPr>
                <w:b/>
                <w:bCs/>
                <w:i/>
                <w:iCs/>
                <w:color w:val="FFFFFF"/>
                <w:sz w:val="18"/>
                <w:szCs w:val="18"/>
              </w:rPr>
              <w:t>Criterio</w:t>
            </w:r>
          </w:p>
        </w:tc>
        <w:tc>
          <w:tcPr>
            <w:tcW w:w="2120" w:type="dxa"/>
            <w:shd w:val="clear" w:color="auto" w:fill="4472C4"/>
            <w:vAlign w:val="center"/>
          </w:tcPr>
          <w:p w14:paraId="147BB052"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68280264"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61F0B6E7" w14:textId="77777777" w:rsidR="00990B14" w:rsidRDefault="00000000">
            <w:pPr>
              <w:keepNext/>
              <w:spacing w:before="20" w:after="20"/>
              <w:jc w:val="center"/>
            </w:pPr>
            <w:r>
              <w:rPr>
                <w:b/>
                <w:bCs/>
                <w:i/>
                <w:iCs/>
                <w:color w:val="FFFFFF"/>
                <w:sz w:val="18"/>
                <w:szCs w:val="18"/>
              </w:rPr>
              <w:t>Destacado (81–100)</w:t>
            </w:r>
          </w:p>
        </w:tc>
      </w:tr>
      <w:tr w:rsidR="00990B14" w14:paraId="319DCF62" w14:textId="77777777">
        <w:trPr>
          <w:cantSplit/>
          <w:jc w:val="center"/>
        </w:trPr>
        <w:tc>
          <w:tcPr>
            <w:tcW w:w="1545" w:type="dxa"/>
            <w:vMerge/>
            <w:shd w:val="clear" w:color="auto" w:fill="4472C4"/>
            <w:vAlign w:val="center"/>
          </w:tcPr>
          <w:p w14:paraId="716E571B" w14:textId="77777777" w:rsidR="00990B14" w:rsidRDefault="00990B14">
            <w:pPr>
              <w:spacing w:before="20" w:after="20"/>
            </w:pPr>
          </w:p>
        </w:tc>
        <w:tc>
          <w:tcPr>
            <w:tcW w:w="1815" w:type="dxa"/>
            <w:shd w:val="clear" w:color="auto" w:fill="D9E2F3"/>
            <w:vAlign w:val="center"/>
          </w:tcPr>
          <w:p w14:paraId="31109D45" w14:textId="77777777" w:rsidR="00990B14" w:rsidRDefault="00000000">
            <w:pPr>
              <w:spacing w:before="20" w:after="20"/>
              <w:jc w:val="both"/>
            </w:pPr>
            <w:r>
              <w:rPr>
                <w:sz w:val="18"/>
                <w:szCs w:val="18"/>
              </w:rPr>
              <w:t>Tipo de servicio</w:t>
            </w:r>
          </w:p>
        </w:tc>
        <w:tc>
          <w:tcPr>
            <w:tcW w:w="2120" w:type="dxa"/>
            <w:shd w:val="clear" w:color="auto" w:fill="D9E2F3"/>
            <w:vAlign w:val="center"/>
          </w:tcPr>
          <w:p w14:paraId="656E40A6" w14:textId="77777777" w:rsidR="00990B14" w:rsidRDefault="00000000">
            <w:pPr>
              <w:spacing w:before="20" w:after="20"/>
              <w:jc w:val="both"/>
            </w:pPr>
            <w:r>
              <w:rPr>
                <w:sz w:val="18"/>
                <w:szCs w:val="18"/>
              </w:rPr>
              <w:t>Confunde los tipos de servicio.</w:t>
            </w:r>
          </w:p>
        </w:tc>
        <w:tc>
          <w:tcPr>
            <w:tcW w:w="1910" w:type="dxa"/>
            <w:shd w:val="clear" w:color="auto" w:fill="D9E2F3"/>
            <w:vAlign w:val="center"/>
          </w:tcPr>
          <w:p w14:paraId="51B2FF50" w14:textId="77777777" w:rsidR="00990B14" w:rsidRDefault="00000000">
            <w:pPr>
              <w:spacing w:before="20" w:after="20"/>
              <w:jc w:val="both"/>
            </w:pPr>
            <w:r>
              <w:rPr>
                <w:sz w:val="18"/>
                <w:szCs w:val="18"/>
              </w:rPr>
              <w:t>Identifica el servicio y la amenaza que genera.</w:t>
            </w:r>
          </w:p>
        </w:tc>
        <w:tc>
          <w:tcPr>
            <w:tcW w:w="2015" w:type="dxa"/>
            <w:shd w:val="clear" w:color="auto" w:fill="D9E2F3"/>
            <w:vAlign w:val="center"/>
          </w:tcPr>
          <w:p w14:paraId="5AF98630" w14:textId="77777777" w:rsidR="00990B14" w:rsidRDefault="00000000">
            <w:pPr>
              <w:spacing w:before="20" w:after="20"/>
              <w:jc w:val="both"/>
            </w:pPr>
            <w:r>
              <w:rPr>
                <w:sz w:val="18"/>
                <w:szCs w:val="18"/>
              </w:rPr>
              <w:t>Considera si el cliente es entidad de interés público.</w:t>
            </w:r>
          </w:p>
        </w:tc>
      </w:tr>
      <w:tr w:rsidR="00990B14" w14:paraId="43D6A7A2" w14:textId="77777777">
        <w:trPr>
          <w:cantSplit/>
          <w:jc w:val="center"/>
        </w:trPr>
        <w:tc>
          <w:tcPr>
            <w:tcW w:w="1545" w:type="dxa"/>
            <w:vMerge/>
            <w:shd w:val="clear" w:color="auto" w:fill="4472C4"/>
            <w:vAlign w:val="center"/>
          </w:tcPr>
          <w:p w14:paraId="0E29A451" w14:textId="77777777" w:rsidR="00990B14" w:rsidRDefault="00990B14">
            <w:pPr>
              <w:spacing w:before="20" w:after="20"/>
            </w:pPr>
          </w:p>
        </w:tc>
        <w:tc>
          <w:tcPr>
            <w:tcW w:w="1815" w:type="dxa"/>
            <w:shd w:val="clear" w:color="auto" w:fill="D9E2F3"/>
            <w:vAlign w:val="center"/>
          </w:tcPr>
          <w:p w14:paraId="6E91765D" w14:textId="77777777" w:rsidR="00990B14" w:rsidRDefault="00000000">
            <w:pPr>
              <w:spacing w:before="20" w:after="20"/>
              <w:jc w:val="both"/>
            </w:pPr>
            <w:r>
              <w:rPr>
                <w:sz w:val="18"/>
                <w:szCs w:val="18"/>
              </w:rPr>
              <w:t>Decisión</w:t>
            </w:r>
          </w:p>
        </w:tc>
        <w:tc>
          <w:tcPr>
            <w:tcW w:w="2120" w:type="dxa"/>
            <w:shd w:val="clear" w:color="auto" w:fill="D9E2F3"/>
            <w:vAlign w:val="center"/>
          </w:tcPr>
          <w:p w14:paraId="5D76BDCD" w14:textId="77777777" w:rsidR="00990B14" w:rsidRDefault="00000000">
            <w:pPr>
              <w:spacing w:before="20" w:after="20"/>
              <w:jc w:val="both"/>
            </w:pPr>
            <w:r>
              <w:rPr>
                <w:sz w:val="18"/>
                <w:szCs w:val="18"/>
              </w:rPr>
              <w:t>La decisión vulnera el Código.</w:t>
            </w:r>
          </w:p>
        </w:tc>
        <w:tc>
          <w:tcPr>
            <w:tcW w:w="1910" w:type="dxa"/>
            <w:shd w:val="clear" w:color="auto" w:fill="D9E2F3"/>
            <w:vAlign w:val="center"/>
          </w:tcPr>
          <w:p w14:paraId="2F5C5098" w14:textId="77777777" w:rsidR="00990B14" w:rsidRDefault="00000000">
            <w:pPr>
              <w:spacing w:before="20" w:after="20"/>
              <w:jc w:val="both"/>
            </w:pPr>
            <w:r>
              <w:rPr>
                <w:sz w:val="18"/>
                <w:szCs w:val="18"/>
              </w:rPr>
              <w:t>Decide si el servicio es permisible.</w:t>
            </w:r>
          </w:p>
        </w:tc>
        <w:tc>
          <w:tcPr>
            <w:tcW w:w="2015" w:type="dxa"/>
            <w:shd w:val="clear" w:color="auto" w:fill="D9E2F3"/>
            <w:vAlign w:val="center"/>
          </w:tcPr>
          <w:p w14:paraId="038C9903" w14:textId="77777777" w:rsidR="00990B14" w:rsidRDefault="00000000">
            <w:pPr>
              <w:spacing w:before="20" w:after="20"/>
              <w:jc w:val="both"/>
            </w:pPr>
            <w:r>
              <w:rPr>
                <w:sz w:val="18"/>
                <w:szCs w:val="18"/>
              </w:rPr>
              <w:t>Fundamenta la decisión en la sección aplicable.</w:t>
            </w:r>
          </w:p>
        </w:tc>
      </w:tr>
      <w:tr w:rsidR="00990B14" w14:paraId="5EF68052" w14:textId="77777777">
        <w:trPr>
          <w:cantSplit/>
          <w:jc w:val="center"/>
        </w:trPr>
        <w:tc>
          <w:tcPr>
            <w:tcW w:w="1545" w:type="dxa"/>
            <w:vMerge/>
            <w:shd w:val="clear" w:color="auto" w:fill="4472C4"/>
            <w:vAlign w:val="center"/>
          </w:tcPr>
          <w:p w14:paraId="1CE9DDC0" w14:textId="77777777" w:rsidR="00990B14" w:rsidRDefault="00990B14">
            <w:pPr>
              <w:spacing w:before="20" w:after="20"/>
            </w:pPr>
          </w:p>
        </w:tc>
        <w:tc>
          <w:tcPr>
            <w:tcW w:w="1815" w:type="dxa"/>
            <w:shd w:val="clear" w:color="auto" w:fill="D9E2F3"/>
            <w:vAlign w:val="center"/>
          </w:tcPr>
          <w:p w14:paraId="52ECD7CE" w14:textId="77777777" w:rsidR="00990B14" w:rsidRDefault="00000000">
            <w:pPr>
              <w:spacing w:before="20" w:after="20"/>
              <w:jc w:val="both"/>
            </w:pPr>
            <w:r>
              <w:rPr>
                <w:sz w:val="18"/>
                <w:szCs w:val="18"/>
              </w:rPr>
              <w:t>Trabajo en equipo</w:t>
            </w:r>
          </w:p>
        </w:tc>
        <w:tc>
          <w:tcPr>
            <w:tcW w:w="2120" w:type="dxa"/>
            <w:shd w:val="clear" w:color="auto" w:fill="D9E2F3"/>
            <w:vAlign w:val="center"/>
          </w:tcPr>
          <w:p w14:paraId="631FD77F" w14:textId="77777777" w:rsidR="00990B14" w:rsidRDefault="00000000">
            <w:pPr>
              <w:spacing w:before="20" w:after="20"/>
              <w:jc w:val="both"/>
            </w:pPr>
            <w:r>
              <w:rPr>
                <w:sz w:val="18"/>
                <w:szCs w:val="18"/>
              </w:rPr>
              <w:t>La participación es desigual.</w:t>
            </w:r>
          </w:p>
        </w:tc>
        <w:tc>
          <w:tcPr>
            <w:tcW w:w="1910" w:type="dxa"/>
            <w:shd w:val="clear" w:color="auto" w:fill="D9E2F3"/>
            <w:vAlign w:val="center"/>
          </w:tcPr>
          <w:p w14:paraId="579AFEEC" w14:textId="77777777" w:rsidR="00990B14" w:rsidRDefault="00000000">
            <w:pPr>
              <w:spacing w:before="20" w:after="20"/>
              <w:jc w:val="both"/>
            </w:pPr>
            <w:r>
              <w:rPr>
                <w:sz w:val="18"/>
                <w:szCs w:val="18"/>
              </w:rPr>
              <w:t>Todos los integrantes participan.</w:t>
            </w:r>
          </w:p>
        </w:tc>
        <w:tc>
          <w:tcPr>
            <w:tcW w:w="2015" w:type="dxa"/>
            <w:shd w:val="clear" w:color="auto" w:fill="D9E2F3"/>
            <w:vAlign w:val="center"/>
          </w:tcPr>
          <w:p w14:paraId="70329121" w14:textId="77777777" w:rsidR="00990B14" w:rsidRDefault="00000000">
            <w:pPr>
              <w:spacing w:before="20" w:after="20"/>
              <w:jc w:val="both"/>
            </w:pPr>
            <w:r>
              <w:rPr>
                <w:sz w:val="18"/>
                <w:szCs w:val="18"/>
              </w:rPr>
              <w:t>El equipo sustenta sus conclusiones ante el curso.</w:t>
            </w:r>
          </w:p>
        </w:tc>
      </w:tr>
      <w:tr w:rsidR="00990B14" w14:paraId="50CAB0E1" w14:textId="77777777">
        <w:trPr>
          <w:cantSplit/>
          <w:jc w:val="center"/>
        </w:trPr>
        <w:tc>
          <w:tcPr>
            <w:tcW w:w="1545" w:type="dxa"/>
            <w:vMerge/>
            <w:shd w:val="clear" w:color="auto" w:fill="4472C4"/>
            <w:vAlign w:val="center"/>
          </w:tcPr>
          <w:p w14:paraId="31A5A1D5" w14:textId="77777777" w:rsidR="00990B14" w:rsidRDefault="00990B14">
            <w:pPr>
              <w:spacing w:before="20" w:after="20"/>
            </w:pPr>
          </w:p>
        </w:tc>
        <w:tc>
          <w:tcPr>
            <w:tcW w:w="5845" w:type="dxa"/>
            <w:gridSpan w:val="3"/>
            <w:shd w:val="clear" w:color="auto" w:fill="D9E2F3"/>
            <w:vAlign w:val="center"/>
          </w:tcPr>
          <w:p w14:paraId="3A3E2C44" w14:textId="77777777" w:rsidR="00990B14" w:rsidRDefault="00000000">
            <w:pPr>
              <w:keepNext/>
              <w:spacing w:before="20" w:after="20"/>
              <w:jc w:val="both"/>
            </w:pPr>
            <w:r>
              <w:rPr>
                <w:b/>
                <w:bCs/>
                <w:i/>
                <w:iCs/>
                <w:sz w:val="18"/>
                <w:szCs w:val="18"/>
              </w:rPr>
              <w:t xml:space="preserve">Producto 19: </w:t>
            </w:r>
            <w:r>
              <w:rPr>
                <w:sz w:val="18"/>
                <w:szCs w:val="18"/>
              </w:rPr>
              <w:t>Matriz de amenazas en aseguramiento</w:t>
            </w:r>
          </w:p>
        </w:tc>
        <w:tc>
          <w:tcPr>
            <w:tcW w:w="2015" w:type="dxa"/>
            <w:shd w:val="clear" w:color="auto" w:fill="D9E2F3"/>
            <w:vAlign w:val="center"/>
          </w:tcPr>
          <w:p w14:paraId="7E34F5E8" w14:textId="77777777" w:rsidR="00990B14" w:rsidRDefault="00000000">
            <w:pPr>
              <w:spacing w:before="20" w:after="20"/>
              <w:jc w:val="center"/>
            </w:pPr>
            <w:r>
              <w:rPr>
                <w:b/>
                <w:bCs/>
                <w:sz w:val="18"/>
                <w:szCs w:val="18"/>
              </w:rPr>
              <w:t>7%</w:t>
            </w:r>
          </w:p>
        </w:tc>
      </w:tr>
      <w:tr w:rsidR="00990B14" w14:paraId="0236A6E2" w14:textId="77777777">
        <w:trPr>
          <w:cantSplit/>
          <w:jc w:val="center"/>
        </w:trPr>
        <w:tc>
          <w:tcPr>
            <w:tcW w:w="1545" w:type="dxa"/>
            <w:vMerge/>
            <w:shd w:val="clear" w:color="auto" w:fill="4472C4"/>
            <w:vAlign w:val="center"/>
          </w:tcPr>
          <w:p w14:paraId="0AF07B49" w14:textId="77777777" w:rsidR="00990B14" w:rsidRDefault="00990B14">
            <w:pPr>
              <w:spacing w:before="20" w:after="20"/>
            </w:pPr>
          </w:p>
        </w:tc>
        <w:tc>
          <w:tcPr>
            <w:tcW w:w="1815" w:type="dxa"/>
            <w:shd w:val="clear" w:color="auto" w:fill="4472C4"/>
            <w:vAlign w:val="center"/>
          </w:tcPr>
          <w:p w14:paraId="46B6674D" w14:textId="77777777" w:rsidR="00990B14" w:rsidRDefault="00000000">
            <w:pPr>
              <w:keepNext/>
              <w:spacing w:before="20" w:after="20"/>
              <w:jc w:val="center"/>
            </w:pPr>
            <w:r>
              <w:rPr>
                <w:b/>
                <w:bCs/>
                <w:i/>
                <w:iCs/>
                <w:color w:val="FFFFFF"/>
                <w:sz w:val="18"/>
                <w:szCs w:val="18"/>
              </w:rPr>
              <w:t>Criterio</w:t>
            </w:r>
          </w:p>
        </w:tc>
        <w:tc>
          <w:tcPr>
            <w:tcW w:w="2120" w:type="dxa"/>
            <w:shd w:val="clear" w:color="auto" w:fill="4472C4"/>
            <w:vAlign w:val="center"/>
          </w:tcPr>
          <w:p w14:paraId="5EA5CF42"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1A0D1276"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0289F989" w14:textId="77777777" w:rsidR="00990B14" w:rsidRDefault="00000000">
            <w:pPr>
              <w:keepNext/>
              <w:spacing w:before="20" w:after="20"/>
              <w:jc w:val="center"/>
            </w:pPr>
            <w:r>
              <w:rPr>
                <w:b/>
                <w:bCs/>
                <w:i/>
                <w:iCs/>
                <w:color w:val="FFFFFF"/>
                <w:sz w:val="18"/>
                <w:szCs w:val="18"/>
              </w:rPr>
              <w:t>Destacado (81–100)</w:t>
            </w:r>
          </w:p>
        </w:tc>
      </w:tr>
      <w:tr w:rsidR="00990B14" w14:paraId="103005AA" w14:textId="77777777">
        <w:trPr>
          <w:cantSplit/>
          <w:jc w:val="center"/>
        </w:trPr>
        <w:tc>
          <w:tcPr>
            <w:tcW w:w="1545" w:type="dxa"/>
            <w:vMerge/>
            <w:shd w:val="clear" w:color="auto" w:fill="4472C4"/>
            <w:vAlign w:val="center"/>
          </w:tcPr>
          <w:p w14:paraId="05ACE2BB" w14:textId="77777777" w:rsidR="00990B14" w:rsidRDefault="00990B14">
            <w:pPr>
              <w:spacing w:before="20" w:after="20"/>
            </w:pPr>
          </w:p>
        </w:tc>
        <w:tc>
          <w:tcPr>
            <w:tcW w:w="1815" w:type="dxa"/>
            <w:shd w:val="clear" w:color="auto" w:fill="D9E2F3"/>
            <w:vAlign w:val="center"/>
          </w:tcPr>
          <w:p w14:paraId="5482D401" w14:textId="77777777" w:rsidR="00990B14" w:rsidRDefault="00000000">
            <w:pPr>
              <w:spacing w:before="20" w:after="20"/>
              <w:jc w:val="both"/>
            </w:pPr>
            <w:r>
              <w:rPr>
                <w:sz w:val="18"/>
                <w:szCs w:val="18"/>
              </w:rPr>
              <w:t>Amenazas y salvaguardas</w:t>
            </w:r>
          </w:p>
        </w:tc>
        <w:tc>
          <w:tcPr>
            <w:tcW w:w="2120" w:type="dxa"/>
            <w:shd w:val="clear" w:color="auto" w:fill="D9E2F3"/>
            <w:vAlign w:val="center"/>
          </w:tcPr>
          <w:p w14:paraId="3A0C05CA" w14:textId="77777777" w:rsidR="00990B14" w:rsidRDefault="00000000">
            <w:pPr>
              <w:spacing w:before="20" w:after="20"/>
              <w:jc w:val="both"/>
            </w:pPr>
            <w:r>
              <w:rPr>
                <w:sz w:val="18"/>
                <w:szCs w:val="18"/>
              </w:rPr>
              <w:t>Omite amenazas relevantes.</w:t>
            </w:r>
          </w:p>
        </w:tc>
        <w:tc>
          <w:tcPr>
            <w:tcW w:w="1910" w:type="dxa"/>
            <w:shd w:val="clear" w:color="auto" w:fill="D9E2F3"/>
            <w:vAlign w:val="center"/>
          </w:tcPr>
          <w:p w14:paraId="7A46F7C9" w14:textId="77777777" w:rsidR="00990B14" w:rsidRDefault="00000000">
            <w:pPr>
              <w:spacing w:before="20" w:after="20"/>
              <w:jc w:val="both"/>
            </w:pPr>
            <w:r>
              <w:rPr>
                <w:sz w:val="18"/>
                <w:szCs w:val="18"/>
              </w:rPr>
              <w:t>Identifica las amenazas por relaciones con el cliente y propone salvaguardas pertinentes.</w:t>
            </w:r>
          </w:p>
        </w:tc>
        <w:tc>
          <w:tcPr>
            <w:tcW w:w="2015" w:type="dxa"/>
            <w:shd w:val="clear" w:color="auto" w:fill="D9E2F3"/>
            <w:vAlign w:val="center"/>
          </w:tcPr>
          <w:p w14:paraId="0F9CDF52" w14:textId="77777777" w:rsidR="00990B14" w:rsidRDefault="00000000">
            <w:pPr>
              <w:spacing w:before="20" w:after="20"/>
              <w:jc w:val="both"/>
            </w:pPr>
            <w:r>
              <w:rPr>
                <w:sz w:val="18"/>
                <w:szCs w:val="18"/>
              </w:rPr>
              <w:t>Justifica la proporcionalidad de las salvaguardas.</w:t>
            </w:r>
          </w:p>
        </w:tc>
      </w:tr>
      <w:tr w:rsidR="00990B14" w14:paraId="31E739E1" w14:textId="77777777">
        <w:trPr>
          <w:cantSplit/>
          <w:jc w:val="center"/>
        </w:trPr>
        <w:tc>
          <w:tcPr>
            <w:tcW w:w="1545" w:type="dxa"/>
            <w:vMerge/>
            <w:shd w:val="clear" w:color="auto" w:fill="4472C4"/>
            <w:vAlign w:val="center"/>
          </w:tcPr>
          <w:p w14:paraId="1D55F911" w14:textId="77777777" w:rsidR="00990B14" w:rsidRDefault="00990B14">
            <w:pPr>
              <w:spacing w:before="20" w:after="20"/>
            </w:pPr>
          </w:p>
        </w:tc>
        <w:tc>
          <w:tcPr>
            <w:tcW w:w="1815" w:type="dxa"/>
            <w:shd w:val="clear" w:color="auto" w:fill="D9E2F3"/>
            <w:vAlign w:val="center"/>
          </w:tcPr>
          <w:p w14:paraId="0640BE65" w14:textId="77777777" w:rsidR="00990B14" w:rsidRDefault="00000000">
            <w:pPr>
              <w:spacing w:before="20" w:after="20"/>
              <w:jc w:val="both"/>
            </w:pPr>
            <w:r>
              <w:rPr>
                <w:sz w:val="18"/>
                <w:szCs w:val="18"/>
              </w:rPr>
              <w:t>Sostenibilidad y expertos</w:t>
            </w:r>
          </w:p>
        </w:tc>
        <w:tc>
          <w:tcPr>
            <w:tcW w:w="2120" w:type="dxa"/>
            <w:shd w:val="clear" w:color="auto" w:fill="D9E2F3"/>
            <w:vAlign w:val="center"/>
          </w:tcPr>
          <w:p w14:paraId="7CD4EB86" w14:textId="77777777" w:rsidR="00990B14" w:rsidRDefault="00000000">
            <w:pPr>
              <w:spacing w:before="20" w:after="20"/>
              <w:jc w:val="both"/>
            </w:pPr>
            <w:r>
              <w:rPr>
                <w:sz w:val="18"/>
                <w:szCs w:val="18"/>
              </w:rPr>
              <w:t>Ignora la información de sostenibilidad.</w:t>
            </w:r>
          </w:p>
        </w:tc>
        <w:tc>
          <w:tcPr>
            <w:tcW w:w="1910" w:type="dxa"/>
            <w:shd w:val="clear" w:color="auto" w:fill="D9E2F3"/>
            <w:vAlign w:val="center"/>
          </w:tcPr>
          <w:p w14:paraId="0F5C74C9" w14:textId="77777777" w:rsidR="00990B14" w:rsidRDefault="00000000">
            <w:pPr>
              <w:spacing w:before="20" w:after="20"/>
              <w:jc w:val="both"/>
            </w:pPr>
            <w:r>
              <w:rPr>
                <w:sz w:val="18"/>
                <w:szCs w:val="18"/>
              </w:rPr>
              <w:t>Aplica las normas de ética para el aseguramiento de sostenibilidad.</w:t>
            </w:r>
          </w:p>
        </w:tc>
        <w:tc>
          <w:tcPr>
            <w:tcW w:w="2015" w:type="dxa"/>
            <w:shd w:val="clear" w:color="auto" w:fill="D9E2F3"/>
            <w:vAlign w:val="center"/>
          </w:tcPr>
          <w:p w14:paraId="68F8F54B" w14:textId="77777777" w:rsidR="00990B14" w:rsidRDefault="00000000">
            <w:pPr>
              <w:spacing w:before="20" w:after="20"/>
              <w:jc w:val="both"/>
            </w:pPr>
            <w:r>
              <w:rPr>
                <w:sz w:val="18"/>
                <w:szCs w:val="18"/>
              </w:rPr>
              <w:t>Evalúa la objetividad del experto externo.</w:t>
            </w:r>
          </w:p>
        </w:tc>
      </w:tr>
      <w:tr w:rsidR="00990B14" w14:paraId="2FF2C80E" w14:textId="77777777">
        <w:trPr>
          <w:cantSplit/>
          <w:jc w:val="center"/>
        </w:trPr>
        <w:tc>
          <w:tcPr>
            <w:tcW w:w="1545" w:type="dxa"/>
            <w:vMerge/>
            <w:shd w:val="clear" w:color="auto" w:fill="4472C4"/>
            <w:vAlign w:val="center"/>
          </w:tcPr>
          <w:p w14:paraId="0EA43B57" w14:textId="77777777" w:rsidR="00990B14" w:rsidRDefault="00990B14">
            <w:pPr>
              <w:spacing w:before="20" w:after="20"/>
            </w:pPr>
          </w:p>
        </w:tc>
        <w:tc>
          <w:tcPr>
            <w:tcW w:w="1815" w:type="dxa"/>
            <w:shd w:val="clear" w:color="auto" w:fill="D9E2F3"/>
            <w:vAlign w:val="center"/>
          </w:tcPr>
          <w:p w14:paraId="4D8540D6" w14:textId="77777777" w:rsidR="00990B14" w:rsidRDefault="00000000">
            <w:pPr>
              <w:spacing w:before="20" w:after="20"/>
              <w:jc w:val="both"/>
            </w:pPr>
            <w:r>
              <w:rPr>
                <w:sz w:val="18"/>
                <w:szCs w:val="18"/>
              </w:rPr>
              <w:t>Objetividad en la evaluación</w:t>
            </w:r>
          </w:p>
        </w:tc>
        <w:tc>
          <w:tcPr>
            <w:tcW w:w="2120" w:type="dxa"/>
            <w:shd w:val="clear" w:color="auto" w:fill="D9E2F3"/>
            <w:vAlign w:val="center"/>
          </w:tcPr>
          <w:p w14:paraId="0C152F7B" w14:textId="77777777" w:rsidR="00990B14" w:rsidRDefault="00000000">
            <w:pPr>
              <w:spacing w:before="20" w:after="20"/>
              <w:jc w:val="both"/>
            </w:pPr>
            <w:r>
              <w:rPr>
                <w:sz w:val="18"/>
                <w:szCs w:val="18"/>
              </w:rPr>
              <w:t>Evalúa con sesgo a favor del cliente.</w:t>
            </w:r>
          </w:p>
        </w:tc>
        <w:tc>
          <w:tcPr>
            <w:tcW w:w="1910" w:type="dxa"/>
            <w:shd w:val="clear" w:color="auto" w:fill="D9E2F3"/>
            <w:vAlign w:val="center"/>
          </w:tcPr>
          <w:p w14:paraId="23CB3E14" w14:textId="77777777" w:rsidR="00990B14" w:rsidRDefault="00000000">
            <w:pPr>
              <w:spacing w:before="20" w:after="20"/>
              <w:jc w:val="both"/>
            </w:pPr>
            <w:r>
              <w:rPr>
                <w:sz w:val="18"/>
                <w:szCs w:val="18"/>
              </w:rPr>
              <w:t>Evalúa con objetividad las relaciones con el cliente.</w:t>
            </w:r>
          </w:p>
        </w:tc>
        <w:tc>
          <w:tcPr>
            <w:tcW w:w="2015" w:type="dxa"/>
            <w:shd w:val="clear" w:color="auto" w:fill="D9E2F3"/>
            <w:vAlign w:val="center"/>
          </w:tcPr>
          <w:p w14:paraId="4719482D" w14:textId="77777777" w:rsidR="00990B14" w:rsidRDefault="00000000">
            <w:pPr>
              <w:spacing w:before="20" w:after="20"/>
              <w:jc w:val="both"/>
            </w:pPr>
            <w:r>
              <w:rPr>
                <w:sz w:val="18"/>
                <w:szCs w:val="18"/>
              </w:rPr>
              <w:t>Distingue los requisitos de la auditoría y del aseguramiento.</w:t>
            </w:r>
          </w:p>
        </w:tc>
      </w:tr>
      <w:tr w:rsidR="00990B14" w14:paraId="46CEDBA1" w14:textId="77777777">
        <w:trPr>
          <w:cantSplit/>
          <w:jc w:val="center"/>
        </w:trPr>
        <w:tc>
          <w:tcPr>
            <w:tcW w:w="1545" w:type="dxa"/>
            <w:vMerge/>
            <w:shd w:val="clear" w:color="auto" w:fill="4472C4"/>
            <w:vAlign w:val="center"/>
          </w:tcPr>
          <w:p w14:paraId="0FF19589" w14:textId="77777777" w:rsidR="00990B14" w:rsidRDefault="00990B14">
            <w:pPr>
              <w:spacing w:before="20" w:after="20"/>
            </w:pPr>
          </w:p>
        </w:tc>
        <w:tc>
          <w:tcPr>
            <w:tcW w:w="5845" w:type="dxa"/>
            <w:gridSpan w:val="3"/>
            <w:shd w:val="clear" w:color="auto" w:fill="D9E2F3"/>
            <w:vAlign w:val="center"/>
          </w:tcPr>
          <w:p w14:paraId="42025115" w14:textId="77777777" w:rsidR="00990B14" w:rsidRDefault="00000000">
            <w:pPr>
              <w:keepNext/>
              <w:spacing w:before="20" w:after="20"/>
              <w:jc w:val="both"/>
            </w:pPr>
            <w:r>
              <w:rPr>
                <w:b/>
                <w:bCs/>
                <w:i/>
                <w:iCs/>
                <w:sz w:val="18"/>
                <w:szCs w:val="18"/>
              </w:rPr>
              <w:t xml:space="preserve">Producto 20: </w:t>
            </w:r>
            <w:r>
              <w:rPr>
                <w:sz w:val="18"/>
                <w:szCs w:val="18"/>
              </w:rPr>
              <w:t>Análisis de un informe con restricción de uso</w:t>
            </w:r>
          </w:p>
        </w:tc>
        <w:tc>
          <w:tcPr>
            <w:tcW w:w="2015" w:type="dxa"/>
            <w:shd w:val="clear" w:color="auto" w:fill="D9E2F3"/>
            <w:vAlign w:val="center"/>
          </w:tcPr>
          <w:p w14:paraId="6DED61D3" w14:textId="77777777" w:rsidR="00990B14" w:rsidRDefault="00000000">
            <w:pPr>
              <w:spacing w:before="20" w:after="20"/>
              <w:jc w:val="center"/>
            </w:pPr>
            <w:r>
              <w:rPr>
                <w:b/>
                <w:bCs/>
                <w:sz w:val="18"/>
                <w:szCs w:val="18"/>
              </w:rPr>
              <w:t>7%</w:t>
            </w:r>
          </w:p>
        </w:tc>
      </w:tr>
      <w:tr w:rsidR="00990B14" w14:paraId="7431302B" w14:textId="77777777">
        <w:trPr>
          <w:cantSplit/>
          <w:jc w:val="center"/>
        </w:trPr>
        <w:tc>
          <w:tcPr>
            <w:tcW w:w="1545" w:type="dxa"/>
            <w:vMerge/>
            <w:shd w:val="clear" w:color="auto" w:fill="4472C4"/>
            <w:vAlign w:val="center"/>
          </w:tcPr>
          <w:p w14:paraId="08CC929F" w14:textId="77777777" w:rsidR="00990B14" w:rsidRDefault="00990B14">
            <w:pPr>
              <w:spacing w:before="20" w:after="20"/>
            </w:pPr>
          </w:p>
        </w:tc>
        <w:tc>
          <w:tcPr>
            <w:tcW w:w="1815" w:type="dxa"/>
            <w:shd w:val="clear" w:color="auto" w:fill="4472C4"/>
            <w:vAlign w:val="center"/>
          </w:tcPr>
          <w:p w14:paraId="2B219D27" w14:textId="77777777" w:rsidR="00990B14" w:rsidRDefault="00000000">
            <w:pPr>
              <w:keepNext/>
              <w:spacing w:before="20" w:after="20"/>
              <w:jc w:val="center"/>
            </w:pPr>
            <w:r>
              <w:rPr>
                <w:b/>
                <w:bCs/>
                <w:i/>
                <w:iCs/>
                <w:color w:val="FFFFFF"/>
                <w:sz w:val="18"/>
                <w:szCs w:val="18"/>
              </w:rPr>
              <w:t>Criterio</w:t>
            </w:r>
          </w:p>
        </w:tc>
        <w:tc>
          <w:tcPr>
            <w:tcW w:w="2120" w:type="dxa"/>
            <w:shd w:val="clear" w:color="auto" w:fill="4472C4"/>
            <w:vAlign w:val="center"/>
          </w:tcPr>
          <w:p w14:paraId="4396AE45"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06A86363"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04F98A09" w14:textId="77777777" w:rsidR="00990B14" w:rsidRDefault="00000000">
            <w:pPr>
              <w:keepNext/>
              <w:spacing w:before="20" w:after="20"/>
              <w:jc w:val="center"/>
            </w:pPr>
            <w:r>
              <w:rPr>
                <w:b/>
                <w:bCs/>
                <w:i/>
                <w:iCs/>
                <w:color w:val="FFFFFF"/>
                <w:sz w:val="18"/>
                <w:szCs w:val="18"/>
              </w:rPr>
              <w:t>Destacado (81–100)</w:t>
            </w:r>
          </w:p>
        </w:tc>
      </w:tr>
      <w:tr w:rsidR="00990B14" w14:paraId="2101E334" w14:textId="77777777">
        <w:trPr>
          <w:cantSplit/>
          <w:jc w:val="center"/>
        </w:trPr>
        <w:tc>
          <w:tcPr>
            <w:tcW w:w="1545" w:type="dxa"/>
            <w:vMerge/>
            <w:shd w:val="clear" w:color="auto" w:fill="4472C4"/>
            <w:vAlign w:val="center"/>
          </w:tcPr>
          <w:p w14:paraId="1E11C49B" w14:textId="77777777" w:rsidR="00990B14" w:rsidRDefault="00990B14">
            <w:pPr>
              <w:spacing w:before="20" w:after="20"/>
            </w:pPr>
          </w:p>
        </w:tc>
        <w:tc>
          <w:tcPr>
            <w:tcW w:w="1815" w:type="dxa"/>
            <w:shd w:val="clear" w:color="auto" w:fill="D9E2F3"/>
            <w:vAlign w:val="center"/>
          </w:tcPr>
          <w:p w14:paraId="2AB01FD6" w14:textId="77777777" w:rsidR="00990B14" w:rsidRDefault="00000000">
            <w:pPr>
              <w:spacing w:before="20" w:after="20"/>
              <w:jc w:val="both"/>
            </w:pPr>
            <w:r>
              <w:rPr>
                <w:sz w:val="18"/>
                <w:szCs w:val="18"/>
              </w:rPr>
              <w:t>Identificación de la restricción</w:t>
            </w:r>
          </w:p>
        </w:tc>
        <w:tc>
          <w:tcPr>
            <w:tcW w:w="2120" w:type="dxa"/>
            <w:shd w:val="clear" w:color="auto" w:fill="D9E2F3"/>
            <w:vAlign w:val="center"/>
          </w:tcPr>
          <w:p w14:paraId="41C2310E" w14:textId="77777777" w:rsidR="00990B14" w:rsidRDefault="00000000">
            <w:pPr>
              <w:spacing w:before="20" w:after="20"/>
              <w:jc w:val="both"/>
            </w:pPr>
            <w:r>
              <w:rPr>
                <w:sz w:val="18"/>
                <w:szCs w:val="18"/>
              </w:rPr>
              <w:t>No identifica la restricción.</w:t>
            </w:r>
          </w:p>
        </w:tc>
        <w:tc>
          <w:tcPr>
            <w:tcW w:w="1910" w:type="dxa"/>
            <w:shd w:val="clear" w:color="auto" w:fill="D9E2F3"/>
            <w:vAlign w:val="center"/>
          </w:tcPr>
          <w:p w14:paraId="51E0B788" w14:textId="77777777" w:rsidR="00990B14" w:rsidRDefault="00000000">
            <w:pPr>
              <w:spacing w:before="20" w:after="20"/>
              <w:jc w:val="both"/>
            </w:pPr>
            <w:r>
              <w:rPr>
                <w:sz w:val="18"/>
                <w:szCs w:val="18"/>
              </w:rPr>
              <w:t>Identifica la restricción y a los usuarios previstos.</w:t>
            </w:r>
          </w:p>
        </w:tc>
        <w:tc>
          <w:tcPr>
            <w:tcW w:w="2015" w:type="dxa"/>
            <w:shd w:val="clear" w:color="auto" w:fill="D9E2F3"/>
            <w:vAlign w:val="center"/>
          </w:tcPr>
          <w:p w14:paraId="34EDC741" w14:textId="77777777" w:rsidR="00990B14" w:rsidRDefault="00000000">
            <w:pPr>
              <w:spacing w:before="20" w:after="20"/>
              <w:jc w:val="both"/>
            </w:pPr>
            <w:r>
              <w:rPr>
                <w:sz w:val="18"/>
                <w:szCs w:val="18"/>
              </w:rPr>
              <w:t>Explica el efecto en los requisitos de independencia.</w:t>
            </w:r>
          </w:p>
        </w:tc>
      </w:tr>
      <w:tr w:rsidR="00990B14" w14:paraId="5213E71E" w14:textId="77777777">
        <w:trPr>
          <w:cantSplit/>
          <w:jc w:val="center"/>
        </w:trPr>
        <w:tc>
          <w:tcPr>
            <w:tcW w:w="1545" w:type="dxa"/>
            <w:vMerge/>
            <w:shd w:val="clear" w:color="auto" w:fill="4472C4"/>
            <w:vAlign w:val="center"/>
          </w:tcPr>
          <w:p w14:paraId="60760C84" w14:textId="77777777" w:rsidR="00990B14" w:rsidRDefault="00990B14">
            <w:pPr>
              <w:spacing w:before="20" w:after="20"/>
            </w:pPr>
          </w:p>
        </w:tc>
        <w:tc>
          <w:tcPr>
            <w:tcW w:w="1815" w:type="dxa"/>
            <w:shd w:val="clear" w:color="auto" w:fill="D9E2F3"/>
            <w:vAlign w:val="center"/>
          </w:tcPr>
          <w:p w14:paraId="2BCB20DC" w14:textId="77777777" w:rsidR="00990B14" w:rsidRDefault="00000000">
            <w:pPr>
              <w:spacing w:before="20" w:after="20"/>
              <w:jc w:val="both"/>
            </w:pPr>
            <w:r>
              <w:rPr>
                <w:sz w:val="18"/>
                <w:szCs w:val="18"/>
              </w:rPr>
              <w:t>Tratamiento</w:t>
            </w:r>
          </w:p>
        </w:tc>
        <w:tc>
          <w:tcPr>
            <w:tcW w:w="2120" w:type="dxa"/>
            <w:shd w:val="clear" w:color="auto" w:fill="D9E2F3"/>
            <w:vAlign w:val="center"/>
          </w:tcPr>
          <w:p w14:paraId="2AB869E5" w14:textId="77777777" w:rsidR="00990B14" w:rsidRDefault="00000000">
            <w:pPr>
              <w:spacing w:before="20" w:after="20"/>
              <w:jc w:val="both"/>
            </w:pPr>
            <w:r>
              <w:rPr>
                <w:sz w:val="18"/>
                <w:szCs w:val="18"/>
              </w:rPr>
              <w:t>El tratamiento es inadecuado.</w:t>
            </w:r>
          </w:p>
        </w:tc>
        <w:tc>
          <w:tcPr>
            <w:tcW w:w="1910" w:type="dxa"/>
            <w:shd w:val="clear" w:color="auto" w:fill="D9E2F3"/>
            <w:vAlign w:val="center"/>
          </w:tcPr>
          <w:p w14:paraId="7FC34516" w14:textId="77777777" w:rsidR="00990B14" w:rsidRDefault="00000000">
            <w:pPr>
              <w:spacing w:before="20" w:after="20"/>
              <w:jc w:val="both"/>
            </w:pPr>
            <w:r>
              <w:rPr>
                <w:sz w:val="18"/>
                <w:szCs w:val="18"/>
              </w:rPr>
              <w:t>Aplica el tratamiento previsto en el Código.</w:t>
            </w:r>
          </w:p>
        </w:tc>
        <w:tc>
          <w:tcPr>
            <w:tcW w:w="2015" w:type="dxa"/>
            <w:shd w:val="clear" w:color="auto" w:fill="D9E2F3"/>
            <w:vAlign w:val="center"/>
          </w:tcPr>
          <w:p w14:paraId="013E6777" w14:textId="77777777" w:rsidR="00990B14" w:rsidRDefault="00000000">
            <w:pPr>
              <w:spacing w:before="20" w:after="20"/>
              <w:jc w:val="both"/>
            </w:pPr>
            <w:r>
              <w:rPr>
                <w:sz w:val="18"/>
                <w:szCs w:val="18"/>
              </w:rPr>
              <w:t>Evalúa los riesgos de una distribución indebida.</w:t>
            </w:r>
          </w:p>
        </w:tc>
      </w:tr>
      <w:tr w:rsidR="00990B14" w14:paraId="710C4EA4" w14:textId="77777777">
        <w:trPr>
          <w:cantSplit/>
          <w:jc w:val="center"/>
        </w:trPr>
        <w:tc>
          <w:tcPr>
            <w:tcW w:w="1545" w:type="dxa"/>
            <w:vMerge/>
            <w:shd w:val="clear" w:color="auto" w:fill="4472C4"/>
            <w:vAlign w:val="center"/>
          </w:tcPr>
          <w:p w14:paraId="60964E27" w14:textId="77777777" w:rsidR="00990B14" w:rsidRDefault="00990B14">
            <w:pPr>
              <w:spacing w:before="20" w:after="20"/>
            </w:pPr>
          </w:p>
        </w:tc>
        <w:tc>
          <w:tcPr>
            <w:tcW w:w="1815" w:type="dxa"/>
            <w:shd w:val="clear" w:color="auto" w:fill="D9E2F3"/>
            <w:vAlign w:val="center"/>
          </w:tcPr>
          <w:p w14:paraId="014114D3" w14:textId="77777777" w:rsidR="00990B14" w:rsidRDefault="00000000">
            <w:pPr>
              <w:spacing w:before="20" w:after="20"/>
              <w:jc w:val="both"/>
            </w:pPr>
            <w:r>
              <w:rPr>
                <w:sz w:val="18"/>
                <w:szCs w:val="18"/>
              </w:rPr>
              <w:t>Trabajo en equipo</w:t>
            </w:r>
          </w:p>
        </w:tc>
        <w:tc>
          <w:tcPr>
            <w:tcW w:w="2120" w:type="dxa"/>
            <w:shd w:val="clear" w:color="auto" w:fill="D9E2F3"/>
            <w:vAlign w:val="center"/>
          </w:tcPr>
          <w:p w14:paraId="38C89049" w14:textId="77777777" w:rsidR="00990B14" w:rsidRDefault="00000000">
            <w:pPr>
              <w:spacing w:before="20" w:after="20"/>
              <w:jc w:val="both"/>
            </w:pPr>
            <w:r>
              <w:rPr>
                <w:sz w:val="18"/>
                <w:szCs w:val="18"/>
              </w:rPr>
              <w:t>La participación es desigual.</w:t>
            </w:r>
          </w:p>
        </w:tc>
        <w:tc>
          <w:tcPr>
            <w:tcW w:w="1910" w:type="dxa"/>
            <w:shd w:val="clear" w:color="auto" w:fill="D9E2F3"/>
            <w:vAlign w:val="center"/>
          </w:tcPr>
          <w:p w14:paraId="01540BC1" w14:textId="77777777" w:rsidR="00990B14" w:rsidRDefault="00000000">
            <w:pPr>
              <w:spacing w:before="20" w:after="20"/>
              <w:jc w:val="both"/>
            </w:pPr>
            <w:r>
              <w:rPr>
                <w:sz w:val="18"/>
                <w:szCs w:val="18"/>
              </w:rPr>
              <w:t>Todos los integrantes participan.</w:t>
            </w:r>
          </w:p>
        </w:tc>
        <w:tc>
          <w:tcPr>
            <w:tcW w:w="2015" w:type="dxa"/>
            <w:shd w:val="clear" w:color="auto" w:fill="D9E2F3"/>
            <w:vAlign w:val="center"/>
          </w:tcPr>
          <w:p w14:paraId="105391C8" w14:textId="77777777" w:rsidR="00990B14" w:rsidRDefault="00000000">
            <w:pPr>
              <w:spacing w:before="20" w:after="20"/>
              <w:jc w:val="both"/>
            </w:pPr>
            <w:r>
              <w:rPr>
                <w:sz w:val="18"/>
                <w:szCs w:val="18"/>
              </w:rPr>
              <w:t>El equipo sustenta sus conclusiones ante el curso.</w:t>
            </w:r>
          </w:p>
        </w:tc>
      </w:tr>
      <w:tr w:rsidR="00990B14" w14:paraId="11919B09" w14:textId="77777777">
        <w:trPr>
          <w:cantSplit/>
          <w:jc w:val="center"/>
        </w:trPr>
        <w:tc>
          <w:tcPr>
            <w:tcW w:w="7390" w:type="dxa"/>
            <w:gridSpan w:val="4"/>
            <w:shd w:val="clear" w:color="auto" w:fill="4472C4"/>
            <w:vAlign w:val="center"/>
          </w:tcPr>
          <w:p w14:paraId="0031DCA2" w14:textId="77777777" w:rsidR="00990B14" w:rsidRDefault="00000000">
            <w:pPr>
              <w:keepNext/>
              <w:spacing w:before="20" w:after="20"/>
              <w:jc w:val="center"/>
            </w:pPr>
            <w:r>
              <w:rPr>
                <w:b/>
                <w:bCs/>
                <w:i/>
                <w:iCs/>
                <w:color w:val="FFFFFF"/>
                <w:sz w:val="18"/>
                <w:szCs w:val="18"/>
              </w:rPr>
              <w:t>TOTAL</w:t>
            </w:r>
          </w:p>
        </w:tc>
        <w:tc>
          <w:tcPr>
            <w:tcW w:w="2015" w:type="dxa"/>
            <w:shd w:val="clear" w:color="auto" w:fill="4472C4"/>
            <w:vAlign w:val="center"/>
          </w:tcPr>
          <w:p w14:paraId="13E9F611" w14:textId="77777777" w:rsidR="00990B14" w:rsidRDefault="00000000">
            <w:pPr>
              <w:keepNext/>
              <w:spacing w:before="20" w:after="20"/>
              <w:jc w:val="center"/>
            </w:pPr>
            <w:r>
              <w:rPr>
                <w:b/>
                <w:bCs/>
                <w:i/>
                <w:iCs/>
                <w:color w:val="FFFFFF"/>
                <w:sz w:val="18"/>
                <w:szCs w:val="18"/>
              </w:rPr>
              <w:t>100%</w:t>
            </w:r>
          </w:p>
        </w:tc>
      </w:tr>
    </w:tbl>
    <w:p w14:paraId="19F5543D"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9405"/>
      </w:tblGrid>
      <w:tr w:rsidR="00990B14" w14:paraId="72085894" w14:textId="77777777">
        <w:trPr>
          <w:jc w:val="center"/>
        </w:trPr>
        <w:tc>
          <w:tcPr>
            <w:tcW w:w="9405" w:type="dxa"/>
            <w:shd w:val="clear" w:color="auto" w:fill="D9E2F3"/>
          </w:tcPr>
          <w:p w14:paraId="73AD5505" w14:textId="77777777" w:rsidR="00990B14" w:rsidRDefault="00000000">
            <w:pPr>
              <w:spacing w:before="40" w:after="40"/>
              <w:jc w:val="both"/>
            </w:pPr>
            <w:r>
              <w:rPr>
                <w:b/>
                <w:bCs/>
                <w:i/>
                <w:iCs/>
                <w:sz w:val="18"/>
                <w:szCs w:val="18"/>
              </w:rPr>
              <w:t>Bibliografía básica:</w:t>
            </w:r>
          </w:p>
          <w:p w14:paraId="5BA3A14C" w14:textId="77777777" w:rsidR="00990B14" w:rsidRDefault="00000000">
            <w:pPr>
              <w:numPr>
                <w:ilvl w:val="0"/>
                <w:numId w:val="140"/>
              </w:numPr>
              <w:spacing w:after="20"/>
              <w:jc w:val="both"/>
            </w:pPr>
            <w:r>
              <w:rPr>
                <w:sz w:val="18"/>
                <w:szCs w:val="18"/>
              </w:rPr>
              <w:t>Código de Comercio, Decreto Ley N.º 14379, de 25 de febrero de 1977.</w:t>
            </w:r>
          </w:p>
          <w:p w14:paraId="2F6FD606" w14:textId="77777777" w:rsidR="00990B14" w:rsidRDefault="00000000">
            <w:pPr>
              <w:numPr>
                <w:ilvl w:val="0"/>
                <w:numId w:val="140"/>
              </w:numPr>
              <w:spacing w:after="20"/>
              <w:jc w:val="both"/>
            </w:pPr>
            <w:r>
              <w:rPr>
                <w:sz w:val="18"/>
                <w:szCs w:val="18"/>
              </w:rPr>
              <w:t>Código Tributario Boliviano, Ley N.º 2492, de 2 de agosto de 2003.</w:t>
            </w:r>
          </w:p>
          <w:p w14:paraId="70726FDB" w14:textId="77777777" w:rsidR="00990B14" w:rsidRDefault="00000000">
            <w:pPr>
              <w:numPr>
                <w:ilvl w:val="0"/>
                <w:numId w:val="140"/>
              </w:numPr>
              <w:spacing w:after="20"/>
              <w:jc w:val="both"/>
            </w:pPr>
            <w:r>
              <w:rPr>
                <w:sz w:val="18"/>
                <w:szCs w:val="18"/>
              </w:rPr>
              <w:t>Colegio de Auditores o Contadores Públicos de Bolivia, CAUB – Consejo Técnico Nacional de Auditoría y Contabilidad, CTNAC (2023). Compendio de Normas de Contabilidad y Auditoría. Santa Cruz.</w:t>
            </w:r>
          </w:p>
          <w:p w14:paraId="713A0FEE" w14:textId="77777777" w:rsidR="00990B14" w:rsidRDefault="00000000">
            <w:pPr>
              <w:numPr>
                <w:ilvl w:val="0"/>
                <w:numId w:val="140"/>
              </w:numPr>
              <w:spacing w:after="20"/>
              <w:jc w:val="both"/>
            </w:pPr>
            <w:r>
              <w:rPr>
                <w:sz w:val="18"/>
                <w:szCs w:val="18"/>
              </w:rPr>
              <w:t>Consejo de Normas Internacionales de Ética para Contadores, IESBA (2025). Manual del Código Internacional de Ética para Profesionales de la Contabilidad, edición 2025, con las disposiciones sobre planificación fiscal y sobre información de sostenibilidad. Nueva York.</w:t>
            </w:r>
          </w:p>
          <w:p w14:paraId="5B82028A" w14:textId="77777777" w:rsidR="00990B14" w:rsidRDefault="00000000">
            <w:pPr>
              <w:numPr>
                <w:ilvl w:val="0"/>
                <w:numId w:val="140"/>
              </w:numPr>
              <w:spacing w:after="20"/>
              <w:jc w:val="both"/>
            </w:pPr>
            <w:r>
              <w:rPr>
                <w:sz w:val="18"/>
                <w:szCs w:val="18"/>
              </w:rPr>
              <w:t>Consejo de Normas Internacionales de Ética para Contadores, IESBA (2025). Normas Internacionales de Ética para el Aseguramiento de Sostenibilidad y norma sobre el uso del trabajo de un experto externo. Nueva York.</w:t>
            </w:r>
          </w:p>
          <w:p w14:paraId="25A84353" w14:textId="77777777" w:rsidR="00990B14" w:rsidRDefault="00000000">
            <w:pPr>
              <w:numPr>
                <w:ilvl w:val="0"/>
                <w:numId w:val="140"/>
              </w:numPr>
              <w:spacing w:after="20"/>
              <w:jc w:val="both"/>
            </w:pPr>
            <w:r>
              <w:rPr>
                <w:sz w:val="18"/>
                <w:szCs w:val="18"/>
              </w:rPr>
              <w:t>Constitución Política del Estado, de 7 de febrero de 2009.</w:t>
            </w:r>
          </w:p>
          <w:p w14:paraId="432B7CCD" w14:textId="77777777" w:rsidR="00990B14" w:rsidRDefault="00000000">
            <w:pPr>
              <w:numPr>
                <w:ilvl w:val="0"/>
                <w:numId w:val="140"/>
              </w:numPr>
              <w:spacing w:after="20"/>
              <w:jc w:val="both"/>
            </w:pPr>
            <w:r>
              <w:rPr>
                <w:sz w:val="18"/>
                <w:szCs w:val="18"/>
              </w:rPr>
              <w:t>Contraloría General del Estado (1996). Código de Ética del Auditor Gubernamental.</w:t>
            </w:r>
          </w:p>
          <w:p w14:paraId="765FA068" w14:textId="77777777" w:rsidR="00990B14" w:rsidRDefault="00000000">
            <w:pPr>
              <w:numPr>
                <w:ilvl w:val="0"/>
                <w:numId w:val="140"/>
              </w:numPr>
              <w:spacing w:after="20"/>
              <w:jc w:val="both"/>
            </w:pPr>
            <w:r>
              <w:rPr>
                <w:sz w:val="18"/>
                <w:szCs w:val="18"/>
              </w:rPr>
              <w:t>Disposiciones legales relacionadas.</w:t>
            </w:r>
          </w:p>
          <w:p w14:paraId="4D99B11D" w14:textId="77777777" w:rsidR="00990B14" w:rsidRDefault="00000000">
            <w:pPr>
              <w:numPr>
                <w:ilvl w:val="0"/>
                <w:numId w:val="140"/>
              </w:numPr>
              <w:spacing w:after="20"/>
              <w:jc w:val="both"/>
            </w:pPr>
            <w:r w:rsidRPr="00BD34F7">
              <w:rPr>
                <w:sz w:val="18"/>
                <w:szCs w:val="18"/>
                <w:lang w:val="en-US"/>
              </w:rPr>
              <w:t xml:space="preserve">International Auditing and Assurance Standards Board, IAASB (2025). Handbook of International Quality Control, Auditing, Review, Other Assurance, and Related Services Pronouncements. </w:t>
            </w:r>
            <w:r>
              <w:rPr>
                <w:sz w:val="18"/>
                <w:szCs w:val="18"/>
              </w:rPr>
              <w:t>2025 Edition, Volume I, II, III, IV and V.</w:t>
            </w:r>
          </w:p>
          <w:p w14:paraId="1C2C7EC7" w14:textId="77777777" w:rsidR="00990B14" w:rsidRDefault="00000000">
            <w:pPr>
              <w:numPr>
                <w:ilvl w:val="0"/>
                <w:numId w:val="140"/>
              </w:numPr>
              <w:spacing w:after="20"/>
              <w:jc w:val="both"/>
            </w:pPr>
            <w:r>
              <w:rPr>
                <w:sz w:val="18"/>
                <w:szCs w:val="18"/>
              </w:rPr>
              <w:t>Ley N.º 004, de Lucha contra la Corrupción, Enriquecimiento Ilícito e Investigación de Fortunas Marcelo Quiroga Santa Cruz, de 31 de marzo de 2010, y Decreto Supremo N.º 4904, de 5 de abril de 2023.</w:t>
            </w:r>
          </w:p>
        </w:tc>
      </w:tr>
      <w:tr w:rsidR="00990B14" w14:paraId="20767D31" w14:textId="77777777">
        <w:trPr>
          <w:jc w:val="center"/>
        </w:trPr>
        <w:tc>
          <w:tcPr>
            <w:tcW w:w="9405" w:type="dxa"/>
            <w:shd w:val="clear" w:color="auto" w:fill="D9E2F3"/>
          </w:tcPr>
          <w:p w14:paraId="453B2020" w14:textId="77777777" w:rsidR="00990B14" w:rsidRDefault="00000000">
            <w:pPr>
              <w:spacing w:before="40" w:after="40"/>
              <w:jc w:val="both"/>
            </w:pPr>
            <w:r>
              <w:rPr>
                <w:b/>
                <w:bCs/>
                <w:i/>
                <w:iCs/>
                <w:sz w:val="18"/>
                <w:szCs w:val="18"/>
              </w:rPr>
              <w:t>Bibliografía complementaria:</w:t>
            </w:r>
          </w:p>
          <w:p w14:paraId="084C36EF" w14:textId="77777777" w:rsidR="00990B14" w:rsidRDefault="00000000">
            <w:pPr>
              <w:numPr>
                <w:ilvl w:val="0"/>
                <w:numId w:val="140"/>
              </w:numPr>
              <w:spacing w:after="20"/>
              <w:jc w:val="both"/>
            </w:pPr>
            <w:r>
              <w:rPr>
                <w:sz w:val="18"/>
                <w:szCs w:val="18"/>
              </w:rPr>
              <w:t>Colegio de Auditores o Contadores Públicos de Bolivia: https://www.auditores.org.bo</w:t>
            </w:r>
          </w:p>
          <w:p w14:paraId="6EE410FD" w14:textId="77777777" w:rsidR="00990B14" w:rsidRDefault="00000000">
            <w:pPr>
              <w:numPr>
                <w:ilvl w:val="0"/>
                <w:numId w:val="140"/>
              </w:numPr>
              <w:spacing w:after="20"/>
              <w:jc w:val="both"/>
            </w:pPr>
            <w:r>
              <w:rPr>
                <w:sz w:val="18"/>
                <w:szCs w:val="18"/>
              </w:rPr>
              <w:t>Consejo de Normas Internacionales de Ética para Contadores: https://www.ethicsboard.org</w:t>
            </w:r>
          </w:p>
          <w:p w14:paraId="3E6CB385" w14:textId="77777777" w:rsidR="00990B14" w:rsidRDefault="00000000">
            <w:pPr>
              <w:numPr>
                <w:ilvl w:val="0"/>
                <w:numId w:val="140"/>
              </w:numPr>
              <w:spacing w:after="20"/>
              <w:jc w:val="both"/>
            </w:pPr>
            <w:r>
              <w:rPr>
                <w:sz w:val="18"/>
                <w:szCs w:val="18"/>
              </w:rPr>
              <w:t>Organización Internacional de Normalización. ISO 37001, Sistemas de gestión antisoborno, e ISO 37000, Gobernanza de las organizaciones.</w:t>
            </w:r>
          </w:p>
          <w:p w14:paraId="6B2FC7A9" w14:textId="77777777" w:rsidR="00990B14" w:rsidRDefault="00000000">
            <w:pPr>
              <w:numPr>
                <w:ilvl w:val="0"/>
                <w:numId w:val="140"/>
              </w:numPr>
              <w:spacing w:after="20"/>
              <w:jc w:val="both"/>
            </w:pPr>
            <w:r>
              <w:rPr>
                <w:sz w:val="18"/>
                <w:szCs w:val="18"/>
              </w:rPr>
              <w:t>Páginas de Internet.</w:t>
            </w:r>
          </w:p>
          <w:p w14:paraId="230B9023" w14:textId="77777777" w:rsidR="00990B14" w:rsidRDefault="00000000">
            <w:pPr>
              <w:numPr>
                <w:ilvl w:val="0"/>
                <w:numId w:val="140"/>
              </w:numPr>
              <w:spacing w:after="20"/>
              <w:jc w:val="both"/>
            </w:pPr>
            <w:r>
              <w:rPr>
                <w:sz w:val="18"/>
                <w:szCs w:val="18"/>
              </w:rPr>
              <w:t xml:space="preserve">Savater, F. (2009). </w:t>
            </w:r>
            <w:r>
              <w:rPr>
                <w:i/>
                <w:iCs/>
                <w:sz w:val="18"/>
                <w:szCs w:val="18"/>
              </w:rPr>
              <w:t>Ética para Amador</w:t>
            </w:r>
            <w:r>
              <w:rPr>
                <w:sz w:val="18"/>
                <w:szCs w:val="18"/>
              </w:rPr>
              <w:t>. Editorial Hispania.</w:t>
            </w:r>
          </w:p>
          <w:p w14:paraId="0DA55E5E" w14:textId="77777777" w:rsidR="00990B14" w:rsidRDefault="00000000">
            <w:pPr>
              <w:numPr>
                <w:ilvl w:val="0"/>
                <w:numId w:val="140"/>
              </w:numPr>
              <w:spacing w:after="20"/>
              <w:jc w:val="both"/>
            </w:pPr>
            <w:r>
              <w:rPr>
                <w:sz w:val="18"/>
                <w:szCs w:val="18"/>
              </w:rPr>
              <w:t xml:space="preserve">Torres Hernández, Z. (2014). </w:t>
            </w:r>
            <w:r>
              <w:rPr>
                <w:i/>
                <w:iCs/>
                <w:sz w:val="18"/>
                <w:szCs w:val="18"/>
              </w:rPr>
              <w:t>Introducción a la ética</w:t>
            </w:r>
            <w:r>
              <w:rPr>
                <w:sz w:val="18"/>
                <w:szCs w:val="18"/>
              </w:rPr>
              <w:t>. Primera edición. México: Grupo Editorial Patria.</w:t>
            </w:r>
          </w:p>
          <w:p w14:paraId="1C21F2D9" w14:textId="77777777" w:rsidR="00990B14" w:rsidRDefault="00000000">
            <w:pPr>
              <w:numPr>
                <w:ilvl w:val="0"/>
                <w:numId w:val="140"/>
              </w:numPr>
              <w:spacing w:after="20"/>
              <w:jc w:val="both"/>
            </w:pPr>
            <w:r>
              <w:rPr>
                <w:sz w:val="18"/>
                <w:szCs w:val="18"/>
              </w:rPr>
              <w:t xml:space="preserve">Velásquez, M. (2012). </w:t>
            </w:r>
            <w:r>
              <w:rPr>
                <w:i/>
                <w:iCs/>
                <w:sz w:val="18"/>
                <w:szCs w:val="18"/>
              </w:rPr>
              <w:t>Ética en los Negocios: Conceptos y Casos</w:t>
            </w:r>
            <w:r>
              <w:rPr>
                <w:sz w:val="18"/>
                <w:szCs w:val="18"/>
              </w:rPr>
              <w:t>. Séptima edición. México: Editorial Pearson.</w:t>
            </w:r>
          </w:p>
          <w:p w14:paraId="5D6E393C" w14:textId="77777777" w:rsidR="00990B14" w:rsidRDefault="00000000">
            <w:pPr>
              <w:numPr>
                <w:ilvl w:val="0"/>
                <w:numId w:val="140"/>
              </w:numPr>
              <w:spacing w:after="20"/>
              <w:jc w:val="both"/>
            </w:pPr>
            <w:r>
              <w:rPr>
                <w:sz w:val="18"/>
                <w:szCs w:val="18"/>
              </w:rPr>
              <w:t xml:space="preserve">Zamorano García, E. (1999). </w:t>
            </w:r>
            <w:r>
              <w:rPr>
                <w:i/>
                <w:iCs/>
                <w:sz w:val="18"/>
                <w:szCs w:val="18"/>
              </w:rPr>
              <w:t>Ética Profesional: el tercer cantero</w:t>
            </w:r>
            <w:r>
              <w:rPr>
                <w:sz w:val="18"/>
                <w:szCs w:val="18"/>
              </w:rPr>
              <w:t>. Instituto Mexicano de Contadores Públicos.</w:t>
            </w:r>
          </w:p>
          <w:p w14:paraId="68969ACC" w14:textId="77777777" w:rsidR="00990B14" w:rsidRDefault="00000000">
            <w:pPr>
              <w:numPr>
                <w:ilvl w:val="0"/>
                <w:numId w:val="140"/>
              </w:numPr>
              <w:spacing w:after="20"/>
              <w:jc w:val="both"/>
            </w:pPr>
            <w:r>
              <w:rPr>
                <w:sz w:val="18"/>
                <w:szCs w:val="18"/>
              </w:rPr>
              <w:t xml:space="preserve">Zamorano García, E. (2010). </w:t>
            </w:r>
            <w:r>
              <w:rPr>
                <w:i/>
                <w:iCs/>
                <w:sz w:val="18"/>
                <w:szCs w:val="18"/>
              </w:rPr>
              <w:t>La formación ética del Contador Público</w:t>
            </w:r>
            <w:r>
              <w:rPr>
                <w:sz w:val="18"/>
                <w:szCs w:val="18"/>
              </w:rPr>
              <w:t>. Instituto Mexicano de Contadores Públicos.</w:t>
            </w:r>
          </w:p>
          <w:p w14:paraId="74BD6271" w14:textId="77777777" w:rsidR="00990B14" w:rsidRDefault="00000000">
            <w:pPr>
              <w:numPr>
                <w:ilvl w:val="0"/>
                <w:numId w:val="140"/>
              </w:numPr>
              <w:spacing w:after="20"/>
              <w:jc w:val="both"/>
            </w:pPr>
            <w:r>
              <w:rPr>
                <w:sz w:val="18"/>
                <w:szCs w:val="18"/>
              </w:rPr>
              <w:t xml:space="preserve">Zamorano García, E. (s.f.). </w:t>
            </w:r>
            <w:r>
              <w:rPr>
                <w:i/>
                <w:iCs/>
                <w:sz w:val="18"/>
                <w:szCs w:val="18"/>
              </w:rPr>
              <w:t>La formación ética en las Universidades</w:t>
            </w:r>
            <w:r>
              <w:rPr>
                <w:sz w:val="18"/>
                <w:szCs w:val="18"/>
              </w:rPr>
              <w:t>. Instituto Mexicano de Contadores Públicos.</w:t>
            </w:r>
          </w:p>
        </w:tc>
      </w:tr>
    </w:tbl>
    <w:p w14:paraId="7CAD8941" w14:textId="77777777" w:rsidR="00990B14" w:rsidRDefault="00000000">
      <w:pPr>
        <w:pStyle w:val="TituloPlanAsignatura"/>
        <w:keepNext/>
        <w:pageBreakBefore/>
        <w:spacing w:after="120"/>
        <w:jc w:val="center"/>
        <w:outlineLvl w:val="2"/>
      </w:pPr>
      <w:bookmarkStart w:id="179" w:name="_Toc000000120"/>
      <w:r>
        <w:rPr>
          <w:b/>
          <w:bCs/>
          <w:sz w:val="24"/>
          <w:szCs w:val="24"/>
        </w:rPr>
        <w:t>CPA-407 Auditoría Financiera</w:t>
      </w:r>
      <w:bookmarkEnd w:id="179"/>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249"/>
        <w:gridCol w:w="1100"/>
        <w:gridCol w:w="149"/>
        <w:gridCol w:w="635"/>
        <w:gridCol w:w="615"/>
        <w:gridCol w:w="952"/>
        <w:gridCol w:w="298"/>
        <w:gridCol w:w="1250"/>
        <w:gridCol w:w="20"/>
        <w:gridCol w:w="385"/>
        <w:gridCol w:w="398"/>
        <w:gridCol w:w="447"/>
        <w:gridCol w:w="1907"/>
      </w:tblGrid>
      <w:tr w:rsidR="00990B14" w14:paraId="71088CF1" w14:textId="77777777">
        <w:trPr>
          <w:cantSplit/>
          <w:jc w:val="center"/>
        </w:trPr>
        <w:tc>
          <w:tcPr>
            <w:tcW w:w="2349" w:type="dxa"/>
            <w:gridSpan w:val="2"/>
            <w:shd w:val="clear" w:color="auto" w:fill="4472C4"/>
            <w:vAlign w:val="center"/>
          </w:tcPr>
          <w:p w14:paraId="28777541" w14:textId="77777777" w:rsidR="00990B14" w:rsidRDefault="00000000">
            <w:pPr>
              <w:keepNext/>
              <w:spacing w:before="20" w:after="20"/>
              <w:jc w:val="center"/>
            </w:pPr>
            <w:r>
              <w:rPr>
                <w:b/>
                <w:bCs/>
                <w:i/>
                <w:iCs/>
                <w:color w:val="FFFFFF"/>
                <w:sz w:val="18"/>
                <w:szCs w:val="18"/>
              </w:rPr>
              <w:t>Asignatura</w:t>
            </w:r>
          </w:p>
        </w:tc>
        <w:tc>
          <w:tcPr>
            <w:tcW w:w="2351" w:type="dxa"/>
            <w:gridSpan w:val="4"/>
            <w:shd w:val="clear" w:color="auto" w:fill="4472C4"/>
            <w:vAlign w:val="center"/>
          </w:tcPr>
          <w:p w14:paraId="09DA1529" w14:textId="77777777" w:rsidR="00990B14" w:rsidRDefault="00000000">
            <w:pPr>
              <w:keepNext/>
              <w:spacing w:before="20" w:after="20"/>
              <w:jc w:val="center"/>
            </w:pPr>
            <w:r>
              <w:rPr>
                <w:b/>
                <w:bCs/>
                <w:i/>
                <w:iCs/>
                <w:color w:val="FFFFFF"/>
                <w:sz w:val="18"/>
                <w:szCs w:val="18"/>
              </w:rPr>
              <w:t>Sigla</w:t>
            </w:r>
          </w:p>
        </w:tc>
        <w:tc>
          <w:tcPr>
            <w:tcW w:w="2351" w:type="dxa"/>
            <w:gridSpan w:val="5"/>
            <w:shd w:val="clear" w:color="auto" w:fill="4472C4"/>
            <w:vAlign w:val="center"/>
          </w:tcPr>
          <w:p w14:paraId="0E6A7182" w14:textId="77777777" w:rsidR="00990B14" w:rsidRDefault="00000000">
            <w:pPr>
              <w:keepNext/>
              <w:spacing w:before="20" w:after="20"/>
              <w:jc w:val="center"/>
            </w:pPr>
            <w:r>
              <w:rPr>
                <w:b/>
                <w:bCs/>
                <w:i/>
                <w:iCs/>
                <w:color w:val="FFFFFF"/>
                <w:sz w:val="18"/>
                <w:szCs w:val="18"/>
              </w:rPr>
              <w:t>Nivel/Área</w:t>
            </w:r>
          </w:p>
        </w:tc>
        <w:tc>
          <w:tcPr>
            <w:tcW w:w="2354" w:type="dxa"/>
            <w:gridSpan w:val="2"/>
            <w:shd w:val="clear" w:color="auto" w:fill="4472C4"/>
            <w:vAlign w:val="center"/>
          </w:tcPr>
          <w:p w14:paraId="249130C4" w14:textId="77777777" w:rsidR="00990B14" w:rsidRDefault="00000000">
            <w:pPr>
              <w:keepNext/>
              <w:spacing w:before="20" w:after="20"/>
              <w:jc w:val="center"/>
            </w:pPr>
            <w:r>
              <w:rPr>
                <w:b/>
                <w:bCs/>
                <w:i/>
                <w:iCs/>
                <w:color w:val="FFFFFF"/>
                <w:sz w:val="18"/>
                <w:szCs w:val="18"/>
              </w:rPr>
              <w:t>Prerrequisito</w:t>
            </w:r>
          </w:p>
        </w:tc>
      </w:tr>
      <w:tr w:rsidR="00990B14" w14:paraId="72C5405D" w14:textId="77777777">
        <w:trPr>
          <w:cantSplit/>
          <w:jc w:val="center"/>
        </w:trPr>
        <w:tc>
          <w:tcPr>
            <w:tcW w:w="2349" w:type="dxa"/>
            <w:gridSpan w:val="2"/>
            <w:shd w:val="clear" w:color="auto" w:fill="D9E2F3"/>
            <w:vAlign w:val="center"/>
          </w:tcPr>
          <w:p w14:paraId="7013ED2A" w14:textId="77777777" w:rsidR="00990B14" w:rsidRDefault="00000000">
            <w:pPr>
              <w:spacing w:before="20" w:after="20"/>
              <w:jc w:val="center"/>
            </w:pPr>
            <w:r>
              <w:rPr>
                <w:b/>
                <w:bCs/>
                <w:i/>
                <w:iCs/>
                <w:sz w:val="18"/>
                <w:szCs w:val="18"/>
              </w:rPr>
              <w:t>Auditoría Financiera</w:t>
            </w:r>
          </w:p>
        </w:tc>
        <w:tc>
          <w:tcPr>
            <w:tcW w:w="2351" w:type="dxa"/>
            <w:gridSpan w:val="4"/>
            <w:shd w:val="clear" w:color="auto" w:fill="D9E2F3"/>
            <w:vAlign w:val="center"/>
          </w:tcPr>
          <w:p w14:paraId="477E4896" w14:textId="77777777" w:rsidR="00990B14" w:rsidRDefault="00000000">
            <w:pPr>
              <w:spacing w:before="20" w:after="20"/>
              <w:jc w:val="center"/>
            </w:pPr>
            <w:r>
              <w:rPr>
                <w:b/>
                <w:bCs/>
                <w:i/>
                <w:iCs/>
                <w:sz w:val="18"/>
                <w:szCs w:val="18"/>
              </w:rPr>
              <w:t>CPA-407</w:t>
            </w:r>
          </w:p>
        </w:tc>
        <w:tc>
          <w:tcPr>
            <w:tcW w:w="2351" w:type="dxa"/>
            <w:gridSpan w:val="5"/>
            <w:shd w:val="clear" w:color="auto" w:fill="D9E2F3"/>
            <w:vAlign w:val="center"/>
          </w:tcPr>
          <w:p w14:paraId="52B384B9" w14:textId="77777777" w:rsidR="00990B14" w:rsidRDefault="00000000">
            <w:pPr>
              <w:spacing w:before="20" w:after="20"/>
              <w:jc w:val="center"/>
            </w:pPr>
            <w:r>
              <w:rPr>
                <w:b/>
                <w:bCs/>
                <w:i/>
                <w:iCs/>
                <w:sz w:val="18"/>
                <w:szCs w:val="18"/>
              </w:rPr>
              <w:t>Aseguramiento</w:t>
            </w:r>
          </w:p>
        </w:tc>
        <w:tc>
          <w:tcPr>
            <w:tcW w:w="2354" w:type="dxa"/>
            <w:gridSpan w:val="2"/>
            <w:shd w:val="clear" w:color="auto" w:fill="D9E2F3"/>
            <w:vAlign w:val="center"/>
          </w:tcPr>
          <w:p w14:paraId="4BF78C11" w14:textId="77777777" w:rsidR="00990B14" w:rsidRDefault="00000000">
            <w:pPr>
              <w:spacing w:before="20" w:after="20"/>
              <w:jc w:val="center"/>
            </w:pPr>
            <w:r>
              <w:rPr>
                <w:b/>
                <w:bCs/>
                <w:i/>
                <w:iCs/>
                <w:sz w:val="18"/>
                <w:szCs w:val="18"/>
              </w:rPr>
              <w:t>CPA-301 a CPA-304</w:t>
            </w:r>
          </w:p>
        </w:tc>
      </w:tr>
      <w:tr w:rsidR="00990B14" w14:paraId="0057C139" w14:textId="77777777">
        <w:trPr>
          <w:cantSplit/>
          <w:jc w:val="center"/>
        </w:trPr>
        <w:tc>
          <w:tcPr>
            <w:tcW w:w="7498" w:type="dxa"/>
            <w:gridSpan w:val="12"/>
            <w:shd w:val="clear" w:color="auto" w:fill="4472C4"/>
            <w:vAlign w:val="center"/>
          </w:tcPr>
          <w:p w14:paraId="144327F9" w14:textId="77777777" w:rsidR="00990B14" w:rsidRDefault="00000000">
            <w:pPr>
              <w:keepNext/>
              <w:spacing w:before="20" w:after="20"/>
              <w:jc w:val="center"/>
            </w:pPr>
            <w:r>
              <w:rPr>
                <w:b/>
                <w:bCs/>
                <w:i/>
                <w:iCs/>
                <w:color w:val="FFFFFF"/>
                <w:sz w:val="18"/>
                <w:szCs w:val="18"/>
              </w:rPr>
              <w:t>Carga Horaria</w:t>
            </w:r>
          </w:p>
        </w:tc>
        <w:tc>
          <w:tcPr>
            <w:tcW w:w="1907" w:type="dxa"/>
            <w:shd w:val="clear" w:color="auto" w:fill="4472C4"/>
            <w:vAlign w:val="center"/>
          </w:tcPr>
          <w:p w14:paraId="6F613C6B" w14:textId="77777777" w:rsidR="00990B14" w:rsidRDefault="00000000">
            <w:pPr>
              <w:keepNext/>
              <w:spacing w:before="20" w:after="20"/>
              <w:jc w:val="center"/>
            </w:pPr>
            <w:r>
              <w:rPr>
                <w:b/>
                <w:bCs/>
                <w:i/>
                <w:iCs/>
                <w:color w:val="FFFFFF"/>
                <w:sz w:val="18"/>
                <w:szCs w:val="18"/>
              </w:rPr>
              <w:t>Créditos</w:t>
            </w:r>
          </w:p>
        </w:tc>
      </w:tr>
      <w:tr w:rsidR="00990B14" w14:paraId="4C5274D5" w14:textId="77777777">
        <w:trPr>
          <w:cantSplit/>
          <w:jc w:val="center"/>
        </w:trPr>
        <w:tc>
          <w:tcPr>
            <w:tcW w:w="1249" w:type="dxa"/>
            <w:shd w:val="clear" w:color="auto" w:fill="4472C4"/>
            <w:vAlign w:val="center"/>
          </w:tcPr>
          <w:p w14:paraId="419C4DFF" w14:textId="77777777" w:rsidR="00990B14" w:rsidRDefault="00000000">
            <w:pPr>
              <w:keepNext/>
              <w:spacing w:before="20" w:after="20"/>
              <w:jc w:val="center"/>
            </w:pPr>
            <w:r>
              <w:rPr>
                <w:b/>
                <w:bCs/>
                <w:i/>
                <w:iCs/>
                <w:color w:val="FFFFFF"/>
                <w:sz w:val="18"/>
                <w:szCs w:val="18"/>
              </w:rPr>
              <w:t>HP</w:t>
            </w:r>
          </w:p>
        </w:tc>
        <w:tc>
          <w:tcPr>
            <w:tcW w:w="1249" w:type="dxa"/>
            <w:gridSpan w:val="2"/>
            <w:shd w:val="clear" w:color="auto" w:fill="4472C4"/>
            <w:vAlign w:val="center"/>
          </w:tcPr>
          <w:p w14:paraId="24690283" w14:textId="77777777" w:rsidR="00990B14" w:rsidRDefault="00000000">
            <w:pPr>
              <w:keepNext/>
              <w:spacing w:before="20" w:after="20"/>
              <w:jc w:val="center"/>
            </w:pPr>
            <w:r>
              <w:rPr>
                <w:b/>
                <w:bCs/>
                <w:i/>
                <w:iCs/>
                <w:color w:val="FFFFFF"/>
                <w:sz w:val="18"/>
                <w:szCs w:val="18"/>
              </w:rPr>
              <w:t>HAA</w:t>
            </w:r>
          </w:p>
        </w:tc>
        <w:tc>
          <w:tcPr>
            <w:tcW w:w="1250" w:type="dxa"/>
            <w:gridSpan w:val="2"/>
            <w:shd w:val="clear" w:color="auto" w:fill="4472C4"/>
            <w:vAlign w:val="center"/>
          </w:tcPr>
          <w:p w14:paraId="6B921967" w14:textId="77777777" w:rsidR="00990B14" w:rsidRDefault="00000000">
            <w:pPr>
              <w:keepNext/>
              <w:spacing w:before="20" w:after="20"/>
              <w:jc w:val="center"/>
            </w:pPr>
            <w:r>
              <w:rPr>
                <w:b/>
                <w:bCs/>
                <w:i/>
                <w:iCs/>
                <w:color w:val="FFFFFF"/>
                <w:sz w:val="18"/>
                <w:szCs w:val="18"/>
              </w:rPr>
              <w:t>HTG</w:t>
            </w:r>
          </w:p>
        </w:tc>
        <w:tc>
          <w:tcPr>
            <w:tcW w:w="1250" w:type="dxa"/>
            <w:gridSpan w:val="2"/>
            <w:shd w:val="clear" w:color="auto" w:fill="4472C4"/>
            <w:vAlign w:val="center"/>
          </w:tcPr>
          <w:p w14:paraId="5EE57F00" w14:textId="77777777" w:rsidR="00990B14" w:rsidRDefault="00000000">
            <w:pPr>
              <w:keepNext/>
              <w:spacing w:before="20" w:after="20"/>
              <w:jc w:val="center"/>
            </w:pPr>
            <w:r>
              <w:rPr>
                <w:b/>
                <w:bCs/>
                <w:i/>
                <w:iCs/>
                <w:color w:val="FFFFFF"/>
                <w:sz w:val="18"/>
                <w:szCs w:val="18"/>
              </w:rPr>
              <w:t>HIP</w:t>
            </w:r>
          </w:p>
        </w:tc>
        <w:tc>
          <w:tcPr>
            <w:tcW w:w="1250" w:type="dxa"/>
            <w:shd w:val="clear" w:color="auto" w:fill="4472C4"/>
            <w:vAlign w:val="center"/>
          </w:tcPr>
          <w:p w14:paraId="25460323" w14:textId="77777777" w:rsidR="00990B14" w:rsidRDefault="00000000">
            <w:pPr>
              <w:keepNext/>
              <w:spacing w:before="20" w:after="20"/>
              <w:jc w:val="center"/>
            </w:pPr>
            <w:r>
              <w:rPr>
                <w:b/>
                <w:bCs/>
                <w:i/>
                <w:iCs/>
                <w:color w:val="FFFFFF"/>
                <w:sz w:val="18"/>
                <w:szCs w:val="18"/>
              </w:rPr>
              <w:t>HE</w:t>
            </w:r>
          </w:p>
        </w:tc>
        <w:tc>
          <w:tcPr>
            <w:tcW w:w="1250" w:type="dxa"/>
            <w:gridSpan w:val="4"/>
            <w:shd w:val="clear" w:color="auto" w:fill="4472C4"/>
            <w:vAlign w:val="center"/>
          </w:tcPr>
          <w:p w14:paraId="09F30AEB" w14:textId="77777777" w:rsidR="00990B14" w:rsidRDefault="00000000">
            <w:pPr>
              <w:keepNext/>
              <w:spacing w:before="20" w:after="20"/>
              <w:jc w:val="center"/>
            </w:pPr>
            <w:r>
              <w:rPr>
                <w:b/>
                <w:bCs/>
                <w:i/>
                <w:iCs/>
                <w:color w:val="FFFFFF"/>
                <w:sz w:val="18"/>
                <w:szCs w:val="18"/>
              </w:rPr>
              <w:t>TOTAL</w:t>
            </w:r>
          </w:p>
        </w:tc>
        <w:tc>
          <w:tcPr>
            <w:tcW w:w="1907" w:type="dxa"/>
            <w:vMerge w:val="restart"/>
            <w:shd w:val="clear" w:color="auto" w:fill="D9E2F3"/>
            <w:vAlign w:val="center"/>
          </w:tcPr>
          <w:p w14:paraId="4BF68B7F" w14:textId="77777777" w:rsidR="00990B14" w:rsidRDefault="00000000">
            <w:pPr>
              <w:spacing w:before="20" w:after="20"/>
              <w:jc w:val="center"/>
            </w:pPr>
            <w:r>
              <w:rPr>
                <w:sz w:val="18"/>
                <w:szCs w:val="18"/>
              </w:rPr>
              <w:t>8</w:t>
            </w:r>
          </w:p>
        </w:tc>
      </w:tr>
      <w:tr w:rsidR="00990B14" w14:paraId="2B616999" w14:textId="77777777">
        <w:trPr>
          <w:cantSplit/>
          <w:jc w:val="center"/>
        </w:trPr>
        <w:tc>
          <w:tcPr>
            <w:tcW w:w="1249" w:type="dxa"/>
            <w:shd w:val="clear" w:color="auto" w:fill="D9E2F3"/>
            <w:vAlign w:val="center"/>
          </w:tcPr>
          <w:p w14:paraId="1258E639" w14:textId="77777777" w:rsidR="00990B14" w:rsidRDefault="00000000">
            <w:pPr>
              <w:spacing w:before="20" w:after="20"/>
              <w:jc w:val="center"/>
            </w:pPr>
            <w:r>
              <w:rPr>
                <w:sz w:val="18"/>
                <w:szCs w:val="18"/>
              </w:rPr>
              <w:t>160</w:t>
            </w:r>
          </w:p>
        </w:tc>
        <w:tc>
          <w:tcPr>
            <w:tcW w:w="1249" w:type="dxa"/>
            <w:gridSpan w:val="2"/>
            <w:shd w:val="clear" w:color="auto" w:fill="D9E2F3"/>
            <w:vAlign w:val="center"/>
          </w:tcPr>
          <w:p w14:paraId="7784E030" w14:textId="77777777" w:rsidR="00990B14" w:rsidRDefault="00000000">
            <w:pPr>
              <w:spacing w:before="20" w:after="20"/>
              <w:jc w:val="center"/>
            </w:pPr>
            <w:r>
              <w:rPr>
                <w:sz w:val="18"/>
                <w:szCs w:val="18"/>
              </w:rPr>
              <w:t>32</w:t>
            </w:r>
          </w:p>
        </w:tc>
        <w:tc>
          <w:tcPr>
            <w:tcW w:w="1250" w:type="dxa"/>
            <w:gridSpan w:val="2"/>
            <w:shd w:val="clear" w:color="auto" w:fill="D9E2F3"/>
            <w:vAlign w:val="center"/>
          </w:tcPr>
          <w:p w14:paraId="3F997637" w14:textId="77777777" w:rsidR="00990B14" w:rsidRDefault="00000000">
            <w:pPr>
              <w:spacing w:before="20" w:after="20"/>
              <w:jc w:val="center"/>
            </w:pPr>
            <w:r>
              <w:rPr>
                <w:sz w:val="18"/>
                <w:szCs w:val="18"/>
              </w:rPr>
              <w:t>8</w:t>
            </w:r>
          </w:p>
        </w:tc>
        <w:tc>
          <w:tcPr>
            <w:tcW w:w="1250" w:type="dxa"/>
            <w:gridSpan w:val="2"/>
            <w:shd w:val="clear" w:color="auto" w:fill="D9E2F3"/>
            <w:vAlign w:val="center"/>
          </w:tcPr>
          <w:p w14:paraId="7D5901A8" w14:textId="77777777" w:rsidR="00990B14" w:rsidRDefault="00000000">
            <w:pPr>
              <w:spacing w:before="20" w:after="20"/>
              <w:jc w:val="center"/>
            </w:pPr>
            <w:r>
              <w:rPr>
                <w:sz w:val="18"/>
                <w:szCs w:val="18"/>
              </w:rPr>
              <w:t>32</w:t>
            </w:r>
          </w:p>
        </w:tc>
        <w:tc>
          <w:tcPr>
            <w:tcW w:w="1250" w:type="dxa"/>
            <w:shd w:val="clear" w:color="auto" w:fill="D9E2F3"/>
            <w:vAlign w:val="center"/>
          </w:tcPr>
          <w:p w14:paraId="5AA17687" w14:textId="77777777" w:rsidR="00990B14" w:rsidRDefault="00000000">
            <w:pPr>
              <w:spacing w:before="20" w:after="20"/>
              <w:jc w:val="center"/>
            </w:pPr>
            <w:r>
              <w:rPr>
                <w:sz w:val="18"/>
                <w:szCs w:val="18"/>
              </w:rPr>
              <w:t>8</w:t>
            </w:r>
          </w:p>
        </w:tc>
        <w:tc>
          <w:tcPr>
            <w:tcW w:w="1250" w:type="dxa"/>
            <w:gridSpan w:val="4"/>
            <w:shd w:val="clear" w:color="auto" w:fill="D9E2F3"/>
            <w:vAlign w:val="center"/>
          </w:tcPr>
          <w:p w14:paraId="7F4CF37A" w14:textId="77777777" w:rsidR="00990B14" w:rsidRDefault="00000000">
            <w:pPr>
              <w:spacing w:before="20" w:after="20"/>
              <w:jc w:val="center"/>
            </w:pPr>
            <w:r>
              <w:rPr>
                <w:sz w:val="18"/>
                <w:szCs w:val="18"/>
              </w:rPr>
              <w:t>240</w:t>
            </w:r>
          </w:p>
        </w:tc>
        <w:tc>
          <w:tcPr>
            <w:tcW w:w="1907" w:type="dxa"/>
            <w:vMerge/>
            <w:shd w:val="clear" w:color="auto" w:fill="D9E2F3"/>
            <w:vAlign w:val="center"/>
          </w:tcPr>
          <w:p w14:paraId="462598BD" w14:textId="77777777" w:rsidR="00990B14" w:rsidRDefault="00990B14">
            <w:pPr>
              <w:spacing w:before="20" w:after="20"/>
            </w:pPr>
          </w:p>
        </w:tc>
      </w:tr>
      <w:tr w:rsidR="00990B14" w14:paraId="12B315F1" w14:textId="77777777">
        <w:trPr>
          <w:cantSplit/>
          <w:jc w:val="center"/>
        </w:trPr>
        <w:tc>
          <w:tcPr>
            <w:tcW w:w="9405" w:type="dxa"/>
            <w:gridSpan w:val="13"/>
            <w:shd w:val="clear" w:color="auto" w:fill="4472C4"/>
            <w:vAlign w:val="center"/>
          </w:tcPr>
          <w:p w14:paraId="531CCB60" w14:textId="77777777" w:rsidR="00990B14" w:rsidRDefault="00000000">
            <w:pPr>
              <w:keepNext/>
              <w:spacing w:before="20" w:after="20"/>
              <w:jc w:val="center"/>
            </w:pPr>
            <w:r>
              <w:rPr>
                <w:b/>
                <w:bCs/>
                <w:i/>
                <w:iCs/>
                <w:color w:val="FFFFFF"/>
                <w:sz w:val="18"/>
                <w:szCs w:val="18"/>
              </w:rPr>
              <w:t>Unidad de Competencia</w:t>
            </w:r>
          </w:p>
        </w:tc>
      </w:tr>
      <w:tr w:rsidR="00990B14" w14:paraId="4D00104A" w14:textId="77777777">
        <w:trPr>
          <w:cantSplit/>
          <w:jc w:val="center"/>
        </w:trPr>
        <w:tc>
          <w:tcPr>
            <w:tcW w:w="9405" w:type="dxa"/>
            <w:gridSpan w:val="13"/>
            <w:shd w:val="clear" w:color="auto" w:fill="D9E2F3"/>
            <w:vAlign w:val="center"/>
          </w:tcPr>
          <w:p w14:paraId="7B5D7FE3" w14:textId="77777777" w:rsidR="00990B14" w:rsidRDefault="00000000">
            <w:pPr>
              <w:spacing w:before="20" w:after="20"/>
              <w:jc w:val="both"/>
            </w:pPr>
            <w:r>
              <w:rPr>
                <w:sz w:val="18"/>
                <w:szCs w:val="18"/>
              </w:rPr>
              <w:t>Planifica, ejecuta y concluye auditorías de estados financieros de propósito general conforme a las Normas de Auditoría Generalmente Aceptadas en Bolivia (NCGA) y las Normas Internacionales de Auditoría (NIA del IAASB), evaluando los riesgos de incorrección material y diseñando respuestas a dichos riesgos para obtener evidencia suficiente y adecuada, documentar el encargo, emitir el informe del auditor independiente y la carta de recomendaciones, actuando con escepticismo profesional, independencia e integridad.</w:t>
            </w:r>
          </w:p>
        </w:tc>
      </w:tr>
      <w:tr w:rsidR="00990B14" w14:paraId="7203C31E" w14:textId="77777777">
        <w:trPr>
          <w:cantSplit/>
          <w:jc w:val="center"/>
        </w:trPr>
        <w:tc>
          <w:tcPr>
            <w:tcW w:w="9405" w:type="dxa"/>
            <w:gridSpan w:val="13"/>
            <w:shd w:val="clear" w:color="auto" w:fill="D9E2F3"/>
            <w:vAlign w:val="center"/>
          </w:tcPr>
          <w:p w14:paraId="167DC538" w14:textId="77777777" w:rsidR="00990B14" w:rsidRDefault="00000000">
            <w:pPr>
              <w:spacing w:before="20" w:after="20"/>
              <w:jc w:val="both"/>
            </w:pPr>
            <w:r>
              <w:rPr>
                <w:b/>
                <w:bCs/>
                <w:i/>
                <w:iCs/>
                <w:sz w:val="18"/>
                <w:szCs w:val="18"/>
              </w:rPr>
              <w:t xml:space="preserve">Elemento de competencia 1: </w:t>
            </w:r>
            <w:r>
              <w:rPr>
                <w:sz w:val="18"/>
                <w:szCs w:val="18"/>
              </w:rPr>
              <w:t>Diferencia y clasifica los marcos de información financiera de propósito general y de propósito específico —de presentación razonable y de cumplimiento— aplicables en Bolivia y a nivel internacional, para determinar la base normativa utilizada en la preparación de los estados financieros.</w:t>
            </w:r>
          </w:p>
        </w:tc>
      </w:tr>
      <w:tr w:rsidR="00990B14" w14:paraId="664B548D" w14:textId="77777777">
        <w:trPr>
          <w:cantSplit/>
          <w:jc w:val="center"/>
        </w:trPr>
        <w:tc>
          <w:tcPr>
            <w:tcW w:w="3133" w:type="dxa"/>
            <w:gridSpan w:val="4"/>
            <w:shd w:val="clear" w:color="auto" w:fill="4472C4"/>
            <w:vAlign w:val="center"/>
          </w:tcPr>
          <w:p w14:paraId="15614492"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4F905374"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6EDE6EBE" w14:textId="77777777" w:rsidR="00990B14" w:rsidRDefault="00000000">
            <w:pPr>
              <w:keepNext/>
              <w:spacing w:before="20" w:after="20"/>
              <w:jc w:val="center"/>
            </w:pPr>
            <w:r>
              <w:rPr>
                <w:b/>
                <w:bCs/>
                <w:i/>
                <w:iCs/>
                <w:color w:val="FFFFFF"/>
                <w:sz w:val="18"/>
                <w:szCs w:val="18"/>
              </w:rPr>
              <w:t>Evidencias de producto</w:t>
            </w:r>
          </w:p>
        </w:tc>
      </w:tr>
      <w:tr w:rsidR="00990B14" w14:paraId="3D9103A2" w14:textId="77777777">
        <w:trPr>
          <w:cantSplit/>
          <w:jc w:val="center"/>
        </w:trPr>
        <w:tc>
          <w:tcPr>
            <w:tcW w:w="3133" w:type="dxa"/>
            <w:gridSpan w:val="4"/>
            <w:vMerge w:val="restart"/>
            <w:shd w:val="clear" w:color="auto" w:fill="D9E2F3"/>
            <w:vAlign w:val="center"/>
          </w:tcPr>
          <w:p w14:paraId="72F783DB" w14:textId="77777777" w:rsidR="00990B14" w:rsidRDefault="00000000">
            <w:pPr>
              <w:spacing w:before="20" w:after="20"/>
              <w:jc w:val="both"/>
            </w:pPr>
            <w:r>
              <w:rPr>
                <w:sz w:val="18"/>
                <w:szCs w:val="18"/>
              </w:rPr>
              <w:t>1. Clasifica y contrasta los marcos de información financiera de propósito general (NCGA en Bolivia, Normas NIIF de Contabilidad y NIIF para las PYMES) y de propósito específico, distinguiendo sus características entre marcos de presentación razonable y de cumplimiento.</w:t>
            </w:r>
          </w:p>
        </w:tc>
        <w:tc>
          <w:tcPr>
            <w:tcW w:w="3135" w:type="dxa"/>
            <w:gridSpan w:val="5"/>
            <w:shd w:val="clear" w:color="auto" w:fill="D9E2F3"/>
            <w:vAlign w:val="center"/>
          </w:tcPr>
          <w:p w14:paraId="1C8A5236" w14:textId="77777777" w:rsidR="00990B14" w:rsidRDefault="00000000">
            <w:pPr>
              <w:spacing w:before="20" w:after="20"/>
              <w:jc w:val="both"/>
            </w:pPr>
            <w:r>
              <w:rPr>
                <w:sz w:val="18"/>
                <w:szCs w:val="18"/>
              </w:rPr>
              <w:t>1.1 Sustenta técnicamente la clasificación y diferencias entre marcos de propósito general y específico, argumentando el impacto de elegir un marco de presentación razonable o de cumplimiento.</w:t>
            </w:r>
          </w:p>
        </w:tc>
        <w:tc>
          <w:tcPr>
            <w:tcW w:w="3137" w:type="dxa"/>
            <w:gridSpan w:val="4"/>
            <w:shd w:val="clear" w:color="auto" w:fill="D9E2F3"/>
            <w:vAlign w:val="center"/>
          </w:tcPr>
          <w:p w14:paraId="01809998" w14:textId="77777777" w:rsidR="00990B14" w:rsidRDefault="00000000">
            <w:pPr>
              <w:spacing w:before="20" w:after="20"/>
              <w:jc w:val="both"/>
            </w:pPr>
            <w:r>
              <w:rPr>
                <w:b/>
                <w:bCs/>
                <w:sz w:val="18"/>
                <w:szCs w:val="18"/>
              </w:rPr>
              <w:t xml:space="preserve">Producto 1: </w:t>
            </w:r>
            <w:r>
              <w:rPr>
                <w:sz w:val="18"/>
                <w:szCs w:val="18"/>
              </w:rPr>
              <w:t>Matriz comparativa de clasificación de marcos de información financiera aplicables, detallando para cada uno: usuarios principales, objetivo, alcance y naturaleza (presentación razonable o cumplimiento).</w:t>
            </w:r>
          </w:p>
        </w:tc>
      </w:tr>
      <w:tr w:rsidR="00990B14" w14:paraId="7D4373C0" w14:textId="77777777">
        <w:trPr>
          <w:cantSplit/>
          <w:jc w:val="center"/>
        </w:trPr>
        <w:tc>
          <w:tcPr>
            <w:tcW w:w="3133" w:type="dxa"/>
            <w:gridSpan w:val="4"/>
            <w:vMerge/>
            <w:shd w:val="clear" w:color="auto" w:fill="D9E2F3"/>
            <w:vAlign w:val="center"/>
          </w:tcPr>
          <w:p w14:paraId="7F452628" w14:textId="77777777" w:rsidR="00990B14" w:rsidRDefault="00990B14">
            <w:pPr>
              <w:spacing w:before="20" w:after="20"/>
            </w:pPr>
          </w:p>
        </w:tc>
        <w:tc>
          <w:tcPr>
            <w:tcW w:w="3135" w:type="dxa"/>
            <w:gridSpan w:val="5"/>
            <w:shd w:val="clear" w:color="auto" w:fill="D9E2F3"/>
            <w:vAlign w:val="center"/>
          </w:tcPr>
          <w:p w14:paraId="1AD5BCB4" w14:textId="77777777" w:rsidR="00990B14" w:rsidRDefault="00000000">
            <w:pPr>
              <w:spacing w:before="20" w:after="20"/>
              <w:jc w:val="both"/>
            </w:pPr>
            <w:r>
              <w:rPr>
                <w:sz w:val="18"/>
                <w:szCs w:val="18"/>
              </w:rPr>
              <w:t>1.2 Argumenta y defiende la postura técnica en un debate de casos donde existen controversias entre marcos regulatorios prudenciales/fiscales y marcos de imagen presentación razonable, demostrando rigor técnico y juicio profesional.</w:t>
            </w:r>
          </w:p>
        </w:tc>
        <w:tc>
          <w:tcPr>
            <w:tcW w:w="3137" w:type="dxa"/>
            <w:gridSpan w:val="4"/>
            <w:shd w:val="clear" w:color="auto" w:fill="D9E2F3"/>
            <w:vAlign w:val="center"/>
          </w:tcPr>
          <w:p w14:paraId="14B4F5B9" w14:textId="77777777" w:rsidR="00990B14" w:rsidRDefault="00000000">
            <w:pPr>
              <w:spacing w:before="20" w:after="20"/>
              <w:jc w:val="both"/>
            </w:pPr>
            <w:r>
              <w:rPr>
                <w:b/>
                <w:bCs/>
                <w:sz w:val="18"/>
                <w:szCs w:val="18"/>
              </w:rPr>
              <w:t xml:space="preserve">Producto 2: </w:t>
            </w:r>
            <w:r>
              <w:rPr>
                <w:sz w:val="18"/>
                <w:szCs w:val="18"/>
              </w:rPr>
              <w:t>Informe técnico escrito que analiza y clasifica la base de contabilización aplicable a diferentes tipos de entidades en Bolivia, justificando las características del marco adoptado por cada una.</w:t>
            </w:r>
          </w:p>
        </w:tc>
      </w:tr>
      <w:tr w:rsidR="00990B14" w14:paraId="020CD25A" w14:textId="77777777">
        <w:trPr>
          <w:cantSplit/>
          <w:jc w:val="center"/>
        </w:trPr>
        <w:tc>
          <w:tcPr>
            <w:tcW w:w="3133" w:type="dxa"/>
            <w:gridSpan w:val="4"/>
            <w:vMerge w:val="restart"/>
            <w:shd w:val="clear" w:color="auto" w:fill="D9E2F3"/>
            <w:vAlign w:val="center"/>
          </w:tcPr>
          <w:p w14:paraId="1FBC79C6" w14:textId="77777777" w:rsidR="00990B14" w:rsidRDefault="00000000">
            <w:pPr>
              <w:spacing w:before="20" w:after="20"/>
              <w:jc w:val="both"/>
            </w:pPr>
            <w:r>
              <w:rPr>
                <w:sz w:val="18"/>
                <w:szCs w:val="18"/>
              </w:rPr>
              <w:t>2. Distingue el marco de información financiera aplicable a las distintas tipologías de entidades en Bolivia, evaluando las exigencias normativas para la preparación de sus estados financieros.</w:t>
            </w:r>
          </w:p>
        </w:tc>
        <w:tc>
          <w:tcPr>
            <w:tcW w:w="3135" w:type="dxa"/>
            <w:gridSpan w:val="5"/>
            <w:shd w:val="clear" w:color="auto" w:fill="D9E2F3"/>
            <w:vAlign w:val="center"/>
          </w:tcPr>
          <w:p w14:paraId="1C985F7F" w14:textId="77777777" w:rsidR="00990B14" w:rsidRDefault="00000000">
            <w:pPr>
              <w:spacing w:before="20" w:after="20"/>
              <w:jc w:val="both"/>
            </w:pPr>
            <w:r>
              <w:rPr>
                <w:sz w:val="18"/>
                <w:szCs w:val="18"/>
              </w:rPr>
              <w:t>2.1 Sustenta y justifica de manera oral la elección de la base contable correspondiente a distintas tipologías de entidades en Bolivia, demostrando dominio de sus requerimientos normativos.</w:t>
            </w:r>
          </w:p>
        </w:tc>
        <w:tc>
          <w:tcPr>
            <w:tcW w:w="3137" w:type="dxa"/>
            <w:gridSpan w:val="4"/>
            <w:shd w:val="clear" w:color="auto" w:fill="D9E2F3"/>
            <w:vAlign w:val="center"/>
          </w:tcPr>
          <w:p w14:paraId="1C945851" w14:textId="77777777" w:rsidR="00990B14" w:rsidRDefault="00000000">
            <w:pPr>
              <w:spacing w:before="20" w:after="20"/>
              <w:jc w:val="both"/>
            </w:pPr>
            <w:r>
              <w:rPr>
                <w:b/>
                <w:bCs/>
                <w:sz w:val="18"/>
                <w:szCs w:val="18"/>
              </w:rPr>
              <w:t xml:space="preserve">Producto 3: </w:t>
            </w:r>
            <w:r>
              <w:rPr>
                <w:sz w:val="18"/>
                <w:szCs w:val="18"/>
              </w:rPr>
              <w:t>Informe escrito que analiza un portafolio de empresas en Bolivia, identificando para cada una el marco de información financiera aplicable y evaluando las exigencias normativas específicas que debe cumplir para la emisión de sus estados financieros</w:t>
            </w:r>
          </w:p>
        </w:tc>
      </w:tr>
      <w:tr w:rsidR="00990B14" w14:paraId="20C15590" w14:textId="77777777">
        <w:trPr>
          <w:cantSplit/>
          <w:jc w:val="center"/>
        </w:trPr>
        <w:tc>
          <w:tcPr>
            <w:tcW w:w="3133" w:type="dxa"/>
            <w:gridSpan w:val="4"/>
            <w:vMerge/>
            <w:shd w:val="clear" w:color="auto" w:fill="D9E2F3"/>
            <w:vAlign w:val="center"/>
          </w:tcPr>
          <w:p w14:paraId="40EE7FA4" w14:textId="77777777" w:rsidR="00990B14" w:rsidRDefault="00990B14">
            <w:pPr>
              <w:spacing w:before="20" w:after="20"/>
            </w:pPr>
          </w:p>
        </w:tc>
        <w:tc>
          <w:tcPr>
            <w:tcW w:w="3135" w:type="dxa"/>
            <w:gridSpan w:val="5"/>
            <w:shd w:val="clear" w:color="auto" w:fill="D9E2F3"/>
            <w:vAlign w:val="center"/>
          </w:tcPr>
          <w:p w14:paraId="18A39238" w14:textId="77777777" w:rsidR="00990B14" w:rsidRDefault="00000000">
            <w:pPr>
              <w:spacing w:before="20" w:after="20"/>
              <w:jc w:val="both"/>
            </w:pPr>
            <w:r>
              <w:rPr>
                <w:sz w:val="18"/>
                <w:szCs w:val="18"/>
              </w:rPr>
              <w:t>2.2 Demuestra en un taller de casos la resolución de situaciones donde una entidad boliviana debe adaptar o cambiar su marco de información financiera debido a exigencias de fiscalización, financiamiento internacional o regulación sectorial.</w:t>
            </w:r>
          </w:p>
        </w:tc>
        <w:tc>
          <w:tcPr>
            <w:tcW w:w="3137" w:type="dxa"/>
            <w:gridSpan w:val="4"/>
            <w:shd w:val="clear" w:color="auto" w:fill="D9E2F3"/>
            <w:vAlign w:val="center"/>
          </w:tcPr>
          <w:p w14:paraId="562D3E71" w14:textId="77777777" w:rsidR="00990B14" w:rsidRDefault="00000000">
            <w:pPr>
              <w:spacing w:before="20" w:after="20"/>
              <w:jc w:val="both"/>
            </w:pPr>
            <w:r>
              <w:rPr>
                <w:b/>
                <w:bCs/>
                <w:sz w:val="18"/>
                <w:szCs w:val="18"/>
              </w:rPr>
              <w:t xml:space="preserve">Producto 4: </w:t>
            </w:r>
            <w:r>
              <w:rPr>
                <w:sz w:val="18"/>
                <w:szCs w:val="18"/>
              </w:rPr>
              <w:t>Documento estructurado que contiene fichas normativas por sector empresarial boliviano, donde se especifican el marco contable, el órgano regulador competente y la estructura de estados financieros requerida.</w:t>
            </w:r>
          </w:p>
        </w:tc>
      </w:tr>
      <w:tr w:rsidR="00990B14" w14:paraId="6B70A228" w14:textId="77777777">
        <w:trPr>
          <w:cantSplit/>
          <w:jc w:val="center"/>
        </w:trPr>
        <w:tc>
          <w:tcPr>
            <w:tcW w:w="9405" w:type="dxa"/>
            <w:gridSpan w:val="13"/>
            <w:shd w:val="clear" w:color="auto" w:fill="4472C4"/>
            <w:vAlign w:val="center"/>
          </w:tcPr>
          <w:p w14:paraId="33FC26FE" w14:textId="77777777" w:rsidR="00990B14" w:rsidRDefault="00000000">
            <w:pPr>
              <w:keepNext/>
              <w:spacing w:before="20" w:after="20"/>
              <w:jc w:val="center"/>
            </w:pPr>
            <w:r>
              <w:rPr>
                <w:b/>
                <w:bCs/>
                <w:i/>
                <w:iCs/>
                <w:color w:val="FFFFFF"/>
                <w:sz w:val="18"/>
                <w:szCs w:val="18"/>
              </w:rPr>
              <w:t>Evidencias de conocimiento</w:t>
            </w:r>
          </w:p>
        </w:tc>
      </w:tr>
      <w:tr w:rsidR="00990B14" w14:paraId="42E37078" w14:textId="77777777">
        <w:trPr>
          <w:cantSplit/>
          <w:jc w:val="center"/>
        </w:trPr>
        <w:tc>
          <w:tcPr>
            <w:tcW w:w="2349" w:type="dxa"/>
            <w:gridSpan w:val="2"/>
            <w:shd w:val="clear" w:color="auto" w:fill="4472C4"/>
            <w:vAlign w:val="center"/>
          </w:tcPr>
          <w:p w14:paraId="5B09C819"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214E52C2" w14:textId="77777777" w:rsidR="00990B14" w:rsidRDefault="00000000">
            <w:pPr>
              <w:keepNext/>
              <w:spacing w:before="20" w:after="20"/>
              <w:jc w:val="both"/>
            </w:pPr>
            <w:r>
              <w:rPr>
                <w:b/>
                <w:bCs/>
                <w:i/>
                <w:iCs/>
                <w:color w:val="FFFFFF"/>
                <w:sz w:val="18"/>
                <w:szCs w:val="18"/>
              </w:rPr>
              <w:t>Contenidos</w:t>
            </w:r>
          </w:p>
          <w:p w14:paraId="54C990A0"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53BE3426" w14:textId="77777777" w:rsidR="00990B14" w:rsidRDefault="00000000">
            <w:pPr>
              <w:keepNext/>
              <w:spacing w:before="20" w:after="20"/>
              <w:jc w:val="center"/>
            </w:pPr>
            <w:r>
              <w:rPr>
                <w:b/>
                <w:bCs/>
                <w:i/>
                <w:iCs/>
                <w:color w:val="FFFFFF"/>
                <w:sz w:val="18"/>
                <w:szCs w:val="18"/>
              </w:rPr>
              <w:t>Conocimientos circunstanciales</w:t>
            </w:r>
          </w:p>
        </w:tc>
      </w:tr>
      <w:tr w:rsidR="00990B14" w14:paraId="7F38AF17" w14:textId="77777777">
        <w:trPr>
          <w:jc w:val="center"/>
        </w:trPr>
        <w:tc>
          <w:tcPr>
            <w:tcW w:w="2349" w:type="dxa"/>
            <w:gridSpan w:val="2"/>
            <w:shd w:val="clear" w:color="auto" w:fill="D9E2F3"/>
          </w:tcPr>
          <w:p w14:paraId="2A5E7D31" w14:textId="77777777" w:rsidR="00990B14" w:rsidRDefault="00000000">
            <w:pPr>
              <w:spacing w:before="20" w:after="40"/>
              <w:jc w:val="both"/>
            </w:pPr>
            <w:r>
              <w:rPr>
                <w:sz w:val="18"/>
                <w:szCs w:val="18"/>
              </w:rPr>
              <w:t>Tema 1: Marco de referencia para la información financiera</w:t>
            </w:r>
          </w:p>
        </w:tc>
        <w:tc>
          <w:tcPr>
            <w:tcW w:w="4304" w:type="dxa"/>
            <w:gridSpan w:val="8"/>
            <w:shd w:val="clear" w:color="auto" w:fill="D9E2F3"/>
          </w:tcPr>
          <w:p w14:paraId="05F5933A" w14:textId="77777777" w:rsidR="00990B14" w:rsidRDefault="00000000">
            <w:pPr>
              <w:spacing w:after="40"/>
              <w:jc w:val="both"/>
            </w:pPr>
            <w:r>
              <w:rPr>
                <w:sz w:val="18"/>
                <w:szCs w:val="18"/>
              </w:rPr>
              <w:t>Marcos de referencia de información financiera de propósito general y de propósito específico. (C)</w:t>
            </w:r>
          </w:p>
          <w:p w14:paraId="391DC40E" w14:textId="77777777" w:rsidR="00990B14" w:rsidRDefault="00000000">
            <w:pPr>
              <w:spacing w:after="40"/>
              <w:jc w:val="both"/>
            </w:pPr>
            <w:r>
              <w:rPr>
                <w:sz w:val="18"/>
                <w:szCs w:val="18"/>
              </w:rPr>
              <w:t>Características y diferencias de los marcos de referencia. (C)</w:t>
            </w:r>
          </w:p>
          <w:p w14:paraId="45F71877" w14:textId="77777777" w:rsidR="00990B14" w:rsidRDefault="00000000">
            <w:pPr>
              <w:spacing w:after="40"/>
              <w:jc w:val="both"/>
            </w:pPr>
            <w:r>
              <w:rPr>
                <w:sz w:val="18"/>
                <w:szCs w:val="18"/>
              </w:rPr>
              <w:t>Marcos de referencia aplicables a la preparación de estados financieros de propósito general en Bolivia y en el mundo. (C, P)</w:t>
            </w:r>
          </w:p>
          <w:p w14:paraId="33725CBB" w14:textId="77777777" w:rsidR="00990B14" w:rsidRDefault="00000000">
            <w:pPr>
              <w:spacing w:after="40"/>
              <w:jc w:val="both"/>
            </w:pPr>
            <w:r>
              <w:rPr>
                <w:sz w:val="18"/>
                <w:szCs w:val="18"/>
              </w:rPr>
              <w:t>Responsabilidad de la administración en la preparación de los estados financieros conforme al marco de referencia aplicable. (C, P, A)</w:t>
            </w:r>
          </w:p>
        </w:tc>
        <w:tc>
          <w:tcPr>
            <w:tcW w:w="2752" w:type="dxa"/>
            <w:gridSpan w:val="3"/>
            <w:shd w:val="clear" w:color="auto" w:fill="D9E2F3"/>
          </w:tcPr>
          <w:p w14:paraId="455C410F" w14:textId="77777777" w:rsidR="00990B14" w:rsidRDefault="00000000">
            <w:pPr>
              <w:numPr>
                <w:ilvl w:val="0"/>
                <w:numId w:val="139"/>
              </w:numPr>
              <w:spacing w:before="10" w:after="10"/>
              <w:jc w:val="both"/>
            </w:pPr>
            <w:r>
              <w:rPr>
                <w:sz w:val="18"/>
                <w:szCs w:val="18"/>
              </w:rPr>
              <w:t>Marcos de referencia de información financiera adoptados en Bolivia: Normas de Contabilidad Generalmente Aceptadas en Bolivia, Normas NIIF de Contabilidad y NIIF para las PYMES.</w:t>
            </w:r>
          </w:p>
        </w:tc>
      </w:tr>
      <w:tr w:rsidR="00990B14" w14:paraId="30BE999F" w14:textId="77777777">
        <w:trPr>
          <w:cantSplit/>
          <w:jc w:val="center"/>
        </w:trPr>
        <w:tc>
          <w:tcPr>
            <w:tcW w:w="9405" w:type="dxa"/>
            <w:gridSpan w:val="13"/>
            <w:shd w:val="clear" w:color="auto" w:fill="D9E2F3"/>
            <w:vAlign w:val="center"/>
          </w:tcPr>
          <w:p w14:paraId="3CA212F8" w14:textId="77777777" w:rsidR="00990B14" w:rsidRDefault="00000000">
            <w:pPr>
              <w:spacing w:before="20" w:after="20"/>
              <w:jc w:val="both"/>
            </w:pPr>
            <w:r>
              <w:rPr>
                <w:b/>
                <w:bCs/>
                <w:i/>
                <w:iCs/>
                <w:sz w:val="18"/>
                <w:szCs w:val="18"/>
              </w:rPr>
              <w:t xml:space="preserve">Elemento de competencia 2: </w:t>
            </w:r>
            <w:r>
              <w:rPr>
                <w:sz w:val="18"/>
                <w:szCs w:val="18"/>
              </w:rPr>
              <w:t>Analiza y evalúa la función de los encargos de aseguramiento y la estructura de los pronunciamientos profesionales del IAASB y del CTNAC, relacionando el marco normativo internacional con su proceso de adopción en Bolivia, para delimitar el alcance de los servicios profesionales, gestionar el riesgo profesional y asumir la responsabilidad ética de la profesión.</w:t>
            </w:r>
          </w:p>
        </w:tc>
      </w:tr>
      <w:tr w:rsidR="00990B14" w14:paraId="3E649562" w14:textId="77777777">
        <w:trPr>
          <w:cantSplit/>
          <w:jc w:val="center"/>
        </w:trPr>
        <w:tc>
          <w:tcPr>
            <w:tcW w:w="3133" w:type="dxa"/>
            <w:gridSpan w:val="4"/>
            <w:shd w:val="clear" w:color="auto" w:fill="4472C4"/>
            <w:vAlign w:val="center"/>
          </w:tcPr>
          <w:p w14:paraId="1B184753"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0D74F779"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5B4698E6" w14:textId="77777777" w:rsidR="00990B14" w:rsidRDefault="00000000">
            <w:pPr>
              <w:keepNext/>
              <w:spacing w:before="20" w:after="20"/>
              <w:jc w:val="center"/>
            </w:pPr>
            <w:r>
              <w:rPr>
                <w:b/>
                <w:bCs/>
                <w:i/>
                <w:iCs/>
                <w:color w:val="FFFFFF"/>
                <w:sz w:val="18"/>
                <w:szCs w:val="18"/>
              </w:rPr>
              <w:t>Evidencias de producto</w:t>
            </w:r>
          </w:p>
        </w:tc>
      </w:tr>
      <w:tr w:rsidR="00990B14" w14:paraId="7F56B831" w14:textId="77777777">
        <w:trPr>
          <w:cantSplit/>
          <w:jc w:val="center"/>
        </w:trPr>
        <w:tc>
          <w:tcPr>
            <w:tcW w:w="3133" w:type="dxa"/>
            <w:gridSpan w:val="4"/>
            <w:vMerge w:val="restart"/>
            <w:shd w:val="clear" w:color="auto" w:fill="D9E2F3"/>
            <w:vAlign w:val="center"/>
          </w:tcPr>
          <w:p w14:paraId="33C3A4AC" w14:textId="77777777" w:rsidR="00990B14" w:rsidRDefault="00000000">
            <w:pPr>
              <w:spacing w:before="20" w:after="20"/>
              <w:jc w:val="both"/>
            </w:pPr>
            <w:r>
              <w:rPr>
                <w:sz w:val="18"/>
                <w:szCs w:val="18"/>
              </w:rPr>
              <w:t>1. Clasifica los encargos de aseguramiento (seguridad razonable y limitada) y los servicios relacionados, analizando la estructura del compendio de pronunciamientos profesionales del IAASB y su adopción por el CTNAC en Bolivia.</w:t>
            </w:r>
          </w:p>
        </w:tc>
        <w:tc>
          <w:tcPr>
            <w:tcW w:w="3135" w:type="dxa"/>
            <w:gridSpan w:val="5"/>
            <w:shd w:val="clear" w:color="auto" w:fill="D9E2F3"/>
            <w:vAlign w:val="center"/>
          </w:tcPr>
          <w:p w14:paraId="73912CAE" w14:textId="77777777" w:rsidR="00990B14" w:rsidRDefault="00000000">
            <w:pPr>
              <w:spacing w:before="20" w:after="20"/>
              <w:jc w:val="both"/>
            </w:pPr>
            <w:r>
              <w:rPr>
                <w:sz w:val="18"/>
                <w:szCs w:val="18"/>
              </w:rPr>
              <w:t>1.1 Sustenta y argumenta técnicamente, en un taller de análisis de casos, la diferencia entre un encargo de seguridad razonable (auditoría), seguridad limitada (revisión) y servicios relacionados (procedimientos acordados y compilación), defendiendo el tipo de servicio aplicable según los requerimientos de la entidad y de los usuarios de la información.</w:t>
            </w:r>
          </w:p>
        </w:tc>
        <w:tc>
          <w:tcPr>
            <w:tcW w:w="3137" w:type="dxa"/>
            <w:gridSpan w:val="4"/>
            <w:shd w:val="clear" w:color="auto" w:fill="D9E2F3"/>
            <w:vAlign w:val="center"/>
          </w:tcPr>
          <w:p w14:paraId="236BF304" w14:textId="77777777" w:rsidR="00990B14" w:rsidRDefault="00000000">
            <w:pPr>
              <w:spacing w:before="20" w:after="20"/>
              <w:jc w:val="both"/>
            </w:pPr>
            <w:r>
              <w:rPr>
                <w:b/>
                <w:bCs/>
                <w:sz w:val="18"/>
                <w:szCs w:val="18"/>
              </w:rPr>
              <w:t xml:space="preserve">Producto 5: </w:t>
            </w:r>
            <w:r>
              <w:rPr>
                <w:sz w:val="18"/>
                <w:szCs w:val="18"/>
              </w:rPr>
              <w:t>Matriz escrita estructurada que clasifica el compendio completo de normas profesionales del IAASB adoptadas por el CTNAC en Bolivia, detallando para cada categoría (NIA, NIER, NIEA y NISR): objetivo del encargo, nivel de seguridad proporcionado, tipo de conclusión u opinión emitida, grado de evidencia requerido y formato del informe.</w:t>
            </w:r>
          </w:p>
        </w:tc>
      </w:tr>
      <w:tr w:rsidR="00990B14" w14:paraId="14EBD861" w14:textId="77777777">
        <w:trPr>
          <w:cantSplit/>
          <w:jc w:val="center"/>
        </w:trPr>
        <w:tc>
          <w:tcPr>
            <w:tcW w:w="3133" w:type="dxa"/>
            <w:gridSpan w:val="4"/>
            <w:vMerge/>
            <w:shd w:val="clear" w:color="auto" w:fill="D9E2F3"/>
            <w:vAlign w:val="center"/>
          </w:tcPr>
          <w:p w14:paraId="3CE5248A" w14:textId="77777777" w:rsidR="00990B14" w:rsidRDefault="00990B14">
            <w:pPr>
              <w:spacing w:before="20" w:after="20"/>
            </w:pPr>
          </w:p>
        </w:tc>
        <w:tc>
          <w:tcPr>
            <w:tcW w:w="3135" w:type="dxa"/>
            <w:gridSpan w:val="5"/>
            <w:shd w:val="clear" w:color="auto" w:fill="D9E2F3"/>
            <w:vAlign w:val="center"/>
          </w:tcPr>
          <w:p w14:paraId="3DB79BF9" w14:textId="77777777" w:rsidR="00990B14" w:rsidRDefault="00000000">
            <w:pPr>
              <w:spacing w:before="20" w:after="20"/>
              <w:jc w:val="both"/>
            </w:pPr>
            <w:r>
              <w:rPr>
                <w:sz w:val="18"/>
                <w:szCs w:val="18"/>
              </w:rPr>
              <w:t>1.2 Expone de manera práctica en un plenario la estructura del compendio de pronunciamientos del IAASB y su proceso de adopción en Bolivia a través de las resoluciones del CTNAC / CAUB, precisando el alcance de cada marco normativo (Gestión de Calidad - NIGC, Auditoría - NIA, Revisión - NIER, Otros Encargos de aseguramiento – NIEA y Servicios relacionados – NISR)</w:t>
            </w:r>
          </w:p>
        </w:tc>
        <w:tc>
          <w:tcPr>
            <w:tcW w:w="3137" w:type="dxa"/>
            <w:gridSpan w:val="4"/>
            <w:shd w:val="clear" w:color="auto" w:fill="D9E2F3"/>
            <w:vAlign w:val="center"/>
          </w:tcPr>
          <w:p w14:paraId="47E77121" w14:textId="77777777" w:rsidR="00990B14" w:rsidRDefault="00000000">
            <w:pPr>
              <w:spacing w:before="20" w:after="20"/>
              <w:jc w:val="both"/>
            </w:pPr>
            <w:r>
              <w:rPr>
                <w:b/>
                <w:bCs/>
                <w:sz w:val="18"/>
                <w:szCs w:val="18"/>
              </w:rPr>
              <w:t xml:space="preserve">Producto 6: </w:t>
            </w:r>
            <w:r>
              <w:rPr>
                <w:sz w:val="18"/>
                <w:szCs w:val="18"/>
              </w:rPr>
              <w:t>Informe técnico escrito que analiza tres situaciones empresariales en el entorno boliviano (ej. solicitud de crédito bancario, requerimiento tributario/prudencial y revisión de rubros específicos), determinando y fundamentando la norma profesional aplicable, el nivel de seguridad a proveer y la estructura básica de la carta de compromiso correspondiente.</w:t>
            </w:r>
          </w:p>
        </w:tc>
      </w:tr>
      <w:tr w:rsidR="00990B14" w14:paraId="55D89390" w14:textId="77777777">
        <w:trPr>
          <w:cantSplit/>
          <w:jc w:val="center"/>
        </w:trPr>
        <w:tc>
          <w:tcPr>
            <w:tcW w:w="3133" w:type="dxa"/>
            <w:gridSpan w:val="4"/>
            <w:vMerge w:val="restart"/>
            <w:shd w:val="clear" w:color="auto" w:fill="D9E2F3"/>
            <w:vAlign w:val="center"/>
          </w:tcPr>
          <w:p w14:paraId="36D8CF77" w14:textId="77777777" w:rsidR="00990B14" w:rsidRDefault="00000000">
            <w:pPr>
              <w:spacing w:before="20" w:after="20"/>
              <w:jc w:val="both"/>
            </w:pPr>
            <w:r>
              <w:rPr>
                <w:sz w:val="18"/>
                <w:szCs w:val="18"/>
              </w:rPr>
              <w:t>2. Evalúa los factores que condicionan el riesgo profesional y la independencia del auditor, determinando el marco de responsabilidad ética (Código IESBA), profesional, civil y penal en el ejercicio de la auditoría en Bolivia.</w:t>
            </w:r>
          </w:p>
        </w:tc>
        <w:tc>
          <w:tcPr>
            <w:tcW w:w="3135" w:type="dxa"/>
            <w:gridSpan w:val="5"/>
            <w:shd w:val="clear" w:color="auto" w:fill="D9E2F3"/>
            <w:vAlign w:val="center"/>
          </w:tcPr>
          <w:p w14:paraId="369BD3FC" w14:textId="77777777" w:rsidR="00990B14" w:rsidRDefault="00000000">
            <w:pPr>
              <w:spacing w:before="20" w:after="20"/>
              <w:jc w:val="both"/>
            </w:pPr>
            <w:r>
              <w:rPr>
                <w:sz w:val="18"/>
                <w:szCs w:val="18"/>
              </w:rPr>
              <w:t>2.1 Debate y resuelve en un taller de casos reales de la práctica boliviana dilemas éticos vinculados con amenazas a la independencia (interés propio, autorrevisión, abogacía, familiaridad e intimidación) conforme al Código de Ética del IESBA, proponiendo e interpelando las salvaguardas necesarias para mitigar el riesgo a un nivel aceptablemente bajo.</w:t>
            </w:r>
          </w:p>
        </w:tc>
        <w:tc>
          <w:tcPr>
            <w:tcW w:w="3137" w:type="dxa"/>
            <w:gridSpan w:val="4"/>
            <w:shd w:val="clear" w:color="auto" w:fill="D9E2F3"/>
            <w:vAlign w:val="center"/>
          </w:tcPr>
          <w:p w14:paraId="13203687" w14:textId="77777777" w:rsidR="00990B14" w:rsidRDefault="00000000">
            <w:pPr>
              <w:spacing w:before="20" w:after="20"/>
              <w:jc w:val="both"/>
            </w:pPr>
            <w:r>
              <w:rPr>
                <w:b/>
                <w:bCs/>
                <w:sz w:val="18"/>
                <w:szCs w:val="18"/>
              </w:rPr>
              <w:t xml:space="preserve">Producto 7: </w:t>
            </w:r>
            <w:r>
              <w:rPr>
                <w:sz w:val="18"/>
                <w:szCs w:val="18"/>
              </w:rPr>
              <w:t>Papel de trabajo sobre la evaluación de la independencia de la firma y del equipo de auditoría para un encargo específico, detallando la identificación de amenazas conforme al Código IESBA y especificando el diseño e implementación de las salvaguardas aplicables.</w:t>
            </w:r>
          </w:p>
        </w:tc>
      </w:tr>
      <w:tr w:rsidR="00990B14" w14:paraId="10DA7ED7" w14:textId="77777777">
        <w:trPr>
          <w:cantSplit/>
          <w:jc w:val="center"/>
        </w:trPr>
        <w:tc>
          <w:tcPr>
            <w:tcW w:w="3133" w:type="dxa"/>
            <w:gridSpan w:val="4"/>
            <w:vMerge/>
            <w:shd w:val="clear" w:color="auto" w:fill="D9E2F3"/>
            <w:vAlign w:val="center"/>
          </w:tcPr>
          <w:p w14:paraId="70A1CFD4" w14:textId="77777777" w:rsidR="00990B14" w:rsidRDefault="00990B14">
            <w:pPr>
              <w:spacing w:before="20" w:after="20"/>
            </w:pPr>
          </w:p>
        </w:tc>
        <w:tc>
          <w:tcPr>
            <w:tcW w:w="3135" w:type="dxa"/>
            <w:gridSpan w:val="5"/>
            <w:shd w:val="clear" w:color="auto" w:fill="D9E2F3"/>
            <w:vAlign w:val="center"/>
          </w:tcPr>
          <w:p w14:paraId="0AAEF407" w14:textId="77777777" w:rsidR="00990B14" w:rsidRDefault="00000000">
            <w:pPr>
              <w:spacing w:before="20" w:after="20"/>
              <w:jc w:val="both"/>
            </w:pPr>
            <w:r>
              <w:rPr>
                <w:sz w:val="18"/>
                <w:szCs w:val="18"/>
              </w:rPr>
              <w:t>2.2 Sustenta de manera práctica la evaluación de la aceptación o continuidad de un encargo con alto riesgo profesional, identificando la exposición a responsabilidades en los ámbitos profesional, civil y penal ante la detección de fraudes o incorrecciones materiales.</w:t>
            </w:r>
          </w:p>
        </w:tc>
        <w:tc>
          <w:tcPr>
            <w:tcW w:w="3137" w:type="dxa"/>
            <w:gridSpan w:val="4"/>
            <w:shd w:val="clear" w:color="auto" w:fill="D9E2F3"/>
            <w:vAlign w:val="center"/>
          </w:tcPr>
          <w:p w14:paraId="74D45554" w14:textId="77777777" w:rsidR="00990B14" w:rsidRDefault="00000000">
            <w:pPr>
              <w:spacing w:before="20" w:after="20"/>
              <w:jc w:val="both"/>
            </w:pPr>
            <w:r>
              <w:rPr>
                <w:b/>
                <w:bCs/>
                <w:sz w:val="18"/>
                <w:szCs w:val="18"/>
              </w:rPr>
              <w:t xml:space="preserve">Producto 8: </w:t>
            </w:r>
            <w:r>
              <w:rPr>
                <w:sz w:val="18"/>
                <w:szCs w:val="18"/>
              </w:rPr>
              <w:t>Informe técnico escrito que analiza un caso complejo de fallas de auditoría o fraudes corporativos, mapeando la Matriz de Riesgo Profesional del Auditor y fundamentando la delimitación de las responsabilidades éticas, profesionales, civiles y penales aplicables al auditor independiente.</w:t>
            </w:r>
          </w:p>
        </w:tc>
      </w:tr>
      <w:tr w:rsidR="00990B14" w14:paraId="322E6FB3" w14:textId="77777777">
        <w:trPr>
          <w:cantSplit/>
          <w:jc w:val="center"/>
        </w:trPr>
        <w:tc>
          <w:tcPr>
            <w:tcW w:w="9405" w:type="dxa"/>
            <w:gridSpan w:val="13"/>
            <w:shd w:val="clear" w:color="auto" w:fill="4472C4"/>
            <w:vAlign w:val="center"/>
          </w:tcPr>
          <w:p w14:paraId="2940B362" w14:textId="77777777" w:rsidR="00990B14" w:rsidRDefault="00000000">
            <w:pPr>
              <w:keepNext/>
              <w:spacing w:before="20" w:after="20"/>
              <w:jc w:val="center"/>
            </w:pPr>
            <w:r>
              <w:rPr>
                <w:b/>
                <w:bCs/>
                <w:i/>
                <w:iCs/>
                <w:color w:val="FFFFFF"/>
                <w:sz w:val="18"/>
                <w:szCs w:val="18"/>
              </w:rPr>
              <w:t>Evidencias de conocimiento</w:t>
            </w:r>
          </w:p>
        </w:tc>
      </w:tr>
      <w:tr w:rsidR="00990B14" w14:paraId="4BC87381" w14:textId="77777777">
        <w:trPr>
          <w:cantSplit/>
          <w:jc w:val="center"/>
        </w:trPr>
        <w:tc>
          <w:tcPr>
            <w:tcW w:w="2349" w:type="dxa"/>
            <w:gridSpan w:val="2"/>
            <w:shd w:val="clear" w:color="auto" w:fill="4472C4"/>
            <w:vAlign w:val="center"/>
          </w:tcPr>
          <w:p w14:paraId="3A7FE93D"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5823A060" w14:textId="77777777" w:rsidR="00990B14" w:rsidRDefault="00000000">
            <w:pPr>
              <w:keepNext/>
              <w:spacing w:before="20" w:after="20"/>
              <w:jc w:val="both"/>
            </w:pPr>
            <w:r>
              <w:rPr>
                <w:b/>
                <w:bCs/>
                <w:i/>
                <w:iCs/>
                <w:color w:val="FFFFFF"/>
                <w:sz w:val="18"/>
                <w:szCs w:val="18"/>
              </w:rPr>
              <w:t>Contenidos</w:t>
            </w:r>
          </w:p>
          <w:p w14:paraId="69CC6D32"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62860DB3" w14:textId="77777777" w:rsidR="00990B14" w:rsidRDefault="00000000">
            <w:pPr>
              <w:keepNext/>
              <w:spacing w:before="20" w:after="20"/>
              <w:jc w:val="center"/>
            </w:pPr>
            <w:r>
              <w:rPr>
                <w:b/>
                <w:bCs/>
                <w:i/>
                <w:iCs/>
                <w:color w:val="FFFFFF"/>
                <w:sz w:val="18"/>
                <w:szCs w:val="18"/>
              </w:rPr>
              <w:t>Conocimientos circunstanciales</w:t>
            </w:r>
          </w:p>
        </w:tc>
      </w:tr>
      <w:tr w:rsidR="00990B14" w14:paraId="2F805ABE" w14:textId="77777777">
        <w:trPr>
          <w:jc w:val="center"/>
        </w:trPr>
        <w:tc>
          <w:tcPr>
            <w:tcW w:w="2349" w:type="dxa"/>
            <w:gridSpan w:val="2"/>
            <w:shd w:val="clear" w:color="auto" w:fill="D9E2F3"/>
          </w:tcPr>
          <w:p w14:paraId="6403EFC8" w14:textId="77777777" w:rsidR="00990B14" w:rsidRDefault="00000000">
            <w:pPr>
              <w:spacing w:before="20" w:after="40"/>
              <w:jc w:val="both"/>
            </w:pPr>
            <w:r>
              <w:rPr>
                <w:sz w:val="18"/>
                <w:szCs w:val="18"/>
              </w:rPr>
              <w:t>Tema 2: Aseguramiento e introducción a la auditoría</w:t>
            </w:r>
          </w:p>
          <w:p w14:paraId="0612B648" w14:textId="77777777" w:rsidR="00990B14" w:rsidRDefault="00000000">
            <w:pPr>
              <w:spacing w:before="20" w:after="40"/>
              <w:jc w:val="both"/>
            </w:pPr>
            <w:r>
              <w:rPr>
                <w:sz w:val="18"/>
                <w:szCs w:val="18"/>
              </w:rPr>
              <w:t>Tema 3: Marco internacional de referencia de encargos de aseguramiento</w:t>
            </w:r>
          </w:p>
          <w:p w14:paraId="16E7ADD8" w14:textId="77777777" w:rsidR="00990B14" w:rsidRDefault="00000000">
            <w:pPr>
              <w:spacing w:before="20" w:after="40"/>
              <w:jc w:val="both"/>
            </w:pPr>
            <w:r>
              <w:rPr>
                <w:sz w:val="18"/>
                <w:szCs w:val="18"/>
              </w:rPr>
              <w:t>Tema 4: Estructura de los pronunciamientos profesionales de aseguramiento en el mundo y en Bolivia</w:t>
            </w:r>
          </w:p>
          <w:p w14:paraId="5104E819" w14:textId="77777777" w:rsidR="00990B14" w:rsidRDefault="00000000">
            <w:pPr>
              <w:spacing w:before="20" w:after="40"/>
              <w:jc w:val="both"/>
            </w:pPr>
            <w:r>
              <w:rPr>
                <w:sz w:val="18"/>
                <w:szCs w:val="18"/>
              </w:rPr>
              <w:t>Tema 5: Responsabilidad y riesgo profesional</w:t>
            </w:r>
          </w:p>
        </w:tc>
        <w:tc>
          <w:tcPr>
            <w:tcW w:w="4304" w:type="dxa"/>
            <w:gridSpan w:val="8"/>
            <w:shd w:val="clear" w:color="auto" w:fill="D9E2F3"/>
          </w:tcPr>
          <w:p w14:paraId="4448DC80" w14:textId="77777777" w:rsidR="00990B14" w:rsidRDefault="00000000">
            <w:pPr>
              <w:spacing w:after="40"/>
              <w:jc w:val="both"/>
            </w:pPr>
            <w:r>
              <w:rPr>
                <w:sz w:val="18"/>
                <w:szCs w:val="18"/>
              </w:rPr>
              <w:t>Etimología y breve reseña histórica del aseguramiento y la auditoría. (C)</w:t>
            </w:r>
          </w:p>
          <w:p w14:paraId="3A3FF70A" w14:textId="77777777" w:rsidR="00990B14" w:rsidRDefault="00000000">
            <w:pPr>
              <w:spacing w:after="40"/>
              <w:jc w:val="both"/>
            </w:pPr>
            <w:r>
              <w:rPr>
                <w:sz w:val="18"/>
                <w:szCs w:val="18"/>
              </w:rPr>
              <w:t>Desarrollo de la profesión de la contaduría pública. (P)</w:t>
            </w:r>
          </w:p>
          <w:p w14:paraId="42F4FA9F" w14:textId="77777777" w:rsidR="00990B14" w:rsidRDefault="00000000">
            <w:pPr>
              <w:spacing w:after="40"/>
              <w:jc w:val="both"/>
            </w:pPr>
            <w:r>
              <w:rPr>
                <w:sz w:val="18"/>
                <w:szCs w:val="18"/>
              </w:rPr>
              <w:t>La función de aseguramiento. (C)</w:t>
            </w:r>
          </w:p>
          <w:p w14:paraId="4B3F843F" w14:textId="77777777" w:rsidR="00990B14" w:rsidRDefault="00000000">
            <w:pPr>
              <w:spacing w:after="40"/>
              <w:jc w:val="both"/>
            </w:pPr>
            <w:r>
              <w:rPr>
                <w:sz w:val="18"/>
                <w:szCs w:val="18"/>
              </w:rPr>
              <w:t>Características de los encargos de aseguramiento. (C)</w:t>
            </w:r>
          </w:p>
          <w:p w14:paraId="5EC14099" w14:textId="77777777" w:rsidR="00990B14" w:rsidRDefault="00000000">
            <w:pPr>
              <w:spacing w:after="40"/>
              <w:jc w:val="both"/>
            </w:pPr>
            <w:r>
              <w:rPr>
                <w:sz w:val="18"/>
                <w:szCs w:val="18"/>
              </w:rPr>
              <w:t>Clasificación de los encargos de aseguramiento. (C)</w:t>
            </w:r>
          </w:p>
          <w:p w14:paraId="36D81403" w14:textId="77777777" w:rsidR="00990B14" w:rsidRDefault="00000000">
            <w:pPr>
              <w:spacing w:after="40"/>
              <w:jc w:val="both"/>
            </w:pPr>
            <w:r>
              <w:rPr>
                <w:sz w:val="18"/>
                <w:szCs w:val="18"/>
              </w:rPr>
              <w:t>Tipos de auditorías. (C)</w:t>
            </w:r>
          </w:p>
          <w:p w14:paraId="1A84762F" w14:textId="77777777" w:rsidR="00990B14" w:rsidRDefault="00000000">
            <w:pPr>
              <w:spacing w:after="40"/>
              <w:jc w:val="both"/>
            </w:pPr>
            <w:r>
              <w:rPr>
                <w:sz w:val="18"/>
                <w:szCs w:val="18"/>
              </w:rPr>
              <w:t>Los informes de los contadores públicos. (C)</w:t>
            </w:r>
          </w:p>
          <w:p w14:paraId="66B69A4D" w14:textId="77777777" w:rsidR="00990B14" w:rsidRDefault="00000000">
            <w:pPr>
              <w:spacing w:after="40"/>
              <w:jc w:val="both"/>
            </w:pPr>
            <w:r>
              <w:rPr>
                <w:sz w:val="18"/>
                <w:szCs w:val="18"/>
              </w:rPr>
              <w:t>El auditor externo y los requisitos éticos. (C, A)</w:t>
            </w:r>
          </w:p>
          <w:p w14:paraId="064A62C7" w14:textId="77777777" w:rsidR="00990B14" w:rsidRDefault="00000000">
            <w:pPr>
              <w:spacing w:after="40"/>
              <w:jc w:val="both"/>
            </w:pPr>
            <w:r>
              <w:rPr>
                <w:sz w:val="18"/>
                <w:szCs w:val="18"/>
              </w:rPr>
              <w:t>Demanda de los usuarios de estados financieros con informe de auditoría externa. (C)</w:t>
            </w:r>
          </w:p>
          <w:p w14:paraId="6EBC27DC" w14:textId="77777777" w:rsidR="00990B14" w:rsidRDefault="00000000">
            <w:pPr>
              <w:spacing w:after="40"/>
              <w:jc w:val="both"/>
            </w:pPr>
            <w:r>
              <w:rPr>
                <w:sz w:val="18"/>
                <w:szCs w:val="18"/>
              </w:rPr>
              <w:t>Responsabilidad del personal profesional. (C, A)</w:t>
            </w:r>
          </w:p>
          <w:p w14:paraId="43520C45" w14:textId="77777777" w:rsidR="00990B14" w:rsidRDefault="00000000">
            <w:pPr>
              <w:spacing w:after="40"/>
              <w:jc w:val="both"/>
            </w:pPr>
            <w:r>
              <w:rPr>
                <w:sz w:val="18"/>
                <w:szCs w:val="18"/>
              </w:rPr>
              <w:t>Descripción de los encargos de aseguramiento. (C)</w:t>
            </w:r>
          </w:p>
          <w:p w14:paraId="3DAD9BE4" w14:textId="77777777" w:rsidR="00990B14" w:rsidRDefault="00000000">
            <w:pPr>
              <w:spacing w:after="40"/>
              <w:jc w:val="both"/>
            </w:pPr>
            <w:r>
              <w:rPr>
                <w:sz w:val="18"/>
                <w:szCs w:val="18"/>
              </w:rPr>
              <w:t>Condiciones previas para un encargo de aseguramiento. (C)</w:t>
            </w:r>
          </w:p>
          <w:p w14:paraId="48425816" w14:textId="77777777" w:rsidR="00990B14" w:rsidRDefault="00000000">
            <w:pPr>
              <w:spacing w:after="40"/>
              <w:jc w:val="both"/>
            </w:pPr>
            <w:r>
              <w:rPr>
                <w:sz w:val="18"/>
                <w:szCs w:val="18"/>
              </w:rPr>
              <w:t>Elementos de un encargo de aseguramiento. (C)</w:t>
            </w:r>
          </w:p>
          <w:p w14:paraId="343A312A" w14:textId="77777777" w:rsidR="00990B14" w:rsidRDefault="00000000">
            <w:pPr>
              <w:spacing w:after="40"/>
              <w:jc w:val="both"/>
            </w:pPr>
            <w:r>
              <w:rPr>
                <w:sz w:val="18"/>
                <w:szCs w:val="18"/>
              </w:rPr>
              <w:t>Organismos emisores de normas a nivel local e internacional. (C)</w:t>
            </w:r>
          </w:p>
          <w:p w14:paraId="377CE4AF" w14:textId="77777777" w:rsidR="00990B14" w:rsidRDefault="00000000">
            <w:pPr>
              <w:spacing w:after="40"/>
              <w:jc w:val="both"/>
            </w:pPr>
            <w:r>
              <w:rPr>
                <w:sz w:val="18"/>
                <w:szCs w:val="18"/>
              </w:rPr>
              <w:t>Estructura de los pronunciamientos internacionales de auditoría, aseguramiento y servicios relacionados. (C)</w:t>
            </w:r>
          </w:p>
          <w:p w14:paraId="4D5DF1E7" w14:textId="77777777" w:rsidR="00990B14" w:rsidRDefault="00000000">
            <w:pPr>
              <w:spacing w:after="40"/>
              <w:jc w:val="both"/>
            </w:pPr>
            <w:r>
              <w:rPr>
                <w:sz w:val="18"/>
                <w:szCs w:val="18"/>
              </w:rPr>
              <w:t>Proyecto Clarity sobre Normas Internacionales de Auditoría. (C)</w:t>
            </w:r>
          </w:p>
          <w:p w14:paraId="28160D13" w14:textId="77777777" w:rsidR="00990B14" w:rsidRDefault="00000000">
            <w:pPr>
              <w:spacing w:after="40"/>
              <w:jc w:val="both"/>
            </w:pPr>
            <w:r>
              <w:rPr>
                <w:sz w:val="18"/>
                <w:szCs w:val="18"/>
              </w:rPr>
              <w:t>Código Internacional de Ética para Profesionales de la Contabilidad. (C, A)</w:t>
            </w:r>
          </w:p>
          <w:p w14:paraId="710069CA" w14:textId="77777777" w:rsidR="00990B14" w:rsidRDefault="00000000">
            <w:pPr>
              <w:spacing w:after="40"/>
              <w:jc w:val="both"/>
            </w:pPr>
            <w:r>
              <w:rPr>
                <w:sz w:val="18"/>
                <w:szCs w:val="18"/>
              </w:rPr>
              <w:t>Normas Internacionales de Gestión de Calidad. (C)</w:t>
            </w:r>
          </w:p>
          <w:p w14:paraId="37E76D0F" w14:textId="77777777" w:rsidR="00990B14" w:rsidRDefault="00000000">
            <w:pPr>
              <w:spacing w:after="40"/>
              <w:jc w:val="both"/>
            </w:pPr>
            <w:r>
              <w:rPr>
                <w:sz w:val="18"/>
                <w:szCs w:val="18"/>
              </w:rPr>
              <w:t>Estructura de las Normas Internacionales de Auditoría. (C)</w:t>
            </w:r>
          </w:p>
          <w:p w14:paraId="444FA9E5" w14:textId="77777777" w:rsidR="00990B14" w:rsidRDefault="00000000">
            <w:pPr>
              <w:spacing w:after="40"/>
              <w:jc w:val="both"/>
            </w:pPr>
            <w:r>
              <w:rPr>
                <w:sz w:val="18"/>
                <w:szCs w:val="18"/>
              </w:rPr>
              <w:t>Norma Internacional de Auditoría para auditorías de estados financieros de entidades menos complejas. (C)</w:t>
            </w:r>
          </w:p>
          <w:p w14:paraId="3F35A10A" w14:textId="77777777" w:rsidR="00990B14" w:rsidRDefault="00000000">
            <w:pPr>
              <w:spacing w:after="40"/>
              <w:jc w:val="both"/>
            </w:pPr>
            <w:r>
              <w:rPr>
                <w:sz w:val="18"/>
                <w:szCs w:val="18"/>
              </w:rPr>
              <w:t>La convergencia a las normas de auditoría en Bolivia. (C)</w:t>
            </w:r>
          </w:p>
          <w:p w14:paraId="076FD73A" w14:textId="77777777" w:rsidR="00990B14" w:rsidRDefault="00000000">
            <w:pPr>
              <w:spacing w:after="40"/>
              <w:jc w:val="both"/>
            </w:pPr>
            <w:r>
              <w:rPr>
                <w:sz w:val="18"/>
                <w:szCs w:val="18"/>
              </w:rPr>
              <w:t>Estructura de las Normas de Auditoría Generalmente Aceptadas en Bolivia. (C)</w:t>
            </w:r>
          </w:p>
          <w:p w14:paraId="68A07055" w14:textId="77777777" w:rsidR="00990B14" w:rsidRDefault="00000000">
            <w:pPr>
              <w:spacing w:after="40"/>
              <w:jc w:val="both"/>
            </w:pPr>
            <w:r>
              <w:rPr>
                <w:sz w:val="18"/>
                <w:szCs w:val="18"/>
              </w:rPr>
              <w:t>Papel del auditor independiente. (C)</w:t>
            </w:r>
          </w:p>
          <w:p w14:paraId="6E0269C8" w14:textId="77777777" w:rsidR="00990B14" w:rsidRDefault="00000000">
            <w:pPr>
              <w:spacing w:after="40"/>
              <w:jc w:val="both"/>
            </w:pPr>
            <w:r>
              <w:rPr>
                <w:sz w:val="18"/>
                <w:szCs w:val="18"/>
              </w:rPr>
              <w:t>Vulnerabilidad de los auditores independientes. (C)</w:t>
            </w:r>
          </w:p>
          <w:p w14:paraId="6DA115FD" w14:textId="77777777" w:rsidR="00990B14" w:rsidRDefault="00000000">
            <w:pPr>
              <w:spacing w:after="40"/>
              <w:jc w:val="both"/>
            </w:pPr>
            <w:r>
              <w:rPr>
                <w:sz w:val="18"/>
                <w:szCs w:val="18"/>
              </w:rPr>
              <w:t>Organigrama de una empresa de auditoría externa. (C)</w:t>
            </w:r>
          </w:p>
          <w:p w14:paraId="57D58052" w14:textId="77777777" w:rsidR="00990B14" w:rsidRDefault="00000000">
            <w:pPr>
              <w:spacing w:after="40"/>
              <w:jc w:val="both"/>
            </w:pPr>
            <w:r>
              <w:rPr>
                <w:sz w:val="18"/>
                <w:szCs w:val="18"/>
              </w:rPr>
              <w:t>Criterios para la administración y gestión de las firmas de auditoría. (C)</w:t>
            </w:r>
          </w:p>
          <w:p w14:paraId="34A8BBE8" w14:textId="77777777" w:rsidR="00990B14" w:rsidRDefault="00000000">
            <w:pPr>
              <w:spacing w:after="40"/>
              <w:jc w:val="both"/>
            </w:pPr>
            <w:r>
              <w:rPr>
                <w:sz w:val="18"/>
                <w:szCs w:val="18"/>
              </w:rPr>
              <w:t>Responsabilidad ante sus clientes y terceros. (C, A)</w:t>
            </w:r>
          </w:p>
          <w:p w14:paraId="483D7F42" w14:textId="77777777" w:rsidR="00990B14" w:rsidRDefault="00000000">
            <w:pPr>
              <w:spacing w:after="40"/>
              <w:jc w:val="both"/>
            </w:pPr>
            <w:r>
              <w:rPr>
                <w:sz w:val="18"/>
                <w:szCs w:val="18"/>
              </w:rPr>
              <w:t>El riesgo profesional en la aceptación de clientes. (C)</w:t>
            </w:r>
          </w:p>
        </w:tc>
        <w:tc>
          <w:tcPr>
            <w:tcW w:w="2752" w:type="dxa"/>
            <w:gridSpan w:val="3"/>
            <w:shd w:val="clear" w:color="auto" w:fill="D9E2F3"/>
          </w:tcPr>
          <w:p w14:paraId="7A47E7DB" w14:textId="77777777" w:rsidR="00990B14" w:rsidRDefault="00000000">
            <w:pPr>
              <w:numPr>
                <w:ilvl w:val="0"/>
                <w:numId w:val="139"/>
              </w:numPr>
              <w:spacing w:before="10" w:after="10"/>
              <w:jc w:val="both"/>
            </w:pPr>
            <w:r>
              <w:rPr>
                <w:sz w:val="18"/>
                <w:szCs w:val="18"/>
              </w:rPr>
              <w:t>Adopción de los Pronunciamientos Internacionales del IAASB en Bolivia dispuesta por la Resolución CTNAC N.º 01/2015.</w:t>
            </w:r>
          </w:p>
          <w:p w14:paraId="3396B771" w14:textId="77777777" w:rsidR="00990B14" w:rsidRDefault="00000000">
            <w:pPr>
              <w:numPr>
                <w:ilvl w:val="0"/>
                <w:numId w:val="139"/>
              </w:numPr>
              <w:spacing w:before="10" w:after="10"/>
              <w:jc w:val="both"/>
            </w:pPr>
            <w:r>
              <w:rPr>
                <w:sz w:val="18"/>
                <w:szCs w:val="18"/>
              </w:rPr>
              <w:t>Vigencia de las Normas Internacionales de Gestión de la Calidad 1 y 2 para las firmas de auditoría desde diciembre de 2022.</w:t>
            </w:r>
          </w:p>
          <w:p w14:paraId="38083FB2" w14:textId="77777777" w:rsidR="00990B14" w:rsidRDefault="00000000">
            <w:pPr>
              <w:numPr>
                <w:ilvl w:val="0"/>
                <w:numId w:val="139"/>
              </w:numPr>
              <w:spacing w:before="10" w:after="10"/>
              <w:jc w:val="both"/>
            </w:pPr>
            <w:r>
              <w:rPr>
                <w:sz w:val="18"/>
                <w:szCs w:val="18"/>
              </w:rPr>
              <w:t>Responsabilidad del auditor independiente frente a sus clientes y a terceros</w:t>
            </w:r>
          </w:p>
        </w:tc>
      </w:tr>
      <w:tr w:rsidR="00990B14" w14:paraId="4F9B23B3" w14:textId="77777777">
        <w:trPr>
          <w:cantSplit/>
          <w:jc w:val="center"/>
        </w:trPr>
        <w:tc>
          <w:tcPr>
            <w:tcW w:w="9405" w:type="dxa"/>
            <w:gridSpan w:val="13"/>
            <w:shd w:val="clear" w:color="auto" w:fill="D9E2F3"/>
            <w:vAlign w:val="center"/>
          </w:tcPr>
          <w:p w14:paraId="6A260503" w14:textId="77777777" w:rsidR="00990B14" w:rsidRDefault="00000000">
            <w:pPr>
              <w:spacing w:before="20" w:after="20"/>
              <w:jc w:val="both"/>
            </w:pPr>
            <w:r>
              <w:rPr>
                <w:b/>
                <w:bCs/>
                <w:i/>
                <w:iCs/>
                <w:sz w:val="18"/>
                <w:szCs w:val="18"/>
              </w:rPr>
              <w:t xml:space="preserve">Elemento de competencia 3: </w:t>
            </w:r>
            <w:r>
              <w:rPr>
                <w:sz w:val="18"/>
                <w:szCs w:val="18"/>
              </w:rPr>
              <w:t>Analiza el proceso de auditoría basado en riesgos, determinando la relación entre la seguridad razonable, los componentes del riesgo, las aseveraciones de los estados financieros, las respuestas del auditor y la conclusión de la auditoría.</w:t>
            </w:r>
          </w:p>
        </w:tc>
      </w:tr>
      <w:tr w:rsidR="00990B14" w14:paraId="0A23476C" w14:textId="77777777">
        <w:trPr>
          <w:cantSplit/>
          <w:jc w:val="center"/>
        </w:trPr>
        <w:tc>
          <w:tcPr>
            <w:tcW w:w="3133" w:type="dxa"/>
            <w:gridSpan w:val="4"/>
            <w:shd w:val="clear" w:color="auto" w:fill="4472C4"/>
            <w:vAlign w:val="center"/>
          </w:tcPr>
          <w:p w14:paraId="0DB55B2E"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01779C54"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64B4E0DC" w14:textId="77777777" w:rsidR="00990B14" w:rsidRDefault="00000000">
            <w:pPr>
              <w:keepNext/>
              <w:spacing w:before="20" w:after="20"/>
              <w:jc w:val="center"/>
            </w:pPr>
            <w:r>
              <w:rPr>
                <w:b/>
                <w:bCs/>
                <w:i/>
                <w:iCs/>
                <w:color w:val="FFFFFF"/>
                <w:sz w:val="18"/>
                <w:szCs w:val="18"/>
              </w:rPr>
              <w:t>Evidencias de producto</w:t>
            </w:r>
          </w:p>
        </w:tc>
      </w:tr>
      <w:tr w:rsidR="00990B14" w14:paraId="6624748F" w14:textId="77777777">
        <w:trPr>
          <w:cantSplit/>
          <w:jc w:val="center"/>
        </w:trPr>
        <w:tc>
          <w:tcPr>
            <w:tcW w:w="3133" w:type="dxa"/>
            <w:gridSpan w:val="4"/>
            <w:vMerge w:val="restart"/>
            <w:shd w:val="clear" w:color="auto" w:fill="D9E2F3"/>
            <w:vAlign w:val="center"/>
          </w:tcPr>
          <w:p w14:paraId="06779D9B" w14:textId="77777777" w:rsidR="00990B14" w:rsidRDefault="00000000">
            <w:pPr>
              <w:spacing w:before="20" w:after="20"/>
              <w:jc w:val="both"/>
            </w:pPr>
            <w:r>
              <w:rPr>
                <w:sz w:val="18"/>
                <w:szCs w:val="18"/>
              </w:rPr>
              <w:t>1. Evalúa los componentes del riesgo de auditoría y la seguridad razonable, vinculándolos con las aseveraciones de los estados financieros y el diseño de las respuestas del auditor.</w:t>
            </w:r>
          </w:p>
        </w:tc>
        <w:tc>
          <w:tcPr>
            <w:tcW w:w="3135" w:type="dxa"/>
            <w:gridSpan w:val="5"/>
            <w:shd w:val="clear" w:color="auto" w:fill="D9E2F3"/>
            <w:vAlign w:val="center"/>
          </w:tcPr>
          <w:p w14:paraId="35E5EC98" w14:textId="77777777" w:rsidR="00990B14" w:rsidRDefault="00000000">
            <w:pPr>
              <w:spacing w:before="20" w:after="20"/>
              <w:jc w:val="both"/>
            </w:pPr>
            <w:r>
              <w:rPr>
                <w:sz w:val="18"/>
                <w:szCs w:val="18"/>
              </w:rPr>
              <w:t>1.1 Resuelve en aula ejercicios de interrelación de los componentes del riesgo de auditoría.</w:t>
            </w:r>
          </w:p>
        </w:tc>
        <w:tc>
          <w:tcPr>
            <w:tcW w:w="3137" w:type="dxa"/>
            <w:gridSpan w:val="4"/>
            <w:shd w:val="clear" w:color="auto" w:fill="D9E2F3"/>
            <w:vAlign w:val="center"/>
          </w:tcPr>
          <w:p w14:paraId="50B26047" w14:textId="77777777" w:rsidR="00990B14" w:rsidRDefault="00000000">
            <w:pPr>
              <w:spacing w:before="20" w:after="20"/>
              <w:jc w:val="both"/>
            </w:pPr>
            <w:r>
              <w:rPr>
                <w:b/>
                <w:bCs/>
                <w:sz w:val="18"/>
                <w:szCs w:val="18"/>
              </w:rPr>
              <w:t xml:space="preserve">Producto 9: </w:t>
            </w:r>
            <w:r>
              <w:rPr>
                <w:sz w:val="18"/>
                <w:szCs w:val="18"/>
              </w:rPr>
              <w:t>Práctico de los componentes del riesgo de auditoría.</w:t>
            </w:r>
          </w:p>
        </w:tc>
      </w:tr>
      <w:tr w:rsidR="00990B14" w14:paraId="47325CDE" w14:textId="77777777">
        <w:trPr>
          <w:cantSplit/>
          <w:jc w:val="center"/>
        </w:trPr>
        <w:tc>
          <w:tcPr>
            <w:tcW w:w="3133" w:type="dxa"/>
            <w:gridSpan w:val="4"/>
            <w:vMerge/>
            <w:shd w:val="clear" w:color="auto" w:fill="D9E2F3"/>
            <w:vAlign w:val="center"/>
          </w:tcPr>
          <w:p w14:paraId="1F9879F4" w14:textId="77777777" w:rsidR="00990B14" w:rsidRDefault="00990B14">
            <w:pPr>
              <w:spacing w:before="20" w:after="20"/>
            </w:pPr>
          </w:p>
        </w:tc>
        <w:tc>
          <w:tcPr>
            <w:tcW w:w="3135" w:type="dxa"/>
            <w:gridSpan w:val="5"/>
            <w:shd w:val="clear" w:color="auto" w:fill="D9E2F3"/>
            <w:vAlign w:val="center"/>
          </w:tcPr>
          <w:p w14:paraId="378B3D9D" w14:textId="77777777" w:rsidR="00990B14" w:rsidRDefault="00000000">
            <w:pPr>
              <w:spacing w:before="20" w:after="20"/>
              <w:jc w:val="both"/>
            </w:pPr>
            <w:r>
              <w:rPr>
                <w:sz w:val="18"/>
                <w:szCs w:val="18"/>
              </w:rPr>
              <w:t>1.2 Expone en equipo el enfoque basado en riesgos y sus beneficios.</w:t>
            </w:r>
          </w:p>
        </w:tc>
        <w:tc>
          <w:tcPr>
            <w:tcW w:w="3137" w:type="dxa"/>
            <w:gridSpan w:val="4"/>
            <w:shd w:val="clear" w:color="auto" w:fill="D9E2F3"/>
            <w:vAlign w:val="center"/>
          </w:tcPr>
          <w:p w14:paraId="73C77DCF" w14:textId="77777777" w:rsidR="00990B14" w:rsidRDefault="00000000">
            <w:pPr>
              <w:spacing w:before="20" w:after="20"/>
              <w:jc w:val="both"/>
            </w:pPr>
            <w:r>
              <w:rPr>
                <w:b/>
                <w:bCs/>
                <w:sz w:val="18"/>
                <w:szCs w:val="18"/>
              </w:rPr>
              <w:t xml:space="preserve">Producto 10: </w:t>
            </w:r>
            <w:r>
              <w:rPr>
                <w:sz w:val="18"/>
                <w:szCs w:val="18"/>
              </w:rPr>
              <w:t>Esquema del proceso de auditoría basado en riesgos.</w:t>
            </w:r>
          </w:p>
        </w:tc>
      </w:tr>
      <w:tr w:rsidR="00990B14" w14:paraId="279355A6" w14:textId="77777777">
        <w:trPr>
          <w:cantSplit/>
          <w:jc w:val="center"/>
        </w:trPr>
        <w:tc>
          <w:tcPr>
            <w:tcW w:w="3133" w:type="dxa"/>
            <w:gridSpan w:val="4"/>
            <w:vMerge w:val="restart"/>
            <w:shd w:val="clear" w:color="auto" w:fill="D9E2F3"/>
            <w:vAlign w:val="center"/>
          </w:tcPr>
          <w:p w14:paraId="7221956D" w14:textId="77777777" w:rsidR="00990B14" w:rsidRDefault="00000000">
            <w:pPr>
              <w:spacing w:before="20" w:after="20"/>
              <w:jc w:val="both"/>
            </w:pPr>
            <w:r>
              <w:rPr>
                <w:sz w:val="18"/>
                <w:szCs w:val="18"/>
              </w:rPr>
              <w:t>2. Determina la opinión profesional a partir de la evaluación de la evidencia obtenida y establece el contenido del informe de auditoría</w:t>
            </w:r>
          </w:p>
        </w:tc>
        <w:tc>
          <w:tcPr>
            <w:tcW w:w="3135" w:type="dxa"/>
            <w:gridSpan w:val="5"/>
            <w:shd w:val="clear" w:color="auto" w:fill="D9E2F3"/>
            <w:vAlign w:val="center"/>
          </w:tcPr>
          <w:p w14:paraId="0D6E5C34" w14:textId="77777777" w:rsidR="00990B14" w:rsidRDefault="00000000">
            <w:pPr>
              <w:spacing w:before="20" w:after="20"/>
              <w:jc w:val="both"/>
            </w:pPr>
            <w:r>
              <w:rPr>
                <w:sz w:val="18"/>
                <w:szCs w:val="18"/>
              </w:rPr>
              <w:t>2.1 Asocia en aula las aseveraciones con los riesgos de un rubro de los estados financieros.</w:t>
            </w:r>
          </w:p>
        </w:tc>
        <w:tc>
          <w:tcPr>
            <w:tcW w:w="3137" w:type="dxa"/>
            <w:gridSpan w:val="4"/>
            <w:shd w:val="clear" w:color="auto" w:fill="D9E2F3"/>
            <w:vAlign w:val="center"/>
          </w:tcPr>
          <w:p w14:paraId="5DD3F60E" w14:textId="77777777" w:rsidR="00990B14" w:rsidRDefault="00000000">
            <w:pPr>
              <w:spacing w:before="20" w:after="20"/>
              <w:jc w:val="both"/>
            </w:pPr>
            <w:r>
              <w:rPr>
                <w:b/>
                <w:bCs/>
                <w:sz w:val="18"/>
                <w:szCs w:val="18"/>
              </w:rPr>
              <w:t xml:space="preserve">Producto 11: </w:t>
            </w:r>
            <w:r>
              <w:rPr>
                <w:sz w:val="18"/>
                <w:szCs w:val="18"/>
              </w:rPr>
              <w:t>Cuadro de aseveraciones y riesgos de un rubro de los estados financieros.</w:t>
            </w:r>
          </w:p>
        </w:tc>
      </w:tr>
      <w:tr w:rsidR="00990B14" w14:paraId="22DDBB6F" w14:textId="77777777">
        <w:trPr>
          <w:cantSplit/>
          <w:jc w:val="center"/>
        </w:trPr>
        <w:tc>
          <w:tcPr>
            <w:tcW w:w="3133" w:type="dxa"/>
            <w:gridSpan w:val="4"/>
            <w:vMerge/>
            <w:shd w:val="clear" w:color="auto" w:fill="D9E2F3"/>
            <w:vAlign w:val="center"/>
          </w:tcPr>
          <w:p w14:paraId="5A497D9F" w14:textId="77777777" w:rsidR="00990B14" w:rsidRDefault="00990B14">
            <w:pPr>
              <w:spacing w:before="20" w:after="20"/>
            </w:pPr>
          </w:p>
        </w:tc>
        <w:tc>
          <w:tcPr>
            <w:tcW w:w="3135" w:type="dxa"/>
            <w:gridSpan w:val="5"/>
            <w:shd w:val="clear" w:color="auto" w:fill="D9E2F3"/>
            <w:vAlign w:val="center"/>
          </w:tcPr>
          <w:p w14:paraId="50651F11" w14:textId="77777777" w:rsidR="00990B14" w:rsidRDefault="00000000">
            <w:pPr>
              <w:spacing w:before="20" w:after="20"/>
              <w:jc w:val="both"/>
            </w:pPr>
            <w:r>
              <w:rPr>
                <w:sz w:val="18"/>
                <w:szCs w:val="18"/>
              </w:rPr>
              <w:t>2.2 Compara en equipo el enfoque de auditoría de una entidad menos compleja con el de una entidad compleja.</w:t>
            </w:r>
          </w:p>
        </w:tc>
        <w:tc>
          <w:tcPr>
            <w:tcW w:w="3137" w:type="dxa"/>
            <w:gridSpan w:val="4"/>
            <w:shd w:val="clear" w:color="auto" w:fill="D9E2F3"/>
            <w:vAlign w:val="center"/>
          </w:tcPr>
          <w:p w14:paraId="5265B501" w14:textId="77777777" w:rsidR="00990B14" w:rsidRDefault="00000000">
            <w:pPr>
              <w:spacing w:before="20" w:after="20"/>
              <w:jc w:val="both"/>
            </w:pPr>
            <w:r>
              <w:rPr>
                <w:b/>
                <w:bCs/>
                <w:sz w:val="18"/>
                <w:szCs w:val="18"/>
              </w:rPr>
              <w:t xml:space="preserve">Producto 12: </w:t>
            </w:r>
            <w:r>
              <w:rPr>
                <w:sz w:val="18"/>
                <w:szCs w:val="18"/>
              </w:rPr>
              <w:t>Cuadro comparativo del enfoque de auditoría para entidades menos complejas.</w:t>
            </w:r>
          </w:p>
        </w:tc>
      </w:tr>
      <w:tr w:rsidR="00990B14" w14:paraId="6C32C91E" w14:textId="77777777">
        <w:trPr>
          <w:cantSplit/>
          <w:jc w:val="center"/>
        </w:trPr>
        <w:tc>
          <w:tcPr>
            <w:tcW w:w="9405" w:type="dxa"/>
            <w:gridSpan w:val="13"/>
            <w:shd w:val="clear" w:color="auto" w:fill="4472C4"/>
            <w:vAlign w:val="center"/>
          </w:tcPr>
          <w:p w14:paraId="2F6C6386" w14:textId="77777777" w:rsidR="00990B14" w:rsidRDefault="00000000">
            <w:pPr>
              <w:keepNext/>
              <w:spacing w:before="20" w:after="20"/>
              <w:jc w:val="center"/>
            </w:pPr>
            <w:r>
              <w:rPr>
                <w:b/>
                <w:bCs/>
                <w:i/>
                <w:iCs/>
                <w:color w:val="FFFFFF"/>
                <w:sz w:val="18"/>
                <w:szCs w:val="18"/>
              </w:rPr>
              <w:t>Evidencias de conocimiento</w:t>
            </w:r>
          </w:p>
        </w:tc>
      </w:tr>
      <w:tr w:rsidR="00990B14" w14:paraId="709EA98E" w14:textId="77777777">
        <w:trPr>
          <w:cantSplit/>
          <w:jc w:val="center"/>
        </w:trPr>
        <w:tc>
          <w:tcPr>
            <w:tcW w:w="2349" w:type="dxa"/>
            <w:gridSpan w:val="2"/>
            <w:shd w:val="clear" w:color="auto" w:fill="4472C4"/>
            <w:vAlign w:val="center"/>
          </w:tcPr>
          <w:p w14:paraId="735A8200"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723A2ECF" w14:textId="77777777" w:rsidR="00990B14" w:rsidRDefault="00000000">
            <w:pPr>
              <w:keepNext/>
              <w:spacing w:before="20" w:after="20"/>
              <w:jc w:val="both"/>
            </w:pPr>
            <w:r>
              <w:rPr>
                <w:b/>
                <w:bCs/>
                <w:i/>
                <w:iCs/>
                <w:color w:val="FFFFFF"/>
                <w:sz w:val="18"/>
                <w:szCs w:val="18"/>
              </w:rPr>
              <w:t>Contenidos</w:t>
            </w:r>
          </w:p>
          <w:p w14:paraId="3D22C24C"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7984A443" w14:textId="77777777" w:rsidR="00990B14" w:rsidRDefault="00000000">
            <w:pPr>
              <w:keepNext/>
              <w:spacing w:before="20" w:after="20"/>
              <w:jc w:val="center"/>
            </w:pPr>
            <w:r>
              <w:rPr>
                <w:b/>
                <w:bCs/>
                <w:i/>
                <w:iCs/>
                <w:color w:val="FFFFFF"/>
                <w:sz w:val="18"/>
                <w:szCs w:val="18"/>
              </w:rPr>
              <w:t>Conocimientos circunstanciales</w:t>
            </w:r>
          </w:p>
        </w:tc>
      </w:tr>
      <w:tr w:rsidR="00990B14" w14:paraId="02074801" w14:textId="77777777">
        <w:trPr>
          <w:jc w:val="center"/>
        </w:trPr>
        <w:tc>
          <w:tcPr>
            <w:tcW w:w="2349" w:type="dxa"/>
            <w:gridSpan w:val="2"/>
            <w:shd w:val="clear" w:color="auto" w:fill="D9E2F3"/>
          </w:tcPr>
          <w:p w14:paraId="11DB994F" w14:textId="77777777" w:rsidR="00990B14" w:rsidRDefault="00000000">
            <w:pPr>
              <w:spacing w:before="20" w:after="40"/>
              <w:jc w:val="both"/>
            </w:pPr>
            <w:r>
              <w:rPr>
                <w:sz w:val="18"/>
                <w:szCs w:val="18"/>
              </w:rPr>
              <w:t>Tema 6: Proceso de auditoría basado en riesgos</w:t>
            </w:r>
          </w:p>
          <w:p w14:paraId="309534C1" w14:textId="77777777" w:rsidR="00990B14" w:rsidRDefault="00000000">
            <w:pPr>
              <w:spacing w:before="20" w:after="40"/>
              <w:jc w:val="both"/>
            </w:pPr>
            <w:r>
              <w:rPr>
                <w:sz w:val="18"/>
                <w:szCs w:val="18"/>
              </w:rPr>
              <w:t>Tema 7: Actividades de la auditoría de estados financieros basada en el modelo de riesgos</w:t>
            </w:r>
          </w:p>
        </w:tc>
        <w:tc>
          <w:tcPr>
            <w:tcW w:w="4304" w:type="dxa"/>
            <w:gridSpan w:val="8"/>
            <w:shd w:val="clear" w:color="auto" w:fill="D9E2F3"/>
          </w:tcPr>
          <w:p w14:paraId="6715ADC6" w14:textId="77777777" w:rsidR="00990B14" w:rsidRDefault="00000000">
            <w:pPr>
              <w:spacing w:after="40"/>
              <w:jc w:val="both"/>
            </w:pPr>
            <w:r>
              <w:rPr>
                <w:sz w:val="18"/>
                <w:szCs w:val="18"/>
              </w:rPr>
              <w:t>Descripción general del proceso de auditoría basado en riesgos. (C)</w:t>
            </w:r>
          </w:p>
          <w:p w14:paraId="45B860B8" w14:textId="77777777" w:rsidR="00990B14" w:rsidRDefault="00000000">
            <w:pPr>
              <w:spacing w:after="40"/>
              <w:jc w:val="both"/>
            </w:pPr>
            <w:r>
              <w:rPr>
                <w:sz w:val="18"/>
                <w:szCs w:val="18"/>
              </w:rPr>
              <w:t>Seguridad razonable. (C)</w:t>
            </w:r>
          </w:p>
          <w:p w14:paraId="4D6339E0" w14:textId="77777777" w:rsidR="00990B14" w:rsidRDefault="00000000">
            <w:pPr>
              <w:spacing w:after="40"/>
              <w:jc w:val="both"/>
            </w:pPr>
            <w:r>
              <w:rPr>
                <w:sz w:val="18"/>
                <w:szCs w:val="18"/>
              </w:rPr>
              <w:t>Riesgo de auditoría. (C)</w:t>
            </w:r>
          </w:p>
          <w:p w14:paraId="72B027B4" w14:textId="77777777" w:rsidR="00990B14" w:rsidRDefault="00000000">
            <w:pPr>
              <w:spacing w:after="40"/>
              <w:jc w:val="both"/>
            </w:pPr>
            <w:r>
              <w:rPr>
                <w:sz w:val="18"/>
                <w:szCs w:val="18"/>
              </w:rPr>
              <w:t>Componentes del riesgo de auditoría. (C)</w:t>
            </w:r>
          </w:p>
          <w:p w14:paraId="6AF022B8" w14:textId="77777777" w:rsidR="00990B14" w:rsidRDefault="00000000">
            <w:pPr>
              <w:spacing w:after="40"/>
              <w:jc w:val="both"/>
            </w:pPr>
            <w:r>
              <w:rPr>
                <w:sz w:val="18"/>
                <w:szCs w:val="18"/>
              </w:rPr>
              <w:t>Interrelación entre los componentes del riesgo de auditoría. (C)</w:t>
            </w:r>
          </w:p>
          <w:p w14:paraId="1970D047" w14:textId="77777777" w:rsidR="00990B14" w:rsidRDefault="00000000">
            <w:pPr>
              <w:spacing w:after="40"/>
              <w:jc w:val="both"/>
            </w:pPr>
            <w:r>
              <w:rPr>
                <w:sz w:val="18"/>
                <w:szCs w:val="18"/>
              </w:rPr>
              <w:t>Aseveraciones. (C)</w:t>
            </w:r>
          </w:p>
          <w:p w14:paraId="17F2E8C5" w14:textId="77777777" w:rsidR="00990B14" w:rsidRDefault="00000000">
            <w:pPr>
              <w:spacing w:after="40"/>
              <w:jc w:val="both"/>
            </w:pPr>
            <w:r>
              <w:rPr>
                <w:sz w:val="18"/>
                <w:szCs w:val="18"/>
              </w:rPr>
              <w:t>El enfoque basado en riesgos. (C)</w:t>
            </w:r>
          </w:p>
          <w:p w14:paraId="5CD89126" w14:textId="77777777" w:rsidR="00990B14" w:rsidRDefault="00000000">
            <w:pPr>
              <w:spacing w:after="40"/>
              <w:jc w:val="both"/>
            </w:pPr>
            <w:r>
              <w:rPr>
                <w:sz w:val="18"/>
                <w:szCs w:val="18"/>
              </w:rPr>
              <w:t>Valoración de riesgos. (P)</w:t>
            </w:r>
          </w:p>
          <w:p w14:paraId="7B4558DC" w14:textId="77777777" w:rsidR="00990B14" w:rsidRDefault="00000000">
            <w:pPr>
              <w:spacing w:after="40"/>
              <w:jc w:val="both"/>
            </w:pPr>
            <w:r>
              <w:rPr>
                <w:sz w:val="18"/>
                <w:szCs w:val="18"/>
              </w:rPr>
              <w:t>Respuesta al riesgo. (C)</w:t>
            </w:r>
          </w:p>
          <w:p w14:paraId="2E6EEC01" w14:textId="77777777" w:rsidR="00990B14" w:rsidRDefault="00000000">
            <w:pPr>
              <w:spacing w:after="40"/>
              <w:jc w:val="both"/>
            </w:pPr>
            <w:r>
              <w:rPr>
                <w:sz w:val="18"/>
                <w:szCs w:val="18"/>
              </w:rPr>
              <w:t>Presentación del informe. (P)</w:t>
            </w:r>
          </w:p>
          <w:p w14:paraId="7060B468" w14:textId="77777777" w:rsidR="00990B14" w:rsidRDefault="00000000">
            <w:pPr>
              <w:spacing w:after="40"/>
              <w:jc w:val="both"/>
            </w:pPr>
            <w:r>
              <w:rPr>
                <w:sz w:val="18"/>
                <w:szCs w:val="18"/>
              </w:rPr>
              <w:t>Documentación. (P)</w:t>
            </w:r>
          </w:p>
          <w:p w14:paraId="48F5F603" w14:textId="77777777" w:rsidR="00990B14" w:rsidRDefault="00000000">
            <w:pPr>
              <w:spacing w:after="40"/>
              <w:jc w:val="both"/>
            </w:pPr>
            <w:r>
              <w:rPr>
                <w:sz w:val="18"/>
                <w:szCs w:val="18"/>
              </w:rPr>
              <w:t>Beneficios de la auditoría basada en riesgos. (C)</w:t>
            </w:r>
          </w:p>
          <w:p w14:paraId="1EEBB13A" w14:textId="77777777" w:rsidR="00990B14" w:rsidRDefault="00000000">
            <w:pPr>
              <w:spacing w:after="40"/>
              <w:jc w:val="both"/>
            </w:pPr>
            <w:r>
              <w:rPr>
                <w:sz w:val="18"/>
                <w:szCs w:val="18"/>
              </w:rPr>
              <w:t>Consideraciones para la auditoría de entidades menos complejas. (C)</w:t>
            </w:r>
          </w:p>
          <w:p w14:paraId="52FAB345" w14:textId="77777777" w:rsidR="00990B14" w:rsidRDefault="00000000">
            <w:pPr>
              <w:spacing w:after="40"/>
              <w:jc w:val="both"/>
            </w:pPr>
            <w:r>
              <w:rPr>
                <w:sz w:val="18"/>
                <w:szCs w:val="18"/>
              </w:rPr>
              <w:t>Alcance y limitaciones de uso de la norma para auditorías de entidades menos complejas, y criterios para decidir su aplicación. (C, P)</w:t>
            </w:r>
          </w:p>
        </w:tc>
        <w:tc>
          <w:tcPr>
            <w:tcW w:w="2752" w:type="dxa"/>
            <w:gridSpan w:val="3"/>
            <w:shd w:val="clear" w:color="auto" w:fill="D9E2F3"/>
          </w:tcPr>
          <w:p w14:paraId="76BC368E" w14:textId="77777777" w:rsidR="00990B14" w:rsidRDefault="00000000">
            <w:pPr>
              <w:numPr>
                <w:ilvl w:val="0"/>
                <w:numId w:val="139"/>
              </w:numPr>
              <w:spacing w:before="10" w:after="10"/>
              <w:jc w:val="both"/>
            </w:pPr>
            <w:r>
              <w:rPr>
                <w:sz w:val="18"/>
                <w:szCs w:val="18"/>
              </w:rPr>
              <w:t>Guía del IAASB para el uso de las Normas Internacionales de Auditoría en auditorías de pequeñas y medianas empresas.</w:t>
            </w:r>
          </w:p>
          <w:p w14:paraId="2D85D348" w14:textId="77777777" w:rsidR="00990B14" w:rsidRDefault="00000000">
            <w:pPr>
              <w:numPr>
                <w:ilvl w:val="0"/>
                <w:numId w:val="139"/>
              </w:numPr>
              <w:spacing w:before="10" w:after="10"/>
              <w:jc w:val="both"/>
            </w:pPr>
            <w:r>
              <w:rPr>
                <w:sz w:val="18"/>
                <w:szCs w:val="18"/>
              </w:rPr>
              <w:t>Predominio de entidades menos complejas en el universo de empresas auditadas en Bolivia.</w:t>
            </w:r>
          </w:p>
        </w:tc>
      </w:tr>
      <w:tr w:rsidR="00990B14" w14:paraId="042D2678" w14:textId="77777777">
        <w:trPr>
          <w:cantSplit/>
          <w:jc w:val="center"/>
        </w:trPr>
        <w:tc>
          <w:tcPr>
            <w:tcW w:w="9405" w:type="dxa"/>
            <w:gridSpan w:val="13"/>
            <w:shd w:val="clear" w:color="auto" w:fill="D9E2F3"/>
            <w:vAlign w:val="center"/>
          </w:tcPr>
          <w:p w14:paraId="6C61EF7B" w14:textId="77777777" w:rsidR="00990B14" w:rsidRDefault="00000000">
            <w:pPr>
              <w:spacing w:before="20" w:after="20"/>
              <w:jc w:val="both"/>
            </w:pPr>
            <w:r>
              <w:rPr>
                <w:b/>
                <w:bCs/>
                <w:i/>
                <w:iCs/>
                <w:sz w:val="18"/>
                <w:szCs w:val="18"/>
              </w:rPr>
              <w:t xml:space="preserve">Elemento de competencia 4: </w:t>
            </w:r>
            <w:r>
              <w:rPr>
                <w:sz w:val="18"/>
                <w:szCs w:val="18"/>
              </w:rPr>
              <w:t>Valora los riesgos de incorrección material de una entidad, aceptando el encargo, desarrollando la estrategia general, evaluando el control interno, determinando la materialidad y definiendo el enfoque de auditoría planificado. Planifica la auditoría con base en los riesgos de incorrección material de la entidad, considerando la aceptación del encargo, la comprensión del control interno, la materialidad y la definición de la estrategia y enfoque del encargo.</w:t>
            </w:r>
          </w:p>
        </w:tc>
      </w:tr>
      <w:tr w:rsidR="00990B14" w14:paraId="2F39B34C" w14:textId="77777777">
        <w:trPr>
          <w:cantSplit/>
          <w:jc w:val="center"/>
        </w:trPr>
        <w:tc>
          <w:tcPr>
            <w:tcW w:w="3133" w:type="dxa"/>
            <w:gridSpan w:val="4"/>
            <w:shd w:val="clear" w:color="auto" w:fill="4472C4"/>
            <w:vAlign w:val="center"/>
          </w:tcPr>
          <w:p w14:paraId="53297979"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7925F36A"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3FF82F41" w14:textId="77777777" w:rsidR="00990B14" w:rsidRDefault="00000000">
            <w:pPr>
              <w:keepNext/>
              <w:spacing w:before="20" w:after="20"/>
              <w:jc w:val="center"/>
            </w:pPr>
            <w:r>
              <w:rPr>
                <w:b/>
                <w:bCs/>
                <w:i/>
                <w:iCs/>
                <w:color w:val="FFFFFF"/>
                <w:sz w:val="18"/>
                <w:szCs w:val="18"/>
              </w:rPr>
              <w:t>Evidencias de producto</w:t>
            </w:r>
          </w:p>
        </w:tc>
      </w:tr>
      <w:tr w:rsidR="00990B14" w14:paraId="58A068F1" w14:textId="77777777">
        <w:trPr>
          <w:cantSplit/>
          <w:jc w:val="center"/>
        </w:trPr>
        <w:tc>
          <w:tcPr>
            <w:tcW w:w="3133" w:type="dxa"/>
            <w:gridSpan w:val="4"/>
            <w:vMerge w:val="restart"/>
            <w:shd w:val="clear" w:color="auto" w:fill="D9E2F3"/>
            <w:vAlign w:val="center"/>
          </w:tcPr>
          <w:p w14:paraId="53A0268D" w14:textId="77777777" w:rsidR="00990B14" w:rsidRDefault="00000000">
            <w:pPr>
              <w:spacing w:before="20" w:after="20"/>
              <w:jc w:val="both"/>
            </w:pPr>
            <w:r>
              <w:rPr>
                <w:sz w:val="18"/>
                <w:szCs w:val="18"/>
              </w:rPr>
              <w:t>1. Evalúa los términos de aceptación del encargo, el entendimiento de la entidad, los riesgos inherentes y significativos y la comprensión del control interno.</w:t>
            </w:r>
          </w:p>
        </w:tc>
        <w:tc>
          <w:tcPr>
            <w:tcW w:w="3135" w:type="dxa"/>
            <w:gridSpan w:val="5"/>
            <w:shd w:val="clear" w:color="auto" w:fill="D9E2F3"/>
            <w:vAlign w:val="center"/>
          </w:tcPr>
          <w:p w14:paraId="41F3D50D" w14:textId="77777777" w:rsidR="00990B14" w:rsidRDefault="00000000">
            <w:pPr>
              <w:spacing w:before="20" w:after="20"/>
              <w:jc w:val="both"/>
            </w:pPr>
            <w:r>
              <w:rPr>
                <w:sz w:val="18"/>
                <w:szCs w:val="18"/>
              </w:rPr>
              <w:t>1.1 Elabora en equipo los papeles de trabajo de aceptación del encargo y de entendimiento de la entidad.</w:t>
            </w:r>
          </w:p>
        </w:tc>
        <w:tc>
          <w:tcPr>
            <w:tcW w:w="3137" w:type="dxa"/>
            <w:gridSpan w:val="4"/>
            <w:shd w:val="clear" w:color="auto" w:fill="D9E2F3"/>
            <w:vAlign w:val="center"/>
          </w:tcPr>
          <w:p w14:paraId="424127CB" w14:textId="77777777" w:rsidR="00990B14" w:rsidRDefault="00000000">
            <w:pPr>
              <w:spacing w:before="20" w:after="20"/>
              <w:jc w:val="both"/>
            </w:pPr>
            <w:r>
              <w:rPr>
                <w:b/>
                <w:bCs/>
                <w:sz w:val="18"/>
                <w:szCs w:val="18"/>
              </w:rPr>
              <w:t xml:space="preserve">Producto 13: </w:t>
            </w:r>
            <w:r>
              <w:rPr>
                <w:sz w:val="18"/>
                <w:szCs w:val="18"/>
              </w:rPr>
              <w:t>Papeles de trabajo de aceptación del encargo, carta de compromiso y entendimiento de la entidad.</w:t>
            </w:r>
          </w:p>
        </w:tc>
      </w:tr>
      <w:tr w:rsidR="00990B14" w14:paraId="5246C385" w14:textId="77777777">
        <w:trPr>
          <w:cantSplit/>
          <w:jc w:val="center"/>
        </w:trPr>
        <w:tc>
          <w:tcPr>
            <w:tcW w:w="3133" w:type="dxa"/>
            <w:gridSpan w:val="4"/>
            <w:vMerge/>
            <w:shd w:val="clear" w:color="auto" w:fill="D9E2F3"/>
            <w:vAlign w:val="center"/>
          </w:tcPr>
          <w:p w14:paraId="1CE6C95C" w14:textId="77777777" w:rsidR="00990B14" w:rsidRDefault="00990B14">
            <w:pPr>
              <w:spacing w:before="20" w:after="20"/>
            </w:pPr>
          </w:p>
        </w:tc>
        <w:tc>
          <w:tcPr>
            <w:tcW w:w="3135" w:type="dxa"/>
            <w:gridSpan w:val="5"/>
            <w:shd w:val="clear" w:color="auto" w:fill="D9E2F3"/>
            <w:vAlign w:val="center"/>
          </w:tcPr>
          <w:p w14:paraId="5CC77FCC" w14:textId="77777777" w:rsidR="00990B14" w:rsidRDefault="00000000">
            <w:pPr>
              <w:spacing w:before="20" w:after="20"/>
              <w:jc w:val="both"/>
            </w:pPr>
            <w:r>
              <w:rPr>
                <w:sz w:val="18"/>
                <w:szCs w:val="18"/>
              </w:rPr>
              <w:t>1.2 Elabora en aula el flujograma de un proceso de la entidad e identifica sus riesgos y controles relevantes.</w:t>
            </w:r>
          </w:p>
        </w:tc>
        <w:tc>
          <w:tcPr>
            <w:tcW w:w="3137" w:type="dxa"/>
            <w:gridSpan w:val="4"/>
            <w:shd w:val="clear" w:color="auto" w:fill="D9E2F3"/>
            <w:vAlign w:val="center"/>
          </w:tcPr>
          <w:p w14:paraId="6C7EA9D8" w14:textId="77777777" w:rsidR="00990B14" w:rsidRDefault="00000000">
            <w:pPr>
              <w:spacing w:before="20" w:after="20"/>
              <w:jc w:val="both"/>
            </w:pPr>
            <w:r>
              <w:rPr>
                <w:b/>
                <w:bCs/>
                <w:sz w:val="18"/>
                <w:szCs w:val="18"/>
              </w:rPr>
              <w:t xml:space="preserve">Producto 14: </w:t>
            </w:r>
            <w:r>
              <w:rPr>
                <w:sz w:val="18"/>
                <w:szCs w:val="18"/>
              </w:rPr>
              <w:t>Flujograma y matriz de riesgos y controles con la evaluación de su diseño e implementación.</w:t>
            </w:r>
          </w:p>
        </w:tc>
      </w:tr>
      <w:tr w:rsidR="00990B14" w14:paraId="265EE396" w14:textId="77777777">
        <w:trPr>
          <w:cantSplit/>
          <w:jc w:val="center"/>
        </w:trPr>
        <w:tc>
          <w:tcPr>
            <w:tcW w:w="3133" w:type="dxa"/>
            <w:gridSpan w:val="4"/>
            <w:vMerge w:val="restart"/>
            <w:shd w:val="clear" w:color="auto" w:fill="D9E2F3"/>
            <w:vAlign w:val="center"/>
          </w:tcPr>
          <w:p w14:paraId="7FC7AF7C" w14:textId="77777777" w:rsidR="00990B14" w:rsidRDefault="00000000">
            <w:pPr>
              <w:spacing w:before="20" w:after="20"/>
              <w:jc w:val="both"/>
            </w:pPr>
            <w:r>
              <w:rPr>
                <w:sz w:val="18"/>
                <w:szCs w:val="18"/>
              </w:rPr>
              <w:t>2. Determina la materialidad y el enfoque de auditoría planificado a partir de la valoración de los riesgos de incorrección material.</w:t>
            </w:r>
          </w:p>
        </w:tc>
        <w:tc>
          <w:tcPr>
            <w:tcW w:w="3135" w:type="dxa"/>
            <w:gridSpan w:val="5"/>
            <w:shd w:val="clear" w:color="auto" w:fill="D9E2F3"/>
            <w:vAlign w:val="center"/>
          </w:tcPr>
          <w:p w14:paraId="2AA43703" w14:textId="77777777" w:rsidR="00990B14" w:rsidRDefault="00000000">
            <w:pPr>
              <w:spacing w:before="20" w:after="20"/>
              <w:jc w:val="both"/>
            </w:pPr>
            <w:r>
              <w:rPr>
                <w:sz w:val="18"/>
                <w:szCs w:val="18"/>
              </w:rPr>
              <w:t>2.1 Calcula la materialidad, relaciona los riesgos identificados con las partidas significativas, las aseveraciones y los componentes del riesgo de auditoría</w:t>
            </w:r>
          </w:p>
        </w:tc>
        <w:tc>
          <w:tcPr>
            <w:tcW w:w="3137" w:type="dxa"/>
            <w:gridSpan w:val="4"/>
            <w:shd w:val="clear" w:color="auto" w:fill="D9E2F3"/>
            <w:vAlign w:val="center"/>
          </w:tcPr>
          <w:p w14:paraId="78DF3771" w14:textId="77777777" w:rsidR="00990B14" w:rsidRDefault="00000000">
            <w:pPr>
              <w:spacing w:before="20" w:after="20"/>
              <w:jc w:val="both"/>
            </w:pPr>
            <w:r>
              <w:rPr>
                <w:b/>
                <w:bCs/>
                <w:sz w:val="18"/>
                <w:szCs w:val="18"/>
              </w:rPr>
              <w:t xml:space="preserve">Producto 15: </w:t>
            </w:r>
            <w:r>
              <w:rPr>
                <w:sz w:val="18"/>
                <w:szCs w:val="18"/>
              </w:rPr>
              <w:t>Papeles de trabajo del cálculo de materialidad y matriz de valoración del riesgo de auditoría</w:t>
            </w:r>
          </w:p>
        </w:tc>
      </w:tr>
      <w:tr w:rsidR="00990B14" w14:paraId="5D5F7554" w14:textId="77777777">
        <w:trPr>
          <w:cantSplit/>
          <w:jc w:val="center"/>
        </w:trPr>
        <w:tc>
          <w:tcPr>
            <w:tcW w:w="3133" w:type="dxa"/>
            <w:gridSpan w:val="4"/>
            <w:vMerge/>
            <w:shd w:val="clear" w:color="auto" w:fill="D9E2F3"/>
            <w:vAlign w:val="center"/>
          </w:tcPr>
          <w:p w14:paraId="214DBCF2" w14:textId="77777777" w:rsidR="00990B14" w:rsidRDefault="00990B14">
            <w:pPr>
              <w:spacing w:before="20" w:after="20"/>
            </w:pPr>
          </w:p>
        </w:tc>
        <w:tc>
          <w:tcPr>
            <w:tcW w:w="3135" w:type="dxa"/>
            <w:gridSpan w:val="5"/>
            <w:shd w:val="clear" w:color="auto" w:fill="D9E2F3"/>
            <w:vAlign w:val="center"/>
          </w:tcPr>
          <w:p w14:paraId="3E566662" w14:textId="77777777" w:rsidR="00990B14" w:rsidRDefault="00000000">
            <w:pPr>
              <w:spacing w:before="20" w:after="20"/>
              <w:jc w:val="both"/>
            </w:pPr>
            <w:r>
              <w:rPr>
                <w:sz w:val="18"/>
                <w:szCs w:val="18"/>
              </w:rPr>
              <w:t>2.2 Diseña la estrategia global y el plan de auditoría, definiendo el enfoque de la auditoría.</w:t>
            </w:r>
          </w:p>
        </w:tc>
        <w:tc>
          <w:tcPr>
            <w:tcW w:w="3137" w:type="dxa"/>
            <w:gridSpan w:val="4"/>
            <w:shd w:val="clear" w:color="auto" w:fill="D9E2F3"/>
            <w:vAlign w:val="center"/>
          </w:tcPr>
          <w:p w14:paraId="13A2889C" w14:textId="77777777" w:rsidR="00990B14" w:rsidRDefault="00000000">
            <w:pPr>
              <w:spacing w:before="20" w:after="20"/>
              <w:jc w:val="both"/>
            </w:pPr>
            <w:r>
              <w:rPr>
                <w:b/>
                <w:bCs/>
                <w:sz w:val="18"/>
                <w:szCs w:val="18"/>
              </w:rPr>
              <w:t xml:space="preserve">Producto 16: </w:t>
            </w:r>
            <w:r>
              <w:rPr>
                <w:sz w:val="18"/>
                <w:szCs w:val="18"/>
              </w:rPr>
              <w:t>Establece los enfoques de auditoría y la estrategia a seguir en la siguiente etapa de auditoría.</w:t>
            </w:r>
          </w:p>
        </w:tc>
      </w:tr>
      <w:tr w:rsidR="00990B14" w14:paraId="4FC770A9" w14:textId="77777777">
        <w:trPr>
          <w:cantSplit/>
          <w:jc w:val="center"/>
        </w:trPr>
        <w:tc>
          <w:tcPr>
            <w:tcW w:w="9405" w:type="dxa"/>
            <w:gridSpan w:val="13"/>
            <w:shd w:val="clear" w:color="auto" w:fill="4472C4"/>
            <w:vAlign w:val="center"/>
          </w:tcPr>
          <w:p w14:paraId="3224FB3F" w14:textId="77777777" w:rsidR="00990B14" w:rsidRDefault="00000000">
            <w:pPr>
              <w:keepNext/>
              <w:spacing w:before="20" w:after="20"/>
              <w:jc w:val="center"/>
            </w:pPr>
            <w:r>
              <w:rPr>
                <w:b/>
                <w:bCs/>
                <w:i/>
                <w:iCs/>
                <w:color w:val="FFFFFF"/>
                <w:sz w:val="18"/>
                <w:szCs w:val="18"/>
              </w:rPr>
              <w:t>Evidencias de conocimiento</w:t>
            </w:r>
          </w:p>
        </w:tc>
      </w:tr>
      <w:tr w:rsidR="00990B14" w14:paraId="74829E85" w14:textId="77777777">
        <w:trPr>
          <w:cantSplit/>
          <w:jc w:val="center"/>
        </w:trPr>
        <w:tc>
          <w:tcPr>
            <w:tcW w:w="2349" w:type="dxa"/>
            <w:gridSpan w:val="2"/>
            <w:shd w:val="clear" w:color="auto" w:fill="4472C4"/>
            <w:vAlign w:val="center"/>
          </w:tcPr>
          <w:p w14:paraId="3139D5E4"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12CF6525" w14:textId="77777777" w:rsidR="00990B14" w:rsidRDefault="00000000">
            <w:pPr>
              <w:keepNext/>
              <w:spacing w:before="20" w:after="20"/>
              <w:jc w:val="both"/>
            </w:pPr>
            <w:r>
              <w:rPr>
                <w:b/>
                <w:bCs/>
                <w:i/>
                <w:iCs/>
                <w:color w:val="FFFFFF"/>
                <w:sz w:val="18"/>
                <w:szCs w:val="18"/>
              </w:rPr>
              <w:t>Contenidos</w:t>
            </w:r>
          </w:p>
          <w:p w14:paraId="396803B3"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6662B9E6" w14:textId="77777777" w:rsidR="00990B14" w:rsidRDefault="00000000">
            <w:pPr>
              <w:keepNext/>
              <w:spacing w:before="20" w:after="20"/>
              <w:jc w:val="center"/>
            </w:pPr>
            <w:r>
              <w:rPr>
                <w:b/>
                <w:bCs/>
                <w:i/>
                <w:iCs/>
                <w:color w:val="FFFFFF"/>
                <w:sz w:val="18"/>
                <w:szCs w:val="18"/>
              </w:rPr>
              <w:t>Conocimientos circunstanciales</w:t>
            </w:r>
          </w:p>
        </w:tc>
      </w:tr>
      <w:tr w:rsidR="00990B14" w14:paraId="64B19203" w14:textId="77777777">
        <w:trPr>
          <w:jc w:val="center"/>
        </w:trPr>
        <w:tc>
          <w:tcPr>
            <w:tcW w:w="2349" w:type="dxa"/>
            <w:gridSpan w:val="2"/>
            <w:shd w:val="clear" w:color="auto" w:fill="D9E2F3"/>
          </w:tcPr>
          <w:p w14:paraId="520838B8" w14:textId="77777777" w:rsidR="00990B14" w:rsidRDefault="00000000">
            <w:pPr>
              <w:spacing w:before="20" w:after="40"/>
              <w:jc w:val="both"/>
            </w:pPr>
            <w:r>
              <w:rPr>
                <w:sz w:val="18"/>
                <w:szCs w:val="18"/>
              </w:rPr>
              <w:t>Tema 8: Evaluación del riesgo, descripción general</w:t>
            </w:r>
          </w:p>
          <w:p w14:paraId="2074D3F8" w14:textId="77777777" w:rsidR="00990B14" w:rsidRDefault="00000000">
            <w:pPr>
              <w:spacing w:before="20" w:after="40"/>
              <w:jc w:val="both"/>
            </w:pPr>
            <w:r>
              <w:rPr>
                <w:sz w:val="18"/>
                <w:szCs w:val="18"/>
              </w:rPr>
              <w:t>Tema 9: Actividades preliminares de aceptación y continuidad del encargo de auditoría</w:t>
            </w:r>
          </w:p>
          <w:p w14:paraId="3CF4A4DD" w14:textId="77777777" w:rsidR="00990B14" w:rsidRDefault="00000000">
            <w:pPr>
              <w:spacing w:before="20" w:after="40"/>
              <w:jc w:val="both"/>
            </w:pPr>
            <w:r>
              <w:rPr>
                <w:sz w:val="18"/>
                <w:szCs w:val="18"/>
              </w:rPr>
              <w:t>Tema 10: Estrategia general de la auditoría y uso de herramientas tecnológicas emergentes en la auditoría</w:t>
            </w:r>
          </w:p>
          <w:p w14:paraId="10658EFA" w14:textId="77777777" w:rsidR="00990B14" w:rsidRDefault="00000000">
            <w:pPr>
              <w:spacing w:before="20" w:after="40"/>
              <w:jc w:val="both"/>
            </w:pPr>
            <w:r>
              <w:rPr>
                <w:sz w:val="18"/>
                <w:szCs w:val="18"/>
              </w:rPr>
              <w:t>Tema 11: Entendimiento de la entidad</w:t>
            </w:r>
          </w:p>
          <w:p w14:paraId="232AB462" w14:textId="77777777" w:rsidR="00990B14" w:rsidRDefault="00000000">
            <w:pPr>
              <w:spacing w:before="20" w:after="40"/>
              <w:jc w:val="both"/>
            </w:pPr>
            <w:r>
              <w:rPr>
                <w:sz w:val="18"/>
                <w:szCs w:val="18"/>
              </w:rPr>
              <w:t>Tema 12: Procedimientos de evaluación del riesgo</w:t>
            </w:r>
          </w:p>
          <w:p w14:paraId="3856E9D8" w14:textId="77777777" w:rsidR="00990B14" w:rsidRDefault="00000000">
            <w:pPr>
              <w:spacing w:before="20" w:after="40"/>
              <w:jc w:val="both"/>
            </w:pPr>
            <w:r>
              <w:rPr>
                <w:sz w:val="18"/>
                <w:szCs w:val="18"/>
              </w:rPr>
              <w:t>Tema 13: Riesgos inherentes, identificación</w:t>
            </w:r>
          </w:p>
          <w:p w14:paraId="7955DFED" w14:textId="77777777" w:rsidR="00990B14" w:rsidRDefault="00000000">
            <w:pPr>
              <w:spacing w:before="20" w:after="40"/>
              <w:jc w:val="both"/>
            </w:pPr>
            <w:r>
              <w:rPr>
                <w:sz w:val="18"/>
                <w:szCs w:val="18"/>
              </w:rPr>
              <w:t>Tema 14: Riesgo a nivel de la entidad, de negocio</w:t>
            </w:r>
          </w:p>
          <w:p w14:paraId="6E7C8CD8" w14:textId="77777777" w:rsidR="00990B14" w:rsidRDefault="00000000">
            <w:pPr>
              <w:spacing w:before="20" w:after="40"/>
              <w:jc w:val="both"/>
            </w:pPr>
            <w:r>
              <w:rPr>
                <w:sz w:val="18"/>
                <w:szCs w:val="18"/>
              </w:rPr>
              <w:t>Tema 15: Riesgos inherentes, valoración</w:t>
            </w:r>
          </w:p>
          <w:p w14:paraId="3B341D26" w14:textId="77777777" w:rsidR="00990B14" w:rsidRDefault="00000000">
            <w:pPr>
              <w:spacing w:before="20" w:after="40"/>
              <w:jc w:val="both"/>
            </w:pPr>
            <w:r>
              <w:rPr>
                <w:sz w:val="18"/>
                <w:szCs w:val="18"/>
              </w:rPr>
              <w:t>Tema 16: Riesgos significativos</w:t>
            </w:r>
          </w:p>
          <w:p w14:paraId="594F1D2F" w14:textId="77777777" w:rsidR="00990B14" w:rsidRDefault="00000000">
            <w:pPr>
              <w:spacing w:before="20" w:after="40"/>
              <w:jc w:val="both"/>
            </w:pPr>
            <w:r>
              <w:rPr>
                <w:sz w:val="18"/>
                <w:szCs w:val="18"/>
              </w:rPr>
              <w:t>Tema 17: Control interno, propósito y componentes</w:t>
            </w:r>
          </w:p>
          <w:p w14:paraId="4B1F80DF" w14:textId="77777777" w:rsidR="00990B14" w:rsidRDefault="00000000">
            <w:pPr>
              <w:spacing w:before="20" w:after="40"/>
              <w:jc w:val="both"/>
            </w:pPr>
            <w:r>
              <w:rPr>
                <w:sz w:val="18"/>
                <w:szCs w:val="18"/>
              </w:rPr>
              <w:t>Tema 18: Comprensión y valoración del diseño e implementación del control interno</w:t>
            </w:r>
          </w:p>
          <w:p w14:paraId="129FBAF7" w14:textId="77777777" w:rsidR="00990B14" w:rsidRDefault="00000000">
            <w:pPr>
              <w:spacing w:before="20" w:after="40"/>
              <w:jc w:val="both"/>
            </w:pPr>
            <w:r>
              <w:rPr>
                <w:sz w:val="18"/>
                <w:szCs w:val="18"/>
              </w:rPr>
              <w:t>Tema 19: Aseveraciones de los estados financieros</w:t>
            </w:r>
          </w:p>
          <w:p w14:paraId="14D441F1" w14:textId="77777777" w:rsidR="00990B14" w:rsidRDefault="00000000">
            <w:pPr>
              <w:spacing w:before="20" w:after="40"/>
              <w:jc w:val="both"/>
            </w:pPr>
            <w:r>
              <w:rPr>
                <w:sz w:val="18"/>
                <w:szCs w:val="18"/>
              </w:rPr>
              <w:t>Tema 20: Procedimientos analíticos de planificación</w:t>
            </w:r>
          </w:p>
          <w:p w14:paraId="2DF27479" w14:textId="77777777" w:rsidR="00990B14" w:rsidRDefault="00000000">
            <w:pPr>
              <w:spacing w:before="20" w:after="40"/>
              <w:jc w:val="both"/>
            </w:pPr>
            <w:r>
              <w:rPr>
                <w:sz w:val="18"/>
                <w:szCs w:val="18"/>
              </w:rPr>
              <w:t>Tema 21: Materialidad y riesgo de auditoría</w:t>
            </w:r>
          </w:p>
          <w:p w14:paraId="496B0918" w14:textId="77777777" w:rsidR="00990B14" w:rsidRDefault="00000000">
            <w:pPr>
              <w:spacing w:before="20" w:after="40"/>
              <w:jc w:val="both"/>
            </w:pPr>
            <w:r>
              <w:rPr>
                <w:sz w:val="18"/>
                <w:szCs w:val="18"/>
              </w:rPr>
              <w:t>Tema 22: Valoración de los riesgos de incorrección material, discusiones del equipo de auditoría</w:t>
            </w:r>
          </w:p>
          <w:p w14:paraId="2A48ADF8" w14:textId="77777777" w:rsidR="00990B14" w:rsidRDefault="00000000">
            <w:pPr>
              <w:spacing w:before="20" w:after="40"/>
              <w:jc w:val="both"/>
            </w:pPr>
            <w:r>
              <w:rPr>
                <w:sz w:val="18"/>
                <w:szCs w:val="18"/>
              </w:rPr>
              <w:t>Tema 23: Conclusiones de la fase de evaluación del riesgo, valoración del riesgo de auditoría y enfoque de auditoría planificado</w:t>
            </w:r>
          </w:p>
        </w:tc>
        <w:tc>
          <w:tcPr>
            <w:tcW w:w="4304" w:type="dxa"/>
            <w:gridSpan w:val="8"/>
            <w:shd w:val="clear" w:color="auto" w:fill="D9E2F3"/>
          </w:tcPr>
          <w:p w14:paraId="4146CB2D" w14:textId="77777777" w:rsidR="00990B14" w:rsidRDefault="00000000">
            <w:pPr>
              <w:spacing w:after="40"/>
              <w:jc w:val="both"/>
            </w:pPr>
            <w:r>
              <w:rPr>
                <w:sz w:val="18"/>
                <w:szCs w:val="18"/>
              </w:rPr>
              <w:t>Generalidades de la fase de evaluación del riesgo. (C, P)</w:t>
            </w:r>
          </w:p>
          <w:p w14:paraId="53ED4D25" w14:textId="77777777" w:rsidR="00990B14" w:rsidRDefault="00000000">
            <w:pPr>
              <w:spacing w:after="40"/>
              <w:jc w:val="both"/>
            </w:pPr>
            <w:r>
              <w:rPr>
                <w:sz w:val="18"/>
                <w:szCs w:val="18"/>
              </w:rPr>
              <w:t>Actividades que comprende la fase de evaluación de riesgos. (P)</w:t>
            </w:r>
          </w:p>
          <w:p w14:paraId="51B56F70" w14:textId="77777777" w:rsidR="00990B14" w:rsidRDefault="00000000">
            <w:pPr>
              <w:spacing w:after="40"/>
              <w:jc w:val="both"/>
            </w:pPr>
            <w:r>
              <w:rPr>
                <w:sz w:val="18"/>
                <w:szCs w:val="18"/>
              </w:rPr>
              <w:t>Actividades preliminares en la auditoría. (C)</w:t>
            </w:r>
          </w:p>
          <w:p w14:paraId="38810437" w14:textId="77777777" w:rsidR="00990B14" w:rsidRDefault="00000000">
            <w:pPr>
              <w:spacing w:after="40"/>
              <w:jc w:val="both"/>
            </w:pPr>
            <w:r>
              <w:rPr>
                <w:sz w:val="18"/>
                <w:szCs w:val="18"/>
              </w:rPr>
              <w:t>Evaluación preliminar del riesgo del cliente. (P)</w:t>
            </w:r>
          </w:p>
          <w:p w14:paraId="488B745E" w14:textId="77777777" w:rsidR="00990B14" w:rsidRDefault="00000000">
            <w:pPr>
              <w:spacing w:after="40"/>
              <w:jc w:val="both"/>
            </w:pPr>
            <w:r>
              <w:rPr>
                <w:sz w:val="18"/>
                <w:szCs w:val="18"/>
              </w:rPr>
              <w:t>Evaluación del cumplimiento de los requerimientos éticos y de independencia. (C, P, A)</w:t>
            </w:r>
          </w:p>
          <w:p w14:paraId="28FC1171" w14:textId="77777777" w:rsidR="00990B14" w:rsidRDefault="00000000">
            <w:pPr>
              <w:spacing w:after="40"/>
              <w:jc w:val="both"/>
            </w:pPr>
            <w:r>
              <w:rPr>
                <w:sz w:val="18"/>
                <w:szCs w:val="18"/>
              </w:rPr>
              <w:t>Valoración de riesgos profesionales. (P)</w:t>
            </w:r>
          </w:p>
          <w:p w14:paraId="6935E6FA" w14:textId="77777777" w:rsidR="00990B14" w:rsidRDefault="00000000">
            <w:pPr>
              <w:spacing w:after="40"/>
              <w:jc w:val="both"/>
            </w:pPr>
            <w:r>
              <w:rPr>
                <w:sz w:val="18"/>
                <w:szCs w:val="18"/>
              </w:rPr>
              <w:t>La propuesta de auditoría. (C)</w:t>
            </w:r>
          </w:p>
          <w:p w14:paraId="53EAF73C" w14:textId="77777777" w:rsidR="00990B14" w:rsidRDefault="00000000">
            <w:pPr>
              <w:spacing w:after="40"/>
              <w:jc w:val="both"/>
            </w:pPr>
            <w:r>
              <w:rPr>
                <w:sz w:val="18"/>
                <w:szCs w:val="18"/>
              </w:rPr>
              <w:t>Aceptación y continuación del cliente y el encargo de auditoría. (C)</w:t>
            </w:r>
          </w:p>
          <w:p w14:paraId="781BA0A5" w14:textId="77777777" w:rsidR="00990B14" w:rsidRDefault="00000000">
            <w:pPr>
              <w:spacing w:after="40"/>
              <w:jc w:val="both"/>
            </w:pPr>
            <w:r>
              <w:rPr>
                <w:sz w:val="18"/>
                <w:szCs w:val="18"/>
              </w:rPr>
              <w:t>Documentación de la aceptación del encargo: evaluación del riesgo del cliente, integridad de la administración y capacidad de la firma. (P, A)</w:t>
            </w:r>
          </w:p>
          <w:p w14:paraId="56EED0B4" w14:textId="77777777" w:rsidR="00990B14" w:rsidRDefault="00000000">
            <w:pPr>
              <w:spacing w:after="40"/>
              <w:jc w:val="both"/>
            </w:pPr>
            <w:r>
              <w:rPr>
                <w:sz w:val="18"/>
                <w:szCs w:val="18"/>
              </w:rPr>
              <w:t>Planificación de la auditoría. (P)</w:t>
            </w:r>
          </w:p>
          <w:p w14:paraId="22C95F7C" w14:textId="77777777" w:rsidR="00990B14" w:rsidRDefault="00000000">
            <w:pPr>
              <w:spacing w:after="40"/>
              <w:jc w:val="both"/>
            </w:pPr>
            <w:r>
              <w:rPr>
                <w:sz w:val="18"/>
                <w:szCs w:val="18"/>
              </w:rPr>
              <w:t>Comprensión de la entidad y su entorno para la identificación de riesgos inherentes. (P)</w:t>
            </w:r>
          </w:p>
          <w:p w14:paraId="2260E693" w14:textId="77777777" w:rsidR="00990B14" w:rsidRDefault="00000000">
            <w:pPr>
              <w:spacing w:after="40"/>
              <w:jc w:val="both"/>
            </w:pPr>
            <w:r>
              <w:rPr>
                <w:sz w:val="18"/>
                <w:szCs w:val="18"/>
              </w:rPr>
              <w:t>Procedimientos de identificación y evaluación de riesgos inherentes. (P)</w:t>
            </w:r>
          </w:p>
          <w:p w14:paraId="7A7A56A9" w14:textId="77777777" w:rsidR="00990B14" w:rsidRDefault="00000000">
            <w:pPr>
              <w:spacing w:after="40"/>
              <w:jc w:val="both"/>
            </w:pPr>
            <w:r>
              <w:rPr>
                <w:sz w:val="18"/>
                <w:szCs w:val="18"/>
              </w:rPr>
              <w:t>Herramientas administrativas para la identificación de los riesgos a nivel de la entidad y el entorno en el cual opera. (C)</w:t>
            </w:r>
          </w:p>
          <w:p w14:paraId="425B999D" w14:textId="77777777" w:rsidR="00990B14" w:rsidRDefault="00000000">
            <w:pPr>
              <w:spacing w:after="40"/>
              <w:jc w:val="both"/>
            </w:pPr>
            <w:r>
              <w:rPr>
                <w:sz w:val="18"/>
                <w:szCs w:val="18"/>
              </w:rPr>
              <w:t>Riesgos de negocios y riesgos de fraude. (C)</w:t>
            </w:r>
          </w:p>
          <w:p w14:paraId="4F20FE91" w14:textId="77777777" w:rsidR="00990B14" w:rsidRDefault="00000000">
            <w:pPr>
              <w:spacing w:after="40"/>
              <w:jc w:val="both"/>
            </w:pPr>
            <w:r>
              <w:rPr>
                <w:sz w:val="18"/>
                <w:szCs w:val="18"/>
              </w:rPr>
              <w:t>El triángulo del fraude. (C)</w:t>
            </w:r>
          </w:p>
          <w:p w14:paraId="3FD2D50C" w14:textId="77777777" w:rsidR="00990B14" w:rsidRDefault="00000000">
            <w:pPr>
              <w:spacing w:after="40"/>
              <w:jc w:val="both"/>
            </w:pPr>
            <w:r>
              <w:rPr>
                <w:sz w:val="18"/>
                <w:szCs w:val="18"/>
              </w:rPr>
              <w:t>Documentación del riesgo a nivel de la entidad. (P)</w:t>
            </w:r>
          </w:p>
          <w:p w14:paraId="1643F512" w14:textId="77777777" w:rsidR="00990B14" w:rsidRDefault="00000000">
            <w:pPr>
              <w:spacing w:after="40"/>
              <w:jc w:val="both"/>
            </w:pPr>
            <w:r>
              <w:rPr>
                <w:sz w:val="18"/>
                <w:szCs w:val="18"/>
              </w:rPr>
              <w:t>Generalidades de la valoración de los riesgos inherentes. (C, P)</w:t>
            </w:r>
          </w:p>
          <w:p w14:paraId="481D607F" w14:textId="77777777" w:rsidR="00990B14" w:rsidRDefault="00000000">
            <w:pPr>
              <w:spacing w:after="40"/>
              <w:jc w:val="both"/>
            </w:pPr>
            <w:r>
              <w:rPr>
                <w:sz w:val="18"/>
                <w:szCs w:val="18"/>
              </w:rPr>
              <w:t>Probabilidad de ocurrencia del riesgo e impacto de la ocurrencia del riesgo. (C)</w:t>
            </w:r>
          </w:p>
          <w:p w14:paraId="2A0BC161" w14:textId="77777777" w:rsidR="00990B14" w:rsidRDefault="00000000">
            <w:pPr>
              <w:spacing w:after="40"/>
              <w:jc w:val="both"/>
            </w:pPr>
            <w:r>
              <w:rPr>
                <w:sz w:val="18"/>
                <w:szCs w:val="18"/>
              </w:rPr>
              <w:t>Determinación de los riesgos significativos a una auditoría de estados financieros. (P)</w:t>
            </w:r>
          </w:p>
          <w:p w14:paraId="20066687" w14:textId="77777777" w:rsidR="00990B14" w:rsidRDefault="00000000">
            <w:pPr>
              <w:spacing w:after="40"/>
              <w:jc w:val="both"/>
            </w:pPr>
            <w:r>
              <w:rPr>
                <w:sz w:val="18"/>
                <w:szCs w:val="18"/>
              </w:rPr>
              <w:t>Comprensión del control interno y el riesgo de control interno. (P)</w:t>
            </w:r>
          </w:p>
          <w:p w14:paraId="30981D0A" w14:textId="77777777" w:rsidR="00990B14" w:rsidRDefault="00000000">
            <w:pPr>
              <w:spacing w:after="40"/>
              <w:jc w:val="both"/>
            </w:pPr>
            <w:r>
              <w:rPr>
                <w:sz w:val="18"/>
                <w:szCs w:val="18"/>
              </w:rPr>
              <w:t>Indagaciones a la administración y a otros. (C)</w:t>
            </w:r>
          </w:p>
          <w:p w14:paraId="569ED3DC" w14:textId="77777777" w:rsidR="00990B14" w:rsidRDefault="00000000">
            <w:pPr>
              <w:spacing w:after="40"/>
              <w:jc w:val="both"/>
            </w:pPr>
            <w:r>
              <w:rPr>
                <w:sz w:val="18"/>
                <w:szCs w:val="18"/>
              </w:rPr>
              <w:t>Descripción general del control interno. (C)</w:t>
            </w:r>
          </w:p>
          <w:p w14:paraId="263286D9" w14:textId="77777777" w:rsidR="00990B14" w:rsidRDefault="00000000">
            <w:pPr>
              <w:spacing w:after="40"/>
              <w:jc w:val="both"/>
            </w:pPr>
            <w:r>
              <w:rPr>
                <w:sz w:val="18"/>
                <w:szCs w:val="18"/>
              </w:rPr>
              <w:t>Objetivos del control interno. (C)</w:t>
            </w:r>
          </w:p>
          <w:p w14:paraId="7B6C0A32" w14:textId="77777777" w:rsidR="00990B14" w:rsidRDefault="00000000">
            <w:pPr>
              <w:spacing w:after="40"/>
              <w:jc w:val="both"/>
            </w:pPr>
            <w:r>
              <w:rPr>
                <w:sz w:val="18"/>
                <w:szCs w:val="18"/>
              </w:rPr>
              <w:t>Los componentes y principios del control interno. (C)</w:t>
            </w:r>
          </w:p>
          <w:p w14:paraId="7AD0186C" w14:textId="77777777" w:rsidR="00990B14" w:rsidRDefault="00000000">
            <w:pPr>
              <w:spacing w:after="40"/>
              <w:jc w:val="both"/>
            </w:pPr>
            <w:r>
              <w:rPr>
                <w:sz w:val="18"/>
                <w:szCs w:val="18"/>
              </w:rPr>
              <w:t>Conocimiento de los riesgos y controles generales de tecnología de la información. (C)</w:t>
            </w:r>
          </w:p>
          <w:p w14:paraId="1C45D59B" w14:textId="77777777" w:rsidR="00990B14" w:rsidRDefault="00000000">
            <w:pPr>
              <w:spacing w:after="40"/>
              <w:jc w:val="both"/>
            </w:pPr>
            <w:r>
              <w:rPr>
                <w:sz w:val="18"/>
                <w:szCs w:val="18"/>
              </w:rPr>
              <w:t>Riesgo y control. (C)</w:t>
            </w:r>
          </w:p>
          <w:p w14:paraId="3E206437" w14:textId="77777777" w:rsidR="00990B14" w:rsidRDefault="00000000">
            <w:pPr>
              <w:spacing w:after="40"/>
              <w:jc w:val="both"/>
            </w:pPr>
            <w:r>
              <w:rPr>
                <w:sz w:val="18"/>
                <w:szCs w:val="18"/>
              </w:rPr>
              <w:t>Controles internos relevantes para la auditoría. (C)</w:t>
            </w:r>
          </w:p>
          <w:p w14:paraId="7BB161B3" w14:textId="77777777" w:rsidR="00990B14" w:rsidRDefault="00000000">
            <w:pPr>
              <w:spacing w:after="40"/>
              <w:jc w:val="both"/>
            </w:pPr>
            <w:r>
              <w:rPr>
                <w:sz w:val="18"/>
                <w:szCs w:val="18"/>
              </w:rPr>
              <w:t>Pruebas de detección de anomalías sobre asientos contables y transacciones inusuales con herramientas de análisis de datos. (P, T)</w:t>
            </w:r>
          </w:p>
          <w:p w14:paraId="5EFE1A6B" w14:textId="77777777" w:rsidR="00990B14" w:rsidRDefault="00000000">
            <w:pPr>
              <w:spacing w:after="40"/>
              <w:jc w:val="both"/>
            </w:pPr>
            <w:r>
              <w:rPr>
                <w:sz w:val="18"/>
                <w:szCs w:val="18"/>
              </w:rPr>
              <w:t>Procedimientos analíticos de planificación. (P)</w:t>
            </w:r>
          </w:p>
          <w:p w14:paraId="55486797" w14:textId="77777777" w:rsidR="00990B14" w:rsidRDefault="00000000">
            <w:pPr>
              <w:spacing w:after="40"/>
              <w:jc w:val="both"/>
            </w:pPr>
            <w:r>
              <w:rPr>
                <w:sz w:val="18"/>
                <w:szCs w:val="18"/>
              </w:rPr>
              <w:t>Materialidad y riesgo de auditoría. (C)</w:t>
            </w:r>
          </w:p>
          <w:p w14:paraId="55BAFB33" w14:textId="77777777" w:rsidR="00990B14" w:rsidRDefault="00000000">
            <w:pPr>
              <w:spacing w:after="40"/>
              <w:jc w:val="both"/>
            </w:pPr>
            <w:r>
              <w:rPr>
                <w:sz w:val="18"/>
                <w:szCs w:val="18"/>
              </w:rPr>
              <w:t>Niveles de materialidad que se requieren. (C)</w:t>
            </w:r>
          </w:p>
          <w:p w14:paraId="0143AA39" w14:textId="77777777" w:rsidR="00990B14" w:rsidRDefault="00000000">
            <w:pPr>
              <w:spacing w:after="40"/>
              <w:jc w:val="both"/>
            </w:pPr>
            <w:r>
              <w:rPr>
                <w:sz w:val="18"/>
                <w:szCs w:val="18"/>
              </w:rPr>
              <w:t>Documentación de la materialidad y procedimiento para determinarla. (P)</w:t>
            </w:r>
          </w:p>
          <w:p w14:paraId="1BE60641" w14:textId="77777777" w:rsidR="00990B14" w:rsidRDefault="00000000">
            <w:pPr>
              <w:spacing w:after="40"/>
              <w:jc w:val="both"/>
            </w:pPr>
            <w:r>
              <w:rPr>
                <w:sz w:val="18"/>
                <w:szCs w:val="18"/>
              </w:rPr>
              <w:t>Revisión de la materialidad durante el encargo ante cambios en las circunstancias o en los resultados de la entidad. (C)</w:t>
            </w:r>
          </w:p>
          <w:p w14:paraId="628AB245" w14:textId="77777777" w:rsidR="00990B14" w:rsidRDefault="00000000">
            <w:pPr>
              <w:spacing w:after="40"/>
              <w:jc w:val="both"/>
            </w:pPr>
            <w:r>
              <w:rPr>
                <w:sz w:val="18"/>
                <w:szCs w:val="18"/>
              </w:rPr>
              <w:t>Generalidades y descripción de las aseveraciones. (C)</w:t>
            </w:r>
          </w:p>
          <w:p w14:paraId="7DE5F16B" w14:textId="77777777" w:rsidR="00990B14" w:rsidRDefault="00000000">
            <w:pPr>
              <w:spacing w:after="40"/>
              <w:jc w:val="both"/>
            </w:pPr>
            <w:r>
              <w:rPr>
                <w:sz w:val="18"/>
                <w:szCs w:val="18"/>
              </w:rPr>
              <w:t>Aseveraciones relacionadas con clases de transacciones y revelaciones relacionadas. (C)</w:t>
            </w:r>
          </w:p>
          <w:p w14:paraId="796B910D" w14:textId="77777777" w:rsidR="00990B14" w:rsidRDefault="00000000">
            <w:pPr>
              <w:spacing w:after="40"/>
              <w:jc w:val="both"/>
            </w:pPr>
            <w:r>
              <w:rPr>
                <w:sz w:val="18"/>
                <w:szCs w:val="18"/>
              </w:rPr>
              <w:t>Aseveraciones relacionadas con saldos de cuenta y revelaciones relacionadas. (C)</w:t>
            </w:r>
          </w:p>
          <w:p w14:paraId="2EA8913E" w14:textId="77777777" w:rsidR="00990B14" w:rsidRDefault="00000000">
            <w:pPr>
              <w:spacing w:after="40"/>
              <w:jc w:val="both"/>
            </w:pPr>
            <w:r>
              <w:rPr>
                <w:sz w:val="18"/>
                <w:szCs w:val="18"/>
              </w:rPr>
              <w:t>Aseveraciones combinadas. (C)</w:t>
            </w:r>
          </w:p>
          <w:p w14:paraId="13D8B232" w14:textId="77777777" w:rsidR="00990B14" w:rsidRDefault="00000000">
            <w:pPr>
              <w:spacing w:after="40"/>
              <w:jc w:val="both"/>
            </w:pPr>
            <w:r>
              <w:rPr>
                <w:sz w:val="18"/>
                <w:szCs w:val="18"/>
              </w:rPr>
              <w:t>Uso de las aseveraciones en la auditoría. (P)</w:t>
            </w:r>
          </w:p>
          <w:p w14:paraId="7B38E441" w14:textId="77777777" w:rsidR="00990B14" w:rsidRDefault="00000000">
            <w:pPr>
              <w:spacing w:after="40"/>
              <w:jc w:val="both"/>
            </w:pPr>
            <w:r>
              <w:rPr>
                <w:sz w:val="18"/>
                <w:szCs w:val="18"/>
              </w:rPr>
              <w:t>Identificación de los tipos de transacciones y saldos de cuentas significativos y su asociación con las aseveraciones relevantes. (C, P)</w:t>
            </w:r>
          </w:p>
          <w:p w14:paraId="50998560" w14:textId="77777777" w:rsidR="00990B14" w:rsidRDefault="00000000">
            <w:pPr>
              <w:spacing w:after="40"/>
              <w:jc w:val="both"/>
            </w:pPr>
            <w:r>
              <w:rPr>
                <w:sz w:val="18"/>
                <w:szCs w:val="18"/>
              </w:rPr>
              <w:t>Desarrollo de la estrategia general de la auditoría. (P)</w:t>
            </w:r>
          </w:p>
          <w:p w14:paraId="2C9EA624" w14:textId="77777777" w:rsidR="00990B14" w:rsidRDefault="00000000">
            <w:pPr>
              <w:spacing w:after="40"/>
              <w:jc w:val="both"/>
            </w:pPr>
            <w:r>
              <w:rPr>
                <w:sz w:val="18"/>
                <w:szCs w:val="18"/>
              </w:rPr>
              <w:t>Valoración del riesgo de auditoría. (C, P)</w:t>
            </w:r>
          </w:p>
          <w:p w14:paraId="5D588CFE" w14:textId="77777777" w:rsidR="00990B14" w:rsidRDefault="00000000">
            <w:pPr>
              <w:spacing w:after="40"/>
              <w:jc w:val="both"/>
            </w:pPr>
            <w:r>
              <w:rPr>
                <w:sz w:val="18"/>
                <w:szCs w:val="18"/>
              </w:rPr>
              <w:t>Diseño de una respuesta de auditoría a los riesgos significativos identificados. (P)</w:t>
            </w:r>
          </w:p>
          <w:p w14:paraId="2925C4EA" w14:textId="77777777" w:rsidR="00990B14" w:rsidRDefault="00000000">
            <w:pPr>
              <w:spacing w:after="40"/>
              <w:jc w:val="both"/>
            </w:pPr>
            <w:r>
              <w:rPr>
                <w:sz w:val="18"/>
                <w:szCs w:val="18"/>
              </w:rPr>
              <w:t>Determinación del enfoque de auditoría a aplicar. (P)</w:t>
            </w:r>
          </w:p>
          <w:p w14:paraId="29001A47" w14:textId="77777777" w:rsidR="00990B14" w:rsidRDefault="00000000">
            <w:pPr>
              <w:spacing w:after="40"/>
              <w:jc w:val="both"/>
            </w:pPr>
            <w:r>
              <w:rPr>
                <w:sz w:val="18"/>
                <w:szCs w:val="18"/>
              </w:rPr>
              <w:t>Selección de procedimientos de auditoría. (P)</w:t>
            </w:r>
          </w:p>
        </w:tc>
        <w:tc>
          <w:tcPr>
            <w:tcW w:w="2752" w:type="dxa"/>
            <w:gridSpan w:val="3"/>
            <w:shd w:val="clear" w:color="auto" w:fill="D9E2F3"/>
          </w:tcPr>
          <w:p w14:paraId="03FCE466" w14:textId="77777777" w:rsidR="00990B14" w:rsidRDefault="00000000">
            <w:pPr>
              <w:numPr>
                <w:ilvl w:val="0"/>
                <w:numId w:val="139"/>
              </w:numPr>
              <w:spacing w:before="10" w:after="10"/>
              <w:jc w:val="both"/>
            </w:pPr>
            <w:r>
              <w:rPr>
                <w:sz w:val="18"/>
                <w:szCs w:val="18"/>
              </w:rPr>
              <w:t>Obligación del informe de auditoría externa para los contribuyentes con ingresos anuales desde Bs 1.700.000 para los cierres de gestión a partir de 2027.</w:t>
            </w:r>
          </w:p>
          <w:p w14:paraId="17D2BEED" w14:textId="77777777" w:rsidR="00990B14" w:rsidRDefault="00000000">
            <w:pPr>
              <w:numPr>
                <w:ilvl w:val="0"/>
                <w:numId w:val="139"/>
              </w:numPr>
              <w:spacing w:before="10" w:after="10"/>
              <w:jc w:val="both"/>
            </w:pPr>
            <w:r>
              <w:rPr>
                <w:sz w:val="18"/>
                <w:szCs w:val="18"/>
              </w:rPr>
              <w:t>Uso de herramientas digitales y de inteligencia artificial en las firmas de auditoría que operan en Bolivia.</w:t>
            </w:r>
          </w:p>
          <w:p w14:paraId="0AF34179" w14:textId="77777777" w:rsidR="00990B14" w:rsidRDefault="00000000">
            <w:pPr>
              <w:numPr>
                <w:ilvl w:val="0"/>
                <w:numId w:val="139"/>
              </w:numPr>
              <w:spacing w:before="10" w:after="10"/>
              <w:jc w:val="both"/>
            </w:pPr>
            <w:r>
              <w:rPr>
                <w:sz w:val="18"/>
                <w:szCs w:val="18"/>
              </w:rPr>
              <w:t>Responsabilidad del auditor respecto al fraude en la auditoría de estados financieros conforme a la NIA 240 y su revisión aplicable desde el 15 de diciembre de 2026.</w:t>
            </w:r>
          </w:p>
          <w:p w14:paraId="31237B5A" w14:textId="77777777" w:rsidR="00990B14" w:rsidRDefault="00000000">
            <w:pPr>
              <w:numPr>
                <w:ilvl w:val="0"/>
                <w:numId w:val="139"/>
              </w:numPr>
              <w:spacing w:before="10" w:after="10"/>
              <w:jc w:val="both"/>
            </w:pPr>
            <w:r>
              <w:rPr>
                <w:sz w:val="18"/>
                <w:szCs w:val="18"/>
              </w:rPr>
              <w:t>Segregación de funciones limitada en las entidades menos complejas del medio y sus controles compensatorios.</w:t>
            </w:r>
          </w:p>
          <w:p w14:paraId="393FEE9B" w14:textId="77777777" w:rsidR="00990B14" w:rsidRDefault="00000000">
            <w:pPr>
              <w:numPr>
                <w:ilvl w:val="0"/>
                <w:numId w:val="139"/>
              </w:numPr>
              <w:spacing w:before="10" w:after="10"/>
              <w:jc w:val="both"/>
            </w:pPr>
            <w:r>
              <w:rPr>
                <w:sz w:val="18"/>
                <w:szCs w:val="18"/>
              </w:rPr>
              <w:t>Bases de cálculo de la materialidad aplicadas por las firmas de auditoría en entidades privadas bolivianas.</w:t>
            </w:r>
          </w:p>
        </w:tc>
      </w:tr>
      <w:tr w:rsidR="00990B14" w14:paraId="0373813C" w14:textId="77777777">
        <w:trPr>
          <w:cantSplit/>
          <w:jc w:val="center"/>
        </w:trPr>
        <w:tc>
          <w:tcPr>
            <w:tcW w:w="9405" w:type="dxa"/>
            <w:gridSpan w:val="13"/>
            <w:shd w:val="clear" w:color="auto" w:fill="D9E2F3"/>
            <w:vAlign w:val="center"/>
          </w:tcPr>
          <w:p w14:paraId="0B3B77E7" w14:textId="77777777" w:rsidR="00990B14" w:rsidRDefault="00000000">
            <w:pPr>
              <w:spacing w:before="20" w:after="20"/>
              <w:jc w:val="both"/>
            </w:pPr>
            <w:r>
              <w:rPr>
                <w:b/>
                <w:bCs/>
                <w:i/>
                <w:iCs/>
                <w:sz w:val="18"/>
                <w:szCs w:val="18"/>
              </w:rPr>
              <w:t xml:space="preserve">Elemento de competencia 5: </w:t>
            </w:r>
            <w:r>
              <w:rPr>
                <w:sz w:val="18"/>
                <w:szCs w:val="18"/>
              </w:rPr>
              <w:t>Ejecuta la respuesta a los riesgos valorados de incorrección material, diseñando el plan detallado, aplicando las pruebas de controles y los procedimientos sustantivos, determinando la extensión de las pruebas y documentando el trabajo realizado.</w:t>
            </w:r>
          </w:p>
        </w:tc>
      </w:tr>
      <w:tr w:rsidR="00990B14" w14:paraId="4AA941A3" w14:textId="77777777">
        <w:trPr>
          <w:cantSplit/>
          <w:jc w:val="center"/>
        </w:trPr>
        <w:tc>
          <w:tcPr>
            <w:tcW w:w="3133" w:type="dxa"/>
            <w:gridSpan w:val="4"/>
            <w:shd w:val="clear" w:color="auto" w:fill="4472C4"/>
            <w:vAlign w:val="center"/>
          </w:tcPr>
          <w:p w14:paraId="013183A3"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6393B777"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34F2335D" w14:textId="77777777" w:rsidR="00990B14" w:rsidRDefault="00000000">
            <w:pPr>
              <w:keepNext/>
              <w:spacing w:before="20" w:after="20"/>
              <w:jc w:val="center"/>
            </w:pPr>
            <w:r>
              <w:rPr>
                <w:b/>
                <w:bCs/>
                <w:i/>
                <w:iCs/>
                <w:color w:val="FFFFFF"/>
                <w:sz w:val="18"/>
                <w:szCs w:val="18"/>
              </w:rPr>
              <w:t>Evidencias de producto</w:t>
            </w:r>
          </w:p>
        </w:tc>
      </w:tr>
      <w:tr w:rsidR="00990B14" w14:paraId="6A573F85" w14:textId="77777777">
        <w:trPr>
          <w:cantSplit/>
          <w:jc w:val="center"/>
        </w:trPr>
        <w:tc>
          <w:tcPr>
            <w:tcW w:w="3133" w:type="dxa"/>
            <w:gridSpan w:val="4"/>
            <w:vMerge w:val="restart"/>
            <w:shd w:val="clear" w:color="auto" w:fill="D9E2F3"/>
            <w:vAlign w:val="center"/>
          </w:tcPr>
          <w:p w14:paraId="5A47F5A9" w14:textId="77777777" w:rsidR="00990B14" w:rsidRDefault="00000000">
            <w:pPr>
              <w:spacing w:before="20" w:after="20"/>
              <w:jc w:val="both"/>
            </w:pPr>
            <w:r>
              <w:rPr>
                <w:sz w:val="18"/>
                <w:szCs w:val="18"/>
              </w:rPr>
              <w:t>1. Diseña el plan detallado de auditoría y ejecuta las pruebas de controles y los procedimientos sustantivos analíticos.</w:t>
            </w:r>
          </w:p>
        </w:tc>
        <w:tc>
          <w:tcPr>
            <w:tcW w:w="3135" w:type="dxa"/>
            <w:gridSpan w:val="5"/>
            <w:shd w:val="clear" w:color="auto" w:fill="D9E2F3"/>
            <w:vAlign w:val="center"/>
          </w:tcPr>
          <w:p w14:paraId="15A8405E" w14:textId="77777777" w:rsidR="00990B14" w:rsidRDefault="00000000">
            <w:pPr>
              <w:spacing w:before="20" w:after="20"/>
              <w:jc w:val="both"/>
            </w:pPr>
            <w:r>
              <w:rPr>
                <w:sz w:val="18"/>
                <w:szCs w:val="18"/>
              </w:rPr>
              <w:t>1.1 Elabora en equipo el programa de auditoría de un rubro, vinculando riesgos, aseveraciones y procedimientos.</w:t>
            </w:r>
          </w:p>
        </w:tc>
        <w:tc>
          <w:tcPr>
            <w:tcW w:w="3137" w:type="dxa"/>
            <w:gridSpan w:val="4"/>
            <w:shd w:val="clear" w:color="auto" w:fill="D9E2F3"/>
            <w:vAlign w:val="center"/>
          </w:tcPr>
          <w:p w14:paraId="72BA262B" w14:textId="77777777" w:rsidR="00990B14" w:rsidRDefault="00000000">
            <w:pPr>
              <w:spacing w:before="20" w:after="20"/>
              <w:jc w:val="both"/>
            </w:pPr>
            <w:r>
              <w:rPr>
                <w:b/>
                <w:bCs/>
                <w:sz w:val="18"/>
                <w:szCs w:val="18"/>
              </w:rPr>
              <w:t xml:space="preserve">Producto 17: </w:t>
            </w:r>
            <w:r>
              <w:rPr>
                <w:sz w:val="18"/>
                <w:szCs w:val="18"/>
              </w:rPr>
              <w:t>Programa de auditoría de un rubro de los estados financieros.</w:t>
            </w:r>
          </w:p>
        </w:tc>
      </w:tr>
      <w:tr w:rsidR="00990B14" w14:paraId="20E641B0" w14:textId="77777777">
        <w:trPr>
          <w:cantSplit/>
          <w:jc w:val="center"/>
        </w:trPr>
        <w:tc>
          <w:tcPr>
            <w:tcW w:w="3133" w:type="dxa"/>
            <w:gridSpan w:val="4"/>
            <w:vMerge/>
            <w:shd w:val="clear" w:color="auto" w:fill="D9E2F3"/>
            <w:vAlign w:val="center"/>
          </w:tcPr>
          <w:p w14:paraId="302CD3EB" w14:textId="77777777" w:rsidR="00990B14" w:rsidRDefault="00990B14">
            <w:pPr>
              <w:spacing w:before="20" w:after="20"/>
            </w:pPr>
          </w:p>
        </w:tc>
        <w:tc>
          <w:tcPr>
            <w:tcW w:w="3135" w:type="dxa"/>
            <w:gridSpan w:val="5"/>
            <w:shd w:val="clear" w:color="auto" w:fill="D9E2F3"/>
            <w:vAlign w:val="center"/>
          </w:tcPr>
          <w:p w14:paraId="42CAA8DA" w14:textId="77777777" w:rsidR="00990B14" w:rsidRDefault="00000000">
            <w:pPr>
              <w:spacing w:before="20" w:after="20"/>
              <w:jc w:val="both"/>
            </w:pPr>
            <w:r>
              <w:rPr>
                <w:sz w:val="18"/>
                <w:szCs w:val="18"/>
              </w:rPr>
              <w:t>1.2 Ejecuta en aula pruebas de controles y procedimientos analíticos sustantivos de un caso.</w:t>
            </w:r>
          </w:p>
        </w:tc>
        <w:tc>
          <w:tcPr>
            <w:tcW w:w="3137" w:type="dxa"/>
            <w:gridSpan w:val="4"/>
            <w:shd w:val="clear" w:color="auto" w:fill="D9E2F3"/>
            <w:vAlign w:val="center"/>
          </w:tcPr>
          <w:p w14:paraId="73BC7BCC" w14:textId="77777777" w:rsidR="00990B14" w:rsidRDefault="00000000">
            <w:pPr>
              <w:spacing w:before="20" w:after="20"/>
              <w:jc w:val="both"/>
            </w:pPr>
            <w:r>
              <w:rPr>
                <w:b/>
                <w:bCs/>
                <w:sz w:val="18"/>
                <w:szCs w:val="18"/>
              </w:rPr>
              <w:t xml:space="preserve">Producto 18: </w:t>
            </w:r>
            <w:r>
              <w:rPr>
                <w:sz w:val="18"/>
                <w:szCs w:val="18"/>
              </w:rPr>
              <w:t>Papeles de trabajo de pruebas de controles y de procedimientos analíticos sustantivos.</w:t>
            </w:r>
          </w:p>
        </w:tc>
      </w:tr>
      <w:tr w:rsidR="00990B14" w14:paraId="13BB05DC" w14:textId="77777777">
        <w:trPr>
          <w:cantSplit/>
          <w:jc w:val="center"/>
        </w:trPr>
        <w:tc>
          <w:tcPr>
            <w:tcW w:w="3133" w:type="dxa"/>
            <w:gridSpan w:val="4"/>
            <w:vMerge w:val="restart"/>
            <w:shd w:val="clear" w:color="auto" w:fill="D9E2F3"/>
            <w:vAlign w:val="center"/>
          </w:tcPr>
          <w:p w14:paraId="3C72CB17" w14:textId="77777777" w:rsidR="00990B14" w:rsidRDefault="00000000">
            <w:pPr>
              <w:spacing w:before="20" w:after="20"/>
              <w:jc w:val="both"/>
            </w:pPr>
            <w:r>
              <w:rPr>
                <w:sz w:val="18"/>
                <w:szCs w:val="18"/>
              </w:rPr>
              <w:t>2. Aplica los procedimientos sustantivos de detalle, determina la extensión de las pruebas y documenta el trabajo realizado.</w:t>
            </w:r>
          </w:p>
        </w:tc>
        <w:tc>
          <w:tcPr>
            <w:tcW w:w="3135" w:type="dxa"/>
            <w:gridSpan w:val="5"/>
            <w:shd w:val="clear" w:color="auto" w:fill="D9E2F3"/>
            <w:vAlign w:val="center"/>
          </w:tcPr>
          <w:p w14:paraId="1AE5F624" w14:textId="77777777" w:rsidR="00990B14" w:rsidRDefault="00000000">
            <w:pPr>
              <w:spacing w:before="20" w:after="20"/>
              <w:jc w:val="both"/>
            </w:pPr>
            <w:r>
              <w:rPr>
                <w:sz w:val="18"/>
                <w:szCs w:val="18"/>
              </w:rPr>
              <w:t>2.1 Determina en aula el tamaño de la muestra y proyecta las incorrecciones detectadas.</w:t>
            </w:r>
          </w:p>
        </w:tc>
        <w:tc>
          <w:tcPr>
            <w:tcW w:w="3137" w:type="dxa"/>
            <w:gridSpan w:val="4"/>
            <w:shd w:val="clear" w:color="auto" w:fill="D9E2F3"/>
            <w:vAlign w:val="center"/>
          </w:tcPr>
          <w:p w14:paraId="0320932E" w14:textId="77777777" w:rsidR="00990B14" w:rsidRDefault="00000000">
            <w:pPr>
              <w:spacing w:before="20" w:after="20"/>
              <w:jc w:val="both"/>
            </w:pPr>
            <w:r>
              <w:rPr>
                <w:b/>
                <w:bCs/>
                <w:sz w:val="18"/>
                <w:szCs w:val="18"/>
              </w:rPr>
              <w:t xml:space="preserve">Producto 19: </w:t>
            </w:r>
            <w:r>
              <w:rPr>
                <w:sz w:val="18"/>
                <w:szCs w:val="18"/>
              </w:rPr>
              <w:t>Cédula de muestreo con la proyección de las incorrecciones.</w:t>
            </w:r>
          </w:p>
        </w:tc>
      </w:tr>
      <w:tr w:rsidR="00990B14" w14:paraId="0306D12A" w14:textId="77777777">
        <w:trPr>
          <w:cantSplit/>
          <w:jc w:val="center"/>
        </w:trPr>
        <w:tc>
          <w:tcPr>
            <w:tcW w:w="3133" w:type="dxa"/>
            <w:gridSpan w:val="4"/>
            <w:vMerge/>
            <w:shd w:val="clear" w:color="auto" w:fill="D9E2F3"/>
            <w:vAlign w:val="center"/>
          </w:tcPr>
          <w:p w14:paraId="08DC7A9B" w14:textId="77777777" w:rsidR="00990B14" w:rsidRDefault="00990B14">
            <w:pPr>
              <w:spacing w:before="20" w:after="20"/>
            </w:pPr>
          </w:p>
        </w:tc>
        <w:tc>
          <w:tcPr>
            <w:tcW w:w="3135" w:type="dxa"/>
            <w:gridSpan w:val="5"/>
            <w:shd w:val="clear" w:color="auto" w:fill="D9E2F3"/>
            <w:vAlign w:val="center"/>
          </w:tcPr>
          <w:p w14:paraId="0D5840D6" w14:textId="77777777" w:rsidR="00990B14" w:rsidRDefault="00000000">
            <w:pPr>
              <w:spacing w:before="20" w:after="20"/>
              <w:jc w:val="both"/>
            </w:pPr>
            <w:r>
              <w:rPr>
                <w:sz w:val="18"/>
                <w:szCs w:val="18"/>
              </w:rPr>
              <w:t>2.2 Organiza en equipo el archivo de auditoría del caso y obtiene la carta de representaciones.</w:t>
            </w:r>
          </w:p>
        </w:tc>
        <w:tc>
          <w:tcPr>
            <w:tcW w:w="3137" w:type="dxa"/>
            <w:gridSpan w:val="4"/>
            <w:shd w:val="clear" w:color="auto" w:fill="D9E2F3"/>
            <w:vAlign w:val="center"/>
          </w:tcPr>
          <w:p w14:paraId="0DBC11E2" w14:textId="77777777" w:rsidR="00990B14" w:rsidRDefault="00000000">
            <w:pPr>
              <w:spacing w:before="20" w:after="20"/>
              <w:jc w:val="both"/>
            </w:pPr>
            <w:r>
              <w:rPr>
                <w:b/>
                <w:bCs/>
                <w:sz w:val="18"/>
                <w:szCs w:val="18"/>
              </w:rPr>
              <w:t xml:space="preserve">Producto 20: </w:t>
            </w:r>
            <w:r>
              <w:rPr>
                <w:sz w:val="18"/>
                <w:szCs w:val="18"/>
              </w:rPr>
              <w:t>Archivo de papeles de trabajo referenciado con la carta de representaciones.</w:t>
            </w:r>
          </w:p>
        </w:tc>
      </w:tr>
      <w:tr w:rsidR="00990B14" w14:paraId="197607F7" w14:textId="77777777">
        <w:trPr>
          <w:cantSplit/>
          <w:jc w:val="center"/>
        </w:trPr>
        <w:tc>
          <w:tcPr>
            <w:tcW w:w="9405" w:type="dxa"/>
            <w:gridSpan w:val="13"/>
            <w:shd w:val="clear" w:color="auto" w:fill="4472C4"/>
            <w:vAlign w:val="center"/>
          </w:tcPr>
          <w:p w14:paraId="3792E55E" w14:textId="77777777" w:rsidR="00990B14" w:rsidRDefault="00000000">
            <w:pPr>
              <w:keepNext/>
              <w:spacing w:before="20" w:after="20"/>
              <w:jc w:val="center"/>
            </w:pPr>
            <w:r>
              <w:rPr>
                <w:b/>
                <w:bCs/>
                <w:i/>
                <w:iCs/>
                <w:color w:val="FFFFFF"/>
                <w:sz w:val="18"/>
                <w:szCs w:val="18"/>
              </w:rPr>
              <w:t>Evidencias de conocimiento</w:t>
            </w:r>
          </w:p>
        </w:tc>
      </w:tr>
      <w:tr w:rsidR="00990B14" w14:paraId="565F46C2" w14:textId="77777777">
        <w:trPr>
          <w:cantSplit/>
          <w:jc w:val="center"/>
        </w:trPr>
        <w:tc>
          <w:tcPr>
            <w:tcW w:w="2349" w:type="dxa"/>
            <w:gridSpan w:val="2"/>
            <w:shd w:val="clear" w:color="auto" w:fill="4472C4"/>
            <w:vAlign w:val="center"/>
          </w:tcPr>
          <w:p w14:paraId="601C5DC7"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3B468D56" w14:textId="77777777" w:rsidR="00990B14" w:rsidRDefault="00000000">
            <w:pPr>
              <w:keepNext/>
              <w:spacing w:before="20" w:after="20"/>
              <w:jc w:val="both"/>
            </w:pPr>
            <w:r>
              <w:rPr>
                <w:b/>
                <w:bCs/>
                <w:i/>
                <w:iCs/>
                <w:color w:val="FFFFFF"/>
                <w:sz w:val="18"/>
                <w:szCs w:val="18"/>
              </w:rPr>
              <w:t>Contenidos</w:t>
            </w:r>
          </w:p>
          <w:p w14:paraId="1CA8E141"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15D63942" w14:textId="77777777" w:rsidR="00990B14" w:rsidRDefault="00000000">
            <w:pPr>
              <w:keepNext/>
              <w:spacing w:before="20" w:after="20"/>
              <w:jc w:val="center"/>
            </w:pPr>
            <w:r>
              <w:rPr>
                <w:b/>
                <w:bCs/>
                <w:i/>
                <w:iCs/>
                <w:color w:val="FFFFFF"/>
                <w:sz w:val="18"/>
                <w:szCs w:val="18"/>
              </w:rPr>
              <w:t>Conocimientos circunstanciales</w:t>
            </w:r>
          </w:p>
        </w:tc>
      </w:tr>
      <w:tr w:rsidR="00990B14" w14:paraId="76BE6B60" w14:textId="77777777">
        <w:trPr>
          <w:jc w:val="center"/>
        </w:trPr>
        <w:tc>
          <w:tcPr>
            <w:tcW w:w="2349" w:type="dxa"/>
            <w:gridSpan w:val="2"/>
            <w:shd w:val="clear" w:color="auto" w:fill="D9E2F3"/>
          </w:tcPr>
          <w:p w14:paraId="202A59A5" w14:textId="77777777" w:rsidR="00990B14" w:rsidRDefault="00000000">
            <w:pPr>
              <w:spacing w:before="20" w:after="40"/>
              <w:jc w:val="both"/>
            </w:pPr>
            <w:r>
              <w:rPr>
                <w:sz w:val="18"/>
                <w:szCs w:val="18"/>
              </w:rPr>
              <w:t>Tema 24: Respuesta a los riesgos valorados, descripción general</w:t>
            </w:r>
          </w:p>
          <w:p w14:paraId="13BDC844" w14:textId="77777777" w:rsidR="00990B14" w:rsidRDefault="00000000">
            <w:pPr>
              <w:spacing w:before="20" w:after="40"/>
              <w:jc w:val="both"/>
            </w:pPr>
            <w:r>
              <w:rPr>
                <w:sz w:val="18"/>
                <w:szCs w:val="18"/>
              </w:rPr>
              <w:t>Tema 25: Plan detallado de auditoría</w:t>
            </w:r>
          </w:p>
          <w:p w14:paraId="72B88A74" w14:textId="77777777" w:rsidR="00990B14" w:rsidRDefault="00000000">
            <w:pPr>
              <w:spacing w:before="20" w:after="40"/>
              <w:jc w:val="both"/>
            </w:pPr>
            <w:r>
              <w:rPr>
                <w:sz w:val="18"/>
                <w:szCs w:val="18"/>
              </w:rPr>
              <w:t>Tema 26: Procedimientos adicionales de auditoría</w:t>
            </w:r>
          </w:p>
          <w:p w14:paraId="2CA4755C" w14:textId="77777777" w:rsidR="00990B14" w:rsidRDefault="00000000">
            <w:pPr>
              <w:spacing w:before="20" w:after="40"/>
              <w:jc w:val="both"/>
            </w:pPr>
            <w:r>
              <w:rPr>
                <w:sz w:val="18"/>
                <w:szCs w:val="18"/>
              </w:rPr>
              <w:t>Tema 27: Pruebas sobre la eficacia del control interno</w:t>
            </w:r>
          </w:p>
          <w:p w14:paraId="3C370F95" w14:textId="77777777" w:rsidR="00990B14" w:rsidRDefault="00000000">
            <w:pPr>
              <w:spacing w:before="20" w:after="40"/>
              <w:jc w:val="both"/>
            </w:pPr>
            <w:r>
              <w:rPr>
                <w:sz w:val="18"/>
                <w:szCs w:val="18"/>
              </w:rPr>
              <w:t>Tema 28: Procedimientos sustantivos analíticos</w:t>
            </w:r>
          </w:p>
          <w:p w14:paraId="275D93B5" w14:textId="77777777" w:rsidR="00990B14" w:rsidRDefault="00000000">
            <w:pPr>
              <w:spacing w:before="20" w:after="40"/>
              <w:jc w:val="both"/>
            </w:pPr>
            <w:r>
              <w:rPr>
                <w:sz w:val="18"/>
                <w:szCs w:val="18"/>
              </w:rPr>
              <w:t>Tema 29: Procedimientos sustantivos de detalle</w:t>
            </w:r>
          </w:p>
          <w:p w14:paraId="4BF852A8" w14:textId="77777777" w:rsidR="00990B14" w:rsidRDefault="00000000">
            <w:pPr>
              <w:spacing w:before="20" w:after="40"/>
              <w:jc w:val="both"/>
            </w:pPr>
            <w:r>
              <w:rPr>
                <w:sz w:val="18"/>
                <w:szCs w:val="18"/>
              </w:rPr>
              <w:t>Tema 30: Determinación de la extensión de las pruebas</w:t>
            </w:r>
          </w:p>
          <w:p w14:paraId="1087D0F3" w14:textId="77777777" w:rsidR="00990B14" w:rsidRDefault="00000000">
            <w:pPr>
              <w:spacing w:before="20" w:after="40"/>
              <w:jc w:val="both"/>
            </w:pPr>
            <w:r>
              <w:rPr>
                <w:sz w:val="18"/>
                <w:szCs w:val="18"/>
              </w:rPr>
              <w:t>Tema 31: Documentación del trabajo realizado en auditoría</w:t>
            </w:r>
          </w:p>
          <w:p w14:paraId="4567AC8E" w14:textId="77777777" w:rsidR="00990B14" w:rsidRDefault="00000000">
            <w:pPr>
              <w:spacing w:before="20" w:after="40"/>
              <w:jc w:val="both"/>
            </w:pPr>
            <w:r>
              <w:rPr>
                <w:sz w:val="18"/>
                <w:szCs w:val="18"/>
              </w:rPr>
              <w:t>Tema 32: Representaciones escritas</w:t>
            </w:r>
          </w:p>
        </w:tc>
        <w:tc>
          <w:tcPr>
            <w:tcW w:w="4304" w:type="dxa"/>
            <w:gridSpan w:val="8"/>
            <w:shd w:val="clear" w:color="auto" w:fill="D9E2F3"/>
          </w:tcPr>
          <w:p w14:paraId="355398DB" w14:textId="77777777" w:rsidR="00990B14" w:rsidRDefault="00000000">
            <w:pPr>
              <w:spacing w:after="40"/>
              <w:jc w:val="both"/>
            </w:pPr>
            <w:r>
              <w:rPr>
                <w:sz w:val="18"/>
                <w:szCs w:val="18"/>
              </w:rPr>
              <w:t>Respuestas globales a riesgos en los estados financieros. (C)</w:t>
            </w:r>
          </w:p>
          <w:p w14:paraId="631BD828" w14:textId="77777777" w:rsidR="00990B14" w:rsidRDefault="00000000">
            <w:pPr>
              <w:spacing w:after="40"/>
              <w:jc w:val="both"/>
            </w:pPr>
            <w:r>
              <w:rPr>
                <w:sz w:val="18"/>
                <w:szCs w:val="18"/>
              </w:rPr>
              <w:t>Respuesta a los riesgos valorados a nivel de las aseveraciones. (C)</w:t>
            </w:r>
          </w:p>
          <w:p w14:paraId="3E406520" w14:textId="77777777" w:rsidR="00990B14" w:rsidRDefault="00000000">
            <w:pPr>
              <w:spacing w:after="40"/>
              <w:jc w:val="both"/>
            </w:pPr>
            <w:r>
              <w:rPr>
                <w:sz w:val="18"/>
                <w:szCs w:val="18"/>
              </w:rPr>
              <w:t>Enfoque de auditoría adecuado. (C)</w:t>
            </w:r>
          </w:p>
          <w:p w14:paraId="47745A5C" w14:textId="77777777" w:rsidR="00990B14" w:rsidRDefault="00000000">
            <w:pPr>
              <w:spacing w:after="40"/>
              <w:jc w:val="both"/>
            </w:pPr>
            <w:r>
              <w:rPr>
                <w:sz w:val="18"/>
                <w:szCs w:val="18"/>
              </w:rPr>
              <w:t>Descripción general del plan detallado de auditoría. (C)</w:t>
            </w:r>
          </w:p>
          <w:p w14:paraId="55BB5E2D" w14:textId="77777777" w:rsidR="00990B14" w:rsidRDefault="00000000">
            <w:pPr>
              <w:spacing w:after="40"/>
              <w:jc w:val="both"/>
            </w:pPr>
            <w:r>
              <w:rPr>
                <w:sz w:val="18"/>
                <w:szCs w:val="18"/>
              </w:rPr>
              <w:t>Diseño y desarrollo de procedimientos de auditoría posteriores. (P)</w:t>
            </w:r>
          </w:p>
          <w:p w14:paraId="1018CDA0" w14:textId="77777777" w:rsidR="00990B14" w:rsidRDefault="00000000">
            <w:pPr>
              <w:spacing w:after="40"/>
              <w:jc w:val="both"/>
            </w:pPr>
            <w:r>
              <w:rPr>
                <w:sz w:val="18"/>
                <w:szCs w:val="18"/>
              </w:rPr>
              <w:t>La caja de herramientas del auditor. (C)</w:t>
            </w:r>
          </w:p>
          <w:p w14:paraId="22952E78" w14:textId="77777777" w:rsidR="00990B14" w:rsidRDefault="00000000">
            <w:pPr>
              <w:spacing w:after="40"/>
              <w:jc w:val="both"/>
            </w:pPr>
            <w:r>
              <w:rPr>
                <w:sz w:val="18"/>
                <w:szCs w:val="18"/>
              </w:rPr>
              <w:t>Tipos de procedimientos. (C, P)</w:t>
            </w:r>
          </w:p>
          <w:p w14:paraId="5024860A" w14:textId="77777777" w:rsidR="00990B14" w:rsidRDefault="00000000">
            <w:pPr>
              <w:spacing w:after="40"/>
              <w:jc w:val="both"/>
            </w:pPr>
            <w:r>
              <w:rPr>
                <w:sz w:val="18"/>
                <w:szCs w:val="18"/>
              </w:rPr>
              <w:t>Procedimientos sobre la eficacia del control interno. (P)</w:t>
            </w:r>
          </w:p>
          <w:p w14:paraId="2436FC4F" w14:textId="77777777" w:rsidR="00990B14" w:rsidRDefault="00000000">
            <w:pPr>
              <w:spacing w:after="40"/>
              <w:jc w:val="both"/>
            </w:pPr>
            <w:r>
              <w:rPr>
                <w:sz w:val="18"/>
                <w:szCs w:val="18"/>
              </w:rPr>
              <w:t>Muestreo de atributos. (C)</w:t>
            </w:r>
          </w:p>
          <w:p w14:paraId="6C7A31E5" w14:textId="77777777" w:rsidR="00990B14" w:rsidRDefault="00000000">
            <w:pPr>
              <w:spacing w:after="40"/>
              <w:jc w:val="both"/>
            </w:pPr>
            <w:r>
              <w:rPr>
                <w:sz w:val="18"/>
                <w:szCs w:val="18"/>
              </w:rPr>
              <w:t>Pruebas del diseño y pruebas de la implementación. (P)</w:t>
            </w:r>
          </w:p>
          <w:p w14:paraId="26D91E2C" w14:textId="77777777" w:rsidR="00990B14" w:rsidRDefault="00000000">
            <w:pPr>
              <w:spacing w:after="40"/>
              <w:jc w:val="both"/>
            </w:pPr>
            <w:r>
              <w:rPr>
                <w:sz w:val="18"/>
                <w:szCs w:val="18"/>
              </w:rPr>
              <w:t>Prueba rotativa del control. (C)</w:t>
            </w:r>
          </w:p>
          <w:p w14:paraId="72673AC0" w14:textId="77777777" w:rsidR="00990B14" w:rsidRDefault="00000000">
            <w:pPr>
              <w:spacing w:after="40"/>
              <w:jc w:val="both"/>
            </w:pPr>
            <w:r>
              <w:rPr>
                <w:sz w:val="18"/>
                <w:szCs w:val="18"/>
              </w:rPr>
              <w:t>Documentación de las pruebas de controles. (P)</w:t>
            </w:r>
          </w:p>
          <w:p w14:paraId="7D45BD80" w14:textId="77777777" w:rsidR="00990B14" w:rsidRDefault="00000000">
            <w:pPr>
              <w:spacing w:after="40"/>
              <w:jc w:val="both"/>
            </w:pPr>
            <w:r>
              <w:rPr>
                <w:sz w:val="18"/>
                <w:szCs w:val="18"/>
              </w:rPr>
              <w:t>Pruebas analíticas sustantivas. (P)</w:t>
            </w:r>
          </w:p>
          <w:p w14:paraId="7783CB1C" w14:textId="77777777" w:rsidR="00990B14" w:rsidRDefault="00000000">
            <w:pPr>
              <w:spacing w:after="40"/>
              <w:jc w:val="both"/>
            </w:pPr>
            <w:r>
              <w:rPr>
                <w:sz w:val="18"/>
                <w:szCs w:val="18"/>
              </w:rPr>
              <w:t>Propósito y diseño de los procedimientos sustantivos analíticos. (P)</w:t>
            </w:r>
          </w:p>
          <w:p w14:paraId="1613FBDE" w14:textId="77777777" w:rsidR="00990B14" w:rsidRDefault="00000000">
            <w:pPr>
              <w:spacing w:after="40"/>
              <w:jc w:val="both"/>
            </w:pPr>
            <w:r>
              <w:rPr>
                <w:sz w:val="18"/>
                <w:szCs w:val="18"/>
              </w:rPr>
              <w:t>Documentación de los procedimientos sustantivos analíticos. (P)</w:t>
            </w:r>
          </w:p>
          <w:p w14:paraId="17B22F85" w14:textId="77777777" w:rsidR="00990B14" w:rsidRDefault="00000000">
            <w:pPr>
              <w:spacing w:after="40"/>
              <w:jc w:val="both"/>
            </w:pPr>
            <w:r>
              <w:rPr>
                <w:sz w:val="18"/>
                <w:szCs w:val="18"/>
              </w:rPr>
              <w:t>Pruebas sustantivas de detalle. (P)</w:t>
            </w:r>
          </w:p>
          <w:p w14:paraId="29D5B9D0" w14:textId="77777777" w:rsidR="00990B14" w:rsidRDefault="00000000">
            <w:pPr>
              <w:spacing w:after="40"/>
              <w:jc w:val="both"/>
            </w:pPr>
            <w:r>
              <w:rPr>
                <w:sz w:val="18"/>
                <w:szCs w:val="18"/>
              </w:rPr>
              <w:t>Pruebas de integridad y exactitud de los datos. (P, A)</w:t>
            </w:r>
          </w:p>
          <w:p w14:paraId="074638C2" w14:textId="77777777" w:rsidR="00990B14" w:rsidRDefault="00000000">
            <w:pPr>
              <w:spacing w:after="40"/>
              <w:jc w:val="both"/>
            </w:pPr>
            <w:r>
              <w:rPr>
                <w:sz w:val="18"/>
                <w:szCs w:val="18"/>
              </w:rPr>
              <w:t>Propósito y diseño de los procedimientos sustantivos de detalle. (P)</w:t>
            </w:r>
          </w:p>
          <w:p w14:paraId="2BFC15F0" w14:textId="77777777" w:rsidR="00990B14" w:rsidRDefault="00000000">
            <w:pPr>
              <w:spacing w:after="40"/>
              <w:jc w:val="both"/>
            </w:pPr>
            <w:r>
              <w:rPr>
                <w:sz w:val="18"/>
                <w:szCs w:val="18"/>
              </w:rPr>
              <w:t>Confirmaciones de saldos. (C)</w:t>
            </w:r>
          </w:p>
          <w:p w14:paraId="00E25928" w14:textId="77777777" w:rsidR="00990B14" w:rsidRDefault="00000000">
            <w:pPr>
              <w:spacing w:after="40"/>
              <w:jc w:val="both"/>
            </w:pPr>
            <w:r>
              <w:rPr>
                <w:sz w:val="18"/>
                <w:szCs w:val="18"/>
              </w:rPr>
              <w:t>Inspección detallada de documentos. (C)</w:t>
            </w:r>
          </w:p>
          <w:p w14:paraId="0682F328" w14:textId="77777777" w:rsidR="00990B14" w:rsidRDefault="00000000">
            <w:pPr>
              <w:spacing w:after="40"/>
              <w:jc w:val="both"/>
            </w:pPr>
            <w:r>
              <w:rPr>
                <w:sz w:val="18"/>
                <w:szCs w:val="18"/>
              </w:rPr>
              <w:t>Inspección de activos. (C)</w:t>
            </w:r>
          </w:p>
          <w:p w14:paraId="68B6EBAB" w14:textId="77777777" w:rsidR="00990B14" w:rsidRDefault="00000000">
            <w:pPr>
              <w:spacing w:after="40"/>
              <w:jc w:val="both"/>
            </w:pPr>
            <w:r>
              <w:rPr>
                <w:sz w:val="18"/>
                <w:szCs w:val="18"/>
              </w:rPr>
              <w:t>Verificación y comprobación de información detallada. (P)</w:t>
            </w:r>
          </w:p>
          <w:p w14:paraId="4C7BF5EA" w14:textId="77777777" w:rsidR="00990B14" w:rsidRDefault="00000000">
            <w:pPr>
              <w:spacing w:after="40"/>
              <w:jc w:val="both"/>
            </w:pPr>
            <w:r>
              <w:rPr>
                <w:sz w:val="18"/>
                <w:szCs w:val="18"/>
              </w:rPr>
              <w:t>Otros procedimientos de detalle. (P)</w:t>
            </w:r>
          </w:p>
          <w:p w14:paraId="4A95F716" w14:textId="77777777" w:rsidR="00990B14" w:rsidRDefault="00000000">
            <w:pPr>
              <w:spacing w:after="40"/>
              <w:jc w:val="both"/>
            </w:pPr>
            <w:r>
              <w:rPr>
                <w:sz w:val="18"/>
                <w:szCs w:val="18"/>
              </w:rPr>
              <w:t>Documentación de los procedimientos sustantivos de detalle. (P)</w:t>
            </w:r>
          </w:p>
          <w:p w14:paraId="7634E21A" w14:textId="77777777" w:rsidR="00990B14" w:rsidRDefault="00000000">
            <w:pPr>
              <w:spacing w:after="40"/>
              <w:jc w:val="both"/>
            </w:pPr>
            <w:r>
              <w:rPr>
                <w:sz w:val="18"/>
                <w:szCs w:val="18"/>
              </w:rPr>
              <w:t>Oportunidad de los procedimientos. (P)</w:t>
            </w:r>
          </w:p>
          <w:p w14:paraId="65D2FADA" w14:textId="77777777" w:rsidR="00990B14" w:rsidRDefault="00000000">
            <w:pPr>
              <w:spacing w:after="40"/>
              <w:jc w:val="both"/>
            </w:pPr>
            <w:r>
              <w:rPr>
                <w:sz w:val="18"/>
                <w:szCs w:val="18"/>
              </w:rPr>
              <w:t>Extensión de los procedimientos. (P)</w:t>
            </w:r>
          </w:p>
          <w:p w14:paraId="69EE5D53" w14:textId="77777777" w:rsidR="00990B14" w:rsidRDefault="00000000">
            <w:pPr>
              <w:spacing w:after="40"/>
              <w:jc w:val="both"/>
            </w:pPr>
            <w:r>
              <w:rPr>
                <w:sz w:val="18"/>
                <w:szCs w:val="18"/>
              </w:rPr>
              <w:t>Técnicas de muestreo: muestreo de atributos y muestreo por unidades monetarias, MUM. (P)</w:t>
            </w:r>
          </w:p>
          <w:p w14:paraId="787F3B13" w14:textId="77777777" w:rsidR="00990B14" w:rsidRDefault="00000000">
            <w:pPr>
              <w:spacing w:after="40"/>
              <w:jc w:val="both"/>
            </w:pPr>
            <w:r>
              <w:rPr>
                <w:sz w:val="18"/>
                <w:szCs w:val="18"/>
              </w:rPr>
              <w:t>Herramientas tecnológicas y uso del muestreo. (C, T)</w:t>
            </w:r>
          </w:p>
          <w:p w14:paraId="440A46C2" w14:textId="77777777" w:rsidR="00990B14" w:rsidRDefault="00000000">
            <w:pPr>
              <w:spacing w:after="40"/>
              <w:jc w:val="both"/>
            </w:pPr>
            <w:r>
              <w:rPr>
                <w:sz w:val="18"/>
                <w:szCs w:val="18"/>
              </w:rPr>
              <w:t>Respuesta al riesgo de fraude. (C)</w:t>
            </w:r>
          </w:p>
          <w:p w14:paraId="594947E2" w14:textId="77777777" w:rsidR="00990B14" w:rsidRDefault="00000000">
            <w:pPr>
              <w:spacing w:after="40"/>
              <w:jc w:val="both"/>
            </w:pPr>
            <w:r>
              <w:rPr>
                <w:sz w:val="18"/>
                <w:szCs w:val="18"/>
              </w:rPr>
              <w:t>Elemento de imprevisibilidad en los procedimientos de auditoría como respuesta al riesgo de fraude. (P)</w:t>
            </w:r>
          </w:p>
          <w:p w14:paraId="6B5786E9" w14:textId="77777777" w:rsidR="00990B14" w:rsidRDefault="00000000">
            <w:pPr>
              <w:spacing w:after="40"/>
              <w:jc w:val="both"/>
            </w:pPr>
            <w:r>
              <w:rPr>
                <w:sz w:val="18"/>
                <w:szCs w:val="18"/>
              </w:rPr>
              <w:t>Procedimientos de auditoría ejecutados con herramientas de análisis de datos sobre poblaciones completas y su documentación. (P, T)</w:t>
            </w:r>
          </w:p>
          <w:p w14:paraId="17DF825F" w14:textId="77777777" w:rsidR="00990B14" w:rsidRDefault="00000000">
            <w:pPr>
              <w:spacing w:after="40"/>
              <w:jc w:val="both"/>
            </w:pPr>
            <w:r>
              <w:rPr>
                <w:sz w:val="18"/>
                <w:szCs w:val="18"/>
              </w:rPr>
              <w:t>Documentación y comunicación del plan de auditoría. (P)</w:t>
            </w:r>
          </w:p>
          <w:p w14:paraId="74993560" w14:textId="77777777" w:rsidR="00990B14" w:rsidRDefault="00000000">
            <w:pPr>
              <w:spacing w:after="40"/>
              <w:jc w:val="both"/>
            </w:pPr>
            <w:r>
              <w:rPr>
                <w:sz w:val="18"/>
                <w:szCs w:val="18"/>
              </w:rPr>
              <w:t>Generalidades de la documentación de auditoría. (C, P)</w:t>
            </w:r>
          </w:p>
          <w:p w14:paraId="34A18CED" w14:textId="77777777" w:rsidR="00990B14" w:rsidRDefault="00000000">
            <w:pPr>
              <w:spacing w:after="40"/>
              <w:jc w:val="both"/>
            </w:pPr>
            <w:r>
              <w:rPr>
                <w:sz w:val="18"/>
                <w:szCs w:val="18"/>
              </w:rPr>
              <w:t>Organización del archivo de auditoría. (C)</w:t>
            </w:r>
          </w:p>
          <w:p w14:paraId="34A82D0D" w14:textId="77777777" w:rsidR="00990B14" w:rsidRDefault="00000000">
            <w:pPr>
              <w:spacing w:after="40"/>
              <w:jc w:val="both"/>
            </w:pPr>
            <w:r>
              <w:rPr>
                <w:sz w:val="18"/>
                <w:szCs w:val="18"/>
              </w:rPr>
              <w:t>Requerimientos específicos de documentación. (C, P)</w:t>
            </w:r>
          </w:p>
          <w:p w14:paraId="32D5141B" w14:textId="77777777" w:rsidR="00990B14" w:rsidRDefault="00000000">
            <w:pPr>
              <w:spacing w:after="40"/>
              <w:jc w:val="both"/>
            </w:pPr>
            <w:r>
              <w:rPr>
                <w:sz w:val="18"/>
                <w:szCs w:val="18"/>
              </w:rPr>
              <w:t>Forma, contenido y extensión de la documentación de la auditoría. (P)</w:t>
            </w:r>
          </w:p>
          <w:p w14:paraId="3371151E" w14:textId="77777777" w:rsidR="00990B14" w:rsidRDefault="00000000">
            <w:pPr>
              <w:spacing w:after="40"/>
              <w:jc w:val="both"/>
            </w:pPr>
            <w:r>
              <w:rPr>
                <w:sz w:val="18"/>
                <w:szCs w:val="18"/>
              </w:rPr>
              <w:t>Documentos electrónicos. (C, T)</w:t>
            </w:r>
          </w:p>
          <w:p w14:paraId="1443FA6A" w14:textId="77777777" w:rsidR="00990B14" w:rsidRDefault="00000000">
            <w:pPr>
              <w:spacing w:after="40"/>
              <w:jc w:val="both"/>
            </w:pPr>
            <w:r>
              <w:rPr>
                <w:sz w:val="18"/>
                <w:szCs w:val="18"/>
              </w:rPr>
              <w:t>Uso de herramientas digitales en los papeles de trabajo. (P, T)</w:t>
            </w:r>
          </w:p>
          <w:p w14:paraId="0EEA782C" w14:textId="77777777" w:rsidR="00990B14" w:rsidRDefault="00000000">
            <w:pPr>
              <w:spacing w:after="40"/>
              <w:jc w:val="both"/>
            </w:pPr>
            <w:r>
              <w:rPr>
                <w:sz w:val="18"/>
                <w:szCs w:val="18"/>
              </w:rPr>
              <w:t>Seguridad y confidencialidad del archivo electrónico de auditoría: control de accesos, respaldo y trazabilidad de los cambios. (C, A, T)</w:t>
            </w:r>
          </w:p>
          <w:p w14:paraId="5410E449" w14:textId="77777777" w:rsidR="00990B14" w:rsidRDefault="00000000">
            <w:pPr>
              <w:spacing w:after="40"/>
              <w:jc w:val="both"/>
            </w:pPr>
            <w:r>
              <w:rPr>
                <w:sz w:val="18"/>
                <w:szCs w:val="18"/>
              </w:rPr>
              <w:t>Ventajas de la automatización. (C, T)</w:t>
            </w:r>
          </w:p>
          <w:p w14:paraId="2712961E" w14:textId="77777777" w:rsidR="00990B14" w:rsidRDefault="00000000">
            <w:pPr>
              <w:spacing w:after="40"/>
              <w:jc w:val="both"/>
            </w:pPr>
            <w:r>
              <w:rPr>
                <w:sz w:val="18"/>
                <w:szCs w:val="18"/>
              </w:rPr>
              <w:t>Propiedad del archivo. (C)</w:t>
            </w:r>
          </w:p>
          <w:p w14:paraId="0F15CF53" w14:textId="77777777" w:rsidR="00990B14" w:rsidRDefault="00000000">
            <w:pPr>
              <w:spacing w:after="40"/>
              <w:jc w:val="both"/>
            </w:pPr>
            <w:r>
              <w:rPr>
                <w:sz w:val="18"/>
                <w:szCs w:val="18"/>
              </w:rPr>
              <w:t>Terminación del archivo. (C)</w:t>
            </w:r>
          </w:p>
          <w:p w14:paraId="52BF4F22" w14:textId="77777777" w:rsidR="00990B14" w:rsidRDefault="00000000">
            <w:pPr>
              <w:spacing w:after="40"/>
              <w:jc w:val="both"/>
            </w:pPr>
            <w:r>
              <w:rPr>
                <w:sz w:val="18"/>
                <w:szCs w:val="18"/>
              </w:rPr>
              <w:t>Realización de cambios al archivo. (C)</w:t>
            </w:r>
          </w:p>
          <w:p w14:paraId="104BBD19" w14:textId="77777777" w:rsidR="00990B14" w:rsidRDefault="00000000">
            <w:pPr>
              <w:spacing w:after="40"/>
              <w:jc w:val="both"/>
            </w:pPr>
            <w:r>
              <w:rPr>
                <w:sz w:val="18"/>
                <w:szCs w:val="18"/>
              </w:rPr>
              <w:t>Almacenamiento y mantenimiento de la documentación. (P)</w:t>
            </w:r>
          </w:p>
          <w:p w14:paraId="44A21138" w14:textId="77777777" w:rsidR="00990B14" w:rsidRDefault="00000000">
            <w:pPr>
              <w:spacing w:after="40"/>
              <w:jc w:val="both"/>
            </w:pPr>
            <w:r>
              <w:rPr>
                <w:sz w:val="18"/>
                <w:szCs w:val="18"/>
              </w:rPr>
              <w:t>Generalidades de las representaciones escritas. (C)</w:t>
            </w:r>
          </w:p>
        </w:tc>
        <w:tc>
          <w:tcPr>
            <w:tcW w:w="2752" w:type="dxa"/>
            <w:gridSpan w:val="3"/>
            <w:shd w:val="clear" w:color="auto" w:fill="D9E2F3"/>
          </w:tcPr>
          <w:p w14:paraId="187B6079" w14:textId="77777777" w:rsidR="00990B14" w:rsidRDefault="00000000">
            <w:pPr>
              <w:numPr>
                <w:ilvl w:val="0"/>
                <w:numId w:val="139"/>
              </w:numPr>
              <w:spacing w:before="10" w:after="10"/>
              <w:jc w:val="both"/>
            </w:pPr>
            <w:r>
              <w:rPr>
                <w:sz w:val="18"/>
                <w:szCs w:val="18"/>
              </w:rPr>
              <w:t>Respuestas de auditoría a los riesgos identificados en las entidades bolivianas.</w:t>
            </w:r>
          </w:p>
          <w:p w14:paraId="5030AE3D" w14:textId="77777777" w:rsidR="00990B14" w:rsidRDefault="00000000">
            <w:pPr>
              <w:numPr>
                <w:ilvl w:val="0"/>
                <w:numId w:val="139"/>
              </w:numPr>
              <w:spacing w:before="10" w:after="10"/>
              <w:jc w:val="both"/>
            </w:pPr>
            <w:r>
              <w:rPr>
                <w:sz w:val="18"/>
                <w:szCs w:val="18"/>
              </w:rPr>
              <w:t>Confirmaciones externas a entidades financieras, proveedores y clientes.</w:t>
            </w:r>
          </w:p>
          <w:p w14:paraId="76994169" w14:textId="77777777" w:rsidR="00990B14" w:rsidRDefault="00000000">
            <w:pPr>
              <w:numPr>
                <w:ilvl w:val="0"/>
                <w:numId w:val="139"/>
              </w:numPr>
              <w:spacing w:before="10" w:after="10"/>
              <w:jc w:val="both"/>
            </w:pPr>
            <w:r>
              <w:rPr>
                <w:sz w:val="18"/>
                <w:szCs w:val="18"/>
              </w:rPr>
              <w:t>Norma Internacional de Auditoría 530, Muestreo de auditoría, adoptada en Bolivia por la Resolución CTNAC N.º 01/2015.</w:t>
            </w:r>
          </w:p>
          <w:p w14:paraId="706F3E85" w14:textId="77777777" w:rsidR="00990B14" w:rsidRDefault="00000000">
            <w:pPr>
              <w:numPr>
                <w:ilvl w:val="0"/>
                <w:numId w:val="139"/>
              </w:numPr>
              <w:spacing w:before="10" w:after="10"/>
              <w:jc w:val="both"/>
            </w:pPr>
            <w:r>
              <w:rPr>
                <w:sz w:val="18"/>
                <w:szCs w:val="18"/>
              </w:rPr>
              <w:t>Plazos de conservación de la documentación y de respaldo establecidos en el Código de Comercio y en el Código Tributario Boliviano.</w:t>
            </w:r>
          </w:p>
        </w:tc>
      </w:tr>
      <w:tr w:rsidR="00990B14" w14:paraId="2813A396" w14:textId="77777777">
        <w:trPr>
          <w:cantSplit/>
          <w:jc w:val="center"/>
        </w:trPr>
        <w:tc>
          <w:tcPr>
            <w:tcW w:w="9405" w:type="dxa"/>
            <w:gridSpan w:val="13"/>
            <w:shd w:val="clear" w:color="auto" w:fill="D9E2F3"/>
            <w:vAlign w:val="center"/>
          </w:tcPr>
          <w:p w14:paraId="022A33D8" w14:textId="77777777" w:rsidR="00990B14" w:rsidRDefault="00000000">
            <w:pPr>
              <w:spacing w:before="20" w:after="20"/>
              <w:jc w:val="both"/>
            </w:pPr>
            <w:r>
              <w:rPr>
                <w:b/>
                <w:bCs/>
                <w:i/>
                <w:iCs/>
                <w:sz w:val="18"/>
                <w:szCs w:val="18"/>
              </w:rPr>
              <w:t xml:space="preserve">Elemento de competencia 6: </w:t>
            </w:r>
            <w:r>
              <w:rPr>
                <w:sz w:val="18"/>
                <w:szCs w:val="18"/>
              </w:rPr>
              <w:t>Emite el informe del auditor independiente y la carta de recomendaciones de control interno, evaluando la evidencia de auditoría obtenida y comunicando los hallazgos a los responsables del gobierno de la entidad.</w:t>
            </w:r>
          </w:p>
        </w:tc>
      </w:tr>
      <w:tr w:rsidR="00990B14" w14:paraId="6DC5FD19" w14:textId="77777777">
        <w:trPr>
          <w:cantSplit/>
          <w:jc w:val="center"/>
        </w:trPr>
        <w:tc>
          <w:tcPr>
            <w:tcW w:w="3133" w:type="dxa"/>
            <w:gridSpan w:val="4"/>
            <w:shd w:val="clear" w:color="auto" w:fill="4472C4"/>
            <w:vAlign w:val="center"/>
          </w:tcPr>
          <w:p w14:paraId="14777B3A"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46BF205C"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2D493D6B" w14:textId="77777777" w:rsidR="00990B14" w:rsidRDefault="00000000">
            <w:pPr>
              <w:keepNext/>
              <w:spacing w:before="20" w:after="20"/>
              <w:jc w:val="center"/>
            </w:pPr>
            <w:r>
              <w:rPr>
                <w:b/>
                <w:bCs/>
                <w:i/>
                <w:iCs/>
                <w:color w:val="FFFFFF"/>
                <w:sz w:val="18"/>
                <w:szCs w:val="18"/>
              </w:rPr>
              <w:t>Evidencias de producto</w:t>
            </w:r>
          </w:p>
        </w:tc>
      </w:tr>
      <w:tr w:rsidR="00990B14" w14:paraId="313C7539" w14:textId="77777777">
        <w:trPr>
          <w:cantSplit/>
          <w:jc w:val="center"/>
        </w:trPr>
        <w:tc>
          <w:tcPr>
            <w:tcW w:w="3133" w:type="dxa"/>
            <w:gridSpan w:val="4"/>
            <w:vMerge w:val="restart"/>
            <w:shd w:val="clear" w:color="auto" w:fill="D9E2F3"/>
            <w:vAlign w:val="center"/>
          </w:tcPr>
          <w:p w14:paraId="5F8B9002" w14:textId="77777777" w:rsidR="00990B14" w:rsidRDefault="00000000">
            <w:pPr>
              <w:spacing w:before="20" w:after="20"/>
              <w:jc w:val="both"/>
            </w:pPr>
            <w:r>
              <w:rPr>
                <w:sz w:val="18"/>
                <w:szCs w:val="18"/>
              </w:rPr>
              <w:t>1. Evalúa la evidencia de auditoría obtenida y comunica los hallazgos a los responsables del gobierno de la entidad.</w:t>
            </w:r>
          </w:p>
        </w:tc>
        <w:tc>
          <w:tcPr>
            <w:tcW w:w="3135" w:type="dxa"/>
            <w:gridSpan w:val="5"/>
            <w:shd w:val="clear" w:color="auto" w:fill="D9E2F3"/>
            <w:vAlign w:val="center"/>
          </w:tcPr>
          <w:p w14:paraId="0820742C" w14:textId="77777777" w:rsidR="00990B14" w:rsidRDefault="00000000">
            <w:pPr>
              <w:spacing w:before="20" w:after="20"/>
              <w:jc w:val="both"/>
            </w:pPr>
            <w:r>
              <w:rPr>
                <w:sz w:val="18"/>
                <w:szCs w:val="18"/>
              </w:rPr>
              <w:t>1.1 Evalúa en aula la suficiencia de la evidencia y el efecto de las incorrecciones no corregidas de un caso práctico para determinar el tipo de opinión.</w:t>
            </w:r>
          </w:p>
        </w:tc>
        <w:tc>
          <w:tcPr>
            <w:tcW w:w="3137" w:type="dxa"/>
            <w:gridSpan w:val="4"/>
            <w:shd w:val="clear" w:color="auto" w:fill="D9E2F3"/>
            <w:vAlign w:val="center"/>
          </w:tcPr>
          <w:p w14:paraId="60156E7C" w14:textId="77777777" w:rsidR="00990B14" w:rsidRDefault="00000000">
            <w:pPr>
              <w:spacing w:before="20" w:after="20"/>
              <w:jc w:val="both"/>
            </w:pPr>
            <w:r>
              <w:rPr>
                <w:b/>
                <w:bCs/>
                <w:sz w:val="18"/>
                <w:szCs w:val="18"/>
              </w:rPr>
              <w:t xml:space="preserve">Producto 21: </w:t>
            </w:r>
            <w:r>
              <w:rPr>
                <w:sz w:val="18"/>
                <w:szCs w:val="18"/>
              </w:rPr>
              <w:t>Resumen de incorrecciones y evaluación de la evidencia de auditoría.</w:t>
            </w:r>
          </w:p>
        </w:tc>
      </w:tr>
      <w:tr w:rsidR="00990B14" w14:paraId="1A144756" w14:textId="77777777">
        <w:trPr>
          <w:cantSplit/>
          <w:jc w:val="center"/>
        </w:trPr>
        <w:tc>
          <w:tcPr>
            <w:tcW w:w="3133" w:type="dxa"/>
            <w:gridSpan w:val="4"/>
            <w:vMerge/>
            <w:shd w:val="clear" w:color="auto" w:fill="D9E2F3"/>
            <w:vAlign w:val="center"/>
          </w:tcPr>
          <w:p w14:paraId="7769CDF1" w14:textId="77777777" w:rsidR="00990B14" w:rsidRDefault="00990B14">
            <w:pPr>
              <w:spacing w:before="20" w:after="20"/>
            </w:pPr>
          </w:p>
        </w:tc>
        <w:tc>
          <w:tcPr>
            <w:tcW w:w="3135" w:type="dxa"/>
            <w:gridSpan w:val="5"/>
            <w:shd w:val="clear" w:color="auto" w:fill="D9E2F3"/>
            <w:vAlign w:val="center"/>
          </w:tcPr>
          <w:p w14:paraId="310E8645" w14:textId="77777777" w:rsidR="00990B14" w:rsidRDefault="00000000">
            <w:pPr>
              <w:spacing w:before="20" w:after="20"/>
              <w:jc w:val="both"/>
            </w:pPr>
            <w:r>
              <w:rPr>
                <w:sz w:val="18"/>
                <w:szCs w:val="18"/>
              </w:rPr>
              <w:t>1.2 Comunica en equipo los hallazgos significativos a los responsables del gobierno en un simulacro.</w:t>
            </w:r>
          </w:p>
        </w:tc>
        <w:tc>
          <w:tcPr>
            <w:tcW w:w="3137" w:type="dxa"/>
            <w:gridSpan w:val="4"/>
            <w:shd w:val="clear" w:color="auto" w:fill="D9E2F3"/>
            <w:vAlign w:val="center"/>
          </w:tcPr>
          <w:p w14:paraId="1541D851" w14:textId="77777777" w:rsidR="00990B14" w:rsidRDefault="00000000">
            <w:pPr>
              <w:spacing w:before="20" w:after="20"/>
              <w:jc w:val="both"/>
            </w:pPr>
            <w:r>
              <w:rPr>
                <w:b/>
                <w:bCs/>
                <w:sz w:val="18"/>
                <w:szCs w:val="18"/>
              </w:rPr>
              <w:t xml:space="preserve">Producto 22: </w:t>
            </w:r>
            <w:r>
              <w:rPr>
                <w:sz w:val="18"/>
                <w:szCs w:val="18"/>
              </w:rPr>
              <w:t>Comunicación escrita a los responsables del gobierno de la entidad.</w:t>
            </w:r>
          </w:p>
        </w:tc>
      </w:tr>
      <w:tr w:rsidR="00990B14" w14:paraId="7192B204" w14:textId="77777777">
        <w:trPr>
          <w:cantSplit/>
          <w:jc w:val="center"/>
        </w:trPr>
        <w:tc>
          <w:tcPr>
            <w:tcW w:w="3133" w:type="dxa"/>
            <w:gridSpan w:val="4"/>
            <w:vMerge w:val="restart"/>
            <w:shd w:val="clear" w:color="auto" w:fill="D9E2F3"/>
            <w:vAlign w:val="center"/>
          </w:tcPr>
          <w:p w14:paraId="170172A8" w14:textId="77777777" w:rsidR="00990B14" w:rsidRDefault="00000000">
            <w:pPr>
              <w:spacing w:before="20" w:after="20"/>
              <w:jc w:val="both"/>
            </w:pPr>
            <w:r>
              <w:rPr>
                <w:sz w:val="18"/>
                <w:szCs w:val="18"/>
              </w:rPr>
              <w:t>2. Formula una opinión, emite el informe del auditor y la carta de recomendaciones conforme a la estructura y a las modificaciones que correspondan.</w:t>
            </w:r>
          </w:p>
        </w:tc>
        <w:tc>
          <w:tcPr>
            <w:tcW w:w="3135" w:type="dxa"/>
            <w:gridSpan w:val="5"/>
            <w:shd w:val="clear" w:color="auto" w:fill="D9E2F3"/>
            <w:vAlign w:val="center"/>
          </w:tcPr>
          <w:p w14:paraId="2D98444A" w14:textId="77777777" w:rsidR="00990B14" w:rsidRDefault="00000000">
            <w:pPr>
              <w:spacing w:before="20" w:after="20"/>
              <w:jc w:val="both"/>
            </w:pPr>
            <w:r>
              <w:rPr>
                <w:sz w:val="18"/>
                <w:szCs w:val="18"/>
              </w:rPr>
              <w:t>2.1 Formula la opinión y redacta en aula el informe del auditor con la opinión que corresponde al caso.</w:t>
            </w:r>
          </w:p>
        </w:tc>
        <w:tc>
          <w:tcPr>
            <w:tcW w:w="3137" w:type="dxa"/>
            <w:gridSpan w:val="4"/>
            <w:shd w:val="clear" w:color="auto" w:fill="D9E2F3"/>
            <w:vAlign w:val="center"/>
          </w:tcPr>
          <w:p w14:paraId="458099A2" w14:textId="77777777" w:rsidR="00990B14" w:rsidRDefault="00000000">
            <w:pPr>
              <w:spacing w:before="20" w:after="20"/>
              <w:jc w:val="both"/>
            </w:pPr>
            <w:r>
              <w:rPr>
                <w:b/>
                <w:bCs/>
                <w:sz w:val="18"/>
                <w:szCs w:val="18"/>
              </w:rPr>
              <w:t xml:space="preserve">Producto 23: </w:t>
            </w:r>
            <w:r>
              <w:rPr>
                <w:sz w:val="18"/>
                <w:szCs w:val="18"/>
              </w:rPr>
              <w:t>Papeles de trabajo de formación de la opinión y redacción del informe del auditor independiente del caso práctico.</w:t>
            </w:r>
          </w:p>
        </w:tc>
      </w:tr>
      <w:tr w:rsidR="00990B14" w14:paraId="30520C03" w14:textId="77777777">
        <w:trPr>
          <w:cantSplit/>
          <w:jc w:val="center"/>
        </w:trPr>
        <w:tc>
          <w:tcPr>
            <w:tcW w:w="3133" w:type="dxa"/>
            <w:gridSpan w:val="4"/>
            <w:vMerge/>
            <w:shd w:val="clear" w:color="auto" w:fill="D9E2F3"/>
            <w:vAlign w:val="center"/>
          </w:tcPr>
          <w:p w14:paraId="23C43F50" w14:textId="77777777" w:rsidR="00990B14" w:rsidRDefault="00990B14">
            <w:pPr>
              <w:spacing w:before="20" w:after="20"/>
            </w:pPr>
          </w:p>
        </w:tc>
        <w:tc>
          <w:tcPr>
            <w:tcW w:w="3135" w:type="dxa"/>
            <w:gridSpan w:val="5"/>
            <w:shd w:val="clear" w:color="auto" w:fill="D9E2F3"/>
            <w:vAlign w:val="center"/>
          </w:tcPr>
          <w:p w14:paraId="3ABD9D48" w14:textId="77777777" w:rsidR="00990B14" w:rsidRDefault="00000000">
            <w:pPr>
              <w:spacing w:before="20" w:after="20"/>
              <w:jc w:val="both"/>
            </w:pPr>
            <w:r>
              <w:rPr>
                <w:sz w:val="18"/>
                <w:szCs w:val="18"/>
              </w:rPr>
              <w:t>2.2 Redacta en equipo las observaciones y recomendaciones de control interno del caso.</w:t>
            </w:r>
          </w:p>
        </w:tc>
        <w:tc>
          <w:tcPr>
            <w:tcW w:w="3137" w:type="dxa"/>
            <w:gridSpan w:val="4"/>
            <w:shd w:val="clear" w:color="auto" w:fill="D9E2F3"/>
            <w:vAlign w:val="center"/>
          </w:tcPr>
          <w:p w14:paraId="174795FF" w14:textId="77777777" w:rsidR="00990B14" w:rsidRDefault="00000000">
            <w:pPr>
              <w:spacing w:before="20" w:after="20"/>
              <w:jc w:val="both"/>
            </w:pPr>
            <w:r>
              <w:rPr>
                <w:b/>
                <w:bCs/>
                <w:sz w:val="18"/>
                <w:szCs w:val="18"/>
              </w:rPr>
              <w:t xml:space="preserve">Producto 24: </w:t>
            </w:r>
            <w:r>
              <w:rPr>
                <w:sz w:val="18"/>
                <w:szCs w:val="18"/>
              </w:rPr>
              <w:t>Carta de recomendaciones de control interno del caso práctico.</w:t>
            </w:r>
          </w:p>
        </w:tc>
      </w:tr>
      <w:tr w:rsidR="00990B14" w14:paraId="5F63A654" w14:textId="77777777">
        <w:trPr>
          <w:cantSplit/>
          <w:jc w:val="center"/>
        </w:trPr>
        <w:tc>
          <w:tcPr>
            <w:tcW w:w="9405" w:type="dxa"/>
            <w:gridSpan w:val="13"/>
            <w:shd w:val="clear" w:color="auto" w:fill="4472C4"/>
            <w:vAlign w:val="center"/>
          </w:tcPr>
          <w:p w14:paraId="56A3A7A7" w14:textId="77777777" w:rsidR="00990B14" w:rsidRDefault="00000000">
            <w:pPr>
              <w:keepNext/>
              <w:spacing w:before="20" w:after="20"/>
              <w:jc w:val="center"/>
            </w:pPr>
            <w:r>
              <w:rPr>
                <w:b/>
                <w:bCs/>
                <w:i/>
                <w:iCs/>
                <w:color w:val="FFFFFF"/>
                <w:sz w:val="18"/>
                <w:szCs w:val="18"/>
              </w:rPr>
              <w:t>Evidencias de conocimiento</w:t>
            </w:r>
          </w:p>
        </w:tc>
      </w:tr>
      <w:tr w:rsidR="00990B14" w14:paraId="5A5524DC" w14:textId="77777777">
        <w:trPr>
          <w:cantSplit/>
          <w:jc w:val="center"/>
        </w:trPr>
        <w:tc>
          <w:tcPr>
            <w:tcW w:w="2349" w:type="dxa"/>
            <w:gridSpan w:val="2"/>
            <w:shd w:val="clear" w:color="auto" w:fill="4472C4"/>
            <w:vAlign w:val="center"/>
          </w:tcPr>
          <w:p w14:paraId="0CF0DD9A"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0F7224CE" w14:textId="77777777" w:rsidR="00990B14" w:rsidRDefault="00000000">
            <w:pPr>
              <w:keepNext/>
              <w:spacing w:before="20" w:after="20"/>
              <w:jc w:val="both"/>
            </w:pPr>
            <w:r>
              <w:rPr>
                <w:b/>
                <w:bCs/>
                <w:i/>
                <w:iCs/>
                <w:color w:val="FFFFFF"/>
                <w:sz w:val="18"/>
                <w:szCs w:val="18"/>
              </w:rPr>
              <w:t>Contenidos</w:t>
            </w:r>
          </w:p>
          <w:p w14:paraId="28FAADBB"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33E7AFEF" w14:textId="77777777" w:rsidR="00990B14" w:rsidRDefault="00000000">
            <w:pPr>
              <w:keepNext/>
              <w:spacing w:before="20" w:after="20"/>
              <w:jc w:val="center"/>
            </w:pPr>
            <w:r>
              <w:rPr>
                <w:b/>
                <w:bCs/>
                <w:i/>
                <w:iCs/>
                <w:color w:val="FFFFFF"/>
                <w:sz w:val="18"/>
                <w:szCs w:val="18"/>
              </w:rPr>
              <w:t>Conocimientos circunstanciales</w:t>
            </w:r>
          </w:p>
        </w:tc>
      </w:tr>
      <w:tr w:rsidR="00990B14" w14:paraId="2C5BEBCF" w14:textId="77777777">
        <w:trPr>
          <w:jc w:val="center"/>
        </w:trPr>
        <w:tc>
          <w:tcPr>
            <w:tcW w:w="2349" w:type="dxa"/>
            <w:gridSpan w:val="2"/>
            <w:shd w:val="clear" w:color="auto" w:fill="D9E2F3"/>
          </w:tcPr>
          <w:p w14:paraId="0F73FF3D" w14:textId="77777777" w:rsidR="00990B14" w:rsidRDefault="00000000">
            <w:pPr>
              <w:spacing w:before="20" w:after="40"/>
              <w:jc w:val="both"/>
            </w:pPr>
            <w:r>
              <w:rPr>
                <w:sz w:val="18"/>
                <w:szCs w:val="18"/>
              </w:rPr>
              <w:t>Tema 33: Evaluación de la evidencia de auditoría</w:t>
            </w:r>
          </w:p>
          <w:p w14:paraId="70138F8A" w14:textId="77777777" w:rsidR="00990B14" w:rsidRDefault="00000000">
            <w:pPr>
              <w:spacing w:before="20" w:after="40"/>
              <w:jc w:val="both"/>
            </w:pPr>
            <w:r>
              <w:rPr>
                <w:sz w:val="18"/>
                <w:szCs w:val="18"/>
              </w:rPr>
              <w:t>Tema 34: Comunicación con los responsables de la entidad</w:t>
            </w:r>
          </w:p>
          <w:p w14:paraId="39768CCE" w14:textId="77777777" w:rsidR="00990B14" w:rsidRDefault="00000000">
            <w:pPr>
              <w:spacing w:before="20" w:after="40"/>
              <w:jc w:val="both"/>
            </w:pPr>
            <w:r>
              <w:rPr>
                <w:sz w:val="18"/>
                <w:szCs w:val="18"/>
              </w:rPr>
              <w:t>Tema 35: Formación de la opinión y el informe del auditor</w:t>
            </w:r>
          </w:p>
          <w:p w14:paraId="1404956D" w14:textId="77777777" w:rsidR="00990B14" w:rsidRDefault="00000000">
            <w:pPr>
              <w:spacing w:before="20" w:after="40"/>
              <w:jc w:val="both"/>
            </w:pPr>
            <w:r>
              <w:rPr>
                <w:sz w:val="18"/>
                <w:szCs w:val="18"/>
              </w:rPr>
              <w:t>Tema 36: La carta de recomendaciones</w:t>
            </w:r>
          </w:p>
        </w:tc>
        <w:tc>
          <w:tcPr>
            <w:tcW w:w="4304" w:type="dxa"/>
            <w:gridSpan w:val="8"/>
            <w:shd w:val="clear" w:color="auto" w:fill="D9E2F3"/>
          </w:tcPr>
          <w:p w14:paraId="0EE5413B" w14:textId="77777777" w:rsidR="00990B14" w:rsidRDefault="00000000">
            <w:pPr>
              <w:spacing w:after="40"/>
              <w:jc w:val="both"/>
            </w:pPr>
            <w:r>
              <w:rPr>
                <w:sz w:val="18"/>
                <w:szCs w:val="18"/>
              </w:rPr>
              <w:t>Metas en la evaluación de la evidencia de auditoría. (P)</w:t>
            </w:r>
          </w:p>
          <w:p w14:paraId="0C04249E" w14:textId="77777777" w:rsidR="00990B14" w:rsidRDefault="00000000">
            <w:pPr>
              <w:spacing w:after="40"/>
              <w:jc w:val="both"/>
            </w:pPr>
            <w:r>
              <w:rPr>
                <w:sz w:val="18"/>
                <w:szCs w:val="18"/>
              </w:rPr>
              <w:t>Reevaluación de la materialidad. (P)</w:t>
            </w:r>
          </w:p>
          <w:p w14:paraId="15FD6D02" w14:textId="77777777" w:rsidR="00990B14" w:rsidRDefault="00000000">
            <w:pPr>
              <w:spacing w:after="40"/>
              <w:jc w:val="both"/>
            </w:pPr>
            <w:r>
              <w:rPr>
                <w:sz w:val="18"/>
                <w:szCs w:val="18"/>
              </w:rPr>
              <w:t>Cambios en valoraciones de riesgo. (C)</w:t>
            </w:r>
          </w:p>
          <w:p w14:paraId="364BB4A1" w14:textId="77777777" w:rsidR="00990B14" w:rsidRDefault="00000000">
            <w:pPr>
              <w:spacing w:after="40"/>
              <w:jc w:val="both"/>
            </w:pPr>
            <w:r>
              <w:rPr>
                <w:sz w:val="18"/>
                <w:szCs w:val="18"/>
              </w:rPr>
              <w:t>Evidencia de auditoría suficiente y adecuada. (C)</w:t>
            </w:r>
          </w:p>
          <w:p w14:paraId="115D423B" w14:textId="77777777" w:rsidR="00990B14" w:rsidRDefault="00000000">
            <w:pPr>
              <w:spacing w:after="40"/>
              <w:jc w:val="both"/>
            </w:pPr>
            <w:r>
              <w:rPr>
                <w:sz w:val="18"/>
                <w:szCs w:val="18"/>
              </w:rPr>
              <w:t>Procedimientos analíticos finales. (P)</w:t>
            </w:r>
          </w:p>
          <w:p w14:paraId="41C29EAF" w14:textId="77777777" w:rsidR="00990B14" w:rsidRDefault="00000000">
            <w:pPr>
              <w:spacing w:after="40"/>
              <w:jc w:val="both"/>
            </w:pPr>
            <w:r>
              <w:rPr>
                <w:sz w:val="18"/>
                <w:szCs w:val="18"/>
              </w:rPr>
              <w:t>Evaluación de la hipótesis de empresa en funcionamiento. (C, P)</w:t>
            </w:r>
          </w:p>
          <w:p w14:paraId="624E83D4" w14:textId="77777777" w:rsidR="00990B14" w:rsidRDefault="00000000">
            <w:pPr>
              <w:spacing w:after="40"/>
              <w:jc w:val="both"/>
            </w:pPr>
            <w:r>
              <w:rPr>
                <w:sz w:val="18"/>
                <w:szCs w:val="18"/>
              </w:rPr>
              <w:t>Hechos posteriores al cierre y su efecto en la evidencia obtenida y en la opinión del auditor. (C)</w:t>
            </w:r>
          </w:p>
          <w:p w14:paraId="79243733" w14:textId="77777777" w:rsidR="00990B14" w:rsidRDefault="00000000">
            <w:pPr>
              <w:spacing w:after="40"/>
              <w:jc w:val="both"/>
            </w:pPr>
            <w:r>
              <w:rPr>
                <w:sz w:val="18"/>
                <w:szCs w:val="18"/>
              </w:rPr>
              <w:t>Valoración del efecto de las incorrecciones materiales. (P)</w:t>
            </w:r>
          </w:p>
          <w:p w14:paraId="7D66A1E6" w14:textId="77777777" w:rsidR="00990B14" w:rsidRDefault="00000000">
            <w:pPr>
              <w:spacing w:after="40"/>
              <w:jc w:val="both"/>
            </w:pPr>
            <w:r>
              <w:rPr>
                <w:sz w:val="18"/>
                <w:szCs w:val="18"/>
              </w:rPr>
              <w:t>Hallazgos y problemas significativos. (C)</w:t>
            </w:r>
          </w:p>
          <w:p w14:paraId="655DF6DA" w14:textId="77777777" w:rsidR="00990B14" w:rsidRDefault="00000000">
            <w:pPr>
              <w:spacing w:after="40"/>
              <w:jc w:val="both"/>
            </w:pPr>
            <w:r>
              <w:rPr>
                <w:sz w:val="18"/>
                <w:szCs w:val="18"/>
              </w:rPr>
              <w:t>Estudio de caso: evaluación de la evidencia de auditoría. (P)</w:t>
            </w:r>
          </w:p>
          <w:p w14:paraId="60D4049A" w14:textId="77777777" w:rsidR="00990B14" w:rsidRDefault="00000000">
            <w:pPr>
              <w:spacing w:after="40"/>
              <w:jc w:val="both"/>
            </w:pPr>
            <w:r>
              <w:rPr>
                <w:sz w:val="18"/>
                <w:szCs w:val="18"/>
              </w:rPr>
              <w:t>Generalidades de la comunicación con los responsables de la entidad. (C)</w:t>
            </w:r>
          </w:p>
          <w:p w14:paraId="40C16801" w14:textId="77777777" w:rsidR="00990B14" w:rsidRDefault="00000000">
            <w:pPr>
              <w:spacing w:after="40"/>
              <w:jc w:val="both"/>
            </w:pPr>
            <w:r>
              <w:rPr>
                <w:sz w:val="18"/>
                <w:szCs w:val="18"/>
              </w:rPr>
              <w:t>Evaluación de las conclusiones y formación de la opinión. (P)</w:t>
            </w:r>
          </w:p>
          <w:p w14:paraId="56BFC2F5" w14:textId="77777777" w:rsidR="00990B14" w:rsidRDefault="00000000">
            <w:pPr>
              <w:spacing w:after="40"/>
              <w:jc w:val="both"/>
            </w:pPr>
            <w:r>
              <w:rPr>
                <w:sz w:val="18"/>
                <w:szCs w:val="18"/>
              </w:rPr>
              <w:t>Forma y redacción del informe de auditoría. (C)</w:t>
            </w:r>
          </w:p>
          <w:p w14:paraId="15A70D9E" w14:textId="77777777" w:rsidR="00990B14" w:rsidRDefault="00000000">
            <w:pPr>
              <w:spacing w:after="40"/>
              <w:jc w:val="both"/>
            </w:pPr>
            <w:r>
              <w:rPr>
                <w:sz w:val="18"/>
                <w:szCs w:val="18"/>
              </w:rPr>
              <w:t>Estructura del informe del auditor. (C)</w:t>
            </w:r>
          </w:p>
          <w:p w14:paraId="44C22D5B" w14:textId="77777777" w:rsidR="00990B14" w:rsidRDefault="00000000">
            <w:pPr>
              <w:spacing w:after="40"/>
              <w:jc w:val="both"/>
            </w:pPr>
            <w:r>
              <w:rPr>
                <w:sz w:val="18"/>
                <w:szCs w:val="18"/>
              </w:rPr>
              <w:t>Opinión de auditoría no modificada. (C)</w:t>
            </w:r>
          </w:p>
          <w:p w14:paraId="6852D66C" w14:textId="77777777" w:rsidR="00990B14" w:rsidRDefault="00000000">
            <w:pPr>
              <w:spacing w:after="40"/>
              <w:jc w:val="both"/>
            </w:pPr>
            <w:r>
              <w:rPr>
                <w:sz w:val="18"/>
                <w:szCs w:val="18"/>
              </w:rPr>
              <w:t>Otros requerimientos de información. (C)</w:t>
            </w:r>
          </w:p>
          <w:p w14:paraId="4CF8C952" w14:textId="77777777" w:rsidR="00990B14" w:rsidRDefault="00000000">
            <w:pPr>
              <w:spacing w:after="40"/>
              <w:jc w:val="both"/>
            </w:pPr>
            <w:r>
              <w:rPr>
                <w:sz w:val="18"/>
                <w:szCs w:val="18"/>
              </w:rPr>
              <w:t>Información adicional presentada junto con los estados financieros. (C)</w:t>
            </w:r>
          </w:p>
          <w:p w14:paraId="7F5031B1" w14:textId="77777777" w:rsidR="00990B14" w:rsidRDefault="00000000">
            <w:pPr>
              <w:spacing w:after="40"/>
              <w:jc w:val="both"/>
            </w:pPr>
            <w:r>
              <w:rPr>
                <w:sz w:val="18"/>
                <w:szCs w:val="18"/>
              </w:rPr>
              <w:t>Informes del auditor modificados. (C)</w:t>
            </w:r>
          </w:p>
          <w:p w14:paraId="428F4A83" w14:textId="77777777" w:rsidR="00990B14" w:rsidRDefault="00000000">
            <w:pPr>
              <w:spacing w:after="40"/>
              <w:jc w:val="both"/>
            </w:pPr>
            <w:r>
              <w:rPr>
                <w:sz w:val="18"/>
                <w:szCs w:val="18"/>
              </w:rPr>
              <w:t>Estados financieros con incorrecciones materiales. (C)</w:t>
            </w:r>
          </w:p>
          <w:p w14:paraId="0E2A5D22" w14:textId="77777777" w:rsidR="00990B14" w:rsidRDefault="00000000">
            <w:pPr>
              <w:spacing w:after="40"/>
              <w:jc w:val="both"/>
            </w:pPr>
            <w:r>
              <w:rPr>
                <w:sz w:val="18"/>
                <w:szCs w:val="18"/>
              </w:rPr>
              <w:t>Imposibilidad de obtener evidencia de auditoría suficiente y adecuada. (C)</w:t>
            </w:r>
          </w:p>
          <w:p w14:paraId="0A439727" w14:textId="77777777" w:rsidR="00990B14" w:rsidRDefault="00000000">
            <w:pPr>
              <w:spacing w:after="40"/>
              <w:jc w:val="both"/>
            </w:pPr>
            <w:r>
              <w:rPr>
                <w:sz w:val="18"/>
                <w:szCs w:val="18"/>
              </w:rPr>
              <w:t>Párrafos de énfasis y párrafos de otras cuestiones. (C)</w:t>
            </w:r>
          </w:p>
          <w:p w14:paraId="5E0A76AD" w14:textId="77777777" w:rsidR="00990B14" w:rsidRDefault="00000000">
            <w:pPr>
              <w:spacing w:after="40"/>
              <w:jc w:val="both"/>
            </w:pPr>
            <w:r>
              <w:rPr>
                <w:sz w:val="18"/>
                <w:szCs w:val="18"/>
              </w:rPr>
              <w:t>Párrafo de incertidumbre material relacionada con la empresa en funcionamiento y su ubicación en el informe. (C)</w:t>
            </w:r>
          </w:p>
          <w:p w14:paraId="5277BDF0" w14:textId="77777777" w:rsidR="00990B14" w:rsidRDefault="00000000">
            <w:pPr>
              <w:spacing w:after="40"/>
              <w:jc w:val="both"/>
            </w:pPr>
            <w:r>
              <w:rPr>
                <w:sz w:val="18"/>
                <w:szCs w:val="18"/>
              </w:rPr>
              <w:t>Informes de auditoría sobre estados financieros comparativos: cifras correspondientes y estados financieros comparativos. (C)</w:t>
            </w:r>
          </w:p>
          <w:p w14:paraId="56BE7A07" w14:textId="77777777" w:rsidR="00990B14" w:rsidRDefault="00000000">
            <w:pPr>
              <w:spacing w:after="40"/>
              <w:jc w:val="both"/>
            </w:pPr>
            <w:r>
              <w:rPr>
                <w:sz w:val="18"/>
                <w:szCs w:val="18"/>
              </w:rPr>
              <w:t>Introducción a la carta de recomendaciones. (C)</w:t>
            </w:r>
          </w:p>
          <w:p w14:paraId="645C3037" w14:textId="77777777" w:rsidR="00990B14" w:rsidRDefault="00000000">
            <w:pPr>
              <w:spacing w:after="40"/>
              <w:jc w:val="both"/>
            </w:pPr>
            <w:r>
              <w:rPr>
                <w:sz w:val="18"/>
                <w:szCs w:val="18"/>
              </w:rPr>
              <w:t>Identificación de aspectos reportables. (P)</w:t>
            </w:r>
          </w:p>
          <w:p w14:paraId="3FB2875F" w14:textId="77777777" w:rsidR="00990B14" w:rsidRDefault="00000000">
            <w:pPr>
              <w:spacing w:after="40"/>
              <w:jc w:val="both"/>
            </w:pPr>
            <w:r>
              <w:rPr>
                <w:sz w:val="18"/>
                <w:szCs w:val="18"/>
              </w:rPr>
              <w:t>Responsabilidad de la implementación de los sistemas de control. (C, A)</w:t>
            </w:r>
          </w:p>
          <w:p w14:paraId="3F0015BD" w14:textId="77777777" w:rsidR="00990B14" w:rsidRDefault="00000000">
            <w:pPr>
              <w:spacing w:after="40"/>
              <w:jc w:val="both"/>
            </w:pPr>
            <w:r>
              <w:rPr>
                <w:sz w:val="18"/>
                <w:szCs w:val="18"/>
              </w:rPr>
              <w:t>Formas y contenido de los informes. (C)</w:t>
            </w:r>
          </w:p>
          <w:p w14:paraId="014EBF6B" w14:textId="77777777" w:rsidR="00990B14" w:rsidRDefault="00000000">
            <w:pPr>
              <w:spacing w:after="40"/>
              <w:jc w:val="both"/>
            </w:pPr>
            <w:r>
              <w:rPr>
                <w:sz w:val="18"/>
                <w:szCs w:val="18"/>
              </w:rPr>
              <w:t>Estructura en la redacción de observaciones y recomendaciones. (C)</w:t>
            </w:r>
          </w:p>
          <w:p w14:paraId="4512117C" w14:textId="77777777" w:rsidR="00990B14" w:rsidRDefault="00000000">
            <w:pPr>
              <w:spacing w:after="40"/>
              <w:jc w:val="both"/>
            </w:pPr>
            <w:r>
              <w:rPr>
                <w:sz w:val="18"/>
                <w:szCs w:val="18"/>
              </w:rPr>
              <w:t>Comunicación con los responsables del gobierno. (P)</w:t>
            </w:r>
          </w:p>
        </w:tc>
        <w:tc>
          <w:tcPr>
            <w:tcW w:w="2752" w:type="dxa"/>
            <w:gridSpan w:val="3"/>
            <w:shd w:val="clear" w:color="auto" w:fill="D9E2F3"/>
          </w:tcPr>
          <w:p w14:paraId="6135A2EE" w14:textId="77777777" w:rsidR="00990B14" w:rsidRDefault="00000000">
            <w:pPr>
              <w:numPr>
                <w:ilvl w:val="0"/>
                <w:numId w:val="139"/>
              </w:numPr>
              <w:spacing w:before="10" w:after="10"/>
              <w:jc w:val="both"/>
            </w:pPr>
            <w:r>
              <w:rPr>
                <w:sz w:val="18"/>
                <w:szCs w:val="18"/>
              </w:rPr>
              <w:t>Comunicación con el directorio y los síndicos de las sociedades comerciales bolivianas conforme al Código de Comercio.</w:t>
            </w:r>
          </w:p>
          <w:p w14:paraId="61B86471" w14:textId="77777777" w:rsidR="00990B14" w:rsidRDefault="00000000">
            <w:pPr>
              <w:numPr>
                <w:ilvl w:val="0"/>
                <w:numId w:val="139"/>
              </w:numPr>
              <w:spacing w:before="10" w:after="10"/>
              <w:jc w:val="both"/>
            </w:pPr>
            <w:r>
              <w:rPr>
                <w:sz w:val="18"/>
                <w:szCs w:val="18"/>
              </w:rPr>
              <w:t>Revisión de la NIA 570 sobre empresa en funcionamiento aplicable a los periodos que comienzan a partir del 15 de diciembre de 2026.</w:t>
            </w:r>
          </w:p>
          <w:p w14:paraId="79F23709" w14:textId="77777777" w:rsidR="00990B14" w:rsidRDefault="00000000">
            <w:pPr>
              <w:numPr>
                <w:ilvl w:val="0"/>
                <w:numId w:val="139"/>
              </w:numPr>
              <w:spacing w:before="10" w:after="10"/>
              <w:jc w:val="both"/>
            </w:pPr>
            <w:r>
              <w:rPr>
                <w:sz w:val="18"/>
                <w:szCs w:val="18"/>
              </w:rPr>
              <w:t>Dictamen de auditoría externa sobre estados financieros exigido a determinados contribuyentes por el Servicio de Impuestos Nacionales, con presentación digital en el sistema SIAT.</w:t>
            </w:r>
          </w:p>
          <w:p w14:paraId="5C365B5D" w14:textId="77777777" w:rsidR="00990B14" w:rsidRDefault="00000000">
            <w:pPr>
              <w:numPr>
                <w:ilvl w:val="0"/>
                <w:numId w:val="139"/>
              </w:numPr>
              <w:spacing w:before="10" w:after="10"/>
              <w:jc w:val="both"/>
            </w:pPr>
            <w:r>
              <w:rPr>
                <w:sz w:val="18"/>
                <w:szCs w:val="18"/>
              </w:rPr>
              <w:t>Carta de recomendaciones de control interno como producto esperado por los clientes de auditoría en Bolivia.</w:t>
            </w:r>
          </w:p>
        </w:tc>
      </w:tr>
    </w:tbl>
    <w:p w14:paraId="5D7222B0"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525"/>
        <w:gridCol w:w="1812"/>
        <w:gridCol w:w="1812"/>
        <w:gridCol w:w="1716"/>
        <w:gridCol w:w="2540"/>
      </w:tblGrid>
      <w:tr w:rsidR="00990B14" w14:paraId="4D65AAA2" w14:textId="77777777">
        <w:trPr>
          <w:cantSplit/>
          <w:jc w:val="center"/>
        </w:trPr>
        <w:tc>
          <w:tcPr>
            <w:tcW w:w="9405" w:type="dxa"/>
            <w:gridSpan w:val="5"/>
            <w:shd w:val="clear" w:color="auto" w:fill="4472C4"/>
            <w:vAlign w:val="center"/>
          </w:tcPr>
          <w:p w14:paraId="7EA9A681" w14:textId="77777777" w:rsidR="00990B14" w:rsidRDefault="00000000">
            <w:pPr>
              <w:keepNext/>
              <w:spacing w:before="20" w:after="20"/>
              <w:jc w:val="center"/>
            </w:pPr>
            <w:r>
              <w:rPr>
                <w:b/>
                <w:bCs/>
                <w:i/>
                <w:iCs/>
                <w:color w:val="FFFFFF"/>
                <w:sz w:val="18"/>
                <w:szCs w:val="18"/>
              </w:rPr>
              <w:t>Actividades</w:t>
            </w:r>
          </w:p>
        </w:tc>
      </w:tr>
      <w:tr w:rsidR="00990B14" w14:paraId="22429482" w14:textId="77777777">
        <w:trPr>
          <w:cantSplit/>
          <w:jc w:val="center"/>
        </w:trPr>
        <w:tc>
          <w:tcPr>
            <w:tcW w:w="1525" w:type="dxa"/>
            <w:shd w:val="clear" w:color="auto" w:fill="4472C4"/>
            <w:vAlign w:val="center"/>
          </w:tcPr>
          <w:p w14:paraId="504FE7C9" w14:textId="77777777" w:rsidR="00990B14" w:rsidRDefault="00000000">
            <w:pPr>
              <w:keepNext/>
              <w:spacing w:before="20" w:after="20"/>
              <w:jc w:val="center"/>
            </w:pPr>
            <w:r>
              <w:rPr>
                <w:b/>
                <w:bCs/>
                <w:i/>
                <w:iCs/>
                <w:color w:val="FFFFFF"/>
                <w:sz w:val="18"/>
                <w:szCs w:val="18"/>
              </w:rPr>
              <w:t>En clase</w:t>
            </w:r>
          </w:p>
        </w:tc>
        <w:tc>
          <w:tcPr>
            <w:tcW w:w="1812" w:type="dxa"/>
            <w:shd w:val="clear" w:color="auto" w:fill="4472C4"/>
            <w:vAlign w:val="center"/>
          </w:tcPr>
          <w:p w14:paraId="247BE92E" w14:textId="77777777" w:rsidR="00990B14" w:rsidRDefault="00000000">
            <w:pPr>
              <w:keepNext/>
              <w:spacing w:before="20" w:after="20"/>
              <w:jc w:val="center"/>
            </w:pPr>
            <w:r>
              <w:rPr>
                <w:b/>
                <w:bCs/>
                <w:i/>
                <w:iCs/>
                <w:color w:val="FFFFFF"/>
                <w:sz w:val="18"/>
                <w:szCs w:val="18"/>
              </w:rPr>
              <w:t>Autónomas</w:t>
            </w:r>
          </w:p>
        </w:tc>
        <w:tc>
          <w:tcPr>
            <w:tcW w:w="1812" w:type="dxa"/>
            <w:shd w:val="clear" w:color="auto" w:fill="4472C4"/>
            <w:vAlign w:val="center"/>
          </w:tcPr>
          <w:p w14:paraId="40AD5769" w14:textId="77777777" w:rsidR="00990B14" w:rsidRDefault="00000000">
            <w:pPr>
              <w:keepNext/>
              <w:spacing w:before="20" w:after="20"/>
              <w:jc w:val="center"/>
            </w:pPr>
            <w:r>
              <w:rPr>
                <w:b/>
                <w:bCs/>
                <w:i/>
                <w:iCs/>
                <w:color w:val="FFFFFF"/>
                <w:sz w:val="18"/>
                <w:szCs w:val="18"/>
              </w:rPr>
              <w:t>B-Learning</w:t>
            </w:r>
          </w:p>
        </w:tc>
        <w:tc>
          <w:tcPr>
            <w:tcW w:w="1716" w:type="dxa"/>
            <w:shd w:val="clear" w:color="auto" w:fill="4472C4"/>
            <w:vAlign w:val="center"/>
          </w:tcPr>
          <w:p w14:paraId="54FF3ED8" w14:textId="77777777" w:rsidR="00990B14" w:rsidRDefault="00000000">
            <w:pPr>
              <w:keepNext/>
              <w:spacing w:before="20" w:after="20"/>
              <w:jc w:val="center"/>
            </w:pPr>
            <w:r>
              <w:rPr>
                <w:b/>
                <w:bCs/>
                <w:i/>
                <w:iCs/>
                <w:color w:val="FFFFFF"/>
                <w:sz w:val="18"/>
                <w:szCs w:val="18"/>
              </w:rPr>
              <w:t>Taller</w:t>
            </w:r>
          </w:p>
        </w:tc>
        <w:tc>
          <w:tcPr>
            <w:tcW w:w="2540" w:type="dxa"/>
            <w:shd w:val="clear" w:color="auto" w:fill="4472C4"/>
            <w:vAlign w:val="center"/>
          </w:tcPr>
          <w:p w14:paraId="5F1ACD4B" w14:textId="77777777" w:rsidR="00990B14" w:rsidRDefault="00000000">
            <w:pPr>
              <w:keepNext/>
              <w:spacing w:before="20" w:after="20"/>
              <w:jc w:val="center"/>
            </w:pPr>
            <w:r>
              <w:rPr>
                <w:b/>
                <w:bCs/>
                <w:i/>
                <w:iCs/>
                <w:color w:val="FFFFFF"/>
                <w:sz w:val="18"/>
                <w:szCs w:val="18"/>
              </w:rPr>
              <w:t>Investigación/Práctica</w:t>
            </w:r>
          </w:p>
        </w:tc>
      </w:tr>
      <w:tr w:rsidR="00990B14" w14:paraId="535E7428" w14:textId="77777777">
        <w:trPr>
          <w:jc w:val="center"/>
        </w:trPr>
        <w:tc>
          <w:tcPr>
            <w:tcW w:w="1525" w:type="dxa"/>
            <w:shd w:val="clear" w:color="auto" w:fill="D9E2F3"/>
          </w:tcPr>
          <w:p w14:paraId="6F480608" w14:textId="77777777" w:rsidR="00990B14" w:rsidRDefault="00000000">
            <w:pPr>
              <w:numPr>
                <w:ilvl w:val="0"/>
                <w:numId w:val="139"/>
              </w:numPr>
              <w:spacing w:before="10" w:after="10"/>
              <w:jc w:val="both"/>
            </w:pPr>
            <w:r>
              <w:rPr>
                <w:sz w:val="18"/>
                <w:szCs w:val="18"/>
              </w:rPr>
              <w:t>Casos prácticos en las etapas de evaluación de riesgos, la respuesta al riesgo y la emisión del informe.</w:t>
            </w:r>
          </w:p>
          <w:p w14:paraId="391C53B2" w14:textId="77777777" w:rsidR="00990B14" w:rsidRDefault="00000000">
            <w:pPr>
              <w:numPr>
                <w:ilvl w:val="0"/>
                <w:numId w:val="139"/>
              </w:numPr>
              <w:spacing w:before="10" w:after="10"/>
              <w:jc w:val="both"/>
            </w:pPr>
            <w:r>
              <w:rPr>
                <w:sz w:val="18"/>
                <w:szCs w:val="18"/>
              </w:rPr>
              <w:t>Estudio de casos de informes del auditor con opiniones modificadas.</w:t>
            </w:r>
          </w:p>
        </w:tc>
        <w:tc>
          <w:tcPr>
            <w:tcW w:w="1812" w:type="dxa"/>
            <w:shd w:val="clear" w:color="auto" w:fill="D9E2F3"/>
          </w:tcPr>
          <w:p w14:paraId="0EC3B7FF" w14:textId="77777777" w:rsidR="00990B14" w:rsidRDefault="00000000">
            <w:pPr>
              <w:numPr>
                <w:ilvl w:val="0"/>
                <w:numId w:val="139"/>
              </w:numPr>
              <w:spacing w:before="10" w:after="10"/>
              <w:jc w:val="both"/>
            </w:pPr>
            <w:r>
              <w:rPr>
                <w:sz w:val="18"/>
                <w:szCs w:val="18"/>
              </w:rPr>
              <w:t>Lectura del Código Internacional de Ética, las Normas Internacionales de Gestión de Calidad, las Normas Internacionales de Auditoría aplicables a cada fase del encargo.</w:t>
            </w:r>
          </w:p>
          <w:p w14:paraId="05766D6F" w14:textId="77777777" w:rsidR="00990B14" w:rsidRDefault="00000000">
            <w:pPr>
              <w:numPr>
                <w:ilvl w:val="0"/>
                <w:numId w:val="139"/>
              </w:numPr>
              <w:spacing w:before="10" w:after="10"/>
              <w:jc w:val="both"/>
            </w:pPr>
            <w:r>
              <w:rPr>
                <w:sz w:val="18"/>
                <w:szCs w:val="18"/>
              </w:rPr>
              <w:t>Desarrollo progresivo del caso práctico integral de auditoría de una entidad privada.</w:t>
            </w:r>
          </w:p>
          <w:p w14:paraId="2B50ECDA" w14:textId="77777777" w:rsidR="00990B14" w:rsidRDefault="00000000">
            <w:pPr>
              <w:numPr>
                <w:ilvl w:val="0"/>
                <w:numId w:val="139"/>
              </w:numPr>
              <w:spacing w:before="10" w:after="10"/>
              <w:jc w:val="both"/>
            </w:pPr>
            <w:r>
              <w:rPr>
                <w:sz w:val="18"/>
                <w:szCs w:val="18"/>
              </w:rPr>
              <w:t>Resolución de ejercicios de materialidad y de muestreo al cierre de cada tema.</w:t>
            </w:r>
          </w:p>
        </w:tc>
        <w:tc>
          <w:tcPr>
            <w:tcW w:w="1812" w:type="dxa"/>
            <w:shd w:val="clear" w:color="auto" w:fill="D9E2F3"/>
          </w:tcPr>
          <w:p w14:paraId="5A9B4381" w14:textId="77777777" w:rsidR="00990B14" w:rsidRDefault="00000000">
            <w:pPr>
              <w:numPr>
                <w:ilvl w:val="0"/>
                <w:numId w:val="139"/>
              </w:numPr>
              <w:spacing w:before="10" w:after="10"/>
              <w:jc w:val="both"/>
            </w:pPr>
            <w:r>
              <w:rPr>
                <w:sz w:val="18"/>
                <w:szCs w:val="18"/>
              </w:rPr>
              <w:t>Cuestionarios de comprensión en la plataforma virtual.</w:t>
            </w:r>
          </w:p>
          <w:p w14:paraId="1179A3AD" w14:textId="77777777" w:rsidR="00990B14" w:rsidRDefault="00000000">
            <w:pPr>
              <w:numPr>
                <w:ilvl w:val="0"/>
                <w:numId w:val="139"/>
              </w:numPr>
              <w:spacing w:before="10" w:after="10"/>
              <w:jc w:val="both"/>
            </w:pPr>
            <w:r>
              <w:rPr>
                <w:sz w:val="18"/>
                <w:szCs w:val="18"/>
              </w:rPr>
              <w:t>Foros de consulta sobre casos de valoración de riesgos y de control interno.</w:t>
            </w:r>
          </w:p>
          <w:p w14:paraId="0288E856" w14:textId="77777777" w:rsidR="00990B14" w:rsidRDefault="00000000">
            <w:pPr>
              <w:numPr>
                <w:ilvl w:val="0"/>
                <w:numId w:val="139"/>
              </w:numPr>
              <w:spacing w:before="10" w:after="10"/>
              <w:jc w:val="both"/>
            </w:pPr>
            <w:r>
              <w:rPr>
                <w:sz w:val="18"/>
                <w:szCs w:val="18"/>
              </w:rPr>
              <w:t>Videotutoriales del uso de herramientas de análisis de datos en la auditoría.</w:t>
            </w:r>
          </w:p>
          <w:p w14:paraId="5945DF77" w14:textId="77777777" w:rsidR="00990B14" w:rsidRDefault="00000000">
            <w:pPr>
              <w:numPr>
                <w:ilvl w:val="0"/>
                <w:numId w:val="139"/>
              </w:numPr>
              <w:spacing w:before="10" w:after="10"/>
              <w:jc w:val="both"/>
            </w:pPr>
            <w:r>
              <w:rPr>
                <w:sz w:val="18"/>
                <w:szCs w:val="18"/>
              </w:rPr>
              <w:t>Ejercicios de determinación de materialidad, muestreo y proyección de incorrecciones en hoja de cálculo.</w:t>
            </w:r>
          </w:p>
        </w:tc>
        <w:tc>
          <w:tcPr>
            <w:tcW w:w="1716" w:type="dxa"/>
            <w:shd w:val="clear" w:color="auto" w:fill="D9E2F3"/>
          </w:tcPr>
          <w:p w14:paraId="689AC939" w14:textId="77777777" w:rsidR="00990B14" w:rsidRDefault="00000000">
            <w:pPr>
              <w:numPr>
                <w:ilvl w:val="0"/>
                <w:numId w:val="139"/>
              </w:numPr>
              <w:spacing w:before="10" w:after="10"/>
              <w:jc w:val="both"/>
            </w:pPr>
            <w:r>
              <w:rPr>
                <w:sz w:val="18"/>
                <w:szCs w:val="18"/>
              </w:rPr>
              <w:t>Elaboración colaborativa de papeles de trabajo de la fase de evaluación de riesgos.</w:t>
            </w:r>
          </w:p>
          <w:p w14:paraId="15267D41" w14:textId="77777777" w:rsidR="00990B14" w:rsidRDefault="00000000">
            <w:pPr>
              <w:numPr>
                <w:ilvl w:val="0"/>
                <w:numId w:val="139"/>
              </w:numPr>
              <w:spacing w:before="10" w:after="10"/>
              <w:jc w:val="both"/>
            </w:pPr>
            <w:r>
              <w:rPr>
                <w:sz w:val="18"/>
                <w:szCs w:val="18"/>
              </w:rPr>
              <w:t>Flujogramación guiada de procesos con identificación de riesgos y controles.</w:t>
            </w:r>
          </w:p>
          <w:p w14:paraId="009FEF86" w14:textId="77777777" w:rsidR="00990B14" w:rsidRDefault="00000000">
            <w:pPr>
              <w:numPr>
                <w:ilvl w:val="0"/>
                <w:numId w:val="139"/>
              </w:numPr>
              <w:spacing w:before="10" w:after="10"/>
              <w:jc w:val="both"/>
            </w:pPr>
            <w:r>
              <w:rPr>
                <w:sz w:val="18"/>
                <w:szCs w:val="18"/>
              </w:rPr>
              <w:t>Elaboración de la matriz de riesgos y respuestas de un encargo, con vinculación al procedimiento diseñado.</w:t>
            </w:r>
          </w:p>
        </w:tc>
        <w:tc>
          <w:tcPr>
            <w:tcW w:w="2540" w:type="dxa"/>
            <w:shd w:val="clear" w:color="auto" w:fill="D9E2F3"/>
          </w:tcPr>
          <w:p w14:paraId="12B4910B" w14:textId="77777777" w:rsidR="00990B14" w:rsidRDefault="00000000">
            <w:pPr>
              <w:numPr>
                <w:ilvl w:val="0"/>
                <w:numId w:val="139"/>
              </w:numPr>
              <w:spacing w:before="10" w:after="10"/>
              <w:jc w:val="both"/>
            </w:pPr>
            <w:r>
              <w:rPr>
                <w:sz w:val="18"/>
                <w:szCs w:val="18"/>
              </w:rPr>
              <w:t>Análisis de informes de auditoría de estados financieros de entidades bolivianas.</w:t>
            </w:r>
          </w:p>
          <w:p w14:paraId="342D10AA" w14:textId="77777777" w:rsidR="00990B14" w:rsidRDefault="00000000">
            <w:pPr>
              <w:numPr>
                <w:ilvl w:val="0"/>
                <w:numId w:val="139"/>
              </w:numPr>
              <w:spacing w:before="10" w:after="10"/>
              <w:jc w:val="both"/>
            </w:pPr>
            <w:r>
              <w:rPr>
                <w:sz w:val="18"/>
                <w:szCs w:val="18"/>
              </w:rPr>
              <w:t>Comparación de herramientas tecnológicas emergentes aplicadas a la auditoría financiera.</w:t>
            </w:r>
          </w:p>
          <w:p w14:paraId="3FE51B8B" w14:textId="77777777" w:rsidR="00990B14" w:rsidRDefault="00000000">
            <w:pPr>
              <w:numPr>
                <w:ilvl w:val="0"/>
                <w:numId w:val="139"/>
              </w:numPr>
              <w:spacing w:before="10" w:after="10"/>
              <w:jc w:val="both"/>
            </w:pPr>
            <w:r>
              <w:rPr>
                <w:sz w:val="18"/>
                <w:szCs w:val="18"/>
              </w:rPr>
              <w:t>Revisión de las normas internacionales de auditoría emitidas o revisadas recientemente y de sus fechas de vigencia.</w:t>
            </w:r>
          </w:p>
        </w:tc>
      </w:tr>
    </w:tbl>
    <w:p w14:paraId="699AFDCB"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490"/>
        <w:gridCol w:w="1910"/>
        <w:gridCol w:w="2015"/>
        <w:gridCol w:w="1910"/>
        <w:gridCol w:w="2080"/>
      </w:tblGrid>
      <w:tr w:rsidR="00990B14" w14:paraId="1EE6C074" w14:textId="77777777">
        <w:trPr>
          <w:jc w:val="center"/>
        </w:trPr>
        <w:tc>
          <w:tcPr>
            <w:tcW w:w="1490" w:type="dxa"/>
            <w:shd w:val="clear" w:color="auto" w:fill="4472C4"/>
            <w:vAlign w:val="center"/>
          </w:tcPr>
          <w:p w14:paraId="7A0737B9" w14:textId="77777777" w:rsidR="00990B14" w:rsidRDefault="00000000">
            <w:pPr>
              <w:spacing w:before="20" w:after="20"/>
              <w:jc w:val="center"/>
            </w:pPr>
            <w:r>
              <w:rPr>
                <w:b/>
                <w:bCs/>
                <w:i/>
                <w:iCs/>
                <w:color w:val="FFFFFF"/>
                <w:sz w:val="18"/>
                <w:szCs w:val="18"/>
              </w:rPr>
              <w:t>Estrategias de aprendizaje y enseñanza</w:t>
            </w:r>
          </w:p>
        </w:tc>
        <w:tc>
          <w:tcPr>
            <w:tcW w:w="7915" w:type="dxa"/>
            <w:gridSpan w:val="4"/>
            <w:shd w:val="clear" w:color="auto" w:fill="D9E2F3"/>
            <w:vAlign w:val="center"/>
          </w:tcPr>
          <w:p w14:paraId="01F1B264" w14:textId="77777777" w:rsidR="00990B14" w:rsidRDefault="00000000">
            <w:pPr>
              <w:numPr>
                <w:ilvl w:val="0"/>
                <w:numId w:val="140"/>
              </w:numPr>
              <w:spacing w:before="10" w:after="10"/>
              <w:jc w:val="both"/>
            </w:pPr>
            <w:r>
              <w:rPr>
                <w:sz w:val="18"/>
                <w:szCs w:val="18"/>
              </w:rPr>
              <w:t>Aprendizaje basado en problemas con casos de auditoría de entidades privadas bolivianas.</w:t>
            </w:r>
          </w:p>
          <w:p w14:paraId="3055554F" w14:textId="77777777" w:rsidR="00990B14" w:rsidRDefault="00000000">
            <w:pPr>
              <w:numPr>
                <w:ilvl w:val="0"/>
                <w:numId w:val="140"/>
              </w:numPr>
              <w:spacing w:before="10" w:after="10"/>
              <w:jc w:val="both"/>
            </w:pPr>
            <w:r>
              <w:rPr>
                <w:sz w:val="18"/>
                <w:szCs w:val="18"/>
              </w:rPr>
              <w:t>Casos prácticos en las etapas de evaluación de riesgos, la respuesta al riesgo y la emisión del informe.</w:t>
            </w:r>
          </w:p>
          <w:p w14:paraId="54B68D45" w14:textId="77777777" w:rsidR="00990B14" w:rsidRDefault="00000000">
            <w:pPr>
              <w:numPr>
                <w:ilvl w:val="0"/>
                <w:numId w:val="140"/>
              </w:numPr>
              <w:spacing w:before="10" w:after="10"/>
              <w:jc w:val="both"/>
            </w:pPr>
            <w:r>
              <w:rPr>
                <w:sz w:val="18"/>
                <w:szCs w:val="18"/>
              </w:rPr>
              <w:t>Elaboración de los papeles de trabajo del encargo de auditoría.</w:t>
            </w:r>
          </w:p>
          <w:p w14:paraId="7A566B2D" w14:textId="77777777" w:rsidR="00990B14" w:rsidRDefault="00000000">
            <w:pPr>
              <w:numPr>
                <w:ilvl w:val="0"/>
                <w:numId w:val="140"/>
              </w:numPr>
              <w:spacing w:before="10" w:after="10"/>
              <w:jc w:val="both"/>
            </w:pPr>
            <w:r>
              <w:rPr>
                <w:sz w:val="18"/>
                <w:szCs w:val="18"/>
              </w:rPr>
              <w:t>Estudio de casos de informes del auditor con opiniones modificadas.</w:t>
            </w:r>
          </w:p>
          <w:p w14:paraId="605A98C1" w14:textId="77777777" w:rsidR="00990B14" w:rsidRDefault="00000000">
            <w:pPr>
              <w:numPr>
                <w:ilvl w:val="0"/>
                <w:numId w:val="140"/>
              </w:numPr>
              <w:spacing w:before="10" w:after="10"/>
              <w:jc w:val="both"/>
            </w:pPr>
            <w:r>
              <w:rPr>
                <w:sz w:val="18"/>
                <w:szCs w:val="18"/>
              </w:rPr>
              <w:t>Trabajo colaborativo en equipos de auditoría con roles diferenciados.</w:t>
            </w:r>
          </w:p>
          <w:p w14:paraId="0EA30440" w14:textId="77777777" w:rsidR="00990B14" w:rsidRDefault="00000000">
            <w:pPr>
              <w:numPr>
                <w:ilvl w:val="0"/>
                <w:numId w:val="140"/>
              </w:numPr>
              <w:spacing w:before="10" w:after="10"/>
              <w:jc w:val="both"/>
            </w:pPr>
            <w:r>
              <w:rPr>
                <w:sz w:val="18"/>
                <w:szCs w:val="18"/>
              </w:rPr>
              <w:t>Análisis crítico de la evidencia obtenida antes de concluir sobre una aseveración.</w:t>
            </w:r>
          </w:p>
        </w:tc>
      </w:tr>
      <w:tr w:rsidR="00990B14" w14:paraId="07F7570D" w14:textId="77777777">
        <w:trPr>
          <w:jc w:val="center"/>
        </w:trPr>
        <w:tc>
          <w:tcPr>
            <w:tcW w:w="1490" w:type="dxa"/>
            <w:shd w:val="clear" w:color="auto" w:fill="4472C4"/>
            <w:vAlign w:val="center"/>
          </w:tcPr>
          <w:p w14:paraId="1571D445" w14:textId="77777777" w:rsidR="00990B14" w:rsidRDefault="00000000">
            <w:pPr>
              <w:spacing w:before="20" w:after="20"/>
              <w:jc w:val="center"/>
            </w:pPr>
            <w:r>
              <w:rPr>
                <w:b/>
                <w:bCs/>
                <w:i/>
                <w:iCs/>
                <w:color w:val="FFFFFF"/>
                <w:sz w:val="18"/>
                <w:szCs w:val="18"/>
              </w:rPr>
              <w:t>Recursos para el aprendizaje</w:t>
            </w:r>
          </w:p>
        </w:tc>
        <w:tc>
          <w:tcPr>
            <w:tcW w:w="7915" w:type="dxa"/>
            <w:gridSpan w:val="4"/>
            <w:shd w:val="clear" w:color="auto" w:fill="D9E2F3"/>
            <w:vAlign w:val="center"/>
          </w:tcPr>
          <w:p w14:paraId="4AE92266" w14:textId="77777777" w:rsidR="00990B14" w:rsidRDefault="00000000">
            <w:pPr>
              <w:numPr>
                <w:ilvl w:val="0"/>
                <w:numId w:val="140"/>
              </w:numPr>
              <w:spacing w:before="10" w:after="10"/>
              <w:jc w:val="both"/>
            </w:pPr>
            <w:r>
              <w:rPr>
                <w:sz w:val="18"/>
                <w:szCs w:val="18"/>
              </w:rPr>
              <w:t>Plataformas digitales.</w:t>
            </w:r>
          </w:p>
          <w:p w14:paraId="6CD979E5" w14:textId="77777777" w:rsidR="00990B14" w:rsidRDefault="00000000">
            <w:pPr>
              <w:numPr>
                <w:ilvl w:val="0"/>
                <w:numId w:val="140"/>
              </w:numPr>
              <w:spacing w:before="10" w:after="10"/>
              <w:jc w:val="both"/>
            </w:pPr>
            <w:r>
              <w:rPr>
                <w:sz w:val="18"/>
                <w:szCs w:val="18"/>
              </w:rPr>
              <w:t>Compendio de Normas de Contabilidad y Auditoría del CAUB</w:t>
            </w:r>
          </w:p>
          <w:p w14:paraId="6E263409" w14:textId="77777777" w:rsidR="00990B14" w:rsidRDefault="00000000">
            <w:pPr>
              <w:numPr>
                <w:ilvl w:val="0"/>
                <w:numId w:val="140"/>
              </w:numPr>
              <w:spacing w:before="10" w:after="10"/>
              <w:jc w:val="both"/>
            </w:pPr>
            <w:r>
              <w:rPr>
                <w:sz w:val="18"/>
                <w:szCs w:val="18"/>
              </w:rPr>
              <w:t>Manual de Pronunciamientos Internacionales de Auditoría, Revisión, Aseguramiento y Servicios Relacionados del IAASB.</w:t>
            </w:r>
          </w:p>
          <w:p w14:paraId="4AA72233" w14:textId="77777777" w:rsidR="00990B14" w:rsidRDefault="00000000">
            <w:pPr>
              <w:numPr>
                <w:ilvl w:val="0"/>
                <w:numId w:val="140"/>
              </w:numPr>
              <w:spacing w:before="10" w:after="10"/>
              <w:jc w:val="both"/>
            </w:pPr>
            <w:r>
              <w:rPr>
                <w:sz w:val="18"/>
                <w:szCs w:val="18"/>
              </w:rPr>
              <w:t>Guía del IAASB para el uso de las Normas Internacionales de Auditoría en auditorías de pequeñas y medianas empresas.</w:t>
            </w:r>
          </w:p>
          <w:p w14:paraId="08D7CBC8" w14:textId="77777777" w:rsidR="00990B14" w:rsidRDefault="00000000">
            <w:pPr>
              <w:numPr>
                <w:ilvl w:val="0"/>
                <w:numId w:val="140"/>
              </w:numPr>
              <w:spacing w:before="10" w:after="10"/>
              <w:jc w:val="both"/>
            </w:pPr>
            <w:r>
              <w:rPr>
                <w:sz w:val="18"/>
                <w:szCs w:val="18"/>
              </w:rPr>
              <w:t>Hoja de cálculo y herramientas de análisis de datos para los procedimientos de auditoría.</w:t>
            </w:r>
          </w:p>
          <w:p w14:paraId="59B1758C" w14:textId="77777777" w:rsidR="00990B14" w:rsidRDefault="00000000">
            <w:pPr>
              <w:numPr>
                <w:ilvl w:val="0"/>
                <w:numId w:val="140"/>
              </w:numPr>
              <w:spacing w:before="10" w:after="10"/>
              <w:jc w:val="both"/>
            </w:pPr>
            <w:r>
              <w:rPr>
                <w:sz w:val="18"/>
                <w:szCs w:val="18"/>
              </w:rPr>
              <w:t>Formatos de papeles de trabajo, programas de auditoría y modelos de informe elaborados por la cátedra.</w:t>
            </w:r>
          </w:p>
        </w:tc>
      </w:tr>
      <w:tr w:rsidR="00990B14" w14:paraId="2A20741D" w14:textId="77777777">
        <w:trPr>
          <w:jc w:val="center"/>
        </w:trPr>
        <w:tc>
          <w:tcPr>
            <w:tcW w:w="1490" w:type="dxa"/>
            <w:shd w:val="clear" w:color="auto" w:fill="4472C4"/>
            <w:vAlign w:val="center"/>
          </w:tcPr>
          <w:p w14:paraId="36D3435F" w14:textId="77777777" w:rsidR="00990B14" w:rsidRDefault="00000000">
            <w:pPr>
              <w:spacing w:before="20" w:after="20"/>
              <w:jc w:val="center"/>
            </w:pPr>
            <w:r>
              <w:rPr>
                <w:b/>
                <w:bCs/>
                <w:i/>
                <w:iCs/>
                <w:color w:val="FFFFFF"/>
                <w:sz w:val="18"/>
                <w:szCs w:val="18"/>
              </w:rPr>
              <w:t>Estrategias de evaluación</w:t>
            </w:r>
          </w:p>
        </w:tc>
        <w:tc>
          <w:tcPr>
            <w:tcW w:w="7915" w:type="dxa"/>
            <w:gridSpan w:val="4"/>
            <w:shd w:val="clear" w:color="auto" w:fill="D9E2F3"/>
            <w:vAlign w:val="center"/>
          </w:tcPr>
          <w:p w14:paraId="61CC6F72" w14:textId="77777777" w:rsidR="00990B14" w:rsidRDefault="00000000">
            <w:pPr>
              <w:numPr>
                <w:ilvl w:val="0"/>
                <w:numId w:val="140"/>
              </w:numPr>
              <w:spacing w:before="10" w:after="10"/>
              <w:jc w:val="both"/>
            </w:pPr>
            <w:r>
              <w:rPr>
                <w:sz w:val="18"/>
                <w:szCs w:val="18"/>
              </w:rPr>
              <w:t>Evaluación diagnóstica: prueba inicial sobre los conocimientos previos de contabilidad.</w:t>
            </w:r>
          </w:p>
          <w:p w14:paraId="7ADC63BE" w14:textId="77777777" w:rsidR="00990B14" w:rsidRDefault="00000000">
            <w:pPr>
              <w:numPr>
                <w:ilvl w:val="0"/>
                <w:numId w:val="140"/>
              </w:numPr>
              <w:spacing w:before="10" w:after="10"/>
              <w:jc w:val="both"/>
            </w:pPr>
            <w:r>
              <w:rPr>
                <w:sz w:val="18"/>
                <w:szCs w:val="18"/>
              </w:rPr>
              <w:t>Evaluación formativa: preguntas de comprensión y desarrollo de ejercicios prácticos en el aula, con retroalimentación continua, autoevaluación y coevaluación.</w:t>
            </w:r>
          </w:p>
          <w:p w14:paraId="73EB6F79" w14:textId="77777777" w:rsidR="00990B14" w:rsidRDefault="00000000">
            <w:pPr>
              <w:numPr>
                <w:ilvl w:val="0"/>
                <w:numId w:val="140"/>
              </w:numPr>
              <w:spacing w:before="10" w:after="10"/>
              <w:jc w:val="both"/>
            </w:pPr>
            <w:r>
              <w:rPr>
                <w:sz w:val="18"/>
                <w:szCs w:val="18"/>
              </w:rPr>
              <w:t>Evaluación sumativa: controles de lectura y asistencia, evaluación de casos prácticos, trabajos de investigación y desarrollo, exámenes parciales y examen final.</w:t>
            </w:r>
          </w:p>
        </w:tc>
      </w:tr>
      <w:tr w:rsidR="00990B14" w14:paraId="3FC089FE" w14:textId="77777777">
        <w:trPr>
          <w:jc w:val="center"/>
        </w:trPr>
        <w:tc>
          <w:tcPr>
            <w:tcW w:w="1490" w:type="dxa"/>
            <w:shd w:val="clear" w:color="auto" w:fill="4472C4"/>
            <w:vAlign w:val="center"/>
          </w:tcPr>
          <w:p w14:paraId="3A133974" w14:textId="77777777" w:rsidR="00990B14" w:rsidRDefault="00000000">
            <w:pPr>
              <w:spacing w:before="20" w:after="20"/>
              <w:jc w:val="center"/>
            </w:pPr>
            <w:r>
              <w:rPr>
                <w:b/>
                <w:bCs/>
                <w:i/>
                <w:iCs/>
                <w:color w:val="FFFFFF"/>
                <w:sz w:val="18"/>
                <w:szCs w:val="18"/>
              </w:rPr>
              <w:t>Criterios de calificación</w:t>
            </w:r>
          </w:p>
        </w:tc>
        <w:tc>
          <w:tcPr>
            <w:tcW w:w="7915" w:type="dxa"/>
            <w:gridSpan w:val="4"/>
            <w:shd w:val="clear" w:color="auto" w:fill="D9E2F3"/>
            <w:vAlign w:val="center"/>
          </w:tcPr>
          <w:p w14:paraId="0E8FE478" w14:textId="77777777" w:rsidR="00990B14" w:rsidRDefault="00000000">
            <w:pPr>
              <w:numPr>
                <w:ilvl w:val="0"/>
                <w:numId w:val="140"/>
              </w:numPr>
              <w:spacing w:before="10" w:after="10"/>
              <w:jc w:val="both"/>
            </w:pPr>
            <w:r>
              <w:rPr>
                <w:sz w:val="18"/>
                <w:szCs w:val="18"/>
              </w:rPr>
              <w:t>Nota mínima de aprobación: 51/100.</w:t>
            </w:r>
          </w:p>
          <w:p w14:paraId="413C9474" w14:textId="77777777" w:rsidR="00990B14" w:rsidRDefault="00000000">
            <w:pPr>
              <w:numPr>
                <w:ilvl w:val="0"/>
                <w:numId w:val="140"/>
              </w:numPr>
              <w:spacing w:before="10" w:after="10"/>
              <w:jc w:val="both"/>
            </w:pPr>
            <w:r>
              <w:rPr>
                <w:sz w:val="18"/>
                <w:szCs w:val="18"/>
              </w:rPr>
              <w:t>Evaluación periódica al finalizar cada tema, basada en evidencias de conocimiento, desempeño y producto.</w:t>
            </w:r>
          </w:p>
          <w:p w14:paraId="4C17FD35" w14:textId="77777777" w:rsidR="00990B14" w:rsidRDefault="00000000">
            <w:pPr>
              <w:numPr>
                <w:ilvl w:val="0"/>
                <w:numId w:val="140"/>
              </w:numPr>
              <w:spacing w:before="10" w:after="10"/>
              <w:jc w:val="both"/>
            </w:pPr>
            <w:r>
              <w:rPr>
                <w:sz w:val="18"/>
                <w:szCs w:val="18"/>
              </w:rPr>
              <w:t>Cada evidencia de producto se evalúa con su propia rúbrica de tres niveles: Insuficiente, Suficiente y Destacado.</w:t>
            </w:r>
          </w:p>
          <w:p w14:paraId="4F59B6A4" w14:textId="77777777" w:rsidR="00990B14" w:rsidRDefault="00000000">
            <w:pPr>
              <w:numPr>
                <w:ilvl w:val="0"/>
                <w:numId w:val="140"/>
              </w:numPr>
              <w:spacing w:before="10" w:after="10"/>
              <w:jc w:val="both"/>
            </w:pPr>
            <w:r>
              <w:rPr>
                <w:sz w:val="18"/>
                <w:szCs w:val="18"/>
              </w:rPr>
              <w:t>La calificación de cada elemento de competencia suma las calificaciones de sus evidencias de producto.</w:t>
            </w:r>
          </w:p>
        </w:tc>
      </w:tr>
      <w:tr w:rsidR="00990B14" w14:paraId="518E321E" w14:textId="77777777">
        <w:trPr>
          <w:cantSplit/>
          <w:jc w:val="center"/>
        </w:trPr>
        <w:tc>
          <w:tcPr>
            <w:tcW w:w="1490" w:type="dxa"/>
            <w:vMerge w:val="restart"/>
            <w:shd w:val="clear" w:color="auto" w:fill="4472C4"/>
            <w:vAlign w:val="center"/>
          </w:tcPr>
          <w:p w14:paraId="587ABC00" w14:textId="77777777" w:rsidR="00990B14" w:rsidRDefault="00000000">
            <w:pPr>
              <w:spacing w:before="20" w:after="20"/>
              <w:jc w:val="center"/>
            </w:pPr>
            <w:r>
              <w:rPr>
                <w:b/>
                <w:bCs/>
                <w:i/>
                <w:iCs/>
                <w:color w:val="FFFFFF"/>
                <w:sz w:val="18"/>
                <w:szCs w:val="18"/>
              </w:rPr>
              <w:t>Niveles de logro y distribución de la calificación</w:t>
            </w:r>
          </w:p>
        </w:tc>
        <w:tc>
          <w:tcPr>
            <w:tcW w:w="5835" w:type="dxa"/>
            <w:gridSpan w:val="3"/>
            <w:shd w:val="clear" w:color="auto" w:fill="D9E2F3"/>
            <w:vAlign w:val="center"/>
          </w:tcPr>
          <w:p w14:paraId="778B26F6" w14:textId="77777777" w:rsidR="00990B14" w:rsidRDefault="00000000">
            <w:pPr>
              <w:keepNext/>
              <w:spacing w:before="20" w:after="20"/>
              <w:jc w:val="both"/>
            </w:pPr>
            <w:r>
              <w:rPr>
                <w:b/>
                <w:bCs/>
                <w:i/>
                <w:iCs/>
                <w:sz w:val="18"/>
                <w:szCs w:val="18"/>
              </w:rPr>
              <w:t xml:space="preserve">Producto 1: </w:t>
            </w:r>
            <w:r>
              <w:rPr>
                <w:sz w:val="18"/>
                <w:szCs w:val="18"/>
              </w:rPr>
              <w:t>Cuadro comparativo de los marcos de referencia</w:t>
            </w:r>
          </w:p>
        </w:tc>
        <w:tc>
          <w:tcPr>
            <w:tcW w:w="2080" w:type="dxa"/>
            <w:shd w:val="clear" w:color="auto" w:fill="D9E2F3"/>
            <w:vAlign w:val="center"/>
          </w:tcPr>
          <w:p w14:paraId="306298D7" w14:textId="77777777" w:rsidR="00990B14" w:rsidRDefault="00000000">
            <w:pPr>
              <w:spacing w:before="20" w:after="20"/>
              <w:jc w:val="center"/>
            </w:pPr>
            <w:r>
              <w:rPr>
                <w:b/>
                <w:bCs/>
                <w:sz w:val="18"/>
                <w:szCs w:val="18"/>
              </w:rPr>
              <w:t>1%</w:t>
            </w:r>
          </w:p>
        </w:tc>
      </w:tr>
      <w:tr w:rsidR="00990B14" w14:paraId="1DC02FC3" w14:textId="77777777">
        <w:trPr>
          <w:cantSplit/>
          <w:jc w:val="center"/>
        </w:trPr>
        <w:tc>
          <w:tcPr>
            <w:tcW w:w="1490" w:type="dxa"/>
            <w:vMerge/>
            <w:shd w:val="clear" w:color="auto" w:fill="4472C4"/>
            <w:vAlign w:val="center"/>
          </w:tcPr>
          <w:p w14:paraId="572583B6" w14:textId="77777777" w:rsidR="00990B14" w:rsidRDefault="00990B14">
            <w:pPr>
              <w:spacing w:before="20" w:after="20"/>
            </w:pPr>
          </w:p>
        </w:tc>
        <w:tc>
          <w:tcPr>
            <w:tcW w:w="1910" w:type="dxa"/>
            <w:shd w:val="clear" w:color="auto" w:fill="4472C4"/>
            <w:vAlign w:val="center"/>
          </w:tcPr>
          <w:p w14:paraId="553ABCA6"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49641CD9"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20B383EE" w14:textId="77777777" w:rsidR="00990B14" w:rsidRDefault="00000000">
            <w:pPr>
              <w:keepNext/>
              <w:spacing w:before="20" w:after="20"/>
              <w:jc w:val="center"/>
            </w:pPr>
            <w:r>
              <w:rPr>
                <w:b/>
                <w:bCs/>
                <w:i/>
                <w:iCs/>
                <w:color w:val="FFFFFF"/>
                <w:sz w:val="18"/>
                <w:szCs w:val="18"/>
              </w:rPr>
              <w:t>Suficiente (51–80)</w:t>
            </w:r>
          </w:p>
        </w:tc>
        <w:tc>
          <w:tcPr>
            <w:tcW w:w="2080" w:type="dxa"/>
            <w:shd w:val="clear" w:color="auto" w:fill="4472C4"/>
            <w:vAlign w:val="center"/>
          </w:tcPr>
          <w:p w14:paraId="21D905CC" w14:textId="77777777" w:rsidR="00990B14" w:rsidRDefault="00000000">
            <w:pPr>
              <w:keepNext/>
              <w:spacing w:before="20" w:after="20"/>
              <w:jc w:val="center"/>
            </w:pPr>
            <w:r>
              <w:rPr>
                <w:b/>
                <w:bCs/>
                <w:i/>
                <w:iCs/>
                <w:color w:val="FFFFFF"/>
                <w:sz w:val="18"/>
                <w:szCs w:val="18"/>
              </w:rPr>
              <w:t>Destacado (81–100)</w:t>
            </w:r>
          </w:p>
        </w:tc>
      </w:tr>
      <w:tr w:rsidR="00990B14" w14:paraId="7865A0FE" w14:textId="77777777">
        <w:trPr>
          <w:cantSplit/>
          <w:jc w:val="center"/>
        </w:trPr>
        <w:tc>
          <w:tcPr>
            <w:tcW w:w="1490" w:type="dxa"/>
            <w:vMerge/>
            <w:shd w:val="clear" w:color="auto" w:fill="4472C4"/>
            <w:vAlign w:val="center"/>
          </w:tcPr>
          <w:p w14:paraId="70F51EB5" w14:textId="77777777" w:rsidR="00990B14" w:rsidRDefault="00990B14">
            <w:pPr>
              <w:spacing w:before="20" w:after="20"/>
            </w:pPr>
          </w:p>
        </w:tc>
        <w:tc>
          <w:tcPr>
            <w:tcW w:w="1910" w:type="dxa"/>
            <w:shd w:val="clear" w:color="auto" w:fill="D9E2F3"/>
            <w:vAlign w:val="center"/>
          </w:tcPr>
          <w:p w14:paraId="06A801EA" w14:textId="77777777" w:rsidR="00990B14" w:rsidRDefault="00000000">
            <w:pPr>
              <w:spacing w:before="20" w:after="20"/>
              <w:jc w:val="both"/>
            </w:pPr>
            <w:r>
              <w:rPr>
                <w:sz w:val="18"/>
                <w:szCs w:val="18"/>
              </w:rPr>
              <w:t>Características</w:t>
            </w:r>
          </w:p>
        </w:tc>
        <w:tc>
          <w:tcPr>
            <w:tcW w:w="2015" w:type="dxa"/>
            <w:shd w:val="clear" w:color="auto" w:fill="D9E2F3"/>
            <w:vAlign w:val="center"/>
          </w:tcPr>
          <w:p w14:paraId="765E20BB" w14:textId="77777777" w:rsidR="00990B14" w:rsidRDefault="00000000">
            <w:pPr>
              <w:spacing w:before="20" w:after="20"/>
              <w:jc w:val="both"/>
            </w:pPr>
            <w:r>
              <w:rPr>
                <w:sz w:val="18"/>
                <w:szCs w:val="18"/>
              </w:rPr>
              <w:t>Confunde los marcos.</w:t>
            </w:r>
          </w:p>
        </w:tc>
        <w:tc>
          <w:tcPr>
            <w:tcW w:w="1910" w:type="dxa"/>
            <w:shd w:val="clear" w:color="auto" w:fill="D9E2F3"/>
            <w:vAlign w:val="center"/>
          </w:tcPr>
          <w:p w14:paraId="141AA504" w14:textId="77777777" w:rsidR="00990B14" w:rsidRDefault="00000000">
            <w:pPr>
              <w:spacing w:before="20" w:after="20"/>
              <w:jc w:val="both"/>
            </w:pPr>
            <w:r>
              <w:rPr>
                <w:sz w:val="18"/>
                <w:szCs w:val="18"/>
              </w:rPr>
              <w:t>Distingue las características de cada marco.</w:t>
            </w:r>
          </w:p>
        </w:tc>
        <w:tc>
          <w:tcPr>
            <w:tcW w:w="2080" w:type="dxa"/>
            <w:shd w:val="clear" w:color="auto" w:fill="D9E2F3"/>
            <w:vAlign w:val="center"/>
          </w:tcPr>
          <w:p w14:paraId="5D394053" w14:textId="77777777" w:rsidR="00990B14" w:rsidRDefault="00000000">
            <w:pPr>
              <w:spacing w:before="20" w:after="20"/>
              <w:jc w:val="both"/>
            </w:pPr>
            <w:r>
              <w:rPr>
                <w:sz w:val="18"/>
                <w:szCs w:val="18"/>
              </w:rPr>
              <w:t>Explica la finalidad de cada marco para sus usuarios.</w:t>
            </w:r>
          </w:p>
        </w:tc>
      </w:tr>
      <w:tr w:rsidR="00990B14" w14:paraId="18E7E2EF" w14:textId="77777777">
        <w:trPr>
          <w:cantSplit/>
          <w:jc w:val="center"/>
        </w:trPr>
        <w:tc>
          <w:tcPr>
            <w:tcW w:w="1490" w:type="dxa"/>
            <w:vMerge/>
            <w:shd w:val="clear" w:color="auto" w:fill="4472C4"/>
            <w:vAlign w:val="center"/>
          </w:tcPr>
          <w:p w14:paraId="6DDE1F3D" w14:textId="77777777" w:rsidR="00990B14" w:rsidRDefault="00990B14">
            <w:pPr>
              <w:spacing w:before="20" w:after="20"/>
            </w:pPr>
          </w:p>
        </w:tc>
        <w:tc>
          <w:tcPr>
            <w:tcW w:w="1910" w:type="dxa"/>
            <w:shd w:val="clear" w:color="auto" w:fill="D9E2F3"/>
            <w:vAlign w:val="center"/>
          </w:tcPr>
          <w:p w14:paraId="7D6167CF" w14:textId="77777777" w:rsidR="00990B14" w:rsidRDefault="00000000">
            <w:pPr>
              <w:spacing w:before="20" w:after="20"/>
              <w:jc w:val="both"/>
            </w:pPr>
            <w:r>
              <w:rPr>
                <w:sz w:val="18"/>
                <w:szCs w:val="18"/>
              </w:rPr>
              <w:t>Diferencias</w:t>
            </w:r>
          </w:p>
        </w:tc>
        <w:tc>
          <w:tcPr>
            <w:tcW w:w="2015" w:type="dxa"/>
            <w:shd w:val="clear" w:color="auto" w:fill="D9E2F3"/>
            <w:vAlign w:val="center"/>
          </w:tcPr>
          <w:p w14:paraId="1CD86BC2" w14:textId="77777777" w:rsidR="00990B14" w:rsidRDefault="00000000">
            <w:pPr>
              <w:spacing w:before="20" w:after="20"/>
              <w:jc w:val="both"/>
            </w:pPr>
            <w:r>
              <w:rPr>
                <w:sz w:val="18"/>
                <w:szCs w:val="18"/>
              </w:rPr>
              <w:t>Presenta diferencias imprecisas.</w:t>
            </w:r>
          </w:p>
        </w:tc>
        <w:tc>
          <w:tcPr>
            <w:tcW w:w="1910" w:type="dxa"/>
            <w:shd w:val="clear" w:color="auto" w:fill="D9E2F3"/>
            <w:vAlign w:val="center"/>
          </w:tcPr>
          <w:p w14:paraId="35AAB92F" w14:textId="77777777" w:rsidR="00990B14" w:rsidRDefault="00000000">
            <w:pPr>
              <w:spacing w:before="20" w:after="20"/>
              <w:jc w:val="both"/>
            </w:pPr>
            <w:r>
              <w:rPr>
                <w:sz w:val="18"/>
                <w:szCs w:val="18"/>
              </w:rPr>
              <w:t>Presenta las diferencias principales.</w:t>
            </w:r>
          </w:p>
        </w:tc>
        <w:tc>
          <w:tcPr>
            <w:tcW w:w="2080" w:type="dxa"/>
            <w:shd w:val="clear" w:color="auto" w:fill="D9E2F3"/>
            <w:vAlign w:val="center"/>
          </w:tcPr>
          <w:p w14:paraId="718F1364" w14:textId="77777777" w:rsidR="00990B14" w:rsidRDefault="00000000">
            <w:pPr>
              <w:spacing w:before="20" w:after="20"/>
              <w:jc w:val="both"/>
            </w:pPr>
            <w:r>
              <w:rPr>
                <w:sz w:val="18"/>
                <w:szCs w:val="18"/>
              </w:rPr>
              <w:t>Ejemplifica cada diferencia.</w:t>
            </w:r>
          </w:p>
        </w:tc>
      </w:tr>
      <w:tr w:rsidR="00990B14" w14:paraId="08BF0234" w14:textId="77777777">
        <w:trPr>
          <w:cantSplit/>
          <w:jc w:val="center"/>
        </w:trPr>
        <w:tc>
          <w:tcPr>
            <w:tcW w:w="1490" w:type="dxa"/>
            <w:vMerge/>
            <w:shd w:val="clear" w:color="auto" w:fill="4472C4"/>
            <w:vAlign w:val="center"/>
          </w:tcPr>
          <w:p w14:paraId="12F9AB31" w14:textId="77777777" w:rsidR="00990B14" w:rsidRDefault="00990B14">
            <w:pPr>
              <w:spacing w:before="20" w:after="20"/>
            </w:pPr>
          </w:p>
        </w:tc>
        <w:tc>
          <w:tcPr>
            <w:tcW w:w="1910" w:type="dxa"/>
            <w:shd w:val="clear" w:color="auto" w:fill="D9E2F3"/>
            <w:vAlign w:val="center"/>
          </w:tcPr>
          <w:p w14:paraId="0F292B67" w14:textId="77777777" w:rsidR="00990B14" w:rsidRDefault="00000000">
            <w:pPr>
              <w:spacing w:before="20" w:after="20"/>
              <w:jc w:val="both"/>
            </w:pPr>
            <w:r>
              <w:rPr>
                <w:sz w:val="18"/>
                <w:szCs w:val="18"/>
              </w:rPr>
              <w:t>Presentación</w:t>
            </w:r>
          </w:p>
        </w:tc>
        <w:tc>
          <w:tcPr>
            <w:tcW w:w="2015" w:type="dxa"/>
            <w:shd w:val="clear" w:color="auto" w:fill="D9E2F3"/>
            <w:vAlign w:val="center"/>
          </w:tcPr>
          <w:p w14:paraId="3972D587" w14:textId="77777777" w:rsidR="00990B14" w:rsidRDefault="00000000">
            <w:pPr>
              <w:spacing w:before="20" w:after="20"/>
              <w:jc w:val="both"/>
            </w:pPr>
            <w:r>
              <w:rPr>
                <w:sz w:val="18"/>
                <w:szCs w:val="18"/>
              </w:rPr>
              <w:t>El cuadro es confuso.</w:t>
            </w:r>
          </w:p>
        </w:tc>
        <w:tc>
          <w:tcPr>
            <w:tcW w:w="1910" w:type="dxa"/>
            <w:shd w:val="clear" w:color="auto" w:fill="D9E2F3"/>
            <w:vAlign w:val="center"/>
          </w:tcPr>
          <w:p w14:paraId="05765DFC" w14:textId="77777777" w:rsidR="00990B14" w:rsidRDefault="00000000">
            <w:pPr>
              <w:spacing w:before="20" w:after="20"/>
              <w:jc w:val="both"/>
            </w:pPr>
            <w:r>
              <w:rPr>
                <w:sz w:val="18"/>
                <w:szCs w:val="18"/>
              </w:rPr>
              <w:t>El cuadro es claro.</w:t>
            </w:r>
          </w:p>
        </w:tc>
        <w:tc>
          <w:tcPr>
            <w:tcW w:w="2080" w:type="dxa"/>
            <w:shd w:val="clear" w:color="auto" w:fill="D9E2F3"/>
            <w:vAlign w:val="center"/>
          </w:tcPr>
          <w:p w14:paraId="29003A08" w14:textId="77777777" w:rsidR="00990B14" w:rsidRDefault="00000000">
            <w:pPr>
              <w:spacing w:before="20" w:after="20"/>
              <w:jc w:val="both"/>
            </w:pPr>
            <w:r>
              <w:rPr>
                <w:sz w:val="18"/>
                <w:szCs w:val="18"/>
              </w:rPr>
              <w:t>El cuadro es completo y ordenado.</w:t>
            </w:r>
          </w:p>
        </w:tc>
      </w:tr>
      <w:tr w:rsidR="00990B14" w14:paraId="6BBABA0B" w14:textId="77777777">
        <w:trPr>
          <w:cantSplit/>
          <w:jc w:val="center"/>
        </w:trPr>
        <w:tc>
          <w:tcPr>
            <w:tcW w:w="1490" w:type="dxa"/>
            <w:vMerge/>
            <w:shd w:val="clear" w:color="auto" w:fill="4472C4"/>
            <w:vAlign w:val="center"/>
          </w:tcPr>
          <w:p w14:paraId="22C42855" w14:textId="77777777" w:rsidR="00990B14" w:rsidRDefault="00990B14">
            <w:pPr>
              <w:spacing w:before="20" w:after="20"/>
            </w:pPr>
          </w:p>
        </w:tc>
        <w:tc>
          <w:tcPr>
            <w:tcW w:w="5835" w:type="dxa"/>
            <w:gridSpan w:val="3"/>
            <w:shd w:val="clear" w:color="auto" w:fill="D9E2F3"/>
            <w:vAlign w:val="center"/>
          </w:tcPr>
          <w:p w14:paraId="5A4C1B7F" w14:textId="77777777" w:rsidR="00990B14" w:rsidRDefault="00000000">
            <w:pPr>
              <w:keepNext/>
              <w:spacing w:before="20" w:after="20"/>
              <w:jc w:val="both"/>
            </w:pPr>
            <w:r>
              <w:rPr>
                <w:b/>
                <w:bCs/>
                <w:i/>
                <w:iCs/>
                <w:sz w:val="18"/>
                <w:szCs w:val="18"/>
              </w:rPr>
              <w:t xml:space="preserve">Producto 2: </w:t>
            </w:r>
            <w:r>
              <w:rPr>
                <w:sz w:val="18"/>
                <w:szCs w:val="18"/>
              </w:rPr>
              <w:t>Informe del marco aplicado por entidades bolivianas</w:t>
            </w:r>
          </w:p>
        </w:tc>
        <w:tc>
          <w:tcPr>
            <w:tcW w:w="2080" w:type="dxa"/>
            <w:shd w:val="clear" w:color="auto" w:fill="D9E2F3"/>
            <w:vAlign w:val="center"/>
          </w:tcPr>
          <w:p w14:paraId="34C7B014" w14:textId="77777777" w:rsidR="00990B14" w:rsidRDefault="00000000">
            <w:pPr>
              <w:spacing w:before="20" w:after="20"/>
              <w:jc w:val="center"/>
            </w:pPr>
            <w:r>
              <w:rPr>
                <w:b/>
                <w:bCs/>
                <w:sz w:val="18"/>
                <w:szCs w:val="18"/>
              </w:rPr>
              <w:t>1%</w:t>
            </w:r>
          </w:p>
        </w:tc>
      </w:tr>
      <w:tr w:rsidR="00990B14" w14:paraId="5A1FE468" w14:textId="77777777">
        <w:trPr>
          <w:cantSplit/>
          <w:jc w:val="center"/>
        </w:trPr>
        <w:tc>
          <w:tcPr>
            <w:tcW w:w="1490" w:type="dxa"/>
            <w:vMerge/>
            <w:shd w:val="clear" w:color="auto" w:fill="4472C4"/>
            <w:vAlign w:val="center"/>
          </w:tcPr>
          <w:p w14:paraId="75801C79" w14:textId="77777777" w:rsidR="00990B14" w:rsidRDefault="00990B14">
            <w:pPr>
              <w:spacing w:before="20" w:after="20"/>
            </w:pPr>
          </w:p>
        </w:tc>
        <w:tc>
          <w:tcPr>
            <w:tcW w:w="1910" w:type="dxa"/>
            <w:shd w:val="clear" w:color="auto" w:fill="4472C4"/>
            <w:vAlign w:val="center"/>
          </w:tcPr>
          <w:p w14:paraId="4ED13E20"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4C492851"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2D9C8B56" w14:textId="77777777" w:rsidR="00990B14" w:rsidRDefault="00000000">
            <w:pPr>
              <w:keepNext/>
              <w:spacing w:before="20" w:after="20"/>
              <w:jc w:val="center"/>
            </w:pPr>
            <w:r>
              <w:rPr>
                <w:b/>
                <w:bCs/>
                <w:i/>
                <w:iCs/>
                <w:color w:val="FFFFFF"/>
                <w:sz w:val="18"/>
                <w:szCs w:val="18"/>
              </w:rPr>
              <w:t>Suficiente (51–80)</w:t>
            </w:r>
          </w:p>
        </w:tc>
        <w:tc>
          <w:tcPr>
            <w:tcW w:w="2080" w:type="dxa"/>
            <w:shd w:val="clear" w:color="auto" w:fill="4472C4"/>
            <w:vAlign w:val="center"/>
          </w:tcPr>
          <w:p w14:paraId="699A28E6" w14:textId="77777777" w:rsidR="00990B14" w:rsidRDefault="00000000">
            <w:pPr>
              <w:keepNext/>
              <w:spacing w:before="20" w:after="20"/>
              <w:jc w:val="center"/>
            </w:pPr>
            <w:r>
              <w:rPr>
                <w:b/>
                <w:bCs/>
                <w:i/>
                <w:iCs/>
                <w:color w:val="FFFFFF"/>
                <w:sz w:val="18"/>
                <w:szCs w:val="18"/>
              </w:rPr>
              <w:t>Destacado (81–100)</w:t>
            </w:r>
          </w:p>
        </w:tc>
      </w:tr>
      <w:tr w:rsidR="00990B14" w14:paraId="73F4A9D0" w14:textId="77777777">
        <w:trPr>
          <w:cantSplit/>
          <w:jc w:val="center"/>
        </w:trPr>
        <w:tc>
          <w:tcPr>
            <w:tcW w:w="1490" w:type="dxa"/>
            <w:vMerge/>
            <w:shd w:val="clear" w:color="auto" w:fill="4472C4"/>
            <w:vAlign w:val="center"/>
          </w:tcPr>
          <w:p w14:paraId="148A565B" w14:textId="77777777" w:rsidR="00990B14" w:rsidRDefault="00990B14">
            <w:pPr>
              <w:spacing w:before="20" w:after="20"/>
            </w:pPr>
          </w:p>
        </w:tc>
        <w:tc>
          <w:tcPr>
            <w:tcW w:w="1910" w:type="dxa"/>
            <w:shd w:val="clear" w:color="auto" w:fill="D9E2F3"/>
            <w:vAlign w:val="center"/>
          </w:tcPr>
          <w:p w14:paraId="1A1F9C1B" w14:textId="77777777" w:rsidR="00990B14" w:rsidRDefault="00000000">
            <w:pPr>
              <w:spacing w:before="20" w:after="20"/>
              <w:jc w:val="both"/>
            </w:pPr>
            <w:r>
              <w:rPr>
                <w:sz w:val="18"/>
                <w:szCs w:val="18"/>
              </w:rPr>
              <w:t>Identificación</w:t>
            </w:r>
          </w:p>
        </w:tc>
        <w:tc>
          <w:tcPr>
            <w:tcW w:w="2015" w:type="dxa"/>
            <w:shd w:val="clear" w:color="auto" w:fill="D9E2F3"/>
            <w:vAlign w:val="center"/>
          </w:tcPr>
          <w:p w14:paraId="49B47061" w14:textId="77777777" w:rsidR="00990B14" w:rsidRDefault="00000000">
            <w:pPr>
              <w:spacing w:before="20" w:after="20"/>
              <w:jc w:val="both"/>
            </w:pPr>
            <w:r>
              <w:rPr>
                <w:sz w:val="18"/>
                <w:szCs w:val="18"/>
              </w:rPr>
              <w:t>No identifica el marco.</w:t>
            </w:r>
          </w:p>
        </w:tc>
        <w:tc>
          <w:tcPr>
            <w:tcW w:w="1910" w:type="dxa"/>
            <w:shd w:val="clear" w:color="auto" w:fill="D9E2F3"/>
            <w:vAlign w:val="center"/>
          </w:tcPr>
          <w:p w14:paraId="2A481866" w14:textId="77777777" w:rsidR="00990B14" w:rsidRDefault="00000000">
            <w:pPr>
              <w:spacing w:before="20" w:after="20"/>
              <w:jc w:val="both"/>
            </w:pPr>
            <w:r>
              <w:rPr>
                <w:sz w:val="18"/>
                <w:szCs w:val="18"/>
              </w:rPr>
              <w:t>Identifica el marco aplicado.</w:t>
            </w:r>
          </w:p>
        </w:tc>
        <w:tc>
          <w:tcPr>
            <w:tcW w:w="2080" w:type="dxa"/>
            <w:shd w:val="clear" w:color="auto" w:fill="D9E2F3"/>
            <w:vAlign w:val="center"/>
          </w:tcPr>
          <w:p w14:paraId="2ADCCEC2" w14:textId="77777777" w:rsidR="00990B14" w:rsidRDefault="00000000">
            <w:pPr>
              <w:spacing w:before="20" w:after="20"/>
              <w:jc w:val="both"/>
            </w:pPr>
            <w:r>
              <w:rPr>
                <w:sz w:val="18"/>
                <w:szCs w:val="18"/>
              </w:rPr>
              <w:t>Fundamenta la identificación en las notas de los estados financieros.</w:t>
            </w:r>
          </w:p>
        </w:tc>
      </w:tr>
      <w:tr w:rsidR="00990B14" w14:paraId="2BD03705" w14:textId="77777777">
        <w:trPr>
          <w:cantSplit/>
          <w:jc w:val="center"/>
        </w:trPr>
        <w:tc>
          <w:tcPr>
            <w:tcW w:w="1490" w:type="dxa"/>
            <w:vMerge/>
            <w:shd w:val="clear" w:color="auto" w:fill="4472C4"/>
            <w:vAlign w:val="center"/>
          </w:tcPr>
          <w:p w14:paraId="0C237964" w14:textId="77777777" w:rsidR="00990B14" w:rsidRDefault="00990B14">
            <w:pPr>
              <w:spacing w:before="20" w:after="20"/>
            </w:pPr>
          </w:p>
        </w:tc>
        <w:tc>
          <w:tcPr>
            <w:tcW w:w="1910" w:type="dxa"/>
            <w:shd w:val="clear" w:color="auto" w:fill="D9E2F3"/>
            <w:vAlign w:val="center"/>
          </w:tcPr>
          <w:p w14:paraId="47F4A94D" w14:textId="77777777" w:rsidR="00990B14" w:rsidRDefault="00000000">
            <w:pPr>
              <w:spacing w:before="20" w:after="20"/>
              <w:jc w:val="both"/>
            </w:pPr>
            <w:r>
              <w:rPr>
                <w:sz w:val="18"/>
                <w:szCs w:val="18"/>
              </w:rPr>
              <w:t>Análisis</w:t>
            </w:r>
          </w:p>
        </w:tc>
        <w:tc>
          <w:tcPr>
            <w:tcW w:w="2015" w:type="dxa"/>
            <w:shd w:val="clear" w:color="auto" w:fill="D9E2F3"/>
            <w:vAlign w:val="center"/>
          </w:tcPr>
          <w:p w14:paraId="100FBCC0" w14:textId="77777777" w:rsidR="00990B14" w:rsidRDefault="00000000">
            <w:pPr>
              <w:spacing w:before="20" w:after="20"/>
              <w:jc w:val="both"/>
            </w:pPr>
            <w:r>
              <w:rPr>
                <w:sz w:val="18"/>
                <w:szCs w:val="18"/>
              </w:rPr>
              <w:t>No analiza el caso.</w:t>
            </w:r>
          </w:p>
        </w:tc>
        <w:tc>
          <w:tcPr>
            <w:tcW w:w="1910" w:type="dxa"/>
            <w:shd w:val="clear" w:color="auto" w:fill="D9E2F3"/>
            <w:vAlign w:val="center"/>
          </w:tcPr>
          <w:p w14:paraId="46C8DA0E" w14:textId="77777777" w:rsidR="00990B14" w:rsidRDefault="00000000">
            <w:pPr>
              <w:spacing w:before="20" w:after="20"/>
              <w:jc w:val="both"/>
            </w:pPr>
            <w:r>
              <w:rPr>
                <w:sz w:val="18"/>
                <w:szCs w:val="18"/>
              </w:rPr>
              <w:t>Analiza el marco en relación con la entidad.</w:t>
            </w:r>
          </w:p>
        </w:tc>
        <w:tc>
          <w:tcPr>
            <w:tcW w:w="2080" w:type="dxa"/>
            <w:shd w:val="clear" w:color="auto" w:fill="D9E2F3"/>
            <w:vAlign w:val="center"/>
          </w:tcPr>
          <w:p w14:paraId="22622FCB" w14:textId="77777777" w:rsidR="00990B14" w:rsidRDefault="00000000">
            <w:pPr>
              <w:spacing w:before="20" w:after="20"/>
              <w:jc w:val="both"/>
            </w:pPr>
            <w:r>
              <w:rPr>
                <w:sz w:val="18"/>
                <w:szCs w:val="18"/>
              </w:rPr>
              <w:t>Evalúa si el marco es adecuado para los usuarios.</w:t>
            </w:r>
          </w:p>
        </w:tc>
      </w:tr>
      <w:tr w:rsidR="00990B14" w14:paraId="680F99E6" w14:textId="77777777">
        <w:trPr>
          <w:cantSplit/>
          <w:jc w:val="center"/>
        </w:trPr>
        <w:tc>
          <w:tcPr>
            <w:tcW w:w="1490" w:type="dxa"/>
            <w:vMerge/>
            <w:shd w:val="clear" w:color="auto" w:fill="4472C4"/>
            <w:vAlign w:val="center"/>
          </w:tcPr>
          <w:p w14:paraId="6DDB7E19" w14:textId="77777777" w:rsidR="00990B14" w:rsidRDefault="00990B14">
            <w:pPr>
              <w:spacing w:before="20" w:after="20"/>
            </w:pPr>
          </w:p>
        </w:tc>
        <w:tc>
          <w:tcPr>
            <w:tcW w:w="1910" w:type="dxa"/>
            <w:shd w:val="clear" w:color="auto" w:fill="D9E2F3"/>
            <w:vAlign w:val="center"/>
          </w:tcPr>
          <w:p w14:paraId="188189A2" w14:textId="77777777" w:rsidR="00990B14" w:rsidRDefault="00000000">
            <w:pPr>
              <w:spacing w:before="20" w:after="20"/>
              <w:jc w:val="both"/>
            </w:pPr>
            <w:r>
              <w:rPr>
                <w:sz w:val="18"/>
                <w:szCs w:val="18"/>
              </w:rPr>
              <w:t>Redacción</w:t>
            </w:r>
          </w:p>
        </w:tc>
        <w:tc>
          <w:tcPr>
            <w:tcW w:w="2015" w:type="dxa"/>
            <w:shd w:val="clear" w:color="auto" w:fill="D9E2F3"/>
            <w:vAlign w:val="center"/>
          </w:tcPr>
          <w:p w14:paraId="3C89CBC4" w14:textId="77777777" w:rsidR="00990B14" w:rsidRDefault="00000000">
            <w:pPr>
              <w:spacing w:before="20" w:after="20"/>
              <w:jc w:val="both"/>
            </w:pPr>
            <w:r>
              <w:rPr>
                <w:sz w:val="18"/>
                <w:szCs w:val="18"/>
              </w:rPr>
              <w:t>El informe es confuso.</w:t>
            </w:r>
          </w:p>
        </w:tc>
        <w:tc>
          <w:tcPr>
            <w:tcW w:w="1910" w:type="dxa"/>
            <w:shd w:val="clear" w:color="auto" w:fill="D9E2F3"/>
            <w:vAlign w:val="center"/>
          </w:tcPr>
          <w:p w14:paraId="0D5AF5B9" w14:textId="77777777" w:rsidR="00990B14" w:rsidRDefault="00000000">
            <w:pPr>
              <w:spacing w:before="20" w:after="20"/>
              <w:jc w:val="both"/>
            </w:pPr>
            <w:r>
              <w:rPr>
                <w:sz w:val="18"/>
                <w:szCs w:val="18"/>
              </w:rPr>
              <w:t>El informe es claro.</w:t>
            </w:r>
          </w:p>
        </w:tc>
        <w:tc>
          <w:tcPr>
            <w:tcW w:w="2080" w:type="dxa"/>
            <w:shd w:val="clear" w:color="auto" w:fill="D9E2F3"/>
            <w:vAlign w:val="center"/>
          </w:tcPr>
          <w:p w14:paraId="759173AD" w14:textId="77777777" w:rsidR="00990B14" w:rsidRDefault="00000000">
            <w:pPr>
              <w:spacing w:before="20" w:after="20"/>
              <w:jc w:val="both"/>
            </w:pPr>
            <w:r>
              <w:rPr>
                <w:sz w:val="18"/>
                <w:szCs w:val="18"/>
              </w:rPr>
              <w:t>El informe es técnico y fundamentado.</w:t>
            </w:r>
          </w:p>
        </w:tc>
      </w:tr>
      <w:tr w:rsidR="00990B14" w14:paraId="240A8CF0" w14:textId="77777777">
        <w:trPr>
          <w:cantSplit/>
          <w:jc w:val="center"/>
        </w:trPr>
        <w:tc>
          <w:tcPr>
            <w:tcW w:w="1490" w:type="dxa"/>
            <w:vMerge/>
            <w:shd w:val="clear" w:color="auto" w:fill="4472C4"/>
            <w:vAlign w:val="center"/>
          </w:tcPr>
          <w:p w14:paraId="398FF5AE" w14:textId="77777777" w:rsidR="00990B14" w:rsidRDefault="00990B14">
            <w:pPr>
              <w:spacing w:before="20" w:after="20"/>
            </w:pPr>
          </w:p>
        </w:tc>
        <w:tc>
          <w:tcPr>
            <w:tcW w:w="5835" w:type="dxa"/>
            <w:gridSpan w:val="3"/>
            <w:shd w:val="clear" w:color="auto" w:fill="D9E2F3"/>
            <w:vAlign w:val="center"/>
          </w:tcPr>
          <w:p w14:paraId="62D0E7FB" w14:textId="77777777" w:rsidR="00990B14" w:rsidRDefault="00000000">
            <w:pPr>
              <w:keepNext/>
              <w:spacing w:before="20" w:after="20"/>
              <w:jc w:val="both"/>
            </w:pPr>
            <w:r>
              <w:rPr>
                <w:b/>
                <w:bCs/>
                <w:i/>
                <w:iCs/>
                <w:sz w:val="18"/>
                <w:szCs w:val="18"/>
              </w:rPr>
              <w:t xml:space="preserve">Producto 3: </w:t>
            </w:r>
            <w:r>
              <w:rPr>
                <w:sz w:val="18"/>
                <w:szCs w:val="18"/>
              </w:rPr>
              <w:t>Esquema de los marcos de referencia vigentes</w:t>
            </w:r>
          </w:p>
        </w:tc>
        <w:tc>
          <w:tcPr>
            <w:tcW w:w="2080" w:type="dxa"/>
            <w:shd w:val="clear" w:color="auto" w:fill="D9E2F3"/>
            <w:vAlign w:val="center"/>
          </w:tcPr>
          <w:p w14:paraId="036064E0" w14:textId="77777777" w:rsidR="00990B14" w:rsidRDefault="00000000">
            <w:pPr>
              <w:spacing w:before="20" w:after="20"/>
              <w:jc w:val="center"/>
            </w:pPr>
            <w:r>
              <w:rPr>
                <w:b/>
                <w:bCs/>
                <w:sz w:val="18"/>
                <w:szCs w:val="18"/>
              </w:rPr>
              <w:t>1%</w:t>
            </w:r>
          </w:p>
        </w:tc>
      </w:tr>
      <w:tr w:rsidR="00990B14" w14:paraId="7C6BBCF9" w14:textId="77777777">
        <w:trPr>
          <w:cantSplit/>
          <w:jc w:val="center"/>
        </w:trPr>
        <w:tc>
          <w:tcPr>
            <w:tcW w:w="1490" w:type="dxa"/>
            <w:vMerge/>
            <w:shd w:val="clear" w:color="auto" w:fill="4472C4"/>
            <w:vAlign w:val="center"/>
          </w:tcPr>
          <w:p w14:paraId="43CDA96E" w14:textId="77777777" w:rsidR="00990B14" w:rsidRDefault="00990B14">
            <w:pPr>
              <w:spacing w:before="20" w:after="20"/>
            </w:pPr>
          </w:p>
        </w:tc>
        <w:tc>
          <w:tcPr>
            <w:tcW w:w="1910" w:type="dxa"/>
            <w:shd w:val="clear" w:color="auto" w:fill="4472C4"/>
            <w:vAlign w:val="center"/>
          </w:tcPr>
          <w:p w14:paraId="43E9BD6C"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7914B79D"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2AD50B01" w14:textId="77777777" w:rsidR="00990B14" w:rsidRDefault="00000000">
            <w:pPr>
              <w:keepNext/>
              <w:spacing w:before="20" w:after="20"/>
              <w:jc w:val="center"/>
            </w:pPr>
            <w:r>
              <w:rPr>
                <w:b/>
                <w:bCs/>
                <w:i/>
                <w:iCs/>
                <w:color w:val="FFFFFF"/>
                <w:sz w:val="18"/>
                <w:szCs w:val="18"/>
              </w:rPr>
              <w:t>Suficiente (51–80)</w:t>
            </w:r>
          </w:p>
        </w:tc>
        <w:tc>
          <w:tcPr>
            <w:tcW w:w="2080" w:type="dxa"/>
            <w:shd w:val="clear" w:color="auto" w:fill="4472C4"/>
            <w:vAlign w:val="center"/>
          </w:tcPr>
          <w:p w14:paraId="4A1400B3" w14:textId="77777777" w:rsidR="00990B14" w:rsidRDefault="00000000">
            <w:pPr>
              <w:keepNext/>
              <w:spacing w:before="20" w:after="20"/>
              <w:jc w:val="center"/>
            </w:pPr>
            <w:r>
              <w:rPr>
                <w:b/>
                <w:bCs/>
                <w:i/>
                <w:iCs/>
                <w:color w:val="FFFFFF"/>
                <w:sz w:val="18"/>
                <w:szCs w:val="18"/>
              </w:rPr>
              <w:t>Destacado (81–100)</w:t>
            </w:r>
          </w:p>
        </w:tc>
      </w:tr>
      <w:tr w:rsidR="00990B14" w14:paraId="6B2F8280" w14:textId="77777777">
        <w:trPr>
          <w:cantSplit/>
          <w:jc w:val="center"/>
        </w:trPr>
        <w:tc>
          <w:tcPr>
            <w:tcW w:w="1490" w:type="dxa"/>
            <w:vMerge/>
            <w:shd w:val="clear" w:color="auto" w:fill="4472C4"/>
            <w:vAlign w:val="center"/>
          </w:tcPr>
          <w:p w14:paraId="4C3D9684" w14:textId="77777777" w:rsidR="00990B14" w:rsidRDefault="00990B14">
            <w:pPr>
              <w:spacing w:before="20" w:after="20"/>
            </w:pPr>
          </w:p>
        </w:tc>
        <w:tc>
          <w:tcPr>
            <w:tcW w:w="1910" w:type="dxa"/>
            <w:shd w:val="clear" w:color="auto" w:fill="D9E2F3"/>
            <w:vAlign w:val="center"/>
          </w:tcPr>
          <w:p w14:paraId="71C41BBE" w14:textId="77777777" w:rsidR="00990B14" w:rsidRDefault="00000000">
            <w:pPr>
              <w:spacing w:before="20" w:after="20"/>
              <w:jc w:val="both"/>
            </w:pPr>
            <w:r>
              <w:rPr>
                <w:sz w:val="18"/>
                <w:szCs w:val="18"/>
              </w:rPr>
              <w:t>Marcos vigentes</w:t>
            </w:r>
          </w:p>
        </w:tc>
        <w:tc>
          <w:tcPr>
            <w:tcW w:w="2015" w:type="dxa"/>
            <w:shd w:val="clear" w:color="auto" w:fill="D9E2F3"/>
            <w:vAlign w:val="center"/>
          </w:tcPr>
          <w:p w14:paraId="0B694768" w14:textId="77777777" w:rsidR="00990B14" w:rsidRDefault="00000000">
            <w:pPr>
              <w:spacing w:before="20" w:after="20"/>
              <w:jc w:val="both"/>
            </w:pPr>
            <w:r>
              <w:rPr>
                <w:sz w:val="18"/>
                <w:szCs w:val="18"/>
              </w:rPr>
              <w:t>Omite marcos.</w:t>
            </w:r>
          </w:p>
        </w:tc>
        <w:tc>
          <w:tcPr>
            <w:tcW w:w="1910" w:type="dxa"/>
            <w:shd w:val="clear" w:color="auto" w:fill="D9E2F3"/>
            <w:vAlign w:val="center"/>
          </w:tcPr>
          <w:p w14:paraId="60E50C2A" w14:textId="77777777" w:rsidR="00990B14" w:rsidRDefault="00000000">
            <w:pPr>
              <w:spacing w:before="20" w:after="20"/>
              <w:jc w:val="both"/>
            </w:pPr>
            <w:r>
              <w:rPr>
                <w:sz w:val="18"/>
                <w:szCs w:val="18"/>
              </w:rPr>
              <w:t>Presenta los marcos vigentes en Bolivia y en el mundo.</w:t>
            </w:r>
          </w:p>
        </w:tc>
        <w:tc>
          <w:tcPr>
            <w:tcW w:w="2080" w:type="dxa"/>
            <w:shd w:val="clear" w:color="auto" w:fill="D9E2F3"/>
            <w:vAlign w:val="center"/>
          </w:tcPr>
          <w:p w14:paraId="4E10879D" w14:textId="77777777" w:rsidR="00990B14" w:rsidRDefault="00000000">
            <w:pPr>
              <w:spacing w:before="20" w:after="20"/>
              <w:jc w:val="both"/>
            </w:pPr>
            <w:r>
              <w:rPr>
                <w:sz w:val="18"/>
                <w:szCs w:val="18"/>
              </w:rPr>
              <w:t>Indica la norma que dispone cada marco.</w:t>
            </w:r>
          </w:p>
        </w:tc>
      </w:tr>
      <w:tr w:rsidR="00990B14" w14:paraId="458213B3" w14:textId="77777777">
        <w:trPr>
          <w:cantSplit/>
          <w:jc w:val="center"/>
        </w:trPr>
        <w:tc>
          <w:tcPr>
            <w:tcW w:w="1490" w:type="dxa"/>
            <w:vMerge/>
            <w:shd w:val="clear" w:color="auto" w:fill="4472C4"/>
            <w:vAlign w:val="center"/>
          </w:tcPr>
          <w:p w14:paraId="18AE5AFE" w14:textId="77777777" w:rsidR="00990B14" w:rsidRDefault="00990B14">
            <w:pPr>
              <w:spacing w:before="20" w:after="20"/>
            </w:pPr>
          </w:p>
        </w:tc>
        <w:tc>
          <w:tcPr>
            <w:tcW w:w="1910" w:type="dxa"/>
            <w:shd w:val="clear" w:color="auto" w:fill="D9E2F3"/>
            <w:vAlign w:val="center"/>
          </w:tcPr>
          <w:p w14:paraId="73E58ABA" w14:textId="77777777" w:rsidR="00990B14" w:rsidRDefault="00000000">
            <w:pPr>
              <w:spacing w:before="20" w:after="20"/>
              <w:jc w:val="both"/>
            </w:pPr>
            <w:r>
              <w:rPr>
                <w:sz w:val="18"/>
                <w:szCs w:val="18"/>
              </w:rPr>
              <w:t>Relaciones</w:t>
            </w:r>
          </w:p>
        </w:tc>
        <w:tc>
          <w:tcPr>
            <w:tcW w:w="2015" w:type="dxa"/>
            <w:shd w:val="clear" w:color="auto" w:fill="D9E2F3"/>
            <w:vAlign w:val="center"/>
          </w:tcPr>
          <w:p w14:paraId="4807F436" w14:textId="77777777" w:rsidR="00990B14" w:rsidRDefault="00000000">
            <w:pPr>
              <w:spacing w:before="20" w:after="20"/>
              <w:jc w:val="both"/>
            </w:pPr>
            <w:r>
              <w:rPr>
                <w:sz w:val="18"/>
                <w:szCs w:val="18"/>
              </w:rPr>
              <w:t>No relaciona los marcos.</w:t>
            </w:r>
          </w:p>
        </w:tc>
        <w:tc>
          <w:tcPr>
            <w:tcW w:w="1910" w:type="dxa"/>
            <w:shd w:val="clear" w:color="auto" w:fill="D9E2F3"/>
            <w:vAlign w:val="center"/>
          </w:tcPr>
          <w:p w14:paraId="74309228" w14:textId="77777777" w:rsidR="00990B14" w:rsidRDefault="00000000">
            <w:pPr>
              <w:spacing w:before="20" w:after="20"/>
              <w:jc w:val="both"/>
            </w:pPr>
            <w:r>
              <w:rPr>
                <w:sz w:val="18"/>
                <w:szCs w:val="18"/>
              </w:rPr>
              <w:t>Relaciona los marcos entre sí.</w:t>
            </w:r>
          </w:p>
        </w:tc>
        <w:tc>
          <w:tcPr>
            <w:tcW w:w="2080" w:type="dxa"/>
            <w:shd w:val="clear" w:color="auto" w:fill="D9E2F3"/>
            <w:vAlign w:val="center"/>
          </w:tcPr>
          <w:p w14:paraId="066400DF" w14:textId="77777777" w:rsidR="00990B14" w:rsidRDefault="00000000">
            <w:pPr>
              <w:spacing w:before="20" w:after="20"/>
              <w:jc w:val="both"/>
            </w:pPr>
            <w:r>
              <w:rPr>
                <w:sz w:val="18"/>
                <w:szCs w:val="18"/>
              </w:rPr>
              <w:t>Explica la convergencia entre los marcos.</w:t>
            </w:r>
          </w:p>
        </w:tc>
      </w:tr>
      <w:tr w:rsidR="00990B14" w14:paraId="65955C14" w14:textId="77777777">
        <w:trPr>
          <w:cantSplit/>
          <w:jc w:val="center"/>
        </w:trPr>
        <w:tc>
          <w:tcPr>
            <w:tcW w:w="1490" w:type="dxa"/>
            <w:vMerge/>
            <w:shd w:val="clear" w:color="auto" w:fill="4472C4"/>
            <w:vAlign w:val="center"/>
          </w:tcPr>
          <w:p w14:paraId="2A3A85B5" w14:textId="77777777" w:rsidR="00990B14" w:rsidRDefault="00990B14">
            <w:pPr>
              <w:spacing w:before="20" w:after="20"/>
            </w:pPr>
          </w:p>
        </w:tc>
        <w:tc>
          <w:tcPr>
            <w:tcW w:w="1910" w:type="dxa"/>
            <w:shd w:val="clear" w:color="auto" w:fill="D9E2F3"/>
            <w:vAlign w:val="center"/>
          </w:tcPr>
          <w:p w14:paraId="222835C4" w14:textId="77777777" w:rsidR="00990B14" w:rsidRDefault="00000000">
            <w:pPr>
              <w:spacing w:before="20" w:after="20"/>
              <w:jc w:val="both"/>
            </w:pPr>
            <w:r>
              <w:rPr>
                <w:sz w:val="18"/>
                <w:szCs w:val="18"/>
              </w:rPr>
              <w:t>Exposición</w:t>
            </w:r>
          </w:p>
        </w:tc>
        <w:tc>
          <w:tcPr>
            <w:tcW w:w="2015" w:type="dxa"/>
            <w:shd w:val="clear" w:color="auto" w:fill="D9E2F3"/>
            <w:vAlign w:val="center"/>
          </w:tcPr>
          <w:p w14:paraId="7BA35ED7" w14:textId="77777777" w:rsidR="00990B14" w:rsidRDefault="00000000">
            <w:pPr>
              <w:spacing w:before="20" w:after="20"/>
              <w:jc w:val="both"/>
            </w:pPr>
            <w:r>
              <w:rPr>
                <w:sz w:val="18"/>
                <w:szCs w:val="18"/>
              </w:rPr>
              <w:t>No expone el esquema.</w:t>
            </w:r>
          </w:p>
        </w:tc>
        <w:tc>
          <w:tcPr>
            <w:tcW w:w="1910" w:type="dxa"/>
            <w:shd w:val="clear" w:color="auto" w:fill="D9E2F3"/>
            <w:vAlign w:val="center"/>
          </w:tcPr>
          <w:p w14:paraId="457A589D" w14:textId="77777777" w:rsidR="00990B14" w:rsidRDefault="00000000">
            <w:pPr>
              <w:spacing w:before="20" w:after="20"/>
              <w:jc w:val="both"/>
            </w:pPr>
            <w:r>
              <w:rPr>
                <w:sz w:val="18"/>
                <w:szCs w:val="18"/>
              </w:rPr>
              <w:t>Expone el esquema en equipo.</w:t>
            </w:r>
          </w:p>
        </w:tc>
        <w:tc>
          <w:tcPr>
            <w:tcW w:w="2080" w:type="dxa"/>
            <w:shd w:val="clear" w:color="auto" w:fill="D9E2F3"/>
            <w:vAlign w:val="center"/>
          </w:tcPr>
          <w:p w14:paraId="01A65847" w14:textId="77777777" w:rsidR="00990B14" w:rsidRDefault="00000000">
            <w:pPr>
              <w:spacing w:before="20" w:after="20"/>
              <w:jc w:val="both"/>
            </w:pPr>
            <w:r>
              <w:rPr>
                <w:sz w:val="18"/>
                <w:szCs w:val="18"/>
              </w:rPr>
              <w:t>Responde con fundamento las preguntas.</w:t>
            </w:r>
          </w:p>
        </w:tc>
      </w:tr>
      <w:tr w:rsidR="00990B14" w14:paraId="7AC3EE65" w14:textId="77777777">
        <w:trPr>
          <w:cantSplit/>
          <w:jc w:val="center"/>
        </w:trPr>
        <w:tc>
          <w:tcPr>
            <w:tcW w:w="1490" w:type="dxa"/>
            <w:vMerge/>
            <w:shd w:val="clear" w:color="auto" w:fill="4472C4"/>
            <w:vAlign w:val="center"/>
          </w:tcPr>
          <w:p w14:paraId="2DFA65A0" w14:textId="77777777" w:rsidR="00990B14" w:rsidRDefault="00990B14">
            <w:pPr>
              <w:spacing w:before="20" w:after="20"/>
            </w:pPr>
          </w:p>
        </w:tc>
        <w:tc>
          <w:tcPr>
            <w:tcW w:w="5835" w:type="dxa"/>
            <w:gridSpan w:val="3"/>
            <w:shd w:val="clear" w:color="auto" w:fill="D9E2F3"/>
            <w:vAlign w:val="center"/>
          </w:tcPr>
          <w:p w14:paraId="7A1981D0" w14:textId="77777777" w:rsidR="00990B14" w:rsidRDefault="00000000">
            <w:pPr>
              <w:keepNext/>
              <w:spacing w:before="20" w:after="20"/>
              <w:jc w:val="both"/>
            </w:pPr>
            <w:r>
              <w:rPr>
                <w:b/>
                <w:bCs/>
                <w:i/>
                <w:iCs/>
                <w:sz w:val="18"/>
                <w:szCs w:val="18"/>
              </w:rPr>
              <w:t xml:space="preserve">Producto 4: </w:t>
            </w:r>
            <w:r>
              <w:rPr>
                <w:sz w:val="18"/>
                <w:szCs w:val="18"/>
              </w:rPr>
              <w:t>Resumen de responsabilidades sobre el marco aplicable</w:t>
            </w:r>
          </w:p>
        </w:tc>
        <w:tc>
          <w:tcPr>
            <w:tcW w:w="2080" w:type="dxa"/>
            <w:shd w:val="clear" w:color="auto" w:fill="D9E2F3"/>
            <w:vAlign w:val="center"/>
          </w:tcPr>
          <w:p w14:paraId="3F960ED6" w14:textId="77777777" w:rsidR="00990B14" w:rsidRDefault="00000000">
            <w:pPr>
              <w:spacing w:before="20" w:after="20"/>
              <w:jc w:val="center"/>
            </w:pPr>
            <w:r>
              <w:rPr>
                <w:b/>
                <w:bCs/>
                <w:sz w:val="18"/>
                <w:szCs w:val="18"/>
              </w:rPr>
              <w:t>1%</w:t>
            </w:r>
          </w:p>
        </w:tc>
      </w:tr>
      <w:tr w:rsidR="00990B14" w14:paraId="712AC6FE" w14:textId="77777777">
        <w:trPr>
          <w:cantSplit/>
          <w:jc w:val="center"/>
        </w:trPr>
        <w:tc>
          <w:tcPr>
            <w:tcW w:w="1490" w:type="dxa"/>
            <w:vMerge/>
            <w:shd w:val="clear" w:color="auto" w:fill="4472C4"/>
            <w:vAlign w:val="center"/>
          </w:tcPr>
          <w:p w14:paraId="499DA3E8" w14:textId="77777777" w:rsidR="00990B14" w:rsidRDefault="00990B14">
            <w:pPr>
              <w:spacing w:before="20" w:after="20"/>
            </w:pPr>
          </w:p>
        </w:tc>
        <w:tc>
          <w:tcPr>
            <w:tcW w:w="1910" w:type="dxa"/>
            <w:shd w:val="clear" w:color="auto" w:fill="4472C4"/>
            <w:vAlign w:val="center"/>
          </w:tcPr>
          <w:p w14:paraId="3FA5E801"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5AC23758"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67D201A9" w14:textId="77777777" w:rsidR="00990B14" w:rsidRDefault="00000000">
            <w:pPr>
              <w:keepNext/>
              <w:spacing w:before="20" w:after="20"/>
              <w:jc w:val="center"/>
            </w:pPr>
            <w:r>
              <w:rPr>
                <w:b/>
                <w:bCs/>
                <w:i/>
                <w:iCs/>
                <w:color w:val="FFFFFF"/>
                <w:sz w:val="18"/>
                <w:szCs w:val="18"/>
              </w:rPr>
              <w:t>Suficiente (51–80)</w:t>
            </w:r>
          </w:p>
        </w:tc>
        <w:tc>
          <w:tcPr>
            <w:tcW w:w="2080" w:type="dxa"/>
            <w:shd w:val="clear" w:color="auto" w:fill="4472C4"/>
            <w:vAlign w:val="center"/>
          </w:tcPr>
          <w:p w14:paraId="7E96904D" w14:textId="77777777" w:rsidR="00990B14" w:rsidRDefault="00000000">
            <w:pPr>
              <w:keepNext/>
              <w:spacing w:before="20" w:after="20"/>
              <w:jc w:val="center"/>
            </w:pPr>
            <w:r>
              <w:rPr>
                <w:b/>
                <w:bCs/>
                <w:i/>
                <w:iCs/>
                <w:color w:val="FFFFFF"/>
                <w:sz w:val="18"/>
                <w:szCs w:val="18"/>
              </w:rPr>
              <w:t>Destacado (81–100)</w:t>
            </w:r>
          </w:p>
        </w:tc>
      </w:tr>
      <w:tr w:rsidR="00990B14" w14:paraId="79EED95F" w14:textId="77777777">
        <w:trPr>
          <w:cantSplit/>
          <w:jc w:val="center"/>
        </w:trPr>
        <w:tc>
          <w:tcPr>
            <w:tcW w:w="1490" w:type="dxa"/>
            <w:vMerge/>
            <w:shd w:val="clear" w:color="auto" w:fill="4472C4"/>
            <w:vAlign w:val="center"/>
          </w:tcPr>
          <w:p w14:paraId="1120E334" w14:textId="77777777" w:rsidR="00990B14" w:rsidRDefault="00990B14">
            <w:pPr>
              <w:spacing w:before="20" w:after="20"/>
            </w:pPr>
          </w:p>
        </w:tc>
        <w:tc>
          <w:tcPr>
            <w:tcW w:w="1910" w:type="dxa"/>
            <w:shd w:val="clear" w:color="auto" w:fill="D9E2F3"/>
            <w:vAlign w:val="center"/>
          </w:tcPr>
          <w:p w14:paraId="35B90F25" w14:textId="77777777" w:rsidR="00990B14" w:rsidRDefault="00000000">
            <w:pPr>
              <w:spacing w:before="20" w:after="20"/>
              <w:jc w:val="both"/>
            </w:pPr>
            <w:r>
              <w:rPr>
                <w:sz w:val="18"/>
                <w:szCs w:val="18"/>
              </w:rPr>
              <w:t>Responsabilidad de la administración</w:t>
            </w:r>
          </w:p>
        </w:tc>
        <w:tc>
          <w:tcPr>
            <w:tcW w:w="2015" w:type="dxa"/>
            <w:shd w:val="clear" w:color="auto" w:fill="D9E2F3"/>
            <w:vAlign w:val="center"/>
          </w:tcPr>
          <w:p w14:paraId="1786BC56" w14:textId="77777777" w:rsidR="00990B14" w:rsidRDefault="00000000">
            <w:pPr>
              <w:spacing w:before="20" w:after="20"/>
              <w:jc w:val="both"/>
            </w:pPr>
            <w:r>
              <w:rPr>
                <w:sz w:val="18"/>
                <w:szCs w:val="18"/>
              </w:rPr>
              <w:t>No la identifica.</w:t>
            </w:r>
          </w:p>
        </w:tc>
        <w:tc>
          <w:tcPr>
            <w:tcW w:w="1910" w:type="dxa"/>
            <w:shd w:val="clear" w:color="auto" w:fill="D9E2F3"/>
            <w:vAlign w:val="center"/>
          </w:tcPr>
          <w:p w14:paraId="26F3E412" w14:textId="77777777" w:rsidR="00990B14" w:rsidRDefault="00000000">
            <w:pPr>
              <w:spacing w:before="20" w:after="20"/>
              <w:jc w:val="both"/>
            </w:pPr>
            <w:r>
              <w:rPr>
                <w:sz w:val="18"/>
                <w:szCs w:val="18"/>
              </w:rPr>
              <w:t>Describe la responsabilidad de la administración.</w:t>
            </w:r>
          </w:p>
        </w:tc>
        <w:tc>
          <w:tcPr>
            <w:tcW w:w="2080" w:type="dxa"/>
            <w:shd w:val="clear" w:color="auto" w:fill="D9E2F3"/>
            <w:vAlign w:val="center"/>
          </w:tcPr>
          <w:p w14:paraId="75813C2F" w14:textId="77777777" w:rsidR="00990B14" w:rsidRDefault="00000000">
            <w:pPr>
              <w:spacing w:before="20" w:after="20"/>
              <w:jc w:val="both"/>
            </w:pPr>
            <w:r>
              <w:rPr>
                <w:sz w:val="18"/>
                <w:szCs w:val="18"/>
              </w:rPr>
              <w:t>La relaciona con las condiciones previas del encargo.</w:t>
            </w:r>
          </w:p>
        </w:tc>
      </w:tr>
      <w:tr w:rsidR="00990B14" w14:paraId="30CBB090" w14:textId="77777777">
        <w:trPr>
          <w:cantSplit/>
          <w:jc w:val="center"/>
        </w:trPr>
        <w:tc>
          <w:tcPr>
            <w:tcW w:w="1490" w:type="dxa"/>
            <w:vMerge/>
            <w:shd w:val="clear" w:color="auto" w:fill="4472C4"/>
            <w:vAlign w:val="center"/>
          </w:tcPr>
          <w:p w14:paraId="5B160CEB" w14:textId="77777777" w:rsidR="00990B14" w:rsidRDefault="00990B14">
            <w:pPr>
              <w:spacing w:before="20" w:after="20"/>
            </w:pPr>
          </w:p>
        </w:tc>
        <w:tc>
          <w:tcPr>
            <w:tcW w:w="1910" w:type="dxa"/>
            <w:shd w:val="clear" w:color="auto" w:fill="D9E2F3"/>
            <w:vAlign w:val="center"/>
          </w:tcPr>
          <w:p w14:paraId="77FA7380" w14:textId="77777777" w:rsidR="00990B14" w:rsidRDefault="00000000">
            <w:pPr>
              <w:spacing w:before="20" w:after="20"/>
              <w:jc w:val="both"/>
            </w:pPr>
            <w:r>
              <w:rPr>
                <w:sz w:val="18"/>
                <w:szCs w:val="18"/>
              </w:rPr>
              <w:t>Responsabilidad del auditor</w:t>
            </w:r>
          </w:p>
        </w:tc>
        <w:tc>
          <w:tcPr>
            <w:tcW w:w="2015" w:type="dxa"/>
            <w:shd w:val="clear" w:color="auto" w:fill="D9E2F3"/>
            <w:vAlign w:val="center"/>
          </w:tcPr>
          <w:p w14:paraId="5E2DF76D" w14:textId="77777777" w:rsidR="00990B14" w:rsidRDefault="00000000">
            <w:pPr>
              <w:spacing w:before="20" w:after="20"/>
              <w:jc w:val="both"/>
            </w:pPr>
            <w:r>
              <w:rPr>
                <w:sz w:val="18"/>
                <w:szCs w:val="18"/>
              </w:rPr>
              <w:t>La confunde con la de la administración.</w:t>
            </w:r>
          </w:p>
        </w:tc>
        <w:tc>
          <w:tcPr>
            <w:tcW w:w="1910" w:type="dxa"/>
            <w:shd w:val="clear" w:color="auto" w:fill="D9E2F3"/>
            <w:vAlign w:val="center"/>
          </w:tcPr>
          <w:p w14:paraId="2479E93D" w14:textId="77777777" w:rsidR="00990B14" w:rsidRDefault="00000000">
            <w:pPr>
              <w:spacing w:before="20" w:after="20"/>
              <w:jc w:val="both"/>
            </w:pPr>
            <w:r>
              <w:rPr>
                <w:sz w:val="18"/>
                <w:szCs w:val="18"/>
              </w:rPr>
              <w:t>Describe la responsabilidad del auditor.</w:t>
            </w:r>
          </w:p>
        </w:tc>
        <w:tc>
          <w:tcPr>
            <w:tcW w:w="2080" w:type="dxa"/>
            <w:shd w:val="clear" w:color="auto" w:fill="D9E2F3"/>
            <w:vAlign w:val="center"/>
          </w:tcPr>
          <w:p w14:paraId="73F59E6D" w14:textId="77777777" w:rsidR="00990B14" w:rsidRDefault="00000000">
            <w:pPr>
              <w:spacing w:before="20" w:after="20"/>
              <w:jc w:val="both"/>
            </w:pPr>
            <w:r>
              <w:rPr>
                <w:sz w:val="18"/>
                <w:szCs w:val="18"/>
              </w:rPr>
              <w:t>Delimita con precisión ambas responsabilidades.</w:t>
            </w:r>
          </w:p>
        </w:tc>
      </w:tr>
      <w:tr w:rsidR="00990B14" w14:paraId="100D9B02" w14:textId="77777777">
        <w:trPr>
          <w:cantSplit/>
          <w:jc w:val="center"/>
        </w:trPr>
        <w:tc>
          <w:tcPr>
            <w:tcW w:w="1490" w:type="dxa"/>
            <w:vMerge/>
            <w:shd w:val="clear" w:color="auto" w:fill="4472C4"/>
            <w:vAlign w:val="center"/>
          </w:tcPr>
          <w:p w14:paraId="11414C9F" w14:textId="77777777" w:rsidR="00990B14" w:rsidRDefault="00990B14">
            <w:pPr>
              <w:spacing w:before="20" w:after="20"/>
            </w:pPr>
          </w:p>
        </w:tc>
        <w:tc>
          <w:tcPr>
            <w:tcW w:w="1910" w:type="dxa"/>
            <w:shd w:val="clear" w:color="auto" w:fill="D9E2F3"/>
            <w:vAlign w:val="center"/>
          </w:tcPr>
          <w:p w14:paraId="11252E1B" w14:textId="77777777" w:rsidR="00990B14" w:rsidRDefault="00000000">
            <w:pPr>
              <w:spacing w:before="20" w:after="20"/>
              <w:jc w:val="both"/>
            </w:pPr>
            <w:r>
              <w:rPr>
                <w:sz w:val="18"/>
                <w:szCs w:val="18"/>
              </w:rPr>
              <w:t>Redacción</w:t>
            </w:r>
          </w:p>
        </w:tc>
        <w:tc>
          <w:tcPr>
            <w:tcW w:w="2015" w:type="dxa"/>
            <w:shd w:val="clear" w:color="auto" w:fill="D9E2F3"/>
            <w:vAlign w:val="center"/>
          </w:tcPr>
          <w:p w14:paraId="5A667A14" w14:textId="77777777" w:rsidR="00990B14" w:rsidRDefault="00000000">
            <w:pPr>
              <w:spacing w:before="20" w:after="20"/>
              <w:jc w:val="both"/>
            </w:pPr>
            <w:r>
              <w:rPr>
                <w:sz w:val="18"/>
                <w:szCs w:val="18"/>
              </w:rPr>
              <w:t>El resumen es confuso.</w:t>
            </w:r>
          </w:p>
        </w:tc>
        <w:tc>
          <w:tcPr>
            <w:tcW w:w="1910" w:type="dxa"/>
            <w:shd w:val="clear" w:color="auto" w:fill="D9E2F3"/>
            <w:vAlign w:val="center"/>
          </w:tcPr>
          <w:p w14:paraId="28663AEB" w14:textId="77777777" w:rsidR="00990B14" w:rsidRDefault="00000000">
            <w:pPr>
              <w:spacing w:before="20" w:after="20"/>
              <w:jc w:val="both"/>
            </w:pPr>
            <w:r>
              <w:rPr>
                <w:sz w:val="18"/>
                <w:szCs w:val="18"/>
              </w:rPr>
              <w:t>El resumen es claro.</w:t>
            </w:r>
          </w:p>
        </w:tc>
        <w:tc>
          <w:tcPr>
            <w:tcW w:w="2080" w:type="dxa"/>
            <w:shd w:val="clear" w:color="auto" w:fill="D9E2F3"/>
            <w:vAlign w:val="center"/>
          </w:tcPr>
          <w:p w14:paraId="74EF0131" w14:textId="77777777" w:rsidR="00990B14" w:rsidRDefault="00000000">
            <w:pPr>
              <w:spacing w:before="20" w:after="20"/>
              <w:jc w:val="both"/>
            </w:pPr>
            <w:r>
              <w:rPr>
                <w:sz w:val="18"/>
                <w:szCs w:val="18"/>
              </w:rPr>
              <w:t>El resumen es preciso y técnico.</w:t>
            </w:r>
          </w:p>
        </w:tc>
      </w:tr>
      <w:tr w:rsidR="00990B14" w14:paraId="7BFA4E36" w14:textId="77777777">
        <w:trPr>
          <w:cantSplit/>
          <w:jc w:val="center"/>
        </w:trPr>
        <w:tc>
          <w:tcPr>
            <w:tcW w:w="1490" w:type="dxa"/>
            <w:vMerge/>
            <w:shd w:val="clear" w:color="auto" w:fill="4472C4"/>
            <w:vAlign w:val="center"/>
          </w:tcPr>
          <w:p w14:paraId="750045E9" w14:textId="77777777" w:rsidR="00990B14" w:rsidRDefault="00990B14">
            <w:pPr>
              <w:spacing w:before="20" w:after="20"/>
            </w:pPr>
          </w:p>
        </w:tc>
        <w:tc>
          <w:tcPr>
            <w:tcW w:w="5835" w:type="dxa"/>
            <w:gridSpan w:val="3"/>
            <w:shd w:val="clear" w:color="auto" w:fill="D9E2F3"/>
            <w:vAlign w:val="center"/>
          </w:tcPr>
          <w:p w14:paraId="2686DF9A" w14:textId="77777777" w:rsidR="00990B14" w:rsidRDefault="00000000">
            <w:pPr>
              <w:keepNext/>
              <w:spacing w:before="20" w:after="20"/>
              <w:jc w:val="both"/>
            </w:pPr>
            <w:r>
              <w:rPr>
                <w:b/>
                <w:bCs/>
                <w:i/>
                <w:iCs/>
                <w:sz w:val="18"/>
                <w:szCs w:val="18"/>
              </w:rPr>
              <w:t xml:space="preserve">Producto 5: </w:t>
            </w:r>
            <w:r>
              <w:rPr>
                <w:sz w:val="18"/>
                <w:szCs w:val="18"/>
              </w:rPr>
              <w:t>Mapa de los pronunciamientos profesionales</w:t>
            </w:r>
          </w:p>
        </w:tc>
        <w:tc>
          <w:tcPr>
            <w:tcW w:w="2080" w:type="dxa"/>
            <w:shd w:val="clear" w:color="auto" w:fill="D9E2F3"/>
            <w:vAlign w:val="center"/>
          </w:tcPr>
          <w:p w14:paraId="1F3CD669" w14:textId="77777777" w:rsidR="00990B14" w:rsidRDefault="00000000">
            <w:pPr>
              <w:spacing w:before="20" w:after="20"/>
              <w:jc w:val="center"/>
            </w:pPr>
            <w:r>
              <w:rPr>
                <w:b/>
                <w:bCs/>
                <w:sz w:val="18"/>
                <w:szCs w:val="18"/>
              </w:rPr>
              <w:t>4%</w:t>
            </w:r>
          </w:p>
        </w:tc>
      </w:tr>
      <w:tr w:rsidR="00990B14" w14:paraId="1ED10755" w14:textId="77777777">
        <w:trPr>
          <w:cantSplit/>
          <w:jc w:val="center"/>
        </w:trPr>
        <w:tc>
          <w:tcPr>
            <w:tcW w:w="1490" w:type="dxa"/>
            <w:vMerge/>
            <w:shd w:val="clear" w:color="auto" w:fill="4472C4"/>
            <w:vAlign w:val="center"/>
          </w:tcPr>
          <w:p w14:paraId="4C97662D" w14:textId="77777777" w:rsidR="00990B14" w:rsidRDefault="00990B14">
            <w:pPr>
              <w:spacing w:before="20" w:after="20"/>
            </w:pPr>
          </w:p>
        </w:tc>
        <w:tc>
          <w:tcPr>
            <w:tcW w:w="1910" w:type="dxa"/>
            <w:shd w:val="clear" w:color="auto" w:fill="4472C4"/>
            <w:vAlign w:val="center"/>
          </w:tcPr>
          <w:p w14:paraId="6737B03A"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5E707FC7"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1CE2E5EA" w14:textId="77777777" w:rsidR="00990B14" w:rsidRDefault="00000000">
            <w:pPr>
              <w:keepNext/>
              <w:spacing w:before="20" w:after="20"/>
              <w:jc w:val="center"/>
            </w:pPr>
            <w:r>
              <w:rPr>
                <w:b/>
                <w:bCs/>
                <w:i/>
                <w:iCs/>
                <w:color w:val="FFFFFF"/>
                <w:sz w:val="18"/>
                <w:szCs w:val="18"/>
              </w:rPr>
              <w:t>Suficiente (51–80)</w:t>
            </w:r>
          </w:p>
        </w:tc>
        <w:tc>
          <w:tcPr>
            <w:tcW w:w="2080" w:type="dxa"/>
            <w:shd w:val="clear" w:color="auto" w:fill="4472C4"/>
            <w:vAlign w:val="center"/>
          </w:tcPr>
          <w:p w14:paraId="479AF5B5" w14:textId="77777777" w:rsidR="00990B14" w:rsidRDefault="00000000">
            <w:pPr>
              <w:keepNext/>
              <w:spacing w:before="20" w:after="20"/>
              <w:jc w:val="center"/>
            </w:pPr>
            <w:r>
              <w:rPr>
                <w:b/>
                <w:bCs/>
                <w:i/>
                <w:iCs/>
                <w:color w:val="FFFFFF"/>
                <w:sz w:val="18"/>
                <w:szCs w:val="18"/>
              </w:rPr>
              <w:t>Destacado (81–100)</w:t>
            </w:r>
          </w:p>
        </w:tc>
      </w:tr>
      <w:tr w:rsidR="00990B14" w14:paraId="63236F20" w14:textId="77777777">
        <w:trPr>
          <w:cantSplit/>
          <w:jc w:val="center"/>
        </w:trPr>
        <w:tc>
          <w:tcPr>
            <w:tcW w:w="1490" w:type="dxa"/>
            <w:vMerge/>
            <w:shd w:val="clear" w:color="auto" w:fill="4472C4"/>
            <w:vAlign w:val="center"/>
          </w:tcPr>
          <w:p w14:paraId="541314E7" w14:textId="77777777" w:rsidR="00990B14" w:rsidRDefault="00990B14">
            <w:pPr>
              <w:spacing w:before="20" w:after="20"/>
            </w:pPr>
          </w:p>
        </w:tc>
        <w:tc>
          <w:tcPr>
            <w:tcW w:w="1910" w:type="dxa"/>
            <w:shd w:val="clear" w:color="auto" w:fill="D9E2F3"/>
            <w:vAlign w:val="center"/>
          </w:tcPr>
          <w:p w14:paraId="7B15D7A1" w14:textId="77777777" w:rsidR="00990B14" w:rsidRDefault="00000000">
            <w:pPr>
              <w:spacing w:before="20" w:after="20"/>
              <w:jc w:val="both"/>
            </w:pPr>
            <w:r>
              <w:rPr>
                <w:sz w:val="18"/>
                <w:szCs w:val="18"/>
              </w:rPr>
              <w:t>Estructura</w:t>
            </w:r>
          </w:p>
        </w:tc>
        <w:tc>
          <w:tcPr>
            <w:tcW w:w="2015" w:type="dxa"/>
            <w:shd w:val="clear" w:color="auto" w:fill="D9E2F3"/>
            <w:vAlign w:val="center"/>
          </w:tcPr>
          <w:p w14:paraId="0FFE230B" w14:textId="77777777" w:rsidR="00990B14" w:rsidRDefault="00000000">
            <w:pPr>
              <w:spacing w:before="20" w:after="20"/>
              <w:jc w:val="both"/>
            </w:pPr>
            <w:r>
              <w:rPr>
                <w:sz w:val="18"/>
                <w:szCs w:val="18"/>
              </w:rPr>
              <w:t>Omite pronunciamientos.</w:t>
            </w:r>
          </w:p>
        </w:tc>
        <w:tc>
          <w:tcPr>
            <w:tcW w:w="1910" w:type="dxa"/>
            <w:shd w:val="clear" w:color="auto" w:fill="D9E2F3"/>
            <w:vAlign w:val="center"/>
          </w:tcPr>
          <w:p w14:paraId="239311AC" w14:textId="77777777" w:rsidR="00990B14" w:rsidRDefault="00000000">
            <w:pPr>
              <w:spacing w:before="20" w:after="20"/>
              <w:jc w:val="both"/>
            </w:pPr>
            <w:r>
              <w:rPr>
                <w:sz w:val="18"/>
                <w:szCs w:val="18"/>
              </w:rPr>
              <w:t>Clasifica los pronunciamientos del IAASB y del IESBA.</w:t>
            </w:r>
          </w:p>
        </w:tc>
        <w:tc>
          <w:tcPr>
            <w:tcW w:w="2080" w:type="dxa"/>
            <w:shd w:val="clear" w:color="auto" w:fill="D9E2F3"/>
            <w:vAlign w:val="center"/>
          </w:tcPr>
          <w:p w14:paraId="5C19C18F" w14:textId="77777777" w:rsidR="00990B14" w:rsidRDefault="00000000">
            <w:pPr>
              <w:spacing w:before="20" w:after="20"/>
              <w:jc w:val="both"/>
            </w:pPr>
            <w:r>
              <w:rPr>
                <w:sz w:val="18"/>
                <w:szCs w:val="18"/>
              </w:rPr>
              <w:t>Incluye las normas de gestión de la calidad y su vigencia.</w:t>
            </w:r>
          </w:p>
        </w:tc>
      </w:tr>
      <w:tr w:rsidR="00990B14" w14:paraId="4A4D9549" w14:textId="77777777">
        <w:trPr>
          <w:cantSplit/>
          <w:jc w:val="center"/>
        </w:trPr>
        <w:tc>
          <w:tcPr>
            <w:tcW w:w="1490" w:type="dxa"/>
            <w:vMerge/>
            <w:shd w:val="clear" w:color="auto" w:fill="4472C4"/>
            <w:vAlign w:val="center"/>
          </w:tcPr>
          <w:p w14:paraId="616B1935" w14:textId="77777777" w:rsidR="00990B14" w:rsidRDefault="00990B14">
            <w:pPr>
              <w:spacing w:before="20" w:after="20"/>
            </w:pPr>
          </w:p>
        </w:tc>
        <w:tc>
          <w:tcPr>
            <w:tcW w:w="1910" w:type="dxa"/>
            <w:shd w:val="clear" w:color="auto" w:fill="D9E2F3"/>
            <w:vAlign w:val="center"/>
          </w:tcPr>
          <w:p w14:paraId="64B2E663" w14:textId="77777777" w:rsidR="00990B14" w:rsidRDefault="00000000">
            <w:pPr>
              <w:spacing w:before="20" w:after="20"/>
              <w:jc w:val="both"/>
            </w:pPr>
            <w:r>
              <w:rPr>
                <w:sz w:val="18"/>
                <w:szCs w:val="18"/>
              </w:rPr>
              <w:t>Convergencia en Bolivia</w:t>
            </w:r>
          </w:p>
        </w:tc>
        <w:tc>
          <w:tcPr>
            <w:tcW w:w="2015" w:type="dxa"/>
            <w:shd w:val="clear" w:color="auto" w:fill="D9E2F3"/>
            <w:vAlign w:val="center"/>
          </w:tcPr>
          <w:p w14:paraId="3E3D3F87" w14:textId="77777777" w:rsidR="00990B14" w:rsidRDefault="00000000">
            <w:pPr>
              <w:spacing w:before="20" w:after="20"/>
              <w:jc w:val="both"/>
            </w:pPr>
            <w:r>
              <w:rPr>
                <w:sz w:val="18"/>
                <w:szCs w:val="18"/>
              </w:rPr>
              <w:t>No la menciona.</w:t>
            </w:r>
          </w:p>
        </w:tc>
        <w:tc>
          <w:tcPr>
            <w:tcW w:w="1910" w:type="dxa"/>
            <w:shd w:val="clear" w:color="auto" w:fill="D9E2F3"/>
            <w:vAlign w:val="center"/>
          </w:tcPr>
          <w:p w14:paraId="4EBAF688" w14:textId="77777777" w:rsidR="00990B14" w:rsidRDefault="00000000">
            <w:pPr>
              <w:spacing w:before="20" w:after="20"/>
              <w:jc w:val="both"/>
            </w:pPr>
            <w:r>
              <w:rPr>
                <w:sz w:val="18"/>
                <w:szCs w:val="18"/>
              </w:rPr>
              <w:t>Describe la convergencia en Bolivia.</w:t>
            </w:r>
          </w:p>
        </w:tc>
        <w:tc>
          <w:tcPr>
            <w:tcW w:w="2080" w:type="dxa"/>
            <w:shd w:val="clear" w:color="auto" w:fill="D9E2F3"/>
            <w:vAlign w:val="center"/>
          </w:tcPr>
          <w:p w14:paraId="7590AD19" w14:textId="77777777" w:rsidR="00990B14" w:rsidRDefault="00000000">
            <w:pPr>
              <w:spacing w:before="20" w:after="20"/>
              <w:jc w:val="both"/>
            </w:pPr>
            <w:r>
              <w:rPr>
                <w:sz w:val="18"/>
                <w:szCs w:val="18"/>
              </w:rPr>
              <w:t>Identifica la resolución que la dispone.</w:t>
            </w:r>
          </w:p>
        </w:tc>
      </w:tr>
      <w:tr w:rsidR="00990B14" w14:paraId="5037741B" w14:textId="77777777">
        <w:trPr>
          <w:cantSplit/>
          <w:jc w:val="center"/>
        </w:trPr>
        <w:tc>
          <w:tcPr>
            <w:tcW w:w="1490" w:type="dxa"/>
            <w:vMerge/>
            <w:shd w:val="clear" w:color="auto" w:fill="4472C4"/>
            <w:vAlign w:val="center"/>
          </w:tcPr>
          <w:p w14:paraId="1D64FF71" w14:textId="77777777" w:rsidR="00990B14" w:rsidRDefault="00990B14">
            <w:pPr>
              <w:spacing w:before="20" w:after="20"/>
            </w:pPr>
          </w:p>
        </w:tc>
        <w:tc>
          <w:tcPr>
            <w:tcW w:w="1910" w:type="dxa"/>
            <w:shd w:val="clear" w:color="auto" w:fill="D9E2F3"/>
            <w:vAlign w:val="center"/>
          </w:tcPr>
          <w:p w14:paraId="46A8576F" w14:textId="77777777" w:rsidR="00990B14" w:rsidRDefault="00000000">
            <w:pPr>
              <w:spacing w:before="20" w:after="20"/>
              <w:jc w:val="both"/>
            </w:pPr>
            <w:r>
              <w:rPr>
                <w:sz w:val="18"/>
                <w:szCs w:val="18"/>
              </w:rPr>
              <w:t>Presentación</w:t>
            </w:r>
          </w:p>
        </w:tc>
        <w:tc>
          <w:tcPr>
            <w:tcW w:w="2015" w:type="dxa"/>
            <w:shd w:val="clear" w:color="auto" w:fill="D9E2F3"/>
            <w:vAlign w:val="center"/>
          </w:tcPr>
          <w:p w14:paraId="432F1ECE" w14:textId="77777777" w:rsidR="00990B14" w:rsidRDefault="00000000">
            <w:pPr>
              <w:spacing w:before="20" w:after="20"/>
              <w:jc w:val="both"/>
            </w:pPr>
            <w:r>
              <w:rPr>
                <w:sz w:val="18"/>
                <w:szCs w:val="18"/>
              </w:rPr>
              <w:t>El mapa es desordenado.</w:t>
            </w:r>
          </w:p>
        </w:tc>
        <w:tc>
          <w:tcPr>
            <w:tcW w:w="1910" w:type="dxa"/>
            <w:shd w:val="clear" w:color="auto" w:fill="D9E2F3"/>
            <w:vAlign w:val="center"/>
          </w:tcPr>
          <w:p w14:paraId="01BDAABE" w14:textId="77777777" w:rsidR="00990B14" w:rsidRDefault="00000000">
            <w:pPr>
              <w:spacing w:before="20" w:after="20"/>
              <w:jc w:val="both"/>
            </w:pPr>
            <w:r>
              <w:rPr>
                <w:sz w:val="18"/>
                <w:szCs w:val="18"/>
              </w:rPr>
              <w:t>El mapa es claro.</w:t>
            </w:r>
          </w:p>
        </w:tc>
        <w:tc>
          <w:tcPr>
            <w:tcW w:w="2080" w:type="dxa"/>
            <w:shd w:val="clear" w:color="auto" w:fill="D9E2F3"/>
            <w:vAlign w:val="center"/>
          </w:tcPr>
          <w:p w14:paraId="644BEFB2" w14:textId="77777777" w:rsidR="00990B14" w:rsidRDefault="00000000">
            <w:pPr>
              <w:spacing w:before="20" w:after="20"/>
              <w:jc w:val="both"/>
            </w:pPr>
            <w:r>
              <w:rPr>
                <w:sz w:val="18"/>
                <w:szCs w:val="18"/>
              </w:rPr>
              <w:t>El mapa muestra las relaciones entre normas.</w:t>
            </w:r>
          </w:p>
        </w:tc>
      </w:tr>
      <w:tr w:rsidR="00990B14" w14:paraId="10B8FE22" w14:textId="77777777">
        <w:trPr>
          <w:cantSplit/>
          <w:jc w:val="center"/>
        </w:trPr>
        <w:tc>
          <w:tcPr>
            <w:tcW w:w="1490" w:type="dxa"/>
            <w:vMerge/>
            <w:shd w:val="clear" w:color="auto" w:fill="4472C4"/>
            <w:vAlign w:val="center"/>
          </w:tcPr>
          <w:p w14:paraId="7A6E04A0" w14:textId="77777777" w:rsidR="00990B14" w:rsidRDefault="00990B14">
            <w:pPr>
              <w:spacing w:before="20" w:after="20"/>
            </w:pPr>
          </w:p>
        </w:tc>
        <w:tc>
          <w:tcPr>
            <w:tcW w:w="5835" w:type="dxa"/>
            <w:gridSpan w:val="3"/>
            <w:shd w:val="clear" w:color="auto" w:fill="D9E2F3"/>
            <w:vAlign w:val="center"/>
          </w:tcPr>
          <w:p w14:paraId="69B45FA4" w14:textId="77777777" w:rsidR="00990B14" w:rsidRDefault="00000000">
            <w:pPr>
              <w:keepNext/>
              <w:spacing w:before="20" w:after="20"/>
              <w:jc w:val="both"/>
            </w:pPr>
            <w:r>
              <w:rPr>
                <w:b/>
                <w:bCs/>
                <w:i/>
                <w:iCs/>
                <w:sz w:val="18"/>
                <w:szCs w:val="18"/>
              </w:rPr>
              <w:t xml:space="preserve">Producto 6: </w:t>
            </w:r>
            <w:r>
              <w:rPr>
                <w:sz w:val="18"/>
                <w:szCs w:val="18"/>
              </w:rPr>
              <w:t>Determinación del encargo y las normas aplicables</w:t>
            </w:r>
          </w:p>
        </w:tc>
        <w:tc>
          <w:tcPr>
            <w:tcW w:w="2080" w:type="dxa"/>
            <w:shd w:val="clear" w:color="auto" w:fill="D9E2F3"/>
            <w:vAlign w:val="center"/>
          </w:tcPr>
          <w:p w14:paraId="47C5F79C" w14:textId="77777777" w:rsidR="00990B14" w:rsidRDefault="00000000">
            <w:pPr>
              <w:spacing w:before="20" w:after="20"/>
              <w:jc w:val="center"/>
            </w:pPr>
            <w:r>
              <w:rPr>
                <w:b/>
                <w:bCs/>
                <w:sz w:val="18"/>
                <w:szCs w:val="18"/>
              </w:rPr>
              <w:t>4%</w:t>
            </w:r>
          </w:p>
        </w:tc>
      </w:tr>
      <w:tr w:rsidR="00990B14" w14:paraId="50BEC3CD" w14:textId="77777777">
        <w:trPr>
          <w:cantSplit/>
          <w:jc w:val="center"/>
        </w:trPr>
        <w:tc>
          <w:tcPr>
            <w:tcW w:w="1490" w:type="dxa"/>
            <w:vMerge/>
            <w:shd w:val="clear" w:color="auto" w:fill="4472C4"/>
            <w:vAlign w:val="center"/>
          </w:tcPr>
          <w:p w14:paraId="23FA0564" w14:textId="77777777" w:rsidR="00990B14" w:rsidRDefault="00990B14">
            <w:pPr>
              <w:spacing w:before="20" w:after="20"/>
            </w:pPr>
          </w:p>
        </w:tc>
        <w:tc>
          <w:tcPr>
            <w:tcW w:w="1910" w:type="dxa"/>
            <w:shd w:val="clear" w:color="auto" w:fill="4472C4"/>
            <w:vAlign w:val="center"/>
          </w:tcPr>
          <w:p w14:paraId="49AD9928"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23D9667B"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663D3314" w14:textId="77777777" w:rsidR="00990B14" w:rsidRDefault="00000000">
            <w:pPr>
              <w:keepNext/>
              <w:spacing w:before="20" w:after="20"/>
              <w:jc w:val="center"/>
            </w:pPr>
            <w:r>
              <w:rPr>
                <w:b/>
                <w:bCs/>
                <w:i/>
                <w:iCs/>
                <w:color w:val="FFFFFF"/>
                <w:sz w:val="18"/>
                <w:szCs w:val="18"/>
              </w:rPr>
              <w:t>Suficiente (51–80)</w:t>
            </w:r>
          </w:p>
        </w:tc>
        <w:tc>
          <w:tcPr>
            <w:tcW w:w="2080" w:type="dxa"/>
            <w:shd w:val="clear" w:color="auto" w:fill="4472C4"/>
            <w:vAlign w:val="center"/>
          </w:tcPr>
          <w:p w14:paraId="54DD8186" w14:textId="77777777" w:rsidR="00990B14" w:rsidRDefault="00000000">
            <w:pPr>
              <w:keepNext/>
              <w:spacing w:before="20" w:after="20"/>
              <w:jc w:val="center"/>
            </w:pPr>
            <w:r>
              <w:rPr>
                <w:b/>
                <w:bCs/>
                <w:i/>
                <w:iCs/>
                <w:color w:val="FFFFFF"/>
                <w:sz w:val="18"/>
                <w:szCs w:val="18"/>
              </w:rPr>
              <w:t>Destacado (81–100)</w:t>
            </w:r>
          </w:p>
        </w:tc>
      </w:tr>
      <w:tr w:rsidR="00990B14" w14:paraId="4690A853" w14:textId="77777777">
        <w:trPr>
          <w:cantSplit/>
          <w:jc w:val="center"/>
        </w:trPr>
        <w:tc>
          <w:tcPr>
            <w:tcW w:w="1490" w:type="dxa"/>
            <w:vMerge/>
            <w:shd w:val="clear" w:color="auto" w:fill="4472C4"/>
            <w:vAlign w:val="center"/>
          </w:tcPr>
          <w:p w14:paraId="416A6C4F" w14:textId="77777777" w:rsidR="00990B14" w:rsidRDefault="00990B14">
            <w:pPr>
              <w:spacing w:before="20" w:after="20"/>
            </w:pPr>
          </w:p>
        </w:tc>
        <w:tc>
          <w:tcPr>
            <w:tcW w:w="1910" w:type="dxa"/>
            <w:shd w:val="clear" w:color="auto" w:fill="D9E2F3"/>
            <w:vAlign w:val="center"/>
          </w:tcPr>
          <w:p w14:paraId="2AC9EE90" w14:textId="77777777" w:rsidR="00990B14" w:rsidRDefault="00000000">
            <w:pPr>
              <w:spacing w:before="20" w:after="20"/>
              <w:jc w:val="both"/>
            </w:pPr>
            <w:r>
              <w:rPr>
                <w:sz w:val="18"/>
                <w:szCs w:val="18"/>
              </w:rPr>
              <w:t>Naturaleza del encargo</w:t>
            </w:r>
          </w:p>
        </w:tc>
        <w:tc>
          <w:tcPr>
            <w:tcW w:w="2015" w:type="dxa"/>
            <w:shd w:val="clear" w:color="auto" w:fill="D9E2F3"/>
            <w:vAlign w:val="center"/>
          </w:tcPr>
          <w:p w14:paraId="1FD1D851" w14:textId="77777777" w:rsidR="00990B14" w:rsidRDefault="00000000">
            <w:pPr>
              <w:spacing w:before="20" w:after="20"/>
              <w:jc w:val="both"/>
            </w:pPr>
            <w:r>
              <w:rPr>
                <w:sz w:val="18"/>
                <w:szCs w:val="18"/>
              </w:rPr>
              <w:t>No identifica la naturaleza del encargo</w:t>
            </w:r>
          </w:p>
        </w:tc>
        <w:tc>
          <w:tcPr>
            <w:tcW w:w="1910" w:type="dxa"/>
            <w:shd w:val="clear" w:color="auto" w:fill="D9E2F3"/>
            <w:vAlign w:val="center"/>
          </w:tcPr>
          <w:p w14:paraId="50645246" w14:textId="77777777" w:rsidR="00990B14" w:rsidRDefault="00000000">
            <w:pPr>
              <w:spacing w:before="20" w:after="20"/>
              <w:jc w:val="both"/>
            </w:pPr>
            <w:r>
              <w:rPr>
                <w:sz w:val="18"/>
                <w:szCs w:val="18"/>
              </w:rPr>
              <w:t>Describe la naturaleza del encargo</w:t>
            </w:r>
          </w:p>
        </w:tc>
        <w:tc>
          <w:tcPr>
            <w:tcW w:w="2080" w:type="dxa"/>
            <w:shd w:val="clear" w:color="auto" w:fill="D9E2F3"/>
            <w:vAlign w:val="center"/>
          </w:tcPr>
          <w:p w14:paraId="33B51FC5" w14:textId="77777777" w:rsidR="00990B14" w:rsidRDefault="00000000">
            <w:pPr>
              <w:spacing w:before="20" w:after="20"/>
              <w:jc w:val="both"/>
            </w:pPr>
            <w:r>
              <w:rPr>
                <w:sz w:val="18"/>
                <w:szCs w:val="18"/>
              </w:rPr>
              <w:t>Identifica el tipo de encargo</w:t>
            </w:r>
          </w:p>
        </w:tc>
      </w:tr>
      <w:tr w:rsidR="00990B14" w14:paraId="4F5C7058" w14:textId="77777777">
        <w:trPr>
          <w:cantSplit/>
          <w:jc w:val="center"/>
        </w:trPr>
        <w:tc>
          <w:tcPr>
            <w:tcW w:w="1490" w:type="dxa"/>
            <w:vMerge/>
            <w:shd w:val="clear" w:color="auto" w:fill="4472C4"/>
            <w:vAlign w:val="center"/>
          </w:tcPr>
          <w:p w14:paraId="3696573D" w14:textId="77777777" w:rsidR="00990B14" w:rsidRDefault="00990B14">
            <w:pPr>
              <w:spacing w:before="20" w:after="20"/>
            </w:pPr>
          </w:p>
        </w:tc>
        <w:tc>
          <w:tcPr>
            <w:tcW w:w="1910" w:type="dxa"/>
            <w:shd w:val="clear" w:color="auto" w:fill="D9E2F3"/>
            <w:vAlign w:val="center"/>
          </w:tcPr>
          <w:p w14:paraId="409D85E5" w14:textId="77777777" w:rsidR="00990B14" w:rsidRDefault="00000000">
            <w:pPr>
              <w:spacing w:before="20" w:after="20"/>
              <w:jc w:val="both"/>
            </w:pPr>
            <w:r>
              <w:rPr>
                <w:sz w:val="18"/>
                <w:szCs w:val="18"/>
              </w:rPr>
              <w:t>Identificación de las normas aplicables</w:t>
            </w:r>
          </w:p>
        </w:tc>
        <w:tc>
          <w:tcPr>
            <w:tcW w:w="2015" w:type="dxa"/>
            <w:shd w:val="clear" w:color="auto" w:fill="D9E2F3"/>
            <w:vAlign w:val="center"/>
          </w:tcPr>
          <w:p w14:paraId="762667A6" w14:textId="77777777" w:rsidR="00990B14" w:rsidRDefault="00000000">
            <w:pPr>
              <w:spacing w:before="20" w:after="20"/>
              <w:jc w:val="both"/>
            </w:pPr>
            <w:r>
              <w:rPr>
                <w:sz w:val="18"/>
                <w:szCs w:val="18"/>
              </w:rPr>
              <w:t>No la menciona.</w:t>
            </w:r>
          </w:p>
        </w:tc>
        <w:tc>
          <w:tcPr>
            <w:tcW w:w="1910" w:type="dxa"/>
            <w:shd w:val="clear" w:color="auto" w:fill="D9E2F3"/>
            <w:vAlign w:val="center"/>
          </w:tcPr>
          <w:p w14:paraId="3A6333C1" w14:textId="77777777" w:rsidR="00990B14" w:rsidRDefault="00000000">
            <w:pPr>
              <w:spacing w:before="20" w:after="20"/>
              <w:jc w:val="both"/>
            </w:pPr>
            <w:r>
              <w:rPr>
                <w:sz w:val="18"/>
                <w:szCs w:val="18"/>
              </w:rPr>
              <w:t>Describe las normas aplicables</w:t>
            </w:r>
          </w:p>
        </w:tc>
        <w:tc>
          <w:tcPr>
            <w:tcW w:w="2080" w:type="dxa"/>
            <w:shd w:val="clear" w:color="auto" w:fill="D9E2F3"/>
            <w:vAlign w:val="center"/>
          </w:tcPr>
          <w:p w14:paraId="0AC5550C" w14:textId="77777777" w:rsidR="00990B14" w:rsidRDefault="00000000">
            <w:pPr>
              <w:spacing w:before="20" w:after="20"/>
              <w:jc w:val="both"/>
            </w:pPr>
            <w:r>
              <w:rPr>
                <w:sz w:val="18"/>
                <w:szCs w:val="18"/>
              </w:rPr>
              <w:t>Identifica específicamente la norma aplicable</w:t>
            </w:r>
          </w:p>
        </w:tc>
      </w:tr>
      <w:tr w:rsidR="00990B14" w14:paraId="45C22702" w14:textId="77777777">
        <w:trPr>
          <w:cantSplit/>
          <w:jc w:val="center"/>
        </w:trPr>
        <w:tc>
          <w:tcPr>
            <w:tcW w:w="1490" w:type="dxa"/>
            <w:vMerge/>
            <w:shd w:val="clear" w:color="auto" w:fill="4472C4"/>
            <w:vAlign w:val="center"/>
          </w:tcPr>
          <w:p w14:paraId="284EC8A5" w14:textId="77777777" w:rsidR="00990B14" w:rsidRDefault="00990B14">
            <w:pPr>
              <w:spacing w:before="20" w:after="20"/>
            </w:pPr>
          </w:p>
        </w:tc>
        <w:tc>
          <w:tcPr>
            <w:tcW w:w="1910" w:type="dxa"/>
            <w:shd w:val="clear" w:color="auto" w:fill="D9E2F3"/>
            <w:vAlign w:val="center"/>
          </w:tcPr>
          <w:p w14:paraId="71743243" w14:textId="77777777" w:rsidR="00990B14" w:rsidRDefault="00000000">
            <w:pPr>
              <w:spacing w:before="20" w:after="20"/>
              <w:jc w:val="both"/>
            </w:pPr>
            <w:r>
              <w:rPr>
                <w:sz w:val="18"/>
                <w:szCs w:val="18"/>
              </w:rPr>
              <w:t>Grado de Seguridad</w:t>
            </w:r>
          </w:p>
        </w:tc>
        <w:tc>
          <w:tcPr>
            <w:tcW w:w="2015" w:type="dxa"/>
            <w:shd w:val="clear" w:color="auto" w:fill="D9E2F3"/>
            <w:vAlign w:val="center"/>
          </w:tcPr>
          <w:p w14:paraId="11B929C1" w14:textId="77777777" w:rsidR="00990B14" w:rsidRDefault="00000000">
            <w:pPr>
              <w:spacing w:before="20" w:after="20"/>
              <w:jc w:val="both"/>
            </w:pPr>
            <w:r>
              <w:rPr>
                <w:sz w:val="18"/>
                <w:szCs w:val="18"/>
              </w:rPr>
              <w:t>No los menciona</w:t>
            </w:r>
          </w:p>
        </w:tc>
        <w:tc>
          <w:tcPr>
            <w:tcW w:w="1910" w:type="dxa"/>
            <w:shd w:val="clear" w:color="auto" w:fill="D9E2F3"/>
            <w:vAlign w:val="center"/>
          </w:tcPr>
          <w:p w14:paraId="07839CDF" w14:textId="77777777" w:rsidR="00990B14" w:rsidRDefault="00000000">
            <w:pPr>
              <w:spacing w:before="20" w:after="20"/>
              <w:jc w:val="both"/>
            </w:pPr>
            <w:r>
              <w:rPr>
                <w:sz w:val="18"/>
                <w:szCs w:val="18"/>
              </w:rPr>
              <w:t>Describe los grados de seguridad</w:t>
            </w:r>
          </w:p>
        </w:tc>
        <w:tc>
          <w:tcPr>
            <w:tcW w:w="2080" w:type="dxa"/>
            <w:shd w:val="clear" w:color="auto" w:fill="D9E2F3"/>
            <w:vAlign w:val="center"/>
          </w:tcPr>
          <w:p w14:paraId="5F25BCA0" w14:textId="77777777" w:rsidR="00990B14" w:rsidRDefault="00000000">
            <w:pPr>
              <w:spacing w:before="20" w:after="20"/>
              <w:jc w:val="both"/>
            </w:pPr>
            <w:r>
              <w:rPr>
                <w:sz w:val="18"/>
                <w:szCs w:val="18"/>
              </w:rPr>
              <w:t>Identifica el grado de seguridad y tipo de opinión</w:t>
            </w:r>
          </w:p>
        </w:tc>
      </w:tr>
      <w:tr w:rsidR="00990B14" w14:paraId="401BDD09" w14:textId="77777777">
        <w:trPr>
          <w:cantSplit/>
          <w:jc w:val="center"/>
        </w:trPr>
        <w:tc>
          <w:tcPr>
            <w:tcW w:w="1490" w:type="dxa"/>
            <w:vMerge/>
            <w:shd w:val="clear" w:color="auto" w:fill="4472C4"/>
            <w:vAlign w:val="center"/>
          </w:tcPr>
          <w:p w14:paraId="445F4C3F" w14:textId="77777777" w:rsidR="00990B14" w:rsidRDefault="00990B14">
            <w:pPr>
              <w:spacing w:before="20" w:after="20"/>
            </w:pPr>
          </w:p>
        </w:tc>
        <w:tc>
          <w:tcPr>
            <w:tcW w:w="5835" w:type="dxa"/>
            <w:gridSpan w:val="3"/>
            <w:shd w:val="clear" w:color="auto" w:fill="D9E2F3"/>
            <w:vAlign w:val="center"/>
          </w:tcPr>
          <w:p w14:paraId="16FCE288" w14:textId="77777777" w:rsidR="00990B14" w:rsidRDefault="00000000">
            <w:pPr>
              <w:keepNext/>
              <w:spacing w:before="20" w:after="20"/>
              <w:jc w:val="both"/>
            </w:pPr>
            <w:r>
              <w:rPr>
                <w:b/>
                <w:bCs/>
                <w:i/>
                <w:iCs/>
                <w:sz w:val="18"/>
                <w:szCs w:val="18"/>
              </w:rPr>
              <w:t xml:space="preserve">Producto 7: </w:t>
            </w:r>
            <w:r>
              <w:rPr>
                <w:sz w:val="18"/>
                <w:szCs w:val="18"/>
              </w:rPr>
              <w:t>Evaluación de la independencia de la firma</w:t>
            </w:r>
          </w:p>
        </w:tc>
        <w:tc>
          <w:tcPr>
            <w:tcW w:w="2080" w:type="dxa"/>
            <w:shd w:val="clear" w:color="auto" w:fill="D9E2F3"/>
            <w:vAlign w:val="center"/>
          </w:tcPr>
          <w:p w14:paraId="7E8B467B" w14:textId="77777777" w:rsidR="00990B14" w:rsidRDefault="00000000">
            <w:pPr>
              <w:spacing w:before="20" w:after="20"/>
              <w:jc w:val="center"/>
            </w:pPr>
            <w:r>
              <w:rPr>
                <w:b/>
                <w:bCs/>
                <w:sz w:val="18"/>
                <w:szCs w:val="18"/>
              </w:rPr>
              <w:t>4%</w:t>
            </w:r>
          </w:p>
        </w:tc>
      </w:tr>
      <w:tr w:rsidR="00990B14" w14:paraId="7682E4A1" w14:textId="77777777">
        <w:trPr>
          <w:cantSplit/>
          <w:jc w:val="center"/>
        </w:trPr>
        <w:tc>
          <w:tcPr>
            <w:tcW w:w="1490" w:type="dxa"/>
            <w:vMerge/>
            <w:shd w:val="clear" w:color="auto" w:fill="4472C4"/>
            <w:vAlign w:val="center"/>
          </w:tcPr>
          <w:p w14:paraId="07FB81F5" w14:textId="77777777" w:rsidR="00990B14" w:rsidRDefault="00990B14">
            <w:pPr>
              <w:spacing w:before="20" w:after="20"/>
            </w:pPr>
          </w:p>
        </w:tc>
        <w:tc>
          <w:tcPr>
            <w:tcW w:w="1910" w:type="dxa"/>
            <w:shd w:val="clear" w:color="auto" w:fill="4472C4"/>
            <w:vAlign w:val="center"/>
          </w:tcPr>
          <w:p w14:paraId="56B545C1"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0341EE55"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1360F7F7" w14:textId="77777777" w:rsidR="00990B14" w:rsidRDefault="00000000">
            <w:pPr>
              <w:keepNext/>
              <w:spacing w:before="20" w:after="20"/>
              <w:jc w:val="center"/>
            </w:pPr>
            <w:r>
              <w:rPr>
                <w:b/>
                <w:bCs/>
                <w:i/>
                <w:iCs/>
                <w:color w:val="FFFFFF"/>
                <w:sz w:val="18"/>
                <w:szCs w:val="18"/>
              </w:rPr>
              <w:t>Suficiente (51–80)</w:t>
            </w:r>
          </w:p>
        </w:tc>
        <w:tc>
          <w:tcPr>
            <w:tcW w:w="2080" w:type="dxa"/>
            <w:shd w:val="clear" w:color="auto" w:fill="4472C4"/>
            <w:vAlign w:val="center"/>
          </w:tcPr>
          <w:p w14:paraId="0A158458" w14:textId="77777777" w:rsidR="00990B14" w:rsidRDefault="00000000">
            <w:pPr>
              <w:keepNext/>
              <w:spacing w:before="20" w:after="20"/>
              <w:jc w:val="center"/>
            </w:pPr>
            <w:r>
              <w:rPr>
                <w:b/>
                <w:bCs/>
                <w:i/>
                <w:iCs/>
                <w:color w:val="FFFFFF"/>
                <w:sz w:val="18"/>
                <w:szCs w:val="18"/>
              </w:rPr>
              <w:t>Destacado (81–100)</w:t>
            </w:r>
          </w:p>
        </w:tc>
      </w:tr>
      <w:tr w:rsidR="00990B14" w14:paraId="7F667C4C" w14:textId="77777777">
        <w:trPr>
          <w:cantSplit/>
          <w:jc w:val="center"/>
        </w:trPr>
        <w:tc>
          <w:tcPr>
            <w:tcW w:w="1490" w:type="dxa"/>
            <w:vMerge/>
            <w:shd w:val="clear" w:color="auto" w:fill="4472C4"/>
            <w:vAlign w:val="center"/>
          </w:tcPr>
          <w:p w14:paraId="1689EB54" w14:textId="77777777" w:rsidR="00990B14" w:rsidRDefault="00990B14">
            <w:pPr>
              <w:spacing w:before="20" w:after="20"/>
            </w:pPr>
          </w:p>
        </w:tc>
        <w:tc>
          <w:tcPr>
            <w:tcW w:w="1910" w:type="dxa"/>
            <w:shd w:val="clear" w:color="auto" w:fill="D9E2F3"/>
            <w:vAlign w:val="center"/>
          </w:tcPr>
          <w:p w14:paraId="4415AC4A" w14:textId="77777777" w:rsidR="00990B14" w:rsidRDefault="00000000">
            <w:pPr>
              <w:spacing w:before="20" w:after="20"/>
              <w:jc w:val="both"/>
            </w:pPr>
            <w:r>
              <w:rPr>
                <w:sz w:val="18"/>
                <w:szCs w:val="18"/>
              </w:rPr>
              <w:t>Hechos</w:t>
            </w:r>
          </w:p>
        </w:tc>
        <w:tc>
          <w:tcPr>
            <w:tcW w:w="2015" w:type="dxa"/>
            <w:shd w:val="clear" w:color="auto" w:fill="D9E2F3"/>
            <w:vAlign w:val="center"/>
          </w:tcPr>
          <w:p w14:paraId="0E7F6442" w14:textId="77777777" w:rsidR="00990B14" w:rsidRDefault="00000000">
            <w:pPr>
              <w:spacing w:before="20" w:after="20"/>
              <w:jc w:val="both"/>
            </w:pPr>
            <w:r>
              <w:rPr>
                <w:sz w:val="18"/>
                <w:szCs w:val="18"/>
              </w:rPr>
              <w:t>No identifica los hechos relevantes.</w:t>
            </w:r>
          </w:p>
        </w:tc>
        <w:tc>
          <w:tcPr>
            <w:tcW w:w="1910" w:type="dxa"/>
            <w:shd w:val="clear" w:color="auto" w:fill="D9E2F3"/>
            <w:vAlign w:val="center"/>
          </w:tcPr>
          <w:p w14:paraId="4835F57E" w14:textId="77777777" w:rsidR="00990B14" w:rsidRDefault="00000000">
            <w:pPr>
              <w:spacing w:before="20" w:after="20"/>
              <w:jc w:val="both"/>
            </w:pPr>
            <w:r>
              <w:rPr>
                <w:sz w:val="18"/>
                <w:szCs w:val="18"/>
              </w:rPr>
              <w:t>Identifica los hechos del caso.</w:t>
            </w:r>
          </w:p>
        </w:tc>
        <w:tc>
          <w:tcPr>
            <w:tcW w:w="2080" w:type="dxa"/>
            <w:shd w:val="clear" w:color="auto" w:fill="D9E2F3"/>
            <w:vAlign w:val="center"/>
          </w:tcPr>
          <w:p w14:paraId="5917C17B" w14:textId="77777777" w:rsidR="00990B14" w:rsidRDefault="00000000">
            <w:pPr>
              <w:spacing w:before="20" w:after="20"/>
              <w:jc w:val="both"/>
            </w:pPr>
            <w:r>
              <w:rPr>
                <w:sz w:val="18"/>
                <w:szCs w:val="18"/>
              </w:rPr>
              <w:t>Relaciona los hechos con las normas incumplidas.</w:t>
            </w:r>
          </w:p>
        </w:tc>
      </w:tr>
      <w:tr w:rsidR="00990B14" w14:paraId="0BD3B007" w14:textId="77777777">
        <w:trPr>
          <w:cantSplit/>
          <w:jc w:val="center"/>
        </w:trPr>
        <w:tc>
          <w:tcPr>
            <w:tcW w:w="1490" w:type="dxa"/>
            <w:vMerge/>
            <w:shd w:val="clear" w:color="auto" w:fill="4472C4"/>
            <w:vAlign w:val="center"/>
          </w:tcPr>
          <w:p w14:paraId="19BB700A" w14:textId="77777777" w:rsidR="00990B14" w:rsidRDefault="00990B14">
            <w:pPr>
              <w:spacing w:before="20" w:after="20"/>
            </w:pPr>
          </w:p>
        </w:tc>
        <w:tc>
          <w:tcPr>
            <w:tcW w:w="1910" w:type="dxa"/>
            <w:shd w:val="clear" w:color="auto" w:fill="D9E2F3"/>
            <w:vAlign w:val="center"/>
          </w:tcPr>
          <w:p w14:paraId="46C5EFFF" w14:textId="77777777" w:rsidR="00990B14" w:rsidRDefault="00000000">
            <w:pPr>
              <w:spacing w:before="20" w:after="20"/>
              <w:jc w:val="both"/>
            </w:pPr>
            <w:r>
              <w:rPr>
                <w:sz w:val="18"/>
                <w:szCs w:val="18"/>
              </w:rPr>
              <w:t>Responsabilidad</w:t>
            </w:r>
          </w:p>
        </w:tc>
        <w:tc>
          <w:tcPr>
            <w:tcW w:w="2015" w:type="dxa"/>
            <w:shd w:val="clear" w:color="auto" w:fill="D9E2F3"/>
            <w:vAlign w:val="center"/>
          </w:tcPr>
          <w:p w14:paraId="3294E49A" w14:textId="77777777" w:rsidR="00990B14" w:rsidRDefault="00000000">
            <w:pPr>
              <w:spacing w:before="20" w:after="20"/>
              <w:jc w:val="both"/>
            </w:pPr>
            <w:r>
              <w:rPr>
                <w:sz w:val="18"/>
                <w:szCs w:val="18"/>
              </w:rPr>
              <w:t>No determina la responsabilidad.</w:t>
            </w:r>
          </w:p>
        </w:tc>
        <w:tc>
          <w:tcPr>
            <w:tcW w:w="1910" w:type="dxa"/>
            <w:shd w:val="clear" w:color="auto" w:fill="D9E2F3"/>
            <w:vAlign w:val="center"/>
          </w:tcPr>
          <w:p w14:paraId="1512AF0E" w14:textId="77777777" w:rsidR="00990B14" w:rsidRDefault="00000000">
            <w:pPr>
              <w:spacing w:before="20" w:after="20"/>
              <w:jc w:val="both"/>
            </w:pPr>
            <w:r>
              <w:rPr>
                <w:sz w:val="18"/>
                <w:szCs w:val="18"/>
              </w:rPr>
              <w:t>Determina la responsabilidad ante clientes y terceros.</w:t>
            </w:r>
          </w:p>
        </w:tc>
        <w:tc>
          <w:tcPr>
            <w:tcW w:w="2080" w:type="dxa"/>
            <w:shd w:val="clear" w:color="auto" w:fill="D9E2F3"/>
            <w:vAlign w:val="center"/>
          </w:tcPr>
          <w:p w14:paraId="08D26E07" w14:textId="77777777" w:rsidR="00990B14" w:rsidRDefault="00000000">
            <w:pPr>
              <w:spacing w:before="20" w:after="20"/>
              <w:jc w:val="both"/>
            </w:pPr>
            <w:r>
              <w:rPr>
                <w:sz w:val="18"/>
                <w:szCs w:val="18"/>
              </w:rPr>
              <w:t>Distingue la responsabilidad profesional, civil y penal.</w:t>
            </w:r>
          </w:p>
        </w:tc>
      </w:tr>
      <w:tr w:rsidR="00990B14" w14:paraId="6D80D260" w14:textId="77777777">
        <w:trPr>
          <w:cantSplit/>
          <w:jc w:val="center"/>
        </w:trPr>
        <w:tc>
          <w:tcPr>
            <w:tcW w:w="1490" w:type="dxa"/>
            <w:vMerge/>
            <w:shd w:val="clear" w:color="auto" w:fill="4472C4"/>
            <w:vAlign w:val="center"/>
          </w:tcPr>
          <w:p w14:paraId="5314B9D5" w14:textId="77777777" w:rsidR="00990B14" w:rsidRDefault="00990B14">
            <w:pPr>
              <w:spacing w:before="20" w:after="20"/>
            </w:pPr>
          </w:p>
        </w:tc>
        <w:tc>
          <w:tcPr>
            <w:tcW w:w="1910" w:type="dxa"/>
            <w:shd w:val="clear" w:color="auto" w:fill="D9E2F3"/>
            <w:vAlign w:val="center"/>
          </w:tcPr>
          <w:p w14:paraId="5D2A108C" w14:textId="77777777" w:rsidR="00990B14" w:rsidRDefault="00000000">
            <w:pPr>
              <w:spacing w:before="20" w:after="20"/>
              <w:jc w:val="both"/>
            </w:pPr>
            <w:r>
              <w:rPr>
                <w:sz w:val="18"/>
                <w:szCs w:val="18"/>
              </w:rPr>
              <w:t>Salvaguardas</w:t>
            </w:r>
          </w:p>
        </w:tc>
        <w:tc>
          <w:tcPr>
            <w:tcW w:w="2015" w:type="dxa"/>
            <w:shd w:val="clear" w:color="auto" w:fill="D9E2F3"/>
            <w:vAlign w:val="center"/>
          </w:tcPr>
          <w:p w14:paraId="31C9A17A" w14:textId="77777777" w:rsidR="00990B14" w:rsidRDefault="00000000">
            <w:pPr>
              <w:spacing w:before="20" w:after="20"/>
              <w:jc w:val="both"/>
            </w:pPr>
            <w:r>
              <w:rPr>
                <w:sz w:val="18"/>
                <w:szCs w:val="18"/>
              </w:rPr>
              <w:t>No identifica</w:t>
            </w:r>
          </w:p>
        </w:tc>
        <w:tc>
          <w:tcPr>
            <w:tcW w:w="1910" w:type="dxa"/>
            <w:shd w:val="clear" w:color="auto" w:fill="D9E2F3"/>
            <w:vAlign w:val="center"/>
          </w:tcPr>
          <w:p w14:paraId="1F449E43" w14:textId="77777777" w:rsidR="00990B14" w:rsidRDefault="00000000">
            <w:pPr>
              <w:spacing w:before="20" w:after="20"/>
              <w:jc w:val="both"/>
            </w:pPr>
            <w:r>
              <w:rPr>
                <w:sz w:val="18"/>
                <w:szCs w:val="18"/>
              </w:rPr>
              <w:t>Identifica salvaguardas</w:t>
            </w:r>
          </w:p>
        </w:tc>
        <w:tc>
          <w:tcPr>
            <w:tcW w:w="2080" w:type="dxa"/>
            <w:shd w:val="clear" w:color="auto" w:fill="D9E2F3"/>
            <w:vAlign w:val="center"/>
          </w:tcPr>
          <w:p w14:paraId="26783B1F" w14:textId="77777777" w:rsidR="00990B14" w:rsidRDefault="00000000">
            <w:pPr>
              <w:spacing w:before="20" w:after="20"/>
              <w:jc w:val="both"/>
            </w:pPr>
            <w:r>
              <w:rPr>
                <w:sz w:val="18"/>
                <w:szCs w:val="18"/>
              </w:rPr>
              <w:t>Propone medidas para mitigar el riesgo profesional.</w:t>
            </w:r>
          </w:p>
        </w:tc>
      </w:tr>
      <w:tr w:rsidR="00990B14" w14:paraId="122BF867" w14:textId="77777777">
        <w:trPr>
          <w:cantSplit/>
          <w:jc w:val="center"/>
        </w:trPr>
        <w:tc>
          <w:tcPr>
            <w:tcW w:w="1490" w:type="dxa"/>
            <w:vMerge/>
            <w:shd w:val="clear" w:color="auto" w:fill="4472C4"/>
            <w:vAlign w:val="center"/>
          </w:tcPr>
          <w:p w14:paraId="02139CF9" w14:textId="77777777" w:rsidR="00990B14" w:rsidRDefault="00990B14">
            <w:pPr>
              <w:spacing w:before="20" w:after="20"/>
            </w:pPr>
          </w:p>
        </w:tc>
        <w:tc>
          <w:tcPr>
            <w:tcW w:w="5835" w:type="dxa"/>
            <w:gridSpan w:val="3"/>
            <w:shd w:val="clear" w:color="auto" w:fill="D9E2F3"/>
            <w:vAlign w:val="center"/>
          </w:tcPr>
          <w:p w14:paraId="4579A5BE" w14:textId="77777777" w:rsidR="00990B14" w:rsidRDefault="00000000">
            <w:pPr>
              <w:keepNext/>
              <w:spacing w:before="20" w:after="20"/>
              <w:jc w:val="both"/>
            </w:pPr>
            <w:r>
              <w:rPr>
                <w:b/>
                <w:bCs/>
                <w:i/>
                <w:iCs/>
                <w:sz w:val="18"/>
                <w:szCs w:val="18"/>
              </w:rPr>
              <w:t xml:space="preserve">Producto 8: </w:t>
            </w:r>
            <w:r>
              <w:rPr>
                <w:sz w:val="18"/>
                <w:szCs w:val="18"/>
              </w:rPr>
              <w:t>Matriz de riesgo profesional para la aceptación de clientes</w:t>
            </w:r>
          </w:p>
        </w:tc>
        <w:tc>
          <w:tcPr>
            <w:tcW w:w="2080" w:type="dxa"/>
            <w:shd w:val="clear" w:color="auto" w:fill="D9E2F3"/>
            <w:vAlign w:val="center"/>
          </w:tcPr>
          <w:p w14:paraId="66D84716" w14:textId="77777777" w:rsidR="00990B14" w:rsidRDefault="00000000">
            <w:pPr>
              <w:spacing w:before="20" w:after="20"/>
              <w:jc w:val="center"/>
            </w:pPr>
            <w:r>
              <w:rPr>
                <w:b/>
                <w:bCs/>
                <w:sz w:val="18"/>
                <w:szCs w:val="18"/>
              </w:rPr>
              <w:t>4%</w:t>
            </w:r>
          </w:p>
        </w:tc>
      </w:tr>
      <w:tr w:rsidR="00990B14" w14:paraId="0FA36CA6" w14:textId="77777777">
        <w:trPr>
          <w:cantSplit/>
          <w:jc w:val="center"/>
        </w:trPr>
        <w:tc>
          <w:tcPr>
            <w:tcW w:w="1490" w:type="dxa"/>
            <w:vMerge/>
            <w:shd w:val="clear" w:color="auto" w:fill="4472C4"/>
            <w:vAlign w:val="center"/>
          </w:tcPr>
          <w:p w14:paraId="3BE53FFD" w14:textId="77777777" w:rsidR="00990B14" w:rsidRDefault="00990B14">
            <w:pPr>
              <w:spacing w:before="20" w:after="20"/>
            </w:pPr>
          </w:p>
        </w:tc>
        <w:tc>
          <w:tcPr>
            <w:tcW w:w="1910" w:type="dxa"/>
            <w:shd w:val="clear" w:color="auto" w:fill="4472C4"/>
            <w:vAlign w:val="center"/>
          </w:tcPr>
          <w:p w14:paraId="64D4AC11"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4DD9FC3D"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3EAE97DC" w14:textId="77777777" w:rsidR="00990B14" w:rsidRDefault="00000000">
            <w:pPr>
              <w:keepNext/>
              <w:spacing w:before="20" w:after="20"/>
              <w:jc w:val="center"/>
            </w:pPr>
            <w:r>
              <w:rPr>
                <w:b/>
                <w:bCs/>
                <w:i/>
                <w:iCs/>
                <w:color w:val="FFFFFF"/>
                <w:sz w:val="18"/>
                <w:szCs w:val="18"/>
              </w:rPr>
              <w:t>Suficiente (51–80)</w:t>
            </w:r>
          </w:p>
        </w:tc>
        <w:tc>
          <w:tcPr>
            <w:tcW w:w="2080" w:type="dxa"/>
            <w:shd w:val="clear" w:color="auto" w:fill="4472C4"/>
            <w:vAlign w:val="center"/>
          </w:tcPr>
          <w:p w14:paraId="4B04BBBF" w14:textId="77777777" w:rsidR="00990B14" w:rsidRDefault="00000000">
            <w:pPr>
              <w:keepNext/>
              <w:spacing w:before="20" w:after="20"/>
              <w:jc w:val="center"/>
            </w:pPr>
            <w:r>
              <w:rPr>
                <w:b/>
                <w:bCs/>
                <w:i/>
                <w:iCs/>
                <w:color w:val="FFFFFF"/>
                <w:sz w:val="18"/>
                <w:szCs w:val="18"/>
              </w:rPr>
              <w:t>Destacado (81–100)</w:t>
            </w:r>
          </w:p>
        </w:tc>
      </w:tr>
      <w:tr w:rsidR="00990B14" w14:paraId="33619F06" w14:textId="77777777">
        <w:trPr>
          <w:cantSplit/>
          <w:jc w:val="center"/>
        </w:trPr>
        <w:tc>
          <w:tcPr>
            <w:tcW w:w="1490" w:type="dxa"/>
            <w:vMerge/>
            <w:shd w:val="clear" w:color="auto" w:fill="4472C4"/>
            <w:vAlign w:val="center"/>
          </w:tcPr>
          <w:p w14:paraId="0B8BE31E" w14:textId="77777777" w:rsidR="00990B14" w:rsidRDefault="00990B14">
            <w:pPr>
              <w:spacing w:before="20" w:after="20"/>
            </w:pPr>
          </w:p>
        </w:tc>
        <w:tc>
          <w:tcPr>
            <w:tcW w:w="1910" w:type="dxa"/>
            <w:shd w:val="clear" w:color="auto" w:fill="D9E2F3"/>
            <w:vAlign w:val="center"/>
          </w:tcPr>
          <w:p w14:paraId="10949BF7" w14:textId="77777777" w:rsidR="00990B14" w:rsidRDefault="00000000">
            <w:pPr>
              <w:spacing w:before="20" w:after="20"/>
              <w:jc w:val="both"/>
            </w:pPr>
            <w:r>
              <w:rPr>
                <w:sz w:val="18"/>
                <w:szCs w:val="18"/>
              </w:rPr>
              <w:t>Factores de riesgo</w:t>
            </w:r>
          </w:p>
        </w:tc>
        <w:tc>
          <w:tcPr>
            <w:tcW w:w="2015" w:type="dxa"/>
            <w:shd w:val="clear" w:color="auto" w:fill="D9E2F3"/>
            <w:vAlign w:val="center"/>
          </w:tcPr>
          <w:p w14:paraId="303010B3" w14:textId="77777777" w:rsidR="00990B14" w:rsidRDefault="00000000">
            <w:pPr>
              <w:spacing w:before="20" w:after="20"/>
              <w:jc w:val="both"/>
            </w:pPr>
            <w:r>
              <w:rPr>
                <w:sz w:val="18"/>
                <w:szCs w:val="18"/>
              </w:rPr>
              <w:t>Omite factores.</w:t>
            </w:r>
          </w:p>
        </w:tc>
        <w:tc>
          <w:tcPr>
            <w:tcW w:w="1910" w:type="dxa"/>
            <w:shd w:val="clear" w:color="auto" w:fill="D9E2F3"/>
            <w:vAlign w:val="center"/>
          </w:tcPr>
          <w:p w14:paraId="3EFD5ED2" w14:textId="77777777" w:rsidR="00990B14" w:rsidRDefault="00000000">
            <w:pPr>
              <w:spacing w:before="20" w:after="20"/>
              <w:jc w:val="both"/>
            </w:pPr>
            <w:r>
              <w:rPr>
                <w:sz w:val="18"/>
                <w:szCs w:val="18"/>
              </w:rPr>
              <w:t>Identifica los factores de riesgo del cliente.</w:t>
            </w:r>
          </w:p>
        </w:tc>
        <w:tc>
          <w:tcPr>
            <w:tcW w:w="2080" w:type="dxa"/>
            <w:shd w:val="clear" w:color="auto" w:fill="D9E2F3"/>
            <w:vAlign w:val="center"/>
          </w:tcPr>
          <w:p w14:paraId="192B762F" w14:textId="77777777" w:rsidR="00990B14" w:rsidRDefault="00000000">
            <w:pPr>
              <w:spacing w:before="20" w:after="20"/>
              <w:jc w:val="both"/>
            </w:pPr>
            <w:r>
              <w:rPr>
                <w:sz w:val="18"/>
                <w:szCs w:val="18"/>
              </w:rPr>
              <w:t>Pondera los factores según su efecto.</w:t>
            </w:r>
          </w:p>
        </w:tc>
      </w:tr>
      <w:tr w:rsidR="00990B14" w14:paraId="11EE1F6A" w14:textId="77777777">
        <w:trPr>
          <w:cantSplit/>
          <w:jc w:val="center"/>
        </w:trPr>
        <w:tc>
          <w:tcPr>
            <w:tcW w:w="1490" w:type="dxa"/>
            <w:vMerge/>
            <w:shd w:val="clear" w:color="auto" w:fill="4472C4"/>
            <w:vAlign w:val="center"/>
          </w:tcPr>
          <w:p w14:paraId="431E7AA0" w14:textId="77777777" w:rsidR="00990B14" w:rsidRDefault="00990B14">
            <w:pPr>
              <w:spacing w:before="20" w:after="20"/>
            </w:pPr>
          </w:p>
        </w:tc>
        <w:tc>
          <w:tcPr>
            <w:tcW w:w="1910" w:type="dxa"/>
            <w:shd w:val="clear" w:color="auto" w:fill="D9E2F3"/>
            <w:vAlign w:val="center"/>
          </w:tcPr>
          <w:p w14:paraId="035336FA" w14:textId="77777777" w:rsidR="00990B14" w:rsidRDefault="00000000">
            <w:pPr>
              <w:spacing w:before="20" w:after="20"/>
              <w:jc w:val="both"/>
            </w:pPr>
            <w:r>
              <w:rPr>
                <w:sz w:val="18"/>
                <w:szCs w:val="18"/>
              </w:rPr>
              <w:t>Evaluación</w:t>
            </w:r>
          </w:p>
        </w:tc>
        <w:tc>
          <w:tcPr>
            <w:tcW w:w="2015" w:type="dxa"/>
            <w:shd w:val="clear" w:color="auto" w:fill="D9E2F3"/>
            <w:vAlign w:val="center"/>
          </w:tcPr>
          <w:p w14:paraId="2A70C90C" w14:textId="77777777" w:rsidR="00990B14" w:rsidRDefault="00000000">
            <w:pPr>
              <w:spacing w:before="20" w:after="20"/>
              <w:jc w:val="both"/>
            </w:pPr>
            <w:r>
              <w:rPr>
                <w:sz w:val="18"/>
                <w:szCs w:val="18"/>
              </w:rPr>
              <w:t>No evalúa el riesgo.</w:t>
            </w:r>
          </w:p>
        </w:tc>
        <w:tc>
          <w:tcPr>
            <w:tcW w:w="1910" w:type="dxa"/>
            <w:shd w:val="clear" w:color="auto" w:fill="D9E2F3"/>
            <w:vAlign w:val="center"/>
          </w:tcPr>
          <w:p w14:paraId="43DD9BFE" w14:textId="77777777" w:rsidR="00990B14" w:rsidRDefault="00000000">
            <w:pPr>
              <w:spacing w:before="20" w:after="20"/>
              <w:jc w:val="both"/>
            </w:pPr>
            <w:r>
              <w:rPr>
                <w:sz w:val="18"/>
                <w:szCs w:val="18"/>
              </w:rPr>
              <w:t>Evalúa el riesgo profesional.</w:t>
            </w:r>
          </w:p>
        </w:tc>
        <w:tc>
          <w:tcPr>
            <w:tcW w:w="2080" w:type="dxa"/>
            <w:shd w:val="clear" w:color="auto" w:fill="D9E2F3"/>
            <w:vAlign w:val="center"/>
          </w:tcPr>
          <w:p w14:paraId="27B62675" w14:textId="77777777" w:rsidR="00990B14" w:rsidRDefault="00000000">
            <w:pPr>
              <w:spacing w:before="20" w:after="20"/>
              <w:jc w:val="both"/>
            </w:pPr>
            <w:r>
              <w:rPr>
                <w:sz w:val="18"/>
                <w:szCs w:val="18"/>
              </w:rPr>
              <w:t>Fundamenta la decisión de aceptar o rechazar.</w:t>
            </w:r>
          </w:p>
        </w:tc>
      </w:tr>
      <w:tr w:rsidR="00990B14" w14:paraId="0C0FEE23" w14:textId="77777777">
        <w:trPr>
          <w:cantSplit/>
          <w:jc w:val="center"/>
        </w:trPr>
        <w:tc>
          <w:tcPr>
            <w:tcW w:w="1490" w:type="dxa"/>
            <w:vMerge/>
            <w:shd w:val="clear" w:color="auto" w:fill="4472C4"/>
            <w:vAlign w:val="center"/>
          </w:tcPr>
          <w:p w14:paraId="7737CEDD" w14:textId="77777777" w:rsidR="00990B14" w:rsidRDefault="00990B14">
            <w:pPr>
              <w:spacing w:before="20" w:after="20"/>
            </w:pPr>
          </w:p>
        </w:tc>
        <w:tc>
          <w:tcPr>
            <w:tcW w:w="1910" w:type="dxa"/>
            <w:shd w:val="clear" w:color="auto" w:fill="D9E2F3"/>
            <w:vAlign w:val="center"/>
          </w:tcPr>
          <w:p w14:paraId="3307FEAE" w14:textId="77777777" w:rsidR="00990B14" w:rsidRDefault="00000000">
            <w:pPr>
              <w:spacing w:before="20" w:after="20"/>
              <w:jc w:val="both"/>
            </w:pPr>
            <w:r>
              <w:rPr>
                <w:sz w:val="18"/>
                <w:szCs w:val="18"/>
              </w:rPr>
              <w:t>Ética e independencia</w:t>
            </w:r>
          </w:p>
        </w:tc>
        <w:tc>
          <w:tcPr>
            <w:tcW w:w="2015" w:type="dxa"/>
            <w:shd w:val="clear" w:color="auto" w:fill="D9E2F3"/>
            <w:vAlign w:val="center"/>
          </w:tcPr>
          <w:p w14:paraId="54C21F91" w14:textId="77777777" w:rsidR="00990B14" w:rsidRDefault="00000000">
            <w:pPr>
              <w:spacing w:before="20" w:after="20"/>
              <w:jc w:val="both"/>
            </w:pPr>
            <w:r>
              <w:rPr>
                <w:sz w:val="18"/>
                <w:szCs w:val="18"/>
              </w:rPr>
              <w:t>No las considera.</w:t>
            </w:r>
          </w:p>
        </w:tc>
        <w:tc>
          <w:tcPr>
            <w:tcW w:w="1910" w:type="dxa"/>
            <w:shd w:val="clear" w:color="auto" w:fill="D9E2F3"/>
            <w:vAlign w:val="center"/>
          </w:tcPr>
          <w:p w14:paraId="3641ED05" w14:textId="77777777" w:rsidR="00990B14" w:rsidRDefault="00000000">
            <w:pPr>
              <w:spacing w:before="20" w:after="20"/>
              <w:jc w:val="both"/>
            </w:pPr>
            <w:r>
              <w:rPr>
                <w:sz w:val="18"/>
                <w:szCs w:val="18"/>
              </w:rPr>
              <w:t>Considera los requerimientos de ética e independencia.</w:t>
            </w:r>
          </w:p>
        </w:tc>
        <w:tc>
          <w:tcPr>
            <w:tcW w:w="2080" w:type="dxa"/>
            <w:shd w:val="clear" w:color="auto" w:fill="D9E2F3"/>
            <w:vAlign w:val="center"/>
          </w:tcPr>
          <w:p w14:paraId="1A2EAF83" w14:textId="77777777" w:rsidR="00990B14" w:rsidRDefault="00000000">
            <w:pPr>
              <w:spacing w:before="20" w:after="20"/>
              <w:jc w:val="both"/>
            </w:pPr>
            <w:r>
              <w:rPr>
                <w:sz w:val="18"/>
                <w:szCs w:val="18"/>
              </w:rPr>
              <w:t>Identifica amenazas y salvaguardas.</w:t>
            </w:r>
          </w:p>
        </w:tc>
      </w:tr>
      <w:tr w:rsidR="00990B14" w14:paraId="1B33C078" w14:textId="77777777">
        <w:trPr>
          <w:cantSplit/>
          <w:jc w:val="center"/>
        </w:trPr>
        <w:tc>
          <w:tcPr>
            <w:tcW w:w="1490" w:type="dxa"/>
            <w:vMerge/>
            <w:shd w:val="clear" w:color="auto" w:fill="4472C4"/>
            <w:vAlign w:val="center"/>
          </w:tcPr>
          <w:p w14:paraId="5A2F7B5F" w14:textId="77777777" w:rsidR="00990B14" w:rsidRDefault="00990B14">
            <w:pPr>
              <w:spacing w:before="20" w:after="20"/>
            </w:pPr>
          </w:p>
        </w:tc>
        <w:tc>
          <w:tcPr>
            <w:tcW w:w="5835" w:type="dxa"/>
            <w:gridSpan w:val="3"/>
            <w:shd w:val="clear" w:color="auto" w:fill="D9E2F3"/>
            <w:vAlign w:val="center"/>
          </w:tcPr>
          <w:p w14:paraId="6A9CD05D" w14:textId="77777777" w:rsidR="00990B14" w:rsidRDefault="00000000">
            <w:pPr>
              <w:keepNext/>
              <w:spacing w:before="20" w:after="20"/>
              <w:jc w:val="both"/>
            </w:pPr>
            <w:r>
              <w:rPr>
                <w:b/>
                <w:bCs/>
                <w:i/>
                <w:iCs/>
                <w:sz w:val="18"/>
                <w:szCs w:val="18"/>
              </w:rPr>
              <w:t xml:space="preserve">Producto 9: </w:t>
            </w:r>
            <w:r>
              <w:rPr>
                <w:sz w:val="18"/>
                <w:szCs w:val="18"/>
              </w:rPr>
              <w:t>Práctico de los componentes del riesgo de auditoría</w:t>
            </w:r>
          </w:p>
        </w:tc>
        <w:tc>
          <w:tcPr>
            <w:tcW w:w="2080" w:type="dxa"/>
            <w:shd w:val="clear" w:color="auto" w:fill="D9E2F3"/>
            <w:vAlign w:val="center"/>
          </w:tcPr>
          <w:p w14:paraId="1CF26C5C" w14:textId="77777777" w:rsidR="00990B14" w:rsidRDefault="00000000">
            <w:pPr>
              <w:spacing w:before="20" w:after="20"/>
              <w:jc w:val="center"/>
            </w:pPr>
            <w:r>
              <w:rPr>
                <w:b/>
                <w:bCs/>
                <w:sz w:val="18"/>
                <w:szCs w:val="18"/>
              </w:rPr>
              <w:t>2%</w:t>
            </w:r>
          </w:p>
        </w:tc>
      </w:tr>
      <w:tr w:rsidR="00990B14" w14:paraId="40C8C64F" w14:textId="77777777">
        <w:trPr>
          <w:cantSplit/>
          <w:jc w:val="center"/>
        </w:trPr>
        <w:tc>
          <w:tcPr>
            <w:tcW w:w="1490" w:type="dxa"/>
            <w:vMerge/>
            <w:shd w:val="clear" w:color="auto" w:fill="4472C4"/>
            <w:vAlign w:val="center"/>
          </w:tcPr>
          <w:p w14:paraId="2B6B742B" w14:textId="77777777" w:rsidR="00990B14" w:rsidRDefault="00990B14">
            <w:pPr>
              <w:spacing w:before="20" w:after="20"/>
            </w:pPr>
          </w:p>
        </w:tc>
        <w:tc>
          <w:tcPr>
            <w:tcW w:w="1910" w:type="dxa"/>
            <w:shd w:val="clear" w:color="auto" w:fill="4472C4"/>
            <w:vAlign w:val="center"/>
          </w:tcPr>
          <w:p w14:paraId="54544E6A"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41512C92"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6227C4BD" w14:textId="77777777" w:rsidR="00990B14" w:rsidRDefault="00000000">
            <w:pPr>
              <w:keepNext/>
              <w:spacing w:before="20" w:after="20"/>
              <w:jc w:val="center"/>
            </w:pPr>
            <w:r>
              <w:rPr>
                <w:b/>
                <w:bCs/>
                <w:i/>
                <w:iCs/>
                <w:color w:val="FFFFFF"/>
                <w:sz w:val="18"/>
                <w:szCs w:val="18"/>
              </w:rPr>
              <w:t>Suficiente (51–80)</w:t>
            </w:r>
          </w:p>
        </w:tc>
        <w:tc>
          <w:tcPr>
            <w:tcW w:w="2080" w:type="dxa"/>
            <w:shd w:val="clear" w:color="auto" w:fill="4472C4"/>
            <w:vAlign w:val="center"/>
          </w:tcPr>
          <w:p w14:paraId="2AB36F7D" w14:textId="77777777" w:rsidR="00990B14" w:rsidRDefault="00000000">
            <w:pPr>
              <w:keepNext/>
              <w:spacing w:before="20" w:after="20"/>
              <w:jc w:val="center"/>
            </w:pPr>
            <w:r>
              <w:rPr>
                <w:b/>
                <w:bCs/>
                <w:i/>
                <w:iCs/>
                <w:color w:val="FFFFFF"/>
                <w:sz w:val="18"/>
                <w:szCs w:val="18"/>
              </w:rPr>
              <w:t>Destacado (81–100)</w:t>
            </w:r>
          </w:p>
        </w:tc>
      </w:tr>
      <w:tr w:rsidR="00990B14" w14:paraId="07F41A6C" w14:textId="77777777">
        <w:trPr>
          <w:cantSplit/>
          <w:jc w:val="center"/>
        </w:trPr>
        <w:tc>
          <w:tcPr>
            <w:tcW w:w="1490" w:type="dxa"/>
            <w:vMerge/>
            <w:shd w:val="clear" w:color="auto" w:fill="4472C4"/>
            <w:vAlign w:val="center"/>
          </w:tcPr>
          <w:p w14:paraId="716C8B81" w14:textId="77777777" w:rsidR="00990B14" w:rsidRDefault="00990B14">
            <w:pPr>
              <w:spacing w:before="20" w:after="20"/>
            </w:pPr>
          </w:p>
        </w:tc>
        <w:tc>
          <w:tcPr>
            <w:tcW w:w="1910" w:type="dxa"/>
            <w:shd w:val="clear" w:color="auto" w:fill="D9E2F3"/>
            <w:vAlign w:val="center"/>
          </w:tcPr>
          <w:p w14:paraId="6C30C6A7" w14:textId="77777777" w:rsidR="00990B14" w:rsidRDefault="00000000">
            <w:pPr>
              <w:spacing w:before="20" w:after="20"/>
              <w:jc w:val="both"/>
            </w:pPr>
            <w:r>
              <w:rPr>
                <w:sz w:val="18"/>
                <w:szCs w:val="18"/>
              </w:rPr>
              <w:t>Componentes</w:t>
            </w:r>
          </w:p>
        </w:tc>
        <w:tc>
          <w:tcPr>
            <w:tcW w:w="2015" w:type="dxa"/>
            <w:shd w:val="clear" w:color="auto" w:fill="D9E2F3"/>
            <w:vAlign w:val="center"/>
          </w:tcPr>
          <w:p w14:paraId="2641D900" w14:textId="77777777" w:rsidR="00990B14" w:rsidRDefault="00000000">
            <w:pPr>
              <w:spacing w:before="20" w:after="20"/>
              <w:jc w:val="both"/>
            </w:pPr>
            <w:r>
              <w:rPr>
                <w:sz w:val="18"/>
                <w:szCs w:val="18"/>
              </w:rPr>
              <w:t>Confunde los componentes.</w:t>
            </w:r>
          </w:p>
        </w:tc>
        <w:tc>
          <w:tcPr>
            <w:tcW w:w="1910" w:type="dxa"/>
            <w:shd w:val="clear" w:color="auto" w:fill="D9E2F3"/>
            <w:vAlign w:val="center"/>
          </w:tcPr>
          <w:p w14:paraId="472E90DE" w14:textId="77777777" w:rsidR="00990B14" w:rsidRDefault="00000000">
            <w:pPr>
              <w:spacing w:before="20" w:after="20"/>
              <w:jc w:val="both"/>
            </w:pPr>
            <w:r>
              <w:rPr>
                <w:sz w:val="18"/>
                <w:szCs w:val="18"/>
              </w:rPr>
              <w:t>Distingue el riesgo inherente, de control y de detección.</w:t>
            </w:r>
          </w:p>
        </w:tc>
        <w:tc>
          <w:tcPr>
            <w:tcW w:w="2080" w:type="dxa"/>
            <w:shd w:val="clear" w:color="auto" w:fill="D9E2F3"/>
            <w:vAlign w:val="center"/>
          </w:tcPr>
          <w:p w14:paraId="60787382" w14:textId="77777777" w:rsidR="00990B14" w:rsidRDefault="00000000">
            <w:pPr>
              <w:spacing w:before="20" w:after="20"/>
              <w:jc w:val="both"/>
            </w:pPr>
            <w:r>
              <w:rPr>
                <w:sz w:val="18"/>
                <w:szCs w:val="18"/>
              </w:rPr>
              <w:t>Explica su naturaleza en cada caso.</w:t>
            </w:r>
          </w:p>
        </w:tc>
      </w:tr>
      <w:tr w:rsidR="00990B14" w14:paraId="56841282" w14:textId="77777777">
        <w:trPr>
          <w:cantSplit/>
          <w:jc w:val="center"/>
        </w:trPr>
        <w:tc>
          <w:tcPr>
            <w:tcW w:w="1490" w:type="dxa"/>
            <w:vMerge/>
            <w:shd w:val="clear" w:color="auto" w:fill="4472C4"/>
            <w:vAlign w:val="center"/>
          </w:tcPr>
          <w:p w14:paraId="3AA64CB2" w14:textId="77777777" w:rsidR="00990B14" w:rsidRDefault="00990B14">
            <w:pPr>
              <w:spacing w:before="20" w:after="20"/>
            </w:pPr>
          </w:p>
        </w:tc>
        <w:tc>
          <w:tcPr>
            <w:tcW w:w="1910" w:type="dxa"/>
            <w:shd w:val="clear" w:color="auto" w:fill="D9E2F3"/>
            <w:vAlign w:val="center"/>
          </w:tcPr>
          <w:p w14:paraId="18D909A1" w14:textId="77777777" w:rsidR="00990B14" w:rsidRDefault="00000000">
            <w:pPr>
              <w:spacing w:before="20" w:after="20"/>
              <w:jc w:val="both"/>
            </w:pPr>
            <w:r>
              <w:rPr>
                <w:sz w:val="18"/>
                <w:szCs w:val="18"/>
              </w:rPr>
              <w:t>Interrelación</w:t>
            </w:r>
          </w:p>
        </w:tc>
        <w:tc>
          <w:tcPr>
            <w:tcW w:w="2015" w:type="dxa"/>
            <w:shd w:val="clear" w:color="auto" w:fill="D9E2F3"/>
            <w:vAlign w:val="center"/>
          </w:tcPr>
          <w:p w14:paraId="59532B78" w14:textId="77777777" w:rsidR="00990B14" w:rsidRDefault="00000000">
            <w:pPr>
              <w:spacing w:before="20" w:after="20"/>
              <w:jc w:val="both"/>
            </w:pPr>
            <w:r>
              <w:rPr>
                <w:sz w:val="18"/>
                <w:szCs w:val="18"/>
              </w:rPr>
              <w:t>No relaciona los componentes.</w:t>
            </w:r>
          </w:p>
        </w:tc>
        <w:tc>
          <w:tcPr>
            <w:tcW w:w="1910" w:type="dxa"/>
            <w:shd w:val="clear" w:color="auto" w:fill="D9E2F3"/>
            <w:vAlign w:val="center"/>
          </w:tcPr>
          <w:p w14:paraId="66B78D75" w14:textId="77777777" w:rsidR="00990B14" w:rsidRDefault="00000000">
            <w:pPr>
              <w:spacing w:before="20" w:after="20"/>
              <w:jc w:val="both"/>
            </w:pPr>
            <w:r>
              <w:rPr>
                <w:sz w:val="18"/>
                <w:szCs w:val="18"/>
              </w:rPr>
              <w:t>Determina el riesgo de detección aceptable.</w:t>
            </w:r>
          </w:p>
        </w:tc>
        <w:tc>
          <w:tcPr>
            <w:tcW w:w="2080" w:type="dxa"/>
            <w:shd w:val="clear" w:color="auto" w:fill="D9E2F3"/>
            <w:vAlign w:val="center"/>
          </w:tcPr>
          <w:p w14:paraId="2ABAACCE" w14:textId="77777777" w:rsidR="00990B14" w:rsidRDefault="00000000">
            <w:pPr>
              <w:spacing w:before="20" w:after="20"/>
              <w:jc w:val="both"/>
            </w:pPr>
            <w:r>
              <w:rPr>
                <w:sz w:val="18"/>
                <w:szCs w:val="18"/>
              </w:rPr>
              <w:t>Explica el efecto en la extensión de las pruebas.</w:t>
            </w:r>
          </w:p>
        </w:tc>
      </w:tr>
      <w:tr w:rsidR="00990B14" w14:paraId="06765695" w14:textId="77777777">
        <w:trPr>
          <w:cantSplit/>
          <w:jc w:val="center"/>
        </w:trPr>
        <w:tc>
          <w:tcPr>
            <w:tcW w:w="1490" w:type="dxa"/>
            <w:vMerge/>
            <w:shd w:val="clear" w:color="auto" w:fill="4472C4"/>
            <w:vAlign w:val="center"/>
          </w:tcPr>
          <w:p w14:paraId="23C6DD7E" w14:textId="77777777" w:rsidR="00990B14" w:rsidRDefault="00990B14">
            <w:pPr>
              <w:spacing w:before="20" w:after="20"/>
            </w:pPr>
          </w:p>
        </w:tc>
        <w:tc>
          <w:tcPr>
            <w:tcW w:w="1910" w:type="dxa"/>
            <w:shd w:val="clear" w:color="auto" w:fill="D9E2F3"/>
            <w:vAlign w:val="center"/>
          </w:tcPr>
          <w:p w14:paraId="1F2C0391" w14:textId="77777777" w:rsidR="00990B14" w:rsidRDefault="00000000">
            <w:pPr>
              <w:spacing w:before="20" w:after="20"/>
              <w:jc w:val="both"/>
            </w:pPr>
            <w:r>
              <w:rPr>
                <w:sz w:val="18"/>
                <w:szCs w:val="18"/>
              </w:rPr>
              <w:t>Desarrollo</w:t>
            </w:r>
          </w:p>
        </w:tc>
        <w:tc>
          <w:tcPr>
            <w:tcW w:w="2015" w:type="dxa"/>
            <w:shd w:val="clear" w:color="auto" w:fill="D9E2F3"/>
            <w:vAlign w:val="center"/>
          </w:tcPr>
          <w:p w14:paraId="76918E84" w14:textId="77777777" w:rsidR="00990B14" w:rsidRDefault="00000000">
            <w:pPr>
              <w:spacing w:before="20" w:after="20"/>
              <w:jc w:val="both"/>
            </w:pPr>
            <w:r>
              <w:rPr>
                <w:sz w:val="18"/>
                <w:szCs w:val="18"/>
              </w:rPr>
              <w:t>El práctico está incompleto.</w:t>
            </w:r>
          </w:p>
        </w:tc>
        <w:tc>
          <w:tcPr>
            <w:tcW w:w="1910" w:type="dxa"/>
            <w:shd w:val="clear" w:color="auto" w:fill="D9E2F3"/>
            <w:vAlign w:val="center"/>
          </w:tcPr>
          <w:p w14:paraId="49154AAD" w14:textId="77777777" w:rsidR="00990B14" w:rsidRDefault="00000000">
            <w:pPr>
              <w:spacing w:before="20" w:after="20"/>
              <w:jc w:val="both"/>
            </w:pPr>
            <w:r>
              <w:rPr>
                <w:sz w:val="18"/>
                <w:szCs w:val="18"/>
              </w:rPr>
              <w:t>Resuelve todo el práctico.</w:t>
            </w:r>
          </w:p>
        </w:tc>
        <w:tc>
          <w:tcPr>
            <w:tcW w:w="2080" w:type="dxa"/>
            <w:shd w:val="clear" w:color="auto" w:fill="D9E2F3"/>
            <w:vAlign w:val="center"/>
          </w:tcPr>
          <w:p w14:paraId="50DE97E7" w14:textId="77777777" w:rsidR="00990B14" w:rsidRDefault="00000000">
            <w:pPr>
              <w:spacing w:before="20" w:after="20"/>
              <w:jc w:val="both"/>
            </w:pPr>
            <w:r>
              <w:rPr>
                <w:sz w:val="18"/>
                <w:szCs w:val="18"/>
              </w:rPr>
              <w:t>El desarrollo es ordenado y fundamentado.</w:t>
            </w:r>
          </w:p>
        </w:tc>
      </w:tr>
      <w:tr w:rsidR="00990B14" w14:paraId="3D84D4E6" w14:textId="77777777">
        <w:trPr>
          <w:cantSplit/>
          <w:jc w:val="center"/>
        </w:trPr>
        <w:tc>
          <w:tcPr>
            <w:tcW w:w="1490" w:type="dxa"/>
            <w:vMerge/>
            <w:shd w:val="clear" w:color="auto" w:fill="4472C4"/>
            <w:vAlign w:val="center"/>
          </w:tcPr>
          <w:p w14:paraId="04E4478F" w14:textId="77777777" w:rsidR="00990B14" w:rsidRDefault="00990B14">
            <w:pPr>
              <w:spacing w:before="20" w:after="20"/>
            </w:pPr>
          </w:p>
        </w:tc>
        <w:tc>
          <w:tcPr>
            <w:tcW w:w="5835" w:type="dxa"/>
            <w:gridSpan w:val="3"/>
            <w:shd w:val="clear" w:color="auto" w:fill="D9E2F3"/>
            <w:vAlign w:val="center"/>
          </w:tcPr>
          <w:p w14:paraId="4499D99E" w14:textId="77777777" w:rsidR="00990B14" w:rsidRDefault="00000000">
            <w:pPr>
              <w:keepNext/>
              <w:spacing w:before="20" w:after="20"/>
              <w:jc w:val="both"/>
            </w:pPr>
            <w:r>
              <w:rPr>
                <w:b/>
                <w:bCs/>
                <w:i/>
                <w:iCs/>
                <w:sz w:val="18"/>
                <w:szCs w:val="18"/>
              </w:rPr>
              <w:t xml:space="preserve">Producto 10: </w:t>
            </w:r>
            <w:r>
              <w:rPr>
                <w:sz w:val="18"/>
                <w:szCs w:val="18"/>
              </w:rPr>
              <w:t>Esquema del proceso de auditoría basado en riesgos</w:t>
            </w:r>
          </w:p>
        </w:tc>
        <w:tc>
          <w:tcPr>
            <w:tcW w:w="2080" w:type="dxa"/>
            <w:shd w:val="clear" w:color="auto" w:fill="D9E2F3"/>
            <w:vAlign w:val="center"/>
          </w:tcPr>
          <w:p w14:paraId="5D3E63BB" w14:textId="77777777" w:rsidR="00990B14" w:rsidRDefault="00000000">
            <w:pPr>
              <w:spacing w:before="20" w:after="20"/>
              <w:jc w:val="center"/>
            </w:pPr>
            <w:r>
              <w:rPr>
                <w:b/>
                <w:bCs/>
                <w:sz w:val="18"/>
                <w:szCs w:val="18"/>
              </w:rPr>
              <w:t>2%</w:t>
            </w:r>
          </w:p>
        </w:tc>
      </w:tr>
      <w:tr w:rsidR="00990B14" w14:paraId="74241DCB" w14:textId="77777777">
        <w:trPr>
          <w:cantSplit/>
          <w:jc w:val="center"/>
        </w:trPr>
        <w:tc>
          <w:tcPr>
            <w:tcW w:w="1490" w:type="dxa"/>
            <w:vMerge/>
            <w:shd w:val="clear" w:color="auto" w:fill="4472C4"/>
            <w:vAlign w:val="center"/>
          </w:tcPr>
          <w:p w14:paraId="2BE85ED6" w14:textId="77777777" w:rsidR="00990B14" w:rsidRDefault="00990B14">
            <w:pPr>
              <w:spacing w:before="20" w:after="20"/>
            </w:pPr>
          </w:p>
        </w:tc>
        <w:tc>
          <w:tcPr>
            <w:tcW w:w="1910" w:type="dxa"/>
            <w:shd w:val="clear" w:color="auto" w:fill="4472C4"/>
            <w:vAlign w:val="center"/>
          </w:tcPr>
          <w:p w14:paraId="0C8B0512"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4C4E4866"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723C481E" w14:textId="77777777" w:rsidR="00990B14" w:rsidRDefault="00000000">
            <w:pPr>
              <w:keepNext/>
              <w:spacing w:before="20" w:after="20"/>
              <w:jc w:val="center"/>
            </w:pPr>
            <w:r>
              <w:rPr>
                <w:b/>
                <w:bCs/>
                <w:i/>
                <w:iCs/>
                <w:color w:val="FFFFFF"/>
                <w:sz w:val="18"/>
                <w:szCs w:val="18"/>
              </w:rPr>
              <w:t>Suficiente (51–80)</w:t>
            </w:r>
          </w:p>
        </w:tc>
        <w:tc>
          <w:tcPr>
            <w:tcW w:w="2080" w:type="dxa"/>
            <w:shd w:val="clear" w:color="auto" w:fill="4472C4"/>
            <w:vAlign w:val="center"/>
          </w:tcPr>
          <w:p w14:paraId="0DA7A9A7" w14:textId="77777777" w:rsidR="00990B14" w:rsidRDefault="00000000">
            <w:pPr>
              <w:keepNext/>
              <w:spacing w:before="20" w:after="20"/>
              <w:jc w:val="center"/>
            </w:pPr>
            <w:r>
              <w:rPr>
                <w:b/>
                <w:bCs/>
                <w:i/>
                <w:iCs/>
                <w:color w:val="FFFFFF"/>
                <w:sz w:val="18"/>
                <w:szCs w:val="18"/>
              </w:rPr>
              <w:t>Destacado (81–100)</w:t>
            </w:r>
          </w:p>
        </w:tc>
      </w:tr>
      <w:tr w:rsidR="00990B14" w14:paraId="5F6E8006" w14:textId="77777777">
        <w:trPr>
          <w:cantSplit/>
          <w:jc w:val="center"/>
        </w:trPr>
        <w:tc>
          <w:tcPr>
            <w:tcW w:w="1490" w:type="dxa"/>
            <w:vMerge/>
            <w:shd w:val="clear" w:color="auto" w:fill="4472C4"/>
            <w:vAlign w:val="center"/>
          </w:tcPr>
          <w:p w14:paraId="2897E271" w14:textId="77777777" w:rsidR="00990B14" w:rsidRDefault="00990B14">
            <w:pPr>
              <w:spacing w:before="20" w:after="20"/>
            </w:pPr>
          </w:p>
        </w:tc>
        <w:tc>
          <w:tcPr>
            <w:tcW w:w="1910" w:type="dxa"/>
            <w:shd w:val="clear" w:color="auto" w:fill="D9E2F3"/>
            <w:vAlign w:val="center"/>
          </w:tcPr>
          <w:p w14:paraId="65D6DFE4" w14:textId="77777777" w:rsidR="00990B14" w:rsidRDefault="00000000">
            <w:pPr>
              <w:spacing w:before="20" w:after="20"/>
              <w:jc w:val="both"/>
            </w:pPr>
            <w:r>
              <w:rPr>
                <w:sz w:val="18"/>
                <w:szCs w:val="18"/>
              </w:rPr>
              <w:t>Fases</w:t>
            </w:r>
          </w:p>
        </w:tc>
        <w:tc>
          <w:tcPr>
            <w:tcW w:w="2015" w:type="dxa"/>
            <w:shd w:val="clear" w:color="auto" w:fill="D9E2F3"/>
            <w:vAlign w:val="center"/>
          </w:tcPr>
          <w:p w14:paraId="7F581BAB" w14:textId="77777777" w:rsidR="00990B14" w:rsidRDefault="00000000">
            <w:pPr>
              <w:spacing w:before="20" w:after="20"/>
              <w:jc w:val="both"/>
            </w:pPr>
            <w:r>
              <w:rPr>
                <w:sz w:val="18"/>
                <w:szCs w:val="18"/>
              </w:rPr>
              <w:t>Omite fases.</w:t>
            </w:r>
          </w:p>
        </w:tc>
        <w:tc>
          <w:tcPr>
            <w:tcW w:w="1910" w:type="dxa"/>
            <w:shd w:val="clear" w:color="auto" w:fill="D9E2F3"/>
            <w:vAlign w:val="center"/>
          </w:tcPr>
          <w:p w14:paraId="722A7A43" w14:textId="77777777" w:rsidR="00990B14" w:rsidRDefault="00000000">
            <w:pPr>
              <w:spacing w:before="20" w:after="20"/>
              <w:jc w:val="both"/>
            </w:pPr>
            <w:r>
              <w:rPr>
                <w:sz w:val="18"/>
                <w:szCs w:val="18"/>
              </w:rPr>
              <w:t>Presenta las fases del proceso.</w:t>
            </w:r>
          </w:p>
        </w:tc>
        <w:tc>
          <w:tcPr>
            <w:tcW w:w="2080" w:type="dxa"/>
            <w:shd w:val="clear" w:color="auto" w:fill="D9E2F3"/>
            <w:vAlign w:val="center"/>
          </w:tcPr>
          <w:p w14:paraId="62A14204" w14:textId="77777777" w:rsidR="00990B14" w:rsidRDefault="00000000">
            <w:pPr>
              <w:spacing w:before="20" w:after="20"/>
              <w:jc w:val="both"/>
            </w:pPr>
            <w:r>
              <w:rPr>
                <w:sz w:val="18"/>
                <w:szCs w:val="18"/>
              </w:rPr>
              <w:t>Relaciona cada fase con su norma.</w:t>
            </w:r>
          </w:p>
        </w:tc>
      </w:tr>
      <w:tr w:rsidR="00990B14" w14:paraId="51301EF7" w14:textId="77777777">
        <w:trPr>
          <w:cantSplit/>
          <w:jc w:val="center"/>
        </w:trPr>
        <w:tc>
          <w:tcPr>
            <w:tcW w:w="1490" w:type="dxa"/>
            <w:vMerge/>
            <w:shd w:val="clear" w:color="auto" w:fill="4472C4"/>
            <w:vAlign w:val="center"/>
          </w:tcPr>
          <w:p w14:paraId="2D324797" w14:textId="77777777" w:rsidR="00990B14" w:rsidRDefault="00990B14">
            <w:pPr>
              <w:spacing w:before="20" w:after="20"/>
            </w:pPr>
          </w:p>
        </w:tc>
        <w:tc>
          <w:tcPr>
            <w:tcW w:w="1910" w:type="dxa"/>
            <w:shd w:val="clear" w:color="auto" w:fill="D9E2F3"/>
            <w:vAlign w:val="center"/>
          </w:tcPr>
          <w:p w14:paraId="7CF1246C" w14:textId="77777777" w:rsidR="00990B14" w:rsidRDefault="00000000">
            <w:pPr>
              <w:spacing w:before="20" w:after="20"/>
              <w:jc w:val="both"/>
            </w:pPr>
            <w:r>
              <w:rPr>
                <w:sz w:val="18"/>
                <w:szCs w:val="18"/>
              </w:rPr>
              <w:t>Beneficios</w:t>
            </w:r>
          </w:p>
        </w:tc>
        <w:tc>
          <w:tcPr>
            <w:tcW w:w="2015" w:type="dxa"/>
            <w:shd w:val="clear" w:color="auto" w:fill="D9E2F3"/>
            <w:vAlign w:val="center"/>
          </w:tcPr>
          <w:p w14:paraId="4A0F48C2" w14:textId="77777777" w:rsidR="00990B14" w:rsidRDefault="00000000">
            <w:pPr>
              <w:spacing w:before="20" w:after="20"/>
              <w:jc w:val="both"/>
            </w:pPr>
            <w:r>
              <w:rPr>
                <w:sz w:val="18"/>
                <w:szCs w:val="18"/>
              </w:rPr>
              <w:t>No los identifica.</w:t>
            </w:r>
          </w:p>
        </w:tc>
        <w:tc>
          <w:tcPr>
            <w:tcW w:w="1910" w:type="dxa"/>
            <w:shd w:val="clear" w:color="auto" w:fill="D9E2F3"/>
            <w:vAlign w:val="center"/>
          </w:tcPr>
          <w:p w14:paraId="47670854" w14:textId="77777777" w:rsidR="00990B14" w:rsidRDefault="00000000">
            <w:pPr>
              <w:spacing w:before="20" w:after="20"/>
              <w:jc w:val="both"/>
            </w:pPr>
            <w:r>
              <w:rPr>
                <w:sz w:val="18"/>
                <w:szCs w:val="18"/>
              </w:rPr>
              <w:t>Identifica los beneficios del enfoque.</w:t>
            </w:r>
          </w:p>
        </w:tc>
        <w:tc>
          <w:tcPr>
            <w:tcW w:w="2080" w:type="dxa"/>
            <w:shd w:val="clear" w:color="auto" w:fill="D9E2F3"/>
            <w:vAlign w:val="center"/>
          </w:tcPr>
          <w:p w14:paraId="56B74DCA" w14:textId="77777777" w:rsidR="00990B14" w:rsidRDefault="00000000">
            <w:pPr>
              <w:spacing w:before="20" w:after="20"/>
              <w:jc w:val="both"/>
            </w:pPr>
            <w:r>
              <w:rPr>
                <w:sz w:val="18"/>
                <w:szCs w:val="18"/>
              </w:rPr>
              <w:t>Los contrasta con el enfoque tradicional.</w:t>
            </w:r>
          </w:p>
        </w:tc>
      </w:tr>
      <w:tr w:rsidR="00990B14" w14:paraId="741C43B6" w14:textId="77777777">
        <w:trPr>
          <w:cantSplit/>
          <w:jc w:val="center"/>
        </w:trPr>
        <w:tc>
          <w:tcPr>
            <w:tcW w:w="1490" w:type="dxa"/>
            <w:vMerge/>
            <w:shd w:val="clear" w:color="auto" w:fill="4472C4"/>
            <w:vAlign w:val="center"/>
          </w:tcPr>
          <w:p w14:paraId="3E20C8BD" w14:textId="77777777" w:rsidR="00990B14" w:rsidRDefault="00990B14">
            <w:pPr>
              <w:spacing w:before="20" w:after="20"/>
            </w:pPr>
          </w:p>
        </w:tc>
        <w:tc>
          <w:tcPr>
            <w:tcW w:w="1910" w:type="dxa"/>
            <w:shd w:val="clear" w:color="auto" w:fill="D9E2F3"/>
            <w:vAlign w:val="center"/>
          </w:tcPr>
          <w:p w14:paraId="0AC1E0CA" w14:textId="77777777" w:rsidR="00990B14" w:rsidRDefault="00000000">
            <w:pPr>
              <w:spacing w:before="20" w:after="20"/>
              <w:jc w:val="both"/>
            </w:pPr>
            <w:r>
              <w:rPr>
                <w:sz w:val="18"/>
                <w:szCs w:val="18"/>
              </w:rPr>
              <w:t>Exposición</w:t>
            </w:r>
          </w:p>
        </w:tc>
        <w:tc>
          <w:tcPr>
            <w:tcW w:w="2015" w:type="dxa"/>
            <w:shd w:val="clear" w:color="auto" w:fill="D9E2F3"/>
            <w:vAlign w:val="center"/>
          </w:tcPr>
          <w:p w14:paraId="4AD96EF6" w14:textId="77777777" w:rsidR="00990B14" w:rsidRDefault="00000000">
            <w:pPr>
              <w:spacing w:before="20" w:after="20"/>
              <w:jc w:val="both"/>
            </w:pPr>
            <w:r>
              <w:rPr>
                <w:sz w:val="18"/>
                <w:szCs w:val="18"/>
              </w:rPr>
              <w:t>No expone el esquema.</w:t>
            </w:r>
          </w:p>
        </w:tc>
        <w:tc>
          <w:tcPr>
            <w:tcW w:w="1910" w:type="dxa"/>
            <w:shd w:val="clear" w:color="auto" w:fill="D9E2F3"/>
            <w:vAlign w:val="center"/>
          </w:tcPr>
          <w:p w14:paraId="1282BB72" w14:textId="77777777" w:rsidR="00990B14" w:rsidRDefault="00000000">
            <w:pPr>
              <w:spacing w:before="20" w:after="20"/>
              <w:jc w:val="both"/>
            </w:pPr>
            <w:r>
              <w:rPr>
                <w:sz w:val="18"/>
                <w:szCs w:val="18"/>
              </w:rPr>
              <w:t>Expone el esquema en equipo.</w:t>
            </w:r>
          </w:p>
        </w:tc>
        <w:tc>
          <w:tcPr>
            <w:tcW w:w="2080" w:type="dxa"/>
            <w:shd w:val="clear" w:color="auto" w:fill="D9E2F3"/>
            <w:vAlign w:val="center"/>
          </w:tcPr>
          <w:p w14:paraId="3C5DC35B" w14:textId="77777777" w:rsidR="00990B14" w:rsidRDefault="00000000">
            <w:pPr>
              <w:spacing w:before="20" w:after="20"/>
              <w:jc w:val="both"/>
            </w:pPr>
            <w:r>
              <w:rPr>
                <w:sz w:val="18"/>
                <w:szCs w:val="18"/>
              </w:rPr>
              <w:t>Responde con fundamento las preguntas.</w:t>
            </w:r>
          </w:p>
        </w:tc>
      </w:tr>
      <w:tr w:rsidR="00990B14" w14:paraId="15D0537F" w14:textId="77777777">
        <w:trPr>
          <w:cantSplit/>
          <w:jc w:val="center"/>
        </w:trPr>
        <w:tc>
          <w:tcPr>
            <w:tcW w:w="1490" w:type="dxa"/>
            <w:vMerge/>
            <w:shd w:val="clear" w:color="auto" w:fill="4472C4"/>
            <w:vAlign w:val="center"/>
          </w:tcPr>
          <w:p w14:paraId="7B5E8C28" w14:textId="77777777" w:rsidR="00990B14" w:rsidRDefault="00990B14">
            <w:pPr>
              <w:spacing w:before="20" w:after="20"/>
            </w:pPr>
          </w:p>
        </w:tc>
        <w:tc>
          <w:tcPr>
            <w:tcW w:w="5835" w:type="dxa"/>
            <w:gridSpan w:val="3"/>
            <w:shd w:val="clear" w:color="auto" w:fill="D9E2F3"/>
            <w:vAlign w:val="center"/>
          </w:tcPr>
          <w:p w14:paraId="7533E239" w14:textId="77777777" w:rsidR="00990B14" w:rsidRDefault="00000000">
            <w:pPr>
              <w:keepNext/>
              <w:spacing w:before="20" w:after="20"/>
              <w:jc w:val="both"/>
            </w:pPr>
            <w:r>
              <w:rPr>
                <w:b/>
                <w:bCs/>
                <w:i/>
                <w:iCs/>
                <w:sz w:val="18"/>
                <w:szCs w:val="18"/>
              </w:rPr>
              <w:t xml:space="preserve">Producto 11: </w:t>
            </w:r>
            <w:r>
              <w:rPr>
                <w:sz w:val="18"/>
                <w:szCs w:val="18"/>
              </w:rPr>
              <w:t>Cuadro de aseveraciones y riesgos de un rubro</w:t>
            </w:r>
          </w:p>
        </w:tc>
        <w:tc>
          <w:tcPr>
            <w:tcW w:w="2080" w:type="dxa"/>
            <w:shd w:val="clear" w:color="auto" w:fill="D9E2F3"/>
            <w:vAlign w:val="center"/>
          </w:tcPr>
          <w:p w14:paraId="627AA31C" w14:textId="77777777" w:rsidR="00990B14" w:rsidRDefault="00000000">
            <w:pPr>
              <w:spacing w:before="20" w:after="20"/>
              <w:jc w:val="center"/>
            </w:pPr>
            <w:r>
              <w:rPr>
                <w:b/>
                <w:bCs/>
                <w:sz w:val="18"/>
                <w:szCs w:val="18"/>
              </w:rPr>
              <w:t>2%</w:t>
            </w:r>
          </w:p>
        </w:tc>
      </w:tr>
      <w:tr w:rsidR="00990B14" w14:paraId="014C75BA" w14:textId="77777777">
        <w:trPr>
          <w:cantSplit/>
          <w:jc w:val="center"/>
        </w:trPr>
        <w:tc>
          <w:tcPr>
            <w:tcW w:w="1490" w:type="dxa"/>
            <w:vMerge/>
            <w:shd w:val="clear" w:color="auto" w:fill="4472C4"/>
            <w:vAlign w:val="center"/>
          </w:tcPr>
          <w:p w14:paraId="741FFF4F" w14:textId="77777777" w:rsidR="00990B14" w:rsidRDefault="00990B14">
            <w:pPr>
              <w:spacing w:before="20" w:after="20"/>
            </w:pPr>
          </w:p>
        </w:tc>
        <w:tc>
          <w:tcPr>
            <w:tcW w:w="1910" w:type="dxa"/>
            <w:shd w:val="clear" w:color="auto" w:fill="4472C4"/>
            <w:vAlign w:val="center"/>
          </w:tcPr>
          <w:p w14:paraId="0A92612E"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2CA6CF58"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166D2E33" w14:textId="77777777" w:rsidR="00990B14" w:rsidRDefault="00000000">
            <w:pPr>
              <w:keepNext/>
              <w:spacing w:before="20" w:after="20"/>
              <w:jc w:val="center"/>
            </w:pPr>
            <w:r>
              <w:rPr>
                <w:b/>
                <w:bCs/>
                <w:i/>
                <w:iCs/>
                <w:color w:val="FFFFFF"/>
                <w:sz w:val="18"/>
                <w:szCs w:val="18"/>
              </w:rPr>
              <w:t>Suficiente (51–80)</w:t>
            </w:r>
          </w:p>
        </w:tc>
        <w:tc>
          <w:tcPr>
            <w:tcW w:w="2080" w:type="dxa"/>
            <w:shd w:val="clear" w:color="auto" w:fill="4472C4"/>
            <w:vAlign w:val="center"/>
          </w:tcPr>
          <w:p w14:paraId="75921C16" w14:textId="77777777" w:rsidR="00990B14" w:rsidRDefault="00000000">
            <w:pPr>
              <w:keepNext/>
              <w:spacing w:before="20" w:after="20"/>
              <w:jc w:val="center"/>
            </w:pPr>
            <w:r>
              <w:rPr>
                <w:b/>
                <w:bCs/>
                <w:i/>
                <w:iCs/>
                <w:color w:val="FFFFFF"/>
                <w:sz w:val="18"/>
                <w:szCs w:val="18"/>
              </w:rPr>
              <w:t>Destacado (81–100)</w:t>
            </w:r>
          </w:p>
        </w:tc>
      </w:tr>
      <w:tr w:rsidR="00990B14" w14:paraId="66FB24E2" w14:textId="77777777">
        <w:trPr>
          <w:cantSplit/>
          <w:jc w:val="center"/>
        </w:trPr>
        <w:tc>
          <w:tcPr>
            <w:tcW w:w="1490" w:type="dxa"/>
            <w:vMerge/>
            <w:shd w:val="clear" w:color="auto" w:fill="4472C4"/>
            <w:vAlign w:val="center"/>
          </w:tcPr>
          <w:p w14:paraId="6D4D0C40" w14:textId="77777777" w:rsidR="00990B14" w:rsidRDefault="00990B14">
            <w:pPr>
              <w:spacing w:before="20" w:after="20"/>
            </w:pPr>
          </w:p>
        </w:tc>
        <w:tc>
          <w:tcPr>
            <w:tcW w:w="1910" w:type="dxa"/>
            <w:shd w:val="clear" w:color="auto" w:fill="D9E2F3"/>
            <w:vAlign w:val="center"/>
          </w:tcPr>
          <w:p w14:paraId="3FDBEF7C" w14:textId="77777777" w:rsidR="00990B14" w:rsidRDefault="00000000">
            <w:pPr>
              <w:spacing w:before="20" w:after="20"/>
              <w:jc w:val="both"/>
            </w:pPr>
            <w:r>
              <w:rPr>
                <w:sz w:val="18"/>
                <w:szCs w:val="18"/>
              </w:rPr>
              <w:t>Aseveraciones</w:t>
            </w:r>
          </w:p>
        </w:tc>
        <w:tc>
          <w:tcPr>
            <w:tcW w:w="2015" w:type="dxa"/>
            <w:shd w:val="clear" w:color="auto" w:fill="D9E2F3"/>
            <w:vAlign w:val="center"/>
          </w:tcPr>
          <w:p w14:paraId="737F2D34" w14:textId="77777777" w:rsidR="00990B14" w:rsidRDefault="00000000">
            <w:pPr>
              <w:spacing w:before="20" w:after="20"/>
              <w:jc w:val="both"/>
            </w:pPr>
            <w:r>
              <w:rPr>
                <w:sz w:val="18"/>
                <w:szCs w:val="18"/>
              </w:rPr>
              <w:t>Confunde las aseveraciones.</w:t>
            </w:r>
          </w:p>
        </w:tc>
        <w:tc>
          <w:tcPr>
            <w:tcW w:w="1910" w:type="dxa"/>
            <w:shd w:val="clear" w:color="auto" w:fill="D9E2F3"/>
            <w:vAlign w:val="center"/>
          </w:tcPr>
          <w:p w14:paraId="70F616D4" w14:textId="77777777" w:rsidR="00990B14" w:rsidRDefault="00000000">
            <w:pPr>
              <w:spacing w:before="20" w:after="20"/>
              <w:jc w:val="both"/>
            </w:pPr>
            <w:r>
              <w:rPr>
                <w:sz w:val="18"/>
                <w:szCs w:val="18"/>
              </w:rPr>
              <w:t>Identifica las aseveraciones del rubro.</w:t>
            </w:r>
          </w:p>
        </w:tc>
        <w:tc>
          <w:tcPr>
            <w:tcW w:w="2080" w:type="dxa"/>
            <w:shd w:val="clear" w:color="auto" w:fill="D9E2F3"/>
            <w:vAlign w:val="center"/>
          </w:tcPr>
          <w:p w14:paraId="2BD6B56F" w14:textId="77777777" w:rsidR="00990B14" w:rsidRDefault="00000000">
            <w:pPr>
              <w:spacing w:before="20" w:after="20"/>
              <w:jc w:val="both"/>
            </w:pPr>
            <w:r>
              <w:rPr>
                <w:sz w:val="18"/>
                <w:szCs w:val="18"/>
              </w:rPr>
              <w:t>Distingue las de transacciones y las de saldos.</w:t>
            </w:r>
          </w:p>
        </w:tc>
      </w:tr>
      <w:tr w:rsidR="00990B14" w14:paraId="549CEF4D" w14:textId="77777777">
        <w:trPr>
          <w:cantSplit/>
          <w:jc w:val="center"/>
        </w:trPr>
        <w:tc>
          <w:tcPr>
            <w:tcW w:w="1490" w:type="dxa"/>
            <w:vMerge/>
            <w:shd w:val="clear" w:color="auto" w:fill="4472C4"/>
            <w:vAlign w:val="center"/>
          </w:tcPr>
          <w:p w14:paraId="4BC2EFD5" w14:textId="77777777" w:rsidR="00990B14" w:rsidRDefault="00990B14">
            <w:pPr>
              <w:spacing w:before="20" w:after="20"/>
            </w:pPr>
          </w:p>
        </w:tc>
        <w:tc>
          <w:tcPr>
            <w:tcW w:w="1910" w:type="dxa"/>
            <w:shd w:val="clear" w:color="auto" w:fill="D9E2F3"/>
            <w:vAlign w:val="center"/>
          </w:tcPr>
          <w:p w14:paraId="10779047" w14:textId="77777777" w:rsidR="00990B14" w:rsidRDefault="00000000">
            <w:pPr>
              <w:spacing w:before="20" w:after="20"/>
              <w:jc w:val="both"/>
            </w:pPr>
            <w:r>
              <w:rPr>
                <w:sz w:val="18"/>
                <w:szCs w:val="18"/>
              </w:rPr>
              <w:t>Riesgos</w:t>
            </w:r>
          </w:p>
        </w:tc>
        <w:tc>
          <w:tcPr>
            <w:tcW w:w="2015" w:type="dxa"/>
            <w:shd w:val="clear" w:color="auto" w:fill="D9E2F3"/>
            <w:vAlign w:val="center"/>
          </w:tcPr>
          <w:p w14:paraId="55E6BBB9" w14:textId="77777777" w:rsidR="00990B14" w:rsidRDefault="00000000">
            <w:pPr>
              <w:spacing w:before="20" w:after="20"/>
              <w:jc w:val="both"/>
            </w:pPr>
            <w:r>
              <w:rPr>
                <w:sz w:val="18"/>
                <w:szCs w:val="18"/>
              </w:rPr>
              <w:t>No asocia riesgos.</w:t>
            </w:r>
          </w:p>
        </w:tc>
        <w:tc>
          <w:tcPr>
            <w:tcW w:w="1910" w:type="dxa"/>
            <w:shd w:val="clear" w:color="auto" w:fill="D9E2F3"/>
            <w:vAlign w:val="center"/>
          </w:tcPr>
          <w:p w14:paraId="0FBC9070" w14:textId="77777777" w:rsidR="00990B14" w:rsidRDefault="00000000">
            <w:pPr>
              <w:spacing w:before="20" w:after="20"/>
              <w:jc w:val="both"/>
            </w:pPr>
            <w:r>
              <w:rPr>
                <w:sz w:val="18"/>
                <w:szCs w:val="18"/>
              </w:rPr>
              <w:t>Asocia los riesgos a cada aseveración.</w:t>
            </w:r>
          </w:p>
        </w:tc>
        <w:tc>
          <w:tcPr>
            <w:tcW w:w="2080" w:type="dxa"/>
            <w:shd w:val="clear" w:color="auto" w:fill="D9E2F3"/>
            <w:vAlign w:val="center"/>
          </w:tcPr>
          <w:p w14:paraId="4FFDBF33" w14:textId="77777777" w:rsidR="00990B14" w:rsidRDefault="00000000">
            <w:pPr>
              <w:spacing w:before="20" w:after="20"/>
              <w:jc w:val="both"/>
            </w:pPr>
            <w:r>
              <w:rPr>
                <w:sz w:val="18"/>
                <w:szCs w:val="18"/>
              </w:rPr>
              <w:t>Prioriza los riesgos según su magnitud.</w:t>
            </w:r>
          </w:p>
        </w:tc>
      </w:tr>
      <w:tr w:rsidR="00990B14" w14:paraId="512B0727" w14:textId="77777777">
        <w:trPr>
          <w:cantSplit/>
          <w:jc w:val="center"/>
        </w:trPr>
        <w:tc>
          <w:tcPr>
            <w:tcW w:w="1490" w:type="dxa"/>
            <w:vMerge/>
            <w:shd w:val="clear" w:color="auto" w:fill="4472C4"/>
            <w:vAlign w:val="center"/>
          </w:tcPr>
          <w:p w14:paraId="23954CC5" w14:textId="77777777" w:rsidR="00990B14" w:rsidRDefault="00990B14">
            <w:pPr>
              <w:spacing w:before="20" w:after="20"/>
            </w:pPr>
          </w:p>
        </w:tc>
        <w:tc>
          <w:tcPr>
            <w:tcW w:w="1910" w:type="dxa"/>
            <w:shd w:val="clear" w:color="auto" w:fill="D9E2F3"/>
            <w:vAlign w:val="center"/>
          </w:tcPr>
          <w:p w14:paraId="31AED558" w14:textId="77777777" w:rsidR="00990B14" w:rsidRDefault="00000000">
            <w:pPr>
              <w:spacing w:before="20" w:after="20"/>
              <w:jc w:val="both"/>
            </w:pPr>
            <w:r>
              <w:rPr>
                <w:sz w:val="18"/>
                <w:szCs w:val="18"/>
              </w:rPr>
              <w:t>Respuesta</w:t>
            </w:r>
          </w:p>
        </w:tc>
        <w:tc>
          <w:tcPr>
            <w:tcW w:w="2015" w:type="dxa"/>
            <w:shd w:val="clear" w:color="auto" w:fill="D9E2F3"/>
            <w:vAlign w:val="center"/>
          </w:tcPr>
          <w:p w14:paraId="1B3B5827" w14:textId="77777777" w:rsidR="00990B14" w:rsidRDefault="00000000">
            <w:pPr>
              <w:spacing w:before="20" w:after="20"/>
              <w:jc w:val="both"/>
            </w:pPr>
            <w:r>
              <w:rPr>
                <w:sz w:val="18"/>
                <w:szCs w:val="18"/>
              </w:rPr>
              <w:t>No propone respuesta.</w:t>
            </w:r>
          </w:p>
        </w:tc>
        <w:tc>
          <w:tcPr>
            <w:tcW w:w="1910" w:type="dxa"/>
            <w:shd w:val="clear" w:color="auto" w:fill="D9E2F3"/>
            <w:vAlign w:val="center"/>
          </w:tcPr>
          <w:p w14:paraId="4EB19913" w14:textId="77777777" w:rsidR="00990B14" w:rsidRDefault="00000000">
            <w:pPr>
              <w:spacing w:before="20" w:after="20"/>
              <w:jc w:val="both"/>
            </w:pPr>
            <w:r>
              <w:rPr>
                <w:sz w:val="18"/>
                <w:szCs w:val="18"/>
              </w:rPr>
              <w:t>Propone la respuesta del auditor.</w:t>
            </w:r>
          </w:p>
        </w:tc>
        <w:tc>
          <w:tcPr>
            <w:tcW w:w="2080" w:type="dxa"/>
            <w:shd w:val="clear" w:color="auto" w:fill="D9E2F3"/>
            <w:vAlign w:val="center"/>
          </w:tcPr>
          <w:p w14:paraId="0E4A3DA1" w14:textId="77777777" w:rsidR="00990B14" w:rsidRDefault="00000000">
            <w:pPr>
              <w:spacing w:before="20" w:after="20"/>
              <w:jc w:val="both"/>
            </w:pPr>
            <w:r>
              <w:rPr>
                <w:sz w:val="18"/>
                <w:szCs w:val="18"/>
              </w:rPr>
              <w:t>La respuesta es específica para cada riesgo.</w:t>
            </w:r>
          </w:p>
        </w:tc>
      </w:tr>
      <w:tr w:rsidR="00990B14" w14:paraId="78097F7A" w14:textId="77777777">
        <w:trPr>
          <w:cantSplit/>
          <w:jc w:val="center"/>
        </w:trPr>
        <w:tc>
          <w:tcPr>
            <w:tcW w:w="1490" w:type="dxa"/>
            <w:vMerge/>
            <w:shd w:val="clear" w:color="auto" w:fill="4472C4"/>
            <w:vAlign w:val="center"/>
          </w:tcPr>
          <w:p w14:paraId="7ABE4FD0" w14:textId="77777777" w:rsidR="00990B14" w:rsidRDefault="00990B14">
            <w:pPr>
              <w:spacing w:before="20" w:after="20"/>
            </w:pPr>
          </w:p>
        </w:tc>
        <w:tc>
          <w:tcPr>
            <w:tcW w:w="5835" w:type="dxa"/>
            <w:gridSpan w:val="3"/>
            <w:shd w:val="clear" w:color="auto" w:fill="D9E2F3"/>
            <w:vAlign w:val="center"/>
          </w:tcPr>
          <w:p w14:paraId="7208C6EF" w14:textId="77777777" w:rsidR="00990B14" w:rsidRDefault="00000000">
            <w:pPr>
              <w:keepNext/>
              <w:spacing w:before="20" w:after="20"/>
              <w:jc w:val="both"/>
            </w:pPr>
            <w:r>
              <w:rPr>
                <w:b/>
                <w:bCs/>
                <w:i/>
                <w:iCs/>
                <w:sz w:val="18"/>
                <w:szCs w:val="18"/>
              </w:rPr>
              <w:t xml:space="preserve">Producto 12: </w:t>
            </w:r>
            <w:r>
              <w:rPr>
                <w:sz w:val="18"/>
                <w:szCs w:val="18"/>
              </w:rPr>
              <w:t>Cuadro del enfoque para entidades menos complejas</w:t>
            </w:r>
          </w:p>
        </w:tc>
        <w:tc>
          <w:tcPr>
            <w:tcW w:w="2080" w:type="dxa"/>
            <w:shd w:val="clear" w:color="auto" w:fill="D9E2F3"/>
            <w:vAlign w:val="center"/>
          </w:tcPr>
          <w:p w14:paraId="55C4C013" w14:textId="77777777" w:rsidR="00990B14" w:rsidRDefault="00000000">
            <w:pPr>
              <w:spacing w:before="20" w:after="20"/>
              <w:jc w:val="center"/>
            </w:pPr>
            <w:r>
              <w:rPr>
                <w:b/>
                <w:bCs/>
                <w:sz w:val="18"/>
                <w:szCs w:val="18"/>
              </w:rPr>
              <w:t>2%</w:t>
            </w:r>
          </w:p>
        </w:tc>
      </w:tr>
      <w:tr w:rsidR="00990B14" w14:paraId="5277370F" w14:textId="77777777">
        <w:trPr>
          <w:cantSplit/>
          <w:jc w:val="center"/>
        </w:trPr>
        <w:tc>
          <w:tcPr>
            <w:tcW w:w="1490" w:type="dxa"/>
            <w:vMerge/>
            <w:shd w:val="clear" w:color="auto" w:fill="4472C4"/>
            <w:vAlign w:val="center"/>
          </w:tcPr>
          <w:p w14:paraId="1F6C5EB6" w14:textId="77777777" w:rsidR="00990B14" w:rsidRDefault="00990B14">
            <w:pPr>
              <w:spacing w:before="20" w:after="20"/>
            </w:pPr>
          </w:p>
        </w:tc>
        <w:tc>
          <w:tcPr>
            <w:tcW w:w="1910" w:type="dxa"/>
            <w:shd w:val="clear" w:color="auto" w:fill="4472C4"/>
            <w:vAlign w:val="center"/>
          </w:tcPr>
          <w:p w14:paraId="1B7A3B78"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3B482BC8"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5AC4728B" w14:textId="77777777" w:rsidR="00990B14" w:rsidRDefault="00000000">
            <w:pPr>
              <w:keepNext/>
              <w:spacing w:before="20" w:after="20"/>
              <w:jc w:val="center"/>
            </w:pPr>
            <w:r>
              <w:rPr>
                <w:b/>
                <w:bCs/>
                <w:i/>
                <w:iCs/>
                <w:color w:val="FFFFFF"/>
                <w:sz w:val="18"/>
                <w:szCs w:val="18"/>
              </w:rPr>
              <w:t>Suficiente (51–80)</w:t>
            </w:r>
          </w:p>
        </w:tc>
        <w:tc>
          <w:tcPr>
            <w:tcW w:w="2080" w:type="dxa"/>
            <w:shd w:val="clear" w:color="auto" w:fill="4472C4"/>
            <w:vAlign w:val="center"/>
          </w:tcPr>
          <w:p w14:paraId="3D6B2500" w14:textId="77777777" w:rsidR="00990B14" w:rsidRDefault="00000000">
            <w:pPr>
              <w:keepNext/>
              <w:spacing w:before="20" w:after="20"/>
              <w:jc w:val="center"/>
            </w:pPr>
            <w:r>
              <w:rPr>
                <w:b/>
                <w:bCs/>
                <w:i/>
                <w:iCs/>
                <w:color w:val="FFFFFF"/>
                <w:sz w:val="18"/>
                <w:szCs w:val="18"/>
              </w:rPr>
              <w:t>Destacado (81–100)</w:t>
            </w:r>
          </w:p>
        </w:tc>
      </w:tr>
      <w:tr w:rsidR="00990B14" w14:paraId="6E94E9F7" w14:textId="77777777">
        <w:trPr>
          <w:cantSplit/>
          <w:jc w:val="center"/>
        </w:trPr>
        <w:tc>
          <w:tcPr>
            <w:tcW w:w="1490" w:type="dxa"/>
            <w:vMerge/>
            <w:shd w:val="clear" w:color="auto" w:fill="4472C4"/>
            <w:vAlign w:val="center"/>
          </w:tcPr>
          <w:p w14:paraId="42880DEB" w14:textId="77777777" w:rsidR="00990B14" w:rsidRDefault="00990B14">
            <w:pPr>
              <w:spacing w:before="20" w:after="20"/>
            </w:pPr>
          </w:p>
        </w:tc>
        <w:tc>
          <w:tcPr>
            <w:tcW w:w="1910" w:type="dxa"/>
            <w:shd w:val="clear" w:color="auto" w:fill="D9E2F3"/>
            <w:vAlign w:val="center"/>
          </w:tcPr>
          <w:p w14:paraId="788AD78B" w14:textId="77777777" w:rsidR="00990B14" w:rsidRDefault="00000000">
            <w:pPr>
              <w:spacing w:before="20" w:after="20"/>
              <w:jc w:val="both"/>
            </w:pPr>
            <w:r>
              <w:rPr>
                <w:sz w:val="18"/>
                <w:szCs w:val="18"/>
              </w:rPr>
              <w:t>Características</w:t>
            </w:r>
          </w:p>
        </w:tc>
        <w:tc>
          <w:tcPr>
            <w:tcW w:w="2015" w:type="dxa"/>
            <w:shd w:val="clear" w:color="auto" w:fill="D9E2F3"/>
            <w:vAlign w:val="center"/>
          </w:tcPr>
          <w:p w14:paraId="017BF446" w14:textId="77777777" w:rsidR="00990B14" w:rsidRDefault="00000000">
            <w:pPr>
              <w:spacing w:before="20" w:after="20"/>
              <w:jc w:val="both"/>
            </w:pPr>
            <w:r>
              <w:rPr>
                <w:sz w:val="18"/>
                <w:szCs w:val="18"/>
              </w:rPr>
              <w:t>No las distingue.</w:t>
            </w:r>
          </w:p>
        </w:tc>
        <w:tc>
          <w:tcPr>
            <w:tcW w:w="1910" w:type="dxa"/>
            <w:shd w:val="clear" w:color="auto" w:fill="D9E2F3"/>
            <w:vAlign w:val="center"/>
          </w:tcPr>
          <w:p w14:paraId="0B56CFD0" w14:textId="77777777" w:rsidR="00990B14" w:rsidRDefault="00000000">
            <w:pPr>
              <w:spacing w:before="20" w:after="20"/>
              <w:jc w:val="both"/>
            </w:pPr>
            <w:r>
              <w:rPr>
                <w:sz w:val="18"/>
                <w:szCs w:val="18"/>
              </w:rPr>
              <w:t>Distingue las características de una entidad menos compleja.</w:t>
            </w:r>
          </w:p>
        </w:tc>
        <w:tc>
          <w:tcPr>
            <w:tcW w:w="2080" w:type="dxa"/>
            <w:shd w:val="clear" w:color="auto" w:fill="D9E2F3"/>
            <w:vAlign w:val="center"/>
          </w:tcPr>
          <w:p w14:paraId="1C6F22C0" w14:textId="77777777" w:rsidR="00990B14" w:rsidRDefault="00000000">
            <w:pPr>
              <w:spacing w:before="20" w:after="20"/>
              <w:jc w:val="both"/>
            </w:pPr>
            <w:r>
              <w:rPr>
                <w:sz w:val="18"/>
                <w:szCs w:val="18"/>
              </w:rPr>
              <w:t>Fundamenta la aplicabilidad de la norma específica.</w:t>
            </w:r>
          </w:p>
        </w:tc>
      </w:tr>
      <w:tr w:rsidR="00990B14" w14:paraId="47870379" w14:textId="77777777">
        <w:trPr>
          <w:cantSplit/>
          <w:jc w:val="center"/>
        </w:trPr>
        <w:tc>
          <w:tcPr>
            <w:tcW w:w="1490" w:type="dxa"/>
            <w:vMerge/>
            <w:shd w:val="clear" w:color="auto" w:fill="4472C4"/>
            <w:vAlign w:val="center"/>
          </w:tcPr>
          <w:p w14:paraId="61E0927D" w14:textId="77777777" w:rsidR="00990B14" w:rsidRDefault="00990B14">
            <w:pPr>
              <w:spacing w:before="20" w:after="20"/>
            </w:pPr>
          </w:p>
        </w:tc>
        <w:tc>
          <w:tcPr>
            <w:tcW w:w="1910" w:type="dxa"/>
            <w:shd w:val="clear" w:color="auto" w:fill="D9E2F3"/>
            <w:vAlign w:val="center"/>
          </w:tcPr>
          <w:p w14:paraId="7F60C143" w14:textId="77777777" w:rsidR="00990B14" w:rsidRDefault="00000000">
            <w:pPr>
              <w:spacing w:before="20" w:after="20"/>
              <w:jc w:val="both"/>
            </w:pPr>
            <w:r>
              <w:rPr>
                <w:sz w:val="18"/>
                <w:szCs w:val="18"/>
              </w:rPr>
              <w:t>Diferencias de enfoque</w:t>
            </w:r>
          </w:p>
        </w:tc>
        <w:tc>
          <w:tcPr>
            <w:tcW w:w="2015" w:type="dxa"/>
            <w:shd w:val="clear" w:color="auto" w:fill="D9E2F3"/>
            <w:vAlign w:val="center"/>
          </w:tcPr>
          <w:p w14:paraId="3DE33135" w14:textId="77777777" w:rsidR="00990B14" w:rsidRDefault="00000000">
            <w:pPr>
              <w:spacing w:before="20" w:after="20"/>
              <w:jc w:val="both"/>
            </w:pPr>
            <w:r>
              <w:rPr>
                <w:sz w:val="18"/>
                <w:szCs w:val="18"/>
              </w:rPr>
              <w:t>Presenta diferencias imprecisas.</w:t>
            </w:r>
          </w:p>
        </w:tc>
        <w:tc>
          <w:tcPr>
            <w:tcW w:w="1910" w:type="dxa"/>
            <w:shd w:val="clear" w:color="auto" w:fill="D9E2F3"/>
            <w:vAlign w:val="center"/>
          </w:tcPr>
          <w:p w14:paraId="4FE3A07C" w14:textId="77777777" w:rsidR="00990B14" w:rsidRDefault="00000000">
            <w:pPr>
              <w:spacing w:before="20" w:after="20"/>
              <w:jc w:val="both"/>
            </w:pPr>
            <w:r>
              <w:rPr>
                <w:sz w:val="18"/>
                <w:szCs w:val="18"/>
              </w:rPr>
              <w:t>Presenta las diferencias de enfoque.</w:t>
            </w:r>
          </w:p>
        </w:tc>
        <w:tc>
          <w:tcPr>
            <w:tcW w:w="2080" w:type="dxa"/>
            <w:shd w:val="clear" w:color="auto" w:fill="D9E2F3"/>
            <w:vAlign w:val="center"/>
          </w:tcPr>
          <w:p w14:paraId="6A9093E7" w14:textId="77777777" w:rsidR="00990B14" w:rsidRDefault="00000000">
            <w:pPr>
              <w:spacing w:before="20" w:after="20"/>
              <w:jc w:val="both"/>
            </w:pPr>
            <w:r>
              <w:rPr>
                <w:sz w:val="18"/>
                <w:szCs w:val="18"/>
              </w:rPr>
              <w:t>Explica su efecto en la documentación.</w:t>
            </w:r>
          </w:p>
        </w:tc>
      </w:tr>
      <w:tr w:rsidR="00990B14" w14:paraId="257E34E0" w14:textId="77777777">
        <w:trPr>
          <w:cantSplit/>
          <w:jc w:val="center"/>
        </w:trPr>
        <w:tc>
          <w:tcPr>
            <w:tcW w:w="1490" w:type="dxa"/>
            <w:vMerge/>
            <w:shd w:val="clear" w:color="auto" w:fill="4472C4"/>
            <w:vAlign w:val="center"/>
          </w:tcPr>
          <w:p w14:paraId="219D0AC8" w14:textId="77777777" w:rsidR="00990B14" w:rsidRDefault="00990B14">
            <w:pPr>
              <w:spacing w:before="20" w:after="20"/>
            </w:pPr>
          </w:p>
        </w:tc>
        <w:tc>
          <w:tcPr>
            <w:tcW w:w="1910" w:type="dxa"/>
            <w:shd w:val="clear" w:color="auto" w:fill="D9E2F3"/>
            <w:vAlign w:val="center"/>
          </w:tcPr>
          <w:p w14:paraId="20B35B9F" w14:textId="77777777" w:rsidR="00990B14" w:rsidRDefault="00000000">
            <w:pPr>
              <w:spacing w:before="20" w:after="20"/>
              <w:jc w:val="both"/>
            </w:pPr>
            <w:r>
              <w:rPr>
                <w:sz w:val="18"/>
                <w:szCs w:val="18"/>
              </w:rPr>
              <w:t>Trabajo en equipo</w:t>
            </w:r>
          </w:p>
        </w:tc>
        <w:tc>
          <w:tcPr>
            <w:tcW w:w="2015" w:type="dxa"/>
            <w:shd w:val="clear" w:color="auto" w:fill="D9E2F3"/>
            <w:vAlign w:val="center"/>
          </w:tcPr>
          <w:p w14:paraId="1BCEA8BF" w14:textId="77777777" w:rsidR="00990B14" w:rsidRDefault="00000000">
            <w:pPr>
              <w:spacing w:before="20" w:after="20"/>
              <w:jc w:val="both"/>
            </w:pPr>
            <w:r>
              <w:rPr>
                <w:sz w:val="18"/>
                <w:szCs w:val="18"/>
              </w:rPr>
              <w:t>La participación es desigual.</w:t>
            </w:r>
          </w:p>
        </w:tc>
        <w:tc>
          <w:tcPr>
            <w:tcW w:w="1910" w:type="dxa"/>
            <w:shd w:val="clear" w:color="auto" w:fill="D9E2F3"/>
            <w:vAlign w:val="center"/>
          </w:tcPr>
          <w:p w14:paraId="622C73E3" w14:textId="77777777" w:rsidR="00990B14" w:rsidRDefault="00000000">
            <w:pPr>
              <w:spacing w:before="20" w:after="20"/>
              <w:jc w:val="both"/>
            </w:pPr>
            <w:r>
              <w:rPr>
                <w:sz w:val="18"/>
                <w:szCs w:val="18"/>
              </w:rPr>
              <w:t>Todos los integrantes participan.</w:t>
            </w:r>
          </w:p>
        </w:tc>
        <w:tc>
          <w:tcPr>
            <w:tcW w:w="2080" w:type="dxa"/>
            <w:shd w:val="clear" w:color="auto" w:fill="D9E2F3"/>
            <w:vAlign w:val="center"/>
          </w:tcPr>
          <w:p w14:paraId="5E66B6C3" w14:textId="77777777" w:rsidR="00990B14" w:rsidRDefault="00000000">
            <w:pPr>
              <w:spacing w:before="20" w:after="20"/>
              <w:jc w:val="both"/>
            </w:pPr>
            <w:r>
              <w:rPr>
                <w:sz w:val="18"/>
                <w:szCs w:val="18"/>
              </w:rPr>
              <w:t>El equipo resuelve los casos dudosos con argumentos técnicos.</w:t>
            </w:r>
          </w:p>
        </w:tc>
      </w:tr>
      <w:tr w:rsidR="00990B14" w14:paraId="31E20B4A" w14:textId="77777777">
        <w:trPr>
          <w:cantSplit/>
          <w:jc w:val="center"/>
        </w:trPr>
        <w:tc>
          <w:tcPr>
            <w:tcW w:w="1490" w:type="dxa"/>
            <w:vMerge/>
            <w:shd w:val="clear" w:color="auto" w:fill="4472C4"/>
            <w:vAlign w:val="center"/>
          </w:tcPr>
          <w:p w14:paraId="75BF4DA3" w14:textId="77777777" w:rsidR="00990B14" w:rsidRDefault="00990B14">
            <w:pPr>
              <w:spacing w:before="20" w:after="20"/>
            </w:pPr>
          </w:p>
        </w:tc>
        <w:tc>
          <w:tcPr>
            <w:tcW w:w="5835" w:type="dxa"/>
            <w:gridSpan w:val="3"/>
            <w:shd w:val="clear" w:color="auto" w:fill="D9E2F3"/>
            <w:vAlign w:val="center"/>
          </w:tcPr>
          <w:p w14:paraId="4712655E" w14:textId="77777777" w:rsidR="00990B14" w:rsidRDefault="00000000">
            <w:pPr>
              <w:keepNext/>
              <w:spacing w:before="20" w:after="20"/>
              <w:jc w:val="both"/>
            </w:pPr>
            <w:r>
              <w:rPr>
                <w:b/>
                <w:bCs/>
                <w:i/>
                <w:iCs/>
                <w:sz w:val="18"/>
                <w:szCs w:val="18"/>
              </w:rPr>
              <w:t xml:space="preserve">Producto 13: </w:t>
            </w:r>
            <w:r>
              <w:rPr>
                <w:sz w:val="18"/>
                <w:szCs w:val="18"/>
              </w:rPr>
              <w:t>Papeles de trabajo de aceptación y entendimiento de la entidad</w:t>
            </w:r>
          </w:p>
        </w:tc>
        <w:tc>
          <w:tcPr>
            <w:tcW w:w="2080" w:type="dxa"/>
            <w:shd w:val="clear" w:color="auto" w:fill="D9E2F3"/>
            <w:vAlign w:val="center"/>
          </w:tcPr>
          <w:p w14:paraId="27C7AA6E" w14:textId="77777777" w:rsidR="00990B14" w:rsidRDefault="00000000">
            <w:pPr>
              <w:spacing w:before="20" w:after="20"/>
              <w:jc w:val="center"/>
            </w:pPr>
            <w:r>
              <w:rPr>
                <w:b/>
                <w:bCs/>
                <w:sz w:val="18"/>
                <w:szCs w:val="18"/>
              </w:rPr>
              <w:t>9%</w:t>
            </w:r>
          </w:p>
        </w:tc>
      </w:tr>
      <w:tr w:rsidR="00990B14" w14:paraId="2D359179" w14:textId="77777777">
        <w:trPr>
          <w:cantSplit/>
          <w:jc w:val="center"/>
        </w:trPr>
        <w:tc>
          <w:tcPr>
            <w:tcW w:w="1490" w:type="dxa"/>
            <w:vMerge/>
            <w:shd w:val="clear" w:color="auto" w:fill="4472C4"/>
            <w:vAlign w:val="center"/>
          </w:tcPr>
          <w:p w14:paraId="47D7DABE" w14:textId="77777777" w:rsidR="00990B14" w:rsidRDefault="00990B14">
            <w:pPr>
              <w:spacing w:before="20" w:after="20"/>
            </w:pPr>
          </w:p>
        </w:tc>
        <w:tc>
          <w:tcPr>
            <w:tcW w:w="1910" w:type="dxa"/>
            <w:shd w:val="clear" w:color="auto" w:fill="4472C4"/>
            <w:vAlign w:val="center"/>
          </w:tcPr>
          <w:p w14:paraId="3EEF8217"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055E88BF"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16B0B971" w14:textId="77777777" w:rsidR="00990B14" w:rsidRDefault="00000000">
            <w:pPr>
              <w:keepNext/>
              <w:spacing w:before="20" w:after="20"/>
              <w:jc w:val="center"/>
            </w:pPr>
            <w:r>
              <w:rPr>
                <w:b/>
                <w:bCs/>
                <w:i/>
                <w:iCs/>
                <w:color w:val="FFFFFF"/>
                <w:sz w:val="18"/>
                <w:szCs w:val="18"/>
              </w:rPr>
              <w:t>Suficiente (51–80)</w:t>
            </w:r>
          </w:p>
        </w:tc>
        <w:tc>
          <w:tcPr>
            <w:tcW w:w="2080" w:type="dxa"/>
            <w:shd w:val="clear" w:color="auto" w:fill="4472C4"/>
            <w:vAlign w:val="center"/>
          </w:tcPr>
          <w:p w14:paraId="14C6E46B" w14:textId="77777777" w:rsidR="00990B14" w:rsidRDefault="00000000">
            <w:pPr>
              <w:keepNext/>
              <w:spacing w:before="20" w:after="20"/>
              <w:jc w:val="center"/>
            </w:pPr>
            <w:r>
              <w:rPr>
                <w:b/>
                <w:bCs/>
                <w:i/>
                <w:iCs/>
                <w:color w:val="FFFFFF"/>
                <w:sz w:val="18"/>
                <w:szCs w:val="18"/>
              </w:rPr>
              <w:t>Destacado (81–100)</w:t>
            </w:r>
          </w:p>
        </w:tc>
      </w:tr>
      <w:tr w:rsidR="00990B14" w14:paraId="3BCAB341" w14:textId="77777777">
        <w:trPr>
          <w:cantSplit/>
          <w:jc w:val="center"/>
        </w:trPr>
        <w:tc>
          <w:tcPr>
            <w:tcW w:w="1490" w:type="dxa"/>
            <w:vMerge/>
            <w:shd w:val="clear" w:color="auto" w:fill="4472C4"/>
            <w:vAlign w:val="center"/>
          </w:tcPr>
          <w:p w14:paraId="7B1A9610" w14:textId="77777777" w:rsidR="00990B14" w:rsidRDefault="00990B14">
            <w:pPr>
              <w:spacing w:before="20" w:after="20"/>
            </w:pPr>
          </w:p>
        </w:tc>
        <w:tc>
          <w:tcPr>
            <w:tcW w:w="1910" w:type="dxa"/>
            <w:shd w:val="clear" w:color="auto" w:fill="D9E2F3"/>
            <w:vAlign w:val="center"/>
          </w:tcPr>
          <w:p w14:paraId="45FBCC1D" w14:textId="77777777" w:rsidR="00990B14" w:rsidRDefault="00000000">
            <w:pPr>
              <w:spacing w:before="20" w:after="20"/>
              <w:jc w:val="both"/>
            </w:pPr>
            <w:r>
              <w:rPr>
                <w:sz w:val="18"/>
                <w:szCs w:val="18"/>
              </w:rPr>
              <w:t>Aceptación del encargo</w:t>
            </w:r>
          </w:p>
        </w:tc>
        <w:tc>
          <w:tcPr>
            <w:tcW w:w="2015" w:type="dxa"/>
            <w:shd w:val="clear" w:color="auto" w:fill="D9E2F3"/>
            <w:vAlign w:val="center"/>
          </w:tcPr>
          <w:p w14:paraId="67D24861" w14:textId="77777777" w:rsidR="00990B14" w:rsidRDefault="00000000">
            <w:pPr>
              <w:spacing w:before="20" w:after="20"/>
              <w:jc w:val="both"/>
            </w:pPr>
            <w:r>
              <w:rPr>
                <w:sz w:val="18"/>
                <w:szCs w:val="18"/>
              </w:rPr>
              <w:t>Omite la evaluación del cliente.</w:t>
            </w:r>
          </w:p>
        </w:tc>
        <w:tc>
          <w:tcPr>
            <w:tcW w:w="1910" w:type="dxa"/>
            <w:shd w:val="clear" w:color="auto" w:fill="D9E2F3"/>
            <w:vAlign w:val="center"/>
          </w:tcPr>
          <w:p w14:paraId="092F94E6" w14:textId="77777777" w:rsidR="00990B14" w:rsidRDefault="00000000">
            <w:pPr>
              <w:spacing w:before="20" w:after="20"/>
              <w:jc w:val="both"/>
            </w:pPr>
            <w:r>
              <w:rPr>
                <w:sz w:val="18"/>
                <w:szCs w:val="18"/>
              </w:rPr>
              <w:t>Evalúa el cliente, la independencia y la carta de compromiso.</w:t>
            </w:r>
          </w:p>
        </w:tc>
        <w:tc>
          <w:tcPr>
            <w:tcW w:w="2080" w:type="dxa"/>
            <w:shd w:val="clear" w:color="auto" w:fill="D9E2F3"/>
            <w:vAlign w:val="center"/>
          </w:tcPr>
          <w:p w14:paraId="016FDF00" w14:textId="77777777" w:rsidR="00990B14" w:rsidRDefault="00000000">
            <w:pPr>
              <w:spacing w:before="20" w:after="20"/>
              <w:jc w:val="both"/>
            </w:pPr>
            <w:r>
              <w:rPr>
                <w:sz w:val="18"/>
                <w:szCs w:val="18"/>
              </w:rPr>
              <w:t>Documenta la decisión con su fundamento.</w:t>
            </w:r>
          </w:p>
        </w:tc>
      </w:tr>
      <w:tr w:rsidR="00990B14" w14:paraId="62781EA0" w14:textId="77777777">
        <w:trPr>
          <w:cantSplit/>
          <w:jc w:val="center"/>
        </w:trPr>
        <w:tc>
          <w:tcPr>
            <w:tcW w:w="1490" w:type="dxa"/>
            <w:vMerge/>
            <w:shd w:val="clear" w:color="auto" w:fill="4472C4"/>
            <w:vAlign w:val="center"/>
          </w:tcPr>
          <w:p w14:paraId="6A4B9D8D" w14:textId="77777777" w:rsidR="00990B14" w:rsidRDefault="00990B14">
            <w:pPr>
              <w:spacing w:before="20" w:after="20"/>
            </w:pPr>
          </w:p>
        </w:tc>
        <w:tc>
          <w:tcPr>
            <w:tcW w:w="1910" w:type="dxa"/>
            <w:shd w:val="clear" w:color="auto" w:fill="D9E2F3"/>
            <w:vAlign w:val="center"/>
          </w:tcPr>
          <w:p w14:paraId="71E826D3" w14:textId="77777777" w:rsidR="00990B14" w:rsidRDefault="00000000">
            <w:pPr>
              <w:spacing w:before="20" w:after="20"/>
              <w:jc w:val="both"/>
            </w:pPr>
            <w:r>
              <w:rPr>
                <w:sz w:val="18"/>
                <w:szCs w:val="18"/>
              </w:rPr>
              <w:t>Entendimiento de la entidad</w:t>
            </w:r>
          </w:p>
        </w:tc>
        <w:tc>
          <w:tcPr>
            <w:tcW w:w="2015" w:type="dxa"/>
            <w:shd w:val="clear" w:color="auto" w:fill="D9E2F3"/>
            <w:vAlign w:val="center"/>
          </w:tcPr>
          <w:p w14:paraId="72266F79" w14:textId="77777777" w:rsidR="00990B14" w:rsidRDefault="00000000">
            <w:pPr>
              <w:spacing w:before="20" w:after="20"/>
              <w:jc w:val="both"/>
            </w:pPr>
            <w:r>
              <w:rPr>
                <w:sz w:val="18"/>
                <w:szCs w:val="18"/>
              </w:rPr>
              <w:t>El entendimiento es superficial.</w:t>
            </w:r>
          </w:p>
        </w:tc>
        <w:tc>
          <w:tcPr>
            <w:tcW w:w="1910" w:type="dxa"/>
            <w:shd w:val="clear" w:color="auto" w:fill="D9E2F3"/>
            <w:vAlign w:val="center"/>
          </w:tcPr>
          <w:p w14:paraId="478F7ADB" w14:textId="77777777" w:rsidR="00990B14" w:rsidRDefault="00000000">
            <w:pPr>
              <w:spacing w:before="20" w:after="20"/>
              <w:jc w:val="both"/>
            </w:pPr>
            <w:r>
              <w:rPr>
                <w:sz w:val="18"/>
                <w:szCs w:val="18"/>
              </w:rPr>
              <w:t>Aplica el anexo 1 de la NIA 315.</w:t>
            </w:r>
          </w:p>
        </w:tc>
        <w:tc>
          <w:tcPr>
            <w:tcW w:w="2080" w:type="dxa"/>
            <w:shd w:val="clear" w:color="auto" w:fill="D9E2F3"/>
            <w:vAlign w:val="center"/>
          </w:tcPr>
          <w:p w14:paraId="6668EDCF" w14:textId="77777777" w:rsidR="00990B14" w:rsidRDefault="00000000">
            <w:pPr>
              <w:spacing w:before="20" w:after="20"/>
              <w:jc w:val="both"/>
            </w:pPr>
            <w:r>
              <w:rPr>
                <w:sz w:val="18"/>
                <w:szCs w:val="18"/>
              </w:rPr>
              <w:t>Relaciona el entendimiento con los riesgos identificados.</w:t>
            </w:r>
          </w:p>
        </w:tc>
      </w:tr>
      <w:tr w:rsidR="00990B14" w14:paraId="3302F0C5" w14:textId="77777777">
        <w:trPr>
          <w:cantSplit/>
          <w:jc w:val="center"/>
        </w:trPr>
        <w:tc>
          <w:tcPr>
            <w:tcW w:w="1490" w:type="dxa"/>
            <w:vMerge/>
            <w:shd w:val="clear" w:color="auto" w:fill="4472C4"/>
            <w:vAlign w:val="center"/>
          </w:tcPr>
          <w:p w14:paraId="353BC6B4" w14:textId="77777777" w:rsidR="00990B14" w:rsidRDefault="00990B14">
            <w:pPr>
              <w:spacing w:before="20" w:after="20"/>
            </w:pPr>
          </w:p>
        </w:tc>
        <w:tc>
          <w:tcPr>
            <w:tcW w:w="1910" w:type="dxa"/>
            <w:shd w:val="clear" w:color="auto" w:fill="D9E2F3"/>
            <w:vAlign w:val="center"/>
          </w:tcPr>
          <w:p w14:paraId="5142B46B" w14:textId="77777777" w:rsidR="00990B14" w:rsidRDefault="00000000">
            <w:pPr>
              <w:spacing w:before="20" w:after="20"/>
              <w:jc w:val="both"/>
            </w:pPr>
            <w:r>
              <w:rPr>
                <w:sz w:val="18"/>
                <w:szCs w:val="18"/>
              </w:rPr>
              <w:t>Documentación</w:t>
            </w:r>
          </w:p>
        </w:tc>
        <w:tc>
          <w:tcPr>
            <w:tcW w:w="2015" w:type="dxa"/>
            <w:shd w:val="clear" w:color="auto" w:fill="D9E2F3"/>
            <w:vAlign w:val="center"/>
          </w:tcPr>
          <w:p w14:paraId="07103C39" w14:textId="77777777" w:rsidR="00990B14" w:rsidRDefault="00000000">
            <w:pPr>
              <w:spacing w:before="20" w:after="20"/>
              <w:jc w:val="both"/>
            </w:pPr>
            <w:r>
              <w:rPr>
                <w:sz w:val="18"/>
                <w:szCs w:val="18"/>
              </w:rPr>
              <w:t>Los papeles no están referenciados.</w:t>
            </w:r>
          </w:p>
        </w:tc>
        <w:tc>
          <w:tcPr>
            <w:tcW w:w="1910" w:type="dxa"/>
            <w:shd w:val="clear" w:color="auto" w:fill="D9E2F3"/>
            <w:vAlign w:val="center"/>
          </w:tcPr>
          <w:p w14:paraId="14E317E6" w14:textId="77777777" w:rsidR="00990B14" w:rsidRDefault="00000000">
            <w:pPr>
              <w:spacing w:before="20" w:after="20"/>
              <w:jc w:val="both"/>
            </w:pPr>
            <w:r>
              <w:rPr>
                <w:sz w:val="18"/>
                <w:szCs w:val="18"/>
              </w:rPr>
              <w:t>Los papeles están referenciados.</w:t>
            </w:r>
          </w:p>
        </w:tc>
        <w:tc>
          <w:tcPr>
            <w:tcW w:w="2080" w:type="dxa"/>
            <w:shd w:val="clear" w:color="auto" w:fill="D9E2F3"/>
            <w:vAlign w:val="center"/>
          </w:tcPr>
          <w:p w14:paraId="67188714" w14:textId="77777777" w:rsidR="00990B14" w:rsidRDefault="00000000">
            <w:pPr>
              <w:spacing w:before="20" w:after="20"/>
              <w:jc w:val="both"/>
            </w:pPr>
            <w:r>
              <w:rPr>
                <w:sz w:val="18"/>
                <w:szCs w:val="18"/>
              </w:rPr>
              <w:t>Los papeles cumplen la forma y el contenido exigidos.</w:t>
            </w:r>
          </w:p>
        </w:tc>
      </w:tr>
      <w:tr w:rsidR="00990B14" w14:paraId="68859319" w14:textId="77777777">
        <w:trPr>
          <w:cantSplit/>
          <w:jc w:val="center"/>
        </w:trPr>
        <w:tc>
          <w:tcPr>
            <w:tcW w:w="1490" w:type="dxa"/>
            <w:vMerge/>
            <w:shd w:val="clear" w:color="auto" w:fill="4472C4"/>
            <w:vAlign w:val="center"/>
          </w:tcPr>
          <w:p w14:paraId="12DB7BA1" w14:textId="77777777" w:rsidR="00990B14" w:rsidRDefault="00990B14">
            <w:pPr>
              <w:spacing w:before="20" w:after="20"/>
            </w:pPr>
          </w:p>
        </w:tc>
        <w:tc>
          <w:tcPr>
            <w:tcW w:w="5835" w:type="dxa"/>
            <w:gridSpan w:val="3"/>
            <w:shd w:val="clear" w:color="auto" w:fill="D9E2F3"/>
            <w:vAlign w:val="center"/>
          </w:tcPr>
          <w:p w14:paraId="09227C99" w14:textId="77777777" w:rsidR="00990B14" w:rsidRDefault="00000000">
            <w:pPr>
              <w:keepNext/>
              <w:spacing w:before="20" w:after="20"/>
              <w:jc w:val="both"/>
            </w:pPr>
            <w:r>
              <w:rPr>
                <w:b/>
                <w:bCs/>
                <w:i/>
                <w:iCs/>
                <w:sz w:val="18"/>
                <w:szCs w:val="18"/>
              </w:rPr>
              <w:t xml:space="preserve">Producto 14: </w:t>
            </w:r>
            <w:r>
              <w:rPr>
                <w:sz w:val="18"/>
                <w:szCs w:val="18"/>
              </w:rPr>
              <w:t>Flujograma y matriz de riesgos y controles</w:t>
            </w:r>
          </w:p>
        </w:tc>
        <w:tc>
          <w:tcPr>
            <w:tcW w:w="2080" w:type="dxa"/>
            <w:shd w:val="clear" w:color="auto" w:fill="D9E2F3"/>
            <w:vAlign w:val="center"/>
          </w:tcPr>
          <w:p w14:paraId="0B12BA66" w14:textId="77777777" w:rsidR="00990B14" w:rsidRDefault="00000000">
            <w:pPr>
              <w:spacing w:before="20" w:after="20"/>
              <w:jc w:val="center"/>
            </w:pPr>
            <w:r>
              <w:rPr>
                <w:b/>
                <w:bCs/>
                <w:sz w:val="18"/>
                <w:szCs w:val="18"/>
              </w:rPr>
              <w:t>9%</w:t>
            </w:r>
          </w:p>
        </w:tc>
      </w:tr>
      <w:tr w:rsidR="00990B14" w14:paraId="25463CF3" w14:textId="77777777">
        <w:trPr>
          <w:cantSplit/>
          <w:jc w:val="center"/>
        </w:trPr>
        <w:tc>
          <w:tcPr>
            <w:tcW w:w="1490" w:type="dxa"/>
            <w:vMerge/>
            <w:shd w:val="clear" w:color="auto" w:fill="4472C4"/>
            <w:vAlign w:val="center"/>
          </w:tcPr>
          <w:p w14:paraId="67692130" w14:textId="77777777" w:rsidR="00990B14" w:rsidRDefault="00990B14">
            <w:pPr>
              <w:spacing w:before="20" w:after="20"/>
            </w:pPr>
          </w:p>
        </w:tc>
        <w:tc>
          <w:tcPr>
            <w:tcW w:w="1910" w:type="dxa"/>
            <w:shd w:val="clear" w:color="auto" w:fill="4472C4"/>
            <w:vAlign w:val="center"/>
          </w:tcPr>
          <w:p w14:paraId="472B18FC"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5B6A60A0"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1B09B53E" w14:textId="77777777" w:rsidR="00990B14" w:rsidRDefault="00000000">
            <w:pPr>
              <w:keepNext/>
              <w:spacing w:before="20" w:after="20"/>
              <w:jc w:val="center"/>
            </w:pPr>
            <w:r>
              <w:rPr>
                <w:b/>
                <w:bCs/>
                <w:i/>
                <w:iCs/>
                <w:color w:val="FFFFFF"/>
                <w:sz w:val="18"/>
                <w:szCs w:val="18"/>
              </w:rPr>
              <w:t>Suficiente (51–80)</w:t>
            </w:r>
          </w:p>
        </w:tc>
        <w:tc>
          <w:tcPr>
            <w:tcW w:w="2080" w:type="dxa"/>
            <w:shd w:val="clear" w:color="auto" w:fill="4472C4"/>
            <w:vAlign w:val="center"/>
          </w:tcPr>
          <w:p w14:paraId="5E7ABA34" w14:textId="77777777" w:rsidR="00990B14" w:rsidRDefault="00000000">
            <w:pPr>
              <w:keepNext/>
              <w:spacing w:before="20" w:after="20"/>
              <w:jc w:val="center"/>
            </w:pPr>
            <w:r>
              <w:rPr>
                <w:b/>
                <w:bCs/>
                <w:i/>
                <w:iCs/>
                <w:color w:val="FFFFFF"/>
                <w:sz w:val="18"/>
                <w:szCs w:val="18"/>
              </w:rPr>
              <w:t>Destacado (81–100)</w:t>
            </w:r>
          </w:p>
        </w:tc>
      </w:tr>
      <w:tr w:rsidR="00990B14" w14:paraId="37079D54" w14:textId="77777777">
        <w:trPr>
          <w:cantSplit/>
          <w:jc w:val="center"/>
        </w:trPr>
        <w:tc>
          <w:tcPr>
            <w:tcW w:w="1490" w:type="dxa"/>
            <w:vMerge/>
            <w:shd w:val="clear" w:color="auto" w:fill="4472C4"/>
            <w:vAlign w:val="center"/>
          </w:tcPr>
          <w:p w14:paraId="129D0AE0" w14:textId="77777777" w:rsidR="00990B14" w:rsidRDefault="00990B14">
            <w:pPr>
              <w:spacing w:before="20" w:after="20"/>
            </w:pPr>
          </w:p>
        </w:tc>
        <w:tc>
          <w:tcPr>
            <w:tcW w:w="1910" w:type="dxa"/>
            <w:shd w:val="clear" w:color="auto" w:fill="D9E2F3"/>
            <w:vAlign w:val="center"/>
          </w:tcPr>
          <w:p w14:paraId="2DB6E9A0" w14:textId="77777777" w:rsidR="00990B14" w:rsidRDefault="00000000">
            <w:pPr>
              <w:spacing w:before="20" w:after="20"/>
              <w:jc w:val="both"/>
            </w:pPr>
            <w:r>
              <w:rPr>
                <w:sz w:val="18"/>
                <w:szCs w:val="18"/>
              </w:rPr>
              <w:t>Flujograma</w:t>
            </w:r>
          </w:p>
        </w:tc>
        <w:tc>
          <w:tcPr>
            <w:tcW w:w="2015" w:type="dxa"/>
            <w:shd w:val="clear" w:color="auto" w:fill="D9E2F3"/>
            <w:vAlign w:val="center"/>
          </w:tcPr>
          <w:p w14:paraId="5D2D6615" w14:textId="77777777" w:rsidR="00990B14" w:rsidRDefault="00000000">
            <w:pPr>
              <w:spacing w:before="20" w:after="20"/>
              <w:jc w:val="both"/>
            </w:pPr>
            <w:r>
              <w:rPr>
                <w:sz w:val="18"/>
                <w:szCs w:val="18"/>
              </w:rPr>
              <w:t>El flujograma omite pasos.</w:t>
            </w:r>
          </w:p>
        </w:tc>
        <w:tc>
          <w:tcPr>
            <w:tcW w:w="1910" w:type="dxa"/>
            <w:shd w:val="clear" w:color="auto" w:fill="D9E2F3"/>
            <w:vAlign w:val="center"/>
          </w:tcPr>
          <w:p w14:paraId="31B20DFE" w14:textId="77777777" w:rsidR="00990B14" w:rsidRDefault="00000000">
            <w:pPr>
              <w:spacing w:before="20" w:after="20"/>
              <w:jc w:val="both"/>
            </w:pPr>
            <w:r>
              <w:rPr>
                <w:sz w:val="18"/>
                <w:szCs w:val="18"/>
              </w:rPr>
              <w:t>Representa el proceso completo.</w:t>
            </w:r>
          </w:p>
        </w:tc>
        <w:tc>
          <w:tcPr>
            <w:tcW w:w="2080" w:type="dxa"/>
            <w:shd w:val="clear" w:color="auto" w:fill="D9E2F3"/>
            <w:vAlign w:val="center"/>
          </w:tcPr>
          <w:p w14:paraId="16CFA55D" w14:textId="77777777" w:rsidR="00990B14" w:rsidRDefault="00000000">
            <w:pPr>
              <w:spacing w:before="20" w:after="20"/>
              <w:jc w:val="both"/>
            </w:pPr>
            <w:r>
              <w:rPr>
                <w:sz w:val="18"/>
                <w:szCs w:val="18"/>
              </w:rPr>
              <w:t>Identifica la información preparada por la entidad.</w:t>
            </w:r>
          </w:p>
        </w:tc>
      </w:tr>
      <w:tr w:rsidR="00990B14" w14:paraId="4BA4C57A" w14:textId="77777777">
        <w:trPr>
          <w:cantSplit/>
          <w:jc w:val="center"/>
        </w:trPr>
        <w:tc>
          <w:tcPr>
            <w:tcW w:w="1490" w:type="dxa"/>
            <w:vMerge/>
            <w:shd w:val="clear" w:color="auto" w:fill="4472C4"/>
            <w:vAlign w:val="center"/>
          </w:tcPr>
          <w:p w14:paraId="3A2B705D" w14:textId="77777777" w:rsidR="00990B14" w:rsidRDefault="00990B14">
            <w:pPr>
              <w:spacing w:before="20" w:after="20"/>
            </w:pPr>
          </w:p>
        </w:tc>
        <w:tc>
          <w:tcPr>
            <w:tcW w:w="1910" w:type="dxa"/>
            <w:shd w:val="clear" w:color="auto" w:fill="D9E2F3"/>
            <w:vAlign w:val="center"/>
          </w:tcPr>
          <w:p w14:paraId="2F827940" w14:textId="77777777" w:rsidR="00990B14" w:rsidRDefault="00000000">
            <w:pPr>
              <w:spacing w:before="20" w:after="20"/>
              <w:jc w:val="both"/>
            </w:pPr>
            <w:r>
              <w:rPr>
                <w:sz w:val="18"/>
                <w:szCs w:val="18"/>
              </w:rPr>
              <w:t>Riesgos y controles</w:t>
            </w:r>
          </w:p>
        </w:tc>
        <w:tc>
          <w:tcPr>
            <w:tcW w:w="2015" w:type="dxa"/>
            <w:shd w:val="clear" w:color="auto" w:fill="D9E2F3"/>
            <w:vAlign w:val="center"/>
          </w:tcPr>
          <w:p w14:paraId="3B726172" w14:textId="77777777" w:rsidR="00990B14" w:rsidRDefault="00000000">
            <w:pPr>
              <w:spacing w:before="20" w:after="20"/>
              <w:jc w:val="both"/>
            </w:pPr>
            <w:r>
              <w:rPr>
                <w:sz w:val="18"/>
                <w:szCs w:val="18"/>
              </w:rPr>
              <w:t>No asocia controles a los riesgos.</w:t>
            </w:r>
          </w:p>
        </w:tc>
        <w:tc>
          <w:tcPr>
            <w:tcW w:w="1910" w:type="dxa"/>
            <w:shd w:val="clear" w:color="auto" w:fill="D9E2F3"/>
            <w:vAlign w:val="center"/>
          </w:tcPr>
          <w:p w14:paraId="2E111A0C" w14:textId="77777777" w:rsidR="00990B14" w:rsidRDefault="00000000">
            <w:pPr>
              <w:spacing w:before="20" w:after="20"/>
              <w:jc w:val="both"/>
            </w:pPr>
            <w:r>
              <w:rPr>
                <w:sz w:val="18"/>
                <w:szCs w:val="18"/>
              </w:rPr>
              <w:t>Asocia los controles a cada riesgo.</w:t>
            </w:r>
          </w:p>
        </w:tc>
        <w:tc>
          <w:tcPr>
            <w:tcW w:w="2080" w:type="dxa"/>
            <w:shd w:val="clear" w:color="auto" w:fill="D9E2F3"/>
            <w:vAlign w:val="center"/>
          </w:tcPr>
          <w:p w14:paraId="61210AB6" w14:textId="77777777" w:rsidR="00990B14" w:rsidRDefault="00000000">
            <w:pPr>
              <w:spacing w:before="20" w:after="20"/>
              <w:jc w:val="both"/>
            </w:pPr>
            <w:r>
              <w:rPr>
                <w:sz w:val="18"/>
                <w:szCs w:val="18"/>
              </w:rPr>
              <w:t>Distingue controles manuales, automatizados y generales de TI.</w:t>
            </w:r>
          </w:p>
        </w:tc>
      </w:tr>
      <w:tr w:rsidR="00990B14" w14:paraId="059F102D" w14:textId="77777777">
        <w:trPr>
          <w:cantSplit/>
          <w:jc w:val="center"/>
        </w:trPr>
        <w:tc>
          <w:tcPr>
            <w:tcW w:w="1490" w:type="dxa"/>
            <w:vMerge/>
            <w:shd w:val="clear" w:color="auto" w:fill="4472C4"/>
            <w:vAlign w:val="center"/>
          </w:tcPr>
          <w:p w14:paraId="0B38BF9A" w14:textId="77777777" w:rsidR="00990B14" w:rsidRDefault="00990B14">
            <w:pPr>
              <w:spacing w:before="20" w:after="20"/>
            </w:pPr>
          </w:p>
        </w:tc>
        <w:tc>
          <w:tcPr>
            <w:tcW w:w="1910" w:type="dxa"/>
            <w:shd w:val="clear" w:color="auto" w:fill="D9E2F3"/>
            <w:vAlign w:val="center"/>
          </w:tcPr>
          <w:p w14:paraId="1B1B281A" w14:textId="77777777" w:rsidR="00990B14" w:rsidRDefault="00000000">
            <w:pPr>
              <w:spacing w:before="20" w:after="20"/>
              <w:jc w:val="both"/>
            </w:pPr>
            <w:r>
              <w:rPr>
                <w:sz w:val="18"/>
                <w:szCs w:val="18"/>
              </w:rPr>
              <w:t>Diseño e implementación</w:t>
            </w:r>
          </w:p>
        </w:tc>
        <w:tc>
          <w:tcPr>
            <w:tcW w:w="2015" w:type="dxa"/>
            <w:shd w:val="clear" w:color="auto" w:fill="D9E2F3"/>
            <w:vAlign w:val="center"/>
          </w:tcPr>
          <w:p w14:paraId="7BDE26E9" w14:textId="77777777" w:rsidR="00990B14" w:rsidRDefault="00000000">
            <w:pPr>
              <w:spacing w:before="20" w:after="20"/>
              <w:jc w:val="both"/>
            </w:pPr>
            <w:r>
              <w:rPr>
                <w:sz w:val="18"/>
                <w:szCs w:val="18"/>
              </w:rPr>
              <w:t>No evalúa el diseño.</w:t>
            </w:r>
          </w:p>
        </w:tc>
        <w:tc>
          <w:tcPr>
            <w:tcW w:w="1910" w:type="dxa"/>
            <w:shd w:val="clear" w:color="auto" w:fill="D9E2F3"/>
            <w:vAlign w:val="center"/>
          </w:tcPr>
          <w:p w14:paraId="1487C510" w14:textId="77777777" w:rsidR="00990B14" w:rsidRDefault="00000000">
            <w:pPr>
              <w:spacing w:before="20" w:after="20"/>
              <w:jc w:val="both"/>
            </w:pPr>
            <w:r>
              <w:rPr>
                <w:sz w:val="18"/>
                <w:szCs w:val="18"/>
              </w:rPr>
              <w:t>Evalúa el diseño y la implementación con la prueba de recorrido.</w:t>
            </w:r>
          </w:p>
        </w:tc>
        <w:tc>
          <w:tcPr>
            <w:tcW w:w="2080" w:type="dxa"/>
            <w:shd w:val="clear" w:color="auto" w:fill="D9E2F3"/>
            <w:vAlign w:val="center"/>
          </w:tcPr>
          <w:p w14:paraId="379FB993" w14:textId="77777777" w:rsidR="00990B14" w:rsidRDefault="00000000">
            <w:pPr>
              <w:spacing w:before="20" w:after="20"/>
              <w:jc w:val="both"/>
            </w:pPr>
            <w:r>
              <w:rPr>
                <w:sz w:val="18"/>
                <w:szCs w:val="18"/>
              </w:rPr>
              <w:t>Clasifica las deficiencias detectadas.</w:t>
            </w:r>
          </w:p>
        </w:tc>
      </w:tr>
      <w:tr w:rsidR="00990B14" w14:paraId="5704446D" w14:textId="77777777">
        <w:trPr>
          <w:cantSplit/>
          <w:jc w:val="center"/>
        </w:trPr>
        <w:tc>
          <w:tcPr>
            <w:tcW w:w="1490" w:type="dxa"/>
            <w:vMerge/>
            <w:shd w:val="clear" w:color="auto" w:fill="4472C4"/>
            <w:vAlign w:val="center"/>
          </w:tcPr>
          <w:p w14:paraId="423C44AC" w14:textId="77777777" w:rsidR="00990B14" w:rsidRDefault="00990B14">
            <w:pPr>
              <w:spacing w:before="20" w:after="20"/>
            </w:pPr>
          </w:p>
        </w:tc>
        <w:tc>
          <w:tcPr>
            <w:tcW w:w="5835" w:type="dxa"/>
            <w:gridSpan w:val="3"/>
            <w:shd w:val="clear" w:color="auto" w:fill="D9E2F3"/>
            <w:vAlign w:val="center"/>
          </w:tcPr>
          <w:p w14:paraId="1D23486A" w14:textId="77777777" w:rsidR="00990B14" w:rsidRDefault="00000000">
            <w:pPr>
              <w:keepNext/>
              <w:spacing w:before="20" w:after="20"/>
              <w:jc w:val="both"/>
            </w:pPr>
            <w:r>
              <w:rPr>
                <w:b/>
                <w:bCs/>
                <w:i/>
                <w:iCs/>
                <w:sz w:val="18"/>
                <w:szCs w:val="18"/>
              </w:rPr>
              <w:t xml:space="preserve">Producto 15: </w:t>
            </w:r>
            <w:r>
              <w:rPr>
                <w:sz w:val="18"/>
                <w:szCs w:val="18"/>
              </w:rPr>
              <w:t>Cálculo de materialidad y procedimientos analíticos</w:t>
            </w:r>
          </w:p>
        </w:tc>
        <w:tc>
          <w:tcPr>
            <w:tcW w:w="2080" w:type="dxa"/>
            <w:shd w:val="clear" w:color="auto" w:fill="D9E2F3"/>
            <w:vAlign w:val="center"/>
          </w:tcPr>
          <w:p w14:paraId="6D9DBA62" w14:textId="77777777" w:rsidR="00990B14" w:rsidRDefault="00000000">
            <w:pPr>
              <w:spacing w:before="20" w:after="20"/>
              <w:jc w:val="center"/>
            </w:pPr>
            <w:r>
              <w:rPr>
                <w:b/>
                <w:bCs/>
                <w:sz w:val="18"/>
                <w:szCs w:val="18"/>
              </w:rPr>
              <w:t>9%</w:t>
            </w:r>
          </w:p>
        </w:tc>
      </w:tr>
      <w:tr w:rsidR="00990B14" w14:paraId="4BA40A79" w14:textId="77777777">
        <w:trPr>
          <w:cantSplit/>
          <w:jc w:val="center"/>
        </w:trPr>
        <w:tc>
          <w:tcPr>
            <w:tcW w:w="1490" w:type="dxa"/>
            <w:vMerge/>
            <w:shd w:val="clear" w:color="auto" w:fill="4472C4"/>
            <w:vAlign w:val="center"/>
          </w:tcPr>
          <w:p w14:paraId="59C1E921" w14:textId="77777777" w:rsidR="00990B14" w:rsidRDefault="00990B14">
            <w:pPr>
              <w:spacing w:before="20" w:after="20"/>
            </w:pPr>
          </w:p>
        </w:tc>
        <w:tc>
          <w:tcPr>
            <w:tcW w:w="1910" w:type="dxa"/>
            <w:shd w:val="clear" w:color="auto" w:fill="4472C4"/>
            <w:vAlign w:val="center"/>
          </w:tcPr>
          <w:p w14:paraId="7F198787"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11713F81"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409DFC46" w14:textId="77777777" w:rsidR="00990B14" w:rsidRDefault="00000000">
            <w:pPr>
              <w:keepNext/>
              <w:spacing w:before="20" w:after="20"/>
              <w:jc w:val="center"/>
            </w:pPr>
            <w:r>
              <w:rPr>
                <w:b/>
                <w:bCs/>
                <w:i/>
                <w:iCs/>
                <w:color w:val="FFFFFF"/>
                <w:sz w:val="18"/>
                <w:szCs w:val="18"/>
              </w:rPr>
              <w:t>Suficiente (51–80)</w:t>
            </w:r>
          </w:p>
        </w:tc>
        <w:tc>
          <w:tcPr>
            <w:tcW w:w="2080" w:type="dxa"/>
            <w:shd w:val="clear" w:color="auto" w:fill="4472C4"/>
            <w:vAlign w:val="center"/>
          </w:tcPr>
          <w:p w14:paraId="07E3DD0E" w14:textId="77777777" w:rsidR="00990B14" w:rsidRDefault="00000000">
            <w:pPr>
              <w:keepNext/>
              <w:spacing w:before="20" w:after="20"/>
              <w:jc w:val="center"/>
            </w:pPr>
            <w:r>
              <w:rPr>
                <w:b/>
                <w:bCs/>
                <w:i/>
                <w:iCs/>
                <w:color w:val="FFFFFF"/>
                <w:sz w:val="18"/>
                <w:szCs w:val="18"/>
              </w:rPr>
              <w:t>Destacado (81–100)</w:t>
            </w:r>
          </w:p>
        </w:tc>
      </w:tr>
      <w:tr w:rsidR="00990B14" w14:paraId="32EDD4F3" w14:textId="77777777">
        <w:trPr>
          <w:cantSplit/>
          <w:jc w:val="center"/>
        </w:trPr>
        <w:tc>
          <w:tcPr>
            <w:tcW w:w="1490" w:type="dxa"/>
            <w:vMerge/>
            <w:shd w:val="clear" w:color="auto" w:fill="4472C4"/>
            <w:vAlign w:val="center"/>
          </w:tcPr>
          <w:p w14:paraId="6F329A1F" w14:textId="77777777" w:rsidR="00990B14" w:rsidRDefault="00990B14">
            <w:pPr>
              <w:spacing w:before="20" w:after="20"/>
            </w:pPr>
          </w:p>
        </w:tc>
        <w:tc>
          <w:tcPr>
            <w:tcW w:w="1910" w:type="dxa"/>
            <w:shd w:val="clear" w:color="auto" w:fill="D9E2F3"/>
            <w:vAlign w:val="center"/>
          </w:tcPr>
          <w:p w14:paraId="034F931F" w14:textId="77777777" w:rsidR="00990B14" w:rsidRDefault="00000000">
            <w:pPr>
              <w:spacing w:before="20" w:after="20"/>
              <w:jc w:val="both"/>
            </w:pPr>
            <w:r>
              <w:rPr>
                <w:sz w:val="18"/>
                <w:szCs w:val="18"/>
              </w:rPr>
              <w:t>Base y porcentaje</w:t>
            </w:r>
          </w:p>
        </w:tc>
        <w:tc>
          <w:tcPr>
            <w:tcW w:w="2015" w:type="dxa"/>
            <w:shd w:val="clear" w:color="auto" w:fill="D9E2F3"/>
            <w:vAlign w:val="center"/>
          </w:tcPr>
          <w:p w14:paraId="1ECBC97B" w14:textId="77777777" w:rsidR="00990B14" w:rsidRDefault="00000000">
            <w:pPr>
              <w:spacing w:before="20" w:after="20"/>
              <w:jc w:val="both"/>
            </w:pPr>
            <w:r>
              <w:rPr>
                <w:sz w:val="18"/>
                <w:szCs w:val="18"/>
              </w:rPr>
              <w:t>La base es inadecuada.</w:t>
            </w:r>
          </w:p>
        </w:tc>
        <w:tc>
          <w:tcPr>
            <w:tcW w:w="1910" w:type="dxa"/>
            <w:shd w:val="clear" w:color="auto" w:fill="D9E2F3"/>
            <w:vAlign w:val="center"/>
          </w:tcPr>
          <w:p w14:paraId="0AFD3687" w14:textId="77777777" w:rsidR="00990B14" w:rsidRDefault="00000000">
            <w:pPr>
              <w:spacing w:before="20" w:after="20"/>
              <w:jc w:val="both"/>
            </w:pPr>
            <w:r>
              <w:rPr>
                <w:sz w:val="18"/>
                <w:szCs w:val="18"/>
              </w:rPr>
              <w:t>Selecciona una base y un porcentaje adecuados.</w:t>
            </w:r>
          </w:p>
        </w:tc>
        <w:tc>
          <w:tcPr>
            <w:tcW w:w="2080" w:type="dxa"/>
            <w:shd w:val="clear" w:color="auto" w:fill="D9E2F3"/>
            <w:vAlign w:val="center"/>
          </w:tcPr>
          <w:p w14:paraId="2F217E0F" w14:textId="77777777" w:rsidR="00990B14" w:rsidRDefault="00000000">
            <w:pPr>
              <w:spacing w:before="20" w:after="20"/>
              <w:jc w:val="both"/>
            </w:pPr>
            <w:r>
              <w:rPr>
                <w:sz w:val="18"/>
                <w:szCs w:val="18"/>
              </w:rPr>
              <w:t>Justifica la base según los usuarios.</w:t>
            </w:r>
          </w:p>
        </w:tc>
      </w:tr>
      <w:tr w:rsidR="00990B14" w14:paraId="0ABC6129" w14:textId="77777777">
        <w:trPr>
          <w:cantSplit/>
          <w:jc w:val="center"/>
        </w:trPr>
        <w:tc>
          <w:tcPr>
            <w:tcW w:w="1490" w:type="dxa"/>
            <w:vMerge/>
            <w:shd w:val="clear" w:color="auto" w:fill="4472C4"/>
            <w:vAlign w:val="center"/>
          </w:tcPr>
          <w:p w14:paraId="690F3D66" w14:textId="77777777" w:rsidR="00990B14" w:rsidRDefault="00990B14">
            <w:pPr>
              <w:spacing w:before="20" w:after="20"/>
            </w:pPr>
          </w:p>
        </w:tc>
        <w:tc>
          <w:tcPr>
            <w:tcW w:w="1910" w:type="dxa"/>
            <w:shd w:val="clear" w:color="auto" w:fill="D9E2F3"/>
            <w:vAlign w:val="center"/>
          </w:tcPr>
          <w:p w14:paraId="08B36B11" w14:textId="77777777" w:rsidR="00990B14" w:rsidRDefault="00000000">
            <w:pPr>
              <w:spacing w:before="20" w:after="20"/>
              <w:jc w:val="both"/>
            </w:pPr>
            <w:r>
              <w:rPr>
                <w:sz w:val="18"/>
                <w:szCs w:val="18"/>
              </w:rPr>
              <w:t>Niveles de materialidad</w:t>
            </w:r>
          </w:p>
        </w:tc>
        <w:tc>
          <w:tcPr>
            <w:tcW w:w="2015" w:type="dxa"/>
            <w:shd w:val="clear" w:color="auto" w:fill="D9E2F3"/>
            <w:vAlign w:val="center"/>
          </w:tcPr>
          <w:p w14:paraId="661F2C10" w14:textId="77777777" w:rsidR="00990B14" w:rsidRDefault="00000000">
            <w:pPr>
              <w:spacing w:before="20" w:after="20"/>
              <w:jc w:val="both"/>
            </w:pPr>
            <w:r>
              <w:rPr>
                <w:sz w:val="18"/>
                <w:szCs w:val="18"/>
              </w:rPr>
              <w:t>Omite niveles.</w:t>
            </w:r>
          </w:p>
        </w:tc>
        <w:tc>
          <w:tcPr>
            <w:tcW w:w="1910" w:type="dxa"/>
            <w:shd w:val="clear" w:color="auto" w:fill="D9E2F3"/>
            <w:vAlign w:val="center"/>
          </w:tcPr>
          <w:p w14:paraId="54EA4731" w14:textId="77777777" w:rsidR="00990B14" w:rsidRDefault="00000000">
            <w:pPr>
              <w:spacing w:before="20" w:after="20"/>
              <w:jc w:val="both"/>
            </w:pPr>
            <w:r>
              <w:rPr>
                <w:sz w:val="18"/>
                <w:szCs w:val="18"/>
              </w:rPr>
              <w:t>Calcula la materialidad, la de desempeño y el límite de acumulación.</w:t>
            </w:r>
          </w:p>
        </w:tc>
        <w:tc>
          <w:tcPr>
            <w:tcW w:w="2080" w:type="dxa"/>
            <w:shd w:val="clear" w:color="auto" w:fill="D9E2F3"/>
            <w:vAlign w:val="center"/>
          </w:tcPr>
          <w:p w14:paraId="3AB9F36D" w14:textId="77777777" w:rsidR="00990B14" w:rsidRDefault="00000000">
            <w:pPr>
              <w:spacing w:before="20" w:after="20"/>
              <w:jc w:val="both"/>
            </w:pPr>
            <w:r>
              <w:rPr>
                <w:sz w:val="18"/>
                <w:szCs w:val="18"/>
              </w:rPr>
              <w:t>Determina materialidades específicas cuando corresponde.</w:t>
            </w:r>
          </w:p>
        </w:tc>
      </w:tr>
      <w:tr w:rsidR="00990B14" w14:paraId="18ECBD86" w14:textId="77777777">
        <w:trPr>
          <w:cantSplit/>
          <w:jc w:val="center"/>
        </w:trPr>
        <w:tc>
          <w:tcPr>
            <w:tcW w:w="1490" w:type="dxa"/>
            <w:vMerge/>
            <w:shd w:val="clear" w:color="auto" w:fill="4472C4"/>
            <w:vAlign w:val="center"/>
          </w:tcPr>
          <w:p w14:paraId="77E81D16" w14:textId="77777777" w:rsidR="00990B14" w:rsidRDefault="00990B14">
            <w:pPr>
              <w:spacing w:before="20" w:after="20"/>
            </w:pPr>
          </w:p>
        </w:tc>
        <w:tc>
          <w:tcPr>
            <w:tcW w:w="1910" w:type="dxa"/>
            <w:shd w:val="clear" w:color="auto" w:fill="D9E2F3"/>
            <w:vAlign w:val="center"/>
          </w:tcPr>
          <w:p w14:paraId="1EB0C1DE" w14:textId="77777777" w:rsidR="00990B14" w:rsidRDefault="00000000">
            <w:pPr>
              <w:spacing w:before="20" w:after="20"/>
              <w:jc w:val="both"/>
            </w:pPr>
            <w:r>
              <w:rPr>
                <w:sz w:val="18"/>
                <w:szCs w:val="18"/>
              </w:rPr>
              <w:t>Procedimientos analíticos</w:t>
            </w:r>
          </w:p>
        </w:tc>
        <w:tc>
          <w:tcPr>
            <w:tcW w:w="2015" w:type="dxa"/>
            <w:shd w:val="clear" w:color="auto" w:fill="D9E2F3"/>
            <w:vAlign w:val="center"/>
          </w:tcPr>
          <w:p w14:paraId="7E0A1246" w14:textId="77777777" w:rsidR="00990B14" w:rsidRDefault="00000000">
            <w:pPr>
              <w:spacing w:before="20" w:after="20"/>
              <w:jc w:val="both"/>
            </w:pPr>
            <w:r>
              <w:rPr>
                <w:sz w:val="18"/>
                <w:szCs w:val="18"/>
              </w:rPr>
              <w:t>No identifica variaciones.</w:t>
            </w:r>
          </w:p>
        </w:tc>
        <w:tc>
          <w:tcPr>
            <w:tcW w:w="1910" w:type="dxa"/>
            <w:shd w:val="clear" w:color="auto" w:fill="D9E2F3"/>
            <w:vAlign w:val="center"/>
          </w:tcPr>
          <w:p w14:paraId="636C0336" w14:textId="77777777" w:rsidR="00990B14" w:rsidRDefault="00000000">
            <w:pPr>
              <w:spacing w:before="20" w:after="20"/>
              <w:jc w:val="both"/>
            </w:pPr>
            <w:r>
              <w:rPr>
                <w:sz w:val="18"/>
                <w:szCs w:val="18"/>
              </w:rPr>
              <w:t>Aplica el análisis vertical, horizontal y de ratios.</w:t>
            </w:r>
          </w:p>
        </w:tc>
        <w:tc>
          <w:tcPr>
            <w:tcW w:w="2080" w:type="dxa"/>
            <w:shd w:val="clear" w:color="auto" w:fill="D9E2F3"/>
            <w:vAlign w:val="center"/>
          </w:tcPr>
          <w:p w14:paraId="41C40B27" w14:textId="77777777" w:rsidR="00990B14" w:rsidRDefault="00000000">
            <w:pPr>
              <w:spacing w:before="20" w:after="20"/>
              <w:jc w:val="both"/>
            </w:pPr>
            <w:r>
              <w:rPr>
                <w:sz w:val="18"/>
                <w:szCs w:val="18"/>
              </w:rPr>
              <w:t>Relaciona las variaciones con los riesgos.</w:t>
            </w:r>
          </w:p>
        </w:tc>
      </w:tr>
      <w:tr w:rsidR="00990B14" w14:paraId="58F51DF4" w14:textId="77777777">
        <w:trPr>
          <w:cantSplit/>
          <w:jc w:val="center"/>
        </w:trPr>
        <w:tc>
          <w:tcPr>
            <w:tcW w:w="1490" w:type="dxa"/>
            <w:vMerge/>
            <w:shd w:val="clear" w:color="auto" w:fill="4472C4"/>
            <w:vAlign w:val="center"/>
          </w:tcPr>
          <w:p w14:paraId="4D2F75CD" w14:textId="77777777" w:rsidR="00990B14" w:rsidRDefault="00990B14">
            <w:pPr>
              <w:spacing w:before="20" w:after="20"/>
            </w:pPr>
          </w:p>
        </w:tc>
        <w:tc>
          <w:tcPr>
            <w:tcW w:w="5835" w:type="dxa"/>
            <w:gridSpan w:val="3"/>
            <w:shd w:val="clear" w:color="auto" w:fill="D9E2F3"/>
            <w:vAlign w:val="center"/>
          </w:tcPr>
          <w:p w14:paraId="30C71530" w14:textId="77777777" w:rsidR="00990B14" w:rsidRDefault="00000000">
            <w:pPr>
              <w:keepNext/>
              <w:spacing w:before="20" w:after="20"/>
              <w:jc w:val="both"/>
            </w:pPr>
            <w:r>
              <w:rPr>
                <w:b/>
                <w:bCs/>
                <w:i/>
                <w:iCs/>
                <w:sz w:val="18"/>
                <w:szCs w:val="18"/>
              </w:rPr>
              <w:t xml:space="preserve">Producto 16: </w:t>
            </w:r>
            <w:r>
              <w:rPr>
                <w:sz w:val="18"/>
                <w:szCs w:val="18"/>
              </w:rPr>
              <w:t>Memorando de planificación</w:t>
            </w:r>
          </w:p>
        </w:tc>
        <w:tc>
          <w:tcPr>
            <w:tcW w:w="2080" w:type="dxa"/>
            <w:shd w:val="clear" w:color="auto" w:fill="D9E2F3"/>
            <w:vAlign w:val="center"/>
          </w:tcPr>
          <w:p w14:paraId="60849280" w14:textId="77777777" w:rsidR="00990B14" w:rsidRDefault="00000000">
            <w:pPr>
              <w:spacing w:before="20" w:after="20"/>
              <w:jc w:val="center"/>
            </w:pPr>
            <w:r>
              <w:rPr>
                <w:b/>
                <w:bCs/>
                <w:sz w:val="18"/>
                <w:szCs w:val="18"/>
              </w:rPr>
              <w:t>9%</w:t>
            </w:r>
          </w:p>
        </w:tc>
      </w:tr>
      <w:tr w:rsidR="00990B14" w14:paraId="5B6BDAC2" w14:textId="77777777">
        <w:trPr>
          <w:cantSplit/>
          <w:jc w:val="center"/>
        </w:trPr>
        <w:tc>
          <w:tcPr>
            <w:tcW w:w="1490" w:type="dxa"/>
            <w:vMerge/>
            <w:shd w:val="clear" w:color="auto" w:fill="4472C4"/>
            <w:vAlign w:val="center"/>
          </w:tcPr>
          <w:p w14:paraId="4E8AF13B" w14:textId="77777777" w:rsidR="00990B14" w:rsidRDefault="00990B14">
            <w:pPr>
              <w:spacing w:before="20" w:after="20"/>
            </w:pPr>
          </w:p>
        </w:tc>
        <w:tc>
          <w:tcPr>
            <w:tcW w:w="1910" w:type="dxa"/>
            <w:shd w:val="clear" w:color="auto" w:fill="4472C4"/>
            <w:vAlign w:val="center"/>
          </w:tcPr>
          <w:p w14:paraId="43554B3C"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3A341EBB"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7C8BAEEB" w14:textId="77777777" w:rsidR="00990B14" w:rsidRDefault="00000000">
            <w:pPr>
              <w:keepNext/>
              <w:spacing w:before="20" w:after="20"/>
              <w:jc w:val="center"/>
            </w:pPr>
            <w:r>
              <w:rPr>
                <w:b/>
                <w:bCs/>
                <w:i/>
                <w:iCs/>
                <w:color w:val="FFFFFF"/>
                <w:sz w:val="18"/>
                <w:szCs w:val="18"/>
              </w:rPr>
              <w:t>Suficiente (51–80)</w:t>
            </w:r>
          </w:p>
        </w:tc>
        <w:tc>
          <w:tcPr>
            <w:tcW w:w="2080" w:type="dxa"/>
            <w:shd w:val="clear" w:color="auto" w:fill="4472C4"/>
            <w:vAlign w:val="center"/>
          </w:tcPr>
          <w:p w14:paraId="15C2560C" w14:textId="77777777" w:rsidR="00990B14" w:rsidRDefault="00000000">
            <w:pPr>
              <w:keepNext/>
              <w:spacing w:before="20" w:after="20"/>
              <w:jc w:val="center"/>
            </w:pPr>
            <w:r>
              <w:rPr>
                <w:b/>
                <w:bCs/>
                <w:i/>
                <w:iCs/>
                <w:color w:val="FFFFFF"/>
                <w:sz w:val="18"/>
                <w:szCs w:val="18"/>
              </w:rPr>
              <w:t>Destacado (81–100)</w:t>
            </w:r>
          </w:p>
        </w:tc>
      </w:tr>
      <w:tr w:rsidR="00990B14" w14:paraId="610E2DC3" w14:textId="77777777">
        <w:trPr>
          <w:cantSplit/>
          <w:jc w:val="center"/>
        </w:trPr>
        <w:tc>
          <w:tcPr>
            <w:tcW w:w="1490" w:type="dxa"/>
            <w:vMerge/>
            <w:shd w:val="clear" w:color="auto" w:fill="4472C4"/>
            <w:vAlign w:val="center"/>
          </w:tcPr>
          <w:p w14:paraId="53B41A7E" w14:textId="77777777" w:rsidR="00990B14" w:rsidRDefault="00990B14">
            <w:pPr>
              <w:spacing w:before="20" w:after="20"/>
            </w:pPr>
          </w:p>
        </w:tc>
        <w:tc>
          <w:tcPr>
            <w:tcW w:w="1910" w:type="dxa"/>
            <w:shd w:val="clear" w:color="auto" w:fill="D9E2F3"/>
            <w:vAlign w:val="center"/>
          </w:tcPr>
          <w:p w14:paraId="3F6941B2" w14:textId="77777777" w:rsidR="00990B14" w:rsidRDefault="00000000">
            <w:pPr>
              <w:spacing w:before="20" w:after="20"/>
              <w:jc w:val="both"/>
            </w:pPr>
            <w:r>
              <w:rPr>
                <w:sz w:val="18"/>
                <w:szCs w:val="18"/>
              </w:rPr>
              <w:t>Valoración del riesgo</w:t>
            </w:r>
          </w:p>
        </w:tc>
        <w:tc>
          <w:tcPr>
            <w:tcW w:w="2015" w:type="dxa"/>
            <w:shd w:val="clear" w:color="auto" w:fill="D9E2F3"/>
            <w:vAlign w:val="center"/>
          </w:tcPr>
          <w:p w14:paraId="440A0F0C" w14:textId="77777777" w:rsidR="00990B14" w:rsidRDefault="00000000">
            <w:pPr>
              <w:spacing w:before="20" w:after="20"/>
              <w:jc w:val="both"/>
            </w:pPr>
            <w:r>
              <w:rPr>
                <w:sz w:val="18"/>
                <w:szCs w:val="18"/>
              </w:rPr>
              <w:t>No resume las valoraciones.</w:t>
            </w:r>
          </w:p>
        </w:tc>
        <w:tc>
          <w:tcPr>
            <w:tcW w:w="1910" w:type="dxa"/>
            <w:shd w:val="clear" w:color="auto" w:fill="D9E2F3"/>
            <w:vAlign w:val="center"/>
          </w:tcPr>
          <w:p w14:paraId="50F020D7" w14:textId="77777777" w:rsidR="00990B14" w:rsidRDefault="00000000">
            <w:pPr>
              <w:spacing w:before="20" w:after="20"/>
              <w:jc w:val="both"/>
            </w:pPr>
            <w:r>
              <w:rPr>
                <w:sz w:val="18"/>
                <w:szCs w:val="18"/>
              </w:rPr>
              <w:t>Resume la valoración del riesgo por aseveración.</w:t>
            </w:r>
          </w:p>
        </w:tc>
        <w:tc>
          <w:tcPr>
            <w:tcW w:w="2080" w:type="dxa"/>
            <w:shd w:val="clear" w:color="auto" w:fill="D9E2F3"/>
            <w:vAlign w:val="center"/>
          </w:tcPr>
          <w:p w14:paraId="2728BE03" w14:textId="77777777" w:rsidR="00990B14" w:rsidRDefault="00000000">
            <w:pPr>
              <w:spacing w:before="20" w:after="20"/>
              <w:jc w:val="both"/>
            </w:pPr>
            <w:r>
              <w:rPr>
                <w:sz w:val="18"/>
                <w:szCs w:val="18"/>
              </w:rPr>
              <w:t>Identifica los riesgos significativos y su respuesta.</w:t>
            </w:r>
          </w:p>
        </w:tc>
      </w:tr>
      <w:tr w:rsidR="00990B14" w14:paraId="009EEEFA" w14:textId="77777777">
        <w:trPr>
          <w:cantSplit/>
          <w:jc w:val="center"/>
        </w:trPr>
        <w:tc>
          <w:tcPr>
            <w:tcW w:w="1490" w:type="dxa"/>
            <w:vMerge/>
            <w:shd w:val="clear" w:color="auto" w:fill="4472C4"/>
            <w:vAlign w:val="center"/>
          </w:tcPr>
          <w:p w14:paraId="77FE8646" w14:textId="77777777" w:rsidR="00990B14" w:rsidRDefault="00990B14">
            <w:pPr>
              <w:spacing w:before="20" w:after="20"/>
            </w:pPr>
          </w:p>
        </w:tc>
        <w:tc>
          <w:tcPr>
            <w:tcW w:w="1910" w:type="dxa"/>
            <w:shd w:val="clear" w:color="auto" w:fill="D9E2F3"/>
            <w:vAlign w:val="center"/>
          </w:tcPr>
          <w:p w14:paraId="7A7235F8" w14:textId="77777777" w:rsidR="00990B14" w:rsidRDefault="00000000">
            <w:pPr>
              <w:spacing w:before="20" w:after="20"/>
              <w:jc w:val="both"/>
            </w:pPr>
            <w:r>
              <w:rPr>
                <w:sz w:val="18"/>
                <w:szCs w:val="18"/>
              </w:rPr>
              <w:t>Enfoque planificado</w:t>
            </w:r>
          </w:p>
        </w:tc>
        <w:tc>
          <w:tcPr>
            <w:tcW w:w="2015" w:type="dxa"/>
            <w:shd w:val="clear" w:color="auto" w:fill="D9E2F3"/>
            <w:vAlign w:val="center"/>
          </w:tcPr>
          <w:p w14:paraId="0A8D65C1" w14:textId="77777777" w:rsidR="00990B14" w:rsidRDefault="00000000">
            <w:pPr>
              <w:spacing w:before="20" w:after="20"/>
              <w:jc w:val="both"/>
            </w:pPr>
            <w:r>
              <w:rPr>
                <w:sz w:val="18"/>
                <w:szCs w:val="18"/>
              </w:rPr>
              <w:t>No define el enfoque.</w:t>
            </w:r>
          </w:p>
        </w:tc>
        <w:tc>
          <w:tcPr>
            <w:tcW w:w="1910" w:type="dxa"/>
            <w:shd w:val="clear" w:color="auto" w:fill="D9E2F3"/>
            <w:vAlign w:val="center"/>
          </w:tcPr>
          <w:p w14:paraId="6D855DEC" w14:textId="77777777" w:rsidR="00990B14" w:rsidRDefault="00000000">
            <w:pPr>
              <w:spacing w:before="20" w:after="20"/>
              <w:jc w:val="both"/>
            </w:pPr>
            <w:r>
              <w:rPr>
                <w:sz w:val="18"/>
                <w:szCs w:val="18"/>
              </w:rPr>
              <w:t>Define el enfoque de auditoría planificado.</w:t>
            </w:r>
          </w:p>
        </w:tc>
        <w:tc>
          <w:tcPr>
            <w:tcW w:w="2080" w:type="dxa"/>
            <w:shd w:val="clear" w:color="auto" w:fill="D9E2F3"/>
            <w:vAlign w:val="center"/>
          </w:tcPr>
          <w:p w14:paraId="30712B82" w14:textId="77777777" w:rsidR="00990B14" w:rsidRDefault="00000000">
            <w:pPr>
              <w:spacing w:before="20" w:after="20"/>
              <w:jc w:val="both"/>
            </w:pPr>
            <w:r>
              <w:rPr>
                <w:sz w:val="18"/>
                <w:szCs w:val="18"/>
              </w:rPr>
              <w:t>Justifica el enfoque por cada rubro.</w:t>
            </w:r>
          </w:p>
        </w:tc>
      </w:tr>
      <w:tr w:rsidR="00990B14" w14:paraId="082D32E9" w14:textId="77777777">
        <w:trPr>
          <w:cantSplit/>
          <w:jc w:val="center"/>
        </w:trPr>
        <w:tc>
          <w:tcPr>
            <w:tcW w:w="1490" w:type="dxa"/>
            <w:vMerge/>
            <w:shd w:val="clear" w:color="auto" w:fill="4472C4"/>
            <w:vAlign w:val="center"/>
          </w:tcPr>
          <w:p w14:paraId="6C428AA4" w14:textId="77777777" w:rsidR="00990B14" w:rsidRDefault="00990B14">
            <w:pPr>
              <w:spacing w:before="20" w:after="20"/>
            </w:pPr>
          </w:p>
        </w:tc>
        <w:tc>
          <w:tcPr>
            <w:tcW w:w="1910" w:type="dxa"/>
            <w:shd w:val="clear" w:color="auto" w:fill="D9E2F3"/>
            <w:vAlign w:val="center"/>
          </w:tcPr>
          <w:p w14:paraId="4FCD9AA8" w14:textId="77777777" w:rsidR="00990B14" w:rsidRDefault="00000000">
            <w:pPr>
              <w:spacing w:before="20" w:after="20"/>
              <w:jc w:val="both"/>
            </w:pPr>
            <w:r>
              <w:rPr>
                <w:sz w:val="18"/>
                <w:szCs w:val="18"/>
              </w:rPr>
              <w:t>Sustentación</w:t>
            </w:r>
          </w:p>
        </w:tc>
        <w:tc>
          <w:tcPr>
            <w:tcW w:w="2015" w:type="dxa"/>
            <w:shd w:val="clear" w:color="auto" w:fill="D9E2F3"/>
            <w:vAlign w:val="center"/>
          </w:tcPr>
          <w:p w14:paraId="1DB305C3" w14:textId="77777777" w:rsidR="00990B14" w:rsidRDefault="00000000">
            <w:pPr>
              <w:spacing w:before="20" w:after="20"/>
              <w:jc w:val="both"/>
            </w:pPr>
            <w:r>
              <w:rPr>
                <w:sz w:val="18"/>
                <w:szCs w:val="18"/>
              </w:rPr>
              <w:t>No sustenta el memorando.</w:t>
            </w:r>
          </w:p>
        </w:tc>
        <w:tc>
          <w:tcPr>
            <w:tcW w:w="1910" w:type="dxa"/>
            <w:shd w:val="clear" w:color="auto" w:fill="D9E2F3"/>
            <w:vAlign w:val="center"/>
          </w:tcPr>
          <w:p w14:paraId="77F0BE70" w14:textId="77777777" w:rsidR="00990B14" w:rsidRDefault="00000000">
            <w:pPr>
              <w:spacing w:before="20" w:after="20"/>
              <w:jc w:val="both"/>
            </w:pPr>
            <w:r>
              <w:rPr>
                <w:sz w:val="18"/>
                <w:szCs w:val="18"/>
              </w:rPr>
              <w:t>Sustenta el memorando ante el curso.</w:t>
            </w:r>
          </w:p>
        </w:tc>
        <w:tc>
          <w:tcPr>
            <w:tcW w:w="2080" w:type="dxa"/>
            <w:shd w:val="clear" w:color="auto" w:fill="D9E2F3"/>
            <w:vAlign w:val="center"/>
          </w:tcPr>
          <w:p w14:paraId="69C6BC28" w14:textId="77777777" w:rsidR="00990B14" w:rsidRDefault="00000000">
            <w:pPr>
              <w:spacing w:before="20" w:after="20"/>
              <w:jc w:val="both"/>
            </w:pPr>
            <w:r>
              <w:rPr>
                <w:sz w:val="18"/>
                <w:szCs w:val="18"/>
              </w:rPr>
              <w:t>Responde con fundamento normativo.</w:t>
            </w:r>
          </w:p>
        </w:tc>
      </w:tr>
      <w:tr w:rsidR="00990B14" w14:paraId="20146ED8" w14:textId="77777777">
        <w:trPr>
          <w:cantSplit/>
          <w:jc w:val="center"/>
        </w:trPr>
        <w:tc>
          <w:tcPr>
            <w:tcW w:w="1490" w:type="dxa"/>
            <w:vMerge/>
            <w:shd w:val="clear" w:color="auto" w:fill="4472C4"/>
            <w:vAlign w:val="center"/>
          </w:tcPr>
          <w:p w14:paraId="4906C918" w14:textId="77777777" w:rsidR="00990B14" w:rsidRDefault="00990B14">
            <w:pPr>
              <w:spacing w:before="20" w:after="20"/>
            </w:pPr>
          </w:p>
        </w:tc>
        <w:tc>
          <w:tcPr>
            <w:tcW w:w="5835" w:type="dxa"/>
            <w:gridSpan w:val="3"/>
            <w:shd w:val="clear" w:color="auto" w:fill="D9E2F3"/>
            <w:vAlign w:val="center"/>
          </w:tcPr>
          <w:p w14:paraId="245D7D41" w14:textId="77777777" w:rsidR="00990B14" w:rsidRDefault="00000000">
            <w:pPr>
              <w:keepNext/>
              <w:spacing w:before="20" w:after="20"/>
              <w:jc w:val="both"/>
            </w:pPr>
            <w:r>
              <w:rPr>
                <w:b/>
                <w:bCs/>
                <w:i/>
                <w:iCs/>
                <w:sz w:val="18"/>
                <w:szCs w:val="18"/>
              </w:rPr>
              <w:t xml:space="preserve">Producto 17: </w:t>
            </w:r>
            <w:r>
              <w:rPr>
                <w:sz w:val="18"/>
                <w:szCs w:val="18"/>
              </w:rPr>
              <w:t>Programa de auditoría de un rubro</w:t>
            </w:r>
          </w:p>
        </w:tc>
        <w:tc>
          <w:tcPr>
            <w:tcW w:w="2080" w:type="dxa"/>
            <w:shd w:val="clear" w:color="auto" w:fill="D9E2F3"/>
            <w:vAlign w:val="center"/>
          </w:tcPr>
          <w:p w14:paraId="319AF0CB" w14:textId="77777777" w:rsidR="00990B14" w:rsidRDefault="00000000">
            <w:pPr>
              <w:spacing w:before="20" w:after="20"/>
              <w:jc w:val="center"/>
            </w:pPr>
            <w:r>
              <w:rPr>
                <w:b/>
                <w:bCs/>
                <w:sz w:val="18"/>
                <w:szCs w:val="18"/>
              </w:rPr>
              <w:t>6%</w:t>
            </w:r>
          </w:p>
        </w:tc>
      </w:tr>
      <w:tr w:rsidR="00990B14" w14:paraId="46FED5FE" w14:textId="77777777">
        <w:trPr>
          <w:cantSplit/>
          <w:jc w:val="center"/>
        </w:trPr>
        <w:tc>
          <w:tcPr>
            <w:tcW w:w="1490" w:type="dxa"/>
            <w:vMerge/>
            <w:shd w:val="clear" w:color="auto" w:fill="4472C4"/>
            <w:vAlign w:val="center"/>
          </w:tcPr>
          <w:p w14:paraId="4AED18CE" w14:textId="77777777" w:rsidR="00990B14" w:rsidRDefault="00990B14">
            <w:pPr>
              <w:spacing w:before="20" w:after="20"/>
            </w:pPr>
          </w:p>
        </w:tc>
        <w:tc>
          <w:tcPr>
            <w:tcW w:w="1910" w:type="dxa"/>
            <w:shd w:val="clear" w:color="auto" w:fill="4472C4"/>
            <w:vAlign w:val="center"/>
          </w:tcPr>
          <w:p w14:paraId="04DD637E"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3C3E8548"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458BF0F3" w14:textId="77777777" w:rsidR="00990B14" w:rsidRDefault="00000000">
            <w:pPr>
              <w:keepNext/>
              <w:spacing w:before="20" w:after="20"/>
              <w:jc w:val="center"/>
            </w:pPr>
            <w:r>
              <w:rPr>
                <w:b/>
                <w:bCs/>
                <w:i/>
                <w:iCs/>
                <w:color w:val="FFFFFF"/>
                <w:sz w:val="18"/>
                <w:szCs w:val="18"/>
              </w:rPr>
              <w:t>Suficiente (51–80)</w:t>
            </w:r>
          </w:p>
        </w:tc>
        <w:tc>
          <w:tcPr>
            <w:tcW w:w="2080" w:type="dxa"/>
            <w:shd w:val="clear" w:color="auto" w:fill="4472C4"/>
            <w:vAlign w:val="center"/>
          </w:tcPr>
          <w:p w14:paraId="24A7734B" w14:textId="77777777" w:rsidR="00990B14" w:rsidRDefault="00000000">
            <w:pPr>
              <w:keepNext/>
              <w:spacing w:before="20" w:after="20"/>
              <w:jc w:val="center"/>
            </w:pPr>
            <w:r>
              <w:rPr>
                <w:b/>
                <w:bCs/>
                <w:i/>
                <w:iCs/>
                <w:color w:val="FFFFFF"/>
                <w:sz w:val="18"/>
                <w:szCs w:val="18"/>
              </w:rPr>
              <w:t>Destacado (81–100)</w:t>
            </w:r>
          </w:p>
        </w:tc>
      </w:tr>
      <w:tr w:rsidR="00990B14" w14:paraId="2BD587B7" w14:textId="77777777">
        <w:trPr>
          <w:cantSplit/>
          <w:jc w:val="center"/>
        </w:trPr>
        <w:tc>
          <w:tcPr>
            <w:tcW w:w="1490" w:type="dxa"/>
            <w:vMerge/>
            <w:shd w:val="clear" w:color="auto" w:fill="4472C4"/>
            <w:vAlign w:val="center"/>
          </w:tcPr>
          <w:p w14:paraId="396451A2" w14:textId="77777777" w:rsidR="00990B14" w:rsidRDefault="00990B14">
            <w:pPr>
              <w:spacing w:before="20" w:after="20"/>
            </w:pPr>
          </w:p>
        </w:tc>
        <w:tc>
          <w:tcPr>
            <w:tcW w:w="1910" w:type="dxa"/>
            <w:shd w:val="clear" w:color="auto" w:fill="D9E2F3"/>
            <w:vAlign w:val="center"/>
          </w:tcPr>
          <w:p w14:paraId="589C7DF4" w14:textId="77777777" w:rsidR="00990B14" w:rsidRDefault="00000000">
            <w:pPr>
              <w:spacing w:before="20" w:after="20"/>
              <w:jc w:val="both"/>
            </w:pPr>
            <w:r>
              <w:rPr>
                <w:sz w:val="18"/>
                <w:szCs w:val="18"/>
              </w:rPr>
              <w:t>Vinculación</w:t>
            </w:r>
          </w:p>
        </w:tc>
        <w:tc>
          <w:tcPr>
            <w:tcW w:w="2015" w:type="dxa"/>
            <w:shd w:val="clear" w:color="auto" w:fill="D9E2F3"/>
            <w:vAlign w:val="center"/>
          </w:tcPr>
          <w:p w14:paraId="0698EC23" w14:textId="77777777" w:rsidR="00990B14" w:rsidRDefault="00000000">
            <w:pPr>
              <w:spacing w:before="20" w:after="20"/>
              <w:jc w:val="both"/>
            </w:pPr>
            <w:r>
              <w:rPr>
                <w:sz w:val="18"/>
                <w:szCs w:val="18"/>
              </w:rPr>
              <w:t>Los procedimientos no responden a los riesgos.</w:t>
            </w:r>
          </w:p>
        </w:tc>
        <w:tc>
          <w:tcPr>
            <w:tcW w:w="1910" w:type="dxa"/>
            <w:shd w:val="clear" w:color="auto" w:fill="D9E2F3"/>
            <w:vAlign w:val="center"/>
          </w:tcPr>
          <w:p w14:paraId="33A79CCF" w14:textId="77777777" w:rsidR="00990B14" w:rsidRDefault="00000000">
            <w:pPr>
              <w:spacing w:before="20" w:after="20"/>
              <w:jc w:val="both"/>
            </w:pPr>
            <w:r>
              <w:rPr>
                <w:sz w:val="18"/>
                <w:szCs w:val="18"/>
              </w:rPr>
              <w:t>Vincula riesgos, aseveraciones y procedimientos.</w:t>
            </w:r>
          </w:p>
        </w:tc>
        <w:tc>
          <w:tcPr>
            <w:tcW w:w="2080" w:type="dxa"/>
            <w:shd w:val="clear" w:color="auto" w:fill="D9E2F3"/>
            <w:vAlign w:val="center"/>
          </w:tcPr>
          <w:p w14:paraId="40377D7A" w14:textId="77777777" w:rsidR="00990B14" w:rsidRDefault="00000000">
            <w:pPr>
              <w:spacing w:before="20" w:after="20"/>
              <w:jc w:val="both"/>
            </w:pPr>
            <w:r>
              <w:rPr>
                <w:sz w:val="18"/>
                <w:szCs w:val="18"/>
              </w:rPr>
              <w:t>Incluye un elemento de imprevisibilidad.</w:t>
            </w:r>
          </w:p>
        </w:tc>
      </w:tr>
      <w:tr w:rsidR="00990B14" w14:paraId="4F516825" w14:textId="77777777">
        <w:trPr>
          <w:cantSplit/>
          <w:jc w:val="center"/>
        </w:trPr>
        <w:tc>
          <w:tcPr>
            <w:tcW w:w="1490" w:type="dxa"/>
            <w:vMerge/>
            <w:shd w:val="clear" w:color="auto" w:fill="4472C4"/>
            <w:vAlign w:val="center"/>
          </w:tcPr>
          <w:p w14:paraId="39C43B84" w14:textId="77777777" w:rsidR="00990B14" w:rsidRDefault="00990B14">
            <w:pPr>
              <w:spacing w:before="20" w:after="20"/>
            </w:pPr>
          </w:p>
        </w:tc>
        <w:tc>
          <w:tcPr>
            <w:tcW w:w="1910" w:type="dxa"/>
            <w:shd w:val="clear" w:color="auto" w:fill="D9E2F3"/>
            <w:vAlign w:val="center"/>
          </w:tcPr>
          <w:p w14:paraId="382C0E18" w14:textId="77777777" w:rsidR="00990B14" w:rsidRDefault="00000000">
            <w:pPr>
              <w:spacing w:before="20" w:after="20"/>
              <w:jc w:val="both"/>
            </w:pPr>
            <w:r>
              <w:rPr>
                <w:sz w:val="18"/>
                <w:szCs w:val="18"/>
              </w:rPr>
              <w:t>Procedimientos</w:t>
            </w:r>
          </w:p>
        </w:tc>
        <w:tc>
          <w:tcPr>
            <w:tcW w:w="2015" w:type="dxa"/>
            <w:shd w:val="clear" w:color="auto" w:fill="D9E2F3"/>
            <w:vAlign w:val="center"/>
          </w:tcPr>
          <w:p w14:paraId="0D259214" w14:textId="77777777" w:rsidR="00990B14" w:rsidRDefault="00000000">
            <w:pPr>
              <w:spacing w:before="20" w:after="20"/>
              <w:jc w:val="both"/>
            </w:pPr>
            <w:r>
              <w:rPr>
                <w:sz w:val="18"/>
                <w:szCs w:val="18"/>
              </w:rPr>
              <w:t>Omite procedimientos.</w:t>
            </w:r>
          </w:p>
        </w:tc>
        <w:tc>
          <w:tcPr>
            <w:tcW w:w="1910" w:type="dxa"/>
            <w:shd w:val="clear" w:color="auto" w:fill="D9E2F3"/>
            <w:vAlign w:val="center"/>
          </w:tcPr>
          <w:p w14:paraId="7561B732" w14:textId="77777777" w:rsidR="00990B14" w:rsidRDefault="00000000">
            <w:pPr>
              <w:spacing w:before="20" w:after="20"/>
              <w:jc w:val="both"/>
            </w:pPr>
            <w:r>
              <w:rPr>
                <w:sz w:val="18"/>
                <w:szCs w:val="18"/>
              </w:rPr>
              <w:t>Diseña pruebas de controles y sustantivas.</w:t>
            </w:r>
          </w:p>
        </w:tc>
        <w:tc>
          <w:tcPr>
            <w:tcW w:w="2080" w:type="dxa"/>
            <w:shd w:val="clear" w:color="auto" w:fill="D9E2F3"/>
            <w:vAlign w:val="center"/>
          </w:tcPr>
          <w:p w14:paraId="40BDE044" w14:textId="77777777" w:rsidR="00990B14" w:rsidRDefault="00000000">
            <w:pPr>
              <w:spacing w:before="20" w:after="20"/>
              <w:jc w:val="both"/>
            </w:pPr>
            <w:r>
              <w:rPr>
                <w:sz w:val="18"/>
                <w:szCs w:val="18"/>
              </w:rPr>
              <w:t>Define la naturaleza, oportunidad y extensión.</w:t>
            </w:r>
          </w:p>
        </w:tc>
      </w:tr>
      <w:tr w:rsidR="00990B14" w14:paraId="6C30492D" w14:textId="77777777">
        <w:trPr>
          <w:cantSplit/>
          <w:jc w:val="center"/>
        </w:trPr>
        <w:tc>
          <w:tcPr>
            <w:tcW w:w="1490" w:type="dxa"/>
            <w:vMerge/>
            <w:shd w:val="clear" w:color="auto" w:fill="4472C4"/>
            <w:vAlign w:val="center"/>
          </w:tcPr>
          <w:p w14:paraId="01152C4F" w14:textId="77777777" w:rsidR="00990B14" w:rsidRDefault="00990B14">
            <w:pPr>
              <w:spacing w:before="20" w:after="20"/>
            </w:pPr>
          </w:p>
        </w:tc>
        <w:tc>
          <w:tcPr>
            <w:tcW w:w="1910" w:type="dxa"/>
            <w:shd w:val="clear" w:color="auto" w:fill="D9E2F3"/>
            <w:vAlign w:val="center"/>
          </w:tcPr>
          <w:p w14:paraId="24519683" w14:textId="77777777" w:rsidR="00990B14" w:rsidRDefault="00000000">
            <w:pPr>
              <w:spacing w:before="20" w:after="20"/>
              <w:jc w:val="both"/>
            </w:pPr>
            <w:r>
              <w:rPr>
                <w:sz w:val="18"/>
                <w:szCs w:val="18"/>
              </w:rPr>
              <w:t>Presentación</w:t>
            </w:r>
          </w:p>
        </w:tc>
        <w:tc>
          <w:tcPr>
            <w:tcW w:w="2015" w:type="dxa"/>
            <w:shd w:val="clear" w:color="auto" w:fill="D9E2F3"/>
            <w:vAlign w:val="center"/>
          </w:tcPr>
          <w:p w14:paraId="6907E1D3" w14:textId="77777777" w:rsidR="00990B14" w:rsidRDefault="00000000">
            <w:pPr>
              <w:spacing w:before="20" w:after="20"/>
              <w:jc w:val="both"/>
            </w:pPr>
            <w:r>
              <w:rPr>
                <w:sz w:val="18"/>
                <w:szCs w:val="18"/>
              </w:rPr>
              <w:t>El programa es desordenado.</w:t>
            </w:r>
          </w:p>
        </w:tc>
        <w:tc>
          <w:tcPr>
            <w:tcW w:w="1910" w:type="dxa"/>
            <w:shd w:val="clear" w:color="auto" w:fill="D9E2F3"/>
            <w:vAlign w:val="center"/>
          </w:tcPr>
          <w:p w14:paraId="6E6F56DF" w14:textId="77777777" w:rsidR="00990B14" w:rsidRDefault="00000000">
            <w:pPr>
              <w:spacing w:before="20" w:after="20"/>
              <w:jc w:val="both"/>
            </w:pPr>
            <w:r>
              <w:rPr>
                <w:sz w:val="18"/>
                <w:szCs w:val="18"/>
              </w:rPr>
              <w:t>El programa es claro.</w:t>
            </w:r>
          </w:p>
        </w:tc>
        <w:tc>
          <w:tcPr>
            <w:tcW w:w="2080" w:type="dxa"/>
            <w:shd w:val="clear" w:color="auto" w:fill="D9E2F3"/>
            <w:vAlign w:val="center"/>
          </w:tcPr>
          <w:p w14:paraId="40648ADE" w14:textId="77777777" w:rsidR="00990B14" w:rsidRDefault="00000000">
            <w:pPr>
              <w:spacing w:before="20" w:after="20"/>
              <w:jc w:val="both"/>
            </w:pPr>
            <w:r>
              <w:rPr>
                <w:sz w:val="18"/>
                <w:szCs w:val="18"/>
              </w:rPr>
              <w:t>El programa está referenciado a los papeles de trabajo.</w:t>
            </w:r>
          </w:p>
        </w:tc>
      </w:tr>
      <w:tr w:rsidR="00990B14" w14:paraId="4139AA7C" w14:textId="77777777">
        <w:trPr>
          <w:cantSplit/>
          <w:jc w:val="center"/>
        </w:trPr>
        <w:tc>
          <w:tcPr>
            <w:tcW w:w="1490" w:type="dxa"/>
            <w:vMerge/>
            <w:shd w:val="clear" w:color="auto" w:fill="4472C4"/>
            <w:vAlign w:val="center"/>
          </w:tcPr>
          <w:p w14:paraId="13743E15" w14:textId="77777777" w:rsidR="00990B14" w:rsidRDefault="00990B14">
            <w:pPr>
              <w:spacing w:before="20" w:after="20"/>
            </w:pPr>
          </w:p>
        </w:tc>
        <w:tc>
          <w:tcPr>
            <w:tcW w:w="5835" w:type="dxa"/>
            <w:gridSpan w:val="3"/>
            <w:shd w:val="clear" w:color="auto" w:fill="D9E2F3"/>
            <w:vAlign w:val="center"/>
          </w:tcPr>
          <w:p w14:paraId="6D7E737C" w14:textId="77777777" w:rsidR="00990B14" w:rsidRDefault="00000000">
            <w:pPr>
              <w:keepNext/>
              <w:spacing w:before="20" w:after="20"/>
              <w:jc w:val="both"/>
            </w:pPr>
            <w:r>
              <w:rPr>
                <w:b/>
                <w:bCs/>
                <w:i/>
                <w:iCs/>
                <w:sz w:val="18"/>
                <w:szCs w:val="18"/>
              </w:rPr>
              <w:t xml:space="preserve">Producto 18: </w:t>
            </w:r>
            <w:r>
              <w:rPr>
                <w:sz w:val="18"/>
                <w:szCs w:val="18"/>
              </w:rPr>
              <w:t>Papeles de pruebas de controles y pruebas analíticas</w:t>
            </w:r>
          </w:p>
        </w:tc>
        <w:tc>
          <w:tcPr>
            <w:tcW w:w="2080" w:type="dxa"/>
            <w:shd w:val="clear" w:color="auto" w:fill="D9E2F3"/>
            <w:vAlign w:val="center"/>
          </w:tcPr>
          <w:p w14:paraId="27213D4E" w14:textId="77777777" w:rsidR="00990B14" w:rsidRDefault="00000000">
            <w:pPr>
              <w:spacing w:before="20" w:after="20"/>
              <w:jc w:val="center"/>
            </w:pPr>
            <w:r>
              <w:rPr>
                <w:b/>
                <w:bCs/>
                <w:sz w:val="18"/>
                <w:szCs w:val="18"/>
              </w:rPr>
              <w:t>6%</w:t>
            </w:r>
          </w:p>
        </w:tc>
      </w:tr>
      <w:tr w:rsidR="00990B14" w14:paraId="1906E599" w14:textId="77777777">
        <w:trPr>
          <w:cantSplit/>
          <w:jc w:val="center"/>
        </w:trPr>
        <w:tc>
          <w:tcPr>
            <w:tcW w:w="1490" w:type="dxa"/>
            <w:vMerge/>
            <w:shd w:val="clear" w:color="auto" w:fill="4472C4"/>
            <w:vAlign w:val="center"/>
          </w:tcPr>
          <w:p w14:paraId="5C4E2605" w14:textId="77777777" w:rsidR="00990B14" w:rsidRDefault="00990B14">
            <w:pPr>
              <w:spacing w:before="20" w:after="20"/>
            </w:pPr>
          </w:p>
        </w:tc>
        <w:tc>
          <w:tcPr>
            <w:tcW w:w="1910" w:type="dxa"/>
            <w:shd w:val="clear" w:color="auto" w:fill="4472C4"/>
            <w:vAlign w:val="center"/>
          </w:tcPr>
          <w:p w14:paraId="3D1578E4"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7BCB8BF4"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4AC51AA2" w14:textId="77777777" w:rsidR="00990B14" w:rsidRDefault="00000000">
            <w:pPr>
              <w:keepNext/>
              <w:spacing w:before="20" w:after="20"/>
              <w:jc w:val="center"/>
            </w:pPr>
            <w:r>
              <w:rPr>
                <w:b/>
                <w:bCs/>
                <w:i/>
                <w:iCs/>
                <w:color w:val="FFFFFF"/>
                <w:sz w:val="18"/>
                <w:szCs w:val="18"/>
              </w:rPr>
              <w:t>Suficiente (51–80)</w:t>
            </w:r>
          </w:p>
        </w:tc>
        <w:tc>
          <w:tcPr>
            <w:tcW w:w="2080" w:type="dxa"/>
            <w:shd w:val="clear" w:color="auto" w:fill="4472C4"/>
            <w:vAlign w:val="center"/>
          </w:tcPr>
          <w:p w14:paraId="069B9099" w14:textId="77777777" w:rsidR="00990B14" w:rsidRDefault="00000000">
            <w:pPr>
              <w:keepNext/>
              <w:spacing w:before="20" w:after="20"/>
              <w:jc w:val="center"/>
            </w:pPr>
            <w:r>
              <w:rPr>
                <w:b/>
                <w:bCs/>
                <w:i/>
                <w:iCs/>
                <w:color w:val="FFFFFF"/>
                <w:sz w:val="18"/>
                <w:szCs w:val="18"/>
              </w:rPr>
              <w:t>Destacado (81–100)</w:t>
            </w:r>
          </w:p>
        </w:tc>
      </w:tr>
      <w:tr w:rsidR="00990B14" w14:paraId="62C0EB27" w14:textId="77777777">
        <w:trPr>
          <w:cantSplit/>
          <w:jc w:val="center"/>
        </w:trPr>
        <w:tc>
          <w:tcPr>
            <w:tcW w:w="1490" w:type="dxa"/>
            <w:vMerge/>
            <w:shd w:val="clear" w:color="auto" w:fill="4472C4"/>
            <w:vAlign w:val="center"/>
          </w:tcPr>
          <w:p w14:paraId="38A2D1E9" w14:textId="77777777" w:rsidR="00990B14" w:rsidRDefault="00990B14">
            <w:pPr>
              <w:spacing w:before="20" w:after="20"/>
            </w:pPr>
          </w:p>
        </w:tc>
        <w:tc>
          <w:tcPr>
            <w:tcW w:w="1910" w:type="dxa"/>
            <w:shd w:val="clear" w:color="auto" w:fill="D9E2F3"/>
            <w:vAlign w:val="center"/>
          </w:tcPr>
          <w:p w14:paraId="595B9B61" w14:textId="77777777" w:rsidR="00990B14" w:rsidRDefault="00000000">
            <w:pPr>
              <w:spacing w:before="20" w:after="20"/>
              <w:jc w:val="both"/>
            </w:pPr>
            <w:r>
              <w:rPr>
                <w:sz w:val="18"/>
                <w:szCs w:val="18"/>
              </w:rPr>
              <w:t>Pruebas de controles</w:t>
            </w:r>
          </w:p>
        </w:tc>
        <w:tc>
          <w:tcPr>
            <w:tcW w:w="2015" w:type="dxa"/>
            <w:shd w:val="clear" w:color="auto" w:fill="D9E2F3"/>
            <w:vAlign w:val="center"/>
          </w:tcPr>
          <w:p w14:paraId="2A64B9DF" w14:textId="77777777" w:rsidR="00990B14" w:rsidRDefault="00000000">
            <w:pPr>
              <w:spacing w:before="20" w:after="20"/>
              <w:jc w:val="both"/>
            </w:pPr>
            <w:r>
              <w:rPr>
                <w:sz w:val="18"/>
                <w:szCs w:val="18"/>
              </w:rPr>
              <w:t>No documenta las pruebas.</w:t>
            </w:r>
          </w:p>
        </w:tc>
        <w:tc>
          <w:tcPr>
            <w:tcW w:w="1910" w:type="dxa"/>
            <w:shd w:val="clear" w:color="auto" w:fill="D9E2F3"/>
            <w:vAlign w:val="center"/>
          </w:tcPr>
          <w:p w14:paraId="753B6D7C" w14:textId="77777777" w:rsidR="00990B14" w:rsidRDefault="00000000">
            <w:pPr>
              <w:spacing w:before="20" w:after="20"/>
              <w:jc w:val="both"/>
            </w:pPr>
            <w:r>
              <w:rPr>
                <w:sz w:val="18"/>
                <w:szCs w:val="18"/>
              </w:rPr>
              <w:t>Ejecuta y documenta las pruebas de controles.</w:t>
            </w:r>
          </w:p>
        </w:tc>
        <w:tc>
          <w:tcPr>
            <w:tcW w:w="2080" w:type="dxa"/>
            <w:shd w:val="clear" w:color="auto" w:fill="D9E2F3"/>
            <w:vAlign w:val="center"/>
          </w:tcPr>
          <w:p w14:paraId="03E42736" w14:textId="77777777" w:rsidR="00990B14" w:rsidRDefault="00000000">
            <w:pPr>
              <w:spacing w:before="20" w:after="20"/>
              <w:jc w:val="both"/>
            </w:pPr>
            <w:r>
              <w:rPr>
                <w:sz w:val="18"/>
                <w:szCs w:val="18"/>
              </w:rPr>
              <w:t>Concluye sobre la eficacia operativa.</w:t>
            </w:r>
          </w:p>
        </w:tc>
      </w:tr>
      <w:tr w:rsidR="00990B14" w14:paraId="6140FA09" w14:textId="77777777">
        <w:trPr>
          <w:cantSplit/>
          <w:jc w:val="center"/>
        </w:trPr>
        <w:tc>
          <w:tcPr>
            <w:tcW w:w="1490" w:type="dxa"/>
            <w:vMerge/>
            <w:shd w:val="clear" w:color="auto" w:fill="4472C4"/>
            <w:vAlign w:val="center"/>
          </w:tcPr>
          <w:p w14:paraId="1E0A1B46" w14:textId="77777777" w:rsidR="00990B14" w:rsidRDefault="00990B14">
            <w:pPr>
              <w:spacing w:before="20" w:after="20"/>
            </w:pPr>
          </w:p>
        </w:tc>
        <w:tc>
          <w:tcPr>
            <w:tcW w:w="1910" w:type="dxa"/>
            <w:shd w:val="clear" w:color="auto" w:fill="D9E2F3"/>
            <w:vAlign w:val="center"/>
          </w:tcPr>
          <w:p w14:paraId="04C519AF" w14:textId="77777777" w:rsidR="00990B14" w:rsidRDefault="00000000">
            <w:pPr>
              <w:spacing w:before="20" w:after="20"/>
              <w:jc w:val="both"/>
            </w:pPr>
            <w:r>
              <w:rPr>
                <w:sz w:val="18"/>
                <w:szCs w:val="18"/>
              </w:rPr>
              <w:t>Procedimientos analíticos</w:t>
            </w:r>
          </w:p>
        </w:tc>
        <w:tc>
          <w:tcPr>
            <w:tcW w:w="2015" w:type="dxa"/>
            <w:shd w:val="clear" w:color="auto" w:fill="D9E2F3"/>
            <w:vAlign w:val="center"/>
          </w:tcPr>
          <w:p w14:paraId="18770C78" w14:textId="77777777" w:rsidR="00990B14" w:rsidRDefault="00000000">
            <w:pPr>
              <w:spacing w:before="20" w:after="20"/>
              <w:jc w:val="both"/>
            </w:pPr>
            <w:r>
              <w:rPr>
                <w:sz w:val="18"/>
                <w:szCs w:val="18"/>
              </w:rPr>
              <w:t>No define la expectativa.</w:t>
            </w:r>
          </w:p>
        </w:tc>
        <w:tc>
          <w:tcPr>
            <w:tcW w:w="1910" w:type="dxa"/>
            <w:shd w:val="clear" w:color="auto" w:fill="D9E2F3"/>
            <w:vAlign w:val="center"/>
          </w:tcPr>
          <w:p w14:paraId="2A260C6B" w14:textId="77777777" w:rsidR="00990B14" w:rsidRDefault="00000000">
            <w:pPr>
              <w:spacing w:before="20" w:after="20"/>
              <w:jc w:val="both"/>
            </w:pPr>
            <w:r>
              <w:rPr>
                <w:sz w:val="18"/>
                <w:szCs w:val="18"/>
              </w:rPr>
              <w:t>Define la expectativa y compara con los registros.</w:t>
            </w:r>
          </w:p>
        </w:tc>
        <w:tc>
          <w:tcPr>
            <w:tcW w:w="2080" w:type="dxa"/>
            <w:shd w:val="clear" w:color="auto" w:fill="D9E2F3"/>
            <w:vAlign w:val="center"/>
          </w:tcPr>
          <w:p w14:paraId="10B740E3" w14:textId="77777777" w:rsidR="00990B14" w:rsidRDefault="00000000">
            <w:pPr>
              <w:spacing w:before="20" w:after="20"/>
              <w:jc w:val="both"/>
            </w:pPr>
            <w:r>
              <w:rPr>
                <w:sz w:val="18"/>
                <w:szCs w:val="18"/>
              </w:rPr>
              <w:t>Investiga las diferencias significativas.</w:t>
            </w:r>
          </w:p>
        </w:tc>
      </w:tr>
      <w:tr w:rsidR="00990B14" w14:paraId="47192A2F" w14:textId="77777777">
        <w:trPr>
          <w:cantSplit/>
          <w:jc w:val="center"/>
        </w:trPr>
        <w:tc>
          <w:tcPr>
            <w:tcW w:w="1490" w:type="dxa"/>
            <w:vMerge/>
            <w:shd w:val="clear" w:color="auto" w:fill="4472C4"/>
            <w:vAlign w:val="center"/>
          </w:tcPr>
          <w:p w14:paraId="14C5269B" w14:textId="77777777" w:rsidR="00990B14" w:rsidRDefault="00990B14">
            <w:pPr>
              <w:spacing w:before="20" w:after="20"/>
            </w:pPr>
          </w:p>
        </w:tc>
        <w:tc>
          <w:tcPr>
            <w:tcW w:w="1910" w:type="dxa"/>
            <w:shd w:val="clear" w:color="auto" w:fill="D9E2F3"/>
            <w:vAlign w:val="center"/>
          </w:tcPr>
          <w:p w14:paraId="6A66BB08" w14:textId="77777777" w:rsidR="00990B14" w:rsidRDefault="00000000">
            <w:pPr>
              <w:spacing w:before="20" w:after="20"/>
              <w:jc w:val="both"/>
            </w:pPr>
            <w:r>
              <w:rPr>
                <w:sz w:val="18"/>
                <w:szCs w:val="18"/>
              </w:rPr>
              <w:t>Datos</w:t>
            </w:r>
          </w:p>
        </w:tc>
        <w:tc>
          <w:tcPr>
            <w:tcW w:w="2015" w:type="dxa"/>
            <w:shd w:val="clear" w:color="auto" w:fill="D9E2F3"/>
            <w:vAlign w:val="center"/>
          </w:tcPr>
          <w:p w14:paraId="022220FD" w14:textId="77777777" w:rsidR="00990B14" w:rsidRDefault="00000000">
            <w:pPr>
              <w:spacing w:before="20" w:after="20"/>
              <w:jc w:val="both"/>
            </w:pPr>
            <w:r>
              <w:rPr>
                <w:sz w:val="18"/>
                <w:szCs w:val="18"/>
              </w:rPr>
              <w:t>No verifica los datos.</w:t>
            </w:r>
          </w:p>
        </w:tc>
        <w:tc>
          <w:tcPr>
            <w:tcW w:w="1910" w:type="dxa"/>
            <w:shd w:val="clear" w:color="auto" w:fill="D9E2F3"/>
            <w:vAlign w:val="center"/>
          </w:tcPr>
          <w:p w14:paraId="72583FC8" w14:textId="77777777" w:rsidR="00990B14" w:rsidRDefault="00000000">
            <w:pPr>
              <w:spacing w:before="20" w:after="20"/>
              <w:jc w:val="both"/>
            </w:pPr>
            <w:r>
              <w:rPr>
                <w:sz w:val="18"/>
                <w:szCs w:val="18"/>
              </w:rPr>
              <w:t>Verifica la integridad y exactitud de los datos.</w:t>
            </w:r>
          </w:p>
        </w:tc>
        <w:tc>
          <w:tcPr>
            <w:tcW w:w="2080" w:type="dxa"/>
            <w:shd w:val="clear" w:color="auto" w:fill="D9E2F3"/>
            <w:vAlign w:val="center"/>
          </w:tcPr>
          <w:p w14:paraId="3E93CC80" w14:textId="77777777" w:rsidR="00990B14" w:rsidRDefault="00000000">
            <w:pPr>
              <w:spacing w:before="20" w:after="20"/>
              <w:jc w:val="both"/>
            </w:pPr>
            <w:r>
              <w:rPr>
                <w:sz w:val="18"/>
                <w:szCs w:val="18"/>
              </w:rPr>
              <w:t>Documenta el origen de los datos utilizados.</w:t>
            </w:r>
          </w:p>
        </w:tc>
      </w:tr>
      <w:tr w:rsidR="00990B14" w14:paraId="2CDB9982" w14:textId="77777777">
        <w:trPr>
          <w:cantSplit/>
          <w:jc w:val="center"/>
        </w:trPr>
        <w:tc>
          <w:tcPr>
            <w:tcW w:w="1490" w:type="dxa"/>
            <w:vMerge/>
            <w:shd w:val="clear" w:color="auto" w:fill="4472C4"/>
            <w:vAlign w:val="center"/>
          </w:tcPr>
          <w:p w14:paraId="2B742531" w14:textId="77777777" w:rsidR="00990B14" w:rsidRDefault="00990B14">
            <w:pPr>
              <w:spacing w:before="20" w:after="20"/>
            </w:pPr>
          </w:p>
        </w:tc>
        <w:tc>
          <w:tcPr>
            <w:tcW w:w="5835" w:type="dxa"/>
            <w:gridSpan w:val="3"/>
            <w:shd w:val="clear" w:color="auto" w:fill="D9E2F3"/>
            <w:vAlign w:val="center"/>
          </w:tcPr>
          <w:p w14:paraId="21C393A8" w14:textId="77777777" w:rsidR="00990B14" w:rsidRDefault="00000000">
            <w:pPr>
              <w:keepNext/>
              <w:spacing w:before="20" w:after="20"/>
              <w:jc w:val="both"/>
            </w:pPr>
            <w:r>
              <w:rPr>
                <w:b/>
                <w:bCs/>
                <w:i/>
                <w:iCs/>
                <w:sz w:val="18"/>
                <w:szCs w:val="18"/>
              </w:rPr>
              <w:t xml:space="preserve">Producto 19: </w:t>
            </w:r>
            <w:r>
              <w:rPr>
                <w:sz w:val="18"/>
                <w:szCs w:val="18"/>
              </w:rPr>
              <w:t>Cédula de muestreo y proyección de incorrecciones</w:t>
            </w:r>
          </w:p>
        </w:tc>
        <w:tc>
          <w:tcPr>
            <w:tcW w:w="2080" w:type="dxa"/>
            <w:shd w:val="clear" w:color="auto" w:fill="D9E2F3"/>
            <w:vAlign w:val="center"/>
          </w:tcPr>
          <w:p w14:paraId="6704591D" w14:textId="77777777" w:rsidR="00990B14" w:rsidRDefault="00000000">
            <w:pPr>
              <w:spacing w:before="20" w:after="20"/>
              <w:jc w:val="center"/>
            </w:pPr>
            <w:r>
              <w:rPr>
                <w:b/>
                <w:bCs/>
                <w:sz w:val="18"/>
                <w:szCs w:val="18"/>
              </w:rPr>
              <w:t>6%</w:t>
            </w:r>
          </w:p>
        </w:tc>
      </w:tr>
      <w:tr w:rsidR="00990B14" w14:paraId="1D0B3648" w14:textId="77777777">
        <w:trPr>
          <w:cantSplit/>
          <w:jc w:val="center"/>
        </w:trPr>
        <w:tc>
          <w:tcPr>
            <w:tcW w:w="1490" w:type="dxa"/>
            <w:vMerge/>
            <w:shd w:val="clear" w:color="auto" w:fill="4472C4"/>
            <w:vAlign w:val="center"/>
          </w:tcPr>
          <w:p w14:paraId="7F9CE03F" w14:textId="77777777" w:rsidR="00990B14" w:rsidRDefault="00990B14">
            <w:pPr>
              <w:spacing w:before="20" w:after="20"/>
            </w:pPr>
          </w:p>
        </w:tc>
        <w:tc>
          <w:tcPr>
            <w:tcW w:w="1910" w:type="dxa"/>
            <w:shd w:val="clear" w:color="auto" w:fill="4472C4"/>
            <w:vAlign w:val="center"/>
          </w:tcPr>
          <w:p w14:paraId="4053D0CA"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6A7DB19E"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7313EB3D" w14:textId="77777777" w:rsidR="00990B14" w:rsidRDefault="00000000">
            <w:pPr>
              <w:keepNext/>
              <w:spacing w:before="20" w:after="20"/>
              <w:jc w:val="center"/>
            </w:pPr>
            <w:r>
              <w:rPr>
                <w:b/>
                <w:bCs/>
                <w:i/>
                <w:iCs/>
                <w:color w:val="FFFFFF"/>
                <w:sz w:val="18"/>
                <w:szCs w:val="18"/>
              </w:rPr>
              <w:t>Suficiente (51–80)</w:t>
            </w:r>
          </w:p>
        </w:tc>
        <w:tc>
          <w:tcPr>
            <w:tcW w:w="2080" w:type="dxa"/>
            <w:shd w:val="clear" w:color="auto" w:fill="4472C4"/>
            <w:vAlign w:val="center"/>
          </w:tcPr>
          <w:p w14:paraId="5E347221" w14:textId="77777777" w:rsidR="00990B14" w:rsidRDefault="00000000">
            <w:pPr>
              <w:keepNext/>
              <w:spacing w:before="20" w:after="20"/>
              <w:jc w:val="center"/>
            </w:pPr>
            <w:r>
              <w:rPr>
                <w:b/>
                <w:bCs/>
                <w:i/>
                <w:iCs/>
                <w:color w:val="FFFFFF"/>
                <w:sz w:val="18"/>
                <w:szCs w:val="18"/>
              </w:rPr>
              <w:t>Destacado (81–100)</w:t>
            </w:r>
          </w:p>
        </w:tc>
      </w:tr>
      <w:tr w:rsidR="00990B14" w14:paraId="67480AE0" w14:textId="77777777">
        <w:trPr>
          <w:cantSplit/>
          <w:jc w:val="center"/>
        </w:trPr>
        <w:tc>
          <w:tcPr>
            <w:tcW w:w="1490" w:type="dxa"/>
            <w:vMerge/>
            <w:shd w:val="clear" w:color="auto" w:fill="4472C4"/>
            <w:vAlign w:val="center"/>
          </w:tcPr>
          <w:p w14:paraId="522E16E9" w14:textId="77777777" w:rsidR="00990B14" w:rsidRDefault="00990B14">
            <w:pPr>
              <w:spacing w:before="20" w:after="20"/>
            </w:pPr>
          </w:p>
        </w:tc>
        <w:tc>
          <w:tcPr>
            <w:tcW w:w="1910" w:type="dxa"/>
            <w:shd w:val="clear" w:color="auto" w:fill="D9E2F3"/>
            <w:vAlign w:val="center"/>
          </w:tcPr>
          <w:p w14:paraId="4D31CFAC" w14:textId="77777777" w:rsidR="00990B14" w:rsidRDefault="00000000">
            <w:pPr>
              <w:spacing w:before="20" w:after="20"/>
              <w:jc w:val="both"/>
            </w:pPr>
            <w:r>
              <w:rPr>
                <w:sz w:val="18"/>
                <w:szCs w:val="18"/>
              </w:rPr>
              <w:t>Tamaño de la muestra</w:t>
            </w:r>
          </w:p>
        </w:tc>
        <w:tc>
          <w:tcPr>
            <w:tcW w:w="2015" w:type="dxa"/>
            <w:shd w:val="clear" w:color="auto" w:fill="D9E2F3"/>
            <w:vAlign w:val="center"/>
          </w:tcPr>
          <w:p w14:paraId="0AF8C9F6" w14:textId="77777777" w:rsidR="00990B14" w:rsidRDefault="00000000">
            <w:pPr>
              <w:spacing w:before="20" w:after="20"/>
              <w:jc w:val="both"/>
            </w:pPr>
            <w:r>
              <w:rPr>
                <w:sz w:val="18"/>
                <w:szCs w:val="18"/>
              </w:rPr>
              <w:t>El tamaño es arbitrario.</w:t>
            </w:r>
          </w:p>
        </w:tc>
        <w:tc>
          <w:tcPr>
            <w:tcW w:w="1910" w:type="dxa"/>
            <w:shd w:val="clear" w:color="auto" w:fill="D9E2F3"/>
            <w:vAlign w:val="center"/>
          </w:tcPr>
          <w:p w14:paraId="056898FE" w14:textId="77777777" w:rsidR="00990B14" w:rsidRDefault="00000000">
            <w:pPr>
              <w:spacing w:before="20" w:after="20"/>
              <w:jc w:val="both"/>
            </w:pPr>
            <w:r>
              <w:rPr>
                <w:sz w:val="18"/>
                <w:szCs w:val="18"/>
              </w:rPr>
              <w:t>Determina el tamaño con un método estadístico.</w:t>
            </w:r>
          </w:p>
        </w:tc>
        <w:tc>
          <w:tcPr>
            <w:tcW w:w="2080" w:type="dxa"/>
            <w:shd w:val="clear" w:color="auto" w:fill="D9E2F3"/>
            <w:vAlign w:val="center"/>
          </w:tcPr>
          <w:p w14:paraId="18C20BB6" w14:textId="77777777" w:rsidR="00990B14" w:rsidRDefault="00000000">
            <w:pPr>
              <w:spacing w:before="20" w:after="20"/>
              <w:jc w:val="both"/>
            </w:pPr>
            <w:r>
              <w:rPr>
                <w:sz w:val="18"/>
                <w:szCs w:val="18"/>
              </w:rPr>
              <w:t>Justifica los parámetros utilizados.</w:t>
            </w:r>
          </w:p>
        </w:tc>
      </w:tr>
      <w:tr w:rsidR="00990B14" w14:paraId="5294F4C7" w14:textId="77777777">
        <w:trPr>
          <w:cantSplit/>
          <w:jc w:val="center"/>
        </w:trPr>
        <w:tc>
          <w:tcPr>
            <w:tcW w:w="1490" w:type="dxa"/>
            <w:vMerge/>
            <w:shd w:val="clear" w:color="auto" w:fill="4472C4"/>
            <w:vAlign w:val="center"/>
          </w:tcPr>
          <w:p w14:paraId="51D61156" w14:textId="77777777" w:rsidR="00990B14" w:rsidRDefault="00990B14">
            <w:pPr>
              <w:spacing w:before="20" w:after="20"/>
            </w:pPr>
          </w:p>
        </w:tc>
        <w:tc>
          <w:tcPr>
            <w:tcW w:w="1910" w:type="dxa"/>
            <w:shd w:val="clear" w:color="auto" w:fill="D9E2F3"/>
            <w:vAlign w:val="center"/>
          </w:tcPr>
          <w:p w14:paraId="1C63E18B" w14:textId="77777777" w:rsidR="00990B14" w:rsidRDefault="00000000">
            <w:pPr>
              <w:spacing w:before="20" w:after="20"/>
              <w:jc w:val="both"/>
            </w:pPr>
            <w:r>
              <w:rPr>
                <w:sz w:val="18"/>
                <w:szCs w:val="18"/>
              </w:rPr>
              <w:t>Selección</w:t>
            </w:r>
          </w:p>
        </w:tc>
        <w:tc>
          <w:tcPr>
            <w:tcW w:w="2015" w:type="dxa"/>
            <w:shd w:val="clear" w:color="auto" w:fill="D9E2F3"/>
            <w:vAlign w:val="center"/>
          </w:tcPr>
          <w:p w14:paraId="3ED0480B" w14:textId="77777777" w:rsidR="00990B14" w:rsidRDefault="00000000">
            <w:pPr>
              <w:spacing w:before="20" w:after="20"/>
              <w:jc w:val="both"/>
            </w:pPr>
            <w:r>
              <w:rPr>
                <w:sz w:val="18"/>
                <w:szCs w:val="18"/>
              </w:rPr>
              <w:t>La selección no es aleatoria.</w:t>
            </w:r>
          </w:p>
        </w:tc>
        <w:tc>
          <w:tcPr>
            <w:tcW w:w="1910" w:type="dxa"/>
            <w:shd w:val="clear" w:color="auto" w:fill="D9E2F3"/>
            <w:vAlign w:val="center"/>
          </w:tcPr>
          <w:p w14:paraId="5768B0D3" w14:textId="77777777" w:rsidR="00990B14" w:rsidRDefault="00000000">
            <w:pPr>
              <w:spacing w:before="20" w:after="20"/>
              <w:jc w:val="both"/>
            </w:pPr>
            <w:r>
              <w:rPr>
                <w:sz w:val="18"/>
                <w:szCs w:val="18"/>
              </w:rPr>
              <w:t>Selecciona la muestra con herramientas informáticas.</w:t>
            </w:r>
          </w:p>
        </w:tc>
        <w:tc>
          <w:tcPr>
            <w:tcW w:w="2080" w:type="dxa"/>
            <w:shd w:val="clear" w:color="auto" w:fill="D9E2F3"/>
            <w:vAlign w:val="center"/>
          </w:tcPr>
          <w:p w14:paraId="66547EE5" w14:textId="77777777" w:rsidR="00990B14" w:rsidRDefault="00000000">
            <w:pPr>
              <w:spacing w:before="20" w:after="20"/>
              <w:jc w:val="both"/>
            </w:pPr>
            <w:r>
              <w:rPr>
                <w:sz w:val="18"/>
                <w:szCs w:val="18"/>
              </w:rPr>
              <w:t>Documenta el criterio de selección.</w:t>
            </w:r>
          </w:p>
        </w:tc>
      </w:tr>
      <w:tr w:rsidR="00990B14" w14:paraId="636D799E" w14:textId="77777777">
        <w:trPr>
          <w:cantSplit/>
          <w:jc w:val="center"/>
        </w:trPr>
        <w:tc>
          <w:tcPr>
            <w:tcW w:w="1490" w:type="dxa"/>
            <w:vMerge/>
            <w:shd w:val="clear" w:color="auto" w:fill="4472C4"/>
            <w:vAlign w:val="center"/>
          </w:tcPr>
          <w:p w14:paraId="377F4B1D" w14:textId="77777777" w:rsidR="00990B14" w:rsidRDefault="00990B14">
            <w:pPr>
              <w:spacing w:before="20" w:after="20"/>
            </w:pPr>
          </w:p>
        </w:tc>
        <w:tc>
          <w:tcPr>
            <w:tcW w:w="1910" w:type="dxa"/>
            <w:shd w:val="clear" w:color="auto" w:fill="D9E2F3"/>
            <w:vAlign w:val="center"/>
          </w:tcPr>
          <w:p w14:paraId="297162B1" w14:textId="77777777" w:rsidR="00990B14" w:rsidRDefault="00000000">
            <w:pPr>
              <w:spacing w:before="20" w:after="20"/>
              <w:jc w:val="both"/>
            </w:pPr>
            <w:r>
              <w:rPr>
                <w:sz w:val="18"/>
                <w:szCs w:val="18"/>
              </w:rPr>
              <w:t>Proyección</w:t>
            </w:r>
          </w:p>
        </w:tc>
        <w:tc>
          <w:tcPr>
            <w:tcW w:w="2015" w:type="dxa"/>
            <w:shd w:val="clear" w:color="auto" w:fill="D9E2F3"/>
            <w:vAlign w:val="center"/>
          </w:tcPr>
          <w:p w14:paraId="7DE3DAE4" w14:textId="77777777" w:rsidR="00990B14" w:rsidRDefault="00000000">
            <w:pPr>
              <w:spacing w:before="20" w:after="20"/>
              <w:jc w:val="both"/>
            </w:pPr>
            <w:r>
              <w:rPr>
                <w:sz w:val="18"/>
                <w:szCs w:val="18"/>
              </w:rPr>
              <w:t>No proyecta las incorrecciones.</w:t>
            </w:r>
          </w:p>
        </w:tc>
        <w:tc>
          <w:tcPr>
            <w:tcW w:w="1910" w:type="dxa"/>
            <w:shd w:val="clear" w:color="auto" w:fill="D9E2F3"/>
            <w:vAlign w:val="center"/>
          </w:tcPr>
          <w:p w14:paraId="29515EAE" w14:textId="77777777" w:rsidR="00990B14" w:rsidRDefault="00000000">
            <w:pPr>
              <w:spacing w:before="20" w:after="20"/>
              <w:jc w:val="both"/>
            </w:pPr>
            <w:r>
              <w:rPr>
                <w:sz w:val="18"/>
                <w:szCs w:val="18"/>
              </w:rPr>
              <w:t>Proyecta las incorrecciones a la población.</w:t>
            </w:r>
          </w:p>
        </w:tc>
        <w:tc>
          <w:tcPr>
            <w:tcW w:w="2080" w:type="dxa"/>
            <w:shd w:val="clear" w:color="auto" w:fill="D9E2F3"/>
            <w:vAlign w:val="center"/>
          </w:tcPr>
          <w:p w14:paraId="31AA0ACF" w14:textId="77777777" w:rsidR="00990B14" w:rsidRDefault="00000000">
            <w:pPr>
              <w:spacing w:before="20" w:after="20"/>
              <w:jc w:val="both"/>
            </w:pPr>
            <w:r>
              <w:rPr>
                <w:sz w:val="18"/>
                <w:szCs w:val="18"/>
              </w:rPr>
              <w:t>Evalúa el resultado frente a la materialidad.</w:t>
            </w:r>
          </w:p>
        </w:tc>
      </w:tr>
      <w:tr w:rsidR="00990B14" w14:paraId="61B82412" w14:textId="77777777">
        <w:trPr>
          <w:cantSplit/>
          <w:jc w:val="center"/>
        </w:trPr>
        <w:tc>
          <w:tcPr>
            <w:tcW w:w="1490" w:type="dxa"/>
            <w:vMerge/>
            <w:shd w:val="clear" w:color="auto" w:fill="4472C4"/>
            <w:vAlign w:val="center"/>
          </w:tcPr>
          <w:p w14:paraId="79DF9B1B" w14:textId="77777777" w:rsidR="00990B14" w:rsidRDefault="00990B14">
            <w:pPr>
              <w:spacing w:before="20" w:after="20"/>
            </w:pPr>
          </w:p>
        </w:tc>
        <w:tc>
          <w:tcPr>
            <w:tcW w:w="5835" w:type="dxa"/>
            <w:gridSpan w:val="3"/>
            <w:shd w:val="clear" w:color="auto" w:fill="D9E2F3"/>
            <w:vAlign w:val="center"/>
          </w:tcPr>
          <w:p w14:paraId="124E4C8E" w14:textId="77777777" w:rsidR="00990B14" w:rsidRDefault="00000000">
            <w:pPr>
              <w:keepNext/>
              <w:spacing w:before="20" w:after="20"/>
              <w:jc w:val="both"/>
            </w:pPr>
            <w:r>
              <w:rPr>
                <w:b/>
                <w:bCs/>
                <w:i/>
                <w:iCs/>
                <w:sz w:val="18"/>
                <w:szCs w:val="18"/>
              </w:rPr>
              <w:t xml:space="preserve">Producto 20: </w:t>
            </w:r>
            <w:r>
              <w:rPr>
                <w:sz w:val="18"/>
                <w:szCs w:val="18"/>
              </w:rPr>
              <w:t>Archivo de papeles de trabajo y carta de representaciones</w:t>
            </w:r>
          </w:p>
        </w:tc>
        <w:tc>
          <w:tcPr>
            <w:tcW w:w="2080" w:type="dxa"/>
            <w:shd w:val="clear" w:color="auto" w:fill="D9E2F3"/>
            <w:vAlign w:val="center"/>
          </w:tcPr>
          <w:p w14:paraId="60DB8CDF" w14:textId="77777777" w:rsidR="00990B14" w:rsidRDefault="00000000">
            <w:pPr>
              <w:spacing w:before="20" w:after="20"/>
              <w:jc w:val="center"/>
            </w:pPr>
            <w:r>
              <w:rPr>
                <w:b/>
                <w:bCs/>
                <w:sz w:val="18"/>
                <w:szCs w:val="18"/>
              </w:rPr>
              <w:t>6%</w:t>
            </w:r>
          </w:p>
        </w:tc>
      </w:tr>
      <w:tr w:rsidR="00990B14" w14:paraId="474363EB" w14:textId="77777777">
        <w:trPr>
          <w:cantSplit/>
          <w:jc w:val="center"/>
        </w:trPr>
        <w:tc>
          <w:tcPr>
            <w:tcW w:w="1490" w:type="dxa"/>
            <w:vMerge/>
            <w:shd w:val="clear" w:color="auto" w:fill="4472C4"/>
            <w:vAlign w:val="center"/>
          </w:tcPr>
          <w:p w14:paraId="704CB74E" w14:textId="77777777" w:rsidR="00990B14" w:rsidRDefault="00990B14">
            <w:pPr>
              <w:spacing w:before="20" w:after="20"/>
            </w:pPr>
          </w:p>
        </w:tc>
        <w:tc>
          <w:tcPr>
            <w:tcW w:w="1910" w:type="dxa"/>
            <w:shd w:val="clear" w:color="auto" w:fill="4472C4"/>
            <w:vAlign w:val="center"/>
          </w:tcPr>
          <w:p w14:paraId="4A211356"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71EFA893"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1223038B" w14:textId="77777777" w:rsidR="00990B14" w:rsidRDefault="00000000">
            <w:pPr>
              <w:keepNext/>
              <w:spacing w:before="20" w:after="20"/>
              <w:jc w:val="center"/>
            </w:pPr>
            <w:r>
              <w:rPr>
                <w:b/>
                <w:bCs/>
                <w:i/>
                <w:iCs/>
                <w:color w:val="FFFFFF"/>
                <w:sz w:val="18"/>
                <w:szCs w:val="18"/>
              </w:rPr>
              <w:t>Suficiente (51–80)</w:t>
            </w:r>
          </w:p>
        </w:tc>
        <w:tc>
          <w:tcPr>
            <w:tcW w:w="2080" w:type="dxa"/>
            <w:shd w:val="clear" w:color="auto" w:fill="4472C4"/>
            <w:vAlign w:val="center"/>
          </w:tcPr>
          <w:p w14:paraId="644BB3F3" w14:textId="77777777" w:rsidR="00990B14" w:rsidRDefault="00000000">
            <w:pPr>
              <w:keepNext/>
              <w:spacing w:before="20" w:after="20"/>
              <w:jc w:val="center"/>
            </w:pPr>
            <w:r>
              <w:rPr>
                <w:b/>
                <w:bCs/>
                <w:i/>
                <w:iCs/>
                <w:color w:val="FFFFFF"/>
                <w:sz w:val="18"/>
                <w:szCs w:val="18"/>
              </w:rPr>
              <w:t>Destacado (81–100)</w:t>
            </w:r>
          </w:p>
        </w:tc>
      </w:tr>
      <w:tr w:rsidR="00990B14" w14:paraId="60D8314D" w14:textId="77777777">
        <w:trPr>
          <w:cantSplit/>
          <w:jc w:val="center"/>
        </w:trPr>
        <w:tc>
          <w:tcPr>
            <w:tcW w:w="1490" w:type="dxa"/>
            <w:vMerge/>
            <w:shd w:val="clear" w:color="auto" w:fill="4472C4"/>
            <w:vAlign w:val="center"/>
          </w:tcPr>
          <w:p w14:paraId="7F5D04C3" w14:textId="77777777" w:rsidR="00990B14" w:rsidRDefault="00990B14">
            <w:pPr>
              <w:spacing w:before="20" w:after="20"/>
            </w:pPr>
          </w:p>
        </w:tc>
        <w:tc>
          <w:tcPr>
            <w:tcW w:w="1910" w:type="dxa"/>
            <w:shd w:val="clear" w:color="auto" w:fill="D9E2F3"/>
            <w:vAlign w:val="center"/>
          </w:tcPr>
          <w:p w14:paraId="2E8C973D" w14:textId="77777777" w:rsidR="00990B14" w:rsidRDefault="00000000">
            <w:pPr>
              <w:spacing w:before="20" w:after="20"/>
              <w:jc w:val="both"/>
            </w:pPr>
            <w:r>
              <w:rPr>
                <w:sz w:val="18"/>
                <w:szCs w:val="18"/>
              </w:rPr>
              <w:t>Organización</w:t>
            </w:r>
          </w:p>
        </w:tc>
        <w:tc>
          <w:tcPr>
            <w:tcW w:w="2015" w:type="dxa"/>
            <w:shd w:val="clear" w:color="auto" w:fill="D9E2F3"/>
            <w:vAlign w:val="center"/>
          </w:tcPr>
          <w:p w14:paraId="6292D64D" w14:textId="77777777" w:rsidR="00990B14" w:rsidRDefault="00000000">
            <w:pPr>
              <w:spacing w:before="20" w:after="20"/>
              <w:jc w:val="both"/>
            </w:pPr>
            <w:r>
              <w:rPr>
                <w:sz w:val="18"/>
                <w:szCs w:val="18"/>
              </w:rPr>
              <w:t>El archivo es desordenado.</w:t>
            </w:r>
          </w:p>
        </w:tc>
        <w:tc>
          <w:tcPr>
            <w:tcW w:w="1910" w:type="dxa"/>
            <w:shd w:val="clear" w:color="auto" w:fill="D9E2F3"/>
            <w:vAlign w:val="center"/>
          </w:tcPr>
          <w:p w14:paraId="36342B54" w14:textId="77777777" w:rsidR="00990B14" w:rsidRDefault="00000000">
            <w:pPr>
              <w:spacing w:before="20" w:after="20"/>
              <w:jc w:val="both"/>
            </w:pPr>
            <w:r>
              <w:rPr>
                <w:sz w:val="18"/>
                <w:szCs w:val="18"/>
              </w:rPr>
              <w:t>El archivo está organizado y referenciado.</w:t>
            </w:r>
          </w:p>
        </w:tc>
        <w:tc>
          <w:tcPr>
            <w:tcW w:w="2080" w:type="dxa"/>
            <w:shd w:val="clear" w:color="auto" w:fill="D9E2F3"/>
            <w:vAlign w:val="center"/>
          </w:tcPr>
          <w:p w14:paraId="0A6F09D0" w14:textId="77777777" w:rsidR="00990B14" w:rsidRDefault="00000000">
            <w:pPr>
              <w:spacing w:before="20" w:after="20"/>
              <w:jc w:val="both"/>
            </w:pPr>
            <w:r>
              <w:rPr>
                <w:sz w:val="18"/>
                <w:szCs w:val="18"/>
              </w:rPr>
              <w:t>El archivo permite a un auditor experimentado entender el trabajo.</w:t>
            </w:r>
          </w:p>
        </w:tc>
      </w:tr>
      <w:tr w:rsidR="00990B14" w14:paraId="08C18891" w14:textId="77777777">
        <w:trPr>
          <w:cantSplit/>
          <w:jc w:val="center"/>
        </w:trPr>
        <w:tc>
          <w:tcPr>
            <w:tcW w:w="1490" w:type="dxa"/>
            <w:vMerge/>
            <w:shd w:val="clear" w:color="auto" w:fill="4472C4"/>
            <w:vAlign w:val="center"/>
          </w:tcPr>
          <w:p w14:paraId="60E82E6A" w14:textId="77777777" w:rsidR="00990B14" w:rsidRDefault="00990B14">
            <w:pPr>
              <w:spacing w:before="20" w:after="20"/>
            </w:pPr>
          </w:p>
        </w:tc>
        <w:tc>
          <w:tcPr>
            <w:tcW w:w="1910" w:type="dxa"/>
            <w:shd w:val="clear" w:color="auto" w:fill="D9E2F3"/>
            <w:vAlign w:val="center"/>
          </w:tcPr>
          <w:p w14:paraId="4649715F" w14:textId="77777777" w:rsidR="00990B14" w:rsidRDefault="00000000">
            <w:pPr>
              <w:spacing w:before="20" w:after="20"/>
              <w:jc w:val="both"/>
            </w:pPr>
            <w:r>
              <w:rPr>
                <w:sz w:val="18"/>
                <w:szCs w:val="18"/>
              </w:rPr>
              <w:t>Carta de representaciones</w:t>
            </w:r>
          </w:p>
        </w:tc>
        <w:tc>
          <w:tcPr>
            <w:tcW w:w="2015" w:type="dxa"/>
            <w:shd w:val="clear" w:color="auto" w:fill="D9E2F3"/>
            <w:vAlign w:val="center"/>
          </w:tcPr>
          <w:p w14:paraId="0A8F33B0" w14:textId="77777777" w:rsidR="00990B14" w:rsidRDefault="00000000">
            <w:pPr>
              <w:spacing w:before="20" w:after="20"/>
              <w:jc w:val="both"/>
            </w:pPr>
            <w:r>
              <w:rPr>
                <w:sz w:val="18"/>
                <w:szCs w:val="18"/>
              </w:rPr>
              <w:t>Omite representaciones.</w:t>
            </w:r>
          </w:p>
        </w:tc>
        <w:tc>
          <w:tcPr>
            <w:tcW w:w="1910" w:type="dxa"/>
            <w:shd w:val="clear" w:color="auto" w:fill="D9E2F3"/>
            <w:vAlign w:val="center"/>
          </w:tcPr>
          <w:p w14:paraId="32BEA92D" w14:textId="77777777" w:rsidR="00990B14" w:rsidRDefault="00000000">
            <w:pPr>
              <w:spacing w:before="20" w:after="20"/>
              <w:jc w:val="both"/>
            </w:pPr>
            <w:r>
              <w:rPr>
                <w:sz w:val="18"/>
                <w:szCs w:val="18"/>
              </w:rPr>
              <w:t>Incluye las representaciones requeridas.</w:t>
            </w:r>
          </w:p>
        </w:tc>
        <w:tc>
          <w:tcPr>
            <w:tcW w:w="2080" w:type="dxa"/>
            <w:shd w:val="clear" w:color="auto" w:fill="D9E2F3"/>
            <w:vAlign w:val="center"/>
          </w:tcPr>
          <w:p w14:paraId="576CECB4" w14:textId="77777777" w:rsidR="00990B14" w:rsidRDefault="00000000">
            <w:pPr>
              <w:spacing w:before="20" w:after="20"/>
              <w:jc w:val="both"/>
            </w:pPr>
            <w:r>
              <w:rPr>
                <w:sz w:val="18"/>
                <w:szCs w:val="18"/>
              </w:rPr>
              <w:t>Adapta las representaciones al caso.</w:t>
            </w:r>
          </w:p>
        </w:tc>
      </w:tr>
      <w:tr w:rsidR="00990B14" w14:paraId="6E8A2742" w14:textId="77777777">
        <w:trPr>
          <w:cantSplit/>
          <w:jc w:val="center"/>
        </w:trPr>
        <w:tc>
          <w:tcPr>
            <w:tcW w:w="1490" w:type="dxa"/>
            <w:vMerge/>
            <w:shd w:val="clear" w:color="auto" w:fill="4472C4"/>
            <w:vAlign w:val="center"/>
          </w:tcPr>
          <w:p w14:paraId="03A0C79F" w14:textId="77777777" w:rsidR="00990B14" w:rsidRDefault="00990B14">
            <w:pPr>
              <w:spacing w:before="20" w:after="20"/>
            </w:pPr>
          </w:p>
        </w:tc>
        <w:tc>
          <w:tcPr>
            <w:tcW w:w="1910" w:type="dxa"/>
            <w:shd w:val="clear" w:color="auto" w:fill="D9E2F3"/>
            <w:vAlign w:val="center"/>
          </w:tcPr>
          <w:p w14:paraId="4A16C0EE" w14:textId="77777777" w:rsidR="00990B14" w:rsidRDefault="00000000">
            <w:pPr>
              <w:spacing w:before="20" w:after="20"/>
              <w:jc w:val="both"/>
            </w:pPr>
            <w:r>
              <w:rPr>
                <w:sz w:val="18"/>
                <w:szCs w:val="18"/>
              </w:rPr>
              <w:t>Conservación</w:t>
            </w:r>
          </w:p>
        </w:tc>
        <w:tc>
          <w:tcPr>
            <w:tcW w:w="2015" w:type="dxa"/>
            <w:shd w:val="clear" w:color="auto" w:fill="D9E2F3"/>
            <w:vAlign w:val="center"/>
          </w:tcPr>
          <w:p w14:paraId="65F43DB4" w14:textId="77777777" w:rsidR="00990B14" w:rsidRDefault="00000000">
            <w:pPr>
              <w:spacing w:before="20" w:after="20"/>
              <w:jc w:val="both"/>
            </w:pPr>
            <w:r>
              <w:rPr>
                <w:sz w:val="18"/>
                <w:szCs w:val="18"/>
              </w:rPr>
              <w:t>No considera la conservación.</w:t>
            </w:r>
          </w:p>
        </w:tc>
        <w:tc>
          <w:tcPr>
            <w:tcW w:w="1910" w:type="dxa"/>
            <w:shd w:val="clear" w:color="auto" w:fill="D9E2F3"/>
            <w:vAlign w:val="center"/>
          </w:tcPr>
          <w:p w14:paraId="65F01B06" w14:textId="77777777" w:rsidR="00990B14" w:rsidRDefault="00000000">
            <w:pPr>
              <w:spacing w:before="20" w:after="20"/>
              <w:jc w:val="both"/>
            </w:pPr>
            <w:r>
              <w:rPr>
                <w:sz w:val="18"/>
                <w:szCs w:val="18"/>
              </w:rPr>
              <w:t>Aplica las reglas de terminación del archivo.</w:t>
            </w:r>
          </w:p>
        </w:tc>
        <w:tc>
          <w:tcPr>
            <w:tcW w:w="2080" w:type="dxa"/>
            <w:shd w:val="clear" w:color="auto" w:fill="D9E2F3"/>
            <w:vAlign w:val="center"/>
          </w:tcPr>
          <w:p w14:paraId="47499FF4" w14:textId="77777777" w:rsidR="00990B14" w:rsidRDefault="00000000">
            <w:pPr>
              <w:spacing w:before="20" w:after="20"/>
              <w:jc w:val="both"/>
            </w:pPr>
            <w:r>
              <w:rPr>
                <w:sz w:val="18"/>
                <w:szCs w:val="18"/>
              </w:rPr>
              <w:t>Aplica controles de acceso y trazabilidad.</w:t>
            </w:r>
          </w:p>
        </w:tc>
      </w:tr>
      <w:tr w:rsidR="00990B14" w14:paraId="34708361" w14:textId="77777777">
        <w:trPr>
          <w:cantSplit/>
          <w:jc w:val="center"/>
        </w:trPr>
        <w:tc>
          <w:tcPr>
            <w:tcW w:w="1490" w:type="dxa"/>
            <w:vMerge/>
            <w:shd w:val="clear" w:color="auto" w:fill="4472C4"/>
            <w:vAlign w:val="center"/>
          </w:tcPr>
          <w:p w14:paraId="45110417" w14:textId="77777777" w:rsidR="00990B14" w:rsidRDefault="00990B14">
            <w:pPr>
              <w:spacing w:before="20" w:after="20"/>
            </w:pPr>
          </w:p>
        </w:tc>
        <w:tc>
          <w:tcPr>
            <w:tcW w:w="5835" w:type="dxa"/>
            <w:gridSpan w:val="3"/>
            <w:shd w:val="clear" w:color="auto" w:fill="D9E2F3"/>
            <w:vAlign w:val="center"/>
          </w:tcPr>
          <w:p w14:paraId="38D6BC99" w14:textId="77777777" w:rsidR="00990B14" w:rsidRDefault="00000000">
            <w:pPr>
              <w:keepNext/>
              <w:spacing w:before="20" w:after="20"/>
              <w:jc w:val="both"/>
            </w:pPr>
            <w:r>
              <w:rPr>
                <w:b/>
                <w:bCs/>
                <w:i/>
                <w:iCs/>
                <w:sz w:val="18"/>
                <w:szCs w:val="18"/>
              </w:rPr>
              <w:t xml:space="preserve">Producto 21: </w:t>
            </w:r>
            <w:r>
              <w:rPr>
                <w:sz w:val="18"/>
                <w:szCs w:val="18"/>
              </w:rPr>
              <w:t>Resumen de incorrecciones y evaluación de la evidencia</w:t>
            </w:r>
          </w:p>
        </w:tc>
        <w:tc>
          <w:tcPr>
            <w:tcW w:w="2080" w:type="dxa"/>
            <w:shd w:val="clear" w:color="auto" w:fill="D9E2F3"/>
            <w:vAlign w:val="center"/>
          </w:tcPr>
          <w:p w14:paraId="210E160C" w14:textId="77777777" w:rsidR="00990B14" w:rsidRDefault="00000000">
            <w:pPr>
              <w:spacing w:before="20" w:after="20"/>
              <w:jc w:val="center"/>
            </w:pPr>
            <w:r>
              <w:rPr>
                <w:b/>
                <w:bCs/>
                <w:sz w:val="18"/>
                <w:szCs w:val="18"/>
              </w:rPr>
              <w:t>3%</w:t>
            </w:r>
          </w:p>
        </w:tc>
      </w:tr>
      <w:tr w:rsidR="00990B14" w14:paraId="2F48C5E9" w14:textId="77777777">
        <w:trPr>
          <w:cantSplit/>
          <w:jc w:val="center"/>
        </w:trPr>
        <w:tc>
          <w:tcPr>
            <w:tcW w:w="1490" w:type="dxa"/>
            <w:vMerge/>
            <w:shd w:val="clear" w:color="auto" w:fill="4472C4"/>
            <w:vAlign w:val="center"/>
          </w:tcPr>
          <w:p w14:paraId="5B6D02D8" w14:textId="77777777" w:rsidR="00990B14" w:rsidRDefault="00990B14">
            <w:pPr>
              <w:spacing w:before="20" w:after="20"/>
            </w:pPr>
          </w:p>
        </w:tc>
        <w:tc>
          <w:tcPr>
            <w:tcW w:w="1910" w:type="dxa"/>
            <w:shd w:val="clear" w:color="auto" w:fill="4472C4"/>
            <w:vAlign w:val="center"/>
          </w:tcPr>
          <w:p w14:paraId="0012F3D0"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72200FC8"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530A65B7" w14:textId="77777777" w:rsidR="00990B14" w:rsidRDefault="00000000">
            <w:pPr>
              <w:keepNext/>
              <w:spacing w:before="20" w:after="20"/>
              <w:jc w:val="center"/>
            </w:pPr>
            <w:r>
              <w:rPr>
                <w:b/>
                <w:bCs/>
                <w:i/>
                <w:iCs/>
                <w:color w:val="FFFFFF"/>
                <w:sz w:val="18"/>
                <w:szCs w:val="18"/>
              </w:rPr>
              <w:t>Suficiente (51–80)</w:t>
            </w:r>
          </w:p>
        </w:tc>
        <w:tc>
          <w:tcPr>
            <w:tcW w:w="2080" w:type="dxa"/>
            <w:shd w:val="clear" w:color="auto" w:fill="4472C4"/>
            <w:vAlign w:val="center"/>
          </w:tcPr>
          <w:p w14:paraId="50ED00E9" w14:textId="77777777" w:rsidR="00990B14" w:rsidRDefault="00000000">
            <w:pPr>
              <w:keepNext/>
              <w:spacing w:before="20" w:after="20"/>
              <w:jc w:val="center"/>
            </w:pPr>
            <w:r>
              <w:rPr>
                <w:b/>
                <w:bCs/>
                <w:i/>
                <w:iCs/>
                <w:color w:val="FFFFFF"/>
                <w:sz w:val="18"/>
                <w:szCs w:val="18"/>
              </w:rPr>
              <w:t>Destacado (81–100)</w:t>
            </w:r>
          </w:p>
        </w:tc>
      </w:tr>
      <w:tr w:rsidR="00990B14" w14:paraId="70893B5D" w14:textId="77777777">
        <w:trPr>
          <w:cantSplit/>
          <w:jc w:val="center"/>
        </w:trPr>
        <w:tc>
          <w:tcPr>
            <w:tcW w:w="1490" w:type="dxa"/>
            <w:vMerge/>
            <w:shd w:val="clear" w:color="auto" w:fill="4472C4"/>
            <w:vAlign w:val="center"/>
          </w:tcPr>
          <w:p w14:paraId="15DD3844" w14:textId="77777777" w:rsidR="00990B14" w:rsidRDefault="00990B14">
            <w:pPr>
              <w:spacing w:before="20" w:after="20"/>
            </w:pPr>
          </w:p>
        </w:tc>
        <w:tc>
          <w:tcPr>
            <w:tcW w:w="1910" w:type="dxa"/>
            <w:shd w:val="clear" w:color="auto" w:fill="D9E2F3"/>
            <w:vAlign w:val="center"/>
          </w:tcPr>
          <w:p w14:paraId="62C43A27" w14:textId="77777777" w:rsidR="00990B14" w:rsidRDefault="00000000">
            <w:pPr>
              <w:spacing w:before="20" w:after="20"/>
              <w:jc w:val="both"/>
            </w:pPr>
            <w:r>
              <w:rPr>
                <w:sz w:val="18"/>
                <w:szCs w:val="18"/>
              </w:rPr>
              <w:t>Incorrecciones</w:t>
            </w:r>
          </w:p>
        </w:tc>
        <w:tc>
          <w:tcPr>
            <w:tcW w:w="2015" w:type="dxa"/>
            <w:shd w:val="clear" w:color="auto" w:fill="D9E2F3"/>
            <w:vAlign w:val="center"/>
          </w:tcPr>
          <w:p w14:paraId="1CF7E5E1" w14:textId="77777777" w:rsidR="00990B14" w:rsidRDefault="00000000">
            <w:pPr>
              <w:spacing w:before="20" w:after="20"/>
              <w:jc w:val="both"/>
            </w:pPr>
            <w:r>
              <w:rPr>
                <w:sz w:val="18"/>
                <w:szCs w:val="18"/>
              </w:rPr>
              <w:t>Omite incorrecciones.</w:t>
            </w:r>
          </w:p>
        </w:tc>
        <w:tc>
          <w:tcPr>
            <w:tcW w:w="1910" w:type="dxa"/>
            <w:shd w:val="clear" w:color="auto" w:fill="D9E2F3"/>
            <w:vAlign w:val="center"/>
          </w:tcPr>
          <w:p w14:paraId="6D3A97F1" w14:textId="77777777" w:rsidR="00990B14" w:rsidRDefault="00000000">
            <w:pPr>
              <w:spacing w:before="20" w:after="20"/>
              <w:jc w:val="both"/>
            </w:pPr>
            <w:r>
              <w:rPr>
                <w:sz w:val="18"/>
                <w:szCs w:val="18"/>
              </w:rPr>
              <w:t>Resume las incorrecciones detectadas.</w:t>
            </w:r>
          </w:p>
        </w:tc>
        <w:tc>
          <w:tcPr>
            <w:tcW w:w="2080" w:type="dxa"/>
            <w:shd w:val="clear" w:color="auto" w:fill="D9E2F3"/>
            <w:vAlign w:val="center"/>
          </w:tcPr>
          <w:p w14:paraId="7BE3E305" w14:textId="77777777" w:rsidR="00990B14" w:rsidRDefault="00000000">
            <w:pPr>
              <w:spacing w:before="20" w:after="20"/>
              <w:jc w:val="both"/>
            </w:pPr>
            <w:r>
              <w:rPr>
                <w:sz w:val="18"/>
                <w:szCs w:val="18"/>
              </w:rPr>
              <w:t>Distingue las corregidas de las no corregidas.</w:t>
            </w:r>
          </w:p>
        </w:tc>
      </w:tr>
      <w:tr w:rsidR="00990B14" w14:paraId="6943FAD7" w14:textId="77777777">
        <w:trPr>
          <w:cantSplit/>
          <w:jc w:val="center"/>
        </w:trPr>
        <w:tc>
          <w:tcPr>
            <w:tcW w:w="1490" w:type="dxa"/>
            <w:vMerge/>
            <w:shd w:val="clear" w:color="auto" w:fill="4472C4"/>
            <w:vAlign w:val="center"/>
          </w:tcPr>
          <w:p w14:paraId="5BB74510" w14:textId="77777777" w:rsidR="00990B14" w:rsidRDefault="00990B14">
            <w:pPr>
              <w:spacing w:before="20" w:after="20"/>
            </w:pPr>
          </w:p>
        </w:tc>
        <w:tc>
          <w:tcPr>
            <w:tcW w:w="1910" w:type="dxa"/>
            <w:shd w:val="clear" w:color="auto" w:fill="D9E2F3"/>
            <w:vAlign w:val="center"/>
          </w:tcPr>
          <w:p w14:paraId="20E14E68" w14:textId="77777777" w:rsidR="00990B14" w:rsidRDefault="00000000">
            <w:pPr>
              <w:spacing w:before="20" w:after="20"/>
              <w:jc w:val="both"/>
            </w:pPr>
            <w:r>
              <w:rPr>
                <w:sz w:val="18"/>
                <w:szCs w:val="18"/>
              </w:rPr>
              <w:t>Efecto</w:t>
            </w:r>
          </w:p>
        </w:tc>
        <w:tc>
          <w:tcPr>
            <w:tcW w:w="2015" w:type="dxa"/>
            <w:shd w:val="clear" w:color="auto" w:fill="D9E2F3"/>
            <w:vAlign w:val="center"/>
          </w:tcPr>
          <w:p w14:paraId="7E89AC37" w14:textId="77777777" w:rsidR="00990B14" w:rsidRDefault="00000000">
            <w:pPr>
              <w:spacing w:before="20" w:after="20"/>
              <w:jc w:val="both"/>
            </w:pPr>
            <w:r>
              <w:rPr>
                <w:sz w:val="18"/>
                <w:szCs w:val="18"/>
              </w:rPr>
              <w:t>No evalúa el efecto.</w:t>
            </w:r>
          </w:p>
        </w:tc>
        <w:tc>
          <w:tcPr>
            <w:tcW w:w="1910" w:type="dxa"/>
            <w:shd w:val="clear" w:color="auto" w:fill="D9E2F3"/>
            <w:vAlign w:val="center"/>
          </w:tcPr>
          <w:p w14:paraId="02A0C247" w14:textId="77777777" w:rsidR="00990B14" w:rsidRDefault="00000000">
            <w:pPr>
              <w:spacing w:before="20" w:after="20"/>
              <w:jc w:val="both"/>
            </w:pPr>
            <w:r>
              <w:rPr>
                <w:sz w:val="18"/>
                <w:szCs w:val="18"/>
              </w:rPr>
              <w:t>Evalúa el efecto frente a la materialidad.</w:t>
            </w:r>
          </w:p>
        </w:tc>
        <w:tc>
          <w:tcPr>
            <w:tcW w:w="2080" w:type="dxa"/>
            <w:shd w:val="clear" w:color="auto" w:fill="D9E2F3"/>
            <w:vAlign w:val="center"/>
          </w:tcPr>
          <w:p w14:paraId="6C49E0DA" w14:textId="77777777" w:rsidR="00990B14" w:rsidRDefault="00000000">
            <w:pPr>
              <w:spacing w:before="20" w:after="20"/>
              <w:jc w:val="both"/>
            </w:pPr>
            <w:r>
              <w:rPr>
                <w:sz w:val="18"/>
                <w:szCs w:val="18"/>
              </w:rPr>
              <w:t>Considera el efecto en la opinión.</w:t>
            </w:r>
          </w:p>
        </w:tc>
      </w:tr>
      <w:tr w:rsidR="00990B14" w14:paraId="4AD7A241" w14:textId="77777777">
        <w:trPr>
          <w:cantSplit/>
          <w:jc w:val="center"/>
        </w:trPr>
        <w:tc>
          <w:tcPr>
            <w:tcW w:w="1490" w:type="dxa"/>
            <w:vMerge/>
            <w:shd w:val="clear" w:color="auto" w:fill="4472C4"/>
            <w:vAlign w:val="center"/>
          </w:tcPr>
          <w:p w14:paraId="6FFAED62" w14:textId="77777777" w:rsidR="00990B14" w:rsidRDefault="00990B14">
            <w:pPr>
              <w:spacing w:before="20" w:after="20"/>
            </w:pPr>
          </w:p>
        </w:tc>
        <w:tc>
          <w:tcPr>
            <w:tcW w:w="1910" w:type="dxa"/>
            <w:shd w:val="clear" w:color="auto" w:fill="D9E2F3"/>
            <w:vAlign w:val="center"/>
          </w:tcPr>
          <w:p w14:paraId="0871BC4B" w14:textId="77777777" w:rsidR="00990B14" w:rsidRDefault="00000000">
            <w:pPr>
              <w:spacing w:before="20" w:after="20"/>
              <w:jc w:val="both"/>
            </w:pPr>
            <w:r>
              <w:rPr>
                <w:sz w:val="18"/>
                <w:szCs w:val="18"/>
              </w:rPr>
              <w:t>Suficiencia de la evidencia</w:t>
            </w:r>
          </w:p>
        </w:tc>
        <w:tc>
          <w:tcPr>
            <w:tcW w:w="2015" w:type="dxa"/>
            <w:shd w:val="clear" w:color="auto" w:fill="D9E2F3"/>
            <w:vAlign w:val="center"/>
          </w:tcPr>
          <w:p w14:paraId="0E514E1C" w14:textId="77777777" w:rsidR="00990B14" w:rsidRDefault="00000000">
            <w:pPr>
              <w:spacing w:before="20" w:after="20"/>
              <w:jc w:val="both"/>
            </w:pPr>
            <w:r>
              <w:rPr>
                <w:sz w:val="18"/>
                <w:szCs w:val="18"/>
              </w:rPr>
              <w:t>No concluye.</w:t>
            </w:r>
          </w:p>
        </w:tc>
        <w:tc>
          <w:tcPr>
            <w:tcW w:w="1910" w:type="dxa"/>
            <w:shd w:val="clear" w:color="auto" w:fill="D9E2F3"/>
            <w:vAlign w:val="center"/>
          </w:tcPr>
          <w:p w14:paraId="602E38E0" w14:textId="77777777" w:rsidR="00990B14" w:rsidRDefault="00000000">
            <w:pPr>
              <w:spacing w:before="20" w:after="20"/>
              <w:jc w:val="both"/>
            </w:pPr>
            <w:r>
              <w:rPr>
                <w:sz w:val="18"/>
                <w:szCs w:val="18"/>
              </w:rPr>
              <w:t>Concluye sobre la suficiencia de la evidencia.</w:t>
            </w:r>
          </w:p>
        </w:tc>
        <w:tc>
          <w:tcPr>
            <w:tcW w:w="2080" w:type="dxa"/>
            <w:shd w:val="clear" w:color="auto" w:fill="D9E2F3"/>
            <w:vAlign w:val="center"/>
          </w:tcPr>
          <w:p w14:paraId="6848C5C2" w14:textId="77777777" w:rsidR="00990B14" w:rsidRDefault="00000000">
            <w:pPr>
              <w:spacing w:before="20" w:after="20"/>
              <w:jc w:val="both"/>
            </w:pPr>
            <w:r>
              <w:rPr>
                <w:sz w:val="18"/>
                <w:szCs w:val="18"/>
              </w:rPr>
              <w:t>Reevalúa la materialidad y los riesgos.</w:t>
            </w:r>
          </w:p>
        </w:tc>
      </w:tr>
      <w:tr w:rsidR="00990B14" w14:paraId="1C0BF5BE" w14:textId="77777777">
        <w:trPr>
          <w:cantSplit/>
          <w:jc w:val="center"/>
        </w:trPr>
        <w:tc>
          <w:tcPr>
            <w:tcW w:w="1490" w:type="dxa"/>
            <w:vMerge/>
            <w:shd w:val="clear" w:color="auto" w:fill="4472C4"/>
            <w:vAlign w:val="center"/>
          </w:tcPr>
          <w:p w14:paraId="4D787E57" w14:textId="77777777" w:rsidR="00990B14" w:rsidRDefault="00990B14">
            <w:pPr>
              <w:spacing w:before="20" w:after="20"/>
            </w:pPr>
          </w:p>
        </w:tc>
        <w:tc>
          <w:tcPr>
            <w:tcW w:w="5835" w:type="dxa"/>
            <w:gridSpan w:val="3"/>
            <w:shd w:val="clear" w:color="auto" w:fill="D9E2F3"/>
            <w:vAlign w:val="center"/>
          </w:tcPr>
          <w:p w14:paraId="2293AA92" w14:textId="77777777" w:rsidR="00990B14" w:rsidRDefault="00000000">
            <w:pPr>
              <w:keepNext/>
              <w:spacing w:before="20" w:after="20"/>
              <w:jc w:val="both"/>
            </w:pPr>
            <w:r>
              <w:rPr>
                <w:b/>
                <w:bCs/>
                <w:i/>
                <w:iCs/>
                <w:sz w:val="18"/>
                <w:szCs w:val="18"/>
              </w:rPr>
              <w:t xml:space="preserve">Producto 22: </w:t>
            </w:r>
            <w:r>
              <w:rPr>
                <w:sz w:val="18"/>
                <w:szCs w:val="18"/>
              </w:rPr>
              <w:t>Comunicación a los responsables del gobierno</w:t>
            </w:r>
          </w:p>
        </w:tc>
        <w:tc>
          <w:tcPr>
            <w:tcW w:w="2080" w:type="dxa"/>
            <w:shd w:val="clear" w:color="auto" w:fill="D9E2F3"/>
            <w:vAlign w:val="center"/>
          </w:tcPr>
          <w:p w14:paraId="16036A26" w14:textId="77777777" w:rsidR="00990B14" w:rsidRDefault="00000000">
            <w:pPr>
              <w:spacing w:before="20" w:after="20"/>
              <w:jc w:val="center"/>
            </w:pPr>
            <w:r>
              <w:rPr>
                <w:b/>
                <w:bCs/>
                <w:sz w:val="18"/>
                <w:szCs w:val="18"/>
              </w:rPr>
              <w:t>3%</w:t>
            </w:r>
          </w:p>
        </w:tc>
      </w:tr>
      <w:tr w:rsidR="00990B14" w14:paraId="67F3FC16" w14:textId="77777777">
        <w:trPr>
          <w:cantSplit/>
          <w:jc w:val="center"/>
        </w:trPr>
        <w:tc>
          <w:tcPr>
            <w:tcW w:w="1490" w:type="dxa"/>
            <w:vMerge/>
            <w:shd w:val="clear" w:color="auto" w:fill="4472C4"/>
            <w:vAlign w:val="center"/>
          </w:tcPr>
          <w:p w14:paraId="11DF4DDF" w14:textId="77777777" w:rsidR="00990B14" w:rsidRDefault="00990B14">
            <w:pPr>
              <w:spacing w:before="20" w:after="20"/>
            </w:pPr>
          </w:p>
        </w:tc>
        <w:tc>
          <w:tcPr>
            <w:tcW w:w="1910" w:type="dxa"/>
            <w:shd w:val="clear" w:color="auto" w:fill="4472C4"/>
            <w:vAlign w:val="center"/>
          </w:tcPr>
          <w:p w14:paraId="3EBB214E"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2BF97724"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1C5C76B3" w14:textId="77777777" w:rsidR="00990B14" w:rsidRDefault="00000000">
            <w:pPr>
              <w:keepNext/>
              <w:spacing w:before="20" w:after="20"/>
              <w:jc w:val="center"/>
            </w:pPr>
            <w:r>
              <w:rPr>
                <w:b/>
                <w:bCs/>
                <w:i/>
                <w:iCs/>
                <w:color w:val="FFFFFF"/>
                <w:sz w:val="18"/>
                <w:szCs w:val="18"/>
              </w:rPr>
              <w:t>Suficiente (51–80)</w:t>
            </w:r>
          </w:p>
        </w:tc>
        <w:tc>
          <w:tcPr>
            <w:tcW w:w="2080" w:type="dxa"/>
            <w:shd w:val="clear" w:color="auto" w:fill="4472C4"/>
            <w:vAlign w:val="center"/>
          </w:tcPr>
          <w:p w14:paraId="2242639B" w14:textId="77777777" w:rsidR="00990B14" w:rsidRDefault="00000000">
            <w:pPr>
              <w:keepNext/>
              <w:spacing w:before="20" w:after="20"/>
              <w:jc w:val="center"/>
            </w:pPr>
            <w:r>
              <w:rPr>
                <w:b/>
                <w:bCs/>
                <w:i/>
                <w:iCs/>
                <w:color w:val="FFFFFF"/>
                <w:sz w:val="18"/>
                <w:szCs w:val="18"/>
              </w:rPr>
              <w:t>Destacado (81–100)</w:t>
            </w:r>
          </w:p>
        </w:tc>
      </w:tr>
      <w:tr w:rsidR="00990B14" w14:paraId="0B2A1FEB" w14:textId="77777777">
        <w:trPr>
          <w:cantSplit/>
          <w:jc w:val="center"/>
        </w:trPr>
        <w:tc>
          <w:tcPr>
            <w:tcW w:w="1490" w:type="dxa"/>
            <w:vMerge/>
            <w:shd w:val="clear" w:color="auto" w:fill="4472C4"/>
            <w:vAlign w:val="center"/>
          </w:tcPr>
          <w:p w14:paraId="161ABC79" w14:textId="77777777" w:rsidR="00990B14" w:rsidRDefault="00990B14">
            <w:pPr>
              <w:spacing w:before="20" w:after="20"/>
            </w:pPr>
          </w:p>
        </w:tc>
        <w:tc>
          <w:tcPr>
            <w:tcW w:w="1910" w:type="dxa"/>
            <w:shd w:val="clear" w:color="auto" w:fill="D9E2F3"/>
            <w:vAlign w:val="center"/>
          </w:tcPr>
          <w:p w14:paraId="1ABD37B0" w14:textId="77777777" w:rsidR="00990B14" w:rsidRDefault="00000000">
            <w:pPr>
              <w:spacing w:before="20" w:after="20"/>
              <w:jc w:val="both"/>
            </w:pPr>
            <w:r>
              <w:rPr>
                <w:sz w:val="18"/>
                <w:szCs w:val="18"/>
              </w:rPr>
              <w:t>Contenido</w:t>
            </w:r>
          </w:p>
        </w:tc>
        <w:tc>
          <w:tcPr>
            <w:tcW w:w="2015" w:type="dxa"/>
            <w:shd w:val="clear" w:color="auto" w:fill="D9E2F3"/>
            <w:vAlign w:val="center"/>
          </w:tcPr>
          <w:p w14:paraId="680E2A96" w14:textId="77777777" w:rsidR="00990B14" w:rsidRDefault="00000000">
            <w:pPr>
              <w:spacing w:before="20" w:after="20"/>
              <w:jc w:val="both"/>
            </w:pPr>
            <w:r>
              <w:rPr>
                <w:sz w:val="18"/>
                <w:szCs w:val="18"/>
              </w:rPr>
              <w:t>Omite cuestiones exigidas.</w:t>
            </w:r>
          </w:p>
        </w:tc>
        <w:tc>
          <w:tcPr>
            <w:tcW w:w="1910" w:type="dxa"/>
            <w:shd w:val="clear" w:color="auto" w:fill="D9E2F3"/>
            <w:vAlign w:val="center"/>
          </w:tcPr>
          <w:p w14:paraId="0284998F" w14:textId="77777777" w:rsidR="00990B14" w:rsidRDefault="00000000">
            <w:pPr>
              <w:spacing w:before="20" w:after="20"/>
              <w:jc w:val="both"/>
            </w:pPr>
            <w:r>
              <w:rPr>
                <w:sz w:val="18"/>
                <w:szCs w:val="18"/>
              </w:rPr>
              <w:t>Incluye las cuestiones que se deben comunicar.</w:t>
            </w:r>
          </w:p>
        </w:tc>
        <w:tc>
          <w:tcPr>
            <w:tcW w:w="2080" w:type="dxa"/>
            <w:shd w:val="clear" w:color="auto" w:fill="D9E2F3"/>
            <w:vAlign w:val="center"/>
          </w:tcPr>
          <w:p w14:paraId="3403A6FE" w14:textId="77777777" w:rsidR="00990B14" w:rsidRDefault="00000000">
            <w:pPr>
              <w:spacing w:before="20" w:after="20"/>
              <w:jc w:val="both"/>
            </w:pPr>
            <w:r>
              <w:rPr>
                <w:sz w:val="18"/>
                <w:szCs w:val="18"/>
              </w:rPr>
              <w:t>Incluye la independencia y las deficiencias significativas.</w:t>
            </w:r>
          </w:p>
        </w:tc>
      </w:tr>
      <w:tr w:rsidR="00990B14" w14:paraId="5B0EDD77" w14:textId="77777777">
        <w:trPr>
          <w:cantSplit/>
          <w:jc w:val="center"/>
        </w:trPr>
        <w:tc>
          <w:tcPr>
            <w:tcW w:w="1490" w:type="dxa"/>
            <w:vMerge/>
            <w:shd w:val="clear" w:color="auto" w:fill="4472C4"/>
            <w:vAlign w:val="center"/>
          </w:tcPr>
          <w:p w14:paraId="6A1722FB" w14:textId="77777777" w:rsidR="00990B14" w:rsidRDefault="00990B14">
            <w:pPr>
              <w:spacing w:before="20" w:after="20"/>
            </w:pPr>
          </w:p>
        </w:tc>
        <w:tc>
          <w:tcPr>
            <w:tcW w:w="1910" w:type="dxa"/>
            <w:shd w:val="clear" w:color="auto" w:fill="D9E2F3"/>
            <w:vAlign w:val="center"/>
          </w:tcPr>
          <w:p w14:paraId="14A5E242" w14:textId="77777777" w:rsidR="00990B14" w:rsidRDefault="00000000">
            <w:pPr>
              <w:spacing w:before="20" w:after="20"/>
              <w:jc w:val="both"/>
            </w:pPr>
            <w:r>
              <w:rPr>
                <w:sz w:val="18"/>
                <w:szCs w:val="18"/>
              </w:rPr>
              <w:t>Claridad</w:t>
            </w:r>
          </w:p>
        </w:tc>
        <w:tc>
          <w:tcPr>
            <w:tcW w:w="2015" w:type="dxa"/>
            <w:shd w:val="clear" w:color="auto" w:fill="D9E2F3"/>
            <w:vAlign w:val="center"/>
          </w:tcPr>
          <w:p w14:paraId="3AE5C71B" w14:textId="77777777" w:rsidR="00990B14" w:rsidRDefault="00000000">
            <w:pPr>
              <w:spacing w:before="20" w:after="20"/>
              <w:jc w:val="both"/>
            </w:pPr>
            <w:r>
              <w:rPr>
                <w:sz w:val="18"/>
                <w:szCs w:val="18"/>
              </w:rPr>
              <w:t>La comunicación es confusa.</w:t>
            </w:r>
          </w:p>
        </w:tc>
        <w:tc>
          <w:tcPr>
            <w:tcW w:w="1910" w:type="dxa"/>
            <w:shd w:val="clear" w:color="auto" w:fill="D9E2F3"/>
            <w:vAlign w:val="center"/>
          </w:tcPr>
          <w:p w14:paraId="1C143B71" w14:textId="77777777" w:rsidR="00990B14" w:rsidRDefault="00000000">
            <w:pPr>
              <w:spacing w:before="20" w:after="20"/>
              <w:jc w:val="both"/>
            </w:pPr>
            <w:r>
              <w:rPr>
                <w:sz w:val="18"/>
                <w:szCs w:val="18"/>
              </w:rPr>
              <w:t>La comunicación es clara.</w:t>
            </w:r>
          </w:p>
        </w:tc>
        <w:tc>
          <w:tcPr>
            <w:tcW w:w="2080" w:type="dxa"/>
            <w:shd w:val="clear" w:color="auto" w:fill="D9E2F3"/>
            <w:vAlign w:val="center"/>
          </w:tcPr>
          <w:p w14:paraId="4F390F5A" w14:textId="77777777" w:rsidR="00990B14" w:rsidRDefault="00000000">
            <w:pPr>
              <w:spacing w:before="20" w:after="20"/>
              <w:jc w:val="both"/>
            </w:pPr>
            <w:r>
              <w:rPr>
                <w:sz w:val="18"/>
                <w:szCs w:val="18"/>
              </w:rPr>
              <w:t>La comunicación es precisa y oportuna.</w:t>
            </w:r>
          </w:p>
        </w:tc>
      </w:tr>
      <w:tr w:rsidR="00990B14" w14:paraId="57C0AFB5" w14:textId="77777777">
        <w:trPr>
          <w:cantSplit/>
          <w:jc w:val="center"/>
        </w:trPr>
        <w:tc>
          <w:tcPr>
            <w:tcW w:w="1490" w:type="dxa"/>
            <w:vMerge/>
            <w:shd w:val="clear" w:color="auto" w:fill="4472C4"/>
            <w:vAlign w:val="center"/>
          </w:tcPr>
          <w:p w14:paraId="6452FC0A" w14:textId="77777777" w:rsidR="00990B14" w:rsidRDefault="00990B14">
            <w:pPr>
              <w:spacing w:before="20" w:after="20"/>
            </w:pPr>
          </w:p>
        </w:tc>
        <w:tc>
          <w:tcPr>
            <w:tcW w:w="1910" w:type="dxa"/>
            <w:shd w:val="clear" w:color="auto" w:fill="D9E2F3"/>
            <w:vAlign w:val="center"/>
          </w:tcPr>
          <w:p w14:paraId="5E9BF55B" w14:textId="77777777" w:rsidR="00990B14" w:rsidRDefault="00000000">
            <w:pPr>
              <w:spacing w:before="20" w:after="20"/>
              <w:jc w:val="both"/>
            </w:pPr>
            <w:r>
              <w:rPr>
                <w:sz w:val="18"/>
                <w:szCs w:val="18"/>
              </w:rPr>
              <w:t>Simulacro</w:t>
            </w:r>
          </w:p>
        </w:tc>
        <w:tc>
          <w:tcPr>
            <w:tcW w:w="2015" w:type="dxa"/>
            <w:shd w:val="clear" w:color="auto" w:fill="D9E2F3"/>
            <w:vAlign w:val="center"/>
          </w:tcPr>
          <w:p w14:paraId="20208937" w14:textId="77777777" w:rsidR="00990B14" w:rsidRDefault="00000000">
            <w:pPr>
              <w:spacing w:before="20" w:after="20"/>
              <w:jc w:val="both"/>
            </w:pPr>
            <w:r>
              <w:rPr>
                <w:sz w:val="18"/>
                <w:szCs w:val="18"/>
              </w:rPr>
              <w:t>No participa.</w:t>
            </w:r>
          </w:p>
        </w:tc>
        <w:tc>
          <w:tcPr>
            <w:tcW w:w="1910" w:type="dxa"/>
            <w:shd w:val="clear" w:color="auto" w:fill="D9E2F3"/>
            <w:vAlign w:val="center"/>
          </w:tcPr>
          <w:p w14:paraId="1B3CBEB3" w14:textId="77777777" w:rsidR="00990B14" w:rsidRDefault="00000000">
            <w:pPr>
              <w:spacing w:before="20" w:after="20"/>
              <w:jc w:val="both"/>
            </w:pPr>
            <w:r>
              <w:rPr>
                <w:sz w:val="18"/>
                <w:szCs w:val="18"/>
              </w:rPr>
              <w:t>Participa en el simulacro.</w:t>
            </w:r>
          </w:p>
        </w:tc>
        <w:tc>
          <w:tcPr>
            <w:tcW w:w="2080" w:type="dxa"/>
            <w:shd w:val="clear" w:color="auto" w:fill="D9E2F3"/>
            <w:vAlign w:val="center"/>
          </w:tcPr>
          <w:p w14:paraId="046CA9F4" w14:textId="77777777" w:rsidR="00990B14" w:rsidRDefault="00000000">
            <w:pPr>
              <w:spacing w:before="20" w:after="20"/>
              <w:jc w:val="both"/>
            </w:pPr>
            <w:r>
              <w:rPr>
                <w:sz w:val="18"/>
                <w:szCs w:val="18"/>
              </w:rPr>
              <w:t>Responde con fundamento las preguntas del gobierno.</w:t>
            </w:r>
          </w:p>
        </w:tc>
      </w:tr>
      <w:tr w:rsidR="00990B14" w14:paraId="12B37AAA" w14:textId="77777777">
        <w:trPr>
          <w:cantSplit/>
          <w:jc w:val="center"/>
        </w:trPr>
        <w:tc>
          <w:tcPr>
            <w:tcW w:w="1490" w:type="dxa"/>
            <w:vMerge/>
            <w:shd w:val="clear" w:color="auto" w:fill="4472C4"/>
            <w:vAlign w:val="center"/>
          </w:tcPr>
          <w:p w14:paraId="1621AA31" w14:textId="77777777" w:rsidR="00990B14" w:rsidRDefault="00990B14">
            <w:pPr>
              <w:spacing w:before="20" w:after="20"/>
            </w:pPr>
          </w:p>
        </w:tc>
        <w:tc>
          <w:tcPr>
            <w:tcW w:w="5835" w:type="dxa"/>
            <w:gridSpan w:val="3"/>
            <w:shd w:val="clear" w:color="auto" w:fill="D9E2F3"/>
            <w:vAlign w:val="center"/>
          </w:tcPr>
          <w:p w14:paraId="248AE1CF" w14:textId="77777777" w:rsidR="00990B14" w:rsidRDefault="00000000">
            <w:pPr>
              <w:keepNext/>
              <w:spacing w:before="20" w:after="20"/>
              <w:jc w:val="both"/>
            </w:pPr>
            <w:r>
              <w:rPr>
                <w:b/>
                <w:bCs/>
                <w:i/>
                <w:iCs/>
                <w:sz w:val="18"/>
                <w:szCs w:val="18"/>
              </w:rPr>
              <w:t xml:space="preserve">Producto 23: </w:t>
            </w:r>
            <w:r>
              <w:rPr>
                <w:sz w:val="18"/>
                <w:szCs w:val="18"/>
              </w:rPr>
              <w:t>Formación de opinión y el Informe del auditor independiente</w:t>
            </w:r>
          </w:p>
        </w:tc>
        <w:tc>
          <w:tcPr>
            <w:tcW w:w="2080" w:type="dxa"/>
            <w:shd w:val="clear" w:color="auto" w:fill="D9E2F3"/>
            <w:vAlign w:val="center"/>
          </w:tcPr>
          <w:p w14:paraId="7F058B07" w14:textId="77777777" w:rsidR="00990B14" w:rsidRDefault="00000000">
            <w:pPr>
              <w:spacing w:before="20" w:after="20"/>
              <w:jc w:val="center"/>
            </w:pPr>
            <w:r>
              <w:rPr>
                <w:b/>
                <w:bCs/>
                <w:sz w:val="18"/>
                <w:szCs w:val="18"/>
              </w:rPr>
              <w:t>3%</w:t>
            </w:r>
          </w:p>
        </w:tc>
      </w:tr>
      <w:tr w:rsidR="00990B14" w14:paraId="590CFDA9" w14:textId="77777777">
        <w:trPr>
          <w:cantSplit/>
          <w:jc w:val="center"/>
        </w:trPr>
        <w:tc>
          <w:tcPr>
            <w:tcW w:w="1490" w:type="dxa"/>
            <w:vMerge/>
            <w:shd w:val="clear" w:color="auto" w:fill="4472C4"/>
            <w:vAlign w:val="center"/>
          </w:tcPr>
          <w:p w14:paraId="0A758DA0" w14:textId="77777777" w:rsidR="00990B14" w:rsidRDefault="00990B14">
            <w:pPr>
              <w:spacing w:before="20" w:after="20"/>
            </w:pPr>
          </w:p>
        </w:tc>
        <w:tc>
          <w:tcPr>
            <w:tcW w:w="1910" w:type="dxa"/>
            <w:shd w:val="clear" w:color="auto" w:fill="4472C4"/>
            <w:vAlign w:val="center"/>
          </w:tcPr>
          <w:p w14:paraId="5AC6D9A3"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199829FE"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7D8FBEB3" w14:textId="77777777" w:rsidR="00990B14" w:rsidRDefault="00000000">
            <w:pPr>
              <w:keepNext/>
              <w:spacing w:before="20" w:after="20"/>
              <w:jc w:val="center"/>
            </w:pPr>
            <w:r>
              <w:rPr>
                <w:b/>
                <w:bCs/>
                <w:i/>
                <w:iCs/>
                <w:color w:val="FFFFFF"/>
                <w:sz w:val="18"/>
                <w:szCs w:val="18"/>
              </w:rPr>
              <w:t>Suficiente (51–80)</w:t>
            </w:r>
          </w:p>
        </w:tc>
        <w:tc>
          <w:tcPr>
            <w:tcW w:w="2080" w:type="dxa"/>
            <w:shd w:val="clear" w:color="auto" w:fill="4472C4"/>
            <w:vAlign w:val="center"/>
          </w:tcPr>
          <w:p w14:paraId="0E93D988" w14:textId="77777777" w:rsidR="00990B14" w:rsidRDefault="00000000">
            <w:pPr>
              <w:keepNext/>
              <w:spacing w:before="20" w:after="20"/>
              <w:jc w:val="center"/>
            </w:pPr>
            <w:r>
              <w:rPr>
                <w:b/>
                <w:bCs/>
                <w:i/>
                <w:iCs/>
                <w:color w:val="FFFFFF"/>
                <w:sz w:val="18"/>
                <w:szCs w:val="18"/>
              </w:rPr>
              <w:t>Destacado (81–100)</w:t>
            </w:r>
          </w:p>
        </w:tc>
      </w:tr>
      <w:tr w:rsidR="00990B14" w14:paraId="63F087F6" w14:textId="77777777">
        <w:trPr>
          <w:cantSplit/>
          <w:jc w:val="center"/>
        </w:trPr>
        <w:tc>
          <w:tcPr>
            <w:tcW w:w="1490" w:type="dxa"/>
            <w:vMerge/>
            <w:shd w:val="clear" w:color="auto" w:fill="4472C4"/>
            <w:vAlign w:val="center"/>
          </w:tcPr>
          <w:p w14:paraId="626C32A1" w14:textId="77777777" w:rsidR="00990B14" w:rsidRDefault="00990B14">
            <w:pPr>
              <w:spacing w:before="20" w:after="20"/>
            </w:pPr>
          </w:p>
        </w:tc>
        <w:tc>
          <w:tcPr>
            <w:tcW w:w="1910" w:type="dxa"/>
            <w:shd w:val="clear" w:color="auto" w:fill="D9E2F3"/>
            <w:vAlign w:val="center"/>
          </w:tcPr>
          <w:p w14:paraId="6BDF3C74" w14:textId="77777777" w:rsidR="00990B14" w:rsidRDefault="00000000">
            <w:pPr>
              <w:spacing w:before="20" w:after="20"/>
              <w:jc w:val="both"/>
            </w:pPr>
            <w:r>
              <w:rPr>
                <w:sz w:val="18"/>
                <w:szCs w:val="18"/>
              </w:rPr>
              <w:t>Tipo de opinión</w:t>
            </w:r>
          </w:p>
        </w:tc>
        <w:tc>
          <w:tcPr>
            <w:tcW w:w="2015" w:type="dxa"/>
            <w:shd w:val="clear" w:color="auto" w:fill="D9E2F3"/>
            <w:vAlign w:val="center"/>
          </w:tcPr>
          <w:p w14:paraId="6E1F128B" w14:textId="77777777" w:rsidR="00990B14" w:rsidRDefault="00000000">
            <w:pPr>
              <w:spacing w:before="20" w:after="20"/>
              <w:jc w:val="both"/>
            </w:pPr>
            <w:r>
              <w:rPr>
                <w:sz w:val="18"/>
                <w:szCs w:val="18"/>
              </w:rPr>
              <w:t>La opinión no corresponde al caso.</w:t>
            </w:r>
          </w:p>
        </w:tc>
        <w:tc>
          <w:tcPr>
            <w:tcW w:w="1910" w:type="dxa"/>
            <w:shd w:val="clear" w:color="auto" w:fill="D9E2F3"/>
            <w:vAlign w:val="center"/>
          </w:tcPr>
          <w:p w14:paraId="3917479F" w14:textId="77777777" w:rsidR="00990B14" w:rsidRDefault="00000000">
            <w:pPr>
              <w:spacing w:before="20" w:after="20"/>
              <w:jc w:val="both"/>
            </w:pPr>
            <w:r>
              <w:rPr>
                <w:sz w:val="18"/>
                <w:szCs w:val="18"/>
              </w:rPr>
              <w:t>Emite la opinión que corresponde.</w:t>
            </w:r>
          </w:p>
        </w:tc>
        <w:tc>
          <w:tcPr>
            <w:tcW w:w="2080" w:type="dxa"/>
            <w:shd w:val="clear" w:color="auto" w:fill="D9E2F3"/>
            <w:vAlign w:val="center"/>
          </w:tcPr>
          <w:p w14:paraId="4D23729B" w14:textId="77777777" w:rsidR="00990B14" w:rsidRDefault="00000000">
            <w:pPr>
              <w:spacing w:before="20" w:after="20"/>
              <w:jc w:val="both"/>
            </w:pPr>
            <w:r>
              <w:rPr>
                <w:sz w:val="18"/>
                <w:szCs w:val="18"/>
              </w:rPr>
              <w:t>Fundamenta la opinión en la evidencia.</w:t>
            </w:r>
          </w:p>
        </w:tc>
      </w:tr>
      <w:tr w:rsidR="00990B14" w14:paraId="222A8E31" w14:textId="77777777">
        <w:trPr>
          <w:cantSplit/>
          <w:jc w:val="center"/>
        </w:trPr>
        <w:tc>
          <w:tcPr>
            <w:tcW w:w="1490" w:type="dxa"/>
            <w:vMerge/>
            <w:shd w:val="clear" w:color="auto" w:fill="4472C4"/>
            <w:vAlign w:val="center"/>
          </w:tcPr>
          <w:p w14:paraId="1D9CD88A" w14:textId="77777777" w:rsidR="00990B14" w:rsidRDefault="00990B14">
            <w:pPr>
              <w:spacing w:before="20" w:after="20"/>
            </w:pPr>
          </w:p>
        </w:tc>
        <w:tc>
          <w:tcPr>
            <w:tcW w:w="1910" w:type="dxa"/>
            <w:shd w:val="clear" w:color="auto" w:fill="D9E2F3"/>
            <w:vAlign w:val="center"/>
          </w:tcPr>
          <w:p w14:paraId="252BD663" w14:textId="77777777" w:rsidR="00990B14" w:rsidRDefault="00000000">
            <w:pPr>
              <w:spacing w:before="20" w:after="20"/>
              <w:jc w:val="both"/>
            </w:pPr>
            <w:r>
              <w:rPr>
                <w:sz w:val="18"/>
                <w:szCs w:val="18"/>
              </w:rPr>
              <w:t>Estructura</w:t>
            </w:r>
          </w:p>
        </w:tc>
        <w:tc>
          <w:tcPr>
            <w:tcW w:w="2015" w:type="dxa"/>
            <w:shd w:val="clear" w:color="auto" w:fill="D9E2F3"/>
            <w:vAlign w:val="center"/>
          </w:tcPr>
          <w:p w14:paraId="1DCC6CE8" w14:textId="77777777" w:rsidR="00990B14" w:rsidRDefault="00000000">
            <w:pPr>
              <w:spacing w:before="20" w:after="20"/>
              <w:jc w:val="both"/>
            </w:pPr>
            <w:r>
              <w:rPr>
                <w:sz w:val="18"/>
                <w:szCs w:val="18"/>
              </w:rPr>
              <w:t>El informe omite secciones.</w:t>
            </w:r>
          </w:p>
        </w:tc>
        <w:tc>
          <w:tcPr>
            <w:tcW w:w="1910" w:type="dxa"/>
            <w:shd w:val="clear" w:color="auto" w:fill="D9E2F3"/>
            <w:vAlign w:val="center"/>
          </w:tcPr>
          <w:p w14:paraId="467ACB0F" w14:textId="77777777" w:rsidR="00990B14" w:rsidRDefault="00000000">
            <w:pPr>
              <w:spacing w:before="20" w:after="20"/>
              <w:jc w:val="both"/>
            </w:pPr>
            <w:r>
              <w:rPr>
                <w:sz w:val="18"/>
                <w:szCs w:val="18"/>
              </w:rPr>
              <w:t>El informe tiene la estructura requerida.</w:t>
            </w:r>
          </w:p>
        </w:tc>
        <w:tc>
          <w:tcPr>
            <w:tcW w:w="2080" w:type="dxa"/>
            <w:shd w:val="clear" w:color="auto" w:fill="D9E2F3"/>
            <w:vAlign w:val="center"/>
          </w:tcPr>
          <w:p w14:paraId="6FCCE2ED" w14:textId="77777777" w:rsidR="00990B14" w:rsidRDefault="00000000">
            <w:pPr>
              <w:spacing w:before="20" w:after="20"/>
              <w:jc w:val="both"/>
            </w:pPr>
            <w:r>
              <w:rPr>
                <w:sz w:val="18"/>
                <w:szCs w:val="18"/>
              </w:rPr>
              <w:t>Incluye párrafos de énfasis u otras cuestiones cuando corresponde.</w:t>
            </w:r>
          </w:p>
        </w:tc>
      </w:tr>
      <w:tr w:rsidR="00990B14" w14:paraId="5E2EAC8E" w14:textId="77777777">
        <w:trPr>
          <w:cantSplit/>
          <w:jc w:val="center"/>
        </w:trPr>
        <w:tc>
          <w:tcPr>
            <w:tcW w:w="1490" w:type="dxa"/>
            <w:vMerge/>
            <w:shd w:val="clear" w:color="auto" w:fill="4472C4"/>
            <w:vAlign w:val="center"/>
          </w:tcPr>
          <w:p w14:paraId="559DBD73" w14:textId="77777777" w:rsidR="00990B14" w:rsidRDefault="00990B14">
            <w:pPr>
              <w:spacing w:before="20" w:after="20"/>
            </w:pPr>
          </w:p>
        </w:tc>
        <w:tc>
          <w:tcPr>
            <w:tcW w:w="1910" w:type="dxa"/>
            <w:shd w:val="clear" w:color="auto" w:fill="D9E2F3"/>
            <w:vAlign w:val="center"/>
          </w:tcPr>
          <w:p w14:paraId="1F79C1D7" w14:textId="77777777" w:rsidR="00990B14" w:rsidRDefault="00000000">
            <w:pPr>
              <w:spacing w:before="20" w:after="20"/>
              <w:jc w:val="both"/>
            </w:pPr>
            <w:r>
              <w:rPr>
                <w:sz w:val="18"/>
                <w:szCs w:val="18"/>
              </w:rPr>
              <w:t>Redacción</w:t>
            </w:r>
          </w:p>
        </w:tc>
        <w:tc>
          <w:tcPr>
            <w:tcW w:w="2015" w:type="dxa"/>
            <w:shd w:val="clear" w:color="auto" w:fill="D9E2F3"/>
            <w:vAlign w:val="center"/>
          </w:tcPr>
          <w:p w14:paraId="1D0E1F83" w14:textId="77777777" w:rsidR="00990B14" w:rsidRDefault="00000000">
            <w:pPr>
              <w:spacing w:before="20" w:after="20"/>
              <w:jc w:val="both"/>
            </w:pPr>
            <w:r>
              <w:rPr>
                <w:sz w:val="18"/>
                <w:szCs w:val="18"/>
              </w:rPr>
              <w:t>La redacción es imprecisa.</w:t>
            </w:r>
          </w:p>
        </w:tc>
        <w:tc>
          <w:tcPr>
            <w:tcW w:w="1910" w:type="dxa"/>
            <w:shd w:val="clear" w:color="auto" w:fill="D9E2F3"/>
            <w:vAlign w:val="center"/>
          </w:tcPr>
          <w:p w14:paraId="41DBA63A" w14:textId="77777777" w:rsidR="00990B14" w:rsidRDefault="00000000">
            <w:pPr>
              <w:spacing w:before="20" w:after="20"/>
              <w:jc w:val="both"/>
            </w:pPr>
            <w:r>
              <w:rPr>
                <w:sz w:val="18"/>
                <w:szCs w:val="18"/>
              </w:rPr>
              <w:t>La redacción es clara.</w:t>
            </w:r>
          </w:p>
        </w:tc>
        <w:tc>
          <w:tcPr>
            <w:tcW w:w="2080" w:type="dxa"/>
            <w:shd w:val="clear" w:color="auto" w:fill="D9E2F3"/>
            <w:vAlign w:val="center"/>
          </w:tcPr>
          <w:p w14:paraId="2284DD68" w14:textId="77777777" w:rsidR="00990B14" w:rsidRDefault="00000000">
            <w:pPr>
              <w:spacing w:before="20" w:after="20"/>
              <w:jc w:val="both"/>
            </w:pPr>
            <w:r>
              <w:rPr>
                <w:sz w:val="18"/>
                <w:szCs w:val="18"/>
              </w:rPr>
              <w:t>La redacción es técnica y precisa.</w:t>
            </w:r>
          </w:p>
        </w:tc>
      </w:tr>
      <w:tr w:rsidR="00990B14" w14:paraId="70F98F18" w14:textId="77777777">
        <w:trPr>
          <w:cantSplit/>
          <w:jc w:val="center"/>
        </w:trPr>
        <w:tc>
          <w:tcPr>
            <w:tcW w:w="1490" w:type="dxa"/>
            <w:vMerge/>
            <w:shd w:val="clear" w:color="auto" w:fill="4472C4"/>
            <w:vAlign w:val="center"/>
          </w:tcPr>
          <w:p w14:paraId="3F9EB241" w14:textId="77777777" w:rsidR="00990B14" w:rsidRDefault="00990B14">
            <w:pPr>
              <w:spacing w:before="20" w:after="20"/>
            </w:pPr>
          </w:p>
        </w:tc>
        <w:tc>
          <w:tcPr>
            <w:tcW w:w="5835" w:type="dxa"/>
            <w:gridSpan w:val="3"/>
            <w:shd w:val="clear" w:color="auto" w:fill="D9E2F3"/>
            <w:vAlign w:val="center"/>
          </w:tcPr>
          <w:p w14:paraId="46294C51" w14:textId="77777777" w:rsidR="00990B14" w:rsidRDefault="00000000">
            <w:pPr>
              <w:keepNext/>
              <w:spacing w:before="20" w:after="20"/>
              <w:jc w:val="both"/>
            </w:pPr>
            <w:r>
              <w:rPr>
                <w:b/>
                <w:bCs/>
                <w:i/>
                <w:iCs/>
                <w:sz w:val="18"/>
                <w:szCs w:val="18"/>
              </w:rPr>
              <w:t xml:space="preserve">Producto 24: </w:t>
            </w:r>
            <w:r>
              <w:rPr>
                <w:sz w:val="18"/>
                <w:szCs w:val="18"/>
              </w:rPr>
              <w:t>Carta de recomendaciones</w:t>
            </w:r>
          </w:p>
        </w:tc>
        <w:tc>
          <w:tcPr>
            <w:tcW w:w="2080" w:type="dxa"/>
            <w:shd w:val="clear" w:color="auto" w:fill="D9E2F3"/>
            <w:vAlign w:val="center"/>
          </w:tcPr>
          <w:p w14:paraId="39619E10" w14:textId="77777777" w:rsidR="00990B14" w:rsidRDefault="00000000">
            <w:pPr>
              <w:spacing w:before="20" w:after="20"/>
              <w:jc w:val="center"/>
            </w:pPr>
            <w:r>
              <w:rPr>
                <w:b/>
                <w:bCs/>
                <w:sz w:val="18"/>
                <w:szCs w:val="18"/>
              </w:rPr>
              <w:t>3%</w:t>
            </w:r>
          </w:p>
        </w:tc>
      </w:tr>
      <w:tr w:rsidR="00990B14" w14:paraId="7DC9CE6E" w14:textId="77777777">
        <w:trPr>
          <w:cantSplit/>
          <w:jc w:val="center"/>
        </w:trPr>
        <w:tc>
          <w:tcPr>
            <w:tcW w:w="1490" w:type="dxa"/>
            <w:vMerge/>
            <w:shd w:val="clear" w:color="auto" w:fill="4472C4"/>
            <w:vAlign w:val="center"/>
          </w:tcPr>
          <w:p w14:paraId="30F39045" w14:textId="77777777" w:rsidR="00990B14" w:rsidRDefault="00990B14">
            <w:pPr>
              <w:spacing w:before="20" w:after="20"/>
            </w:pPr>
          </w:p>
        </w:tc>
        <w:tc>
          <w:tcPr>
            <w:tcW w:w="1910" w:type="dxa"/>
            <w:shd w:val="clear" w:color="auto" w:fill="4472C4"/>
            <w:vAlign w:val="center"/>
          </w:tcPr>
          <w:p w14:paraId="0AF266FC"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106582B4"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2153ECDD" w14:textId="77777777" w:rsidR="00990B14" w:rsidRDefault="00000000">
            <w:pPr>
              <w:keepNext/>
              <w:spacing w:before="20" w:after="20"/>
              <w:jc w:val="center"/>
            </w:pPr>
            <w:r>
              <w:rPr>
                <w:b/>
                <w:bCs/>
                <w:i/>
                <w:iCs/>
                <w:color w:val="FFFFFF"/>
                <w:sz w:val="18"/>
                <w:szCs w:val="18"/>
              </w:rPr>
              <w:t>Suficiente (51–80)</w:t>
            </w:r>
          </w:p>
        </w:tc>
        <w:tc>
          <w:tcPr>
            <w:tcW w:w="2080" w:type="dxa"/>
            <w:shd w:val="clear" w:color="auto" w:fill="4472C4"/>
            <w:vAlign w:val="center"/>
          </w:tcPr>
          <w:p w14:paraId="2BB299FA" w14:textId="77777777" w:rsidR="00990B14" w:rsidRDefault="00000000">
            <w:pPr>
              <w:keepNext/>
              <w:spacing w:before="20" w:after="20"/>
              <w:jc w:val="center"/>
            </w:pPr>
            <w:r>
              <w:rPr>
                <w:b/>
                <w:bCs/>
                <w:i/>
                <w:iCs/>
                <w:color w:val="FFFFFF"/>
                <w:sz w:val="18"/>
                <w:szCs w:val="18"/>
              </w:rPr>
              <w:t>Destacado (81–100)</w:t>
            </w:r>
          </w:p>
        </w:tc>
      </w:tr>
      <w:tr w:rsidR="00990B14" w14:paraId="70D015DD" w14:textId="77777777">
        <w:trPr>
          <w:cantSplit/>
          <w:jc w:val="center"/>
        </w:trPr>
        <w:tc>
          <w:tcPr>
            <w:tcW w:w="1490" w:type="dxa"/>
            <w:vMerge/>
            <w:shd w:val="clear" w:color="auto" w:fill="4472C4"/>
            <w:vAlign w:val="center"/>
          </w:tcPr>
          <w:p w14:paraId="42013E28" w14:textId="77777777" w:rsidR="00990B14" w:rsidRDefault="00990B14">
            <w:pPr>
              <w:spacing w:before="20" w:after="20"/>
            </w:pPr>
          </w:p>
        </w:tc>
        <w:tc>
          <w:tcPr>
            <w:tcW w:w="1910" w:type="dxa"/>
            <w:shd w:val="clear" w:color="auto" w:fill="D9E2F3"/>
            <w:vAlign w:val="center"/>
          </w:tcPr>
          <w:p w14:paraId="44BA6976" w14:textId="77777777" w:rsidR="00990B14" w:rsidRDefault="00000000">
            <w:pPr>
              <w:spacing w:before="20" w:after="20"/>
              <w:jc w:val="both"/>
            </w:pPr>
            <w:r>
              <w:rPr>
                <w:sz w:val="18"/>
                <w:szCs w:val="18"/>
              </w:rPr>
              <w:t>Observaciones</w:t>
            </w:r>
          </w:p>
        </w:tc>
        <w:tc>
          <w:tcPr>
            <w:tcW w:w="2015" w:type="dxa"/>
            <w:shd w:val="clear" w:color="auto" w:fill="D9E2F3"/>
            <w:vAlign w:val="center"/>
          </w:tcPr>
          <w:p w14:paraId="3E6CA10B" w14:textId="77777777" w:rsidR="00990B14" w:rsidRDefault="00000000">
            <w:pPr>
              <w:spacing w:before="20" w:after="20"/>
              <w:jc w:val="both"/>
            </w:pPr>
            <w:r>
              <w:rPr>
                <w:sz w:val="18"/>
                <w:szCs w:val="18"/>
              </w:rPr>
              <w:t>Las observaciones son vagas.</w:t>
            </w:r>
          </w:p>
        </w:tc>
        <w:tc>
          <w:tcPr>
            <w:tcW w:w="1910" w:type="dxa"/>
            <w:shd w:val="clear" w:color="auto" w:fill="D9E2F3"/>
            <w:vAlign w:val="center"/>
          </w:tcPr>
          <w:p w14:paraId="686B0048" w14:textId="77777777" w:rsidR="00990B14" w:rsidRDefault="00000000">
            <w:pPr>
              <w:spacing w:before="20" w:after="20"/>
              <w:jc w:val="both"/>
            </w:pPr>
            <w:r>
              <w:rPr>
                <w:sz w:val="18"/>
                <w:szCs w:val="18"/>
              </w:rPr>
              <w:t>Redacta observaciones con condición, criterio, causa y efecto.</w:t>
            </w:r>
          </w:p>
        </w:tc>
        <w:tc>
          <w:tcPr>
            <w:tcW w:w="2080" w:type="dxa"/>
            <w:shd w:val="clear" w:color="auto" w:fill="D9E2F3"/>
            <w:vAlign w:val="center"/>
          </w:tcPr>
          <w:p w14:paraId="6BF6A976" w14:textId="77777777" w:rsidR="00990B14" w:rsidRDefault="00000000">
            <w:pPr>
              <w:spacing w:before="20" w:after="20"/>
              <w:jc w:val="both"/>
            </w:pPr>
            <w:r>
              <w:rPr>
                <w:sz w:val="18"/>
                <w:szCs w:val="18"/>
              </w:rPr>
              <w:t>Prioriza las observaciones según su importancia.</w:t>
            </w:r>
          </w:p>
        </w:tc>
      </w:tr>
      <w:tr w:rsidR="00990B14" w14:paraId="62130C30" w14:textId="77777777">
        <w:trPr>
          <w:cantSplit/>
          <w:jc w:val="center"/>
        </w:trPr>
        <w:tc>
          <w:tcPr>
            <w:tcW w:w="1490" w:type="dxa"/>
            <w:vMerge/>
            <w:shd w:val="clear" w:color="auto" w:fill="4472C4"/>
            <w:vAlign w:val="center"/>
          </w:tcPr>
          <w:p w14:paraId="79E3C52E" w14:textId="77777777" w:rsidR="00990B14" w:rsidRDefault="00990B14">
            <w:pPr>
              <w:spacing w:before="20" w:after="20"/>
            </w:pPr>
          </w:p>
        </w:tc>
        <w:tc>
          <w:tcPr>
            <w:tcW w:w="1910" w:type="dxa"/>
            <w:shd w:val="clear" w:color="auto" w:fill="D9E2F3"/>
            <w:vAlign w:val="center"/>
          </w:tcPr>
          <w:p w14:paraId="32106654" w14:textId="77777777" w:rsidR="00990B14" w:rsidRDefault="00000000">
            <w:pPr>
              <w:spacing w:before="20" w:after="20"/>
              <w:jc w:val="both"/>
            </w:pPr>
            <w:r>
              <w:rPr>
                <w:sz w:val="18"/>
                <w:szCs w:val="18"/>
              </w:rPr>
              <w:t>Recomendaciones</w:t>
            </w:r>
          </w:p>
        </w:tc>
        <w:tc>
          <w:tcPr>
            <w:tcW w:w="2015" w:type="dxa"/>
            <w:shd w:val="clear" w:color="auto" w:fill="D9E2F3"/>
            <w:vAlign w:val="center"/>
          </w:tcPr>
          <w:p w14:paraId="3A327EA8" w14:textId="77777777" w:rsidR="00990B14" w:rsidRDefault="00000000">
            <w:pPr>
              <w:spacing w:before="20" w:after="20"/>
              <w:jc w:val="both"/>
            </w:pPr>
            <w:r>
              <w:rPr>
                <w:sz w:val="18"/>
                <w:szCs w:val="18"/>
              </w:rPr>
              <w:t>No recomienda.</w:t>
            </w:r>
          </w:p>
        </w:tc>
        <w:tc>
          <w:tcPr>
            <w:tcW w:w="1910" w:type="dxa"/>
            <w:shd w:val="clear" w:color="auto" w:fill="D9E2F3"/>
            <w:vAlign w:val="center"/>
          </w:tcPr>
          <w:p w14:paraId="3E31BA37" w14:textId="77777777" w:rsidR="00990B14" w:rsidRDefault="00000000">
            <w:pPr>
              <w:spacing w:before="20" w:after="20"/>
              <w:jc w:val="both"/>
            </w:pPr>
            <w:r>
              <w:rPr>
                <w:sz w:val="18"/>
                <w:szCs w:val="18"/>
              </w:rPr>
              <w:t>Recomienda acciones para cada observación.</w:t>
            </w:r>
          </w:p>
        </w:tc>
        <w:tc>
          <w:tcPr>
            <w:tcW w:w="2080" w:type="dxa"/>
            <w:shd w:val="clear" w:color="auto" w:fill="D9E2F3"/>
            <w:vAlign w:val="center"/>
          </w:tcPr>
          <w:p w14:paraId="14C198E3" w14:textId="77777777" w:rsidR="00990B14" w:rsidRDefault="00000000">
            <w:pPr>
              <w:spacing w:before="20" w:after="20"/>
              <w:jc w:val="both"/>
            </w:pPr>
            <w:r>
              <w:rPr>
                <w:sz w:val="18"/>
                <w:szCs w:val="18"/>
              </w:rPr>
              <w:t>Las recomendaciones son viables y medibles.</w:t>
            </w:r>
          </w:p>
        </w:tc>
      </w:tr>
      <w:tr w:rsidR="00990B14" w14:paraId="06AD8AC7" w14:textId="77777777">
        <w:trPr>
          <w:cantSplit/>
          <w:jc w:val="center"/>
        </w:trPr>
        <w:tc>
          <w:tcPr>
            <w:tcW w:w="1490" w:type="dxa"/>
            <w:vMerge/>
            <w:shd w:val="clear" w:color="auto" w:fill="4472C4"/>
            <w:vAlign w:val="center"/>
          </w:tcPr>
          <w:p w14:paraId="0FC77178" w14:textId="77777777" w:rsidR="00990B14" w:rsidRDefault="00990B14">
            <w:pPr>
              <w:spacing w:before="20" w:after="20"/>
            </w:pPr>
          </w:p>
        </w:tc>
        <w:tc>
          <w:tcPr>
            <w:tcW w:w="1910" w:type="dxa"/>
            <w:shd w:val="clear" w:color="auto" w:fill="D9E2F3"/>
            <w:vAlign w:val="center"/>
          </w:tcPr>
          <w:p w14:paraId="7158CEE0" w14:textId="77777777" w:rsidR="00990B14" w:rsidRDefault="00000000">
            <w:pPr>
              <w:spacing w:before="20" w:after="20"/>
              <w:jc w:val="both"/>
            </w:pPr>
            <w:r>
              <w:rPr>
                <w:sz w:val="18"/>
                <w:szCs w:val="18"/>
              </w:rPr>
              <w:t>Presentación</w:t>
            </w:r>
          </w:p>
        </w:tc>
        <w:tc>
          <w:tcPr>
            <w:tcW w:w="2015" w:type="dxa"/>
            <w:shd w:val="clear" w:color="auto" w:fill="D9E2F3"/>
            <w:vAlign w:val="center"/>
          </w:tcPr>
          <w:p w14:paraId="77054FBF" w14:textId="77777777" w:rsidR="00990B14" w:rsidRDefault="00000000">
            <w:pPr>
              <w:spacing w:before="20" w:after="20"/>
              <w:jc w:val="both"/>
            </w:pPr>
            <w:r>
              <w:rPr>
                <w:sz w:val="18"/>
                <w:szCs w:val="18"/>
              </w:rPr>
              <w:t>La carta es desordenada.</w:t>
            </w:r>
          </w:p>
        </w:tc>
        <w:tc>
          <w:tcPr>
            <w:tcW w:w="1910" w:type="dxa"/>
            <w:shd w:val="clear" w:color="auto" w:fill="D9E2F3"/>
            <w:vAlign w:val="center"/>
          </w:tcPr>
          <w:p w14:paraId="21D153A4" w14:textId="77777777" w:rsidR="00990B14" w:rsidRDefault="00000000">
            <w:pPr>
              <w:spacing w:before="20" w:after="20"/>
              <w:jc w:val="both"/>
            </w:pPr>
            <w:r>
              <w:rPr>
                <w:sz w:val="18"/>
                <w:szCs w:val="18"/>
              </w:rPr>
              <w:t>La carta es clara.</w:t>
            </w:r>
          </w:p>
        </w:tc>
        <w:tc>
          <w:tcPr>
            <w:tcW w:w="2080" w:type="dxa"/>
            <w:shd w:val="clear" w:color="auto" w:fill="D9E2F3"/>
            <w:vAlign w:val="center"/>
          </w:tcPr>
          <w:p w14:paraId="76827ACA" w14:textId="77777777" w:rsidR="00990B14" w:rsidRDefault="00000000">
            <w:pPr>
              <w:spacing w:before="20" w:after="20"/>
              <w:jc w:val="both"/>
            </w:pPr>
            <w:r>
              <w:rPr>
                <w:sz w:val="18"/>
                <w:szCs w:val="18"/>
              </w:rPr>
              <w:t>La carta tiene un formato profesional.</w:t>
            </w:r>
          </w:p>
        </w:tc>
      </w:tr>
      <w:tr w:rsidR="00990B14" w14:paraId="5AA6CEDB" w14:textId="77777777">
        <w:trPr>
          <w:cantSplit/>
          <w:jc w:val="center"/>
        </w:trPr>
        <w:tc>
          <w:tcPr>
            <w:tcW w:w="7325" w:type="dxa"/>
            <w:gridSpan w:val="4"/>
            <w:shd w:val="clear" w:color="auto" w:fill="4472C4"/>
            <w:vAlign w:val="center"/>
          </w:tcPr>
          <w:p w14:paraId="4AB19D47" w14:textId="77777777" w:rsidR="00990B14" w:rsidRDefault="00000000">
            <w:pPr>
              <w:keepNext/>
              <w:spacing w:before="20" w:after="20"/>
              <w:jc w:val="center"/>
            </w:pPr>
            <w:r>
              <w:rPr>
                <w:b/>
                <w:bCs/>
                <w:i/>
                <w:iCs/>
                <w:color w:val="FFFFFF"/>
                <w:sz w:val="18"/>
                <w:szCs w:val="18"/>
              </w:rPr>
              <w:t>TOTAL</w:t>
            </w:r>
          </w:p>
        </w:tc>
        <w:tc>
          <w:tcPr>
            <w:tcW w:w="2080" w:type="dxa"/>
            <w:shd w:val="clear" w:color="auto" w:fill="4472C4"/>
            <w:vAlign w:val="center"/>
          </w:tcPr>
          <w:p w14:paraId="1AEB9459" w14:textId="77777777" w:rsidR="00990B14" w:rsidRDefault="00000000">
            <w:pPr>
              <w:keepNext/>
              <w:spacing w:before="20" w:after="20"/>
              <w:jc w:val="center"/>
            </w:pPr>
            <w:r>
              <w:rPr>
                <w:b/>
                <w:bCs/>
                <w:i/>
                <w:iCs/>
                <w:color w:val="FFFFFF"/>
                <w:sz w:val="18"/>
                <w:szCs w:val="18"/>
              </w:rPr>
              <w:t>100%</w:t>
            </w:r>
          </w:p>
        </w:tc>
      </w:tr>
    </w:tbl>
    <w:p w14:paraId="4C5A8E0F"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9405"/>
      </w:tblGrid>
      <w:tr w:rsidR="00990B14" w14:paraId="7EF7F37F" w14:textId="77777777">
        <w:trPr>
          <w:jc w:val="center"/>
        </w:trPr>
        <w:tc>
          <w:tcPr>
            <w:tcW w:w="9405" w:type="dxa"/>
            <w:shd w:val="clear" w:color="auto" w:fill="D9E2F3"/>
          </w:tcPr>
          <w:p w14:paraId="4908C1DF" w14:textId="77777777" w:rsidR="00990B14" w:rsidRDefault="00000000">
            <w:pPr>
              <w:spacing w:before="40" w:after="40"/>
              <w:jc w:val="both"/>
            </w:pPr>
            <w:r>
              <w:rPr>
                <w:b/>
                <w:bCs/>
                <w:i/>
                <w:iCs/>
                <w:sz w:val="18"/>
                <w:szCs w:val="18"/>
              </w:rPr>
              <w:t>Bibliografía básica:</w:t>
            </w:r>
          </w:p>
          <w:p w14:paraId="70025B7B" w14:textId="77777777" w:rsidR="00990B14" w:rsidRDefault="009420AF">
            <w:pPr>
              <w:numPr>
                <w:ilvl w:val="0"/>
                <w:numId w:val="140"/>
              </w:numPr>
              <w:spacing w:after="20"/>
              <w:jc w:val="both"/>
            </w:pPr>
            <w:r>
              <w:rPr>
                <w:sz w:val="18"/>
                <w:szCs w:val="18"/>
              </w:rPr>
              <w:t>Código de Comercio, Decreto Ley N.º 14379, de 25 de febrero de 1977.</w:t>
            </w:r>
          </w:p>
          <w:p w14:paraId="257C64DD" w14:textId="77777777" w:rsidR="00990B14" w:rsidRDefault="00000000">
            <w:pPr>
              <w:numPr>
                <w:ilvl w:val="0"/>
                <w:numId w:val="140"/>
              </w:numPr>
              <w:spacing w:after="20"/>
              <w:jc w:val="both"/>
            </w:pPr>
            <w:r>
              <w:rPr>
                <w:sz w:val="18"/>
                <w:szCs w:val="18"/>
              </w:rPr>
              <w:t>Código Tributario Boliviano, Ley N.º 2492, de 2 de agosto de 2003.</w:t>
            </w:r>
          </w:p>
          <w:p w14:paraId="30362A68" w14:textId="77777777" w:rsidR="00990B14" w:rsidRDefault="00000000">
            <w:pPr>
              <w:numPr>
                <w:ilvl w:val="0"/>
                <w:numId w:val="140"/>
              </w:numPr>
              <w:spacing w:after="20"/>
              <w:jc w:val="both"/>
            </w:pPr>
            <w:r>
              <w:rPr>
                <w:sz w:val="18"/>
                <w:szCs w:val="18"/>
              </w:rPr>
              <w:t xml:space="preserve">Colegio de Auditores o Contadores Públicos de Bolivia, CAUB – Consejo Técnico Nacional de Auditoría y Contabilidad, CTNAC (2025). </w:t>
            </w:r>
            <w:r>
              <w:rPr>
                <w:i/>
                <w:iCs/>
                <w:sz w:val="18"/>
                <w:szCs w:val="18"/>
              </w:rPr>
              <w:t>Compendio de Normas de Contabilidad y Auditoría</w:t>
            </w:r>
            <w:r>
              <w:rPr>
                <w:sz w:val="18"/>
                <w:szCs w:val="18"/>
              </w:rPr>
              <w:t>. Santa Cruz.</w:t>
            </w:r>
          </w:p>
          <w:p w14:paraId="2905B37F" w14:textId="77777777" w:rsidR="00990B14" w:rsidRDefault="00000000">
            <w:pPr>
              <w:numPr>
                <w:ilvl w:val="0"/>
                <w:numId w:val="140"/>
              </w:numPr>
              <w:spacing w:after="20"/>
              <w:jc w:val="both"/>
            </w:pPr>
            <w:r w:rsidRPr="00BD34F7">
              <w:rPr>
                <w:sz w:val="18"/>
                <w:szCs w:val="18"/>
                <w:lang w:val="en-US"/>
              </w:rPr>
              <w:t xml:space="preserve">Committee of Sponsoring Organizations of the Treadway Commission – PriceWaterhouseCoopers; Instituto de Auditores Internos (2013). </w:t>
            </w:r>
            <w:r>
              <w:rPr>
                <w:i/>
                <w:iCs/>
                <w:sz w:val="18"/>
                <w:szCs w:val="18"/>
              </w:rPr>
              <w:t>Control Interno: Marco Integrado</w:t>
            </w:r>
            <w:r>
              <w:rPr>
                <w:sz w:val="18"/>
                <w:szCs w:val="18"/>
              </w:rPr>
              <w:t>.</w:t>
            </w:r>
          </w:p>
          <w:p w14:paraId="5AC3CF33" w14:textId="77777777" w:rsidR="00990B14" w:rsidRDefault="00000000">
            <w:pPr>
              <w:numPr>
                <w:ilvl w:val="0"/>
                <w:numId w:val="140"/>
              </w:numPr>
              <w:spacing w:after="20"/>
              <w:jc w:val="both"/>
            </w:pPr>
            <w:r>
              <w:rPr>
                <w:sz w:val="18"/>
                <w:szCs w:val="18"/>
              </w:rPr>
              <w:t>Consejo Técnico Nacional de Auditoría y Contabilidad. Resolución CTNAC N.º 01/2015, de adopción de las Normas Internacionales de Auditoría en Bolivia.</w:t>
            </w:r>
          </w:p>
          <w:p w14:paraId="24F0BCFB" w14:textId="77777777" w:rsidR="00990B14" w:rsidRDefault="009420AF">
            <w:pPr>
              <w:numPr>
                <w:ilvl w:val="0"/>
                <w:numId w:val="140"/>
              </w:numPr>
              <w:spacing w:after="20"/>
              <w:jc w:val="both"/>
            </w:pPr>
            <w:r>
              <w:rPr>
                <w:sz w:val="18"/>
                <w:szCs w:val="18"/>
              </w:rPr>
              <w:t xml:space="preserve">Coronel Tapia, C. R. (2018). </w:t>
            </w:r>
            <w:r>
              <w:rPr>
                <w:i/>
                <w:iCs/>
                <w:sz w:val="18"/>
                <w:szCs w:val="18"/>
              </w:rPr>
              <w:t>Auditoría en Base a Riesgos y Modelos de Negocio</w:t>
            </w:r>
            <w:r>
              <w:rPr>
                <w:sz w:val="18"/>
                <w:szCs w:val="18"/>
              </w:rPr>
              <w:t>.</w:t>
            </w:r>
          </w:p>
          <w:p w14:paraId="428EC0C6" w14:textId="77777777" w:rsidR="00990B14" w:rsidRDefault="00000000">
            <w:pPr>
              <w:numPr>
                <w:ilvl w:val="0"/>
                <w:numId w:val="140"/>
              </w:numPr>
              <w:spacing w:after="20"/>
              <w:jc w:val="both"/>
            </w:pPr>
            <w:r w:rsidRPr="00BD34F7">
              <w:rPr>
                <w:sz w:val="18"/>
                <w:szCs w:val="18"/>
                <w:lang w:val="en-US"/>
              </w:rPr>
              <w:t xml:space="preserve">International Auditing and Assurance Standards Board, IAASB (2011). </w:t>
            </w:r>
            <w:r>
              <w:rPr>
                <w:i/>
                <w:iCs/>
                <w:sz w:val="18"/>
                <w:szCs w:val="18"/>
              </w:rPr>
              <w:t>Guía para el uso de las Normas Internacionales de Auditoría en auditorías de Pequeñas y Medianas Empresas</w:t>
            </w:r>
            <w:r>
              <w:rPr>
                <w:sz w:val="18"/>
                <w:szCs w:val="18"/>
              </w:rPr>
              <w:t>. Tercera Edición, Volumen I y II.</w:t>
            </w:r>
          </w:p>
          <w:p w14:paraId="798652BA" w14:textId="77777777" w:rsidR="00990B14" w:rsidRDefault="00000000">
            <w:pPr>
              <w:numPr>
                <w:ilvl w:val="0"/>
                <w:numId w:val="140"/>
              </w:numPr>
              <w:spacing w:after="20"/>
              <w:jc w:val="both"/>
            </w:pPr>
            <w:r w:rsidRPr="00BD34F7">
              <w:rPr>
                <w:sz w:val="18"/>
                <w:szCs w:val="18"/>
                <w:lang w:val="en-US"/>
              </w:rPr>
              <w:t xml:space="preserve">International Auditing and Assurance Standards Board, IAASB (2018). </w:t>
            </w:r>
            <w:r w:rsidRPr="00BD34F7">
              <w:rPr>
                <w:i/>
                <w:iCs/>
                <w:sz w:val="18"/>
                <w:szCs w:val="18"/>
                <w:lang w:val="en-US"/>
              </w:rPr>
              <w:t>Guide to Using ISAs in the Audits of Small and Medium Sized Entities</w:t>
            </w:r>
            <w:r w:rsidRPr="00BD34F7">
              <w:rPr>
                <w:sz w:val="18"/>
                <w:szCs w:val="18"/>
                <w:lang w:val="en-US"/>
              </w:rPr>
              <w:t xml:space="preserve">. </w:t>
            </w:r>
            <w:r>
              <w:rPr>
                <w:sz w:val="18"/>
                <w:szCs w:val="18"/>
              </w:rPr>
              <w:t>Fourth Edition, Volumen I y II.</w:t>
            </w:r>
          </w:p>
          <w:p w14:paraId="3120B1DE" w14:textId="77777777" w:rsidR="00990B14" w:rsidRDefault="00000000">
            <w:pPr>
              <w:numPr>
                <w:ilvl w:val="0"/>
                <w:numId w:val="140"/>
              </w:numPr>
              <w:spacing w:after="20"/>
              <w:jc w:val="both"/>
            </w:pPr>
            <w:r w:rsidRPr="00BD34F7">
              <w:rPr>
                <w:sz w:val="18"/>
                <w:szCs w:val="18"/>
                <w:lang w:val="en-US"/>
              </w:rPr>
              <w:t xml:space="preserve">International Auditing and Assurance Standards Board, IAASB (2023). </w:t>
            </w:r>
            <w:r>
              <w:rPr>
                <w:sz w:val="18"/>
                <w:szCs w:val="18"/>
              </w:rPr>
              <w:t>Norma Internacional de Auditoría para auditorías de estados financieros de entidades menos complejas. Nueva York.</w:t>
            </w:r>
          </w:p>
          <w:p w14:paraId="4E5454B5" w14:textId="77777777" w:rsidR="00990B14" w:rsidRDefault="00000000">
            <w:pPr>
              <w:numPr>
                <w:ilvl w:val="0"/>
                <w:numId w:val="140"/>
              </w:numPr>
              <w:spacing w:after="20"/>
              <w:jc w:val="both"/>
            </w:pPr>
            <w:r w:rsidRPr="00BD34F7">
              <w:rPr>
                <w:sz w:val="18"/>
                <w:szCs w:val="18"/>
                <w:lang w:val="en-US"/>
              </w:rPr>
              <w:t xml:space="preserve">International Auditing and Assurance Standards Board, IAASB (2024). </w:t>
            </w:r>
            <w:r>
              <w:rPr>
                <w:sz w:val="18"/>
                <w:szCs w:val="18"/>
              </w:rPr>
              <w:t>Norma Internacional sobre Encargos de Aseguramiento de Sostenibilidad 5000. Nueva York.</w:t>
            </w:r>
          </w:p>
          <w:p w14:paraId="14429366" w14:textId="77777777" w:rsidR="00990B14" w:rsidRDefault="00000000">
            <w:pPr>
              <w:numPr>
                <w:ilvl w:val="0"/>
                <w:numId w:val="140"/>
              </w:numPr>
              <w:spacing w:after="20"/>
              <w:jc w:val="both"/>
            </w:pPr>
            <w:r w:rsidRPr="00BD34F7">
              <w:rPr>
                <w:sz w:val="18"/>
                <w:szCs w:val="18"/>
                <w:lang w:val="en-US"/>
              </w:rPr>
              <w:t xml:space="preserve">International Auditing and Assurance Standards Board, IAASB (2025). </w:t>
            </w:r>
            <w:r>
              <w:rPr>
                <w:i/>
                <w:iCs/>
                <w:sz w:val="18"/>
                <w:szCs w:val="18"/>
              </w:rPr>
              <w:t>Manual de Pronunciamientos Internacionales de Control de Calidad, Auditoría, Revisión, Otros Encargos de Aseguramiento y Servicios Relacionados</w:t>
            </w:r>
            <w:r>
              <w:rPr>
                <w:sz w:val="18"/>
                <w:szCs w:val="18"/>
              </w:rPr>
              <w:t>. Edición 2024, Volumen I, II, III y IV.</w:t>
            </w:r>
          </w:p>
          <w:p w14:paraId="591D7C41" w14:textId="77777777" w:rsidR="00990B14" w:rsidRDefault="00000000">
            <w:pPr>
              <w:numPr>
                <w:ilvl w:val="0"/>
                <w:numId w:val="140"/>
              </w:numPr>
              <w:spacing w:after="20"/>
              <w:jc w:val="both"/>
            </w:pPr>
            <w:r w:rsidRPr="00BD34F7">
              <w:rPr>
                <w:sz w:val="18"/>
                <w:szCs w:val="18"/>
                <w:lang w:val="en-US"/>
              </w:rPr>
              <w:t xml:space="preserve">International Auditing and Assurance Standards Board, IAASB (2026). </w:t>
            </w:r>
            <w:r w:rsidRPr="00BD34F7">
              <w:rPr>
                <w:i/>
                <w:iCs/>
                <w:sz w:val="18"/>
                <w:szCs w:val="18"/>
                <w:lang w:val="en-US"/>
              </w:rPr>
              <w:t>Handbook of International Quality Control, Auditing, Review, Other Assurance, and Related Services Pronouncements</w:t>
            </w:r>
            <w:r w:rsidRPr="00BD34F7">
              <w:rPr>
                <w:sz w:val="18"/>
                <w:szCs w:val="18"/>
                <w:lang w:val="en-US"/>
              </w:rPr>
              <w:t xml:space="preserve">. </w:t>
            </w:r>
            <w:r>
              <w:rPr>
                <w:sz w:val="18"/>
                <w:szCs w:val="18"/>
              </w:rPr>
              <w:t>2025 Edition, Volume I, II, III, IV and V.</w:t>
            </w:r>
          </w:p>
          <w:p w14:paraId="5B34BF66" w14:textId="77777777" w:rsidR="00990B14" w:rsidRDefault="00000000">
            <w:pPr>
              <w:numPr>
                <w:ilvl w:val="0"/>
                <w:numId w:val="140"/>
              </w:numPr>
              <w:spacing w:after="20"/>
              <w:jc w:val="both"/>
            </w:pPr>
            <w:r w:rsidRPr="00BD34F7">
              <w:rPr>
                <w:sz w:val="18"/>
                <w:szCs w:val="18"/>
                <w:lang w:val="en-US"/>
              </w:rPr>
              <w:t xml:space="preserve">International Ethics Standards Board for Accountants, IESBA (2025). </w:t>
            </w:r>
            <w:r>
              <w:rPr>
                <w:i/>
                <w:iCs/>
                <w:sz w:val="18"/>
                <w:szCs w:val="18"/>
              </w:rPr>
              <w:t>Manual del Código de Ética para Contadores Profesionales</w:t>
            </w:r>
            <w:r>
              <w:rPr>
                <w:sz w:val="18"/>
                <w:szCs w:val="18"/>
              </w:rPr>
              <w:t>. Edición 2025.</w:t>
            </w:r>
          </w:p>
          <w:p w14:paraId="119F9A94" w14:textId="77777777" w:rsidR="00990B14" w:rsidRDefault="00000000">
            <w:pPr>
              <w:numPr>
                <w:ilvl w:val="0"/>
                <w:numId w:val="140"/>
              </w:numPr>
              <w:spacing w:after="20"/>
              <w:jc w:val="both"/>
            </w:pPr>
            <w:r w:rsidRPr="00BD34F7">
              <w:rPr>
                <w:sz w:val="18"/>
                <w:szCs w:val="18"/>
                <w:lang w:val="en-US"/>
              </w:rPr>
              <w:t xml:space="preserve">International Ethics Standards Board for Accountants, IESBA (2026). </w:t>
            </w:r>
            <w:r w:rsidRPr="00BD34F7">
              <w:rPr>
                <w:i/>
                <w:iCs/>
                <w:sz w:val="18"/>
                <w:szCs w:val="18"/>
                <w:lang w:val="en-US"/>
              </w:rPr>
              <w:t>Handbook of the International Code of Ethics for Professional Accountants</w:t>
            </w:r>
            <w:r w:rsidRPr="00BD34F7">
              <w:rPr>
                <w:sz w:val="18"/>
                <w:szCs w:val="18"/>
                <w:lang w:val="en-US"/>
              </w:rPr>
              <w:t xml:space="preserve">. </w:t>
            </w:r>
            <w:r>
              <w:rPr>
                <w:sz w:val="18"/>
                <w:szCs w:val="18"/>
              </w:rPr>
              <w:t>2026 Edition, Volume I and II.</w:t>
            </w:r>
          </w:p>
          <w:p w14:paraId="32F9D02C" w14:textId="77777777" w:rsidR="00990B14" w:rsidRDefault="00000000">
            <w:pPr>
              <w:numPr>
                <w:ilvl w:val="0"/>
                <w:numId w:val="140"/>
              </w:numPr>
              <w:spacing w:after="20"/>
              <w:jc w:val="both"/>
            </w:pPr>
            <w:r>
              <w:rPr>
                <w:sz w:val="18"/>
                <w:szCs w:val="18"/>
              </w:rPr>
              <w:t xml:space="preserve">Peláez, V. y Gonzales, C. (2017). </w:t>
            </w:r>
            <w:r>
              <w:rPr>
                <w:i/>
                <w:iCs/>
                <w:sz w:val="18"/>
                <w:szCs w:val="18"/>
              </w:rPr>
              <w:t>Informes de Auditoría de Estados Financieros</w:t>
            </w:r>
            <w:r>
              <w:rPr>
                <w:sz w:val="18"/>
                <w:szCs w:val="18"/>
              </w:rPr>
              <w:t>. Segunda Edición. La Paz – Bolivia.</w:t>
            </w:r>
          </w:p>
          <w:p w14:paraId="34B3E880" w14:textId="77777777" w:rsidR="00990B14" w:rsidRPr="009420AF" w:rsidRDefault="00000000">
            <w:pPr>
              <w:numPr>
                <w:ilvl w:val="0"/>
                <w:numId w:val="140"/>
              </w:numPr>
              <w:spacing w:after="20"/>
              <w:jc w:val="both"/>
            </w:pPr>
            <w:r>
              <w:rPr>
                <w:sz w:val="18"/>
                <w:szCs w:val="18"/>
              </w:rPr>
              <w:t xml:space="preserve">Peláez, V. y Gonzales, C. (2021). </w:t>
            </w:r>
            <w:r>
              <w:rPr>
                <w:i/>
                <w:iCs/>
                <w:sz w:val="18"/>
                <w:szCs w:val="18"/>
              </w:rPr>
              <w:t>Informes de Auditoría de Estados Financieros</w:t>
            </w:r>
            <w:r>
              <w:rPr>
                <w:sz w:val="18"/>
                <w:szCs w:val="18"/>
              </w:rPr>
              <w:t>. La Paz – Bolivia.</w:t>
            </w:r>
          </w:p>
          <w:p w14:paraId="74EB3909" w14:textId="77777777" w:rsidR="009420AF" w:rsidRDefault="009420AF" w:rsidP="009420AF">
            <w:pPr>
              <w:spacing w:after="20"/>
              <w:ind w:left="270"/>
              <w:jc w:val="both"/>
            </w:pPr>
          </w:p>
        </w:tc>
      </w:tr>
      <w:tr w:rsidR="00990B14" w14:paraId="5410E8C5" w14:textId="77777777">
        <w:trPr>
          <w:jc w:val="center"/>
        </w:trPr>
        <w:tc>
          <w:tcPr>
            <w:tcW w:w="9405" w:type="dxa"/>
            <w:shd w:val="clear" w:color="auto" w:fill="D9E2F3"/>
          </w:tcPr>
          <w:p w14:paraId="09453844" w14:textId="77777777" w:rsidR="00990B14" w:rsidRDefault="00000000">
            <w:pPr>
              <w:spacing w:before="40" w:after="40"/>
              <w:jc w:val="both"/>
            </w:pPr>
            <w:r>
              <w:rPr>
                <w:b/>
                <w:bCs/>
                <w:i/>
                <w:iCs/>
                <w:sz w:val="18"/>
                <w:szCs w:val="18"/>
              </w:rPr>
              <w:t>Bibliografía complementaria:</w:t>
            </w:r>
          </w:p>
          <w:p w14:paraId="3F8C362F" w14:textId="77777777" w:rsidR="00990B14" w:rsidRDefault="00000000">
            <w:pPr>
              <w:numPr>
                <w:ilvl w:val="0"/>
                <w:numId w:val="140"/>
              </w:numPr>
              <w:spacing w:after="20"/>
              <w:jc w:val="both"/>
            </w:pPr>
            <w:r>
              <w:rPr>
                <w:sz w:val="18"/>
                <w:szCs w:val="18"/>
              </w:rPr>
              <w:t xml:space="preserve">Arens, A. y Loebbecke, J. (1996). </w:t>
            </w:r>
            <w:r>
              <w:rPr>
                <w:i/>
                <w:iCs/>
                <w:sz w:val="18"/>
                <w:szCs w:val="18"/>
              </w:rPr>
              <w:t>Auditoría: un enfoque integral</w:t>
            </w:r>
            <w:r>
              <w:rPr>
                <w:sz w:val="18"/>
                <w:szCs w:val="18"/>
              </w:rPr>
              <w:t>. Sexta Edición. México: Prentice Hall Hispanoamericana S.A.</w:t>
            </w:r>
          </w:p>
          <w:p w14:paraId="01078CBC" w14:textId="77777777" w:rsidR="00990B14" w:rsidRDefault="00000000">
            <w:pPr>
              <w:numPr>
                <w:ilvl w:val="0"/>
                <w:numId w:val="140"/>
              </w:numPr>
              <w:spacing w:after="20"/>
              <w:jc w:val="both"/>
            </w:pPr>
            <w:r>
              <w:rPr>
                <w:sz w:val="18"/>
                <w:szCs w:val="18"/>
              </w:rPr>
              <w:t>Colegio de Auditores o Contadores Públicos de Bolivia: https://www.auditores.org.bo</w:t>
            </w:r>
          </w:p>
          <w:p w14:paraId="19AEABBE" w14:textId="77777777" w:rsidR="00990B14" w:rsidRDefault="00000000">
            <w:pPr>
              <w:numPr>
                <w:ilvl w:val="0"/>
                <w:numId w:val="140"/>
              </w:numPr>
              <w:spacing w:after="20"/>
              <w:jc w:val="both"/>
            </w:pPr>
            <w:r>
              <w:rPr>
                <w:sz w:val="18"/>
                <w:szCs w:val="18"/>
              </w:rPr>
              <w:t xml:space="preserve">Deloitte (2019). </w:t>
            </w:r>
            <w:r>
              <w:rPr>
                <w:i/>
                <w:iCs/>
                <w:sz w:val="18"/>
                <w:szCs w:val="18"/>
              </w:rPr>
              <w:t>Estándares Internacionales de Auditoría, Aseguramiento, Revisión, Otros Encargos de Aseguramiento, Servicios Relacionados y Control de Calidad</w:t>
            </w:r>
            <w:r>
              <w:rPr>
                <w:sz w:val="18"/>
                <w:szCs w:val="18"/>
              </w:rPr>
              <w:t>.</w:t>
            </w:r>
          </w:p>
          <w:p w14:paraId="5CFF4847" w14:textId="77777777" w:rsidR="00990B14" w:rsidRDefault="00000000">
            <w:pPr>
              <w:numPr>
                <w:ilvl w:val="0"/>
                <w:numId w:val="140"/>
              </w:numPr>
              <w:spacing w:after="20"/>
              <w:jc w:val="both"/>
            </w:pPr>
            <w:r w:rsidRPr="00BD34F7">
              <w:rPr>
                <w:sz w:val="18"/>
                <w:szCs w:val="18"/>
                <w:lang w:val="en-US"/>
              </w:rPr>
              <w:t xml:space="preserve">Fowler Newton, E. (s.f.). </w:t>
            </w:r>
            <w:r>
              <w:rPr>
                <w:i/>
                <w:iCs/>
                <w:sz w:val="18"/>
                <w:szCs w:val="18"/>
              </w:rPr>
              <w:t>Auditoría aplicada</w:t>
            </w:r>
            <w:r>
              <w:rPr>
                <w:sz w:val="18"/>
                <w:szCs w:val="18"/>
              </w:rPr>
              <w:t>. Ediciones Macchi.</w:t>
            </w:r>
          </w:p>
          <w:p w14:paraId="4884B03C" w14:textId="77777777" w:rsidR="00990B14" w:rsidRPr="00BD34F7" w:rsidRDefault="00000000">
            <w:pPr>
              <w:numPr>
                <w:ilvl w:val="0"/>
                <w:numId w:val="140"/>
              </w:numPr>
              <w:spacing w:after="20"/>
              <w:jc w:val="both"/>
              <w:rPr>
                <w:lang w:val="en-US"/>
              </w:rPr>
            </w:pPr>
            <w:r w:rsidRPr="00BD34F7">
              <w:rPr>
                <w:sz w:val="18"/>
                <w:szCs w:val="18"/>
                <w:lang w:val="en-US"/>
              </w:rPr>
              <w:t>International Auditing and Assurance Standards Board: https://www.iaasb.org</w:t>
            </w:r>
          </w:p>
          <w:p w14:paraId="2569C743" w14:textId="77777777" w:rsidR="00990B14" w:rsidRDefault="00000000">
            <w:pPr>
              <w:numPr>
                <w:ilvl w:val="0"/>
                <w:numId w:val="140"/>
              </w:numPr>
              <w:spacing w:after="20"/>
              <w:jc w:val="both"/>
            </w:pPr>
            <w:r>
              <w:rPr>
                <w:sz w:val="18"/>
                <w:szCs w:val="18"/>
              </w:rPr>
              <w:t xml:space="preserve">Mantilla, S. A. (2004). </w:t>
            </w:r>
            <w:r>
              <w:rPr>
                <w:i/>
                <w:iCs/>
                <w:sz w:val="18"/>
                <w:szCs w:val="18"/>
              </w:rPr>
              <w:t>Auditoría 2005</w:t>
            </w:r>
            <w:r>
              <w:rPr>
                <w:sz w:val="18"/>
                <w:szCs w:val="18"/>
              </w:rPr>
              <w:t>. Bogotá – Colombia: ECOE Ediciones.</w:t>
            </w:r>
          </w:p>
          <w:p w14:paraId="660E2A88" w14:textId="77777777" w:rsidR="00990B14" w:rsidRDefault="00000000">
            <w:pPr>
              <w:numPr>
                <w:ilvl w:val="0"/>
                <w:numId w:val="140"/>
              </w:numPr>
              <w:spacing w:after="20"/>
              <w:jc w:val="both"/>
            </w:pPr>
            <w:r>
              <w:rPr>
                <w:sz w:val="18"/>
                <w:szCs w:val="18"/>
              </w:rPr>
              <w:t xml:space="preserve">Slosse, C. (1995). </w:t>
            </w:r>
            <w:r>
              <w:rPr>
                <w:i/>
                <w:iCs/>
                <w:sz w:val="18"/>
                <w:szCs w:val="18"/>
              </w:rPr>
              <w:t>Auditoría: un nuevo enfoque empresarial</w:t>
            </w:r>
            <w:r>
              <w:rPr>
                <w:sz w:val="18"/>
                <w:szCs w:val="18"/>
              </w:rPr>
              <w:t>. Segunda Edición. Buenos Aires – Argentina: Ediciones Macchi.</w:t>
            </w:r>
          </w:p>
          <w:p w14:paraId="48829167" w14:textId="77777777" w:rsidR="00990B14" w:rsidRDefault="00000000">
            <w:pPr>
              <w:numPr>
                <w:ilvl w:val="0"/>
                <w:numId w:val="140"/>
              </w:numPr>
              <w:spacing w:after="20"/>
              <w:jc w:val="both"/>
            </w:pPr>
            <w:r w:rsidRPr="00BD34F7">
              <w:rPr>
                <w:sz w:val="18"/>
                <w:szCs w:val="18"/>
                <w:lang w:val="en-US"/>
              </w:rPr>
              <w:t xml:space="preserve">Whittington, R. y Pany, K. (2005). </w:t>
            </w:r>
            <w:r>
              <w:rPr>
                <w:i/>
                <w:iCs/>
                <w:sz w:val="18"/>
                <w:szCs w:val="18"/>
              </w:rPr>
              <w:t>Principios de Auditoría</w:t>
            </w:r>
            <w:r>
              <w:rPr>
                <w:sz w:val="18"/>
                <w:szCs w:val="18"/>
              </w:rPr>
              <w:t>. Decimocuarta Edición. México: McGraw Hill.</w:t>
            </w:r>
          </w:p>
        </w:tc>
      </w:tr>
    </w:tbl>
    <w:p w14:paraId="27BEAAEE" w14:textId="77777777" w:rsidR="00990B14" w:rsidRDefault="00000000">
      <w:pPr>
        <w:pStyle w:val="TituloPlanAsignatura"/>
        <w:keepNext/>
        <w:pageBreakBefore/>
        <w:spacing w:after="120"/>
        <w:jc w:val="center"/>
        <w:outlineLvl w:val="2"/>
      </w:pPr>
      <w:bookmarkStart w:id="180" w:name="_Toc000000121"/>
      <w:r>
        <w:rPr>
          <w:b/>
          <w:bCs/>
          <w:sz w:val="24"/>
          <w:szCs w:val="24"/>
        </w:rPr>
        <w:t>CPA-408 Auditoría Interna, Control Interno, Gestión de Riesgos y Gobierno Corporativo</w:t>
      </w:r>
      <w:bookmarkEnd w:id="180"/>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249"/>
        <w:gridCol w:w="1100"/>
        <w:gridCol w:w="149"/>
        <w:gridCol w:w="635"/>
        <w:gridCol w:w="615"/>
        <w:gridCol w:w="952"/>
        <w:gridCol w:w="298"/>
        <w:gridCol w:w="1250"/>
        <w:gridCol w:w="20"/>
        <w:gridCol w:w="385"/>
        <w:gridCol w:w="398"/>
        <w:gridCol w:w="447"/>
        <w:gridCol w:w="1907"/>
      </w:tblGrid>
      <w:tr w:rsidR="00990B14" w14:paraId="274678C3" w14:textId="77777777">
        <w:trPr>
          <w:cantSplit/>
          <w:jc w:val="center"/>
        </w:trPr>
        <w:tc>
          <w:tcPr>
            <w:tcW w:w="2349" w:type="dxa"/>
            <w:gridSpan w:val="2"/>
            <w:shd w:val="clear" w:color="auto" w:fill="4472C4"/>
            <w:vAlign w:val="center"/>
          </w:tcPr>
          <w:p w14:paraId="58B02C60" w14:textId="77777777" w:rsidR="00990B14" w:rsidRDefault="00000000">
            <w:pPr>
              <w:keepNext/>
              <w:spacing w:before="20" w:after="20"/>
              <w:jc w:val="center"/>
            </w:pPr>
            <w:r>
              <w:rPr>
                <w:b/>
                <w:bCs/>
                <w:i/>
                <w:iCs/>
                <w:color w:val="FFFFFF"/>
                <w:sz w:val="18"/>
                <w:szCs w:val="18"/>
              </w:rPr>
              <w:t>Asignatura</w:t>
            </w:r>
          </w:p>
        </w:tc>
        <w:tc>
          <w:tcPr>
            <w:tcW w:w="2351" w:type="dxa"/>
            <w:gridSpan w:val="4"/>
            <w:shd w:val="clear" w:color="auto" w:fill="4472C4"/>
            <w:vAlign w:val="center"/>
          </w:tcPr>
          <w:p w14:paraId="79A33663" w14:textId="77777777" w:rsidR="00990B14" w:rsidRDefault="00000000">
            <w:pPr>
              <w:keepNext/>
              <w:spacing w:before="20" w:after="20"/>
              <w:jc w:val="center"/>
            </w:pPr>
            <w:r>
              <w:rPr>
                <w:b/>
                <w:bCs/>
                <w:i/>
                <w:iCs/>
                <w:color w:val="FFFFFF"/>
                <w:sz w:val="18"/>
                <w:szCs w:val="18"/>
              </w:rPr>
              <w:t>Sigla</w:t>
            </w:r>
          </w:p>
        </w:tc>
        <w:tc>
          <w:tcPr>
            <w:tcW w:w="2351" w:type="dxa"/>
            <w:gridSpan w:val="5"/>
            <w:shd w:val="clear" w:color="auto" w:fill="4472C4"/>
            <w:vAlign w:val="center"/>
          </w:tcPr>
          <w:p w14:paraId="056A7A2A" w14:textId="77777777" w:rsidR="00990B14" w:rsidRDefault="00000000">
            <w:pPr>
              <w:keepNext/>
              <w:spacing w:before="20" w:after="20"/>
              <w:jc w:val="center"/>
            </w:pPr>
            <w:r>
              <w:rPr>
                <w:b/>
                <w:bCs/>
                <w:i/>
                <w:iCs/>
                <w:color w:val="FFFFFF"/>
                <w:sz w:val="18"/>
                <w:szCs w:val="18"/>
              </w:rPr>
              <w:t>Nivel/Área</w:t>
            </w:r>
          </w:p>
        </w:tc>
        <w:tc>
          <w:tcPr>
            <w:tcW w:w="2354" w:type="dxa"/>
            <w:gridSpan w:val="2"/>
            <w:shd w:val="clear" w:color="auto" w:fill="4472C4"/>
            <w:vAlign w:val="center"/>
          </w:tcPr>
          <w:p w14:paraId="60DD5D05" w14:textId="77777777" w:rsidR="00990B14" w:rsidRDefault="00000000">
            <w:pPr>
              <w:keepNext/>
              <w:spacing w:before="20" w:after="20"/>
              <w:jc w:val="center"/>
            </w:pPr>
            <w:r>
              <w:rPr>
                <w:b/>
                <w:bCs/>
                <w:i/>
                <w:iCs/>
                <w:color w:val="FFFFFF"/>
                <w:sz w:val="18"/>
                <w:szCs w:val="18"/>
              </w:rPr>
              <w:t>Prerrequisito</w:t>
            </w:r>
          </w:p>
        </w:tc>
      </w:tr>
      <w:tr w:rsidR="00990B14" w14:paraId="0DFFC3F0" w14:textId="77777777">
        <w:trPr>
          <w:cantSplit/>
          <w:jc w:val="center"/>
        </w:trPr>
        <w:tc>
          <w:tcPr>
            <w:tcW w:w="2349" w:type="dxa"/>
            <w:gridSpan w:val="2"/>
            <w:shd w:val="clear" w:color="auto" w:fill="D9E2F3"/>
            <w:vAlign w:val="center"/>
          </w:tcPr>
          <w:p w14:paraId="5593928D" w14:textId="77777777" w:rsidR="00990B14" w:rsidRDefault="00000000">
            <w:pPr>
              <w:spacing w:before="20" w:after="20"/>
              <w:jc w:val="center"/>
            </w:pPr>
            <w:r>
              <w:rPr>
                <w:b/>
                <w:bCs/>
                <w:i/>
                <w:iCs/>
                <w:sz w:val="18"/>
                <w:szCs w:val="18"/>
              </w:rPr>
              <w:t>Auditoría Interna, Control Interno, Gestión de Riesgos y Gobierno Corporativo</w:t>
            </w:r>
          </w:p>
        </w:tc>
        <w:tc>
          <w:tcPr>
            <w:tcW w:w="2351" w:type="dxa"/>
            <w:gridSpan w:val="4"/>
            <w:shd w:val="clear" w:color="auto" w:fill="D9E2F3"/>
            <w:vAlign w:val="center"/>
          </w:tcPr>
          <w:p w14:paraId="196A1087" w14:textId="77777777" w:rsidR="00990B14" w:rsidRDefault="00000000">
            <w:pPr>
              <w:spacing w:before="20" w:after="20"/>
              <w:jc w:val="center"/>
            </w:pPr>
            <w:r>
              <w:rPr>
                <w:b/>
                <w:bCs/>
                <w:i/>
                <w:iCs/>
                <w:sz w:val="18"/>
                <w:szCs w:val="18"/>
              </w:rPr>
              <w:t>CPA-408</w:t>
            </w:r>
          </w:p>
        </w:tc>
        <w:tc>
          <w:tcPr>
            <w:tcW w:w="2351" w:type="dxa"/>
            <w:gridSpan w:val="5"/>
            <w:shd w:val="clear" w:color="auto" w:fill="D9E2F3"/>
            <w:vAlign w:val="center"/>
          </w:tcPr>
          <w:p w14:paraId="1508D4B3" w14:textId="77777777" w:rsidR="00990B14" w:rsidRDefault="00000000">
            <w:pPr>
              <w:spacing w:before="20" w:after="20"/>
              <w:jc w:val="center"/>
            </w:pPr>
            <w:r>
              <w:rPr>
                <w:b/>
                <w:bCs/>
                <w:i/>
                <w:iCs/>
                <w:sz w:val="18"/>
                <w:szCs w:val="18"/>
              </w:rPr>
              <w:t>Aseguramiento</w:t>
            </w:r>
          </w:p>
        </w:tc>
        <w:tc>
          <w:tcPr>
            <w:tcW w:w="2354" w:type="dxa"/>
            <w:gridSpan w:val="2"/>
            <w:shd w:val="clear" w:color="auto" w:fill="D9E2F3"/>
            <w:vAlign w:val="center"/>
          </w:tcPr>
          <w:p w14:paraId="0ED49FB6" w14:textId="77777777" w:rsidR="00990B14" w:rsidRDefault="00000000">
            <w:pPr>
              <w:spacing w:before="20" w:after="20"/>
              <w:jc w:val="center"/>
            </w:pPr>
            <w:r>
              <w:rPr>
                <w:b/>
                <w:bCs/>
                <w:i/>
                <w:iCs/>
                <w:sz w:val="18"/>
                <w:szCs w:val="18"/>
              </w:rPr>
              <w:t>CPA-301 a CPA-304</w:t>
            </w:r>
          </w:p>
        </w:tc>
      </w:tr>
      <w:tr w:rsidR="00990B14" w14:paraId="3C015E71" w14:textId="77777777">
        <w:trPr>
          <w:cantSplit/>
          <w:jc w:val="center"/>
        </w:trPr>
        <w:tc>
          <w:tcPr>
            <w:tcW w:w="7498" w:type="dxa"/>
            <w:gridSpan w:val="12"/>
            <w:shd w:val="clear" w:color="auto" w:fill="4472C4"/>
            <w:vAlign w:val="center"/>
          </w:tcPr>
          <w:p w14:paraId="280C9838" w14:textId="77777777" w:rsidR="00990B14" w:rsidRDefault="00000000">
            <w:pPr>
              <w:keepNext/>
              <w:spacing w:before="20" w:after="20"/>
              <w:jc w:val="center"/>
            </w:pPr>
            <w:r>
              <w:rPr>
                <w:b/>
                <w:bCs/>
                <w:i/>
                <w:iCs/>
                <w:color w:val="FFFFFF"/>
                <w:sz w:val="18"/>
                <w:szCs w:val="18"/>
              </w:rPr>
              <w:t>Carga Horaria</w:t>
            </w:r>
          </w:p>
        </w:tc>
        <w:tc>
          <w:tcPr>
            <w:tcW w:w="1907" w:type="dxa"/>
            <w:shd w:val="clear" w:color="auto" w:fill="4472C4"/>
            <w:vAlign w:val="center"/>
          </w:tcPr>
          <w:p w14:paraId="06386182" w14:textId="77777777" w:rsidR="00990B14" w:rsidRDefault="00000000">
            <w:pPr>
              <w:keepNext/>
              <w:spacing w:before="20" w:after="20"/>
              <w:jc w:val="center"/>
            </w:pPr>
            <w:r>
              <w:rPr>
                <w:b/>
                <w:bCs/>
                <w:i/>
                <w:iCs/>
                <w:color w:val="FFFFFF"/>
                <w:sz w:val="18"/>
                <w:szCs w:val="18"/>
              </w:rPr>
              <w:t>Créditos</w:t>
            </w:r>
          </w:p>
        </w:tc>
      </w:tr>
      <w:tr w:rsidR="00990B14" w14:paraId="43287E7D" w14:textId="77777777">
        <w:trPr>
          <w:cantSplit/>
          <w:jc w:val="center"/>
        </w:trPr>
        <w:tc>
          <w:tcPr>
            <w:tcW w:w="1249" w:type="dxa"/>
            <w:shd w:val="clear" w:color="auto" w:fill="4472C4"/>
            <w:vAlign w:val="center"/>
          </w:tcPr>
          <w:p w14:paraId="1B90E0F5" w14:textId="77777777" w:rsidR="00990B14" w:rsidRDefault="00000000">
            <w:pPr>
              <w:keepNext/>
              <w:spacing w:before="20" w:after="20"/>
              <w:jc w:val="center"/>
            </w:pPr>
            <w:r>
              <w:rPr>
                <w:b/>
                <w:bCs/>
                <w:i/>
                <w:iCs/>
                <w:color w:val="FFFFFF"/>
                <w:sz w:val="18"/>
                <w:szCs w:val="18"/>
              </w:rPr>
              <w:t>HP</w:t>
            </w:r>
          </w:p>
        </w:tc>
        <w:tc>
          <w:tcPr>
            <w:tcW w:w="1249" w:type="dxa"/>
            <w:gridSpan w:val="2"/>
            <w:shd w:val="clear" w:color="auto" w:fill="4472C4"/>
            <w:vAlign w:val="center"/>
          </w:tcPr>
          <w:p w14:paraId="2012CA8F" w14:textId="77777777" w:rsidR="00990B14" w:rsidRDefault="00000000">
            <w:pPr>
              <w:keepNext/>
              <w:spacing w:before="20" w:after="20"/>
              <w:jc w:val="center"/>
            </w:pPr>
            <w:r>
              <w:rPr>
                <w:b/>
                <w:bCs/>
                <w:i/>
                <w:iCs/>
                <w:color w:val="FFFFFF"/>
                <w:sz w:val="18"/>
                <w:szCs w:val="18"/>
              </w:rPr>
              <w:t>HAA</w:t>
            </w:r>
          </w:p>
        </w:tc>
        <w:tc>
          <w:tcPr>
            <w:tcW w:w="1250" w:type="dxa"/>
            <w:gridSpan w:val="2"/>
            <w:shd w:val="clear" w:color="auto" w:fill="4472C4"/>
            <w:vAlign w:val="center"/>
          </w:tcPr>
          <w:p w14:paraId="0BF1823B" w14:textId="77777777" w:rsidR="00990B14" w:rsidRDefault="00000000">
            <w:pPr>
              <w:keepNext/>
              <w:spacing w:before="20" w:after="20"/>
              <w:jc w:val="center"/>
            </w:pPr>
            <w:r>
              <w:rPr>
                <w:b/>
                <w:bCs/>
                <w:i/>
                <w:iCs/>
                <w:color w:val="FFFFFF"/>
                <w:sz w:val="18"/>
                <w:szCs w:val="18"/>
              </w:rPr>
              <w:t>HTG</w:t>
            </w:r>
          </w:p>
        </w:tc>
        <w:tc>
          <w:tcPr>
            <w:tcW w:w="1250" w:type="dxa"/>
            <w:gridSpan w:val="2"/>
            <w:shd w:val="clear" w:color="auto" w:fill="4472C4"/>
            <w:vAlign w:val="center"/>
          </w:tcPr>
          <w:p w14:paraId="4B1DC057" w14:textId="77777777" w:rsidR="00990B14" w:rsidRDefault="00000000">
            <w:pPr>
              <w:keepNext/>
              <w:spacing w:before="20" w:after="20"/>
              <w:jc w:val="center"/>
            </w:pPr>
            <w:r>
              <w:rPr>
                <w:b/>
                <w:bCs/>
                <w:i/>
                <w:iCs/>
                <w:color w:val="FFFFFF"/>
                <w:sz w:val="18"/>
                <w:szCs w:val="18"/>
              </w:rPr>
              <w:t>HIP</w:t>
            </w:r>
          </w:p>
        </w:tc>
        <w:tc>
          <w:tcPr>
            <w:tcW w:w="1250" w:type="dxa"/>
            <w:shd w:val="clear" w:color="auto" w:fill="4472C4"/>
            <w:vAlign w:val="center"/>
          </w:tcPr>
          <w:p w14:paraId="4F689834" w14:textId="77777777" w:rsidR="00990B14" w:rsidRDefault="00000000">
            <w:pPr>
              <w:keepNext/>
              <w:spacing w:before="20" w:after="20"/>
              <w:jc w:val="center"/>
            </w:pPr>
            <w:r>
              <w:rPr>
                <w:b/>
                <w:bCs/>
                <w:i/>
                <w:iCs/>
                <w:color w:val="FFFFFF"/>
                <w:sz w:val="18"/>
                <w:szCs w:val="18"/>
              </w:rPr>
              <w:t>HE</w:t>
            </w:r>
          </w:p>
        </w:tc>
        <w:tc>
          <w:tcPr>
            <w:tcW w:w="1250" w:type="dxa"/>
            <w:gridSpan w:val="4"/>
            <w:shd w:val="clear" w:color="auto" w:fill="4472C4"/>
            <w:vAlign w:val="center"/>
          </w:tcPr>
          <w:p w14:paraId="7AA3F17B" w14:textId="77777777" w:rsidR="00990B14" w:rsidRDefault="00000000">
            <w:pPr>
              <w:keepNext/>
              <w:spacing w:before="20" w:after="20"/>
              <w:jc w:val="center"/>
            </w:pPr>
            <w:r>
              <w:rPr>
                <w:b/>
                <w:bCs/>
                <w:i/>
                <w:iCs/>
                <w:color w:val="FFFFFF"/>
                <w:sz w:val="18"/>
                <w:szCs w:val="18"/>
              </w:rPr>
              <w:t>TOTAL</w:t>
            </w:r>
          </w:p>
        </w:tc>
        <w:tc>
          <w:tcPr>
            <w:tcW w:w="1907" w:type="dxa"/>
            <w:vMerge w:val="restart"/>
            <w:shd w:val="clear" w:color="auto" w:fill="D9E2F3"/>
            <w:vAlign w:val="center"/>
          </w:tcPr>
          <w:p w14:paraId="7E73FFC7" w14:textId="77777777" w:rsidR="00990B14" w:rsidRDefault="00000000">
            <w:pPr>
              <w:spacing w:before="20" w:after="20"/>
              <w:jc w:val="center"/>
            </w:pPr>
            <w:r>
              <w:rPr>
                <w:sz w:val="18"/>
                <w:szCs w:val="18"/>
              </w:rPr>
              <w:t>8</w:t>
            </w:r>
          </w:p>
        </w:tc>
      </w:tr>
      <w:tr w:rsidR="00990B14" w14:paraId="3E6235F5" w14:textId="77777777">
        <w:trPr>
          <w:cantSplit/>
          <w:jc w:val="center"/>
        </w:trPr>
        <w:tc>
          <w:tcPr>
            <w:tcW w:w="1249" w:type="dxa"/>
            <w:shd w:val="clear" w:color="auto" w:fill="D9E2F3"/>
            <w:vAlign w:val="center"/>
          </w:tcPr>
          <w:p w14:paraId="03894B5E" w14:textId="77777777" w:rsidR="00990B14" w:rsidRDefault="00000000">
            <w:pPr>
              <w:spacing w:before="20" w:after="20"/>
              <w:jc w:val="center"/>
            </w:pPr>
            <w:r>
              <w:rPr>
                <w:sz w:val="18"/>
                <w:szCs w:val="18"/>
              </w:rPr>
              <w:t>160</w:t>
            </w:r>
          </w:p>
        </w:tc>
        <w:tc>
          <w:tcPr>
            <w:tcW w:w="1249" w:type="dxa"/>
            <w:gridSpan w:val="2"/>
            <w:shd w:val="clear" w:color="auto" w:fill="D9E2F3"/>
            <w:vAlign w:val="center"/>
          </w:tcPr>
          <w:p w14:paraId="451D1357" w14:textId="77777777" w:rsidR="00990B14" w:rsidRDefault="00000000">
            <w:pPr>
              <w:spacing w:before="20" w:after="20"/>
              <w:jc w:val="center"/>
            </w:pPr>
            <w:r>
              <w:rPr>
                <w:sz w:val="18"/>
                <w:szCs w:val="18"/>
              </w:rPr>
              <w:t>16</w:t>
            </w:r>
          </w:p>
        </w:tc>
        <w:tc>
          <w:tcPr>
            <w:tcW w:w="1250" w:type="dxa"/>
            <w:gridSpan w:val="2"/>
            <w:shd w:val="clear" w:color="auto" w:fill="D9E2F3"/>
            <w:vAlign w:val="center"/>
          </w:tcPr>
          <w:p w14:paraId="077BC14F" w14:textId="77777777" w:rsidR="00990B14" w:rsidRDefault="00000000">
            <w:pPr>
              <w:spacing w:before="20" w:after="20"/>
              <w:jc w:val="center"/>
            </w:pPr>
            <w:r>
              <w:rPr>
                <w:sz w:val="18"/>
                <w:szCs w:val="18"/>
              </w:rPr>
              <w:t>16</w:t>
            </w:r>
          </w:p>
        </w:tc>
        <w:tc>
          <w:tcPr>
            <w:tcW w:w="1250" w:type="dxa"/>
            <w:gridSpan w:val="2"/>
            <w:shd w:val="clear" w:color="auto" w:fill="D9E2F3"/>
            <w:vAlign w:val="center"/>
          </w:tcPr>
          <w:p w14:paraId="31B398DD" w14:textId="77777777" w:rsidR="00990B14" w:rsidRDefault="00000000">
            <w:pPr>
              <w:spacing w:before="20" w:after="20"/>
              <w:jc w:val="center"/>
            </w:pPr>
            <w:r>
              <w:rPr>
                <w:sz w:val="18"/>
                <w:szCs w:val="18"/>
              </w:rPr>
              <w:t>32</w:t>
            </w:r>
          </w:p>
        </w:tc>
        <w:tc>
          <w:tcPr>
            <w:tcW w:w="1250" w:type="dxa"/>
            <w:shd w:val="clear" w:color="auto" w:fill="D9E2F3"/>
            <w:vAlign w:val="center"/>
          </w:tcPr>
          <w:p w14:paraId="51FC33B8" w14:textId="77777777" w:rsidR="00990B14" w:rsidRDefault="00000000">
            <w:pPr>
              <w:spacing w:before="20" w:after="20"/>
              <w:jc w:val="center"/>
            </w:pPr>
            <w:r>
              <w:rPr>
                <w:sz w:val="18"/>
                <w:szCs w:val="18"/>
              </w:rPr>
              <w:t>16</w:t>
            </w:r>
          </w:p>
        </w:tc>
        <w:tc>
          <w:tcPr>
            <w:tcW w:w="1250" w:type="dxa"/>
            <w:gridSpan w:val="4"/>
            <w:shd w:val="clear" w:color="auto" w:fill="D9E2F3"/>
            <w:vAlign w:val="center"/>
          </w:tcPr>
          <w:p w14:paraId="53590717" w14:textId="77777777" w:rsidR="00990B14" w:rsidRDefault="00000000">
            <w:pPr>
              <w:spacing w:before="20" w:after="20"/>
              <w:jc w:val="center"/>
            </w:pPr>
            <w:r>
              <w:rPr>
                <w:sz w:val="18"/>
                <w:szCs w:val="18"/>
              </w:rPr>
              <w:t>240</w:t>
            </w:r>
          </w:p>
        </w:tc>
        <w:tc>
          <w:tcPr>
            <w:tcW w:w="1907" w:type="dxa"/>
            <w:vMerge/>
            <w:shd w:val="clear" w:color="auto" w:fill="D9E2F3"/>
            <w:vAlign w:val="center"/>
          </w:tcPr>
          <w:p w14:paraId="1971D0C1" w14:textId="77777777" w:rsidR="00990B14" w:rsidRDefault="00990B14">
            <w:pPr>
              <w:spacing w:before="20" w:after="20"/>
            </w:pPr>
          </w:p>
        </w:tc>
      </w:tr>
      <w:tr w:rsidR="00990B14" w14:paraId="60188E23" w14:textId="77777777">
        <w:trPr>
          <w:cantSplit/>
          <w:jc w:val="center"/>
        </w:trPr>
        <w:tc>
          <w:tcPr>
            <w:tcW w:w="9405" w:type="dxa"/>
            <w:gridSpan w:val="13"/>
            <w:shd w:val="clear" w:color="auto" w:fill="4472C4"/>
            <w:vAlign w:val="center"/>
          </w:tcPr>
          <w:p w14:paraId="58BCDA89" w14:textId="77777777" w:rsidR="00990B14" w:rsidRDefault="00000000">
            <w:pPr>
              <w:keepNext/>
              <w:spacing w:before="20" w:after="20"/>
              <w:jc w:val="center"/>
            </w:pPr>
            <w:r>
              <w:rPr>
                <w:b/>
                <w:bCs/>
                <w:i/>
                <w:iCs/>
                <w:color w:val="FFFFFF"/>
                <w:sz w:val="18"/>
                <w:szCs w:val="18"/>
              </w:rPr>
              <w:t>Unidad de Competencia</w:t>
            </w:r>
          </w:p>
        </w:tc>
      </w:tr>
      <w:tr w:rsidR="00990B14" w14:paraId="296A6C57" w14:textId="77777777">
        <w:trPr>
          <w:cantSplit/>
          <w:jc w:val="center"/>
        </w:trPr>
        <w:tc>
          <w:tcPr>
            <w:tcW w:w="9405" w:type="dxa"/>
            <w:gridSpan w:val="13"/>
            <w:shd w:val="clear" w:color="auto" w:fill="D9E2F3"/>
            <w:vAlign w:val="center"/>
          </w:tcPr>
          <w:p w14:paraId="2911C2C9" w14:textId="77777777" w:rsidR="00990B14" w:rsidRDefault="00000000">
            <w:pPr>
              <w:spacing w:before="20" w:after="20"/>
              <w:jc w:val="both"/>
            </w:pPr>
            <w:r>
              <w:rPr>
                <w:sz w:val="18"/>
                <w:szCs w:val="18"/>
              </w:rPr>
              <w:t>Analiza y evalúa la naturaleza, estructura, funcionamiento y modelos de gestión de las organizaciones públicas, privadas y sin fines de lucro, considerando los principios de Gobierno Corporativo, los sistemas de Control Interno y la Gestión Integral de Riesgos, incluyendo las estrategias de tratamiento y monitoreo de riesgos y la aplicación de tecnologías emergentes, mediante la aplicación de marcos conceptuales, técnicos y normativos nacionales e internacionales; explica la organización, funciones y responsabilidades de las Unidades de Auditoría Interna, así como los fundamentos de su planificación estratégica y operativa, y comprende la naturaleza, características y etapas del proceso de auditoría, desde el relevamiento y la planificación hasta la ejecución, comunicación de resultados y seguimiento de recomendaciones, para contribuir al fortalecimiento de la gestión organizacional, el cumplimiento de los objetivos institucionales, la generación de valor y la rendición de cuentas, con integridad, objetividad, independencia y responsabilidad profesional.</w:t>
            </w:r>
          </w:p>
        </w:tc>
      </w:tr>
      <w:tr w:rsidR="00990B14" w14:paraId="756B2B1E" w14:textId="77777777">
        <w:trPr>
          <w:cantSplit/>
          <w:jc w:val="center"/>
        </w:trPr>
        <w:tc>
          <w:tcPr>
            <w:tcW w:w="9405" w:type="dxa"/>
            <w:gridSpan w:val="13"/>
            <w:shd w:val="clear" w:color="auto" w:fill="D9E2F3"/>
            <w:vAlign w:val="center"/>
          </w:tcPr>
          <w:p w14:paraId="72CB1ED8" w14:textId="77777777" w:rsidR="00990B14" w:rsidRDefault="00000000">
            <w:pPr>
              <w:spacing w:before="20" w:after="20"/>
              <w:jc w:val="both"/>
            </w:pPr>
            <w:r>
              <w:rPr>
                <w:b/>
                <w:bCs/>
                <w:i/>
                <w:iCs/>
                <w:sz w:val="18"/>
                <w:szCs w:val="18"/>
              </w:rPr>
              <w:t xml:space="preserve">Elemento de competencia 1: </w:t>
            </w:r>
            <w:r>
              <w:rPr>
                <w:sz w:val="18"/>
                <w:szCs w:val="18"/>
              </w:rPr>
              <w:t>Analiza la naturaleza, estructura y funcionamiento de las organizaciones públicas y privadas, aplicando herramientas de diagnóstico organizacional y principios de Gobierno Corporativo, para comprender sus modelos de gestión, dirección y supervisión.</w:t>
            </w:r>
          </w:p>
        </w:tc>
      </w:tr>
      <w:tr w:rsidR="00990B14" w14:paraId="51A8BCBD" w14:textId="77777777">
        <w:trPr>
          <w:cantSplit/>
          <w:jc w:val="center"/>
        </w:trPr>
        <w:tc>
          <w:tcPr>
            <w:tcW w:w="3133" w:type="dxa"/>
            <w:gridSpan w:val="4"/>
            <w:shd w:val="clear" w:color="auto" w:fill="4472C4"/>
            <w:vAlign w:val="center"/>
          </w:tcPr>
          <w:p w14:paraId="2B621868"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6D4F2705"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1098D179" w14:textId="77777777" w:rsidR="00990B14" w:rsidRDefault="00000000">
            <w:pPr>
              <w:keepNext/>
              <w:spacing w:before="20" w:after="20"/>
              <w:jc w:val="center"/>
            </w:pPr>
            <w:r>
              <w:rPr>
                <w:b/>
                <w:bCs/>
                <w:i/>
                <w:iCs/>
                <w:color w:val="FFFFFF"/>
                <w:sz w:val="18"/>
                <w:szCs w:val="18"/>
              </w:rPr>
              <w:t>Evidencias de producto</w:t>
            </w:r>
          </w:p>
        </w:tc>
      </w:tr>
      <w:tr w:rsidR="00990B14" w14:paraId="26F5C447" w14:textId="77777777">
        <w:trPr>
          <w:cantSplit/>
          <w:jc w:val="center"/>
        </w:trPr>
        <w:tc>
          <w:tcPr>
            <w:tcW w:w="3133" w:type="dxa"/>
            <w:gridSpan w:val="4"/>
            <w:vMerge w:val="restart"/>
            <w:shd w:val="clear" w:color="auto" w:fill="D9E2F3"/>
            <w:vAlign w:val="center"/>
          </w:tcPr>
          <w:p w14:paraId="515D77D3" w14:textId="77777777" w:rsidR="00990B14" w:rsidRDefault="00000000">
            <w:pPr>
              <w:spacing w:before="20" w:after="20"/>
              <w:jc w:val="both"/>
            </w:pPr>
            <w:r>
              <w:rPr>
                <w:sz w:val="18"/>
                <w:szCs w:val="18"/>
              </w:rPr>
              <w:t>1. Analiza la naturaleza, características, estructura y funcionamiento de las organizaciones públicas y privadas, considerando sus regímenes jurídicos, modelos de gestión, estrategias y procesos.</w:t>
            </w:r>
          </w:p>
        </w:tc>
        <w:tc>
          <w:tcPr>
            <w:tcW w:w="3135" w:type="dxa"/>
            <w:gridSpan w:val="5"/>
            <w:shd w:val="clear" w:color="auto" w:fill="D9E2F3"/>
            <w:vAlign w:val="center"/>
          </w:tcPr>
          <w:p w14:paraId="09CAB957" w14:textId="77777777" w:rsidR="00990B14" w:rsidRDefault="00000000">
            <w:pPr>
              <w:spacing w:before="20" w:after="20"/>
              <w:jc w:val="both"/>
            </w:pPr>
            <w:r>
              <w:rPr>
                <w:sz w:val="18"/>
                <w:szCs w:val="18"/>
              </w:rPr>
              <w:t>1.1 Describe la estructura organizativa, los componentes y la naturaleza jurídica de una organización pública y una privada.</w:t>
            </w:r>
          </w:p>
        </w:tc>
        <w:tc>
          <w:tcPr>
            <w:tcW w:w="3137" w:type="dxa"/>
            <w:gridSpan w:val="4"/>
            <w:shd w:val="clear" w:color="auto" w:fill="D9E2F3"/>
            <w:vAlign w:val="center"/>
          </w:tcPr>
          <w:p w14:paraId="4134F05C" w14:textId="77777777" w:rsidR="00990B14" w:rsidRDefault="00000000">
            <w:pPr>
              <w:spacing w:before="20" w:after="20"/>
              <w:jc w:val="both"/>
            </w:pPr>
            <w:r>
              <w:rPr>
                <w:b/>
                <w:bCs/>
                <w:sz w:val="18"/>
                <w:szCs w:val="18"/>
              </w:rPr>
              <w:t xml:space="preserve">Producto 1: </w:t>
            </w:r>
            <w:r>
              <w:rPr>
                <w:sz w:val="18"/>
                <w:szCs w:val="18"/>
              </w:rPr>
              <w:t>Cuadro comparativo de la estructura organizativa y la naturaleza jurídica de entidades públicas y privadas.</w:t>
            </w:r>
          </w:p>
        </w:tc>
      </w:tr>
      <w:tr w:rsidR="00990B14" w14:paraId="7B3D7B98" w14:textId="77777777">
        <w:trPr>
          <w:cantSplit/>
          <w:jc w:val="center"/>
        </w:trPr>
        <w:tc>
          <w:tcPr>
            <w:tcW w:w="3133" w:type="dxa"/>
            <w:gridSpan w:val="4"/>
            <w:vMerge/>
            <w:shd w:val="clear" w:color="auto" w:fill="D9E2F3"/>
            <w:vAlign w:val="center"/>
          </w:tcPr>
          <w:p w14:paraId="3D779CE1" w14:textId="77777777" w:rsidR="00990B14" w:rsidRDefault="00990B14">
            <w:pPr>
              <w:spacing w:before="20" w:after="20"/>
            </w:pPr>
          </w:p>
        </w:tc>
        <w:tc>
          <w:tcPr>
            <w:tcW w:w="3135" w:type="dxa"/>
            <w:gridSpan w:val="5"/>
            <w:shd w:val="clear" w:color="auto" w:fill="D9E2F3"/>
            <w:vAlign w:val="center"/>
          </w:tcPr>
          <w:p w14:paraId="30CA2959" w14:textId="77777777" w:rsidR="00990B14" w:rsidRDefault="00000000">
            <w:pPr>
              <w:spacing w:before="20" w:after="20"/>
              <w:jc w:val="both"/>
            </w:pPr>
            <w:r>
              <w:rPr>
                <w:sz w:val="18"/>
                <w:szCs w:val="18"/>
              </w:rPr>
              <w:t>1.2 Aplica herramientas de diagnóstico organizacional para evaluar el modelo de gestión de organizaciones públicas y privadas: FODA, PESTEL, CANVAS y fuerzas de Porter.</w:t>
            </w:r>
          </w:p>
        </w:tc>
        <w:tc>
          <w:tcPr>
            <w:tcW w:w="3137" w:type="dxa"/>
            <w:gridSpan w:val="4"/>
            <w:shd w:val="clear" w:color="auto" w:fill="D9E2F3"/>
            <w:vAlign w:val="center"/>
          </w:tcPr>
          <w:p w14:paraId="56A10B5B" w14:textId="77777777" w:rsidR="00990B14" w:rsidRDefault="00000000">
            <w:pPr>
              <w:spacing w:before="20" w:after="20"/>
              <w:jc w:val="both"/>
            </w:pPr>
            <w:r>
              <w:rPr>
                <w:b/>
                <w:bCs/>
                <w:sz w:val="18"/>
                <w:szCs w:val="18"/>
              </w:rPr>
              <w:t xml:space="preserve">Producto 2: </w:t>
            </w:r>
            <w:r>
              <w:rPr>
                <w:sz w:val="18"/>
                <w:szCs w:val="18"/>
              </w:rPr>
              <w:t>Informe de evaluación del modelo de gestión institucional, aplicando herramientas y técnicas de diagnóstico organizacional.</w:t>
            </w:r>
          </w:p>
        </w:tc>
      </w:tr>
      <w:tr w:rsidR="00990B14" w14:paraId="3C298147" w14:textId="77777777">
        <w:trPr>
          <w:cantSplit/>
          <w:jc w:val="center"/>
        </w:trPr>
        <w:tc>
          <w:tcPr>
            <w:tcW w:w="3133" w:type="dxa"/>
            <w:gridSpan w:val="4"/>
            <w:vMerge w:val="restart"/>
            <w:shd w:val="clear" w:color="auto" w:fill="D9E2F3"/>
            <w:vAlign w:val="center"/>
          </w:tcPr>
          <w:p w14:paraId="00BB78BF" w14:textId="77777777" w:rsidR="00990B14" w:rsidRDefault="00000000">
            <w:pPr>
              <w:spacing w:before="20" w:after="20"/>
              <w:jc w:val="both"/>
            </w:pPr>
            <w:r>
              <w:rPr>
                <w:sz w:val="18"/>
                <w:szCs w:val="18"/>
              </w:rPr>
              <w:t>2. Analiza y evalúa los principios, estructuras y mecanismos de Gobierno Corporativo, Gobernabilidad y Gobernanza de las organizaciones públicas y privadas.</w:t>
            </w:r>
          </w:p>
        </w:tc>
        <w:tc>
          <w:tcPr>
            <w:tcW w:w="3135" w:type="dxa"/>
            <w:gridSpan w:val="5"/>
            <w:shd w:val="clear" w:color="auto" w:fill="D9E2F3"/>
            <w:vAlign w:val="center"/>
          </w:tcPr>
          <w:p w14:paraId="3313FB0C" w14:textId="77777777" w:rsidR="00990B14" w:rsidRDefault="00000000">
            <w:pPr>
              <w:spacing w:before="20" w:after="20"/>
              <w:jc w:val="both"/>
            </w:pPr>
            <w:r>
              <w:rPr>
                <w:sz w:val="18"/>
                <w:szCs w:val="18"/>
              </w:rPr>
              <w:t>2.1 Reconoce los principios, estructuras y mecanismos de Gobierno Corporativo, Gobernabilidad y Gobernanza.</w:t>
            </w:r>
          </w:p>
        </w:tc>
        <w:tc>
          <w:tcPr>
            <w:tcW w:w="3137" w:type="dxa"/>
            <w:gridSpan w:val="4"/>
            <w:shd w:val="clear" w:color="auto" w:fill="D9E2F3"/>
            <w:vAlign w:val="center"/>
          </w:tcPr>
          <w:p w14:paraId="2092D607" w14:textId="77777777" w:rsidR="00990B14" w:rsidRDefault="00000000">
            <w:pPr>
              <w:spacing w:before="20" w:after="20"/>
              <w:jc w:val="both"/>
            </w:pPr>
            <w:r>
              <w:rPr>
                <w:b/>
                <w:bCs/>
                <w:sz w:val="18"/>
                <w:szCs w:val="18"/>
              </w:rPr>
              <w:t xml:space="preserve">Producto 3: </w:t>
            </w:r>
            <w:r>
              <w:rPr>
                <w:sz w:val="18"/>
                <w:szCs w:val="18"/>
              </w:rPr>
              <w:t>Esquema del modelo de Gobierno Corporativo, Gobernabilidad y Gobernanza de una organización.</w:t>
            </w:r>
          </w:p>
        </w:tc>
      </w:tr>
      <w:tr w:rsidR="00990B14" w14:paraId="14399764" w14:textId="77777777">
        <w:trPr>
          <w:cantSplit/>
          <w:jc w:val="center"/>
        </w:trPr>
        <w:tc>
          <w:tcPr>
            <w:tcW w:w="3133" w:type="dxa"/>
            <w:gridSpan w:val="4"/>
            <w:vMerge/>
            <w:shd w:val="clear" w:color="auto" w:fill="D9E2F3"/>
            <w:vAlign w:val="center"/>
          </w:tcPr>
          <w:p w14:paraId="1F5161DD" w14:textId="77777777" w:rsidR="00990B14" w:rsidRDefault="00990B14">
            <w:pPr>
              <w:spacing w:before="20" w:after="20"/>
            </w:pPr>
          </w:p>
        </w:tc>
        <w:tc>
          <w:tcPr>
            <w:tcW w:w="3135" w:type="dxa"/>
            <w:gridSpan w:val="5"/>
            <w:shd w:val="clear" w:color="auto" w:fill="D9E2F3"/>
            <w:vAlign w:val="center"/>
          </w:tcPr>
          <w:p w14:paraId="10242E02" w14:textId="77777777" w:rsidR="00990B14" w:rsidRDefault="00000000">
            <w:pPr>
              <w:spacing w:before="20" w:after="20"/>
              <w:jc w:val="both"/>
            </w:pPr>
            <w:r>
              <w:rPr>
                <w:sz w:val="18"/>
                <w:szCs w:val="18"/>
              </w:rPr>
              <w:t>2.2 Aplica el Modelo de las Tres Líneas para evaluar la distribución de funciones y responsabilidades y el Gobierno Corporativo</w:t>
            </w:r>
          </w:p>
        </w:tc>
        <w:tc>
          <w:tcPr>
            <w:tcW w:w="3137" w:type="dxa"/>
            <w:gridSpan w:val="4"/>
            <w:shd w:val="clear" w:color="auto" w:fill="D9E2F3"/>
            <w:vAlign w:val="center"/>
          </w:tcPr>
          <w:p w14:paraId="5705CA95" w14:textId="77777777" w:rsidR="00990B14" w:rsidRDefault="00000000">
            <w:pPr>
              <w:spacing w:before="20" w:after="20"/>
              <w:jc w:val="both"/>
            </w:pPr>
            <w:r>
              <w:rPr>
                <w:b/>
                <w:bCs/>
                <w:sz w:val="18"/>
                <w:szCs w:val="18"/>
              </w:rPr>
              <w:t xml:space="preserve">Producto 4: </w:t>
            </w:r>
            <w:r>
              <w:rPr>
                <w:sz w:val="18"/>
                <w:szCs w:val="18"/>
              </w:rPr>
              <w:t>Informe de evaluación del Gobierno Corporativo, mediante la aplicación del Modelo de las Tres Líneas.</w:t>
            </w:r>
          </w:p>
        </w:tc>
      </w:tr>
      <w:tr w:rsidR="00990B14" w14:paraId="1D93A1C5" w14:textId="77777777">
        <w:trPr>
          <w:cantSplit/>
          <w:jc w:val="center"/>
        </w:trPr>
        <w:tc>
          <w:tcPr>
            <w:tcW w:w="9405" w:type="dxa"/>
            <w:gridSpan w:val="13"/>
            <w:shd w:val="clear" w:color="auto" w:fill="4472C4"/>
            <w:vAlign w:val="center"/>
          </w:tcPr>
          <w:p w14:paraId="007181F7" w14:textId="77777777" w:rsidR="00990B14" w:rsidRDefault="00000000">
            <w:pPr>
              <w:keepNext/>
              <w:spacing w:before="20" w:after="20"/>
              <w:jc w:val="center"/>
            </w:pPr>
            <w:r>
              <w:rPr>
                <w:b/>
                <w:bCs/>
                <w:i/>
                <w:iCs/>
                <w:color w:val="FFFFFF"/>
                <w:sz w:val="18"/>
                <w:szCs w:val="18"/>
              </w:rPr>
              <w:t>Evidencias de conocimiento</w:t>
            </w:r>
          </w:p>
        </w:tc>
      </w:tr>
      <w:tr w:rsidR="00990B14" w14:paraId="04454652" w14:textId="77777777">
        <w:trPr>
          <w:cantSplit/>
          <w:jc w:val="center"/>
        </w:trPr>
        <w:tc>
          <w:tcPr>
            <w:tcW w:w="2349" w:type="dxa"/>
            <w:gridSpan w:val="2"/>
            <w:shd w:val="clear" w:color="auto" w:fill="4472C4"/>
            <w:vAlign w:val="center"/>
          </w:tcPr>
          <w:p w14:paraId="43B1CF85"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1772F534" w14:textId="77777777" w:rsidR="00990B14" w:rsidRDefault="00000000">
            <w:pPr>
              <w:keepNext/>
              <w:spacing w:before="20" w:after="20"/>
              <w:jc w:val="both"/>
            </w:pPr>
            <w:r>
              <w:rPr>
                <w:b/>
                <w:bCs/>
                <w:i/>
                <w:iCs/>
                <w:color w:val="FFFFFF"/>
                <w:sz w:val="18"/>
                <w:szCs w:val="18"/>
              </w:rPr>
              <w:t>Contenidos</w:t>
            </w:r>
          </w:p>
          <w:p w14:paraId="30357973"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0E80F50A" w14:textId="77777777" w:rsidR="00990B14" w:rsidRDefault="00000000">
            <w:pPr>
              <w:keepNext/>
              <w:spacing w:before="20" w:after="20"/>
              <w:jc w:val="center"/>
            </w:pPr>
            <w:r>
              <w:rPr>
                <w:b/>
                <w:bCs/>
                <w:i/>
                <w:iCs/>
                <w:color w:val="FFFFFF"/>
                <w:sz w:val="18"/>
                <w:szCs w:val="18"/>
              </w:rPr>
              <w:t>Conocimientos circunstanciales</w:t>
            </w:r>
          </w:p>
        </w:tc>
      </w:tr>
      <w:tr w:rsidR="00990B14" w14:paraId="43C61762" w14:textId="77777777">
        <w:trPr>
          <w:jc w:val="center"/>
        </w:trPr>
        <w:tc>
          <w:tcPr>
            <w:tcW w:w="2349" w:type="dxa"/>
            <w:gridSpan w:val="2"/>
            <w:shd w:val="clear" w:color="auto" w:fill="D9E2F3"/>
          </w:tcPr>
          <w:p w14:paraId="70A7686A" w14:textId="77777777" w:rsidR="00990B14" w:rsidRDefault="00000000">
            <w:pPr>
              <w:spacing w:before="20" w:after="40"/>
              <w:jc w:val="center"/>
            </w:pPr>
            <w:r>
              <w:rPr>
                <w:b/>
                <w:bCs/>
                <w:sz w:val="18"/>
                <w:szCs w:val="18"/>
              </w:rPr>
              <w:t>Tema 1. Las Organizaciones Públicas y Privadas y sus Modelos de Gestión</w:t>
            </w:r>
          </w:p>
          <w:p w14:paraId="615DA64A" w14:textId="77777777" w:rsidR="00990B14" w:rsidRDefault="00000000">
            <w:pPr>
              <w:spacing w:before="20" w:after="40"/>
              <w:jc w:val="center"/>
            </w:pPr>
            <w:r>
              <w:rPr>
                <w:b/>
                <w:bCs/>
                <w:sz w:val="18"/>
                <w:szCs w:val="18"/>
              </w:rPr>
              <w:t>Tema 2. Gobierno Corporativo, Gobernabilidad y Gobernanza</w:t>
            </w:r>
          </w:p>
        </w:tc>
        <w:tc>
          <w:tcPr>
            <w:tcW w:w="4304" w:type="dxa"/>
            <w:gridSpan w:val="8"/>
            <w:shd w:val="clear" w:color="auto" w:fill="D9E2F3"/>
          </w:tcPr>
          <w:p w14:paraId="60C1416B" w14:textId="77777777" w:rsidR="00990B14" w:rsidRDefault="00000000">
            <w:pPr>
              <w:spacing w:after="40"/>
              <w:jc w:val="both"/>
            </w:pPr>
            <w:r>
              <w:rPr>
                <w:sz w:val="18"/>
                <w:szCs w:val="18"/>
              </w:rPr>
              <w:t>Naturaleza, características y clasificación de las organizaciones. (C)</w:t>
            </w:r>
          </w:p>
          <w:p w14:paraId="70F78C38" w14:textId="77777777" w:rsidR="00990B14" w:rsidRDefault="00000000">
            <w:pPr>
              <w:spacing w:after="40"/>
              <w:jc w:val="both"/>
            </w:pPr>
            <w:r>
              <w:rPr>
                <w:sz w:val="18"/>
                <w:szCs w:val="18"/>
              </w:rPr>
              <w:t>Régimen jurídico, económico, administrativo y financiero. (C)</w:t>
            </w:r>
          </w:p>
          <w:p w14:paraId="63CB4531" w14:textId="77777777" w:rsidR="00990B14" w:rsidRDefault="00000000">
            <w:pPr>
              <w:spacing w:after="40"/>
              <w:jc w:val="both"/>
            </w:pPr>
            <w:r>
              <w:rPr>
                <w:sz w:val="18"/>
                <w:szCs w:val="18"/>
              </w:rPr>
              <w:t>Modelos de negocio y modelos de gestión institucional. (C)</w:t>
            </w:r>
          </w:p>
          <w:p w14:paraId="082A4497" w14:textId="77777777" w:rsidR="00990B14" w:rsidRDefault="00000000">
            <w:pPr>
              <w:spacing w:after="40"/>
              <w:jc w:val="both"/>
            </w:pPr>
            <w:r>
              <w:rPr>
                <w:sz w:val="18"/>
                <w:szCs w:val="18"/>
              </w:rPr>
              <w:t>Misión, visión, objetivos y estrategias organizacionales. (C)</w:t>
            </w:r>
          </w:p>
          <w:p w14:paraId="58961BE3" w14:textId="77777777" w:rsidR="00990B14" w:rsidRDefault="00000000">
            <w:pPr>
              <w:spacing w:after="40"/>
              <w:jc w:val="both"/>
            </w:pPr>
            <w:r>
              <w:rPr>
                <w:sz w:val="18"/>
                <w:szCs w:val="18"/>
              </w:rPr>
              <w:t>Estructura organizacional, procesos, funciones, herramientas y cadena de valor. (C, P)</w:t>
            </w:r>
          </w:p>
          <w:p w14:paraId="11B8B4CD" w14:textId="77777777" w:rsidR="00990B14" w:rsidRDefault="00000000">
            <w:pPr>
              <w:spacing w:after="40"/>
              <w:jc w:val="both"/>
            </w:pPr>
            <w:r>
              <w:rPr>
                <w:sz w:val="18"/>
                <w:szCs w:val="18"/>
              </w:rPr>
              <w:t>Análisis del entorno organizacional: FODA, PESTEL, CANVAS, fuerzas de Porter. (C, P)</w:t>
            </w:r>
          </w:p>
          <w:p w14:paraId="75FCCE12" w14:textId="77777777" w:rsidR="00990B14" w:rsidRDefault="00000000">
            <w:pPr>
              <w:spacing w:after="40"/>
              <w:jc w:val="both"/>
            </w:pPr>
            <w:r>
              <w:rPr>
                <w:sz w:val="18"/>
                <w:szCs w:val="18"/>
              </w:rPr>
              <w:t>Gestión institucional, desempeño y generación de valor. (C, A)</w:t>
            </w:r>
          </w:p>
          <w:p w14:paraId="7E7A922E" w14:textId="77777777" w:rsidR="00990B14" w:rsidRDefault="00000000">
            <w:pPr>
              <w:spacing w:after="40"/>
              <w:jc w:val="both"/>
            </w:pPr>
            <w:r>
              <w:rPr>
                <w:sz w:val="18"/>
                <w:szCs w:val="18"/>
              </w:rPr>
              <w:t>Conceptos y diferencias entre Gobierno Corporativo, Gobernabilidad y Gobernanza. (C)</w:t>
            </w:r>
          </w:p>
          <w:p w14:paraId="3F46E27A" w14:textId="77777777" w:rsidR="00990B14" w:rsidRDefault="00000000">
            <w:pPr>
              <w:spacing w:after="40"/>
              <w:jc w:val="both"/>
            </w:pPr>
            <w:r>
              <w:rPr>
                <w:sz w:val="18"/>
                <w:szCs w:val="18"/>
              </w:rPr>
              <w:t>Principios y buenas prácticas de Gobierno Corporativo. (C, A)</w:t>
            </w:r>
          </w:p>
          <w:p w14:paraId="1D6B2E3A" w14:textId="77777777" w:rsidR="00990B14" w:rsidRDefault="00000000">
            <w:pPr>
              <w:spacing w:after="40"/>
              <w:jc w:val="both"/>
            </w:pPr>
            <w:r>
              <w:rPr>
                <w:sz w:val="18"/>
                <w:szCs w:val="18"/>
              </w:rPr>
              <w:t>Estructura, órganos de gobierno y responsabilidades. (C)</w:t>
            </w:r>
          </w:p>
          <w:p w14:paraId="33D91A9F" w14:textId="77777777" w:rsidR="00990B14" w:rsidRDefault="00000000">
            <w:pPr>
              <w:spacing w:after="40"/>
              <w:jc w:val="both"/>
            </w:pPr>
            <w:r>
              <w:rPr>
                <w:sz w:val="18"/>
                <w:szCs w:val="18"/>
              </w:rPr>
              <w:t>Dirección estratégica, supervisión y rendición de cuentas. (C, A)</w:t>
            </w:r>
          </w:p>
          <w:p w14:paraId="2ADF1E67" w14:textId="77777777" w:rsidR="00990B14" w:rsidRDefault="00000000">
            <w:pPr>
              <w:spacing w:after="40"/>
              <w:jc w:val="both"/>
            </w:pPr>
            <w:r>
              <w:rPr>
                <w:sz w:val="18"/>
                <w:szCs w:val="18"/>
              </w:rPr>
              <w:t>Comités de auditoría, riesgos y cumplimiento: funciones y supervisión. (C, P)</w:t>
            </w:r>
          </w:p>
          <w:p w14:paraId="4C9E2AB0" w14:textId="77777777" w:rsidR="00990B14" w:rsidRDefault="00000000">
            <w:pPr>
              <w:spacing w:after="40"/>
              <w:jc w:val="both"/>
            </w:pPr>
            <w:r>
              <w:rPr>
                <w:sz w:val="18"/>
                <w:szCs w:val="18"/>
              </w:rPr>
              <w:t>Aplicación del Modelo de las Tres Líneas y responsabilidades organizacionales. (C, P)</w:t>
            </w:r>
          </w:p>
          <w:p w14:paraId="6AD87089" w14:textId="77777777" w:rsidR="00990B14" w:rsidRDefault="00000000">
            <w:pPr>
              <w:spacing w:after="40"/>
              <w:jc w:val="both"/>
            </w:pPr>
            <w:r>
              <w:rPr>
                <w:sz w:val="18"/>
                <w:szCs w:val="18"/>
              </w:rPr>
              <w:t>Gobierno Corporativo y su relación con el control interno y la gestión de riesgos. (C, A)</w:t>
            </w:r>
          </w:p>
        </w:tc>
        <w:tc>
          <w:tcPr>
            <w:tcW w:w="2752" w:type="dxa"/>
            <w:gridSpan w:val="3"/>
            <w:shd w:val="clear" w:color="auto" w:fill="D9E2F3"/>
          </w:tcPr>
          <w:p w14:paraId="0C62265E" w14:textId="77777777" w:rsidR="00990B14" w:rsidRDefault="00000000">
            <w:pPr>
              <w:numPr>
                <w:ilvl w:val="0"/>
                <w:numId w:val="139"/>
              </w:numPr>
              <w:spacing w:before="10" w:after="10"/>
              <w:jc w:val="both"/>
            </w:pPr>
            <w:r>
              <w:rPr>
                <w:sz w:val="18"/>
                <w:szCs w:val="18"/>
              </w:rPr>
              <w:t>Teorías y escuelas del pensamiento organizacional.</w:t>
            </w:r>
          </w:p>
          <w:p w14:paraId="2C669B86" w14:textId="77777777" w:rsidR="00990B14" w:rsidRDefault="00000000">
            <w:pPr>
              <w:numPr>
                <w:ilvl w:val="0"/>
                <w:numId w:val="139"/>
              </w:numPr>
              <w:spacing w:before="10" w:after="10"/>
              <w:jc w:val="both"/>
            </w:pPr>
            <w:r>
              <w:rPr>
                <w:sz w:val="18"/>
                <w:szCs w:val="18"/>
              </w:rPr>
              <w:t>Nociones de pensamiento sistémico aplicado al funcionamiento de las organizaciones.</w:t>
            </w:r>
          </w:p>
          <w:p w14:paraId="77692012" w14:textId="77777777" w:rsidR="00990B14" w:rsidRDefault="00000000">
            <w:pPr>
              <w:numPr>
                <w:ilvl w:val="0"/>
                <w:numId w:val="139"/>
              </w:numPr>
              <w:spacing w:before="10" w:after="10"/>
              <w:jc w:val="both"/>
            </w:pPr>
            <w:r>
              <w:rPr>
                <w:sz w:val="18"/>
                <w:szCs w:val="18"/>
              </w:rPr>
              <w:t>Nociones sobre las características y particularidades del tejido empresarial e institucional boliviano.</w:t>
            </w:r>
          </w:p>
          <w:p w14:paraId="17003BD1" w14:textId="77777777" w:rsidR="00990B14" w:rsidRDefault="00000000">
            <w:pPr>
              <w:numPr>
                <w:ilvl w:val="0"/>
                <w:numId w:val="139"/>
              </w:numPr>
              <w:spacing w:before="10" w:after="10"/>
              <w:jc w:val="both"/>
            </w:pPr>
            <w:r>
              <w:rPr>
                <w:sz w:val="18"/>
                <w:szCs w:val="18"/>
              </w:rPr>
              <w:t>Nociones sobre los efectos de la inflación, la volatilidad económica y la incertidumbre de los mercados en la gobernabilidad institucional.</w:t>
            </w:r>
          </w:p>
          <w:p w14:paraId="7F037C57" w14:textId="77777777" w:rsidR="00990B14" w:rsidRDefault="00000000">
            <w:pPr>
              <w:numPr>
                <w:ilvl w:val="0"/>
                <w:numId w:val="139"/>
              </w:numPr>
              <w:spacing w:before="10" w:after="10"/>
              <w:jc w:val="both"/>
            </w:pPr>
            <w:r>
              <w:rPr>
                <w:sz w:val="18"/>
                <w:szCs w:val="18"/>
              </w:rPr>
              <w:t>Nociones sobre las tendencias globales en estándares de divulgación de sostenibilidad y criterios ASG (Ambientales, Sociales y de Gobernanza).</w:t>
            </w:r>
          </w:p>
        </w:tc>
      </w:tr>
      <w:tr w:rsidR="00990B14" w14:paraId="26AD2F1B" w14:textId="77777777">
        <w:trPr>
          <w:cantSplit/>
          <w:jc w:val="center"/>
        </w:trPr>
        <w:tc>
          <w:tcPr>
            <w:tcW w:w="9405" w:type="dxa"/>
            <w:gridSpan w:val="13"/>
            <w:shd w:val="clear" w:color="auto" w:fill="D9E2F3"/>
            <w:vAlign w:val="center"/>
          </w:tcPr>
          <w:p w14:paraId="217BD528" w14:textId="77777777" w:rsidR="00990B14" w:rsidRDefault="00000000">
            <w:pPr>
              <w:spacing w:before="20" w:after="20"/>
              <w:jc w:val="both"/>
            </w:pPr>
            <w:r>
              <w:rPr>
                <w:b/>
                <w:bCs/>
                <w:i/>
                <w:iCs/>
                <w:sz w:val="18"/>
                <w:szCs w:val="18"/>
              </w:rPr>
              <w:t xml:space="preserve">Elemento de competencia 2: </w:t>
            </w:r>
            <w:r>
              <w:rPr>
                <w:sz w:val="18"/>
                <w:szCs w:val="18"/>
              </w:rPr>
              <w:t>Analiza y evalúa los sistemas de control interno de las organizaciones públicas y privadas, aplicando el Marco Integrado COSO y la normativa de control interno gubernamental, para identificar deficiencias y oportunidades de mejora.</w:t>
            </w:r>
          </w:p>
        </w:tc>
      </w:tr>
      <w:tr w:rsidR="00990B14" w14:paraId="1D221CB5" w14:textId="77777777">
        <w:trPr>
          <w:cantSplit/>
          <w:jc w:val="center"/>
        </w:trPr>
        <w:tc>
          <w:tcPr>
            <w:tcW w:w="3133" w:type="dxa"/>
            <w:gridSpan w:val="4"/>
            <w:shd w:val="clear" w:color="auto" w:fill="4472C4"/>
            <w:vAlign w:val="center"/>
          </w:tcPr>
          <w:p w14:paraId="5CF4F4E6"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3C641072"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65D7A6AD" w14:textId="77777777" w:rsidR="00990B14" w:rsidRDefault="00000000">
            <w:pPr>
              <w:keepNext/>
              <w:spacing w:before="20" w:after="20"/>
              <w:jc w:val="center"/>
            </w:pPr>
            <w:r>
              <w:rPr>
                <w:b/>
                <w:bCs/>
                <w:i/>
                <w:iCs/>
                <w:color w:val="FFFFFF"/>
                <w:sz w:val="18"/>
                <w:szCs w:val="18"/>
              </w:rPr>
              <w:t>Evidencias de producto</w:t>
            </w:r>
          </w:p>
        </w:tc>
      </w:tr>
      <w:tr w:rsidR="00990B14" w14:paraId="52B406DE" w14:textId="77777777">
        <w:trPr>
          <w:cantSplit/>
          <w:jc w:val="center"/>
        </w:trPr>
        <w:tc>
          <w:tcPr>
            <w:tcW w:w="3133" w:type="dxa"/>
            <w:gridSpan w:val="4"/>
            <w:vMerge w:val="restart"/>
            <w:shd w:val="clear" w:color="auto" w:fill="D9E2F3"/>
            <w:vAlign w:val="center"/>
          </w:tcPr>
          <w:p w14:paraId="40B407C6" w14:textId="77777777" w:rsidR="00990B14" w:rsidRDefault="00000000">
            <w:pPr>
              <w:spacing w:before="20" w:after="20"/>
              <w:jc w:val="both"/>
            </w:pPr>
            <w:r>
              <w:rPr>
                <w:sz w:val="18"/>
                <w:szCs w:val="18"/>
              </w:rPr>
              <w:t>1. Analiza la estructura, componentes y principios del Sistema de Control Interno, en organizaciones públicas y privadas, aplicando el Marco Integrado COSO y otros modelos de referencia.</w:t>
            </w:r>
          </w:p>
        </w:tc>
        <w:tc>
          <w:tcPr>
            <w:tcW w:w="3135" w:type="dxa"/>
            <w:gridSpan w:val="5"/>
            <w:shd w:val="clear" w:color="auto" w:fill="D9E2F3"/>
            <w:vAlign w:val="center"/>
          </w:tcPr>
          <w:p w14:paraId="559AFD5C" w14:textId="77777777" w:rsidR="00990B14" w:rsidRDefault="00000000">
            <w:pPr>
              <w:spacing w:before="20" w:after="20"/>
              <w:jc w:val="both"/>
            </w:pPr>
            <w:r>
              <w:rPr>
                <w:sz w:val="18"/>
                <w:szCs w:val="18"/>
              </w:rPr>
              <w:t>1.1 Describe la estructura y los componentes del Marco Integrado de Control Interno COSO aplicables a una organización.</w:t>
            </w:r>
          </w:p>
        </w:tc>
        <w:tc>
          <w:tcPr>
            <w:tcW w:w="3137" w:type="dxa"/>
            <w:gridSpan w:val="4"/>
            <w:shd w:val="clear" w:color="auto" w:fill="D9E2F3"/>
            <w:vAlign w:val="center"/>
          </w:tcPr>
          <w:p w14:paraId="35F6A8BC" w14:textId="77777777" w:rsidR="00990B14" w:rsidRDefault="00000000">
            <w:pPr>
              <w:spacing w:before="20" w:after="20"/>
              <w:jc w:val="both"/>
            </w:pPr>
            <w:r>
              <w:rPr>
                <w:b/>
                <w:bCs/>
                <w:sz w:val="18"/>
                <w:szCs w:val="18"/>
              </w:rPr>
              <w:t xml:space="preserve">Producto 5: </w:t>
            </w:r>
            <w:r>
              <w:rPr>
                <w:sz w:val="18"/>
                <w:szCs w:val="18"/>
              </w:rPr>
              <w:t>Esquema de comprensión de los componentes, subcomponentes y principios del Marco Integrado COSO.</w:t>
            </w:r>
          </w:p>
        </w:tc>
      </w:tr>
      <w:tr w:rsidR="00990B14" w14:paraId="31F2537B" w14:textId="77777777">
        <w:trPr>
          <w:cantSplit/>
          <w:jc w:val="center"/>
        </w:trPr>
        <w:tc>
          <w:tcPr>
            <w:tcW w:w="3133" w:type="dxa"/>
            <w:gridSpan w:val="4"/>
            <w:vMerge/>
            <w:shd w:val="clear" w:color="auto" w:fill="D9E2F3"/>
            <w:vAlign w:val="center"/>
          </w:tcPr>
          <w:p w14:paraId="5F7852EE" w14:textId="77777777" w:rsidR="00990B14" w:rsidRDefault="00990B14">
            <w:pPr>
              <w:spacing w:before="20" w:after="20"/>
            </w:pPr>
          </w:p>
        </w:tc>
        <w:tc>
          <w:tcPr>
            <w:tcW w:w="3135" w:type="dxa"/>
            <w:gridSpan w:val="5"/>
            <w:shd w:val="clear" w:color="auto" w:fill="D9E2F3"/>
            <w:vAlign w:val="center"/>
          </w:tcPr>
          <w:p w14:paraId="26125DF6" w14:textId="77777777" w:rsidR="00990B14" w:rsidRDefault="00000000">
            <w:pPr>
              <w:spacing w:before="20" w:after="20"/>
              <w:jc w:val="both"/>
            </w:pPr>
            <w:r>
              <w:rPr>
                <w:sz w:val="18"/>
                <w:szCs w:val="18"/>
              </w:rPr>
              <w:t>1.2 Aplica los principios del Marco Integrado de Control Interno COSO, en el diseño de controles generales y específicos, preventivos, detectivos y correctivos.</w:t>
            </w:r>
          </w:p>
        </w:tc>
        <w:tc>
          <w:tcPr>
            <w:tcW w:w="3137" w:type="dxa"/>
            <w:gridSpan w:val="4"/>
            <w:shd w:val="clear" w:color="auto" w:fill="D9E2F3"/>
            <w:vAlign w:val="center"/>
          </w:tcPr>
          <w:p w14:paraId="29AB769E" w14:textId="77777777" w:rsidR="00990B14" w:rsidRDefault="00000000">
            <w:pPr>
              <w:spacing w:before="20" w:after="20"/>
              <w:jc w:val="both"/>
            </w:pPr>
            <w:r>
              <w:rPr>
                <w:b/>
                <w:bCs/>
                <w:sz w:val="18"/>
                <w:szCs w:val="18"/>
              </w:rPr>
              <w:t xml:space="preserve">Producto 6: </w:t>
            </w:r>
            <w:r>
              <w:rPr>
                <w:sz w:val="18"/>
                <w:szCs w:val="18"/>
              </w:rPr>
              <w:t>Cuadro de diseño de controles internos, por procesos, riesgos y tipos de control.</w:t>
            </w:r>
          </w:p>
        </w:tc>
      </w:tr>
      <w:tr w:rsidR="00990B14" w14:paraId="492D1E0C" w14:textId="77777777">
        <w:trPr>
          <w:cantSplit/>
          <w:jc w:val="center"/>
        </w:trPr>
        <w:tc>
          <w:tcPr>
            <w:tcW w:w="3133" w:type="dxa"/>
            <w:gridSpan w:val="4"/>
            <w:vMerge w:val="restart"/>
            <w:shd w:val="clear" w:color="auto" w:fill="D9E2F3"/>
            <w:vAlign w:val="center"/>
          </w:tcPr>
          <w:p w14:paraId="3879657C" w14:textId="77777777" w:rsidR="00990B14" w:rsidRDefault="00000000">
            <w:pPr>
              <w:spacing w:before="20" w:after="20"/>
              <w:jc w:val="both"/>
            </w:pPr>
            <w:r>
              <w:rPr>
                <w:sz w:val="18"/>
                <w:szCs w:val="18"/>
              </w:rPr>
              <w:t>2. Evalúa el diseño, implementación y eficacia del Sistema de Control Interno en organizaciones públicas y privadas, mediante la aplicación de metodologías, técnicas e instrumentos.</w:t>
            </w:r>
          </w:p>
        </w:tc>
        <w:tc>
          <w:tcPr>
            <w:tcW w:w="3135" w:type="dxa"/>
            <w:gridSpan w:val="5"/>
            <w:shd w:val="clear" w:color="auto" w:fill="D9E2F3"/>
            <w:vAlign w:val="center"/>
          </w:tcPr>
          <w:p w14:paraId="24370AAF" w14:textId="77777777" w:rsidR="00990B14" w:rsidRDefault="00000000">
            <w:pPr>
              <w:spacing w:before="20" w:after="20"/>
              <w:jc w:val="both"/>
            </w:pPr>
            <w:r>
              <w:rPr>
                <w:sz w:val="18"/>
                <w:szCs w:val="18"/>
              </w:rPr>
              <w:t>2.1 Explica los objetivos, alcance, principios y metodologías y técnicas de evaluación del control interno en las organizaciones.</w:t>
            </w:r>
          </w:p>
        </w:tc>
        <w:tc>
          <w:tcPr>
            <w:tcW w:w="3137" w:type="dxa"/>
            <w:gridSpan w:val="4"/>
            <w:shd w:val="clear" w:color="auto" w:fill="D9E2F3"/>
            <w:vAlign w:val="center"/>
          </w:tcPr>
          <w:p w14:paraId="6EA19DBC" w14:textId="77777777" w:rsidR="00990B14" w:rsidRDefault="00000000">
            <w:pPr>
              <w:spacing w:before="20" w:after="20"/>
              <w:jc w:val="both"/>
            </w:pPr>
            <w:r>
              <w:rPr>
                <w:b/>
                <w:bCs/>
                <w:sz w:val="18"/>
                <w:szCs w:val="18"/>
              </w:rPr>
              <w:t xml:space="preserve">Producto 7: </w:t>
            </w:r>
            <w:r>
              <w:rPr>
                <w:sz w:val="18"/>
                <w:szCs w:val="18"/>
              </w:rPr>
              <w:t>Esquema de comprensión de objetivos, alcance, principios, técnicas y metodologías de evaluación de control interno.</w:t>
            </w:r>
          </w:p>
        </w:tc>
      </w:tr>
      <w:tr w:rsidR="00990B14" w14:paraId="6AB4CA1B" w14:textId="77777777">
        <w:trPr>
          <w:cantSplit/>
          <w:jc w:val="center"/>
        </w:trPr>
        <w:tc>
          <w:tcPr>
            <w:tcW w:w="3133" w:type="dxa"/>
            <w:gridSpan w:val="4"/>
            <w:vMerge/>
            <w:shd w:val="clear" w:color="auto" w:fill="D9E2F3"/>
            <w:vAlign w:val="center"/>
          </w:tcPr>
          <w:p w14:paraId="62E689CD" w14:textId="77777777" w:rsidR="00990B14" w:rsidRDefault="00990B14">
            <w:pPr>
              <w:spacing w:before="20" w:after="20"/>
            </w:pPr>
          </w:p>
        </w:tc>
        <w:tc>
          <w:tcPr>
            <w:tcW w:w="3135" w:type="dxa"/>
            <w:gridSpan w:val="5"/>
            <w:shd w:val="clear" w:color="auto" w:fill="D9E2F3"/>
            <w:vAlign w:val="center"/>
          </w:tcPr>
          <w:p w14:paraId="41415656" w14:textId="77777777" w:rsidR="00990B14" w:rsidRDefault="00000000">
            <w:pPr>
              <w:spacing w:before="20" w:after="20"/>
              <w:jc w:val="both"/>
            </w:pPr>
            <w:r>
              <w:rPr>
                <w:sz w:val="18"/>
                <w:szCs w:val="18"/>
              </w:rPr>
              <w:t>2.2 Analiza casos prácticos sobre deficiencias de control interno, formulando conclusiones y recomendaciones.</w:t>
            </w:r>
          </w:p>
        </w:tc>
        <w:tc>
          <w:tcPr>
            <w:tcW w:w="3137" w:type="dxa"/>
            <w:gridSpan w:val="4"/>
            <w:shd w:val="clear" w:color="auto" w:fill="D9E2F3"/>
            <w:vAlign w:val="center"/>
          </w:tcPr>
          <w:p w14:paraId="029A0B6B" w14:textId="77777777" w:rsidR="00990B14" w:rsidRDefault="00000000">
            <w:pPr>
              <w:spacing w:before="20" w:after="20"/>
              <w:jc w:val="both"/>
            </w:pPr>
            <w:r>
              <w:rPr>
                <w:b/>
                <w:bCs/>
                <w:sz w:val="18"/>
                <w:szCs w:val="18"/>
              </w:rPr>
              <w:t xml:space="preserve">Producto 8: </w:t>
            </w:r>
            <w:r>
              <w:rPr>
                <w:sz w:val="18"/>
                <w:szCs w:val="18"/>
              </w:rPr>
              <w:t>Informe de evaluación del sistema de control interno, incluyendo deficiencias, conclusiones y recomendaciones.</w:t>
            </w:r>
          </w:p>
        </w:tc>
      </w:tr>
      <w:tr w:rsidR="00990B14" w14:paraId="6CA2EE37" w14:textId="77777777">
        <w:trPr>
          <w:cantSplit/>
          <w:jc w:val="center"/>
        </w:trPr>
        <w:tc>
          <w:tcPr>
            <w:tcW w:w="9405" w:type="dxa"/>
            <w:gridSpan w:val="13"/>
            <w:shd w:val="clear" w:color="auto" w:fill="4472C4"/>
            <w:vAlign w:val="center"/>
          </w:tcPr>
          <w:p w14:paraId="34BA5D88" w14:textId="77777777" w:rsidR="00990B14" w:rsidRDefault="00000000">
            <w:pPr>
              <w:keepNext/>
              <w:spacing w:before="20" w:after="20"/>
              <w:jc w:val="center"/>
            </w:pPr>
            <w:r>
              <w:rPr>
                <w:b/>
                <w:bCs/>
                <w:i/>
                <w:iCs/>
                <w:color w:val="FFFFFF"/>
                <w:sz w:val="18"/>
                <w:szCs w:val="18"/>
              </w:rPr>
              <w:t>Evidencias de conocimiento</w:t>
            </w:r>
          </w:p>
        </w:tc>
      </w:tr>
      <w:tr w:rsidR="00990B14" w14:paraId="63C650E9" w14:textId="77777777">
        <w:trPr>
          <w:cantSplit/>
          <w:jc w:val="center"/>
        </w:trPr>
        <w:tc>
          <w:tcPr>
            <w:tcW w:w="2349" w:type="dxa"/>
            <w:gridSpan w:val="2"/>
            <w:shd w:val="clear" w:color="auto" w:fill="4472C4"/>
            <w:vAlign w:val="center"/>
          </w:tcPr>
          <w:p w14:paraId="41999C95"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3D18C97C" w14:textId="77777777" w:rsidR="00990B14" w:rsidRDefault="00000000">
            <w:pPr>
              <w:keepNext/>
              <w:spacing w:before="20" w:after="20"/>
              <w:jc w:val="both"/>
            </w:pPr>
            <w:r>
              <w:rPr>
                <w:b/>
                <w:bCs/>
                <w:i/>
                <w:iCs/>
                <w:color w:val="FFFFFF"/>
                <w:sz w:val="18"/>
                <w:szCs w:val="18"/>
              </w:rPr>
              <w:t>Contenidos</w:t>
            </w:r>
          </w:p>
          <w:p w14:paraId="7AF66D37"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5AC8C8A5" w14:textId="77777777" w:rsidR="00990B14" w:rsidRDefault="00000000">
            <w:pPr>
              <w:keepNext/>
              <w:spacing w:before="20" w:after="20"/>
              <w:jc w:val="center"/>
            </w:pPr>
            <w:r>
              <w:rPr>
                <w:b/>
                <w:bCs/>
                <w:i/>
                <w:iCs/>
                <w:color w:val="FFFFFF"/>
                <w:sz w:val="18"/>
                <w:szCs w:val="18"/>
              </w:rPr>
              <w:t>Conocimientos circunstanciales</w:t>
            </w:r>
          </w:p>
        </w:tc>
      </w:tr>
      <w:tr w:rsidR="00990B14" w14:paraId="5214FC54" w14:textId="77777777">
        <w:trPr>
          <w:jc w:val="center"/>
        </w:trPr>
        <w:tc>
          <w:tcPr>
            <w:tcW w:w="2349" w:type="dxa"/>
            <w:gridSpan w:val="2"/>
            <w:shd w:val="clear" w:color="auto" w:fill="D9E2F3"/>
          </w:tcPr>
          <w:p w14:paraId="4A1AD4DC" w14:textId="77777777" w:rsidR="00990B14" w:rsidRDefault="00000000">
            <w:pPr>
              <w:spacing w:before="20" w:after="40"/>
              <w:jc w:val="center"/>
            </w:pPr>
            <w:r>
              <w:rPr>
                <w:b/>
                <w:bCs/>
                <w:sz w:val="18"/>
                <w:szCs w:val="18"/>
              </w:rPr>
              <w:t>Tema 3. Fundamentos y Diseño del Sistema de Control Interno</w:t>
            </w:r>
          </w:p>
          <w:p w14:paraId="0264CA13" w14:textId="77777777" w:rsidR="00990B14" w:rsidRDefault="00000000">
            <w:pPr>
              <w:spacing w:before="20" w:after="40"/>
              <w:jc w:val="center"/>
            </w:pPr>
            <w:r>
              <w:rPr>
                <w:b/>
                <w:bCs/>
                <w:sz w:val="18"/>
                <w:szCs w:val="18"/>
              </w:rPr>
              <w:t>Tema 4: Evaluación del Control Interno en Organizaciones Públicas y Privadas</w:t>
            </w:r>
          </w:p>
        </w:tc>
        <w:tc>
          <w:tcPr>
            <w:tcW w:w="4304" w:type="dxa"/>
            <w:gridSpan w:val="8"/>
            <w:shd w:val="clear" w:color="auto" w:fill="D9E2F3"/>
          </w:tcPr>
          <w:p w14:paraId="6FA8FFAF" w14:textId="77777777" w:rsidR="00990B14" w:rsidRDefault="00000000">
            <w:pPr>
              <w:spacing w:after="40"/>
              <w:jc w:val="both"/>
            </w:pPr>
            <w:r>
              <w:rPr>
                <w:sz w:val="18"/>
                <w:szCs w:val="18"/>
              </w:rPr>
              <w:t>Naturaleza, evolución, objetivos e importancia del control interno. (C)</w:t>
            </w:r>
          </w:p>
          <w:p w14:paraId="4165D30A" w14:textId="77777777" w:rsidR="00990B14" w:rsidRDefault="00000000">
            <w:pPr>
              <w:spacing w:after="40"/>
              <w:jc w:val="both"/>
            </w:pPr>
            <w:r>
              <w:rPr>
                <w:sz w:val="18"/>
                <w:szCs w:val="18"/>
              </w:rPr>
              <w:t>Teorías y modelos de control interno: COSO, COCO y otros. (C)</w:t>
            </w:r>
          </w:p>
          <w:p w14:paraId="7A5DF7C7" w14:textId="77777777" w:rsidR="00990B14" w:rsidRDefault="00000000">
            <w:pPr>
              <w:spacing w:after="40"/>
              <w:jc w:val="both"/>
            </w:pPr>
            <w:r>
              <w:rPr>
                <w:sz w:val="18"/>
                <w:szCs w:val="18"/>
              </w:rPr>
              <w:t>Marco Integrado y componentes de Control Interno COSO. (C)</w:t>
            </w:r>
          </w:p>
          <w:p w14:paraId="01F782A3" w14:textId="77777777" w:rsidR="00990B14" w:rsidRDefault="00000000">
            <w:pPr>
              <w:spacing w:after="40"/>
              <w:jc w:val="both"/>
            </w:pPr>
            <w:r>
              <w:rPr>
                <w:sz w:val="18"/>
                <w:szCs w:val="18"/>
              </w:rPr>
              <w:t>Componentes y principios del Sistema de Control Interno. (C)</w:t>
            </w:r>
          </w:p>
          <w:p w14:paraId="0F5B45B7" w14:textId="77777777" w:rsidR="00990B14" w:rsidRDefault="00000000">
            <w:pPr>
              <w:spacing w:after="40"/>
              <w:jc w:val="both"/>
            </w:pPr>
            <w:r>
              <w:rPr>
                <w:sz w:val="18"/>
                <w:szCs w:val="18"/>
              </w:rPr>
              <w:t>Responsabilidades de la dirección y del personal. (C, A)</w:t>
            </w:r>
          </w:p>
          <w:p w14:paraId="3B8E2E30" w14:textId="77777777" w:rsidR="00990B14" w:rsidRDefault="00000000">
            <w:pPr>
              <w:spacing w:after="40"/>
              <w:jc w:val="both"/>
            </w:pPr>
            <w:r>
              <w:rPr>
                <w:sz w:val="18"/>
                <w:szCs w:val="18"/>
              </w:rPr>
              <w:t>Diseño de controles generales y específicos: preventivos, detectivos y correctivos. (C, P)</w:t>
            </w:r>
          </w:p>
          <w:p w14:paraId="588EB476" w14:textId="77777777" w:rsidR="00990B14" w:rsidRDefault="00000000">
            <w:pPr>
              <w:spacing w:after="40"/>
              <w:jc w:val="both"/>
            </w:pPr>
            <w:r>
              <w:rPr>
                <w:sz w:val="18"/>
                <w:szCs w:val="18"/>
              </w:rPr>
              <w:t>Implementación del control interno en la organización y sus procesos. (P)</w:t>
            </w:r>
          </w:p>
          <w:p w14:paraId="75AE0894" w14:textId="77777777" w:rsidR="00990B14" w:rsidRDefault="00000000">
            <w:pPr>
              <w:spacing w:after="40"/>
              <w:jc w:val="both"/>
            </w:pPr>
            <w:r>
              <w:rPr>
                <w:sz w:val="18"/>
                <w:szCs w:val="18"/>
              </w:rPr>
              <w:t>Fundamentos, objetivos y alcance de la evaluación del control interno. (C)</w:t>
            </w:r>
          </w:p>
          <w:p w14:paraId="308BFD51" w14:textId="77777777" w:rsidR="00990B14" w:rsidRDefault="00000000">
            <w:pPr>
              <w:spacing w:after="40"/>
              <w:jc w:val="both"/>
            </w:pPr>
            <w:r>
              <w:rPr>
                <w:sz w:val="18"/>
                <w:szCs w:val="18"/>
              </w:rPr>
              <w:t>Principios y normas de control interno gubernamental en Bolivia. (C)</w:t>
            </w:r>
          </w:p>
          <w:p w14:paraId="0581E778" w14:textId="77777777" w:rsidR="00990B14" w:rsidRDefault="00000000">
            <w:pPr>
              <w:spacing w:after="40"/>
              <w:jc w:val="both"/>
            </w:pPr>
            <w:r>
              <w:rPr>
                <w:sz w:val="18"/>
                <w:szCs w:val="18"/>
              </w:rPr>
              <w:t>Metodologías y técnicas de evaluación del control interno. (C, P)</w:t>
            </w:r>
          </w:p>
          <w:p w14:paraId="63998E4E" w14:textId="77777777" w:rsidR="00990B14" w:rsidRDefault="00000000">
            <w:pPr>
              <w:spacing w:after="40"/>
              <w:jc w:val="both"/>
            </w:pPr>
            <w:r>
              <w:rPr>
                <w:sz w:val="18"/>
                <w:szCs w:val="18"/>
              </w:rPr>
              <w:t>Aplicación de cuestionarios, entrevistas, flujogramas y matrices de control. (P, T)</w:t>
            </w:r>
          </w:p>
          <w:p w14:paraId="14F52A85" w14:textId="77777777" w:rsidR="00990B14" w:rsidRDefault="00000000">
            <w:pPr>
              <w:spacing w:after="40"/>
              <w:jc w:val="both"/>
            </w:pPr>
            <w:r>
              <w:rPr>
                <w:sz w:val="18"/>
                <w:szCs w:val="18"/>
              </w:rPr>
              <w:t>Evaluación del diseño, implementación y eficacia de los controles. (P)</w:t>
            </w:r>
          </w:p>
          <w:p w14:paraId="1C6CDE2D" w14:textId="77777777" w:rsidR="00990B14" w:rsidRDefault="00000000">
            <w:pPr>
              <w:spacing w:after="40"/>
              <w:jc w:val="both"/>
            </w:pPr>
            <w:r>
              <w:rPr>
                <w:sz w:val="18"/>
                <w:szCs w:val="18"/>
              </w:rPr>
              <w:t>Identificación de deficiencias y valoración de su importancia. (C, P)</w:t>
            </w:r>
          </w:p>
          <w:p w14:paraId="17941E1F" w14:textId="77777777" w:rsidR="00990B14" w:rsidRDefault="00000000">
            <w:pPr>
              <w:spacing w:after="40"/>
              <w:jc w:val="both"/>
            </w:pPr>
            <w:r>
              <w:rPr>
                <w:sz w:val="18"/>
                <w:szCs w:val="18"/>
              </w:rPr>
              <w:t>Conclusiones, recomendaciones y mejora del control interno. (C, P, A)</w:t>
            </w:r>
          </w:p>
        </w:tc>
        <w:tc>
          <w:tcPr>
            <w:tcW w:w="2752" w:type="dxa"/>
            <w:gridSpan w:val="3"/>
            <w:shd w:val="clear" w:color="auto" w:fill="D9E2F3"/>
          </w:tcPr>
          <w:p w14:paraId="28544076" w14:textId="77777777" w:rsidR="00990B14" w:rsidRDefault="00000000">
            <w:pPr>
              <w:numPr>
                <w:ilvl w:val="0"/>
                <w:numId w:val="139"/>
              </w:numPr>
              <w:spacing w:before="10" w:after="10"/>
              <w:jc w:val="both"/>
            </w:pPr>
            <w:r>
              <w:rPr>
                <w:sz w:val="18"/>
                <w:szCs w:val="18"/>
              </w:rPr>
              <w:t>Teorías del control organizacional y su evolución en el pensamiento administrativo.</w:t>
            </w:r>
          </w:p>
          <w:p w14:paraId="4339C75C" w14:textId="77777777" w:rsidR="00990B14" w:rsidRDefault="00000000">
            <w:pPr>
              <w:numPr>
                <w:ilvl w:val="0"/>
                <w:numId w:val="139"/>
              </w:numPr>
              <w:spacing w:before="10" w:after="10"/>
              <w:jc w:val="both"/>
            </w:pPr>
            <w:r>
              <w:rPr>
                <w:sz w:val="18"/>
                <w:szCs w:val="18"/>
              </w:rPr>
              <w:t>Marco de Referencia y estándares internacionales de control interno, como COSO, COCO y otros, adopción en Bolivia.</w:t>
            </w:r>
          </w:p>
          <w:p w14:paraId="1AA1DBC2" w14:textId="77777777" w:rsidR="00990B14" w:rsidRDefault="00000000">
            <w:pPr>
              <w:numPr>
                <w:ilvl w:val="0"/>
                <w:numId w:val="139"/>
              </w:numPr>
              <w:spacing w:before="10" w:after="10"/>
              <w:jc w:val="both"/>
            </w:pPr>
            <w:r>
              <w:rPr>
                <w:sz w:val="18"/>
                <w:szCs w:val="18"/>
              </w:rPr>
              <w:t>Normas y requisitos de certificación profesional en control interno y auditoría interna.</w:t>
            </w:r>
          </w:p>
          <w:p w14:paraId="4E7851F4" w14:textId="77777777" w:rsidR="00990B14" w:rsidRDefault="00000000">
            <w:pPr>
              <w:numPr>
                <w:ilvl w:val="0"/>
                <w:numId w:val="139"/>
              </w:numPr>
              <w:spacing w:before="10" w:after="10"/>
              <w:jc w:val="both"/>
            </w:pPr>
            <w:r>
              <w:rPr>
                <w:sz w:val="18"/>
                <w:szCs w:val="18"/>
              </w:rPr>
              <w:t>Teorías y enfoques de evaluación del control interno.</w:t>
            </w:r>
          </w:p>
          <w:p w14:paraId="78ECEB7B" w14:textId="77777777" w:rsidR="00990B14" w:rsidRDefault="00000000">
            <w:pPr>
              <w:numPr>
                <w:ilvl w:val="0"/>
                <w:numId w:val="139"/>
              </w:numPr>
              <w:spacing w:before="10" w:after="10"/>
              <w:jc w:val="both"/>
            </w:pPr>
            <w:r>
              <w:rPr>
                <w:sz w:val="18"/>
                <w:szCs w:val="18"/>
              </w:rPr>
              <w:t>Normas y estándares nacionales e internacionales de evaluación de control interno y su relación con el ordenamiento jurídico boliviano.</w:t>
            </w:r>
          </w:p>
          <w:p w14:paraId="3412D8D4" w14:textId="77777777" w:rsidR="00990B14" w:rsidRDefault="00000000">
            <w:pPr>
              <w:numPr>
                <w:ilvl w:val="0"/>
                <w:numId w:val="139"/>
              </w:numPr>
              <w:spacing w:before="10" w:after="10"/>
              <w:jc w:val="both"/>
            </w:pPr>
            <w:r>
              <w:rPr>
                <w:sz w:val="18"/>
                <w:szCs w:val="18"/>
              </w:rPr>
              <w:t>Metodologías de muestreo aplicadas a las pruebas de cumplimiento de controles.</w:t>
            </w:r>
          </w:p>
        </w:tc>
      </w:tr>
      <w:tr w:rsidR="00990B14" w14:paraId="3149C088" w14:textId="77777777">
        <w:trPr>
          <w:cantSplit/>
          <w:jc w:val="center"/>
        </w:trPr>
        <w:tc>
          <w:tcPr>
            <w:tcW w:w="9405" w:type="dxa"/>
            <w:gridSpan w:val="13"/>
            <w:shd w:val="clear" w:color="auto" w:fill="D9E2F3"/>
            <w:vAlign w:val="center"/>
          </w:tcPr>
          <w:p w14:paraId="0A210F04" w14:textId="77777777" w:rsidR="00990B14" w:rsidRDefault="00000000">
            <w:pPr>
              <w:spacing w:before="20" w:after="20"/>
              <w:jc w:val="both"/>
            </w:pPr>
            <w:r>
              <w:rPr>
                <w:b/>
                <w:bCs/>
                <w:i/>
                <w:iCs/>
                <w:sz w:val="18"/>
                <w:szCs w:val="18"/>
              </w:rPr>
              <w:t xml:space="preserve">Elemento de competencia 3: </w:t>
            </w:r>
            <w:r>
              <w:rPr>
                <w:sz w:val="18"/>
                <w:szCs w:val="18"/>
              </w:rPr>
              <w:t>Identifica, analiza y valora los riesgos organizacionales, aplicando COSO-ERM e ISO 31000, mediante matrices y mapas de riesgos, para comprender su administración y efectos sobre los objetivos institucionales.</w:t>
            </w:r>
          </w:p>
        </w:tc>
      </w:tr>
      <w:tr w:rsidR="00990B14" w14:paraId="038C5CD4" w14:textId="77777777">
        <w:trPr>
          <w:cantSplit/>
          <w:jc w:val="center"/>
        </w:trPr>
        <w:tc>
          <w:tcPr>
            <w:tcW w:w="3133" w:type="dxa"/>
            <w:gridSpan w:val="4"/>
            <w:shd w:val="clear" w:color="auto" w:fill="4472C4"/>
            <w:vAlign w:val="center"/>
          </w:tcPr>
          <w:p w14:paraId="756BDE18"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463443DE"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5E1C6CF2" w14:textId="77777777" w:rsidR="00990B14" w:rsidRDefault="00000000">
            <w:pPr>
              <w:keepNext/>
              <w:spacing w:before="20" w:after="20"/>
              <w:jc w:val="center"/>
            </w:pPr>
            <w:r>
              <w:rPr>
                <w:b/>
                <w:bCs/>
                <w:i/>
                <w:iCs/>
                <w:color w:val="FFFFFF"/>
                <w:sz w:val="18"/>
                <w:szCs w:val="18"/>
              </w:rPr>
              <w:t>Evidencias de producto</w:t>
            </w:r>
          </w:p>
        </w:tc>
      </w:tr>
      <w:tr w:rsidR="00990B14" w14:paraId="3E68BA65" w14:textId="77777777">
        <w:trPr>
          <w:cantSplit/>
          <w:jc w:val="center"/>
        </w:trPr>
        <w:tc>
          <w:tcPr>
            <w:tcW w:w="3133" w:type="dxa"/>
            <w:gridSpan w:val="4"/>
            <w:vMerge w:val="restart"/>
            <w:shd w:val="clear" w:color="auto" w:fill="D9E2F3"/>
            <w:vAlign w:val="center"/>
          </w:tcPr>
          <w:p w14:paraId="3AD1ED7C" w14:textId="77777777" w:rsidR="00990B14" w:rsidRDefault="00000000">
            <w:pPr>
              <w:spacing w:before="20" w:after="20"/>
              <w:jc w:val="both"/>
            </w:pPr>
            <w:r>
              <w:rPr>
                <w:sz w:val="18"/>
                <w:szCs w:val="18"/>
              </w:rPr>
              <w:t>1. Analiza los fundamentos, principios y modelos de Gestión Integral de Riesgos, aplicando los marcos COSO-ERM e ISO 31000, para comprender su relación con los objetivos de la organización y la gestión estratégica.</w:t>
            </w:r>
          </w:p>
        </w:tc>
        <w:tc>
          <w:tcPr>
            <w:tcW w:w="3135" w:type="dxa"/>
            <w:gridSpan w:val="5"/>
            <w:shd w:val="clear" w:color="auto" w:fill="D9E2F3"/>
            <w:vAlign w:val="center"/>
          </w:tcPr>
          <w:p w14:paraId="229077EE" w14:textId="77777777" w:rsidR="00990B14" w:rsidRDefault="00000000">
            <w:pPr>
              <w:spacing w:before="20" w:after="20"/>
              <w:jc w:val="both"/>
            </w:pPr>
            <w:r>
              <w:rPr>
                <w:sz w:val="18"/>
                <w:szCs w:val="18"/>
              </w:rPr>
              <w:t>1.1 Describe los principios, componentes y procesos de Gestión Integral de Riesgos, considerando los marcos COSO-ERM e ISO 31000.</w:t>
            </w:r>
          </w:p>
        </w:tc>
        <w:tc>
          <w:tcPr>
            <w:tcW w:w="3137" w:type="dxa"/>
            <w:gridSpan w:val="4"/>
            <w:shd w:val="clear" w:color="auto" w:fill="D9E2F3"/>
            <w:vAlign w:val="center"/>
          </w:tcPr>
          <w:p w14:paraId="1B559CB0" w14:textId="77777777" w:rsidR="00990B14" w:rsidRDefault="00000000">
            <w:pPr>
              <w:spacing w:before="20" w:after="20"/>
              <w:jc w:val="both"/>
            </w:pPr>
            <w:r>
              <w:rPr>
                <w:b/>
                <w:bCs/>
                <w:sz w:val="18"/>
                <w:szCs w:val="18"/>
              </w:rPr>
              <w:t xml:space="preserve">Producto 9: </w:t>
            </w:r>
            <w:r>
              <w:rPr>
                <w:sz w:val="18"/>
                <w:szCs w:val="18"/>
              </w:rPr>
              <w:t>Cuadro comparativo de las metodologías y principios de COSO-ERM e ISO 31000.</w:t>
            </w:r>
          </w:p>
        </w:tc>
      </w:tr>
      <w:tr w:rsidR="00990B14" w14:paraId="0F03DC84" w14:textId="77777777">
        <w:trPr>
          <w:cantSplit/>
          <w:jc w:val="center"/>
        </w:trPr>
        <w:tc>
          <w:tcPr>
            <w:tcW w:w="3133" w:type="dxa"/>
            <w:gridSpan w:val="4"/>
            <w:vMerge/>
            <w:shd w:val="clear" w:color="auto" w:fill="D9E2F3"/>
            <w:vAlign w:val="center"/>
          </w:tcPr>
          <w:p w14:paraId="52C37FD8" w14:textId="77777777" w:rsidR="00990B14" w:rsidRDefault="00990B14">
            <w:pPr>
              <w:spacing w:before="20" w:after="20"/>
            </w:pPr>
          </w:p>
        </w:tc>
        <w:tc>
          <w:tcPr>
            <w:tcW w:w="3135" w:type="dxa"/>
            <w:gridSpan w:val="5"/>
            <w:shd w:val="clear" w:color="auto" w:fill="D9E2F3"/>
            <w:vAlign w:val="center"/>
          </w:tcPr>
          <w:p w14:paraId="310C626D" w14:textId="77777777" w:rsidR="00990B14" w:rsidRDefault="00000000">
            <w:pPr>
              <w:spacing w:before="20" w:after="20"/>
              <w:jc w:val="both"/>
            </w:pPr>
            <w:r>
              <w:rPr>
                <w:sz w:val="18"/>
                <w:szCs w:val="18"/>
              </w:rPr>
              <w:t>1.2 Determina el apetito, tolerancia y capacidad de riesgo de una organización, considerando sus objetivos estratégicos y cultura.</w:t>
            </w:r>
          </w:p>
        </w:tc>
        <w:tc>
          <w:tcPr>
            <w:tcW w:w="3137" w:type="dxa"/>
            <w:gridSpan w:val="4"/>
            <w:shd w:val="clear" w:color="auto" w:fill="D9E2F3"/>
            <w:vAlign w:val="center"/>
          </w:tcPr>
          <w:p w14:paraId="4328CB16" w14:textId="77777777" w:rsidR="00990B14" w:rsidRDefault="00000000">
            <w:pPr>
              <w:spacing w:before="20" w:after="20"/>
              <w:jc w:val="both"/>
            </w:pPr>
            <w:r>
              <w:rPr>
                <w:b/>
                <w:bCs/>
                <w:sz w:val="18"/>
                <w:szCs w:val="18"/>
              </w:rPr>
              <w:t xml:space="preserve">Producto 10: </w:t>
            </w:r>
            <w:r>
              <w:rPr>
                <w:sz w:val="18"/>
                <w:szCs w:val="18"/>
              </w:rPr>
              <w:t>Cuadro de determinación del apetito, tolerancia y capacidad de riesgo organizacional.</w:t>
            </w:r>
          </w:p>
        </w:tc>
      </w:tr>
      <w:tr w:rsidR="00990B14" w14:paraId="10F671A3" w14:textId="77777777">
        <w:trPr>
          <w:cantSplit/>
          <w:jc w:val="center"/>
        </w:trPr>
        <w:tc>
          <w:tcPr>
            <w:tcW w:w="3133" w:type="dxa"/>
            <w:gridSpan w:val="4"/>
            <w:vMerge w:val="restart"/>
            <w:shd w:val="clear" w:color="auto" w:fill="D9E2F3"/>
            <w:vAlign w:val="center"/>
          </w:tcPr>
          <w:p w14:paraId="222F7F68" w14:textId="77777777" w:rsidR="00990B14" w:rsidRDefault="00000000">
            <w:pPr>
              <w:spacing w:before="20" w:after="20"/>
              <w:jc w:val="both"/>
            </w:pPr>
            <w:r>
              <w:rPr>
                <w:sz w:val="18"/>
                <w:szCs w:val="18"/>
              </w:rPr>
              <w:t>2. Identifica, analiza y evalúa los riesgos organizacionales, mediante la aplicación de métodos, técnicas, matrices y mapas de riesgos, considerando las tecnologías emergentes aplicadas a la Gestión Integral de Riesgos</w:t>
            </w:r>
          </w:p>
        </w:tc>
        <w:tc>
          <w:tcPr>
            <w:tcW w:w="3135" w:type="dxa"/>
            <w:gridSpan w:val="5"/>
            <w:shd w:val="clear" w:color="auto" w:fill="D9E2F3"/>
            <w:vAlign w:val="center"/>
          </w:tcPr>
          <w:p w14:paraId="13378F40" w14:textId="77777777" w:rsidR="00990B14" w:rsidRDefault="00000000">
            <w:pPr>
              <w:spacing w:before="20" w:after="20"/>
              <w:jc w:val="both"/>
            </w:pPr>
            <w:r>
              <w:rPr>
                <w:sz w:val="18"/>
                <w:szCs w:val="18"/>
              </w:rPr>
              <w:t>2.1 Conoce, clasifica y evalúa los riesgos estratégicos, operativos, financieros, de cumplimiento, fraude, corrupción y ciberseguridad.</w:t>
            </w:r>
          </w:p>
        </w:tc>
        <w:tc>
          <w:tcPr>
            <w:tcW w:w="3137" w:type="dxa"/>
            <w:gridSpan w:val="4"/>
            <w:shd w:val="clear" w:color="auto" w:fill="D9E2F3"/>
            <w:vAlign w:val="center"/>
          </w:tcPr>
          <w:p w14:paraId="557F5541" w14:textId="77777777" w:rsidR="00990B14" w:rsidRDefault="00000000">
            <w:pPr>
              <w:spacing w:before="20" w:after="20"/>
              <w:jc w:val="both"/>
            </w:pPr>
            <w:r>
              <w:rPr>
                <w:b/>
                <w:bCs/>
                <w:sz w:val="18"/>
                <w:szCs w:val="18"/>
              </w:rPr>
              <w:t xml:space="preserve">Producto 11: </w:t>
            </w:r>
            <w:r>
              <w:rPr>
                <w:sz w:val="18"/>
                <w:szCs w:val="18"/>
              </w:rPr>
              <w:t>Esquema de riesgos, considerando probabilidad, impacto y valoración de riesgos.</w:t>
            </w:r>
          </w:p>
        </w:tc>
      </w:tr>
      <w:tr w:rsidR="00990B14" w14:paraId="7156C2D2" w14:textId="77777777">
        <w:trPr>
          <w:cantSplit/>
          <w:jc w:val="center"/>
        </w:trPr>
        <w:tc>
          <w:tcPr>
            <w:tcW w:w="3133" w:type="dxa"/>
            <w:gridSpan w:val="4"/>
            <w:vMerge/>
            <w:shd w:val="clear" w:color="auto" w:fill="D9E2F3"/>
            <w:vAlign w:val="center"/>
          </w:tcPr>
          <w:p w14:paraId="59723794" w14:textId="77777777" w:rsidR="00990B14" w:rsidRDefault="00990B14">
            <w:pPr>
              <w:spacing w:before="20" w:after="20"/>
            </w:pPr>
          </w:p>
        </w:tc>
        <w:tc>
          <w:tcPr>
            <w:tcW w:w="3135" w:type="dxa"/>
            <w:gridSpan w:val="5"/>
            <w:shd w:val="clear" w:color="auto" w:fill="D9E2F3"/>
            <w:vAlign w:val="center"/>
          </w:tcPr>
          <w:p w14:paraId="0DCB1FE8" w14:textId="77777777" w:rsidR="00990B14" w:rsidRDefault="00000000">
            <w:pPr>
              <w:spacing w:before="20" w:after="20"/>
              <w:jc w:val="both"/>
            </w:pPr>
            <w:r>
              <w:rPr>
                <w:sz w:val="18"/>
                <w:szCs w:val="18"/>
              </w:rPr>
              <w:t>2.2 Formula estrategias de tratamiento y monitoreo de riesgos, aplicando tecnologías: inteligencia artificial, Big Data, Machine Learning, RPA y Blockchain.</w:t>
            </w:r>
          </w:p>
        </w:tc>
        <w:tc>
          <w:tcPr>
            <w:tcW w:w="3137" w:type="dxa"/>
            <w:gridSpan w:val="4"/>
            <w:shd w:val="clear" w:color="auto" w:fill="D9E2F3"/>
            <w:vAlign w:val="center"/>
          </w:tcPr>
          <w:p w14:paraId="4493B36A" w14:textId="77777777" w:rsidR="00990B14" w:rsidRDefault="00000000">
            <w:pPr>
              <w:spacing w:before="20" w:after="20"/>
              <w:jc w:val="both"/>
            </w:pPr>
            <w:r>
              <w:rPr>
                <w:b/>
                <w:bCs/>
                <w:sz w:val="18"/>
                <w:szCs w:val="18"/>
              </w:rPr>
              <w:t xml:space="preserve">Producto 12: </w:t>
            </w:r>
            <w:r>
              <w:rPr>
                <w:sz w:val="18"/>
                <w:szCs w:val="18"/>
              </w:rPr>
              <w:t>Informe conteniendo un Plan de estrategias y monitoreo de gestión de riesgos.</w:t>
            </w:r>
          </w:p>
        </w:tc>
      </w:tr>
      <w:tr w:rsidR="00990B14" w14:paraId="59A6BD97" w14:textId="77777777">
        <w:trPr>
          <w:cantSplit/>
          <w:jc w:val="center"/>
        </w:trPr>
        <w:tc>
          <w:tcPr>
            <w:tcW w:w="9405" w:type="dxa"/>
            <w:gridSpan w:val="13"/>
            <w:shd w:val="clear" w:color="auto" w:fill="4472C4"/>
            <w:vAlign w:val="center"/>
          </w:tcPr>
          <w:p w14:paraId="287CDFE9" w14:textId="77777777" w:rsidR="00990B14" w:rsidRDefault="00000000">
            <w:pPr>
              <w:keepNext/>
              <w:spacing w:before="20" w:after="20"/>
              <w:jc w:val="center"/>
            </w:pPr>
            <w:r>
              <w:rPr>
                <w:b/>
                <w:bCs/>
                <w:i/>
                <w:iCs/>
                <w:color w:val="FFFFFF"/>
                <w:sz w:val="18"/>
                <w:szCs w:val="18"/>
              </w:rPr>
              <w:t>Evidencias de conocimiento</w:t>
            </w:r>
          </w:p>
        </w:tc>
      </w:tr>
      <w:tr w:rsidR="00990B14" w14:paraId="03159D0C" w14:textId="77777777">
        <w:trPr>
          <w:cantSplit/>
          <w:jc w:val="center"/>
        </w:trPr>
        <w:tc>
          <w:tcPr>
            <w:tcW w:w="2349" w:type="dxa"/>
            <w:gridSpan w:val="2"/>
            <w:shd w:val="clear" w:color="auto" w:fill="4472C4"/>
            <w:vAlign w:val="center"/>
          </w:tcPr>
          <w:p w14:paraId="6CC442CA"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40431FAA" w14:textId="77777777" w:rsidR="00990B14" w:rsidRDefault="00000000">
            <w:pPr>
              <w:keepNext/>
              <w:spacing w:before="20" w:after="20"/>
              <w:jc w:val="both"/>
            </w:pPr>
            <w:r>
              <w:rPr>
                <w:b/>
                <w:bCs/>
                <w:i/>
                <w:iCs/>
                <w:color w:val="FFFFFF"/>
                <w:sz w:val="18"/>
                <w:szCs w:val="18"/>
              </w:rPr>
              <w:t>Contenidos</w:t>
            </w:r>
          </w:p>
          <w:p w14:paraId="6A22A654"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4E53E218" w14:textId="77777777" w:rsidR="00990B14" w:rsidRDefault="00000000">
            <w:pPr>
              <w:keepNext/>
              <w:spacing w:before="20" w:after="20"/>
              <w:jc w:val="center"/>
            </w:pPr>
            <w:r>
              <w:rPr>
                <w:b/>
                <w:bCs/>
                <w:i/>
                <w:iCs/>
                <w:color w:val="FFFFFF"/>
                <w:sz w:val="18"/>
                <w:szCs w:val="18"/>
              </w:rPr>
              <w:t>Conocimientos circunstanciales</w:t>
            </w:r>
          </w:p>
        </w:tc>
      </w:tr>
      <w:tr w:rsidR="00990B14" w14:paraId="23EFF0C2" w14:textId="77777777">
        <w:trPr>
          <w:jc w:val="center"/>
        </w:trPr>
        <w:tc>
          <w:tcPr>
            <w:tcW w:w="2349" w:type="dxa"/>
            <w:gridSpan w:val="2"/>
            <w:shd w:val="clear" w:color="auto" w:fill="D9E2F3"/>
          </w:tcPr>
          <w:p w14:paraId="6F367F2B" w14:textId="77777777" w:rsidR="00990B14" w:rsidRDefault="00000000">
            <w:pPr>
              <w:spacing w:before="20" w:after="40"/>
              <w:jc w:val="center"/>
            </w:pPr>
            <w:r>
              <w:rPr>
                <w:b/>
                <w:bCs/>
                <w:sz w:val="18"/>
                <w:szCs w:val="18"/>
              </w:rPr>
              <w:t>Tema 5: Fundamentos y Modelos de Gestión Integral de Riesgos</w:t>
            </w:r>
          </w:p>
          <w:p w14:paraId="18B97C1A" w14:textId="77777777" w:rsidR="00990B14" w:rsidRDefault="00000000">
            <w:pPr>
              <w:spacing w:before="20" w:after="40"/>
              <w:jc w:val="center"/>
            </w:pPr>
            <w:r>
              <w:rPr>
                <w:b/>
                <w:bCs/>
                <w:sz w:val="18"/>
                <w:szCs w:val="18"/>
              </w:rPr>
              <w:t>Tema 6: Identificación, Análisis, Evaluación y Tratamiento de Riesgos</w:t>
            </w:r>
          </w:p>
        </w:tc>
        <w:tc>
          <w:tcPr>
            <w:tcW w:w="4304" w:type="dxa"/>
            <w:gridSpan w:val="8"/>
            <w:shd w:val="clear" w:color="auto" w:fill="D9E2F3"/>
          </w:tcPr>
          <w:p w14:paraId="1EDAB602" w14:textId="77777777" w:rsidR="00990B14" w:rsidRDefault="00000000">
            <w:pPr>
              <w:spacing w:after="40"/>
              <w:jc w:val="both"/>
            </w:pPr>
            <w:r>
              <w:rPr>
                <w:sz w:val="18"/>
                <w:szCs w:val="18"/>
              </w:rPr>
              <w:t>Naturaleza, conceptos, características y clasificación de riesgos. (C)</w:t>
            </w:r>
          </w:p>
          <w:p w14:paraId="478525EB" w14:textId="77777777" w:rsidR="00990B14" w:rsidRDefault="00000000">
            <w:pPr>
              <w:spacing w:after="40"/>
              <w:jc w:val="both"/>
            </w:pPr>
            <w:r>
              <w:rPr>
                <w:sz w:val="18"/>
                <w:szCs w:val="18"/>
              </w:rPr>
              <w:t>Relación entre objetivos organizacionales, incertidumbre y riesgos. (C)</w:t>
            </w:r>
          </w:p>
          <w:p w14:paraId="5A0C953E" w14:textId="77777777" w:rsidR="00990B14" w:rsidRDefault="00000000">
            <w:pPr>
              <w:spacing w:after="40"/>
              <w:jc w:val="both"/>
            </w:pPr>
            <w:r>
              <w:rPr>
                <w:sz w:val="18"/>
                <w:szCs w:val="18"/>
              </w:rPr>
              <w:t>Marco COSO-ERM: componentes y principios. (C)</w:t>
            </w:r>
          </w:p>
          <w:p w14:paraId="2FC64271" w14:textId="77777777" w:rsidR="00990B14" w:rsidRDefault="00000000">
            <w:pPr>
              <w:spacing w:after="40"/>
              <w:jc w:val="both"/>
            </w:pPr>
            <w:r>
              <w:rPr>
                <w:sz w:val="18"/>
                <w:szCs w:val="18"/>
              </w:rPr>
              <w:t>Norma ISO 31000: principios, marco de referencia y proceso. (C)</w:t>
            </w:r>
          </w:p>
          <w:p w14:paraId="63EFB780" w14:textId="77777777" w:rsidR="00990B14" w:rsidRDefault="00000000">
            <w:pPr>
              <w:spacing w:after="40"/>
              <w:jc w:val="both"/>
            </w:pPr>
            <w:r>
              <w:rPr>
                <w:sz w:val="18"/>
                <w:szCs w:val="18"/>
              </w:rPr>
              <w:t>Gobierno, estructura y responsabilidades en la gestión integral de riesgos. (C, A)</w:t>
            </w:r>
          </w:p>
          <w:p w14:paraId="7E5F8A27" w14:textId="77777777" w:rsidR="00990B14" w:rsidRDefault="00000000">
            <w:pPr>
              <w:spacing w:after="40"/>
              <w:jc w:val="both"/>
            </w:pPr>
            <w:r>
              <w:rPr>
                <w:sz w:val="18"/>
                <w:szCs w:val="18"/>
              </w:rPr>
              <w:t>Determinación del apetito, tolerancia y capacidad de riesgo. (C, P)</w:t>
            </w:r>
          </w:p>
          <w:p w14:paraId="32440683" w14:textId="77777777" w:rsidR="00990B14" w:rsidRDefault="00000000">
            <w:pPr>
              <w:spacing w:after="40"/>
              <w:jc w:val="both"/>
            </w:pPr>
            <w:r>
              <w:rPr>
                <w:sz w:val="18"/>
                <w:szCs w:val="18"/>
              </w:rPr>
              <w:t>Cultura de riesgos y su integración en la gestión estratégica. (C, A)</w:t>
            </w:r>
          </w:p>
          <w:p w14:paraId="76BA8B4E" w14:textId="77777777" w:rsidR="00990B14" w:rsidRDefault="00000000">
            <w:pPr>
              <w:spacing w:after="40"/>
              <w:jc w:val="both"/>
            </w:pPr>
            <w:r>
              <w:rPr>
                <w:sz w:val="18"/>
                <w:szCs w:val="18"/>
              </w:rPr>
              <w:t>Determinación y clasificación de riesgos estratégicos, operativos, financieros y de cumplimiento. (C, P)</w:t>
            </w:r>
          </w:p>
          <w:p w14:paraId="6D7F269F" w14:textId="77777777" w:rsidR="00990B14" w:rsidRDefault="00000000">
            <w:pPr>
              <w:spacing w:after="40"/>
              <w:jc w:val="both"/>
            </w:pPr>
            <w:r>
              <w:rPr>
                <w:sz w:val="18"/>
                <w:szCs w:val="18"/>
              </w:rPr>
              <w:t>Identificación de riesgos de fraude, corrupción, ciberseguridad y tecnologías de información. (C, P)</w:t>
            </w:r>
          </w:p>
          <w:p w14:paraId="41F98232" w14:textId="77777777" w:rsidR="00990B14" w:rsidRDefault="00000000">
            <w:pPr>
              <w:spacing w:after="40"/>
              <w:jc w:val="both"/>
            </w:pPr>
            <w:r>
              <w:rPr>
                <w:sz w:val="18"/>
                <w:szCs w:val="18"/>
              </w:rPr>
              <w:t>Métodos, técnicas e instrumentos para la identificación de riesgos. (C, P)</w:t>
            </w:r>
          </w:p>
          <w:p w14:paraId="1C048950" w14:textId="77777777" w:rsidR="00990B14" w:rsidRDefault="00000000">
            <w:pPr>
              <w:spacing w:after="40"/>
              <w:jc w:val="both"/>
            </w:pPr>
            <w:r>
              <w:rPr>
                <w:sz w:val="18"/>
                <w:szCs w:val="18"/>
              </w:rPr>
              <w:t>Análisis de riesgos: probabilidad de ocurrencia, impacto y factores de riesgos. (C, P)</w:t>
            </w:r>
          </w:p>
          <w:p w14:paraId="75149109" w14:textId="77777777" w:rsidR="00990B14" w:rsidRDefault="00000000">
            <w:pPr>
              <w:spacing w:after="40"/>
              <w:jc w:val="both"/>
            </w:pPr>
            <w:r>
              <w:rPr>
                <w:sz w:val="18"/>
                <w:szCs w:val="18"/>
              </w:rPr>
              <w:t>Evaluación del riesgo inherente, de control y residual mediante matrices y mapas de riesgo. (P, T)</w:t>
            </w:r>
          </w:p>
          <w:p w14:paraId="310CF158" w14:textId="77777777" w:rsidR="00990B14" w:rsidRDefault="00000000">
            <w:pPr>
              <w:spacing w:after="40"/>
              <w:jc w:val="both"/>
            </w:pPr>
            <w:r>
              <w:rPr>
                <w:sz w:val="18"/>
                <w:szCs w:val="18"/>
              </w:rPr>
              <w:t>Estrategias de tratamiento, respuesta y monitoreo de riesgos. (P, A)</w:t>
            </w:r>
          </w:p>
          <w:p w14:paraId="5893862C" w14:textId="77777777" w:rsidR="00990B14" w:rsidRDefault="00000000">
            <w:pPr>
              <w:spacing w:after="40"/>
              <w:jc w:val="both"/>
            </w:pPr>
            <w:r>
              <w:rPr>
                <w:sz w:val="18"/>
                <w:szCs w:val="18"/>
              </w:rPr>
              <w:t>Tecnologías emergentes aplicadas a la gestión de riesgos y auditoría: Inteligencia Artificial, Big Data, Machine Learning, RPA y Blockchain. (C, T)</w:t>
            </w:r>
          </w:p>
        </w:tc>
        <w:tc>
          <w:tcPr>
            <w:tcW w:w="2752" w:type="dxa"/>
            <w:gridSpan w:val="3"/>
            <w:shd w:val="clear" w:color="auto" w:fill="D9E2F3"/>
          </w:tcPr>
          <w:p w14:paraId="2E8F3195" w14:textId="77777777" w:rsidR="00990B14" w:rsidRDefault="00000000">
            <w:pPr>
              <w:numPr>
                <w:ilvl w:val="0"/>
                <w:numId w:val="139"/>
              </w:numPr>
              <w:spacing w:before="10" w:after="10"/>
              <w:jc w:val="both"/>
            </w:pPr>
            <w:r>
              <w:rPr>
                <w:sz w:val="18"/>
                <w:szCs w:val="18"/>
              </w:rPr>
              <w:t>Teoría de la decisión y su relación con el riesgo y la incertidumbre organizacional.</w:t>
            </w:r>
          </w:p>
          <w:p w14:paraId="466DF4AD" w14:textId="77777777" w:rsidR="00990B14" w:rsidRDefault="00000000">
            <w:pPr>
              <w:numPr>
                <w:ilvl w:val="0"/>
                <w:numId w:val="139"/>
              </w:numPr>
              <w:spacing w:before="10" w:after="10"/>
              <w:jc w:val="both"/>
            </w:pPr>
            <w:r>
              <w:rPr>
                <w:sz w:val="18"/>
                <w:szCs w:val="18"/>
              </w:rPr>
              <w:t>Teorías y enfoques del comportamiento organizacional frente al riesgo y la incertidumbre.</w:t>
            </w:r>
          </w:p>
          <w:p w14:paraId="035058A2" w14:textId="77777777" w:rsidR="00990B14" w:rsidRDefault="00000000">
            <w:pPr>
              <w:numPr>
                <w:ilvl w:val="0"/>
                <w:numId w:val="139"/>
              </w:numPr>
              <w:spacing w:before="10" w:after="10"/>
              <w:jc w:val="both"/>
            </w:pPr>
            <w:r>
              <w:rPr>
                <w:sz w:val="18"/>
                <w:szCs w:val="18"/>
              </w:rPr>
              <w:t>Marcos de referencia y estándares internacionales de gestión de riesgos: COSO-ERM, ISO 31000 y otros.</w:t>
            </w:r>
          </w:p>
          <w:p w14:paraId="3C64F2C7" w14:textId="77777777" w:rsidR="00990B14" w:rsidRDefault="00000000">
            <w:pPr>
              <w:numPr>
                <w:ilvl w:val="0"/>
                <w:numId w:val="139"/>
              </w:numPr>
              <w:spacing w:before="10" w:after="10"/>
              <w:jc w:val="both"/>
            </w:pPr>
            <w:r>
              <w:rPr>
                <w:sz w:val="18"/>
                <w:szCs w:val="18"/>
              </w:rPr>
              <w:t>Nociones de ciberseguridad, amenazas a la seguridad de la información y protección de datos en las organizaciones bolivianas.</w:t>
            </w:r>
          </w:p>
          <w:p w14:paraId="07C2916B" w14:textId="77777777" w:rsidR="00990B14" w:rsidRDefault="00000000">
            <w:pPr>
              <w:numPr>
                <w:ilvl w:val="0"/>
                <w:numId w:val="139"/>
              </w:numPr>
              <w:spacing w:before="10" w:after="10"/>
              <w:jc w:val="both"/>
            </w:pPr>
            <w:r>
              <w:rPr>
                <w:sz w:val="18"/>
                <w:szCs w:val="18"/>
              </w:rPr>
              <w:t>Indicadores clave de riesgo (KRI) y su aplicación en los tableros de control de gestión (dashboards).</w:t>
            </w:r>
          </w:p>
          <w:p w14:paraId="4E51672C" w14:textId="77777777" w:rsidR="00990B14" w:rsidRDefault="00000000">
            <w:pPr>
              <w:numPr>
                <w:ilvl w:val="0"/>
                <w:numId w:val="139"/>
              </w:numPr>
              <w:spacing w:before="10" w:after="10"/>
              <w:jc w:val="both"/>
            </w:pPr>
            <w:r>
              <w:rPr>
                <w:sz w:val="18"/>
                <w:szCs w:val="18"/>
              </w:rPr>
              <w:t>Metodologías y herramientas tecnológicas para el monitoreo y la gestión de riesgos organizacionales: Inteligencia Artificial, Big Data, Machine Learning, RPA y Blockchain.</w:t>
            </w:r>
          </w:p>
        </w:tc>
      </w:tr>
      <w:tr w:rsidR="00990B14" w14:paraId="18C7BC76" w14:textId="77777777">
        <w:trPr>
          <w:cantSplit/>
          <w:jc w:val="center"/>
        </w:trPr>
        <w:tc>
          <w:tcPr>
            <w:tcW w:w="9405" w:type="dxa"/>
            <w:gridSpan w:val="13"/>
            <w:shd w:val="clear" w:color="auto" w:fill="D9E2F3"/>
            <w:vAlign w:val="center"/>
          </w:tcPr>
          <w:p w14:paraId="46F3F9EC" w14:textId="77777777" w:rsidR="00990B14" w:rsidRDefault="00000000">
            <w:pPr>
              <w:spacing w:before="20" w:after="20"/>
              <w:jc w:val="both"/>
            </w:pPr>
            <w:r>
              <w:rPr>
                <w:b/>
                <w:bCs/>
                <w:i/>
                <w:iCs/>
                <w:sz w:val="18"/>
                <w:szCs w:val="18"/>
              </w:rPr>
              <w:t xml:space="preserve">Elemento de competencia 4: </w:t>
            </w:r>
            <w:r>
              <w:rPr>
                <w:sz w:val="18"/>
                <w:szCs w:val="18"/>
              </w:rPr>
              <w:t>Analiza la naturaleza, propósito, organización, funciones y responsabilidades de las Unidades de Auditoría Interna, interpretando las normas nacionales e internacionales, para comprender su función independiente de evaluación del gobierno, control interno y gestión de riesgos.</w:t>
            </w:r>
          </w:p>
        </w:tc>
      </w:tr>
      <w:tr w:rsidR="00990B14" w14:paraId="52D9B1F0" w14:textId="77777777">
        <w:trPr>
          <w:cantSplit/>
          <w:jc w:val="center"/>
        </w:trPr>
        <w:tc>
          <w:tcPr>
            <w:tcW w:w="3133" w:type="dxa"/>
            <w:gridSpan w:val="4"/>
            <w:shd w:val="clear" w:color="auto" w:fill="4472C4"/>
            <w:vAlign w:val="center"/>
          </w:tcPr>
          <w:p w14:paraId="4195B9A8"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2800441D"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2D41DD76" w14:textId="77777777" w:rsidR="00990B14" w:rsidRDefault="00000000">
            <w:pPr>
              <w:keepNext/>
              <w:spacing w:before="20" w:after="20"/>
              <w:jc w:val="center"/>
            </w:pPr>
            <w:r>
              <w:rPr>
                <w:b/>
                <w:bCs/>
                <w:i/>
                <w:iCs/>
                <w:color w:val="FFFFFF"/>
                <w:sz w:val="18"/>
                <w:szCs w:val="18"/>
              </w:rPr>
              <w:t>Evidencias de producto</w:t>
            </w:r>
          </w:p>
        </w:tc>
      </w:tr>
      <w:tr w:rsidR="00990B14" w14:paraId="7643A203" w14:textId="77777777">
        <w:trPr>
          <w:cantSplit/>
          <w:jc w:val="center"/>
        </w:trPr>
        <w:tc>
          <w:tcPr>
            <w:tcW w:w="3133" w:type="dxa"/>
            <w:gridSpan w:val="4"/>
            <w:vMerge w:val="restart"/>
            <w:shd w:val="clear" w:color="auto" w:fill="D9E2F3"/>
            <w:vAlign w:val="center"/>
          </w:tcPr>
          <w:p w14:paraId="048C1544" w14:textId="77777777" w:rsidR="00990B14" w:rsidRDefault="00000000">
            <w:pPr>
              <w:spacing w:before="20" w:after="20"/>
              <w:jc w:val="both"/>
            </w:pPr>
            <w:r>
              <w:rPr>
                <w:sz w:val="18"/>
                <w:szCs w:val="18"/>
              </w:rPr>
              <w:t>1. Analiza la naturaleza, organización, estructura, dependencia y funciones de las Unidades de Auditoría Interna, considerando los principios de independencia, objetividad, ética y competencia profesional.</w:t>
            </w:r>
          </w:p>
        </w:tc>
        <w:tc>
          <w:tcPr>
            <w:tcW w:w="3135" w:type="dxa"/>
            <w:gridSpan w:val="5"/>
            <w:shd w:val="clear" w:color="auto" w:fill="D9E2F3"/>
            <w:vAlign w:val="center"/>
          </w:tcPr>
          <w:p w14:paraId="0D187359" w14:textId="77777777" w:rsidR="00990B14" w:rsidRDefault="00000000">
            <w:pPr>
              <w:spacing w:before="20" w:after="20"/>
              <w:jc w:val="both"/>
            </w:pPr>
            <w:r>
              <w:rPr>
                <w:sz w:val="18"/>
                <w:szCs w:val="18"/>
              </w:rPr>
              <w:t>1.1 Describe la organización, estructura, dependencia, autoridad y responsabilidad de las Unidades de Auditoría Interna.</w:t>
            </w:r>
          </w:p>
        </w:tc>
        <w:tc>
          <w:tcPr>
            <w:tcW w:w="3137" w:type="dxa"/>
            <w:gridSpan w:val="4"/>
            <w:shd w:val="clear" w:color="auto" w:fill="D9E2F3"/>
            <w:vAlign w:val="center"/>
          </w:tcPr>
          <w:p w14:paraId="7E0DE629" w14:textId="77777777" w:rsidR="00990B14" w:rsidRDefault="00000000">
            <w:pPr>
              <w:spacing w:before="20" w:after="20"/>
              <w:jc w:val="both"/>
            </w:pPr>
            <w:r>
              <w:rPr>
                <w:b/>
                <w:bCs/>
                <w:sz w:val="18"/>
                <w:szCs w:val="18"/>
              </w:rPr>
              <w:t xml:space="preserve">Producto 13: </w:t>
            </w:r>
            <w:r>
              <w:rPr>
                <w:sz w:val="18"/>
                <w:szCs w:val="18"/>
              </w:rPr>
              <w:t>Esquema de comprensión de la naturaleza, estructura y responsabilidades de la UAI.</w:t>
            </w:r>
          </w:p>
        </w:tc>
      </w:tr>
      <w:tr w:rsidR="00990B14" w14:paraId="3C9B7F12" w14:textId="77777777">
        <w:trPr>
          <w:cantSplit/>
          <w:jc w:val="center"/>
        </w:trPr>
        <w:tc>
          <w:tcPr>
            <w:tcW w:w="3133" w:type="dxa"/>
            <w:gridSpan w:val="4"/>
            <w:vMerge/>
            <w:shd w:val="clear" w:color="auto" w:fill="D9E2F3"/>
            <w:vAlign w:val="center"/>
          </w:tcPr>
          <w:p w14:paraId="1BAB3551" w14:textId="77777777" w:rsidR="00990B14" w:rsidRDefault="00990B14">
            <w:pPr>
              <w:spacing w:before="20" w:after="20"/>
            </w:pPr>
          </w:p>
        </w:tc>
        <w:tc>
          <w:tcPr>
            <w:tcW w:w="3135" w:type="dxa"/>
            <w:gridSpan w:val="5"/>
            <w:shd w:val="clear" w:color="auto" w:fill="D9E2F3"/>
            <w:vAlign w:val="center"/>
          </w:tcPr>
          <w:p w14:paraId="12293161" w14:textId="77777777" w:rsidR="00990B14" w:rsidRDefault="00000000">
            <w:pPr>
              <w:spacing w:before="20" w:after="20"/>
              <w:jc w:val="both"/>
            </w:pPr>
            <w:r>
              <w:rPr>
                <w:sz w:val="18"/>
                <w:szCs w:val="18"/>
              </w:rPr>
              <w:t>1.2 Comprende las funciones de aseguramiento de la Auditoría Interna, bajo principios de independencia, objetividad, ética y competencia profesional.</w:t>
            </w:r>
          </w:p>
        </w:tc>
        <w:tc>
          <w:tcPr>
            <w:tcW w:w="3137" w:type="dxa"/>
            <w:gridSpan w:val="4"/>
            <w:shd w:val="clear" w:color="auto" w:fill="D9E2F3"/>
            <w:vAlign w:val="center"/>
          </w:tcPr>
          <w:p w14:paraId="51581E9E" w14:textId="77777777" w:rsidR="00990B14" w:rsidRDefault="00000000">
            <w:pPr>
              <w:spacing w:before="20" w:after="20"/>
              <w:jc w:val="both"/>
            </w:pPr>
            <w:r>
              <w:rPr>
                <w:b/>
                <w:bCs/>
                <w:sz w:val="18"/>
                <w:szCs w:val="18"/>
              </w:rPr>
              <w:t xml:space="preserve">Producto 14: </w:t>
            </w:r>
            <w:r>
              <w:rPr>
                <w:sz w:val="18"/>
                <w:szCs w:val="18"/>
              </w:rPr>
              <w:t>Esquema de comprensión sobre las funciones de aseguramiento y asesoramiento de la Unidad de Auditoría Interna.</w:t>
            </w:r>
          </w:p>
        </w:tc>
      </w:tr>
      <w:tr w:rsidR="00990B14" w14:paraId="4BD44252" w14:textId="77777777">
        <w:trPr>
          <w:cantSplit/>
          <w:jc w:val="center"/>
        </w:trPr>
        <w:tc>
          <w:tcPr>
            <w:tcW w:w="3133" w:type="dxa"/>
            <w:gridSpan w:val="4"/>
            <w:vMerge w:val="restart"/>
            <w:shd w:val="clear" w:color="auto" w:fill="D9E2F3"/>
            <w:vAlign w:val="center"/>
          </w:tcPr>
          <w:p w14:paraId="3466B00E" w14:textId="77777777" w:rsidR="00990B14" w:rsidRDefault="00000000">
            <w:pPr>
              <w:spacing w:before="20" w:after="20"/>
              <w:jc w:val="both"/>
            </w:pPr>
            <w:r>
              <w:rPr>
                <w:sz w:val="18"/>
                <w:szCs w:val="18"/>
              </w:rPr>
              <w:t>2. Interpreta el marco normativo nacional e internacional de la Auditoría Interna: Normas Globales de Auditoría Interna y Normas para el Ejercicio de la Auditoría Interna, respecto de la independencia, la objetividad y la calidad de la Auditoría Interna.</w:t>
            </w:r>
          </w:p>
        </w:tc>
        <w:tc>
          <w:tcPr>
            <w:tcW w:w="3135" w:type="dxa"/>
            <w:gridSpan w:val="5"/>
            <w:shd w:val="clear" w:color="auto" w:fill="D9E2F3"/>
            <w:vAlign w:val="center"/>
          </w:tcPr>
          <w:p w14:paraId="627CCCBF" w14:textId="77777777" w:rsidR="00990B14" w:rsidRDefault="00000000">
            <w:pPr>
              <w:spacing w:before="20" w:after="20"/>
              <w:jc w:val="both"/>
            </w:pPr>
            <w:r>
              <w:rPr>
                <w:sz w:val="18"/>
                <w:szCs w:val="18"/>
              </w:rPr>
              <w:t>2.1 Analiza y compara los principios, Normas Globales de Auditoría Interna y Normas para el Ejercicio de la Auditoría Interna en Bolivia, sobre independencia, la objetividad y la calidad</w:t>
            </w:r>
          </w:p>
        </w:tc>
        <w:tc>
          <w:tcPr>
            <w:tcW w:w="3137" w:type="dxa"/>
            <w:gridSpan w:val="4"/>
            <w:shd w:val="clear" w:color="auto" w:fill="D9E2F3"/>
            <w:vAlign w:val="center"/>
          </w:tcPr>
          <w:p w14:paraId="68C7960C" w14:textId="77777777" w:rsidR="00990B14" w:rsidRDefault="00000000">
            <w:pPr>
              <w:spacing w:before="20" w:after="20"/>
              <w:jc w:val="both"/>
            </w:pPr>
            <w:r>
              <w:rPr>
                <w:b/>
                <w:bCs/>
                <w:sz w:val="18"/>
                <w:szCs w:val="18"/>
              </w:rPr>
              <w:t xml:space="preserve">Producto 15: </w:t>
            </w:r>
            <w:r>
              <w:rPr>
                <w:sz w:val="18"/>
                <w:szCs w:val="18"/>
              </w:rPr>
              <w:t>Cuadro comparativo de las normas nacionales e internacionales de Auditoría Interna, sobre: independencia, objetividad y ética del auditor interno.</w:t>
            </w:r>
          </w:p>
        </w:tc>
      </w:tr>
      <w:tr w:rsidR="00990B14" w14:paraId="338893AC" w14:textId="77777777">
        <w:trPr>
          <w:cantSplit/>
          <w:jc w:val="center"/>
        </w:trPr>
        <w:tc>
          <w:tcPr>
            <w:tcW w:w="3133" w:type="dxa"/>
            <w:gridSpan w:val="4"/>
            <w:vMerge/>
            <w:shd w:val="clear" w:color="auto" w:fill="D9E2F3"/>
            <w:vAlign w:val="center"/>
          </w:tcPr>
          <w:p w14:paraId="29011636" w14:textId="77777777" w:rsidR="00990B14" w:rsidRDefault="00990B14">
            <w:pPr>
              <w:spacing w:before="20" w:after="20"/>
            </w:pPr>
          </w:p>
        </w:tc>
        <w:tc>
          <w:tcPr>
            <w:tcW w:w="3135" w:type="dxa"/>
            <w:gridSpan w:val="5"/>
            <w:shd w:val="clear" w:color="auto" w:fill="D9E2F3"/>
            <w:vAlign w:val="center"/>
          </w:tcPr>
          <w:p w14:paraId="29BDE7F7" w14:textId="77777777" w:rsidR="00990B14" w:rsidRDefault="00000000">
            <w:pPr>
              <w:spacing w:before="20" w:after="20"/>
              <w:jc w:val="both"/>
            </w:pPr>
            <w:r>
              <w:rPr>
                <w:sz w:val="18"/>
                <w:szCs w:val="18"/>
              </w:rPr>
              <w:t>2.2 Resuelve dilemas de independencia, objetividad y ética del Auditor Interno, según Normas Globales y Normas de Auditoría Interna en Bolivia.</w:t>
            </w:r>
          </w:p>
        </w:tc>
        <w:tc>
          <w:tcPr>
            <w:tcW w:w="3137" w:type="dxa"/>
            <w:gridSpan w:val="4"/>
            <w:shd w:val="clear" w:color="auto" w:fill="D9E2F3"/>
            <w:vAlign w:val="center"/>
          </w:tcPr>
          <w:p w14:paraId="7578BA1B" w14:textId="77777777" w:rsidR="00990B14" w:rsidRDefault="00000000">
            <w:pPr>
              <w:spacing w:before="20" w:after="20"/>
              <w:jc w:val="both"/>
            </w:pPr>
            <w:r>
              <w:rPr>
                <w:b/>
                <w:bCs/>
                <w:sz w:val="18"/>
                <w:szCs w:val="18"/>
              </w:rPr>
              <w:t xml:space="preserve">Producto 16: </w:t>
            </w:r>
            <w:r>
              <w:rPr>
                <w:sz w:val="18"/>
                <w:szCs w:val="18"/>
              </w:rPr>
              <w:t>Informe sobre casos de dilemas sobre independencia, objetividad y ética del Auditor Interno.</w:t>
            </w:r>
          </w:p>
        </w:tc>
      </w:tr>
      <w:tr w:rsidR="00990B14" w14:paraId="2A0B9F31" w14:textId="77777777">
        <w:trPr>
          <w:cantSplit/>
          <w:jc w:val="center"/>
        </w:trPr>
        <w:tc>
          <w:tcPr>
            <w:tcW w:w="9405" w:type="dxa"/>
            <w:gridSpan w:val="13"/>
            <w:shd w:val="clear" w:color="auto" w:fill="4472C4"/>
            <w:vAlign w:val="center"/>
          </w:tcPr>
          <w:p w14:paraId="1995FCB0" w14:textId="77777777" w:rsidR="00990B14" w:rsidRDefault="00000000">
            <w:pPr>
              <w:keepNext/>
              <w:spacing w:before="20" w:after="20"/>
              <w:jc w:val="center"/>
            </w:pPr>
            <w:r>
              <w:rPr>
                <w:b/>
                <w:bCs/>
                <w:i/>
                <w:iCs/>
                <w:color w:val="FFFFFF"/>
                <w:sz w:val="18"/>
                <w:szCs w:val="18"/>
              </w:rPr>
              <w:t>Evidencias de conocimiento</w:t>
            </w:r>
          </w:p>
        </w:tc>
      </w:tr>
      <w:tr w:rsidR="00990B14" w14:paraId="3E09996B" w14:textId="77777777">
        <w:trPr>
          <w:cantSplit/>
          <w:jc w:val="center"/>
        </w:trPr>
        <w:tc>
          <w:tcPr>
            <w:tcW w:w="2349" w:type="dxa"/>
            <w:gridSpan w:val="2"/>
            <w:shd w:val="clear" w:color="auto" w:fill="4472C4"/>
            <w:vAlign w:val="center"/>
          </w:tcPr>
          <w:p w14:paraId="1AE6D792"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24E8BB6E" w14:textId="77777777" w:rsidR="00990B14" w:rsidRDefault="00000000">
            <w:pPr>
              <w:keepNext/>
              <w:spacing w:before="20" w:after="20"/>
              <w:jc w:val="both"/>
            </w:pPr>
            <w:r>
              <w:rPr>
                <w:b/>
                <w:bCs/>
                <w:i/>
                <w:iCs/>
                <w:color w:val="FFFFFF"/>
                <w:sz w:val="18"/>
                <w:szCs w:val="18"/>
              </w:rPr>
              <w:t>Contenidos</w:t>
            </w:r>
          </w:p>
          <w:p w14:paraId="0F6B3811"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1F529422" w14:textId="77777777" w:rsidR="00990B14" w:rsidRDefault="00000000">
            <w:pPr>
              <w:keepNext/>
              <w:spacing w:before="20" w:after="20"/>
              <w:jc w:val="center"/>
            </w:pPr>
            <w:r>
              <w:rPr>
                <w:b/>
                <w:bCs/>
                <w:i/>
                <w:iCs/>
                <w:color w:val="FFFFFF"/>
                <w:sz w:val="18"/>
                <w:szCs w:val="18"/>
              </w:rPr>
              <w:t>Conocimientos circunstanciales</w:t>
            </w:r>
          </w:p>
        </w:tc>
      </w:tr>
      <w:tr w:rsidR="00990B14" w14:paraId="135C0BB0" w14:textId="77777777">
        <w:trPr>
          <w:jc w:val="center"/>
        </w:trPr>
        <w:tc>
          <w:tcPr>
            <w:tcW w:w="2349" w:type="dxa"/>
            <w:gridSpan w:val="2"/>
            <w:shd w:val="clear" w:color="auto" w:fill="D9E2F3"/>
          </w:tcPr>
          <w:p w14:paraId="114F7923" w14:textId="77777777" w:rsidR="00990B14" w:rsidRDefault="00000000">
            <w:pPr>
              <w:spacing w:before="20" w:after="40"/>
              <w:jc w:val="both"/>
            </w:pPr>
            <w:r>
              <w:rPr>
                <w:b/>
                <w:bCs/>
                <w:sz w:val="18"/>
                <w:szCs w:val="18"/>
              </w:rPr>
              <w:t>Tema 7. La Unidad de Auditoría Interna: Organización, Funciones y Marco Normativo</w:t>
            </w:r>
          </w:p>
        </w:tc>
        <w:tc>
          <w:tcPr>
            <w:tcW w:w="4304" w:type="dxa"/>
            <w:gridSpan w:val="8"/>
            <w:shd w:val="clear" w:color="auto" w:fill="D9E2F3"/>
          </w:tcPr>
          <w:p w14:paraId="30E6F055" w14:textId="77777777" w:rsidR="00990B14" w:rsidRDefault="00000000">
            <w:pPr>
              <w:spacing w:after="40"/>
              <w:jc w:val="both"/>
            </w:pPr>
            <w:r>
              <w:rPr>
                <w:sz w:val="18"/>
                <w:szCs w:val="18"/>
              </w:rPr>
              <w:t>Naturaleza, propósito y evolución de la Auditoría Interna. (C)</w:t>
            </w:r>
          </w:p>
          <w:p w14:paraId="269EC4B2" w14:textId="77777777" w:rsidR="00990B14" w:rsidRDefault="00000000">
            <w:pPr>
              <w:spacing w:after="40"/>
              <w:jc w:val="both"/>
            </w:pPr>
            <w:r>
              <w:rPr>
                <w:sz w:val="18"/>
                <w:szCs w:val="18"/>
              </w:rPr>
              <w:t>Organización, estructura, dependencia, autoridad y responsabilidades de la UAI. (C)</w:t>
            </w:r>
          </w:p>
          <w:p w14:paraId="33ECB602" w14:textId="77777777" w:rsidR="00990B14" w:rsidRDefault="00000000">
            <w:pPr>
              <w:spacing w:after="40"/>
              <w:jc w:val="both"/>
            </w:pPr>
            <w:r>
              <w:rPr>
                <w:sz w:val="18"/>
                <w:szCs w:val="18"/>
              </w:rPr>
              <w:t>Independencia, objetividad, ética y competencia profesional. (C, A)</w:t>
            </w:r>
          </w:p>
          <w:p w14:paraId="1B0F404C" w14:textId="77777777" w:rsidR="00990B14" w:rsidRDefault="00000000">
            <w:pPr>
              <w:spacing w:after="40"/>
              <w:jc w:val="both"/>
            </w:pPr>
            <w:r>
              <w:rPr>
                <w:sz w:val="18"/>
                <w:szCs w:val="18"/>
              </w:rPr>
              <w:t>Funciones de aseguramiento, asesoramiento y evaluación del gobierno, riesgos y controles. (C, P)</w:t>
            </w:r>
          </w:p>
          <w:p w14:paraId="332267B8" w14:textId="77777777" w:rsidR="00990B14" w:rsidRDefault="00000000">
            <w:pPr>
              <w:spacing w:after="40"/>
              <w:jc w:val="both"/>
            </w:pPr>
            <w:r>
              <w:rPr>
                <w:sz w:val="18"/>
                <w:szCs w:val="18"/>
              </w:rPr>
              <w:t>Marco Internacional y Normas Globales de Auditoría Interna. (C)</w:t>
            </w:r>
          </w:p>
          <w:p w14:paraId="49F1DBF4" w14:textId="77777777" w:rsidR="00990B14" w:rsidRDefault="00000000">
            <w:pPr>
              <w:spacing w:after="40"/>
              <w:jc w:val="both"/>
            </w:pPr>
            <w:r>
              <w:rPr>
                <w:sz w:val="18"/>
                <w:szCs w:val="18"/>
              </w:rPr>
              <w:t>Normas para el Ejercicio de la Auditoría Interna. (C)</w:t>
            </w:r>
          </w:p>
          <w:p w14:paraId="5E8FFEDF" w14:textId="77777777" w:rsidR="00990B14" w:rsidRDefault="00000000">
            <w:pPr>
              <w:spacing w:after="40"/>
              <w:jc w:val="both"/>
            </w:pPr>
            <w:r>
              <w:rPr>
                <w:sz w:val="18"/>
                <w:szCs w:val="18"/>
              </w:rPr>
              <w:t>Políticas de evaluación de calidad y mejora continua de la Auditoría Interna. (C, P)</w:t>
            </w:r>
          </w:p>
        </w:tc>
        <w:tc>
          <w:tcPr>
            <w:tcW w:w="2752" w:type="dxa"/>
            <w:gridSpan w:val="3"/>
            <w:shd w:val="clear" w:color="auto" w:fill="D9E2F3"/>
          </w:tcPr>
          <w:p w14:paraId="5531AC0B" w14:textId="77777777" w:rsidR="00990B14" w:rsidRDefault="00000000">
            <w:pPr>
              <w:numPr>
                <w:ilvl w:val="0"/>
                <w:numId w:val="139"/>
              </w:numPr>
              <w:spacing w:before="10" w:after="10"/>
              <w:jc w:val="both"/>
            </w:pPr>
            <w:r>
              <w:rPr>
                <w:sz w:val="18"/>
                <w:szCs w:val="18"/>
              </w:rPr>
              <w:t>Normativa de la ASFI y la APS sobre control interno, gestión de riesgos y la Auditoría Interna en entidades financieras y de seguros.</w:t>
            </w:r>
          </w:p>
          <w:p w14:paraId="6DA20593" w14:textId="77777777" w:rsidR="00990B14" w:rsidRDefault="00000000">
            <w:pPr>
              <w:numPr>
                <w:ilvl w:val="0"/>
                <w:numId w:val="139"/>
              </w:numPr>
              <w:spacing w:before="10" w:after="10"/>
              <w:jc w:val="both"/>
            </w:pPr>
            <w:r>
              <w:rPr>
                <w:sz w:val="18"/>
                <w:szCs w:val="18"/>
              </w:rPr>
              <w:t>D.S 23215 de atribuciones de la Contraloría General del Estado como ente rector del control y la Auditoría Interna.</w:t>
            </w:r>
          </w:p>
          <w:p w14:paraId="7BBCC199" w14:textId="77777777" w:rsidR="00990B14" w:rsidRDefault="00000000">
            <w:pPr>
              <w:numPr>
                <w:ilvl w:val="0"/>
                <w:numId w:val="139"/>
              </w:numPr>
              <w:spacing w:before="10" w:after="10"/>
              <w:jc w:val="both"/>
            </w:pPr>
            <w:r>
              <w:rPr>
                <w:sz w:val="18"/>
                <w:szCs w:val="18"/>
              </w:rPr>
              <w:t>Ley N.º 1178 y el Régimen de Responsabilidad por la Función Pública y la Auditoría Interna gubernamental.</w:t>
            </w:r>
          </w:p>
        </w:tc>
      </w:tr>
      <w:tr w:rsidR="00990B14" w14:paraId="21564040" w14:textId="77777777">
        <w:trPr>
          <w:cantSplit/>
          <w:jc w:val="center"/>
        </w:trPr>
        <w:tc>
          <w:tcPr>
            <w:tcW w:w="9405" w:type="dxa"/>
            <w:gridSpan w:val="13"/>
            <w:shd w:val="clear" w:color="auto" w:fill="D9E2F3"/>
            <w:vAlign w:val="center"/>
          </w:tcPr>
          <w:p w14:paraId="4D391137" w14:textId="77777777" w:rsidR="00990B14" w:rsidRDefault="00000000">
            <w:pPr>
              <w:spacing w:before="20" w:after="20"/>
              <w:jc w:val="both"/>
            </w:pPr>
            <w:r>
              <w:rPr>
                <w:b/>
                <w:bCs/>
                <w:i/>
                <w:iCs/>
                <w:sz w:val="18"/>
                <w:szCs w:val="18"/>
              </w:rPr>
              <w:t xml:space="preserve">Elemento de competencia 5: </w:t>
            </w:r>
            <w:r>
              <w:rPr>
                <w:sz w:val="18"/>
                <w:szCs w:val="18"/>
              </w:rPr>
              <w:t>Comprende y aplica los fundamentos de planificación estratégica y operativa de las Unidades de Auditoría Interna, mediante el conocimiento organizacional y la evaluación de riesgos, para formular propuestas básicas de planes estratégicos y programas operativos anuales.</w:t>
            </w:r>
          </w:p>
        </w:tc>
      </w:tr>
      <w:tr w:rsidR="00990B14" w14:paraId="2C5FAAA3" w14:textId="77777777">
        <w:trPr>
          <w:cantSplit/>
          <w:jc w:val="center"/>
        </w:trPr>
        <w:tc>
          <w:tcPr>
            <w:tcW w:w="3133" w:type="dxa"/>
            <w:gridSpan w:val="4"/>
            <w:shd w:val="clear" w:color="auto" w:fill="4472C4"/>
            <w:vAlign w:val="center"/>
          </w:tcPr>
          <w:p w14:paraId="04EBA5DB"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5F46646D"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2A878756" w14:textId="77777777" w:rsidR="00990B14" w:rsidRDefault="00000000">
            <w:pPr>
              <w:keepNext/>
              <w:spacing w:before="20" w:after="20"/>
              <w:jc w:val="center"/>
            </w:pPr>
            <w:r>
              <w:rPr>
                <w:b/>
                <w:bCs/>
                <w:i/>
                <w:iCs/>
                <w:color w:val="FFFFFF"/>
                <w:sz w:val="18"/>
                <w:szCs w:val="18"/>
              </w:rPr>
              <w:t>Evidencias de producto</w:t>
            </w:r>
          </w:p>
        </w:tc>
      </w:tr>
      <w:tr w:rsidR="00990B14" w14:paraId="3C3C7AD4" w14:textId="77777777">
        <w:trPr>
          <w:cantSplit/>
          <w:jc w:val="center"/>
        </w:trPr>
        <w:tc>
          <w:tcPr>
            <w:tcW w:w="3133" w:type="dxa"/>
            <w:gridSpan w:val="4"/>
            <w:vMerge w:val="restart"/>
            <w:shd w:val="clear" w:color="auto" w:fill="D9E2F3"/>
            <w:vAlign w:val="center"/>
          </w:tcPr>
          <w:p w14:paraId="6D21F220" w14:textId="77777777" w:rsidR="00990B14" w:rsidRDefault="00000000">
            <w:pPr>
              <w:spacing w:before="20" w:after="20"/>
              <w:jc w:val="both"/>
            </w:pPr>
            <w:r>
              <w:rPr>
                <w:sz w:val="18"/>
                <w:szCs w:val="18"/>
              </w:rPr>
              <w:t>1. Formula el Plan Estratégico de una Unidad de Auditoría Interna a partir del conocimiento de la entidad y de la valoración de sus riesgos, definiendo objetivos, estrategias y prioridades.</w:t>
            </w:r>
          </w:p>
        </w:tc>
        <w:tc>
          <w:tcPr>
            <w:tcW w:w="3135" w:type="dxa"/>
            <w:gridSpan w:val="5"/>
            <w:shd w:val="clear" w:color="auto" w:fill="D9E2F3"/>
            <w:vAlign w:val="center"/>
          </w:tcPr>
          <w:p w14:paraId="4A529755" w14:textId="77777777" w:rsidR="00990B14" w:rsidRDefault="00000000">
            <w:pPr>
              <w:spacing w:before="20" w:after="20"/>
              <w:jc w:val="both"/>
            </w:pPr>
            <w:r>
              <w:rPr>
                <w:sz w:val="18"/>
                <w:szCs w:val="18"/>
              </w:rPr>
              <w:t>1.1 Analiza la estructura, objetivos, procesos y operaciones de la organización y valora los riesgos para una adecuada cobertura de control interno, que oriente la planificación.</w:t>
            </w:r>
          </w:p>
        </w:tc>
        <w:tc>
          <w:tcPr>
            <w:tcW w:w="3137" w:type="dxa"/>
            <w:gridSpan w:val="4"/>
            <w:shd w:val="clear" w:color="auto" w:fill="D9E2F3"/>
            <w:vAlign w:val="center"/>
          </w:tcPr>
          <w:p w14:paraId="5D846C52" w14:textId="77777777" w:rsidR="00990B14" w:rsidRDefault="00000000">
            <w:pPr>
              <w:spacing w:before="20" w:after="20"/>
              <w:jc w:val="both"/>
            </w:pPr>
            <w:r>
              <w:rPr>
                <w:b/>
                <w:bCs/>
                <w:sz w:val="18"/>
                <w:szCs w:val="18"/>
              </w:rPr>
              <w:t xml:space="preserve">Producto 17: </w:t>
            </w:r>
            <w:r>
              <w:rPr>
                <w:sz w:val="18"/>
                <w:szCs w:val="18"/>
              </w:rPr>
              <w:t>Informe de relevamiento y valoración de riesgos, para una adecuada cobertura del control interno.</w:t>
            </w:r>
          </w:p>
        </w:tc>
      </w:tr>
      <w:tr w:rsidR="00990B14" w14:paraId="5AC98B15" w14:textId="77777777">
        <w:trPr>
          <w:cantSplit/>
          <w:jc w:val="center"/>
        </w:trPr>
        <w:tc>
          <w:tcPr>
            <w:tcW w:w="3133" w:type="dxa"/>
            <w:gridSpan w:val="4"/>
            <w:vMerge/>
            <w:shd w:val="clear" w:color="auto" w:fill="D9E2F3"/>
            <w:vAlign w:val="center"/>
          </w:tcPr>
          <w:p w14:paraId="7740E636" w14:textId="77777777" w:rsidR="00990B14" w:rsidRDefault="00990B14">
            <w:pPr>
              <w:spacing w:before="20" w:after="20"/>
            </w:pPr>
          </w:p>
        </w:tc>
        <w:tc>
          <w:tcPr>
            <w:tcW w:w="3135" w:type="dxa"/>
            <w:gridSpan w:val="5"/>
            <w:shd w:val="clear" w:color="auto" w:fill="D9E2F3"/>
            <w:vAlign w:val="center"/>
          </w:tcPr>
          <w:p w14:paraId="0FCCA599" w14:textId="77777777" w:rsidR="00990B14" w:rsidRDefault="00000000">
            <w:pPr>
              <w:spacing w:before="20" w:after="20"/>
              <w:jc w:val="both"/>
            </w:pPr>
            <w:r>
              <w:rPr>
                <w:sz w:val="18"/>
                <w:szCs w:val="18"/>
              </w:rPr>
              <w:t>1.2 Formula el Plan Estratégico de la Unidad de Auditoría Interna, considerando: objetivos, estrategias, prioridades y la asignación de recursos.</w:t>
            </w:r>
          </w:p>
        </w:tc>
        <w:tc>
          <w:tcPr>
            <w:tcW w:w="3137" w:type="dxa"/>
            <w:gridSpan w:val="4"/>
            <w:shd w:val="clear" w:color="auto" w:fill="D9E2F3"/>
            <w:vAlign w:val="center"/>
          </w:tcPr>
          <w:p w14:paraId="38F99B5A" w14:textId="77777777" w:rsidR="00990B14" w:rsidRDefault="00000000">
            <w:pPr>
              <w:spacing w:before="20" w:after="20"/>
              <w:jc w:val="both"/>
            </w:pPr>
            <w:r>
              <w:rPr>
                <w:b/>
                <w:bCs/>
                <w:sz w:val="18"/>
                <w:szCs w:val="18"/>
              </w:rPr>
              <w:t xml:space="preserve">Producto 18: </w:t>
            </w:r>
            <w:r>
              <w:rPr>
                <w:sz w:val="18"/>
                <w:szCs w:val="18"/>
              </w:rPr>
              <w:t>Documento del Plan Estratégico de la Unidad de Auditoría Interna.</w:t>
            </w:r>
          </w:p>
        </w:tc>
      </w:tr>
      <w:tr w:rsidR="00990B14" w14:paraId="0A65A4CC" w14:textId="77777777">
        <w:trPr>
          <w:cantSplit/>
          <w:jc w:val="center"/>
        </w:trPr>
        <w:tc>
          <w:tcPr>
            <w:tcW w:w="3133" w:type="dxa"/>
            <w:gridSpan w:val="4"/>
            <w:vMerge w:val="restart"/>
            <w:shd w:val="clear" w:color="auto" w:fill="D9E2F3"/>
            <w:vAlign w:val="center"/>
          </w:tcPr>
          <w:p w14:paraId="00E99819" w14:textId="77777777" w:rsidR="00990B14" w:rsidRDefault="00000000">
            <w:pPr>
              <w:spacing w:before="20" w:after="20"/>
              <w:jc w:val="both"/>
            </w:pPr>
            <w:r>
              <w:rPr>
                <w:sz w:val="18"/>
                <w:szCs w:val="18"/>
              </w:rPr>
              <w:t>2. Elabora el Programa Operativo Anual de la Unidad de Auditoría Interna, en consistencia con el Plan Estratégico y priorizando los trabajos de auditoría, con criterios de objetividad y valoración del riesgo.</w:t>
            </w:r>
          </w:p>
        </w:tc>
        <w:tc>
          <w:tcPr>
            <w:tcW w:w="3135" w:type="dxa"/>
            <w:gridSpan w:val="5"/>
            <w:shd w:val="clear" w:color="auto" w:fill="D9E2F3"/>
            <w:vAlign w:val="center"/>
          </w:tcPr>
          <w:p w14:paraId="1C7CA70A" w14:textId="77777777" w:rsidR="00990B14" w:rsidRDefault="00000000">
            <w:pPr>
              <w:spacing w:before="20" w:after="20"/>
              <w:jc w:val="both"/>
            </w:pPr>
            <w:r>
              <w:rPr>
                <w:sz w:val="18"/>
                <w:szCs w:val="18"/>
              </w:rPr>
              <w:t>2.1 Selecciona y prioriza los trabajos de auditoría para su inclusión en el Programa Operativo Anual, según el nivel de riesgo y la capacidad operativa de la unidad.</w:t>
            </w:r>
          </w:p>
        </w:tc>
        <w:tc>
          <w:tcPr>
            <w:tcW w:w="3137" w:type="dxa"/>
            <w:gridSpan w:val="4"/>
            <w:shd w:val="clear" w:color="auto" w:fill="D9E2F3"/>
            <w:vAlign w:val="center"/>
          </w:tcPr>
          <w:p w14:paraId="7520E7B3" w14:textId="77777777" w:rsidR="00990B14" w:rsidRDefault="00000000">
            <w:pPr>
              <w:spacing w:before="20" w:after="20"/>
              <w:jc w:val="both"/>
            </w:pPr>
            <w:r>
              <w:rPr>
                <w:b/>
                <w:bCs/>
                <w:sz w:val="18"/>
                <w:szCs w:val="18"/>
              </w:rPr>
              <w:t xml:space="preserve">Producto 19: </w:t>
            </w:r>
            <w:r>
              <w:rPr>
                <w:sz w:val="18"/>
                <w:szCs w:val="18"/>
              </w:rPr>
              <w:t>Cuadro de selección y priorización de trabajos de auditoría, bajo criterios de nivel de riesgo.</w:t>
            </w:r>
          </w:p>
        </w:tc>
      </w:tr>
      <w:tr w:rsidR="00990B14" w14:paraId="7126E444" w14:textId="77777777">
        <w:trPr>
          <w:cantSplit/>
          <w:jc w:val="center"/>
        </w:trPr>
        <w:tc>
          <w:tcPr>
            <w:tcW w:w="3133" w:type="dxa"/>
            <w:gridSpan w:val="4"/>
            <w:vMerge/>
            <w:shd w:val="clear" w:color="auto" w:fill="D9E2F3"/>
            <w:vAlign w:val="center"/>
          </w:tcPr>
          <w:p w14:paraId="786FCB0C" w14:textId="77777777" w:rsidR="00990B14" w:rsidRDefault="00990B14">
            <w:pPr>
              <w:spacing w:before="20" w:after="20"/>
            </w:pPr>
          </w:p>
        </w:tc>
        <w:tc>
          <w:tcPr>
            <w:tcW w:w="3135" w:type="dxa"/>
            <w:gridSpan w:val="5"/>
            <w:shd w:val="clear" w:color="auto" w:fill="D9E2F3"/>
            <w:vAlign w:val="center"/>
          </w:tcPr>
          <w:p w14:paraId="73CD7A40" w14:textId="77777777" w:rsidR="00990B14" w:rsidRDefault="00000000">
            <w:pPr>
              <w:spacing w:before="20" w:after="20"/>
              <w:jc w:val="both"/>
            </w:pPr>
            <w:r>
              <w:rPr>
                <w:sz w:val="18"/>
                <w:szCs w:val="18"/>
              </w:rPr>
              <w:t>2.2 Elabora el Programa Operativo Anual de Auditoría Interna, estableciendo objetivos, auditorías programadas, cronograma, recursos, asignación de horas y responsables.</w:t>
            </w:r>
          </w:p>
        </w:tc>
        <w:tc>
          <w:tcPr>
            <w:tcW w:w="3137" w:type="dxa"/>
            <w:gridSpan w:val="4"/>
            <w:shd w:val="clear" w:color="auto" w:fill="D9E2F3"/>
            <w:vAlign w:val="center"/>
          </w:tcPr>
          <w:p w14:paraId="2CD7E2DC" w14:textId="77777777" w:rsidR="00990B14" w:rsidRDefault="00000000">
            <w:pPr>
              <w:spacing w:before="20" w:after="20"/>
              <w:jc w:val="both"/>
            </w:pPr>
            <w:r>
              <w:rPr>
                <w:b/>
                <w:bCs/>
                <w:sz w:val="18"/>
                <w:szCs w:val="18"/>
              </w:rPr>
              <w:t xml:space="preserve">Producto 20: </w:t>
            </w:r>
            <w:r>
              <w:rPr>
                <w:sz w:val="18"/>
                <w:szCs w:val="18"/>
              </w:rPr>
              <w:t>Documento del Programa Operativo Anual de la Unidad de Auditoría Interna.</w:t>
            </w:r>
          </w:p>
        </w:tc>
      </w:tr>
      <w:tr w:rsidR="00990B14" w14:paraId="0B6E4311" w14:textId="77777777">
        <w:trPr>
          <w:cantSplit/>
          <w:jc w:val="center"/>
        </w:trPr>
        <w:tc>
          <w:tcPr>
            <w:tcW w:w="9405" w:type="dxa"/>
            <w:gridSpan w:val="13"/>
            <w:shd w:val="clear" w:color="auto" w:fill="4472C4"/>
            <w:vAlign w:val="center"/>
          </w:tcPr>
          <w:p w14:paraId="7C0FF671" w14:textId="77777777" w:rsidR="00990B14" w:rsidRDefault="00000000">
            <w:pPr>
              <w:keepNext/>
              <w:spacing w:before="20" w:after="20"/>
              <w:jc w:val="center"/>
            </w:pPr>
            <w:r>
              <w:rPr>
                <w:b/>
                <w:bCs/>
                <w:i/>
                <w:iCs/>
                <w:color w:val="FFFFFF"/>
                <w:sz w:val="18"/>
                <w:szCs w:val="18"/>
              </w:rPr>
              <w:t>Evidencias de conocimiento</w:t>
            </w:r>
          </w:p>
        </w:tc>
      </w:tr>
      <w:tr w:rsidR="00990B14" w14:paraId="06B08247" w14:textId="77777777">
        <w:trPr>
          <w:cantSplit/>
          <w:jc w:val="center"/>
        </w:trPr>
        <w:tc>
          <w:tcPr>
            <w:tcW w:w="2349" w:type="dxa"/>
            <w:gridSpan w:val="2"/>
            <w:shd w:val="clear" w:color="auto" w:fill="4472C4"/>
            <w:vAlign w:val="center"/>
          </w:tcPr>
          <w:p w14:paraId="200F99F3"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1191D0A7" w14:textId="77777777" w:rsidR="00990B14" w:rsidRDefault="00000000">
            <w:pPr>
              <w:keepNext/>
              <w:spacing w:before="20" w:after="20"/>
              <w:jc w:val="both"/>
            </w:pPr>
            <w:r>
              <w:rPr>
                <w:b/>
                <w:bCs/>
                <w:i/>
                <w:iCs/>
                <w:color w:val="FFFFFF"/>
                <w:sz w:val="18"/>
                <w:szCs w:val="18"/>
              </w:rPr>
              <w:t>Contenidos</w:t>
            </w:r>
          </w:p>
          <w:p w14:paraId="21FE5430"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34F06DC9" w14:textId="77777777" w:rsidR="00990B14" w:rsidRDefault="00000000">
            <w:pPr>
              <w:keepNext/>
              <w:spacing w:before="20" w:after="20"/>
              <w:jc w:val="center"/>
            </w:pPr>
            <w:r>
              <w:rPr>
                <w:b/>
                <w:bCs/>
                <w:i/>
                <w:iCs/>
                <w:color w:val="FFFFFF"/>
                <w:sz w:val="18"/>
                <w:szCs w:val="18"/>
              </w:rPr>
              <w:t>Conocimientos circunstanciales</w:t>
            </w:r>
          </w:p>
        </w:tc>
      </w:tr>
      <w:tr w:rsidR="00990B14" w14:paraId="5CA05546" w14:textId="77777777">
        <w:trPr>
          <w:jc w:val="center"/>
        </w:trPr>
        <w:tc>
          <w:tcPr>
            <w:tcW w:w="2349" w:type="dxa"/>
            <w:gridSpan w:val="2"/>
            <w:shd w:val="clear" w:color="auto" w:fill="D9E2F3"/>
          </w:tcPr>
          <w:p w14:paraId="3C82917E" w14:textId="77777777" w:rsidR="00990B14" w:rsidRDefault="00000000">
            <w:pPr>
              <w:spacing w:before="20" w:after="40"/>
              <w:jc w:val="both"/>
            </w:pPr>
            <w:r>
              <w:rPr>
                <w:b/>
                <w:bCs/>
                <w:sz w:val="18"/>
                <w:szCs w:val="18"/>
              </w:rPr>
              <w:t>Tema 8. Planificación Estratégica y Programación Operativa Anual de la Unidad de Auditoría Interna</w:t>
            </w:r>
          </w:p>
        </w:tc>
        <w:tc>
          <w:tcPr>
            <w:tcW w:w="4304" w:type="dxa"/>
            <w:gridSpan w:val="8"/>
            <w:shd w:val="clear" w:color="auto" w:fill="D9E2F3"/>
          </w:tcPr>
          <w:p w14:paraId="78147559" w14:textId="77777777" w:rsidR="00990B14" w:rsidRDefault="00000000">
            <w:pPr>
              <w:spacing w:after="40"/>
              <w:jc w:val="both"/>
            </w:pPr>
            <w:r>
              <w:rPr>
                <w:sz w:val="18"/>
                <w:szCs w:val="18"/>
              </w:rPr>
              <w:t>Naturaleza, objetivos e importancia de la planificación de Auditoría Interna. (C)</w:t>
            </w:r>
          </w:p>
          <w:p w14:paraId="43E6CAB9" w14:textId="77777777" w:rsidR="00990B14" w:rsidRDefault="00000000">
            <w:pPr>
              <w:spacing w:after="40"/>
              <w:jc w:val="both"/>
            </w:pPr>
            <w:r>
              <w:rPr>
                <w:sz w:val="18"/>
                <w:szCs w:val="18"/>
              </w:rPr>
              <w:t>Conocimiento organizacional y relevamiento de información. (C, P)</w:t>
            </w:r>
          </w:p>
          <w:p w14:paraId="07FBEA8F" w14:textId="77777777" w:rsidR="00990B14" w:rsidRDefault="00000000">
            <w:pPr>
              <w:spacing w:after="40"/>
              <w:jc w:val="both"/>
            </w:pPr>
            <w:r>
              <w:rPr>
                <w:sz w:val="18"/>
                <w:szCs w:val="18"/>
              </w:rPr>
              <w:t>Cobertura del control interno: institucional, unidades organizacionales, procesos, programas y operaciones. (C)</w:t>
            </w:r>
          </w:p>
          <w:p w14:paraId="66623123" w14:textId="77777777" w:rsidR="00990B14" w:rsidRDefault="00000000">
            <w:pPr>
              <w:spacing w:after="40"/>
              <w:jc w:val="both"/>
            </w:pPr>
            <w:r>
              <w:rPr>
                <w:sz w:val="18"/>
                <w:szCs w:val="18"/>
              </w:rPr>
              <w:t>Identificación, análisis y valoración de riesgos para la planificación. (C, P)</w:t>
            </w:r>
          </w:p>
          <w:p w14:paraId="6003E69A" w14:textId="77777777" w:rsidR="00990B14" w:rsidRDefault="00000000">
            <w:pPr>
              <w:spacing w:after="40"/>
              <w:jc w:val="both"/>
            </w:pPr>
            <w:r>
              <w:rPr>
                <w:sz w:val="18"/>
                <w:szCs w:val="18"/>
              </w:rPr>
              <w:t>Definición de objetivos, estrategias, prioridades y asignación de recursos. (C, P, A)</w:t>
            </w:r>
          </w:p>
          <w:p w14:paraId="10B28873" w14:textId="77777777" w:rsidR="00990B14" w:rsidRDefault="00000000">
            <w:pPr>
              <w:spacing w:after="40"/>
              <w:jc w:val="both"/>
            </w:pPr>
            <w:r>
              <w:rPr>
                <w:sz w:val="18"/>
                <w:szCs w:val="18"/>
              </w:rPr>
              <w:t>Formulación del Plan Estratégico de Auditoría Interna. (C, P)</w:t>
            </w:r>
          </w:p>
          <w:p w14:paraId="2C2969D6" w14:textId="77777777" w:rsidR="00990B14" w:rsidRDefault="00000000">
            <w:pPr>
              <w:spacing w:after="40"/>
              <w:jc w:val="both"/>
            </w:pPr>
            <w:r>
              <w:rPr>
                <w:sz w:val="18"/>
                <w:szCs w:val="18"/>
              </w:rPr>
              <w:t>Elaboración, aprobación y seguimiento del Programa Operativo Anual de Auditoría Interna. (P, T)</w:t>
            </w:r>
          </w:p>
        </w:tc>
        <w:tc>
          <w:tcPr>
            <w:tcW w:w="2752" w:type="dxa"/>
            <w:gridSpan w:val="3"/>
            <w:shd w:val="clear" w:color="auto" w:fill="D9E2F3"/>
          </w:tcPr>
          <w:p w14:paraId="4BCE0A36" w14:textId="77777777" w:rsidR="00990B14" w:rsidRDefault="00000000">
            <w:pPr>
              <w:numPr>
                <w:ilvl w:val="0"/>
                <w:numId w:val="139"/>
              </w:numPr>
              <w:spacing w:before="10" w:after="10"/>
              <w:jc w:val="both"/>
            </w:pPr>
            <w:r>
              <w:rPr>
                <w:sz w:val="18"/>
                <w:szCs w:val="18"/>
              </w:rPr>
              <w:t>Normas sobre planes estratégicos y operativos anuales de las Unidades de Auditoría Interna, de la Contraloría General del Estado.</w:t>
            </w:r>
          </w:p>
          <w:p w14:paraId="3A6AA0CB" w14:textId="77777777" w:rsidR="00990B14" w:rsidRDefault="00000000">
            <w:pPr>
              <w:numPr>
                <w:ilvl w:val="0"/>
                <w:numId w:val="139"/>
              </w:numPr>
              <w:spacing w:before="10" w:after="10"/>
              <w:jc w:val="both"/>
            </w:pPr>
            <w:r>
              <w:rPr>
                <w:sz w:val="18"/>
                <w:szCs w:val="18"/>
              </w:rPr>
              <w:t>Nociones sobre técnicas y herramientas de planificación y programación de actividades: estimación de tiempos, diagramas de Gantt y modelado de procesos (BPMN).</w:t>
            </w:r>
          </w:p>
          <w:p w14:paraId="27A76A28" w14:textId="77777777" w:rsidR="00990B14" w:rsidRDefault="00000000">
            <w:pPr>
              <w:numPr>
                <w:ilvl w:val="0"/>
                <w:numId w:val="139"/>
              </w:numPr>
              <w:spacing w:before="10" w:after="10"/>
              <w:jc w:val="both"/>
            </w:pPr>
            <w:r>
              <w:rPr>
                <w:sz w:val="18"/>
                <w:szCs w:val="18"/>
              </w:rPr>
              <w:t>Métodos de cálculo de la capacidad operativa de las Unidades de Auditoría Interna, considerando horas y recursos humanos</w:t>
            </w:r>
          </w:p>
        </w:tc>
      </w:tr>
      <w:tr w:rsidR="00990B14" w14:paraId="6FA083E5" w14:textId="77777777">
        <w:trPr>
          <w:cantSplit/>
          <w:jc w:val="center"/>
        </w:trPr>
        <w:tc>
          <w:tcPr>
            <w:tcW w:w="9405" w:type="dxa"/>
            <w:gridSpan w:val="13"/>
            <w:shd w:val="clear" w:color="auto" w:fill="D9E2F3"/>
            <w:vAlign w:val="center"/>
          </w:tcPr>
          <w:p w14:paraId="0DF448FB" w14:textId="77777777" w:rsidR="00990B14" w:rsidRDefault="00000000">
            <w:pPr>
              <w:spacing w:before="20" w:after="20"/>
              <w:jc w:val="both"/>
            </w:pPr>
            <w:r>
              <w:rPr>
                <w:b/>
                <w:bCs/>
                <w:i/>
                <w:iCs/>
                <w:sz w:val="18"/>
                <w:szCs w:val="18"/>
              </w:rPr>
              <w:t xml:space="preserve">Elemento de competencia 6: </w:t>
            </w:r>
            <w:r>
              <w:rPr>
                <w:sz w:val="18"/>
                <w:szCs w:val="18"/>
              </w:rPr>
              <w:t>Comprende la naturaleza, características y etapas del proceso de auditoría, mediante el estudio de sus fundamentos conceptuales y metodológicos, así como de los procedimientos de relevamiento, planificación, ejecución, comunicación de resultados y seguimiento, para adquirir las bases necesarias para su aplicación en la Auditoría Interna.</w:t>
            </w:r>
          </w:p>
        </w:tc>
      </w:tr>
      <w:tr w:rsidR="00990B14" w14:paraId="76C3E0E3" w14:textId="77777777">
        <w:trPr>
          <w:cantSplit/>
          <w:jc w:val="center"/>
        </w:trPr>
        <w:tc>
          <w:tcPr>
            <w:tcW w:w="3133" w:type="dxa"/>
            <w:gridSpan w:val="4"/>
            <w:shd w:val="clear" w:color="auto" w:fill="4472C4"/>
            <w:vAlign w:val="center"/>
          </w:tcPr>
          <w:p w14:paraId="7BF0E9AA"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64411A2A"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30959D64" w14:textId="77777777" w:rsidR="00990B14" w:rsidRDefault="00000000">
            <w:pPr>
              <w:keepNext/>
              <w:spacing w:before="20" w:after="20"/>
              <w:jc w:val="center"/>
            </w:pPr>
            <w:r>
              <w:rPr>
                <w:b/>
                <w:bCs/>
                <w:i/>
                <w:iCs/>
                <w:color w:val="FFFFFF"/>
                <w:sz w:val="18"/>
                <w:szCs w:val="18"/>
              </w:rPr>
              <w:t>Evidencias de producto</w:t>
            </w:r>
          </w:p>
        </w:tc>
      </w:tr>
      <w:tr w:rsidR="00990B14" w14:paraId="6EA1912E" w14:textId="77777777">
        <w:trPr>
          <w:cantSplit/>
          <w:jc w:val="center"/>
        </w:trPr>
        <w:tc>
          <w:tcPr>
            <w:tcW w:w="3133" w:type="dxa"/>
            <w:gridSpan w:val="4"/>
            <w:vMerge w:val="restart"/>
            <w:shd w:val="clear" w:color="auto" w:fill="D9E2F3"/>
            <w:vAlign w:val="center"/>
          </w:tcPr>
          <w:p w14:paraId="53976351" w14:textId="77777777" w:rsidR="00990B14" w:rsidRDefault="00000000">
            <w:pPr>
              <w:spacing w:before="20" w:after="20"/>
              <w:jc w:val="both"/>
            </w:pPr>
            <w:r>
              <w:rPr>
                <w:sz w:val="18"/>
                <w:szCs w:val="18"/>
              </w:rPr>
              <w:t>1. Analiza la naturaleza y etapas del proceso de auditoría, consistente en la planificación y elaboración de programas de trabajo y su ejecución a través de la obtención de evidencia y la formulación de hallazgos.</w:t>
            </w:r>
          </w:p>
        </w:tc>
        <w:tc>
          <w:tcPr>
            <w:tcW w:w="3135" w:type="dxa"/>
            <w:gridSpan w:val="5"/>
            <w:shd w:val="clear" w:color="auto" w:fill="D9E2F3"/>
            <w:vAlign w:val="center"/>
          </w:tcPr>
          <w:p w14:paraId="71CA0831" w14:textId="77777777" w:rsidR="00990B14" w:rsidRDefault="00000000">
            <w:pPr>
              <w:spacing w:before="20" w:after="20"/>
              <w:jc w:val="both"/>
            </w:pPr>
            <w:r>
              <w:rPr>
                <w:sz w:val="18"/>
                <w:szCs w:val="18"/>
              </w:rPr>
              <w:t>1.1 Realiza la planificación de la auditoría, identificando: objetivo, objeto, alcance, metodología y marco normativo, incluido el programa de trabajo.</w:t>
            </w:r>
          </w:p>
        </w:tc>
        <w:tc>
          <w:tcPr>
            <w:tcW w:w="3137" w:type="dxa"/>
            <w:gridSpan w:val="4"/>
            <w:shd w:val="clear" w:color="auto" w:fill="D9E2F3"/>
            <w:vAlign w:val="center"/>
          </w:tcPr>
          <w:p w14:paraId="6EA943F9" w14:textId="77777777" w:rsidR="00990B14" w:rsidRDefault="00000000">
            <w:pPr>
              <w:spacing w:before="20" w:after="20"/>
              <w:jc w:val="both"/>
            </w:pPr>
            <w:r>
              <w:rPr>
                <w:b/>
                <w:bCs/>
                <w:sz w:val="18"/>
                <w:szCs w:val="18"/>
              </w:rPr>
              <w:t xml:space="preserve">Producto 21: </w:t>
            </w:r>
            <w:r>
              <w:rPr>
                <w:sz w:val="18"/>
                <w:szCs w:val="18"/>
              </w:rPr>
              <w:t>Documento Memorándum de planificación y programas de trabajo.</w:t>
            </w:r>
          </w:p>
        </w:tc>
      </w:tr>
      <w:tr w:rsidR="00990B14" w14:paraId="4B798611" w14:textId="77777777">
        <w:trPr>
          <w:cantSplit/>
          <w:jc w:val="center"/>
        </w:trPr>
        <w:tc>
          <w:tcPr>
            <w:tcW w:w="3133" w:type="dxa"/>
            <w:gridSpan w:val="4"/>
            <w:vMerge/>
            <w:shd w:val="clear" w:color="auto" w:fill="D9E2F3"/>
            <w:vAlign w:val="center"/>
          </w:tcPr>
          <w:p w14:paraId="474B76F0" w14:textId="77777777" w:rsidR="00990B14" w:rsidRDefault="00990B14">
            <w:pPr>
              <w:spacing w:before="20" w:after="20"/>
            </w:pPr>
          </w:p>
        </w:tc>
        <w:tc>
          <w:tcPr>
            <w:tcW w:w="3135" w:type="dxa"/>
            <w:gridSpan w:val="5"/>
            <w:shd w:val="clear" w:color="auto" w:fill="D9E2F3"/>
            <w:vAlign w:val="center"/>
          </w:tcPr>
          <w:p w14:paraId="351EBE50" w14:textId="77777777" w:rsidR="00990B14" w:rsidRDefault="00000000">
            <w:pPr>
              <w:spacing w:before="20" w:after="20"/>
              <w:jc w:val="both"/>
            </w:pPr>
            <w:r>
              <w:rPr>
                <w:sz w:val="18"/>
                <w:szCs w:val="18"/>
              </w:rPr>
              <w:t>1.2 Aplica procedimientos y técnicas básicas de auditoría para obtener y documentar evidencias, identificando y formulando hallazgos con sus respectivos atributos.</w:t>
            </w:r>
          </w:p>
        </w:tc>
        <w:tc>
          <w:tcPr>
            <w:tcW w:w="3137" w:type="dxa"/>
            <w:gridSpan w:val="4"/>
            <w:shd w:val="clear" w:color="auto" w:fill="D9E2F3"/>
            <w:vAlign w:val="center"/>
          </w:tcPr>
          <w:p w14:paraId="7777D6D4" w14:textId="77777777" w:rsidR="00990B14" w:rsidRDefault="00000000">
            <w:pPr>
              <w:spacing w:before="20" w:after="20"/>
              <w:jc w:val="both"/>
            </w:pPr>
            <w:r>
              <w:rPr>
                <w:b/>
                <w:bCs/>
                <w:sz w:val="18"/>
                <w:szCs w:val="18"/>
              </w:rPr>
              <w:t xml:space="preserve">Producto 22: </w:t>
            </w:r>
            <w:r>
              <w:rPr>
                <w:sz w:val="18"/>
                <w:szCs w:val="18"/>
              </w:rPr>
              <w:t>Documento Papeles de Trabajo y cédulas de hallazgos de auditoría.</w:t>
            </w:r>
          </w:p>
        </w:tc>
      </w:tr>
      <w:tr w:rsidR="00990B14" w14:paraId="64803FA4" w14:textId="77777777">
        <w:trPr>
          <w:cantSplit/>
          <w:jc w:val="center"/>
        </w:trPr>
        <w:tc>
          <w:tcPr>
            <w:tcW w:w="3133" w:type="dxa"/>
            <w:gridSpan w:val="4"/>
            <w:vMerge w:val="restart"/>
            <w:shd w:val="clear" w:color="auto" w:fill="D9E2F3"/>
            <w:vAlign w:val="center"/>
          </w:tcPr>
          <w:p w14:paraId="1019082E" w14:textId="77777777" w:rsidR="00990B14" w:rsidRDefault="00000000">
            <w:pPr>
              <w:spacing w:before="20" w:after="20"/>
              <w:jc w:val="both"/>
            </w:pPr>
            <w:r>
              <w:rPr>
                <w:sz w:val="18"/>
                <w:szCs w:val="18"/>
              </w:rPr>
              <w:t>2. Elabora informes de auditoría, formulando conclusiones y recomendaciones, sustentados en evidencias y papeles de trabajo, y realiza el seguimiento a las recomendaciones.</w:t>
            </w:r>
          </w:p>
        </w:tc>
        <w:tc>
          <w:tcPr>
            <w:tcW w:w="3135" w:type="dxa"/>
            <w:gridSpan w:val="5"/>
            <w:shd w:val="clear" w:color="auto" w:fill="D9E2F3"/>
            <w:vAlign w:val="center"/>
          </w:tcPr>
          <w:p w14:paraId="2B5B838F" w14:textId="77777777" w:rsidR="00990B14" w:rsidRDefault="00000000">
            <w:pPr>
              <w:spacing w:before="20" w:after="20"/>
              <w:jc w:val="both"/>
            </w:pPr>
            <w:r>
              <w:rPr>
                <w:sz w:val="18"/>
                <w:szCs w:val="18"/>
              </w:rPr>
              <w:t>2.1 Emite informes de auditoría, formulando conclusiones y recomendaciones sustentadas en los hallazgos y evidencias obtenidas.</w:t>
            </w:r>
          </w:p>
        </w:tc>
        <w:tc>
          <w:tcPr>
            <w:tcW w:w="3137" w:type="dxa"/>
            <w:gridSpan w:val="4"/>
            <w:shd w:val="clear" w:color="auto" w:fill="D9E2F3"/>
            <w:vAlign w:val="center"/>
          </w:tcPr>
          <w:p w14:paraId="70D2DD49" w14:textId="77777777" w:rsidR="00990B14" w:rsidRDefault="00000000">
            <w:pPr>
              <w:spacing w:before="20" w:after="20"/>
              <w:jc w:val="both"/>
            </w:pPr>
            <w:r>
              <w:rPr>
                <w:b/>
                <w:bCs/>
                <w:sz w:val="18"/>
                <w:szCs w:val="18"/>
              </w:rPr>
              <w:t xml:space="preserve">Producto 23: </w:t>
            </w:r>
            <w:r>
              <w:rPr>
                <w:sz w:val="18"/>
                <w:szCs w:val="18"/>
              </w:rPr>
              <w:t>Informe de auditoría con conclusiones y recomendaciones.</w:t>
            </w:r>
          </w:p>
        </w:tc>
      </w:tr>
      <w:tr w:rsidR="00990B14" w14:paraId="4217F44A" w14:textId="77777777">
        <w:trPr>
          <w:cantSplit/>
          <w:jc w:val="center"/>
        </w:trPr>
        <w:tc>
          <w:tcPr>
            <w:tcW w:w="3133" w:type="dxa"/>
            <w:gridSpan w:val="4"/>
            <w:vMerge/>
            <w:shd w:val="clear" w:color="auto" w:fill="D9E2F3"/>
            <w:vAlign w:val="center"/>
          </w:tcPr>
          <w:p w14:paraId="271655D0" w14:textId="77777777" w:rsidR="00990B14" w:rsidRDefault="00990B14">
            <w:pPr>
              <w:spacing w:before="20" w:after="20"/>
            </w:pPr>
          </w:p>
        </w:tc>
        <w:tc>
          <w:tcPr>
            <w:tcW w:w="3135" w:type="dxa"/>
            <w:gridSpan w:val="5"/>
            <w:shd w:val="clear" w:color="auto" w:fill="D9E2F3"/>
            <w:vAlign w:val="center"/>
          </w:tcPr>
          <w:p w14:paraId="1EE6E13C" w14:textId="77777777" w:rsidR="00990B14" w:rsidRDefault="00000000">
            <w:pPr>
              <w:spacing w:before="20" w:after="20"/>
              <w:jc w:val="both"/>
            </w:pPr>
            <w:r>
              <w:rPr>
                <w:sz w:val="18"/>
                <w:szCs w:val="18"/>
              </w:rPr>
              <w:t>2.2 Emite informes de seguimiento para evaluar el cumplimiento de las recomendaciones de auditoría, considerando planes de acción, responsables y plazos.</w:t>
            </w:r>
          </w:p>
        </w:tc>
        <w:tc>
          <w:tcPr>
            <w:tcW w:w="3137" w:type="dxa"/>
            <w:gridSpan w:val="4"/>
            <w:shd w:val="clear" w:color="auto" w:fill="D9E2F3"/>
            <w:vAlign w:val="center"/>
          </w:tcPr>
          <w:p w14:paraId="1A5B7804" w14:textId="77777777" w:rsidR="00990B14" w:rsidRDefault="00000000">
            <w:pPr>
              <w:spacing w:before="20" w:after="20"/>
              <w:jc w:val="both"/>
            </w:pPr>
            <w:r>
              <w:rPr>
                <w:b/>
                <w:bCs/>
                <w:sz w:val="18"/>
                <w:szCs w:val="18"/>
              </w:rPr>
              <w:t xml:space="preserve">Producto 24: </w:t>
            </w:r>
            <w:r>
              <w:rPr>
                <w:sz w:val="18"/>
                <w:szCs w:val="18"/>
              </w:rPr>
              <w:t>Informe de seguimiento al cumplimiento de recomendaciones.</w:t>
            </w:r>
          </w:p>
        </w:tc>
      </w:tr>
      <w:tr w:rsidR="00990B14" w14:paraId="208FCD54" w14:textId="77777777">
        <w:trPr>
          <w:cantSplit/>
          <w:jc w:val="center"/>
        </w:trPr>
        <w:tc>
          <w:tcPr>
            <w:tcW w:w="9405" w:type="dxa"/>
            <w:gridSpan w:val="13"/>
            <w:shd w:val="clear" w:color="auto" w:fill="4472C4"/>
            <w:vAlign w:val="center"/>
          </w:tcPr>
          <w:p w14:paraId="2C03959F" w14:textId="77777777" w:rsidR="00990B14" w:rsidRDefault="00000000">
            <w:pPr>
              <w:keepNext/>
              <w:spacing w:before="20" w:after="20"/>
              <w:jc w:val="center"/>
            </w:pPr>
            <w:r>
              <w:rPr>
                <w:b/>
                <w:bCs/>
                <w:i/>
                <w:iCs/>
                <w:color w:val="FFFFFF"/>
                <w:sz w:val="18"/>
                <w:szCs w:val="18"/>
              </w:rPr>
              <w:t>Evidencias de conocimiento</w:t>
            </w:r>
          </w:p>
        </w:tc>
      </w:tr>
      <w:tr w:rsidR="00990B14" w14:paraId="5618E02A" w14:textId="77777777">
        <w:trPr>
          <w:cantSplit/>
          <w:jc w:val="center"/>
        </w:trPr>
        <w:tc>
          <w:tcPr>
            <w:tcW w:w="2349" w:type="dxa"/>
            <w:gridSpan w:val="2"/>
            <w:shd w:val="clear" w:color="auto" w:fill="4472C4"/>
            <w:vAlign w:val="center"/>
          </w:tcPr>
          <w:p w14:paraId="47C4DDD1"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667E6DA5" w14:textId="77777777" w:rsidR="00990B14" w:rsidRDefault="00000000">
            <w:pPr>
              <w:keepNext/>
              <w:spacing w:before="20" w:after="20"/>
              <w:jc w:val="both"/>
            </w:pPr>
            <w:r>
              <w:rPr>
                <w:b/>
                <w:bCs/>
                <w:i/>
                <w:iCs/>
                <w:color w:val="FFFFFF"/>
                <w:sz w:val="18"/>
                <w:szCs w:val="18"/>
              </w:rPr>
              <w:t>Contenidos</w:t>
            </w:r>
          </w:p>
          <w:p w14:paraId="1B41412A"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316DA327" w14:textId="77777777" w:rsidR="00990B14" w:rsidRDefault="00000000">
            <w:pPr>
              <w:keepNext/>
              <w:spacing w:before="20" w:after="20"/>
              <w:jc w:val="center"/>
            </w:pPr>
            <w:r>
              <w:rPr>
                <w:b/>
                <w:bCs/>
                <w:i/>
                <w:iCs/>
                <w:color w:val="FFFFFF"/>
                <w:sz w:val="18"/>
                <w:szCs w:val="18"/>
              </w:rPr>
              <w:t>Conocimientos circunstanciales</w:t>
            </w:r>
          </w:p>
        </w:tc>
      </w:tr>
      <w:tr w:rsidR="00990B14" w14:paraId="6487BB98" w14:textId="77777777">
        <w:trPr>
          <w:jc w:val="center"/>
        </w:trPr>
        <w:tc>
          <w:tcPr>
            <w:tcW w:w="2349" w:type="dxa"/>
            <w:gridSpan w:val="2"/>
            <w:shd w:val="clear" w:color="auto" w:fill="D9E2F3"/>
          </w:tcPr>
          <w:p w14:paraId="135C92A9" w14:textId="77777777" w:rsidR="00990B14" w:rsidRDefault="00000000">
            <w:pPr>
              <w:spacing w:before="20" w:after="40"/>
              <w:jc w:val="center"/>
            </w:pPr>
            <w:r>
              <w:rPr>
                <w:b/>
                <w:bCs/>
                <w:sz w:val="18"/>
                <w:szCs w:val="18"/>
              </w:rPr>
              <w:t>Tema 9. Fundamentos de la auditoría, planificación y ejecución</w:t>
            </w:r>
          </w:p>
          <w:p w14:paraId="61732A58" w14:textId="77777777" w:rsidR="00990B14" w:rsidRDefault="00000000">
            <w:pPr>
              <w:spacing w:before="20" w:after="40"/>
              <w:jc w:val="center"/>
            </w:pPr>
            <w:r>
              <w:rPr>
                <w:b/>
                <w:bCs/>
                <w:sz w:val="18"/>
                <w:szCs w:val="18"/>
              </w:rPr>
              <w:t>Tema 10. Comunicación de resultados y seguimiento de recomendaciones</w:t>
            </w:r>
          </w:p>
        </w:tc>
        <w:tc>
          <w:tcPr>
            <w:tcW w:w="4304" w:type="dxa"/>
            <w:gridSpan w:val="8"/>
            <w:shd w:val="clear" w:color="auto" w:fill="D9E2F3"/>
          </w:tcPr>
          <w:p w14:paraId="1A2C60B7" w14:textId="77777777" w:rsidR="00990B14" w:rsidRDefault="00000000">
            <w:pPr>
              <w:spacing w:after="40"/>
              <w:jc w:val="both"/>
            </w:pPr>
            <w:r>
              <w:rPr>
                <w:sz w:val="18"/>
                <w:szCs w:val="18"/>
              </w:rPr>
              <w:t>Naturaleza, concepto, objetivos y finalidad de la auditoría. (C)</w:t>
            </w:r>
          </w:p>
          <w:p w14:paraId="338711CA" w14:textId="77777777" w:rsidR="00990B14" w:rsidRDefault="00000000">
            <w:pPr>
              <w:spacing w:after="40"/>
              <w:jc w:val="both"/>
            </w:pPr>
            <w:r>
              <w:rPr>
                <w:sz w:val="18"/>
                <w:szCs w:val="18"/>
              </w:rPr>
              <w:t>Evolución, características, principios y clasificación de la auditoría. (C)</w:t>
            </w:r>
          </w:p>
          <w:p w14:paraId="5FC24CE5" w14:textId="77777777" w:rsidR="00990B14" w:rsidRDefault="00000000">
            <w:pPr>
              <w:spacing w:after="40"/>
              <w:jc w:val="both"/>
            </w:pPr>
            <w:r>
              <w:rPr>
                <w:sz w:val="18"/>
                <w:szCs w:val="18"/>
              </w:rPr>
              <w:t>El proceso de auditoría: naturaleza, características y etapas. (C)</w:t>
            </w:r>
          </w:p>
          <w:p w14:paraId="3C0CD737" w14:textId="77777777" w:rsidR="00990B14" w:rsidRDefault="00000000">
            <w:pPr>
              <w:spacing w:after="40"/>
              <w:jc w:val="both"/>
            </w:pPr>
            <w:r>
              <w:rPr>
                <w:sz w:val="18"/>
                <w:szCs w:val="18"/>
              </w:rPr>
              <w:t>Planificación de auditoría: objetivo, objeto, alcance, metodología e informes. (C, P)</w:t>
            </w:r>
          </w:p>
          <w:p w14:paraId="53A933A5" w14:textId="77777777" w:rsidR="00990B14" w:rsidRDefault="00000000">
            <w:pPr>
              <w:spacing w:after="40"/>
              <w:jc w:val="both"/>
            </w:pPr>
            <w:r>
              <w:rPr>
                <w:sz w:val="18"/>
                <w:szCs w:val="18"/>
              </w:rPr>
              <w:t>Programas de auditoría: procedimientos, técnicas y pruebas. (C, P)</w:t>
            </w:r>
          </w:p>
          <w:p w14:paraId="1D2F128A" w14:textId="77777777" w:rsidR="00990B14" w:rsidRDefault="00000000">
            <w:pPr>
              <w:spacing w:after="40"/>
              <w:jc w:val="both"/>
            </w:pPr>
            <w:r>
              <w:rPr>
                <w:sz w:val="18"/>
                <w:szCs w:val="18"/>
              </w:rPr>
              <w:t>Ejecución de auditoría: obtención de evidencia y papeles de trabajo. (C, P, T)</w:t>
            </w:r>
          </w:p>
          <w:p w14:paraId="31E70A8E" w14:textId="77777777" w:rsidR="00990B14" w:rsidRDefault="00000000">
            <w:pPr>
              <w:spacing w:after="40"/>
              <w:jc w:val="both"/>
            </w:pPr>
            <w:r>
              <w:rPr>
                <w:sz w:val="18"/>
                <w:szCs w:val="18"/>
              </w:rPr>
              <w:t>Hallazgos de auditoría y sus atributos: condición, criterio, causa, efecto, recomendación y comentario. (C, P)</w:t>
            </w:r>
          </w:p>
          <w:p w14:paraId="078CBBF0" w14:textId="77777777" w:rsidR="00990B14" w:rsidRDefault="00000000">
            <w:pPr>
              <w:spacing w:after="40"/>
              <w:jc w:val="both"/>
            </w:pPr>
            <w:r>
              <w:rPr>
                <w:sz w:val="18"/>
                <w:szCs w:val="18"/>
              </w:rPr>
              <w:t>Naturaleza, objetivos y características de la comunicación de resultados. (C)</w:t>
            </w:r>
          </w:p>
          <w:p w14:paraId="3D128B34" w14:textId="77777777" w:rsidR="00990B14" w:rsidRDefault="00000000">
            <w:pPr>
              <w:spacing w:after="40"/>
              <w:jc w:val="both"/>
            </w:pPr>
            <w:r>
              <w:rPr>
                <w:sz w:val="18"/>
                <w:szCs w:val="18"/>
              </w:rPr>
              <w:t>Informes de auditoría: naturaleza, tipos, estructura y contenido. (C, P)</w:t>
            </w:r>
          </w:p>
          <w:p w14:paraId="0B731965" w14:textId="77777777" w:rsidR="00990B14" w:rsidRDefault="00000000">
            <w:pPr>
              <w:spacing w:after="40"/>
              <w:jc w:val="both"/>
            </w:pPr>
            <w:r>
              <w:rPr>
                <w:sz w:val="18"/>
                <w:szCs w:val="18"/>
              </w:rPr>
              <w:t>Formulación de conclusiones y recomendaciones de auditoría. (P, A)</w:t>
            </w:r>
          </w:p>
          <w:p w14:paraId="59A1E073" w14:textId="77777777" w:rsidR="00990B14" w:rsidRDefault="00000000">
            <w:pPr>
              <w:spacing w:after="40"/>
              <w:jc w:val="both"/>
            </w:pPr>
            <w:r>
              <w:rPr>
                <w:sz w:val="18"/>
                <w:szCs w:val="18"/>
              </w:rPr>
              <w:t>Comunicación y presentación de resultados a las instancias. (P, A)</w:t>
            </w:r>
          </w:p>
          <w:p w14:paraId="322C94CA" w14:textId="77777777" w:rsidR="00990B14" w:rsidRDefault="00000000">
            <w:pPr>
              <w:spacing w:after="40"/>
              <w:jc w:val="both"/>
            </w:pPr>
            <w:r>
              <w:rPr>
                <w:sz w:val="18"/>
                <w:szCs w:val="18"/>
              </w:rPr>
              <w:t>Planes de acción y responsabilidades para implementar recomendaciones. (C, P)</w:t>
            </w:r>
          </w:p>
          <w:p w14:paraId="7354CA45" w14:textId="77777777" w:rsidR="00990B14" w:rsidRDefault="00000000">
            <w:pPr>
              <w:spacing w:after="40"/>
              <w:jc w:val="both"/>
            </w:pPr>
            <w:r>
              <w:rPr>
                <w:sz w:val="18"/>
                <w:szCs w:val="18"/>
              </w:rPr>
              <w:t>Seguimiento y evaluación del cumplimiento de recomendaciones. (C, P)</w:t>
            </w:r>
          </w:p>
          <w:p w14:paraId="16E09E72" w14:textId="77777777" w:rsidR="00990B14" w:rsidRDefault="00000000">
            <w:pPr>
              <w:spacing w:after="40"/>
              <w:jc w:val="both"/>
            </w:pPr>
            <w:r>
              <w:rPr>
                <w:sz w:val="18"/>
                <w:szCs w:val="18"/>
              </w:rPr>
              <w:t>Aplicación de herramientas tecnológicas en el proceso de auditoría. (P, T)</w:t>
            </w:r>
          </w:p>
        </w:tc>
        <w:tc>
          <w:tcPr>
            <w:tcW w:w="2752" w:type="dxa"/>
            <w:gridSpan w:val="3"/>
            <w:shd w:val="clear" w:color="auto" w:fill="D9E2F3"/>
          </w:tcPr>
          <w:p w14:paraId="422B4C1D" w14:textId="77777777" w:rsidR="00990B14" w:rsidRDefault="00000000">
            <w:pPr>
              <w:numPr>
                <w:ilvl w:val="0"/>
                <w:numId w:val="139"/>
              </w:numPr>
              <w:spacing w:before="10" w:after="10"/>
              <w:jc w:val="both"/>
            </w:pPr>
            <w:r>
              <w:rPr>
                <w:sz w:val="18"/>
                <w:szCs w:val="18"/>
              </w:rPr>
              <w:t>Nociones sobre auditoría: técnicas, procedimientos, referenciación, marcas y papeles de trabajo.</w:t>
            </w:r>
          </w:p>
          <w:p w14:paraId="1213C011" w14:textId="77777777" w:rsidR="00990B14" w:rsidRDefault="00000000">
            <w:pPr>
              <w:numPr>
                <w:ilvl w:val="0"/>
                <w:numId w:val="139"/>
              </w:numPr>
              <w:spacing w:before="10" w:after="10"/>
              <w:jc w:val="both"/>
            </w:pPr>
            <w:r>
              <w:rPr>
                <w:sz w:val="18"/>
                <w:szCs w:val="18"/>
              </w:rPr>
              <w:t>Normas y procedimientos de resguardo, archivo y confidencialidad de los papeles de trabajo y de la evidencia digital de auditoría.</w:t>
            </w:r>
          </w:p>
          <w:p w14:paraId="1ABC0340" w14:textId="77777777" w:rsidR="00990B14" w:rsidRDefault="00000000">
            <w:pPr>
              <w:numPr>
                <w:ilvl w:val="0"/>
                <w:numId w:val="139"/>
              </w:numPr>
              <w:spacing w:before="10" w:after="10"/>
              <w:jc w:val="both"/>
            </w:pPr>
            <w:r>
              <w:rPr>
                <w:sz w:val="18"/>
                <w:szCs w:val="18"/>
              </w:rPr>
              <w:t>Métodos y herramientas informáticas para la extracción, depuración y análisis de datos en auditoría.</w:t>
            </w:r>
          </w:p>
          <w:p w14:paraId="39D57522" w14:textId="77777777" w:rsidR="00990B14" w:rsidRDefault="00000000">
            <w:pPr>
              <w:numPr>
                <w:ilvl w:val="0"/>
                <w:numId w:val="139"/>
              </w:numPr>
              <w:spacing w:before="10" w:after="10"/>
              <w:jc w:val="both"/>
            </w:pPr>
            <w:r>
              <w:rPr>
                <w:sz w:val="18"/>
                <w:szCs w:val="18"/>
              </w:rPr>
              <w:t>Nociones sobre enfoques de comunicación de auditoría, presentación de resultados e indicadores de seguimiento de recomendaciones.</w:t>
            </w:r>
          </w:p>
          <w:p w14:paraId="4CFB6CBF" w14:textId="77777777" w:rsidR="00990B14" w:rsidRDefault="00000000">
            <w:pPr>
              <w:numPr>
                <w:ilvl w:val="0"/>
                <w:numId w:val="139"/>
              </w:numPr>
              <w:spacing w:before="10" w:after="10"/>
              <w:jc w:val="both"/>
            </w:pPr>
            <w:r>
              <w:rPr>
                <w:sz w:val="18"/>
                <w:szCs w:val="18"/>
              </w:rPr>
              <w:t>Normas nacionales e internacionales sobre comunicación de resultados, emisión de informes y seguimiento de recomendaciones de auditoría interna, y funciones del Comité de Auditoría.</w:t>
            </w:r>
          </w:p>
        </w:tc>
      </w:tr>
    </w:tbl>
    <w:p w14:paraId="463498C0"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2015"/>
        <w:gridCol w:w="1805"/>
        <w:gridCol w:w="2015"/>
        <w:gridCol w:w="1595"/>
        <w:gridCol w:w="1975"/>
      </w:tblGrid>
      <w:tr w:rsidR="00990B14" w14:paraId="018DB6F9" w14:textId="77777777">
        <w:trPr>
          <w:cantSplit/>
          <w:jc w:val="center"/>
        </w:trPr>
        <w:tc>
          <w:tcPr>
            <w:tcW w:w="9405" w:type="dxa"/>
            <w:gridSpan w:val="5"/>
            <w:shd w:val="clear" w:color="auto" w:fill="4472C4"/>
            <w:vAlign w:val="center"/>
          </w:tcPr>
          <w:p w14:paraId="6AD4D21E" w14:textId="77777777" w:rsidR="00990B14" w:rsidRDefault="00000000">
            <w:pPr>
              <w:keepNext/>
              <w:spacing w:before="20" w:after="20"/>
              <w:jc w:val="center"/>
            </w:pPr>
            <w:r>
              <w:rPr>
                <w:b/>
                <w:bCs/>
                <w:i/>
                <w:iCs/>
                <w:color w:val="FFFFFF"/>
                <w:sz w:val="18"/>
                <w:szCs w:val="18"/>
              </w:rPr>
              <w:t>Actividades</w:t>
            </w:r>
          </w:p>
        </w:tc>
      </w:tr>
      <w:tr w:rsidR="00990B14" w14:paraId="619EF05F" w14:textId="77777777">
        <w:trPr>
          <w:cantSplit/>
          <w:jc w:val="center"/>
        </w:trPr>
        <w:tc>
          <w:tcPr>
            <w:tcW w:w="2015" w:type="dxa"/>
            <w:shd w:val="clear" w:color="auto" w:fill="4472C4"/>
            <w:vAlign w:val="center"/>
          </w:tcPr>
          <w:p w14:paraId="34B11B7D" w14:textId="77777777" w:rsidR="00990B14" w:rsidRDefault="00000000">
            <w:pPr>
              <w:keepNext/>
              <w:spacing w:before="20" w:after="20"/>
              <w:jc w:val="center"/>
            </w:pPr>
            <w:r>
              <w:rPr>
                <w:b/>
                <w:bCs/>
                <w:i/>
                <w:iCs/>
                <w:color w:val="FFFFFF"/>
                <w:sz w:val="18"/>
                <w:szCs w:val="18"/>
              </w:rPr>
              <w:t>En clase</w:t>
            </w:r>
          </w:p>
        </w:tc>
        <w:tc>
          <w:tcPr>
            <w:tcW w:w="1805" w:type="dxa"/>
            <w:shd w:val="clear" w:color="auto" w:fill="4472C4"/>
            <w:vAlign w:val="center"/>
          </w:tcPr>
          <w:p w14:paraId="09786A9F" w14:textId="77777777" w:rsidR="00990B14" w:rsidRDefault="00000000">
            <w:pPr>
              <w:keepNext/>
              <w:spacing w:before="20" w:after="20"/>
              <w:jc w:val="center"/>
            </w:pPr>
            <w:r>
              <w:rPr>
                <w:b/>
                <w:bCs/>
                <w:i/>
                <w:iCs/>
                <w:color w:val="FFFFFF"/>
                <w:sz w:val="18"/>
                <w:szCs w:val="18"/>
              </w:rPr>
              <w:t>Autónomas</w:t>
            </w:r>
          </w:p>
        </w:tc>
        <w:tc>
          <w:tcPr>
            <w:tcW w:w="2015" w:type="dxa"/>
            <w:shd w:val="clear" w:color="auto" w:fill="4472C4"/>
            <w:vAlign w:val="center"/>
          </w:tcPr>
          <w:p w14:paraId="6B9F1D6E" w14:textId="77777777" w:rsidR="00990B14" w:rsidRDefault="00000000">
            <w:pPr>
              <w:keepNext/>
              <w:spacing w:before="20" w:after="20"/>
              <w:jc w:val="center"/>
            </w:pPr>
            <w:r>
              <w:rPr>
                <w:b/>
                <w:bCs/>
                <w:i/>
                <w:iCs/>
                <w:color w:val="FFFFFF"/>
                <w:sz w:val="18"/>
                <w:szCs w:val="18"/>
              </w:rPr>
              <w:t>B-Learning</w:t>
            </w:r>
          </w:p>
        </w:tc>
        <w:tc>
          <w:tcPr>
            <w:tcW w:w="1595" w:type="dxa"/>
            <w:shd w:val="clear" w:color="auto" w:fill="4472C4"/>
            <w:vAlign w:val="center"/>
          </w:tcPr>
          <w:p w14:paraId="5238E7FA" w14:textId="77777777" w:rsidR="00990B14" w:rsidRDefault="00000000">
            <w:pPr>
              <w:keepNext/>
              <w:spacing w:before="20" w:after="20"/>
              <w:jc w:val="center"/>
            </w:pPr>
            <w:r>
              <w:rPr>
                <w:b/>
                <w:bCs/>
                <w:i/>
                <w:iCs/>
                <w:color w:val="FFFFFF"/>
                <w:sz w:val="18"/>
                <w:szCs w:val="18"/>
              </w:rPr>
              <w:t>Taller</w:t>
            </w:r>
          </w:p>
        </w:tc>
        <w:tc>
          <w:tcPr>
            <w:tcW w:w="1975" w:type="dxa"/>
            <w:shd w:val="clear" w:color="auto" w:fill="4472C4"/>
            <w:vAlign w:val="center"/>
          </w:tcPr>
          <w:p w14:paraId="6C285056" w14:textId="77777777" w:rsidR="00990B14" w:rsidRDefault="00000000">
            <w:pPr>
              <w:keepNext/>
              <w:spacing w:before="20" w:after="20"/>
              <w:jc w:val="center"/>
            </w:pPr>
            <w:r>
              <w:rPr>
                <w:b/>
                <w:bCs/>
                <w:i/>
                <w:iCs/>
                <w:color w:val="FFFFFF"/>
                <w:sz w:val="18"/>
                <w:szCs w:val="18"/>
              </w:rPr>
              <w:t>Investigación/Práctica</w:t>
            </w:r>
          </w:p>
        </w:tc>
      </w:tr>
      <w:tr w:rsidR="00990B14" w14:paraId="7BCAE553" w14:textId="77777777">
        <w:trPr>
          <w:jc w:val="center"/>
        </w:trPr>
        <w:tc>
          <w:tcPr>
            <w:tcW w:w="2015" w:type="dxa"/>
            <w:shd w:val="clear" w:color="auto" w:fill="D9E2F3"/>
          </w:tcPr>
          <w:p w14:paraId="2978538A" w14:textId="77777777" w:rsidR="00990B14" w:rsidRDefault="00000000">
            <w:pPr>
              <w:numPr>
                <w:ilvl w:val="0"/>
                <w:numId w:val="139"/>
              </w:numPr>
              <w:spacing w:before="10" w:after="10"/>
              <w:jc w:val="both"/>
            </w:pPr>
            <w:r>
              <w:rPr>
                <w:sz w:val="18"/>
                <w:szCs w:val="18"/>
              </w:rPr>
              <w:t>Exposición dialogada con preguntas al inicio de cada tema, desde las organizaciones y el Gobierno Corporativo hasta la comunicación de resultados y el seguimiento de recomendaciones.</w:t>
            </w:r>
          </w:p>
          <w:p w14:paraId="0829A59C" w14:textId="77777777" w:rsidR="00990B14" w:rsidRDefault="00000000">
            <w:pPr>
              <w:numPr>
                <w:ilvl w:val="0"/>
                <w:numId w:val="139"/>
              </w:numPr>
              <w:spacing w:before="10" w:after="10"/>
              <w:jc w:val="both"/>
            </w:pPr>
            <w:r>
              <w:rPr>
                <w:sz w:val="18"/>
                <w:szCs w:val="18"/>
              </w:rPr>
              <w:t>Resolución guiada del diagnóstico organizacional con FODA, PESTEL, CANVAS y fuerzas de Porter, y de la distribución de funciones con el Modelo de las Tres Líneas.</w:t>
            </w:r>
          </w:p>
          <w:p w14:paraId="40C3084B" w14:textId="77777777" w:rsidR="00990B14" w:rsidRDefault="00000000">
            <w:pPr>
              <w:numPr>
                <w:ilvl w:val="0"/>
                <w:numId w:val="139"/>
              </w:numPr>
              <w:spacing w:before="10" w:after="10"/>
              <w:jc w:val="both"/>
            </w:pPr>
            <w:r>
              <w:rPr>
                <w:sz w:val="18"/>
                <w:szCs w:val="18"/>
              </w:rPr>
              <w:t>Análisis de casos de fraude y de Gobierno Corporativo en entidades bolivianas.</w:t>
            </w:r>
          </w:p>
          <w:p w14:paraId="15220F0C" w14:textId="77777777" w:rsidR="00990B14" w:rsidRDefault="00000000">
            <w:pPr>
              <w:numPr>
                <w:ilvl w:val="0"/>
                <w:numId w:val="139"/>
              </w:numPr>
              <w:spacing w:before="10" w:after="10"/>
              <w:jc w:val="both"/>
            </w:pPr>
            <w:r>
              <w:rPr>
                <w:sz w:val="18"/>
                <w:szCs w:val="18"/>
              </w:rPr>
              <w:t>Resolución guiada de la evaluación del control interno con cuestionarios, flujogramas y matrices de control, y de la construcción del mapa de riesgos con probabilidad e impacto.</w:t>
            </w:r>
          </w:p>
          <w:p w14:paraId="56A8051E" w14:textId="77777777" w:rsidR="00990B14" w:rsidRDefault="00000000">
            <w:pPr>
              <w:numPr>
                <w:ilvl w:val="0"/>
                <w:numId w:val="139"/>
              </w:numPr>
              <w:spacing w:before="10" w:after="10"/>
              <w:jc w:val="both"/>
            </w:pPr>
            <w:r>
              <w:rPr>
                <w:sz w:val="18"/>
                <w:szCs w:val="18"/>
              </w:rPr>
              <w:t>Resolución de dilemas éticos sobre independencia y objetividad, con las Normas Globales de Auditoría Interna y las Normas para el Ejercicio de la Auditoría Interna.</w:t>
            </w:r>
          </w:p>
          <w:p w14:paraId="06D92DDD" w14:textId="77777777" w:rsidR="00990B14" w:rsidRDefault="00000000">
            <w:pPr>
              <w:numPr>
                <w:ilvl w:val="0"/>
                <w:numId w:val="139"/>
              </w:numPr>
              <w:spacing w:before="10" w:after="10"/>
              <w:jc w:val="both"/>
            </w:pPr>
            <w:r>
              <w:rPr>
                <w:sz w:val="18"/>
                <w:szCs w:val="18"/>
              </w:rPr>
              <w:t>Demostración de la selección y priorización de trabajos de auditoría y de la elaboración del Programa Operativo Anual de la Unidad de Auditoría Interna.</w:t>
            </w:r>
          </w:p>
          <w:p w14:paraId="54C12238" w14:textId="77777777" w:rsidR="00990B14" w:rsidRDefault="00000000">
            <w:pPr>
              <w:numPr>
                <w:ilvl w:val="0"/>
                <w:numId w:val="139"/>
              </w:numPr>
              <w:spacing w:before="10" w:after="10"/>
              <w:jc w:val="both"/>
            </w:pPr>
            <w:r>
              <w:rPr>
                <w:sz w:val="18"/>
                <w:szCs w:val="18"/>
              </w:rPr>
              <w:t>Demostración del desarrollo de un hallazgo con sus atributos: condición, criterio, causa, efecto y recomendación.</w:t>
            </w:r>
          </w:p>
          <w:p w14:paraId="104A9B42" w14:textId="77777777" w:rsidR="00990B14" w:rsidRDefault="00000000">
            <w:pPr>
              <w:numPr>
                <w:ilvl w:val="0"/>
                <w:numId w:val="139"/>
              </w:numPr>
              <w:spacing w:before="10" w:after="10"/>
              <w:jc w:val="both"/>
            </w:pPr>
            <w:r>
              <w:rPr>
                <w:sz w:val="18"/>
                <w:szCs w:val="18"/>
              </w:rPr>
              <w:t>Resolución guiada de la redacción de conclusiones y recomendaciones, y del informe de seguimiento a su cumplimiento.</w:t>
            </w:r>
          </w:p>
          <w:p w14:paraId="1932EF72" w14:textId="77777777" w:rsidR="00990B14" w:rsidRDefault="00000000">
            <w:pPr>
              <w:numPr>
                <w:ilvl w:val="0"/>
                <w:numId w:val="139"/>
              </w:numPr>
              <w:spacing w:before="10" w:after="10"/>
              <w:jc w:val="both"/>
            </w:pPr>
            <w:r>
              <w:rPr>
                <w:sz w:val="18"/>
                <w:szCs w:val="18"/>
              </w:rPr>
              <w:t>Preguntas de comprensión al cierre de cada tema y sustentación de productos con retroalimentación inmediata.</w:t>
            </w:r>
          </w:p>
        </w:tc>
        <w:tc>
          <w:tcPr>
            <w:tcW w:w="1805" w:type="dxa"/>
            <w:shd w:val="clear" w:color="auto" w:fill="D9E2F3"/>
          </w:tcPr>
          <w:p w14:paraId="5218B24B" w14:textId="77777777" w:rsidR="00990B14" w:rsidRDefault="00000000">
            <w:pPr>
              <w:numPr>
                <w:ilvl w:val="0"/>
                <w:numId w:val="139"/>
              </w:numPr>
              <w:spacing w:before="10" w:after="10"/>
              <w:jc w:val="both"/>
            </w:pPr>
            <w:r>
              <w:rPr>
                <w:sz w:val="18"/>
                <w:szCs w:val="18"/>
              </w:rPr>
              <w:t>Lectura de las teorías de la organización, de los Principios de Gobierno Corporativo del G20 y de la Organización para la Cooperación y el Desarrollo Económicos (OCDE) y de la normativa de la Autoridad de Supervisión del Sistema Financiero (ASFI) sobre gobierno corporativo.</w:t>
            </w:r>
          </w:p>
          <w:p w14:paraId="187CC4D6" w14:textId="77777777" w:rsidR="00990B14" w:rsidRDefault="00000000">
            <w:pPr>
              <w:numPr>
                <w:ilvl w:val="0"/>
                <w:numId w:val="139"/>
              </w:numPr>
              <w:spacing w:before="10" w:after="10"/>
              <w:jc w:val="both"/>
            </w:pPr>
            <w:r>
              <w:rPr>
                <w:sz w:val="18"/>
                <w:szCs w:val="18"/>
              </w:rPr>
              <w:t>Lectura del Marco Integrado de Control Interno COSO y de los Principios, Normas Generales y Básicas de Control Interno Gubernamental.</w:t>
            </w:r>
          </w:p>
          <w:p w14:paraId="0597F434" w14:textId="77777777" w:rsidR="00990B14" w:rsidRDefault="00000000">
            <w:pPr>
              <w:numPr>
                <w:ilvl w:val="0"/>
                <w:numId w:val="139"/>
              </w:numPr>
              <w:spacing w:before="10" w:after="10"/>
              <w:jc w:val="both"/>
            </w:pPr>
            <w:r>
              <w:rPr>
                <w:sz w:val="18"/>
                <w:szCs w:val="18"/>
              </w:rPr>
              <w:t>Lectura de COSO-ERM y de la Norma ISO 31000.</w:t>
            </w:r>
          </w:p>
          <w:p w14:paraId="318013AE" w14:textId="77777777" w:rsidR="00990B14" w:rsidRDefault="00000000">
            <w:pPr>
              <w:numPr>
                <w:ilvl w:val="0"/>
                <w:numId w:val="139"/>
              </w:numPr>
              <w:spacing w:before="10" w:after="10"/>
              <w:jc w:val="both"/>
            </w:pPr>
            <w:r>
              <w:rPr>
                <w:sz w:val="18"/>
                <w:szCs w:val="18"/>
              </w:rPr>
              <w:t>Lectura de las Normas Globales de Auditoría Interna, de los Requisitos Temáticos, de la Ley N.º 1178 y de las normas de la Contraloría General del Estado (CGE).</w:t>
            </w:r>
          </w:p>
          <w:p w14:paraId="197FDB2C" w14:textId="77777777" w:rsidR="00990B14" w:rsidRDefault="00000000">
            <w:pPr>
              <w:numPr>
                <w:ilvl w:val="0"/>
                <w:numId w:val="139"/>
              </w:numPr>
              <w:spacing w:before="10" w:after="10"/>
              <w:jc w:val="both"/>
            </w:pPr>
            <w:r>
              <w:rPr>
                <w:sz w:val="18"/>
                <w:szCs w:val="18"/>
              </w:rPr>
              <w:t>Lectura en inglés técnico del Marco de Auditoría de Inteligencia Artificial (IA) del Instituto de Auditores Internos (IIA).</w:t>
            </w:r>
          </w:p>
          <w:p w14:paraId="5907DC1B" w14:textId="77777777" w:rsidR="00990B14" w:rsidRDefault="00000000">
            <w:pPr>
              <w:numPr>
                <w:ilvl w:val="0"/>
                <w:numId w:val="139"/>
              </w:numPr>
              <w:spacing w:before="10" w:after="10"/>
              <w:jc w:val="both"/>
            </w:pPr>
            <w:r>
              <w:rPr>
                <w:sz w:val="18"/>
                <w:szCs w:val="18"/>
              </w:rPr>
              <w:t>Elaboración de esquemas y cuadros comparativos de cada tema como preparación de la clase.</w:t>
            </w:r>
          </w:p>
          <w:p w14:paraId="1D93EFB2" w14:textId="77777777" w:rsidR="00990B14" w:rsidRDefault="00000000">
            <w:pPr>
              <w:numPr>
                <w:ilvl w:val="0"/>
                <w:numId w:val="139"/>
              </w:numPr>
              <w:spacing w:before="10" w:after="10"/>
              <w:jc w:val="both"/>
            </w:pPr>
            <w:r>
              <w:rPr>
                <w:sz w:val="18"/>
                <w:szCs w:val="18"/>
              </w:rPr>
              <w:t>Desarrollo progresivo del caso integral de auditoría interna de una entidad, desde su análisis hasta el informe y el seguimiento.</w:t>
            </w:r>
          </w:p>
          <w:p w14:paraId="4F5F4B1E" w14:textId="77777777" w:rsidR="00990B14" w:rsidRDefault="00000000">
            <w:pPr>
              <w:numPr>
                <w:ilvl w:val="0"/>
                <w:numId w:val="139"/>
              </w:numPr>
              <w:spacing w:before="10" w:after="10"/>
              <w:jc w:val="both"/>
            </w:pPr>
            <w:r>
              <w:rPr>
                <w:sz w:val="18"/>
                <w:szCs w:val="18"/>
              </w:rPr>
              <w:t>Ejercicios de redacción de objetivos, alcance, hallazgos, conclusiones y recomendaciones de auditoría.</w:t>
            </w:r>
          </w:p>
        </w:tc>
        <w:tc>
          <w:tcPr>
            <w:tcW w:w="2015" w:type="dxa"/>
            <w:shd w:val="clear" w:color="auto" w:fill="D9E2F3"/>
          </w:tcPr>
          <w:p w14:paraId="15D1945E" w14:textId="77777777" w:rsidR="00990B14" w:rsidRDefault="00000000">
            <w:pPr>
              <w:numPr>
                <w:ilvl w:val="0"/>
                <w:numId w:val="139"/>
              </w:numPr>
              <w:spacing w:before="10" w:after="10"/>
              <w:jc w:val="both"/>
            </w:pPr>
            <w:r>
              <w:rPr>
                <w:sz w:val="18"/>
                <w:szCs w:val="18"/>
              </w:rPr>
              <w:t>Cuestionarios de comprensión con retroalimentación automática en la plataforma Moodle UMSA al cierre de cada tema.</w:t>
            </w:r>
          </w:p>
          <w:p w14:paraId="2435A527" w14:textId="77777777" w:rsidR="00990B14" w:rsidRDefault="00000000">
            <w:pPr>
              <w:numPr>
                <w:ilvl w:val="0"/>
                <w:numId w:val="139"/>
              </w:numPr>
              <w:spacing w:before="10" w:after="10"/>
              <w:jc w:val="both"/>
            </w:pPr>
            <w:r>
              <w:rPr>
                <w:sz w:val="18"/>
                <w:szCs w:val="18"/>
              </w:rPr>
              <w:t>Foros de consulta sobre gestión de riesgos, Gobierno Corporativo, cumplimiento y dilemas de independencia y ética.</w:t>
            </w:r>
          </w:p>
          <w:p w14:paraId="390D9C30" w14:textId="77777777" w:rsidR="00990B14" w:rsidRDefault="00000000">
            <w:pPr>
              <w:numPr>
                <w:ilvl w:val="0"/>
                <w:numId w:val="139"/>
              </w:numPr>
              <w:spacing w:before="10" w:after="10"/>
              <w:jc w:val="both"/>
            </w:pPr>
            <w:r>
              <w:rPr>
                <w:sz w:val="18"/>
                <w:szCs w:val="18"/>
              </w:rPr>
              <w:t>Videotutoriales de hoja de cálculo, Power BI y software de gestión de la auditoría.</w:t>
            </w:r>
          </w:p>
          <w:p w14:paraId="5A2DC12A" w14:textId="77777777" w:rsidR="00990B14" w:rsidRDefault="00000000">
            <w:pPr>
              <w:numPr>
                <w:ilvl w:val="0"/>
                <w:numId w:val="139"/>
              </w:numPr>
              <w:spacing w:before="10" w:after="10"/>
              <w:jc w:val="both"/>
            </w:pPr>
            <w:r>
              <w:rPr>
                <w:sz w:val="18"/>
                <w:szCs w:val="18"/>
              </w:rPr>
              <w:t>Videos y lecturas previas sobre la normativa de la CGE para la clase invertida.</w:t>
            </w:r>
          </w:p>
          <w:p w14:paraId="28585F65" w14:textId="77777777" w:rsidR="00990B14" w:rsidRDefault="00000000">
            <w:pPr>
              <w:numPr>
                <w:ilvl w:val="0"/>
                <w:numId w:val="139"/>
              </w:numPr>
              <w:spacing w:before="10" w:after="10"/>
              <w:jc w:val="both"/>
            </w:pPr>
            <w:r>
              <w:rPr>
                <w:sz w:val="18"/>
                <w:szCs w:val="18"/>
              </w:rPr>
              <w:t>Repositorio de normas, casos y plantillas de papeles de trabajo.</w:t>
            </w:r>
          </w:p>
          <w:p w14:paraId="61507830" w14:textId="77777777" w:rsidR="00990B14" w:rsidRDefault="00000000">
            <w:pPr>
              <w:numPr>
                <w:ilvl w:val="0"/>
                <w:numId w:val="139"/>
              </w:numPr>
              <w:spacing w:before="10" w:after="10"/>
              <w:jc w:val="both"/>
            </w:pPr>
            <w:r>
              <w:rPr>
                <w:sz w:val="18"/>
                <w:szCs w:val="18"/>
              </w:rPr>
              <w:t>Práctica guiada de IA generativa con registro de instrucciones y validación de sus resultados.</w:t>
            </w:r>
          </w:p>
          <w:p w14:paraId="671FA2C0" w14:textId="77777777" w:rsidR="00990B14" w:rsidRDefault="00000000">
            <w:pPr>
              <w:numPr>
                <w:ilvl w:val="0"/>
                <w:numId w:val="139"/>
              </w:numPr>
              <w:spacing w:before="10" w:after="10"/>
              <w:jc w:val="both"/>
            </w:pPr>
            <w:r>
              <w:rPr>
                <w:sz w:val="18"/>
                <w:szCs w:val="18"/>
              </w:rPr>
              <w:t>Autoevaluación y coevaluación con listas de cotejo.</w:t>
            </w:r>
          </w:p>
          <w:p w14:paraId="43B38D5F" w14:textId="77777777" w:rsidR="00990B14" w:rsidRDefault="00000000">
            <w:pPr>
              <w:numPr>
                <w:ilvl w:val="0"/>
                <w:numId w:val="139"/>
              </w:numPr>
              <w:spacing w:before="10" w:after="10"/>
              <w:jc w:val="both"/>
            </w:pPr>
            <w:r>
              <w:rPr>
                <w:sz w:val="18"/>
                <w:szCs w:val="18"/>
              </w:rPr>
              <w:t>Entrega en línea de los productos con la rúbrica visible.</w:t>
            </w:r>
          </w:p>
        </w:tc>
        <w:tc>
          <w:tcPr>
            <w:tcW w:w="1595" w:type="dxa"/>
            <w:shd w:val="clear" w:color="auto" w:fill="D9E2F3"/>
          </w:tcPr>
          <w:p w14:paraId="5A434562" w14:textId="77777777" w:rsidR="00990B14" w:rsidRDefault="00000000">
            <w:pPr>
              <w:numPr>
                <w:ilvl w:val="0"/>
                <w:numId w:val="139"/>
              </w:numPr>
              <w:spacing w:before="10" w:after="10"/>
              <w:jc w:val="both"/>
            </w:pPr>
            <w:r>
              <w:rPr>
                <w:sz w:val="18"/>
                <w:szCs w:val="18"/>
              </w:rPr>
              <w:t>Análisis CANVAS, PESTEL y FODA de una entidad.</w:t>
            </w:r>
          </w:p>
          <w:p w14:paraId="61C9B291" w14:textId="77777777" w:rsidR="00990B14" w:rsidRDefault="00000000">
            <w:pPr>
              <w:numPr>
                <w:ilvl w:val="0"/>
                <w:numId w:val="139"/>
              </w:numPr>
              <w:spacing w:before="10" w:after="10"/>
              <w:jc w:val="both"/>
            </w:pPr>
            <w:r>
              <w:rPr>
                <w:sz w:val="18"/>
                <w:szCs w:val="18"/>
              </w:rPr>
              <w:t>Elaboración en equipo del esquema de Gobierno Corporativo y de su evaluación con el Modelo de las Tres Líneas.</w:t>
            </w:r>
          </w:p>
          <w:p w14:paraId="11D44915" w14:textId="77777777" w:rsidR="00990B14" w:rsidRDefault="00000000">
            <w:pPr>
              <w:numPr>
                <w:ilvl w:val="0"/>
                <w:numId w:val="139"/>
              </w:numPr>
              <w:spacing w:before="10" w:after="10"/>
              <w:jc w:val="both"/>
            </w:pPr>
            <w:r>
              <w:rPr>
                <w:sz w:val="18"/>
                <w:szCs w:val="18"/>
              </w:rPr>
              <w:t>Diseño de controles preventivos, detectivos y correctivos por proceso y por riesgo.</w:t>
            </w:r>
          </w:p>
          <w:p w14:paraId="18046D65" w14:textId="77777777" w:rsidR="00990B14" w:rsidRDefault="00000000">
            <w:pPr>
              <w:numPr>
                <w:ilvl w:val="0"/>
                <w:numId w:val="139"/>
              </w:numPr>
              <w:spacing w:before="10" w:after="10"/>
              <w:jc w:val="both"/>
            </w:pPr>
            <w:r>
              <w:rPr>
                <w:sz w:val="18"/>
                <w:szCs w:val="18"/>
              </w:rPr>
              <w:t>Determinación del apetito y la tolerancia al riesgo y construcción del mapa de calor en laboratorio.</w:t>
            </w:r>
          </w:p>
          <w:p w14:paraId="7CE56918" w14:textId="77777777" w:rsidR="00990B14" w:rsidRDefault="00000000">
            <w:pPr>
              <w:numPr>
                <w:ilvl w:val="0"/>
                <w:numId w:val="139"/>
              </w:numPr>
              <w:spacing w:before="10" w:after="10"/>
              <w:jc w:val="both"/>
            </w:pPr>
            <w:r>
              <w:rPr>
                <w:sz w:val="18"/>
                <w:szCs w:val="18"/>
              </w:rPr>
              <w:t>Diseño del programa antifraude de una entidad.</w:t>
            </w:r>
          </w:p>
          <w:p w14:paraId="07FDC0C6" w14:textId="77777777" w:rsidR="00990B14" w:rsidRDefault="00000000">
            <w:pPr>
              <w:numPr>
                <w:ilvl w:val="0"/>
                <w:numId w:val="139"/>
              </w:numPr>
              <w:spacing w:before="10" w:after="10"/>
              <w:jc w:val="both"/>
            </w:pPr>
            <w:r>
              <w:rPr>
                <w:sz w:val="18"/>
                <w:szCs w:val="18"/>
              </w:rPr>
              <w:t>Elaboración del universo auditable, del Plan Estratégico y del plan anual de la Unidad de Auditoría Interna.</w:t>
            </w:r>
          </w:p>
          <w:p w14:paraId="2CD91391" w14:textId="77777777" w:rsidR="00990B14" w:rsidRDefault="00000000">
            <w:pPr>
              <w:numPr>
                <w:ilvl w:val="0"/>
                <w:numId w:val="139"/>
              </w:numPr>
              <w:spacing w:before="10" w:after="10"/>
              <w:jc w:val="both"/>
            </w:pPr>
            <w:r>
              <w:rPr>
                <w:sz w:val="18"/>
                <w:szCs w:val="18"/>
              </w:rPr>
              <w:t>Documentación de papeles de trabajo y cédulas de hallazgos de auditoría.</w:t>
            </w:r>
          </w:p>
          <w:p w14:paraId="1ED07EE4" w14:textId="77777777" w:rsidR="00990B14" w:rsidRDefault="00000000">
            <w:pPr>
              <w:numPr>
                <w:ilvl w:val="0"/>
                <w:numId w:val="139"/>
              </w:numPr>
              <w:spacing w:before="10" w:after="10"/>
              <w:jc w:val="both"/>
            </w:pPr>
            <w:r>
              <w:rPr>
                <w:sz w:val="18"/>
                <w:szCs w:val="18"/>
              </w:rPr>
              <w:t>Definición de reglas de monitoreo continuo y de una política de uso ético de la IA.</w:t>
            </w:r>
          </w:p>
          <w:p w14:paraId="3FA0A2CE" w14:textId="77777777" w:rsidR="00990B14" w:rsidRDefault="00000000">
            <w:pPr>
              <w:numPr>
                <w:ilvl w:val="0"/>
                <w:numId w:val="139"/>
              </w:numPr>
              <w:spacing w:before="10" w:after="10"/>
              <w:jc w:val="both"/>
            </w:pPr>
            <w:r>
              <w:rPr>
                <w:sz w:val="18"/>
                <w:szCs w:val="18"/>
              </w:rPr>
              <w:t>Simulación de reuniones con el comité de auditoría y de cierre con los auditados, con revisión cruzada de borradores entre equipos.</w:t>
            </w:r>
          </w:p>
        </w:tc>
        <w:tc>
          <w:tcPr>
            <w:tcW w:w="1975" w:type="dxa"/>
            <w:shd w:val="clear" w:color="auto" w:fill="D9E2F3"/>
          </w:tcPr>
          <w:p w14:paraId="10929899" w14:textId="77777777" w:rsidR="00990B14" w:rsidRDefault="00000000">
            <w:pPr>
              <w:numPr>
                <w:ilvl w:val="0"/>
                <w:numId w:val="139"/>
              </w:numPr>
              <w:spacing w:before="10" w:after="10"/>
              <w:jc w:val="both"/>
            </w:pPr>
            <w:r>
              <w:rPr>
                <w:sz w:val="18"/>
                <w:szCs w:val="18"/>
              </w:rPr>
              <w:t>Análisis estratégico de un sector económico boliviano.</w:t>
            </w:r>
          </w:p>
          <w:p w14:paraId="62F4DE4D" w14:textId="77777777" w:rsidR="00990B14" w:rsidRDefault="00000000">
            <w:pPr>
              <w:numPr>
                <w:ilvl w:val="0"/>
                <w:numId w:val="139"/>
              </w:numPr>
              <w:spacing w:before="10" w:after="10"/>
              <w:jc w:val="both"/>
            </w:pPr>
            <w:r>
              <w:rPr>
                <w:sz w:val="18"/>
                <w:szCs w:val="18"/>
              </w:rPr>
              <w:t>Comparación de modelos de control interno: COSO y otros.</w:t>
            </w:r>
          </w:p>
          <w:p w14:paraId="67011D11" w14:textId="77777777" w:rsidR="00990B14" w:rsidRDefault="00000000">
            <w:pPr>
              <w:numPr>
                <w:ilvl w:val="0"/>
                <w:numId w:val="139"/>
              </w:numPr>
              <w:spacing w:before="10" w:after="10"/>
              <w:jc w:val="both"/>
            </w:pPr>
            <w:r>
              <w:rPr>
                <w:sz w:val="18"/>
                <w:szCs w:val="18"/>
              </w:rPr>
              <w:t>Análisis del Gobierno Corporativo y de los comités de entidades financieras bolivianas.</w:t>
            </w:r>
          </w:p>
          <w:p w14:paraId="30C50100" w14:textId="77777777" w:rsidR="00990B14" w:rsidRDefault="00000000">
            <w:pPr>
              <w:numPr>
                <w:ilvl w:val="0"/>
                <w:numId w:val="139"/>
              </w:numPr>
              <w:spacing w:before="10" w:after="10"/>
              <w:jc w:val="both"/>
            </w:pPr>
            <w:r>
              <w:rPr>
                <w:sz w:val="18"/>
                <w:szCs w:val="18"/>
              </w:rPr>
              <w:t>Relevamiento de información y valoración de riesgos de una entidad real.</w:t>
            </w:r>
          </w:p>
          <w:p w14:paraId="10C41F17" w14:textId="77777777" w:rsidR="00990B14" w:rsidRDefault="00000000">
            <w:pPr>
              <w:numPr>
                <w:ilvl w:val="0"/>
                <w:numId w:val="139"/>
              </w:numPr>
              <w:spacing w:before="10" w:after="10"/>
              <w:jc w:val="both"/>
            </w:pPr>
            <w:r>
              <w:rPr>
                <w:sz w:val="18"/>
                <w:szCs w:val="18"/>
              </w:rPr>
              <w:t>Evaluación de la calidad de una Unidad de Auditoría Interna real.</w:t>
            </w:r>
          </w:p>
          <w:p w14:paraId="4EE970C6" w14:textId="77777777" w:rsidR="00990B14" w:rsidRDefault="00000000">
            <w:pPr>
              <w:numPr>
                <w:ilvl w:val="0"/>
                <w:numId w:val="139"/>
              </w:numPr>
              <w:spacing w:before="10" w:after="10"/>
              <w:jc w:val="both"/>
            </w:pPr>
            <w:r>
              <w:rPr>
                <w:sz w:val="18"/>
                <w:szCs w:val="18"/>
              </w:rPr>
              <w:t>Revisión de informes de auditoría interna de entidades públicas o privadas.</w:t>
            </w:r>
          </w:p>
          <w:p w14:paraId="6C983757" w14:textId="77777777" w:rsidR="00990B14" w:rsidRDefault="00000000">
            <w:pPr>
              <w:numPr>
                <w:ilvl w:val="0"/>
                <w:numId w:val="139"/>
              </w:numPr>
              <w:spacing w:before="10" w:after="10"/>
              <w:jc w:val="both"/>
            </w:pPr>
            <w:r>
              <w:rPr>
                <w:sz w:val="18"/>
                <w:szCs w:val="18"/>
              </w:rPr>
              <w:t>Seguimiento al cumplimiento de las recomendaciones de un informe de auditoría interna real, con su plan de acción.</w:t>
            </w:r>
          </w:p>
          <w:p w14:paraId="268FF586" w14:textId="77777777" w:rsidR="00990B14" w:rsidRDefault="00000000">
            <w:pPr>
              <w:numPr>
                <w:ilvl w:val="0"/>
                <w:numId w:val="139"/>
              </w:numPr>
              <w:spacing w:before="10" w:after="10"/>
              <w:jc w:val="both"/>
            </w:pPr>
            <w:r>
              <w:rPr>
                <w:sz w:val="18"/>
                <w:szCs w:val="18"/>
              </w:rPr>
              <w:t>Extensión universitaria: socialización de un diagnóstico de control interno y de riesgos a una organización sin fines de lucro, con respeto a la confidencialidad de su información.</w:t>
            </w:r>
          </w:p>
        </w:tc>
      </w:tr>
    </w:tbl>
    <w:p w14:paraId="31CCA494"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490"/>
        <w:gridCol w:w="2015"/>
        <w:gridCol w:w="2015"/>
        <w:gridCol w:w="2008"/>
        <w:gridCol w:w="1877"/>
      </w:tblGrid>
      <w:tr w:rsidR="00990B14" w14:paraId="22FA14C6" w14:textId="77777777">
        <w:trPr>
          <w:jc w:val="center"/>
        </w:trPr>
        <w:tc>
          <w:tcPr>
            <w:tcW w:w="1490" w:type="dxa"/>
            <w:shd w:val="clear" w:color="auto" w:fill="4472C4"/>
            <w:vAlign w:val="center"/>
          </w:tcPr>
          <w:p w14:paraId="12D28C53" w14:textId="77777777" w:rsidR="00990B14" w:rsidRDefault="00000000">
            <w:pPr>
              <w:spacing w:before="20" w:after="20"/>
              <w:jc w:val="center"/>
            </w:pPr>
            <w:r>
              <w:rPr>
                <w:b/>
                <w:bCs/>
                <w:i/>
                <w:iCs/>
                <w:color w:val="FFFFFF"/>
                <w:sz w:val="18"/>
                <w:szCs w:val="18"/>
              </w:rPr>
              <w:t>Estrategias de aprendizaje y enseñanza</w:t>
            </w:r>
          </w:p>
        </w:tc>
        <w:tc>
          <w:tcPr>
            <w:tcW w:w="7915" w:type="dxa"/>
            <w:gridSpan w:val="4"/>
            <w:shd w:val="clear" w:color="auto" w:fill="D9E2F3"/>
            <w:vAlign w:val="center"/>
          </w:tcPr>
          <w:p w14:paraId="325DF55D" w14:textId="77777777" w:rsidR="00990B14" w:rsidRDefault="00000000">
            <w:pPr>
              <w:numPr>
                <w:ilvl w:val="0"/>
                <w:numId w:val="140"/>
              </w:numPr>
              <w:spacing w:before="10" w:after="10"/>
              <w:jc w:val="both"/>
            </w:pPr>
            <w:r>
              <w:rPr>
                <w:sz w:val="18"/>
                <w:szCs w:val="18"/>
              </w:rPr>
              <w:t>Aprendizaje basado en problemas con casos de auditoría interna de entidades bolivianas.</w:t>
            </w:r>
          </w:p>
          <w:p w14:paraId="599AC6E0" w14:textId="77777777" w:rsidR="00990B14" w:rsidRDefault="00000000">
            <w:pPr>
              <w:numPr>
                <w:ilvl w:val="0"/>
                <w:numId w:val="140"/>
              </w:numPr>
              <w:spacing w:before="10" w:after="10"/>
              <w:jc w:val="both"/>
            </w:pPr>
            <w:r>
              <w:rPr>
                <w:sz w:val="18"/>
                <w:szCs w:val="18"/>
              </w:rPr>
              <w:t>Método de casos: caso integral con entidades de los tres sectores (financieras y comerciales privadas, unidades de auditoría interna del sector público y organizaciones sin fines de lucro) que recorre el análisis de la entidad, el control interno, los riesgos, la planificación, el desarrollo y el informe.</w:t>
            </w:r>
          </w:p>
          <w:p w14:paraId="21CC7444" w14:textId="77777777" w:rsidR="00990B14" w:rsidRDefault="00000000">
            <w:pPr>
              <w:numPr>
                <w:ilvl w:val="0"/>
                <w:numId w:val="140"/>
              </w:numPr>
              <w:spacing w:before="10" w:after="10"/>
              <w:jc w:val="both"/>
            </w:pPr>
            <w:r>
              <w:rPr>
                <w:sz w:val="18"/>
                <w:szCs w:val="18"/>
              </w:rPr>
              <w:t>Resolución guiada de ejercicios en orden de dificultad creciente, desde la comprensión de los marcos hasta la elaboración de planes, memorándum e informes.</w:t>
            </w:r>
          </w:p>
          <w:p w14:paraId="3B9515F7" w14:textId="77777777" w:rsidR="00990B14" w:rsidRDefault="00000000">
            <w:pPr>
              <w:numPr>
                <w:ilvl w:val="0"/>
                <w:numId w:val="140"/>
              </w:numPr>
              <w:spacing w:before="10" w:after="10"/>
              <w:jc w:val="both"/>
            </w:pPr>
            <w:r>
              <w:rPr>
                <w:sz w:val="18"/>
                <w:szCs w:val="18"/>
              </w:rPr>
              <w:t>Aula invertida para los contenidos normativos de la CGE y de los marcos internacionales.</w:t>
            </w:r>
          </w:p>
          <w:p w14:paraId="61788696" w14:textId="77777777" w:rsidR="00990B14" w:rsidRDefault="00000000">
            <w:pPr>
              <w:numPr>
                <w:ilvl w:val="0"/>
                <w:numId w:val="140"/>
              </w:numPr>
              <w:spacing w:before="10" w:after="10"/>
              <w:jc w:val="both"/>
            </w:pPr>
            <w:r>
              <w:rPr>
                <w:sz w:val="18"/>
                <w:szCs w:val="18"/>
              </w:rPr>
              <w:t>Trabajo colaborativo en equipos de taller, con revisión cruzada de borradores.</w:t>
            </w:r>
          </w:p>
          <w:p w14:paraId="67D00ADF" w14:textId="77777777" w:rsidR="00990B14" w:rsidRDefault="00000000">
            <w:pPr>
              <w:numPr>
                <w:ilvl w:val="0"/>
                <w:numId w:val="140"/>
              </w:numPr>
              <w:spacing w:before="10" w:after="10"/>
              <w:jc w:val="both"/>
            </w:pPr>
            <w:r>
              <w:rPr>
                <w:sz w:val="18"/>
                <w:szCs w:val="18"/>
              </w:rPr>
              <w:t>Simulación de reuniones con el comité de auditoría y de cierre con los auditados.</w:t>
            </w:r>
          </w:p>
          <w:p w14:paraId="333DF9CF" w14:textId="77777777" w:rsidR="00990B14" w:rsidRDefault="00000000">
            <w:pPr>
              <w:numPr>
                <w:ilvl w:val="0"/>
                <w:numId w:val="140"/>
              </w:numPr>
              <w:spacing w:before="10" w:after="10"/>
              <w:jc w:val="both"/>
            </w:pPr>
            <w:r>
              <w:rPr>
                <w:sz w:val="18"/>
                <w:szCs w:val="18"/>
              </w:rPr>
              <w:t>Análisis de dilemas éticos para formar la independencia, la objetividad y la confidencialidad del auditor.</w:t>
            </w:r>
          </w:p>
          <w:p w14:paraId="6BA54A25" w14:textId="77777777" w:rsidR="00990B14" w:rsidRDefault="00000000">
            <w:pPr>
              <w:numPr>
                <w:ilvl w:val="0"/>
                <w:numId w:val="140"/>
              </w:numPr>
              <w:spacing w:before="10" w:after="10"/>
              <w:jc w:val="both"/>
            </w:pPr>
            <w:r>
              <w:rPr>
                <w:sz w:val="18"/>
                <w:szCs w:val="18"/>
              </w:rPr>
              <w:t>Modelado docente del uso de la analítica de datos y de la IA, con reflexión ética sobre su empleo y verificación de sus resultados.</w:t>
            </w:r>
          </w:p>
          <w:p w14:paraId="3F1A6660" w14:textId="77777777" w:rsidR="00990B14" w:rsidRDefault="00000000">
            <w:pPr>
              <w:numPr>
                <w:ilvl w:val="0"/>
                <w:numId w:val="140"/>
              </w:numPr>
              <w:spacing w:before="10" w:after="10"/>
              <w:jc w:val="both"/>
            </w:pPr>
            <w:r>
              <w:rPr>
                <w:sz w:val="18"/>
                <w:szCs w:val="18"/>
              </w:rPr>
              <w:t>Transversalidad de la analítica de datos con Power BI y de la IA, desde la planificación hasta el seguimiento, en laboratorio y en todos los elementos de competencia.</w:t>
            </w:r>
          </w:p>
          <w:p w14:paraId="72D6514E" w14:textId="77777777" w:rsidR="00990B14" w:rsidRDefault="00000000">
            <w:pPr>
              <w:numPr>
                <w:ilvl w:val="0"/>
                <w:numId w:val="140"/>
              </w:numPr>
              <w:spacing w:before="10" w:after="10"/>
              <w:jc w:val="both"/>
            </w:pPr>
            <w:r>
              <w:rPr>
                <w:sz w:val="18"/>
                <w:szCs w:val="18"/>
              </w:rPr>
              <w:t>Retroalimentación formativa continua sobre cada producto antes de su versión final.</w:t>
            </w:r>
          </w:p>
        </w:tc>
      </w:tr>
      <w:tr w:rsidR="00990B14" w14:paraId="016063C0" w14:textId="77777777">
        <w:trPr>
          <w:jc w:val="center"/>
        </w:trPr>
        <w:tc>
          <w:tcPr>
            <w:tcW w:w="1490" w:type="dxa"/>
            <w:shd w:val="clear" w:color="auto" w:fill="4472C4"/>
            <w:vAlign w:val="center"/>
          </w:tcPr>
          <w:p w14:paraId="6EFBB815" w14:textId="77777777" w:rsidR="00990B14" w:rsidRDefault="00000000">
            <w:pPr>
              <w:spacing w:before="20" w:after="20"/>
              <w:jc w:val="center"/>
            </w:pPr>
            <w:r>
              <w:rPr>
                <w:b/>
                <w:bCs/>
                <w:i/>
                <w:iCs/>
                <w:color w:val="FFFFFF"/>
                <w:sz w:val="18"/>
                <w:szCs w:val="18"/>
              </w:rPr>
              <w:t>Recursos para el aprendizaje</w:t>
            </w:r>
          </w:p>
        </w:tc>
        <w:tc>
          <w:tcPr>
            <w:tcW w:w="7915" w:type="dxa"/>
            <w:gridSpan w:val="4"/>
            <w:shd w:val="clear" w:color="auto" w:fill="D9E2F3"/>
            <w:vAlign w:val="center"/>
          </w:tcPr>
          <w:p w14:paraId="49D1FAC2" w14:textId="77777777" w:rsidR="00990B14" w:rsidRDefault="00000000">
            <w:pPr>
              <w:numPr>
                <w:ilvl w:val="0"/>
                <w:numId w:val="140"/>
              </w:numPr>
              <w:spacing w:before="10" w:after="10"/>
              <w:jc w:val="both"/>
            </w:pPr>
            <w:r>
              <w:rPr>
                <w:sz w:val="18"/>
                <w:szCs w:val="18"/>
              </w:rPr>
              <w:t>Plataforma Moodle UMSA y laboratorio de cómputo de la Carrera.</w:t>
            </w:r>
          </w:p>
          <w:p w14:paraId="178DCB81" w14:textId="77777777" w:rsidR="00990B14" w:rsidRDefault="00000000">
            <w:pPr>
              <w:numPr>
                <w:ilvl w:val="0"/>
                <w:numId w:val="140"/>
              </w:numPr>
              <w:spacing w:before="10" w:after="10"/>
              <w:jc w:val="both"/>
            </w:pPr>
            <w:r>
              <w:rPr>
                <w:sz w:val="18"/>
                <w:szCs w:val="18"/>
              </w:rPr>
              <w:t>Normas Globales de Auditoría Interna, Requisitos Temáticos y Guías Globales del IIA.</w:t>
            </w:r>
          </w:p>
          <w:p w14:paraId="35C4E456" w14:textId="77777777" w:rsidR="00990B14" w:rsidRDefault="00000000">
            <w:pPr>
              <w:numPr>
                <w:ilvl w:val="0"/>
                <w:numId w:val="140"/>
              </w:numPr>
              <w:spacing w:before="10" w:after="10"/>
              <w:jc w:val="both"/>
            </w:pPr>
            <w:r>
              <w:rPr>
                <w:sz w:val="18"/>
                <w:szCs w:val="18"/>
              </w:rPr>
              <w:t>Normas de Auditoría Gubernamental, Normas para el Ejercicio de la Auditoría Interna y Principios, Normas Generales y Básicas de Control Interno Gubernamental de la CGE; Ley N.º 1178; Decreto Supremo N.º 23215.</w:t>
            </w:r>
          </w:p>
          <w:p w14:paraId="5D78943A" w14:textId="77777777" w:rsidR="00990B14" w:rsidRDefault="00000000">
            <w:pPr>
              <w:numPr>
                <w:ilvl w:val="0"/>
                <w:numId w:val="140"/>
              </w:numPr>
              <w:spacing w:before="10" w:after="10"/>
              <w:jc w:val="both"/>
            </w:pPr>
            <w:r>
              <w:rPr>
                <w:sz w:val="18"/>
                <w:szCs w:val="18"/>
              </w:rPr>
              <w:t>COSO, ISO 31000 y Modelo de las Tres Líneas del IIA.</w:t>
            </w:r>
          </w:p>
          <w:p w14:paraId="75DB5EDE" w14:textId="77777777" w:rsidR="00990B14" w:rsidRDefault="00000000">
            <w:pPr>
              <w:numPr>
                <w:ilvl w:val="0"/>
                <w:numId w:val="140"/>
              </w:numPr>
              <w:spacing w:before="10" w:after="10"/>
              <w:jc w:val="both"/>
            </w:pPr>
            <w:r>
              <w:rPr>
                <w:sz w:val="18"/>
                <w:szCs w:val="18"/>
              </w:rPr>
              <w:t>Principios de Gobierno Corporativo del G20 y de la OCDE 2023, y normativa de la ASFI y de la Autoridad de Fiscalización y Control de Pensiones y Seguros (APS) sobre gobierno corporativo, control interno y gestión de riesgos.</w:t>
            </w:r>
          </w:p>
          <w:p w14:paraId="7BD356C4" w14:textId="77777777" w:rsidR="00990B14" w:rsidRDefault="00000000">
            <w:pPr>
              <w:numPr>
                <w:ilvl w:val="0"/>
                <w:numId w:val="140"/>
              </w:numPr>
              <w:spacing w:before="10" w:after="10"/>
              <w:jc w:val="both"/>
            </w:pPr>
            <w:r>
              <w:rPr>
                <w:sz w:val="18"/>
                <w:szCs w:val="18"/>
              </w:rPr>
              <w:t>Compendio de Normas de Contabilidad y Auditoría del CAUB y Código Internacional de Ética para Contadores Profesionales, en su edición vigente.</w:t>
            </w:r>
          </w:p>
          <w:p w14:paraId="75B4A199" w14:textId="77777777" w:rsidR="00990B14" w:rsidRDefault="00000000">
            <w:pPr>
              <w:numPr>
                <w:ilvl w:val="0"/>
                <w:numId w:val="140"/>
              </w:numPr>
              <w:spacing w:before="10" w:after="10"/>
              <w:jc w:val="both"/>
            </w:pPr>
            <w:r>
              <w:rPr>
                <w:sz w:val="18"/>
                <w:szCs w:val="18"/>
              </w:rPr>
              <w:t>Hoja de cálculo, Power BI y software de gestión de auditoría del laboratorio de cómputo.</w:t>
            </w:r>
          </w:p>
          <w:p w14:paraId="2DA8694A" w14:textId="77777777" w:rsidR="00990B14" w:rsidRDefault="00000000">
            <w:pPr>
              <w:numPr>
                <w:ilvl w:val="0"/>
                <w:numId w:val="140"/>
              </w:numPr>
              <w:spacing w:before="10" w:after="10"/>
              <w:jc w:val="both"/>
            </w:pPr>
            <w:r>
              <w:rPr>
                <w:sz w:val="18"/>
                <w:szCs w:val="18"/>
              </w:rPr>
              <w:t>Plantillas de programas, papeles de trabajo e informes de la cátedra; casos de entidades bolivianas.</w:t>
            </w:r>
          </w:p>
          <w:p w14:paraId="30DBF55B" w14:textId="77777777" w:rsidR="00990B14" w:rsidRDefault="00000000">
            <w:pPr>
              <w:numPr>
                <w:ilvl w:val="0"/>
                <w:numId w:val="140"/>
              </w:numPr>
              <w:spacing w:before="10" w:after="10"/>
              <w:jc w:val="both"/>
            </w:pPr>
            <w:r>
              <w:rPr>
                <w:sz w:val="18"/>
                <w:szCs w:val="18"/>
              </w:rPr>
              <w:t>Marco de Auditoría de IA del IIA, guía de COSO sobre IA generativa y Recomendación de la UNESCO sobre la ética de la IA.</w:t>
            </w:r>
          </w:p>
        </w:tc>
      </w:tr>
      <w:tr w:rsidR="00990B14" w14:paraId="2D257DDC" w14:textId="77777777">
        <w:trPr>
          <w:jc w:val="center"/>
        </w:trPr>
        <w:tc>
          <w:tcPr>
            <w:tcW w:w="1490" w:type="dxa"/>
            <w:shd w:val="clear" w:color="auto" w:fill="4472C4"/>
            <w:vAlign w:val="center"/>
          </w:tcPr>
          <w:p w14:paraId="69DF7F5C" w14:textId="77777777" w:rsidR="00990B14" w:rsidRDefault="00000000">
            <w:pPr>
              <w:spacing w:before="20" w:after="20"/>
              <w:jc w:val="center"/>
            </w:pPr>
            <w:r>
              <w:rPr>
                <w:b/>
                <w:bCs/>
                <w:i/>
                <w:iCs/>
                <w:color w:val="FFFFFF"/>
                <w:sz w:val="18"/>
                <w:szCs w:val="18"/>
              </w:rPr>
              <w:t>Estrategias de evaluación</w:t>
            </w:r>
          </w:p>
        </w:tc>
        <w:tc>
          <w:tcPr>
            <w:tcW w:w="7915" w:type="dxa"/>
            <w:gridSpan w:val="4"/>
            <w:shd w:val="clear" w:color="auto" w:fill="D9E2F3"/>
            <w:vAlign w:val="center"/>
          </w:tcPr>
          <w:p w14:paraId="3E25D89F" w14:textId="77777777" w:rsidR="00990B14" w:rsidRDefault="00000000">
            <w:pPr>
              <w:numPr>
                <w:ilvl w:val="0"/>
                <w:numId w:val="140"/>
              </w:numPr>
              <w:spacing w:before="10" w:after="10"/>
              <w:jc w:val="both"/>
            </w:pPr>
            <w:r>
              <w:rPr>
                <w:b/>
                <w:bCs/>
                <w:sz w:val="18"/>
                <w:szCs w:val="18"/>
              </w:rPr>
              <w:t>Diagnóstica:</w:t>
            </w:r>
            <w:r>
              <w:rPr>
                <w:sz w:val="18"/>
                <w:szCs w:val="18"/>
              </w:rPr>
              <w:t xml:space="preserve"> prueba inicial sobre contabilidad, costos, sistemas de información y normas de auditoría de las asignaturas precedentes; orienta la nivelación y no se califica.</w:t>
            </w:r>
          </w:p>
          <w:p w14:paraId="4CF415CA" w14:textId="77777777" w:rsidR="00990B14" w:rsidRDefault="00000000">
            <w:pPr>
              <w:numPr>
                <w:ilvl w:val="0"/>
                <w:numId w:val="140"/>
              </w:numPr>
              <w:spacing w:before="10" w:after="10"/>
              <w:jc w:val="both"/>
            </w:pPr>
            <w:r>
              <w:rPr>
                <w:b/>
                <w:bCs/>
                <w:sz w:val="18"/>
                <w:szCs w:val="18"/>
              </w:rPr>
              <w:t>Formativa:</w:t>
            </w:r>
            <w:r>
              <w:rPr>
                <w:sz w:val="18"/>
                <w:szCs w:val="18"/>
              </w:rPr>
              <w:t xml:space="preserve"> preguntas de comprensión, cuestionarios en Moodle, revisión de borradores de cada producto y retroalimentación continua, con autoevaluación y coevaluación con listas de cotejo, y observación de la conducta profesional: integridad, objetividad, confidencialidad, trabajo en equipo y cumplimiento de plazos.</w:t>
            </w:r>
          </w:p>
          <w:p w14:paraId="4AF4D1E8" w14:textId="77777777" w:rsidR="00990B14" w:rsidRDefault="00000000">
            <w:pPr>
              <w:numPr>
                <w:ilvl w:val="0"/>
                <w:numId w:val="140"/>
              </w:numPr>
              <w:spacing w:before="10" w:after="10"/>
              <w:jc w:val="both"/>
            </w:pPr>
            <w:r>
              <w:rPr>
                <w:b/>
                <w:bCs/>
                <w:sz w:val="18"/>
                <w:szCs w:val="18"/>
              </w:rPr>
              <w:t>Sumativa:</w:t>
            </w:r>
            <w:r>
              <w:rPr>
                <w:sz w:val="18"/>
                <w:szCs w:val="18"/>
              </w:rPr>
              <w:t xml:space="preserve"> heteroevaluación de los 24 productos con su rúbrica; verificación de las evidencias de conocimiento en la sustentación de cada producto y en un control escrito al cierre de cada elemento de competencia; cuando el reglamento de evaluación de la Carrera exija exámenes parciales y final, el control escrito de cada elemento cumple la función de examen parcial y se aplica un examen final integrador sobre el caso integral.</w:t>
            </w:r>
          </w:p>
        </w:tc>
      </w:tr>
      <w:tr w:rsidR="00990B14" w14:paraId="031D61AE" w14:textId="77777777">
        <w:trPr>
          <w:jc w:val="center"/>
        </w:trPr>
        <w:tc>
          <w:tcPr>
            <w:tcW w:w="1490" w:type="dxa"/>
            <w:shd w:val="clear" w:color="auto" w:fill="4472C4"/>
            <w:vAlign w:val="center"/>
          </w:tcPr>
          <w:p w14:paraId="125A2CD4" w14:textId="77777777" w:rsidR="00990B14" w:rsidRDefault="00000000">
            <w:pPr>
              <w:spacing w:before="20" w:after="20"/>
              <w:jc w:val="center"/>
            </w:pPr>
            <w:r>
              <w:rPr>
                <w:b/>
                <w:bCs/>
                <w:i/>
                <w:iCs/>
                <w:color w:val="FFFFFF"/>
                <w:sz w:val="18"/>
                <w:szCs w:val="18"/>
              </w:rPr>
              <w:t>Criterios de calificación</w:t>
            </w:r>
          </w:p>
        </w:tc>
        <w:tc>
          <w:tcPr>
            <w:tcW w:w="7915" w:type="dxa"/>
            <w:gridSpan w:val="4"/>
            <w:shd w:val="clear" w:color="auto" w:fill="D9E2F3"/>
            <w:vAlign w:val="center"/>
          </w:tcPr>
          <w:p w14:paraId="28767491" w14:textId="77777777" w:rsidR="00990B14" w:rsidRDefault="00000000">
            <w:pPr>
              <w:numPr>
                <w:ilvl w:val="0"/>
                <w:numId w:val="140"/>
              </w:numPr>
              <w:spacing w:before="10" w:after="10"/>
              <w:jc w:val="both"/>
            </w:pPr>
            <w:r>
              <w:rPr>
                <w:sz w:val="18"/>
                <w:szCs w:val="18"/>
              </w:rPr>
              <w:t>Nota mínima de aprobación: 51/100.</w:t>
            </w:r>
          </w:p>
          <w:p w14:paraId="6362B750" w14:textId="77777777" w:rsidR="00990B14" w:rsidRDefault="00000000">
            <w:pPr>
              <w:numPr>
                <w:ilvl w:val="0"/>
                <w:numId w:val="140"/>
              </w:numPr>
              <w:spacing w:before="10" w:after="10"/>
              <w:jc w:val="both"/>
            </w:pPr>
            <w:r>
              <w:rPr>
                <w:sz w:val="18"/>
                <w:szCs w:val="18"/>
              </w:rPr>
              <w:t>Cada producto se califica con su propia rúbrica de tres criterios, que corresponden al conocimiento, al procedimiento, la actitud y la tecnología.</w:t>
            </w:r>
          </w:p>
          <w:p w14:paraId="5D1F73B1" w14:textId="77777777" w:rsidR="00990B14" w:rsidRDefault="00000000">
            <w:pPr>
              <w:numPr>
                <w:ilvl w:val="0"/>
                <w:numId w:val="140"/>
              </w:numPr>
              <w:spacing w:before="10" w:after="10"/>
              <w:jc w:val="both"/>
            </w:pPr>
            <w:r>
              <w:rPr>
                <w:sz w:val="18"/>
                <w:szCs w:val="18"/>
              </w:rPr>
              <w:t>Escala por criterio: Insuficiente 1 a 50, Suficiente 51 a 80 y Destacado 81 a 100. La nota del producto es el promedio de sus criterios.</w:t>
            </w:r>
          </w:p>
          <w:p w14:paraId="1AA64244" w14:textId="77777777" w:rsidR="00990B14" w:rsidRDefault="00000000">
            <w:pPr>
              <w:numPr>
                <w:ilvl w:val="0"/>
                <w:numId w:val="140"/>
              </w:numPr>
              <w:spacing w:before="10" w:after="10"/>
              <w:jc w:val="both"/>
            </w:pPr>
            <w:r>
              <w:rPr>
                <w:sz w:val="18"/>
                <w:szCs w:val="18"/>
              </w:rPr>
              <w:t>El aporte de cada producto a la nota final es la nota del producto multiplicada por su ponderación y dividida entre 100.</w:t>
            </w:r>
          </w:p>
          <w:p w14:paraId="7748F2EE" w14:textId="77777777" w:rsidR="00990B14" w:rsidRDefault="00000000">
            <w:pPr>
              <w:numPr>
                <w:ilvl w:val="0"/>
                <w:numId w:val="140"/>
              </w:numPr>
              <w:spacing w:before="10" w:after="10"/>
              <w:jc w:val="both"/>
            </w:pPr>
            <w:r>
              <w:rPr>
                <w:sz w:val="18"/>
                <w:szCs w:val="18"/>
              </w:rPr>
              <w:t>La nota de cada elemento es la suma de los aportes de sus cuatro productos: elemento 1, 12 %; elemento 2, 13 %; elemento 3, 13 %; elemento 4, 10 %; elemento 5, 26 %, y elemento 6, 26 %.</w:t>
            </w:r>
          </w:p>
          <w:p w14:paraId="449C988F" w14:textId="77777777" w:rsidR="00990B14" w:rsidRDefault="00000000">
            <w:pPr>
              <w:numPr>
                <w:ilvl w:val="0"/>
                <w:numId w:val="140"/>
              </w:numPr>
              <w:spacing w:before="10" w:after="10"/>
              <w:jc w:val="both"/>
            </w:pPr>
            <w:r>
              <w:rPr>
                <w:sz w:val="18"/>
                <w:szCs w:val="18"/>
              </w:rPr>
              <w:t>La ponderación de los productos se distribuye por tipo: esquemas 15 %, cuadros 15 %, informes 30 % y documentos 40 %, en partes iguales dentro de cada tipo y con un producto de ajuste cuando la división no es exacta.</w:t>
            </w:r>
          </w:p>
          <w:p w14:paraId="469588C8" w14:textId="77777777" w:rsidR="00990B14" w:rsidRDefault="00000000">
            <w:pPr>
              <w:numPr>
                <w:ilvl w:val="0"/>
                <w:numId w:val="140"/>
              </w:numPr>
              <w:spacing w:before="10" w:after="10"/>
              <w:jc w:val="both"/>
            </w:pPr>
            <w:r>
              <w:rPr>
                <w:sz w:val="18"/>
                <w:szCs w:val="18"/>
              </w:rPr>
              <w:t>El control escrito de cada elemento verifica las evidencias de conocimiento y se integra al criterio de conocimiento de las rúbricas de ese elemento.</w:t>
            </w:r>
          </w:p>
          <w:p w14:paraId="71AD2A88" w14:textId="77777777" w:rsidR="00990B14" w:rsidRDefault="00000000">
            <w:pPr>
              <w:numPr>
                <w:ilvl w:val="0"/>
                <w:numId w:val="140"/>
              </w:numPr>
              <w:spacing w:before="10" w:after="10"/>
              <w:jc w:val="both"/>
            </w:pPr>
            <w:r>
              <w:rPr>
                <w:sz w:val="18"/>
                <w:szCs w:val="18"/>
              </w:rPr>
              <w:t>Cuando el reglamento de evaluación de la Carrera exija examen final, su nota se integra al criterio de conocimiento de las rúbricas de todos los elementos, sin alterar la ponderación de los productos.</w:t>
            </w:r>
          </w:p>
          <w:p w14:paraId="1B45A75C" w14:textId="77777777" w:rsidR="00990B14" w:rsidRDefault="00000000">
            <w:pPr>
              <w:numPr>
                <w:ilvl w:val="0"/>
                <w:numId w:val="140"/>
              </w:numPr>
              <w:spacing w:before="10" w:after="10"/>
              <w:jc w:val="both"/>
            </w:pPr>
            <w:r>
              <w:rPr>
                <w:sz w:val="18"/>
                <w:szCs w:val="18"/>
              </w:rPr>
              <w:t>En los productos de equipo, la coevaluación puede ajustar la nota individual hasta en 10 puntos.</w:t>
            </w:r>
          </w:p>
          <w:p w14:paraId="5A3222F3" w14:textId="77777777" w:rsidR="00990B14" w:rsidRDefault="00000000">
            <w:pPr>
              <w:numPr>
                <w:ilvl w:val="0"/>
                <w:numId w:val="140"/>
              </w:numPr>
              <w:spacing w:before="10" w:after="10"/>
              <w:jc w:val="both"/>
            </w:pPr>
            <w:r>
              <w:rPr>
                <w:sz w:val="18"/>
                <w:szCs w:val="18"/>
              </w:rPr>
              <w:t>Los productos que incluyen resultados de IA registran las instrucciones empleadas y la verificación de esos resultados; la responsabilidad profesional sobre lo entregado es de su autor.</w:t>
            </w:r>
          </w:p>
          <w:p w14:paraId="5073BCC3" w14:textId="77777777" w:rsidR="00990B14" w:rsidRDefault="00000000">
            <w:pPr>
              <w:numPr>
                <w:ilvl w:val="0"/>
                <w:numId w:val="140"/>
              </w:numPr>
              <w:spacing w:before="10" w:after="10"/>
              <w:jc w:val="both"/>
            </w:pPr>
            <w:r>
              <w:rPr>
                <w:sz w:val="18"/>
                <w:szCs w:val="18"/>
              </w:rPr>
              <w:t>La evaluación es periódica, al finalizar cada tema, y se basa en las evidencias de conocimiento, de desempeño y de producto.</w:t>
            </w:r>
          </w:p>
        </w:tc>
      </w:tr>
      <w:tr w:rsidR="00990B14" w14:paraId="05BABBD0" w14:textId="77777777">
        <w:trPr>
          <w:cantSplit/>
          <w:jc w:val="center"/>
        </w:trPr>
        <w:tc>
          <w:tcPr>
            <w:tcW w:w="1490" w:type="dxa"/>
            <w:vMerge w:val="restart"/>
            <w:shd w:val="clear" w:color="auto" w:fill="4472C4"/>
            <w:vAlign w:val="center"/>
          </w:tcPr>
          <w:p w14:paraId="193905B6" w14:textId="77777777" w:rsidR="00990B14" w:rsidRDefault="00000000">
            <w:pPr>
              <w:spacing w:before="20" w:after="20"/>
              <w:jc w:val="center"/>
            </w:pPr>
            <w:r>
              <w:rPr>
                <w:b/>
                <w:bCs/>
                <w:i/>
                <w:iCs/>
                <w:color w:val="FFFFFF"/>
                <w:sz w:val="18"/>
                <w:szCs w:val="18"/>
              </w:rPr>
              <w:t>Niveles de logro y distribución de la calificación</w:t>
            </w:r>
          </w:p>
        </w:tc>
        <w:tc>
          <w:tcPr>
            <w:tcW w:w="6038" w:type="dxa"/>
            <w:gridSpan w:val="3"/>
            <w:shd w:val="clear" w:color="auto" w:fill="D9E2F3"/>
            <w:vAlign w:val="center"/>
          </w:tcPr>
          <w:p w14:paraId="3B9CE51F" w14:textId="77777777" w:rsidR="00990B14" w:rsidRDefault="00000000">
            <w:pPr>
              <w:keepNext/>
              <w:spacing w:before="20" w:after="20"/>
              <w:jc w:val="both"/>
            </w:pPr>
            <w:r>
              <w:rPr>
                <w:b/>
                <w:bCs/>
                <w:i/>
                <w:iCs/>
                <w:sz w:val="18"/>
                <w:szCs w:val="18"/>
              </w:rPr>
              <w:t xml:space="preserve">Producto 1: </w:t>
            </w:r>
            <w:r>
              <w:rPr>
                <w:sz w:val="18"/>
                <w:szCs w:val="18"/>
              </w:rPr>
              <w:t>Cuadro comparativo de la estructura organizativa y la naturaleza jurídica de entidades públicas y privadas.</w:t>
            </w:r>
          </w:p>
        </w:tc>
        <w:tc>
          <w:tcPr>
            <w:tcW w:w="1877" w:type="dxa"/>
            <w:shd w:val="clear" w:color="auto" w:fill="D9E2F3"/>
            <w:vAlign w:val="center"/>
          </w:tcPr>
          <w:p w14:paraId="0D0EA41E" w14:textId="77777777" w:rsidR="00990B14" w:rsidRDefault="00000000">
            <w:pPr>
              <w:spacing w:before="20" w:after="20"/>
              <w:jc w:val="center"/>
            </w:pPr>
            <w:r>
              <w:rPr>
                <w:b/>
                <w:bCs/>
                <w:sz w:val="18"/>
                <w:szCs w:val="18"/>
              </w:rPr>
              <w:t>2%</w:t>
            </w:r>
          </w:p>
        </w:tc>
      </w:tr>
      <w:tr w:rsidR="00990B14" w14:paraId="41B091D8" w14:textId="77777777">
        <w:trPr>
          <w:cantSplit/>
          <w:jc w:val="center"/>
        </w:trPr>
        <w:tc>
          <w:tcPr>
            <w:tcW w:w="1490" w:type="dxa"/>
            <w:vMerge/>
            <w:shd w:val="clear" w:color="auto" w:fill="4472C4"/>
            <w:vAlign w:val="center"/>
          </w:tcPr>
          <w:p w14:paraId="67C3D4C8" w14:textId="77777777" w:rsidR="00990B14" w:rsidRDefault="00990B14">
            <w:pPr>
              <w:spacing w:before="20" w:after="20"/>
            </w:pPr>
          </w:p>
        </w:tc>
        <w:tc>
          <w:tcPr>
            <w:tcW w:w="2015" w:type="dxa"/>
            <w:shd w:val="clear" w:color="auto" w:fill="4472C4"/>
            <w:vAlign w:val="center"/>
          </w:tcPr>
          <w:p w14:paraId="5EC6DBAA"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0DE5EEE3" w14:textId="77777777" w:rsidR="00990B14" w:rsidRDefault="00000000">
            <w:pPr>
              <w:keepNext/>
              <w:spacing w:before="20" w:after="20"/>
              <w:jc w:val="center"/>
            </w:pPr>
            <w:r>
              <w:rPr>
                <w:b/>
                <w:bCs/>
                <w:i/>
                <w:iCs/>
                <w:color w:val="FFFFFF"/>
                <w:sz w:val="18"/>
                <w:szCs w:val="18"/>
              </w:rPr>
              <w:t>Insuficiente (1–50)</w:t>
            </w:r>
          </w:p>
        </w:tc>
        <w:tc>
          <w:tcPr>
            <w:tcW w:w="2008" w:type="dxa"/>
            <w:shd w:val="clear" w:color="auto" w:fill="4472C4"/>
            <w:vAlign w:val="center"/>
          </w:tcPr>
          <w:p w14:paraId="490A440B"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29E14213" w14:textId="77777777" w:rsidR="00990B14" w:rsidRDefault="00000000">
            <w:pPr>
              <w:keepNext/>
              <w:spacing w:before="20" w:after="20"/>
              <w:jc w:val="center"/>
            </w:pPr>
            <w:r>
              <w:rPr>
                <w:b/>
                <w:bCs/>
                <w:i/>
                <w:iCs/>
                <w:color w:val="FFFFFF"/>
                <w:sz w:val="18"/>
                <w:szCs w:val="18"/>
              </w:rPr>
              <w:t>Destacado (81–100)</w:t>
            </w:r>
          </w:p>
        </w:tc>
      </w:tr>
      <w:tr w:rsidR="00990B14" w14:paraId="2F0ACF5A" w14:textId="77777777">
        <w:trPr>
          <w:cantSplit/>
          <w:jc w:val="center"/>
        </w:trPr>
        <w:tc>
          <w:tcPr>
            <w:tcW w:w="1490" w:type="dxa"/>
            <w:vMerge/>
            <w:shd w:val="clear" w:color="auto" w:fill="4472C4"/>
            <w:vAlign w:val="center"/>
          </w:tcPr>
          <w:p w14:paraId="2DD7D520" w14:textId="77777777" w:rsidR="00990B14" w:rsidRDefault="00990B14">
            <w:pPr>
              <w:spacing w:before="20" w:after="20"/>
            </w:pPr>
          </w:p>
        </w:tc>
        <w:tc>
          <w:tcPr>
            <w:tcW w:w="2015" w:type="dxa"/>
            <w:shd w:val="clear" w:color="auto" w:fill="D9E2F3"/>
            <w:vAlign w:val="center"/>
          </w:tcPr>
          <w:p w14:paraId="4C17F54E" w14:textId="77777777" w:rsidR="00990B14" w:rsidRDefault="00000000">
            <w:pPr>
              <w:spacing w:before="20" w:after="20"/>
              <w:jc w:val="both"/>
            </w:pPr>
            <w:r>
              <w:rPr>
                <w:sz w:val="18"/>
                <w:szCs w:val="18"/>
              </w:rPr>
              <w:t>Naturaleza jurídica</w:t>
            </w:r>
          </w:p>
        </w:tc>
        <w:tc>
          <w:tcPr>
            <w:tcW w:w="2015" w:type="dxa"/>
            <w:shd w:val="clear" w:color="auto" w:fill="D9E2F3"/>
            <w:vAlign w:val="center"/>
          </w:tcPr>
          <w:p w14:paraId="4E2A9284" w14:textId="77777777" w:rsidR="00990B14" w:rsidRDefault="00000000">
            <w:pPr>
              <w:spacing w:before="20" w:after="20"/>
              <w:jc w:val="both"/>
            </w:pPr>
            <w:r>
              <w:rPr>
                <w:sz w:val="18"/>
                <w:szCs w:val="18"/>
              </w:rPr>
              <w:t>Confunde el régimen jurídico de las entidades públicas y privadas.</w:t>
            </w:r>
          </w:p>
        </w:tc>
        <w:tc>
          <w:tcPr>
            <w:tcW w:w="2008" w:type="dxa"/>
            <w:shd w:val="clear" w:color="auto" w:fill="D9E2F3"/>
            <w:vAlign w:val="center"/>
          </w:tcPr>
          <w:p w14:paraId="5243C258" w14:textId="77777777" w:rsidR="00990B14" w:rsidRDefault="00000000">
            <w:pPr>
              <w:spacing w:before="20" w:after="20"/>
              <w:jc w:val="both"/>
            </w:pPr>
            <w:r>
              <w:rPr>
                <w:sz w:val="18"/>
                <w:szCs w:val="18"/>
              </w:rPr>
              <w:t>Distingue el régimen jurídico de cada tipo de entidad.</w:t>
            </w:r>
          </w:p>
        </w:tc>
        <w:tc>
          <w:tcPr>
            <w:tcW w:w="1877" w:type="dxa"/>
            <w:shd w:val="clear" w:color="auto" w:fill="D9E2F3"/>
            <w:vAlign w:val="center"/>
          </w:tcPr>
          <w:p w14:paraId="0C83957F" w14:textId="77777777" w:rsidR="00990B14" w:rsidRDefault="00000000">
            <w:pPr>
              <w:spacing w:before="20" w:after="20"/>
              <w:jc w:val="both"/>
            </w:pPr>
            <w:r>
              <w:rPr>
                <w:sz w:val="18"/>
                <w:szCs w:val="18"/>
              </w:rPr>
              <w:t>Relaciona el régimen jurídico con las obligaciones de rendición de cuentas.</w:t>
            </w:r>
          </w:p>
        </w:tc>
      </w:tr>
      <w:tr w:rsidR="00990B14" w14:paraId="375A4851" w14:textId="77777777">
        <w:trPr>
          <w:cantSplit/>
          <w:jc w:val="center"/>
        </w:trPr>
        <w:tc>
          <w:tcPr>
            <w:tcW w:w="1490" w:type="dxa"/>
            <w:vMerge/>
            <w:shd w:val="clear" w:color="auto" w:fill="4472C4"/>
            <w:vAlign w:val="center"/>
          </w:tcPr>
          <w:p w14:paraId="4CC17B99" w14:textId="77777777" w:rsidR="00990B14" w:rsidRDefault="00990B14">
            <w:pPr>
              <w:spacing w:before="20" w:after="20"/>
            </w:pPr>
          </w:p>
        </w:tc>
        <w:tc>
          <w:tcPr>
            <w:tcW w:w="2015" w:type="dxa"/>
            <w:shd w:val="clear" w:color="auto" w:fill="D9E2F3"/>
            <w:vAlign w:val="center"/>
          </w:tcPr>
          <w:p w14:paraId="35AF767F" w14:textId="77777777" w:rsidR="00990B14" w:rsidRDefault="00000000">
            <w:pPr>
              <w:spacing w:before="20" w:after="20"/>
              <w:jc w:val="both"/>
            </w:pPr>
            <w:r>
              <w:rPr>
                <w:sz w:val="18"/>
                <w:szCs w:val="18"/>
              </w:rPr>
              <w:t>Estructura organizativa</w:t>
            </w:r>
          </w:p>
        </w:tc>
        <w:tc>
          <w:tcPr>
            <w:tcW w:w="2015" w:type="dxa"/>
            <w:shd w:val="clear" w:color="auto" w:fill="D9E2F3"/>
            <w:vAlign w:val="center"/>
          </w:tcPr>
          <w:p w14:paraId="2761BEC7" w14:textId="77777777" w:rsidR="00990B14" w:rsidRDefault="00000000">
            <w:pPr>
              <w:spacing w:before="20" w:after="20"/>
              <w:jc w:val="both"/>
            </w:pPr>
            <w:r>
              <w:rPr>
                <w:sz w:val="18"/>
                <w:szCs w:val="18"/>
              </w:rPr>
              <w:t>Omite componentes de la estructura organizativa.</w:t>
            </w:r>
          </w:p>
        </w:tc>
        <w:tc>
          <w:tcPr>
            <w:tcW w:w="2008" w:type="dxa"/>
            <w:shd w:val="clear" w:color="auto" w:fill="D9E2F3"/>
            <w:vAlign w:val="center"/>
          </w:tcPr>
          <w:p w14:paraId="6BE0AD8F" w14:textId="77777777" w:rsidR="00990B14" w:rsidRDefault="00000000">
            <w:pPr>
              <w:spacing w:before="20" w:after="20"/>
              <w:jc w:val="both"/>
            </w:pPr>
            <w:r>
              <w:rPr>
                <w:sz w:val="18"/>
                <w:szCs w:val="18"/>
              </w:rPr>
              <w:t>Compara los componentes de la estructura de cada entidad.</w:t>
            </w:r>
          </w:p>
        </w:tc>
        <w:tc>
          <w:tcPr>
            <w:tcW w:w="1877" w:type="dxa"/>
            <w:shd w:val="clear" w:color="auto" w:fill="D9E2F3"/>
            <w:vAlign w:val="center"/>
          </w:tcPr>
          <w:p w14:paraId="256F3BEA" w14:textId="77777777" w:rsidR="00990B14" w:rsidRDefault="00000000">
            <w:pPr>
              <w:spacing w:before="20" w:after="20"/>
              <w:jc w:val="both"/>
            </w:pPr>
            <w:r>
              <w:rPr>
                <w:sz w:val="18"/>
                <w:szCs w:val="18"/>
              </w:rPr>
              <w:t>Analiza el efecto de la estructura en la dependencia y el control.</w:t>
            </w:r>
          </w:p>
        </w:tc>
      </w:tr>
      <w:tr w:rsidR="00990B14" w14:paraId="71F84E13" w14:textId="77777777">
        <w:trPr>
          <w:cantSplit/>
          <w:jc w:val="center"/>
        </w:trPr>
        <w:tc>
          <w:tcPr>
            <w:tcW w:w="1490" w:type="dxa"/>
            <w:vMerge/>
            <w:shd w:val="clear" w:color="auto" w:fill="4472C4"/>
            <w:vAlign w:val="center"/>
          </w:tcPr>
          <w:p w14:paraId="1D9509C5" w14:textId="77777777" w:rsidR="00990B14" w:rsidRDefault="00990B14">
            <w:pPr>
              <w:spacing w:before="20" w:after="20"/>
            </w:pPr>
          </w:p>
        </w:tc>
        <w:tc>
          <w:tcPr>
            <w:tcW w:w="2015" w:type="dxa"/>
            <w:shd w:val="clear" w:color="auto" w:fill="D9E2F3"/>
            <w:vAlign w:val="center"/>
          </w:tcPr>
          <w:p w14:paraId="79A482D6" w14:textId="77777777" w:rsidR="00990B14" w:rsidRDefault="00000000">
            <w:pPr>
              <w:spacing w:before="20" w:after="20"/>
              <w:jc w:val="both"/>
            </w:pPr>
            <w:r>
              <w:rPr>
                <w:sz w:val="18"/>
                <w:szCs w:val="18"/>
              </w:rPr>
              <w:t>Presentación del cuadro</w:t>
            </w:r>
          </w:p>
        </w:tc>
        <w:tc>
          <w:tcPr>
            <w:tcW w:w="2015" w:type="dxa"/>
            <w:shd w:val="clear" w:color="auto" w:fill="D9E2F3"/>
            <w:vAlign w:val="center"/>
          </w:tcPr>
          <w:p w14:paraId="373C3564" w14:textId="77777777" w:rsidR="00990B14" w:rsidRDefault="00000000">
            <w:pPr>
              <w:spacing w:before="20" w:after="20"/>
              <w:jc w:val="both"/>
            </w:pPr>
            <w:r>
              <w:rPr>
                <w:sz w:val="18"/>
                <w:szCs w:val="18"/>
              </w:rPr>
              <w:t>El cuadro es desordenado o incompleto.</w:t>
            </w:r>
          </w:p>
        </w:tc>
        <w:tc>
          <w:tcPr>
            <w:tcW w:w="2008" w:type="dxa"/>
            <w:shd w:val="clear" w:color="auto" w:fill="D9E2F3"/>
            <w:vAlign w:val="center"/>
          </w:tcPr>
          <w:p w14:paraId="1BD91BAA" w14:textId="77777777" w:rsidR="00990B14" w:rsidRDefault="00000000">
            <w:pPr>
              <w:spacing w:before="20" w:after="20"/>
              <w:jc w:val="both"/>
            </w:pPr>
            <w:r>
              <w:rPr>
                <w:sz w:val="18"/>
                <w:szCs w:val="18"/>
              </w:rPr>
              <w:t>Presenta el cuadro ordenado con criterios de comparación definidos.</w:t>
            </w:r>
          </w:p>
        </w:tc>
        <w:tc>
          <w:tcPr>
            <w:tcW w:w="1877" w:type="dxa"/>
            <w:shd w:val="clear" w:color="auto" w:fill="D9E2F3"/>
            <w:vAlign w:val="center"/>
          </w:tcPr>
          <w:p w14:paraId="73071688" w14:textId="77777777" w:rsidR="00990B14" w:rsidRDefault="00000000">
            <w:pPr>
              <w:spacing w:before="20" w:after="20"/>
              <w:jc w:val="both"/>
            </w:pPr>
            <w:r>
              <w:rPr>
                <w:sz w:val="18"/>
                <w:szCs w:val="18"/>
              </w:rPr>
              <w:t>Presenta el cuadro con criterios claros y ejemplos de entidades bolivianas.</w:t>
            </w:r>
          </w:p>
        </w:tc>
      </w:tr>
      <w:tr w:rsidR="00990B14" w14:paraId="5E9FFECE" w14:textId="77777777">
        <w:trPr>
          <w:cantSplit/>
          <w:jc w:val="center"/>
        </w:trPr>
        <w:tc>
          <w:tcPr>
            <w:tcW w:w="1490" w:type="dxa"/>
            <w:vMerge/>
            <w:shd w:val="clear" w:color="auto" w:fill="4472C4"/>
            <w:vAlign w:val="center"/>
          </w:tcPr>
          <w:p w14:paraId="5DD813AE" w14:textId="77777777" w:rsidR="00990B14" w:rsidRDefault="00990B14">
            <w:pPr>
              <w:spacing w:before="20" w:after="20"/>
            </w:pPr>
          </w:p>
        </w:tc>
        <w:tc>
          <w:tcPr>
            <w:tcW w:w="6038" w:type="dxa"/>
            <w:gridSpan w:val="3"/>
            <w:shd w:val="clear" w:color="auto" w:fill="D9E2F3"/>
            <w:vAlign w:val="center"/>
          </w:tcPr>
          <w:p w14:paraId="4577DFE3" w14:textId="77777777" w:rsidR="00990B14" w:rsidRDefault="00000000">
            <w:pPr>
              <w:keepNext/>
              <w:spacing w:before="20" w:after="20"/>
              <w:jc w:val="both"/>
            </w:pPr>
            <w:r>
              <w:rPr>
                <w:b/>
                <w:bCs/>
                <w:i/>
                <w:iCs/>
                <w:sz w:val="18"/>
                <w:szCs w:val="18"/>
              </w:rPr>
              <w:t xml:space="preserve">Producto 2: </w:t>
            </w:r>
            <w:r>
              <w:rPr>
                <w:sz w:val="18"/>
                <w:szCs w:val="18"/>
              </w:rPr>
              <w:t>Informe de evaluación del modelo de gestión institucional, aplicando herramientas y técnicas de diagnóstico organizacional.</w:t>
            </w:r>
          </w:p>
        </w:tc>
        <w:tc>
          <w:tcPr>
            <w:tcW w:w="1877" w:type="dxa"/>
            <w:shd w:val="clear" w:color="auto" w:fill="D9E2F3"/>
            <w:vAlign w:val="center"/>
          </w:tcPr>
          <w:p w14:paraId="22D4F3F7" w14:textId="77777777" w:rsidR="00990B14" w:rsidRDefault="00000000">
            <w:pPr>
              <w:spacing w:before="20" w:after="20"/>
              <w:jc w:val="center"/>
            </w:pPr>
            <w:r>
              <w:rPr>
                <w:b/>
                <w:bCs/>
                <w:sz w:val="18"/>
                <w:szCs w:val="18"/>
              </w:rPr>
              <w:t>4%</w:t>
            </w:r>
          </w:p>
        </w:tc>
      </w:tr>
      <w:tr w:rsidR="00990B14" w14:paraId="0E2CECA9" w14:textId="77777777">
        <w:trPr>
          <w:cantSplit/>
          <w:jc w:val="center"/>
        </w:trPr>
        <w:tc>
          <w:tcPr>
            <w:tcW w:w="1490" w:type="dxa"/>
            <w:vMerge/>
            <w:shd w:val="clear" w:color="auto" w:fill="4472C4"/>
            <w:vAlign w:val="center"/>
          </w:tcPr>
          <w:p w14:paraId="3AFF07E4" w14:textId="77777777" w:rsidR="00990B14" w:rsidRDefault="00990B14">
            <w:pPr>
              <w:spacing w:before="20" w:after="20"/>
            </w:pPr>
          </w:p>
        </w:tc>
        <w:tc>
          <w:tcPr>
            <w:tcW w:w="2015" w:type="dxa"/>
            <w:shd w:val="clear" w:color="auto" w:fill="4472C4"/>
            <w:vAlign w:val="center"/>
          </w:tcPr>
          <w:p w14:paraId="64DE949C"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49F81C42" w14:textId="77777777" w:rsidR="00990B14" w:rsidRDefault="00000000">
            <w:pPr>
              <w:keepNext/>
              <w:spacing w:before="20" w:after="20"/>
              <w:jc w:val="center"/>
            </w:pPr>
            <w:r>
              <w:rPr>
                <w:b/>
                <w:bCs/>
                <w:i/>
                <w:iCs/>
                <w:color w:val="FFFFFF"/>
                <w:sz w:val="18"/>
                <w:szCs w:val="18"/>
              </w:rPr>
              <w:t>Insuficiente (1–50)</w:t>
            </w:r>
          </w:p>
        </w:tc>
        <w:tc>
          <w:tcPr>
            <w:tcW w:w="2008" w:type="dxa"/>
            <w:shd w:val="clear" w:color="auto" w:fill="4472C4"/>
            <w:vAlign w:val="center"/>
          </w:tcPr>
          <w:p w14:paraId="4E60E5EB"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76614F52" w14:textId="77777777" w:rsidR="00990B14" w:rsidRDefault="00000000">
            <w:pPr>
              <w:keepNext/>
              <w:spacing w:before="20" w:after="20"/>
              <w:jc w:val="center"/>
            </w:pPr>
            <w:r>
              <w:rPr>
                <w:b/>
                <w:bCs/>
                <w:i/>
                <w:iCs/>
                <w:color w:val="FFFFFF"/>
                <w:sz w:val="18"/>
                <w:szCs w:val="18"/>
              </w:rPr>
              <w:t>Destacado (81–100)</w:t>
            </w:r>
          </w:p>
        </w:tc>
      </w:tr>
      <w:tr w:rsidR="00990B14" w14:paraId="5ABD282D" w14:textId="77777777">
        <w:trPr>
          <w:cantSplit/>
          <w:jc w:val="center"/>
        </w:trPr>
        <w:tc>
          <w:tcPr>
            <w:tcW w:w="1490" w:type="dxa"/>
            <w:vMerge/>
            <w:shd w:val="clear" w:color="auto" w:fill="4472C4"/>
            <w:vAlign w:val="center"/>
          </w:tcPr>
          <w:p w14:paraId="6C7FCA36" w14:textId="77777777" w:rsidR="00990B14" w:rsidRDefault="00990B14">
            <w:pPr>
              <w:spacing w:before="20" w:after="20"/>
            </w:pPr>
          </w:p>
        </w:tc>
        <w:tc>
          <w:tcPr>
            <w:tcW w:w="2015" w:type="dxa"/>
            <w:shd w:val="clear" w:color="auto" w:fill="D9E2F3"/>
            <w:vAlign w:val="center"/>
          </w:tcPr>
          <w:p w14:paraId="7D7D6A02" w14:textId="77777777" w:rsidR="00990B14" w:rsidRDefault="00000000">
            <w:pPr>
              <w:spacing w:before="20" w:after="20"/>
              <w:jc w:val="both"/>
            </w:pPr>
            <w:r>
              <w:rPr>
                <w:sz w:val="18"/>
                <w:szCs w:val="18"/>
              </w:rPr>
              <w:t>Selección de herramientas</w:t>
            </w:r>
          </w:p>
        </w:tc>
        <w:tc>
          <w:tcPr>
            <w:tcW w:w="2015" w:type="dxa"/>
            <w:shd w:val="clear" w:color="auto" w:fill="D9E2F3"/>
            <w:vAlign w:val="center"/>
          </w:tcPr>
          <w:p w14:paraId="4F58BA40" w14:textId="77777777" w:rsidR="00990B14" w:rsidRDefault="00000000">
            <w:pPr>
              <w:spacing w:before="20" w:after="20"/>
              <w:jc w:val="both"/>
            </w:pPr>
            <w:r>
              <w:rPr>
                <w:sz w:val="18"/>
                <w:szCs w:val="18"/>
              </w:rPr>
              <w:t>Aplica herramientas que no corresponden al objetivo del diagnóstico.</w:t>
            </w:r>
          </w:p>
        </w:tc>
        <w:tc>
          <w:tcPr>
            <w:tcW w:w="2008" w:type="dxa"/>
            <w:shd w:val="clear" w:color="auto" w:fill="D9E2F3"/>
            <w:vAlign w:val="center"/>
          </w:tcPr>
          <w:p w14:paraId="19EDF5E7" w14:textId="77777777" w:rsidR="00990B14" w:rsidRDefault="00000000">
            <w:pPr>
              <w:spacing w:before="20" w:after="20"/>
              <w:jc w:val="both"/>
            </w:pPr>
            <w:r>
              <w:rPr>
                <w:sz w:val="18"/>
                <w:szCs w:val="18"/>
              </w:rPr>
              <w:t>Selecciona el FODA, el PESTEL, el CANVAS o las fuerzas de Porter según el objetivo.</w:t>
            </w:r>
          </w:p>
        </w:tc>
        <w:tc>
          <w:tcPr>
            <w:tcW w:w="1877" w:type="dxa"/>
            <w:shd w:val="clear" w:color="auto" w:fill="D9E2F3"/>
            <w:vAlign w:val="center"/>
          </w:tcPr>
          <w:p w14:paraId="58FF71CA" w14:textId="77777777" w:rsidR="00990B14" w:rsidRDefault="00000000">
            <w:pPr>
              <w:spacing w:before="20" w:after="20"/>
              <w:jc w:val="both"/>
            </w:pPr>
            <w:r>
              <w:rPr>
                <w:sz w:val="18"/>
                <w:szCs w:val="18"/>
              </w:rPr>
              <w:t>Justifica la elección de cada herramienta.</w:t>
            </w:r>
          </w:p>
        </w:tc>
      </w:tr>
      <w:tr w:rsidR="00990B14" w14:paraId="2B772179" w14:textId="77777777">
        <w:trPr>
          <w:cantSplit/>
          <w:jc w:val="center"/>
        </w:trPr>
        <w:tc>
          <w:tcPr>
            <w:tcW w:w="1490" w:type="dxa"/>
            <w:vMerge/>
            <w:shd w:val="clear" w:color="auto" w:fill="4472C4"/>
            <w:vAlign w:val="center"/>
          </w:tcPr>
          <w:p w14:paraId="25BB1F5D" w14:textId="77777777" w:rsidR="00990B14" w:rsidRDefault="00990B14">
            <w:pPr>
              <w:spacing w:before="20" w:after="20"/>
            </w:pPr>
          </w:p>
        </w:tc>
        <w:tc>
          <w:tcPr>
            <w:tcW w:w="2015" w:type="dxa"/>
            <w:shd w:val="clear" w:color="auto" w:fill="D9E2F3"/>
            <w:vAlign w:val="center"/>
          </w:tcPr>
          <w:p w14:paraId="16AF0489" w14:textId="77777777" w:rsidR="00990B14" w:rsidRDefault="00000000">
            <w:pPr>
              <w:spacing w:before="20" w:after="20"/>
              <w:jc w:val="both"/>
            </w:pPr>
            <w:r>
              <w:rPr>
                <w:sz w:val="18"/>
                <w:szCs w:val="18"/>
              </w:rPr>
              <w:t>Diagnóstico organizacional</w:t>
            </w:r>
          </w:p>
        </w:tc>
        <w:tc>
          <w:tcPr>
            <w:tcW w:w="2015" w:type="dxa"/>
            <w:shd w:val="clear" w:color="auto" w:fill="D9E2F3"/>
            <w:vAlign w:val="center"/>
          </w:tcPr>
          <w:p w14:paraId="534DB5C3" w14:textId="77777777" w:rsidR="00990B14" w:rsidRDefault="00000000">
            <w:pPr>
              <w:spacing w:before="20" w:after="20"/>
              <w:jc w:val="both"/>
            </w:pPr>
            <w:r>
              <w:rPr>
                <w:sz w:val="18"/>
                <w:szCs w:val="18"/>
              </w:rPr>
              <w:t>El diagnóstico es incompleto o carece de sustento.</w:t>
            </w:r>
          </w:p>
        </w:tc>
        <w:tc>
          <w:tcPr>
            <w:tcW w:w="2008" w:type="dxa"/>
            <w:shd w:val="clear" w:color="auto" w:fill="D9E2F3"/>
            <w:vAlign w:val="center"/>
          </w:tcPr>
          <w:p w14:paraId="6742EA4E" w14:textId="77777777" w:rsidR="00990B14" w:rsidRDefault="00000000">
            <w:pPr>
              <w:spacing w:before="20" w:after="20"/>
              <w:jc w:val="both"/>
            </w:pPr>
            <w:r>
              <w:rPr>
                <w:sz w:val="18"/>
                <w:szCs w:val="18"/>
              </w:rPr>
              <w:t>Completa el diagnóstico con factores internos y del entorno.</w:t>
            </w:r>
          </w:p>
        </w:tc>
        <w:tc>
          <w:tcPr>
            <w:tcW w:w="1877" w:type="dxa"/>
            <w:shd w:val="clear" w:color="auto" w:fill="D9E2F3"/>
            <w:vAlign w:val="center"/>
          </w:tcPr>
          <w:p w14:paraId="0D23A4D4" w14:textId="77777777" w:rsidR="00990B14" w:rsidRDefault="00000000">
            <w:pPr>
              <w:spacing w:before="20" w:after="20"/>
              <w:jc w:val="both"/>
            </w:pPr>
            <w:r>
              <w:rPr>
                <w:sz w:val="18"/>
                <w:szCs w:val="18"/>
              </w:rPr>
              <w:t>Deriva estrategias del cruce de los factores.</w:t>
            </w:r>
          </w:p>
        </w:tc>
      </w:tr>
      <w:tr w:rsidR="00990B14" w14:paraId="28C1D744" w14:textId="77777777">
        <w:trPr>
          <w:cantSplit/>
          <w:jc w:val="center"/>
        </w:trPr>
        <w:tc>
          <w:tcPr>
            <w:tcW w:w="1490" w:type="dxa"/>
            <w:vMerge/>
            <w:shd w:val="clear" w:color="auto" w:fill="4472C4"/>
            <w:vAlign w:val="center"/>
          </w:tcPr>
          <w:p w14:paraId="144BEB3D" w14:textId="77777777" w:rsidR="00990B14" w:rsidRDefault="00990B14">
            <w:pPr>
              <w:spacing w:before="20" w:after="20"/>
            </w:pPr>
          </w:p>
        </w:tc>
        <w:tc>
          <w:tcPr>
            <w:tcW w:w="2015" w:type="dxa"/>
            <w:shd w:val="clear" w:color="auto" w:fill="D9E2F3"/>
            <w:vAlign w:val="center"/>
          </w:tcPr>
          <w:p w14:paraId="3F8C3331" w14:textId="77777777" w:rsidR="00990B14" w:rsidRDefault="00000000">
            <w:pPr>
              <w:spacing w:before="20" w:after="20"/>
              <w:jc w:val="both"/>
            </w:pPr>
            <w:r>
              <w:rPr>
                <w:sz w:val="18"/>
                <w:szCs w:val="18"/>
              </w:rPr>
              <w:t>Conclusiones del informe</w:t>
            </w:r>
          </w:p>
        </w:tc>
        <w:tc>
          <w:tcPr>
            <w:tcW w:w="2015" w:type="dxa"/>
            <w:shd w:val="clear" w:color="auto" w:fill="D9E2F3"/>
            <w:vAlign w:val="center"/>
          </w:tcPr>
          <w:p w14:paraId="0094A2D7" w14:textId="77777777" w:rsidR="00990B14" w:rsidRDefault="00000000">
            <w:pPr>
              <w:spacing w:before="20" w:after="20"/>
              <w:jc w:val="both"/>
            </w:pPr>
            <w:r>
              <w:rPr>
                <w:sz w:val="18"/>
                <w:szCs w:val="18"/>
              </w:rPr>
              <w:t>El informe carece de conclusiones.</w:t>
            </w:r>
          </w:p>
        </w:tc>
        <w:tc>
          <w:tcPr>
            <w:tcW w:w="2008" w:type="dxa"/>
            <w:shd w:val="clear" w:color="auto" w:fill="D9E2F3"/>
            <w:vAlign w:val="center"/>
          </w:tcPr>
          <w:p w14:paraId="6137C2E2" w14:textId="77777777" w:rsidR="00990B14" w:rsidRDefault="00000000">
            <w:pPr>
              <w:spacing w:before="20" w:after="20"/>
              <w:jc w:val="both"/>
            </w:pPr>
            <w:r>
              <w:rPr>
                <w:sz w:val="18"/>
                <w:szCs w:val="18"/>
              </w:rPr>
              <w:t>Formula conclusiones a partir del diagnóstico.</w:t>
            </w:r>
          </w:p>
        </w:tc>
        <w:tc>
          <w:tcPr>
            <w:tcW w:w="1877" w:type="dxa"/>
            <w:shd w:val="clear" w:color="auto" w:fill="D9E2F3"/>
            <w:vAlign w:val="center"/>
          </w:tcPr>
          <w:p w14:paraId="333C3B75" w14:textId="77777777" w:rsidR="00990B14" w:rsidRDefault="00000000">
            <w:pPr>
              <w:spacing w:before="20" w:after="20"/>
              <w:jc w:val="both"/>
            </w:pPr>
            <w:r>
              <w:rPr>
                <w:sz w:val="18"/>
                <w:szCs w:val="18"/>
              </w:rPr>
              <w:t>Formula conclusiones y propuestas de mejora del modelo de gestión.</w:t>
            </w:r>
          </w:p>
        </w:tc>
      </w:tr>
      <w:tr w:rsidR="00990B14" w14:paraId="046D15B2" w14:textId="77777777">
        <w:trPr>
          <w:cantSplit/>
          <w:jc w:val="center"/>
        </w:trPr>
        <w:tc>
          <w:tcPr>
            <w:tcW w:w="1490" w:type="dxa"/>
            <w:vMerge/>
            <w:shd w:val="clear" w:color="auto" w:fill="4472C4"/>
            <w:vAlign w:val="center"/>
          </w:tcPr>
          <w:p w14:paraId="2F6C046D" w14:textId="77777777" w:rsidR="00990B14" w:rsidRDefault="00990B14">
            <w:pPr>
              <w:spacing w:before="20" w:after="20"/>
            </w:pPr>
          </w:p>
        </w:tc>
        <w:tc>
          <w:tcPr>
            <w:tcW w:w="6038" w:type="dxa"/>
            <w:gridSpan w:val="3"/>
            <w:shd w:val="clear" w:color="auto" w:fill="D9E2F3"/>
            <w:vAlign w:val="center"/>
          </w:tcPr>
          <w:p w14:paraId="5DF29054" w14:textId="77777777" w:rsidR="00990B14" w:rsidRDefault="00000000">
            <w:pPr>
              <w:keepNext/>
              <w:spacing w:before="20" w:after="20"/>
              <w:jc w:val="both"/>
            </w:pPr>
            <w:r>
              <w:rPr>
                <w:b/>
                <w:bCs/>
                <w:i/>
                <w:iCs/>
                <w:sz w:val="18"/>
                <w:szCs w:val="18"/>
              </w:rPr>
              <w:t xml:space="preserve">Producto 3: </w:t>
            </w:r>
            <w:r>
              <w:rPr>
                <w:sz w:val="18"/>
                <w:szCs w:val="18"/>
              </w:rPr>
              <w:t>Esquema del modelo de Gobierno Corporativo, Gobernabilidad y Gobernanza de una organización.</w:t>
            </w:r>
          </w:p>
        </w:tc>
        <w:tc>
          <w:tcPr>
            <w:tcW w:w="1877" w:type="dxa"/>
            <w:shd w:val="clear" w:color="auto" w:fill="D9E2F3"/>
            <w:vAlign w:val="center"/>
          </w:tcPr>
          <w:p w14:paraId="3D97D257" w14:textId="77777777" w:rsidR="00990B14" w:rsidRDefault="00000000">
            <w:pPr>
              <w:spacing w:before="20" w:after="20"/>
              <w:jc w:val="center"/>
            </w:pPr>
            <w:r>
              <w:rPr>
                <w:b/>
                <w:bCs/>
                <w:sz w:val="18"/>
                <w:szCs w:val="18"/>
              </w:rPr>
              <w:t>2%</w:t>
            </w:r>
          </w:p>
        </w:tc>
      </w:tr>
      <w:tr w:rsidR="00990B14" w14:paraId="493A712D" w14:textId="77777777">
        <w:trPr>
          <w:cantSplit/>
          <w:jc w:val="center"/>
        </w:trPr>
        <w:tc>
          <w:tcPr>
            <w:tcW w:w="1490" w:type="dxa"/>
            <w:vMerge/>
            <w:shd w:val="clear" w:color="auto" w:fill="4472C4"/>
            <w:vAlign w:val="center"/>
          </w:tcPr>
          <w:p w14:paraId="67E60915" w14:textId="77777777" w:rsidR="00990B14" w:rsidRDefault="00990B14">
            <w:pPr>
              <w:spacing w:before="20" w:after="20"/>
            </w:pPr>
          </w:p>
        </w:tc>
        <w:tc>
          <w:tcPr>
            <w:tcW w:w="2015" w:type="dxa"/>
            <w:shd w:val="clear" w:color="auto" w:fill="4472C4"/>
            <w:vAlign w:val="center"/>
          </w:tcPr>
          <w:p w14:paraId="7EF7460A"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6F46DE8C" w14:textId="77777777" w:rsidR="00990B14" w:rsidRDefault="00000000">
            <w:pPr>
              <w:keepNext/>
              <w:spacing w:before="20" w:after="20"/>
              <w:jc w:val="center"/>
            </w:pPr>
            <w:r>
              <w:rPr>
                <w:b/>
                <w:bCs/>
                <w:i/>
                <w:iCs/>
                <w:color w:val="FFFFFF"/>
                <w:sz w:val="18"/>
                <w:szCs w:val="18"/>
              </w:rPr>
              <w:t>Insuficiente (1–50)</w:t>
            </w:r>
          </w:p>
        </w:tc>
        <w:tc>
          <w:tcPr>
            <w:tcW w:w="2008" w:type="dxa"/>
            <w:shd w:val="clear" w:color="auto" w:fill="4472C4"/>
            <w:vAlign w:val="center"/>
          </w:tcPr>
          <w:p w14:paraId="0CD496E0"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52ACC626" w14:textId="77777777" w:rsidR="00990B14" w:rsidRDefault="00000000">
            <w:pPr>
              <w:keepNext/>
              <w:spacing w:before="20" w:after="20"/>
              <w:jc w:val="center"/>
            </w:pPr>
            <w:r>
              <w:rPr>
                <w:b/>
                <w:bCs/>
                <w:i/>
                <w:iCs/>
                <w:color w:val="FFFFFF"/>
                <w:sz w:val="18"/>
                <w:szCs w:val="18"/>
              </w:rPr>
              <w:t>Destacado (81–100)</w:t>
            </w:r>
          </w:p>
        </w:tc>
      </w:tr>
      <w:tr w:rsidR="00990B14" w14:paraId="2FF4E7A6" w14:textId="77777777">
        <w:trPr>
          <w:cantSplit/>
          <w:jc w:val="center"/>
        </w:trPr>
        <w:tc>
          <w:tcPr>
            <w:tcW w:w="1490" w:type="dxa"/>
            <w:vMerge/>
            <w:shd w:val="clear" w:color="auto" w:fill="4472C4"/>
            <w:vAlign w:val="center"/>
          </w:tcPr>
          <w:p w14:paraId="6214AF3A" w14:textId="77777777" w:rsidR="00990B14" w:rsidRDefault="00990B14">
            <w:pPr>
              <w:spacing w:before="20" w:after="20"/>
            </w:pPr>
          </w:p>
        </w:tc>
        <w:tc>
          <w:tcPr>
            <w:tcW w:w="2015" w:type="dxa"/>
            <w:shd w:val="clear" w:color="auto" w:fill="D9E2F3"/>
            <w:vAlign w:val="center"/>
          </w:tcPr>
          <w:p w14:paraId="4E9322C7" w14:textId="77777777" w:rsidR="00990B14" w:rsidRDefault="00000000">
            <w:pPr>
              <w:spacing w:before="20" w:after="20"/>
              <w:jc w:val="both"/>
            </w:pPr>
            <w:r>
              <w:rPr>
                <w:sz w:val="18"/>
                <w:szCs w:val="18"/>
              </w:rPr>
              <w:t>Conceptos diferenciados</w:t>
            </w:r>
          </w:p>
        </w:tc>
        <w:tc>
          <w:tcPr>
            <w:tcW w:w="2015" w:type="dxa"/>
            <w:shd w:val="clear" w:color="auto" w:fill="D9E2F3"/>
            <w:vAlign w:val="center"/>
          </w:tcPr>
          <w:p w14:paraId="7DAA1CE8" w14:textId="77777777" w:rsidR="00990B14" w:rsidRDefault="00000000">
            <w:pPr>
              <w:spacing w:before="20" w:after="20"/>
              <w:jc w:val="both"/>
            </w:pPr>
            <w:r>
              <w:rPr>
                <w:sz w:val="18"/>
                <w:szCs w:val="18"/>
              </w:rPr>
              <w:t>Confunde gobierno corporativo, gobernabilidad y gobernanza.</w:t>
            </w:r>
          </w:p>
        </w:tc>
        <w:tc>
          <w:tcPr>
            <w:tcW w:w="2008" w:type="dxa"/>
            <w:shd w:val="clear" w:color="auto" w:fill="D9E2F3"/>
            <w:vAlign w:val="center"/>
          </w:tcPr>
          <w:p w14:paraId="0223F0B6" w14:textId="77777777" w:rsidR="00990B14" w:rsidRDefault="00000000">
            <w:pPr>
              <w:spacing w:before="20" w:after="20"/>
              <w:jc w:val="both"/>
            </w:pPr>
            <w:r>
              <w:rPr>
                <w:sz w:val="18"/>
                <w:szCs w:val="18"/>
              </w:rPr>
              <w:t>Distingue los tres conceptos y sus alcances.</w:t>
            </w:r>
          </w:p>
        </w:tc>
        <w:tc>
          <w:tcPr>
            <w:tcW w:w="1877" w:type="dxa"/>
            <w:shd w:val="clear" w:color="auto" w:fill="D9E2F3"/>
            <w:vAlign w:val="center"/>
          </w:tcPr>
          <w:p w14:paraId="37D6367B" w14:textId="77777777" w:rsidR="00990B14" w:rsidRDefault="00000000">
            <w:pPr>
              <w:spacing w:before="20" w:after="20"/>
              <w:jc w:val="both"/>
            </w:pPr>
            <w:r>
              <w:rPr>
                <w:sz w:val="18"/>
                <w:szCs w:val="18"/>
              </w:rPr>
              <w:t>Ejemplifica cada concepto con una organización boliviana.</w:t>
            </w:r>
          </w:p>
        </w:tc>
      </w:tr>
      <w:tr w:rsidR="00990B14" w14:paraId="6A81E9EC" w14:textId="77777777">
        <w:trPr>
          <w:cantSplit/>
          <w:jc w:val="center"/>
        </w:trPr>
        <w:tc>
          <w:tcPr>
            <w:tcW w:w="1490" w:type="dxa"/>
            <w:vMerge/>
            <w:shd w:val="clear" w:color="auto" w:fill="4472C4"/>
            <w:vAlign w:val="center"/>
          </w:tcPr>
          <w:p w14:paraId="6167A96A" w14:textId="77777777" w:rsidR="00990B14" w:rsidRDefault="00990B14">
            <w:pPr>
              <w:spacing w:before="20" w:after="20"/>
            </w:pPr>
          </w:p>
        </w:tc>
        <w:tc>
          <w:tcPr>
            <w:tcW w:w="2015" w:type="dxa"/>
            <w:shd w:val="clear" w:color="auto" w:fill="D9E2F3"/>
            <w:vAlign w:val="center"/>
          </w:tcPr>
          <w:p w14:paraId="60DB26BD" w14:textId="77777777" w:rsidR="00990B14" w:rsidRDefault="00000000">
            <w:pPr>
              <w:spacing w:before="20" w:after="20"/>
              <w:jc w:val="both"/>
            </w:pPr>
            <w:r>
              <w:rPr>
                <w:sz w:val="18"/>
                <w:szCs w:val="18"/>
              </w:rPr>
              <w:t>Órganos y responsabilidades</w:t>
            </w:r>
          </w:p>
        </w:tc>
        <w:tc>
          <w:tcPr>
            <w:tcW w:w="2015" w:type="dxa"/>
            <w:shd w:val="clear" w:color="auto" w:fill="D9E2F3"/>
            <w:vAlign w:val="center"/>
          </w:tcPr>
          <w:p w14:paraId="526A1BB1" w14:textId="77777777" w:rsidR="00990B14" w:rsidRDefault="00000000">
            <w:pPr>
              <w:spacing w:before="20" w:after="20"/>
              <w:jc w:val="both"/>
            </w:pPr>
            <w:r>
              <w:rPr>
                <w:sz w:val="18"/>
                <w:szCs w:val="18"/>
              </w:rPr>
              <w:t>No identifica los órganos de gobierno.</w:t>
            </w:r>
          </w:p>
        </w:tc>
        <w:tc>
          <w:tcPr>
            <w:tcW w:w="2008" w:type="dxa"/>
            <w:shd w:val="clear" w:color="auto" w:fill="D9E2F3"/>
            <w:vAlign w:val="center"/>
          </w:tcPr>
          <w:p w14:paraId="4BB538E1" w14:textId="77777777" w:rsidR="00990B14" w:rsidRDefault="00000000">
            <w:pPr>
              <w:spacing w:before="20" w:after="20"/>
              <w:jc w:val="both"/>
            </w:pPr>
            <w:r>
              <w:rPr>
                <w:sz w:val="18"/>
                <w:szCs w:val="18"/>
              </w:rPr>
              <w:t>Identifica los órganos de gobierno y sus responsabilidades.</w:t>
            </w:r>
          </w:p>
        </w:tc>
        <w:tc>
          <w:tcPr>
            <w:tcW w:w="1877" w:type="dxa"/>
            <w:shd w:val="clear" w:color="auto" w:fill="D9E2F3"/>
            <w:vAlign w:val="center"/>
          </w:tcPr>
          <w:p w14:paraId="0253F8F1" w14:textId="77777777" w:rsidR="00990B14" w:rsidRDefault="00000000">
            <w:pPr>
              <w:spacing w:before="20" w:after="20"/>
              <w:jc w:val="both"/>
            </w:pPr>
            <w:r>
              <w:rPr>
                <w:sz w:val="18"/>
                <w:szCs w:val="18"/>
              </w:rPr>
              <w:t>Relaciona los órganos con la rendición de cuentas.</w:t>
            </w:r>
          </w:p>
        </w:tc>
      </w:tr>
      <w:tr w:rsidR="00990B14" w14:paraId="7C5C81CD" w14:textId="77777777">
        <w:trPr>
          <w:cantSplit/>
          <w:jc w:val="center"/>
        </w:trPr>
        <w:tc>
          <w:tcPr>
            <w:tcW w:w="1490" w:type="dxa"/>
            <w:vMerge/>
            <w:shd w:val="clear" w:color="auto" w:fill="4472C4"/>
            <w:vAlign w:val="center"/>
          </w:tcPr>
          <w:p w14:paraId="14F801AB" w14:textId="77777777" w:rsidR="00990B14" w:rsidRDefault="00990B14">
            <w:pPr>
              <w:spacing w:before="20" w:after="20"/>
            </w:pPr>
          </w:p>
        </w:tc>
        <w:tc>
          <w:tcPr>
            <w:tcW w:w="2015" w:type="dxa"/>
            <w:shd w:val="clear" w:color="auto" w:fill="D9E2F3"/>
            <w:vAlign w:val="center"/>
          </w:tcPr>
          <w:p w14:paraId="0964BC11" w14:textId="77777777" w:rsidR="00990B14" w:rsidRDefault="00000000">
            <w:pPr>
              <w:spacing w:before="20" w:after="20"/>
              <w:jc w:val="both"/>
            </w:pPr>
            <w:r>
              <w:rPr>
                <w:sz w:val="18"/>
                <w:szCs w:val="18"/>
              </w:rPr>
              <w:t>Presentación del esquema</w:t>
            </w:r>
          </w:p>
        </w:tc>
        <w:tc>
          <w:tcPr>
            <w:tcW w:w="2015" w:type="dxa"/>
            <w:shd w:val="clear" w:color="auto" w:fill="D9E2F3"/>
            <w:vAlign w:val="center"/>
          </w:tcPr>
          <w:p w14:paraId="788F7B77" w14:textId="77777777" w:rsidR="00990B14" w:rsidRDefault="00000000">
            <w:pPr>
              <w:spacing w:before="20" w:after="20"/>
              <w:jc w:val="both"/>
            </w:pPr>
            <w:r>
              <w:rPr>
                <w:sz w:val="18"/>
                <w:szCs w:val="18"/>
              </w:rPr>
              <w:t>El esquema es desordenado o incompleto.</w:t>
            </w:r>
          </w:p>
        </w:tc>
        <w:tc>
          <w:tcPr>
            <w:tcW w:w="2008" w:type="dxa"/>
            <w:shd w:val="clear" w:color="auto" w:fill="D9E2F3"/>
            <w:vAlign w:val="center"/>
          </w:tcPr>
          <w:p w14:paraId="33807346" w14:textId="77777777" w:rsidR="00990B14" w:rsidRDefault="00000000">
            <w:pPr>
              <w:spacing w:before="20" w:after="20"/>
              <w:jc w:val="both"/>
            </w:pPr>
            <w:r>
              <w:rPr>
                <w:sz w:val="18"/>
                <w:szCs w:val="18"/>
              </w:rPr>
              <w:t>Presenta un esquema ordenado de los conceptos y los órganos de gobierno.</w:t>
            </w:r>
          </w:p>
        </w:tc>
        <w:tc>
          <w:tcPr>
            <w:tcW w:w="1877" w:type="dxa"/>
            <w:shd w:val="clear" w:color="auto" w:fill="D9E2F3"/>
            <w:vAlign w:val="center"/>
          </w:tcPr>
          <w:p w14:paraId="61D325C3" w14:textId="77777777" w:rsidR="00990B14" w:rsidRDefault="00000000">
            <w:pPr>
              <w:spacing w:before="20" w:after="20"/>
              <w:jc w:val="both"/>
            </w:pPr>
            <w:r>
              <w:rPr>
                <w:sz w:val="18"/>
                <w:szCs w:val="18"/>
              </w:rPr>
              <w:t>Presenta un esquema claro que integra los conceptos con un caso real.</w:t>
            </w:r>
          </w:p>
        </w:tc>
      </w:tr>
      <w:tr w:rsidR="00990B14" w14:paraId="4628336B" w14:textId="77777777">
        <w:trPr>
          <w:cantSplit/>
          <w:jc w:val="center"/>
        </w:trPr>
        <w:tc>
          <w:tcPr>
            <w:tcW w:w="1490" w:type="dxa"/>
            <w:vMerge/>
            <w:shd w:val="clear" w:color="auto" w:fill="4472C4"/>
            <w:vAlign w:val="center"/>
          </w:tcPr>
          <w:p w14:paraId="03EC9F1F" w14:textId="77777777" w:rsidR="00990B14" w:rsidRDefault="00990B14">
            <w:pPr>
              <w:spacing w:before="20" w:after="20"/>
            </w:pPr>
          </w:p>
        </w:tc>
        <w:tc>
          <w:tcPr>
            <w:tcW w:w="6038" w:type="dxa"/>
            <w:gridSpan w:val="3"/>
            <w:shd w:val="clear" w:color="auto" w:fill="D9E2F3"/>
            <w:vAlign w:val="center"/>
          </w:tcPr>
          <w:p w14:paraId="27A10F4D" w14:textId="77777777" w:rsidR="00990B14" w:rsidRDefault="00000000">
            <w:pPr>
              <w:keepNext/>
              <w:spacing w:before="20" w:after="20"/>
              <w:jc w:val="both"/>
            </w:pPr>
            <w:r>
              <w:rPr>
                <w:b/>
                <w:bCs/>
                <w:i/>
                <w:iCs/>
                <w:sz w:val="18"/>
                <w:szCs w:val="18"/>
              </w:rPr>
              <w:t xml:space="preserve">Producto 4: </w:t>
            </w:r>
            <w:r>
              <w:rPr>
                <w:sz w:val="18"/>
                <w:szCs w:val="18"/>
              </w:rPr>
              <w:t>Informe de evaluación del Gobierno Corporativo, mediante la aplicación del Modelo de las Tres Líneas.</w:t>
            </w:r>
          </w:p>
        </w:tc>
        <w:tc>
          <w:tcPr>
            <w:tcW w:w="1877" w:type="dxa"/>
            <w:shd w:val="clear" w:color="auto" w:fill="D9E2F3"/>
            <w:vAlign w:val="center"/>
          </w:tcPr>
          <w:p w14:paraId="68D4C8CC" w14:textId="77777777" w:rsidR="00990B14" w:rsidRDefault="00000000">
            <w:pPr>
              <w:spacing w:before="20" w:after="20"/>
              <w:jc w:val="center"/>
            </w:pPr>
            <w:r>
              <w:rPr>
                <w:b/>
                <w:bCs/>
                <w:sz w:val="18"/>
                <w:szCs w:val="18"/>
              </w:rPr>
              <w:t>4%</w:t>
            </w:r>
          </w:p>
        </w:tc>
      </w:tr>
      <w:tr w:rsidR="00990B14" w14:paraId="053CABDA" w14:textId="77777777">
        <w:trPr>
          <w:cantSplit/>
          <w:jc w:val="center"/>
        </w:trPr>
        <w:tc>
          <w:tcPr>
            <w:tcW w:w="1490" w:type="dxa"/>
            <w:vMerge/>
            <w:shd w:val="clear" w:color="auto" w:fill="4472C4"/>
            <w:vAlign w:val="center"/>
          </w:tcPr>
          <w:p w14:paraId="0F496CA3" w14:textId="77777777" w:rsidR="00990B14" w:rsidRDefault="00990B14">
            <w:pPr>
              <w:spacing w:before="20" w:after="20"/>
            </w:pPr>
          </w:p>
        </w:tc>
        <w:tc>
          <w:tcPr>
            <w:tcW w:w="2015" w:type="dxa"/>
            <w:shd w:val="clear" w:color="auto" w:fill="4472C4"/>
            <w:vAlign w:val="center"/>
          </w:tcPr>
          <w:p w14:paraId="0ED957C0"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43080C82" w14:textId="77777777" w:rsidR="00990B14" w:rsidRDefault="00000000">
            <w:pPr>
              <w:keepNext/>
              <w:spacing w:before="20" w:after="20"/>
              <w:jc w:val="center"/>
            </w:pPr>
            <w:r>
              <w:rPr>
                <w:b/>
                <w:bCs/>
                <w:i/>
                <w:iCs/>
                <w:color w:val="FFFFFF"/>
                <w:sz w:val="18"/>
                <w:szCs w:val="18"/>
              </w:rPr>
              <w:t>Insuficiente (1–50)</w:t>
            </w:r>
          </w:p>
        </w:tc>
        <w:tc>
          <w:tcPr>
            <w:tcW w:w="2008" w:type="dxa"/>
            <w:shd w:val="clear" w:color="auto" w:fill="4472C4"/>
            <w:vAlign w:val="center"/>
          </w:tcPr>
          <w:p w14:paraId="26D4B411"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490CA5AD" w14:textId="77777777" w:rsidR="00990B14" w:rsidRDefault="00000000">
            <w:pPr>
              <w:keepNext/>
              <w:spacing w:before="20" w:after="20"/>
              <w:jc w:val="center"/>
            </w:pPr>
            <w:r>
              <w:rPr>
                <w:b/>
                <w:bCs/>
                <w:i/>
                <w:iCs/>
                <w:color w:val="FFFFFF"/>
                <w:sz w:val="18"/>
                <w:szCs w:val="18"/>
              </w:rPr>
              <w:t>Destacado (81–100)</w:t>
            </w:r>
          </w:p>
        </w:tc>
      </w:tr>
      <w:tr w:rsidR="00990B14" w14:paraId="3BA43FE6" w14:textId="77777777">
        <w:trPr>
          <w:cantSplit/>
          <w:jc w:val="center"/>
        </w:trPr>
        <w:tc>
          <w:tcPr>
            <w:tcW w:w="1490" w:type="dxa"/>
            <w:vMerge/>
            <w:shd w:val="clear" w:color="auto" w:fill="4472C4"/>
            <w:vAlign w:val="center"/>
          </w:tcPr>
          <w:p w14:paraId="0399810C" w14:textId="77777777" w:rsidR="00990B14" w:rsidRDefault="00990B14">
            <w:pPr>
              <w:spacing w:before="20" w:after="20"/>
            </w:pPr>
          </w:p>
        </w:tc>
        <w:tc>
          <w:tcPr>
            <w:tcW w:w="2015" w:type="dxa"/>
            <w:shd w:val="clear" w:color="auto" w:fill="D9E2F3"/>
            <w:vAlign w:val="center"/>
          </w:tcPr>
          <w:p w14:paraId="32F85B56" w14:textId="77777777" w:rsidR="00990B14" w:rsidRDefault="00000000">
            <w:pPr>
              <w:spacing w:before="20" w:after="20"/>
              <w:jc w:val="both"/>
            </w:pPr>
            <w:r>
              <w:rPr>
                <w:sz w:val="18"/>
                <w:szCs w:val="18"/>
              </w:rPr>
              <w:t>Roles de las tres líneas</w:t>
            </w:r>
          </w:p>
        </w:tc>
        <w:tc>
          <w:tcPr>
            <w:tcW w:w="2015" w:type="dxa"/>
            <w:shd w:val="clear" w:color="auto" w:fill="D9E2F3"/>
            <w:vAlign w:val="center"/>
          </w:tcPr>
          <w:p w14:paraId="7CD4D1FF" w14:textId="77777777" w:rsidR="00990B14" w:rsidRDefault="00000000">
            <w:pPr>
              <w:spacing w:before="20" w:after="20"/>
              <w:jc w:val="both"/>
            </w:pPr>
            <w:r>
              <w:rPr>
                <w:sz w:val="18"/>
                <w:szCs w:val="18"/>
              </w:rPr>
              <w:t>Confunde los roles de las tres líneas.</w:t>
            </w:r>
          </w:p>
        </w:tc>
        <w:tc>
          <w:tcPr>
            <w:tcW w:w="2008" w:type="dxa"/>
            <w:shd w:val="clear" w:color="auto" w:fill="D9E2F3"/>
            <w:vAlign w:val="center"/>
          </w:tcPr>
          <w:p w14:paraId="0B892916" w14:textId="77777777" w:rsidR="00990B14" w:rsidRDefault="00000000">
            <w:pPr>
              <w:spacing w:before="20" w:after="20"/>
              <w:jc w:val="both"/>
            </w:pPr>
            <w:r>
              <w:rPr>
                <w:sz w:val="18"/>
                <w:szCs w:val="18"/>
              </w:rPr>
              <w:t>Asigna correctamente los roles de cada línea.</w:t>
            </w:r>
          </w:p>
        </w:tc>
        <w:tc>
          <w:tcPr>
            <w:tcW w:w="1877" w:type="dxa"/>
            <w:shd w:val="clear" w:color="auto" w:fill="D9E2F3"/>
            <w:vAlign w:val="center"/>
          </w:tcPr>
          <w:p w14:paraId="27F9F7CD" w14:textId="77777777" w:rsidR="00990B14" w:rsidRDefault="00000000">
            <w:pPr>
              <w:spacing w:before="20" w:after="20"/>
              <w:jc w:val="both"/>
            </w:pPr>
            <w:r>
              <w:rPr>
                <w:sz w:val="18"/>
                <w:szCs w:val="18"/>
              </w:rPr>
              <w:t>Detecta superposiciones o vacíos de responsabilidad.</w:t>
            </w:r>
          </w:p>
        </w:tc>
      </w:tr>
      <w:tr w:rsidR="00990B14" w14:paraId="58BD3969" w14:textId="77777777">
        <w:trPr>
          <w:cantSplit/>
          <w:jc w:val="center"/>
        </w:trPr>
        <w:tc>
          <w:tcPr>
            <w:tcW w:w="1490" w:type="dxa"/>
            <w:vMerge/>
            <w:shd w:val="clear" w:color="auto" w:fill="4472C4"/>
            <w:vAlign w:val="center"/>
          </w:tcPr>
          <w:p w14:paraId="27343EE3" w14:textId="77777777" w:rsidR="00990B14" w:rsidRDefault="00990B14">
            <w:pPr>
              <w:spacing w:before="20" w:after="20"/>
            </w:pPr>
          </w:p>
        </w:tc>
        <w:tc>
          <w:tcPr>
            <w:tcW w:w="2015" w:type="dxa"/>
            <w:shd w:val="clear" w:color="auto" w:fill="D9E2F3"/>
            <w:vAlign w:val="center"/>
          </w:tcPr>
          <w:p w14:paraId="1A5D4643" w14:textId="77777777" w:rsidR="00990B14" w:rsidRDefault="00000000">
            <w:pPr>
              <w:spacing w:before="20" w:after="20"/>
              <w:jc w:val="both"/>
            </w:pPr>
            <w:r>
              <w:rPr>
                <w:sz w:val="18"/>
                <w:szCs w:val="18"/>
              </w:rPr>
              <w:t>Evaluación del gobierno</w:t>
            </w:r>
          </w:p>
        </w:tc>
        <w:tc>
          <w:tcPr>
            <w:tcW w:w="2015" w:type="dxa"/>
            <w:shd w:val="clear" w:color="auto" w:fill="D9E2F3"/>
            <w:vAlign w:val="center"/>
          </w:tcPr>
          <w:p w14:paraId="075D29DF" w14:textId="77777777" w:rsidR="00990B14" w:rsidRDefault="00000000">
            <w:pPr>
              <w:spacing w:before="20" w:after="20"/>
              <w:jc w:val="both"/>
            </w:pPr>
            <w:r>
              <w:rPr>
                <w:sz w:val="18"/>
                <w:szCs w:val="18"/>
              </w:rPr>
              <w:t>Evalúa sin aplicar los principios de gobierno corporativo.</w:t>
            </w:r>
          </w:p>
        </w:tc>
        <w:tc>
          <w:tcPr>
            <w:tcW w:w="2008" w:type="dxa"/>
            <w:shd w:val="clear" w:color="auto" w:fill="D9E2F3"/>
            <w:vAlign w:val="center"/>
          </w:tcPr>
          <w:p w14:paraId="1C1C05F6" w14:textId="77777777" w:rsidR="00990B14" w:rsidRDefault="00000000">
            <w:pPr>
              <w:spacing w:before="20" w:after="20"/>
              <w:jc w:val="both"/>
            </w:pPr>
            <w:r>
              <w:rPr>
                <w:sz w:val="18"/>
                <w:szCs w:val="18"/>
              </w:rPr>
              <w:t>Evalúa el gobierno con los principios y las buenas prácticas.</w:t>
            </w:r>
          </w:p>
        </w:tc>
        <w:tc>
          <w:tcPr>
            <w:tcW w:w="1877" w:type="dxa"/>
            <w:shd w:val="clear" w:color="auto" w:fill="D9E2F3"/>
            <w:vAlign w:val="center"/>
          </w:tcPr>
          <w:p w14:paraId="7A1D7FD0" w14:textId="77777777" w:rsidR="00990B14" w:rsidRDefault="00000000">
            <w:pPr>
              <w:spacing w:before="20" w:after="20"/>
              <w:jc w:val="both"/>
            </w:pPr>
            <w:r>
              <w:rPr>
                <w:sz w:val="18"/>
                <w:szCs w:val="18"/>
              </w:rPr>
              <w:t>Propone mejoras priorizadas.</w:t>
            </w:r>
          </w:p>
        </w:tc>
      </w:tr>
      <w:tr w:rsidR="00990B14" w14:paraId="536E33A9" w14:textId="77777777">
        <w:trPr>
          <w:cantSplit/>
          <w:jc w:val="center"/>
        </w:trPr>
        <w:tc>
          <w:tcPr>
            <w:tcW w:w="1490" w:type="dxa"/>
            <w:vMerge/>
            <w:shd w:val="clear" w:color="auto" w:fill="4472C4"/>
            <w:vAlign w:val="center"/>
          </w:tcPr>
          <w:p w14:paraId="6E504BE1" w14:textId="77777777" w:rsidR="00990B14" w:rsidRDefault="00990B14">
            <w:pPr>
              <w:spacing w:before="20" w:after="20"/>
            </w:pPr>
          </w:p>
        </w:tc>
        <w:tc>
          <w:tcPr>
            <w:tcW w:w="2015" w:type="dxa"/>
            <w:shd w:val="clear" w:color="auto" w:fill="D9E2F3"/>
            <w:vAlign w:val="center"/>
          </w:tcPr>
          <w:p w14:paraId="197BF5AB" w14:textId="77777777" w:rsidR="00990B14" w:rsidRDefault="00000000">
            <w:pPr>
              <w:spacing w:before="20" w:after="20"/>
              <w:jc w:val="both"/>
            </w:pPr>
            <w:r>
              <w:rPr>
                <w:sz w:val="18"/>
                <w:szCs w:val="18"/>
              </w:rPr>
              <w:t>Rendición de cuentas</w:t>
            </w:r>
          </w:p>
        </w:tc>
        <w:tc>
          <w:tcPr>
            <w:tcW w:w="2015" w:type="dxa"/>
            <w:shd w:val="clear" w:color="auto" w:fill="D9E2F3"/>
            <w:vAlign w:val="center"/>
          </w:tcPr>
          <w:p w14:paraId="438C6F92" w14:textId="77777777" w:rsidR="00990B14" w:rsidRDefault="00000000">
            <w:pPr>
              <w:spacing w:before="20" w:after="20"/>
              <w:jc w:val="both"/>
            </w:pPr>
            <w:r>
              <w:rPr>
                <w:sz w:val="18"/>
                <w:szCs w:val="18"/>
              </w:rPr>
              <w:t>No considera la rendición de cuentas.</w:t>
            </w:r>
          </w:p>
        </w:tc>
        <w:tc>
          <w:tcPr>
            <w:tcW w:w="2008" w:type="dxa"/>
            <w:shd w:val="clear" w:color="auto" w:fill="D9E2F3"/>
            <w:vAlign w:val="center"/>
          </w:tcPr>
          <w:p w14:paraId="7DA114B1" w14:textId="77777777" w:rsidR="00990B14" w:rsidRDefault="00000000">
            <w:pPr>
              <w:spacing w:before="20" w:after="20"/>
              <w:jc w:val="both"/>
            </w:pPr>
            <w:r>
              <w:rPr>
                <w:sz w:val="18"/>
                <w:szCs w:val="18"/>
              </w:rPr>
              <w:t>Verifica la rendición de cuentas de la dirección.</w:t>
            </w:r>
          </w:p>
        </w:tc>
        <w:tc>
          <w:tcPr>
            <w:tcW w:w="1877" w:type="dxa"/>
            <w:shd w:val="clear" w:color="auto" w:fill="D9E2F3"/>
            <w:vAlign w:val="center"/>
          </w:tcPr>
          <w:p w14:paraId="27A3D6A5" w14:textId="77777777" w:rsidR="00990B14" w:rsidRDefault="00000000">
            <w:pPr>
              <w:spacing w:before="20" w:after="20"/>
              <w:jc w:val="both"/>
            </w:pPr>
            <w:r>
              <w:rPr>
                <w:sz w:val="18"/>
                <w:szCs w:val="18"/>
              </w:rPr>
              <w:t>Sustenta con objetividad las debilidades halladas.</w:t>
            </w:r>
          </w:p>
        </w:tc>
      </w:tr>
      <w:tr w:rsidR="00990B14" w14:paraId="14BA58A5" w14:textId="77777777">
        <w:trPr>
          <w:cantSplit/>
          <w:jc w:val="center"/>
        </w:trPr>
        <w:tc>
          <w:tcPr>
            <w:tcW w:w="1490" w:type="dxa"/>
            <w:vMerge/>
            <w:shd w:val="clear" w:color="auto" w:fill="4472C4"/>
            <w:vAlign w:val="center"/>
          </w:tcPr>
          <w:p w14:paraId="45C0AB51" w14:textId="77777777" w:rsidR="00990B14" w:rsidRDefault="00990B14">
            <w:pPr>
              <w:spacing w:before="20" w:after="20"/>
            </w:pPr>
          </w:p>
        </w:tc>
        <w:tc>
          <w:tcPr>
            <w:tcW w:w="6038" w:type="dxa"/>
            <w:gridSpan w:val="3"/>
            <w:shd w:val="clear" w:color="auto" w:fill="D9E2F3"/>
            <w:vAlign w:val="center"/>
          </w:tcPr>
          <w:p w14:paraId="0B7922DD" w14:textId="77777777" w:rsidR="00990B14" w:rsidRDefault="00000000">
            <w:pPr>
              <w:keepNext/>
              <w:spacing w:before="20" w:after="20"/>
              <w:jc w:val="both"/>
            </w:pPr>
            <w:r>
              <w:rPr>
                <w:b/>
                <w:bCs/>
                <w:i/>
                <w:iCs/>
                <w:sz w:val="18"/>
                <w:szCs w:val="18"/>
              </w:rPr>
              <w:t xml:space="preserve">Producto 5: </w:t>
            </w:r>
            <w:r>
              <w:rPr>
                <w:sz w:val="18"/>
                <w:szCs w:val="18"/>
              </w:rPr>
              <w:t>Esquema de comprensión de los componentes, subcomponentes y principios del Marco Integrado COSO.</w:t>
            </w:r>
          </w:p>
        </w:tc>
        <w:tc>
          <w:tcPr>
            <w:tcW w:w="1877" w:type="dxa"/>
            <w:shd w:val="clear" w:color="auto" w:fill="D9E2F3"/>
            <w:vAlign w:val="center"/>
          </w:tcPr>
          <w:p w14:paraId="413B22FF" w14:textId="77777777" w:rsidR="00990B14" w:rsidRDefault="00000000">
            <w:pPr>
              <w:spacing w:before="20" w:after="20"/>
              <w:jc w:val="center"/>
            </w:pPr>
            <w:r>
              <w:rPr>
                <w:b/>
                <w:bCs/>
                <w:sz w:val="18"/>
                <w:szCs w:val="18"/>
              </w:rPr>
              <w:t>2%</w:t>
            </w:r>
          </w:p>
        </w:tc>
      </w:tr>
      <w:tr w:rsidR="00990B14" w14:paraId="44A1E966" w14:textId="77777777">
        <w:trPr>
          <w:cantSplit/>
          <w:jc w:val="center"/>
        </w:trPr>
        <w:tc>
          <w:tcPr>
            <w:tcW w:w="1490" w:type="dxa"/>
            <w:vMerge/>
            <w:shd w:val="clear" w:color="auto" w:fill="4472C4"/>
            <w:vAlign w:val="center"/>
          </w:tcPr>
          <w:p w14:paraId="4BE77AC5" w14:textId="77777777" w:rsidR="00990B14" w:rsidRDefault="00990B14">
            <w:pPr>
              <w:spacing w:before="20" w:after="20"/>
            </w:pPr>
          </w:p>
        </w:tc>
        <w:tc>
          <w:tcPr>
            <w:tcW w:w="2015" w:type="dxa"/>
            <w:shd w:val="clear" w:color="auto" w:fill="4472C4"/>
            <w:vAlign w:val="center"/>
          </w:tcPr>
          <w:p w14:paraId="0A5DC6B0"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4A9C0FB9" w14:textId="77777777" w:rsidR="00990B14" w:rsidRDefault="00000000">
            <w:pPr>
              <w:keepNext/>
              <w:spacing w:before="20" w:after="20"/>
              <w:jc w:val="center"/>
            </w:pPr>
            <w:r>
              <w:rPr>
                <w:b/>
                <w:bCs/>
                <w:i/>
                <w:iCs/>
                <w:color w:val="FFFFFF"/>
                <w:sz w:val="18"/>
                <w:szCs w:val="18"/>
              </w:rPr>
              <w:t>Insuficiente (1–50)</w:t>
            </w:r>
          </w:p>
        </w:tc>
        <w:tc>
          <w:tcPr>
            <w:tcW w:w="2008" w:type="dxa"/>
            <w:shd w:val="clear" w:color="auto" w:fill="4472C4"/>
            <w:vAlign w:val="center"/>
          </w:tcPr>
          <w:p w14:paraId="6014187A"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7DFBEC37" w14:textId="77777777" w:rsidR="00990B14" w:rsidRDefault="00000000">
            <w:pPr>
              <w:keepNext/>
              <w:spacing w:before="20" w:after="20"/>
              <w:jc w:val="center"/>
            </w:pPr>
            <w:r>
              <w:rPr>
                <w:b/>
                <w:bCs/>
                <w:i/>
                <w:iCs/>
                <w:color w:val="FFFFFF"/>
                <w:sz w:val="18"/>
                <w:szCs w:val="18"/>
              </w:rPr>
              <w:t>Destacado (81–100)</w:t>
            </w:r>
          </w:p>
        </w:tc>
      </w:tr>
      <w:tr w:rsidR="00990B14" w14:paraId="7F93C724" w14:textId="77777777">
        <w:trPr>
          <w:cantSplit/>
          <w:jc w:val="center"/>
        </w:trPr>
        <w:tc>
          <w:tcPr>
            <w:tcW w:w="1490" w:type="dxa"/>
            <w:vMerge/>
            <w:shd w:val="clear" w:color="auto" w:fill="4472C4"/>
            <w:vAlign w:val="center"/>
          </w:tcPr>
          <w:p w14:paraId="1283CBCB" w14:textId="77777777" w:rsidR="00990B14" w:rsidRDefault="00990B14">
            <w:pPr>
              <w:spacing w:before="20" w:after="20"/>
            </w:pPr>
          </w:p>
        </w:tc>
        <w:tc>
          <w:tcPr>
            <w:tcW w:w="2015" w:type="dxa"/>
            <w:shd w:val="clear" w:color="auto" w:fill="D9E2F3"/>
            <w:vAlign w:val="center"/>
          </w:tcPr>
          <w:p w14:paraId="652DE723" w14:textId="77777777" w:rsidR="00990B14" w:rsidRDefault="00000000">
            <w:pPr>
              <w:spacing w:before="20" w:after="20"/>
              <w:jc w:val="both"/>
            </w:pPr>
            <w:r>
              <w:rPr>
                <w:sz w:val="18"/>
                <w:szCs w:val="18"/>
              </w:rPr>
              <w:t>Componentes y principios</w:t>
            </w:r>
          </w:p>
        </w:tc>
        <w:tc>
          <w:tcPr>
            <w:tcW w:w="2015" w:type="dxa"/>
            <w:shd w:val="clear" w:color="auto" w:fill="D9E2F3"/>
            <w:vAlign w:val="center"/>
          </w:tcPr>
          <w:p w14:paraId="2D0912FE" w14:textId="77777777" w:rsidR="00990B14" w:rsidRDefault="00000000">
            <w:pPr>
              <w:spacing w:before="20" w:after="20"/>
              <w:jc w:val="both"/>
            </w:pPr>
            <w:r>
              <w:rPr>
                <w:sz w:val="18"/>
                <w:szCs w:val="18"/>
              </w:rPr>
              <w:t>Omite componentes o principios del marco.</w:t>
            </w:r>
          </w:p>
        </w:tc>
        <w:tc>
          <w:tcPr>
            <w:tcW w:w="2008" w:type="dxa"/>
            <w:shd w:val="clear" w:color="auto" w:fill="D9E2F3"/>
            <w:vAlign w:val="center"/>
          </w:tcPr>
          <w:p w14:paraId="502A559E" w14:textId="77777777" w:rsidR="00990B14" w:rsidRDefault="00000000">
            <w:pPr>
              <w:spacing w:before="20" w:after="20"/>
              <w:jc w:val="both"/>
            </w:pPr>
            <w:r>
              <w:rPr>
                <w:sz w:val="18"/>
                <w:szCs w:val="18"/>
              </w:rPr>
              <w:t>Presenta los cinco componentes con sus principios.</w:t>
            </w:r>
          </w:p>
        </w:tc>
        <w:tc>
          <w:tcPr>
            <w:tcW w:w="1877" w:type="dxa"/>
            <w:shd w:val="clear" w:color="auto" w:fill="D9E2F3"/>
            <w:vAlign w:val="center"/>
          </w:tcPr>
          <w:p w14:paraId="032362D9" w14:textId="77777777" w:rsidR="00990B14" w:rsidRDefault="00000000">
            <w:pPr>
              <w:spacing w:before="20" w:after="20"/>
              <w:jc w:val="both"/>
            </w:pPr>
            <w:r>
              <w:rPr>
                <w:sz w:val="18"/>
                <w:szCs w:val="18"/>
              </w:rPr>
              <w:t>Explica la relación entre componentes y principios.</w:t>
            </w:r>
          </w:p>
        </w:tc>
      </w:tr>
      <w:tr w:rsidR="00990B14" w14:paraId="42FF112C" w14:textId="77777777">
        <w:trPr>
          <w:cantSplit/>
          <w:jc w:val="center"/>
        </w:trPr>
        <w:tc>
          <w:tcPr>
            <w:tcW w:w="1490" w:type="dxa"/>
            <w:vMerge/>
            <w:shd w:val="clear" w:color="auto" w:fill="4472C4"/>
            <w:vAlign w:val="center"/>
          </w:tcPr>
          <w:p w14:paraId="634BA5A4" w14:textId="77777777" w:rsidR="00990B14" w:rsidRDefault="00990B14">
            <w:pPr>
              <w:spacing w:before="20" w:after="20"/>
            </w:pPr>
          </w:p>
        </w:tc>
        <w:tc>
          <w:tcPr>
            <w:tcW w:w="2015" w:type="dxa"/>
            <w:shd w:val="clear" w:color="auto" w:fill="D9E2F3"/>
            <w:vAlign w:val="center"/>
          </w:tcPr>
          <w:p w14:paraId="681E7531" w14:textId="77777777" w:rsidR="00990B14" w:rsidRDefault="00000000">
            <w:pPr>
              <w:spacing w:before="20" w:after="20"/>
              <w:jc w:val="both"/>
            </w:pPr>
            <w:r>
              <w:rPr>
                <w:sz w:val="18"/>
                <w:szCs w:val="18"/>
              </w:rPr>
              <w:t>Aplicación al caso</w:t>
            </w:r>
          </w:p>
        </w:tc>
        <w:tc>
          <w:tcPr>
            <w:tcW w:w="2015" w:type="dxa"/>
            <w:shd w:val="clear" w:color="auto" w:fill="D9E2F3"/>
            <w:vAlign w:val="center"/>
          </w:tcPr>
          <w:p w14:paraId="7382D93A" w14:textId="77777777" w:rsidR="00990B14" w:rsidRDefault="00000000">
            <w:pPr>
              <w:spacing w:before="20" w:after="20"/>
              <w:jc w:val="both"/>
            </w:pPr>
            <w:r>
              <w:rPr>
                <w:sz w:val="18"/>
                <w:szCs w:val="18"/>
              </w:rPr>
              <w:t>No ilustra los componentes.</w:t>
            </w:r>
          </w:p>
        </w:tc>
        <w:tc>
          <w:tcPr>
            <w:tcW w:w="2008" w:type="dxa"/>
            <w:shd w:val="clear" w:color="auto" w:fill="D9E2F3"/>
            <w:vAlign w:val="center"/>
          </w:tcPr>
          <w:p w14:paraId="7DD46CA5" w14:textId="77777777" w:rsidR="00990B14" w:rsidRDefault="00000000">
            <w:pPr>
              <w:spacing w:before="20" w:after="20"/>
              <w:jc w:val="both"/>
            </w:pPr>
            <w:r>
              <w:rPr>
                <w:sz w:val="18"/>
                <w:szCs w:val="18"/>
              </w:rPr>
              <w:t>Ilustra cada componente con un ejemplo de entidad.</w:t>
            </w:r>
          </w:p>
        </w:tc>
        <w:tc>
          <w:tcPr>
            <w:tcW w:w="1877" w:type="dxa"/>
            <w:shd w:val="clear" w:color="auto" w:fill="D9E2F3"/>
            <w:vAlign w:val="center"/>
          </w:tcPr>
          <w:p w14:paraId="5958E968" w14:textId="77777777" w:rsidR="00990B14" w:rsidRDefault="00000000">
            <w:pPr>
              <w:spacing w:before="20" w:after="20"/>
              <w:jc w:val="both"/>
            </w:pPr>
            <w:r>
              <w:rPr>
                <w:sz w:val="18"/>
                <w:szCs w:val="18"/>
              </w:rPr>
              <w:t>Justifica la importancia de cada componente para los objetivos.</w:t>
            </w:r>
          </w:p>
        </w:tc>
      </w:tr>
      <w:tr w:rsidR="00990B14" w14:paraId="20EA8874" w14:textId="77777777">
        <w:trPr>
          <w:cantSplit/>
          <w:jc w:val="center"/>
        </w:trPr>
        <w:tc>
          <w:tcPr>
            <w:tcW w:w="1490" w:type="dxa"/>
            <w:vMerge/>
            <w:shd w:val="clear" w:color="auto" w:fill="4472C4"/>
            <w:vAlign w:val="center"/>
          </w:tcPr>
          <w:p w14:paraId="4E42AF62" w14:textId="77777777" w:rsidR="00990B14" w:rsidRDefault="00990B14">
            <w:pPr>
              <w:spacing w:before="20" w:after="20"/>
            </w:pPr>
          </w:p>
        </w:tc>
        <w:tc>
          <w:tcPr>
            <w:tcW w:w="2015" w:type="dxa"/>
            <w:shd w:val="clear" w:color="auto" w:fill="D9E2F3"/>
            <w:vAlign w:val="center"/>
          </w:tcPr>
          <w:p w14:paraId="6F4F19BE" w14:textId="77777777" w:rsidR="00990B14" w:rsidRDefault="00000000">
            <w:pPr>
              <w:spacing w:before="20" w:after="20"/>
              <w:jc w:val="both"/>
            </w:pPr>
            <w:r>
              <w:rPr>
                <w:sz w:val="18"/>
                <w:szCs w:val="18"/>
              </w:rPr>
              <w:t>Presentación del esquema</w:t>
            </w:r>
          </w:p>
        </w:tc>
        <w:tc>
          <w:tcPr>
            <w:tcW w:w="2015" w:type="dxa"/>
            <w:shd w:val="clear" w:color="auto" w:fill="D9E2F3"/>
            <w:vAlign w:val="center"/>
          </w:tcPr>
          <w:p w14:paraId="489B7161" w14:textId="77777777" w:rsidR="00990B14" w:rsidRDefault="00000000">
            <w:pPr>
              <w:spacing w:before="20" w:after="20"/>
              <w:jc w:val="both"/>
            </w:pPr>
            <w:r>
              <w:rPr>
                <w:sz w:val="18"/>
                <w:szCs w:val="18"/>
              </w:rPr>
              <w:t>El esquema es desordenado o incompleto.</w:t>
            </w:r>
          </w:p>
        </w:tc>
        <w:tc>
          <w:tcPr>
            <w:tcW w:w="2008" w:type="dxa"/>
            <w:shd w:val="clear" w:color="auto" w:fill="D9E2F3"/>
            <w:vAlign w:val="center"/>
          </w:tcPr>
          <w:p w14:paraId="0E596AB0" w14:textId="77777777" w:rsidR="00990B14" w:rsidRDefault="00000000">
            <w:pPr>
              <w:spacing w:before="20" w:after="20"/>
              <w:jc w:val="both"/>
            </w:pPr>
            <w:r>
              <w:rPr>
                <w:sz w:val="18"/>
                <w:szCs w:val="18"/>
              </w:rPr>
              <w:t>Presenta un esquema ordenado de los componentes y los principios.</w:t>
            </w:r>
          </w:p>
        </w:tc>
        <w:tc>
          <w:tcPr>
            <w:tcW w:w="1877" w:type="dxa"/>
            <w:shd w:val="clear" w:color="auto" w:fill="D9E2F3"/>
            <w:vAlign w:val="center"/>
          </w:tcPr>
          <w:p w14:paraId="175E8A40" w14:textId="77777777" w:rsidR="00990B14" w:rsidRDefault="00000000">
            <w:pPr>
              <w:spacing w:before="20" w:after="20"/>
              <w:jc w:val="both"/>
            </w:pPr>
            <w:r>
              <w:rPr>
                <w:sz w:val="18"/>
                <w:szCs w:val="18"/>
              </w:rPr>
              <w:t>Presenta un esquema claro con la jerarquía de componentes, principios y puntos de enfoque.</w:t>
            </w:r>
          </w:p>
        </w:tc>
      </w:tr>
      <w:tr w:rsidR="00990B14" w14:paraId="4A2D2F14" w14:textId="77777777">
        <w:trPr>
          <w:cantSplit/>
          <w:jc w:val="center"/>
        </w:trPr>
        <w:tc>
          <w:tcPr>
            <w:tcW w:w="1490" w:type="dxa"/>
            <w:vMerge/>
            <w:shd w:val="clear" w:color="auto" w:fill="4472C4"/>
            <w:vAlign w:val="center"/>
          </w:tcPr>
          <w:p w14:paraId="60817D64" w14:textId="77777777" w:rsidR="00990B14" w:rsidRDefault="00990B14">
            <w:pPr>
              <w:spacing w:before="20" w:after="20"/>
            </w:pPr>
          </w:p>
        </w:tc>
        <w:tc>
          <w:tcPr>
            <w:tcW w:w="6038" w:type="dxa"/>
            <w:gridSpan w:val="3"/>
            <w:shd w:val="clear" w:color="auto" w:fill="D9E2F3"/>
            <w:vAlign w:val="center"/>
          </w:tcPr>
          <w:p w14:paraId="62B44875" w14:textId="77777777" w:rsidR="00990B14" w:rsidRDefault="00000000">
            <w:pPr>
              <w:keepNext/>
              <w:spacing w:before="20" w:after="20"/>
              <w:jc w:val="both"/>
            </w:pPr>
            <w:r>
              <w:rPr>
                <w:b/>
                <w:bCs/>
                <w:i/>
                <w:iCs/>
                <w:sz w:val="18"/>
                <w:szCs w:val="18"/>
              </w:rPr>
              <w:t xml:space="preserve">Producto 6: </w:t>
            </w:r>
            <w:r>
              <w:rPr>
                <w:sz w:val="18"/>
                <w:szCs w:val="18"/>
              </w:rPr>
              <w:t>Cuadro de diseño de controles internos, por procesos, riesgos y tipos de control.</w:t>
            </w:r>
          </w:p>
        </w:tc>
        <w:tc>
          <w:tcPr>
            <w:tcW w:w="1877" w:type="dxa"/>
            <w:shd w:val="clear" w:color="auto" w:fill="D9E2F3"/>
            <w:vAlign w:val="center"/>
          </w:tcPr>
          <w:p w14:paraId="394C9642" w14:textId="77777777" w:rsidR="00990B14" w:rsidRDefault="00000000">
            <w:pPr>
              <w:spacing w:before="20" w:after="20"/>
              <w:jc w:val="center"/>
            </w:pPr>
            <w:r>
              <w:rPr>
                <w:b/>
                <w:bCs/>
                <w:sz w:val="18"/>
                <w:szCs w:val="18"/>
              </w:rPr>
              <w:t>5%</w:t>
            </w:r>
          </w:p>
        </w:tc>
      </w:tr>
      <w:tr w:rsidR="00990B14" w14:paraId="6B31E954" w14:textId="77777777">
        <w:trPr>
          <w:cantSplit/>
          <w:jc w:val="center"/>
        </w:trPr>
        <w:tc>
          <w:tcPr>
            <w:tcW w:w="1490" w:type="dxa"/>
            <w:vMerge/>
            <w:shd w:val="clear" w:color="auto" w:fill="4472C4"/>
            <w:vAlign w:val="center"/>
          </w:tcPr>
          <w:p w14:paraId="4273E895" w14:textId="77777777" w:rsidR="00990B14" w:rsidRDefault="00990B14">
            <w:pPr>
              <w:spacing w:before="20" w:after="20"/>
            </w:pPr>
          </w:p>
        </w:tc>
        <w:tc>
          <w:tcPr>
            <w:tcW w:w="2015" w:type="dxa"/>
            <w:shd w:val="clear" w:color="auto" w:fill="4472C4"/>
            <w:vAlign w:val="center"/>
          </w:tcPr>
          <w:p w14:paraId="73AE7F8E"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08606C37" w14:textId="77777777" w:rsidR="00990B14" w:rsidRDefault="00000000">
            <w:pPr>
              <w:keepNext/>
              <w:spacing w:before="20" w:after="20"/>
              <w:jc w:val="center"/>
            </w:pPr>
            <w:r>
              <w:rPr>
                <w:b/>
                <w:bCs/>
                <w:i/>
                <w:iCs/>
                <w:color w:val="FFFFFF"/>
                <w:sz w:val="18"/>
                <w:szCs w:val="18"/>
              </w:rPr>
              <w:t>Insuficiente (1–50)</w:t>
            </w:r>
          </w:p>
        </w:tc>
        <w:tc>
          <w:tcPr>
            <w:tcW w:w="2008" w:type="dxa"/>
            <w:shd w:val="clear" w:color="auto" w:fill="4472C4"/>
            <w:vAlign w:val="center"/>
          </w:tcPr>
          <w:p w14:paraId="762436BF"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66552323" w14:textId="77777777" w:rsidR="00990B14" w:rsidRDefault="00000000">
            <w:pPr>
              <w:keepNext/>
              <w:spacing w:before="20" w:after="20"/>
              <w:jc w:val="center"/>
            </w:pPr>
            <w:r>
              <w:rPr>
                <w:b/>
                <w:bCs/>
                <w:i/>
                <w:iCs/>
                <w:color w:val="FFFFFF"/>
                <w:sz w:val="18"/>
                <w:szCs w:val="18"/>
              </w:rPr>
              <w:t>Destacado (81–100)</w:t>
            </w:r>
          </w:p>
        </w:tc>
      </w:tr>
      <w:tr w:rsidR="00990B14" w14:paraId="0D89ECCE" w14:textId="77777777">
        <w:trPr>
          <w:cantSplit/>
          <w:jc w:val="center"/>
        </w:trPr>
        <w:tc>
          <w:tcPr>
            <w:tcW w:w="1490" w:type="dxa"/>
            <w:vMerge/>
            <w:shd w:val="clear" w:color="auto" w:fill="4472C4"/>
            <w:vAlign w:val="center"/>
          </w:tcPr>
          <w:p w14:paraId="74D11FC4" w14:textId="77777777" w:rsidR="00990B14" w:rsidRDefault="00990B14">
            <w:pPr>
              <w:spacing w:before="20" w:after="20"/>
            </w:pPr>
          </w:p>
        </w:tc>
        <w:tc>
          <w:tcPr>
            <w:tcW w:w="2015" w:type="dxa"/>
            <w:shd w:val="clear" w:color="auto" w:fill="D9E2F3"/>
            <w:vAlign w:val="center"/>
          </w:tcPr>
          <w:p w14:paraId="15BCA3E8" w14:textId="77777777" w:rsidR="00990B14" w:rsidRDefault="00000000">
            <w:pPr>
              <w:spacing w:before="20" w:after="20"/>
              <w:jc w:val="both"/>
            </w:pPr>
            <w:r>
              <w:rPr>
                <w:sz w:val="18"/>
                <w:szCs w:val="18"/>
              </w:rPr>
              <w:t>Vinculación riesgo-control</w:t>
            </w:r>
          </w:p>
        </w:tc>
        <w:tc>
          <w:tcPr>
            <w:tcW w:w="2015" w:type="dxa"/>
            <w:shd w:val="clear" w:color="auto" w:fill="D9E2F3"/>
            <w:vAlign w:val="center"/>
          </w:tcPr>
          <w:p w14:paraId="00E8BEF2" w14:textId="77777777" w:rsidR="00990B14" w:rsidRDefault="00000000">
            <w:pPr>
              <w:spacing w:before="20" w:after="20"/>
              <w:jc w:val="both"/>
            </w:pPr>
            <w:r>
              <w:rPr>
                <w:sz w:val="18"/>
                <w:szCs w:val="18"/>
              </w:rPr>
              <w:t>Los controles no responden a los riesgos.</w:t>
            </w:r>
          </w:p>
        </w:tc>
        <w:tc>
          <w:tcPr>
            <w:tcW w:w="2008" w:type="dxa"/>
            <w:shd w:val="clear" w:color="auto" w:fill="D9E2F3"/>
            <w:vAlign w:val="center"/>
          </w:tcPr>
          <w:p w14:paraId="7BF1FE36" w14:textId="77777777" w:rsidR="00990B14" w:rsidRDefault="00000000">
            <w:pPr>
              <w:spacing w:before="20" w:after="20"/>
              <w:jc w:val="both"/>
            </w:pPr>
            <w:r>
              <w:rPr>
                <w:sz w:val="18"/>
                <w:szCs w:val="18"/>
              </w:rPr>
              <w:t>Vincula cada control con un riesgo del proceso.</w:t>
            </w:r>
          </w:p>
        </w:tc>
        <w:tc>
          <w:tcPr>
            <w:tcW w:w="1877" w:type="dxa"/>
            <w:shd w:val="clear" w:color="auto" w:fill="D9E2F3"/>
            <w:vAlign w:val="center"/>
          </w:tcPr>
          <w:p w14:paraId="0DB25595" w14:textId="77777777" w:rsidR="00990B14" w:rsidRDefault="00000000">
            <w:pPr>
              <w:spacing w:before="20" w:after="20"/>
              <w:jc w:val="both"/>
            </w:pPr>
            <w:r>
              <w:rPr>
                <w:sz w:val="18"/>
                <w:szCs w:val="18"/>
              </w:rPr>
              <w:t>Justifica la suficiencia del control frente al riesgo.</w:t>
            </w:r>
          </w:p>
        </w:tc>
      </w:tr>
      <w:tr w:rsidR="00990B14" w14:paraId="45EC7220" w14:textId="77777777">
        <w:trPr>
          <w:cantSplit/>
          <w:jc w:val="center"/>
        </w:trPr>
        <w:tc>
          <w:tcPr>
            <w:tcW w:w="1490" w:type="dxa"/>
            <w:vMerge/>
            <w:shd w:val="clear" w:color="auto" w:fill="4472C4"/>
            <w:vAlign w:val="center"/>
          </w:tcPr>
          <w:p w14:paraId="7F4E4CBC" w14:textId="77777777" w:rsidR="00990B14" w:rsidRDefault="00990B14">
            <w:pPr>
              <w:spacing w:before="20" w:after="20"/>
            </w:pPr>
          </w:p>
        </w:tc>
        <w:tc>
          <w:tcPr>
            <w:tcW w:w="2015" w:type="dxa"/>
            <w:shd w:val="clear" w:color="auto" w:fill="D9E2F3"/>
            <w:vAlign w:val="center"/>
          </w:tcPr>
          <w:p w14:paraId="79E2C772" w14:textId="77777777" w:rsidR="00990B14" w:rsidRDefault="00000000">
            <w:pPr>
              <w:spacing w:before="20" w:after="20"/>
              <w:jc w:val="both"/>
            </w:pPr>
            <w:r>
              <w:rPr>
                <w:sz w:val="18"/>
                <w:szCs w:val="18"/>
              </w:rPr>
              <w:t>Tipos de control</w:t>
            </w:r>
          </w:p>
        </w:tc>
        <w:tc>
          <w:tcPr>
            <w:tcW w:w="2015" w:type="dxa"/>
            <w:shd w:val="clear" w:color="auto" w:fill="D9E2F3"/>
            <w:vAlign w:val="center"/>
          </w:tcPr>
          <w:p w14:paraId="0C0A6A10" w14:textId="77777777" w:rsidR="00990B14" w:rsidRDefault="00000000">
            <w:pPr>
              <w:spacing w:before="20" w:after="20"/>
              <w:jc w:val="both"/>
            </w:pPr>
            <w:r>
              <w:rPr>
                <w:sz w:val="18"/>
                <w:szCs w:val="18"/>
              </w:rPr>
              <w:t>Confunde los controles preventivos, detectivos y correctivos.</w:t>
            </w:r>
          </w:p>
        </w:tc>
        <w:tc>
          <w:tcPr>
            <w:tcW w:w="2008" w:type="dxa"/>
            <w:shd w:val="clear" w:color="auto" w:fill="D9E2F3"/>
            <w:vAlign w:val="center"/>
          </w:tcPr>
          <w:p w14:paraId="06938EDB" w14:textId="77777777" w:rsidR="00990B14" w:rsidRDefault="00000000">
            <w:pPr>
              <w:spacing w:before="20" w:after="20"/>
              <w:jc w:val="both"/>
            </w:pPr>
            <w:r>
              <w:rPr>
                <w:sz w:val="18"/>
                <w:szCs w:val="18"/>
              </w:rPr>
              <w:t>Clasifica correctamente los controles por tipo.</w:t>
            </w:r>
          </w:p>
        </w:tc>
        <w:tc>
          <w:tcPr>
            <w:tcW w:w="1877" w:type="dxa"/>
            <w:shd w:val="clear" w:color="auto" w:fill="D9E2F3"/>
            <w:vAlign w:val="center"/>
          </w:tcPr>
          <w:p w14:paraId="65DC0D05" w14:textId="77777777" w:rsidR="00990B14" w:rsidRDefault="00000000">
            <w:pPr>
              <w:spacing w:before="20" w:after="20"/>
              <w:jc w:val="both"/>
            </w:pPr>
            <w:r>
              <w:rPr>
                <w:sz w:val="18"/>
                <w:szCs w:val="18"/>
              </w:rPr>
              <w:t>Equilibra los tipos de control según el costo y el riesgo.</w:t>
            </w:r>
          </w:p>
        </w:tc>
      </w:tr>
      <w:tr w:rsidR="00990B14" w14:paraId="4262DB86" w14:textId="77777777">
        <w:trPr>
          <w:cantSplit/>
          <w:jc w:val="center"/>
        </w:trPr>
        <w:tc>
          <w:tcPr>
            <w:tcW w:w="1490" w:type="dxa"/>
            <w:vMerge/>
            <w:shd w:val="clear" w:color="auto" w:fill="4472C4"/>
            <w:vAlign w:val="center"/>
          </w:tcPr>
          <w:p w14:paraId="1AE31264" w14:textId="77777777" w:rsidR="00990B14" w:rsidRDefault="00990B14">
            <w:pPr>
              <w:spacing w:before="20" w:after="20"/>
            </w:pPr>
          </w:p>
        </w:tc>
        <w:tc>
          <w:tcPr>
            <w:tcW w:w="2015" w:type="dxa"/>
            <w:shd w:val="clear" w:color="auto" w:fill="D9E2F3"/>
            <w:vAlign w:val="center"/>
          </w:tcPr>
          <w:p w14:paraId="144534DD" w14:textId="77777777" w:rsidR="00990B14" w:rsidRDefault="00000000">
            <w:pPr>
              <w:spacing w:before="20" w:after="20"/>
              <w:jc w:val="both"/>
            </w:pPr>
            <w:r>
              <w:rPr>
                <w:sz w:val="18"/>
                <w:szCs w:val="18"/>
              </w:rPr>
              <w:t>Responsables y frecuencia</w:t>
            </w:r>
          </w:p>
        </w:tc>
        <w:tc>
          <w:tcPr>
            <w:tcW w:w="2015" w:type="dxa"/>
            <w:shd w:val="clear" w:color="auto" w:fill="D9E2F3"/>
            <w:vAlign w:val="center"/>
          </w:tcPr>
          <w:p w14:paraId="3E09AE0B" w14:textId="77777777" w:rsidR="00990B14" w:rsidRDefault="00000000">
            <w:pPr>
              <w:spacing w:before="20" w:after="20"/>
              <w:jc w:val="both"/>
            </w:pPr>
            <w:r>
              <w:rPr>
                <w:sz w:val="18"/>
                <w:szCs w:val="18"/>
              </w:rPr>
              <w:t>No asigna responsables ni frecuencia a los controles.</w:t>
            </w:r>
          </w:p>
        </w:tc>
        <w:tc>
          <w:tcPr>
            <w:tcW w:w="2008" w:type="dxa"/>
            <w:shd w:val="clear" w:color="auto" w:fill="D9E2F3"/>
            <w:vAlign w:val="center"/>
          </w:tcPr>
          <w:p w14:paraId="1466B8D6" w14:textId="77777777" w:rsidR="00990B14" w:rsidRDefault="00000000">
            <w:pPr>
              <w:spacing w:before="20" w:after="20"/>
              <w:jc w:val="both"/>
            </w:pPr>
            <w:r>
              <w:rPr>
                <w:sz w:val="18"/>
                <w:szCs w:val="18"/>
              </w:rPr>
              <w:t>Asigna responsables y frecuencia a cada control.</w:t>
            </w:r>
          </w:p>
        </w:tc>
        <w:tc>
          <w:tcPr>
            <w:tcW w:w="1877" w:type="dxa"/>
            <w:shd w:val="clear" w:color="auto" w:fill="D9E2F3"/>
            <w:vAlign w:val="center"/>
          </w:tcPr>
          <w:p w14:paraId="43CD9F3E" w14:textId="77777777" w:rsidR="00990B14" w:rsidRDefault="00000000">
            <w:pPr>
              <w:spacing w:before="20" w:after="20"/>
              <w:jc w:val="both"/>
            </w:pPr>
            <w:r>
              <w:rPr>
                <w:sz w:val="18"/>
                <w:szCs w:val="18"/>
              </w:rPr>
              <w:t>Asigna responsables, frecuencia y evidencia de ejecución a cada control.</w:t>
            </w:r>
          </w:p>
        </w:tc>
      </w:tr>
      <w:tr w:rsidR="00990B14" w14:paraId="5904B052" w14:textId="77777777">
        <w:trPr>
          <w:cantSplit/>
          <w:jc w:val="center"/>
        </w:trPr>
        <w:tc>
          <w:tcPr>
            <w:tcW w:w="1490" w:type="dxa"/>
            <w:vMerge/>
            <w:shd w:val="clear" w:color="auto" w:fill="4472C4"/>
            <w:vAlign w:val="center"/>
          </w:tcPr>
          <w:p w14:paraId="658C80E3" w14:textId="77777777" w:rsidR="00990B14" w:rsidRDefault="00990B14">
            <w:pPr>
              <w:spacing w:before="20" w:after="20"/>
            </w:pPr>
          </w:p>
        </w:tc>
        <w:tc>
          <w:tcPr>
            <w:tcW w:w="6038" w:type="dxa"/>
            <w:gridSpan w:val="3"/>
            <w:shd w:val="clear" w:color="auto" w:fill="D9E2F3"/>
            <w:vAlign w:val="center"/>
          </w:tcPr>
          <w:p w14:paraId="5A39832B" w14:textId="77777777" w:rsidR="00990B14" w:rsidRDefault="00000000">
            <w:pPr>
              <w:keepNext/>
              <w:spacing w:before="20" w:after="20"/>
              <w:jc w:val="both"/>
            </w:pPr>
            <w:r>
              <w:rPr>
                <w:b/>
                <w:bCs/>
                <w:i/>
                <w:iCs/>
                <w:sz w:val="18"/>
                <w:szCs w:val="18"/>
              </w:rPr>
              <w:t xml:space="preserve">Producto 7: </w:t>
            </w:r>
            <w:r>
              <w:rPr>
                <w:sz w:val="18"/>
                <w:szCs w:val="18"/>
              </w:rPr>
              <w:t>Esquema de comprensión de objetivos, alcance, principios, técnicas y metodologías de evaluación de control interno.</w:t>
            </w:r>
          </w:p>
        </w:tc>
        <w:tc>
          <w:tcPr>
            <w:tcW w:w="1877" w:type="dxa"/>
            <w:shd w:val="clear" w:color="auto" w:fill="D9E2F3"/>
            <w:vAlign w:val="center"/>
          </w:tcPr>
          <w:p w14:paraId="6B69E861" w14:textId="77777777" w:rsidR="00990B14" w:rsidRDefault="00000000">
            <w:pPr>
              <w:spacing w:before="20" w:after="20"/>
              <w:jc w:val="center"/>
            </w:pPr>
            <w:r>
              <w:rPr>
                <w:b/>
                <w:bCs/>
                <w:sz w:val="18"/>
                <w:szCs w:val="18"/>
              </w:rPr>
              <w:t>2%</w:t>
            </w:r>
          </w:p>
        </w:tc>
      </w:tr>
      <w:tr w:rsidR="00990B14" w14:paraId="69C48AA8" w14:textId="77777777">
        <w:trPr>
          <w:cantSplit/>
          <w:jc w:val="center"/>
        </w:trPr>
        <w:tc>
          <w:tcPr>
            <w:tcW w:w="1490" w:type="dxa"/>
            <w:vMerge/>
            <w:shd w:val="clear" w:color="auto" w:fill="4472C4"/>
            <w:vAlign w:val="center"/>
          </w:tcPr>
          <w:p w14:paraId="23ED26F6" w14:textId="77777777" w:rsidR="00990B14" w:rsidRDefault="00990B14">
            <w:pPr>
              <w:spacing w:before="20" w:after="20"/>
            </w:pPr>
          </w:p>
        </w:tc>
        <w:tc>
          <w:tcPr>
            <w:tcW w:w="2015" w:type="dxa"/>
            <w:shd w:val="clear" w:color="auto" w:fill="4472C4"/>
            <w:vAlign w:val="center"/>
          </w:tcPr>
          <w:p w14:paraId="5BFC77CB"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7F8C8B12" w14:textId="77777777" w:rsidR="00990B14" w:rsidRDefault="00000000">
            <w:pPr>
              <w:keepNext/>
              <w:spacing w:before="20" w:after="20"/>
              <w:jc w:val="center"/>
            </w:pPr>
            <w:r>
              <w:rPr>
                <w:b/>
                <w:bCs/>
                <w:i/>
                <w:iCs/>
                <w:color w:val="FFFFFF"/>
                <w:sz w:val="18"/>
                <w:szCs w:val="18"/>
              </w:rPr>
              <w:t>Insuficiente (1–50)</w:t>
            </w:r>
          </w:p>
        </w:tc>
        <w:tc>
          <w:tcPr>
            <w:tcW w:w="2008" w:type="dxa"/>
            <w:shd w:val="clear" w:color="auto" w:fill="4472C4"/>
            <w:vAlign w:val="center"/>
          </w:tcPr>
          <w:p w14:paraId="4DC03A0F"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6280297D" w14:textId="77777777" w:rsidR="00990B14" w:rsidRDefault="00000000">
            <w:pPr>
              <w:keepNext/>
              <w:spacing w:before="20" w:after="20"/>
              <w:jc w:val="center"/>
            </w:pPr>
            <w:r>
              <w:rPr>
                <w:b/>
                <w:bCs/>
                <w:i/>
                <w:iCs/>
                <w:color w:val="FFFFFF"/>
                <w:sz w:val="18"/>
                <w:szCs w:val="18"/>
              </w:rPr>
              <w:t>Destacado (81–100)</w:t>
            </w:r>
          </w:p>
        </w:tc>
      </w:tr>
      <w:tr w:rsidR="00990B14" w14:paraId="715D1A0F" w14:textId="77777777">
        <w:trPr>
          <w:cantSplit/>
          <w:jc w:val="center"/>
        </w:trPr>
        <w:tc>
          <w:tcPr>
            <w:tcW w:w="1490" w:type="dxa"/>
            <w:vMerge/>
            <w:shd w:val="clear" w:color="auto" w:fill="4472C4"/>
            <w:vAlign w:val="center"/>
          </w:tcPr>
          <w:p w14:paraId="34083E9A" w14:textId="77777777" w:rsidR="00990B14" w:rsidRDefault="00990B14">
            <w:pPr>
              <w:spacing w:before="20" w:after="20"/>
            </w:pPr>
          </w:p>
        </w:tc>
        <w:tc>
          <w:tcPr>
            <w:tcW w:w="2015" w:type="dxa"/>
            <w:shd w:val="clear" w:color="auto" w:fill="D9E2F3"/>
            <w:vAlign w:val="center"/>
          </w:tcPr>
          <w:p w14:paraId="3B565F2E" w14:textId="77777777" w:rsidR="00990B14" w:rsidRDefault="00000000">
            <w:pPr>
              <w:spacing w:before="20" w:after="20"/>
              <w:jc w:val="both"/>
            </w:pPr>
            <w:r>
              <w:rPr>
                <w:sz w:val="18"/>
                <w:szCs w:val="18"/>
              </w:rPr>
              <w:t>Objetivos y alcance</w:t>
            </w:r>
          </w:p>
        </w:tc>
        <w:tc>
          <w:tcPr>
            <w:tcW w:w="2015" w:type="dxa"/>
            <w:shd w:val="clear" w:color="auto" w:fill="D9E2F3"/>
            <w:vAlign w:val="center"/>
          </w:tcPr>
          <w:p w14:paraId="7B8E3B41" w14:textId="77777777" w:rsidR="00990B14" w:rsidRDefault="00000000">
            <w:pPr>
              <w:spacing w:before="20" w:after="20"/>
              <w:jc w:val="both"/>
            </w:pPr>
            <w:r>
              <w:rPr>
                <w:sz w:val="18"/>
                <w:szCs w:val="18"/>
              </w:rPr>
              <w:t>Omite los objetivos o el alcance de la evaluación.</w:t>
            </w:r>
          </w:p>
        </w:tc>
        <w:tc>
          <w:tcPr>
            <w:tcW w:w="2008" w:type="dxa"/>
            <w:shd w:val="clear" w:color="auto" w:fill="D9E2F3"/>
            <w:vAlign w:val="center"/>
          </w:tcPr>
          <w:p w14:paraId="1A841AC3" w14:textId="77777777" w:rsidR="00990B14" w:rsidRDefault="00000000">
            <w:pPr>
              <w:spacing w:before="20" w:after="20"/>
              <w:jc w:val="both"/>
            </w:pPr>
            <w:r>
              <w:rPr>
                <w:sz w:val="18"/>
                <w:szCs w:val="18"/>
              </w:rPr>
              <w:t>Describe los objetivos, el alcance y los principios de la evaluación.</w:t>
            </w:r>
          </w:p>
        </w:tc>
        <w:tc>
          <w:tcPr>
            <w:tcW w:w="1877" w:type="dxa"/>
            <w:shd w:val="clear" w:color="auto" w:fill="D9E2F3"/>
            <w:vAlign w:val="center"/>
          </w:tcPr>
          <w:p w14:paraId="59035EEA" w14:textId="77777777" w:rsidR="00990B14" w:rsidRDefault="00000000">
            <w:pPr>
              <w:spacing w:before="20" w:after="20"/>
              <w:jc w:val="both"/>
            </w:pPr>
            <w:r>
              <w:rPr>
                <w:sz w:val="18"/>
                <w:szCs w:val="18"/>
              </w:rPr>
              <w:t>Relaciona el alcance con el nivel de riesgo.</w:t>
            </w:r>
          </w:p>
        </w:tc>
      </w:tr>
      <w:tr w:rsidR="00990B14" w14:paraId="31F027CE" w14:textId="77777777">
        <w:trPr>
          <w:cantSplit/>
          <w:jc w:val="center"/>
        </w:trPr>
        <w:tc>
          <w:tcPr>
            <w:tcW w:w="1490" w:type="dxa"/>
            <w:vMerge/>
            <w:shd w:val="clear" w:color="auto" w:fill="4472C4"/>
            <w:vAlign w:val="center"/>
          </w:tcPr>
          <w:p w14:paraId="1BBDB699" w14:textId="77777777" w:rsidR="00990B14" w:rsidRDefault="00990B14">
            <w:pPr>
              <w:spacing w:before="20" w:after="20"/>
            </w:pPr>
          </w:p>
        </w:tc>
        <w:tc>
          <w:tcPr>
            <w:tcW w:w="2015" w:type="dxa"/>
            <w:shd w:val="clear" w:color="auto" w:fill="D9E2F3"/>
            <w:vAlign w:val="center"/>
          </w:tcPr>
          <w:p w14:paraId="5812DCE1" w14:textId="77777777" w:rsidR="00990B14" w:rsidRDefault="00000000">
            <w:pPr>
              <w:spacing w:before="20" w:after="20"/>
              <w:jc w:val="both"/>
            </w:pPr>
            <w:r>
              <w:rPr>
                <w:sz w:val="18"/>
                <w:szCs w:val="18"/>
              </w:rPr>
              <w:t>Técnicas y metodologías</w:t>
            </w:r>
          </w:p>
        </w:tc>
        <w:tc>
          <w:tcPr>
            <w:tcW w:w="2015" w:type="dxa"/>
            <w:shd w:val="clear" w:color="auto" w:fill="D9E2F3"/>
            <w:vAlign w:val="center"/>
          </w:tcPr>
          <w:p w14:paraId="66B080A6" w14:textId="77777777" w:rsidR="00990B14" w:rsidRDefault="00000000">
            <w:pPr>
              <w:spacing w:before="20" w:after="20"/>
              <w:jc w:val="both"/>
            </w:pPr>
            <w:r>
              <w:rPr>
                <w:sz w:val="18"/>
                <w:szCs w:val="18"/>
              </w:rPr>
              <w:t>Confunde las técnicas de evaluación.</w:t>
            </w:r>
          </w:p>
        </w:tc>
        <w:tc>
          <w:tcPr>
            <w:tcW w:w="2008" w:type="dxa"/>
            <w:shd w:val="clear" w:color="auto" w:fill="D9E2F3"/>
            <w:vAlign w:val="center"/>
          </w:tcPr>
          <w:p w14:paraId="1C444323" w14:textId="77777777" w:rsidR="00990B14" w:rsidRDefault="00000000">
            <w:pPr>
              <w:spacing w:before="20" w:after="20"/>
              <w:jc w:val="both"/>
            </w:pPr>
            <w:r>
              <w:rPr>
                <w:sz w:val="18"/>
                <w:szCs w:val="18"/>
              </w:rPr>
              <w:t>Distingue los cuestionarios, los flujogramas y las matrices con su uso.</w:t>
            </w:r>
          </w:p>
        </w:tc>
        <w:tc>
          <w:tcPr>
            <w:tcW w:w="1877" w:type="dxa"/>
            <w:shd w:val="clear" w:color="auto" w:fill="D9E2F3"/>
            <w:vAlign w:val="center"/>
          </w:tcPr>
          <w:p w14:paraId="01D05F99" w14:textId="77777777" w:rsidR="00990B14" w:rsidRDefault="00000000">
            <w:pPr>
              <w:spacing w:before="20" w:after="20"/>
              <w:jc w:val="both"/>
            </w:pPr>
            <w:r>
              <w:rPr>
                <w:sz w:val="18"/>
                <w:szCs w:val="18"/>
              </w:rPr>
              <w:t>Justifica la técnica adecuada para cada tipo de proceso.</w:t>
            </w:r>
          </w:p>
        </w:tc>
      </w:tr>
      <w:tr w:rsidR="00990B14" w14:paraId="564D9754" w14:textId="77777777">
        <w:trPr>
          <w:cantSplit/>
          <w:jc w:val="center"/>
        </w:trPr>
        <w:tc>
          <w:tcPr>
            <w:tcW w:w="1490" w:type="dxa"/>
            <w:vMerge/>
            <w:shd w:val="clear" w:color="auto" w:fill="4472C4"/>
            <w:vAlign w:val="center"/>
          </w:tcPr>
          <w:p w14:paraId="6533DEA8" w14:textId="77777777" w:rsidR="00990B14" w:rsidRDefault="00990B14">
            <w:pPr>
              <w:spacing w:before="20" w:after="20"/>
            </w:pPr>
          </w:p>
        </w:tc>
        <w:tc>
          <w:tcPr>
            <w:tcW w:w="2015" w:type="dxa"/>
            <w:shd w:val="clear" w:color="auto" w:fill="D9E2F3"/>
            <w:vAlign w:val="center"/>
          </w:tcPr>
          <w:p w14:paraId="11F1B531" w14:textId="77777777" w:rsidR="00990B14" w:rsidRDefault="00000000">
            <w:pPr>
              <w:spacing w:before="20" w:after="20"/>
              <w:jc w:val="both"/>
            </w:pPr>
            <w:r>
              <w:rPr>
                <w:sz w:val="18"/>
                <w:szCs w:val="18"/>
              </w:rPr>
              <w:t>Presentación del esquema</w:t>
            </w:r>
          </w:p>
        </w:tc>
        <w:tc>
          <w:tcPr>
            <w:tcW w:w="2015" w:type="dxa"/>
            <w:shd w:val="clear" w:color="auto" w:fill="D9E2F3"/>
            <w:vAlign w:val="center"/>
          </w:tcPr>
          <w:p w14:paraId="00C0CA55" w14:textId="77777777" w:rsidR="00990B14" w:rsidRDefault="00000000">
            <w:pPr>
              <w:spacing w:before="20" w:after="20"/>
              <w:jc w:val="both"/>
            </w:pPr>
            <w:r>
              <w:rPr>
                <w:sz w:val="18"/>
                <w:szCs w:val="18"/>
              </w:rPr>
              <w:t>El esquema es desordenado o incompleto.</w:t>
            </w:r>
          </w:p>
        </w:tc>
        <w:tc>
          <w:tcPr>
            <w:tcW w:w="2008" w:type="dxa"/>
            <w:shd w:val="clear" w:color="auto" w:fill="D9E2F3"/>
            <w:vAlign w:val="center"/>
          </w:tcPr>
          <w:p w14:paraId="7F1ED4D3" w14:textId="77777777" w:rsidR="00990B14" w:rsidRDefault="00000000">
            <w:pPr>
              <w:spacing w:before="20" w:after="20"/>
              <w:jc w:val="both"/>
            </w:pPr>
            <w:r>
              <w:rPr>
                <w:sz w:val="18"/>
                <w:szCs w:val="18"/>
              </w:rPr>
              <w:t>Presenta un esquema ordenado de los objetivos, los principios y las técnicas.</w:t>
            </w:r>
          </w:p>
        </w:tc>
        <w:tc>
          <w:tcPr>
            <w:tcW w:w="1877" w:type="dxa"/>
            <w:shd w:val="clear" w:color="auto" w:fill="D9E2F3"/>
            <w:vAlign w:val="center"/>
          </w:tcPr>
          <w:p w14:paraId="5CD79A76" w14:textId="77777777" w:rsidR="00990B14" w:rsidRDefault="00000000">
            <w:pPr>
              <w:spacing w:before="20" w:after="20"/>
              <w:jc w:val="both"/>
            </w:pPr>
            <w:r>
              <w:rPr>
                <w:sz w:val="18"/>
                <w:szCs w:val="18"/>
              </w:rPr>
              <w:t>Presenta un esquema claro que relaciona cada técnica con su metodología.</w:t>
            </w:r>
          </w:p>
        </w:tc>
      </w:tr>
      <w:tr w:rsidR="00990B14" w14:paraId="4F188E5E" w14:textId="77777777">
        <w:trPr>
          <w:cantSplit/>
          <w:jc w:val="center"/>
        </w:trPr>
        <w:tc>
          <w:tcPr>
            <w:tcW w:w="1490" w:type="dxa"/>
            <w:vMerge/>
            <w:shd w:val="clear" w:color="auto" w:fill="4472C4"/>
            <w:vAlign w:val="center"/>
          </w:tcPr>
          <w:p w14:paraId="79B35205" w14:textId="77777777" w:rsidR="00990B14" w:rsidRDefault="00990B14">
            <w:pPr>
              <w:spacing w:before="20" w:after="20"/>
            </w:pPr>
          </w:p>
        </w:tc>
        <w:tc>
          <w:tcPr>
            <w:tcW w:w="6038" w:type="dxa"/>
            <w:gridSpan w:val="3"/>
            <w:shd w:val="clear" w:color="auto" w:fill="D9E2F3"/>
            <w:vAlign w:val="center"/>
          </w:tcPr>
          <w:p w14:paraId="6F5E8838" w14:textId="77777777" w:rsidR="00990B14" w:rsidRDefault="00000000">
            <w:pPr>
              <w:keepNext/>
              <w:spacing w:before="20" w:after="20"/>
              <w:jc w:val="both"/>
            </w:pPr>
            <w:r>
              <w:rPr>
                <w:b/>
                <w:bCs/>
                <w:i/>
                <w:iCs/>
                <w:sz w:val="18"/>
                <w:szCs w:val="18"/>
              </w:rPr>
              <w:t xml:space="preserve">Producto 8: </w:t>
            </w:r>
            <w:r>
              <w:rPr>
                <w:sz w:val="18"/>
                <w:szCs w:val="18"/>
              </w:rPr>
              <w:t>Informe de evaluación del sistema de control interno, incluyendo deficiencias, conclusiones y recomendaciones.</w:t>
            </w:r>
          </w:p>
        </w:tc>
        <w:tc>
          <w:tcPr>
            <w:tcW w:w="1877" w:type="dxa"/>
            <w:shd w:val="clear" w:color="auto" w:fill="D9E2F3"/>
            <w:vAlign w:val="center"/>
          </w:tcPr>
          <w:p w14:paraId="189CB6AB" w14:textId="77777777" w:rsidR="00990B14" w:rsidRDefault="00000000">
            <w:pPr>
              <w:spacing w:before="20" w:after="20"/>
              <w:jc w:val="center"/>
            </w:pPr>
            <w:r>
              <w:rPr>
                <w:b/>
                <w:bCs/>
                <w:sz w:val="18"/>
                <w:szCs w:val="18"/>
              </w:rPr>
              <w:t>4%</w:t>
            </w:r>
          </w:p>
        </w:tc>
      </w:tr>
      <w:tr w:rsidR="00990B14" w14:paraId="546BFBB3" w14:textId="77777777">
        <w:trPr>
          <w:cantSplit/>
          <w:jc w:val="center"/>
        </w:trPr>
        <w:tc>
          <w:tcPr>
            <w:tcW w:w="1490" w:type="dxa"/>
            <w:vMerge/>
            <w:shd w:val="clear" w:color="auto" w:fill="4472C4"/>
            <w:vAlign w:val="center"/>
          </w:tcPr>
          <w:p w14:paraId="7C1A9A97" w14:textId="77777777" w:rsidR="00990B14" w:rsidRDefault="00990B14">
            <w:pPr>
              <w:spacing w:before="20" w:after="20"/>
            </w:pPr>
          </w:p>
        </w:tc>
        <w:tc>
          <w:tcPr>
            <w:tcW w:w="2015" w:type="dxa"/>
            <w:shd w:val="clear" w:color="auto" w:fill="4472C4"/>
            <w:vAlign w:val="center"/>
          </w:tcPr>
          <w:p w14:paraId="23A98905"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39FA4987" w14:textId="77777777" w:rsidR="00990B14" w:rsidRDefault="00000000">
            <w:pPr>
              <w:keepNext/>
              <w:spacing w:before="20" w:after="20"/>
              <w:jc w:val="center"/>
            </w:pPr>
            <w:r>
              <w:rPr>
                <w:b/>
                <w:bCs/>
                <w:i/>
                <w:iCs/>
                <w:color w:val="FFFFFF"/>
                <w:sz w:val="18"/>
                <w:szCs w:val="18"/>
              </w:rPr>
              <w:t>Insuficiente (1–50)</w:t>
            </w:r>
          </w:p>
        </w:tc>
        <w:tc>
          <w:tcPr>
            <w:tcW w:w="2008" w:type="dxa"/>
            <w:shd w:val="clear" w:color="auto" w:fill="4472C4"/>
            <w:vAlign w:val="center"/>
          </w:tcPr>
          <w:p w14:paraId="51E3892C"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2112419E" w14:textId="77777777" w:rsidR="00990B14" w:rsidRDefault="00000000">
            <w:pPr>
              <w:keepNext/>
              <w:spacing w:before="20" w:after="20"/>
              <w:jc w:val="center"/>
            </w:pPr>
            <w:r>
              <w:rPr>
                <w:b/>
                <w:bCs/>
                <w:i/>
                <w:iCs/>
                <w:color w:val="FFFFFF"/>
                <w:sz w:val="18"/>
                <w:szCs w:val="18"/>
              </w:rPr>
              <w:t>Destacado (81–100)</w:t>
            </w:r>
          </w:p>
        </w:tc>
      </w:tr>
      <w:tr w:rsidR="00990B14" w14:paraId="1CAB0EB8" w14:textId="77777777">
        <w:trPr>
          <w:cantSplit/>
          <w:jc w:val="center"/>
        </w:trPr>
        <w:tc>
          <w:tcPr>
            <w:tcW w:w="1490" w:type="dxa"/>
            <w:vMerge/>
            <w:shd w:val="clear" w:color="auto" w:fill="4472C4"/>
            <w:vAlign w:val="center"/>
          </w:tcPr>
          <w:p w14:paraId="4DA3EFCC" w14:textId="77777777" w:rsidR="00990B14" w:rsidRDefault="00990B14">
            <w:pPr>
              <w:spacing w:before="20" w:after="20"/>
            </w:pPr>
          </w:p>
        </w:tc>
        <w:tc>
          <w:tcPr>
            <w:tcW w:w="2015" w:type="dxa"/>
            <w:shd w:val="clear" w:color="auto" w:fill="D9E2F3"/>
            <w:vAlign w:val="center"/>
          </w:tcPr>
          <w:p w14:paraId="253342EC" w14:textId="77777777" w:rsidR="00990B14" w:rsidRDefault="00000000">
            <w:pPr>
              <w:spacing w:before="20" w:after="20"/>
              <w:jc w:val="both"/>
            </w:pPr>
            <w:r>
              <w:rPr>
                <w:sz w:val="18"/>
                <w:szCs w:val="18"/>
              </w:rPr>
              <w:t>Evaluación de controles</w:t>
            </w:r>
          </w:p>
        </w:tc>
        <w:tc>
          <w:tcPr>
            <w:tcW w:w="2015" w:type="dxa"/>
            <w:shd w:val="clear" w:color="auto" w:fill="D9E2F3"/>
            <w:vAlign w:val="center"/>
          </w:tcPr>
          <w:p w14:paraId="3A9B1B18" w14:textId="77777777" w:rsidR="00990B14" w:rsidRDefault="00000000">
            <w:pPr>
              <w:spacing w:before="20" w:after="20"/>
              <w:jc w:val="both"/>
            </w:pPr>
            <w:r>
              <w:rPr>
                <w:sz w:val="18"/>
                <w:szCs w:val="18"/>
              </w:rPr>
              <w:t>No evalúa el diseño ni la eficacia de los controles.</w:t>
            </w:r>
          </w:p>
        </w:tc>
        <w:tc>
          <w:tcPr>
            <w:tcW w:w="2008" w:type="dxa"/>
            <w:shd w:val="clear" w:color="auto" w:fill="D9E2F3"/>
            <w:vAlign w:val="center"/>
          </w:tcPr>
          <w:p w14:paraId="6B6B4CDF" w14:textId="77777777" w:rsidR="00990B14" w:rsidRDefault="00000000">
            <w:pPr>
              <w:spacing w:before="20" w:after="20"/>
              <w:jc w:val="both"/>
            </w:pPr>
            <w:r>
              <w:rPr>
                <w:sz w:val="18"/>
                <w:szCs w:val="18"/>
              </w:rPr>
              <w:t>Evalúa el diseño y eficacia con algunas dificultades</w:t>
            </w:r>
          </w:p>
        </w:tc>
        <w:tc>
          <w:tcPr>
            <w:tcW w:w="1877" w:type="dxa"/>
            <w:shd w:val="clear" w:color="auto" w:fill="D9E2F3"/>
            <w:vAlign w:val="center"/>
          </w:tcPr>
          <w:p w14:paraId="0E70E919" w14:textId="77777777" w:rsidR="00990B14" w:rsidRDefault="00000000">
            <w:pPr>
              <w:spacing w:before="20" w:after="20"/>
              <w:jc w:val="both"/>
            </w:pPr>
            <w:r>
              <w:rPr>
                <w:sz w:val="18"/>
                <w:szCs w:val="18"/>
              </w:rPr>
              <w:t>Evalúa el diseño, la implementación y la eficacia por componente.</w:t>
            </w:r>
          </w:p>
        </w:tc>
      </w:tr>
      <w:tr w:rsidR="00990B14" w14:paraId="7166F2FB" w14:textId="77777777">
        <w:trPr>
          <w:cantSplit/>
          <w:jc w:val="center"/>
        </w:trPr>
        <w:tc>
          <w:tcPr>
            <w:tcW w:w="1490" w:type="dxa"/>
            <w:vMerge/>
            <w:shd w:val="clear" w:color="auto" w:fill="4472C4"/>
            <w:vAlign w:val="center"/>
          </w:tcPr>
          <w:p w14:paraId="696069E1" w14:textId="77777777" w:rsidR="00990B14" w:rsidRDefault="00990B14">
            <w:pPr>
              <w:spacing w:before="20" w:after="20"/>
            </w:pPr>
          </w:p>
        </w:tc>
        <w:tc>
          <w:tcPr>
            <w:tcW w:w="2015" w:type="dxa"/>
            <w:shd w:val="clear" w:color="auto" w:fill="D9E2F3"/>
            <w:vAlign w:val="center"/>
          </w:tcPr>
          <w:p w14:paraId="32CAD00E" w14:textId="77777777" w:rsidR="00990B14" w:rsidRDefault="00000000">
            <w:pPr>
              <w:spacing w:before="20" w:after="20"/>
              <w:jc w:val="both"/>
            </w:pPr>
            <w:r>
              <w:rPr>
                <w:sz w:val="18"/>
                <w:szCs w:val="18"/>
              </w:rPr>
              <w:t>Deficiencias y causas</w:t>
            </w:r>
          </w:p>
        </w:tc>
        <w:tc>
          <w:tcPr>
            <w:tcW w:w="2015" w:type="dxa"/>
            <w:shd w:val="clear" w:color="auto" w:fill="D9E2F3"/>
            <w:vAlign w:val="center"/>
          </w:tcPr>
          <w:p w14:paraId="299C7178" w14:textId="77777777" w:rsidR="00990B14" w:rsidRDefault="00000000">
            <w:pPr>
              <w:spacing w:before="20" w:after="20"/>
              <w:jc w:val="both"/>
            </w:pPr>
            <w:r>
              <w:rPr>
                <w:sz w:val="18"/>
                <w:szCs w:val="18"/>
              </w:rPr>
              <w:t>Describe las deficiencias sin causa ni efecto.</w:t>
            </w:r>
          </w:p>
        </w:tc>
        <w:tc>
          <w:tcPr>
            <w:tcW w:w="2008" w:type="dxa"/>
            <w:shd w:val="clear" w:color="auto" w:fill="D9E2F3"/>
            <w:vAlign w:val="center"/>
          </w:tcPr>
          <w:p w14:paraId="71B9CDE6" w14:textId="77777777" w:rsidR="00990B14" w:rsidRDefault="00000000">
            <w:pPr>
              <w:spacing w:before="20" w:after="20"/>
              <w:jc w:val="both"/>
            </w:pPr>
            <w:r>
              <w:rPr>
                <w:sz w:val="18"/>
                <w:szCs w:val="18"/>
              </w:rPr>
              <w:t>Identifica las deficiencias con su condición, causa y efecto.</w:t>
            </w:r>
          </w:p>
        </w:tc>
        <w:tc>
          <w:tcPr>
            <w:tcW w:w="1877" w:type="dxa"/>
            <w:shd w:val="clear" w:color="auto" w:fill="D9E2F3"/>
            <w:vAlign w:val="center"/>
          </w:tcPr>
          <w:p w14:paraId="001CF170" w14:textId="77777777" w:rsidR="00990B14" w:rsidRDefault="00000000">
            <w:pPr>
              <w:spacing w:before="20" w:after="20"/>
              <w:jc w:val="both"/>
            </w:pPr>
            <w:r>
              <w:rPr>
                <w:sz w:val="18"/>
                <w:szCs w:val="18"/>
              </w:rPr>
              <w:t>Relaciona las deficiencias con los riesgos de la entidad.</w:t>
            </w:r>
          </w:p>
        </w:tc>
      </w:tr>
      <w:tr w:rsidR="00990B14" w14:paraId="59CA6679" w14:textId="77777777">
        <w:trPr>
          <w:cantSplit/>
          <w:jc w:val="center"/>
        </w:trPr>
        <w:tc>
          <w:tcPr>
            <w:tcW w:w="1490" w:type="dxa"/>
            <w:vMerge/>
            <w:shd w:val="clear" w:color="auto" w:fill="4472C4"/>
            <w:vAlign w:val="center"/>
          </w:tcPr>
          <w:p w14:paraId="15848837" w14:textId="77777777" w:rsidR="00990B14" w:rsidRDefault="00990B14">
            <w:pPr>
              <w:spacing w:before="20" w:after="20"/>
            </w:pPr>
          </w:p>
        </w:tc>
        <w:tc>
          <w:tcPr>
            <w:tcW w:w="2015" w:type="dxa"/>
            <w:shd w:val="clear" w:color="auto" w:fill="D9E2F3"/>
            <w:vAlign w:val="center"/>
          </w:tcPr>
          <w:p w14:paraId="186A5F9A" w14:textId="77777777" w:rsidR="00990B14" w:rsidRDefault="00000000">
            <w:pPr>
              <w:spacing w:before="20" w:after="20"/>
              <w:jc w:val="both"/>
            </w:pPr>
            <w:r>
              <w:rPr>
                <w:sz w:val="18"/>
                <w:szCs w:val="18"/>
              </w:rPr>
              <w:t>Recomendaciones</w:t>
            </w:r>
          </w:p>
        </w:tc>
        <w:tc>
          <w:tcPr>
            <w:tcW w:w="2015" w:type="dxa"/>
            <w:shd w:val="clear" w:color="auto" w:fill="D9E2F3"/>
            <w:vAlign w:val="center"/>
          </w:tcPr>
          <w:p w14:paraId="43E26492" w14:textId="77777777" w:rsidR="00990B14" w:rsidRDefault="00000000">
            <w:pPr>
              <w:spacing w:before="20" w:after="20"/>
              <w:jc w:val="both"/>
            </w:pPr>
            <w:r>
              <w:rPr>
                <w:sz w:val="18"/>
                <w:szCs w:val="18"/>
              </w:rPr>
              <w:t>No formula recomendaciones.</w:t>
            </w:r>
          </w:p>
        </w:tc>
        <w:tc>
          <w:tcPr>
            <w:tcW w:w="2008" w:type="dxa"/>
            <w:shd w:val="clear" w:color="auto" w:fill="D9E2F3"/>
            <w:vAlign w:val="center"/>
          </w:tcPr>
          <w:p w14:paraId="5F3915C5" w14:textId="77777777" w:rsidR="00990B14" w:rsidRDefault="00000000">
            <w:pPr>
              <w:spacing w:before="20" w:after="20"/>
              <w:jc w:val="both"/>
            </w:pPr>
            <w:r>
              <w:rPr>
                <w:sz w:val="18"/>
                <w:szCs w:val="18"/>
              </w:rPr>
              <w:t>Formula recomendaciones coherentes con las deficiencias.</w:t>
            </w:r>
          </w:p>
        </w:tc>
        <w:tc>
          <w:tcPr>
            <w:tcW w:w="1877" w:type="dxa"/>
            <w:shd w:val="clear" w:color="auto" w:fill="D9E2F3"/>
            <w:vAlign w:val="center"/>
          </w:tcPr>
          <w:p w14:paraId="2C051384" w14:textId="77777777" w:rsidR="00990B14" w:rsidRDefault="00000000">
            <w:pPr>
              <w:spacing w:before="20" w:after="20"/>
              <w:jc w:val="both"/>
            </w:pPr>
            <w:r>
              <w:rPr>
                <w:sz w:val="18"/>
                <w:szCs w:val="18"/>
              </w:rPr>
              <w:t>Prioriza las recomendaciones con responsables.</w:t>
            </w:r>
          </w:p>
        </w:tc>
      </w:tr>
      <w:tr w:rsidR="00990B14" w14:paraId="16D65A6E" w14:textId="77777777">
        <w:trPr>
          <w:cantSplit/>
          <w:jc w:val="center"/>
        </w:trPr>
        <w:tc>
          <w:tcPr>
            <w:tcW w:w="1490" w:type="dxa"/>
            <w:vMerge/>
            <w:shd w:val="clear" w:color="auto" w:fill="4472C4"/>
            <w:vAlign w:val="center"/>
          </w:tcPr>
          <w:p w14:paraId="44CA20A6" w14:textId="77777777" w:rsidR="00990B14" w:rsidRDefault="00990B14">
            <w:pPr>
              <w:spacing w:before="20" w:after="20"/>
            </w:pPr>
          </w:p>
        </w:tc>
        <w:tc>
          <w:tcPr>
            <w:tcW w:w="6038" w:type="dxa"/>
            <w:gridSpan w:val="3"/>
            <w:shd w:val="clear" w:color="auto" w:fill="D9E2F3"/>
            <w:vAlign w:val="center"/>
          </w:tcPr>
          <w:p w14:paraId="19536157" w14:textId="77777777" w:rsidR="00990B14" w:rsidRDefault="00000000">
            <w:pPr>
              <w:keepNext/>
              <w:spacing w:before="20" w:after="20"/>
              <w:jc w:val="both"/>
            </w:pPr>
            <w:r>
              <w:rPr>
                <w:b/>
                <w:bCs/>
                <w:i/>
                <w:iCs/>
                <w:sz w:val="18"/>
                <w:szCs w:val="18"/>
              </w:rPr>
              <w:t xml:space="preserve">Producto 9: </w:t>
            </w:r>
            <w:r>
              <w:rPr>
                <w:sz w:val="18"/>
                <w:szCs w:val="18"/>
              </w:rPr>
              <w:t>Cuadro comparativo de las metodologías y principios de COSO-ERM e ISO 31000.</w:t>
            </w:r>
          </w:p>
        </w:tc>
        <w:tc>
          <w:tcPr>
            <w:tcW w:w="1877" w:type="dxa"/>
            <w:shd w:val="clear" w:color="auto" w:fill="D9E2F3"/>
            <w:vAlign w:val="center"/>
          </w:tcPr>
          <w:p w14:paraId="2ECA02B3" w14:textId="77777777" w:rsidR="00990B14" w:rsidRDefault="00000000">
            <w:pPr>
              <w:spacing w:before="20" w:after="20"/>
              <w:jc w:val="center"/>
            </w:pPr>
            <w:r>
              <w:rPr>
                <w:b/>
                <w:bCs/>
                <w:sz w:val="18"/>
                <w:szCs w:val="18"/>
              </w:rPr>
              <w:t>2%</w:t>
            </w:r>
          </w:p>
        </w:tc>
      </w:tr>
      <w:tr w:rsidR="00990B14" w14:paraId="2438DA4A" w14:textId="77777777">
        <w:trPr>
          <w:cantSplit/>
          <w:jc w:val="center"/>
        </w:trPr>
        <w:tc>
          <w:tcPr>
            <w:tcW w:w="1490" w:type="dxa"/>
            <w:vMerge/>
            <w:shd w:val="clear" w:color="auto" w:fill="4472C4"/>
            <w:vAlign w:val="center"/>
          </w:tcPr>
          <w:p w14:paraId="3857F9CA" w14:textId="77777777" w:rsidR="00990B14" w:rsidRDefault="00990B14">
            <w:pPr>
              <w:spacing w:before="20" w:after="20"/>
            </w:pPr>
          </w:p>
        </w:tc>
        <w:tc>
          <w:tcPr>
            <w:tcW w:w="2015" w:type="dxa"/>
            <w:shd w:val="clear" w:color="auto" w:fill="4472C4"/>
            <w:vAlign w:val="center"/>
          </w:tcPr>
          <w:p w14:paraId="22168D55"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5638AC47" w14:textId="77777777" w:rsidR="00990B14" w:rsidRDefault="00000000">
            <w:pPr>
              <w:keepNext/>
              <w:spacing w:before="20" w:after="20"/>
              <w:jc w:val="center"/>
            </w:pPr>
            <w:r>
              <w:rPr>
                <w:b/>
                <w:bCs/>
                <w:i/>
                <w:iCs/>
                <w:color w:val="FFFFFF"/>
                <w:sz w:val="18"/>
                <w:szCs w:val="18"/>
              </w:rPr>
              <w:t>Insuficiente (1–50)</w:t>
            </w:r>
          </w:p>
        </w:tc>
        <w:tc>
          <w:tcPr>
            <w:tcW w:w="2008" w:type="dxa"/>
            <w:shd w:val="clear" w:color="auto" w:fill="4472C4"/>
            <w:vAlign w:val="center"/>
          </w:tcPr>
          <w:p w14:paraId="5735F4B0"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4BF8D60F" w14:textId="77777777" w:rsidR="00990B14" w:rsidRDefault="00000000">
            <w:pPr>
              <w:keepNext/>
              <w:spacing w:before="20" w:after="20"/>
              <w:jc w:val="center"/>
            </w:pPr>
            <w:r>
              <w:rPr>
                <w:b/>
                <w:bCs/>
                <w:i/>
                <w:iCs/>
                <w:color w:val="FFFFFF"/>
                <w:sz w:val="18"/>
                <w:szCs w:val="18"/>
              </w:rPr>
              <w:t>Destacado (81–100)</w:t>
            </w:r>
          </w:p>
        </w:tc>
      </w:tr>
      <w:tr w:rsidR="00990B14" w14:paraId="70FC34A6" w14:textId="77777777">
        <w:trPr>
          <w:cantSplit/>
          <w:jc w:val="center"/>
        </w:trPr>
        <w:tc>
          <w:tcPr>
            <w:tcW w:w="1490" w:type="dxa"/>
            <w:vMerge/>
            <w:shd w:val="clear" w:color="auto" w:fill="4472C4"/>
            <w:vAlign w:val="center"/>
          </w:tcPr>
          <w:p w14:paraId="341AFE62" w14:textId="77777777" w:rsidR="00990B14" w:rsidRDefault="00990B14">
            <w:pPr>
              <w:spacing w:before="20" w:after="20"/>
            </w:pPr>
          </w:p>
        </w:tc>
        <w:tc>
          <w:tcPr>
            <w:tcW w:w="2015" w:type="dxa"/>
            <w:shd w:val="clear" w:color="auto" w:fill="D9E2F3"/>
            <w:vAlign w:val="center"/>
          </w:tcPr>
          <w:p w14:paraId="0A9DC39B" w14:textId="77777777" w:rsidR="00990B14" w:rsidRDefault="00000000">
            <w:pPr>
              <w:spacing w:before="20" w:after="20"/>
              <w:jc w:val="both"/>
            </w:pPr>
            <w:r>
              <w:rPr>
                <w:sz w:val="18"/>
                <w:szCs w:val="18"/>
              </w:rPr>
              <w:t>Marcos de referencia</w:t>
            </w:r>
          </w:p>
        </w:tc>
        <w:tc>
          <w:tcPr>
            <w:tcW w:w="2015" w:type="dxa"/>
            <w:shd w:val="clear" w:color="auto" w:fill="D9E2F3"/>
            <w:vAlign w:val="center"/>
          </w:tcPr>
          <w:p w14:paraId="6165C828" w14:textId="77777777" w:rsidR="00990B14" w:rsidRDefault="00000000">
            <w:pPr>
              <w:spacing w:before="20" w:after="20"/>
              <w:jc w:val="both"/>
            </w:pPr>
            <w:r>
              <w:rPr>
                <w:sz w:val="18"/>
                <w:szCs w:val="18"/>
              </w:rPr>
              <w:t>Confunde los componentes de ambos marcos.</w:t>
            </w:r>
          </w:p>
        </w:tc>
        <w:tc>
          <w:tcPr>
            <w:tcW w:w="2008" w:type="dxa"/>
            <w:shd w:val="clear" w:color="auto" w:fill="D9E2F3"/>
            <w:vAlign w:val="center"/>
          </w:tcPr>
          <w:p w14:paraId="18BC7EE0" w14:textId="77777777" w:rsidR="00990B14" w:rsidRDefault="00000000">
            <w:pPr>
              <w:spacing w:before="20" w:after="20"/>
              <w:jc w:val="both"/>
            </w:pPr>
            <w:r>
              <w:rPr>
                <w:sz w:val="18"/>
                <w:szCs w:val="18"/>
              </w:rPr>
              <w:t>Compara los principios y los componentes de ambos marcos.</w:t>
            </w:r>
          </w:p>
        </w:tc>
        <w:tc>
          <w:tcPr>
            <w:tcW w:w="1877" w:type="dxa"/>
            <w:shd w:val="clear" w:color="auto" w:fill="D9E2F3"/>
            <w:vAlign w:val="center"/>
          </w:tcPr>
          <w:p w14:paraId="125C10C6" w14:textId="77777777" w:rsidR="00990B14" w:rsidRDefault="00000000">
            <w:pPr>
              <w:spacing w:before="20" w:after="20"/>
              <w:jc w:val="both"/>
            </w:pPr>
            <w:r>
              <w:rPr>
                <w:sz w:val="18"/>
                <w:szCs w:val="18"/>
              </w:rPr>
              <w:t>Explica las ventajas de cada marco.</w:t>
            </w:r>
          </w:p>
        </w:tc>
      </w:tr>
      <w:tr w:rsidR="00990B14" w14:paraId="43ACB437" w14:textId="77777777">
        <w:trPr>
          <w:cantSplit/>
          <w:jc w:val="center"/>
        </w:trPr>
        <w:tc>
          <w:tcPr>
            <w:tcW w:w="1490" w:type="dxa"/>
            <w:vMerge/>
            <w:shd w:val="clear" w:color="auto" w:fill="4472C4"/>
            <w:vAlign w:val="center"/>
          </w:tcPr>
          <w:p w14:paraId="167CB167" w14:textId="77777777" w:rsidR="00990B14" w:rsidRDefault="00990B14">
            <w:pPr>
              <w:spacing w:before="20" w:after="20"/>
            </w:pPr>
          </w:p>
        </w:tc>
        <w:tc>
          <w:tcPr>
            <w:tcW w:w="2015" w:type="dxa"/>
            <w:shd w:val="clear" w:color="auto" w:fill="D9E2F3"/>
            <w:vAlign w:val="center"/>
          </w:tcPr>
          <w:p w14:paraId="48AE81E0" w14:textId="77777777" w:rsidR="00990B14" w:rsidRDefault="00000000">
            <w:pPr>
              <w:spacing w:before="20" w:after="20"/>
              <w:jc w:val="both"/>
            </w:pPr>
            <w:r>
              <w:rPr>
                <w:sz w:val="18"/>
                <w:szCs w:val="18"/>
              </w:rPr>
              <w:t>Semejanzas y diferencias</w:t>
            </w:r>
          </w:p>
        </w:tc>
        <w:tc>
          <w:tcPr>
            <w:tcW w:w="2015" w:type="dxa"/>
            <w:shd w:val="clear" w:color="auto" w:fill="D9E2F3"/>
            <w:vAlign w:val="center"/>
          </w:tcPr>
          <w:p w14:paraId="69B956D3" w14:textId="77777777" w:rsidR="00990B14" w:rsidRDefault="00000000">
            <w:pPr>
              <w:spacing w:before="20" w:after="20"/>
              <w:jc w:val="both"/>
            </w:pPr>
            <w:r>
              <w:rPr>
                <w:sz w:val="18"/>
                <w:szCs w:val="18"/>
              </w:rPr>
              <w:t>No señala diferencias.</w:t>
            </w:r>
          </w:p>
        </w:tc>
        <w:tc>
          <w:tcPr>
            <w:tcW w:w="2008" w:type="dxa"/>
            <w:shd w:val="clear" w:color="auto" w:fill="D9E2F3"/>
            <w:vAlign w:val="center"/>
          </w:tcPr>
          <w:p w14:paraId="0644BE70" w14:textId="77777777" w:rsidR="00990B14" w:rsidRDefault="00000000">
            <w:pPr>
              <w:spacing w:before="20" w:after="20"/>
              <w:jc w:val="both"/>
            </w:pPr>
            <w:r>
              <w:rPr>
                <w:sz w:val="18"/>
                <w:szCs w:val="18"/>
              </w:rPr>
              <w:t>Identifica semejanzas y diferencias entre los marcos.</w:t>
            </w:r>
          </w:p>
        </w:tc>
        <w:tc>
          <w:tcPr>
            <w:tcW w:w="1877" w:type="dxa"/>
            <w:shd w:val="clear" w:color="auto" w:fill="D9E2F3"/>
            <w:vAlign w:val="center"/>
          </w:tcPr>
          <w:p w14:paraId="164A83BD" w14:textId="77777777" w:rsidR="00990B14" w:rsidRDefault="00000000">
            <w:pPr>
              <w:spacing w:before="20" w:after="20"/>
              <w:jc w:val="both"/>
            </w:pPr>
            <w:r>
              <w:rPr>
                <w:sz w:val="18"/>
                <w:szCs w:val="18"/>
              </w:rPr>
              <w:t>Justifica el marco adecuado según el tipo de organización.</w:t>
            </w:r>
          </w:p>
        </w:tc>
      </w:tr>
      <w:tr w:rsidR="00990B14" w14:paraId="253A3C59" w14:textId="77777777">
        <w:trPr>
          <w:cantSplit/>
          <w:jc w:val="center"/>
        </w:trPr>
        <w:tc>
          <w:tcPr>
            <w:tcW w:w="1490" w:type="dxa"/>
            <w:vMerge/>
            <w:shd w:val="clear" w:color="auto" w:fill="4472C4"/>
            <w:vAlign w:val="center"/>
          </w:tcPr>
          <w:p w14:paraId="538A718E" w14:textId="77777777" w:rsidR="00990B14" w:rsidRDefault="00990B14">
            <w:pPr>
              <w:spacing w:before="20" w:after="20"/>
            </w:pPr>
          </w:p>
        </w:tc>
        <w:tc>
          <w:tcPr>
            <w:tcW w:w="2015" w:type="dxa"/>
            <w:shd w:val="clear" w:color="auto" w:fill="D9E2F3"/>
            <w:vAlign w:val="center"/>
          </w:tcPr>
          <w:p w14:paraId="01332AAF" w14:textId="77777777" w:rsidR="00990B14" w:rsidRDefault="00000000">
            <w:pPr>
              <w:spacing w:before="20" w:after="20"/>
              <w:jc w:val="both"/>
            </w:pPr>
            <w:r>
              <w:rPr>
                <w:sz w:val="18"/>
                <w:szCs w:val="18"/>
              </w:rPr>
              <w:t>Presentación del cuadro</w:t>
            </w:r>
          </w:p>
        </w:tc>
        <w:tc>
          <w:tcPr>
            <w:tcW w:w="2015" w:type="dxa"/>
            <w:shd w:val="clear" w:color="auto" w:fill="D9E2F3"/>
            <w:vAlign w:val="center"/>
          </w:tcPr>
          <w:p w14:paraId="22F923BD" w14:textId="77777777" w:rsidR="00990B14" w:rsidRDefault="00000000">
            <w:pPr>
              <w:spacing w:before="20" w:after="20"/>
              <w:jc w:val="both"/>
            </w:pPr>
            <w:r>
              <w:rPr>
                <w:sz w:val="18"/>
                <w:szCs w:val="18"/>
              </w:rPr>
              <w:t>El cuadro es desordenado o incompleto.</w:t>
            </w:r>
          </w:p>
        </w:tc>
        <w:tc>
          <w:tcPr>
            <w:tcW w:w="2008" w:type="dxa"/>
            <w:shd w:val="clear" w:color="auto" w:fill="D9E2F3"/>
            <w:vAlign w:val="center"/>
          </w:tcPr>
          <w:p w14:paraId="4ADCCAEC" w14:textId="77777777" w:rsidR="00990B14" w:rsidRDefault="00000000">
            <w:pPr>
              <w:spacing w:before="20" w:after="20"/>
              <w:jc w:val="both"/>
            </w:pPr>
            <w:r>
              <w:rPr>
                <w:sz w:val="18"/>
                <w:szCs w:val="18"/>
              </w:rPr>
              <w:t>Presenta el cuadro ordenado con criterios de comparación definidos.</w:t>
            </w:r>
          </w:p>
        </w:tc>
        <w:tc>
          <w:tcPr>
            <w:tcW w:w="1877" w:type="dxa"/>
            <w:shd w:val="clear" w:color="auto" w:fill="D9E2F3"/>
            <w:vAlign w:val="center"/>
          </w:tcPr>
          <w:p w14:paraId="1361AD18" w14:textId="77777777" w:rsidR="00990B14" w:rsidRDefault="00000000">
            <w:pPr>
              <w:spacing w:before="20" w:after="20"/>
              <w:jc w:val="both"/>
            </w:pPr>
            <w:r>
              <w:rPr>
                <w:sz w:val="18"/>
                <w:szCs w:val="18"/>
              </w:rPr>
              <w:t>Presenta el cuadro con criterios claros y las fuentes oficiales de cada marco.</w:t>
            </w:r>
          </w:p>
        </w:tc>
      </w:tr>
      <w:tr w:rsidR="00990B14" w14:paraId="5927BF89" w14:textId="77777777">
        <w:trPr>
          <w:cantSplit/>
          <w:jc w:val="center"/>
        </w:trPr>
        <w:tc>
          <w:tcPr>
            <w:tcW w:w="1490" w:type="dxa"/>
            <w:vMerge/>
            <w:shd w:val="clear" w:color="auto" w:fill="4472C4"/>
            <w:vAlign w:val="center"/>
          </w:tcPr>
          <w:p w14:paraId="4629F8E0" w14:textId="77777777" w:rsidR="00990B14" w:rsidRDefault="00990B14">
            <w:pPr>
              <w:spacing w:before="20" w:after="20"/>
            </w:pPr>
          </w:p>
        </w:tc>
        <w:tc>
          <w:tcPr>
            <w:tcW w:w="6038" w:type="dxa"/>
            <w:gridSpan w:val="3"/>
            <w:shd w:val="clear" w:color="auto" w:fill="D9E2F3"/>
            <w:vAlign w:val="center"/>
          </w:tcPr>
          <w:p w14:paraId="533D7B59" w14:textId="77777777" w:rsidR="00990B14" w:rsidRDefault="00000000">
            <w:pPr>
              <w:keepNext/>
              <w:spacing w:before="20" w:after="20"/>
              <w:jc w:val="both"/>
            </w:pPr>
            <w:r>
              <w:rPr>
                <w:b/>
                <w:bCs/>
                <w:i/>
                <w:iCs/>
                <w:sz w:val="18"/>
                <w:szCs w:val="18"/>
              </w:rPr>
              <w:t xml:space="preserve">Producto 10: </w:t>
            </w:r>
            <w:r>
              <w:rPr>
                <w:sz w:val="18"/>
                <w:szCs w:val="18"/>
              </w:rPr>
              <w:t>Cuadro de determinación del apetito, tolerancia y capacidad de riesgo organizacional.</w:t>
            </w:r>
          </w:p>
        </w:tc>
        <w:tc>
          <w:tcPr>
            <w:tcW w:w="1877" w:type="dxa"/>
            <w:shd w:val="clear" w:color="auto" w:fill="D9E2F3"/>
            <w:vAlign w:val="center"/>
          </w:tcPr>
          <w:p w14:paraId="78B1D43A" w14:textId="77777777" w:rsidR="00990B14" w:rsidRDefault="00000000">
            <w:pPr>
              <w:spacing w:before="20" w:after="20"/>
              <w:jc w:val="center"/>
            </w:pPr>
            <w:r>
              <w:rPr>
                <w:b/>
                <w:bCs/>
                <w:sz w:val="18"/>
                <w:szCs w:val="18"/>
              </w:rPr>
              <w:t>2%</w:t>
            </w:r>
          </w:p>
        </w:tc>
      </w:tr>
      <w:tr w:rsidR="00990B14" w14:paraId="7775713D" w14:textId="77777777">
        <w:trPr>
          <w:cantSplit/>
          <w:jc w:val="center"/>
        </w:trPr>
        <w:tc>
          <w:tcPr>
            <w:tcW w:w="1490" w:type="dxa"/>
            <w:vMerge/>
            <w:shd w:val="clear" w:color="auto" w:fill="4472C4"/>
            <w:vAlign w:val="center"/>
          </w:tcPr>
          <w:p w14:paraId="64EBDE62" w14:textId="77777777" w:rsidR="00990B14" w:rsidRDefault="00990B14">
            <w:pPr>
              <w:spacing w:before="20" w:after="20"/>
            </w:pPr>
          </w:p>
        </w:tc>
        <w:tc>
          <w:tcPr>
            <w:tcW w:w="2015" w:type="dxa"/>
            <w:shd w:val="clear" w:color="auto" w:fill="4472C4"/>
            <w:vAlign w:val="center"/>
          </w:tcPr>
          <w:p w14:paraId="47BF39DB"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0E1B61C0" w14:textId="77777777" w:rsidR="00990B14" w:rsidRDefault="00000000">
            <w:pPr>
              <w:keepNext/>
              <w:spacing w:before="20" w:after="20"/>
              <w:jc w:val="center"/>
            </w:pPr>
            <w:r>
              <w:rPr>
                <w:b/>
                <w:bCs/>
                <w:i/>
                <w:iCs/>
                <w:color w:val="FFFFFF"/>
                <w:sz w:val="18"/>
                <w:szCs w:val="18"/>
              </w:rPr>
              <w:t>Insuficiente (1–50)</w:t>
            </w:r>
          </w:p>
        </w:tc>
        <w:tc>
          <w:tcPr>
            <w:tcW w:w="2008" w:type="dxa"/>
            <w:shd w:val="clear" w:color="auto" w:fill="4472C4"/>
            <w:vAlign w:val="center"/>
          </w:tcPr>
          <w:p w14:paraId="4B81B866"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4A8BFCFE" w14:textId="77777777" w:rsidR="00990B14" w:rsidRDefault="00000000">
            <w:pPr>
              <w:keepNext/>
              <w:spacing w:before="20" w:after="20"/>
              <w:jc w:val="center"/>
            </w:pPr>
            <w:r>
              <w:rPr>
                <w:b/>
                <w:bCs/>
                <w:i/>
                <w:iCs/>
                <w:color w:val="FFFFFF"/>
                <w:sz w:val="18"/>
                <w:szCs w:val="18"/>
              </w:rPr>
              <w:t>Destacado (81–100)</w:t>
            </w:r>
          </w:p>
        </w:tc>
      </w:tr>
      <w:tr w:rsidR="00990B14" w14:paraId="08FC7E9D" w14:textId="77777777">
        <w:trPr>
          <w:cantSplit/>
          <w:jc w:val="center"/>
        </w:trPr>
        <w:tc>
          <w:tcPr>
            <w:tcW w:w="1490" w:type="dxa"/>
            <w:vMerge/>
            <w:shd w:val="clear" w:color="auto" w:fill="4472C4"/>
            <w:vAlign w:val="center"/>
          </w:tcPr>
          <w:p w14:paraId="6F86309C" w14:textId="77777777" w:rsidR="00990B14" w:rsidRDefault="00990B14">
            <w:pPr>
              <w:spacing w:before="20" w:after="20"/>
            </w:pPr>
          </w:p>
        </w:tc>
        <w:tc>
          <w:tcPr>
            <w:tcW w:w="2015" w:type="dxa"/>
            <w:shd w:val="clear" w:color="auto" w:fill="D9E2F3"/>
            <w:vAlign w:val="center"/>
          </w:tcPr>
          <w:p w14:paraId="0A03CFD4" w14:textId="77777777" w:rsidR="00990B14" w:rsidRDefault="00000000">
            <w:pPr>
              <w:spacing w:before="20" w:after="20"/>
              <w:jc w:val="both"/>
            </w:pPr>
            <w:r>
              <w:rPr>
                <w:sz w:val="18"/>
                <w:szCs w:val="18"/>
              </w:rPr>
              <w:t>Apetito y tolerancia</w:t>
            </w:r>
          </w:p>
        </w:tc>
        <w:tc>
          <w:tcPr>
            <w:tcW w:w="2015" w:type="dxa"/>
            <w:shd w:val="clear" w:color="auto" w:fill="D9E2F3"/>
            <w:vAlign w:val="center"/>
          </w:tcPr>
          <w:p w14:paraId="4F48B4EF" w14:textId="77777777" w:rsidR="00990B14" w:rsidRDefault="00000000">
            <w:pPr>
              <w:spacing w:before="20" w:after="20"/>
              <w:jc w:val="both"/>
            </w:pPr>
            <w:r>
              <w:rPr>
                <w:sz w:val="18"/>
                <w:szCs w:val="18"/>
              </w:rPr>
              <w:t>Confunde apetito, tolerancia y capacidad de riesgo.</w:t>
            </w:r>
          </w:p>
        </w:tc>
        <w:tc>
          <w:tcPr>
            <w:tcW w:w="2008" w:type="dxa"/>
            <w:shd w:val="clear" w:color="auto" w:fill="D9E2F3"/>
            <w:vAlign w:val="center"/>
          </w:tcPr>
          <w:p w14:paraId="33520227" w14:textId="77777777" w:rsidR="00990B14" w:rsidRDefault="00000000">
            <w:pPr>
              <w:spacing w:before="20" w:after="20"/>
              <w:jc w:val="both"/>
            </w:pPr>
            <w:r>
              <w:rPr>
                <w:sz w:val="18"/>
                <w:szCs w:val="18"/>
              </w:rPr>
              <w:t>Distingue el apetito, la tolerancia y la capacidad de riesgo.</w:t>
            </w:r>
          </w:p>
        </w:tc>
        <w:tc>
          <w:tcPr>
            <w:tcW w:w="1877" w:type="dxa"/>
            <w:shd w:val="clear" w:color="auto" w:fill="D9E2F3"/>
            <w:vAlign w:val="center"/>
          </w:tcPr>
          <w:p w14:paraId="6C295706" w14:textId="77777777" w:rsidR="00990B14" w:rsidRDefault="00000000">
            <w:pPr>
              <w:spacing w:before="20" w:after="20"/>
              <w:jc w:val="both"/>
            </w:pPr>
            <w:r>
              <w:rPr>
                <w:sz w:val="18"/>
                <w:szCs w:val="18"/>
              </w:rPr>
              <w:t>Alinea los límites con los objetivos estratégicos.</w:t>
            </w:r>
          </w:p>
        </w:tc>
      </w:tr>
      <w:tr w:rsidR="00990B14" w14:paraId="4C520AEA" w14:textId="77777777">
        <w:trPr>
          <w:cantSplit/>
          <w:jc w:val="center"/>
        </w:trPr>
        <w:tc>
          <w:tcPr>
            <w:tcW w:w="1490" w:type="dxa"/>
            <w:vMerge/>
            <w:shd w:val="clear" w:color="auto" w:fill="4472C4"/>
            <w:vAlign w:val="center"/>
          </w:tcPr>
          <w:p w14:paraId="59920335" w14:textId="77777777" w:rsidR="00990B14" w:rsidRDefault="00990B14">
            <w:pPr>
              <w:spacing w:before="20" w:after="20"/>
            </w:pPr>
          </w:p>
        </w:tc>
        <w:tc>
          <w:tcPr>
            <w:tcW w:w="2015" w:type="dxa"/>
            <w:shd w:val="clear" w:color="auto" w:fill="D9E2F3"/>
            <w:vAlign w:val="center"/>
          </w:tcPr>
          <w:p w14:paraId="5191EE9B" w14:textId="77777777" w:rsidR="00990B14" w:rsidRDefault="00000000">
            <w:pPr>
              <w:spacing w:before="20" w:after="20"/>
              <w:jc w:val="both"/>
            </w:pPr>
            <w:r>
              <w:rPr>
                <w:sz w:val="18"/>
                <w:szCs w:val="18"/>
              </w:rPr>
              <w:t>Determinación de límites</w:t>
            </w:r>
          </w:p>
        </w:tc>
        <w:tc>
          <w:tcPr>
            <w:tcW w:w="2015" w:type="dxa"/>
            <w:shd w:val="clear" w:color="auto" w:fill="D9E2F3"/>
            <w:vAlign w:val="center"/>
          </w:tcPr>
          <w:p w14:paraId="667B8ECB" w14:textId="77777777" w:rsidR="00990B14" w:rsidRDefault="00000000">
            <w:pPr>
              <w:spacing w:before="20" w:after="20"/>
              <w:jc w:val="both"/>
            </w:pPr>
            <w:r>
              <w:rPr>
                <w:sz w:val="18"/>
                <w:szCs w:val="18"/>
              </w:rPr>
              <w:t>No define límites medibles.</w:t>
            </w:r>
          </w:p>
        </w:tc>
        <w:tc>
          <w:tcPr>
            <w:tcW w:w="2008" w:type="dxa"/>
            <w:shd w:val="clear" w:color="auto" w:fill="D9E2F3"/>
            <w:vAlign w:val="center"/>
          </w:tcPr>
          <w:p w14:paraId="2D21DD76" w14:textId="77777777" w:rsidR="00990B14" w:rsidRDefault="00000000">
            <w:pPr>
              <w:spacing w:before="20" w:after="20"/>
              <w:jc w:val="both"/>
            </w:pPr>
            <w:r>
              <w:rPr>
                <w:sz w:val="18"/>
                <w:szCs w:val="18"/>
              </w:rPr>
              <w:t>Determina límites de exposición con indicadores.</w:t>
            </w:r>
          </w:p>
        </w:tc>
        <w:tc>
          <w:tcPr>
            <w:tcW w:w="1877" w:type="dxa"/>
            <w:shd w:val="clear" w:color="auto" w:fill="D9E2F3"/>
            <w:vAlign w:val="center"/>
          </w:tcPr>
          <w:p w14:paraId="0739B7EF" w14:textId="77777777" w:rsidR="00990B14" w:rsidRDefault="00000000">
            <w:pPr>
              <w:spacing w:before="20" w:after="20"/>
              <w:jc w:val="both"/>
            </w:pPr>
            <w:r>
              <w:rPr>
                <w:sz w:val="18"/>
                <w:szCs w:val="18"/>
              </w:rPr>
              <w:t>Sustenta los límites con la cultura y la capacidad financiera de la organización.</w:t>
            </w:r>
          </w:p>
        </w:tc>
      </w:tr>
      <w:tr w:rsidR="00990B14" w14:paraId="747ED9D2" w14:textId="77777777">
        <w:trPr>
          <w:cantSplit/>
          <w:jc w:val="center"/>
        </w:trPr>
        <w:tc>
          <w:tcPr>
            <w:tcW w:w="1490" w:type="dxa"/>
            <w:vMerge/>
            <w:shd w:val="clear" w:color="auto" w:fill="4472C4"/>
            <w:vAlign w:val="center"/>
          </w:tcPr>
          <w:p w14:paraId="02798A9A" w14:textId="77777777" w:rsidR="00990B14" w:rsidRDefault="00990B14">
            <w:pPr>
              <w:spacing w:before="20" w:after="20"/>
            </w:pPr>
          </w:p>
        </w:tc>
        <w:tc>
          <w:tcPr>
            <w:tcW w:w="2015" w:type="dxa"/>
            <w:shd w:val="clear" w:color="auto" w:fill="D9E2F3"/>
            <w:vAlign w:val="center"/>
          </w:tcPr>
          <w:p w14:paraId="0BC6F663" w14:textId="77777777" w:rsidR="00990B14" w:rsidRDefault="00000000">
            <w:pPr>
              <w:spacing w:before="20" w:after="20"/>
              <w:jc w:val="both"/>
            </w:pPr>
            <w:r>
              <w:rPr>
                <w:sz w:val="18"/>
                <w:szCs w:val="18"/>
              </w:rPr>
              <w:t>Presentación del cuadro</w:t>
            </w:r>
          </w:p>
        </w:tc>
        <w:tc>
          <w:tcPr>
            <w:tcW w:w="2015" w:type="dxa"/>
            <w:shd w:val="clear" w:color="auto" w:fill="D9E2F3"/>
            <w:vAlign w:val="center"/>
          </w:tcPr>
          <w:p w14:paraId="6AE6EF88" w14:textId="77777777" w:rsidR="00990B14" w:rsidRDefault="00000000">
            <w:pPr>
              <w:spacing w:before="20" w:after="20"/>
              <w:jc w:val="both"/>
            </w:pPr>
            <w:r>
              <w:rPr>
                <w:sz w:val="18"/>
                <w:szCs w:val="18"/>
              </w:rPr>
              <w:t>El cuadro es desordenado o incompleto.</w:t>
            </w:r>
          </w:p>
        </w:tc>
        <w:tc>
          <w:tcPr>
            <w:tcW w:w="2008" w:type="dxa"/>
            <w:shd w:val="clear" w:color="auto" w:fill="D9E2F3"/>
            <w:vAlign w:val="center"/>
          </w:tcPr>
          <w:p w14:paraId="388034C0" w14:textId="77777777" w:rsidR="00990B14" w:rsidRDefault="00000000">
            <w:pPr>
              <w:spacing w:before="20" w:after="20"/>
              <w:jc w:val="both"/>
            </w:pPr>
            <w:r>
              <w:rPr>
                <w:sz w:val="18"/>
                <w:szCs w:val="18"/>
              </w:rPr>
              <w:t>Presenta el cuadro ordenado con los niveles de riesgo determinados.</w:t>
            </w:r>
          </w:p>
        </w:tc>
        <w:tc>
          <w:tcPr>
            <w:tcW w:w="1877" w:type="dxa"/>
            <w:shd w:val="clear" w:color="auto" w:fill="D9E2F3"/>
            <w:vAlign w:val="center"/>
          </w:tcPr>
          <w:p w14:paraId="29747A26" w14:textId="77777777" w:rsidR="00990B14" w:rsidRDefault="00000000">
            <w:pPr>
              <w:spacing w:before="20" w:after="20"/>
              <w:jc w:val="both"/>
            </w:pPr>
            <w:r>
              <w:rPr>
                <w:sz w:val="18"/>
                <w:szCs w:val="18"/>
              </w:rPr>
              <w:t>Presenta el cuadro con claridad y con referencia a la política de riesgos de la organización.</w:t>
            </w:r>
          </w:p>
        </w:tc>
      </w:tr>
      <w:tr w:rsidR="00990B14" w14:paraId="6270277A" w14:textId="77777777">
        <w:trPr>
          <w:cantSplit/>
          <w:jc w:val="center"/>
        </w:trPr>
        <w:tc>
          <w:tcPr>
            <w:tcW w:w="1490" w:type="dxa"/>
            <w:vMerge/>
            <w:shd w:val="clear" w:color="auto" w:fill="4472C4"/>
            <w:vAlign w:val="center"/>
          </w:tcPr>
          <w:p w14:paraId="41773B36" w14:textId="77777777" w:rsidR="00990B14" w:rsidRDefault="00990B14">
            <w:pPr>
              <w:spacing w:before="20" w:after="20"/>
            </w:pPr>
          </w:p>
        </w:tc>
        <w:tc>
          <w:tcPr>
            <w:tcW w:w="6038" w:type="dxa"/>
            <w:gridSpan w:val="3"/>
            <w:shd w:val="clear" w:color="auto" w:fill="D9E2F3"/>
            <w:vAlign w:val="center"/>
          </w:tcPr>
          <w:p w14:paraId="16274C14" w14:textId="77777777" w:rsidR="00990B14" w:rsidRDefault="00000000">
            <w:pPr>
              <w:keepNext/>
              <w:spacing w:before="20" w:after="20"/>
              <w:jc w:val="both"/>
            </w:pPr>
            <w:r>
              <w:rPr>
                <w:b/>
                <w:bCs/>
                <w:i/>
                <w:iCs/>
                <w:sz w:val="18"/>
                <w:szCs w:val="18"/>
              </w:rPr>
              <w:t xml:space="preserve">Producto 11: </w:t>
            </w:r>
            <w:r>
              <w:rPr>
                <w:sz w:val="18"/>
                <w:szCs w:val="18"/>
              </w:rPr>
              <w:t>Esquema de riesgos, considerando probabilidad, impacto y valoración de riesgos.</w:t>
            </w:r>
          </w:p>
        </w:tc>
        <w:tc>
          <w:tcPr>
            <w:tcW w:w="1877" w:type="dxa"/>
            <w:shd w:val="clear" w:color="auto" w:fill="D9E2F3"/>
            <w:vAlign w:val="center"/>
          </w:tcPr>
          <w:p w14:paraId="7C9E5D59" w14:textId="77777777" w:rsidR="00990B14" w:rsidRDefault="00000000">
            <w:pPr>
              <w:spacing w:before="20" w:after="20"/>
              <w:jc w:val="center"/>
            </w:pPr>
            <w:r>
              <w:rPr>
                <w:b/>
                <w:bCs/>
                <w:sz w:val="18"/>
                <w:szCs w:val="18"/>
              </w:rPr>
              <w:t>5%</w:t>
            </w:r>
          </w:p>
        </w:tc>
      </w:tr>
      <w:tr w:rsidR="00990B14" w14:paraId="2F903FE8" w14:textId="77777777">
        <w:trPr>
          <w:cantSplit/>
          <w:jc w:val="center"/>
        </w:trPr>
        <w:tc>
          <w:tcPr>
            <w:tcW w:w="1490" w:type="dxa"/>
            <w:vMerge/>
            <w:shd w:val="clear" w:color="auto" w:fill="4472C4"/>
            <w:vAlign w:val="center"/>
          </w:tcPr>
          <w:p w14:paraId="03A74ED0" w14:textId="77777777" w:rsidR="00990B14" w:rsidRDefault="00990B14">
            <w:pPr>
              <w:spacing w:before="20" w:after="20"/>
            </w:pPr>
          </w:p>
        </w:tc>
        <w:tc>
          <w:tcPr>
            <w:tcW w:w="2015" w:type="dxa"/>
            <w:shd w:val="clear" w:color="auto" w:fill="4472C4"/>
            <w:vAlign w:val="center"/>
          </w:tcPr>
          <w:p w14:paraId="44872CB9"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10CB80AA" w14:textId="77777777" w:rsidR="00990B14" w:rsidRDefault="00000000">
            <w:pPr>
              <w:keepNext/>
              <w:spacing w:before="20" w:after="20"/>
              <w:jc w:val="center"/>
            </w:pPr>
            <w:r>
              <w:rPr>
                <w:b/>
                <w:bCs/>
                <w:i/>
                <w:iCs/>
                <w:color w:val="FFFFFF"/>
                <w:sz w:val="18"/>
                <w:szCs w:val="18"/>
              </w:rPr>
              <w:t>Insuficiente (1–50)</w:t>
            </w:r>
          </w:p>
        </w:tc>
        <w:tc>
          <w:tcPr>
            <w:tcW w:w="2008" w:type="dxa"/>
            <w:shd w:val="clear" w:color="auto" w:fill="4472C4"/>
            <w:vAlign w:val="center"/>
          </w:tcPr>
          <w:p w14:paraId="6A13A9DC"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0F684E4B" w14:textId="77777777" w:rsidR="00990B14" w:rsidRDefault="00000000">
            <w:pPr>
              <w:keepNext/>
              <w:spacing w:before="20" w:after="20"/>
              <w:jc w:val="center"/>
            </w:pPr>
            <w:r>
              <w:rPr>
                <w:b/>
                <w:bCs/>
                <w:i/>
                <w:iCs/>
                <w:color w:val="FFFFFF"/>
                <w:sz w:val="18"/>
                <w:szCs w:val="18"/>
              </w:rPr>
              <w:t>Destacado (81–100)</w:t>
            </w:r>
          </w:p>
        </w:tc>
      </w:tr>
      <w:tr w:rsidR="00990B14" w14:paraId="741CF241" w14:textId="77777777">
        <w:trPr>
          <w:cantSplit/>
          <w:jc w:val="center"/>
        </w:trPr>
        <w:tc>
          <w:tcPr>
            <w:tcW w:w="1490" w:type="dxa"/>
            <w:vMerge/>
            <w:shd w:val="clear" w:color="auto" w:fill="4472C4"/>
            <w:vAlign w:val="center"/>
          </w:tcPr>
          <w:p w14:paraId="4BF064A6" w14:textId="77777777" w:rsidR="00990B14" w:rsidRDefault="00990B14">
            <w:pPr>
              <w:spacing w:before="20" w:after="20"/>
            </w:pPr>
          </w:p>
        </w:tc>
        <w:tc>
          <w:tcPr>
            <w:tcW w:w="2015" w:type="dxa"/>
            <w:shd w:val="clear" w:color="auto" w:fill="D9E2F3"/>
            <w:vAlign w:val="center"/>
          </w:tcPr>
          <w:p w14:paraId="60520513" w14:textId="77777777" w:rsidR="00990B14" w:rsidRDefault="00000000">
            <w:pPr>
              <w:spacing w:before="20" w:after="20"/>
              <w:jc w:val="both"/>
            </w:pPr>
            <w:r>
              <w:rPr>
                <w:sz w:val="18"/>
                <w:szCs w:val="18"/>
              </w:rPr>
              <w:t>Escalas de valoración</w:t>
            </w:r>
          </w:p>
        </w:tc>
        <w:tc>
          <w:tcPr>
            <w:tcW w:w="2015" w:type="dxa"/>
            <w:shd w:val="clear" w:color="auto" w:fill="D9E2F3"/>
            <w:vAlign w:val="center"/>
          </w:tcPr>
          <w:p w14:paraId="4599A2C3" w14:textId="77777777" w:rsidR="00990B14" w:rsidRDefault="00000000">
            <w:pPr>
              <w:spacing w:before="20" w:after="20"/>
              <w:jc w:val="both"/>
            </w:pPr>
            <w:r>
              <w:rPr>
                <w:sz w:val="18"/>
                <w:szCs w:val="18"/>
              </w:rPr>
              <w:t>Las escalas son ambiguas.</w:t>
            </w:r>
          </w:p>
        </w:tc>
        <w:tc>
          <w:tcPr>
            <w:tcW w:w="2008" w:type="dxa"/>
            <w:shd w:val="clear" w:color="auto" w:fill="D9E2F3"/>
            <w:vAlign w:val="center"/>
          </w:tcPr>
          <w:p w14:paraId="3205EC28" w14:textId="77777777" w:rsidR="00990B14" w:rsidRDefault="00000000">
            <w:pPr>
              <w:spacing w:before="20" w:after="20"/>
              <w:jc w:val="both"/>
            </w:pPr>
            <w:r>
              <w:rPr>
                <w:sz w:val="18"/>
                <w:szCs w:val="18"/>
              </w:rPr>
              <w:t>Define escalas de probabilidad e impacto.</w:t>
            </w:r>
          </w:p>
        </w:tc>
        <w:tc>
          <w:tcPr>
            <w:tcW w:w="1877" w:type="dxa"/>
            <w:shd w:val="clear" w:color="auto" w:fill="D9E2F3"/>
            <w:vAlign w:val="center"/>
          </w:tcPr>
          <w:p w14:paraId="284181CA" w14:textId="77777777" w:rsidR="00990B14" w:rsidRDefault="00000000">
            <w:pPr>
              <w:spacing w:before="20" w:after="20"/>
              <w:jc w:val="both"/>
            </w:pPr>
            <w:r>
              <w:rPr>
                <w:sz w:val="18"/>
                <w:szCs w:val="18"/>
              </w:rPr>
              <w:t>Justifica las escalas según el apetito al riesgo.</w:t>
            </w:r>
          </w:p>
        </w:tc>
      </w:tr>
      <w:tr w:rsidR="00990B14" w14:paraId="1A0BFCA4" w14:textId="77777777">
        <w:trPr>
          <w:cantSplit/>
          <w:jc w:val="center"/>
        </w:trPr>
        <w:tc>
          <w:tcPr>
            <w:tcW w:w="1490" w:type="dxa"/>
            <w:vMerge/>
            <w:shd w:val="clear" w:color="auto" w:fill="4472C4"/>
            <w:vAlign w:val="center"/>
          </w:tcPr>
          <w:p w14:paraId="15869995" w14:textId="77777777" w:rsidR="00990B14" w:rsidRDefault="00990B14">
            <w:pPr>
              <w:spacing w:before="20" w:after="20"/>
            </w:pPr>
          </w:p>
        </w:tc>
        <w:tc>
          <w:tcPr>
            <w:tcW w:w="2015" w:type="dxa"/>
            <w:shd w:val="clear" w:color="auto" w:fill="D9E2F3"/>
            <w:vAlign w:val="center"/>
          </w:tcPr>
          <w:p w14:paraId="67BEA73E" w14:textId="77777777" w:rsidR="00990B14" w:rsidRDefault="00000000">
            <w:pPr>
              <w:spacing w:before="20" w:after="20"/>
              <w:jc w:val="both"/>
            </w:pPr>
            <w:r>
              <w:rPr>
                <w:sz w:val="18"/>
                <w:szCs w:val="18"/>
              </w:rPr>
              <w:t>Valoración de riesgos</w:t>
            </w:r>
          </w:p>
        </w:tc>
        <w:tc>
          <w:tcPr>
            <w:tcW w:w="2015" w:type="dxa"/>
            <w:shd w:val="clear" w:color="auto" w:fill="D9E2F3"/>
            <w:vAlign w:val="center"/>
          </w:tcPr>
          <w:p w14:paraId="1822E59E" w14:textId="77777777" w:rsidR="00990B14" w:rsidRDefault="00000000">
            <w:pPr>
              <w:spacing w:before="20" w:after="20"/>
              <w:jc w:val="both"/>
            </w:pPr>
            <w:r>
              <w:rPr>
                <w:sz w:val="18"/>
                <w:szCs w:val="18"/>
              </w:rPr>
              <w:t>Valora sin distinguir el riesgo inherente del residual.</w:t>
            </w:r>
          </w:p>
        </w:tc>
        <w:tc>
          <w:tcPr>
            <w:tcW w:w="2008" w:type="dxa"/>
            <w:shd w:val="clear" w:color="auto" w:fill="D9E2F3"/>
            <w:vAlign w:val="center"/>
          </w:tcPr>
          <w:p w14:paraId="0DCFAE0D" w14:textId="77777777" w:rsidR="00990B14" w:rsidRDefault="00000000">
            <w:pPr>
              <w:spacing w:before="20" w:after="20"/>
              <w:jc w:val="both"/>
            </w:pPr>
            <w:r>
              <w:rPr>
                <w:sz w:val="18"/>
                <w:szCs w:val="18"/>
              </w:rPr>
              <w:t>Valora el riesgo inherente y el residual.</w:t>
            </w:r>
          </w:p>
        </w:tc>
        <w:tc>
          <w:tcPr>
            <w:tcW w:w="1877" w:type="dxa"/>
            <w:shd w:val="clear" w:color="auto" w:fill="D9E2F3"/>
            <w:vAlign w:val="center"/>
          </w:tcPr>
          <w:p w14:paraId="7354DF6B" w14:textId="77777777" w:rsidR="00990B14" w:rsidRDefault="00000000">
            <w:pPr>
              <w:spacing w:before="20" w:after="20"/>
              <w:jc w:val="both"/>
            </w:pPr>
            <w:r>
              <w:rPr>
                <w:sz w:val="18"/>
                <w:szCs w:val="18"/>
              </w:rPr>
              <w:t>Mide la eficacia de los controles que reducen el riesgo.</w:t>
            </w:r>
          </w:p>
        </w:tc>
      </w:tr>
      <w:tr w:rsidR="00990B14" w14:paraId="28624931" w14:textId="77777777">
        <w:trPr>
          <w:cantSplit/>
          <w:jc w:val="center"/>
        </w:trPr>
        <w:tc>
          <w:tcPr>
            <w:tcW w:w="1490" w:type="dxa"/>
            <w:vMerge/>
            <w:shd w:val="clear" w:color="auto" w:fill="4472C4"/>
            <w:vAlign w:val="center"/>
          </w:tcPr>
          <w:p w14:paraId="58E7E14A" w14:textId="77777777" w:rsidR="00990B14" w:rsidRDefault="00990B14">
            <w:pPr>
              <w:spacing w:before="20" w:after="20"/>
            </w:pPr>
          </w:p>
        </w:tc>
        <w:tc>
          <w:tcPr>
            <w:tcW w:w="2015" w:type="dxa"/>
            <w:shd w:val="clear" w:color="auto" w:fill="D9E2F3"/>
            <w:vAlign w:val="center"/>
          </w:tcPr>
          <w:p w14:paraId="52BAB92F" w14:textId="77777777" w:rsidR="00990B14" w:rsidRDefault="00000000">
            <w:pPr>
              <w:spacing w:before="20" w:after="20"/>
              <w:jc w:val="both"/>
            </w:pPr>
            <w:r>
              <w:rPr>
                <w:sz w:val="18"/>
                <w:szCs w:val="18"/>
              </w:rPr>
              <w:t>Matriz de probabilidad e impacto</w:t>
            </w:r>
          </w:p>
        </w:tc>
        <w:tc>
          <w:tcPr>
            <w:tcW w:w="2015" w:type="dxa"/>
            <w:shd w:val="clear" w:color="auto" w:fill="D9E2F3"/>
            <w:vAlign w:val="center"/>
          </w:tcPr>
          <w:p w14:paraId="605F3017" w14:textId="77777777" w:rsidR="00990B14" w:rsidRDefault="00000000">
            <w:pPr>
              <w:spacing w:before="20" w:after="20"/>
              <w:jc w:val="both"/>
            </w:pPr>
            <w:r>
              <w:rPr>
                <w:sz w:val="18"/>
                <w:szCs w:val="18"/>
              </w:rPr>
              <w:t>No representa los riesgos en una matriz.</w:t>
            </w:r>
          </w:p>
        </w:tc>
        <w:tc>
          <w:tcPr>
            <w:tcW w:w="2008" w:type="dxa"/>
            <w:shd w:val="clear" w:color="auto" w:fill="D9E2F3"/>
            <w:vAlign w:val="center"/>
          </w:tcPr>
          <w:p w14:paraId="3EC4D166" w14:textId="77777777" w:rsidR="00990B14" w:rsidRDefault="00000000">
            <w:pPr>
              <w:spacing w:before="20" w:after="20"/>
              <w:jc w:val="both"/>
            </w:pPr>
            <w:r>
              <w:rPr>
                <w:sz w:val="18"/>
                <w:szCs w:val="18"/>
              </w:rPr>
              <w:t>Representa los riesgos en una matriz de probabilidad e impacto.</w:t>
            </w:r>
          </w:p>
        </w:tc>
        <w:tc>
          <w:tcPr>
            <w:tcW w:w="1877" w:type="dxa"/>
            <w:shd w:val="clear" w:color="auto" w:fill="D9E2F3"/>
            <w:vAlign w:val="center"/>
          </w:tcPr>
          <w:p w14:paraId="1FA2173D" w14:textId="77777777" w:rsidR="00990B14" w:rsidRDefault="00000000">
            <w:pPr>
              <w:spacing w:before="20" w:after="20"/>
              <w:jc w:val="both"/>
            </w:pPr>
            <w:r>
              <w:rPr>
                <w:sz w:val="18"/>
                <w:szCs w:val="18"/>
              </w:rPr>
              <w:t>Prioriza los riesgos a partir de la matriz de probabilidad e impacto.</w:t>
            </w:r>
          </w:p>
        </w:tc>
      </w:tr>
      <w:tr w:rsidR="00990B14" w14:paraId="53DC74D7" w14:textId="77777777">
        <w:trPr>
          <w:cantSplit/>
          <w:jc w:val="center"/>
        </w:trPr>
        <w:tc>
          <w:tcPr>
            <w:tcW w:w="1490" w:type="dxa"/>
            <w:vMerge/>
            <w:shd w:val="clear" w:color="auto" w:fill="4472C4"/>
            <w:vAlign w:val="center"/>
          </w:tcPr>
          <w:p w14:paraId="5D9EA1F5" w14:textId="77777777" w:rsidR="00990B14" w:rsidRDefault="00990B14">
            <w:pPr>
              <w:spacing w:before="20" w:after="20"/>
            </w:pPr>
          </w:p>
        </w:tc>
        <w:tc>
          <w:tcPr>
            <w:tcW w:w="6038" w:type="dxa"/>
            <w:gridSpan w:val="3"/>
            <w:shd w:val="clear" w:color="auto" w:fill="D9E2F3"/>
            <w:vAlign w:val="center"/>
          </w:tcPr>
          <w:p w14:paraId="29B826F2" w14:textId="77777777" w:rsidR="00990B14" w:rsidRDefault="00000000">
            <w:pPr>
              <w:keepNext/>
              <w:spacing w:before="20" w:after="20"/>
              <w:jc w:val="both"/>
            </w:pPr>
            <w:r>
              <w:rPr>
                <w:b/>
                <w:bCs/>
                <w:i/>
                <w:iCs/>
                <w:sz w:val="18"/>
                <w:szCs w:val="18"/>
              </w:rPr>
              <w:t xml:space="preserve">Producto 12: </w:t>
            </w:r>
            <w:r>
              <w:rPr>
                <w:sz w:val="18"/>
                <w:szCs w:val="18"/>
              </w:rPr>
              <w:t>Informe conteniendo un Plan de estrategias y monitoreo de gestión de riesgos.</w:t>
            </w:r>
          </w:p>
        </w:tc>
        <w:tc>
          <w:tcPr>
            <w:tcW w:w="1877" w:type="dxa"/>
            <w:shd w:val="clear" w:color="auto" w:fill="D9E2F3"/>
            <w:vAlign w:val="center"/>
          </w:tcPr>
          <w:p w14:paraId="18BADDD2" w14:textId="77777777" w:rsidR="00990B14" w:rsidRDefault="00000000">
            <w:pPr>
              <w:spacing w:before="20" w:after="20"/>
              <w:jc w:val="center"/>
            </w:pPr>
            <w:r>
              <w:rPr>
                <w:b/>
                <w:bCs/>
                <w:sz w:val="18"/>
                <w:szCs w:val="18"/>
              </w:rPr>
              <w:t>4%</w:t>
            </w:r>
          </w:p>
        </w:tc>
      </w:tr>
      <w:tr w:rsidR="00990B14" w14:paraId="50226F8A" w14:textId="77777777">
        <w:trPr>
          <w:cantSplit/>
          <w:jc w:val="center"/>
        </w:trPr>
        <w:tc>
          <w:tcPr>
            <w:tcW w:w="1490" w:type="dxa"/>
            <w:vMerge/>
            <w:shd w:val="clear" w:color="auto" w:fill="4472C4"/>
            <w:vAlign w:val="center"/>
          </w:tcPr>
          <w:p w14:paraId="4B7B34BF" w14:textId="77777777" w:rsidR="00990B14" w:rsidRDefault="00990B14">
            <w:pPr>
              <w:spacing w:before="20" w:after="20"/>
            </w:pPr>
          </w:p>
        </w:tc>
        <w:tc>
          <w:tcPr>
            <w:tcW w:w="2015" w:type="dxa"/>
            <w:shd w:val="clear" w:color="auto" w:fill="4472C4"/>
            <w:vAlign w:val="center"/>
          </w:tcPr>
          <w:p w14:paraId="50A358A8"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258CF3A2" w14:textId="77777777" w:rsidR="00990B14" w:rsidRDefault="00000000">
            <w:pPr>
              <w:keepNext/>
              <w:spacing w:before="20" w:after="20"/>
              <w:jc w:val="center"/>
            </w:pPr>
            <w:r>
              <w:rPr>
                <w:b/>
                <w:bCs/>
                <w:i/>
                <w:iCs/>
                <w:color w:val="FFFFFF"/>
                <w:sz w:val="18"/>
                <w:szCs w:val="18"/>
              </w:rPr>
              <w:t>Insuficiente (1–50)</w:t>
            </w:r>
          </w:p>
        </w:tc>
        <w:tc>
          <w:tcPr>
            <w:tcW w:w="2008" w:type="dxa"/>
            <w:shd w:val="clear" w:color="auto" w:fill="4472C4"/>
            <w:vAlign w:val="center"/>
          </w:tcPr>
          <w:p w14:paraId="2B6B5616"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4FD2415D" w14:textId="77777777" w:rsidR="00990B14" w:rsidRDefault="00000000">
            <w:pPr>
              <w:keepNext/>
              <w:spacing w:before="20" w:after="20"/>
              <w:jc w:val="center"/>
            </w:pPr>
            <w:r>
              <w:rPr>
                <w:b/>
                <w:bCs/>
                <w:i/>
                <w:iCs/>
                <w:color w:val="FFFFFF"/>
                <w:sz w:val="18"/>
                <w:szCs w:val="18"/>
              </w:rPr>
              <w:t>Destacado (81–100)</w:t>
            </w:r>
          </w:p>
        </w:tc>
      </w:tr>
      <w:tr w:rsidR="00990B14" w14:paraId="7A56603F" w14:textId="77777777">
        <w:trPr>
          <w:cantSplit/>
          <w:jc w:val="center"/>
        </w:trPr>
        <w:tc>
          <w:tcPr>
            <w:tcW w:w="1490" w:type="dxa"/>
            <w:vMerge/>
            <w:shd w:val="clear" w:color="auto" w:fill="4472C4"/>
            <w:vAlign w:val="center"/>
          </w:tcPr>
          <w:p w14:paraId="541DEA68" w14:textId="77777777" w:rsidR="00990B14" w:rsidRDefault="00990B14">
            <w:pPr>
              <w:spacing w:before="20" w:after="20"/>
            </w:pPr>
          </w:p>
        </w:tc>
        <w:tc>
          <w:tcPr>
            <w:tcW w:w="2015" w:type="dxa"/>
            <w:shd w:val="clear" w:color="auto" w:fill="D9E2F3"/>
            <w:vAlign w:val="center"/>
          </w:tcPr>
          <w:p w14:paraId="1AB6797E" w14:textId="77777777" w:rsidR="00990B14" w:rsidRDefault="00000000">
            <w:pPr>
              <w:spacing w:before="20" w:after="20"/>
              <w:jc w:val="both"/>
            </w:pPr>
            <w:r>
              <w:rPr>
                <w:sz w:val="18"/>
                <w:szCs w:val="18"/>
              </w:rPr>
              <w:t>Estrategias de tratamiento</w:t>
            </w:r>
          </w:p>
        </w:tc>
        <w:tc>
          <w:tcPr>
            <w:tcW w:w="2015" w:type="dxa"/>
            <w:shd w:val="clear" w:color="auto" w:fill="D9E2F3"/>
            <w:vAlign w:val="center"/>
          </w:tcPr>
          <w:p w14:paraId="655F84DA" w14:textId="77777777" w:rsidR="00990B14" w:rsidRDefault="00000000">
            <w:pPr>
              <w:spacing w:before="20" w:after="20"/>
              <w:jc w:val="both"/>
            </w:pPr>
            <w:r>
              <w:rPr>
                <w:sz w:val="18"/>
                <w:szCs w:val="18"/>
              </w:rPr>
              <w:t>Las estrategias no responden a los riesgos priorizados.</w:t>
            </w:r>
          </w:p>
        </w:tc>
        <w:tc>
          <w:tcPr>
            <w:tcW w:w="2008" w:type="dxa"/>
            <w:shd w:val="clear" w:color="auto" w:fill="D9E2F3"/>
            <w:vAlign w:val="center"/>
          </w:tcPr>
          <w:p w14:paraId="1C78943C" w14:textId="77777777" w:rsidR="00990B14" w:rsidRDefault="00000000">
            <w:pPr>
              <w:spacing w:before="20" w:after="20"/>
              <w:jc w:val="both"/>
            </w:pPr>
            <w:r>
              <w:rPr>
                <w:sz w:val="18"/>
                <w:szCs w:val="18"/>
              </w:rPr>
              <w:t>Define estrategias de evitar, reducir, transferir o aceptar según el riesgo.</w:t>
            </w:r>
          </w:p>
        </w:tc>
        <w:tc>
          <w:tcPr>
            <w:tcW w:w="1877" w:type="dxa"/>
            <w:shd w:val="clear" w:color="auto" w:fill="D9E2F3"/>
            <w:vAlign w:val="center"/>
          </w:tcPr>
          <w:p w14:paraId="58DB90FF" w14:textId="77777777" w:rsidR="00990B14" w:rsidRDefault="00000000">
            <w:pPr>
              <w:spacing w:before="20" w:after="20"/>
              <w:jc w:val="both"/>
            </w:pPr>
            <w:r>
              <w:rPr>
                <w:sz w:val="18"/>
                <w:szCs w:val="18"/>
              </w:rPr>
              <w:t>Evalúa el costo y el beneficio de cada estrategia.</w:t>
            </w:r>
          </w:p>
        </w:tc>
      </w:tr>
      <w:tr w:rsidR="00990B14" w14:paraId="396A2B11" w14:textId="77777777">
        <w:trPr>
          <w:cantSplit/>
          <w:jc w:val="center"/>
        </w:trPr>
        <w:tc>
          <w:tcPr>
            <w:tcW w:w="1490" w:type="dxa"/>
            <w:vMerge/>
            <w:shd w:val="clear" w:color="auto" w:fill="4472C4"/>
            <w:vAlign w:val="center"/>
          </w:tcPr>
          <w:p w14:paraId="5EB75A61" w14:textId="77777777" w:rsidR="00990B14" w:rsidRDefault="00990B14">
            <w:pPr>
              <w:spacing w:before="20" w:after="20"/>
            </w:pPr>
          </w:p>
        </w:tc>
        <w:tc>
          <w:tcPr>
            <w:tcW w:w="2015" w:type="dxa"/>
            <w:shd w:val="clear" w:color="auto" w:fill="D9E2F3"/>
            <w:vAlign w:val="center"/>
          </w:tcPr>
          <w:p w14:paraId="3B132111" w14:textId="77777777" w:rsidR="00990B14" w:rsidRDefault="00000000">
            <w:pPr>
              <w:spacing w:before="20" w:after="20"/>
              <w:jc w:val="both"/>
            </w:pPr>
            <w:r>
              <w:rPr>
                <w:sz w:val="18"/>
                <w:szCs w:val="18"/>
              </w:rPr>
              <w:t>Monitoreo de riesgos</w:t>
            </w:r>
          </w:p>
        </w:tc>
        <w:tc>
          <w:tcPr>
            <w:tcW w:w="2015" w:type="dxa"/>
            <w:shd w:val="clear" w:color="auto" w:fill="D9E2F3"/>
            <w:vAlign w:val="center"/>
          </w:tcPr>
          <w:p w14:paraId="67E85D3E" w14:textId="77777777" w:rsidR="00990B14" w:rsidRDefault="00000000">
            <w:pPr>
              <w:spacing w:before="20" w:after="20"/>
              <w:jc w:val="both"/>
            </w:pPr>
            <w:r>
              <w:rPr>
                <w:sz w:val="18"/>
                <w:szCs w:val="18"/>
              </w:rPr>
              <w:t>No prevé indicadores de monitoreo.</w:t>
            </w:r>
          </w:p>
        </w:tc>
        <w:tc>
          <w:tcPr>
            <w:tcW w:w="2008" w:type="dxa"/>
            <w:shd w:val="clear" w:color="auto" w:fill="D9E2F3"/>
            <w:vAlign w:val="center"/>
          </w:tcPr>
          <w:p w14:paraId="584E0C15" w14:textId="77777777" w:rsidR="00990B14" w:rsidRDefault="00000000">
            <w:pPr>
              <w:spacing w:before="20" w:after="20"/>
              <w:jc w:val="both"/>
            </w:pPr>
            <w:r>
              <w:rPr>
                <w:sz w:val="18"/>
                <w:szCs w:val="18"/>
              </w:rPr>
              <w:t>Define indicadores, responsables y frecuencia de monitoreo.</w:t>
            </w:r>
          </w:p>
        </w:tc>
        <w:tc>
          <w:tcPr>
            <w:tcW w:w="1877" w:type="dxa"/>
            <w:shd w:val="clear" w:color="auto" w:fill="D9E2F3"/>
            <w:vAlign w:val="center"/>
          </w:tcPr>
          <w:p w14:paraId="4532656F" w14:textId="77777777" w:rsidR="00990B14" w:rsidRDefault="00000000">
            <w:pPr>
              <w:spacing w:before="20" w:after="20"/>
              <w:jc w:val="both"/>
            </w:pPr>
            <w:r>
              <w:rPr>
                <w:sz w:val="18"/>
                <w:szCs w:val="18"/>
              </w:rPr>
              <w:t>Establece umbrales de alerta temprana.</w:t>
            </w:r>
          </w:p>
        </w:tc>
      </w:tr>
      <w:tr w:rsidR="00990B14" w14:paraId="04708D07" w14:textId="77777777">
        <w:trPr>
          <w:cantSplit/>
          <w:jc w:val="center"/>
        </w:trPr>
        <w:tc>
          <w:tcPr>
            <w:tcW w:w="1490" w:type="dxa"/>
            <w:vMerge/>
            <w:shd w:val="clear" w:color="auto" w:fill="4472C4"/>
            <w:vAlign w:val="center"/>
          </w:tcPr>
          <w:p w14:paraId="3902F98D" w14:textId="77777777" w:rsidR="00990B14" w:rsidRDefault="00990B14">
            <w:pPr>
              <w:spacing w:before="20" w:after="20"/>
            </w:pPr>
          </w:p>
        </w:tc>
        <w:tc>
          <w:tcPr>
            <w:tcW w:w="2015" w:type="dxa"/>
            <w:shd w:val="clear" w:color="auto" w:fill="D9E2F3"/>
            <w:vAlign w:val="center"/>
          </w:tcPr>
          <w:p w14:paraId="422C6FE9" w14:textId="77777777" w:rsidR="00990B14" w:rsidRDefault="00000000">
            <w:pPr>
              <w:spacing w:before="20" w:after="20"/>
              <w:jc w:val="both"/>
            </w:pPr>
            <w:r>
              <w:rPr>
                <w:sz w:val="18"/>
                <w:szCs w:val="18"/>
              </w:rPr>
              <w:t>Presentación del informe</w:t>
            </w:r>
          </w:p>
        </w:tc>
        <w:tc>
          <w:tcPr>
            <w:tcW w:w="2015" w:type="dxa"/>
            <w:shd w:val="clear" w:color="auto" w:fill="D9E2F3"/>
            <w:vAlign w:val="center"/>
          </w:tcPr>
          <w:p w14:paraId="3DCE27BE" w14:textId="77777777" w:rsidR="00990B14" w:rsidRDefault="00000000">
            <w:pPr>
              <w:spacing w:before="20" w:after="20"/>
              <w:jc w:val="both"/>
            </w:pPr>
            <w:r>
              <w:rPr>
                <w:sz w:val="18"/>
                <w:szCs w:val="18"/>
              </w:rPr>
              <w:t>El informe es desordenado o incompleto.</w:t>
            </w:r>
          </w:p>
        </w:tc>
        <w:tc>
          <w:tcPr>
            <w:tcW w:w="2008" w:type="dxa"/>
            <w:shd w:val="clear" w:color="auto" w:fill="D9E2F3"/>
            <w:vAlign w:val="center"/>
          </w:tcPr>
          <w:p w14:paraId="28D785A8" w14:textId="77777777" w:rsidR="00990B14" w:rsidRDefault="00000000">
            <w:pPr>
              <w:spacing w:before="20" w:after="20"/>
              <w:jc w:val="both"/>
            </w:pPr>
            <w:r>
              <w:rPr>
                <w:sz w:val="18"/>
                <w:szCs w:val="18"/>
              </w:rPr>
              <w:t>Presenta el informe ordenado con las estrategias y el monitoreo.</w:t>
            </w:r>
          </w:p>
        </w:tc>
        <w:tc>
          <w:tcPr>
            <w:tcW w:w="1877" w:type="dxa"/>
            <w:shd w:val="clear" w:color="auto" w:fill="D9E2F3"/>
            <w:vAlign w:val="center"/>
          </w:tcPr>
          <w:p w14:paraId="6F2F4B81" w14:textId="77777777" w:rsidR="00990B14" w:rsidRDefault="00000000">
            <w:pPr>
              <w:spacing w:before="20" w:after="20"/>
              <w:jc w:val="both"/>
            </w:pPr>
            <w:r>
              <w:rPr>
                <w:sz w:val="18"/>
                <w:szCs w:val="18"/>
              </w:rPr>
              <w:t>Presenta un informe claro, con responsables y cronograma de implementación.</w:t>
            </w:r>
          </w:p>
        </w:tc>
      </w:tr>
      <w:tr w:rsidR="00990B14" w14:paraId="42AD4318" w14:textId="77777777">
        <w:trPr>
          <w:cantSplit/>
          <w:jc w:val="center"/>
        </w:trPr>
        <w:tc>
          <w:tcPr>
            <w:tcW w:w="1490" w:type="dxa"/>
            <w:vMerge/>
            <w:shd w:val="clear" w:color="auto" w:fill="4472C4"/>
            <w:vAlign w:val="center"/>
          </w:tcPr>
          <w:p w14:paraId="6CDEEE14" w14:textId="77777777" w:rsidR="00990B14" w:rsidRDefault="00990B14">
            <w:pPr>
              <w:spacing w:before="20" w:after="20"/>
            </w:pPr>
          </w:p>
        </w:tc>
        <w:tc>
          <w:tcPr>
            <w:tcW w:w="6038" w:type="dxa"/>
            <w:gridSpan w:val="3"/>
            <w:shd w:val="clear" w:color="auto" w:fill="D9E2F3"/>
            <w:vAlign w:val="center"/>
          </w:tcPr>
          <w:p w14:paraId="3F60595F" w14:textId="77777777" w:rsidR="00990B14" w:rsidRDefault="00000000">
            <w:pPr>
              <w:keepNext/>
              <w:spacing w:before="20" w:after="20"/>
              <w:jc w:val="both"/>
            </w:pPr>
            <w:r>
              <w:rPr>
                <w:b/>
                <w:bCs/>
                <w:i/>
                <w:iCs/>
                <w:sz w:val="18"/>
                <w:szCs w:val="18"/>
              </w:rPr>
              <w:t xml:space="preserve">Producto 13: </w:t>
            </w:r>
            <w:r>
              <w:rPr>
                <w:sz w:val="18"/>
                <w:szCs w:val="18"/>
              </w:rPr>
              <w:t>Esquema de comprensión de la naturaleza, estructura y responsabilidades de la UAI.</w:t>
            </w:r>
          </w:p>
        </w:tc>
        <w:tc>
          <w:tcPr>
            <w:tcW w:w="1877" w:type="dxa"/>
            <w:shd w:val="clear" w:color="auto" w:fill="D9E2F3"/>
            <w:vAlign w:val="center"/>
          </w:tcPr>
          <w:p w14:paraId="6E515EC3" w14:textId="77777777" w:rsidR="00990B14" w:rsidRDefault="00000000">
            <w:pPr>
              <w:spacing w:before="20" w:after="20"/>
              <w:jc w:val="center"/>
            </w:pPr>
            <w:r>
              <w:rPr>
                <w:b/>
                <w:bCs/>
                <w:sz w:val="18"/>
                <w:szCs w:val="18"/>
              </w:rPr>
              <w:t>2%</w:t>
            </w:r>
          </w:p>
        </w:tc>
      </w:tr>
      <w:tr w:rsidR="00990B14" w14:paraId="6C41CC85" w14:textId="77777777">
        <w:trPr>
          <w:cantSplit/>
          <w:jc w:val="center"/>
        </w:trPr>
        <w:tc>
          <w:tcPr>
            <w:tcW w:w="1490" w:type="dxa"/>
            <w:vMerge/>
            <w:shd w:val="clear" w:color="auto" w:fill="4472C4"/>
            <w:vAlign w:val="center"/>
          </w:tcPr>
          <w:p w14:paraId="0BF3CB0F" w14:textId="77777777" w:rsidR="00990B14" w:rsidRDefault="00990B14">
            <w:pPr>
              <w:spacing w:before="20" w:after="20"/>
            </w:pPr>
          </w:p>
        </w:tc>
        <w:tc>
          <w:tcPr>
            <w:tcW w:w="2015" w:type="dxa"/>
            <w:shd w:val="clear" w:color="auto" w:fill="4472C4"/>
            <w:vAlign w:val="center"/>
          </w:tcPr>
          <w:p w14:paraId="22C1C209"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7E3DA6F6" w14:textId="77777777" w:rsidR="00990B14" w:rsidRDefault="00000000">
            <w:pPr>
              <w:keepNext/>
              <w:spacing w:before="20" w:after="20"/>
              <w:jc w:val="center"/>
            </w:pPr>
            <w:r>
              <w:rPr>
                <w:b/>
                <w:bCs/>
                <w:i/>
                <w:iCs/>
                <w:color w:val="FFFFFF"/>
                <w:sz w:val="18"/>
                <w:szCs w:val="18"/>
              </w:rPr>
              <w:t>Insuficiente (1–50)</w:t>
            </w:r>
          </w:p>
        </w:tc>
        <w:tc>
          <w:tcPr>
            <w:tcW w:w="2008" w:type="dxa"/>
            <w:shd w:val="clear" w:color="auto" w:fill="4472C4"/>
            <w:vAlign w:val="center"/>
          </w:tcPr>
          <w:p w14:paraId="1E3B2773"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5E6538D3" w14:textId="77777777" w:rsidR="00990B14" w:rsidRDefault="00000000">
            <w:pPr>
              <w:keepNext/>
              <w:spacing w:before="20" w:after="20"/>
              <w:jc w:val="center"/>
            </w:pPr>
            <w:r>
              <w:rPr>
                <w:b/>
                <w:bCs/>
                <w:i/>
                <w:iCs/>
                <w:color w:val="FFFFFF"/>
                <w:sz w:val="18"/>
                <w:szCs w:val="18"/>
              </w:rPr>
              <w:t>Destacado (81–100)</w:t>
            </w:r>
          </w:p>
        </w:tc>
      </w:tr>
      <w:tr w:rsidR="00990B14" w14:paraId="7C74B39A" w14:textId="77777777">
        <w:trPr>
          <w:cantSplit/>
          <w:jc w:val="center"/>
        </w:trPr>
        <w:tc>
          <w:tcPr>
            <w:tcW w:w="1490" w:type="dxa"/>
            <w:vMerge/>
            <w:shd w:val="clear" w:color="auto" w:fill="4472C4"/>
            <w:vAlign w:val="center"/>
          </w:tcPr>
          <w:p w14:paraId="334FEA4D" w14:textId="77777777" w:rsidR="00990B14" w:rsidRDefault="00990B14">
            <w:pPr>
              <w:spacing w:before="20" w:after="20"/>
            </w:pPr>
          </w:p>
        </w:tc>
        <w:tc>
          <w:tcPr>
            <w:tcW w:w="2015" w:type="dxa"/>
            <w:shd w:val="clear" w:color="auto" w:fill="D9E2F3"/>
            <w:vAlign w:val="center"/>
          </w:tcPr>
          <w:p w14:paraId="1BDC59AD" w14:textId="77777777" w:rsidR="00990B14" w:rsidRDefault="00000000">
            <w:pPr>
              <w:spacing w:before="20" w:after="20"/>
              <w:jc w:val="both"/>
            </w:pPr>
            <w:r>
              <w:rPr>
                <w:sz w:val="18"/>
                <w:szCs w:val="18"/>
              </w:rPr>
              <w:t>Naturaleza y estructura</w:t>
            </w:r>
          </w:p>
        </w:tc>
        <w:tc>
          <w:tcPr>
            <w:tcW w:w="2015" w:type="dxa"/>
            <w:shd w:val="clear" w:color="auto" w:fill="D9E2F3"/>
            <w:vAlign w:val="center"/>
          </w:tcPr>
          <w:p w14:paraId="6F69032F" w14:textId="77777777" w:rsidR="00990B14" w:rsidRDefault="00000000">
            <w:pPr>
              <w:spacing w:before="20" w:after="20"/>
              <w:jc w:val="both"/>
            </w:pPr>
            <w:r>
              <w:rPr>
                <w:sz w:val="18"/>
                <w:szCs w:val="18"/>
              </w:rPr>
              <w:t>Confunde la naturaleza de la Unidad con la de otras áreas.</w:t>
            </w:r>
          </w:p>
        </w:tc>
        <w:tc>
          <w:tcPr>
            <w:tcW w:w="2008" w:type="dxa"/>
            <w:shd w:val="clear" w:color="auto" w:fill="D9E2F3"/>
            <w:vAlign w:val="center"/>
          </w:tcPr>
          <w:p w14:paraId="2AAC0AE7" w14:textId="77777777" w:rsidR="00990B14" w:rsidRDefault="00000000">
            <w:pPr>
              <w:spacing w:before="20" w:after="20"/>
              <w:jc w:val="both"/>
            </w:pPr>
            <w:r>
              <w:rPr>
                <w:sz w:val="18"/>
                <w:szCs w:val="18"/>
              </w:rPr>
              <w:t>Describe la naturaleza, la estructura y la dependencia de la Unidad.</w:t>
            </w:r>
          </w:p>
        </w:tc>
        <w:tc>
          <w:tcPr>
            <w:tcW w:w="1877" w:type="dxa"/>
            <w:shd w:val="clear" w:color="auto" w:fill="D9E2F3"/>
            <w:vAlign w:val="center"/>
          </w:tcPr>
          <w:p w14:paraId="252AF7E4" w14:textId="77777777" w:rsidR="00990B14" w:rsidRDefault="00000000">
            <w:pPr>
              <w:spacing w:before="20" w:after="20"/>
              <w:jc w:val="both"/>
            </w:pPr>
            <w:r>
              <w:rPr>
                <w:sz w:val="18"/>
                <w:szCs w:val="18"/>
              </w:rPr>
              <w:t>Explica el efecto de la dependencia en la independencia.</w:t>
            </w:r>
          </w:p>
        </w:tc>
      </w:tr>
      <w:tr w:rsidR="00990B14" w14:paraId="255FAE73" w14:textId="77777777">
        <w:trPr>
          <w:cantSplit/>
          <w:jc w:val="center"/>
        </w:trPr>
        <w:tc>
          <w:tcPr>
            <w:tcW w:w="1490" w:type="dxa"/>
            <w:vMerge/>
            <w:shd w:val="clear" w:color="auto" w:fill="4472C4"/>
            <w:vAlign w:val="center"/>
          </w:tcPr>
          <w:p w14:paraId="241B099E" w14:textId="77777777" w:rsidR="00990B14" w:rsidRDefault="00990B14">
            <w:pPr>
              <w:spacing w:before="20" w:after="20"/>
            </w:pPr>
          </w:p>
        </w:tc>
        <w:tc>
          <w:tcPr>
            <w:tcW w:w="2015" w:type="dxa"/>
            <w:shd w:val="clear" w:color="auto" w:fill="D9E2F3"/>
            <w:vAlign w:val="center"/>
          </w:tcPr>
          <w:p w14:paraId="3C4CB0D0" w14:textId="77777777" w:rsidR="00990B14" w:rsidRDefault="00000000">
            <w:pPr>
              <w:spacing w:before="20" w:after="20"/>
              <w:jc w:val="both"/>
            </w:pPr>
            <w:r>
              <w:rPr>
                <w:sz w:val="18"/>
                <w:szCs w:val="18"/>
              </w:rPr>
              <w:t>Responsabilidades</w:t>
            </w:r>
          </w:p>
        </w:tc>
        <w:tc>
          <w:tcPr>
            <w:tcW w:w="2015" w:type="dxa"/>
            <w:shd w:val="clear" w:color="auto" w:fill="D9E2F3"/>
            <w:vAlign w:val="center"/>
          </w:tcPr>
          <w:p w14:paraId="6528012A" w14:textId="77777777" w:rsidR="00990B14" w:rsidRDefault="00000000">
            <w:pPr>
              <w:spacing w:before="20" w:after="20"/>
              <w:jc w:val="both"/>
            </w:pPr>
            <w:r>
              <w:rPr>
                <w:sz w:val="18"/>
                <w:szCs w:val="18"/>
              </w:rPr>
              <w:t>Omite las responsabilidades de la Unidad.</w:t>
            </w:r>
          </w:p>
        </w:tc>
        <w:tc>
          <w:tcPr>
            <w:tcW w:w="2008" w:type="dxa"/>
            <w:shd w:val="clear" w:color="auto" w:fill="D9E2F3"/>
            <w:vAlign w:val="center"/>
          </w:tcPr>
          <w:p w14:paraId="4AC18DC9" w14:textId="77777777" w:rsidR="00990B14" w:rsidRDefault="00000000">
            <w:pPr>
              <w:spacing w:before="20" w:after="20"/>
              <w:jc w:val="both"/>
            </w:pPr>
            <w:r>
              <w:rPr>
                <w:sz w:val="18"/>
                <w:szCs w:val="18"/>
              </w:rPr>
              <w:t>Identifica las responsabilidades de la Unidad.</w:t>
            </w:r>
          </w:p>
        </w:tc>
        <w:tc>
          <w:tcPr>
            <w:tcW w:w="1877" w:type="dxa"/>
            <w:shd w:val="clear" w:color="auto" w:fill="D9E2F3"/>
            <w:vAlign w:val="center"/>
          </w:tcPr>
          <w:p w14:paraId="7E693693" w14:textId="77777777" w:rsidR="00990B14" w:rsidRDefault="00000000">
            <w:pPr>
              <w:spacing w:before="20" w:after="20"/>
              <w:jc w:val="both"/>
            </w:pPr>
            <w:r>
              <w:rPr>
                <w:sz w:val="18"/>
                <w:szCs w:val="18"/>
              </w:rPr>
              <w:t>Identifica y relaciona las responsabilidades y la autoridad de la Unidad.</w:t>
            </w:r>
          </w:p>
        </w:tc>
      </w:tr>
      <w:tr w:rsidR="00990B14" w14:paraId="1A3604FB" w14:textId="77777777">
        <w:trPr>
          <w:cantSplit/>
          <w:jc w:val="center"/>
        </w:trPr>
        <w:tc>
          <w:tcPr>
            <w:tcW w:w="1490" w:type="dxa"/>
            <w:vMerge/>
            <w:shd w:val="clear" w:color="auto" w:fill="4472C4"/>
            <w:vAlign w:val="center"/>
          </w:tcPr>
          <w:p w14:paraId="62B42DCB" w14:textId="77777777" w:rsidR="00990B14" w:rsidRDefault="00990B14">
            <w:pPr>
              <w:spacing w:before="20" w:after="20"/>
            </w:pPr>
          </w:p>
        </w:tc>
        <w:tc>
          <w:tcPr>
            <w:tcW w:w="2015" w:type="dxa"/>
            <w:shd w:val="clear" w:color="auto" w:fill="D9E2F3"/>
            <w:vAlign w:val="center"/>
          </w:tcPr>
          <w:p w14:paraId="354DB18B" w14:textId="77777777" w:rsidR="00990B14" w:rsidRDefault="00000000">
            <w:pPr>
              <w:spacing w:before="20" w:after="20"/>
              <w:jc w:val="both"/>
            </w:pPr>
            <w:r>
              <w:rPr>
                <w:sz w:val="18"/>
                <w:szCs w:val="18"/>
              </w:rPr>
              <w:t>Presentación del esquema</w:t>
            </w:r>
          </w:p>
        </w:tc>
        <w:tc>
          <w:tcPr>
            <w:tcW w:w="2015" w:type="dxa"/>
            <w:shd w:val="clear" w:color="auto" w:fill="D9E2F3"/>
            <w:vAlign w:val="center"/>
          </w:tcPr>
          <w:p w14:paraId="00A0F173" w14:textId="77777777" w:rsidR="00990B14" w:rsidRDefault="00000000">
            <w:pPr>
              <w:spacing w:before="20" w:after="20"/>
              <w:jc w:val="both"/>
            </w:pPr>
            <w:r>
              <w:rPr>
                <w:sz w:val="18"/>
                <w:szCs w:val="18"/>
              </w:rPr>
              <w:t>El esquema es desordenado o incompleto.</w:t>
            </w:r>
          </w:p>
        </w:tc>
        <w:tc>
          <w:tcPr>
            <w:tcW w:w="2008" w:type="dxa"/>
            <w:shd w:val="clear" w:color="auto" w:fill="D9E2F3"/>
            <w:vAlign w:val="center"/>
          </w:tcPr>
          <w:p w14:paraId="395B74FC" w14:textId="77777777" w:rsidR="00990B14" w:rsidRDefault="00000000">
            <w:pPr>
              <w:spacing w:before="20" w:after="20"/>
              <w:jc w:val="both"/>
            </w:pPr>
            <w:r>
              <w:rPr>
                <w:sz w:val="18"/>
                <w:szCs w:val="18"/>
              </w:rPr>
              <w:t>Presenta un esquema ordenado de la Unidad de Auditoría Interna.</w:t>
            </w:r>
          </w:p>
        </w:tc>
        <w:tc>
          <w:tcPr>
            <w:tcW w:w="1877" w:type="dxa"/>
            <w:shd w:val="clear" w:color="auto" w:fill="D9E2F3"/>
            <w:vAlign w:val="center"/>
          </w:tcPr>
          <w:p w14:paraId="04A3C7D6" w14:textId="77777777" w:rsidR="00990B14" w:rsidRDefault="00000000">
            <w:pPr>
              <w:spacing w:before="20" w:after="20"/>
              <w:jc w:val="both"/>
            </w:pPr>
            <w:r>
              <w:rPr>
                <w:sz w:val="18"/>
                <w:szCs w:val="18"/>
              </w:rPr>
              <w:t>Presenta un esquema claro con referencia a la normativa vigente.</w:t>
            </w:r>
          </w:p>
        </w:tc>
      </w:tr>
      <w:tr w:rsidR="00990B14" w14:paraId="47BFE311" w14:textId="77777777">
        <w:trPr>
          <w:cantSplit/>
          <w:jc w:val="center"/>
        </w:trPr>
        <w:tc>
          <w:tcPr>
            <w:tcW w:w="1490" w:type="dxa"/>
            <w:vMerge/>
            <w:shd w:val="clear" w:color="auto" w:fill="4472C4"/>
            <w:vAlign w:val="center"/>
          </w:tcPr>
          <w:p w14:paraId="2569D96B" w14:textId="77777777" w:rsidR="00990B14" w:rsidRDefault="00990B14">
            <w:pPr>
              <w:spacing w:before="20" w:after="20"/>
            </w:pPr>
          </w:p>
        </w:tc>
        <w:tc>
          <w:tcPr>
            <w:tcW w:w="6038" w:type="dxa"/>
            <w:gridSpan w:val="3"/>
            <w:shd w:val="clear" w:color="auto" w:fill="D9E2F3"/>
            <w:vAlign w:val="center"/>
          </w:tcPr>
          <w:p w14:paraId="68C6953E" w14:textId="77777777" w:rsidR="00990B14" w:rsidRDefault="00000000">
            <w:pPr>
              <w:keepNext/>
              <w:spacing w:before="20" w:after="20"/>
              <w:jc w:val="both"/>
            </w:pPr>
            <w:r>
              <w:rPr>
                <w:b/>
                <w:bCs/>
                <w:i/>
                <w:iCs/>
                <w:sz w:val="18"/>
                <w:szCs w:val="18"/>
              </w:rPr>
              <w:t xml:space="preserve">Producto 14: </w:t>
            </w:r>
            <w:r>
              <w:rPr>
                <w:sz w:val="18"/>
                <w:szCs w:val="18"/>
              </w:rPr>
              <w:t>Esquema de comprensión sobre las funciones de aseguramiento y asesoramiento de la Unidad de Auditoría Interna.</w:t>
            </w:r>
          </w:p>
        </w:tc>
        <w:tc>
          <w:tcPr>
            <w:tcW w:w="1877" w:type="dxa"/>
            <w:shd w:val="clear" w:color="auto" w:fill="D9E2F3"/>
            <w:vAlign w:val="center"/>
          </w:tcPr>
          <w:p w14:paraId="25584E48" w14:textId="77777777" w:rsidR="00990B14" w:rsidRDefault="00000000">
            <w:pPr>
              <w:spacing w:before="20" w:after="20"/>
              <w:jc w:val="center"/>
            </w:pPr>
            <w:r>
              <w:rPr>
                <w:b/>
                <w:bCs/>
                <w:sz w:val="18"/>
                <w:szCs w:val="18"/>
              </w:rPr>
              <w:t>2%</w:t>
            </w:r>
          </w:p>
        </w:tc>
      </w:tr>
      <w:tr w:rsidR="00990B14" w14:paraId="1F5EF2E3" w14:textId="77777777">
        <w:trPr>
          <w:cantSplit/>
          <w:jc w:val="center"/>
        </w:trPr>
        <w:tc>
          <w:tcPr>
            <w:tcW w:w="1490" w:type="dxa"/>
            <w:vMerge/>
            <w:shd w:val="clear" w:color="auto" w:fill="4472C4"/>
            <w:vAlign w:val="center"/>
          </w:tcPr>
          <w:p w14:paraId="2776E4E2" w14:textId="77777777" w:rsidR="00990B14" w:rsidRDefault="00990B14">
            <w:pPr>
              <w:spacing w:before="20" w:after="20"/>
            </w:pPr>
          </w:p>
        </w:tc>
        <w:tc>
          <w:tcPr>
            <w:tcW w:w="2015" w:type="dxa"/>
            <w:shd w:val="clear" w:color="auto" w:fill="4472C4"/>
            <w:vAlign w:val="center"/>
          </w:tcPr>
          <w:p w14:paraId="1737868C"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48317789" w14:textId="77777777" w:rsidR="00990B14" w:rsidRDefault="00000000">
            <w:pPr>
              <w:keepNext/>
              <w:spacing w:before="20" w:after="20"/>
              <w:jc w:val="center"/>
            </w:pPr>
            <w:r>
              <w:rPr>
                <w:b/>
                <w:bCs/>
                <w:i/>
                <w:iCs/>
                <w:color w:val="FFFFFF"/>
                <w:sz w:val="18"/>
                <w:szCs w:val="18"/>
              </w:rPr>
              <w:t>Insuficiente (1–50)</w:t>
            </w:r>
          </w:p>
        </w:tc>
        <w:tc>
          <w:tcPr>
            <w:tcW w:w="2008" w:type="dxa"/>
            <w:shd w:val="clear" w:color="auto" w:fill="4472C4"/>
            <w:vAlign w:val="center"/>
          </w:tcPr>
          <w:p w14:paraId="2CC391F8"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65C3B0B5" w14:textId="77777777" w:rsidR="00990B14" w:rsidRDefault="00000000">
            <w:pPr>
              <w:keepNext/>
              <w:spacing w:before="20" w:after="20"/>
              <w:jc w:val="center"/>
            </w:pPr>
            <w:r>
              <w:rPr>
                <w:b/>
                <w:bCs/>
                <w:i/>
                <w:iCs/>
                <w:color w:val="FFFFFF"/>
                <w:sz w:val="18"/>
                <w:szCs w:val="18"/>
              </w:rPr>
              <w:t>Destacado (81–100)</w:t>
            </w:r>
          </w:p>
        </w:tc>
      </w:tr>
      <w:tr w:rsidR="00990B14" w14:paraId="73E86B3D" w14:textId="77777777">
        <w:trPr>
          <w:cantSplit/>
          <w:jc w:val="center"/>
        </w:trPr>
        <w:tc>
          <w:tcPr>
            <w:tcW w:w="1490" w:type="dxa"/>
            <w:vMerge/>
            <w:shd w:val="clear" w:color="auto" w:fill="4472C4"/>
            <w:vAlign w:val="center"/>
          </w:tcPr>
          <w:p w14:paraId="1898ADDB" w14:textId="77777777" w:rsidR="00990B14" w:rsidRDefault="00990B14">
            <w:pPr>
              <w:spacing w:before="20" w:after="20"/>
            </w:pPr>
          </w:p>
        </w:tc>
        <w:tc>
          <w:tcPr>
            <w:tcW w:w="2015" w:type="dxa"/>
            <w:shd w:val="clear" w:color="auto" w:fill="D9E2F3"/>
            <w:vAlign w:val="center"/>
          </w:tcPr>
          <w:p w14:paraId="345277A9" w14:textId="77777777" w:rsidR="00990B14" w:rsidRDefault="00000000">
            <w:pPr>
              <w:spacing w:before="20" w:after="20"/>
              <w:jc w:val="both"/>
            </w:pPr>
            <w:r>
              <w:rPr>
                <w:sz w:val="18"/>
                <w:szCs w:val="18"/>
              </w:rPr>
              <w:t>Funciones de la Unidad</w:t>
            </w:r>
          </w:p>
        </w:tc>
        <w:tc>
          <w:tcPr>
            <w:tcW w:w="2015" w:type="dxa"/>
            <w:shd w:val="clear" w:color="auto" w:fill="D9E2F3"/>
            <w:vAlign w:val="center"/>
          </w:tcPr>
          <w:p w14:paraId="5AC564B6" w14:textId="77777777" w:rsidR="00990B14" w:rsidRDefault="00000000">
            <w:pPr>
              <w:spacing w:before="20" w:after="20"/>
              <w:jc w:val="both"/>
            </w:pPr>
            <w:r>
              <w:rPr>
                <w:sz w:val="18"/>
                <w:szCs w:val="18"/>
              </w:rPr>
              <w:t>Confunde el aseguramiento con el asesoramiento.</w:t>
            </w:r>
          </w:p>
        </w:tc>
        <w:tc>
          <w:tcPr>
            <w:tcW w:w="2008" w:type="dxa"/>
            <w:shd w:val="clear" w:color="auto" w:fill="D9E2F3"/>
            <w:vAlign w:val="center"/>
          </w:tcPr>
          <w:p w14:paraId="61B57D8C" w14:textId="77777777" w:rsidR="00990B14" w:rsidRDefault="00000000">
            <w:pPr>
              <w:spacing w:before="20" w:after="20"/>
              <w:jc w:val="both"/>
            </w:pPr>
            <w:r>
              <w:rPr>
                <w:sz w:val="18"/>
                <w:szCs w:val="18"/>
              </w:rPr>
              <w:t>Distingue las funciones de aseguramiento y de asesoramiento.</w:t>
            </w:r>
          </w:p>
        </w:tc>
        <w:tc>
          <w:tcPr>
            <w:tcW w:w="1877" w:type="dxa"/>
            <w:shd w:val="clear" w:color="auto" w:fill="D9E2F3"/>
            <w:vAlign w:val="center"/>
          </w:tcPr>
          <w:p w14:paraId="0A9E3F20" w14:textId="77777777" w:rsidR="00990B14" w:rsidRDefault="00000000">
            <w:pPr>
              <w:spacing w:before="20" w:after="20"/>
              <w:jc w:val="both"/>
            </w:pPr>
            <w:r>
              <w:rPr>
                <w:sz w:val="18"/>
                <w:szCs w:val="18"/>
              </w:rPr>
              <w:t>Ejemplifica cada función con casos de entidades.</w:t>
            </w:r>
          </w:p>
        </w:tc>
      </w:tr>
      <w:tr w:rsidR="00990B14" w14:paraId="249F4FA1" w14:textId="77777777">
        <w:trPr>
          <w:cantSplit/>
          <w:jc w:val="center"/>
        </w:trPr>
        <w:tc>
          <w:tcPr>
            <w:tcW w:w="1490" w:type="dxa"/>
            <w:vMerge/>
            <w:shd w:val="clear" w:color="auto" w:fill="4472C4"/>
            <w:vAlign w:val="center"/>
          </w:tcPr>
          <w:p w14:paraId="36670157" w14:textId="77777777" w:rsidR="00990B14" w:rsidRDefault="00990B14">
            <w:pPr>
              <w:spacing w:before="20" w:after="20"/>
            </w:pPr>
          </w:p>
        </w:tc>
        <w:tc>
          <w:tcPr>
            <w:tcW w:w="2015" w:type="dxa"/>
            <w:shd w:val="clear" w:color="auto" w:fill="D9E2F3"/>
            <w:vAlign w:val="center"/>
          </w:tcPr>
          <w:p w14:paraId="28AB3BF3" w14:textId="77777777" w:rsidR="00990B14" w:rsidRDefault="00000000">
            <w:pPr>
              <w:spacing w:before="20" w:after="20"/>
              <w:jc w:val="both"/>
            </w:pPr>
            <w:r>
              <w:rPr>
                <w:sz w:val="18"/>
                <w:szCs w:val="18"/>
              </w:rPr>
              <w:t>Independencia y objetividad</w:t>
            </w:r>
          </w:p>
        </w:tc>
        <w:tc>
          <w:tcPr>
            <w:tcW w:w="2015" w:type="dxa"/>
            <w:shd w:val="clear" w:color="auto" w:fill="D9E2F3"/>
            <w:vAlign w:val="center"/>
          </w:tcPr>
          <w:p w14:paraId="4C27AED8" w14:textId="77777777" w:rsidR="00990B14" w:rsidRDefault="00000000">
            <w:pPr>
              <w:spacing w:before="20" w:after="20"/>
              <w:jc w:val="both"/>
            </w:pPr>
            <w:r>
              <w:rPr>
                <w:sz w:val="18"/>
                <w:szCs w:val="18"/>
              </w:rPr>
              <w:t>No considera la independencia en los servicios.</w:t>
            </w:r>
          </w:p>
        </w:tc>
        <w:tc>
          <w:tcPr>
            <w:tcW w:w="2008" w:type="dxa"/>
            <w:shd w:val="clear" w:color="auto" w:fill="D9E2F3"/>
            <w:vAlign w:val="center"/>
          </w:tcPr>
          <w:p w14:paraId="296B7EF2" w14:textId="77777777" w:rsidR="00990B14" w:rsidRDefault="00000000">
            <w:pPr>
              <w:spacing w:before="20" w:after="20"/>
              <w:jc w:val="both"/>
            </w:pPr>
            <w:r>
              <w:rPr>
                <w:sz w:val="18"/>
                <w:szCs w:val="18"/>
              </w:rPr>
              <w:t>Explica el efecto de cada servicio en la independencia.</w:t>
            </w:r>
          </w:p>
        </w:tc>
        <w:tc>
          <w:tcPr>
            <w:tcW w:w="1877" w:type="dxa"/>
            <w:shd w:val="clear" w:color="auto" w:fill="D9E2F3"/>
            <w:vAlign w:val="center"/>
          </w:tcPr>
          <w:p w14:paraId="1BF1C1AA" w14:textId="77777777" w:rsidR="00990B14" w:rsidRDefault="00000000">
            <w:pPr>
              <w:spacing w:before="20" w:after="20"/>
              <w:jc w:val="both"/>
            </w:pPr>
            <w:r>
              <w:rPr>
                <w:sz w:val="18"/>
                <w:szCs w:val="18"/>
              </w:rPr>
              <w:t>Propone salvaguardas en los servicios de asesoramiento.</w:t>
            </w:r>
          </w:p>
        </w:tc>
      </w:tr>
      <w:tr w:rsidR="00990B14" w14:paraId="2AB6F32C" w14:textId="77777777">
        <w:trPr>
          <w:cantSplit/>
          <w:jc w:val="center"/>
        </w:trPr>
        <w:tc>
          <w:tcPr>
            <w:tcW w:w="1490" w:type="dxa"/>
            <w:vMerge/>
            <w:shd w:val="clear" w:color="auto" w:fill="4472C4"/>
            <w:vAlign w:val="center"/>
          </w:tcPr>
          <w:p w14:paraId="0EBEA829" w14:textId="77777777" w:rsidR="00990B14" w:rsidRDefault="00990B14">
            <w:pPr>
              <w:spacing w:before="20" w:after="20"/>
            </w:pPr>
          </w:p>
        </w:tc>
        <w:tc>
          <w:tcPr>
            <w:tcW w:w="2015" w:type="dxa"/>
            <w:shd w:val="clear" w:color="auto" w:fill="D9E2F3"/>
            <w:vAlign w:val="center"/>
          </w:tcPr>
          <w:p w14:paraId="4345EA1C" w14:textId="77777777" w:rsidR="00990B14" w:rsidRDefault="00000000">
            <w:pPr>
              <w:spacing w:before="20" w:after="20"/>
              <w:jc w:val="both"/>
            </w:pPr>
            <w:r>
              <w:rPr>
                <w:sz w:val="18"/>
                <w:szCs w:val="18"/>
              </w:rPr>
              <w:t>Presentación del esquema</w:t>
            </w:r>
          </w:p>
        </w:tc>
        <w:tc>
          <w:tcPr>
            <w:tcW w:w="2015" w:type="dxa"/>
            <w:shd w:val="clear" w:color="auto" w:fill="D9E2F3"/>
            <w:vAlign w:val="center"/>
          </w:tcPr>
          <w:p w14:paraId="6C331D5E" w14:textId="77777777" w:rsidR="00990B14" w:rsidRDefault="00000000">
            <w:pPr>
              <w:spacing w:before="20" w:after="20"/>
              <w:jc w:val="both"/>
            </w:pPr>
            <w:r>
              <w:rPr>
                <w:sz w:val="18"/>
                <w:szCs w:val="18"/>
              </w:rPr>
              <w:t>El esquema es desordenado o incompleto.</w:t>
            </w:r>
          </w:p>
        </w:tc>
        <w:tc>
          <w:tcPr>
            <w:tcW w:w="2008" w:type="dxa"/>
            <w:shd w:val="clear" w:color="auto" w:fill="D9E2F3"/>
            <w:vAlign w:val="center"/>
          </w:tcPr>
          <w:p w14:paraId="7FFAA03F" w14:textId="77777777" w:rsidR="00990B14" w:rsidRDefault="00000000">
            <w:pPr>
              <w:spacing w:before="20" w:after="20"/>
              <w:jc w:val="both"/>
            </w:pPr>
            <w:r>
              <w:rPr>
                <w:sz w:val="18"/>
                <w:szCs w:val="18"/>
              </w:rPr>
              <w:t>Presenta un esquema ordenado de las funciones de la Unidad.</w:t>
            </w:r>
          </w:p>
        </w:tc>
        <w:tc>
          <w:tcPr>
            <w:tcW w:w="1877" w:type="dxa"/>
            <w:shd w:val="clear" w:color="auto" w:fill="D9E2F3"/>
            <w:vAlign w:val="center"/>
          </w:tcPr>
          <w:p w14:paraId="4CE28FE4" w14:textId="77777777" w:rsidR="00990B14" w:rsidRDefault="00000000">
            <w:pPr>
              <w:spacing w:before="20" w:after="20"/>
              <w:jc w:val="both"/>
            </w:pPr>
            <w:r>
              <w:rPr>
                <w:sz w:val="18"/>
                <w:szCs w:val="18"/>
              </w:rPr>
              <w:t>Presenta un esquema claro con referencia a la normativa vigente.</w:t>
            </w:r>
          </w:p>
        </w:tc>
      </w:tr>
      <w:tr w:rsidR="00990B14" w14:paraId="6287D429" w14:textId="77777777">
        <w:trPr>
          <w:cantSplit/>
          <w:jc w:val="center"/>
        </w:trPr>
        <w:tc>
          <w:tcPr>
            <w:tcW w:w="1490" w:type="dxa"/>
            <w:vMerge/>
            <w:shd w:val="clear" w:color="auto" w:fill="4472C4"/>
            <w:vAlign w:val="center"/>
          </w:tcPr>
          <w:p w14:paraId="479BB48D" w14:textId="77777777" w:rsidR="00990B14" w:rsidRDefault="00990B14">
            <w:pPr>
              <w:spacing w:before="20" w:after="20"/>
            </w:pPr>
          </w:p>
        </w:tc>
        <w:tc>
          <w:tcPr>
            <w:tcW w:w="6038" w:type="dxa"/>
            <w:gridSpan w:val="3"/>
            <w:shd w:val="clear" w:color="auto" w:fill="D9E2F3"/>
            <w:vAlign w:val="center"/>
          </w:tcPr>
          <w:p w14:paraId="3B6A6FB2" w14:textId="77777777" w:rsidR="00990B14" w:rsidRDefault="00000000">
            <w:pPr>
              <w:keepNext/>
              <w:spacing w:before="20" w:after="20"/>
              <w:jc w:val="both"/>
            </w:pPr>
            <w:r>
              <w:rPr>
                <w:b/>
                <w:bCs/>
                <w:i/>
                <w:iCs/>
                <w:sz w:val="18"/>
                <w:szCs w:val="18"/>
              </w:rPr>
              <w:t xml:space="preserve">Producto 15: </w:t>
            </w:r>
            <w:r>
              <w:rPr>
                <w:sz w:val="18"/>
                <w:szCs w:val="18"/>
              </w:rPr>
              <w:t>Cuadro comparativo de las normas nacionales e internacionales de Auditoría Interna, sobre: independencia, objetividad y ética del auditor interno.</w:t>
            </w:r>
          </w:p>
        </w:tc>
        <w:tc>
          <w:tcPr>
            <w:tcW w:w="1877" w:type="dxa"/>
            <w:shd w:val="clear" w:color="auto" w:fill="D9E2F3"/>
            <w:vAlign w:val="center"/>
          </w:tcPr>
          <w:p w14:paraId="7D4BDDC5" w14:textId="77777777" w:rsidR="00990B14" w:rsidRDefault="00000000">
            <w:pPr>
              <w:spacing w:before="20" w:after="20"/>
              <w:jc w:val="center"/>
            </w:pPr>
            <w:r>
              <w:rPr>
                <w:b/>
                <w:bCs/>
                <w:sz w:val="18"/>
                <w:szCs w:val="18"/>
              </w:rPr>
              <w:t>2%</w:t>
            </w:r>
          </w:p>
        </w:tc>
      </w:tr>
      <w:tr w:rsidR="00990B14" w14:paraId="71AB9782" w14:textId="77777777">
        <w:trPr>
          <w:cantSplit/>
          <w:jc w:val="center"/>
        </w:trPr>
        <w:tc>
          <w:tcPr>
            <w:tcW w:w="1490" w:type="dxa"/>
            <w:vMerge/>
            <w:shd w:val="clear" w:color="auto" w:fill="4472C4"/>
            <w:vAlign w:val="center"/>
          </w:tcPr>
          <w:p w14:paraId="0FE32401" w14:textId="77777777" w:rsidR="00990B14" w:rsidRDefault="00990B14">
            <w:pPr>
              <w:spacing w:before="20" w:after="20"/>
            </w:pPr>
          </w:p>
        </w:tc>
        <w:tc>
          <w:tcPr>
            <w:tcW w:w="2015" w:type="dxa"/>
            <w:shd w:val="clear" w:color="auto" w:fill="4472C4"/>
            <w:vAlign w:val="center"/>
          </w:tcPr>
          <w:p w14:paraId="17E8FE8D"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607A25F0" w14:textId="77777777" w:rsidR="00990B14" w:rsidRDefault="00000000">
            <w:pPr>
              <w:keepNext/>
              <w:spacing w:before="20" w:after="20"/>
              <w:jc w:val="center"/>
            </w:pPr>
            <w:r>
              <w:rPr>
                <w:b/>
                <w:bCs/>
                <w:i/>
                <w:iCs/>
                <w:color w:val="FFFFFF"/>
                <w:sz w:val="18"/>
                <w:szCs w:val="18"/>
              </w:rPr>
              <w:t>Insuficiente (1–50)</w:t>
            </w:r>
          </w:p>
        </w:tc>
        <w:tc>
          <w:tcPr>
            <w:tcW w:w="2008" w:type="dxa"/>
            <w:shd w:val="clear" w:color="auto" w:fill="4472C4"/>
            <w:vAlign w:val="center"/>
          </w:tcPr>
          <w:p w14:paraId="490E434D"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4338B604" w14:textId="77777777" w:rsidR="00990B14" w:rsidRDefault="00000000">
            <w:pPr>
              <w:keepNext/>
              <w:spacing w:before="20" w:after="20"/>
              <w:jc w:val="center"/>
            </w:pPr>
            <w:r>
              <w:rPr>
                <w:b/>
                <w:bCs/>
                <w:i/>
                <w:iCs/>
                <w:color w:val="FFFFFF"/>
                <w:sz w:val="18"/>
                <w:szCs w:val="18"/>
              </w:rPr>
              <w:t>Destacado (81–100)</w:t>
            </w:r>
          </w:p>
        </w:tc>
      </w:tr>
      <w:tr w:rsidR="00990B14" w14:paraId="59F62CA1" w14:textId="77777777">
        <w:trPr>
          <w:cantSplit/>
          <w:jc w:val="center"/>
        </w:trPr>
        <w:tc>
          <w:tcPr>
            <w:tcW w:w="1490" w:type="dxa"/>
            <w:vMerge/>
            <w:shd w:val="clear" w:color="auto" w:fill="4472C4"/>
            <w:vAlign w:val="center"/>
          </w:tcPr>
          <w:p w14:paraId="5EE0512F" w14:textId="77777777" w:rsidR="00990B14" w:rsidRDefault="00990B14">
            <w:pPr>
              <w:spacing w:before="20" w:after="20"/>
            </w:pPr>
          </w:p>
        </w:tc>
        <w:tc>
          <w:tcPr>
            <w:tcW w:w="2015" w:type="dxa"/>
            <w:shd w:val="clear" w:color="auto" w:fill="D9E2F3"/>
            <w:vAlign w:val="center"/>
          </w:tcPr>
          <w:p w14:paraId="5E9754C2" w14:textId="77777777" w:rsidR="00990B14" w:rsidRDefault="00000000">
            <w:pPr>
              <w:spacing w:before="20" w:after="20"/>
              <w:jc w:val="both"/>
            </w:pPr>
            <w:r>
              <w:rPr>
                <w:sz w:val="18"/>
                <w:szCs w:val="18"/>
              </w:rPr>
              <w:t>Comparación</w:t>
            </w:r>
          </w:p>
        </w:tc>
        <w:tc>
          <w:tcPr>
            <w:tcW w:w="2015" w:type="dxa"/>
            <w:shd w:val="clear" w:color="auto" w:fill="D9E2F3"/>
            <w:vAlign w:val="center"/>
          </w:tcPr>
          <w:p w14:paraId="6E9B8AC3" w14:textId="77777777" w:rsidR="00990B14" w:rsidRDefault="00000000">
            <w:pPr>
              <w:spacing w:before="20" w:after="20"/>
              <w:jc w:val="both"/>
            </w:pPr>
            <w:r>
              <w:rPr>
                <w:sz w:val="18"/>
                <w:szCs w:val="18"/>
              </w:rPr>
              <w:t>No señala diferencias.</w:t>
            </w:r>
          </w:p>
        </w:tc>
        <w:tc>
          <w:tcPr>
            <w:tcW w:w="2008" w:type="dxa"/>
            <w:shd w:val="clear" w:color="auto" w:fill="D9E2F3"/>
            <w:vAlign w:val="center"/>
          </w:tcPr>
          <w:p w14:paraId="60275772" w14:textId="77777777" w:rsidR="00990B14" w:rsidRDefault="00000000">
            <w:pPr>
              <w:spacing w:before="20" w:after="20"/>
              <w:jc w:val="both"/>
            </w:pPr>
            <w:r>
              <w:rPr>
                <w:sz w:val="18"/>
                <w:szCs w:val="18"/>
              </w:rPr>
              <w:t>Identifica semejanzas y diferencias entre las normas.</w:t>
            </w:r>
          </w:p>
        </w:tc>
        <w:tc>
          <w:tcPr>
            <w:tcW w:w="1877" w:type="dxa"/>
            <w:shd w:val="clear" w:color="auto" w:fill="D9E2F3"/>
            <w:vAlign w:val="center"/>
          </w:tcPr>
          <w:p w14:paraId="60528CF3" w14:textId="77777777" w:rsidR="00990B14" w:rsidRDefault="00000000">
            <w:pPr>
              <w:spacing w:before="20" w:after="20"/>
              <w:jc w:val="both"/>
            </w:pPr>
            <w:r>
              <w:rPr>
                <w:sz w:val="18"/>
                <w:szCs w:val="18"/>
              </w:rPr>
              <w:t>Explica las causas de las diferencias y su efecto en la práctica.</w:t>
            </w:r>
          </w:p>
        </w:tc>
      </w:tr>
      <w:tr w:rsidR="00990B14" w14:paraId="5113E4F8" w14:textId="77777777">
        <w:trPr>
          <w:cantSplit/>
          <w:jc w:val="center"/>
        </w:trPr>
        <w:tc>
          <w:tcPr>
            <w:tcW w:w="1490" w:type="dxa"/>
            <w:vMerge/>
            <w:shd w:val="clear" w:color="auto" w:fill="4472C4"/>
            <w:vAlign w:val="center"/>
          </w:tcPr>
          <w:p w14:paraId="541AFAF9" w14:textId="77777777" w:rsidR="00990B14" w:rsidRDefault="00990B14">
            <w:pPr>
              <w:spacing w:before="20" w:after="20"/>
            </w:pPr>
          </w:p>
        </w:tc>
        <w:tc>
          <w:tcPr>
            <w:tcW w:w="2015" w:type="dxa"/>
            <w:shd w:val="clear" w:color="auto" w:fill="D9E2F3"/>
            <w:vAlign w:val="center"/>
          </w:tcPr>
          <w:p w14:paraId="2A1AFE2C" w14:textId="77777777" w:rsidR="00990B14" w:rsidRDefault="00000000">
            <w:pPr>
              <w:spacing w:before="20" w:after="20"/>
              <w:jc w:val="both"/>
            </w:pPr>
            <w:r>
              <w:rPr>
                <w:sz w:val="18"/>
                <w:szCs w:val="18"/>
              </w:rPr>
              <w:t>Uso de fuentes</w:t>
            </w:r>
          </w:p>
        </w:tc>
        <w:tc>
          <w:tcPr>
            <w:tcW w:w="2015" w:type="dxa"/>
            <w:shd w:val="clear" w:color="auto" w:fill="D9E2F3"/>
            <w:vAlign w:val="center"/>
          </w:tcPr>
          <w:p w14:paraId="68959E0C" w14:textId="77777777" w:rsidR="00990B14" w:rsidRDefault="00000000">
            <w:pPr>
              <w:spacing w:before="20" w:after="20"/>
              <w:jc w:val="both"/>
            </w:pPr>
            <w:r>
              <w:rPr>
                <w:sz w:val="18"/>
                <w:szCs w:val="18"/>
              </w:rPr>
              <w:t>No cita las fuentes.</w:t>
            </w:r>
          </w:p>
        </w:tc>
        <w:tc>
          <w:tcPr>
            <w:tcW w:w="2008" w:type="dxa"/>
            <w:shd w:val="clear" w:color="auto" w:fill="D9E2F3"/>
            <w:vAlign w:val="center"/>
          </w:tcPr>
          <w:p w14:paraId="4EDD17D0" w14:textId="77777777" w:rsidR="00990B14" w:rsidRDefault="00000000">
            <w:pPr>
              <w:spacing w:before="20" w:after="20"/>
              <w:jc w:val="both"/>
            </w:pPr>
            <w:r>
              <w:rPr>
                <w:sz w:val="18"/>
                <w:szCs w:val="18"/>
              </w:rPr>
              <w:t>Consulta las fuentes oficiales en línea.</w:t>
            </w:r>
          </w:p>
        </w:tc>
        <w:tc>
          <w:tcPr>
            <w:tcW w:w="1877" w:type="dxa"/>
            <w:shd w:val="clear" w:color="auto" w:fill="D9E2F3"/>
            <w:vAlign w:val="center"/>
          </w:tcPr>
          <w:p w14:paraId="12E75E28" w14:textId="77777777" w:rsidR="00990B14" w:rsidRDefault="00000000">
            <w:pPr>
              <w:spacing w:before="20" w:after="20"/>
              <w:jc w:val="both"/>
            </w:pPr>
            <w:r>
              <w:rPr>
                <w:sz w:val="18"/>
                <w:szCs w:val="18"/>
              </w:rPr>
              <w:t>Referencia cada norma a su fuente oficial vigente.</w:t>
            </w:r>
          </w:p>
        </w:tc>
      </w:tr>
      <w:tr w:rsidR="00990B14" w14:paraId="72C597BE" w14:textId="77777777">
        <w:trPr>
          <w:cantSplit/>
          <w:jc w:val="center"/>
        </w:trPr>
        <w:tc>
          <w:tcPr>
            <w:tcW w:w="1490" w:type="dxa"/>
            <w:vMerge/>
            <w:shd w:val="clear" w:color="auto" w:fill="4472C4"/>
            <w:vAlign w:val="center"/>
          </w:tcPr>
          <w:p w14:paraId="0343E007" w14:textId="77777777" w:rsidR="00990B14" w:rsidRDefault="00990B14">
            <w:pPr>
              <w:spacing w:before="20" w:after="20"/>
            </w:pPr>
          </w:p>
        </w:tc>
        <w:tc>
          <w:tcPr>
            <w:tcW w:w="2015" w:type="dxa"/>
            <w:shd w:val="clear" w:color="auto" w:fill="D9E2F3"/>
            <w:vAlign w:val="center"/>
          </w:tcPr>
          <w:p w14:paraId="5DF62F87" w14:textId="77777777" w:rsidR="00990B14" w:rsidRDefault="00000000">
            <w:pPr>
              <w:spacing w:before="20" w:after="20"/>
              <w:jc w:val="both"/>
            </w:pPr>
            <w:r>
              <w:rPr>
                <w:sz w:val="18"/>
                <w:szCs w:val="18"/>
              </w:rPr>
              <w:t>Presentación del cuadro</w:t>
            </w:r>
          </w:p>
        </w:tc>
        <w:tc>
          <w:tcPr>
            <w:tcW w:w="2015" w:type="dxa"/>
            <w:shd w:val="clear" w:color="auto" w:fill="D9E2F3"/>
            <w:vAlign w:val="center"/>
          </w:tcPr>
          <w:p w14:paraId="488A36B8" w14:textId="77777777" w:rsidR="00990B14" w:rsidRDefault="00000000">
            <w:pPr>
              <w:spacing w:before="20" w:after="20"/>
              <w:jc w:val="both"/>
            </w:pPr>
            <w:r>
              <w:rPr>
                <w:sz w:val="18"/>
                <w:szCs w:val="18"/>
              </w:rPr>
              <w:t>El cuadro es desordenado o incompleto.</w:t>
            </w:r>
          </w:p>
        </w:tc>
        <w:tc>
          <w:tcPr>
            <w:tcW w:w="2008" w:type="dxa"/>
            <w:shd w:val="clear" w:color="auto" w:fill="D9E2F3"/>
            <w:vAlign w:val="center"/>
          </w:tcPr>
          <w:p w14:paraId="7962182B" w14:textId="77777777" w:rsidR="00990B14" w:rsidRDefault="00000000">
            <w:pPr>
              <w:spacing w:before="20" w:after="20"/>
              <w:jc w:val="both"/>
            </w:pPr>
            <w:r>
              <w:rPr>
                <w:sz w:val="18"/>
                <w:szCs w:val="18"/>
              </w:rPr>
              <w:t>Presenta el cuadro ordenado con criterios de comparación definidos.</w:t>
            </w:r>
          </w:p>
        </w:tc>
        <w:tc>
          <w:tcPr>
            <w:tcW w:w="1877" w:type="dxa"/>
            <w:shd w:val="clear" w:color="auto" w:fill="D9E2F3"/>
            <w:vAlign w:val="center"/>
          </w:tcPr>
          <w:p w14:paraId="434615F8" w14:textId="77777777" w:rsidR="00990B14" w:rsidRDefault="00000000">
            <w:pPr>
              <w:spacing w:before="20" w:after="20"/>
              <w:jc w:val="both"/>
            </w:pPr>
            <w:r>
              <w:rPr>
                <w:sz w:val="18"/>
                <w:szCs w:val="18"/>
              </w:rPr>
              <w:t>Presenta el cuadro con criterios claros y conclusiones de la comparación.</w:t>
            </w:r>
          </w:p>
        </w:tc>
      </w:tr>
      <w:tr w:rsidR="00990B14" w14:paraId="2464E1A9" w14:textId="77777777">
        <w:trPr>
          <w:cantSplit/>
          <w:jc w:val="center"/>
        </w:trPr>
        <w:tc>
          <w:tcPr>
            <w:tcW w:w="1490" w:type="dxa"/>
            <w:vMerge/>
            <w:shd w:val="clear" w:color="auto" w:fill="4472C4"/>
            <w:vAlign w:val="center"/>
          </w:tcPr>
          <w:p w14:paraId="215B4D42" w14:textId="77777777" w:rsidR="00990B14" w:rsidRDefault="00990B14">
            <w:pPr>
              <w:spacing w:before="20" w:after="20"/>
            </w:pPr>
          </w:p>
        </w:tc>
        <w:tc>
          <w:tcPr>
            <w:tcW w:w="6038" w:type="dxa"/>
            <w:gridSpan w:val="3"/>
            <w:shd w:val="clear" w:color="auto" w:fill="D9E2F3"/>
            <w:vAlign w:val="center"/>
          </w:tcPr>
          <w:p w14:paraId="46AFB2EB" w14:textId="77777777" w:rsidR="00990B14" w:rsidRDefault="00000000">
            <w:pPr>
              <w:keepNext/>
              <w:spacing w:before="20" w:after="20"/>
              <w:jc w:val="both"/>
            </w:pPr>
            <w:r>
              <w:rPr>
                <w:b/>
                <w:bCs/>
                <w:i/>
                <w:iCs/>
                <w:sz w:val="18"/>
                <w:szCs w:val="18"/>
              </w:rPr>
              <w:t xml:space="preserve">Producto 16: </w:t>
            </w:r>
            <w:r>
              <w:rPr>
                <w:sz w:val="18"/>
                <w:szCs w:val="18"/>
              </w:rPr>
              <w:t>Informe sobre casos de dilemas sobre independencia, objetividad y ética del Auditor Interno.</w:t>
            </w:r>
          </w:p>
        </w:tc>
        <w:tc>
          <w:tcPr>
            <w:tcW w:w="1877" w:type="dxa"/>
            <w:shd w:val="clear" w:color="auto" w:fill="D9E2F3"/>
            <w:vAlign w:val="center"/>
          </w:tcPr>
          <w:p w14:paraId="5D6FC852" w14:textId="77777777" w:rsidR="00990B14" w:rsidRDefault="00000000">
            <w:pPr>
              <w:spacing w:before="20" w:after="20"/>
              <w:jc w:val="center"/>
            </w:pPr>
            <w:r>
              <w:rPr>
                <w:b/>
                <w:bCs/>
                <w:sz w:val="18"/>
                <w:szCs w:val="18"/>
              </w:rPr>
              <w:t>4%</w:t>
            </w:r>
          </w:p>
        </w:tc>
      </w:tr>
      <w:tr w:rsidR="00990B14" w14:paraId="0F9A4841" w14:textId="77777777">
        <w:trPr>
          <w:cantSplit/>
          <w:jc w:val="center"/>
        </w:trPr>
        <w:tc>
          <w:tcPr>
            <w:tcW w:w="1490" w:type="dxa"/>
            <w:vMerge/>
            <w:shd w:val="clear" w:color="auto" w:fill="4472C4"/>
            <w:vAlign w:val="center"/>
          </w:tcPr>
          <w:p w14:paraId="4D31CB23" w14:textId="77777777" w:rsidR="00990B14" w:rsidRDefault="00990B14">
            <w:pPr>
              <w:spacing w:before="20" w:after="20"/>
            </w:pPr>
          </w:p>
        </w:tc>
        <w:tc>
          <w:tcPr>
            <w:tcW w:w="2015" w:type="dxa"/>
            <w:shd w:val="clear" w:color="auto" w:fill="4472C4"/>
            <w:vAlign w:val="center"/>
          </w:tcPr>
          <w:p w14:paraId="0A4AE724"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7692195B" w14:textId="77777777" w:rsidR="00990B14" w:rsidRDefault="00000000">
            <w:pPr>
              <w:keepNext/>
              <w:spacing w:before="20" w:after="20"/>
              <w:jc w:val="center"/>
            </w:pPr>
            <w:r>
              <w:rPr>
                <w:b/>
                <w:bCs/>
                <w:i/>
                <w:iCs/>
                <w:color w:val="FFFFFF"/>
                <w:sz w:val="18"/>
                <w:szCs w:val="18"/>
              </w:rPr>
              <w:t>Insuficiente (1–50)</w:t>
            </w:r>
          </w:p>
        </w:tc>
        <w:tc>
          <w:tcPr>
            <w:tcW w:w="2008" w:type="dxa"/>
            <w:shd w:val="clear" w:color="auto" w:fill="4472C4"/>
            <w:vAlign w:val="center"/>
          </w:tcPr>
          <w:p w14:paraId="5DE3AA9F"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02158BA1" w14:textId="77777777" w:rsidR="00990B14" w:rsidRDefault="00000000">
            <w:pPr>
              <w:keepNext/>
              <w:spacing w:before="20" w:after="20"/>
              <w:jc w:val="center"/>
            </w:pPr>
            <w:r>
              <w:rPr>
                <w:b/>
                <w:bCs/>
                <w:i/>
                <w:iCs/>
                <w:color w:val="FFFFFF"/>
                <w:sz w:val="18"/>
                <w:szCs w:val="18"/>
              </w:rPr>
              <w:t>Destacado (81–100)</w:t>
            </w:r>
          </w:p>
        </w:tc>
      </w:tr>
      <w:tr w:rsidR="00990B14" w14:paraId="35EBC290" w14:textId="77777777">
        <w:trPr>
          <w:cantSplit/>
          <w:jc w:val="center"/>
        </w:trPr>
        <w:tc>
          <w:tcPr>
            <w:tcW w:w="1490" w:type="dxa"/>
            <w:vMerge/>
            <w:shd w:val="clear" w:color="auto" w:fill="4472C4"/>
            <w:vAlign w:val="center"/>
          </w:tcPr>
          <w:p w14:paraId="2CD291E6" w14:textId="77777777" w:rsidR="00990B14" w:rsidRDefault="00990B14">
            <w:pPr>
              <w:spacing w:before="20" w:after="20"/>
            </w:pPr>
          </w:p>
        </w:tc>
        <w:tc>
          <w:tcPr>
            <w:tcW w:w="2015" w:type="dxa"/>
            <w:shd w:val="clear" w:color="auto" w:fill="D9E2F3"/>
            <w:vAlign w:val="center"/>
          </w:tcPr>
          <w:p w14:paraId="2533FC73" w14:textId="77777777" w:rsidR="00990B14" w:rsidRDefault="00000000">
            <w:pPr>
              <w:spacing w:before="20" w:after="20"/>
              <w:jc w:val="both"/>
            </w:pPr>
            <w:r>
              <w:rPr>
                <w:sz w:val="18"/>
                <w:szCs w:val="18"/>
              </w:rPr>
              <w:t>Identificación del dilema</w:t>
            </w:r>
          </w:p>
        </w:tc>
        <w:tc>
          <w:tcPr>
            <w:tcW w:w="2015" w:type="dxa"/>
            <w:shd w:val="clear" w:color="auto" w:fill="D9E2F3"/>
            <w:vAlign w:val="center"/>
          </w:tcPr>
          <w:p w14:paraId="56687DBA" w14:textId="77777777" w:rsidR="00990B14" w:rsidRDefault="00000000">
            <w:pPr>
              <w:spacing w:before="20" w:after="20"/>
              <w:jc w:val="both"/>
            </w:pPr>
            <w:r>
              <w:rPr>
                <w:sz w:val="18"/>
                <w:szCs w:val="18"/>
              </w:rPr>
              <w:t>No identifica el principio comprometido.</w:t>
            </w:r>
          </w:p>
        </w:tc>
        <w:tc>
          <w:tcPr>
            <w:tcW w:w="2008" w:type="dxa"/>
            <w:shd w:val="clear" w:color="auto" w:fill="D9E2F3"/>
            <w:vAlign w:val="center"/>
          </w:tcPr>
          <w:p w14:paraId="01AC1A06" w14:textId="77777777" w:rsidR="00990B14" w:rsidRDefault="00000000">
            <w:pPr>
              <w:spacing w:before="20" w:after="20"/>
              <w:jc w:val="both"/>
            </w:pPr>
            <w:r>
              <w:rPr>
                <w:sz w:val="18"/>
                <w:szCs w:val="18"/>
              </w:rPr>
              <w:t>Identifica el principio comprometido en cada dilema.</w:t>
            </w:r>
          </w:p>
        </w:tc>
        <w:tc>
          <w:tcPr>
            <w:tcW w:w="1877" w:type="dxa"/>
            <w:shd w:val="clear" w:color="auto" w:fill="D9E2F3"/>
            <w:vAlign w:val="center"/>
          </w:tcPr>
          <w:p w14:paraId="426EF64D" w14:textId="77777777" w:rsidR="00990B14" w:rsidRDefault="00000000">
            <w:pPr>
              <w:spacing w:before="20" w:after="20"/>
              <w:jc w:val="both"/>
            </w:pPr>
            <w:r>
              <w:rPr>
                <w:sz w:val="18"/>
                <w:szCs w:val="18"/>
              </w:rPr>
              <w:t>Distingue la independencia organizacional de la objetividad individual.</w:t>
            </w:r>
          </w:p>
        </w:tc>
      </w:tr>
      <w:tr w:rsidR="00990B14" w14:paraId="0FD3B362" w14:textId="77777777">
        <w:trPr>
          <w:cantSplit/>
          <w:jc w:val="center"/>
        </w:trPr>
        <w:tc>
          <w:tcPr>
            <w:tcW w:w="1490" w:type="dxa"/>
            <w:vMerge/>
            <w:shd w:val="clear" w:color="auto" w:fill="4472C4"/>
            <w:vAlign w:val="center"/>
          </w:tcPr>
          <w:p w14:paraId="3093EFF2" w14:textId="77777777" w:rsidR="00990B14" w:rsidRDefault="00990B14">
            <w:pPr>
              <w:spacing w:before="20" w:after="20"/>
            </w:pPr>
          </w:p>
        </w:tc>
        <w:tc>
          <w:tcPr>
            <w:tcW w:w="2015" w:type="dxa"/>
            <w:shd w:val="clear" w:color="auto" w:fill="D9E2F3"/>
            <w:vAlign w:val="center"/>
          </w:tcPr>
          <w:p w14:paraId="3668E464" w14:textId="77777777" w:rsidR="00990B14" w:rsidRDefault="00000000">
            <w:pPr>
              <w:spacing w:before="20" w:after="20"/>
              <w:jc w:val="both"/>
            </w:pPr>
            <w:r>
              <w:rPr>
                <w:sz w:val="18"/>
                <w:szCs w:val="18"/>
              </w:rPr>
              <w:t>Argumentación ética</w:t>
            </w:r>
          </w:p>
        </w:tc>
        <w:tc>
          <w:tcPr>
            <w:tcW w:w="2015" w:type="dxa"/>
            <w:shd w:val="clear" w:color="auto" w:fill="D9E2F3"/>
            <w:vAlign w:val="center"/>
          </w:tcPr>
          <w:p w14:paraId="710EA31F" w14:textId="77777777" w:rsidR="00990B14" w:rsidRDefault="00000000">
            <w:pPr>
              <w:spacing w:before="20" w:after="20"/>
              <w:jc w:val="both"/>
            </w:pPr>
            <w:r>
              <w:rPr>
                <w:sz w:val="18"/>
                <w:szCs w:val="18"/>
              </w:rPr>
              <w:t>No fundamenta su decisión.</w:t>
            </w:r>
          </w:p>
        </w:tc>
        <w:tc>
          <w:tcPr>
            <w:tcW w:w="2008" w:type="dxa"/>
            <w:shd w:val="clear" w:color="auto" w:fill="D9E2F3"/>
            <w:vAlign w:val="center"/>
          </w:tcPr>
          <w:p w14:paraId="5994D173" w14:textId="77777777" w:rsidR="00990B14" w:rsidRDefault="00000000">
            <w:pPr>
              <w:spacing w:before="20" w:after="20"/>
              <w:jc w:val="both"/>
            </w:pPr>
            <w:r>
              <w:rPr>
                <w:sz w:val="18"/>
                <w:szCs w:val="18"/>
              </w:rPr>
              <w:t>Fundamenta su decisión con la norma aplicable.</w:t>
            </w:r>
          </w:p>
        </w:tc>
        <w:tc>
          <w:tcPr>
            <w:tcW w:w="1877" w:type="dxa"/>
            <w:shd w:val="clear" w:color="auto" w:fill="D9E2F3"/>
            <w:vAlign w:val="center"/>
          </w:tcPr>
          <w:p w14:paraId="3D3405EA" w14:textId="77777777" w:rsidR="00990B14" w:rsidRDefault="00000000">
            <w:pPr>
              <w:spacing w:before="20" w:after="20"/>
              <w:jc w:val="both"/>
            </w:pPr>
            <w:r>
              <w:rPr>
                <w:sz w:val="18"/>
                <w:szCs w:val="18"/>
              </w:rPr>
              <w:t>Considera el efecto en la confianza de la organización.</w:t>
            </w:r>
          </w:p>
        </w:tc>
      </w:tr>
      <w:tr w:rsidR="00990B14" w14:paraId="6FB4DEFB" w14:textId="77777777">
        <w:trPr>
          <w:cantSplit/>
          <w:jc w:val="center"/>
        </w:trPr>
        <w:tc>
          <w:tcPr>
            <w:tcW w:w="1490" w:type="dxa"/>
            <w:vMerge/>
            <w:shd w:val="clear" w:color="auto" w:fill="4472C4"/>
            <w:vAlign w:val="center"/>
          </w:tcPr>
          <w:p w14:paraId="4795741E" w14:textId="77777777" w:rsidR="00990B14" w:rsidRDefault="00990B14">
            <w:pPr>
              <w:spacing w:before="20" w:after="20"/>
            </w:pPr>
          </w:p>
        </w:tc>
        <w:tc>
          <w:tcPr>
            <w:tcW w:w="2015" w:type="dxa"/>
            <w:shd w:val="clear" w:color="auto" w:fill="D9E2F3"/>
            <w:vAlign w:val="center"/>
          </w:tcPr>
          <w:p w14:paraId="4B94819B" w14:textId="77777777" w:rsidR="00990B14" w:rsidRDefault="00000000">
            <w:pPr>
              <w:spacing w:before="20" w:after="20"/>
              <w:jc w:val="both"/>
            </w:pPr>
            <w:r>
              <w:rPr>
                <w:sz w:val="18"/>
                <w:szCs w:val="18"/>
              </w:rPr>
              <w:t>Presentación del informe</w:t>
            </w:r>
          </w:p>
        </w:tc>
        <w:tc>
          <w:tcPr>
            <w:tcW w:w="2015" w:type="dxa"/>
            <w:shd w:val="clear" w:color="auto" w:fill="D9E2F3"/>
            <w:vAlign w:val="center"/>
          </w:tcPr>
          <w:p w14:paraId="1B3D07EE" w14:textId="77777777" w:rsidR="00990B14" w:rsidRDefault="00000000">
            <w:pPr>
              <w:spacing w:before="20" w:after="20"/>
              <w:jc w:val="both"/>
            </w:pPr>
            <w:r>
              <w:rPr>
                <w:sz w:val="18"/>
                <w:szCs w:val="18"/>
              </w:rPr>
              <w:t>El informe es desordenado o incompleto.</w:t>
            </w:r>
          </w:p>
        </w:tc>
        <w:tc>
          <w:tcPr>
            <w:tcW w:w="2008" w:type="dxa"/>
            <w:shd w:val="clear" w:color="auto" w:fill="D9E2F3"/>
            <w:vAlign w:val="center"/>
          </w:tcPr>
          <w:p w14:paraId="0F65E92A" w14:textId="77777777" w:rsidR="00990B14" w:rsidRDefault="00000000">
            <w:pPr>
              <w:spacing w:before="20" w:after="20"/>
              <w:jc w:val="both"/>
            </w:pPr>
            <w:r>
              <w:rPr>
                <w:sz w:val="18"/>
                <w:szCs w:val="18"/>
              </w:rPr>
              <w:t>Presenta el informe ordenado con el análisis de cada caso.</w:t>
            </w:r>
          </w:p>
        </w:tc>
        <w:tc>
          <w:tcPr>
            <w:tcW w:w="1877" w:type="dxa"/>
            <w:shd w:val="clear" w:color="auto" w:fill="D9E2F3"/>
            <w:vAlign w:val="center"/>
          </w:tcPr>
          <w:p w14:paraId="53AEB078" w14:textId="77777777" w:rsidR="00990B14" w:rsidRDefault="00000000">
            <w:pPr>
              <w:spacing w:before="20" w:after="20"/>
              <w:jc w:val="both"/>
            </w:pPr>
            <w:r>
              <w:rPr>
                <w:sz w:val="18"/>
                <w:szCs w:val="18"/>
              </w:rPr>
              <w:t>Presenta un informe claro con conclusiones fundamentadas sobre cada dilema.</w:t>
            </w:r>
          </w:p>
        </w:tc>
      </w:tr>
      <w:tr w:rsidR="00990B14" w14:paraId="1E3E720A" w14:textId="77777777">
        <w:trPr>
          <w:cantSplit/>
          <w:jc w:val="center"/>
        </w:trPr>
        <w:tc>
          <w:tcPr>
            <w:tcW w:w="1490" w:type="dxa"/>
            <w:vMerge/>
            <w:shd w:val="clear" w:color="auto" w:fill="4472C4"/>
            <w:vAlign w:val="center"/>
          </w:tcPr>
          <w:p w14:paraId="08DB38E6" w14:textId="77777777" w:rsidR="00990B14" w:rsidRDefault="00990B14">
            <w:pPr>
              <w:spacing w:before="20" w:after="20"/>
            </w:pPr>
          </w:p>
        </w:tc>
        <w:tc>
          <w:tcPr>
            <w:tcW w:w="6038" w:type="dxa"/>
            <w:gridSpan w:val="3"/>
            <w:shd w:val="clear" w:color="auto" w:fill="D9E2F3"/>
            <w:vAlign w:val="center"/>
          </w:tcPr>
          <w:p w14:paraId="5D2290D1" w14:textId="77777777" w:rsidR="00990B14" w:rsidRDefault="00000000">
            <w:pPr>
              <w:keepNext/>
              <w:spacing w:before="20" w:after="20"/>
              <w:jc w:val="both"/>
            </w:pPr>
            <w:r>
              <w:rPr>
                <w:b/>
                <w:bCs/>
                <w:i/>
                <w:iCs/>
                <w:sz w:val="18"/>
                <w:szCs w:val="18"/>
              </w:rPr>
              <w:t xml:space="preserve">Producto 17: </w:t>
            </w:r>
            <w:r>
              <w:rPr>
                <w:sz w:val="18"/>
                <w:szCs w:val="18"/>
              </w:rPr>
              <w:t>Informe de relevamiento y valoración de riesgos, para una adecuada cobertura del control interno.</w:t>
            </w:r>
          </w:p>
        </w:tc>
        <w:tc>
          <w:tcPr>
            <w:tcW w:w="1877" w:type="dxa"/>
            <w:shd w:val="clear" w:color="auto" w:fill="D9E2F3"/>
            <w:vAlign w:val="center"/>
          </w:tcPr>
          <w:p w14:paraId="121A83C9" w14:textId="77777777" w:rsidR="00990B14" w:rsidRDefault="00000000">
            <w:pPr>
              <w:spacing w:before="20" w:after="20"/>
              <w:jc w:val="center"/>
            </w:pPr>
            <w:r>
              <w:rPr>
                <w:b/>
                <w:bCs/>
                <w:sz w:val="18"/>
                <w:szCs w:val="18"/>
              </w:rPr>
              <w:t>4%</w:t>
            </w:r>
          </w:p>
        </w:tc>
      </w:tr>
      <w:tr w:rsidR="00990B14" w14:paraId="0467EB0B" w14:textId="77777777">
        <w:trPr>
          <w:cantSplit/>
          <w:jc w:val="center"/>
        </w:trPr>
        <w:tc>
          <w:tcPr>
            <w:tcW w:w="1490" w:type="dxa"/>
            <w:vMerge/>
            <w:shd w:val="clear" w:color="auto" w:fill="4472C4"/>
            <w:vAlign w:val="center"/>
          </w:tcPr>
          <w:p w14:paraId="5CA9B010" w14:textId="77777777" w:rsidR="00990B14" w:rsidRDefault="00990B14">
            <w:pPr>
              <w:spacing w:before="20" w:after="20"/>
            </w:pPr>
          </w:p>
        </w:tc>
        <w:tc>
          <w:tcPr>
            <w:tcW w:w="2015" w:type="dxa"/>
            <w:shd w:val="clear" w:color="auto" w:fill="4472C4"/>
            <w:vAlign w:val="center"/>
          </w:tcPr>
          <w:p w14:paraId="74D44C1F"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0F793A33" w14:textId="77777777" w:rsidR="00990B14" w:rsidRDefault="00000000">
            <w:pPr>
              <w:keepNext/>
              <w:spacing w:before="20" w:after="20"/>
              <w:jc w:val="center"/>
            </w:pPr>
            <w:r>
              <w:rPr>
                <w:b/>
                <w:bCs/>
                <w:i/>
                <w:iCs/>
                <w:color w:val="FFFFFF"/>
                <w:sz w:val="18"/>
                <w:szCs w:val="18"/>
              </w:rPr>
              <w:t>Insuficiente (1–50)</w:t>
            </w:r>
          </w:p>
        </w:tc>
        <w:tc>
          <w:tcPr>
            <w:tcW w:w="2008" w:type="dxa"/>
            <w:shd w:val="clear" w:color="auto" w:fill="4472C4"/>
            <w:vAlign w:val="center"/>
          </w:tcPr>
          <w:p w14:paraId="38BA7099"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637E6EA7" w14:textId="77777777" w:rsidR="00990B14" w:rsidRDefault="00000000">
            <w:pPr>
              <w:keepNext/>
              <w:spacing w:before="20" w:after="20"/>
              <w:jc w:val="center"/>
            </w:pPr>
            <w:r>
              <w:rPr>
                <w:b/>
                <w:bCs/>
                <w:i/>
                <w:iCs/>
                <w:color w:val="FFFFFF"/>
                <w:sz w:val="18"/>
                <w:szCs w:val="18"/>
              </w:rPr>
              <w:t>Destacado (81–100)</w:t>
            </w:r>
          </w:p>
        </w:tc>
      </w:tr>
      <w:tr w:rsidR="00990B14" w14:paraId="3E032522" w14:textId="77777777">
        <w:trPr>
          <w:cantSplit/>
          <w:jc w:val="center"/>
        </w:trPr>
        <w:tc>
          <w:tcPr>
            <w:tcW w:w="1490" w:type="dxa"/>
            <w:vMerge/>
            <w:shd w:val="clear" w:color="auto" w:fill="4472C4"/>
            <w:vAlign w:val="center"/>
          </w:tcPr>
          <w:p w14:paraId="21B0A777" w14:textId="77777777" w:rsidR="00990B14" w:rsidRDefault="00990B14">
            <w:pPr>
              <w:spacing w:before="20" w:after="20"/>
            </w:pPr>
          </w:p>
        </w:tc>
        <w:tc>
          <w:tcPr>
            <w:tcW w:w="2015" w:type="dxa"/>
            <w:shd w:val="clear" w:color="auto" w:fill="D9E2F3"/>
            <w:vAlign w:val="center"/>
          </w:tcPr>
          <w:p w14:paraId="111548FD" w14:textId="77777777" w:rsidR="00990B14" w:rsidRDefault="00000000">
            <w:pPr>
              <w:spacing w:before="20" w:after="20"/>
              <w:jc w:val="both"/>
            </w:pPr>
            <w:r>
              <w:rPr>
                <w:sz w:val="18"/>
                <w:szCs w:val="18"/>
              </w:rPr>
              <w:t>Relevamiento de información</w:t>
            </w:r>
          </w:p>
        </w:tc>
        <w:tc>
          <w:tcPr>
            <w:tcW w:w="2015" w:type="dxa"/>
            <w:shd w:val="clear" w:color="auto" w:fill="D9E2F3"/>
            <w:vAlign w:val="center"/>
          </w:tcPr>
          <w:p w14:paraId="789DD3B2" w14:textId="77777777" w:rsidR="00990B14" w:rsidRDefault="00000000">
            <w:pPr>
              <w:spacing w:before="20" w:after="20"/>
              <w:jc w:val="both"/>
            </w:pPr>
            <w:r>
              <w:rPr>
                <w:sz w:val="18"/>
                <w:szCs w:val="18"/>
              </w:rPr>
              <w:t>Reúne información incompleta de la entidad.</w:t>
            </w:r>
          </w:p>
        </w:tc>
        <w:tc>
          <w:tcPr>
            <w:tcW w:w="2008" w:type="dxa"/>
            <w:shd w:val="clear" w:color="auto" w:fill="D9E2F3"/>
            <w:vAlign w:val="center"/>
          </w:tcPr>
          <w:p w14:paraId="59CF3FEF" w14:textId="77777777" w:rsidR="00990B14" w:rsidRDefault="00000000">
            <w:pPr>
              <w:spacing w:before="20" w:after="20"/>
              <w:jc w:val="both"/>
            </w:pPr>
            <w:r>
              <w:rPr>
                <w:sz w:val="18"/>
                <w:szCs w:val="18"/>
              </w:rPr>
              <w:t>Reúne información de la estructura, los procesos y los objetivos de la entidad.</w:t>
            </w:r>
          </w:p>
        </w:tc>
        <w:tc>
          <w:tcPr>
            <w:tcW w:w="1877" w:type="dxa"/>
            <w:shd w:val="clear" w:color="auto" w:fill="D9E2F3"/>
            <w:vAlign w:val="center"/>
          </w:tcPr>
          <w:p w14:paraId="7ED49FCB" w14:textId="77777777" w:rsidR="00990B14" w:rsidRDefault="00000000">
            <w:pPr>
              <w:spacing w:before="20" w:after="20"/>
              <w:jc w:val="both"/>
            </w:pPr>
            <w:r>
              <w:rPr>
                <w:sz w:val="18"/>
                <w:szCs w:val="18"/>
              </w:rPr>
              <w:t>Contrasta la información con fuentes públicas y documentales.</w:t>
            </w:r>
          </w:p>
        </w:tc>
      </w:tr>
      <w:tr w:rsidR="00990B14" w14:paraId="5CE8B9BE" w14:textId="77777777">
        <w:trPr>
          <w:cantSplit/>
          <w:jc w:val="center"/>
        </w:trPr>
        <w:tc>
          <w:tcPr>
            <w:tcW w:w="1490" w:type="dxa"/>
            <w:vMerge/>
            <w:shd w:val="clear" w:color="auto" w:fill="4472C4"/>
            <w:vAlign w:val="center"/>
          </w:tcPr>
          <w:p w14:paraId="19B462E5" w14:textId="77777777" w:rsidR="00990B14" w:rsidRDefault="00990B14">
            <w:pPr>
              <w:spacing w:before="20" w:after="20"/>
            </w:pPr>
          </w:p>
        </w:tc>
        <w:tc>
          <w:tcPr>
            <w:tcW w:w="2015" w:type="dxa"/>
            <w:shd w:val="clear" w:color="auto" w:fill="D9E2F3"/>
            <w:vAlign w:val="center"/>
          </w:tcPr>
          <w:p w14:paraId="3842A0FE" w14:textId="77777777" w:rsidR="00990B14" w:rsidRDefault="00000000">
            <w:pPr>
              <w:spacing w:before="20" w:after="20"/>
              <w:jc w:val="both"/>
            </w:pPr>
            <w:r>
              <w:rPr>
                <w:sz w:val="18"/>
                <w:szCs w:val="18"/>
              </w:rPr>
              <w:t>Valoración de riesgos</w:t>
            </w:r>
          </w:p>
        </w:tc>
        <w:tc>
          <w:tcPr>
            <w:tcW w:w="2015" w:type="dxa"/>
            <w:shd w:val="clear" w:color="auto" w:fill="D9E2F3"/>
            <w:vAlign w:val="center"/>
          </w:tcPr>
          <w:p w14:paraId="6F26F3C8" w14:textId="77777777" w:rsidR="00990B14" w:rsidRDefault="00000000">
            <w:pPr>
              <w:spacing w:before="20" w:after="20"/>
              <w:jc w:val="both"/>
            </w:pPr>
            <w:r>
              <w:rPr>
                <w:sz w:val="18"/>
                <w:szCs w:val="18"/>
              </w:rPr>
              <w:t>Identifica riesgos sin valorarlos.</w:t>
            </w:r>
          </w:p>
        </w:tc>
        <w:tc>
          <w:tcPr>
            <w:tcW w:w="2008" w:type="dxa"/>
            <w:shd w:val="clear" w:color="auto" w:fill="D9E2F3"/>
            <w:vAlign w:val="center"/>
          </w:tcPr>
          <w:p w14:paraId="446332BF" w14:textId="77777777" w:rsidR="00990B14" w:rsidRDefault="00000000">
            <w:pPr>
              <w:spacing w:before="20" w:after="20"/>
              <w:jc w:val="both"/>
            </w:pPr>
            <w:r>
              <w:rPr>
                <w:sz w:val="18"/>
                <w:szCs w:val="18"/>
              </w:rPr>
              <w:t>Valora los riesgos según su probabilidad e impacto.</w:t>
            </w:r>
          </w:p>
        </w:tc>
        <w:tc>
          <w:tcPr>
            <w:tcW w:w="1877" w:type="dxa"/>
            <w:shd w:val="clear" w:color="auto" w:fill="D9E2F3"/>
            <w:vAlign w:val="center"/>
          </w:tcPr>
          <w:p w14:paraId="2C9EA33A" w14:textId="77777777" w:rsidR="00990B14" w:rsidRDefault="00000000">
            <w:pPr>
              <w:spacing w:before="20" w:after="20"/>
              <w:jc w:val="both"/>
            </w:pPr>
            <w:r>
              <w:rPr>
                <w:sz w:val="18"/>
                <w:szCs w:val="18"/>
              </w:rPr>
              <w:t>Prioriza los riesgos con criterios de la entidad.</w:t>
            </w:r>
          </w:p>
        </w:tc>
      </w:tr>
      <w:tr w:rsidR="00990B14" w14:paraId="5E52772A" w14:textId="77777777">
        <w:trPr>
          <w:cantSplit/>
          <w:jc w:val="center"/>
        </w:trPr>
        <w:tc>
          <w:tcPr>
            <w:tcW w:w="1490" w:type="dxa"/>
            <w:vMerge/>
            <w:shd w:val="clear" w:color="auto" w:fill="4472C4"/>
            <w:vAlign w:val="center"/>
          </w:tcPr>
          <w:p w14:paraId="672A8769" w14:textId="77777777" w:rsidR="00990B14" w:rsidRDefault="00990B14">
            <w:pPr>
              <w:spacing w:before="20" w:after="20"/>
            </w:pPr>
          </w:p>
        </w:tc>
        <w:tc>
          <w:tcPr>
            <w:tcW w:w="2015" w:type="dxa"/>
            <w:shd w:val="clear" w:color="auto" w:fill="D9E2F3"/>
            <w:vAlign w:val="center"/>
          </w:tcPr>
          <w:p w14:paraId="6599BBBB" w14:textId="77777777" w:rsidR="00990B14" w:rsidRDefault="00000000">
            <w:pPr>
              <w:spacing w:before="20" w:after="20"/>
              <w:jc w:val="both"/>
            </w:pPr>
            <w:r>
              <w:rPr>
                <w:sz w:val="18"/>
                <w:szCs w:val="18"/>
              </w:rPr>
              <w:t>Cobertura del control interno</w:t>
            </w:r>
          </w:p>
        </w:tc>
        <w:tc>
          <w:tcPr>
            <w:tcW w:w="2015" w:type="dxa"/>
            <w:shd w:val="clear" w:color="auto" w:fill="D9E2F3"/>
            <w:vAlign w:val="center"/>
          </w:tcPr>
          <w:p w14:paraId="55C3E70C" w14:textId="77777777" w:rsidR="00990B14" w:rsidRDefault="00000000">
            <w:pPr>
              <w:spacing w:before="20" w:after="20"/>
              <w:jc w:val="both"/>
            </w:pPr>
            <w:r>
              <w:rPr>
                <w:sz w:val="18"/>
                <w:szCs w:val="18"/>
              </w:rPr>
              <w:t>No determina la cobertura del control interno.</w:t>
            </w:r>
          </w:p>
        </w:tc>
        <w:tc>
          <w:tcPr>
            <w:tcW w:w="2008" w:type="dxa"/>
            <w:shd w:val="clear" w:color="auto" w:fill="D9E2F3"/>
            <w:vAlign w:val="center"/>
          </w:tcPr>
          <w:p w14:paraId="5783A9B3" w14:textId="77777777" w:rsidR="00990B14" w:rsidRDefault="00000000">
            <w:pPr>
              <w:spacing w:before="20" w:after="20"/>
              <w:jc w:val="both"/>
            </w:pPr>
            <w:r>
              <w:rPr>
                <w:sz w:val="18"/>
                <w:szCs w:val="18"/>
              </w:rPr>
              <w:t>Determina la cobertura del control interno por área o proceso.</w:t>
            </w:r>
          </w:p>
        </w:tc>
        <w:tc>
          <w:tcPr>
            <w:tcW w:w="1877" w:type="dxa"/>
            <w:shd w:val="clear" w:color="auto" w:fill="D9E2F3"/>
            <w:vAlign w:val="center"/>
          </w:tcPr>
          <w:p w14:paraId="711218E8" w14:textId="77777777" w:rsidR="00990B14" w:rsidRDefault="00000000">
            <w:pPr>
              <w:spacing w:before="20" w:after="20"/>
              <w:jc w:val="both"/>
            </w:pPr>
            <w:r>
              <w:rPr>
                <w:sz w:val="18"/>
                <w:szCs w:val="18"/>
              </w:rPr>
              <w:t>Identifica las áreas sin cobertura que requieren auditoría.</w:t>
            </w:r>
          </w:p>
        </w:tc>
      </w:tr>
      <w:tr w:rsidR="00990B14" w14:paraId="68A618BC" w14:textId="77777777">
        <w:trPr>
          <w:cantSplit/>
          <w:jc w:val="center"/>
        </w:trPr>
        <w:tc>
          <w:tcPr>
            <w:tcW w:w="1490" w:type="dxa"/>
            <w:vMerge/>
            <w:shd w:val="clear" w:color="auto" w:fill="4472C4"/>
            <w:vAlign w:val="center"/>
          </w:tcPr>
          <w:p w14:paraId="1CB25BE7" w14:textId="77777777" w:rsidR="00990B14" w:rsidRDefault="00990B14">
            <w:pPr>
              <w:spacing w:before="20" w:after="20"/>
            </w:pPr>
          </w:p>
        </w:tc>
        <w:tc>
          <w:tcPr>
            <w:tcW w:w="6038" w:type="dxa"/>
            <w:gridSpan w:val="3"/>
            <w:shd w:val="clear" w:color="auto" w:fill="D9E2F3"/>
            <w:vAlign w:val="center"/>
          </w:tcPr>
          <w:p w14:paraId="017C7800" w14:textId="77777777" w:rsidR="00990B14" w:rsidRDefault="00000000">
            <w:pPr>
              <w:keepNext/>
              <w:spacing w:before="20" w:after="20"/>
              <w:jc w:val="both"/>
            </w:pPr>
            <w:r>
              <w:rPr>
                <w:b/>
                <w:bCs/>
                <w:i/>
                <w:iCs/>
                <w:sz w:val="18"/>
                <w:szCs w:val="18"/>
              </w:rPr>
              <w:t xml:space="preserve">Producto 18: </w:t>
            </w:r>
            <w:r>
              <w:rPr>
                <w:sz w:val="18"/>
                <w:szCs w:val="18"/>
              </w:rPr>
              <w:t>Documento del Plan Estratégico de la Unidad de Auditoría Interna.</w:t>
            </w:r>
          </w:p>
        </w:tc>
        <w:tc>
          <w:tcPr>
            <w:tcW w:w="1877" w:type="dxa"/>
            <w:shd w:val="clear" w:color="auto" w:fill="D9E2F3"/>
            <w:vAlign w:val="center"/>
          </w:tcPr>
          <w:p w14:paraId="1F144BA1" w14:textId="77777777" w:rsidR="00990B14" w:rsidRDefault="00000000">
            <w:pPr>
              <w:spacing w:before="20" w:after="20"/>
              <w:jc w:val="center"/>
            </w:pPr>
            <w:r>
              <w:rPr>
                <w:b/>
                <w:bCs/>
                <w:sz w:val="18"/>
                <w:szCs w:val="18"/>
              </w:rPr>
              <w:t>10%</w:t>
            </w:r>
          </w:p>
        </w:tc>
      </w:tr>
      <w:tr w:rsidR="00990B14" w14:paraId="73A5E815" w14:textId="77777777">
        <w:trPr>
          <w:cantSplit/>
          <w:jc w:val="center"/>
        </w:trPr>
        <w:tc>
          <w:tcPr>
            <w:tcW w:w="1490" w:type="dxa"/>
            <w:vMerge/>
            <w:shd w:val="clear" w:color="auto" w:fill="4472C4"/>
            <w:vAlign w:val="center"/>
          </w:tcPr>
          <w:p w14:paraId="470FC0F2" w14:textId="77777777" w:rsidR="00990B14" w:rsidRDefault="00990B14">
            <w:pPr>
              <w:spacing w:before="20" w:after="20"/>
            </w:pPr>
          </w:p>
        </w:tc>
        <w:tc>
          <w:tcPr>
            <w:tcW w:w="2015" w:type="dxa"/>
            <w:shd w:val="clear" w:color="auto" w:fill="4472C4"/>
            <w:vAlign w:val="center"/>
          </w:tcPr>
          <w:p w14:paraId="4269E193"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72FFA030" w14:textId="77777777" w:rsidR="00990B14" w:rsidRDefault="00000000">
            <w:pPr>
              <w:keepNext/>
              <w:spacing w:before="20" w:after="20"/>
              <w:jc w:val="center"/>
            </w:pPr>
            <w:r>
              <w:rPr>
                <w:b/>
                <w:bCs/>
                <w:i/>
                <w:iCs/>
                <w:color w:val="FFFFFF"/>
                <w:sz w:val="18"/>
                <w:szCs w:val="18"/>
              </w:rPr>
              <w:t>Insuficiente (1–50)</w:t>
            </w:r>
          </w:p>
        </w:tc>
        <w:tc>
          <w:tcPr>
            <w:tcW w:w="2008" w:type="dxa"/>
            <w:shd w:val="clear" w:color="auto" w:fill="4472C4"/>
            <w:vAlign w:val="center"/>
          </w:tcPr>
          <w:p w14:paraId="53B13ED5"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51C452B6" w14:textId="77777777" w:rsidR="00990B14" w:rsidRDefault="00000000">
            <w:pPr>
              <w:keepNext/>
              <w:spacing w:before="20" w:after="20"/>
              <w:jc w:val="center"/>
            </w:pPr>
            <w:r>
              <w:rPr>
                <w:b/>
                <w:bCs/>
                <w:i/>
                <w:iCs/>
                <w:color w:val="FFFFFF"/>
                <w:sz w:val="18"/>
                <w:szCs w:val="18"/>
              </w:rPr>
              <w:t>Destacado (81–100)</w:t>
            </w:r>
          </w:p>
        </w:tc>
      </w:tr>
      <w:tr w:rsidR="00990B14" w14:paraId="0F0104AF" w14:textId="77777777">
        <w:trPr>
          <w:cantSplit/>
          <w:jc w:val="center"/>
        </w:trPr>
        <w:tc>
          <w:tcPr>
            <w:tcW w:w="1490" w:type="dxa"/>
            <w:vMerge/>
            <w:shd w:val="clear" w:color="auto" w:fill="4472C4"/>
            <w:vAlign w:val="center"/>
          </w:tcPr>
          <w:p w14:paraId="3EC550E9" w14:textId="77777777" w:rsidR="00990B14" w:rsidRDefault="00990B14">
            <w:pPr>
              <w:spacing w:before="20" w:after="20"/>
            </w:pPr>
          </w:p>
        </w:tc>
        <w:tc>
          <w:tcPr>
            <w:tcW w:w="2015" w:type="dxa"/>
            <w:shd w:val="clear" w:color="auto" w:fill="D9E2F3"/>
            <w:vAlign w:val="center"/>
          </w:tcPr>
          <w:p w14:paraId="32BDC80C" w14:textId="77777777" w:rsidR="00990B14" w:rsidRDefault="00000000">
            <w:pPr>
              <w:spacing w:before="20" w:after="20"/>
              <w:jc w:val="both"/>
            </w:pPr>
            <w:r>
              <w:rPr>
                <w:sz w:val="18"/>
                <w:szCs w:val="18"/>
              </w:rPr>
              <w:t>Coherencia estratégica</w:t>
            </w:r>
          </w:p>
        </w:tc>
        <w:tc>
          <w:tcPr>
            <w:tcW w:w="2015" w:type="dxa"/>
            <w:shd w:val="clear" w:color="auto" w:fill="D9E2F3"/>
            <w:vAlign w:val="center"/>
          </w:tcPr>
          <w:p w14:paraId="35B04030" w14:textId="77777777" w:rsidR="00990B14" w:rsidRDefault="00000000">
            <w:pPr>
              <w:spacing w:before="20" w:after="20"/>
              <w:jc w:val="both"/>
            </w:pPr>
            <w:r>
              <w:rPr>
                <w:sz w:val="18"/>
                <w:szCs w:val="18"/>
              </w:rPr>
              <w:t>Los objetivos no responden a los de la entidad.</w:t>
            </w:r>
          </w:p>
        </w:tc>
        <w:tc>
          <w:tcPr>
            <w:tcW w:w="2008" w:type="dxa"/>
            <w:shd w:val="clear" w:color="auto" w:fill="D9E2F3"/>
            <w:vAlign w:val="center"/>
          </w:tcPr>
          <w:p w14:paraId="459B4462" w14:textId="77777777" w:rsidR="00990B14" w:rsidRDefault="00000000">
            <w:pPr>
              <w:spacing w:before="20" w:after="20"/>
              <w:jc w:val="both"/>
            </w:pPr>
            <w:r>
              <w:rPr>
                <w:sz w:val="18"/>
                <w:szCs w:val="18"/>
              </w:rPr>
              <w:t>Alinea los objetivos de la Unidad con los de la entidad.</w:t>
            </w:r>
          </w:p>
        </w:tc>
        <w:tc>
          <w:tcPr>
            <w:tcW w:w="1877" w:type="dxa"/>
            <w:shd w:val="clear" w:color="auto" w:fill="D9E2F3"/>
            <w:vAlign w:val="center"/>
          </w:tcPr>
          <w:p w14:paraId="709B405C" w14:textId="77777777" w:rsidR="00990B14" w:rsidRDefault="00000000">
            <w:pPr>
              <w:spacing w:before="20" w:after="20"/>
              <w:jc w:val="both"/>
            </w:pPr>
            <w:r>
              <w:rPr>
                <w:sz w:val="18"/>
                <w:szCs w:val="18"/>
              </w:rPr>
              <w:t>Vincula los objetivos con los riesgos prioritarios.</w:t>
            </w:r>
          </w:p>
        </w:tc>
      </w:tr>
      <w:tr w:rsidR="00990B14" w14:paraId="07F17154" w14:textId="77777777">
        <w:trPr>
          <w:cantSplit/>
          <w:jc w:val="center"/>
        </w:trPr>
        <w:tc>
          <w:tcPr>
            <w:tcW w:w="1490" w:type="dxa"/>
            <w:vMerge/>
            <w:shd w:val="clear" w:color="auto" w:fill="4472C4"/>
            <w:vAlign w:val="center"/>
          </w:tcPr>
          <w:p w14:paraId="351D5969" w14:textId="77777777" w:rsidR="00990B14" w:rsidRDefault="00990B14">
            <w:pPr>
              <w:spacing w:before="20" w:after="20"/>
            </w:pPr>
          </w:p>
        </w:tc>
        <w:tc>
          <w:tcPr>
            <w:tcW w:w="2015" w:type="dxa"/>
            <w:shd w:val="clear" w:color="auto" w:fill="D9E2F3"/>
            <w:vAlign w:val="center"/>
          </w:tcPr>
          <w:p w14:paraId="41FBCE96" w14:textId="77777777" w:rsidR="00990B14" w:rsidRDefault="00000000">
            <w:pPr>
              <w:spacing w:before="20" w:after="20"/>
              <w:jc w:val="both"/>
            </w:pPr>
            <w:r>
              <w:rPr>
                <w:sz w:val="18"/>
                <w:szCs w:val="18"/>
              </w:rPr>
              <w:t>Estrategias y prioridades</w:t>
            </w:r>
          </w:p>
        </w:tc>
        <w:tc>
          <w:tcPr>
            <w:tcW w:w="2015" w:type="dxa"/>
            <w:shd w:val="clear" w:color="auto" w:fill="D9E2F3"/>
            <w:vAlign w:val="center"/>
          </w:tcPr>
          <w:p w14:paraId="7431283B" w14:textId="77777777" w:rsidR="00990B14" w:rsidRDefault="00000000">
            <w:pPr>
              <w:spacing w:before="20" w:after="20"/>
              <w:jc w:val="both"/>
            </w:pPr>
            <w:r>
              <w:rPr>
                <w:sz w:val="18"/>
                <w:szCs w:val="18"/>
              </w:rPr>
              <w:t>Define estrategias sin prioridades.</w:t>
            </w:r>
          </w:p>
        </w:tc>
        <w:tc>
          <w:tcPr>
            <w:tcW w:w="2008" w:type="dxa"/>
            <w:shd w:val="clear" w:color="auto" w:fill="D9E2F3"/>
            <w:vAlign w:val="center"/>
          </w:tcPr>
          <w:p w14:paraId="1CE1542D" w14:textId="77777777" w:rsidR="00990B14" w:rsidRDefault="00000000">
            <w:pPr>
              <w:spacing w:before="20" w:after="20"/>
              <w:jc w:val="both"/>
            </w:pPr>
            <w:r>
              <w:rPr>
                <w:sz w:val="18"/>
                <w:szCs w:val="18"/>
              </w:rPr>
              <w:t>Define estrategias y prioridades según el riesgo.</w:t>
            </w:r>
          </w:p>
        </w:tc>
        <w:tc>
          <w:tcPr>
            <w:tcW w:w="1877" w:type="dxa"/>
            <w:shd w:val="clear" w:color="auto" w:fill="D9E2F3"/>
            <w:vAlign w:val="center"/>
          </w:tcPr>
          <w:p w14:paraId="0B66F5D4" w14:textId="77777777" w:rsidR="00990B14" w:rsidRDefault="00000000">
            <w:pPr>
              <w:spacing w:before="20" w:after="20"/>
              <w:jc w:val="both"/>
            </w:pPr>
            <w:r>
              <w:rPr>
                <w:sz w:val="18"/>
                <w:szCs w:val="18"/>
              </w:rPr>
              <w:t>Establece indicadores de logro de cada objetivo.</w:t>
            </w:r>
          </w:p>
        </w:tc>
      </w:tr>
      <w:tr w:rsidR="00990B14" w14:paraId="45E65BE2" w14:textId="77777777">
        <w:trPr>
          <w:cantSplit/>
          <w:jc w:val="center"/>
        </w:trPr>
        <w:tc>
          <w:tcPr>
            <w:tcW w:w="1490" w:type="dxa"/>
            <w:vMerge/>
            <w:shd w:val="clear" w:color="auto" w:fill="4472C4"/>
            <w:vAlign w:val="center"/>
          </w:tcPr>
          <w:p w14:paraId="5495568A" w14:textId="77777777" w:rsidR="00990B14" w:rsidRDefault="00990B14">
            <w:pPr>
              <w:spacing w:before="20" w:after="20"/>
            </w:pPr>
          </w:p>
        </w:tc>
        <w:tc>
          <w:tcPr>
            <w:tcW w:w="2015" w:type="dxa"/>
            <w:shd w:val="clear" w:color="auto" w:fill="D9E2F3"/>
            <w:vAlign w:val="center"/>
          </w:tcPr>
          <w:p w14:paraId="0025E0BA" w14:textId="77777777" w:rsidR="00990B14" w:rsidRDefault="00000000">
            <w:pPr>
              <w:spacing w:before="20" w:after="20"/>
              <w:jc w:val="both"/>
            </w:pPr>
            <w:r>
              <w:rPr>
                <w:sz w:val="18"/>
                <w:szCs w:val="18"/>
              </w:rPr>
              <w:t>Presentación del documento</w:t>
            </w:r>
          </w:p>
        </w:tc>
        <w:tc>
          <w:tcPr>
            <w:tcW w:w="2015" w:type="dxa"/>
            <w:shd w:val="clear" w:color="auto" w:fill="D9E2F3"/>
            <w:vAlign w:val="center"/>
          </w:tcPr>
          <w:p w14:paraId="482AE4F6" w14:textId="77777777" w:rsidR="00990B14" w:rsidRDefault="00000000">
            <w:pPr>
              <w:spacing w:before="20" w:after="20"/>
              <w:jc w:val="both"/>
            </w:pPr>
            <w:r>
              <w:rPr>
                <w:sz w:val="18"/>
                <w:szCs w:val="18"/>
              </w:rPr>
              <w:t>El documento omite componentes del plan.</w:t>
            </w:r>
          </w:p>
        </w:tc>
        <w:tc>
          <w:tcPr>
            <w:tcW w:w="2008" w:type="dxa"/>
            <w:shd w:val="clear" w:color="auto" w:fill="D9E2F3"/>
            <w:vAlign w:val="center"/>
          </w:tcPr>
          <w:p w14:paraId="309E7D59" w14:textId="77777777" w:rsidR="00990B14" w:rsidRDefault="00000000">
            <w:pPr>
              <w:spacing w:before="20" w:after="20"/>
              <w:jc w:val="both"/>
            </w:pPr>
            <w:r>
              <w:rPr>
                <w:sz w:val="18"/>
                <w:szCs w:val="18"/>
              </w:rPr>
              <w:t>Presenta el plan con misión, visión, objetivos y estrategias.</w:t>
            </w:r>
          </w:p>
        </w:tc>
        <w:tc>
          <w:tcPr>
            <w:tcW w:w="1877" w:type="dxa"/>
            <w:shd w:val="clear" w:color="auto" w:fill="D9E2F3"/>
            <w:vAlign w:val="center"/>
          </w:tcPr>
          <w:p w14:paraId="4B3B883D" w14:textId="77777777" w:rsidR="00990B14" w:rsidRDefault="00000000">
            <w:pPr>
              <w:spacing w:before="20" w:after="20"/>
              <w:jc w:val="both"/>
            </w:pPr>
            <w:r>
              <w:rPr>
                <w:sz w:val="18"/>
                <w:szCs w:val="18"/>
              </w:rPr>
              <w:t>Presenta un plan completo, claro y alineado con la normativa vigente.</w:t>
            </w:r>
          </w:p>
        </w:tc>
      </w:tr>
      <w:tr w:rsidR="00990B14" w14:paraId="25A601E3" w14:textId="77777777">
        <w:trPr>
          <w:cantSplit/>
          <w:jc w:val="center"/>
        </w:trPr>
        <w:tc>
          <w:tcPr>
            <w:tcW w:w="1490" w:type="dxa"/>
            <w:vMerge/>
            <w:shd w:val="clear" w:color="auto" w:fill="4472C4"/>
            <w:vAlign w:val="center"/>
          </w:tcPr>
          <w:p w14:paraId="315FD122" w14:textId="77777777" w:rsidR="00990B14" w:rsidRDefault="00990B14">
            <w:pPr>
              <w:spacing w:before="20" w:after="20"/>
            </w:pPr>
          </w:p>
        </w:tc>
        <w:tc>
          <w:tcPr>
            <w:tcW w:w="6038" w:type="dxa"/>
            <w:gridSpan w:val="3"/>
            <w:shd w:val="clear" w:color="auto" w:fill="D9E2F3"/>
            <w:vAlign w:val="center"/>
          </w:tcPr>
          <w:p w14:paraId="43E6CBA2" w14:textId="77777777" w:rsidR="00990B14" w:rsidRDefault="00000000">
            <w:pPr>
              <w:keepNext/>
              <w:spacing w:before="20" w:after="20"/>
              <w:jc w:val="both"/>
            </w:pPr>
            <w:r>
              <w:rPr>
                <w:b/>
                <w:bCs/>
                <w:i/>
                <w:iCs/>
                <w:sz w:val="18"/>
                <w:szCs w:val="18"/>
              </w:rPr>
              <w:t xml:space="preserve">Producto 19: </w:t>
            </w:r>
            <w:r>
              <w:rPr>
                <w:sz w:val="18"/>
                <w:szCs w:val="18"/>
              </w:rPr>
              <w:t>Cuadro de selección y priorización de trabajos de auditoría, bajo criterios de nivel de riesgo.</w:t>
            </w:r>
          </w:p>
        </w:tc>
        <w:tc>
          <w:tcPr>
            <w:tcW w:w="1877" w:type="dxa"/>
            <w:shd w:val="clear" w:color="auto" w:fill="D9E2F3"/>
            <w:vAlign w:val="center"/>
          </w:tcPr>
          <w:p w14:paraId="081EEE3B" w14:textId="77777777" w:rsidR="00990B14" w:rsidRDefault="00000000">
            <w:pPr>
              <w:spacing w:before="20" w:after="20"/>
              <w:jc w:val="center"/>
            </w:pPr>
            <w:r>
              <w:rPr>
                <w:b/>
                <w:bCs/>
                <w:sz w:val="18"/>
                <w:szCs w:val="18"/>
              </w:rPr>
              <w:t>2%</w:t>
            </w:r>
          </w:p>
        </w:tc>
      </w:tr>
      <w:tr w:rsidR="00990B14" w14:paraId="2579D16A" w14:textId="77777777">
        <w:trPr>
          <w:cantSplit/>
          <w:jc w:val="center"/>
        </w:trPr>
        <w:tc>
          <w:tcPr>
            <w:tcW w:w="1490" w:type="dxa"/>
            <w:vMerge/>
            <w:shd w:val="clear" w:color="auto" w:fill="4472C4"/>
            <w:vAlign w:val="center"/>
          </w:tcPr>
          <w:p w14:paraId="6CA31AA2" w14:textId="77777777" w:rsidR="00990B14" w:rsidRDefault="00990B14">
            <w:pPr>
              <w:spacing w:before="20" w:after="20"/>
            </w:pPr>
          </w:p>
        </w:tc>
        <w:tc>
          <w:tcPr>
            <w:tcW w:w="2015" w:type="dxa"/>
            <w:shd w:val="clear" w:color="auto" w:fill="4472C4"/>
            <w:vAlign w:val="center"/>
          </w:tcPr>
          <w:p w14:paraId="4841A965"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1A0C5AF0" w14:textId="77777777" w:rsidR="00990B14" w:rsidRDefault="00000000">
            <w:pPr>
              <w:keepNext/>
              <w:spacing w:before="20" w:after="20"/>
              <w:jc w:val="center"/>
            </w:pPr>
            <w:r>
              <w:rPr>
                <w:b/>
                <w:bCs/>
                <w:i/>
                <w:iCs/>
                <w:color w:val="FFFFFF"/>
                <w:sz w:val="18"/>
                <w:szCs w:val="18"/>
              </w:rPr>
              <w:t>Insuficiente (1–50)</w:t>
            </w:r>
          </w:p>
        </w:tc>
        <w:tc>
          <w:tcPr>
            <w:tcW w:w="2008" w:type="dxa"/>
            <w:shd w:val="clear" w:color="auto" w:fill="4472C4"/>
            <w:vAlign w:val="center"/>
          </w:tcPr>
          <w:p w14:paraId="67097B75"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71D22246" w14:textId="77777777" w:rsidR="00990B14" w:rsidRDefault="00000000">
            <w:pPr>
              <w:keepNext/>
              <w:spacing w:before="20" w:after="20"/>
              <w:jc w:val="center"/>
            </w:pPr>
            <w:r>
              <w:rPr>
                <w:b/>
                <w:bCs/>
                <w:i/>
                <w:iCs/>
                <w:color w:val="FFFFFF"/>
                <w:sz w:val="18"/>
                <w:szCs w:val="18"/>
              </w:rPr>
              <w:t>Destacado (81–100)</w:t>
            </w:r>
          </w:p>
        </w:tc>
      </w:tr>
      <w:tr w:rsidR="00990B14" w14:paraId="0ECEB48F" w14:textId="77777777">
        <w:trPr>
          <w:cantSplit/>
          <w:jc w:val="center"/>
        </w:trPr>
        <w:tc>
          <w:tcPr>
            <w:tcW w:w="1490" w:type="dxa"/>
            <w:vMerge/>
            <w:shd w:val="clear" w:color="auto" w:fill="4472C4"/>
            <w:vAlign w:val="center"/>
          </w:tcPr>
          <w:p w14:paraId="4D639E42" w14:textId="77777777" w:rsidR="00990B14" w:rsidRDefault="00990B14">
            <w:pPr>
              <w:spacing w:before="20" w:after="20"/>
            </w:pPr>
          </w:p>
        </w:tc>
        <w:tc>
          <w:tcPr>
            <w:tcW w:w="2015" w:type="dxa"/>
            <w:shd w:val="clear" w:color="auto" w:fill="D9E2F3"/>
            <w:vAlign w:val="center"/>
          </w:tcPr>
          <w:p w14:paraId="01BB2026" w14:textId="77777777" w:rsidR="00990B14" w:rsidRDefault="00000000">
            <w:pPr>
              <w:spacing w:before="20" w:after="20"/>
              <w:jc w:val="both"/>
            </w:pPr>
            <w:r>
              <w:rPr>
                <w:sz w:val="18"/>
                <w:szCs w:val="18"/>
              </w:rPr>
              <w:t>Criterios de priorización</w:t>
            </w:r>
          </w:p>
        </w:tc>
        <w:tc>
          <w:tcPr>
            <w:tcW w:w="2015" w:type="dxa"/>
            <w:shd w:val="clear" w:color="auto" w:fill="D9E2F3"/>
            <w:vAlign w:val="center"/>
          </w:tcPr>
          <w:p w14:paraId="02CD00F0" w14:textId="77777777" w:rsidR="00990B14" w:rsidRDefault="00000000">
            <w:pPr>
              <w:spacing w:before="20" w:after="20"/>
              <w:jc w:val="both"/>
            </w:pPr>
            <w:r>
              <w:rPr>
                <w:sz w:val="18"/>
                <w:szCs w:val="18"/>
              </w:rPr>
              <w:t>No define criterios de selección.</w:t>
            </w:r>
          </w:p>
        </w:tc>
        <w:tc>
          <w:tcPr>
            <w:tcW w:w="2008" w:type="dxa"/>
            <w:shd w:val="clear" w:color="auto" w:fill="D9E2F3"/>
            <w:vAlign w:val="center"/>
          </w:tcPr>
          <w:p w14:paraId="0DA9B456" w14:textId="77777777" w:rsidR="00990B14" w:rsidRDefault="00000000">
            <w:pPr>
              <w:spacing w:before="20" w:after="20"/>
              <w:jc w:val="both"/>
            </w:pPr>
            <w:r>
              <w:rPr>
                <w:sz w:val="18"/>
                <w:szCs w:val="18"/>
              </w:rPr>
              <w:t>Define criterios basados en el nivel de riesgo.</w:t>
            </w:r>
          </w:p>
        </w:tc>
        <w:tc>
          <w:tcPr>
            <w:tcW w:w="1877" w:type="dxa"/>
            <w:shd w:val="clear" w:color="auto" w:fill="D9E2F3"/>
            <w:vAlign w:val="center"/>
          </w:tcPr>
          <w:p w14:paraId="4277F3BF" w14:textId="77777777" w:rsidR="00990B14" w:rsidRDefault="00000000">
            <w:pPr>
              <w:spacing w:before="20" w:after="20"/>
              <w:jc w:val="both"/>
            </w:pPr>
            <w:r>
              <w:rPr>
                <w:sz w:val="18"/>
                <w:szCs w:val="18"/>
              </w:rPr>
              <w:t>Pondera los criterios según su efecto en los objetivos de la entidad.</w:t>
            </w:r>
          </w:p>
        </w:tc>
      </w:tr>
      <w:tr w:rsidR="00990B14" w14:paraId="7C5B751F" w14:textId="77777777">
        <w:trPr>
          <w:cantSplit/>
          <w:jc w:val="center"/>
        </w:trPr>
        <w:tc>
          <w:tcPr>
            <w:tcW w:w="1490" w:type="dxa"/>
            <w:vMerge/>
            <w:shd w:val="clear" w:color="auto" w:fill="4472C4"/>
            <w:vAlign w:val="center"/>
          </w:tcPr>
          <w:p w14:paraId="2AF18EDE" w14:textId="77777777" w:rsidR="00990B14" w:rsidRDefault="00990B14">
            <w:pPr>
              <w:spacing w:before="20" w:after="20"/>
            </w:pPr>
          </w:p>
        </w:tc>
        <w:tc>
          <w:tcPr>
            <w:tcW w:w="2015" w:type="dxa"/>
            <w:shd w:val="clear" w:color="auto" w:fill="D9E2F3"/>
            <w:vAlign w:val="center"/>
          </w:tcPr>
          <w:p w14:paraId="1002A7FA" w14:textId="77777777" w:rsidR="00990B14" w:rsidRDefault="00000000">
            <w:pPr>
              <w:spacing w:before="20" w:after="20"/>
              <w:jc w:val="both"/>
            </w:pPr>
            <w:r>
              <w:rPr>
                <w:sz w:val="18"/>
                <w:szCs w:val="18"/>
              </w:rPr>
              <w:t>Selección de trabajos</w:t>
            </w:r>
          </w:p>
        </w:tc>
        <w:tc>
          <w:tcPr>
            <w:tcW w:w="2015" w:type="dxa"/>
            <w:shd w:val="clear" w:color="auto" w:fill="D9E2F3"/>
            <w:vAlign w:val="center"/>
          </w:tcPr>
          <w:p w14:paraId="50F2E6AE" w14:textId="77777777" w:rsidR="00990B14" w:rsidRDefault="00000000">
            <w:pPr>
              <w:spacing w:before="20" w:after="20"/>
              <w:jc w:val="both"/>
            </w:pPr>
            <w:r>
              <w:rPr>
                <w:sz w:val="18"/>
                <w:szCs w:val="18"/>
              </w:rPr>
              <w:t>Selecciona trabajos sin sustento.</w:t>
            </w:r>
          </w:p>
        </w:tc>
        <w:tc>
          <w:tcPr>
            <w:tcW w:w="2008" w:type="dxa"/>
            <w:shd w:val="clear" w:color="auto" w:fill="D9E2F3"/>
            <w:vAlign w:val="center"/>
          </w:tcPr>
          <w:p w14:paraId="11887848" w14:textId="77777777" w:rsidR="00990B14" w:rsidRDefault="00000000">
            <w:pPr>
              <w:spacing w:before="20" w:after="20"/>
              <w:jc w:val="both"/>
            </w:pPr>
            <w:r>
              <w:rPr>
                <w:sz w:val="18"/>
                <w:szCs w:val="18"/>
              </w:rPr>
              <w:t>Prioriza los trabajos según el riesgo y los recursos.</w:t>
            </w:r>
          </w:p>
        </w:tc>
        <w:tc>
          <w:tcPr>
            <w:tcW w:w="1877" w:type="dxa"/>
            <w:shd w:val="clear" w:color="auto" w:fill="D9E2F3"/>
            <w:vAlign w:val="center"/>
          </w:tcPr>
          <w:p w14:paraId="3B7B182E" w14:textId="77777777" w:rsidR="00990B14" w:rsidRDefault="00000000">
            <w:pPr>
              <w:spacing w:before="20" w:after="20"/>
              <w:jc w:val="both"/>
            </w:pPr>
            <w:r>
              <w:rPr>
                <w:sz w:val="18"/>
                <w:szCs w:val="18"/>
              </w:rPr>
              <w:t>Justifica con objetividad la exclusión de los trabajos de menor prioridad.</w:t>
            </w:r>
          </w:p>
        </w:tc>
      </w:tr>
      <w:tr w:rsidR="00990B14" w14:paraId="786BC072" w14:textId="77777777">
        <w:trPr>
          <w:cantSplit/>
          <w:jc w:val="center"/>
        </w:trPr>
        <w:tc>
          <w:tcPr>
            <w:tcW w:w="1490" w:type="dxa"/>
            <w:vMerge/>
            <w:shd w:val="clear" w:color="auto" w:fill="4472C4"/>
            <w:vAlign w:val="center"/>
          </w:tcPr>
          <w:p w14:paraId="5BA9335A" w14:textId="77777777" w:rsidR="00990B14" w:rsidRDefault="00990B14">
            <w:pPr>
              <w:spacing w:before="20" w:after="20"/>
            </w:pPr>
          </w:p>
        </w:tc>
        <w:tc>
          <w:tcPr>
            <w:tcW w:w="2015" w:type="dxa"/>
            <w:shd w:val="clear" w:color="auto" w:fill="D9E2F3"/>
            <w:vAlign w:val="center"/>
          </w:tcPr>
          <w:p w14:paraId="0523DEBD" w14:textId="77777777" w:rsidR="00990B14" w:rsidRDefault="00000000">
            <w:pPr>
              <w:spacing w:before="20" w:after="20"/>
              <w:jc w:val="both"/>
            </w:pPr>
            <w:r>
              <w:rPr>
                <w:sz w:val="18"/>
                <w:szCs w:val="18"/>
              </w:rPr>
              <w:t>Presentación del cuadro</w:t>
            </w:r>
          </w:p>
        </w:tc>
        <w:tc>
          <w:tcPr>
            <w:tcW w:w="2015" w:type="dxa"/>
            <w:shd w:val="clear" w:color="auto" w:fill="D9E2F3"/>
            <w:vAlign w:val="center"/>
          </w:tcPr>
          <w:p w14:paraId="4C24A05F" w14:textId="77777777" w:rsidR="00990B14" w:rsidRDefault="00000000">
            <w:pPr>
              <w:spacing w:before="20" w:after="20"/>
              <w:jc w:val="both"/>
            </w:pPr>
            <w:r>
              <w:rPr>
                <w:sz w:val="18"/>
                <w:szCs w:val="18"/>
              </w:rPr>
              <w:t>El cuadro es desordenado o incompleto.</w:t>
            </w:r>
          </w:p>
        </w:tc>
        <w:tc>
          <w:tcPr>
            <w:tcW w:w="2008" w:type="dxa"/>
            <w:shd w:val="clear" w:color="auto" w:fill="D9E2F3"/>
            <w:vAlign w:val="center"/>
          </w:tcPr>
          <w:p w14:paraId="342940B1" w14:textId="77777777" w:rsidR="00990B14" w:rsidRDefault="00000000">
            <w:pPr>
              <w:spacing w:before="20" w:after="20"/>
              <w:jc w:val="both"/>
            </w:pPr>
            <w:r>
              <w:rPr>
                <w:sz w:val="18"/>
                <w:szCs w:val="18"/>
              </w:rPr>
              <w:t>Presenta el cuadro ordenado con los trabajos según su prioridad.</w:t>
            </w:r>
          </w:p>
        </w:tc>
        <w:tc>
          <w:tcPr>
            <w:tcW w:w="1877" w:type="dxa"/>
            <w:shd w:val="clear" w:color="auto" w:fill="D9E2F3"/>
            <w:vAlign w:val="center"/>
          </w:tcPr>
          <w:p w14:paraId="2DA39A86" w14:textId="77777777" w:rsidR="00990B14" w:rsidRDefault="00000000">
            <w:pPr>
              <w:spacing w:before="20" w:after="20"/>
              <w:jc w:val="both"/>
            </w:pPr>
            <w:r>
              <w:rPr>
                <w:sz w:val="18"/>
                <w:szCs w:val="18"/>
              </w:rPr>
              <w:t>Presenta el cuadro con claridad y con el sustento de cada calificación de riesgo.</w:t>
            </w:r>
          </w:p>
        </w:tc>
      </w:tr>
      <w:tr w:rsidR="00990B14" w14:paraId="6A80E021" w14:textId="77777777">
        <w:trPr>
          <w:cantSplit/>
          <w:jc w:val="center"/>
        </w:trPr>
        <w:tc>
          <w:tcPr>
            <w:tcW w:w="1490" w:type="dxa"/>
            <w:vMerge/>
            <w:shd w:val="clear" w:color="auto" w:fill="4472C4"/>
            <w:vAlign w:val="center"/>
          </w:tcPr>
          <w:p w14:paraId="58C2D757" w14:textId="77777777" w:rsidR="00990B14" w:rsidRDefault="00990B14">
            <w:pPr>
              <w:spacing w:before="20" w:after="20"/>
            </w:pPr>
          </w:p>
        </w:tc>
        <w:tc>
          <w:tcPr>
            <w:tcW w:w="6038" w:type="dxa"/>
            <w:gridSpan w:val="3"/>
            <w:shd w:val="clear" w:color="auto" w:fill="D9E2F3"/>
            <w:vAlign w:val="center"/>
          </w:tcPr>
          <w:p w14:paraId="45CBFD3F" w14:textId="77777777" w:rsidR="00990B14" w:rsidRDefault="00000000">
            <w:pPr>
              <w:keepNext/>
              <w:spacing w:before="20" w:after="20"/>
              <w:jc w:val="both"/>
            </w:pPr>
            <w:r>
              <w:rPr>
                <w:b/>
                <w:bCs/>
                <w:i/>
                <w:iCs/>
                <w:sz w:val="18"/>
                <w:szCs w:val="18"/>
              </w:rPr>
              <w:t xml:space="preserve">Producto 20: </w:t>
            </w:r>
            <w:r>
              <w:rPr>
                <w:sz w:val="18"/>
                <w:szCs w:val="18"/>
              </w:rPr>
              <w:t>Documento del Programa Operativo Anual de la Unidad de Auditoría Interna</w:t>
            </w:r>
          </w:p>
        </w:tc>
        <w:tc>
          <w:tcPr>
            <w:tcW w:w="1877" w:type="dxa"/>
            <w:shd w:val="clear" w:color="auto" w:fill="D9E2F3"/>
            <w:vAlign w:val="center"/>
          </w:tcPr>
          <w:p w14:paraId="3DBF2F28" w14:textId="77777777" w:rsidR="00990B14" w:rsidRDefault="00000000">
            <w:pPr>
              <w:spacing w:before="20" w:after="20"/>
              <w:jc w:val="center"/>
            </w:pPr>
            <w:r>
              <w:rPr>
                <w:b/>
                <w:bCs/>
                <w:sz w:val="18"/>
                <w:szCs w:val="18"/>
              </w:rPr>
              <w:t>10%</w:t>
            </w:r>
          </w:p>
        </w:tc>
      </w:tr>
      <w:tr w:rsidR="00990B14" w14:paraId="216C5773" w14:textId="77777777">
        <w:trPr>
          <w:cantSplit/>
          <w:jc w:val="center"/>
        </w:trPr>
        <w:tc>
          <w:tcPr>
            <w:tcW w:w="1490" w:type="dxa"/>
            <w:vMerge/>
            <w:shd w:val="clear" w:color="auto" w:fill="4472C4"/>
            <w:vAlign w:val="center"/>
          </w:tcPr>
          <w:p w14:paraId="6D234094" w14:textId="77777777" w:rsidR="00990B14" w:rsidRDefault="00990B14">
            <w:pPr>
              <w:spacing w:before="20" w:after="20"/>
            </w:pPr>
          </w:p>
        </w:tc>
        <w:tc>
          <w:tcPr>
            <w:tcW w:w="2015" w:type="dxa"/>
            <w:shd w:val="clear" w:color="auto" w:fill="4472C4"/>
            <w:vAlign w:val="center"/>
          </w:tcPr>
          <w:p w14:paraId="7C7171DC"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272A0E1E" w14:textId="77777777" w:rsidR="00990B14" w:rsidRDefault="00000000">
            <w:pPr>
              <w:keepNext/>
              <w:spacing w:before="20" w:after="20"/>
              <w:jc w:val="center"/>
            </w:pPr>
            <w:r>
              <w:rPr>
                <w:b/>
                <w:bCs/>
                <w:i/>
                <w:iCs/>
                <w:color w:val="FFFFFF"/>
                <w:sz w:val="18"/>
                <w:szCs w:val="18"/>
              </w:rPr>
              <w:t>Insuficiente (1–50)</w:t>
            </w:r>
          </w:p>
        </w:tc>
        <w:tc>
          <w:tcPr>
            <w:tcW w:w="2008" w:type="dxa"/>
            <w:shd w:val="clear" w:color="auto" w:fill="4472C4"/>
            <w:vAlign w:val="center"/>
          </w:tcPr>
          <w:p w14:paraId="136C5EDB"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3F7FB5C0" w14:textId="77777777" w:rsidR="00990B14" w:rsidRDefault="00000000">
            <w:pPr>
              <w:keepNext/>
              <w:spacing w:before="20" w:after="20"/>
              <w:jc w:val="center"/>
            </w:pPr>
            <w:r>
              <w:rPr>
                <w:b/>
                <w:bCs/>
                <w:i/>
                <w:iCs/>
                <w:color w:val="FFFFFF"/>
                <w:sz w:val="18"/>
                <w:szCs w:val="18"/>
              </w:rPr>
              <w:t>Destacado (81–100)</w:t>
            </w:r>
          </w:p>
        </w:tc>
      </w:tr>
      <w:tr w:rsidR="00990B14" w14:paraId="58729426" w14:textId="77777777">
        <w:trPr>
          <w:cantSplit/>
          <w:jc w:val="center"/>
        </w:trPr>
        <w:tc>
          <w:tcPr>
            <w:tcW w:w="1490" w:type="dxa"/>
            <w:vMerge/>
            <w:shd w:val="clear" w:color="auto" w:fill="4472C4"/>
            <w:vAlign w:val="center"/>
          </w:tcPr>
          <w:p w14:paraId="5463A24E" w14:textId="77777777" w:rsidR="00990B14" w:rsidRDefault="00990B14">
            <w:pPr>
              <w:spacing w:before="20" w:after="20"/>
            </w:pPr>
          </w:p>
        </w:tc>
        <w:tc>
          <w:tcPr>
            <w:tcW w:w="2015" w:type="dxa"/>
            <w:shd w:val="clear" w:color="auto" w:fill="D9E2F3"/>
            <w:vAlign w:val="center"/>
          </w:tcPr>
          <w:p w14:paraId="0D5667C6" w14:textId="77777777" w:rsidR="00990B14" w:rsidRDefault="00000000">
            <w:pPr>
              <w:spacing w:before="20" w:after="20"/>
              <w:jc w:val="both"/>
            </w:pPr>
            <w:r>
              <w:rPr>
                <w:sz w:val="18"/>
                <w:szCs w:val="18"/>
              </w:rPr>
              <w:t>Consistencia con el plan</w:t>
            </w:r>
          </w:p>
        </w:tc>
        <w:tc>
          <w:tcPr>
            <w:tcW w:w="2015" w:type="dxa"/>
            <w:shd w:val="clear" w:color="auto" w:fill="D9E2F3"/>
            <w:vAlign w:val="center"/>
          </w:tcPr>
          <w:p w14:paraId="46D7DDD0" w14:textId="77777777" w:rsidR="00990B14" w:rsidRDefault="00000000">
            <w:pPr>
              <w:spacing w:before="20" w:after="20"/>
              <w:jc w:val="both"/>
            </w:pPr>
            <w:r>
              <w:rPr>
                <w:sz w:val="18"/>
                <w:szCs w:val="18"/>
              </w:rPr>
              <w:t>No guarda relación con el Plan Estratégico.</w:t>
            </w:r>
          </w:p>
        </w:tc>
        <w:tc>
          <w:tcPr>
            <w:tcW w:w="2008" w:type="dxa"/>
            <w:shd w:val="clear" w:color="auto" w:fill="D9E2F3"/>
            <w:vAlign w:val="center"/>
          </w:tcPr>
          <w:p w14:paraId="626547F5" w14:textId="77777777" w:rsidR="00990B14" w:rsidRDefault="00000000">
            <w:pPr>
              <w:spacing w:before="20" w:after="20"/>
              <w:jc w:val="both"/>
            </w:pPr>
            <w:r>
              <w:rPr>
                <w:sz w:val="18"/>
                <w:szCs w:val="18"/>
              </w:rPr>
              <w:t>Es consistente con el Plan Estratégico y con la priorización.</w:t>
            </w:r>
          </w:p>
        </w:tc>
        <w:tc>
          <w:tcPr>
            <w:tcW w:w="1877" w:type="dxa"/>
            <w:shd w:val="clear" w:color="auto" w:fill="D9E2F3"/>
            <w:vAlign w:val="center"/>
          </w:tcPr>
          <w:p w14:paraId="62866236" w14:textId="77777777" w:rsidR="00990B14" w:rsidRDefault="00000000">
            <w:pPr>
              <w:spacing w:before="20" w:after="20"/>
              <w:jc w:val="both"/>
            </w:pPr>
            <w:r>
              <w:rPr>
                <w:sz w:val="18"/>
                <w:szCs w:val="18"/>
              </w:rPr>
              <w:t>Verifica la consistencia de cada trabajo con los objetivos del plan.</w:t>
            </w:r>
          </w:p>
        </w:tc>
      </w:tr>
      <w:tr w:rsidR="00990B14" w14:paraId="5584A875" w14:textId="77777777">
        <w:trPr>
          <w:cantSplit/>
          <w:jc w:val="center"/>
        </w:trPr>
        <w:tc>
          <w:tcPr>
            <w:tcW w:w="1490" w:type="dxa"/>
            <w:vMerge/>
            <w:shd w:val="clear" w:color="auto" w:fill="4472C4"/>
            <w:vAlign w:val="center"/>
          </w:tcPr>
          <w:p w14:paraId="3EAA4A2D" w14:textId="77777777" w:rsidR="00990B14" w:rsidRDefault="00990B14">
            <w:pPr>
              <w:spacing w:before="20" w:after="20"/>
            </w:pPr>
          </w:p>
        </w:tc>
        <w:tc>
          <w:tcPr>
            <w:tcW w:w="2015" w:type="dxa"/>
            <w:shd w:val="clear" w:color="auto" w:fill="D9E2F3"/>
            <w:vAlign w:val="center"/>
          </w:tcPr>
          <w:p w14:paraId="25EC680E" w14:textId="77777777" w:rsidR="00990B14" w:rsidRDefault="00000000">
            <w:pPr>
              <w:spacing w:before="20" w:after="20"/>
              <w:jc w:val="both"/>
            </w:pPr>
            <w:r>
              <w:rPr>
                <w:sz w:val="18"/>
                <w:szCs w:val="18"/>
              </w:rPr>
              <w:t>Seguimiento</w:t>
            </w:r>
          </w:p>
        </w:tc>
        <w:tc>
          <w:tcPr>
            <w:tcW w:w="2015" w:type="dxa"/>
            <w:shd w:val="clear" w:color="auto" w:fill="D9E2F3"/>
            <w:vAlign w:val="center"/>
          </w:tcPr>
          <w:p w14:paraId="7960B467" w14:textId="77777777" w:rsidR="00990B14" w:rsidRDefault="00000000">
            <w:pPr>
              <w:spacing w:before="20" w:after="20"/>
              <w:jc w:val="both"/>
            </w:pPr>
            <w:r>
              <w:rPr>
                <w:sz w:val="18"/>
                <w:szCs w:val="18"/>
              </w:rPr>
              <w:t>No prevé el seguimiento.</w:t>
            </w:r>
          </w:p>
        </w:tc>
        <w:tc>
          <w:tcPr>
            <w:tcW w:w="2008" w:type="dxa"/>
            <w:shd w:val="clear" w:color="auto" w:fill="D9E2F3"/>
            <w:vAlign w:val="center"/>
          </w:tcPr>
          <w:p w14:paraId="0DF5D306" w14:textId="77777777" w:rsidR="00990B14" w:rsidRDefault="00000000">
            <w:pPr>
              <w:spacing w:before="20" w:after="20"/>
              <w:jc w:val="both"/>
            </w:pPr>
            <w:r>
              <w:rPr>
                <w:sz w:val="18"/>
                <w:szCs w:val="18"/>
              </w:rPr>
              <w:t>Construye el cronograma de ejecución.</w:t>
            </w:r>
          </w:p>
        </w:tc>
        <w:tc>
          <w:tcPr>
            <w:tcW w:w="1877" w:type="dxa"/>
            <w:shd w:val="clear" w:color="auto" w:fill="D9E2F3"/>
            <w:vAlign w:val="center"/>
          </w:tcPr>
          <w:p w14:paraId="2AAD4D8B" w14:textId="77777777" w:rsidR="00990B14" w:rsidRDefault="00000000">
            <w:pPr>
              <w:spacing w:before="20" w:after="20"/>
              <w:jc w:val="both"/>
            </w:pPr>
            <w:r>
              <w:rPr>
                <w:sz w:val="18"/>
                <w:szCs w:val="18"/>
              </w:rPr>
              <w:t>Incorpora indicadores de avance.</w:t>
            </w:r>
          </w:p>
        </w:tc>
      </w:tr>
      <w:tr w:rsidR="00990B14" w14:paraId="7BA281F5" w14:textId="77777777">
        <w:trPr>
          <w:cantSplit/>
          <w:jc w:val="center"/>
        </w:trPr>
        <w:tc>
          <w:tcPr>
            <w:tcW w:w="1490" w:type="dxa"/>
            <w:vMerge/>
            <w:shd w:val="clear" w:color="auto" w:fill="4472C4"/>
            <w:vAlign w:val="center"/>
          </w:tcPr>
          <w:p w14:paraId="5D3F7DF9" w14:textId="77777777" w:rsidR="00990B14" w:rsidRDefault="00990B14">
            <w:pPr>
              <w:spacing w:before="20" w:after="20"/>
            </w:pPr>
          </w:p>
        </w:tc>
        <w:tc>
          <w:tcPr>
            <w:tcW w:w="2015" w:type="dxa"/>
            <w:shd w:val="clear" w:color="auto" w:fill="D9E2F3"/>
            <w:vAlign w:val="center"/>
          </w:tcPr>
          <w:p w14:paraId="67D0A1C1" w14:textId="77777777" w:rsidR="00990B14" w:rsidRDefault="00000000">
            <w:pPr>
              <w:spacing w:before="20" w:after="20"/>
              <w:jc w:val="both"/>
            </w:pPr>
            <w:r>
              <w:rPr>
                <w:sz w:val="18"/>
                <w:szCs w:val="18"/>
              </w:rPr>
              <w:t>Recursos y presupuesto</w:t>
            </w:r>
          </w:p>
        </w:tc>
        <w:tc>
          <w:tcPr>
            <w:tcW w:w="2015" w:type="dxa"/>
            <w:shd w:val="clear" w:color="auto" w:fill="D9E2F3"/>
            <w:vAlign w:val="center"/>
          </w:tcPr>
          <w:p w14:paraId="49DA6352" w14:textId="77777777" w:rsidR="00990B14" w:rsidRDefault="00000000">
            <w:pPr>
              <w:spacing w:before="20" w:after="20"/>
              <w:jc w:val="both"/>
            </w:pPr>
            <w:r>
              <w:rPr>
                <w:sz w:val="18"/>
                <w:szCs w:val="18"/>
              </w:rPr>
              <w:t>No asigna recursos a los trabajos.</w:t>
            </w:r>
          </w:p>
        </w:tc>
        <w:tc>
          <w:tcPr>
            <w:tcW w:w="2008" w:type="dxa"/>
            <w:shd w:val="clear" w:color="auto" w:fill="D9E2F3"/>
            <w:vAlign w:val="center"/>
          </w:tcPr>
          <w:p w14:paraId="5A212471" w14:textId="77777777" w:rsidR="00990B14" w:rsidRDefault="00000000">
            <w:pPr>
              <w:spacing w:before="20" w:after="20"/>
              <w:jc w:val="both"/>
            </w:pPr>
            <w:r>
              <w:rPr>
                <w:sz w:val="18"/>
                <w:szCs w:val="18"/>
              </w:rPr>
              <w:t>Asigna recursos humanos y tiempo a cada trabajo.</w:t>
            </w:r>
          </w:p>
        </w:tc>
        <w:tc>
          <w:tcPr>
            <w:tcW w:w="1877" w:type="dxa"/>
            <w:shd w:val="clear" w:color="auto" w:fill="D9E2F3"/>
            <w:vAlign w:val="center"/>
          </w:tcPr>
          <w:p w14:paraId="447FF338" w14:textId="77777777" w:rsidR="00990B14" w:rsidRDefault="00000000">
            <w:pPr>
              <w:spacing w:before="20" w:after="20"/>
              <w:jc w:val="both"/>
            </w:pPr>
            <w:r>
              <w:rPr>
                <w:sz w:val="18"/>
                <w:szCs w:val="18"/>
              </w:rPr>
              <w:t>Asigna recursos, tiempo y presupuesto con criterios de eficiencia.</w:t>
            </w:r>
          </w:p>
        </w:tc>
      </w:tr>
      <w:tr w:rsidR="00990B14" w14:paraId="6A3B3017" w14:textId="77777777">
        <w:trPr>
          <w:cantSplit/>
          <w:jc w:val="center"/>
        </w:trPr>
        <w:tc>
          <w:tcPr>
            <w:tcW w:w="1490" w:type="dxa"/>
            <w:vMerge/>
            <w:shd w:val="clear" w:color="auto" w:fill="4472C4"/>
            <w:vAlign w:val="center"/>
          </w:tcPr>
          <w:p w14:paraId="2460934F" w14:textId="77777777" w:rsidR="00990B14" w:rsidRDefault="00990B14">
            <w:pPr>
              <w:spacing w:before="20" w:after="20"/>
            </w:pPr>
          </w:p>
        </w:tc>
        <w:tc>
          <w:tcPr>
            <w:tcW w:w="6038" w:type="dxa"/>
            <w:gridSpan w:val="3"/>
            <w:shd w:val="clear" w:color="auto" w:fill="D9E2F3"/>
            <w:vAlign w:val="center"/>
          </w:tcPr>
          <w:p w14:paraId="2800088E" w14:textId="77777777" w:rsidR="00990B14" w:rsidRDefault="00000000">
            <w:pPr>
              <w:keepNext/>
              <w:spacing w:before="20" w:after="20"/>
              <w:jc w:val="both"/>
            </w:pPr>
            <w:r>
              <w:rPr>
                <w:b/>
                <w:bCs/>
                <w:i/>
                <w:iCs/>
                <w:sz w:val="18"/>
                <w:szCs w:val="18"/>
              </w:rPr>
              <w:t xml:space="preserve">Producto 21: </w:t>
            </w:r>
            <w:r>
              <w:rPr>
                <w:sz w:val="18"/>
                <w:szCs w:val="18"/>
              </w:rPr>
              <w:t>Documento de Memorándum de planificación y programas de trabajo.</w:t>
            </w:r>
          </w:p>
        </w:tc>
        <w:tc>
          <w:tcPr>
            <w:tcW w:w="1877" w:type="dxa"/>
            <w:shd w:val="clear" w:color="auto" w:fill="D9E2F3"/>
            <w:vAlign w:val="center"/>
          </w:tcPr>
          <w:p w14:paraId="2454F4AC" w14:textId="77777777" w:rsidR="00990B14" w:rsidRDefault="00000000">
            <w:pPr>
              <w:spacing w:before="20" w:after="20"/>
              <w:jc w:val="center"/>
            </w:pPr>
            <w:r>
              <w:rPr>
                <w:b/>
                <w:bCs/>
                <w:sz w:val="18"/>
                <w:szCs w:val="18"/>
              </w:rPr>
              <w:t>10%</w:t>
            </w:r>
          </w:p>
        </w:tc>
      </w:tr>
      <w:tr w:rsidR="00990B14" w14:paraId="09AE8A98" w14:textId="77777777">
        <w:trPr>
          <w:cantSplit/>
          <w:jc w:val="center"/>
        </w:trPr>
        <w:tc>
          <w:tcPr>
            <w:tcW w:w="1490" w:type="dxa"/>
            <w:vMerge/>
            <w:shd w:val="clear" w:color="auto" w:fill="4472C4"/>
            <w:vAlign w:val="center"/>
          </w:tcPr>
          <w:p w14:paraId="7BB0D8BD" w14:textId="77777777" w:rsidR="00990B14" w:rsidRDefault="00990B14">
            <w:pPr>
              <w:spacing w:before="20" w:after="20"/>
            </w:pPr>
          </w:p>
        </w:tc>
        <w:tc>
          <w:tcPr>
            <w:tcW w:w="2015" w:type="dxa"/>
            <w:shd w:val="clear" w:color="auto" w:fill="4472C4"/>
            <w:vAlign w:val="center"/>
          </w:tcPr>
          <w:p w14:paraId="4A77CA90"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70A2D28C" w14:textId="77777777" w:rsidR="00990B14" w:rsidRDefault="00000000">
            <w:pPr>
              <w:keepNext/>
              <w:spacing w:before="20" w:after="20"/>
              <w:jc w:val="center"/>
            </w:pPr>
            <w:r>
              <w:rPr>
                <w:b/>
                <w:bCs/>
                <w:i/>
                <w:iCs/>
                <w:color w:val="FFFFFF"/>
                <w:sz w:val="18"/>
                <w:szCs w:val="18"/>
              </w:rPr>
              <w:t>Insuficiente (1–50)</w:t>
            </w:r>
          </w:p>
        </w:tc>
        <w:tc>
          <w:tcPr>
            <w:tcW w:w="2008" w:type="dxa"/>
            <w:shd w:val="clear" w:color="auto" w:fill="4472C4"/>
            <w:vAlign w:val="center"/>
          </w:tcPr>
          <w:p w14:paraId="317435B4"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523D0325" w14:textId="77777777" w:rsidR="00990B14" w:rsidRDefault="00000000">
            <w:pPr>
              <w:keepNext/>
              <w:spacing w:before="20" w:after="20"/>
              <w:jc w:val="center"/>
            </w:pPr>
            <w:r>
              <w:rPr>
                <w:b/>
                <w:bCs/>
                <w:i/>
                <w:iCs/>
                <w:color w:val="FFFFFF"/>
                <w:sz w:val="18"/>
                <w:szCs w:val="18"/>
              </w:rPr>
              <w:t>Destacado (81–100)</w:t>
            </w:r>
          </w:p>
        </w:tc>
      </w:tr>
      <w:tr w:rsidR="00990B14" w14:paraId="28BB08C8" w14:textId="77777777">
        <w:trPr>
          <w:cantSplit/>
          <w:jc w:val="center"/>
        </w:trPr>
        <w:tc>
          <w:tcPr>
            <w:tcW w:w="1490" w:type="dxa"/>
            <w:vMerge/>
            <w:shd w:val="clear" w:color="auto" w:fill="4472C4"/>
            <w:vAlign w:val="center"/>
          </w:tcPr>
          <w:p w14:paraId="0807AF21" w14:textId="77777777" w:rsidR="00990B14" w:rsidRDefault="00990B14">
            <w:pPr>
              <w:spacing w:before="20" w:after="20"/>
            </w:pPr>
          </w:p>
        </w:tc>
        <w:tc>
          <w:tcPr>
            <w:tcW w:w="2015" w:type="dxa"/>
            <w:shd w:val="clear" w:color="auto" w:fill="D9E2F3"/>
            <w:vAlign w:val="center"/>
          </w:tcPr>
          <w:p w14:paraId="29D64A86" w14:textId="77777777" w:rsidR="00990B14" w:rsidRDefault="00000000">
            <w:pPr>
              <w:spacing w:before="20" w:after="20"/>
              <w:jc w:val="both"/>
            </w:pPr>
            <w:r>
              <w:rPr>
                <w:sz w:val="18"/>
                <w:szCs w:val="18"/>
              </w:rPr>
              <w:t>Riesgo y materialidad</w:t>
            </w:r>
          </w:p>
        </w:tc>
        <w:tc>
          <w:tcPr>
            <w:tcW w:w="2015" w:type="dxa"/>
            <w:shd w:val="clear" w:color="auto" w:fill="D9E2F3"/>
            <w:vAlign w:val="center"/>
          </w:tcPr>
          <w:p w14:paraId="1CF5BFBD" w14:textId="77777777" w:rsidR="00990B14" w:rsidRDefault="00000000">
            <w:pPr>
              <w:spacing w:before="20" w:after="20"/>
              <w:jc w:val="both"/>
            </w:pPr>
            <w:r>
              <w:rPr>
                <w:sz w:val="18"/>
                <w:szCs w:val="18"/>
              </w:rPr>
              <w:t>No determina la materialidad.</w:t>
            </w:r>
          </w:p>
        </w:tc>
        <w:tc>
          <w:tcPr>
            <w:tcW w:w="2008" w:type="dxa"/>
            <w:shd w:val="clear" w:color="auto" w:fill="D9E2F3"/>
            <w:vAlign w:val="center"/>
          </w:tcPr>
          <w:p w14:paraId="1AC96CF6" w14:textId="77777777" w:rsidR="00990B14" w:rsidRDefault="00000000">
            <w:pPr>
              <w:spacing w:before="20" w:after="20"/>
              <w:jc w:val="both"/>
            </w:pPr>
            <w:r>
              <w:rPr>
                <w:sz w:val="18"/>
                <w:szCs w:val="18"/>
              </w:rPr>
              <w:t>Valora el riesgo y determina la materialidad.</w:t>
            </w:r>
          </w:p>
        </w:tc>
        <w:tc>
          <w:tcPr>
            <w:tcW w:w="1877" w:type="dxa"/>
            <w:shd w:val="clear" w:color="auto" w:fill="D9E2F3"/>
            <w:vAlign w:val="center"/>
          </w:tcPr>
          <w:p w14:paraId="3C65CECB" w14:textId="77777777" w:rsidR="00990B14" w:rsidRDefault="00000000">
            <w:pPr>
              <w:spacing w:before="20" w:after="20"/>
              <w:jc w:val="both"/>
            </w:pPr>
            <w:r>
              <w:rPr>
                <w:sz w:val="18"/>
                <w:szCs w:val="18"/>
              </w:rPr>
              <w:t>Justifica la base y el porcentaje elegidos.</w:t>
            </w:r>
          </w:p>
        </w:tc>
      </w:tr>
      <w:tr w:rsidR="00990B14" w14:paraId="5C183333" w14:textId="77777777">
        <w:trPr>
          <w:cantSplit/>
          <w:jc w:val="center"/>
        </w:trPr>
        <w:tc>
          <w:tcPr>
            <w:tcW w:w="1490" w:type="dxa"/>
            <w:vMerge/>
            <w:shd w:val="clear" w:color="auto" w:fill="4472C4"/>
            <w:vAlign w:val="center"/>
          </w:tcPr>
          <w:p w14:paraId="2A4C9BA0" w14:textId="77777777" w:rsidR="00990B14" w:rsidRDefault="00990B14">
            <w:pPr>
              <w:spacing w:before="20" w:after="20"/>
            </w:pPr>
          </w:p>
        </w:tc>
        <w:tc>
          <w:tcPr>
            <w:tcW w:w="2015" w:type="dxa"/>
            <w:shd w:val="clear" w:color="auto" w:fill="D9E2F3"/>
            <w:vAlign w:val="center"/>
          </w:tcPr>
          <w:p w14:paraId="57FB2117" w14:textId="77777777" w:rsidR="00990B14" w:rsidRDefault="00000000">
            <w:pPr>
              <w:spacing w:before="20" w:after="20"/>
              <w:jc w:val="both"/>
            </w:pPr>
            <w:r>
              <w:rPr>
                <w:sz w:val="18"/>
                <w:szCs w:val="18"/>
              </w:rPr>
              <w:t>Programas de trabajo</w:t>
            </w:r>
          </w:p>
        </w:tc>
        <w:tc>
          <w:tcPr>
            <w:tcW w:w="2015" w:type="dxa"/>
            <w:shd w:val="clear" w:color="auto" w:fill="D9E2F3"/>
            <w:vAlign w:val="center"/>
          </w:tcPr>
          <w:p w14:paraId="583152A2" w14:textId="77777777" w:rsidR="00990B14" w:rsidRDefault="00000000">
            <w:pPr>
              <w:spacing w:before="20" w:after="20"/>
              <w:jc w:val="both"/>
            </w:pPr>
            <w:r>
              <w:rPr>
                <w:sz w:val="18"/>
                <w:szCs w:val="18"/>
              </w:rPr>
              <w:t>Los procedimientos no se vinculan con los objetivos.</w:t>
            </w:r>
          </w:p>
        </w:tc>
        <w:tc>
          <w:tcPr>
            <w:tcW w:w="2008" w:type="dxa"/>
            <w:shd w:val="clear" w:color="auto" w:fill="D9E2F3"/>
            <w:vAlign w:val="center"/>
          </w:tcPr>
          <w:p w14:paraId="773C048A" w14:textId="77777777" w:rsidR="00990B14" w:rsidRDefault="00000000">
            <w:pPr>
              <w:spacing w:before="20" w:after="20"/>
              <w:jc w:val="both"/>
            </w:pPr>
            <w:r>
              <w:rPr>
                <w:sz w:val="18"/>
                <w:szCs w:val="18"/>
              </w:rPr>
              <w:t>Diseña procedimientos coherentes con los objetivos y el riesgo.</w:t>
            </w:r>
          </w:p>
        </w:tc>
        <w:tc>
          <w:tcPr>
            <w:tcW w:w="1877" w:type="dxa"/>
            <w:shd w:val="clear" w:color="auto" w:fill="D9E2F3"/>
            <w:vAlign w:val="center"/>
          </w:tcPr>
          <w:p w14:paraId="54870D5B" w14:textId="77777777" w:rsidR="00990B14" w:rsidRDefault="00000000">
            <w:pPr>
              <w:spacing w:before="20" w:after="20"/>
              <w:jc w:val="both"/>
            </w:pPr>
            <w:r>
              <w:rPr>
                <w:sz w:val="18"/>
                <w:szCs w:val="18"/>
              </w:rPr>
              <w:t>Define las técnicas y la evidencia esperada de cada procedimiento.</w:t>
            </w:r>
          </w:p>
        </w:tc>
      </w:tr>
      <w:tr w:rsidR="00990B14" w14:paraId="4F8E2625" w14:textId="77777777">
        <w:trPr>
          <w:cantSplit/>
          <w:jc w:val="center"/>
        </w:trPr>
        <w:tc>
          <w:tcPr>
            <w:tcW w:w="1490" w:type="dxa"/>
            <w:vMerge/>
            <w:shd w:val="clear" w:color="auto" w:fill="4472C4"/>
            <w:vAlign w:val="center"/>
          </w:tcPr>
          <w:p w14:paraId="27710EE2" w14:textId="77777777" w:rsidR="00990B14" w:rsidRDefault="00990B14">
            <w:pPr>
              <w:spacing w:before="20" w:after="20"/>
            </w:pPr>
          </w:p>
        </w:tc>
        <w:tc>
          <w:tcPr>
            <w:tcW w:w="2015" w:type="dxa"/>
            <w:shd w:val="clear" w:color="auto" w:fill="D9E2F3"/>
            <w:vAlign w:val="center"/>
          </w:tcPr>
          <w:p w14:paraId="3754C866" w14:textId="77777777" w:rsidR="00990B14" w:rsidRDefault="00000000">
            <w:pPr>
              <w:spacing w:before="20" w:after="20"/>
              <w:jc w:val="both"/>
            </w:pPr>
            <w:r>
              <w:rPr>
                <w:sz w:val="18"/>
                <w:szCs w:val="18"/>
              </w:rPr>
              <w:t>Presentación del documento</w:t>
            </w:r>
          </w:p>
        </w:tc>
        <w:tc>
          <w:tcPr>
            <w:tcW w:w="2015" w:type="dxa"/>
            <w:shd w:val="clear" w:color="auto" w:fill="D9E2F3"/>
            <w:vAlign w:val="center"/>
          </w:tcPr>
          <w:p w14:paraId="4A98B1CB" w14:textId="77777777" w:rsidR="00990B14" w:rsidRDefault="00000000">
            <w:pPr>
              <w:spacing w:before="20" w:after="20"/>
              <w:jc w:val="both"/>
            </w:pPr>
            <w:r>
              <w:rPr>
                <w:sz w:val="18"/>
                <w:szCs w:val="18"/>
              </w:rPr>
              <w:t>El memorándum omite componentes de la planificación.</w:t>
            </w:r>
          </w:p>
        </w:tc>
        <w:tc>
          <w:tcPr>
            <w:tcW w:w="2008" w:type="dxa"/>
            <w:shd w:val="clear" w:color="auto" w:fill="D9E2F3"/>
            <w:vAlign w:val="center"/>
          </w:tcPr>
          <w:p w14:paraId="5EE99030" w14:textId="77777777" w:rsidR="00990B14" w:rsidRDefault="00000000">
            <w:pPr>
              <w:spacing w:before="20" w:after="20"/>
              <w:jc w:val="both"/>
            </w:pPr>
            <w:r>
              <w:rPr>
                <w:sz w:val="18"/>
                <w:szCs w:val="18"/>
              </w:rPr>
              <w:t>Presenta el memorándum con sus componentes y los programas de trabajo.</w:t>
            </w:r>
          </w:p>
        </w:tc>
        <w:tc>
          <w:tcPr>
            <w:tcW w:w="1877" w:type="dxa"/>
            <w:shd w:val="clear" w:color="auto" w:fill="D9E2F3"/>
            <w:vAlign w:val="center"/>
          </w:tcPr>
          <w:p w14:paraId="414D5A4D" w14:textId="77777777" w:rsidR="00990B14" w:rsidRDefault="00000000">
            <w:pPr>
              <w:spacing w:before="20" w:after="20"/>
              <w:jc w:val="both"/>
            </w:pPr>
            <w:r>
              <w:rPr>
                <w:sz w:val="18"/>
                <w:szCs w:val="18"/>
              </w:rPr>
              <w:t>Presenta el memorándum completo, claro y referenciado a los programas de trabajo.</w:t>
            </w:r>
          </w:p>
        </w:tc>
      </w:tr>
      <w:tr w:rsidR="00990B14" w14:paraId="0512341B" w14:textId="77777777">
        <w:trPr>
          <w:cantSplit/>
          <w:jc w:val="center"/>
        </w:trPr>
        <w:tc>
          <w:tcPr>
            <w:tcW w:w="1490" w:type="dxa"/>
            <w:vMerge/>
            <w:shd w:val="clear" w:color="auto" w:fill="4472C4"/>
            <w:vAlign w:val="center"/>
          </w:tcPr>
          <w:p w14:paraId="1B5A420B" w14:textId="77777777" w:rsidR="00990B14" w:rsidRDefault="00990B14">
            <w:pPr>
              <w:spacing w:before="20" w:after="20"/>
            </w:pPr>
          </w:p>
        </w:tc>
        <w:tc>
          <w:tcPr>
            <w:tcW w:w="6038" w:type="dxa"/>
            <w:gridSpan w:val="3"/>
            <w:shd w:val="clear" w:color="auto" w:fill="D9E2F3"/>
            <w:vAlign w:val="center"/>
          </w:tcPr>
          <w:p w14:paraId="70A46959" w14:textId="77777777" w:rsidR="00990B14" w:rsidRDefault="00000000">
            <w:pPr>
              <w:keepNext/>
              <w:spacing w:before="20" w:after="20"/>
              <w:jc w:val="both"/>
            </w:pPr>
            <w:r>
              <w:rPr>
                <w:b/>
                <w:bCs/>
                <w:i/>
                <w:iCs/>
                <w:sz w:val="18"/>
                <w:szCs w:val="18"/>
              </w:rPr>
              <w:t xml:space="preserve">Producto 22: </w:t>
            </w:r>
            <w:r>
              <w:rPr>
                <w:sz w:val="18"/>
                <w:szCs w:val="18"/>
              </w:rPr>
              <w:t>Documento de Papeles de Trabajo y cédulas de hallazgos de auditoría.</w:t>
            </w:r>
          </w:p>
        </w:tc>
        <w:tc>
          <w:tcPr>
            <w:tcW w:w="1877" w:type="dxa"/>
            <w:shd w:val="clear" w:color="auto" w:fill="D9E2F3"/>
            <w:vAlign w:val="center"/>
          </w:tcPr>
          <w:p w14:paraId="6E6A74DD" w14:textId="77777777" w:rsidR="00990B14" w:rsidRDefault="00000000">
            <w:pPr>
              <w:spacing w:before="20" w:after="20"/>
              <w:jc w:val="center"/>
            </w:pPr>
            <w:r>
              <w:rPr>
                <w:b/>
                <w:bCs/>
                <w:sz w:val="18"/>
                <w:szCs w:val="18"/>
              </w:rPr>
              <w:t>10%</w:t>
            </w:r>
          </w:p>
        </w:tc>
      </w:tr>
      <w:tr w:rsidR="00990B14" w14:paraId="20683BC8" w14:textId="77777777">
        <w:trPr>
          <w:cantSplit/>
          <w:jc w:val="center"/>
        </w:trPr>
        <w:tc>
          <w:tcPr>
            <w:tcW w:w="1490" w:type="dxa"/>
            <w:vMerge/>
            <w:shd w:val="clear" w:color="auto" w:fill="4472C4"/>
            <w:vAlign w:val="center"/>
          </w:tcPr>
          <w:p w14:paraId="26659FFD" w14:textId="77777777" w:rsidR="00990B14" w:rsidRDefault="00990B14">
            <w:pPr>
              <w:spacing w:before="20" w:after="20"/>
            </w:pPr>
          </w:p>
        </w:tc>
        <w:tc>
          <w:tcPr>
            <w:tcW w:w="2015" w:type="dxa"/>
            <w:shd w:val="clear" w:color="auto" w:fill="4472C4"/>
            <w:vAlign w:val="center"/>
          </w:tcPr>
          <w:p w14:paraId="23B77EE2"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518B7300" w14:textId="77777777" w:rsidR="00990B14" w:rsidRDefault="00000000">
            <w:pPr>
              <w:keepNext/>
              <w:spacing w:before="20" w:after="20"/>
              <w:jc w:val="center"/>
            </w:pPr>
            <w:r>
              <w:rPr>
                <w:b/>
                <w:bCs/>
                <w:i/>
                <w:iCs/>
                <w:color w:val="FFFFFF"/>
                <w:sz w:val="18"/>
                <w:szCs w:val="18"/>
              </w:rPr>
              <w:t>Insuficiente (1–50)</w:t>
            </w:r>
          </w:p>
        </w:tc>
        <w:tc>
          <w:tcPr>
            <w:tcW w:w="2008" w:type="dxa"/>
            <w:shd w:val="clear" w:color="auto" w:fill="4472C4"/>
            <w:vAlign w:val="center"/>
          </w:tcPr>
          <w:p w14:paraId="6DC7AB1A"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1FFBF810" w14:textId="77777777" w:rsidR="00990B14" w:rsidRDefault="00000000">
            <w:pPr>
              <w:keepNext/>
              <w:spacing w:before="20" w:after="20"/>
              <w:jc w:val="center"/>
            </w:pPr>
            <w:r>
              <w:rPr>
                <w:b/>
                <w:bCs/>
                <w:i/>
                <w:iCs/>
                <w:color w:val="FFFFFF"/>
                <w:sz w:val="18"/>
                <w:szCs w:val="18"/>
              </w:rPr>
              <w:t>Destacado (81–100)</w:t>
            </w:r>
          </w:p>
        </w:tc>
      </w:tr>
      <w:tr w:rsidR="00990B14" w14:paraId="60D70E18" w14:textId="77777777">
        <w:trPr>
          <w:cantSplit/>
          <w:jc w:val="center"/>
        </w:trPr>
        <w:tc>
          <w:tcPr>
            <w:tcW w:w="1490" w:type="dxa"/>
            <w:vMerge/>
            <w:shd w:val="clear" w:color="auto" w:fill="4472C4"/>
            <w:vAlign w:val="center"/>
          </w:tcPr>
          <w:p w14:paraId="59CA2373" w14:textId="77777777" w:rsidR="00990B14" w:rsidRDefault="00990B14">
            <w:pPr>
              <w:spacing w:before="20" w:after="20"/>
            </w:pPr>
          </w:p>
        </w:tc>
        <w:tc>
          <w:tcPr>
            <w:tcW w:w="2015" w:type="dxa"/>
            <w:shd w:val="clear" w:color="auto" w:fill="D9E2F3"/>
            <w:vAlign w:val="center"/>
          </w:tcPr>
          <w:p w14:paraId="3ABECAAB" w14:textId="77777777" w:rsidR="00990B14" w:rsidRDefault="00000000">
            <w:pPr>
              <w:spacing w:before="20" w:after="20"/>
              <w:jc w:val="both"/>
            </w:pPr>
            <w:r>
              <w:rPr>
                <w:sz w:val="18"/>
                <w:szCs w:val="18"/>
              </w:rPr>
              <w:t>Evidencia de auditoría</w:t>
            </w:r>
          </w:p>
        </w:tc>
        <w:tc>
          <w:tcPr>
            <w:tcW w:w="2015" w:type="dxa"/>
            <w:shd w:val="clear" w:color="auto" w:fill="D9E2F3"/>
            <w:vAlign w:val="center"/>
          </w:tcPr>
          <w:p w14:paraId="4471DE6F" w14:textId="77777777" w:rsidR="00990B14" w:rsidRDefault="00000000">
            <w:pPr>
              <w:spacing w:before="20" w:after="20"/>
              <w:jc w:val="both"/>
            </w:pPr>
            <w:r>
              <w:rPr>
                <w:sz w:val="18"/>
                <w:szCs w:val="18"/>
              </w:rPr>
              <w:t>La evidencia es insuficiente o no pertinente.</w:t>
            </w:r>
          </w:p>
        </w:tc>
        <w:tc>
          <w:tcPr>
            <w:tcW w:w="2008" w:type="dxa"/>
            <w:shd w:val="clear" w:color="auto" w:fill="D9E2F3"/>
            <w:vAlign w:val="center"/>
          </w:tcPr>
          <w:p w14:paraId="5F6F19C5" w14:textId="77777777" w:rsidR="00990B14" w:rsidRDefault="00000000">
            <w:pPr>
              <w:spacing w:before="20" w:after="20"/>
              <w:jc w:val="both"/>
            </w:pPr>
            <w:r>
              <w:rPr>
                <w:sz w:val="18"/>
                <w:szCs w:val="18"/>
              </w:rPr>
              <w:t>La evidencia es suficiente y competente.</w:t>
            </w:r>
          </w:p>
        </w:tc>
        <w:tc>
          <w:tcPr>
            <w:tcW w:w="1877" w:type="dxa"/>
            <w:shd w:val="clear" w:color="auto" w:fill="D9E2F3"/>
            <w:vAlign w:val="center"/>
          </w:tcPr>
          <w:p w14:paraId="443C856A" w14:textId="77777777" w:rsidR="00990B14" w:rsidRDefault="00000000">
            <w:pPr>
              <w:spacing w:before="20" w:after="20"/>
              <w:jc w:val="both"/>
            </w:pPr>
            <w:r>
              <w:rPr>
                <w:sz w:val="18"/>
                <w:szCs w:val="18"/>
              </w:rPr>
              <w:t>Evalúa la importancia de la evidencia para cada hallazgo.</w:t>
            </w:r>
          </w:p>
        </w:tc>
      </w:tr>
      <w:tr w:rsidR="00990B14" w14:paraId="05B8277C" w14:textId="77777777">
        <w:trPr>
          <w:cantSplit/>
          <w:jc w:val="center"/>
        </w:trPr>
        <w:tc>
          <w:tcPr>
            <w:tcW w:w="1490" w:type="dxa"/>
            <w:vMerge/>
            <w:shd w:val="clear" w:color="auto" w:fill="4472C4"/>
            <w:vAlign w:val="center"/>
          </w:tcPr>
          <w:p w14:paraId="35449FB6" w14:textId="77777777" w:rsidR="00990B14" w:rsidRDefault="00990B14">
            <w:pPr>
              <w:spacing w:before="20" w:after="20"/>
            </w:pPr>
          </w:p>
        </w:tc>
        <w:tc>
          <w:tcPr>
            <w:tcW w:w="2015" w:type="dxa"/>
            <w:shd w:val="clear" w:color="auto" w:fill="D9E2F3"/>
            <w:vAlign w:val="center"/>
          </w:tcPr>
          <w:p w14:paraId="24AFDFA9" w14:textId="77777777" w:rsidR="00990B14" w:rsidRDefault="00000000">
            <w:pPr>
              <w:spacing w:before="20" w:after="20"/>
              <w:jc w:val="both"/>
            </w:pPr>
            <w:r>
              <w:rPr>
                <w:sz w:val="18"/>
                <w:szCs w:val="18"/>
              </w:rPr>
              <w:t>Atributos del hallazgo</w:t>
            </w:r>
          </w:p>
        </w:tc>
        <w:tc>
          <w:tcPr>
            <w:tcW w:w="2015" w:type="dxa"/>
            <w:shd w:val="clear" w:color="auto" w:fill="D9E2F3"/>
            <w:vAlign w:val="center"/>
          </w:tcPr>
          <w:p w14:paraId="0A24285F" w14:textId="77777777" w:rsidR="00990B14" w:rsidRDefault="00000000">
            <w:pPr>
              <w:spacing w:before="20" w:after="20"/>
              <w:jc w:val="both"/>
            </w:pPr>
            <w:r>
              <w:rPr>
                <w:sz w:val="18"/>
                <w:szCs w:val="18"/>
              </w:rPr>
              <w:t>Los atributos están incompletos.</w:t>
            </w:r>
          </w:p>
        </w:tc>
        <w:tc>
          <w:tcPr>
            <w:tcW w:w="2008" w:type="dxa"/>
            <w:shd w:val="clear" w:color="auto" w:fill="D9E2F3"/>
            <w:vAlign w:val="center"/>
          </w:tcPr>
          <w:p w14:paraId="282D6D0D" w14:textId="77777777" w:rsidR="00990B14" w:rsidRDefault="00000000">
            <w:pPr>
              <w:spacing w:before="20" w:after="20"/>
              <w:jc w:val="both"/>
            </w:pPr>
            <w:r>
              <w:rPr>
                <w:sz w:val="18"/>
                <w:szCs w:val="18"/>
              </w:rPr>
              <w:t>Formula la condición, el criterio, la causa, el efecto y la recomendación.</w:t>
            </w:r>
          </w:p>
        </w:tc>
        <w:tc>
          <w:tcPr>
            <w:tcW w:w="1877" w:type="dxa"/>
            <w:shd w:val="clear" w:color="auto" w:fill="D9E2F3"/>
            <w:vAlign w:val="center"/>
          </w:tcPr>
          <w:p w14:paraId="71BD4976" w14:textId="77777777" w:rsidR="00990B14" w:rsidRDefault="00000000">
            <w:pPr>
              <w:spacing w:before="20" w:after="20"/>
              <w:jc w:val="both"/>
            </w:pPr>
            <w:r>
              <w:rPr>
                <w:sz w:val="18"/>
                <w:szCs w:val="18"/>
              </w:rPr>
              <w:t>Respalda cada hallazgo con evidencia verificable.</w:t>
            </w:r>
          </w:p>
        </w:tc>
      </w:tr>
      <w:tr w:rsidR="00990B14" w14:paraId="4D40E6F6" w14:textId="77777777">
        <w:trPr>
          <w:cantSplit/>
          <w:jc w:val="center"/>
        </w:trPr>
        <w:tc>
          <w:tcPr>
            <w:tcW w:w="1490" w:type="dxa"/>
            <w:vMerge/>
            <w:shd w:val="clear" w:color="auto" w:fill="4472C4"/>
            <w:vAlign w:val="center"/>
          </w:tcPr>
          <w:p w14:paraId="04CF7E04" w14:textId="77777777" w:rsidR="00990B14" w:rsidRDefault="00990B14">
            <w:pPr>
              <w:spacing w:before="20" w:after="20"/>
            </w:pPr>
          </w:p>
        </w:tc>
        <w:tc>
          <w:tcPr>
            <w:tcW w:w="2015" w:type="dxa"/>
            <w:shd w:val="clear" w:color="auto" w:fill="D9E2F3"/>
            <w:vAlign w:val="center"/>
          </w:tcPr>
          <w:p w14:paraId="27221B3F" w14:textId="77777777" w:rsidR="00990B14" w:rsidRDefault="00000000">
            <w:pPr>
              <w:spacing w:before="20" w:after="20"/>
              <w:jc w:val="both"/>
            </w:pPr>
            <w:r>
              <w:rPr>
                <w:sz w:val="18"/>
                <w:szCs w:val="18"/>
              </w:rPr>
              <w:t>Referenciación de papeles</w:t>
            </w:r>
          </w:p>
        </w:tc>
        <w:tc>
          <w:tcPr>
            <w:tcW w:w="2015" w:type="dxa"/>
            <w:shd w:val="clear" w:color="auto" w:fill="D9E2F3"/>
            <w:vAlign w:val="center"/>
          </w:tcPr>
          <w:p w14:paraId="627C17C7" w14:textId="77777777" w:rsidR="00990B14" w:rsidRDefault="00000000">
            <w:pPr>
              <w:spacing w:before="20" w:after="20"/>
              <w:jc w:val="both"/>
            </w:pPr>
            <w:r>
              <w:rPr>
                <w:sz w:val="18"/>
                <w:szCs w:val="18"/>
              </w:rPr>
              <w:t>Los papeles de trabajo carecen de referencias.</w:t>
            </w:r>
          </w:p>
        </w:tc>
        <w:tc>
          <w:tcPr>
            <w:tcW w:w="2008" w:type="dxa"/>
            <w:shd w:val="clear" w:color="auto" w:fill="D9E2F3"/>
            <w:vAlign w:val="center"/>
          </w:tcPr>
          <w:p w14:paraId="4DA9099B" w14:textId="77777777" w:rsidR="00990B14" w:rsidRDefault="00000000">
            <w:pPr>
              <w:spacing w:before="20" w:after="20"/>
              <w:jc w:val="both"/>
            </w:pPr>
            <w:r>
              <w:rPr>
                <w:sz w:val="18"/>
                <w:szCs w:val="18"/>
              </w:rPr>
              <w:t>Referencia y codifica los papeles de trabajo.</w:t>
            </w:r>
          </w:p>
        </w:tc>
        <w:tc>
          <w:tcPr>
            <w:tcW w:w="1877" w:type="dxa"/>
            <w:shd w:val="clear" w:color="auto" w:fill="D9E2F3"/>
            <w:vAlign w:val="center"/>
          </w:tcPr>
          <w:p w14:paraId="68E250C1" w14:textId="77777777" w:rsidR="00990B14" w:rsidRDefault="00000000">
            <w:pPr>
              <w:spacing w:before="20" w:after="20"/>
              <w:jc w:val="both"/>
            </w:pPr>
            <w:r>
              <w:rPr>
                <w:sz w:val="18"/>
                <w:szCs w:val="18"/>
              </w:rPr>
              <w:t>Referencia y codifica los papeles de trabajo con marcas de auditoría y su trazabilidad.</w:t>
            </w:r>
          </w:p>
        </w:tc>
      </w:tr>
      <w:tr w:rsidR="00990B14" w14:paraId="41771FAA" w14:textId="77777777">
        <w:trPr>
          <w:cantSplit/>
          <w:jc w:val="center"/>
        </w:trPr>
        <w:tc>
          <w:tcPr>
            <w:tcW w:w="1490" w:type="dxa"/>
            <w:vMerge/>
            <w:shd w:val="clear" w:color="auto" w:fill="4472C4"/>
            <w:vAlign w:val="center"/>
          </w:tcPr>
          <w:p w14:paraId="4DE945F4" w14:textId="77777777" w:rsidR="00990B14" w:rsidRDefault="00990B14">
            <w:pPr>
              <w:spacing w:before="20" w:after="20"/>
            </w:pPr>
          </w:p>
        </w:tc>
        <w:tc>
          <w:tcPr>
            <w:tcW w:w="6038" w:type="dxa"/>
            <w:gridSpan w:val="3"/>
            <w:shd w:val="clear" w:color="auto" w:fill="D9E2F3"/>
            <w:vAlign w:val="center"/>
          </w:tcPr>
          <w:p w14:paraId="092D92A3" w14:textId="77777777" w:rsidR="00990B14" w:rsidRDefault="00000000">
            <w:pPr>
              <w:keepNext/>
              <w:spacing w:before="20" w:after="20"/>
              <w:jc w:val="both"/>
            </w:pPr>
            <w:r>
              <w:rPr>
                <w:b/>
                <w:bCs/>
                <w:i/>
                <w:iCs/>
                <w:sz w:val="18"/>
                <w:szCs w:val="18"/>
              </w:rPr>
              <w:t xml:space="preserve">Producto 23: </w:t>
            </w:r>
            <w:r>
              <w:rPr>
                <w:sz w:val="18"/>
                <w:szCs w:val="18"/>
              </w:rPr>
              <w:t>Informe de auditoría con conclusiones y recomendaciones.</w:t>
            </w:r>
          </w:p>
        </w:tc>
        <w:tc>
          <w:tcPr>
            <w:tcW w:w="1877" w:type="dxa"/>
            <w:shd w:val="clear" w:color="auto" w:fill="D9E2F3"/>
            <w:vAlign w:val="center"/>
          </w:tcPr>
          <w:p w14:paraId="345F2765" w14:textId="77777777" w:rsidR="00990B14" w:rsidRDefault="00000000">
            <w:pPr>
              <w:spacing w:before="20" w:after="20"/>
              <w:jc w:val="center"/>
            </w:pPr>
            <w:r>
              <w:rPr>
                <w:b/>
                <w:bCs/>
                <w:sz w:val="18"/>
                <w:szCs w:val="18"/>
              </w:rPr>
              <w:t>4%</w:t>
            </w:r>
          </w:p>
        </w:tc>
      </w:tr>
      <w:tr w:rsidR="00990B14" w14:paraId="4EB9944F" w14:textId="77777777">
        <w:trPr>
          <w:cantSplit/>
          <w:jc w:val="center"/>
        </w:trPr>
        <w:tc>
          <w:tcPr>
            <w:tcW w:w="1490" w:type="dxa"/>
            <w:vMerge/>
            <w:shd w:val="clear" w:color="auto" w:fill="4472C4"/>
            <w:vAlign w:val="center"/>
          </w:tcPr>
          <w:p w14:paraId="12068BA9" w14:textId="77777777" w:rsidR="00990B14" w:rsidRDefault="00990B14">
            <w:pPr>
              <w:spacing w:before="20" w:after="20"/>
            </w:pPr>
          </w:p>
        </w:tc>
        <w:tc>
          <w:tcPr>
            <w:tcW w:w="2015" w:type="dxa"/>
            <w:shd w:val="clear" w:color="auto" w:fill="4472C4"/>
            <w:vAlign w:val="center"/>
          </w:tcPr>
          <w:p w14:paraId="20289023"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4F2E5BF7" w14:textId="77777777" w:rsidR="00990B14" w:rsidRDefault="00000000">
            <w:pPr>
              <w:keepNext/>
              <w:spacing w:before="20" w:after="20"/>
              <w:jc w:val="center"/>
            </w:pPr>
            <w:r>
              <w:rPr>
                <w:b/>
                <w:bCs/>
                <w:i/>
                <w:iCs/>
                <w:color w:val="FFFFFF"/>
                <w:sz w:val="18"/>
                <w:szCs w:val="18"/>
              </w:rPr>
              <w:t>Insuficiente (1–50)</w:t>
            </w:r>
          </w:p>
        </w:tc>
        <w:tc>
          <w:tcPr>
            <w:tcW w:w="2008" w:type="dxa"/>
            <w:shd w:val="clear" w:color="auto" w:fill="4472C4"/>
            <w:vAlign w:val="center"/>
          </w:tcPr>
          <w:p w14:paraId="408AF6FC"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2E31FCBC" w14:textId="77777777" w:rsidR="00990B14" w:rsidRDefault="00000000">
            <w:pPr>
              <w:keepNext/>
              <w:spacing w:before="20" w:after="20"/>
              <w:jc w:val="center"/>
            </w:pPr>
            <w:r>
              <w:rPr>
                <w:b/>
                <w:bCs/>
                <w:i/>
                <w:iCs/>
                <w:color w:val="FFFFFF"/>
                <w:sz w:val="18"/>
                <w:szCs w:val="18"/>
              </w:rPr>
              <w:t>Destacado (81–100)</w:t>
            </w:r>
          </w:p>
        </w:tc>
      </w:tr>
      <w:tr w:rsidR="00990B14" w14:paraId="64378237" w14:textId="77777777">
        <w:trPr>
          <w:cantSplit/>
          <w:jc w:val="center"/>
        </w:trPr>
        <w:tc>
          <w:tcPr>
            <w:tcW w:w="1490" w:type="dxa"/>
            <w:vMerge/>
            <w:shd w:val="clear" w:color="auto" w:fill="4472C4"/>
            <w:vAlign w:val="center"/>
          </w:tcPr>
          <w:p w14:paraId="407B76A3" w14:textId="77777777" w:rsidR="00990B14" w:rsidRDefault="00990B14">
            <w:pPr>
              <w:spacing w:before="20" w:after="20"/>
            </w:pPr>
          </w:p>
        </w:tc>
        <w:tc>
          <w:tcPr>
            <w:tcW w:w="2015" w:type="dxa"/>
            <w:shd w:val="clear" w:color="auto" w:fill="D9E2F3"/>
            <w:vAlign w:val="center"/>
          </w:tcPr>
          <w:p w14:paraId="5B83202F" w14:textId="77777777" w:rsidR="00990B14" w:rsidRDefault="00000000">
            <w:pPr>
              <w:spacing w:before="20" w:after="20"/>
              <w:jc w:val="both"/>
            </w:pPr>
            <w:r>
              <w:rPr>
                <w:sz w:val="18"/>
                <w:szCs w:val="18"/>
              </w:rPr>
              <w:t>Sustento de conclusiones</w:t>
            </w:r>
          </w:p>
        </w:tc>
        <w:tc>
          <w:tcPr>
            <w:tcW w:w="2015" w:type="dxa"/>
            <w:shd w:val="clear" w:color="auto" w:fill="D9E2F3"/>
            <w:vAlign w:val="center"/>
          </w:tcPr>
          <w:p w14:paraId="5076842A" w14:textId="77777777" w:rsidR="00990B14" w:rsidRDefault="00000000">
            <w:pPr>
              <w:spacing w:before="20" w:after="20"/>
              <w:jc w:val="both"/>
            </w:pPr>
            <w:r>
              <w:rPr>
                <w:sz w:val="18"/>
                <w:szCs w:val="18"/>
              </w:rPr>
              <w:t>Las conclusiones carecen de evidencia.</w:t>
            </w:r>
          </w:p>
        </w:tc>
        <w:tc>
          <w:tcPr>
            <w:tcW w:w="2008" w:type="dxa"/>
            <w:shd w:val="clear" w:color="auto" w:fill="D9E2F3"/>
            <w:vAlign w:val="center"/>
          </w:tcPr>
          <w:p w14:paraId="6DB917F8" w14:textId="77777777" w:rsidR="00990B14" w:rsidRDefault="00000000">
            <w:pPr>
              <w:spacing w:before="20" w:after="20"/>
              <w:jc w:val="both"/>
            </w:pPr>
            <w:r>
              <w:rPr>
                <w:sz w:val="18"/>
                <w:szCs w:val="18"/>
              </w:rPr>
              <w:t>Sustenta las conclusiones en evidencia y papeles de trabajo.</w:t>
            </w:r>
          </w:p>
        </w:tc>
        <w:tc>
          <w:tcPr>
            <w:tcW w:w="1877" w:type="dxa"/>
            <w:shd w:val="clear" w:color="auto" w:fill="D9E2F3"/>
            <w:vAlign w:val="center"/>
          </w:tcPr>
          <w:p w14:paraId="70D987B1" w14:textId="77777777" w:rsidR="00990B14" w:rsidRDefault="00000000">
            <w:pPr>
              <w:spacing w:before="20" w:after="20"/>
              <w:jc w:val="both"/>
            </w:pPr>
            <w:r>
              <w:rPr>
                <w:sz w:val="18"/>
                <w:szCs w:val="18"/>
              </w:rPr>
              <w:t>Relaciona cada conclusión con el criterio de auditoría incumplido.</w:t>
            </w:r>
          </w:p>
        </w:tc>
      </w:tr>
      <w:tr w:rsidR="00990B14" w14:paraId="335B313E" w14:textId="77777777">
        <w:trPr>
          <w:cantSplit/>
          <w:jc w:val="center"/>
        </w:trPr>
        <w:tc>
          <w:tcPr>
            <w:tcW w:w="1490" w:type="dxa"/>
            <w:vMerge/>
            <w:shd w:val="clear" w:color="auto" w:fill="4472C4"/>
            <w:vAlign w:val="center"/>
          </w:tcPr>
          <w:p w14:paraId="408B6DFE" w14:textId="77777777" w:rsidR="00990B14" w:rsidRDefault="00990B14">
            <w:pPr>
              <w:spacing w:before="20" w:after="20"/>
            </w:pPr>
          </w:p>
        </w:tc>
        <w:tc>
          <w:tcPr>
            <w:tcW w:w="2015" w:type="dxa"/>
            <w:shd w:val="clear" w:color="auto" w:fill="D9E2F3"/>
            <w:vAlign w:val="center"/>
          </w:tcPr>
          <w:p w14:paraId="40078656" w14:textId="77777777" w:rsidR="00990B14" w:rsidRDefault="00000000">
            <w:pPr>
              <w:spacing w:before="20" w:after="20"/>
              <w:jc w:val="both"/>
            </w:pPr>
            <w:r>
              <w:rPr>
                <w:sz w:val="18"/>
                <w:szCs w:val="18"/>
              </w:rPr>
              <w:t>Recomendaciones</w:t>
            </w:r>
          </w:p>
        </w:tc>
        <w:tc>
          <w:tcPr>
            <w:tcW w:w="2015" w:type="dxa"/>
            <w:shd w:val="clear" w:color="auto" w:fill="D9E2F3"/>
            <w:vAlign w:val="center"/>
          </w:tcPr>
          <w:p w14:paraId="7BB95BA5" w14:textId="77777777" w:rsidR="00990B14" w:rsidRDefault="00000000">
            <w:pPr>
              <w:spacing w:before="20" w:after="20"/>
              <w:jc w:val="both"/>
            </w:pPr>
            <w:r>
              <w:rPr>
                <w:sz w:val="18"/>
                <w:szCs w:val="18"/>
              </w:rPr>
              <w:t>Las recomendaciones no atienden la causa.</w:t>
            </w:r>
          </w:p>
        </w:tc>
        <w:tc>
          <w:tcPr>
            <w:tcW w:w="2008" w:type="dxa"/>
            <w:shd w:val="clear" w:color="auto" w:fill="D9E2F3"/>
            <w:vAlign w:val="center"/>
          </w:tcPr>
          <w:p w14:paraId="10FDB0F2" w14:textId="77777777" w:rsidR="00990B14" w:rsidRDefault="00000000">
            <w:pPr>
              <w:spacing w:before="20" w:after="20"/>
              <w:jc w:val="both"/>
            </w:pPr>
            <w:r>
              <w:rPr>
                <w:sz w:val="18"/>
                <w:szCs w:val="18"/>
              </w:rPr>
              <w:t>Formula recomendaciones viables dirigidas a la causa.</w:t>
            </w:r>
          </w:p>
        </w:tc>
        <w:tc>
          <w:tcPr>
            <w:tcW w:w="1877" w:type="dxa"/>
            <w:shd w:val="clear" w:color="auto" w:fill="D9E2F3"/>
            <w:vAlign w:val="center"/>
          </w:tcPr>
          <w:p w14:paraId="6F79EBE2" w14:textId="77777777" w:rsidR="00990B14" w:rsidRDefault="00000000">
            <w:pPr>
              <w:spacing w:before="20" w:after="20"/>
              <w:jc w:val="both"/>
            </w:pPr>
            <w:r>
              <w:rPr>
                <w:sz w:val="18"/>
                <w:szCs w:val="18"/>
              </w:rPr>
              <w:t>Prioriza las recomendaciones según el riesgo y el costo.</w:t>
            </w:r>
          </w:p>
        </w:tc>
      </w:tr>
      <w:tr w:rsidR="00990B14" w14:paraId="6A177BB2" w14:textId="77777777">
        <w:trPr>
          <w:cantSplit/>
          <w:jc w:val="center"/>
        </w:trPr>
        <w:tc>
          <w:tcPr>
            <w:tcW w:w="1490" w:type="dxa"/>
            <w:vMerge/>
            <w:shd w:val="clear" w:color="auto" w:fill="4472C4"/>
            <w:vAlign w:val="center"/>
          </w:tcPr>
          <w:p w14:paraId="4C7CDFFB" w14:textId="77777777" w:rsidR="00990B14" w:rsidRDefault="00990B14">
            <w:pPr>
              <w:spacing w:before="20" w:after="20"/>
            </w:pPr>
          </w:p>
        </w:tc>
        <w:tc>
          <w:tcPr>
            <w:tcW w:w="2015" w:type="dxa"/>
            <w:shd w:val="clear" w:color="auto" w:fill="D9E2F3"/>
            <w:vAlign w:val="center"/>
          </w:tcPr>
          <w:p w14:paraId="6DA96C75" w14:textId="77777777" w:rsidR="00990B14" w:rsidRDefault="00000000">
            <w:pPr>
              <w:spacing w:before="20" w:after="20"/>
              <w:jc w:val="both"/>
            </w:pPr>
            <w:r>
              <w:rPr>
                <w:sz w:val="18"/>
                <w:szCs w:val="18"/>
              </w:rPr>
              <w:t>Presentación del informe</w:t>
            </w:r>
          </w:p>
        </w:tc>
        <w:tc>
          <w:tcPr>
            <w:tcW w:w="2015" w:type="dxa"/>
            <w:shd w:val="clear" w:color="auto" w:fill="D9E2F3"/>
            <w:vAlign w:val="center"/>
          </w:tcPr>
          <w:p w14:paraId="17B2C143" w14:textId="77777777" w:rsidR="00990B14" w:rsidRDefault="00000000">
            <w:pPr>
              <w:spacing w:before="20" w:after="20"/>
              <w:jc w:val="both"/>
            </w:pPr>
            <w:r>
              <w:rPr>
                <w:sz w:val="18"/>
                <w:szCs w:val="18"/>
              </w:rPr>
              <w:t>El informe omite partes de su estructura.</w:t>
            </w:r>
          </w:p>
        </w:tc>
        <w:tc>
          <w:tcPr>
            <w:tcW w:w="2008" w:type="dxa"/>
            <w:shd w:val="clear" w:color="auto" w:fill="D9E2F3"/>
            <w:vAlign w:val="center"/>
          </w:tcPr>
          <w:p w14:paraId="3FACEB73" w14:textId="77777777" w:rsidR="00990B14" w:rsidRDefault="00000000">
            <w:pPr>
              <w:spacing w:before="20" w:after="20"/>
              <w:jc w:val="both"/>
            </w:pPr>
            <w:r>
              <w:rPr>
                <w:sz w:val="18"/>
                <w:szCs w:val="18"/>
              </w:rPr>
              <w:t>Presenta el informe con su estructura completa.</w:t>
            </w:r>
          </w:p>
        </w:tc>
        <w:tc>
          <w:tcPr>
            <w:tcW w:w="1877" w:type="dxa"/>
            <w:shd w:val="clear" w:color="auto" w:fill="D9E2F3"/>
            <w:vAlign w:val="center"/>
          </w:tcPr>
          <w:p w14:paraId="67D178E3" w14:textId="77777777" w:rsidR="00990B14" w:rsidRDefault="00000000">
            <w:pPr>
              <w:spacing w:before="20" w:after="20"/>
              <w:jc w:val="both"/>
            </w:pPr>
            <w:r>
              <w:rPr>
                <w:sz w:val="18"/>
                <w:szCs w:val="18"/>
              </w:rPr>
              <w:t>Presenta un informe claro, conciso y conforme a la normativa vigente.</w:t>
            </w:r>
          </w:p>
        </w:tc>
      </w:tr>
      <w:tr w:rsidR="00990B14" w14:paraId="4C11D8F2" w14:textId="77777777">
        <w:trPr>
          <w:cantSplit/>
          <w:jc w:val="center"/>
        </w:trPr>
        <w:tc>
          <w:tcPr>
            <w:tcW w:w="1490" w:type="dxa"/>
            <w:vMerge/>
            <w:shd w:val="clear" w:color="auto" w:fill="4472C4"/>
            <w:vAlign w:val="center"/>
          </w:tcPr>
          <w:p w14:paraId="21F156B3" w14:textId="77777777" w:rsidR="00990B14" w:rsidRDefault="00990B14">
            <w:pPr>
              <w:spacing w:before="20" w:after="20"/>
            </w:pPr>
          </w:p>
        </w:tc>
        <w:tc>
          <w:tcPr>
            <w:tcW w:w="6038" w:type="dxa"/>
            <w:gridSpan w:val="3"/>
            <w:shd w:val="clear" w:color="auto" w:fill="D9E2F3"/>
            <w:vAlign w:val="center"/>
          </w:tcPr>
          <w:p w14:paraId="4297CE3E" w14:textId="77777777" w:rsidR="00990B14" w:rsidRDefault="00000000">
            <w:pPr>
              <w:keepNext/>
              <w:spacing w:before="20" w:after="20"/>
              <w:jc w:val="both"/>
            </w:pPr>
            <w:r>
              <w:rPr>
                <w:b/>
                <w:bCs/>
                <w:i/>
                <w:iCs/>
                <w:sz w:val="18"/>
                <w:szCs w:val="18"/>
              </w:rPr>
              <w:t xml:space="preserve">Producto 24: </w:t>
            </w:r>
            <w:r>
              <w:rPr>
                <w:sz w:val="18"/>
                <w:szCs w:val="18"/>
              </w:rPr>
              <w:t>Informe de seguimiento al cumplimiento de recomendaciones.</w:t>
            </w:r>
          </w:p>
        </w:tc>
        <w:tc>
          <w:tcPr>
            <w:tcW w:w="1877" w:type="dxa"/>
            <w:shd w:val="clear" w:color="auto" w:fill="D9E2F3"/>
            <w:vAlign w:val="center"/>
          </w:tcPr>
          <w:p w14:paraId="54D009B9" w14:textId="77777777" w:rsidR="00990B14" w:rsidRDefault="00000000">
            <w:pPr>
              <w:spacing w:before="20" w:after="20"/>
              <w:jc w:val="center"/>
            </w:pPr>
            <w:r>
              <w:rPr>
                <w:b/>
                <w:bCs/>
                <w:sz w:val="18"/>
                <w:szCs w:val="18"/>
              </w:rPr>
              <w:t>2%</w:t>
            </w:r>
          </w:p>
        </w:tc>
      </w:tr>
      <w:tr w:rsidR="00990B14" w14:paraId="2C4FE346" w14:textId="77777777">
        <w:trPr>
          <w:cantSplit/>
          <w:jc w:val="center"/>
        </w:trPr>
        <w:tc>
          <w:tcPr>
            <w:tcW w:w="1490" w:type="dxa"/>
            <w:vMerge/>
            <w:shd w:val="clear" w:color="auto" w:fill="4472C4"/>
            <w:vAlign w:val="center"/>
          </w:tcPr>
          <w:p w14:paraId="63BC947A" w14:textId="77777777" w:rsidR="00990B14" w:rsidRDefault="00990B14">
            <w:pPr>
              <w:spacing w:before="20" w:after="20"/>
            </w:pPr>
          </w:p>
        </w:tc>
        <w:tc>
          <w:tcPr>
            <w:tcW w:w="2015" w:type="dxa"/>
            <w:shd w:val="clear" w:color="auto" w:fill="4472C4"/>
            <w:vAlign w:val="center"/>
          </w:tcPr>
          <w:p w14:paraId="549900FC" w14:textId="77777777" w:rsidR="00990B14" w:rsidRDefault="00000000">
            <w:pPr>
              <w:keepNext/>
              <w:spacing w:before="20" w:after="20"/>
              <w:jc w:val="center"/>
            </w:pPr>
            <w:r>
              <w:rPr>
                <w:b/>
                <w:bCs/>
                <w:i/>
                <w:iCs/>
                <w:color w:val="FFFFFF"/>
                <w:sz w:val="18"/>
                <w:szCs w:val="18"/>
              </w:rPr>
              <w:t>Criterio</w:t>
            </w:r>
          </w:p>
        </w:tc>
        <w:tc>
          <w:tcPr>
            <w:tcW w:w="2015" w:type="dxa"/>
            <w:shd w:val="clear" w:color="auto" w:fill="4472C4"/>
            <w:vAlign w:val="center"/>
          </w:tcPr>
          <w:p w14:paraId="0CC79645" w14:textId="77777777" w:rsidR="00990B14" w:rsidRDefault="00000000">
            <w:pPr>
              <w:keepNext/>
              <w:spacing w:before="20" w:after="20"/>
              <w:jc w:val="center"/>
            </w:pPr>
            <w:r>
              <w:rPr>
                <w:b/>
                <w:bCs/>
                <w:i/>
                <w:iCs/>
                <w:color w:val="FFFFFF"/>
                <w:sz w:val="18"/>
                <w:szCs w:val="18"/>
              </w:rPr>
              <w:t>Insuficiente (1–50)</w:t>
            </w:r>
          </w:p>
        </w:tc>
        <w:tc>
          <w:tcPr>
            <w:tcW w:w="2008" w:type="dxa"/>
            <w:shd w:val="clear" w:color="auto" w:fill="4472C4"/>
            <w:vAlign w:val="center"/>
          </w:tcPr>
          <w:p w14:paraId="5FDC9CEC"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2D7CEAFE" w14:textId="77777777" w:rsidR="00990B14" w:rsidRDefault="00000000">
            <w:pPr>
              <w:keepNext/>
              <w:spacing w:before="20" w:after="20"/>
              <w:jc w:val="center"/>
            </w:pPr>
            <w:r>
              <w:rPr>
                <w:b/>
                <w:bCs/>
                <w:i/>
                <w:iCs/>
                <w:color w:val="FFFFFF"/>
                <w:sz w:val="18"/>
                <w:szCs w:val="18"/>
              </w:rPr>
              <w:t>Destacado (81–100)</w:t>
            </w:r>
          </w:p>
        </w:tc>
      </w:tr>
      <w:tr w:rsidR="00990B14" w14:paraId="7AF914D9" w14:textId="77777777">
        <w:trPr>
          <w:cantSplit/>
          <w:jc w:val="center"/>
        </w:trPr>
        <w:tc>
          <w:tcPr>
            <w:tcW w:w="1490" w:type="dxa"/>
            <w:vMerge/>
            <w:shd w:val="clear" w:color="auto" w:fill="4472C4"/>
            <w:vAlign w:val="center"/>
          </w:tcPr>
          <w:p w14:paraId="0FCEB579" w14:textId="77777777" w:rsidR="00990B14" w:rsidRDefault="00990B14">
            <w:pPr>
              <w:spacing w:before="20" w:after="20"/>
            </w:pPr>
          </w:p>
        </w:tc>
        <w:tc>
          <w:tcPr>
            <w:tcW w:w="2015" w:type="dxa"/>
            <w:shd w:val="clear" w:color="auto" w:fill="D9E2F3"/>
            <w:vAlign w:val="center"/>
          </w:tcPr>
          <w:p w14:paraId="0814898D" w14:textId="77777777" w:rsidR="00990B14" w:rsidRDefault="00000000">
            <w:pPr>
              <w:spacing w:before="20" w:after="20"/>
              <w:jc w:val="both"/>
            </w:pPr>
            <w:r>
              <w:rPr>
                <w:sz w:val="18"/>
                <w:szCs w:val="18"/>
              </w:rPr>
              <w:t>Evaluación del cumplimiento</w:t>
            </w:r>
          </w:p>
        </w:tc>
        <w:tc>
          <w:tcPr>
            <w:tcW w:w="2015" w:type="dxa"/>
            <w:shd w:val="clear" w:color="auto" w:fill="D9E2F3"/>
            <w:vAlign w:val="center"/>
          </w:tcPr>
          <w:p w14:paraId="16ED883E" w14:textId="77777777" w:rsidR="00990B14" w:rsidRDefault="00000000">
            <w:pPr>
              <w:spacing w:before="20" w:after="20"/>
              <w:jc w:val="both"/>
            </w:pPr>
            <w:r>
              <w:rPr>
                <w:sz w:val="18"/>
                <w:szCs w:val="18"/>
              </w:rPr>
              <w:t>No verifica el cumplimiento de las recomendaciones.</w:t>
            </w:r>
          </w:p>
        </w:tc>
        <w:tc>
          <w:tcPr>
            <w:tcW w:w="2008" w:type="dxa"/>
            <w:shd w:val="clear" w:color="auto" w:fill="D9E2F3"/>
            <w:vAlign w:val="center"/>
          </w:tcPr>
          <w:p w14:paraId="319077D5" w14:textId="77777777" w:rsidR="00990B14" w:rsidRDefault="00000000">
            <w:pPr>
              <w:spacing w:before="20" w:after="20"/>
              <w:jc w:val="both"/>
            </w:pPr>
            <w:r>
              <w:rPr>
                <w:sz w:val="18"/>
                <w:szCs w:val="18"/>
              </w:rPr>
              <w:t>Verifica el estado de cada recomendación con evidencia.</w:t>
            </w:r>
          </w:p>
        </w:tc>
        <w:tc>
          <w:tcPr>
            <w:tcW w:w="1877" w:type="dxa"/>
            <w:shd w:val="clear" w:color="auto" w:fill="D9E2F3"/>
            <w:vAlign w:val="center"/>
          </w:tcPr>
          <w:p w14:paraId="0E5200E5" w14:textId="77777777" w:rsidR="00990B14" w:rsidRDefault="00000000">
            <w:pPr>
              <w:spacing w:before="20" w:after="20"/>
              <w:jc w:val="both"/>
            </w:pPr>
            <w:r>
              <w:rPr>
                <w:sz w:val="18"/>
                <w:szCs w:val="18"/>
              </w:rPr>
              <w:t>Evalúa la eficacia de las acciones implementadas.</w:t>
            </w:r>
          </w:p>
        </w:tc>
      </w:tr>
      <w:tr w:rsidR="00990B14" w14:paraId="198D1CEB" w14:textId="77777777">
        <w:trPr>
          <w:cantSplit/>
          <w:jc w:val="center"/>
        </w:trPr>
        <w:tc>
          <w:tcPr>
            <w:tcW w:w="1490" w:type="dxa"/>
            <w:vMerge/>
            <w:shd w:val="clear" w:color="auto" w:fill="4472C4"/>
            <w:vAlign w:val="center"/>
          </w:tcPr>
          <w:p w14:paraId="40A1C9DC" w14:textId="77777777" w:rsidR="00990B14" w:rsidRDefault="00990B14">
            <w:pPr>
              <w:spacing w:before="20" w:after="20"/>
            </w:pPr>
          </w:p>
        </w:tc>
        <w:tc>
          <w:tcPr>
            <w:tcW w:w="2015" w:type="dxa"/>
            <w:shd w:val="clear" w:color="auto" w:fill="D9E2F3"/>
            <w:vAlign w:val="center"/>
          </w:tcPr>
          <w:p w14:paraId="19C9CEAC" w14:textId="77777777" w:rsidR="00990B14" w:rsidRDefault="00000000">
            <w:pPr>
              <w:spacing w:before="20" w:after="20"/>
              <w:jc w:val="both"/>
            </w:pPr>
            <w:r>
              <w:rPr>
                <w:sz w:val="18"/>
                <w:szCs w:val="18"/>
              </w:rPr>
              <w:t>Planes de acción y plazos</w:t>
            </w:r>
          </w:p>
        </w:tc>
        <w:tc>
          <w:tcPr>
            <w:tcW w:w="2015" w:type="dxa"/>
            <w:shd w:val="clear" w:color="auto" w:fill="D9E2F3"/>
            <w:vAlign w:val="center"/>
          </w:tcPr>
          <w:p w14:paraId="6E0A567A" w14:textId="77777777" w:rsidR="00990B14" w:rsidRDefault="00000000">
            <w:pPr>
              <w:spacing w:before="20" w:after="20"/>
              <w:jc w:val="both"/>
            </w:pPr>
            <w:r>
              <w:rPr>
                <w:sz w:val="18"/>
                <w:szCs w:val="18"/>
              </w:rPr>
              <w:t>Omite los responsables o los plazos.</w:t>
            </w:r>
          </w:p>
        </w:tc>
        <w:tc>
          <w:tcPr>
            <w:tcW w:w="2008" w:type="dxa"/>
            <w:shd w:val="clear" w:color="auto" w:fill="D9E2F3"/>
            <w:vAlign w:val="center"/>
          </w:tcPr>
          <w:p w14:paraId="1DA476CA" w14:textId="77777777" w:rsidR="00990B14" w:rsidRDefault="00000000">
            <w:pPr>
              <w:spacing w:before="20" w:after="20"/>
              <w:jc w:val="both"/>
            </w:pPr>
            <w:r>
              <w:rPr>
                <w:sz w:val="18"/>
                <w:szCs w:val="18"/>
              </w:rPr>
              <w:t>Relaciona cada recomendación con su plan de acción, responsable y plazo.</w:t>
            </w:r>
          </w:p>
        </w:tc>
        <w:tc>
          <w:tcPr>
            <w:tcW w:w="1877" w:type="dxa"/>
            <w:shd w:val="clear" w:color="auto" w:fill="D9E2F3"/>
            <w:vAlign w:val="center"/>
          </w:tcPr>
          <w:p w14:paraId="496DEF96" w14:textId="77777777" w:rsidR="00990B14" w:rsidRDefault="00000000">
            <w:pPr>
              <w:spacing w:before="20" w:after="20"/>
              <w:jc w:val="both"/>
            </w:pPr>
            <w:r>
              <w:rPr>
                <w:sz w:val="18"/>
                <w:szCs w:val="18"/>
              </w:rPr>
              <w:t>Propone acciones ante los incumplimientos y las demoras.</w:t>
            </w:r>
          </w:p>
        </w:tc>
      </w:tr>
      <w:tr w:rsidR="00990B14" w14:paraId="31759A14" w14:textId="77777777">
        <w:trPr>
          <w:cantSplit/>
          <w:jc w:val="center"/>
        </w:trPr>
        <w:tc>
          <w:tcPr>
            <w:tcW w:w="1490" w:type="dxa"/>
            <w:vMerge/>
            <w:shd w:val="clear" w:color="auto" w:fill="4472C4"/>
            <w:vAlign w:val="center"/>
          </w:tcPr>
          <w:p w14:paraId="559B2B87" w14:textId="77777777" w:rsidR="00990B14" w:rsidRDefault="00990B14">
            <w:pPr>
              <w:spacing w:before="20" w:after="20"/>
            </w:pPr>
          </w:p>
        </w:tc>
        <w:tc>
          <w:tcPr>
            <w:tcW w:w="2015" w:type="dxa"/>
            <w:shd w:val="clear" w:color="auto" w:fill="D9E2F3"/>
            <w:vAlign w:val="center"/>
          </w:tcPr>
          <w:p w14:paraId="3CE1B0CF" w14:textId="77777777" w:rsidR="00990B14" w:rsidRDefault="00000000">
            <w:pPr>
              <w:spacing w:before="20" w:after="20"/>
              <w:jc w:val="both"/>
            </w:pPr>
            <w:r>
              <w:rPr>
                <w:sz w:val="18"/>
                <w:szCs w:val="18"/>
              </w:rPr>
              <w:t>Presentación del informe</w:t>
            </w:r>
          </w:p>
        </w:tc>
        <w:tc>
          <w:tcPr>
            <w:tcW w:w="2015" w:type="dxa"/>
            <w:shd w:val="clear" w:color="auto" w:fill="D9E2F3"/>
            <w:vAlign w:val="center"/>
          </w:tcPr>
          <w:p w14:paraId="3948DC14" w14:textId="77777777" w:rsidR="00990B14" w:rsidRDefault="00000000">
            <w:pPr>
              <w:spacing w:before="20" w:after="20"/>
              <w:jc w:val="both"/>
            </w:pPr>
            <w:r>
              <w:rPr>
                <w:sz w:val="18"/>
                <w:szCs w:val="18"/>
              </w:rPr>
              <w:t>El informe es desordenado o incompleto.</w:t>
            </w:r>
          </w:p>
        </w:tc>
        <w:tc>
          <w:tcPr>
            <w:tcW w:w="2008" w:type="dxa"/>
            <w:shd w:val="clear" w:color="auto" w:fill="D9E2F3"/>
            <w:vAlign w:val="center"/>
          </w:tcPr>
          <w:p w14:paraId="3B2FADCD" w14:textId="77777777" w:rsidR="00990B14" w:rsidRDefault="00000000">
            <w:pPr>
              <w:spacing w:before="20" w:after="20"/>
              <w:jc w:val="both"/>
            </w:pPr>
            <w:r>
              <w:rPr>
                <w:sz w:val="18"/>
                <w:szCs w:val="18"/>
              </w:rPr>
              <w:t>Presenta el informe ordenado con el estado de cada recomendación.</w:t>
            </w:r>
          </w:p>
        </w:tc>
        <w:tc>
          <w:tcPr>
            <w:tcW w:w="1877" w:type="dxa"/>
            <w:shd w:val="clear" w:color="auto" w:fill="D9E2F3"/>
            <w:vAlign w:val="center"/>
          </w:tcPr>
          <w:p w14:paraId="2F2B76B4" w14:textId="77777777" w:rsidR="00990B14" w:rsidRDefault="00000000">
            <w:pPr>
              <w:spacing w:before="20" w:after="20"/>
              <w:jc w:val="both"/>
            </w:pPr>
            <w:r>
              <w:rPr>
                <w:sz w:val="18"/>
                <w:szCs w:val="18"/>
              </w:rPr>
              <w:t>Presenta un informe claro con conclusiones sobre el grado de cumplimiento.</w:t>
            </w:r>
          </w:p>
        </w:tc>
      </w:tr>
      <w:tr w:rsidR="00990B14" w14:paraId="1C73FB1A" w14:textId="77777777">
        <w:trPr>
          <w:cantSplit/>
          <w:jc w:val="center"/>
        </w:trPr>
        <w:tc>
          <w:tcPr>
            <w:tcW w:w="7528" w:type="dxa"/>
            <w:gridSpan w:val="4"/>
            <w:shd w:val="clear" w:color="auto" w:fill="4472C4"/>
            <w:vAlign w:val="center"/>
          </w:tcPr>
          <w:p w14:paraId="07A4BE12" w14:textId="77777777" w:rsidR="00990B14" w:rsidRDefault="00000000">
            <w:pPr>
              <w:keepNext/>
              <w:spacing w:before="20" w:after="20"/>
              <w:jc w:val="center"/>
            </w:pPr>
            <w:r>
              <w:rPr>
                <w:b/>
                <w:bCs/>
                <w:i/>
                <w:iCs/>
                <w:color w:val="FFFFFF"/>
                <w:sz w:val="18"/>
                <w:szCs w:val="18"/>
              </w:rPr>
              <w:t>TOTAL</w:t>
            </w:r>
          </w:p>
        </w:tc>
        <w:tc>
          <w:tcPr>
            <w:tcW w:w="1877" w:type="dxa"/>
            <w:shd w:val="clear" w:color="auto" w:fill="4472C4"/>
            <w:vAlign w:val="center"/>
          </w:tcPr>
          <w:p w14:paraId="561C72FB" w14:textId="77777777" w:rsidR="00990B14" w:rsidRDefault="00000000">
            <w:pPr>
              <w:keepNext/>
              <w:spacing w:before="20" w:after="20"/>
              <w:jc w:val="center"/>
            </w:pPr>
            <w:r>
              <w:rPr>
                <w:b/>
                <w:bCs/>
                <w:i/>
                <w:iCs/>
                <w:color w:val="FFFFFF"/>
                <w:sz w:val="18"/>
                <w:szCs w:val="18"/>
              </w:rPr>
              <w:t>100%</w:t>
            </w:r>
          </w:p>
        </w:tc>
      </w:tr>
    </w:tbl>
    <w:p w14:paraId="2874C7D9"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9405"/>
      </w:tblGrid>
      <w:tr w:rsidR="00990B14" w14:paraId="40FD420F" w14:textId="77777777">
        <w:trPr>
          <w:jc w:val="center"/>
        </w:trPr>
        <w:tc>
          <w:tcPr>
            <w:tcW w:w="9405" w:type="dxa"/>
            <w:shd w:val="clear" w:color="auto" w:fill="D9E2F3"/>
          </w:tcPr>
          <w:p w14:paraId="23239A8A" w14:textId="77777777" w:rsidR="00990B14" w:rsidRDefault="00000000">
            <w:pPr>
              <w:spacing w:before="40" w:after="40"/>
              <w:jc w:val="both"/>
            </w:pPr>
            <w:r>
              <w:rPr>
                <w:b/>
                <w:bCs/>
                <w:i/>
                <w:iCs/>
                <w:sz w:val="18"/>
                <w:szCs w:val="18"/>
              </w:rPr>
              <w:t>Bibliografía básica:</w:t>
            </w:r>
          </w:p>
          <w:p w14:paraId="27EC5748" w14:textId="77777777" w:rsidR="00990B14" w:rsidRDefault="00000000">
            <w:pPr>
              <w:numPr>
                <w:ilvl w:val="0"/>
                <w:numId w:val="140"/>
              </w:numPr>
              <w:spacing w:after="20"/>
              <w:jc w:val="both"/>
            </w:pPr>
            <w:r>
              <w:rPr>
                <w:sz w:val="18"/>
                <w:szCs w:val="18"/>
              </w:rPr>
              <w:t>Asamblea Legislativa Plurinacional de Bolivia. (2013). Ley N.º 393 de Servicios Financieros, de 21 de agosto de 2013. Gaceta Oficial de Bolivia.</w:t>
            </w:r>
          </w:p>
          <w:p w14:paraId="30DD3302" w14:textId="77777777" w:rsidR="00990B14" w:rsidRDefault="00000000">
            <w:pPr>
              <w:numPr>
                <w:ilvl w:val="0"/>
                <w:numId w:val="140"/>
              </w:numPr>
              <w:spacing w:after="20"/>
              <w:jc w:val="both"/>
            </w:pPr>
            <w:r>
              <w:rPr>
                <w:sz w:val="18"/>
                <w:szCs w:val="18"/>
              </w:rPr>
              <w:t>Autoridad de Supervisión del Sistema Financiero. Recopilación de Normas para Servicios Financieros: Reglamento de Gobierno Corporativo y Directrices Básicas para la Gestión Integral de Riesgos. La Paz: ASFI.</w:t>
            </w:r>
          </w:p>
          <w:p w14:paraId="30FAA300" w14:textId="77777777" w:rsidR="00990B14" w:rsidRDefault="00000000">
            <w:pPr>
              <w:numPr>
                <w:ilvl w:val="0"/>
                <w:numId w:val="140"/>
              </w:numPr>
              <w:spacing w:after="20"/>
              <w:jc w:val="both"/>
            </w:pPr>
            <w:r>
              <w:rPr>
                <w:sz w:val="18"/>
                <w:szCs w:val="18"/>
              </w:rPr>
              <w:t>Colegio de Auditores o Contadores Públicos de Bolivia – Consejo Técnico Nacional de Auditoría y Contabilidad. (2023). Compendio de Normas de Contabilidad y Auditoría. Santa Cruz: CAUB–CTNAC.</w:t>
            </w:r>
          </w:p>
          <w:p w14:paraId="1A4C1796" w14:textId="77777777" w:rsidR="00990B14" w:rsidRDefault="00000000">
            <w:pPr>
              <w:numPr>
                <w:ilvl w:val="0"/>
                <w:numId w:val="140"/>
              </w:numPr>
              <w:spacing w:after="20"/>
              <w:jc w:val="both"/>
            </w:pPr>
            <w:r w:rsidRPr="00BD34F7">
              <w:rPr>
                <w:sz w:val="18"/>
                <w:szCs w:val="18"/>
                <w:lang w:val="en-US"/>
              </w:rPr>
              <w:t xml:space="preserve">Committee of Sponsoring Organizations of the Treadway Commission. </w:t>
            </w:r>
            <w:r>
              <w:rPr>
                <w:sz w:val="18"/>
                <w:szCs w:val="18"/>
              </w:rPr>
              <w:t>(2013). Control Interno – Marco Integrado. Traducción del Instituto de Auditores Internos de España y PwC.</w:t>
            </w:r>
          </w:p>
          <w:p w14:paraId="74318E23" w14:textId="77777777" w:rsidR="00990B14" w:rsidRDefault="00000000">
            <w:pPr>
              <w:numPr>
                <w:ilvl w:val="0"/>
                <w:numId w:val="140"/>
              </w:numPr>
              <w:spacing w:after="20"/>
              <w:jc w:val="both"/>
            </w:pPr>
            <w:r w:rsidRPr="00BD34F7">
              <w:rPr>
                <w:sz w:val="18"/>
                <w:szCs w:val="18"/>
                <w:lang w:val="en-US"/>
              </w:rPr>
              <w:t xml:space="preserve">Committee of Sponsoring Organizations of the Treadway Commission. </w:t>
            </w:r>
            <w:r>
              <w:rPr>
                <w:sz w:val="18"/>
                <w:szCs w:val="18"/>
              </w:rPr>
              <w:t>(2017). Gestión del Riesgo Empresarial: Integrando Estrategia y Desempeño. Traducción del Instituto de Auditores Internos de España y PwC.</w:t>
            </w:r>
          </w:p>
          <w:p w14:paraId="2C26BAD8" w14:textId="77777777" w:rsidR="00990B14" w:rsidRDefault="00000000">
            <w:pPr>
              <w:numPr>
                <w:ilvl w:val="0"/>
                <w:numId w:val="140"/>
              </w:numPr>
              <w:spacing w:after="20"/>
              <w:jc w:val="both"/>
            </w:pPr>
            <w:r>
              <w:rPr>
                <w:sz w:val="18"/>
                <w:szCs w:val="18"/>
              </w:rPr>
              <w:t>Contraloría General de la República. (2000). Principios, Normas Generales y Básicas de Control Interno Gubernamental. La Paz.</w:t>
            </w:r>
          </w:p>
          <w:p w14:paraId="64DABA1F" w14:textId="77777777" w:rsidR="00990B14" w:rsidRDefault="00000000">
            <w:pPr>
              <w:numPr>
                <w:ilvl w:val="0"/>
                <w:numId w:val="140"/>
              </w:numPr>
              <w:spacing w:after="20"/>
              <w:jc w:val="both"/>
            </w:pPr>
            <w:r>
              <w:rPr>
                <w:sz w:val="18"/>
                <w:szCs w:val="18"/>
              </w:rPr>
              <w:t>Contraloría General del Estado. (2012). Normas de Auditoría Gubernamental, incluidas las Normas para el Ejercicio de la Auditoría Interna. La Paz: CGE.</w:t>
            </w:r>
          </w:p>
          <w:p w14:paraId="3623264E" w14:textId="77777777" w:rsidR="00990B14" w:rsidRDefault="00000000">
            <w:pPr>
              <w:numPr>
                <w:ilvl w:val="0"/>
                <w:numId w:val="140"/>
              </w:numPr>
              <w:spacing w:after="20"/>
              <w:jc w:val="both"/>
            </w:pPr>
            <w:r>
              <w:rPr>
                <w:sz w:val="18"/>
                <w:szCs w:val="18"/>
              </w:rPr>
              <w:t>Decreto Ley N.º 14379, Código de Comercio, de 25 de febrero de 1977.</w:t>
            </w:r>
          </w:p>
          <w:p w14:paraId="7D815F84" w14:textId="77777777" w:rsidR="00990B14" w:rsidRDefault="00000000">
            <w:pPr>
              <w:numPr>
                <w:ilvl w:val="0"/>
                <w:numId w:val="140"/>
              </w:numPr>
              <w:spacing w:after="20"/>
              <w:jc w:val="both"/>
            </w:pPr>
            <w:r>
              <w:rPr>
                <w:sz w:val="18"/>
                <w:szCs w:val="18"/>
              </w:rPr>
              <w:t>Decreto Supremo N.º 23215, Reglamento para el Ejercicio de las Atribuciones de la Contraloría General de la República, de 1992. Gaceta Oficial de Bolivia.</w:t>
            </w:r>
          </w:p>
          <w:p w14:paraId="673A3B58" w14:textId="77777777" w:rsidR="00990B14" w:rsidRDefault="00000000">
            <w:pPr>
              <w:numPr>
                <w:ilvl w:val="0"/>
                <w:numId w:val="140"/>
              </w:numPr>
              <w:spacing w:after="20"/>
              <w:jc w:val="both"/>
            </w:pPr>
            <w:r>
              <w:rPr>
                <w:sz w:val="18"/>
                <w:szCs w:val="18"/>
              </w:rPr>
              <w:t>Instituto de Auditores Internos. (2020). Modelo de las Tres Líneas del IIA. Lake Mary: The IIA.</w:t>
            </w:r>
          </w:p>
          <w:p w14:paraId="40038A7E" w14:textId="77777777" w:rsidR="00990B14" w:rsidRDefault="00000000">
            <w:pPr>
              <w:numPr>
                <w:ilvl w:val="0"/>
                <w:numId w:val="140"/>
              </w:numPr>
              <w:spacing w:after="20"/>
              <w:jc w:val="both"/>
            </w:pPr>
            <w:r>
              <w:rPr>
                <w:sz w:val="18"/>
                <w:szCs w:val="18"/>
              </w:rPr>
              <w:t>Instituto de Auditores Internos. (2024). Normas Globales de Auditoría Interna. Lake Mary: The IIA.</w:t>
            </w:r>
          </w:p>
          <w:p w14:paraId="62E4D059" w14:textId="77777777" w:rsidR="00990B14" w:rsidRDefault="00000000">
            <w:pPr>
              <w:numPr>
                <w:ilvl w:val="0"/>
                <w:numId w:val="140"/>
              </w:numPr>
              <w:spacing w:after="20"/>
              <w:jc w:val="both"/>
            </w:pPr>
            <w:r>
              <w:rPr>
                <w:sz w:val="18"/>
                <w:szCs w:val="18"/>
              </w:rPr>
              <w:t>Instituto de Auditores Internos. (2025). Requisitos Temáticos: Ciberseguridad (febrero), Terceros (septiembre) y Comportamiento Organizacional (diciembre). Lake Mary: The IIA.</w:t>
            </w:r>
          </w:p>
          <w:p w14:paraId="7F19D898" w14:textId="77777777" w:rsidR="00990B14" w:rsidRDefault="00000000">
            <w:pPr>
              <w:numPr>
                <w:ilvl w:val="0"/>
                <w:numId w:val="140"/>
              </w:numPr>
              <w:spacing w:after="20"/>
              <w:jc w:val="both"/>
            </w:pPr>
            <w:r w:rsidRPr="00BD34F7">
              <w:rPr>
                <w:sz w:val="18"/>
                <w:szCs w:val="18"/>
                <w:lang w:val="en-US"/>
              </w:rPr>
              <w:t xml:space="preserve">International Ethics Standards Board for Accountants. (2025). 2025 Handbook of the International Code of Ethics for Professional Accountants (including International Independence Standards). </w:t>
            </w:r>
            <w:r>
              <w:rPr>
                <w:sz w:val="18"/>
                <w:szCs w:val="18"/>
              </w:rPr>
              <w:t>Nueva York: IFAC.</w:t>
            </w:r>
          </w:p>
          <w:p w14:paraId="1D973F80" w14:textId="77777777" w:rsidR="00990B14" w:rsidRDefault="00000000">
            <w:pPr>
              <w:numPr>
                <w:ilvl w:val="0"/>
                <w:numId w:val="140"/>
              </w:numPr>
              <w:spacing w:after="20"/>
              <w:jc w:val="both"/>
            </w:pPr>
            <w:r>
              <w:rPr>
                <w:sz w:val="18"/>
                <w:szCs w:val="18"/>
              </w:rPr>
              <w:t>Ley N.º 004 de Lucha contra la Corrupción, Enriquecimiento Ilícito e Investigación de Fortunas «Marcelo Quiroga Santa Cruz», de 31 de marzo de 2010. Gaceta Oficial de Bolivia.</w:t>
            </w:r>
          </w:p>
          <w:p w14:paraId="4E6BC3C7" w14:textId="77777777" w:rsidR="00990B14" w:rsidRDefault="00000000">
            <w:pPr>
              <w:numPr>
                <w:ilvl w:val="0"/>
                <w:numId w:val="140"/>
              </w:numPr>
              <w:spacing w:after="20"/>
              <w:jc w:val="both"/>
            </w:pPr>
            <w:r>
              <w:rPr>
                <w:sz w:val="18"/>
                <w:szCs w:val="18"/>
              </w:rPr>
              <w:t>Ley N.º 1178 de Administración y Control Gubernamentales, de 20 de julio de 1990. Gaceta Oficial de Bolivia.</w:t>
            </w:r>
          </w:p>
          <w:p w14:paraId="17427E90" w14:textId="77777777" w:rsidR="00990B14" w:rsidRDefault="00000000">
            <w:pPr>
              <w:numPr>
                <w:ilvl w:val="0"/>
                <w:numId w:val="140"/>
              </w:numPr>
              <w:spacing w:after="20"/>
              <w:jc w:val="both"/>
            </w:pPr>
            <w:r>
              <w:rPr>
                <w:sz w:val="18"/>
                <w:szCs w:val="18"/>
              </w:rPr>
              <w:t>Ley N.º 777 del Sistema de Planificación Integral del Estado, de 2016. Gaceta Oficial de Bolivia.</w:t>
            </w:r>
          </w:p>
          <w:p w14:paraId="6CFE28E9" w14:textId="77777777" w:rsidR="00990B14" w:rsidRDefault="00000000">
            <w:pPr>
              <w:numPr>
                <w:ilvl w:val="0"/>
                <w:numId w:val="140"/>
              </w:numPr>
              <w:spacing w:after="20"/>
              <w:jc w:val="both"/>
            </w:pPr>
            <w:r>
              <w:rPr>
                <w:sz w:val="18"/>
                <w:szCs w:val="18"/>
              </w:rPr>
              <w:t>OCDE. (2023). Principios de Gobierno Corporativo del G20 y de la OCDE 2023. París: Publicaciones de la OCDE.</w:t>
            </w:r>
          </w:p>
          <w:p w14:paraId="6D74613C" w14:textId="77777777" w:rsidR="00990B14" w:rsidRDefault="00000000">
            <w:pPr>
              <w:numPr>
                <w:ilvl w:val="0"/>
                <w:numId w:val="140"/>
              </w:numPr>
              <w:spacing w:after="20"/>
              <w:jc w:val="both"/>
            </w:pPr>
            <w:r>
              <w:rPr>
                <w:sz w:val="18"/>
                <w:szCs w:val="18"/>
              </w:rPr>
              <w:t>Organización Internacional de Entidades Fiscalizadoras Superiores. (2019). Marco de Pronunciamientos Profesionales de la INTOSAI (IFPP) y normas ISSAI. Viena: INTOSAI.</w:t>
            </w:r>
          </w:p>
          <w:p w14:paraId="24C33EE6" w14:textId="77777777" w:rsidR="00990B14" w:rsidRDefault="00000000">
            <w:pPr>
              <w:numPr>
                <w:ilvl w:val="0"/>
                <w:numId w:val="140"/>
              </w:numPr>
              <w:spacing w:after="20"/>
              <w:jc w:val="both"/>
            </w:pPr>
            <w:r>
              <w:rPr>
                <w:sz w:val="18"/>
                <w:szCs w:val="18"/>
              </w:rPr>
              <w:t>Organización Internacional de Normalización. (2018). ISO 31000:2018, Gestión del riesgo – Directrices. Ginebra: ISO.</w:t>
            </w:r>
          </w:p>
          <w:p w14:paraId="7150BA05" w14:textId="77777777" w:rsidR="00990B14" w:rsidRDefault="00000000">
            <w:pPr>
              <w:numPr>
                <w:ilvl w:val="0"/>
                <w:numId w:val="140"/>
              </w:numPr>
              <w:spacing w:after="20"/>
              <w:jc w:val="both"/>
            </w:pPr>
            <w:r>
              <w:rPr>
                <w:sz w:val="18"/>
                <w:szCs w:val="18"/>
              </w:rPr>
              <w:t>Sistema de la Universidad Boliviana. (2024). Conclusiones y recomendaciones de la III-XIII Reunión Sectorial de Carreras de Contaduría Pública. Trinidad: SUB.</w:t>
            </w:r>
          </w:p>
        </w:tc>
      </w:tr>
      <w:tr w:rsidR="00990B14" w14:paraId="703DB92B" w14:textId="77777777">
        <w:trPr>
          <w:jc w:val="center"/>
        </w:trPr>
        <w:tc>
          <w:tcPr>
            <w:tcW w:w="9405" w:type="dxa"/>
            <w:shd w:val="clear" w:color="auto" w:fill="D9E2F3"/>
          </w:tcPr>
          <w:p w14:paraId="4EDC172F" w14:textId="77777777" w:rsidR="00990B14" w:rsidRDefault="00000000">
            <w:pPr>
              <w:spacing w:before="40" w:after="40"/>
              <w:jc w:val="both"/>
            </w:pPr>
            <w:r>
              <w:rPr>
                <w:b/>
                <w:bCs/>
                <w:i/>
                <w:iCs/>
                <w:sz w:val="18"/>
                <w:szCs w:val="18"/>
              </w:rPr>
              <w:t>Bibliografía complementaria:</w:t>
            </w:r>
          </w:p>
          <w:p w14:paraId="6C7248D4" w14:textId="77777777" w:rsidR="00990B14" w:rsidRDefault="00000000">
            <w:pPr>
              <w:numPr>
                <w:ilvl w:val="0"/>
                <w:numId w:val="140"/>
              </w:numPr>
              <w:spacing w:after="20"/>
              <w:jc w:val="both"/>
            </w:pPr>
            <w:r w:rsidRPr="00BD34F7">
              <w:rPr>
                <w:sz w:val="18"/>
                <w:szCs w:val="18"/>
                <w:lang w:val="en-US"/>
              </w:rPr>
              <w:t xml:space="preserve">Association of Certified Fraud Examiners. (2024). Occupational Fraud 2024: A Report to the Nations. </w:t>
            </w:r>
            <w:r>
              <w:rPr>
                <w:sz w:val="18"/>
                <w:szCs w:val="18"/>
              </w:rPr>
              <w:t>Austin: ACFE.</w:t>
            </w:r>
          </w:p>
          <w:p w14:paraId="7760D649" w14:textId="77777777" w:rsidR="00990B14" w:rsidRDefault="00000000">
            <w:pPr>
              <w:numPr>
                <w:ilvl w:val="0"/>
                <w:numId w:val="140"/>
              </w:numPr>
              <w:spacing w:after="20"/>
              <w:jc w:val="both"/>
            </w:pPr>
            <w:r w:rsidRPr="00BD34F7">
              <w:rPr>
                <w:sz w:val="18"/>
                <w:szCs w:val="18"/>
                <w:lang w:val="en-US"/>
              </w:rPr>
              <w:t xml:space="preserve">Biggs, J., Tang, C. y Kennedy, G. (2022). Teaching for Quality Learning at University (5.ª ed.). </w:t>
            </w:r>
            <w:r>
              <w:rPr>
                <w:sz w:val="18"/>
                <w:szCs w:val="18"/>
              </w:rPr>
              <w:t>Londres: Open University Press – McGraw-Hill.</w:t>
            </w:r>
          </w:p>
          <w:p w14:paraId="5909B6AA" w14:textId="77777777" w:rsidR="00990B14" w:rsidRDefault="00000000">
            <w:pPr>
              <w:numPr>
                <w:ilvl w:val="0"/>
                <w:numId w:val="140"/>
              </w:numPr>
              <w:spacing w:after="20"/>
              <w:jc w:val="both"/>
            </w:pPr>
            <w:r>
              <w:rPr>
                <w:sz w:val="18"/>
                <w:szCs w:val="18"/>
              </w:rPr>
              <w:t>CAF – Banco de Desarrollo de América Latina. (2013). Lineamientos para un Código Latinoamericano de Gobierno Corporativo. Caracas: CAF.</w:t>
            </w:r>
          </w:p>
          <w:p w14:paraId="64B1733E" w14:textId="77777777" w:rsidR="00990B14" w:rsidRDefault="00000000">
            <w:pPr>
              <w:numPr>
                <w:ilvl w:val="0"/>
                <w:numId w:val="140"/>
              </w:numPr>
              <w:spacing w:after="20"/>
              <w:jc w:val="both"/>
            </w:pPr>
            <w:r w:rsidRPr="00BD34F7">
              <w:rPr>
                <w:sz w:val="18"/>
                <w:szCs w:val="18"/>
                <w:lang w:val="en-US"/>
              </w:rPr>
              <w:t xml:space="preserve">Committee of Sponsoring Organizations of the Treadway Commission. </w:t>
            </w:r>
            <w:r>
              <w:rPr>
                <w:sz w:val="18"/>
                <w:szCs w:val="18"/>
              </w:rPr>
              <w:t>(2023). Achieving Effective Internal Control over Sustainability Reporting (ICSR). COSO.</w:t>
            </w:r>
          </w:p>
          <w:p w14:paraId="069F096A" w14:textId="77777777" w:rsidR="00990B14" w:rsidRDefault="00000000">
            <w:pPr>
              <w:numPr>
                <w:ilvl w:val="0"/>
                <w:numId w:val="140"/>
              </w:numPr>
              <w:spacing w:after="20"/>
              <w:jc w:val="both"/>
            </w:pPr>
            <w:r w:rsidRPr="00BD34F7">
              <w:rPr>
                <w:sz w:val="18"/>
                <w:szCs w:val="18"/>
                <w:lang w:val="en-US"/>
              </w:rPr>
              <w:t xml:space="preserve">Committee of Sponsoring Organizations of the Treadway Commission. </w:t>
            </w:r>
            <w:r>
              <w:rPr>
                <w:sz w:val="18"/>
                <w:szCs w:val="18"/>
              </w:rPr>
              <w:t>(2026). Achieving Effective Internal Control over Generative AI. COSO.</w:t>
            </w:r>
          </w:p>
          <w:p w14:paraId="1E38CC9A" w14:textId="77777777" w:rsidR="00990B14" w:rsidRDefault="00000000">
            <w:pPr>
              <w:numPr>
                <w:ilvl w:val="0"/>
                <w:numId w:val="140"/>
              </w:numPr>
              <w:spacing w:after="20"/>
              <w:jc w:val="both"/>
            </w:pPr>
            <w:r>
              <w:rPr>
                <w:sz w:val="18"/>
                <w:szCs w:val="18"/>
              </w:rPr>
              <w:t>Estupiñán Gaitán, R. (2015). Administración de riesgos E.R.M. y la auditoría interna. Bogotá: ECOE Ediciones.</w:t>
            </w:r>
          </w:p>
          <w:p w14:paraId="040DE00E" w14:textId="77777777" w:rsidR="00990B14" w:rsidRDefault="00000000">
            <w:pPr>
              <w:numPr>
                <w:ilvl w:val="0"/>
                <w:numId w:val="140"/>
              </w:numPr>
              <w:spacing w:after="20"/>
              <w:jc w:val="both"/>
            </w:pPr>
            <w:r>
              <w:rPr>
                <w:sz w:val="18"/>
                <w:szCs w:val="18"/>
              </w:rPr>
              <w:t xml:space="preserve">Grupo de Acción Financiera Internacional. </w:t>
            </w:r>
            <w:r w:rsidRPr="00BD34F7">
              <w:rPr>
                <w:sz w:val="18"/>
                <w:szCs w:val="18"/>
                <w:lang w:val="en-US"/>
              </w:rPr>
              <w:t xml:space="preserve">(2023). Guidance on Beneficial Ownership of Legal Persons (Recomendación 24). </w:t>
            </w:r>
            <w:r>
              <w:rPr>
                <w:sz w:val="18"/>
                <w:szCs w:val="18"/>
              </w:rPr>
              <w:t>París: GAFI.</w:t>
            </w:r>
          </w:p>
          <w:p w14:paraId="23591DBA" w14:textId="77777777" w:rsidR="00990B14" w:rsidRPr="00BD34F7" w:rsidRDefault="00000000">
            <w:pPr>
              <w:numPr>
                <w:ilvl w:val="0"/>
                <w:numId w:val="140"/>
              </w:numPr>
              <w:spacing w:after="20"/>
              <w:jc w:val="both"/>
              <w:rPr>
                <w:lang w:val="en-US"/>
              </w:rPr>
            </w:pPr>
            <w:r w:rsidRPr="00BD34F7">
              <w:rPr>
                <w:sz w:val="18"/>
                <w:szCs w:val="18"/>
                <w:lang w:val="en-US"/>
              </w:rPr>
              <w:t>Instituto de Auditores Internos. (2024). The IIA's Artificial Intelligence Auditing Framework. Lake Mary: The IIA.</w:t>
            </w:r>
          </w:p>
          <w:p w14:paraId="2CD63B98" w14:textId="77777777" w:rsidR="00990B14" w:rsidRDefault="00000000">
            <w:pPr>
              <w:numPr>
                <w:ilvl w:val="0"/>
                <w:numId w:val="140"/>
              </w:numPr>
              <w:spacing w:after="20"/>
              <w:jc w:val="both"/>
            </w:pPr>
            <w:r w:rsidRPr="00BD34F7">
              <w:rPr>
                <w:sz w:val="18"/>
                <w:szCs w:val="18"/>
                <w:lang w:val="en-US"/>
              </w:rPr>
              <w:t xml:space="preserve">International Auditing and Assurance Standards Board. (2024). ISSA 5000, General Requirements for Sustainability Assurance Engagements. </w:t>
            </w:r>
            <w:r>
              <w:rPr>
                <w:sz w:val="18"/>
                <w:szCs w:val="18"/>
              </w:rPr>
              <w:t>Nueva York: IFAC.</w:t>
            </w:r>
          </w:p>
          <w:p w14:paraId="31B8F396" w14:textId="77777777" w:rsidR="00990B14" w:rsidRDefault="00000000">
            <w:pPr>
              <w:numPr>
                <w:ilvl w:val="0"/>
                <w:numId w:val="140"/>
              </w:numPr>
              <w:spacing w:after="20"/>
              <w:jc w:val="both"/>
            </w:pPr>
            <w:r w:rsidRPr="00BD34F7">
              <w:rPr>
                <w:sz w:val="18"/>
                <w:szCs w:val="18"/>
                <w:lang w:val="en-US"/>
              </w:rPr>
              <w:t xml:space="preserve">International Auditing and Assurance Standards Board. (2025). Handbook of International Quality Management, Auditing, Review, Other Assurance, and Related Services Pronouncements, 2025 Edition. </w:t>
            </w:r>
            <w:r>
              <w:rPr>
                <w:sz w:val="18"/>
                <w:szCs w:val="18"/>
              </w:rPr>
              <w:t>Nueva York: IFAC.</w:t>
            </w:r>
          </w:p>
          <w:p w14:paraId="1F659244" w14:textId="77777777" w:rsidR="00990B14" w:rsidRDefault="00000000">
            <w:pPr>
              <w:numPr>
                <w:ilvl w:val="0"/>
                <w:numId w:val="140"/>
              </w:numPr>
              <w:spacing w:after="20"/>
              <w:jc w:val="both"/>
            </w:pPr>
            <w:r w:rsidRPr="00BD34F7">
              <w:rPr>
                <w:sz w:val="18"/>
                <w:szCs w:val="18"/>
                <w:lang w:val="en-US"/>
              </w:rPr>
              <w:t xml:space="preserve">International Auditing and Assurance Standards Board. </w:t>
            </w:r>
            <w:r>
              <w:rPr>
                <w:sz w:val="18"/>
                <w:szCs w:val="18"/>
              </w:rPr>
              <w:t>(2025). NIA 240 (Revisada), Responsabilidades del auditor con respecto al fraude en una auditoría de estados financieros. Nueva York: IFAC.</w:t>
            </w:r>
          </w:p>
          <w:p w14:paraId="16A90D34" w14:textId="77777777" w:rsidR="00990B14" w:rsidRPr="00BD34F7" w:rsidRDefault="00000000">
            <w:pPr>
              <w:numPr>
                <w:ilvl w:val="0"/>
                <w:numId w:val="140"/>
              </w:numPr>
              <w:spacing w:after="20"/>
              <w:jc w:val="both"/>
              <w:rPr>
                <w:lang w:val="en-US"/>
              </w:rPr>
            </w:pPr>
            <w:r w:rsidRPr="00BD34F7">
              <w:rPr>
                <w:sz w:val="18"/>
                <w:szCs w:val="18"/>
                <w:lang w:val="en-US"/>
              </w:rPr>
              <w:t>International Federation of Accountants – International Accounting Education Standards Board. (2019). Handbook of International Education Pronouncements, 2019 Edition (IES 2, 3, 4 y 6, revisadas). Nueva York: IFAC.</w:t>
            </w:r>
          </w:p>
          <w:p w14:paraId="6E6C36D7" w14:textId="77777777" w:rsidR="00990B14" w:rsidRDefault="00000000">
            <w:pPr>
              <w:numPr>
                <w:ilvl w:val="0"/>
                <w:numId w:val="140"/>
              </w:numPr>
              <w:spacing w:after="20"/>
              <w:jc w:val="both"/>
            </w:pPr>
            <w:r w:rsidRPr="00BD34F7">
              <w:rPr>
                <w:sz w:val="18"/>
                <w:szCs w:val="18"/>
                <w:lang w:val="en-US"/>
              </w:rPr>
              <w:t xml:space="preserve">ISACA. (2018). COBIT 2019 Framework: Introduction and Methodology. </w:t>
            </w:r>
            <w:r>
              <w:rPr>
                <w:sz w:val="18"/>
                <w:szCs w:val="18"/>
              </w:rPr>
              <w:t>Schaumburg: ISACA.</w:t>
            </w:r>
          </w:p>
          <w:p w14:paraId="4880C3BA" w14:textId="77777777" w:rsidR="00990B14" w:rsidRDefault="00000000">
            <w:pPr>
              <w:numPr>
                <w:ilvl w:val="0"/>
                <w:numId w:val="140"/>
              </w:numPr>
              <w:spacing w:after="20"/>
              <w:jc w:val="both"/>
            </w:pPr>
            <w:r>
              <w:rPr>
                <w:sz w:val="18"/>
                <w:szCs w:val="18"/>
              </w:rPr>
              <w:t>Méndez Jiménez, A., Cubillos Benavides, M. y León López, D. E. (2022). Guía de auditoría interna basada en riesgos para entidades públicas (versión 4). Bogotá: Departamento Administrativo de la Función Pública.</w:t>
            </w:r>
          </w:p>
          <w:p w14:paraId="0EE18686" w14:textId="77777777" w:rsidR="00990B14" w:rsidRDefault="00000000">
            <w:pPr>
              <w:numPr>
                <w:ilvl w:val="0"/>
                <w:numId w:val="140"/>
              </w:numPr>
              <w:spacing w:after="20"/>
              <w:jc w:val="both"/>
            </w:pPr>
            <w:r w:rsidRPr="00BD34F7">
              <w:rPr>
                <w:sz w:val="18"/>
                <w:szCs w:val="18"/>
                <w:lang w:val="en-US"/>
              </w:rPr>
              <w:t xml:space="preserve">National Institute of Standards and Technology. (2023). Artificial Intelligence Risk Management Framework (AI RMF 1.0). </w:t>
            </w:r>
            <w:r>
              <w:rPr>
                <w:sz w:val="18"/>
                <w:szCs w:val="18"/>
              </w:rPr>
              <w:t>Gaithersburg: NIST.</w:t>
            </w:r>
          </w:p>
          <w:p w14:paraId="7CF26EE2" w14:textId="77777777" w:rsidR="00990B14" w:rsidRDefault="00000000">
            <w:pPr>
              <w:numPr>
                <w:ilvl w:val="0"/>
                <w:numId w:val="140"/>
              </w:numPr>
              <w:spacing w:after="20"/>
              <w:jc w:val="both"/>
            </w:pPr>
            <w:r>
              <w:rPr>
                <w:sz w:val="18"/>
                <w:szCs w:val="18"/>
              </w:rPr>
              <w:t>Organización Internacional de Normalización y Comisión Electrotécnica Internacional. (2022). ISO/IEC 27001:2022, Seguridad de la información, ciberseguridad y protección de la privacidad – Sistemas de gestión de la seguridad de la información – Requisitos. Ginebra: ISO.</w:t>
            </w:r>
          </w:p>
          <w:p w14:paraId="7B94DABF" w14:textId="77777777" w:rsidR="00990B14" w:rsidRDefault="00000000">
            <w:pPr>
              <w:numPr>
                <w:ilvl w:val="0"/>
                <w:numId w:val="140"/>
              </w:numPr>
              <w:spacing w:after="20"/>
              <w:jc w:val="both"/>
            </w:pPr>
            <w:r>
              <w:rPr>
                <w:sz w:val="18"/>
                <w:szCs w:val="18"/>
              </w:rPr>
              <w:t>Organización Internacional de Normalización y Comisión Electrotécnica Internacional. (2023). ISO/IEC 42001:2023, Sistema de gestión de la inteligencia artificial. Ginebra: ISO.</w:t>
            </w:r>
          </w:p>
          <w:p w14:paraId="1898BAF7" w14:textId="77777777" w:rsidR="00990B14" w:rsidRDefault="00000000">
            <w:pPr>
              <w:numPr>
                <w:ilvl w:val="0"/>
                <w:numId w:val="140"/>
              </w:numPr>
              <w:spacing w:after="20"/>
              <w:jc w:val="both"/>
            </w:pPr>
            <w:r>
              <w:rPr>
                <w:sz w:val="18"/>
                <w:szCs w:val="18"/>
              </w:rPr>
              <w:t>Organización Internacional de Normalización. (2021). ISO 37301:2021, Sistemas de gestión del compliance. Ginebra: ISO.</w:t>
            </w:r>
          </w:p>
          <w:p w14:paraId="364946A9" w14:textId="77777777" w:rsidR="00990B14" w:rsidRDefault="00000000">
            <w:pPr>
              <w:numPr>
                <w:ilvl w:val="0"/>
                <w:numId w:val="140"/>
              </w:numPr>
              <w:spacing w:after="20"/>
              <w:jc w:val="both"/>
            </w:pPr>
            <w:r>
              <w:rPr>
                <w:sz w:val="18"/>
                <w:szCs w:val="18"/>
              </w:rPr>
              <w:t>Organización Internacional de Normalización. (2025). ISO 37001:2025, Sistemas de gestión antisoborno. Ginebra: ISO.</w:t>
            </w:r>
          </w:p>
          <w:p w14:paraId="34288C53" w14:textId="77777777" w:rsidR="00990B14" w:rsidRPr="00BD34F7" w:rsidRDefault="00000000">
            <w:pPr>
              <w:numPr>
                <w:ilvl w:val="0"/>
                <w:numId w:val="140"/>
              </w:numPr>
              <w:spacing w:after="20"/>
              <w:jc w:val="both"/>
              <w:rPr>
                <w:lang w:val="en-US"/>
              </w:rPr>
            </w:pPr>
            <w:r w:rsidRPr="00BD34F7">
              <w:rPr>
                <w:sz w:val="18"/>
                <w:szCs w:val="18"/>
                <w:lang w:val="en-US"/>
              </w:rPr>
              <w:t>Sitios web: www.theiia.org · www.coso.org · www.contraloria.gob.bo · www.asfi.gob.bo · www.oecd.org · www.iso.org · www.iaasb.org · www.ethicsboard.org</w:t>
            </w:r>
          </w:p>
          <w:p w14:paraId="129C1835" w14:textId="77777777" w:rsidR="00990B14" w:rsidRDefault="00000000">
            <w:pPr>
              <w:numPr>
                <w:ilvl w:val="0"/>
                <w:numId w:val="140"/>
              </w:numPr>
              <w:spacing w:after="20"/>
              <w:jc w:val="both"/>
            </w:pPr>
            <w:r>
              <w:rPr>
                <w:sz w:val="18"/>
                <w:szCs w:val="18"/>
              </w:rPr>
              <w:t>Tapia Iturriaga, C. K., Rueda de León Contreras, R. S. y Silva Villavicencio, R. A. (2017). Auditoría interna: perspectivas de vanguardia. México: Instituto Mexicano de Contadores Públicos.</w:t>
            </w:r>
          </w:p>
          <w:p w14:paraId="09596ABF" w14:textId="77777777" w:rsidR="00990B14" w:rsidRDefault="00000000">
            <w:pPr>
              <w:numPr>
                <w:ilvl w:val="0"/>
                <w:numId w:val="140"/>
              </w:numPr>
              <w:spacing w:after="20"/>
              <w:jc w:val="both"/>
            </w:pPr>
            <w:r>
              <w:rPr>
                <w:sz w:val="18"/>
                <w:szCs w:val="18"/>
              </w:rPr>
              <w:t>Tobón, S. (2013). Formación integral y competencias: pensamiento complejo, currículo, didáctica y evaluación (4.ª ed.). Bogotá: ECOE Ediciones.</w:t>
            </w:r>
          </w:p>
          <w:p w14:paraId="4660CB6C" w14:textId="77777777" w:rsidR="00990B14" w:rsidRDefault="00000000">
            <w:pPr>
              <w:numPr>
                <w:ilvl w:val="0"/>
                <w:numId w:val="140"/>
              </w:numPr>
              <w:spacing w:after="20"/>
              <w:jc w:val="both"/>
            </w:pPr>
            <w:r>
              <w:rPr>
                <w:sz w:val="18"/>
                <w:szCs w:val="18"/>
              </w:rPr>
              <w:t>UNESCO. (2021). Recomendación sobre la ética de la inteligencia artificial. París: UNESCO.</w:t>
            </w:r>
          </w:p>
          <w:p w14:paraId="0A68C441" w14:textId="77777777" w:rsidR="00990B14" w:rsidRDefault="00000000">
            <w:pPr>
              <w:numPr>
                <w:ilvl w:val="0"/>
                <w:numId w:val="140"/>
              </w:numPr>
              <w:spacing w:after="20"/>
              <w:jc w:val="both"/>
            </w:pPr>
            <w:r w:rsidRPr="00BD34F7">
              <w:rPr>
                <w:sz w:val="18"/>
                <w:szCs w:val="18"/>
                <w:lang w:val="en-US"/>
              </w:rPr>
              <w:t xml:space="preserve">World Economic Forum. (2025). The Future of Jobs Report 2025. </w:t>
            </w:r>
            <w:r>
              <w:rPr>
                <w:sz w:val="18"/>
                <w:szCs w:val="18"/>
              </w:rPr>
              <w:t>Ginebra: WEF.</w:t>
            </w:r>
          </w:p>
        </w:tc>
      </w:tr>
    </w:tbl>
    <w:p w14:paraId="0AF5925F" w14:textId="77777777" w:rsidR="00990B14" w:rsidRDefault="00000000">
      <w:pPr>
        <w:pStyle w:val="TituloPlanAsignatura"/>
        <w:keepNext/>
        <w:pageBreakBefore/>
        <w:spacing w:after="120"/>
        <w:jc w:val="center"/>
        <w:outlineLvl w:val="2"/>
      </w:pPr>
      <w:bookmarkStart w:id="181" w:name="_Toc000000122"/>
      <w:r>
        <w:rPr>
          <w:b/>
          <w:bCs/>
          <w:sz w:val="24"/>
          <w:szCs w:val="24"/>
        </w:rPr>
        <w:t>MAT-401 Matemáticas Actuariales y Técnicas Financieras</w:t>
      </w:r>
      <w:bookmarkEnd w:id="181"/>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249"/>
        <w:gridCol w:w="1100"/>
        <w:gridCol w:w="149"/>
        <w:gridCol w:w="635"/>
        <w:gridCol w:w="615"/>
        <w:gridCol w:w="952"/>
        <w:gridCol w:w="298"/>
        <w:gridCol w:w="1250"/>
        <w:gridCol w:w="20"/>
        <w:gridCol w:w="385"/>
        <w:gridCol w:w="398"/>
        <w:gridCol w:w="447"/>
        <w:gridCol w:w="1907"/>
      </w:tblGrid>
      <w:tr w:rsidR="00990B14" w14:paraId="37E8AFA0" w14:textId="77777777">
        <w:trPr>
          <w:cantSplit/>
          <w:jc w:val="center"/>
        </w:trPr>
        <w:tc>
          <w:tcPr>
            <w:tcW w:w="2349" w:type="dxa"/>
            <w:gridSpan w:val="2"/>
            <w:shd w:val="clear" w:color="auto" w:fill="4472C4"/>
            <w:vAlign w:val="center"/>
          </w:tcPr>
          <w:p w14:paraId="09FD01C9" w14:textId="77777777" w:rsidR="00990B14" w:rsidRDefault="00000000">
            <w:pPr>
              <w:keepNext/>
              <w:spacing w:before="20" w:after="20"/>
              <w:jc w:val="center"/>
            </w:pPr>
            <w:r>
              <w:rPr>
                <w:b/>
                <w:bCs/>
                <w:i/>
                <w:iCs/>
                <w:color w:val="FFFFFF"/>
                <w:sz w:val="18"/>
                <w:szCs w:val="18"/>
              </w:rPr>
              <w:t>Asignatura</w:t>
            </w:r>
          </w:p>
        </w:tc>
        <w:tc>
          <w:tcPr>
            <w:tcW w:w="2351" w:type="dxa"/>
            <w:gridSpan w:val="4"/>
            <w:shd w:val="clear" w:color="auto" w:fill="4472C4"/>
            <w:vAlign w:val="center"/>
          </w:tcPr>
          <w:p w14:paraId="4A3A2322" w14:textId="77777777" w:rsidR="00990B14" w:rsidRDefault="00000000">
            <w:pPr>
              <w:keepNext/>
              <w:spacing w:before="20" w:after="20"/>
              <w:jc w:val="center"/>
            </w:pPr>
            <w:r>
              <w:rPr>
                <w:b/>
                <w:bCs/>
                <w:i/>
                <w:iCs/>
                <w:color w:val="FFFFFF"/>
                <w:sz w:val="18"/>
                <w:szCs w:val="18"/>
              </w:rPr>
              <w:t>Sigla</w:t>
            </w:r>
          </w:p>
        </w:tc>
        <w:tc>
          <w:tcPr>
            <w:tcW w:w="2351" w:type="dxa"/>
            <w:gridSpan w:val="5"/>
            <w:shd w:val="clear" w:color="auto" w:fill="4472C4"/>
            <w:vAlign w:val="center"/>
          </w:tcPr>
          <w:p w14:paraId="3362A226" w14:textId="77777777" w:rsidR="00990B14" w:rsidRDefault="00000000">
            <w:pPr>
              <w:keepNext/>
              <w:spacing w:before="20" w:after="20"/>
              <w:jc w:val="center"/>
            </w:pPr>
            <w:r>
              <w:rPr>
                <w:b/>
                <w:bCs/>
                <w:i/>
                <w:iCs/>
                <w:color w:val="FFFFFF"/>
                <w:sz w:val="18"/>
                <w:szCs w:val="18"/>
              </w:rPr>
              <w:t>Nivel/Área</w:t>
            </w:r>
          </w:p>
        </w:tc>
        <w:tc>
          <w:tcPr>
            <w:tcW w:w="2354" w:type="dxa"/>
            <w:gridSpan w:val="2"/>
            <w:shd w:val="clear" w:color="auto" w:fill="4472C4"/>
            <w:vAlign w:val="center"/>
          </w:tcPr>
          <w:p w14:paraId="69F35AA1" w14:textId="77777777" w:rsidR="00990B14" w:rsidRDefault="00000000">
            <w:pPr>
              <w:keepNext/>
              <w:spacing w:before="20" w:after="20"/>
              <w:jc w:val="center"/>
            </w:pPr>
            <w:r>
              <w:rPr>
                <w:b/>
                <w:bCs/>
                <w:i/>
                <w:iCs/>
                <w:color w:val="FFFFFF"/>
                <w:sz w:val="18"/>
                <w:szCs w:val="18"/>
              </w:rPr>
              <w:t>Prerrequisito</w:t>
            </w:r>
          </w:p>
        </w:tc>
      </w:tr>
      <w:tr w:rsidR="00990B14" w14:paraId="5343188B" w14:textId="77777777">
        <w:trPr>
          <w:cantSplit/>
          <w:jc w:val="center"/>
        </w:trPr>
        <w:tc>
          <w:tcPr>
            <w:tcW w:w="2349" w:type="dxa"/>
            <w:gridSpan w:val="2"/>
            <w:shd w:val="clear" w:color="auto" w:fill="D9E2F3"/>
            <w:vAlign w:val="center"/>
          </w:tcPr>
          <w:p w14:paraId="74A65E7F" w14:textId="77777777" w:rsidR="00990B14" w:rsidRDefault="00000000">
            <w:pPr>
              <w:spacing w:before="20" w:after="20"/>
              <w:jc w:val="center"/>
            </w:pPr>
            <w:r>
              <w:rPr>
                <w:b/>
                <w:bCs/>
                <w:i/>
                <w:iCs/>
                <w:sz w:val="18"/>
                <w:szCs w:val="18"/>
              </w:rPr>
              <w:t>Matemáticas Actuariales y Técnicas Financieras</w:t>
            </w:r>
          </w:p>
        </w:tc>
        <w:tc>
          <w:tcPr>
            <w:tcW w:w="2351" w:type="dxa"/>
            <w:gridSpan w:val="4"/>
            <w:shd w:val="clear" w:color="auto" w:fill="D9E2F3"/>
            <w:vAlign w:val="center"/>
          </w:tcPr>
          <w:p w14:paraId="2D841205" w14:textId="77777777" w:rsidR="00990B14" w:rsidRDefault="00000000">
            <w:pPr>
              <w:spacing w:before="20" w:after="20"/>
              <w:jc w:val="center"/>
            </w:pPr>
            <w:r>
              <w:rPr>
                <w:b/>
                <w:bCs/>
                <w:i/>
                <w:iCs/>
                <w:sz w:val="18"/>
                <w:szCs w:val="18"/>
              </w:rPr>
              <w:t>MAT-401</w:t>
            </w:r>
          </w:p>
        </w:tc>
        <w:tc>
          <w:tcPr>
            <w:tcW w:w="2351" w:type="dxa"/>
            <w:gridSpan w:val="5"/>
            <w:shd w:val="clear" w:color="auto" w:fill="D9E2F3"/>
            <w:vAlign w:val="center"/>
          </w:tcPr>
          <w:p w14:paraId="3EB4023D" w14:textId="77777777" w:rsidR="00990B14" w:rsidRDefault="00000000">
            <w:pPr>
              <w:spacing w:before="20" w:after="20"/>
              <w:jc w:val="center"/>
            </w:pPr>
            <w:r>
              <w:rPr>
                <w:b/>
                <w:bCs/>
                <w:i/>
                <w:iCs/>
                <w:sz w:val="18"/>
                <w:szCs w:val="18"/>
              </w:rPr>
              <w:t>Matemáticas</w:t>
            </w:r>
          </w:p>
        </w:tc>
        <w:tc>
          <w:tcPr>
            <w:tcW w:w="2354" w:type="dxa"/>
            <w:gridSpan w:val="2"/>
            <w:shd w:val="clear" w:color="auto" w:fill="D9E2F3"/>
            <w:vAlign w:val="center"/>
          </w:tcPr>
          <w:p w14:paraId="1AC6AF63" w14:textId="77777777" w:rsidR="00990B14" w:rsidRDefault="00000000">
            <w:pPr>
              <w:spacing w:before="20" w:after="20"/>
              <w:jc w:val="center"/>
            </w:pPr>
            <w:r>
              <w:rPr>
                <w:b/>
                <w:bCs/>
                <w:i/>
                <w:iCs/>
                <w:sz w:val="18"/>
                <w:szCs w:val="18"/>
              </w:rPr>
              <w:t>MAT-102, MAT-301</w:t>
            </w:r>
          </w:p>
        </w:tc>
      </w:tr>
      <w:tr w:rsidR="00990B14" w14:paraId="7657C743" w14:textId="77777777">
        <w:trPr>
          <w:cantSplit/>
          <w:jc w:val="center"/>
        </w:trPr>
        <w:tc>
          <w:tcPr>
            <w:tcW w:w="7498" w:type="dxa"/>
            <w:gridSpan w:val="12"/>
            <w:shd w:val="clear" w:color="auto" w:fill="4472C4"/>
            <w:vAlign w:val="center"/>
          </w:tcPr>
          <w:p w14:paraId="50117372" w14:textId="77777777" w:rsidR="00990B14" w:rsidRDefault="00000000">
            <w:pPr>
              <w:keepNext/>
              <w:spacing w:before="20" w:after="20"/>
              <w:jc w:val="center"/>
            </w:pPr>
            <w:r>
              <w:rPr>
                <w:b/>
                <w:bCs/>
                <w:i/>
                <w:iCs/>
                <w:color w:val="FFFFFF"/>
                <w:sz w:val="18"/>
                <w:szCs w:val="18"/>
              </w:rPr>
              <w:t>Carga Horaria</w:t>
            </w:r>
          </w:p>
        </w:tc>
        <w:tc>
          <w:tcPr>
            <w:tcW w:w="1907" w:type="dxa"/>
            <w:shd w:val="clear" w:color="auto" w:fill="4472C4"/>
            <w:vAlign w:val="center"/>
          </w:tcPr>
          <w:p w14:paraId="4886CC48" w14:textId="77777777" w:rsidR="00990B14" w:rsidRDefault="00000000">
            <w:pPr>
              <w:keepNext/>
              <w:spacing w:before="20" w:after="20"/>
              <w:jc w:val="center"/>
            </w:pPr>
            <w:r>
              <w:rPr>
                <w:b/>
                <w:bCs/>
                <w:i/>
                <w:iCs/>
                <w:color w:val="FFFFFF"/>
                <w:sz w:val="18"/>
                <w:szCs w:val="18"/>
              </w:rPr>
              <w:t>Créditos</w:t>
            </w:r>
          </w:p>
        </w:tc>
      </w:tr>
      <w:tr w:rsidR="00990B14" w14:paraId="3C287E57" w14:textId="77777777">
        <w:trPr>
          <w:cantSplit/>
          <w:jc w:val="center"/>
        </w:trPr>
        <w:tc>
          <w:tcPr>
            <w:tcW w:w="1249" w:type="dxa"/>
            <w:shd w:val="clear" w:color="auto" w:fill="4472C4"/>
            <w:vAlign w:val="center"/>
          </w:tcPr>
          <w:p w14:paraId="20843EC4" w14:textId="77777777" w:rsidR="00990B14" w:rsidRDefault="00000000">
            <w:pPr>
              <w:keepNext/>
              <w:spacing w:before="20" w:after="20"/>
              <w:jc w:val="center"/>
            </w:pPr>
            <w:r>
              <w:rPr>
                <w:b/>
                <w:bCs/>
                <w:i/>
                <w:iCs/>
                <w:color w:val="FFFFFF"/>
                <w:sz w:val="18"/>
                <w:szCs w:val="18"/>
              </w:rPr>
              <w:t>HP</w:t>
            </w:r>
          </w:p>
        </w:tc>
        <w:tc>
          <w:tcPr>
            <w:tcW w:w="1249" w:type="dxa"/>
            <w:gridSpan w:val="2"/>
            <w:shd w:val="clear" w:color="auto" w:fill="4472C4"/>
            <w:vAlign w:val="center"/>
          </w:tcPr>
          <w:p w14:paraId="0C68AE90" w14:textId="77777777" w:rsidR="00990B14" w:rsidRDefault="00000000">
            <w:pPr>
              <w:keepNext/>
              <w:spacing w:before="20" w:after="20"/>
              <w:jc w:val="center"/>
            </w:pPr>
            <w:r>
              <w:rPr>
                <w:b/>
                <w:bCs/>
                <w:i/>
                <w:iCs/>
                <w:color w:val="FFFFFF"/>
                <w:sz w:val="18"/>
                <w:szCs w:val="18"/>
              </w:rPr>
              <w:t>HAA</w:t>
            </w:r>
          </w:p>
        </w:tc>
        <w:tc>
          <w:tcPr>
            <w:tcW w:w="1250" w:type="dxa"/>
            <w:gridSpan w:val="2"/>
            <w:shd w:val="clear" w:color="auto" w:fill="4472C4"/>
            <w:vAlign w:val="center"/>
          </w:tcPr>
          <w:p w14:paraId="26FD771F" w14:textId="77777777" w:rsidR="00990B14" w:rsidRDefault="00000000">
            <w:pPr>
              <w:keepNext/>
              <w:spacing w:before="20" w:after="20"/>
              <w:jc w:val="center"/>
            </w:pPr>
            <w:r>
              <w:rPr>
                <w:b/>
                <w:bCs/>
                <w:i/>
                <w:iCs/>
                <w:color w:val="FFFFFF"/>
                <w:sz w:val="18"/>
                <w:szCs w:val="18"/>
              </w:rPr>
              <w:t>HTG</w:t>
            </w:r>
          </w:p>
        </w:tc>
        <w:tc>
          <w:tcPr>
            <w:tcW w:w="1250" w:type="dxa"/>
            <w:gridSpan w:val="2"/>
            <w:shd w:val="clear" w:color="auto" w:fill="4472C4"/>
            <w:vAlign w:val="center"/>
          </w:tcPr>
          <w:p w14:paraId="64CFAB90" w14:textId="77777777" w:rsidR="00990B14" w:rsidRDefault="00000000">
            <w:pPr>
              <w:keepNext/>
              <w:spacing w:before="20" w:after="20"/>
              <w:jc w:val="center"/>
            </w:pPr>
            <w:r>
              <w:rPr>
                <w:b/>
                <w:bCs/>
                <w:i/>
                <w:iCs/>
                <w:color w:val="FFFFFF"/>
                <w:sz w:val="18"/>
                <w:szCs w:val="18"/>
              </w:rPr>
              <w:t>HIP</w:t>
            </w:r>
          </w:p>
        </w:tc>
        <w:tc>
          <w:tcPr>
            <w:tcW w:w="1250" w:type="dxa"/>
            <w:shd w:val="clear" w:color="auto" w:fill="4472C4"/>
            <w:vAlign w:val="center"/>
          </w:tcPr>
          <w:p w14:paraId="0DF5A236" w14:textId="77777777" w:rsidR="00990B14" w:rsidRDefault="00000000">
            <w:pPr>
              <w:keepNext/>
              <w:spacing w:before="20" w:after="20"/>
              <w:jc w:val="center"/>
            </w:pPr>
            <w:r>
              <w:rPr>
                <w:b/>
                <w:bCs/>
                <w:i/>
                <w:iCs/>
                <w:color w:val="FFFFFF"/>
                <w:sz w:val="18"/>
                <w:szCs w:val="18"/>
              </w:rPr>
              <w:t>HE</w:t>
            </w:r>
          </w:p>
        </w:tc>
        <w:tc>
          <w:tcPr>
            <w:tcW w:w="1250" w:type="dxa"/>
            <w:gridSpan w:val="4"/>
            <w:shd w:val="clear" w:color="auto" w:fill="4472C4"/>
            <w:vAlign w:val="center"/>
          </w:tcPr>
          <w:p w14:paraId="235C9E80" w14:textId="77777777" w:rsidR="00990B14" w:rsidRDefault="00000000">
            <w:pPr>
              <w:keepNext/>
              <w:spacing w:before="20" w:after="20"/>
              <w:jc w:val="center"/>
            </w:pPr>
            <w:r>
              <w:rPr>
                <w:b/>
                <w:bCs/>
                <w:i/>
                <w:iCs/>
                <w:color w:val="FFFFFF"/>
                <w:sz w:val="18"/>
                <w:szCs w:val="18"/>
              </w:rPr>
              <w:t>TOTAL</w:t>
            </w:r>
          </w:p>
        </w:tc>
        <w:tc>
          <w:tcPr>
            <w:tcW w:w="1907" w:type="dxa"/>
            <w:vMerge w:val="restart"/>
            <w:shd w:val="clear" w:color="auto" w:fill="D9E2F3"/>
            <w:vAlign w:val="center"/>
          </w:tcPr>
          <w:p w14:paraId="333966C6" w14:textId="77777777" w:rsidR="00990B14" w:rsidRDefault="00000000">
            <w:pPr>
              <w:spacing w:before="20" w:after="20"/>
              <w:jc w:val="center"/>
            </w:pPr>
            <w:r>
              <w:rPr>
                <w:sz w:val="18"/>
                <w:szCs w:val="18"/>
              </w:rPr>
              <w:t>4</w:t>
            </w:r>
          </w:p>
        </w:tc>
      </w:tr>
      <w:tr w:rsidR="00990B14" w14:paraId="2E861F33" w14:textId="77777777">
        <w:trPr>
          <w:cantSplit/>
          <w:jc w:val="center"/>
        </w:trPr>
        <w:tc>
          <w:tcPr>
            <w:tcW w:w="1249" w:type="dxa"/>
            <w:shd w:val="clear" w:color="auto" w:fill="D9E2F3"/>
            <w:vAlign w:val="center"/>
          </w:tcPr>
          <w:p w14:paraId="7883A339" w14:textId="77777777" w:rsidR="00990B14" w:rsidRDefault="00000000">
            <w:pPr>
              <w:spacing w:before="20" w:after="20"/>
              <w:jc w:val="center"/>
            </w:pPr>
            <w:r>
              <w:rPr>
                <w:sz w:val="18"/>
                <w:szCs w:val="18"/>
              </w:rPr>
              <w:t>80</w:t>
            </w:r>
          </w:p>
        </w:tc>
        <w:tc>
          <w:tcPr>
            <w:tcW w:w="1249" w:type="dxa"/>
            <w:gridSpan w:val="2"/>
            <w:shd w:val="clear" w:color="auto" w:fill="D9E2F3"/>
            <w:vAlign w:val="center"/>
          </w:tcPr>
          <w:p w14:paraId="6D19B6D1" w14:textId="77777777" w:rsidR="00990B14" w:rsidRDefault="00000000">
            <w:pPr>
              <w:spacing w:before="20" w:after="20"/>
              <w:jc w:val="center"/>
            </w:pPr>
            <w:r>
              <w:rPr>
                <w:sz w:val="18"/>
                <w:szCs w:val="18"/>
              </w:rPr>
              <w:t>10</w:t>
            </w:r>
          </w:p>
        </w:tc>
        <w:tc>
          <w:tcPr>
            <w:tcW w:w="1250" w:type="dxa"/>
            <w:gridSpan w:val="2"/>
            <w:shd w:val="clear" w:color="auto" w:fill="D9E2F3"/>
            <w:vAlign w:val="center"/>
          </w:tcPr>
          <w:p w14:paraId="0E876C89" w14:textId="77777777" w:rsidR="00990B14" w:rsidRDefault="00000000">
            <w:pPr>
              <w:spacing w:before="20" w:after="20"/>
              <w:jc w:val="center"/>
            </w:pPr>
            <w:r>
              <w:rPr>
                <w:sz w:val="18"/>
                <w:szCs w:val="18"/>
              </w:rPr>
              <w:t>10</w:t>
            </w:r>
          </w:p>
        </w:tc>
        <w:tc>
          <w:tcPr>
            <w:tcW w:w="1250" w:type="dxa"/>
            <w:gridSpan w:val="2"/>
            <w:shd w:val="clear" w:color="auto" w:fill="D9E2F3"/>
            <w:vAlign w:val="center"/>
          </w:tcPr>
          <w:p w14:paraId="7C5B79F0" w14:textId="77777777" w:rsidR="00990B14" w:rsidRDefault="00000000">
            <w:pPr>
              <w:spacing w:before="20" w:after="20"/>
              <w:jc w:val="center"/>
            </w:pPr>
            <w:r>
              <w:rPr>
                <w:sz w:val="18"/>
                <w:szCs w:val="18"/>
              </w:rPr>
              <w:t>10</w:t>
            </w:r>
          </w:p>
        </w:tc>
        <w:tc>
          <w:tcPr>
            <w:tcW w:w="1250" w:type="dxa"/>
            <w:shd w:val="clear" w:color="auto" w:fill="D9E2F3"/>
            <w:vAlign w:val="center"/>
          </w:tcPr>
          <w:p w14:paraId="5C61F8E7" w14:textId="77777777" w:rsidR="00990B14" w:rsidRDefault="00000000">
            <w:pPr>
              <w:spacing w:before="20" w:after="20"/>
              <w:jc w:val="center"/>
            </w:pPr>
            <w:r>
              <w:rPr>
                <w:sz w:val="18"/>
                <w:szCs w:val="18"/>
              </w:rPr>
              <w:t>10</w:t>
            </w:r>
          </w:p>
        </w:tc>
        <w:tc>
          <w:tcPr>
            <w:tcW w:w="1250" w:type="dxa"/>
            <w:gridSpan w:val="4"/>
            <w:shd w:val="clear" w:color="auto" w:fill="D9E2F3"/>
            <w:vAlign w:val="center"/>
          </w:tcPr>
          <w:p w14:paraId="3596948E" w14:textId="77777777" w:rsidR="00990B14" w:rsidRDefault="00000000">
            <w:pPr>
              <w:spacing w:before="20" w:after="20"/>
              <w:jc w:val="center"/>
            </w:pPr>
            <w:r>
              <w:rPr>
                <w:sz w:val="18"/>
                <w:szCs w:val="18"/>
              </w:rPr>
              <w:t>120</w:t>
            </w:r>
          </w:p>
        </w:tc>
        <w:tc>
          <w:tcPr>
            <w:tcW w:w="1907" w:type="dxa"/>
            <w:vMerge/>
            <w:shd w:val="clear" w:color="auto" w:fill="D9E2F3"/>
            <w:vAlign w:val="center"/>
          </w:tcPr>
          <w:p w14:paraId="6CCDCEDE" w14:textId="77777777" w:rsidR="00990B14" w:rsidRDefault="00990B14">
            <w:pPr>
              <w:spacing w:before="20" w:after="20"/>
            </w:pPr>
          </w:p>
        </w:tc>
      </w:tr>
      <w:tr w:rsidR="00990B14" w14:paraId="258F7192" w14:textId="77777777">
        <w:trPr>
          <w:cantSplit/>
          <w:jc w:val="center"/>
        </w:trPr>
        <w:tc>
          <w:tcPr>
            <w:tcW w:w="9405" w:type="dxa"/>
            <w:gridSpan w:val="13"/>
            <w:shd w:val="clear" w:color="auto" w:fill="4472C4"/>
            <w:vAlign w:val="center"/>
          </w:tcPr>
          <w:p w14:paraId="6A67A770" w14:textId="77777777" w:rsidR="00990B14" w:rsidRDefault="00000000">
            <w:pPr>
              <w:keepNext/>
              <w:spacing w:before="20" w:after="20"/>
              <w:jc w:val="center"/>
            </w:pPr>
            <w:r>
              <w:rPr>
                <w:b/>
                <w:bCs/>
                <w:i/>
                <w:iCs/>
                <w:color w:val="FFFFFF"/>
                <w:sz w:val="18"/>
                <w:szCs w:val="18"/>
              </w:rPr>
              <w:t>Unidad de Competencia</w:t>
            </w:r>
          </w:p>
        </w:tc>
      </w:tr>
      <w:tr w:rsidR="00990B14" w14:paraId="4C9B0C47" w14:textId="77777777">
        <w:trPr>
          <w:cantSplit/>
          <w:jc w:val="center"/>
        </w:trPr>
        <w:tc>
          <w:tcPr>
            <w:tcW w:w="9405" w:type="dxa"/>
            <w:gridSpan w:val="13"/>
            <w:shd w:val="clear" w:color="auto" w:fill="D9E2F3"/>
            <w:vAlign w:val="center"/>
          </w:tcPr>
          <w:p w14:paraId="0B04A783" w14:textId="77777777" w:rsidR="00990B14" w:rsidRDefault="00000000">
            <w:pPr>
              <w:spacing w:before="20" w:after="20"/>
              <w:jc w:val="both"/>
            </w:pPr>
            <w:r>
              <w:rPr>
                <w:sz w:val="18"/>
                <w:szCs w:val="18"/>
              </w:rPr>
              <w:t>Resuelve problemas actuariales y financieros aplicados a la gestión del riesgo en entidades bolivianas, calculando funciones biométricas, rentas contingentes y primas de seguros de vida, analizando el sistema de pensiones y aplicando criterios de sostenibilidad y equidad, con rigor cuantitativo, pensamiento crítico y uso ético de los datos.</w:t>
            </w:r>
          </w:p>
        </w:tc>
      </w:tr>
      <w:tr w:rsidR="00990B14" w14:paraId="03189367" w14:textId="77777777">
        <w:trPr>
          <w:cantSplit/>
          <w:jc w:val="center"/>
        </w:trPr>
        <w:tc>
          <w:tcPr>
            <w:tcW w:w="9405" w:type="dxa"/>
            <w:gridSpan w:val="13"/>
            <w:shd w:val="clear" w:color="auto" w:fill="D9E2F3"/>
            <w:vAlign w:val="center"/>
          </w:tcPr>
          <w:p w14:paraId="7332E8C4" w14:textId="77777777" w:rsidR="00990B14" w:rsidRDefault="00000000">
            <w:pPr>
              <w:spacing w:before="20" w:after="20"/>
              <w:jc w:val="both"/>
            </w:pPr>
            <w:r>
              <w:rPr>
                <w:b/>
                <w:bCs/>
                <w:i/>
                <w:iCs/>
                <w:sz w:val="18"/>
                <w:szCs w:val="18"/>
              </w:rPr>
              <w:t xml:space="preserve">Elemento de competencia 1: </w:t>
            </w:r>
            <w:r>
              <w:rPr>
                <w:sz w:val="18"/>
                <w:szCs w:val="18"/>
              </w:rPr>
              <w:t>Analiza situaciones de riesgo y de incertidumbre con el valor esperado y los árboles de decisión, relacionando las probabilidades de los riesgos asegurables con la teoría estadística de la mortalidad, la invalidez, la enfermedad y la nupcialidad.</w:t>
            </w:r>
          </w:p>
        </w:tc>
      </w:tr>
      <w:tr w:rsidR="00990B14" w14:paraId="0D81AB62" w14:textId="77777777">
        <w:trPr>
          <w:cantSplit/>
          <w:jc w:val="center"/>
        </w:trPr>
        <w:tc>
          <w:tcPr>
            <w:tcW w:w="3133" w:type="dxa"/>
            <w:gridSpan w:val="4"/>
            <w:shd w:val="clear" w:color="auto" w:fill="4472C4"/>
            <w:vAlign w:val="center"/>
          </w:tcPr>
          <w:p w14:paraId="60DB94FB"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62EF54B9"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12923180" w14:textId="77777777" w:rsidR="00990B14" w:rsidRDefault="00000000">
            <w:pPr>
              <w:keepNext/>
              <w:spacing w:before="20" w:after="20"/>
              <w:jc w:val="center"/>
            </w:pPr>
            <w:r>
              <w:rPr>
                <w:b/>
                <w:bCs/>
                <w:i/>
                <w:iCs/>
                <w:color w:val="FFFFFF"/>
                <w:sz w:val="18"/>
                <w:szCs w:val="18"/>
              </w:rPr>
              <w:t>Evidencias de producto</w:t>
            </w:r>
          </w:p>
        </w:tc>
      </w:tr>
      <w:tr w:rsidR="00990B14" w14:paraId="62B25D16" w14:textId="77777777">
        <w:trPr>
          <w:cantSplit/>
          <w:jc w:val="center"/>
        </w:trPr>
        <w:tc>
          <w:tcPr>
            <w:tcW w:w="3133" w:type="dxa"/>
            <w:gridSpan w:val="4"/>
            <w:vMerge w:val="restart"/>
            <w:shd w:val="clear" w:color="auto" w:fill="D9E2F3"/>
            <w:vAlign w:val="center"/>
          </w:tcPr>
          <w:p w14:paraId="429884B3" w14:textId="77777777" w:rsidR="00990B14" w:rsidRDefault="00000000">
            <w:pPr>
              <w:spacing w:before="20" w:after="20"/>
              <w:jc w:val="both"/>
            </w:pPr>
            <w:r>
              <w:rPr>
                <w:sz w:val="18"/>
                <w:szCs w:val="18"/>
              </w:rPr>
              <w:t>1. Analiza situaciones de riesgo y de incertidumbre con el valor esperado y los árboles de decisión, evaluando la variabilidad económica de cada alternativa.</w:t>
            </w:r>
          </w:p>
        </w:tc>
        <w:tc>
          <w:tcPr>
            <w:tcW w:w="3135" w:type="dxa"/>
            <w:gridSpan w:val="5"/>
            <w:shd w:val="clear" w:color="auto" w:fill="D9E2F3"/>
            <w:vAlign w:val="center"/>
          </w:tcPr>
          <w:p w14:paraId="7027A669" w14:textId="77777777" w:rsidR="00990B14" w:rsidRDefault="00000000">
            <w:pPr>
              <w:spacing w:before="20" w:after="20"/>
              <w:jc w:val="both"/>
            </w:pPr>
            <w:r>
              <w:rPr>
                <w:sz w:val="18"/>
                <w:szCs w:val="18"/>
              </w:rPr>
              <w:t>1.1 Construye en aula un árbol de decisión con el valor esperado de un caso de incertidumbre.</w:t>
            </w:r>
          </w:p>
        </w:tc>
        <w:tc>
          <w:tcPr>
            <w:tcW w:w="3137" w:type="dxa"/>
            <w:gridSpan w:val="4"/>
            <w:shd w:val="clear" w:color="auto" w:fill="D9E2F3"/>
            <w:vAlign w:val="center"/>
          </w:tcPr>
          <w:p w14:paraId="3C27ECC0" w14:textId="77777777" w:rsidR="00990B14" w:rsidRDefault="00000000">
            <w:pPr>
              <w:spacing w:before="20" w:after="20"/>
              <w:jc w:val="both"/>
            </w:pPr>
            <w:r>
              <w:rPr>
                <w:b/>
                <w:bCs/>
                <w:sz w:val="18"/>
                <w:szCs w:val="18"/>
              </w:rPr>
              <w:t xml:space="preserve">Producto 1: </w:t>
            </w:r>
            <w:r>
              <w:rPr>
                <w:sz w:val="18"/>
                <w:szCs w:val="18"/>
              </w:rPr>
              <w:t>Árbol de decisión con el valor esperado de un caso de incertidumbre.</w:t>
            </w:r>
          </w:p>
        </w:tc>
      </w:tr>
      <w:tr w:rsidR="00990B14" w14:paraId="61BE8939" w14:textId="77777777">
        <w:trPr>
          <w:cantSplit/>
          <w:jc w:val="center"/>
        </w:trPr>
        <w:tc>
          <w:tcPr>
            <w:tcW w:w="3133" w:type="dxa"/>
            <w:gridSpan w:val="4"/>
            <w:vMerge/>
            <w:shd w:val="clear" w:color="auto" w:fill="D9E2F3"/>
            <w:vAlign w:val="center"/>
          </w:tcPr>
          <w:p w14:paraId="6FA9FEF0" w14:textId="77777777" w:rsidR="00990B14" w:rsidRDefault="00990B14">
            <w:pPr>
              <w:spacing w:before="20" w:after="20"/>
            </w:pPr>
          </w:p>
        </w:tc>
        <w:tc>
          <w:tcPr>
            <w:tcW w:w="3135" w:type="dxa"/>
            <w:gridSpan w:val="5"/>
            <w:shd w:val="clear" w:color="auto" w:fill="D9E2F3"/>
            <w:vAlign w:val="center"/>
          </w:tcPr>
          <w:p w14:paraId="67A6373E" w14:textId="77777777" w:rsidR="00990B14" w:rsidRDefault="00000000">
            <w:pPr>
              <w:spacing w:before="20" w:after="20"/>
              <w:jc w:val="both"/>
            </w:pPr>
            <w:r>
              <w:rPr>
                <w:sz w:val="18"/>
                <w:szCs w:val="18"/>
              </w:rPr>
              <w:t>1.2 Compara en equipo las decisiones de un caso bajo condiciones de riesgo y de incertidumbre.</w:t>
            </w:r>
          </w:p>
        </w:tc>
        <w:tc>
          <w:tcPr>
            <w:tcW w:w="3137" w:type="dxa"/>
            <w:gridSpan w:val="4"/>
            <w:shd w:val="clear" w:color="auto" w:fill="D9E2F3"/>
            <w:vAlign w:val="center"/>
          </w:tcPr>
          <w:p w14:paraId="6EA241AD" w14:textId="77777777" w:rsidR="00990B14" w:rsidRDefault="00000000">
            <w:pPr>
              <w:spacing w:before="20" w:after="20"/>
              <w:jc w:val="both"/>
            </w:pPr>
            <w:r>
              <w:rPr>
                <w:b/>
                <w:bCs/>
                <w:sz w:val="18"/>
                <w:szCs w:val="18"/>
              </w:rPr>
              <w:t xml:space="preserve">Producto 2: </w:t>
            </w:r>
            <w:r>
              <w:rPr>
                <w:sz w:val="18"/>
                <w:szCs w:val="18"/>
              </w:rPr>
              <w:t>Cuadro comparativo de criterios de decisión bajo riesgo e incertidumbre.</w:t>
            </w:r>
          </w:p>
        </w:tc>
      </w:tr>
      <w:tr w:rsidR="00990B14" w14:paraId="4DA4FD40" w14:textId="77777777">
        <w:trPr>
          <w:cantSplit/>
          <w:jc w:val="center"/>
        </w:trPr>
        <w:tc>
          <w:tcPr>
            <w:tcW w:w="3133" w:type="dxa"/>
            <w:gridSpan w:val="4"/>
            <w:vMerge w:val="restart"/>
            <w:shd w:val="clear" w:color="auto" w:fill="D9E2F3"/>
            <w:vAlign w:val="center"/>
          </w:tcPr>
          <w:p w14:paraId="65A347D1" w14:textId="77777777" w:rsidR="00990B14" w:rsidRDefault="00000000">
            <w:pPr>
              <w:spacing w:before="20" w:after="20"/>
              <w:jc w:val="both"/>
            </w:pPr>
            <w:r>
              <w:rPr>
                <w:sz w:val="18"/>
                <w:szCs w:val="18"/>
              </w:rPr>
              <w:t>2. Evalúa los riesgos asegurables con la teoría estadística de la mortalidad, la invalidez, la enfermedad y la nupcialidad, examinando la calidad y la vigencia de los datos censales.</w:t>
            </w:r>
          </w:p>
        </w:tc>
        <w:tc>
          <w:tcPr>
            <w:tcW w:w="3135" w:type="dxa"/>
            <w:gridSpan w:val="5"/>
            <w:shd w:val="clear" w:color="auto" w:fill="D9E2F3"/>
            <w:vAlign w:val="center"/>
          </w:tcPr>
          <w:p w14:paraId="4406FD49" w14:textId="77777777" w:rsidR="00990B14" w:rsidRDefault="00000000">
            <w:pPr>
              <w:spacing w:before="20" w:after="20"/>
              <w:jc w:val="both"/>
            </w:pPr>
            <w:r>
              <w:rPr>
                <w:sz w:val="18"/>
                <w:szCs w:val="18"/>
              </w:rPr>
              <w:t>2.1 Analiza en equipo datos censales de mortalidad y fertilidad y proyecta su tendencia.</w:t>
            </w:r>
          </w:p>
        </w:tc>
        <w:tc>
          <w:tcPr>
            <w:tcW w:w="3137" w:type="dxa"/>
            <w:gridSpan w:val="4"/>
            <w:shd w:val="clear" w:color="auto" w:fill="D9E2F3"/>
            <w:vAlign w:val="center"/>
          </w:tcPr>
          <w:p w14:paraId="5B2FA39F" w14:textId="77777777" w:rsidR="00990B14" w:rsidRDefault="00000000">
            <w:pPr>
              <w:spacing w:before="20" w:after="20"/>
              <w:jc w:val="both"/>
            </w:pPr>
            <w:r>
              <w:rPr>
                <w:b/>
                <w:bCs/>
                <w:sz w:val="18"/>
                <w:szCs w:val="18"/>
              </w:rPr>
              <w:t xml:space="preserve">Producto 3: </w:t>
            </w:r>
            <w:r>
              <w:rPr>
                <w:sz w:val="18"/>
                <w:szCs w:val="18"/>
              </w:rPr>
              <w:t>Análisis demográfico de datos censales con proyecciones de mortalidad y fertilidad.</w:t>
            </w:r>
          </w:p>
        </w:tc>
      </w:tr>
      <w:tr w:rsidR="00990B14" w14:paraId="30E1AED3" w14:textId="77777777">
        <w:trPr>
          <w:cantSplit/>
          <w:jc w:val="center"/>
        </w:trPr>
        <w:tc>
          <w:tcPr>
            <w:tcW w:w="3133" w:type="dxa"/>
            <w:gridSpan w:val="4"/>
            <w:vMerge/>
            <w:shd w:val="clear" w:color="auto" w:fill="D9E2F3"/>
            <w:vAlign w:val="center"/>
          </w:tcPr>
          <w:p w14:paraId="4D946F12" w14:textId="77777777" w:rsidR="00990B14" w:rsidRDefault="00990B14">
            <w:pPr>
              <w:spacing w:before="20" w:after="20"/>
            </w:pPr>
          </w:p>
        </w:tc>
        <w:tc>
          <w:tcPr>
            <w:tcW w:w="3135" w:type="dxa"/>
            <w:gridSpan w:val="5"/>
            <w:shd w:val="clear" w:color="auto" w:fill="D9E2F3"/>
            <w:vAlign w:val="center"/>
          </w:tcPr>
          <w:p w14:paraId="5275D1D1" w14:textId="77777777" w:rsidR="00990B14" w:rsidRDefault="00000000">
            <w:pPr>
              <w:spacing w:before="20" w:after="20"/>
              <w:jc w:val="both"/>
            </w:pPr>
            <w:r>
              <w:rPr>
                <w:sz w:val="18"/>
                <w:szCs w:val="18"/>
              </w:rPr>
              <w:t>2.2 Expone ante el curso el efecto de la transición demográfica de Bolivia sobre los riesgos asegurables y la seguridad social.</w:t>
            </w:r>
          </w:p>
        </w:tc>
        <w:tc>
          <w:tcPr>
            <w:tcW w:w="3137" w:type="dxa"/>
            <w:gridSpan w:val="4"/>
            <w:shd w:val="clear" w:color="auto" w:fill="D9E2F3"/>
            <w:vAlign w:val="center"/>
          </w:tcPr>
          <w:p w14:paraId="0CFF1552" w14:textId="77777777" w:rsidR="00990B14" w:rsidRDefault="00000000">
            <w:pPr>
              <w:spacing w:before="20" w:after="20"/>
              <w:jc w:val="both"/>
            </w:pPr>
            <w:r>
              <w:rPr>
                <w:b/>
                <w:bCs/>
                <w:sz w:val="18"/>
                <w:szCs w:val="18"/>
              </w:rPr>
              <w:t xml:space="preserve">Producto 4: </w:t>
            </w:r>
            <w:r>
              <w:rPr>
                <w:sz w:val="18"/>
                <w:szCs w:val="18"/>
              </w:rPr>
              <w:t>Informe de la transición demográfica y su efecto en los riesgos asegurables.</w:t>
            </w:r>
          </w:p>
        </w:tc>
      </w:tr>
      <w:tr w:rsidR="00990B14" w14:paraId="64576E19" w14:textId="77777777">
        <w:trPr>
          <w:cantSplit/>
          <w:jc w:val="center"/>
        </w:trPr>
        <w:tc>
          <w:tcPr>
            <w:tcW w:w="9405" w:type="dxa"/>
            <w:gridSpan w:val="13"/>
            <w:shd w:val="clear" w:color="auto" w:fill="4472C4"/>
            <w:vAlign w:val="center"/>
          </w:tcPr>
          <w:p w14:paraId="5CFCABCB" w14:textId="77777777" w:rsidR="00990B14" w:rsidRDefault="00000000">
            <w:pPr>
              <w:keepNext/>
              <w:spacing w:before="20" w:after="20"/>
              <w:jc w:val="center"/>
            </w:pPr>
            <w:r>
              <w:rPr>
                <w:b/>
                <w:bCs/>
                <w:i/>
                <w:iCs/>
                <w:color w:val="FFFFFF"/>
                <w:sz w:val="18"/>
                <w:szCs w:val="18"/>
              </w:rPr>
              <w:t>Evidencias de conocimiento</w:t>
            </w:r>
          </w:p>
        </w:tc>
      </w:tr>
      <w:tr w:rsidR="00990B14" w14:paraId="4ED16CFD" w14:textId="77777777">
        <w:trPr>
          <w:cantSplit/>
          <w:jc w:val="center"/>
        </w:trPr>
        <w:tc>
          <w:tcPr>
            <w:tcW w:w="2349" w:type="dxa"/>
            <w:gridSpan w:val="2"/>
            <w:shd w:val="clear" w:color="auto" w:fill="4472C4"/>
            <w:vAlign w:val="center"/>
          </w:tcPr>
          <w:p w14:paraId="0927AFBE"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528DCCC3" w14:textId="77777777" w:rsidR="00990B14" w:rsidRDefault="00000000">
            <w:pPr>
              <w:keepNext/>
              <w:spacing w:before="20" w:after="20"/>
              <w:jc w:val="both"/>
            </w:pPr>
            <w:r>
              <w:rPr>
                <w:b/>
                <w:bCs/>
                <w:i/>
                <w:iCs/>
                <w:color w:val="FFFFFF"/>
                <w:sz w:val="18"/>
                <w:szCs w:val="18"/>
              </w:rPr>
              <w:t>Contenidos</w:t>
            </w:r>
          </w:p>
          <w:p w14:paraId="24F52C48"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6CB09F05" w14:textId="77777777" w:rsidR="00990B14" w:rsidRDefault="00000000">
            <w:pPr>
              <w:keepNext/>
              <w:spacing w:before="20" w:after="20"/>
              <w:jc w:val="center"/>
            </w:pPr>
            <w:r>
              <w:rPr>
                <w:b/>
                <w:bCs/>
                <w:i/>
                <w:iCs/>
                <w:color w:val="FFFFFF"/>
                <w:sz w:val="18"/>
                <w:szCs w:val="18"/>
              </w:rPr>
              <w:t>Conocimientos circunstanciales</w:t>
            </w:r>
          </w:p>
        </w:tc>
      </w:tr>
      <w:tr w:rsidR="00990B14" w14:paraId="33E2C8C4" w14:textId="77777777">
        <w:trPr>
          <w:jc w:val="center"/>
        </w:trPr>
        <w:tc>
          <w:tcPr>
            <w:tcW w:w="2349" w:type="dxa"/>
            <w:gridSpan w:val="2"/>
            <w:shd w:val="clear" w:color="auto" w:fill="D9E2F3"/>
          </w:tcPr>
          <w:p w14:paraId="534F0E96" w14:textId="77777777" w:rsidR="00990B14" w:rsidRDefault="00000000">
            <w:pPr>
              <w:spacing w:before="20" w:after="40"/>
              <w:jc w:val="both"/>
            </w:pPr>
            <w:r>
              <w:rPr>
                <w:sz w:val="18"/>
                <w:szCs w:val="18"/>
              </w:rPr>
              <w:t>Tema 1: Introducción a la gestión de riesgos</w:t>
            </w:r>
          </w:p>
          <w:p w14:paraId="1AEF60D1" w14:textId="77777777" w:rsidR="00990B14" w:rsidRDefault="00000000">
            <w:pPr>
              <w:spacing w:before="20" w:after="40"/>
              <w:jc w:val="both"/>
            </w:pPr>
            <w:r>
              <w:rPr>
                <w:sz w:val="18"/>
                <w:szCs w:val="18"/>
              </w:rPr>
              <w:t>Tema 2: Elementos de biometría actuarial</w:t>
            </w:r>
          </w:p>
        </w:tc>
        <w:tc>
          <w:tcPr>
            <w:tcW w:w="4304" w:type="dxa"/>
            <w:gridSpan w:val="8"/>
            <w:shd w:val="clear" w:color="auto" w:fill="D9E2F3"/>
          </w:tcPr>
          <w:p w14:paraId="6C6200F9" w14:textId="77777777" w:rsidR="00990B14" w:rsidRDefault="00000000">
            <w:pPr>
              <w:spacing w:after="40"/>
              <w:jc w:val="both"/>
            </w:pPr>
            <w:r>
              <w:rPr>
                <w:sz w:val="18"/>
                <w:szCs w:val="18"/>
              </w:rPr>
              <w:t>Riesgo e incertidumbre. (C)</w:t>
            </w:r>
          </w:p>
          <w:p w14:paraId="06CC4280" w14:textId="77777777" w:rsidR="00990B14" w:rsidRDefault="00000000">
            <w:pPr>
              <w:spacing w:after="40"/>
              <w:jc w:val="both"/>
            </w:pPr>
            <w:r>
              <w:rPr>
                <w:sz w:val="18"/>
                <w:szCs w:val="18"/>
              </w:rPr>
              <w:t>Variabilidad económica. (C)</w:t>
            </w:r>
          </w:p>
          <w:p w14:paraId="651FEDA8" w14:textId="77777777" w:rsidR="00990B14" w:rsidRDefault="00000000">
            <w:pPr>
              <w:spacing w:after="40"/>
              <w:jc w:val="both"/>
            </w:pPr>
            <w:r>
              <w:rPr>
                <w:sz w:val="18"/>
                <w:szCs w:val="18"/>
              </w:rPr>
              <w:t>Valor esperado. (C)</w:t>
            </w:r>
          </w:p>
          <w:p w14:paraId="14ED38F9" w14:textId="77777777" w:rsidR="00990B14" w:rsidRDefault="00000000">
            <w:pPr>
              <w:spacing w:after="40"/>
              <w:jc w:val="both"/>
            </w:pPr>
            <w:r>
              <w:rPr>
                <w:sz w:val="18"/>
                <w:szCs w:val="18"/>
              </w:rPr>
              <w:t>Árboles de decisión. (C)</w:t>
            </w:r>
          </w:p>
          <w:p w14:paraId="6BAF745B" w14:textId="77777777" w:rsidR="00990B14" w:rsidRDefault="00000000">
            <w:pPr>
              <w:spacing w:after="40"/>
              <w:jc w:val="both"/>
            </w:pPr>
            <w:r>
              <w:rPr>
                <w:sz w:val="18"/>
                <w:szCs w:val="18"/>
              </w:rPr>
              <w:t>Probabilidades y riesgos asegurables (mortalidad, invalidez, enfermedad). (C)</w:t>
            </w:r>
          </w:p>
          <w:p w14:paraId="450FC756" w14:textId="77777777" w:rsidR="00990B14" w:rsidRDefault="00000000">
            <w:pPr>
              <w:spacing w:after="40"/>
              <w:jc w:val="both"/>
            </w:pPr>
            <w:r>
              <w:rPr>
                <w:sz w:val="18"/>
                <w:szCs w:val="18"/>
              </w:rPr>
              <w:t>Análisis demográfico sobre datos censales: mortalidad, fertilidad y proyecciones. (P)</w:t>
            </w:r>
          </w:p>
          <w:p w14:paraId="095F06E3" w14:textId="77777777" w:rsidR="00990B14" w:rsidRDefault="00000000">
            <w:pPr>
              <w:spacing w:after="40"/>
              <w:jc w:val="both"/>
            </w:pPr>
            <w:r>
              <w:rPr>
                <w:sz w:val="18"/>
                <w:szCs w:val="18"/>
              </w:rPr>
              <w:t>Transición demográfica de Bolivia: envejecimiento de la población, bono demográfico y su efecto en los sistemas de seguridad social. (C)</w:t>
            </w:r>
          </w:p>
        </w:tc>
        <w:tc>
          <w:tcPr>
            <w:tcW w:w="2752" w:type="dxa"/>
            <w:gridSpan w:val="3"/>
            <w:shd w:val="clear" w:color="auto" w:fill="D9E2F3"/>
          </w:tcPr>
          <w:p w14:paraId="1D97E15F" w14:textId="77777777" w:rsidR="00990B14" w:rsidRDefault="00000000">
            <w:pPr>
              <w:numPr>
                <w:ilvl w:val="0"/>
                <w:numId w:val="139"/>
              </w:numPr>
              <w:spacing w:before="10" w:after="10"/>
              <w:jc w:val="both"/>
            </w:pPr>
            <w:r>
              <w:rPr>
                <w:sz w:val="18"/>
                <w:szCs w:val="18"/>
              </w:rPr>
              <w:t>Nociones de demografía: natalidad, mortalidad, fecundidad y migración.</w:t>
            </w:r>
          </w:p>
          <w:p w14:paraId="66ADC81C" w14:textId="77777777" w:rsidR="00990B14" w:rsidRDefault="00000000">
            <w:pPr>
              <w:numPr>
                <w:ilvl w:val="0"/>
                <w:numId w:val="139"/>
              </w:numPr>
              <w:spacing w:before="10" w:after="10"/>
              <w:jc w:val="both"/>
            </w:pPr>
            <w:r>
              <w:rPr>
                <w:sz w:val="18"/>
                <w:szCs w:val="18"/>
              </w:rPr>
              <w:t>Lectura de pirámides de población.</w:t>
            </w:r>
          </w:p>
        </w:tc>
      </w:tr>
      <w:tr w:rsidR="00990B14" w14:paraId="2127ADF2" w14:textId="77777777">
        <w:trPr>
          <w:cantSplit/>
          <w:jc w:val="center"/>
        </w:trPr>
        <w:tc>
          <w:tcPr>
            <w:tcW w:w="9405" w:type="dxa"/>
            <w:gridSpan w:val="13"/>
            <w:shd w:val="clear" w:color="auto" w:fill="D9E2F3"/>
            <w:vAlign w:val="center"/>
          </w:tcPr>
          <w:p w14:paraId="1E3CE4F1" w14:textId="77777777" w:rsidR="00990B14" w:rsidRDefault="00000000">
            <w:pPr>
              <w:spacing w:before="20" w:after="20"/>
              <w:jc w:val="both"/>
            </w:pPr>
            <w:r>
              <w:rPr>
                <w:b/>
                <w:bCs/>
                <w:i/>
                <w:iCs/>
                <w:sz w:val="18"/>
                <w:szCs w:val="18"/>
              </w:rPr>
              <w:t xml:space="preserve">Elemento de competencia 2: </w:t>
            </w:r>
            <w:r>
              <w:rPr>
                <w:sz w:val="18"/>
                <w:szCs w:val="18"/>
              </w:rPr>
              <w:t>Calcula las funciones biométricas y las rentas contingentes de una persona, elaborando tablas de supervivencia y de mortalidad ajustadas y aplicando las rentas vitalicias y temporarias adelantadas, vencidas y diferidas conforme a las progresiones aritméticas y geométricas.</w:t>
            </w:r>
          </w:p>
        </w:tc>
      </w:tr>
      <w:tr w:rsidR="00990B14" w14:paraId="063BF754" w14:textId="77777777">
        <w:trPr>
          <w:cantSplit/>
          <w:jc w:val="center"/>
        </w:trPr>
        <w:tc>
          <w:tcPr>
            <w:tcW w:w="3133" w:type="dxa"/>
            <w:gridSpan w:val="4"/>
            <w:shd w:val="clear" w:color="auto" w:fill="4472C4"/>
            <w:vAlign w:val="center"/>
          </w:tcPr>
          <w:p w14:paraId="0A48DFD4"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28BF835C"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561F34DD" w14:textId="77777777" w:rsidR="00990B14" w:rsidRDefault="00000000">
            <w:pPr>
              <w:keepNext/>
              <w:spacing w:before="20" w:after="20"/>
              <w:jc w:val="center"/>
            </w:pPr>
            <w:r>
              <w:rPr>
                <w:b/>
                <w:bCs/>
                <w:i/>
                <w:iCs/>
                <w:color w:val="FFFFFF"/>
                <w:sz w:val="18"/>
                <w:szCs w:val="18"/>
              </w:rPr>
              <w:t>Evidencias de producto</w:t>
            </w:r>
          </w:p>
        </w:tc>
      </w:tr>
      <w:tr w:rsidR="00990B14" w14:paraId="46D547C5" w14:textId="77777777">
        <w:trPr>
          <w:cantSplit/>
          <w:jc w:val="center"/>
        </w:trPr>
        <w:tc>
          <w:tcPr>
            <w:tcW w:w="3133" w:type="dxa"/>
            <w:gridSpan w:val="4"/>
            <w:vMerge w:val="restart"/>
            <w:shd w:val="clear" w:color="auto" w:fill="D9E2F3"/>
            <w:vAlign w:val="center"/>
          </w:tcPr>
          <w:p w14:paraId="458BFA5A" w14:textId="77777777" w:rsidR="00990B14" w:rsidRDefault="00000000">
            <w:pPr>
              <w:spacing w:before="20" w:after="20"/>
              <w:jc w:val="both"/>
            </w:pPr>
            <w:r>
              <w:rPr>
                <w:sz w:val="18"/>
                <w:szCs w:val="18"/>
              </w:rPr>
              <w:t>1. Calcula las funciones biométricas y los valores de conmutación, elaborando tablas de supervivencia y de mortalidad ajustadas en hoja de cálculo.</w:t>
            </w:r>
          </w:p>
        </w:tc>
        <w:tc>
          <w:tcPr>
            <w:tcW w:w="3135" w:type="dxa"/>
            <w:gridSpan w:val="5"/>
            <w:shd w:val="clear" w:color="auto" w:fill="D9E2F3"/>
            <w:vAlign w:val="center"/>
          </w:tcPr>
          <w:p w14:paraId="26102850" w14:textId="77777777" w:rsidR="00990B14" w:rsidRDefault="00000000">
            <w:pPr>
              <w:spacing w:before="20" w:after="20"/>
              <w:jc w:val="both"/>
            </w:pPr>
            <w:r>
              <w:rPr>
                <w:sz w:val="18"/>
                <w:szCs w:val="18"/>
              </w:rPr>
              <w:t>1.1 Calcula en el laboratorio de cómputo las probabilidades de vida y de muerte, la tasa instantánea de mortalidad y la esperanza de vida de una tabla.</w:t>
            </w:r>
          </w:p>
        </w:tc>
        <w:tc>
          <w:tcPr>
            <w:tcW w:w="3137" w:type="dxa"/>
            <w:gridSpan w:val="4"/>
            <w:shd w:val="clear" w:color="auto" w:fill="D9E2F3"/>
            <w:vAlign w:val="center"/>
          </w:tcPr>
          <w:p w14:paraId="54E741D4" w14:textId="77777777" w:rsidR="00990B14" w:rsidRDefault="00000000">
            <w:pPr>
              <w:spacing w:before="20" w:after="20"/>
              <w:jc w:val="both"/>
            </w:pPr>
            <w:r>
              <w:rPr>
                <w:b/>
                <w:bCs/>
                <w:sz w:val="18"/>
                <w:szCs w:val="18"/>
              </w:rPr>
              <w:t xml:space="preserve">Producto 5: </w:t>
            </w:r>
            <w:r>
              <w:rPr>
                <w:sz w:val="18"/>
                <w:szCs w:val="18"/>
              </w:rPr>
              <w:t>Tabla de mortalidad con cálculo de las funciones biométricas.</w:t>
            </w:r>
          </w:p>
        </w:tc>
      </w:tr>
      <w:tr w:rsidR="00990B14" w14:paraId="4E450D29" w14:textId="77777777">
        <w:trPr>
          <w:cantSplit/>
          <w:jc w:val="center"/>
        </w:trPr>
        <w:tc>
          <w:tcPr>
            <w:tcW w:w="3133" w:type="dxa"/>
            <w:gridSpan w:val="4"/>
            <w:vMerge/>
            <w:shd w:val="clear" w:color="auto" w:fill="D9E2F3"/>
            <w:vAlign w:val="center"/>
          </w:tcPr>
          <w:p w14:paraId="7F2F1DAA" w14:textId="77777777" w:rsidR="00990B14" w:rsidRDefault="00990B14">
            <w:pPr>
              <w:spacing w:before="20" w:after="20"/>
            </w:pPr>
          </w:p>
        </w:tc>
        <w:tc>
          <w:tcPr>
            <w:tcW w:w="3135" w:type="dxa"/>
            <w:gridSpan w:val="5"/>
            <w:shd w:val="clear" w:color="auto" w:fill="D9E2F3"/>
            <w:vAlign w:val="center"/>
          </w:tcPr>
          <w:p w14:paraId="4D91FF70" w14:textId="77777777" w:rsidR="00990B14" w:rsidRDefault="00000000">
            <w:pPr>
              <w:spacing w:before="20" w:after="20"/>
              <w:jc w:val="both"/>
            </w:pPr>
            <w:r>
              <w:rPr>
                <w:sz w:val="18"/>
                <w:szCs w:val="18"/>
              </w:rPr>
              <w:t>1.2 Elabora en equipo una tabla de supervivencia ajustada con sus valores de conmutación y evalúa el efecto del riesgo de longevidad.</w:t>
            </w:r>
          </w:p>
        </w:tc>
        <w:tc>
          <w:tcPr>
            <w:tcW w:w="3137" w:type="dxa"/>
            <w:gridSpan w:val="4"/>
            <w:shd w:val="clear" w:color="auto" w:fill="D9E2F3"/>
            <w:vAlign w:val="center"/>
          </w:tcPr>
          <w:p w14:paraId="75014F1D" w14:textId="77777777" w:rsidR="00990B14" w:rsidRDefault="00000000">
            <w:pPr>
              <w:spacing w:before="20" w:after="20"/>
              <w:jc w:val="both"/>
            </w:pPr>
            <w:r>
              <w:rPr>
                <w:b/>
                <w:bCs/>
                <w:sz w:val="18"/>
                <w:szCs w:val="18"/>
              </w:rPr>
              <w:t xml:space="preserve">Producto 6: </w:t>
            </w:r>
            <w:r>
              <w:rPr>
                <w:sz w:val="18"/>
                <w:szCs w:val="18"/>
              </w:rPr>
              <w:t>Tabla de supervivencia ajustada con sus valores de conmutación.</w:t>
            </w:r>
          </w:p>
        </w:tc>
      </w:tr>
      <w:tr w:rsidR="00990B14" w14:paraId="61148B6A" w14:textId="77777777">
        <w:trPr>
          <w:cantSplit/>
          <w:jc w:val="center"/>
        </w:trPr>
        <w:tc>
          <w:tcPr>
            <w:tcW w:w="3133" w:type="dxa"/>
            <w:gridSpan w:val="4"/>
            <w:vMerge w:val="restart"/>
            <w:shd w:val="clear" w:color="auto" w:fill="D9E2F3"/>
            <w:vAlign w:val="center"/>
          </w:tcPr>
          <w:p w14:paraId="4A16C106" w14:textId="77777777" w:rsidR="00990B14" w:rsidRDefault="00000000">
            <w:pPr>
              <w:spacing w:before="20" w:after="20"/>
              <w:jc w:val="both"/>
            </w:pPr>
            <w:r>
              <w:rPr>
                <w:sz w:val="18"/>
                <w:szCs w:val="18"/>
              </w:rPr>
              <w:t>2. Calcula rentas contingentes vitalicias, temporarias e interceptadas, evaluando el efecto de la tasa técnica de interés y de la inflación sobre su valor.</w:t>
            </w:r>
          </w:p>
        </w:tc>
        <w:tc>
          <w:tcPr>
            <w:tcW w:w="3135" w:type="dxa"/>
            <w:gridSpan w:val="5"/>
            <w:shd w:val="clear" w:color="auto" w:fill="D9E2F3"/>
            <w:vAlign w:val="center"/>
          </w:tcPr>
          <w:p w14:paraId="65F7E8EE" w14:textId="77777777" w:rsidR="00990B14" w:rsidRDefault="00000000">
            <w:pPr>
              <w:spacing w:before="20" w:after="20"/>
              <w:jc w:val="both"/>
            </w:pPr>
            <w:r>
              <w:rPr>
                <w:sz w:val="18"/>
                <w:szCs w:val="18"/>
              </w:rPr>
              <w:t>2.1 Calcula en aula rentas vitalicias y temporarias adelantadas, vencidas y diferidas de un caso.</w:t>
            </w:r>
          </w:p>
        </w:tc>
        <w:tc>
          <w:tcPr>
            <w:tcW w:w="3137" w:type="dxa"/>
            <w:gridSpan w:val="4"/>
            <w:shd w:val="clear" w:color="auto" w:fill="D9E2F3"/>
            <w:vAlign w:val="center"/>
          </w:tcPr>
          <w:p w14:paraId="72AFE5EC" w14:textId="77777777" w:rsidR="00990B14" w:rsidRDefault="00000000">
            <w:pPr>
              <w:spacing w:before="20" w:after="20"/>
              <w:jc w:val="both"/>
            </w:pPr>
            <w:r>
              <w:rPr>
                <w:b/>
                <w:bCs/>
                <w:sz w:val="18"/>
                <w:szCs w:val="18"/>
              </w:rPr>
              <w:t xml:space="preserve">Producto 7: </w:t>
            </w:r>
            <w:r>
              <w:rPr>
                <w:sz w:val="18"/>
                <w:szCs w:val="18"/>
              </w:rPr>
              <w:t>Informe con cálculo de rentas vitalicias y temporarias de un caso.</w:t>
            </w:r>
          </w:p>
        </w:tc>
      </w:tr>
      <w:tr w:rsidR="00990B14" w14:paraId="461DC609" w14:textId="77777777">
        <w:trPr>
          <w:cantSplit/>
          <w:jc w:val="center"/>
        </w:trPr>
        <w:tc>
          <w:tcPr>
            <w:tcW w:w="3133" w:type="dxa"/>
            <w:gridSpan w:val="4"/>
            <w:vMerge/>
            <w:shd w:val="clear" w:color="auto" w:fill="D9E2F3"/>
            <w:vAlign w:val="center"/>
          </w:tcPr>
          <w:p w14:paraId="6C3544EF" w14:textId="77777777" w:rsidR="00990B14" w:rsidRDefault="00990B14">
            <w:pPr>
              <w:spacing w:before="20" w:after="20"/>
            </w:pPr>
          </w:p>
        </w:tc>
        <w:tc>
          <w:tcPr>
            <w:tcW w:w="3135" w:type="dxa"/>
            <w:gridSpan w:val="5"/>
            <w:shd w:val="clear" w:color="auto" w:fill="D9E2F3"/>
            <w:vAlign w:val="center"/>
          </w:tcPr>
          <w:p w14:paraId="52A28673" w14:textId="77777777" w:rsidR="00990B14" w:rsidRDefault="00000000">
            <w:pPr>
              <w:spacing w:before="20" w:after="20"/>
              <w:jc w:val="both"/>
            </w:pPr>
            <w:r>
              <w:rPr>
                <w:sz w:val="18"/>
                <w:szCs w:val="18"/>
              </w:rPr>
              <w:t>2.2 Analiza en equipo la sensibilidad de una renta contingente fraccionada ante cambios de la tasa técnica de interés y de la inflación.</w:t>
            </w:r>
          </w:p>
        </w:tc>
        <w:tc>
          <w:tcPr>
            <w:tcW w:w="3137" w:type="dxa"/>
            <w:gridSpan w:val="4"/>
            <w:shd w:val="clear" w:color="auto" w:fill="D9E2F3"/>
            <w:vAlign w:val="center"/>
          </w:tcPr>
          <w:p w14:paraId="400CCCE8" w14:textId="77777777" w:rsidR="00990B14" w:rsidRDefault="00000000">
            <w:pPr>
              <w:spacing w:before="20" w:after="20"/>
              <w:jc w:val="both"/>
            </w:pPr>
            <w:r>
              <w:rPr>
                <w:b/>
                <w:bCs/>
                <w:sz w:val="18"/>
                <w:szCs w:val="18"/>
              </w:rPr>
              <w:t xml:space="preserve">Producto 8: </w:t>
            </w:r>
            <w:r>
              <w:rPr>
                <w:sz w:val="18"/>
                <w:szCs w:val="18"/>
              </w:rPr>
              <w:t>Informe de análisis de sensibilidad de una renta contingente fraccionada.</w:t>
            </w:r>
          </w:p>
        </w:tc>
      </w:tr>
      <w:tr w:rsidR="00990B14" w14:paraId="4B7156D4" w14:textId="77777777">
        <w:trPr>
          <w:cantSplit/>
          <w:jc w:val="center"/>
        </w:trPr>
        <w:tc>
          <w:tcPr>
            <w:tcW w:w="9405" w:type="dxa"/>
            <w:gridSpan w:val="13"/>
            <w:shd w:val="clear" w:color="auto" w:fill="4472C4"/>
            <w:vAlign w:val="center"/>
          </w:tcPr>
          <w:p w14:paraId="7F43145E" w14:textId="77777777" w:rsidR="00990B14" w:rsidRDefault="00000000">
            <w:pPr>
              <w:keepNext/>
              <w:spacing w:before="20" w:after="20"/>
              <w:jc w:val="center"/>
            </w:pPr>
            <w:r>
              <w:rPr>
                <w:b/>
                <w:bCs/>
                <w:i/>
                <w:iCs/>
                <w:color w:val="FFFFFF"/>
                <w:sz w:val="18"/>
                <w:szCs w:val="18"/>
              </w:rPr>
              <w:t>Evidencias de conocimiento</w:t>
            </w:r>
          </w:p>
        </w:tc>
      </w:tr>
      <w:tr w:rsidR="00990B14" w14:paraId="6C0C69B8" w14:textId="77777777">
        <w:trPr>
          <w:cantSplit/>
          <w:jc w:val="center"/>
        </w:trPr>
        <w:tc>
          <w:tcPr>
            <w:tcW w:w="2349" w:type="dxa"/>
            <w:gridSpan w:val="2"/>
            <w:shd w:val="clear" w:color="auto" w:fill="4472C4"/>
            <w:vAlign w:val="center"/>
          </w:tcPr>
          <w:p w14:paraId="561CE672"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2DC17EAE" w14:textId="77777777" w:rsidR="00990B14" w:rsidRDefault="00000000">
            <w:pPr>
              <w:keepNext/>
              <w:spacing w:before="20" w:after="20"/>
              <w:jc w:val="both"/>
            </w:pPr>
            <w:r>
              <w:rPr>
                <w:b/>
                <w:bCs/>
                <w:i/>
                <w:iCs/>
                <w:color w:val="FFFFFF"/>
                <w:sz w:val="18"/>
                <w:szCs w:val="18"/>
              </w:rPr>
              <w:t>Contenidos</w:t>
            </w:r>
          </w:p>
          <w:p w14:paraId="732595D3"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03F1BDD6" w14:textId="77777777" w:rsidR="00990B14" w:rsidRDefault="00000000">
            <w:pPr>
              <w:keepNext/>
              <w:spacing w:before="20" w:after="20"/>
              <w:jc w:val="center"/>
            </w:pPr>
            <w:r>
              <w:rPr>
                <w:b/>
                <w:bCs/>
                <w:i/>
                <w:iCs/>
                <w:color w:val="FFFFFF"/>
                <w:sz w:val="18"/>
                <w:szCs w:val="18"/>
              </w:rPr>
              <w:t>Conocimientos circunstanciales</w:t>
            </w:r>
          </w:p>
        </w:tc>
      </w:tr>
      <w:tr w:rsidR="00990B14" w14:paraId="794FA02F" w14:textId="77777777">
        <w:trPr>
          <w:jc w:val="center"/>
        </w:trPr>
        <w:tc>
          <w:tcPr>
            <w:tcW w:w="2349" w:type="dxa"/>
            <w:gridSpan w:val="2"/>
            <w:shd w:val="clear" w:color="auto" w:fill="D9E2F3"/>
          </w:tcPr>
          <w:p w14:paraId="3340B3C7" w14:textId="77777777" w:rsidR="00990B14" w:rsidRDefault="00000000">
            <w:pPr>
              <w:spacing w:before="20" w:after="40"/>
              <w:jc w:val="both"/>
            </w:pPr>
            <w:r>
              <w:rPr>
                <w:sz w:val="18"/>
                <w:szCs w:val="18"/>
              </w:rPr>
              <w:t>Tema 3: Funciones biométricas</w:t>
            </w:r>
          </w:p>
          <w:p w14:paraId="543D9D8D" w14:textId="77777777" w:rsidR="00990B14" w:rsidRDefault="00000000">
            <w:pPr>
              <w:spacing w:before="20" w:after="40"/>
              <w:jc w:val="both"/>
            </w:pPr>
            <w:r>
              <w:rPr>
                <w:sz w:val="18"/>
                <w:szCs w:val="18"/>
              </w:rPr>
              <w:t>Tema 4: Rentas contingentes</w:t>
            </w:r>
          </w:p>
        </w:tc>
        <w:tc>
          <w:tcPr>
            <w:tcW w:w="4304" w:type="dxa"/>
            <w:gridSpan w:val="8"/>
            <w:shd w:val="clear" w:color="auto" w:fill="D9E2F3"/>
          </w:tcPr>
          <w:p w14:paraId="5AD21645" w14:textId="77777777" w:rsidR="00990B14" w:rsidRDefault="00000000">
            <w:pPr>
              <w:spacing w:after="40"/>
              <w:jc w:val="both"/>
            </w:pPr>
            <w:r>
              <w:rPr>
                <w:sz w:val="18"/>
                <w:szCs w:val="18"/>
              </w:rPr>
              <w:t>Definiciones sobre seguros de personas y seguros de vida. (C)</w:t>
            </w:r>
          </w:p>
          <w:p w14:paraId="48AD2C0F" w14:textId="77777777" w:rsidR="00990B14" w:rsidRDefault="00000000">
            <w:pPr>
              <w:spacing w:after="40"/>
              <w:jc w:val="both"/>
            </w:pPr>
            <w:r>
              <w:rPr>
                <w:sz w:val="18"/>
                <w:szCs w:val="18"/>
              </w:rPr>
              <w:t>Funciones biométricas. (C)</w:t>
            </w:r>
          </w:p>
          <w:p w14:paraId="368010DE" w14:textId="77777777" w:rsidR="00990B14" w:rsidRDefault="00000000">
            <w:pPr>
              <w:spacing w:after="40"/>
              <w:jc w:val="both"/>
            </w:pPr>
            <w:r>
              <w:rPr>
                <w:sz w:val="18"/>
                <w:szCs w:val="18"/>
              </w:rPr>
              <w:t>Probabilidad de vida. (C)</w:t>
            </w:r>
          </w:p>
          <w:p w14:paraId="6A13F12F" w14:textId="77777777" w:rsidR="00990B14" w:rsidRDefault="00000000">
            <w:pPr>
              <w:spacing w:after="40"/>
              <w:jc w:val="both"/>
            </w:pPr>
            <w:r>
              <w:rPr>
                <w:sz w:val="18"/>
                <w:szCs w:val="18"/>
              </w:rPr>
              <w:t>Probabilidad de muerte. (C)</w:t>
            </w:r>
          </w:p>
          <w:p w14:paraId="1A187E6E" w14:textId="77777777" w:rsidR="00990B14" w:rsidRDefault="00000000">
            <w:pPr>
              <w:spacing w:after="40"/>
              <w:jc w:val="both"/>
            </w:pPr>
            <w:r>
              <w:rPr>
                <w:sz w:val="18"/>
                <w:szCs w:val="18"/>
              </w:rPr>
              <w:t>Probabilidad de vida diferida. (C)</w:t>
            </w:r>
          </w:p>
          <w:p w14:paraId="38B6FA15" w14:textId="77777777" w:rsidR="00990B14" w:rsidRDefault="00000000">
            <w:pPr>
              <w:spacing w:after="40"/>
              <w:jc w:val="both"/>
            </w:pPr>
            <w:r>
              <w:rPr>
                <w:sz w:val="18"/>
                <w:szCs w:val="18"/>
              </w:rPr>
              <w:t>Probabilidad de muerte diferida. (C)</w:t>
            </w:r>
          </w:p>
          <w:p w14:paraId="5EA4D357" w14:textId="77777777" w:rsidR="00990B14" w:rsidRDefault="00000000">
            <w:pPr>
              <w:spacing w:after="40"/>
              <w:jc w:val="both"/>
            </w:pPr>
            <w:r>
              <w:rPr>
                <w:sz w:val="18"/>
                <w:szCs w:val="18"/>
              </w:rPr>
              <w:t>Tasa instantánea de mortalidad. (C)</w:t>
            </w:r>
          </w:p>
          <w:p w14:paraId="744C9708" w14:textId="77777777" w:rsidR="00990B14" w:rsidRDefault="00000000">
            <w:pPr>
              <w:spacing w:after="40"/>
              <w:jc w:val="both"/>
            </w:pPr>
            <w:r>
              <w:rPr>
                <w:sz w:val="18"/>
                <w:szCs w:val="18"/>
              </w:rPr>
              <w:t>Vida probable. (C)</w:t>
            </w:r>
          </w:p>
          <w:p w14:paraId="394AF35C" w14:textId="77777777" w:rsidR="00990B14" w:rsidRDefault="00000000">
            <w:pPr>
              <w:spacing w:after="40"/>
              <w:jc w:val="both"/>
            </w:pPr>
            <w:r>
              <w:rPr>
                <w:sz w:val="18"/>
                <w:szCs w:val="18"/>
              </w:rPr>
              <w:t>Vida media o esperanza completa de vida. (C)</w:t>
            </w:r>
          </w:p>
          <w:p w14:paraId="0B66E82B" w14:textId="77777777" w:rsidR="00990B14" w:rsidRDefault="00000000">
            <w:pPr>
              <w:spacing w:after="40"/>
              <w:jc w:val="both"/>
            </w:pPr>
            <w:r>
              <w:rPr>
                <w:sz w:val="18"/>
                <w:szCs w:val="18"/>
              </w:rPr>
              <w:t>Tablas biométricas. (C)</w:t>
            </w:r>
          </w:p>
          <w:p w14:paraId="05E561A3" w14:textId="77777777" w:rsidR="00990B14" w:rsidRDefault="00000000">
            <w:pPr>
              <w:spacing w:after="40"/>
              <w:jc w:val="both"/>
            </w:pPr>
            <w:r>
              <w:rPr>
                <w:sz w:val="18"/>
                <w:szCs w:val="18"/>
              </w:rPr>
              <w:t>Ajustamiento y ajuste gráfico. (C)</w:t>
            </w:r>
          </w:p>
          <w:p w14:paraId="4BDF5D8A" w14:textId="77777777" w:rsidR="00990B14" w:rsidRDefault="00000000">
            <w:pPr>
              <w:spacing w:after="40"/>
              <w:jc w:val="both"/>
            </w:pPr>
            <w:r>
              <w:rPr>
                <w:sz w:val="18"/>
                <w:szCs w:val="18"/>
              </w:rPr>
              <w:t>Valores de conmutación. (C, A)</w:t>
            </w:r>
          </w:p>
          <w:p w14:paraId="5314613B" w14:textId="77777777" w:rsidR="00990B14" w:rsidRDefault="00000000">
            <w:pPr>
              <w:spacing w:after="40"/>
              <w:jc w:val="both"/>
            </w:pPr>
            <w:r>
              <w:rPr>
                <w:sz w:val="18"/>
                <w:szCs w:val="18"/>
              </w:rPr>
              <w:t>Elaboración de tablas de supervivencia y mortalidad. (P)</w:t>
            </w:r>
          </w:p>
          <w:p w14:paraId="4FE2F611" w14:textId="77777777" w:rsidR="00990B14" w:rsidRDefault="00000000">
            <w:pPr>
              <w:spacing w:after="40"/>
              <w:jc w:val="both"/>
            </w:pPr>
            <w:r>
              <w:rPr>
                <w:sz w:val="18"/>
                <w:szCs w:val="18"/>
              </w:rPr>
              <w:t>Aplicaciones de Excel para funciones biométricas. (C, T)</w:t>
            </w:r>
          </w:p>
          <w:p w14:paraId="5106B7A7" w14:textId="77777777" w:rsidR="00990B14" w:rsidRDefault="00000000">
            <w:pPr>
              <w:spacing w:after="40"/>
              <w:jc w:val="both"/>
            </w:pPr>
            <w:r>
              <w:rPr>
                <w:sz w:val="18"/>
                <w:szCs w:val="18"/>
              </w:rPr>
              <w:t>Concepto de renta contingente. (C)</w:t>
            </w:r>
          </w:p>
          <w:p w14:paraId="09C05478" w14:textId="77777777" w:rsidR="00990B14" w:rsidRDefault="00000000">
            <w:pPr>
              <w:spacing w:after="40"/>
              <w:jc w:val="both"/>
            </w:pPr>
            <w:r>
              <w:rPr>
                <w:sz w:val="18"/>
                <w:szCs w:val="18"/>
              </w:rPr>
              <w:t>Rentas vitalicias y temporarias. (C)</w:t>
            </w:r>
          </w:p>
          <w:p w14:paraId="3275280E" w14:textId="77777777" w:rsidR="00990B14" w:rsidRDefault="00000000">
            <w:pPr>
              <w:spacing w:after="40"/>
              <w:jc w:val="both"/>
            </w:pPr>
            <w:r>
              <w:rPr>
                <w:sz w:val="18"/>
                <w:szCs w:val="18"/>
              </w:rPr>
              <w:t>Rentas en progresiones aritméticas y geométricas. (C, A)</w:t>
            </w:r>
          </w:p>
          <w:p w14:paraId="538E7E39" w14:textId="77777777" w:rsidR="00990B14" w:rsidRDefault="00000000">
            <w:pPr>
              <w:spacing w:after="40"/>
              <w:jc w:val="both"/>
            </w:pPr>
            <w:r>
              <w:rPr>
                <w:sz w:val="18"/>
                <w:szCs w:val="18"/>
              </w:rPr>
              <w:t>Ajustes para rentas menores a un año. (C)</w:t>
            </w:r>
          </w:p>
          <w:p w14:paraId="1C8D2215" w14:textId="77777777" w:rsidR="00990B14" w:rsidRDefault="00000000">
            <w:pPr>
              <w:spacing w:after="40"/>
              <w:jc w:val="both"/>
            </w:pPr>
            <w:r>
              <w:rPr>
                <w:sz w:val="18"/>
                <w:szCs w:val="18"/>
              </w:rPr>
              <w:t>Efecto de tasa técnica e inflación. (C)</w:t>
            </w:r>
          </w:p>
          <w:p w14:paraId="6D613D25" w14:textId="77777777" w:rsidR="00990B14" w:rsidRDefault="00000000">
            <w:pPr>
              <w:spacing w:after="40"/>
              <w:jc w:val="both"/>
            </w:pPr>
            <w:r>
              <w:rPr>
                <w:sz w:val="18"/>
                <w:szCs w:val="18"/>
              </w:rPr>
              <w:t>Aplicaciones de Excel para rentas contingentes. (C, T)</w:t>
            </w:r>
          </w:p>
        </w:tc>
        <w:tc>
          <w:tcPr>
            <w:tcW w:w="2752" w:type="dxa"/>
            <w:gridSpan w:val="3"/>
            <w:shd w:val="clear" w:color="auto" w:fill="D9E2F3"/>
          </w:tcPr>
          <w:p w14:paraId="46739327" w14:textId="77777777" w:rsidR="00990B14" w:rsidRDefault="00000000">
            <w:pPr>
              <w:numPr>
                <w:ilvl w:val="0"/>
                <w:numId w:val="139"/>
              </w:numPr>
              <w:spacing w:before="10" w:after="10"/>
              <w:jc w:val="both"/>
            </w:pPr>
            <w:r>
              <w:rPr>
                <w:sz w:val="18"/>
                <w:szCs w:val="18"/>
              </w:rPr>
              <w:t>Tablas de mortalidad aprobadas por la Autoridad de Fiscalización y Control de Pensiones y Seguros para el cálculo de las prestaciones del sistema de pensiones y de los seguros de personas</w:t>
            </w:r>
          </w:p>
          <w:p w14:paraId="5AE1096C" w14:textId="77777777" w:rsidR="00990B14" w:rsidRDefault="00000000">
            <w:pPr>
              <w:numPr>
                <w:ilvl w:val="0"/>
                <w:numId w:val="139"/>
              </w:numPr>
              <w:spacing w:before="10" w:after="10"/>
              <w:jc w:val="both"/>
            </w:pPr>
            <w:r>
              <w:rPr>
                <w:sz w:val="18"/>
                <w:szCs w:val="18"/>
              </w:rPr>
              <w:t>Interpolación lineal de valores tabulados.</w:t>
            </w:r>
          </w:p>
          <w:p w14:paraId="06334E4D" w14:textId="77777777" w:rsidR="00990B14" w:rsidRDefault="00000000">
            <w:pPr>
              <w:numPr>
                <w:ilvl w:val="0"/>
                <w:numId w:val="139"/>
              </w:numPr>
              <w:spacing w:before="10" w:after="10"/>
              <w:jc w:val="both"/>
            </w:pPr>
            <w:r>
              <w:rPr>
                <w:sz w:val="18"/>
                <w:szCs w:val="18"/>
              </w:rPr>
              <w:t>Nociones de los registros de nacimientos y defunciones del registro civil</w:t>
            </w:r>
          </w:p>
        </w:tc>
      </w:tr>
      <w:tr w:rsidR="00990B14" w14:paraId="51BA8A94" w14:textId="77777777">
        <w:trPr>
          <w:cantSplit/>
          <w:jc w:val="center"/>
        </w:trPr>
        <w:tc>
          <w:tcPr>
            <w:tcW w:w="9405" w:type="dxa"/>
            <w:gridSpan w:val="13"/>
            <w:shd w:val="clear" w:color="auto" w:fill="D9E2F3"/>
            <w:vAlign w:val="center"/>
          </w:tcPr>
          <w:p w14:paraId="7EC11E76" w14:textId="77777777" w:rsidR="00990B14" w:rsidRDefault="00000000">
            <w:pPr>
              <w:spacing w:before="20" w:after="20"/>
              <w:jc w:val="both"/>
            </w:pPr>
            <w:r>
              <w:rPr>
                <w:b/>
                <w:bCs/>
                <w:i/>
                <w:iCs/>
                <w:sz w:val="18"/>
                <w:szCs w:val="18"/>
              </w:rPr>
              <w:t xml:space="preserve">Elemento de competencia 3: </w:t>
            </w:r>
            <w:r>
              <w:rPr>
                <w:sz w:val="18"/>
                <w:szCs w:val="18"/>
              </w:rPr>
              <w:t>Calcula la prima y la reserva de un seguro de vida, aplicando el seguro de vida entero, temporal, diferido y mixto o con dotal.</w:t>
            </w:r>
          </w:p>
        </w:tc>
      </w:tr>
      <w:tr w:rsidR="00990B14" w14:paraId="2A3E88AE" w14:textId="77777777">
        <w:trPr>
          <w:cantSplit/>
          <w:jc w:val="center"/>
        </w:trPr>
        <w:tc>
          <w:tcPr>
            <w:tcW w:w="3133" w:type="dxa"/>
            <w:gridSpan w:val="4"/>
            <w:shd w:val="clear" w:color="auto" w:fill="4472C4"/>
            <w:vAlign w:val="center"/>
          </w:tcPr>
          <w:p w14:paraId="7C633763"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0550D930"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09A8C29C" w14:textId="77777777" w:rsidR="00990B14" w:rsidRDefault="00000000">
            <w:pPr>
              <w:keepNext/>
              <w:spacing w:before="20" w:after="20"/>
              <w:jc w:val="center"/>
            </w:pPr>
            <w:r>
              <w:rPr>
                <w:b/>
                <w:bCs/>
                <w:i/>
                <w:iCs/>
                <w:color w:val="FFFFFF"/>
                <w:sz w:val="18"/>
                <w:szCs w:val="18"/>
              </w:rPr>
              <w:t>Evidencias de producto</w:t>
            </w:r>
          </w:p>
        </w:tc>
      </w:tr>
      <w:tr w:rsidR="00990B14" w14:paraId="4C7A3BC9" w14:textId="77777777">
        <w:trPr>
          <w:cantSplit/>
          <w:jc w:val="center"/>
        </w:trPr>
        <w:tc>
          <w:tcPr>
            <w:tcW w:w="3133" w:type="dxa"/>
            <w:gridSpan w:val="4"/>
            <w:vMerge w:val="restart"/>
            <w:shd w:val="clear" w:color="auto" w:fill="D9E2F3"/>
            <w:vAlign w:val="center"/>
          </w:tcPr>
          <w:p w14:paraId="3C0E42EB" w14:textId="77777777" w:rsidR="00990B14" w:rsidRDefault="00000000">
            <w:pPr>
              <w:spacing w:before="20" w:after="20"/>
              <w:jc w:val="both"/>
            </w:pPr>
            <w:r>
              <w:rPr>
                <w:sz w:val="18"/>
                <w:szCs w:val="18"/>
              </w:rPr>
              <w:t>1. Calcula la prima neta única, la prima neta anual y la prima natural de los seguros de vida entero, temporal, diferido y mixto, distinguiendo la prima pura de la prima comercial.</w:t>
            </w:r>
          </w:p>
        </w:tc>
        <w:tc>
          <w:tcPr>
            <w:tcW w:w="3135" w:type="dxa"/>
            <w:gridSpan w:val="5"/>
            <w:shd w:val="clear" w:color="auto" w:fill="D9E2F3"/>
            <w:vAlign w:val="center"/>
          </w:tcPr>
          <w:p w14:paraId="0A2A04B2" w14:textId="77777777" w:rsidR="00990B14" w:rsidRDefault="00000000">
            <w:pPr>
              <w:spacing w:before="20" w:after="20"/>
              <w:jc w:val="both"/>
            </w:pPr>
            <w:r>
              <w:rPr>
                <w:sz w:val="18"/>
                <w:szCs w:val="18"/>
              </w:rPr>
              <w:t>1.1 Calcula en aula la prima neta única y la prima neta anual de un seguro de vida con hoja de cálculo.</w:t>
            </w:r>
          </w:p>
        </w:tc>
        <w:tc>
          <w:tcPr>
            <w:tcW w:w="3137" w:type="dxa"/>
            <w:gridSpan w:val="4"/>
            <w:shd w:val="clear" w:color="auto" w:fill="D9E2F3"/>
            <w:vAlign w:val="center"/>
          </w:tcPr>
          <w:p w14:paraId="0902D38B" w14:textId="77777777" w:rsidR="00990B14" w:rsidRDefault="00000000">
            <w:pPr>
              <w:spacing w:before="20" w:after="20"/>
              <w:jc w:val="both"/>
            </w:pPr>
            <w:r>
              <w:rPr>
                <w:b/>
                <w:bCs/>
                <w:sz w:val="18"/>
                <w:szCs w:val="18"/>
              </w:rPr>
              <w:t xml:space="preserve">Producto 9: </w:t>
            </w:r>
            <w:r>
              <w:rPr>
                <w:sz w:val="18"/>
                <w:szCs w:val="18"/>
              </w:rPr>
              <w:t>Documento con cálculo de las primas netas de un seguro de vida.</w:t>
            </w:r>
          </w:p>
        </w:tc>
      </w:tr>
      <w:tr w:rsidR="00990B14" w14:paraId="5A0AB314" w14:textId="77777777">
        <w:trPr>
          <w:cantSplit/>
          <w:jc w:val="center"/>
        </w:trPr>
        <w:tc>
          <w:tcPr>
            <w:tcW w:w="3133" w:type="dxa"/>
            <w:gridSpan w:val="4"/>
            <w:vMerge/>
            <w:shd w:val="clear" w:color="auto" w:fill="D9E2F3"/>
            <w:vAlign w:val="center"/>
          </w:tcPr>
          <w:p w14:paraId="08546205" w14:textId="77777777" w:rsidR="00990B14" w:rsidRDefault="00990B14">
            <w:pPr>
              <w:spacing w:before="20" w:after="20"/>
            </w:pPr>
          </w:p>
        </w:tc>
        <w:tc>
          <w:tcPr>
            <w:tcW w:w="3135" w:type="dxa"/>
            <w:gridSpan w:val="5"/>
            <w:shd w:val="clear" w:color="auto" w:fill="D9E2F3"/>
            <w:vAlign w:val="center"/>
          </w:tcPr>
          <w:p w14:paraId="2840FEAF" w14:textId="77777777" w:rsidR="00990B14" w:rsidRDefault="00000000">
            <w:pPr>
              <w:spacing w:before="20" w:after="20"/>
              <w:jc w:val="both"/>
            </w:pPr>
            <w:r>
              <w:rPr>
                <w:sz w:val="18"/>
                <w:szCs w:val="18"/>
              </w:rPr>
              <w:t>1.2 Compara en equipo la prima comercial de dos pólizas de vida y descompone sus recargos.</w:t>
            </w:r>
          </w:p>
        </w:tc>
        <w:tc>
          <w:tcPr>
            <w:tcW w:w="3137" w:type="dxa"/>
            <w:gridSpan w:val="4"/>
            <w:shd w:val="clear" w:color="auto" w:fill="D9E2F3"/>
            <w:vAlign w:val="center"/>
          </w:tcPr>
          <w:p w14:paraId="60774123" w14:textId="77777777" w:rsidR="00990B14" w:rsidRDefault="00000000">
            <w:pPr>
              <w:spacing w:before="20" w:after="20"/>
              <w:jc w:val="both"/>
            </w:pPr>
            <w:r>
              <w:rPr>
                <w:b/>
                <w:bCs/>
                <w:sz w:val="18"/>
                <w:szCs w:val="18"/>
              </w:rPr>
              <w:t xml:space="preserve">Producto 10: </w:t>
            </w:r>
            <w:r>
              <w:rPr>
                <w:sz w:val="18"/>
                <w:szCs w:val="18"/>
              </w:rPr>
              <w:t>Cuadro comparativo de la composición de la prima comercial.</w:t>
            </w:r>
          </w:p>
        </w:tc>
      </w:tr>
      <w:tr w:rsidR="00990B14" w14:paraId="6022E686" w14:textId="77777777">
        <w:trPr>
          <w:cantSplit/>
          <w:jc w:val="center"/>
        </w:trPr>
        <w:tc>
          <w:tcPr>
            <w:tcW w:w="3133" w:type="dxa"/>
            <w:gridSpan w:val="4"/>
            <w:vMerge w:val="restart"/>
            <w:shd w:val="clear" w:color="auto" w:fill="D9E2F3"/>
            <w:vAlign w:val="center"/>
          </w:tcPr>
          <w:p w14:paraId="6784FE86" w14:textId="77777777" w:rsidR="00990B14" w:rsidRDefault="00000000">
            <w:pPr>
              <w:spacing w:before="20" w:after="20"/>
              <w:jc w:val="both"/>
            </w:pPr>
            <w:r>
              <w:rPr>
                <w:sz w:val="18"/>
                <w:szCs w:val="18"/>
              </w:rPr>
              <w:t>2. Evalúa la suficiencia de la reserva de un seguro de vida y de la obligación por beneficios a los empleados conforme a la NIC 19, analizando la sensibilidad de sus hipótesis actuariales.</w:t>
            </w:r>
          </w:p>
        </w:tc>
        <w:tc>
          <w:tcPr>
            <w:tcW w:w="3135" w:type="dxa"/>
            <w:gridSpan w:val="5"/>
            <w:shd w:val="clear" w:color="auto" w:fill="D9E2F3"/>
            <w:vAlign w:val="center"/>
          </w:tcPr>
          <w:p w14:paraId="742548F9" w14:textId="77777777" w:rsidR="00990B14" w:rsidRDefault="00000000">
            <w:pPr>
              <w:spacing w:before="20" w:after="20"/>
              <w:jc w:val="both"/>
            </w:pPr>
            <w:r>
              <w:rPr>
                <w:sz w:val="18"/>
                <w:szCs w:val="18"/>
              </w:rPr>
              <w:t>2.1 Calcula en equipo la reserva de un seguro de vida mixto o con dotal.</w:t>
            </w:r>
          </w:p>
        </w:tc>
        <w:tc>
          <w:tcPr>
            <w:tcW w:w="3137" w:type="dxa"/>
            <w:gridSpan w:val="4"/>
            <w:shd w:val="clear" w:color="auto" w:fill="D9E2F3"/>
            <w:vAlign w:val="center"/>
          </w:tcPr>
          <w:p w14:paraId="556D60AE" w14:textId="77777777" w:rsidR="00990B14" w:rsidRDefault="00000000">
            <w:pPr>
              <w:spacing w:before="20" w:after="20"/>
              <w:jc w:val="both"/>
            </w:pPr>
            <w:r>
              <w:rPr>
                <w:b/>
                <w:bCs/>
                <w:sz w:val="18"/>
                <w:szCs w:val="18"/>
              </w:rPr>
              <w:t xml:space="preserve">Producto 11: </w:t>
            </w:r>
            <w:r>
              <w:rPr>
                <w:sz w:val="18"/>
                <w:szCs w:val="18"/>
              </w:rPr>
              <w:t>Informe con cálculo de la reserva de un seguro de vida mixto.</w:t>
            </w:r>
          </w:p>
        </w:tc>
      </w:tr>
      <w:tr w:rsidR="00990B14" w14:paraId="4AFBFAC5" w14:textId="77777777">
        <w:trPr>
          <w:cantSplit/>
          <w:jc w:val="center"/>
        </w:trPr>
        <w:tc>
          <w:tcPr>
            <w:tcW w:w="3133" w:type="dxa"/>
            <w:gridSpan w:val="4"/>
            <w:vMerge/>
            <w:shd w:val="clear" w:color="auto" w:fill="D9E2F3"/>
            <w:vAlign w:val="center"/>
          </w:tcPr>
          <w:p w14:paraId="35F2916D" w14:textId="77777777" w:rsidR="00990B14" w:rsidRDefault="00990B14">
            <w:pPr>
              <w:spacing w:before="20" w:after="20"/>
            </w:pPr>
          </w:p>
        </w:tc>
        <w:tc>
          <w:tcPr>
            <w:tcW w:w="3135" w:type="dxa"/>
            <w:gridSpan w:val="5"/>
            <w:shd w:val="clear" w:color="auto" w:fill="D9E2F3"/>
            <w:vAlign w:val="center"/>
          </w:tcPr>
          <w:p w14:paraId="35C1C7E8" w14:textId="77777777" w:rsidR="00990B14" w:rsidRDefault="00000000">
            <w:pPr>
              <w:spacing w:before="20" w:after="20"/>
              <w:jc w:val="both"/>
            </w:pPr>
            <w:r>
              <w:rPr>
                <w:sz w:val="18"/>
                <w:szCs w:val="18"/>
              </w:rPr>
              <w:t>2.2 Valúa la previsión para indemnizaciones de una entidad con hipótesis actuariales explícitas mediante softwares adecuados.</w:t>
            </w:r>
          </w:p>
        </w:tc>
        <w:tc>
          <w:tcPr>
            <w:tcW w:w="3137" w:type="dxa"/>
            <w:gridSpan w:val="4"/>
            <w:shd w:val="clear" w:color="auto" w:fill="D9E2F3"/>
            <w:vAlign w:val="center"/>
          </w:tcPr>
          <w:p w14:paraId="661EE9CB" w14:textId="77777777" w:rsidR="00990B14" w:rsidRDefault="00000000">
            <w:pPr>
              <w:spacing w:before="20" w:after="20"/>
              <w:jc w:val="both"/>
            </w:pPr>
            <w:r>
              <w:rPr>
                <w:b/>
                <w:bCs/>
                <w:sz w:val="18"/>
                <w:szCs w:val="18"/>
              </w:rPr>
              <w:t xml:space="preserve">Producto 12: </w:t>
            </w:r>
            <w:r>
              <w:rPr>
                <w:sz w:val="18"/>
                <w:szCs w:val="18"/>
              </w:rPr>
              <w:t>Documento con cálculo actuarial de la previsión para indemnizaciones con su análisis de sensibilidad.</w:t>
            </w:r>
          </w:p>
        </w:tc>
      </w:tr>
      <w:tr w:rsidR="00990B14" w14:paraId="3123D308" w14:textId="77777777">
        <w:trPr>
          <w:cantSplit/>
          <w:jc w:val="center"/>
        </w:trPr>
        <w:tc>
          <w:tcPr>
            <w:tcW w:w="9405" w:type="dxa"/>
            <w:gridSpan w:val="13"/>
            <w:shd w:val="clear" w:color="auto" w:fill="4472C4"/>
            <w:vAlign w:val="center"/>
          </w:tcPr>
          <w:p w14:paraId="3FD0323B" w14:textId="77777777" w:rsidR="00990B14" w:rsidRDefault="00000000">
            <w:pPr>
              <w:keepNext/>
              <w:spacing w:before="20" w:after="20"/>
              <w:jc w:val="center"/>
            </w:pPr>
            <w:r>
              <w:rPr>
                <w:b/>
                <w:bCs/>
                <w:i/>
                <w:iCs/>
                <w:color w:val="FFFFFF"/>
                <w:sz w:val="18"/>
                <w:szCs w:val="18"/>
              </w:rPr>
              <w:t>Evidencias de conocimiento</w:t>
            </w:r>
          </w:p>
        </w:tc>
      </w:tr>
      <w:tr w:rsidR="00990B14" w14:paraId="643E5CD7" w14:textId="77777777">
        <w:trPr>
          <w:cantSplit/>
          <w:jc w:val="center"/>
        </w:trPr>
        <w:tc>
          <w:tcPr>
            <w:tcW w:w="2349" w:type="dxa"/>
            <w:gridSpan w:val="2"/>
            <w:shd w:val="clear" w:color="auto" w:fill="4472C4"/>
            <w:vAlign w:val="center"/>
          </w:tcPr>
          <w:p w14:paraId="4663AC54"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78D6E4DC" w14:textId="77777777" w:rsidR="00990B14" w:rsidRDefault="00000000">
            <w:pPr>
              <w:keepNext/>
              <w:spacing w:before="20" w:after="20"/>
              <w:jc w:val="both"/>
            </w:pPr>
            <w:r>
              <w:rPr>
                <w:b/>
                <w:bCs/>
                <w:i/>
                <w:iCs/>
                <w:color w:val="FFFFFF"/>
                <w:sz w:val="18"/>
                <w:szCs w:val="18"/>
              </w:rPr>
              <w:t>Contenidos</w:t>
            </w:r>
          </w:p>
          <w:p w14:paraId="6716BDA9"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6E76F267" w14:textId="77777777" w:rsidR="00990B14" w:rsidRDefault="00000000">
            <w:pPr>
              <w:keepNext/>
              <w:spacing w:before="20" w:after="20"/>
              <w:jc w:val="center"/>
            </w:pPr>
            <w:r>
              <w:rPr>
                <w:b/>
                <w:bCs/>
                <w:i/>
                <w:iCs/>
                <w:color w:val="FFFFFF"/>
                <w:sz w:val="18"/>
                <w:szCs w:val="18"/>
              </w:rPr>
              <w:t>Conocimientos circunstanciales</w:t>
            </w:r>
          </w:p>
        </w:tc>
      </w:tr>
      <w:tr w:rsidR="00990B14" w14:paraId="68988005" w14:textId="77777777">
        <w:trPr>
          <w:jc w:val="center"/>
        </w:trPr>
        <w:tc>
          <w:tcPr>
            <w:tcW w:w="2349" w:type="dxa"/>
            <w:gridSpan w:val="2"/>
            <w:shd w:val="clear" w:color="auto" w:fill="D9E2F3"/>
          </w:tcPr>
          <w:p w14:paraId="477C9506" w14:textId="77777777" w:rsidR="00990B14" w:rsidRDefault="00000000">
            <w:pPr>
              <w:spacing w:before="20" w:after="40"/>
              <w:jc w:val="both"/>
            </w:pPr>
            <w:r>
              <w:rPr>
                <w:sz w:val="18"/>
                <w:szCs w:val="18"/>
              </w:rPr>
              <w:t>Tema 5: Seguros de vida</w:t>
            </w:r>
          </w:p>
        </w:tc>
        <w:tc>
          <w:tcPr>
            <w:tcW w:w="4304" w:type="dxa"/>
            <w:gridSpan w:val="8"/>
            <w:shd w:val="clear" w:color="auto" w:fill="D9E2F3"/>
          </w:tcPr>
          <w:p w14:paraId="116DD6C2" w14:textId="77777777" w:rsidR="00990B14" w:rsidRDefault="00000000">
            <w:pPr>
              <w:spacing w:after="40"/>
              <w:jc w:val="both"/>
            </w:pPr>
            <w:r>
              <w:rPr>
                <w:sz w:val="18"/>
                <w:szCs w:val="18"/>
              </w:rPr>
              <w:t>Seguro de vida entero. (C)</w:t>
            </w:r>
          </w:p>
          <w:p w14:paraId="3DD48035" w14:textId="77777777" w:rsidR="00990B14" w:rsidRDefault="00000000">
            <w:pPr>
              <w:spacing w:after="40"/>
              <w:jc w:val="both"/>
            </w:pPr>
            <w:r>
              <w:rPr>
                <w:sz w:val="18"/>
                <w:szCs w:val="18"/>
              </w:rPr>
              <w:t>Seguro de vida temporal. (C)</w:t>
            </w:r>
          </w:p>
          <w:p w14:paraId="1C473FC8" w14:textId="77777777" w:rsidR="00990B14" w:rsidRDefault="00000000">
            <w:pPr>
              <w:spacing w:after="40"/>
              <w:jc w:val="both"/>
            </w:pPr>
            <w:r>
              <w:rPr>
                <w:sz w:val="18"/>
                <w:szCs w:val="18"/>
              </w:rPr>
              <w:t>Seguro de vida diferido. (C)</w:t>
            </w:r>
          </w:p>
          <w:p w14:paraId="74669CEA" w14:textId="77777777" w:rsidR="00990B14" w:rsidRDefault="00000000">
            <w:pPr>
              <w:spacing w:after="40"/>
              <w:jc w:val="both"/>
            </w:pPr>
            <w:r>
              <w:rPr>
                <w:sz w:val="18"/>
                <w:szCs w:val="18"/>
              </w:rPr>
              <w:t>Seguro de vida mixto o con dotal. (C)</w:t>
            </w:r>
          </w:p>
          <w:p w14:paraId="1F9EC53B" w14:textId="77777777" w:rsidR="00990B14" w:rsidRDefault="00000000">
            <w:pPr>
              <w:spacing w:after="40"/>
              <w:jc w:val="both"/>
            </w:pPr>
            <w:r>
              <w:rPr>
                <w:sz w:val="18"/>
                <w:szCs w:val="18"/>
              </w:rPr>
              <w:t>Prima neta única. (C)</w:t>
            </w:r>
          </w:p>
          <w:p w14:paraId="2901249A" w14:textId="77777777" w:rsidR="00990B14" w:rsidRDefault="00000000">
            <w:pPr>
              <w:spacing w:after="40"/>
              <w:jc w:val="both"/>
            </w:pPr>
            <w:r>
              <w:rPr>
                <w:sz w:val="18"/>
                <w:szCs w:val="18"/>
              </w:rPr>
              <w:t>Prima neta anual. (C)</w:t>
            </w:r>
          </w:p>
          <w:p w14:paraId="2BE5FC51" w14:textId="77777777" w:rsidR="00990B14" w:rsidRDefault="00000000">
            <w:pPr>
              <w:spacing w:after="40"/>
              <w:jc w:val="both"/>
            </w:pPr>
            <w:r>
              <w:rPr>
                <w:sz w:val="18"/>
                <w:szCs w:val="18"/>
              </w:rPr>
              <w:t>Ejercicios combinados. (P)</w:t>
            </w:r>
          </w:p>
          <w:p w14:paraId="310D7722" w14:textId="77777777" w:rsidR="00990B14" w:rsidRDefault="00000000">
            <w:pPr>
              <w:spacing w:after="40"/>
              <w:jc w:val="both"/>
            </w:pPr>
            <w:r>
              <w:rPr>
                <w:sz w:val="18"/>
                <w:szCs w:val="18"/>
              </w:rPr>
              <w:t>Prima natural de un seguro de vida. (C)</w:t>
            </w:r>
          </w:p>
          <w:p w14:paraId="6CA026AB" w14:textId="77777777" w:rsidR="00990B14" w:rsidRDefault="00000000">
            <w:pPr>
              <w:spacing w:after="40"/>
              <w:jc w:val="both"/>
            </w:pPr>
            <w:r>
              <w:rPr>
                <w:sz w:val="18"/>
                <w:szCs w:val="18"/>
              </w:rPr>
              <w:t>Reservas para seguros de vida. (C)</w:t>
            </w:r>
          </w:p>
          <w:p w14:paraId="56F86DB9" w14:textId="77777777" w:rsidR="00990B14" w:rsidRDefault="00000000">
            <w:pPr>
              <w:spacing w:after="40"/>
              <w:jc w:val="both"/>
            </w:pPr>
            <w:r>
              <w:rPr>
                <w:sz w:val="18"/>
                <w:szCs w:val="18"/>
              </w:rPr>
              <w:t>Componentes de la prima comercial: prima pura, recargos de gastos y margen, y su diferencia con la prima neta. (C)</w:t>
            </w:r>
          </w:p>
          <w:p w14:paraId="139638F0" w14:textId="77777777" w:rsidR="00990B14" w:rsidRDefault="00000000">
            <w:pPr>
              <w:spacing w:after="40"/>
              <w:jc w:val="both"/>
            </w:pPr>
            <w:r>
              <w:rPr>
                <w:sz w:val="18"/>
                <w:szCs w:val="18"/>
              </w:rPr>
              <w:t>Aplicaciones de Excel. (C, T)</w:t>
            </w:r>
          </w:p>
          <w:p w14:paraId="051303CB" w14:textId="77777777" w:rsidR="00990B14" w:rsidRDefault="00000000">
            <w:pPr>
              <w:spacing w:after="40"/>
              <w:jc w:val="both"/>
            </w:pPr>
            <w:r>
              <w:rPr>
                <w:sz w:val="18"/>
                <w:szCs w:val="18"/>
              </w:rPr>
              <w:t>Introducción conceptual a NIIF 17 y NIC 19. (C)</w:t>
            </w:r>
          </w:p>
        </w:tc>
        <w:tc>
          <w:tcPr>
            <w:tcW w:w="2752" w:type="dxa"/>
            <w:gridSpan w:val="3"/>
            <w:shd w:val="clear" w:color="auto" w:fill="D9E2F3"/>
          </w:tcPr>
          <w:p w14:paraId="4585237D" w14:textId="77777777" w:rsidR="00990B14" w:rsidRDefault="00000000">
            <w:pPr>
              <w:numPr>
                <w:ilvl w:val="0"/>
                <w:numId w:val="139"/>
              </w:numPr>
              <w:spacing w:before="10" w:after="10"/>
              <w:jc w:val="both"/>
            </w:pPr>
            <w:r>
              <w:rPr>
                <w:sz w:val="18"/>
                <w:szCs w:val="18"/>
              </w:rPr>
              <w:t>Seguros de vida ofrecidos por las compañías aseguradoras reguladas por la Autoridad de Fiscalización y Control de Pensiones y Seguros, APS, en Bolivia</w:t>
            </w:r>
          </w:p>
          <w:p w14:paraId="1FAF5AB6" w14:textId="77777777" w:rsidR="00990B14" w:rsidRDefault="00000000">
            <w:pPr>
              <w:numPr>
                <w:ilvl w:val="0"/>
                <w:numId w:val="139"/>
              </w:numPr>
              <w:spacing w:before="10" w:after="10"/>
              <w:jc w:val="both"/>
            </w:pPr>
            <w:r>
              <w:rPr>
                <w:sz w:val="18"/>
                <w:szCs w:val="18"/>
              </w:rPr>
              <w:t>Reservas técnicas exigidas a las entidades aseguradoras bolivianas y su reglamento emitido por la APS.</w:t>
            </w:r>
          </w:p>
          <w:p w14:paraId="2537CBF7" w14:textId="77777777" w:rsidR="00990B14" w:rsidRDefault="00000000">
            <w:pPr>
              <w:numPr>
                <w:ilvl w:val="0"/>
                <w:numId w:val="139"/>
              </w:numPr>
              <w:spacing w:before="10" w:after="10"/>
              <w:jc w:val="both"/>
            </w:pPr>
            <w:r>
              <w:rPr>
                <w:sz w:val="18"/>
                <w:szCs w:val="18"/>
              </w:rPr>
              <w:t>Previsión para indemnizaciones por tiempo de servicios de las empresas bolivianas conforme a la Ley General del Trabajo</w:t>
            </w:r>
          </w:p>
        </w:tc>
      </w:tr>
      <w:tr w:rsidR="00990B14" w14:paraId="2D61AD2A" w14:textId="77777777">
        <w:trPr>
          <w:cantSplit/>
          <w:jc w:val="center"/>
        </w:trPr>
        <w:tc>
          <w:tcPr>
            <w:tcW w:w="9405" w:type="dxa"/>
            <w:gridSpan w:val="13"/>
            <w:shd w:val="clear" w:color="auto" w:fill="D9E2F3"/>
            <w:vAlign w:val="center"/>
          </w:tcPr>
          <w:p w14:paraId="3D742FFC" w14:textId="77777777" w:rsidR="00990B14" w:rsidRDefault="00000000">
            <w:pPr>
              <w:spacing w:before="20" w:after="20"/>
              <w:jc w:val="both"/>
            </w:pPr>
            <w:r>
              <w:rPr>
                <w:b/>
                <w:bCs/>
                <w:i/>
                <w:iCs/>
                <w:sz w:val="18"/>
                <w:szCs w:val="18"/>
              </w:rPr>
              <w:t xml:space="preserve">Elemento de competencia 4: </w:t>
            </w:r>
            <w:r>
              <w:rPr>
                <w:sz w:val="18"/>
                <w:szCs w:val="18"/>
              </w:rPr>
              <w:t>Analiza el sistema de pensiones y los seguros sociales en Bolivia, y calcula la prima de un seguro de no vida conforme a los conceptos asociados a la distribución de probabilidad de los siniestros.</w:t>
            </w:r>
          </w:p>
        </w:tc>
      </w:tr>
      <w:tr w:rsidR="00990B14" w14:paraId="63E8F7A7" w14:textId="77777777">
        <w:trPr>
          <w:cantSplit/>
          <w:jc w:val="center"/>
        </w:trPr>
        <w:tc>
          <w:tcPr>
            <w:tcW w:w="3133" w:type="dxa"/>
            <w:gridSpan w:val="4"/>
            <w:shd w:val="clear" w:color="auto" w:fill="4472C4"/>
            <w:vAlign w:val="center"/>
          </w:tcPr>
          <w:p w14:paraId="173CFD33"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19CA584F"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02AA8CD2" w14:textId="77777777" w:rsidR="00990B14" w:rsidRDefault="00000000">
            <w:pPr>
              <w:keepNext/>
              <w:spacing w:before="20" w:after="20"/>
              <w:jc w:val="center"/>
            </w:pPr>
            <w:r>
              <w:rPr>
                <w:b/>
                <w:bCs/>
                <w:i/>
                <w:iCs/>
                <w:color w:val="FFFFFF"/>
                <w:sz w:val="18"/>
                <w:szCs w:val="18"/>
              </w:rPr>
              <w:t>Evidencias de producto</w:t>
            </w:r>
          </w:p>
        </w:tc>
      </w:tr>
      <w:tr w:rsidR="00990B14" w14:paraId="5B927DAF" w14:textId="77777777">
        <w:trPr>
          <w:cantSplit/>
          <w:jc w:val="center"/>
        </w:trPr>
        <w:tc>
          <w:tcPr>
            <w:tcW w:w="3133" w:type="dxa"/>
            <w:gridSpan w:val="4"/>
            <w:vMerge w:val="restart"/>
            <w:shd w:val="clear" w:color="auto" w:fill="D9E2F3"/>
            <w:vAlign w:val="center"/>
          </w:tcPr>
          <w:p w14:paraId="7B71B7AE" w14:textId="77777777" w:rsidR="00990B14" w:rsidRDefault="00000000">
            <w:pPr>
              <w:spacing w:before="20" w:after="20"/>
              <w:jc w:val="both"/>
            </w:pPr>
            <w:r>
              <w:rPr>
                <w:sz w:val="18"/>
                <w:szCs w:val="18"/>
              </w:rPr>
              <w:t>1. Analiza críticamente el Sistema Integral de Pensiones de Bolivia, evaluando su sostenibilidad conforme a sus supuestos demográficos y financieros.</w:t>
            </w:r>
          </w:p>
        </w:tc>
        <w:tc>
          <w:tcPr>
            <w:tcW w:w="3135" w:type="dxa"/>
            <w:gridSpan w:val="5"/>
            <w:shd w:val="clear" w:color="auto" w:fill="D9E2F3"/>
            <w:vAlign w:val="center"/>
          </w:tcPr>
          <w:p w14:paraId="54A08246" w14:textId="77777777" w:rsidR="00990B14" w:rsidRDefault="00000000">
            <w:pPr>
              <w:spacing w:before="20" w:after="20"/>
              <w:jc w:val="both"/>
            </w:pPr>
            <w:r>
              <w:rPr>
                <w:sz w:val="18"/>
                <w:szCs w:val="18"/>
              </w:rPr>
              <w:t>1.1 Analiza en aula la estructura del Sistema Integral de Pensiones y sus prestaciones.</w:t>
            </w:r>
          </w:p>
        </w:tc>
        <w:tc>
          <w:tcPr>
            <w:tcW w:w="3137" w:type="dxa"/>
            <w:gridSpan w:val="4"/>
            <w:shd w:val="clear" w:color="auto" w:fill="D9E2F3"/>
            <w:vAlign w:val="center"/>
          </w:tcPr>
          <w:p w14:paraId="2CB29F35" w14:textId="77777777" w:rsidR="00990B14" w:rsidRDefault="00000000">
            <w:pPr>
              <w:spacing w:before="20" w:after="20"/>
              <w:jc w:val="both"/>
            </w:pPr>
            <w:r>
              <w:rPr>
                <w:b/>
                <w:bCs/>
                <w:sz w:val="18"/>
                <w:szCs w:val="18"/>
              </w:rPr>
              <w:t xml:space="preserve">Producto 13: </w:t>
            </w:r>
            <w:r>
              <w:rPr>
                <w:sz w:val="18"/>
                <w:szCs w:val="18"/>
              </w:rPr>
              <w:t>Esquema de prestaciones del Sistema Integral de Pensiones.</w:t>
            </w:r>
          </w:p>
        </w:tc>
      </w:tr>
      <w:tr w:rsidR="00990B14" w14:paraId="3D8DBA7B" w14:textId="77777777">
        <w:trPr>
          <w:cantSplit/>
          <w:jc w:val="center"/>
        </w:trPr>
        <w:tc>
          <w:tcPr>
            <w:tcW w:w="3133" w:type="dxa"/>
            <w:gridSpan w:val="4"/>
            <w:vMerge/>
            <w:shd w:val="clear" w:color="auto" w:fill="D9E2F3"/>
            <w:vAlign w:val="center"/>
          </w:tcPr>
          <w:p w14:paraId="1DEC7CB7" w14:textId="77777777" w:rsidR="00990B14" w:rsidRDefault="00990B14">
            <w:pPr>
              <w:spacing w:before="20" w:after="20"/>
            </w:pPr>
          </w:p>
        </w:tc>
        <w:tc>
          <w:tcPr>
            <w:tcW w:w="3135" w:type="dxa"/>
            <w:gridSpan w:val="5"/>
            <w:shd w:val="clear" w:color="auto" w:fill="D9E2F3"/>
            <w:vAlign w:val="center"/>
          </w:tcPr>
          <w:p w14:paraId="14793FAA" w14:textId="77777777" w:rsidR="00990B14" w:rsidRDefault="00000000">
            <w:pPr>
              <w:spacing w:before="20" w:after="20"/>
              <w:jc w:val="both"/>
            </w:pPr>
            <w:r>
              <w:rPr>
                <w:sz w:val="18"/>
                <w:szCs w:val="18"/>
              </w:rPr>
              <w:t>1.2 Evalúa en equipo la sostenibilidad del sistema con la densidad de cotizaciones, el rendimiento de los fondos y la tasa de reemplazo.</w:t>
            </w:r>
          </w:p>
        </w:tc>
        <w:tc>
          <w:tcPr>
            <w:tcW w:w="3137" w:type="dxa"/>
            <w:gridSpan w:val="4"/>
            <w:shd w:val="clear" w:color="auto" w:fill="D9E2F3"/>
            <w:vAlign w:val="center"/>
          </w:tcPr>
          <w:p w14:paraId="0A8C25AB" w14:textId="77777777" w:rsidR="00990B14" w:rsidRDefault="00000000">
            <w:pPr>
              <w:spacing w:before="20" w:after="20"/>
              <w:jc w:val="both"/>
            </w:pPr>
            <w:r>
              <w:rPr>
                <w:b/>
                <w:bCs/>
                <w:sz w:val="18"/>
                <w:szCs w:val="18"/>
              </w:rPr>
              <w:t xml:space="preserve">Producto 14: </w:t>
            </w:r>
            <w:r>
              <w:rPr>
                <w:sz w:val="18"/>
                <w:szCs w:val="18"/>
              </w:rPr>
              <w:t>Análisis crítico de la sostenibilidad del Sistema Integral de Pensiones.</w:t>
            </w:r>
          </w:p>
        </w:tc>
      </w:tr>
      <w:tr w:rsidR="00990B14" w14:paraId="23F9D742" w14:textId="77777777">
        <w:trPr>
          <w:cantSplit/>
          <w:jc w:val="center"/>
        </w:trPr>
        <w:tc>
          <w:tcPr>
            <w:tcW w:w="3133" w:type="dxa"/>
            <w:gridSpan w:val="4"/>
            <w:vMerge w:val="restart"/>
            <w:shd w:val="clear" w:color="auto" w:fill="D9E2F3"/>
            <w:vAlign w:val="center"/>
          </w:tcPr>
          <w:p w14:paraId="0137E4B8" w14:textId="77777777" w:rsidR="00990B14" w:rsidRDefault="00000000">
            <w:pPr>
              <w:spacing w:before="20" w:after="20"/>
              <w:jc w:val="both"/>
            </w:pPr>
            <w:r>
              <w:rPr>
                <w:sz w:val="18"/>
                <w:szCs w:val="18"/>
              </w:rPr>
              <w:t>2. Calcula la prima de riesgo de un seguro de no vida, aplicando la frecuencia y la severidad de los siniestros y los principios de causalidad, independencia, estabilidad, masa y homogeneidad.</w:t>
            </w:r>
          </w:p>
        </w:tc>
        <w:tc>
          <w:tcPr>
            <w:tcW w:w="3135" w:type="dxa"/>
            <w:gridSpan w:val="5"/>
            <w:shd w:val="clear" w:color="auto" w:fill="D9E2F3"/>
            <w:vAlign w:val="center"/>
          </w:tcPr>
          <w:p w14:paraId="584E06C3" w14:textId="77777777" w:rsidR="00990B14" w:rsidRDefault="00000000">
            <w:pPr>
              <w:spacing w:before="20" w:after="20"/>
              <w:jc w:val="both"/>
            </w:pPr>
            <w:r>
              <w:rPr>
                <w:sz w:val="18"/>
                <w:szCs w:val="18"/>
              </w:rPr>
              <w:t>2.1 Calcula en equipo la prima de un seguro de no vida con la frecuencia y la severidad de los siniestros.</w:t>
            </w:r>
          </w:p>
        </w:tc>
        <w:tc>
          <w:tcPr>
            <w:tcW w:w="3137" w:type="dxa"/>
            <w:gridSpan w:val="4"/>
            <w:shd w:val="clear" w:color="auto" w:fill="D9E2F3"/>
            <w:vAlign w:val="center"/>
          </w:tcPr>
          <w:p w14:paraId="44664F37" w14:textId="77777777" w:rsidR="00990B14" w:rsidRDefault="00000000">
            <w:pPr>
              <w:spacing w:before="20" w:after="20"/>
              <w:jc w:val="both"/>
            </w:pPr>
            <w:r>
              <w:rPr>
                <w:b/>
                <w:bCs/>
                <w:sz w:val="18"/>
                <w:szCs w:val="18"/>
              </w:rPr>
              <w:t xml:space="preserve">Producto 15: </w:t>
            </w:r>
            <w:r>
              <w:rPr>
                <w:sz w:val="18"/>
                <w:szCs w:val="18"/>
              </w:rPr>
              <w:t>Cálculo de la prima de riesgo de un seguro de no vida.</w:t>
            </w:r>
          </w:p>
        </w:tc>
      </w:tr>
      <w:tr w:rsidR="00990B14" w14:paraId="3F69098C" w14:textId="77777777">
        <w:trPr>
          <w:cantSplit/>
          <w:jc w:val="center"/>
        </w:trPr>
        <w:tc>
          <w:tcPr>
            <w:tcW w:w="3133" w:type="dxa"/>
            <w:gridSpan w:val="4"/>
            <w:vMerge/>
            <w:shd w:val="clear" w:color="auto" w:fill="D9E2F3"/>
            <w:vAlign w:val="center"/>
          </w:tcPr>
          <w:p w14:paraId="42C3D67E" w14:textId="77777777" w:rsidR="00990B14" w:rsidRDefault="00990B14">
            <w:pPr>
              <w:spacing w:before="20" w:after="20"/>
            </w:pPr>
          </w:p>
        </w:tc>
        <w:tc>
          <w:tcPr>
            <w:tcW w:w="3135" w:type="dxa"/>
            <w:gridSpan w:val="5"/>
            <w:shd w:val="clear" w:color="auto" w:fill="D9E2F3"/>
            <w:vAlign w:val="center"/>
          </w:tcPr>
          <w:p w14:paraId="6E087F9B" w14:textId="77777777" w:rsidR="00990B14" w:rsidRDefault="00000000">
            <w:pPr>
              <w:spacing w:before="20" w:after="20"/>
              <w:jc w:val="both"/>
            </w:pPr>
            <w:r>
              <w:rPr>
                <w:sz w:val="18"/>
                <w:szCs w:val="18"/>
              </w:rPr>
              <w:t>2.2 Diseña ante el curso el índice y el umbral de activación de un seguro paramétrico agrícola.</w:t>
            </w:r>
          </w:p>
        </w:tc>
        <w:tc>
          <w:tcPr>
            <w:tcW w:w="3137" w:type="dxa"/>
            <w:gridSpan w:val="4"/>
            <w:shd w:val="clear" w:color="auto" w:fill="D9E2F3"/>
            <w:vAlign w:val="center"/>
          </w:tcPr>
          <w:p w14:paraId="5714435C" w14:textId="77777777" w:rsidR="00990B14" w:rsidRDefault="00000000">
            <w:pPr>
              <w:spacing w:before="20" w:after="20"/>
              <w:jc w:val="both"/>
            </w:pPr>
            <w:r>
              <w:rPr>
                <w:b/>
                <w:bCs/>
                <w:sz w:val="18"/>
                <w:szCs w:val="18"/>
              </w:rPr>
              <w:t xml:space="preserve">Producto 16: </w:t>
            </w:r>
            <w:r>
              <w:rPr>
                <w:sz w:val="18"/>
                <w:szCs w:val="18"/>
              </w:rPr>
              <w:t>Propuesta de seguro paramétrico con su índice y su umbral de activación.</w:t>
            </w:r>
          </w:p>
        </w:tc>
      </w:tr>
      <w:tr w:rsidR="00990B14" w14:paraId="071DE42E" w14:textId="77777777">
        <w:trPr>
          <w:cantSplit/>
          <w:jc w:val="center"/>
        </w:trPr>
        <w:tc>
          <w:tcPr>
            <w:tcW w:w="9405" w:type="dxa"/>
            <w:gridSpan w:val="13"/>
            <w:shd w:val="clear" w:color="auto" w:fill="4472C4"/>
            <w:vAlign w:val="center"/>
          </w:tcPr>
          <w:p w14:paraId="3BA013A1" w14:textId="77777777" w:rsidR="00990B14" w:rsidRDefault="00000000">
            <w:pPr>
              <w:keepNext/>
              <w:spacing w:before="20" w:after="20"/>
              <w:jc w:val="center"/>
            </w:pPr>
            <w:r>
              <w:rPr>
                <w:b/>
                <w:bCs/>
                <w:i/>
                <w:iCs/>
                <w:color w:val="FFFFFF"/>
                <w:sz w:val="18"/>
                <w:szCs w:val="18"/>
              </w:rPr>
              <w:t>Evidencias de conocimiento</w:t>
            </w:r>
          </w:p>
        </w:tc>
      </w:tr>
      <w:tr w:rsidR="00990B14" w14:paraId="1FC52E4B" w14:textId="77777777">
        <w:trPr>
          <w:cantSplit/>
          <w:jc w:val="center"/>
        </w:trPr>
        <w:tc>
          <w:tcPr>
            <w:tcW w:w="2349" w:type="dxa"/>
            <w:gridSpan w:val="2"/>
            <w:shd w:val="clear" w:color="auto" w:fill="4472C4"/>
            <w:vAlign w:val="center"/>
          </w:tcPr>
          <w:p w14:paraId="20C76046"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1BC533AD" w14:textId="77777777" w:rsidR="00990B14" w:rsidRDefault="00000000">
            <w:pPr>
              <w:keepNext/>
              <w:spacing w:before="20" w:after="20"/>
              <w:jc w:val="both"/>
            </w:pPr>
            <w:r>
              <w:rPr>
                <w:b/>
                <w:bCs/>
                <w:i/>
                <w:iCs/>
                <w:color w:val="FFFFFF"/>
                <w:sz w:val="18"/>
                <w:szCs w:val="18"/>
              </w:rPr>
              <w:t>Contenidos</w:t>
            </w:r>
          </w:p>
          <w:p w14:paraId="775C29F1"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25C2084D" w14:textId="77777777" w:rsidR="00990B14" w:rsidRDefault="00000000">
            <w:pPr>
              <w:keepNext/>
              <w:spacing w:before="20" w:after="20"/>
              <w:jc w:val="center"/>
            </w:pPr>
            <w:r>
              <w:rPr>
                <w:b/>
                <w:bCs/>
                <w:i/>
                <w:iCs/>
                <w:color w:val="FFFFFF"/>
                <w:sz w:val="18"/>
                <w:szCs w:val="18"/>
              </w:rPr>
              <w:t>Conocimientos circunstanciales</w:t>
            </w:r>
          </w:p>
        </w:tc>
      </w:tr>
      <w:tr w:rsidR="00990B14" w14:paraId="3EE4F776" w14:textId="77777777">
        <w:trPr>
          <w:jc w:val="center"/>
        </w:trPr>
        <w:tc>
          <w:tcPr>
            <w:tcW w:w="2349" w:type="dxa"/>
            <w:gridSpan w:val="2"/>
            <w:shd w:val="clear" w:color="auto" w:fill="D9E2F3"/>
          </w:tcPr>
          <w:p w14:paraId="6A8DAF30" w14:textId="77777777" w:rsidR="00990B14" w:rsidRDefault="00000000">
            <w:pPr>
              <w:spacing w:before="20" w:after="40"/>
              <w:jc w:val="both"/>
            </w:pPr>
            <w:r>
              <w:rPr>
                <w:sz w:val="18"/>
                <w:szCs w:val="18"/>
              </w:rPr>
              <w:t>Tema 6: Seguros sociales y pensiones en Bolivia</w:t>
            </w:r>
          </w:p>
          <w:p w14:paraId="5886AA44" w14:textId="77777777" w:rsidR="00990B14" w:rsidRDefault="00000000">
            <w:pPr>
              <w:spacing w:before="20" w:after="40"/>
              <w:jc w:val="both"/>
            </w:pPr>
            <w:r>
              <w:rPr>
                <w:sz w:val="18"/>
                <w:szCs w:val="18"/>
              </w:rPr>
              <w:t>Tema 7: Seguros de no vida</w:t>
            </w:r>
          </w:p>
        </w:tc>
        <w:tc>
          <w:tcPr>
            <w:tcW w:w="4304" w:type="dxa"/>
            <w:gridSpan w:val="8"/>
            <w:shd w:val="clear" w:color="auto" w:fill="D9E2F3"/>
          </w:tcPr>
          <w:p w14:paraId="413EC6C6" w14:textId="77777777" w:rsidR="00990B14" w:rsidRDefault="00000000">
            <w:pPr>
              <w:spacing w:after="40"/>
              <w:jc w:val="both"/>
            </w:pPr>
            <w:r>
              <w:rPr>
                <w:sz w:val="18"/>
                <w:szCs w:val="18"/>
              </w:rPr>
              <w:t>Conceptos de seguros sociales. (C)</w:t>
            </w:r>
          </w:p>
          <w:p w14:paraId="205C6C21" w14:textId="77777777" w:rsidR="00990B14" w:rsidRDefault="00000000">
            <w:pPr>
              <w:spacing w:after="40"/>
              <w:jc w:val="both"/>
            </w:pPr>
            <w:r>
              <w:rPr>
                <w:sz w:val="18"/>
                <w:szCs w:val="18"/>
              </w:rPr>
              <w:t>Demografía y seguridad social. (C)</w:t>
            </w:r>
          </w:p>
          <w:p w14:paraId="14ACEB6F" w14:textId="77777777" w:rsidR="00990B14" w:rsidRDefault="00000000">
            <w:pPr>
              <w:spacing w:after="40"/>
              <w:jc w:val="both"/>
            </w:pPr>
            <w:r>
              <w:rPr>
                <w:sz w:val="18"/>
                <w:szCs w:val="18"/>
              </w:rPr>
              <w:t>La seguridad social en Bolivia. (C)</w:t>
            </w:r>
          </w:p>
          <w:p w14:paraId="48D0B2B4" w14:textId="77777777" w:rsidR="00990B14" w:rsidRDefault="00000000">
            <w:pPr>
              <w:spacing w:after="40"/>
              <w:jc w:val="both"/>
            </w:pPr>
            <w:r>
              <w:rPr>
                <w:sz w:val="18"/>
                <w:szCs w:val="18"/>
              </w:rPr>
              <w:t>Sistema Integral de Pensiones. (C)</w:t>
            </w:r>
          </w:p>
          <w:p w14:paraId="096471C5" w14:textId="77777777" w:rsidR="00990B14" w:rsidRDefault="00000000">
            <w:pPr>
              <w:spacing w:after="40"/>
              <w:jc w:val="both"/>
            </w:pPr>
            <w:r>
              <w:rPr>
                <w:sz w:val="18"/>
                <w:szCs w:val="18"/>
              </w:rPr>
              <w:t>Sostenibilidad del sistema de pensiones: densidad de cotizaciones, informalidad laboral, rendimiento de los fondos y tasa de reemplazo. (C)</w:t>
            </w:r>
          </w:p>
          <w:p w14:paraId="6D6D45E4" w14:textId="77777777" w:rsidR="00990B14" w:rsidRDefault="00000000">
            <w:pPr>
              <w:spacing w:after="40"/>
              <w:jc w:val="both"/>
            </w:pPr>
            <w:r>
              <w:rPr>
                <w:sz w:val="18"/>
                <w:szCs w:val="18"/>
              </w:rPr>
              <w:t>Características de los seguros de no vida, relación con riesgos. (C)</w:t>
            </w:r>
          </w:p>
          <w:p w14:paraId="141F25EE" w14:textId="77777777" w:rsidR="00990B14" w:rsidRDefault="00000000">
            <w:pPr>
              <w:spacing w:after="40"/>
              <w:jc w:val="both"/>
            </w:pPr>
            <w:r>
              <w:rPr>
                <w:sz w:val="18"/>
                <w:szCs w:val="18"/>
              </w:rPr>
              <w:t>Tipos de seguros de no vida. (C)</w:t>
            </w:r>
          </w:p>
          <w:p w14:paraId="09FED6BC" w14:textId="77777777" w:rsidR="00990B14" w:rsidRDefault="00000000">
            <w:pPr>
              <w:spacing w:after="40"/>
              <w:jc w:val="both"/>
            </w:pPr>
            <w:r>
              <w:rPr>
                <w:sz w:val="18"/>
                <w:szCs w:val="18"/>
              </w:rPr>
              <w:t>Distribución de probabilidad de siniestros: causalidad, independencia, estabilidad, masa y homogeneidad. (C, A)</w:t>
            </w:r>
          </w:p>
          <w:p w14:paraId="1080916A" w14:textId="77777777" w:rsidR="00990B14" w:rsidRDefault="00000000">
            <w:pPr>
              <w:spacing w:after="40"/>
              <w:jc w:val="both"/>
            </w:pPr>
            <w:r>
              <w:rPr>
                <w:sz w:val="18"/>
                <w:szCs w:val="18"/>
              </w:rPr>
              <w:t>Cálculo básico de prima de riesgo. (P)</w:t>
            </w:r>
          </w:p>
          <w:p w14:paraId="2F573BF1" w14:textId="77777777" w:rsidR="00990B14" w:rsidRDefault="00000000">
            <w:pPr>
              <w:spacing w:after="40"/>
              <w:jc w:val="both"/>
            </w:pPr>
            <w:r>
              <w:rPr>
                <w:sz w:val="18"/>
                <w:szCs w:val="18"/>
              </w:rPr>
              <w:t>Seguros paramétricos y de riesgo climático: diseño del índice, umbral de activación y cálculo de la prima. (P)</w:t>
            </w:r>
          </w:p>
        </w:tc>
        <w:tc>
          <w:tcPr>
            <w:tcW w:w="2752" w:type="dxa"/>
            <w:gridSpan w:val="3"/>
            <w:shd w:val="clear" w:color="auto" w:fill="D9E2F3"/>
          </w:tcPr>
          <w:p w14:paraId="40A35B60" w14:textId="77777777" w:rsidR="00990B14" w:rsidRDefault="00000000">
            <w:pPr>
              <w:numPr>
                <w:ilvl w:val="0"/>
                <w:numId w:val="139"/>
              </w:numPr>
              <w:spacing w:before="10" w:after="10"/>
              <w:jc w:val="both"/>
            </w:pPr>
            <w:r>
              <w:rPr>
                <w:sz w:val="18"/>
                <w:szCs w:val="18"/>
              </w:rPr>
              <w:t>Sistema Integral de Pensiones de Bolivia regulado por la Ley N.º 065 de Pensiones y fiscalizado por la Autoridad de Fiscalización y Control de Pensiones y Seguros, APS.</w:t>
            </w:r>
          </w:p>
          <w:p w14:paraId="55F54F03" w14:textId="77777777" w:rsidR="00990B14" w:rsidRDefault="00000000">
            <w:pPr>
              <w:numPr>
                <w:ilvl w:val="0"/>
                <w:numId w:val="139"/>
              </w:numPr>
              <w:spacing w:before="10" w:after="10"/>
              <w:jc w:val="both"/>
            </w:pPr>
            <w:r>
              <w:rPr>
                <w:sz w:val="18"/>
                <w:szCs w:val="18"/>
              </w:rPr>
              <w:t>Nociones de variables agrometeorológicas: precipitación, helada, granizo y sequía.</w:t>
            </w:r>
          </w:p>
        </w:tc>
      </w:tr>
      <w:tr w:rsidR="00990B14" w14:paraId="34117719" w14:textId="77777777">
        <w:trPr>
          <w:cantSplit/>
          <w:jc w:val="center"/>
        </w:trPr>
        <w:tc>
          <w:tcPr>
            <w:tcW w:w="9405" w:type="dxa"/>
            <w:gridSpan w:val="13"/>
            <w:shd w:val="clear" w:color="auto" w:fill="D9E2F3"/>
            <w:vAlign w:val="center"/>
          </w:tcPr>
          <w:p w14:paraId="70F64DBE" w14:textId="77777777" w:rsidR="00990B14" w:rsidRDefault="00000000">
            <w:pPr>
              <w:spacing w:before="20" w:after="20"/>
              <w:jc w:val="both"/>
            </w:pPr>
            <w:r>
              <w:rPr>
                <w:b/>
                <w:bCs/>
                <w:i/>
                <w:iCs/>
                <w:sz w:val="18"/>
                <w:szCs w:val="18"/>
              </w:rPr>
              <w:t xml:space="preserve">Elemento de competencia 5: </w:t>
            </w:r>
            <w:r>
              <w:rPr>
                <w:sz w:val="18"/>
                <w:szCs w:val="18"/>
              </w:rPr>
              <w:t>Toma decisiones bajo riesgo con árboles de decisión, cadenas de Márkov y simulación de Monte Carlo, y gestiona el riesgo financiero con los derivados: forwards, futuros, swaps y opciones.</w:t>
            </w:r>
          </w:p>
        </w:tc>
      </w:tr>
      <w:tr w:rsidR="00990B14" w14:paraId="2A9E951C" w14:textId="77777777">
        <w:trPr>
          <w:cantSplit/>
          <w:jc w:val="center"/>
        </w:trPr>
        <w:tc>
          <w:tcPr>
            <w:tcW w:w="3133" w:type="dxa"/>
            <w:gridSpan w:val="4"/>
            <w:shd w:val="clear" w:color="auto" w:fill="4472C4"/>
            <w:vAlign w:val="center"/>
          </w:tcPr>
          <w:p w14:paraId="1D12C457"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7402F14E"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2FF023EA" w14:textId="77777777" w:rsidR="00990B14" w:rsidRDefault="00000000">
            <w:pPr>
              <w:keepNext/>
              <w:spacing w:before="20" w:after="20"/>
              <w:jc w:val="center"/>
            </w:pPr>
            <w:r>
              <w:rPr>
                <w:b/>
                <w:bCs/>
                <w:i/>
                <w:iCs/>
                <w:color w:val="FFFFFF"/>
                <w:sz w:val="18"/>
                <w:szCs w:val="18"/>
              </w:rPr>
              <w:t>Evidencias de producto</w:t>
            </w:r>
          </w:p>
        </w:tc>
      </w:tr>
      <w:tr w:rsidR="00990B14" w14:paraId="57C5BB21" w14:textId="77777777">
        <w:trPr>
          <w:cantSplit/>
          <w:jc w:val="center"/>
        </w:trPr>
        <w:tc>
          <w:tcPr>
            <w:tcW w:w="3133" w:type="dxa"/>
            <w:gridSpan w:val="4"/>
            <w:vMerge w:val="restart"/>
            <w:shd w:val="clear" w:color="auto" w:fill="D9E2F3"/>
            <w:vAlign w:val="center"/>
          </w:tcPr>
          <w:p w14:paraId="20CB297E" w14:textId="77777777" w:rsidR="00990B14" w:rsidRDefault="00000000">
            <w:pPr>
              <w:spacing w:before="20" w:after="20"/>
              <w:jc w:val="both"/>
            </w:pPr>
            <w:r>
              <w:rPr>
                <w:sz w:val="18"/>
                <w:szCs w:val="18"/>
              </w:rPr>
              <w:t>1. Evalúa alternativas de decisión bajo riesgo con análisis de escenarios y simulaciones de Montecarlo.</w:t>
            </w:r>
          </w:p>
        </w:tc>
        <w:tc>
          <w:tcPr>
            <w:tcW w:w="3135" w:type="dxa"/>
            <w:gridSpan w:val="5"/>
            <w:shd w:val="clear" w:color="auto" w:fill="D9E2F3"/>
            <w:vAlign w:val="center"/>
          </w:tcPr>
          <w:p w14:paraId="2D0383D7" w14:textId="77777777" w:rsidR="00990B14" w:rsidRDefault="00000000">
            <w:pPr>
              <w:spacing w:before="20" w:after="20"/>
              <w:jc w:val="both"/>
            </w:pPr>
            <w:r>
              <w:rPr>
                <w:sz w:val="18"/>
                <w:szCs w:val="18"/>
              </w:rPr>
              <w:t>1.1 Construye una planilla Excel para la realización de simulaciones</w:t>
            </w:r>
          </w:p>
        </w:tc>
        <w:tc>
          <w:tcPr>
            <w:tcW w:w="3137" w:type="dxa"/>
            <w:gridSpan w:val="4"/>
            <w:shd w:val="clear" w:color="auto" w:fill="D9E2F3"/>
            <w:vAlign w:val="center"/>
          </w:tcPr>
          <w:p w14:paraId="7AE5AA5D" w14:textId="77777777" w:rsidR="00990B14" w:rsidRDefault="00000000">
            <w:pPr>
              <w:spacing w:before="20" w:after="20"/>
              <w:jc w:val="both"/>
            </w:pPr>
            <w:r>
              <w:rPr>
                <w:b/>
                <w:bCs/>
                <w:sz w:val="18"/>
                <w:szCs w:val="18"/>
              </w:rPr>
              <w:t xml:space="preserve">Producto 17: </w:t>
            </w:r>
            <w:r>
              <w:rPr>
                <w:sz w:val="18"/>
                <w:szCs w:val="18"/>
              </w:rPr>
              <w:t>Planilla Excel para la realización de simulaciones</w:t>
            </w:r>
          </w:p>
        </w:tc>
      </w:tr>
      <w:tr w:rsidR="00990B14" w14:paraId="756A5C8A" w14:textId="77777777">
        <w:trPr>
          <w:cantSplit/>
          <w:jc w:val="center"/>
        </w:trPr>
        <w:tc>
          <w:tcPr>
            <w:tcW w:w="3133" w:type="dxa"/>
            <w:gridSpan w:val="4"/>
            <w:vMerge/>
            <w:shd w:val="clear" w:color="auto" w:fill="D9E2F3"/>
            <w:vAlign w:val="center"/>
          </w:tcPr>
          <w:p w14:paraId="57A8B8E1" w14:textId="77777777" w:rsidR="00990B14" w:rsidRDefault="00990B14">
            <w:pPr>
              <w:spacing w:before="20" w:after="20"/>
            </w:pPr>
          </w:p>
        </w:tc>
        <w:tc>
          <w:tcPr>
            <w:tcW w:w="3135" w:type="dxa"/>
            <w:gridSpan w:val="5"/>
            <w:shd w:val="clear" w:color="auto" w:fill="D9E2F3"/>
            <w:vAlign w:val="center"/>
          </w:tcPr>
          <w:p w14:paraId="7EC96C0C" w14:textId="77777777" w:rsidR="00990B14" w:rsidRDefault="00000000">
            <w:pPr>
              <w:spacing w:before="20" w:after="20"/>
              <w:jc w:val="both"/>
            </w:pPr>
            <w:r>
              <w:rPr>
                <w:sz w:val="18"/>
                <w:szCs w:val="18"/>
              </w:rPr>
              <w:t>1.2 Desarrolla en el laboratorio de cómputo una simulación de Monte Carlo de un caso de decisión bajo riesgo.</w:t>
            </w:r>
          </w:p>
        </w:tc>
        <w:tc>
          <w:tcPr>
            <w:tcW w:w="3137" w:type="dxa"/>
            <w:gridSpan w:val="4"/>
            <w:shd w:val="clear" w:color="auto" w:fill="D9E2F3"/>
            <w:vAlign w:val="center"/>
          </w:tcPr>
          <w:p w14:paraId="1043002C" w14:textId="77777777" w:rsidR="00990B14" w:rsidRDefault="00000000">
            <w:pPr>
              <w:spacing w:before="20" w:after="20"/>
              <w:jc w:val="both"/>
            </w:pPr>
            <w:r>
              <w:rPr>
                <w:b/>
                <w:bCs/>
                <w:sz w:val="18"/>
                <w:szCs w:val="18"/>
              </w:rPr>
              <w:t xml:space="preserve">Producto 18: </w:t>
            </w:r>
            <w:r>
              <w:rPr>
                <w:sz w:val="18"/>
                <w:szCs w:val="18"/>
              </w:rPr>
              <w:t>Planilla de simulación de Monte Carlo de un caso de decisión bajo riesgo aplicada a la matemática actuarial.</w:t>
            </w:r>
          </w:p>
        </w:tc>
      </w:tr>
      <w:tr w:rsidR="00990B14" w14:paraId="3E0507F2" w14:textId="77777777">
        <w:trPr>
          <w:cantSplit/>
          <w:jc w:val="center"/>
        </w:trPr>
        <w:tc>
          <w:tcPr>
            <w:tcW w:w="3133" w:type="dxa"/>
            <w:gridSpan w:val="4"/>
            <w:vMerge w:val="restart"/>
            <w:shd w:val="clear" w:color="auto" w:fill="D9E2F3"/>
            <w:vAlign w:val="center"/>
          </w:tcPr>
          <w:p w14:paraId="0C6D220E" w14:textId="77777777" w:rsidR="00990B14" w:rsidRDefault="00000000">
            <w:pPr>
              <w:spacing w:before="20" w:after="20"/>
              <w:jc w:val="both"/>
            </w:pPr>
            <w:r>
              <w:rPr>
                <w:sz w:val="18"/>
                <w:szCs w:val="18"/>
              </w:rPr>
              <w:t>2. Describe y emite juicio sobre los derivados financieros</w:t>
            </w:r>
          </w:p>
        </w:tc>
        <w:tc>
          <w:tcPr>
            <w:tcW w:w="3135" w:type="dxa"/>
            <w:gridSpan w:val="5"/>
            <w:shd w:val="clear" w:color="auto" w:fill="D9E2F3"/>
            <w:vAlign w:val="center"/>
          </w:tcPr>
          <w:p w14:paraId="51C039BE" w14:textId="77777777" w:rsidR="00990B14" w:rsidRDefault="00000000">
            <w:pPr>
              <w:spacing w:before="20" w:after="20"/>
              <w:jc w:val="both"/>
            </w:pPr>
            <w:r>
              <w:rPr>
                <w:sz w:val="18"/>
                <w:szCs w:val="18"/>
              </w:rPr>
              <w:t>2.1 Detalla las características de los derivados financieros</w:t>
            </w:r>
          </w:p>
        </w:tc>
        <w:tc>
          <w:tcPr>
            <w:tcW w:w="3137" w:type="dxa"/>
            <w:gridSpan w:val="4"/>
            <w:shd w:val="clear" w:color="auto" w:fill="D9E2F3"/>
            <w:vAlign w:val="center"/>
          </w:tcPr>
          <w:p w14:paraId="567412E0" w14:textId="77777777" w:rsidR="00990B14" w:rsidRDefault="00000000">
            <w:pPr>
              <w:spacing w:before="20" w:after="20"/>
              <w:jc w:val="both"/>
            </w:pPr>
            <w:r>
              <w:rPr>
                <w:b/>
                <w:bCs/>
                <w:sz w:val="18"/>
                <w:szCs w:val="18"/>
              </w:rPr>
              <w:t xml:space="preserve">Producto 19: </w:t>
            </w:r>
            <w:r>
              <w:rPr>
                <w:sz w:val="18"/>
                <w:szCs w:val="18"/>
              </w:rPr>
              <w:t>Informe técnico de análisis de requisitos que se deberían aplicar para generar un derivado financiero.</w:t>
            </w:r>
          </w:p>
        </w:tc>
      </w:tr>
      <w:tr w:rsidR="00990B14" w14:paraId="247BF3DA" w14:textId="77777777">
        <w:trPr>
          <w:cantSplit/>
          <w:jc w:val="center"/>
        </w:trPr>
        <w:tc>
          <w:tcPr>
            <w:tcW w:w="3133" w:type="dxa"/>
            <w:gridSpan w:val="4"/>
            <w:vMerge/>
            <w:shd w:val="clear" w:color="auto" w:fill="D9E2F3"/>
            <w:vAlign w:val="center"/>
          </w:tcPr>
          <w:p w14:paraId="620EB052" w14:textId="77777777" w:rsidR="00990B14" w:rsidRDefault="00990B14">
            <w:pPr>
              <w:spacing w:before="20" w:after="20"/>
            </w:pPr>
          </w:p>
        </w:tc>
        <w:tc>
          <w:tcPr>
            <w:tcW w:w="3135" w:type="dxa"/>
            <w:gridSpan w:val="5"/>
            <w:shd w:val="clear" w:color="auto" w:fill="D9E2F3"/>
            <w:vAlign w:val="center"/>
          </w:tcPr>
          <w:p w14:paraId="688F18B9" w14:textId="77777777" w:rsidR="00990B14" w:rsidRDefault="00000000">
            <w:pPr>
              <w:spacing w:before="20" w:after="20"/>
              <w:jc w:val="both"/>
            </w:pPr>
            <w:r>
              <w:rPr>
                <w:sz w:val="18"/>
                <w:szCs w:val="18"/>
              </w:rPr>
              <w:t>2.2 Emite un juicio sobre los beneficios y riesgos de operar derivados financieros</w:t>
            </w:r>
          </w:p>
        </w:tc>
        <w:tc>
          <w:tcPr>
            <w:tcW w:w="3137" w:type="dxa"/>
            <w:gridSpan w:val="4"/>
            <w:shd w:val="clear" w:color="auto" w:fill="D9E2F3"/>
            <w:vAlign w:val="center"/>
          </w:tcPr>
          <w:p w14:paraId="54B4505D" w14:textId="77777777" w:rsidR="00990B14" w:rsidRDefault="00000000">
            <w:pPr>
              <w:spacing w:before="20" w:after="20"/>
              <w:jc w:val="both"/>
            </w:pPr>
            <w:r>
              <w:rPr>
                <w:b/>
                <w:bCs/>
                <w:sz w:val="18"/>
                <w:szCs w:val="18"/>
              </w:rPr>
              <w:t xml:space="preserve">Producto 20: </w:t>
            </w:r>
            <w:r>
              <w:rPr>
                <w:sz w:val="18"/>
                <w:szCs w:val="18"/>
              </w:rPr>
              <w:t>Informe de beneficios y riesgos en derivados financieros.</w:t>
            </w:r>
          </w:p>
        </w:tc>
      </w:tr>
      <w:tr w:rsidR="00990B14" w14:paraId="2D62513B" w14:textId="77777777">
        <w:trPr>
          <w:cantSplit/>
          <w:jc w:val="center"/>
        </w:trPr>
        <w:tc>
          <w:tcPr>
            <w:tcW w:w="9405" w:type="dxa"/>
            <w:gridSpan w:val="13"/>
            <w:shd w:val="clear" w:color="auto" w:fill="4472C4"/>
            <w:vAlign w:val="center"/>
          </w:tcPr>
          <w:p w14:paraId="4246B388" w14:textId="77777777" w:rsidR="00990B14" w:rsidRDefault="00000000">
            <w:pPr>
              <w:keepNext/>
              <w:spacing w:before="20" w:after="20"/>
              <w:jc w:val="center"/>
            </w:pPr>
            <w:r>
              <w:rPr>
                <w:b/>
                <w:bCs/>
                <w:i/>
                <w:iCs/>
                <w:color w:val="FFFFFF"/>
                <w:sz w:val="18"/>
                <w:szCs w:val="18"/>
              </w:rPr>
              <w:t>Evidencias de conocimiento</w:t>
            </w:r>
          </w:p>
        </w:tc>
      </w:tr>
      <w:tr w:rsidR="00990B14" w14:paraId="1FAFD29F" w14:textId="77777777">
        <w:trPr>
          <w:cantSplit/>
          <w:jc w:val="center"/>
        </w:trPr>
        <w:tc>
          <w:tcPr>
            <w:tcW w:w="2349" w:type="dxa"/>
            <w:gridSpan w:val="2"/>
            <w:shd w:val="clear" w:color="auto" w:fill="4472C4"/>
            <w:vAlign w:val="center"/>
          </w:tcPr>
          <w:p w14:paraId="2FD322B2"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51E6CD78" w14:textId="77777777" w:rsidR="00990B14" w:rsidRDefault="00000000">
            <w:pPr>
              <w:keepNext/>
              <w:spacing w:before="20" w:after="20"/>
              <w:jc w:val="both"/>
            </w:pPr>
            <w:r>
              <w:rPr>
                <w:b/>
                <w:bCs/>
                <w:i/>
                <w:iCs/>
                <w:color w:val="FFFFFF"/>
                <w:sz w:val="18"/>
                <w:szCs w:val="18"/>
              </w:rPr>
              <w:t>Contenidos</w:t>
            </w:r>
          </w:p>
          <w:p w14:paraId="1E656763"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333BFEEF" w14:textId="77777777" w:rsidR="00990B14" w:rsidRDefault="00000000">
            <w:pPr>
              <w:keepNext/>
              <w:spacing w:before="20" w:after="20"/>
              <w:jc w:val="center"/>
            </w:pPr>
            <w:r>
              <w:rPr>
                <w:b/>
                <w:bCs/>
                <w:i/>
                <w:iCs/>
                <w:color w:val="FFFFFF"/>
                <w:sz w:val="18"/>
                <w:szCs w:val="18"/>
              </w:rPr>
              <w:t>Conocimientos circunstanciales</w:t>
            </w:r>
          </w:p>
        </w:tc>
      </w:tr>
      <w:tr w:rsidR="00990B14" w14:paraId="422A49E6" w14:textId="77777777">
        <w:trPr>
          <w:jc w:val="center"/>
        </w:trPr>
        <w:tc>
          <w:tcPr>
            <w:tcW w:w="2349" w:type="dxa"/>
            <w:gridSpan w:val="2"/>
            <w:shd w:val="clear" w:color="auto" w:fill="D9E2F3"/>
          </w:tcPr>
          <w:p w14:paraId="372FCF4A" w14:textId="77777777" w:rsidR="00990B14" w:rsidRDefault="00000000">
            <w:pPr>
              <w:spacing w:before="20" w:after="40"/>
              <w:jc w:val="both"/>
            </w:pPr>
            <w:r>
              <w:rPr>
                <w:sz w:val="18"/>
                <w:szCs w:val="18"/>
              </w:rPr>
              <w:t>Tema 8: Toma de decisiones bajo riesgo</w:t>
            </w:r>
          </w:p>
          <w:p w14:paraId="40302632" w14:textId="77777777" w:rsidR="00990B14" w:rsidRDefault="00000000">
            <w:pPr>
              <w:spacing w:before="20" w:after="40"/>
              <w:jc w:val="both"/>
            </w:pPr>
            <w:r>
              <w:rPr>
                <w:sz w:val="18"/>
                <w:szCs w:val="18"/>
              </w:rPr>
              <w:t>Tema 9: Introducción a la gestión de riesgos con derivados financieros</w:t>
            </w:r>
          </w:p>
        </w:tc>
        <w:tc>
          <w:tcPr>
            <w:tcW w:w="4304" w:type="dxa"/>
            <w:gridSpan w:val="8"/>
            <w:shd w:val="clear" w:color="auto" w:fill="D9E2F3"/>
          </w:tcPr>
          <w:p w14:paraId="12361D9D" w14:textId="77777777" w:rsidR="00990B14" w:rsidRDefault="00000000">
            <w:pPr>
              <w:spacing w:after="40"/>
              <w:jc w:val="both"/>
            </w:pPr>
            <w:r>
              <w:rPr>
                <w:sz w:val="18"/>
                <w:szCs w:val="18"/>
              </w:rPr>
              <w:t>El análisis de sensibilidad y de escenarios. (C)</w:t>
            </w:r>
          </w:p>
          <w:p w14:paraId="411AD485" w14:textId="77777777" w:rsidR="00990B14" w:rsidRDefault="00000000">
            <w:pPr>
              <w:spacing w:after="40"/>
              <w:jc w:val="both"/>
            </w:pPr>
            <w:r>
              <w:rPr>
                <w:sz w:val="18"/>
                <w:szCs w:val="18"/>
              </w:rPr>
              <w:t>Evaluación de alternativas utilizando árboles de decisión. (P)</w:t>
            </w:r>
          </w:p>
          <w:p w14:paraId="3D57CCE8" w14:textId="77777777" w:rsidR="00990B14" w:rsidRDefault="00000000">
            <w:pPr>
              <w:spacing w:after="40"/>
              <w:jc w:val="both"/>
            </w:pPr>
            <w:r>
              <w:rPr>
                <w:sz w:val="18"/>
                <w:szCs w:val="18"/>
              </w:rPr>
              <w:t>Simulaciones de Monte Carlo. (C)</w:t>
            </w:r>
          </w:p>
          <w:p w14:paraId="6C5CAAE8" w14:textId="77777777" w:rsidR="00990B14" w:rsidRDefault="00000000">
            <w:pPr>
              <w:spacing w:after="40"/>
              <w:jc w:val="both"/>
            </w:pPr>
            <w:r>
              <w:rPr>
                <w:sz w:val="18"/>
                <w:szCs w:val="18"/>
              </w:rPr>
              <w:t>Ejercicios en el software Excel y/o Crystal Ball. (P, T)</w:t>
            </w:r>
          </w:p>
          <w:p w14:paraId="3A158330" w14:textId="77777777" w:rsidR="00990B14" w:rsidRDefault="00000000">
            <w:pPr>
              <w:spacing w:after="40"/>
              <w:jc w:val="both"/>
            </w:pPr>
            <w:r>
              <w:rPr>
                <w:sz w:val="18"/>
                <w:szCs w:val="18"/>
              </w:rPr>
              <w:t>Introducción a los derivados financieros. (C)</w:t>
            </w:r>
          </w:p>
          <w:p w14:paraId="66569A7B" w14:textId="77777777" w:rsidR="00990B14" w:rsidRDefault="00000000">
            <w:pPr>
              <w:spacing w:after="40"/>
              <w:jc w:val="both"/>
            </w:pPr>
            <w:r>
              <w:rPr>
                <w:sz w:val="18"/>
                <w:szCs w:val="18"/>
              </w:rPr>
              <w:t>La gestión del riesgo con los derivados financieros: forwards y swaps. (C)</w:t>
            </w:r>
          </w:p>
        </w:tc>
        <w:tc>
          <w:tcPr>
            <w:tcW w:w="2752" w:type="dxa"/>
            <w:gridSpan w:val="3"/>
            <w:shd w:val="clear" w:color="auto" w:fill="D9E2F3"/>
          </w:tcPr>
          <w:p w14:paraId="23715CEB" w14:textId="77777777" w:rsidR="00990B14" w:rsidRDefault="00000000">
            <w:pPr>
              <w:numPr>
                <w:ilvl w:val="0"/>
                <w:numId w:val="139"/>
              </w:numPr>
              <w:spacing w:before="10" w:after="10"/>
              <w:jc w:val="both"/>
            </w:pPr>
            <w:r>
              <w:rPr>
                <w:sz w:val="18"/>
                <w:szCs w:val="18"/>
              </w:rPr>
              <w:t>Nociones de la cotización de divisas a plazo y de los puntos forward.</w:t>
            </w:r>
          </w:p>
          <w:p w14:paraId="4F065CFE" w14:textId="77777777" w:rsidR="00990B14" w:rsidRDefault="00000000">
            <w:pPr>
              <w:numPr>
                <w:ilvl w:val="0"/>
                <w:numId w:val="139"/>
              </w:numPr>
              <w:spacing w:before="10" w:after="10"/>
              <w:jc w:val="both"/>
            </w:pPr>
            <w:r>
              <w:rPr>
                <w:sz w:val="18"/>
                <w:szCs w:val="18"/>
              </w:rPr>
              <w:t>Nociones de matrices de transición y de vectores de probabilidad.</w:t>
            </w:r>
          </w:p>
        </w:tc>
      </w:tr>
    </w:tbl>
    <w:p w14:paraId="6B61DD49"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654"/>
        <w:gridCol w:w="1654"/>
        <w:gridCol w:w="1821"/>
        <w:gridCol w:w="1737"/>
        <w:gridCol w:w="2539"/>
      </w:tblGrid>
      <w:tr w:rsidR="00990B14" w14:paraId="70978143" w14:textId="77777777">
        <w:trPr>
          <w:cantSplit/>
          <w:jc w:val="center"/>
        </w:trPr>
        <w:tc>
          <w:tcPr>
            <w:tcW w:w="9405" w:type="dxa"/>
            <w:gridSpan w:val="5"/>
            <w:shd w:val="clear" w:color="auto" w:fill="4472C4"/>
            <w:vAlign w:val="center"/>
          </w:tcPr>
          <w:p w14:paraId="24732678" w14:textId="77777777" w:rsidR="00990B14" w:rsidRDefault="00000000">
            <w:pPr>
              <w:keepNext/>
              <w:spacing w:before="20" w:after="20"/>
              <w:jc w:val="center"/>
            </w:pPr>
            <w:r>
              <w:rPr>
                <w:b/>
                <w:bCs/>
                <w:i/>
                <w:iCs/>
                <w:color w:val="FFFFFF"/>
                <w:sz w:val="18"/>
                <w:szCs w:val="18"/>
              </w:rPr>
              <w:t>Actividades</w:t>
            </w:r>
          </w:p>
        </w:tc>
      </w:tr>
      <w:tr w:rsidR="00990B14" w14:paraId="0FAEE699" w14:textId="77777777">
        <w:trPr>
          <w:cantSplit/>
          <w:jc w:val="center"/>
        </w:trPr>
        <w:tc>
          <w:tcPr>
            <w:tcW w:w="1654" w:type="dxa"/>
            <w:shd w:val="clear" w:color="auto" w:fill="4472C4"/>
            <w:vAlign w:val="center"/>
          </w:tcPr>
          <w:p w14:paraId="7F46E5F7" w14:textId="77777777" w:rsidR="00990B14" w:rsidRDefault="00000000">
            <w:pPr>
              <w:keepNext/>
              <w:spacing w:before="20" w:after="20"/>
              <w:jc w:val="center"/>
            </w:pPr>
            <w:r>
              <w:rPr>
                <w:b/>
                <w:bCs/>
                <w:i/>
                <w:iCs/>
                <w:color w:val="FFFFFF"/>
                <w:sz w:val="18"/>
                <w:szCs w:val="18"/>
              </w:rPr>
              <w:t>En clase</w:t>
            </w:r>
          </w:p>
        </w:tc>
        <w:tc>
          <w:tcPr>
            <w:tcW w:w="1654" w:type="dxa"/>
            <w:shd w:val="clear" w:color="auto" w:fill="4472C4"/>
            <w:vAlign w:val="center"/>
          </w:tcPr>
          <w:p w14:paraId="5DF13408" w14:textId="77777777" w:rsidR="00990B14" w:rsidRDefault="00000000">
            <w:pPr>
              <w:keepNext/>
              <w:spacing w:before="20" w:after="20"/>
              <w:jc w:val="center"/>
            </w:pPr>
            <w:r>
              <w:rPr>
                <w:b/>
                <w:bCs/>
                <w:i/>
                <w:iCs/>
                <w:color w:val="FFFFFF"/>
                <w:sz w:val="18"/>
                <w:szCs w:val="18"/>
              </w:rPr>
              <w:t>Autónomas</w:t>
            </w:r>
          </w:p>
        </w:tc>
        <w:tc>
          <w:tcPr>
            <w:tcW w:w="1821" w:type="dxa"/>
            <w:shd w:val="clear" w:color="auto" w:fill="4472C4"/>
            <w:vAlign w:val="center"/>
          </w:tcPr>
          <w:p w14:paraId="09660820" w14:textId="77777777" w:rsidR="00990B14" w:rsidRDefault="00000000">
            <w:pPr>
              <w:keepNext/>
              <w:spacing w:before="20" w:after="20"/>
              <w:jc w:val="center"/>
            </w:pPr>
            <w:r>
              <w:rPr>
                <w:b/>
                <w:bCs/>
                <w:i/>
                <w:iCs/>
                <w:color w:val="FFFFFF"/>
                <w:sz w:val="18"/>
                <w:szCs w:val="18"/>
              </w:rPr>
              <w:t>B-Learning</w:t>
            </w:r>
          </w:p>
        </w:tc>
        <w:tc>
          <w:tcPr>
            <w:tcW w:w="1737" w:type="dxa"/>
            <w:shd w:val="clear" w:color="auto" w:fill="4472C4"/>
            <w:vAlign w:val="center"/>
          </w:tcPr>
          <w:p w14:paraId="2A5278B6" w14:textId="77777777" w:rsidR="00990B14" w:rsidRDefault="00000000">
            <w:pPr>
              <w:keepNext/>
              <w:spacing w:before="20" w:after="20"/>
              <w:jc w:val="center"/>
            </w:pPr>
            <w:r>
              <w:rPr>
                <w:b/>
                <w:bCs/>
                <w:i/>
                <w:iCs/>
                <w:color w:val="FFFFFF"/>
                <w:sz w:val="18"/>
                <w:szCs w:val="18"/>
              </w:rPr>
              <w:t>Taller</w:t>
            </w:r>
          </w:p>
        </w:tc>
        <w:tc>
          <w:tcPr>
            <w:tcW w:w="2539" w:type="dxa"/>
            <w:shd w:val="clear" w:color="auto" w:fill="4472C4"/>
            <w:vAlign w:val="center"/>
          </w:tcPr>
          <w:p w14:paraId="38EDA3BA" w14:textId="77777777" w:rsidR="00990B14" w:rsidRDefault="00000000">
            <w:pPr>
              <w:keepNext/>
              <w:spacing w:before="20" w:after="20"/>
              <w:jc w:val="center"/>
            </w:pPr>
            <w:r>
              <w:rPr>
                <w:b/>
                <w:bCs/>
                <w:i/>
                <w:iCs/>
                <w:color w:val="FFFFFF"/>
                <w:sz w:val="18"/>
                <w:szCs w:val="18"/>
              </w:rPr>
              <w:t>Investigación/Práctica</w:t>
            </w:r>
          </w:p>
        </w:tc>
      </w:tr>
      <w:tr w:rsidR="00990B14" w14:paraId="7819E659" w14:textId="77777777">
        <w:trPr>
          <w:jc w:val="center"/>
        </w:trPr>
        <w:tc>
          <w:tcPr>
            <w:tcW w:w="1654" w:type="dxa"/>
            <w:shd w:val="clear" w:color="auto" w:fill="D9E2F3"/>
          </w:tcPr>
          <w:p w14:paraId="43D12EC2" w14:textId="77777777" w:rsidR="00990B14" w:rsidRDefault="00000000">
            <w:pPr>
              <w:numPr>
                <w:ilvl w:val="0"/>
                <w:numId w:val="139"/>
              </w:numPr>
              <w:spacing w:before="10" w:after="10"/>
              <w:jc w:val="both"/>
            </w:pPr>
            <w:r>
              <w:rPr>
                <w:sz w:val="18"/>
                <w:szCs w:val="18"/>
              </w:rPr>
              <w:t>Exposición dialogada de los fundamentos de la biometría actuarial y de los seguros de personas.</w:t>
            </w:r>
          </w:p>
          <w:p w14:paraId="4AFBA4A3" w14:textId="77777777" w:rsidR="00990B14" w:rsidRDefault="00000000">
            <w:pPr>
              <w:numPr>
                <w:ilvl w:val="0"/>
                <w:numId w:val="139"/>
              </w:numPr>
              <w:spacing w:before="10" w:after="10"/>
              <w:jc w:val="both"/>
            </w:pPr>
            <w:r>
              <w:rPr>
                <w:sz w:val="18"/>
                <w:szCs w:val="18"/>
              </w:rPr>
              <w:t>Resolución guiada de rentas contingentes, primas y reservas con tablas de conmutación.</w:t>
            </w:r>
          </w:p>
          <w:p w14:paraId="32E7EB17" w14:textId="77777777" w:rsidR="00990B14" w:rsidRDefault="00000000">
            <w:pPr>
              <w:numPr>
                <w:ilvl w:val="0"/>
                <w:numId w:val="139"/>
              </w:numPr>
              <w:spacing w:before="10" w:after="10"/>
              <w:jc w:val="both"/>
            </w:pPr>
            <w:r>
              <w:rPr>
                <w:sz w:val="18"/>
                <w:szCs w:val="18"/>
              </w:rPr>
              <w:t>Descripción en hoja de cálculo de la valuación actuarial y de la simulación de Monte Carlo.</w:t>
            </w:r>
          </w:p>
          <w:p w14:paraId="06329E16" w14:textId="77777777" w:rsidR="00990B14" w:rsidRDefault="00000000">
            <w:pPr>
              <w:numPr>
                <w:ilvl w:val="0"/>
                <w:numId w:val="139"/>
              </w:numPr>
              <w:spacing w:before="10" w:after="10"/>
              <w:jc w:val="both"/>
            </w:pPr>
            <w:r>
              <w:rPr>
                <w:sz w:val="18"/>
                <w:szCs w:val="18"/>
              </w:rPr>
              <w:t>Análisis de casos del Sistema Integral de Pensiones y del mercado asegurador boliviano.</w:t>
            </w:r>
          </w:p>
          <w:p w14:paraId="5EE76577" w14:textId="77777777" w:rsidR="00990B14" w:rsidRDefault="00000000">
            <w:pPr>
              <w:numPr>
                <w:ilvl w:val="0"/>
                <w:numId w:val="139"/>
              </w:numPr>
              <w:spacing w:before="10" w:after="10"/>
              <w:jc w:val="both"/>
            </w:pPr>
            <w:r>
              <w:rPr>
                <w:sz w:val="18"/>
                <w:szCs w:val="18"/>
              </w:rPr>
              <w:t>Preguntas de comprensión sobre los supuestos actuariales y su efecto en los resultados.</w:t>
            </w:r>
          </w:p>
        </w:tc>
        <w:tc>
          <w:tcPr>
            <w:tcW w:w="1654" w:type="dxa"/>
            <w:shd w:val="clear" w:color="auto" w:fill="D9E2F3"/>
          </w:tcPr>
          <w:p w14:paraId="6E2C7E43" w14:textId="77777777" w:rsidR="00990B14" w:rsidRDefault="00000000">
            <w:pPr>
              <w:numPr>
                <w:ilvl w:val="0"/>
                <w:numId w:val="139"/>
              </w:numPr>
              <w:spacing w:before="10" w:after="10"/>
              <w:jc w:val="both"/>
            </w:pPr>
            <w:r>
              <w:rPr>
                <w:sz w:val="18"/>
                <w:szCs w:val="18"/>
              </w:rPr>
              <w:t>Resolución de ejercicios de cálculo actuarial en hoja de cálculo al cierre de cada tema.</w:t>
            </w:r>
          </w:p>
          <w:p w14:paraId="3BF4D018" w14:textId="77777777" w:rsidR="00990B14" w:rsidRDefault="00000000">
            <w:pPr>
              <w:numPr>
                <w:ilvl w:val="0"/>
                <w:numId w:val="139"/>
              </w:numPr>
              <w:spacing w:before="10" w:after="10"/>
              <w:jc w:val="both"/>
            </w:pPr>
            <w:r>
              <w:rPr>
                <w:sz w:val="18"/>
                <w:szCs w:val="18"/>
              </w:rPr>
              <w:t>Lectura de las resoluciones y circulares de la Autoridad de Fiscalización y Control de Pensiones y Seguros, APS.</w:t>
            </w:r>
          </w:p>
          <w:p w14:paraId="39DFF705" w14:textId="77777777" w:rsidR="00990B14" w:rsidRDefault="00000000">
            <w:pPr>
              <w:numPr>
                <w:ilvl w:val="0"/>
                <w:numId w:val="139"/>
              </w:numPr>
              <w:spacing w:before="10" w:after="10"/>
              <w:jc w:val="both"/>
            </w:pPr>
            <w:r>
              <w:rPr>
                <w:sz w:val="18"/>
                <w:szCs w:val="18"/>
              </w:rPr>
              <w:t>Elaboración progresiva de una tabla de mortalidad y de un seguro de vida de un caso integral.</w:t>
            </w:r>
          </w:p>
        </w:tc>
        <w:tc>
          <w:tcPr>
            <w:tcW w:w="1821" w:type="dxa"/>
            <w:shd w:val="clear" w:color="auto" w:fill="D9E2F3"/>
          </w:tcPr>
          <w:p w14:paraId="60144D89" w14:textId="77777777" w:rsidR="00990B14" w:rsidRDefault="00000000">
            <w:pPr>
              <w:numPr>
                <w:ilvl w:val="0"/>
                <w:numId w:val="139"/>
              </w:numPr>
              <w:spacing w:before="10" w:after="10"/>
              <w:jc w:val="both"/>
            </w:pPr>
            <w:r>
              <w:rPr>
                <w:sz w:val="18"/>
                <w:szCs w:val="18"/>
              </w:rPr>
              <w:t>Cuestionarios de comprensión en la plataforma Moodle UMSA.</w:t>
            </w:r>
          </w:p>
          <w:p w14:paraId="05EF6EFE" w14:textId="77777777" w:rsidR="00990B14" w:rsidRDefault="00000000">
            <w:pPr>
              <w:numPr>
                <w:ilvl w:val="0"/>
                <w:numId w:val="139"/>
              </w:numPr>
              <w:spacing w:before="10" w:after="10"/>
              <w:jc w:val="both"/>
            </w:pPr>
            <w:r>
              <w:rPr>
                <w:sz w:val="18"/>
                <w:szCs w:val="18"/>
              </w:rPr>
              <w:t>Foros de consulta sobre el Sistema de Pensiones y los seguros de no vida en Bolivia.</w:t>
            </w:r>
          </w:p>
          <w:p w14:paraId="4D81C12B" w14:textId="77777777" w:rsidR="00990B14" w:rsidRDefault="00000000">
            <w:pPr>
              <w:numPr>
                <w:ilvl w:val="0"/>
                <w:numId w:val="139"/>
              </w:numPr>
              <w:spacing w:before="10" w:after="10"/>
              <w:jc w:val="both"/>
            </w:pPr>
            <w:r>
              <w:rPr>
                <w:sz w:val="18"/>
                <w:szCs w:val="18"/>
              </w:rPr>
              <w:t>Videotutoriales del uso de Excel y de software especializado en cálculo actuarial.</w:t>
            </w:r>
          </w:p>
          <w:p w14:paraId="05DC5F9F" w14:textId="77777777" w:rsidR="00990B14" w:rsidRDefault="00000000">
            <w:pPr>
              <w:numPr>
                <w:ilvl w:val="0"/>
                <w:numId w:val="139"/>
              </w:numPr>
              <w:spacing w:before="10" w:after="10"/>
              <w:jc w:val="both"/>
            </w:pPr>
            <w:r>
              <w:rPr>
                <w:sz w:val="18"/>
                <w:szCs w:val="18"/>
              </w:rPr>
              <w:t>Ejercicios básicos de simulación de Monte Carlo y de valoración de opciones en hoja de cálculo.</w:t>
            </w:r>
          </w:p>
        </w:tc>
        <w:tc>
          <w:tcPr>
            <w:tcW w:w="1737" w:type="dxa"/>
            <w:shd w:val="clear" w:color="auto" w:fill="D9E2F3"/>
          </w:tcPr>
          <w:p w14:paraId="724D17CC" w14:textId="77777777" w:rsidR="00990B14" w:rsidRDefault="00000000">
            <w:pPr>
              <w:numPr>
                <w:ilvl w:val="0"/>
                <w:numId w:val="139"/>
              </w:numPr>
              <w:spacing w:before="10" w:after="10"/>
              <w:jc w:val="both"/>
            </w:pPr>
            <w:r>
              <w:rPr>
                <w:sz w:val="18"/>
                <w:szCs w:val="18"/>
              </w:rPr>
              <w:t>Resolución colaborativa de ejercicios de rentas contingentes y de primas de seguros de vida.</w:t>
            </w:r>
          </w:p>
          <w:p w14:paraId="1296E06D" w14:textId="77777777" w:rsidR="00990B14" w:rsidRDefault="00000000">
            <w:pPr>
              <w:numPr>
                <w:ilvl w:val="0"/>
                <w:numId w:val="139"/>
              </w:numPr>
              <w:spacing w:before="10" w:after="10"/>
              <w:jc w:val="both"/>
            </w:pPr>
            <w:r>
              <w:rPr>
                <w:sz w:val="18"/>
                <w:szCs w:val="18"/>
              </w:rPr>
              <w:t>Elaboración guiada de una simulación de Monte Carlo con software especializado.</w:t>
            </w:r>
          </w:p>
          <w:p w14:paraId="412C7E0E" w14:textId="77777777" w:rsidR="00990B14" w:rsidRDefault="00000000">
            <w:pPr>
              <w:numPr>
                <w:ilvl w:val="0"/>
                <w:numId w:val="139"/>
              </w:numPr>
              <w:spacing w:before="10" w:after="10"/>
              <w:jc w:val="both"/>
            </w:pPr>
            <w:r>
              <w:rPr>
                <w:sz w:val="18"/>
                <w:szCs w:val="18"/>
              </w:rPr>
              <w:t>Revisión cruzada de tablas biométricas entre equipos.</w:t>
            </w:r>
          </w:p>
          <w:p w14:paraId="62ECAB5C" w14:textId="77777777" w:rsidR="00990B14" w:rsidRDefault="00000000">
            <w:pPr>
              <w:numPr>
                <w:ilvl w:val="0"/>
                <w:numId w:val="139"/>
              </w:numPr>
              <w:spacing w:before="10" w:after="10"/>
              <w:jc w:val="both"/>
            </w:pPr>
            <w:r>
              <w:rPr>
                <w:sz w:val="18"/>
                <w:szCs w:val="18"/>
              </w:rPr>
              <w:t>Construcción de una tabla de supervivencia y cálculo de una renta vitalicia con análisis de sensibilidad.</w:t>
            </w:r>
          </w:p>
        </w:tc>
        <w:tc>
          <w:tcPr>
            <w:tcW w:w="2539" w:type="dxa"/>
            <w:shd w:val="clear" w:color="auto" w:fill="D9E2F3"/>
          </w:tcPr>
          <w:p w14:paraId="2C76E52E" w14:textId="77777777" w:rsidR="00990B14" w:rsidRDefault="00000000">
            <w:pPr>
              <w:numPr>
                <w:ilvl w:val="0"/>
                <w:numId w:val="139"/>
              </w:numPr>
              <w:spacing w:before="10" w:after="10"/>
              <w:jc w:val="both"/>
            </w:pPr>
            <w:r>
              <w:rPr>
                <w:sz w:val="18"/>
                <w:szCs w:val="18"/>
              </w:rPr>
              <w:t>Análisis del Sistema Integral de Pensiones de Bolivia y su capitalización individual.</w:t>
            </w:r>
          </w:p>
          <w:p w14:paraId="6842D9BE" w14:textId="77777777" w:rsidR="00990B14" w:rsidRDefault="00000000">
            <w:pPr>
              <w:numPr>
                <w:ilvl w:val="0"/>
                <w:numId w:val="139"/>
              </w:numPr>
              <w:spacing w:before="10" w:after="10"/>
              <w:jc w:val="both"/>
            </w:pPr>
            <w:r>
              <w:rPr>
                <w:sz w:val="18"/>
                <w:szCs w:val="18"/>
              </w:rPr>
              <w:t>Revisión de pólizas de seguros de vida y de no vida comercializadas en Bolivia.</w:t>
            </w:r>
          </w:p>
          <w:p w14:paraId="67A84B87" w14:textId="77777777" w:rsidR="00990B14" w:rsidRDefault="00000000">
            <w:pPr>
              <w:numPr>
                <w:ilvl w:val="0"/>
                <w:numId w:val="139"/>
              </w:numPr>
              <w:spacing w:before="10" w:after="10"/>
              <w:jc w:val="both"/>
            </w:pPr>
            <w:r>
              <w:rPr>
                <w:sz w:val="18"/>
                <w:szCs w:val="18"/>
              </w:rPr>
              <w:t>Comparación del uso de derivados financieros en el sistema financiero boliviano.</w:t>
            </w:r>
          </w:p>
          <w:p w14:paraId="3E665D66" w14:textId="77777777" w:rsidR="00990B14" w:rsidRDefault="00000000">
            <w:pPr>
              <w:numPr>
                <w:ilvl w:val="0"/>
                <w:numId w:val="139"/>
              </w:numPr>
              <w:spacing w:before="10" w:after="10"/>
              <w:jc w:val="both"/>
            </w:pPr>
            <w:r>
              <w:rPr>
                <w:sz w:val="18"/>
                <w:szCs w:val="18"/>
              </w:rPr>
              <w:t>Revisión de los boletines de la Autoridad de Fiscalización y Control de Pensiones y Seguros sobre el sistema de pensiones y el mercado asegurador.</w:t>
            </w:r>
          </w:p>
        </w:tc>
      </w:tr>
    </w:tbl>
    <w:p w14:paraId="14A6CB70"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881"/>
        <w:gridCol w:w="1873"/>
        <w:gridCol w:w="1868"/>
        <w:gridCol w:w="1910"/>
        <w:gridCol w:w="1873"/>
      </w:tblGrid>
      <w:tr w:rsidR="00990B14" w14:paraId="04DC8418" w14:textId="77777777">
        <w:trPr>
          <w:jc w:val="center"/>
        </w:trPr>
        <w:tc>
          <w:tcPr>
            <w:tcW w:w="1881" w:type="dxa"/>
            <w:shd w:val="clear" w:color="auto" w:fill="4472C4"/>
            <w:vAlign w:val="center"/>
          </w:tcPr>
          <w:p w14:paraId="5DD738C4" w14:textId="77777777" w:rsidR="00990B14" w:rsidRDefault="00000000">
            <w:pPr>
              <w:spacing w:before="20" w:after="20"/>
              <w:jc w:val="center"/>
            </w:pPr>
            <w:r>
              <w:rPr>
                <w:b/>
                <w:bCs/>
                <w:i/>
                <w:iCs/>
                <w:color w:val="FFFFFF"/>
                <w:sz w:val="18"/>
                <w:szCs w:val="18"/>
              </w:rPr>
              <w:t>Estrategias de aprendizaje y enseñanza</w:t>
            </w:r>
          </w:p>
        </w:tc>
        <w:tc>
          <w:tcPr>
            <w:tcW w:w="7524" w:type="dxa"/>
            <w:gridSpan w:val="4"/>
            <w:shd w:val="clear" w:color="auto" w:fill="D9E2F3"/>
            <w:vAlign w:val="center"/>
          </w:tcPr>
          <w:p w14:paraId="24A99012" w14:textId="77777777" w:rsidR="00990B14" w:rsidRDefault="00000000">
            <w:pPr>
              <w:numPr>
                <w:ilvl w:val="0"/>
                <w:numId w:val="140"/>
              </w:numPr>
              <w:spacing w:before="10" w:after="10"/>
              <w:jc w:val="both"/>
            </w:pPr>
            <w:r>
              <w:rPr>
                <w:sz w:val="18"/>
                <w:szCs w:val="18"/>
              </w:rPr>
              <w:t>Aprendizaje basado en problemas con casos de seguros y de pensiones bolivianos.</w:t>
            </w:r>
          </w:p>
          <w:p w14:paraId="1808C65A" w14:textId="77777777" w:rsidR="00990B14" w:rsidRDefault="00000000">
            <w:pPr>
              <w:numPr>
                <w:ilvl w:val="0"/>
                <w:numId w:val="140"/>
              </w:numPr>
              <w:spacing w:before="10" w:after="10"/>
              <w:jc w:val="both"/>
            </w:pPr>
            <w:r>
              <w:rPr>
                <w:sz w:val="18"/>
                <w:szCs w:val="18"/>
              </w:rPr>
              <w:t>Resolución guiada de ejercicios actuariales en orden de dificultad creciente.</w:t>
            </w:r>
          </w:p>
          <w:p w14:paraId="23AE2CEF" w14:textId="77777777" w:rsidR="00990B14" w:rsidRDefault="00000000">
            <w:pPr>
              <w:numPr>
                <w:ilvl w:val="0"/>
                <w:numId w:val="140"/>
              </w:numPr>
              <w:spacing w:before="10" w:after="10"/>
              <w:jc w:val="both"/>
            </w:pPr>
            <w:r>
              <w:rPr>
                <w:sz w:val="18"/>
                <w:szCs w:val="18"/>
              </w:rPr>
              <w:t>Caso práctico integral que recorre la biometría, las rentas y los seguros de vida.</w:t>
            </w:r>
          </w:p>
          <w:p w14:paraId="6BFE962D" w14:textId="77777777" w:rsidR="00990B14" w:rsidRDefault="00000000">
            <w:pPr>
              <w:numPr>
                <w:ilvl w:val="0"/>
                <w:numId w:val="140"/>
              </w:numPr>
              <w:spacing w:before="10" w:after="10"/>
              <w:jc w:val="both"/>
            </w:pPr>
            <w:r>
              <w:rPr>
                <w:sz w:val="18"/>
                <w:szCs w:val="18"/>
              </w:rPr>
              <w:t>Estudio de casos de decisiones bajo riesgo con árboles de decisión y simulación.</w:t>
            </w:r>
          </w:p>
          <w:p w14:paraId="20D435E2" w14:textId="77777777" w:rsidR="00990B14" w:rsidRDefault="00000000">
            <w:pPr>
              <w:numPr>
                <w:ilvl w:val="0"/>
                <w:numId w:val="140"/>
              </w:numPr>
              <w:spacing w:before="10" w:after="10"/>
              <w:jc w:val="both"/>
            </w:pPr>
            <w:r>
              <w:rPr>
                <w:sz w:val="18"/>
                <w:szCs w:val="18"/>
              </w:rPr>
              <w:t>Trabajo colaborativo en equipos de cálculo actuarial.</w:t>
            </w:r>
          </w:p>
          <w:p w14:paraId="0823EA8F" w14:textId="77777777" w:rsidR="00990B14" w:rsidRDefault="00000000">
            <w:pPr>
              <w:numPr>
                <w:ilvl w:val="0"/>
                <w:numId w:val="140"/>
              </w:numPr>
              <w:spacing w:before="10" w:after="10"/>
              <w:jc w:val="both"/>
            </w:pPr>
            <w:r>
              <w:rPr>
                <w:sz w:val="18"/>
                <w:szCs w:val="18"/>
              </w:rPr>
              <w:t>Clase invertida para los contenidos normativos de pensiones y seguros.</w:t>
            </w:r>
          </w:p>
          <w:p w14:paraId="64EA200D" w14:textId="77777777" w:rsidR="00990B14" w:rsidRDefault="00000000">
            <w:pPr>
              <w:numPr>
                <w:ilvl w:val="0"/>
                <w:numId w:val="140"/>
              </w:numPr>
              <w:spacing w:before="10" w:after="10"/>
              <w:jc w:val="both"/>
            </w:pPr>
            <w:r>
              <w:rPr>
                <w:sz w:val="18"/>
                <w:szCs w:val="18"/>
              </w:rPr>
              <w:t>Análisis crítico de los supuestos biométricos y financieros de un cálculo actuarial antes de interpretar su resultado.</w:t>
            </w:r>
          </w:p>
        </w:tc>
      </w:tr>
      <w:tr w:rsidR="00990B14" w14:paraId="20CA2A15" w14:textId="77777777">
        <w:trPr>
          <w:jc w:val="center"/>
        </w:trPr>
        <w:tc>
          <w:tcPr>
            <w:tcW w:w="1881" w:type="dxa"/>
            <w:shd w:val="clear" w:color="auto" w:fill="4472C4"/>
            <w:vAlign w:val="center"/>
          </w:tcPr>
          <w:p w14:paraId="1AC43961" w14:textId="77777777" w:rsidR="00990B14" w:rsidRDefault="00000000">
            <w:pPr>
              <w:spacing w:before="20" w:after="20"/>
              <w:jc w:val="center"/>
            </w:pPr>
            <w:r>
              <w:rPr>
                <w:b/>
                <w:bCs/>
                <w:i/>
                <w:iCs/>
                <w:color w:val="FFFFFF"/>
                <w:sz w:val="18"/>
                <w:szCs w:val="18"/>
              </w:rPr>
              <w:t>Recursos para el aprendizaje</w:t>
            </w:r>
          </w:p>
        </w:tc>
        <w:tc>
          <w:tcPr>
            <w:tcW w:w="7524" w:type="dxa"/>
            <w:gridSpan w:val="4"/>
            <w:shd w:val="clear" w:color="auto" w:fill="D9E2F3"/>
            <w:vAlign w:val="center"/>
          </w:tcPr>
          <w:p w14:paraId="74D9FB9A" w14:textId="77777777" w:rsidR="00990B14" w:rsidRDefault="00000000">
            <w:pPr>
              <w:numPr>
                <w:ilvl w:val="0"/>
                <w:numId w:val="140"/>
              </w:numPr>
              <w:spacing w:before="10" w:after="10"/>
              <w:jc w:val="both"/>
            </w:pPr>
            <w:r>
              <w:rPr>
                <w:sz w:val="18"/>
                <w:szCs w:val="18"/>
              </w:rPr>
              <w:t>Plataforma Moodle UMSA.</w:t>
            </w:r>
          </w:p>
          <w:p w14:paraId="69963A14" w14:textId="77777777" w:rsidR="00990B14" w:rsidRDefault="00000000">
            <w:pPr>
              <w:numPr>
                <w:ilvl w:val="0"/>
                <w:numId w:val="140"/>
              </w:numPr>
              <w:spacing w:before="10" w:after="10"/>
              <w:jc w:val="both"/>
            </w:pPr>
            <w:r>
              <w:rPr>
                <w:sz w:val="18"/>
                <w:szCs w:val="18"/>
              </w:rPr>
              <w:t>Hoja de cálculo y software especializado, Crystal Ball, para simulación de Monte Carlo.</w:t>
            </w:r>
          </w:p>
          <w:p w14:paraId="433F0A46" w14:textId="77777777" w:rsidR="00990B14" w:rsidRDefault="00000000">
            <w:pPr>
              <w:numPr>
                <w:ilvl w:val="0"/>
                <w:numId w:val="140"/>
              </w:numPr>
              <w:spacing w:before="10" w:after="10"/>
              <w:jc w:val="both"/>
            </w:pPr>
            <w:r>
              <w:rPr>
                <w:sz w:val="18"/>
                <w:szCs w:val="18"/>
              </w:rPr>
              <w:t>Tablas de mortalidad y biométricas de uso académico.</w:t>
            </w:r>
          </w:p>
          <w:p w14:paraId="647A06AE" w14:textId="77777777" w:rsidR="00990B14" w:rsidRDefault="00000000">
            <w:pPr>
              <w:numPr>
                <w:ilvl w:val="0"/>
                <w:numId w:val="140"/>
              </w:numPr>
              <w:spacing w:before="10" w:after="10"/>
              <w:jc w:val="both"/>
            </w:pPr>
            <w:r>
              <w:rPr>
                <w:sz w:val="18"/>
                <w:szCs w:val="18"/>
              </w:rPr>
              <w:t>Resoluciones, circulares e instructivos de la Autoridad de Fiscalización y Control de Pensiones y Seguros, APS.</w:t>
            </w:r>
          </w:p>
          <w:p w14:paraId="385F2697" w14:textId="77777777" w:rsidR="00990B14" w:rsidRDefault="00000000">
            <w:pPr>
              <w:numPr>
                <w:ilvl w:val="0"/>
                <w:numId w:val="140"/>
              </w:numPr>
              <w:spacing w:before="10" w:after="10"/>
              <w:jc w:val="both"/>
            </w:pPr>
            <w:r>
              <w:rPr>
                <w:sz w:val="18"/>
                <w:szCs w:val="18"/>
              </w:rPr>
              <w:t>Guías de ejercicios y casos actuariales elaborados por la cátedra.</w:t>
            </w:r>
          </w:p>
          <w:p w14:paraId="35583F7B" w14:textId="77777777" w:rsidR="00990B14" w:rsidRDefault="00000000">
            <w:pPr>
              <w:numPr>
                <w:ilvl w:val="0"/>
                <w:numId w:val="140"/>
              </w:numPr>
              <w:spacing w:before="10" w:after="10"/>
              <w:jc w:val="both"/>
            </w:pPr>
            <w:r>
              <w:rPr>
                <w:sz w:val="18"/>
                <w:szCs w:val="18"/>
              </w:rPr>
              <w:t>Datos demográficos del Censo de Población y Vivienda 2024 y estadísticas del Instituto Nacional de Estadística.</w:t>
            </w:r>
          </w:p>
          <w:p w14:paraId="1588163F" w14:textId="77777777" w:rsidR="00990B14" w:rsidRDefault="00000000">
            <w:pPr>
              <w:numPr>
                <w:ilvl w:val="0"/>
                <w:numId w:val="140"/>
              </w:numPr>
              <w:spacing w:before="10" w:after="10"/>
              <w:jc w:val="both"/>
            </w:pPr>
            <w:r>
              <w:rPr>
                <w:sz w:val="18"/>
                <w:szCs w:val="18"/>
              </w:rPr>
              <w:t xml:space="preserve">Funciones financieras y herramientas de simulación de la hoja de cálculo, en EXCEL </w:t>
            </w:r>
            <w:r>
              <w:rPr>
                <w:b/>
                <w:bCs/>
                <w:sz w:val="18"/>
                <w:szCs w:val="18"/>
              </w:rPr>
              <w:t>o</w:t>
            </w:r>
            <w:r>
              <w:rPr>
                <w:sz w:val="18"/>
                <w:szCs w:val="18"/>
              </w:rPr>
              <w:t xml:space="preserve"> entornos R y/o Python.</w:t>
            </w:r>
          </w:p>
        </w:tc>
      </w:tr>
      <w:tr w:rsidR="00990B14" w14:paraId="4314FC77" w14:textId="77777777">
        <w:trPr>
          <w:jc w:val="center"/>
        </w:trPr>
        <w:tc>
          <w:tcPr>
            <w:tcW w:w="1881" w:type="dxa"/>
            <w:shd w:val="clear" w:color="auto" w:fill="4472C4"/>
            <w:vAlign w:val="center"/>
          </w:tcPr>
          <w:p w14:paraId="06BD2E24" w14:textId="77777777" w:rsidR="00990B14" w:rsidRDefault="00000000">
            <w:pPr>
              <w:spacing w:before="20" w:after="20"/>
              <w:jc w:val="center"/>
            </w:pPr>
            <w:r>
              <w:rPr>
                <w:b/>
                <w:bCs/>
                <w:i/>
                <w:iCs/>
                <w:color w:val="FFFFFF"/>
                <w:sz w:val="18"/>
                <w:szCs w:val="18"/>
              </w:rPr>
              <w:t>Estrategias de evaluación</w:t>
            </w:r>
          </w:p>
        </w:tc>
        <w:tc>
          <w:tcPr>
            <w:tcW w:w="7524" w:type="dxa"/>
            <w:gridSpan w:val="4"/>
            <w:shd w:val="clear" w:color="auto" w:fill="D9E2F3"/>
            <w:vAlign w:val="center"/>
          </w:tcPr>
          <w:p w14:paraId="229FCBA2" w14:textId="77777777" w:rsidR="00990B14" w:rsidRDefault="00000000">
            <w:pPr>
              <w:numPr>
                <w:ilvl w:val="0"/>
                <w:numId w:val="140"/>
              </w:numPr>
              <w:spacing w:before="10" w:after="10"/>
              <w:jc w:val="both"/>
            </w:pPr>
            <w:r>
              <w:rPr>
                <w:sz w:val="18"/>
                <w:szCs w:val="18"/>
              </w:rPr>
              <w:t>Evaluación diagnóstica: prueba inicial sobre los conocimientos previos de matemáticas financieras y de estadística.</w:t>
            </w:r>
          </w:p>
          <w:p w14:paraId="6753D44D" w14:textId="77777777" w:rsidR="00990B14" w:rsidRDefault="00000000">
            <w:pPr>
              <w:numPr>
                <w:ilvl w:val="0"/>
                <w:numId w:val="140"/>
              </w:numPr>
              <w:spacing w:before="10" w:after="10"/>
              <w:jc w:val="both"/>
            </w:pPr>
            <w:r>
              <w:rPr>
                <w:sz w:val="18"/>
                <w:szCs w:val="18"/>
              </w:rPr>
              <w:t>Evaluación formativa: preguntas de comprensión y desarrollo de ejercicios prácticos en el aula, con retroalimentación continua, autoevaluación y coevaluación.</w:t>
            </w:r>
          </w:p>
          <w:p w14:paraId="16046EA2" w14:textId="77777777" w:rsidR="00990B14" w:rsidRDefault="00000000">
            <w:pPr>
              <w:numPr>
                <w:ilvl w:val="0"/>
                <w:numId w:val="140"/>
              </w:numPr>
              <w:spacing w:before="10" w:after="10"/>
              <w:jc w:val="both"/>
            </w:pPr>
            <w:r>
              <w:rPr>
                <w:sz w:val="18"/>
                <w:szCs w:val="18"/>
              </w:rPr>
              <w:t>Evaluación sumativa: controles de lectura y asistencia, evaluación de casos prácticos, trabajos de investigación y desarrollo, exámenes parciales y examen final.</w:t>
            </w:r>
          </w:p>
        </w:tc>
      </w:tr>
      <w:tr w:rsidR="00990B14" w14:paraId="6AE85978" w14:textId="77777777">
        <w:trPr>
          <w:jc w:val="center"/>
        </w:trPr>
        <w:tc>
          <w:tcPr>
            <w:tcW w:w="1881" w:type="dxa"/>
            <w:shd w:val="clear" w:color="auto" w:fill="4472C4"/>
            <w:vAlign w:val="center"/>
          </w:tcPr>
          <w:p w14:paraId="1726433D" w14:textId="77777777" w:rsidR="00990B14" w:rsidRDefault="00000000">
            <w:pPr>
              <w:spacing w:before="20" w:after="20"/>
              <w:jc w:val="center"/>
            </w:pPr>
            <w:r>
              <w:rPr>
                <w:b/>
                <w:bCs/>
                <w:i/>
                <w:iCs/>
                <w:color w:val="FFFFFF"/>
                <w:sz w:val="18"/>
                <w:szCs w:val="18"/>
              </w:rPr>
              <w:t>Criterios de calificación</w:t>
            </w:r>
          </w:p>
        </w:tc>
        <w:tc>
          <w:tcPr>
            <w:tcW w:w="7524" w:type="dxa"/>
            <w:gridSpan w:val="4"/>
            <w:shd w:val="clear" w:color="auto" w:fill="D9E2F3"/>
            <w:vAlign w:val="center"/>
          </w:tcPr>
          <w:p w14:paraId="31EE451E" w14:textId="77777777" w:rsidR="00990B14" w:rsidRDefault="00000000">
            <w:pPr>
              <w:numPr>
                <w:ilvl w:val="0"/>
                <w:numId w:val="140"/>
              </w:numPr>
              <w:spacing w:before="10" w:after="10"/>
              <w:jc w:val="both"/>
            </w:pPr>
            <w:r>
              <w:rPr>
                <w:sz w:val="18"/>
                <w:szCs w:val="18"/>
              </w:rPr>
              <w:t>Nota mínima de aprobación: 51/100.</w:t>
            </w:r>
          </w:p>
          <w:p w14:paraId="1CDE4E17" w14:textId="77777777" w:rsidR="00990B14" w:rsidRDefault="00000000">
            <w:pPr>
              <w:numPr>
                <w:ilvl w:val="0"/>
                <w:numId w:val="140"/>
              </w:numPr>
              <w:spacing w:before="10" w:after="10"/>
              <w:jc w:val="both"/>
            </w:pPr>
            <w:r>
              <w:rPr>
                <w:sz w:val="18"/>
                <w:szCs w:val="18"/>
              </w:rPr>
              <w:t>Evaluación periódica al finalizar cada tema, basada en evidencias de conocimiento, desempeño y producto.</w:t>
            </w:r>
          </w:p>
          <w:p w14:paraId="1766990E" w14:textId="77777777" w:rsidR="00990B14" w:rsidRDefault="00000000">
            <w:pPr>
              <w:numPr>
                <w:ilvl w:val="0"/>
                <w:numId w:val="140"/>
              </w:numPr>
              <w:spacing w:before="10" w:after="10"/>
              <w:jc w:val="both"/>
            </w:pPr>
            <w:r>
              <w:rPr>
                <w:sz w:val="18"/>
                <w:szCs w:val="18"/>
              </w:rPr>
              <w:t>Cada evidencia de producto se evalúa con su propia rúbrica de tres niveles: Insuficiente, Suficiente y Destacado.</w:t>
            </w:r>
          </w:p>
          <w:p w14:paraId="560A799D" w14:textId="77777777" w:rsidR="00990B14" w:rsidRDefault="00000000">
            <w:pPr>
              <w:numPr>
                <w:ilvl w:val="0"/>
                <w:numId w:val="140"/>
              </w:numPr>
              <w:spacing w:before="10" w:after="10"/>
              <w:jc w:val="both"/>
            </w:pPr>
            <w:r>
              <w:rPr>
                <w:sz w:val="18"/>
                <w:szCs w:val="18"/>
              </w:rPr>
              <w:t>La calificación de cada elemento de competencia suma las calificaciones de sus evidencias de producto.</w:t>
            </w:r>
          </w:p>
        </w:tc>
      </w:tr>
      <w:tr w:rsidR="00990B14" w14:paraId="2947A003" w14:textId="77777777">
        <w:trPr>
          <w:cantSplit/>
          <w:jc w:val="center"/>
        </w:trPr>
        <w:tc>
          <w:tcPr>
            <w:tcW w:w="1881" w:type="dxa"/>
            <w:vMerge w:val="restart"/>
            <w:shd w:val="clear" w:color="auto" w:fill="4472C4"/>
            <w:vAlign w:val="center"/>
          </w:tcPr>
          <w:p w14:paraId="6EBD3DD6" w14:textId="77777777" w:rsidR="00990B14" w:rsidRDefault="00000000">
            <w:pPr>
              <w:spacing w:before="20" w:after="20"/>
              <w:jc w:val="center"/>
            </w:pPr>
            <w:r>
              <w:rPr>
                <w:b/>
                <w:bCs/>
                <w:i/>
                <w:iCs/>
                <w:color w:val="FFFFFF"/>
                <w:sz w:val="18"/>
                <w:szCs w:val="18"/>
              </w:rPr>
              <w:t>Niveles de logro y distribución de la calificación</w:t>
            </w:r>
          </w:p>
        </w:tc>
        <w:tc>
          <w:tcPr>
            <w:tcW w:w="5651" w:type="dxa"/>
            <w:gridSpan w:val="3"/>
            <w:shd w:val="clear" w:color="auto" w:fill="D9E2F3"/>
            <w:vAlign w:val="center"/>
          </w:tcPr>
          <w:p w14:paraId="6CFA34A6" w14:textId="77777777" w:rsidR="00990B14" w:rsidRDefault="00000000">
            <w:pPr>
              <w:keepNext/>
              <w:spacing w:before="20" w:after="20"/>
              <w:jc w:val="both"/>
            </w:pPr>
            <w:r>
              <w:rPr>
                <w:b/>
                <w:bCs/>
                <w:i/>
                <w:iCs/>
                <w:sz w:val="18"/>
                <w:szCs w:val="18"/>
              </w:rPr>
              <w:t xml:space="preserve">Producto 1: </w:t>
            </w:r>
            <w:r>
              <w:rPr>
                <w:sz w:val="18"/>
                <w:szCs w:val="18"/>
              </w:rPr>
              <w:t>Árbol de decisión de un caso de incertidumbre</w:t>
            </w:r>
          </w:p>
        </w:tc>
        <w:tc>
          <w:tcPr>
            <w:tcW w:w="1873" w:type="dxa"/>
            <w:shd w:val="clear" w:color="auto" w:fill="D9E2F3"/>
            <w:vAlign w:val="center"/>
          </w:tcPr>
          <w:p w14:paraId="55C2B286" w14:textId="77777777" w:rsidR="00990B14" w:rsidRDefault="00000000">
            <w:pPr>
              <w:spacing w:before="20" w:after="20"/>
              <w:jc w:val="center"/>
            </w:pPr>
            <w:r>
              <w:rPr>
                <w:b/>
                <w:bCs/>
                <w:sz w:val="18"/>
                <w:szCs w:val="18"/>
              </w:rPr>
              <w:t>5%</w:t>
            </w:r>
          </w:p>
        </w:tc>
      </w:tr>
      <w:tr w:rsidR="00990B14" w14:paraId="2CF10CAE" w14:textId="77777777">
        <w:trPr>
          <w:cantSplit/>
          <w:jc w:val="center"/>
        </w:trPr>
        <w:tc>
          <w:tcPr>
            <w:tcW w:w="1881" w:type="dxa"/>
            <w:vMerge/>
            <w:shd w:val="clear" w:color="auto" w:fill="4472C4"/>
            <w:vAlign w:val="center"/>
          </w:tcPr>
          <w:p w14:paraId="3BD26B0E" w14:textId="77777777" w:rsidR="00990B14" w:rsidRDefault="00990B14">
            <w:pPr>
              <w:spacing w:before="20" w:after="20"/>
            </w:pPr>
          </w:p>
        </w:tc>
        <w:tc>
          <w:tcPr>
            <w:tcW w:w="1873" w:type="dxa"/>
            <w:shd w:val="clear" w:color="auto" w:fill="4472C4"/>
            <w:vAlign w:val="center"/>
          </w:tcPr>
          <w:p w14:paraId="1261DB5E" w14:textId="77777777" w:rsidR="00990B14" w:rsidRDefault="00000000">
            <w:pPr>
              <w:keepNext/>
              <w:spacing w:before="20" w:after="20"/>
              <w:jc w:val="center"/>
            </w:pPr>
            <w:r>
              <w:rPr>
                <w:b/>
                <w:bCs/>
                <w:i/>
                <w:iCs/>
                <w:color w:val="FFFFFF"/>
                <w:sz w:val="18"/>
                <w:szCs w:val="18"/>
              </w:rPr>
              <w:t>Criterio</w:t>
            </w:r>
          </w:p>
        </w:tc>
        <w:tc>
          <w:tcPr>
            <w:tcW w:w="1868" w:type="dxa"/>
            <w:shd w:val="clear" w:color="auto" w:fill="4472C4"/>
            <w:vAlign w:val="center"/>
          </w:tcPr>
          <w:p w14:paraId="4F297279"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0419772F" w14:textId="77777777" w:rsidR="00990B14" w:rsidRDefault="00000000">
            <w:pPr>
              <w:keepNext/>
              <w:spacing w:before="20" w:after="20"/>
              <w:jc w:val="center"/>
            </w:pPr>
            <w:r>
              <w:rPr>
                <w:b/>
                <w:bCs/>
                <w:i/>
                <w:iCs/>
                <w:color w:val="FFFFFF"/>
                <w:sz w:val="18"/>
                <w:szCs w:val="18"/>
              </w:rPr>
              <w:t>Suficiente (51–80)</w:t>
            </w:r>
          </w:p>
        </w:tc>
        <w:tc>
          <w:tcPr>
            <w:tcW w:w="1873" w:type="dxa"/>
            <w:shd w:val="clear" w:color="auto" w:fill="4472C4"/>
            <w:vAlign w:val="center"/>
          </w:tcPr>
          <w:p w14:paraId="5FFDF6C7" w14:textId="77777777" w:rsidR="00990B14" w:rsidRDefault="00000000">
            <w:pPr>
              <w:keepNext/>
              <w:spacing w:before="20" w:after="20"/>
              <w:jc w:val="center"/>
            </w:pPr>
            <w:r>
              <w:rPr>
                <w:b/>
                <w:bCs/>
                <w:i/>
                <w:iCs/>
                <w:color w:val="FFFFFF"/>
                <w:sz w:val="18"/>
                <w:szCs w:val="18"/>
              </w:rPr>
              <w:t>Destacado (81–100)</w:t>
            </w:r>
          </w:p>
        </w:tc>
      </w:tr>
      <w:tr w:rsidR="00990B14" w14:paraId="7890FE98" w14:textId="77777777">
        <w:trPr>
          <w:cantSplit/>
          <w:jc w:val="center"/>
        </w:trPr>
        <w:tc>
          <w:tcPr>
            <w:tcW w:w="1881" w:type="dxa"/>
            <w:vMerge/>
            <w:shd w:val="clear" w:color="auto" w:fill="4472C4"/>
            <w:vAlign w:val="center"/>
          </w:tcPr>
          <w:p w14:paraId="368047A1" w14:textId="77777777" w:rsidR="00990B14" w:rsidRDefault="00990B14">
            <w:pPr>
              <w:spacing w:before="20" w:after="20"/>
            </w:pPr>
          </w:p>
        </w:tc>
        <w:tc>
          <w:tcPr>
            <w:tcW w:w="1873" w:type="dxa"/>
            <w:shd w:val="clear" w:color="auto" w:fill="D9E2F3"/>
            <w:vAlign w:val="center"/>
          </w:tcPr>
          <w:p w14:paraId="7248ABD9" w14:textId="77777777" w:rsidR="00990B14" w:rsidRDefault="00000000">
            <w:pPr>
              <w:spacing w:before="20" w:after="20"/>
              <w:jc w:val="both"/>
            </w:pPr>
            <w:r>
              <w:rPr>
                <w:sz w:val="18"/>
                <w:szCs w:val="18"/>
              </w:rPr>
              <w:t>Estructura</w:t>
            </w:r>
          </w:p>
        </w:tc>
        <w:tc>
          <w:tcPr>
            <w:tcW w:w="1868" w:type="dxa"/>
            <w:shd w:val="clear" w:color="auto" w:fill="D9E2F3"/>
            <w:vAlign w:val="center"/>
          </w:tcPr>
          <w:p w14:paraId="68F5A528" w14:textId="77777777" w:rsidR="00990B14" w:rsidRDefault="00000000">
            <w:pPr>
              <w:spacing w:before="20" w:after="20"/>
              <w:jc w:val="both"/>
            </w:pPr>
            <w:r>
              <w:rPr>
                <w:sz w:val="18"/>
                <w:szCs w:val="18"/>
              </w:rPr>
              <w:t>Confunde nodos de decisión y de azar.</w:t>
            </w:r>
          </w:p>
        </w:tc>
        <w:tc>
          <w:tcPr>
            <w:tcW w:w="1910" w:type="dxa"/>
            <w:shd w:val="clear" w:color="auto" w:fill="D9E2F3"/>
            <w:vAlign w:val="center"/>
          </w:tcPr>
          <w:p w14:paraId="32CDDD27" w14:textId="77777777" w:rsidR="00990B14" w:rsidRDefault="00000000">
            <w:pPr>
              <w:spacing w:before="20" w:after="20"/>
              <w:jc w:val="both"/>
            </w:pPr>
            <w:r>
              <w:rPr>
                <w:sz w:val="18"/>
                <w:szCs w:val="18"/>
              </w:rPr>
              <w:t>Construye el árbol con sus nodos y ramas.</w:t>
            </w:r>
          </w:p>
        </w:tc>
        <w:tc>
          <w:tcPr>
            <w:tcW w:w="1873" w:type="dxa"/>
            <w:shd w:val="clear" w:color="auto" w:fill="D9E2F3"/>
            <w:vAlign w:val="center"/>
          </w:tcPr>
          <w:p w14:paraId="1EA9F10B" w14:textId="77777777" w:rsidR="00990B14" w:rsidRDefault="00000000">
            <w:pPr>
              <w:spacing w:before="20" w:after="20"/>
              <w:jc w:val="both"/>
            </w:pPr>
            <w:r>
              <w:rPr>
                <w:sz w:val="18"/>
                <w:szCs w:val="18"/>
              </w:rPr>
              <w:t>Representa decisiones secuenciales.</w:t>
            </w:r>
          </w:p>
        </w:tc>
      </w:tr>
      <w:tr w:rsidR="00990B14" w14:paraId="17C545E5" w14:textId="77777777">
        <w:trPr>
          <w:cantSplit/>
          <w:jc w:val="center"/>
        </w:trPr>
        <w:tc>
          <w:tcPr>
            <w:tcW w:w="1881" w:type="dxa"/>
            <w:vMerge/>
            <w:shd w:val="clear" w:color="auto" w:fill="4472C4"/>
            <w:vAlign w:val="center"/>
          </w:tcPr>
          <w:p w14:paraId="6D8417FC" w14:textId="77777777" w:rsidR="00990B14" w:rsidRDefault="00990B14">
            <w:pPr>
              <w:spacing w:before="20" w:after="20"/>
            </w:pPr>
          </w:p>
        </w:tc>
        <w:tc>
          <w:tcPr>
            <w:tcW w:w="1873" w:type="dxa"/>
            <w:shd w:val="clear" w:color="auto" w:fill="D9E2F3"/>
            <w:vAlign w:val="center"/>
          </w:tcPr>
          <w:p w14:paraId="7F9907AB" w14:textId="77777777" w:rsidR="00990B14" w:rsidRDefault="00000000">
            <w:pPr>
              <w:spacing w:before="20" w:after="20"/>
              <w:jc w:val="both"/>
            </w:pPr>
            <w:r>
              <w:rPr>
                <w:sz w:val="18"/>
                <w:szCs w:val="18"/>
              </w:rPr>
              <w:t>Valor esperado</w:t>
            </w:r>
          </w:p>
        </w:tc>
        <w:tc>
          <w:tcPr>
            <w:tcW w:w="1868" w:type="dxa"/>
            <w:shd w:val="clear" w:color="auto" w:fill="D9E2F3"/>
            <w:vAlign w:val="center"/>
          </w:tcPr>
          <w:p w14:paraId="2CC82555" w14:textId="77777777" w:rsidR="00990B14" w:rsidRDefault="00000000">
            <w:pPr>
              <w:spacing w:before="20" w:after="20"/>
              <w:jc w:val="both"/>
            </w:pPr>
            <w:r>
              <w:rPr>
                <w:sz w:val="18"/>
                <w:szCs w:val="18"/>
              </w:rPr>
              <w:t>Calcula mal el valor esperado.</w:t>
            </w:r>
          </w:p>
        </w:tc>
        <w:tc>
          <w:tcPr>
            <w:tcW w:w="1910" w:type="dxa"/>
            <w:shd w:val="clear" w:color="auto" w:fill="D9E2F3"/>
            <w:vAlign w:val="center"/>
          </w:tcPr>
          <w:p w14:paraId="154CEB40" w14:textId="77777777" w:rsidR="00990B14" w:rsidRDefault="00000000">
            <w:pPr>
              <w:spacing w:before="20" w:after="20"/>
              <w:jc w:val="both"/>
            </w:pPr>
            <w:r>
              <w:rPr>
                <w:sz w:val="18"/>
                <w:szCs w:val="18"/>
              </w:rPr>
              <w:t>Resuelve el árbol hacia atrás.</w:t>
            </w:r>
          </w:p>
        </w:tc>
        <w:tc>
          <w:tcPr>
            <w:tcW w:w="1873" w:type="dxa"/>
            <w:shd w:val="clear" w:color="auto" w:fill="D9E2F3"/>
            <w:vAlign w:val="center"/>
          </w:tcPr>
          <w:p w14:paraId="42E9A0A9" w14:textId="77777777" w:rsidR="00990B14" w:rsidRDefault="00000000">
            <w:pPr>
              <w:spacing w:before="20" w:after="20"/>
              <w:jc w:val="both"/>
            </w:pPr>
            <w:r>
              <w:rPr>
                <w:sz w:val="18"/>
                <w:szCs w:val="18"/>
              </w:rPr>
              <w:t>Mide la variabilidad de cada alternativa.</w:t>
            </w:r>
          </w:p>
        </w:tc>
      </w:tr>
      <w:tr w:rsidR="00990B14" w14:paraId="1F12C3F8" w14:textId="77777777">
        <w:trPr>
          <w:cantSplit/>
          <w:jc w:val="center"/>
        </w:trPr>
        <w:tc>
          <w:tcPr>
            <w:tcW w:w="1881" w:type="dxa"/>
            <w:vMerge/>
            <w:shd w:val="clear" w:color="auto" w:fill="4472C4"/>
            <w:vAlign w:val="center"/>
          </w:tcPr>
          <w:p w14:paraId="06171526" w14:textId="77777777" w:rsidR="00990B14" w:rsidRDefault="00990B14">
            <w:pPr>
              <w:spacing w:before="20" w:after="20"/>
            </w:pPr>
          </w:p>
        </w:tc>
        <w:tc>
          <w:tcPr>
            <w:tcW w:w="1873" w:type="dxa"/>
            <w:shd w:val="clear" w:color="auto" w:fill="D9E2F3"/>
            <w:vAlign w:val="center"/>
          </w:tcPr>
          <w:p w14:paraId="3E92F3B3" w14:textId="77777777" w:rsidR="00990B14" w:rsidRDefault="00000000">
            <w:pPr>
              <w:spacing w:before="20" w:after="20"/>
              <w:jc w:val="both"/>
            </w:pPr>
            <w:r>
              <w:rPr>
                <w:sz w:val="18"/>
                <w:szCs w:val="18"/>
              </w:rPr>
              <w:t>Decisión</w:t>
            </w:r>
          </w:p>
        </w:tc>
        <w:tc>
          <w:tcPr>
            <w:tcW w:w="1868" w:type="dxa"/>
            <w:shd w:val="clear" w:color="auto" w:fill="D9E2F3"/>
            <w:vAlign w:val="center"/>
          </w:tcPr>
          <w:p w14:paraId="269BE9E7" w14:textId="77777777" w:rsidR="00990B14" w:rsidRDefault="00000000">
            <w:pPr>
              <w:spacing w:before="20" w:after="20"/>
              <w:jc w:val="both"/>
            </w:pPr>
            <w:r>
              <w:rPr>
                <w:sz w:val="18"/>
                <w:szCs w:val="18"/>
              </w:rPr>
              <w:t>No fundamenta la decisión.</w:t>
            </w:r>
          </w:p>
        </w:tc>
        <w:tc>
          <w:tcPr>
            <w:tcW w:w="1910" w:type="dxa"/>
            <w:shd w:val="clear" w:color="auto" w:fill="D9E2F3"/>
            <w:vAlign w:val="center"/>
          </w:tcPr>
          <w:p w14:paraId="46690E85" w14:textId="77777777" w:rsidR="00990B14" w:rsidRDefault="00000000">
            <w:pPr>
              <w:spacing w:before="20" w:after="20"/>
              <w:jc w:val="both"/>
            </w:pPr>
            <w:r>
              <w:rPr>
                <w:sz w:val="18"/>
                <w:szCs w:val="18"/>
              </w:rPr>
              <w:t>Recomienda la alternativa de mayor valor esperado.</w:t>
            </w:r>
          </w:p>
        </w:tc>
        <w:tc>
          <w:tcPr>
            <w:tcW w:w="1873" w:type="dxa"/>
            <w:shd w:val="clear" w:color="auto" w:fill="D9E2F3"/>
            <w:vAlign w:val="center"/>
          </w:tcPr>
          <w:p w14:paraId="475EE8B8" w14:textId="77777777" w:rsidR="00990B14" w:rsidRDefault="00000000">
            <w:pPr>
              <w:spacing w:before="20" w:after="20"/>
              <w:jc w:val="both"/>
            </w:pPr>
            <w:r>
              <w:rPr>
                <w:sz w:val="18"/>
                <w:szCs w:val="18"/>
              </w:rPr>
              <w:t>Evalúa la decisión según la aversión al riesgo.</w:t>
            </w:r>
          </w:p>
        </w:tc>
      </w:tr>
      <w:tr w:rsidR="00990B14" w14:paraId="22D7D9D9" w14:textId="77777777">
        <w:trPr>
          <w:cantSplit/>
          <w:jc w:val="center"/>
        </w:trPr>
        <w:tc>
          <w:tcPr>
            <w:tcW w:w="1881" w:type="dxa"/>
            <w:vMerge/>
            <w:shd w:val="clear" w:color="auto" w:fill="4472C4"/>
            <w:vAlign w:val="center"/>
          </w:tcPr>
          <w:p w14:paraId="2DF4D4DD" w14:textId="77777777" w:rsidR="00990B14" w:rsidRDefault="00990B14">
            <w:pPr>
              <w:spacing w:before="20" w:after="20"/>
            </w:pPr>
          </w:p>
        </w:tc>
        <w:tc>
          <w:tcPr>
            <w:tcW w:w="5651" w:type="dxa"/>
            <w:gridSpan w:val="3"/>
            <w:shd w:val="clear" w:color="auto" w:fill="D9E2F3"/>
            <w:vAlign w:val="center"/>
          </w:tcPr>
          <w:p w14:paraId="2496FEF9" w14:textId="77777777" w:rsidR="00990B14" w:rsidRDefault="00000000">
            <w:pPr>
              <w:keepNext/>
              <w:spacing w:before="20" w:after="20"/>
              <w:jc w:val="both"/>
            </w:pPr>
            <w:r>
              <w:rPr>
                <w:b/>
                <w:bCs/>
                <w:i/>
                <w:iCs/>
                <w:sz w:val="18"/>
                <w:szCs w:val="18"/>
              </w:rPr>
              <w:t xml:space="preserve">Producto 2: </w:t>
            </w:r>
            <w:r>
              <w:rPr>
                <w:sz w:val="18"/>
                <w:szCs w:val="18"/>
              </w:rPr>
              <w:t>Cuadro de criterios de decisión</w:t>
            </w:r>
          </w:p>
        </w:tc>
        <w:tc>
          <w:tcPr>
            <w:tcW w:w="1873" w:type="dxa"/>
            <w:shd w:val="clear" w:color="auto" w:fill="D9E2F3"/>
            <w:vAlign w:val="center"/>
          </w:tcPr>
          <w:p w14:paraId="4FC06462" w14:textId="77777777" w:rsidR="00990B14" w:rsidRDefault="00000000">
            <w:pPr>
              <w:spacing w:before="20" w:after="20"/>
              <w:jc w:val="center"/>
            </w:pPr>
            <w:r>
              <w:rPr>
                <w:b/>
                <w:bCs/>
                <w:sz w:val="18"/>
                <w:szCs w:val="18"/>
              </w:rPr>
              <w:t>5%</w:t>
            </w:r>
          </w:p>
        </w:tc>
      </w:tr>
      <w:tr w:rsidR="00990B14" w14:paraId="7AA470DD" w14:textId="77777777">
        <w:trPr>
          <w:cantSplit/>
          <w:jc w:val="center"/>
        </w:trPr>
        <w:tc>
          <w:tcPr>
            <w:tcW w:w="1881" w:type="dxa"/>
            <w:vMerge/>
            <w:shd w:val="clear" w:color="auto" w:fill="4472C4"/>
            <w:vAlign w:val="center"/>
          </w:tcPr>
          <w:p w14:paraId="4DCD0FEE" w14:textId="77777777" w:rsidR="00990B14" w:rsidRDefault="00990B14">
            <w:pPr>
              <w:spacing w:before="20" w:after="20"/>
            </w:pPr>
          </w:p>
        </w:tc>
        <w:tc>
          <w:tcPr>
            <w:tcW w:w="1873" w:type="dxa"/>
            <w:shd w:val="clear" w:color="auto" w:fill="4472C4"/>
            <w:vAlign w:val="center"/>
          </w:tcPr>
          <w:p w14:paraId="4EE8FCD8" w14:textId="77777777" w:rsidR="00990B14" w:rsidRDefault="00000000">
            <w:pPr>
              <w:keepNext/>
              <w:spacing w:before="20" w:after="20"/>
              <w:jc w:val="center"/>
            </w:pPr>
            <w:r>
              <w:rPr>
                <w:b/>
                <w:bCs/>
                <w:i/>
                <w:iCs/>
                <w:color w:val="FFFFFF"/>
                <w:sz w:val="18"/>
                <w:szCs w:val="18"/>
              </w:rPr>
              <w:t>Criterio</w:t>
            </w:r>
          </w:p>
        </w:tc>
        <w:tc>
          <w:tcPr>
            <w:tcW w:w="1868" w:type="dxa"/>
            <w:shd w:val="clear" w:color="auto" w:fill="4472C4"/>
            <w:vAlign w:val="center"/>
          </w:tcPr>
          <w:p w14:paraId="5B38CD13"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2D202D3E" w14:textId="77777777" w:rsidR="00990B14" w:rsidRDefault="00000000">
            <w:pPr>
              <w:keepNext/>
              <w:spacing w:before="20" w:after="20"/>
              <w:jc w:val="center"/>
            </w:pPr>
            <w:r>
              <w:rPr>
                <w:b/>
                <w:bCs/>
                <w:i/>
                <w:iCs/>
                <w:color w:val="FFFFFF"/>
                <w:sz w:val="18"/>
                <w:szCs w:val="18"/>
              </w:rPr>
              <w:t>Suficiente (51–80)</w:t>
            </w:r>
          </w:p>
        </w:tc>
        <w:tc>
          <w:tcPr>
            <w:tcW w:w="1873" w:type="dxa"/>
            <w:shd w:val="clear" w:color="auto" w:fill="4472C4"/>
            <w:vAlign w:val="center"/>
          </w:tcPr>
          <w:p w14:paraId="4674671C" w14:textId="77777777" w:rsidR="00990B14" w:rsidRDefault="00000000">
            <w:pPr>
              <w:keepNext/>
              <w:spacing w:before="20" w:after="20"/>
              <w:jc w:val="center"/>
            </w:pPr>
            <w:r>
              <w:rPr>
                <w:b/>
                <w:bCs/>
                <w:i/>
                <w:iCs/>
                <w:color w:val="FFFFFF"/>
                <w:sz w:val="18"/>
                <w:szCs w:val="18"/>
              </w:rPr>
              <w:t>Destacado (81–100)</w:t>
            </w:r>
          </w:p>
        </w:tc>
      </w:tr>
      <w:tr w:rsidR="00990B14" w14:paraId="127E8AE0" w14:textId="77777777">
        <w:trPr>
          <w:cantSplit/>
          <w:jc w:val="center"/>
        </w:trPr>
        <w:tc>
          <w:tcPr>
            <w:tcW w:w="1881" w:type="dxa"/>
            <w:vMerge/>
            <w:shd w:val="clear" w:color="auto" w:fill="4472C4"/>
            <w:vAlign w:val="center"/>
          </w:tcPr>
          <w:p w14:paraId="118ACA5F" w14:textId="77777777" w:rsidR="00990B14" w:rsidRDefault="00990B14">
            <w:pPr>
              <w:spacing w:before="20" w:after="20"/>
            </w:pPr>
          </w:p>
        </w:tc>
        <w:tc>
          <w:tcPr>
            <w:tcW w:w="1873" w:type="dxa"/>
            <w:shd w:val="clear" w:color="auto" w:fill="D9E2F3"/>
            <w:vAlign w:val="center"/>
          </w:tcPr>
          <w:p w14:paraId="14824A33" w14:textId="77777777" w:rsidR="00990B14" w:rsidRDefault="00000000">
            <w:pPr>
              <w:spacing w:before="20" w:after="20"/>
              <w:jc w:val="both"/>
            </w:pPr>
            <w:r>
              <w:rPr>
                <w:sz w:val="18"/>
                <w:szCs w:val="18"/>
              </w:rPr>
              <w:t>Criterios aplicados</w:t>
            </w:r>
          </w:p>
        </w:tc>
        <w:tc>
          <w:tcPr>
            <w:tcW w:w="1868" w:type="dxa"/>
            <w:shd w:val="clear" w:color="auto" w:fill="D9E2F3"/>
            <w:vAlign w:val="center"/>
          </w:tcPr>
          <w:p w14:paraId="65653608" w14:textId="77777777" w:rsidR="00990B14" w:rsidRDefault="00000000">
            <w:pPr>
              <w:spacing w:before="20" w:after="20"/>
              <w:jc w:val="both"/>
            </w:pPr>
            <w:r>
              <w:rPr>
                <w:sz w:val="18"/>
                <w:szCs w:val="18"/>
              </w:rPr>
              <w:t>Aplica un solo criterio.</w:t>
            </w:r>
          </w:p>
        </w:tc>
        <w:tc>
          <w:tcPr>
            <w:tcW w:w="1910" w:type="dxa"/>
            <w:shd w:val="clear" w:color="auto" w:fill="D9E2F3"/>
            <w:vAlign w:val="center"/>
          </w:tcPr>
          <w:p w14:paraId="76D6B0E3" w14:textId="77777777" w:rsidR="00990B14" w:rsidRDefault="00000000">
            <w:pPr>
              <w:spacing w:before="20" w:after="20"/>
              <w:jc w:val="both"/>
            </w:pPr>
            <w:r>
              <w:rPr>
                <w:sz w:val="18"/>
                <w:szCs w:val="18"/>
              </w:rPr>
              <w:t>Aplica los criterios de riesgo y de incertidumbre.</w:t>
            </w:r>
          </w:p>
        </w:tc>
        <w:tc>
          <w:tcPr>
            <w:tcW w:w="1873" w:type="dxa"/>
            <w:shd w:val="clear" w:color="auto" w:fill="D9E2F3"/>
            <w:vAlign w:val="center"/>
          </w:tcPr>
          <w:p w14:paraId="254CE875" w14:textId="77777777" w:rsidR="00990B14" w:rsidRDefault="00000000">
            <w:pPr>
              <w:spacing w:before="20" w:after="20"/>
              <w:jc w:val="both"/>
            </w:pPr>
            <w:r>
              <w:rPr>
                <w:sz w:val="18"/>
                <w:szCs w:val="18"/>
              </w:rPr>
              <w:t>Explica la actitud ante el riesgo de cada criterio.</w:t>
            </w:r>
          </w:p>
        </w:tc>
      </w:tr>
      <w:tr w:rsidR="00990B14" w14:paraId="1645E9F8" w14:textId="77777777">
        <w:trPr>
          <w:cantSplit/>
          <w:jc w:val="center"/>
        </w:trPr>
        <w:tc>
          <w:tcPr>
            <w:tcW w:w="1881" w:type="dxa"/>
            <w:vMerge/>
            <w:shd w:val="clear" w:color="auto" w:fill="4472C4"/>
            <w:vAlign w:val="center"/>
          </w:tcPr>
          <w:p w14:paraId="1BA279F6" w14:textId="77777777" w:rsidR="00990B14" w:rsidRDefault="00990B14">
            <w:pPr>
              <w:spacing w:before="20" w:after="20"/>
            </w:pPr>
          </w:p>
        </w:tc>
        <w:tc>
          <w:tcPr>
            <w:tcW w:w="1873" w:type="dxa"/>
            <w:shd w:val="clear" w:color="auto" w:fill="D9E2F3"/>
            <w:vAlign w:val="center"/>
          </w:tcPr>
          <w:p w14:paraId="432D89E4" w14:textId="77777777" w:rsidR="00990B14" w:rsidRDefault="00000000">
            <w:pPr>
              <w:spacing w:before="20" w:after="20"/>
              <w:jc w:val="both"/>
            </w:pPr>
            <w:r>
              <w:rPr>
                <w:sz w:val="18"/>
                <w:szCs w:val="18"/>
              </w:rPr>
              <w:t>Resultados</w:t>
            </w:r>
          </w:p>
        </w:tc>
        <w:tc>
          <w:tcPr>
            <w:tcW w:w="1868" w:type="dxa"/>
            <w:shd w:val="clear" w:color="auto" w:fill="D9E2F3"/>
            <w:vAlign w:val="center"/>
          </w:tcPr>
          <w:p w14:paraId="450FBA28" w14:textId="77777777" w:rsidR="00990B14" w:rsidRDefault="00000000">
            <w:pPr>
              <w:spacing w:before="20" w:after="20"/>
              <w:jc w:val="both"/>
            </w:pPr>
            <w:r>
              <w:rPr>
                <w:sz w:val="18"/>
                <w:szCs w:val="18"/>
              </w:rPr>
              <w:t>Los resultados tienen errores.</w:t>
            </w:r>
          </w:p>
        </w:tc>
        <w:tc>
          <w:tcPr>
            <w:tcW w:w="1910" w:type="dxa"/>
            <w:shd w:val="clear" w:color="auto" w:fill="D9E2F3"/>
            <w:vAlign w:val="center"/>
          </w:tcPr>
          <w:p w14:paraId="07657191" w14:textId="77777777" w:rsidR="00990B14" w:rsidRDefault="00000000">
            <w:pPr>
              <w:spacing w:before="20" w:after="20"/>
              <w:jc w:val="both"/>
            </w:pPr>
            <w:r>
              <w:rPr>
                <w:sz w:val="18"/>
                <w:szCs w:val="18"/>
              </w:rPr>
              <w:t>Obtiene la alternativa elegida por cada criterio.</w:t>
            </w:r>
          </w:p>
        </w:tc>
        <w:tc>
          <w:tcPr>
            <w:tcW w:w="1873" w:type="dxa"/>
            <w:shd w:val="clear" w:color="auto" w:fill="D9E2F3"/>
            <w:vAlign w:val="center"/>
          </w:tcPr>
          <w:p w14:paraId="59C283C4" w14:textId="77777777" w:rsidR="00990B14" w:rsidRDefault="00000000">
            <w:pPr>
              <w:spacing w:before="20" w:after="20"/>
              <w:jc w:val="both"/>
            </w:pPr>
            <w:r>
              <w:rPr>
                <w:sz w:val="18"/>
                <w:szCs w:val="18"/>
              </w:rPr>
              <w:t>Analiza por qué difieren los criterios.</w:t>
            </w:r>
          </w:p>
        </w:tc>
      </w:tr>
      <w:tr w:rsidR="00990B14" w14:paraId="456FFEC3" w14:textId="77777777">
        <w:trPr>
          <w:cantSplit/>
          <w:jc w:val="center"/>
        </w:trPr>
        <w:tc>
          <w:tcPr>
            <w:tcW w:w="1881" w:type="dxa"/>
            <w:vMerge/>
            <w:shd w:val="clear" w:color="auto" w:fill="4472C4"/>
            <w:vAlign w:val="center"/>
          </w:tcPr>
          <w:p w14:paraId="132D9AED" w14:textId="77777777" w:rsidR="00990B14" w:rsidRDefault="00990B14">
            <w:pPr>
              <w:spacing w:before="20" w:after="20"/>
            </w:pPr>
          </w:p>
        </w:tc>
        <w:tc>
          <w:tcPr>
            <w:tcW w:w="1873" w:type="dxa"/>
            <w:shd w:val="clear" w:color="auto" w:fill="D9E2F3"/>
            <w:vAlign w:val="center"/>
          </w:tcPr>
          <w:p w14:paraId="579D22AE" w14:textId="77777777" w:rsidR="00990B14" w:rsidRDefault="00000000">
            <w:pPr>
              <w:spacing w:before="20" w:after="20"/>
              <w:jc w:val="both"/>
            </w:pPr>
            <w:r>
              <w:rPr>
                <w:sz w:val="18"/>
                <w:szCs w:val="18"/>
              </w:rPr>
              <w:t>Trabajo en equipo</w:t>
            </w:r>
          </w:p>
        </w:tc>
        <w:tc>
          <w:tcPr>
            <w:tcW w:w="1868" w:type="dxa"/>
            <w:shd w:val="clear" w:color="auto" w:fill="D9E2F3"/>
            <w:vAlign w:val="center"/>
          </w:tcPr>
          <w:p w14:paraId="424849F9" w14:textId="77777777" w:rsidR="00990B14" w:rsidRDefault="00000000">
            <w:pPr>
              <w:spacing w:before="20" w:after="20"/>
              <w:jc w:val="both"/>
            </w:pPr>
            <w:r>
              <w:rPr>
                <w:sz w:val="18"/>
                <w:szCs w:val="18"/>
              </w:rPr>
              <w:t>Pocos integrantes participan.</w:t>
            </w:r>
          </w:p>
        </w:tc>
        <w:tc>
          <w:tcPr>
            <w:tcW w:w="1910" w:type="dxa"/>
            <w:shd w:val="clear" w:color="auto" w:fill="D9E2F3"/>
            <w:vAlign w:val="center"/>
          </w:tcPr>
          <w:p w14:paraId="6A4AAA59" w14:textId="77777777" w:rsidR="00990B14" w:rsidRDefault="00000000">
            <w:pPr>
              <w:spacing w:before="20" w:after="20"/>
              <w:jc w:val="both"/>
            </w:pPr>
            <w:r>
              <w:rPr>
                <w:sz w:val="18"/>
                <w:szCs w:val="18"/>
              </w:rPr>
              <w:t>Todos los integrantes aportan al cuadro.</w:t>
            </w:r>
          </w:p>
        </w:tc>
        <w:tc>
          <w:tcPr>
            <w:tcW w:w="1873" w:type="dxa"/>
            <w:shd w:val="clear" w:color="auto" w:fill="D9E2F3"/>
            <w:vAlign w:val="center"/>
          </w:tcPr>
          <w:p w14:paraId="4D7610D1" w14:textId="77777777" w:rsidR="00990B14" w:rsidRDefault="00000000">
            <w:pPr>
              <w:spacing w:before="20" w:after="20"/>
              <w:jc w:val="both"/>
            </w:pPr>
            <w:r>
              <w:rPr>
                <w:sz w:val="18"/>
                <w:szCs w:val="18"/>
              </w:rPr>
              <w:t>El equipo sustenta una recomendación final.</w:t>
            </w:r>
          </w:p>
        </w:tc>
      </w:tr>
      <w:tr w:rsidR="00990B14" w14:paraId="22B13C6C" w14:textId="77777777">
        <w:trPr>
          <w:cantSplit/>
          <w:jc w:val="center"/>
        </w:trPr>
        <w:tc>
          <w:tcPr>
            <w:tcW w:w="1881" w:type="dxa"/>
            <w:vMerge/>
            <w:shd w:val="clear" w:color="auto" w:fill="4472C4"/>
            <w:vAlign w:val="center"/>
          </w:tcPr>
          <w:p w14:paraId="748D5AB3" w14:textId="77777777" w:rsidR="00990B14" w:rsidRDefault="00990B14">
            <w:pPr>
              <w:spacing w:before="20" w:after="20"/>
            </w:pPr>
          </w:p>
        </w:tc>
        <w:tc>
          <w:tcPr>
            <w:tcW w:w="5651" w:type="dxa"/>
            <w:gridSpan w:val="3"/>
            <w:shd w:val="clear" w:color="auto" w:fill="D9E2F3"/>
            <w:vAlign w:val="center"/>
          </w:tcPr>
          <w:p w14:paraId="6DDD7963" w14:textId="77777777" w:rsidR="00990B14" w:rsidRDefault="00000000">
            <w:pPr>
              <w:keepNext/>
              <w:spacing w:before="20" w:after="20"/>
              <w:jc w:val="both"/>
            </w:pPr>
            <w:r>
              <w:rPr>
                <w:b/>
                <w:bCs/>
                <w:i/>
                <w:iCs/>
                <w:sz w:val="18"/>
                <w:szCs w:val="18"/>
              </w:rPr>
              <w:t xml:space="preserve">Producto 3: </w:t>
            </w:r>
            <w:r>
              <w:rPr>
                <w:sz w:val="18"/>
                <w:szCs w:val="18"/>
              </w:rPr>
              <w:t>Análisis demográfico censal</w:t>
            </w:r>
          </w:p>
        </w:tc>
        <w:tc>
          <w:tcPr>
            <w:tcW w:w="1873" w:type="dxa"/>
            <w:shd w:val="clear" w:color="auto" w:fill="D9E2F3"/>
            <w:vAlign w:val="center"/>
          </w:tcPr>
          <w:p w14:paraId="6486CE9D" w14:textId="77777777" w:rsidR="00990B14" w:rsidRDefault="00000000">
            <w:pPr>
              <w:spacing w:before="20" w:after="20"/>
              <w:jc w:val="center"/>
            </w:pPr>
            <w:r>
              <w:rPr>
                <w:b/>
                <w:bCs/>
                <w:sz w:val="18"/>
                <w:szCs w:val="18"/>
              </w:rPr>
              <w:t>5%</w:t>
            </w:r>
          </w:p>
        </w:tc>
      </w:tr>
      <w:tr w:rsidR="00990B14" w14:paraId="2216EF8D" w14:textId="77777777">
        <w:trPr>
          <w:cantSplit/>
          <w:jc w:val="center"/>
        </w:trPr>
        <w:tc>
          <w:tcPr>
            <w:tcW w:w="1881" w:type="dxa"/>
            <w:vMerge/>
            <w:shd w:val="clear" w:color="auto" w:fill="4472C4"/>
            <w:vAlign w:val="center"/>
          </w:tcPr>
          <w:p w14:paraId="0467B77B" w14:textId="77777777" w:rsidR="00990B14" w:rsidRDefault="00990B14">
            <w:pPr>
              <w:spacing w:before="20" w:after="20"/>
            </w:pPr>
          </w:p>
        </w:tc>
        <w:tc>
          <w:tcPr>
            <w:tcW w:w="1873" w:type="dxa"/>
            <w:shd w:val="clear" w:color="auto" w:fill="4472C4"/>
            <w:vAlign w:val="center"/>
          </w:tcPr>
          <w:p w14:paraId="19F69EA9" w14:textId="77777777" w:rsidR="00990B14" w:rsidRDefault="00000000">
            <w:pPr>
              <w:keepNext/>
              <w:spacing w:before="20" w:after="20"/>
              <w:jc w:val="center"/>
            </w:pPr>
            <w:r>
              <w:rPr>
                <w:b/>
                <w:bCs/>
                <w:i/>
                <w:iCs/>
                <w:color w:val="FFFFFF"/>
                <w:sz w:val="18"/>
                <w:szCs w:val="18"/>
              </w:rPr>
              <w:t>Criterio</w:t>
            </w:r>
          </w:p>
        </w:tc>
        <w:tc>
          <w:tcPr>
            <w:tcW w:w="1868" w:type="dxa"/>
            <w:shd w:val="clear" w:color="auto" w:fill="4472C4"/>
            <w:vAlign w:val="center"/>
          </w:tcPr>
          <w:p w14:paraId="25317CFB"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76947CE0" w14:textId="77777777" w:rsidR="00990B14" w:rsidRDefault="00000000">
            <w:pPr>
              <w:keepNext/>
              <w:spacing w:before="20" w:after="20"/>
              <w:jc w:val="center"/>
            </w:pPr>
            <w:r>
              <w:rPr>
                <w:b/>
                <w:bCs/>
                <w:i/>
                <w:iCs/>
                <w:color w:val="FFFFFF"/>
                <w:sz w:val="18"/>
                <w:szCs w:val="18"/>
              </w:rPr>
              <w:t>Suficiente (51–80)</w:t>
            </w:r>
          </w:p>
        </w:tc>
        <w:tc>
          <w:tcPr>
            <w:tcW w:w="1873" w:type="dxa"/>
            <w:shd w:val="clear" w:color="auto" w:fill="4472C4"/>
            <w:vAlign w:val="center"/>
          </w:tcPr>
          <w:p w14:paraId="39879975" w14:textId="77777777" w:rsidR="00990B14" w:rsidRDefault="00000000">
            <w:pPr>
              <w:keepNext/>
              <w:spacing w:before="20" w:after="20"/>
              <w:jc w:val="center"/>
            </w:pPr>
            <w:r>
              <w:rPr>
                <w:b/>
                <w:bCs/>
                <w:i/>
                <w:iCs/>
                <w:color w:val="FFFFFF"/>
                <w:sz w:val="18"/>
                <w:szCs w:val="18"/>
              </w:rPr>
              <w:t>Destacado (81–100)</w:t>
            </w:r>
          </w:p>
        </w:tc>
      </w:tr>
      <w:tr w:rsidR="00990B14" w14:paraId="49529FC7" w14:textId="77777777">
        <w:trPr>
          <w:cantSplit/>
          <w:jc w:val="center"/>
        </w:trPr>
        <w:tc>
          <w:tcPr>
            <w:tcW w:w="1881" w:type="dxa"/>
            <w:vMerge/>
            <w:shd w:val="clear" w:color="auto" w:fill="4472C4"/>
            <w:vAlign w:val="center"/>
          </w:tcPr>
          <w:p w14:paraId="64F0CA17" w14:textId="77777777" w:rsidR="00990B14" w:rsidRDefault="00990B14">
            <w:pPr>
              <w:spacing w:before="20" w:after="20"/>
            </w:pPr>
          </w:p>
        </w:tc>
        <w:tc>
          <w:tcPr>
            <w:tcW w:w="1873" w:type="dxa"/>
            <w:shd w:val="clear" w:color="auto" w:fill="D9E2F3"/>
            <w:vAlign w:val="center"/>
          </w:tcPr>
          <w:p w14:paraId="0485B458" w14:textId="77777777" w:rsidR="00990B14" w:rsidRDefault="00000000">
            <w:pPr>
              <w:spacing w:before="20" w:after="20"/>
              <w:jc w:val="both"/>
            </w:pPr>
            <w:r>
              <w:rPr>
                <w:sz w:val="18"/>
                <w:szCs w:val="18"/>
              </w:rPr>
              <w:t>Calidad de los datos</w:t>
            </w:r>
          </w:p>
        </w:tc>
        <w:tc>
          <w:tcPr>
            <w:tcW w:w="1868" w:type="dxa"/>
            <w:shd w:val="clear" w:color="auto" w:fill="D9E2F3"/>
            <w:vAlign w:val="center"/>
          </w:tcPr>
          <w:p w14:paraId="18643B3C" w14:textId="77777777" w:rsidR="00990B14" w:rsidRDefault="00000000">
            <w:pPr>
              <w:spacing w:before="20" w:after="20"/>
              <w:jc w:val="both"/>
            </w:pPr>
            <w:r>
              <w:rPr>
                <w:sz w:val="18"/>
                <w:szCs w:val="18"/>
              </w:rPr>
              <w:t>Usa datos sin revisar su vigencia.</w:t>
            </w:r>
          </w:p>
        </w:tc>
        <w:tc>
          <w:tcPr>
            <w:tcW w:w="1910" w:type="dxa"/>
            <w:shd w:val="clear" w:color="auto" w:fill="D9E2F3"/>
            <w:vAlign w:val="center"/>
          </w:tcPr>
          <w:p w14:paraId="5841272A" w14:textId="77777777" w:rsidR="00990B14" w:rsidRDefault="00000000">
            <w:pPr>
              <w:spacing w:before="20" w:after="20"/>
              <w:jc w:val="both"/>
            </w:pPr>
            <w:r>
              <w:rPr>
                <w:sz w:val="18"/>
                <w:szCs w:val="18"/>
              </w:rPr>
              <w:t>Verifica la fuente y la vigencia de los datos.</w:t>
            </w:r>
          </w:p>
        </w:tc>
        <w:tc>
          <w:tcPr>
            <w:tcW w:w="1873" w:type="dxa"/>
            <w:shd w:val="clear" w:color="auto" w:fill="D9E2F3"/>
            <w:vAlign w:val="center"/>
          </w:tcPr>
          <w:p w14:paraId="56886334" w14:textId="77777777" w:rsidR="00990B14" w:rsidRDefault="00000000">
            <w:pPr>
              <w:spacing w:before="20" w:after="20"/>
              <w:jc w:val="both"/>
            </w:pPr>
            <w:r>
              <w:rPr>
                <w:sz w:val="18"/>
                <w:szCs w:val="18"/>
              </w:rPr>
              <w:t>Señala las limitaciones de los datos censales.</w:t>
            </w:r>
          </w:p>
        </w:tc>
      </w:tr>
      <w:tr w:rsidR="00990B14" w14:paraId="02AB1C2D" w14:textId="77777777">
        <w:trPr>
          <w:cantSplit/>
          <w:jc w:val="center"/>
        </w:trPr>
        <w:tc>
          <w:tcPr>
            <w:tcW w:w="1881" w:type="dxa"/>
            <w:vMerge/>
            <w:shd w:val="clear" w:color="auto" w:fill="4472C4"/>
            <w:vAlign w:val="center"/>
          </w:tcPr>
          <w:p w14:paraId="01C85FA0" w14:textId="77777777" w:rsidR="00990B14" w:rsidRDefault="00990B14">
            <w:pPr>
              <w:spacing w:before="20" w:after="20"/>
            </w:pPr>
          </w:p>
        </w:tc>
        <w:tc>
          <w:tcPr>
            <w:tcW w:w="1873" w:type="dxa"/>
            <w:shd w:val="clear" w:color="auto" w:fill="D9E2F3"/>
            <w:vAlign w:val="center"/>
          </w:tcPr>
          <w:p w14:paraId="7F0937CA" w14:textId="77777777" w:rsidR="00990B14" w:rsidRDefault="00000000">
            <w:pPr>
              <w:spacing w:before="20" w:after="20"/>
              <w:jc w:val="both"/>
            </w:pPr>
            <w:r>
              <w:rPr>
                <w:sz w:val="18"/>
                <w:szCs w:val="18"/>
              </w:rPr>
              <w:t>Tasas e indicadores</w:t>
            </w:r>
          </w:p>
        </w:tc>
        <w:tc>
          <w:tcPr>
            <w:tcW w:w="1868" w:type="dxa"/>
            <w:shd w:val="clear" w:color="auto" w:fill="D9E2F3"/>
            <w:vAlign w:val="center"/>
          </w:tcPr>
          <w:p w14:paraId="1FAE4935" w14:textId="77777777" w:rsidR="00990B14" w:rsidRDefault="00000000">
            <w:pPr>
              <w:spacing w:before="20" w:after="20"/>
              <w:jc w:val="both"/>
            </w:pPr>
            <w:r>
              <w:rPr>
                <w:sz w:val="18"/>
                <w:szCs w:val="18"/>
              </w:rPr>
              <w:t>Calcula mal las tasas.</w:t>
            </w:r>
          </w:p>
        </w:tc>
        <w:tc>
          <w:tcPr>
            <w:tcW w:w="1910" w:type="dxa"/>
            <w:shd w:val="clear" w:color="auto" w:fill="D9E2F3"/>
            <w:vAlign w:val="center"/>
          </w:tcPr>
          <w:p w14:paraId="7C3B345E" w14:textId="77777777" w:rsidR="00990B14" w:rsidRDefault="00000000">
            <w:pPr>
              <w:spacing w:before="20" w:after="20"/>
              <w:jc w:val="both"/>
            </w:pPr>
            <w:r>
              <w:rPr>
                <w:sz w:val="18"/>
                <w:szCs w:val="18"/>
              </w:rPr>
              <w:t>Calcula las tasas de mortalidad y fertilidad.</w:t>
            </w:r>
          </w:p>
        </w:tc>
        <w:tc>
          <w:tcPr>
            <w:tcW w:w="1873" w:type="dxa"/>
            <w:shd w:val="clear" w:color="auto" w:fill="D9E2F3"/>
            <w:vAlign w:val="center"/>
          </w:tcPr>
          <w:p w14:paraId="0654EA3F" w14:textId="77777777" w:rsidR="00990B14" w:rsidRDefault="00000000">
            <w:pPr>
              <w:spacing w:before="20" w:after="20"/>
              <w:jc w:val="both"/>
            </w:pPr>
            <w:r>
              <w:rPr>
                <w:sz w:val="18"/>
                <w:szCs w:val="18"/>
              </w:rPr>
              <w:t>Compara los indicadores entre censos.</w:t>
            </w:r>
          </w:p>
        </w:tc>
      </w:tr>
      <w:tr w:rsidR="00990B14" w14:paraId="19847093" w14:textId="77777777">
        <w:trPr>
          <w:cantSplit/>
          <w:jc w:val="center"/>
        </w:trPr>
        <w:tc>
          <w:tcPr>
            <w:tcW w:w="1881" w:type="dxa"/>
            <w:vMerge/>
            <w:shd w:val="clear" w:color="auto" w:fill="4472C4"/>
            <w:vAlign w:val="center"/>
          </w:tcPr>
          <w:p w14:paraId="7964A10B" w14:textId="77777777" w:rsidR="00990B14" w:rsidRDefault="00990B14">
            <w:pPr>
              <w:spacing w:before="20" w:after="20"/>
            </w:pPr>
          </w:p>
        </w:tc>
        <w:tc>
          <w:tcPr>
            <w:tcW w:w="1873" w:type="dxa"/>
            <w:shd w:val="clear" w:color="auto" w:fill="D9E2F3"/>
            <w:vAlign w:val="center"/>
          </w:tcPr>
          <w:p w14:paraId="248313C4" w14:textId="77777777" w:rsidR="00990B14" w:rsidRDefault="00000000">
            <w:pPr>
              <w:spacing w:before="20" w:after="20"/>
              <w:jc w:val="both"/>
            </w:pPr>
            <w:r>
              <w:rPr>
                <w:sz w:val="18"/>
                <w:szCs w:val="18"/>
              </w:rPr>
              <w:t>Proyección</w:t>
            </w:r>
          </w:p>
        </w:tc>
        <w:tc>
          <w:tcPr>
            <w:tcW w:w="1868" w:type="dxa"/>
            <w:shd w:val="clear" w:color="auto" w:fill="D9E2F3"/>
            <w:vAlign w:val="center"/>
          </w:tcPr>
          <w:p w14:paraId="539A1ED8" w14:textId="77777777" w:rsidR="00990B14" w:rsidRDefault="00000000">
            <w:pPr>
              <w:spacing w:before="20" w:after="20"/>
              <w:jc w:val="both"/>
            </w:pPr>
            <w:r>
              <w:rPr>
                <w:sz w:val="18"/>
                <w:szCs w:val="18"/>
              </w:rPr>
              <w:t>La proyección carece de método.</w:t>
            </w:r>
          </w:p>
        </w:tc>
        <w:tc>
          <w:tcPr>
            <w:tcW w:w="1910" w:type="dxa"/>
            <w:shd w:val="clear" w:color="auto" w:fill="D9E2F3"/>
            <w:vAlign w:val="center"/>
          </w:tcPr>
          <w:p w14:paraId="5A9E19BC" w14:textId="77777777" w:rsidR="00990B14" w:rsidRDefault="00000000">
            <w:pPr>
              <w:spacing w:before="20" w:after="20"/>
              <w:jc w:val="both"/>
            </w:pPr>
            <w:r>
              <w:rPr>
                <w:sz w:val="18"/>
                <w:szCs w:val="18"/>
              </w:rPr>
              <w:t>Proyecta la tendencia con un método explícito.</w:t>
            </w:r>
          </w:p>
        </w:tc>
        <w:tc>
          <w:tcPr>
            <w:tcW w:w="1873" w:type="dxa"/>
            <w:shd w:val="clear" w:color="auto" w:fill="D9E2F3"/>
            <w:vAlign w:val="center"/>
          </w:tcPr>
          <w:p w14:paraId="7E4E3642" w14:textId="77777777" w:rsidR="00990B14" w:rsidRDefault="00000000">
            <w:pPr>
              <w:spacing w:before="20" w:after="20"/>
              <w:jc w:val="both"/>
            </w:pPr>
            <w:r>
              <w:rPr>
                <w:sz w:val="18"/>
                <w:szCs w:val="18"/>
              </w:rPr>
              <w:t>Evalúa la sensibilidad de la proyección.</w:t>
            </w:r>
          </w:p>
        </w:tc>
      </w:tr>
      <w:tr w:rsidR="00990B14" w14:paraId="5CFD649D" w14:textId="77777777">
        <w:trPr>
          <w:cantSplit/>
          <w:jc w:val="center"/>
        </w:trPr>
        <w:tc>
          <w:tcPr>
            <w:tcW w:w="1881" w:type="dxa"/>
            <w:vMerge/>
            <w:shd w:val="clear" w:color="auto" w:fill="4472C4"/>
            <w:vAlign w:val="center"/>
          </w:tcPr>
          <w:p w14:paraId="08DF6EC7" w14:textId="77777777" w:rsidR="00990B14" w:rsidRDefault="00990B14">
            <w:pPr>
              <w:spacing w:before="20" w:after="20"/>
            </w:pPr>
          </w:p>
        </w:tc>
        <w:tc>
          <w:tcPr>
            <w:tcW w:w="5651" w:type="dxa"/>
            <w:gridSpan w:val="3"/>
            <w:shd w:val="clear" w:color="auto" w:fill="D9E2F3"/>
            <w:vAlign w:val="center"/>
          </w:tcPr>
          <w:p w14:paraId="7EA984AF" w14:textId="77777777" w:rsidR="00990B14" w:rsidRDefault="00000000">
            <w:pPr>
              <w:keepNext/>
              <w:spacing w:before="20" w:after="20"/>
              <w:jc w:val="both"/>
            </w:pPr>
            <w:r>
              <w:rPr>
                <w:b/>
                <w:bCs/>
                <w:i/>
                <w:iCs/>
                <w:sz w:val="18"/>
                <w:szCs w:val="18"/>
              </w:rPr>
              <w:t xml:space="preserve">Producto 4: </w:t>
            </w:r>
            <w:r>
              <w:rPr>
                <w:sz w:val="18"/>
                <w:szCs w:val="18"/>
              </w:rPr>
              <w:t>Informe de transición demográfica</w:t>
            </w:r>
          </w:p>
        </w:tc>
        <w:tc>
          <w:tcPr>
            <w:tcW w:w="1873" w:type="dxa"/>
            <w:shd w:val="clear" w:color="auto" w:fill="D9E2F3"/>
            <w:vAlign w:val="center"/>
          </w:tcPr>
          <w:p w14:paraId="485416D9" w14:textId="77777777" w:rsidR="00990B14" w:rsidRDefault="00000000">
            <w:pPr>
              <w:spacing w:before="20" w:after="20"/>
              <w:jc w:val="center"/>
            </w:pPr>
            <w:r>
              <w:rPr>
                <w:b/>
                <w:bCs/>
                <w:sz w:val="18"/>
                <w:szCs w:val="18"/>
              </w:rPr>
              <w:t>5%</w:t>
            </w:r>
          </w:p>
        </w:tc>
      </w:tr>
      <w:tr w:rsidR="00990B14" w14:paraId="49709005" w14:textId="77777777">
        <w:trPr>
          <w:cantSplit/>
          <w:jc w:val="center"/>
        </w:trPr>
        <w:tc>
          <w:tcPr>
            <w:tcW w:w="1881" w:type="dxa"/>
            <w:vMerge/>
            <w:shd w:val="clear" w:color="auto" w:fill="4472C4"/>
            <w:vAlign w:val="center"/>
          </w:tcPr>
          <w:p w14:paraId="0009B674" w14:textId="77777777" w:rsidR="00990B14" w:rsidRDefault="00990B14">
            <w:pPr>
              <w:spacing w:before="20" w:after="20"/>
            </w:pPr>
          </w:p>
        </w:tc>
        <w:tc>
          <w:tcPr>
            <w:tcW w:w="1873" w:type="dxa"/>
            <w:shd w:val="clear" w:color="auto" w:fill="4472C4"/>
            <w:vAlign w:val="center"/>
          </w:tcPr>
          <w:p w14:paraId="0FA92456" w14:textId="77777777" w:rsidR="00990B14" w:rsidRDefault="00000000">
            <w:pPr>
              <w:keepNext/>
              <w:spacing w:before="20" w:after="20"/>
              <w:jc w:val="center"/>
            </w:pPr>
            <w:r>
              <w:rPr>
                <w:b/>
                <w:bCs/>
                <w:i/>
                <w:iCs/>
                <w:color w:val="FFFFFF"/>
                <w:sz w:val="18"/>
                <w:szCs w:val="18"/>
              </w:rPr>
              <w:t>Criterio</w:t>
            </w:r>
          </w:p>
        </w:tc>
        <w:tc>
          <w:tcPr>
            <w:tcW w:w="1868" w:type="dxa"/>
            <w:shd w:val="clear" w:color="auto" w:fill="4472C4"/>
            <w:vAlign w:val="center"/>
          </w:tcPr>
          <w:p w14:paraId="66E3A074"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458F65E4" w14:textId="77777777" w:rsidR="00990B14" w:rsidRDefault="00000000">
            <w:pPr>
              <w:keepNext/>
              <w:spacing w:before="20" w:after="20"/>
              <w:jc w:val="center"/>
            </w:pPr>
            <w:r>
              <w:rPr>
                <w:b/>
                <w:bCs/>
                <w:i/>
                <w:iCs/>
                <w:color w:val="FFFFFF"/>
                <w:sz w:val="18"/>
                <w:szCs w:val="18"/>
              </w:rPr>
              <w:t>Suficiente (51–80)</w:t>
            </w:r>
          </w:p>
        </w:tc>
        <w:tc>
          <w:tcPr>
            <w:tcW w:w="1873" w:type="dxa"/>
            <w:shd w:val="clear" w:color="auto" w:fill="4472C4"/>
            <w:vAlign w:val="center"/>
          </w:tcPr>
          <w:p w14:paraId="2944A4BC" w14:textId="77777777" w:rsidR="00990B14" w:rsidRDefault="00000000">
            <w:pPr>
              <w:keepNext/>
              <w:spacing w:before="20" w:after="20"/>
              <w:jc w:val="center"/>
            </w:pPr>
            <w:r>
              <w:rPr>
                <w:b/>
                <w:bCs/>
                <w:i/>
                <w:iCs/>
                <w:color w:val="FFFFFF"/>
                <w:sz w:val="18"/>
                <w:szCs w:val="18"/>
              </w:rPr>
              <w:t>Destacado (81–100)</w:t>
            </w:r>
          </w:p>
        </w:tc>
      </w:tr>
      <w:tr w:rsidR="00990B14" w14:paraId="6BE4D138" w14:textId="77777777">
        <w:trPr>
          <w:cantSplit/>
          <w:jc w:val="center"/>
        </w:trPr>
        <w:tc>
          <w:tcPr>
            <w:tcW w:w="1881" w:type="dxa"/>
            <w:vMerge/>
            <w:shd w:val="clear" w:color="auto" w:fill="4472C4"/>
            <w:vAlign w:val="center"/>
          </w:tcPr>
          <w:p w14:paraId="7E51F3D8" w14:textId="77777777" w:rsidR="00990B14" w:rsidRDefault="00990B14">
            <w:pPr>
              <w:spacing w:before="20" w:after="20"/>
            </w:pPr>
          </w:p>
        </w:tc>
        <w:tc>
          <w:tcPr>
            <w:tcW w:w="1873" w:type="dxa"/>
            <w:shd w:val="clear" w:color="auto" w:fill="D9E2F3"/>
            <w:vAlign w:val="center"/>
          </w:tcPr>
          <w:p w14:paraId="2904921E" w14:textId="77777777" w:rsidR="00990B14" w:rsidRDefault="00000000">
            <w:pPr>
              <w:spacing w:before="20" w:after="20"/>
              <w:jc w:val="both"/>
            </w:pPr>
            <w:r>
              <w:rPr>
                <w:sz w:val="18"/>
                <w:szCs w:val="18"/>
              </w:rPr>
              <w:t>Diagnóstico</w:t>
            </w:r>
          </w:p>
        </w:tc>
        <w:tc>
          <w:tcPr>
            <w:tcW w:w="1868" w:type="dxa"/>
            <w:shd w:val="clear" w:color="auto" w:fill="D9E2F3"/>
            <w:vAlign w:val="center"/>
          </w:tcPr>
          <w:p w14:paraId="2F664B10" w14:textId="77777777" w:rsidR="00990B14" w:rsidRDefault="00000000">
            <w:pPr>
              <w:spacing w:before="20" w:after="20"/>
              <w:jc w:val="both"/>
            </w:pPr>
            <w:r>
              <w:rPr>
                <w:sz w:val="18"/>
                <w:szCs w:val="18"/>
              </w:rPr>
              <w:t>Describe la transición sin datos.</w:t>
            </w:r>
          </w:p>
        </w:tc>
        <w:tc>
          <w:tcPr>
            <w:tcW w:w="1910" w:type="dxa"/>
            <w:shd w:val="clear" w:color="auto" w:fill="D9E2F3"/>
            <w:vAlign w:val="center"/>
          </w:tcPr>
          <w:p w14:paraId="025A6734" w14:textId="77777777" w:rsidR="00990B14" w:rsidRDefault="00000000">
            <w:pPr>
              <w:spacing w:before="20" w:after="20"/>
              <w:jc w:val="both"/>
            </w:pPr>
            <w:r>
              <w:rPr>
                <w:sz w:val="18"/>
                <w:szCs w:val="18"/>
              </w:rPr>
              <w:t>Describe la transición con datos oficiales.</w:t>
            </w:r>
          </w:p>
        </w:tc>
        <w:tc>
          <w:tcPr>
            <w:tcW w:w="1873" w:type="dxa"/>
            <w:shd w:val="clear" w:color="auto" w:fill="D9E2F3"/>
            <w:vAlign w:val="center"/>
          </w:tcPr>
          <w:p w14:paraId="6135E6D1" w14:textId="77777777" w:rsidR="00990B14" w:rsidRDefault="00000000">
            <w:pPr>
              <w:spacing w:before="20" w:after="20"/>
              <w:jc w:val="both"/>
            </w:pPr>
            <w:r>
              <w:rPr>
                <w:sz w:val="18"/>
                <w:szCs w:val="18"/>
              </w:rPr>
              <w:t>Identifica la etapa del bono demográfico.</w:t>
            </w:r>
          </w:p>
        </w:tc>
      </w:tr>
      <w:tr w:rsidR="00990B14" w14:paraId="1B2F47C0" w14:textId="77777777">
        <w:trPr>
          <w:cantSplit/>
          <w:jc w:val="center"/>
        </w:trPr>
        <w:tc>
          <w:tcPr>
            <w:tcW w:w="1881" w:type="dxa"/>
            <w:vMerge/>
            <w:shd w:val="clear" w:color="auto" w:fill="4472C4"/>
            <w:vAlign w:val="center"/>
          </w:tcPr>
          <w:p w14:paraId="443B3466" w14:textId="77777777" w:rsidR="00990B14" w:rsidRDefault="00990B14">
            <w:pPr>
              <w:spacing w:before="20" w:after="20"/>
            </w:pPr>
          </w:p>
        </w:tc>
        <w:tc>
          <w:tcPr>
            <w:tcW w:w="1873" w:type="dxa"/>
            <w:shd w:val="clear" w:color="auto" w:fill="D9E2F3"/>
            <w:vAlign w:val="center"/>
          </w:tcPr>
          <w:p w14:paraId="2E560BFE" w14:textId="77777777" w:rsidR="00990B14" w:rsidRDefault="00000000">
            <w:pPr>
              <w:spacing w:before="20" w:after="20"/>
              <w:jc w:val="both"/>
            </w:pPr>
            <w:r>
              <w:rPr>
                <w:sz w:val="18"/>
                <w:szCs w:val="18"/>
              </w:rPr>
              <w:t>Efecto en los riesgos</w:t>
            </w:r>
          </w:p>
        </w:tc>
        <w:tc>
          <w:tcPr>
            <w:tcW w:w="1868" w:type="dxa"/>
            <w:shd w:val="clear" w:color="auto" w:fill="D9E2F3"/>
            <w:vAlign w:val="center"/>
          </w:tcPr>
          <w:p w14:paraId="3616C812" w14:textId="77777777" w:rsidR="00990B14" w:rsidRDefault="00000000">
            <w:pPr>
              <w:spacing w:before="20" w:after="20"/>
              <w:jc w:val="both"/>
            </w:pPr>
            <w:r>
              <w:rPr>
                <w:sz w:val="18"/>
                <w:szCs w:val="18"/>
              </w:rPr>
              <w:t>No relaciona la transición con los riesgos.</w:t>
            </w:r>
          </w:p>
        </w:tc>
        <w:tc>
          <w:tcPr>
            <w:tcW w:w="1910" w:type="dxa"/>
            <w:shd w:val="clear" w:color="auto" w:fill="D9E2F3"/>
            <w:vAlign w:val="center"/>
          </w:tcPr>
          <w:p w14:paraId="2306283E" w14:textId="77777777" w:rsidR="00990B14" w:rsidRDefault="00000000">
            <w:pPr>
              <w:spacing w:before="20" w:after="20"/>
              <w:jc w:val="both"/>
            </w:pPr>
            <w:r>
              <w:rPr>
                <w:sz w:val="18"/>
                <w:szCs w:val="18"/>
              </w:rPr>
              <w:t>Explica el efecto en la mortalidad y la longevidad.</w:t>
            </w:r>
          </w:p>
        </w:tc>
        <w:tc>
          <w:tcPr>
            <w:tcW w:w="1873" w:type="dxa"/>
            <w:shd w:val="clear" w:color="auto" w:fill="D9E2F3"/>
            <w:vAlign w:val="center"/>
          </w:tcPr>
          <w:p w14:paraId="3E4293DD" w14:textId="77777777" w:rsidR="00990B14" w:rsidRDefault="00000000">
            <w:pPr>
              <w:spacing w:before="20" w:after="20"/>
              <w:jc w:val="both"/>
            </w:pPr>
            <w:r>
              <w:rPr>
                <w:sz w:val="18"/>
                <w:szCs w:val="18"/>
              </w:rPr>
              <w:t>Evalúa el efecto en el financiamiento de la seguridad social.</w:t>
            </w:r>
          </w:p>
        </w:tc>
      </w:tr>
      <w:tr w:rsidR="00990B14" w14:paraId="3E5F7262" w14:textId="77777777">
        <w:trPr>
          <w:cantSplit/>
          <w:jc w:val="center"/>
        </w:trPr>
        <w:tc>
          <w:tcPr>
            <w:tcW w:w="1881" w:type="dxa"/>
            <w:vMerge/>
            <w:shd w:val="clear" w:color="auto" w:fill="4472C4"/>
            <w:vAlign w:val="center"/>
          </w:tcPr>
          <w:p w14:paraId="7FE048A5" w14:textId="77777777" w:rsidR="00990B14" w:rsidRDefault="00990B14">
            <w:pPr>
              <w:spacing w:before="20" w:after="20"/>
            </w:pPr>
          </w:p>
        </w:tc>
        <w:tc>
          <w:tcPr>
            <w:tcW w:w="1873" w:type="dxa"/>
            <w:shd w:val="clear" w:color="auto" w:fill="D9E2F3"/>
            <w:vAlign w:val="center"/>
          </w:tcPr>
          <w:p w14:paraId="5A4FCF1C" w14:textId="77777777" w:rsidR="00990B14" w:rsidRDefault="00000000">
            <w:pPr>
              <w:spacing w:before="20" w:after="20"/>
              <w:jc w:val="both"/>
            </w:pPr>
            <w:r>
              <w:rPr>
                <w:sz w:val="18"/>
                <w:szCs w:val="18"/>
              </w:rPr>
              <w:t>Exposición</w:t>
            </w:r>
          </w:p>
        </w:tc>
        <w:tc>
          <w:tcPr>
            <w:tcW w:w="1868" w:type="dxa"/>
            <w:shd w:val="clear" w:color="auto" w:fill="D9E2F3"/>
            <w:vAlign w:val="center"/>
          </w:tcPr>
          <w:p w14:paraId="42C95809" w14:textId="77777777" w:rsidR="00990B14" w:rsidRDefault="00000000">
            <w:pPr>
              <w:spacing w:before="20" w:after="20"/>
              <w:jc w:val="both"/>
            </w:pPr>
            <w:r>
              <w:rPr>
                <w:sz w:val="18"/>
                <w:szCs w:val="18"/>
              </w:rPr>
              <w:t>La exposición es confusa.</w:t>
            </w:r>
          </w:p>
        </w:tc>
        <w:tc>
          <w:tcPr>
            <w:tcW w:w="1910" w:type="dxa"/>
            <w:shd w:val="clear" w:color="auto" w:fill="D9E2F3"/>
            <w:vAlign w:val="center"/>
          </w:tcPr>
          <w:p w14:paraId="41433C91" w14:textId="77777777" w:rsidR="00990B14" w:rsidRDefault="00000000">
            <w:pPr>
              <w:spacing w:before="20" w:after="20"/>
              <w:jc w:val="both"/>
            </w:pPr>
            <w:r>
              <w:rPr>
                <w:sz w:val="18"/>
                <w:szCs w:val="18"/>
              </w:rPr>
              <w:t>Expone con claridad y con terminología actuarial.</w:t>
            </w:r>
          </w:p>
        </w:tc>
        <w:tc>
          <w:tcPr>
            <w:tcW w:w="1873" w:type="dxa"/>
            <w:shd w:val="clear" w:color="auto" w:fill="D9E2F3"/>
            <w:vAlign w:val="center"/>
          </w:tcPr>
          <w:p w14:paraId="4B7764B6" w14:textId="77777777" w:rsidR="00990B14" w:rsidRDefault="00000000">
            <w:pPr>
              <w:spacing w:before="20" w:after="20"/>
              <w:jc w:val="both"/>
            </w:pPr>
            <w:r>
              <w:rPr>
                <w:sz w:val="18"/>
                <w:szCs w:val="18"/>
              </w:rPr>
              <w:t>Responde con solvencia las preguntas del curso.</w:t>
            </w:r>
          </w:p>
        </w:tc>
      </w:tr>
      <w:tr w:rsidR="00990B14" w14:paraId="59D7E1F8" w14:textId="77777777">
        <w:trPr>
          <w:cantSplit/>
          <w:jc w:val="center"/>
        </w:trPr>
        <w:tc>
          <w:tcPr>
            <w:tcW w:w="1881" w:type="dxa"/>
            <w:vMerge/>
            <w:shd w:val="clear" w:color="auto" w:fill="4472C4"/>
            <w:vAlign w:val="center"/>
          </w:tcPr>
          <w:p w14:paraId="6EB3F264" w14:textId="77777777" w:rsidR="00990B14" w:rsidRDefault="00990B14">
            <w:pPr>
              <w:spacing w:before="20" w:after="20"/>
            </w:pPr>
          </w:p>
        </w:tc>
        <w:tc>
          <w:tcPr>
            <w:tcW w:w="5651" w:type="dxa"/>
            <w:gridSpan w:val="3"/>
            <w:shd w:val="clear" w:color="auto" w:fill="D9E2F3"/>
            <w:vAlign w:val="center"/>
          </w:tcPr>
          <w:p w14:paraId="0866C989" w14:textId="77777777" w:rsidR="00990B14" w:rsidRDefault="00000000">
            <w:pPr>
              <w:keepNext/>
              <w:spacing w:before="20" w:after="20"/>
              <w:jc w:val="both"/>
            </w:pPr>
            <w:r>
              <w:rPr>
                <w:b/>
                <w:bCs/>
                <w:i/>
                <w:iCs/>
                <w:sz w:val="18"/>
                <w:szCs w:val="18"/>
              </w:rPr>
              <w:t xml:space="preserve">Producto 5: </w:t>
            </w:r>
            <w:r>
              <w:rPr>
                <w:sz w:val="18"/>
                <w:szCs w:val="18"/>
              </w:rPr>
              <w:t>Cálculo de funciones biométricas</w:t>
            </w:r>
          </w:p>
        </w:tc>
        <w:tc>
          <w:tcPr>
            <w:tcW w:w="1873" w:type="dxa"/>
            <w:shd w:val="clear" w:color="auto" w:fill="D9E2F3"/>
            <w:vAlign w:val="center"/>
          </w:tcPr>
          <w:p w14:paraId="6A4E5320" w14:textId="77777777" w:rsidR="00990B14" w:rsidRDefault="00000000">
            <w:pPr>
              <w:spacing w:before="20" w:after="20"/>
              <w:jc w:val="center"/>
            </w:pPr>
            <w:r>
              <w:rPr>
                <w:b/>
                <w:bCs/>
                <w:sz w:val="18"/>
                <w:szCs w:val="18"/>
              </w:rPr>
              <w:t>5%</w:t>
            </w:r>
          </w:p>
        </w:tc>
      </w:tr>
      <w:tr w:rsidR="00990B14" w14:paraId="5222DBF0" w14:textId="77777777">
        <w:trPr>
          <w:cantSplit/>
          <w:jc w:val="center"/>
        </w:trPr>
        <w:tc>
          <w:tcPr>
            <w:tcW w:w="1881" w:type="dxa"/>
            <w:vMerge/>
            <w:shd w:val="clear" w:color="auto" w:fill="4472C4"/>
            <w:vAlign w:val="center"/>
          </w:tcPr>
          <w:p w14:paraId="4A04BDC9" w14:textId="77777777" w:rsidR="00990B14" w:rsidRDefault="00990B14">
            <w:pPr>
              <w:spacing w:before="20" w:after="20"/>
            </w:pPr>
          </w:p>
        </w:tc>
        <w:tc>
          <w:tcPr>
            <w:tcW w:w="1873" w:type="dxa"/>
            <w:shd w:val="clear" w:color="auto" w:fill="4472C4"/>
            <w:vAlign w:val="center"/>
          </w:tcPr>
          <w:p w14:paraId="32F1A7EE" w14:textId="77777777" w:rsidR="00990B14" w:rsidRDefault="00000000">
            <w:pPr>
              <w:keepNext/>
              <w:spacing w:before="20" w:after="20"/>
              <w:jc w:val="center"/>
            </w:pPr>
            <w:r>
              <w:rPr>
                <w:b/>
                <w:bCs/>
                <w:i/>
                <w:iCs/>
                <w:color w:val="FFFFFF"/>
                <w:sz w:val="18"/>
                <w:szCs w:val="18"/>
              </w:rPr>
              <w:t>Criterio</w:t>
            </w:r>
          </w:p>
        </w:tc>
        <w:tc>
          <w:tcPr>
            <w:tcW w:w="1868" w:type="dxa"/>
            <w:shd w:val="clear" w:color="auto" w:fill="4472C4"/>
            <w:vAlign w:val="center"/>
          </w:tcPr>
          <w:p w14:paraId="7BC41C1D"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2D778FC1" w14:textId="77777777" w:rsidR="00990B14" w:rsidRDefault="00000000">
            <w:pPr>
              <w:keepNext/>
              <w:spacing w:before="20" w:after="20"/>
              <w:jc w:val="center"/>
            </w:pPr>
            <w:r>
              <w:rPr>
                <w:b/>
                <w:bCs/>
                <w:i/>
                <w:iCs/>
                <w:color w:val="FFFFFF"/>
                <w:sz w:val="18"/>
                <w:szCs w:val="18"/>
              </w:rPr>
              <w:t>Suficiente (51–80)</w:t>
            </w:r>
          </w:p>
        </w:tc>
        <w:tc>
          <w:tcPr>
            <w:tcW w:w="1873" w:type="dxa"/>
            <w:shd w:val="clear" w:color="auto" w:fill="4472C4"/>
            <w:vAlign w:val="center"/>
          </w:tcPr>
          <w:p w14:paraId="5ED2A578" w14:textId="77777777" w:rsidR="00990B14" w:rsidRDefault="00000000">
            <w:pPr>
              <w:keepNext/>
              <w:spacing w:before="20" w:after="20"/>
              <w:jc w:val="center"/>
            </w:pPr>
            <w:r>
              <w:rPr>
                <w:b/>
                <w:bCs/>
                <w:i/>
                <w:iCs/>
                <w:color w:val="FFFFFF"/>
                <w:sz w:val="18"/>
                <w:szCs w:val="18"/>
              </w:rPr>
              <w:t>Destacado (81–100)</w:t>
            </w:r>
          </w:p>
        </w:tc>
      </w:tr>
      <w:tr w:rsidR="00990B14" w14:paraId="7A610569" w14:textId="77777777">
        <w:trPr>
          <w:cantSplit/>
          <w:jc w:val="center"/>
        </w:trPr>
        <w:tc>
          <w:tcPr>
            <w:tcW w:w="1881" w:type="dxa"/>
            <w:vMerge/>
            <w:shd w:val="clear" w:color="auto" w:fill="4472C4"/>
            <w:vAlign w:val="center"/>
          </w:tcPr>
          <w:p w14:paraId="1E5C5CE2" w14:textId="77777777" w:rsidR="00990B14" w:rsidRDefault="00990B14">
            <w:pPr>
              <w:spacing w:before="20" w:after="20"/>
            </w:pPr>
          </w:p>
        </w:tc>
        <w:tc>
          <w:tcPr>
            <w:tcW w:w="1873" w:type="dxa"/>
            <w:shd w:val="clear" w:color="auto" w:fill="D9E2F3"/>
            <w:vAlign w:val="center"/>
          </w:tcPr>
          <w:p w14:paraId="586403A5" w14:textId="77777777" w:rsidR="00990B14" w:rsidRDefault="00000000">
            <w:pPr>
              <w:spacing w:before="20" w:after="20"/>
              <w:jc w:val="both"/>
            </w:pPr>
            <w:r>
              <w:rPr>
                <w:sz w:val="18"/>
                <w:szCs w:val="18"/>
              </w:rPr>
              <w:t>Probabilidades</w:t>
            </w:r>
          </w:p>
        </w:tc>
        <w:tc>
          <w:tcPr>
            <w:tcW w:w="1868" w:type="dxa"/>
            <w:shd w:val="clear" w:color="auto" w:fill="D9E2F3"/>
            <w:vAlign w:val="center"/>
          </w:tcPr>
          <w:p w14:paraId="0FECBDF7" w14:textId="77777777" w:rsidR="00990B14" w:rsidRDefault="00000000">
            <w:pPr>
              <w:spacing w:before="20" w:after="20"/>
              <w:jc w:val="both"/>
            </w:pPr>
            <w:r>
              <w:rPr>
                <w:sz w:val="18"/>
                <w:szCs w:val="18"/>
              </w:rPr>
              <w:t>Confunde las probabilidades simples y diferidas.</w:t>
            </w:r>
          </w:p>
        </w:tc>
        <w:tc>
          <w:tcPr>
            <w:tcW w:w="1910" w:type="dxa"/>
            <w:shd w:val="clear" w:color="auto" w:fill="D9E2F3"/>
            <w:vAlign w:val="center"/>
          </w:tcPr>
          <w:p w14:paraId="08406B39" w14:textId="77777777" w:rsidR="00990B14" w:rsidRDefault="00000000">
            <w:pPr>
              <w:spacing w:before="20" w:after="20"/>
              <w:jc w:val="both"/>
            </w:pPr>
            <w:r>
              <w:rPr>
                <w:sz w:val="18"/>
                <w:szCs w:val="18"/>
              </w:rPr>
              <w:t>Calcula las probabilidades de vida y de muerte.</w:t>
            </w:r>
          </w:p>
        </w:tc>
        <w:tc>
          <w:tcPr>
            <w:tcW w:w="1873" w:type="dxa"/>
            <w:shd w:val="clear" w:color="auto" w:fill="D9E2F3"/>
            <w:vAlign w:val="center"/>
          </w:tcPr>
          <w:p w14:paraId="2A5E2FEB" w14:textId="77777777" w:rsidR="00990B14" w:rsidRDefault="00000000">
            <w:pPr>
              <w:spacing w:before="20" w:after="20"/>
              <w:jc w:val="both"/>
            </w:pPr>
            <w:r>
              <w:rPr>
                <w:sz w:val="18"/>
                <w:szCs w:val="18"/>
              </w:rPr>
              <w:t>Verifica la coherencia entre las probabilidades.</w:t>
            </w:r>
          </w:p>
        </w:tc>
      </w:tr>
      <w:tr w:rsidR="00990B14" w14:paraId="5466199C" w14:textId="77777777">
        <w:trPr>
          <w:cantSplit/>
          <w:jc w:val="center"/>
        </w:trPr>
        <w:tc>
          <w:tcPr>
            <w:tcW w:w="1881" w:type="dxa"/>
            <w:vMerge/>
            <w:shd w:val="clear" w:color="auto" w:fill="4472C4"/>
            <w:vAlign w:val="center"/>
          </w:tcPr>
          <w:p w14:paraId="77199270" w14:textId="77777777" w:rsidR="00990B14" w:rsidRDefault="00990B14">
            <w:pPr>
              <w:spacing w:before="20" w:after="20"/>
            </w:pPr>
          </w:p>
        </w:tc>
        <w:tc>
          <w:tcPr>
            <w:tcW w:w="1873" w:type="dxa"/>
            <w:shd w:val="clear" w:color="auto" w:fill="D9E2F3"/>
            <w:vAlign w:val="center"/>
          </w:tcPr>
          <w:p w14:paraId="2B13D849" w14:textId="77777777" w:rsidR="00990B14" w:rsidRDefault="00000000">
            <w:pPr>
              <w:spacing w:before="20" w:after="20"/>
              <w:jc w:val="both"/>
            </w:pPr>
            <w:r>
              <w:rPr>
                <w:sz w:val="18"/>
                <w:szCs w:val="18"/>
              </w:rPr>
              <w:t>Esperanza de vida</w:t>
            </w:r>
          </w:p>
        </w:tc>
        <w:tc>
          <w:tcPr>
            <w:tcW w:w="1868" w:type="dxa"/>
            <w:shd w:val="clear" w:color="auto" w:fill="D9E2F3"/>
            <w:vAlign w:val="center"/>
          </w:tcPr>
          <w:p w14:paraId="335D3D44" w14:textId="77777777" w:rsidR="00990B14" w:rsidRDefault="00000000">
            <w:pPr>
              <w:spacing w:before="20" w:after="20"/>
              <w:jc w:val="both"/>
            </w:pPr>
            <w:r>
              <w:rPr>
                <w:sz w:val="18"/>
                <w:szCs w:val="18"/>
              </w:rPr>
              <w:t>Calcula mal la vida media o la vida probable.</w:t>
            </w:r>
          </w:p>
        </w:tc>
        <w:tc>
          <w:tcPr>
            <w:tcW w:w="1910" w:type="dxa"/>
            <w:shd w:val="clear" w:color="auto" w:fill="D9E2F3"/>
            <w:vAlign w:val="center"/>
          </w:tcPr>
          <w:p w14:paraId="1B041DE4" w14:textId="77777777" w:rsidR="00990B14" w:rsidRDefault="00000000">
            <w:pPr>
              <w:spacing w:before="20" w:after="20"/>
              <w:jc w:val="both"/>
            </w:pPr>
            <w:r>
              <w:rPr>
                <w:sz w:val="18"/>
                <w:szCs w:val="18"/>
              </w:rPr>
              <w:t>Calcula la vida media y la vida probable.</w:t>
            </w:r>
          </w:p>
        </w:tc>
        <w:tc>
          <w:tcPr>
            <w:tcW w:w="1873" w:type="dxa"/>
            <w:shd w:val="clear" w:color="auto" w:fill="D9E2F3"/>
            <w:vAlign w:val="center"/>
          </w:tcPr>
          <w:p w14:paraId="07FB728C" w14:textId="77777777" w:rsidR="00990B14" w:rsidRDefault="00000000">
            <w:pPr>
              <w:spacing w:before="20" w:after="20"/>
              <w:jc w:val="both"/>
            </w:pPr>
            <w:r>
              <w:rPr>
                <w:sz w:val="18"/>
                <w:szCs w:val="18"/>
              </w:rPr>
              <w:t>Interpreta las diferencias entre ambas medidas.</w:t>
            </w:r>
          </w:p>
        </w:tc>
      </w:tr>
      <w:tr w:rsidR="00990B14" w14:paraId="3D38ABAD" w14:textId="77777777">
        <w:trPr>
          <w:cantSplit/>
          <w:jc w:val="center"/>
        </w:trPr>
        <w:tc>
          <w:tcPr>
            <w:tcW w:w="1881" w:type="dxa"/>
            <w:vMerge/>
            <w:shd w:val="clear" w:color="auto" w:fill="4472C4"/>
            <w:vAlign w:val="center"/>
          </w:tcPr>
          <w:p w14:paraId="6BF14AB7" w14:textId="77777777" w:rsidR="00990B14" w:rsidRDefault="00990B14">
            <w:pPr>
              <w:spacing w:before="20" w:after="20"/>
            </w:pPr>
          </w:p>
        </w:tc>
        <w:tc>
          <w:tcPr>
            <w:tcW w:w="1873" w:type="dxa"/>
            <w:shd w:val="clear" w:color="auto" w:fill="D9E2F3"/>
            <w:vAlign w:val="center"/>
          </w:tcPr>
          <w:p w14:paraId="22CC2E8A" w14:textId="77777777" w:rsidR="00990B14" w:rsidRDefault="00000000">
            <w:pPr>
              <w:spacing w:before="20" w:after="20"/>
              <w:jc w:val="both"/>
            </w:pPr>
            <w:r>
              <w:rPr>
                <w:sz w:val="18"/>
                <w:szCs w:val="18"/>
              </w:rPr>
              <w:t>Uso de la hoja de cálculo</w:t>
            </w:r>
          </w:p>
        </w:tc>
        <w:tc>
          <w:tcPr>
            <w:tcW w:w="1868" w:type="dxa"/>
            <w:shd w:val="clear" w:color="auto" w:fill="D9E2F3"/>
            <w:vAlign w:val="center"/>
          </w:tcPr>
          <w:p w14:paraId="0E2238E1" w14:textId="77777777" w:rsidR="00990B14" w:rsidRDefault="00000000">
            <w:pPr>
              <w:spacing w:before="20" w:after="20"/>
              <w:jc w:val="both"/>
            </w:pPr>
            <w:r>
              <w:rPr>
                <w:sz w:val="18"/>
                <w:szCs w:val="18"/>
              </w:rPr>
              <w:t>Las fórmulas tienen errores de referencia.</w:t>
            </w:r>
          </w:p>
        </w:tc>
        <w:tc>
          <w:tcPr>
            <w:tcW w:w="1910" w:type="dxa"/>
            <w:shd w:val="clear" w:color="auto" w:fill="D9E2F3"/>
            <w:vAlign w:val="center"/>
          </w:tcPr>
          <w:p w14:paraId="51ECD3EC" w14:textId="77777777" w:rsidR="00990B14" w:rsidRDefault="00000000">
            <w:pPr>
              <w:spacing w:before="20" w:after="20"/>
              <w:jc w:val="both"/>
            </w:pPr>
            <w:r>
              <w:rPr>
                <w:sz w:val="18"/>
                <w:szCs w:val="18"/>
              </w:rPr>
              <w:t>Las fórmulas son correctas y trazables.</w:t>
            </w:r>
          </w:p>
        </w:tc>
        <w:tc>
          <w:tcPr>
            <w:tcW w:w="1873" w:type="dxa"/>
            <w:shd w:val="clear" w:color="auto" w:fill="D9E2F3"/>
            <w:vAlign w:val="center"/>
          </w:tcPr>
          <w:p w14:paraId="058AE9D1" w14:textId="77777777" w:rsidR="00990B14" w:rsidRDefault="00000000">
            <w:pPr>
              <w:spacing w:before="20" w:after="20"/>
              <w:jc w:val="both"/>
            </w:pPr>
            <w:r>
              <w:rPr>
                <w:sz w:val="18"/>
                <w:szCs w:val="18"/>
              </w:rPr>
              <w:t>Automatiza el cálculo para cualquier edad.</w:t>
            </w:r>
          </w:p>
        </w:tc>
      </w:tr>
      <w:tr w:rsidR="00990B14" w14:paraId="01352B11" w14:textId="77777777">
        <w:trPr>
          <w:cantSplit/>
          <w:jc w:val="center"/>
        </w:trPr>
        <w:tc>
          <w:tcPr>
            <w:tcW w:w="1881" w:type="dxa"/>
            <w:vMerge/>
            <w:shd w:val="clear" w:color="auto" w:fill="4472C4"/>
            <w:vAlign w:val="center"/>
          </w:tcPr>
          <w:p w14:paraId="421EE0E4" w14:textId="77777777" w:rsidR="00990B14" w:rsidRDefault="00990B14">
            <w:pPr>
              <w:spacing w:before="20" w:after="20"/>
            </w:pPr>
          </w:p>
        </w:tc>
        <w:tc>
          <w:tcPr>
            <w:tcW w:w="5651" w:type="dxa"/>
            <w:gridSpan w:val="3"/>
            <w:shd w:val="clear" w:color="auto" w:fill="D9E2F3"/>
            <w:vAlign w:val="center"/>
          </w:tcPr>
          <w:p w14:paraId="35A66AE3" w14:textId="77777777" w:rsidR="00990B14" w:rsidRDefault="00000000">
            <w:pPr>
              <w:keepNext/>
              <w:spacing w:before="20" w:after="20"/>
              <w:jc w:val="both"/>
            </w:pPr>
            <w:r>
              <w:rPr>
                <w:b/>
                <w:bCs/>
                <w:i/>
                <w:iCs/>
                <w:sz w:val="18"/>
                <w:szCs w:val="18"/>
              </w:rPr>
              <w:t xml:space="preserve">Producto 6: </w:t>
            </w:r>
            <w:r>
              <w:rPr>
                <w:sz w:val="18"/>
                <w:szCs w:val="18"/>
              </w:rPr>
              <w:t>Tabla de supervivencia y conmutación</w:t>
            </w:r>
          </w:p>
        </w:tc>
        <w:tc>
          <w:tcPr>
            <w:tcW w:w="1873" w:type="dxa"/>
            <w:shd w:val="clear" w:color="auto" w:fill="D9E2F3"/>
            <w:vAlign w:val="center"/>
          </w:tcPr>
          <w:p w14:paraId="4C5F5B0F" w14:textId="77777777" w:rsidR="00990B14" w:rsidRDefault="00000000">
            <w:pPr>
              <w:spacing w:before="20" w:after="20"/>
              <w:jc w:val="center"/>
            </w:pPr>
            <w:r>
              <w:rPr>
                <w:b/>
                <w:bCs/>
                <w:sz w:val="18"/>
                <w:szCs w:val="18"/>
              </w:rPr>
              <w:t>5%</w:t>
            </w:r>
          </w:p>
        </w:tc>
      </w:tr>
      <w:tr w:rsidR="00990B14" w14:paraId="1560864F" w14:textId="77777777">
        <w:trPr>
          <w:cantSplit/>
          <w:jc w:val="center"/>
        </w:trPr>
        <w:tc>
          <w:tcPr>
            <w:tcW w:w="1881" w:type="dxa"/>
            <w:vMerge/>
            <w:shd w:val="clear" w:color="auto" w:fill="4472C4"/>
            <w:vAlign w:val="center"/>
          </w:tcPr>
          <w:p w14:paraId="6FC1CBC4" w14:textId="77777777" w:rsidR="00990B14" w:rsidRDefault="00990B14">
            <w:pPr>
              <w:spacing w:before="20" w:after="20"/>
            </w:pPr>
          </w:p>
        </w:tc>
        <w:tc>
          <w:tcPr>
            <w:tcW w:w="1873" w:type="dxa"/>
            <w:shd w:val="clear" w:color="auto" w:fill="4472C4"/>
            <w:vAlign w:val="center"/>
          </w:tcPr>
          <w:p w14:paraId="78B31EEE" w14:textId="77777777" w:rsidR="00990B14" w:rsidRDefault="00000000">
            <w:pPr>
              <w:keepNext/>
              <w:spacing w:before="20" w:after="20"/>
              <w:jc w:val="center"/>
            </w:pPr>
            <w:r>
              <w:rPr>
                <w:b/>
                <w:bCs/>
                <w:i/>
                <w:iCs/>
                <w:color w:val="FFFFFF"/>
                <w:sz w:val="18"/>
                <w:szCs w:val="18"/>
              </w:rPr>
              <w:t>Criterio</w:t>
            </w:r>
          </w:p>
        </w:tc>
        <w:tc>
          <w:tcPr>
            <w:tcW w:w="1868" w:type="dxa"/>
            <w:shd w:val="clear" w:color="auto" w:fill="4472C4"/>
            <w:vAlign w:val="center"/>
          </w:tcPr>
          <w:p w14:paraId="0AB67817"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1529C5ED" w14:textId="77777777" w:rsidR="00990B14" w:rsidRDefault="00000000">
            <w:pPr>
              <w:keepNext/>
              <w:spacing w:before="20" w:after="20"/>
              <w:jc w:val="center"/>
            </w:pPr>
            <w:r>
              <w:rPr>
                <w:b/>
                <w:bCs/>
                <w:i/>
                <w:iCs/>
                <w:color w:val="FFFFFF"/>
                <w:sz w:val="18"/>
                <w:szCs w:val="18"/>
              </w:rPr>
              <w:t>Suficiente (51–80)</w:t>
            </w:r>
          </w:p>
        </w:tc>
        <w:tc>
          <w:tcPr>
            <w:tcW w:w="1873" w:type="dxa"/>
            <w:shd w:val="clear" w:color="auto" w:fill="4472C4"/>
            <w:vAlign w:val="center"/>
          </w:tcPr>
          <w:p w14:paraId="7E9AD814" w14:textId="77777777" w:rsidR="00990B14" w:rsidRDefault="00000000">
            <w:pPr>
              <w:keepNext/>
              <w:spacing w:before="20" w:after="20"/>
              <w:jc w:val="center"/>
            </w:pPr>
            <w:r>
              <w:rPr>
                <w:b/>
                <w:bCs/>
                <w:i/>
                <w:iCs/>
                <w:color w:val="FFFFFF"/>
                <w:sz w:val="18"/>
                <w:szCs w:val="18"/>
              </w:rPr>
              <w:t>Destacado (81–100)</w:t>
            </w:r>
          </w:p>
        </w:tc>
      </w:tr>
      <w:tr w:rsidR="00990B14" w14:paraId="4F1B1487" w14:textId="77777777">
        <w:trPr>
          <w:cantSplit/>
          <w:jc w:val="center"/>
        </w:trPr>
        <w:tc>
          <w:tcPr>
            <w:tcW w:w="1881" w:type="dxa"/>
            <w:vMerge/>
            <w:shd w:val="clear" w:color="auto" w:fill="4472C4"/>
            <w:vAlign w:val="center"/>
          </w:tcPr>
          <w:p w14:paraId="330D2EBC" w14:textId="77777777" w:rsidR="00990B14" w:rsidRDefault="00990B14">
            <w:pPr>
              <w:spacing w:before="20" w:after="20"/>
            </w:pPr>
          </w:p>
        </w:tc>
        <w:tc>
          <w:tcPr>
            <w:tcW w:w="1873" w:type="dxa"/>
            <w:shd w:val="clear" w:color="auto" w:fill="D9E2F3"/>
            <w:vAlign w:val="center"/>
          </w:tcPr>
          <w:p w14:paraId="1BC6B851" w14:textId="77777777" w:rsidR="00990B14" w:rsidRDefault="00000000">
            <w:pPr>
              <w:spacing w:before="20" w:after="20"/>
              <w:jc w:val="both"/>
            </w:pPr>
            <w:r>
              <w:rPr>
                <w:sz w:val="18"/>
                <w:szCs w:val="18"/>
              </w:rPr>
              <w:t>Ajuste de la tabla</w:t>
            </w:r>
          </w:p>
        </w:tc>
        <w:tc>
          <w:tcPr>
            <w:tcW w:w="1868" w:type="dxa"/>
            <w:shd w:val="clear" w:color="auto" w:fill="D9E2F3"/>
            <w:vAlign w:val="center"/>
          </w:tcPr>
          <w:p w14:paraId="3199C2FC" w14:textId="77777777" w:rsidR="00990B14" w:rsidRDefault="00000000">
            <w:pPr>
              <w:spacing w:before="20" w:after="20"/>
              <w:jc w:val="both"/>
            </w:pPr>
            <w:r>
              <w:rPr>
                <w:sz w:val="18"/>
                <w:szCs w:val="18"/>
              </w:rPr>
              <w:t>No ajusta los datos brutos.</w:t>
            </w:r>
          </w:p>
        </w:tc>
        <w:tc>
          <w:tcPr>
            <w:tcW w:w="1910" w:type="dxa"/>
            <w:shd w:val="clear" w:color="auto" w:fill="D9E2F3"/>
            <w:vAlign w:val="center"/>
          </w:tcPr>
          <w:p w14:paraId="72DA02ED" w14:textId="77777777" w:rsidR="00990B14" w:rsidRDefault="00000000">
            <w:pPr>
              <w:spacing w:before="20" w:after="20"/>
              <w:jc w:val="both"/>
            </w:pPr>
            <w:r>
              <w:rPr>
                <w:sz w:val="18"/>
                <w:szCs w:val="18"/>
              </w:rPr>
              <w:t>Ajusta la tabla con un método explícito.</w:t>
            </w:r>
          </w:p>
        </w:tc>
        <w:tc>
          <w:tcPr>
            <w:tcW w:w="1873" w:type="dxa"/>
            <w:shd w:val="clear" w:color="auto" w:fill="D9E2F3"/>
            <w:vAlign w:val="center"/>
          </w:tcPr>
          <w:p w14:paraId="30AF45F2" w14:textId="77777777" w:rsidR="00990B14" w:rsidRDefault="00000000">
            <w:pPr>
              <w:spacing w:before="20" w:after="20"/>
              <w:jc w:val="both"/>
            </w:pPr>
            <w:r>
              <w:rPr>
                <w:sz w:val="18"/>
                <w:szCs w:val="18"/>
              </w:rPr>
              <w:t>Compara el ajuste analítico con el gráfico.</w:t>
            </w:r>
          </w:p>
        </w:tc>
      </w:tr>
      <w:tr w:rsidR="00990B14" w14:paraId="4B5DB308" w14:textId="77777777">
        <w:trPr>
          <w:cantSplit/>
          <w:jc w:val="center"/>
        </w:trPr>
        <w:tc>
          <w:tcPr>
            <w:tcW w:w="1881" w:type="dxa"/>
            <w:vMerge/>
            <w:shd w:val="clear" w:color="auto" w:fill="4472C4"/>
            <w:vAlign w:val="center"/>
          </w:tcPr>
          <w:p w14:paraId="5CEF610C" w14:textId="77777777" w:rsidR="00990B14" w:rsidRDefault="00990B14">
            <w:pPr>
              <w:spacing w:before="20" w:after="20"/>
            </w:pPr>
          </w:p>
        </w:tc>
        <w:tc>
          <w:tcPr>
            <w:tcW w:w="1873" w:type="dxa"/>
            <w:shd w:val="clear" w:color="auto" w:fill="D9E2F3"/>
            <w:vAlign w:val="center"/>
          </w:tcPr>
          <w:p w14:paraId="666AF9AD" w14:textId="77777777" w:rsidR="00990B14" w:rsidRDefault="00000000">
            <w:pPr>
              <w:spacing w:before="20" w:after="20"/>
              <w:jc w:val="both"/>
            </w:pPr>
            <w:r>
              <w:rPr>
                <w:sz w:val="18"/>
                <w:szCs w:val="18"/>
              </w:rPr>
              <w:t>Valores de conmutación</w:t>
            </w:r>
          </w:p>
        </w:tc>
        <w:tc>
          <w:tcPr>
            <w:tcW w:w="1868" w:type="dxa"/>
            <w:shd w:val="clear" w:color="auto" w:fill="D9E2F3"/>
            <w:vAlign w:val="center"/>
          </w:tcPr>
          <w:p w14:paraId="30F94667" w14:textId="77777777" w:rsidR="00990B14" w:rsidRDefault="00000000">
            <w:pPr>
              <w:spacing w:before="20" w:after="20"/>
              <w:jc w:val="both"/>
            </w:pPr>
            <w:r>
              <w:rPr>
                <w:sz w:val="18"/>
                <w:szCs w:val="18"/>
              </w:rPr>
              <w:t>Calcula mal los valores de conmutación.</w:t>
            </w:r>
          </w:p>
        </w:tc>
        <w:tc>
          <w:tcPr>
            <w:tcW w:w="1910" w:type="dxa"/>
            <w:shd w:val="clear" w:color="auto" w:fill="D9E2F3"/>
            <w:vAlign w:val="center"/>
          </w:tcPr>
          <w:p w14:paraId="660EAE1D" w14:textId="77777777" w:rsidR="00990B14" w:rsidRDefault="00000000">
            <w:pPr>
              <w:spacing w:before="20" w:after="20"/>
              <w:jc w:val="both"/>
            </w:pPr>
            <w:r>
              <w:rPr>
                <w:sz w:val="18"/>
                <w:szCs w:val="18"/>
              </w:rPr>
              <w:t>Calcula correctamente los valores de conmutación.</w:t>
            </w:r>
          </w:p>
        </w:tc>
        <w:tc>
          <w:tcPr>
            <w:tcW w:w="1873" w:type="dxa"/>
            <w:shd w:val="clear" w:color="auto" w:fill="D9E2F3"/>
            <w:vAlign w:val="center"/>
          </w:tcPr>
          <w:p w14:paraId="5C3A806D" w14:textId="77777777" w:rsidR="00990B14" w:rsidRDefault="00000000">
            <w:pPr>
              <w:spacing w:before="20" w:after="20"/>
              <w:jc w:val="both"/>
            </w:pPr>
            <w:r>
              <w:rPr>
                <w:sz w:val="18"/>
                <w:szCs w:val="18"/>
              </w:rPr>
              <w:t>Verifica los valores con una edad de control.</w:t>
            </w:r>
          </w:p>
        </w:tc>
      </w:tr>
      <w:tr w:rsidR="00990B14" w14:paraId="1F9B1178" w14:textId="77777777">
        <w:trPr>
          <w:cantSplit/>
          <w:jc w:val="center"/>
        </w:trPr>
        <w:tc>
          <w:tcPr>
            <w:tcW w:w="1881" w:type="dxa"/>
            <w:vMerge/>
            <w:shd w:val="clear" w:color="auto" w:fill="4472C4"/>
            <w:vAlign w:val="center"/>
          </w:tcPr>
          <w:p w14:paraId="64AA2726" w14:textId="77777777" w:rsidR="00990B14" w:rsidRDefault="00990B14">
            <w:pPr>
              <w:spacing w:before="20" w:after="20"/>
            </w:pPr>
          </w:p>
        </w:tc>
        <w:tc>
          <w:tcPr>
            <w:tcW w:w="1873" w:type="dxa"/>
            <w:shd w:val="clear" w:color="auto" w:fill="D9E2F3"/>
            <w:vAlign w:val="center"/>
          </w:tcPr>
          <w:p w14:paraId="6EACD690" w14:textId="77777777" w:rsidR="00990B14" w:rsidRDefault="00000000">
            <w:pPr>
              <w:spacing w:before="20" w:after="20"/>
              <w:jc w:val="both"/>
            </w:pPr>
            <w:r>
              <w:rPr>
                <w:sz w:val="18"/>
                <w:szCs w:val="18"/>
              </w:rPr>
              <w:t>Riesgo de longevidad</w:t>
            </w:r>
          </w:p>
        </w:tc>
        <w:tc>
          <w:tcPr>
            <w:tcW w:w="1868" w:type="dxa"/>
            <w:shd w:val="clear" w:color="auto" w:fill="D9E2F3"/>
            <w:vAlign w:val="center"/>
          </w:tcPr>
          <w:p w14:paraId="77B03284" w14:textId="77777777" w:rsidR="00990B14" w:rsidRDefault="00000000">
            <w:pPr>
              <w:spacing w:before="20" w:after="20"/>
              <w:jc w:val="both"/>
            </w:pPr>
            <w:r>
              <w:rPr>
                <w:sz w:val="18"/>
                <w:szCs w:val="18"/>
              </w:rPr>
              <w:t>Omite el análisis del riesgo de longevidad.</w:t>
            </w:r>
          </w:p>
        </w:tc>
        <w:tc>
          <w:tcPr>
            <w:tcW w:w="1910" w:type="dxa"/>
            <w:shd w:val="clear" w:color="auto" w:fill="D9E2F3"/>
            <w:vAlign w:val="center"/>
          </w:tcPr>
          <w:p w14:paraId="3D8EFAD9" w14:textId="77777777" w:rsidR="00990B14" w:rsidRDefault="00000000">
            <w:pPr>
              <w:spacing w:before="20" w:after="20"/>
              <w:jc w:val="both"/>
            </w:pPr>
            <w:r>
              <w:rPr>
                <w:sz w:val="18"/>
                <w:szCs w:val="18"/>
              </w:rPr>
              <w:t>Describe el efecto de una mayor esperanza de vida.</w:t>
            </w:r>
          </w:p>
        </w:tc>
        <w:tc>
          <w:tcPr>
            <w:tcW w:w="1873" w:type="dxa"/>
            <w:shd w:val="clear" w:color="auto" w:fill="D9E2F3"/>
            <w:vAlign w:val="center"/>
          </w:tcPr>
          <w:p w14:paraId="313A2B47" w14:textId="77777777" w:rsidR="00990B14" w:rsidRDefault="00000000">
            <w:pPr>
              <w:spacing w:before="20" w:after="20"/>
              <w:jc w:val="both"/>
            </w:pPr>
            <w:r>
              <w:rPr>
                <w:sz w:val="18"/>
                <w:szCs w:val="18"/>
              </w:rPr>
              <w:t>Cuantifica el efecto con un escenario alternativo.</w:t>
            </w:r>
          </w:p>
        </w:tc>
      </w:tr>
      <w:tr w:rsidR="00990B14" w14:paraId="101E82FB" w14:textId="77777777">
        <w:trPr>
          <w:cantSplit/>
          <w:jc w:val="center"/>
        </w:trPr>
        <w:tc>
          <w:tcPr>
            <w:tcW w:w="1881" w:type="dxa"/>
            <w:vMerge/>
            <w:shd w:val="clear" w:color="auto" w:fill="4472C4"/>
            <w:vAlign w:val="center"/>
          </w:tcPr>
          <w:p w14:paraId="1AF9F7CC" w14:textId="77777777" w:rsidR="00990B14" w:rsidRDefault="00990B14">
            <w:pPr>
              <w:spacing w:before="20" w:after="20"/>
            </w:pPr>
          </w:p>
        </w:tc>
        <w:tc>
          <w:tcPr>
            <w:tcW w:w="5651" w:type="dxa"/>
            <w:gridSpan w:val="3"/>
            <w:shd w:val="clear" w:color="auto" w:fill="D9E2F3"/>
            <w:vAlign w:val="center"/>
          </w:tcPr>
          <w:p w14:paraId="02A4005D" w14:textId="77777777" w:rsidR="00990B14" w:rsidRDefault="00000000">
            <w:pPr>
              <w:keepNext/>
              <w:spacing w:before="20" w:after="20"/>
              <w:jc w:val="both"/>
            </w:pPr>
            <w:r>
              <w:rPr>
                <w:b/>
                <w:bCs/>
                <w:i/>
                <w:iCs/>
                <w:sz w:val="18"/>
                <w:szCs w:val="18"/>
              </w:rPr>
              <w:t xml:space="preserve">Producto 7: </w:t>
            </w:r>
            <w:r>
              <w:rPr>
                <w:sz w:val="18"/>
                <w:szCs w:val="18"/>
              </w:rPr>
              <w:t>Cálculo de rentas contingentes</w:t>
            </w:r>
          </w:p>
        </w:tc>
        <w:tc>
          <w:tcPr>
            <w:tcW w:w="1873" w:type="dxa"/>
            <w:shd w:val="clear" w:color="auto" w:fill="D9E2F3"/>
            <w:vAlign w:val="center"/>
          </w:tcPr>
          <w:p w14:paraId="68AEAC8D" w14:textId="77777777" w:rsidR="00990B14" w:rsidRDefault="00000000">
            <w:pPr>
              <w:spacing w:before="20" w:after="20"/>
              <w:jc w:val="center"/>
            </w:pPr>
            <w:r>
              <w:rPr>
                <w:b/>
                <w:bCs/>
                <w:sz w:val="18"/>
                <w:szCs w:val="18"/>
              </w:rPr>
              <w:t>5%</w:t>
            </w:r>
          </w:p>
        </w:tc>
      </w:tr>
      <w:tr w:rsidR="00990B14" w14:paraId="62AB8DD8" w14:textId="77777777">
        <w:trPr>
          <w:cantSplit/>
          <w:jc w:val="center"/>
        </w:trPr>
        <w:tc>
          <w:tcPr>
            <w:tcW w:w="1881" w:type="dxa"/>
            <w:vMerge/>
            <w:shd w:val="clear" w:color="auto" w:fill="4472C4"/>
            <w:vAlign w:val="center"/>
          </w:tcPr>
          <w:p w14:paraId="7D9394EC" w14:textId="77777777" w:rsidR="00990B14" w:rsidRDefault="00990B14">
            <w:pPr>
              <w:spacing w:before="20" w:after="20"/>
            </w:pPr>
          </w:p>
        </w:tc>
        <w:tc>
          <w:tcPr>
            <w:tcW w:w="1873" w:type="dxa"/>
            <w:shd w:val="clear" w:color="auto" w:fill="4472C4"/>
            <w:vAlign w:val="center"/>
          </w:tcPr>
          <w:p w14:paraId="21C5155A" w14:textId="77777777" w:rsidR="00990B14" w:rsidRDefault="00000000">
            <w:pPr>
              <w:keepNext/>
              <w:spacing w:before="20" w:after="20"/>
              <w:jc w:val="center"/>
            </w:pPr>
            <w:r>
              <w:rPr>
                <w:b/>
                <w:bCs/>
                <w:i/>
                <w:iCs/>
                <w:color w:val="FFFFFF"/>
                <w:sz w:val="18"/>
                <w:szCs w:val="18"/>
              </w:rPr>
              <w:t>Criterio</w:t>
            </w:r>
          </w:p>
        </w:tc>
        <w:tc>
          <w:tcPr>
            <w:tcW w:w="1868" w:type="dxa"/>
            <w:shd w:val="clear" w:color="auto" w:fill="4472C4"/>
            <w:vAlign w:val="center"/>
          </w:tcPr>
          <w:p w14:paraId="20D0DBAA"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0787C48E" w14:textId="77777777" w:rsidR="00990B14" w:rsidRDefault="00000000">
            <w:pPr>
              <w:keepNext/>
              <w:spacing w:before="20" w:after="20"/>
              <w:jc w:val="center"/>
            </w:pPr>
            <w:r>
              <w:rPr>
                <w:b/>
                <w:bCs/>
                <w:i/>
                <w:iCs/>
                <w:color w:val="FFFFFF"/>
                <w:sz w:val="18"/>
                <w:szCs w:val="18"/>
              </w:rPr>
              <w:t>Suficiente (51–80)</w:t>
            </w:r>
          </w:p>
        </w:tc>
        <w:tc>
          <w:tcPr>
            <w:tcW w:w="1873" w:type="dxa"/>
            <w:shd w:val="clear" w:color="auto" w:fill="4472C4"/>
            <w:vAlign w:val="center"/>
          </w:tcPr>
          <w:p w14:paraId="7E8C2D1C" w14:textId="77777777" w:rsidR="00990B14" w:rsidRDefault="00000000">
            <w:pPr>
              <w:keepNext/>
              <w:spacing w:before="20" w:after="20"/>
              <w:jc w:val="center"/>
            </w:pPr>
            <w:r>
              <w:rPr>
                <w:b/>
                <w:bCs/>
                <w:i/>
                <w:iCs/>
                <w:color w:val="FFFFFF"/>
                <w:sz w:val="18"/>
                <w:szCs w:val="18"/>
              </w:rPr>
              <w:t>Destacado (81–100)</w:t>
            </w:r>
          </w:p>
        </w:tc>
      </w:tr>
      <w:tr w:rsidR="00990B14" w14:paraId="765E69B7" w14:textId="77777777">
        <w:trPr>
          <w:cantSplit/>
          <w:jc w:val="center"/>
        </w:trPr>
        <w:tc>
          <w:tcPr>
            <w:tcW w:w="1881" w:type="dxa"/>
            <w:vMerge/>
            <w:shd w:val="clear" w:color="auto" w:fill="4472C4"/>
            <w:vAlign w:val="center"/>
          </w:tcPr>
          <w:p w14:paraId="6A6D8F47" w14:textId="77777777" w:rsidR="00990B14" w:rsidRDefault="00990B14">
            <w:pPr>
              <w:spacing w:before="20" w:after="20"/>
            </w:pPr>
          </w:p>
        </w:tc>
        <w:tc>
          <w:tcPr>
            <w:tcW w:w="1873" w:type="dxa"/>
            <w:shd w:val="clear" w:color="auto" w:fill="D9E2F3"/>
            <w:vAlign w:val="center"/>
          </w:tcPr>
          <w:p w14:paraId="081E81A5" w14:textId="77777777" w:rsidR="00990B14" w:rsidRDefault="00000000">
            <w:pPr>
              <w:spacing w:before="20" w:after="20"/>
              <w:jc w:val="both"/>
            </w:pPr>
            <w:r>
              <w:rPr>
                <w:sz w:val="18"/>
                <w:szCs w:val="18"/>
              </w:rPr>
              <w:t>Tipo de renta</w:t>
            </w:r>
          </w:p>
        </w:tc>
        <w:tc>
          <w:tcPr>
            <w:tcW w:w="1868" w:type="dxa"/>
            <w:shd w:val="clear" w:color="auto" w:fill="D9E2F3"/>
            <w:vAlign w:val="center"/>
          </w:tcPr>
          <w:p w14:paraId="15604B2B" w14:textId="77777777" w:rsidR="00990B14" w:rsidRDefault="00000000">
            <w:pPr>
              <w:spacing w:before="20" w:after="20"/>
              <w:jc w:val="both"/>
            </w:pPr>
            <w:r>
              <w:rPr>
                <w:sz w:val="18"/>
                <w:szCs w:val="18"/>
              </w:rPr>
              <w:t>Confunde rentas adelantadas y vencidas.</w:t>
            </w:r>
          </w:p>
        </w:tc>
        <w:tc>
          <w:tcPr>
            <w:tcW w:w="1910" w:type="dxa"/>
            <w:shd w:val="clear" w:color="auto" w:fill="D9E2F3"/>
            <w:vAlign w:val="center"/>
          </w:tcPr>
          <w:p w14:paraId="2A307B40" w14:textId="77777777" w:rsidR="00990B14" w:rsidRDefault="00000000">
            <w:pPr>
              <w:spacing w:before="20" w:after="20"/>
              <w:jc w:val="both"/>
            </w:pPr>
            <w:r>
              <w:rPr>
                <w:sz w:val="18"/>
                <w:szCs w:val="18"/>
              </w:rPr>
              <w:t>Identifica el tipo de renta del caso.</w:t>
            </w:r>
          </w:p>
        </w:tc>
        <w:tc>
          <w:tcPr>
            <w:tcW w:w="1873" w:type="dxa"/>
            <w:shd w:val="clear" w:color="auto" w:fill="D9E2F3"/>
            <w:vAlign w:val="center"/>
          </w:tcPr>
          <w:p w14:paraId="20F51CCB" w14:textId="77777777" w:rsidR="00990B14" w:rsidRDefault="00000000">
            <w:pPr>
              <w:spacing w:before="20" w:after="20"/>
              <w:jc w:val="both"/>
            </w:pPr>
            <w:r>
              <w:rPr>
                <w:sz w:val="18"/>
                <w:szCs w:val="18"/>
              </w:rPr>
              <w:t>Explica la relación entre los tipos de renta.</w:t>
            </w:r>
          </w:p>
        </w:tc>
      </w:tr>
      <w:tr w:rsidR="00990B14" w14:paraId="0D62070C" w14:textId="77777777">
        <w:trPr>
          <w:cantSplit/>
          <w:jc w:val="center"/>
        </w:trPr>
        <w:tc>
          <w:tcPr>
            <w:tcW w:w="1881" w:type="dxa"/>
            <w:vMerge/>
            <w:shd w:val="clear" w:color="auto" w:fill="4472C4"/>
            <w:vAlign w:val="center"/>
          </w:tcPr>
          <w:p w14:paraId="1F0A86BF" w14:textId="77777777" w:rsidR="00990B14" w:rsidRDefault="00990B14">
            <w:pPr>
              <w:spacing w:before="20" w:after="20"/>
            </w:pPr>
          </w:p>
        </w:tc>
        <w:tc>
          <w:tcPr>
            <w:tcW w:w="1873" w:type="dxa"/>
            <w:shd w:val="clear" w:color="auto" w:fill="D9E2F3"/>
            <w:vAlign w:val="center"/>
          </w:tcPr>
          <w:p w14:paraId="71E00B33" w14:textId="77777777" w:rsidR="00990B14" w:rsidRDefault="00000000">
            <w:pPr>
              <w:spacing w:before="20" w:after="20"/>
              <w:jc w:val="both"/>
            </w:pPr>
            <w:r>
              <w:rPr>
                <w:sz w:val="18"/>
                <w:szCs w:val="18"/>
              </w:rPr>
              <w:t>Cálculo</w:t>
            </w:r>
          </w:p>
        </w:tc>
        <w:tc>
          <w:tcPr>
            <w:tcW w:w="1868" w:type="dxa"/>
            <w:shd w:val="clear" w:color="auto" w:fill="D9E2F3"/>
            <w:vAlign w:val="center"/>
          </w:tcPr>
          <w:p w14:paraId="3B1A9E1C" w14:textId="77777777" w:rsidR="00990B14" w:rsidRDefault="00000000">
            <w:pPr>
              <w:spacing w:before="20" w:after="20"/>
              <w:jc w:val="both"/>
            </w:pPr>
            <w:r>
              <w:rPr>
                <w:sz w:val="18"/>
                <w:szCs w:val="18"/>
              </w:rPr>
              <w:t>Aplica mal los valores de conmutación.</w:t>
            </w:r>
          </w:p>
        </w:tc>
        <w:tc>
          <w:tcPr>
            <w:tcW w:w="1910" w:type="dxa"/>
            <w:shd w:val="clear" w:color="auto" w:fill="D9E2F3"/>
            <w:vAlign w:val="center"/>
          </w:tcPr>
          <w:p w14:paraId="0730784F" w14:textId="77777777" w:rsidR="00990B14" w:rsidRDefault="00000000">
            <w:pPr>
              <w:spacing w:before="20" w:after="20"/>
              <w:jc w:val="both"/>
            </w:pPr>
            <w:r>
              <w:rPr>
                <w:sz w:val="18"/>
                <w:szCs w:val="18"/>
              </w:rPr>
              <w:t>Calcula el valor actuarial de cada renta.</w:t>
            </w:r>
          </w:p>
        </w:tc>
        <w:tc>
          <w:tcPr>
            <w:tcW w:w="1873" w:type="dxa"/>
            <w:shd w:val="clear" w:color="auto" w:fill="D9E2F3"/>
            <w:vAlign w:val="center"/>
          </w:tcPr>
          <w:p w14:paraId="698423E5" w14:textId="77777777" w:rsidR="00990B14" w:rsidRDefault="00000000">
            <w:pPr>
              <w:spacing w:before="20" w:after="20"/>
              <w:jc w:val="both"/>
            </w:pPr>
            <w:r>
              <w:rPr>
                <w:sz w:val="18"/>
                <w:szCs w:val="18"/>
              </w:rPr>
              <w:t>Comprueba el resultado con la suma de flujos probables.</w:t>
            </w:r>
          </w:p>
        </w:tc>
      </w:tr>
      <w:tr w:rsidR="00990B14" w14:paraId="523B6754" w14:textId="77777777">
        <w:trPr>
          <w:cantSplit/>
          <w:jc w:val="center"/>
        </w:trPr>
        <w:tc>
          <w:tcPr>
            <w:tcW w:w="1881" w:type="dxa"/>
            <w:vMerge/>
            <w:shd w:val="clear" w:color="auto" w:fill="4472C4"/>
            <w:vAlign w:val="center"/>
          </w:tcPr>
          <w:p w14:paraId="04B51EB2" w14:textId="77777777" w:rsidR="00990B14" w:rsidRDefault="00990B14">
            <w:pPr>
              <w:spacing w:before="20" w:after="20"/>
            </w:pPr>
          </w:p>
        </w:tc>
        <w:tc>
          <w:tcPr>
            <w:tcW w:w="1873" w:type="dxa"/>
            <w:shd w:val="clear" w:color="auto" w:fill="D9E2F3"/>
            <w:vAlign w:val="center"/>
          </w:tcPr>
          <w:p w14:paraId="33674325" w14:textId="77777777" w:rsidR="00990B14" w:rsidRDefault="00000000">
            <w:pPr>
              <w:spacing w:before="20" w:after="20"/>
              <w:jc w:val="both"/>
            </w:pPr>
            <w:r>
              <w:rPr>
                <w:sz w:val="18"/>
                <w:szCs w:val="18"/>
              </w:rPr>
              <w:t>Progresiones</w:t>
            </w:r>
          </w:p>
        </w:tc>
        <w:tc>
          <w:tcPr>
            <w:tcW w:w="1868" w:type="dxa"/>
            <w:shd w:val="clear" w:color="auto" w:fill="D9E2F3"/>
            <w:vAlign w:val="center"/>
          </w:tcPr>
          <w:p w14:paraId="1B87A9ED" w14:textId="77777777" w:rsidR="00990B14" w:rsidRDefault="00000000">
            <w:pPr>
              <w:spacing w:before="20" w:after="20"/>
              <w:jc w:val="both"/>
            </w:pPr>
            <w:r>
              <w:rPr>
                <w:sz w:val="18"/>
                <w:szCs w:val="18"/>
              </w:rPr>
              <w:t>Omite las rentas variables.</w:t>
            </w:r>
          </w:p>
        </w:tc>
        <w:tc>
          <w:tcPr>
            <w:tcW w:w="1910" w:type="dxa"/>
            <w:shd w:val="clear" w:color="auto" w:fill="D9E2F3"/>
            <w:vAlign w:val="center"/>
          </w:tcPr>
          <w:p w14:paraId="3E8EA783" w14:textId="77777777" w:rsidR="00990B14" w:rsidRDefault="00000000">
            <w:pPr>
              <w:spacing w:before="20" w:after="20"/>
              <w:jc w:val="both"/>
            </w:pPr>
            <w:r>
              <w:rPr>
                <w:sz w:val="18"/>
                <w:szCs w:val="18"/>
              </w:rPr>
              <w:t>Calcula rentas en progresión aritmética y geométrica.</w:t>
            </w:r>
          </w:p>
        </w:tc>
        <w:tc>
          <w:tcPr>
            <w:tcW w:w="1873" w:type="dxa"/>
            <w:shd w:val="clear" w:color="auto" w:fill="D9E2F3"/>
            <w:vAlign w:val="center"/>
          </w:tcPr>
          <w:p w14:paraId="01BD3232" w14:textId="77777777" w:rsidR="00990B14" w:rsidRDefault="00000000">
            <w:pPr>
              <w:spacing w:before="20" w:after="20"/>
              <w:jc w:val="both"/>
            </w:pPr>
            <w:r>
              <w:rPr>
                <w:sz w:val="18"/>
                <w:szCs w:val="18"/>
              </w:rPr>
              <w:t>Analiza el efecto del crecimiento de la renta.</w:t>
            </w:r>
          </w:p>
        </w:tc>
      </w:tr>
      <w:tr w:rsidR="00990B14" w14:paraId="139D55AA" w14:textId="77777777">
        <w:trPr>
          <w:cantSplit/>
          <w:jc w:val="center"/>
        </w:trPr>
        <w:tc>
          <w:tcPr>
            <w:tcW w:w="1881" w:type="dxa"/>
            <w:vMerge/>
            <w:shd w:val="clear" w:color="auto" w:fill="4472C4"/>
            <w:vAlign w:val="center"/>
          </w:tcPr>
          <w:p w14:paraId="4BF7E014" w14:textId="77777777" w:rsidR="00990B14" w:rsidRDefault="00990B14">
            <w:pPr>
              <w:spacing w:before="20" w:after="20"/>
            </w:pPr>
          </w:p>
        </w:tc>
        <w:tc>
          <w:tcPr>
            <w:tcW w:w="5651" w:type="dxa"/>
            <w:gridSpan w:val="3"/>
            <w:shd w:val="clear" w:color="auto" w:fill="D9E2F3"/>
            <w:vAlign w:val="center"/>
          </w:tcPr>
          <w:p w14:paraId="7F5C3295" w14:textId="77777777" w:rsidR="00990B14" w:rsidRDefault="00000000">
            <w:pPr>
              <w:keepNext/>
              <w:spacing w:before="20" w:after="20"/>
              <w:jc w:val="both"/>
            </w:pPr>
            <w:r>
              <w:rPr>
                <w:b/>
                <w:bCs/>
                <w:i/>
                <w:iCs/>
                <w:sz w:val="18"/>
                <w:szCs w:val="18"/>
              </w:rPr>
              <w:t xml:space="preserve">Producto 8: </w:t>
            </w:r>
            <w:r>
              <w:rPr>
                <w:sz w:val="18"/>
                <w:szCs w:val="18"/>
              </w:rPr>
              <w:t>Sensibilidad de una renta contingente</w:t>
            </w:r>
          </w:p>
        </w:tc>
        <w:tc>
          <w:tcPr>
            <w:tcW w:w="1873" w:type="dxa"/>
            <w:shd w:val="clear" w:color="auto" w:fill="D9E2F3"/>
            <w:vAlign w:val="center"/>
          </w:tcPr>
          <w:p w14:paraId="0F0D7DBC" w14:textId="77777777" w:rsidR="00990B14" w:rsidRDefault="00000000">
            <w:pPr>
              <w:spacing w:before="20" w:after="20"/>
              <w:jc w:val="center"/>
            </w:pPr>
            <w:r>
              <w:rPr>
                <w:b/>
                <w:bCs/>
                <w:sz w:val="18"/>
                <w:szCs w:val="18"/>
              </w:rPr>
              <w:t>5%</w:t>
            </w:r>
          </w:p>
        </w:tc>
      </w:tr>
      <w:tr w:rsidR="00990B14" w14:paraId="2A1F1E4D" w14:textId="77777777">
        <w:trPr>
          <w:cantSplit/>
          <w:jc w:val="center"/>
        </w:trPr>
        <w:tc>
          <w:tcPr>
            <w:tcW w:w="1881" w:type="dxa"/>
            <w:vMerge/>
            <w:shd w:val="clear" w:color="auto" w:fill="4472C4"/>
            <w:vAlign w:val="center"/>
          </w:tcPr>
          <w:p w14:paraId="15EC0F5C" w14:textId="77777777" w:rsidR="00990B14" w:rsidRDefault="00990B14">
            <w:pPr>
              <w:spacing w:before="20" w:after="20"/>
            </w:pPr>
          </w:p>
        </w:tc>
        <w:tc>
          <w:tcPr>
            <w:tcW w:w="1873" w:type="dxa"/>
            <w:shd w:val="clear" w:color="auto" w:fill="4472C4"/>
            <w:vAlign w:val="center"/>
          </w:tcPr>
          <w:p w14:paraId="1C160388" w14:textId="77777777" w:rsidR="00990B14" w:rsidRDefault="00000000">
            <w:pPr>
              <w:keepNext/>
              <w:spacing w:before="20" w:after="20"/>
              <w:jc w:val="center"/>
            </w:pPr>
            <w:r>
              <w:rPr>
                <w:b/>
                <w:bCs/>
                <w:i/>
                <w:iCs/>
                <w:color w:val="FFFFFF"/>
                <w:sz w:val="18"/>
                <w:szCs w:val="18"/>
              </w:rPr>
              <w:t>Criterio</w:t>
            </w:r>
          </w:p>
        </w:tc>
        <w:tc>
          <w:tcPr>
            <w:tcW w:w="1868" w:type="dxa"/>
            <w:shd w:val="clear" w:color="auto" w:fill="4472C4"/>
            <w:vAlign w:val="center"/>
          </w:tcPr>
          <w:p w14:paraId="13923A59"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6BD515D0" w14:textId="77777777" w:rsidR="00990B14" w:rsidRDefault="00000000">
            <w:pPr>
              <w:keepNext/>
              <w:spacing w:before="20" w:after="20"/>
              <w:jc w:val="center"/>
            </w:pPr>
            <w:r>
              <w:rPr>
                <w:b/>
                <w:bCs/>
                <w:i/>
                <w:iCs/>
                <w:color w:val="FFFFFF"/>
                <w:sz w:val="18"/>
                <w:szCs w:val="18"/>
              </w:rPr>
              <w:t>Suficiente (51–80)</w:t>
            </w:r>
          </w:p>
        </w:tc>
        <w:tc>
          <w:tcPr>
            <w:tcW w:w="1873" w:type="dxa"/>
            <w:shd w:val="clear" w:color="auto" w:fill="4472C4"/>
            <w:vAlign w:val="center"/>
          </w:tcPr>
          <w:p w14:paraId="68B2B037" w14:textId="77777777" w:rsidR="00990B14" w:rsidRDefault="00000000">
            <w:pPr>
              <w:keepNext/>
              <w:spacing w:before="20" w:after="20"/>
              <w:jc w:val="center"/>
            </w:pPr>
            <w:r>
              <w:rPr>
                <w:b/>
                <w:bCs/>
                <w:i/>
                <w:iCs/>
                <w:color w:val="FFFFFF"/>
                <w:sz w:val="18"/>
                <w:szCs w:val="18"/>
              </w:rPr>
              <w:t>Destacado (81–100)</w:t>
            </w:r>
          </w:p>
        </w:tc>
      </w:tr>
      <w:tr w:rsidR="00990B14" w14:paraId="23A09A18" w14:textId="77777777">
        <w:trPr>
          <w:cantSplit/>
          <w:jc w:val="center"/>
        </w:trPr>
        <w:tc>
          <w:tcPr>
            <w:tcW w:w="1881" w:type="dxa"/>
            <w:vMerge/>
            <w:shd w:val="clear" w:color="auto" w:fill="4472C4"/>
            <w:vAlign w:val="center"/>
          </w:tcPr>
          <w:p w14:paraId="06DA2E2B" w14:textId="77777777" w:rsidR="00990B14" w:rsidRDefault="00990B14">
            <w:pPr>
              <w:spacing w:before="20" w:after="20"/>
            </w:pPr>
          </w:p>
        </w:tc>
        <w:tc>
          <w:tcPr>
            <w:tcW w:w="1873" w:type="dxa"/>
            <w:shd w:val="clear" w:color="auto" w:fill="D9E2F3"/>
            <w:vAlign w:val="center"/>
          </w:tcPr>
          <w:p w14:paraId="7B29D1F4" w14:textId="77777777" w:rsidR="00990B14" w:rsidRDefault="00000000">
            <w:pPr>
              <w:spacing w:before="20" w:after="20"/>
              <w:jc w:val="both"/>
            </w:pPr>
            <w:r>
              <w:rPr>
                <w:sz w:val="18"/>
                <w:szCs w:val="18"/>
              </w:rPr>
              <w:t>Fraccionamiento</w:t>
            </w:r>
          </w:p>
        </w:tc>
        <w:tc>
          <w:tcPr>
            <w:tcW w:w="1868" w:type="dxa"/>
            <w:shd w:val="clear" w:color="auto" w:fill="D9E2F3"/>
            <w:vAlign w:val="center"/>
          </w:tcPr>
          <w:p w14:paraId="0E686F89" w14:textId="77777777" w:rsidR="00990B14" w:rsidRDefault="00000000">
            <w:pPr>
              <w:spacing w:before="20" w:after="20"/>
              <w:jc w:val="both"/>
            </w:pPr>
            <w:r>
              <w:rPr>
                <w:sz w:val="18"/>
                <w:szCs w:val="18"/>
              </w:rPr>
              <w:t>No ajusta la renta a pagos menores a un año.</w:t>
            </w:r>
          </w:p>
        </w:tc>
        <w:tc>
          <w:tcPr>
            <w:tcW w:w="1910" w:type="dxa"/>
            <w:shd w:val="clear" w:color="auto" w:fill="D9E2F3"/>
            <w:vAlign w:val="center"/>
          </w:tcPr>
          <w:p w14:paraId="578B91D7" w14:textId="77777777" w:rsidR="00990B14" w:rsidRDefault="00000000">
            <w:pPr>
              <w:spacing w:before="20" w:after="20"/>
              <w:jc w:val="both"/>
            </w:pPr>
            <w:r>
              <w:rPr>
                <w:sz w:val="18"/>
                <w:szCs w:val="18"/>
              </w:rPr>
              <w:t>Ajusta la renta al fraccionamiento.</w:t>
            </w:r>
          </w:p>
        </w:tc>
        <w:tc>
          <w:tcPr>
            <w:tcW w:w="1873" w:type="dxa"/>
            <w:shd w:val="clear" w:color="auto" w:fill="D9E2F3"/>
            <w:vAlign w:val="center"/>
          </w:tcPr>
          <w:p w14:paraId="2066D25A" w14:textId="77777777" w:rsidR="00990B14" w:rsidRDefault="00000000">
            <w:pPr>
              <w:spacing w:before="20" w:after="20"/>
              <w:jc w:val="both"/>
            </w:pPr>
            <w:r>
              <w:rPr>
                <w:sz w:val="18"/>
                <w:szCs w:val="18"/>
              </w:rPr>
              <w:t>Compara el ajuste aproximado con el exacto.</w:t>
            </w:r>
          </w:p>
        </w:tc>
      </w:tr>
      <w:tr w:rsidR="00990B14" w14:paraId="63267857" w14:textId="77777777">
        <w:trPr>
          <w:cantSplit/>
          <w:jc w:val="center"/>
        </w:trPr>
        <w:tc>
          <w:tcPr>
            <w:tcW w:w="1881" w:type="dxa"/>
            <w:vMerge/>
            <w:shd w:val="clear" w:color="auto" w:fill="4472C4"/>
            <w:vAlign w:val="center"/>
          </w:tcPr>
          <w:p w14:paraId="63444490" w14:textId="77777777" w:rsidR="00990B14" w:rsidRDefault="00990B14">
            <w:pPr>
              <w:spacing w:before="20" w:after="20"/>
            </w:pPr>
          </w:p>
        </w:tc>
        <w:tc>
          <w:tcPr>
            <w:tcW w:w="1873" w:type="dxa"/>
            <w:shd w:val="clear" w:color="auto" w:fill="D9E2F3"/>
            <w:vAlign w:val="center"/>
          </w:tcPr>
          <w:p w14:paraId="4D072AD8" w14:textId="77777777" w:rsidR="00990B14" w:rsidRDefault="00000000">
            <w:pPr>
              <w:spacing w:before="20" w:after="20"/>
              <w:jc w:val="both"/>
            </w:pPr>
            <w:r>
              <w:rPr>
                <w:sz w:val="18"/>
                <w:szCs w:val="18"/>
              </w:rPr>
              <w:t>Sensibilidad</w:t>
            </w:r>
          </w:p>
        </w:tc>
        <w:tc>
          <w:tcPr>
            <w:tcW w:w="1868" w:type="dxa"/>
            <w:shd w:val="clear" w:color="auto" w:fill="D9E2F3"/>
            <w:vAlign w:val="center"/>
          </w:tcPr>
          <w:p w14:paraId="270374D7" w14:textId="77777777" w:rsidR="00990B14" w:rsidRDefault="00000000">
            <w:pPr>
              <w:spacing w:before="20" w:after="20"/>
              <w:jc w:val="both"/>
            </w:pPr>
            <w:r>
              <w:rPr>
                <w:sz w:val="18"/>
                <w:szCs w:val="18"/>
              </w:rPr>
              <w:t>Analiza un solo escenario.</w:t>
            </w:r>
          </w:p>
        </w:tc>
        <w:tc>
          <w:tcPr>
            <w:tcW w:w="1910" w:type="dxa"/>
            <w:shd w:val="clear" w:color="auto" w:fill="D9E2F3"/>
            <w:vAlign w:val="center"/>
          </w:tcPr>
          <w:p w14:paraId="4AA623D0" w14:textId="77777777" w:rsidR="00990B14" w:rsidRDefault="00000000">
            <w:pPr>
              <w:spacing w:before="20" w:after="20"/>
              <w:jc w:val="both"/>
            </w:pPr>
            <w:r>
              <w:rPr>
                <w:sz w:val="18"/>
                <w:szCs w:val="18"/>
              </w:rPr>
              <w:t>Mide el efecto de varias tasas técnicas.</w:t>
            </w:r>
          </w:p>
        </w:tc>
        <w:tc>
          <w:tcPr>
            <w:tcW w:w="1873" w:type="dxa"/>
            <w:shd w:val="clear" w:color="auto" w:fill="D9E2F3"/>
            <w:vAlign w:val="center"/>
          </w:tcPr>
          <w:p w14:paraId="62B8B5E2" w14:textId="77777777" w:rsidR="00990B14" w:rsidRDefault="00000000">
            <w:pPr>
              <w:spacing w:before="20" w:after="20"/>
              <w:jc w:val="both"/>
            </w:pPr>
            <w:r>
              <w:rPr>
                <w:sz w:val="18"/>
                <w:szCs w:val="18"/>
              </w:rPr>
              <w:t>Incorpora el efecto de la inflación en el poder adquisitivo.</w:t>
            </w:r>
          </w:p>
        </w:tc>
      </w:tr>
      <w:tr w:rsidR="00990B14" w14:paraId="2567A68C" w14:textId="77777777">
        <w:trPr>
          <w:cantSplit/>
          <w:jc w:val="center"/>
        </w:trPr>
        <w:tc>
          <w:tcPr>
            <w:tcW w:w="1881" w:type="dxa"/>
            <w:vMerge/>
            <w:shd w:val="clear" w:color="auto" w:fill="4472C4"/>
            <w:vAlign w:val="center"/>
          </w:tcPr>
          <w:p w14:paraId="55E38842" w14:textId="77777777" w:rsidR="00990B14" w:rsidRDefault="00990B14">
            <w:pPr>
              <w:spacing w:before="20" w:after="20"/>
            </w:pPr>
          </w:p>
        </w:tc>
        <w:tc>
          <w:tcPr>
            <w:tcW w:w="1873" w:type="dxa"/>
            <w:shd w:val="clear" w:color="auto" w:fill="D9E2F3"/>
            <w:vAlign w:val="center"/>
          </w:tcPr>
          <w:p w14:paraId="14EF1FF9" w14:textId="77777777" w:rsidR="00990B14" w:rsidRDefault="00000000">
            <w:pPr>
              <w:spacing w:before="20" w:after="20"/>
              <w:jc w:val="both"/>
            </w:pPr>
            <w:r>
              <w:rPr>
                <w:sz w:val="18"/>
                <w:szCs w:val="18"/>
              </w:rPr>
              <w:t>Trabajo en equipo</w:t>
            </w:r>
          </w:p>
        </w:tc>
        <w:tc>
          <w:tcPr>
            <w:tcW w:w="1868" w:type="dxa"/>
            <w:shd w:val="clear" w:color="auto" w:fill="D9E2F3"/>
            <w:vAlign w:val="center"/>
          </w:tcPr>
          <w:p w14:paraId="34AA5EB0" w14:textId="77777777" w:rsidR="00990B14" w:rsidRDefault="00000000">
            <w:pPr>
              <w:spacing w:before="20" w:after="20"/>
              <w:jc w:val="both"/>
            </w:pPr>
            <w:r>
              <w:rPr>
                <w:sz w:val="18"/>
                <w:szCs w:val="18"/>
              </w:rPr>
              <w:t>Pocos integrantes participan.</w:t>
            </w:r>
          </w:p>
        </w:tc>
        <w:tc>
          <w:tcPr>
            <w:tcW w:w="1910" w:type="dxa"/>
            <w:shd w:val="clear" w:color="auto" w:fill="D9E2F3"/>
            <w:vAlign w:val="center"/>
          </w:tcPr>
          <w:p w14:paraId="06FF4781" w14:textId="77777777" w:rsidR="00990B14" w:rsidRDefault="00000000">
            <w:pPr>
              <w:spacing w:before="20" w:after="20"/>
              <w:jc w:val="both"/>
            </w:pPr>
            <w:r>
              <w:rPr>
                <w:sz w:val="18"/>
                <w:szCs w:val="18"/>
              </w:rPr>
              <w:t>Todos los integrantes aportan al análisis.</w:t>
            </w:r>
          </w:p>
        </w:tc>
        <w:tc>
          <w:tcPr>
            <w:tcW w:w="1873" w:type="dxa"/>
            <w:shd w:val="clear" w:color="auto" w:fill="D9E2F3"/>
            <w:vAlign w:val="center"/>
          </w:tcPr>
          <w:p w14:paraId="0A66D0DF" w14:textId="77777777" w:rsidR="00990B14" w:rsidRDefault="00000000">
            <w:pPr>
              <w:spacing w:before="20" w:after="20"/>
              <w:jc w:val="both"/>
            </w:pPr>
            <w:r>
              <w:rPr>
                <w:sz w:val="18"/>
                <w:szCs w:val="18"/>
              </w:rPr>
              <w:t>El equipo concluye sobre el supuesto más crítico.</w:t>
            </w:r>
          </w:p>
        </w:tc>
      </w:tr>
      <w:tr w:rsidR="00990B14" w14:paraId="68B4E0A2" w14:textId="77777777">
        <w:trPr>
          <w:cantSplit/>
          <w:jc w:val="center"/>
        </w:trPr>
        <w:tc>
          <w:tcPr>
            <w:tcW w:w="1881" w:type="dxa"/>
            <w:vMerge/>
            <w:shd w:val="clear" w:color="auto" w:fill="4472C4"/>
            <w:vAlign w:val="center"/>
          </w:tcPr>
          <w:p w14:paraId="146D10CB" w14:textId="77777777" w:rsidR="00990B14" w:rsidRDefault="00990B14">
            <w:pPr>
              <w:spacing w:before="20" w:after="20"/>
            </w:pPr>
          </w:p>
        </w:tc>
        <w:tc>
          <w:tcPr>
            <w:tcW w:w="5651" w:type="dxa"/>
            <w:gridSpan w:val="3"/>
            <w:shd w:val="clear" w:color="auto" w:fill="D9E2F3"/>
            <w:vAlign w:val="center"/>
          </w:tcPr>
          <w:p w14:paraId="3729FD9C" w14:textId="77777777" w:rsidR="00990B14" w:rsidRDefault="00000000">
            <w:pPr>
              <w:keepNext/>
              <w:spacing w:before="20" w:after="20"/>
              <w:jc w:val="both"/>
            </w:pPr>
            <w:r>
              <w:rPr>
                <w:b/>
                <w:bCs/>
                <w:i/>
                <w:iCs/>
                <w:sz w:val="18"/>
                <w:szCs w:val="18"/>
              </w:rPr>
              <w:t xml:space="preserve">Producto 9: </w:t>
            </w:r>
            <w:r>
              <w:rPr>
                <w:sz w:val="18"/>
                <w:szCs w:val="18"/>
              </w:rPr>
              <w:t>Cálculo de primas netas</w:t>
            </w:r>
          </w:p>
        </w:tc>
        <w:tc>
          <w:tcPr>
            <w:tcW w:w="1873" w:type="dxa"/>
            <w:shd w:val="clear" w:color="auto" w:fill="D9E2F3"/>
            <w:vAlign w:val="center"/>
          </w:tcPr>
          <w:p w14:paraId="60F3168C" w14:textId="77777777" w:rsidR="00990B14" w:rsidRDefault="00000000">
            <w:pPr>
              <w:spacing w:before="20" w:after="20"/>
              <w:jc w:val="center"/>
            </w:pPr>
            <w:r>
              <w:rPr>
                <w:b/>
                <w:bCs/>
                <w:sz w:val="18"/>
                <w:szCs w:val="18"/>
              </w:rPr>
              <w:t>5%</w:t>
            </w:r>
          </w:p>
        </w:tc>
      </w:tr>
      <w:tr w:rsidR="00990B14" w14:paraId="5C0BF8A8" w14:textId="77777777">
        <w:trPr>
          <w:cantSplit/>
          <w:jc w:val="center"/>
        </w:trPr>
        <w:tc>
          <w:tcPr>
            <w:tcW w:w="1881" w:type="dxa"/>
            <w:vMerge/>
            <w:shd w:val="clear" w:color="auto" w:fill="4472C4"/>
            <w:vAlign w:val="center"/>
          </w:tcPr>
          <w:p w14:paraId="7E1A96A4" w14:textId="77777777" w:rsidR="00990B14" w:rsidRDefault="00990B14">
            <w:pPr>
              <w:spacing w:before="20" w:after="20"/>
            </w:pPr>
          </w:p>
        </w:tc>
        <w:tc>
          <w:tcPr>
            <w:tcW w:w="1873" w:type="dxa"/>
            <w:shd w:val="clear" w:color="auto" w:fill="4472C4"/>
            <w:vAlign w:val="center"/>
          </w:tcPr>
          <w:p w14:paraId="5D121214" w14:textId="77777777" w:rsidR="00990B14" w:rsidRDefault="00000000">
            <w:pPr>
              <w:keepNext/>
              <w:spacing w:before="20" w:after="20"/>
              <w:jc w:val="center"/>
            </w:pPr>
            <w:r>
              <w:rPr>
                <w:b/>
                <w:bCs/>
                <w:i/>
                <w:iCs/>
                <w:color w:val="FFFFFF"/>
                <w:sz w:val="18"/>
                <w:szCs w:val="18"/>
              </w:rPr>
              <w:t>Criterio</w:t>
            </w:r>
          </w:p>
        </w:tc>
        <w:tc>
          <w:tcPr>
            <w:tcW w:w="1868" w:type="dxa"/>
            <w:shd w:val="clear" w:color="auto" w:fill="4472C4"/>
            <w:vAlign w:val="center"/>
          </w:tcPr>
          <w:p w14:paraId="194C76E3"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2579B257" w14:textId="77777777" w:rsidR="00990B14" w:rsidRDefault="00000000">
            <w:pPr>
              <w:keepNext/>
              <w:spacing w:before="20" w:after="20"/>
              <w:jc w:val="center"/>
            </w:pPr>
            <w:r>
              <w:rPr>
                <w:b/>
                <w:bCs/>
                <w:i/>
                <w:iCs/>
                <w:color w:val="FFFFFF"/>
                <w:sz w:val="18"/>
                <w:szCs w:val="18"/>
              </w:rPr>
              <w:t>Suficiente (51–80)</w:t>
            </w:r>
          </w:p>
        </w:tc>
        <w:tc>
          <w:tcPr>
            <w:tcW w:w="1873" w:type="dxa"/>
            <w:shd w:val="clear" w:color="auto" w:fill="4472C4"/>
            <w:vAlign w:val="center"/>
          </w:tcPr>
          <w:p w14:paraId="48BB7F35" w14:textId="77777777" w:rsidR="00990B14" w:rsidRDefault="00000000">
            <w:pPr>
              <w:keepNext/>
              <w:spacing w:before="20" w:after="20"/>
              <w:jc w:val="center"/>
            </w:pPr>
            <w:r>
              <w:rPr>
                <w:b/>
                <w:bCs/>
                <w:i/>
                <w:iCs/>
                <w:color w:val="FFFFFF"/>
                <w:sz w:val="18"/>
                <w:szCs w:val="18"/>
              </w:rPr>
              <w:t>Destacado (81–100)</w:t>
            </w:r>
          </w:p>
        </w:tc>
      </w:tr>
      <w:tr w:rsidR="00990B14" w14:paraId="77569E5D" w14:textId="77777777">
        <w:trPr>
          <w:cantSplit/>
          <w:jc w:val="center"/>
        </w:trPr>
        <w:tc>
          <w:tcPr>
            <w:tcW w:w="1881" w:type="dxa"/>
            <w:vMerge/>
            <w:shd w:val="clear" w:color="auto" w:fill="4472C4"/>
            <w:vAlign w:val="center"/>
          </w:tcPr>
          <w:p w14:paraId="524F2E28" w14:textId="77777777" w:rsidR="00990B14" w:rsidRDefault="00990B14">
            <w:pPr>
              <w:spacing w:before="20" w:after="20"/>
            </w:pPr>
          </w:p>
        </w:tc>
        <w:tc>
          <w:tcPr>
            <w:tcW w:w="1873" w:type="dxa"/>
            <w:shd w:val="clear" w:color="auto" w:fill="D9E2F3"/>
            <w:vAlign w:val="center"/>
          </w:tcPr>
          <w:p w14:paraId="42AA884D" w14:textId="77777777" w:rsidR="00990B14" w:rsidRDefault="00000000">
            <w:pPr>
              <w:spacing w:before="20" w:after="20"/>
              <w:jc w:val="both"/>
            </w:pPr>
            <w:r>
              <w:rPr>
                <w:sz w:val="18"/>
                <w:szCs w:val="18"/>
              </w:rPr>
              <w:t>Tipo de seguro</w:t>
            </w:r>
          </w:p>
        </w:tc>
        <w:tc>
          <w:tcPr>
            <w:tcW w:w="1868" w:type="dxa"/>
            <w:shd w:val="clear" w:color="auto" w:fill="D9E2F3"/>
            <w:vAlign w:val="center"/>
          </w:tcPr>
          <w:p w14:paraId="233BCEA9" w14:textId="77777777" w:rsidR="00990B14" w:rsidRDefault="00000000">
            <w:pPr>
              <w:spacing w:before="20" w:after="20"/>
              <w:jc w:val="both"/>
            </w:pPr>
            <w:r>
              <w:rPr>
                <w:sz w:val="18"/>
                <w:szCs w:val="18"/>
              </w:rPr>
              <w:t>Confunde las modalidades de seguro.</w:t>
            </w:r>
          </w:p>
        </w:tc>
        <w:tc>
          <w:tcPr>
            <w:tcW w:w="1910" w:type="dxa"/>
            <w:shd w:val="clear" w:color="auto" w:fill="D9E2F3"/>
            <w:vAlign w:val="center"/>
          </w:tcPr>
          <w:p w14:paraId="4873F752" w14:textId="77777777" w:rsidR="00990B14" w:rsidRDefault="00000000">
            <w:pPr>
              <w:spacing w:before="20" w:after="20"/>
              <w:jc w:val="both"/>
            </w:pPr>
            <w:r>
              <w:rPr>
                <w:sz w:val="18"/>
                <w:szCs w:val="18"/>
              </w:rPr>
              <w:t>Identifica la modalidad del seguro.</w:t>
            </w:r>
          </w:p>
        </w:tc>
        <w:tc>
          <w:tcPr>
            <w:tcW w:w="1873" w:type="dxa"/>
            <w:shd w:val="clear" w:color="auto" w:fill="D9E2F3"/>
            <w:vAlign w:val="center"/>
          </w:tcPr>
          <w:p w14:paraId="23E3DB09" w14:textId="77777777" w:rsidR="00990B14" w:rsidRDefault="00000000">
            <w:pPr>
              <w:spacing w:before="20" w:after="20"/>
              <w:jc w:val="both"/>
            </w:pPr>
            <w:r>
              <w:rPr>
                <w:sz w:val="18"/>
                <w:szCs w:val="18"/>
              </w:rPr>
              <w:t>Explica la cobertura de cada modalidad.</w:t>
            </w:r>
          </w:p>
        </w:tc>
      </w:tr>
      <w:tr w:rsidR="00990B14" w14:paraId="2A858AD3" w14:textId="77777777">
        <w:trPr>
          <w:cantSplit/>
          <w:jc w:val="center"/>
        </w:trPr>
        <w:tc>
          <w:tcPr>
            <w:tcW w:w="1881" w:type="dxa"/>
            <w:vMerge/>
            <w:shd w:val="clear" w:color="auto" w:fill="4472C4"/>
            <w:vAlign w:val="center"/>
          </w:tcPr>
          <w:p w14:paraId="51065B88" w14:textId="77777777" w:rsidR="00990B14" w:rsidRDefault="00990B14">
            <w:pPr>
              <w:spacing w:before="20" w:after="20"/>
            </w:pPr>
          </w:p>
        </w:tc>
        <w:tc>
          <w:tcPr>
            <w:tcW w:w="1873" w:type="dxa"/>
            <w:shd w:val="clear" w:color="auto" w:fill="D9E2F3"/>
            <w:vAlign w:val="center"/>
          </w:tcPr>
          <w:p w14:paraId="7BF25315" w14:textId="77777777" w:rsidR="00990B14" w:rsidRDefault="00000000">
            <w:pPr>
              <w:spacing w:before="20" w:after="20"/>
              <w:jc w:val="both"/>
            </w:pPr>
            <w:r>
              <w:rPr>
                <w:sz w:val="18"/>
                <w:szCs w:val="18"/>
              </w:rPr>
              <w:t>Prima neta única</w:t>
            </w:r>
          </w:p>
        </w:tc>
        <w:tc>
          <w:tcPr>
            <w:tcW w:w="1868" w:type="dxa"/>
            <w:shd w:val="clear" w:color="auto" w:fill="D9E2F3"/>
            <w:vAlign w:val="center"/>
          </w:tcPr>
          <w:p w14:paraId="1A6A554D" w14:textId="77777777" w:rsidR="00990B14" w:rsidRDefault="00000000">
            <w:pPr>
              <w:spacing w:before="20" w:after="20"/>
              <w:jc w:val="both"/>
            </w:pPr>
            <w:r>
              <w:rPr>
                <w:sz w:val="18"/>
                <w:szCs w:val="18"/>
              </w:rPr>
              <w:t>Aplica mal los valores de conmutación.</w:t>
            </w:r>
          </w:p>
        </w:tc>
        <w:tc>
          <w:tcPr>
            <w:tcW w:w="1910" w:type="dxa"/>
            <w:shd w:val="clear" w:color="auto" w:fill="D9E2F3"/>
            <w:vAlign w:val="center"/>
          </w:tcPr>
          <w:p w14:paraId="7C572A6F" w14:textId="77777777" w:rsidR="00990B14" w:rsidRDefault="00000000">
            <w:pPr>
              <w:spacing w:before="20" w:after="20"/>
              <w:jc w:val="both"/>
            </w:pPr>
            <w:r>
              <w:rPr>
                <w:sz w:val="18"/>
                <w:szCs w:val="18"/>
              </w:rPr>
              <w:t>Calcula la prima neta única.</w:t>
            </w:r>
          </w:p>
        </w:tc>
        <w:tc>
          <w:tcPr>
            <w:tcW w:w="1873" w:type="dxa"/>
            <w:shd w:val="clear" w:color="auto" w:fill="D9E2F3"/>
            <w:vAlign w:val="center"/>
          </w:tcPr>
          <w:p w14:paraId="3703DEC2" w14:textId="77777777" w:rsidR="00990B14" w:rsidRDefault="00000000">
            <w:pPr>
              <w:spacing w:before="20" w:after="20"/>
              <w:jc w:val="both"/>
            </w:pPr>
            <w:r>
              <w:rPr>
                <w:sz w:val="18"/>
                <w:szCs w:val="18"/>
              </w:rPr>
              <w:t>Comprueba el resultado por otra vía.</w:t>
            </w:r>
          </w:p>
        </w:tc>
      </w:tr>
      <w:tr w:rsidR="00990B14" w14:paraId="57734EDB" w14:textId="77777777">
        <w:trPr>
          <w:cantSplit/>
          <w:jc w:val="center"/>
        </w:trPr>
        <w:tc>
          <w:tcPr>
            <w:tcW w:w="1881" w:type="dxa"/>
            <w:vMerge/>
            <w:shd w:val="clear" w:color="auto" w:fill="4472C4"/>
            <w:vAlign w:val="center"/>
          </w:tcPr>
          <w:p w14:paraId="602B8C07" w14:textId="77777777" w:rsidR="00990B14" w:rsidRDefault="00990B14">
            <w:pPr>
              <w:spacing w:before="20" w:after="20"/>
            </w:pPr>
          </w:p>
        </w:tc>
        <w:tc>
          <w:tcPr>
            <w:tcW w:w="1873" w:type="dxa"/>
            <w:shd w:val="clear" w:color="auto" w:fill="D9E2F3"/>
            <w:vAlign w:val="center"/>
          </w:tcPr>
          <w:p w14:paraId="01A7DE69" w14:textId="77777777" w:rsidR="00990B14" w:rsidRDefault="00000000">
            <w:pPr>
              <w:spacing w:before="20" w:after="20"/>
              <w:jc w:val="both"/>
            </w:pPr>
            <w:r>
              <w:rPr>
                <w:sz w:val="18"/>
                <w:szCs w:val="18"/>
              </w:rPr>
              <w:t>Prima neta anual</w:t>
            </w:r>
          </w:p>
        </w:tc>
        <w:tc>
          <w:tcPr>
            <w:tcW w:w="1868" w:type="dxa"/>
            <w:shd w:val="clear" w:color="auto" w:fill="D9E2F3"/>
            <w:vAlign w:val="center"/>
          </w:tcPr>
          <w:p w14:paraId="200C0AE8" w14:textId="77777777" w:rsidR="00990B14" w:rsidRDefault="00000000">
            <w:pPr>
              <w:spacing w:before="20" w:after="20"/>
              <w:jc w:val="both"/>
            </w:pPr>
            <w:r>
              <w:rPr>
                <w:sz w:val="18"/>
                <w:szCs w:val="18"/>
              </w:rPr>
              <w:t>No ajusta la prima al pago periódico.</w:t>
            </w:r>
          </w:p>
        </w:tc>
        <w:tc>
          <w:tcPr>
            <w:tcW w:w="1910" w:type="dxa"/>
            <w:shd w:val="clear" w:color="auto" w:fill="D9E2F3"/>
            <w:vAlign w:val="center"/>
          </w:tcPr>
          <w:p w14:paraId="090B38EF" w14:textId="77777777" w:rsidR="00990B14" w:rsidRDefault="00000000">
            <w:pPr>
              <w:spacing w:before="20" w:after="20"/>
              <w:jc w:val="both"/>
            </w:pPr>
            <w:r>
              <w:rPr>
                <w:sz w:val="18"/>
                <w:szCs w:val="18"/>
              </w:rPr>
              <w:t>Calcula la prima neta anual.</w:t>
            </w:r>
          </w:p>
        </w:tc>
        <w:tc>
          <w:tcPr>
            <w:tcW w:w="1873" w:type="dxa"/>
            <w:shd w:val="clear" w:color="auto" w:fill="D9E2F3"/>
            <w:vAlign w:val="center"/>
          </w:tcPr>
          <w:p w14:paraId="0E93CEDB" w14:textId="77777777" w:rsidR="00990B14" w:rsidRDefault="00000000">
            <w:pPr>
              <w:spacing w:before="20" w:after="20"/>
              <w:jc w:val="both"/>
            </w:pPr>
            <w:r>
              <w:rPr>
                <w:sz w:val="18"/>
                <w:szCs w:val="18"/>
              </w:rPr>
              <w:t>Compara la prima anual con la prima natural.</w:t>
            </w:r>
          </w:p>
        </w:tc>
      </w:tr>
      <w:tr w:rsidR="00990B14" w14:paraId="408C1561" w14:textId="77777777">
        <w:trPr>
          <w:cantSplit/>
          <w:jc w:val="center"/>
        </w:trPr>
        <w:tc>
          <w:tcPr>
            <w:tcW w:w="1881" w:type="dxa"/>
            <w:vMerge/>
            <w:shd w:val="clear" w:color="auto" w:fill="4472C4"/>
            <w:vAlign w:val="center"/>
          </w:tcPr>
          <w:p w14:paraId="7DA51EF4" w14:textId="77777777" w:rsidR="00990B14" w:rsidRDefault="00990B14">
            <w:pPr>
              <w:spacing w:before="20" w:after="20"/>
            </w:pPr>
          </w:p>
        </w:tc>
        <w:tc>
          <w:tcPr>
            <w:tcW w:w="5651" w:type="dxa"/>
            <w:gridSpan w:val="3"/>
            <w:shd w:val="clear" w:color="auto" w:fill="D9E2F3"/>
            <w:vAlign w:val="center"/>
          </w:tcPr>
          <w:p w14:paraId="42A174AC" w14:textId="77777777" w:rsidR="00990B14" w:rsidRDefault="00000000">
            <w:pPr>
              <w:keepNext/>
              <w:spacing w:before="20" w:after="20"/>
              <w:jc w:val="both"/>
            </w:pPr>
            <w:r>
              <w:rPr>
                <w:b/>
                <w:bCs/>
                <w:i/>
                <w:iCs/>
                <w:sz w:val="18"/>
                <w:szCs w:val="18"/>
              </w:rPr>
              <w:t xml:space="preserve">Producto 10: </w:t>
            </w:r>
            <w:r>
              <w:rPr>
                <w:sz w:val="18"/>
                <w:szCs w:val="18"/>
              </w:rPr>
              <w:t>Cuadro de composición de la prima comercial</w:t>
            </w:r>
          </w:p>
        </w:tc>
        <w:tc>
          <w:tcPr>
            <w:tcW w:w="1873" w:type="dxa"/>
            <w:shd w:val="clear" w:color="auto" w:fill="D9E2F3"/>
            <w:vAlign w:val="center"/>
          </w:tcPr>
          <w:p w14:paraId="4705B20A" w14:textId="77777777" w:rsidR="00990B14" w:rsidRDefault="00000000">
            <w:pPr>
              <w:spacing w:before="20" w:after="20"/>
              <w:jc w:val="center"/>
            </w:pPr>
            <w:r>
              <w:rPr>
                <w:b/>
                <w:bCs/>
                <w:sz w:val="18"/>
                <w:szCs w:val="18"/>
              </w:rPr>
              <w:t>5%</w:t>
            </w:r>
          </w:p>
        </w:tc>
      </w:tr>
      <w:tr w:rsidR="00990B14" w14:paraId="5E8E13FA" w14:textId="77777777">
        <w:trPr>
          <w:cantSplit/>
          <w:jc w:val="center"/>
        </w:trPr>
        <w:tc>
          <w:tcPr>
            <w:tcW w:w="1881" w:type="dxa"/>
            <w:vMerge/>
            <w:shd w:val="clear" w:color="auto" w:fill="4472C4"/>
            <w:vAlign w:val="center"/>
          </w:tcPr>
          <w:p w14:paraId="591D0BB8" w14:textId="77777777" w:rsidR="00990B14" w:rsidRDefault="00990B14">
            <w:pPr>
              <w:spacing w:before="20" w:after="20"/>
            </w:pPr>
          </w:p>
        </w:tc>
        <w:tc>
          <w:tcPr>
            <w:tcW w:w="1873" w:type="dxa"/>
            <w:shd w:val="clear" w:color="auto" w:fill="4472C4"/>
            <w:vAlign w:val="center"/>
          </w:tcPr>
          <w:p w14:paraId="4A5777BF" w14:textId="77777777" w:rsidR="00990B14" w:rsidRDefault="00000000">
            <w:pPr>
              <w:keepNext/>
              <w:spacing w:before="20" w:after="20"/>
              <w:jc w:val="center"/>
            </w:pPr>
            <w:r>
              <w:rPr>
                <w:b/>
                <w:bCs/>
                <w:i/>
                <w:iCs/>
                <w:color w:val="FFFFFF"/>
                <w:sz w:val="18"/>
                <w:szCs w:val="18"/>
              </w:rPr>
              <w:t>Criterio</w:t>
            </w:r>
          </w:p>
        </w:tc>
        <w:tc>
          <w:tcPr>
            <w:tcW w:w="1868" w:type="dxa"/>
            <w:shd w:val="clear" w:color="auto" w:fill="4472C4"/>
            <w:vAlign w:val="center"/>
          </w:tcPr>
          <w:p w14:paraId="1899B56D"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5BD1E4AC" w14:textId="77777777" w:rsidR="00990B14" w:rsidRDefault="00000000">
            <w:pPr>
              <w:keepNext/>
              <w:spacing w:before="20" w:after="20"/>
              <w:jc w:val="center"/>
            </w:pPr>
            <w:r>
              <w:rPr>
                <w:b/>
                <w:bCs/>
                <w:i/>
                <w:iCs/>
                <w:color w:val="FFFFFF"/>
                <w:sz w:val="18"/>
                <w:szCs w:val="18"/>
              </w:rPr>
              <w:t>Suficiente (51–80)</w:t>
            </w:r>
          </w:p>
        </w:tc>
        <w:tc>
          <w:tcPr>
            <w:tcW w:w="1873" w:type="dxa"/>
            <w:shd w:val="clear" w:color="auto" w:fill="4472C4"/>
            <w:vAlign w:val="center"/>
          </w:tcPr>
          <w:p w14:paraId="1E3E7EAA" w14:textId="77777777" w:rsidR="00990B14" w:rsidRDefault="00000000">
            <w:pPr>
              <w:keepNext/>
              <w:spacing w:before="20" w:after="20"/>
              <w:jc w:val="center"/>
            </w:pPr>
            <w:r>
              <w:rPr>
                <w:b/>
                <w:bCs/>
                <w:i/>
                <w:iCs/>
                <w:color w:val="FFFFFF"/>
                <w:sz w:val="18"/>
                <w:szCs w:val="18"/>
              </w:rPr>
              <w:t>Destacado (81–100)</w:t>
            </w:r>
          </w:p>
        </w:tc>
      </w:tr>
      <w:tr w:rsidR="00990B14" w14:paraId="05E89812" w14:textId="77777777">
        <w:trPr>
          <w:cantSplit/>
          <w:jc w:val="center"/>
        </w:trPr>
        <w:tc>
          <w:tcPr>
            <w:tcW w:w="1881" w:type="dxa"/>
            <w:vMerge/>
            <w:shd w:val="clear" w:color="auto" w:fill="4472C4"/>
            <w:vAlign w:val="center"/>
          </w:tcPr>
          <w:p w14:paraId="0BA13DF5" w14:textId="77777777" w:rsidR="00990B14" w:rsidRDefault="00990B14">
            <w:pPr>
              <w:spacing w:before="20" w:after="20"/>
            </w:pPr>
          </w:p>
        </w:tc>
        <w:tc>
          <w:tcPr>
            <w:tcW w:w="1873" w:type="dxa"/>
            <w:shd w:val="clear" w:color="auto" w:fill="D9E2F3"/>
            <w:vAlign w:val="center"/>
          </w:tcPr>
          <w:p w14:paraId="43D29534" w14:textId="77777777" w:rsidR="00990B14" w:rsidRDefault="00000000">
            <w:pPr>
              <w:spacing w:before="20" w:after="20"/>
              <w:jc w:val="both"/>
            </w:pPr>
            <w:r>
              <w:rPr>
                <w:sz w:val="18"/>
                <w:szCs w:val="18"/>
              </w:rPr>
              <w:t>Componentes</w:t>
            </w:r>
          </w:p>
        </w:tc>
        <w:tc>
          <w:tcPr>
            <w:tcW w:w="1868" w:type="dxa"/>
            <w:shd w:val="clear" w:color="auto" w:fill="D9E2F3"/>
            <w:vAlign w:val="center"/>
          </w:tcPr>
          <w:p w14:paraId="00B2C463" w14:textId="77777777" w:rsidR="00990B14" w:rsidRDefault="00000000">
            <w:pPr>
              <w:spacing w:before="20" w:after="20"/>
              <w:jc w:val="both"/>
            </w:pPr>
            <w:r>
              <w:rPr>
                <w:sz w:val="18"/>
                <w:szCs w:val="18"/>
              </w:rPr>
              <w:t>No distingue los componentes de la prima.</w:t>
            </w:r>
          </w:p>
        </w:tc>
        <w:tc>
          <w:tcPr>
            <w:tcW w:w="1910" w:type="dxa"/>
            <w:shd w:val="clear" w:color="auto" w:fill="D9E2F3"/>
            <w:vAlign w:val="center"/>
          </w:tcPr>
          <w:p w14:paraId="6524AAEE" w14:textId="77777777" w:rsidR="00990B14" w:rsidRDefault="00000000">
            <w:pPr>
              <w:spacing w:before="20" w:after="20"/>
              <w:jc w:val="both"/>
            </w:pPr>
            <w:r>
              <w:rPr>
                <w:sz w:val="18"/>
                <w:szCs w:val="18"/>
              </w:rPr>
              <w:t>Separa la prima pura, los recargos y el margen.</w:t>
            </w:r>
          </w:p>
        </w:tc>
        <w:tc>
          <w:tcPr>
            <w:tcW w:w="1873" w:type="dxa"/>
            <w:shd w:val="clear" w:color="auto" w:fill="D9E2F3"/>
            <w:vAlign w:val="center"/>
          </w:tcPr>
          <w:p w14:paraId="4ABE69AB" w14:textId="77777777" w:rsidR="00990B14" w:rsidRDefault="00000000">
            <w:pPr>
              <w:spacing w:before="20" w:after="20"/>
              <w:jc w:val="both"/>
            </w:pPr>
            <w:r>
              <w:rPr>
                <w:sz w:val="18"/>
                <w:szCs w:val="18"/>
              </w:rPr>
              <w:t>Explica el destino de cada recargo.</w:t>
            </w:r>
          </w:p>
        </w:tc>
      </w:tr>
      <w:tr w:rsidR="00990B14" w14:paraId="230B6010" w14:textId="77777777">
        <w:trPr>
          <w:cantSplit/>
          <w:jc w:val="center"/>
        </w:trPr>
        <w:tc>
          <w:tcPr>
            <w:tcW w:w="1881" w:type="dxa"/>
            <w:vMerge/>
            <w:shd w:val="clear" w:color="auto" w:fill="4472C4"/>
            <w:vAlign w:val="center"/>
          </w:tcPr>
          <w:p w14:paraId="471EA0F0" w14:textId="77777777" w:rsidR="00990B14" w:rsidRDefault="00990B14">
            <w:pPr>
              <w:spacing w:before="20" w:after="20"/>
            </w:pPr>
          </w:p>
        </w:tc>
        <w:tc>
          <w:tcPr>
            <w:tcW w:w="1873" w:type="dxa"/>
            <w:shd w:val="clear" w:color="auto" w:fill="D9E2F3"/>
            <w:vAlign w:val="center"/>
          </w:tcPr>
          <w:p w14:paraId="7D10EC14" w14:textId="77777777" w:rsidR="00990B14" w:rsidRDefault="00000000">
            <w:pPr>
              <w:spacing w:before="20" w:after="20"/>
              <w:jc w:val="both"/>
            </w:pPr>
            <w:r>
              <w:rPr>
                <w:sz w:val="18"/>
                <w:szCs w:val="18"/>
              </w:rPr>
              <w:t>Comparación</w:t>
            </w:r>
          </w:p>
        </w:tc>
        <w:tc>
          <w:tcPr>
            <w:tcW w:w="1868" w:type="dxa"/>
            <w:shd w:val="clear" w:color="auto" w:fill="D9E2F3"/>
            <w:vAlign w:val="center"/>
          </w:tcPr>
          <w:p w14:paraId="0D3DB3C1" w14:textId="77777777" w:rsidR="00990B14" w:rsidRDefault="00000000">
            <w:pPr>
              <w:spacing w:before="20" w:after="20"/>
              <w:jc w:val="both"/>
            </w:pPr>
            <w:r>
              <w:rPr>
                <w:sz w:val="18"/>
                <w:szCs w:val="18"/>
              </w:rPr>
              <w:t>Compara pólizas con coberturas distintas sin advertirlo.</w:t>
            </w:r>
          </w:p>
        </w:tc>
        <w:tc>
          <w:tcPr>
            <w:tcW w:w="1910" w:type="dxa"/>
            <w:shd w:val="clear" w:color="auto" w:fill="D9E2F3"/>
            <w:vAlign w:val="center"/>
          </w:tcPr>
          <w:p w14:paraId="1325A997" w14:textId="77777777" w:rsidR="00990B14" w:rsidRDefault="00000000">
            <w:pPr>
              <w:spacing w:before="20" w:after="20"/>
              <w:jc w:val="both"/>
            </w:pPr>
            <w:r>
              <w:rPr>
                <w:sz w:val="18"/>
                <w:szCs w:val="18"/>
              </w:rPr>
              <w:t>Compara pólizas equivalentes.</w:t>
            </w:r>
          </w:p>
        </w:tc>
        <w:tc>
          <w:tcPr>
            <w:tcW w:w="1873" w:type="dxa"/>
            <w:shd w:val="clear" w:color="auto" w:fill="D9E2F3"/>
            <w:vAlign w:val="center"/>
          </w:tcPr>
          <w:p w14:paraId="26E7BB5B" w14:textId="77777777" w:rsidR="00990B14" w:rsidRDefault="00000000">
            <w:pPr>
              <w:spacing w:before="20" w:after="20"/>
              <w:jc w:val="both"/>
            </w:pPr>
            <w:r>
              <w:rPr>
                <w:sz w:val="18"/>
                <w:szCs w:val="18"/>
              </w:rPr>
              <w:t>Evalúa cuál ofrece mejor relación entre costo y cobertura.</w:t>
            </w:r>
          </w:p>
        </w:tc>
      </w:tr>
      <w:tr w:rsidR="00990B14" w14:paraId="3F4AD94D" w14:textId="77777777">
        <w:trPr>
          <w:cantSplit/>
          <w:jc w:val="center"/>
        </w:trPr>
        <w:tc>
          <w:tcPr>
            <w:tcW w:w="1881" w:type="dxa"/>
            <w:vMerge/>
            <w:shd w:val="clear" w:color="auto" w:fill="4472C4"/>
            <w:vAlign w:val="center"/>
          </w:tcPr>
          <w:p w14:paraId="0670FCAA" w14:textId="77777777" w:rsidR="00990B14" w:rsidRDefault="00990B14">
            <w:pPr>
              <w:spacing w:before="20" w:after="20"/>
            </w:pPr>
          </w:p>
        </w:tc>
        <w:tc>
          <w:tcPr>
            <w:tcW w:w="1873" w:type="dxa"/>
            <w:shd w:val="clear" w:color="auto" w:fill="D9E2F3"/>
            <w:vAlign w:val="center"/>
          </w:tcPr>
          <w:p w14:paraId="3799B7BC" w14:textId="77777777" w:rsidR="00990B14" w:rsidRDefault="00000000">
            <w:pPr>
              <w:spacing w:before="20" w:after="20"/>
              <w:jc w:val="both"/>
            </w:pPr>
            <w:r>
              <w:rPr>
                <w:sz w:val="18"/>
                <w:szCs w:val="18"/>
              </w:rPr>
              <w:t>Ética</w:t>
            </w:r>
          </w:p>
        </w:tc>
        <w:tc>
          <w:tcPr>
            <w:tcW w:w="1868" w:type="dxa"/>
            <w:shd w:val="clear" w:color="auto" w:fill="D9E2F3"/>
            <w:vAlign w:val="center"/>
          </w:tcPr>
          <w:p w14:paraId="1F2A870F" w14:textId="77777777" w:rsidR="00990B14" w:rsidRDefault="00000000">
            <w:pPr>
              <w:spacing w:before="20" w:after="20"/>
              <w:jc w:val="both"/>
            </w:pPr>
            <w:r>
              <w:rPr>
                <w:sz w:val="18"/>
                <w:szCs w:val="18"/>
              </w:rPr>
              <w:t>Omite información relevante para el asegurado.</w:t>
            </w:r>
          </w:p>
        </w:tc>
        <w:tc>
          <w:tcPr>
            <w:tcW w:w="1910" w:type="dxa"/>
            <w:shd w:val="clear" w:color="auto" w:fill="D9E2F3"/>
            <w:vAlign w:val="center"/>
          </w:tcPr>
          <w:p w14:paraId="3D8C032C" w14:textId="77777777" w:rsidR="00990B14" w:rsidRDefault="00000000">
            <w:pPr>
              <w:spacing w:before="20" w:after="20"/>
              <w:jc w:val="both"/>
            </w:pPr>
            <w:r>
              <w:rPr>
                <w:sz w:val="18"/>
                <w:szCs w:val="18"/>
              </w:rPr>
              <w:t>Presenta la información con transparencia.</w:t>
            </w:r>
          </w:p>
        </w:tc>
        <w:tc>
          <w:tcPr>
            <w:tcW w:w="1873" w:type="dxa"/>
            <w:shd w:val="clear" w:color="auto" w:fill="D9E2F3"/>
            <w:vAlign w:val="center"/>
          </w:tcPr>
          <w:p w14:paraId="3F6275B8" w14:textId="77777777" w:rsidR="00990B14" w:rsidRDefault="00000000">
            <w:pPr>
              <w:spacing w:before="20" w:after="20"/>
              <w:jc w:val="both"/>
            </w:pPr>
            <w:r>
              <w:rPr>
                <w:sz w:val="18"/>
                <w:szCs w:val="18"/>
              </w:rPr>
              <w:t>Señala las condiciones que el asegurado debe revisar.</w:t>
            </w:r>
          </w:p>
        </w:tc>
      </w:tr>
      <w:tr w:rsidR="00990B14" w14:paraId="5C9CEF33" w14:textId="77777777">
        <w:trPr>
          <w:cantSplit/>
          <w:jc w:val="center"/>
        </w:trPr>
        <w:tc>
          <w:tcPr>
            <w:tcW w:w="1881" w:type="dxa"/>
            <w:vMerge/>
            <w:shd w:val="clear" w:color="auto" w:fill="4472C4"/>
            <w:vAlign w:val="center"/>
          </w:tcPr>
          <w:p w14:paraId="357F476C" w14:textId="77777777" w:rsidR="00990B14" w:rsidRDefault="00990B14">
            <w:pPr>
              <w:spacing w:before="20" w:after="20"/>
            </w:pPr>
          </w:p>
        </w:tc>
        <w:tc>
          <w:tcPr>
            <w:tcW w:w="5651" w:type="dxa"/>
            <w:gridSpan w:val="3"/>
            <w:shd w:val="clear" w:color="auto" w:fill="D9E2F3"/>
            <w:vAlign w:val="center"/>
          </w:tcPr>
          <w:p w14:paraId="6EE3DC03" w14:textId="77777777" w:rsidR="00990B14" w:rsidRDefault="00000000">
            <w:pPr>
              <w:keepNext/>
              <w:spacing w:before="20" w:after="20"/>
              <w:jc w:val="both"/>
            </w:pPr>
            <w:r>
              <w:rPr>
                <w:b/>
                <w:bCs/>
                <w:i/>
                <w:iCs/>
                <w:sz w:val="18"/>
                <w:szCs w:val="18"/>
              </w:rPr>
              <w:t xml:space="preserve">Producto 11: </w:t>
            </w:r>
            <w:r>
              <w:rPr>
                <w:sz w:val="18"/>
                <w:szCs w:val="18"/>
              </w:rPr>
              <w:t>Cálculo de la reserva</w:t>
            </w:r>
          </w:p>
        </w:tc>
        <w:tc>
          <w:tcPr>
            <w:tcW w:w="1873" w:type="dxa"/>
            <w:shd w:val="clear" w:color="auto" w:fill="D9E2F3"/>
            <w:vAlign w:val="center"/>
          </w:tcPr>
          <w:p w14:paraId="367C60DE" w14:textId="77777777" w:rsidR="00990B14" w:rsidRDefault="00000000">
            <w:pPr>
              <w:spacing w:before="20" w:after="20"/>
              <w:jc w:val="center"/>
            </w:pPr>
            <w:r>
              <w:rPr>
                <w:b/>
                <w:bCs/>
                <w:sz w:val="18"/>
                <w:szCs w:val="18"/>
              </w:rPr>
              <w:t>5%</w:t>
            </w:r>
          </w:p>
        </w:tc>
      </w:tr>
      <w:tr w:rsidR="00990B14" w14:paraId="045552F3" w14:textId="77777777">
        <w:trPr>
          <w:cantSplit/>
          <w:jc w:val="center"/>
        </w:trPr>
        <w:tc>
          <w:tcPr>
            <w:tcW w:w="1881" w:type="dxa"/>
            <w:vMerge/>
            <w:shd w:val="clear" w:color="auto" w:fill="4472C4"/>
            <w:vAlign w:val="center"/>
          </w:tcPr>
          <w:p w14:paraId="0B916D78" w14:textId="77777777" w:rsidR="00990B14" w:rsidRDefault="00990B14">
            <w:pPr>
              <w:spacing w:before="20" w:after="20"/>
            </w:pPr>
          </w:p>
        </w:tc>
        <w:tc>
          <w:tcPr>
            <w:tcW w:w="1873" w:type="dxa"/>
            <w:shd w:val="clear" w:color="auto" w:fill="4472C4"/>
            <w:vAlign w:val="center"/>
          </w:tcPr>
          <w:p w14:paraId="65214452" w14:textId="77777777" w:rsidR="00990B14" w:rsidRDefault="00000000">
            <w:pPr>
              <w:keepNext/>
              <w:spacing w:before="20" w:after="20"/>
              <w:jc w:val="center"/>
            </w:pPr>
            <w:r>
              <w:rPr>
                <w:b/>
                <w:bCs/>
                <w:i/>
                <w:iCs/>
                <w:color w:val="FFFFFF"/>
                <w:sz w:val="18"/>
                <w:szCs w:val="18"/>
              </w:rPr>
              <w:t>Criterio</w:t>
            </w:r>
          </w:p>
        </w:tc>
        <w:tc>
          <w:tcPr>
            <w:tcW w:w="1868" w:type="dxa"/>
            <w:shd w:val="clear" w:color="auto" w:fill="4472C4"/>
            <w:vAlign w:val="center"/>
          </w:tcPr>
          <w:p w14:paraId="4846F2AD"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64D8BE79" w14:textId="77777777" w:rsidR="00990B14" w:rsidRDefault="00000000">
            <w:pPr>
              <w:keepNext/>
              <w:spacing w:before="20" w:after="20"/>
              <w:jc w:val="center"/>
            </w:pPr>
            <w:r>
              <w:rPr>
                <w:b/>
                <w:bCs/>
                <w:i/>
                <w:iCs/>
                <w:color w:val="FFFFFF"/>
                <w:sz w:val="18"/>
                <w:szCs w:val="18"/>
              </w:rPr>
              <w:t>Suficiente (51–80)</w:t>
            </w:r>
          </w:p>
        </w:tc>
        <w:tc>
          <w:tcPr>
            <w:tcW w:w="1873" w:type="dxa"/>
            <w:shd w:val="clear" w:color="auto" w:fill="4472C4"/>
            <w:vAlign w:val="center"/>
          </w:tcPr>
          <w:p w14:paraId="6A1009D0" w14:textId="77777777" w:rsidR="00990B14" w:rsidRDefault="00000000">
            <w:pPr>
              <w:keepNext/>
              <w:spacing w:before="20" w:after="20"/>
              <w:jc w:val="center"/>
            </w:pPr>
            <w:r>
              <w:rPr>
                <w:b/>
                <w:bCs/>
                <w:i/>
                <w:iCs/>
                <w:color w:val="FFFFFF"/>
                <w:sz w:val="18"/>
                <w:szCs w:val="18"/>
              </w:rPr>
              <w:t>Destacado (81–100)</w:t>
            </w:r>
          </w:p>
        </w:tc>
      </w:tr>
      <w:tr w:rsidR="00990B14" w14:paraId="6F5B8DE9" w14:textId="77777777">
        <w:trPr>
          <w:cantSplit/>
          <w:jc w:val="center"/>
        </w:trPr>
        <w:tc>
          <w:tcPr>
            <w:tcW w:w="1881" w:type="dxa"/>
            <w:vMerge/>
            <w:shd w:val="clear" w:color="auto" w:fill="4472C4"/>
            <w:vAlign w:val="center"/>
          </w:tcPr>
          <w:p w14:paraId="585BD458" w14:textId="77777777" w:rsidR="00990B14" w:rsidRDefault="00990B14">
            <w:pPr>
              <w:spacing w:before="20" w:after="20"/>
            </w:pPr>
          </w:p>
        </w:tc>
        <w:tc>
          <w:tcPr>
            <w:tcW w:w="1873" w:type="dxa"/>
            <w:shd w:val="clear" w:color="auto" w:fill="D9E2F3"/>
            <w:vAlign w:val="center"/>
          </w:tcPr>
          <w:p w14:paraId="55EE2A48" w14:textId="77777777" w:rsidR="00990B14" w:rsidRDefault="00000000">
            <w:pPr>
              <w:spacing w:before="20" w:after="20"/>
              <w:jc w:val="both"/>
            </w:pPr>
            <w:r>
              <w:rPr>
                <w:sz w:val="18"/>
                <w:szCs w:val="18"/>
              </w:rPr>
              <w:t>Método</w:t>
            </w:r>
          </w:p>
        </w:tc>
        <w:tc>
          <w:tcPr>
            <w:tcW w:w="1868" w:type="dxa"/>
            <w:shd w:val="clear" w:color="auto" w:fill="D9E2F3"/>
            <w:vAlign w:val="center"/>
          </w:tcPr>
          <w:p w14:paraId="2CD8DEBB" w14:textId="77777777" w:rsidR="00990B14" w:rsidRDefault="00000000">
            <w:pPr>
              <w:spacing w:before="20" w:after="20"/>
              <w:jc w:val="both"/>
            </w:pPr>
            <w:r>
              <w:rPr>
                <w:sz w:val="18"/>
                <w:szCs w:val="18"/>
              </w:rPr>
              <w:t>Usa un método que no corresponde.</w:t>
            </w:r>
          </w:p>
        </w:tc>
        <w:tc>
          <w:tcPr>
            <w:tcW w:w="1910" w:type="dxa"/>
            <w:shd w:val="clear" w:color="auto" w:fill="D9E2F3"/>
            <w:vAlign w:val="center"/>
          </w:tcPr>
          <w:p w14:paraId="16E565DB" w14:textId="77777777" w:rsidR="00990B14" w:rsidRDefault="00000000">
            <w:pPr>
              <w:spacing w:before="20" w:after="20"/>
              <w:jc w:val="both"/>
            </w:pPr>
            <w:r>
              <w:rPr>
                <w:sz w:val="18"/>
                <w:szCs w:val="18"/>
              </w:rPr>
              <w:t>Calcula la reserva por el método prospectivo o retrospectivo.</w:t>
            </w:r>
          </w:p>
        </w:tc>
        <w:tc>
          <w:tcPr>
            <w:tcW w:w="1873" w:type="dxa"/>
            <w:shd w:val="clear" w:color="auto" w:fill="D9E2F3"/>
            <w:vAlign w:val="center"/>
          </w:tcPr>
          <w:p w14:paraId="798145B1" w14:textId="77777777" w:rsidR="00990B14" w:rsidRDefault="00000000">
            <w:pPr>
              <w:spacing w:before="20" w:after="20"/>
              <w:jc w:val="both"/>
            </w:pPr>
            <w:r>
              <w:rPr>
                <w:sz w:val="18"/>
                <w:szCs w:val="18"/>
              </w:rPr>
              <w:t>Comprueba la igualdad de ambos métodos.</w:t>
            </w:r>
          </w:p>
        </w:tc>
      </w:tr>
      <w:tr w:rsidR="00990B14" w14:paraId="3D89AA59" w14:textId="77777777">
        <w:trPr>
          <w:cantSplit/>
          <w:jc w:val="center"/>
        </w:trPr>
        <w:tc>
          <w:tcPr>
            <w:tcW w:w="1881" w:type="dxa"/>
            <w:vMerge/>
            <w:shd w:val="clear" w:color="auto" w:fill="4472C4"/>
            <w:vAlign w:val="center"/>
          </w:tcPr>
          <w:p w14:paraId="2660122A" w14:textId="77777777" w:rsidR="00990B14" w:rsidRDefault="00990B14">
            <w:pPr>
              <w:spacing w:before="20" w:after="20"/>
            </w:pPr>
          </w:p>
        </w:tc>
        <w:tc>
          <w:tcPr>
            <w:tcW w:w="1873" w:type="dxa"/>
            <w:shd w:val="clear" w:color="auto" w:fill="D9E2F3"/>
            <w:vAlign w:val="center"/>
          </w:tcPr>
          <w:p w14:paraId="4EA5AC19" w14:textId="77777777" w:rsidR="00990B14" w:rsidRDefault="00000000">
            <w:pPr>
              <w:spacing w:before="20" w:after="20"/>
              <w:jc w:val="both"/>
            </w:pPr>
            <w:r>
              <w:rPr>
                <w:sz w:val="18"/>
                <w:szCs w:val="18"/>
              </w:rPr>
              <w:t>Evolución</w:t>
            </w:r>
          </w:p>
        </w:tc>
        <w:tc>
          <w:tcPr>
            <w:tcW w:w="1868" w:type="dxa"/>
            <w:shd w:val="clear" w:color="auto" w:fill="D9E2F3"/>
            <w:vAlign w:val="center"/>
          </w:tcPr>
          <w:p w14:paraId="44C828ED" w14:textId="77777777" w:rsidR="00990B14" w:rsidRDefault="00000000">
            <w:pPr>
              <w:spacing w:before="20" w:after="20"/>
              <w:jc w:val="both"/>
            </w:pPr>
            <w:r>
              <w:rPr>
                <w:sz w:val="18"/>
                <w:szCs w:val="18"/>
              </w:rPr>
              <w:t>Calcula la reserva de un solo año.</w:t>
            </w:r>
          </w:p>
        </w:tc>
        <w:tc>
          <w:tcPr>
            <w:tcW w:w="1910" w:type="dxa"/>
            <w:shd w:val="clear" w:color="auto" w:fill="D9E2F3"/>
            <w:vAlign w:val="center"/>
          </w:tcPr>
          <w:p w14:paraId="4DD6F0E0" w14:textId="77777777" w:rsidR="00990B14" w:rsidRDefault="00000000">
            <w:pPr>
              <w:spacing w:before="20" w:after="20"/>
              <w:jc w:val="both"/>
            </w:pPr>
            <w:r>
              <w:rPr>
                <w:sz w:val="18"/>
                <w:szCs w:val="18"/>
              </w:rPr>
              <w:t>Presenta la evolución de la reserva.</w:t>
            </w:r>
          </w:p>
        </w:tc>
        <w:tc>
          <w:tcPr>
            <w:tcW w:w="1873" w:type="dxa"/>
            <w:shd w:val="clear" w:color="auto" w:fill="D9E2F3"/>
            <w:vAlign w:val="center"/>
          </w:tcPr>
          <w:p w14:paraId="49E3A6FA" w14:textId="77777777" w:rsidR="00990B14" w:rsidRDefault="00000000">
            <w:pPr>
              <w:spacing w:before="20" w:after="20"/>
              <w:jc w:val="both"/>
            </w:pPr>
            <w:r>
              <w:rPr>
                <w:sz w:val="18"/>
                <w:szCs w:val="18"/>
              </w:rPr>
              <w:t>Explica la forma de la curva de la reserva.</w:t>
            </w:r>
          </w:p>
        </w:tc>
      </w:tr>
      <w:tr w:rsidR="00990B14" w14:paraId="199EEED9" w14:textId="77777777">
        <w:trPr>
          <w:cantSplit/>
          <w:jc w:val="center"/>
        </w:trPr>
        <w:tc>
          <w:tcPr>
            <w:tcW w:w="1881" w:type="dxa"/>
            <w:vMerge/>
            <w:shd w:val="clear" w:color="auto" w:fill="4472C4"/>
            <w:vAlign w:val="center"/>
          </w:tcPr>
          <w:p w14:paraId="6558F6E4" w14:textId="77777777" w:rsidR="00990B14" w:rsidRDefault="00990B14">
            <w:pPr>
              <w:spacing w:before="20" w:after="20"/>
            </w:pPr>
          </w:p>
        </w:tc>
        <w:tc>
          <w:tcPr>
            <w:tcW w:w="1873" w:type="dxa"/>
            <w:shd w:val="clear" w:color="auto" w:fill="D9E2F3"/>
            <w:vAlign w:val="center"/>
          </w:tcPr>
          <w:p w14:paraId="21046B83" w14:textId="77777777" w:rsidR="00990B14" w:rsidRDefault="00000000">
            <w:pPr>
              <w:spacing w:before="20" w:after="20"/>
              <w:jc w:val="both"/>
            </w:pPr>
            <w:r>
              <w:rPr>
                <w:sz w:val="18"/>
                <w:szCs w:val="18"/>
              </w:rPr>
              <w:t>Suficiencia</w:t>
            </w:r>
          </w:p>
        </w:tc>
        <w:tc>
          <w:tcPr>
            <w:tcW w:w="1868" w:type="dxa"/>
            <w:shd w:val="clear" w:color="auto" w:fill="D9E2F3"/>
            <w:vAlign w:val="center"/>
          </w:tcPr>
          <w:p w14:paraId="419D3C88" w14:textId="77777777" w:rsidR="00990B14" w:rsidRDefault="00000000">
            <w:pPr>
              <w:spacing w:before="20" w:after="20"/>
              <w:jc w:val="both"/>
            </w:pPr>
            <w:r>
              <w:rPr>
                <w:sz w:val="18"/>
                <w:szCs w:val="18"/>
              </w:rPr>
              <w:t>No evalúa la suficiencia.</w:t>
            </w:r>
          </w:p>
        </w:tc>
        <w:tc>
          <w:tcPr>
            <w:tcW w:w="1910" w:type="dxa"/>
            <w:shd w:val="clear" w:color="auto" w:fill="D9E2F3"/>
            <w:vAlign w:val="center"/>
          </w:tcPr>
          <w:p w14:paraId="4828133C" w14:textId="77777777" w:rsidR="00990B14" w:rsidRDefault="00000000">
            <w:pPr>
              <w:spacing w:before="20" w:after="20"/>
              <w:jc w:val="both"/>
            </w:pPr>
            <w:r>
              <w:rPr>
                <w:sz w:val="18"/>
                <w:szCs w:val="18"/>
              </w:rPr>
              <w:t>Evalúa la suficiencia frente a los supuestos.</w:t>
            </w:r>
          </w:p>
        </w:tc>
        <w:tc>
          <w:tcPr>
            <w:tcW w:w="1873" w:type="dxa"/>
            <w:shd w:val="clear" w:color="auto" w:fill="D9E2F3"/>
            <w:vAlign w:val="center"/>
          </w:tcPr>
          <w:p w14:paraId="4476B8DE" w14:textId="77777777" w:rsidR="00990B14" w:rsidRDefault="00000000">
            <w:pPr>
              <w:spacing w:before="20" w:after="20"/>
              <w:jc w:val="both"/>
            </w:pPr>
            <w:r>
              <w:rPr>
                <w:sz w:val="18"/>
                <w:szCs w:val="18"/>
              </w:rPr>
              <w:t>Propone ajustes ante supuestos desfavorables.</w:t>
            </w:r>
          </w:p>
        </w:tc>
      </w:tr>
      <w:tr w:rsidR="00990B14" w14:paraId="22521194" w14:textId="77777777">
        <w:trPr>
          <w:cantSplit/>
          <w:jc w:val="center"/>
        </w:trPr>
        <w:tc>
          <w:tcPr>
            <w:tcW w:w="1881" w:type="dxa"/>
            <w:vMerge/>
            <w:shd w:val="clear" w:color="auto" w:fill="4472C4"/>
            <w:vAlign w:val="center"/>
          </w:tcPr>
          <w:p w14:paraId="013DB847" w14:textId="77777777" w:rsidR="00990B14" w:rsidRDefault="00990B14">
            <w:pPr>
              <w:spacing w:before="20" w:after="20"/>
            </w:pPr>
          </w:p>
        </w:tc>
        <w:tc>
          <w:tcPr>
            <w:tcW w:w="5651" w:type="dxa"/>
            <w:gridSpan w:val="3"/>
            <w:shd w:val="clear" w:color="auto" w:fill="D9E2F3"/>
            <w:vAlign w:val="center"/>
          </w:tcPr>
          <w:p w14:paraId="37D32D2C" w14:textId="77777777" w:rsidR="00990B14" w:rsidRDefault="00000000">
            <w:pPr>
              <w:keepNext/>
              <w:spacing w:before="20" w:after="20"/>
              <w:jc w:val="both"/>
            </w:pPr>
            <w:r>
              <w:rPr>
                <w:b/>
                <w:bCs/>
                <w:i/>
                <w:iCs/>
                <w:sz w:val="18"/>
                <w:szCs w:val="18"/>
              </w:rPr>
              <w:t xml:space="preserve">Producto 12: </w:t>
            </w:r>
            <w:r>
              <w:rPr>
                <w:sz w:val="18"/>
                <w:szCs w:val="18"/>
              </w:rPr>
              <w:t>Cálculo actuarial de la previsión para indemnizaciones</w:t>
            </w:r>
          </w:p>
        </w:tc>
        <w:tc>
          <w:tcPr>
            <w:tcW w:w="1873" w:type="dxa"/>
            <w:shd w:val="clear" w:color="auto" w:fill="D9E2F3"/>
            <w:vAlign w:val="center"/>
          </w:tcPr>
          <w:p w14:paraId="3B78BF5C" w14:textId="77777777" w:rsidR="00990B14" w:rsidRDefault="00000000">
            <w:pPr>
              <w:spacing w:before="20" w:after="20"/>
              <w:jc w:val="center"/>
            </w:pPr>
            <w:r>
              <w:rPr>
                <w:b/>
                <w:bCs/>
                <w:sz w:val="18"/>
                <w:szCs w:val="18"/>
              </w:rPr>
              <w:t>5%</w:t>
            </w:r>
          </w:p>
        </w:tc>
      </w:tr>
      <w:tr w:rsidR="00990B14" w14:paraId="68F86C1C" w14:textId="77777777">
        <w:trPr>
          <w:cantSplit/>
          <w:jc w:val="center"/>
        </w:trPr>
        <w:tc>
          <w:tcPr>
            <w:tcW w:w="1881" w:type="dxa"/>
            <w:vMerge/>
            <w:shd w:val="clear" w:color="auto" w:fill="4472C4"/>
            <w:vAlign w:val="center"/>
          </w:tcPr>
          <w:p w14:paraId="4179167C" w14:textId="77777777" w:rsidR="00990B14" w:rsidRDefault="00990B14">
            <w:pPr>
              <w:spacing w:before="20" w:after="20"/>
            </w:pPr>
          </w:p>
        </w:tc>
        <w:tc>
          <w:tcPr>
            <w:tcW w:w="1873" w:type="dxa"/>
            <w:shd w:val="clear" w:color="auto" w:fill="4472C4"/>
            <w:vAlign w:val="center"/>
          </w:tcPr>
          <w:p w14:paraId="5D6063F8" w14:textId="77777777" w:rsidR="00990B14" w:rsidRDefault="00000000">
            <w:pPr>
              <w:keepNext/>
              <w:spacing w:before="20" w:after="20"/>
              <w:jc w:val="center"/>
            </w:pPr>
            <w:r>
              <w:rPr>
                <w:b/>
                <w:bCs/>
                <w:i/>
                <w:iCs/>
                <w:color w:val="FFFFFF"/>
                <w:sz w:val="18"/>
                <w:szCs w:val="18"/>
              </w:rPr>
              <w:t>Criterio</w:t>
            </w:r>
          </w:p>
        </w:tc>
        <w:tc>
          <w:tcPr>
            <w:tcW w:w="1868" w:type="dxa"/>
            <w:shd w:val="clear" w:color="auto" w:fill="4472C4"/>
            <w:vAlign w:val="center"/>
          </w:tcPr>
          <w:p w14:paraId="55E80187"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408F691E" w14:textId="77777777" w:rsidR="00990B14" w:rsidRDefault="00000000">
            <w:pPr>
              <w:keepNext/>
              <w:spacing w:before="20" w:after="20"/>
              <w:jc w:val="center"/>
            </w:pPr>
            <w:r>
              <w:rPr>
                <w:b/>
                <w:bCs/>
                <w:i/>
                <w:iCs/>
                <w:color w:val="FFFFFF"/>
                <w:sz w:val="18"/>
                <w:szCs w:val="18"/>
              </w:rPr>
              <w:t>Suficiente (51–80)</w:t>
            </w:r>
          </w:p>
        </w:tc>
        <w:tc>
          <w:tcPr>
            <w:tcW w:w="1873" w:type="dxa"/>
            <w:shd w:val="clear" w:color="auto" w:fill="4472C4"/>
            <w:vAlign w:val="center"/>
          </w:tcPr>
          <w:p w14:paraId="58C06BE7" w14:textId="77777777" w:rsidR="00990B14" w:rsidRDefault="00000000">
            <w:pPr>
              <w:keepNext/>
              <w:spacing w:before="20" w:after="20"/>
              <w:jc w:val="center"/>
            </w:pPr>
            <w:r>
              <w:rPr>
                <w:b/>
                <w:bCs/>
                <w:i/>
                <w:iCs/>
                <w:color w:val="FFFFFF"/>
                <w:sz w:val="18"/>
                <w:szCs w:val="18"/>
              </w:rPr>
              <w:t>Destacado (81–100)</w:t>
            </w:r>
          </w:p>
        </w:tc>
      </w:tr>
      <w:tr w:rsidR="00990B14" w14:paraId="63750D36" w14:textId="77777777">
        <w:trPr>
          <w:cantSplit/>
          <w:jc w:val="center"/>
        </w:trPr>
        <w:tc>
          <w:tcPr>
            <w:tcW w:w="1881" w:type="dxa"/>
            <w:vMerge/>
            <w:shd w:val="clear" w:color="auto" w:fill="4472C4"/>
            <w:vAlign w:val="center"/>
          </w:tcPr>
          <w:p w14:paraId="1D585D4B" w14:textId="77777777" w:rsidR="00990B14" w:rsidRDefault="00990B14">
            <w:pPr>
              <w:spacing w:before="20" w:after="20"/>
            </w:pPr>
          </w:p>
        </w:tc>
        <w:tc>
          <w:tcPr>
            <w:tcW w:w="1873" w:type="dxa"/>
            <w:shd w:val="clear" w:color="auto" w:fill="D9E2F3"/>
            <w:vAlign w:val="center"/>
          </w:tcPr>
          <w:p w14:paraId="61FFC808" w14:textId="77777777" w:rsidR="00990B14" w:rsidRDefault="00000000">
            <w:pPr>
              <w:spacing w:before="20" w:after="20"/>
              <w:jc w:val="both"/>
            </w:pPr>
            <w:r>
              <w:rPr>
                <w:sz w:val="18"/>
                <w:szCs w:val="18"/>
              </w:rPr>
              <w:t>Hipótesis</w:t>
            </w:r>
          </w:p>
        </w:tc>
        <w:tc>
          <w:tcPr>
            <w:tcW w:w="1868" w:type="dxa"/>
            <w:shd w:val="clear" w:color="auto" w:fill="D9E2F3"/>
            <w:vAlign w:val="center"/>
          </w:tcPr>
          <w:p w14:paraId="2CA9C72E" w14:textId="77777777" w:rsidR="00990B14" w:rsidRDefault="00000000">
            <w:pPr>
              <w:spacing w:before="20" w:after="20"/>
              <w:jc w:val="both"/>
            </w:pPr>
            <w:r>
              <w:rPr>
                <w:sz w:val="18"/>
                <w:szCs w:val="18"/>
              </w:rPr>
              <w:t>No explicita las hipótesis.</w:t>
            </w:r>
          </w:p>
        </w:tc>
        <w:tc>
          <w:tcPr>
            <w:tcW w:w="1910" w:type="dxa"/>
            <w:shd w:val="clear" w:color="auto" w:fill="D9E2F3"/>
            <w:vAlign w:val="center"/>
          </w:tcPr>
          <w:p w14:paraId="084AF540" w14:textId="77777777" w:rsidR="00990B14" w:rsidRDefault="00000000">
            <w:pPr>
              <w:spacing w:before="20" w:after="20"/>
              <w:jc w:val="both"/>
            </w:pPr>
            <w:r>
              <w:rPr>
                <w:sz w:val="18"/>
                <w:szCs w:val="18"/>
              </w:rPr>
              <w:t>Define la tasa de descuento, el incremento salarial, la rotación y la mortalidad.</w:t>
            </w:r>
          </w:p>
        </w:tc>
        <w:tc>
          <w:tcPr>
            <w:tcW w:w="1873" w:type="dxa"/>
            <w:shd w:val="clear" w:color="auto" w:fill="D9E2F3"/>
            <w:vAlign w:val="center"/>
          </w:tcPr>
          <w:p w14:paraId="3EAF3AF1" w14:textId="77777777" w:rsidR="00990B14" w:rsidRDefault="00000000">
            <w:pPr>
              <w:spacing w:before="20" w:after="20"/>
              <w:jc w:val="both"/>
            </w:pPr>
            <w:r>
              <w:rPr>
                <w:sz w:val="18"/>
                <w:szCs w:val="18"/>
              </w:rPr>
              <w:t>Justifica cada hipótesis con datos de la entidad.</w:t>
            </w:r>
          </w:p>
        </w:tc>
      </w:tr>
      <w:tr w:rsidR="00990B14" w14:paraId="0FF87AF7" w14:textId="77777777">
        <w:trPr>
          <w:cantSplit/>
          <w:jc w:val="center"/>
        </w:trPr>
        <w:tc>
          <w:tcPr>
            <w:tcW w:w="1881" w:type="dxa"/>
            <w:vMerge/>
            <w:shd w:val="clear" w:color="auto" w:fill="4472C4"/>
            <w:vAlign w:val="center"/>
          </w:tcPr>
          <w:p w14:paraId="1C88AC68" w14:textId="77777777" w:rsidR="00990B14" w:rsidRDefault="00990B14">
            <w:pPr>
              <w:spacing w:before="20" w:after="20"/>
            </w:pPr>
          </w:p>
        </w:tc>
        <w:tc>
          <w:tcPr>
            <w:tcW w:w="1873" w:type="dxa"/>
            <w:shd w:val="clear" w:color="auto" w:fill="D9E2F3"/>
            <w:vAlign w:val="center"/>
          </w:tcPr>
          <w:p w14:paraId="424AD8D0" w14:textId="77777777" w:rsidR="00990B14" w:rsidRDefault="00000000">
            <w:pPr>
              <w:spacing w:before="20" w:after="20"/>
              <w:jc w:val="both"/>
            </w:pPr>
            <w:r>
              <w:rPr>
                <w:sz w:val="18"/>
                <w:szCs w:val="18"/>
              </w:rPr>
              <w:t>Valuación</w:t>
            </w:r>
          </w:p>
        </w:tc>
        <w:tc>
          <w:tcPr>
            <w:tcW w:w="1868" w:type="dxa"/>
            <w:shd w:val="clear" w:color="auto" w:fill="D9E2F3"/>
            <w:vAlign w:val="center"/>
          </w:tcPr>
          <w:p w14:paraId="4C6C84E5" w14:textId="77777777" w:rsidR="00990B14" w:rsidRDefault="00000000">
            <w:pPr>
              <w:spacing w:before="20" w:after="20"/>
              <w:jc w:val="both"/>
            </w:pPr>
            <w:r>
              <w:rPr>
                <w:sz w:val="18"/>
                <w:szCs w:val="18"/>
              </w:rPr>
              <w:t>La obligación calculada es incorrecta.</w:t>
            </w:r>
          </w:p>
        </w:tc>
        <w:tc>
          <w:tcPr>
            <w:tcW w:w="1910" w:type="dxa"/>
            <w:shd w:val="clear" w:color="auto" w:fill="D9E2F3"/>
            <w:vAlign w:val="center"/>
          </w:tcPr>
          <w:p w14:paraId="7A331D27" w14:textId="77777777" w:rsidR="00990B14" w:rsidRDefault="00000000">
            <w:pPr>
              <w:spacing w:before="20" w:after="20"/>
              <w:jc w:val="both"/>
            </w:pPr>
            <w:r>
              <w:rPr>
                <w:sz w:val="18"/>
                <w:szCs w:val="18"/>
              </w:rPr>
              <w:t>Calcula la obligación por beneficios definidos.</w:t>
            </w:r>
          </w:p>
        </w:tc>
        <w:tc>
          <w:tcPr>
            <w:tcW w:w="1873" w:type="dxa"/>
            <w:shd w:val="clear" w:color="auto" w:fill="D9E2F3"/>
            <w:vAlign w:val="center"/>
          </w:tcPr>
          <w:p w14:paraId="15F26AD0" w14:textId="77777777" w:rsidR="00990B14" w:rsidRDefault="00000000">
            <w:pPr>
              <w:spacing w:before="20" w:after="20"/>
              <w:jc w:val="both"/>
            </w:pPr>
            <w:r>
              <w:rPr>
                <w:sz w:val="18"/>
                <w:szCs w:val="18"/>
              </w:rPr>
              <w:t>Compara el resultado con el cálculo contable tradicional.</w:t>
            </w:r>
          </w:p>
        </w:tc>
      </w:tr>
      <w:tr w:rsidR="00990B14" w14:paraId="462A57AA" w14:textId="77777777">
        <w:trPr>
          <w:cantSplit/>
          <w:jc w:val="center"/>
        </w:trPr>
        <w:tc>
          <w:tcPr>
            <w:tcW w:w="1881" w:type="dxa"/>
            <w:vMerge/>
            <w:shd w:val="clear" w:color="auto" w:fill="4472C4"/>
            <w:vAlign w:val="center"/>
          </w:tcPr>
          <w:p w14:paraId="4A92218F" w14:textId="77777777" w:rsidR="00990B14" w:rsidRDefault="00990B14">
            <w:pPr>
              <w:spacing w:before="20" w:after="20"/>
            </w:pPr>
          </w:p>
        </w:tc>
        <w:tc>
          <w:tcPr>
            <w:tcW w:w="1873" w:type="dxa"/>
            <w:shd w:val="clear" w:color="auto" w:fill="D9E2F3"/>
            <w:vAlign w:val="center"/>
          </w:tcPr>
          <w:p w14:paraId="631E3DE5" w14:textId="77777777" w:rsidR="00990B14" w:rsidRDefault="00000000">
            <w:pPr>
              <w:spacing w:before="20" w:after="20"/>
              <w:jc w:val="both"/>
            </w:pPr>
            <w:r>
              <w:rPr>
                <w:sz w:val="18"/>
                <w:szCs w:val="18"/>
              </w:rPr>
              <w:t>Sensibilidad</w:t>
            </w:r>
          </w:p>
        </w:tc>
        <w:tc>
          <w:tcPr>
            <w:tcW w:w="1868" w:type="dxa"/>
            <w:shd w:val="clear" w:color="auto" w:fill="D9E2F3"/>
            <w:vAlign w:val="center"/>
          </w:tcPr>
          <w:p w14:paraId="1A3956F5" w14:textId="77777777" w:rsidR="00990B14" w:rsidRDefault="00000000">
            <w:pPr>
              <w:spacing w:before="20" w:after="20"/>
              <w:jc w:val="both"/>
            </w:pPr>
            <w:r>
              <w:rPr>
                <w:sz w:val="18"/>
                <w:szCs w:val="18"/>
              </w:rPr>
              <w:t>Omite el análisis de sensibilidad.</w:t>
            </w:r>
          </w:p>
        </w:tc>
        <w:tc>
          <w:tcPr>
            <w:tcW w:w="1910" w:type="dxa"/>
            <w:shd w:val="clear" w:color="auto" w:fill="D9E2F3"/>
            <w:vAlign w:val="center"/>
          </w:tcPr>
          <w:p w14:paraId="24C9A389" w14:textId="77777777" w:rsidR="00990B14" w:rsidRDefault="00000000">
            <w:pPr>
              <w:spacing w:before="20" w:after="20"/>
              <w:jc w:val="both"/>
            </w:pPr>
            <w:r>
              <w:rPr>
                <w:sz w:val="18"/>
                <w:szCs w:val="18"/>
              </w:rPr>
              <w:t>Mide el efecto de cambiar cada hipótesis.</w:t>
            </w:r>
          </w:p>
        </w:tc>
        <w:tc>
          <w:tcPr>
            <w:tcW w:w="1873" w:type="dxa"/>
            <w:shd w:val="clear" w:color="auto" w:fill="D9E2F3"/>
            <w:vAlign w:val="center"/>
          </w:tcPr>
          <w:p w14:paraId="669390E4" w14:textId="77777777" w:rsidR="00990B14" w:rsidRDefault="00000000">
            <w:pPr>
              <w:spacing w:before="20" w:after="20"/>
              <w:jc w:val="both"/>
            </w:pPr>
            <w:r>
              <w:rPr>
                <w:sz w:val="18"/>
                <w:szCs w:val="18"/>
              </w:rPr>
              <w:t>Identifica la hipótesis de mayor impacto.</w:t>
            </w:r>
          </w:p>
        </w:tc>
      </w:tr>
      <w:tr w:rsidR="00990B14" w14:paraId="6CF5E210" w14:textId="77777777">
        <w:trPr>
          <w:cantSplit/>
          <w:jc w:val="center"/>
        </w:trPr>
        <w:tc>
          <w:tcPr>
            <w:tcW w:w="1881" w:type="dxa"/>
            <w:vMerge/>
            <w:shd w:val="clear" w:color="auto" w:fill="4472C4"/>
            <w:vAlign w:val="center"/>
          </w:tcPr>
          <w:p w14:paraId="6171F09E" w14:textId="77777777" w:rsidR="00990B14" w:rsidRDefault="00990B14">
            <w:pPr>
              <w:spacing w:before="20" w:after="20"/>
            </w:pPr>
          </w:p>
        </w:tc>
        <w:tc>
          <w:tcPr>
            <w:tcW w:w="5651" w:type="dxa"/>
            <w:gridSpan w:val="3"/>
            <w:shd w:val="clear" w:color="auto" w:fill="D9E2F3"/>
            <w:vAlign w:val="center"/>
          </w:tcPr>
          <w:p w14:paraId="6B28D1C2" w14:textId="77777777" w:rsidR="00990B14" w:rsidRDefault="00000000">
            <w:pPr>
              <w:keepNext/>
              <w:spacing w:before="20" w:after="20"/>
              <w:jc w:val="both"/>
            </w:pPr>
            <w:r>
              <w:rPr>
                <w:b/>
                <w:bCs/>
                <w:i/>
                <w:iCs/>
                <w:sz w:val="18"/>
                <w:szCs w:val="18"/>
              </w:rPr>
              <w:t xml:space="preserve">Producto 13: </w:t>
            </w:r>
            <w:r>
              <w:rPr>
                <w:sz w:val="18"/>
                <w:szCs w:val="18"/>
              </w:rPr>
              <w:t>Esquema de prestaciones</w:t>
            </w:r>
          </w:p>
        </w:tc>
        <w:tc>
          <w:tcPr>
            <w:tcW w:w="1873" w:type="dxa"/>
            <w:shd w:val="clear" w:color="auto" w:fill="D9E2F3"/>
            <w:vAlign w:val="center"/>
          </w:tcPr>
          <w:p w14:paraId="1804030E" w14:textId="77777777" w:rsidR="00990B14" w:rsidRDefault="00000000">
            <w:pPr>
              <w:spacing w:before="20" w:after="20"/>
              <w:jc w:val="center"/>
            </w:pPr>
            <w:r>
              <w:rPr>
                <w:b/>
                <w:bCs/>
                <w:sz w:val="18"/>
                <w:szCs w:val="18"/>
              </w:rPr>
              <w:t>5%</w:t>
            </w:r>
          </w:p>
        </w:tc>
      </w:tr>
      <w:tr w:rsidR="00990B14" w14:paraId="022DECF6" w14:textId="77777777">
        <w:trPr>
          <w:cantSplit/>
          <w:jc w:val="center"/>
        </w:trPr>
        <w:tc>
          <w:tcPr>
            <w:tcW w:w="1881" w:type="dxa"/>
            <w:vMerge/>
            <w:shd w:val="clear" w:color="auto" w:fill="4472C4"/>
            <w:vAlign w:val="center"/>
          </w:tcPr>
          <w:p w14:paraId="2FEE5F92" w14:textId="77777777" w:rsidR="00990B14" w:rsidRDefault="00990B14">
            <w:pPr>
              <w:spacing w:before="20" w:after="20"/>
            </w:pPr>
          </w:p>
        </w:tc>
        <w:tc>
          <w:tcPr>
            <w:tcW w:w="1873" w:type="dxa"/>
            <w:shd w:val="clear" w:color="auto" w:fill="4472C4"/>
            <w:vAlign w:val="center"/>
          </w:tcPr>
          <w:p w14:paraId="66D54345" w14:textId="77777777" w:rsidR="00990B14" w:rsidRDefault="00000000">
            <w:pPr>
              <w:keepNext/>
              <w:spacing w:before="20" w:after="20"/>
              <w:jc w:val="center"/>
            </w:pPr>
            <w:r>
              <w:rPr>
                <w:b/>
                <w:bCs/>
                <w:i/>
                <w:iCs/>
                <w:color w:val="FFFFFF"/>
                <w:sz w:val="18"/>
                <w:szCs w:val="18"/>
              </w:rPr>
              <w:t>Criterio</w:t>
            </w:r>
          </w:p>
        </w:tc>
        <w:tc>
          <w:tcPr>
            <w:tcW w:w="1868" w:type="dxa"/>
            <w:shd w:val="clear" w:color="auto" w:fill="4472C4"/>
            <w:vAlign w:val="center"/>
          </w:tcPr>
          <w:p w14:paraId="1E82A91A"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159E07AA" w14:textId="77777777" w:rsidR="00990B14" w:rsidRDefault="00000000">
            <w:pPr>
              <w:keepNext/>
              <w:spacing w:before="20" w:after="20"/>
              <w:jc w:val="center"/>
            </w:pPr>
            <w:r>
              <w:rPr>
                <w:b/>
                <w:bCs/>
                <w:i/>
                <w:iCs/>
                <w:color w:val="FFFFFF"/>
                <w:sz w:val="18"/>
                <w:szCs w:val="18"/>
              </w:rPr>
              <w:t>Suficiente (51–80)</w:t>
            </w:r>
          </w:p>
        </w:tc>
        <w:tc>
          <w:tcPr>
            <w:tcW w:w="1873" w:type="dxa"/>
            <w:shd w:val="clear" w:color="auto" w:fill="4472C4"/>
            <w:vAlign w:val="center"/>
          </w:tcPr>
          <w:p w14:paraId="6A98C797" w14:textId="77777777" w:rsidR="00990B14" w:rsidRDefault="00000000">
            <w:pPr>
              <w:keepNext/>
              <w:spacing w:before="20" w:after="20"/>
              <w:jc w:val="center"/>
            </w:pPr>
            <w:r>
              <w:rPr>
                <w:b/>
                <w:bCs/>
                <w:i/>
                <w:iCs/>
                <w:color w:val="FFFFFF"/>
                <w:sz w:val="18"/>
                <w:szCs w:val="18"/>
              </w:rPr>
              <w:t>Destacado (81–100)</w:t>
            </w:r>
          </w:p>
        </w:tc>
      </w:tr>
      <w:tr w:rsidR="00990B14" w14:paraId="036375D1" w14:textId="77777777">
        <w:trPr>
          <w:cantSplit/>
          <w:jc w:val="center"/>
        </w:trPr>
        <w:tc>
          <w:tcPr>
            <w:tcW w:w="1881" w:type="dxa"/>
            <w:vMerge/>
            <w:shd w:val="clear" w:color="auto" w:fill="4472C4"/>
            <w:vAlign w:val="center"/>
          </w:tcPr>
          <w:p w14:paraId="36E84B92" w14:textId="77777777" w:rsidR="00990B14" w:rsidRDefault="00990B14">
            <w:pPr>
              <w:spacing w:before="20" w:after="20"/>
            </w:pPr>
          </w:p>
        </w:tc>
        <w:tc>
          <w:tcPr>
            <w:tcW w:w="1873" w:type="dxa"/>
            <w:shd w:val="clear" w:color="auto" w:fill="D9E2F3"/>
            <w:vAlign w:val="center"/>
          </w:tcPr>
          <w:p w14:paraId="08A7EE58" w14:textId="77777777" w:rsidR="00990B14" w:rsidRDefault="00000000">
            <w:pPr>
              <w:spacing w:before="20" w:after="20"/>
              <w:jc w:val="both"/>
            </w:pPr>
            <w:r>
              <w:rPr>
                <w:sz w:val="18"/>
                <w:szCs w:val="18"/>
              </w:rPr>
              <w:t>Regímenes</w:t>
            </w:r>
          </w:p>
        </w:tc>
        <w:tc>
          <w:tcPr>
            <w:tcW w:w="1868" w:type="dxa"/>
            <w:shd w:val="clear" w:color="auto" w:fill="D9E2F3"/>
            <w:vAlign w:val="center"/>
          </w:tcPr>
          <w:p w14:paraId="2D6F6955" w14:textId="77777777" w:rsidR="00990B14" w:rsidRDefault="00000000">
            <w:pPr>
              <w:spacing w:before="20" w:after="20"/>
              <w:jc w:val="both"/>
            </w:pPr>
            <w:r>
              <w:rPr>
                <w:sz w:val="18"/>
                <w:szCs w:val="18"/>
              </w:rPr>
              <w:t>Confunde los regímenes del sistema.</w:t>
            </w:r>
          </w:p>
        </w:tc>
        <w:tc>
          <w:tcPr>
            <w:tcW w:w="1910" w:type="dxa"/>
            <w:shd w:val="clear" w:color="auto" w:fill="D9E2F3"/>
            <w:vAlign w:val="center"/>
          </w:tcPr>
          <w:p w14:paraId="2628A0AC" w14:textId="77777777" w:rsidR="00990B14" w:rsidRDefault="00000000">
            <w:pPr>
              <w:spacing w:before="20" w:after="20"/>
              <w:jc w:val="both"/>
            </w:pPr>
            <w:r>
              <w:rPr>
                <w:sz w:val="18"/>
                <w:szCs w:val="18"/>
              </w:rPr>
              <w:t>Distingue los regímenes contributivo, semicontributivo y no contributivo.</w:t>
            </w:r>
          </w:p>
        </w:tc>
        <w:tc>
          <w:tcPr>
            <w:tcW w:w="1873" w:type="dxa"/>
            <w:shd w:val="clear" w:color="auto" w:fill="D9E2F3"/>
            <w:vAlign w:val="center"/>
          </w:tcPr>
          <w:p w14:paraId="7FA8A233" w14:textId="77777777" w:rsidR="00990B14" w:rsidRDefault="00000000">
            <w:pPr>
              <w:spacing w:before="20" w:after="20"/>
              <w:jc w:val="both"/>
            </w:pPr>
            <w:r>
              <w:rPr>
                <w:sz w:val="18"/>
                <w:szCs w:val="18"/>
              </w:rPr>
              <w:t>Explica la fuente de financiamiento de cada uno.</w:t>
            </w:r>
          </w:p>
        </w:tc>
      </w:tr>
      <w:tr w:rsidR="00990B14" w14:paraId="7C040620" w14:textId="77777777">
        <w:trPr>
          <w:cantSplit/>
          <w:jc w:val="center"/>
        </w:trPr>
        <w:tc>
          <w:tcPr>
            <w:tcW w:w="1881" w:type="dxa"/>
            <w:vMerge/>
            <w:shd w:val="clear" w:color="auto" w:fill="4472C4"/>
            <w:vAlign w:val="center"/>
          </w:tcPr>
          <w:p w14:paraId="19AB8CFF" w14:textId="77777777" w:rsidR="00990B14" w:rsidRDefault="00990B14">
            <w:pPr>
              <w:spacing w:before="20" w:after="20"/>
            </w:pPr>
          </w:p>
        </w:tc>
        <w:tc>
          <w:tcPr>
            <w:tcW w:w="1873" w:type="dxa"/>
            <w:shd w:val="clear" w:color="auto" w:fill="D9E2F3"/>
            <w:vAlign w:val="center"/>
          </w:tcPr>
          <w:p w14:paraId="654CE3B5" w14:textId="77777777" w:rsidR="00990B14" w:rsidRDefault="00000000">
            <w:pPr>
              <w:spacing w:before="20" w:after="20"/>
              <w:jc w:val="both"/>
            </w:pPr>
            <w:r>
              <w:rPr>
                <w:sz w:val="18"/>
                <w:szCs w:val="18"/>
              </w:rPr>
              <w:t>Prestaciones</w:t>
            </w:r>
          </w:p>
        </w:tc>
        <w:tc>
          <w:tcPr>
            <w:tcW w:w="1868" w:type="dxa"/>
            <w:shd w:val="clear" w:color="auto" w:fill="D9E2F3"/>
            <w:vAlign w:val="center"/>
          </w:tcPr>
          <w:p w14:paraId="51C8851F" w14:textId="77777777" w:rsidR="00990B14" w:rsidRDefault="00000000">
            <w:pPr>
              <w:spacing w:before="20" w:after="20"/>
              <w:jc w:val="both"/>
            </w:pPr>
            <w:r>
              <w:rPr>
                <w:sz w:val="18"/>
                <w:szCs w:val="18"/>
              </w:rPr>
              <w:t>Omite prestaciones principales.</w:t>
            </w:r>
          </w:p>
        </w:tc>
        <w:tc>
          <w:tcPr>
            <w:tcW w:w="1910" w:type="dxa"/>
            <w:shd w:val="clear" w:color="auto" w:fill="D9E2F3"/>
            <w:vAlign w:val="center"/>
          </w:tcPr>
          <w:p w14:paraId="14A7E575" w14:textId="77777777" w:rsidR="00990B14" w:rsidRDefault="00000000">
            <w:pPr>
              <w:spacing w:before="20" w:after="20"/>
              <w:jc w:val="both"/>
            </w:pPr>
            <w:r>
              <w:rPr>
                <w:sz w:val="18"/>
                <w:szCs w:val="18"/>
              </w:rPr>
              <w:t>Describe las prestaciones de vejez, invalidez y muerte.</w:t>
            </w:r>
          </w:p>
        </w:tc>
        <w:tc>
          <w:tcPr>
            <w:tcW w:w="1873" w:type="dxa"/>
            <w:shd w:val="clear" w:color="auto" w:fill="D9E2F3"/>
            <w:vAlign w:val="center"/>
          </w:tcPr>
          <w:p w14:paraId="081A8243" w14:textId="77777777" w:rsidR="00990B14" w:rsidRDefault="00000000">
            <w:pPr>
              <w:spacing w:before="20" w:after="20"/>
              <w:jc w:val="both"/>
            </w:pPr>
            <w:r>
              <w:rPr>
                <w:sz w:val="18"/>
                <w:szCs w:val="18"/>
              </w:rPr>
              <w:t>Relaciona cada prestación con su cálculo actuarial.</w:t>
            </w:r>
          </w:p>
        </w:tc>
      </w:tr>
      <w:tr w:rsidR="00990B14" w14:paraId="28414087" w14:textId="77777777">
        <w:trPr>
          <w:cantSplit/>
          <w:jc w:val="center"/>
        </w:trPr>
        <w:tc>
          <w:tcPr>
            <w:tcW w:w="1881" w:type="dxa"/>
            <w:vMerge/>
            <w:shd w:val="clear" w:color="auto" w:fill="4472C4"/>
            <w:vAlign w:val="center"/>
          </w:tcPr>
          <w:p w14:paraId="416BE5E6" w14:textId="77777777" w:rsidR="00990B14" w:rsidRDefault="00990B14">
            <w:pPr>
              <w:spacing w:before="20" w:after="20"/>
            </w:pPr>
          </w:p>
        </w:tc>
        <w:tc>
          <w:tcPr>
            <w:tcW w:w="1873" w:type="dxa"/>
            <w:shd w:val="clear" w:color="auto" w:fill="D9E2F3"/>
            <w:vAlign w:val="center"/>
          </w:tcPr>
          <w:p w14:paraId="635F6E29" w14:textId="77777777" w:rsidR="00990B14" w:rsidRDefault="00000000">
            <w:pPr>
              <w:spacing w:before="20" w:after="20"/>
              <w:jc w:val="both"/>
            </w:pPr>
            <w:r>
              <w:rPr>
                <w:sz w:val="18"/>
                <w:szCs w:val="18"/>
              </w:rPr>
              <w:t>Claridad</w:t>
            </w:r>
          </w:p>
        </w:tc>
        <w:tc>
          <w:tcPr>
            <w:tcW w:w="1868" w:type="dxa"/>
            <w:shd w:val="clear" w:color="auto" w:fill="D9E2F3"/>
            <w:vAlign w:val="center"/>
          </w:tcPr>
          <w:p w14:paraId="5F121148" w14:textId="77777777" w:rsidR="00990B14" w:rsidRDefault="00000000">
            <w:pPr>
              <w:spacing w:before="20" w:after="20"/>
              <w:jc w:val="both"/>
            </w:pPr>
            <w:r>
              <w:rPr>
                <w:sz w:val="18"/>
                <w:szCs w:val="18"/>
              </w:rPr>
              <w:t>El esquema es confuso.</w:t>
            </w:r>
          </w:p>
        </w:tc>
        <w:tc>
          <w:tcPr>
            <w:tcW w:w="1910" w:type="dxa"/>
            <w:shd w:val="clear" w:color="auto" w:fill="D9E2F3"/>
            <w:vAlign w:val="center"/>
          </w:tcPr>
          <w:p w14:paraId="532DD0B2" w14:textId="77777777" w:rsidR="00990B14" w:rsidRDefault="00000000">
            <w:pPr>
              <w:spacing w:before="20" w:after="20"/>
              <w:jc w:val="both"/>
            </w:pPr>
            <w:r>
              <w:rPr>
                <w:sz w:val="18"/>
                <w:szCs w:val="18"/>
              </w:rPr>
              <w:t>El esquema es claro y completo.</w:t>
            </w:r>
          </w:p>
        </w:tc>
        <w:tc>
          <w:tcPr>
            <w:tcW w:w="1873" w:type="dxa"/>
            <w:shd w:val="clear" w:color="auto" w:fill="D9E2F3"/>
            <w:vAlign w:val="center"/>
          </w:tcPr>
          <w:p w14:paraId="1FAC18D4" w14:textId="77777777" w:rsidR="00990B14" w:rsidRDefault="00000000">
            <w:pPr>
              <w:spacing w:before="20" w:after="20"/>
              <w:jc w:val="both"/>
            </w:pPr>
            <w:r>
              <w:rPr>
                <w:sz w:val="18"/>
                <w:szCs w:val="18"/>
              </w:rPr>
              <w:t>Incluye los requisitos de acceso a cada prestación.</w:t>
            </w:r>
          </w:p>
        </w:tc>
      </w:tr>
      <w:tr w:rsidR="00990B14" w14:paraId="6143A087" w14:textId="77777777">
        <w:trPr>
          <w:cantSplit/>
          <w:jc w:val="center"/>
        </w:trPr>
        <w:tc>
          <w:tcPr>
            <w:tcW w:w="1881" w:type="dxa"/>
            <w:vMerge/>
            <w:shd w:val="clear" w:color="auto" w:fill="4472C4"/>
            <w:vAlign w:val="center"/>
          </w:tcPr>
          <w:p w14:paraId="6A5547C4" w14:textId="77777777" w:rsidR="00990B14" w:rsidRDefault="00990B14">
            <w:pPr>
              <w:spacing w:before="20" w:after="20"/>
            </w:pPr>
          </w:p>
        </w:tc>
        <w:tc>
          <w:tcPr>
            <w:tcW w:w="5651" w:type="dxa"/>
            <w:gridSpan w:val="3"/>
            <w:shd w:val="clear" w:color="auto" w:fill="D9E2F3"/>
            <w:vAlign w:val="center"/>
          </w:tcPr>
          <w:p w14:paraId="64AF2A67" w14:textId="77777777" w:rsidR="00990B14" w:rsidRDefault="00000000">
            <w:pPr>
              <w:keepNext/>
              <w:spacing w:before="20" w:after="20"/>
              <w:jc w:val="both"/>
            </w:pPr>
            <w:r>
              <w:rPr>
                <w:b/>
                <w:bCs/>
                <w:i/>
                <w:iCs/>
                <w:sz w:val="18"/>
                <w:szCs w:val="18"/>
              </w:rPr>
              <w:t xml:space="preserve">Producto 14: </w:t>
            </w:r>
            <w:r>
              <w:rPr>
                <w:sz w:val="18"/>
                <w:szCs w:val="18"/>
              </w:rPr>
              <w:t>Análisis crítico del sistema de pensiones</w:t>
            </w:r>
          </w:p>
        </w:tc>
        <w:tc>
          <w:tcPr>
            <w:tcW w:w="1873" w:type="dxa"/>
            <w:shd w:val="clear" w:color="auto" w:fill="D9E2F3"/>
            <w:vAlign w:val="center"/>
          </w:tcPr>
          <w:p w14:paraId="2EFAA974" w14:textId="77777777" w:rsidR="00990B14" w:rsidRDefault="00000000">
            <w:pPr>
              <w:spacing w:before="20" w:after="20"/>
              <w:jc w:val="center"/>
            </w:pPr>
            <w:r>
              <w:rPr>
                <w:b/>
                <w:bCs/>
                <w:sz w:val="18"/>
                <w:szCs w:val="18"/>
              </w:rPr>
              <w:t>5%</w:t>
            </w:r>
          </w:p>
        </w:tc>
      </w:tr>
      <w:tr w:rsidR="00990B14" w14:paraId="65763FC6" w14:textId="77777777">
        <w:trPr>
          <w:cantSplit/>
          <w:jc w:val="center"/>
        </w:trPr>
        <w:tc>
          <w:tcPr>
            <w:tcW w:w="1881" w:type="dxa"/>
            <w:vMerge/>
            <w:shd w:val="clear" w:color="auto" w:fill="4472C4"/>
            <w:vAlign w:val="center"/>
          </w:tcPr>
          <w:p w14:paraId="7A724FA1" w14:textId="77777777" w:rsidR="00990B14" w:rsidRDefault="00990B14">
            <w:pPr>
              <w:spacing w:before="20" w:after="20"/>
            </w:pPr>
          </w:p>
        </w:tc>
        <w:tc>
          <w:tcPr>
            <w:tcW w:w="1873" w:type="dxa"/>
            <w:shd w:val="clear" w:color="auto" w:fill="4472C4"/>
            <w:vAlign w:val="center"/>
          </w:tcPr>
          <w:p w14:paraId="0E65C59C" w14:textId="77777777" w:rsidR="00990B14" w:rsidRDefault="00000000">
            <w:pPr>
              <w:keepNext/>
              <w:spacing w:before="20" w:after="20"/>
              <w:jc w:val="center"/>
            </w:pPr>
            <w:r>
              <w:rPr>
                <w:b/>
                <w:bCs/>
                <w:i/>
                <w:iCs/>
                <w:color w:val="FFFFFF"/>
                <w:sz w:val="18"/>
                <w:szCs w:val="18"/>
              </w:rPr>
              <w:t>Criterio</w:t>
            </w:r>
          </w:p>
        </w:tc>
        <w:tc>
          <w:tcPr>
            <w:tcW w:w="1868" w:type="dxa"/>
            <w:shd w:val="clear" w:color="auto" w:fill="4472C4"/>
            <w:vAlign w:val="center"/>
          </w:tcPr>
          <w:p w14:paraId="715A975C"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3B6D8C46" w14:textId="77777777" w:rsidR="00990B14" w:rsidRDefault="00000000">
            <w:pPr>
              <w:keepNext/>
              <w:spacing w:before="20" w:after="20"/>
              <w:jc w:val="center"/>
            </w:pPr>
            <w:r>
              <w:rPr>
                <w:b/>
                <w:bCs/>
                <w:i/>
                <w:iCs/>
                <w:color w:val="FFFFFF"/>
                <w:sz w:val="18"/>
                <w:szCs w:val="18"/>
              </w:rPr>
              <w:t>Suficiente (51–80)</w:t>
            </w:r>
          </w:p>
        </w:tc>
        <w:tc>
          <w:tcPr>
            <w:tcW w:w="1873" w:type="dxa"/>
            <w:shd w:val="clear" w:color="auto" w:fill="4472C4"/>
            <w:vAlign w:val="center"/>
          </w:tcPr>
          <w:p w14:paraId="74AB29FA" w14:textId="77777777" w:rsidR="00990B14" w:rsidRDefault="00000000">
            <w:pPr>
              <w:keepNext/>
              <w:spacing w:before="20" w:after="20"/>
              <w:jc w:val="center"/>
            </w:pPr>
            <w:r>
              <w:rPr>
                <w:b/>
                <w:bCs/>
                <w:i/>
                <w:iCs/>
                <w:color w:val="FFFFFF"/>
                <w:sz w:val="18"/>
                <w:szCs w:val="18"/>
              </w:rPr>
              <w:t>Destacado (81–100)</w:t>
            </w:r>
          </w:p>
        </w:tc>
      </w:tr>
      <w:tr w:rsidR="00990B14" w14:paraId="2582707E" w14:textId="77777777">
        <w:trPr>
          <w:cantSplit/>
          <w:jc w:val="center"/>
        </w:trPr>
        <w:tc>
          <w:tcPr>
            <w:tcW w:w="1881" w:type="dxa"/>
            <w:vMerge/>
            <w:shd w:val="clear" w:color="auto" w:fill="4472C4"/>
            <w:vAlign w:val="center"/>
          </w:tcPr>
          <w:p w14:paraId="047974C3" w14:textId="77777777" w:rsidR="00990B14" w:rsidRDefault="00990B14">
            <w:pPr>
              <w:spacing w:before="20" w:after="20"/>
            </w:pPr>
          </w:p>
        </w:tc>
        <w:tc>
          <w:tcPr>
            <w:tcW w:w="1873" w:type="dxa"/>
            <w:shd w:val="clear" w:color="auto" w:fill="D9E2F3"/>
            <w:vAlign w:val="center"/>
          </w:tcPr>
          <w:p w14:paraId="42810A8C" w14:textId="77777777" w:rsidR="00990B14" w:rsidRDefault="00000000">
            <w:pPr>
              <w:spacing w:before="20" w:after="20"/>
              <w:jc w:val="both"/>
            </w:pPr>
            <w:r>
              <w:rPr>
                <w:sz w:val="18"/>
                <w:szCs w:val="18"/>
              </w:rPr>
              <w:t>Indicadores</w:t>
            </w:r>
          </w:p>
        </w:tc>
        <w:tc>
          <w:tcPr>
            <w:tcW w:w="1868" w:type="dxa"/>
            <w:shd w:val="clear" w:color="auto" w:fill="D9E2F3"/>
            <w:vAlign w:val="center"/>
          </w:tcPr>
          <w:p w14:paraId="6B7E6F0E" w14:textId="77777777" w:rsidR="00990B14" w:rsidRDefault="00000000">
            <w:pPr>
              <w:spacing w:before="20" w:after="20"/>
              <w:jc w:val="both"/>
            </w:pPr>
            <w:r>
              <w:rPr>
                <w:sz w:val="18"/>
                <w:szCs w:val="18"/>
              </w:rPr>
              <w:t>No usa indicadores.</w:t>
            </w:r>
          </w:p>
        </w:tc>
        <w:tc>
          <w:tcPr>
            <w:tcW w:w="1910" w:type="dxa"/>
            <w:shd w:val="clear" w:color="auto" w:fill="D9E2F3"/>
            <w:vAlign w:val="center"/>
          </w:tcPr>
          <w:p w14:paraId="6C774FE3" w14:textId="77777777" w:rsidR="00990B14" w:rsidRDefault="00000000">
            <w:pPr>
              <w:spacing w:before="20" w:after="20"/>
              <w:jc w:val="both"/>
            </w:pPr>
            <w:r>
              <w:rPr>
                <w:sz w:val="18"/>
                <w:szCs w:val="18"/>
              </w:rPr>
              <w:t>Analiza la densidad de cotizaciones y la tasa de reemplazo.</w:t>
            </w:r>
          </w:p>
        </w:tc>
        <w:tc>
          <w:tcPr>
            <w:tcW w:w="1873" w:type="dxa"/>
            <w:shd w:val="clear" w:color="auto" w:fill="D9E2F3"/>
            <w:vAlign w:val="center"/>
          </w:tcPr>
          <w:p w14:paraId="3840B592" w14:textId="77777777" w:rsidR="00990B14" w:rsidRDefault="00000000">
            <w:pPr>
              <w:spacing w:before="20" w:after="20"/>
              <w:jc w:val="both"/>
            </w:pPr>
            <w:r>
              <w:rPr>
                <w:sz w:val="18"/>
                <w:szCs w:val="18"/>
              </w:rPr>
              <w:t>Proyecta los indicadores en un escenario demográfico.</w:t>
            </w:r>
          </w:p>
        </w:tc>
      </w:tr>
      <w:tr w:rsidR="00990B14" w14:paraId="6DCAD9BD" w14:textId="77777777">
        <w:trPr>
          <w:cantSplit/>
          <w:jc w:val="center"/>
        </w:trPr>
        <w:tc>
          <w:tcPr>
            <w:tcW w:w="1881" w:type="dxa"/>
            <w:vMerge/>
            <w:shd w:val="clear" w:color="auto" w:fill="4472C4"/>
            <w:vAlign w:val="center"/>
          </w:tcPr>
          <w:p w14:paraId="18224C12" w14:textId="77777777" w:rsidR="00990B14" w:rsidRDefault="00990B14">
            <w:pPr>
              <w:spacing w:before="20" w:after="20"/>
            </w:pPr>
          </w:p>
        </w:tc>
        <w:tc>
          <w:tcPr>
            <w:tcW w:w="1873" w:type="dxa"/>
            <w:shd w:val="clear" w:color="auto" w:fill="D9E2F3"/>
            <w:vAlign w:val="center"/>
          </w:tcPr>
          <w:p w14:paraId="76CD0E26" w14:textId="77777777" w:rsidR="00990B14" w:rsidRDefault="00000000">
            <w:pPr>
              <w:spacing w:before="20" w:after="20"/>
              <w:jc w:val="both"/>
            </w:pPr>
            <w:r>
              <w:rPr>
                <w:sz w:val="18"/>
                <w:szCs w:val="18"/>
              </w:rPr>
              <w:t>Juicio crítico</w:t>
            </w:r>
          </w:p>
        </w:tc>
        <w:tc>
          <w:tcPr>
            <w:tcW w:w="1868" w:type="dxa"/>
            <w:shd w:val="clear" w:color="auto" w:fill="D9E2F3"/>
            <w:vAlign w:val="center"/>
          </w:tcPr>
          <w:p w14:paraId="33A4D02D" w14:textId="77777777" w:rsidR="00990B14" w:rsidRDefault="00000000">
            <w:pPr>
              <w:spacing w:before="20" w:after="20"/>
              <w:jc w:val="both"/>
            </w:pPr>
            <w:r>
              <w:rPr>
                <w:sz w:val="18"/>
                <w:szCs w:val="18"/>
              </w:rPr>
              <w:t>Opina sin fundamento.</w:t>
            </w:r>
          </w:p>
        </w:tc>
        <w:tc>
          <w:tcPr>
            <w:tcW w:w="1910" w:type="dxa"/>
            <w:shd w:val="clear" w:color="auto" w:fill="D9E2F3"/>
            <w:vAlign w:val="center"/>
          </w:tcPr>
          <w:p w14:paraId="54D3184D" w14:textId="77777777" w:rsidR="00990B14" w:rsidRDefault="00000000">
            <w:pPr>
              <w:spacing w:before="20" w:after="20"/>
              <w:jc w:val="both"/>
            </w:pPr>
            <w:r>
              <w:rPr>
                <w:sz w:val="18"/>
                <w:szCs w:val="18"/>
              </w:rPr>
              <w:t>Fundamenta su evaluación con datos.</w:t>
            </w:r>
          </w:p>
        </w:tc>
        <w:tc>
          <w:tcPr>
            <w:tcW w:w="1873" w:type="dxa"/>
            <w:shd w:val="clear" w:color="auto" w:fill="D9E2F3"/>
            <w:vAlign w:val="center"/>
          </w:tcPr>
          <w:p w14:paraId="41582687" w14:textId="77777777" w:rsidR="00990B14" w:rsidRDefault="00000000">
            <w:pPr>
              <w:spacing w:before="20" w:after="20"/>
              <w:jc w:val="both"/>
            </w:pPr>
            <w:r>
              <w:rPr>
                <w:sz w:val="18"/>
                <w:szCs w:val="18"/>
              </w:rPr>
              <w:t>Propone medidas para mejorar la sostenibilidad.</w:t>
            </w:r>
          </w:p>
        </w:tc>
      </w:tr>
      <w:tr w:rsidR="00990B14" w14:paraId="690E2841" w14:textId="77777777">
        <w:trPr>
          <w:cantSplit/>
          <w:jc w:val="center"/>
        </w:trPr>
        <w:tc>
          <w:tcPr>
            <w:tcW w:w="1881" w:type="dxa"/>
            <w:vMerge/>
            <w:shd w:val="clear" w:color="auto" w:fill="4472C4"/>
            <w:vAlign w:val="center"/>
          </w:tcPr>
          <w:p w14:paraId="1A10198E" w14:textId="77777777" w:rsidR="00990B14" w:rsidRDefault="00990B14">
            <w:pPr>
              <w:spacing w:before="20" w:after="20"/>
            </w:pPr>
          </w:p>
        </w:tc>
        <w:tc>
          <w:tcPr>
            <w:tcW w:w="1873" w:type="dxa"/>
            <w:shd w:val="clear" w:color="auto" w:fill="D9E2F3"/>
            <w:vAlign w:val="center"/>
          </w:tcPr>
          <w:p w14:paraId="76B113A8" w14:textId="77777777" w:rsidR="00990B14" w:rsidRDefault="00000000">
            <w:pPr>
              <w:spacing w:before="20" w:after="20"/>
              <w:jc w:val="both"/>
            </w:pPr>
            <w:r>
              <w:rPr>
                <w:sz w:val="18"/>
                <w:szCs w:val="18"/>
              </w:rPr>
              <w:t>Trabajo en equipo</w:t>
            </w:r>
          </w:p>
        </w:tc>
        <w:tc>
          <w:tcPr>
            <w:tcW w:w="1868" w:type="dxa"/>
            <w:shd w:val="clear" w:color="auto" w:fill="D9E2F3"/>
            <w:vAlign w:val="center"/>
          </w:tcPr>
          <w:p w14:paraId="024C0148" w14:textId="77777777" w:rsidR="00990B14" w:rsidRDefault="00000000">
            <w:pPr>
              <w:spacing w:before="20" w:after="20"/>
              <w:jc w:val="both"/>
            </w:pPr>
            <w:r>
              <w:rPr>
                <w:sz w:val="18"/>
                <w:szCs w:val="18"/>
              </w:rPr>
              <w:t>Pocos integrantes participan.</w:t>
            </w:r>
          </w:p>
        </w:tc>
        <w:tc>
          <w:tcPr>
            <w:tcW w:w="1910" w:type="dxa"/>
            <w:shd w:val="clear" w:color="auto" w:fill="D9E2F3"/>
            <w:vAlign w:val="center"/>
          </w:tcPr>
          <w:p w14:paraId="38D9D457" w14:textId="77777777" w:rsidR="00990B14" w:rsidRDefault="00000000">
            <w:pPr>
              <w:spacing w:before="20" w:after="20"/>
              <w:jc w:val="both"/>
            </w:pPr>
            <w:r>
              <w:rPr>
                <w:sz w:val="18"/>
                <w:szCs w:val="18"/>
              </w:rPr>
              <w:t>Todos los integrantes aportan al análisis.</w:t>
            </w:r>
          </w:p>
        </w:tc>
        <w:tc>
          <w:tcPr>
            <w:tcW w:w="1873" w:type="dxa"/>
            <w:shd w:val="clear" w:color="auto" w:fill="D9E2F3"/>
            <w:vAlign w:val="center"/>
          </w:tcPr>
          <w:p w14:paraId="17B3D564" w14:textId="77777777" w:rsidR="00990B14" w:rsidRDefault="00000000">
            <w:pPr>
              <w:spacing w:before="20" w:after="20"/>
              <w:jc w:val="both"/>
            </w:pPr>
            <w:r>
              <w:rPr>
                <w:sz w:val="18"/>
                <w:szCs w:val="18"/>
              </w:rPr>
              <w:t>El equipo debate posiciones distintas con respeto.</w:t>
            </w:r>
          </w:p>
        </w:tc>
      </w:tr>
      <w:tr w:rsidR="00990B14" w14:paraId="78FA3B5F" w14:textId="77777777">
        <w:trPr>
          <w:cantSplit/>
          <w:jc w:val="center"/>
        </w:trPr>
        <w:tc>
          <w:tcPr>
            <w:tcW w:w="1881" w:type="dxa"/>
            <w:vMerge/>
            <w:shd w:val="clear" w:color="auto" w:fill="4472C4"/>
            <w:vAlign w:val="center"/>
          </w:tcPr>
          <w:p w14:paraId="5F2B3807" w14:textId="77777777" w:rsidR="00990B14" w:rsidRDefault="00990B14">
            <w:pPr>
              <w:spacing w:before="20" w:after="20"/>
            </w:pPr>
          </w:p>
        </w:tc>
        <w:tc>
          <w:tcPr>
            <w:tcW w:w="5651" w:type="dxa"/>
            <w:gridSpan w:val="3"/>
            <w:shd w:val="clear" w:color="auto" w:fill="D9E2F3"/>
            <w:vAlign w:val="center"/>
          </w:tcPr>
          <w:p w14:paraId="18114C65" w14:textId="77777777" w:rsidR="00990B14" w:rsidRDefault="00000000">
            <w:pPr>
              <w:keepNext/>
              <w:spacing w:before="20" w:after="20"/>
              <w:jc w:val="both"/>
            </w:pPr>
            <w:r>
              <w:rPr>
                <w:b/>
                <w:bCs/>
                <w:i/>
                <w:iCs/>
                <w:sz w:val="18"/>
                <w:szCs w:val="18"/>
              </w:rPr>
              <w:t xml:space="preserve">Producto 15: </w:t>
            </w:r>
            <w:r>
              <w:rPr>
                <w:sz w:val="18"/>
                <w:szCs w:val="18"/>
              </w:rPr>
              <w:t>Cálculo de la prima de no vida</w:t>
            </w:r>
          </w:p>
        </w:tc>
        <w:tc>
          <w:tcPr>
            <w:tcW w:w="1873" w:type="dxa"/>
            <w:shd w:val="clear" w:color="auto" w:fill="D9E2F3"/>
            <w:vAlign w:val="center"/>
          </w:tcPr>
          <w:p w14:paraId="6AAC8F16" w14:textId="77777777" w:rsidR="00990B14" w:rsidRDefault="00000000">
            <w:pPr>
              <w:spacing w:before="20" w:after="20"/>
              <w:jc w:val="center"/>
            </w:pPr>
            <w:r>
              <w:rPr>
                <w:b/>
                <w:bCs/>
                <w:sz w:val="18"/>
                <w:szCs w:val="18"/>
              </w:rPr>
              <w:t>5%</w:t>
            </w:r>
          </w:p>
        </w:tc>
      </w:tr>
      <w:tr w:rsidR="00990B14" w14:paraId="7E17437D" w14:textId="77777777">
        <w:trPr>
          <w:cantSplit/>
          <w:jc w:val="center"/>
        </w:trPr>
        <w:tc>
          <w:tcPr>
            <w:tcW w:w="1881" w:type="dxa"/>
            <w:vMerge/>
            <w:shd w:val="clear" w:color="auto" w:fill="4472C4"/>
            <w:vAlign w:val="center"/>
          </w:tcPr>
          <w:p w14:paraId="32C4996F" w14:textId="77777777" w:rsidR="00990B14" w:rsidRDefault="00990B14">
            <w:pPr>
              <w:spacing w:before="20" w:after="20"/>
            </w:pPr>
          </w:p>
        </w:tc>
        <w:tc>
          <w:tcPr>
            <w:tcW w:w="1873" w:type="dxa"/>
            <w:shd w:val="clear" w:color="auto" w:fill="4472C4"/>
            <w:vAlign w:val="center"/>
          </w:tcPr>
          <w:p w14:paraId="3B3EFCC9" w14:textId="77777777" w:rsidR="00990B14" w:rsidRDefault="00000000">
            <w:pPr>
              <w:keepNext/>
              <w:spacing w:before="20" w:after="20"/>
              <w:jc w:val="center"/>
            </w:pPr>
            <w:r>
              <w:rPr>
                <w:b/>
                <w:bCs/>
                <w:i/>
                <w:iCs/>
                <w:color w:val="FFFFFF"/>
                <w:sz w:val="18"/>
                <w:szCs w:val="18"/>
              </w:rPr>
              <w:t>Criterio</w:t>
            </w:r>
          </w:p>
        </w:tc>
        <w:tc>
          <w:tcPr>
            <w:tcW w:w="1868" w:type="dxa"/>
            <w:shd w:val="clear" w:color="auto" w:fill="4472C4"/>
            <w:vAlign w:val="center"/>
          </w:tcPr>
          <w:p w14:paraId="7A746D1A"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5F8A8697" w14:textId="77777777" w:rsidR="00990B14" w:rsidRDefault="00000000">
            <w:pPr>
              <w:keepNext/>
              <w:spacing w:before="20" w:after="20"/>
              <w:jc w:val="center"/>
            </w:pPr>
            <w:r>
              <w:rPr>
                <w:b/>
                <w:bCs/>
                <w:i/>
                <w:iCs/>
                <w:color w:val="FFFFFF"/>
                <w:sz w:val="18"/>
                <w:szCs w:val="18"/>
              </w:rPr>
              <w:t>Suficiente (51–80)</w:t>
            </w:r>
          </w:p>
        </w:tc>
        <w:tc>
          <w:tcPr>
            <w:tcW w:w="1873" w:type="dxa"/>
            <w:shd w:val="clear" w:color="auto" w:fill="4472C4"/>
            <w:vAlign w:val="center"/>
          </w:tcPr>
          <w:p w14:paraId="605A2A57" w14:textId="77777777" w:rsidR="00990B14" w:rsidRDefault="00000000">
            <w:pPr>
              <w:keepNext/>
              <w:spacing w:before="20" w:after="20"/>
              <w:jc w:val="center"/>
            </w:pPr>
            <w:r>
              <w:rPr>
                <w:b/>
                <w:bCs/>
                <w:i/>
                <w:iCs/>
                <w:color w:val="FFFFFF"/>
                <w:sz w:val="18"/>
                <w:szCs w:val="18"/>
              </w:rPr>
              <w:t>Destacado (81–100)</w:t>
            </w:r>
          </w:p>
        </w:tc>
      </w:tr>
      <w:tr w:rsidR="00990B14" w14:paraId="68DE25AF" w14:textId="77777777">
        <w:trPr>
          <w:cantSplit/>
          <w:jc w:val="center"/>
        </w:trPr>
        <w:tc>
          <w:tcPr>
            <w:tcW w:w="1881" w:type="dxa"/>
            <w:vMerge/>
            <w:shd w:val="clear" w:color="auto" w:fill="4472C4"/>
            <w:vAlign w:val="center"/>
          </w:tcPr>
          <w:p w14:paraId="5D85043A" w14:textId="77777777" w:rsidR="00990B14" w:rsidRDefault="00990B14">
            <w:pPr>
              <w:spacing w:before="20" w:after="20"/>
            </w:pPr>
          </w:p>
        </w:tc>
        <w:tc>
          <w:tcPr>
            <w:tcW w:w="1873" w:type="dxa"/>
            <w:shd w:val="clear" w:color="auto" w:fill="D9E2F3"/>
            <w:vAlign w:val="center"/>
          </w:tcPr>
          <w:p w14:paraId="52FFFB9D" w14:textId="77777777" w:rsidR="00990B14" w:rsidRDefault="00000000">
            <w:pPr>
              <w:spacing w:before="20" w:after="20"/>
              <w:jc w:val="both"/>
            </w:pPr>
            <w:r>
              <w:rPr>
                <w:sz w:val="18"/>
                <w:szCs w:val="18"/>
              </w:rPr>
              <w:t>Frecuencia y severidad</w:t>
            </w:r>
          </w:p>
        </w:tc>
        <w:tc>
          <w:tcPr>
            <w:tcW w:w="1868" w:type="dxa"/>
            <w:shd w:val="clear" w:color="auto" w:fill="D9E2F3"/>
            <w:vAlign w:val="center"/>
          </w:tcPr>
          <w:p w14:paraId="41648802" w14:textId="77777777" w:rsidR="00990B14" w:rsidRDefault="00000000">
            <w:pPr>
              <w:spacing w:before="20" w:after="20"/>
              <w:jc w:val="both"/>
            </w:pPr>
            <w:r>
              <w:rPr>
                <w:sz w:val="18"/>
                <w:szCs w:val="18"/>
              </w:rPr>
              <w:t>Calcula mal la frecuencia o la severidad.</w:t>
            </w:r>
          </w:p>
        </w:tc>
        <w:tc>
          <w:tcPr>
            <w:tcW w:w="1910" w:type="dxa"/>
            <w:shd w:val="clear" w:color="auto" w:fill="D9E2F3"/>
            <w:vAlign w:val="center"/>
          </w:tcPr>
          <w:p w14:paraId="48C283A0" w14:textId="77777777" w:rsidR="00990B14" w:rsidRDefault="00000000">
            <w:pPr>
              <w:spacing w:before="20" w:after="20"/>
              <w:jc w:val="both"/>
            </w:pPr>
            <w:r>
              <w:rPr>
                <w:sz w:val="18"/>
                <w:szCs w:val="18"/>
              </w:rPr>
              <w:t>Estima la frecuencia y la severidad.</w:t>
            </w:r>
          </w:p>
        </w:tc>
        <w:tc>
          <w:tcPr>
            <w:tcW w:w="1873" w:type="dxa"/>
            <w:shd w:val="clear" w:color="auto" w:fill="D9E2F3"/>
            <w:vAlign w:val="center"/>
          </w:tcPr>
          <w:p w14:paraId="6940753A" w14:textId="77777777" w:rsidR="00990B14" w:rsidRDefault="00000000">
            <w:pPr>
              <w:spacing w:before="20" w:after="20"/>
              <w:jc w:val="both"/>
            </w:pPr>
            <w:r>
              <w:rPr>
                <w:sz w:val="18"/>
                <w:szCs w:val="18"/>
              </w:rPr>
              <w:t>Ajusta una distribución a los siniestros.</w:t>
            </w:r>
          </w:p>
        </w:tc>
      </w:tr>
      <w:tr w:rsidR="00990B14" w14:paraId="131EB723" w14:textId="77777777">
        <w:trPr>
          <w:cantSplit/>
          <w:jc w:val="center"/>
        </w:trPr>
        <w:tc>
          <w:tcPr>
            <w:tcW w:w="1881" w:type="dxa"/>
            <w:vMerge/>
            <w:shd w:val="clear" w:color="auto" w:fill="4472C4"/>
            <w:vAlign w:val="center"/>
          </w:tcPr>
          <w:p w14:paraId="2D588ED4" w14:textId="77777777" w:rsidR="00990B14" w:rsidRDefault="00990B14">
            <w:pPr>
              <w:spacing w:before="20" w:after="20"/>
            </w:pPr>
          </w:p>
        </w:tc>
        <w:tc>
          <w:tcPr>
            <w:tcW w:w="1873" w:type="dxa"/>
            <w:shd w:val="clear" w:color="auto" w:fill="D9E2F3"/>
            <w:vAlign w:val="center"/>
          </w:tcPr>
          <w:p w14:paraId="396C3634" w14:textId="77777777" w:rsidR="00990B14" w:rsidRDefault="00000000">
            <w:pPr>
              <w:spacing w:before="20" w:after="20"/>
              <w:jc w:val="both"/>
            </w:pPr>
            <w:r>
              <w:rPr>
                <w:sz w:val="18"/>
                <w:szCs w:val="18"/>
              </w:rPr>
              <w:t>Prima de riesgo</w:t>
            </w:r>
          </w:p>
        </w:tc>
        <w:tc>
          <w:tcPr>
            <w:tcW w:w="1868" w:type="dxa"/>
            <w:shd w:val="clear" w:color="auto" w:fill="D9E2F3"/>
            <w:vAlign w:val="center"/>
          </w:tcPr>
          <w:p w14:paraId="076844E8" w14:textId="77777777" w:rsidR="00990B14" w:rsidRDefault="00000000">
            <w:pPr>
              <w:spacing w:before="20" w:after="20"/>
              <w:jc w:val="both"/>
            </w:pPr>
            <w:r>
              <w:rPr>
                <w:sz w:val="18"/>
                <w:szCs w:val="18"/>
              </w:rPr>
              <w:t>La prima no cubre el costo esperado.</w:t>
            </w:r>
          </w:p>
        </w:tc>
        <w:tc>
          <w:tcPr>
            <w:tcW w:w="1910" w:type="dxa"/>
            <w:shd w:val="clear" w:color="auto" w:fill="D9E2F3"/>
            <w:vAlign w:val="center"/>
          </w:tcPr>
          <w:p w14:paraId="46282DDB" w14:textId="77777777" w:rsidR="00990B14" w:rsidRDefault="00000000">
            <w:pPr>
              <w:spacing w:before="20" w:after="20"/>
              <w:jc w:val="both"/>
            </w:pPr>
            <w:r>
              <w:rPr>
                <w:sz w:val="18"/>
                <w:szCs w:val="18"/>
              </w:rPr>
              <w:t>Calcula la prima de riesgo.</w:t>
            </w:r>
          </w:p>
        </w:tc>
        <w:tc>
          <w:tcPr>
            <w:tcW w:w="1873" w:type="dxa"/>
            <w:shd w:val="clear" w:color="auto" w:fill="D9E2F3"/>
            <w:vAlign w:val="center"/>
          </w:tcPr>
          <w:p w14:paraId="0E73FF88" w14:textId="77777777" w:rsidR="00990B14" w:rsidRDefault="00000000">
            <w:pPr>
              <w:spacing w:before="20" w:after="20"/>
              <w:jc w:val="both"/>
            </w:pPr>
            <w:r>
              <w:rPr>
                <w:sz w:val="18"/>
                <w:szCs w:val="18"/>
              </w:rPr>
              <w:t>Incorpora un recargo de seguridad justificado.</w:t>
            </w:r>
          </w:p>
        </w:tc>
      </w:tr>
      <w:tr w:rsidR="00990B14" w14:paraId="50D51BC5" w14:textId="77777777">
        <w:trPr>
          <w:cantSplit/>
          <w:jc w:val="center"/>
        </w:trPr>
        <w:tc>
          <w:tcPr>
            <w:tcW w:w="1881" w:type="dxa"/>
            <w:vMerge/>
            <w:shd w:val="clear" w:color="auto" w:fill="4472C4"/>
            <w:vAlign w:val="center"/>
          </w:tcPr>
          <w:p w14:paraId="1C646C12" w14:textId="77777777" w:rsidR="00990B14" w:rsidRDefault="00990B14">
            <w:pPr>
              <w:spacing w:before="20" w:after="20"/>
            </w:pPr>
          </w:p>
        </w:tc>
        <w:tc>
          <w:tcPr>
            <w:tcW w:w="1873" w:type="dxa"/>
            <w:shd w:val="clear" w:color="auto" w:fill="D9E2F3"/>
            <w:vAlign w:val="center"/>
          </w:tcPr>
          <w:p w14:paraId="5392A469" w14:textId="77777777" w:rsidR="00990B14" w:rsidRDefault="00000000">
            <w:pPr>
              <w:spacing w:before="20" w:after="20"/>
              <w:jc w:val="both"/>
            </w:pPr>
            <w:r>
              <w:rPr>
                <w:sz w:val="18"/>
                <w:szCs w:val="18"/>
              </w:rPr>
              <w:t>Principios técnicos</w:t>
            </w:r>
          </w:p>
        </w:tc>
        <w:tc>
          <w:tcPr>
            <w:tcW w:w="1868" w:type="dxa"/>
            <w:shd w:val="clear" w:color="auto" w:fill="D9E2F3"/>
            <w:vAlign w:val="center"/>
          </w:tcPr>
          <w:p w14:paraId="3BBA40FD" w14:textId="77777777" w:rsidR="00990B14" w:rsidRDefault="00000000">
            <w:pPr>
              <w:spacing w:before="20" w:after="20"/>
              <w:jc w:val="both"/>
            </w:pPr>
            <w:r>
              <w:rPr>
                <w:sz w:val="18"/>
                <w:szCs w:val="18"/>
              </w:rPr>
              <w:t>No verifica la homogeneidad de la cartera.</w:t>
            </w:r>
          </w:p>
        </w:tc>
        <w:tc>
          <w:tcPr>
            <w:tcW w:w="1910" w:type="dxa"/>
            <w:shd w:val="clear" w:color="auto" w:fill="D9E2F3"/>
            <w:vAlign w:val="center"/>
          </w:tcPr>
          <w:p w14:paraId="735BF283" w14:textId="77777777" w:rsidR="00990B14" w:rsidRDefault="00000000">
            <w:pPr>
              <w:spacing w:before="20" w:after="20"/>
              <w:jc w:val="both"/>
            </w:pPr>
            <w:r>
              <w:rPr>
                <w:sz w:val="18"/>
                <w:szCs w:val="18"/>
              </w:rPr>
              <w:t>Verifica los principios de masa y homogeneidad.</w:t>
            </w:r>
          </w:p>
        </w:tc>
        <w:tc>
          <w:tcPr>
            <w:tcW w:w="1873" w:type="dxa"/>
            <w:shd w:val="clear" w:color="auto" w:fill="D9E2F3"/>
            <w:vAlign w:val="center"/>
          </w:tcPr>
          <w:p w14:paraId="29738C2B" w14:textId="77777777" w:rsidR="00990B14" w:rsidRDefault="00000000">
            <w:pPr>
              <w:spacing w:before="20" w:after="20"/>
              <w:jc w:val="both"/>
            </w:pPr>
            <w:r>
              <w:rPr>
                <w:sz w:val="18"/>
                <w:szCs w:val="18"/>
              </w:rPr>
              <w:t>Explica el efecto de incumplirlos.</w:t>
            </w:r>
          </w:p>
        </w:tc>
      </w:tr>
      <w:tr w:rsidR="00990B14" w14:paraId="10F6C279" w14:textId="77777777">
        <w:trPr>
          <w:cantSplit/>
          <w:jc w:val="center"/>
        </w:trPr>
        <w:tc>
          <w:tcPr>
            <w:tcW w:w="1881" w:type="dxa"/>
            <w:vMerge/>
            <w:shd w:val="clear" w:color="auto" w:fill="4472C4"/>
            <w:vAlign w:val="center"/>
          </w:tcPr>
          <w:p w14:paraId="1A973FB7" w14:textId="77777777" w:rsidR="00990B14" w:rsidRDefault="00990B14">
            <w:pPr>
              <w:spacing w:before="20" w:after="20"/>
            </w:pPr>
          </w:p>
        </w:tc>
        <w:tc>
          <w:tcPr>
            <w:tcW w:w="5651" w:type="dxa"/>
            <w:gridSpan w:val="3"/>
            <w:shd w:val="clear" w:color="auto" w:fill="D9E2F3"/>
            <w:vAlign w:val="center"/>
          </w:tcPr>
          <w:p w14:paraId="37741F94" w14:textId="77777777" w:rsidR="00990B14" w:rsidRDefault="00000000">
            <w:pPr>
              <w:keepNext/>
              <w:spacing w:before="20" w:after="20"/>
              <w:jc w:val="both"/>
            </w:pPr>
            <w:r>
              <w:rPr>
                <w:b/>
                <w:bCs/>
                <w:i/>
                <w:iCs/>
                <w:sz w:val="18"/>
                <w:szCs w:val="18"/>
              </w:rPr>
              <w:t xml:space="preserve">Producto 16: </w:t>
            </w:r>
            <w:r>
              <w:rPr>
                <w:sz w:val="18"/>
                <w:szCs w:val="18"/>
              </w:rPr>
              <w:t>Propuesta de seguro paramétrico</w:t>
            </w:r>
          </w:p>
        </w:tc>
        <w:tc>
          <w:tcPr>
            <w:tcW w:w="1873" w:type="dxa"/>
            <w:shd w:val="clear" w:color="auto" w:fill="D9E2F3"/>
            <w:vAlign w:val="center"/>
          </w:tcPr>
          <w:p w14:paraId="7CEC5145" w14:textId="77777777" w:rsidR="00990B14" w:rsidRDefault="00000000">
            <w:pPr>
              <w:spacing w:before="20" w:after="20"/>
              <w:jc w:val="center"/>
            </w:pPr>
            <w:r>
              <w:rPr>
                <w:b/>
                <w:bCs/>
                <w:sz w:val="18"/>
                <w:szCs w:val="18"/>
              </w:rPr>
              <w:t>5%</w:t>
            </w:r>
          </w:p>
        </w:tc>
      </w:tr>
      <w:tr w:rsidR="00990B14" w14:paraId="05B18230" w14:textId="77777777">
        <w:trPr>
          <w:cantSplit/>
          <w:jc w:val="center"/>
        </w:trPr>
        <w:tc>
          <w:tcPr>
            <w:tcW w:w="1881" w:type="dxa"/>
            <w:vMerge/>
            <w:shd w:val="clear" w:color="auto" w:fill="4472C4"/>
            <w:vAlign w:val="center"/>
          </w:tcPr>
          <w:p w14:paraId="658F5FEA" w14:textId="77777777" w:rsidR="00990B14" w:rsidRDefault="00990B14">
            <w:pPr>
              <w:spacing w:before="20" w:after="20"/>
            </w:pPr>
          </w:p>
        </w:tc>
        <w:tc>
          <w:tcPr>
            <w:tcW w:w="1873" w:type="dxa"/>
            <w:shd w:val="clear" w:color="auto" w:fill="4472C4"/>
            <w:vAlign w:val="center"/>
          </w:tcPr>
          <w:p w14:paraId="485F8A8B" w14:textId="77777777" w:rsidR="00990B14" w:rsidRDefault="00000000">
            <w:pPr>
              <w:keepNext/>
              <w:spacing w:before="20" w:after="20"/>
              <w:jc w:val="center"/>
            </w:pPr>
            <w:r>
              <w:rPr>
                <w:b/>
                <w:bCs/>
                <w:i/>
                <w:iCs/>
                <w:color w:val="FFFFFF"/>
                <w:sz w:val="18"/>
                <w:szCs w:val="18"/>
              </w:rPr>
              <w:t>Criterio</w:t>
            </w:r>
          </w:p>
        </w:tc>
        <w:tc>
          <w:tcPr>
            <w:tcW w:w="1868" w:type="dxa"/>
            <w:shd w:val="clear" w:color="auto" w:fill="4472C4"/>
            <w:vAlign w:val="center"/>
          </w:tcPr>
          <w:p w14:paraId="1452DDFA"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4A1A6D60" w14:textId="77777777" w:rsidR="00990B14" w:rsidRDefault="00000000">
            <w:pPr>
              <w:keepNext/>
              <w:spacing w:before="20" w:after="20"/>
              <w:jc w:val="center"/>
            </w:pPr>
            <w:r>
              <w:rPr>
                <w:b/>
                <w:bCs/>
                <w:i/>
                <w:iCs/>
                <w:color w:val="FFFFFF"/>
                <w:sz w:val="18"/>
                <w:szCs w:val="18"/>
              </w:rPr>
              <w:t>Suficiente (51–80)</w:t>
            </w:r>
          </w:p>
        </w:tc>
        <w:tc>
          <w:tcPr>
            <w:tcW w:w="1873" w:type="dxa"/>
            <w:shd w:val="clear" w:color="auto" w:fill="4472C4"/>
            <w:vAlign w:val="center"/>
          </w:tcPr>
          <w:p w14:paraId="72E2E67F" w14:textId="77777777" w:rsidR="00990B14" w:rsidRDefault="00000000">
            <w:pPr>
              <w:keepNext/>
              <w:spacing w:before="20" w:after="20"/>
              <w:jc w:val="center"/>
            </w:pPr>
            <w:r>
              <w:rPr>
                <w:b/>
                <w:bCs/>
                <w:i/>
                <w:iCs/>
                <w:color w:val="FFFFFF"/>
                <w:sz w:val="18"/>
                <w:szCs w:val="18"/>
              </w:rPr>
              <w:t>Destacado (81–100)</w:t>
            </w:r>
          </w:p>
        </w:tc>
      </w:tr>
      <w:tr w:rsidR="00990B14" w14:paraId="2F830302" w14:textId="77777777">
        <w:trPr>
          <w:cantSplit/>
          <w:jc w:val="center"/>
        </w:trPr>
        <w:tc>
          <w:tcPr>
            <w:tcW w:w="1881" w:type="dxa"/>
            <w:vMerge/>
            <w:shd w:val="clear" w:color="auto" w:fill="4472C4"/>
            <w:vAlign w:val="center"/>
          </w:tcPr>
          <w:p w14:paraId="05DC1C38" w14:textId="77777777" w:rsidR="00990B14" w:rsidRDefault="00990B14">
            <w:pPr>
              <w:spacing w:before="20" w:after="20"/>
            </w:pPr>
          </w:p>
        </w:tc>
        <w:tc>
          <w:tcPr>
            <w:tcW w:w="1873" w:type="dxa"/>
            <w:shd w:val="clear" w:color="auto" w:fill="D9E2F3"/>
            <w:vAlign w:val="center"/>
          </w:tcPr>
          <w:p w14:paraId="68334D55" w14:textId="77777777" w:rsidR="00990B14" w:rsidRDefault="00000000">
            <w:pPr>
              <w:spacing w:before="20" w:after="20"/>
              <w:jc w:val="both"/>
            </w:pPr>
            <w:r>
              <w:rPr>
                <w:sz w:val="18"/>
                <w:szCs w:val="18"/>
              </w:rPr>
              <w:t>Índice</w:t>
            </w:r>
          </w:p>
        </w:tc>
        <w:tc>
          <w:tcPr>
            <w:tcW w:w="1868" w:type="dxa"/>
            <w:shd w:val="clear" w:color="auto" w:fill="D9E2F3"/>
            <w:vAlign w:val="center"/>
          </w:tcPr>
          <w:p w14:paraId="132AB08A" w14:textId="77777777" w:rsidR="00990B14" w:rsidRDefault="00000000">
            <w:pPr>
              <w:spacing w:before="20" w:after="20"/>
              <w:jc w:val="both"/>
            </w:pPr>
            <w:r>
              <w:rPr>
                <w:sz w:val="18"/>
                <w:szCs w:val="18"/>
              </w:rPr>
              <w:t>El índice no se relaciona con la pérdida.</w:t>
            </w:r>
          </w:p>
        </w:tc>
        <w:tc>
          <w:tcPr>
            <w:tcW w:w="1910" w:type="dxa"/>
            <w:shd w:val="clear" w:color="auto" w:fill="D9E2F3"/>
            <w:vAlign w:val="center"/>
          </w:tcPr>
          <w:p w14:paraId="67C35EDE" w14:textId="77777777" w:rsidR="00990B14" w:rsidRDefault="00000000">
            <w:pPr>
              <w:spacing w:before="20" w:after="20"/>
              <w:jc w:val="both"/>
            </w:pPr>
            <w:r>
              <w:rPr>
                <w:sz w:val="18"/>
                <w:szCs w:val="18"/>
              </w:rPr>
              <w:t>Define un índice medible y verificable.</w:t>
            </w:r>
          </w:p>
        </w:tc>
        <w:tc>
          <w:tcPr>
            <w:tcW w:w="1873" w:type="dxa"/>
            <w:shd w:val="clear" w:color="auto" w:fill="D9E2F3"/>
            <w:vAlign w:val="center"/>
          </w:tcPr>
          <w:p w14:paraId="4D1B6874" w14:textId="77777777" w:rsidR="00990B14" w:rsidRDefault="00000000">
            <w:pPr>
              <w:spacing w:before="20" w:after="20"/>
              <w:jc w:val="both"/>
            </w:pPr>
            <w:r>
              <w:rPr>
                <w:sz w:val="18"/>
                <w:szCs w:val="18"/>
              </w:rPr>
              <w:t>Evalúa el riesgo de base del índice.</w:t>
            </w:r>
          </w:p>
        </w:tc>
      </w:tr>
      <w:tr w:rsidR="00990B14" w14:paraId="1839597E" w14:textId="77777777">
        <w:trPr>
          <w:cantSplit/>
          <w:jc w:val="center"/>
        </w:trPr>
        <w:tc>
          <w:tcPr>
            <w:tcW w:w="1881" w:type="dxa"/>
            <w:vMerge/>
            <w:shd w:val="clear" w:color="auto" w:fill="4472C4"/>
            <w:vAlign w:val="center"/>
          </w:tcPr>
          <w:p w14:paraId="50172789" w14:textId="77777777" w:rsidR="00990B14" w:rsidRDefault="00990B14">
            <w:pPr>
              <w:spacing w:before="20" w:after="20"/>
            </w:pPr>
          </w:p>
        </w:tc>
        <w:tc>
          <w:tcPr>
            <w:tcW w:w="1873" w:type="dxa"/>
            <w:shd w:val="clear" w:color="auto" w:fill="D9E2F3"/>
            <w:vAlign w:val="center"/>
          </w:tcPr>
          <w:p w14:paraId="23549B5F" w14:textId="77777777" w:rsidR="00990B14" w:rsidRDefault="00000000">
            <w:pPr>
              <w:spacing w:before="20" w:after="20"/>
              <w:jc w:val="both"/>
            </w:pPr>
            <w:r>
              <w:rPr>
                <w:sz w:val="18"/>
                <w:szCs w:val="18"/>
              </w:rPr>
              <w:t>Umbral y prima</w:t>
            </w:r>
          </w:p>
        </w:tc>
        <w:tc>
          <w:tcPr>
            <w:tcW w:w="1868" w:type="dxa"/>
            <w:shd w:val="clear" w:color="auto" w:fill="D9E2F3"/>
            <w:vAlign w:val="center"/>
          </w:tcPr>
          <w:p w14:paraId="7FD954DD" w14:textId="77777777" w:rsidR="00990B14" w:rsidRDefault="00000000">
            <w:pPr>
              <w:spacing w:before="20" w:after="20"/>
              <w:jc w:val="both"/>
            </w:pPr>
            <w:r>
              <w:rPr>
                <w:sz w:val="18"/>
                <w:szCs w:val="18"/>
              </w:rPr>
              <w:t>No define el umbral.</w:t>
            </w:r>
          </w:p>
        </w:tc>
        <w:tc>
          <w:tcPr>
            <w:tcW w:w="1910" w:type="dxa"/>
            <w:shd w:val="clear" w:color="auto" w:fill="D9E2F3"/>
            <w:vAlign w:val="center"/>
          </w:tcPr>
          <w:p w14:paraId="4F999BD1" w14:textId="77777777" w:rsidR="00990B14" w:rsidRDefault="00000000">
            <w:pPr>
              <w:spacing w:before="20" w:after="20"/>
              <w:jc w:val="both"/>
            </w:pPr>
            <w:r>
              <w:rPr>
                <w:sz w:val="18"/>
                <w:szCs w:val="18"/>
              </w:rPr>
              <w:t>Define el umbral y calcula la prima.</w:t>
            </w:r>
          </w:p>
        </w:tc>
        <w:tc>
          <w:tcPr>
            <w:tcW w:w="1873" w:type="dxa"/>
            <w:shd w:val="clear" w:color="auto" w:fill="D9E2F3"/>
            <w:vAlign w:val="center"/>
          </w:tcPr>
          <w:p w14:paraId="52FB92BE" w14:textId="77777777" w:rsidR="00990B14" w:rsidRDefault="00000000">
            <w:pPr>
              <w:spacing w:before="20" w:after="20"/>
              <w:jc w:val="both"/>
            </w:pPr>
            <w:r>
              <w:rPr>
                <w:sz w:val="18"/>
                <w:szCs w:val="18"/>
              </w:rPr>
              <w:t>Analiza la frecuencia histórica de activación.</w:t>
            </w:r>
          </w:p>
        </w:tc>
      </w:tr>
      <w:tr w:rsidR="00990B14" w14:paraId="4B552CA3" w14:textId="77777777">
        <w:trPr>
          <w:cantSplit/>
          <w:jc w:val="center"/>
        </w:trPr>
        <w:tc>
          <w:tcPr>
            <w:tcW w:w="1881" w:type="dxa"/>
            <w:vMerge/>
            <w:shd w:val="clear" w:color="auto" w:fill="4472C4"/>
            <w:vAlign w:val="center"/>
          </w:tcPr>
          <w:p w14:paraId="6B2B01C6" w14:textId="77777777" w:rsidR="00990B14" w:rsidRDefault="00990B14">
            <w:pPr>
              <w:spacing w:before="20" w:after="20"/>
            </w:pPr>
          </w:p>
        </w:tc>
        <w:tc>
          <w:tcPr>
            <w:tcW w:w="1873" w:type="dxa"/>
            <w:shd w:val="clear" w:color="auto" w:fill="D9E2F3"/>
            <w:vAlign w:val="center"/>
          </w:tcPr>
          <w:p w14:paraId="6BF00250" w14:textId="77777777" w:rsidR="00990B14" w:rsidRDefault="00000000">
            <w:pPr>
              <w:spacing w:before="20" w:after="20"/>
              <w:jc w:val="both"/>
            </w:pPr>
            <w:r>
              <w:rPr>
                <w:sz w:val="18"/>
                <w:szCs w:val="18"/>
              </w:rPr>
              <w:t>Sustentación</w:t>
            </w:r>
          </w:p>
        </w:tc>
        <w:tc>
          <w:tcPr>
            <w:tcW w:w="1868" w:type="dxa"/>
            <w:shd w:val="clear" w:color="auto" w:fill="D9E2F3"/>
            <w:vAlign w:val="center"/>
          </w:tcPr>
          <w:p w14:paraId="71959ACA" w14:textId="77777777" w:rsidR="00990B14" w:rsidRDefault="00000000">
            <w:pPr>
              <w:spacing w:before="20" w:after="20"/>
              <w:jc w:val="both"/>
            </w:pPr>
            <w:r>
              <w:rPr>
                <w:sz w:val="18"/>
                <w:szCs w:val="18"/>
              </w:rPr>
              <w:t>La sustentación es confusa.</w:t>
            </w:r>
          </w:p>
        </w:tc>
        <w:tc>
          <w:tcPr>
            <w:tcW w:w="1910" w:type="dxa"/>
            <w:shd w:val="clear" w:color="auto" w:fill="D9E2F3"/>
            <w:vAlign w:val="center"/>
          </w:tcPr>
          <w:p w14:paraId="13602E99" w14:textId="77777777" w:rsidR="00990B14" w:rsidRDefault="00000000">
            <w:pPr>
              <w:spacing w:before="20" w:after="20"/>
              <w:jc w:val="both"/>
            </w:pPr>
            <w:r>
              <w:rPr>
                <w:sz w:val="18"/>
                <w:szCs w:val="18"/>
              </w:rPr>
              <w:t>Sustenta la propuesta con claridad.</w:t>
            </w:r>
          </w:p>
        </w:tc>
        <w:tc>
          <w:tcPr>
            <w:tcW w:w="1873" w:type="dxa"/>
            <w:shd w:val="clear" w:color="auto" w:fill="D9E2F3"/>
            <w:vAlign w:val="center"/>
          </w:tcPr>
          <w:p w14:paraId="6BE856C1" w14:textId="77777777" w:rsidR="00990B14" w:rsidRDefault="00000000">
            <w:pPr>
              <w:spacing w:before="20" w:after="20"/>
              <w:jc w:val="both"/>
            </w:pPr>
            <w:r>
              <w:rPr>
                <w:sz w:val="18"/>
                <w:szCs w:val="18"/>
              </w:rPr>
              <w:t>Responde con solvencia las preguntas del curso.</w:t>
            </w:r>
          </w:p>
        </w:tc>
      </w:tr>
      <w:tr w:rsidR="00990B14" w14:paraId="439526AC" w14:textId="77777777">
        <w:trPr>
          <w:cantSplit/>
          <w:jc w:val="center"/>
        </w:trPr>
        <w:tc>
          <w:tcPr>
            <w:tcW w:w="1881" w:type="dxa"/>
            <w:vMerge/>
            <w:shd w:val="clear" w:color="auto" w:fill="4472C4"/>
            <w:vAlign w:val="center"/>
          </w:tcPr>
          <w:p w14:paraId="1D9E533E" w14:textId="77777777" w:rsidR="00990B14" w:rsidRDefault="00990B14">
            <w:pPr>
              <w:spacing w:before="20" w:after="20"/>
            </w:pPr>
          </w:p>
        </w:tc>
        <w:tc>
          <w:tcPr>
            <w:tcW w:w="5651" w:type="dxa"/>
            <w:gridSpan w:val="3"/>
            <w:shd w:val="clear" w:color="auto" w:fill="D9E2F3"/>
            <w:vAlign w:val="center"/>
          </w:tcPr>
          <w:p w14:paraId="5DEC25D2" w14:textId="77777777" w:rsidR="00990B14" w:rsidRDefault="00000000">
            <w:pPr>
              <w:keepNext/>
              <w:spacing w:before="20" w:after="20"/>
              <w:jc w:val="both"/>
            </w:pPr>
            <w:r>
              <w:rPr>
                <w:b/>
                <w:bCs/>
                <w:i/>
                <w:iCs/>
                <w:sz w:val="18"/>
                <w:szCs w:val="18"/>
              </w:rPr>
              <w:t xml:space="preserve">Producto 17: </w:t>
            </w:r>
            <w:r>
              <w:rPr>
                <w:sz w:val="18"/>
                <w:szCs w:val="18"/>
              </w:rPr>
              <w:t>Planilla de simulación en Excel</w:t>
            </w:r>
          </w:p>
        </w:tc>
        <w:tc>
          <w:tcPr>
            <w:tcW w:w="1873" w:type="dxa"/>
            <w:shd w:val="clear" w:color="auto" w:fill="D9E2F3"/>
            <w:vAlign w:val="center"/>
          </w:tcPr>
          <w:p w14:paraId="4773E140" w14:textId="77777777" w:rsidR="00990B14" w:rsidRDefault="00000000">
            <w:pPr>
              <w:spacing w:before="20" w:after="20"/>
              <w:jc w:val="center"/>
            </w:pPr>
            <w:r>
              <w:rPr>
                <w:b/>
                <w:bCs/>
                <w:sz w:val="18"/>
                <w:szCs w:val="18"/>
              </w:rPr>
              <w:t>5%</w:t>
            </w:r>
          </w:p>
        </w:tc>
      </w:tr>
      <w:tr w:rsidR="00990B14" w14:paraId="27C3E934" w14:textId="77777777">
        <w:trPr>
          <w:cantSplit/>
          <w:jc w:val="center"/>
        </w:trPr>
        <w:tc>
          <w:tcPr>
            <w:tcW w:w="1881" w:type="dxa"/>
            <w:vMerge/>
            <w:shd w:val="clear" w:color="auto" w:fill="4472C4"/>
            <w:vAlign w:val="center"/>
          </w:tcPr>
          <w:p w14:paraId="4BF966D5" w14:textId="77777777" w:rsidR="00990B14" w:rsidRDefault="00990B14">
            <w:pPr>
              <w:spacing w:before="20" w:after="20"/>
            </w:pPr>
          </w:p>
        </w:tc>
        <w:tc>
          <w:tcPr>
            <w:tcW w:w="1873" w:type="dxa"/>
            <w:shd w:val="clear" w:color="auto" w:fill="4472C4"/>
            <w:vAlign w:val="center"/>
          </w:tcPr>
          <w:p w14:paraId="39EAC4C2" w14:textId="77777777" w:rsidR="00990B14" w:rsidRDefault="00000000">
            <w:pPr>
              <w:keepNext/>
              <w:spacing w:before="20" w:after="20"/>
              <w:jc w:val="center"/>
            </w:pPr>
            <w:r>
              <w:rPr>
                <w:b/>
                <w:bCs/>
                <w:i/>
                <w:iCs/>
                <w:color w:val="FFFFFF"/>
                <w:sz w:val="18"/>
                <w:szCs w:val="18"/>
              </w:rPr>
              <w:t>Criterio</w:t>
            </w:r>
          </w:p>
        </w:tc>
        <w:tc>
          <w:tcPr>
            <w:tcW w:w="1868" w:type="dxa"/>
            <w:shd w:val="clear" w:color="auto" w:fill="4472C4"/>
            <w:vAlign w:val="center"/>
          </w:tcPr>
          <w:p w14:paraId="7E8B15F9"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38D6E6F2" w14:textId="77777777" w:rsidR="00990B14" w:rsidRDefault="00000000">
            <w:pPr>
              <w:keepNext/>
              <w:spacing w:before="20" w:after="20"/>
              <w:jc w:val="center"/>
            </w:pPr>
            <w:r>
              <w:rPr>
                <w:b/>
                <w:bCs/>
                <w:i/>
                <w:iCs/>
                <w:color w:val="FFFFFF"/>
                <w:sz w:val="18"/>
                <w:szCs w:val="18"/>
              </w:rPr>
              <w:t>Suficiente (51–80)</w:t>
            </w:r>
          </w:p>
        </w:tc>
        <w:tc>
          <w:tcPr>
            <w:tcW w:w="1873" w:type="dxa"/>
            <w:shd w:val="clear" w:color="auto" w:fill="4472C4"/>
            <w:vAlign w:val="center"/>
          </w:tcPr>
          <w:p w14:paraId="2766A490" w14:textId="77777777" w:rsidR="00990B14" w:rsidRDefault="00000000">
            <w:pPr>
              <w:keepNext/>
              <w:spacing w:before="20" w:after="20"/>
              <w:jc w:val="center"/>
            </w:pPr>
            <w:r>
              <w:rPr>
                <w:b/>
                <w:bCs/>
                <w:i/>
                <w:iCs/>
                <w:color w:val="FFFFFF"/>
                <w:sz w:val="18"/>
                <w:szCs w:val="18"/>
              </w:rPr>
              <w:t>Destacado (81–100)</w:t>
            </w:r>
          </w:p>
        </w:tc>
      </w:tr>
      <w:tr w:rsidR="00990B14" w14:paraId="67FBFA9E" w14:textId="77777777">
        <w:trPr>
          <w:cantSplit/>
          <w:jc w:val="center"/>
        </w:trPr>
        <w:tc>
          <w:tcPr>
            <w:tcW w:w="1881" w:type="dxa"/>
            <w:vMerge/>
            <w:shd w:val="clear" w:color="auto" w:fill="4472C4"/>
            <w:vAlign w:val="center"/>
          </w:tcPr>
          <w:p w14:paraId="21D62EE8" w14:textId="77777777" w:rsidR="00990B14" w:rsidRDefault="00990B14">
            <w:pPr>
              <w:spacing w:before="20" w:after="20"/>
            </w:pPr>
          </w:p>
        </w:tc>
        <w:tc>
          <w:tcPr>
            <w:tcW w:w="1873" w:type="dxa"/>
            <w:shd w:val="clear" w:color="auto" w:fill="D9E2F3"/>
            <w:vAlign w:val="center"/>
          </w:tcPr>
          <w:p w14:paraId="30D24AE8" w14:textId="77777777" w:rsidR="00990B14" w:rsidRDefault="00000000">
            <w:pPr>
              <w:spacing w:before="20" w:after="20"/>
              <w:jc w:val="both"/>
            </w:pPr>
            <w:r>
              <w:rPr>
                <w:sz w:val="18"/>
                <w:szCs w:val="18"/>
              </w:rPr>
              <w:t>Variables de entrada</w:t>
            </w:r>
          </w:p>
        </w:tc>
        <w:tc>
          <w:tcPr>
            <w:tcW w:w="1868" w:type="dxa"/>
            <w:shd w:val="clear" w:color="auto" w:fill="D9E2F3"/>
            <w:vAlign w:val="center"/>
          </w:tcPr>
          <w:p w14:paraId="0E906AD8" w14:textId="77777777" w:rsidR="00990B14" w:rsidRDefault="00000000">
            <w:pPr>
              <w:spacing w:before="20" w:after="20"/>
              <w:jc w:val="both"/>
            </w:pPr>
            <w:r>
              <w:rPr>
                <w:sz w:val="18"/>
                <w:szCs w:val="18"/>
              </w:rPr>
              <w:t>Asigna distribuciones sin justificar.</w:t>
            </w:r>
          </w:p>
        </w:tc>
        <w:tc>
          <w:tcPr>
            <w:tcW w:w="1910" w:type="dxa"/>
            <w:shd w:val="clear" w:color="auto" w:fill="D9E2F3"/>
            <w:vAlign w:val="center"/>
          </w:tcPr>
          <w:p w14:paraId="555F9BA9" w14:textId="77777777" w:rsidR="00990B14" w:rsidRDefault="00000000">
            <w:pPr>
              <w:spacing w:before="20" w:after="20"/>
              <w:jc w:val="both"/>
            </w:pPr>
            <w:r>
              <w:rPr>
                <w:sz w:val="18"/>
                <w:szCs w:val="18"/>
              </w:rPr>
              <w:t>Define las distribuciones de las variables de entrada.</w:t>
            </w:r>
          </w:p>
        </w:tc>
        <w:tc>
          <w:tcPr>
            <w:tcW w:w="1873" w:type="dxa"/>
            <w:shd w:val="clear" w:color="auto" w:fill="D9E2F3"/>
            <w:vAlign w:val="center"/>
          </w:tcPr>
          <w:p w14:paraId="4FE38F44" w14:textId="77777777" w:rsidR="00990B14" w:rsidRDefault="00000000">
            <w:pPr>
              <w:spacing w:before="20" w:after="20"/>
              <w:jc w:val="both"/>
            </w:pPr>
            <w:r>
              <w:rPr>
                <w:sz w:val="18"/>
                <w:szCs w:val="18"/>
              </w:rPr>
              <w:t>Justifica cada distribución con datos.</w:t>
            </w:r>
          </w:p>
        </w:tc>
      </w:tr>
      <w:tr w:rsidR="00990B14" w14:paraId="4E7D74CC" w14:textId="77777777">
        <w:trPr>
          <w:cantSplit/>
          <w:jc w:val="center"/>
        </w:trPr>
        <w:tc>
          <w:tcPr>
            <w:tcW w:w="1881" w:type="dxa"/>
            <w:vMerge/>
            <w:shd w:val="clear" w:color="auto" w:fill="4472C4"/>
            <w:vAlign w:val="center"/>
          </w:tcPr>
          <w:p w14:paraId="48CA7436" w14:textId="77777777" w:rsidR="00990B14" w:rsidRDefault="00990B14">
            <w:pPr>
              <w:spacing w:before="20" w:after="20"/>
            </w:pPr>
          </w:p>
        </w:tc>
        <w:tc>
          <w:tcPr>
            <w:tcW w:w="1873" w:type="dxa"/>
            <w:shd w:val="clear" w:color="auto" w:fill="D9E2F3"/>
            <w:vAlign w:val="center"/>
          </w:tcPr>
          <w:p w14:paraId="19D91C47" w14:textId="77777777" w:rsidR="00990B14" w:rsidRDefault="00000000">
            <w:pPr>
              <w:spacing w:before="20" w:after="20"/>
              <w:jc w:val="both"/>
            </w:pPr>
            <w:r>
              <w:rPr>
                <w:sz w:val="18"/>
                <w:szCs w:val="18"/>
              </w:rPr>
              <w:t>Simulación</w:t>
            </w:r>
          </w:p>
        </w:tc>
        <w:tc>
          <w:tcPr>
            <w:tcW w:w="1868" w:type="dxa"/>
            <w:shd w:val="clear" w:color="auto" w:fill="D9E2F3"/>
            <w:vAlign w:val="center"/>
          </w:tcPr>
          <w:p w14:paraId="391E8F68" w14:textId="77777777" w:rsidR="00990B14" w:rsidRDefault="00000000">
            <w:pPr>
              <w:spacing w:before="20" w:after="20"/>
              <w:jc w:val="both"/>
            </w:pPr>
            <w:r>
              <w:rPr>
                <w:sz w:val="18"/>
                <w:szCs w:val="18"/>
              </w:rPr>
              <w:t>El número de iteraciones es insuficiente.</w:t>
            </w:r>
          </w:p>
        </w:tc>
        <w:tc>
          <w:tcPr>
            <w:tcW w:w="1910" w:type="dxa"/>
            <w:shd w:val="clear" w:color="auto" w:fill="D9E2F3"/>
            <w:vAlign w:val="center"/>
          </w:tcPr>
          <w:p w14:paraId="64706AC9" w14:textId="77777777" w:rsidR="00990B14" w:rsidRDefault="00000000">
            <w:pPr>
              <w:spacing w:before="20" w:after="20"/>
              <w:jc w:val="both"/>
            </w:pPr>
            <w:r>
              <w:rPr>
                <w:sz w:val="18"/>
                <w:szCs w:val="18"/>
              </w:rPr>
              <w:t>Ejecuta la simulación con suficientes iteraciones.</w:t>
            </w:r>
          </w:p>
        </w:tc>
        <w:tc>
          <w:tcPr>
            <w:tcW w:w="1873" w:type="dxa"/>
            <w:shd w:val="clear" w:color="auto" w:fill="D9E2F3"/>
            <w:vAlign w:val="center"/>
          </w:tcPr>
          <w:p w14:paraId="47BD9156" w14:textId="77777777" w:rsidR="00990B14" w:rsidRDefault="00000000">
            <w:pPr>
              <w:spacing w:before="20" w:after="20"/>
              <w:jc w:val="both"/>
            </w:pPr>
            <w:r>
              <w:rPr>
                <w:sz w:val="18"/>
                <w:szCs w:val="18"/>
              </w:rPr>
              <w:t>Verifica la estabilidad de los resultados.</w:t>
            </w:r>
          </w:p>
        </w:tc>
      </w:tr>
      <w:tr w:rsidR="00990B14" w14:paraId="55C3CA62" w14:textId="77777777">
        <w:trPr>
          <w:cantSplit/>
          <w:jc w:val="center"/>
        </w:trPr>
        <w:tc>
          <w:tcPr>
            <w:tcW w:w="1881" w:type="dxa"/>
            <w:vMerge/>
            <w:shd w:val="clear" w:color="auto" w:fill="4472C4"/>
            <w:vAlign w:val="center"/>
          </w:tcPr>
          <w:p w14:paraId="3DF686CF" w14:textId="77777777" w:rsidR="00990B14" w:rsidRDefault="00990B14">
            <w:pPr>
              <w:spacing w:before="20" w:after="20"/>
            </w:pPr>
          </w:p>
        </w:tc>
        <w:tc>
          <w:tcPr>
            <w:tcW w:w="1873" w:type="dxa"/>
            <w:shd w:val="clear" w:color="auto" w:fill="D9E2F3"/>
            <w:vAlign w:val="center"/>
          </w:tcPr>
          <w:p w14:paraId="359E7EBA" w14:textId="77777777" w:rsidR="00990B14" w:rsidRDefault="00000000">
            <w:pPr>
              <w:spacing w:before="20" w:after="20"/>
              <w:jc w:val="both"/>
            </w:pPr>
            <w:r>
              <w:rPr>
                <w:sz w:val="18"/>
                <w:szCs w:val="18"/>
              </w:rPr>
              <w:t>Lectura de resultados</w:t>
            </w:r>
          </w:p>
        </w:tc>
        <w:tc>
          <w:tcPr>
            <w:tcW w:w="1868" w:type="dxa"/>
            <w:shd w:val="clear" w:color="auto" w:fill="D9E2F3"/>
            <w:vAlign w:val="center"/>
          </w:tcPr>
          <w:p w14:paraId="1C708302" w14:textId="77777777" w:rsidR="00990B14" w:rsidRDefault="00000000">
            <w:pPr>
              <w:spacing w:before="20" w:after="20"/>
              <w:jc w:val="both"/>
            </w:pPr>
            <w:r>
              <w:rPr>
                <w:sz w:val="18"/>
                <w:szCs w:val="18"/>
              </w:rPr>
              <w:t>Informa solo el promedio.</w:t>
            </w:r>
          </w:p>
        </w:tc>
        <w:tc>
          <w:tcPr>
            <w:tcW w:w="1910" w:type="dxa"/>
            <w:shd w:val="clear" w:color="auto" w:fill="D9E2F3"/>
            <w:vAlign w:val="center"/>
          </w:tcPr>
          <w:p w14:paraId="235EAA9C" w14:textId="77777777" w:rsidR="00990B14" w:rsidRDefault="00000000">
            <w:pPr>
              <w:spacing w:before="20" w:after="20"/>
              <w:jc w:val="both"/>
            </w:pPr>
            <w:r>
              <w:rPr>
                <w:sz w:val="18"/>
                <w:szCs w:val="18"/>
              </w:rPr>
              <w:t>Interpreta la distribución de resultados.</w:t>
            </w:r>
          </w:p>
        </w:tc>
        <w:tc>
          <w:tcPr>
            <w:tcW w:w="1873" w:type="dxa"/>
            <w:shd w:val="clear" w:color="auto" w:fill="D9E2F3"/>
            <w:vAlign w:val="center"/>
          </w:tcPr>
          <w:p w14:paraId="01C3F612" w14:textId="77777777" w:rsidR="00990B14" w:rsidRDefault="00000000">
            <w:pPr>
              <w:spacing w:before="20" w:after="20"/>
              <w:jc w:val="both"/>
            </w:pPr>
            <w:r>
              <w:rPr>
                <w:sz w:val="18"/>
                <w:szCs w:val="18"/>
              </w:rPr>
              <w:t>Estima la probabilidad de pérdida.</w:t>
            </w:r>
          </w:p>
        </w:tc>
      </w:tr>
      <w:tr w:rsidR="00990B14" w14:paraId="3D5D70C3" w14:textId="77777777">
        <w:trPr>
          <w:cantSplit/>
          <w:jc w:val="center"/>
        </w:trPr>
        <w:tc>
          <w:tcPr>
            <w:tcW w:w="1881" w:type="dxa"/>
            <w:vMerge/>
            <w:shd w:val="clear" w:color="auto" w:fill="4472C4"/>
            <w:vAlign w:val="center"/>
          </w:tcPr>
          <w:p w14:paraId="5337F422" w14:textId="77777777" w:rsidR="00990B14" w:rsidRDefault="00990B14">
            <w:pPr>
              <w:spacing w:before="20" w:after="20"/>
            </w:pPr>
          </w:p>
        </w:tc>
        <w:tc>
          <w:tcPr>
            <w:tcW w:w="5651" w:type="dxa"/>
            <w:gridSpan w:val="3"/>
            <w:shd w:val="clear" w:color="auto" w:fill="D9E2F3"/>
            <w:vAlign w:val="center"/>
          </w:tcPr>
          <w:p w14:paraId="249DA7BA" w14:textId="77777777" w:rsidR="00990B14" w:rsidRDefault="00000000">
            <w:pPr>
              <w:keepNext/>
              <w:spacing w:before="20" w:after="20"/>
              <w:jc w:val="both"/>
            </w:pPr>
            <w:r>
              <w:rPr>
                <w:b/>
                <w:bCs/>
                <w:i/>
                <w:iCs/>
                <w:sz w:val="18"/>
                <w:szCs w:val="18"/>
              </w:rPr>
              <w:t xml:space="preserve">Producto 18: </w:t>
            </w:r>
            <w:r>
              <w:rPr>
                <w:sz w:val="18"/>
                <w:szCs w:val="18"/>
              </w:rPr>
              <w:t>Planilla de simulación actuarial</w:t>
            </w:r>
          </w:p>
        </w:tc>
        <w:tc>
          <w:tcPr>
            <w:tcW w:w="1873" w:type="dxa"/>
            <w:shd w:val="clear" w:color="auto" w:fill="D9E2F3"/>
            <w:vAlign w:val="center"/>
          </w:tcPr>
          <w:p w14:paraId="4F384936" w14:textId="77777777" w:rsidR="00990B14" w:rsidRDefault="00000000">
            <w:pPr>
              <w:spacing w:before="20" w:after="20"/>
              <w:jc w:val="center"/>
            </w:pPr>
            <w:r>
              <w:rPr>
                <w:b/>
                <w:bCs/>
                <w:sz w:val="18"/>
                <w:szCs w:val="18"/>
              </w:rPr>
              <w:t>5%</w:t>
            </w:r>
          </w:p>
        </w:tc>
      </w:tr>
      <w:tr w:rsidR="00990B14" w14:paraId="56D29DEE" w14:textId="77777777">
        <w:trPr>
          <w:cantSplit/>
          <w:jc w:val="center"/>
        </w:trPr>
        <w:tc>
          <w:tcPr>
            <w:tcW w:w="1881" w:type="dxa"/>
            <w:vMerge/>
            <w:shd w:val="clear" w:color="auto" w:fill="4472C4"/>
            <w:vAlign w:val="center"/>
          </w:tcPr>
          <w:p w14:paraId="44BBC201" w14:textId="77777777" w:rsidR="00990B14" w:rsidRDefault="00990B14">
            <w:pPr>
              <w:spacing w:before="20" w:after="20"/>
            </w:pPr>
          </w:p>
        </w:tc>
        <w:tc>
          <w:tcPr>
            <w:tcW w:w="1873" w:type="dxa"/>
            <w:shd w:val="clear" w:color="auto" w:fill="4472C4"/>
            <w:vAlign w:val="center"/>
          </w:tcPr>
          <w:p w14:paraId="720E800B" w14:textId="77777777" w:rsidR="00990B14" w:rsidRDefault="00000000">
            <w:pPr>
              <w:keepNext/>
              <w:spacing w:before="20" w:after="20"/>
              <w:jc w:val="center"/>
            </w:pPr>
            <w:r>
              <w:rPr>
                <w:b/>
                <w:bCs/>
                <w:i/>
                <w:iCs/>
                <w:color w:val="FFFFFF"/>
                <w:sz w:val="18"/>
                <w:szCs w:val="18"/>
              </w:rPr>
              <w:t>Criterio</w:t>
            </w:r>
          </w:p>
        </w:tc>
        <w:tc>
          <w:tcPr>
            <w:tcW w:w="1868" w:type="dxa"/>
            <w:shd w:val="clear" w:color="auto" w:fill="4472C4"/>
            <w:vAlign w:val="center"/>
          </w:tcPr>
          <w:p w14:paraId="3153247A"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5DAB272C" w14:textId="77777777" w:rsidR="00990B14" w:rsidRDefault="00000000">
            <w:pPr>
              <w:keepNext/>
              <w:spacing w:before="20" w:after="20"/>
              <w:jc w:val="center"/>
            </w:pPr>
            <w:r>
              <w:rPr>
                <w:b/>
                <w:bCs/>
                <w:i/>
                <w:iCs/>
                <w:color w:val="FFFFFF"/>
                <w:sz w:val="18"/>
                <w:szCs w:val="18"/>
              </w:rPr>
              <w:t>Suficiente (51–80)</w:t>
            </w:r>
          </w:p>
        </w:tc>
        <w:tc>
          <w:tcPr>
            <w:tcW w:w="1873" w:type="dxa"/>
            <w:shd w:val="clear" w:color="auto" w:fill="4472C4"/>
            <w:vAlign w:val="center"/>
          </w:tcPr>
          <w:p w14:paraId="0A0AAE6F" w14:textId="77777777" w:rsidR="00990B14" w:rsidRDefault="00000000">
            <w:pPr>
              <w:keepNext/>
              <w:spacing w:before="20" w:after="20"/>
              <w:jc w:val="center"/>
            </w:pPr>
            <w:r>
              <w:rPr>
                <w:b/>
                <w:bCs/>
                <w:i/>
                <w:iCs/>
                <w:color w:val="FFFFFF"/>
                <w:sz w:val="18"/>
                <w:szCs w:val="18"/>
              </w:rPr>
              <w:t>Destacado (81–100)</w:t>
            </w:r>
          </w:p>
        </w:tc>
      </w:tr>
      <w:tr w:rsidR="00990B14" w14:paraId="6BA7984B" w14:textId="77777777">
        <w:trPr>
          <w:cantSplit/>
          <w:jc w:val="center"/>
        </w:trPr>
        <w:tc>
          <w:tcPr>
            <w:tcW w:w="1881" w:type="dxa"/>
            <w:vMerge/>
            <w:shd w:val="clear" w:color="auto" w:fill="4472C4"/>
            <w:vAlign w:val="center"/>
          </w:tcPr>
          <w:p w14:paraId="6901A9D8" w14:textId="77777777" w:rsidR="00990B14" w:rsidRDefault="00990B14">
            <w:pPr>
              <w:spacing w:before="20" w:after="20"/>
            </w:pPr>
          </w:p>
        </w:tc>
        <w:tc>
          <w:tcPr>
            <w:tcW w:w="1873" w:type="dxa"/>
            <w:shd w:val="clear" w:color="auto" w:fill="D9E2F3"/>
            <w:vAlign w:val="center"/>
          </w:tcPr>
          <w:p w14:paraId="7FDDC35E" w14:textId="77777777" w:rsidR="00990B14" w:rsidRDefault="00000000">
            <w:pPr>
              <w:spacing w:before="20" w:after="20"/>
              <w:jc w:val="both"/>
            </w:pPr>
            <w:r>
              <w:rPr>
                <w:sz w:val="18"/>
                <w:szCs w:val="18"/>
              </w:rPr>
              <w:t>Estados</w:t>
            </w:r>
          </w:p>
        </w:tc>
        <w:tc>
          <w:tcPr>
            <w:tcW w:w="1868" w:type="dxa"/>
            <w:shd w:val="clear" w:color="auto" w:fill="D9E2F3"/>
            <w:vAlign w:val="center"/>
          </w:tcPr>
          <w:p w14:paraId="799CEFAC" w14:textId="77777777" w:rsidR="00990B14" w:rsidRDefault="00000000">
            <w:pPr>
              <w:spacing w:before="20" w:after="20"/>
              <w:jc w:val="both"/>
            </w:pPr>
            <w:r>
              <w:rPr>
                <w:sz w:val="18"/>
                <w:szCs w:val="18"/>
              </w:rPr>
              <w:t>Los estados no son excluyentes.</w:t>
            </w:r>
          </w:p>
        </w:tc>
        <w:tc>
          <w:tcPr>
            <w:tcW w:w="1910" w:type="dxa"/>
            <w:shd w:val="clear" w:color="auto" w:fill="D9E2F3"/>
            <w:vAlign w:val="center"/>
          </w:tcPr>
          <w:p w14:paraId="14A38383" w14:textId="77777777" w:rsidR="00990B14" w:rsidRDefault="00000000">
            <w:pPr>
              <w:spacing w:before="20" w:after="20"/>
              <w:jc w:val="both"/>
            </w:pPr>
            <w:r>
              <w:rPr>
                <w:sz w:val="18"/>
                <w:szCs w:val="18"/>
              </w:rPr>
              <w:t>Define estados excluyentes y exhaustivos.</w:t>
            </w:r>
          </w:p>
        </w:tc>
        <w:tc>
          <w:tcPr>
            <w:tcW w:w="1873" w:type="dxa"/>
            <w:shd w:val="clear" w:color="auto" w:fill="D9E2F3"/>
            <w:vAlign w:val="center"/>
          </w:tcPr>
          <w:p w14:paraId="5FF8ECF7" w14:textId="77777777" w:rsidR="00990B14" w:rsidRDefault="00000000">
            <w:pPr>
              <w:spacing w:before="20" w:after="20"/>
              <w:jc w:val="both"/>
            </w:pPr>
            <w:r>
              <w:rPr>
                <w:sz w:val="18"/>
                <w:szCs w:val="18"/>
              </w:rPr>
              <w:t>Justifica los estados con la política de cobranza.</w:t>
            </w:r>
          </w:p>
        </w:tc>
      </w:tr>
      <w:tr w:rsidR="00990B14" w14:paraId="5711BC3F" w14:textId="77777777">
        <w:trPr>
          <w:cantSplit/>
          <w:jc w:val="center"/>
        </w:trPr>
        <w:tc>
          <w:tcPr>
            <w:tcW w:w="1881" w:type="dxa"/>
            <w:vMerge/>
            <w:shd w:val="clear" w:color="auto" w:fill="4472C4"/>
            <w:vAlign w:val="center"/>
          </w:tcPr>
          <w:p w14:paraId="178A69EA" w14:textId="77777777" w:rsidR="00990B14" w:rsidRDefault="00990B14">
            <w:pPr>
              <w:spacing w:before="20" w:after="20"/>
            </w:pPr>
          </w:p>
        </w:tc>
        <w:tc>
          <w:tcPr>
            <w:tcW w:w="1873" w:type="dxa"/>
            <w:shd w:val="clear" w:color="auto" w:fill="D9E2F3"/>
            <w:vAlign w:val="center"/>
          </w:tcPr>
          <w:p w14:paraId="340DE271" w14:textId="77777777" w:rsidR="00990B14" w:rsidRDefault="00000000">
            <w:pPr>
              <w:spacing w:before="20" w:after="20"/>
              <w:jc w:val="both"/>
            </w:pPr>
            <w:r>
              <w:rPr>
                <w:sz w:val="18"/>
                <w:szCs w:val="18"/>
              </w:rPr>
              <w:t>Probabilidades</w:t>
            </w:r>
          </w:p>
        </w:tc>
        <w:tc>
          <w:tcPr>
            <w:tcW w:w="1868" w:type="dxa"/>
            <w:shd w:val="clear" w:color="auto" w:fill="D9E2F3"/>
            <w:vAlign w:val="center"/>
          </w:tcPr>
          <w:p w14:paraId="13B4D7E1" w14:textId="77777777" w:rsidR="00990B14" w:rsidRDefault="00000000">
            <w:pPr>
              <w:spacing w:before="20" w:after="20"/>
              <w:jc w:val="both"/>
            </w:pPr>
            <w:r>
              <w:rPr>
                <w:sz w:val="18"/>
                <w:szCs w:val="18"/>
              </w:rPr>
              <w:t>Las filas no suman uno.</w:t>
            </w:r>
          </w:p>
        </w:tc>
        <w:tc>
          <w:tcPr>
            <w:tcW w:w="1910" w:type="dxa"/>
            <w:shd w:val="clear" w:color="auto" w:fill="D9E2F3"/>
            <w:vAlign w:val="center"/>
          </w:tcPr>
          <w:p w14:paraId="1BCA8983" w14:textId="77777777" w:rsidR="00990B14" w:rsidRDefault="00000000">
            <w:pPr>
              <w:spacing w:before="20" w:after="20"/>
              <w:jc w:val="both"/>
            </w:pPr>
            <w:r>
              <w:rPr>
                <w:sz w:val="18"/>
                <w:szCs w:val="18"/>
              </w:rPr>
              <w:t>Estima las probabilidades de transición.</w:t>
            </w:r>
          </w:p>
        </w:tc>
        <w:tc>
          <w:tcPr>
            <w:tcW w:w="1873" w:type="dxa"/>
            <w:shd w:val="clear" w:color="auto" w:fill="D9E2F3"/>
            <w:vAlign w:val="center"/>
          </w:tcPr>
          <w:p w14:paraId="440A37F6" w14:textId="77777777" w:rsidR="00990B14" w:rsidRDefault="00000000">
            <w:pPr>
              <w:spacing w:before="20" w:after="20"/>
              <w:jc w:val="both"/>
            </w:pPr>
            <w:r>
              <w:rPr>
                <w:sz w:val="18"/>
                <w:szCs w:val="18"/>
              </w:rPr>
              <w:t>Calcula el estado estable de la cartera.</w:t>
            </w:r>
          </w:p>
        </w:tc>
      </w:tr>
      <w:tr w:rsidR="00990B14" w14:paraId="284DC7C6" w14:textId="77777777">
        <w:trPr>
          <w:cantSplit/>
          <w:jc w:val="center"/>
        </w:trPr>
        <w:tc>
          <w:tcPr>
            <w:tcW w:w="1881" w:type="dxa"/>
            <w:vMerge/>
            <w:shd w:val="clear" w:color="auto" w:fill="4472C4"/>
            <w:vAlign w:val="center"/>
          </w:tcPr>
          <w:p w14:paraId="5E6F9B98" w14:textId="77777777" w:rsidR="00990B14" w:rsidRDefault="00990B14">
            <w:pPr>
              <w:spacing w:before="20" w:after="20"/>
            </w:pPr>
          </w:p>
        </w:tc>
        <w:tc>
          <w:tcPr>
            <w:tcW w:w="1873" w:type="dxa"/>
            <w:shd w:val="clear" w:color="auto" w:fill="D9E2F3"/>
            <w:vAlign w:val="center"/>
          </w:tcPr>
          <w:p w14:paraId="7AB106D5" w14:textId="77777777" w:rsidR="00990B14" w:rsidRDefault="00000000">
            <w:pPr>
              <w:spacing w:before="20" w:after="20"/>
              <w:jc w:val="both"/>
            </w:pPr>
            <w:r>
              <w:rPr>
                <w:sz w:val="18"/>
                <w:szCs w:val="18"/>
              </w:rPr>
              <w:t>Decisión</w:t>
            </w:r>
          </w:p>
        </w:tc>
        <w:tc>
          <w:tcPr>
            <w:tcW w:w="1868" w:type="dxa"/>
            <w:shd w:val="clear" w:color="auto" w:fill="D9E2F3"/>
            <w:vAlign w:val="center"/>
          </w:tcPr>
          <w:p w14:paraId="746019CE" w14:textId="77777777" w:rsidR="00990B14" w:rsidRDefault="00000000">
            <w:pPr>
              <w:spacing w:before="20" w:after="20"/>
              <w:jc w:val="both"/>
            </w:pPr>
            <w:r>
              <w:rPr>
                <w:sz w:val="18"/>
                <w:szCs w:val="18"/>
              </w:rPr>
              <w:t>No extrae conclusiones.</w:t>
            </w:r>
          </w:p>
        </w:tc>
        <w:tc>
          <w:tcPr>
            <w:tcW w:w="1910" w:type="dxa"/>
            <w:shd w:val="clear" w:color="auto" w:fill="D9E2F3"/>
            <w:vAlign w:val="center"/>
          </w:tcPr>
          <w:p w14:paraId="25CADA91" w14:textId="77777777" w:rsidR="00990B14" w:rsidRDefault="00000000">
            <w:pPr>
              <w:spacing w:before="20" w:after="20"/>
              <w:jc w:val="both"/>
            </w:pPr>
            <w:r>
              <w:rPr>
                <w:sz w:val="18"/>
                <w:szCs w:val="18"/>
              </w:rPr>
              <w:t>Estima la cartera incobrable esperada.</w:t>
            </w:r>
          </w:p>
        </w:tc>
        <w:tc>
          <w:tcPr>
            <w:tcW w:w="1873" w:type="dxa"/>
            <w:shd w:val="clear" w:color="auto" w:fill="D9E2F3"/>
            <w:vAlign w:val="center"/>
          </w:tcPr>
          <w:p w14:paraId="722FA159" w14:textId="77777777" w:rsidR="00990B14" w:rsidRDefault="00000000">
            <w:pPr>
              <w:spacing w:before="20" w:after="20"/>
              <w:jc w:val="both"/>
            </w:pPr>
            <w:r>
              <w:rPr>
                <w:sz w:val="18"/>
                <w:szCs w:val="18"/>
              </w:rPr>
              <w:t>Propone cambios en la política de cobranza.</w:t>
            </w:r>
          </w:p>
        </w:tc>
      </w:tr>
      <w:tr w:rsidR="00990B14" w14:paraId="5B8EAC04" w14:textId="77777777">
        <w:trPr>
          <w:cantSplit/>
          <w:jc w:val="center"/>
        </w:trPr>
        <w:tc>
          <w:tcPr>
            <w:tcW w:w="1881" w:type="dxa"/>
            <w:vMerge/>
            <w:shd w:val="clear" w:color="auto" w:fill="4472C4"/>
            <w:vAlign w:val="center"/>
          </w:tcPr>
          <w:p w14:paraId="4AF5B4E5" w14:textId="77777777" w:rsidR="00990B14" w:rsidRDefault="00990B14">
            <w:pPr>
              <w:spacing w:before="20" w:after="20"/>
            </w:pPr>
          </w:p>
        </w:tc>
        <w:tc>
          <w:tcPr>
            <w:tcW w:w="5651" w:type="dxa"/>
            <w:gridSpan w:val="3"/>
            <w:shd w:val="clear" w:color="auto" w:fill="D9E2F3"/>
            <w:vAlign w:val="center"/>
          </w:tcPr>
          <w:p w14:paraId="4F299759" w14:textId="77777777" w:rsidR="00990B14" w:rsidRDefault="00000000">
            <w:pPr>
              <w:keepNext/>
              <w:spacing w:before="20" w:after="20"/>
              <w:jc w:val="both"/>
            </w:pPr>
            <w:r>
              <w:rPr>
                <w:b/>
                <w:bCs/>
                <w:i/>
                <w:iCs/>
                <w:sz w:val="18"/>
                <w:szCs w:val="18"/>
              </w:rPr>
              <w:t xml:space="preserve">Producto 19: </w:t>
            </w:r>
            <w:r>
              <w:rPr>
                <w:sz w:val="18"/>
                <w:szCs w:val="18"/>
              </w:rPr>
              <w:t>Informe de derivados financieros</w:t>
            </w:r>
          </w:p>
        </w:tc>
        <w:tc>
          <w:tcPr>
            <w:tcW w:w="1873" w:type="dxa"/>
            <w:shd w:val="clear" w:color="auto" w:fill="D9E2F3"/>
            <w:vAlign w:val="center"/>
          </w:tcPr>
          <w:p w14:paraId="09A0093A" w14:textId="77777777" w:rsidR="00990B14" w:rsidRDefault="00000000">
            <w:pPr>
              <w:spacing w:before="20" w:after="20"/>
              <w:jc w:val="center"/>
            </w:pPr>
            <w:r>
              <w:rPr>
                <w:b/>
                <w:bCs/>
                <w:sz w:val="18"/>
                <w:szCs w:val="18"/>
              </w:rPr>
              <w:t>5%</w:t>
            </w:r>
          </w:p>
        </w:tc>
      </w:tr>
      <w:tr w:rsidR="00990B14" w14:paraId="783285E7" w14:textId="77777777">
        <w:trPr>
          <w:cantSplit/>
          <w:jc w:val="center"/>
        </w:trPr>
        <w:tc>
          <w:tcPr>
            <w:tcW w:w="1881" w:type="dxa"/>
            <w:vMerge/>
            <w:shd w:val="clear" w:color="auto" w:fill="4472C4"/>
            <w:vAlign w:val="center"/>
          </w:tcPr>
          <w:p w14:paraId="0B6A0D44" w14:textId="77777777" w:rsidR="00990B14" w:rsidRDefault="00990B14">
            <w:pPr>
              <w:spacing w:before="20" w:after="20"/>
            </w:pPr>
          </w:p>
        </w:tc>
        <w:tc>
          <w:tcPr>
            <w:tcW w:w="1873" w:type="dxa"/>
            <w:shd w:val="clear" w:color="auto" w:fill="4472C4"/>
            <w:vAlign w:val="center"/>
          </w:tcPr>
          <w:p w14:paraId="7E8BAE2F" w14:textId="77777777" w:rsidR="00990B14" w:rsidRDefault="00000000">
            <w:pPr>
              <w:keepNext/>
              <w:spacing w:before="20" w:after="20"/>
              <w:jc w:val="center"/>
            </w:pPr>
            <w:r>
              <w:rPr>
                <w:b/>
                <w:bCs/>
                <w:i/>
                <w:iCs/>
                <w:color w:val="FFFFFF"/>
                <w:sz w:val="18"/>
                <w:szCs w:val="18"/>
              </w:rPr>
              <w:t>Criterio</w:t>
            </w:r>
          </w:p>
        </w:tc>
        <w:tc>
          <w:tcPr>
            <w:tcW w:w="1868" w:type="dxa"/>
            <w:shd w:val="clear" w:color="auto" w:fill="4472C4"/>
            <w:vAlign w:val="center"/>
          </w:tcPr>
          <w:p w14:paraId="4FA64206"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383FD13F" w14:textId="77777777" w:rsidR="00990B14" w:rsidRDefault="00000000">
            <w:pPr>
              <w:keepNext/>
              <w:spacing w:before="20" w:after="20"/>
              <w:jc w:val="center"/>
            </w:pPr>
            <w:r>
              <w:rPr>
                <w:b/>
                <w:bCs/>
                <w:i/>
                <w:iCs/>
                <w:color w:val="FFFFFF"/>
                <w:sz w:val="18"/>
                <w:szCs w:val="18"/>
              </w:rPr>
              <w:t>Suficiente (51–80)</w:t>
            </w:r>
          </w:p>
        </w:tc>
        <w:tc>
          <w:tcPr>
            <w:tcW w:w="1873" w:type="dxa"/>
            <w:shd w:val="clear" w:color="auto" w:fill="4472C4"/>
            <w:vAlign w:val="center"/>
          </w:tcPr>
          <w:p w14:paraId="034B3B67" w14:textId="77777777" w:rsidR="00990B14" w:rsidRDefault="00000000">
            <w:pPr>
              <w:keepNext/>
              <w:spacing w:before="20" w:after="20"/>
              <w:jc w:val="center"/>
            </w:pPr>
            <w:r>
              <w:rPr>
                <w:b/>
                <w:bCs/>
                <w:i/>
                <w:iCs/>
                <w:color w:val="FFFFFF"/>
                <w:sz w:val="18"/>
                <w:szCs w:val="18"/>
              </w:rPr>
              <w:t>Destacado (81–100)</w:t>
            </w:r>
          </w:p>
        </w:tc>
      </w:tr>
      <w:tr w:rsidR="00990B14" w14:paraId="53D15C8C" w14:textId="77777777">
        <w:trPr>
          <w:cantSplit/>
          <w:jc w:val="center"/>
        </w:trPr>
        <w:tc>
          <w:tcPr>
            <w:tcW w:w="1881" w:type="dxa"/>
            <w:vMerge/>
            <w:shd w:val="clear" w:color="auto" w:fill="4472C4"/>
            <w:vAlign w:val="center"/>
          </w:tcPr>
          <w:p w14:paraId="4547E48F" w14:textId="77777777" w:rsidR="00990B14" w:rsidRDefault="00990B14">
            <w:pPr>
              <w:spacing w:before="20" w:after="20"/>
            </w:pPr>
          </w:p>
        </w:tc>
        <w:tc>
          <w:tcPr>
            <w:tcW w:w="1873" w:type="dxa"/>
            <w:shd w:val="clear" w:color="auto" w:fill="D9E2F3"/>
            <w:vAlign w:val="center"/>
          </w:tcPr>
          <w:p w14:paraId="7218133E" w14:textId="77777777" w:rsidR="00990B14" w:rsidRDefault="00000000">
            <w:pPr>
              <w:spacing w:before="20" w:after="20"/>
              <w:jc w:val="both"/>
            </w:pPr>
            <w:r>
              <w:rPr>
                <w:sz w:val="18"/>
                <w:szCs w:val="18"/>
              </w:rPr>
              <w:t>Riesgo cubierto</w:t>
            </w:r>
          </w:p>
        </w:tc>
        <w:tc>
          <w:tcPr>
            <w:tcW w:w="1868" w:type="dxa"/>
            <w:shd w:val="clear" w:color="auto" w:fill="D9E2F3"/>
            <w:vAlign w:val="center"/>
          </w:tcPr>
          <w:p w14:paraId="20A734CD" w14:textId="77777777" w:rsidR="00990B14" w:rsidRDefault="00000000">
            <w:pPr>
              <w:spacing w:before="20" w:after="20"/>
              <w:jc w:val="both"/>
            </w:pPr>
            <w:r>
              <w:rPr>
                <w:sz w:val="18"/>
                <w:szCs w:val="18"/>
              </w:rPr>
              <w:t>No identifica el riesgo.</w:t>
            </w:r>
          </w:p>
        </w:tc>
        <w:tc>
          <w:tcPr>
            <w:tcW w:w="1910" w:type="dxa"/>
            <w:shd w:val="clear" w:color="auto" w:fill="D9E2F3"/>
            <w:vAlign w:val="center"/>
          </w:tcPr>
          <w:p w14:paraId="49A158F1" w14:textId="77777777" w:rsidR="00990B14" w:rsidRDefault="00000000">
            <w:pPr>
              <w:spacing w:before="20" w:after="20"/>
              <w:jc w:val="both"/>
            </w:pPr>
            <w:r>
              <w:rPr>
                <w:sz w:val="18"/>
                <w:szCs w:val="18"/>
              </w:rPr>
              <w:t>Identifica el riesgo y la exposición.</w:t>
            </w:r>
          </w:p>
        </w:tc>
        <w:tc>
          <w:tcPr>
            <w:tcW w:w="1873" w:type="dxa"/>
            <w:shd w:val="clear" w:color="auto" w:fill="D9E2F3"/>
            <w:vAlign w:val="center"/>
          </w:tcPr>
          <w:p w14:paraId="4DDDDF6E" w14:textId="77777777" w:rsidR="00990B14" w:rsidRDefault="00000000">
            <w:pPr>
              <w:spacing w:before="20" w:after="20"/>
              <w:jc w:val="both"/>
            </w:pPr>
            <w:r>
              <w:rPr>
                <w:sz w:val="18"/>
                <w:szCs w:val="18"/>
              </w:rPr>
              <w:t>Cuantifica la exposición de la entidad.</w:t>
            </w:r>
          </w:p>
        </w:tc>
      </w:tr>
      <w:tr w:rsidR="00990B14" w14:paraId="58897FA4" w14:textId="77777777">
        <w:trPr>
          <w:cantSplit/>
          <w:jc w:val="center"/>
        </w:trPr>
        <w:tc>
          <w:tcPr>
            <w:tcW w:w="1881" w:type="dxa"/>
            <w:vMerge/>
            <w:shd w:val="clear" w:color="auto" w:fill="4472C4"/>
            <w:vAlign w:val="center"/>
          </w:tcPr>
          <w:p w14:paraId="21D83BAE" w14:textId="77777777" w:rsidR="00990B14" w:rsidRDefault="00990B14">
            <w:pPr>
              <w:spacing w:before="20" w:after="20"/>
            </w:pPr>
          </w:p>
        </w:tc>
        <w:tc>
          <w:tcPr>
            <w:tcW w:w="1873" w:type="dxa"/>
            <w:shd w:val="clear" w:color="auto" w:fill="D9E2F3"/>
            <w:vAlign w:val="center"/>
          </w:tcPr>
          <w:p w14:paraId="7F764D5C" w14:textId="77777777" w:rsidR="00990B14" w:rsidRDefault="00000000">
            <w:pPr>
              <w:spacing w:before="20" w:after="20"/>
              <w:jc w:val="both"/>
            </w:pPr>
            <w:r>
              <w:rPr>
                <w:sz w:val="18"/>
                <w:szCs w:val="18"/>
              </w:rPr>
              <w:t>Operatividad</w:t>
            </w:r>
          </w:p>
        </w:tc>
        <w:tc>
          <w:tcPr>
            <w:tcW w:w="1868" w:type="dxa"/>
            <w:shd w:val="clear" w:color="auto" w:fill="D9E2F3"/>
            <w:vAlign w:val="center"/>
          </w:tcPr>
          <w:p w14:paraId="7882C9BD" w14:textId="77777777" w:rsidR="00990B14" w:rsidRDefault="00000000">
            <w:pPr>
              <w:spacing w:before="20" w:after="20"/>
              <w:jc w:val="both"/>
            </w:pPr>
            <w:r>
              <w:rPr>
                <w:sz w:val="18"/>
                <w:szCs w:val="18"/>
              </w:rPr>
              <w:t>Describe mal la liquidación del contrato.</w:t>
            </w:r>
          </w:p>
        </w:tc>
        <w:tc>
          <w:tcPr>
            <w:tcW w:w="1910" w:type="dxa"/>
            <w:shd w:val="clear" w:color="auto" w:fill="D9E2F3"/>
            <w:vAlign w:val="center"/>
          </w:tcPr>
          <w:p w14:paraId="4C8259A9" w14:textId="77777777" w:rsidR="00990B14" w:rsidRDefault="00000000">
            <w:pPr>
              <w:spacing w:before="20" w:after="20"/>
              <w:jc w:val="both"/>
            </w:pPr>
            <w:r>
              <w:rPr>
                <w:sz w:val="18"/>
                <w:szCs w:val="18"/>
              </w:rPr>
              <w:t>Explica la operatividad y la liquidación.</w:t>
            </w:r>
          </w:p>
        </w:tc>
        <w:tc>
          <w:tcPr>
            <w:tcW w:w="1873" w:type="dxa"/>
            <w:shd w:val="clear" w:color="auto" w:fill="D9E2F3"/>
            <w:vAlign w:val="center"/>
          </w:tcPr>
          <w:p w14:paraId="3FB687EE" w14:textId="77777777" w:rsidR="00990B14" w:rsidRDefault="00000000">
            <w:pPr>
              <w:spacing w:before="20" w:after="20"/>
              <w:jc w:val="both"/>
            </w:pPr>
            <w:r>
              <w:rPr>
                <w:sz w:val="18"/>
                <w:szCs w:val="18"/>
              </w:rPr>
              <w:t>Calcula el resultado de la cobertura en dos escenarios.</w:t>
            </w:r>
          </w:p>
        </w:tc>
      </w:tr>
      <w:tr w:rsidR="00990B14" w14:paraId="68C0B67B" w14:textId="77777777">
        <w:trPr>
          <w:cantSplit/>
          <w:jc w:val="center"/>
        </w:trPr>
        <w:tc>
          <w:tcPr>
            <w:tcW w:w="1881" w:type="dxa"/>
            <w:vMerge/>
            <w:shd w:val="clear" w:color="auto" w:fill="4472C4"/>
            <w:vAlign w:val="center"/>
          </w:tcPr>
          <w:p w14:paraId="2DF289AD" w14:textId="77777777" w:rsidR="00990B14" w:rsidRDefault="00990B14">
            <w:pPr>
              <w:spacing w:before="20" w:after="20"/>
            </w:pPr>
          </w:p>
        </w:tc>
        <w:tc>
          <w:tcPr>
            <w:tcW w:w="1873" w:type="dxa"/>
            <w:shd w:val="clear" w:color="auto" w:fill="D9E2F3"/>
            <w:vAlign w:val="center"/>
          </w:tcPr>
          <w:p w14:paraId="4C98762F" w14:textId="77777777" w:rsidR="00990B14" w:rsidRDefault="00000000">
            <w:pPr>
              <w:spacing w:before="20" w:after="20"/>
              <w:jc w:val="both"/>
            </w:pPr>
            <w:r>
              <w:rPr>
                <w:sz w:val="18"/>
                <w:szCs w:val="18"/>
              </w:rPr>
              <w:t>Pertinencia</w:t>
            </w:r>
          </w:p>
        </w:tc>
        <w:tc>
          <w:tcPr>
            <w:tcW w:w="1868" w:type="dxa"/>
            <w:shd w:val="clear" w:color="auto" w:fill="D9E2F3"/>
            <w:vAlign w:val="center"/>
          </w:tcPr>
          <w:p w14:paraId="0FFAB5BB" w14:textId="77777777" w:rsidR="00990B14" w:rsidRDefault="00000000">
            <w:pPr>
              <w:spacing w:before="20" w:after="20"/>
              <w:jc w:val="both"/>
            </w:pPr>
            <w:r>
              <w:rPr>
                <w:sz w:val="18"/>
                <w:szCs w:val="18"/>
              </w:rPr>
              <w:t>No evalúa la pertinencia.</w:t>
            </w:r>
          </w:p>
        </w:tc>
        <w:tc>
          <w:tcPr>
            <w:tcW w:w="1910" w:type="dxa"/>
            <w:shd w:val="clear" w:color="auto" w:fill="D9E2F3"/>
            <w:vAlign w:val="center"/>
          </w:tcPr>
          <w:p w14:paraId="201A7371" w14:textId="77777777" w:rsidR="00990B14" w:rsidRDefault="00000000">
            <w:pPr>
              <w:spacing w:before="20" w:after="20"/>
              <w:jc w:val="both"/>
            </w:pPr>
            <w:r>
              <w:rPr>
                <w:sz w:val="18"/>
                <w:szCs w:val="18"/>
              </w:rPr>
              <w:t>Evalúa si el instrumento cubre el riesgo.</w:t>
            </w:r>
          </w:p>
        </w:tc>
        <w:tc>
          <w:tcPr>
            <w:tcW w:w="1873" w:type="dxa"/>
            <w:shd w:val="clear" w:color="auto" w:fill="D9E2F3"/>
            <w:vAlign w:val="center"/>
          </w:tcPr>
          <w:p w14:paraId="31CB8BD8" w14:textId="77777777" w:rsidR="00990B14" w:rsidRDefault="00000000">
            <w:pPr>
              <w:spacing w:before="20" w:after="20"/>
              <w:jc w:val="both"/>
            </w:pPr>
            <w:r>
              <w:rPr>
                <w:sz w:val="18"/>
                <w:szCs w:val="18"/>
              </w:rPr>
              <w:t>Propone alternativas disponibles en el mercado local.</w:t>
            </w:r>
          </w:p>
        </w:tc>
      </w:tr>
      <w:tr w:rsidR="00990B14" w14:paraId="5FE17E35" w14:textId="77777777">
        <w:trPr>
          <w:cantSplit/>
          <w:jc w:val="center"/>
        </w:trPr>
        <w:tc>
          <w:tcPr>
            <w:tcW w:w="1881" w:type="dxa"/>
            <w:vMerge/>
            <w:shd w:val="clear" w:color="auto" w:fill="4472C4"/>
            <w:vAlign w:val="center"/>
          </w:tcPr>
          <w:p w14:paraId="442584CB" w14:textId="77777777" w:rsidR="00990B14" w:rsidRDefault="00990B14">
            <w:pPr>
              <w:spacing w:before="20" w:after="20"/>
            </w:pPr>
          </w:p>
        </w:tc>
        <w:tc>
          <w:tcPr>
            <w:tcW w:w="5651" w:type="dxa"/>
            <w:gridSpan w:val="3"/>
            <w:shd w:val="clear" w:color="auto" w:fill="D9E2F3"/>
            <w:vAlign w:val="center"/>
          </w:tcPr>
          <w:p w14:paraId="6E64401A" w14:textId="77777777" w:rsidR="00990B14" w:rsidRDefault="00000000">
            <w:pPr>
              <w:keepNext/>
              <w:spacing w:before="20" w:after="20"/>
              <w:jc w:val="both"/>
            </w:pPr>
            <w:r>
              <w:rPr>
                <w:b/>
                <w:bCs/>
                <w:i/>
                <w:iCs/>
                <w:sz w:val="18"/>
                <w:szCs w:val="18"/>
              </w:rPr>
              <w:t xml:space="preserve">Producto 20: </w:t>
            </w:r>
            <w:r>
              <w:rPr>
                <w:sz w:val="18"/>
                <w:szCs w:val="18"/>
              </w:rPr>
              <w:t>Informe de riesgos financieros</w:t>
            </w:r>
          </w:p>
        </w:tc>
        <w:tc>
          <w:tcPr>
            <w:tcW w:w="1873" w:type="dxa"/>
            <w:shd w:val="clear" w:color="auto" w:fill="D9E2F3"/>
            <w:vAlign w:val="center"/>
          </w:tcPr>
          <w:p w14:paraId="16FC15EA" w14:textId="77777777" w:rsidR="00990B14" w:rsidRDefault="00000000">
            <w:pPr>
              <w:spacing w:before="20" w:after="20"/>
              <w:jc w:val="center"/>
            </w:pPr>
            <w:r>
              <w:rPr>
                <w:b/>
                <w:bCs/>
                <w:sz w:val="18"/>
                <w:szCs w:val="18"/>
              </w:rPr>
              <w:t>5%</w:t>
            </w:r>
          </w:p>
        </w:tc>
      </w:tr>
      <w:tr w:rsidR="00990B14" w14:paraId="5D767B54" w14:textId="77777777">
        <w:trPr>
          <w:cantSplit/>
          <w:jc w:val="center"/>
        </w:trPr>
        <w:tc>
          <w:tcPr>
            <w:tcW w:w="1881" w:type="dxa"/>
            <w:vMerge/>
            <w:shd w:val="clear" w:color="auto" w:fill="4472C4"/>
            <w:vAlign w:val="center"/>
          </w:tcPr>
          <w:p w14:paraId="68B3AD0A" w14:textId="77777777" w:rsidR="00990B14" w:rsidRDefault="00990B14">
            <w:pPr>
              <w:spacing w:before="20" w:after="20"/>
            </w:pPr>
          </w:p>
        </w:tc>
        <w:tc>
          <w:tcPr>
            <w:tcW w:w="1873" w:type="dxa"/>
            <w:shd w:val="clear" w:color="auto" w:fill="4472C4"/>
            <w:vAlign w:val="center"/>
          </w:tcPr>
          <w:p w14:paraId="50024727" w14:textId="77777777" w:rsidR="00990B14" w:rsidRDefault="00000000">
            <w:pPr>
              <w:keepNext/>
              <w:spacing w:before="20" w:after="20"/>
              <w:jc w:val="center"/>
            </w:pPr>
            <w:r>
              <w:rPr>
                <w:b/>
                <w:bCs/>
                <w:i/>
                <w:iCs/>
                <w:color w:val="FFFFFF"/>
                <w:sz w:val="18"/>
                <w:szCs w:val="18"/>
              </w:rPr>
              <w:t>Criterio</w:t>
            </w:r>
          </w:p>
        </w:tc>
        <w:tc>
          <w:tcPr>
            <w:tcW w:w="1868" w:type="dxa"/>
            <w:shd w:val="clear" w:color="auto" w:fill="4472C4"/>
            <w:vAlign w:val="center"/>
          </w:tcPr>
          <w:p w14:paraId="027079F0"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3002ACB4" w14:textId="77777777" w:rsidR="00990B14" w:rsidRDefault="00000000">
            <w:pPr>
              <w:keepNext/>
              <w:spacing w:before="20" w:after="20"/>
              <w:jc w:val="center"/>
            </w:pPr>
            <w:r>
              <w:rPr>
                <w:b/>
                <w:bCs/>
                <w:i/>
                <w:iCs/>
                <w:color w:val="FFFFFF"/>
                <w:sz w:val="18"/>
                <w:szCs w:val="18"/>
              </w:rPr>
              <w:t>Suficiente (51–80)</w:t>
            </w:r>
          </w:p>
        </w:tc>
        <w:tc>
          <w:tcPr>
            <w:tcW w:w="1873" w:type="dxa"/>
            <w:shd w:val="clear" w:color="auto" w:fill="4472C4"/>
            <w:vAlign w:val="center"/>
          </w:tcPr>
          <w:p w14:paraId="71A837ED" w14:textId="77777777" w:rsidR="00990B14" w:rsidRDefault="00000000">
            <w:pPr>
              <w:keepNext/>
              <w:spacing w:before="20" w:after="20"/>
              <w:jc w:val="center"/>
            </w:pPr>
            <w:r>
              <w:rPr>
                <w:b/>
                <w:bCs/>
                <w:i/>
                <w:iCs/>
                <w:color w:val="FFFFFF"/>
                <w:sz w:val="18"/>
                <w:szCs w:val="18"/>
              </w:rPr>
              <w:t>Destacado (81–100)</w:t>
            </w:r>
          </w:p>
        </w:tc>
      </w:tr>
      <w:tr w:rsidR="00990B14" w14:paraId="2855C465" w14:textId="77777777">
        <w:trPr>
          <w:cantSplit/>
          <w:jc w:val="center"/>
        </w:trPr>
        <w:tc>
          <w:tcPr>
            <w:tcW w:w="1881" w:type="dxa"/>
            <w:vMerge/>
            <w:shd w:val="clear" w:color="auto" w:fill="4472C4"/>
            <w:vAlign w:val="center"/>
          </w:tcPr>
          <w:p w14:paraId="256625A7" w14:textId="77777777" w:rsidR="00990B14" w:rsidRDefault="00990B14">
            <w:pPr>
              <w:spacing w:before="20" w:after="20"/>
            </w:pPr>
          </w:p>
        </w:tc>
        <w:tc>
          <w:tcPr>
            <w:tcW w:w="1873" w:type="dxa"/>
            <w:shd w:val="clear" w:color="auto" w:fill="D9E2F3"/>
            <w:vAlign w:val="center"/>
          </w:tcPr>
          <w:p w14:paraId="5ABF2CDE" w14:textId="77777777" w:rsidR="00990B14" w:rsidRDefault="00000000">
            <w:pPr>
              <w:spacing w:before="20" w:after="20"/>
              <w:jc w:val="both"/>
            </w:pPr>
            <w:r>
              <w:rPr>
                <w:sz w:val="18"/>
                <w:szCs w:val="18"/>
              </w:rPr>
              <w:t>Terminología</w:t>
            </w:r>
          </w:p>
        </w:tc>
        <w:tc>
          <w:tcPr>
            <w:tcW w:w="1868" w:type="dxa"/>
            <w:shd w:val="clear" w:color="auto" w:fill="D9E2F3"/>
            <w:vAlign w:val="center"/>
          </w:tcPr>
          <w:p w14:paraId="73291923" w14:textId="77777777" w:rsidR="00990B14" w:rsidRDefault="00000000">
            <w:pPr>
              <w:spacing w:before="20" w:after="20"/>
              <w:jc w:val="both"/>
            </w:pPr>
            <w:r>
              <w:rPr>
                <w:sz w:val="18"/>
                <w:szCs w:val="18"/>
              </w:rPr>
              <w:t>Confunde los términos de las opciones.</w:t>
            </w:r>
          </w:p>
        </w:tc>
        <w:tc>
          <w:tcPr>
            <w:tcW w:w="1910" w:type="dxa"/>
            <w:shd w:val="clear" w:color="auto" w:fill="D9E2F3"/>
            <w:vAlign w:val="center"/>
          </w:tcPr>
          <w:p w14:paraId="0AB6416A" w14:textId="77777777" w:rsidR="00990B14" w:rsidRDefault="00000000">
            <w:pPr>
              <w:spacing w:before="20" w:after="20"/>
              <w:jc w:val="both"/>
            </w:pPr>
            <w:r>
              <w:rPr>
                <w:sz w:val="18"/>
                <w:szCs w:val="18"/>
              </w:rPr>
              <w:t>Usa con propiedad la terminología de las opciones.</w:t>
            </w:r>
          </w:p>
        </w:tc>
        <w:tc>
          <w:tcPr>
            <w:tcW w:w="1873" w:type="dxa"/>
            <w:shd w:val="clear" w:color="auto" w:fill="D9E2F3"/>
            <w:vAlign w:val="center"/>
          </w:tcPr>
          <w:p w14:paraId="0CF82FFD" w14:textId="77777777" w:rsidR="00990B14" w:rsidRDefault="00000000">
            <w:pPr>
              <w:spacing w:before="20" w:after="20"/>
              <w:jc w:val="both"/>
            </w:pPr>
            <w:r>
              <w:rPr>
                <w:sz w:val="18"/>
                <w:szCs w:val="18"/>
              </w:rPr>
              <w:t>Distingue los estilos de ejercicio.</w:t>
            </w:r>
          </w:p>
        </w:tc>
      </w:tr>
      <w:tr w:rsidR="00990B14" w14:paraId="21951B3B" w14:textId="77777777">
        <w:trPr>
          <w:cantSplit/>
          <w:jc w:val="center"/>
        </w:trPr>
        <w:tc>
          <w:tcPr>
            <w:tcW w:w="1881" w:type="dxa"/>
            <w:vMerge/>
            <w:shd w:val="clear" w:color="auto" w:fill="4472C4"/>
            <w:vAlign w:val="center"/>
          </w:tcPr>
          <w:p w14:paraId="7D5C151A" w14:textId="77777777" w:rsidR="00990B14" w:rsidRDefault="00990B14">
            <w:pPr>
              <w:spacing w:before="20" w:after="20"/>
            </w:pPr>
          </w:p>
        </w:tc>
        <w:tc>
          <w:tcPr>
            <w:tcW w:w="1873" w:type="dxa"/>
            <w:shd w:val="clear" w:color="auto" w:fill="D9E2F3"/>
            <w:vAlign w:val="center"/>
          </w:tcPr>
          <w:p w14:paraId="50A29269" w14:textId="77777777" w:rsidR="00990B14" w:rsidRDefault="00000000">
            <w:pPr>
              <w:spacing w:before="20" w:after="20"/>
              <w:jc w:val="both"/>
            </w:pPr>
            <w:r>
              <w:rPr>
                <w:sz w:val="18"/>
                <w:szCs w:val="18"/>
              </w:rPr>
              <w:t>Diagrama</w:t>
            </w:r>
          </w:p>
        </w:tc>
        <w:tc>
          <w:tcPr>
            <w:tcW w:w="1868" w:type="dxa"/>
            <w:shd w:val="clear" w:color="auto" w:fill="D9E2F3"/>
            <w:vAlign w:val="center"/>
          </w:tcPr>
          <w:p w14:paraId="07D7ABAD" w14:textId="77777777" w:rsidR="00990B14" w:rsidRDefault="00000000">
            <w:pPr>
              <w:spacing w:before="20" w:after="20"/>
              <w:jc w:val="both"/>
            </w:pPr>
            <w:r>
              <w:rPr>
                <w:sz w:val="18"/>
                <w:szCs w:val="18"/>
              </w:rPr>
              <w:t>Los pagos están mal representados.</w:t>
            </w:r>
          </w:p>
        </w:tc>
        <w:tc>
          <w:tcPr>
            <w:tcW w:w="1910" w:type="dxa"/>
            <w:shd w:val="clear" w:color="auto" w:fill="D9E2F3"/>
            <w:vAlign w:val="center"/>
          </w:tcPr>
          <w:p w14:paraId="77E1C40A" w14:textId="77777777" w:rsidR="00990B14" w:rsidRDefault="00000000">
            <w:pPr>
              <w:spacing w:before="20" w:after="20"/>
              <w:jc w:val="both"/>
            </w:pPr>
            <w:r>
              <w:rPr>
                <w:sz w:val="18"/>
                <w:szCs w:val="18"/>
              </w:rPr>
              <w:t>Grafica los pagos de compra y venta de call y put.</w:t>
            </w:r>
          </w:p>
        </w:tc>
        <w:tc>
          <w:tcPr>
            <w:tcW w:w="1873" w:type="dxa"/>
            <w:shd w:val="clear" w:color="auto" w:fill="D9E2F3"/>
            <w:vAlign w:val="center"/>
          </w:tcPr>
          <w:p w14:paraId="2B2ABCAE" w14:textId="77777777" w:rsidR="00990B14" w:rsidRDefault="00000000">
            <w:pPr>
              <w:spacing w:before="20" w:after="20"/>
              <w:jc w:val="both"/>
            </w:pPr>
            <w:r>
              <w:rPr>
                <w:sz w:val="18"/>
                <w:szCs w:val="18"/>
              </w:rPr>
              <w:t>Incluye la prima en el resultado neto.</w:t>
            </w:r>
          </w:p>
        </w:tc>
      </w:tr>
      <w:tr w:rsidR="00990B14" w14:paraId="5A8ABD3E" w14:textId="77777777">
        <w:trPr>
          <w:cantSplit/>
          <w:jc w:val="center"/>
        </w:trPr>
        <w:tc>
          <w:tcPr>
            <w:tcW w:w="1881" w:type="dxa"/>
            <w:vMerge/>
            <w:shd w:val="clear" w:color="auto" w:fill="4472C4"/>
            <w:vAlign w:val="center"/>
          </w:tcPr>
          <w:p w14:paraId="70426CDD" w14:textId="77777777" w:rsidR="00990B14" w:rsidRDefault="00990B14">
            <w:pPr>
              <w:spacing w:before="20" w:after="20"/>
            </w:pPr>
          </w:p>
        </w:tc>
        <w:tc>
          <w:tcPr>
            <w:tcW w:w="1873" w:type="dxa"/>
            <w:shd w:val="clear" w:color="auto" w:fill="D9E2F3"/>
            <w:vAlign w:val="center"/>
          </w:tcPr>
          <w:p w14:paraId="3F575099" w14:textId="77777777" w:rsidR="00990B14" w:rsidRDefault="00000000">
            <w:pPr>
              <w:spacing w:before="20" w:after="20"/>
              <w:jc w:val="both"/>
            </w:pPr>
            <w:r>
              <w:rPr>
                <w:sz w:val="18"/>
                <w:szCs w:val="18"/>
              </w:rPr>
              <w:t>Sustentación</w:t>
            </w:r>
          </w:p>
        </w:tc>
        <w:tc>
          <w:tcPr>
            <w:tcW w:w="1868" w:type="dxa"/>
            <w:shd w:val="clear" w:color="auto" w:fill="D9E2F3"/>
            <w:vAlign w:val="center"/>
          </w:tcPr>
          <w:p w14:paraId="13BBD03B" w14:textId="77777777" w:rsidR="00990B14" w:rsidRDefault="00000000">
            <w:pPr>
              <w:spacing w:before="20" w:after="20"/>
              <w:jc w:val="both"/>
            </w:pPr>
            <w:r>
              <w:rPr>
                <w:sz w:val="18"/>
                <w:szCs w:val="18"/>
              </w:rPr>
              <w:t>No sustenta el uso de la opción.</w:t>
            </w:r>
          </w:p>
        </w:tc>
        <w:tc>
          <w:tcPr>
            <w:tcW w:w="1910" w:type="dxa"/>
            <w:shd w:val="clear" w:color="auto" w:fill="D9E2F3"/>
            <w:vAlign w:val="center"/>
          </w:tcPr>
          <w:p w14:paraId="27302853" w14:textId="77777777" w:rsidR="00990B14" w:rsidRDefault="00000000">
            <w:pPr>
              <w:spacing w:before="20" w:after="20"/>
              <w:jc w:val="both"/>
            </w:pPr>
            <w:r>
              <w:rPr>
                <w:sz w:val="18"/>
                <w:szCs w:val="18"/>
              </w:rPr>
              <w:t>Sustenta el uso de la opción en el caso.</w:t>
            </w:r>
          </w:p>
        </w:tc>
        <w:tc>
          <w:tcPr>
            <w:tcW w:w="1873" w:type="dxa"/>
            <w:shd w:val="clear" w:color="auto" w:fill="D9E2F3"/>
            <w:vAlign w:val="center"/>
          </w:tcPr>
          <w:p w14:paraId="7D87B72A" w14:textId="77777777" w:rsidR="00990B14" w:rsidRDefault="00000000">
            <w:pPr>
              <w:spacing w:before="20" w:after="20"/>
              <w:jc w:val="both"/>
            </w:pPr>
            <w:r>
              <w:rPr>
                <w:sz w:val="18"/>
                <w:szCs w:val="18"/>
              </w:rPr>
              <w:t>Compara la opción con otra cobertura.</w:t>
            </w:r>
          </w:p>
        </w:tc>
      </w:tr>
      <w:tr w:rsidR="00990B14" w14:paraId="0B86C2F8" w14:textId="77777777">
        <w:trPr>
          <w:cantSplit/>
          <w:jc w:val="center"/>
        </w:trPr>
        <w:tc>
          <w:tcPr>
            <w:tcW w:w="7532" w:type="dxa"/>
            <w:gridSpan w:val="4"/>
            <w:shd w:val="clear" w:color="auto" w:fill="4472C4"/>
            <w:vAlign w:val="center"/>
          </w:tcPr>
          <w:p w14:paraId="178ADE73" w14:textId="77777777" w:rsidR="00990B14" w:rsidRDefault="00000000">
            <w:pPr>
              <w:keepNext/>
              <w:spacing w:before="20" w:after="20"/>
              <w:jc w:val="center"/>
            </w:pPr>
            <w:r>
              <w:rPr>
                <w:b/>
                <w:bCs/>
                <w:i/>
                <w:iCs/>
                <w:color w:val="FFFFFF"/>
                <w:sz w:val="18"/>
                <w:szCs w:val="18"/>
              </w:rPr>
              <w:t>TOTAL</w:t>
            </w:r>
          </w:p>
        </w:tc>
        <w:tc>
          <w:tcPr>
            <w:tcW w:w="1873" w:type="dxa"/>
            <w:shd w:val="clear" w:color="auto" w:fill="4472C4"/>
            <w:vAlign w:val="center"/>
          </w:tcPr>
          <w:p w14:paraId="45849CF8" w14:textId="77777777" w:rsidR="00990B14" w:rsidRDefault="00000000">
            <w:pPr>
              <w:keepNext/>
              <w:spacing w:before="20" w:after="20"/>
              <w:jc w:val="center"/>
            </w:pPr>
            <w:r>
              <w:rPr>
                <w:b/>
                <w:bCs/>
                <w:i/>
                <w:iCs/>
                <w:color w:val="FFFFFF"/>
                <w:sz w:val="18"/>
                <w:szCs w:val="18"/>
              </w:rPr>
              <w:t>100%</w:t>
            </w:r>
          </w:p>
        </w:tc>
      </w:tr>
    </w:tbl>
    <w:p w14:paraId="4BF254A6"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9405"/>
      </w:tblGrid>
      <w:tr w:rsidR="00990B14" w14:paraId="26C2CAAC" w14:textId="77777777">
        <w:trPr>
          <w:jc w:val="center"/>
        </w:trPr>
        <w:tc>
          <w:tcPr>
            <w:tcW w:w="9405" w:type="dxa"/>
            <w:shd w:val="clear" w:color="auto" w:fill="D9E2F3"/>
          </w:tcPr>
          <w:p w14:paraId="2AA632C2" w14:textId="77777777" w:rsidR="00990B14" w:rsidRDefault="00000000">
            <w:pPr>
              <w:spacing w:before="40" w:after="40"/>
              <w:jc w:val="both"/>
            </w:pPr>
            <w:r>
              <w:rPr>
                <w:b/>
                <w:bCs/>
                <w:i/>
                <w:iCs/>
                <w:sz w:val="18"/>
                <w:szCs w:val="18"/>
              </w:rPr>
              <w:t>Bibliografía básica:</w:t>
            </w:r>
          </w:p>
          <w:p w14:paraId="44F5F6C5" w14:textId="77777777" w:rsidR="00990B14" w:rsidRDefault="00000000">
            <w:pPr>
              <w:numPr>
                <w:ilvl w:val="0"/>
                <w:numId w:val="140"/>
              </w:numPr>
              <w:spacing w:after="20"/>
              <w:jc w:val="both"/>
            </w:pPr>
            <w:r>
              <w:rPr>
                <w:sz w:val="18"/>
                <w:szCs w:val="18"/>
              </w:rPr>
              <w:t xml:space="preserve">Ayres, F. (2005). </w:t>
            </w:r>
            <w:r>
              <w:rPr>
                <w:i/>
                <w:iCs/>
                <w:sz w:val="18"/>
                <w:szCs w:val="18"/>
              </w:rPr>
              <w:t>Matemáticas financieras</w:t>
            </w:r>
            <w:r>
              <w:rPr>
                <w:sz w:val="18"/>
                <w:szCs w:val="18"/>
              </w:rPr>
              <w:t>. México D. F., México: McGraw-Hill.</w:t>
            </w:r>
          </w:p>
          <w:p w14:paraId="2B08C98C" w14:textId="77777777" w:rsidR="00990B14" w:rsidRDefault="00000000">
            <w:pPr>
              <w:numPr>
                <w:ilvl w:val="0"/>
                <w:numId w:val="140"/>
              </w:numPr>
              <w:spacing w:after="20"/>
              <w:jc w:val="both"/>
            </w:pPr>
            <w:r>
              <w:rPr>
                <w:sz w:val="18"/>
                <w:szCs w:val="18"/>
              </w:rPr>
              <w:t xml:space="preserve">Blank, L. y Tarquin, A. (2012). </w:t>
            </w:r>
            <w:r>
              <w:rPr>
                <w:i/>
                <w:iCs/>
                <w:sz w:val="18"/>
                <w:szCs w:val="18"/>
              </w:rPr>
              <w:t>Ingeniería económica</w:t>
            </w:r>
            <w:r>
              <w:rPr>
                <w:sz w:val="18"/>
                <w:szCs w:val="18"/>
              </w:rPr>
              <w:t>. México D. F., México: McGraw Hill.</w:t>
            </w:r>
          </w:p>
          <w:p w14:paraId="0B28BB81" w14:textId="77777777" w:rsidR="00990B14" w:rsidRDefault="00000000">
            <w:pPr>
              <w:numPr>
                <w:ilvl w:val="0"/>
                <w:numId w:val="140"/>
              </w:numPr>
              <w:spacing w:after="20"/>
              <w:jc w:val="both"/>
            </w:pPr>
            <w:r>
              <w:rPr>
                <w:sz w:val="18"/>
                <w:szCs w:val="18"/>
              </w:rPr>
              <w:t xml:space="preserve">Céspedes Estévez, J. (2023). </w:t>
            </w:r>
            <w:r>
              <w:rPr>
                <w:i/>
                <w:iCs/>
                <w:sz w:val="18"/>
                <w:szCs w:val="18"/>
              </w:rPr>
              <w:t>Matemáticas actuariales: con teoría de probabilidades</w:t>
            </w:r>
            <w:r>
              <w:rPr>
                <w:sz w:val="18"/>
                <w:szCs w:val="18"/>
              </w:rPr>
              <w:t>. La Paz, Bolivia: El Príncipe.</w:t>
            </w:r>
          </w:p>
          <w:p w14:paraId="34AE0DD2" w14:textId="77777777" w:rsidR="00990B14" w:rsidRDefault="00000000">
            <w:pPr>
              <w:numPr>
                <w:ilvl w:val="0"/>
                <w:numId w:val="140"/>
              </w:numPr>
              <w:spacing w:after="20"/>
              <w:jc w:val="both"/>
            </w:pPr>
            <w:r>
              <w:rPr>
                <w:sz w:val="18"/>
                <w:szCs w:val="18"/>
              </w:rPr>
              <w:t>Código de Comercio, Decreto Ley N.º 14379 del 25 de febrero de 1977, actualizado al 20 de septiembre de 2022.</w:t>
            </w:r>
          </w:p>
          <w:p w14:paraId="1454EF7C" w14:textId="77777777" w:rsidR="00990B14" w:rsidRDefault="00000000">
            <w:pPr>
              <w:numPr>
                <w:ilvl w:val="0"/>
                <w:numId w:val="140"/>
              </w:numPr>
              <w:spacing w:after="20"/>
              <w:jc w:val="both"/>
            </w:pPr>
            <w:r>
              <w:rPr>
                <w:sz w:val="18"/>
                <w:szCs w:val="18"/>
              </w:rPr>
              <w:t>Consejo de Normas Internacionales de Contabilidad (IASB). NIIF 17 Contratos de Seguro, NIC 19 Beneficios a los empleados y NIIF 9 Instrumentos Financieros.</w:t>
            </w:r>
          </w:p>
          <w:p w14:paraId="19741262" w14:textId="77777777" w:rsidR="00990B14" w:rsidRDefault="00000000">
            <w:pPr>
              <w:numPr>
                <w:ilvl w:val="0"/>
                <w:numId w:val="140"/>
              </w:numPr>
              <w:spacing w:after="20"/>
              <w:jc w:val="both"/>
            </w:pPr>
            <w:r>
              <w:rPr>
                <w:sz w:val="18"/>
                <w:szCs w:val="18"/>
              </w:rPr>
              <w:t>Decretos reglamentarios.</w:t>
            </w:r>
          </w:p>
          <w:p w14:paraId="14F20522" w14:textId="77777777" w:rsidR="00990B14" w:rsidRDefault="00000000">
            <w:pPr>
              <w:numPr>
                <w:ilvl w:val="0"/>
                <w:numId w:val="140"/>
              </w:numPr>
              <w:spacing w:after="20"/>
              <w:jc w:val="both"/>
            </w:pPr>
            <w:r>
              <w:rPr>
                <w:sz w:val="18"/>
                <w:szCs w:val="18"/>
              </w:rPr>
              <w:t>Instituto Nacional de Estadística. Censo de Población y Vivienda 2024 y estadísticas demográficas de Bolivia.</w:t>
            </w:r>
          </w:p>
          <w:p w14:paraId="23BBA06D" w14:textId="77777777" w:rsidR="00990B14" w:rsidRDefault="00000000">
            <w:pPr>
              <w:numPr>
                <w:ilvl w:val="0"/>
                <w:numId w:val="140"/>
              </w:numPr>
              <w:spacing w:after="20"/>
              <w:jc w:val="both"/>
            </w:pPr>
            <w:r>
              <w:rPr>
                <w:sz w:val="18"/>
                <w:szCs w:val="18"/>
              </w:rPr>
              <w:t>Ley de Pensiones N.º 065, de 10 de diciembre de 2010, y normativa que la modifica.</w:t>
            </w:r>
          </w:p>
          <w:p w14:paraId="70063C7A" w14:textId="77777777" w:rsidR="00990B14" w:rsidRDefault="00000000">
            <w:pPr>
              <w:numPr>
                <w:ilvl w:val="0"/>
                <w:numId w:val="140"/>
              </w:numPr>
              <w:spacing w:after="20"/>
              <w:jc w:val="both"/>
            </w:pPr>
            <w:r>
              <w:rPr>
                <w:sz w:val="18"/>
                <w:szCs w:val="18"/>
              </w:rPr>
              <w:t>Ley de Seguros del Estado Plurinacional de Bolivia, N.º 1883, de 25 de junio de 1998, y normativa que la modifica.</w:t>
            </w:r>
          </w:p>
          <w:p w14:paraId="3A4B0E14" w14:textId="77777777" w:rsidR="00990B14" w:rsidRDefault="00000000">
            <w:pPr>
              <w:numPr>
                <w:ilvl w:val="0"/>
                <w:numId w:val="140"/>
              </w:numPr>
              <w:spacing w:after="20"/>
              <w:jc w:val="both"/>
            </w:pPr>
            <w:r>
              <w:rPr>
                <w:sz w:val="18"/>
                <w:szCs w:val="18"/>
              </w:rPr>
              <w:t xml:space="preserve">Nacif Muckled, C. (2014). </w:t>
            </w:r>
            <w:r>
              <w:rPr>
                <w:i/>
                <w:iCs/>
                <w:sz w:val="18"/>
                <w:szCs w:val="18"/>
              </w:rPr>
              <w:t>Finanzas corporativas y el mercado de valores</w:t>
            </w:r>
            <w:r>
              <w:rPr>
                <w:sz w:val="18"/>
                <w:szCs w:val="18"/>
              </w:rPr>
              <w:t>. Plural Editores.</w:t>
            </w:r>
          </w:p>
          <w:p w14:paraId="6C67F58C" w14:textId="77777777" w:rsidR="00990B14" w:rsidRDefault="00000000">
            <w:pPr>
              <w:numPr>
                <w:ilvl w:val="0"/>
                <w:numId w:val="140"/>
              </w:numPr>
              <w:spacing w:after="20"/>
              <w:jc w:val="both"/>
            </w:pPr>
            <w:r>
              <w:rPr>
                <w:sz w:val="18"/>
                <w:szCs w:val="18"/>
              </w:rPr>
              <w:t>Resoluciones, circulares e instructivos sobre pensiones y seguros de la Autoridad de Fiscalización y Control de Pensiones y Seguros, APS.</w:t>
            </w:r>
          </w:p>
          <w:p w14:paraId="6B43E55B" w14:textId="77777777" w:rsidR="00990B14" w:rsidRDefault="00000000">
            <w:pPr>
              <w:numPr>
                <w:ilvl w:val="0"/>
                <w:numId w:val="140"/>
              </w:numPr>
              <w:spacing w:after="20"/>
              <w:jc w:val="both"/>
            </w:pPr>
            <w:r>
              <w:rPr>
                <w:sz w:val="18"/>
                <w:szCs w:val="18"/>
              </w:rPr>
              <w:t xml:space="preserve">Zima, P. (2005). </w:t>
            </w:r>
            <w:r>
              <w:rPr>
                <w:i/>
                <w:iCs/>
                <w:sz w:val="18"/>
                <w:szCs w:val="18"/>
              </w:rPr>
              <w:t>Matemáticas financieras</w:t>
            </w:r>
            <w:r>
              <w:rPr>
                <w:sz w:val="18"/>
                <w:szCs w:val="18"/>
              </w:rPr>
              <w:t>. McGraw-Hill.</w:t>
            </w:r>
          </w:p>
        </w:tc>
      </w:tr>
      <w:tr w:rsidR="00990B14" w14:paraId="2F9D9F28" w14:textId="77777777">
        <w:trPr>
          <w:jc w:val="center"/>
        </w:trPr>
        <w:tc>
          <w:tcPr>
            <w:tcW w:w="9405" w:type="dxa"/>
            <w:shd w:val="clear" w:color="auto" w:fill="D9E2F3"/>
          </w:tcPr>
          <w:p w14:paraId="19E5F0A5" w14:textId="77777777" w:rsidR="00990B14" w:rsidRDefault="00000000">
            <w:pPr>
              <w:spacing w:before="40" w:after="40"/>
              <w:jc w:val="both"/>
            </w:pPr>
            <w:r>
              <w:rPr>
                <w:b/>
                <w:bCs/>
                <w:i/>
                <w:iCs/>
                <w:sz w:val="18"/>
                <w:szCs w:val="18"/>
              </w:rPr>
              <w:t>Bibliografía complementaria:</w:t>
            </w:r>
          </w:p>
          <w:p w14:paraId="254D9A59" w14:textId="77777777" w:rsidR="00990B14" w:rsidRDefault="00000000">
            <w:pPr>
              <w:numPr>
                <w:ilvl w:val="0"/>
                <w:numId w:val="140"/>
              </w:numPr>
              <w:spacing w:after="20"/>
              <w:jc w:val="both"/>
            </w:pPr>
            <w:r>
              <w:rPr>
                <w:sz w:val="18"/>
                <w:szCs w:val="18"/>
              </w:rPr>
              <w:t>Autoridad de Fiscalización y Control de Pensiones y Seguros: https://www.aps.gob.bo</w:t>
            </w:r>
          </w:p>
          <w:p w14:paraId="2D2708D9" w14:textId="77777777" w:rsidR="00990B14" w:rsidRDefault="00000000">
            <w:pPr>
              <w:numPr>
                <w:ilvl w:val="0"/>
                <w:numId w:val="140"/>
              </w:numPr>
              <w:spacing w:after="20"/>
              <w:jc w:val="both"/>
            </w:pPr>
            <w:r>
              <w:rPr>
                <w:sz w:val="18"/>
                <w:szCs w:val="18"/>
              </w:rPr>
              <w:t xml:space="preserve">Casparrí, M. T., Metelli, M. A. y Mutchinick, P. (2012). </w:t>
            </w:r>
            <w:r>
              <w:rPr>
                <w:i/>
                <w:iCs/>
                <w:sz w:val="18"/>
                <w:szCs w:val="18"/>
              </w:rPr>
              <w:t>Aplicaciones de los seguros de personas a la gestión actuarial</w:t>
            </w:r>
            <w:r>
              <w:rPr>
                <w:sz w:val="18"/>
                <w:szCs w:val="18"/>
              </w:rPr>
              <w:t>. Buenos Aires, Argentina: Universidad de Buenos Aires, EUDEBA.</w:t>
            </w:r>
          </w:p>
          <w:p w14:paraId="4D8B2F5E" w14:textId="77777777" w:rsidR="00990B14" w:rsidRDefault="00000000">
            <w:pPr>
              <w:numPr>
                <w:ilvl w:val="0"/>
                <w:numId w:val="140"/>
              </w:numPr>
              <w:spacing w:after="20"/>
              <w:jc w:val="both"/>
            </w:pPr>
            <w:r>
              <w:rPr>
                <w:sz w:val="18"/>
                <w:szCs w:val="18"/>
              </w:rPr>
              <w:t>Gestora Pública de la Seguridad Social de Largo Plazo: https://www.gestora.bo</w:t>
            </w:r>
          </w:p>
          <w:p w14:paraId="6FA50E60" w14:textId="77777777" w:rsidR="00990B14" w:rsidRDefault="00000000">
            <w:pPr>
              <w:numPr>
                <w:ilvl w:val="0"/>
                <w:numId w:val="140"/>
              </w:numPr>
              <w:spacing w:after="20"/>
              <w:jc w:val="both"/>
            </w:pPr>
            <w:r>
              <w:rPr>
                <w:sz w:val="18"/>
                <w:szCs w:val="18"/>
              </w:rPr>
              <w:t xml:space="preserve">Gonzales Galé, J. (1978). </w:t>
            </w:r>
            <w:r>
              <w:rPr>
                <w:i/>
                <w:iCs/>
                <w:sz w:val="18"/>
                <w:szCs w:val="18"/>
              </w:rPr>
              <w:t>Elementos del cálculo actuarial</w:t>
            </w:r>
            <w:r>
              <w:rPr>
                <w:sz w:val="18"/>
                <w:szCs w:val="18"/>
              </w:rPr>
              <w:t>. Buenos Aires, Argentina: Macchi.</w:t>
            </w:r>
          </w:p>
          <w:p w14:paraId="2A2561ED" w14:textId="77777777" w:rsidR="00990B14" w:rsidRDefault="00000000">
            <w:pPr>
              <w:numPr>
                <w:ilvl w:val="0"/>
                <w:numId w:val="140"/>
              </w:numPr>
              <w:spacing w:after="20"/>
              <w:jc w:val="both"/>
            </w:pPr>
            <w:r>
              <w:rPr>
                <w:sz w:val="18"/>
                <w:szCs w:val="18"/>
              </w:rPr>
              <w:t>Instituto Nacional de Estadística de Bolivia: https://www.ine.gob.bo</w:t>
            </w:r>
          </w:p>
          <w:p w14:paraId="772A8E0C" w14:textId="77777777" w:rsidR="00990B14" w:rsidRDefault="00000000">
            <w:pPr>
              <w:numPr>
                <w:ilvl w:val="0"/>
                <w:numId w:val="140"/>
              </w:numPr>
              <w:spacing w:after="20"/>
              <w:jc w:val="both"/>
            </w:pPr>
            <w:r>
              <w:rPr>
                <w:sz w:val="18"/>
                <w:szCs w:val="18"/>
              </w:rPr>
              <w:t xml:space="preserve">Mesa-Lago, C. y Bonadona, A. (2022). </w:t>
            </w:r>
            <w:r>
              <w:rPr>
                <w:i/>
                <w:iCs/>
                <w:sz w:val="18"/>
                <w:szCs w:val="18"/>
              </w:rPr>
              <w:t>Promesas incumplidas de la capitalización individual</w:t>
            </w:r>
            <w:r>
              <w:rPr>
                <w:sz w:val="18"/>
                <w:szCs w:val="18"/>
              </w:rPr>
              <w:t>. Friedrich-Ebert-Stiftung.</w:t>
            </w:r>
          </w:p>
          <w:p w14:paraId="3698511B" w14:textId="77777777" w:rsidR="00990B14" w:rsidRDefault="00000000">
            <w:pPr>
              <w:numPr>
                <w:ilvl w:val="0"/>
                <w:numId w:val="140"/>
              </w:numPr>
              <w:spacing w:after="20"/>
              <w:jc w:val="both"/>
            </w:pPr>
            <w:r>
              <w:rPr>
                <w:sz w:val="18"/>
                <w:szCs w:val="18"/>
              </w:rPr>
              <w:t xml:space="preserve">Minzoni Consorti, A. (2004). </w:t>
            </w:r>
            <w:r>
              <w:rPr>
                <w:i/>
                <w:iCs/>
                <w:sz w:val="18"/>
                <w:szCs w:val="18"/>
              </w:rPr>
              <w:t>Técnica actuarial de los seguros no-vida</w:t>
            </w:r>
            <w:r>
              <w:rPr>
                <w:sz w:val="18"/>
                <w:szCs w:val="18"/>
              </w:rPr>
              <w:t>. México: Facultad de Ciencias, UNAM.</w:t>
            </w:r>
          </w:p>
          <w:p w14:paraId="0C6C3E45" w14:textId="77777777" w:rsidR="00990B14" w:rsidRDefault="00000000">
            <w:pPr>
              <w:numPr>
                <w:ilvl w:val="0"/>
                <w:numId w:val="140"/>
              </w:numPr>
              <w:spacing w:after="20"/>
              <w:jc w:val="both"/>
            </w:pPr>
            <w:r>
              <w:rPr>
                <w:sz w:val="18"/>
                <w:szCs w:val="18"/>
              </w:rPr>
              <w:t xml:space="preserve">Sandoya, F. (2007). </w:t>
            </w:r>
            <w:r>
              <w:rPr>
                <w:i/>
                <w:iCs/>
                <w:sz w:val="18"/>
                <w:szCs w:val="18"/>
              </w:rPr>
              <w:t>Matemáticas actuariales y operaciones de seguros</w:t>
            </w:r>
            <w:r>
              <w:rPr>
                <w:sz w:val="18"/>
                <w:szCs w:val="18"/>
              </w:rPr>
              <w:t>. ESPOL.</w:t>
            </w:r>
          </w:p>
        </w:tc>
      </w:tr>
    </w:tbl>
    <w:p w14:paraId="4CEF7CF3" w14:textId="77777777" w:rsidR="00990B14" w:rsidRDefault="00000000">
      <w:pPr>
        <w:pStyle w:val="TituloPlanAnio"/>
        <w:pageBreakBefore/>
        <w:spacing w:before="4800"/>
        <w:jc w:val="center"/>
        <w:outlineLvl w:val="2"/>
      </w:pPr>
      <w:bookmarkStart w:id="182" w:name="_Toc000000123"/>
      <w:r>
        <w:rPr>
          <w:b/>
          <w:bCs/>
          <w:sz w:val="40"/>
          <w:szCs w:val="40"/>
        </w:rPr>
        <w:t>Quinto Año</w:t>
      </w:r>
      <w:bookmarkEnd w:id="182"/>
    </w:p>
    <w:p w14:paraId="1A9951B1" w14:textId="77777777" w:rsidR="00990B14" w:rsidRDefault="00000000">
      <w:pPr>
        <w:pStyle w:val="TituloPlanAsignatura"/>
        <w:keepNext/>
        <w:pageBreakBefore/>
        <w:spacing w:after="120"/>
        <w:jc w:val="center"/>
        <w:outlineLvl w:val="2"/>
      </w:pPr>
      <w:bookmarkStart w:id="183" w:name="_Toc000000124"/>
      <w:r>
        <w:rPr>
          <w:b/>
          <w:bCs/>
          <w:sz w:val="24"/>
          <w:szCs w:val="24"/>
        </w:rPr>
        <w:t>CPA-501 Auditoría Operativa</w:t>
      </w:r>
      <w:bookmarkEnd w:id="183"/>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249"/>
        <w:gridCol w:w="1100"/>
        <w:gridCol w:w="149"/>
        <w:gridCol w:w="635"/>
        <w:gridCol w:w="615"/>
        <w:gridCol w:w="952"/>
        <w:gridCol w:w="298"/>
        <w:gridCol w:w="1250"/>
        <w:gridCol w:w="20"/>
        <w:gridCol w:w="385"/>
        <w:gridCol w:w="398"/>
        <w:gridCol w:w="447"/>
        <w:gridCol w:w="1907"/>
      </w:tblGrid>
      <w:tr w:rsidR="00990B14" w14:paraId="16E8A5D1" w14:textId="77777777">
        <w:trPr>
          <w:cantSplit/>
          <w:jc w:val="center"/>
        </w:trPr>
        <w:tc>
          <w:tcPr>
            <w:tcW w:w="2349" w:type="dxa"/>
            <w:gridSpan w:val="2"/>
            <w:shd w:val="clear" w:color="auto" w:fill="4472C4"/>
            <w:vAlign w:val="center"/>
          </w:tcPr>
          <w:p w14:paraId="06DFBDDC" w14:textId="77777777" w:rsidR="00990B14" w:rsidRDefault="00000000">
            <w:pPr>
              <w:keepNext/>
              <w:spacing w:before="20" w:after="20"/>
              <w:jc w:val="center"/>
            </w:pPr>
            <w:r>
              <w:rPr>
                <w:b/>
                <w:bCs/>
                <w:i/>
                <w:iCs/>
                <w:color w:val="FFFFFF"/>
                <w:sz w:val="18"/>
                <w:szCs w:val="18"/>
              </w:rPr>
              <w:t>Asignatura</w:t>
            </w:r>
          </w:p>
        </w:tc>
        <w:tc>
          <w:tcPr>
            <w:tcW w:w="2351" w:type="dxa"/>
            <w:gridSpan w:val="4"/>
            <w:shd w:val="clear" w:color="auto" w:fill="4472C4"/>
            <w:vAlign w:val="center"/>
          </w:tcPr>
          <w:p w14:paraId="50834A22" w14:textId="77777777" w:rsidR="00990B14" w:rsidRDefault="00000000">
            <w:pPr>
              <w:keepNext/>
              <w:spacing w:before="20" w:after="20"/>
              <w:jc w:val="center"/>
            </w:pPr>
            <w:r>
              <w:rPr>
                <w:b/>
                <w:bCs/>
                <w:i/>
                <w:iCs/>
                <w:color w:val="FFFFFF"/>
                <w:sz w:val="18"/>
                <w:szCs w:val="18"/>
              </w:rPr>
              <w:t>Sigla</w:t>
            </w:r>
          </w:p>
        </w:tc>
        <w:tc>
          <w:tcPr>
            <w:tcW w:w="2351" w:type="dxa"/>
            <w:gridSpan w:val="5"/>
            <w:shd w:val="clear" w:color="auto" w:fill="4472C4"/>
            <w:vAlign w:val="center"/>
          </w:tcPr>
          <w:p w14:paraId="57BFD071" w14:textId="77777777" w:rsidR="00990B14" w:rsidRDefault="00000000">
            <w:pPr>
              <w:keepNext/>
              <w:spacing w:before="20" w:after="20"/>
              <w:jc w:val="center"/>
            </w:pPr>
            <w:r>
              <w:rPr>
                <w:b/>
                <w:bCs/>
                <w:i/>
                <w:iCs/>
                <w:color w:val="FFFFFF"/>
                <w:sz w:val="18"/>
                <w:szCs w:val="18"/>
              </w:rPr>
              <w:t>Nivel/Área</w:t>
            </w:r>
          </w:p>
        </w:tc>
        <w:tc>
          <w:tcPr>
            <w:tcW w:w="2354" w:type="dxa"/>
            <w:gridSpan w:val="2"/>
            <w:shd w:val="clear" w:color="auto" w:fill="4472C4"/>
            <w:vAlign w:val="center"/>
          </w:tcPr>
          <w:p w14:paraId="74AC73F0" w14:textId="77777777" w:rsidR="00990B14" w:rsidRDefault="00000000">
            <w:pPr>
              <w:keepNext/>
              <w:spacing w:before="20" w:after="20"/>
              <w:jc w:val="center"/>
            </w:pPr>
            <w:r>
              <w:rPr>
                <w:b/>
                <w:bCs/>
                <w:i/>
                <w:iCs/>
                <w:color w:val="FFFFFF"/>
                <w:sz w:val="18"/>
                <w:szCs w:val="18"/>
              </w:rPr>
              <w:t>Prerrequisito</w:t>
            </w:r>
          </w:p>
        </w:tc>
      </w:tr>
      <w:tr w:rsidR="00990B14" w14:paraId="6AC59991" w14:textId="77777777">
        <w:trPr>
          <w:cantSplit/>
          <w:jc w:val="center"/>
        </w:trPr>
        <w:tc>
          <w:tcPr>
            <w:tcW w:w="2349" w:type="dxa"/>
            <w:gridSpan w:val="2"/>
            <w:shd w:val="clear" w:color="auto" w:fill="D9E2F3"/>
            <w:vAlign w:val="center"/>
          </w:tcPr>
          <w:p w14:paraId="762DFE7E" w14:textId="77777777" w:rsidR="00990B14" w:rsidRDefault="00000000">
            <w:pPr>
              <w:spacing w:before="20" w:after="20"/>
              <w:jc w:val="center"/>
            </w:pPr>
            <w:r>
              <w:rPr>
                <w:b/>
                <w:bCs/>
                <w:i/>
                <w:iCs/>
                <w:sz w:val="18"/>
                <w:szCs w:val="18"/>
              </w:rPr>
              <w:t>Auditoría Operativa</w:t>
            </w:r>
          </w:p>
        </w:tc>
        <w:tc>
          <w:tcPr>
            <w:tcW w:w="2351" w:type="dxa"/>
            <w:gridSpan w:val="4"/>
            <w:shd w:val="clear" w:color="auto" w:fill="D9E2F3"/>
            <w:vAlign w:val="center"/>
          </w:tcPr>
          <w:p w14:paraId="5D89111F" w14:textId="77777777" w:rsidR="00990B14" w:rsidRDefault="00000000">
            <w:pPr>
              <w:spacing w:before="20" w:after="20"/>
              <w:jc w:val="center"/>
            </w:pPr>
            <w:r>
              <w:rPr>
                <w:b/>
                <w:bCs/>
                <w:i/>
                <w:iCs/>
                <w:sz w:val="18"/>
                <w:szCs w:val="18"/>
              </w:rPr>
              <w:t>CPA-501</w:t>
            </w:r>
          </w:p>
        </w:tc>
        <w:tc>
          <w:tcPr>
            <w:tcW w:w="2351" w:type="dxa"/>
            <w:gridSpan w:val="5"/>
            <w:shd w:val="clear" w:color="auto" w:fill="D9E2F3"/>
            <w:vAlign w:val="center"/>
          </w:tcPr>
          <w:p w14:paraId="6E62BB15" w14:textId="77777777" w:rsidR="00990B14" w:rsidRDefault="00000000">
            <w:pPr>
              <w:spacing w:before="20" w:after="20"/>
              <w:jc w:val="center"/>
            </w:pPr>
            <w:r>
              <w:rPr>
                <w:b/>
                <w:bCs/>
                <w:i/>
                <w:iCs/>
                <w:sz w:val="18"/>
                <w:szCs w:val="18"/>
              </w:rPr>
              <w:t>Aseguramiento</w:t>
            </w:r>
          </w:p>
        </w:tc>
        <w:tc>
          <w:tcPr>
            <w:tcW w:w="2354" w:type="dxa"/>
            <w:gridSpan w:val="2"/>
            <w:shd w:val="clear" w:color="auto" w:fill="D9E2F3"/>
            <w:vAlign w:val="center"/>
          </w:tcPr>
          <w:p w14:paraId="5CB01940" w14:textId="77777777" w:rsidR="00990B14" w:rsidRDefault="00000000">
            <w:pPr>
              <w:spacing w:before="20" w:after="20"/>
              <w:jc w:val="center"/>
            </w:pPr>
            <w:r>
              <w:rPr>
                <w:b/>
                <w:bCs/>
                <w:i/>
                <w:iCs/>
                <w:sz w:val="18"/>
                <w:szCs w:val="18"/>
              </w:rPr>
              <w:t>CPA-401 a CPA-408</w:t>
            </w:r>
          </w:p>
        </w:tc>
      </w:tr>
      <w:tr w:rsidR="00990B14" w14:paraId="2F470683" w14:textId="77777777">
        <w:trPr>
          <w:cantSplit/>
          <w:jc w:val="center"/>
        </w:trPr>
        <w:tc>
          <w:tcPr>
            <w:tcW w:w="7498" w:type="dxa"/>
            <w:gridSpan w:val="12"/>
            <w:shd w:val="clear" w:color="auto" w:fill="4472C4"/>
            <w:vAlign w:val="center"/>
          </w:tcPr>
          <w:p w14:paraId="39A15067" w14:textId="77777777" w:rsidR="00990B14" w:rsidRDefault="00000000">
            <w:pPr>
              <w:keepNext/>
              <w:spacing w:before="20" w:after="20"/>
              <w:jc w:val="center"/>
            </w:pPr>
            <w:r>
              <w:rPr>
                <w:b/>
                <w:bCs/>
                <w:i/>
                <w:iCs/>
                <w:color w:val="FFFFFF"/>
                <w:sz w:val="18"/>
                <w:szCs w:val="18"/>
              </w:rPr>
              <w:t>Carga Horaria</w:t>
            </w:r>
          </w:p>
        </w:tc>
        <w:tc>
          <w:tcPr>
            <w:tcW w:w="1907" w:type="dxa"/>
            <w:shd w:val="clear" w:color="auto" w:fill="4472C4"/>
            <w:vAlign w:val="center"/>
          </w:tcPr>
          <w:p w14:paraId="7C965BA7" w14:textId="77777777" w:rsidR="00990B14" w:rsidRDefault="00000000">
            <w:pPr>
              <w:keepNext/>
              <w:spacing w:before="20" w:after="20"/>
              <w:jc w:val="center"/>
            </w:pPr>
            <w:r>
              <w:rPr>
                <w:b/>
                <w:bCs/>
                <w:i/>
                <w:iCs/>
                <w:color w:val="FFFFFF"/>
                <w:sz w:val="18"/>
                <w:szCs w:val="18"/>
              </w:rPr>
              <w:t>Créditos</w:t>
            </w:r>
          </w:p>
        </w:tc>
      </w:tr>
      <w:tr w:rsidR="00990B14" w14:paraId="537602F6" w14:textId="77777777">
        <w:trPr>
          <w:cantSplit/>
          <w:jc w:val="center"/>
        </w:trPr>
        <w:tc>
          <w:tcPr>
            <w:tcW w:w="1249" w:type="dxa"/>
            <w:shd w:val="clear" w:color="auto" w:fill="4472C4"/>
            <w:vAlign w:val="center"/>
          </w:tcPr>
          <w:p w14:paraId="52D19858" w14:textId="77777777" w:rsidR="00990B14" w:rsidRDefault="00000000">
            <w:pPr>
              <w:keepNext/>
              <w:spacing w:before="20" w:after="20"/>
              <w:jc w:val="center"/>
            </w:pPr>
            <w:r>
              <w:rPr>
                <w:b/>
                <w:bCs/>
                <w:i/>
                <w:iCs/>
                <w:color w:val="FFFFFF"/>
                <w:sz w:val="18"/>
                <w:szCs w:val="18"/>
              </w:rPr>
              <w:t>HP</w:t>
            </w:r>
          </w:p>
        </w:tc>
        <w:tc>
          <w:tcPr>
            <w:tcW w:w="1249" w:type="dxa"/>
            <w:gridSpan w:val="2"/>
            <w:shd w:val="clear" w:color="auto" w:fill="4472C4"/>
            <w:vAlign w:val="center"/>
          </w:tcPr>
          <w:p w14:paraId="4DCE501E" w14:textId="77777777" w:rsidR="00990B14" w:rsidRDefault="00000000">
            <w:pPr>
              <w:keepNext/>
              <w:spacing w:before="20" w:after="20"/>
              <w:jc w:val="center"/>
            </w:pPr>
            <w:r>
              <w:rPr>
                <w:b/>
                <w:bCs/>
                <w:i/>
                <w:iCs/>
                <w:color w:val="FFFFFF"/>
                <w:sz w:val="18"/>
                <w:szCs w:val="18"/>
              </w:rPr>
              <w:t>HAA</w:t>
            </w:r>
          </w:p>
        </w:tc>
        <w:tc>
          <w:tcPr>
            <w:tcW w:w="1250" w:type="dxa"/>
            <w:gridSpan w:val="2"/>
            <w:shd w:val="clear" w:color="auto" w:fill="4472C4"/>
            <w:vAlign w:val="center"/>
          </w:tcPr>
          <w:p w14:paraId="7EE47B2B" w14:textId="77777777" w:rsidR="00990B14" w:rsidRDefault="00000000">
            <w:pPr>
              <w:keepNext/>
              <w:spacing w:before="20" w:after="20"/>
              <w:jc w:val="center"/>
            </w:pPr>
            <w:r>
              <w:rPr>
                <w:b/>
                <w:bCs/>
                <w:i/>
                <w:iCs/>
                <w:color w:val="FFFFFF"/>
                <w:sz w:val="18"/>
                <w:szCs w:val="18"/>
              </w:rPr>
              <w:t>HTG</w:t>
            </w:r>
          </w:p>
        </w:tc>
        <w:tc>
          <w:tcPr>
            <w:tcW w:w="1250" w:type="dxa"/>
            <w:gridSpan w:val="2"/>
            <w:shd w:val="clear" w:color="auto" w:fill="4472C4"/>
            <w:vAlign w:val="center"/>
          </w:tcPr>
          <w:p w14:paraId="1E560C85" w14:textId="77777777" w:rsidR="00990B14" w:rsidRDefault="00000000">
            <w:pPr>
              <w:keepNext/>
              <w:spacing w:before="20" w:after="20"/>
              <w:jc w:val="center"/>
            </w:pPr>
            <w:r>
              <w:rPr>
                <w:b/>
                <w:bCs/>
                <w:i/>
                <w:iCs/>
                <w:color w:val="FFFFFF"/>
                <w:sz w:val="18"/>
                <w:szCs w:val="18"/>
              </w:rPr>
              <w:t>HIP</w:t>
            </w:r>
          </w:p>
        </w:tc>
        <w:tc>
          <w:tcPr>
            <w:tcW w:w="1250" w:type="dxa"/>
            <w:shd w:val="clear" w:color="auto" w:fill="4472C4"/>
            <w:vAlign w:val="center"/>
          </w:tcPr>
          <w:p w14:paraId="662B135F" w14:textId="77777777" w:rsidR="00990B14" w:rsidRDefault="00000000">
            <w:pPr>
              <w:keepNext/>
              <w:spacing w:before="20" w:after="20"/>
              <w:jc w:val="center"/>
            </w:pPr>
            <w:r>
              <w:rPr>
                <w:b/>
                <w:bCs/>
                <w:i/>
                <w:iCs/>
                <w:color w:val="FFFFFF"/>
                <w:sz w:val="18"/>
                <w:szCs w:val="18"/>
              </w:rPr>
              <w:t>HE</w:t>
            </w:r>
          </w:p>
        </w:tc>
        <w:tc>
          <w:tcPr>
            <w:tcW w:w="1250" w:type="dxa"/>
            <w:gridSpan w:val="4"/>
            <w:shd w:val="clear" w:color="auto" w:fill="4472C4"/>
            <w:vAlign w:val="center"/>
          </w:tcPr>
          <w:p w14:paraId="1D93012D" w14:textId="77777777" w:rsidR="00990B14" w:rsidRDefault="00000000">
            <w:pPr>
              <w:keepNext/>
              <w:spacing w:before="20" w:after="20"/>
              <w:jc w:val="center"/>
            </w:pPr>
            <w:r>
              <w:rPr>
                <w:b/>
                <w:bCs/>
                <w:i/>
                <w:iCs/>
                <w:color w:val="FFFFFF"/>
                <w:sz w:val="18"/>
                <w:szCs w:val="18"/>
              </w:rPr>
              <w:t>TOTAL</w:t>
            </w:r>
          </w:p>
        </w:tc>
        <w:tc>
          <w:tcPr>
            <w:tcW w:w="1907" w:type="dxa"/>
            <w:vMerge w:val="restart"/>
            <w:shd w:val="clear" w:color="auto" w:fill="D9E2F3"/>
            <w:vAlign w:val="center"/>
          </w:tcPr>
          <w:p w14:paraId="2BA0D0C6" w14:textId="77777777" w:rsidR="00990B14" w:rsidRDefault="00000000">
            <w:pPr>
              <w:spacing w:before="20" w:after="20"/>
              <w:jc w:val="center"/>
            </w:pPr>
            <w:r>
              <w:rPr>
                <w:sz w:val="18"/>
                <w:szCs w:val="18"/>
              </w:rPr>
              <w:t>8</w:t>
            </w:r>
          </w:p>
        </w:tc>
      </w:tr>
      <w:tr w:rsidR="00990B14" w14:paraId="27E0E3E1" w14:textId="77777777">
        <w:trPr>
          <w:cantSplit/>
          <w:jc w:val="center"/>
        </w:trPr>
        <w:tc>
          <w:tcPr>
            <w:tcW w:w="1249" w:type="dxa"/>
            <w:shd w:val="clear" w:color="auto" w:fill="D9E2F3"/>
            <w:vAlign w:val="center"/>
          </w:tcPr>
          <w:p w14:paraId="715C78B2" w14:textId="77777777" w:rsidR="00990B14" w:rsidRDefault="00000000">
            <w:pPr>
              <w:spacing w:before="20" w:after="20"/>
              <w:jc w:val="center"/>
            </w:pPr>
            <w:r>
              <w:rPr>
                <w:sz w:val="18"/>
                <w:szCs w:val="18"/>
              </w:rPr>
              <w:t>160</w:t>
            </w:r>
          </w:p>
        </w:tc>
        <w:tc>
          <w:tcPr>
            <w:tcW w:w="1249" w:type="dxa"/>
            <w:gridSpan w:val="2"/>
            <w:shd w:val="clear" w:color="auto" w:fill="D9E2F3"/>
            <w:vAlign w:val="center"/>
          </w:tcPr>
          <w:p w14:paraId="038F42FF" w14:textId="77777777" w:rsidR="00990B14" w:rsidRDefault="00000000">
            <w:pPr>
              <w:spacing w:before="20" w:after="20"/>
              <w:jc w:val="center"/>
            </w:pPr>
            <w:r>
              <w:rPr>
                <w:sz w:val="18"/>
                <w:szCs w:val="18"/>
              </w:rPr>
              <w:t>32</w:t>
            </w:r>
          </w:p>
        </w:tc>
        <w:tc>
          <w:tcPr>
            <w:tcW w:w="1250" w:type="dxa"/>
            <w:gridSpan w:val="2"/>
            <w:shd w:val="clear" w:color="auto" w:fill="D9E2F3"/>
            <w:vAlign w:val="center"/>
          </w:tcPr>
          <w:p w14:paraId="2A09EDB4" w14:textId="77777777" w:rsidR="00990B14" w:rsidRDefault="00000000">
            <w:pPr>
              <w:spacing w:before="20" w:after="20"/>
              <w:jc w:val="center"/>
            </w:pPr>
            <w:r>
              <w:rPr>
                <w:sz w:val="18"/>
                <w:szCs w:val="18"/>
              </w:rPr>
              <w:t>8</w:t>
            </w:r>
          </w:p>
        </w:tc>
        <w:tc>
          <w:tcPr>
            <w:tcW w:w="1250" w:type="dxa"/>
            <w:gridSpan w:val="2"/>
            <w:shd w:val="clear" w:color="auto" w:fill="D9E2F3"/>
            <w:vAlign w:val="center"/>
          </w:tcPr>
          <w:p w14:paraId="59F0EDA7" w14:textId="77777777" w:rsidR="00990B14" w:rsidRDefault="00000000">
            <w:pPr>
              <w:spacing w:before="20" w:after="20"/>
              <w:jc w:val="center"/>
            </w:pPr>
            <w:r>
              <w:rPr>
                <w:sz w:val="18"/>
                <w:szCs w:val="18"/>
              </w:rPr>
              <w:t>8</w:t>
            </w:r>
          </w:p>
        </w:tc>
        <w:tc>
          <w:tcPr>
            <w:tcW w:w="1250" w:type="dxa"/>
            <w:shd w:val="clear" w:color="auto" w:fill="D9E2F3"/>
            <w:vAlign w:val="center"/>
          </w:tcPr>
          <w:p w14:paraId="0ADA02A7" w14:textId="77777777" w:rsidR="00990B14" w:rsidRDefault="00000000">
            <w:pPr>
              <w:spacing w:before="20" w:after="20"/>
              <w:jc w:val="center"/>
            </w:pPr>
            <w:r>
              <w:rPr>
                <w:sz w:val="18"/>
                <w:szCs w:val="18"/>
              </w:rPr>
              <w:t>32</w:t>
            </w:r>
          </w:p>
        </w:tc>
        <w:tc>
          <w:tcPr>
            <w:tcW w:w="1250" w:type="dxa"/>
            <w:gridSpan w:val="4"/>
            <w:shd w:val="clear" w:color="auto" w:fill="D9E2F3"/>
            <w:vAlign w:val="center"/>
          </w:tcPr>
          <w:p w14:paraId="68A4721E" w14:textId="77777777" w:rsidR="00990B14" w:rsidRDefault="00000000">
            <w:pPr>
              <w:spacing w:before="20" w:after="20"/>
              <w:jc w:val="center"/>
            </w:pPr>
            <w:r>
              <w:rPr>
                <w:sz w:val="18"/>
                <w:szCs w:val="18"/>
              </w:rPr>
              <w:t>240</w:t>
            </w:r>
          </w:p>
        </w:tc>
        <w:tc>
          <w:tcPr>
            <w:tcW w:w="1907" w:type="dxa"/>
            <w:vMerge/>
            <w:shd w:val="clear" w:color="auto" w:fill="D9E2F3"/>
            <w:vAlign w:val="center"/>
          </w:tcPr>
          <w:p w14:paraId="07BAE49C" w14:textId="77777777" w:rsidR="00990B14" w:rsidRDefault="00990B14">
            <w:pPr>
              <w:spacing w:before="20" w:after="20"/>
            </w:pPr>
          </w:p>
        </w:tc>
      </w:tr>
      <w:tr w:rsidR="00990B14" w14:paraId="157B4CF2" w14:textId="77777777">
        <w:trPr>
          <w:cantSplit/>
          <w:jc w:val="center"/>
        </w:trPr>
        <w:tc>
          <w:tcPr>
            <w:tcW w:w="9405" w:type="dxa"/>
            <w:gridSpan w:val="13"/>
            <w:shd w:val="clear" w:color="auto" w:fill="4472C4"/>
            <w:vAlign w:val="center"/>
          </w:tcPr>
          <w:p w14:paraId="7992F2D8" w14:textId="77777777" w:rsidR="00990B14" w:rsidRDefault="00000000">
            <w:pPr>
              <w:keepNext/>
              <w:spacing w:before="20" w:after="20"/>
              <w:jc w:val="center"/>
            </w:pPr>
            <w:r>
              <w:rPr>
                <w:b/>
                <w:bCs/>
                <w:i/>
                <w:iCs/>
                <w:color w:val="FFFFFF"/>
                <w:sz w:val="18"/>
                <w:szCs w:val="18"/>
              </w:rPr>
              <w:t>Unidad de Competencia</w:t>
            </w:r>
          </w:p>
        </w:tc>
      </w:tr>
      <w:tr w:rsidR="00990B14" w14:paraId="5A492BB0" w14:textId="77777777">
        <w:trPr>
          <w:cantSplit/>
          <w:jc w:val="center"/>
        </w:trPr>
        <w:tc>
          <w:tcPr>
            <w:tcW w:w="9405" w:type="dxa"/>
            <w:gridSpan w:val="13"/>
            <w:shd w:val="clear" w:color="auto" w:fill="D9E2F3"/>
            <w:vAlign w:val="center"/>
          </w:tcPr>
          <w:p w14:paraId="364398C9" w14:textId="77777777" w:rsidR="00990B14" w:rsidRDefault="00000000">
            <w:pPr>
              <w:spacing w:before="20" w:after="20"/>
              <w:jc w:val="both"/>
            </w:pPr>
            <w:r>
              <w:rPr>
                <w:sz w:val="18"/>
                <w:szCs w:val="18"/>
              </w:rPr>
              <w:t>Planifica, ejecuta y concluye auditorías operativas de sistemas, procesos y operaciones en entidades públicas o privadas de acuerdo con la Norma Internacional de Encargos de Aseguramiento 3000 y a las Normas de Auditoría Operativa Gubernamental de la CGE, evaluando los niveles de eficacia, eficiencia, economía y efectividad de los sistemas y procesos institucionales utilizando herramientas de análisis de datos para estructurar hallazgos, emitir el informe de auditoría y formular recomendaciones que impulsen la mejora continua, la gobernanza y el valor agregado, bajo principios de ética e independencia profesional.</w:t>
            </w:r>
          </w:p>
        </w:tc>
      </w:tr>
      <w:tr w:rsidR="00990B14" w14:paraId="4987CB27" w14:textId="77777777">
        <w:trPr>
          <w:cantSplit/>
          <w:jc w:val="center"/>
        </w:trPr>
        <w:tc>
          <w:tcPr>
            <w:tcW w:w="9405" w:type="dxa"/>
            <w:gridSpan w:val="13"/>
            <w:shd w:val="clear" w:color="auto" w:fill="D9E2F3"/>
            <w:vAlign w:val="center"/>
          </w:tcPr>
          <w:p w14:paraId="441DE284" w14:textId="77777777" w:rsidR="00990B14" w:rsidRDefault="00000000">
            <w:pPr>
              <w:spacing w:before="20" w:after="20"/>
              <w:jc w:val="both"/>
            </w:pPr>
            <w:r>
              <w:rPr>
                <w:b/>
                <w:bCs/>
                <w:i/>
                <w:iCs/>
                <w:sz w:val="18"/>
                <w:szCs w:val="18"/>
              </w:rPr>
              <w:t xml:space="preserve">Elemento de competencia 1: </w:t>
            </w:r>
            <w:r>
              <w:rPr>
                <w:sz w:val="18"/>
                <w:szCs w:val="18"/>
              </w:rPr>
              <w:t>Analiza las características de las organizaciones, su entorno y sus indicadores de gestión, relacionando el modelo conceptual de la organización con el enfoque de la auditoría operativa basada en riesgo.</w:t>
            </w:r>
          </w:p>
        </w:tc>
      </w:tr>
      <w:tr w:rsidR="00990B14" w14:paraId="7A6582CF" w14:textId="77777777">
        <w:trPr>
          <w:cantSplit/>
          <w:jc w:val="center"/>
        </w:trPr>
        <w:tc>
          <w:tcPr>
            <w:tcW w:w="3133" w:type="dxa"/>
            <w:gridSpan w:val="4"/>
            <w:shd w:val="clear" w:color="auto" w:fill="4472C4"/>
            <w:vAlign w:val="center"/>
          </w:tcPr>
          <w:p w14:paraId="798971E7"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28E3A9D9"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40F7B848" w14:textId="77777777" w:rsidR="00990B14" w:rsidRDefault="00000000">
            <w:pPr>
              <w:keepNext/>
              <w:spacing w:before="20" w:after="20"/>
              <w:jc w:val="center"/>
            </w:pPr>
            <w:r>
              <w:rPr>
                <w:b/>
                <w:bCs/>
                <w:i/>
                <w:iCs/>
                <w:color w:val="FFFFFF"/>
                <w:sz w:val="18"/>
                <w:szCs w:val="18"/>
              </w:rPr>
              <w:t>Evidencias de producto</w:t>
            </w:r>
          </w:p>
        </w:tc>
      </w:tr>
      <w:tr w:rsidR="00990B14" w14:paraId="12E51B5B" w14:textId="77777777">
        <w:trPr>
          <w:cantSplit/>
          <w:jc w:val="center"/>
        </w:trPr>
        <w:tc>
          <w:tcPr>
            <w:tcW w:w="3133" w:type="dxa"/>
            <w:gridSpan w:val="4"/>
            <w:vMerge w:val="restart"/>
            <w:shd w:val="clear" w:color="auto" w:fill="D9E2F3"/>
            <w:vAlign w:val="center"/>
          </w:tcPr>
          <w:p w14:paraId="23584B8B" w14:textId="77777777" w:rsidR="00990B14" w:rsidRDefault="00000000">
            <w:pPr>
              <w:spacing w:before="20" w:after="20"/>
              <w:jc w:val="both"/>
            </w:pPr>
            <w:r>
              <w:rPr>
                <w:sz w:val="18"/>
                <w:szCs w:val="18"/>
              </w:rPr>
              <w:t>1. Analiza el modelo conceptual, el entorno y la estrategia de una organización con las técnicas de análisis del entorno.</w:t>
            </w:r>
          </w:p>
        </w:tc>
        <w:tc>
          <w:tcPr>
            <w:tcW w:w="3135" w:type="dxa"/>
            <w:gridSpan w:val="5"/>
            <w:shd w:val="clear" w:color="auto" w:fill="D9E2F3"/>
            <w:vAlign w:val="center"/>
          </w:tcPr>
          <w:p w14:paraId="0D56CF38" w14:textId="77777777" w:rsidR="00990B14" w:rsidRDefault="00000000">
            <w:pPr>
              <w:spacing w:before="20" w:after="20"/>
              <w:jc w:val="both"/>
            </w:pPr>
            <w:r>
              <w:rPr>
                <w:sz w:val="18"/>
                <w:szCs w:val="18"/>
              </w:rPr>
              <w:t>1.1 Aplica el análisis PESTLA, FODA y Cinco Fuerzas de Porter a una organización.</w:t>
            </w:r>
          </w:p>
        </w:tc>
        <w:tc>
          <w:tcPr>
            <w:tcW w:w="3137" w:type="dxa"/>
            <w:gridSpan w:val="4"/>
            <w:shd w:val="clear" w:color="auto" w:fill="D9E2F3"/>
            <w:vAlign w:val="center"/>
          </w:tcPr>
          <w:p w14:paraId="565841E7" w14:textId="77777777" w:rsidR="00990B14" w:rsidRDefault="00000000">
            <w:pPr>
              <w:spacing w:before="20" w:after="20"/>
              <w:jc w:val="both"/>
            </w:pPr>
            <w:r>
              <w:rPr>
                <w:b/>
                <w:bCs/>
                <w:sz w:val="18"/>
                <w:szCs w:val="18"/>
              </w:rPr>
              <w:t xml:space="preserve">Producto 1: </w:t>
            </w:r>
            <w:r>
              <w:rPr>
                <w:sz w:val="18"/>
                <w:szCs w:val="18"/>
              </w:rPr>
              <w:t>Matriz PESTLA, FODA y Cinco Fuerzas de Porter de la entidad.</w:t>
            </w:r>
          </w:p>
        </w:tc>
      </w:tr>
      <w:tr w:rsidR="00990B14" w14:paraId="29413780" w14:textId="77777777">
        <w:trPr>
          <w:cantSplit/>
          <w:jc w:val="center"/>
        </w:trPr>
        <w:tc>
          <w:tcPr>
            <w:tcW w:w="3133" w:type="dxa"/>
            <w:gridSpan w:val="4"/>
            <w:vMerge/>
            <w:shd w:val="clear" w:color="auto" w:fill="D9E2F3"/>
            <w:vAlign w:val="center"/>
          </w:tcPr>
          <w:p w14:paraId="7A571CC4" w14:textId="77777777" w:rsidR="00990B14" w:rsidRDefault="00990B14">
            <w:pPr>
              <w:spacing w:before="20" w:after="20"/>
            </w:pPr>
          </w:p>
        </w:tc>
        <w:tc>
          <w:tcPr>
            <w:tcW w:w="3135" w:type="dxa"/>
            <w:gridSpan w:val="5"/>
            <w:shd w:val="clear" w:color="auto" w:fill="D9E2F3"/>
            <w:vAlign w:val="center"/>
          </w:tcPr>
          <w:p w14:paraId="7AF77992" w14:textId="77777777" w:rsidR="00990B14" w:rsidRDefault="00000000">
            <w:pPr>
              <w:spacing w:before="20" w:after="20"/>
              <w:jc w:val="both"/>
            </w:pPr>
            <w:r>
              <w:rPr>
                <w:sz w:val="18"/>
                <w:szCs w:val="18"/>
              </w:rPr>
              <w:t>1.2 Representa en aula la cadena de valor y el modelo conceptual de la organización.</w:t>
            </w:r>
          </w:p>
        </w:tc>
        <w:tc>
          <w:tcPr>
            <w:tcW w:w="3137" w:type="dxa"/>
            <w:gridSpan w:val="4"/>
            <w:shd w:val="clear" w:color="auto" w:fill="D9E2F3"/>
            <w:vAlign w:val="center"/>
          </w:tcPr>
          <w:p w14:paraId="02FFC550" w14:textId="77777777" w:rsidR="00990B14" w:rsidRDefault="00000000">
            <w:pPr>
              <w:spacing w:before="20" w:after="20"/>
              <w:jc w:val="both"/>
            </w:pPr>
            <w:r>
              <w:rPr>
                <w:b/>
                <w:bCs/>
                <w:sz w:val="18"/>
                <w:szCs w:val="18"/>
              </w:rPr>
              <w:t xml:space="preserve">Producto 2: </w:t>
            </w:r>
            <w:r>
              <w:rPr>
                <w:sz w:val="18"/>
                <w:szCs w:val="18"/>
              </w:rPr>
              <w:t>Esquema de la cadena de valor y del modelo conceptual de la entidad.</w:t>
            </w:r>
          </w:p>
        </w:tc>
      </w:tr>
      <w:tr w:rsidR="00990B14" w14:paraId="3C79975A" w14:textId="77777777">
        <w:trPr>
          <w:cantSplit/>
          <w:jc w:val="center"/>
        </w:trPr>
        <w:tc>
          <w:tcPr>
            <w:tcW w:w="3133" w:type="dxa"/>
            <w:gridSpan w:val="4"/>
            <w:vMerge w:val="restart"/>
            <w:shd w:val="clear" w:color="auto" w:fill="D9E2F3"/>
            <w:vAlign w:val="center"/>
          </w:tcPr>
          <w:p w14:paraId="45FAEE23" w14:textId="77777777" w:rsidR="00990B14" w:rsidRDefault="00000000">
            <w:pPr>
              <w:spacing w:before="20" w:after="20"/>
              <w:jc w:val="both"/>
            </w:pPr>
            <w:r>
              <w:rPr>
                <w:sz w:val="18"/>
                <w:szCs w:val="18"/>
              </w:rPr>
              <w:t>2. Construye indicadores de gestión que miden la economía, la eficiencia, la eficacia y la efectividad de una entidad.</w:t>
            </w:r>
          </w:p>
        </w:tc>
        <w:tc>
          <w:tcPr>
            <w:tcW w:w="3135" w:type="dxa"/>
            <w:gridSpan w:val="5"/>
            <w:shd w:val="clear" w:color="auto" w:fill="D9E2F3"/>
            <w:vAlign w:val="center"/>
          </w:tcPr>
          <w:p w14:paraId="468E8DE1" w14:textId="77777777" w:rsidR="00990B14" w:rsidRDefault="00000000">
            <w:pPr>
              <w:spacing w:before="20" w:after="20"/>
              <w:jc w:val="both"/>
            </w:pPr>
            <w:r>
              <w:rPr>
                <w:sz w:val="18"/>
                <w:szCs w:val="18"/>
              </w:rPr>
              <w:t>2.1 Formula los indicadores de gestión con su ficha técnica.</w:t>
            </w:r>
          </w:p>
        </w:tc>
        <w:tc>
          <w:tcPr>
            <w:tcW w:w="3137" w:type="dxa"/>
            <w:gridSpan w:val="4"/>
            <w:shd w:val="clear" w:color="auto" w:fill="D9E2F3"/>
            <w:vAlign w:val="center"/>
          </w:tcPr>
          <w:p w14:paraId="65E5D06B" w14:textId="77777777" w:rsidR="00990B14" w:rsidRDefault="00000000">
            <w:pPr>
              <w:spacing w:before="20" w:after="20"/>
              <w:jc w:val="both"/>
            </w:pPr>
            <w:r>
              <w:rPr>
                <w:b/>
                <w:bCs/>
                <w:sz w:val="18"/>
                <w:szCs w:val="18"/>
              </w:rPr>
              <w:t xml:space="preserve">Producto 3: </w:t>
            </w:r>
            <w:r>
              <w:rPr>
                <w:sz w:val="18"/>
                <w:szCs w:val="18"/>
              </w:rPr>
              <w:t>Fichas de indicadores de gestión de la entidad.</w:t>
            </w:r>
          </w:p>
        </w:tc>
      </w:tr>
      <w:tr w:rsidR="00990B14" w14:paraId="479D92B9" w14:textId="77777777">
        <w:trPr>
          <w:cantSplit/>
          <w:jc w:val="center"/>
        </w:trPr>
        <w:tc>
          <w:tcPr>
            <w:tcW w:w="3133" w:type="dxa"/>
            <w:gridSpan w:val="4"/>
            <w:vMerge/>
            <w:shd w:val="clear" w:color="auto" w:fill="D9E2F3"/>
            <w:vAlign w:val="center"/>
          </w:tcPr>
          <w:p w14:paraId="1FB0228D" w14:textId="77777777" w:rsidR="00990B14" w:rsidRDefault="00990B14">
            <w:pPr>
              <w:spacing w:before="20" w:after="20"/>
            </w:pPr>
          </w:p>
        </w:tc>
        <w:tc>
          <w:tcPr>
            <w:tcW w:w="3135" w:type="dxa"/>
            <w:gridSpan w:val="5"/>
            <w:shd w:val="clear" w:color="auto" w:fill="D9E2F3"/>
            <w:vAlign w:val="center"/>
          </w:tcPr>
          <w:p w14:paraId="432A404F" w14:textId="77777777" w:rsidR="00990B14" w:rsidRDefault="00000000">
            <w:pPr>
              <w:spacing w:before="20" w:after="20"/>
              <w:jc w:val="both"/>
            </w:pPr>
            <w:r>
              <w:rPr>
                <w:sz w:val="18"/>
                <w:szCs w:val="18"/>
              </w:rPr>
              <w:t>2.2 Interpreta en aula los resultados de los indicadores en un cuadro de mando integral interactivo.</w:t>
            </w:r>
          </w:p>
        </w:tc>
        <w:tc>
          <w:tcPr>
            <w:tcW w:w="3137" w:type="dxa"/>
            <w:gridSpan w:val="4"/>
            <w:shd w:val="clear" w:color="auto" w:fill="D9E2F3"/>
            <w:vAlign w:val="center"/>
          </w:tcPr>
          <w:p w14:paraId="46F1DC4F" w14:textId="77777777" w:rsidR="00990B14" w:rsidRDefault="00000000">
            <w:pPr>
              <w:spacing w:before="20" w:after="20"/>
              <w:jc w:val="both"/>
            </w:pPr>
            <w:r>
              <w:rPr>
                <w:b/>
                <w:bCs/>
                <w:sz w:val="18"/>
                <w:szCs w:val="18"/>
              </w:rPr>
              <w:t xml:space="preserve">Producto 4: </w:t>
            </w:r>
            <w:r>
              <w:rPr>
                <w:sz w:val="18"/>
                <w:szCs w:val="18"/>
              </w:rPr>
              <w:t>Cuadro de mando integral con el análisis de sus resultados con el uso de un trabajo interactivo en tecnologías emergentes</w:t>
            </w:r>
          </w:p>
        </w:tc>
      </w:tr>
      <w:tr w:rsidR="00990B14" w14:paraId="7C14278C" w14:textId="77777777">
        <w:trPr>
          <w:cantSplit/>
          <w:jc w:val="center"/>
        </w:trPr>
        <w:tc>
          <w:tcPr>
            <w:tcW w:w="9405" w:type="dxa"/>
            <w:gridSpan w:val="13"/>
            <w:shd w:val="clear" w:color="auto" w:fill="4472C4"/>
            <w:vAlign w:val="center"/>
          </w:tcPr>
          <w:p w14:paraId="03129CC0" w14:textId="77777777" w:rsidR="00990B14" w:rsidRDefault="00000000">
            <w:pPr>
              <w:keepNext/>
              <w:spacing w:before="20" w:after="20"/>
              <w:jc w:val="center"/>
            </w:pPr>
            <w:r>
              <w:rPr>
                <w:b/>
                <w:bCs/>
                <w:i/>
                <w:iCs/>
                <w:color w:val="FFFFFF"/>
                <w:sz w:val="18"/>
                <w:szCs w:val="18"/>
              </w:rPr>
              <w:t>Evidencias de conocimiento</w:t>
            </w:r>
          </w:p>
        </w:tc>
      </w:tr>
      <w:tr w:rsidR="00990B14" w14:paraId="47AB4C0C" w14:textId="77777777">
        <w:trPr>
          <w:cantSplit/>
          <w:jc w:val="center"/>
        </w:trPr>
        <w:tc>
          <w:tcPr>
            <w:tcW w:w="2349" w:type="dxa"/>
            <w:gridSpan w:val="2"/>
            <w:shd w:val="clear" w:color="auto" w:fill="4472C4"/>
            <w:vAlign w:val="center"/>
          </w:tcPr>
          <w:p w14:paraId="2C3E0FBD"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63EE8306" w14:textId="77777777" w:rsidR="00990B14" w:rsidRDefault="00000000">
            <w:pPr>
              <w:keepNext/>
              <w:spacing w:before="20" w:after="20"/>
              <w:jc w:val="both"/>
            </w:pPr>
            <w:r>
              <w:rPr>
                <w:b/>
                <w:bCs/>
                <w:i/>
                <w:iCs/>
                <w:color w:val="FFFFFF"/>
                <w:sz w:val="18"/>
                <w:szCs w:val="18"/>
              </w:rPr>
              <w:t>Contenidos</w:t>
            </w:r>
          </w:p>
          <w:p w14:paraId="50257451"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47EC19EC" w14:textId="77777777" w:rsidR="00990B14" w:rsidRDefault="00000000">
            <w:pPr>
              <w:keepNext/>
              <w:spacing w:before="20" w:after="20"/>
              <w:jc w:val="center"/>
            </w:pPr>
            <w:r>
              <w:rPr>
                <w:b/>
                <w:bCs/>
                <w:i/>
                <w:iCs/>
                <w:color w:val="FFFFFF"/>
                <w:sz w:val="18"/>
                <w:szCs w:val="18"/>
              </w:rPr>
              <w:t>Conocimientos circunstanciales</w:t>
            </w:r>
          </w:p>
        </w:tc>
      </w:tr>
      <w:tr w:rsidR="00990B14" w14:paraId="10838304" w14:textId="77777777">
        <w:trPr>
          <w:jc w:val="center"/>
        </w:trPr>
        <w:tc>
          <w:tcPr>
            <w:tcW w:w="2349" w:type="dxa"/>
            <w:gridSpan w:val="2"/>
            <w:shd w:val="clear" w:color="auto" w:fill="D9E2F3"/>
          </w:tcPr>
          <w:p w14:paraId="119155FC" w14:textId="77777777" w:rsidR="00990B14" w:rsidRDefault="00000000">
            <w:pPr>
              <w:spacing w:before="20" w:after="40"/>
              <w:jc w:val="both"/>
            </w:pPr>
            <w:r>
              <w:rPr>
                <w:sz w:val="18"/>
                <w:szCs w:val="18"/>
              </w:rPr>
              <w:t>Tema 1: Definición y conceptos</w:t>
            </w:r>
          </w:p>
          <w:p w14:paraId="0F9C4E0F" w14:textId="77777777" w:rsidR="00990B14" w:rsidRDefault="00000000">
            <w:pPr>
              <w:spacing w:before="20" w:after="40"/>
              <w:jc w:val="both"/>
            </w:pPr>
            <w:r>
              <w:rPr>
                <w:sz w:val="18"/>
                <w:szCs w:val="18"/>
              </w:rPr>
              <w:t>Tema 2: Características y modelo conceptual de la organización</w:t>
            </w:r>
          </w:p>
          <w:p w14:paraId="7A6B610C" w14:textId="77777777" w:rsidR="00990B14" w:rsidRDefault="00000000">
            <w:pPr>
              <w:spacing w:before="20" w:after="40"/>
              <w:jc w:val="both"/>
            </w:pPr>
            <w:r>
              <w:rPr>
                <w:sz w:val="18"/>
                <w:szCs w:val="18"/>
              </w:rPr>
              <w:t>Tema 3: Entorno y planificación estratégica</w:t>
            </w:r>
          </w:p>
          <w:p w14:paraId="04771421" w14:textId="77777777" w:rsidR="00990B14" w:rsidRDefault="00000000">
            <w:pPr>
              <w:spacing w:before="20" w:after="40"/>
              <w:jc w:val="both"/>
            </w:pPr>
            <w:r>
              <w:rPr>
                <w:sz w:val="18"/>
                <w:szCs w:val="18"/>
              </w:rPr>
              <w:t>Tema 4: Construcción de indicadores de gestión</w:t>
            </w:r>
          </w:p>
        </w:tc>
        <w:tc>
          <w:tcPr>
            <w:tcW w:w="4304" w:type="dxa"/>
            <w:gridSpan w:val="8"/>
            <w:shd w:val="clear" w:color="auto" w:fill="D9E2F3"/>
          </w:tcPr>
          <w:p w14:paraId="674BF8BF" w14:textId="77777777" w:rsidR="00990B14" w:rsidRDefault="00000000">
            <w:pPr>
              <w:spacing w:after="40"/>
              <w:jc w:val="both"/>
            </w:pPr>
            <w:r>
              <w:rPr>
                <w:sz w:val="18"/>
                <w:szCs w:val="18"/>
              </w:rPr>
              <w:t>Fundamentos y alcance de la auditoría operativa: definición, objetivos, propósitos, alcance, beneficios y objeto de auditoría; tipos de enfoque y la auditoría operacional basada en riesgos; relación entre auditoría interna y operacional. (C)</w:t>
            </w:r>
          </w:p>
          <w:p w14:paraId="6892B185" w14:textId="77777777" w:rsidR="00990B14" w:rsidRDefault="00000000">
            <w:pPr>
              <w:spacing w:after="40"/>
              <w:jc w:val="both"/>
            </w:pPr>
            <w:r>
              <w:rPr>
                <w:sz w:val="18"/>
                <w:szCs w:val="18"/>
              </w:rPr>
              <w:t>Teorías y modelos organizacionales: Paradigmas teóricos clásicos y emergentes de la organización; gobierno corporativo y entorno competitivo; el modelo de las tres y cuatro líneas de defensa y el modelo actualizado del IIA (2020); modelo conceptual institucional (niveles estratégico, organizativo y de recursos) y la Cadena de Valor de Porter (actividades primarias, de soporte y estratégicas). (C)</w:t>
            </w:r>
          </w:p>
          <w:p w14:paraId="5EB11800" w14:textId="77777777" w:rsidR="00990B14" w:rsidRDefault="00000000">
            <w:pPr>
              <w:spacing w:after="40"/>
              <w:jc w:val="both"/>
            </w:pPr>
            <w:r>
              <w:rPr>
                <w:sz w:val="18"/>
                <w:szCs w:val="18"/>
              </w:rPr>
              <w:t>Gestión estratégica y modelos de desempeño: Plan estratégico y cultura organizacional; dinámica competitiva, análisis Canvas y factores PESTLA/FODA; modelos de gestión (KPI, OKR, Administración por Objetivos - APO) y consideraciones para micro, pequeñas y medianas entidades. (C)</w:t>
            </w:r>
          </w:p>
          <w:p w14:paraId="4AF2AC4A" w14:textId="77777777" w:rsidR="00990B14" w:rsidRDefault="00000000">
            <w:pPr>
              <w:spacing w:after="40"/>
              <w:jc w:val="both"/>
            </w:pPr>
            <w:r>
              <w:rPr>
                <w:sz w:val="18"/>
                <w:szCs w:val="18"/>
              </w:rPr>
              <w:t>Medición de gestión y criterios de las "4 Es": Objetivos, características y tipos de indicadores (cualitativos, cuantitativos, ambientales, sociales y de gobernanza - ASG); Cuadro de Mando Integral; y los criterios de economía, eficiencia, eficacia y efectividad conforme a las Normas de Auditoría Gubernamental, incluyendo la terminología técnica internacional en inglés (performance audit, efficiency, effectiveness, economy, benchmark, KPI). (C)</w:t>
            </w:r>
          </w:p>
          <w:p w14:paraId="5AC86920" w14:textId="77777777" w:rsidR="00990B14" w:rsidRDefault="00000000">
            <w:pPr>
              <w:spacing w:after="40"/>
              <w:jc w:val="both"/>
            </w:pPr>
            <w:r>
              <w:rPr>
                <w:sz w:val="18"/>
                <w:szCs w:val="18"/>
              </w:rPr>
              <w:t>Análisis del entorno y diagnóstico estratégico: Aplicación práctica de técnicas de análisis del entorno (factores PESTLA y FODA) y determinación de objetivos estratégicos y de gestión en entidades. (P)</w:t>
            </w:r>
          </w:p>
          <w:p w14:paraId="5575CD16" w14:textId="77777777" w:rsidR="00990B14" w:rsidRDefault="00000000">
            <w:pPr>
              <w:spacing w:after="40"/>
              <w:jc w:val="both"/>
            </w:pPr>
            <w:r>
              <w:rPr>
                <w:sz w:val="18"/>
                <w:szCs w:val="18"/>
              </w:rPr>
              <w:t>Formulación y cálculo de indicadores: Metodología para la formulación de indicadores de gestión, diseño de fichas técnicas y estructuración de cuadros de mando integral para la evaluación del uso de recursos y cumplimiento de metas institucionales. (P)</w:t>
            </w:r>
          </w:p>
          <w:p w14:paraId="2349A461" w14:textId="77777777" w:rsidR="00990B14" w:rsidRDefault="00000000">
            <w:pPr>
              <w:spacing w:after="40"/>
              <w:jc w:val="both"/>
            </w:pPr>
            <w:r>
              <w:rPr>
                <w:sz w:val="18"/>
                <w:szCs w:val="18"/>
              </w:rPr>
              <w:t>Ética y criterio profesional: Demostración de rigor analítico, objetividad, escepticismo profesional y responsabilidad en la evaluación de las estructuras organizacionales y del desempeño institucional. (A)</w:t>
            </w:r>
          </w:p>
          <w:p w14:paraId="5B33D97B" w14:textId="77777777" w:rsidR="00990B14" w:rsidRDefault="00000000">
            <w:pPr>
              <w:spacing w:after="40"/>
              <w:jc w:val="both"/>
            </w:pPr>
            <w:r>
              <w:rPr>
                <w:sz w:val="18"/>
                <w:szCs w:val="18"/>
              </w:rPr>
              <w:t>Colaboración y visión crítica: Valoración del trabajo en equipo y de la importancia del gobierno corporativo y la sostenibilidad como pilares de la transparencia en la gestión pública y privada. (A)</w:t>
            </w:r>
          </w:p>
          <w:p w14:paraId="6F2B1F05" w14:textId="77777777" w:rsidR="00990B14" w:rsidRDefault="00000000">
            <w:pPr>
              <w:spacing w:after="40"/>
              <w:jc w:val="both"/>
            </w:pPr>
            <w:r>
              <w:rPr>
                <w:sz w:val="18"/>
                <w:szCs w:val="18"/>
              </w:rPr>
              <w:t>Herramientas digitales y tableros de control: Construcción, automatización y seguimiento de indicadores de gestión utilizando hojas de cálculo avanzadas y tableros de control interactivos (dashboards). (T)</w:t>
            </w:r>
          </w:p>
          <w:p w14:paraId="6451ECC3" w14:textId="77777777" w:rsidR="00990B14" w:rsidRDefault="00000000">
            <w:pPr>
              <w:spacing w:after="40"/>
              <w:jc w:val="both"/>
            </w:pPr>
            <w:r>
              <w:rPr>
                <w:sz w:val="18"/>
                <w:szCs w:val="18"/>
              </w:rPr>
              <w:t>Uso de IA y análisis digital: Exploración y uso de herramientas tecnológicas asistidas para simular análisis de datos y procesamiento de variables en el diseño de indicadores de gestión organizacional. (T)</w:t>
            </w:r>
          </w:p>
        </w:tc>
        <w:tc>
          <w:tcPr>
            <w:tcW w:w="2752" w:type="dxa"/>
            <w:gridSpan w:val="3"/>
            <w:shd w:val="clear" w:color="auto" w:fill="D9E2F3"/>
          </w:tcPr>
          <w:p w14:paraId="35F4EF0C" w14:textId="77777777" w:rsidR="00990B14" w:rsidRDefault="00000000">
            <w:pPr>
              <w:numPr>
                <w:ilvl w:val="0"/>
                <w:numId w:val="139"/>
              </w:numPr>
              <w:spacing w:before="10" w:after="10"/>
              <w:jc w:val="both"/>
            </w:pPr>
            <w:r>
              <w:rPr>
                <w:sz w:val="18"/>
                <w:szCs w:val="18"/>
              </w:rPr>
              <w:t>Nociones de la organización y el régimen de las empresas públicas bolivianas.</w:t>
            </w:r>
          </w:p>
        </w:tc>
      </w:tr>
      <w:tr w:rsidR="00990B14" w14:paraId="379E8C98" w14:textId="77777777">
        <w:trPr>
          <w:cantSplit/>
          <w:jc w:val="center"/>
        </w:trPr>
        <w:tc>
          <w:tcPr>
            <w:tcW w:w="9405" w:type="dxa"/>
            <w:gridSpan w:val="13"/>
            <w:shd w:val="clear" w:color="auto" w:fill="D9E2F3"/>
            <w:vAlign w:val="center"/>
          </w:tcPr>
          <w:p w14:paraId="2045FA42" w14:textId="77777777" w:rsidR="00990B14" w:rsidRDefault="00000000">
            <w:pPr>
              <w:spacing w:before="20" w:after="20"/>
              <w:jc w:val="both"/>
            </w:pPr>
            <w:r>
              <w:rPr>
                <w:b/>
                <w:bCs/>
                <w:i/>
                <w:iCs/>
                <w:sz w:val="18"/>
                <w:szCs w:val="18"/>
              </w:rPr>
              <w:t xml:space="preserve">Elemento de competencia 2: </w:t>
            </w:r>
            <w:r>
              <w:rPr>
                <w:sz w:val="18"/>
                <w:szCs w:val="18"/>
              </w:rPr>
              <w:t>Examina la función de aseguramiento y el rol estratégico de la auditoría interna bajo el marco del MIPPA (IIA), aplicando tecnologías de la información (analítica de datos, software de auditoría y monitoreo continuo) para evaluar los procesos institucionales, gestionar riesgos y optimizar la eficacia, eficiencia, efectividad y economía organizacional.</w:t>
            </w:r>
          </w:p>
        </w:tc>
      </w:tr>
      <w:tr w:rsidR="00990B14" w14:paraId="3240A289" w14:textId="77777777">
        <w:trPr>
          <w:cantSplit/>
          <w:jc w:val="center"/>
        </w:trPr>
        <w:tc>
          <w:tcPr>
            <w:tcW w:w="3133" w:type="dxa"/>
            <w:gridSpan w:val="4"/>
            <w:shd w:val="clear" w:color="auto" w:fill="4472C4"/>
            <w:vAlign w:val="center"/>
          </w:tcPr>
          <w:p w14:paraId="58847C28"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6D9BFBAC"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1412D9F7" w14:textId="77777777" w:rsidR="00990B14" w:rsidRDefault="00000000">
            <w:pPr>
              <w:keepNext/>
              <w:spacing w:before="20" w:after="20"/>
              <w:jc w:val="center"/>
            </w:pPr>
            <w:r>
              <w:rPr>
                <w:b/>
                <w:bCs/>
                <w:i/>
                <w:iCs/>
                <w:color w:val="FFFFFF"/>
                <w:sz w:val="18"/>
                <w:szCs w:val="18"/>
              </w:rPr>
              <w:t>Evidencias de producto</w:t>
            </w:r>
          </w:p>
        </w:tc>
      </w:tr>
      <w:tr w:rsidR="00990B14" w14:paraId="6FCDACDF" w14:textId="77777777">
        <w:trPr>
          <w:cantSplit/>
          <w:jc w:val="center"/>
        </w:trPr>
        <w:tc>
          <w:tcPr>
            <w:tcW w:w="3133" w:type="dxa"/>
            <w:gridSpan w:val="4"/>
            <w:vMerge w:val="restart"/>
            <w:shd w:val="clear" w:color="auto" w:fill="D9E2F3"/>
            <w:vAlign w:val="center"/>
          </w:tcPr>
          <w:p w14:paraId="74A83862" w14:textId="77777777" w:rsidR="00990B14" w:rsidRDefault="00000000">
            <w:pPr>
              <w:spacing w:before="20" w:after="20"/>
              <w:jc w:val="both"/>
            </w:pPr>
            <w:r>
              <w:rPr>
                <w:sz w:val="18"/>
                <w:szCs w:val="18"/>
              </w:rPr>
              <w:t>1. Describe la función de aseguramiento y la clasificación de los encargos de aseguramiento en relación con la auditoría operativa.</w:t>
            </w:r>
          </w:p>
        </w:tc>
        <w:tc>
          <w:tcPr>
            <w:tcW w:w="3135" w:type="dxa"/>
            <w:gridSpan w:val="5"/>
            <w:shd w:val="clear" w:color="auto" w:fill="D9E2F3"/>
            <w:vAlign w:val="center"/>
          </w:tcPr>
          <w:p w14:paraId="748806E7" w14:textId="77777777" w:rsidR="00990B14" w:rsidRDefault="00000000">
            <w:pPr>
              <w:spacing w:before="20" w:after="20"/>
              <w:jc w:val="both"/>
            </w:pPr>
            <w:r>
              <w:rPr>
                <w:sz w:val="18"/>
                <w:szCs w:val="18"/>
              </w:rPr>
              <w:t>1.1 Expone en equipo la clasificación de los encargos de aseguramiento.</w:t>
            </w:r>
          </w:p>
        </w:tc>
        <w:tc>
          <w:tcPr>
            <w:tcW w:w="3137" w:type="dxa"/>
            <w:gridSpan w:val="4"/>
            <w:shd w:val="clear" w:color="auto" w:fill="D9E2F3"/>
            <w:vAlign w:val="center"/>
          </w:tcPr>
          <w:p w14:paraId="217DBD23" w14:textId="77777777" w:rsidR="00990B14" w:rsidRDefault="00000000">
            <w:pPr>
              <w:spacing w:before="20" w:after="20"/>
              <w:jc w:val="both"/>
            </w:pPr>
            <w:r>
              <w:rPr>
                <w:b/>
                <w:bCs/>
                <w:sz w:val="18"/>
                <w:szCs w:val="18"/>
              </w:rPr>
              <w:t xml:space="preserve">Producto 5: </w:t>
            </w:r>
            <w:r>
              <w:rPr>
                <w:sz w:val="18"/>
                <w:szCs w:val="18"/>
              </w:rPr>
              <w:t>Esquema de la clasificación de los encargos de aseguramiento.</w:t>
            </w:r>
          </w:p>
        </w:tc>
      </w:tr>
      <w:tr w:rsidR="00990B14" w14:paraId="30141791" w14:textId="77777777">
        <w:trPr>
          <w:cantSplit/>
          <w:jc w:val="center"/>
        </w:trPr>
        <w:tc>
          <w:tcPr>
            <w:tcW w:w="3133" w:type="dxa"/>
            <w:gridSpan w:val="4"/>
            <w:vMerge/>
            <w:shd w:val="clear" w:color="auto" w:fill="D9E2F3"/>
            <w:vAlign w:val="center"/>
          </w:tcPr>
          <w:p w14:paraId="406DD9F4" w14:textId="77777777" w:rsidR="00990B14" w:rsidRDefault="00990B14">
            <w:pPr>
              <w:spacing w:before="20" w:after="20"/>
            </w:pPr>
          </w:p>
        </w:tc>
        <w:tc>
          <w:tcPr>
            <w:tcW w:w="3135" w:type="dxa"/>
            <w:gridSpan w:val="5"/>
            <w:shd w:val="clear" w:color="auto" w:fill="D9E2F3"/>
            <w:vAlign w:val="center"/>
          </w:tcPr>
          <w:p w14:paraId="514F31B1" w14:textId="77777777" w:rsidR="00990B14" w:rsidRDefault="00000000">
            <w:pPr>
              <w:spacing w:before="20" w:after="20"/>
              <w:jc w:val="both"/>
            </w:pPr>
            <w:r>
              <w:rPr>
                <w:sz w:val="18"/>
                <w:szCs w:val="18"/>
              </w:rPr>
              <w:t>1.2 Explica en aula el rol del contador público frente a los desafíos de las organizaciones.</w:t>
            </w:r>
          </w:p>
        </w:tc>
        <w:tc>
          <w:tcPr>
            <w:tcW w:w="3137" w:type="dxa"/>
            <w:gridSpan w:val="4"/>
            <w:shd w:val="clear" w:color="auto" w:fill="D9E2F3"/>
            <w:vAlign w:val="center"/>
          </w:tcPr>
          <w:p w14:paraId="66323B26" w14:textId="77777777" w:rsidR="00990B14" w:rsidRDefault="00000000">
            <w:pPr>
              <w:spacing w:before="20" w:after="20"/>
              <w:jc w:val="both"/>
            </w:pPr>
            <w:r>
              <w:rPr>
                <w:b/>
                <w:bCs/>
                <w:sz w:val="18"/>
                <w:szCs w:val="18"/>
              </w:rPr>
              <w:t xml:space="preserve">Producto 6: </w:t>
            </w:r>
            <w:r>
              <w:rPr>
                <w:sz w:val="18"/>
                <w:szCs w:val="18"/>
              </w:rPr>
              <w:t>Ensayo sobre el rol del contador público en la evaluación de la gestión.</w:t>
            </w:r>
          </w:p>
        </w:tc>
      </w:tr>
      <w:tr w:rsidR="00990B14" w14:paraId="08210ED7" w14:textId="77777777">
        <w:trPr>
          <w:cantSplit/>
          <w:jc w:val="center"/>
        </w:trPr>
        <w:tc>
          <w:tcPr>
            <w:tcW w:w="3133" w:type="dxa"/>
            <w:gridSpan w:val="4"/>
            <w:vMerge w:val="restart"/>
            <w:shd w:val="clear" w:color="auto" w:fill="D9E2F3"/>
            <w:vAlign w:val="center"/>
          </w:tcPr>
          <w:p w14:paraId="0DD8EBB2" w14:textId="77777777" w:rsidR="00990B14" w:rsidRDefault="00000000">
            <w:pPr>
              <w:spacing w:before="20" w:after="20"/>
              <w:jc w:val="both"/>
            </w:pPr>
            <w:r>
              <w:rPr>
                <w:sz w:val="18"/>
                <w:szCs w:val="18"/>
              </w:rPr>
              <w:t>2. Relaciona las normas de auditoría interna con el desarrollo de la auditoría operativa.</w:t>
            </w:r>
          </w:p>
        </w:tc>
        <w:tc>
          <w:tcPr>
            <w:tcW w:w="3135" w:type="dxa"/>
            <w:gridSpan w:val="5"/>
            <w:shd w:val="clear" w:color="auto" w:fill="D9E2F3"/>
            <w:vAlign w:val="center"/>
          </w:tcPr>
          <w:p w14:paraId="55D6D338" w14:textId="77777777" w:rsidR="00990B14" w:rsidRDefault="00000000">
            <w:pPr>
              <w:spacing w:before="20" w:after="20"/>
              <w:jc w:val="both"/>
            </w:pPr>
            <w:r>
              <w:rPr>
                <w:sz w:val="18"/>
                <w:szCs w:val="18"/>
              </w:rPr>
              <w:t>2.1 Compara en equipo las Normas Globales de Auditoría Interna con las normas que reemplazan.</w:t>
            </w:r>
          </w:p>
        </w:tc>
        <w:tc>
          <w:tcPr>
            <w:tcW w:w="3137" w:type="dxa"/>
            <w:gridSpan w:val="4"/>
            <w:shd w:val="clear" w:color="auto" w:fill="D9E2F3"/>
            <w:vAlign w:val="center"/>
          </w:tcPr>
          <w:p w14:paraId="2D71F718" w14:textId="77777777" w:rsidR="00990B14" w:rsidRDefault="00000000">
            <w:pPr>
              <w:spacing w:before="20" w:after="20"/>
              <w:jc w:val="both"/>
            </w:pPr>
            <w:r>
              <w:rPr>
                <w:b/>
                <w:bCs/>
                <w:sz w:val="18"/>
                <w:szCs w:val="18"/>
              </w:rPr>
              <w:t xml:space="preserve">Producto 7: </w:t>
            </w:r>
            <w:r>
              <w:rPr>
                <w:sz w:val="18"/>
                <w:szCs w:val="18"/>
              </w:rPr>
              <w:t>Cuadro comparativo de las normas de auditoría interna.</w:t>
            </w:r>
          </w:p>
        </w:tc>
      </w:tr>
      <w:tr w:rsidR="00990B14" w14:paraId="6088FC06" w14:textId="77777777">
        <w:trPr>
          <w:cantSplit/>
          <w:jc w:val="center"/>
        </w:trPr>
        <w:tc>
          <w:tcPr>
            <w:tcW w:w="3133" w:type="dxa"/>
            <w:gridSpan w:val="4"/>
            <w:vMerge/>
            <w:shd w:val="clear" w:color="auto" w:fill="D9E2F3"/>
            <w:vAlign w:val="center"/>
          </w:tcPr>
          <w:p w14:paraId="77430DA4" w14:textId="77777777" w:rsidR="00990B14" w:rsidRDefault="00990B14">
            <w:pPr>
              <w:spacing w:before="20" w:after="20"/>
            </w:pPr>
          </w:p>
        </w:tc>
        <w:tc>
          <w:tcPr>
            <w:tcW w:w="3135" w:type="dxa"/>
            <w:gridSpan w:val="5"/>
            <w:shd w:val="clear" w:color="auto" w:fill="D9E2F3"/>
            <w:vAlign w:val="center"/>
          </w:tcPr>
          <w:p w14:paraId="626F4DFA" w14:textId="77777777" w:rsidR="00990B14" w:rsidRDefault="00000000">
            <w:pPr>
              <w:spacing w:before="20" w:after="20"/>
              <w:jc w:val="both"/>
            </w:pPr>
            <w:r>
              <w:rPr>
                <w:sz w:val="18"/>
                <w:szCs w:val="18"/>
              </w:rPr>
              <w:t>2.2 Analiza en aula la independencia y la objetividad del auditor interno.</w:t>
            </w:r>
          </w:p>
        </w:tc>
        <w:tc>
          <w:tcPr>
            <w:tcW w:w="3137" w:type="dxa"/>
            <w:gridSpan w:val="4"/>
            <w:shd w:val="clear" w:color="auto" w:fill="D9E2F3"/>
            <w:vAlign w:val="center"/>
          </w:tcPr>
          <w:p w14:paraId="630F6455" w14:textId="77777777" w:rsidR="00990B14" w:rsidRDefault="00000000">
            <w:pPr>
              <w:spacing w:before="20" w:after="20"/>
              <w:jc w:val="both"/>
            </w:pPr>
            <w:r>
              <w:rPr>
                <w:b/>
                <w:bCs/>
                <w:sz w:val="18"/>
                <w:szCs w:val="18"/>
              </w:rPr>
              <w:t xml:space="preserve">Producto 8: </w:t>
            </w:r>
            <w:r>
              <w:rPr>
                <w:sz w:val="18"/>
                <w:szCs w:val="18"/>
              </w:rPr>
              <w:t>Informe del caso de independencia y objetividad del auditor interno.</w:t>
            </w:r>
          </w:p>
        </w:tc>
      </w:tr>
      <w:tr w:rsidR="00990B14" w14:paraId="6F703C15" w14:textId="77777777">
        <w:trPr>
          <w:cantSplit/>
          <w:jc w:val="center"/>
        </w:trPr>
        <w:tc>
          <w:tcPr>
            <w:tcW w:w="9405" w:type="dxa"/>
            <w:gridSpan w:val="13"/>
            <w:shd w:val="clear" w:color="auto" w:fill="4472C4"/>
            <w:vAlign w:val="center"/>
          </w:tcPr>
          <w:p w14:paraId="023968A5" w14:textId="77777777" w:rsidR="00990B14" w:rsidRDefault="00000000">
            <w:pPr>
              <w:keepNext/>
              <w:spacing w:before="20" w:after="20"/>
              <w:jc w:val="center"/>
            </w:pPr>
            <w:r>
              <w:rPr>
                <w:b/>
                <w:bCs/>
                <w:i/>
                <w:iCs/>
                <w:color w:val="FFFFFF"/>
                <w:sz w:val="18"/>
                <w:szCs w:val="18"/>
              </w:rPr>
              <w:t>Evidencias de conocimiento</w:t>
            </w:r>
          </w:p>
        </w:tc>
      </w:tr>
      <w:tr w:rsidR="00990B14" w14:paraId="09436DFD" w14:textId="77777777">
        <w:trPr>
          <w:cantSplit/>
          <w:jc w:val="center"/>
        </w:trPr>
        <w:tc>
          <w:tcPr>
            <w:tcW w:w="2349" w:type="dxa"/>
            <w:gridSpan w:val="2"/>
            <w:shd w:val="clear" w:color="auto" w:fill="4472C4"/>
            <w:vAlign w:val="center"/>
          </w:tcPr>
          <w:p w14:paraId="3FBDF009"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74AE6428" w14:textId="77777777" w:rsidR="00990B14" w:rsidRDefault="00000000">
            <w:pPr>
              <w:keepNext/>
              <w:spacing w:before="20" w:after="20"/>
              <w:jc w:val="both"/>
            </w:pPr>
            <w:r>
              <w:rPr>
                <w:b/>
                <w:bCs/>
                <w:i/>
                <w:iCs/>
                <w:color w:val="FFFFFF"/>
                <w:sz w:val="18"/>
                <w:szCs w:val="18"/>
              </w:rPr>
              <w:t>Contenidos</w:t>
            </w:r>
          </w:p>
          <w:p w14:paraId="61453908"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37A9D454" w14:textId="77777777" w:rsidR="00990B14" w:rsidRDefault="00000000">
            <w:pPr>
              <w:keepNext/>
              <w:spacing w:before="20" w:after="20"/>
              <w:jc w:val="center"/>
            </w:pPr>
            <w:r>
              <w:rPr>
                <w:b/>
                <w:bCs/>
                <w:i/>
                <w:iCs/>
                <w:color w:val="FFFFFF"/>
                <w:sz w:val="18"/>
                <w:szCs w:val="18"/>
              </w:rPr>
              <w:t>Conocimientos circunstanciales</w:t>
            </w:r>
          </w:p>
        </w:tc>
      </w:tr>
      <w:tr w:rsidR="00990B14" w14:paraId="16692A9F" w14:textId="77777777">
        <w:trPr>
          <w:jc w:val="center"/>
        </w:trPr>
        <w:tc>
          <w:tcPr>
            <w:tcW w:w="2349" w:type="dxa"/>
            <w:gridSpan w:val="2"/>
            <w:shd w:val="clear" w:color="auto" w:fill="D9E2F3"/>
          </w:tcPr>
          <w:p w14:paraId="7ADF43B8" w14:textId="77777777" w:rsidR="00990B14" w:rsidRDefault="00000000">
            <w:pPr>
              <w:spacing w:before="20" w:after="40"/>
              <w:jc w:val="both"/>
            </w:pPr>
            <w:r>
              <w:rPr>
                <w:sz w:val="18"/>
                <w:szCs w:val="18"/>
              </w:rPr>
              <w:t>Tema 5: Papel del auditor en la economía y las finanzas</w:t>
            </w:r>
          </w:p>
          <w:p w14:paraId="6235EE9D" w14:textId="77777777" w:rsidR="00990B14" w:rsidRDefault="00000000">
            <w:pPr>
              <w:spacing w:before="20" w:after="40"/>
              <w:jc w:val="both"/>
            </w:pPr>
            <w:r>
              <w:rPr>
                <w:sz w:val="18"/>
                <w:szCs w:val="18"/>
              </w:rPr>
              <w:t>Tema 6: La auditoría interna y la auditoría operacional</w:t>
            </w:r>
          </w:p>
        </w:tc>
        <w:tc>
          <w:tcPr>
            <w:tcW w:w="4304" w:type="dxa"/>
            <w:gridSpan w:val="8"/>
            <w:shd w:val="clear" w:color="auto" w:fill="D9E2F3"/>
          </w:tcPr>
          <w:p w14:paraId="4A0FF824" w14:textId="77777777" w:rsidR="00990B14" w:rsidRDefault="00000000">
            <w:pPr>
              <w:spacing w:after="40"/>
              <w:jc w:val="both"/>
            </w:pPr>
            <w:r>
              <w:rPr>
                <w:sz w:val="18"/>
                <w:szCs w:val="18"/>
              </w:rPr>
              <w:t>La función de aseguramiento y el desarrollo histórico de la auditoría; la profesión de la contaduría pública y la clasificación técnica de los encargos de aseguramiento; nociones de consultoría de gestión y servicios de asesoramiento a la dirección. (C)</w:t>
            </w:r>
          </w:p>
          <w:p w14:paraId="61AF67A0" w14:textId="77777777" w:rsidR="00990B14" w:rsidRDefault="00000000">
            <w:pPr>
              <w:spacing w:after="40"/>
              <w:jc w:val="both"/>
            </w:pPr>
            <w:r>
              <w:rPr>
                <w:sz w:val="18"/>
                <w:szCs w:val="18"/>
              </w:rPr>
              <w:t>Definición, objetivos y evolución de la auditoría interna; el Marco Internacional para la Práctica Profesional de la Auditoría Interna (IPPF) y sus normas sobre atributos y desempeño. (C)</w:t>
            </w:r>
          </w:p>
          <w:p w14:paraId="21274A35" w14:textId="77777777" w:rsidR="00990B14" w:rsidRDefault="00000000">
            <w:pPr>
              <w:spacing w:after="40"/>
              <w:jc w:val="both"/>
            </w:pPr>
            <w:r>
              <w:rPr>
                <w:sz w:val="18"/>
                <w:szCs w:val="18"/>
              </w:rPr>
              <w:t>Análisis detallado de las Normas Globales emitidas por el Instituto de Auditores Internos (IIA), comprendiendo sus cinco dominios y quince principios. (C)</w:t>
            </w:r>
          </w:p>
          <w:p w14:paraId="7B568800" w14:textId="77777777" w:rsidR="00990B14" w:rsidRDefault="00000000">
            <w:pPr>
              <w:spacing w:after="40"/>
              <w:jc w:val="both"/>
            </w:pPr>
            <w:r>
              <w:rPr>
                <w:sz w:val="18"/>
                <w:szCs w:val="18"/>
              </w:rPr>
              <w:t>Rol del auditor interno en el desarrollo y soporte de la auditoría operativa; diferenciación conceptual entre la independencia organizacional y la objetividad individual del auditor interno frente a la independencia del auditor externo. (C)</w:t>
            </w:r>
          </w:p>
          <w:p w14:paraId="41AC6368" w14:textId="77777777" w:rsidR="00990B14" w:rsidRDefault="00000000">
            <w:pPr>
              <w:spacing w:after="40"/>
              <w:jc w:val="both"/>
            </w:pPr>
            <w:r>
              <w:rPr>
                <w:sz w:val="18"/>
                <w:szCs w:val="18"/>
              </w:rPr>
              <w:t>Análisis metodológico de situaciones prácticas orientadas a identificar amenazas, salvaguardas y dilemas éticos vinculados a la actuación del auditor interno en las organizaciones. (P)</w:t>
            </w:r>
          </w:p>
          <w:p w14:paraId="0D6E6CEB" w14:textId="77777777" w:rsidR="00990B14" w:rsidRDefault="00000000">
            <w:pPr>
              <w:spacing w:after="40"/>
              <w:jc w:val="both"/>
            </w:pPr>
            <w:r>
              <w:rPr>
                <w:sz w:val="18"/>
                <w:szCs w:val="18"/>
              </w:rPr>
              <w:t>Redacción de análisis críticos sobre el rol del contador público y estructuración de informes derivados de casos de estudio sobre gobernanza y auditoría. (P)</w:t>
            </w:r>
          </w:p>
          <w:p w14:paraId="60552892" w14:textId="77777777" w:rsidR="00990B14" w:rsidRDefault="00000000">
            <w:pPr>
              <w:spacing w:after="40"/>
              <w:jc w:val="both"/>
            </w:pPr>
            <w:r>
              <w:rPr>
                <w:sz w:val="18"/>
                <w:szCs w:val="18"/>
              </w:rPr>
              <w:t>Asunción de una postura ética y responsable frente a los desafíos actuales de las organizaciones públicas y privadas. (A)</w:t>
            </w:r>
          </w:p>
          <w:p w14:paraId="3E024188" w14:textId="77777777" w:rsidR="00990B14" w:rsidRDefault="00000000">
            <w:pPr>
              <w:spacing w:after="40"/>
              <w:jc w:val="both"/>
            </w:pPr>
            <w:r>
              <w:rPr>
                <w:sz w:val="18"/>
                <w:szCs w:val="18"/>
              </w:rPr>
              <w:t>Consciencia crítica sobre la importancia de la integridad, la independencia organizacional y la objetividad individual en el ejercicio de la auditoría operativa. (A)</w:t>
            </w:r>
          </w:p>
          <w:p w14:paraId="7798C5BC" w14:textId="77777777" w:rsidR="00990B14" w:rsidRDefault="00000000">
            <w:pPr>
              <w:spacing w:after="40"/>
              <w:jc w:val="both"/>
            </w:pPr>
            <w:r>
              <w:rPr>
                <w:sz w:val="18"/>
                <w:szCs w:val="18"/>
              </w:rPr>
              <w:t>Utilización eficiente de plataformas y repositorios digitales especializados (como los portales normativos del IIA y reguladores profesionales) para la consulta de estándares internacionales. (T)</w:t>
            </w:r>
          </w:p>
          <w:p w14:paraId="3AE6BA81" w14:textId="77777777" w:rsidR="00990B14" w:rsidRDefault="00000000">
            <w:pPr>
              <w:spacing w:after="40"/>
              <w:jc w:val="both"/>
            </w:pPr>
            <w:r>
              <w:rPr>
                <w:sz w:val="18"/>
                <w:szCs w:val="18"/>
              </w:rPr>
              <w:t>Emplear entornos digitales y recursos tecnológicos colaborativos para el procesamiento de casos de estudio normativos, la esquematización de marcos y la presentación de reportes analíticos. (T)</w:t>
            </w:r>
          </w:p>
        </w:tc>
        <w:tc>
          <w:tcPr>
            <w:tcW w:w="2752" w:type="dxa"/>
            <w:gridSpan w:val="3"/>
            <w:shd w:val="clear" w:color="auto" w:fill="D9E2F3"/>
          </w:tcPr>
          <w:p w14:paraId="408DAE6C" w14:textId="77777777" w:rsidR="00990B14" w:rsidRDefault="00000000">
            <w:pPr>
              <w:numPr>
                <w:ilvl w:val="0"/>
                <w:numId w:val="139"/>
              </w:numPr>
              <w:spacing w:before="10" w:after="10"/>
              <w:jc w:val="both"/>
            </w:pPr>
            <w:r>
              <w:rPr>
                <w:sz w:val="18"/>
                <w:szCs w:val="18"/>
              </w:rPr>
              <w:t>Nociones de consultoría de gestión y de los servicios de asesoramiento a la dirección.</w:t>
            </w:r>
          </w:p>
        </w:tc>
      </w:tr>
      <w:tr w:rsidR="00990B14" w14:paraId="771E2DA3" w14:textId="77777777">
        <w:trPr>
          <w:cantSplit/>
          <w:jc w:val="center"/>
        </w:trPr>
        <w:tc>
          <w:tcPr>
            <w:tcW w:w="9405" w:type="dxa"/>
            <w:gridSpan w:val="13"/>
            <w:shd w:val="clear" w:color="auto" w:fill="D9E2F3"/>
            <w:vAlign w:val="center"/>
          </w:tcPr>
          <w:p w14:paraId="5B94D0E1" w14:textId="77777777" w:rsidR="00990B14" w:rsidRDefault="00000000">
            <w:pPr>
              <w:spacing w:before="20" w:after="20"/>
              <w:jc w:val="both"/>
            </w:pPr>
            <w:r>
              <w:rPr>
                <w:b/>
                <w:bCs/>
                <w:i/>
                <w:iCs/>
                <w:sz w:val="18"/>
                <w:szCs w:val="18"/>
              </w:rPr>
              <w:t xml:space="preserve">Elemento de competencia 3: </w:t>
            </w:r>
            <w:r>
              <w:rPr>
                <w:sz w:val="18"/>
                <w:szCs w:val="18"/>
              </w:rPr>
              <w:t>Evalúa el control interno y el riesgo organizacional conforme a los pronunciamientos profesionales de auditoría operativa, aplicando el Modelo COSO y considerando los principios del gobierno corporativo.</w:t>
            </w:r>
          </w:p>
        </w:tc>
      </w:tr>
      <w:tr w:rsidR="00990B14" w14:paraId="755E20D2" w14:textId="77777777">
        <w:trPr>
          <w:cantSplit/>
          <w:jc w:val="center"/>
        </w:trPr>
        <w:tc>
          <w:tcPr>
            <w:tcW w:w="3133" w:type="dxa"/>
            <w:gridSpan w:val="4"/>
            <w:shd w:val="clear" w:color="auto" w:fill="4472C4"/>
            <w:vAlign w:val="center"/>
          </w:tcPr>
          <w:p w14:paraId="5BC9C79D"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66FBC68C"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63FCD401" w14:textId="77777777" w:rsidR="00990B14" w:rsidRDefault="00000000">
            <w:pPr>
              <w:keepNext/>
              <w:spacing w:before="20" w:after="20"/>
              <w:jc w:val="center"/>
            </w:pPr>
            <w:r>
              <w:rPr>
                <w:b/>
                <w:bCs/>
                <w:i/>
                <w:iCs/>
                <w:color w:val="FFFFFF"/>
                <w:sz w:val="18"/>
                <w:szCs w:val="18"/>
              </w:rPr>
              <w:t>Evidencias de producto</w:t>
            </w:r>
          </w:p>
        </w:tc>
      </w:tr>
      <w:tr w:rsidR="00990B14" w14:paraId="2A48081C" w14:textId="77777777">
        <w:trPr>
          <w:cantSplit/>
          <w:jc w:val="center"/>
        </w:trPr>
        <w:tc>
          <w:tcPr>
            <w:tcW w:w="3133" w:type="dxa"/>
            <w:gridSpan w:val="4"/>
            <w:vMerge w:val="restart"/>
            <w:shd w:val="clear" w:color="auto" w:fill="D9E2F3"/>
            <w:vAlign w:val="center"/>
          </w:tcPr>
          <w:p w14:paraId="371E1F29" w14:textId="77777777" w:rsidR="00990B14" w:rsidRDefault="00000000">
            <w:pPr>
              <w:spacing w:before="20" w:after="20"/>
              <w:jc w:val="both"/>
            </w:pPr>
            <w:r>
              <w:rPr>
                <w:sz w:val="18"/>
                <w:szCs w:val="18"/>
              </w:rPr>
              <w:t>1. Aplica los pronunciamientos profesionales y la metodología de la auditoría operativa en la obtención de la evidencia.</w:t>
            </w:r>
          </w:p>
        </w:tc>
        <w:tc>
          <w:tcPr>
            <w:tcW w:w="3135" w:type="dxa"/>
            <w:gridSpan w:val="5"/>
            <w:shd w:val="clear" w:color="auto" w:fill="D9E2F3"/>
            <w:vAlign w:val="center"/>
          </w:tcPr>
          <w:p w14:paraId="199E3FF0" w14:textId="77777777" w:rsidR="00990B14" w:rsidRDefault="00000000">
            <w:pPr>
              <w:spacing w:before="20" w:after="20"/>
              <w:jc w:val="both"/>
            </w:pPr>
            <w:r>
              <w:rPr>
                <w:sz w:val="18"/>
                <w:szCs w:val="18"/>
              </w:rPr>
              <w:t>1.1 Clasifica en equipo las normas aplicables a una auditoría operativa en el sector público y en el privado.</w:t>
            </w:r>
          </w:p>
        </w:tc>
        <w:tc>
          <w:tcPr>
            <w:tcW w:w="3137" w:type="dxa"/>
            <w:gridSpan w:val="4"/>
            <w:shd w:val="clear" w:color="auto" w:fill="D9E2F3"/>
            <w:vAlign w:val="center"/>
          </w:tcPr>
          <w:p w14:paraId="67079E12" w14:textId="77777777" w:rsidR="00990B14" w:rsidRDefault="00000000">
            <w:pPr>
              <w:spacing w:before="20" w:after="20"/>
              <w:jc w:val="both"/>
            </w:pPr>
            <w:r>
              <w:rPr>
                <w:b/>
                <w:bCs/>
                <w:sz w:val="18"/>
                <w:szCs w:val="18"/>
              </w:rPr>
              <w:t xml:space="preserve">Producto 9: </w:t>
            </w:r>
            <w:r>
              <w:rPr>
                <w:sz w:val="18"/>
                <w:szCs w:val="18"/>
              </w:rPr>
              <w:t>Cuadro de pronunciamientos profesionales aplicables a la auditoría operativa.</w:t>
            </w:r>
          </w:p>
        </w:tc>
      </w:tr>
      <w:tr w:rsidR="00990B14" w14:paraId="2E6A2FE6" w14:textId="77777777">
        <w:trPr>
          <w:cantSplit/>
          <w:jc w:val="center"/>
        </w:trPr>
        <w:tc>
          <w:tcPr>
            <w:tcW w:w="3133" w:type="dxa"/>
            <w:gridSpan w:val="4"/>
            <w:vMerge/>
            <w:shd w:val="clear" w:color="auto" w:fill="D9E2F3"/>
            <w:vAlign w:val="center"/>
          </w:tcPr>
          <w:p w14:paraId="286BDF68" w14:textId="77777777" w:rsidR="00990B14" w:rsidRDefault="00990B14">
            <w:pPr>
              <w:spacing w:before="20" w:after="20"/>
            </w:pPr>
          </w:p>
        </w:tc>
        <w:tc>
          <w:tcPr>
            <w:tcW w:w="3135" w:type="dxa"/>
            <w:gridSpan w:val="5"/>
            <w:shd w:val="clear" w:color="auto" w:fill="D9E2F3"/>
            <w:vAlign w:val="center"/>
          </w:tcPr>
          <w:p w14:paraId="4D666C53" w14:textId="77777777" w:rsidR="00990B14" w:rsidRDefault="00000000">
            <w:pPr>
              <w:spacing w:before="20" w:after="20"/>
              <w:jc w:val="both"/>
            </w:pPr>
            <w:r>
              <w:rPr>
                <w:sz w:val="18"/>
                <w:szCs w:val="18"/>
              </w:rPr>
              <w:t>1.2 Selecciona en aula los métodos y las técnicas para obtener evidencia.</w:t>
            </w:r>
          </w:p>
        </w:tc>
        <w:tc>
          <w:tcPr>
            <w:tcW w:w="3137" w:type="dxa"/>
            <w:gridSpan w:val="4"/>
            <w:shd w:val="clear" w:color="auto" w:fill="D9E2F3"/>
            <w:vAlign w:val="center"/>
          </w:tcPr>
          <w:p w14:paraId="6D569A4B" w14:textId="77777777" w:rsidR="00990B14" w:rsidRDefault="00000000">
            <w:pPr>
              <w:spacing w:before="20" w:after="20"/>
              <w:jc w:val="both"/>
            </w:pPr>
            <w:r>
              <w:rPr>
                <w:b/>
                <w:bCs/>
                <w:sz w:val="18"/>
                <w:szCs w:val="18"/>
              </w:rPr>
              <w:t xml:space="preserve">Producto 10: </w:t>
            </w:r>
            <w:r>
              <w:rPr>
                <w:sz w:val="18"/>
                <w:szCs w:val="18"/>
              </w:rPr>
              <w:t>Matriz de técnicas de obtención de evidencia del caso.</w:t>
            </w:r>
          </w:p>
        </w:tc>
      </w:tr>
      <w:tr w:rsidR="00990B14" w14:paraId="590DAD00" w14:textId="77777777">
        <w:trPr>
          <w:cantSplit/>
          <w:jc w:val="center"/>
        </w:trPr>
        <w:tc>
          <w:tcPr>
            <w:tcW w:w="3133" w:type="dxa"/>
            <w:gridSpan w:val="4"/>
            <w:vMerge w:val="restart"/>
            <w:shd w:val="clear" w:color="auto" w:fill="D9E2F3"/>
            <w:vAlign w:val="center"/>
          </w:tcPr>
          <w:p w14:paraId="3ABC5FC0" w14:textId="77777777" w:rsidR="00990B14" w:rsidRDefault="00000000">
            <w:pPr>
              <w:spacing w:before="20" w:after="20"/>
              <w:jc w:val="both"/>
            </w:pPr>
            <w:r>
              <w:rPr>
                <w:sz w:val="18"/>
                <w:szCs w:val="18"/>
              </w:rPr>
              <w:t>2. Evalúa el control interno con el Modelo COSO y la gestión de riesgos de la organización.</w:t>
            </w:r>
          </w:p>
        </w:tc>
        <w:tc>
          <w:tcPr>
            <w:tcW w:w="3135" w:type="dxa"/>
            <w:gridSpan w:val="5"/>
            <w:shd w:val="clear" w:color="auto" w:fill="D9E2F3"/>
            <w:vAlign w:val="center"/>
          </w:tcPr>
          <w:p w14:paraId="67B21061" w14:textId="77777777" w:rsidR="00990B14" w:rsidRDefault="00000000">
            <w:pPr>
              <w:spacing w:before="20" w:after="20"/>
              <w:jc w:val="both"/>
            </w:pPr>
            <w:r>
              <w:rPr>
                <w:sz w:val="18"/>
                <w:szCs w:val="18"/>
              </w:rPr>
              <w:t>2.1 Evalúa en equipo los componentes y principios del Modelo COSO en una entidad.</w:t>
            </w:r>
          </w:p>
        </w:tc>
        <w:tc>
          <w:tcPr>
            <w:tcW w:w="3137" w:type="dxa"/>
            <w:gridSpan w:val="4"/>
            <w:shd w:val="clear" w:color="auto" w:fill="D9E2F3"/>
            <w:vAlign w:val="center"/>
          </w:tcPr>
          <w:p w14:paraId="352B4BF4" w14:textId="77777777" w:rsidR="00990B14" w:rsidRDefault="00000000">
            <w:pPr>
              <w:spacing w:before="20" w:after="20"/>
              <w:jc w:val="both"/>
            </w:pPr>
            <w:r>
              <w:rPr>
                <w:b/>
                <w:bCs/>
                <w:sz w:val="18"/>
                <w:szCs w:val="18"/>
              </w:rPr>
              <w:t xml:space="preserve">Producto 11: </w:t>
            </w:r>
            <w:r>
              <w:rPr>
                <w:sz w:val="18"/>
                <w:szCs w:val="18"/>
              </w:rPr>
              <w:t>Cuestionario y evaluación del control interno con el Modelo COSO.</w:t>
            </w:r>
          </w:p>
        </w:tc>
      </w:tr>
      <w:tr w:rsidR="00990B14" w14:paraId="0013B38A" w14:textId="77777777">
        <w:trPr>
          <w:cantSplit/>
          <w:jc w:val="center"/>
        </w:trPr>
        <w:tc>
          <w:tcPr>
            <w:tcW w:w="3133" w:type="dxa"/>
            <w:gridSpan w:val="4"/>
            <w:vMerge/>
            <w:shd w:val="clear" w:color="auto" w:fill="D9E2F3"/>
            <w:vAlign w:val="center"/>
          </w:tcPr>
          <w:p w14:paraId="7CB2BF46" w14:textId="77777777" w:rsidR="00990B14" w:rsidRDefault="00990B14">
            <w:pPr>
              <w:spacing w:before="20" w:after="20"/>
            </w:pPr>
          </w:p>
        </w:tc>
        <w:tc>
          <w:tcPr>
            <w:tcW w:w="3135" w:type="dxa"/>
            <w:gridSpan w:val="5"/>
            <w:shd w:val="clear" w:color="auto" w:fill="D9E2F3"/>
            <w:vAlign w:val="center"/>
          </w:tcPr>
          <w:p w14:paraId="7060DE4E" w14:textId="77777777" w:rsidR="00990B14" w:rsidRDefault="00000000">
            <w:pPr>
              <w:spacing w:before="20" w:after="20"/>
              <w:jc w:val="both"/>
            </w:pPr>
            <w:r>
              <w:rPr>
                <w:sz w:val="18"/>
                <w:szCs w:val="18"/>
              </w:rPr>
              <w:t>2.2 Elabora en aula el mapa de riesgos de un proceso con su probabilidad e impacto.</w:t>
            </w:r>
          </w:p>
        </w:tc>
        <w:tc>
          <w:tcPr>
            <w:tcW w:w="3137" w:type="dxa"/>
            <w:gridSpan w:val="4"/>
            <w:shd w:val="clear" w:color="auto" w:fill="D9E2F3"/>
            <w:vAlign w:val="center"/>
          </w:tcPr>
          <w:p w14:paraId="4F3D5C88" w14:textId="77777777" w:rsidR="00990B14" w:rsidRDefault="00000000">
            <w:pPr>
              <w:spacing w:before="20" w:after="20"/>
              <w:jc w:val="both"/>
            </w:pPr>
            <w:r>
              <w:rPr>
                <w:b/>
                <w:bCs/>
                <w:sz w:val="18"/>
                <w:szCs w:val="18"/>
              </w:rPr>
              <w:t xml:space="preserve">Producto 12: </w:t>
            </w:r>
            <w:r>
              <w:rPr>
                <w:sz w:val="18"/>
                <w:szCs w:val="18"/>
              </w:rPr>
              <w:t>Mapa de riesgos del proceso conforme a la ISO 31000.</w:t>
            </w:r>
          </w:p>
        </w:tc>
      </w:tr>
      <w:tr w:rsidR="00990B14" w14:paraId="0FD93669" w14:textId="77777777">
        <w:trPr>
          <w:cantSplit/>
          <w:jc w:val="center"/>
        </w:trPr>
        <w:tc>
          <w:tcPr>
            <w:tcW w:w="9405" w:type="dxa"/>
            <w:gridSpan w:val="13"/>
            <w:shd w:val="clear" w:color="auto" w:fill="4472C4"/>
            <w:vAlign w:val="center"/>
          </w:tcPr>
          <w:p w14:paraId="0EDB585A" w14:textId="77777777" w:rsidR="00990B14" w:rsidRDefault="00000000">
            <w:pPr>
              <w:keepNext/>
              <w:spacing w:before="20" w:after="20"/>
              <w:jc w:val="center"/>
            </w:pPr>
            <w:r>
              <w:rPr>
                <w:b/>
                <w:bCs/>
                <w:i/>
                <w:iCs/>
                <w:color w:val="FFFFFF"/>
                <w:sz w:val="18"/>
                <w:szCs w:val="18"/>
              </w:rPr>
              <w:t>Evidencias de conocimiento</w:t>
            </w:r>
          </w:p>
        </w:tc>
      </w:tr>
      <w:tr w:rsidR="00990B14" w14:paraId="1523D691" w14:textId="77777777">
        <w:trPr>
          <w:cantSplit/>
          <w:jc w:val="center"/>
        </w:trPr>
        <w:tc>
          <w:tcPr>
            <w:tcW w:w="2349" w:type="dxa"/>
            <w:gridSpan w:val="2"/>
            <w:shd w:val="clear" w:color="auto" w:fill="4472C4"/>
            <w:vAlign w:val="center"/>
          </w:tcPr>
          <w:p w14:paraId="1B0926BE"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49200B14" w14:textId="77777777" w:rsidR="00990B14" w:rsidRDefault="00000000">
            <w:pPr>
              <w:keepNext/>
              <w:spacing w:before="20" w:after="20"/>
              <w:jc w:val="both"/>
            </w:pPr>
            <w:r>
              <w:rPr>
                <w:b/>
                <w:bCs/>
                <w:i/>
                <w:iCs/>
                <w:color w:val="FFFFFF"/>
                <w:sz w:val="18"/>
                <w:szCs w:val="18"/>
              </w:rPr>
              <w:t>Contenidos</w:t>
            </w:r>
          </w:p>
          <w:p w14:paraId="6D55CD8A"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0FBB07B8" w14:textId="77777777" w:rsidR="00990B14" w:rsidRDefault="00000000">
            <w:pPr>
              <w:keepNext/>
              <w:spacing w:before="20" w:after="20"/>
              <w:jc w:val="center"/>
            </w:pPr>
            <w:r>
              <w:rPr>
                <w:b/>
                <w:bCs/>
                <w:i/>
                <w:iCs/>
                <w:color w:val="FFFFFF"/>
                <w:sz w:val="18"/>
                <w:szCs w:val="18"/>
              </w:rPr>
              <w:t>Conocimientos circunstanciales</w:t>
            </w:r>
          </w:p>
        </w:tc>
      </w:tr>
      <w:tr w:rsidR="00990B14" w14:paraId="3F3E900E" w14:textId="77777777">
        <w:trPr>
          <w:jc w:val="center"/>
        </w:trPr>
        <w:tc>
          <w:tcPr>
            <w:tcW w:w="2349" w:type="dxa"/>
            <w:gridSpan w:val="2"/>
            <w:shd w:val="clear" w:color="auto" w:fill="D9E2F3"/>
          </w:tcPr>
          <w:p w14:paraId="1AEB3F69" w14:textId="77777777" w:rsidR="00990B14" w:rsidRDefault="00000000">
            <w:pPr>
              <w:spacing w:before="20" w:after="40"/>
              <w:jc w:val="both"/>
            </w:pPr>
            <w:r>
              <w:rPr>
                <w:sz w:val="18"/>
                <w:szCs w:val="18"/>
              </w:rPr>
              <w:t>Tema 7: Normas profesionales para la realización de la auditoría operativa</w:t>
            </w:r>
          </w:p>
          <w:p w14:paraId="4DEC649A" w14:textId="77777777" w:rsidR="00990B14" w:rsidRDefault="00000000">
            <w:pPr>
              <w:spacing w:before="20" w:after="40"/>
              <w:jc w:val="both"/>
            </w:pPr>
            <w:r>
              <w:rPr>
                <w:sz w:val="18"/>
                <w:szCs w:val="18"/>
              </w:rPr>
              <w:t>Tema 8: Fundamentos de auditoría operativa</w:t>
            </w:r>
          </w:p>
          <w:p w14:paraId="00DC5066" w14:textId="77777777" w:rsidR="00990B14" w:rsidRDefault="00000000">
            <w:pPr>
              <w:spacing w:before="20" w:after="40"/>
              <w:jc w:val="both"/>
            </w:pPr>
            <w:r>
              <w:rPr>
                <w:sz w:val="18"/>
                <w:szCs w:val="18"/>
              </w:rPr>
              <w:t>Tema 9: La realización de actividades en la auditoría operacional</w:t>
            </w:r>
          </w:p>
          <w:p w14:paraId="1F05147A" w14:textId="77777777" w:rsidR="00990B14" w:rsidRDefault="00000000">
            <w:pPr>
              <w:spacing w:before="20" w:after="40"/>
              <w:jc w:val="both"/>
            </w:pPr>
            <w:r>
              <w:rPr>
                <w:sz w:val="18"/>
                <w:szCs w:val="18"/>
              </w:rPr>
              <w:t>Tema 10: Gobierno corporativo</w:t>
            </w:r>
          </w:p>
          <w:p w14:paraId="20EF415F" w14:textId="77777777" w:rsidR="00990B14" w:rsidRDefault="00000000">
            <w:pPr>
              <w:spacing w:before="20" w:after="40"/>
              <w:jc w:val="both"/>
            </w:pPr>
            <w:r>
              <w:rPr>
                <w:sz w:val="18"/>
                <w:szCs w:val="18"/>
              </w:rPr>
              <w:t>Tema 11: Marco integrado de control interno</w:t>
            </w:r>
          </w:p>
          <w:p w14:paraId="15ABAF92" w14:textId="77777777" w:rsidR="00990B14" w:rsidRDefault="00000000">
            <w:pPr>
              <w:spacing w:before="20" w:after="40"/>
              <w:jc w:val="both"/>
            </w:pPr>
            <w:r>
              <w:rPr>
                <w:sz w:val="18"/>
                <w:szCs w:val="18"/>
              </w:rPr>
              <w:t>Tema 12: Gestión de riesgo organizacional</w:t>
            </w:r>
          </w:p>
        </w:tc>
        <w:tc>
          <w:tcPr>
            <w:tcW w:w="4304" w:type="dxa"/>
            <w:gridSpan w:val="8"/>
            <w:shd w:val="clear" w:color="auto" w:fill="D9E2F3"/>
          </w:tcPr>
          <w:p w14:paraId="767B2BE5" w14:textId="77777777" w:rsidR="00990B14" w:rsidRDefault="00000000">
            <w:pPr>
              <w:spacing w:after="40"/>
              <w:jc w:val="both"/>
            </w:pPr>
            <w:r>
              <w:rPr>
                <w:sz w:val="18"/>
                <w:szCs w:val="18"/>
              </w:rPr>
              <w:t>Organismos emisores locales e internacionales, Código de Ética del Auditor Gubernamental, Normas de Auditoría Gubernamental y de Auditoría Operativa Gubernamental. Principios de Auditoría del Desempeño (ISSAI 300 y 3000) y Manual de Implementación de la INTOSAI. Estructura de pronunciamientos de aseguramiento, Código Internacional de Ética para Profesionales de la Contabilidad, Normas Internacionales de Gestión de la Calidad (NIGC 1 y 2), Marco de Referencia y Norma Internacional de Encargos de Aseguramiento (NIEA 3000), además de la NIEA 5000 sobre sostenibilidad. (C)</w:t>
            </w:r>
          </w:p>
          <w:p w14:paraId="6E4FED0F" w14:textId="77777777" w:rsidR="00990B14" w:rsidRDefault="00000000">
            <w:pPr>
              <w:spacing w:after="40"/>
              <w:jc w:val="both"/>
            </w:pPr>
            <w:r>
              <w:rPr>
                <w:sz w:val="18"/>
                <w:szCs w:val="18"/>
              </w:rPr>
              <w:t>Entorno organizacional, objetivos generales, propósito, beneficios, alcance, filosofía, proceso metodológico (diagnóstico preliminar, examen de áreas críticas, comunicación de resultados y seguimiento) y normas sobre planificación. Naturaleza, calidad y características de la evidencia de auditoría, sus normas y métodos de obtención. (C)</w:t>
            </w:r>
          </w:p>
          <w:p w14:paraId="0B463A3C" w14:textId="77777777" w:rsidR="00990B14" w:rsidRDefault="00000000">
            <w:pPr>
              <w:spacing w:after="40"/>
              <w:jc w:val="both"/>
            </w:pPr>
            <w:r>
              <w:rPr>
                <w:sz w:val="18"/>
                <w:szCs w:val="18"/>
              </w:rPr>
              <w:t>Normas y principios de gobierno corporativo, entorno legal, factor de gobernanza, responsabilidad social organizacional, gobierno de los datos y de la tecnología, y seguimiento de riesgos tecnológicos por la alta dirección. Modelos de control interno, conceptos, beneficios y limitaciones del Modelo COSO (revisión 2013), detallando sus cinco componentes y diecisiete principios. (C)</w:t>
            </w:r>
          </w:p>
          <w:p w14:paraId="2034C4EC" w14:textId="77777777" w:rsidR="00990B14" w:rsidRDefault="00000000">
            <w:pPr>
              <w:spacing w:after="40"/>
              <w:jc w:val="both"/>
            </w:pPr>
            <w:r>
              <w:rPr>
                <w:sz w:val="18"/>
                <w:szCs w:val="18"/>
              </w:rPr>
              <w:t>Definición de riesgo, criterios de importancia relativa, componentes y principios de gestión de riesgos, riesgo residual, apetito y tolerancia al riesgo. Principios, marco de referencia y proceso de la norma ISO 31000:2018, así como la estructuración de mapas de riesgos por probabilidad e impacto. (C)</w:t>
            </w:r>
          </w:p>
          <w:p w14:paraId="23736342" w14:textId="77777777" w:rsidR="00990B14" w:rsidRDefault="00000000">
            <w:pPr>
              <w:spacing w:after="40"/>
              <w:jc w:val="both"/>
            </w:pPr>
            <w:r>
              <w:rPr>
                <w:sz w:val="18"/>
                <w:szCs w:val="18"/>
              </w:rPr>
              <w:t>Clasificación comparativa y aplicación práctica de las normas de auditoría operativa tanto en el sector público como el privado. (P)</w:t>
            </w:r>
          </w:p>
          <w:p w14:paraId="1CB3A66F" w14:textId="77777777" w:rsidR="00990B14" w:rsidRDefault="00000000">
            <w:pPr>
              <w:spacing w:after="40"/>
              <w:jc w:val="both"/>
            </w:pPr>
            <w:r>
              <w:rPr>
                <w:sz w:val="18"/>
                <w:szCs w:val="18"/>
              </w:rPr>
              <w:t>Selección, diseño y aplicación de métodos, procedimientos y técnicas orientadas a la recopilación de evidencia suficiente y adecuada, estructuración de papeles de trabajo, realización de evaluaciones y conclusiones. (P)</w:t>
            </w:r>
          </w:p>
          <w:p w14:paraId="3304A06E" w14:textId="77777777" w:rsidR="00990B14" w:rsidRDefault="00000000">
            <w:pPr>
              <w:spacing w:after="40"/>
              <w:jc w:val="both"/>
            </w:pPr>
            <w:r>
              <w:rPr>
                <w:sz w:val="18"/>
                <w:szCs w:val="18"/>
              </w:rPr>
              <w:t>Aplicación práctica de cuestionarios y evaluación sistemática de los cinco componentes y diecisiete principios del Modelo COSO en entidades. Elaboración de mapas de riesgos de procesos considerando la probabilidad, el impacto y los controles generales y de aplicación en tecnología de la información. (P)</w:t>
            </w:r>
          </w:p>
          <w:p w14:paraId="538B66F7" w14:textId="77777777" w:rsidR="00990B14" w:rsidRDefault="00000000">
            <w:pPr>
              <w:spacing w:after="40"/>
              <w:jc w:val="both"/>
            </w:pPr>
            <w:r>
              <w:rPr>
                <w:sz w:val="18"/>
                <w:szCs w:val="18"/>
              </w:rPr>
              <w:t>Demostración de integridad, compromiso ético y apego a las disposiciones sobre el Código de Ética, gestión de la calidad e independencia en el ejercicio profesional. (A)</w:t>
            </w:r>
          </w:p>
          <w:p w14:paraId="25F9E4C1" w14:textId="77777777" w:rsidR="00990B14" w:rsidRDefault="00000000">
            <w:pPr>
              <w:spacing w:after="40"/>
              <w:jc w:val="both"/>
            </w:pPr>
            <w:r>
              <w:rPr>
                <w:sz w:val="18"/>
                <w:szCs w:val="18"/>
              </w:rPr>
              <w:t>Valoración crítica de la responsabilidad social, el gobierno corporativo y la gobernanza de datos como elementos esenciales para la transparencia institucional. (A)</w:t>
            </w:r>
          </w:p>
          <w:p w14:paraId="7EC97D7A" w14:textId="77777777" w:rsidR="00990B14" w:rsidRDefault="00000000">
            <w:pPr>
              <w:spacing w:after="40"/>
              <w:jc w:val="both"/>
            </w:pPr>
            <w:r>
              <w:rPr>
                <w:sz w:val="18"/>
                <w:szCs w:val="18"/>
              </w:rPr>
              <w:t>Análisis y revisión de controles generales y de aplicación en tecnologías de la información relevantes para los procesos examinados. (T)</w:t>
            </w:r>
          </w:p>
          <w:p w14:paraId="12DFA876" w14:textId="77777777" w:rsidR="00990B14" w:rsidRDefault="00000000">
            <w:pPr>
              <w:spacing w:after="40"/>
              <w:jc w:val="both"/>
            </w:pPr>
            <w:r>
              <w:rPr>
                <w:sz w:val="18"/>
                <w:szCs w:val="18"/>
              </w:rPr>
              <w:t>Uso de software y herramientas ofimáticas o especializadas para la elaboración y actualización de matrices de evaluación de control interno (COSO) y mapas de riesgos automatizados (ISO 31000). (T)</w:t>
            </w:r>
          </w:p>
        </w:tc>
        <w:tc>
          <w:tcPr>
            <w:tcW w:w="2752" w:type="dxa"/>
            <w:gridSpan w:val="3"/>
            <w:shd w:val="clear" w:color="auto" w:fill="D9E2F3"/>
          </w:tcPr>
          <w:p w14:paraId="294E6327" w14:textId="77777777" w:rsidR="00990B14" w:rsidRDefault="00000000">
            <w:pPr>
              <w:numPr>
                <w:ilvl w:val="0"/>
                <w:numId w:val="139"/>
              </w:numPr>
              <w:spacing w:before="10" w:after="10"/>
              <w:jc w:val="both"/>
            </w:pPr>
            <w:r>
              <w:rPr>
                <w:sz w:val="18"/>
                <w:szCs w:val="18"/>
              </w:rPr>
              <w:t>Nociones de sistemas de gestión antisoborno y de cumplimiento normativo en las organizaciones.</w:t>
            </w:r>
          </w:p>
        </w:tc>
      </w:tr>
      <w:tr w:rsidR="00990B14" w14:paraId="71B3FBDA" w14:textId="77777777">
        <w:trPr>
          <w:cantSplit/>
          <w:jc w:val="center"/>
        </w:trPr>
        <w:tc>
          <w:tcPr>
            <w:tcW w:w="9405" w:type="dxa"/>
            <w:gridSpan w:val="13"/>
            <w:shd w:val="clear" w:color="auto" w:fill="D9E2F3"/>
            <w:vAlign w:val="center"/>
          </w:tcPr>
          <w:p w14:paraId="5E294E76" w14:textId="77777777" w:rsidR="00990B14" w:rsidRDefault="00000000">
            <w:pPr>
              <w:spacing w:before="20" w:after="20"/>
              <w:jc w:val="both"/>
            </w:pPr>
            <w:r>
              <w:rPr>
                <w:b/>
                <w:bCs/>
                <w:i/>
                <w:iCs/>
                <w:sz w:val="18"/>
                <w:szCs w:val="18"/>
              </w:rPr>
              <w:t xml:space="preserve">Elemento de competencia 4: </w:t>
            </w:r>
            <w:r>
              <w:rPr>
                <w:sz w:val="18"/>
                <w:szCs w:val="18"/>
              </w:rPr>
              <w:t>Elabora el informe de una auditoría operativa, planificando el examen de las áreas críticas y desarrollando los hallazgos con sus atributos y recomendaciones.</w:t>
            </w:r>
          </w:p>
        </w:tc>
      </w:tr>
      <w:tr w:rsidR="00990B14" w14:paraId="7C959FE5" w14:textId="77777777">
        <w:trPr>
          <w:cantSplit/>
          <w:jc w:val="center"/>
        </w:trPr>
        <w:tc>
          <w:tcPr>
            <w:tcW w:w="3133" w:type="dxa"/>
            <w:gridSpan w:val="4"/>
            <w:shd w:val="clear" w:color="auto" w:fill="4472C4"/>
            <w:vAlign w:val="center"/>
          </w:tcPr>
          <w:p w14:paraId="20D1C51F"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2A83F188"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22D5BBE2" w14:textId="77777777" w:rsidR="00990B14" w:rsidRDefault="00000000">
            <w:pPr>
              <w:keepNext/>
              <w:spacing w:before="20" w:after="20"/>
              <w:jc w:val="center"/>
            </w:pPr>
            <w:r>
              <w:rPr>
                <w:b/>
                <w:bCs/>
                <w:i/>
                <w:iCs/>
                <w:color w:val="FFFFFF"/>
                <w:sz w:val="18"/>
                <w:szCs w:val="18"/>
              </w:rPr>
              <w:t>Evidencias de producto</w:t>
            </w:r>
          </w:p>
        </w:tc>
      </w:tr>
      <w:tr w:rsidR="00990B14" w14:paraId="0C3D7BC5" w14:textId="77777777">
        <w:trPr>
          <w:cantSplit/>
          <w:jc w:val="center"/>
        </w:trPr>
        <w:tc>
          <w:tcPr>
            <w:tcW w:w="3133" w:type="dxa"/>
            <w:gridSpan w:val="4"/>
            <w:vMerge w:val="restart"/>
            <w:shd w:val="clear" w:color="auto" w:fill="D9E2F3"/>
            <w:vAlign w:val="center"/>
          </w:tcPr>
          <w:p w14:paraId="13240962" w14:textId="77777777" w:rsidR="00990B14" w:rsidRDefault="00000000">
            <w:pPr>
              <w:spacing w:before="20" w:after="20"/>
              <w:jc w:val="both"/>
            </w:pPr>
            <w:r>
              <w:rPr>
                <w:sz w:val="18"/>
                <w:szCs w:val="18"/>
              </w:rPr>
              <w:t>1. Planifica la auditoría operativa y examina las áreas críticas con programas y papeles de trabajo.</w:t>
            </w:r>
          </w:p>
        </w:tc>
        <w:tc>
          <w:tcPr>
            <w:tcW w:w="3135" w:type="dxa"/>
            <w:gridSpan w:val="5"/>
            <w:shd w:val="clear" w:color="auto" w:fill="D9E2F3"/>
            <w:vAlign w:val="center"/>
          </w:tcPr>
          <w:p w14:paraId="6888AB5F" w14:textId="77777777" w:rsidR="00990B14" w:rsidRDefault="00000000">
            <w:pPr>
              <w:spacing w:before="20" w:after="20"/>
              <w:jc w:val="both"/>
            </w:pPr>
            <w:r>
              <w:rPr>
                <w:sz w:val="18"/>
                <w:szCs w:val="18"/>
              </w:rPr>
              <w:t>1.1 Elabora en equipo el memorando de planificación y el diagnóstico preliminar.</w:t>
            </w:r>
          </w:p>
        </w:tc>
        <w:tc>
          <w:tcPr>
            <w:tcW w:w="3137" w:type="dxa"/>
            <w:gridSpan w:val="4"/>
            <w:shd w:val="clear" w:color="auto" w:fill="D9E2F3"/>
            <w:vAlign w:val="center"/>
          </w:tcPr>
          <w:p w14:paraId="5E23533F" w14:textId="77777777" w:rsidR="00990B14" w:rsidRDefault="00000000">
            <w:pPr>
              <w:spacing w:before="20" w:after="20"/>
              <w:jc w:val="both"/>
            </w:pPr>
            <w:r>
              <w:rPr>
                <w:b/>
                <w:bCs/>
                <w:sz w:val="18"/>
                <w:szCs w:val="18"/>
              </w:rPr>
              <w:t xml:space="preserve">Producto 13: </w:t>
            </w:r>
            <w:r>
              <w:rPr>
                <w:sz w:val="18"/>
                <w:szCs w:val="18"/>
              </w:rPr>
              <w:t>Memorando de planificación con el diagnóstico preliminar.</w:t>
            </w:r>
          </w:p>
        </w:tc>
      </w:tr>
      <w:tr w:rsidR="00990B14" w14:paraId="53B0B8FE" w14:textId="77777777">
        <w:trPr>
          <w:cantSplit/>
          <w:jc w:val="center"/>
        </w:trPr>
        <w:tc>
          <w:tcPr>
            <w:tcW w:w="3133" w:type="dxa"/>
            <w:gridSpan w:val="4"/>
            <w:vMerge/>
            <w:shd w:val="clear" w:color="auto" w:fill="D9E2F3"/>
            <w:vAlign w:val="center"/>
          </w:tcPr>
          <w:p w14:paraId="2DC1ECEA" w14:textId="77777777" w:rsidR="00990B14" w:rsidRDefault="00990B14">
            <w:pPr>
              <w:spacing w:before="20" w:after="20"/>
            </w:pPr>
          </w:p>
        </w:tc>
        <w:tc>
          <w:tcPr>
            <w:tcW w:w="3135" w:type="dxa"/>
            <w:gridSpan w:val="5"/>
            <w:shd w:val="clear" w:color="auto" w:fill="D9E2F3"/>
            <w:vAlign w:val="center"/>
          </w:tcPr>
          <w:p w14:paraId="03AA9744" w14:textId="77777777" w:rsidR="00990B14" w:rsidRDefault="00000000">
            <w:pPr>
              <w:spacing w:before="20" w:after="20"/>
              <w:jc w:val="both"/>
            </w:pPr>
            <w:r>
              <w:rPr>
                <w:sz w:val="18"/>
                <w:szCs w:val="18"/>
              </w:rPr>
              <w:t>1.2 Ejecuta en aula el programa de auditoría de un área crítica.</w:t>
            </w:r>
          </w:p>
        </w:tc>
        <w:tc>
          <w:tcPr>
            <w:tcW w:w="3137" w:type="dxa"/>
            <w:gridSpan w:val="4"/>
            <w:shd w:val="clear" w:color="auto" w:fill="D9E2F3"/>
            <w:vAlign w:val="center"/>
          </w:tcPr>
          <w:p w14:paraId="4279BF67" w14:textId="77777777" w:rsidR="00990B14" w:rsidRDefault="00000000">
            <w:pPr>
              <w:spacing w:before="20" w:after="20"/>
              <w:jc w:val="both"/>
            </w:pPr>
            <w:r>
              <w:rPr>
                <w:b/>
                <w:bCs/>
                <w:sz w:val="18"/>
                <w:szCs w:val="18"/>
              </w:rPr>
              <w:t xml:space="preserve">Producto 14: </w:t>
            </w:r>
            <w:r>
              <w:rPr>
                <w:sz w:val="18"/>
                <w:szCs w:val="18"/>
              </w:rPr>
              <w:t>Programa de auditoría y papeles de trabajo del área crítica.</w:t>
            </w:r>
          </w:p>
        </w:tc>
      </w:tr>
      <w:tr w:rsidR="00990B14" w14:paraId="48EE834F" w14:textId="77777777">
        <w:trPr>
          <w:cantSplit/>
          <w:jc w:val="center"/>
        </w:trPr>
        <w:tc>
          <w:tcPr>
            <w:tcW w:w="3133" w:type="dxa"/>
            <w:gridSpan w:val="4"/>
            <w:vMerge w:val="restart"/>
            <w:shd w:val="clear" w:color="auto" w:fill="D9E2F3"/>
            <w:vAlign w:val="center"/>
          </w:tcPr>
          <w:p w14:paraId="3DB5DBAA" w14:textId="77777777" w:rsidR="00990B14" w:rsidRDefault="00000000">
            <w:pPr>
              <w:spacing w:before="20" w:after="20"/>
              <w:jc w:val="both"/>
            </w:pPr>
            <w:r>
              <w:rPr>
                <w:sz w:val="18"/>
                <w:szCs w:val="18"/>
              </w:rPr>
              <w:t>2. Desarrolla los hallazgos con sus atributos y elabora el informe y el seguimiento de las recomendaciones.</w:t>
            </w:r>
          </w:p>
        </w:tc>
        <w:tc>
          <w:tcPr>
            <w:tcW w:w="3135" w:type="dxa"/>
            <w:gridSpan w:val="5"/>
            <w:shd w:val="clear" w:color="auto" w:fill="D9E2F3"/>
            <w:vAlign w:val="center"/>
          </w:tcPr>
          <w:p w14:paraId="04B8D81C" w14:textId="77777777" w:rsidR="00990B14" w:rsidRDefault="00000000">
            <w:pPr>
              <w:spacing w:before="20" w:after="20"/>
              <w:jc w:val="both"/>
            </w:pPr>
            <w:r>
              <w:rPr>
                <w:sz w:val="18"/>
                <w:szCs w:val="18"/>
              </w:rPr>
              <w:t>2.1 Desarrolla en equipo un hallazgo con su condición, criterio, causa y efecto.</w:t>
            </w:r>
          </w:p>
        </w:tc>
        <w:tc>
          <w:tcPr>
            <w:tcW w:w="3137" w:type="dxa"/>
            <w:gridSpan w:val="4"/>
            <w:shd w:val="clear" w:color="auto" w:fill="D9E2F3"/>
            <w:vAlign w:val="center"/>
          </w:tcPr>
          <w:p w14:paraId="42476B5C" w14:textId="77777777" w:rsidR="00990B14" w:rsidRDefault="00000000">
            <w:pPr>
              <w:spacing w:before="20" w:after="20"/>
              <w:jc w:val="both"/>
            </w:pPr>
            <w:r>
              <w:rPr>
                <w:b/>
                <w:bCs/>
                <w:sz w:val="18"/>
                <w:szCs w:val="18"/>
              </w:rPr>
              <w:t xml:space="preserve">Producto 15: </w:t>
            </w:r>
            <w:r>
              <w:rPr>
                <w:sz w:val="18"/>
                <w:szCs w:val="18"/>
              </w:rPr>
              <w:t>Planilla de desarrollo de hallazgos.</w:t>
            </w:r>
          </w:p>
        </w:tc>
      </w:tr>
      <w:tr w:rsidR="00990B14" w14:paraId="30216F07" w14:textId="77777777">
        <w:trPr>
          <w:cantSplit/>
          <w:jc w:val="center"/>
        </w:trPr>
        <w:tc>
          <w:tcPr>
            <w:tcW w:w="3133" w:type="dxa"/>
            <w:gridSpan w:val="4"/>
            <w:vMerge/>
            <w:shd w:val="clear" w:color="auto" w:fill="D9E2F3"/>
            <w:vAlign w:val="center"/>
          </w:tcPr>
          <w:p w14:paraId="01305435" w14:textId="77777777" w:rsidR="00990B14" w:rsidRDefault="00990B14">
            <w:pPr>
              <w:spacing w:before="20" w:after="20"/>
            </w:pPr>
          </w:p>
        </w:tc>
        <w:tc>
          <w:tcPr>
            <w:tcW w:w="3135" w:type="dxa"/>
            <w:gridSpan w:val="5"/>
            <w:shd w:val="clear" w:color="auto" w:fill="D9E2F3"/>
            <w:vAlign w:val="center"/>
          </w:tcPr>
          <w:p w14:paraId="361B14F3" w14:textId="77777777" w:rsidR="00990B14" w:rsidRDefault="00000000">
            <w:pPr>
              <w:spacing w:before="20" w:after="20"/>
              <w:jc w:val="both"/>
            </w:pPr>
            <w:r>
              <w:rPr>
                <w:sz w:val="18"/>
                <w:szCs w:val="18"/>
              </w:rPr>
              <w:t>2.2 Redacta en aula el informe de auditoría operativa y su plan de seguimiento.</w:t>
            </w:r>
          </w:p>
        </w:tc>
        <w:tc>
          <w:tcPr>
            <w:tcW w:w="3137" w:type="dxa"/>
            <w:gridSpan w:val="4"/>
            <w:shd w:val="clear" w:color="auto" w:fill="D9E2F3"/>
            <w:vAlign w:val="center"/>
          </w:tcPr>
          <w:p w14:paraId="47FF81C0" w14:textId="77777777" w:rsidR="00990B14" w:rsidRDefault="00000000">
            <w:pPr>
              <w:spacing w:before="20" w:after="20"/>
              <w:jc w:val="both"/>
            </w:pPr>
            <w:r>
              <w:rPr>
                <w:b/>
                <w:bCs/>
                <w:sz w:val="18"/>
                <w:szCs w:val="18"/>
              </w:rPr>
              <w:t xml:space="preserve">Producto 16: </w:t>
            </w:r>
            <w:r>
              <w:rPr>
                <w:sz w:val="18"/>
                <w:szCs w:val="18"/>
              </w:rPr>
              <w:t>Informe de auditoría operativa con su cronograma de seguimiento.</w:t>
            </w:r>
          </w:p>
        </w:tc>
      </w:tr>
      <w:tr w:rsidR="00990B14" w14:paraId="48FAFC39" w14:textId="77777777">
        <w:trPr>
          <w:cantSplit/>
          <w:jc w:val="center"/>
        </w:trPr>
        <w:tc>
          <w:tcPr>
            <w:tcW w:w="9405" w:type="dxa"/>
            <w:gridSpan w:val="13"/>
            <w:shd w:val="clear" w:color="auto" w:fill="4472C4"/>
            <w:vAlign w:val="center"/>
          </w:tcPr>
          <w:p w14:paraId="0DAD35F0" w14:textId="77777777" w:rsidR="00990B14" w:rsidRDefault="00000000">
            <w:pPr>
              <w:keepNext/>
              <w:spacing w:before="20" w:after="20"/>
              <w:jc w:val="center"/>
            </w:pPr>
            <w:r>
              <w:rPr>
                <w:b/>
                <w:bCs/>
                <w:i/>
                <w:iCs/>
                <w:color w:val="FFFFFF"/>
                <w:sz w:val="18"/>
                <w:szCs w:val="18"/>
              </w:rPr>
              <w:t>Evidencias de conocimiento</w:t>
            </w:r>
          </w:p>
        </w:tc>
      </w:tr>
      <w:tr w:rsidR="00990B14" w14:paraId="0A8CBBB7" w14:textId="77777777">
        <w:trPr>
          <w:cantSplit/>
          <w:jc w:val="center"/>
        </w:trPr>
        <w:tc>
          <w:tcPr>
            <w:tcW w:w="2349" w:type="dxa"/>
            <w:gridSpan w:val="2"/>
            <w:shd w:val="clear" w:color="auto" w:fill="4472C4"/>
            <w:vAlign w:val="center"/>
          </w:tcPr>
          <w:p w14:paraId="5FAAEDD9"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3B738130" w14:textId="77777777" w:rsidR="00990B14" w:rsidRDefault="00000000">
            <w:pPr>
              <w:keepNext/>
              <w:spacing w:before="20" w:after="20"/>
              <w:jc w:val="both"/>
            </w:pPr>
            <w:r>
              <w:rPr>
                <w:b/>
                <w:bCs/>
                <w:i/>
                <w:iCs/>
                <w:color w:val="FFFFFF"/>
                <w:sz w:val="18"/>
                <w:szCs w:val="18"/>
              </w:rPr>
              <w:t>Contenidos</w:t>
            </w:r>
          </w:p>
          <w:p w14:paraId="592FE2BB"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1D1A070A" w14:textId="77777777" w:rsidR="00990B14" w:rsidRDefault="00000000">
            <w:pPr>
              <w:keepNext/>
              <w:spacing w:before="20" w:after="20"/>
              <w:jc w:val="center"/>
            </w:pPr>
            <w:r>
              <w:rPr>
                <w:b/>
                <w:bCs/>
                <w:i/>
                <w:iCs/>
                <w:color w:val="FFFFFF"/>
                <w:sz w:val="18"/>
                <w:szCs w:val="18"/>
              </w:rPr>
              <w:t>Conocimientos circunstanciales</w:t>
            </w:r>
          </w:p>
        </w:tc>
      </w:tr>
      <w:tr w:rsidR="00990B14" w14:paraId="1ED8AADB" w14:textId="77777777">
        <w:trPr>
          <w:jc w:val="center"/>
        </w:trPr>
        <w:tc>
          <w:tcPr>
            <w:tcW w:w="2349" w:type="dxa"/>
            <w:gridSpan w:val="2"/>
            <w:shd w:val="clear" w:color="auto" w:fill="D9E2F3"/>
          </w:tcPr>
          <w:p w14:paraId="540A0DFB" w14:textId="77777777" w:rsidR="00990B14" w:rsidRDefault="00000000">
            <w:pPr>
              <w:spacing w:before="20" w:after="40"/>
              <w:jc w:val="both"/>
            </w:pPr>
            <w:r>
              <w:rPr>
                <w:sz w:val="18"/>
                <w:szCs w:val="18"/>
              </w:rPr>
              <w:t>Tema 13: La planificación en la auditoría operativa</w:t>
            </w:r>
          </w:p>
          <w:p w14:paraId="20C7405C" w14:textId="77777777" w:rsidR="00990B14" w:rsidRDefault="00000000">
            <w:pPr>
              <w:spacing w:before="20" w:after="40"/>
              <w:jc w:val="both"/>
            </w:pPr>
            <w:r>
              <w:rPr>
                <w:sz w:val="18"/>
                <w:szCs w:val="18"/>
              </w:rPr>
              <w:t>Tema 14: El riesgo de auditoría e importancia relativa</w:t>
            </w:r>
          </w:p>
          <w:p w14:paraId="16FCCBA9" w14:textId="77777777" w:rsidR="00990B14" w:rsidRDefault="00000000">
            <w:pPr>
              <w:spacing w:before="20" w:after="40"/>
              <w:jc w:val="both"/>
            </w:pPr>
            <w:r>
              <w:rPr>
                <w:sz w:val="18"/>
                <w:szCs w:val="18"/>
              </w:rPr>
              <w:t>Tema 15: Alcance y contenido del diagnóstico preliminar</w:t>
            </w:r>
          </w:p>
          <w:p w14:paraId="7B1DDBBF" w14:textId="77777777" w:rsidR="00990B14" w:rsidRDefault="00000000">
            <w:pPr>
              <w:spacing w:before="20" w:after="40"/>
              <w:jc w:val="both"/>
            </w:pPr>
            <w:r>
              <w:rPr>
                <w:sz w:val="18"/>
                <w:szCs w:val="18"/>
              </w:rPr>
              <w:t>Tema 16: Metodología para la preparación de programas de auditoría operativa</w:t>
            </w:r>
          </w:p>
          <w:p w14:paraId="438427EC" w14:textId="77777777" w:rsidR="00990B14" w:rsidRDefault="00000000">
            <w:pPr>
              <w:spacing w:before="20" w:after="40"/>
              <w:jc w:val="both"/>
            </w:pPr>
            <w:r>
              <w:rPr>
                <w:sz w:val="18"/>
                <w:szCs w:val="18"/>
              </w:rPr>
              <w:t>Tema 17: Papeles de trabajo en la auditoría operativa</w:t>
            </w:r>
          </w:p>
          <w:p w14:paraId="3FFC5430" w14:textId="77777777" w:rsidR="00990B14" w:rsidRDefault="00000000">
            <w:pPr>
              <w:spacing w:before="20" w:after="40"/>
              <w:jc w:val="both"/>
            </w:pPr>
            <w:r>
              <w:rPr>
                <w:sz w:val="18"/>
                <w:szCs w:val="18"/>
              </w:rPr>
              <w:t>Tema 18: Examen profundo de áreas críticas</w:t>
            </w:r>
          </w:p>
          <w:p w14:paraId="4E368BE7" w14:textId="77777777" w:rsidR="00990B14" w:rsidRDefault="00000000">
            <w:pPr>
              <w:spacing w:before="20" w:after="40"/>
              <w:jc w:val="both"/>
            </w:pPr>
            <w:r>
              <w:rPr>
                <w:sz w:val="18"/>
                <w:szCs w:val="18"/>
              </w:rPr>
              <w:t>Tema 19: Desarrollo de hallazgos de auditoría operativa</w:t>
            </w:r>
          </w:p>
          <w:p w14:paraId="1DA20E49" w14:textId="77777777" w:rsidR="00990B14" w:rsidRDefault="00000000">
            <w:pPr>
              <w:spacing w:before="20" w:after="40"/>
              <w:jc w:val="both"/>
            </w:pPr>
            <w:r>
              <w:rPr>
                <w:sz w:val="18"/>
                <w:szCs w:val="18"/>
              </w:rPr>
              <w:t>Tema 20: El informe de auditoría operacional</w:t>
            </w:r>
          </w:p>
          <w:p w14:paraId="6D0AD98A" w14:textId="77777777" w:rsidR="00990B14" w:rsidRDefault="00000000">
            <w:pPr>
              <w:spacing w:before="20" w:after="40"/>
              <w:jc w:val="both"/>
            </w:pPr>
            <w:r>
              <w:rPr>
                <w:sz w:val="18"/>
                <w:szCs w:val="18"/>
              </w:rPr>
              <w:t>Tema 21: Actividades de seguimiento</w:t>
            </w:r>
          </w:p>
        </w:tc>
        <w:tc>
          <w:tcPr>
            <w:tcW w:w="4304" w:type="dxa"/>
            <w:gridSpan w:val="8"/>
            <w:shd w:val="clear" w:color="auto" w:fill="D9E2F3"/>
          </w:tcPr>
          <w:p w14:paraId="544866DD" w14:textId="77777777" w:rsidR="00990B14" w:rsidRDefault="00000000">
            <w:pPr>
              <w:spacing w:after="40"/>
              <w:jc w:val="both"/>
            </w:pPr>
            <w:r>
              <w:rPr>
                <w:sz w:val="18"/>
                <w:szCs w:val="18"/>
              </w:rPr>
              <w:t>Planificación estratégica y táctica de la auditoría operacional, selección de temas, preparación del memorando de planificación, conocimiento de la entidad y riesgo del cliente. Determinación de criterios de auditoría, cronograma, recursos y estrategia. Definición y componentes del riesgo de auditoría (inherente, control y detección), criterios de importancia relativa y consideraciones normativas (NIEA 3000, ISSAI 300, ISSAI 3000 y Manual de la INTOSAI). (C)</w:t>
            </w:r>
          </w:p>
          <w:p w14:paraId="789EFD21" w14:textId="77777777" w:rsidR="00990B14" w:rsidRDefault="00000000">
            <w:pPr>
              <w:spacing w:after="40"/>
              <w:jc w:val="both"/>
            </w:pPr>
            <w:r>
              <w:rPr>
                <w:sz w:val="18"/>
                <w:szCs w:val="18"/>
              </w:rPr>
              <w:t>Alcance y profundidad del estudio preliminar, propósito del examen y normas aplicables. Características, clases y técnicas para la preparación de programas de auditoría operativa. Propósito, contenido y normas generales de los papeles de trabajo, incluyendo características, supervisión, referenciación, marcas, indización, tipos de archivo y salvaguardia. Objetivos y enfoque del examen en profundidad de áreas críticas. (C)</w:t>
            </w:r>
          </w:p>
          <w:p w14:paraId="0661DAD2" w14:textId="77777777" w:rsidR="00990B14" w:rsidRDefault="00000000">
            <w:pPr>
              <w:spacing w:after="40"/>
              <w:jc w:val="both"/>
            </w:pPr>
            <w:r>
              <w:rPr>
                <w:sz w:val="18"/>
                <w:szCs w:val="18"/>
              </w:rPr>
              <w:t>Génesis del hallazgo, atributos principales (condición, criterio, efecto y causa) y atributos complementarios (conclusiones, recomendaciones y comentarios de los responsables). Características del informe de auditoría operacional, importancia de su contenido, normas de preparación, utilidad, oportunidad, formato de la síntesis y responsabilidades en su redacción y revisión. Objetivos, criterios, plazos, procedimiento y estructura de los informes de seguimiento de recomendaciones, así como la gestión para la aceptación del riesgo de la administración. (C)</w:t>
            </w:r>
          </w:p>
          <w:p w14:paraId="73145944" w14:textId="77777777" w:rsidR="00990B14" w:rsidRDefault="00000000">
            <w:pPr>
              <w:spacing w:after="40"/>
              <w:jc w:val="both"/>
            </w:pPr>
            <w:r>
              <w:rPr>
                <w:sz w:val="18"/>
                <w:szCs w:val="18"/>
              </w:rPr>
              <w:t>Preparación del memorando de planificación con su diagnóstico preliminar, determinación del enfoque y diseño de programas de auditoría operativa aplicados a áreas críticas. (P)</w:t>
            </w:r>
          </w:p>
          <w:p w14:paraId="6EB181A2" w14:textId="77777777" w:rsidR="00990B14" w:rsidRDefault="00000000">
            <w:pPr>
              <w:spacing w:after="40"/>
              <w:jc w:val="both"/>
            </w:pPr>
            <w:r>
              <w:rPr>
                <w:sz w:val="18"/>
                <w:szCs w:val="18"/>
              </w:rPr>
              <w:t>Elaboración, referenciación y control de papeles de trabajo físicos y electrónicos. Aplicación de técnicas de análisis de datos sobre poblaciones completas, verificación de integridad y detección de excepciones en el examen de áreas críticas. (P)</w:t>
            </w:r>
          </w:p>
          <w:p w14:paraId="2AC70E7A" w14:textId="77777777" w:rsidR="00990B14" w:rsidRDefault="00000000">
            <w:pPr>
              <w:spacing w:after="40"/>
              <w:jc w:val="both"/>
            </w:pPr>
            <w:r>
              <w:rPr>
                <w:sz w:val="18"/>
                <w:szCs w:val="18"/>
              </w:rPr>
              <w:t>Desarrollo riguroso de planillas de hallazgos estructuradas con sus atributos (condición, criterio, causa y efecto), comunicación oportuna a los responsables, redacción del informe de auditoría operativa y establecimiento de cronogramas y planes de seguimiento. (P)</w:t>
            </w:r>
          </w:p>
          <w:p w14:paraId="31832414" w14:textId="77777777" w:rsidR="00990B14" w:rsidRDefault="00000000">
            <w:pPr>
              <w:spacing w:after="40"/>
              <w:jc w:val="both"/>
            </w:pPr>
            <w:r>
              <w:rPr>
                <w:sz w:val="18"/>
                <w:szCs w:val="18"/>
              </w:rPr>
              <w:t>Demostración de rigor crítico en el análisis de datos masivos, la evaluación de evidencias y la formulación de hallazgos de auditoría. (A)</w:t>
            </w:r>
          </w:p>
          <w:p w14:paraId="0F0BF13B" w14:textId="77777777" w:rsidR="00990B14" w:rsidRDefault="00000000">
            <w:pPr>
              <w:spacing w:after="40"/>
              <w:jc w:val="both"/>
            </w:pPr>
            <w:r>
              <w:rPr>
                <w:sz w:val="18"/>
                <w:szCs w:val="18"/>
              </w:rPr>
              <w:t>Asunción de responsabilidad y ética profesional en la síntesis de informes, la comunicación de resultados a la máxima autoridad y el respeto por los plazos en las actividades de seguimiento. (A)</w:t>
            </w:r>
          </w:p>
          <w:p w14:paraId="58320F5E" w14:textId="77777777" w:rsidR="00990B14" w:rsidRDefault="00000000">
            <w:pPr>
              <w:spacing w:after="40"/>
              <w:jc w:val="both"/>
            </w:pPr>
            <w:r>
              <w:rPr>
                <w:sz w:val="18"/>
                <w:szCs w:val="18"/>
              </w:rPr>
              <w:t>Uso de herramientas ofimáticas avanzadas, hojas de cálculo y software especializado para garantizar la trazabilidad, el control de accesos, la firma digital y la conservación segura del archivo del encargo en soporte digital. (T)</w:t>
            </w:r>
          </w:p>
          <w:p w14:paraId="13846610" w14:textId="77777777" w:rsidR="00990B14" w:rsidRDefault="00000000">
            <w:pPr>
              <w:spacing w:after="40"/>
              <w:jc w:val="both"/>
            </w:pPr>
            <w:r>
              <w:rPr>
                <w:sz w:val="18"/>
                <w:szCs w:val="18"/>
              </w:rPr>
              <w:t>Integración de herramientas de análisis de datos y recursos digitales (como registros audiovisuales y georreferenciación) para respaldar técnicamente el examen de áreas críticas y la gestión de evidencias. (T)</w:t>
            </w:r>
          </w:p>
        </w:tc>
        <w:tc>
          <w:tcPr>
            <w:tcW w:w="2752" w:type="dxa"/>
            <w:gridSpan w:val="3"/>
            <w:shd w:val="clear" w:color="auto" w:fill="D9E2F3"/>
          </w:tcPr>
          <w:p w14:paraId="594C3047" w14:textId="77777777" w:rsidR="00990B14" w:rsidRDefault="00000000">
            <w:pPr>
              <w:numPr>
                <w:ilvl w:val="0"/>
                <w:numId w:val="139"/>
              </w:numPr>
              <w:spacing w:before="10" w:after="10"/>
              <w:jc w:val="both"/>
            </w:pPr>
            <w:r>
              <w:rPr>
                <w:sz w:val="18"/>
                <w:szCs w:val="18"/>
              </w:rPr>
              <w:t>Nociones de evaluación de programas y de análisis de costo-efectividad.</w:t>
            </w:r>
          </w:p>
          <w:p w14:paraId="5AE50409" w14:textId="77777777" w:rsidR="00990B14" w:rsidRDefault="00000000">
            <w:pPr>
              <w:numPr>
                <w:ilvl w:val="0"/>
                <w:numId w:val="139"/>
              </w:numPr>
              <w:spacing w:before="10" w:after="10"/>
              <w:jc w:val="both"/>
            </w:pPr>
            <w:r>
              <w:rPr>
                <w:sz w:val="18"/>
                <w:szCs w:val="18"/>
              </w:rPr>
              <w:t>Nociones de fotografía, georreferenciación y registro audiovisual como medio de prueba.</w:t>
            </w:r>
          </w:p>
        </w:tc>
      </w:tr>
    </w:tbl>
    <w:p w14:paraId="791F6860"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910"/>
        <w:gridCol w:w="1805"/>
        <w:gridCol w:w="1805"/>
        <w:gridCol w:w="1595"/>
        <w:gridCol w:w="2290"/>
      </w:tblGrid>
      <w:tr w:rsidR="00990B14" w14:paraId="63F2095C" w14:textId="77777777">
        <w:trPr>
          <w:cantSplit/>
          <w:jc w:val="center"/>
        </w:trPr>
        <w:tc>
          <w:tcPr>
            <w:tcW w:w="9405" w:type="dxa"/>
            <w:gridSpan w:val="5"/>
            <w:shd w:val="clear" w:color="auto" w:fill="4472C4"/>
            <w:vAlign w:val="center"/>
          </w:tcPr>
          <w:p w14:paraId="44F41C64" w14:textId="77777777" w:rsidR="00990B14" w:rsidRDefault="00000000">
            <w:pPr>
              <w:keepNext/>
              <w:spacing w:before="20" w:after="20"/>
              <w:jc w:val="center"/>
            </w:pPr>
            <w:r>
              <w:rPr>
                <w:b/>
                <w:bCs/>
                <w:i/>
                <w:iCs/>
                <w:color w:val="FFFFFF"/>
                <w:sz w:val="18"/>
                <w:szCs w:val="18"/>
              </w:rPr>
              <w:t>Actividades</w:t>
            </w:r>
          </w:p>
        </w:tc>
      </w:tr>
      <w:tr w:rsidR="00990B14" w14:paraId="1C573D6D" w14:textId="77777777">
        <w:trPr>
          <w:cantSplit/>
          <w:jc w:val="center"/>
        </w:trPr>
        <w:tc>
          <w:tcPr>
            <w:tcW w:w="1910" w:type="dxa"/>
            <w:shd w:val="clear" w:color="auto" w:fill="4472C4"/>
            <w:vAlign w:val="center"/>
          </w:tcPr>
          <w:p w14:paraId="575DF0E0" w14:textId="77777777" w:rsidR="00990B14" w:rsidRDefault="00000000">
            <w:pPr>
              <w:keepNext/>
              <w:spacing w:before="20" w:after="20"/>
              <w:jc w:val="center"/>
            </w:pPr>
            <w:r>
              <w:rPr>
                <w:b/>
                <w:bCs/>
                <w:i/>
                <w:iCs/>
                <w:color w:val="FFFFFF"/>
                <w:sz w:val="18"/>
                <w:szCs w:val="18"/>
              </w:rPr>
              <w:t>En clase</w:t>
            </w:r>
          </w:p>
        </w:tc>
        <w:tc>
          <w:tcPr>
            <w:tcW w:w="1805" w:type="dxa"/>
            <w:shd w:val="clear" w:color="auto" w:fill="4472C4"/>
            <w:vAlign w:val="center"/>
          </w:tcPr>
          <w:p w14:paraId="49EEB524" w14:textId="77777777" w:rsidR="00990B14" w:rsidRDefault="00000000">
            <w:pPr>
              <w:keepNext/>
              <w:spacing w:before="20" w:after="20"/>
              <w:jc w:val="center"/>
            </w:pPr>
            <w:r>
              <w:rPr>
                <w:b/>
                <w:bCs/>
                <w:i/>
                <w:iCs/>
                <w:color w:val="FFFFFF"/>
                <w:sz w:val="18"/>
                <w:szCs w:val="18"/>
              </w:rPr>
              <w:t>Autónomas</w:t>
            </w:r>
          </w:p>
        </w:tc>
        <w:tc>
          <w:tcPr>
            <w:tcW w:w="1805" w:type="dxa"/>
            <w:shd w:val="clear" w:color="auto" w:fill="4472C4"/>
            <w:vAlign w:val="center"/>
          </w:tcPr>
          <w:p w14:paraId="65A7F1E7" w14:textId="77777777" w:rsidR="00990B14" w:rsidRDefault="00000000">
            <w:pPr>
              <w:keepNext/>
              <w:spacing w:before="20" w:after="20"/>
              <w:jc w:val="center"/>
            </w:pPr>
            <w:r>
              <w:rPr>
                <w:b/>
                <w:bCs/>
                <w:i/>
                <w:iCs/>
                <w:color w:val="FFFFFF"/>
                <w:sz w:val="18"/>
                <w:szCs w:val="18"/>
              </w:rPr>
              <w:t>B-Learning</w:t>
            </w:r>
          </w:p>
        </w:tc>
        <w:tc>
          <w:tcPr>
            <w:tcW w:w="1595" w:type="dxa"/>
            <w:shd w:val="clear" w:color="auto" w:fill="4472C4"/>
            <w:vAlign w:val="center"/>
          </w:tcPr>
          <w:p w14:paraId="76F82439" w14:textId="77777777" w:rsidR="00990B14" w:rsidRDefault="00000000">
            <w:pPr>
              <w:keepNext/>
              <w:spacing w:before="20" w:after="20"/>
              <w:jc w:val="center"/>
            </w:pPr>
            <w:r>
              <w:rPr>
                <w:b/>
                <w:bCs/>
                <w:i/>
                <w:iCs/>
                <w:color w:val="FFFFFF"/>
                <w:sz w:val="18"/>
                <w:szCs w:val="18"/>
              </w:rPr>
              <w:t>Taller</w:t>
            </w:r>
          </w:p>
        </w:tc>
        <w:tc>
          <w:tcPr>
            <w:tcW w:w="2290" w:type="dxa"/>
            <w:shd w:val="clear" w:color="auto" w:fill="4472C4"/>
            <w:vAlign w:val="center"/>
          </w:tcPr>
          <w:p w14:paraId="2892A1D5" w14:textId="77777777" w:rsidR="00990B14" w:rsidRDefault="00000000">
            <w:pPr>
              <w:keepNext/>
              <w:spacing w:before="20" w:after="20"/>
              <w:jc w:val="center"/>
            </w:pPr>
            <w:r>
              <w:rPr>
                <w:b/>
                <w:bCs/>
                <w:i/>
                <w:iCs/>
                <w:color w:val="FFFFFF"/>
                <w:sz w:val="18"/>
                <w:szCs w:val="18"/>
              </w:rPr>
              <w:t>Investigación/Práctica</w:t>
            </w:r>
          </w:p>
        </w:tc>
      </w:tr>
      <w:tr w:rsidR="00990B14" w14:paraId="360BC589" w14:textId="77777777">
        <w:trPr>
          <w:jc w:val="center"/>
        </w:trPr>
        <w:tc>
          <w:tcPr>
            <w:tcW w:w="1910" w:type="dxa"/>
            <w:shd w:val="clear" w:color="auto" w:fill="D9E2F3"/>
          </w:tcPr>
          <w:p w14:paraId="59DC384B" w14:textId="77777777" w:rsidR="00990B14" w:rsidRDefault="00000000">
            <w:pPr>
              <w:numPr>
                <w:ilvl w:val="0"/>
                <w:numId w:val="139"/>
              </w:numPr>
              <w:spacing w:before="10" w:after="10"/>
              <w:jc w:val="both"/>
            </w:pPr>
            <w:r>
              <w:rPr>
                <w:sz w:val="18"/>
                <w:szCs w:val="18"/>
              </w:rPr>
              <w:t>Exposición dialogada de las fases de la auditoría operativa y de sus pronunciamientos profesionales.</w:t>
            </w:r>
          </w:p>
          <w:p w14:paraId="706869D6" w14:textId="77777777" w:rsidR="00990B14" w:rsidRDefault="00000000">
            <w:pPr>
              <w:numPr>
                <w:ilvl w:val="0"/>
                <w:numId w:val="139"/>
              </w:numPr>
              <w:spacing w:before="10" w:after="10"/>
              <w:jc w:val="both"/>
            </w:pPr>
            <w:r>
              <w:rPr>
                <w:sz w:val="18"/>
                <w:szCs w:val="18"/>
              </w:rPr>
              <w:t>Resolución guiada de la construcción de indicadores de economía, eficiencia, eficacia y efectividad.</w:t>
            </w:r>
          </w:p>
          <w:p w14:paraId="70B139B7" w14:textId="77777777" w:rsidR="00990B14" w:rsidRDefault="00000000">
            <w:pPr>
              <w:numPr>
                <w:ilvl w:val="0"/>
                <w:numId w:val="139"/>
              </w:numPr>
              <w:spacing w:before="10" w:after="10"/>
              <w:jc w:val="both"/>
            </w:pPr>
            <w:r>
              <w:rPr>
                <w:sz w:val="18"/>
                <w:szCs w:val="18"/>
              </w:rPr>
              <w:t>Análisis de casos de informes de auditoría operativa de entidades públicas y privadas.</w:t>
            </w:r>
          </w:p>
          <w:p w14:paraId="5A000ECD" w14:textId="77777777" w:rsidR="00990B14" w:rsidRDefault="00000000">
            <w:pPr>
              <w:numPr>
                <w:ilvl w:val="0"/>
                <w:numId w:val="139"/>
              </w:numPr>
              <w:spacing w:before="10" w:after="10"/>
              <w:jc w:val="both"/>
            </w:pPr>
            <w:r>
              <w:rPr>
                <w:sz w:val="18"/>
                <w:szCs w:val="18"/>
              </w:rPr>
              <w:t>Ejercicio dirigido de redacción de hallazgos con condición, criterio, causa y efecto.</w:t>
            </w:r>
          </w:p>
          <w:p w14:paraId="4F44A8E9" w14:textId="77777777" w:rsidR="00990B14" w:rsidRDefault="00000000">
            <w:pPr>
              <w:numPr>
                <w:ilvl w:val="0"/>
                <w:numId w:val="139"/>
              </w:numPr>
              <w:spacing w:before="10" w:after="10"/>
              <w:jc w:val="both"/>
            </w:pPr>
            <w:r>
              <w:rPr>
                <w:sz w:val="18"/>
                <w:szCs w:val="18"/>
              </w:rPr>
              <w:t>Preguntas de comprensión sobre la evaluación del control interno con el Modelo COSO.</w:t>
            </w:r>
          </w:p>
        </w:tc>
        <w:tc>
          <w:tcPr>
            <w:tcW w:w="1805" w:type="dxa"/>
            <w:shd w:val="clear" w:color="auto" w:fill="D9E2F3"/>
          </w:tcPr>
          <w:p w14:paraId="1810D5B4" w14:textId="77777777" w:rsidR="00990B14" w:rsidRDefault="00000000">
            <w:pPr>
              <w:numPr>
                <w:ilvl w:val="0"/>
                <w:numId w:val="139"/>
              </w:numPr>
              <w:spacing w:before="10" w:after="10"/>
              <w:jc w:val="both"/>
            </w:pPr>
            <w:r>
              <w:rPr>
                <w:sz w:val="18"/>
                <w:szCs w:val="18"/>
              </w:rPr>
              <w:t>Lectura de las Normas Internacionales de Encargos de Aseguramiento y de las Normas de Auditoría Operativa Gubernamental.</w:t>
            </w:r>
          </w:p>
          <w:p w14:paraId="58E312CF" w14:textId="77777777" w:rsidR="00990B14" w:rsidRDefault="00000000">
            <w:pPr>
              <w:numPr>
                <w:ilvl w:val="0"/>
                <w:numId w:val="139"/>
              </w:numPr>
              <w:spacing w:before="10" w:after="10"/>
              <w:jc w:val="both"/>
            </w:pPr>
            <w:r>
              <w:rPr>
                <w:sz w:val="18"/>
                <w:szCs w:val="18"/>
              </w:rPr>
              <w:t>Resolución de guías de análisis del entorno y de indicadores de gestión al cierre de cada tema.</w:t>
            </w:r>
          </w:p>
          <w:p w14:paraId="1A5586CA" w14:textId="77777777" w:rsidR="00990B14" w:rsidRDefault="00000000">
            <w:pPr>
              <w:numPr>
                <w:ilvl w:val="0"/>
                <w:numId w:val="139"/>
              </w:numPr>
              <w:spacing w:before="10" w:after="10"/>
              <w:jc w:val="both"/>
            </w:pPr>
            <w:r>
              <w:rPr>
                <w:sz w:val="18"/>
                <w:szCs w:val="18"/>
              </w:rPr>
              <w:t>Desarrollo progresivo del caso práctico integral de auditoría operativa.</w:t>
            </w:r>
          </w:p>
        </w:tc>
        <w:tc>
          <w:tcPr>
            <w:tcW w:w="1805" w:type="dxa"/>
            <w:shd w:val="clear" w:color="auto" w:fill="D9E2F3"/>
          </w:tcPr>
          <w:p w14:paraId="5E20A2F6" w14:textId="77777777" w:rsidR="00990B14" w:rsidRDefault="00000000">
            <w:pPr>
              <w:numPr>
                <w:ilvl w:val="0"/>
                <w:numId w:val="139"/>
              </w:numPr>
              <w:spacing w:before="10" w:after="10"/>
              <w:jc w:val="both"/>
            </w:pPr>
            <w:r>
              <w:rPr>
                <w:sz w:val="18"/>
                <w:szCs w:val="18"/>
              </w:rPr>
              <w:t>Cuestionarios interactivos de comprensión sobre normativa y Modelos de Defensa en la plataforma digital.</w:t>
            </w:r>
          </w:p>
          <w:p w14:paraId="25189E52" w14:textId="77777777" w:rsidR="00990B14" w:rsidRDefault="00000000">
            <w:pPr>
              <w:numPr>
                <w:ilvl w:val="0"/>
                <w:numId w:val="139"/>
              </w:numPr>
              <w:spacing w:before="10" w:after="10"/>
              <w:jc w:val="both"/>
            </w:pPr>
            <w:r>
              <w:rPr>
                <w:sz w:val="18"/>
                <w:szCs w:val="18"/>
              </w:rPr>
              <w:t>Foros de consulta sobre el desarrollo de hallazgos y la elaboración del informe.</w:t>
            </w:r>
          </w:p>
          <w:p w14:paraId="3C7E794B" w14:textId="77777777" w:rsidR="00990B14" w:rsidRDefault="00000000">
            <w:pPr>
              <w:numPr>
                <w:ilvl w:val="0"/>
                <w:numId w:val="139"/>
              </w:numPr>
              <w:spacing w:before="10" w:after="10"/>
              <w:jc w:val="both"/>
            </w:pPr>
            <w:r>
              <w:rPr>
                <w:sz w:val="18"/>
                <w:szCs w:val="18"/>
              </w:rPr>
              <w:t>Videotutoriales sobre la preparación de programas y papeles de trabajo de auditoría operativa.</w:t>
            </w:r>
          </w:p>
          <w:p w14:paraId="5B00135A" w14:textId="77777777" w:rsidR="00990B14" w:rsidRDefault="00000000">
            <w:pPr>
              <w:numPr>
                <w:ilvl w:val="0"/>
                <w:numId w:val="139"/>
              </w:numPr>
              <w:spacing w:before="10" w:after="10"/>
              <w:jc w:val="both"/>
            </w:pPr>
            <w:r>
              <w:rPr>
                <w:sz w:val="18"/>
                <w:szCs w:val="18"/>
              </w:rPr>
              <w:t>Taller de redacción técnica de hallazgos, priorizando la cuantificación financiera de los atributos de causa y efecto.</w:t>
            </w:r>
          </w:p>
        </w:tc>
        <w:tc>
          <w:tcPr>
            <w:tcW w:w="1595" w:type="dxa"/>
            <w:shd w:val="clear" w:color="auto" w:fill="D9E2F3"/>
          </w:tcPr>
          <w:p w14:paraId="2CF34D1F" w14:textId="77777777" w:rsidR="00990B14" w:rsidRDefault="00000000">
            <w:pPr>
              <w:numPr>
                <w:ilvl w:val="0"/>
                <w:numId w:val="139"/>
              </w:numPr>
              <w:spacing w:before="10" w:after="10"/>
              <w:jc w:val="both"/>
            </w:pPr>
            <w:r>
              <w:rPr>
                <w:sz w:val="18"/>
                <w:szCs w:val="18"/>
              </w:rPr>
              <w:t>Resolución colaborativa del diagnóstico preliminar y la selección de áreas críticas.</w:t>
            </w:r>
          </w:p>
          <w:p w14:paraId="0CE2678C" w14:textId="77777777" w:rsidR="00990B14" w:rsidRDefault="00000000">
            <w:pPr>
              <w:numPr>
                <w:ilvl w:val="0"/>
                <w:numId w:val="139"/>
              </w:numPr>
              <w:spacing w:before="10" w:after="10"/>
              <w:jc w:val="both"/>
            </w:pPr>
            <w:r>
              <w:rPr>
                <w:sz w:val="18"/>
                <w:szCs w:val="18"/>
              </w:rPr>
              <w:t>Elaboración guiada del memorando de planificación y del programa de auditoría.</w:t>
            </w:r>
          </w:p>
          <w:p w14:paraId="64AB0BB2" w14:textId="77777777" w:rsidR="00990B14" w:rsidRDefault="00000000">
            <w:pPr>
              <w:numPr>
                <w:ilvl w:val="0"/>
                <w:numId w:val="139"/>
              </w:numPr>
              <w:spacing w:before="10" w:after="10"/>
              <w:jc w:val="both"/>
            </w:pPr>
            <w:r>
              <w:rPr>
                <w:sz w:val="18"/>
                <w:szCs w:val="18"/>
              </w:rPr>
              <w:t>Revisión cruzada de hallazgos e informes de auditoría operativa entre equipos.</w:t>
            </w:r>
          </w:p>
          <w:p w14:paraId="10ECA174" w14:textId="77777777" w:rsidR="00990B14" w:rsidRDefault="00000000">
            <w:pPr>
              <w:numPr>
                <w:ilvl w:val="0"/>
                <w:numId w:val="139"/>
              </w:numPr>
              <w:spacing w:before="10" w:after="10"/>
              <w:jc w:val="both"/>
            </w:pPr>
            <w:r>
              <w:rPr>
                <w:sz w:val="18"/>
                <w:szCs w:val="18"/>
              </w:rPr>
              <w:t>Construcción de la ficha de indicadores y de la matriz de criterios de un área crítica de un caso práctico.</w:t>
            </w:r>
          </w:p>
        </w:tc>
        <w:tc>
          <w:tcPr>
            <w:tcW w:w="2290" w:type="dxa"/>
            <w:shd w:val="clear" w:color="auto" w:fill="D9E2F3"/>
          </w:tcPr>
          <w:p w14:paraId="60FAA74B" w14:textId="77777777" w:rsidR="00990B14" w:rsidRDefault="00000000">
            <w:pPr>
              <w:numPr>
                <w:ilvl w:val="0"/>
                <w:numId w:val="139"/>
              </w:numPr>
              <w:spacing w:before="10" w:after="10"/>
              <w:jc w:val="both"/>
            </w:pPr>
            <w:r>
              <w:rPr>
                <w:sz w:val="18"/>
                <w:szCs w:val="18"/>
              </w:rPr>
              <w:t>Análisis de informes de auditoría operativa o de desempeño publicados por la Contraloría General del Estado.</w:t>
            </w:r>
          </w:p>
          <w:p w14:paraId="0AF0E561" w14:textId="77777777" w:rsidR="00990B14" w:rsidRDefault="00000000">
            <w:pPr>
              <w:numPr>
                <w:ilvl w:val="0"/>
                <w:numId w:val="139"/>
              </w:numPr>
              <w:spacing w:before="10" w:after="10"/>
              <w:jc w:val="both"/>
            </w:pPr>
            <w:r>
              <w:rPr>
                <w:sz w:val="18"/>
                <w:szCs w:val="18"/>
              </w:rPr>
              <w:t>Revisión del gobierno corporativo y del control interno de una entidad boliviana.</w:t>
            </w:r>
          </w:p>
          <w:p w14:paraId="569C7AC0" w14:textId="77777777" w:rsidR="00990B14" w:rsidRDefault="00000000">
            <w:pPr>
              <w:numPr>
                <w:ilvl w:val="0"/>
                <w:numId w:val="139"/>
              </w:numPr>
              <w:spacing w:before="10" w:after="10"/>
              <w:jc w:val="both"/>
            </w:pPr>
            <w:r>
              <w:rPr>
                <w:sz w:val="18"/>
                <w:szCs w:val="18"/>
              </w:rPr>
              <w:t>Comparación de programas de auditoría operativa aplicados a distintos sectores.</w:t>
            </w:r>
          </w:p>
          <w:p w14:paraId="4C1E00A6" w14:textId="77777777" w:rsidR="00990B14" w:rsidRDefault="00000000">
            <w:pPr>
              <w:numPr>
                <w:ilvl w:val="0"/>
                <w:numId w:val="139"/>
              </w:numPr>
              <w:spacing w:before="10" w:after="10"/>
              <w:jc w:val="both"/>
            </w:pPr>
            <w:r>
              <w:rPr>
                <w:sz w:val="18"/>
                <w:szCs w:val="18"/>
              </w:rPr>
              <w:t>Comparación de las Normas de Auditoría Operativa Gubernamental con la ISSAI 3000 y la NIEA 3000.</w:t>
            </w:r>
          </w:p>
        </w:tc>
      </w:tr>
    </w:tbl>
    <w:p w14:paraId="7CA5DB74"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883"/>
        <w:gridCol w:w="1873"/>
        <w:gridCol w:w="1869"/>
        <w:gridCol w:w="1910"/>
        <w:gridCol w:w="1870"/>
      </w:tblGrid>
      <w:tr w:rsidR="00990B14" w14:paraId="064A8526" w14:textId="77777777">
        <w:trPr>
          <w:jc w:val="center"/>
        </w:trPr>
        <w:tc>
          <w:tcPr>
            <w:tcW w:w="1883" w:type="dxa"/>
            <w:shd w:val="clear" w:color="auto" w:fill="4472C4"/>
            <w:vAlign w:val="center"/>
          </w:tcPr>
          <w:p w14:paraId="01E0E44F" w14:textId="77777777" w:rsidR="00990B14" w:rsidRDefault="00000000">
            <w:pPr>
              <w:spacing w:before="20" w:after="20"/>
              <w:jc w:val="center"/>
            </w:pPr>
            <w:r>
              <w:rPr>
                <w:b/>
                <w:bCs/>
                <w:i/>
                <w:iCs/>
                <w:color w:val="FFFFFF"/>
                <w:sz w:val="18"/>
                <w:szCs w:val="18"/>
              </w:rPr>
              <w:t>Estrategias de aprendizaje y enseñanza</w:t>
            </w:r>
          </w:p>
        </w:tc>
        <w:tc>
          <w:tcPr>
            <w:tcW w:w="7522" w:type="dxa"/>
            <w:gridSpan w:val="4"/>
            <w:shd w:val="clear" w:color="auto" w:fill="D9E2F3"/>
            <w:vAlign w:val="center"/>
          </w:tcPr>
          <w:p w14:paraId="2BA36538" w14:textId="77777777" w:rsidR="00990B14" w:rsidRDefault="00000000">
            <w:pPr>
              <w:numPr>
                <w:ilvl w:val="0"/>
                <w:numId w:val="140"/>
              </w:numPr>
              <w:spacing w:before="10" w:after="10"/>
              <w:jc w:val="both"/>
            </w:pPr>
            <w:r>
              <w:rPr>
                <w:sz w:val="18"/>
                <w:szCs w:val="18"/>
              </w:rPr>
              <w:t>Aprendizaje basado en problemas con casos de entidades bolivianas.</w:t>
            </w:r>
          </w:p>
          <w:p w14:paraId="366EE9DE" w14:textId="77777777" w:rsidR="00990B14" w:rsidRDefault="00000000">
            <w:pPr>
              <w:numPr>
                <w:ilvl w:val="0"/>
                <w:numId w:val="140"/>
              </w:numPr>
              <w:spacing w:before="10" w:after="10"/>
              <w:jc w:val="both"/>
            </w:pPr>
            <w:r>
              <w:rPr>
                <w:sz w:val="18"/>
                <w:szCs w:val="18"/>
              </w:rPr>
              <w:t>Estudio de casos de auditorías operativas o de desempeño reales.</w:t>
            </w:r>
          </w:p>
          <w:p w14:paraId="580EAFEE" w14:textId="77777777" w:rsidR="00990B14" w:rsidRDefault="00000000">
            <w:pPr>
              <w:numPr>
                <w:ilvl w:val="0"/>
                <w:numId w:val="140"/>
              </w:numPr>
              <w:spacing w:before="10" w:after="10"/>
              <w:jc w:val="both"/>
            </w:pPr>
            <w:r>
              <w:rPr>
                <w:sz w:val="18"/>
                <w:szCs w:val="18"/>
              </w:rPr>
              <w:t>Caso práctico integral que recorre las fases de planificación, examen, hallazgos e informe.</w:t>
            </w:r>
          </w:p>
          <w:p w14:paraId="468025D6" w14:textId="77777777" w:rsidR="00990B14" w:rsidRDefault="00000000">
            <w:pPr>
              <w:numPr>
                <w:ilvl w:val="0"/>
                <w:numId w:val="140"/>
              </w:numPr>
              <w:spacing w:before="10" w:after="10"/>
              <w:jc w:val="both"/>
            </w:pPr>
            <w:r>
              <w:rPr>
                <w:sz w:val="18"/>
                <w:szCs w:val="18"/>
              </w:rPr>
              <w:t>Trabajo colaborativo en equipos de análisis y evaluación de áreas críticas.</w:t>
            </w:r>
          </w:p>
          <w:p w14:paraId="3D385D8E" w14:textId="77777777" w:rsidR="00990B14" w:rsidRDefault="00000000">
            <w:pPr>
              <w:numPr>
                <w:ilvl w:val="0"/>
                <w:numId w:val="140"/>
              </w:numPr>
              <w:spacing w:before="10" w:after="10"/>
              <w:jc w:val="both"/>
            </w:pPr>
            <w:r>
              <w:rPr>
                <w:sz w:val="18"/>
                <w:szCs w:val="18"/>
              </w:rPr>
              <w:t>Clase invertida para los contenidos normativos y conceptuales.</w:t>
            </w:r>
          </w:p>
          <w:p w14:paraId="3669F01F" w14:textId="77777777" w:rsidR="00990B14" w:rsidRDefault="00000000">
            <w:pPr>
              <w:numPr>
                <w:ilvl w:val="0"/>
                <w:numId w:val="140"/>
              </w:numPr>
              <w:spacing w:before="10" w:after="10"/>
              <w:jc w:val="both"/>
            </w:pPr>
            <w:r>
              <w:rPr>
                <w:sz w:val="18"/>
                <w:szCs w:val="18"/>
              </w:rPr>
              <w:t>Exposición y defensa de resultados ante el curso.</w:t>
            </w:r>
          </w:p>
          <w:p w14:paraId="192D9F72" w14:textId="77777777" w:rsidR="00990B14" w:rsidRDefault="00000000">
            <w:pPr>
              <w:numPr>
                <w:ilvl w:val="0"/>
                <w:numId w:val="140"/>
              </w:numPr>
              <w:spacing w:before="10" w:after="10"/>
              <w:jc w:val="both"/>
            </w:pPr>
            <w:r>
              <w:rPr>
                <w:sz w:val="18"/>
                <w:szCs w:val="18"/>
              </w:rPr>
              <w:t>Análisis crítico de la evidencia y de los criterios aplicados antes de formular un hallazgo de auditoría operativa.</w:t>
            </w:r>
          </w:p>
        </w:tc>
      </w:tr>
      <w:tr w:rsidR="00990B14" w14:paraId="1531C052" w14:textId="77777777">
        <w:trPr>
          <w:jc w:val="center"/>
        </w:trPr>
        <w:tc>
          <w:tcPr>
            <w:tcW w:w="1883" w:type="dxa"/>
            <w:shd w:val="clear" w:color="auto" w:fill="4472C4"/>
            <w:vAlign w:val="center"/>
          </w:tcPr>
          <w:p w14:paraId="73E2C723" w14:textId="77777777" w:rsidR="00990B14" w:rsidRDefault="00000000">
            <w:pPr>
              <w:spacing w:before="20" w:after="20"/>
              <w:jc w:val="center"/>
            </w:pPr>
            <w:r>
              <w:rPr>
                <w:b/>
                <w:bCs/>
                <w:i/>
                <w:iCs/>
                <w:color w:val="FFFFFF"/>
                <w:sz w:val="18"/>
                <w:szCs w:val="18"/>
              </w:rPr>
              <w:t>Recursos para el aprendizaje</w:t>
            </w:r>
          </w:p>
        </w:tc>
        <w:tc>
          <w:tcPr>
            <w:tcW w:w="7522" w:type="dxa"/>
            <w:gridSpan w:val="4"/>
            <w:shd w:val="clear" w:color="auto" w:fill="D9E2F3"/>
            <w:vAlign w:val="center"/>
          </w:tcPr>
          <w:p w14:paraId="5DFE7CBA" w14:textId="77777777" w:rsidR="00990B14" w:rsidRDefault="00000000">
            <w:pPr>
              <w:numPr>
                <w:ilvl w:val="0"/>
                <w:numId w:val="140"/>
              </w:numPr>
              <w:spacing w:before="10" w:after="10"/>
              <w:jc w:val="both"/>
            </w:pPr>
            <w:r>
              <w:rPr>
                <w:sz w:val="18"/>
                <w:szCs w:val="18"/>
              </w:rPr>
              <w:t>Plataforma digital.</w:t>
            </w:r>
          </w:p>
          <w:p w14:paraId="0703E4E2" w14:textId="77777777" w:rsidR="00990B14" w:rsidRDefault="00000000">
            <w:pPr>
              <w:numPr>
                <w:ilvl w:val="0"/>
                <w:numId w:val="140"/>
              </w:numPr>
              <w:spacing w:before="10" w:after="10"/>
              <w:jc w:val="both"/>
            </w:pPr>
            <w:r>
              <w:rPr>
                <w:sz w:val="18"/>
                <w:szCs w:val="18"/>
              </w:rPr>
              <w:t>Compendio de Normas de Contabilidad y Auditoría del CAUB y Manual de Pronunciamientos Internacionales del IAASB.</w:t>
            </w:r>
          </w:p>
          <w:p w14:paraId="3B706880" w14:textId="77777777" w:rsidR="00990B14" w:rsidRDefault="00000000">
            <w:pPr>
              <w:numPr>
                <w:ilvl w:val="0"/>
                <w:numId w:val="140"/>
              </w:numPr>
              <w:spacing w:before="10" w:after="10"/>
              <w:jc w:val="both"/>
            </w:pPr>
            <w:r>
              <w:rPr>
                <w:sz w:val="18"/>
                <w:szCs w:val="18"/>
              </w:rPr>
              <w:t>Normas Generales de Auditoría Gubernamental y Normas de Auditoría Operativa Gubernamental de la Contraloría General del Estado.</w:t>
            </w:r>
          </w:p>
          <w:p w14:paraId="6265CB64" w14:textId="77777777" w:rsidR="00990B14" w:rsidRDefault="00000000">
            <w:pPr>
              <w:numPr>
                <w:ilvl w:val="0"/>
                <w:numId w:val="140"/>
              </w:numPr>
              <w:spacing w:before="10" w:after="10"/>
              <w:jc w:val="both"/>
            </w:pPr>
            <w:r>
              <w:rPr>
                <w:sz w:val="18"/>
                <w:szCs w:val="18"/>
              </w:rPr>
              <w:t>Guías de análisis del entorno, de indicadores de gestión y de casos elaboradas por la cátedra.</w:t>
            </w:r>
          </w:p>
          <w:p w14:paraId="7638B3CF" w14:textId="77777777" w:rsidR="00990B14" w:rsidRDefault="00000000">
            <w:pPr>
              <w:numPr>
                <w:ilvl w:val="0"/>
                <w:numId w:val="140"/>
              </w:numPr>
              <w:spacing w:before="10" w:after="10"/>
              <w:jc w:val="both"/>
            </w:pPr>
            <w:r>
              <w:rPr>
                <w:sz w:val="18"/>
                <w:szCs w:val="18"/>
              </w:rPr>
              <w:t>Formularios de memorando de planificación, programas de auditoría y papeles de trabajo.</w:t>
            </w:r>
          </w:p>
          <w:p w14:paraId="78570F65" w14:textId="77777777" w:rsidR="00990B14" w:rsidRDefault="00000000">
            <w:pPr>
              <w:numPr>
                <w:ilvl w:val="0"/>
                <w:numId w:val="140"/>
              </w:numPr>
              <w:spacing w:before="10" w:after="10"/>
              <w:jc w:val="both"/>
            </w:pPr>
            <w:r>
              <w:rPr>
                <w:sz w:val="18"/>
                <w:szCs w:val="18"/>
              </w:rPr>
              <w:t>Normas de Auditoría Operativa Gubernamental, ISSAI de la INTOSAI y NIEA 3000 en sus versiones vigentes.</w:t>
            </w:r>
          </w:p>
          <w:p w14:paraId="3EF697FE" w14:textId="77777777" w:rsidR="00990B14" w:rsidRDefault="00000000">
            <w:pPr>
              <w:numPr>
                <w:ilvl w:val="0"/>
                <w:numId w:val="140"/>
              </w:numPr>
              <w:spacing w:before="10" w:after="10"/>
              <w:jc w:val="both"/>
            </w:pPr>
            <w:r>
              <w:rPr>
                <w:sz w:val="18"/>
                <w:szCs w:val="18"/>
              </w:rPr>
              <w:t>Hoja de cálculo y herramientas de análisis de datos para los indicadores y las pruebas del examen.</w:t>
            </w:r>
          </w:p>
        </w:tc>
      </w:tr>
      <w:tr w:rsidR="00990B14" w14:paraId="465602D7" w14:textId="77777777">
        <w:trPr>
          <w:jc w:val="center"/>
        </w:trPr>
        <w:tc>
          <w:tcPr>
            <w:tcW w:w="1883" w:type="dxa"/>
            <w:shd w:val="clear" w:color="auto" w:fill="4472C4"/>
            <w:vAlign w:val="center"/>
          </w:tcPr>
          <w:p w14:paraId="30ABC37C" w14:textId="77777777" w:rsidR="00990B14" w:rsidRDefault="00000000">
            <w:pPr>
              <w:spacing w:before="20" w:after="20"/>
              <w:jc w:val="center"/>
            </w:pPr>
            <w:r>
              <w:rPr>
                <w:b/>
                <w:bCs/>
                <w:i/>
                <w:iCs/>
                <w:color w:val="FFFFFF"/>
                <w:sz w:val="18"/>
                <w:szCs w:val="18"/>
              </w:rPr>
              <w:t>Estrategias de evaluación</w:t>
            </w:r>
          </w:p>
        </w:tc>
        <w:tc>
          <w:tcPr>
            <w:tcW w:w="7522" w:type="dxa"/>
            <w:gridSpan w:val="4"/>
            <w:shd w:val="clear" w:color="auto" w:fill="D9E2F3"/>
            <w:vAlign w:val="center"/>
          </w:tcPr>
          <w:p w14:paraId="487740A4" w14:textId="77777777" w:rsidR="00990B14" w:rsidRDefault="00000000">
            <w:pPr>
              <w:numPr>
                <w:ilvl w:val="0"/>
                <w:numId w:val="140"/>
              </w:numPr>
              <w:spacing w:before="10" w:after="10"/>
              <w:jc w:val="both"/>
            </w:pPr>
            <w:r>
              <w:rPr>
                <w:sz w:val="18"/>
                <w:szCs w:val="18"/>
              </w:rPr>
              <w:t>Evaluación diagnóstica: prueba inicial sobre los conocimientos previos de auditoría financiera y de auditoría interna, control interno y gestión de riesgos.</w:t>
            </w:r>
          </w:p>
          <w:p w14:paraId="21F7B031" w14:textId="77777777" w:rsidR="00990B14" w:rsidRDefault="00000000">
            <w:pPr>
              <w:numPr>
                <w:ilvl w:val="0"/>
                <w:numId w:val="140"/>
              </w:numPr>
              <w:spacing w:before="10" w:after="10"/>
              <w:jc w:val="both"/>
            </w:pPr>
            <w:r>
              <w:rPr>
                <w:sz w:val="18"/>
                <w:szCs w:val="18"/>
              </w:rPr>
              <w:t>Evaluación formativa: preguntas de comprensión y desarrollo de ejercicios prácticos en el aula, con retroalimentación continua, autoevaluación y coevaluación.</w:t>
            </w:r>
          </w:p>
          <w:p w14:paraId="362F0EC2" w14:textId="77777777" w:rsidR="00990B14" w:rsidRDefault="00000000">
            <w:pPr>
              <w:numPr>
                <w:ilvl w:val="0"/>
                <w:numId w:val="140"/>
              </w:numPr>
              <w:spacing w:before="10" w:after="10"/>
              <w:jc w:val="both"/>
            </w:pPr>
            <w:r>
              <w:rPr>
                <w:sz w:val="18"/>
                <w:szCs w:val="18"/>
              </w:rPr>
              <w:t>Evaluación sumativa: controles de lectura y asistencia, evaluación de casos prácticos, trabajos de investigación y desarrollo, exámenes parciales y examen final.</w:t>
            </w:r>
          </w:p>
        </w:tc>
      </w:tr>
      <w:tr w:rsidR="00990B14" w14:paraId="09C1533E" w14:textId="77777777">
        <w:trPr>
          <w:jc w:val="center"/>
        </w:trPr>
        <w:tc>
          <w:tcPr>
            <w:tcW w:w="1883" w:type="dxa"/>
            <w:shd w:val="clear" w:color="auto" w:fill="4472C4"/>
            <w:vAlign w:val="center"/>
          </w:tcPr>
          <w:p w14:paraId="6CB7CE31" w14:textId="77777777" w:rsidR="00990B14" w:rsidRDefault="00000000">
            <w:pPr>
              <w:spacing w:before="20" w:after="20"/>
              <w:jc w:val="center"/>
            </w:pPr>
            <w:r>
              <w:rPr>
                <w:b/>
                <w:bCs/>
                <w:i/>
                <w:iCs/>
                <w:color w:val="FFFFFF"/>
                <w:sz w:val="18"/>
                <w:szCs w:val="18"/>
              </w:rPr>
              <w:t>Criterios de calificación</w:t>
            </w:r>
          </w:p>
        </w:tc>
        <w:tc>
          <w:tcPr>
            <w:tcW w:w="7522" w:type="dxa"/>
            <w:gridSpan w:val="4"/>
            <w:shd w:val="clear" w:color="auto" w:fill="D9E2F3"/>
            <w:vAlign w:val="center"/>
          </w:tcPr>
          <w:p w14:paraId="626E10B4" w14:textId="77777777" w:rsidR="00990B14" w:rsidRDefault="00000000">
            <w:pPr>
              <w:numPr>
                <w:ilvl w:val="0"/>
                <w:numId w:val="140"/>
              </w:numPr>
              <w:spacing w:before="10" w:after="10"/>
              <w:jc w:val="both"/>
            </w:pPr>
            <w:r>
              <w:rPr>
                <w:sz w:val="18"/>
                <w:szCs w:val="18"/>
              </w:rPr>
              <w:t>Nota mínima de aprobación: 51/100.</w:t>
            </w:r>
          </w:p>
          <w:p w14:paraId="3383C09A" w14:textId="77777777" w:rsidR="00990B14" w:rsidRDefault="00000000">
            <w:pPr>
              <w:numPr>
                <w:ilvl w:val="0"/>
                <w:numId w:val="140"/>
              </w:numPr>
              <w:spacing w:before="10" w:after="10"/>
              <w:jc w:val="both"/>
            </w:pPr>
            <w:r>
              <w:rPr>
                <w:sz w:val="18"/>
                <w:szCs w:val="18"/>
              </w:rPr>
              <w:t>Evaluación periódica al finalizar cada tema, basada en evidencias de conocimiento, desempeño y producto.</w:t>
            </w:r>
          </w:p>
          <w:p w14:paraId="6080AD68" w14:textId="77777777" w:rsidR="00990B14" w:rsidRDefault="00000000">
            <w:pPr>
              <w:numPr>
                <w:ilvl w:val="0"/>
                <w:numId w:val="140"/>
              </w:numPr>
              <w:spacing w:before="10" w:after="10"/>
              <w:jc w:val="both"/>
            </w:pPr>
            <w:r>
              <w:rPr>
                <w:sz w:val="18"/>
                <w:szCs w:val="18"/>
              </w:rPr>
              <w:t>Cada evidencia de producto se evalúa con su propia rúbrica de tres niveles: Insuficiente, Suficiente y Destacado.</w:t>
            </w:r>
          </w:p>
          <w:p w14:paraId="43896A57" w14:textId="77777777" w:rsidR="00990B14" w:rsidRDefault="00000000">
            <w:pPr>
              <w:numPr>
                <w:ilvl w:val="0"/>
                <w:numId w:val="140"/>
              </w:numPr>
              <w:spacing w:before="10" w:after="10"/>
              <w:jc w:val="both"/>
            </w:pPr>
            <w:r>
              <w:rPr>
                <w:sz w:val="18"/>
                <w:szCs w:val="18"/>
              </w:rPr>
              <w:t>La calificación de cada elemento de competencia suma las calificaciones de sus evidencias de producto.</w:t>
            </w:r>
          </w:p>
        </w:tc>
      </w:tr>
      <w:tr w:rsidR="00990B14" w14:paraId="339C901A" w14:textId="77777777">
        <w:trPr>
          <w:cantSplit/>
          <w:jc w:val="center"/>
        </w:trPr>
        <w:tc>
          <w:tcPr>
            <w:tcW w:w="1883" w:type="dxa"/>
            <w:vMerge w:val="restart"/>
            <w:shd w:val="clear" w:color="auto" w:fill="4472C4"/>
            <w:vAlign w:val="center"/>
          </w:tcPr>
          <w:p w14:paraId="58A31783" w14:textId="77777777" w:rsidR="00990B14" w:rsidRDefault="00000000">
            <w:pPr>
              <w:spacing w:before="20" w:after="20"/>
              <w:jc w:val="center"/>
            </w:pPr>
            <w:r>
              <w:rPr>
                <w:b/>
                <w:bCs/>
                <w:i/>
                <w:iCs/>
                <w:color w:val="FFFFFF"/>
                <w:sz w:val="18"/>
                <w:szCs w:val="18"/>
              </w:rPr>
              <w:t>Niveles de logro y distribución de la calificación</w:t>
            </w:r>
          </w:p>
        </w:tc>
        <w:tc>
          <w:tcPr>
            <w:tcW w:w="5652" w:type="dxa"/>
            <w:gridSpan w:val="3"/>
            <w:shd w:val="clear" w:color="auto" w:fill="D9E2F3"/>
            <w:vAlign w:val="center"/>
          </w:tcPr>
          <w:p w14:paraId="03C9D9F4" w14:textId="77777777" w:rsidR="00990B14" w:rsidRDefault="00000000">
            <w:pPr>
              <w:keepNext/>
              <w:spacing w:before="20" w:after="20"/>
              <w:jc w:val="both"/>
            </w:pPr>
            <w:r>
              <w:rPr>
                <w:b/>
                <w:bCs/>
                <w:i/>
                <w:iCs/>
                <w:sz w:val="18"/>
                <w:szCs w:val="18"/>
              </w:rPr>
              <w:t xml:space="preserve">Producto 1: </w:t>
            </w:r>
            <w:r>
              <w:rPr>
                <w:sz w:val="18"/>
                <w:szCs w:val="18"/>
              </w:rPr>
              <w:t>Matriz PESTLA, FODA, PORTER y otras</w:t>
            </w:r>
          </w:p>
        </w:tc>
        <w:tc>
          <w:tcPr>
            <w:tcW w:w="1870" w:type="dxa"/>
            <w:shd w:val="clear" w:color="auto" w:fill="D9E2F3"/>
            <w:vAlign w:val="center"/>
          </w:tcPr>
          <w:p w14:paraId="71BB258D" w14:textId="77777777" w:rsidR="00990B14" w:rsidRDefault="00000000">
            <w:pPr>
              <w:spacing w:before="20" w:after="20"/>
              <w:jc w:val="center"/>
            </w:pPr>
            <w:r>
              <w:rPr>
                <w:b/>
                <w:bCs/>
                <w:sz w:val="18"/>
                <w:szCs w:val="18"/>
              </w:rPr>
              <w:t>4%</w:t>
            </w:r>
          </w:p>
        </w:tc>
      </w:tr>
      <w:tr w:rsidR="00990B14" w14:paraId="627A09FE" w14:textId="77777777">
        <w:trPr>
          <w:cantSplit/>
          <w:jc w:val="center"/>
        </w:trPr>
        <w:tc>
          <w:tcPr>
            <w:tcW w:w="1883" w:type="dxa"/>
            <w:vMerge/>
            <w:shd w:val="clear" w:color="auto" w:fill="4472C4"/>
            <w:vAlign w:val="center"/>
          </w:tcPr>
          <w:p w14:paraId="18511548" w14:textId="77777777" w:rsidR="00990B14" w:rsidRDefault="00990B14">
            <w:pPr>
              <w:spacing w:before="20" w:after="20"/>
            </w:pPr>
          </w:p>
        </w:tc>
        <w:tc>
          <w:tcPr>
            <w:tcW w:w="1873" w:type="dxa"/>
            <w:shd w:val="clear" w:color="auto" w:fill="4472C4"/>
            <w:vAlign w:val="center"/>
          </w:tcPr>
          <w:p w14:paraId="79AA2AD8" w14:textId="77777777" w:rsidR="00990B14" w:rsidRDefault="00000000">
            <w:pPr>
              <w:keepNext/>
              <w:spacing w:before="20" w:after="20"/>
              <w:jc w:val="center"/>
            </w:pPr>
            <w:r>
              <w:rPr>
                <w:b/>
                <w:bCs/>
                <w:i/>
                <w:iCs/>
                <w:color w:val="FFFFFF"/>
                <w:sz w:val="18"/>
                <w:szCs w:val="18"/>
              </w:rPr>
              <w:t>Criterio</w:t>
            </w:r>
          </w:p>
        </w:tc>
        <w:tc>
          <w:tcPr>
            <w:tcW w:w="1869" w:type="dxa"/>
            <w:shd w:val="clear" w:color="auto" w:fill="4472C4"/>
            <w:vAlign w:val="center"/>
          </w:tcPr>
          <w:p w14:paraId="103A8972"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30B7A053" w14:textId="77777777" w:rsidR="00990B14" w:rsidRDefault="00000000">
            <w:pPr>
              <w:keepNext/>
              <w:spacing w:before="20" w:after="20"/>
              <w:jc w:val="center"/>
            </w:pPr>
            <w:r>
              <w:rPr>
                <w:b/>
                <w:bCs/>
                <w:i/>
                <w:iCs/>
                <w:color w:val="FFFFFF"/>
                <w:sz w:val="18"/>
                <w:szCs w:val="18"/>
              </w:rPr>
              <w:t>Suficiente (51–80)</w:t>
            </w:r>
          </w:p>
        </w:tc>
        <w:tc>
          <w:tcPr>
            <w:tcW w:w="1870" w:type="dxa"/>
            <w:shd w:val="clear" w:color="auto" w:fill="4472C4"/>
            <w:vAlign w:val="center"/>
          </w:tcPr>
          <w:p w14:paraId="0F8E55B0" w14:textId="77777777" w:rsidR="00990B14" w:rsidRDefault="00000000">
            <w:pPr>
              <w:keepNext/>
              <w:spacing w:before="20" w:after="20"/>
              <w:jc w:val="center"/>
            </w:pPr>
            <w:r>
              <w:rPr>
                <w:b/>
                <w:bCs/>
                <w:i/>
                <w:iCs/>
                <w:color w:val="FFFFFF"/>
                <w:sz w:val="18"/>
                <w:szCs w:val="18"/>
              </w:rPr>
              <w:t>Destacado (81–100)</w:t>
            </w:r>
          </w:p>
        </w:tc>
      </w:tr>
      <w:tr w:rsidR="00990B14" w14:paraId="4E088348" w14:textId="77777777">
        <w:trPr>
          <w:cantSplit/>
          <w:jc w:val="center"/>
        </w:trPr>
        <w:tc>
          <w:tcPr>
            <w:tcW w:w="1883" w:type="dxa"/>
            <w:vMerge/>
            <w:shd w:val="clear" w:color="auto" w:fill="4472C4"/>
            <w:vAlign w:val="center"/>
          </w:tcPr>
          <w:p w14:paraId="7EDE32EE" w14:textId="77777777" w:rsidR="00990B14" w:rsidRDefault="00990B14">
            <w:pPr>
              <w:spacing w:before="20" w:after="20"/>
            </w:pPr>
          </w:p>
        </w:tc>
        <w:tc>
          <w:tcPr>
            <w:tcW w:w="1873" w:type="dxa"/>
            <w:shd w:val="clear" w:color="auto" w:fill="D9E2F3"/>
            <w:vAlign w:val="center"/>
          </w:tcPr>
          <w:p w14:paraId="2D54D69D" w14:textId="77777777" w:rsidR="00990B14" w:rsidRDefault="00000000">
            <w:pPr>
              <w:spacing w:before="20" w:after="20"/>
              <w:jc w:val="both"/>
            </w:pPr>
            <w:r>
              <w:rPr>
                <w:sz w:val="18"/>
                <w:szCs w:val="18"/>
              </w:rPr>
              <w:t>Factores del entorno</w:t>
            </w:r>
          </w:p>
        </w:tc>
        <w:tc>
          <w:tcPr>
            <w:tcW w:w="1869" w:type="dxa"/>
            <w:shd w:val="clear" w:color="auto" w:fill="D9E2F3"/>
            <w:vAlign w:val="center"/>
          </w:tcPr>
          <w:p w14:paraId="2ABA0C25" w14:textId="77777777" w:rsidR="00990B14" w:rsidRDefault="00000000">
            <w:pPr>
              <w:spacing w:before="20" w:after="20"/>
              <w:jc w:val="both"/>
            </w:pPr>
            <w:r>
              <w:rPr>
                <w:sz w:val="18"/>
                <w:szCs w:val="18"/>
              </w:rPr>
              <w:t>Omite factores.</w:t>
            </w:r>
          </w:p>
        </w:tc>
        <w:tc>
          <w:tcPr>
            <w:tcW w:w="1910" w:type="dxa"/>
            <w:shd w:val="clear" w:color="auto" w:fill="D9E2F3"/>
            <w:vAlign w:val="center"/>
          </w:tcPr>
          <w:p w14:paraId="3E70A961" w14:textId="77777777" w:rsidR="00990B14" w:rsidRDefault="00000000">
            <w:pPr>
              <w:spacing w:before="20" w:after="20"/>
              <w:jc w:val="both"/>
            </w:pPr>
            <w:r>
              <w:rPr>
                <w:sz w:val="18"/>
                <w:szCs w:val="18"/>
              </w:rPr>
              <w:t>Identifica los factores políticos, económicos, sociales, tecnológicos, legales y ambientales.</w:t>
            </w:r>
          </w:p>
        </w:tc>
        <w:tc>
          <w:tcPr>
            <w:tcW w:w="1870" w:type="dxa"/>
            <w:shd w:val="clear" w:color="auto" w:fill="D9E2F3"/>
            <w:vAlign w:val="center"/>
          </w:tcPr>
          <w:p w14:paraId="031EC216" w14:textId="77777777" w:rsidR="00990B14" w:rsidRDefault="00000000">
            <w:pPr>
              <w:spacing w:before="20" w:after="20"/>
              <w:jc w:val="both"/>
            </w:pPr>
            <w:r>
              <w:rPr>
                <w:sz w:val="18"/>
                <w:szCs w:val="18"/>
              </w:rPr>
              <w:t>Valora el efecto de cada factor en la entidad.</w:t>
            </w:r>
          </w:p>
        </w:tc>
      </w:tr>
      <w:tr w:rsidR="00990B14" w14:paraId="5733DF59" w14:textId="77777777">
        <w:trPr>
          <w:cantSplit/>
          <w:jc w:val="center"/>
        </w:trPr>
        <w:tc>
          <w:tcPr>
            <w:tcW w:w="1883" w:type="dxa"/>
            <w:vMerge/>
            <w:shd w:val="clear" w:color="auto" w:fill="4472C4"/>
            <w:vAlign w:val="center"/>
          </w:tcPr>
          <w:p w14:paraId="37A15154" w14:textId="77777777" w:rsidR="00990B14" w:rsidRDefault="00990B14">
            <w:pPr>
              <w:spacing w:before="20" w:after="20"/>
            </w:pPr>
          </w:p>
        </w:tc>
        <w:tc>
          <w:tcPr>
            <w:tcW w:w="1873" w:type="dxa"/>
            <w:shd w:val="clear" w:color="auto" w:fill="D9E2F3"/>
            <w:vAlign w:val="center"/>
          </w:tcPr>
          <w:p w14:paraId="42B9CAC6" w14:textId="77777777" w:rsidR="00990B14" w:rsidRDefault="00000000">
            <w:pPr>
              <w:spacing w:before="20" w:after="20"/>
              <w:jc w:val="both"/>
            </w:pPr>
            <w:r>
              <w:rPr>
                <w:sz w:val="18"/>
                <w:szCs w:val="18"/>
              </w:rPr>
              <w:t>Análisis FODA</w:t>
            </w:r>
          </w:p>
        </w:tc>
        <w:tc>
          <w:tcPr>
            <w:tcW w:w="1869" w:type="dxa"/>
            <w:shd w:val="clear" w:color="auto" w:fill="D9E2F3"/>
            <w:vAlign w:val="center"/>
          </w:tcPr>
          <w:p w14:paraId="6CA4DDCD" w14:textId="77777777" w:rsidR="00990B14" w:rsidRDefault="00000000">
            <w:pPr>
              <w:spacing w:before="20" w:after="20"/>
              <w:jc w:val="both"/>
            </w:pPr>
            <w:r>
              <w:rPr>
                <w:sz w:val="18"/>
                <w:szCs w:val="18"/>
              </w:rPr>
              <w:t>Confunde factores internos y externos.</w:t>
            </w:r>
          </w:p>
        </w:tc>
        <w:tc>
          <w:tcPr>
            <w:tcW w:w="1910" w:type="dxa"/>
            <w:shd w:val="clear" w:color="auto" w:fill="D9E2F3"/>
            <w:vAlign w:val="center"/>
          </w:tcPr>
          <w:p w14:paraId="0BDDF371" w14:textId="77777777" w:rsidR="00990B14" w:rsidRDefault="00000000">
            <w:pPr>
              <w:spacing w:before="20" w:after="20"/>
              <w:jc w:val="both"/>
            </w:pPr>
            <w:r>
              <w:rPr>
                <w:sz w:val="18"/>
                <w:szCs w:val="18"/>
              </w:rPr>
              <w:t>Clasifica fortalezas, oportunidades, debilidades y amenazas.</w:t>
            </w:r>
          </w:p>
        </w:tc>
        <w:tc>
          <w:tcPr>
            <w:tcW w:w="1870" w:type="dxa"/>
            <w:shd w:val="clear" w:color="auto" w:fill="D9E2F3"/>
            <w:vAlign w:val="center"/>
          </w:tcPr>
          <w:p w14:paraId="5CD0F42A" w14:textId="77777777" w:rsidR="00990B14" w:rsidRDefault="00000000">
            <w:pPr>
              <w:spacing w:before="20" w:after="20"/>
              <w:jc w:val="both"/>
            </w:pPr>
            <w:r>
              <w:rPr>
                <w:sz w:val="18"/>
                <w:szCs w:val="18"/>
              </w:rPr>
              <w:t>Deriva estrategias del cruce de factores.</w:t>
            </w:r>
          </w:p>
        </w:tc>
      </w:tr>
      <w:tr w:rsidR="00990B14" w14:paraId="6934F3DB" w14:textId="77777777">
        <w:trPr>
          <w:cantSplit/>
          <w:jc w:val="center"/>
        </w:trPr>
        <w:tc>
          <w:tcPr>
            <w:tcW w:w="1883" w:type="dxa"/>
            <w:vMerge/>
            <w:shd w:val="clear" w:color="auto" w:fill="4472C4"/>
            <w:vAlign w:val="center"/>
          </w:tcPr>
          <w:p w14:paraId="7C0C4F57" w14:textId="77777777" w:rsidR="00990B14" w:rsidRDefault="00990B14">
            <w:pPr>
              <w:spacing w:before="20" w:after="20"/>
            </w:pPr>
          </w:p>
        </w:tc>
        <w:tc>
          <w:tcPr>
            <w:tcW w:w="1873" w:type="dxa"/>
            <w:shd w:val="clear" w:color="auto" w:fill="D9E2F3"/>
            <w:vAlign w:val="center"/>
          </w:tcPr>
          <w:p w14:paraId="7F4CC007" w14:textId="77777777" w:rsidR="00990B14" w:rsidRDefault="00000000">
            <w:pPr>
              <w:spacing w:before="20" w:after="20"/>
              <w:jc w:val="both"/>
            </w:pPr>
            <w:r>
              <w:rPr>
                <w:sz w:val="18"/>
                <w:szCs w:val="18"/>
              </w:rPr>
              <w:t>Análisis PORTER</w:t>
            </w:r>
          </w:p>
        </w:tc>
        <w:tc>
          <w:tcPr>
            <w:tcW w:w="1869" w:type="dxa"/>
            <w:shd w:val="clear" w:color="auto" w:fill="D9E2F3"/>
            <w:vAlign w:val="center"/>
          </w:tcPr>
          <w:p w14:paraId="3E6FBD76" w14:textId="77777777" w:rsidR="00990B14" w:rsidRDefault="00000000">
            <w:pPr>
              <w:spacing w:before="20" w:after="20"/>
              <w:jc w:val="both"/>
            </w:pPr>
            <w:r>
              <w:rPr>
                <w:sz w:val="18"/>
                <w:szCs w:val="18"/>
              </w:rPr>
              <w:t>Omite factores</w:t>
            </w:r>
          </w:p>
        </w:tc>
        <w:tc>
          <w:tcPr>
            <w:tcW w:w="1910" w:type="dxa"/>
            <w:shd w:val="clear" w:color="auto" w:fill="D9E2F3"/>
            <w:vAlign w:val="center"/>
          </w:tcPr>
          <w:p w14:paraId="5FC42784" w14:textId="77777777" w:rsidR="00990B14" w:rsidRDefault="00000000">
            <w:pPr>
              <w:spacing w:before="20" w:after="20"/>
              <w:jc w:val="both"/>
            </w:pPr>
            <w:r>
              <w:rPr>
                <w:sz w:val="18"/>
                <w:szCs w:val="18"/>
              </w:rPr>
              <w:t>Identifica los factores de cada fuerza</w:t>
            </w:r>
          </w:p>
        </w:tc>
        <w:tc>
          <w:tcPr>
            <w:tcW w:w="1870" w:type="dxa"/>
            <w:shd w:val="clear" w:color="auto" w:fill="D9E2F3"/>
            <w:vAlign w:val="center"/>
          </w:tcPr>
          <w:p w14:paraId="032CD005" w14:textId="77777777" w:rsidR="00990B14" w:rsidRDefault="00000000">
            <w:pPr>
              <w:spacing w:before="20" w:after="20"/>
              <w:jc w:val="both"/>
            </w:pPr>
            <w:r>
              <w:rPr>
                <w:sz w:val="18"/>
                <w:szCs w:val="18"/>
              </w:rPr>
              <w:t>Valora cada aspecto y define la incidencia sobre la rentabilidad</w:t>
            </w:r>
          </w:p>
        </w:tc>
      </w:tr>
      <w:tr w:rsidR="00990B14" w14:paraId="58D2DA59" w14:textId="77777777">
        <w:trPr>
          <w:cantSplit/>
          <w:jc w:val="center"/>
        </w:trPr>
        <w:tc>
          <w:tcPr>
            <w:tcW w:w="1883" w:type="dxa"/>
            <w:vMerge/>
            <w:shd w:val="clear" w:color="auto" w:fill="4472C4"/>
            <w:vAlign w:val="center"/>
          </w:tcPr>
          <w:p w14:paraId="2F7C0090" w14:textId="77777777" w:rsidR="00990B14" w:rsidRDefault="00990B14">
            <w:pPr>
              <w:spacing w:before="20" w:after="20"/>
            </w:pPr>
          </w:p>
        </w:tc>
        <w:tc>
          <w:tcPr>
            <w:tcW w:w="5652" w:type="dxa"/>
            <w:gridSpan w:val="3"/>
            <w:shd w:val="clear" w:color="auto" w:fill="D9E2F3"/>
            <w:vAlign w:val="center"/>
          </w:tcPr>
          <w:p w14:paraId="432E6349" w14:textId="77777777" w:rsidR="00990B14" w:rsidRDefault="00000000">
            <w:pPr>
              <w:keepNext/>
              <w:spacing w:before="20" w:after="20"/>
              <w:jc w:val="both"/>
            </w:pPr>
            <w:r>
              <w:rPr>
                <w:b/>
                <w:bCs/>
                <w:i/>
                <w:iCs/>
                <w:sz w:val="18"/>
                <w:szCs w:val="18"/>
              </w:rPr>
              <w:t xml:space="preserve">Producto 2: </w:t>
            </w:r>
            <w:r>
              <w:rPr>
                <w:sz w:val="18"/>
                <w:szCs w:val="18"/>
              </w:rPr>
              <w:t>Esquema de la cadena de valor y del modelo conceptual</w:t>
            </w:r>
          </w:p>
        </w:tc>
        <w:tc>
          <w:tcPr>
            <w:tcW w:w="1870" w:type="dxa"/>
            <w:shd w:val="clear" w:color="auto" w:fill="D9E2F3"/>
            <w:vAlign w:val="center"/>
          </w:tcPr>
          <w:p w14:paraId="65A3D297" w14:textId="77777777" w:rsidR="00990B14" w:rsidRDefault="00000000">
            <w:pPr>
              <w:spacing w:before="20" w:after="20"/>
              <w:jc w:val="center"/>
            </w:pPr>
            <w:r>
              <w:rPr>
                <w:b/>
                <w:bCs/>
                <w:sz w:val="18"/>
                <w:szCs w:val="18"/>
              </w:rPr>
              <w:t>4%</w:t>
            </w:r>
          </w:p>
        </w:tc>
      </w:tr>
      <w:tr w:rsidR="00990B14" w14:paraId="131FCA45" w14:textId="77777777">
        <w:trPr>
          <w:cantSplit/>
          <w:jc w:val="center"/>
        </w:trPr>
        <w:tc>
          <w:tcPr>
            <w:tcW w:w="1883" w:type="dxa"/>
            <w:vMerge/>
            <w:shd w:val="clear" w:color="auto" w:fill="4472C4"/>
            <w:vAlign w:val="center"/>
          </w:tcPr>
          <w:p w14:paraId="2C0F6CF6" w14:textId="77777777" w:rsidR="00990B14" w:rsidRDefault="00990B14">
            <w:pPr>
              <w:spacing w:before="20" w:after="20"/>
            </w:pPr>
          </w:p>
        </w:tc>
        <w:tc>
          <w:tcPr>
            <w:tcW w:w="1873" w:type="dxa"/>
            <w:shd w:val="clear" w:color="auto" w:fill="4472C4"/>
            <w:vAlign w:val="center"/>
          </w:tcPr>
          <w:p w14:paraId="66D3F108" w14:textId="77777777" w:rsidR="00990B14" w:rsidRDefault="00000000">
            <w:pPr>
              <w:keepNext/>
              <w:spacing w:before="20" w:after="20"/>
              <w:jc w:val="center"/>
            </w:pPr>
            <w:r>
              <w:rPr>
                <w:b/>
                <w:bCs/>
                <w:i/>
                <w:iCs/>
                <w:color w:val="FFFFFF"/>
                <w:sz w:val="18"/>
                <w:szCs w:val="18"/>
              </w:rPr>
              <w:t>Criterio</w:t>
            </w:r>
          </w:p>
        </w:tc>
        <w:tc>
          <w:tcPr>
            <w:tcW w:w="1869" w:type="dxa"/>
            <w:shd w:val="clear" w:color="auto" w:fill="4472C4"/>
            <w:vAlign w:val="center"/>
          </w:tcPr>
          <w:p w14:paraId="6BD2ADAD"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0C5DA3A9" w14:textId="77777777" w:rsidR="00990B14" w:rsidRDefault="00000000">
            <w:pPr>
              <w:keepNext/>
              <w:spacing w:before="20" w:after="20"/>
              <w:jc w:val="center"/>
            </w:pPr>
            <w:r>
              <w:rPr>
                <w:b/>
                <w:bCs/>
                <w:i/>
                <w:iCs/>
                <w:color w:val="FFFFFF"/>
                <w:sz w:val="18"/>
                <w:szCs w:val="18"/>
              </w:rPr>
              <w:t>Suficiente (51–80)</w:t>
            </w:r>
          </w:p>
        </w:tc>
        <w:tc>
          <w:tcPr>
            <w:tcW w:w="1870" w:type="dxa"/>
            <w:shd w:val="clear" w:color="auto" w:fill="4472C4"/>
            <w:vAlign w:val="center"/>
          </w:tcPr>
          <w:p w14:paraId="7F5C4DC0" w14:textId="77777777" w:rsidR="00990B14" w:rsidRDefault="00000000">
            <w:pPr>
              <w:keepNext/>
              <w:spacing w:before="20" w:after="20"/>
              <w:jc w:val="center"/>
            </w:pPr>
            <w:r>
              <w:rPr>
                <w:b/>
                <w:bCs/>
                <w:i/>
                <w:iCs/>
                <w:color w:val="FFFFFF"/>
                <w:sz w:val="18"/>
                <w:szCs w:val="18"/>
              </w:rPr>
              <w:t>Destacado (81–100)</w:t>
            </w:r>
          </w:p>
        </w:tc>
      </w:tr>
      <w:tr w:rsidR="00990B14" w14:paraId="23E0CB36" w14:textId="77777777">
        <w:trPr>
          <w:cantSplit/>
          <w:jc w:val="center"/>
        </w:trPr>
        <w:tc>
          <w:tcPr>
            <w:tcW w:w="1883" w:type="dxa"/>
            <w:vMerge/>
            <w:shd w:val="clear" w:color="auto" w:fill="4472C4"/>
            <w:vAlign w:val="center"/>
          </w:tcPr>
          <w:p w14:paraId="459F74EF" w14:textId="77777777" w:rsidR="00990B14" w:rsidRDefault="00990B14">
            <w:pPr>
              <w:spacing w:before="20" w:after="20"/>
            </w:pPr>
          </w:p>
        </w:tc>
        <w:tc>
          <w:tcPr>
            <w:tcW w:w="1873" w:type="dxa"/>
            <w:shd w:val="clear" w:color="auto" w:fill="D9E2F3"/>
            <w:vAlign w:val="center"/>
          </w:tcPr>
          <w:p w14:paraId="1155D3B0" w14:textId="77777777" w:rsidR="00990B14" w:rsidRDefault="00000000">
            <w:pPr>
              <w:spacing w:before="20" w:after="20"/>
              <w:jc w:val="both"/>
            </w:pPr>
            <w:r>
              <w:rPr>
                <w:sz w:val="18"/>
                <w:szCs w:val="18"/>
              </w:rPr>
              <w:t>Cadena de valor</w:t>
            </w:r>
          </w:p>
        </w:tc>
        <w:tc>
          <w:tcPr>
            <w:tcW w:w="1869" w:type="dxa"/>
            <w:shd w:val="clear" w:color="auto" w:fill="D9E2F3"/>
            <w:vAlign w:val="center"/>
          </w:tcPr>
          <w:p w14:paraId="24A6B8C4" w14:textId="77777777" w:rsidR="00990B14" w:rsidRDefault="00000000">
            <w:pPr>
              <w:spacing w:before="20" w:after="20"/>
              <w:jc w:val="both"/>
            </w:pPr>
            <w:r>
              <w:rPr>
                <w:sz w:val="18"/>
                <w:szCs w:val="18"/>
              </w:rPr>
              <w:t>Omite actividades.</w:t>
            </w:r>
          </w:p>
        </w:tc>
        <w:tc>
          <w:tcPr>
            <w:tcW w:w="1910" w:type="dxa"/>
            <w:shd w:val="clear" w:color="auto" w:fill="D9E2F3"/>
            <w:vAlign w:val="center"/>
          </w:tcPr>
          <w:p w14:paraId="2B0B0907" w14:textId="77777777" w:rsidR="00990B14" w:rsidRDefault="00000000">
            <w:pPr>
              <w:spacing w:before="20" w:after="20"/>
              <w:jc w:val="both"/>
            </w:pPr>
            <w:r>
              <w:rPr>
                <w:sz w:val="18"/>
                <w:szCs w:val="18"/>
              </w:rPr>
              <w:t>Representa las actividades primarias y de soporte.</w:t>
            </w:r>
          </w:p>
        </w:tc>
        <w:tc>
          <w:tcPr>
            <w:tcW w:w="1870" w:type="dxa"/>
            <w:shd w:val="clear" w:color="auto" w:fill="D9E2F3"/>
            <w:vAlign w:val="center"/>
          </w:tcPr>
          <w:p w14:paraId="61661281" w14:textId="77777777" w:rsidR="00990B14" w:rsidRDefault="00000000">
            <w:pPr>
              <w:spacing w:before="20" w:after="20"/>
              <w:jc w:val="both"/>
            </w:pPr>
            <w:r>
              <w:rPr>
                <w:sz w:val="18"/>
                <w:szCs w:val="18"/>
              </w:rPr>
              <w:t>Identifica las actividades que generan valor.</w:t>
            </w:r>
          </w:p>
        </w:tc>
      </w:tr>
      <w:tr w:rsidR="00990B14" w14:paraId="27D49448" w14:textId="77777777">
        <w:trPr>
          <w:cantSplit/>
          <w:jc w:val="center"/>
        </w:trPr>
        <w:tc>
          <w:tcPr>
            <w:tcW w:w="1883" w:type="dxa"/>
            <w:vMerge/>
            <w:shd w:val="clear" w:color="auto" w:fill="4472C4"/>
            <w:vAlign w:val="center"/>
          </w:tcPr>
          <w:p w14:paraId="01E0A320" w14:textId="77777777" w:rsidR="00990B14" w:rsidRDefault="00990B14">
            <w:pPr>
              <w:spacing w:before="20" w:after="20"/>
            </w:pPr>
          </w:p>
        </w:tc>
        <w:tc>
          <w:tcPr>
            <w:tcW w:w="1873" w:type="dxa"/>
            <w:shd w:val="clear" w:color="auto" w:fill="D9E2F3"/>
            <w:vAlign w:val="center"/>
          </w:tcPr>
          <w:p w14:paraId="21DEA133" w14:textId="77777777" w:rsidR="00990B14" w:rsidRDefault="00000000">
            <w:pPr>
              <w:spacing w:before="20" w:after="20"/>
              <w:jc w:val="both"/>
            </w:pPr>
            <w:r>
              <w:rPr>
                <w:sz w:val="18"/>
                <w:szCs w:val="18"/>
              </w:rPr>
              <w:t>Modelo conceptual</w:t>
            </w:r>
          </w:p>
        </w:tc>
        <w:tc>
          <w:tcPr>
            <w:tcW w:w="1869" w:type="dxa"/>
            <w:shd w:val="clear" w:color="auto" w:fill="D9E2F3"/>
            <w:vAlign w:val="center"/>
          </w:tcPr>
          <w:p w14:paraId="74DAD933" w14:textId="77777777" w:rsidR="00990B14" w:rsidRDefault="00000000">
            <w:pPr>
              <w:spacing w:before="20" w:after="20"/>
              <w:jc w:val="both"/>
            </w:pPr>
            <w:r>
              <w:rPr>
                <w:sz w:val="18"/>
                <w:szCs w:val="18"/>
              </w:rPr>
              <w:t>No distingue los niveles.</w:t>
            </w:r>
          </w:p>
        </w:tc>
        <w:tc>
          <w:tcPr>
            <w:tcW w:w="1910" w:type="dxa"/>
            <w:shd w:val="clear" w:color="auto" w:fill="D9E2F3"/>
            <w:vAlign w:val="center"/>
          </w:tcPr>
          <w:p w14:paraId="0ACB68CD" w14:textId="77777777" w:rsidR="00990B14" w:rsidRDefault="00000000">
            <w:pPr>
              <w:spacing w:before="20" w:after="20"/>
              <w:jc w:val="both"/>
            </w:pPr>
            <w:r>
              <w:rPr>
                <w:sz w:val="18"/>
                <w:szCs w:val="18"/>
              </w:rPr>
              <w:t>Distingue los niveles estratégico, organizativo y de recursos.</w:t>
            </w:r>
          </w:p>
        </w:tc>
        <w:tc>
          <w:tcPr>
            <w:tcW w:w="1870" w:type="dxa"/>
            <w:shd w:val="clear" w:color="auto" w:fill="D9E2F3"/>
            <w:vAlign w:val="center"/>
          </w:tcPr>
          <w:p w14:paraId="388029E9" w14:textId="77777777" w:rsidR="00990B14" w:rsidRDefault="00000000">
            <w:pPr>
              <w:spacing w:before="20" w:after="20"/>
              <w:jc w:val="both"/>
            </w:pPr>
            <w:r>
              <w:rPr>
                <w:sz w:val="18"/>
                <w:szCs w:val="18"/>
              </w:rPr>
              <w:t>Relaciona los niveles con los riesgos de la entidad.</w:t>
            </w:r>
          </w:p>
        </w:tc>
      </w:tr>
      <w:tr w:rsidR="00990B14" w14:paraId="26C7E9B8" w14:textId="77777777">
        <w:trPr>
          <w:cantSplit/>
          <w:jc w:val="center"/>
        </w:trPr>
        <w:tc>
          <w:tcPr>
            <w:tcW w:w="1883" w:type="dxa"/>
            <w:vMerge/>
            <w:shd w:val="clear" w:color="auto" w:fill="4472C4"/>
            <w:vAlign w:val="center"/>
          </w:tcPr>
          <w:p w14:paraId="21495052" w14:textId="77777777" w:rsidR="00990B14" w:rsidRDefault="00990B14">
            <w:pPr>
              <w:spacing w:before="20" w:after="20"/>
            </w:pPr>
          </w:p>
        </w:tc>
        <w:tc>
          <w:tcPr>
            <w:tcW w:w="1873" w:type="dxa"/>
            <w:shd w:val="clear" w:color="auto" w:fill="D9E2F3"/>
            <w:vAlign w:val="center"/>
          </w:tcPr>
          <w:p w14:paraId="149B1C2E" w14:textId="77777777" w:rsidR="00990B14" w:rsidRDefault="00000000">
            <w:pPr>
              <w:spacing w:before="20" w:after="20"/>
              <w:jc w:val="both"/>
            </w:pPr>
            <w:r>
              <w:rPr>
                <w:sz w:val="18"/>
                <w:szCs w:val="18"/>
              </w:rPr>
              <w:t>Presentación</w:t>
            </w:r>
          </w:p>
        </w:tc>
        <w:tc>
          <w:tcPr>
            <w:tcW w:w="1869" w:type="dxa"/>
            <w:shd w:val="clear" w:color="auto" w:fill="D9E2F3"/>
            <w:vAlign w:val="center"/>
          </w:tcPr>
          <w:p w14:paraId="1D94C1A4" w14:textId="77777777" w:rsidR="00990B14" w:rsidRDefault="00000000">
            <w:pPr>
              <w:spacing w:before="20" w:after="20"/>
              <w:jc w:val="both"/>
            </w:pPr>
            <w:r>
              <w:rPr>
                <w:sz w:val="18"/>
                <w:szCs w:val="18"/>
              </w:rPr>
              <w:t>El esquema es confuso.</w:t>
            </w:r>
          </w:p>
        </w:tc>
        <w:tc>
          <w:tcPr>
            <w:tcW w:w="1910" w:type="dxa"/>
            <w:shd w:val="clear" w:color="auto" w:fill="D9E2F3"/>
            <w:vAlign w:val="center"/>
          </w:tcPr>
          <w:p w14:paraId="6ED57B81" w14:textId="77777777" w:rsidR="00990B14" w:rsidRDefault="00000000">
            <w:pPr>
              <w:spacing w:before="20" w:after="20"/>
              <w:jc w:val="both"/>
            </w:pPr>
            <w:r>
              <w:rPr>
                <w:sz w:val="18"/>
                <w:szCs w:val="18"/>
              </w:rPr>
              <w:t>El esquema es claro.</w:t>
            </w:r>
          </w:p>
        </w:tc>
        <w:tc>
          <w:tcPr>
            <w:tcW w:w="1870" w:type="dxa"/>
            <w:shd w:val="clear" w:color="auto" w:fill="D9E2F3"/>
            <w:vAlign w:val="center"/>
          </w:tcPr>
          <w:p w14:paraId="0EEFF648" w14:textId="77777777" w:rsidR="00990B14" w:rsidRDefault="00000000">
            <w:pPr>
              <w:spacing w:before="20" w:after="20"/>
              <w:jc w:val="both"/>
            </w:pPr>
            <w:r>
              <w:rPr>
                <w:sz w:val="18"/>
                <w:szCs w:val="18"/>
              </w:rPr>
              <w:t>El esquema sintetiza la organización con precisión.</w:t>
            </w:r>
          </w:p>
        </w:tc>
      </w:tr>
      <w:tr w:rsidR="00990B14" w14:paraId="063AF555" w14:textId="77777777">
        <w:trPr>
          <w:cantSplit/>
          <w:jc w:val="center"/>
        </w:trPr>
        <w:tc>
          <w:tcPr>
            <w:tcW w:w="1883" w:type="dxa"/>
            <w:vMerge/>
            <w:shd w:val="clear" w:color="auto" w:fill="4472C4"/>
            <w:vAlign w:val="center"/>
          </w:tcPr>
          <w:p w14:paraId="5E5E0F35" w14:textId="77777777" w:rsidR="00990B14" w:rsidRDefault="00990B14">
            <w:pPr>
              <w:spacing w:before="20" w:after="20"/>
            </w:pPr>
          </w:p>
        </w:tc>
        <w:tc>
          <w:tcPr>
            <w:tcW w:w="5652" w:type="dxa"/>
            <w:gridSpan w:val="3"/>
            <w:shd w:val="clear" w:color="auto" w:fill="D9E2F3"/>
            <w:vAlign w:val="center"/>
          </w:tcPr>
          <w:p w14:paraId="597A5C83" w14:textId="77777777" w:rsidR="00990B14" w:rsidRDefault="00000000">
            <w:pPr>
              <w:keepNext/>
              <w:spacing w:before="20" w:after="20"/>
              <w:jc w:val="both"/>
            </w:pPr>
            <w:r>
              <w:rPr>
                <w:b/>
                <w:bCs/>
                <w:i/>
                <w:iCs/>
                <w:sz w:val="18"/>
                <w:szCs w:val="18"/>
              </w:rPr>
              <w:t xml:space="preserve">Producto 3: </w:t>
            </w:r>
            <w:r>
              <w:rPr>
                <w:sz w:val="18"/>
                <w:szCs w:val="18"/>
              </w:rPr>
              <w:t>Fichas de indicadores de gestión</w:t>
            </w:r>
          </w:p>
        </w:tc>
        <w:tc>
          <w:tcPr>
            <w:tcW w:w="1870" w:type="dxa"/>
            <w:shd w:val="clear" w:color="auto" w:fill="D9E2F3"/>
            <w:vAlign w:val="center"/>
          </w:tcPr>
          <w:p w14:paraId="463BFBE2" w14:textId="77777777" w:rsidR="00990B14" w:rsidRDefault="00000000">
            <w:pPr>
              <w:spacing w:before="20" w:after="20"/>
              <w:jc w:val="center"/>
            </w:pPr>
            <w:r>
              <w:rPr>
                <w:b/>
                <w:bCs/>
                <w:sz w:val="18"/>
                <w:szCs w:val="18"/>
              </w:rPr>
              <w:t>4%</w:t>
            </w:r>
          </w:p>
        </w:tc>
      </w:tr>
      <w:tr w:rsidR="00990B14" w14:paraId="79FC836F" w14:textId="77777777">
        <w:trPr>
          <w:cantSplit/>
          <w:jc w:val="center"/>
        </w:trPr>
        <w:tc>
          <w:tcPr>
            <w:tcW w:w="1883" w:type="dxa"/>
            <w:vMerge/>
            <w:shd w:val="clear" w:color="auto" w:fill="4472C4"/>
            <w:vAlign w:val="center"/>
          </w:tcPr>
          <w:p w14:paraId="1EE26465" w14:textId="77777777" w:rsidR="00990B14" w:rsidRDefault="00990B14">
            <w:pPr>
              <w:spacing w:before="20" w:after="20"/>
            </w:pPr>
          </w:p>
        </w:tc>
        <w:tc>
          <w:tcPr>
            <w:tcW w:w="1873" w:type="dxa"/>
            <w:shd w:val="clear" w:color="auto" w:fill="4472C4"/>
            <w:vAlign w:val="center"/>
          </w:tcPr>
          <w:p w14:paraId="6E32381A" w14:textId="77777777" w:rsidR="00990B14" w:rsidRDefault="00000000">
            <w:pPr>
              <w:keepNext/>
              <w:spacing w:before="20" w:after="20"/>
              <w:jc w:val="center"/>
            </w:pPr>
            <w:r>
              <w:rPr>
                <w:b/>
                <w:bCs/>
                <w:i/>
                <w:iCs/>
                <w:color w:val="FFFFFF"/>
                <w:sz w:val="18"/>
                <w:szCs w:val="18"/>
              </w:rPr>
              <w:t>Criterio</w:t>
            </w:r>
          </w:p>
        </w:tc>
        <w:tc>
          <w:tcPr>
            <w:tcW w:w="1869" w:type="dxa"/>
            <w:shd w:val="clear" w:color="auto" w:fill="4472C4"/>
            <w:vAlign w:val="center"/>
          </w:tcPr>
          <w:p w14:paraId="179F2D3E"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5097574C" w14:textId="77777777" w:rsidR="00990B14" w:rsidRDefault="00000000">
            <w:pPr>
              <w:keepNext/>
              <w:spacing w:before="20" w:after="20"/>
              <w:jc w:val="center"/>
            </w:pPr>
            <w:r>
              <w:rPr>
                <w:b/>
                <w:bCs/>
                <w:i/>
                <w:iCs/>
                <w:color w:val="FFFFFF"/>
                <w:sz w:val="18"/>
                <w:szCs w:val="18"/>
              </w:rPr>
              <w:t>Suficiente (51–80)</w:t>
            </w:r>
          </w:p>
        </w:tc>
        <w:tc>
          <w:tcPr>
            <w:tcW w:w="1870" w:type="dxa"/>
            <w:shd w:val="clear" w:color="auto" w:fill="4472C4"/>
            <w:vAlign w:val="center"/>
          </w:tcPr>
          <w:p w14:paraId="58FCEC27" w14:textId="77777777" w:rsidR="00990B14" w:rsidRDefault="00000000">
            <w:pPr>
              <w:keepNext/>
              <w:spacing w:before="20" w:after="20"/>
              <w:jc w:val="center"/>
            </w:pPr>
            <w:r>
              <w:rPr>
                <w:b/>
                <w:bCs/>
                <w:i/>
                <w:iCs/>
                <w:color w:val="FFFFFF"/>
                <w:sz w:val="18"/>
                <w:szCs w:val="18"/>
              </w:rPr>
              <w:t>Destacado (81–100)</w:t>
            </w:r>
          </w:p>
        </w:tc>
      </w:tr>
      <w:tr w:rsidR="00990B14" w14:paraId="6F14129D" w14:textId="77777777">
        <w:trPr>
          <w:cantSplit/>
          <w:jc w:val="center"/>
        </w:trPr>
        <w:tc>
          <w:tcPr>
            <w:tcW w:w="1883" w:type="dxa"/>
            <w:vMerge/>
            <w:shd w:val="clear" w:color="auto" w:fill="4472C4"/>
            <w:vAlign w:val="center"/>
          </w:tcPr>
          <w:p w14:paraId="674B2F69" w14:textId="77777777" w:rsidR="00990B14" w:rsidRDefault="00990B14">
            <w:pPr>
              <w:spacing w:before="20" w:after="20"/>
            </w:pPr>
          </w:p>
        </w:tc>
        <w:tc>
          <w:tcPr>
            <w:tcW w:w="1873" w:type="dxa"/>
            <w:shd w:val="clear" w:color="auto" w:fill="D9E2F3"/>
            <w:vAlign w:val="center"/>
          </w:tcPr>
          <w:p w14:paraId="4A66B32C" w14:textId="77777777" w:rsidR="00990B14" w:rsidRDefault="00000000">
            <w:pPr>
              <w:spacing w:before="20" w:after="20"/>
              <w:jc w:val="both"/>
            </w:pPr>
            <w:r>
              <w:rPr>
                <w:sz w:val="18"/>
                <w:szCs w:val="18"/>
              </w:rPr>
              <w:t>Formulación</w:t>
            </w:r>
          </w:p>
        </w:tc>
        <w:tc>
          <w:tcPr>
            <w:tcW w:w="1869" w:type="dxa"/>
            <w:shd w:val="clear" w:color="auto" w:fill="D9E2F3"/>
            <w:vAlign w:val="center"/>
          </w:tcPr>
          <w:p w14:paraId="60F48BA1" w14:textId="77777777" w:rsidR="00990B14" w:rsidRDefault="00000000">
            <w:pPr>
              <w:spacing w:before="20" w:after="20"/>
              <w:jc w:val="both"/>
            </w:pPr>
            <w:r>
              <w:rPr>
                <w:sz w:val="18"/>
                <w:szCs w:val="18"/>
              </w:rPr>
              <w:t>Los indicadores no miden el objetivo.</w:t>
            </w:r>
          </w:p>
        </w:tc>
        <w:tc>
          <w:tcPr>
            <w:tcW w:w="1910" w:type="dxa"/>
            <w:shd w:val="clear" w:color="auto" w:fill="D9E2F3"/>
            <w:vAlign w:val="center"/>
          </w:tcPr>
          <w:p w14:paraId="209D87DE" w14:textId="77777777" w:rsidR="00990B14" w:rsidRDefault="00000000">
            <w:pPr>
              <w:spacing w:before="20" w:after="20"/>
              <w:jc w:val="both"/>
            </w:pPr>
            <w:r>
              <w:rPr>
                <w:sz w:val="18"/>
                <w:szCs w:val="18"/>
              </w:rPr>
              <w:t>Formula indicadores con fórmula, meta y frecuencia.</w:t>
            </w:r>
          </w:p>
        </w:tc>
        <w:tc>
          <w:tcPr>
            <w:tcW w:w="1870" w:type="dxa"/>
            <w:shd w:val="clear" w:color="auto" w:fill="D9E2F3"/>
            <w:vAlign w:val="center"/>
          </w:tcPr>
          <w:p w14:paraId="56720419" w14:textId="77777777" w:rsidR="00990B14" w:rsidRDefault="00000000">
            <w:pPr>
              <w:spacing w:before="20" w:after="20"/>
              <w:jc w:val="both"/>
            </w:pPr>
            <w:r>
              <w:rPr>
                <w:sz w:val="18"/>
                <w:szCs w:val="18"/>
              </w:rPr>
              <w:t>Cubre las cuatro dimensiones de economía, eficiencia, eficacia y efectividad.</w:t>
            </w:r>
          </w:p>
        </w:tc>
      </w:tr>
      <w:tr w:rsidR="00990B14" w14:paraId="309B15F9" w14:textId="77777777">
        <w:trPr>
          <w:cantSplit/>
          <w:jc w:val="center"/>
        </w:trPr>
        <w:tc>
          <w:tcPr>
            <w:tcW w:w="1883" w:type="dxa"/>
            <w:vMerge/>
            <w:shd w:val="clear" w:color="auto" w:fill="4472C4"/>
            <w:vAlign w:val="center"/>
          </w:tcPr>
          <w:p w14:paraId="701B0193" w14:textId="77777777" w:rsidR="00990B14" w:rsidRDefault="00990B14">
            <w:pPr>
              <w:spacing w:before="20" w:after="20"/>
            </w:pPr>
          </w:p>
        </w:tc>
        <w:tc>
          <w:tcPr>
            <w:tcW w:w="1873" w:type="dxa"/>
            <w:shd w:val="clear" w:color="auto" w:fill="D9E2F3"/>
            <w:vAlign w:val="center"/>
          </w:tcPr>
          <w:p w14:paraId="57185E03" w14:textId="77777777" w:rsidR="00990B14" w:rsidRDefault="00000000">
            <w:pPr>
              <w:spacing w:before="20" w:after="20"/>
              <w:jc w:val="both"/>
            </w:pPr>
            <w:r>
              <w:rPr>
                <w:sz w:val="18"/>
                <w:szCs w:val="18"/>
              </w:rPr>
              <w:t>Ficha técnica</w:t>
            </w:r>
          </w:p>
        </w:tc>
        <w:tc>
          <w:tcPr>
            <w:tcW w:w="1869" w:type="dxa"/>
            <w:shd w:val="clear" w:color="auto" w:fill="D9E2F3"/>
            <w:vAlign w:val="center"/>
          </w:tcPr>
          <w:p w14:paraId="5CDB6B6F" w14:textId="77777777" w:rsidR="00990B14" w:rsidRDefault="00000000">
            <w:pPr>
              <w:spacing w:before="20" w:after="20"/>
              <w:jc w:val="both"/>
            </w:pPr>
            <w:r>
              <w:rPr>
                <w:sz w:val="18"/>
                <w:szCs w:val="18"/>
              </w:rPr>
              <w:t>La ficha es incompleta.</w:t>
            </w:r>
          </w:p>
        </w:tc>
        <w:tc>
          <w:tcPr>
            <w:tcW w:w="1910" w:type="dxa"/>
            <w:shd w:val="clear" w:color="auto" w:fill="D9E2F3"/>
            <w:vAlign w:val="center"/>
          </w:tcPr>
          <w:p w14:paraId="68B57310" w14:textId="77777777" w:rsidR="00990B14" w:rsidRDefault="00000000">
            <w:pPr>
              <w:spacing w:before="20" w:after="20"/>
              <w:jc w:val="both"/>
            </w:pPr>
            <w:r>
              <w:rPr>
                <w:sz w:val="18"/>
                <w:szCs w:val="18"/>
              </w:rPr>
              <w:t>Completa la ficha técnica de cada indicador.</w:t>
            </w:r>
          </w:p>
        </w:tc>
        <w:tc>
          <w:tcPr>
            <w:tcW w:w="1870" w:type="dxa"/>
            <w:shd w:val="clear" w:color="auto" w:fill="D9E2F3"/>
            <w:vAlign w:val="center"/>
          </w:tcPr>
          <w:p w14:paraId="140C22AD" w14:textId="77777777" w:rsidR="00990B14" w:rsidRDefault="00000000">
            <w:pPr>
              <w:spacing w:before="20" w:after="20"/>
              <w:jc w:val="both"/>
            </w:pPr>
            <w:r>
              <w:rPr>
                <w:sz w:val="18"/>
                <w:szCs w:val="18"/>
              </w:rPr>
              <w:t>Identifica la fuente y la calidad de los datos.</w:t>
            </w:r>
          </w:p>
        </w:tc>
      </w:tr>
      <w:tr w:rsidR="00990B14" w14:paraId="7060E36B" w14:textId="77777777">
        <w:trPr>
          <w:cantSplit/>
          <w:jc w:val="center"/>
        </w:trPr>
        <w:tc>
          <w:tcPr>
            <w:tcW w:w="1883" w:type="dxa"/>
            <w:vMerge/>
            <w:shd w:val="clear" w:color="auto" w:fill="4472C4"/>
            <w:vAlign w:val="center"/>
          </w:tcPr>
          <w:p w14:paraId="48A6C41A" w14:textId="77777777" w:rsidR="00990B14" w:rsidRDefault="00990B14">
            <w:pPr>
              <w:spacing w:before="20" w:after="20"/>
            </w:pPr>
          </w:p>
        </w:tc>
        <w:tc>
          <w:tcPr>
            <w:tcW w:w="1873" w:type="dxa"/>
            <w:shd w:val="clear" w:color="auto" w:fill="D9E2F3"/>
            <w:vAlign w:val="center"/>
          </w:tcPr>
          <w:p w14:paraId="40BE00B2" w14:textId="77777777" w:rsidR="00990B14" w:rsidRDefault="00000000">
            <w:pPr>
              <w:spacing w:before="20" w:after="20"/>
              <w:jc w:val="both"/>
            </w:pPr>
            <w:r>
              <w:rPr>
                <w:sz w:val="18"/>
                <w:szCs w:val="18"/>
              </w:rPr>
              <w:t>Pertinencia</w:t>
            </w:r>
          </w:p>
        </w:tc>
        <w:tc>
          <w:tcPr>
            <w:tcW w:w="1869" w:type="dxa"/>
            <w:shd w:val="clear" w:color="auto" w:fill="D9E2F3"/>
            <w:vAlign w:val="center"/>
          </w:tcPr>
          <w:p w14:paraId="542D920B" w14:textId="77777777" w:rsidR="00990B14" w:rsidRDefault="00000000">
            <w:pPr>
              <w:spacing w:before="20" w:after="20"/>
              <w:jc w:val="both"/>
            </w:pPr>
            <w:r>
              <w:rPr>
                <w:sz w:val="18"/>
                <w:szCs w:val="18"/>
              </w:rPr>
              <w:t>Los indicadores son irrelevantes.</w:t>
            </w:r>
          </w:p>
        </w:tc>
        <w:tc>
          <w:tcPr>
            <w:tcW w:w="1910" w:type="dxa"/>
            <w:shd w:val="clear" w:color="auto" w:fill="D9E2F3"/>
            <w:vAlign w:val="center"/>
          </w:tcPr>
          <w:p w14:paraId="7348809E" w14:textId="77777777" w:rsidR="00990B14" w:rsidRDefault="00000000">
            <w:pPr>
              <w:spacing w:before="20" w:after="20"/>
              <w:jc w:val="both"/>
            </w:pPr>
            <w:r>
              <w:rPr>
                <w:sz w:val="18"/>
                <w:szCs w:val="18"/>
              </w:rPr>
              <w:t>Los indicadores son pertinentes para la entidad.</w:t>
            </w:r>
          </w:p>
        </w:tc>
        <w:tc>
          <w:tcPr>
            <w:tcW w:w="1870" w:type="dxa"/>
            <w:shd w:val="clear" w:color="auto" w:fill="D9E2F3"/>
            <w:vAlign w:val="center"/>
          </w:tcPr>
          <w:p w14:paraId="3F7B1852" w14:textId="77777777" w:rsidR="00990B14" w:rsidRDefault="00000000">
            <w:pPr>
              <w:spacing w:before="20" w:after="20"/>
              <w:jc w:val="both"/>
            </w:pPr>
            <w:r>
              <w:rPr>
                <w:sz w:val="18"/>
                <w:szCs w:val="18"/>
              </w:rPr>
              <w:t>Incluye indicadores de sostenibilidad cuando corresponde.</w:t>
            </w:r>
          </w:p>
        </w:tc>
      </w:tr>
      <w:tr w:rsidR="00990B14" w14:paraId="4249B64C" w14:textId="77777777">
        <w:trPr>
          <w:cantSplit/>
          <w:jc w:val="center"/>
        </w:trPr>
        <w:tc>
          <w:tcPr>
            <w:tcW w:w="1883" w:type="dxa"/>
            <w:vMerge/>
            <w:shd w:val="clear" w:color="auto" w:fill="4472C4"/>
            <w:vAlign w:val="center"/>
          </w:tcPr>
          <w:p w14:paraId="500173B6" w14:textId="77777777" w:rsidR="00990B14" w:rsidRDefault="00990B14">
            <w:pPr>
              <w:spacing w:before="20" w:after="20"/>
            </w:pPr>
          </w:p>
        </w:tc>
        <w:tc>
          <w:tcPr>
            <w:tcW w:w="5652" w:type="dxa"/>
            <w:gridSpan w:val="3"/>
            <w:shd w:val="clear" w:color="auto" w:fill="D9E2F3"/>
            <w:vAlign w:val="center"/>
          </w:tcPr>
          <w:p w14:paraId="62C0E010" w14:textId="77777777" w:rsidR="00990B14" w:rsidRDefault="00000000">
            <w:pPr>
              <w:keepNext/>
              <w:spacing w:before="20" w:after="20"/>
              <w:jc w:val="both"/>
            </w:pPr>
            <w:r>
              <w:rPr>
                <w:b/>
                <w:bCs/>
                <w:i/>
                <w:iCs/>
                <w:sz w:val="18"/>
                <w:szCs w:val="18"/>
              </w:rPr>
              <w:t xml:space="preserve">Producto 4: </w:t>
            </w:r>
            <w:r>
              <w:rPr>
                <w:sz w:val="18"/>
                <w:szCs w:val="18"/>
              </w:rPr>
              <w:t>Cuadro de mando integral</w:t>
            </w:r>
          </w:p>
        </w:tc>
        <w:tc>
          <w:tcPr>
            <w:tcW w:w="1870" w:type="dxa"/>
            <w:shd w:val="clear" w:color="auto" w:fill="D9E2F3"/>
            <w:vAlign w:val="center"/>
          </w:tcPr>
          <w:p w14:paraId="1C60A294" w14:textId="77777777" w:rsidR="00990B14" w:rsidRDefault="00000000">
            <w:pPr>
              <w:spacing w:before="20" w:after="20"/>
              <w:jc w:val="center"/>
            </w:pPr>
            <w:r>
              <w:rPr>
                <w:b/>
                <w:bCs/>
                <w:sz w:val="18"/>
                <w:szCs w:val="18"/>
              </w:rPr>
              <w:t>3%</w:t>
            </w:r>
          </w:p>
        </w:tc>
      </w:tr>
      <w:tr w:rsidR="00990B14" w14:paraId="0105271C" w14:textId="77777777">
        <w:trPr>
          <w:cantSplit/>
          <w:jc w:val="center"/>
        </w:trPr>
        <w:tc>
          <w:tcPr>
            <w:tcW w:w="1883" w:type="dxa"/>
            <w:vMerge/>
            <w:shd w:val="clear" w:color="auto" w:fill="4472C4"/>
            <w:vAlign w:val="center"/>
          </w:tcPr>
          <w:p w14:paraId="20E353BC" w14:textId="77777777" w:rsidR="00990B14" w:rsidRDefault="00990B14">
            <w:pPr>
              <w:spacing w:before="20" w:after="20"/>
            </w:pPr>
          </w:p>
        </w:tc>
        <w:tc>
          <w:tcPr>
            <w:tcW w:w="1873" w:type="dxa"/>
            <w:shd w:val="clear" w:color="auto" w:fill="4472C4"/>
            <w:vAlign w:val="center"/>
          </w:tcPr>
          <w:p w14:paraId="4C1009C5" w14:textId="77777777" w:rsidR="00990B14" w:rsidRDefault="00000000">
            <w:pPr>
              <w:keepNext/>
              <w:spacing w:before="20" w:after="20"/>
              <w:jc w:val="center"/>
            </w:pPr>
            <w:r>
              <w:rPr>
                <w:b/>
                <w:bCs/>
                <w:i/>
                <w:iCs/>
                <w:color w:val="FFFFFF"/>
                <w:sz w:val="18"/>
                <w:szCs w:val="18"/>
              </w:rPr>
              <w:t>Criterio</w:t>
            </w:r>
          </w:p>
        </w:tc>
        <w:tc>
          <w:tcPr>
            <w:tcW w:w="1869" w:type="dxa"/>
            <w:shd w:val="clear" w:color="auto" w:fill="4472C4"/>
            <w:vAlign w:val="center"/>
          </w:tcPr>
          <w:p w14:paraId="1E53A66E"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0A2497F7" w14:textId="77777777" w:rsidR="00990B14" w:rsidRDefault="00000000">
            <w:pPr>
              <w:keepNext/>
              <w:spacing w:before="20" w:after="20"/>
              <w:jc w:val="center"/>
            </w:pPr>
            <w:r>
              <w:rPr>
                <w:b/>
                <w:bCs/>
                <w:i/>
                <w:iCs/>
                <w:color w:val="FFFFFF"/>
                <w:sz w:val="18"/>
                <w:szCs w:val="18"/>
              </w:rPr>
              <w:t>Suficiente (51–80)</w:t>
            </w:r>
          </w:p>
        </w:tc>
        <w:tc>
          <w:tcPr>
            <w:tcW w:w="1870" w:type="dxa"/>
            <w:shd w:val="clear" w:color="auto" w:fill="4472C4"/>
            <w:vAlign w:val="center"/>
          </w:tcPr>
          <w:p w14:paraId="38E69594" w14:textId="77777777" w:rsidR="00990B14" w:rsidRDefault="00000000">
            <w:pPr>
              <w:keepNext/>
              <w:spacing w:before="20" w:after="20"/>
              <w:jc w:val="center"/>
            </w:pPr>
            <w:r>
              <w:rPr>
                <w:b/>
                <w:bCs/>
                <w:i/>
                <w:iCs/>
                <w:color w:val="FFFFFF"/>
                <w:sz w:val="18"/>
                <w:szCs w:val="18"/>
              </w:rPr>
              <w:t>Destacado (81–100)</w:t>
            </w:r>
          </w:p>
        </w:tc>
      </w:tr>
      <w:tr w:rsidR="00990B14" w14:paraId="6DD5DB64" w14:textId="77777777">
        <w:trPr>
          <w:cantSplit/>
          <w:jc w:val="center"/>
        </w:trPr>
        <w:tc>
          <w:tcPr>
            <w:tcW w:w="1883" w:type="dxa"/>
            <w:vMerge/>
            <w:shd w:val="clear" w:color="auto" w:fill="4472C4"/>
            <w:vAlign w:val="center"/>
          </w:tcPr>
          <w:p w14:paraId="3DBA1691" w14:textId="77777777" w:rsidR="00990B14" w:rsidRDefault="00990B14">
            <w:pPr>
              <w:spacing w:before="20" w:after="20"/>
            </w:pPr>
          </w:p>
        </w:tc>
        <w:tc>
          <w:tcPr>
            <w:tcW w:w="1873" w:type="dxa"/>
            <w:shd w:val="clear" w:color="auto" w:fill="D9E2F3"/>
            <w:vAlign w:val="center"/>
          </w:tcPr>
          <w:p w14:paraId="270097C3" w14:textId="77777777" w:rsidR="00990B14" w:rsidRDefault="00000000">
            <w:pPr>
              <w:spacing w:before="20" w:after="20"/>
              <w:jc w:val="both"/>
            </w:pPr>
            <w:r>
              <w:rPr>
                <w:sz w:val="18"/>
                <w:szCs w:val="18"/>
              </w:rPr>
              <w:t>Perspectivas</w:t>
            </w:r>
          </w:p>
        </w:tc>
        <w:tc>
          <w:tcPr>
            <w:tcW w:w="1869" w:type="dxa"/>
            <w:shd w:val="clear" w:color="auto" w:fill="D9E2F3"/>
            <w:vAlign w:val="center"/>
          </w:tcPr>
          <w:p w14:paraId="5CCAE609" w14:textId="77777777" w:rsidR="00990B14" w:rsidRDefault="00000000">
            <w:pPr>
              <w:spacing w:before="20" w:after="20"/>
              <w:jc w:val="both"/>
            </w:pPr>
            <w:r>
              <w:rPr>
                <w:sz w:val="18"/>
                <w:szCs w:val="18"/>
              </w:rPr>
              <w:t>Omite perspectivas.</w:t>
            </w:r>
          </w:p>
        </w:tc>
        <w:tc>
          <w:tcPr>
            <w:tcW w:w="1910" w:type="dxa"/>
            <w:shd w:val="clear" w:color="auto" w:fill="D9E2F3"/>
            <w:vAlign w:val="center"/>
          </w:tcPr>
          <w:p w14:paraId="6EE7CB12" w14:textId="77777777" w:rsidR="00990B14" w:rsidRDefault="00000000">
            <w:pPr>
              <w:spacing w:before="20" w:after="20"/>
              <w:jc w:val="both"/>
            </w:pPr>
            <w:r>
              <w:rPr>
                <w:sz w:val="18"/>
                <w:szCs w:val="18"/>
              </w:rPr>
              <w:t>Organiza los indicadores en las cuatro perspectivas.</w:t>
            </w:r>
          </w:p>
        </w:tc>
        <w:tc>
          <w:tcPr>
            <w:tcW w:w="1870" w:type="dxa"/>
            <w:shd w:val="clear" w:color="auto" w:fill="D9E2F3"/>
            <w:vAlign w:val="center"/>
          </w:tcPr>
          <w:p w14:paraId="4D666FA5" w14:textId="77777777" w:rsidR="00990B14" w:rsidRDefault="00000000">
            <w:pPr>
              <w:spacing w:before="20" w:after="20"/>
              <w:jc w:val="both"/>
            </w:pPr>
            <w:r>
              <w:rPr>
                <w:sz w:val="18"/>
                <w:szCs w:val="18"/>
              </w:rPr>
              <w:t>Relaciona las perspectivas con la estrategia.</w:t>
            </w:r>
          </w:p>
        </w:tc>
      </w:tr>
      <w:tr w:rsidR="00990B14" w14:paraId="7010A909" w14:textId="77777777">
        <w:trPr>
          <w:cantSplit/>
          <w:jc w:val="center"/>
        </w:trPr>
        <w:tc>
          <w:tcPr>
            <w:tcW w:w="1883" w:type="dxa"/>
            <w:vMerge/>
            <w:shd w:val="clear" w:color="auto" w:fill="4472C4"/>
            <w:vAlign w:val="center"/>
          </w:tcPr>
          <w:p w14:paraId="404E6BFC" w14:textId="77777777" w:rsidR="00990B14" w:rsidRDefault="00990B14">
            <w:pPr>
              <w:spacing w:before="20" w:after="20"/>
            </w:pPr>
          </w:p>
        </w:tc>
        <w:tc>
          <w:tcPr>
            <w:tcW w:w="1873" w:type="dxa"/>
            <w:shd w:val="clear" w:color="auto" w:fill="D9E2F3"/>
            <w:vAlign w:val="center"/>
          </w:tcPr>
          <w:p w14:paraId="1B9188AD" w14:textId="77777777" w:rsidR="00990B14" w:rsidRDefault="00000000">
            <w:pPr>
              <w:spacing w:before="20" w:after="20"/>
              <w:jc w:val="both"/>
            </w:pPr>
            <w:r>
              <w:rPr>
                <w:sz w:val="18"/>
                <w:szCs w:val="18"/>
              </w:rPr>
              <w:t>Interpretación</w:t>
            </w:r>
          </w:p>
        </w:tc>
        <w:tc>
          <w:tcPr>
            <w:tcW w:w="1869" w:type="dxa"/>
            <w:shd w:val="clear" w:color="auto" w:fill="D9E2F3"/>
            <w:vAlign w:val="center"/>
          </w:tcPr>
          <w:p w14:paraId="39351E6E" w14:textId="77777777" w:rsidR="00990B14" w:rsidRDefault="00000000">
            <w:pPr>
              <w:spacing w:before="20" w:after="20"/>
              <w:jc w:val="both"/>
            </w:pPr>
            <w:r>
              <w:rPr>
                <w:sz w:val="18"/>
                <w:szCs w:val="18"/>
              </w:rPr>
              <w:t>No interpreta los resultados.</w:t>
            </w:r>
          </w:p>
        </w:tc>
        <w:tc>
          <w:tcPr>
            <w:tcW w:w="1910" w:type="dxa"/>
            <w:shd w:val="clear" w:color="auto" w:fill="D9E2F3"/>
            <w:vAlign w:val="center"/>
          </w:tcPr>
          <w:p w14:paraId="45DD23AC" w14:textId="77777777" w:rsidR="00990B14" w:rsidRDefault="00000000">
            <w:pPr>
              <w:spacing w:before="20" w:after="20"/>
              <w:jc w:val="both"/>
            </w:pPr>
            <w:r>
              <w:rPr>
                <w:sz w:val="18"/>
                <w:szCs w:val="18"/>
              </w:rPr>
              <w:t>Interpreta los resultados frente a las metas.</w:t>
            </w:r>
          </w:p>
        </w:tc>
        <w:tc>
          <w:tcPr>
            <w:tcW w:w="1870" w:type="dxa"/>
            <w:shd w:val="clear" w:color="auto" w:fill="D9E2F3"/>
            <w:vAlign w:val="center"/>
          </w:tcPr>
          <w:p w14:paraId="4FAE62C9" w14:textId="77777777" w:rsidR="00990B14" w:rsidRDefault="00000000">
            <w:pPr>
              <w:spacing w:before="20" w:after="20"/>
              <w:jc w:val="both"/>
            </w:pPr>
            <w:r>
              <w:rPr>
                <w:sz w:val="18"/>
                <w:szCs w:val="18"/>
              </w:rPr>
              <w:t>Propone acciones correctivas.</w:t>
            </w:r>
          </w:p>
        </w:tc>
      </w:tr>
      <w:tr w:rsidR="00990B14" w14:paraId="6ADCCFF7" w14:textId="77777777">
        <w:trPr>
          <w:cantSplit/>
          <w:jc w:val="center"/>
        </w:trPr>
        <w:tc>
          <w:tcPr>
            <w:tcW w:w="1883" w:type="dxa"/>
            <w:vMerge/>
            <w:shd w:val="clear" w:color="auto" w:fill="4472C4"/>
            <w:vAlign w:val="center"/>
          </w:tcPr>
          <w:p w14:paraId="4A31AD50" w14:textId="77777777" w:rsidR="00990B14" w:rsidRDefault="00990B14">
            <w:pPr>
              <w:spacing w:before="20" w:after="20"/>
            </w:pPr>
          </w:p>
        </w:tc>
        <w:tc>
          <w:tcPr>
            <w:tcW w:w="1873" w:type="dxa"/>
            <w:shd w:val="clear" w:color="auto" w:fill="D9E2F3"/>
            <w:vAlign w:val="center"/>
          </w:tcPr>
          <w:p w14:paraId="6ED2B764" w14:textId="77777777" w:rsidR="00990B14" w:rsidRDefault="00000000">
            <w:pPr>
              <w:spacing w:before="20" w:after="20"/>
              <w:jc w:val="both"/>
            </w:pPr>
            <w:r>
              <w:rPr>
                <w:sz w:val="18"/>
                <w:szCs w:val="18"/>
              </w:rPr>
              <w:t>Herramienta</w:t>
            </w:r>
          </w:p>
        </w:tc>
        <w:tc>
          <w:tcPr>
            <w:tcW w:w="1869" w:type="dxa"/>
            <w:shd w:val="clear" w:color="auto" w:fill="D9E2F3"/>
            <w:vAlign w:val="center"/>
          </w:tcPr>
          <w:p w14:paraId="24D275A9" w14:textId="77777777" w:rsidR="00990B14" w:rsidRDefault="00000000">
            <w:pPr>
              <w:spacing w:before="20" w:after="20"/>
              <w:jc w:val="both"/>
            </w:pPr>
            <w:r>
              <w:rPr>
                <w:sz w:val="18"/>
                <w:szCs w:val="18"/>
              </w:rPr>
              <w:t>No usa una herramienta digital.</w:t>
            </w:r>
          </w:p>
        </w:tc>
        <w:tc>
          <w:tcPr>
            <w:tcW w:w="1910" w:type="dxa"/>
            <w:shd w:val="clear" w:color="auto" w:fill="D9E2F3"/>
            <w:vAlign w:val="center"/>
          </w:tcPr>
          <w:p w14:paraId="38F89176" w14:textId="77777777" w:rsidR="00990B14" w:rsidRDefault="00000000">
            <w:pPr>
              <w:spacing w:before="20" w:after="20"/>
              <w:jc w:val="both"/>
            </w:pPr>
            <w:r>
              <w:rPr>
                <w:sz w:val="18"/>
                <w:szCs w:val="18"/>
              </w:rPr>
              <w:t>Construye el cuadro en hoja de cálculo.</w:t>
            </w:r>
          </w:p>
        </w:tc>
        <w:tc>
          <w:tcPr>
            <w:tcW w:w="1870" w:type="dxa"/>
            <w:shd w:val="clear" w:color="auto" w:fill="D9E2F3"/>
            <w:vAlign w:val="center"/>
          </w:tcPr>
          <w:p w14:paraId="32F13722" w14:textId="77777777" w:rsidR="00990B14" w:rsidRDefault="00000000">
            <w:pPr>
              <w:spacing w:before="20" w:after="20"/>
              <w:jc w:val="both"/>
            </w:pPr>
            <w:r>
              <w:rPr>
                <w:sz w:val="18"/>
                <w:szCs w:val="18"/>
              </w:rPr>
              <w:t>Presenta el cuadro en un tablero de control.</w:t>
            </w:r>
          </w:p>
        </w:tc>
      </w:tr>
      <w:tr w:rsidR="00990B14" w14:paraId="7FB890CA" w14:textId="77777777">
        <w:trPr>
          <w:cantSplit/>
          <w:jc w:val="center"/>
        </w:trPr>
        <w:tc>
          <w:tcPr>
            <w:tcW w:w="1883" w:type="dxa"/>
            <w:vMerge/>
            <w:shd w:val="clear" w:color="auto" w:fill="4472C4"/>
            <w:vAlign w:val="center"/>
          </w:tcPr>
          <w:p w14:paraId="342334E9" w14:textId="77777777" w:rsidR="00990B14" w:rsidRDefault="00990B14">
            <w:pPr>
              <w:spacing w:before="20" w:after="20"/>
            </w:pPr>
          </w:p>
        </w:tc>
        <w:tc>
          <w:tcPr>
            <w:tcW w:w="5652" w:type="dxa"/>
            <w:gridSpan w:val="3"/>
            <w:shd w:val="clear" w:color="auto" w:fill="D9E2F3"/>
            <w:vAlign w:val="center"/>
          </w:tcPr>
          <w:p w14:paraId="45B1A3FD" w14:textId="77777777" w:rsidR="00990B14" w:rsidRDefault="00000000">
            <w:pPr>
              <w:keepNext/>
              <w:spacing w:before="20" w:after="20"/>
              <w:jc w:val="both"/>
            </w:pPr>
            <w:r>
              <w:rPr>
                <w:b/>
                <w:bCs/>
                <w:i/>
                <w:iCs/>
                <w:sz w:val="18"/>
                <w:szCs w:val="18"/>
              </w:rPr>
              <w:t xml:space="preserve">Producto 5: </w:t>
            </w:r>
            <w:r>
              <w:rPr>
                <w:sz w:val="18"/>
                <w:szCs w:val="18"/>
              </w:rPr>
              <w:t>Esquema de la clasificación de los encargos de aseguramiento</w:t>
            </w:r>
          </w:p>
        </w:tc>
        <w:tc>
          <w:tcPr>
            <w:tcW w:w="1870" w:type="dxa"/>
            <w:shd w:val="clear" w:color="auto" w:fill="D9E2F3"/>
            <w:vAlign w:val="center"/>
          </w:tcPr>
          <w:p w14:paraId="4AECF67A" w14:textId="77777777" w:rsidR="00990B14" w:rsidRDefault="00000000">
            <w:pPr>
              <w:spacing w:before="20" w:after="20"/>
              <w:jc w:val="center"/>
            </w:pPr>
            <w:r>
              <w:rPr>
                <w:b/>
                <w:bCs/>
                <w:sz w:val="18"/>
                <w:szCs w:val="18"/>
              </w:rPr>
              <w:t>4%</w:t>
            </w:r>
          </w:p>
        </w:tc>
      </w:tr>
      <w:tr w:rsidR="00990B14" w14:paraId="0A447E8B" w14:textId="77777777">
        <w:trPr>
          <w:cantSplit/>
          <w:jc w:val="center"/>
        </w:trPr>
        <w:tc>
          <w:tcPr>
            <w:tcW w:w="1883" w:type="dxa"/>
            <w:vMerge/>
            <w:shd w:val="clear" w:color="auto" w:fill="4472C4"/>
            <w:vAlign w:val="center"/>
          </w:tcPr>
          <w:p w14:paraId="669799DB" w14:textId="77777777" w:rsidR="00990B14" w:rsidRDefault="00990B14">
            <w:pPr>
              <w:spacing w:before="20" w:after="20"/>
            </w:pPr>
          </w:p>
        </w:tc>
        <w:tc>
          <w:tcPr>
            <w:tcW w:w="1873" w:type="dxa"/>
            <w:shd w:val="clear" w:color="auto" w:fill="4472C4"/>
            <w:vAlign w:val="center"/>
          </w:tcPr>
          <w:p w14:paraId="60F645CA" w14:textId="77777777" w:rsidR="00990B14" w:rsidRDefault="00000000">
            <w:pPr>
              <w:keepNext/>
              <w:spacing w:before="20" w:after="20"/>
              <w:jc w:val="center"/>
            </w:pPr>
            <w:r>
              <w:rPr>
                <w:b/>
                <w:bCs/>
                <w:i/>
                <w:iCs/>
                <w:color w:val="FFFFFF"/>
                <w:sz w:val="18"/>
                <w:szCs w:val="18"/>
              </w:rPr>
              <w:t>Criterio</w:t>
            </w:r>
          </w:p>
        </w:tc>
        <w:tc>
          <w:tcPr>
            <w:tcW w:w="1869" w:type="dxa"/>
            <w:shd w:val="clear" w:color="auto" w:fill="4472C4"/>
            <w:vAlign w:val="center"/>
          </w:tcPr>
          <w:p w14:paraId="62E0516A"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52A03316" w14:textId="77777777" w:rsidR="00990B14" w:rsidRDefault="00000000">
            <w:pPr>
              <w:keepNext/>
              <w:spacing w:before="20" w:after="20"/>
              <w:jc w:val="center"/>
            </w:pPr>
            <w:r>
              <w:rPr>
                <w:b/>
                <w:bCs/>
                <w:i/>
                <w:iCs/>
                <w:color w:val="FFFFFF"/>
                <w:sz w:val="18"/>
                <w:szCs w:val="18"/>
              </w:rPr>
              <w:t>Suficiente (51–80)</w:t>
            </w:r>
          </w:p>
        </w:tc>
        <w:tc>
          <w:tcPr>
            <w:tcW w:w="1870" w:type="dxa"/>
            <w:shd w:val="clear" w:color="auto" w:fill="4472C4"/>
            <w:vAlign w:val="center"/>
          </w:tcPr>
          <w:p w14:paraId="66D4BC31" w14:textId="77777777" w:rsidR="00990B14" w:rsidRDefault="00000000">
            <w:pPr>
              <w:keepNext/>
              <w:spacing w:before="20" w:after="20"/>
              <w:jc w:val="center"/>
            </w:pPr>
            <w:r>
              <w:rPr>
                <w:b/>
                <w:bCs/>
                <w:i/>
                <w:iCs/>
                <w:color w:val="FFFFFF"/>
                <w:sz w:val="18"/>
                <w:szCs w:val="18"/>
              </w:rPr>
              <w:t>Destacado (81–100)</w:t>
            </w:r>
          </w:p>
        </w:tc>
      </w:tr>
      <w:tr w:rsidR="00990B14" w14:paraId="2D025D24" w14:textId="77777777">
        <w:trPr>
          <w:cantSplit/>
          <w:jc w:val="center"/>
        </w:trPr>
        <w:tc>
          <w:tcPr>
            <w:tcW w:w="1883" w:type="dxa"/>
            <w:vMerge/>
            <w:shd w:val="clear" w:color="auto" w:fill="4472C4"/>
            <w:vAlign w:val="center"/>
          </w:tcPr>
          <w:p w14:paraId="00B74CB4" w14:textId="77777777" w:rsidR="00990B14" w:rsidRDefault="00990B14">
            <w:pPr>
              <w:spacing w:before="20" w:after="20"/>
            </w:pPr>
          </w:p>
        </w:tc>
        <w:tc>
          <w:tcPr>
            <w:tcW w:w="1873" w:type="dxa"/>
            <w:shd w:val="clear" w:color="auto" w:fill="D9E2F3"/>
            <w:vAlign w:val="center"/>
          </w:tcPr>
          <w:p w14:paraId="13063D55" w14:textId="77777777" w:rsidR="00990B14" w:rsidRDefault="00000000">
            <w:pPr>
              <w:spacing w:before="20" w:after="20"/>
              <w:jc w:val="both"/>
            </w:pPr>
            <w:r>
              <w:rPr>
                <w:sz w:val="18"/>
                <w:szCs w:val="18"/>
              </w:rPr>
              <w:t>Clasificación</w:t>
            </w:r>
          </w:p>
        </w:tc>
        <w:tc>
          <w:tcPr>
            <w:tcW w:w="1869" w:type="dxa"/>
            <w:shd w:val="clear" w:color="auto" w:fill="D9E2F3"/>
            <w:vAlign w:val="center"/>
          </w:tcPr>
          <w:p w14:paraId="716B923C" w14:textId="77777777" w:rsidR="00990B14" w:rsidRDefault="00000000">
            <w:pPr>
              <w:spacing w:before="20" w:after="20"/>
              <w:jc w:val="both"/>
            </w:pPr>
            <w:r>
              <w:rPr>
                <w:sz w:val="18"/>
                <w:szCs w:val="18"/>
              </w:rPr>
              <w:t>Confunde los encargos.</w:t>
            </w:r>
          </w:p>
        </w:tc>
        <w:tc>
          <w:tcPr>
            <w:tcW w:w="1910" w:type="dxa"/>
            <w:shd w:val="clear" w:color="auto" w:fill="D9E2F3"/>
            <w:vAlign w:val="center"/>
          </w:tcPr>
          <w:p w14:paraId="46D60185" w14:textId="77777777" w:rsidR="00990B14" w:rsidRDefault="00000000">
            <w:pPr>
              <w:spacing w:before="20" w:after="20"/>
              <w:jc w:val="both"/>
            </w:pPr>
            <w:r>
              <w:rPr>
                <w:sz w:val="18"/>
                <w:szCs w:val="18"/>
              </w:rPr>
              <w:t>Clasifica los encargos de aseguramiento.</w:t>
            </w:r>
          </w:p>
        </w:tc>
        <w:tc>
          <w:tcPr>
            <w:tcW w:w="1870" w:type="dxa"/>
            <w:shd w:val="clear" w:color="auto" w:fill="D9E2F3"/>
            <w:vAlign w:val="center"/>
          </w:tcPr>
          <w:p w14:paraId="1B0514F9" w14:textId="77777777" w:rsidR="00990B14" w:rsidRDefault="00000000">
            <w:pPr>
              <w:spacing w:before="20" w:after="20"/>
              <w:jc w:val="both"/>
            </w:pPr>
            <w:r>
              <w:rPr>
                <w:sz w:val="18"/>
                <w:szCs w:val="18"/>
              </w:rPr>
              <w:t>Ubica la auditoría operativa en la clasificación.</w:t>
            </w:r>
          </w:p>
        </w:tc>
      </w:tr>
      <w:tr w:rsidR="00990B14" w14:paraId="4E99AA5F" w14:textId="77777777">
        <w:trPr>
          <w:cantSplit/>
          <w:jc w:val="center"/>
        </w:trPr>
        <w:tc>
          <w:tcPr>
            <w:tcW w:w="1883" w:type="dxa"/>
            <w:vMerge/>
            <w:shd w:val="clear" w:color="auto" w:fill="4472C4"/>
            <w:vAlign w:val="center"/>
          </w:tcPr>
          <w:p w14:paraId="4EBBE8E5" w14:textId="77777777" w:rsidR="00990B14" w:rsidRDefault="00990B14">
            <w:pPr>
              <w:spacing w:before="20" w:after="20"/>
            </w:pPr>
          </w:p>
        </w:tc>
        <w:tc>
          <w:tcPr>
            <w:tcW w:w="1873" w:type="dxa"/>
            <w:shd w:val="clear" w:color="auto" w:fill="D9E2F3"/>
            <w:vAlign w:val="center"/>
          </w:tcPr>
          <w:p w14:paraId="19E28996" w14:textId="77777777" w:rsidR="00990B14" w:rsidRDefault="00000000">
            <w:pPr>
              <w:spacing w:before="20" w:after="20"/>
              <w:jc w:val="both"/>
            </w:pPr>
            <w:r>
              <w:rPr>
                <w:sz w:val="18"/>
                <w:szCs w:val="18"/>
              </w:rPr>
              <w:t>Nivel de seguridad</w:t>
            </w:r>
          </w:p>
        </w:tc>
        <w:tc>
          <w:tcPr>
            <w:tcW w:w="1869" w:type="dxa"/>
            <w:shd w:val="clear" w:color="auto" w:fill="D9E2F3"/>
            <w:vAlign w:val="center"/>
          </w:tcPr>
          <w:p w14:paraId="22C504A7" w14:textId="77777777" w:rsidR="00990B14" w:rsidRDefault="00000000">
            <w:pPr>
              <w:spacing w:before="20" w:after="20"/>
              <w:jc w:val="both"/>
            </w:pPr>
            <w:r>
              <w:rPr>
                <w:sz w:val="18"/>
                <w:szCs w:val="18"/>
              </w:rPr>
              <w:t>No lo distingue.</w:t>
            </w:r>
          </w:p>
        </w:tc>
        <w:tc>
          <w:tcPr>
            <w:tcW w:w="1910" w:type="dxa"/>
            <w:shd w:val="clear" w:color="auto" w:fill="D9E2F3"/>
            <w:vAlign w:val="center"/>
          </w:tcPr>
          <w:p w14:paraId="7B50473E" w14:textId="77777777" w:rsidR="00990B14" w:rsidRDefault="00000000">
            <w:pPr>
              <w:spacing w:before="20" w:after="20"/>
              <w:jc w:val="both"/>
            </w:pPr>
            <w:r>
              <w:rPr>
                <w:sz w:val="18"/>
                <w:szCs w:val="18"/>
              </w:rPr>
              <w:t>Distingue la seguridad razonable de la limitada.</w:t>
            </w:r>
          </w:p>
        </w:tc>
        <w:tc>
          <w:tcPr>
            <w:tcW w:w="1870" w:type="dxa"/>
            <w:shd w:val="clear" w:color="auto" w:fill="D9E2F3"/>
            <w:vAlign w:val="center"/>
          </w:tcPr>
          <w:p w14:paraId="51CA07CA" w14:textId="77777777" w:rsidR="00990B14" w:rsidRDefault="00000000">
            <w:pPr>
              <w:spacing w:before="20" w:after="20"/>
              <w:jc w:val="both"/>
            </w:pPr>
            <w:r>
              <w:rPr>
                <w:sz w:val="18"/>
                <w:szCs w:val="18"/>
              </w:rPr>
              <w:t>Ejemplifica cada nivel.</w:t>
            </w:r>
          </w:p>
        </w:tc>
      </w:tr>
      <w:tr w:rsidR="00990B14" w14:paraId="767F1215" w14:textId="77777777">
        <w:trPr>
          <w:cantSplit/>
          <w:jc w:val="center"/>
        </w:trPr>
        <w:tc>
          <w:tcPr>
            <w:tcW w:w="1883" w:type="dxa"/>
            <w:vMerge/>
            <w:shd w:val="clear" w:color="auto" w:fill="4472C4"/>
            <w:vAlign w:val="center"/>
          </w:tcPr>
          <w:p w14:paraId="7829DE1E" w14:textId="77777777" w:rsidR="00990B14" w:rsidRDefault="00990B14">
            <w:pPr>
              <w:spacing w:before="20" w:after="20"/>
            </w:pPr>
          </w:p>
        </w:tc>
        <w:tc>
          <w:tcPr>
            <w:tcW w:w="1873" w:type="dxa"/>
            <w:shd w:val="clear" w:color="auto" w:fill="D9E2F3"/>
            <w:vAlign w:val="center"/>
          </w:tcPr>
          <w:p w14:paraId="793B1C68" w14:textId="77777777" w:rsidR="00990B14" w:rsidRDefault="00000000">
            <w:pPr>
              <w:spacing w:before="20" w:after="20"/>
              <w:jc w:val="both"/>
            </w:pPr>
            <w:r>
              <w:rPr>
                <w:sz w:val="18"/>
                <w:szCs w:val="18"/>
              </w:rPr>
              <w:t>Exposición</w:t>
            </w:r>
          </w:p>
        </w:tc>
        <w:tc>
          <w:tcPr>
            <w:tcW w:w="1869" w:type="dxa"/>
            <w:shd w:val="clear" w:color="auto" w:fill="D9E2F3"/>
            <w:vAlign w:val="center"/>
          </w:tcPr>
          <w:p w14:paraId="6BBDB731" w14:textId="77777777" w:rsidR="00990B14" w:rsidRDefault="00000000">
            <w:pPr>
              <w:spacing w:before="20" w:after="20"/>
              <w:jc w:val="both"/>
            </w:pPr>
            <w:r>
              <w:rPr>
                <w:sz w:val="18"/>
                <w:szCs w:val="18"/>
              </w:rPr>
              <w:t>No expone el esquema.</w:t>
            </w:r>
          </w:p>
        </w:tc>
        <w:tc>
          <w:tcPr>
            <w:tcW w:w="1910" w:type="dxa"/>
            <w:shd w:val="clear" w:color="auto" w:fill="D9E2F3"/>
            <w:vAlign w:val="center"/>
          </w:tcPr>
          <w:p w14:paraId="6829C4EA" w14:textId="77777777" w:rsidR="00990B14" w:rsidRDefault="00000000">
            <w:pPr>
              <w:spacing w:before="20" w:after="20"/>
              <w:jc w:val="both"/>
            </w:pPr>
            <w:r>
              <w:rPr>
                <w:sz w:val="18"/>
                <w:szCs w:val="18"/>
              </w:rPr>
              <w:t>Expone el esquema en equipo.</w:t>
            </w:r>
          </w:p>
        </w:tc>
        <w:tc>
          <w:tcPr>
            <w:tcW w:w="1870" w:type="dxa"/>
            <w:shd w:val="clear" w:color="auto" w:fill="D9E2F3"/>
            <w:vAlign w:val="center"/>
          </w:tcPr>
          <w:p w14:paraId="2574376D" w14:textId="77777777" w:rsidR="00990B14" w:rsidRDefault="00000000">
            <w:pPr>
              <w:spacing w:before="20" w:after="20"/>
              <w:jc w:val="both"/>
            </w:pPr>
            <w:r>
              <w:rPr>
                <w:sz w:val="18"/>
                <w:szCs w:val="18"/>
              </w:rPr>
              <w:t>Responde con fundamento las preguntas.</w:t>
            </w:r>
          </w:p>
        </w:tc>
      </w:tr>
      <w:tr w:rsidR="00990B14" w14:paraId="124E031B" w14:textId="77777777">
        <w:trPr>
          <w:cantSplit/>
          <w:jc w:val="center"/>
        </w:trPr>
        <w:tc>
          <w:tcPr>
            <w:tcW w:w="1883" w:type="dxa"/>
            <w:vMerge/>
            <w:shd w:val="clear" w:color="auto" w:fill="4472C4"/>
            <w:vAlign w:val="center"/>
          </w:tcPr>
          <w:p w14:paraId="03E5A665" w14:textId="77777777" w:rsidR="00990B14" w:rsidRDefault="00990B14">
            <w:pPr>
              <w:spacing w:before="20" w:after="20"/>
            </w:pPr>
          </w:p>
        </w:tc>
        <w:tc>
          <w:tcPr>
            <w:tcW w:w="5652" w:type="dxa"/>
            <w:gridSpan w:val="3"/>
            <w:shd w:val="clear" w:color="auto" w:fill="D9E2F3"/>
            <w:vAlign w:val="center"/>
          </w:tcPr>
          <w:p w14:paraId="1C2D206C" w14:textId="77777777" w:rsidR="00990B14" w:rsidRDefault="00000000">
            <w:pPr>
              <w:keepNext/>
              <w:spacing w:before="20" w:after="20"/>
              <w:jc w:val="both"/>
            </w:pPr>
            <w:r>
              <w:rPr>
                <w:b/>
                <w:bCs/>
                <w:i/>
                <w:iCs/>
                <w:sz w:val="18"/>
                <w:szCs w:val="18"/>
              </w:rPr>
              <w:t xml:space="preserve">Producto 6: </w:t>
            </w:r>
            <w:r>
              <w:rPr>
                <w:sz w:val="18"/>
                <w:szCs w:val="18"/>
              </w:rPr>
              <w:t>Ensayo sobre el rol del contador público</w:t>
            </w:r>
          </w:p>
        </w:tc>
        <w:tc>
          <w:tcPr>
            <w:tcW w:w="1870" w:type="dxa"/>
            <w:shd w:val="clear" w:color="auto" w:fill="D9E2F3"/>
            <w:vAlign w:val="center"/>
          </w:tcPr>
          <w:p w14:paraId="0A419DC3" w14:textId="77777777" w:rsidR="00990B14" w:rsidRDefault="00000000">
            <w:pPr>
              <w:spacing w:before="20" w:after="20"/>
              <w:jc w:val="center"/>
            </w:pPr>
            <w:r>
              <w:rPr>
                <w:b/>
                <w:bCs/>
                <w:sz w:val="18"/>
                <w:szCs w:val="18"/>
              </w:rPr>
              <w:t>4%</w:t>
            </w:r>
          </w:p>
        </w:tc>
      </w:tr>
      <w:tr w:rsidR="00990B14" w14:paraId="42C3C972" w14:textId="77777777">
        <w:trPr>
          <w:cantSplit/>
          <w:jc w:val="center"/>
        </w:trPr>
        <w:tc>
          <w:tcPr>
            <w:tcW w:w="1883" w:type="dxa"/>
            <w:vMerge/>
            <w:shd w:val="clear" w:color="auto" w:fill="4472C4"/>
            <w:vAlign w:val="center"/>
          </w:tcPr>
          <w:p w14:paraId="55D9DE4D" w14:textId="77777777" w:rsidR="00990B14" w:rsidRDefault="00990B14">
            <w:pPr>
              <w:spacing w:before="20" w:after="20"/>
            </w:pPr>
          </w:p>
        </w:tc>
        <w:tc>
          <w:tcPr>
            <w:tcW w:w="1873" w:type="dxa"/>
            <w:shd w:val="clear" w:color="auto" w:fill="4472C4"/>
            <w:vAlign w:val="center"/>
          </w:tcPr>
          <w:p w14:paraId="2232125B" w14:textId="77777777" w:rsidR="00990B14" w:rsidRDefault="00000000">
            <w:pPr>
              <w:keepNext/>
              <w:spacing w:before="20" w:after="20"/>
              <w:jc w:val="center"/>
            </w:pPr>
            <w:r>
              <w:rPr>
                <w:b/>
                <w:bCs/>
                <w:i/>
                <w:iCs/>
                <w:color w:val="FFFFFF"/>
                <w:sz w:val="18"/>
                <w:szCs w:val="18"/>
              </w:rPr>
              <w:t>Criterio</w:t>
            </w:r>
          </w:p>
        </w:tc>
        <w:tc>
          <w:tcPr>
            <w:tcW w:w="1869" w:type="dxa"/>
            <w:shd w:val="clear" w:color="auto" w:fill="4472C4"/>
            <w:vAlign w:val="center"/>
          </w:tcPr>
          <w:p w14:paraId="75F6F37D"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1DE7F8B9" w14:textId="77777777" w:rsidR="00990B14" w:rsidRDefault="00000000">
            <w:pPr>
              <w:keepNext/>
              <w:spacing w:before="20" w:after="20"/>
              <w:jc w:val="center"/>
            </w:pPr>
            <w:r>
              <w:rPr>
                <w:b/>
                <w:bCs/>
                <w:i/>
                <w:iCs/>
                <w:color w:val="FFFFFF"/>
                <w:sz w:val="18"/>
                <w:szCs w:val="18"/>
              </w:rPr>
              <w:t>Suficiente (51–80)</w:t>
            </w:r>
          </w:p>
        </w:tc>
        <w:tc>
          <w:tcPr>
            <w:tcW w:w="1870" w:type="dxa"/>
            <w:shd w:val="clear" w:color="auto" w:fill="4472C4"/>
            <w:vAlign w:val="center"/>
          </w:tcPr>
          <w:p w14:paraId="673DA3DA" w14:textId="77777777" w:rsidR="00990B14" w:rsidRDefault="00000000">
            <w:pPr>
              <w:keepNext/>
              <w:spacing w:before="20" w:after="20"/>
              <w:jc w:val="center"/>
            </w:pPr>
            <w:r>
              <w:rPr>
                <w:b/>
                <w:bCs/>
                <w:i/>
                <w:iCs/>
                <w:color w:val="FFFFFF"/>
                <w:sz w:val="18"/>
                <w:szCs w:val="18"/>
              </w:rPr>
              <w:t>Destacado (81–100)</w:t>
            </w:r>
          </w:p>
        </w:tc>
      </w:tr>
      <w:tr w:rsidR="00990B14" w14:paraId="25E710C6" w14:textId="77777777">
        <w:trPr>
          <w:cantSplit/>
          <w:jc w:val="center"/>
        </w:trPr>
        <w:tc>
          <w:tcPr>
            <w:tcW w:w="1883" w:type="dxa"/>
            <w:vMerge/>
            <w:shd w:val="clear" w:color="auto" w:fill="4472C4"/>
            <w:vAlign w:val="center"/>
          </w:tcPr>
          <w:p w14:paraId="6C13FFCA" w14:textId="77777777" w:rsidR="00990B14" w:rsidRDefault="00990B14">
            <w:pPr>
              <w:spacing w:before="20" w:after="20"/>
            </w:pPr>
          </w:p>
        </w:tc>
        <w:tc>
          <w:tcPr>
            <w:tcW w:w="1873" w:type="dxa"/>
            <w:shd w:val="clear" w:color="auto" w:fill="D9E2F3"/>
            <w:vAlign w:val="center"/>
          </w:tcPr>
          <w:p w14:paraId="5648DF5E" w14:textId="77777777" w:rsidR="00990B14" w:rsidRDefault="00000000">
            <w:pPr>
              <w:spacing w:before="20" w:after="20"/>
              <w:jc w:val="both"/>
            </w:pPr>
            <w:r>
              <w:rPr>
                <w:sz w:val="18"/>
                <w:szCs w:val="18"/>
              </w:rPr>
              <w:t>Argumentación</w:t>
            </w:r>
          </w:p>
        </w:tc>
        <w:tc>
          <w:tcPr>
            <w:tcW w:w="1869" w:type="dxa"/>
            <w:shd w:val="clear" w:color="auto" w:fill="D9E2F3"/>
            <w:vAlign w:val="center"/>
          </w:tcPr>
          <w:p w14:paraId="44AE0412" w14:textId="77777777" w:rsidR="00990B14" w:rsidRDefault="00000000">
            <w:pPr>
              <w:spacing w:before="20" w:after="20"/>
              <w:jc w:val="both"/>
            </w:pPr>
            <w:r>
              <w:rPr>
                <w:sz w:val="18"/>
                <w:szCs w:val="18"/>
              </w:rPr>
              <w:t>No fundamenta sus ideas.</w:t>
            </w:r>
          </w:p>
        </w:tc>
        <w:tc>
          <w:tcPr>
            <w:tcW w:w="1910" w:type="dxa"/>
            <w:shd w:val="clear" w:color="auto" w:fill="D9E2F3"/>
            <w:vAlign w:val="center"/>
          </w:tcPr>
          <w:p w14:paraId="62DF0818" w14:textId="77777777" w:rsidR="00990B14" w:rsidRDefault="00000000">
            <w:pPr>
              <w:spacing w:before="20" w:after="20"/>
              <w:jc w:val="both"/>
            </w:pPr>
            <w:r>
              <w:rPr>
                <w:sz w:val="18"/>
                <w:szCs w:val="18"/>
              </w:rPr>
              <w:t>Fundamenta sus ideas con fuentes.</w:t>
            </w:r>
          </w:p>
        </w:tc>
        <w:tc>
          <w:tcPr>
            <w:tcW w:w="1870" w:type="dxa"/>
            <w:shd w:val="clear" w:color="auto" w:fill="D9E2F3"/>
            <w:vAlign w:val="center"/>
          </w:tcPr>
          <w:p w14:paraId="21466D97" w14:textId="77777777" w:rsidR="00990B14" w:rsidRDefault="00000000">
            <w:pPr>
              <w:spacing w:before="20" w:after="20"/>
              <w:jc w:val="both"/>
            </w:pPr>
            <w:r>
              <w:rPr>
                <w:sz w:val="18"/>
                <w:szCs w:val="18"/>
              </w:rPr>
              <w:t>Contrasta posiciones con pensamiento crítico.</w:t>
            </w:r>
          </w:p>
        </w:tc>
      </w:tr>
      <w:tr w:rsidR="00990B14" w14:paraId="72B54E9A" w14:textId="77777777">
        <w:trPr>
          <w:cantSplit/>
          <w:jc w:val="center"/>
        </w:trPr>
        <w:tc>
          <w:tcPr>
            <w:tcW w:w="1883" w:type="dxa"/>
            <w:vMerge/>
            <w:shd w:val="clear" w:color="auto" w:fill="4472C4"/>
            <w:vAlign w:val="center"/>
          </w:tcPr>
          <w:p w14:paraId="2C7B4A62" w14:textId="77777777" w:rsidR="00990B14" w:rsidRDefault="00990B14">
            <w:pPr>
              <w:spacing w:before="20" w:after="20"/>
            </w:pPr>
          </w:p>
        </w:tc>
        <w:tc>
          <w:tcPr>
            <w:tcW w:w="1873" w:type="dxa"/>
            <w:shd w:val="clear" w:color="auto" w:fill="D9E2F3"/>
            <w:vAlign w:val="center"/>
          </w:tcPr>
          <w:p w14:paraId="10E14BE6" w14:textId="77777777" w:rsidR="00990B14" w:rsidRDefault="00000000">
            <w:pPr>
              <w:spacing w:before="20" w:after="20"/>
              <w:jc w:val="both"/>
            </w:pPr>
            <w:r>
              <w:rPr>
                <w:sz w:val="18"/>
                <w:szCs w:val="18"/>
              </w:rPr>
              <w:t>Pertinencia</w:t>
            </w:r>
          </w:p>
        </w:tc>
        <w:tc>
          <w:tcPr>
            <w:tcW w:w="1869" w:type="dxa"/>
            <w:shd w:val="clear" w:color="auto" w:fill="D9E2F3"/>
            <w:vAlign w:val="center"/>
          </w:tcPr>
          <w:p w14:paraId="2E29762C" w14:textId="77777777" w:rsidR="00990B14" w:rsidRDefault="00000000">
            <w:pPr>
              <w:spacing w:before="20" w:after="20"/>
              <w:jc w:val="both"/>
            </w:pPr>
            <w:r>
              <w:rPr>
                <w:sz w:val="18"/>
                <w:szCs w:val="18"/>
              </w:rPr>
              <w:t>Se aleja del tema.</w:t>
            </w:r>
          </w:p>
        </w:tc>
        <w:tc>
          <w:tcPr>
            <w:tcW w:w="1910" w:type="dxa"/>
            <w:shd w:val="clear" w:color="auto" w:fill="D9E2F3"/>
            <w:vAlign w:val="center"/>
          </w:tcPr>
          <w:p w14:paraId="07A731A2" w14:textId="77777777" w:rsidR="00990B14" w:rsidRDefault="00000000">
            <w:pPr>
              <w:spacing w:before="20" w:after="20"/>
              <w:jc w:val="both"/>
            </w:pPr>
            <w:r>
              <w:rPr>
                <w:sz w:val="18"/>
                <w:szCs w:val="18"/>
              </w:rPr>
              <w:t>Relaciona el rol con la evaluación de la gestión.</w:t>
            </w:r>
          </w:p>
        </w:tc>
        <w:tc>
          <w:tcPr>
            <w:tcW w:w="1870" w:type="dxa"/>
            <w:shd w:val="clear" w:color="auto" w:fill="D9E2F3"/>
            <w:vAlign w:val="center"/>
          </w:tcPr>
          <w:p w14:paraId="3427B772" w14:textId="77777777" w:rsidR="00990B14" w:rsidRDefault="00000000">
            <w:pPr>
              <w:spacing w:before="20" w:after="20"/>
              <w:jc w:val="both"/>
            </w:pPr>
            <w:r>
              <w:rPr>
                <w:sz w:val="18"/>
                <w:szCs w:val="18"/>
              </w:rPr>
              <w:t>Considera el contexto de las organizaciones bolivianas.</w:t>
            </w:r>
          </w:p>
        </w:tc>
      </w:tr>
      <w:tr w:rsidR="00990B14" w14:paraId="635C16F7" w14:textId="77777777">
        <w:trPr>
          <w:cantSplit/>
          <w:jc w:val="center"/>
        </w:trPr>
        <w:tc>
          <w:tcPr>
            <w:tcW w:w="1883" w:type="dxa"/>
            <w:vMerge/>
            <w:shd w:val="clear" w:color="auto" w:fill="4472C4"/>
            <w:vAlign w:val="center"/>
          </w:tcPr>
          <w:p w14:paraId="30956102" w14:textId="77777777" w:rsidR="00990B14" w:rsidRDefault="00990B14">
            <w:pPr>
              <w:spacing w:before="20" w:after="20"/>
            </w:pPr>
          </w:p>
        </w:tc>
        <w:tc>
          <w:tcPr>
            <w:tcW w:w="1873" w:type="dxa"/>
            <w:shd w:val="clear" w:color="auto" w:fill="D9E2F3"/>
            <w:vAlign w:val="center"/>
          </w:tcPr>
          <w:p w14:paraId="6DB75554" w14:textId="77777777" w:rsidR="00990B14" w:rsidRDefault="00000000">
            <w:pPr>
              <w:spacing w:before="20" w:after="20"/>
              <w:jc w:val="both"/>
            </w:pPr>
            <w:r>
              <w:rPr>
                <w:sz w:val="18"/>
                <w:szCs w:val="18"/>
              </w:rPr>
              <w:t>Redacción</w:t>
            </w:r>
          </w:p>
        </w:tc>
        <w:tc>
          <w:tcPr>
            <w:tcW w:w="1869" w:type="dxa"/>
            <w:shd w:val="clear" w:color="auto" w:fill="D9E2F3"/>
            <w:vAlign w:val="center"/>
          </w:tcPr>
          <w:p w14:paraId="2D515BEC" w14:textId="77777777" w:rsidR="00990B14" w:rsidRDefault="00000000">
            <w:pPr>
              <w:spacing w:before="20" w:after="20"/>
              <w:jc w:val="both"/>
            </w:pPr>
            <w:r>
              <w:rPr>
                <w:sz w:val="18"/>
                <w:szCs w:val="18"/>
              </w:rPr>
              <w:t>La redacción es confusa.</w:t>
            </w:r>
          </w:p>
        </w:tc>
        <w:tc>
          <w:tcPr>
            <w:tcW w:w="1910" w:type="dxa"/>
            <w:shd w:val="clear" w:color="auto" w:fill="D9E2F3"/>
            <w:vAlign w:val="center"/>
          </w:tcPr>
          <w:p w14:paraId="25402F7F" w14:textId="77777777" w:rsidR="00990B14" w:rsidRDefault="00000000">
            <w:pPr>
              <w:spacing w:before="20" w:after="20"/>
              <w:jc w:val="both"/>
            </w:pPr>
            <w:r>
              <w:rPr>
                <w:sz w:val="18"/>
                <w:szCs w:val="18"/>
              </w:rPr>
              <w:t>La redacción es clara.</w:t>
            </w:r>
          </w:p>
        </w:tc>
        <w:tc>
          <w:tcPr>
            <w:tcW w:w="1870" w:type="dxa"/>
            <w:shd w:val="clear" w:color="auto" w:fill="D9E2F3"/>
            <w:vAlign w:val="center"/>
          </w:tcPr>
          <w:p w14:paraId="2A6AEEE8" w14:textId="77777777" w:rsidR="00990B14" w:rsidRDefault="00000000">
            <w:pPr>
              <w:spacing w:before="20" w:after="20"/>
              <w:jc w:val="both"/>
            </w:pPr>
            <w:r>
              <w:rPr>
                <w:sz w:val="18"/>
                <w:szCs w:val="18"/>
              </w:rPr>
              <w:t>La redacción es técnica y cita las fuentes.</w:t>
            </w:r>
          </w:p>
        </w:tc>
      </w:tr>
      <w:tr w:rsidR="00990B14" w14:paraId="41D92D07" w14:textId="77777777">
        <w:trPr>
          <w:cantSplit/>
          <w:jc w:val="center"/>
        </w:trPr>
        <w:tc>
          <w:tcPr>
            <w:tcW w:w="1883" w:type="dxa"/>
            <w:vMerge/>
            <w:shd w:val="clear" w:color="auto" w:fill="4472C4"/>
            <w:vAlign w:val="center"/>
          </w:tcPr>
          <w:p w14:paraId="5EE9F605" w14:textId="77777777" w:rsidR="00990B14" w:rsidRDefault="00990B14">
            <w:pPr>
              <w:spacing w:before="20" w:after="20"/>
            </w:pPr>
          </w:p>
        </w:tc>
        <w:tc>
          <w:tcPr>
            <w:tcW w:w="5652" w:type="dxa"/>
            <w:gridSpan w:val="3"/>
            <w:shd w:val="clear" w:color="auto" w:fill="D9E2F3"/>
            <w:vAlign w:val="center"/>
          </w:tcPr>
          <w:p w14:paraId="508FF40F" w14:textId="77777777" w:rsidR="00990B14" w:rsidRDefault="00000000">
            <w:pPr>
              <w:keepNext/>
              <w:spacing w:before="20" w:after="20"/>
              <w:jc w:val="both"/>
            </w:pPr>
            <w:r>
              <w:rPr>
                <w:b/>
                <w:bCs/>
                <w:i/>
                <w:iCs/>
                <w:sz w:val="18"/>
                <w:szCs w:val="18"/>
              </w:rPr>
              <w:t xml:space="preserve">Producto 7: </w:t>
            </w:r>
            <w:r>
              <w:rPr>
                <w:sz w:val="18"/>
                <w:szCs w:val="18"/>
              </w:rPr>
              <w:t>Cuadro comparativo de las normas de auditoría interna</w:t>
            </w:r>
          </w:p>
        </w:tc>
        <w:tc>
          <w:tcPr>
            <w:tcW w:w="1870" w:type="dxa"/>
            <w:shd w:val="clear" w:color="auto" w:fill="D9E2F3"/>
            <w:vAlign w:val="center"/>
          </w:tcPr>
          <w:p w14:paraId="3D92BFE9" w14:textId="77777777" w:rsidR="00990B14" w:rsidRDefault="00000000">
            <w:pPr>
              <w:spacing w:before="20" w:after="20"/>
              <w:jc w:val="center"/>
            </w:pPr>
            <w:r>
              <w:rPr>
                <w:b/>
                <w:bCs/>
                <w:sz w:val="18"/>
                <w:szCs w:val="18"/>
              </w:rPr>
              <w:t>4%</w:t>
            </w:r>
          </w:p>
        </w:tc>
      </w:tr>
      <w:tr w:rsidR="00990B14" w14:paraId="71882EC8" w14:textId="77777777">
        <w:trPr>
          <w:cantSplit/>
          <w:jc w:val="center"/>
        </w:trPr>
        <w:tc>
          <w:tcPr>
            <w:tcW w:w="1883" w:type="dxa"/>
            <w:vMerge/>
            <w:shd w:val="clear" w:color="auto" w:fill="4472C4"/>
            <w:vAlign w:val="center"/>
          </w:tcPr>
          <w:p w14:paraId="43A14826" w14:textId="77777777" w:rsidR="00990B14" w:rsidRDefault="00990B14">
            <w:pPr>
              <w:spacing w:before="20" w:after="20"/>
            </w:pPr>
          </w:p>
        </w:tc>
        <w:tc>
          <w:tcPr>
            <w:tcW w:w="1873" w:type="dxa"/>
            <w:shd w:val="clear" w:color="auto" w:fill="4472C4"/>
            <w:vAlign w:val="center"/>
          </w:tcPr>
          <w:p w14:paraId="1D59B525" w14:textId="77777777" w:rsidR="00990B14" w:rsidRDefault="00000000">
            <w:pPr>
              <w:keepNext/>
              <w:spacing w:before="20" w:after="20"/>
              <w:jc w:val="center"/>
            </w:pPr>
            <w:r>
              <w:rPr>
                <w:b/>
                <w:bCs/>
                <w:i/>
                <w:iCs/>
                <w:color w:val="FFFFFF"/>
                <w:sz w:val="18"/>
                <w:szCs w:val="18"/>
              </w:rPr>
              <w:t>Criterio</w:t>
            </w:r>
          </w:p>
        </w:tc>
        <w:tc>
          <w:tcPr>
            <w:tcW w:w="1869" w:type="dxa"/>
            <w:shd w:val="clear" w:color="auto" w:fill="4472C4"/>
            <w:vAlign w:val="center"/>
          </w:tcPr>
          <w:p w14:paraId="15871008"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797EB03C" w14:textId="77777777" w:rsidR="00990B14" w:rsidRDefault="00000000">
            <w:pPr>
              <w:keepNext/>
              <w:spacing w:before="20" w:after="20"/>
              <w:jc w:val="center"/>
            </w:pPr>
            <w:r>
              <w:rPr>
                <w:b/>
                <w:bCs/>
                <w:i/>
                <w:iCs/>
                <w:color w:val="FFFFFF"/>
                <w:sz w:val="18"/>
                <w:szCs w:val="18"/>
              </w:rPr>
              <w:t>Suficiente (51–80)</w:t>
            </w:r>
          </w:p>
        </w:tc>
        <w:tc>
          <w:tcPr>
            <w:tcW w:w="1870" w:type="dxa"/>
            <w:shd w:val="clear" w:color="auto" w:fill="4472C4"/>
            <w:vAlign w:val="center"/>
          </w:tcPr>
          <w:p w14:paraId="0C3BE9E2" w14:textId="77777777" w:rsidR="00990B14" w:rsidRDefault="00000000">
            <w:pPr>
              <w:keepNext/>
              <w:spacing w:before="20" w:after="20"/>
              <w:jc w:val="center"/>
            </w:pPr>
            <w:r>
              <w:rPr>
                <w:b/>
                <w:bCs/>
                <w:i/>
                <w:iCs/>
                <w:color w:val="FFFFFF"/>
                <w:sz w:val="18"/>
                <w:szCs w:val="18"/>
              </w:rPr>
              <w:t>Destacado (81–100)</w:t>
            </w:r>
          </w:p>
        </w:tc>
      </w:tr>
      <w:tr w:rsidR="00990B14" w14:paraId="46303B60" w14:textId="77777777">
        <w:trPr>
          <w:cantSplit/>
          <w:jc w:val="center"/>
        </w:trPr>
        <w:tc>
          <w:tcPr>
            <w:tcW w:w="1883" w:type="dxa"/>
            <w:vMerge/>
            <w:shd w:val="clear" w:color="auto" w:fill="4472C4"/>
            <w:vAlign w:val="center"/>
          </w:tcPr>
          <w:p w14:paraId="1077AAE4" w14:textId="77777777" w:rsidR="00990B14" w:rsidRDefault="00990B14">
            <w:pPr>
              <w:spacing w:before="20" w:after="20"/>
            </w:pPr>
          </w:p>
        </w:tc>
        <w:tc>
          <w:tcPr>
            <w:tcW w:w="1873" w:type="dxa"/>
            <w:shd w:val="clear" w:color="auto" w:fill="D9E2F3"/>
            <w:vAlign w:val="center"/>
          </w:tcPr>
          <w:p w14:paraId="59E3A699" w14:textId="77777777" w:rsidR="00990B14" w:rsidRDefault="00000000">
            <w:pPr>
              <w:spacing w:before="20" w:after="20"/>
              <w:jc w:val="both"/>
            </w:pPr>
            <w:r>
              <w:rPr>
                <w:sz w:val="18"/>
                <w:szCs w:val="18"/>
              </w:rPr>
              <w:t>Estructura</w:t>
            </w:r>
          </w:p>
        </w:tc>
        <w:tc>
          <w:tcPr>
            <w:tcW w:w="1869" w:type="dxa"/>
            <w:shd w:val="clear" w:color="auto" w:fill="D9E2F3"/>
            <w:vAlign w:val="center"/>
          </w:tcPr>
          <w:p w14:paraId="0D7B1726" w14:textId="77777777" w:rsidR="00990B14" w:rsidRDefault="00000000">
            <w:pPr>
              <w:spacing w:before="20" w:after="20"/>
              <w:jc w:val="both"/>
            </w:pPr>
            <w:r>
              <w:rPr>
                <w:sz w:val="18"/>
                <w:szCs w:val="18"/>
              </w:rPr>
              <w:t>No identifica la estructura de las normas.</w:t>
            </w:r>
          </w:p>
        </w:tc>
        <w:tc>
          <w:tcPr>
            <w:tcW w:w="1910" w:type="dxa"/>
            <w:shd w:val="clear" w:color="auto" w:fill="D9E2F3"/>
            <w:vAlign w:val="center"/>
          </w:tcPr>
          <w:p w14:paraId="4633BEEF" w14:textId="77777777" w:rsidR="00990B14" w:rsidRDefault="00000000">
            <w:pPr>
              <w:spacing w:before="20" w:after="20"/>
              <w:jc w:val="both"/>
            </w:pPr>
            <w:r>
              <w:rPr>
                <w:sz w:val="18"/>
                <w:szCs w:val="18"/>
              </w:rPr>
              <w:t>Presenta los dominios y principios de las normas vigentes.</w:t>
            </w:r>
          </w:p>
        </w:tc>
        <w:tc>
          <w:tcPr>
            <w:tcW w:w="1870" w:type="dxa"/>
            <w:shd w:val="clear" w:color="auto" w:fill="D9E2F3"/>
            <w:vAlign w:val="center"/>
          </w:tcPr>
          <w:p w14:paraId="4A309E28" w14:textId="77777777" w:rsidR="00990B14" w:rsidRDefault="00000000">
            <w:pPr>
              <w:spacing w:before="20" w:after="20"/>
              <w:jc w:val="both"/>
            </w:pPr>
            <w:r>
              <w:rPr>
                <w:sz w:val="18"/>
                <w:szCs w:val="18"/>
              </w:rPr>
              <w:t>Explica los cambios respecto de las normas anteriores.</w:t>
            </w:r>
          </w:p>
        </w:tc>
      </w:tr>
      <w:tr w:rsidR="00990B14" w14:paraId="19534959" w14:textId="77777777">
        <w:trPr>
          <w:cantSplit/>
          <w:jc w:val="center"/>
        </w:trPr>
        <w:tc>
          <w:tcPr>
            <w:tcW w:w="1883" w:type="dxa"/>
            <w:vMerge/>
            <w:shd w:val="clear" w:color="auto" w:fill="4472C4"/>
            <w:vAlign w:val="center"/>
          </w:tcPr>
          <w:p w14:paraId="4362995B" w14:textId="77777777" w:rsidR="00990B14" w:rsidRDefault="00990B14">
            <w:pPr>
              <w:spacing w:before="20" w:after="20"/>
            </w:pPr>
          </w:p>
        </w:tc>
        <w:tc>
          <w:tcPr>
            <w:tcW w:w="1873" w:type="dxa"/>
            <w:shd w:val="clear" w:color="auto" w:fill="D9E2F3"/>
            <w:vAlign w:val="center"/>
          </w:tcPr>
          <w:p w14:paraId="38A21CD7" w14:textId="77777777" w:rsidR="00990B14" w:rsidRDefault="00000000">
            <w:pPr>
              <w:spacing w:before="20" w:after="20"/>
              <w:jc w:val="both"/>
            </w:pPr>
            <w:r>
              <w:rPr>
                <w:sz w:val="18"/>
                <w:szCs w:val="18"/>
              </w:rPr>
              <w:t>Aplicación</w:t>
            </w:r>
          </w:p>
        </w:tc>
        <w:tc>
          <w:tcPr>
            <w:tcW w:w="1869" w:type="dxa"/>
            <w:shd w:val="clear" w:color="auto" w:fill="D9E2F3"/>
            <w:vAlign w:val="center"/>
          </w:tcPr>
          <w:p w14:paraId="3E392358" w14:textId="77777777" w:rsidR="00990B14" w:rsidRDefault="00000000">
            <w:pPr>
              <w:spacing w:before="20" w:after="20"/>
              <w:jc w:val="both"/>
            </w:pPr>
            <w:r>
              <w:rPr>
                <w:sz w:val="18"/>
                <w:szCs w:val="18"/>
              </w:rPr>
              <w:t>No relaciona las normas con la auditoría operativa.</w:t>
            </w:r>
          </w:p>
        </w:tc>
        <w:tc>
          <w:tcPr>
            <w:tcW w:w="1910" w:type="dxa"/>
            <w:shd w:val="clear" w:color="auto" w:fill="D9E2F3"/>
            <w:vAlign w:val="center"/>
          </w:tcPr>
          <w:p w14:paraId="310DCC7F" w14:textId="77777777" w:rsidR="00990B14" w:rsidRDefault="00000000">
            <w:pPr>
              <w:spacing w:before="20" w:after="20"/>
              <w:jc w:val="both"/>
            </w:pPr>
            <w:r>
              <w:rPr>
                <w:sz w:val="18"/>
                <w:szCs w:val="18"/>
              </w:rPr>
              <w:t>Relaciona las normas con la auditoría operativa.</w:t>
            </w:r>
          </w:p>
        </w:tc>
        <w:tc>
          <w:tcPr>
            <w:tcW w:w="1870" w:type="dxa"/>
            <w:shd w:val="clear" w:color="auto" w:fill="D9E2F3"/>
            <w:vAlign w:val="center"/>
          </w:tcPr>
          <w:p w14:paraId="796B02B1" w14:textId="77777777" w:rsidR="00990B14" w:rsidRDefault="00000000">
            <w:pPr>
              <w:spacing w:before="20" w:after="20"/>
              <w:jc w:val="both"/>
            </w:pPr>
            <w:r>
              <w:rPr>
                <w:sz w:val="18"/>
                <w:szCs w:val="18"/>
              </w:rPr>
              <w:t>Ejemplifica la aplicación de cada dominio.</w:t>
            </w:r>
          </w:p>
        </w:tc>
      </w:tr>
      <w:tr w:rsidR="00990B14" w14:paraId="1C58F9FA" w14:textId="77777777">
        <w:trPr>
          <w:cantSplit/>
          <w:jc w:val="center"/>
        </w:trPr>
        <w:tc>
          <w:tcPr>
            <w:tcW w:w="1883" w:type="dxa"/>
            <w:vMerge/>
            <w:shd w:val="clear" w:color="auto" w:fill="4472C4"/>
            <w:vAlign w:val="center"/>
          </w:tcPr>
          <w:p w14:paraId="2B31975A" w14:textId="77777777" w:rsidR="00990B14" w:rsidRDefault="00990B14">
            <w:pPr>
              <w:spacing w:before="20" w:after="20"/>
            </w:pPr>
          </w:p>
        </w:tc>
        <w:tc>
          <w:tcPr>
            <w:tcW w:w="1873" w:type="dxa"/>
            <w:shd w:val="clear" w:color="auto" w:fill="D9E2F3"/>
            <w:vAlign w:val="center"/>
          </w:tcPr>
          <w:p w14:paraId="28881E21" w14:textId="77777777" w:rsidR="00990B14" w:rsidRDefault="00000000">
            <w:pPr>
              <w:spacing w:before="20" w:after="20"/>
              <w:jc w:val="both"/>
            </w:pPr>
            <w:r>
              <w:rPr>
                <w:sz w:val="18"/>
                <w:szCs w:val="18"/>
              </w:rPr>
              <w:t>Presentación</w:t>
            </w:r>
          </w:p>
        </w:tc>
        <w:tc>
          <w:tcPr>
            <w:tcW w:w="1869" w:type="dxa"/>
            <w:shd w:val="clear" w:color="auto" w:fill="D9E2F3"/>
            <w:vAlign w:val="center"/>
          </w:tcPr>
          <w:p w14:paraId="08F8A7F1" w14:textId="77777777" w:rsidR="00990B14" w:rsidRDefault="00000000">
            <w:pPr>
              <w:spacing w:before="20" w:after="20"/>
              <w:jc w:val="both"/>
            </w:pPr>
            <w:r>
              <w:rPr>
                <w:sz w:val="18"/>
                <w:szCs w:val="18"/>
              </w:rPr>
              <w:t>El cuadro es confuso.</w:t>
            </w:r>
          </w:p>
        </w:tc>
        <w:tc>
          <w:tcPr>
            <w:tcW w:w="1910" w:type="dxa"/>
            <w:shd w:val="clear" w:color="auto" w:fill="D9E2F3"/>
            <w:vAlign w:val="center"/>
          </w:tcPr>
          <w:p w14:paraId="464F74C2" w14:textId="77777777" w:rsidR="00990B14" w:rsidRDefault="00000000">
            <w:pPr>
              <w:spacing w:before="20" w:after="20"/>
              <w:jc w:val="both"/>
            </w:pPr>
            <w:r>
              <w:rPr>
                <w:sz w:val="18"/>
                <w:szCs w:val="18"/>
              </w:rPr>
              <w:t>El cuadro es claro.</w:t>
            </w:r>
          </w:p>
        </w:tc>
        <w:tc>
          <w:tcPr>
            <w:tcW w:w="1870" w:type="dxa"/>
            <w:shd w:val="clear" w:color="auto" w:fill="D9E2F3"/>
            <w:vAlign w:val="center"/>
          </w:tcPr>
          <w:p w14:paraId="713F16C2" w14:textId="77777777" w:rsidR="00990B14" w:rsidRDefault="00000000">
            <w:pPr>
              <w:spacing w:before="20" w:after="20"/>
              <w:jc w:val="both"/>
            </w:pPr>
            <w:r>
              <w:rPr>
                <w:sz w:val="18"/>
                <w:szCs w:val="18"/>
              </w:rPr>
              <w:t>El cuadro es completo y ordenado.</w:t>
            </w:r>
          </w:p>
        </w:tc>
      </w:tr>
      <w:tr w:rsidR="00990B14" w14:paraId="7F2205F1" w14:textId="77777777">
        <w:trPr>
          <w:cantSplit/>
          <w:jc w:val="center"/>
        </w:trPr>
        <w:tc>
          <w:tcPr>
            <w:tcW w:w="1883" w:type="dxa"/>
            <w:vMerge/>
            <w:shd w:val="clear" w:color="auto" w:fill="4472C4"/>
            <w:vAlign w:val="center"/>
          </w:tcPr>
          <w:p w14:paraId="1C7ABC12" w14:textId="77777777" w:rsidR="00990B14" w:rsidRDefault="00990B14">
            <w:pPr>
              <w:spacing w:before="20" w:after="20"/>
            </w:pPr>
          </w:p>
        </w:tc>
        <w:tc>
          <w:tcPr>
            <w:tcW w:w="5652" w:type="dxa"/>
            <w:gridSpan w:val="3"/>
            <w:shd w:val="clear" w:color="auto" w:fill="D9E2F3"/>
            <w:vAlign w:val="center"/>
          </w:tcPr>
          <w:p w14:paraId="2B8DC69F" w14:textId="77777777" w:rsidR="00990B14" w:rsidRDefault="00000000">
            <w:pPr>
              <w:keepNext/>
              <w:spacing w:before="20" w:after="20"/>
              <w:jc w:val="both"/>
            </w:pPr>
            <w:r>
              <w:rPr>
                <w:b/>
                <w:bCs/>
                <w:i/>
                <w:iCs/>
                <w:sz w:val="18"/>
                <w:szCs w:val="18"/>
              </w:rPr>
              <w:t xml:space="preserve">Producto 8: </w:t>
            </w:r>
            <w:r>
              <w:rPr>
                <w:sz w:val="18"/>
                <w:szCs w:val="18"/>
              </w:rPr>
              <w:t>Informe del caso de independencia y objetividad</w:t>
            </w:r>
          </w:p>
        </w:tc>
        <w:tc>
          <w:tcPr>
            <w:tcW w:w="1870" w:type="dxa"/>
            <w:shd w:val="clear" w:color="auto" w:fill="D9E2F3"/>
            <w:vAlign w:val="center"/>
          </w:tcPr>
          <w:p w14:paraId="7909918F" w14:textId="77777777" w:rsidR="00990B14" w:rsidRDefault="00000000">
            <w:pPr>
              <w:spacing w:before="20" w:after="20"/>
              <w:jc w:val="center"/>
            </w:pPr>
            <w:r>
              <w:rPr>
                <w:b/>
                <w:bCs/>
                <w:sz w:val="18"/>
                <w:szCs w:val="18"/>
              </w:rPr>
              <w:t>3%</w:t>
            </w:r>
          </w:p>
        </w:tc>
      </w:tr>
      <w:tr w:rsidR="00990B14" w14:paraId="4EB79E7E" w14:textId="77777777">
        <w:trPr>
          <w:cantSplit/>
          <w:jc w:val="center"/>
        </w:trPr>
        <w:tc>
          <w:tcPr>
            <w:tcW w:w="1883" w:type="dxa"/>
            <w:vMerge/>
            <w:shd w:val="clear" w:color="auto" w:fill="4472C4"/>
            <w:vAlign w:val="center"/>
          </w:tcPr>
          <w:p w14:paraId="574AFD70" w14:textId="77777777" w:rsidR="00990B14" w:rsidRDefault="00990B14">
            <w:pPr>
              <w:spacing w:before="20" w:after="20"/>
            </w:pPr>
          </w:p>
        </w:tc>
        <w:tc>
          <w:tcPr>
            <w:tcW w:w="1873" w:type="dxa"/>
            <w:shd w:val="clear" w:color="auto" w:fill="4472C4"/>
            <w:vAlign w:val="center"/>
          </w:tcPr>
          <w:p w14:paraId="72E99A82" w14:textId="77777777" w:rsidR="00990B14" w:rsidRDefault="00000000">
            <w:pPr>
              <w:keepNext/>
              <w:spacing w:before="20" w:after="20"/>
              <w:jc w:val="center"/>
            </w:pPr>
            <w:r>
              <w:rPr>
                <w:b/>
                <w:bCs/>
                <w:i/>
                <w:iCs/>
                <w:color w:val="FFFFFF"/>
                <w:sz w:val="18"/>
                <w:szCs w:val="18"/>
              </w:rPr>
              <w:t>Criterio</w:t>
            </w:r>
          </w:p>
        </w:tc>
        <w:tc>
          <w:tcPr>
            <w:tcW w:w="1869" w:type="dxa"/>
            <w:shd w:val="clear" w:color="auto" w:fill="4472C4"/>
            <w:vAlign w:val="center"/>
          </w:tcPr>
          <w:p w14:paraId="06D971DA"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5EF17F27" w14:textId="77777777" w:rsidR="00990B14" w:rsidRDefault="00000000">
            <w:pPr>
              <w:keepNext/>
              <w:spacing w:before="20" w:after="20"/>
              <w:jc w:val="center"/>
            </w:pPr>
            <w:r>
              <w:rPr>
                <w:b/>
                <w:bCs/>
                <w:i/>
                <w:iCs/>
                <w:color w:val="FFFFFF"/>
                <w:sz w:val="18"/>
                <w:szCs w:val="18"/>
              </w:rPr>
              <w:t>Suficiente (51–80)</w:t>
            </w:r>
          </w:p>
        </w:tc>
        <w:tc>
          <w:tcPr>
            <w:tcW w:w="1870" w:type="dxa"/>
            <w:shd w:val="clear" w:color="auto" w:fill="4472C4"/>
            <w:vAlign w:val="center"/>
          </w:tcPr>
          <w:p w14:paraId="71A7D587" w14:textId="77777777" w:rsidR="00990B14" w:rsidRDefault="00000000">
            <w:pPr>
              <w:keepNext/>
              <w:spacing w:before="20" w:after="20"/>
              <w:jc w:val="center"/>
            </w:pPr>
            <w:r>
              <w:rPr>
                <w:b/>
                <w:bCs/>
                <w:i/>
                <w:iCs/>
                <w:color w:val="FFFFFF"/>
                <w:sz w:val="18"/>
                <w:szCs w:val="18"/>
              </w:rPr>
              <w:t>Destacado (81–100)</w:t>
            </w:r>
          </w:p>
        </w:tc>
      </w:tr>
      <w:tr w:rsidR="00990B14" w14:paraId="0E8AABD5" w14:textId="77777777">
        <w:trPr>
          <w:cantSplit/>
          <w:jc w:val="center"/>
        </w:trPr>
        <w:tc>
          <w:tcPr>
            <w:tcW w:w="1883" w:type="dxa"/>
            <w:vMerge/>
            <w:shd w:val="clear" w:color="auto" w:fill="4472C4"/>
            <w:vAlign w:val="center"/>
          </w:tcPr>
          <w:p w14:paraId="75482AC0" w14:textId="77777777" w:rsidR="00990B14" w:rsidRDefault="00990B14">
            <w:pPr>
              <w:spacing w:before="20" w:after="20"/>
            </w:pPr>
          </w:p>
        </w:tc>
        <w:tc>
          <w:tcPr>
            <w:tcW w:w="1873" w:type="dxa"/>
            <w:shd w:val="clear" w:color="auto" w:fill="D9E2F3"/>
            <w:vAlign w:val="center"/>
          </w:tcPr>
          <w:p w14:paraId="6C9D05ED" w14:textId="77777777" w:rsidR="00990B14" w:rsidRDefault="00000000">
            <w:pPr>
              <w:spacing w:before="20" w:after="20"/>
              <w:jc w:val="both"/>
            </w:pPr>
            <w:r>
              <w:rPr>
                <w:sz w:val="18"/>
                <w:szCs w:val="18"/>
              </w:rPr>
              <w:t>Amenazas</w:t>
            </w:r>
          </w:p>
        </w:tc>
        <w:tc>
          <w:tcPr>
            <w:tcW w:w="1869" w:type="dxa"/>
            <w:shd w:val="clear" w:color="auto" w:fill="D9E2F3"/>
            <w:vAlign w:val="center"/>
          </w:tcPr>
          <w:p w14:paraId="5EF950CD" w14:textId="77777777" w:rsidR="00990B14" w:rsidRDefault="00000000">
            <w:pPr>
              <w:spacing w:before="20" w:after="20"/>
              <w:jc w:val="both"/>
            </w:pPr>
            <w:r>
              <w:rPr>
                <w:sz w:val="18"/>
                <w:szCs w:val="18"/>
              </w:rPr>
              <w:t>No identifica amenazas.</w:t>
            </w:r>
          </w:p>
        </w:tc>
        <w:tc>
          <w:tcPr>
            <w:tcW w:w="1910" w:type="dxa"/>
            <w:shd w:val="clear" w:color="auto" w:fill="D9E2F3"/>
            <w:vAlign w:val="center"/>
          </w:tcPr>
          <w:p w14:paraId="1D9DC47B" w14:textId="77777777" w:rsidR="00990B14" w:rsidRDefault="00000000">
            <w:pPr>
              <w:spacing w:before="20" w:after="20"/>
              <w:jc w:val="both"/>
            </w:pPr>
            <w:r>
              <w:rPr>
                <w:sz w:val="18"/>
                <w:szCs w:val="18"/>
              </w:rPr>
              <w:t>Identifica las amenazas a la independencia y la objetividad.</w:t>
            </w:r>
          </w:p>
        </w:tc>
        <w:tc>
          <w:tcPr>
            <w:tcW w:w="1870" w:type="dxa"/>
            <w:shd w:val="clear" w:color="auto" w:fill="D9E2F3"/>
            <w:vAlign w:val="center"/>
          </w:tcPr>
          <w:p w14:paraId="48876DC3" w14:textId="77777777" w:rsidR="00990B14" w:rsidRDefault="00000000">
            <w:pPr>
              <w:spacing w:before="20" w:after="20"/>
              <w:jc w:val="both"/>
            </w:pPr>
            <w:r>
              <w:rPr>
                <w:sz w:val="18"/>
                <w:szCs w:val="18"/>
              </w:rPr>
              <w:t>Distingue la independencia organizacional de la objetividad individual.</w:t>
            </w:r>
          </w:p>
        </w:tc>
      </w:tr>
      <w:tr w:rsidR="00990B14" w14:paraId="03FD66CB" w14:textId="77777777">
        <w:trPr>
          <w:cantSplit/>
          <w:jc w:val="center"/>
        </w:trPr>
        <w:tc>
          <w:tcPr>
            <w:tcW w:w="1883" w:type="dxa"/>
            <w:vMerge/>
            <w:shd w:val="clear" w:color="auto" w:fill="4472C4"/>
            <w:vAlign w:val="center"/>
          </w:tcPr>
          <w:p w14:paraId="78EEC39F" w14:textId="77777777" w:rsidR="00990B14" w:rsidRDefault="00990B14">
            <w:pPr>
              <w:spacing w:before="20" w:after="20"/>
            </w:pPr>
          </w:p>
        </w:tc>
        <w:tc>
          <w:tcPr>
            <w:tcW w:w="1873" w:type="dxa"/>
            <w:shd w:val="clear" w:color="auto" w:fill="D9E2F3"/>
            <w:vAlign w:val="center"/>
          </w:tcPr>
          <w:p w14:paraId="7AD3A245" w14:textId="77777777" w:rsidR="00990B14" w:rsidRDefault="00000000">
            <w:pPr>
              <w:spacing w:before="20" w:after="20"/>
              <w:jc w:val="both"/>
            </w:pPr>
            <w:r>
              <w:rPr>
                <w:sz w:val="18"/>
                <w:szCs w:val="18"/>
              </w:rPr>
              <w:t>Salvaguardas</w:t>
            </w:r>
          </w:p>
        </w:tc>
        <w:tc>
          <w:tcPr>
            <w:tcW w:w="1869" w:type="dxa"/>
            <w:shd w:val="clear" w:color="auto" w:fill="D9E2F3"/>
            <w:vAlign w:val="center"/>
          </w:tcPr>
          <w:p w14:paraId="2405267B" w14:textId="77777777" w:rsidR="00990B14" w:rsidRDefault="00000000">
            <w:pPr>
              <w:spacing w:before="20" w:after="20"/>
              <w:jc w:val="both"/>
            </w:pPr>
            <w:r>
              <w:rPr>
                <w:sz w:val="18"/>
                <w:szCs w:val="18"/>
              </w:rPr>
              <w:t>No propone salvaguardas.</w:t>
            </w:r>
          </w:p>
        </w:tc>
        <w:tc>
          <w:tcPr>
            <w:tcW w:w="1910" w:type="dxa"/>
            <w:shd w:val="clear" w:color="auto" w:fill="D9E2F3"/>
            <w:vAlign w:val="center"/>
          </w:tcPr>
          <w:p w14:paraId="74A2086F" w14:textId="77777777" w:rsidR="00990B14" w:rsidRDefault="00000000">
            <w:pPr>
              <w:spacing w:before="20" w:after="20"/>
              <w:jc w:val="both"/>
            </w:pPr>
            <w:r>
              <w:rPr>
                <w:sz w:val="18"/>
                <w:szCs w:val="18"/>
              </w:rPr>
              <w:t>Propone salvaguardas para cada amenaza.</w:t>
            </w:r>
          </w:p>
        </w:tc>
        <w:tc>
          <w:tcPr>
            <w:tcW w:w="1870" w:type="dxa"/>
            <w:shd w:val="clear" w:color="auto" w:fill="D9E2F3"/>
            <w:vAlign w:val="center"/>
          </w:tcPr>
          <w:p w14:paraId="072A7CAB" w14:textId="77777777" w:rsidR="00990B14" w:rsidRDefault="00000000">
            <w:pPr>
              <w:spacing w:before="20" w:after="20"/>
              <w:jc w:val="both"/>
            </w:pPr>
            <w:r>
              <w:rPr>
                <w:sz w:val="18"/>
                <w:szCs w:val="18"/>
              </w:rPr>
              <w:t>Evalúa la eficacia de las salvaguardas.</w:t>
            </w:r>
          </w:p>
        </w:tc>
      </w:tr>
      <w:tr w:rsidR="00990B14" w14:paraId="2B82BD04" w14:textId="77777777">
        <w:trPr>
          <w:cantSplit/>
          <w:jc w:val="center"/>
        </w:trPr>
        <w:tc>
          <w:tcPr>
            <w:tcW w:w="1883" w:type="dxa"/>
            <w:vMerge/>
            <w:shd w:val="clear" w:color="auto" w:fill="4472C4"/>
            <w:vAlign w:val="center"/>
          </w:tcPr>
          <w:p w14:paraId="2B5D35D7" w14:textId="77777777" w:rsidR="00990B14" w:rsidRDefault="00990B14">
            <w:pPr>
              <w:spacing w:before="20" w:after="20"/>
            </w:pPr>
          </w:p>
        </w:tc>
        <w:tc>
          <w:tcPr>
            <w:tcW w:w="1873" w:type="dxa"/>
            <w:shd w:val="clear" w:color="auto" w:fill="D9E2F3"/>
            <w:vAlign w:val="center"/>
          </w:tcPr>
          <w:p w14:paraId="31E74682" w14:textId="77777777" w:rsidR="00990B14" w:rsidRDefault="00000000">
            <w:pPr>
              <w:spacing w:before="20" w:after="20"/>
              <w:jc w:val="both"/>
            </w:pPr>
            <w:r>
              <w:rPr>
                <w:sz w:val="18"/>
                <w:szCs w:val="18"/>
              </w:rPr>
              <w:t>Conclusión</w:t>
            </w:r>
          </w:p>
        </w:tc>
        <w:tc>
          <w:tcPr>
            <w:tcW w:w="1869" w:type="dxa"/>
            <w:shd w:val="clear" w:color="auto" w:fill="D9E2F3"/>
            <w:vAlign w:val="center"/>
          </w:tcPr>
          <w:p w14:paraId="1088B50F" w14:textId="77777777" w:rsidR="00990B14" w:rsidRDefault="00000000">
            <w:pPr>
              <w:spacing w:before="20" w:after="20"/>
              <w:jc w:val="both"/>
            </w:pPr>
            <w:r>
              <w:rPr>
                <w:sz w:val="18"/>
                <w:szCs w:val="18"/>
              </w:rPr>
              <w:t>No concluye.</w:t>
            </w:r>
          </w:p>
        </w:tc>
        <w:tc>
          <w:tcPr>
            <w:tcW w:w="1910" w:type="dxa"/>
            <w:shd w:val="clear" w:color="auto" w:fill="D9E2F3"/>
            <w:vAlign w:val="center"/>
          </w:tcPr>
          <w:p w14:paraId="6796AD08" w14:textId="77777777" w:rsidR="00990B14" w:rsidRDefault="00000000">
            <w:pPr>
              <w:spacing w:before="20" w:after="20"/>
              <w:jc w:val="both"/>
            </w:pPr>
            <w:r>
              <w:rPr>
                <w:sz w:val="18"/>
                <w:szCs w:val="18"/>
              </w:rPr>
              <w:t>Concluye sobre el caso.</w:t>
            </w:r>
          </w:p>
        </w:tc>
        <w:tc>
          <w:tcPr>
            <w:tcW w:w="1870" w:type="dxa"/>
            <w:shd w:val="clear" w:color="auto" w:fill="D9E2F3"/>
            <w:vAlign w:val="center"/>
          </w:tcPr>
          <w:p w14:paraId="1A78E8AC" w14:textId="77777777" w:rsidR="00990B14" w:rsidRDefault="00000000">
            <w:pPr>
              <w:spacing w:before="20" w:after="20"/>
              <w:jc w:val="both"/>
            </w:pPr>
            <w:r>
              <w:rPr>
                <w:sz w:val="18"/>
                <w:szCs w:val="18"/>
              </w:rPr>
              <w:t>Fundamenta la conclusión en las normas vigentes.</w:t>
            </w:r>
          </w:p>
        </w:tc>
      </w:tr>
      <w:tr w:rsidR="00990B14" w14:paraId="56671C2E" w14:textId="77777777">
        <w:trPr>
          <w:cantSplit/>
          <w:jc w:val="center"/>
        </w:trPr>
        <w:tc>
          <w:tcPr>
            <w:tcW w:w="1883" w:type="dxa"/>
            <w:vMerge/>
            <w:shd w:val="clear" w:color="auto" w:fill="4472C4"/>
            <w:vAlign w:val="center"/>
          </w:tcPr>
          <w:p w14:paraId="519A1493" w14:textId="77777777" w:rsidR="00990B14" w:rsidRDefault="00990B14">
            <w:pPr>
              <w:spacing w:before="20" w:after="20"/>
            </w:pPr>
          </w:p>
        </w:tc>
        <w:tc>
          <w:tcPr>
            <w:tcW w:w="5652" w:type="dxa"/>
            <w:gridSpan w:val="3"/>
            <w:shd w:val="clear" w:color="auto" w:fill="D9E2F3"/>
            <w:vAlign w:val="center"/>
          </w:tcPr>
          <w:p w14:paraId="1F14283E" w14:textId="77777777" w:rsidR="00990B14" w:rsidRDefault="00000000">
            <w:pPr>
              <w:keepNext/>
              <w:spacing w:before="20" w:after="20"/>
              <w:jc w:val="both"/>
            </w:pPr>
            <w:r>
              <w:rPr>
                <w:b/>
                <w:bCs/>
                <w:i/>
                <w:iCs/>
                <w:sz w:val="18"/>
                <w:szCs w:val="18"/>
              </w:rPr>
              <w:t xml:space="preserve">Producto 9: </w:t>
            </w:r>
            <w:r>
              <w:rPr>
                <w:sz w:val="18"/>
                <w:szCs w:val="18"/>
              </w:rPr>
              <w:t>Cuadro de pronunciamientos aplicables a la auditoría operativa</w:t>
            </w:r>
          </w:p>
        </w:tc>
        <w:tc>
          <w:tcPr>
            <w:tcW w:w="1870" w:type="dxa"/>
            <w:shd w:val="clear" w:color="auto" w:fill="D9E2F3"/>
            <w:vAlign w:val="center"/>
          </w:tcPr>
          <w:p w14:paraId="63588805" w14:textId="77777777" w:rsidR="00990B14" w:rsidRDefault="00000000">
            <w:pPr>
              <w:spacing w:before="20" w:after="20"/>
              <w:jc w:val="center"/>
            </w:pPr>
            <w:r>
              <w:rPr>
                <w:b/>
                <w:bCs/>
                <w:sz w:val="18"/>
                <w:szCs w:val="18"/>
              </w:rPr>
              <w:t>8%</w:t>
            </w:r>
          </w:p>
        </w:tc>
      </w:tr>
      <w:tr w:rsidR="00990B14" w14:paraId="3C346855" w14:textId="77777777">
        <w:trPr>
          <w:cantSplit/>
          <w:jc w:val="center"/>
        </w:trPr>
        <w:tc>
          <w:tcPr>
            <w:tcW w:w="1883" w:type="dxa"/>
            <w:vMerge/>
            <w:shd w:val="clear" w:color="auto" w:fill="4472C4"/>
            <w:vAlign w:val="center"/>
          </w:tcPr>
          <w:p w14:paraId="4CB0EDEC" w14:textId="77777777" w:rsidR="00990B14" w:rsidRDefault="00990B14">
            <w:pPr>
              <w:spacing w:before="20" w:after="20"/>
            </w:pPr>
          </w:p>
        </w:tc>
        <w:tc>
          <w:tcPr>
            <w:tcW w:w="1873" w:type="dxa"/>
            <w:shd w:val="clear" w:color="auto" w:fill="4472C4"/>
            <w:vAlign w:val="center"/>
          </w:tcPr>
          <w:p w14:paraId="3AA44F13" w14:textId="77777777" w:rsidR="00990B14" w:rsidRDefault="00000000">
            <w:pPr>
              <w:keepNext/>
              <w:spacing w:before="20" w:after="20"/>
              <w:jc w:val="center"/>
            </w:pPr>
            <w:r>
              <w:rPr>
                <w:b/>
                <w:bCs/>
                <w:i/>
                <w:iCs/>
                <w:color w:val="FFFFFF"/>
                <w:sz w:val="18"/>
                <w:szCs w:val="18"/>
              </w:rPr>
              <w:t>Criterio</w:t>
            </w:r>
          </w:p>
        </w:tc>
        <w:tc>
          <w:tcPr>
            <w:tcW w:w="1869" w:type="dxa"/>
            <w:shd w:val="clear" w:color="auto" w:fill="4472C4"/>
            <w:vAlign w:val="center"/>
          </w:tcPr>
          <w:p w14:paraId="4C7A6BA9"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0F81117B" w14:textId="77777777" w:rsidR="00990B14" w:rsidRDefault="00000000">
            <w:pPr>
              <w:keepNext/>
              <w:spacing w:before="20" w:after="20"/>
              <w:jc w:val="center"/>
            </w:pPr>
            <w:r>
              <w:rPr>
                <w:b/>
                <w:bCs/>
                <w:i/>
                <w:iCs/>
                <w:color w:val="FFFFFF"/>
                <w:sz w:val="18"/>
                <w:szCs w:val="18"/>
              </w:rPr>
              <w:t>Suficiente (51–80)</w:t>
            </w:r>
          </w:p>
        </w:tc>
        <w:tc>
          <w:tcPr>
            <w:tcW w:w="1870" w:type="dxa"/>
            <w:shd w:val="clear" w:color="auto" w:fill="4472C4"/>
            <w:vAlign w:val="center"/>
          </w:tcPr>
          <w:p w14:paraId="6588626A" w14:textId="77777777" w:rsidR="00990B14" w:rsidRDefault="00000000">
            <w:pPr>
              <w:keepNext/>
              <w:spacing w:before="20" w:after="20"/>
              <w:jc w:val="center"/>
            </w:pPr>
            <w:r>
              <w:rPr>
                <w:b/>
                <w:bCs/>
                <w:i/>
                <w:iCs/>
                <w:color w:val="FFFFFF"/>
                <w:sz w:val="18"/>
                <w:szCs w:val="18"/>
              </w:rPr>
              <w:t>Destacado (81–100)</w:t>
            </w:r>
          </w:p>
        </w:tc>
      </w:tr>
      <w:tr w:rsidR="00990B14" w14:paraId="3EC8EC02" w14:textId="77777777">
        <w:trPr>
          <w:cantSplit/>
          <w:jc w:val="center"/>
        </w:trPr>
        <w:tc>
          <w:tcPr>
            <w:tcW w:w="1883" w:type="dxa"/>
            <w:vMerge/>
            <w:shd w:val="clear" w:color="auto" w:fill="4472C4"/>
            <w:vAlign w:val="center"/>
          </w:tcPr>
          <w:p w14:paraId="419346F7" w14:textId="77777777" w:rsidR="00990B14" w:rsidRDefault="00990B14">
            <w:pPr>
              <w:spacing w:before="20" w:after="20"/>
            </w:pPr>
          </w:p>
        </w:tc>
        <w:tc>
          <w:tcPr>
            <w:tcW w:w="1873" w:type="dxa"/>
            <w:shd w:val="clear" w:color="auto" w:fill="D9E2F3"/>
            <w:vAlign w:val="center"/>
          </w:tcPr>
          <w:p w14:paraId="4A165383" w14:textId="77777777" w:rsidR="00990B14" w:rsidRDefault="00000000">
            <w:pPr>
              <w:spacing w:before="20" w:after="20"/>
              <w:jc w:val="both"/>
            </w:pPr>
            <w:r>
              <w:rPr>
                <w:sz w:val="18"/>
                <w:szCs w:val="18"/>
              </w:rPr>
              <w:t>Normas</w:t>
            </w:r>
          </w:p>
        </w:tc>
        <w:tc>
          <w:tcPr>
            <w:tcW w:w="1869" w:type="dxa"/>
            <w:shd w:val="clear" w:color="auto" w:fill="D9E2F3"/>
            <w:vAlign w:val="center"/>
          </w:tcPr>
          <w:p w14:paraId="558EA400" w14:textId="77777777" w:rsidR="00990B14" w:rsidRDefault="00000000">
            <w:pPr>
              <w:spacing w:before="20" w:after="20"/>
              <w:jc w:val="both"/>
            </w:pPr>
            <w:r>
              <w:rPr>
                <w:sz w:val="18"/>
                <w:szCs w:val="18"/>
              </w:rPr>
              <w:t>Omite normas.</w:t>
            </w:r>
          </w:p>
        </w:tc>
        <w:tc>
          <w:tcPr>
            <w:tcW w:w="1910" w:type="dxa"/>
            <w:shd w:val="clear" w:color="auto" w:fill="D9E2F3"/>
            <w:vAlign w:val="center"/>
          </w:tcPr>
          <w:p w14:paraId="5C3684EA" w14:textId="77777777" w:rsidR="00990B14" w:rsidRDefault="00000000">
            <w:pPr>
              <w:spacing w:before="20" w:after="20"/>
              <w:jc w:val="both"/>
            </w:pPr>
            <w:r>
              <w:rPr>
                <w:sz w:val="18"/>
                <w:szCs w:val="18"/>
              </w:rPr>
              <w:t>Identifica las normas nacionales e internacionales aplicables.</w:t>
            </w:r>
          </w:p>
        </w:tc>
        <w:tc>
          <w:tcPr>
            <w:tcW w:w="1870" w:type="dxa"/>
            <w:shd w:val="clear" w:color="auto" w:fill="D9E2F3"/>
            <w:vAlign w:val="center"/>
          </w:tcPr>
          <w:p w14:paraId="3295FAF2" w14:textId="77777777" w:rsidR="00990B14" w:rsidRDefault="00000000">
            <w:pPr>
              <w:spacing w:before="20" w:after="20"/>
              <w:jc w:val="both"/>
            </w:pPr>
            <w:r>
              <w:rPr>
                <w:sz w:val="18"/>
                <w:szCs w:val="18"/>
              </w:rPr>
              <w:t>Indica la vigencia de cada norma.</w:t>
            </w:r>
          </w:p>
        </w:tc>
      </w:tr>
      <w:tr w:rsidR="00990B14" w14:paraId="6176BA5E" w14:textId="77777777">
        <w:trPr>
          <w:cantSplit/>
          <w:jc w:val="center"/>
        </w:trPr>
        <w:tc>
          <w:tcPr>
            <w:tcW w:w="1883" w:type="dxa"/>
            <w:vMerge/>
            <w:shd w:val="clear" w:color="auto" w:fill="4472C4"/>
            <w:vAlign w:val="center"/>
          </w:tcPr>
          <w:p w14:paraId="3D12D740" w14:textId="77777777" w:rsidR="00990B14" w:rsidRDefault="00990B14">
            <w:pPr>
              <w:spacing w:before="20" w:after="20"/>
            </w:pPr>
          </w:p>
        </w:tc>
        <w:tc>
          <w:tcPr>
            <w:tcW w:w="1873" w:type="dxa"/>
            <w:shd w:val="clear" w:color="auto" w:fill="D9E2F3"/>
            <w:vAlign w:val="center"/>
          </w:tcPr>
          <w:p w14:paraId="16D899E1" w14:textId="77777777" w:rsidR="00990B14" w:rsidRDefault="00000000">
            <w:pPr>
              <w:spacing w:before="20" w:after="20"/>
              <w:jc w:val="both"/>
            </w:pPr>
            <w:r>
              <w:rPr>
                <w:sz w:val="18"/>
                <w:szCs w:val="18"/>
              </w:rPr>
              <w:t>Sector</w:t>
            </w:r>
          </w:p>
        </w:tc>
        <w:tc>
          <w:tcPr>
            <w:tcW w:w="1869" w:type="dxa"/>
            <w:shd w:val="clear" w:color="auto" w:fill="D9E2F3"/>
            <w:vAlign w:val="center"/>
          </w:tcPr>
          <w:p w14:paraId="0E94083C" w14:textId="77777777" w:rsidR="00990B14" w:rsidRDefault="00000000">
            <w:pPr>
              <w:spacing w:before="20" w:after="20"/>
              <w:jc w:val="both"/>
            </w:pPr>
            <w:r>
              <w:rPr>
                <w:sz w:val="18"/>
                <w:szCs w:val="18"/>
              </w:rPr>
              <w:t>No distingue el sector.</w:t>
            </w:r>
          </w:p>
        </w:tc>
        <w:tc>
          <w:tcPr>
            <w:tcW w:w="1910" w:type="dxa"/>
            <w:shd w:val="clear" w:color="auto" w:fill="D9E2F3"/>
            <w:vAlign w:val="center"/>
          </w:tcPr>
          <w:p w14:paraId="600CA1D0" w14:textId="77777777" w:rsidR="00990B14" w:rsidRDefault="00000000">
            <w:pPr>
              <w:spacing w:before="20" w:after="20"/>
              <w:jc w:val="both"/>
            </w:pPr>
            <w:r>
              <w:rPr>
                <w:sz w:val="18"/>
                <w:szCs w:val="18"/>
              </w:rPr>
              <w:t>Distingue las normas del sector público y del privado.</w:t>
            </w:r>
          </w:p>
        </w:tc>
        <w:tc>
          <w:tcPr>
            <w:tcW w:w="1870" w:type="dxa"/>
            <w:shd w:val="clear" w:color="auto" w:fill="D9E2F3"/>
            <w:vAlign w:val="center"/>
          </w:tcPr>
          <w:p w14:paraId="5FA8955B" w14:textId="77777777" w:rsidR="00990B14" w:rsidRDefault="00000000">
            <w:pPr>
              <w:spacing w:before="20" w:after="20"/>
              <w:jc w:val="both"/>
            </w:pPr>
            <w:r>
              <w:rPr>
                <w:sz w:val="18"/>
                <w:szCs w:val="18"/>
              </w:rPr>
              <w:t>Explica la relación entre ellas.</w:t>
            </w:r>
          </w:p>
        </w:tc>
      </w:tr>
      <w:tr w:rsidR="00990B14" w14:paraId="13FE8E68" w14:textId="77777777">
        <w:trPr>
          <w:cantSplit/>
          <w:jc w:val="center"/>
        </w:trPr>
        <w:tc>
          <w:tcPr>
            <w:tcW w:w="1883" w:type="dxa"/>
            <w:vMerge/>
            <w:shd w:val="clear" w:color="auto" w:fill="4472C4"/>
            <w:vAlign w:val="center"/>
          </w:tcPr>
          <w:p w14:paraId="22D8A116" w14:textId="77777777" w:rsidR="00990B14" w:rsidRDefault="00990B14">
            <w:pPr>
              <w:spacing w:before="20" w:after="20"/>
            </w:pPr>
          </w:p>
        </w:tc>
        <w:tc>
          <w:tcPr>
            <w:tcW w:w="1873" w:type="dxa"/>
            <w:shd w:val="clear" w:color="auto" w:fill="D9E2F3"/>
            <w:vAlign w:val="center"/>
          </w:tcPr>
          <w:p w14:paraId="6BA882E9" w14:textId="77777777" w:rsidR="00990B14" w:rsidRDefault="00000000">
            <w:pPr>
              <w:spacing w:before="20" w:after="20"/>
              <w:jc w:val="both"/>
            </w:pPr>
            <w:r>
              <w:rPr>
                <w:sz w:val="18"/>
                <w:szCs w:val="18"/>
              </w:rPr>
              <w:t>Presentación</w:t>
            </w:r>
          </w:p>
        </w:tc>
        <w:tc>
          <w:tcPr>
            <w:tcW w:w="1869" w:type="dxa"/>
            <w:shd w:val="clear" w:color="auto" w:fill="D9E2F3"/>
            <w:vAlign w:val="center"/>
          </w:tcPr>
          <w:p w14:paraId="3AB30E25" w14:textId="77777777" w:rsidR="00990B14" w:rsidRDefault="00000000">
            <w:pPr>
              <w:spacing w:before="20" w:after="20"/>
              <w:jc w:val="both"/>
            </w:pPr>
            <w:r>
              <w:rPr>
                <w:sz w:val="18"/>
                <w:szCs w:val="18"/>
              </w:rPr>
              <w:t>El cuadro es desordenado.</w:t>
            </w:r>
          </w:p>
        </w:tc>
        <w:tc>
          <w:tcPr>
            <w:tcW w:w="1910" w:type="dxa"/>
            <w:shd w:val="clear" w:color="auto" w:fill="D9E2F3"/>
            <w:vAlign w:val="center"/>
          </w:tcPr>
          <w:p w14:paraId="023271B2" w14:textId="77777777" w:rsidR="00990B14" w:rsidRDefault="00000000">
            <w:pPr>
              <w:spacing w:before="20" w:after="20"/>
              <w:jc w:val="both"/>
            </w:pPr>
            <w:r>
              <w:rPr>
                <w:sz w:val="18"/>
                <w:szCs w:val="18"/>
              </w:rPr>
              <w:t>El cuadro es claro.</w:t>
            </w:r>
          </w:p>
        </w:tc>
        <w:tc>
          <w:tcPr>
            <w:tcW w:w="1870" w:type="dxa"/>
            <w:shd w:val="clear" w:color="auto" w:fill="D9E2F3"/>
            <w:vAlign w:val="center"/>
          </w:tcPr>
          <w:p w14:paraId="64405B61" w14:textId="77777777" w:rsidR="00990B14" w:rsidRDefault="00000000">
            <w:pPr>
              <w:spacing w:before="20" w:after="20"/>
              <w:jc w:val="both"/>
            </w:pPr>
            <w:r>
              <w:rPr>
                <w:sz w:val="18"/>
                <w:szCs w:val="18"/>
              </w:rPr>
              <w:t>El cuadro es completo y referenciado.</w:t>
            </w:r>
          </w:p>
        </w:tc>
      </w:tr>
      <w:tr w:rsidR="00990B14" w14:paraId="3D77ACC2" w14:textId="77777777">
        <w:trPr>
          <w:cantSplit/>
          <w:jc w:val="center"/>
        </w:trPr>
        <w:tc>
          <w:tcPr>
            <w:tcW w:w="1883" w:type="dxa"/>
            <w:vMerge/>
            <w:shd w:val="clear" w:color="auto" w:fill="4472C4"/>
            <w:vAlign w:val="center"/>
          </w:tcPr>
          <w:p w14:paraId="27A9E10F" w14:textId="77777777" w:rsidR="00990B14" w:rsidRDefault="00990B14">
            <w:pPr>
              <w:spacing w:before="20" w:after="20"/>
            </w:pPr>
          </w:p>
        </w:tc>
        <w:tc>
          <w:tcPr>
            <w:tcW w:w="5652" w:type="dxa"/>
            <w:gridSpan w:val="3"/>
            <w:shd w:val="clear" w:color="auto" w:fill="D9E2F3"/>
            <w:vAlign w:val="center"/>
          </w:tcPr>
          <w:p w14:paraId="3B2BB58C" w14:textId="77777777" w:rsidR="00990B14" w:rsidRDefault="00000000">
            <w:pPr>
              <w:keepNext/>
              <w:spacing w:before="20" w:after="20"/>
              <w:jc w:val="both"/>
            </w:pPr>
            <w:r>
              <w:rPr>
                <w:b/>
                <w:bCs/>
                <w:i/>
                <w:iCs/>
                <w:sz w:val="18"/>
                <w:szCs w:val="18"/>
              </w:rPr>
              <w:t xml:space="preserve">Producto 10: </w:t>
            </w:r>
            <w:r>
              <w:rPr>
                <w:sz w:val="18"/>
                <w:szCs w:val="18"/>
              </w:rPr>
              <w:t>Matriz de técnicas de obtención de evidencia</w:t>
            </w:r>
          </w:p>
        </w:tc>
        <w:tc>
          <w:tcPr>
            <w:tcW w:w="1870" w:type="dxa"/>
            <w:shd w:val="clear" w:color="auto" w:fill="D9E2F3"/>
            <w:vAlign w:val="center"/>
          </w:tcPr>
          <w:p w14:paraId="16E07F13" w14:textId="77777777" w:rsidR="00990B14" w:rsidRDefault="00000000">
            <w:pPr>
              <w:spacing w:before="20" w:after="20"/>
              <w:jc w:val="center"/>
            </w:pPr>
            <w:r>
              <w:rPr>
                <w:b/>
                <w:bCs/>
                <w:sz w:val="18"/>
                <w:szCs w:val="18"/>
              </w:rPr>
              <w:t>8%</w:t>
            </w:r>
          </w:p>
        </w:tc>
      </w:tr>
      <w:tr w:rsidR="00990B14" w14:paraId="0090B351" w14:textId="77777777">
        <w:trPr>
          <w:cantSplit/>
          <w:jc w:val="center"/>
        </w:trPr>
        <w:tc>
          <w:tcPr>
            <w:tcW w:w="1883" w:type="dxa"/>
            <w:vMerge/>
            <w:shd w:val="clear" w:color="auto" w:fill="4472C4"/>
            <w:vAlign w:val="center"/>
          </w:tcPr>
          <w:p w14:paraId="332B5270" w14:textId="77777777" w:rsidR="00990B14" w:rsidRDefault="00990B14">
            <w:pPr>
              <w:spacing w:before="20" w:after="20"/>
            </w:pPr>
          </w:p>
        </w:tc>
        <w:tc>
          <w:tcPr>
            <w:tcW w:w="1873" w:type="dxa"/>
            <w:shd w:val="clear" w:color="auto" w:fill="4472C4"/>
            <w:vAlign w:val="center"/>
          </w:tcPr>
          <w:p w14:paraId="200662DD" w14:textId="77777777" w:rsidR="00990B14" w:rsidRDefault="00000000">
            <w:pPr>
              <w:keepNext/>
              <w:spacing w:before="20" w:after="20"/>
              <w:jc w:val="center"/>
            </w:pPr>
            <w:r>
              <w:rPr>
                <w:b/>
                <w:bCs/>
                <w:i/>
                <w:iCs/>
                <w:color w:val="FFFFFF"/>
                <w:sz w:val="18"/>
                <w:szCs w:val="18"/>
              </w:rPr>
              <w:t>Criterio</w:t>
            </w:r>
          </w:p>
        </w:tc>
        <w:tc>
          <w:tcPr>
            <w:tcW w:w="1869" w:type="dxa"/>
            <w:shd w:val="clear" w:color="auto" w:fill="4472C4"/>
            <w:vAlign w:val="center"/>
          </w:tcPr>
          <w:p w14:paraId="300B7966"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433D11F9" w14:textId="77777777" w:rsidR="00990B14" w:rsidRDefault="00000000">
            <w:pPr>
              <w:keepNext/>
              <w:spacing w:before="20" w:after="20"/>
              <w:jc w:val="center"/>
            </w:pPr>
            <w:r>
              <w:rPr>
                <w:b/>
                <w:bCs/>
                <w:i/>
                <w:iCs/>
                <w:color w:val="FFFFFF"/>
                <w:sz w:val="18"/>
                <w:szCs w:val="18"/>
              </w:rPr>
              <w:t>Suficiente (51–80)</w:t>
            </w:r>
          </w:p>
        </w:tc>
        <w:tc>
          <w:tcPr>
            <w:tcW w:w="1870" w:type="dxa"/>
            <w:shd w:val="clear" w:color="auto" w:fill="4472C4"/>
            <w:vAlign w:val="center"/>
          </w:tcPr>
          <w:p w14:paraId="18E76815" w14:textId="77777777" w:rsidR="00990B14" w:rsidRDefault="00000000">
            <w:pPr>
              <w:keepNext/>
              <w:spacing w:before="20" w:after="20"/>
              <w:jc w:val="center"/>
            </w:pPr>
            <w:r>
              <w:rPr>
                <w:b/>
                <w:bCs/>
                <w:i/>
                <w:iCs/>
                <w:color w:val="FFFFFF"/>
                <w:sz w:val="18"/>
                <w:szCs w:val="18"/>
              </w:rPr>
              <w:t>Destacado (81–100)</w:t>
            </w:r>
          </w:p>
        </w:tc>
      </w:tr>
      <w:tr w:rsidR="00990B14" w14:paraId="412E0870" w14:textId="77777777">
        <w:trPr>
          <w:cantSplit/>
          <w:jc w:val="center"/>
        </w:trPr>
        <w:tc>
          <w:tcPr>
            <w:tcW w:w="1883" w:type="dxa"/>
            <w:vMerge/>
            <w:shd w:val="clear" w:color="auto" w:fill="4472C4"/>
            <w:vAlign w:val="center"/>
          </w:tcPr>
          <w:p w14:paraId="4A3BDB0E" w14:textId="77777777" w:rsidR="00990B14" w:rsidRDefault="00990B14">
            <w:pPr>
              <w:spacing w:before="20" w:after="20"/>
            </w:pPr>
          </w:p>
        </w:tc>
        <w:tc>
          <w:tcPr>
            <w:tcW w:w="1873" w:type="dxa"/>
            <w:shd w:val="clear" w:color="auto" w:fill="D9E2F3"/>
            <w:vAlign w:val="center"/>
          </w:tcPr>
          <w:p w14:paraId="754F7D81" w14:textId="77777777" w:rsidR="00990B14" w:rsidRDefault="00000000">
            <w:pPr>
              <w:spacing w:before="20" w:after="20"/>
              <w:jc w:val="both"/>
            </w:pPr>
            <w:r>
              <w:rPr>
                <w:sz w:val="18"/>
                <w:szCs w:val="18"/>
              </w:rPr>
              <w:t>Técnicas</w:t>
            </w:r>
          </w:p>
        </w:tc>
        <w:tc>
          <w:tcPr>
            <w:tcW w:w="1869" w:type="dxa"/>
            <w:shd w:val="clear" w:color="auto" w:fill="D9E2F3"/>
            <w:vAlign w:val="center"/>
          </w:tcPr>
          <w:p w14:paraId="058EA5DE" w14:textId="77777777" w:rsidR="00990B14" w:rsidRDefault="00000000">
            <w:pPr>
              <w:spacing w:before="20" w:after="20"/>
              <w:jc w:val="both"/>
            </w:pPr>
            <w:r>
              <w:rPr>
                <w:sz w:val="18"/>
                <w:szCs w:val="18"/>
              </w:rPr>
              <w:t>Selecciona técnicas inadecuadas.</w:t>
            </w:r>
          </w:p>
        </w:tc>
        <w:tc>
          <w:tcPr>
            <w:tcW w:w="1910" w:type="dxa"/>
            <w:shd w:val="clear" w:color="auto" w:fill="D9E2F3"/>
            <w:vAlign w:val="center"/>
          </w:tcPr>
          <w:p w14:paraId="4C7DED9F" w14:textId="77777777" w:rsidR="00990B14" w:rsidRDefault="00000000">
            <w:pPr>
              <w:spacing w:before="20" w:after="20"/>
              <w:jc w:val="both"/>
            </w:pPr>
            <w:r>
              <w:rPr>
                <w:sz w:val="18"/>
                <w:szCs w:val="18"/>
              </w:rPr>
              <w:t>Selecciona técnicas pertinentes para cada objetivo.</w:t>
            </w:r>
          </w:p>
        </w:tc>
        <w:tc>
          <w:tcPr>
            <w:tcW w:w="1870" w:type="dxa"/>
            <w:shd w:val="clear" w:color="auto" w:fill="D9E2F3"/>
            <w:vAlign w:val="center"/>
          </w:tcPr>
          <w:p w14:paraId="1611BA8A" w14:textId="77777777" w:rsidR="00990B14" w:rsidRDefault="00000000">
            <w:pPr>
              <w:spacing w:before="20" w:after="20"/>
              <w:jc w:val="both"/>
            </w:pPr>
            <w:r>
              <w:rPr>
                <w:sz w:val="18"/>
                <w:szCs w:val="18"/>
              </w:rPr>
              <w:t>Combina técnicas para obtener evidencia suficiente.</w:t>
            </w:r>
          </w:p>
        </w:tc>
      </w:tr>
      <w:tr w:rsidR="00990B14" w14:paraId="44601133" w14:textId="77777777">
        <w:trPr>
          <w:cantSplit/>
          <w:jc w:val="center"/>
        </w:trPr>
        <w:tc>
          <w:tcPr>
            <w:tcW w:w="1883" w:type="dxa"/>
            <w:vMerge/>
            <w:shd w:val="clear" w:color="auto" w:fill="4472C4"/>
            <w:vAlign w:val="center"/>
          </w:tcPr>
          <w:p w14:paraId="1E069565" w14:textId="77777777" w:rsidR="00990B14" w:rsidRDefault="00990B14">
            <w:pPr>
              <w:spacing w:before="20" w:after="20"/>
            </w:pPr>
          </w:p>
        </w:tc>
        <w:tc>
          <w:tcPr>
            <w:tcW w:w="1873" w:type="dxa"/>
            <w:shd w:val="clear" w:color="auto" w:fill="D9E2F3"/>
            <w:vAlign w:val="center"/>
          </w:tcPr>
          <w:p w14:paraId="7D9DFBF6" w14:textId="77777777" w:rsidR="00990B14" w:rsidRDefault="00000000">
            <w:pPr>
              <w:spacing w:before="20" w:after="20"/>
              <w:jc w:val="both"/>
            </w:pPr>
            <w:r>
              <w:rPr>
                <w:sz w:val="18"/>
                <w:szCs w:val="18"/>
              </w:rPr>
              <w:t>Calidad de la evidencia</w:t>
            </w:r>
          </w:p>
        </w:tc>
        <w:tc>
          <w:tcPr>
            <w:tcW w:w="1869" w:type="dxa"/>
            <w:shd w:val="clear" w:color="auto" w:fill="D9E2F3"/>
            <w:vAlign w:val="center"/>
          </w:tcPr>
          <w:p w14:paraId="30D7F604" w14:textId="77777777" w:rsidR="00990B14" w:rsidRDefault="00000000">
            <w:pPr>
              <w:spacing w:before="20" w:after="20"/>
              <w:jc w:val="both"/>
            </w:pPr>
            <w:r>
              <w:rPr>
                <w:sz w:val="18"/>
                <w:szCs w:val="18"/>
              </w:rPr>
              <w:t>No evalúa la evidencia.</w:t>
            </w:r>
          </w:p>
        </w:tc>
        <w:tc>
          <w:tcPr>
            <w:tcW w:w="1910" w:type="dxa"/>
            <w:shd w:val="clear" w:color="auto" w:fill="D9E2F3"/>
            <w:vAlign w:val="center"/>
          </w:tcPr>
          <w:p w14:paraId="6805D5C9" w14:textId="77777777" w:rsidR="00990B14" w:rsidRDefault="00000000">
            <w:pPr>
              <w:spacing w:before="20" w:after="20"/>
              <w:jc w:val="both"/>
            </w:pPr>
            <w:r>
              <w:rPr>
                <w:sz w:val="18"/>
                <w:szCs w:val="18"/>
              </w:rPr>
              <w:t>Evalúa la suficiencia y la pertinencia de la evidencia.</w:t>
            </w:r>
          </w:p>
        </w:tc>
        <w:tc>
          <w:tcPr>
            <w:tcW w:w="1870" w:type="dxa"/>
            <w:shd w:val="clear" w:color="auto" w:fill="D9E2F3"/>
            <w:vAlign w:val="center"/>
          </w:tcPr>
          <w:p w14:paraId="42E77429" w14:textId="77777777" w:rsidR="00990B14" w:rsidRDefault="00000000">
            <w:pPr>
              <w:spacing w:before="20" w:after="20"/>
              <w:jc w:val="both"/>
            </w:pPr>
            <w:r>
              <w:rPr>
                <w:sz w:val="18"/>
                <w:szCs w:val="18"/>
              </w:rPr>
              <w:t>Considera la fiabilidad de la fuente.</w:t>
            </w:r>
          </w:p>
        </w:tc>
      </w:tr>
      <w:tr w:rsidR="00990B14" w14:paraId="50238876" w14:textId="77777777">
        <w:trPr>
          <w:cantSplit/>
          <w:jc w:val="center"/>
        </w:trPr>
        <w:tc>
          <w:tcPr>
            <w:tcW w:w="1883" w:type="dxa"/>
            <w:vMerge/>
            <w:shd w:val="clear" w:color="auto" w:fill="4472C4"/>
            <w:vAlign w:val="center"/>
          </w:tcPr>
          <w:p w14:paraId="3480B63B" w14:textId="77777777" w:rsidR="00990B14" w:rsidRDefault="00990B14">
            <w:pPr>
              <w:spacing w:before="20" w:after="20"/>
            </w:pPr>
          </w:p>
        </w:tc>
        <w:tc>
          <w:tcPr>
            <w:tcW w:w="1873" w:type="dxa"/>
            <w:shd w:val="clear" w:color="auto" w:fill="D9E2F3"/>
            <w:vAlign w:val="center"/>
          </w:tcPr>
          <w:p w14:paraId="48DBD411" w14:textId="77777777" w:rsidR="00990B14" w:rsidRDefault="00000000">
            <w:pPr>
              <w:spacing w:before="20" w:after="20"/>
              <w:jc w:val="both"/>
            </w:pPr>
            <w:r>
              <w:rPr>
                <w:sz w:val="18"/>
                <w:szCs w:val="18"/>
              </w:rPr>
              <w:t>Presentación</w:t>
            </w:r>
          </w:p>
        </w:tc>
        <w:tc>
          <w:tcPr>
            <w:tcW w:w="1869" w:type="dxa"/>
            <w:shd w:val="clear" w:color="auto" w:fill="D9E2F3"/>
            <w:vAlign w:val="center"/>
          </w:tcPr>
          <w:p w14:paraId="346379D3" w14:textId="77777777" w:rsidR="00990B14" w:rsidRDefault="00000000">
            <w:pPr>
              <w:spacing w:before="20" w:after="20"/>
              <w:jc w:val="both"/>
            </w:pPr>
            <w:r>
              <w:rPr>
                <w:sz w:val="18"/>
                <w:szCs w:val="18"/>
              </w:rPr>
              <w:t>La matriz es confusa.</w:t>
            </w:r>
          </w:p>
        </w:tc>
        <w:tc>
          <w:tcPr>
            <w:tcW w:w="1910" w:type="dxa"/>
            <w:shd w:val="clear" w:color="auto" w:fill="D9E2F3"/>
            <w:vAlign w:val="center"/>
          </w:tcPr>
          <w:p w14:paraId="674571D6" w14:textId="77777777" w:rsidR="00990B14" w:rsidRDefault="00000000">
            <w:pPr>
              <w:spacing w:before="20" w:after="20"/>
              <w:jc w:val="both"/>
            </w:pPr>
            <w:r>
              <w:rPr>
                <w:sz w:val="18"/>
                <w:szCs w:val="18"/>
              </w:rPr>
              <w:t>La matriz es clara.</w:t>
            </w:r>
          </w:p>
        </w:tc>
        <w:tc>
          <w:tcPr>
            <w:tcW w:w="1870" w:type="dxa"/>
            <w:shd w:val="clear" w:color="auto" w:fill="D9E2F3"/>
            <w:vAlign w:val="center"/>
          </w:tcPr>
          <w:p w14:paraId="6E2D04F1" w14:textId="77777777" w:rsidR="00990B14" w:rsidRDefault="00000000">
            <w:pPr>
              <w:spacing w:before="20" w:after="20"/>
              <w:jc w:val="both"/>
            </w:pPr>
            <w:r>
              <w:rPr>
                <w:sz w:val="18"/>
                <w:szCs w:val="18"/>
              </w:rPr>
              <w:t>La matriz relaciona objetivos, técnicas y evidencia.</w:t>
            </w:r>
          </w:p>
        </w:tc>
      </w:tr>
      <w:tr w:rsidR="00990B14" w14:paraId="5B0CB274" w14:textId="77777777">
        <w:trPr>
          <w:cantSplit/>
          <w:jc w:val="center"/>
        </w:trPr>
        <w:tc>
          <w:tcPr>
            <w:tcW w:w="1883" w:type="dxa"/>
            <w:vMerge/>
            <w:shd w:val="clear" w:color="auto" w:fill="4472C4"/>
            <w:vAlign w:val="center"/>
          </w:tcPr>
          <w:p w14:paraId="7E36FAE5" w14:textId="77777777" w:rsidR="00990B14" w:rsidRDefault="00990B14">
            <w:pPr>
              <w:spacing w:before="20" w:after="20"/>
            </w:pPr>
          </w:p>
        </w:tc>
        <w:tc>
          <w:tcPr>
            <w:tcW w:w="5652" w:type="dxa"/>
            <w:gridSpan w:val="3"/>
            <w:shd w:val="clear" w:color="auto" w:fill="D9E2F3"/>
            <w:vAlign w:val="center"/>
          </w:tcPr>
          <w:p w14:paraId="1E440FD7" w14:textId="77777777" w:rsidR="00990B14" w:rsidRDefault="00000000">
            <w:pPr>
              <w:keepNext/>
              <w:spacing w:before="20" w:after="20"/>
              <w:jc w:val="both"/>
            </w:pPr>
            <w:r>
              <w:rPr>
                <w:b/>
                <w:bCs/>
                <w:i/>
                <w:iCs/>
                <w:sz w:val="18"/>
                <w:szCs w:val="18"/>
              </w:rPr>
              <w:t xml:space="preserve">Producto 11: </w:t>
            </w:r>
            <w:r>
              <w:rPr>
                <w:sz w:val="18"/>
                <w:szCs w:val="18"/>
              </w:rPr>
              <w:t>Evaluación del control interno con el Modelo COSO</w:t>
            </w:r>
          </w:p>
        </w:tc>
        <w:tc>
          <w:tcPr>
            <w:tcW w:w="1870" w:type="dxa"/>
            <w:shd w:val="clear" w:color="auto" w:fill="D9E2F3"/>
            <w:vAlign w:val="center"/>
          </w:tcPr>
          <w:p w14:paraId="34206D45" w14:textId="77777777" w:rsidR="00990B14" w:rsidRDefault="00000000">
            <w:pPr>
              <w:spacing w:before="20" w:after="20"/>
              <w:jc w:val="center"/>
            </w:pPr>
            <w:r>
              <w:rPr>
                <w:b/>
                <w:bCs/>
                <w:sz w:val="18"/>
                <w:szCs w:val="18"/>
              </w:rPr>
              <w:t>7%</w:t>
            </w:r>
          </w:p>
        </w:tc>
      </w:tr>
      <w:tr w:rsidR="00990B14" w14:paraId="3D484FA2" w14:textId="77777777">
        <w:trPr>
          <w:cantSplit/>
          <w:jc w:val="center"/>
        </w:trPr>
        <w:tc>
          <w:tcPr>
            <w:tcW w:w="1883" w:type="dxa"/>
            <w:vMerge/>
            <w:shd w:val="clear" w:color="auto" w:fill="4472C4"/>
            <w:vAlign w:val="center"/>
          </w:tcPr>
          <w:p w14:paraId="1126E36F" w14:textId="77777777" w:rsidR="00990B14" w:rsidRDefault="00990B14">
            <w:pPr>
              <w:spacing w:before="20" w:after="20"/>
            </w:pPr>
          </w:p>
        </w:tc>
        <w:tc>
          <w:tcPr>
            <w:tcW w:w="1873" w:type="dxa"/>
            <w:shd w:val="clear" w:color="auto" w:fill="4472C4"/>
            <w:vAlign w:val="center"/>
          </w:tcPr>
          <w:p w14:paraId="1BEFE441" w14:textId="77777777" w:rsidR="00990B14" w:rsidRDefault="00000000">
            <w:pPr>
              <w:keepNext/>
              <w:spacing w:before="20" w:after="20"/>
              <w:jc w:val="center"/>
            </w:pPr>
            <w:r>
              <w:rPr>
                <w:b/>
                <w:bCs/>
                <w:i/>
                <w:iCs/>
                <w:color w:val="FFFFFF"/>
                <w:sz w:val="18"/>
                <w:szCs w:val="18"/>
              </w:rPr>
              <w:t>Criterio</w:t>
            </w:r>
          </w:p>
        </w:tc>
        <w:tc>
          <w:tcPr>
            <w:tcW w:w="1869" w:type="dxa"/>
            <w:shd w:val="clear" w:color="auto" w:fill="4472C4"/>
            <w:vAlign w:val="center"/>
          </w:tcPr>
          <w:p w14:paraId="5D145DAA"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715A2A9B" w14:textId="77777777" w:rsidR="00990B14" w:rsidRDefault="00000000">
            <w:pPr>
              <w:keepNext/>
              <w:spacing w:before="20" w:after="20"/>
              <w:jc w:val="center"/>
            </w:pPr>
            <w:r>
              <w:rPr>
                <w:b/>
                <w:bCs/>
                <w:i/>
                <w:iCs/>
                <w:color w:val="FFFFFF"/>
                <w:sz w:val="18"/>
                <w:szCs w:val="18"/>
              </w:rPr>
              <w:t>Suficiente (51–80)</w:t>
            </w:r>
          </w:p>
        </w:tc>
        <w:tc>
          <w:tcPr>
            <w:tcW w:w="1870" w:type="dxa"/>
            <w:shd w:val="clear" w:color="auto" w:fill="4472C4"/>
            <w:vAlign w:val="center"/>
          </w:tcPr>
          <w:p w14:paraId="2B217312" w14:textId="77777777" w:rsidR="00990B14" w:rsidRDefault="00000000">
            <w:pPr>
              <w:keepNext/>
              <w:spacing w:before="20" w:after="20"/>
              <w:jc w:val="center"/>
            </w:pPr>
            <w:r>
              <w:rPr>
                <w:b/>
                <w:bCs/>
                <w:i/>
                <w:iCs/>
                <w:color w:val="FFFFFF"/>
                <w:sz w:val="18"/>
                <w:szCs w:val="18"/>
              </w:rPr>
              <w:t>Destacado (81–100)</w:t>
            </w:r>
          </w:p>
        </w:tc>
      </w:tr>
      <w:tr w:rsidR="00990B14" w14:paraId="7EF974FE" w14:textId="77777777">
        <w:trPr>
          <w:cantSplit/>
          <w:jc w:val="center"/>
        </w:trPr>
        <w:tc>
          <w:tcPr>
            <w:tcW w:w="1883" w:type="dxa"/>
            <w:vMerge/>
            <w:shd w:val="clear" w:color="auto" w:fill="4472C4"/>
            <w:vAlign w:val="center"/>
          </w:tcPr>
          <w:p w14:paraId="1A23C861" w14:textId="77777777" w:rsidR="00990B14" w:rsidRDefault="00990B14">
            <w:pPr>
              <w:spacing w:before="20" w:after="20"/>
            </w:pPr>
          </w:p>
        </w:tc>
        <w:tc>
          <w:tcPr>
            <w:tcW w:w="1873" w:type="dxa"/>
            <w:shd w:val="clear" w:color="auto" w:fill="D9E2F3"/>
            <w:vAlign w:val="center"/>
          </w:tcPr>
          <w:p w14:paraId="69CAF280" w14:textId="77777777" w:rsidR="00990B14" w:rsidRDefault="00000000">
            <w:pPr>
              <w:spacing w:before="20" w:after="20"/>
              <w:jc w:val="both"/>
            </w:pPr>
            <w:r>
              <w:rPr>
                <w:sz w:val="18"/>
                <w:szCs w:val="18"/>
              </w:rPr>
              <w:t>Componentes y principios</w:t>
            </w:r>
          </w:p>
        </w:tc>
        <w:tc>
          <w:tcPr>
            <w:tcW w:w="1869" w:type="dxa"/>
            <w:shd w:val="clear" w:color="auto" w:fill="D9E2F3"/>
            <w:vAlign w:val="center"/>
          </w:tcPr>
          <w:p w14:paraId="29C5FA5C" w14:textId="77777777" w:rsidR="00990B14" w:rsidRDefault="00000000">
            <w:pPr>
              <w:spacing w:before="20" w:after="20"/>
              <w:jc w:val="both"/>
            </w:pPr>
            <w:r>
              <w:rPr>
                <w:sz w:val="18"/>
                <w:szCs w:val="18"/>
              </w:rPr>
              <w:t>Omite componentes.</w:t>
            </w:r>
          </w:p>
        </w:tc>
        <w:tc>
          <w:tcPr>
            <w:tcW w:w="1910" w:type="dxa"/>
            <w:shd w:val="clear" w:color="auto" w:fill="D9E2F3"/>
            <w:vAlign w:val="center"/>
          </w:tcPr>
          <w:p w14:paraId="2B225771" w14:textId="77777777" w:rsidR="00990B14" w:rsidRDefault="00000000">
            <w:pPr>
              <w:spacing w:before="20" w:after="20"/>
              <w:jc w:val="both"/>
            </w:pPr>
            <w:r>
              <w:rPr>
                <w:sz w:val="18"/>
                <w:szCs w:val="18"/>
              </w:rPr>
              <w:t>Evalúa los cinco componentes y sus principios.</w:t>
            </w:r>
          </w:p>
        </w:tc>
        <w:tc>
          <w:tcPr>
            <w:tcW w:w="1870" w:type="dxa"/>
            <w:shd w:val="clear" w:color="auto" w:fill="D9E2F3"/>
            <w:vAlign w:val="center"/>
          </w:tcPr>
          <w:p w14:paraId="5F81507B" w14:textId="77777777" w:rsidR="00990B14" w:rsidRDefault="00000000">
            <w:pPr>
              <w:spacing w:before="20" w:after="20"/>
              <w:jc w:val="both"/>
            </w:pPr>
            <w:r>
              <w:rPr>
                <w:sz w:val="18"/>
                <w:szCs w:val="18"/>
              </w:rPr>
              <w:t>Identifica los principios no cumplidos.</w:t>
            </w:r>
          </w:p>
        </w:tc>
      </w:tr>
      <w:tr w:rsidR="00990B14" w14:paraId="0C534A8C" w14:textId="77777777">
        <w:trPr>
          <w:cantSplit/>
          <w:jc w:val="center"/>
        </w:trPr>
        <w:tc>
          <w:tcPr>
            <w:tcW w:w="1883" w:type="dxa"/>
            <w:vMerge/>
            <w:shd w:val="clear" w:color="auto" w:fill="4472C4"/>
            <w:vAlign w:val="center"/>
          </w:tcPr>
          <w:p w14:paraId="430A2D35" w14:textId="77777777" w:rsidR="00990B14" w:rsidRDefault="00990B14">
            <w:pPr>
              <w:spacing w:before="20" w:after="20"/>
            </w:pPr>
          </w:p>
        </w:tc>
        <w:tc>
          <w:tcPr>
            <w:tcW w:w="1873" w:type="dxa"/>
            <w:shd w:val="clear" w:color="auto" w:fill="D9E2F3"/>
            <w:vAlign w:val="center"/>
          </w:tcPr>
          <w:p w14:paraId="78752AAF" w14:textId="77777777" w:rsidR="00990B14" w:rsidRDefault="00000000">
            <w:pPr>
              <w:spacing w:before="20" w:after="20"/>
              <w:jc w:val="both"/>
            </w:pPr>
            <w:r>
              <w:rPr>
                <w:sz w:val="18"/>
                <w:szCs w:val="18"/>
              </w:rPr>
              <w:t>Cuestionario</w:t>
            </w:r>
          </w:p>
        </w:tc>
        <w:tc>
          <w:tcPr>
            <w:tcW w:w="1869" w:type="dxa"/>
            <w:shd w:val="clear" w:color="auto" w:fill="D9E2F3"/>
            <w:vAlign w:val="center"/>
          </w:tcPr>
          <w:p w14:paraId="41F37303" w14:textId="77777777" w:rsidR="00990B14" w:rsidRDefault="00000000">
            <w:pPr>
              <w:spacing w:before="20" w:after="20"/>
              <w:jc w:val="both"/>
            </w:pPr>
            <w:r>
              <w:rPr>
                <w:sz w:val="18"/>
                <w:szCs w:val="18"/>
              </w:rPr>
              <w:t>El cuestionario es incompleto.</w:t>
            </w:r>
          </w:p>
        </w:tc>
        <w:tc>
          <w:tcPr>
            <w:tcW w:w="1910" w:type="dxa"/>
            <w:shd w:val="clear" w:color="auto" w:fill="D9E2F3"/>
            <w:vAlign w:val="center"/>
          </w:tcPr>
          <w:p w14:paraId="3390023F" w14:textId="77777777" w:rsidR="00990B14" w:rsidRDefault="00000000">
            <w:pPr>
              <w:spacing w:before="20" w:after="20"/>
              <w:jc w:val="both"/>
            </w:pPr>
            <w:r>
              <w:rPr>
                <w:sz w:val="18"/>
                <w:szCs w:val="18"/>
              </w:rPr>
              <w:t>Aplica el cuestionario de control interno.</w:t>
            </w:r>
          </w:p>
        </w:tc>
        <w:tc>
          <w:tcPr>
            <w:tcW w:w="1870" w:type="dxa"/>
            <w:shd w:val="clear" w:color="auto" w:fill="D9E2F3"/>
            <w:vAlign w:val="center"/>
          </w:tcPr>
          <w:p w14:paraId="36B301A8" w14:textId="77777777" w:rsidR="00990B14" w:rsidRDefault="00000000">
            <w:pPr>
              <w:spacing w:before="20" w:after="20"/>
              <w:jc w:val="both"/>
            </w:pPr>
            <w:r>
              <w:rPr>
                <w:sz w:val="18"/>
                <w:szCs w:val="18"/>
              </w:rPr>
              <w:t>Corrobora las respuestas con evidencia.</w:t>
            </w:r>
          </w:p>
        </w:tc>
      </w:tr>
      <w:tr w:rsidR="00990B14" w14:paraId="39DE9505" w14:textId="77777777">
        <w:trPr>
          <w:cantSplit/>
          <w:jc w:val="center"/>
        </w:trPr>
        <w:tc>
          <w:tcPr>
            <w:tcW w:w="1883" w:type="dxa"/>
            <w:vMerge/>
            <w:shd w:val="clear" w:color="auto" w:fill="4472C4"/>
            <w:vAlign w:val="center"/>
          </w:tcPr>
          <w:p w14:paraId="725F9F65" w14:textId="77777777" w:rsidR="00990B14" w:rsidRDefault="00990B14">
            <w:pPr>
              <w:spacing w:before="20" w:after="20"/>
            </w:pPr>
          </w:p>
        </w:tc>
        <w:tc>
          <w:tcPr>
            <w:tcW w:w="1873" w:type="dxa"/>
            <w:shd w:val="clear" w:color="auto" w:fill="D9E2F3"/>
            <w:vAlign w:val="center"/>
          </w:tcPr>
          <w:p w14:paraId="5972CAEB" w14:textId="77777777" w:rsidR="00990B14" w:rsidRDefault="00000000">
            <w:pPr>
              <w:spacing w:before="20" w:after="20"/>
              <w:jc w:val="both"/>
            </w:pPr>
            <w:r>
              <w:rPr>
                <w:sz w:val="18"/>
                <w:szCs w:val="18"/>
              </w:rPr>
              <w:t>Conclusión</w:t>
            </w:r>
          </w:p>
        </w:tc>
        <w:tc>
          <w:tcPr>
            <w:tcW w:w="1869" w:type="dxa"/>
            <w:shd w:val="clear" w:color="auto" w:fill="D9E2F3"/>
            <w:vAlign w:val="center"/>
          </w:tcPr>
          <w:p w14:paraId="23DF827F" w14:textId="77777777" w:rsidR="00990B14" w:rsidRDefault="00000000">
            <w:pPr>
              <w:spacing w:before="20" w:after="20"/>
              <w:jc w:val="both"/>
            </w:pPr>
            <w:r>
              <w:rPr>
                <w:sz w:val="18"/>
                <w:szCs w:val="18"/>
              </w:rPr>
              <w:t>No concluye.</w:t>
            </w:r>
          </w:p>
        </w:tc>
        <w:tc>
          <w:tcPr>
            <w:tcW w:w="1910" w:type="dxa"/>
            <w:shd w:val="clear" w:color="auto" w:fill="D9E2F3"/>
            <w:vAlign w:val="center"/>
          </w:tcPr>
          <w:p w14:paraId="509E15E8" w14:textId="77777777" w:rsidR="00990B14" w:rsidRDefault="00000000">
            <w:pPr>
              <w:spacing w:before="20" w:after="20"/>
              <w:jc w:val="both"/>
            </w:pPr>
            <w:r>
              <w:rPr>
                <w:sz w:val="18"/>
                <w:szCs w:val="18"/>
              </w:rPr>
              <w:t>Concluye sobre el control interno.</w:t>
            </w:r>
          </w:p>
        </w:tc>
        <w:tc>
          <w:tcPr>
            <w:tcW w:w="1870" w:type="dxa"/>
            <w:shd w:val="clear" w:color="auto" w:fill="D9E2F3"/>
            <w:vAlign w:val="center"/>
          </w:tcPr>
          <w:p w14:paraId="5BBB41F7" w14:textId="77777777" w:rsidR="00990B14" w:rsidRDefault="00000000">
            <w:pPr>
              <w:spacing w:before="20" w:after="20"/>
              <w:jc w:val="both"/>
            </w:pPr>
            <w:r>
              <w:rPr>
                <w:sz w:val="18"/>
                <w:szCs w:val="18"/>
              </w:rPr>
              <w:t>Relaciona las deficiencias con las áreas críticas.</w:t>
            </w:r>
          </w:p>
        </w:tc>
      </w:tr>
      <w:tr w:rsidR="00990B14" w14:paraId="51501726" w14:textId="77777777">
        <w:trPr>
          <w:cantSplit/>
          <w:jc w:val="center"/>
        </w:trPr>
        <w:tc>
          <w:tcPr>
            <w:tcW w:w="1883" w:type="dxa"/>
            <w:vMerge/>
            <w:shd w:val="clear" w:color="auto" w:fill="4472C4"/>
            <w:vAlign w:val="center"/>
          </w:tcPr>
          <w:p w14:paraId="2B07B70F" w14:textId="77777777" w:rsidR="00990B14" w:rsidRDefault="00990B14">
            <w:pPr>
              <w:spacing w:before="20" w:after="20"/>
            </w:pPr>
          </w:p>
        </w:tc>
        <w:tc>
          <w:tcPr>
            <w:tcW w:w="5652" w:type="dxa"/>
            <w:gridSpan w:val="3"/>
            <w:shd w:val="clear" w:color="auto" w:fill="D9E2F3"/>
            <w:vAlign w:val="center"/>
          </w:tcPr>
          <w:p w14:paraId="620696E9" w14:textId="77777777" w:rsidR="00990B14" w:rsidRDefault="00000000">
            <w:pPr>
              <w:keepNext/>
              <w:spacing w:before="20" w:after="20"/>
              <w:jc w:val="both"/>
            </w:pPr>
            <w:r>
              <w:rPr>
                <w:b/>
                <w:bCs/>
                <w:i/>
                <w:iCs/>
                <w:sz w:val="18"/>
                <w:szCs w:val="18"/>
              </w:rPr>
              <w:t xml:space="preserve">Producto 12: </w:t>
            </w:r>
            <w:r>
              <w:rPr>
                <w:sz w:val="18"/>
                <w:szCs w:val="18"/>
              </w:rPr>
              <w:t>Mapa de riesgos del proceso</w:t>
            </w:r>
          </w:p>
        </w:tc>
        <w:tc>
          <w:tcPr>
            <w:tcW w:w="1870" w:type="dxa"/>
            <w:shd w:val="clear" w:color="auto" w:fill="D9E2F3"/>
            <w:vAlign w:val="center"/>
          </w:tcPr>
          <w:p w14:paraId="31D84808" w14:textId="77777777" w:rsidR="00990B14" w:rsidRDefault="00000000">
            <w:pPr>
              <w:spacing w:before="20" w:after="20"/>
              <w:jc w:val="center"/>
            </w:pPr>
            <w:r>
              <w:rPr>
                <w:b/>
                <w:bCs/>
                <w:sz w:val="18"/>
                <w:szCs w:val="18"/>
              </w:rPr>
              <w:t>7%</w:t>
            </w:r>
          </w:p>
        </w:tc>
      </w:tr>
      <w:tr w:rsidR="00990B14" w14:paraId="79B9E1F6" w14:textId="77777777">
        <w:trPr>
          <w:cantSplit/>
          <w:jc w:val="center"/>
        </w:trPr>
        <w:tc>
          <w:tcPr>
            <w:tcW w:w="1883" w:type="dxa"/>
            <w:vMerge/>
            <w:shd w:val="clear" w:color="auto" w:fill="4472C4"/>
            <w:vAlign w:val="center"/>
          </w:tcPr>
          <w:p w14:paraId="0894E825" w14:textId="77777777" w:rsidR="00990B14" w:rsidRDefault="00990B14">
            <w:pPr>
              <w:spacing w:before="20" w:after="20"/>
            </w:pPr>
          </w:p>
        </w:tc>
        <w:tc>
          <w:tcPr>
            <w:tcW w:w="1873" w:type="dxa"/>
            <w:shd w:val="clear" w:color="auto" w:fill="4472C4"/>
            <w:vAlign w:val="center"/>
          </w:tcPr>
          <w:p w14:paraId="539A9707" w14:textId="77777777" w:rsidR="00990B14" w:rsidRDefault="00000000">
            <w:pPr>
              <w:keepNext/>
              <w:spacing w:before="20" w:after="20"/>
              <w:jc w:val="center"/>
            </w:pPr>
            <w:r>
              <w:rPr>
                <w:b/>
                <w:bCs/>
                <w:i/>
                <w:iCs/>
                <w:color w:val="FFFFFF"/>
                <w:sz w:val="18"/>
                <w:szCs w:val="18"/>
              </w:rPr>
              <w:t>Criterio</w:t>
            </w:r>
          </w:p>
        </w:tc>
        <w:tc>
          <w:tcPr>
            <w:tcW w:w="1869" w:type="dxa"/>
            <w:shd w:val="clear" w:color="auto" w:fill="4472C4"/>
            <w:vAlign w:val="center"/>
          </w:tcPr>
          <w:p w14:paraId="6CA0BB3C"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6D3BE8E0" w14:textId="77777777" w:rsidR="00990B14" w:rsidRDefault="00000000">
            <w:pPr>
              <w:keepNext/>
              <w:spacing w:before="20" w:after="20"/>
              <w:jc w:val="center"/>
            </w:pPr>
            <w:r>
              <w:rPr>
                <w:b/>
                <w:bCs/>
                <w:i/>
                <w:iCs/>
                <w:color w:val="FFFFFF"/>
                <w:sz w:val="18"/>
                <w:szCs w:val="18"/>
              </w:rPr>
              <w:t>Suficiente (51–80)</w:t>
            </w:r>
          </w:p>
        </w:tc>
        <w:tc>
          <w:tcPr>
            <w:tcW w:w="1870" w:type="dxa"/>
            <w:shd w:val="clear" w:color="auto" w:fill="4472C4"/>
            <w:vAlign w:val="center"/>
          </w:tcPr>
          <w:p w14:paraId="2E61D1C9" w14:textId="77777777" w:rsidR="00990B14" w:rsidRDefault="00000000">
            <w:pPr>
              <w:keepNext/>
              <w:spacing w:before="20" w:after="20"/>
              <w:jc w:val="center"/>
            </w:pPr>
            <w:r>
              <w:rPr>
                <w:b/>
                <w:bCs/>
                <w:i/>
                <w:iCs/>
                <w:color w:val="FFFFFF"/>
                <w:sz w:val="18"/>
                <w:szCs w:val="18"/>
              </w:rPr>
              <w:t>Destacado (81–100)</w:t>
            </w:r>
          </w:p>
        </w:tc>
      </w:tr>
      <w:tr w:rsidR="00990B14" w14:paraId="656031A3" w14:textId="77777777">
        <w:trPr>
          <w:cantSplit/>
          <w:jc w:val="center"/>
        </w:trPr>
        <w:tc>
          <w:tcPr>
            <w:tcW w:w="1883" w:type="dxa"/>
            <w:vMerge/>
            <w:shd w:val="clear" w:color="auto" w:fill="4472C4"/>
            <w:vAlign w:val="center"/>
          </w:tcPr>
          <w:p w14:paraId="6B1E8151" w14:textId="77777777" w:rsidR="00990B14" w:rsidRDefault="00990B14">
            <w:pPr>
              <w:spacing w:before="20" w:after="20"/>
            </w:pPr>
          </w:p>
        </w:tc>
        <w:tc>
          <w:tcPr>
            <w:tcW w:w="1873" w:type="dxa"/>
            <w:shd w:val="clear" w:color="auto" w:fill="D9E2F3"/>
            <w:vAlign w:val="center"/>
          </w:tcPr>
          <w:p w14:paraId="0C53F072" w14:textId="77777777" w:rsidR="00990B14" w:rsidRDefault="00000000">
            <w:pPr>
              <w:spacing w:before="20" w:after="20"/>
              <w:jc w:val="both"/>
            </w:pPr>
            <w:r>
              <w:rPr>
                <w:sz w:val="18"/>
                <w:szCs w:val="18"/>
              </w:rPr>
              <w:t>Identificación</w:t>
            </w:r>
          </w:p>
        </w:tc>
        <w:tc>
          <w:tcPr>
            <w:tcW w:w="1869" w:type="dxa"/>
            <w:shd w:val="clear" w:color="auto" w:fill="D9E2F3"/>
            <w:vAlign w:val="center"/>
          </w:tcPr>
          <w:p w14:paraId="0B3C0E2C" w14:textId="77777777" w:rsidR="00990B14" w:rsidRDefault="00000000">
            <w:pPr>
              <w:spacing w:before="20" w:after="20"/>
              <w:jc w:val="both"/>
            </w:pPr>
            <w:r>
              <w:rPr>
                <w:sz w:val="18"/>
                <w:szCs w:val="18"/>
              </w:rPr>
              <w:t>Omite riesgos relevantes.</w:t>
            </w:r>
          </w:p>
        </w:tc>
        <w:tc>
          <w:tcPr>
            <w:tcW w:w="1910" w:type="dxa"/>
            <w:shd w:val="clear" w:color="auto" w:fill="D9E2F3"/>
            <w:vAlign w:val="center"/>
          </w:tcPr>
          <w:p w14:paraId="19F86FC6" w14:textId="77777777" w:rsidR="00990B14" w:rsidRDefault="00000000">
            <w:pPr>
              <w:spacing w:before="20" w:after="20"/>
              <w:jc w:val="both"/>
            </w:pPr>
            <w:r>
              <w:rPr>
                <w:sz w:val="18"/>
                <w:szCs w:val="18"/>
              </w:rPr>
              <w:t>Identifica los riesgos del proceso.</w:t>
            </w:r>
          </w:p>
        </w:tc>
        <w:tc>
          <w:tcPr>
            <w:tcW w:w="1870" w:type="dxa"/>
            <w:shd w:val="clear" w:color="auto" w:fill="D9E2F3"/>
            <w:vAlign w:val="center"/>
          </w:tcPr>
          <w:p w14:paraId="6AE4C4D6" w14:textId="77777777" w:rsidR="00990B14" w:rsidRDefault="00000000">
            <w:pPr>
              <w:spacing w:before="20" w:after="20"/>
              <w:jc w:val="both"/>
            </w:pPr>
            <w:r>
              <w:rPr>
                <w:sz w:val="18"/>
                <w:szCs w:val="18"/>
              </w:rPr>
              <w:t>Clasifica los riesgos por su origen.</w:t>
            </w:r>
          </w:p>
        </w:tc>
      </w:tr>
      <w:tr w:rsidR="00990B14" w14:paraId="2ED11306" w14:textId="77777777">
        <w:trPr>
          <w:cantSplit/>
          <w:jc w:val="center"/>
        </w:trPr>
        <w:tc>
          <w:tcPr>
            <w:tcW w:w="1883" w:type="dxa"/>
            <w:vMerge/>
            <w:shd w:val="clear" w:color="auto" w:fill="4472C4"/>
            <w:vAlign w:val="center"/>
          </w:tcPr>
          <w:p w14:paraId="365D29A2" w14:textId="77777777" w:rsidR="00990B14" w:rsidRDefault="00990B14">
            <w:pPr>
              <w:spacing w:before="20" w:after="20"/>
            </w:pPr>
          </w:p>
        </w:tc>
        <w:tc>
          <w:tcPr>
            <w:tcW w:w="1873" w:type="dxa"/>
            <w:shd w:val="clear" w:color="auto" w:fill="D9E2F3"/>
            <w:vAlign w:val="center"/>
          </w:tcPr>
          <w:p w14:paraId="2F130983" w14:textId="77777777" w:rsidR="00990B14" w:rsidRDefault="00000000">
            <w:pPr>
              <w:spacing w:before="20" w:after="20"/>
              <w:jc w:val="both"/>
            </w:pPr>
            <w:r>
              <w:rPr>
                <w:sz w:val="18"/>
                <w:szCs w:val="18"/>
              </w:rPr>
              <w:t>Valoración</w:t>
            </w:r>
          </w:p>
        </w:tc>
        <w:tc>
          <w:tcPr>
            <w:tcW w:w="1869" w:type="dxa"/>
            <w:shd w:val="clear" w:color="auto" w:fill="D9E2F3"/>
            <w:vAlign w:val="center"/>
          </w:tcPr>
          <w:p w14:paraId="0860C261" w14:textId="77777777" w:rsidR="00990B14" w:rsidRDefault="00000000">
            <w:pPr>
              <w:spacing w:before="20" w:after="20"/>
              <w:jc w:val="both"/>
            </w:pPr>
            <w:r>
              <w:rPr>
                <w:sz w:val="18"/>
                <w:szCs w:val="18"/>
              </w:rPr>
              <w:t>No valora probabilidad e impacto.</w:t>
            </w:r>
          </w:p>
        </w:tc>
        <w:tc>
          <w:tcPr>
            <w:tcW w:w="1910" w:type="dxa"/>
            <w:shd w:val="clear" w:color="auto" w:fill="D9E2F3"/>
            <w:vAlign w:val="center"/>
          </w:tcPr>
          <w:p w14:paraId="030DCA46" w14:textId="77777777" w:rsidR="00990B14" w:rsidRDefault="00000000">
            <w:pPr>
              <w:spacing w:before="20" w:after="20"/>
              <w:jc w:val="both"/>
            </w:pPr>
            <w:r>
              <w:rPr>
                <w:sz w:val="18"/>
                <w:szCs w:val="18"/>
              </w:rPr>
              <w:t>Valora la probabilidad y el impacto.</w:t>
            </w:r>
          </w:p>
        </w:tc>
        <w:tc>
          <w:tcPr>
            <w:tcW w:w="1870" w:type="dxa"/>
            <w:shd w:val="clear" w:color="auto" w:fill="D9E2F3"/>
            <w:vAlign w:val="center"/>
          </w:tcPr>
          <w:p w14:paraId="43159A66" w14:textId="77777777" w:rsidR="00990B14" w:rsidRDefault="00000000">
            <w:pPr>
              <w:spacing w:before="20" w:after="20"/>
              <w:jc w:val="both"/>
            </w:pPr>
            <w:r>
              <w:rPr>
                <w:sz w:val="18"/>
                <w:szCs w:val="18"/>
              </w:rPr>
              <w:t>Determina el riesgo residual frente al apetito de riesgo.</w:t>
            </w:r>
          </w:p>
        </w:tc>
      </w:tr>
      <w:tr w:rsidR="00990B14" w14:paraId="43CF7AE5" w14:textId="77777777">
        <w:trPr>
          <w:cantSplit/>
          <w:jc w:val="center"/>
        </w:trPr>
        <w:tc>
          <w:tcPr>
            <w:tcW w:w="1883" w:type="dxa"/>
            <w:vMerge/>
            <w:shd w:val="clear" w:color="auto" w:fill="4472C4"/>
            <w:vAlign w:val="center"/>
          </w:tcPr>
          <w:p w14:paraId="25D3A11A" w14:textId="77777777" w:rsidR="00990B14" w:rsidRDefault="00990B14">
            <w:pPr>
              <w:spacing w:before="20" w:after="20"/>
            </w:pPr>
          </w:p>
        </w:tc>
        <w:tc>
          <w:tcPr>
            <w:tcW w:w="1873" w:type="dxa"/>
            <w:shd w:val="clear" w:color="auto" w:fill="D9E2F3"/>
            <w:vAlign w:val="center"/>
          </w:tcPr>
          <w:p w14:paraId="42D826B5" w14:textId="77777777" w:rsidR="00990B14" w:rsidRDefault="00000000">
            <w:pPr>
              <w:spacing w:before="20" w:after="20"/>
              <w:jc w:val="both"/>
            </w:pPr>
            <w:r>
              <w:rPr>
                <w:sz w:val="18"/>
                <w:szCs w:val="18"/>
              </w:rPr>
              <w:t>Presentación</w:t>
            </w:r>
          </w:p>
        </w:tc>
        <w:tc>
          <w:tcPr>
            <w:tcW w:w="1869" w:type="dxa"/>
            <w:shd w:val="clear" w:color="auto" w:fill="D9E2F3"/>
            <w:vAlign w:val="center"/>
          </w:tcPr>
          <w:p w14:paraId="7951B36F" w14:textId="77777777" w:rsidR="00990B14" w:rsidRDefault="00000000">
            <w:pPr>
              <w:spacing w:before="20" w:after="20"/>
              <w:jc w:val="both"/>
            </w:pPr>
            <w:r>
              <w:rPr>
                <w:sz w:val="18"/>
                <w:szCs w:val="18"/>
              </w:rPr>
              <w:t>El mapa es confuso.</w:t>
            </w:r>
          </w:p>
        </w:tc>
        <w:tc>
          <w:tcPr>
            <w:tcW w:w="1910" w:type="dxa"/>
            <w:shd w:val="clear" w:color="auto" w:fill="D9E2F3"/>
            <w:vAlign w:val="center"/>
          </w:tcPr>
          <w:p w14:paraId="4E5DA6AE" w14:textId="77777777" w:rsidR="00990B14" w:rsidRDefault="00000000">
            <w:pPr>
              <w:spacing w:before="20" w:after="20"/>
              <w:jc w:val="both"/>
            </w:pPr>
            <w:r>
              <w:rPr>
                <w:sz w:val="18"/>
                <w:szCs w:val="18"/>
              </w:rPr>
              <w:t>El mapa es claro.</w:t>
            </w:r>
          </w:p>
        </w:tc>
        <w:tc>
          <w:tcPr>
            <w:tcW w:w="1870" w:type="dxa"/>
            <w:shd w:val="clear" w:color="auto" w:fill="D9E2F3"/>
            <w:vAlign w:val="center"/>
          </w:tcPr>
          <w:p w14:paraId="79D036B3" w14:textId="77777777" w:rsidR="00990B14" w:rsidRDefault="00000000">
            <w:pPr>
              <w:spacing w:before="20" w:after="20"/>
              <w:jc w:val="both"/>
            </w:pPr>
            <w:r>
              <w:rPr>
                <w:sz w:val="18"/>
                <w:szCs w:val="18"/>
              </w:rPr>
              <w:t>El mapa prioriza los riesgos para la auditoría.</w:t>
            </w:r>
          </w:p>
        </w:tc>
      </w:tr>
      <w:tr w:rsidR="00990B14" w14:paraId="172B038B" w14:textId="77777777">
        <w:trPr>
          <w:cantSplit/>
          <w:jc w:val="center"/>
        </w:trPr>
        <w:tc>
          <w:tcPr>
            <w:tcW w:w="1883" w:type="dxa"/>
            <w:vMerge/>
            <w:shd w:val="clear" w:color="auto" w:fill="4472C4"/>
            <w:vAlign w:val="center"/>
          </w:tcPr>
          <w:p w14:paraId="09AA856D" w14:textId="77777777" w:rsidR="00990B14" w:rsidRDefault="00990B14">
            <w:pPr>
              <w:spacing w:before="20" w:after="20"/>
            </w:pPr>
          </w:p>
        </w:tc>
        <w:tc>
          <w:tcPr>
            <w:tcW w:w="5652" w:type="dxa"/>
            <w:gridSpan w:val="3"/>
            <w:shd w:val="clear" w:color="auto" w:fill="D9E2F3"/>
            <w:vAlign w:val="center"/>
          </w:tcPr>
          <w:p w14:paraId="6DCD5F17" w14:textId="77777777" w:rsidR="00990B14" w:rsidRDefault="00000000">
            <w:pPr>
              <w:keepNext/>
              <w:spacing w:before="20" w:after="20"/>
              <w:jc w:val="both"/>
            </w:pPr>
            <w:r>
              <w:rPr>
                <w:b/>
                <w:bCs/>
                <w:i/>
                <w:iCs/>
                <w:sz w:val="18"/>
                <w:szCs w:val="18"/>
              </w:rPr>
              <w:t xml:space="preserve">Producto 13: </w:t>
            </w:r>
            <w:r>
              <w:rPr>
                <w:sz w:val="18"/>
                <w:szCs w:val="18"/>
              </w:rPr>
              <w:t>Memorando de planificación</w:t>
            </w:r>
          </w:p>
        </w:tc>
        <w:tc>
          <w:tcPr>
            <w:tcW w:w="1870" w:type="dxa"/>
            <w:shd w:val="clear" w:color="auto" w:fill="D9E2F3"/>
            <w:vAlign w:val="center"/>
          </w:tcPr>
          <w:p w14:paraId="7AC5F3E8" w14:textId="77777777" w:rsidR="00990B14" w:rsidRDefault="00000000">
            <w:pPr>
              <w:spacing w:before="20" w:after="20"/>
              <w:jc w:val="center"/>
            </w:pPr>
            <w:r>
              <w:rPr>
                <w:b/>
                <w:bCs/>
                <w:sz w:val="18"/>
                <w:szCs w:val="18"/>
              </w:rPr>
              <w:t>10%</w:t>
            </w:r>
          </w:p>
        </w:tc>
      </w:tr>
      <w:tr w:rsidR="00990B14" w14:paraId="019699F8" w14:textId="77777777">
        <w:trPr>
          <w:cantSplit/>
          <w:jc w:val="center"/>
        </w:trPr>
        <w:tc>
          <w:tcPr>
            <w:tcW w:w="1883" w:type="dxa"/>
            <w:vMerge/>
            <w:shd w:val="clear" w:color="auto" w:fill="4472C4"/>
            <w:vAlign w:val="center"/>
          </w:tcPr>
          <w:p w14:paraId="6833B380" w14:textId="77777777" w:rsidR="00990B14" w:rsidRDefault="00990B14">
            <w:pPr>
              <w:spacing w:before="20" w:after="20"/>
            </w:pPr>
          </w:p>
        </w:tc>
        <w:tc>
          <w:tcPr>
            <w:tcW w:w="1873" w:type="dxa"/>
            <w:shd w:val="clear" w:color="auto" w:fill="4472C4"/>
            <w:vAlign w:val="center"/>
          </w:tcPr>
          <w:p w14:paraId="227A24B2" w14:textId="77777777" w:rsidR="00990B14" w:rsidRDefault="00000000">
            <w:pPr>
              <w:keepNext/>
              <w:spacing w:before="20" w:after="20"/>
              <w:jc w:val="center"/>
            </w:pPr>
            <w:r>
              <w:rPr>
                <w:b/>
                <w:bCs/>
                <w:i/>
                <w:iCs/>
                <w:color w:val="FFFFFF"/>
                <w:sz w:val="18"/>
                <w:szCs w:val="18"/>
              </w:rPr>
              <w:t>Criterio</w:t>
            </w:r>
          </w:p>
        </w:tc>
        <w:tc>
          <w:tcPr>
            <w:tcW w:w="1869" w:type="dxa"/>
            <w:shd w:val="clear" w:color="auto" w:fill="4472C4"/>
            <w:vAlign w:val="center"/>
          </w:tcPr>
          <w:p w14:paraId="42DE896B"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6E4AB605" w14:textId="77777777" w:rsidR="00990B14" w:rsidRDefault="00000000">
            <w:pPr>
              <w:keepNext/>
              <w:spacing w:before="20" w:after="20"/>
              <w:jc w:val="center"/>
            </w:pPr>
            <w:r>
              <w:rPr>
                <w:b/>
                <w:bCs/>
                <w:i/>
                <w:iCs/>
                <w:color w:val="FFFFFF"/>
                <w:sz w:val="18"/>
                <w:szCs w:val="18"/>
              </w:rPr>
              <w:t>Suficiente (51–80)</w:t>
            </w:r>
          </w:p>
        </w:tc>
        <w:tc>
          <w:tcPr>
            <w:tcW w:w="1870" w:type="dxa"/>
            <w:shd w:val="clear" w:color="auto" w:fill="4472C4"/>
            <w:vAlign w:val="center"/>
          </w:tcPr>
          <w:p w14:paraId="4335CA17" w14:textId="77777777" w:rsidR="00990B14" w:rsidRDefault="00000000">
            <w:pPr>
              <w:keepNext/>
              <w:spacing w:before="20" w:after="20"/>
              <w:jc w:val="center"/>
            </w:pPr>
            <w:r>
              <w:rPr>
                <w:b/>
                <w:bCs/>
                <w:i/>
                <w:iCs/>
                <w:color w:val="FFFFFF"/>
                <w:sz w:val="18"/>
                <w:szCs w:val="18"/>
              </w:rPr>
              <w:t>Destacado (81–100)</w:t>
            </w:r>
          </w:p>
        </w:tc>
      </w:tr>
      <w:tr w:rsidR="00990B14" w14:paraId="3A8F4D7F" w14:textId="77777777">
        <w:trPr>
          <w:cantSplit/>
          <w:jc w:val="center"/>
        </w:trPr>
        <w:tc>
          <w:tcPr>
            <w:tcW w:w="1883" w:type="dxa"/>
            <w:vMerge/>
            <w:shd w:val="clear" w:color="auto" w:fill="4472C4"/>
            <w:vAlign w:val="center"/>
          </w:tcPr>
          <w:p w14:paraId="099D68C2" w14:textId="77777777" w:rsidR="00990B14" w:rsidRDefault="00990B14">
            <w:pPr>
              <w:spacing w:before="20" w:after="20"/>
            </w:pPr>
          </w:p>
        </w:tc>
        <w:tc>
          <w:tcPr>
            <w:tcW w:w="1873" w:type="dxa"/>
            <w:shd w:val="clear" w:color="auto" w:fill="D9E2F3"/>
            <w:vAlign w:val="center"/>
          </w:tcPr>
          <w:p w14:paraId="76C88DA7" w14:textId="77777777" w:rsidR="00990B14" w:rsidRDefault="00000000">
            <w:pPr>
              <w:spacing w:before="20" w:after="20"/>
              <w:jc w:val="both"/>
            </w:pPr>
            <w:r>
              <w:rPr>
                <w:sz w:val="18"/>
                <w:szCs w:val="18"/>
              </w:rPr>
              <w:t>Conocimiento de la entidad</w:t>
            </w:r>
          </w:p>
        </w:tc>
        <w:tc>
          <w:tcPr>
            <w:tcW w:w="1869" w:type="dxa"/>
            <w:shd w:val="clear" w:color="auto" w:fill="D9E2F3"/>
            <w:vAlign w:val="center"/>
          </w:tcPr>
          <w:p w14:paraId="06EF2756" w14:textId="77777777" w:rsidR="00990B14" w:rsidRDefault="00000000">
            <w:pPr>
              <w:spacing w:before="20" w:after="20"/>
              <w:jc w:val="both"/>
            </w:pPr>
            <w:r>
              <w:rPr>
                <w:sz w:val="18"/>
                <w:szCs w:val="18"/>
              </w:rPr>
              <w:t>El conocimiento es superficial.</w:t>
            </w:r>
          </w:p>
        </w:tc>
        <w:tc>
          <w:tcPr>
            <w:tcW w:w="1910" w:type="dxa"/>
            <w:shd w:val="clear" w:color="auto" w:fill="D9E2F3"/>
            <w:vAlign w:val="center"/>
          </w:tcPr>
          <w:p w14:paraId="1FC4BA14" w14:textId="77777777" w:rsidR="00990B14" w:rsidRDefault="00000000">
            <w:pPr>
              <w:spacing w:before="20" w:after="20"/>
              <w:jc w:val="both"/>
            </w:pPr>
            <w:r>
              <w:rPr>
                <w:sz w:val="18"/>
                <w:szCs w:val="18"/>
              </w:rPr>
              <w:t>Describe la entidad y sus riesgos.</w:t>
            </w:r>
          </w:p>
        </w:tc>
        <w:tc>
          <w:tcPr>
            <w:tcW w:w="1870" w:type="dxa"/>
            <w:shd w:val="clear" w:color="auto" w:fill="D9E2F3"/>
            <w:vAlign w:val="center"/>
          </w:tcPr>
          <w:p w14:paraId="59234EB5" w14:textId="77777777" w:rsidR="00990B14" w:rsidRDefault="00000000">
            <w:pPr>
              <w:spacing w:before="20" w:after="20"/>
              <w:jc w:val="both"/>
            </w:pPr>
            <w:r>
              <w:rPr>
                <w:sz w:val="18"/>
                <w:szCs w:val="18"/>
              </w:rPr>
              <w:t>Relaciona el conocimiento con los temas seleccionados.</w:t>
            </w:r>
          </w:p>
        </w:tc>
      </w:tr>
      <w:tr w:rsidR="00990B14" w14:paraId="583049C3" w14:textId="77777777">
        <w:trPr>
          <w:cantSplit/>
          <w:jc w:val="center"/>
        </w:trPr>
        <w:tc>
          <w:tcPr>
            <w:tcW w:w="1883" w:type="dxa"/>
            <w:vMerge/>
            <w:shd w:val="clear" w:color="auto" w:fill="4472C4"/>
            <w:vAlign w:val="center"/>
          </w:tcPr>
          <w:p w14:paraId="269CCF83" w14:textId="77777777" w:rsidR="00990B14" w:rsidRDefault="00990B14">
            <w:pPr>
              <w:spacing w:before="20" w:after="20"/>
            </w:pPr>
          </w:p>
        </w:tc>
        <w:tc>
          <w:tcPr>
            <w:tcW w:w="1873" w:type="dxa"/>
            <w:shd w:val="clear" w:color="auto" w:fill="D9E2F3"/>
            <w:vAlign w:val="center"/>
          </w:tcPr>
          <w:p w14:paraId="68D1AE47" w14:textId="77777777" w:rsidR="00990B14" w:rsidRDefault="00000000">
            <w:pPr>
              <w:spacing w:before="20" w:after="20"/>
              <w:jc w:val="both"/>
            </w:pPr>
            <w:r>
              <w:rPr>
                <w:sz w:val="18"/>
                <w:szCs w:val="18"/>
              </w:rPr>
              <w:t>Criterios y enfoque</w:t>
            </w:r>
          </w:p>
        </w:tc>
        <w:tc>
          <w:tcPr>
            <w:tcW w:w="1869" w:type="dxa"/>
            <w:shd w:val="clear" w:color="auto" w:fill="D9E2F3"/>
            <w:vAlign w:val="center"/>
          </w:tcPr>
          <w:p w14:paraId="4F17C3E4" w14:textId="77777777" w:rsidR="00990B14" w:rsidRDefault="00000000">
            <w:pPr>
              <w:spacing w:before="20" w:after="20"/>
              <w:jc w:val="both"/>
            </w:pPr>
            <w:r>
              <w:rPr>
                <w:sz w:val="18"/>
                <w:szCs w:val="18"/>
              </w:rPr>
              <w:t>No define criterios.</w:t>
            </w:r>
          </w:p>
        </w:tc>
        <w:tc>
          <w:tcPr>
            <w:tcW w:w="1910" w:type="dxa"/>
            <w:shd w:val="clear" w:color="auto" w:fill="D9E2F3"/>
            <w:vAlign w:val="center"/>
          </w:tcPr>
          <w:p w14:paraId="5DC2E375" w14:textId="77777777" w:rsidR="00990B14" w:rsidRDefault="00000000">
            <w:pPr>
              <w:spacing w:before="20" w:after="20"/>
              <w:jc w:val="both"/>
            </w:pPr>
            <w:r>
              <w:rPr>
                <w:sz w:val="18"/>
                <w:szCs w:val="18"/>
              </w:rPr>
              <w:t>Define los criterios y el enfoque de la auditoría.</w:t>
            </w:r>
          </w:p>
        </w:tc>
        <w:tc>
          <w:tcPr>
            <w:tcW w:w="1870" w:type="dxa"/>
            <w:shd w:val="clear" w:color="auto" w:fill="D9E2F3"/>
            <w:vAlign w:val="center"/>
          </w:tcPr>
          <w:p w14:paraId="189CF359" w14:textId="77777777" w:rsidR="00990B14" w:rsidRDefault="00000000">
            <w:pPr>
              <w:spacing w:before="20" w:after="20"/>
              <w:jc w:val="both"/>
            </w:pPr>
            <w:r>
              <w:rPr>
                <w:sz w:val="18"/>
                <w:szCs w:val="18"/>
              </w:rPr>
              <w:t>Justifica la idoneidad de los criterios.</w:t>
            </w:r>
          </w:p>
        </w:tc>
      </w:tr>
      <w:tr w:rsidR="00990B14" w14:paraId="481F8DF1" w14:textId="77777777">
        <w:trPr>
          <w:cantSplit/>
          <w:jc w:val="center"/>
        </w:trPr>
        <w:tc>
          <w:tcPr>
            <w:tcW w:w="1883" w:type="dxa"/>
            <w:vMerge/>
            <w:shd w:val="clear" w:color="auto" w:fill="4472C4"/>
            <w:vAlign w:val="center"/>
          </w:tcPr>
          <w:p w14:paraId="4F8AB307" w14:textId="77777777" w:rsidR="00990B14" w:rsidRDefault="00990B14">
            <w:pPr>
              <w:spacing w:before="20" w:after="20"/>
            </w:pPr>
          </w:p>
        </w:tc>
        <w:tc>
          <w:tcPr>
            <w:tcW w:w="1873" w:type="dxa"/>
            <w:shd w:val="clear" w:color="auto" w:fill="D9E2F3"/>
            <w:vAlign w:val="center"/>
          </w:tcPr>
          <w:p w14:paraId="1702F0AF" w14:textId="77777777" w:rsidR="00990B14" w:rsidRDefault="00000000">
            <w:pPr>
              <w:spacing w:before="20" w:after="20"/>
              <w:jc w:val="both"/>
            </w:pPr>
            <w:r>
              <w:rPr>
                <w:sz w:val="18"/>
                <w:szCs w:val="18"/>
              </w:rPr>
              <w:t>Diagnóstico preliminar</w:t>
            </w:r>
          </w:p>
        </w:tc>
        <w:tc>
          <w:tcPr>
            <w:tcW w:w="1869" w:type="dxa"/>
            <w:shd w:val="clear" w:color="auto" w:fill="D9E2F3"/>
            <w:vAlign w:val="center"/>
          </w:tcPr>
          <w:p w14:paraId="66D81495" w14:textId="77777777" w:rsidR="00990B14" w:rsidRDefault="00000000">
            <w:pPr>
              <w:spacing w:before="20" w:after="20"/>
              <w:jc w:val="both"/>
            </w:pPr>
            <w:r>
              <w:rPr>
                <w:sz w:val="18"/>
                <w:szCs w:val="18"/>
              </w:rPr>
              <w:t>No identifica áreas críticas.</w:t>
            </w:r>
          </w:p>
        </w:tc>
        <w:tc>
          <w:tcPr>
            <w:tcW w:w="1910" w:type="dxa"/>
            <w:shd w:val="clear" w:color="auto" w:fill="D9E2F3"/>
            <w:vAlign w:val="center"/>
          </w:tcPr>
          <w:p w14:paraId="0A9A7C03" w14:textId="77777777" w:rsidR="00990B14" w:rsidRDefault="00000000">
            <w:pPr>
              <w:spacing w:before="20" w:after="20"/>
              <w:jc w:val="both"/>
            </w:pPr>
            <w:r>
              <w:rPr>
                <w:sz w:val="18"/>
                <w:szCs w:val="18"/>
              </w:rPr>
              <w:t>Identifica las áreas a examinar.</w:t>
            </w:r>
          </w:p>
        </w:tc>
        <w:tc>
          <w:tcPr>
            <w:tcW w:w="1870" w:type="dxa"/>
            <w:shd w:val="clear" w:color="auto" w:fill="D9E2F3"/>
            <w:vAlign w:val="center"/>
          </w:tcPr>
          <w:p w14:paraId="6394376F" w14:textId="77777777" w:rsidR="00990B14" w:rsidRDefault="00000000">
            <w:pPr>
              <w:spacing w:before="20" w:after="20"/>
              <w:jc w:val="both"/>
            </w:pPr>
            <w:r>
              <w:rPr>
                <w:sz w:val="18"/>
                <w:szCs w:val="18"/>
              </w:rPr>
              <w:t>Prioriza las áreas según el riesgo.</w:t>
            </w:r>
          </w:p>
        </w:tc>
      </w:tr>
      <w:tr w:rsidR="00990B14" w14:paraId="74391E08" w14:textId="77777777">
        <w:trPr>
          <w:cantSplit/>
          <w:jc w:val="center"/>
        </w:trPr>
        <w:tc>
          <w:tcPr>
            <w:tcW w:w="1883" w:type="dxa"/>
            <w:vMerge/>
            <w:shd w:val="clear" w:color="auto" w:fill="4472C4"/>
            <w:vAlign w:val="center"/>
          </w:tcPr>
          <w:p w14:paraId="7D95309C" w14:textId="77777777" w:rsidR="00990B14" w:rsidRDefault="00990B14">
            <w:pPr>
              <w:spacing w:before="20" w:after="20"/>
            </w:pPr>
          </w:p>
        </w:tc>
        <w:tc>
          <w:tcPr>
            <w:tcW w:w="5652" w:type="dxa"/>
            <w:gridSpan w:val="3"/>
            <w:shd w:val="clear" w:color="auto" w:fill="D9E2F3"/>
            <w:vAlign w:val="center"/>
          </w:tcPr>
          <w:p w14:paraId="5F76DD9C" w14:textId="77777777" w:rsidR="00990B14" w:rsidRDefault="00000000">
            <w:pPr>
              <w:keepNext/>
              <w:spacing w:before="20" w:after="20"/>
              <w:jc w:val="both"/>
            </w:pPr>
            <w:r>
              <w:rPr>
                <w:b/>
                <w:bCs/>
                <w:i/>
                <w:iCs/>
                <w:sz w:val="18"/>
                <w:szCs w:val="18"/>
              </w:rPr>
              <w:t xml:space="preserve">Producto 14: </w:t>
            </w:r>
            <w:r>
              <w:rPr>
                <w:sz w:val="18"/>
                <w:szCs w:val="18"/>
              </w:rPr>
              <w:t>Programa y papeles de trabajo del área crítica</w:t>
            </w:r>
          </w:p>
        </w:tc>
        <w:tc>
          <w:tcPr>
            <w:tcW w:w="1870" w:type="dxa"/>
            <w:shd w:val="clear" w:color="auto" w:fill="D9E2F3"/>
            <w:vAlign w:val="center"/>
          </w:tcPr>
          <w:p w14:paraId="6E209D22" w14:textId="77777777" w:rsidR="00990B14" w:rsidRDefault="00000000">
            <w:pPr>
              <w:spacing w:before="20" w:after="20"/>
              <w:jc w:val="center"/>
            </w:pPr>
            <w:r>
              <w:rPr>
                <w:b/>
                <w:bCs/>
                <w:sz w:val="18"/>
                <w:szCs w:val="18"/>
              </w:rPr>
              <w:t>10%</w:t>
            </w:r>
          </w:p>
        </w:tc>
      </w:tr>
      <w:tr w:rsidR="00990B14" w14:paraId="75451F2A" w14:textId="77777777">
        <w:trPr>
          <w:cantSplit/>
          <w:jc w:val="center"/>
        </w:trPr>
        <w:tc>
          <w:tcPr>
            <w:tcW w:w="1883" w:type="dxa"/>
            <w:vMerge/>
            <w:shd w:val="clear" w:color="auto" w:fill="4472C4"/>
            <w:vAlign w:val="center"/>
          </w:tcPr>
          <w:p w14:paraId="4E41FC56" w14:textId="77777777" w:rsidR="00990B14" w:rsidRDefault="00990B14">
            <w:pPr>
              <w:spacing w:before="20" w:after="20"/>
            </w:pPr>
          </w:p>
        </w:tc>
        <w:tc>
          <w:tcPr>
            <w:tcW w:w="1873" w:type="dxa"/>
            <w:shd w:val="clear" w:color="auto" w:fill="4472C4"/>
            <w:vAlign w:val="center"/>
          </w:tcPr>
          <w:p w14:paraId="547A4A94" w14:textId="77777777" w:rsidR="00990B14" w:rsidRDefault="00000000">
            <w:pPr>
              <w:keepNext/>
              <w:spacing w:before="20" w:after="20"/>
              <w:jc w:val="center"/>
            </w:pPr>
            <w:r>
              <w:rPr>
                <w:b/>
                <w:bCs/>
                <w:i/>
                <w:iCs/>
                <w:color w:val="FFFFFF"/>
                <w:sz w:val="18"/>
                <w:szCs w:val="18"/>
              </w:rPr>
              <w:t>Criterio</w:t>
            </w:r>
          </w:p>
        </w:tc>
        <w:tc>
          <w:tcPr>
            <w:tcW w:w="1869" w:type="dxa"/>
            <w:shd w:val="clear" w:color="auto" w:fill="4472C4"/>
            <w:vAlign w:val="center"/>
          </w:tcPr>
          <w:p w14:paraId="728BF9B6"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7EF7B52C" w14:textId="77777777" w:rsidR="00990B14" w:rsidRDefault="00000000">
            <w:pPr>
              <w:keepNext/>
              <w:spacing w:before="20" w:after="20"/>
              <w:jc w:val="center"/>
            </w:pPr>
            <w:r>
              <w:rPr>
                <w:b/>
                <w:bCs/>
                <w:i/>
                <w:iCs/>
                <w:color w:val="FFFFFF"/>
                <w:sz w:val="18"/>
                <w:szCs w:val="18"/>
              </w:rPr>
              <w:t>Suficiente (51–80)</w:t>
            </w:r>
          </w:p>
        </w:tc>
        <w:tc>
          <w:tcPr>
            <w:tcW w:w="1870" w:type="dxa"/>
            <w:shd w:val="clear" w:color="auto" w:fill="4472C4"/>
            <w:vAlign w:val="center"/>
          </w:tcPr>
          <w:p w14:paraId="7FEE5523" w14:textId="77777777" w:rsidR="00990B14" w:rsidRDefault="00000000">
            <w:pPr>
              <w:keepNext/>
              <w:spacing w:before="20" w:after="20"/>
              <w:jc w:val="center"/>
            </w:pPr>
            <w:r>
              <w:rPr>
                <w:b/>
                <w:bCs/>
                <w:i/>
                <w:iCs/>
                <w:color w:val="FFFFFF"/>
                <w:sz w:val="18"/>
                <w:szCs w:val="18"/>
              </w:rPr>
              <w:t>Destacado (81–100)</w:t>
            </w:r>
          </w:p>
        </w:tc>
      </w:tr>
      <w:tr w:rsidR="00990B14" w14:paraId="261CFF21" w14:textId="77777777">
        <w:trPr>
          <w:cantSplit/>
          <w:jc w:val="center"/>
        </w:trPr>
        <w:tc>
          <w:tcPr>
            <w:tcW w:w="1883" w:type="dxa"/>
            <w:vMerge/>
            <w:shd w:val="clear" w:color="auto" w:fill="4472C4"/>
            <w:vAlign w:val="center"/>
          </w:tcPr>
          <w:p w14:paraId="77C98D68" w14:textId="77777777" w:rsidR="00990B14" w:rsidRDefault="00990B14">
            <w:pPr>
              <w:spacing w:before="20" w:after="20"/>
            </w:pPr>
          </w:p>
        </w:tc>
        <w:tc>
          <w:tcPr>
            <w:tcW w:w="1873" w:type="dxa"/>
            <w:shd w:val="clear" w:color="auto" w:fill="D9E2F3"/>
            <w:vAlign w:val="center"/>
          </w:tcPr>
          <w:p w14:paraId="0A42D86E" w14:textId="77777777" w:rsidR="00990B14" w:rsidRDefault="00000000">
            <w:pPr>
              <w:spacing w:before="20" w:after="20"/>
              <w:jc w:val="both"/>
            </w:pPr>
            <w:r>
              <w:rPr>
                <w:sz w:val="18"/>
                <w:szCs w:val="18"/>
              </w:rPr>
              <w:t>Programa</w:t>
            </w:r>
          </w:p>
        </w:tc>
        <w:tc>
          <w:tcPr>
            <w:tcW w:w="1869" w:type="dxa"/>
            <w:shd w:val="clear" w:color="auto" w:fill="D9E2F3"/>
            <w:vAlign w:val="center"/>
          </w:tcPr>
          <w:p w14:paraId="41759B00" w14:textId="77777777" w:rsidR="00990B14" w:rsidRDefault="00000000">
            <w:pPr>
              <w:spacing w:before="20" w:after="20"/>
              <w:jc w:val="both"/>
            </w:pPr>
            <w:r>
              <w:rPr>
                <w:sz w:val="18"/>
                <w:szCs w:val="18"/>
              </w:rPr>
              <w:t>El programa no responde a los objetivos.</w:t>
            </w:r>
          </w:p>
        </w:tc>
        <w:tc>
          <w:tcPr>
            <w:tcW w:w="1910" w:type="dxa"/>
            <w:shd w:val="clear" w:color="auto" w:fill="D9E2F3"/>
            <w:vAlign w:val="center"/>
          </w:tcPr>
          <w:p w14:paraId="57C81AD4" w14:textId="77777777" w:rsidR="00990B14" w:rsidRDefault="00000000">
            <w:pPr>
              <w:spacing w:before="20" w:after="20"/>
              <w:jc w:val="both"/>
            </w:pPr>
            <w:r>
              <w:rPr>
                <w:sz w:val="18"/>
                <w:szCs w:val="18"/>
              </w:rPr>
              <w:t>El programa responde a los objetivos del examen.</w:t>
            </w:r>
          </w:p>
        </w:tc>
        <w:tc>
          <w:tcPr>
            <w:tcW w:w="1870" w:type="dxa"/>
            <w:shd w:val="clear" w:color="auto" w:fill="D9E2F3"/>
            <w:vAlign w:val="center"/>
          </w:tcPr>
          <w:p w14:paraId="32BA09F6" w14:textId="77777777" w:rsidR="00990B14" w:rsidRDefault="00000000">
            <w:pPr>
              <w:spacing w:before="20" w:after="20"/>
              <w:jc w:val="both"/>
            </w:pPr>
            <w:r>
              <w:rPr>
                <w:sz w:val="18"/>
                <w:szCs w:val="18"/>
              </w:rPr>
              <w:t>Incluye procedimientos de análisis de datos.</w:t>
            </w:r>
          </w:p>
        </w:tc>
      </w:tr>
      <w:tr w:rsidR="00990B14" w14:paraId="7544FF72" w14:textId="77777777">
        <w:trPr>
          <w:cantSplit/>
          <w:jc w:val="center"/>
        </w:trPr>
        <w:tc>
          <w:tcPr>
            <w:tcW w:w="1883" w:type="dxa"/>
            <w:vMerge/>
            <w:shd w:val="clear" w:color="auto" w:fill="4472C4"/>
            <w:vAlign w:val="center"/>
          </w:tcPr>
          <w:p w14:paraId="417469E2" w14:textId="77777777" w:rsidR="00990B14" w:rsidRDefault="00990B14">
            <w:pPr>
              <w:spacing w:before="20" w:after="20"/>
            </w:pPr>
          </w:p>
        </w:tc>
        <w:tc>
          <w:tcPr>
            <w:tcW w:w="1873" w:type="dxa"/>
            <w:shd w:val="clear" w:color="auto" w:fill="D9E2F3"/>
            <w:vAlign w:val="center"/>
          </w:tcPr>
          <w:p w14:paraId="2A0ED53A" w14:textId="77777777" w:rsidR="00990B14" w:rsidRDefault="00000000">
            <w:pPr>
              <w:spacing w:before="20" w:after="20"/>
              <w:jc w:val="both"/>
            </w:pPr>
            <w:r>
              <w:rPr>
                <w:sz w:val="18"/>
                <w:szCs w:val="18"/>
              </w:rPr>
              <w:t>Papeles de trabajo</w:t>
            </w:r>
          </w:p>
        </w:tc>
        <w:tc>
          <w:tcPr>
            <w:tcW w:w="1869" w:type="dxa"/>
            <w:shd w:val="clear" w:color="auto" w:fill="D9E2F3"/>
            <w:vAlign w:val="center"/>
          </w:tcPr>
          <w:p w14:paraId="1616C88C" w14:textId="77777777" w:rsidR="00990B14" w:rsidRDefault="00000000">
            <w:pPr>
              <w:spacing w:before="20" w:after="20"/>
              <w:jc w:val="both"/>
            </w:pPr>
            <w:r>
              <w:rPr>
                <w:sz w:val="18"/>
                <w:szCs w:val="18"/>
              </w:rPr>
              <w:t>Los papeles no están referenciados.</w:t>
            </w:r>
          </w:p>
        </w:tc>
        <w:tc>
          <w:tcPr>
            <w:tcW w:w="1910" w:type="dxa"/>
            <w:shd w:val="clear" w:color="auto" w:fill="D9E2F3"/>
            <w:vAlign w:val="center"/>
          </w:tcPr>
          <w:p w14:paraId="0318585D" w14:textId="77777777" w:rsidR="00990B14" w:rsidRDefault="00000000">
            <w:pPr>
              <w:spacing w:before="20" w:after="20"/>
              <w:jc w:val="both"/>
            </w:pPr>
            <w:r>
              <w:rPr>
                <w:sz w:val="18"/>
                <w:szCs w:val="18"/>
              </w:rPr>
              <w:t>Los papeles están referenciados e indizados.</w:t>
            </w:r>
          </w:p>
        </w:tc>
        <w:tc>
          <w:tcPr>
            <w:tcW w:w="1870" w:type="dxa"/>
            <w:shd w:val="clear" w:color="auto" w:fill="D9E2F3"/>
            <w:vAlign w:val="center"/>
          </w:tcPr>
          <w:p w14:paraId="58028F6C" w14:textId="77777777" w:rsidR="00990B14" w:rsidRDefault="00000000">
            <w:pPr>
              <w:spacing w:before="20" w:after="20"/>
              <w:jc w:val="both"/>
            </w:pPr>
            <w:r>
              <w:rPr>
                <w:sz w:val="18"/>
                <w:szCs w:val="18"/>
              </w:rPr>
              <w:t>Incluyen evidencia audiovisual cuando corresponde.</w:t>
            </w:r>
          </w:p>
        </w:tc>
      </w:tr>
      <w:tr w:rsidR="00990B14" w14:paraId="4C19D816" w14:textId="77777777">
        <w:trPr>
          <w:cantSplit/>
          <w:jc w:val="center"/>
        </w:trPr>
        <w:tc>
          <w:tcPr>
            <w:tcW w:w="1883" w:type="dxa"/>
            <w:vMerge/>
            <w:shd w:val="clear" w:color="auto" w:fill="4472C4"/>
            <w:vAlign w:val="center"/>
          </w:tcPr>
          <w:p w14:paraId="7308A7C1" w14:textId="77777777" w:rsidR="00990B14" w:rsidRDefault="00990B14">
            <w:pPr>
              <w:spacing w:before="20" w:after="20"/>
            </w:pPr>
          </w:p>
        </w:tc>
        <w:tc>
          <w:tcPr>
            <w:tcW w:w="1873" w:type="dxa"/>
            <w:shd w:val="clear" w:color="auto" w:fill="D9E2F3"/>
            <w:vAlign w:val="center"/>
          </w:tcPr>
          <w:p w14:paraId="2E189452" w14:textId="77777777" w:rsidR="00990B14" w:rsidRDefault="00000000">
            <w:pPr>
              <w:spacing w:before="20" w:after="20"/>
              <w:jc w:val="both"/>
            </w:pPr>
            <w:r>
              <w:rPr>
                <w:sz w:val="18"/>
                <w:szCs w:val="18"/>
              </w:rPr>
              <w:t>Supervisión</w:t>
            </w:r>
          </w:p>
        </w:tc>
        <w:tc>
          <w:tcPr>
            <w:tcW w:w="1869" w:type="dxa"/>
            <w:shd w:val="clear" w:color="auto" w:fill="D9E2F3"/>
            <w:vAlign w:val="center"/>
          </w:tcPr>
          <w:p w14:paraId="7FFED558" w14:textId="77777777" w:rsidR="00990B14" w:rsidRDefault="00000000">
            <w:pPr>
              <w:spacing w:before="20" w:after="20"/>
              <w:jc w:val="both"/>
            </w:pPr>
            <w:r>
              <w:rPr>
                <w:sz w:val="18"/>
                <w:szCs w:val="18"/>
              </w:rPr>
              <w:t>No hay evidencia de revisión.</w:t>
            </w:r>
          </w:p>
        </w:tc>
        <w:tc>
          <w:tcPr>
            <w:tcW w:w="1910" w:type="dxa"/>
            <w:shd w:val="clear" w:color="auto" w:fill="D9E2F3"/>
            <w:vAlign w:val="center"/>
          </w:tcPr>
          <w:p w14:paraId="6E4B7CB7" w14:textId="77777777" w:rsidR="00990B14" w:rsidRDefault="00000000">
            <w:pPr>
              <w:spacing w:before="20" w:after="20"/>
              <w:jc w:val="both"/>
            </w:pPr>
            <w:r>
              <w:rPr>
                <w:sz w:val="18"/>
                <w:szCs w:val="18"/>
              </w:rPr>
              <w:t>Los papeles muestran la revisión.</w:t>
            </w:r>
          </w:p>
        </w:tc>
        <w:tc>
          <w:tcPr>
            <w:tcW w:w="1870" w:type="dxa"/>
            <w:shd w:val="clear" w:color="auto" w:fill="D9E2F3"/>
            <w:vAlign w:val="center"/>
          </w:tcPr>
          <w:p w14:paraId="60FC5A1C" w14:textId="77777777" w:rsidR="00990B14" w:rsidRDefault="00000000">
            <w:pPr>
              <w:spacing w:before="20" w:after="20"/>
              <w:jc w:val="both"/>
            </w:pPr>
            <w:r>
              <w:rPr>
                <w:sz w:val="18"/>
                <w:szCs w:val="18"/>
              </w:rPr>
              <w:t>Los papeles cumplen las normas de documentación.</w:t>
            </w:r>
          </w:p>
        </w:tc>
      </w:tr>
      <w:tr w:rsidR="00990B14" w14:paraId="2950688F" w14:textId="77777777">
        <w:trPr>
          <w:cantSplit/>
          <w:jc w:val="center"/>
        </w:trPr>
        <w:tc>
          <w:tcPr>
            <w:tcW w:w="1883" w:type="dxa"/>
            <w:vMerge/>
            <w:shd w:val="clear" w:color="auto" w:fill="4472C4"/>
            <w:vAlign w:val="center"/>
          </w:tcPr>
          <w:p w14:paraId="16839DC2" w14:textId="77777777" w:rsidR="00990B14" w:rsidRDefault="00990B14">
            <w:pPr>
              <w:spacing w:before="20" w:after="20"/>
            </w:pPr>
          </w:p>
        </w:tc>
        <w:tc>
          <w:tcPr>
            <w:tcW w:w="5652" w:type="dxa"/>
            <w:gridSpan w:val="3"/>
            <w:shd w:val="clear" w:color="auto" w:fill="D9E2F3"/>
            <w:vAlign w:val="center"/>
          </w:tcPr>
          <w:p w14:paraId="5247E62E" w14:textId="77777777" w:rsidR="00990B14" w:rsidRDefault="00000000">
            <w:pPr>
              <w:keepNext/>
              <w:spacing w:before="20" w:after="20"/>
              <w:jc w:val="both"/>
            </w:pPr>
            <w:r>
              <w:rPr>
                <w:b/>
                <w:bCs/>
                <w:i/>
                <w:iCs/>
                <w:sz w:val="18"/>
                <w:szCs w:val="18"/>
              </w:rPr>
              <w:t xml:space="preserve">Producto 15: </w:t>
            </w:r>
            <w:r>
              <w:rPr>
                <w:sz w:val="18"/>
                <w:szCs w:val="18"/>
              </w:rPr>
              <w:t>Planilla de desarrollo de hallazgos</w:t>
            </w:r>
          </w:p>
        </w:tc>
        <w:tc>
          <w:tcPr>
            <w:tcW w:w="1870" w:type="dxa"/>
            <w:shd w:val="clear" w:color="auto" w:fill="D9E2F3"/>
            <w:vAlign w:val="center"/>
          </w:tcPr>
          <w:p w14:paraId="2B565039" w14:textId="77777777" w:rsidR="00990B14" w:rsidRDefault="00000000">
            <w:pPr>
              <w:spacing w:before="20" w:after="20"/>
              <w:jc w:val="center"/>
            </w:pPr>
            <w:r>
              <w:rPr>
                <w:b/>
                <w:bCs/>
                <w:sz w:val="18"/>
                <w:szCs w:val="18"/>
              </w:rPr>
              <w:t>10%</w:t>
            </w:r>
          </w:p>
        </w:tc>
      </w:tr>
      <w:tr w:rsidR="00990B14" w14:paraId="43241134" w14:textId="77777777">
        <w:trPr>
          <w:cantSplit/>
          <w:jc w:val="center"/>
        </w:trPr>
        <w:tc>
          <w:tcPr>
            <w:tcW w:w="1883" w:type="dxa"/>
            <w:vMerge/>
            <w:shd w:val="clear" w:color="auto" w:fill="4472C4"/>
            <w:vAlign w:val="center"/>
          </w:tcPr>
          <w:p w14:paraId="0CC8053A" w14:textId="77777777" w:rsidR="00990B14" w:rsidRDefault="00990B14">
            <w:pPr>
              <w:spacing w:before="20" w:after="20"/>
            </w:pPr>
          </w:p>
        </w:tc>
        <w:tc>
          <w:tcPr>
            <w:tcW w:w="1873" w:type="dxa"/>
            <w:shd w:val="clear" w:color="auto" w:fill="4472C4"/>
            <w:vAlign w:val="center"/>
          </w:tcPr>
          <w:p w14:paraId="707D3C49" w14:textId="77777777" w:rsidR="00990B14" w:rsidRDefault="00000000">
            <w:pPr>
              <w:keepNext/>
              <w:spacing w:before="20" w:after="20"/>
              <w:jc w:val="center"/>
            </w:pPr>
            <w:r>
              <w:rPr>
                <w:b/>
                <w:bCs/>
                <w:i/>
                <w:iCs/>
                <w:color w:val="FFFFFF"/>
                <w:sz w:val="18"/>
                <w:szCs w:val="18"/>
              </w:rPr>
              <w:t>Criterio</w:t>
            </w:r>
          </w:p>
        </w:tc>
        <w:tc>
          <w:tcPr>
            <w:tcW w:w="1869" w:type="dxa"/>
            <w:shd w:val="clear" w:color="auto" w:fill="4472C4"/>
            <w:vAlign w:val="center"/>
          </w:tcPr>
          <w:p w14:paraId="0F7EC1E5"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0CE12DF5" w14:textId="77777777" w:rsidR="00990B14" w:rsidRDefault="00000000">
            <w:pPr>
              <w:keepNext/>
              <w:spacing w:before="20" w:after="20"/>
              <w:jc w:val="center"/>
            </w:pPr>
            <w:r>
              <w:rPr>
                <w:b/>
                <w:bCs/>
                <w:i/>
                <w:iCs/>
                <w:color w:val="FFFFFF"/>
                <w:sz w:val="18"/>
                <w:szCs w:val="18"/>
              </w:rPr>
              <w:t>Suficiente (51–80)</w:t>
            </w:r>
          </w:p>
        </w:tc>
        <w:tc>
          <w:tcPr>
            <w:tcW w:w="1870" w:type="dxa"/>
            <w:shd w:val="clear" w:color="auto" w:fill="4472C4"/>
            <w:vAlign w:val="center"/>
          </w:tcPr>
          <w:p w14:paraId="35ACD996" w14:textId="77777777" w:rsidR="00990B14" w:rsidRDefault="00000000">
            <w:pPr>
              <w:keepNext/>
              <w:spacing w:before="20" w:after="20"/>
              <w:jc w:val="center"/>
            </w:pPr>
            <w:r>
              <w:rPr>
                <w:b/>
                <w:bCs/>
                <w:i/>
                <w:iCs/>
                <w:color w:val="FFFFFF"/>
                <w:sz w:val="18"/>
                <w:szCs w:val="18"/>
              </w:rPr>
              <w:t>Destacado (81–100)</w:t>
            </w:r>
          </w:p>
        </w:tc>
      </w:tr>
      <w:tr w:rsidR="00990B14" w14:paraId="00FF6FD1" w14:textId="77777777">
        <w:trPr>
          <w:cantSplit/>
          <w:jc w:val="center"/>
        </w:trPr>
        <w:tc>
          <w:tcPr>
            <w:tcW w:w="1883" w:type="dxa"/>
            <w:vMerge/>
            <w:shd w:val="clear" w:color="auto" w:fill="4472C4"/>
            <w:vAlign w:val="center"/>
          </w:tcPr>
          <w:p w14:paraId="59B4DD31" w14:textId="77777777" w:rsidR="00990B14" w:rsidRDefault="00990B14">
            <w:pPr>
              <w:spacing w:before="20" w:after="20"/>
            </w:pPr>
          </w:p>
        </w:tc>
        <w:tc>
          <w:tcPr>
            <w:tcW w:w="1873" w:type="dxa"/>
            <w:shd w:val="clear" w:color="auto" w:fill="D9E2F3"/>
            <w:vAlign w:val="center"/>
          </w:tcPr>
          <w:p w14:paraId="0A9690D2" w14:textId="77777777" w:rsidR="00990B14" w:rsidRDefault="00000000">
            <w:pPr>
              <w:spacing w:before="20" w:after="20"/>
              <w:jc w:val="both"/>
            </w:pPr>
            <w:r>
              <w:rPr>
                <w:sz w:val="18"/>
                <w:szCs w:val="18"/>
              </w:rPr>
              <w:t>Atributos principales</w:t>
            </w:r>
          </w:p>
        </w:tc>
        <w:tc>
          <w:tcPr>
            <w:tcW w:w="1869" w:type="dxa"/>
            <w:shd w:val="clear" w:color="auto" w:fill="D9E2F3"/>
            <w:vAlign w:val="center"/>
          </w:tcPr>
          <w:p w14:paraId="4D3E90F8" w14:textId="77777777" w:rsidR="00990B14" w:rsidRDefault="00000000">
            <w:pPr>
              <w:spacing w:before="20" w:after="20"/>
              <w:jc w:val="both"/>
            </w:pPr>
            <w:r>
              <w:rPr>
                <w:sz w:val="18"/>
                <w:szCs w:val="18"/>
              </w:rPr>
              <w:t>Omite atributos.</w:t>
            </w:r>
          </w:p>
        </w:tc>
        <w:tc>
          <w:tcPr>
            <w:tcW w:w="1910" w:type="dxa"/>
            <w:shd w:val="clear" w:color="auto" w:fill="D9E2F3"/>
            <w:vAlign w:val="center"/>
          </w:tcPr>
          <w:p w14:paraId="744C5B46" w14:textId="77777777" w:rsidR="00990B14" w:rsidRDefault="00000000">
            <w:pPr>
              <w:spacing w:before="20" w:after="20"/>
              <w:jc w:val="both"/>
            </w:pPr>
            <w:r>
              <w:rPr>
                <w:sz w:val="18"/>
                <w:szCs w:val="18"/>
              </w:rPr>
              <w:t>Desarrolla la condición, el criterio, la causa y el efecto.</w:t>
            </w:r>
          </w:p>
        </w:tc>
        <w:tc>
          <w:tcPr>
            <w:tcW w:w="1870" w:type="dxa"/>
            <w:shd w:val="clear" w:color="auto" w:fill="D9E2F3"/>
            <w:vAlign w:val="center"/>
          </w:tcPr>
          <w:p w14:paraId="30567CD3" w14:textId="77777777" w:rsidR="00990B14" w:rsidRDefault="00000000">
            <w:pPr>
              <w:spacing w:before="20" w:after="20"/>
              <w:jc w:val="both"/>
            </w:pPr>
            <w:r>
              <w:rPr>
                <w:sz w:val="18"/>
                <w:szCs w:val="18"/>
              </w:rPr>
              <w:t>Cuantifica el efecto del hallazgo.</w:t>
            </w:r>
          </w:p>
        </w:tc>
      </w:tr>
      <w:tr w:rsidR="00990B14" w14:paraId="64201CF1" w14:textId="77777777">
        <w:trPr>
          <w:cantSplit/>
          <w:jc w:val="center"/>
        </w:trPr>
        <w:tc>
          <w:tcPr>
            <w:tcW w:w="1883" w:type="dxa"/>
            <w:vMerge/>
            <w:shd w:val="clear" w:color="auto" w:fill="4472C4"/>
            <w:vAlign w:val="center"/>
          </w:tcPr>
          <w:p w14:paraId="62714B23" w14:textId="77777777" w:rsidR="00990B14" w:rsidRDefault="00990B14">
            <w:pPr>
              <w:spacing w:before="20" w:after="20"/>
            </w:pPr>
          </w:p>
        </w:tc>
        <w:tc>
          <w:tcPr>
            <w:tcW w:w="1873" w:type="dxa"/>
            <w:shd w:val="clear" w:color="auto" w:fill="D9E2F3"/>
            <w:vAlign w:val="center"/>
          </w:tcPr>
          <w:p w14:paraId="2F5C6FFC" w14:textId="77777777" w:rsidR="00990B14" w:rsidRDefault="00000000">
            <w:pPr>
              <w:spacing w:before="20" w:after="20"/>
              <w:jc w:val="both"/>
            </w:pPr>
            <w:r>
              <w:rPr>
                <w:sz w:val="18"/>
                <w:szCs w:val="18"/>
              </w:rPr>
              <w:t>Atributos complementarios</w:t>
            </w:r>
          </w:p>
        </w:tc>
        <w:tc>
          <w:tcPr>
            <w:tcW w:w="1869" w:type="dxa"/>
            <w:shd w:val="clear" w:color="auto" w:fill="D9E2F3"/>
            <w:vAlign w:val="center"/>
          </w:tcPr>
          <w:p w14:paraId="0840D591" w14:textId="77777777" w:rsidR="00990B14" w:rsidRDefault="00000000">
            <w:pPr>
              <w:spacing w:before="20" w:after="20"/>
              <w:jc w:val="both"/>
            </w:pPr>
            <w:r>
              <w:rPr>
                <w:sz w:val="18"/>
                <w:szCs w:val="18"/>
              </w:rPr>
              <w:t>Omite la recomendación.</w:t>
            </w:r>
          </w:p>
        </w:tc>
        <w:tc>
          <w:tcPr>
            <w:tcW w:w="1910" w:type="dxa"/>
            <w:shd w:val="clear" w:color="auto" w:fill="D9E2F3"/>
            <w:vAlign w:val="center"/>
          </w:tcPr>
          <w:p w14:paraId="3A4DC5F0" w14:textId="77777777" w:rsidR="00990B14" w:rsidRDefault="00000000">
            <w:pPr>
              <w:spacing w:before="20" w:after="20"/>
              <w:jc w:val="both"/>
            </w:pPr>
            <w:r>
              <w:rPr>
                <w:sz w:val="18"/>
                <w:szCs w:val="18"/>
              </w:rPr>
              <w:t>Formula conclusiones y recomendaciones.</w:t>
            </w:r>
          </w:p>
        </w:tc>
        <w:tc>
          <w:tcPr>
            <w:tcW w:w="1870" w:type="dxa"/>
            <w:shd w:val="clear" w:color="auto" w:fill="D9E2F3"/>
            <w:vAlign w:val="center"/>
          </w:tcPr>
          <w:p w14:paraId="54AF4CBF" w14:textId="77777777" w:rsidR="00990B14" w:rsidRDefault="00000000">
            <w:pPr>
              <w:spacing w:before="20" w:after="20"/>
              <w:jc w:val="both"/>
            </w:pPr>
            <w:r>
              <w:rPr>
                <w:sz w:val="18"/>
                <w:szCs w:val="18"/>
              </w:rPr>
              <w:t>Incorpora los comentarios de los responsables.</w:t>
            </w:r>
          </w:p>
        </w:tc>
      </w:tr>
      <w:tr w:rsidR="00990B14" w14:paraId="36F5F4B6" w14:textId="77777777">
        <w:trPr>
          <w:cantSplit/>
          <w:jc w:val="center"/>
        </w:trPr>
        <w:tc>
          <w:tcPr>
            <w:tcW w:w="1883" w:type="dxa"/>
            <w:vMerge/>
            <w:shd w:val="clear" w:color="auto" w:fill="4472C4"/>
            <w:vAlign w:val="center"/>
          </w:tcPr>
          <w:p w14:paraId="3F03366C" w14:textId="77777777" w:rsidR="00990B14" w:rsidRDefault="00990B14">
            <w:pPr>
              <w:spacing w:before="20" w:after="20"/>
            </w:pPr>
          </w:p>
        </w:tc>
        <w:tc>
          <w:tcPr>
            <w:tcW w:w="1873" w:type="dxa"/>
            <w:shd w:val="clear" w:color="auto" w:fill="D9E2F3"/>
            <w:vAlign w:val="center"/>
          </w:tcPr>
          <w:p w14:paraId="794BA426" w14:textId="77777777" w:rsidR="00990B14" w:rsidRDefault="00000000">
            <w:pPr>
              <w:spacing w:before="20" w:after="20"/>
              <w:jc w:val="both"/>
            </w:pPr>
            <w:r>
              <w:rPr>
                <w:sz w:val="18"/>
                <w:szCs w:val="18"/>
              </w:rPr>
              <w:t>Evidencia</w:t>
            </w:r>
          </w:p>
        </w:tc>
        <w:tc>
          <w:tcPr>
            <w:tcW w:w="1869" w:type="dxa"/>
            <w:shd w:val="clear" w:color="auto" w:fill="D9E2F3"/>
            <w:vAlign w:val="center"/>
          </w:tcPr>
          <w:p w14:paraId="65E53A9E" w14:textId="77777777" w:rsidR="00990B14" w:rsidRDefault="00000000">
            <w:pPr>
              <w:spacing w:before="20" w:after="20"/>
              <w:jc w:val="both"/>
            </w:pPr>
            <w:r>
              <w:rPr>
                <w:sz w:val="18"/>
                <w:szCs w:val="18"/>
              </w:rPr>
              <w:t>El hallazgo no tiene respaldo.</w:t>
            </w:r>
          </w:p>
        </w:tc>
        <w:tc>
          <w:tcPr>
            <w:tcW w:w="1910" w:type="dxa"/>
            <w:shd w:val="clear" w:color="auto" w:fill="D9E2F3"/>
            <w:vAlign w:val="center"/>
          </w:tcPr>
          <w:p w14:paraId="2606A022" w14:textId="77777777" w:rsidR="00990B14" w:rsidRDefault="00000000">
            <w:pPr>
              <w:spacing w:before="20" w:after="20"/>
              <w:jc w:val="both"/>
            </w:pPr>
            <w:r>
              <w:rPr>
                <w:sz w:val="18"/>
                <w:szCs w:val="18"/>
              </w:rPr>
              <w:t>El hallazgo está respaldado.</w:t>
            </w:r>
          </w:p>
        </w:tc>
        <w:tc>
          <w:tcPr>
            <w:tcW w:w="1870" w:type="dxa"/>
            <w:shd w:val="clear" w:color="auto" w:fill="D9E2F3"/>
            <w:vAlign w:val="center"/>
          </w:tcPr>
          <w:p w14:paraId="6739FEEF" w14:textId="77777777" w:rsidR="00990B14" w:rsidRDefault="00000000">
            <w:pPr>
              <w:spacing w:before="20" w:after="20"/>
              <w:jc w:val="both"/>
            </w:pPr>
            <w:r>
              <w:rPr>
                <w:sz w:val="18"/>
                <w:szCs w:val="18"/>
              </w:rPr>
              <w:t>La evidencia es suficiente y pertinente.</w:t>
            </w:r>
          </w:p>
        </w:tc>
      </w:tr>
      <w:tr w:rsidR="00990B14" w14:paraId="331F9D6A" w14:textId="77777777">
        <w:trPr>
          <w:cantSplit/>
          <w:jc w:val="center"/>
        </w:trPr>
        <w:tc>
          <w:tcPr>
            <w:tcW w:w="1883" w:type="dxa"/>
            <w:vMerge/>
            <w:shd w:val="clear" w:color="auto" w:fill="4472C4"/>
            <w:vAlign w:val="center"/>
          </w:tcPr>
          <w:p w14:paraId="14B9B473" w14:textId="77777777" w:rsidR="00990B14" w:rsidRDefault="00990B14">
            <w:pPr>
              <w:spacing w:before="20" w:after="20"/>
            </w:pPr>
          </w:p>
        </w:tc>
        <w:tc>
          <w:tcPr>
            <w:tcW w:w="5652" w:type="dxa"/>
            <w:gridSpan w:val="3"/>
            <w:shd w:val="clear" w:color="auto" w:fill="D9E2F3"/>
            <w:vAlign w:val="center"/>
          </w:tcPr>
          <w:p w14:paraId="334C5A73" w14:textId="77777777" w:rsidR="00990B14" w:rsidRDefault="00000000">
            <w:pPr>
              <w:keepNext/>
              <w:spacing w:before="20" w:after="20"/>
              <w:jc w:val="both"/>
            </w:pPr>
            <w:r>
              <w:rPr>
                <w:b/>
                <w:bCs/>
                <w:i/>
                <w:iCs/>
                <w:sz w:val="18"/>
                <w:szCs w:val="18"/>
              </w:rPr>
              <w:t xml:space="preserve">Producto 16: </w:t>
            </w:r>
            <w:r>
              <w:rPr>
                <w:sz w:val="18"/>
                <w:szCs w:val="18"/>
              </w:rPr>
              <w:t>Informe de auditoría operativa y seguimiento</w:t>
            </w:r>
          </w:p>
        </w:tc>
        <w:tc>
          <w:tcPr>
            <w:tcW w:w="1870" w:type="dxa"/>
            <w:shd w:val="clear" w:color="auto" w:fill="D9E2F3"/>
            <w:vAlign w:val="center"/>
          </w:tcPr>
          <w:p w14:paraId="1336A9DF" w14:textId="77777777" w:rsidR="00990B14" w:rsidRDefault="00000000">
            <w:pPr>
              <w:spacing w:before="20" w:after="20"/>
              <w:jc w:val="center"/>
            </w:pPr>
            <w:r>
              <w:rPr>
                <w:b/>
                <w:bCs/>
                <w:sz w:val="18"/>
                <w:szCs w:val="18"/>
              </w:rPr>
              <w:t>10%</w:t>
            </w:r>
          </w:p>
        </w:tc>
      </w:tr>
      <w:tr w:rsidR="00990B14" w14:paraId="0AB924E6" w14:textId="77777777">
        <w:trPr>
          <w:cantSplit/>
          <w:jc w:val="center"/>
        </w:trPr>
        <w:tc>
          <w:tcPr>
            <w:tcW w:w="1883" w:type="dxa"/>
            <w:vMerge/>
            <w:shd w:val="clear" w:color="auto" w:fill="4472C4"/>
            <w:vAlign w:val="center"/>
          </w:tcPr>
          <w:p w14:paraId="5EE6B755" w14:textId="77777777" w:rsidR="00990B14" w:rsidRDefault="00990B14">
            <w:pPr>
              <w:spacing w:before="20" w:after="20"/>
            </w:pPr>
          </w:p>
        </w:tc>
        <w:tc>
          <w:tcPr>
            <w:tcW w:w="1873" w:type="dxa"/>
            <w:shd w:val="clear" w:color="auto" w:fill="4472C4"/>
            <w:vAlign w:val="center"/>
          </w:tcPr>
          <w:p w14:paraId="54143130" w14:textId="77777777" w:rsidR="00990B14" w:rsidRDefault="00000000">
            <w:pPr>
              <w:keepNext/>
              <w:spacing w:before="20" w:after="20"/>
              <w:jc w:val="center"/>
            </w:pPr>
            <w:r>
              <w:rPr>
                <w:b/>
                <w:bCs/>
                <w:i/>
                <w:iCs/>
                <w:color w:val="FFFFFF"/>
                <w:sz w:val="18"/>
                <w:szCs w:val="18"/>
              </w:rPr>
              <w:t>Criterio</w:t>
            </w:r>
          </w:p>
        </w:tc>
        <w:tc>
          <w:tcPr>
            <w:tcW w:w="1869" w:type="dxa"/>
            <w:shd w:val="clear" w:color="auto" w:fill="4472C4"/>
            <w:vAlign w:val="center"/>
          </w:tcPr>
          <w:p w14:paraId="25AFDB33"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6679086B" w14:textId="77777777" w:rsidR="00990B14" w:rsidRDefault="00000000">
            <w:pPr>
              <w:keepNext/>
              <w:spacing w:before="20" w:after="20"/>
              <w:jc w:val="center"/>
            </w:pPr>
            <w:r>
              <w:rPr>
                <w:b/>
                <w:bCs/>
                <w:i/>
                <w:iCs/>
                <w:color w:val="FFFFFF"/>
                <w:sz w:val="18"/>
                <w:szCs w:val="18"/>
              </w:rPr>
              <w:t>Suficiente (51–80)</w:t>
            </w:r>
          </w:p>
        </w:tc>
        <w:tc>
          <w:tcPr>
            <w:tcW w:w="1870" w:type="dxa"/>
            <w:shd w:val="clear" w:color="auto" w:fill="4472C4"/>
            <w:vAlign w:val="center"/>
          </w:tcPr>
          <w:p w14:paraId="4C44E95B" w14:textId="77777777" w:rsidR="00990B14" w:rsidRDefault="00000000">
            <w:pPr>
              <w:keepNext/>
              <w:spacing w:before="20" w:after="20"/>
              <w:jc w:val="center"/>
            </w:pPr>
            <w:r>
              <w:rPr>
                <w:b/>
                <w:bCs/>
                <w:i/>
                <w:iCs/>
                <w:color w:val="FFFFFF"/>
                <w:sz w:val="18"/>
                <w:szCs w:val="18"/>
              </w:rPr>
              <w:t>Destacado (81–100)</w:t>
            </w:r>
          </w:p>
        </w:tc>
      </w:tr>
      <w:tr w:rsidR="00990B14" w14:paraId="34C3D7DA" w14:textId="77777777">
        <w:trPr>
          <w:cantSplit/>
          <w:jc w:val="center"/>
        </w:trPr>
        <w:tc>
          <w:tcPr>
            <w:tcW w:w="1883" w:type="dxa"/>
            <w:vMerge/>
            <w:shd w:val="clear" w:color="auto" w:fill="4472C4"/>
            <w:vAlign w:val="center"/>
          </w:tcPr>
          <w:p w14:paraId="7BC9410D" w14:textId="77777777" w:rsidR="00990B14" w:rsidRDefault="00990B14">
            <w:pPr>
              <w:spacing w:before="20" w:after="20"/>
            </w:pPr>
          </w:p>
        </w:tc>
        <w:tc>
          <w:tcPr>
            <w:tcW w:w="1873" w:type="dxa"/>
            <w:shd w:val="clear" w:color="auto" w:fill="D9E2F3"/>
            <w:vAlign w:val="center"/>
          </w:tcPr>
          <w:p w14:paraId="72D18415" w14:textId="77777777" w:rsidR="00990B14" w:rsidRDefault="00000000">
            <w:pPr>
              <w:spacing w:before="20" w:after="20"/>
              <w:jc w:val="both"/>
            </w:pPr>
            <w:r>
              <w:rPr>
                <w:sz w:val="18"/>
                <w:szCs w:val="18"/>
              </w:rPr>
              <w:t>Estructura</w:t>
            </w:r>
          </w:p>
        </w:tc>
        <w:tc>
          <w:tcPr>
            <w:tcW w:w="1869" w:type="dxa"/>
            <w:shd w:val="clear" w:color="auto" w:fill="D9E2F3"/>
            <w:vAlign w:val="center"/>
          </w:tcPr>
          <w:p w14:paraId="6AC51D47" w14:textId="77777777" w:rsidR="00990B14" w:rsidRDefault="00000000">
            <w:pPr>
              <w:spacing w:before="20" w:after="20"/>
              <w:jc w:val="both"/>
            </w:pPr>
            <w:r>
              <w:rPr>
                <w:sz w:val="18"/>
                <w:szCs w:val="18"/>
              </w:rPr>
              <w:t>El informe omite secciones.</w:t>
            </w:r>
          </w:p>
        </w:tc>
        <w:tc>
          <w:tcPr>
            <w:tcW w:w="1910" w:type="dxa"/>
            <w:shd w:val="clear" w:color="auto" w:fill="D9E2F3"/>
            <w:vAlign w:val="center"/>
          </w:tcPr>
          <w:p w14:paraId="27010C2E" w14:textId="77777777" w:rsidR="00990B14" w:rsidRDefault="00000000">
            <w:pPr>
              <w:spacing w:before="20" w:after="20"/>
              <w:jc w:val="both"/>
            </w:pPr>
            <w:r>
              <w:rPr>
                <w:sz w:val="18"/>
                <w:szCs w:val="18"/>
              </w:rPr>
              <w:t>El informe tiene la estructura requerida.</w:t>
            </w:r>
          </w:p>
        </w:tc>
        <w:tc>
          <w:tcPr>
            <w:tcW w:w="1870" w:type="dxa"/>
            <w:shd w:val="clear" w:color="auto" w:fill="D9E2F3"/>
            <w:vAlign w:val="center"/>
          </w:tcPr>
          <w:p w14:paraId="6E3CFD07" w14:textId="77777777" w:rsidR="00990B14" w:rsidRDefault="00000000">
            <w:pPr>
              <w:spacing w:before="20" w:after="20"/>
              <w:jc w:val="both"/>
            </w:pPr>
            <w:r>
              <w:rPr>
                <w:sz w:val="18"/>
                <w:szCs w:val="18"/>
              </w:rPr>
              <w:t>Incluye la síntesis del informe.</w:t>
            </w:r>
          </w:p>
        </w:tc>
      </w:tr>
      <w:tr w:rsidR="00990B14" w14:paraId="1584BA46" w14:textId="77777777">
        <w:trPr>
          <w:cantSplit/>
          <w:jc w:val="center"/>
        </w:trPr>
        <w:tc>
          <w:tcPr>
            <w:tcW w:w="1883" w:type="dxa"/>
            <w:vMerge/>
            <w:shd w:val="clear" w:color="auto" w:fill="4472C4"/>
            <w:vAlign w:val="center"/>
          </w:tcPr>
          <w:p w14:paraId="583C85A9" w14:textId="77777777" w:rsidR="00990B14" w:rsidRDefault="00990B14">
            <w:pPr>
              <w:spacing w:before="20" w:after="20"/>
            </w:pPr>
          </w:p>
        </w:tc>
        <w:tc>
          <w:tcPr>
            <w:tcW w:w="1873" w:type="dxa"/>
            <w:shd w:val="clear" w:color="auto" w:fill="D9E2F3"/>
            <w:vAlign w:val="center"/>
          </w:tcPr>
          <w:p w14:paraId="24E07877" w14:textId="77777777" w:rsidR="00990B14" w:rsidRDefault="00000000">
            <w:pPr>
              <w:spacing w:before="20" w:after="20"/>
              <w:jc w:val="both"/>
            </w:pPr>
            <w:r>
              <w:rPr>
                <w:sz w:val="18"/>
                <w:szCs w:val="18"/>
              </w:rPr>
              <w:t>Conclusiones y recomendaciones</w:t>
            </w:r>
          </w:p>
        </w:tc>
        <w:tc>
          <w:tcPr>
            <w:tcW w:w="1869" w:type="dxa"/>
            <w:shd w:val="clear" w:color="auto" w:fill="D9E2F3"/>
            <w:vAlign w:val="center"/>
          </w:tcPr>
          <w:p w14:paraId="527A3F6D" w14:textId="77777777" w:rsidR="00990B14" w:rsidRDefault="00000000">
            <w:pPr>
              <w:spacing w:before="20" w:after="20"/>
              <w:jc w:val="both"/>
            </w:pPr>
            <w:r>
              <w:rPr>
                <w:sz w:val="18"/>
                <w:szCs w:val="18"/>
              </w:rPr>
              <w:t>Son vagas.</w:t>
            </w:r>
          </w:p>
        </w:tc>
        <w:tc>
          <w:tcPr>
            <w:tcW w:w="1910" w:type="dxa"/>
            <w:shd w:val="clear" w:color="auto" w:fill="D9E2F3"/>
            <w:vAlign w:val="center"/>
          </w:tcPr>
          <w:p w14:paraId="36E01C67" w14:textId="77777777" w:rsidR="00990B14" w:rsidRDefault="00000000">
            <w:pPr>
              <w:spacing w:before="20" w:after="20"/>
              <w:jc w:val="both"/>
            </w:pPr>
            <w:r>
              <w:rPr>
                <w:sz w:val="18"/>
                <w:szCs w:val="18"/>
              </w:rPr>
              <w:t>Son claras y se derivan de los hallazgos.</w:t>
            </w:r>
          </w:p>
        </w:tc>
        <w:tc>
          <w:tcPr>
            <w:tcW w:w="1870" w:type="dxa"/>
            <w:shd w:val="clear" w:color="auto" w:fill="D9E2F3"/>
            <w:vAlign w:val="center"/>
          </w:tcPr>
          <w:p w14:paraId="4EAE7329" w14:textId="77777777" w:rsidR="00990B14" w:rsidRDefault="00000000">
            <w:pPr>
              <w:spacing w:before="20" w:after="20"/>
              <w:jc w:val="both"/>
            </w:pPr>
            <w:r>
              <w:rPr>
                <w:sz w:val="18"/>
                <w:szCs w:val="18"/>
              </w:rPr>
              <w:t>Son viables y priorizadas.</w:t>
            </w:r>
          </w:p>
        </w:tc>
      </w:tr>
      <w:tr w:rsidR="00990B14" w14:paraId="21B83FFA" w14:textId="77777777">
        <w:trPr>
          <w:cantSplit/>
          <w:jc w:val="center"/>
        </w:trPr>
        <w:tc>
          <w:tcPr>
            <w:tcW w:w="1883" w:type="dxa"/>
            <w:vMerge/>
            <w:shd w:val="clear" w:color="auto" w:fill="4472C4"/>
            <w:vAlign w:val="center"/>
          </w:tcPr>
          <w:p w14:paraId="1FEAC2C2" w14:textId="77777777" w:rsidR="00990B14" w:rsidRDefault="00990B14">
            <w:pPr>
              <w:spacing w:before="20" w:after="20"/>
            </w:pPr>
          </w:p>
        </w:tc>
        <w:tc>
          <w:tcPr>
            <w:tcW w:w="1873" w:type="dxa"/>
            <w:shd w:val="clear" w:color="auto" w:fill="D9E2F3"/>
            <w:vAlign w:val="center"/>
          </w:tcPr>
          <w:p w14:paraId="0C3E5037" w14:textId="77777777" w:rsidR="00990B14" w:rsidRDefault="00000000">
            <w:pPr>
              <w:spacing w:before="20" w:after="20"/>
              <w:jc w:val="both"/>
            </w:pPr>
            <w:r>
              <w:rPr>
                <w:sz w:val="18"/>
                <w:szCs w:val="18"/>
              </w:rPr>
              <w:t>Seguimiento</w:t>
            </w:r>
          </w:p>
        </w:tc>
        <w:tc>
          <w:tcPr>
            <w:tcW w:w="1869" w:type="dxa"/>
            <w:shd w:val="clear" w:color="auto" w:fill="D9E2F3"/>
            <w:vAlign w:val="center"/>
          </w:tcPr>
          <w:p w14:paraId="4D980940" w14:textId="77777777" w:rsidR="00990B14" w:rsidRDefault="00000000">
            <w:pPr>
              <w:spacing w:before="20" w:after="20"/>
              <w:jc w:val="both"/>
            </w:pPr>
            <w:r>
              <w:rPr>
                <w:sz w:val="18"/>
                <w:szCs w:val="18"/>
              </w:rPr>
              <w:t>No establece seguimiento.</w:t>
            </w:r>
          </w:p>
        </w:tc>
        <w:tc>
          <w:tcPr>
            <w:tcW w:w="1910" w:type="dxa"/>
            <w:shd w:val="clear" w:color="auto" w:fill="D9E2F3"/>
            <w:vAlign w:val="center"/>
          </w:tcPr>
          <w:p w14:paraId="5CA7A9B9" w14:textId="77777777" w:rsidR="00990B14" w:rsidRDefault="00000000">
            <w:pPr>
              <w:spacing w:before="20" w:after="20"/>
              <w:jc w:val="both"/>
            </w:pPr>
            <w:r>
              <w:rPr>
                <w:sz w:val="18"/>
                <w:szCs w:val="18"/>
              </w:rPr>
              <w:t>Establece el cronograma de seguimiento.</w:t>
            </w:r>
          </w:p>
        </w:tc>
        <w:tc>
          <w:tcPr>
            <w:tcW w:w="1870" w:type="dxa"/>
            <w:shd w:val="clear" w:color="auto" w:fill="D9E2F3"/>
            <w:vAlign w:val="center"/>
          </w:tcPr>
          <w:p w14:paraId="2727175E" w14:textId="77777777" w:rsidR="00990B14" w:rsidRDefault="00000000">
            <w:pPr>
              <w:spacing w:before="20" w:after="20"/>
              <w:jc w:val="both"/>
            </w:pPr>
            <w:r>
              <w:rPr>
                <w:sz w:val="18"/>
                <w:szCs w:val="18"/>
              </w:rPr>
              <w:t>Define responsables y plazos medibles.</w:t>
            </w:r>
          </w:p>
        </w:tc>
      </w:tr>
      <w:tr w:rsidR="00990B14" w14:paraId="3F114CBC" w14:textId="77777777">
        <w:trPr>
          <w:cantSplit/>
          <w:jc w:val="center"/>
        </w:trPr>
        <w:tc>
          <w:tcPr>
            <w:tcW w:w="7535" w:type="dxa"/>
            <w:gridSpan w:val="4"/>
            <w:shd w:val="clear" w:color="auto" w:fill="4472C4"/>
            <w:vAlign w:val="center"/>
          </w:tcPr>
          <w:p w14:paraId="347B1098" w14:textId="77777777" w:rsidR="00990B14" w:rsidRDefault="00000000">
            <w:pPr>
              <w:keepNext/>
              <w:spacing w:before="20" w:after="20"/>
              <w:jc w:val="center"/>
            </w:pPr>
            <w:r>
              <w:rPr>
                <w:b/>
                <w:bCs/>
                <w:i/>
                <w:iCs/>
                <w:color w:val="FFFFFF"/>
                <w:sz w:val="18"/>
                <w:szCs w:val="18"/>
              </w:rPr>
              <w:t>TOTAL</w:t>
            </w:r>
          </w:p>
        </w:tc>
        <w:tc>
          <w:tcPr>
            <w:tcW w:w="1870" w:type="dxa"/>
            <w:shd w:val="clear" w:color="auto" w:fill="4472C4"/>
            <w:vAlign w:val="center"/>
          </w:tcPr>
          <w:p w14:paraId="70386897" w14:textId="77777777" w:rsidR="00990B14" w:rsidRDefault="00000000">
            <w:pPr>
              <w:keepNext/>
              <w:spacing w:before="20" w:after="20"/>
              <w:jc w:val="center"/>
            </w:pPr>
            <w:r>
              <w:rPr>
                <w:b/>
                <w:bCs/>
                <w:i/>
                <w:iCs/>
                <w:color w:val="FFFFFF"/>
                <w:sz w:val="18"/>
                <w:szCs w:val="18"/>
              </w:rPr>
              <w:t>100%</w:t>
            </w:r>
          </w:p>
        </w:tc>
      </w:tr>
    </w:tbl>
    <w:p w14:paraId="15B9A716"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9405"/>
      </w:tblGrid>
      <w:tr w:rsidR="00990B14" w14:paraId="42465FE8" w14:textId="77777777">
        <w:trPr>
          <w:jc w:val="center"/>
        </w:trPr>
        <w:tc>
          <w:tcPr>
            <w:tcW w:w="9405" w:type="dxa"/>
            <w:shd w:val="clear" w:color="auto" w:fill="D9E2F3"/>
          </w:tcPr>
          <w:p w14:paraId="0E4BA1DB" w14:textId="77777777" w:rsidR="00990B14" w:rsidRDefault="00000000">
            <w:pPr>
              <w:spacing w:before="40" w:after="40"/>
              <w:jc w:val="both"/>
            </w:pPr>
            <w:r>
              <w:rPr>
                <w:b/>
                <w:bCs/>
                <w:i/>
                <w:iCs/>
                <w:sz w:val="18"/>
                <w:szCs w:val="18"/>
              </w:rPr>
              <w:t>Bibliografía básica:</w:t>
            </w:r>
          </w:p>
          <w:p w14:paraId="068CFE24" w14:textId="77777777" w:rsidR="00990B14" w:rsidRDefault="00000000">
            <w:pPr>
              <w:numPr>
                <w:ilvl w:val="0"/>
                <w:numId w:val="140"/>
              </w:numPr>
              <w:spacing w:after="20"/>
              <w:jc w:val="both"/>
            </w:pPr>
            <w:r>
              <w:rPr>
                <w:sz w:val="18"/>
                <w:szCs w:val="18"/>
              </w:rPr>
              <w:t>Código de Comercio, Decreto Ley N.º 14379, de 25 de febrero de 1977.</w:t>
            </w:r>
          </w:p>
          <w:p w14:paraId="69FE6BAA" w14:textId="77777777" w:rsidR="00990B14" w:rsidRDefault="00000000">
            <w:pPr>
              <w:numPr>
                <w:ilvl w:val="0"/>
                <w:numId w:val="140"/>
              </w:numPr>
              <w:spacing w:after="20"/>
              <w:jc w:val="both"/>
            </w:pPr>
            <w:r>
              <w:rPr>
                <w:sz w:val="18"/>
                <w:szCs w:val="18"/>
              </w:rPr>
              <w:t>Código Tributario Boliviano, Ley N.º 2492, de 2 de agosto de 2003.</w:t>
            </w:r>
          </w:p>
          <w:p w14:paraId="607548A0" w14:textId="77777777" w:rsidR="00990B14" w:rsidRDefault="00000000">
            <w:pPr>
              <w:numPr>
                <w:ilvl w:val="0"/>
                <w:numId w:val="140"/>
              </w:numPr>
              <w:spacing w:after="20"/>
              <w:jc w:val="both"/>
            </w:pPr>
            <w:r>
              <w:rPr>
                <w:sz w:val="18"/>
                <w:szCs w:val="18"/>
              </w:rPr>
              <w:t xml:space="preserve">Colegio de Auditores o Contadores Públicos de Bolivia, CAUB – Consejo Técnico Nacional de Auditoría y Contabilidad, CTNAC (2025). </w:t>
            </w:r>
            <w:r>
              <w:rPr>
                <w:i/>
                <w:iCs/>
                <w:sz w:val="18"/>
                <w:szCs w:val="18"/>
              </w:rPr>
              <w:t>Compendio de Normas de Contabilidad y Auditoría</w:t>
            </w:r>
            <w:r>
              <w:rPr>
                <w:sz w:val="18"/>
                <w:szCs w:val="18"/>
              </w:rPr>
              <w:t>. Bolivia.</w:t>
            </w:r>
          </w:p>
          <w:p w14:paraId="0E70033C" w14:textId="77777777" w:rsidR="00990B14" w:rsidRDefault="00000000">
            <w:pPr>
              <w:numPr>
                <w:ilvl w:val="0"/>
                <w:numId w:val="140"/>
              </w:numPr>
              <w:spacing w:after="20"/>
              <w:jc w:val="both"/>
            </w:pPr>
            <w:r>
              <w:rPr>
                <w:sz w:val="18"/>
                <w:szCs w:val="18"/>
              </w:rPr>
              <w:t xml:space="preserve">Contraloría General del Estado (2012). </w:t>
            </w:r>
            <w:r>
              <w:rPr>
                <w:i/>
                <w:iCs/>
                <w:sz w:val="18"/>
                <w:szCs w:val="18"/>
              </w:rPr>
              <w:t>Normas Generales de Auditoría Gubernamental</w:t>
            </w:r>
            <w:r>
              <w:rPr>
                <w:sz w:val="18"/>
                <w:szCs w:val="18"/>
              </w:rPr>
              <w:t>. Bolivia.</w:t>
            </w:r>
          </w:p>
          <w:p w14:paraId="7A38D7DB" w14:textId="77777777" w:rsidR="00990B14" w:rsidRDefault="00000000">
            <w:pPr>
              <w:numPr>
                <w:ilvl w:val="0"/>
                <w:numId w:val="140"/>
              </w:numPr>
              <w:spacing w:after="20"/>
              <w:jc w:val="both"/>
            </w:pPr>
            <w:r>
              <w:rPr>
                <w:sz w:val="18"/>
                <w:szCs w:val="18"/>
              </w:rPr>
              <w:t xml:space="preserve">Contraloría General del Estado (2022). </w:t>
            </w:r>
            <w:r>
              <w:rPr>
                <w:i/>
                <w:iCs/>
                <w:sz w:val="18"/>
                <w:szCs w:val="18"/>
              </w:rPr>
              <w:t>Normas de Auditoría Operativa Gubernamental</w:t>
            </w:r>
            <w:r>
              <w:rPr>
                <w:sz w:val="18"/>
                <w:szCs w:val="18"/>
              </w:rPr>
              <w:t>. Bolivia.</w:t>
            </w:r>
          </w:p>
          <w:p w14:paraId="71BDDC33" w14:textId="77777777" w:rsidR="00990B14" w:rsidRDefault="00000000">
            <w:pPr>
              <w:numPr>
                <w:ilvl w:val="0"/>
                <w:numId w:val="140"/>
              </w:numPr>
              <w:spacing w:after="20"/>
              <w:jc w:val="both"/>
            </w:pPr>
            <w:r>
              <w:rPr>
                <w:sz w:val="18"/>
                <w:szCs w:val="18"/>
              </w:rPr>
              <w:t>Instituto de Auditores Internos, IIA (2024). Normas Globales de Auditoría Interna, obligatorias desde enero de 2025, e IIA (2020), Modelo de las Tres Líneas. Lake Mary – Estados Unidos.</w:t>
            </w:r>
          </w:p>
          <w:p w14:paraId="1BB5833F" w14:textId="77777777" w:rsidR="00990B14" w:rsidRDefault="00000000">
            <w:pPr>
              <w:numPr>
                <w:ilvl w:val="0"/>
                <w:numId w:val="140"/>
              </w:numPr>
              <w:spacing w:after="20"/>
              <w:jc w:val="both"/>
            </w:pPr>
            <w:r w:rsidRPr="00BD34F7">
              <w:rPr>
                <w:sz w:val="18"/>
                <w:szCs w:val="18"/>
                <w:lang w:val="en-US"/>
              </w:rPr>
              <w:t xml:space="preserve">International Auditing and Assurance Standards Board, IAASB (2024). </w:t>
            </w:r>
            <w:r>
              <w:rPr>
                <w:sz w:val="18"/>
                <w:szCs w:val="18"/>
              </w:rPr>
              <w:t>Norma Internacional sobre Encargos de Aseguramiento de Sostenibilidad 5000. Nueva York.</w:t>
            </w:r>
          </w:p>
          <w:p w14:paraId="1D78BEF6" w14:textId="77777777" w:rsidR="00990B14" w:rsidRDefault="00000000">
            <w:pPr>
              <w:numPr>
                <w:ilvl w:val="0"/>
                <w:numId w:val="140"/>
              </w:numPr>
              <w:spacing w:after="20"/>
              <w:jc w:val="both"/>
            </w:pPr>
            <w:r w:rsidRPr="00BD34F7">
              <w:rPr>
                <w:sz w:val="18"/>
                <w:szCs w:val="18"/>
                <w:lang w:val="en-US"/>
              </w:rPr>
              <w:t xml:space="preserve">International Auditing and Assurance Standards Board, IAASB (2025). </w:t>
            </w:r>
            <w:r>
              <w:rPr>
                <w:i/>
                <w:iCs/>
                <w:sz w:val="18"/>
                <w:szCs w:val="18"/>
              </w:rPr>
              <w:t>Manual de Pronunciamientos Internacionales de Control de Calidad, Auditoría, Revisión, Otros Encargos de Aseguramiento y Servicios Relacionados</w:t>
            </w:r>
            <w:r>
              <w:rPr>
                <w:sz w:val="18"/>
                <w:szCs w:val="18"/>
              </w:rPr>
              <w:t>. Edición 2023-2024, Volumen I, II, III y IV.</w:t>
            </w:r>
          </w:p>
          <w:p w14:paraId="3C42AA40" w14:textId="77777777" w:rsidR="00990B14" w:rsidRDefault="00000000">
            <w:pPr>
              <w:numPr>
                <w:ilvl w:val="0"/>
                <w:numId w:val="140"/>
              </w:numPr>
              <w:spacing w:after="20"/>
              <w:jc w:val="both"/>
            </w:pPr>
            <w:r w:rsidRPr="00BD34F7">
              <w:rPr>
                <w:sz w:val="18"/>
                <w:szCs w:val="18"/>
                <w:lang w:val="en-US"/>
              </w:rPr>
              <w:t xml:space="preserve">International Auditing and Assurance Standards Board, IAASB (2026). </w:t>
            </w:r>
            <w:r w:rsidRPr="00BD34F7">
              <w:rPr>
                <w:i/>
                <w:iCs/>
                <w:sz w:val="18"/>
                <w:szCs w:val="18"/>
                <w:lang w:val="en-US"/>
              </w:rPr>
              <w:t>Handbook of International Quality Control, Auditing, Review, Other Assurance, and Related Services Pronouncements</w:t>
            </w:r>
            <w:r w:rsidRPr="00BD34F7">
              <w:rPr>
                <w:sz w:val="18"/>
                <w:szCs w:val="18"/>
                <w:lang w:val="en-US"/>
              </w:rPr>
              <w:t xml:space="preserve">. </w:t>
            </w:r>
            <w:r>
              <w:rPr>
                <w:sz w:val="18"/>
                <w:szCs w:val="18"/>
              </w:rPr>
              <w:t>2026 Edition, Volume I, II, III, IV and V.</w:t>
            </w:r>
          </w:p>
          <w:p w14:paraId="648A2CA5" w14:textId="77777777" w:rsidR="00990B14" w:rsidRDefault="00000000">
            <w:pPr>
              <w:numPr>
                <w:ilvl w:val="0"/>
                <w:numId w:val="140"/>
              </w:numPr>
              <w:spacing w:after="20"/>
              <w:jc w:val="both"/>
            </w:pPr>
            <w:r w:rsidRPr="00BD34F7">
              <w:rPr>
                <w:sz w:val="18"/>
                <w:szCs w:val="18"/>
                <w:lang w:val="en-US"/>
              </w:rPr>
              <w:t xml:space="preserve">International Ethics Standards Board for Accountants, IESBA (2025). </w:t>
            </w:r>
            <w:r w:rsidRPr="00BD34F7">
              <w:rPr>
                <w:i/>
                <w:iCs/>
                <w:sz w:val="18"/>
                <w:szCs w:val="18"/>
                <w:lang w:val="en-US"/>
              </w:rPr>
              <w:t>Handbook of the International Code of Ethics for Professional Accountants</w:t>
            </w:r>
            <w:r w:rsidRPr="00BD34F7">
              <w:rPr>
                <w:sz w:val="18"/>
                <w:szCs w:val="18"/>
                <w:lang w:val="en-US"/>
              </w:rPr>
              <w:t xml:space="preserve">. </w:t>
            </w:r>
            <w:r>
              <w:rPr>
                <w:sz w:val="18"/>
                <w:szCs w:val="18"/>
              </w:rPr>
              <w:t>2026 Edition, Volume I and II.</w:t>
            </w:r>
          </w:p>
          <w:p w14:paraId="23DF9627" w14:textId="77777777" w:rsidR="00990B14" w:rsidRDefault="00000000">
            <w:pPr>
              <w:numPr>
                <w:ilvl w:val="0"/>
                <w:numId w:val="140"/>
              </w:numPr>
              <w:spacing w:after="20"/>
              <w:jc w:val="both"/>
            </w:pPr>
            <w:r w:rsidRPr="00BD34F7">
              <w:rPr>
                <w:sz w:val="18"/>
                <w:szCs w:val="18"/>
                <w:lang w:val="en-US"/>
              </w:rPr>
              <w:t xml:space="preserve">International Ethics Standards Board for Accountants, IESBA (2025). </w:t>
            </w:r>
            <w:r>
              <w:rPr>
                <w:i/>
                <w:iCs/>
                <w:sz w:val="18"/>
                <w:szCs w:val="18"/>
              </w:rPr>
              <w:t>Manual del Código de Ética para Contadores Profesionales</w:t>
            </w:r>
            <w:r>
              <w:rPr>
                <w:sz w:val="18"/>
                <w:szCs w:val="18"/>
              </w:rPr>
              <w:t>. Edición 2025.</w:t>
            </w:r>
          </w:p>
          <w:p w14:paraId="53901256" w14:textId="77777777" w:rsidR="00990B14" w:rsidRDefault="00000000">
            <w:pPr>
              <w:numPr>
                <w:ilvl w:val="0"/>
                <w:numId w:val="140"/>
              </w:numPr>
              <w:spacing w:after="20"/>
              <w:jc w:val="both"/>
            </w:pPr>
            <w:r>
              <w:rPr>
                <w:sz w:val="18"/>
                <w:szCs w:val="18"/>
              </w:rPr>
              <w:t xml:space="preserve">INTOSAI (s.f.). </w:t>
            </w:r>
            <w:r>
              <w:rPr>
                <w:i/>
                <w:iCs/>
                <w:sz w:val="18"/>
                <w:szCs w:val="18"/>
              </w:rPr>
              <w:t>ISSAI 300 Principios Fundamentales de la Auditoría de Desempeño</w:t>
            </w:r>
            <w:r>
              <w:rPr>
                <w:sz w:val="18"/>
                <w:szCs w:val="18"/>
              </w:rPr>
              <w:t>.</w:t>
            </w:r>
          </w:p>
          <w:p w14:paraId="591C419C" w14:textId="77777777" w:rsidR="00990B14" w:rsidRDefault="00000000">
            <w:pPr>
              <w:numPr>
                <w:ilvl w:val="0"/>
                <w:numId w:val="140"/>
              </w:numPr>
              <w:spacing w:after="20"/>
              <w:jc w:val="both"/>
            </w:pPr>
            <w:r>
              <w:rPr>
                <w:sz w:val="18"/>
                <w:szCs w:val="18"/>
              </w:rPr>
              <w:t xml:space="preserve">INTOSAI (s.f.). </w:t>
            </w:r>
            <w:r>
              <w:rPr>
                <w:i/>
                <w:iCs/>
                <w:sz w:val="18"/>
                <w:szCs w:val="18"/>
              </w:rPr>
              <w:t>ISSAI 3000 Norma de Auditoría de Desempeño</w:t>
            </w:r>
            <w:r>
              <w:rPr>
                <w:sz w:val="18"/>
                <w:szCs w:val="18"/>
              </w:rPr>
              <w:t>.</w:t>
            </w:r>
          </w:p>
          <w:p w14:paraId="2C0DEBBE" w14:textId="77777777" w:rsidR="00990B14" w:rsidRDefault="00000000">
            <w:pPr>
              <w:numPr>
                <w:ilvl w:val="0"/>
                <w:numId w:val="140"/>
              </w:numPr>
              <w:spacing w:after="20"/>
              <w:jc w:val="both"/>
            </w:pPr>
            <w:r>
              <w:rPr>
                <w:sz w:val="18"/>
                <w:szCs w:val="18"/>
              </w:rPr>
              <w:t xml:space="preserve">INTOSAI (s.f.). </w:t>
            </w:r>
            <w:r>
              <w:rPr>
                <w:i/>
                <w:iCs/>
                <w:sz w:val="18"/>
                <w:szCs w:val="18"/>
              </w:rPr>
              <w:t>ISSAI 3000–3100 Directrices de Auditoría de Desempeño</w:t>
            </w:r>
            <w:r>
              <w:rPr>
                <w:sz w:val="18"/>
                <w:szCs w:val="18"/>
              </w:rPr>
              <w:t>.</w:t>
            </w:r>
          </w:p>
          <w:p w14:paraId="2D19AB58" w14:textId="77777777" w:rsidR="00990B14" w:rsidRDefault="00000000">
            <w:pPr>
              <w:numPr>
                <w:ilvl w:val="0"/>
                <w:numId w:val="140"/>
              </w:numPr>
              <w:spacing w:after="20"/>
              <w:jc w:val="both"/>
            </w:pPr>
            <w:r>
              <w:rPr>
                <w:sz w:val="18"/>
                <w:szCs w:val="18"/>
              </w:rPr>
              <w:t>Ley N.º 1178, de Administración y Control Gubernamental, de 20 de julio de 1990.</w:t>
            </w:r>
          </w:p>
          <w:p w14:paraId="4CCF2835" w14:textId="77777777" w:rsidR="00990B14" w:rsidRDefault="00000000">
            <w:pPr>
              <w:numPr>
                <w:ilvl w:val="0"/>
                <w:numId w:val="140"/>
              </w:numPr>
              <w:spacing w:after="20"/>
              <w:jc w:val="both"/>
            </w:pPr>
            <w:r>
              <w:rPr>
                <w:sz w:val="18"/>
                <w:szCs w:val="18"/>
              </w:rPr>
              <w:t>Organización Internacional de Normalización (2018). ISO 31000:2018, Gestión del riesgo, directrices. Ginebra.</w:t>
            </w:r>
          </w:p>
        </w:tc>
      </w:tr>
      <w:tr w:rsidR="00990B14" w14:paraId="2E5426FF" w14:textId="77777777">
        <w:trPr>
          <w:jc w:val="center"/>
        </w:trPr>
        <w:tc>
          <w:tcPr>
            <w:tcW w:w="9405" w:type="dxa"/>
            <w:shd w:val="clear" w:color="auto" w:fill="D9E2F3"/>
          </w:tcPr>
          <w:p w14:paraId="20DA1B47" w14:textId="77777777" w:rsidR="00990B14" w:rsidRDefault="00000000">
            <w:pPr>
              <w:spacing w:before="40" w:after="40"/>
              <w:jc w:val="both"/>
            </w:pPr>
            <w:r>
              <w:rPr>
                <w:b/>
                <w:bCs/>
                <w:i/>
                <w:iCs/>
                <w:sz w:val="18"/>
                <w:szCs w:val="18"/>
              </w:rPr>
              <w:t>Bibliografía complementaria:</w:t>
            </w:r>
          </w:p>
          <w:p w14:paraId="6A553E05" w14:textId="77777777" w:rsidR="00990B14" w:rsidRDefault="00000000">
            <w:pPr>
              <w:numPr>
                <w:ilvl w:val="0"/>
                <w:numId w:val="140"/>
              </w:numPr>
              <w:spacing w:after="20"/>
              <w:jc w:val="both"/>
            </w:pPr>
            <w:r>
              <w:rPr>
                <w:sz w:val="18"/>
                <w:szCs w:val="18"/>
              </w:rPr>
              <w:t xml:space="preserve">Centellas, R. (2002). </w:t>
            </w:r>
            <w:r>
              <w:rPr>
                <w:i/>
                <w:iCs/>
                <w:sz w:val="18"/>
                <w:szCs w:val="18"/>
              </w:rPr>
              <w:t>Auditoría operacional: un instrumento de evaluación integral de las empresas</w:t>
            </w:r>
            <w:r>
              <w:rPr>
                <w:sz w:val="18"/>
                <w:szCs w:val="18"/>
              </w:rPr>
              <w:t>. 2a ed. Bolivia: Artes Gráficas Apolo.</w:t>
            </w:r>
          </w:p>
          <w:p w14:paraId="63392DBD" w14:textId="77777777" w:rsidR="00990B14" w:rsidRDefault="00000000">
            <w:pPr>
              <w:numPr>
                <w:ilvl w:val="0"/>
                <w:numId w:val="140"/>
              </w:numPr>
              <w:spacing w:after="20"/>
              <w:jc w:val="both"/>
            </w:pPr>
            <w:r w:rsidRPr="00BD34F7">
              <w:rPr>
                <w:sz w:val="18"/>
                <w:szCs w:val="18"/>
                <w:lang w:val="en-US"/>
              </w:rPr>
              <w:t xml:space="preserve">Committee of Sponsoring Organizations of the Treadway Commission – PricewaterhouseCoopers; Instituto de Auditores Internos (2013). </w:t>
            </w:r>
            <w:r>
              <w:rPr>
                <w:i/>
                <w:iCs/>
                <w:sz w:val="18"/>
                <w:szCs w:val="18"/>
              </w:rPr>
              <w:t>Control Interno – Marco Integrado</w:t>
            </w:r>
            <w:r>
              <w:rPr>
                <w:sz w:val="18"/>
                <w:szCs w:val="18"/>
              </w:rPr>
              <w:t>.</w:t>
            </w:r>
          </w:p>
          <w:p w14:paraId="239CA964" w14:textId="77777777" w:rsidR="00990B14" w:rsidRDefault="00000000">
            <w:pPr>
              <w:numPr>
                <w:ilvl w:val="0"/>
                <w:numId w:val="140"/>
              </w:numPr>
              <w:spacing w:after="20"/>
              <w:jc w:val="both"/>
            </w:pPr>
            <w:r>
              <w:rPr>
                <w:sz w:val="18"/>
                <w:szCs w:val="18"/>
              </w:rPr>
              <w:t>Contraloría General del Estado de Bolivia: https://www.contraloria.gob.bo e Instituto de Auditores Internos: https://www.theiia.org</w:t>
            </w:r>
          </w:p>
          <w:p w14:paraId="4C1B3339" w14:textId="77777777" w:rsidR="00990B14" w:rsidRDefault="00000000">
            <w:pPr>
              <w:numPr>
                <w:ilvl w:val="0"/>
                <w:numId w:val="140"/>
              </w:numPr>
              <w:spacing w:after="20"/>
              <w:jc w:val="both"/>
            </w:pPr>
            <w:r>
              <w:rPr>
                <w:sz w:val="18"/>
                <w:szCs w:val="18"/>
              </w:rPr>
              <w:t xml:space="preserve">Estupiñán Gaitán, R. (2004). </w:t>
            </w:r>
            <w:r>
              <w:rPr>
                <w:i/>
                <w:iCs/>
                <w:sz w:val="18"/>
                <w:szCs w:val="18"/>
              </w:rPr>
              <w:t>Control Interno y Fraudes</w:t>
            </w:r>
            <w:r>
              <w:rPr>
                <w:sz w:val="18"/>
                <w:szCs w:val="18"/>
              </w:rPr>
              <w:t>. Colombia: ECOE Ediciones.</w:t>
            </w:r>
          </w:p>
          <w:p w14:paraId="4A890000" w14:textId="77777777" w:rsidR="00990B14" w:rsidRDefault="00000000">
            <w:pPr>
              <w:numPr>
                <w:ilvl w:val="0"/>
                <w:numId w:val="140"/>
              </w:numPr>
              <w:spacing w:after="20"/>
              <w:jc w:val="both"/>
            </w:pPr>
            <w:r>
              <w:rPr>
                <w:sz w:val="18"/>
                <w:szCs w:val="18"/>
              </w:rPr>
              <w:t xml:space="preserve">Fleitman, J. (1994). </w:t>
            </w:r>
            <w:r>
              <w:rPr>
                <w:i/>
                <w:iCs/>
                <w:sz w:val="18"/>
                <w:szCs w:val="18"/>
              </w:rPr>
              <w:t>Evaluación Integral</w:t>
            </w:r>
            <w:r>
              <w:rPr>
                <w:sz w:val="18"/>
                <w:szCs w:val="18"/>
              </w:rPr>
              <w:t>. México: Mc Graw Hill.</w:t>
            </w:r>
          </w:p>
          <w:p w14:paraId="04D1E83B" w14:textId="77777777" w:rsidR="00990B14" w:rsidRDefault="00000000">
            <w:pPr>
              <w:numPr>
                <w:ilvl w:val="0"/>
                <w:numId w:val="140"/>
              </w:numPr>
              <w:spacing w:after="20"/>
              <w:jc w:val="both"/>
            </w:pPr>
            <w:r>
              <w:rPr>
                <w:sz w:val="18"/>
                <w:szCs w:val="18"/>
              </w:rPr>
              <w:t xml:space="preserve">Hernández, F. (1997). </w:t>
            </w:r>
            <w:r>
              <w:rPr>
                <w:i/>
                <w:iCs/>
                <w:sz w:val="18"/>
                <w:szCs w:val="18"/>
              </w:rPr>
              <w:t>La Auditoría Operativa como Instrumento en la Decisión Gerencial</w:t>
            </w:r>
            <w:r>
              <w:rPr>
                <w:sz w:val="18"/>
                <w:szCs w:val="18"/>
              </w:rPr>
              <w:t>. Perú: Servicios Gráficos Publicitarios San Marcos.</w:t>
            </w:r>
          </w:p>
          <w:p w14:paraId="03C6C5F3" w14:textId="77777777" w:rsidR="00990B14" w:rsidRDefault="00000000">
            <w:pPr>
              <w:numPr>
                <w:ilvl w:val="0"/>
                <w:numId w:val="140"/>
              </w:numPr>
              <w:spacing w:after="20"/>
              <w:jc w:val="both"/>
            </w:pPr>
            <w:r>
              <w:rPr>
                <w:sz w:val="18"/>
                <w:szCs w:val="18"/>
              </w:rPr>
              <w:t xml:space="preserve">Lazcano, J. M. (1997). </w:t>
            </w:r>
            <w:r>
              <w:rPr>
                <w:i/>
                <w:iCs/>
                <w:sz w:val="18"/>
                <w:szCs w:val="18"/>
              </w:rPr>
              <w:t>El Manejo de las Organizaciones, su Auditoría y su Control</w:t>
            </w:r>
            <w:r>
              <w:rPr>
                <w:sz w:val="18"/>
                <w:szCs w:val="18"/>
              </w:rPr>
              <w:t>. Colombia: Mc Graw Hill.</w:t>
            </w:r>
          </w:p>
          <w:p w14:paraId="7BA4BCB0" w14:textId="77777777" w:rsidR="00990B14" w:rsidRDefault="00000000">
            <w:pPr>
              <w:numPr>
                <w:ilvl w:val="0"/>
                <w:numId w:val="140"/>
              </w:numPr>
              <w:spacing w:after="20"/>
              <w:jc w:val="both"/>
            </w:pPr>
            <w:r>
              <w:rPr>
                <w:sz w:val="18"/>
                <w:szCs w:val="18"/>
              </w:rPr>
              <w:t xml:space="preserve">Martínez Villegas, F. (1975). </w:t>
            </w:r>
            <w:r>
              <w:rPr>
                <w:i/>
                <w:iCs/>
                <w:sz w:val="18"/>
                <w:szCs w:val="18"/>
              </w:rPr>
              <w:t>El Contador Público y la Auditoría Administrativa</w:t>
            </w:r>
            <w:r>
              <w:rPr>
                <w:sz w:val="18"/>
                <w:szCs w:val="18"/>
              </w:rPr>
              <w:t>. México: Litograf.</w:t>
            </w:r>
          </w:p>
          <w:p w14:paraId="79E79BBA" w14:textId="77777777" w:rsidR="00990B14" w:rsidRDefault="00000000">
            <w:pPr>
              <w:numPr>
                <w:ilvl w:val="0"/>
                <w:numId w:val="140"/>
              </w:numPr>
              <w:spacing w:after="20"/>
              <w:jc w:val="both"/>
            </w:pPr>
            <w:r>
              <w:rPr>
                <w:sz w:val="18"/>
                <w:szCs w:val="18"/>
              </w:rPr>
              <w:t xml:space="preserve">Mas, J. y Ramió, C. (1997). </w:t>
            </w:r>
            <w:r>
              <w:rPr>
                <w:i/>
                <w:iCs/>
                <w:sz w:val="18"/>
                <w:szCs w:val="18"/>
              </w:rPr>
              <w:t>La Auditoría Operativa en la Práctica</w:t>
            </w:r>
            <w:r>
              <w:rPr>
                <w:sz w:val="18"/>
                <w:szCs w:val="18"/>
              </w:rPr>
              <w:t>. Barcelona, España: Ediciones Alfa y Omega – Marcombo.</w:t>
            </w:r>
          </w:p>
          <w:p w14:paraId="454E2F13" w14:textId="77777777" w:rsidR="00990B14" w:rsidRDefault="00000000">
            <w:pPr>
              <w:numPr>
                <w:ilvl w:val="0"/>
                <w:numId w:val="140"/>
              </w:numPr>
              <w:spacing w:after="20"/>
              <w:jc w:val="both"/>
            </w:pPr>
            <w:r>
              <w:rPr>
                <w:sz w:val="18"/>
                <w:szCs w:val="18"/>
              </w:rPr>
              <w:t xml:space="preserve">Mendoza, J. (2023). </w:t>
            </w:r>
            <w:r>
              <w:rPr>
                <w:i/>
                <w:iCs/>
                <w:sz w:val="18"/>
                <w:szCs w:val="18"/>
              </w:rPr>
              <w:t>Manual de Auditoría Operacional: un enfoque gerencial</w:t>
            </w:r>
            <w:r>
              <w:rPr>
                <w:sz w:val="18"/>
                <w:szCs w:val="18"/>
              </w:rPr>
              <w:t>. Bolivia.</w:t>
            </w:r>
          </w:p>
          <w:p w14:paraId="6370B328" w14:textId="77777777" w:rsidR="00990B14" w:rsidRDefault="00000000">
            <w:pPr>
              <w:numPr>
                <w:ilvl w:val="0"/>
                <w:numId w:val="140"/>
              </w:numPr>
              <w:spacing w:after="20"/>
              <w:jc w:val="both"/>
            </w:pPr>
            <w:r>
              <w:rPr>
                <w:sz w:val="18"/>
                <w:szCs w:val="18"/>
              </w:rPr>
              <w:t xml:space="preserve">Perel, V., Firastiero, D. y Vaisberg, H. (1994). </w:t>
            </w:r>
            <w:r>
              <w:rPr>
                <w:i/>
                <w:iCs/>
                <w:sz w:val="18"/>
                <w:szCs w:val="18"/>
              </w:rPr>
              <w:t>Auditoría para la Calidad</w:t>
            </w:r>
            <w:r>
              <w:rPr>
                <w:sz w:val="18"/>
                <w:szCs w:val="18"/>
              </w:rPr>
              <w:t>. Argentina: Ediciones Macchi.</w:t>
            </w:r>
          </w:p>
          <w:p w14:paraId="7595FBC4" w14:textId="77777777" w:rsidR="00990B14" w:rsidRDefault="00000000">
            <w:pPr>
              <w:numPr>
                <w:ilvl w:val="0"/>
                <w:numId w:val="140"/>
              </w:numPr>
              <w:spacing w:after="20"/>
              <w:jc w:val="both"/>
            </w:pPr>
            <w:r>
              <w:rPr>
                <w:sz w:val="18"/>
                <w:szCs w:val="18"/>
              </w:rPr>
              <w:t xml:space="preserve">Rusenas, R. (2001). </w:t>
            </w:r>
            <w:r>
              <w:rPr>
                <w:i/>
                <w:iCs/>
                <w:sz w:val="18"/>
                <w:szCs w:val="18"/>
              </w:rPr>
              <w:t>Auditoría Interna y Operativa</w:t>
            </w:r>
            <w:r>
              <w:rPr>
                <w:sz w:val="18"/>
                <w:szCs w:val="18"/>
              </w:rPr>
              <w:t>. Argentina: Ediciones La Ley.</w:t>
            </w:r>
          </w:p>
          <w:p w14:paraId="15E8802C" w14:textId="77777777" w:rsidR="00990B14" w:rsidRDefault="00000000">
            <w:pPr>
              <w:numPr>
                <w:ilvl w:val="0"/>
                <w:numId w:val="140"/>
              </w:numPr>
              <w:spacing w:after="20"/>
              <w:jc w:val="both"/>
            </w:pPr>
            <w:r>
              <w:rPr>
                <w:sz w:val="18"/>
                <w:szCs w:val="18"/>
              </w:rPr>
              <w:t xml:space="preserve">Valeriano Ortiz, L. F. (1997). </w:t>
            </w:r>
            <w:r>
              <w:rPr>
                <w:i/>
                <w:iCs/>
                <w:sz w:val="18"/>
                <w:szCs w:val="18"/>
              </w:rPr>
              <w:t>Auditoría Administrativa</w:t>
            </w:r>
            <w:r>
              <w:rPr>
                <w:sz w:val="18"/>
                <w:szCs w:val="18"/>
              </w:rPr>
              <w:t>. Perú: Servicios Gráficos Publicitarios San Marcos.</w:t>
            </w:r>
          </w:p>
          <w:p w14:paraId="1389D61A" w14:textId="77777777" w:rsidR="00990B14" w:rsidRDefault="00000000">
            <w:pPr>
              <w:numPr>
                <w:ilvl w:val="0"/>
                <w:numId w:val="140"/>
              </w:numPr>
              <w:spacing w:after="20"/>
              <w:jc w:val="both"/>
            </w:pPr>
            <w:r>
              <w:rPr>
                <w:sz w:val="18"/>
                <w:szCs w:val="18"/>
              </w:rPr>
              <w:t xml:space="preserve">Vela Quiroga, G. (2008). </w:t>
            </w:r>
            <w:r>
              <w:rPr>
                <w:i/>
                <w:iCs/>
                <w:sz w:val="18"/>
                <w:szCs w:val="18"/>
              </w:rPr>
              <w:t>La Auditoría Operativa y la Administración o Gestión de Riesgos</w:t>
            </w:r>
            <w:r>
              <w:rPr>
                <w:sz w:val="18"/>
                <w:szCs w:val="18"/>
              </w:rPr>
              <w:t>. La Paz, Bolivia: Imprenta El Clon.</w:t>
            </w:r>
          </w:p>
          <w:p w14:paraId="29E76D2D" w14:textId="77777777" w:rsidR="00990B14" w:rsidRDefault="00000000">
            <w:pPr>
              <w:numPr>
                <w:ilvl w:val="0"/>
                <w:numId w:val="140"/>
              </w:numPr>
              <w:spacing w:after="20"/>
              <w:jc w:val="both"/>
            </w:pPr>
            <w:r w:rsidRPr="00BD34F7">
              <w:rPr>
                <w:sz w:val="18"/>
                <w:szCs w:val="18"/>
                <w:lang w:val="en-US"/>
              </w:rPr>
              <w:t xml:space="preserve">Whittington, R. y Pany, K. (2004). </w:t>
            </w:r>
            <w:r>
              <w:rPr>
                <w:i/>
                <w:iCs/>
                <w:sz w:val="18"/>
                <w:szCs w:val="18"/>
              </w:rPr>
              <w:t>Principios de Auditoría</w:t>
            </w:r>
            <w:r>
              <w:rPr>
                <w:sz w:val="18"/>
                <w:szCs w:val="18"/>
              </w:rPr>
              <w:t>. 14a ed. México: Mc Graw Hill.</w:t>
            </w:r>
          </w:p>
        </w:tc>
      </w:tr>
    </w:tbl>
    <w:p w14:paraId="6D68E1B2" w14:textId="77777777" w:rsidR="00990B14" w:rsidRDefault="00000000">
      <w:pPr>
        <w:pStyle w:val="TituloPlanAsignatura"/>
        <w:keepNext/>
        <w:pageBreakBefore/>
        <w:spacing w:after="120"/>
        <w:jc w:val="center"/>
        <w:outlineLvl w:val="2"/>
      </w:pPr>
      <w:bookmarkStart w:id="184" w:name="_Toc000000125"/>
      <w:r>
        <w:rPr>
          <w:b/>
          <w:bCs/>
          <w:sz w:val="24"/>
          <w:szCs w:val="24"/>
        </w:rPr>
        <w:t>CPA-502 Gabinete de Auditoría Financiera</w:t>
      </w:r>
      <w:bookmarkEnd w:id="184"/>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249"/>
        <w:gridCol w:w="1100"/>
        <w:gridCol w:w="149"/>
        <w:gridCol w:w="635"/>
        <w:gridCol w:w="615"/>
        <w:gridCol w:w="952"/>
        <w:gridCol w:w="298"/>
        <w:gridCol w:w="1250"/>
        <w:gridCol w:w="20"/>
        <w:gridCol w:w="385"/>
        <w:gridCol w:w="398"/>
        <w:gridCol w:w="447"/>
        <w:gridCol w:w="1907"/>
      </w:tblGrid>
      <w:tr w:rsidR="00990B14" w14:paraId="767F7B04" w14:textId="77777777">
        <w:trPr>
          <w:cantSplit/>
          <w:jc w:val="center"/>
        </w:trPr>
        <w:tc>
          <w:tcPr>
            <w:tcW w:w="2349" w:type="dxa"/>
            <w:gridSpan w:val="2"/>
            <w:shd w:val="clear" w:color="auto" w:fill="4472C4"/>
            <w:vAlign w:val="center"/>
          </w:tcPr>
          <w:p w14:paraId="6BA75A6E" w14:textId="77777777" w:rsidR="00990B14" w:rsidRDefault="00000000">
            <w:pPr>
              <w:keepNext/>
              <w:spacing w:before="20" w:after="20"/>
              <w:jc w:val="center"/>
            </w:pPr>
            <w:r>
              <w:rPr>
                <w:b/>
                <w:bCs/>
                <w:i/>
                <w:iCs/>
                <w:color w:val="FFFFFF"/>
                <w:sz w:val="18"/>
                <w:szCs w:val="18"/>
              </w:rPr>
              <w:t>Asignatura</w:t>
            </w:r>
          </w:p>
        </w:tc>
        <w:tc>
          <w:tcPr>
            <w:tcW w:w="2351" w:type="dxa"/>
            <w:gridSpan w:val="4"/>
            <w:shd w:val="clear" w:color="auto" w:fill="4472C4"/>
            <w:vAlign w:val="center"/>
          </w:tcPr>
          <w:p w14:paraId="0E45160A" w14:textId="77777777" w:rsidR="00990B14" w:rsidRDefault="00000000">
            <w:pPr>
              <w:keepNext/>
              <w:spacing w:before="20" w:after="20"/>
              <w:jc w:val="center"/>
            </w:pPr>
            <w:r>
              <w:rPr>
                <w:b/>
                <w:bCs/>
                <w:i/>
                <w:iCs/>
                <w:color w:val="FFFFFF"/>
                <w:sz w:val="18"/>
                <w:szCs w:val="18"/>
              </w:rPr>
              <w:t>Sigla</w:t>
            </w:r>
          </w:p>
        </w:tc>
        <w:tc>
          <w:tcPr>
            <w:tcW w:w="2351" w:type="dxa"/>
            <w:gridSpan w:val="5"/>
            <w:shd w:val="clear" w:color="auto" w:fill="4472C4"/>
            <w:vAlign w:val="center"/>
          </w:tcPr>
          <w:p w14:paraId="0B6B3CA7" w14:textId="77777777" w:rsidR="00990B14" w:rsidRDefault="00000000">
            <w:pPr>
              <w:keepNext/>
              <w:spacing w:before="20" w:after="20"/>
              <w:jc w:val="center"/>
            </w:pPr>
            <w:r>
              <w:rPr>
                <w:b/>
                <w:bCs/>
                <w:i/>
                <w:iCs/>
                <w:color w:val="FFFFFF"/>
                <w:sz w:val="18"/>
                <w:szCs w:val="18"/>
              </w:rPr>
              <w:t>Nivel/Área</w:t>
            </w:r>
          </w:p>
        </w:tc>
        <w:tc>
          <w:tcPr>
            <w:tcW w:w="2354" w:type="dxa"/>
            <w:gridSpan w:val="2"/>
            <w:shd w:val="clear" w:color="auto" w:fill="4472C4"/>
            <w:vAlign w:val="center"/>
          </w:tcPr>
          <w:p w14:paraId="2C027CEE" w14:textId="77777777" w:rsidR="00990B14" w:rsidRDefault="00000000">
            <w:pPr>
              <w:keepNext/>
              <w:spacing w:before="20" w:after="20"/>
              <w:jc w:val="center"/>
            </w:pPr>
            <w:r>
              <w:rPr>
                <w:b/>
                <w:bCs/>
                <w:i/>
                <w:iCs/>
                <w:color w:val="FFFFFF"/>
                <w:sz w:val="18"/>
                <w:szCs w:val="18"/>
              </w:rPr>
              <w:t>Prerrequisito</w:t>
            </w:r>
          </w:p>
        </w:tc>
      </w:tr>
      <w:tr w:rsidR="00990B14" w14:paraId="15E97F45" w14:textId="77777777">
        <w:trPr>
          <w:cantSplit/>
          <w:jc w:val="center"/>
        </w:trPr>
        <w:tc>
          <w:tcPr>
            <w:tcW w:w="2349" w:type="dxa"/>
            <w:gridSpan w:val="2"/>
            <w:shd w:val="clear" w:color="auto" w:fill="D9E2F3"/>
            <w:vAlign w:val="center"/>
          </w:tcPr>
          <w:p w14:paraId="139F5060" w14:textId="77777777" w:rsidR="00990B14" w:rsidRDefault="00000000">
            <w:pPr>
              <w:spacing w:before="20" w:after="20"/>
              <w:jc w:val="center"/>
            </w:pPr>
            <w:r>
              <w:rPr>
                <w:b/>
                <w:bCs/>
                <w:i/>
                <w:iCs/>
                <w:sz w:val="18"/>
                <w:szCs w:val="18"/>
              </w:rPr>
              <w:t>Gabinete de Auditoría Financiera</w:t>
            </w:r>
          </w:p>
        </w:tc>
        <w:tc>
          <w:tcPr>
            <w:tcW w:w="2351" w:type="dxa"/>
            <w:gridSpan w:val="4"/>
            <w:shd w:val="clear" w:color="auto" w:fill="D9E2F3"/>
            <w:vAlign w:val="center"/>
          </w:tcPr>
          <w:p w14:paraId="61DB3988" w14:textId="77777777" w:rsidR="00990B14" w:rsidRDefault="00000000">
            <w:pPr>
              <w:spacing w:before="20" w:after="20"/>
              <w:jc w:val="center"/>
            </w:pPr>
            <w:r>
              <w:rPr>
                <w:b/>
                <w:bCs/>
                <w:i/>
                <w:iCs/>
                <w:sz w:val="18"/>
                <w:szCs w:val="18"/>
              </w:rPr>
              <w:t>CPA-502</w:t>
            </w:r>
          </w:p>
        </w:tc>
        <w:tc>
          <w:tcPr>
            <w:tcW w:w="2351" w:type="dxa"/>
            <w:gridSpan w:val="5"/>
            <w:shd w:val="clear" w:color="auto" w:fill="D9E2F3"/>
            <w:vAlign w:val="center"/>
          </w:tcPr>
          <w:p w14:paraId="323AFB43" w14:textId="77777777" w:rsidR="00990B14" w:rsidRDefault="00000000">
            <w:pPr>
              <w:spacing w:before="20" w:after="20"/>
              <w:jc w:val="center"/>
            </w:pPr>
            <w:r>
              <w:rPr>
                <w:b/>
                <w:bCs/>
                <w:i/>
                <w:iCs/>
                <w:sz w:val="18"/>
                <w:szCs w:val="18"/>
              </w:rPr>
              <w:t>Aseguramiento</w:t>
            </w:r>
          </w:p>
        </w:tc>
        <w:tc>
          <w:tcPr>
            <w:tcW w:w="2354" w:type="dxa"/>
            <w:gridSpan w:val="2"/>
            <w:shd w:val="clear" w:color="auto" w:fill="D9E2F3"/>
            <w:vAlign w:val="center"/>
          </w:tcPr>
          <w:p w14:paraId="1BC5FF8D" w14:textId="77777777" w:rsidR="00990B14" w:rsidRDefault="00000000">
            <w:pPr>
              <w:spacing w:before="20" w:after="20"/>
              <w:jc w:val="center"/>
            </w:pPr>
            <w:r>
              <w:rPr>
                <w:b/>
                <w:bCs/>
                <w:i/>
                <w:iCs/>
                <w:sz w:val="18"/>
                <w:szCs w:val="18"/>
              </w:rPr>
              <w:t>CPA-401 a CPA-408</w:t>
            </w:r>
          </w:p>
        </w:tc>
      </w:tr>
      <w:tr w:rsidR="00990B14" w14:paraId="02E50E94" w14:textId="77777777">
        <w:trPr>
          <w:cantSplit/>
          <w:jc w:val="center"/>
        </w:trPr>
        <w:tc>
          <w:tcPr>
            <w:tcW w:w="7498" w:type="dxa"/>
            <w:gridSpan w:val="12"/>
            <w:shd w:val="clear" w:color="auto" w:fill="4472C4"/>
            <w:vAlign w:val="center"/>
          </w:tcPr>
          <w:p w14:paraId="39C432A3" w14:textId="77777777" w:rsidR="00990B14" w:rsidRDefault="00000000">
            <w:pPr>
              <w:keepNext/>
              <w:spacing w:before="20" w:after="20"/>
              <w:jc w:val="center"/>
            </w:pPr>
            <w:r>
              <w:rPr>
                <w:b/>
                <w:bCs/>
                <w:i/>
                <w:iCs/>
                <w:color w:val="FFFFFF"/>
                <w:sz w:val="18"/>
                <w:szCs w:val="18"/>
              </w:rPr>
              <w:t>Carga Horaria</w:t>
            </w:r>
          </w:p>
        </w:tc>
        <w:tc>
          <w:tcPr>
            <w:tcW w:w="1907" w:type="dxa"/>
            <w:shd w:val="clear" w:color="auto" w:fill="4472C4"/>
            <w:vAlign w:val="center"/>
          </w:tcPr>
          <w:p w14:paraId="36D77660" w14:textId="77777777" w:rsidR="00990B14" w:rsidRDefault="00000000">
            <w:pPr>
              <w:keepNext/>
              <w:spacing w:before="20" w:after="20"/>
              <w:jc w:val="center"/>
            </w:pPr>
            <w:r>
              <w:rPr>
                <w:b/>
                <w:bCs/>
                <w:i/>
                <w:iCs/>
                <w:color w:val="FFFFFF"/>
                <w:sz w:val="18"/>
                <w:szCs w:val="18"/>
              </w:rPr>
              <w:t>Créditos</w:t>
            </w:r>
          </w:p>
        </w:tc>
      </w:tr>
      <w:tr w:rsidR="00990B14" w14:paraId="6FC3A1E9" w14:textId="77777777">
        <w:trPr>
          <w:cantSplit/>
          <w:jc w:val="center"/>
        </w:trPr>
        <w:tc>
          <w:tcPr>
            <w:tcW w:w="1249" w:type="dxa"/>
            <w:shd w:val="clear" w:color="auto" w:fill="4472C4"/>
            <w:vAlign w:val="center"/>
          </w:tcPr>
          <w:p w14:paraId="286D051B" w14:textId="77777777" w:rsidR="00990B14" w:rsidRDefault="00000000">
            <w:pPr>
              <w:keepNext/>
              <w:spacing w:before="20" w:after="20"/>
              <w:jc w:val="center"/>
            </w:pPr>
            <w:r>
              <w:rPr>
                <w:b/>
                <w:bCs/>
                <w:i/>
                <w:iCs/>
                <w:color w:val="FFFFFF"/>
                <w:sz w:val="18"/>
                <w:szCs w:val="18"/>
              </w:rPr>
              <w:t>HP</w:t>
            </w:r>
          </w:p>
        </w:tc>
        <w:tc>
          <w:tcPr>
            <w:tcW w:w="1249" w:type="dxa"/>
            <w:gridSpan w:val="2"/>
            <w:shd w:val="clear" w:color="auto" w:fill="4472C4"/>
            <w:vAlign w:val="center"/>
          </w:tcPr>
          <w:p w14:paraId="79699F45" w14:textId="77777777" w:rsidR="00990B14" w:rsidRDefault="00000000">
            <w:pPr>
              <w:keepNext/>
              <w:spacing w:before="20" w:after="20"/>
              <w:jc w:val="center"/>
            </w:pPr>
            <w:r>
              <w:rPr>
                <w:b/>
                <w:bCs/>
                <w:i/>
                <w:iCs/>
                <w:color w:val="FFFFFF"/>
                <w:sz w:val="18"/>
                <w:szCs w:val="18"/>
              </w:rPr>
              <w:t>HAA</w:t>
            </w:r>
          </w:p>
        </w:tc>
        <w:tc>
          <w:tcPr>
            <w:tcW w:w="1250" w:type="dxa"/>
            <w:gridSpan w:val="2"/>
            <w:shd w:val="clear" w:color="auto" w:fill="4472C4"/>
            <w:vAlign w:val="center"/>
          </w:tcPr>
          <w:p w14:paraId="64100F54" w14:textId="77777777" w:rsidR="00990B14" w:rsidRDefault="00000000">
            <w:pPr>
              <w:keepNext/>
              <w:spacing w:before="20" w:after="20"/>
              <w:jc w:val="center"/>
            </w:pPr>
            <w:r>
              <w:rPr>
                <w:b/>
                <w:bCs/>
                <w:i/>
                <w:iCs/>
                <w:color w:val="FFFFFF"/>
                <w:sz w:val="18"/>
                <w:szCs w:val="18"/>
              </w:rPr>
              <w:t>HTG</w:t>
            </w:r>
          </w:p>
        </w:tc>
        <w:tc>
          <w:tcPr>
            <w:tcW w:w="1250" w:type="dxa"/>
            <w:gridSpan w:val="2"/>
            <w:shd w:val="clear" w:color="auto" w:fill="4472C4"/>
            <w:vAlign w:val="center"/>
          </w:tcPr>
          <w:p w14:paraId="5728EDB2" w14:textId="77777777" w:rsidR="00990B14" w:rsidRDefault="00000000">
            <w:pPr>
              <w:keepNext/>
              <w:spacing w:before="20" w:after="20"/>
              <w:jc w:val="center"/>
            </w:pPr>
            <w:r>
              <w:rPr>
                <w:b/>
                <w:bCs/>
                <w:i/>
                <w:iCs/>
                <w:color w:val="FFFFFF"/>
                <w:sz w:val="18"/>
                <w:szCs w:val="18"/>
              </w:rPr>
              <w:t>HIP</w:t>
            </w:r>
          </w:p>
        </w:tc>
        <w:tc>
          <w:tcPr>
            <w:tcW w:w="1250" w:type="dxa"/>
            <w:shd w:val="clear" w:color="auto" w:fill="4472C4"/>
            <w:vAlign w:val="center"/>
          </w:tcPr>
          <w:p w14:paraId="583399E2" w14:textId="77777777" w:rsidR="00990B14" w:rsidRDefault="00000000">
            <w:pPr>
              <w:keepNext/>
              <w:spacing w:before="20" w:after="20"/>
              <w:jc w:val="center"/>
            </w:pPr>
            <w:r>
              <w:rPr>
                <w:b/>
                <w:bCs/>
                <w:i/>
                <w:iCs/>
                <w:color w:val="FFFFFF"/>
                <w:sz w:val="18"/>
                <w:szCs w:val="18"/>
              </w:rPr>
              <w:t>HE</w:t>
            </w:r>
          </w:p>
        </w:tc>
        <w:tc>
          <w:tcPr>
            <w:tcW w:w="1250" w:type="dxa"/>
            <w:gridSpan w:val="4"/>
            <w:shd w:val="clear" w:color="auto" w:fill="4472C4"/>
            <w:vAlign w:val="center"/>
          </w:tcPr>
          <w:p w14:paraId="4EA3533C" w14:textId="77777777" w:rsidR="00990B14" w:rsidRDefault="00000000">
            <w:pPr>
              <w:keepNext/>
              <w:spacing w:before="20" w:after="20"/>
              <w:jc w:val="center"/>
            </w:pPr>
            <w:r>
              <w:rPr>
                <w:b/>
                <w:bCs/>
                <w:i/>
                <w:iCs/>
                <w:color w:val="FFFFFF"/>
                <w:sz w:val="18"/>
                <w:szCs w:val="18"/>
              </w:rPr>
              <w:t>TOTAL</w:t>
            </w:r>
          </w:p>
        </w:tc>
        <w:tc>
          <w:tcPr>
            <w:tcW w:w="1907" w:type="dxa"/>
            <w:vMerge w:val="restart"/>
            <w:shd w:val="clear" w:color="auto" w:fill="D9E2F3"/>
            <w:vAlign w:val="center"/>
          </w:tcPr>
          <w:p w14:paraId="6ABD005B" w14:textId="77777777" w:rsidR="00990B14" w:rsidRDefault="00000000">
            <w:pPr>
              <w:spacing w:before="20" w:after="20"/>
              <w:jc w:val="center"/>
            </w:pPr>
            <w:r>
              <w:rPr>
                <w:sz w:val="18"/>
                <w:szCs w:val="18"/>
              </w:rPr>
              <w:t>8</w:t>
            </w:r>
          </w:p>
        </w:tc>
      </w:tr>
      <w:tr w:rsidR="00990B14" w14:paraId="7297D133" w14:textId="77777777">
        <w:trPr>
          <w:cantSplit/>
          <w:jc w:val="center"/>
        </w:trPr>
        <w:tc>
          <w:tcPr>
            <w:tcW w:w="1249" w:type="dxa"/>
            <w:shd w:val="clear" w:color="auto" w:fill="D9E2F3"/>
            <w:vAlign w:val="center"/>
          </w:tcPr>
          <w:p w14:paraId="3F275557" w14:textId="77777777" w:rsidR="00990B14" w:rsidRDefault="00000000">
            <w:pPr>
              <w:spacing w:before="20" w:after="20"/>
              <w:jc w:val="center"/>
            </w:pPr>
            <w:r>
              <w:rPr>
                <w:sz w:val="18"/>
                <w:szCs w:val="18"/>
              </w:rPr>
              <w:t>160</w:t>
            </w:r>
          </w:p>
        </w:tc>
        <w:tc>
          <w:tcPr>
            <w:tcW w:w="1249" w:type="dxa"/>
            <w:gridSpan w:val="2"/>
            <w:shd w:val="clear" w:color="auto" w:fill="D9E2F3"/>
            <w:vAlign w:val="center"/>
          </w:tcPr>
          <w:p w14:paraId="6301C172" w14:textId="77777777" w:rsidR="00990B14" w:rsidRDefault="00000000">
            <w:pPr>
              <w:spacing w:before="20" w:after="20"/>
              <w:jc w:val="center"/>
            </w:pPr>
            <w:r>
              <w:rPr>
                <w:sz w:val="18"/>
                <w:szCs w:val="18"/>
              </w:rPr>
              <w:t>16</w:t>
            </w:r>
          </w:p>
        </w:tc>
        <w:tc>
          <w:tcPr>
            <w:tcW w:w="1250" w:type="dxa"/>
            <w:gridSpan w:val="2"/>
            <w:shd w:val="clear" w:color="auto" w:fill="D9E2F3"/>
            <w:vAlign w:val="center"/>
          </w:tcPr>
          <w:p w14:paraId="55672042" w14:textId="77777777" w:rsidR="00990B14" w:rsidRDefault="00000000">
            <w:pPr>
              <w:spacing w:before="20" w:after="20"/>
              <w:jc w:val="center"/>
            </w:pPr>
            <w:r>
              <w:rPr>
                <w:sz w:val="18"/>
                <w:szCs w:val="18"/>
              </w:rPr>
              <w:t>16</w:t>
            </w:r>
          </w:p>
        </w:tc>
        <w:tc>
          <w:tcPr>
            <w:tcW w:w="1250" w:type="dxa"/>
            <w:gridSpan w:val="2"/>
            <w:shd w:val="clear" w:color="auto" w:fill="D9E2F3"/>
            <w:vAlign w:val="center"/>
          </w:tcPr>
          <w:p w14:paraId="704D68C1" w14:textId="77777777" w:rsidR="00990B14" w:rsidRDefault="00000000">
            <w:pPr>
              <w:spacing w:before="20" w:after="20"/>
              <w:jc w:val="center"/>
            </w:pPr>
            <w:r>
              <w:rPr>
                <w:sz w:val="18"/>
                <w:szCs w:val="18"/>
              </w:rPr>
              <w:t>34</w:t>
            </w:r>
          </w:p>
        </w:tc>
        <w:tc>
          <w:tcPr>
            <w:tcW w:w="1250" w:type="dxa"/>
            <w:shd w:val="clear" w:color="auto" w:fill="D9E2F3"/>
            <w:vAlign w:val="center"/>
          </w:tcPr>
          <w:p w14:paraId="64B899B7" w14:textId="77777777" w:rsidR="00990B14" w:rsidRDefault="00000000">
            <w:pPr>
              <w:spacing w:before="20" w:after="20"/>
              <w:jc w:val="center"/>
            </w:pPr>
            <w:r>
              <w:rPr>
                <w:sz w:val="18"/>
                <w:szCs w:val="18"/>
              </w:rPr>
              <w:t>14</w:t>
            </w:r>
          </w:p>
        </w:tc>
        <w:tc>
          <w:tcPr>
            <w:tcW w:w="1250" w:type="dxa"/>
            <w:gridSpan w:val="4"/>
            <w:shd w:val="clear" w:color="auto" w:fill="D9E2F3"/>
            <w:vAlign w:val="center"/>
          </w:tcPr>
          <w:p w14:paraId="18EDE703" w14:textId="77777777" w:rsidR="00990B14" w:rsidRDefault="00000000">
            <w:pPr>
              <w:spacing w:before="20" w:after="20"/>
              <w:jc w:val="center"/>
            </w:pPr>
            <w:r>
              <w:rPr>
                <w:sz w:val="18"/>
                <w:szCs w:val="18"/>
              </w:rPr>
              <w:t>240</w:t>
            </w:r>
          </w:p>
        </w:tc>
        <w:tc>
          <w:tcPr>
            <w:tcW w:w="1907" w:type="dxa"/>
            <w:vMerge/>
            <w:shd w:val="clear" w:color="auto" w:fill="D9E2F3"/>
            <w:vAlign w:val="center"/>
          </w:tcPr>
          <w:p w14:paraId="79C41648" w14:textId="77777777" w:rsidR="00990B14" w:rsidRDefault="00990B14">
            <w:pPr>
              <w:spacing w:before="20" w:after="20"/>
            </w:pPr>
          </w:p>
        </w:tc>
      </w:tr>
      <w:tr w:rsidR="00990B14" w14:paraId="7B087826" w14:textId="77777777">
        <w:trPr>
          <w:cantSplit/>
          <w:jc w:val="center"/>
        </w:trPr>
        <w:tc>
          <w:tcPr>
            <w:tcW w:w="9405" w:type="dxa"/>
            <w:gridSpan w:val="13"/>
            <w:shd w:val="clear" w:color="auto" w:fill="4472C4"/>
            <w:vAlign w:val="center"/>
          </w:tcPr>
          <w:p w14:paraId="454173E8" w14:textId="77777777" w:rsidR="00990B14" w:rsidRDefault="00000000">
            <w:pPr>
              <w:keepNext/>
              <w:spacing w:before="20" w:after="20"/>
              <w:jc w:val="center"/>
            </w:pPr>
            <w:r>
              <w:rPr>
                <w:b/>
                <w:bCs/>
                <w:i/>
                <w:iCs/>
                <w:color w:val="FFFFFF"/>
                <w:sz w:val="18"/>
                <w:szCs w:val="18"/>
              </w:rPr>
              <w:t>Unidad de Competencia</w:t>
            </w:r>
          </w:p>
        </w:tc>
      </w:tr>
      <w:tr w:rsidR="00990B14" w14:paraId="1911E572" w14:textId="77777777">
        <w:trPr>
          <w:cantSplit/>
          <w:jc w:val="center"/>
        </w:trPr>
        <w:tc>
          <w:tcPr>
            <w:tcW w:w="9405" w:type="dxa"/>
            <w:gridSpan w:val="13"/>
            <w:shd w:val="clear" w:color="auto" w:fill="D9E2F3"/>
            <w:vAlign w:val="center"/>
          </w:tcPr>
          <w:p w14:paraId="0EF64717" w14:textId="77777777" w:rsidR="00990B14" w:rsidRDefault="00000000">
            <w:pPr>
              <w:spacing w:before="20" w:after="20"/>
              <w:jc w:val="both"/>
            </w:pPr>
            <w:r>
              <w:rPr>
                <w:sz w:val="18"/>
                <w:szCs w:val="18"/>
              </w:rPr>
              <w:t>Elabora los papeles de trabajo manuales y habilitados con tecnología, el informe del auditor independiente y la carta de recomendaciones de la auditoría de estados financieros de propósito general de una entidad privada, aplicando el Código de Ética para Profesionales de la Contabilidad, con sus disposiciones de independencia, las Normas de Auditoría Generalmente Aceptadas en Bolivia y las Normas de Gestión de la Calidad, evaluando los riesgos de incorrección material y el control interno de la entidad, ejecutando los procedimientos de auditoría en respuesta a los riesgos valorados en cada ciclo de transacciones con herramientas tecnológicas, y simulando la adaptación del trabajo a entidades menos complejas, con escepticismo profesional, independencia, integridad, ética y juicio crítico.</w:t>
            </w:r>
          </w:p>
        </w:tc>
      </w:tr>
      <w:tr w:rsidR="00990B14" w14:paraId="21D405BC" w14:textId="77777777">
        <w:trPr>
          <w:cantSplit/>
          <w:jc w:val="center"/>
        </w:trPr>
        <w:tc>
          <w:tcPr>
            <w:tcW w:w="9405" w:type="dxa"/>
            <w:gridSpan w:val="13"/>
            <w:shd w:val="clear" w:color="auto" w:fill="D9E2F3"/>
            <w:vAlign w:val="center"/>
          </w:tcPr>
          <w:p w14:paraId="5E9C00B5" w14:textId="77777777" w:rsidR="00990B14" w:rsidRDefault="00000000">
            <w:pPr>
              <w:spacing w:before="20" w:after="20"/>
              <w:jc w:val="both"/>
            </w:pPr>
            <w:r>
              <w:rPr>
                <w:b/>
                <w:bCs/>
                <w:i/>
                <w:iCs/>
                <w:sz w:val="18"/>
                <w:szCs w:val="18"/>
              </w:rPr>
              <w:t xml:space="preserve">Elemento de competencia 1: </w:t>
            </w:r>
            <w:r>
              <w:rPr>
                <w:sz w:val="18"/>
                <w:szCs w:val="18"/>
              </w:rPr>
              <w:t>Determina el marco de información financiera aplicable y los requerimientos normativos y éticos del encargo de auditoría del caso práctico extenso, relacionando las Normas de Auditoría Generalmente Aceptadas en Bolivia (que incluyen las Normas Internacionales de Auditoría NIA) con el proceso de auditoría basado en riesgos y simulando su adaptación a entidades menos complejas, con objetividad e independencia.</w:t>
            </w:r>
          </w:p>
        </w:tc>
      </w:tr>
      <w:tr w:rsidR="00990B14" w14:paraId="78978591" w14:textId="77777777">
        <w:trPr>
          <w:cantSplit/>
          <w:jc w:val="center"/>
        </w:trPr>
        <w:tc>
          <w:tcPr>
            <w:tcW w:w="3133" w:type="dxa"/>
            <w:gridSpan w:val="4"/>
            <w:shd w:val="clear" w:color="auto" w:fill="4472C4"/>
            <w:vAlign w:val="center"/>
          </w:tcPr>
          <w:p w14:paraId="5DECB8F0"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5D7FBF81"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08E29C6C" w14:textId="77777777" w:rsidR="00990B14" w:rsidRDefault="00000000">
            <w:pPr>
              <w:keepNext/>
              <w:spacing w:before="20" w:after="20"/>
              <w:jc w:val="center"/>
            </w:pPr>
            <w:r>
              <w:rPr>
                <w:b/>
                <w:bCs/>
                <w:i/>
                <w:iCs/>
                <w:color w:val="FFFFFF"/>
                <w:sz w:val="18"/>
                <w:szCs w:val="18"/>
              </w:rPr>
              <w:t>Evidencias de producto</w:t>
            </w:r>
          </w:p>
        </w:tc>
      </w:tr>
      <w:tr w:rsidR="00990B14" w14:paraId="27946845" w14:textId="77777777">
        <w:trPr>
          <w:cantSplit/>
          <w:jc w:val="center"/>
        </w:trPr>
        <w:tc>
          <w:tcPr>
            <w:tcW w:w="3133" w:type="dxa"/>
            <w:gridSpan w:val="4"/>
            <w:vMerge w:val="restart"/>
            <w:shd w:val="clear" w:color="auto" w:fill="D9E2F3"/>
            <w:vAlign w:val="center"/>
          </w:tcPr>
          <w:p w14:paraId="67EBFD91" w14:textId="77777777" w:rsidR="00990B14" w:rsidRDefault="00000000">
            <w:pPr>
              <w:spacing w:before="20" w:after="20"/>
              <w:jc w:val="both"/>
            </w:pPr>
            <w:r>
              <w:rPr>
                <w:sz w:val="18"/>
                <w:szCs w:val="18"/>
              </w:rPr>
              <w:t>1. Determina el marco de información financiera aplicable y los requerimientos normativos y éticos vigentes del encargo del caso práctico, verificando las revisiones recientes de las normas de auditoría y de gestión de la calidad y sus fechas de vigencia, y sustentando su determinación con objetividad.</w:t>
            </w:r>
          </w:p>
        </w:tc>
        <w:tc>
          <w:tcPr>
            <w:tcW w:w="3135" w:type="dxa"/>
            <w:gridSpan w:val="5"/>
            <w:shd w:val="clear" w:color="auto" w:fill="D9E2F3"/>
            <w:vAlign w:val="center"/>
          </w:tcPr>
          <w:p w14:paraId="636B811C" w14:textId="77777777" w:rsidR="00990B14" w:rsidRDefault="00000000">
            <w:pPr>
              <w:spacing w:before="20" w:after="20"/>
              <w:jc w:val="both"/>
            </w:pPr>
            <w:r>
              <w:rPr>
                <w:sz w:val="18"/>
                <w:szCs w:val="18"/>
              </w:rPr>
              <w:t>1.1 Determina en equipo el marco de información financiera aplicable a la entidad del caso práctico, los requerimientos éticos del encargo y la norma de auditoría que rige cada fase, sustentando su determinación ante el curso</w:t>
            </w:r>
          </w:p>
        </w:tc>
        <w:tc>
          <w:tcPr>
            <w:tcW w:w="3137" w:type="dxa"/>
            <w:gridSpan w:val="4"/>
            <w:shd w:val="clear" w:color="auto" w:fill="D9E2F3"/>
            <w:vAlign w:val="center"/>
          </w:tcPr>
          <w:p w14:paraId="2E44FC6B" w14:textId="77777777" w:rsidR="00990B14" w:rsidRDefault="00000000">
            <w:pPr>
              <w:spacing w:before="20" w:after="20"/>
              <w:jc w:val="both"/>
            </w:pPr>
            <w:r>
              <w:rPr>
                <w:b/>
                <w:bCs/>
                <w:sz w:val="18"/>
                <w:szCs w:val="18"/>
              </w:rPr>
              <w:t xml:space="preserve">Producto 1: </w:t>
            </w:r>
            <w:r>
              <w:rPr>
                <w:sz w:val="18"/>
                <w:szCs w:val="18"/>
              </w:rPr>
              <w:t>Ficha normativa del encargo con el marco de información financiera aplicable y la NIA que rige cada fase de la auditoría.</w:t>
            </w:r>
          </w:p>
        </w:tc>
      </w:tr>
      <w:tr w:rsidR="00990B14" w14:paraId="30C5918D" w14:textId="77777777">
        <w:trPr>
          <w:cantSplit/>
          <w:jc w:val="center"/>
        </w:trPr>
        <w:tc>
          <w:tcPr>
            <w:tcW w:w="3133" w:type="dxa"/>
            <w:gridSpan w:val="4"/>
            <w:vMerge/>
            <w:shd w:val="clear" w:color="auto" w:fill="D9E2F3"/>
            <w:vAlign w:val="center"/>
          </w:tcPr>
          <w:p w14:paraId="0370D8EA" w14:textId="77777777" w:rsidR="00990B14" w:rsidRDefault="00990B14">
            <w:pPr>
              <w:spacing w:before="20" w:after="20"/>
            </w:pPr>
          </w:p>
        </w:tc>
        <w:tc>
          <w:tcPr>
            <w:tcW w:w="3135" w:type="dxa"/>
            <w:gridSpan w:val="5"/>
            <w:shd w:val="clear" w:color="auto" w:fill="D9E2F3"/>
            <w:vAlign w:val="center"/>
          </w:tcPr>
          <w:p w14:paraId="1B3E452E" w14:textId="77777777" w:rsidR="00990B14" w:rsidRDefault="00000000">
            <w:pPr>
              <w:spacing w:before="20" w:after="20"/>
              <w:jc w:val="both"/>
            </w:pPr>
            <w:r>
              <w:rPr>
                <w:sz w:val="18"/>
                <w:szCs w:val="18"/>
              </w:rPr>
              <w:t>1.2 Analiza en aula las revisiones recientes de las normas de auditoría y de gestión de la calidad, precisando sus fechas de vigencia y su efecto en el encargo del caso práctico, y citando las fuentes oficiales</w:t>
            </w:r>
          </w:p>
        </w:tc>
        <w:tc>
          <w:tcPr>
            <w:tcW w:w="3137" w:type="dxa"/>
            <w:gridSpan w:val="4"/>
            <w:shd w:val="clear" w:color="auto" w:fill="D9E2F3"/>
            <w:vAlign w:val="center"/>
          </w:tcPr>
          <w:p w14:paraId="3EF0A3B8" w14:textId="77777777" w:rsidR="00990B14" w:rsidRDefault="00000000">
            <w:pPr>
              <w:spacing w:before="20" w:after="20"/>
              <w:jc w:val="both"/>
            </w:pPr>
            <w:r>
              <w:rPr>
                <w:b/>
                <w:bCs/>
                <w:sz w:val="18"/>
                <w:szCs w:val="18"/>
              </w:rPr>
              <w:t xml:space="preserve">Producto 2: </w:t>
            </w:r>
            <w:r>
              <w:rPr>
                <w:sz w:val="18"/>
                <w:szCs w:val="18"/>
              </w:rPr>
              <w:t>Cuadro de las revisiones recientes de las normas de auditoría y de gestión de la calidad, con sus fechas de vigencia, su efecto en el encargo del caso práctico y las fuentes oficiales.</w:t>
            </w:r>
          </w:p>
        </w:tc>
      </w:tr>
      <w:tr w:rsidR="00990B14" w14:paraId="67DEC245" w14:textId="77777777">
        <w:trPr>
          <w:cantSplit/>
          <w:jc w:val="center"/>
        </w:trPr>
        <w:tc>
          <w:tcPr>
            <w:tcW w:w="3133" w:type="dxa"/>
            <w:gridSpan w:val="4"/>
            <w:vMerge w:val="restart"/>
            <w:shd w:val="clear" w:color="auto" w:fill="D9E2F3"/>
            <w:vAlign w:val="center"/>
          </w:tcPr>
          <w:p w14:paraId="266DA18B" w14:textId="77777777" w:rsidR="00990B14" w:rsidRDefault="00000000">
            <w:pPr>
              <w:spacing w:before="20" w:after="20"/>
              <w:jc w:val="both"/>
            </w:pPr>
            <w:r>
              <w:rPr>
                <w:sz w:val="18"/>
                <w:szCs w:val="18"/>
              </w:rPr>
              <w:t>2. Aplica el proceso de auditoría basado en riesgos al caso práctico, relacionando los componentes del riesgo de auditoría con las aseveraciones (afirmaciones), simulando la adaptación del proceso a entidades menos complejas y actuando con escepticismo profesional.</w:t>
            </w:r>
          </w:p>
        </w:tc>
        <w:tc>
          <w:tcPr>
            <w:tcW w:w="3135" w:type="dxa"/>
            <w:gridSpan w:val="5"/>
            <w:shd w:val="clear" w:color="auto" w:fill="D9E2F3"/>
            <w:vAlign w:val="center"/>
          </w:tcPr>
          <w:p w14:paraId="56DB2ABC" w14:textId="77777777" w:rsidR="00990B14" w:rsidRDefault="00000000">
            <w:pPr>
              <w:spacing w:before="20" w:after="20"/>
              <w:jc w:val="both"/>
            </w:pPr>
            <w:r>
              <w:rPr>
                <w:sz w:val="18"/>
                <w:szCs w:val="18"/>
              </w:rPr>
              <w:t>2.1 Determina en aula el riesgo de detección aceptable de los rubros del caso práctico, relacionando los componentes del riesgo de auditoría con las aseveraciones y sustentando su valoración con escepticismo profesional.</w:t>
            </w:r>
          </w:p>
        </w:tc>
        <w:tc>
          <w:tcPr>
            <w:tcW w:w="3137" w:type="dxa"/>
            <w:gridSpan w:val="4"/>
            <w:shd w:val="clear" w:color="auto" w:fill="D9E2F3"/>
            <w:vAlign w:val="center"/>
          </w:tcPr>
          <w:p w14:paraId="310354F3" w14:textId="77777777" w:rsidR="00990B14" w:rsidRDefault="00000000">
            <w:pPr>
              <w:spacing w:before="20" w:after="20"/>
              <w:jc w:val="both"/>
            </w:pPr>
            <w:r>
              <w:rPr>
                <w:b/>
                <w:bCs/>
                <w:sz w:val="18"/>
                <w:szCs w:val="18"/>
              </w:rPr>
              <w:t xml:space="preserve">Producto 3: </w:t>
            </w:r>
            <w:r>
              <w:rPr>
                <w:sz w:val="18"/>
                <w:szCs w:val="18"/>
              </w:rPr>
              <w:t>Matriz del riesgo de detección aceptable por rubro y aseveración del caso práctico, con la valoración de los componentes del riesgo de auditoría.</w:t>
            </w:r>
          </w:p>
        </w:tc>
      </w:tr>
      <w:tr w:rsidR="00990B14" w14:paraId="6D782268" w14:textId="77777777">
        <w:trPr>
          <w:cantSplit/>
          <w:jc w:val="center"/>
        </w:trPr>
        <w:tc>
          <w:tcPr>
            <w:tcW w:w="3133" w:type="dxa"/>
            <w:gridSpan w:val="4"/>
            <w:vMerge/>
            <w:shd w:val="clear" w:color="auto" w:fill="D9E2F3"/>
            <w:vAlign w:val="center"/>
          </w:tcPr>
          <w:p w14:paraId="67CFC2A8" w14:textId="77777777" w:rsidR="00990B14" w:rsidRDefault="00990B14">
            <w:pPr>
              <w:spacing w:before="20" w:after="20"/>
            </w:pPr>
          </w:p>
        </w:tc>
        <w:tc>
          <w:tcPr>
            <w:tcW w:w="3135" w:type="dxa"/>
            <w:gridSpan w:val="5"/>
            <w:shd w:val="clear" w:color="auto" w:fill="D9E2F3"/>
            <w:vAlign w:val="center"/>
          </w:tcPr>
          <w:p w14:paraId="286B8EF5" w14:textId="77777777" w:rsidR="00990B14" w:rsidRDefault="00000000">
            <w:pPr>
              <w:spacing w:before="20" w:after="20"/>
              <w:jc w:val="both"/>
            </w:pPr>
            <w:r>
              <w:rPr>
                <w:sz w:val="18"/>
                <w:szCs w:val="18"/>
              </w:rPr>
              <w:t>2.2 Adapta en equipo el proceso de auditoría del caso práctico a una entidad menos compleja simulada, comparando las diferencias con el caso y sustentándolas ante el curso.</w:t>
            </w:r>
          </w:p>
        </w:tc>
        <w:tc>
          <w:tcPr>
            <w:tcW w:w="3137" w:type="dxa"/>
            <w:gridSpan w:val="4"/>
            <w:shd w:val="clear" w:color="auto" w:fill="D9E2F3"/>
            <w:vAlign w:val="center"/>
          </w:tcPr>
          <w:p w14:paraId="4158245F" w14:textId="77777777" w:rsidR="00990B14" w:rsidRDefault="00000000">
            <w:pPr>
              <w:spacing w:before="20" w:after="20"/>
              <w:jc w:val="both"/>
            </w:pPr>
            <w:r>
              <w:rPr>
                <w:b/>
                <w:bCs/>
                <w:sz w:val="18"/>
                <w:szCs w:val="18"/>
              </w:rPr>
              <w:t xml:space="preserve">Producto 4: </w:t>
            </w:r>
            <w:r>
              <w:rPr>
                <w:sz w:val="18"/>
                <w:szCs w:val="18"/>
              </w:rPr>
              <w:t>Informe comparativo de la adaptación del proceso de auditoría del caso práctico a una entidad menos compleja simulada.</w:t>
            </w:r>
          </w:p>
        </w:tc>
      </w:tr>
      <w:tr w:rsidR="00990B14" w14:paraId="32706721" w14:textId="77777777">
        <w:trPr>
          <w:cantSplit/>
          <w:jc w:val="center"/>
        </w:trPr>
        <w:tc>
          <w:tcPr>
            <w:tcW w:w="9405" w:type="dxa"/>
            <w:gridSpan w:val="13"/>
            <w:shd w:val="clear" w:color="auto" w:fill="4472C4"/>
            <w:vAlign w:val="center"/>
          </w:tcPr>
          <w:p w14:paraId="34CCDE14" w14:textId="77777777" w:rsidR="00990B14" w:rsidRDefault="00000000">
            <w:pPr>
              <w:keepNext/>
              <w:spacing w:before="20" w:after="20"/>
              <w:jc w:val="center"/>
            </w:pPr>
            <w:r>
              <w:rPr>
                <w:b/>
                <w:bCs/>
                <w:i/>
                <w:iCs/>
                <w:color w:val="FFFFFF"/>
                <w:sz w:val="18"/>
                <w:szCs w:val="18"/>
              </w:rPr>
              <w:t>Evidencias de conocimiento</w:t>
            </w:r>
          </w:p>
        </w:tc>
      </w:tr>
      <w:tr w:rsidR="00990B14" w14:paraId="6C5FE9F1" w14:textId="77777777">
        <w:trPr>
          <w:cantSplit/>
          <w:jc w:val="center"/>
        </w:trPr>
        <w:tc>
          <w:tcPr>
            <w:tcW w:w="2349" w:type="dxa"/>
            <w:gridSpan w:val="2"/>
            <w:shd w:val="clear" w:color="auto" w:fill="4472C4"/>
            <w:vAlign w:val="center"/>
          </w:tcPr>
          <w:p w14:paraId="1D3129DE"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021FEB11" w14:textId="77777777" w:rsidR="00990B14" w:rsidRDefault="00000000">
            <w:pPr>
              <w:keepNext/>
              <w:spacing w:before="20" w:after="20"/>
              <w:jc w:val="both"/>
            </w:pPr>
            <w:r>
              <w:rPr>
                <w:b/>
                <w:bCs/>
                <w:i/>
                <w:iCs/>
                <w:color w:val="FFFFFF"/>
                <w:sz w:val="18"/>
                <w:szCs w:val="18"/>
              </w:rPr>
              <w:t>Contenidos</w:t>
            </w:r>
          </w:p>
          <w:p w14:paraId="1D898E3F"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4122BAAA" w14:textId="77777777" w:rsidR="00990B14" w:rsidRDefault="00000000">
            <w:pPr>
              <w:keepNext/>
              <w:spacing w:before="20" w:after="20"/>
              <w:jc w:val="center"/>
            </w:pPr>
            <w:r>
              <w:rPr>
                <w:b/>
                <w:bCs/>
                <w:i/>
                <w:iCs/>
                <w:color w:val="FFFFFF"/>
                <w:sz w:val="18"/>
                <w:szCs w:val="18"/>
              </w:rPr>
              <w:t>Conocimientos circunstanciales</w:t>
            </w:r>
          </w:p>
        </w:tc>
      </w:tr>
      <w:tr w:rsidR="00990B14" w14:paraId="4E1B8605" w14:textId="77777777">
        <w:trPr>
          <w:jc w:val="center"/>
        </w:trPr>
        <w:tc>
          <w:tcPr>
            <w:tcW w:w="2349" w:type="dxa"/>
            <w:gridSpan w:val="2"/>
            <w:shd w:val="clear" w:color="auto" w:fill="D9E2F3"/>
          </w:tcPr>
          <w:p w14:paraId="369EA8C1" w14:textId="77777777" w:rsidR="00990B14" w:rsidRDefault="00000000">
            <w:pPr>
              <w:spacing w:before="20" w:after="40"/>
              <w:jc w:val="both"/>
            </w:pPr>
            <w:r>
              <w:rPr>
                <w:sz w:val="18"/>
                <w:szCs w:val="18"/>
              </w:rPr>
              <w:t>Tema 1: Estructura de los pronunciamientos profesionales de aseguramiento en el ámbito internacional y en Bolivia</w:t>
            </w:r>
          </w:p>
          <w:p w14:paraId="7FBCC4A8" w14:textId="77777777" w:rsidR="00990B14" w:rsidRDefault="00000000">
            <w:pPr>
              <w:spacing w:before="20" w:after="40"/>
              <w:jc w:val="both"/>
            </w:pPr>
            <w:r>
              <w:rPr>
                <w:sz w:val="18"/>
                <w:szCs w:val="18"/>
              </w:rPr>
              <w:t>Tema 2: Repaso del proceso de auditoría basado en riesgos y su adaptación a entidades menos complejas</w:t>
            </w:r>
          </w:p>
        </w:tc>
        <w:tc>
          <w:tcPr>
            <w:tcW w:w="4304" w:type="dxa"/>
            <w:gridSpan w:val="8"/>
            <w:shd w:val="clear" w:color="auto" w:fill="D9E2F3"/>
          </w:tcPr>
          <w:p w14:paraId="07D16B5A" w14:textId="77777777" w:rsidR="00990B14" w:rsidRDefault="00000000">
            <w:pPr>
              <w:spacing w:before="60" w:after="20"/>
              <w:jc w:val="both"/>
            </w:pPr>
            <w:r>
              <w:rPr>
                <w:b/>
                <w:bCs/>
                <w:sz w:val="18"/>
                <w:szCs w:val="18"/>
              </w:rPr>
              <w:t>Tema 1</w:t>
            </w:r>
          </w:p>
          <w:p w14:paraId="08101B2A" w14:textId="77777777" w:rsidR="00990B14" w:rsidRDefault="00000000">
            <w:pPr>
              <w:spacing w:after="40"/>
              <w:jc w:val="both"/>
            </w:pPr>
            <w:r>
              <w:rPr>
                <w:sz w:val="18"/>
                <w:szCs w:val="18"/>
              </w:rPr>
              <w:t>Estructura de los pronunciamientos internacionales de auditoría, aseguramiento, incluido el de sostenibilidad, y servicios relacionados. (C)</w:t>
            </w:r>
          </w:p>
          <w:p w14:paraId="6CEEC7F6" w14:textId="77777777" w:rsidR="00990B14" w:rsidRDefault="00000000">
            <w:pPr>
              <w:spacing w:after="40"/>
              <w:jc w:val="both"/>
            </w:pPr>
            <w:r>
              <w:rPr>
                <w:sz w:val="18"/>
                <w:szCs w:val="18"/>
              </w:rPr>
              <w:t>Estructura de las Normas de Auditoría Generalmente Aceptadas en Bolivia, su relación con las Normas Internacionales de Auditoría y determinación de la norma que rige cada fase del encargo. (C, P)</w:t>
            </w:r>
          </w:p>
          <w:p w14:paraId="1F7A20EE" w14:textId="77777777" w:rsidR="00990B14" w:rsidRDefault="00000000">
            <w:pPr>
              <w:spacing w:after="40"/>
              <w:jc w:val="both"/>
            </w:pPr>
            <w:r>
              <w:rPr>
                <w:sz w:val="18"/>
                <w:szCs w:val="18"/>
              </w:rPr>
              <w:t>Marco de información financiera aplicable a la entidad del caso práctico: Normas de Contabilidad Generalmente Aceptadas en Bolivia, Normas de Contabilidad NIIF o Norma NIIF para las PYMES. (C, P)</w:t>
            </w:r>
          </w:p>
          <w:p w14:paraId="2B4E07FB" w14:textId="77777777" w:rsidR="00990B14" w:rsidRDefault="00000000">
            <w:pPr>
              <w:spacing w:after="40"/>
              <w:jc w:val="both"/>
            </w:pPr>
            <w:r>
              <w:rPr>
                <w:sz w:val="18"/>
                <w:szCs w:val="18"/>
              </w:rPr>
              <w:t>Código Internacional de Ética para Profesionales de la Contabilidad, con sus principios fundamentales y requerimientos de independencia, y Normas Internacionales de Gestión de la Calidad; actuación del auditor con integridad y objetividad en el encargo. (C, A)</w:t>
            </w:r>
          </w:p>
          <w:p w14:paraId="6B94E087" w14:textId="77777777" w:rsidR="00990B14" w:rsidRDefault="00000000">
            <w:pPr>
              <w:spacing w:after="40"/>
              <w:jc w:val="both"/>
            </w:pPr>
            <w:r>
              <w:rPr>
                <w:sz w:val="18"/>
                <w:szCs w:val="18"/>
              </w:rPr>
              <w:t>Revisiones recientes de las normas de auditoría y de gestión de la calidad, con sus fechas de vigencia y su efecto en el encargo. (C, P)</w:t>
            </w:r>
          </w:p>
          <w:p w14:paraId="49768BA9" w14:textId="77777777" w:rsidR="00990B14" w:rsidRDefault="00000000">
            <w:pPr>
              <w:spacing w:before="60" w:after="20"/>
              <w:jc w:val="both"/>
            </w:pPr>
            <w:r>
              <w:rPr>
                <w:b/>
                <w:bCs/>
                <w:sz w:val="18"/>
                <w:szCs w:val="18"/>
              </w:rPr>
              <w:t>Tema 2</w:t>
            </w:r>
          </w:p>
          <w:p w14:paraId="63D8AC88" w14:textId="77777777" w:rsidR="00990B14" w:rsidRDefault="00000000">
            <w:pPr>
              <w:spacing w:after="40"/>
              <w:jc w:val="both"/>
            </w:pPr>
            <w:r>
              <w:rPr>
                <w:sz w:val="18"/>
                <w:szCs w:val="18"/>
              </w:rPr>
              <w:t>Descripción general del proceso de auditoría basado en riesgos y de la seguridad razonable conforme a la Norma Internacional de Auditoría 200. (C)</w:t>
            </w:r>
          </w:p>
          <w:p w14:paraId="0A5FCAF4" w14:textId="77777777" w:rsidR="00990B14" w:rsidRDefault="00000000">
            <w:pPr>
              <w:spacing w:after="40"/>
              <w:jc w:val="both"/>
            </w:pPr>
            <w:r>
              <w:rPr>
                <w:sz w:val="18"/>
                <w:szCs w:val="18"/>
              </w:rPr>
              <w:t>Fases del proceso de auditoría: evaluación de riesgos, respuesta al riesgo e informe del auditor. (C, P)</w:t>
            </w:r>
          </w:p>
          <w:p w14:paraId="17F9BB8C" w14:textId="77777777" w:rsidR="00990B14" w:rsidRDefault="00000000">
            <w:pPr>
              <w:spacing w:after="40"/>
              <w:jc w:val="both"/>
            </w:pPr>
            <w:r>
              <w:rPr>
                <w:sz w:val="18"/>
                <w:szCs w:val="18"/>
              </w:rPr>
              <w:t>Riesgo de auditoría: componentes e interrelación entre ellos, y su valoración con escepticismo profesional en los rubros del caso práctico. (C, P, A)</w:t>
            </w:r>
          </w:p>
          <w:p w14:paraId="629CB995" w14:textId="77777777" w:rsidR="00990B14" w:rsidRDefault="00000000">
            <w:pPr>
              <w:spacing w:after="40"/>
              <w:jc w:val="both"/>
            </w:pPr>
            <w:r>
              <w:rPr>
                <w:sz w:val="18"/>
                <w:szCs w:val="18"/>
              </w:rPr>
              <w:t>Aseveraciones y su relación con los componentes del riesgo en el enfoque basado en riesgos. (C, P)</w:t>
            </w:r>
          </w:p>
          <w:p w14:paraId="31886D29" w14:textId="77777777" w:rsidR="00990B14" w:rsidRDefault="00000000">
            <w:pPr>
              <w:spacing w:after="40"/>
              <w:jc w:val="both"/>
            </w:pPr>
            <w:r>
              <w:rPr>
                <w:sz w:val="18"/>
                <w:szCs w:val="18"/>
              </w:rPr>
              <w:t>Documentación y beneficios de la auditoría basada en riesgos. (C, P)</w:t>
            </w:r>
          </w:p>
          <w:p w14:paraId="59D0842D" w14:textId="77777777" w:rsidR="00990B14" w:rsidRDefault="00000000">
            <w:pPr>
              <w:spacing w:after="40"/>
              <w:jc w:val="both"/>
            </w:pPr>
            <w:r>
              <w:rPr>
                <w:sz w:val="18"/>
                <w:szCs w:val="18"/>
              </w:rPr>
              <w:t>Adaptación del proceso de auditoría a entidades menos complejas: alcance y limitaciones de uso de la Norma Internacional de Auditoría para estados financieros de entidades menos complejas, y simulación en el caso práctico. (C, P)</w:t>
            </w:r>
          </w:p>
        </w:tc>
        <w:tc>
          <w:tcPr>
            <w:tcW w:w="2752" w:type="dxa"/>
            <w:gridSpan w:val="3"/>
            <w:shd w:val="clear" w:color="auto" w:fill="D9E2F3"/>
          </w:tcPr>
          <w:p w14:paraId="2F6B9AB9" w14:textId="77777777" w:rsidR="00990B14" w:rsidRDefault="00000000">
            <w:pPr>
              <w:numPr>
                <w:ilvl w:val="0"/>
                <w:numId w:val="139"/>
              </w:numPr>
              <w:spacing w:before="10" w:after="10"/>
              <w:jc w:val="both"/>
            </w:pPr>
            <w:r>
              <w:rPr>
                <w:sz w:val="18"/>
                <w:szCs w:val="18"/>
              </w:rPr>
              <w:t>Nociones de la organización interna de una firma de auditoría y de los niveles jerárquicos del equipo del encargo.</w:t>
            </w:r>
          </w:p>
        </w:tc>
      </w:tr>
      <w:tr w:rsidR="00990B14" w14:paraId="14313FE1" w14:textId="77777777">
        <w:trPr>
          <w:cantSplit/>
          <w:jc w:val="center"/>
        </w:trPr>
        <w:tc>
          <w:tcPr>
            <w:tcW w:w="9405" w:type="dxa"/>
            <w:gridSpan w:val="13"/>
            <w:shd w:val="clear" w:color="auto" w:fill="D9E2F3"/>
            <w:vAlign w:val="center"/>
          </w:tcPr>
          <w:p w14:paraId="10F14D5A" w14:textId="77777777" w:rsidR="00990B14" w:rsidRDefault="00000000">
            <w:pPr>
              <w:spacing w:before="20" w:after="20"/>
              <w:jc w:val="both"/>
            </w:pPr>
            <w:r>
              <w:rPr>
                <w:b/>
                <w:bCs/>
                <w:i/>
                <w:iCs/>
                <w:sz w:val="18"/>
                <w:szCs w:val="18"/>
              </w:rPr>
              <w:t xml:space="preserve">Elemento de competencia 2: </w:t>
            </w:r>
            <w:r>
              <w:rPr>
                <w:sz w:val="18"/>
                <w:szCs w:val="18"/>
              </w:rPr>
              <w:t>Planifica el encargo de auditoría del caso práctico conforme a las Normas de Auditoría Generalmente Aceptadas en Bolivia (que son las mismas NIA), evaluando la aceptación del cliente, valorando los riesgos de incorrección material y el control interno de la entidad, y determinando la materialidad y el enfoque de auditoría planificado, con apoyo de herramientas tecnológicas, independencia y escepticismo profesional.</w:t>
            </w:r>
          </w:p>
        </w:tc>
      </w:tr>
      <w:tr w:rsidR="00990B14" w14:paraId="17E6886E" w14:textId="77777777">
        <w:trPr>
          <w:cantSplit/>
          <w:jc w:val="center"/>
        </w:trPr>
        <w:tc>
          <w:tcPr>
            <w:tcW w:w="3133" w:type="dxa"/>
            <w:gridSpan w:val="4"/>
            <w:shd w:val="clear" w:color="auto" w:fill="4472C4"/>
            <w:vAlign w:val="center"/>
          </w:tcPr>
          <w:p w14:paraId="406C4779"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14FEB14B"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09E456E7" w14:textId="77777777" w:rsidR="00990B14" w:rsidRDefault="00000000">
            <w:pPr>
              <w:keepNext/>
              <w:spacing w:before="20" w:after="20"/>
              <w:jc w:val="center"/>
            </w:pPr>
            <w:r>
              <w:rPr>
                <w:b/>
                <w:bCs/>
                <w:i/>
                <w:iCs/>
                <w:color w:val="FFFFFF"/>
                <w:sz w:val="18"/>
                <w:szCs w:val="18"/>
              </w:rPr>
              <w:t>Evidencias de producto</w:t>
            </w:r>
          </w:p>
        </w:tc>
      </w:tr>
      <w:tr w:rsidR="00990B14" w14:paraId="15F2DCD8" w14:textId="77777777">
        <w:trPr>
          <w:cantSplit/>
          <w:jc w:val="center"/>
        </w:trPr>
        <w:tc>
          <w:tcPr>
            <w:tcW w:w="3133" w:type="dxa"/>
            <w:gridSpan w:val="4"/>
            <w:vMerge w:val="restart"/>
            <w:shd w:val="clear" w:color="auto" w:fill="D9E2F3"/>
            <w:vAlign w:val="center"/>
          </w:tcPr>
          <w:p w14:paraId="020C9365" w14:textId="77777777" w:rsidR="00990B14" w:rsidRDefault="00000000">
            <w:pPr>
              <w:spacing w:before="20" w:after="20"/>
              <w:jc w:val="both"/>
            </w:pPr>
            <w:r>
              <w:rPr>
                <w:sz w:val="18"/>
                <w:szCs w:val="18"/>
              </w:rPr>
              <w:t>1. Documenta la aceptación del cliente y del encargo, incluida la evaluación de la independencia, el entendimiento de la entidad del caso práctico y de su entorno, y la valoración de los riesgos inherentes, significativos y de fraude, conforme a las normas de auditoría y con escepticismo profesional.</w:t>
            </w:r>
          </w:p>
        </w:tc>
        <w:tc>
          <w:tcPr>
            <w:tcW w:w="3135" w:type="dxa"/>
            <w:gridSpan w:val="5"/>
            <w:shd w:val="clear" w:color="auto" w:fill="D9E2F3"/>
            <w:vAlign w:val="center"/>
          </w:tcPr>
          <w:p w14:paraId="377F3C58" w14:textId="77777777" w:rsidR="00990B14" w:rsidRDefault="00000000">
            <w:pPr>
              <w:spacing w:before="20" w:after="20"/>
              <w:jc w:val="both"/>
            </w:pPr>
            <w:r>
              <w:rPr>
                <w:sz w:val="18"/>
                <w:szCs w:val="18"/>
              </w:rPr>
              <w:t>1.1 Elabora en equipo los papeles de trabajo de aceptación del cliente, la propuesta de auditoría y la carta de compromiso, evaluando la independencia conforme al Código Internacional de Ética para Profesionales de la Contabilidad y calculando los honorarios.</w:t>
            </w:r>
          </w:p>
        </w:tc>
        <w:tc>
          <w:tcPr>
            <w:tcW w:w="3137" w:type="dxa"/>
            <w:gridSpan w:val="4"/>
            <w:shd w:val="clear" w:color="auto" w:fill="D9E2F3"/>
            <w:vAlign w:val="center"/>
          </w:tcPr>
          <w:p w14:paraId="273ACDB8" w14:textId="77777777" w:rsidR="00990B14" w:rsidRDefault="00000000">
            <w:pPr>
              <w:spacing w:before="20" w:after="20"/>
              <w:jc w:val="both"/>
            </w:pPr>
            <w:r>
              <w:rPr>
                <w:b/>
                <w:bCs/>
                <w:sz w:val="18"/>
                <w:szCs w:val="18"/>
              </w:rPr>
              <w:t xml:space="preserve">Producto 5: </w:t>
            </w:r>
            <w:r>
              <w:rPr>
                <w:sz w:val="18"/>
                <w:szCs w:val="18"/>
              </w:rPr>
              <w:t>Papeles de trabajo de las actividades preliminares con la aceptación del cliente, la evaluación de la independencia, la propuesta de auditoría con sus honorarios y la carta de compromiso.</w:t>
            </w:r>
          </w:p>
        </w:tc>
      </w:tr>
      <w:tr w:rsidR="00990B14" w14:paraId="2D47F607" w14:textId="77777777">
        <w:trPr>
          <w:cantSplit/>
          <w:jc w:val="center"/>
        </w:trPr>
        <w:tc>
          <w:tcPr>
            <w:tcW w:w="3133" w:type="dxa"/>
            <w:gridSpan w:val="4"/>
            <w:vMerge/>
            <w:shd w:val="clear" w:color="auto" w:fill="D9E2F3"/>
            <w:vAlign w:val="center"/>
          </w:tcPr>
          <w:p w14:paraId="210F0B82" w14:textId="77777777" w:rsidR="00990B14" w:rsidRDefault="00990B14">
            <w:pPr>
              <w:spacing w:before="20" w:after="20"/>
            </w:pPr>
          </w:p>
        </w:tc>
        <w:tc>
          <w:tcPr>
            <w:tcW w:w="3135" w:type="dxa"/>
            <w:gridSpan w:val="5"/>
            <w:shd w:val="clear" w:color="auto" w:fill="D9E2F3"/>
            <w:vAlign w:val="center"/>
          </w:tcPr>
          <w:p w14:paraId="5939472D" w14:textId="77777777" w:rsidR="00990B14" w:rsidRDefault="00000000">
            <w:pPr>
              <w:spacing w:before="20" w:after="20"/>
              <w:jc w:val="both"/>
            </w:pPr>
            <w:r>
              <w:rPr>
                <w:sz w:val="18"/>
                <w:szCs w:val="18"/>
              </w:rPr>
              <w:t>1.2 Elabora en aula la matriz de riesgos de incorrección material del caso práctico, partiendo del entendimiento de la entidad y de su entorno, vinculando cada riesgo con las aseveraciones afectadas y con los factores de riesgo de fraude, e identificando los riesgos significativos con escepticismo profesional.</w:t>
            </w:r>
          </w:p>
        </w:tc>
        <w:tc>
          <w:tcPr>
            <w:tcW w:w="3137" w:type="dxa"/>
            <w:gridSpan w:val="4"/>
            <w:shd w:val="clear" w:color="auto" w:fill="D9E2F3"/>
            <w:vAlign w:val="center"/>
          </w:tcPr>
          <w:p w14:paraId="056C7818" w14:textId="77777777" w:rsidR="00990B14" w:rsidRDefault="00000000">
            <w:pPr>
              <w:spacing w:before="20" w:after="20"/>
              <w:jc w:val="both"/>
            </w:pPr>
            <w:r>
              <w:rPr>
                <w:b/>
                <w:bCs/>
                <w:sz w:val="18"/>
                <w:szCs w:val="18"/>
              </w:rPr>
              <w:t xml:space="preserve">Producto 6: </w:t>
            </w:r>
            <w:r>
              <w:rPr>
                <w:sz w:val="18"/>
                <w:szCs w:val="18"/>
              </w:rPr>
              <w:t>Matriz de riesgos de incorrección material del caso práctico, sustentada en el entendimiento de la entidad y de su entorno, con las aseveraciones afectadas, la identificación de los riesgos significativos y los factores de riesgo de fraude.</w:t>
            </w:r>
          </w:p>
        </w:tc>
      </w:tr>
      <w:tr w:rsidR="00990B14" w14:paraId="7D9DF356" w14:textId="77777777">
        <w:trPr>
          <w:cantSplit/>
          <w:jc w:val="center"/>
        </w:trPr>
        <w:tc>
          <w:tcPr>
            <w:tcW w:w="3133" w:type="dxa"/>
            <w:gridSpan w:val="4"/>
            <w:vMerge w:val="restart"/>
            <w:shd w:val="clear" w:color="auto" w:fill="D9E2F3"/>
            <w:vAlign w:val="center"/>
          </w:tcPr>
          <w:p w14:paraId="3CB6450F" w14:textId="77777777" w:rsidR="00990B14" w:rsidRDefault="00000000">
            <w:pPr>
              <w:spacing w:before="20" w:after="20"/>
              <w:jc w:val="both"/>
            </w:pPr>
            <w:r>
              <w:rPr>
                <w:sz w:val="18"/>
                <w:szCs w:val="18"/>
              </w:rPr>
              <w:t>2. Evalúa el diseño y la implementación del control interno de la entidad, incluidos los controles generales de tecnología de la información cuando corresponda, determinando con herramientas tecnológicas la materialidad y el enfoque de auditoría planificado, conforme a las normas de auditoría y con juicio crítico.</w:t>
            </w:r>
          </w:p>
        </w:tc>
        <w:tc>
          <w:tcPr>
            <w:tcW w:w="3135" w:type="dxa"/>
            <w:gridSpan w:val="5"/>
            <w:shd w:val="clear" w:color="auto" w:fill="D9E2F3"/>
            <w:vAlign w:val="center"/>
          </w:tcPr>
          <w:p w14:paraId="3784141C" w14:textId="77777777" w:rsidR="00990B14" w:rsidRDefault="00000000">
            <w:pPr>
              <w:spacing w:before="20" w:after="20"/>
              <w:jc w:val="both"/>
            </w:pPr>
            <w:r>
              <w:rPr>
                <w:sz w:val="18"/>
                <w:szCs w:val="18"/>
              </w:rPr>
              <w:t>2.1 Evalúa en equipo el diseño y la implementación de los controles de los ciclos de transacciones y, cuando corresponda, de los controles generales de tecnología de la información, elaborando flujogramas y narrativas, ejecutando pruebas de recorrido y relacionando los riesgos con los controles clave.</w:t>
            </w:r>
          </w:p>
        </w:tc>
        <w:tc>
          <w:tcPr>
            <w:tcW w:w="3137" w:type="dxa"/>
            <w:gridSpan w:val="4"/>
            <w:shd w:val="clear" w:color="auto" w:fill="D9E2F3"/>
            <w:vAlign w:val="center"/>
          </w:tcPr>
          <w:p w14:paraId="610450D5" w14:textId="77777777" w:rsidR="00990B14" w:rsidRDefault="00000000">
            <w:pPr>
              <w:spacing w:before="20" w:after="20"/>
              <w:jc w:val="both"/>
            </w:pPr>
            <w:r>
              <w:rPr>
                <w:b/>
                <w:bCs/>
                <w:sz w:val="18"/>
                <w:szCs w:val="18"/>
              </w:rPr>
              <w:t xml:space="preserve">Producto 7: </w:t>
            </w:r>
            <w:r>
              <w:rPr>
                <w:sz w:val="18"/>
                <w:szCs w:val="18"/>
              </w:rPr>
              <w:t>Papeles de trabajo de la evaluación del diseño y la implementación del control interno, con flujogramas, narrativas, resultados de las pruebas de recorrido, matriz de riesgos y controles clave y, cuando corresponda, evaluación de los controles generales de tecnología de la información.</w:t>
            </w:r>
          </w:p>
        </w:tc>
      </w:tr>
      <w:tr w:rsidR="00990B14" w14:paraId="1A8B1BC1" w14:textId="77777777">
        <w:trPr>
          <w:cantSplit/>
          <w:jc w:val="center"/>
        </w:trPr>
        <w:tc>
          <w:tcPr>
            <w:tcW w:w="3133" w:type="dxa"/>
            <w:gridSpan w:val="4"/>
            <w:vMerge/>
            <w:shd w:val="clear" w:color="auto" w:fill="D9E2F3"/>
            <w:vAlign w:val="center"/>
          </w:tcPr>
          <w:p w14:paraId="2F8D2307" w14:textId="77777777" w:rsidR="00990B14" w:rsidRDefault="00990B14">
            <w:pPr>
              <w:spacing w:before="20" w:after="20"/>
            </w:pPr>
          </w:p>
        </w:tc>
        <w:tc>
          <w:tcPr>
            <w:tcW w:w="3135" w:type="dxa"/>
            <w:gridSpan w:val="5"/>
            <w:shd w:val="clear" w:color="auto" w:fill="D9E2F3"/>
            <w:vAlign w:val="center"/>
          </w:tcPr>
          <w:p w14:paraId="548595E3" w14:textId="77777777" w:rsidR="00990B14" w:rsidRDefault="00000000">
            <w:pPr>
              <w:spacing w:before="20" w:after="20"/>
              <w:jc w:val="both"/>
            </w:pPr>
            <w:r>
              <w:rPr>
                <w:sz w:val="18"/>
                <w:szCs w:val="18"/>
              </w:rPr>
              <w:t>2.2 Elabora en aula el memorando de planificación del caso práctico, calculando con herramientas tecnológicas la materialidad global, la materialidad de desempeño y el límite de acumulación, aplicando procedimientos analíticos de planificación y definiendo con juicio crítico el enfoque de auditoría planificado.</w:t>
            </w:r>
          </w:p>
        </w:tc>
        <w:tc>
          <w:tcPr>
            <w:tcW w:w="3137" w:type="dxa"/>
            <w:gridSpan w:val="4"/>
            <w:shd w:val="clear" w:color="auto" w:fill="D9E2F3"/>
            <w:vAlign w:val="center"/>
          </w:tcPr>
          <w:p w14:paraId="23D41735" w14:textId="77777777" w:rsidR="00990B14" w:rsidRDefault="00000000">
            <w:pPr>
              <w:spacing w:before="20" w:after="20"/>
              <w:jc w:val="both"/>
            </w:pPr>
            <w:r>
              <w:rPr>
                <w:b/>
                <w:bCs/>
                <w:sz w:val="18"/>
                <w:szCs w:val="18"/>
              </w:rPr>
              <w:t xml:space="preserve">Producto 8: </w:t>
            </w:r>
            <w:r>
              <w:rPr>
                <w:sz w:val="18"/>
                <w:szCs w:val="18"/>
              </w:rPr>
              <w:t>Memorando de planificación del caso práctico con la cédula de materialidad, los procedimientos analíticos de planificación y el enfoque de auditoría planificado.</w:t>
            </w:r>
          </w:p>
        </w:tc>
      </w:tr>
      <w:tr w:rsidR="00990B14" w14:paraId="5A2818CE" w14:textId="77777777">
        <w:trPr>
          <w:cantSplit/>
          <w:jc w:val="center"/>
        </w:trPr>
        <w:tc>
          <w:tcPr>
            <w:tcW w:w="9405" w:type="dxa"/>
            <w:gridSpan w:val="13"/>
            <w:shd w:val="clear" w:color="auto" w:fill="4472C4"/>
            <w:vAlign w:val="center"/>
          </w:tcPr>
          <w:p w14:paraId="65B48A3C" w14:textId="77777777" w:rsidR="00990B14" w:rsidRDefault="00000000">
            <w:pPr>
              <w:keepNext/>
              <w:spacing w:before="20" w:after="20"/>
              <w:jc w:val="center"/>
            </w:pPr>
            <w:r>
              <w:rPr>
                <w:b/>
                <w:bCs/>
                <w:i/>
                <w:iCs/>
                <w:color w:val="FFFFFF"/>
                <w:sz w:val="18"/>
                <w:szCs w:val="18"/>
              </w:rPr>
              <w:t>Evidencias de conocimiento</w:t>
            </w:r>
          </w:p>
        </w:tc>
      </w:tr>
      <w:tr w:rsidR="00990B14" w14:paraId="65A87DFC" w14:textId="77777777">
        <w:trPr>
          <w:cantSplit/>
          <w:jc w:val="center"/>
        </w:trPr>
        <w:tc>
          <w:tcPr>
            <w:tcW w:w="2349" w:type="dxa"/>
            <w:gridSpan w:val="2"/>
            <w:shd w:val="clear" w:color="auto" w:fill="4472C4"/>
            <w:vAlign w:val="center"/>
          </w:tcPr>
          <w:p w14:paraId="4F4C7E16"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448DF75F" w14:textId="77777777" w:rsidR="00990B14" w:rsidRDefault="00000000">
            <w:pPr>
              <w:keepNext/>
              <w:spacing w:before="20" w:after="20"/>
              <w:jc w:val="both"/>
            </w:pPr>
            <w:r>
              <w:rPr>
                <w:b/>
                <w:bCs/>
                <w:i/>
                <w:iCs/>
                <w:color w:val="FFFFFF"/>
                <w:sz w:val="18"/>
                <w:szCs w:val="18"/>
              </w:rPr>
              <w:t>Contenidos</w:t>
            </w:r>
          </w:p>
          <w:p w14:paraId="1557C823"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63A5AB46" w14:textId="77777777" w:rsidR="00990B14" w:rsidRDefault="00000000">
            <w:pPr>
              <w:keepNext/>
              <w:spacing w:before="20" w:after="20"/>
              <w:jc w:val="center"/>
            </w:pPr>
            <w:r>
              <w:rPr>
                <w:b/>
                <w:bCs/>
                <w:i/>
                <w:iCs/>
                <w:color w:val="FFFFFF"/>
                <w:sz w:val="18"/>
                <w:szCs w:val="18"/>
              </w:rPr>
              <w:t>Conocimientos circunstanciales</w:t>
            </w:r>
          </w:p>
        </w:tc>
      </w:tr>
      <w:tr w:rsidR="00990B14" w14:paraId="08849586" w14:textId="77777777">
        <w:trPr>
          <w:jc w:val="center"/>
        </w:trPr>
        <w:tc>
          <w:tcPr>
            <w:tcW w:w="2349" w:type="dxa"/>
            <w:gridSpan w:val="2"/>
            <w:shd w:val="clear" w:color="auto" w:fill="D9E2F3"/>
          </w:tcPr>
          <w:p w14:paraId="0BF6196C" w14:textId="77777777" w:rsidR="00990B14" w:rsidRDefault="00000000">
            <w:pPr>
              <w:spacing w:before="20" w:after="40"/>
              <w:jc w:val="both"/>
            </w:pPr>
            <w:r>
              <w:rPr>
                <w:sz w:val="18"/>
                <w:szCs w:val="18"/>
              </w:rPr>
              <w:t>Tema 3: Evaluación del riesgo – descripción general Tema 4: Aceptación y continuidad del cliente y del encargo de auditoría Tema 5: Papeles de trabajo de las actividades preliminares Tema 6: Estrategia general de la auditoría Tema 7: Procedimientos de valoración del riesgo Tema 8: Riesgos inherentes – identificación Tema 9: Riesgos inherentes – valoración Tema 10: Riesgos significativos y riesgos de fraude Tema 11: Control interno – propósito y componentes Tema 12: Evaluación del diseño y la implementación del control interno Tema 13: Aseveraciones de los estados financieros Tema 14: Procedimientos analíticos de planificación Tema 15: Materialidad y riesgo de auditoría Tema 16: Conclusiones de la fase de evaluación del riesgo Tema 17: Papeles de trabajo de la planificación</w:t>
            </w:r>
          </w:p>
        </w:tc>
        <w:tc>
          <w:tcPr>
            <w:tcW w:w="4304" w:type="dxa"/>
            <w:gridSpan w:val="8"/>
            <w:shd w:val="clear" w:color="auto" w:fill="D9E2F3"/>
          </w:tcPr>
          <w:p w14:paraId="7B39F4C9" w14:textId="77777777" w:rsidR="00990B14" w:rsidRDefault="00000000">
            <w:pPr>
              <w:spacing w:before="60" w:after="20"/>
              <w:jc w:val="both"/>
            </w:pPr>
            <w:r>
              <w:rPr>
                <w:b/>
                <w:bCs/>
                <w:sz w:val="18"/>
                <w:szCs w:val="18"/>
              </w:rPr>
              <w:t>Tema 3</w:t>
            </w:r>
          </w:p>
          <w:p w14:paraId="7970B7D4" w14:textId="77777777" w:rsidR="00990B14" w:rsidRDefault="00000000">
            <w:pPr>
              <w:spacing w:after="40"/>
              <w:jc w:val="both"/>
            </w:pPr>
            <w:r>
              <w:rPr>
                <w:sz w:val="18"/>
                <w:szCs w:val="18"/>
              </w:rPr>
              <w:t>Generalidades y actividades que comprende la fase de evaluación del riesgo. (C, P)</w:t>
            </w:r>
          </w:p>
          <w:p w14:paraId="7449471C" w14:textId="77777777" w:rsidR="00990B14" w:rsidRDefault="00000000">
            <w:pPr>
              <w:spacing w:before="60" w:after="20"/>
              <w:jc w:val="both"/>
            </w:pPr>
            <w:r>
              <w:rPr>
                <w:b/>
                <w:bCs/>
                <w:sz w:val="18"/>
                <w:szCs w:val="18"/>
              </w:rPr>
              <w:t>Tema 4</w:t>
            </w:r>
          </w:p>
          <w:p w14:paraId="3A39EA31" w14:textId="77777777" w:rsidR="00990B14" w:rsidRDefault="00000000">
            <w:pPr>
              <w:spacing w:after="40"/>
              <w:jc w:val="both"/>
            </w:pPr>
            <w:r>
              <w:rPr>
                <w:sz w:val="18"/>
                <w:szCs w:val="18"/>
              </w:rPr>
              <w:t>Requerimientos de la Norma Internacional de Gestión de la Calidad 1 sobre la aceptación y continuidad de clientes y encargos; evaluación preliminar del riesgo del cliente. (C, P)</w:t>
            </w:r>
          </w:p>
          <w:p w14:paraId="5ADA3EBA" w14:textId="77777777" w:rsidR="00990B14" w:rsidRDefault="00000000">
            <w:pPr>
              <w:spacing w:after="40"/>
              <w:jc w:val="both"/>
            </w:pPr>
            <w:r>
              <w:rPr>
                <w:sz w:val="18"/>
                <w:szCs w:val="18"/>
              </w:rPr>
              <w:t>Condiciones previas a la auditoría: cumplimiento de los requerimientos éticos y de independencia de la firma y del equipo a comprometer, con identificación de amenazas y aplicación de salvaguardas con objetividad; valoración de riesgos profesionales. (C, P, A)</w:t>
            </w:r>
          </w:p>
          <w:p w14:paraId="01A5591D" w14:textId="77777777" w:rsidR="00990B14" w:rsidRDefault="00000000">
            <w:pPr>
              <w:spacing w:after="40"/>
              <w:jc w:val="both"/>
            </w:pPr>
            <w:r>
              <w:rPr>
                <w:sz w:val="18"/>
                <w:szCs w:val="18"/>
              </w:rPr>
              <w:t>Términos del encargo, carta de compromiso y su actualización conforme a la Norma Internacional de Auditoría 210. (C, P)</w:t>
            </w:r>
          </w:p>
          <w:p w14:paraId="3F586475" w14:textId="77777777" w:rsidR="00990B14" w:rsidRDefault="00000000">
            <w:pPr>
              <w:spacing w:before="60" w:after="20"/>
              <w:jc w:val="both"/>
            </w:pPr>
            <w:r>
              <w:rPr>
                <w:b/>
                <w:bCs/>
                <w:sz w:val="18"/>
                <w:szCs w:val="18"/>
              </w:rPr>
              <w:t>Tema 5</w:t>
            </w:r>
          </w:p>
          <w:p w14:paraId="3D12BBD0" w14:textId="77777777" w:rsidR="00990B14" w:rsidRDefault="00000000">
            <w:pPr>
              <w:spacing w:after="40"/>
              <w:jc w:val="both"/>
            </w:pPr>
            <w:r>
              <w:rPr>
                <w:sz w:val="18"/>
                <w:szCs w:val="18"/>
              </w:rPr>
              <w:t>Papeles de trabajo de la aceptación del cliente y de la evaluación del cumplimiento de los requerimientos éticos y de independencia. (P)</w:t>
            </w:r>
          </w:p>
          <w:p w14:paraId="12BC01AB" w14:textId="77777777" w:rsidR="00990B14" w:rsidRDefault="00000000">
            <w:pPr>
              <w:spacing w:after="40"/>
              <w:jc w:val="both"/>
            </w:pPr>
            <w:r>
              <w:rPr>
                <w:sz w:val="18"/>
                <w:szCs w:val="18"/>
              </w:rPr>
              <w:t>Propuesta de auditoría, definición y cálculo de honorarios y su documentación. (P)</w:t>
            </w:r>
          </w:p>
          <w:p w14:paraId="5198AE33" w14:textId="77777777" w:rsidR="00990B14" w:rsidRDefault="00000000">
            <w:pPr>
              <w:spacing w:before="60" w:after="20"/>
              <w:jc w:val="both"/>
            </w:pPr>
            <w:r>
              <w:rPr>
                <w:b/>
                <w:bCs/>
                <w:sz w:val="18"/>
                <w:szCs w:val="18"/>
              </w:rPr>
              <w:t>Tema 6</w:t>
            </w:r>
          </w:p>
          <w:p w14:paraId="695FB364" w14:textId="77777777" w:rsidR="00990B14" w:rsidRDefault="00000000">
            <w:pPr>
              <w:spacing w:after="40"/>
              <w:jc w:val="both"/>
            </w:pPr>
            <w:r>
              <w:rPr>
                <w:sz w:val="18"/>
                <w:szCs w:val="18"/>
              </w:rPr>
              <w:t>Estrategia general de la auditoría y asignación de recursos conforme a la Norma Internacional de Auditoría 300. (C, P)</w:t>
            </w:r>
          </w:p>
          <w:p w14:paraId="1771ED81" w14:textId="77777777" w:rsidR="00990B14" w:rsidRDefault="00000000">
            <w:pPr>
              <w:spacing w:after="40"/>
              <w:jc w:val="both"/>
            </w:pPr>
            <w:r>
              <w:rPr>
                <w:sz w:val="18"/>
                <w:szCs w:val="18"/>
              </w:rPr>
              <w:t>Los cuatro pasos de la planificación; comunicación del plan de auditoría a la administración y a los responsables del gobierno de la entidad y su documentación. (P)</w:t>
            </w:r>
          </w:p>
          <w:p w14:paraId="08B1301B" w14:textId="77777777" w:rsidR="00990B14" w:rsidRDefault="00000000">
            <w:pPr>
              <w:spacing w:before="60" w:after="20"/>
              <w:jc w:val="both"/>
            </w:pPr>
            <w:r>
              <w:rPr>
                <w:b/>
                <w:bCs/>
                <w:sz w:val="18"/>
                <w:szCs w:val="18"/>
              </w:rPr>
              <w:t>Tema 7</w:t>
            </w:r>
          </w:p>
          <w:p w14:paraId="108F1ECE" w14:textId="77777777" w:rsidR="00990B14" w:rsidRDefault="00000000">
            <w:pPr>
              <w:spacing w:after="40"/>
              <w:jc w:val="both"/>
            </w:pPr>
            <w:r>
              <w:rPr>
                <w:sz w:val="18"/>
                <w:szCs w:val="18"/>
              </w:rPr>
              <w:t>Conocimiento de la entidad y de su entorno conforme al Anexo 1 de la Norma Internacional de Auditoría 315 y naturaleza de la evidencia de auditoría. (C, P)</w:t>
            </w:r>
          </w:p>
          <w:p w14:paraId="5D9D71A4" w14:textId="77777777" w:rsidR="00990B14" w:rsidRDefault="00000000">
            <w:pPr>
              <w:spacing w:after="40"/>
              <w:jc w:val="both"/>
            </w:pPr>
            <w:r>
              <w:rPr>
                <w:sz w:val="18"/>
                <w:szCs w:val="18"/>
              </w:rPr>
              <w:t>Procedimientos requeridos de valoración del riesgo y determinación de los riesgos relevantes a una auditoría de estados financieros. (P)</w:t>
            </w:r>
          </w:p>
          <w:p w14:paraId="7C1D923E" w14:textId="77777777" w:rsidR="00990B14" w:rsidRDefault="00000000">
            <w:pPr>
              <w:spacing w:after="40"/>
              <w:jc w:val="both"/>
            </w:pPr>
            <w:r>
              <w:rPr>
                <w:sz w:val="18"/>
                <w:szCs w:val="18"/>
              </w:rPr>
              <w:t>Indagaciones a la administración y a otros, observación e inspección y otros procedimientos de valoración del riesgo. (P)</w:t>
            </w:r>
          </w:p>
          <w:p w14:paraId="1580436C" w14:textId="77777777" w:rsidR="00990B14" w:rsidRDefault="00000000">
            <w:pPr>
              <w:spacing w:after="40"/>
              <w:jc w:val="both"/>
            </w:pPr>
            <w:r>
              <w:rPr>
                <w:sz w:val="18"/>
                <w:szCs w:val="18"/>
              </w:rPr>
              <w:t>Fuentes de información sobre la entidad y fuentes de riesgo. (P)</w:t>
            </w:r>
          </w:p>
          <w:p w14:paraId="74A7331D" w14:textId="77777777" w:rsidR="00990B14" w:rsidRDefault="00000000">
            <w:pPr>
              <w:spacing w:after="40"/>
              <w:jc w:val="both"/>
            </w:pPr>
            <w:r>
              <w:rPr>
                <w:sz w:val="18"/>
                <w:szCs w:val="18"/>
              </w:rPr>
              <w:t>Tipos de riesgos, riesgos de negocios y su diferenciación con los riesgos a nivel de estados financieros y de aseveraciones. (C)</w:t>
            </w:r>
          </w:p>
          <w:p w14:paraId="4D60D82B" w14:textId="77777777" w:rsidR="00990B14" w:rsidRDefault="00000000">
            <w:pPr>
              <w:spacing w:after="40"/>
              <w:jc w:val="both"/>
            </w:pPr>
            <w:r>
              <w:rPr>
                <w:sz w:val="18"/>
                <w:szCs w:val="18"/>
              </w:rPr>
              <w:t>Identificación de las partes vinculadas y de sus transacciones en la entidad del caso práctico conforme a la Norma Internacional de Auditoría 550. (P)</w:t>
            </w:r>
          </w:p>
          <w:p w14:paraId="1751D48C" w14:textId="77777777" w:rsidR="00990B14" w:rsidRDefault="00000000">
            <w:pPr>
              <w:spacing w:after="40"/>
              <w:jc w:val="both"/>
            </w:pPr>
            <w:r>
              <w:rPr>
                <w:sz w:val="18"/>
                <w:szCs w:val="18"/>
              </w:rPr>
              <w:t>Identificación de las disposiciones legales y reglamentarias con efecto directo en los estados financieros del caso práctico conforme a la Norma Internacional de Auditoría 250. (P)</w:t>
            </w:r>
          </w:p>
          <w:p w14:paraId="3953BA0E" w14:textId="77777777" w:rsidR="00990B14" w:rsidRDefault="00000000">
            <w:pPr>
              <w:spacing w:before="60" w:after="20"/>
              <w:jc w:val="both"/>
            </w:pPr>
            <w:r>
              <w:rPr>
                <w:b/>
                <w:bCs/>
                <w:sz w:val="18"/>
                <w:szCs w:val="18"/>
              </w:rPr>
              <w:t>Tema 8</w:t>
            </w:r>
          </w:p>
          <w:p w14:paraId="5C157198" w14:textId="77777777" w:rsidR="00990B14" w:rsidRDefault="00000000">
            <w:pPr>
              <w:spacing w:after="40"/>
              <w:jc w:val="both"/>
            </w:pPr>
            <w:r>
              <w:rPr>
                <w:sz w:val="18"/>
                <w:szCs w:val="18"/>
              </w:rPr>
              <w:t>Factores de riesgo inherente y espectro de riesgo inherente. (C)</w:t>
            </w:r>
          </w:p>
          <w:p w14:paraId="3DB3AB23" w14:textId="77777777" w:rsidR="00990B14" w:rsidRDefault="00000000">
            <w:pPr>
              <w:spacing w:after="40"/>
              <w:jc w:val="both"/>
            </w:pPr>
            <w:r>
              <w:rPr>
                <w:sz w:val="18"/>
                <w:szCs w:val="18"/>
              </w:rPr>
              <w:t>Identificación de los factores de riesgo inherente, aplicación práctica de la Norma Internacional de Auditoría 315 y documentación del proceso de identificación de riesgos. (P)</w:t>
            </w:r>
          </w:p>
          <w:p w14:paraId="30B92C2B" w14:textId="77777777" w:rsidR="00990B14" w:rsidRDefault="00000000">
            <w:pPr>
              <w:spacing w:before="60" w:after="20"/>
              <w:jc w:val="both"/>
            </w:pPr>
            <w:r>
              <w:rPr>
                <w:b/>
                <w:bCs/>
                <w:sz w:val="18"/>
                <w:szCs w:val="18"/>
              </w:rPr>
              <w:t>Tema 9</w:t>
            </w:r>
          </w:p>
          <w:p w14:paraId="4AE027EA" w14:textId="77777777" w:rsidR="00990B14" w:rsidRDefault="00000000">
            <w:pPr>
              <w:spacing w:after="40"/>
              <w:jc w:val="both"/>
            </w:pPr>
            <w:r>
              <w:rPr>
                <w:sz w:val="18"/>
                <w:szCs w:val="18"/>
              </w:rPr>
              <w:t>Valoración de los riesgos: probabilidad de ocurrencia, impacto monetario y valoraciones de riesgo realizadas por la entidad. (P)</w:t>
            </w:r>
          </w:p>
          <w:p w14:paraId="146821FD" w14:textId="77777777" w:rsidR="00990B14" w:rsidRDefault="00000000">
            <w:pPr>
              <w:spacing w:after="40"/>
              <w:jc w:val="both"/>
            </w:pPr>
            <w:r>
              <w:rPr>
                <w:sz w:val="18"/>
                <w:szCs w:val="18"/>
              </w:rPr>
              <w:t>Factores a considerar en la valoración de los riesgos y valoración del riesgo de auditoría a nivel de aseveración. (P)</w:t>
            </w:r>
          </w:p>
          <w:p w14:paraId="79ECA28D" w14:textId="77777777" w:rsidR="00990B14" w:rsidRDefault="00000000">
            <w:pPr>
              <w:spacing w:after="40"/>
              <w:jc w:val="both"/>
            </w:pPr>
            <w:r>
              <w:rPr>
                <w:sz w:val="18"/>
                <w:szCs w:val="18"/>
              </w:rPr>
              <w:t>Documentación de los riesgos valorados y de los riesgos significativos. (P)</w:t>
            </w:r>
          </w:p>
          <w:p w14:paraId="0624EB8B" w14:textId="77777777" w:rsidR="00990B14" w:rsidRDefault="00000000">
            <w:pPr>
              <w:spacing w:before="60" w:after="20"/>
              <w:jc w:val="both"/>
            </w:pPr>
            <w:r>
              <w:rPr>
                <w:b/>
                <w:bCs/>
                <w:sz w:val="18"/>
                <w:szCs w:val="18"/>
              </w:rPr>
              <w:t>Tema 10</w:t>
            </w:r>
          </w:p>
          <w:p w14:paraId="516CF1C3" w14:textId="77777777" w:rsidR="00990B14" w:rsidRDefault="00000000">
            <w:pPr>
              <w:spacing w:after="40"/>
              <w:jc w:val="both"/>
            </w:pPr>
            <w:r>
              <w:rPr>
                <w:sz w:val="18"/>
                <w:szCs w:val="18"/>
              </w:rPr>
              <w:t>Determinación de los riesgos significativos y áreas a considerar. (P)</w:t>
            </w:r>
          </w:p>
          <w:p w14:paraId="5B839D81" w14:textId="77777777" w:rsidR="00990B14" w:rsidRDefault="00000000">
            <w:pPr>
              <w:spacing w:after="40"/>
              <w:jc w:val="both"/>
            </w:pPr>
            <w:r>
              <w:rPr>
                <w:sz w:val="18"/>
                <w:szCs w:val="18"/>
              </w:rPr>
              <w:t>Respuesta a los riesgos significativos: evaluación del diseño y la implementación del control interno y diseño de la respuesta de auditoría. (P)</w:t>
            </w:r>
          </w:p>
          <w:p w14:paraId="633E4BA2" w14:textId="77777777" w:rsidR="00990B14" w:rsidRDefault="00000000">
            <w:pPr>
              <w:spacing w:after="40"/>
              <w:jc w:val="both"/>
            </w:pPr>
            <w:r>
              <w:rPr>
                <w:sz w:val="18"/>
                <w:szCs w:val="18"/>
              </w:rPr>
              <w:t>Respuesta específica a los riesgos significativos con procedimientos sustantivos; insuficiencia de los procedimientos analíticos sustantivos como única respuesta; improcedencia de confiar en la evidencia de auditorías anteriores. (C)</w:t>
            </w:r>
          </w:p>
          <w:p w14:paraId="67E863A9" w14:textId="77777777" w:rsidR="00990B14" w:rsidRDefault="00000000">
            <w:pPr>
              <w:spacing w:after="40"/>
              <w:jc w:val="both"/>
            </w:pPr>
            <w:r>
              <w:rPr>
                <w:sz w:val="18"/>
                <w:szCs w:val="18"/>
              </w:rPr>
              <w:t>Riesgo de fraude: tipos y características del fraude, triángulo del fraude y responsabilidades del equipo del encargo conforme a la Norma Internacional de Auditoría 240; actuación con escepticismo profesional ante los factores de riesgo de fraude. (C, A)</w:t>
            </w:r>
          </w:p>
          <w:p w14:paraId="5944341E" w14:textId="77777777" w:rsidR="00990B14" w:rsidRDefault="00000000">
            <w:pPr>
              <w:spacing w:before="60" w:after="20"/>
              <w:jc w:val="both"/>
            </w:pPr>
            <w:r>
              <w:rPr>
                <w:b/>
                <w:bCs/>
                <w:sz w:val="18"/>
                <w:szCs w:val="18"/>
              </w:rPr>
              <w:t>Tema 11</w:t>
            </w:r>
          </w:p>
          <w:p w14:paraId="2890480E" w14:textId="77777777" w:rsidR="00990B14" w:rsidRDefault="00000000">
            <w:pPr>
              <w:spacing w:after="40"/>
              <w:jc w:val="both"/>
            </w:pPr>
            <w:r>
              <w:rPr>
                <w:sz w:val="18"/>
                <w:szCs w:val="18"/>
              </w:rPr>
              <w:t>Objetivos del control interno y sus componentes y principios: ambiente de control, evaluación de riesgos, actividades de control, información y comunicación y supervisión. (C)</w:t>
            </w:r>
          </w:p>
          <w:p w14:paraId="4228FCCE" w14:textId="77777777" w:rsidR="00990B14" w:rsidRDefault="00000000">
            <w:pPr>
              <w:spacing w:after="40"/>
              <w:jc w:val="both"/>
            </w:pPr>
            <w:r>
              <w:rPr>
                <w:sz w:val="18"/>
                <w:szCs w:val="18"/>
              </w:rPr>
              <w:t>Conocimiento de los riesgos y controles de tecnología de la información y de los controles internos relevantes para la auditoría; controles manuales frente a controles automatizados. (C)</w:t>
            </w:r>
          </w:p>
          <w:p w14:paraId="39773BC2" w14:textId="77777777" w:rsidR="00990B14" w:rsidRDefault="00000000">
            <w:pPr>
              <w:spacing w:after="40"/>
              <w:jc w:val="both"/>
            </w:pPr>
            <w:r>
              <w:rPr>
                <w:sz w:val="18"/>
                <w:szCs w:val="18"/>
              </w:rPr>
              <w:t>Controles generales de tecnología de la información sobre accesos, cambios a programas y operaciones de los sistemas. (C)</w:t>
            </w:r>
          </w:p>
          <w:p w14:paraId="2E3C61E9" w14:textId="77777777" w:rsidR="00990B14" w:rsidRDefault="00000000">
            <w:pPr>
              <w:spacing w:after="40"/>
              <w:jc w:val="both"/>
            </w:pPr>
            <w:r>
              <w:rPr>
                <w:sz w:val="18"/>
                <w:szCs w:val="18"/>
              </w:rPr>
              <w:t>Riesgo y control: controles generalizados y específicos, control interno en las entidades más pequeñas, controles antifraude, ausencia de control interno y controles relevantes para la auditoría. (C)</w:t>
            </w:r>
          </w:p>
          <w:p w14:paraId="5D84F8B7" w14:textId="77777777" w:rsidR="00990B14" w:rsidRDefault="00000000">
            <w:pPr>
              <w:spacing w:after="40"/>
              <w:jc w:val="both"/>
            </w:pPr>
            <w:r>
              <w:rPr>
                <w:sz w:val="18"/>
                <w:szCs w:val="18"/>
              </w:rPr>
              <w:t>Aplicación práctica de la evaluación de controles generales, controles generales de tecnología de la información, controles específicos y controles de aplicaciones. (P)</w:t>
            </w:r>
          </w:p>
          <w:p w14:paraId="514672D9" w14:textId="77777777" w:rsidR="00990B14" w:rsidRDefault="00000000">
            <w:pPr>
              <w:spacing w:before="60" w:after="20"/>
              <w:jc w:val="both"/>
            </w:pPr>
            <w:r>
              <w:rPr>
                <w:b/>
                <w:bCs/>
                <w:sz w:val="18"/>
                <w:szCs w:val="18"/>
              </w:rPr>
              <w:t>Tema 12</w:t>
            </w:r>
          </w:p>
          <w:p w14:paraId="16B0DE07" w14:textId="77777777" w:rsidR="00990B14" w:rsidRDefault="00000000">
            <w:pPr>
              <w:spacing w:after="40"/>
              <w:jc w:val="both"/>
            </w:pPr>
            <w:r>
              <w:rPr>
                <w:sz w:val="18"/>
                <w:szCs w:val="18"/>
              </w:rPr>
              <w:t>Evaluación del diseño y la implementación del control interno con flujogramas, narrativas y pruebas de recorrido; identificación de la información preparada por la entidad para el examen del auditor. (P)</w:t>
            </w:r>
          </w:p>
          <w:p w14:paraId="1A427B4D" w14:textId="77777777" w:rsidR="00990B14" w:rsidRDefault="00000000">
            <w:pPr>
              <w:spacing w:after="40"/>
              <w:jc w:val="both"/>
            </w:pPr>
            <w:r>
              <w:rPr>
                <w:sz w:val="18"/>
                <w:szCs w:val="18"/>
              </w:rPr>
              <w:t>Mapeo del riesgo y control en cuatro pasos: identificación de los riesgos que requieren mitigación, evaluación de los controles diseñados por la administración, verificación del funcionamiento de los controles y documentación de los controles relevantes. (P)</w:t>
            </w:r>
          </w:p>
          <w:p w14:paraId="0380FAC4" w14:textId="77777777" w:rsidR="00990B14" w:rsidRDefault="00000000">
            <w:pPr>
              <w:spacing w:after="40"/>
              <w:jc w:val="both"/>
            </w:pPr>
            <w:r>
              <w:rPr>
                <w:sz w:val="18"/>
                <w:szCs w:val="18"/>
              </w:rPr>
              <w:t>Conclusiones sobre el diseño del control, debilidades materiales y documentación de las deficiencias de control; discusiones con la administración y comunicaciones escritas. (P)</w:t>
            </w:r>
          </w:p>
          <w:p w14:paraId="0620D0C0" w14:textId="77777777" w:rsidR="00990B14" w:rsidRDefault="00000000">
            <w:pPr>
              <w:spacing w:after="40"/>
              <w:jc w:val="both"/>
            </w:pPr>
            <w:r>
              <w:rPr>
                <w:sz w:val="18"/>
                <w:szCs w:val="18"/>
              </w:rPr>
              <w:t>Pruebas y papeles de trabajo con base en muestreo de atributos y uso de herramientas tecnológicas en su aplicación. (P, T)</w:t>
            </w:r>
          </w:p>
          <w:p w14:paraId="33F51B49" w14:textId="77777777" w:rsidR="00990B14" w:rsidRDefault="00000000">
            <w:pPr>
              <w:spacing w:before="60" w:after="20"/>
              <w:jc w:val="both"/>
            </w:pPr>
            <w:r>
              <w:rPr>
                <w:b/>
                <w:bCs/>
                <w:sz w:val="18"/>
                <w:szCs w:val="18"/>
              </w:rPr>
              <w:t>Tema 13</w:t>
            </w:r>
          </w:p>
          <w:p w14:paraId="5D248893" w14:textId="77777777" w:rsidR="00990B14" w:rsidRDefault="00000000">
            <w:pPr>
              <w:spacing w:after="40"/>
              <w:jc w:val="both"/>
            </w:pPr>
            <w:r>
              <w:rPr>
                <w:sz w:val="18"/>
                <w:szCs w:val="18"/>
              </w:rPr>
              <w:t>Descripción de las aseveraciones relacionadas con clases de transacciones, con saldos de cuenta y sus revelaciones; aseveraciones combinadas. (C)</w:t>
            </w:r>
          </w:p>
          <w:p w14:paraId="5D984D10" w14:textId="77777777" w:rsidR="00990B14" w:rsidRDefault="00000000">
            <w:pPr>
              <w:spacing w:after="40"/>
              <w:jc w:val="both"/>
            </w:pPr>
            <w:r>
              <w:rPr>
                <w:sz w:val="18"/>
                <w:szCs w:val="18"/>
              </w:rPr>
              <w:t>Uso de las aseveraciones en la auditoría e identificación de los tipos de transacciones y saldos de cuenta significativos asociados a las aseveraciones relevantes. (C, P)</w:t>
            </w:r>
          </w:p>
          <w:p w14:paraId="36D13A9A" w14:textId="77777777" w:rsidR="00990B14" w:rsidRDefault="00000000">
            <w:pPr>
              <w:spacing w:after="40"/>
              <w:jc w:val="both"/>
            </w:pPr>
            <w:r>
              <w:rPr>
                <w:sz w:val="18"/>
                <w:szCs w:val="18"/>
              </w:rPr>
              <w:t>Papel de trabajo de la matriz de riesgos y aseveraciones relacionadas. (P)</w:t>
            </w:r>
          </w:p>
          <w:p w14:paraId="13C1ECFB" w14:textId="77777777" w:rsidR="00990B14" w:rsidRDefault="00000000">
            <w:pPr>
              <w:spacing w:before="60" w:after="20"/>
              <w:jc w:val="both"/>
            </w:pPr>
            <w:r>
              <w:rPr>
                <w:b/>
                <w:bCs/>
                <w:sz w:val="18"/>
                <w:szCs w:val="18"/>
              </w:rPr>
              <w:t>Tema 14</w:t>
            </w:r>
          </w:p>
          <w:p w14:paraId="11AD1428" w14:textId="77777777" w:rsidR="00990B14" w:rsidRDefault="00000000">
            <w:pPr>
              <w:spacing w:after="40"/>
              <w:jc w:val="both"/>
            </w:pPr>
            <w:r>
              <w:rPr>
                <w:sz w:val="18"/>
                <w:szCs w:val="18"/>
              </w:rPr>
              <w:t>Procedimientos analíticos de planificación para identificar clases de transacciones y saldos de cuenta significativos: análisis vertical, análisis horizontal y ratios o indicadores desarrollados por el auditor. (P)</w:t>
            </w:r>
          </w:p>
          <w:p w14:paraId="37EAF422" w14:textId="77777777" w:rsidR="00990B14" w:rsidRDefault="00000000">
            <w:pPr>
              <w:spacing w:before="60" w:after="20"/>
              <w:jc w:val="both"/>
            </w:pPr>
            <w:r>
              <w:rPr>
                <w:b/>
                <w:bCs/>
                <w:sz w:val="18"/>
                <w:szCs w:val="18"/>
              </w:rPr>
              <w:t>Tema 15</w:t>
            </w:r>
          </w:p>
          <w:p w14:paraId="4BA49FA2" w14:textId="77777777" w:rsidR="00990B14" w:rsidRDefault="00000000">
            <w:pPr>
              <w:spacing w:after="40"/>
              <w:jc w:val="both"/>
            </w:pPr>
            <w:r>
              <w:rPr>
                <w:sz w:val="18"/>
                <w:szCs w:val="18"/>
              </w:rPr>
              <w:t>Uso de la materialidad en la auditoría, usuarios de los estados financieros y naturaleza de las incorrecciones. (C, P)</w:t>
            </w:r>
          </w:p>
          <w:p w14:paraId="058CD72E" w14:textId="77777777" w:rsidR="00990B14" w:rsidRDefault="00000000">
            <w:pPr>
              <w:spacing w:after="40"/>
              <w:jc w:val="both"/>
            </w:pPr>
            <w:r>
              <w:rPr>
                <w:sz w:val="18"/>
                <w:szCs w:val="18"/>
              </w:rPr>
              <w:t>Niveles de materialidad y cálculo del umbral con herramientas tecnológicas: materialidad global o a nivel de los estados financieros, materialidad de desempeño, materialidad específica para clases de transacciones y saldos de cuenta y límite de acumulación de incorrecciones. (P, T)</w:t>
            </w:r>
          </w:p>
          <w:p w14:paraId="0727C493" w14:textId="77777777" w:rsidR="00990B14" w:rsidRDefault="00000000">
            <w:pPr>
              <w:spacing w:after="40"/>
              <w:jc w:val="both"/>
            </w:pPr>
            <w:r>
              <w:rPr>
                <w:sz w:val="18"/>
                <w:szCs w:val="18"/>
              </w:rPr>
              <w:t>Procedimiento para determinar la materialidad y la importancia relativa en la planificación, en la valoración del riesgo, en la ejecución de los procedimientos y en el informe. (P)</w:t>
            </w:r>
          </w:p>
          <w:p w14:paraId="1BACEC1C" w14:textId="77777777" w:rsidR="00990B14" w:rsidRDefault="00000000">
            <w:pPr>
              <w:spacing w:after="40"/>
              <w:jc w:val="both"/>
            </w:pPr>
            <w:r>
              <w:rPr>
                <w:sz w:val="18"/>
                <w:szCs w:val="18"/>
              </w:rPr>
              <w:t>Documentación de la materialidad conforme a las Normas Internacionales de Auditoría 320 y 450. (C, P)</w:t>
            </w:r>
          </w:p>
          <w:p w14:paraId="53EAA432" w14:textId="77777777" w:rsidR="00990B14" w:rsidRDefault="00000000">
            <w:pPr>
              <w:spacing w:after="40"/>
              <w:jc w:val="both"/>
            </w:pPr>
            <w:r>
              <w:rPr>
                <w:sz w:val="18"/>
                <w:szCs w:val="18"/>
              </w:rPr>
              <w:t>Consideraciones sobre la materialidad en contextos de variación de precios y de cotización de la moneda extranjera. (C)</w:t>
            </w:r>
          </w:p>
          <w:p w14:paraId="6BA9EA94" w14:textId="77777777" w:rsidR="00990B14" w:rsidRDefault="00000000">
            <w:pPr>
              <w:spacing w:before="60" w:after="20"/>
              <w:jc w:val="both"/>
            </w:pPr>
            <w:r>
              <w:rPr>
                <w:b/>
                <w:bCs/>
                <w:sz w:val="18"/>
                <w:szCs w:val="18"/>
              </w:rPr>
              <w:t>Tema 16</w:t>
            </w:r>
          </w:p>
          <w:p w14:paraId="7099167D" w14:textId="77777777" w:rsidR="00990B14" w:rsidRDefault="00000000">
            <w:pPr>
              <w:spacing w:after="40"/>
              <w:jc w:val="both"/>
            </w:pPr>
            <w:r>
              <w:rPr>
                <w:sz w:val="18"/>
                <w:szCs w:val="18"/>
              </w:rPr>
              <w:t>Evidencia de auditoría obtenida, resumen y revisión de las diversas valoraciones de riesgos y riesgos generalizados u omnipresentes. (C)</w:t>
            </w:r>
          </w:p>
          <w:p w14:paraId="3C00BAD0" w14:textId="77777777" w:rsidR="00990B14" w:rsidRDefault="00000000">
            <w:pPr>
              <w:spacing w:after="40"/>
              <w:jc w:val="both"/>
            </w:pPr>
            <w:r>
              <w:rPr>
                <w:sz w:val="18"/>
                <w:szCs w:val="18"/>
              </w:rPr>
              <w:t>Definición del enfoque de auditoría planificado con juicio crítico, su documentación y la revisión de la evaluación del riesgo. (C, P, A)</w:t>
            </w:r>
          </w:p>
          <w:p w14:paraId="030B8BB7" w14:textId="77777777" w:rsidR="00990B14" w:rsidRDefault="00000000">
            <w:pPr>
              <w:spacing w:before="60" w:after="20"/>
              <w:jc w:val="both"/>
            </w:pPr>
            <w:r>
              <w:rPr>
                <w:b/>
                <w:bCs/>
                <w:sz w:val="18"/>
                <w:szCs w:val="18"/>
              </w:rPr>
              <w:t>Tema 17</w:t>
            </w:r>
          </w:p>
          <w:p w14:paraId="6CFBB043" w14:textId="77777777" w:rsidR="00990B14" w:rsidRDefault="00000000">
            <w:pPr>
              <w:spacing w:after="40"/>
              <w:jc w:val="both"/>
            </w:pPr>
            <w:r>
              <w:rPr>
                <w:sz w:val="18"/>
                <w:szCs w:val="18"/>
              </w:rPr>
              <w:t>Memorando de planificación: conocimiento de la entidad, identificación y valoración de riesgos inherentes, evaluación del control interno, análisis de planificación, cálculo de la materialidad, identificación de partidas significativas, valoración del riesgo de auditoría y definición del enfoque de auditoría planificado. (P)</w:t>
            </w:r>
          </w:p>
          <w:p w14:paraId="0EA5F0CF" w14:textId="77777777" w:rsidR="00990B14" w:rsidRDefault="00000000">
            <w:pPr>
              <w:spacing w:after="40"/>
              <w:jc w:val="both"/>
            </w:pPr>
            <w:r>
              <w:rPr>
                <w:sz w:val="18"/>
                <w:szCs w:val="18"/>
              </w:rPr>
              <w:t>Papeles de trabajo de las matrices de riesgos y controles clave asociados. (P)</w:t>
            </w:r>
          </w:p>
        </w:tc>
        <w:tc>
          <w:tcPr>
            <w:tcW w:w="2752" w:type="dxa"/>
            <w:gridSpan w:val="3"/>
            <w:shd w:val="clear" w:color="auto" w:fill="D9E2F3"/>
          </w:tcPr>
          <w:p w14:paraId="0F13DFFD" w14:textId="77777777" w:rsidR="00990B14" w:rsidRDefault="00000000">
            <w:pPr>
              <w:numPr>
                <w:ilvl w:val="0"/>
                <w:numId w:val="139"/>
              </w:numPr>
              <w:spacing w:before="10" w:after="10"/>
              <w:jc w:val="both"/>
            </w:pPr>
            <w:r>
              <w:rPr>
                <w:sz w:val="18"/>
                <w:szCs w:val="18"/>
              </w:rPr>
              <w:t>Nociones de búsqueda de información pública sobre la entidad y su sector económico.</w:t>
            </w:r>
          </w:p>
        </w:tc>
      </w:tr>
      <w:tr w:rsidR="00990B14" w14:paraId="135A9776" w14:textId="77777777">
        <w:trPr>
          <w:cantSplit/>
          <w:jc w:val="center"/>
        </w:trPr>
        <w:tc>
          <w:tcPr>
            <w:tcW w:w="9405" w:type="dxa"/>
            <w:gridSpan w:val="13"/>
            <w:shd w:val="clear" w:color="auto" w:fill="D9E2F3"/>
            <w:vAlign w:val="center"/>
          </w:tcPr>
          <w:p w14:paraId="6168FA63" w14:textId="77777777" w:rsidR="00990B14" w:rsidRDefault="00000000">
            <w:pPr>
              <w:spacing w:before="20" w:after="20"/>
              <w:jc w:val="both"/>
            </w:pPr>
            <w:r>
              <w:rPr>
                <w:b/>
                <w:bCs/>
                <w:i/>
                <w:iCs/>
                <w:sz w:val="18"/>
                <w:szCs w:val="18"/>
              </w:rPr>
              <w:t xml:space="preserve">Elemento de competencia 3: </w:t>
            </w:r>
            <w:r>
              <w:rPr>
                <w:sz w:val="18"/>
                <w:szCs w:val="18"/>
              </w:rPr>
              <w:t>Ejecuta los procedimientos de auditoría posteriores en respuesta a los riesgos valorados del caso práctico conforme a las Normas de Auditoría Generalmente Aceptadas en Bolivia, diseñando los programas por ciclo de transacciones, aplicando pruebas de controles y procedimientos sustantivos con muestreo y análisis de datos y documentando papeles de trabajo manuales y habilitados con tecnología, con escepticismo profesional y confidencialidad de la información del cliente.</w:t>
            </w:r>
          </w:p>
        </w:tc>
      </w:tr>
      <w:tr w:rsidR="00990B14" w14:paraId="43C54B84" w14:textId="77777777">
        <w:trPr>
          <w:cantSplit/>
          <w:jc w:val="center"/>
        </w:trPr>
        <w:tc>
          <w:tcPr>
            <w:tcW w:w="3133" w:type="dxa"/>
            <w:gridSpan w:val="4"/>
            <w:shd w:val="clear" w:color="auto" w:fill="4472C4"/>
            <w:vAlign w:val="center"/>
          </w:tcPr>
          <w:p w14:paraId="15714823"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35E91805"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4A4B3F39" w14:textId="77777777" w:rsidR="00990B14" w:rsidRDefault="00000000">
            <w:pPr>
              <w:keepNext/>
              <w:spacing w:before="20" w:after="20"/>
              <w:jc w:val="center"/>
            </w:pPr>
            <w:r>
              <w:rPr>
                <w:b/>
                <w:bCs/>
                <w:i/>
                <w:iCs/>
                <w:color w:val="FFFFFF"/>
                <w:sz w:val="18"/>
                <w:szCs w:val="18"/>
              </w:rPr>
              <w:t>Evidencias de producto</w:t>
            </w:r>
          </w:p>
        </w:tc>
      </w:tr>
      <w:tr w:rsidR="00990B14" w14:paraId="0AF9B98F" w14:textId="77777777">
        <w:trPr>
          <w:cantSplit/>
          <w:jc w:val="center"/>
        </w:trPr>
        <w:tc>
          <w:tcPr>
            <w:tcW w:w="3133" w:type="dxa"/>
            <w:gridSpan w:val="4"/>
            <w:vMerge w:val="restart"/>
            <w:shd w:val="clear" w:color="auto" w:fill="D9E2F3"/>
            <w:vAlign w:val="center"/>
          </w:tcPr>
          <w:p w14:paraId="02EEF0AE" w14:textId="77777777" w:rsidR="00990B14" w:rsidRDefault="00000000">
            <w:pPr>
              <w:spacing w:before="20" w:after="20"/>
              <w:jc w:val="both"/>
            </w:pPr>
            <w:r>
              <w:rPr>
                <w:sz w:val="18"/>
                <w:szCs w:val="18"/>
              </w:rPr>
              <w:t>1. Diseña el plan detallado de auditoría del caso práctico, vinculando en cada programa el riesgo valorado, la aseveración afectada y el procedimiento de respuesta, y determinando con herramientas tecnológicas la extensión de las pruebas con muestreo de atributos y por unidades monetarias o con análisis de datos de la población completa, conforme a las normas de auditoría y con juicio crítico.</w:t>
            </w:r>
          </w:p>
        </w:tc>
        <w:tc>
          <w:tcPr>
            <w:tcW w:w="3135" w:type="dxa"/>
            <w:gridSpan w:val="5"/>
            <w:shd w:val="clear" w:color="auto" w:fill="D9E2F3"/>
            <w:vAlign w:val="center"/>
          </w:tcPr>
          <w:p w14:paraId="23940201" w14:textId="77777777" w:rsidR="00990B14" w:rsidRDefault="00000000">
            <w:pPr>
              <w:spacing w:before="20" w:after="20"/>
              <w:jc w:val="both"/>
            </w:pPr>
            <w:r>
              <w:rPr>
                <w:sz w:val="18"/>
                <w:szCs w:val="18"/>
              </w:rPr>
              <w:t>1.1 Elabora en equipo los programas de auditoría de cada ciclo de transacciones, vinculando cada procedimiento con el riesgo y la aseveración de la matriz de riesgos del caso práctico y definiendo su naturaleza, momento y extensión.</w:t>
            </w:r>
          </w:p>
        </w:tc>
        <w:tc>
          <w:tcPr>
            <w:tcW w:w="3137" w:type="dxa"/>
            <w:gridSpan w:val="4"/>
            <w:shd w:val="clear" w:color="auto" w:fill="D9E2F3"/>
            <w:vAlign w:val="center"/>
          </w:tcPr>
          <w:p w14:paraId="001D9C16" w14:textId="77777777" w:rsidR="00990B14" w:rsidRDefault="00000000">
            <w:pPr>
              <w:spacing w:before="20" w:after="20"/>
              <w:jc w:val="both"/>
            </w:pPr>
            <w:r>
              <w:rPr>
                <w:b/>
                <w:bCs/>
                <w:sz w:val="18"/>
                <w:szCs w:val="18"/>
              </w:rPr>
              <w:t xml:space="preserve">Producto 9: </w:t>
            </w:r>
            <w:r>
              <w:rPr>
                <w:sz w:val="18"/>
                <w:szCs w:val="18"/>
              </w:rPr>
              <w:t>Programas de auditoría por ciclo de transacciones del caso práctico, con referencia cruzada entre riesgo, aseveración y procedimiento, y la naturaleza, el momento y la extensión de cada procedimiento.</w:t>
            </w:r>
          </w:p>
        </w:tc>
      </w:tr>
      <w:tr w:rsidR="00990B14" w14:paraId="7A4BB6CA" w14:textId="77777777">
        <w:trPr>
          <w:cantSplit/>
          <w:jc w:val="center"/>
        </w:trPr>
        <w:tc>
          <w:tcPr>
            <w:tcW w:w="3133" w:type="dxa"/>
            <w:gridSpan w:val="4"/>
            <w:vMerge/>
            <w:shd w:val="clear" w:color="auto" w:fill="D9E2F3"/>
            <w:vAlign w:val="center"/>
          </w:tcPr>
          <w:p w14:paraId="295053F5" w14:textId="77777777" w:rsidR="00990B14" w:rsidRDefault="00990B14">
            <w:pPr>
              <w:spacing w:before="20" w:after="20"/>
            </w:pPr>
          </w:p>
        </w:tc>
        <w:tc>
          <w:tcPr>
            <w:tcW w:w="3135" w:type="dxa"/>
            <w:gridSpan w:val="5"/>
            <w:shd w:val="clear" w:color="auto" w:fill="D9E2F3"/>
            <w:vAlign w:val="center"/>
          </w:tcPr>
          <w:p w14:paraId="09B197EB" w14:textId="77777777" w:rsidR="00990B14" w:rsidRDefault="00000000">
            <w:pPr>
              <w:spacing w:before="20" w:after="20"/>
              <w:jc w:val="both"/>
            </w:pPr>
            <w:r>
              <w:rPr>
                <w:sz w:val="18"/>
                <w:szCs w:val="18"/>
              </w:rPr>
              <w:t>1.2 Determina en aula o en el centro de cómputo la extensión de las pruebas con herramientas tecnológicas, calculando el tamaño de la muestra, seleccionando las partidas a examinar y proyectando las incorrecciones, o analizando la población completa, y documentando con juicio crítico el método elegido y sus parámetros.</w:t>
            </w:r>
          </w:p>
        </w:tc>
        <w:tc>
          <w:tcPr>
            <w:tcW w:w="3137" w:type="dxa"/>
            <w:gridSpan w:val="4"/>
            <w:shd w:val="clear" w:color="auto" w:fill="D9E2F3"/>
            <w:vAlign w:val="center"/>
          </w:tcPr>
          <w:p w14:paraId="7D1DC641" w14:textId="77777777" w:rsidR="00990B14" w:rsidRDefault="00000000">
            <w:pPr>
              <w:spacing w:before="20" w:after="20"/>
              <w:jc w:val="both"/>
            </w:pPr>
            <w:r>
              <w:rPr>
                <w:b/>
                <w:bCs/>
                <w:sz w:val="18"/>
                <w:szCs w:val="18"/>
              </w:rPr>
              <w:t xml:space="preserve">Producto 10: </w:t>
            </w:r>
            <w:r>
              <w:rPr>
                <w:sz w:val="18"/>
                <w:szCs w:val="18"/>
              </w:rPr>
              <w:t>Papel de trabajo de la extensión de las pruebas con muestreo de atributos y por unidades monetarias o con análisis de la población completa, con el método elegido, sus parámetros y las incorrecciones identificadas o proyectadas.</w:t>
            </w:r>
          </w:p>
        </w:tc>
      </w:tr>
      <w:tr w:rsidR="00990B14" w14:paraId="5FD47CE0" w14:textId="77777777">
        <w:trPr>
          <w:cantSplit/>
          <w:jc w:val="center"/>
        </w:trPr>
        <w:tc>
          <w:tcPr>
            <w:tcW w:w="3133" w:type="dxa"/>
            <w:gridSpan w:val="4"/>
            <w:vMerge w:val="restart"/>
            <w:shd w:val="clear" w:color="auto" w:fill="D9E2F3"/>
            <w:vAlign w:val="center"/>
          </w:tcPr>
          <w:p w14:paraId="45B05FB0" w14:textId="77777777" w:rsidR="00990B14" w:rsidRDefault="00000000">
            <w:pPr>
              <w:spacing w:before="20" w:after="20"/>
              <w:jc w:val="both"/>
            </w:pPr>
            <w:r>
              <w:rPr>
                <w:sz w:val="18"/>
                <w:szCs w:val="18"/>
              </w:rPr>
              <w:t>2. Ejecuta las pruebas de controles y los procedimientos sustantivos de cada ciclo de transacciones, documentando en papeles de trabajo manuales y habilitados con tecnología, con índice, referencias cruzadas y marcas de auditoría, y resguardando la confidencialidad de la información del cliente, conforme a las normas de auditoría y con escepticismo profesional.</w:t>
            </w:r>
          </w:p>
        </w:tc>
        <w:tc>
          <w:tcPr>
            <w:tcW w:w="3135" w:type="dxa"/>
            <w:gridSpan w:val="5"/>
            <w:shd w:val="clear" w:color="auto" w:fill="D9E2F3"/>
            <w:vAlign w:val="center"/>
          </w:tcPr>
          <w:p w14:paraId="1A53C9F7" w14:textId="77777777" w:rsidR="00990B14" w:rsidRDefault="00000000">
            <w:pPr>
              <w:spacing w:before="20" w:after="20"/>
              <w:jc w:val="both"/>
            </w:pPr>
            <w:r>
              <w:rPr>
                <w:sz w:val="18"/>
                <w:szCs w:val="18"/>
              </w:rPr>
              <w:t>2.1 Ejecuta en equipo las pruebas de controles, los procedimientos analíticos sustantivos, las pruebas de detalle y las confirmaciones externas de los ciclos de efectivo, de ventas y cobranzas, y de compras y pagos, documentando en papeles de trabajo manuales o habilitados con tecnología, con índice, referencias cruzadas y marcas de auditoría, y resguardando la confidencialidad de la información del cliente.</w:t>
            </w:r>
          </w:p>
        </w:tc>
        <w:tc>
          <w:tcPr>
            <w:tcW w:w="3137" w:type="dxa"/>
            <w:gridSpan w:val="4"/>
            <w:shd w:val="clear" w:color="auto" w:fill="D9E2F3"/>
            <w:vAlign w:val="center"/>
          </w:tcPr>
          <w:p w14:paraId="1B77D935" w14:textId="77777777" w:rsidR="00990B14" w:rsidRDefault="00000000">
            <w:pPr>
              <w:spacing w:before="20" w:after="20"/>
              <w:jc w:val="both"/>
            </w:pPr>
            <w:r>
              <w:rPr>
                <w:b/>
                <w:bCs/>
                <w:sz w:val="18"/>
                <w:szCs w:val="18"/>
              </w:rPr>
              <w:t xml:space="preserve">Producto 11: </w:t>
            </w:r>
            <w:r>
              <w:rPr>
                <w:sz w:val="18"/>
                <w:szCs w:val="18"/>
              </w:rPr>
              <w:t>Papeles de trabajo de las pruebas de controles y de los procedimientos sustantivos de los ciclos de efectivo, de ventas y cobranzas, y de compras y pagos, con índice, referencias cruzadas y marcas de auditoría y sus conclusiones por rubro.</w:t>
            </w:r>
          </w:p>
        </w:tc>
      </w:tr>
      <w:tr w:rsidR="00990B14" w14:paraId="0D0C22BD" w14:textId="77777777">
        <w:trPr>
          <w:cantSplit/>
          <w:jc w:val="center"/>
        </w:trPr>
        <w:tc>
          <w:tcPr>
            <w:tcW w:w="3133" w:type="dxa"/>
            <w:gridSpan w:val="4"/>
            <w:vMerge/>
            <w:shd w:val="clear" w:color="auto" w:fill="D9E2F3"/>
            <w:vAlign w:val="center"/>
          </w:tcPr>
          <w:p w14:paraId="75C7872C" w14:textId="77777777" w:rsidR="00990B14" w:rsidRDefault="00990B14">
            <w:pPr>
              <w:spacing w:before="20" w:after="20"/>
            </w:pPr>
          </w:p>
        </w:tc>
        <w:tc>
          <w:tcPr>
            <w:tcW w:w="3135" w:type="dxa"/>
            <w:gridSpan w:val="5"/>
            <w:shd w:val="clear" w:color="auto" w:fill="D9E2F3"/>
            <w:vAlign w:val="center"/>
          </w:tcPr>
          <w:p w14:paraId="02998F1C" w14:textId="77777777" w:rsidR="00990B14" w:rsidRDefault="00000000">
            <w:pPr>
              <w:spacing w:before="20" w:after="20"/>
              <w:jc w:val="both"/>
            </w:pPr>
            <w:r>
              <w:rPr>
                <w:sz w:val="18"/>
                <w:szCs w:val="18"/>
              </w:rPr>
              <w:t>2.2 Ejecuta en aula los procedimientos de auditoría de inventarios, activos fijos e intangibles, préstamos bancarios y otros rubros no rutinarios, incluida la observación del recuento físico de inventarios, y documenta sus conclusiones por rubro con escepticismo profesional.</w:t>
            </w:r>
          </w:p>
        </w:tc>
        <w:tc>
          <w:tcPr>
            <w:tcW w:w="3137" w:type="dxa"/>
            <w:gridSpan w:val="4"/>
            <w:shd w:val="clear" w:color="auto" w:fill="D9E2F3"/>
            <w:vAlign w:val="center"/>
          </w:tcPr>
          <w:p w14:paraId="5813DCD8" w14:textId="77777777" w:rsidR="00990B14" w:rsidRDefault="00000000">
            <w:pPr>
              <w:spacing w:before="20" w:after="20"/>
              <w:jc w:val="both"/>
            </w:pPr>
            <w:r>
              <w:rPr>
                <w:b/>
                <w:bCs/>
                <w:sz w:val="18"/>
                <w:szCs w:val="18"/>
              </w:rPr>
              <w:t xml:space="preserve">Producto 12: </w:t>
            </w:r>
            <w:r>
              <w:rPr>
                <w:sz w:val="18"/>
                <w:szCs w:val="18"/>
              </w:rPr>
              <w:t>Papeles de trabajo de los procedimientos de auditoría de inventarios, activos fijos e intangibles, préstamos bancarios y otros rubros no rutinarios, con la observación del recuento físico y sus conclusiones por rubro.</w:t>
            </w:r>
          </w:p>
        </w:tc>
      </w:tr>
      <w:tr w:rsidR="00990B14" w14:paraId="24C82A7F" w14:textId="77777777">
        <w:trPr>
          <w:cantSplit/>
          <w:jc w:val="center"/>
        </w:trPr>
        <w:tc>
          <w:tcPr>
            <w:tcW w:w="9405" w:type="dxa"/>
            <w:gridSpan w:val="13"/>
            <w:shd w:val="clear" w:color="auto" w:fill="4472C4"/>
            <w:vAlign w:val="center"/>
          </w:tcPr>
          <w:p w14:paraId="259D7618" w14:textId="77777777" w:rsidR="00990B14" w:rsidRDefault="00000000">
            <w:pPr>
              <w:keepNext/>
              <w:spacing w:before="20" w:after="20"/>
              <w:jc w:val="center"/>
            </w:pPr>
            <w:r>
              <w:rPr>
                <w:b/>
                <w:bCs/>
                <w:i/>
                <w:iCs/>
                <w:color w:val="FFFFFF"/>
                <w:sz w:val="18"/>
                <w:szCs w:val="18"/>
              </w:rPr>
              <w:t>Evidencias de conocimiento</w:t>
            </w:r>
          </w:p>
        </w:tc>
      </w:tr>
      <w:tr w:rsidR="00990B14" w14:paraId="6B3CC8EB" w14:textId="77777777">
        <w:trPr>
          <w:cantSplit/>
          <w:jc w:val="center"/>
        </w:trPr>
        <w:tc>
          <w:tcPr>
            <w:tcW w:w="2349" w:type="dxa"/>
            <w:gridSpan w:val="2"/>
            <w:shd w:val="clear" w:color="auto" w:fill="4472C4"/>
            <w:vAlign w:val="center"/>
          </w:tcPr>
          <w:p w14:paraId="2E131152"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2C8C3FB2" w14:textId="77777777" w:rsidR="00990B14" w:rsidRDefault="00000000">
            <w:pPr>
              <w:keepNext/>
              <w:spacing w:before="20" w:after="20"/>
              <w:jc w:val="both"/>
            </w:pPr>
            <w:r>
              <w:rPr>
                <w:b/>
                <w:bCs/>
                <w:i/>
                <w:iCs/>
                <w:color w:val="FFFFFF"/>
                <w:sz w:val="18"/>
                <w:szCs w:val="18"/>
              </w:rPr>
              <w:t>Contenidos</w:t>
            </w:r>
          </w:p>
          <w:p w14:paraId="1B745F64"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5A7C3CFE" w14:textId="77777777" w:rsidR="00990B14" w:rsidRDefault="00000000">
            <w:pPr>
              <w:keepNext/>
              <w:spacing w:before="20" w:after="20"/>
              <w:jc w:val="center"/>
            </w:pPr>
            <w:r>
              <w:rPr>
                <w:b/>
                <w:bCs/>
                <w:i/>
                <w:iCs/>
                <w:color w:val="FFFFFF"/>
                <w:sz w:val="18"/>
                <w:szCs w:val="18"/>
              </w:rPr>
              <w:t>Conocimientos circunstanciales</w:t>
            </w:r>
          </w:p>
        </w:tc>
      </w:tr>
      <w:tr w:rsidR="00990B14" w14:paraId="79B75484" w14:textId="77777777">
        <w:trPr>
          <w:jc w:val="center"/>
        </w:trPr>
        <w:tc>
          <w:tcPr>
            <w:tcW w:w="2349" w:type="dxa"/>
            <w:gridSpan w:val="2"/>
            <w:shd w:val="clear" w:color="auto" w:fill="D9E2F3"/>
          </w:tcPr>
          <w:p w14:paraId="15F4C7C0" w14:textId="77777777" w:rsidR="00990B14" w:rsidRDefault="00000000">
            <w:pPr>
              <w:spacing w:before="20" w:after="40"/>
              <w:jc w:val="both"/>
            </w:pPr>
            <w:r>
              <w:rPr>
                <w:sz w:val="18"/>
                <w:szCs w:val="18"/>
              </w:rPr>
              <w:t>Tema 18: Respuesta a los riesgos valorados – descripción general Tema 19: Plan detallado de auditoría Tema 20: Procedimientos de auditoría posteriores Tema 21: Determinación de la extensión de las pruebas Tema 22: Documentación del trabajo realizado en auditoría Tema 23: Papeles de trabajo del ciclo de efectivo y flujos relacionados Tema 24: Papeles de trabajo del ciclo de ventas, cobranzas y flujos relacionados Tema 25: Papeles de trabajo del ciclo de compras, pagos y flujos relacionados Tema 26: Papeles de trabajo del ciclo de inventarios y costo de ventas Tema 27: Papeles de trabajo de activos fijos y activos intangibles Tema 28: Papeles de trabajo de préstamos bancarios Tema 29: Papeles de trabajo de otros rubros no rutinarios</w:t>
            </w:r>
          </w:p>
        </w:tc>
        <w:tc>
          <w:tcPr>
            <w:tcW w:w="4304" w:type="dxa"/>
            <w:gridSpan w:val="8"/>
            <w:shd w:val="clear" w:color="auto" w:fill="D9E2F3"/>
          </w:tcPr>
          <w:p w14:paraId="6A9FC546" w14:textId="77777777" w:rsidR="00990B14" w:rsidRDefault="00000000">
            <w:pPr>
              <w:spacing w:before="60" w:after="20"/>
              <w:jc w:val="both"/>
            </w:pPr>
            <w:r>
              <w:rPr>
                <w:b/>
                <w:bCs/>
                <w:sz w:val="18"/>
                <w:szCs w:val="18"/>
              </w:rPr>
              <w:t>Tema 18</w:t>
            </w:r>
          </w:p>
          <w:p w14:paraId="0E5FF4EF" w14:textId="77777777" w:rsidR="00990B14" w:rsidRDefault="00000000">
            <w:pPr>
              <w:spacing w:after="40"/>
              <w:jc w:val="both"/>
            </w:pPr>
            <w:r>
              <w:rPr>
                <w:sz w:val="18"/>
                <w:szCs w:val="18"/>
              </w:rPr>
              <w:t>Respuestas globales a los riesgos en los estados financieros y respuesta a los riesgos valorados a nivel de las aseveraciones conforme a la Norma Internacional de Auditoría 330; punto de partida del plan detallado. (C)</w:t>
            </w:r>
          </w:p>
          <w:p w14:paraId="12443AE3" w14:textId="77777777" w:rsidR="00990B14" w:rsidRDefault="00000000">
            <w:pPr>
              <w:spacing w:before="60" w:after="20"/>
              <w:jc w:val="both"/>
            </w:pPr>
            <w:r>
              <w:rPr>
                <w:b/>
                <w:bCs/>
                <w:sz w:val="18"/>
                <w:szCs w:val="18"/>
              </w:rPr>
              <w:t>Tema 19</w:t>
            </w:r>
          </w:p>
          <w:p w14:paraId="5E93C392" w14:textId="77777777" w:rsidR="00990B14" w:rsidRDefault="00000000">
            <w:pPr>
              <w:spacing w:after="40"/>
              <w:jc w:val="both"/>
            </w:pPr>
            <w:r>
              <w:rPr>
                <w:sz w:val="18"/>
                <w:szCs w:val="18"/>
              </w:rPr>
              <w:t>Enfoque de auditoría adecuado; diseño, oportunidad y extensión de los procedimientos de auditoría posteriores y desarrollo del plan detallado adoptado, con juicio crítico. (P, A)</w:t>
            </w:r>
          </w:p>
          <w:p w14:paraId="65C29F37" w14:textId="77777777" w:rsidR="00990B14" w:rsidRDefault="00000000">
            <w:pPr>
              <w:spacing w:after="40"/>
              <w:jc w:val="both"/>
            </w:pPr>
            <w:r>
              <w:rPr>
                <w:sz w:val="18"/>
                <w:szCs w:val="18"/>
              </w:rPr>
              <w:t>Uso de las aseveraciones y de la importancia relativa en el diseño de las pruebas, en la selección de la población y en el momento de realización de los procedimientos. (P)</w:t>
            </w:r>
          </w:p>
          <w:p w14:paraId="7662DF63" w14:textId="77777777" w:rsidR="00990B14" w:rsidRDefault="00000000">
            <w:pPr>
              <w:spacing w:after="40"/>
              <w:jc w:val="both"/>
            </w:pPr>
            <w:r>
              <w:rPr>
                <w:sz w:val="18"/>
                <w:szCs w:val="18"/>
              </w:rPr>
              <w:t>Respuesta al riesgo de fraude, documentación y comunicación del plan de auditoría. (P)</w:t>
            </w:r>
          </w:p>
          <w:p w14:paraId="4A20D412" w14:textId="77777777" w:rsidR="00990B14" w:rsidRDefault="00000000">
            <w:pPr>
              <w:spacing w:before="60" w:after="20"/>
              <w:jc w:val="both"/>
            </w:pPr>
            <w:r>
              <w:rPr>
                <w:b/>
                <w:bCs/>
                <w:sz w:val="18"/>
                <w:szCs w:val="18"/>
              </w:rPr>
              <w:t>Tema 20</w:t>
            </w:r>
          </w:p>
          <w:p w14:paraId="6874A129" w14:textId="77777777" w:rsidR="00990B14" w:rsidRDefault="00000000">
            <w:pPr>
              <w:spacing w:after="40"/>
              <w:jc w:val="both"/>
            </w:pPr>
            <w:r>
              <w:rPr>
                <w:sz w:val="18"/>
                <w:szCs w:val="18"/>
              </w:rPr>
              <w:t>Tipos de procedimientos de auditoría posteriores: procedimientos sobre la eficacia del control interno, procedimientos analíticos sustantivos y pruebas sustantivas de detalle. (C, P)</w:t>
            </w:r>
          </w:p>
          <w:p w14:paraId="5D578DF1" w14:textId="77777777" w:rsidR="00990B14" w:rsidRDefault="00000000">
            <w:pPr>
              <w:spacing w:after="40"/>
              <w:jc w:val="both"/>
            </w:pPr>
            <w:r>
              <w:rPr>
                <w:sz w:val="18"/>
                <w:szCs w:val="18"/>
              </w:rPr>
              <w:t>Pruebas de controles y momento de realización de las pruebas de controles. (P)</w:t>
            </w:r>
          </w:p>
          <w:p w14:paraId="02ED2D8C" w14:textId="77777777" w:rsidR="00990B14" w:rsidRDefault="00000000">
            <w:pPr>
              <w:spacing w:after="40"/>
              <w:jc w:val="both"/>
            </w:pPr>
            <w:r>
              <w:rPr>
                <w:sz w:val="18"/>
                <w:szCs w:val="18"/>
              </w:rPr>
              <w:t>Procedimientos de auditoría sobre los asientos de diario (Journal entries) y los ajustes manuales como respuesta al riesgo de fraude. (P)</w:t>
            </w:r>
          </w:p>
          <w:p w14:paraId="5FF902EA" w14:textId="77777777" w:rsidR="00990B14" w:rsidRDefault="00000000">
            <w:pPr>
              <w:spacing w:after="40"/>
              <w:jc w:val="both"/>
            </w:pPr>
            <w:r>
              <w:rPr>
                <w:sz w:val="18"/>
                <w:szCs w:val="18"/>
              </w:rPr>
              <w:t>Uso de la evidencia de auditoría obtenida en auditorías anteriores, rotación de pruebas y programas de auditoría asociados con riesgos y aseveraciones. (C, P)</w:t>
            </w:r>
          </w:p>
          <w:p w14:paraId="6EF1A78B" w14:textId="77777777" w:rsidR="00990B14" w:rsidRDefault="00000000">
            <w:pPr>
              <w:spacing w:after="40"/>
              <w:jc w:val="both"/>
            </w:pPr>
            <w:r>
              <w:rPr>
                <w:sz w:val="18"/>
                <w:szCs w:val="18"/>
              </w:rPr>
              <w:t>Confirmaciones externas de saldos bancarios, cuentas por cobrar y cuentas por pagar con entidades del medio boliviano conforme a la Norma Internacional de Auditoría 505. (C, P)</w:t>
            </w:r>
          </w:p>
          <w:p w14:paraId="47B57CDA" w14:textId="77777777" w:rsidR="00990B14" w:rsidRDefault="00000000">
            <w:pPr>
              <w:spacing w:before="60" w:after="20"/>
              <w:jc w:val="both"/>
            </w:pPr>
            <w:r>
              <w:rPr>
                <w:b/>
                <w:bCs/>
                <w:sz w:val="18"/>
                <w:szCs w:val="18"/>
              </w:rPr>
              <w:t>Tema 21</w:t>
            </w:r>
          </w:p>
          <w:p w14:paraId="18838CB1" w14:textId="77777777" w:rsidR="00990B14" w:rsidRDefault="00000000">
            <w:pPr>
              <w:spacing w:after="40"/>
              <w:jc w:val="both"/>
            </w:pPr>
            <w:r>
              <w:rPr>
                <w:sz w:val="18"/>
                <w:szCs w:val="18"/>
              </w:rPr>
              <w:t>Técnicas y uso del muestreo; alcance de los procedimientos sustantivos con muestreo estadístico conforme a la Norma Internacional de Auditoría 530. (C, P)</w:t>
            </w:r>
          </w:p>
          <w:p w14:paraId="09B91F72" w14:textId="77777777" w:rsidR="00990B14" w:rsidRDefault="00000000">
            <w:pPr>
              <w:spacing w:after="40"/>
              <w:jc w:val="both"/>
            </w:pPr>
            <w:r>
              <w:rPr>
                <w:sz w:val="18"/>
                <w:szCs w:val="18"/>
              </w:rPr>
              <w:t>Análisis de datos sobre poblaciones completas y su relación con las técnicas de muestreo. (P, T)</w:t>
            </w:r>
          </w:p>
          <w:p w14:paraId="1DF81449" w14:textId="77777777" w:rsidR="00990B14" w:rsidRDefault="00000000">
            <w:pPr>
              <w:spacing w:after="40"/>
              <w:jc w:val="both"/>
            </w:pPr>
            <w:r>
              <w:rPr>
                <w:sz w:val="18"/>
                <w:szCs w:val="18"/>
              </w:rPr>
              <w:t>Muestreo de atributos para los controles y muestreo por unidades monetarias como pruebas sustantivas, con herramientas tecnológicas. (P, T)</w:t>
            </w:r>
          </w:p>
          <w:p w14:paraId="512EED04" w14:textId="77777777" w:rsidR="00990B14" w:rsidRDefault="00000000">
            <w:pPr>
              <w:spacing w:after="40"/>
              <w:jc w:val="both"/>
            </w:pPr>
            <w:r>
              <w:rPr>
                <w:sz w:val="18"/>
                <w:szCs w:val="18"/>
              </w:rPr>
              <w:t>Alcance de los procedimientos analíticos sustantivos y de las pruebas de controles según su eficacia operativa. (C, P)</w:t>
            </w:r>
          </w:p>
          <w:p w14:paraId="10478AA6" w14:textId="77777777" w:rsidR="00990B14" w:rsidRDefault="00000000">
            <w:pPr>
              <w:spacing w:before="60" w:after="20"/>
              <w:jc w:val="both"/>
            </w:pPr>
            <w:r>
              <w:rPr>
                <w:b/>
                <w:bCs/>
                <w:sz w:val="18"/>
                <w:szCs w:val="18"/>
              </w:rPr>
              <w:t>Tema 22</w:t>
            </w:r>
          </w:p>
          <w:p w14:paraId="239EADC4" w14:textId="77777777" w:rsidR="00990B14" w:rsidRDefault="00000000">
            <w:pPr>
              <w:spacing w:after="40"/>
              <w:jc w:val="both"/>
            </w:pPr>
            <w:r>
              <w:rPr>
                <w:sz w:val="18"/>
                <w:szCs w:val="18"/>
              </w:rPr>
              <w:t>Organización del archivo de auditoría; forma, contenido y extensión de la documentación; requerimientos de la Norma Internacional de Auditoría 230 y criterio del auditor experimentado. (C, P)</w:t>
            </w:r>
          </w:p>
          <w:p w14:paraId="197CF92B" w14:textId="77777777" w:rsidR="00990B14" w:rsidRDefault="00000000">
            <w:pPr>
              <w:spacing w:after="40"/>
              <w:jc w:val="both"/>
            </w:pPr>
            <w:r>
              <w:rPr>
                <w:sz w:val="18"/>
                <w:szCs w:val="18"/>
              </w:rPr>
              <w:t>Papeles de trabajo manuales y habilitados con tecnología: herramientas digitales para documentar las pruebas de detalle y analíticas, ventajas de la automatización, firma digital y control de versiones. (P, T)</w:t>
            </w:r>
          </w:p>
          <w:p w14:paraId="6A6FAC9A" w14:textId="77777777" w:rsidR="00990B14" w:rsidRDefault="00000000">
            <w:pPr>
              <w:spacing w:after="40"/>
              <w:jc w:val="both"/>
            </w:pPr>
            <w:r>
              <w:rPr>
                <w:sz w:val="18"/>
                <w:szCs w:val="18"/>
              </w:rPr>
              <w:t>Propiedad del archivo, copias de los registros de la entidad, terminación del archivo y realización de cambios al archivo de auditoría. (C, P)</w:t>
            </w:r>
          </w:p>
          <w:p w14:paraId="593D82CF" w14:textId="77777777" w:rsidR="00990B14" w:rsidRDefault="00000000">
            <w:pPr>
              <w:spacing w:after="40"/>
              <w:jc w:val="both"/>
            </w:pPr>
            <w:r>
              <w:rPr>
                <w:sz w:val="18"/>
                <w:szCs w:val="18"/>
              </w:rPr>
              <w:t>Almacenamiento, mantenimiento y conservación de la documentación y de los papeles de trabajo manuales y digitalizados. (P)</w:t>
            </w:r>
          </w:p>
          <w:p w14:paraId="27D02A80" w14:textId="77777777" w:rsidR="00990B14" w:rsidRDefault="00000000">
            <w:pPr>
              <w:spacing w:after="40"/>
              <w:jc w:val="both"/>
            </w:pPr>
            <w:r>
              <w:rPr>
                <w:sz w:val="18"/>
                <w:szCs w:val="18"/>
              </w:rPr>
              <w:t>Resguardo de la confidencialidad de la información del cliente en el archivo y en los servicios de almacenamiento remoto. (C, A)</w:t>
            </w:r>
          </w:p>
          <w:p w14:paraId="77FB282B" w14:textId="77777777" w:rsidR="00990B14" w:rsidRDefault="00000000">
            <w:pPr>
              <w:spacing w:before="60" w:after="20"/>
              <w:jc w:val="both"/>
            </w:pPr>
            <w:r>
              <w:rPr>
                <w:b/>
                <w:bCs/>
                <w:sz w:val="18"/>
                <w:szCs w:val="18"/>
              </w:rPr>
              <w:t>Temas 23 a 29</w:t>
            </w:r>
          </w:p>
          <w:p w14:paraId="7940F83F" w14:textId="77777777" w:rsidR="00990B14" w:rsidRDefault="00000000">
            <w:pPr>
              <w:spacing w:after="40"/>
              <w:jc w:val="both"/>
            </w:pPr>
            <w:r>
              <w:rPr>
                <w:sz w:val="18"/>
                <w:szCs w:val="18"/>
              </w:rPr>
              <w:t>Ciclo de efectivo y flujos relacionados: programa de auditoría, matriz del rubro, cuenta o ciclo de transacción, procedimientos sobre la eficacia del control interno, procedimientos sustantivos y evaluación de la evidencia obtenida con escepticismo profesional. (P, A)</w:t>
            </w:r>
          </w:p>
          <w:p w14:paraId="4C808830" w14:textId="77777777" w:rsidR="00990B14" w:rsidRDefault="00000000">
            <w:pPr>
              <w:spacing w:after="40"/>
              <w:jc w:val="both"/>
            </w:pPr>
            <w:r>
              <w:rPr>
                <w:sz w:val="18"/>
                <w:szCs w:val="18"/>
              </w:rPr>
              <w:t>Ciclo de ventas, cobranzas y flujos relacionados. (P, A)</w:t>
            </w:r>
          </w:p>
          <w:p w14:paraId="79F58AA7" w14:textId="77777777" w:rsidR="00990B14" w:rsidRDefault="00000000">
            <w:pPr>
              <w:spacing w:after="40"/>
              <w:jc w:val="both"/>
            </w:pPr>
            <w:r>
              <w:rPr>
                <w:sz w:val="18"/>
                <w:szCs w:val="18"/>
              </w:rPr>
              <w:t>Ciclo de compras, pagos y flujos relacionados. (P, A)</w:t>
            </w:r>
          </w:p>
          <w:p w14:paraId="5BD5141D" w14:textId="77777777" w:rsidR="00990B14" w:rsidRDefault="00000000">
            <w:pPr>
              <w:spacing w:after="40"/>
              <w:jc w:val="both"/>
            </w:pPr>
            <w:r>
              <w:rPr>
                <w:sz w:val="18"/>
                <w:szCs w:val="18"/>
              </w:rPr>
              <w:t>Ciclo de inventarios y costo de ventas. (P, A)</w:t>
            </w:r>
          </w:p>
          <w:p w14:paraId="187188A9" w14:textId="77777777" w:rsidR="00990B14" w:rsidRDefault="00000000">
            <w:pPr>
              <w:spacing w:after="40"/>
              <w:jc w:val="both"/>
            </w:pPr>
            <w:r>
              <w:rPr>
                <w:sz w:val="18"/>
                <w:szCs w:val="18"/>
              </w:rPr>
              <w:t>Observación del recuento físico de inventarios y procedimientos sobre existencias conforme a la Norma Internacional de Auditoría 501. (P)</w:t>
            </w:r>
          </w:p>
          <w:p w14:paraId="569472FE" w14:textId="77777777" w:rsidR="00990B14" w:rsidRDefault="00000000">
            <w:pPr>
              <w:spacing w:after="40"/>
              <w:jc w:val="both"/>
            </w:pPr>
            <w:r>
              <w:rPr>
                <w:sz w:val="18"/>
                <w:szCs w:val="18"/>
              </w:rPr>
              <w:t>Activos fijos y activos intangibles. (P, A)</w:t>
            </w:r>
          </w:p>
          <w:p w14:paraId="180C4B93" w14:textId="77777777" w:rsidR="00990B14" w:rsidRDefault="00000000">
            <w:pPr>
              <w:spacing w:after="40"/>
              <w:jc w:val="both"/>
            </w:pPr>
            <w:r>
              <w:rPr>
                <w:sz w:val="18"/>
                <w:szCs w:val="18"/>
              </w:rPr>
              <w:t>Préstamos bancarios. (P, A)</w:t>
            </w:r>
          </w:p>
          <w:p w14:paraId="2ABBFCF4" w14:textId="77777777" w:rsidR="00990B14" w:rsidRDefault="00000000">
            <w:pPr>
              <w:spacing w:after="40"/>
              <w:jc w:val="both"/>
            </w:pPr>
            <w:r>
              <w:rPr>
                <w:sz w:val="18"/>
                <w:szCs w:val="18"/>
              </w:rPr>
              <w:t>Otros rubros no rutinarios. (P, A)</w:t>
            </w:r>
          </w:p>
          <w:p w14:paraId="08E3D91D" w14:textId="77777777" w:rsidR="00990B14" w:rsidRDefault="00000000">
            <w:pPr>
              <w:spacing w:after="40"/>
              <w:jc w:val="both"/>
            </w:pPr>
            <w:r>
              <w:rPr>
                <w:sz w:val="18"/>
                <w:szCs w:val="18"/>
              </w:rPr>
              <w:t>Revisión de las estimaciones contables de previsiones, depreciaciones y valuación de inventarios conforme a la Norma Internacional de Auditoría 540. (C, P)</w:t>
            </w:r>
          </w:p>
        </w:tc>
        <w:tc>
          <w:tcPr>
            <w:tcW w:w="2752" w:type="dxa"/>
            <w:gridSpan w:val="3"/>
            <w:shd w:val="clear" w:color="auto" w:fill="D9E2F3"/>
          </w:tcPr>
          <w:p w14:paraId="280CD10E" w14:textId="77777777" w:rsidR="00990B14" w:rsidRDefault="00000000">
            <w:pPr>
              <w:numPr>
                <w:ilvl w:val="0"/>
                <w:numId w:val="139"/>
              </w:numPr>
              <w:spacing w:before="10" w:after="10"/>
              <w:jc w:val="both"/>
            </w:pPr>
            <w:r>
              <w:rPr>
                <w:sz w:val="18"/>
                <w:szCs w:val="18"/>
              </w:rPr>
              <w:t>Nociones de técnicas de medición física de existencias a granel y de aforo de tanques.</w:t>
            </w:r>
          </w:p>
          <w:p w14:paraId="0EBCBD50" w14:textId="77777777" w:rsidR="00990B14" w:rsidRDefault="00000000">
            <w:pPr>
              <w:numPr>
                <w:ilvl w:val="0"/>
                <w:numId w:val="139"/>
              </w:numPr>
              <w:spacing w:before="10" w:after="10"/>
              <w:jc w:val="both"/>
            </w:pPr>
            <w:r>
              <w:rPr>
                <w:sz w:val="18"/>
                <w:szCs w:val="18"/>
              </w:rPr>
              <w:t>Nociones de las operaciones de comercio exterior con cartas de crédito y cobranzas documentarias.</w:t>
            </w:r>
          </w:p>
        </w:tc>
      </w:tr>
      <w:tr w:rsidR="00990B14" w14:paraId="676D05A0" w14:textId="77777777">
        <w:trPr>
          <w:cantSplit/>
          <w:jc w:val="center"/>
        </w:trPr>
        <w:tc>
          <w:tcPr>
            <w:tcW w:w="9405" w:type="dxa"/>
            <w:gridSpan w:val="13"/>
            <w:shd w:val="clear" w:color="auto" w:fill="D9E2F3"/>
            <w:vAlign w:val="center"/>
          </w:tcPr>
          <w:p w14:paraId="09323D79" w14:textId="77777777" w:rsidR="00990B14" w:rsidRDefault="00000000">
            <w:pPr>
              <w:spacing w:before="20" w:after="20"/>
              <w:jc w:val="both"/>
            </w:pPr>
            <w:r>
              <w:rPr>
                <w:b/>
                <w:bCs/>
                <w:i/>
                <w:iCs/>
                <w:sz w:val="18"/>
                <w:szCs w:val="18"/>
              </w:rPr>
              <w:t xml:space="preserve">Elemento de competencia 4: </w:t>
            </w:r>
            <w:r>
              <w:rPr>
                <w:sz w:val="18"/>
                <w:szCs w:val="18"/>
              </w:rPr>
              <w:t>Emite el informe del auditor independiente y la carta de recomendaciones del caso práctico conforme a las Normas de Auditoría Generalmente Aceptadas en Bolivia (que son las NIA), evaluando con herramientas tecnológicas la evidencia obtenida y el efecto de las incorrecciones no corregidas, formando la opinión y comunicando los hallazgos a los responsables del gobierno de la entidad, con escepticismo profesional, independencia e integridad.</w:t>
            </w:r>
          </w:p>
        </w:tc>
      </w:tr>
      <w:tr w:rsidR="00990B14" w14:paraId="545F73BE" w14:textId="77777777">
        <w:trPr>
          <w:cantSplit/>
          <w:jc w:val="center"/>
        </w:trPr>
        <w:tc>
          <w:tcPr>
            <w:tcW w:w="3133" w:type="dxa"/>
            <w:gridSpan w:val="4"/>
            <w:shd w:val="clear" w:color="auto" w:fill="4472C4"/>
            <w:vAlign w:val="center"/>
          </w:tcPr>
          <w:p w14:paraId="5C7DAD94"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5C78FA87"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282FFF3C" w14:textId="77777777" w:rsidR="00990B14" w:rsidRDefault="00000000">
            <w:pPr>
              <w:keepNext/>
              <w:spacing w:before="20" w:after="20"/>
              <w:jc w:val="center"/>
            </w:pPr>
            <w:r>
              <w:rPr>
                <w:b/>
                <w:bCs/>
                <w:i/>
                <w:iCs/>
                <w:color w:val="FFFFFF"/>
                <w:sz w:val="18"/>
                <w:szCs w:val="18"/>
              </w:rPr>
              <w:t>Evidencias de producto</w:t>
            </w:r>
          </w:p>
        </w:tc>
      </w:tr>
      <w:tr w:rsidR="00990B14" w14:paraId="78B47CB1" w14:textId="77777777">
        <w:trPr>
          <w:cantSplit/>
          <w:jc w:val="center"/>
        </w:trPr>
        <w:tc>
          <w:tcPr>
            <w:tcW w:w="3133" w:type="dxa"/>
            <w:gridSpan w:val="4"/>
            <w:vMerge w:val="restart"/>
            <w:shd w:val="clear" w:color="auto" w:fill="D9E2F3"/>
            <w:vAlign w:val="center"/>
          </w:tcPr>
          <w:p w14:paraId="6CE81CC8" w14:textId="77777777" w:rsidR="00990B14" w:rsidRDefault="00000000">
            <w:pPr>
              <w:spacing w:before="20" w:after="20"/>
              <w:jc w:val="both"/>
            </w:pPr>
            <w:r>
              <w:rPr>
                <w:sz w:val="18"/>
                <w:szCs w:val="18"/>
              </w:rPr>
              <w:t>1. Evalúa la suficiencia de la evidencia obtenida en el caso práctico, el efecto de las incorrecciones no corregidas y la hipótesis de empresa en funcionamiento, aplicando con herramientas tecnológicas procedimientos analíticos finales y la revisión de los asientos de diario, conforme a las normas de auditoría y con escepticismo profesional.</w:t>
            </w:r>
          </w:p>
        </w:tc>
        <w:tc>
          <w:tcPr>
            <w:tcW w:w="3135" w:type="dxa"/>
            <w:gridSpan w:val="5"/>
            <w:shd w:val="clear" w:color="auto" w:fill="D9E2F3"/>
            <w:vAlign w:val="center"/>
          </w:tcPr>
          <w:p w14:paraId="1FA51FEA" w14:textId="77777777" w:rsidR="00990B14" w:rsidRDefault="00000000">
            <w:pPr>
              <w:spacing w:before="20" w:after="20"/>
              <w:jc w:val="both"/>
            </w:pPr>
            <w:r>
              <w:rPr>
                <w:sz w:val="18"/>
                <w:szCs w:val="18"/>
              </w:rPr>
              <w:t>1.1 Elabora en aula el resumen de las incorrecciones no corregidas y de los hallazgos del caso práctico, evaluando su efecto individual y acumulado frente a la materialidad y concluyendo con escepticismo profesional sobre la suficiencia de la evidencia obtenida y la hipótesis de empresa en funcionamiento.</w:t>
            </w:r>
          </w:p>
        </w:tc>
        <w:tc>
          <w:tcPr>
            <w:tcW w:w="3137" w:type="dxa"/>
            <w:gridSpan w:val="4"/>
            <w:shd w:val="clear" w:color="auto" w:fill="D9E2F3"/>
            <w:vAlign w:val="center"/>
          </w:tcPr>
          <w:p w14:paraId="1CC62635" w14:textId="77777777" w:rsidR="00990B14" w:rsidRDefault="00000000">
            <w:pPr>
              <w:spacing w:before="20" w:after="20"/>
              <w:jc w:val="both"/>
            </w:pPr>
            <w:r>
              <w:rPr>
                <w:b/>
                <w:bCs/>
                <w:sz w:val="18"/>
                <w:szCs w:val="18"/>
              </w:rPr>
              <w:t xml:space="preserve">Producto 13: </w:t>
            </w:r>
            <w:r>
              <w:rPr>
                <w:sz w:val="18"/>
                <w:szCs w:val="18"/>
              </w:rPr>
              <w:t>Papel de trabajo de resumen de incorrecciones no corregidas y de hallazgos del caso práctico, con su efecto frente a la materialidad y las conclusiones sobre la suficiencia de la evidencia y la empresa en funcionamiento.</w:t>
            </w:r>
          </w:p>
        </w:tc>
      </w:tr>
      <w:tr w:rsidR="00990B14" w14:paraId="62858455" w14:textId="77777777">
        <w:trPr>
          <w:cantSplit/>
          <w:jc w:val="center"/>
        </w:trPr>
        <w:tc>
          <w:tcPr>
            <w:tcW w:w="3133" w:type="dxa"/>
            <w:gridSpan w:val="4"/>
            <w:vMerge/>
            <w:shd w:val="clear" w:color="auto" w:fill="D9E2F3"/>
            <w:vAlign w:val="center"/>
          </w:tcPr>
          <w:p w14:paraId="3F209068" w14:textId="77777777" w:rsidR="00990B14" w:rsidRDefault="00990B14">
            <w:pPr>
              <w:spacing w:before="20" w:after="20"/>
            </w:pPr>
          </w:p>
        </w:tc>
        <w:tc>
          <w:tcPr>
            <w:tcW w:w="3135" w:type="dxa"/>
            <w:gridSpan w:val="5"/>
            <w:shd w:val="clear" w:color="auto" w:fill="D9E2F3"/>
            <w:vAlign w:val="center"/>
          </w:tcPr>
          <w:p w14:paraId="5F50B43B" w14:textId="77777777" w:rsidR="00990B14" w:rsidRDefault="00000000">
            <w:pPr>
              <w:spacing w:before="20" w:after="20"/>
              <w:jc w:val="both"/>
            </w:pPr>
            <w:r>
              <w:rPr>
                <w:sz w:val="18"/>
                <w:szCs w:val="18"/>
              </w:rPr>
              <w:t>1.2 Analiza en equipo los datos del caso práctico con herramientas tecnológicas, validando la integridad de los datos extraídos, aplicando los procedimientos analíticos finales e identificando variaciones no explicadas y asientos de diario inusuales (journal entries).</w:t>
            </w:r>
          </w:p>
        </w:tc>
        <w:tc>
          <w:tcPr>
            <w:tcW w:w="3137" w:type="dxa"/>
            <w:gridSpan w:val="4"/>
            <w:shd w:val="clear" w:color="auto" w:fill="D9E2F3"/>
            <w:vAlign w:val="center"/>
          </w:tcPr>
          <w:p w14:paraId="361F1C18" w14:textId="77777777" w:rsidR="00990B14" w:rsidRDefault="00000000">
            <w:pPr>
              <w:spacing w:before="20" w:after="20"/>
              <w:jc w:val="both"/>
            </w:pPr>
            <w:r>
              <w:rPr>
                <w:b/>
                <w:bCs/>
                <w:sz w:val="18"/>
                <w:szCs w:val="18"/>
              </w:rPr>
              <w:t xml:space="preserve">Producto 14: </w:t>
            </w:r>
            <w:r>
              <w:rPr>
                <w:sz w:val="18"/>
                <w:szCs w:val="18"/>
              </w:rPr>
              <w:t>Reporte de análisis de datos de los procedimientos analíticos finales y de los asientos de diario del caso práctico, con la validación de los datos, las variaciones no explicadas y los asientos inusuales (journal entries) identificados.</w:t>
            </w:r>
          </w:p>
        </w:tc>
      </w:tr>
      <w:tr w:rsidR="00990B14" w14:paraId="43AFD74C" w14:textId="77777777">
        <w:trPr>
          <w:cantSplit/>
          <w:jc w:val="center"/>
        </w:trPr>
        <w:tc>
          <w:tcPr>
            <w:tcW w:w="3133" w:type="dxa"/>
            <w:gridSpan w:val="4"/>
            <w:vMerge w:val="restart"/>
            <w:shd w:val="clear" w:color="auto" w:fill="D9E2F3"/>
            <w:vAlign w:val="center"/>
          </w:tcPr>
          <w:p w14:paraId="373292E3" w14:textId="77777777" w:rsidR="00990B14" w:rsidRDefault="00000000">
            <w:pPr>
              <w:spacing w:before="20" w:after="20"/>
              <w:jc w:val="both"/>
            </w:pPr>
            <w:r>
              <w:rPr>
                <w:sz w:val="18"/>
                <w:szCs w:val="18"/>
              </w:rPr>
              <w:t>2. Emite el informe del auditor independiente del caso práctico con las modificaciones y los párrafos adicionales que correspondan, formando la opinión sobre los estados financieros y comunicando a los responsables del gobierno de la entidad la carta de recomendaciones con observaciones estructuradas, conforme a las normas de auditoría y con independencia e integridad.</w:t>
            </w:r>
          </w:p>
        </w:tc>
        <w:tc>
          <w:tcPr>
            <w:tcW w:w="3135" w:type="dxa"/>
            <w:gridSpan w:val="5"/>
            <w:shd w:val="clear" w:color="auto" w:fill="D9E2F3"/>
            <w:vAlign w:val="center"/>
          </w:tcPr>
          <w:p w14:paraId="2A39D86C" w14:textId="77777777" w:rsidR="00990B14" w:rsidRDefault="00000000">
            <w:pPr>
              <w:spacing w:before="20" w:after="20"/>
              <w:jc w:val="both"/>
            </w:pPr>
            <w:r>
              <w:rPr>
                <w:sz w:val="18"/>
                <w:szCs w:val="18"/>
              </w:rPr>
              <w:t>2.1 Redacta en aula el informe del auditor independiente del caso práctico, con los párrafos adicionales que correspondan, fundamentando con integridad el tipo de opinión en la evidencia obtenida.</w:t>
            </w:r>
          </w:p>
        </w:tc>
        <w:tc>
          <w:tcPr>
            <w:tcW w:w="3137" w:type="dxa"/>
            <w:gridSpan w:val="4"/>
            <w:shd w:val="clear" w:color="auto" w:fill="D9E2F3"/>
            <w:vAlign w:val="center"/>
          </w:tcPr>
          <w:p w14:paraId="0830656E" w14:textId="77777777" w:rsidR="00990B14" w:rsidRDefault="00000000">
            <w:pPr>
              <w:spacing w:before="20" w:after="20"/>
              <w:jc w:val="both"/>
            </w:pPr>
            <w:r>
              <w:rPr>
                <w:b/>
                <w:bCs/>
                <w:sz w:val="18"/>
                <w:szCs w:val="18"/>
              </w:rPr>
              <w:t xml:space="preserve">Producto 15: </w:t>
            </w:r>
            <w:r>
              <w:rPr>
                <w:sz w:val="18"/>
                <w:szCs w:val="18"/>
              </w:rPr>
              <w:t>Informe del auditor independiente del caso práctico, con los párrafos adicionales que correspondan y la fundamentación del tipo de opinión emitida.</w:t>
            </w:r>
          </w:p>
        </w:tc>
      </w:tr>
      <w:tr w:rsidR="00990B14" w14:paraId="4390F71E" w14:textId="77777777">
        <w:trPr>
          <w:cantSplit/>
          <w:jc w:val="center"/>
        </w:trPr>
        <w:tc>
          <w:tcPr>
            <w:tcW w:w="3133" w:type="dxa"/>
            <w:gridSpan w:val="4"/>
            <w:vMerge/>
            <w:shd w:val="clear" w:color="auto" w:fill="D9E2F3"/>
            <w:vAlign w:val="center"/>
          </w:tcPr>
          <w:p w14:paraId="4BE34A23" w14:textId="77777777" w:rsidR="00990B14" w:rsidRDefault="00990B14">
            <w:pPr>
              <w:spacing w:before="20" w:after="20"/>
            </w:pPr>
          </w:p>
        </w:tc>
        <w:tc>
          <w:tcPr>
            <w:tcW w:w="3135" w:type="dxa"/>
            <w:gridSpan w:val="5"/>
            <w:shd w:val="clear" w:color="auto" w:fill="D9E2F3"/>
            <w:vAlign w:val="center"/>
          </w:tcPr>
          <w:p w14:paraId="699FFE26" w14:textId="77777777" w:rsidR="00990B14" w:rsidRDefault="00000000">
            <w:pPr>
              <w:spacing w:before="20" w:after="20"/>
              <w:jc w:val="both"/>
            </w:pPr>
            <w:r>
              <w:rPr>
                <w:sz w:val="18"/>
                <w:szCs w:val="18"/>
              </w:rPr>
              <w:t>2.2 Redacta en equipo la carta de recomendaciones del caso práctico con observaciones estructuradas en condición, criterio, causa, efecto y recomendación, sustentándola con independencia en un simulacro de reunión con el directorio y el síndico.</w:t>
            </w:r>
          </w:p>
        </w:tc>
        <w:tc>
          <w:tcPr>
            <w:tcW w:w="3137" w:type="dxa"/>
            <w:gridSpan w:val="4"/>
            <w:shd w:val="clear" w:color="auto" w:fill="D9E2F3"/>
            <w:vAlign w:val="center"/>
          </w:tcPr>
          <w:p w14:paraId="39E5E50D" w14:textId="77777777" w:rsidR="00990B14" w:rsidRDefault="00000000">
            <w:pPr>
              <w:spacing w:before="20" w:after="20"/>
              <w:jc w:val="both"/>
            </w:pPr>
            <w:r>
              <w:rPr>
                <w:b/>
                <w:bCs/>
                <w:sz w:val="18"/>
                <w:szCs w:val="18"/>
              </w:rPr>
              <w:t xml:space="preserve">Producto 16: </w:t>
            </w:r>
            <w:r>
              <w:rPr>
                <w:sz w:val="18"/>
                <w:szCs w:val="18"/>
              </w:rPr>
              <w:t>Carta de recomendaciones de control interno del caso práctico con observaciones estructuradas en condición, criterio, causa, efecto y recomendación.</w:t>
            </w:r>
          </w:p>
        </w:tc>
      </w:tr>
      <w:tr w:rsidR="00990B14" w14:paraId="60A76056" w14:textId="77777777">
        <w:trPr>
          <w:cantSplit/>
          <w:jc w:val="center"/>
        </w:trPr>
        <w:tc>
          <w:tcPr>
            <w:tcW w:w="9405" w:type="dxa"/>
            <w:gridSpan w:val="13"/>
            <w:shd w:val="clear" w:color="auto" w:fill="4472C4"/>
            <w:vAlign w:val="center"/>
          </w:tcPr>
          <w:p w14:paraId="2B651A1C" w14:textId="77777777" w:rsidR="00990B14" w:rsidRDefault="00000000">
            <w:pPr>
              <w:keepNext/>
              <w:spacing w:before="20" w:after="20"/>
              <w:jc w:val="center"/>
            </w:pPr>
            <w:r>
              <w:rPr>
                <w:b/>
                <w:bCs/>
                <w:i/>
                <w:iCs/>
                <w:color w:val="FFFFFF"/>
                <w:sz w:val="18"/>
                <w:szCs w:val="18"/>
              </w:rPr>
              <w:t>Evidencias de conocimiento</w:t>
            </w:r>
          </w:p>
        </w:tc>
      </w:tr>
      <w:tr w:rsidR="00990B14" w14:paraId="43D052E8" w14:textId="77777777">
        <w:trPr>
          <w:cantSplit/>
          <w:jc w:val="center"/>
        </w:trPr>
        <w:tc>
          <w:tcPr>
            <w:tcW w:w="2349" w:type="dxa"/>
            <w:gridSpan w:val="2"/>
            <w:shd w:val="clear" w:color="auto" w:fill="4472C4"/>
            <w:vAlign w:val="center"/>
          </w:tcPr>
          <w:p w14:paraId="1027BDFA"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5FAFE786" w14:textId="77777777" w:rsidR="00990B14" w:rsidRDefault="00000000">
            <w:pPr>
              <w:keepNext/>
              <w:spacing w:before="20" w:after="20"/>
              <w:jc w:val="both"/>
            </w:pPr>
            <w:r>
              <w:rPr>
                <w:b/>
                <w:bCs/>
                <w:i/>
                <w:iCs/>
                <w:color w:val="FFFFFF"/>
                <w:sz w:val="18"/>
                <w:szCs w:val="18"/>
              </w:rPr>
              <w:t>Contenidos</w:t>
            </w:r>
          </w:p>
          <w:p w14:paraId="7A51F95C"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35D83E07" w14:textId="77777777" w:rsidR="00990B14" w:rsidRDefault="00000000">
            <w:pPr>
              <w:keepNext/>
              <w:spacing w:before="20" w:after="20"/>
              <w:jc w:val="center"/>
            </w:pPr>
            <w:r>
              <w:rPr>
                <w:b/>
                <w:bCs/>
                <w:i/>
                <w:iCs/>
                <w:color w:val="FFFFFF"/>
                <w:sz w:val="18"/>
                <w:szCs w:val="18"/>
              </w:rPr>
              <w:t>Conocimientos circunstanciales</w:t>
            </w:r>
          </w:p>
        </w:tc>
      </w:tr>
      <w:tr w:rsidR="00990B14" w14:paraId="6CACC32F" w14:textId="77777777">
        <w:trPr>
          <w:jc w:val="center"/>
        </w:trPr>
        <w:tc>
          <w:tcPr>
            <w:tcW w:w="2349" w:type="dxa"/>
            <w:gridSpan w:val="2"/>
            <w:shd w:val="clear" w:color="auto" w:fill="D9E2F3"/>
          </w:tcPr>
          <w:p w14:paraId="2A09693F" w14:textId="77777777" w:rsidR="00990B14" w:rsidRDefault="00000000">
            <w:pPr>
              <w:spacing w:before="20" w:after="40"/>
              <w:jc w:val="both"/>
            </w:pPr>
            <w:r>
              <w:rPr>
                <w:sz w:val="18"/>
                <w:szCs w:val="18"/>
              </w:rPr>
              <w:t>Tema 30: Evaluación de la evidencia obtenida y papeles de trabajo de resumen de hallazgos Tema 31: Formación de la opinión y el informe del auditor Tema 32: Carta de recomendaciones y comunicación con los responsables del gobierno de la entidad Tema 33: Utilización de herramientas tecnológicas en la auditoría</w:t>
            </w:r>
          </w:p>
        </w:tc>
        <w:tc>
          <w:tcPr>
            <w:tcW w:w="4304" w:type="dxa"/>
            <w:gridSpan w:val="8"/>
            <w:shd w:val="clear" w:color="auto" w:fill="D9E2F3"/>
          </w:tcPr>
          <w:p w14:paraId="46175CFE" w14:textId="77777777" w:rsidR="00990B14" w:rsidRDefault="00000000">
            <w:pPr>
              <w:spacing w:before="60" w:after="20"/>
              <w:jc w:val="both"/>
            </w:pPr>
            <w:r>
              <w:rPr>
                <w:b/>
                <w:bCs/>
                <w:sz w:val="18"/>
                <w:szCs w:val="18"/>
              </w:rPr>
              <w:t>Tema 30</w:t>
            </w:r>
          </w:p>
          <w:p w14:paraId="09576494" w14:textId="77777777" w:rsidR="00990B14" w:rsidRDefault="00000000">
            <w:pPr>
              <w:spacing w:after="40"/>
              <w:jc w:val="both"/>
            </w:pPr>
            <w:r>
              <w:rPr>
                <w:sz w:val="18"/>
                <w:szCs w:val="18"/>
              </w:rPr>
              <w:t>Objetivos de la evaluación de la evidencia de auditoría, de la materialidad y de los cambios en las valoraciones de riesgo. (C, P)</w:t>
            </w:r>
          </w:p>
          <w:p w14:paraId="78BA2F3E" w14:textId="77777777" w:rsidR="00990B14" w:rsidRDefault="00000000">
            <w:pPr>
              <w:spacing w:after="40"/>
              <w:jc w:val="both"/>
            </w:pPr>
            <w:r>
              <w:rPr>
                <w:sz w:val="18"/>
                <w:szCs w:val="18"/>
              </w:rPr>
              <w:t>Valoración del efecto de las incorrecciones no corregidas y de la suficiencia y adecuación de la evidencia de auditoría conforme a la Norma Internacional de Auditoría 450. (C, P)</w:t>
            </w:r>
          </w:p>
          <w:p w14:paraId="19B3678B" w14:textId="77777777" w:rsidR="00990B14" w:rsidRDefault="00000000">
            <w:pPr>
              <w:spacing w:after="40"/>
              <w:jc w:val="both"/>
            </w:pPr>
            <w:r>
              <w:rPr>
                <w:sz w:val="18"/>
                <w:szCs w:val="18"/>
              </w:rPr>
              <w:t>Procedimientos analíticos finales, hallazgos y problemas significativos y evaluación de la evidencia de auditoría. (P)</w:t>
            </w:r>
          </w:p>
          <w:p w14:paraId="12980974" w14:textId="77777777" w:rsidR="00990B14" w:rsidRDefault="00000000">
            <w:pPr>
              <w:spacing w:after="40"/>
              <w:jc w:val="both"/>
            </w:pPr>
            <w:r>
              <w:rPr>
                <w:sz w:val="18"/>
                <w:szCs w:val="18"/>
              </w:rPr>
              <w:t>Incertidumbre material relacionada con la empresa en funcionamiento y requerimientos de la Norma Internacional de Auditoría 570 sobre su evaluación y su informe. (C, P)</w:t>
            </w:r>
          </w:p>
          <w:p w14:paraId="6DAF6554" w14:textId="77777777" w:rsidR="00990B14" w:rsidRDefault="00000000">
            <w:pPr>
              <w:spacing w:before="60" w:after="20"/>
              <w:jc w:val="both"/>
            </w:pPr>
            <w:r>
              <w:rPr>
                <w:b/>
                <w:bCs/>
                <w:sz w:val="18"/>
                <w:szCs w:val="18"/>
              </w:rPr>
              <w:t>Tema 31</w:t>
            </w:r>
          </w:p>
          <w:p w14:paraId="7CCF3E93" w14:textId="77777777" w:rsidR="00990B14" w:rsidRDefault="00000000">
            <w:pPr>
              <w:spacing w:after="40"/>
              <w:jc w:val="both"/>
            </w:pPr>
            <w:r>
              <w:rPr>
                <w:sz w:val="18"/>
                <w:szCs w:val="18"/>
              </w:rPr>
              <w:t>Evaluación de las conclusiones y formación de la opinión con integridad e independencia; forma y redacción del informe de auditoría conforme a la Norma Internacional de Auditoría 700. (C, P, A)</w:t>
            </w:r>
          </w:p>
          <w:p w14:paraId="35A07F5F" w14:textId="77777777" w:rsidR="00990B14" w:rsidRDefault="00000000">
            <w:pPr>
              <w:spacing w:after="40"/>
              <w:jc w:val="both"/>
            </w:pPr>
            <w:r>
              <w:rPr>
                <w:sz w:val="18"/>
                <w:szCs w:val="18"/>
              </w:rPr>
              <w:t>Estructura del informe del auditor, opinión de auditoría no modificada, otros requerimientos de información e información adicional presentada junto con los estados financieros. (C)</w:t>
            </w:r>
          </w:p>
          <w:p w14:paraId="69431DA0" w14:textId="77777777" w:rsidR="00990B14" w:rsidRDefault="00000000">
            <w:pPr>
              <w:spacing w:after="40"/>
              <w:jc w:val="both"/>
            </w:pPr>
            <w:r>
              <w:rPr>
                <w:sz w:val="18"/>
                <w:szCs w:val="18"/>
              </w:rPr>
              <w:t>Informes del auditor modificados: estados financieros con incorrecciones materiales e imposibilidad de obtener evidencia de auditoría suficiente y adecuada conforme a la Norma Internacional de Auditoría 705. (C, P)</w:t>
            </w:r>
          </w:p>
          <w:p w14:paraId="4ED47338" w14:textId="77777777" w:rsidR="00990B14" w:rsidRDefault="00000000">
            <w:pPr>
              <w:spacing w:after="40"/>
              <w:jc w:val="both"/>
            </w:pPr>
            <w:r>
              <w:rPr>
                <w:sz w:val="18"/>
                <w:szCs w:val="18"/>
              </w:rPr>
              <w:t>Cuestiones clave de la auditoría: identificación, selección y redacción en el informe del auditor. (C, P)</w:t>
            </w:r>
          </w:p>
          <w:p w14:paraId="4754FAFE" w14:textId="77777777" w:rsidR="00990B14" w:rsidRDefault="00000000">
            <w:pPr>
              <w:spacing w:after="40"/>
              <w:jc w:val="both"/>
            </w:pPr>
            <w:r>
              <w:rPr>
                <w:sz w:val="18"/>
                <w:szCs w:val="18"/>
              </w:rPr>
              <w:t>Párrafos de énfasis, párrafos de otras cuestiones e informes de auditoría sobre estados financieros comparativos conforme a las Normas Internacionales de Auditoría 706 y 710. (C)</w:t>
            </w:r>
          </w:p>
          <w:p w14:paraId="222DBF56" w14:textId="77777777" w:rsidR="00990B14" w:rsidRDefault="00000000">
            <w:pPr>
              <w:spacing w:after="40"/>
              <w:jc w:val="both"/>
            </w:pPr>
            <w:r>
              <w:rPr>
                <w:sz w:val="18"/>
                <w:szCs w:val="18"/>
              </w:rPr>
              <w:t>Hechos posteriores al cierre y su efecto en el informe del auditor conforme a la Norma Internacional de Auditoría 560. (C)</w:t>
            </w:r>
          </w:p>
          <w:p w14:paraId="501210A5" w14:textId="77777777" w:rsidR="00990B14" w:rsidRDefault="00000000">
            <w:pPr>
              <w:spacing w:after="40"/>
              <w:jc w:val="both"/>
            </w:pPr>
            <w:r>
              <w:rPr>
                <w:sz w:val="18"/>
                <w:szCs w:val="18"/>
              </w:rPr>
              <w:t>Representaciones escritas de la administración conforme a la Norma Internacional de Auditoría 580. (C)</w:t>
            </w:r>
          </w:p>
          <w:p w14:paraId="601571F1" w14:textId="77777777" w:rsidR="00990B14" w:rsidRDefault="00000000">
            <w:pPr>
              <w:spacing w:before="60" w:after="20"/>
              <w:jc w:val="both"/>
            </w:pPr>
            <w:r>
              <w:rPr>
                <w:b/>
                <w:bCs/>
                <w:sz w:val="18"/>
                <w:szCs w:val="18"/>
              </w:rPr>
              <w:t>Tema 32</w:t>
            </w:r>
          </w:p>
          <w:p w14:paraId="31C108E3" w14:textId="77777777" w:rsidR="00990B14" w:rsidRDefault="00000000">
            <w:pPr>
              <w:spacing w:after="40"/>
              <w:jc w:val="both"/>
            </w:pPr>
            <w:r>
              <w:rPr>
                <w:sz w:val="18"/>
                <w:szCs w:val="18"/>
              </w:rPr>
              <w:t>Identificación de aspectos reportables, factores a considerar y responsabilidad de la implementación de los sistemas de control. (C, P)</w:t>
            </w:r>
          </w:p>
          <w:p w14:paraId="557EBA3D" w14:textId="77777777" w:rsidR="00990B14" w:rsidRDefault="00000000">
            <w:pPr>
              <w:spacing w:after="40"/>
              <w:jc w:val="both"/>
            </w:pPr>
            <w:r>
              <w:rPr>
                <w:sz w:val="18"/>
                <w:szCs w:val="18"/>
              </w:rPr>
              <w:t>Formas y contenido de los informes y estructura en la redacción de las observaciones en condición, criterio, causa, efecto y recomendación. (C, P)</w:t>
            </w:r>
          </w:p>
          <w:p w14:paraId="79BBA4D3" w14:textId="77777777" w:rsidR="00990B14" w:rsidRDefault="00000000">
            <w:pPr>
              <w:spacing w:after="40"/>
              <w:jc w:val="both"/>
            </w:pPr>
            <w:r>
              <w:rPr>
                <w:sz w:val="18"/>
                <w:szCs w:val="18"/>
              </w:rPr>
              <w:t>Comunicación con los responsables del gobierno de la entidad conforme a la Norma Internacional de Auditoría 260: deficiencias significativas de control interno y asuntos de independencia, con integridad y objetividad. (C, P, A)</w:t>
            </w:r>
          </w:p>
          <w:p w14:paraId="2EAF3DB8" w14:textId="77777777" w:rsidR="00990B14" w:rsidRDefault="00000000">
            <w:pPr>
              <w:spacing w:before="60" w:after="20"/>
              <w:jc w:val="both"/>
            </w:pPr>
            <w:r>
              <w:rPr>
                <w:b/>
                <w:bCs/>
                <w:sz w:val="18"/>
                <w:szCs w:val="18"/>
              </w:rPr>
              <w:t>Tema 33</w:t>
            </w:r>
          </w:p>
          <w:p w14:paraId="13DF9A7B" w14:textId="77777777" w:rsidR="00990B14" w:rsidRDefault="00000000">
            <w:pPr>
              <w:spacing w:after="40"/>
              <w:jc w:val="both"/>
            </w:pPr>
            <w:r>
              <w:rPr>
                <w:sz w:val="18"/>
                <w:szCs w:val="18"/>
              </w:rPr>
              <w:t>Características y clases de herramientas tecnológicas de apoyo a la auditoría. (C)</w:t>
            </w:r>
          </w:p>
          <w:p w14:paraId="043623F9" w14:textId="77777777" w:rsidR="00990B14" w:rsidRDefault="00000000">
            <w:pPr>
              <w:spacing w:after="40"/>
              <w:jc w:val="both"/>
            </w:pPr>
            <w:r>
              <w:rPr>
                <w:sz w:val="18"/>
                <w:szCs w:val="18"/>
              </w:rPr>
              <w:t>Utilización de herramientas tecnológicas para la preparación de papeles de trabajo y para el análisis de datos. (P, T)</w:t>
            </w:r>
          </w:p>
          <w:p w14:paraId="2C0EBF48" w14:textId="77777777" w:rsidR="00990B14" w:rsidRDefault="00000000">
            <w:pPr>
              <w:spacing w:after="40"/>
              <w:jc w:val="both"/>
            </w:pPr>
            <w:r>
              <w:rPr>
                <w:sz w:val="18"/>
                <w:szCs w:val="18"/>
              </w:rPr>
              <w:t>Uso de herramientas tecnológicas de apoyo a la auditoría: verificación de sus resultados por el auditor, responsabilidad profesional sobre lo que se firma, confidencialidad de los datos y documentación de su utilización. (P, A, T)</w:t>
            </w:r>
          </w:p>
        </w:tc>
        <w:tc>
          <w:tcPr>
            <w:tcW w:w="2752" w:type="dxa"/>
            <w:gridSpan w:val="3"/>
            <w:shd w:val="clear" w:color="auto" w:fill="D9E2F3"/>
          </w:tcPr>
          <w:p w14:paraId="4CCCECFF" w14:textId="77777777" w:rsidR="00990B14" w:rsidRDefault="00000000">
            <w:pPr>
              <w:numPr>
                <w:ilvl w:val="0"/>
                <w:numId w:val="139"/>
              </w:numPr>
              <w:spacing w:before="10" w:after="10"/>
              <w:jc w:val="both"/>
            </w:pPr>
            <w:r>
              <w:rPr>
                <w:sz w:val="18"/>
                <w:szCs w:val="18"/>
              </w:rPr>
              <w:t>Nociones de comunicación ejecutiva y de sustentación oral de conclusiones ante los responsables del gobierno de la entidad.</w:t>
            </w:r>
          </w:p>
        </w:tc>
      </w:tr>
    </w:tbl>
    <w:p w14:paraId="3AC8C607"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700"/>
        <w:gridCol w:w="1805"/>
        <w:gridCol w:w="2015"/>
        <w:gridCol w:w="1805"/>
        <w:gridCol w:w="2080"/>
      </w:tblGrid>
      <w:tr w:rsidR="00990B14" w14:paraId="1CE97095" w14:textId="77777777">
        <w:trPr>
          <w:cantSplit/>
          <w:jc w:val="center"/>
        </w:trPr>
        <w:tc>
          <w:tcPr>
            <w:tcW w:w="9405" w:type="dxa"/>
            <w:gridSpan w:val="5"/>
            <w:shd w:val="clear" w:color="auto" w:fill="4472C4"/>
            <w:vAlign w:val="center"/>
          </w:tcPr>
          <w:p w14:paraId="4361E05F" w14:textId="77777777" w:rsidR="00990B14" w:rsidRDefault="00000000">
            <w:pPr>
              <w:keepNext/>
              <w:spacing w:before="20" w:after="20"/>
              <w:jc w:val="center"/>
            </w:pPr>
            <w:r>
              <w:rPr>
                <w:b/>
                <w:bCs/>
                <w:i/>
                <w:iCs/>
                <w:color w:val="FFFFFF"/>
                <w:sz w:val="18"/>
                <w:szCs w:val="18"/>
              </w:rPr>
              <w:t>Actividades</w:t>
            </w:r>
          </w:p>
        </w:tc>
      </w:tr>
      <w:tr w:rsidR="00990B14" w14:paraId="5E4CEB24" w14:textId="77777777">
        <w:trPr>
          <w:cantSplit/>
          <w:jc w:val="center"/>
        </w:trPr>
        <w:tc>
          <w:tcPr>
            <w:tcW w:w="1700" w:type="dxa"/>
            <w:shd w:val="clear" w:color="auto" w:fill="4472C4"/>
            <w:vAlign w:val="center"/>
          </w:tcPr>
          <w:p w14:paraId="4290D653" w14:textId="77777777" w:rsidR="00990B14" w:rsidRDefault="00000000">
            <w:pPr>
              <w:keepNext/>
              <w:spacing w:before="20" w:after="20"/>
              <w:jc w:val="center"/>
            </w:pPr>
            <w:r>
              <w:rPr>
                <w:b/>
                <w:bCs/>
                <w:i/>
                <w:iCs/>
                <w:color w:val="FFFFFF"/>
                <w:sz w:val="18"/>
                <w:szCs w:val="18"/>
              </w:rPr>
              <w:t>En clase</w:t>
            </w:r>
          </w:p>
        </w:tc>
        <w:tc>
          <w:tcPr>
            <w:tcW w:w="1805" w:type="dxa"/>
            <w:shd w:val="clear" w:color="auto" w:fill="4472C4"/>
            <w:vAlign w:val="center"/>
          </w:tcPr>
          <w:p w14:paraId="497B11F5" w14:textId="77777777" w:rsidR="00990B14" w:rsidRDefault="00000000">
            <w:pPr>
              <w:keepNext/>
              <w:spacing w:before="20" w:after="20"/>
              <w:jc w:val="center"/>
            </w:pPr>
            <w:r>
              <w:rPr>
                <w:b/>
                <w:bCs/>
                <w:i/>
                <w:iCs/>
                <w:color w:val="FFFFFF"/>
                <w:sz w:val="18"/>
                <w:szCs w:val="18"/>
              </w:rPr>
              <w:t>Autónomas</w:t>
            </w:r>
          </w:p>
        </w:tc>
        <w:tc>
          <w:tcPr>
            <w:tcW w:w="2015" w:type="dxa"/>
            <w:shd w:val="clear" w:color="auto" w:fill="4472C4"/>
            <w:vAlign w:val="center"/>
          </w:tcPr>
          <w:p w14:paraId="116CBBC0" w14:textId="77777777" w:rsidR="00990B14" w:rsidRDefault="00000000">
            <w:pPr>
              <w:keepNext/>
              <w:spacing w:before="20" w:after="20"/>
              <w:jc w:val="center"/>
            </w:pPr>
            <w:r>
              <w:rPr>
                <w:b/>
                <w:bCs/>
                <w:i/>
                <w:iCs/>
                <w:color w:val="FFFFFF"/>
                <w:sz w:val="18"/>
                <w:szCs w:val="18"/>
              </w:rPr>
              <w:t>B-Learning</w:t>
            </w:r>
          </w:p>
        </w:tc>
        <w:tc>
          <w:tcPr>
            <w:tcW w:w="1805" w:type="dxa"/>
            <w:shd w:val="clear" w:color="auto" w:fill="4472C4"/>
            <w:vAlign w:val="center"/>
          </w:tcPr>
          <w:p w14:paraId="136B5CC4" w14:textId="77777777" w:rsidR="00990B14" w:rsidRDefault="00000000">
            <w:pPr>
              <w:keepNext/>
              <w:spacing w:before="20" w:after="20"/>
              <w:jc w:val="center"/>
            </w:pPr>
            <w:r>
              <w:rPr>
                <w:b/>
                <w:bCs/>
                <w:i/>
                <w:iCs/>
                <w:color w:val="FFFFFF"/>
                <w:sz w:val="18"/>
                <w:szCs w:val="18"/>
              </w:rPr>
              <w:t>Taller</w:t>
            </w:r>
          </w:p>
        </w:tc>
        <w:tc>
          <w:tcPr>
            <w:tcW w:w="2080" w:type="dxa"/>
            <w:shd w:val="clear" w:color="auto" w:fill="4472C4"/>
            <w:vAlign w:val="center"/>
          </w:tcPr>
          <w:p w14:paraId="18D27E88" w14:textId="77777777" w:rsidR="00990B14" w:rsidRDefault="00000000">
            <w:pPr>
              <w:keepNext/>
              <w:spacing w:before="20" w:after="20"/>
              <w:jc w:val="center"/>
            </w:pPr>
            <w:r>
              <w:rPr>
                <w:b/>
                <w:bCs/>
                <w:i/>
                <w:iCs/>
                <w:color w:val="FFFFFF"/>
                <w:sz w:val="18"/>
                <w:szCs w:val="18"/>
              </w:rPr>
              <w:t>Investigación/Práctica</w:t>
            </w:r>
          </w:p>
        </w:tc>
      </w:tr>
      <w:tr w:rsidR="00990B14" w14:paraId="6D5DB547" w14:textId="77777777">
        <w:trPr>
          <w:jc w:val="center"/>
        </w:trPr>
        <w:tc>
          <w:tcPr>
            <w:tcW w:w="1700" w:type="dxa"/>
            <w:shd w:val="clear" w:color="auto" w:fill="D9E2F3"/>
          </w:tcPr>
          <w:p w14:paraId="47E5A5B6" w14:textId="77777777" w:rsidR="00990B14" w:rsidRDefault="00000000">
            <w:pPr>
              <w:numPr>
                <w:ilvl w:val="0"/>
                <w:numId w:val="139"/>
              </w:numPr>
              <w:spacing w:before="10" w:after="10"/>
              <w:jc w:val="both"/>
            </w:pPr>
            <w:r>
              <w:rPr>
                <w:sz w:val="18"/>
                <w:szCs w:val="18"/>
              </w:rPr>
              <w:t>Exposición dialogada de las decisiones del auditor en cada fase del caso práctico.</w:t>
            </w:r>
          </w:p>
          <w:p w14:paraId="50130498" w14:textId="77777777" w:rsidR="00990B14" w:rsidRDefault="00000000">
            <w:pPr>
              <w:numPr>
                <w:ilvl w:val="0"/>
                <w:numId w:val="139"/>
              </w:numPr>
              <w:spacing w:before="10" w:after="10"/>
              <w:jc w:val="both"/>
            </w:pPr>
            <w:r>
              <w:rPr>
                <w:sz w:val="18"/>
                <w:szCs w:val="18"/>
              </w:rPr>
              <w:t>Revisión guiada por el docente de los papeles de trabajo de cada ciclo de transacciones.</w:t>
            </w:r>
          </w:p>
          <w:p w14:paraId="04A40E05" w14:textId="77777777" w:rsidR="00990B14" w:rsidRDefault="00000000">
            <w:pPr>
              <w:numPr>
                <w:ilvl w:val="0"/>
                <w:numId w:val="139"/>
              </w:numPr>
              <w:spacing w:before="10" w:after="10"/>
              <w:jc w:val="both"/>
            </w:pPr>
            <w:r>
              <w:rPr>
                <w:sz w:val="18"/>
                <w:szCs w:val="18"/>
              </w:rPr>
              <w:t>Demostración del uso de herramientas tecnológicas sobre archivos de transacciones del caso práctico.</w:t>
            </w:r>
          </w:p>
          <w:p w14:paraId="24BA7E48" w14:textId="77777777" w:rsidR="00990B14" w:rsidRDefault="00000000">
            <w:pPr>
              <w:numPr>
                <w:ilvl w:val="0"/>
                <w:numId w:val="139"/>
              </w:numPr>
              <w:spacing w:before="10" w:after="10"/>
              <w:jc w:val="both"/>
            </w:pPr>
            <w:r>
              <w:rPr>
                <w:sz w:val="18"/>
                <w:szCs w:val="18"/>
              </w:rPr>
              <w:t>Análisis de casos de hallazgos y de su efecto en la opinión del auditor.</w:t>
            </w:r>
          </w:p>
          <w:p w14:paraId="218B46EE" w14:textId="77777777" w:rsidR="00990B14" w:rsidRDefault="00000000">
            <w:pPr>
              <w:numPr>
                <w:ilvl w:val="0"/>
                <w:numId w:val="139"/>
              </w:numPr>
              <w:spacing w:before="10" w:after="10"/>
              <w:jc w:val="both"/>
            </w:pPr>
            <w:r>
              <w:rPr>
                <w:sz w:val="18"/>
                <w:szCs w:val="18"/>
              </w:rPr>
              <w:t>Preguntas de comprensión sobre la vinculación entre los riesgos valorados y los procedimientos aplicados.</w:t>
            </w:r>
          </w:p>
          <w:p w14:paraId="772CE9D4" w14:textId="77777777" w:rsidR="00990B14" w:rsidRDefault="00000000">
            <w:pPr>
              <w:numPr>
                <w:ilvl w:val="0"/>
                <w:numId w:val="139"/>
              </w:numPr>
              <w:spacing w:before="10" w:after="10"/>
              <w:jc w:val="both"/>
            </w:pPr>
            <w:r>
              <w:rPr>
                <w:sz w:val="18"/>
                <w:szCs w:val="18"/>
              </w:rPr>
              <w:t>Exposición dialogada del marco normativo vigente y de la valoración de los riesgos del caso práctico.</w:t>
            </w:r>
          </w:p>
        </w:tc>
        <w:tc>
          <w:tcPr>
            <w:tcW w:w="1805" w:type="dxa"/>
            <w:shd w:val="clear" w:color="auto" w:fill="D9E2F3"/>
          </w:tcPr>
          <w:p w14:paraId="11137443" w14:textId="77777777" w:rsidR="00990B14" w:rsidRDefault="00000000">
            <w:pPr>
              <w:numPr>
                <w:ilvl w:val="0"/>
                <w:numId w:val="139"/>
              </w:numPr>
              <w:spacing w:before="10" w:after="10"/>
              <w:jc w:val="both"/>
            </w:pPr>
            <w:r>
              <w:rPr>
                <w:sz w:val="18"/>
                <w:szCs w:val="18"/>
              </w:rPr>
              <w:t>Lectura de las normas de auditoría vigentes aplicables a cada fase del caso práctico.</w:t>
            </w:r>
          </w:p>
          <w:p w14:paraId="325FE6C3" w14:textId="77777777" w:rsidR="00990B14" w:rsidRDefault="00000000">
            <w:pPr>
              <w:numPr>
                <w:ilvl w:val="0"/>
                <w:numId w:val="139"/>
              </w:numPr>
              <w:spacing w:before="10" w:after="10"/>
              <w:jc w:val="both"/>
            </w:pPr>
            <w:r>
              <w:rPr>
                <w:sz w:val="18"/>
                <w:szCs w:val="18"/>
              </w:rPr>
              <w:t>Desarrollo progresivo de los papeles de trabajo del caso práctico.</w:t>
            </w:r>
          </w:p>
          <w:p w14:paraId="24249810" w14:textId="77777777" w:rsidR="00990B14" w:rsidRDefault="00000000">
            <w:pPr>
              <w:numPr>
                <w:ilvl w:val="0"/>
                <w:numId w:val="139"/>
              </w:numPr>
              <w:spacing w:before="10" w:after="10"/>
              <w:jc w:val="both"/>
            </w:pPr>
            <w:r>
              <w:rPr>
                <w:sz w:val="18"/>
                <w:szCs w:val="18"/>
              </w:rPr>
              <w:t>Resolución de ejercicios de cálculo de materialidad y de muestreo con herramientas tecnológicas al cierre de cada tema.</w:t>
            </w:r>
          </w:p>
          <w:p w14:paraId="2AEA73C2" w14:textId="77777777" w:rsidR="00990B14" w:rsidRDefault="00000000">
            <w:pPr>
              <w:numPr>
                <w:ilvl w:val="0"/>
                <w:numId w:val="139"/>
              </w:numPr>
              <w:spacing w:before="10" w:after="10"/>
              <w:jc w:val="both"/>
            </w:pPr>
            <w:r>
              <w:rPr>
                <w:sz w:val="18"/>
                <w:szCs w:val="18"/>
              </w:rPr>
              <w:t>Lectura de la norma de auditoría para entidades menos complejas y de su guía de implementación por primera vez.</w:t>
            </w:r>
          </w:p>
          <w:p w14:paraId="7F679A10" w14:textId="77777777" w:rsidR="00990B14" w:rsidRDefault="00000000">
            <w:pPr>
              <w:numPr>
                <w:ilvl w:val="0"/>
                <w:numId w:val="139"/>
              </w:numPr>
              <w:spacing w:before="10" w:after="10"/>
              <w:jc w:val="both"/>
            </w:pPr>
            <w:r>
              <w:rPr>
                <w:sz w:val="18"/>
                <w:szCs w:val="18"/>
              </w:rPr>
              <w:t>Redacción de borradores del informe del auditor y de la carta de recomendaciones del caso práctico.</w:t>
            </w:r>
          </w:p>
        </w:tc>
        <w:tc>
          <w:tcPr>
            <w:tcW w:w="2015" w:type="dxa"/>
            <w:shd w:val="clear" w:color="auto" w:fill="D9E2F3"/>
          </w:tcPr>
          <w:p w14:paraId="448E47AE" w14:textId="77777777" w:rsidR="00990B14" w:rsidRDefault="00000000">
            <w:pPr>
              <w:numPr>
                <w:ilvl w:val="0"/>
                <w:numId w:val="139"/>
              </w:numPr>
              <w:spacing w:before="10" w:after="10"/>
              <w:jc w:val="both"/>
            </w:pPr>
            <w:r>
              <w:rPr>
                <w:sz w:val="18"/>
                <w:szCs w:val="18"/>
              </w:rPr>
              <w:t>Cuestionarios de comprensión de cada tema en la plataforma Moodle UMSA.</w:t>
            </w:r>
          </w:p>
          <w:p w14:paraId="2160BF65" w14:textId="77777777" w:rsidR="00990B14" w:rsidRDefault="00000000">
            <w:pPr>
              <w:numPr>
                <w:ilvl w:val="0"/>
                <w:numId w:val="139"/>
              </w:numPr>
              <w:spacing w:before="10" w:after="10"/>
              <w:jc w:val="both"/>
            </w:pPr>
            <w:r>
              <w:rPr>
                <w:sz w:val="18"/>
                <w:szCs w:val="18"/>
              </w:rPr>
              <w:t>Foros de consulta sobre el marco normativo, la valoración de riesgos, el diseño de las pruebas y la formación de la opinión.</w:t>
            </w:r>
          </w:p>
          <w:p w14:paraId="179B4FB9" w14:textId="77777777" w:rsidR="00990B14" w:rsidRDefault="00000000">
            <w:pPr>
              <w:numPr>
                <w:ilvl w:val="0"/>
                <w:numId w:val="139"/>
              </w:numPr>
              <w:spacing w:before="10" w:after="10"/>
              <w:jc w:val="both"/>
            </w:pPr>
            <w:r>
              <w:rPr>
                <w:sz w:val="18"/>
                <w:szCs w:val="18"/>
              </w:rPr>
              <w:t>Videotutoriales de elaboración de papeles de trabajo con herramientas tecnológicas.</w:t>
            </w:r>
          </w:p>
          <w:p w14:paraId="3C4E315E" w14:textId="77777777" w:rsidR="00990B14" w:rsidRDefault="00000000">
            <w:pPr>
              <w:numPr>
                <w:ilvl w:val="0"/>
                <w:numId w:val="139"/>
              </w:numPr>
              <w:spacing w:before="10" w:after="10"/>
              <w:jc w:val="both"/>
            </w:pPr>
            <w:r>
              <w:rPr>
                <w:sz w:val="18"/>
                <w:szCs w:val="18"/>
              </w:rPr>
              <w:t>Entrega y retroalimentación de los avances del caso práctico en la plataforma Moodle UMSA.</w:t>
            </w:r>
          </w:p>
        </w:tc>
        <w:tc>
          <w:tcPr>
            <w:tcW w:w="1805" w:type="dxa"/>
            <w:shd w:val="clear" w:color="auto" w:fill="D9E2F3"/>
          </w:tcPr>
          <w:p w14:paraId="1EC8AFBA" w14:textId="77777777" w:rsidR="00990B14" w:rsidRDefault="00000000">
            <w:pPr>
              <w:numPr>
                <w:ilvl w:val="0"/>
                <w:numId w:val="139"/>
              </w:numPr>
              <w:spacing w:before="10" w:after="10"/>
              <w:jc w:val="both"/>
            </w:pPr>
            <w:r>
              <w:rPr>
                <w:sz w:val="18"/>
                <w:szCs w:val="18"/>
              </w:rPr>
              <w:t>Elaboración guiada del memorando de planificación, de la matriz de riesgos de incorrección material y de la matriz de riesgos y controles clave.</w:t>
            </w:r>
          </w:p>
          <w:p w14:paraId="140A3E7A" w14:textId="77777777" w:rsidR="00990B14" w:rsidRDefault="00000000">
            <w:pPr>
              <w:numPr>
                <w:ilvl w:val="0"/>
                <w:numId w:val="139"/>
              </w:numPr>
              <w:spacing w:before="10" w:after="10"/>
              <w:jc w:val="both"/>
            </w:pPr>
            <w:r>
              <w:rPr>
                <w:sz w:val="18"/>
                <w:szCs w:val="18"/>
              </w:rPr>
              <w:t>Desarrollo colaborativo de los programas y de los papeles de trabajo por ciclo de transacciones.</w:t>
            </w:r>
          </w:p>
          <w:p w14:paraId="680B81DE" w14:textId="77777777" w:rsidR="00990B14" w:rsidRDefault="00000000">
            <w:pPr>
              <w:numPr>
                <w:ilvl w:val="0"/>
                <w:numId w:val="139"/>
              </w:numPr>
              <w:spacing w:before="10" w:after="10"/>
              <w:jc w:val="both"/>
            </w:pPr>
            <w:r>
              <w:rPr>
                <w:sz w:val="18"/>
                <w:szCs w:val="18"/>
              </w:rPr>
              <w:t>Revisión cruzada de los papeles de trabajo y del informe del auditor entre equipos.</w:t>
            </w:r>
          </w:p>
          <w:p w14:paraId="1C8220A8" w14:textId="77777777" w:rsidR="00990B14" w:rsidRDefault="00000000">
            <w:pPr>
              <w:numPr>
                <w:ilvl w:val="0"/>
                <w:numId w:val="139"/>
              </w:numPr>
              <w:spacing w:before="10" w:after="10"/>
              <w:jc w:val="both"/>
            </w:pPr>
            <w:r>
              <w:rPr>
                <w:sz w:val="18"/>
                <w:szCs w:val="18"/>
              </w:rPr>
              <w:t>Determinación conjunta de las cuestiones clave de la auditoría del caso práctico.</w:t>
            </w:r>
          </w:p>
          <w:p w14:paraId="472B7BF0" w14:textId="77777777" w:rsidR="00990B14" w:rsidRDefault="00000000">
            <w:pPr>
              <w:numPr>
                <w:ilvl w:val="0"/>
                <w:numId w:val="139"/>
              </w:numPr>
              <w:spacing w:before="10" w:after="10"/>
              <w:jc w:val="both"/>
            </w:pPr>
            <w:r>
              <w:rPr>
                <w:sz w:val="18"/>
                <w:szCs w:val="18"/>
              </w:rPr>
              <w:t>Práctica guiada de análisis de datos sobre archivos de transacciones con herramientas tecnológicas.</w:t>
            </w:r>
          </w:p>
          <w:p w14:paraId="6A3E74C9" w14:textId="77777777" w:rsidR="00990B14" w:rsidRDefault="00000000">
            <w:pPr>
              <w:numPr>
                <w:ilvl w:val="0"/>
                <w:numId w:val="139"/>
              </w:numPr>
              <w:spacing w:before="10" w:after="10"/>
              <w:jc w:val="both"/>
            </w:pPr>
            <w:r>
              <w:rPr>
                <w:sz w:val="18"/>
                <w:szCs w:val="18"/>
              </w:rPr>
              <w:t>Simulacro de reunión con los responsables del gobierno de la entidad para sustentar la carta de recomendaciones</w:t>
            </w:r>
          </w:p>
        </w:tc>
        <w:tc>
          <w:tcPr>
            <w:tcW w:w="2080" w:type="dxa"/>
            <w:shd w:val="clear" w:color="auto" w:fill="D9E2F3"/>
          </w:tcPr>
          <w:p w14:paraId="7913319C" w14:textId="77777777" w:rsidR="00990B14" w:rsidRDefault="00000000">
            <w:pPr>
              <w:numPr>
                <w:ilvl w:val="0"/>
                <w:numId w:val="139"/>
              </w:numPr>
              <w:spacing w:before="10" w:after="10"/>
              <w:jc w:val="both"/>
            </w:pPr>
            <w:r>
              <w:rPr>
                <w:sz w:val="18"/>
                <w:szCs w:val="18"/>
              </w:rPr>
              <w:t>Análisis de informes de auditoría externa de empresas bolivianas, incluidos los de opinión modificada, e identificación de sus fundamentos.</w:t>
            </w:r>
          </w:p>
          <w:p w14:paraId="706331C5" w14:textId="77777777" w:rsidR="00990B14" w:rsidRDefault="00000000">
            <w:pPr>
              <w:numPr>
                <w:ilvl w:val="0"/>
                <w:numId w:val="139"/>
              </w:numPr>
              <w:spacing w:before="10" w:after="10"/>
              <w:jc w:val="both"/>
            </w:pPr>
            <w:r>
              <w:rPr>
                <w:sz w:val="18"/>
                <w:szCs w:val="18"/>
              </w:rPr>
              <w:t>Revisión del control interno y de los flujogramas de los procesos de una entidad privada, con su autorización y con resguardo de la confidencialidad de la información.</w:t>
            </w:r>
          </w:p>
          <w:p w14:paraId="28793566" w14:textId="77777777" w:rsidR="00990B14" w:rsidRDefault="00000000">
            <w:pPr>
              <w:numPr>
                <w:ilvl w:val="0"/>
                <w:numId w:val="139"/>
              </w:numPr>
              <w:spacing w:before="10" w:after="10"/>
              <w:jc w:val="both"/>
            </w:pPr>
            <w:r>
              <w:rPr>
                <w:sz w:val="18"/>
                <w:szCs w:val="18"/>
              </w:rPr>
              <w:t>Comparación de programas de auditoría de firmas o de entidades reales aplicados a distintos ciclos de transacciones.</w:t>
            </w:r>
          </w:p>
          <w:p w14:paraId="4D025402" w14:textId="77777777" w:rsidR="00990B14" w:rsidRDefault="00000000">
            <w:pPr>
              <w:numPr>
                <w:ilvl w:val="0"/>
                <w:numId w:val="139"/>
              </w:numPr>
              <w:spacing w:before="10" w:after="10"/>
              <w:jc w:val="both"/>
            </w:pPr>
            <w:r>
              <w:rPr>
                <w:sz w:val="18"/>
                <w:szCs w:val="18"/>
              </w:rPr>
              <w:t>Análisis de datos reales anonimizados de una entidad privada con herramientas tecnológicas.</w:t>
            </w:r>
          </w:p>
        </w:tc>
      </w:tr>
    </w:tbl>
    <w:p w14:paraId="3F005BDB"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900"/>
        <w:gridCol w:w="1876"/>
        <w:gridCol w:w="1876"/>
        <w:gridCol w:w="1876"/>
        <w:gridCol w:w="1877"/>
      </w:tblGrid>
      <w:tr w:rsidR="00990B14" w14:paraId="488915DB" w14:textId="77777777">
        <w:trPr>
          <w:jc w:val="center"/>
        </w:trPr>
        <w:tc>
          <w:tcPr>
            <w:tcW w:w="1900" w:type="dxa"/>
            <w:shd w:val="clear" w:color="auto" w:fill="4472C4"/>
            <w:vAlign w:val="center"/>
          </w:tcPr>
          <w:p w14:paraId="0BD0AC2A" w14:textId="77777777" w:rsidR="00990B14" w:rsidRDefault="00000000">
            <w:pPr>
              <w:spacing w:before="20" w:after="20"/>
              <w:jc w:val="center"/>
            </w:pPr>
            <w:r>
              <w:rPr>
                <w:b/>
                <w:bCs/>
                <w:i/>
                <w:iCs/>
                <w:color w:val="FFFFFF"/>
                <w:sz w:val="18"/>
                <w:szCs w:val="18"/>
              </w:rPr>
              <w:t>Estrategias de aprendizaje y enseñanza</w:t>
            </w:r>
          </w:p>
        </w:tc>
        <w:tc>
          <w:tcPr>
            <w:tcW w:w="7505" w:type="dxa"/>
            <w:gridSpan w:val="4"/>
            <w:shd w:val="clear" w:color="auto" w:fill="D9E2F3"/>
            <w:vAlign w:val="center"/>
          </w:tcPr>
          <w:p w14:paraId="5F69854C" w14:textId="77777777" w:rsidR="00990B14" w:rsidRDefault="00000000">
            <w:pPr>
              <w:numPr>
                <w:ilvl w:val="0"/>
                <w:numId w:val="140"/>
              </w:numPr>
              <w:spacing w:before="10" w:after="10"/>
              <w:jc w:val="both"/>
            </w:pPr>
            <w:r>
              <w:rPr>
                <w:sz w:val="18"/>
                <w:szCs w:val="18"/>
              </w:rPr>
              <w:t>Taller de elaboración de papeles de trabajo sobre un caso práctico extenso.</w:t>
            </w:r>
          </w:p>
          <w:p w14:paraId="6E2B9DBB" w14:textId="77777777" w:rsidR="00990B14" w:rsidRDefault="00000000">
            <w:pPr>
              <w:numPr>
                <w:ilvl w:val="0"/>
                <w:numId w:val="140"/>
              </w:numPr>
              <w:spacing w:before="10" w:after="10"/>
              <w:jc w:val="both"/>
            </w:pPr>
            <w:r>
              <w:rPr>
                <w:sz w:val="18"/>
                <w:szCs w:val="18"/>
              </w:rPr>
              <w:t>Aprendizaje basado en problemas con estados financieros de entidades privadas bolivianas.</w:t>
            </w:r>
          </w:p>
          <w:p w14:paraId="1A4F0912" w14:textId="77777777" w:rsidR="00990B14" w:rsidRDefault="00000000">
            <w:pPr>
              <w:numPr>
                <w:ilvl w:val="0"/>
                <w:numId w:val="140"/>
              </w:numPr>
              <w:spacing w:before="10" w:after="10"/>
              <w:jc w:val="both"/>
            </w:pPr>
            <w:r>
              <w:rPr>
                <w:sz w:val="18"/>
                <w:szCs w:val="18"/>
              </w:rPr>
              <w:t>Aprendizaje por fases del proceso de auditoría con resolución guiada del caso práctico.</w:t>
            </w:r>
          </w:p>
          <w:p w14:paraId="651BAE03" w14:textId="77777777" w:rsidR="00990B14" w:rsidRDefault="00000000">
            <w:pPr>
              <w:numPr>
                <w:ilvl w:val="0"/>
                <w:numId w:val="140"/>
              </w:numPr>
              <w:spacing w:before="10" w:after="10"/>
              <w:jc w:val="both"/>
            </w:pPr>
            <w:r>
              <w:rPr>
                <w:sz w:val="18"/>
                <w:szCs w:val="18"/>
              </w:rPr>
              <w:t>Trabajo colaborativo en equipos de auditoría con asignación de ciclos de transacciones.</w:t>
            </w:r>
          </w:p>
          <w:p w14:paraId="71EF84F3" w14:textId="77777777" w:rsidR="00990B14" w:rsidRDefault="00000000">
            <w:pPr>
              <w:numPr>
                <w:ilvl w:val="0"/>
                <w:numId w:val="140"/>
              </w:numPr>
              <w:spacing w:before="10" w:after="10"/>
              <w:jc w:val="both"/>
            </w:pPr>
            <w:r>
              <w:rPr>
                <w:sz w:val="18"/>
                <w:szCs w:val="18"/>
              </w:rPr>
              <w:t>Clase invertida para los contenidos normativos.</w:t>
            </w:r>
          </w:p>
          <w:p w14:paraId="0CCC52A5" w14:textId="77777777" w:rsidR="00990B14" w:rsidRDefault="00000000">
            <w:pPr>
              <w:numPr>
                <w:ilvl w:val="0"/>
                <w:numId w:val="140"/>
              </w:numPr>
              <w:spacing w:before="10" w:after="10"/>
              <w:jc w:val="both"/>
            </w:pPr>
            <w:r>
              <w:rPr>
                <w:sz w:val="18"/>
                <w:szCs w:val="18"/>
              </w:rPr>
              <w:t>Exposición y defensa de los papeles de trabajo, del informe del auditor y de la carta de recomendaciones ante el curso.</w:t>
            </w:r>
          </w:p>
          <w:p w14:paraId="158B3ADE" w14:textId="77777777" w:rsidR="00990B14" w:rsidRDefault="00000000">
            <w:pPr>
              <w:numPr>
                <w:ilvl w:val="0"/>
                <w:numId w:val="140"/>
              </w:numPr>
              <w:spacing w:before="10" w:after="10"/>
              <w:jc w:val="both"/>
            </w:pPr>
            <w:r>
              <w:rPr>
                <w:sz w:val="18"/>
                <w:szCs w:val="18"/>
              </w:rPr>
              <w:t>Estudio de casos de informes del auditor con opinión modificada.</w:t>
            </w:r>
          </w:p>
          <w:p w14:paraId="195E0F99" w14:textId="77777777" w:rsidR="00990B14" w:rsidRDefault="00000000">
            <w:pPr>
              <w:numPr>
                <w:ilvl w:val="0"/>
                <w:numId w:val="140"/>
              </w:numPr>
              <w:spacing w:before="10" w:after="10"/>
              <w:jc w:val="both"/>
            </w:pPr>
            <w:r>
              <w:rPr>
                <w:sz w:val="18"/>
                <w:szCs w:val="18"/>
              </w:rPr>
              <w:t>Práctica con herramientas tecnológicas con verificación de sus resultados por el estudiante.</w:t>
            </w:r>
          </w:p>
        </w:tc>
      </w:tr>
      <w:tr w:rsidR="00990B14" w14:paraId="37BA8622" w14:textId="77777777">
        <w:trPr>
          <w:jc w:val="center"/>
        </w:trPr>
        <w:tc>
          <w:tcPr>
            <w:tcW w:w="1900" w:type="dxa"/>
            <w:shd w:val="clear" w:color="auto" w:fill="4472C4"/>
            <w:vAlign w:val="center"/>
          </w:tcPr>
          <w:p w14:paraId="4E185204" w14:textId="77777777" w:rsidR="00990B14" w:rsidRDefault="00000000">
            <w:pPr>
              <w:spacing w:before="20" w:after="20"/>
              <w:jc w:val="center"/>
            </w:pPr>
            <w:r>
              <w:rPr>
                <w:b/>
                <w:bCs/>
                <w:i/>
                <w:iCs/>
                <w:color w:val="FFFFFF"/>
                <w:sz w:val="18"/>
                <w:szCs w:val="18"/>
              </w:rPr>
              <w:t>Recursos para el aprendizaje</w:t>
            </w:r>
          </w:p>
        </w:tc>
        <w:tc>
          <w:tcPr>
            <w:tcW w:w="7505" w:type="dxa"/>
            <w:gridSpan w:val="4"/>
            <w:shd w:val="clear" w:color="auto" w:fill="D9E2F3"/>
            <w:vAlign w:val="center"/>
          </w:tcPr>
          <w:p w14:paraId="160F4D08" w14:textId="77777777" w:rsidR="00990B14" w:rsidRDefault="00000000">
            <w:pPr>
              <w:numPr>
                <w:ilvl w:val="0"/>
                <w:numId w:val="140"/>
              </w:numPr>
              <w:spacing w:before="10" w:after="10"/>
              <w:jc w:val="both"/>
            </w:pPr>
            <w:r>
              <w:rPr>
                <w:sz w:val="18"/>
                <w:szCs w:val="18"/>
              </w:rPr>
              <w:t>Plataforma Moodle UMSA.</w:t>
            </w:r>
          </w:p>
          <w:p w14:paraId="640ADCC2" w14:textId="77777777" w:rsidR="00990B14" w:rsidRDefault="00000000">
            <w:pPr>
              <w:numPr>
                <w:ilvl w:val="0"/>
                <w:numId w:val="140"/>
              </w:numPr>
              <w:spacing w:before="10" w:after="10"/>
              <w:jc w:val="both"/>
            </w:pPr>
            <w:r>
              <w:rPr>
                <w:sz w:val="18"/>
                <w:szCs w:val="18"/>
              </w:rPr>
              <w:t>Compendio de Normas de Contabilidad y Auditoría del Colegio de Auditores o Contadores Públicos de Bolivia.</w:t>
            </w:r>
          </w:p>
          <w:p w14:paraId="0FC3E8CE" w14:textId="77777777" w:rsidR="00990B14" w:rsidRDefault="00000000">
            <w:pPr>
              <w:numPr>
                <w:ilvl w:val="0"/>
                <w:numId w:val="140"/>
              </w:numPr>
              <w:spacing w:before="10" w:after="10"/>
              <w:jc w:val="both"/>
            </w:pPr>
            <w:r>
              <w:rPr>
                <w:sz w:val="18"/>
                <w:szCs w:val="18"/>
              </w:rPr>
              <w:t>Manual de pronunciamientos internacionales del Consejo de Normas Internacionales de Auditoría y Aseguramiento.</w:t>
            </w:r>
          </w:p>
          <w:p w14:paraId="69C6D0A5" w14:textId="77777777" w:rsidR="00990B14" w:rsidRDefault="00000000">
            <w:pPr>
              <w:numPr>
                <w:ilvl w:val="0"/>
                <w:numId w:val="140"/>
              </w:numPr>
              <w:spacing w:before="10" w:after="10"/>
              <w:jc w:val="both"/>
            </w:pPr>
            <w:r>
              <w:rPr>
                <w:sz w:val="18"/>
                <w:szCs w:val="18"/>
              </w:rPr>
              <w:t>Guía para el uso de las normas internacionales de auditoría en auditorías de pequeñas y medianas empresas.</w:t>
            </w:r>
          </w:p>
          <w:p w14:paraId="0B3F316C" w14:textId="77777777" w:rsidR="00990B14" w:rsidRDefault="00000000">
            <w:pPr>
              <w:numPr>
                <w:ilvl w:val="0"/>
                <w:numId w:val="140"/>
              </w:numPr>
              <w:spacing w:before="10" w:after="10"/>
              <w:jc w:val="both"/>
            </w:pPr>
            <w:r>
              <w:rPr>
                <w:sz w:val="18"/>
                <w:szCs w:val="18"/>
              </w:rPr>
              <w:t>Guía de implementación por primera vez de la norma de auditoría para entidades menos complejas.</w:t>
            </w:r>
          </w:p>
          <w:p w14:paraId="1257A9CB" w14:textId="77777777" w:rsidR="00990B14" w:rsidRDefault="00000000">
            <w:pPr>
              <w:numPr>
                <w:ilvl w:val="0"/>
                <w:numId w:val="140"/>
              </w:numPr>
              <w:spacing w:before="10" w:after="10"/>
              <w:jc w:val="both"/>
            </w:pPr>
            <w:r>
              <w:rPr>
                <w:sz w:val="18"/>
                <w:szCs w:val="18"/>
              </w:rPr>
              <w:t>Hoja de cálculo Microsoft Excel con sus funciones de análisis de datos y asistente de inteligencia artificial Microsoft Copilot, ambos de Office 365, para la preparación de papeles de trabajo.</w:t>
            </w:r>
          </w:p>
          <w:p w14:paraId="48199501" w14:textId="77777777" w:rsidR="00990B14" w:rsidRDefault="00000000">
            <w:pPr>
              <w:numPr>
                <w:ilvl w:val="0"/>
                <w:numId w:val="140"/>
              </w:numPr>
              <w:spacing w:before="10" w:after="10"/>
              <w:jc w:val="both"/>
            </w:pPr>
            <w:r>
              <w:rPr>
                <w:sz w:val="18"/>
                <w:szCs w:val="18"/>
              </w:rPr>
              <w:t>Caso práctico con estados financieros, documentación de respaldo y formatos de papeles de trabajo de la cátedra.</w:t>
            </w:r>
          </w:p>
          <w:p w14:paraId="1876336A" w14:textId="77777777" w:rsidR="00990B14" w:rsidRDefault="00000000">
            <w:pPr>
              <w:numPr>
                <w:ilvl w:val="0"/>
                <w:numId w:val="140"/>
              </w:numPr>
              <w:spacing w:before="10" w:after="10"/>
              <w:jc w:val="both"/>
            </w:pPr>
            <w:r>
              <w:rPr>
                <w:sz w:val="18"/>
                <w:szCs w:val="18"/>
              </w:rPr>
              <w:t>Repositorio de informes del auditor independiente de empresas bolivianas.</w:t>
            </w:r>
          </w:p>
          <w:p w14:paraId="099F1A24" w14:textId="77777777" w:rsidR="00990B14" w:rsidRDefault="00000000">
            <w:pPr>
              <w:numPr>
                <w:ilvl w:val="0"/>
                <w:numId w:val="140"/>
              </w:numPr>
              <w:spacing w:before="10" w:after="10"/>
              <w:jc w:val="both"/>
            </w:pPr>
            <w:r>
              <w:rPr>
                <w:sz w:val="18"/>
                <w:szCs w:val="18"/>
              </w:rPr>
              <w:t>Aula con computadores o equipos portátiles de los estudiantes con acceso a internet.</w:t>
            </w:r>
          </w:p>
        </w:tc>
      </w:tr>
      <w:tr w:rsidR="00990B14" w14:paraId="7DC116FB" w14:textId="77777777">
        <w:trPr>
          <w:jc w:val="center"/>
        </w:trPr>
        <w:tc>
          <w:tcPr>
            <w:tcW w:w="1900" w:type="dxa"/>
            <w:shd w:val="clear" w:color="auto" w:fill="4472C4"/>
            <w:vAlign w:val="center"/>
          </w:tcPr>
          <w:p w14:paraId="09B8A2E4" w14:textId="77777777" w:rsidR="00990B14" w:rsidRDefault="00000000">
            <w:pPr>
              <w:spacing w:before="20" w:after="20"/>
              <w:jc w:val="center"/>
            </w:pPr>
            <w:r>
              <w:rPr>
                <w:b/>
                <w:bCs/>
                <w:i/>
                <w:iCs/>
                <w:color w:val="FFFFFF"/>
                <w:sz w:val="18"/>
                <w:szCs w:val="18"/>
              </w:rPr>
              <w:t>Estrategias de evaluación</w:t>
            </w:r>
          </w:p>
        </w:tc>
        <w:tc>
          <w:tcPr>
            <w:tcW w:w="7505" w:type="dxa"/>
            <w:gridSpan w:val="4"/>
            <w:shd w:val="clear" w:color="auto" w:fill="D9E2F3"/>
            <w:vAlign w:val="center"/>
          </w:tcPr>
          <w:p w14:paraId="0B4DC4D2" w14:textId="77777777" w:rsidR="00990B14" w:rsidRDefault="00000000">
            <w:pPr>
              <w:numPr>
                <w:ilvl w:val="0"/>
                <w:numId w:val="140"/>
              </w:numPr>
              <w:spacing w:before="10" w:after="10"/>
              <w:jc w:val="both"/>
            </w:pPr>
            <w:r>
              <w:rPr>
                <w:sz w:val="18"/>
                <w:szCs w:val="18"/>
              </w:rPr>
              <w:t>Evaluación diagnóstica: prueba inicial sobre las fases de la auditoría financiera, el control interno y la documentación del trabajo del auditor, adquiridos en las asignaturas prerrequisito.</w:t>
            </w:r>
          </w:p>
          <w:p w14:paraId="41846469" w14:textId="77777777" w:rsidR="00990B14" w:rsidRDefault="00000000">
            <w:pPr>
              <w:numPr>
                <w:ilvl w:val="0"/>
                <w:numId w:val="140"/>
              </w:numPr>
              <w:spacing w:before="10" w:after="10"/>
              <w:jc w:val="both"/>
            </w:pPr>
            <w:r>
              <w:rPr>
                <w:sz w:val="18"/>
                <w:szCs w:val="18"/>
              </w:rPr>
              <w:t>Evaluación formativa: cuestionarios de comprensión en Moodle UMSA, ejercicios prácticos en el aula y avances del caso práctico, con retroalimentación continua, autoevaluación y coevaluación.</w:t>
            </w:r>
          </w:p>
          <w:p w14:paraId="0F0CEBDC" w14:textId="77777777" w:rsidR="00990B14" w:rsidRDefault="00000000">
            <w:pPr>
              <w:numPr>
                <w:ilvl w:val="0"/>
                <w:numId w:val="140"/>
              </w:numPr>
              <w:spacing w:before="10" w:after="10"/>
              <w:jc w:val="both"/>
            </w:pPr>
            <w:r>
              <w:rPr>
                <w:sz w:val="18"/>
                <w:szCs w:val="18"/>
              </w:rPr>
              <w:t>Evaluación sumativa: tres evaluaciones que califican los productos del itinerario con sus rúbricas, la primera sobre los Elementos 1 y 2, la segunda sobre el Elemento 3 y la tercera sobre el Elemento 4.</w:t>
            </w:r>
          </w:p>
        </w:tc>
      </w:tr>
      <w:tr w:rsidR="00990B14" w14:paraId="514A0518" w14:textId="77777777">
        <w:trPr>
          <w:jc w:val="center"/>
        </w:trPr>
        <w:tc>
          <w:tcPr>
            <w:tcW w:w="1900" w:type="dxa"/>
            <w:shd w:val="clear" w:color="auto" w:fill="4472C4"/>
            <w:vAlign w:val="center"/>
          </w:tcPr>
          <w:p w14:paraId="739BA6FF" w14:textId="77777777" w:rsidR="00990B14" w:rsidRDefault="00000000">
            <w:pPr>
              <w:spacing w:before="20" w:after="20"/>
              <w:jc w:val="center"/>
            </w:pPr>
            <w:r>
              <w:rPr>
                <w:b/>
                <w:bCs/>
                <w:i/>
                <w:iCs/>
                <w:color w:val="FFFFFF"/>
                <w:sz w:val="18"/>
                <w:szCs w:val="18"/>
              </w:rPr>
              <w:t>Criterios de calificación</w:t>
            </w:r>
          </w:p>
        </w:tc>
        <w:tc>
          <w:tcPr>
            <w:tcW w:w="7505" w:type="dxa"/>
            <w:gridSpan w:val="4"/>
            <w:shd w:val="clear" w:color="auto" w:fill="D9E2F3"/>
            <w:vAlign w:val="center"/>
          </w:tcPr>
          <w:p w14:paraId="356282BE" w14:textId="77777777" w:rsidR="00990B14" w:rsidRDefault="00000000">
            <w:pPr>
              <w:numPr>
                <w:ilvl w:val="0"/>
                <w:numId w:val="140"/>
              </w:numPr>
              <w:spacing w:before="10" w:after="10"/>
              <w:jc w:val="both"/>
            </w:pPr>
            <w:r>
              <w:rPr>
                <w:sz w:val="18"/>
                <w:szCs w:val="18"/>
              </w:rPr>
              <w:t>Nota mínima de aprobación: 51/100.</w:t>
            </w:r>
          </w:p>
          <w:p w14:paraId="1F3E817A" w14:textId="77777777" w:rsidR="00990B14" w:rsidRDefault="00000000">
            <w:pPr>
              <w:numPr>
                <w:ilvl w:val="0"/>
                <w:numId w:val="140"/>
              </w:numPr>
              <w:spacing w:before="10" w:after="10"/>
              <w:jc w:val="both"/>
            </w:pPr>
            <w:r>
              <w:rPr>
                <w:sz w:val="18"/>
                <w:szCs w:val="18"/>
              </w:rPr>
              <w:t>La calificación se obtiene en tres evaluaciones sumativas: la primera, de los Productos 1 a 8, con 40 puntos; la segunda, de los Productos 9 a 12, con 40 puntos; y la tercera, de los Productos 13 a 16, con 20 puntos.</w:t>
            </w:r>
          </w:p>
          <w:p w14:paraId="3BF9DF9D" w14:textId="77777777" w:rsidR="00990B14" w:rsidRDefault="00000000">
            <w:pPr>
              <w:numPr>
                <w:ilvl w:val="0"/>
                <w:numId w:val="140"/>
              </w:numPr>
              <w:spacing w:before="10" w:after="10"/>
              <w:jc w:val="both"/>
            </w:pPr>
            <w:r>
              <w:rPr>
                <w:sz w:val="18"/>
                <w:szCs w:val="18"/>
              </w:rPr>
              <w:t>Cada evidencia de producto se evalúa con su propia rúbrica de tres niveles de logro: Insuficiente, de 1 a 50; Suficiente, de 51 a 80; y Destacado, de 81 a 100.</w:t>
            </w:r>
          </w:p>
          <w:p w14:paraId="7C047002" w14:textId="77777777" w:rsidR="00990B14" w:rsidRDefault="00000000">
            <w:pPr>
              <w:numPr>
                <w:ilvl w:val="0"/>
                <w:numId w:val="140"/>
              </w:numPr>
              <w:spacing w:before="10" w:after="10"/>
              <w:jc w:val="both"/>
            </w:pPr>
            <w:r>
              <w:rPr>
                <w:sz w:val="18"/>
                <w:szCs w:val="18"/>
              </w:rPr>
              <w:t>La calificación de cada elemento de competencia suma las calificaciones de sus evidencias de producto, y la nota final suma las de los cuatro elementos.</w:t>
            </w:r>
          </w:p>
        </w:tc>
      </w:tr>
      <w:tr w:rsidR="00990B14" w14:paraId="79BB4238" w14:textId="77777777">
        <w:trPr>
          <w:cantSplit/>
          <w:jc w:val="center"/>
        </w:trPr>
        <w:tc>
          <w:tcPr>
            <w:tcW w:w="1900" w:type="dxa"/>
            <w:vMerge w:val="restart"/>
            <w:shd w:val="clear" w:color="auto" w:fill="4472C4"/>
            <w:vAlign w:val="center"/>
          </w:tcPr>
          <w:p w14:paraId="1FB25A0A" w14:textId="77777777" w:rsidR="00990B14" w:rsidRDefault="00000000">
            <w:pPr>
              <w:spacing w:before="20" w:after="20"/>
              <w:jc w:val="center"/>
            </w:pPr>
            <w:r>
              <w:rPr>
                <w:b/>
                <w:bCs/>
                <w:i/>
                <w:iCs/>
                <w:color w:val="FFFFFF"/>
                <w:sz w:val="18"/>
                <w:szCs w:val="18"/>
              </w:rPr>
              <w:t>Niveles de logro y distribución de la calificación</w:t>
            </w:r>
          </w:p>
        </w:tc>
        <w:tc>
          <w:tcPr>
            <w:tcW w:w="5628" w:type="dxa"/>
            <w:gridSpan w:val="3"/>
            <w:shd w:val="clear" w:color="auto" w:fill="D9E2F3"/>
            <w:vAlign w:val="center"/>
          </w:tcPr>
          <w:p w14:paraId="1834EFD3" w14:textId="77777777" w:rsidR="00990B14" w:rsidRDefault="00000000">
            <w:pPr>
              <w:keepNext/>
              <w:spacing w:before="20" w:after="20"/>
              <w:jc w:val="both"/>
            </w:pPr>
            <w:r>
              <w:rPr>
                <w:b/>
                <w:bCs/>
                <w:i/>
                <w:iCs/>
                <w:sz w:val="18"/>
                <w:szCs w:val="18"/>
              </w:rPr>
              <w:t xml:space="preserve">Producto 1: </w:t>
            </w:r>
            <w:r>
              <w:rPr>
                <w:sz w:val="18"/>
                <w:szCs w:val="18"/>
              </w:rPr>
              <w:t>Ficha normativa del encargo con el marco de información financiera aplicable, los requerimientos éticos y la norma de auditoría que rige cada fase.</w:t>
            </w:r>
          </w:p>
        </w:tc>
        <w:tc>
          <w:tcPr>
            <w:tcW w:w="1877" w:type="dxa"/>
            <w:shd w:val="clear" w:color="auto" w:fill="D9E2F3"/>
            <w:vAlign w:val="center"/>
          </w:tcPr>
          <w:p w14:paraId="41E1425A" w14:textId="77777777" w:rsidR="00990B14" w:rsidRDefault="00000000">
            <w:pPr>
              <w:spacing w:before="20" w:after="20"/>
              <w:jc w:val="center"/>
            </w:pPr>
            <w:r>
              <w:rPr>
                <w:b/>
                <w:bCs/>
                <w:sz w:val="18"/>
                <w:szCs w:val="18"/>
              </w:rPr>
              <w:t>3%</w:t>
            </w:r>
          </w:p>
        </w:tc>
      </w:tr>
      <w:tr w:rsidR="00990B14" w14:paraId="75DFAF7D" w14:textId="77777777">
        <w:trPr>
          <w:cantSplit/>
          <w:jc w:val="center"/>
        </w:trPr>
        <w:tc>
          <w:tcPr>
            <w:tcW w:w="1900" w:type="dxa"/>
            <w:vMerge/>
            <w:shd w:val="clear" w:color="auto" w:fill="4472C4"/>
            <w:vAlign w:val="center"/>
          </w:tcPr>
          <w:p w14:paraId="1FE86225" w14:textId="77777777" w:rsidR="00990B14" w:rsidRDefault="00990B14">
            <w:pPr>
              <w:spacing w:before="20" w:after="20"/>
            </w:pPr>
          </w:p>
        </w:tc>
        <w:tc>
          <w:tcPr>
            <w:tcW w:w="1876" w:type="dxa"/>
            <w:shd w:val="clear" w:color="auto" w:fill="4472C4"/>
            <w:vAlign w:val="center"/>
          </w:tcPr>
          <w:p w14:paraId="3109EC66"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64BEDF6B"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098DE7F6"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240884E9" w14:textId="77777777" w:rsidR="00990B14" w:rsidRDefault="00000000">
            <w:pPr>
              <w:keepNext/>
              <w:spacing w:before="20" w:after="20"/>
              <w:jc w:val="center"/>
            </w:pPr>
            <w:r>
              <w:rPr>
                <w:b/>
                <w:bCs/>
                <w:i/>
                <w:iCs/>
                <w:color w:val="FFFFFF"/>
                <w:sz w:val="18"/>
                <w:szCs w:val="18"/>
              </w:rPr>
              <w:t>Destacado (81–100)</w:t>
            </w:r>
          </w:p>
        </w:tc>
      </w:tr>
      <w:tr w:rsidR="00990B14" w14:paraId="55113C57" w14:textId="77777777">
        <w:trPr>
          <w:cantSplit/>
          <w:jc w:val="center"/>
        </w:trPr>
        <w:tc>
          <w:tcPr>
            <w:tcW w:w="1900" w:type="dxa"/>
            <w:vMerge/>
            <w:shd w:val="clear" w:color="auto" w:fill="4472C4"/>
            <w:vAlign w:val="center"/>
          </w:tcPr>
          <w:p w14:paraId="215C4E3D" w14:textId="77777777" w:rsidR="00990B14" w:rsidRDefault="00990B14">
            <w:pPr>
              <w:spacing w:before="20" w:after="20"/>
            </w:pPr>
          </w:p>
        </w:tc>
        <w:tc>
          <w:tcPr>
            <w:tcW w:w="1876" w:type="dxa"/>
            <w:shd w:val="clear" w:color="auto" w:fill="D9E2F3"/>
            <w:vAlign w:val="center"/>
          </w:tcPr>
          <w:p w14:paraId="6D324F80" w14:textId="77777777" w:rsidR="00990B14" w:rsidRDefault="00000000">
            <w:pPr>
              <w:spacing w:before="20" w:after="20"/>
              <w:jc w:val="both"/>
            </w:pPr>
            <w:r>
              <w:rPr>
                <w:sz w:val="18"/>
                <w:szCs w:val="18"/>
              </w:rPr>
              <w:t>Marco de información financiera</w:t>
            </w:r>
          </w:p>
        </w:tc>
        <w:tc>
          <w:tcPr>
            <w:tcW w:w="1876" w:type="dxa"/>
            <w:shd w:val="clear" w:color="auto" w:fill="D9E2F3"/>
            <w:vAlign w:val="center"/>
          </w:tcPr>
          <w:p w14:paraId="3E20DD6F" w14:textId="77777777" w:rsidR="00990B14" w:rsidRDefault="00000000">
            <w:pPr>
              <w:spacing w:before="20" w:after="20"/>
              <w:jc w:val="both"/>
            </w:pPr>
            <w:r>
              <w:rPr>
                <w:sz w:val="18"/>
                <w:szCs w:val="18"/>
              </w:rPr>
              <w:t>No identifica el marco de la entidad.</w:t>
            </w:r>
          </w:p>
        </w:tc>
        <w:tc>
          <w:tcPr>
            <w:tcW w:w="1876" w:type="dxa"/>
            <w:shd w:val="clear" w:color="auto" w:fill="D9E2F3"/>
            <w:vAlign w:val="center"/>
          </w:tcPr>
          <w:p w14:paraId="0DDBAF96" w14:textId="77777777" w:rsidR="00990B14" w:rsidRDefault="00000000">
            <w:pPr>
              <w:spacing w:before="20" w:after="20"/>
              <w:jc w:val="both"/>
            </w:pPr>
            <w:r>
              <w:rPr>
                <w:sz w:val="18"/>
                <w:szCs w:val="18"/>
              </w:rPr>
              <w:t>Identifica el marco aplicable a la entidad del caso.</w:t>
            </w:r>
          </w:p>
        </w:tc>
        <w:tc>
          <w:tcPr>
            <w:tcW w:w="1877" w:type="dxa"/>
            <w:shd w:val="clear" w:color="auto" w:fill="D9E2F3"/>
            <w:vAlign w:val="center"/>
          </w:tcPr>
          <w:p w14:paraId="3FEBD32D" w14:textId="77777777" w:rsidR="00990B14" w:rsidRDefault="00000000">
            <w:pPr>
              <w:spacing w:before="20" w:after="20"/>
              <w:jc w:val="both"/>
            </w:pPr>
            <w:r>
              <w:rPr>
                <w:sz w:val="18"/>
                <w:szCs w:val="18"/>
              </w:rPr>
              <w:t>Justifica el marco con la naturaleza de la entidad y sus usuarios.</w:t>
            </w:r>
          </w:p>
        </w:tc>
      </w:tr>
      <w:tr w:rsidR="00990B14" w14:paraId="4CB4AE10" w14:textId="77777777">
        <w:trPr>
          <w:cantSplit/>
          <w:jc w:val="center"/>
        </w:trPr>
        <w:tc>
          <w:tcPr>
            <w:tcW w:w="1900" w:type="dxa"/>
            <w:vMerge/>
            <w:shd w:val="clear" w:color="auto" w:fill="4472C4"/>
            <w:vAlign w:val="center"/>
          </w:tcPr>
          <w:p w14:paraId="1144AB07" w14:textId="77777777" w:rsidR="00990B14" w:rsidRDefault="00990B14">
            <w:pPr>
              <w:spacing w:before="20" w:after="20"/>
            </w:pPr>
          </w:p>
        </w:tc>
        <w:tc>
          <w:tcPr>
            <w:tcW w:w="1876" w:type="dxa"/>
            <w:shd w:val="clear" w:color="auto" w:fill="D9E2F3"/>
            <w:vAlign w:val="center"/>
          </w:tcPr>
          <w:p w14:paraId="1261E1B8" w14:textId="77777777" w:rsidR="00990B14" w:rsidRDefault="00000000">
            <w:pPr>
              <w:spacing w:before="20" w:after="20"/>
              <w:jc w:val="both"/>
            </w:pPr>
            <w:r>
              <w:rPr>
                <w:sz w:val="18"/>
                <w:szCs w:val="18"/>
              </w:rPr>
              <w:t>NIA por fase</w:t>
            </w:r>
          </w:p>
        </w:tc>
        <w:tc>
          <w:tcPr>
            <w:tcW w:w="1876" w:type="dxa"/>
            <w:shd w:val="clear" w:color="auto" w:fill="D9E2F3"/>
            <w:vAlign w:val="center"/>
          </w:tcPr>
          <w:p w14:paraId="501D0FD5" w14:textId="77777777" w:rsidR="00990B14" w:rsidRDefault="00000000">
            <w:pPr>
              <w:spacing w:before="20" w:after="20"/>
              <w:jc w:val="both"/>
            </w:pPr>
            <w:r>
              <w:rPr>
                <w:sz w:val="18"/>
                <w:szCs w:val="18"/>
              </w:rPr>
              <w:t>Omite fases del encargo.</w:t>
            </w:r>
          </w:p>
        </w:tc>
        <w:tc>
          <w:tcPr>
            <w:tcW w:w="1876" w:type="dxa"/>
            <w:shd w:val="clear" w:color="auto" w:fill="D9E2F3"/>
            <w:vAlign w:val="center"/>
          </w:tcPr>
          <w:p w14:paraId="05F53CDE" w14:textId="77777777" w:rsidR="00990B14" w:rsidRDefault="00000000">
            <w:pPr>
              <w:spacing w:before="20" w:after="20"/>
              <w:jc w:val="both"/>
            </w:pPr>
            <w:r>
              <w:rPr>
                <w:sz w:val="18"/>
                <w:szCs w:val="18"/>
              </w:rPr>
              <w:t>Vincula cada fase con la NIA que la rige.</w:t>
            </w:r>
          </w:p>
        </w:tc>
        <w:tc>
          <w:tcPr>
            <w:tcW w:w="1877" w:type="dxa"/>
            <w:shd w:val="clear" w:color="auto" w:fill="D9E2F3"/>
            <w:vAlign w:val="center"/>
          </w:tcPr>
          <w:p w14:paraId="2C2CC600" w14:textId="77777777" w:rsidR="00990B14" w:rsidRDefault="00000000">
            <w:pPr>
              <w:spacing w:before="20" w:after="20"/>
              <w:jc w:val="both"/>
            </w:pPr>
            <w:r>
              <w:rPr>
                <w:sz w:val="18"/>
                <w:szCs w:val="18"/>
              </w:rPr>
              <w:t>Señala los requerimientos clave de cada norma.</w:t>
            </w:r>
          </w:p>
        </w:tc>
      </w:tr>
      <w:tr w:rsidR="00990B14" w14:paraId="4EACE6FB" w14:textId="77777777">
        <w:trPr>
          <w:cantSplit/>
          <w:jc w:val="center"/>
        </w:trPr>
        <w:tc>
          <w:tcPr>
            <w:tcW w:w="1900" w:type="dxa"/>
            <w:vMerge/>
            <w:shd w:val="clear" w:color="auto" w:fill="4472C4"/>
            <w:vAlign w:val="center"/>
          </w:tcPr>
          <w:p w14:paraId="4A868144" w14:textId="77777777" w:rsidR="00990B14" w:rsidRDefault="00990B14">
            <w:pPr>
              <w:spacing w:before="20" w:after="20"/>
            </w:pPr>
          </w:p>
        </w:tc>
        <w:tc>
          <w:tcPr>
            <w:tcW w:w="1876" w:type="dxa"/>
            <w:shd w:val="clear" w:color="auto" w:fill="D9E2F3"/>
            <w:vAlign w:val="center"/>
          </w:tcPr>
          <w:p w14:paraId="2519E54C" w14:textId="77777777" w:rsidR="00990B14" w:rsidRDefault="00000000">
            <w:pPr>
              <w:spacing w:before="20" w:after="20"/>
              <w:jc w:val="both"/>
            </w:pPr>
            <w:r>
              <w:rPr>
                <w:sz w:val="18"/>
                <w:szCs w:val="18"/>
              </w:rPr>
              <w:t>Presentación</w:t>
            </w:r>
          </w:p>
        </w:tc>
        <w:tc>
          <w:tcPr>
            <w:tcW w:w="1876" w:type="dxa"/>
            <w:shd w:val="clear" w:color="auto" w:fill="D9E2F3"/>
            <w:vAlign w:val="center"/>
          </w:tcPr>
          <w:p w14:paraId="6D7E550C" w14:textId="77777777" w:rsidR="00990B14" w:rsidRDefault="00000000">
            <w:pPr>
              <w:spacing w:before="20" w:after="20"/>
              <w:jc w:val="both"/>
            </w:pPr>
            <w:r>
              <w:rPr>
                <w:sz w:val="18"/>
                <w:szCs w:val="18"/>
              </w:rPr>
              <w:t>La ficha está incompleta.</w:t>
            </w:r>
          </w:p>
        </w:tc>
        <w:tc>
          <w:tcPr>
            <w:tcW w:w="1876" w:type="dxa"/>
            <w:shd w:val="clear" w:color="auto" w:fill="D9E2F3"/>
            <w:vAlign w:val="center"/>
          </w:tcPr>
          <w:p w14:paraId="22918F4B" w14:textId="77777777" w:rsidR="00990B14" w:rsidRDefault="00000000">
            <w:pPr>
              <w:spacing w:before="20" w:after="20"/>
              <w:jc w:val="both"/>
            </w:pPr>
            <w:r>
              <w:rPr>
                <w:sz w:val="18"/>
                <w:szCs w:val="18"/>
              </w:rPr>
              <w:t>La ficha es clara y completa.</w:t>
            </w:r>
          </w:p>
        </w:tc>
        <w:tc>
          <w:tcPr>
            <w:tcW w:w="1877" w:type="dxa"/>
            <w:shd w:val="clear" w:color="auto" w:fill="D9E2F3"/>
            <w:vAlign w:val="center"/>
          </w:tcPr>
          <w:p w14:paraId="4532F34F" w14:textId="77777777" w:rsidR="00990B14" w:rsidRDefault="00000000">
            <w:pPr>
              <w:spacing w:before="20" w:after="20"/>
              <w:jc w:val="both"/>
            </w:pPr>
            <w:r>
              <w:rPr>
                <w:sz w:val="18"/>
                <w:szCs w:val="18"/>
              </w:rPr>
              <w:t>La ficha sirve como referencia para todo el encargo.</w:t>
            </w:r>
          </w:p>
        </w:tc>
      </w:tr>
      <w:tr w:rsidR="00990B14" w14:paraId="6088FFE3" w14:textId="77777777">
        <w:trPr>
          <w:cantSplit/>
          <w:jc w:val="center"/>
        </w:trPr>
        <w:tc>
          <w:tcPr>
            <w:tcW w:w="1900" w:type="dxa"/>
            <w:vMerge/>
            <w:shd w:val="clear" w:color="auto" w:fill="4472C4"/>
            <w:vAlign w:val="center"/>
          </w:tcPr>
          <w:p w14:paraId="5A25F762" w14:textId="77777777" w:rsidR="00990B14" w:rsidRDefault="00990B14">
            <w:pPr>
              <w:spacing w:before="20" w:after="20"/>
            </w:pPr>
          </w:p>
        </w:tc>
        <w:tc>
          <w:tcPr>
            <w:tcW w:w="5628" w:type="dxa"/>
            <w:gridSpan w:val="3"/>
            <w:shd w:val="clear" w:color="auto" w:fill="D9E2F3"/>
            <w:vAlign w:val="center"/>
          </w:tcPr>
          <w:p w14:paraId="7D906063" w14:textId="77777777" w:rsidR="00990B14" w:rsidRDefault="00000000">
            <w:pPr>
              <w:keepNext/>
              <w:spacing w:before="20" w:after="20"/>
              <w:jc w:val="both"/>
            </w:pPr>
            <w:r>
              <w:rPr>
                <w:b/>
                <w:bCs/>
                <w:i/>
                <w:iCs/>
                <w:sz w:val="18"/>
                <w:szCs w:val="18"/>
              </w:rPr>
              <w:t xml:space="preserve">Producto 2: </w:t>
            </w:r>
            <w:r>
              <w:rPr>
                <w:sz w:val="18"/>
                <w:szCs w:val="18"/>
              </w:rPr>
              <w:t>Cuadro de las revisiones recientes de las normas de auditoría y de gestión de la calidad, con sus fechas de vigencia, su efecto en el encargo del caso práctico y las fuentes oficiales.”</w:t>
            </w:r>
          </w:p>
        </w:tc>
        <w:tc>
          <w:tcPr>
            <w:tcW w:w="1877" w:type="dxa"/>
            <w:shd w:val="clear" w:color="auto" w:fill="D9E2F3"/>
            <w:vAlign w:val="center"/>
          </w:tcPr>
          <w:p w14:paraId="26CEA47C" w14:textId="77777777" w:rsidR="00990B14" w:rsidRDefault="00000000">
            <w:pPr>
              <w:spacing w:before="20" w:after="20"/>
              <w:jc w:val="center"/>
            </w:pPr>
            <w:r>
              <w:rPr>
                <w:b/>
                <w:bCs/>
                <w:sz w:val="18"/>
                <w:szCs w:val="18"/>
              </w:rPr>
              <w:t>3%</w:t>
            </w:r>
          </w:p>
        </w:tc>
      </w:tr>
      <w:tr w:rsidR="00990B14" w14:paraId="52AEB6AB" w14:textId="77777777">
        <w:trPr>
          <w:cantSplit/>
          <w:jc w:val="center"/>
        </w:trPr>
        <w:tc>
          <w:tcPr>
            <w:tcW w:w="1900" w:type="dxa"/>
            <w:vMerge/>
            <w:shd w:val="clear" w:color="auto" w:fill="4472C4"/>
            <w:vAlign w:val="center"/>
          </w:tcPr>
          <w:p w14:paraId="02CD9550" w14:textId="77777777" w:rsidR="00990B14" w:rsidRDefault="00990B14">
            <w:pPr>
              <w:spacing w:before="20" w:after="20"/>
            </w:pPr>
          </w:p>
        </w:tc>
        <w:tc>
          <w:tcPr>
            <w:tcW w:w="1876" w:type="dxa"/>
            <w:shd w:val="clear" w:color="auto" w:fill="4472C4"/>
            <w:vAlign w:val="center"/>
          </w:tcPr>
          <w:p w14:paraId="23E5DC7B"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444819ED"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1D176F45"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27145933" w14:textId="77777777" w:rsidR="00990B14" w:rsidRDefault="00000000">
            <w:pPr>
              <w:keepNext/>
              <w:spacing w:before="20" w:after="20"/>
              <w:jc w:val="center"/>
            </w:pPr>
            <w:r>
              <w:rPr>
                <w:b/>
                <w:bCs/>
                <w:i/>
                <w:iCs/>
                <w:color w:val="FFFFFF"/>
                <w:sz w:val="18"/>
                <w:szCs w:val="18"/>
              </w:rPr>
              <w:t>Destacado (81–100)</w:t>
            </w:r>
          </w:p>
        </w:tc>
      </w:tr>
      <w:tr w:rsidR="00990B14" w14:paraId="5E6C9157" w14:textId="77777777">
        <w:trPr>
          <w:cantSplit/>
          <w:jc w:val="center"/>
        </w:trPr>
        <w:tc>
          <w:tcPr>
            <w:tcW w:w="1900" w:type="dxa"/>
            <w:vMerge/>
            <w:shd w:val="clear" w:color="auto" w:fill="4472C4"/>
            <w:vAlign w:val="center"/>
          </w:tcPr>
          <w:p w14:paraId="13A2A05B" w14:textId="77777777" w:rsidR="00990B14" w:rsidRDefault="00990B14">
            <w:pPr>
              <w:spacing w:before="20" w:after="20"/>
            </w:pPr>
          </w:p>
        </w:tc>
        <w:tc>
          <w:tcPr>
            <w:tcW w:w="1876" w:type="dxa"/>
            <w:shd w:val="clear" w:color="auto" w:fill="D9E2F3"/>
            <w:vAlign w:val="center"/>
          </w:tcPr>
          <w:p w14:paraId="60EE7B8E" w14:textId="77777777" w:rsidR="00990B14" w:rsidRDefault="00000000">
            <w:pPr>
              <w:spacing w:before="20" w:after="20"/>
              <w:jc w:val="both"/>
            </w:pPr>
            <w:r>
              <w:rPr>
                <w:sz w:val="18"/>
                <w:szCs w:val="18"/>
              </w:rPr>
              <w:t>Normas revisadas</w:t>
            </w:r>
          </w:p>
        </w:tc>
        <w:tc>
          <w:tcPr>
            <w:tcW w:w="1876" w:type="dxa"/>
            <w:shd w:val="clear" w:color="auto" w:fill="D9E2F3"/>
            <w:vAlign w:val="center"/>
          </w:tcPr>
          <w:p w14:paraId="3806CEC7" w14:textId="77777777" w:rsidR="00990B14" w:rsidRDefault="00000000">
            <w:pPr>
              <w:spacing w:before="20" w:after="20"/>
              <w:jc w:val="both"/>
            </w:pPr>
            <w:r>
              <w:rPr>
                <w:sz w:val="18"/>
                <w:szCs w:val="18"/>
              </w:rPr>
              <w:t>Omite normas revisadas.</w:t>
            </w:r>
          </w:p>
        </w:tc>
        <w:tc>
          <w:tcPr>
            <w:tcW w:w="1876" w:type="dxa"/>
            <w:shd w:val="clear" w:color="auto" w:fill="D9E2F3"/>
            <w:vAlign w:val="center"/>
          </w:tcPr>
          <w:p w14:paraId="78377A1D" w14:textId="77777777" w:rsidR="00990B14" w:rsidRDefault="00000000">
            <w:pPr>
              <w:spacing w:before="20" w:after="20"/>
              <w:jc w:val="both"/>
            </w:pPr>
            <w:r>
              <w:rPr>
                <w:sz w:val="18"/>
                <w:szCs w:val="18"/>
              </w:rPr>
              <w:t>Identifica las normas revisadas y su vigencia.</w:t>
            </w:r>
          </w:p>
        </w:tc>
        <w:tc>
          <w:tcPr>
            <w:tcW w:w="1877" w:type="dxa"/>
            <w:shd w:val="clear" w:color="auto" w:fill="D9E2F3"/>
            <w:vAlign w:val="center"/>
          </w:tcPr>
          <w:p w14:paraId="035491DE" w14:textId="77777777" w:rsidR="00990B14" w:rsidRDefault="00000000">
            <w:pPr>
              <w:spacing w:before="20" w:after="20"/>
              <w:jc w:val="both"/>
            </w:pPr>
            <w:r>
              <w:rPr>
                <w:sz w:val="18"/>
                <w:szCs w:val="18"/>
              </w:rPr>
              <w:t>Explica el cambio principal de cada una.</w:t>
            </w:r>
          </w:p>
        </w:tc>
      </w:tr>
      <w:tr w:rsidR="00990B14" w14:paraId="79B545DF" w14:textId="77777777">
        <w:trPr>
          <w:cantSplit/>
          <w:jc w:val="center"/>
        </w:trPr>
        <w:tc>
          <w:tcPr>
            <w:tcW w:w="1900" w:type="dxa"/>
            <w:vMerge/>
            <w:shd w:val="clear" w:color="auto" w:fill="4472C4"/>
            <w:vAlign w:val="center"/>
          </w:tcPr>
          <w:p w14:paraId="0610B072" w14:textId="77777777" w:rsidR="00990B14" w:rsidRDefault="00990B14">
            <w:pPr>
              <w:spacing w:before="20" w:after="20"/>
            </w:pPr>
          </w:p>
        </w:tc>
        <w:tc>
          <w:tcPr>
            <w:tcW w:w="1876" w:type="dxa"/>
            <w:shd w:val="clear" w:color="auto" w:fill="D9E2F3"/>
            <w:vAlign w:val="center"/>
          </w:tcPr>
          <w:p w14:paraId="494DB6DE" w14:textId="77777777" w:rsidR="00990B14" w:rsidRDefault="00000000">
            <w:pPr>
              <w:spacing w:before="20" w:after="20"/>
              <w:jc w:val="both"/>
            </w:pPr>
            <w:r>
              <w:rPr>
                <w:sz w:val="18"/>
                <w:szCs w:val="18"/>
              </w:rPr>
              <w:t>Efecto en el encargo</w:t>
            </w:r>
          </w:p>
        </w:tc>
        <w:tc>
          <w:tcPr>
            <w:tcW w:w="1876" w:type="dxa"/>
            <w:shd w:val="clear" w:color="auto" w:fill="D9E2F3"/>
            <w:vAlign w:val="center"/>
          </w:tcPr>
          <w:p w14:paraId="456D37FE" w14:textId="77777777" w:rsidR="00990B14" w:rsidRDefault="00000000">
            <w:pPr>
              <w:spacing w:before="20" w:after="20"/>
              <w:jc w:val="both"/>
            </w:pPr>
            <w:r>
              <w:rPr>
                <w:sz w:val="18"/>
                <w:szCs w:val="18"/>
              </w:rPr>
              <w:t>No relaciona la norma con el caso.</w:t>
            </w:r>
          </w:p>
        </w:tc>
        <w:tc>
          <w:tcPr>
            <w:tcW w:w="1876" w:type="dxa"/>
            <w:shd w:val="clear" w:color="auto" w:fill="D9E2F3"/>
            <w:vAlign w:val="center"/>
          </w:tcPr>
          <w:p w14:paraId="0A09E0D8" w14:textId="77777777" w:rsidR="00990B14" w:rsidRDefault="00000000">
            <w:pPr>
              <w:spacing w:before="20" w:after="20"/>
              <w:jc w:val="both"/>
            </w:pPr>
            <w:r>
              <w:rPr>
                <w:sz w:val="18"/>
                <w:szCs w:val="18"/>
              </w:rPr>
              <w:t>Precisa el efecto de cada norma en el encargo.</w:t>
            </w:r>
          </w:p>
        </w:tc>
        <w:tc>
          <w:tcPr>
            <w:tcW w:w="1877" w:type="dxa"/>
            <w:shd w:val="clear" w:color="auto" w:fill="D9E2F3"/>
            <w:vAlign w:val="center"/>
          </w:tcPr>
          <w:p w14:paraId="38038294" w14:textId="77777777" w:rsidR="00990B14" w:rsidRDefault="00000000">
            <w:pPr>
              <w:spacing w:before="20" w:after="20"/>
              <w:jc w:val="both"/>
            </w:pPr>
            <w:r>
              <w:rPr>
                <w:sz w:val="18"/>
                <w:szCs w:val="18"/>
              </w:rPr>
              <w:t>Propone ajustes concretos a los papeles de trabajo.</w:t>
            </w:r>
          </w:p>
        </w:tc>
      </w:tr>
      <w:tr w:rsidR="00990B14" w14:paraId="5B9B008E" w14:textId="77777777">
        <w:trPr>
          <w:cantSplit/>
          <w:jc w:val="center"/>
        </w:trPr>
        <w:tc>
          <w:tcPr>
            <w:tcW w:w="1900" w:type="dxa"/>
            <w:vMerge/>
            <w:shd w:val="clear" w:color="auto" w:fill="4472C4"/>
            <w:vAlign w:val="center"/>
          </w:tcPr>
          <w:p w14:paraId="3A46819C" w14:textId="77777777" w:rsidR="00990B14" w:rsidRDefault="00990B14">
            <w:pPr>
              <w:spacing w:before="20" w:after="20"/>
            </w:pPr>
          </w:p>
        </w:tc>
        <w:tc>
          <w:tcPr>
            <w:tcW w:w="1876" w:type="dxa"/>
            <w:shd w:val="clear" w:color="auto" w:fill="D9E2F3"/>
            <w:vAlign w:val="center"/>
          </w:tcPr>
          <w:p w14:paraId="3DE7126B" w14:textId="77777777" w:rsidR="00990B14" w:rsidRDefault="00000000">
            <w:pPr>
              <w:spacing w:before="20" w:after="20"/>
              <w:jc w:val="both"/>
            </w:pPr>
            <w:r>
              <w:rPr>
                <w:sz w:val="18"/>
                <w:szCs w:val="18"/>
              </w:rPr>
              <w:t>Fuentes</w:t>
            </w:r>
          </w:p>
        </w:tc>
        <w:tc>
          <w:tcPr>
            <w:tcW w:w="1876" w:type="dxa"/>
            <w:shd w:val="clear" w:color="auto" w:fill="D9E2F3"/>
            <w:vAlign w:val="center"/>
          </w:tcPr>
          <w:p w14:paraId="64BA570E" w14:textId="77777777" w:rsidR="00990B14" w:rsidRDefault="00000000">
            <w:pPr>
              <w:spacing w:before="20" w:after="20"/>
              <w:jc w:val="both"/>
            </w:pPr>
            <w:r>
              <w:rPr>
                <w:sz w:val="18"/>
                <w:szCs w:val="18"/>
              </w:rPr>
              <w:t>No cita fuentes.</w:t>
            </w:r>
          </w:p>
        </w:tc>
        <w:tc>
          <w:tcPr>
            <w:tcW w:w="1876" w:type="dxa"/>
            <w:shd w:val="clear" w:color="auto" w:fill="D9E2F3"/>
            <w:vAlign w:val="center"/>
          </w:tcPr>
          <w:p w14:paraId="5BAA992A" w14:textId="77777777" w:rsidR="00990B14" w:rsidRDefault="00000000">
            <w:pPr>
              <w:spacing w:before="20" w:after="20"/>
              <w:jc w:val="both"/>
            </w:pPr>
            <w:r>
              <w:rPr>
                <w:sz w:val="18"/>
                <w:szCs w:val="18"/>
              </w:rPr>
              <w:t>Cita la norma y la resolución de adopción.</w:t>
            </w:r>
          </w:p>
        </w:tc>
        <w:tc>
          <w:tcPr>
            <w:tcW w:w="1877" w:type="dxa"/>
            <w:shd w:val="clear" w:color="auto" w:fill="D9E2F3"/>
            <w:vAlign w:val="center"/>
          </w:tcPr>
          <w:p w14:paraId="3AC2BB5F" w14:textId="77777777" w:rsidR="00990B14" w:rsidRDefault="00000000">
            <w:pPr>
              <w:spacing w:before="20" w:after="20"/>
              <w:jc w:val="both"/>
            </w:pPr>
            <w:r>
              <w:rPr>
                <w:sz w:val="18"/>
                <w:szCs w:val="18"/>
              </w:rPr>
              <w:t>Contrasta la versión anterior con la vigente.</w:t>
            </w:r>
          </w:p>
        </w:tc>
      </w:tr>
      <w:tr w:rsidR="00990B14" w14:paraId="69150B8E" w14:textId="77777777">
        <w:trPr>
          <w:cantSplit/>
          <w:jc w:val="center"/>
        </w:trPr>
        <w:tc>
          <w:tcPr>
            <w:tcW w:w="1900" w:type="dxa"/>
            <w:vMerge/>
            <w:shd w:val="clear" w:color="auto" w:fill="4472C4"/>
            <w:vAlign w:val="center"/>
          </w:tcPr>
          <w:p w14:paraId="647127A4" w14:textId="77777777" w:rsidR="00990B14" w:rsidRDefault="00990B14">
            <w:pPr>
              <w:spacing w:before="20" w:after="20"/>
            </w:pPr>
          </w:p>
        </w:tc>
        <w:tc>
          <w:tcPr>
            <w:tcW w:w="5628" w:type="dxa"/>
            <w:gridSpan w:val="3"/>
            <w:shd w:val="clear" w:color="auto" w:fill="D9E2F3"/>
            <w:vAlign w:val="center"/>
          </w:tcPr>
          <w:p w14:paraId="640AB989" w14:textId="77777777" w:rsidR="00990B14" w:rsidRDefault="00000000">
            <w:pPr>
              <w:keepNext/>
              <w:spacing w:before="20" w:after="20"/>
              <w:jc w:val="both"/>
            </w:pPr>
            <w:r>
              <w:rPr>
                <w:b/>
                <w:bCs/>
                <w:i/>
                <w:iCs/>
                <w:sz w:val="18"/>
                <w:szCs w:val="18"/>
              </w:rPr>
              <w:t xml:space="preserve">Producto 3: </w:t>
            </w:r>
            <w:r>
              <w:rPr>
                <w:sz w:val="18"/>
                <w:szCs w:val="18"/>
              </w:rPr>
              <w:t>Práctico del riesgo de detección aceptable</w:t>
            </w:r>
          </w:p>
        </w:tc>
        <w:tc>
          <w:tcPr>
            <w:tcW w:w="1877" w:type="dxa"/>
            <w:shd w:val="clear" w:color="auto" w:fill="D9E2F3"/>
            <w:vAlign w:val="center"/>
          </w:tcPr>
          <w:p w14:paraId="0A7C9962" w14:textId="77777777" w:rsidR="00990B14" w:rsidRDefault="00000000">
            <w:pPr>
              <w:spacing w:before="20" w:after="20"/>
              <w:jc w:val="center"/>
            </w:pPr>
            <w:r>
              <w:rPr>
                <w:b/>
                <w:bCs/>
                <w:sz w:val="18"/>
                <w:szCs w:val="18"/>
              </w:rPr>
              <w:t>2%</w:t>
            </w:r>
          </w:p>
        </w:tc>
      </w:tr>
      <w:tr w:rsidR="00990B14" w14:paraId="4BE6AA5C" w14:textId="77777777">
        <w:trPr>
          <w:cantSplit/>
          <w:jc w:val="center"/>
        </w:trPr>
        <w:tc>
          <w:tcPr>
            <w:tcW w:w="1900" w:type="dxa"/>
            <w:vMerge/>
            <w:shd w:val="clear" w:color="auto" w:fill="4472C4"/>
            <w:vAlign w:val="center"/>
          </w:tcPr>
          <w:p w14:paraId="67694750" w14:textId="77777777" w:rsidR="00990B14" w:rsidRDefault="00990B14">
            <w:pPr>
              <w:spacing w:before="20" w:after="20"/>
            </w:pPr>
          </w:p>
        </w:tc>
        <w:tc>
          <w:tcPr>
            <w:tcW w:w="1876" w:type="dxa"/>
            <w:shd w:val="clear" w:color="auto" w:fill="4472C4"/>
            <w:vAlign w:val="center"/>
          </w:tcPr>
          <w:p w14:paraId="4CE1A426"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076328B7"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021D9EF8"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45684332" w14:textId="77777777" w:rsidR="00990B14" w:rsidRDefault="00000000">
            <w:pPr>
              <w:keepNext/>
              <w:spacing w:before="20" w:after="20"/>
              <w:jc w:val="center"/>
            </w:pPr>
            <w:r>
              <w:rPr>
                <w:b/>
                <w:bCs/>
                <w:i/>
                <w:iCs/>
                <w:color w:val="FFFFFF"/>
                <w:sz w:val="18"/>
                <w:szCs w:val="18"/>
              </w:rPr>
              <w:t>Destacado (81–100)</w:t>
            </w:r>
          </w:p>
        </w:tc>
      </w:tr>
      <w:tr w:rsidR="00990B14" w14:paraId="45444273" w14:textId="77777777">
        <w:trPr>
          <w:cantSplit/>
          <w:jc w:val="center"/>
        </w:trPr>
        <w:tc>
          <w:tcPr>
            <w:tcW w:w="1900" w:type="dxa"/>
            <w:vMerge/>
            <w:shd w:val="clear" w:color="auto" w:fill="4472C4"/>
            <w:vAlign w:val="center"/>
          </w:tcPr>
          <w:p w14:paraId="6B226A0E" w14:textId="77777777" w:rsidR="00990B14" w:rsidRDefault="00990B14">
            <w:pPr>
              <w:spacing w:before="20" w:after="20"/>
            </w:pPr>
          </w:p>
        </w:tc>
        <w:tc>
          <w:tcPr>
            <w:tcW w:w="1876" w:type="dxa"/>
            <w:shd w:val="clear" w:color="auto" w:fill="D9E2F3"/>
            <w:vAlign w:val="center"/>
          </w:tcPr>
          <w:p w14:paraId="224B84BD" w14:textId="77777777" w:rsidR="00990B14" w:rsidRDefault="00000000">
            <w:pPr>
              <w:spacing w:before="20" w:after="20"/>
              <w:jc w:val="both"/>
            </w:pPr>
            <w:r>
              <w:rPr>
                <w:sz w:val="18"/>
                <w:szCs w:val="18"/>
              </w:rPr>
              <w:t>Componentes del riesgo</w:t>
            </w:r>
          </w:p>
        </w:tc>
        <w:tc>
          <w:tcPr>
            <w:tcW w:w="1876" w:type="dxa"/>
            <w:shd w:val="clear" w:color="auto" w:fill="D9E2F3"/>
            <w:vAlign w:val="center"/>
          </w:tcPr>
          <w:p w14:paraId="462FFEA2" w14:textId="77777777" w:rsidR="00990B14" w:rsidRDefault="00000000">
            <w:pPr>
              <w:spacing w:before="20" w:after="20"/>
              <w:jc w:val="both"/>
            </w:pPr>
            <w:r>
              <w:rPr>
                <w:sz w:val="18"/>
                <w:szCs w:val="18"/>
              </w:rPr>
              <w:t>Confunde los componentes.</w:t>
            </w:r>
          </w:p>
        </w:tc>
        <w:tc>
          <w:tcPr>
            <w:tcW w:w="1876" w:type="dxa"/>
            <w:shd w:val="clear" w:color="auto" w:fill="D9E2F3"/>
            <w:vAlign w:val="center"/>
          </w:tcPr>
          <w:p w14:paraId="3A485AA1" w14:textId="77777777" w:rsidR="00990B14" w:rsidRDefault="00000000">
            <w:pPr>
              <w:spacing w:before="20" w:after="20"/>
              <w:jc w:val="both"/>
            </w:pPr>
            <w:r>
              <w:rPr>
                <w:sz w:val="18"/>
                <w:szCs w:val="18"/>
              </w:rPr>
              <w:t>Valora cada componente en los rubros del caso.</w:t>
            </w:r>
          </w:p>
        </w:tc>
        <w:tc>
          <w:tcPr>
            <w:tcW w:w="1877" w:type="dxa"/>
            <w:shd w:val="clear" w:color="auto" w:fill="D9E2F3"/>
            <w:vAlign w:val="center"/>
          </w:tcPr>
          <w:p w14:paraId="04C99ACC" w14:textId="77777777" w:rsidR="00990B14" w:rsidRDefault="00000000">
            <w:pPr>
              <w:spacing w:before="20" w:after="20"/>
              <w:jc w:val="both"/>
            </w:pPr>
            <w:r>
              <w:rPr>
                <w:sz w:val="18"/>
                <w:szCs w:val="18"/>
              </w:rPr>
              <w:t>Justifica cada valoración con datos del caso.</w:t>
            </w:r>
          </w:p>
        </w:tc>
      </w:tr>
      <w:tr w:rsidR="00990B14" w14:paraId="6A9B962E" w14:textId="77777777">
        <w:trPr>
          <w:cantSplit/>
          <w:jc w:val="center"/>
        </w:trPr>
        <w:tc>
          <w:tcPr>
            <w:tcW w:w="1900" w:type="dxa"/>
            <w:vMerge/>
            <w:shd w:val="clear" w:color="auto" w:fill="4472C4"/>
            <w:vAlign w:val="center"/>
          </w:tcPr>
          <w:p w14:paraId="66B61469" w14:textId="77777777" w:rsidR="00990B14" w:rsidRDefault="00990B14">
            <w:pPr>
              <w:spacing w:before="20" w:after="20"/>
            </w:pPr>
          </w:p>
        </w:tc>
        <w:tc>
          <w:tcPr>
            <w:tcW w:w="1876" w:type="dxa"/>
            <w:shd w:val="clear" w:color="auto" w:fill="D9E2F3"/>
            <w:vAlign w:val="center"/>
          </w:tcPr>
          <w:p w14:paraId="7239E9CA" w14:textId="77777777" w:rsidR="00990B14" w:rsidRDefault="00000000">
            <w:pPr>
              <w:spacing w:before="20" w:after="20"/>
              <w:jc w:val="both"/>
            </w:pPr>
            <w:r>
              <w:rPr>
                <w:sz w:val="18"/>
                <w:szCs w:val="18"/>
              </w:rPr>
              <w:t>Riesgo de detección</w:t>
            </w:r>
          </w:p>
        </w:tc>
        <w:tc>
          <w:tcPr>
            <w:tcW w:w="1876" w:type="dxa"/>
            <w:shd w:val="clear" w:color="auto" w:fill="D9E2F3"/>
            <w:vAlign w:val="center"/>
          </w:tcPr>
          <w:p w14:paraId="32CAEEEF" w14:textId="77777777" w:rsidR="00990B14" w:rsidRDefault="00000000">
            <w:pPr>
              <w:spacing w:before="20" w:after="20"/>
              <w:jc w:val="both"/>
            </w:pPr>
            <w:r>
              <w:rPr>
                <w:sz w:val="18"/>
                <w:szCs w:val="18"/>
              </w:rPr>
              <w:t>Lo determina con errores.</w:t>
            </w:r>
          </w:p>
        </w:tc>
        <w:tc>
          <w:tcPr>
            <w:tcW w:w="1876" w:type="dxa"/>
            <w:shd w:val="clear" w:color="auto" w:fill="D9E2F3"/>
            <w:vAlign w:val="center"/>
          </w:tcPr>
          <w:p w14:paraId="2E3D06BD" w14:textId="77777777" w:rsidR="00990B14" w:rsidRDefault="00000000">
            <w:pPr>
              <w:spacing w:before="20" w:after="20"/>
              <w:jc w:val="both"/>
            </w:pPr>
            <w:r>
              <w:rPr>
                <w:sz w:val="18"/>
                <w:szCs w:val="18"/>
              </w:rPr>
              <w:t>Determina el riesgo de detección aceptable.</w:t>
            </w:r>
          </w:p>
        </w:tc>
        <w:tc>
          <w:tcPr>
            <w:tcW w:w="1877" w:type="dxa"/>
            <w:shd w:val="clear" w:color="auto" w:fill="D9E2F3"/>
            <w:vAlign w:val="center"/>
          </w:tcPr>
          <w:p w14:paraId="7638582C" w14:textId="77777777" w:rsidR="00990B14" w:rsidRDefault="00000000">
            <w:pPr>
              <w:spacing w:before="20" w:after="20"/>
              <w:jc w:val="both"/>
            </w:pPr>
            <w:r>
              <w:rPr>
                <w:sz w:val="18"/>
                <w:szCs w:val="18"/>
              </w:rPr>
              <w:t>Relaciona el resultado con la extensión de las pruebas.</w:t>
            </w:r>
          </w:p>
        </w:tc>
      </w:tr>
      <w:tr w:rsidR="00990B14" w14:paraId="68961837" w14:textId="77777777">
        <w:trPr>
          <w:cantSplit/>
          <w:jc w:val="center"/>
        </w:trPr>
        <w:tc>
          <w:tcPr>
            <w:tcW w:w="1900" w:type="dxa"/>
            <w:vMerge/>
            <w:shd w:val="clear" w:color="auto" w:fill="4472C4"/>
            <w:vAlign w:val="center"/>
          </w:tcPr>
          <w:p w14:paraId="6DDD48D6" w14:textId="77777777" w:rsidR="00990B14" w:rsidRDefault="00990B14">
            <w:pPr>
              <w:spacing w:before="20" w:after="20"/>
            </w:pPr>
          </w:p>
        </w:tc>
        <w:tc>
          <w:tcPr>
            <w:tcW w:w="1876" w:type="dxa"/>
            <w:shd w:val="clear" w:color="auto" w:fill="D9E2F3"/>
            <w:vAlign w:val="center"/>
          </w:tcPr>
          <w:p w14:paraId="5D4029AF" w14:textId="77777777" w:rsidR="00990B14" w:rsidRDefault="00000000">
            <w:pPr>
              <w:spacing w:before="20" w:after="20"/>
              <w:jc w:val="both"/>
            </w:pPr>
            <w:r>
              <w:rPr>
                <w:sz w:val="18"/>
                <w:szCs w:val="18"/>
              </w:rPr>
              <w:t>Aseveraciones</w:t>
            </w:r>
          </w:p>
        </w:tc>
        <w:tc>
          <w:tcPr>
            <w:tcW w:w="1876" w:type="dxa"/>
            <w:shd w:val="clear" w:color="auto" w:fill="D9E2F3"/>
            <w:vAlign w:val="center"/>
          </w:tcPr>
          <w:p w14:paraId="018C06CE" w14:textId="77777777" w:rsidR="00990B14" w:rsidRDefault="00000000">
            <w:pPr>
              <w:spacing w:before="20" w:after="20"/>
              <w:jc w:val="both"/>
            </w:pPr>
            <w:r>
              <w:rPr>
                <w:sz w:val="18"/>
                <w:szCs w:val="18"/>
              </w:rPr>
              <w:t>No las vincula.</w:t>
            </w:r>
          </w:p>
        </w:tc>
        <w:tc>
          <w:tcPr>
            <w:tcW w:w="1876" w:type="dxa"/>
            <w:shd w:val="clear" w:color="auto" w:fill="D9E2F3"/>
            <w:vAlign w:val="center"/>
          </w:tcPr>
          <w:p w14:paraId="73EDB359" w14:textId="77777777" w:rsidR="00990B14" w:rsidRDefault="00000000">
            <w:pPr>
              <w:spacing w:before="20" w:after="20"/>
              <w:jc w:val="both"/>
            </w:pPr>
            <w:r>
              <w:rPr>
                <w:sz w:val="18"/>
                <w:szCs w:val="18"/>
              </w:rPr>
              <w:t>Vincula el riesgo con las aseveraciones.</w:t>
            </w:r>
          </w:p>
        </w:tc>
        <w:tc>
          <w:tcPr>
            <w:tcW w:w="1877" w:type="dxa"/>
            <w:shd w:val="clear" w:color="auto" w:fill="D9E2F3"/>
            <w:vAlign w:val="center"/>
          </w:tcPr>
          <w:p w14:paraId="0106451D" w14:textId="77777777" w:rsidR="00990B14" w:rsidRDefault="00000000">
            <w:pPr>
              <w:spacing w:before="20" w:after="20"/>
              <w:jc w:val="both"/>
            </w:pPr>
            <w:r>
              <w:rPr>
                <w:sz w:val="18"/>
                <w:szCs w:val="18"/>
              </w:rPr>
              <w:t>Prioriza las aseveraciones de mayor riesgo.</w:t>
            </w:r>
          </w:p>
        </w:tc>
      </w:tr>
      <w:tr w:rsidR="00990B14" w14:paraId="124DA4CE" w14:textId="77777777">
        <w:trPr>
          <w:cantSplit/>
          <w:jc w:val="center"/>
        </w:trPr>
        <w:tc>
          <w:tcPr>
            <w:tcW w:w="1900" w:type="dxa"/>
            <w:vMerge/>
            <w:shd w:val="clear" w:color="auto" w:fill="4472C4"/>
            <w:vAlign w:val="center"/>
          </w:tcPr>
          <w:p w14:paraId="612BD60A" w14:textId="77777777" w:rsidR="00990B14" w:rsidRDefault="00990B14">
            <w:pPr>
              <w:spacing w:before="20" w:after="20"/>
            </w:pPr>
          </w:p>
        </w:tc>
        <w:tc>
          <w:tcPr>
            <w:tcW w:w="5628" w:type="dxa"/>
            <w:gridSpan w:val="3"/>
            <w:shd w:val="clear" w:color="auto" w:fill="D9E2F3"/>
            <w:vAlign w:val="center"/>
          </w:tcPr>
          <w:p w14:paraId="69BF1DB0" w14:textId="77777777" w:rsidR="00990B14" w:rsidRDefault="00000000">
            <w:pPr>
              <w:keepNext/>
              <w:spacing w:before="20" w:after="20"/>
              <w:jc w:val="both"/>
            </w:pPr>
            <w:r>
              <w:rPr>
                <w:b/>
                <w:bCs/>
                <w:i/>
                <w:iCs/>
                <w:sz w:val="18"/>
                <w:szCs w:val="18"/>
              </w:rPr>
              <w:t xml:space="preserve">Producto 4: </w:t>
            </w:r>
            <w:r>
              <w:rPr>
                <w:sz w:val="18"/>
                <w:szCs w:val="18"/>
              </w:rPr>
              <w:t>Informe comparativo de la adaptación del proceso de auditoría del caso práctico a una entidad menos compleja simulada.</w:t>
            </w:r>
          </w:p>
        </w:tc>
        <w:tc>
          <w:tcPr>
            <w:tcW w:w="1877" w:type="dxa"/>
            <w:shd w:val="clear" w:color="auto" w:fill="D9E2F3"/>
            <w:vAlign w:val="center"/>
          </w:tcPr>
          <w:p w14:paraId="63E2E3E5" w14:textId="77777777" w:rsidR="00990B14" w:rsidRDefault="00000000">
            <w:pPr>
              <w:spacing w:before="20" w:after="20"/>
              <w:jc w:val="center"/>
            </w:pPr>
            <w:r>
              <w:rPr>
                <w:b/>
                <w:bCs/>
                <w:sz w:val="18"/>
                <w:szCs w:val="18"/>
              </w:rPr>
              <w:t>2%</w:t>
            </w:r>
          </w:p>
        </w:tc>
      </w:tr>
      <w:tr w:rsidR="00990B14" w14:paraId="62EDECF4" w14:textId="77777777">
        <w:trPr>
          <w:cantSplit/>
          <w:jc w:val="center"/>
        </w:trPr>
        <w:tc>
          <w:tcPr>
            <w:tcW w:w="1900" w:type="dxa"/>
            <w:vMerge/>
            <w:shd w:val="clear" w:color="auto" w:fill="4472C4"/>
            <w:vAlign w:val="center"/>
          </w:tcPr>
          <w:p w14:paraId="47B839CB" w14:textId="77777777" w:rsidR="00990B14" w:rsidRDefault="00990B14">
            <w:pPr>
              <w:spacing w:before="20" w:after="20"/>
            </w:pPr>
          </w:p>
        </w:tc>
        <w:tc>
          <w:tcPr>
            <w:tcW w:w="1876" w:type="dxa"/>
            <w:shd w:val="clear" w:color="auto" w:fill="4472C4"/>
            <w:vAlign w:val="center"/>
          </w:tcPr>
          <w:p w14:paraId="018DFB1D"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3EE73D42"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4825EFE2"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72708D69" w14:textId="77777777" w:rsidR="00990B14" w:rsidRDefault="00000000">
            <w:pPr>
              <w:keepNext/>
              <w:spacing w:before="20" w:after="20"/>
              <w:jc w:val="center"/>
            </w:pPr>
            <w:r>
              <w:rPr>
                <w:b/>
                <w:bCs/>
                <w:i/>
                <w:iCs/>
                <w:color w:val="FFFFFF"/>
                <w:sz w:val="18"/>
                <w:szCs w:val="18"/>
              </w:rPr>
              <w:t>Destacado (81–100)</w:t>
            </w:r>
          </w:p>
        </w:tc>
      </w:tr>
      <w:tr w:rsidR="00990B14" w14:paraId="7EF77F9E" w14:textId="77777777">
        <w:trPr>
          <w:cantSplit/>
          <w:jc w:val="center"/>
        </w:trPr>
        <w:tc>
          <w:tcPr>
            <w:tcW w:w="1900" w:type="dxa"/>
            <w:vMerge/>
            <w:shd w:val="clear" w:color="auto" w:fill="4472C4"/>
            <w:vAlign w:val="center"/>
          </w:tcPr>
          <w:p w14:paraId="5CA83790" w14:textId="77777777" w:rsidR="00990B14" w:rsidRDefault="00990B14">
            <w:pPr>
              <w:spacing w:before="20" w:after="20"/>
            </w:pPr>
          </w:p>
        </w:tc>
        <w:tc>
          <w:tcPr>
            <w:tcW w:w="1876" w:type="dxa"/>
            <w:shd w:val="clear" w:color="auto" w:fill="D9E2F3"/>
            <w:vAlign w:val="center"/>
          </w:tcPr>
          <w:p w14:paraId="3C6870DF" w14:textId="77777777" w:rsidR="00990B14" w:rsidRDefault="00000000">
            <w:pPr>
              <w:spacing w:before="20" w:after="20"/>
              <w:jc w:val="both"/>
            </w:pPr>
            <w:r>
              <w:rPr>
                <w:sz w:val="18"/>
                <w:szCs w:val="18"/>
              </w:rPr>
              <w:t>Criterios de evaluación</w:t>
            </w:r>
          </w:p>
        </w:tc>
        <w:tc>
          <w:tcPr>
            <w:tcW w:w="1876" w:type="dxa"/>
            <w:shd w:val="clear" w:color="auto" w:fill="D9E2F3"/>
            <w:vAlign w:val="center"/>
          </w:tcPr>
          <w:p w14:paraId="0DBEE186" w14:textId="77777777" w:rsidR="00990B14" w:rsidRDefault="00000000">
            <w:pPr>
              <w:spacing w:before="20" w:after="20"/>
              <w:jc w:val="both"/>
            </w:pPr>
            <w:r>
              <w:rPr>
                <w:sz w:val="18"/>
                <w:szCs w:val="18"/>
              </w:rPr>
              <w:t>No aplica criterios.</w:t>
            </w:r>
          </w:p>
        </w:tc>
        <w:tc>
          <w:tcPr>
            <w:tcW w:w="1876" w:type="dxa"/>
            <w:shd w:val="clear" w:color="auto" w:fill="D9E2F3"/>
            <w:vAlign w:val="center"/>
          </w:tcPr>
          <w:p w14:paraId="6EDE823B" w14:textId="77777777" w:rsidR="00990B14" w:rsidRDefault="00000000">
            <w:pPr>
              <w:spacing w:before="20" w:after="20"/>
              <w:jc w:val="both"/>
            </w:pPr>
            <w:r>
              <w:rPr>
                <w:sz w:val="18"/>
                <w:szCs w:val="18"/>
              </w:rPr>
              <w:t>Aplica los criterios de entidad menos compleja.</w:t>
            </w:r>
          </w:p>
        </w:tc>
        <w:tc>
          <w:tcPr>
            <w:tcW w:w="1877" w:type="dxa"/>
            <w:shd w:val="clear" w:color="auto" w:fill="D9E2F3"/>
            <w:vAlign w:val="center"/>
          </w:tcPr>
          <w:p w14:paraId="6937063F" w14:textId="77777777" w:rsidR="00990B14" w:rsidRDefault="00000000">
            <w:pPr>
              <w:spacing w:before="20" w:after="20"/>
              <w:jc w:val="both"/>
            </w:pPr>
            <w:r>
              <w:rPr>
                <w:sz w:val="18"/>
                <w:szCs w:val="18"/>
              </w:rPr>
              <w:t>Analiza las características cualitativas de la entidad.</w:t>
            </w:r>
          </w:p>
        </w:tc>
      </w:tr>
      <w:tr w:rsidR="00990B14" w14:paraId="60B9FFA2" w14:textId="77777777">
        <w:trPr>
          <w:cantSplit/>
          <w:jc w:val="center"/>
        </w:trPr>
        <w:tc>
          <w:tcPr>
            <w:tcW w:w="1900" w:type="dxa"/>
            <w:vMerge/>
            <w:shd w:val="clear" w:color="auto" w:fill="4472C4"/>
            <w:vAlign w:val="center"/>
          </w:tcPr>
          <w:p w14:paraId="77E7BD57" w14:textId="77777777" w:rsidR="00990B14" w:rsidRDefault="00990B14">
            <w:pPr>
              <w:spacing w:before="20" w:after="20"/>
            </w:pPr>
          </w:p>
        </w:tc>
        <w:tc>
          <w:tcPr>
            <w:tcW w:w="1876" w:type="dxa"/>
            <w:shd w:val="clear" w:color="auto" w:fill="D9E2F3"/>
            <w:vAlign w:val="center"/>
          </w:tcPr>
          <w:p w14:paraId="1057B702" w14:textId="77777777" w:rsidR="00990B14" w:rsidRDefault="00000000">
            <w:pPr>
              <w:spacing w:before="20" w:after="20"/>
              <w:jc w:val="both"/>
            </w:pPr>
            <w:r>
              <w:rPr>
                <w:sz w:val="18"/>
                <w:szCs w:val="18"/>
              </w:rPr>
              <w:t>Conclusión</w:t>
            </w:r>
          </w:p>
        </w:tc>
        <w:tc>
          <w:tcPr>
            <w:tcW w:w="1876" w:type="dxa"/>
            <w:shd w:val="clear" w:color="auto" w:fill="D9E2F3"/>
            <w:vAlign w:val="center"/>
          </w:tcPr>
          <w:p w14:paraId="101479B5" w14:textId="77777777" w:rsidR="00990B14" w:rsidRDefault="00000000">
            <w:pPr>
              <w:spacing w:before="20" w:after="20"/>
              <w:jc w:val="both"/>
            </w:pPr>
            <w:r>
              <w:rPr>
                <w:sz w:val="18"/>
                <w:szCs w:val="18"/>
              </w:rPr>
              <w:t>La conclusión no se sostiene.</w:t>
            </w:r>
          </w:p>
        </w:tc>
        <w:tc>
          <w:tcPr>
            <w:tcW w:w="1876" w:type="dxa"/>
            <w:shd w:val="clear" w:color="auto" w:fill="D9E2F3"/>
            <w:vAlign w:val="center"/>
          </w:tcPr>
          <w:p w14:paraId="7C8DCE25" w14:textId="77777777" w:rsidR="00990B14" w:rsidRDefault="00000000">
            <w:pPr>
              <w:spacing w:before="20" w:after="20"/>
              <w:jc w:val="both"/>
            </w:pPr>
            <w:r>
              <w:rPr>
                <w:sz w:val="18"/>
                <w:szCs w:val="18"/>
              </w:rPr>
              <w:t>Concluye sobre el enfoque normativo.</w:t>
            </w:r>
          </w:p>
        </w:tc>
        <w:tc>
          <w:tcPr>
            <w:tcW w:w="1877" w:type="dxa"/>
            <w:shd w:val="clear" w:color="auto" w:fill="D9E2F3"/>
            <w:vAlign w:val="center"/>
          </w:tcPr>
          <w:p w14:paraId="672A66E3" w14:textId="77777777" w:rsidR="00990B14" w:rsidRDefault="00000000">
            <w:pPr>
              <w:spacing w:before="20" w:after="20"/>
              <w:jc w:val="both"/>
            </w:pPr>
            <w:r>
              <w:rPr>
                <w:sz w:val="18"/>
                <w:szCs w:val="18"/>
              </w:rPr>
              <w:t>Explica las consecuencias del enfoque elegido.</w:t>
            </w:r>
          </w:p>
        </w:tc>
      </w:tr>
      <w:tr w:rsidR="00990B14" w14:paraId="28DC9C03" w14:textId="77777777">
        <w:trPr>
          <w:cantSplit/>
          <w:jc w:val="center"/>
        </w:trPr>
        <w:tc>
          <w:tcPr>
            <w:tcW w:w="1900" w:type="dxa"/>
            <w:vMerge/>
            <w:shd w:val="clear" w:color="auto" w:fill="4472C4"/>
            <w:vAlign w:val="center"/>
          </w:tcPr>
          <w:p w14:paraId="5A90DCA4" w14:textId="77777777" w:rsidR="00990B14" w:rsidRDefault="00990B14">
            <w:pPr>
              <w:spacing w:before="20" w:after="20"/>
            </w:pPr>
          </w:p>
        </w:tc>
        <w:tc>
          <w:tcPr>
            <w:tcW w:w="1876" w:type="dxa"/>
            <w:shd w:val="clear" w:color="auto" w:fill="D9E2F3"/>
            <w:vAlign w:val="center"/>
          </w:tcPr>
          <w:p w14:paraId="026D63E9" w14:textId="77777777" w:rsidR="00990B14" w:rsidRDefault="00000000">
            <w:pPr>
              <w:spacing w:before="20" w:after="20"/>
              <w:jc w:val="both"/>
            </w:pPr>
            <w:r>
              <w:rPr>
                <w:sz w:val="18"/>
                <w:szCs w:val="18"/>
              </w:rPr>
              <w:t>Trabajo en equipo</w:t>
            </w:r>
          </w:p>
        </w:tc>
        <w:tc>
          <w:tcPr>
            <w:tcW w:w="1876" w:type="dxa"/>
            <w:shd w:val="clear" w:color="auto" w:fill="D9E2F3"/>
            <w:vAlign w:val="center"/>
          </w:tcPr>
          <w:p w14:paraId="399E9D70" w14:textId="77777777" w:rsidR="00990B14" w:rsidRDefault="00000000">
            <w:pPr>
              <w:spacing w:before="20" w:after="20"/>
              <w:jc w:val="both"/>
            </w:pPr>
            <w:r>
              <w:rPr>
                <w:sz w:val="18"/>
                <w:szCs w:val="18"/>
              </w:rPr>
              <w:t>La participación es desigual.</w:t>
            </w:r>
          </w:p>
        </w:tc>
        <w:tc>
          <w:tcPr>
            <w:tcW w:w="1876" w:type="dxa"/>
            <w:shd w:val="clear" w:color="auto" w:fill="D9E2F3"/>
            <w:vAlign w:val="center"/>
          </w:tcPr>
          <w:p w14:paraId="150AA995" w14:textId="77777777" w:rsidR="00990B14" w:rsidRDefault="00000000">
            <w:pPr>
              <w:spacing w:before="20" w:after="20"/>
              <w:jc w:val="both"/>
            </w:pPr>
            <w:r>
              <w:rPr>
                <w:sz w:val="18"/>
                <w:szCs w:val="18"/>
              </w:rPr>
              <w:t>Todos los integrantes participan.</w:t>
            </w:r>
          </w:p>
        </w:tc>
        <w:tc>
          <w:tcPr>
            <w:tcW w:w="1877" w:type="dxa"/>
            <w:shd w:val="clear" w:color="auto" w:fill="D9E2F3"/>
            <w:vAlign w:val="center"/>
          </w:tcPr>
          <w:p w14:paraId="55188614" w14:textId="77777777" w:rsidR="00990B14" w:rsidRDefault="00000000">
            <w:pPr>
              <w:spacing w:before="20" w:after="20"/>
              <w:jc w:val="both"/>
            </w:pPr>
            <w:r>
              <w:rPr>
                <w:sz w:val="18"/>
                <w:szCs w:val="18"/>
              </w:rPr>
              <w:t>El equipo sustenta su conclusión ante el curso.</w:t>
            </w:r>
          </w:p>
        </w:tc>
      </w:tr>
      <w:tr w:rsidR="00990B14" w14:paraId="68E530B0" w14:textId="77777777">
        <w:trPr>
          <w:cantSplit/>
          <w:jc w:val="center"/>
        </w:trPr>
        <w:tc>
          <w:tcPr>
            <w:tcW w:w="1900" w:type="dxa"/>
            <w:vMerge/>
            <w:shd w:val="clear" w:color="auto" w:fill="4472C4"/>
            <w:vAlign w:val="center"/>
          </w:tcPr>
          <w:p w14:paraId="3259E466" w14:textId="77777777" w:rsidR="00990B14" w:rsidRDefault="00990B14">
            <w:pPr>
              <w:spacing w:before="20" w:after="20"/>
            </w:pPr>
          </w:p>
        </w:tc>
        <w:tc>
          <w:tcPr>
            <w:tcW w:w="5628" w:type="dxa"/>
            <w:gridSpan w:val="3"/>
            <w:shd w:val="clear" w:color="auto" w:fill="D9E2F3"/>
            <w:vAlign w:val="center"/>
          </w:tcPr>
          <w:p w14:paraId="3D9BF792" w14:textId="77777777" w:rsidR="00990B14" w:rsidRDefault="00000000">
            <w:pPr>
              <w:keepNext/>
              <w:spacing w:before="20" w:after="20"/>
              <w:jc w:val="both"/>
            </w:pPr>
            <w:r>
              <w:rPr>
                <w:b/>
                <w:bCs/>
                <w:i/>
                <w:iCs/>
                <w:sz w:val="18"/>
                <w:szCs w:val="18"/>
              </w:rPr>
              <w:t xml:space="preserve">Producto 5: </w:t>
            </w:r>
            <w:r>
              <w:rPr>
                <w:sz w:val="18"/>
                <w:szCs w:val="18"/>
              </w:rPr>
              <w:t>Papeles de trabajo de las actividades preliminares con la aceptación del cliente, la evaluación de la independencia, la propuesta de auditoría con sus honorarios y la carta de compromiso.”</w:t>
            </w:r>
          </w:p>
        </w:tc>
        <w:tc>
          <w:tcPr>
            <w:tcW w:w="1877" w:type="dxa"/>
            <w:shd w:val="clear" w:color="auto" w:fill="D9E2F3"/>
            <w:vAlign w:val="center"/>
          </w:tcPr>
          <w:p w14:paraId="23755FB4" w14:textId="77777777" w:rsidR="00990B14" w:rsidRDefault="00000000">
            <w:pPr>
              <w:spacing w:before="20" w:after="20"/>
              <w:jc w:val="center"/>
            </w:pPr>
            <w:r>
              <w:rPr>
                <w:b/>
                <w:bCs/>
                <w:sz w:val="18"/>
                <w:szCs w:val="18"/>
              </w:rPr>
              <w:t>8%</w:t>
            </w:r>
          </w:p>
        </w:tc>
      </w:tr>
      <w:tr w:rsidR="00990B14" w14:paraId="31591671" w14:textId="77777777">
        <w:trPr>
          <w:cantSplit/>
          <w:jc w:val="center"/>
        </w:trPr>
        <w:tc>
          <w:tcPr>
            <w:tcW w:w="1900" w:type="dxa"/>
            <w:vMerge/>
            <w:shd w:val="clear" w:color="auto" w:fill="4472C4"/>
            <w:vAlign w:val="center"/>
          </w:tcPr>
          <w:p w14:paraId="3B89C7E6" w14:textId="77777777" w:rsidR="00990B14" w:rsidRDefault="00990B14">
            <w:pPr>
              <w:spacing w:before="20" w:after="20"/>
            </w:pPr>
          </w:p>
        </w:tc>
        <w:tc>
          <w:tcPr>
            <w:tcW w:w="1876" w:type="dxa"/>
            <w:shd w:val="clear" w:color="auto" w:fill="4472C4"/>
            <w:vAlign w:val="center"/>
          </w:tcPr>
          <w:p w14:paraId="2FC694FA"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704E0D2A"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7D5BF5FF"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4BF92DA6" w14:textId="77777777" w:rsidR="00990B14" w:rsidRDefault="00000000">
            <w:pPr>
              <w:keepNext/>
              <w:spacing w:before="20" w:after="20"/>
              <w:jc w:val="center"/>
            </w:pPr>
            <w:r>
              <w:rPr>
                <w:b/>
                <w:bCs/>
                <w:i/>
                <w:iCs/>
                <w:color w:val="FFFFFF"/>
                <w:sz w:val="18"/>
                <w:szCs w:val="18"/>
              </w:rPr>
              <w:t>Destacado (81–100)</w:t>
            </w:r>
          </w:p>
        </w:tc>
      </w:tr>
      <w:tr w:rsidR="00990B14" w14:paraId="72E0DD86" w14:textId="77777777">
        <w:trPr>
          <w:cantSplit/>
          <w:jc w:val="center"/>
        </w:trPr>
        <w:tc>
          <w:tcPr>
            <w:tcW w:w="1900" w:type="dxa"/>
            <w:vMerge/>
            <w:shd w:val="clear" w:color="auto" w:fill="4472C4"/>
            <w:vAlign w:val="center"/>
          </w:tcPr>
          <w:p w14:paraId="41BEBE6C" w14:textId="77777777" w:rsidR="00990B14" w:rsidRDefault="00990B14">
            <w:pPr>
              <w:spacing w:before="20" w:after="20"/>
            </w:pPr>
          </w:p>
        </w:tc>
        <w:tc>
          <w:tcPr>
            <w:tcW w:w="1876" w:type="dxa"/>
            <w:shd w:val="clear" w:color="auto" w:fill="D9E2F3"/>
            <w:vAlign w:val="center"/>
          </w:tcPr>
          <w:p w14:paraId="4D9C191D" w14:textId="77777777" w:rsidR="00990B14" w:rsidRDefault="00000000">
            <w:pPr>
              <w:spacing w:before="20" w:after="20"/>
              <w:jc w:val="both"/>
            </w:pPr>
            <w:r>
              <w:rPr>
                <w:sz w:val="18"/>
                <w:szCs w:val="18"/>
              </w:rPr>
              <w:t>Aceptación del cliente</w:t>
            </w:r>
          </w:p>
        </w:tc>
        <w:tc>
          <w:tcPr>
            <w:tcW w:w="1876" w:type="dxa"/>
            <w:shd w:val="clear" w:color="auto" w:fill="D9E2F3"/>
            <w:vAlign w:val="center"/>
          </w:tcPr>
          <w:p w14:paraId="787C4C3E" w14:textId="77777777" w:rsidR="00990B14" w:rsidRDefault="00000000">
            <w:pPr>
              <w:spacing w:before="20" w:after="20"/>
              <w:jc w:val="both"/>
            </w:pPr>
            <w:r>
              <w:rPr>
                <w:sz w:val="18"/>
                <w:szCs w:val="18"/>
              </w:rPr>
              <w:t>Omite la evaluación del cliente.</w:t>
            </w:r>
          </w:p>
        </w:tc>
        <w:tc>
          <w:tcPr>
            <w:tcW w:w="1876" w:type="dxa"/>
            <w:shd w:val="clear" w:color="auto" w:fill="D9E2F3"/>
            <w:vAlign w:val="center"/>
          </w:tcPr>
          <w:p w14:paraId="5385D724" w14:textId="77777777" w:rsidR="00990B14" w:rsidRDefault="00000000">
            <w:pPr>
              <w:spacing w:before="20" w:after="20"/>
              <w:jc w:val="both"/>
            </w:pPr>
            <w:r>
              <w:rPr>
                <w:sz w:val="18"/>
                <w:szCs w:val="18"/>
              </w:rPr>
              <w:t>Evalúa la integridad de la administración y el riesgo del cliente.</w:t>
            </w:r>
          </w:p>
        </w:tc>
        <w:tc>
          <w:tcPr>
            <w:tcW w:w="1877" w:type="dxa"/>
            <w:shd w:val="clear" w:color="auto" w:fill="D9E2F3"/>
            <w:vAlign w:val="center"/>
          </w:tcPr>
          <w:p w14:paraId="509B5A37" w14:textId="77777777" w:rsidR="00990B14" w:rsidRDefault="00000000">
            <w:pPr>
              <w:spacing w:before="20" w:after="20"/>
              <w:jc w:val="both"/>
            </w:pPr>
            <w:r>
              <w:rPr>
                <w:sz w:val="18"/>
                <w:szCs w:val="18"/>
              </w:rPr>
              <w:t>Documenta la decisión con criterios objetivos.</w:t>
            </w:r>
          </w:p>
        </w:tc>
      </w:tr>
      <w:tr w:rsidR="00990B14" w14:paraId="32CD9DE5" w14:textId="77777777">
        <w:trPr>
          <w:cantSplit/>
          <w:jc w:val="center"/>
        </w:trPr>
        <w:tc>
          <w:tcPr>
            <w:tcW w:w="1900" w:type="dxa"/>
            <w:vMerge/>
            <w:shd w:val="clear" w:color="auto" w:fill="4472C4"/>
            <w:vAlign w:val="center"/>
          </w:tcPr>
          <w:p w14:paraId="379F4CF3" w14:textId="77777777" w:rsidR="00990B14" w:rsidRDefault="00990B14">
            <w:pPr>
              <w:spacing w:before="20" w:after="20"/>
            </w:pPr>
          </w:p>
        </w:tc>
        <w:tc>
          <w:tcPr>
            <w:tcW w:w="1876" w:type="dxa"/>
            <w:shd w:val="clear" w:color="auto" w:fill="D9E2F3"/>
            <w:vAlign w:val="center"/>
          </w:tcPr>
          <w:p w14:paraId="7557D613" w14:textId="77777777" w:rsidR="00990B14" w:rsidRDefault="00000000">
            <w:pPr>
              <w:spacing w:before="20" w:after="20"/>
              <w:jc w:val="both"/>
            </w:pPr>
            <w:r>
              <w:rPr>
                <w:sz w:val="18"/>
                <w:szCs w:val="18"/>
              </w:rPr>
              <w:t>Independencia y honorarios</w:t>
            </w:r>
          </w:p>
        </w:tc>
        <w:tc>
          <w:tcPr>
            <w:tcW w:w="1876" w:type="dxa"/>
            <w:shd w:val="clear" w:color="auto" w:fill="D9E2F3"/>
            <w:vAlign w:val="center"/>
          </w:tcPr>
          <w:p w14:paraId="45BC81E6" w14:textId="77777777" w:rsidR="00990B14" w:rsidRDefault="00000000">
            <w:pPr>
              <w:spacing w:before="20" w:after="20"/>
              <w:jc w:val="both"/>
            </w:pPr>
            <w:r>
              <w:rPr>
                <w:sz w:val="18"/>
                <w:szCs w:val="18"/>
              </w:rPr>
              <w:t>No evalúa la independencia.</w:t>
            </w:r>
          </w:p>
        </w:tc>
        <w:tc>
          <w:tcPr>
            <w:tcW w:w="1876" w:type="dxa"/>
            <w:shd w:val="clear" w:color="auto" w:fill="D9E2F3"/>
            <w:vAlign w:val="center"/>
          </w:tcPr>
          <w:p w14:paraId="6BD03D14" w14:textId="77777777" w:rsidR="00990B14" w:rsidRDefault="00000000">
            <w:pPr>
              <w:spacing w:before="20" w:after="20"/>
              <w:jc w:val="both"/>
            </w:pPr>
            <w:r>
              <w:rPr>
                <w:sz w:val="18"/>
                <w:szCs w:val="18"/>
              </w:rPr>
              <w:t>Evalúa la independencia y calcula los honorarios.</w:t>
            </w:r>
          </w:p>
        </w:tc>
        <w:tc>
          <w:tcPr>
            <w:tcW w:w="1877" w:type="dxa"/>
            <w:shd w:val="clear" w:color="auto" w:fill="D9E2F3"/>
            <w:vAlign w:val="center"/>
          </w:tcPr>
          <w:p w14:paraId="2EC41104" w14:textId="77777777" w:rsidR="00990B14" w:rsidRDefault="00000000">
            <w:pPr>
              <w:spacing w:before="20" w:after="20"/>
              <w:jc w:val="both"/>
            </w:pPr>
            <w:r>
              <w:rPr>
                <w:sz w:val="18"/>
                <w:szCs w:val="18"/>
              </w:rPr>
              <w:t>Identifica amenazas y salvaguardas conforme al Código del IESBA.</w:t>
            </w:r>
          </w:p>
        </w:tc>
      </w:tr>
      <w:tr w:rsidR="00990B14" w14:paraId="5C839AA0" w14:textId="77777777">
        <w:trPr>
          <w:cantSplit/>
          <w:jc w:val="center"/>
        </w:trPr>
        <w:tc>
          <w:tcPr>
            <w:tcW w:w="1900" w:type="dxa"/>
            <w:vMerge/>
            <w:shd w:val="clear" w:color="auto" w:fill="4472C4"/>
            <w:vAlign w:val="center"/>
          </w:tcPr>
          <w:p w14:paraId="152F330F" w14:textId="77777777" w:rsidR="00990B14" w:rsidRDefault="00990B14">
            <w:pPr>
              <w:spacing w:before="20" w:after="20"/>
            </w:pPr>
          </w:p>
        </w:tc>
        <w:tc>
          <w:tcPr>
            <w:tcW w:w="1876" w:type="dxa"/>
            <w:shd w:val="clear" w:color="auto" w:fill="D9E2F3"/>
            <w:vAlign w:val="center"/>
          </w:tcPr>
          <w:p w14:paraId="4EC68A42" w14:textId="77777777" w:rsidR="00990B14" w:rsidRDefault="00000000">
            <w:pPr>
              <w:spacing w:before="20" w:after="20"/>
              <w:jc w:val="both"/>
            </w:pPr>
            <w:r>
              <w:rPr>
                <w:sz w:val="18"/>
                <w:szCs w:val="18"/>
              </w:rPr>
              <w:t>Carta de compromiso</w:t>
            </w:r>
          </w:p>
        </w:tc>
        <w:tc>
          <w:tcPr>
            <w:tcW w:w="1876" w:type="dxa"/>
            <w:shd w:val="clear" w:color="auto" w:fill="D9E2F3"/>
            <w:vAlign w:val="center"/>
          </w:tcPr>
          <w:p w14:paraId="31B2EE94" w14:textId="77777777" w:rsidR="00990B14" w:rsidRDefault="00000000">
            <w:pPr>
              <w:spacing w:before="20" w:after="20"/>
              <w:jc w:val="both"/>
            </w:pPr>
            <w:r>
              <w:rPr>
                <w:sz w:val="18"/>
                <w:szCs w:val="18"/>
              </w:rPr>
              <w:t>Está incompleta.</w:t>
            </w:r>
          </w:p>
        </w:tc>
        <w:tc>
          <w:tcPr>
            <w:tcW w:w="1876" w:type="dxa"/>
            <w:shd w:val="clear" w:color="auto" w:fill="D9E2F3"/>
            <w:vAlign w:val="center"/>
          </w:tcPr>
          <w:p w14:paraId="38776D1F" w14:textId="77777777" w:rsidR="00990B14" w:rsidRDefault="00000000">
            <w:pPr>
              <w:spacing w:before="20" w:after="20"/>
              <w:jc w:val="both"/>
            </w:pPr>
            <w:r>
              <w:rPr>
                <w:sz w:val="18"/>
                <w:szCs w:val="18"/>
              </w:rPr>
              <w:t>Contiene los elementos de la NIA 210.</w:t>
            </w:r>
          </w:p>
        </w:tc>
        <w:tc>
          <w:tcPr>
            <w:tcW w:w="1877" w:type="dxa"/>
            <w:shd w:val="clear" w:color="auto" w:fill="D9E2F3"/>
            <w:vAlign w:val="center"/>
          </w:tcPr>
          <w:p w14:paraId="58A2116E" w14:textId="77777777" w:rsidR="00990B14" w:rsidRDefault="00000000">
            <w:pPr>
              <w:spacing w:before="20" w:after="20"/>
              <w:jc w:val="both"/>
            </w:pPr>
            <w:r>
              <w:rPr>
                <w:sz w:val="18"/>
                <w:szCs w:val="18"/>
              </w:rPr>
              <w:t>Se adapta a las condiciones del encargo.</w:t>
            </w:r>
          </w:p>
        </w:tc>
      </w:tr>
      <w:tr w:rsidR="00990B14" w14:paraId="453E1A67" w14:textId="77777777">
        <w:trPr>
          <w:cantSplit/>
          <w:jc w:val="center"/>
        </w:trPr>
        <w:tc>
          <w:tcPr>
            <w:tcW w:w="1900" w:type="dxa"/>
            <w:vMerge/>
            <w:shd w:val="clear" w:color="auto" w:fill="4472C4"/>
            <w:vAlign w:val="center"/>
          </w:tcPr>
          <w:p w14:paraId="3FCFDB05" w14:textId="77777777" w:rsidR="00990B14" w:rsidRDefault="00990B14">
            <w:pPr>
              <w:spacing w:before="20" w:after="20"/>
            </w:pPr>
          </w:p>
        </w:tc>
        <w:tc>
          <w:tcPr>
            <w:tcW w:w="5628" w:type="dxa"/>
            <w:gridSpan w:val="3"/>
            <w:shd w:val="clear" w:color="auto" w:fill="D9E2F3"/>
            <w:vAlign w:val="center"/>
          </w:tcPr>
          <w:p w14:paraId="24122210" w14:textId="77777777" w:rsidR="00990B14" w:rsidRDefault="00000000">
            <w:pPr>
              <w:keepNext/>
              <w:spacing w:before="20" w:after="20"/>
              <w:jc w:val="both"/>
            </w:pPr>
            <w:r>
              <w:rPr>
                <w:b/>
                <w:bCs/>
                <w:i/>
                <w:iCs/>
                <w:sz w:val="18"/>
                <w:szCs w:val="18"/>
              </w:rPr>
              <w:t xml:space="preserve">Producto 6: </w:t>
            </w:r>
            <w:r>
              <w:rPr>
                <w:sz w:val="18"/>
                <w:szCs w:val="18"/>
              </w:rPr>
              <w:t>Matriz de riesgos de incorrección material del caso práctico, sustentada en el entendimiento de la entidad y de su entorno, con las aseveraciones afectadas, la identificación de los riesgos significativos y los factores de riesgo de fraude.</w:t>
            </w:r>
          </w:p>
        </w:tc>
        <w:tc>
          <w:tcPr>
            <w:tcW w:w="1877" w:type="dxa"/>
            <w:shd w:val="clear" w:color="auto" w:fill="D9E2F3"/>
            <w:vAlign w:val="center"/>
          </w:tcPr>
          <w:p w14:paraId="66B19215" w14:textId="77777777" w:rsidR="00990B14" w:rsidRDefault="00000000">
            <w:pPr>
              <w:spacing w:before="20" w:after="20"/>
              <w:jc w:val="center"/>
            </w:pPr>
            <w:r>
              <w:rPr>
                <w:b/>
                <w:bCs/>
                <w:sz w:val="18"/>
                <w:szCs w:val="18"/>
              </w:rPr>
              <w:t>8%</w:t>
            </w:r>
          </w:p>
        </w:tc>
      </w:tr>
      <w:tr w:rsidR="00990B14" w14:paraId="0D8F27D2" w14:textId="77777777">
        <w:trPr>
          <w:cantSplit/>
          <w:jc w:val="center"/>
        </w:trPr>
        <w:tc>
          <w:tcPr>
            <w:tcW w:w="1900" w:type="dxa"/>
            <w:vMerge/>
            <w:shd w:val="clear" w:color="auto" w:fill="4472C4"/>
            <w:vAlign w:val="center"/>
          </w:tcPr>
          <w:p w14:paraId="7A87B509" w14:textId="77777777" w:rsidR="00990B14" w:rsidRDefault="00990B14">
            <w:pPr>
              <w:spacing w:before="20" w:after="20"/>
            </w:pPr>
          </w:p>
        </w:tc>
        <w:tc>
          <w:tcPr>
            <w:tcW w:w="1876" w:type="dxa"/>
            <w:shd w:val="clear" w:color="auto" w:fill="4472C4"/>
            <w:vAlign w:val="center"/>
          </w:tcPr>
          <w:p w14:paraId="43390F62"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7F0FF8D7"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22CA52EF"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46DC53FF" w14:textId="77777777" w:rsidR="00990B14" w:rsidRDefault="00000000">
            <w:pPr>
              <w:keepNext/>
              <w:spacing w:before="20" w:after="20"/>
              <w:jc w:val="center"/>
            </w:pPr>
            <w:r>
              <w:rPr>
                <w:b/>
                <w:bCs/>
                <w:i/>
                <w:iCs/>
                <w:color w:val="FFFFFF"/>
                <w:sz w:val="18"/>
                <w:szCs w:val="18"/>
              </w:rPr>
              <w:t>Destacado (81–100)</w:t>
            </w:r>
          </w:p>
        </w:tc>
      </w:tr>
      <w:tr w:rsidR="00990B14" w14:paraId="589A1CC5" w14:textId="77777777">
        <w:trPr>
          <w:cantSplit/>
          <w:jc w:val="center"/>
        </w:trPr>
        <w:tc>
          <w:tcPr>
            <w:tcW w:w="1900" w:type="dxa"/>
            <w:vMerge/>
            <w:shd w:val="clear" w:color="auto" w:fill="4472C4"/>
            <w:vAlign w:val="center"/>
          </w:tcPr>
          <w:p w14:paraId="47F75005" w14:textId="77777777" w:rsidR="00990B14" w:rsidRDefault="00990B14">
            <w:pPr>
              <w:spacing w:before="20" w:after="20"/>
            </w:pPr>
          </w:p>
        </w:tc>
        <w:tc>
          <w:tcPr>
            <w:tcW w:w="1876" w:type="dxa"/>
            <w:shd w:val="clear" w:color="auto" w:fill="D9E2F3"/>
            <w:vAlign w:val="center"/>
          </w:tcPr>
          <w:p w14:paraId="75C5BA83" w14:textId="77777777" w:rsidR="00990B14" w:rsidRDefault="00000000">
            <w:pPr>
              <w:spacing w:before="20" w:after="20"/>
              <w:jc w:val="both"/>
            </w:pPr>
            <w:r>
              <w:rPr>
                <w:sz w:val="18"/>
                <w:szCs w:val="18"/>
              </w:rPr>
              <w:t>Identificación de riesgos</w:t>
            </w:r>
          </w:p>
        </w:tc>
        <w:tc>
          <w:tcPr>
            <w:tcW w:w="1876" w:type="dxa"/>
            <w:shd w:val="clear" w:color="auto" w:fill="D9E2F3"/>
            <w:vAlign w:val="center"/>
          </w:tcPr>
          <w:p w14:paraId="3D91269B" w14:textId="77777777" w:rsidR="00990B14" w:rsidRDefault="00000000">
            <w:pPr>
              <w:spacing w:before="20" w:after="20"/>
              <w:jc w:val="both"/>
            </w:pPr>
            <w:r>
              <w:rPr>
                <w:sz w:val="18"/>
                <w:szCs w:val="18"/>
              </w:rPr>
              <w:t>Los riesgos son genéricos.</w:t>
            </w:r>
          </w:p>
        </w:tc>
        <w:tc>
          <w:tcPr>
            <w:tcW w:w="1876" w:type="dxa"/>
            <w:shd w:val="clear" w:color="auto" w:fill="D9E2F3"/>
            <w:vAlign w:val="center"/>
          </w:tcPr>
          <w:p w14:paraId="0482DB42" w14:textId="77777777" w:rsidR="00990B14" w:rsidRDefault="00000000">
            <w:pPr>
              <w:spacing w:before="20" w:after="20"/>
              <w:jc w:val="both"/>
            </w:pPr>
            <w:r>
              <w:rPr>
                <w:sz w:val="18"/>
                <w:szCs w:val="18"/>
              </w:rPr>
              <w:t>Identifica riesgos específicos de la entidad.</w:t>
            </w:r>
          </w:p>
        </w:tc>
        <w:tc>
          <w:tcPr>
            <w:tcW w:w="1877" w:type="dxa"/>
            <w:shd w:val="clear" w:color="auto" w:fill="D9E2F3"/>
            <w:vAlign w:val="center"/>
          </w:tcPr>
          <w:p w14:paraId="2B222960" w14:textId="77777777" w:rsidR="00990B14" w:rsidRDefault="00000000">
            <w:pPr>
              <w:spacing w:before="20" w:after="20"/>
              <w:jc w:val="both"/>
            </w:pPr>
            <w:r>
              <w:rPr>
                <w:sz w:val="18"/>
                <w:szCs w:val="18"/>
              </w:rPr>
              <w:t>Distingue riesgos a nivel de estados financieros y de aseveraciones.</w:t>
            </w:r>
          </w:p>
        </w:tc>
      </w:tr>
      <w:tr w:rsidR="00990B14" w14:paraId="078E2CA7" w14:textId="77777777">
        <w:trPr>
          <w:cantSplit/>
          <w:jc w:val="center"/>
        </w:trPr>
        <w:tc>
          <w:tcPr>
            <w:tcW w:w="1900" w:type="dxa"/>
            <w:vMerge/>
            <w:shd w:val="clear" w:color="auto" w:fill="4472C4"/>
            <w:vAlign w:val="center"/>
          </w:tcPr>
          <w:p w14:paraId="2B4E83B0" w14:textId="77777777" w:rsidR="00990B14" w:rsidRDefault="00990B14">
            <w:pPr>
              <w:spacing w:before="20" w:after="20"/>
            </w:pPr>
          </w:p>
        </w:tc>
        <w:tc>
          <w:tcPr>
            <w:tcW w:w="1876" w:type="dxa"/>
            <w:shd w:val="clear" w:color="auto" w:fill="D9E2F3"/>
            <w:vAlign w:val="center"/>
          </w:tcPr>
          <w:p w14:paraId="7E1ED3C5" w14:textId="77777777" w:rsidR="00990B14" w:rsidRDefault="00000000">
            <w:pPr>
              <w:spacing w:before="20" w:after="20"/>
              <w:jc w:val="both"/>
            </w:pPr>
            <w:r>
              <w:rPr>
                <w:sz w:val="18"/>
                <w:szCs w:val="18"/>
              </w:rPr>
              <w:t>Riesgos significativos y de fraude</w:t>
            </w:r>
          </w:p>
        </w:tc>
        <w:tc>
          <w:tcPr>
            <w:tcW w:w="1876" w:type="dxa"/>
            <w:shd w:val="clear" w:color="auto" w:fill="D9E2F3"/>
            <w:vAlign w:val="center"/>
          </w:tcPr>
          <w:p w14:paraId="7FAF2ECA" w14:textId="77777777" w:rsidR="00990B14" w:rsidRDefault="00000000">
            <w:pPr>
              <w:spacing w:before="20" w:after="20"/>
              <w:jc w:val="both"/>
            </w:pPr>
            <w:r>
              <w:rPr>
                <w:sz w:val="18"/>
                <w:szCs w:val="18"/>
              </w:rPr>
              <w:t>No los identifica.</w:t>
            </w:r>
          </w:p>
        </w:tc>
        <w:tc>
          <w:tcPr>
            <w:tcW w:w="1876" w:type="dxa"/>
            <w:shd w:val="clear" w:color="auto" w:fill="D9E2F3"/>
            <w:vAlign w:val="center"/>
          </w:tcPr>
          <w:p w14:paraId="7EA2EFE5" w14:textId="77777777" w:rsidR="00990B14" w:rsidRDefault="00000000">
            <w:pPr>
              <w:spacing w:before="20" w:after="20"/>
              <w:jc w:val="both"/>
            </w:pPr>
            <w:r>
              <w:rPr>
                <w:sz w:val="18"/>
                <w:szCs w:val="18"/>
              </w:rPr>
              <w:t>Identifica los riesgos significativos y de fraude.</w:t>
            </w:r>
          </w:p>
        </w:tc>
        <w:tc>
          <w:tcPr>
            <w:tcW w:w="1877" w:type="dxa"/>
            <w:shd w:val="clear" w:color="auto" w:fill="D9E2F3"/>
            <w:vAlign w:val="center"/>
          </w:tcPr>
          <w:p w14:paraId="4BDA0F6A" w14:textId="77777777" w:rsidR="00990B14" w:rsidRDefault="00000000">
            <w:pPr>
              <w:spacing w:before="20" w:after="20"/>
              <w:jc w:val="both"/>
            </w:pPr>
            <w:r>
              <w:rPr>
                <w:sz w:val="18"/>
                <w:szCs w:val="18"/>
              </w:rPr>
              <w:t>Fundamenta su identificación en la NIA 240 y la NIA 315.</w:t>
            </w:r>
          </w:p>
        </w:tc>
      </w:tr>
      <w:tr w:rsidR="00990B14" w14:paraId="28CC4295" w14:textId="77777777">
        <w:trPr>
          <w:cantSplit/>
          <w:jc w:val="center"/>
        </w:trPr>
        <w:tc>
          <w:tcPr>
            <w:tcW w:w="1900" w:type="dxa"/>
            <w:vMerge/>
            <w:shd w:val="clear" w:color="auto" w:fill="4472C4"/>
            <w:vAlign w:val="center"/>
          </w:tcPr>
          <w:p w14:paraId="7453BFA8" w14:textId="77777777" w:rsidR="00990B14" w:rsidRDefault="00990B14">
            <w:pPr>
              <w:spacing w:before="20" w:after="20"/>
            </w:pPr>
          </w:p>
        </w:tc>
        <w:tc>
          <w:tcPr>
            <w:tcW w:w="1876" w:type="dxa"/>
            <w:shd w:val="clear" w:color="auto" w:fill="D9E2F3"/>
            <w:vAlign w:val="center"/>
          </w:tcPr>
          <w:p w14:paraId="4BEC8AB0" w14:textId="77777777" w:rsidR="00990B14" w:rsidRDefault="00000000">
            <w:pPr>
              <w:spacing w:before="20" w:after="20"/>
              <w:jc w:val="both"/>
            </w:pPr>
            <w:r>
              <w:rPr>
                <w:sz w:val="18"/>
                <w:szCs w:val="18"/>
              </w:rPr>
              <w:t>Aseveraciones</w:t>
            </w:r>
          </w:p>
        </w:tc>
        <w:tc>
          <w:tcPr>
            <w:tcW w:w="1876" w:type="dxa"/>
            <w:shd w:val="clear" w:color="auto" w:fill="D9E2F3"/>
            <w:vAlign w:val="center"/>
          </w:tcPr>
          <w:p w14:paraId="4C91691D" w14:textId="77777777" w:rsidR="00990B14" w:rsidRDefault="00000000">
            <w:pPr>
              <w:spacing w:before="20" w:after="20"/>
              <w:jc w:val="both"/>
            </w:pPr>
            <w:r>
              <w:rPr>
                <w:sz w:val="18"/>
                <w:szCs w:val="18"/>
              </w:rPr>
              <w:t>No las vincula.</w:t>
            </w:r>
          </w:p>
        </w:tc>
        <w:tc>
          <w:tcPr>
            <w:tcW w:w="1876" w:type="dxa"/>
            <w:shd w:val="clear" w:color="auto" w:fill="D9E2F3"/>
            <w:vAlign w:val="center"/>
          </w:tcPr>
          <w:p w14:paraId="017A5BF3" w14:textId="77777777" w:rsidR="00990B14" w:rsidRDefault="00000000">
            <w:pPr>
              <w:spacing w:before="20" w:after="20"/>
              <w:jc w:val="both"/>
            </w:pPr>
            <w:r>
              <w:rPr>
                <w:sz w:val="18"/>
                <w:szCs w:val="18"/>
              </w:rPr>
              <w:t>Vincula cada riesgo con sus aseveraciones.</w:t>
            </w:r>
          </w:p>
        </w:tc>
        <w:tc>
          <w:tcPr>
            <w:tcW w:w="1877" w:type="dxa"/>
            <w:shd w:val="clear" w:color="auto" w:fill="D9E2F3"/>
            <w:vAlign w:val="center"/>
          </w:tcPr>
          <w:p w14:paraId="4E2627A8" w14:textId="77777777" w:rsidR="00990B14" w:rsidRDefault="00000000">
            <w:pPr>
              <w:spacing w:before="20" w:after="20"/>
              <w:jc w:val="both"/>
            </w:pPr>
            <w:r>
              <w:rPr>
                <w:sz w:val="18"/>
                <w:szCs w:val="18"/>
              </w:rPr>
              <w:t>Valora la probabilidad e impacto de cada riesgo.</w:t>
            </w:r>
          </w:p>
        </w:tc>
      </w:tr>
      <w:tr w:rsidR="00990B14" w14:paraId="69314910" w14:textId="77777777">
        <w:trPr>
          <w:cantSplit/>
          <w:jc w:val="center"/>
        </w:trPr>
        <w:tc>
          <w:tcPr>
            <w:tcW w:w="1900" w:type="dxa"/>
            <w:vMerge/>
            <w:shd w:val="clear" w:color="auto" w:fill="4472C4"/>
            <w:vAlign w:val="center"/>
          </w:tcPr>
          <w:p w14:paraId="3F23184F" w14:textId="77777777" w:rsidR="00990B14" w:rsidRDefault="00990B14">
            <w:pPr>
              <w:spacing w:before="20" w:after="20"/>
            </w:pPr>
          </w:p>
        </w:tc>
        <w:tc>
          <w:tcPr>
            <w:tcW w:w="5628" w:type="dxa"/>
            <w:gridSpan w:val="3"/>
            <w:shd w:val="clear" w:color="auto" w:fill="D9E2F3"/>
            <w:vAlign w:val="center"/>
          </w:tcPr>
          <w:p w14:paraId="406861CC" w14:textId="77777777" w:rsidR="00990B14" w:rsidRDefault="00000000">
            <w:pPr>
              <w:keepNext/>
              <w:spacing w:before="20" w:after="20"/>
              <w:jc w:val="both"/>
            </w:pPr>
            <w:r>
              <w:rPr>
                <w:b/>
                <w:bCs/>
                <w:i/>
                <w:iCs/>
                <w:sz w:val="18"/>
                <w:szCs w:val="18"/>
              </w:rPr>
              <w:t xml:space="preserve">Producto 7: </w:t>
            </w:r>
            <w:r>
              <w:rPr>
                <w:sz w:val="18"/>
                <w:szCs w:val="18"/>
              </w:rPr>
              <w:t>Papeles de trabajo de la evaluación del diseño y la implementación del control interno, con flujogramas, narrativas, resultados de las pruebas de recorrido, matriz de riesgos y controles clave y, cuando corresponda, evaluación de los controles generales de tecnología de la información.</w:t>
            </w:r>
          </w:p>
        </w:tc>
        <w:tc>
          <w:tcPr>
            <w:tcW w:w="1877" w:type="dxa"/>
            <w:shd w:val="clear" w:color="auto" w:fill="D9E2F3"/>
            <w:vAlign w:val="center"/>
          </w:tcPr>
          <w:p w14:paraId="7F7C9371" w14:textId="77777777" w:rsidR="00990B14" w:rsidRDefault="00000000">
            <w:pPr>
              <w:spacing w:before="20" w:after="20"/>
              <w:jc w:val="center"/>
            </w:pPr>
            <w:r>
              <w:rPr>
                <w:b/>
                <w:bCs/>
                <w:sz w:val="18"/>
                <w:szCs w:val="18"/>
              </w:rPr>
              <w:t>7%</w:t>
            </w:r>
          </w:p>
        </w:tc>
      </w:tr>
      <w:tr w:rsidR="00990B14" w14:paraId="4DA06C51" w14:textId="77777777">
        <w:trPr>
          <w:cantSplit/>
          <w:jc w:val="center"/>
        </w:trPr>
        <w:tc>
          <w:tcPr>
            <w:tcW w:w="1900" w:type="dxa"/>
            <w:vMerge/>
            <w:shd w:val="clear" w:color="auto" w:fill="4472C4"/>
            <w:vAlign w:val="center"/>
          </w:tcPr>
          <w:p w14:paraId="22CCE420" w14:textId="77777777" w:rsidR="00990B14" w:rsidRDefault="00990B14">
            <w:pPr>
              <w:spacing w:before="20" w:after="20"/>
            </w:pPr>
          </w:p>
        </w:tc>
        <w:tc>
          <w:tcPr>
            <w:tcW w:w="1876" w:type="dxa"/>
            <w:shd w:val="clear" w:color="auto" w:fill="4472C4"/>
            <w:vAlign w:val="center"/>
          </w:tcPr>
          <w:p w14:paraId="29585606"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3CE8F913"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50A82006"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5CE16304" w14:textId="77777777" w:rsidR="00990B14" w:rsidRDefault="00000000">
            <w:pPr>
              <w:keepNext/>
              <w:spacing w:before="20" w:after="20"/>
              <w:jc w:val="center"/>
            </w:pPr>
            <w:r>
              <w:rPr>
                <w:b/>
                <w:bCs/>
                <w:i/>
                <w:iCs/>
                <w:color w:val="FFFFFF"/>
                <w:sz w:val="18"/>
                <w:szCs w:val="18"/>
              </w:rPr>
              <w:t>Destacado (81–100)</w:t>
            </w:r>
          </w:p>
        </w:tc>
      </w:tr>
      <w:tr w:rsidR="00990B14" w14:paraId="0F019DBE" w14:textId="77777777">
        <w:trPr>
          <w:cantSplit/>
          <w:jc w:val="center"/>
        </w:trPr>
        <w:tc>
          <w:tcPr>
            <w:tcW w:w="1900" w:type="dxa"/>
            <w:vMerge/>
            <w:shd w:val="clear" w:color="auto" w:fill="4472C4"/>
            <w:vAlign w:val="center"/>
          </w:tcPr>
          <w:p w14:paraId="1E682D6E" w14:textId="77777777" w:rsidR="00990B14" w:rsidRDefault="00990B14">
            <w:pPr>
              <w:spacing w:before="20" w:after="20"/>
            </w:pPr>
          </w:p>
        </w:tc>
        <w:tc>
          <w:tcPr>
            <w:tcW w:w="1876" w:type="dxa"/>
            <w:shd w:val="clear" w:color="auto" w:fill="D9E2F3"/>
            <w:vAlign w:val="center"/>
          </w:tcPr>
          <w:p w14:paraId="1DA38BD0" w14:textId="77777777" w:rsidR="00990B14" w:rsidRDefault="00000000">
            <w:pPr>
              <w:spacing w:before="20" w:after="20"/>
              <w:jc w:val="both"/>
            </w:pPr>
            <w:r>
              <w:rPr>
                <w:sz w:val="18"/>
                <w:szCs w:val="18"/>
              </w:rPr>
              <w:t>Flujogramas y narrativas</w:t>
            </w:r>
          </w:p>
        </w:tc>
        <w:tc>
          <w:tcPr>
            <w:tcW w:w="1876" w:type="dxa"/>
            <w:shd w:val="clear" w:color="auto" w:fill="D9E2F3"/>
            <w:vAlign w:val="center"/>
          </w:tcPr>
          <w:p w14:paraId="26375C8B" w14:textId="77777777" w:rsidR="00990B14" w:rsidRDefault="00000000">
            <w:pPr>
              <w:spacing w:before="20" w:after="20"/>
              <w:jc w:val="both"/>
            </w:pPr>
            <w:r>
              <w:rPr>
                <w:sz w:val="18"/>
                <w:szCs w:val="18"/>
              </w:rPr>
              <w:t>Omiten pasos del ciclo.</w:t>
            </w:r>
          </w:p>
        </w:tc>
        <w:tc>
          <w:tcPr>
            <w:tcW w:w="1876" w:type="dxa"/>
            <w:shd w:val="clear" w:color="auto" w:fill="D9E2F3"/>
            <w:vAlign w:val="center"/>
          </w:tcPr>
          <w:p w14:paraId="34E5F9E4" w14:textId="77777777" w:rsidR="00990B14" w:rsidRDefault="00000000">
            <w:pPr>
              <w:spacing w:before="20" w:after="20"/>
              <w:jc w:val="both"/>
            </w:pPr>
            <w:r>
              <w:rPr>
                <w:sz w:val="18"/>
                <w:szCs w:val="18"/>
              </w:rPr>
              <w:t>Representan los ciclos con simbología correcta.</w:t>
            </w:r>
          </w:p>
        </w:tc>
        <w:tc>
          <w:tcPr>
            <w:tcW w:w="1877" w:type="dxa"/>
            <w:shd w:val="clear" w:color="auto" w:fill="D9E2F3"/>
            <w:vAlign w:val="center"/>
          </w:tcPr>
          <w:p w14:paraId="75B07EE9" w14:textId="77777777" w:rsidR="00990B14" w:rsidRDefault="00000000">
            <w:pPr>
              <w:spacing w:before="20" w:after="20"/>
              <w:jc w:val="both"/>
            </w:pPr>
            <w:r>
              <w:rPr>
                <w:sz w:val="18"/>
                <w:szCs w:val="18"/>
              </w:rPr>
              <w:t>Identifican la información preparada por la entidad.</w:t>
            </w:r>
          </w:p>
        </w:tc>
      </w:tr>
      <w:tr w:rsidR="00990B14" w14:paraId="35BF360D" w14:textId="77777777">
        <w:trPr>
          <w:cantSplit/>
          <w:jc w:val="center"/>
        </w:trPr>
        <w:tc>
          <w:tcPr>
            <w:tcW w:w="1900" w:type="dxa"/>
            <w:vMerge/>
            <w:shd w:val="clear" w:color="auto" w:fill="4472C4"/>
            <w:vAlign w:val="center"/>
          </w:tcPr>
          <w:p w14:paraId="4C0D477B" w14:textId="77777777" w:rsidR="00990B14" w:rsidRDefault="00990B14">
            <w:pPr>
              <w:spacing w:before="20" w:after="20"/>
            </w:pPr>
          </w:p>
        </w:tc>
        <w:tc>
          <w:tcPr>
            <w:tcW w:w="1876" w:type="dxa"/>
            <w:shd w:val="clear" w:color="auto" w:fill="D9E2F3"/>
            <w:vAlign w:val="center"/>
          </w:tcPr>
          <w:p w14:paraId="347C2222" w14:textId="77777777" w:rsidR="00990B14" w:rsidRDefault="00000000">
            <w:pPr>
              <w:spacing w:before="20" w:after="20"/>
              <w:jc w:val="both"/>
            </w:pPr>
            <w:r>
              <w:rPr>
                <w:sz w:val="18"/>
                <w:szCs w:val="18"/>
              </w:rPr>
              <w:t>Pruebas de recorrido</w:t>
            </w:r>
          </w:p>
        </w:tc>
        <w:tc>
          <w:tcPr>
            <w:tcW w:w="1876" w:type="dxa"/>
            <w:shd w:val="clear" w:color="auto" w:fill="D9E2F3"/>
            <w:vAlign w:val="center"/>
          </w:tcPr>
          <w:p w14:paraId="19365423" w14:textId="77777777" w:rsidR="00990B14" w:rsidRDefault="00000000">
            <w:pPr>
              <w:spacing w:before="20" w:after="20"/>
              <w:jc w:val="both"/>
            </w:pPr>
            <w:r>
              <w:rPr>
                <w:sz w:val="18"/>
                <w:szCs w:val="18"/>
              </w:rPr>
              <w:t>No se realizan.</w:t>
            </w:r>
          </w:p>
        </w:tc>
        <w:tc>
          <w:tcPr>
            <w:tcW w:w="1876" w:type="dxa"/>
            <w:shd w:val="clear" w:color="auto" w:fill="D9E2F3"/>
            <w:vAlign w:val="center"/>
          </w:tcPr>
          <w:p w14:paraId="544677C3" w14:textId="77777777" w:rsidR="00990B14" w:rsidRDefault="00000000">
            <w:pPr>
              <w:spacing w:before="20" w:after="20"/>
              <w:jc w:val="both"/>
            </w:pPr>
            <w:r>
              <w:rPr>
                <w:sz w:val="18"/>
                <w:szCs w:val="18"/>
              </w:rPr>
              <w:t>Confirman el diseño de los controles.</w:t>
            </w:r>
          </w:p>
        </w:tc>
        <w:tc>
          <w:tcPr>
            <w:tcW w:w="1877" w:type="dxa"/>
            <w:shd w:val="clear" w:color="auto" w:fill="D9E2F3"/>
            <w:vAlign w:val="center"/>
          </w:tcPr>
          <w:p w14:paraId="2E6D64C2" w14:textId="77777777" w:rsidR="00990B14" w:rsidRDefault="00000000">
            <w:pPr>
              <w:spacing w:before="20" w:after="20"/>
              <w:jc w:val="both"/>
            </w:pPr>
            <w:r>
              <w:rPr>
                <w:sz w:val="18"/>
                <w:szCs w:val="18"/>
              </w:rPr>
              <w:t>Detectan diferencias entre el diseño y la práctica.</w:t>
            </w:r>
          </w:p>
        </w:tc>
      </w:tr>
      <w:tr w:rsidR="00990B14" w14:paraId="67BC4AFE" w14:textId="77777777">
        <w:trPr>
          <w:cantSplit/>
          <w:jc w:val="center"/>
        </w:trPr>
        <w:tc>
          <w:tcPr>
            <w:tcW w:w="1900" w:type="dxa"/>
            <w:vMerge/>
            <w:shd w:val="clear" w:color="auto" w:fill="4472C4"/>
            <w:vAlign w:val="center"/>
          </w:tcPr>
          <w:p w14:paraId="038966D2" w14:textId="77777777" w:rsidR="00990B14" w:rsidRDefault="00990B14">
            <w:pPr>
              <w:spacing w:before="20" w:after="20"/>
            </w:pPr>
          </w:p>
        </w:tc>
        <w:tc>
          <w:tcPr>
            <w:tcW w:w="1876" w:type="dxa"/>
            <w:shd w:val="clear" w:color="auto" w:fill="D9E2F3"/>
            <w:vAlign w:val="center"/>
          </w:tcPr>
          <w:p w14:paraId="493A2E73" w14:textId="77777777" w:rsidR="00990B14" w:rsidRDefault="00000000">
            <w:pPr>
              <w:spacing w:before="20" w:after="20"/>
              <w:jc w:val="both"/>
            </w:pPr>
            <w:r>
              <w:rPr>
                <w:sz w:val="18"/>
                <w:szCs w:val="18"/>
              </w:rPr>
              <w:t>Matriz de riesgos y controles</w:t>
            </w:r>
          </w:p>
        </w:tc>
        <w:tc>
          <w:tcPr>
            <w:tcW w:w="1876" w:type="dxa"/>
            <w:shd w:val="clear" w:color="auto" w:fill="D9E2F3"/>
            <w:vAlign w:val="center"/>
          </w:tcPr>
          <w:p w14:paraId="5814D967" w14:textId="77777777" w:rsidR="00990B14" w:rsidRDefault="00000000">
            <w:pPr>
              <w:spacing w:before="20" w:after="20"/>
              <w:jc w:val="both"/>
            </w:pPr>
            <w:r>
              <w:rPr>
                <w:sz w:val="18"/>
                <w:szCs w:val="18"/>
              </w:rPr>
              <w:t>No vincula riesgos y controles.</w:t>
            </w:r>
          </w:p>
        </w:tc>
        <w:tc>
          <w:tcPr>
            <w:tcW w:w="1876" w:type="dxa"/>
            <w:shd w:val="clear" w:color="auto" w:fill="D9E2F3"/>
            <w:vAlign w:val="center"/>
          </w:tcPr>
          <w:p w14:paraId="32E52647" w14:textId="77777777" w:rsidR="00990B14" w:rsidRDefault="00000000">
            <w:pPr>
              <w:spacing w:before="20" w:after="20"/>
              <w:jc w:val="both"/>
            </w:pPr>
            <w:r>
              <w:rPr>
                <w:sz w:val="18"/>
                <w:szCs w:val="18"/>
              </w:rPr>
              <w:t>Vincula riesgos con controles clave.</w:t>
            </w:r>
          </w:p>
        </w:tc>
        <w:tc>
          <w:tcPr>
            <w:tcW w:w="1877" w:type="dxa"/>
            <w:shd w:val="clear" w:color="auto" w:fill="D9E2F3"/>
            <w:vAlign w:val="center"/>
          </w:tcPr>
          <w:p w14:paraId="1BFA2DD0" w14:textId="77777777" w:rsidR="00990B14" w:rsidRDefault="00000000">
            <w:pPr>
              <w:spacing w:before="20" w:after="20"/>
              <w:jc w:val="both"/>
            </w:pPr>
            <w:r>
              <w:rPr>
                <w:sz w:val="18"/>
                <w:szCs w:val="18"/>
              </w:rPr>
              <w:t>Incluye los controles generales de tecnología de la información.</w:t>
            </w:r>
          </w:p>
        </w:tc>
      </w:tr>
      <w:tr w:rsidR="00990B14" w14:paraId="0EBEED39" w14:textId="77777777">
        <w:trPr>
          <w:cantSplit/>
          <w:jc w:val="center"/>
        </w:trPr>
        <w:tc>
          <w:tcPr>
            <w:tcW w:w="1900" w:type="dxa"/>
            <w:vMerge/>
            <w:shd w:val="clear" w:color="auto" w:fill="4472C4"/>
            <w:vAlign w:val="center"/>
          </w:tcPr>
          <w:p w14:paraId="3D95E896" w14:textId="77777777" w:rsidR="00990B14" w:rsidRDefault="00990B14">
            <w:pPr>
              <w:spacing w:before="20" w:after="20"/>
            </w:pPr>
          </w:p>
        </w:tc>
        <w:tc>
          <w:tcPr>
            <w:tcW w:w="5628" w:type="dxa"/>
            <w:gridSpan w:val="3"/>
            <w:shd w:val="clear" w:color="auto" w:fill="D9E2F3"/>
            <w:vAlign w:val="center"/>
          </w:tcPr>
          <w:p w14:paraId="3B089510" w14:textId="77777777" w:rsidR="00990B14" w:rsidRDefault="00000000">
            <w:pPr>
              <w:keepNext/>
              <w:spacing w:before="20" w:after="20"/>
              <w:jc w:val="both"/>
            </w:pPr>
            <w:r>
              <w:rPr>
                <w:b/>
                <w:bCs/>
                <w:i/>
                <w:iCs/>
                <w:sz w:val="18"/>
                <w:szCs w:val="18"/>
              </w:rPr>
              <w:t xml:space="preserve">Producto 8: </w:t>
            </w:r>
            <w:r>
              <w:rPr>
                <w:sz w:val="18"/>
                <w:szCs w:val="18"/>
              </w:rPr>
              <w:t>Memorando de planificación del caso práctico con la cédula de materialidad, los procedimientos analíticos de planificación y el enfoque de auditoría planificado.</w:t>
            </w:r>
          </w:p>
        </w:tc>
        <w:tc>
          <w:tcPr>
            <w:tcW w:w="1877" w:type="dxa"/>
            <w:shd w:val="clear" w:color="auto" w:fill="D9E2F3"/>
            <w:vAlign w:val="center"/>
          </w:tcPr>
          <w:p w14:paraId="534B6718" w14:textId="77777777" w:rsidR="00990B14" w:rsidRDefault="00000000">
            <w:pPr>
              <w:spacing w:before="20" w:after="20"/>
              <w:jc w:val="center"/>
            </w:pPr>
            <w:r>
              <w:rPr>
                <w:b/>
                <w:bCs/>
                <w:sz w:val="18"/>
                <w:szCs w:val="18"/>
              </w:rPr>
              <w:t>7%</w:t>
            </w:r>
          </w:p>
        </w:tc>
      </w:tr>
      <w:tr w:rsidR="00990B14" w14:paraId="29FD2562" w14:textId="77777777">
        <w:trPr>
          <w:cantSplit/>
          <w:jc w:val="center"/>
        </w:trPr>
        <w:tc>
          <w:tcPr>
            <w:tcW w:w="1900" w:type="dxa"/>
            <w:vMerge/>
            <w:shd w:val="clear" w:color="auto" w:fill="4472C4"/>
            <w:vAlign w:val="center"/>
          </w:tcPr>
          <w:p w14:paraId="4D9F4D97" w14:textId="77777777" w:rsidR="00990B14" w:rsidRDefault="00990B14">
            <w:pPr>
              <w:spacing w:before="20" w:after="20"/>
            </w:pPr>
          </w:p>
        </w:tc>
        <w:tc>
          <w:tcPr>
            <w:tcW w:w="1876" w:type="dxa"/>
            <w:shd w:val="clear" w:color="auto" w:fill="4472C4"/>
            <w:vAlign w:val="center"/>
          </w:tcPr>
          <w:p w14:paraId="7370884C"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3F29C1C6"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3FFB8DA4"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307595B6" w14:textId="77777777" w:rsidR="00990B14" w:rsidRDefault="00000000">
            <w:pPr>
              <w:keepNext/>
              <w:spacing w:before="20" w:after="20"/>
              <w:jc w:val="center"/>
            </w:pPr>
            <w:r>
              <w:rPr>
                <w:b/>
                <w:bCs/>
                <w:i/>
                <w:iCs/>
                <w:color w:val="FFFFFF"/>
                <w:sz w:val="18"/>
                <w:szCs w:val="18"/>
              </w:rPr>
              <w:t>Destacado (81–100)</w:t>
            </w:r>
          </w:p>
        </w:tc>
      </w:tr>
      <w:tr w:rsidR="00990B14" w14:paraId="1CCE53C0" w14:textId="77777777">
        <w:trPr>
          <w:cantSplit/>
          <w:jc w:val="center"/>
        </w:trPr>
        <w:tc>
          <w:tcPr>
            <w:tcW w:w="1900" w:type="dxa"/>
            <w:vMerge/>
            <w:shd w:val="clear" w:color="auto" w:fill="4472C4"/>
            <w:vAlign w:val="center"/>
          </w:tcPr>
          <w:p w14:paraId="6F8FF844" w14:textId="77777777" w:rsidR="00990B14" w:rsidRDefault="00990B14">
            <w:pPr>
              <w:spacing w:before="20" w:after="20"/>
            </w:pPr>
          </w:p>
        </w:tc>
        <w:tc>
          <w:tcPr>
            <w:tcW w:w="1876" w:type="dxa"/>
            <w:shd w:val="clear" w:color="auto" w:fill="D9E2F3"/>
            <w:vAlign w:val="center"/>
          </w:tcPr>
          <w:p w14:paraId="0134367A" w14:textId="77777777" w:rsidR="00990B14" w:rsidRDefault="00000000">
            <w:pPr>
              <w:spacing w:before="20" w:after="20"/>
              <w:jc w:val="both"/>
            </w:pPr>
            <w:r>
              <w:rPr>
                <w:sz w:val="18"/>
                <w:szCs w:val="18"/>
              </w:rPr>
              <w:t>Materialidad</w:t>
            </w:r>
          </w:p>
        </w:tc>
        <w:tc>
          <w:tcPr>
            <w:tcW w:w="1876" w:type="dxa"/>
            <w:shd w:val="clear" w:color="auto" w:fill="D9E2F3"/>
            <w:vAlign w:val="center"/>
          </w:tcPr>
          <w:p w14:paraId="4B1A9DD8" w14:textId="77777777" w:rsidR="00990B14" w:rsidRDefault="00000000">
            <w:pPr>
              <w:spacing w:before="20" w:after="20"/>
              <w:jc w:val="both"/>
            </w:pPr>
            <w:r>
              <w:rPr>
                <w:sz w:val="18"/>
                <w:szCs w:val="18"/>
              </w:rPr>
              <w:t>La calcula con errores.</w:t>
            </w:r>
          </w:p>
        </w:tc>
        <w:tc>
          <w:tcPr>
            <w:tcW w:w="1876" w:type="dxa"/>
            <w:shd w:val="clear" w:color="auto" w:fill="D9E2F3"/>
            <w:vAlign w:val="center"/>
          </w:tcPr>
          <w:p w14:paraId="572631CC" w14:textId="77777777" w:rsidR="00990B14" w:rsidRDefault="00000000">
            <w:pPr>
              <w:spacing w:before="20" w:after="20"/>
              <w:jc w:val="both"/>
            </w:pPr>
            <w:r>
              <w:rPr>
                <w:sz w:val="18"/>
                <w:szCs w:val="18"/>
              </w:rPr>
              <w:t>Determina la materialidad global, de desempeño y el límite de acumulación.</w:t>
            </w:r>
          </w:p>
        </w:tc>
        <w:tc>
          <w:tcPr>
            <w:tcW w:w="1877" w:type="dxa"/>
            <w:shd w:val="clear" w:color="auto" w:fill="D9E2F3"/>
            <w:vAlign w:val="center"/>
          </w:tcPr>
          <w:p w14:paraId="6F514B9A" w14:textId="77777777" w:rsidR="00990B14" w:rsidRDefault="00000000">
            <w:pPr>
              <w:spacing w:before="20" w:after="20"/>
              <w:jc w:val="both"/>
            </w:pPr>
            <w:r>
              <w:rPr>
                <w:sz w:val="18"/>
                <w:szCs w:val="18"/>
              </w:rPr>
              <w:t>Justifica la referencia y los porcentajes elegidos.</w:t>
            </w:r>
          </w:p>
        </w:tc>
      </w:tr>
      <w:tr w:rsidR="00990B14" w14:paraId="3D0CF72F" w14:textId="77777777">
        <w:trPr>
          <w:cantSplit/>
          <w:jc w:val="center"/>
        </w:trPr>
        <w:tc>
          <w:tcPr>
            <w:tcW w:w="1900" w:type="dxa"/>
            <w:vMerge/>
            <w:shd w:val="clear" w:color="auto" w:fill="4472C4"/>
            <w:vAlign w:val="center"/>
          </w:tcPr>
          <w:p w14:paraId="326FA985" w14:textId="77777777" w:rsidR="00990B14" w:rsidRDefault="00990B14">
            <w:pPr>
              <w:spacing w:before="20" w:after="20"/>
            </w:pPr>
          </w:p>
        </w:tc>
        <w:tc>
          <w:tcPr>
            <w:tcW w:w="1876" w:type="dxa"/>
            <w:shd w:val="clear" w:color="auto" w:fill="D9E2F3"/>
            <w:vAlign w:val="center"/>
          </w:tcPr>
          <w:p w14:paraId="00C712B6" w14:textId="77777777" w:rsidR="00990B14" w:rsidRDefault="00000000">
            <w:pPr>
              <w:spacing w:before="20" w:after="20"/>
              <w:jc w:val="both"/>
            </w:pPr>
            <w:r>
              <w:rPr>
                <w:sz w:val="18"/>
                <w:szCs w:val="18"/>
              </w:rPr>
              <w:t>Analíticos de planificación</w:t>
            </w:r>
          </w:p>
        </w:tc>
        <w:tc>
          <w:tcPr>
            <w:tcW w:w="1876" w:type="dxa"/>
            <w:shd w:val="clear" w:color="auto" w:fill="D9E2F3"/>
            <w:vAlign w:val="center"/>
          </w:tcPr>
          <w:p w14:paraId="702576DA" w14:textId="77777777" w:rsidR="00990B14" w:rsidRDefault="00000000">
            <w:pPr>
              <w:spacing w:before="20" w:after="20"/>
              <w:jc w:val="both"/>
            </w:pPr>
            <w:r>
              <w:rPr>
                <w:sz w:val="18"/>
                <w:szCs w:val="18"/>
              </w:rPr>
              <w:t>No identifica variaciones.</w:t>
            </w:r>
          </w:p>
        </w:tc>
        <w:tc>
          <w:tcPr>
            <w:tcW w:w="1876" w:type="dxa"/>
            <w:shd w:val="clear" w:color="auto" w:fill="D9E2F3"/>
            <w:vAlign w:val="center"/>
          </w:tcPr>
          <w:p w14:paraId="684D85E0" w14:textId="77777777" w:rsidR="00990B14" w:rsidRDefault="00000000">
            <w:pPr>
              <w:spacing w:before="20" w:after="20"/>
              <w:jc w:val="both"/>
            </w:pPr>
            <w:r>
              <w:rPr>
                <w:sz w:val="18"/>
                <w:szCs w:val="18"/>
              </w:rPr>
              <w:t>Identifica variaciones significativas.</w:t>
            </w:r>
          </w:p>
        </w:tc>
        <w:tc>
          <w:tcPr>
            <w:tcW w:w="1877" w:type="dxa"/>
            <w:shd w:val="clear" w:color="auto" w:fill="D9E2F3"/>
            <w:vAlign w:val="center"/>
          </w:tcPr>
          <w:p w14:paraId="0115D159" w14:textId="77777777" w:rsidR="00990B14" w:rsidRDefault="00000000">
            <w:pPr>
              <w:spacing w:before="20" w:after="20"/>
              <w:jc w:val="both"/>
            </w:pPr>
            <w:r>
              <w:rPr>
                <w:sz w:val="18"/>
                <w:szCs w:val="18"/>
              </w:rPr>
              <w:t>Relaciona las variaciones con riesgos de incorrección.</w:t>
            </w:r>
          </w:p>
        </w:tc>
      </w:tr>
      <w:tr w:rsidR="00990B14" w14:paraId="35B2CAB1" w14:textId="77777777">
        <w:trPr>
          <w:cantSplit/>
          <w:jc w:val="center"/>
        </w:trPr>
        <w:tc>
          <w:tcPr>
            <w:tcW w:w="1900" w:type="dxa"/>
            <w:vMerge/>
            <w:shd w:val="clear" w:color="auto" w:fill="4472C4"/>
            <w:vAlign w:val="center"/>
          </w:tcPr>
          <w:p w14:paraId="3573943A" w14:textId="77777777" w:rsidR="00990B14" w:rsidRDefault="00990B14">
            <w:pPr>
              <w:spacing w:before="20" w:after="20"/>
            </w:pPr>
          </w:p>
        </w:tc>
        <w:tc>
          <w:tcPr>
            <w:tcW w:w="1876" w:type="dxa"/>
            <w:shd w:val="clear" w:color="auto" w:fill="D9E2F3"/>
            <w:vAlign w:val="center"/>
          </w:tcPr>
          <w:p w14:paraId="2E0A4552" w14:textId="77777777" w:rsidR="00990B14" w:rsidRDefault="00000000">
            <w:pPr>
              <w:spacing w:before="20" w:after="20"/>
              <w:jc w:val="both"/>
            </w:pPr>
            <w:r>
              <w:rPr>
                <w:sz w:val="18"/>
                <w:szCs w:val="18"/>
              </w:rPr>
              <w:t>Enfoque planificado</w:t>
            </w:r>
          </w:p>
        </w:tc>
        <w:tc>
          <w:tcPr>
            <w:tcW w:w="1876" w:type="dxa"/>
            <w:shd w:val="clear" w:color="auto" w:fill="D9E2F3"/>
            <w:vAlign w:val="center"/>
          </w:tcPr>
          <w:p w14:paraId="5B1222DE" w14:textId="77777777" w:rsidR="00990B14" w:rsidRDefault="00000000">
            <w:pPr>
              <w:spacing w:before="20" w:after="20"/>
              <w:jc w:val="both"/>
            </w:pPr>
            <w:r>
              <w:rPr>
                <w:sz w:val="18"/>
                <w:szCs w:val="18"/>
              </w:rPr>
              <w:t>No responde a los riesgos.</w:t>
            </w:r>
          </w:p>
        </w:tc>
        <w:tc>
          <w:tcPr>
            <w:tcW w:w="1876" w:type="dxa"/>
            <w:shd w:val="clear" w:color="auto" w:fill="D9E2F3"/>
            <w:vAlign w:val="center"/>
          </w:tcPr>
          <w:p w14:paraId="61D094CF" w14:textId="77777777" w:rsidR="00990B14" w:rsidRDefault="00000000">
            <w:pPr>
              <w:spacing w:before="20" w:after="20"/>
              <w:jc w:val="both"/>
            </w:pPr>
            <w:r>
              <w:rPr>
                <w:sz w:val="18"/>
                <w:szCs w:val="18"/>
              </w:rPr>
              <w:t>Define un enfoque coherente con los riesgos.</w:t>
            </w:r>
          </w:p>
        </w:tc>
        <w:tc>
          <w:tcPr>
            <w:tcW w:w="1877" w:type="dxa"/>
            <w:shd w:val="clear" w:color="auto" w:fill="D9E2F3"/>
            <w:vAlign w:val="center"/>
          </w:tcPr>
          <w:p w14:paraId="19E9B433" w14:textId="77777777" w:rsidR="00990B14" w:rsidRDefault="00000000">
            <w:pPr>
              <w:spacing w:before="20" w:after="20"/>
              <w:jc w:val="both"/>
            </w:pPr>
            <w:r>
              <w:rPr>
                <w:sz w:val="18"/>
                <w:szCs w:val="18"/>
              </w:rPr>
              <w:t>Justifica la combinación de pruebas por ciclo.</w:t>
            </w:r>
          </w:p>
        </w:tc>
      </w:tr>
      <w:tr w:rsidR="00990B14" w14:paraId="0CA916D7" w14:textId="77777777">
        <w:trPr>
          <w:cantSplit/>
          <w:jc w:val="center"/>
        </w:trPr>
        <w:tc>
          <w:tcPr>
            <w:tcW w:w="1900" w:type="dxa"/>
            <w:vMerge/>
            <w:shd w:val="clear" w:color="auto" w:fill="4472C4"/>
            <w:vAlign w:val="center"/>
          </w:tcPr>
          <w:p w14:paraId="2716AAB0" w14:textId="77777777" w:rsidR="00990B14" w:rsidRDefault="00990B14">
            <w:pPr>
              <w:spacing w:before="20" w:after="20"/>
            </w:pPr>
          </w:p>
        </w:tc>
        <w:tc>
          <w:tcPr>
            <w:tcW w:w="5628" w:type="dxa"/>
            <w:gridSpan w:val="3"/>
            <w:shd w:val="clear" w:color="auto" w:fill="D9E2F3"/>
            <w:vAlign w:val="center"/>
          </w:tcPr>
          <w:p w14:paraId="2B9EF93B" w14:textId="77777777" w:rsidR="00990B14" w:rsidRDefault="00000000">
            <w:pPr>
              <w:keepNext/>
              <w:spacing w:before="20" w:after="20"/>
              <w:jc w:val="both"/>
            </w:pPr>
            <w:r>
              <w:rPr>
                <w:b/>
                <w:bCs/>
                <w:i/>
                <w:iCs/>
                <w:sz w:val="18"/>
                <w:szCs w:val="18"/>
              </w:rPr>
              <w:t xml:space="preserve">Producto 9: </w:t>
            </w:r>
            <w:r>
              <w:rPr>
                <w:sz w:val="18"/>
                <w:szCs w:val="18"/>
              </w:rPr>
              <w:t>Programas de auditoría por ciclo de transacciones del caso práctico, con referencia cruzada entre riesgo, aseveración y procedimiento, y la naturaleza, el momento y la extensión de cada procedimiento.</w:t>
            </w:r>
          </w:p>
        </w:tc>
        <w:tc>
          <w:tcPr>
            <w:tcW w:w="1877" w:type="dxa"/>
            <w:shd w:val="clear" w:color="auto" w:fill="D9E2F3"/>
            <w:vAlign w:val="center"/>
          </w:tcPr>
          <w:p w14:paraId="0CCC175E" w14:textId="77777777" w:rsidR="00990B14" w:rsidRDefault="00000000">
            <w:pPr>
              <w:spacing w:before="20" w:after="20"/>
              <w:jc w:val="center"/>
            </w:pPr>
            <w:r>
              <w:rPr>
                <w:b/>
                <w:bCs/>
                <w:sz w:val="18"/>
                <w:szCs w:val="18"/>
              </w:rPr>
              <w:t>10%</w:t>
            </w:r>
          </w:p>
        </w:tc>
      </w:tr>
      <w:tr w:rsidR="00990B14" w14:paraId="664F7F73" w14:textId="77777777">
        <w:trPr>
          <w:cantSplit/>
          <w:jc w:val="center"/>
        </w:trPr>
        <w:tc>
          <w:tcPr>
            <w:tcW w:w="1900" w:type="dxa"/>
            <w:vMerge/>
            <w:shd w:val="clear" w:color="auto" w:fill="4472C4"/>
            <w:vAlign w:val="center"/>
          </w:tcPr>
          <w:p w14:paraId="4DDDF798" w14:textId="77777777" w:rsidR="00990B14" w:rsidRDefault="00990B14">
            <w:pPr>
              <w:spacing w:before="20" w:after="20"/>
            </w:pPr>
          </w:p>
        </w:tc>
        <w:tc>
          <w:tcPr>
            <w:tcW w:w="1876" w:type="dxa"/>
            <w:shd w:val="clear" w:color="auto" w:fill="4472C4"/>
            <w:vAlign w:val="center"/>
          </w:tcPr>
          <w:p w14:paraId="5770529E"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0B1E4D6B"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248CC96E"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48184658" w14:textId="77777777" w:rsidR="00990B14" w:rsidRDefault="00000000">
            <w:pPr>
              <w:keepNext/>
              <w:spacing w:before="20" w:after="20"/>
              <w:jc w:val="center"/>
            </w:pPr>
            <w:r>
              <w:rPr>
                <w:b/>
                <w:bCs/>
                <w:i/>
                <w:iCs/>
                <w:color w:val="FFFFFF"/>
                <w:sz w:val="18"/>
                <w:szCs w:val="18"/>
              </w:rPr>
              <w:t>Destacado (81–100)</w:t>
            </w:r>
          </w:p>
        </w:tc>
      </w:tr>
      <w:tr w:rsidR="00990B14" w14:paraId="77BD7B36" w14:textId="77777777">
        <w:trPr>
          <w:cantSplit/>
          <w:jc w:val="center"/>
        </w:trPr>
        <w:tc>
          <w:tcPr>
            <w:tcW w:w="1900" w:type="dxa"/>
            <w:vMerge/>
            <w:shd w:val="clear" w:color="auto" w:fill="4472C4"/>
            <w:vAlign w:val="center"/>
          </w:tcPr>
          <w:p w14:paraId="12D944AF" w14:textId="77777777" w:rsidR="00990B14" w:rsidRDefault="00990B14">
            <w:pPr>
              <w:spacing w:before="20" w:after="20"/>
            </w:pPr>
          </w:p>
        </w:tc>
        <w:tc>
          <w:tcPr>
            <w:tcW w:w="1876" w:type="dxa"/>
            <w:shd w:val="clear" w:color="auto" w:fill="D9E2F3"/>
            <w:vAlign w:val="center"/>
          </w:tcPr>
          <w:p w14:paraId="342CA240" w14:textId="77777777" w:rsidR="00990B14" w:rsidRDefault="00000000">
            <w:pPr>
              <w:spacing w:before="20" w:after="20"/>
              <w:jc w:val="both"/>
            </w:pPr>
            <w:r>
              <w:rPr>
                <w:sz w:val="18"/>
                <w:szCs w:val="18"/>
              </w:rPr>
              <w:t>Vinculación</w:t>
            </w:r>
          </w:p>
        </w:tc>
        <w:tc>
          <w:tcPr>
            <w:tcW w:w="1876" w:type="dxa"/>
            <w:shd w:val="clear" w:color="auto" w:fill="D9E2F3"/>
            <w:vAlign w:val="center"/>
          </w:tcPr>
          <w:p w14:paraId="2F593F54" w14:textId="77777777" w:rsidR="00990B14" w:rsidRDefault="00000000">
            <w:pPr>
              <w:spacing w:before="20" w:after="20"/>
              <w:jc w:val="both"/>
            </w:pPr>
            <w:r>
              <w:rPr>
                <w:sz w:val="18"/>
                <w:szCs w:val="18"/>
              </w:rPr>
              <w:t>No vincula riesgo y procedimiento.</w:t>
            </w:r>
          </w:p>
        </w:tc>
        <w:tc>
          <w:tcPr>
            <w:tcW w:w="1876" w:type="dxa"/>
            <w:shd w:val="clear" w:color="auto" w:fill="D9E2F3"/>
            <w:vAlign w:val="center"/>
          </w:tcPr>
          <w:p w14:paraId="0DDF3756" w14:textId="77777777" w:rsidR="00990B14" w:rsidRDefault="00000000">
            <w:pPr>
              <w:spacing w:before="20" w:after="20"/>
              <w:jc w:val="both"/>
            </w:pPr>
            <w:r>
              <w:rPr>
                <w:sz w:val="18"/>
                <w:szCs w:val="18"/>
              </w:rPr>
              <w:t>Vincula riesgo, aseveración y procedimiento.</w:t>
            </w:r>
          </w:p>
        </w:tc>
        <w:tc>
          <w:tcPr>
            <w:tcW w:w="1877" w:type="dxa"/>
            <w:shd w:val="clear" w:color="auto" w:fill="D9E2F3"/>
            <w:vAlign w:val="center"/>
          </w:tcPr>
          <w:p w14:paraId="475A8C19" w14:textId="77777777" w:rsidR="00990B14" w:rsidRDefault="00000000">
            <w:pPr>
              <w:spacing w:before="20" w:after="20"/>
              <w:jc w:val="both"/>
            </w:pPr>
            <w:r>
              <w:rPr>
                <w:sz w:val="18"/>
                <w:szCs w:val="18"/>
              </w:rPr>
              <w:t>Incluye referencias cruzadas a la matriz de riesgos.</w:t>
            </w:r>
          </w:p>
        </w:tc>
      </w:tr>
      <w:tr w:rsidR="00990B14" w14:paraId="0AFFEF02" w14:textId="77777777">
        <w:trPr>
          <w:cantSplit/>
          <w:jc w:val="center"/>
        </w:trPr>
        <w:tc>
          <w:tcPr>
            <w:tcW w:w="1900" w:type="dxa"/>
            <w:vMerge/>
            <w:shd w:val="clear" w:color="auto" w:fill="4472C4"/>
            <w:vAlign w:val="center"/>
          </w:tcPr>
          <w:p w14:paraId="3B2CC88B" w14:textId="77777777" w:rsidR="00990B14" w:rsidRDefault="00990B14">
            <w:pPr>
              <w:spacing w:before="20" w:after="20"/>
            </w:pPr>
          </w:p>
        </w:tc>
        <w:tc>
          <w:tcPr>
            <w:tcW w:w="1876" w:type="dxa"/>
            <w:shd w:val="clear" w:color="auto" w:fill="D9E2F3"/>
            <w:vAlign w:val="center"/>
          </w:tcPr>
          <w:p w14:paraId="40165523" w14:textId="77777777" w:rsidR="00990B14" w:rsidRDefault="00000000">
            <w:pPr>
              <w:spacing w:before="20" w:after="20"/>
              <w:jc w:val="both"/>
            </w:pPr>
            <w:r>
              <w:rPr>
                <w:sz w:val="18"/>
                <w:szCs w:val="18"/>
              </w:rPr>
              <w:t>Naturaleza, momento y extensión</w:t>
            </w:r>
          </w:p>
        </w:tc>
        <w:tc>
          <w:tcPr>
            <w:tcW w:w="1876" w:type="dxa"/>
            <w:shd w:val="clear" w:color="auto" w:fill="D9E2F3"/>
            <w:vAlign w:val="center"/>
          </w:tcPr>
          <w:p w14:paraId="33CCF4FC" w14:textId="77777777" w:rsidR="00990B14" w:rsidRDefault="00000000">
            <w:pPr>
              <w:spacing w:before="20" w:after="20"/>
              <w:jc w:val="both"/>
            </w:pPr>
            <w:r>
              <w:rPr>
                <w:sz w:val="18"/>
                <w:szCs w:val="18"/>
              </w:rPr>
              <w:t>No los define.</w:t>
            </w:r>
          </w:p>
        </w:tc>
        <w:tc>
          <w:tcPr>
            <w:tcW w:w="1876" w:type="dxa"/>
            <w:shd w:val="clear" w:color="auto" w:fill="D9E2F3"/>
            <w:vAlign w:val="center"/>
          </w:tcPr>
          <w:p w14:paraId="58DF3625" w14:textId="77777777" w:rsidR="00990B14" w:rsidRDefault="00000000">
            <w:pPr>
              <w:spacing w:before="20" w:after="20"/>
              <w:jc w:val="both"/>
            </w:pPr>
            <w:r>
              <w:rPr>
                <w:sz w:val="18"/>
                <w:szCs w:val="18"/>
              </w:rPr>
              <w:t>Define los tres aspectos por procedimiento.</w:t>
            </w:r>
          </w:p>
        </w:tc>
        <w:tc>
          <w:tcPr>
            <w:tcW w:w="1877" w:type="dxa"/>
            <w:shd w:val="clear" w:color="auto" w:fill="D9E2F3"/>
            <w:vAlign w:val="center"/>
          </w:tcPr>
          <w:p w14:paraId="062D180A" w14:textId="77777777" w:rsidR="00990B14" w:rsidRDefault="00000000">
            <w:pPr>
              <w:spacing w:before="20" w:after="20"/>
              <w:jc w:val="both"/>
            </w:pPr>
            <w:r>
              <w:rPr>
                <w:sz w:val="18"/>
                <w:szCs w:val="18"/>
              </w:rPr>
              <w:t>Justifica la extensión según el riesgo valorado.</w:t>
            </w:r>
          </w:p>
        </w:tc>
      </w:tr>
      <w:tr w:rsidR="00990B14" w14:paraId="239AC62A" w14:textId="77777777">
        <w:trPr>
          <w:cantSplit/>
          <w:jc w:val="center"/>
        </w:trPr>
        <w:tc>
          <w:tcPr>
            <w:tcW w:w="1900" w:type="dxa"/>
            <w:vMerge/>
            <w:shd w:val="clear" w:color="auto" w:fill="4472C4"/>
            <w:vAlign w:val="center"/>
          </w:tcPr>
          <w:p w14:paraId="1780DC1F" w14:textId="77777777" w:rsidR="00990B14" w:rsidRDefault="00990B14">
            <w:pPr>
              <w:spacing w:before="20" w:after="20"/>
            </w:pPr>
          </w:p>
        </w:tc>
        <w:tc>
          <w:tcPr>
            <w:tcW w:w="1876" w:type="dxa"/>
            <w:shd w:val="clear" w:color="auto" w:fill="D9E2F3"/>
            <w:vAlign w:val="center"/>
          </w:tcPr>
          <w:p w14:paraId="4589542C" w14:textId="77777777" w:rsidR="00990B14" w:rsidRDefault="00000000">
            <w:pPr>
              <w:spacing w:before="20" w:after="20"/>
              <w:jc w:val="both"/>
            </w:pPr>
            <w:r>
              <w:rPr>
                <w:sz w:val="18"/>
                <w:szCs w:val="18"/>
              </w:rPr>
              <w:t>Cobertura de ciclos</w:t>
            </w:r>
          </w:p>
        </w:tc>
        <w:tc>
          <w:tcPr>
            <w:tcW w:w="1876" w:type="dxa"/>
            <w:shd w:val="clear" w:color="auto" w:fill="D9E2F3"/>
            <w:vAlign w:val="center"/>
          </w:tcPr>
          <w:p w14:paraId="406EFDB1" w14:textId="77777777" w:rsidR="00990B14" w:rsidRDefault="00000000">
            <w:pPr>
              <w:spacing w:before="20" w:after="20"/>
              <w:jc w:val="both"/>
            </w:pPr>
            <w:r>
              <w:rPr>
                <w:sz w:val="18"/>
                <w:szCs w:val="18"/>
              </w:rPr>
              <w:t>Omite ciclos.</w:t>
            </w:r>
          </w:p>
        </w:tc>
        <w:tc>
          <w:tcPr>
            <w:tcW w:w="1876" w:type="dxa"/>
            <w:shd w:val="clear" w:color="auto" w:fill="D9E2F3"/>
            <w:vAlign w:val="center"/>
          </w:tcPr>
          <w:p w14:paraId="7D0743BE" w14:textId="77777777" w:rsidR="00990B14" w:rsidRDefault="00000000">
            <w:pPr>
              <w:spacing w:before="20" w:after="20"/>
              <w:jc w:val="both"/>
            </w:pPr>
            <w:r>
              <w:rPr>
                <w:sz w:val="18"/>
                <w:szCs w:val="18"/>
              </w:rPr>
              <w:t>Cubre todos los ciclos del caso.</w:t>
            </w:r>
          </w:p>
        </w:tc>
        <w:tc>
          <w:tcPr>
            <w:tcW w:w="1877" w:type="dxa"/>
            <w:shd w:val="clear" w:color="auto" w:fill="D9E2F3"/>
            <w:vAlign w:val="center"/>
          </w:tcPr>
          <w:p w14:paraId="1ABEC510" w14:textId="77777777" w:rsidR="00990B14" w:rsidRDefault="00000000">
            <w:pPr>
              <w:spacing w:before="20" w:after="20"/>
              <w:jc w:val="both"/>
            </w:pPr>
            <w:r>
              <w:rPr>
                <w:sz w:val="18"/>
                <w:szCs w:val="18"/>
              </w:rPr>
              <w:t>Incluye los rubros no rutinarios.</w:t>
            </w:r>
          </w:p>
        </w:tc>
      </w:tr>
      <w:tr w:rsidR="00990B14" w14:paraId="6C161060" w14:textId="77777777">
        <w:trPr>
          <w:cantSplit/>
          <w:jc w:val="center"/>
        </w:trPr>
        <w:tc>
          <w:tcPr>
            <w:tcW w:w="1900" w:type="dxa"/>
            <w:vMerge/>
            <w:shd w:val="clear" w:color="auto" w:fill="4472C4"/>
            <w:vAlign w:val="center"/>
          </w:tcPr>
          <w:p w14:paraId="03B0FA73" w14:textId="77777777" w:rsidR="00990B14" w:rsidRDefault="00990B14">
            <w:pPr>
              <w:spacing w:before="20" w:after="20"/>
            </w:pPr>
          </w:p>
        </w:tc>
        <w:tc>
          <w:tcPr>
            <w:tcW w:w="5628" w:type="dxa"/>
            <w:gridSpan w:val="3"/>
            <w:shd w:val="clear" w:color="auto" w:fill="D9E2F3"/>
            <w:vAlign w:val="center"/>
          </w:tcPr>
          <w:p w14:paraId="3784C24E" w14:textId="77777777" w:rsidR="00990B14" w:rsidRDefault="00000000">
            <w:pPr>
              <w:keepNext/>
              <w:spacing w:before="20" w:after="20"/>
              <w:jc w:val="both"/>
            </w:pPr>
            <w:r>
              <w:rPr>
                <w:b/>
                <w:bCs/>
                <w:i/>
                <w:iCs/>
                <w:sz w:val="18"/>
                <w:szCs w:val="18"/>
              </w:rPr>
              <w:t xml:space="preserve">Producto 10: </w:t>
            </w:r>
            <w:r>
              <w:rPr>
                <w:sz w:val="18"/>
                <w:szCs w:val="18"/>
              </w:rPr>
              <w:t>Papel de trabajo de la extensión de las pruebas con muestreo de atributos y por unidades monetarias o con análisis de la población completa, con el método elegido, sus parámetros y las incorrecciones identificadas o proyectadas</w:t>
            </w:r>
          </w:p>
        </w:tc>
        <w:tc>
          <w:tcPr>
            <w:tcW w:w="1877" w:type="dxa"/>
            <w:shd w:val="clear" w:color="auto" w:fill="D9E2F3"/>
            <w:vAlign w:val="center"/>
          </w:tcPr>
          <w:p w14:paraId="7B1EEA79" w14:textId="77777777" w:rsidR="00990B14" w:rsidRDefault="00000000">
            <w:pPr>
              <w:spacing w:before="20" w:after="20"/>
              <w:jc w:val="center"/>
            </w:pPr>
            <w:r>
              <w:rPr>
                <w:b/>
                <w:bCs/>
                <w:sz w:val="18"/>
                <w:szCs w:val="18"/>
              </w:rPr>
              <w:t>10%</w:t>
            </w:r>
          </w:p>
        </w:tc>
      </w:tr>
      <w:tr w:rsidR="00990B14" w14:paraId="0E4BE023" w14:textId="77777777">
        <w:trPr>
          <w:cantSplit/>
          <w:jc w:val="center"/>
        </w:trPr>
        <w:tc>
          <w:tcPr>
            <w:tcW w:w="1900" w:type="dxa"/>
            <w:vMerge/>
            <w:shd w:val="clear" w:color="auto" w:fill="4472C4"/>
            <w:vAlign w:val="center"/>
          </w:tcPr>
          <w:p w14:paraId="257F2CC9" w14:textId="77777777" w:rsidR="00990B14" w:rsidRDefault="00990B14">
            <w:pPr>
              <w:spacing w:before="20" w:after="20"/>
            </w:pPr>
          </w:p>
        </w:tc>
        <w:tc>
          <w:tcPr>
            <w:tcW w:w="1876" w:type="dxa"/>
            <w:shd w:val="clear" w:color="auto" w:fill="4472C4"/>
            <w:vAlign w:val="center"/>
          </w:tcPr>
          <w:p w14:paraId="1AE5E2E1"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003D8CA3"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5448F3D9"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0DBFB33D" w14:textId="77777777" w:rsidR="00990B14" w:rsidRDefault="00000000">
            <w:pPr>
              <w:keepNext/>
              <w:spacing w:before="20" w:after="20"/>
              <w:jc w:val="center"/>
            </w:pPr>
            <w:r>
              <w:rPr>
                <w:b/>
                <w:bCs/>
                <w:i/>
                <w:iCs/>
                <w:color w:val="FFFFFF"/>
                <w:sz w:val="18"/>
                <w:szCs w:val="18"/>
              </w:rPr>
              <w:t>Destacado (81–100)</w:t>
            </w:r>
          </w:p>
        </w:tc>
      </w:tr>
      <w:tr w:rsidR="00990B14" w14:paraId="626E3940" w14:textId="77777777">
        <w:trPr>
          <w:cantSplit/>
          <w:jc w:val="center"/>
        </w:trPr>
        <w:tc>
          <w:tcPr>
            <w:tcW w:w="1900" w:type="dxa"/>
            <w:vMerge/>
            <w:shd w:val="clear" w:color="auto" w:fill="4472C4"/>
            <w:vAlign w:val="center"/>
          </w:tcPr>
          <w:p w14:paraId="0FE2624E" w14:textId="77777777" w:rsidR="00990B14" w:rsidRDefault="00990B14">
            <w:pPr>
              <w:spacing w:before="20" w:after="20"/>
            </w:pPr>
          </w:p>
        </w:tc>
        <w:tc>
          <w:tcPr>
            <w:tcW w:w="1876" w:type="dxa"/>
            <w:shd w:val="clear" w:color="auto" w:fill="D9E2F3"/>
            <w:vAlign w:val="center"/>
          </w:tcPr>
          <w:p w14:paraId="7AE1F7AA" w14:textId="77777777" w:rsidR="00990B14" w:rsidRDefault="00000000">
            <w:pPr>
              <w:spacing w:before="20" w:after="20"/>
              <w:jc w:val="both"/>
            </w:pPr>
            <w:r>
              <w:rPr>
                <w:sz w:val="18"/>
                <w:szCs w:val="18"/>
              </w:rPr>
              <w:t>Tamaño de la muestra</w:t>
            </w:r>
          </w:p>
        </w:tc>
        <w:tc>
          <w:tcPr>
            <w:tcW w:w="1876" w:type="dxa"/>
            <w:shd w:val="clear" w:color="auto" w:fill="D9E2F3"/>
            <w:vAlign w:val="center"/>
          </w:tcPr>
          <w:p w14:paraId="49E730D7" w14:textId="77777777" w:rsidR="00990B14" w:rsidRDefault="00000000">
            <w:pPr>
              <w:spacing w:before="20" w:after="20"/>
              <w:jc w:val="both"/>
            </w:pPr>
            <w:r>
              <w:rPr>
                <w:sz w:val="18"/>
                <w:szCs w:val="18"/>
              </w:rPr>
              <w:t>Lo calcula con errores.</w:t>
            </w:r>
          </w:p>
        </w:tc>
        <w:tc>
          <w:tcPr>
            <w:tcW w:w="1876" w:type="dxa"/>
            <w:shd w:val="clear" w:color="auto" w:fill="D9E2F3"/>
            <w:vAlign w:val="center"/>
          </w:tcPr>
          <w:p w14:paraId="45497A27" w14:textId="77777777" w:rsidR="00990B14" w:rsidRDefault="00000000">
            <w:pPr>
              <w:spacing w:before="20" w:after="20"/>
              <w:jc w:val="both"/>
            </w:pPr>
            <w:r>
              <w:rPr>
                <w:sz w:val="18"/>
                <w:szCs w:val="18"/>
              </w:rPr>
              <w:t>Determina el tamaño con el método adecuado.</w:t>
            </w:r>
          </w:p>
        </w:tc>
        <w:tc>
          <w:tcPr>
            <w:tcW w:w="1877" w:type="dxa"/>
            <w:shd w:val="clear" w:color="auto" w:fill="D9E2F3"/>
            <w:vAlign w:val="center"/>
          </w:tcPr>
          <w:p w14:paraId="2EE0000A" w14:textId="77777777" w:rsidR="00990B14" w:rsidRDefault="00000000">
            <w:pPr>
              <w:spacing w:before="20" w:after="20"/>
              <w:jc w:val="both"/>
            </w:pPr>
            <w:r>
              <w:rPr>
                <w:sz w:val="18"/>
                <w:szCs w:val="18"/>
              </w:rPr>
              <w:t>Documenta los parámetros con herramientas tecnológicas.</w:t>
            </w:r>
          </w:p>
        </w:tc>
      </w:tr>
      <w:tr w:rsidR="00990B14" w14:paraId="78DB266C" w14:textId="77777777">
        <w:trPr>
          <w:cantSplit/>
          <w:jc w:val="center"/>
        </w:trPr>
        <w:tc>
          <w:tcPr>
            <w:tcW w:w="1900" w:type="dxa"/>
            <w:vMerge/>
            <w:shd w:val="clear" w:color="auto" w:fill="4472C4"/>
            <w:vAlign w:val="center"/>
          </w:tcPr>
          <w:p w14:paraId="3997403D" w14:textId="77777777" w:rsidR="00990B14" w:rsidRDefault="00990B14">
            <w:pPr>
              <w:spacing w:before="20" w:after="20"/>
            </w:pPr>
          </w:p>
        </w:tc>
        <w:tc>
          <w:tcPr>
            <w:tcW w:w="1876" w:type="dxa"/>
            <w:shd w:val="clear" w:color="auto" w:fill="D9E2F3"/>
            <w:vAlign w:val="center"/>
          </w:tcPr>
          <w:p w14:paraId="7A8844E4" w14:textId="77777777" w:rsidR="00990B14" w:rsidRDefault="00000000">
            <w:pPr>
              <w:spacing w:before="20" w:after="20"/>
              <w:jc w:val="both"/>
            </w:pPr>
            <w:r>
              <w:rPr>
                <w:sz w:val="18"/>
                <w:szCs w:val="18"/>
              </w:rPr>
              <w:t>Selección</w:t>
            </w:r>
          </w:p>
        </w:tc>
        <w:tc>
          <w:tcPr>
            <w:tcW w:w="1876" w:type="dxa"/>
            <w:shd w:val="clear" w:color="auto" w:fill="D9E2F3"/>
            <w:vAlign w:val="center"/>
          </w:tcPr>
          <w:p w14:paraId="58C7CBC6" w14:textId="77777777" w:rsidR="00990B14" w:rsidRDefault="00000000">
            <w:pPr>
              <w:spacing w:before="20" w:after="20"/>
              <w:jc w:val="both"/>
            </w:pPr>
            <w:r>
              <w:rPr>
                <w:sz w:val="18"/>
                <w:szCs w:val="18"/>
              </w:rPr>
              <w:t>La selección no es representativa.</w:t>
            </w:r>
          </w:p>
        </w:tc>
        <w:tc>
          <w:tcPr>
            <w:tcW w:w="1876" w:type="dxa"/>
            <w:shd w:val="clear" w:color="auto" w:fill="D9E2F3"/>
            <w:vAlign w:val="center"/>
          </w:tcPr>
          <w:p w14:paraId="03E148F8" w14:textId="77777777" w:rsidR="00990B14" w:rsidRDefault="00000000">
            <w:pPr>
              <w:spacing w:before="20" w:after="20"/>
              <w:jc w:val="both"/>
            </w:pPr>
            <w:r>
              <w:rPr>
                <w:sz w:val="18"/>
                <w:szCs w:val="18"/>
              </w:rPr>
              <w:t>Selecciona las partidas con el criterio definido.</w:t>
            </w:r>
          </w:p>
        </w:tc>
        <w:tc>
          <w:tcPr>
            <w:tcW w:w="1877" w:type="dxa"/>
            <w:shd w:val="clear" w:color="auto" w:fill="D9E2F3"/>
            <w:vAlign w:val="center"/>
          </w:tcPr>
          <w:p w14:paraId="74B903FE" w14:textId="77777777" w:rsidR="00990B14" w:rsidRDefault="00000000">
            <w:pPr>
              <w:spacing w:before="20" w:after="20"/>
              <w:jc w:val="both"/>
            </w:pPr>
            <w:r>
              <w:rPr>
                <w:sz w:val="18"/>
                <w:szCs w:val="18"/>
              </w:rPr>
              <w:t>Justifica la selección de partidas clave.</w:t>
            </w:r>
          </w:p>
        </w:tc>
      </w:tr>
      <w:tr w:rsidR="00990B14" w14:paraId="57967B24" w14:textId="77777777">
        <w:trPr>
          <w:cantSplit/>
          <w:jc w:val="center"/>
        </w:trPr>
        <w:tc>
          <w:tcPr>
            <w:tcW w:w="1900" w:type="dxa"/>
            <w:vMerge/>
            <w:shd w:val="clear" w:color="auto" w:fill="4472C4"/>
            <w:vAlign w:val="center"/>
          </w:tcPr>
          <w:p w14:paraId="0A5E06E2" w14:textId="77777777" w:rsidR="00990B14" w:rsidRDefault="00990B14">
            <w:pPr>
              <w:spacing w:before="20" w:after="20"/>
            </w:pPr>
          </w:p>
        </w:tc>
        <w:tc>
          <w:tcPr>
            <w:tcW w:w="1876" w:type="dxa"/>
            <w:shd w:val="clear" w:color="auto" w:fill="D9E2F3"/>
            <w:vAlign w:val="center"/>
          </w:tcPr>
          <w:p w14:paraId="543AB323" w14:textId="77777777" w:rsidR="00990B14" w:rsidRDefault="00000000">
            <w:pPr>
              <w:spacing w:before="20" w:after="20"/>
              <w:jc w:val="both"/>
            </w:pPr>
            <w:r>
              <w:rPr>
                <w:sz w:val="18"/>
                <w:szCs w:val="18"/>
              </w:rPr>
              <w:t>Proyección</w:t>
            </w:r>
          </w:p>
        </w:tc>
        <w:tc>
          <w:tcPr>
            <w:tcW w:w="1876" w:type="dxa"/>
            <w:shd w:val="clear" w:color="auto" w:fill="D9E2F3"/>
            <w:vAlign w:val="center"/>
          </w:tcPr>
          <w:p w14:paraId="6AF737E7" w14:textId="77777777" w:rsidR="00990B14" w:rsidRDefault="00000000">
            <w:pPr>
              <w:spacing w:before="20" w:after="20"/>
              <w:jc w:val="both"/>
            </w:pPr>
            <w:r>
              <w:rPr>
                <w:sz w:val="18"/>
                <w:szCs w:val="18"/>
              </w:rPr>
              <w:t>No proyecta las incorrecciones.</w:t>
            </w:r>
          </w:p>
        </w:tc>
        <w:tc>
          <w:tcPr>
            <w:tcW w:w="1876" w:type="dxa"/>
            <w:shd w:val="clear" w:color="auto" w:fill="D9E2F3"/>
            <w:vAlign w:val="center"/>
          </w:tcPr>
          <w:p w14:paraId="2928923B" w14:textId="77777777" w:rsidR="00990B14" w:rsidRDefault="00000000">
            <w:pPr>
              <w:spacing w:before="20" w:after="20"/>
              <w:jc w:val="both"/>
            </w:pPr>
            <w:r>
              <w:rPr>
                <w:sz w:val="18"/>
                <w:szCs w:val="18"/>
              </w:rPr>
              <w:t>Proyecta las incorrecciones a la población.</w:t>
            </w:r>
          </w:p>
        </w:tc>
        <w:tc>
          <w:tcPr>
            <w:tcW w:w="1877" w:type="dxa"/>
            <w:shd w:val="clear" w:color="auto" w:fill="D9E2F3"/>
            <w:vAlign w:val="center"/>
          </w:tcPr>
          <w:p w14:paraId="147E97E9" w14:textId="77777777" w:rsidR="00990B14" w:rsidRDefault="00000000">
            <w:pPr>
              <w:spacing w:before="20" w:after="20"/>
              <w:jc w:val="both"/>
            </w:pPr>
            <w:r>
              <w:rPr>
                <w:sz w:val="18"/>
                <w:szCs w:val="18"/>
              </w:rPr>
              <w:t>Evalúa el resultado frente a la incorrección tolerable.</w:t>
            </w:r>
          </w:p>
        </w:tc>
      </w:tr>
      <w:tr w:rsidR="00990B14" w14:paraId="7B3F60F7" w14:textId="77777777">
        <w:trPr>
          <w:cantSplit/>
          <w:jc w:val="center"/>
        </w:trPr>
        <w:tc>
          <w:tcPr>
            <w:tcW w:w="1900" w:type="dxa"/>
            <w:vMerge/>
            <w:shd w:val="clear" w:color="auto" w:fill="4472C4"/>
            <w:vAlign w:val="center"/>
          </w:tcPr>
          <w:p w14:paraId="42FF0871" w14:textId="77777777" w:rsidR="00990B14" w:rsidRDefault="00990B14">
            <w:pPr>
              <w:spacing w:before="20" w:after="20"/>
            </w:pPr>
          </w:p>
        </w:tc>
        <w:tc>
          <w:tcPr>
            <w:tcW w:w="5628" w:type="dxa"/>
            <w:gridSpan w:val="3"/>
            <w:shd w:val="clear" w:color="auto" w:fill="D9E2F3"/>
            <w:vAlign w:val="center"/>
          </w:tcPr>
          <w:p w14:paraId="4CF3B443" w14:textId="77777777" w:rsidR="00990B14" w:rsidRDefault="00000000">
            <w:pPr>
              <w:keepNext/>
              <w:spacing w:before="20" w:after="20"/>
              <w:jc w:val="both"/>
            </w:pPr>
            <w:r>
              <w:rPr>
                <w:b/>
                <w:bCs/>
                <w:i/>
                <w:iCs/>
                <w:sz w:val="18"/>
                <w:szCs w:val="18"/>
              </w:rPr>
              <w:t xml:space="preserve">Producto 11: </w:t>
            </w:r>
            <w:r>
              <w:rPr>
                <w:sz w:val="18"/>
                <w:szCs w:val="18"/>
              </w:rPr>
              <w:t>Papeles de trabajo de las pruebas de controles y de los procedimientos sustantivos de los ciclos de efectivo, de ventas y cobranzas, y de compras y pagos, con índice, referencias cruzadas y marcas de auditoría y sus conclusiones por rubro.</w:t>
            </w:r>
          </w:p>
        </w:tc>
        <w:tc>
          <w:tcPr>
            <w:tcW w:w="1877" w:type="dxa"/>
            <w:shd w:val="clear" w:color="auto" w:fill="D9E2F3"/>
            <w:vAlign w:val="center"/>
          </w:tcPr>
          <w:p w14:paraId="3C5746AE" w14:textId="77777777" w:rsidR="00990B14" w:rsidRDefault="00000000">
            <w:pPr>
              <w:spacing w:before="20" w:after="20"/>
              <w:jc w:val="center"/>
            </w:pPr>
            <w:r>
              <w:rPr>
                <w:b/>
                <w:bCs/>
                <w:sz w:val="18"/>
                <w:szCs w:val="18"/>
              </w:rPr>
              <w:t>10%</w:t>
            </w:r>
          </w:p>
        </w:tc>
      </w:tr>
      <w:tr w:rsidR="00990B14" w14:paraId="5AC6A016" w14:textId="77777777">
        <w:trPr>
          <w:cantSplit/>
          <w:jc w:val="center"/>
        </w:trPr>
        <w:tc>
          <w:tcPr>
            <w:tcW w:w="1900" w:type="dxa"/>
            <w:vMerge/>
            <w:shd w:val="clear" w:color="auto" w:fill="4472C4"/>
            <w:vAlign w:val="center"/>
          </w:tcPr>
          <w:p w14:paraId="4977E92D" w14:textId="77777777" w:rsidR="00990B14" w:rsidRDefault="00990B14">
            <w:pPr>
              <w:spacing w:before="20" w:after="20"/>
            </w:pPr>
          </w:p>
        </w:tc>
        <w:tc>
          <w:tcPr>
            <w:tcW w:w="1876" w:type="dxa"/>
            <w:shd w:val="clear" w:color="auto" w:fill="4472C4"/>
            <w:vAlign w:val="center"/>
          </w:tcPr>
          <w:p w14:paraId="18395085"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69D2CABE"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56B8BF5A"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0891C1DB" w14:textId="77777777" w:rsidR="00990B14" w:rsidRDefault="00000000">
            <w:pPr>
              <w:keepNext/>
              <w:spacing w:before="20" w:after="20"/>
              <w:jc w:val="center"/>
            </w:pPr>
            <w:r>
              <w:rPr>
                <w:b/>
                <w:bCs/>
                <w:i/>
                <w:iCs/>
                <w:color w:val="FFFFFF"/>
                <w:sz w:val="18"/>
                <w:szCs w:val="18"/>
              </w:rPr>
              <w:t>Destacado (81–100)</w:t>
            </w:r>
          </w:p>
        </w:tc>
      </w:tr>
      <w:tr w:rsidR="00990B14" w14:paraId="477486FB" w14:textId="77777777">
        <w:trPr>
          <w:cantSplit/>
          <w:jc w:val="center"/>
        </w:trPr>
        <w:tc>
          <w:tcPr>
            <w:tcW w:w="1900" w:type="dxa"/>
            <w:vMerge/>
            <w:shd w:val="clear" w:color="auto" w:fill="4472C4"/>
            <w:vAlign w:val="center"/>
          </w:tcPr>
          <w:p w14:paraId="10F8484F" w14:textId="77777777" w:rsidR="00990B14" w:rsidRDefault="00990B14">
            <w:pPr>
              <w:spacing w:before="20" w:after="20"/>
            </w:pPr>
          </w:p>
        </w:tc>
        <w:tc>
          <w:tcPr>
            <w:tcW w:w="1876" w:type="dxa"/>
            <w:shd w:val="clear" w:color="auto" w:fill="D9E2F3"/>
            <w:vAlign w:val="center"/>
          </w:tcPr>
          <w:p w14:paraId="1FFAA9C9" w14:textId="77777777" w:rsidR="00990B14" w:rsidRDefault="00000000">
            <w:pPr>
              <w:spacing w:before="20" w:after="20"/>
              <w:jc w:val="both"/>
            </w:pPr>
            <w:r>
              <w:rPr>
                <w:sz w:val="18"/>
                <w:szCs w:val="18"/>
              </w:rPr>
              <w:t>Pruebas de controles</w:t>
            </w:r>
          </w:p>
        </w:tc>
        <w:tc>
          <w:tcPr>
            <w:tcW w:w="1876" w:type="dxa"/>
            <w:shd w:val="clear" w:color="auto" w:fill="D9E2F3"/>
            <w:vAlign w:val="center"/>
          </w:tcPr>
          <w:p w14:paraId="6E504880" w14:textId="77777777" w:rsidR="00990B14" w:rsidRDefault="00000000">
            <w:pPr>
              <w:spacing w:before="20" w:after="20"/>
              <w:jc w:val="both"/>
            </w:pPr>
            <w:r>
              <w:rPr>
                <w:sz w:val="18"/>
                <w:szCs w:val="18"/>
              </w:rPr>
              <w:t>No concluye sobre la eficacia.</w:t>
            </w:r>
          </w:p>
        </w:tc>
        <w:tc>
          <w:tcPr>
            <w:tcW w:w="1876" w:type="dxa"/>
            <w:shd w:val="clear" w:color="auto" w:fill="D9E2F3"/>
            <w:vAlign w:val="center"/>
          </w:tcPr>
          <w:p w14:paraId="18FA5774" w14:textId="77777777" w:rsidR="00990B14" w:rsidRDefault="00000000">
            <w:pPr>
              <w:spacing w:before="20" w:after="20"/>
              <w:jc w:val="both"/>
            </w:pPr>
            <w:r>
              <w:rPr>
                <w:sz w:val="18"/>
                <w:szCs w:val="18"/>
              </w:rPr>
              <w:t>Concluye sobre la eficacia operativa de los controles.</w:t>
            </w:r>
          </w:p>
        </w:tc>
        <w:tc>
          <w:tcPr>
            <w:tcW w:w="1877" w:type="dxa"/>
            <w:shd w:val="clear" w:color="auto" w:fill="D9E2F3"/>
            <w:vAlign w:val="center"/>
          </w:tcPr>
          <w:p w14:paraId="56F9C7D8" w14:textId="77777777" w:rsidR="00990B14" w:rsidRDefault="00000000">
            <w:pPr>
              <w:spacing w:before="20" w:after="20"/>
              <w:jc w:val="both"/>
            </w:pPr>
            <w:r>
              <w:rPr>
                <w:sz w:val="18"/>
                <w:szCs w:val="18"/>
              </w:rPr>
              <w:t>Evalúa el efecto de las desviaciones.</w:t>
            </w:r>
          </w:p>
        </w:tc>
      </w:tr>
      <w:tr w:rsidR="00990B14" w14:paraId="0BE7D288" w14:textId="77777777">
        <w:trPr>
          <w:cantSplit/>
          <w:jc w:val="center"/>
        </w:trPr>
        <w:tc>
          <w:tcPr>
            <w:tcW w:w="1900" w:type="dxa"/>
            <w:vMerge/>
            <w:shd w:val="clear" w:color="auto" w:fill="4472C4"/>
            <w:vAlign w:val="center"/>
          </w:tcPr>
          <w:p w14:paraId="5C6B1908" w14:textId="77777777" w:rsidR="00990B14" w:rsidRDefault="00990B14">
            <w:pPr>
              <w:spacing w:before="20" w:after="20"/>
            </w:pPr>
          </w:p>
        </w:tc>
        <w:tc>
          <w:tcPr>
            <w:tcW w:w="1876" w:type="dxa"/>
            <w:shd w:val="clear" w:color="auto" w:fill="D9E2F3"/>
            <w:vAlign w:val="center"/>
          </w:tcPr>
          <w:p w14:paraId="13AC3D8C" w14:textId="77777777" w:rsidR="00990B14" w:rsidRDefault="00000000">
            <w:pPr>
              <w:spacing w:before="20" w:after="20"/>
              <w:jc w:val="both"/>
            </w:pPr>
            <w:r>
              <w:rPr>
                <w:sz w:val="18"/>
                <w:szCs w:val="18"/>
              </w:rPr>
              <w:t>Procedimientos sustantivos</w:t>
            </w:r>
          </w:p>
        </w:tc>
        <w:tc>
          <w:tcPr>
            <w:tcW w:w="1876" w:type="dxa"/>
            <w:shd w:val="clear" w:color="auto" w:fill="D9E2F3"/>
            <w:vAlign w:val="center"/>
          </w:tcPr>
          <w:p w14:paraId="51C1DE14" w14:textId="77777777" w:rsidR="00990B14" w:rsidRDefault="00000000">
            <w:pPr>
              <w:spacing w:before="20" w:after="20"/>
              <w:jc w:val="both"/>
            </w:pPr>
            <w:r>
              <w:rPr>
                <w:sz w:val="18"/>
                <w:szCs w:val="18"/>
              </w:rPr>
              <w:t>Son incompletos.</w:t>
            </w:r>
          </w:p>
        </w:tc>
        <w:tc>
          <w:tcPr>
            <w:tcW w:w="1876" w:type="dxa"/>
            <w:shd w:val="clear" w:color="auto" w:fill="D9E2F3"/>
            <w:vAlign w:val="center"/>
          </w:tcPr>
          <w:p w14:paraId="15718447" w14:textId="77777777" w:rsidR="00990B14" w:rsidRDefault="00000000">
            <w:pPr>
              <w:spacing w:before="20" w:after="20"/>
              <w:jc w:val="both"/>
            </w:pPr>
            <w:r>
              <w:rPr>
                <w:sz w:val="18"/>
                <w:szCs w:val="18"/>
              </w:rPr>
              <w:t>Ejecuta analíticos, confirmaciones y pruebas de detalle.</w:t>
            </w:r>
          </w:p>
        </w:tc>
        <w:tc>
          <w:tcPr>
            <w:tcW w:w="1877" w:type="dxa"/>
            <w:shd w:val="clear" w:color="auto" w:fill="D9E2F3"/>
            <w:vAlign w:val="center"/>
          </w:tcPr>
          <w:p w14:paraId="3EEC578F" w14:textId="77777777" w:rsidR="00990B14" w:rsidRDefault="00000000">
            <w:pPr>
              <w:spacing w:before="20" w:after="20"/>
              <w:jc w:val="both"/>
            </w:pPr>
            <w:r>
              <w:rPr>
                <w:sz w:val="18"/>
                <w:szCs w:val="18"/>
              </w:rPr>
              <w:t>Aplica procedimientos alternativos a las respuestas no recibidas.</w:t>
            </w:r>
          </w:p>
        </w:tc>
      </w:tr>
      <w:tr w:rsidR="00990B14" w14:paraId="34176C75" w14:textId="77777777">
        <w:trPr>
          <w:cantSplit/>
          <w:jc w:val="center"/>
        </w:trPr>
        <w:tc>
          <w:tcPr>
            <w:tcW w:w="1900" w:type="dxa"/>
            <w:vMerge/>
            <w:shd w:val="clear" w:color="auto" w:fill="4472C4"/>
            <w:vAlign w:val="center"/>
          </w:tcPr>
          <w:p w14:paraId="57846D1E" w14:textId="77777777" w:rsidR="00990B14" w:rsidRDefault="00990B14">
            <w:pPr>
              <w:spacing w:before="20" w:after="20"/>
            </w:pPr>
          </w:p>
        </w:tc>
        <w:tc>
          <w:tcPr>
            <w:tcW w:w="1876" w:type="dxa"/>
            <w:shd w:val="clear" w:color="auto" w:fill="D9E2F3"/>
            <w:vAlign w:val="center"/>
          </w:tcPr>
          <w:p w14:paraId="0E5AFD34" w14:textId="77777777" w:rsidR="00990B14" w:rsidRDefault="00000000">
            <w:pPr>
              <w:spacing w:before="20" w:after="20"/>
              <w:jc w:val="both"/>
            </w:pPr>
            <w:r>
              <w:rPr>
                <w:sz w:val="18"/>
                <w:szCs w:val="18"/>
              </w:rPr>
              <w:t>Documentación</w:t>
            </w:r>
          </w:p>
        </w:tc>
        <w:tc>
          <w:tcPr>
            <w:tcW w:w="1876" w:type="dxa"/>
            <w:shd w:val="clear" w:color="auto" w:fill="D9E2F3"/>
            <w:vAlign w:val="center"/>
          </w:tcPr>
          <w:p w14:paraId="53B07D8B" w14:textId="77777777" w:rsidR="00990B14" w:rsidRDefault="00000000">
            <w:pPr>
              <w:spacing w:before="20" w:after="20"/>
              <w:jc w:val="both"/>
            </w:pPr>
            <w:r>
              <w:rPr>
                <w:sz w:val="18"/>
                <w:szCs w:val="18"/>
              </w:rPr>
              <w:t>Carece de referencias.</w:t>
            </w:r>
          </w:p>
        </w:tc>
        <w:tc>
          <w:tcPr>
            <w:tcW w:w="1876" w:type="dxa"/>
            <w:shd w:val="clear" w:color="auto" w:fill="D9E2F3"/>
            <w:vAlign w:val="center"/>
          </w:tcPr>
          <w:p w14:paraId="34CD2C8A" w14:textId="77777777" w:rsidR="00990B14" w:rsidRDefault="00000000">
            <w:pPr>
              <w:spacing w:before="20" w:after="20"/>
              <w:jc w:val="both"/>
            </w:pPr>
            <w:r>
              <w:rPr>
                <w:sz w:val="18"/>
                <w:szCs w:val="18"/>
              </w:rPr>
              <w:t>Tiene índice, referencias cruzadas y marcas.</w:t>
            </w:r>
          </w:p>
        </w:tc>
        <w:tc>
          <w:tcPr>
            <w:tcW w:w="1877" w:type="dxa"/>
            <w:shd w:val="clear" w:color="auto" w:fill="D9E2F3"/>
            <w:vAlign w:val="center"/>
          </w:tcPr>
          <w:p w14:paraId="3E328B51" w14:textId="77777777" w:rsidR="00990B14" w:rsidRDefault="00000000">
            <w:pPr>
              <w:spacing w:before="20" w:after="20"/>
              <w:jc w:val="both"/>
            </w:pPr>
            <w:r>
              <w:rPr>
                <w:sz w:val="18"/>
                <w:szCs w:val="18"/>
              </w:rPr>
              <w:t>Un auditor experimentado comprende el trabajo realizado.</w:t>
            </w:r>
          </w:p>
        </w:tc>
      </w:tr>
      <w:tr w:rsidR="00990B14" w14:paraId="2E6EA6D2" w14:textId="77777777">
        <w:trPr>
          <w:cantSplit/>
          <w:jc w:val="center"/>
        </w:trPr>
        <w:tc>
          <w:tcPr>
            <w:tcW w:w="1900" w:type="dxa"/>
            <w:vMerge/>
            <w:shd w:val="clear" w:color="auto" w:fill="4472C4"/>
            <w:vAlign w:val="center"/>
          </w:tcPr>
          <w:p w14:paraId="01A889AB" w14:textId="77777777" w:rsidR="00990B14" w:rsidRDefault="00990B14">
            <w:pPr>
              <w:spacing w:before="20" w:after="20"/>
            </w:pPr>
          </w:p>
        </w:tc>
        <w:tc>
          <w:tcPr>
            <w:tcW w:w="5628" w:type="dxa"/>
            <w:gridSpan w:val="3"/>
            <w:shd w:val="clear" w:color="auto" w:fill="D9E2F3"/>
            <w:vAlign w:val="center"/>
          </w:tcPr>
          <w:p w14:paraId="39B60B56" w14:textId="77777777" w:rsidR="00990B14" w:rsidRDefault="00000000">
            <w:pPr>
              <w:keepNext/>
              <w:spacing w:before="20" w:after="20"/>
              <w:jc w:val="both"/>
            </w:pPr>
            <w:r>
              <w:rPr>
                <w:b/>
                <w:bCs/>
                <w:i/>
                <w:iCs/>
                <w:sz w:val="18"/>
                <w:szCs w:val="18"/>
              </w:rPr>
              <w:t xml:space="preserve">Producto 12: </w:t>
            </w:r>
            <w:r>
              <w:rPr>
                <w:sz w:val="18"/>
                <w:szCs w:val="18"/>
              </w:rPr>
              <w:t>Papeles de trabajo de los procedimientos de auditoría de inventarios, activos fijos e intangibles, préstamos bancarios y otros rubros no rutinarios, con la observación del recuento físico y sus conclusiones por rubro.</w:t>
            </w:r>
          </w:p>
        </w:tc>
        <w:tc>
          <w:tcPr>
            <w:tcW w:w="1877" w:type="dxa"/>
            <w:shd w:val="clear" w:color="auto" w:fill="D9E2F3"/>
            <w:vAlign w:val="center"/>
          </w:tcPr>
          <w:p w14:paraId="17DDAE26" w14:textId="77777777" w:rsidR="00990B14" w:rsidRDefault="00000000">
            <w:pPr>
              <w:spacing w:before="20" w:after="20"/>
              <w:jc w:val="center"/>
            </w:pPr>
            <w:r>
              <w:rPr>
                <w:b/>
                <w:bCs/>
                <w:sz w:val="18"/>
                <w:szCs w:val="18"/>
              </w:rPr>
              <w:t>10%</w:t>
            </w:r>
          </w:p>
        </w:tc>
      </w:tr>
      <w:tr w:rsidR="00990B14" w14:paraId="29B129F0" w14:textId="77777777">
        <w:trPr>
          <w:cantSplit/>
          <w:jc w:val="center"/>
        </w:trPr>
        <w:tc>
          <w:tcPr>
            <w:tcW w:w="1900" w:type="dxa"/>
            <w:vMerge/>
            <w:shd w:val="clear" w:color="auto" w:fill="4472C4"/>
            <w:vAlign w:val="center"/>
          </w:tcPr>
          <w:p w14:paraId="660296E9" w14:textId="77777777" w:rsidR="00990B14" w:rsidRDefault="00990B14">
            <w:pPr>
              <w:spacing w:before="20" w:after="20"/>
            </w:pPr>
          </w:p>
        </w:tc>
        <w:tc>
          <w:tcPr>
            <w:tcW w:w="1876" w:type="dxa"/>
            <w:shd w:val="clear" w:color="auto" w:fill="4472C4"/>
            <w:vAlign w:val="center"/>
          </w:tcPr>
          <w:p w14:paraId="0C645392"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7FE6C33B"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52DC9B4E"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743ED653" w14:textId="77777777" w:rsidR="00990B14" w:rsidRDefault="00000000">
            <w:pPr>
              <w:keepNext/>
              <w:spacing w:before="20" w:after="20"/>
              <w:jc w:val="center"/>
            </w:pPr>
            <w:r>
              <w:rPr>
                <w:b/>
                <w:bCs/>
                <w:i/>
                <w:iCs/>
                <w:color w:val="FFFFFF"/>
                <w:sz w:val="18"/>
                <w:szCs w:val="18"/>
              </w:rPr>
              <w:t>Destacado (81–100)</w:t>
            </w:r>
          </w:p>
        </w:tc>
      </w:tr>
      <w:tr w:rsidR="00990B14" w14:paraId="6F493617" w14:textId="77777777">
        <w:trPr>
          <w:cantSplit/>
          <w:jc w:val="center"/>
        </w:trPr>
        <w:tc>
          <w:tcPr>
            <w:tcW w:w="1900" w:type="dxa"/>
            <w:vMerge/>
            <w:shd w:val="clear" w:color="auto" w:fill="4472C4"/>
            <w:vAlign w:val="center"/>
          </w:tcPr>
          <w:p w14:paraId="0CA2925D" w14:textId="77777777" w:rsidR="00990B14" w:rsidRDefault="00990B14">
            <w:pPr>
              <w:spacing w:before="20" w:after="20"/>
            </w:pPr>
          </w:p>
        </w:tc>
        <w:tc>
          <w:tcPr>
            <w:tcW w:w="1876" w:type="dxa"/>
            <w:shd w:val="clear" w:color="auto" w:fill="D9E2F3"/>
            <w:vAlign w:val="center"/>
          </w:tcPr>
          <w:p w14:paraId="53D5B9C6" w14:textId="77777777" w:rsidR="00990B14" w:rsidRDefault="00000000">
            <w:pPr>
              <w:spacing w:before="20" w:after="20"/>
              <w:jc w:val="both"/>
            </w:pPr>
            <w:r>
              <w:rPr>
                <w:sz w:val="18"/>
                <w:szCs w:val="18"/>
              </w:rPr>
              <w:t>Inventarios</w:t>
            </w:r>
          </w:p>
        </w:tc>
        <w:tc>
          <w:tcPr>
            <w:tcW w:w="1876" w:type="dxa"/>
            <w:shd w:val="clear" w:color="auto" w:fill="D9E2F3"/>
            <w:vAlign w:val="center"/>
          </w:tcPr>
          <w:p w14:paraId="4944BF6A" w14:textId="77777777" w:rsidR="00990B14" w:rsidRDefault="00000000">
            <w:pPr>
              <w:spacing w:before="20" w:after="20"/>
              <w:jc w:val="both"/>
            </w:pPr>
            <w:r>
              <w:rPr>
                <w:sz w:val="18"/>
                <w:szCs w:val="18"/>
              </w:rPr>
              <w:t>No observa el recuento.</w:t>
            </w:r>
          </w:p>
        </w:tc>
        <w:tc>
          <w:tcPr>
            <w:tcW w:w="1876" w:type="dxa"/>
            <w:shd w:val="clear" w:color="auto" w:fill="D9E2F3"/>
            <w:vAlign w:val="center"/>
          </w:tcPr>
          <w:p w14:paraId="6D702138" w14:textId="77777777" w:rsidR="00990B14" w:rsidRDefault="00000000">
            <w:pPr>
              <w:spacing w:before="20" w:after="20"/>
              <w:jc w:val="both"/>
            </w:pPr>
            <w:r>
              <w:rPr>
                <w:sz w:val="18"/>
                <w:szCs w:val="18"/>
              </w:rPr>
              <w:t>Documenta la observación del recuento físico.</w:t>
            </w:r>
          </w:p>
        </w:tc>
        <w:tc>
          <w:tcPr>
            <w:tcW w:w="1877" w:type="dxa"/>
            <w:shd w:val="clear" w:color="auto" w:fill="D9E2F3"/>
            <w:vAlign w:val="center"/>
          </w:tcPr>
          <w:p w14:paraId="01B747C6" w14:textId="77777777" w:rsidR="00990B14" w:rsidRDefault="00000000">
            <w:pPr>
              <w:spacing w:before="20" w:after="20"/>
              <w:jc w:val="both"/>
            </w:pPr>
            <w:r>
              <w:rPr>
                <w:sz w:val="18"/>
                <w:szCs w:val="18"/>
              </w:rPr>
              <w:t>Evalúa la valuación de los inventarios.</w:t>
            </w:r>
          </w:p>
        </w:tc>
      </w:tr>
      <w:tr w:rsidR="00990B14" w14:paraId="5E9CE225" w14:textId="77777777">
        <w:trPr>
          <w:cantSplit/>
          <w:jc w:val="center"/>
        </w:trPr>
        <w:tc>
          <w:tcPr>
            <w:tcW w:w="1900" w:type="dxa"/>
            <w:vMerge/>
            <w:shd w:val="clear" w:color="auto" w:fill="4472C4"/>
            <w:vAlign w:val="center"/>
          </w:tcPr>
          <w:p w14:paraId="66AD1547" w14:textId="77777777" w:rsidR="00990B14" w:rsidRDefault="00990B14">
            <w:pPr>
              <w:spacing w:before="20" w:after="20"/>
            </w:pPr>
          </w:p>
        </w:tc>
        <w:tc>
          <w:tcPr>
            <w:tcW w:w="1876" w:type="dxa"/>
            <w:shd w:val="clear" w:color="auto" w:fill="D9E2F3"/>
            <w:vAlign w:val="center"/>
          </w:tcPr>
          <w:p w14:paraId="19163E8E" w14:textId="77777777" w:rsidR="00990B14" w:rsidRDefault="00000000">
            <w:pPr>
              <w:spacing w:before="20" w:after="20"/>
              <w:jc w:val="both"/>
            </w:pPr>
            <w:r>
              <w:rPr>
                <w:sz w:val="18"/>
                <w:szCs w:val="18"/>
              </w:rPr>
              <w:t>Activos fijos y préstamos</w:t>
            </w:r>
          </w:p>
        </w:tc>
        <w:tc>
          <w:tcPr>
            <w:tcW w:w="1876" w:type="dxa"/>
            <w:shd w:val="clear" w:color="auto" w:fill="D9E2F3"/>
            <w:vAlign w:val="center"/>
          </w:tcPr>
          <w:p w14:paraId="056A876F" w14:textId="77777777" w:rsidR="00990B14" w:rsidRDefault="00000000">
            <w:pPr>
              <w:spacing w:before="20" w:after="20"/>
              <w:jc w:val="both"/>
            </w:pPr>
            <w:r>
              <w:rPr>
                <w:sz w:val="18"/>
                <w:szCs w:val="18"/>
              </w:rPr>
              <w:t>Omite verificaciones.</w:t>
            </w:r>
          </w:p>
        </w:tc>
        <w:tc>
          <w:tcPr>
            <w:tcW w:w="1876" w:type="dxa"/>
            <w:shd w:val="clear" w:color="auto" w:fill="D9E2F3"/>
            <w:vAlign w:val="center"/>
          </w:tcPr>
          <w:p w14:paraId="62DA697D" w14:textId="77777777" w:rsidR="00990B14" w:rsidRDefault="00000000">
            <w:pPr>
              <w:spacing w:before="20" w:after="20"/>
              <w:jc w:val="both"/>
            </w:pPr>
            <w:r>
              <w:rPr>
                <w:sz w:val="18"/>
                <w:szCs w:val="18"/>
              </w:rPr>
              <w:t>Verifica existencia, valuación y presentación.</w:t>
            </w:r>
          </w:p>
        </w:tc>
        <w:tc>
          <w:tcPr>
            <w:tcW w:w="1877" w:type="dxa"/>
            <w:shd w:val="clear" w:color="auto" w:fill="D9E2F3"/>
            <w:vAlign w:val="center"/>
          </w:tcPr>
          <w:p w14:paraId="700DDB24" w14:textId="77777777" w:rsidR="00990B14" w:rsidRDefault="00000000">
            <w:pPr>
              <w:spacing w:before="20" w:after="20"/>
              <w:jc w:val="both"/>
            </w:pPr>
            <w:r>
              <w:rPr>
                <w:sz w:val="18"/>
                <w:szCs w:val="18"/>
              </w:rPr>
              <w:t>Recalcula depreciaciones e intereses.</w:t>
            </w:r>
          </w:p>
        </w:tc>
      </w:tr>
      <w:tr w:rsidR="00990B14" w14:paraId="27D200CE" w14:textId="77777777">
        <w:trPr>
          <w:cantSplit/>
          <w:jc w:val="center"/>
        </w:trPr>
        <w:tc>
          <w:tcPr>
            <w:tcW w:w="1900" w:type="dxa"/>
            <w:vMerge/>
            <w:shd w:val="clear" w:color="auto" w:fill="4472C4"/>
            <w:vAlign w:val="center"/>
          </w:tcPr>
          <w:p w14:paraId="439C9F33" w14:textId="77777777" w:rsidR="00990B14" w:rsidRDefault="00990B14">
            <w:pPr>
              <w:spacing w:before="20" w:after="20"/>
            </w:pPr>
          </w:p>
        </w:tc>
        <w:tc>
          <w:tcPr>
            <w:tcW w:w="1876" w:type="dxa"/>
            <w:shd w:val="clear" w:color="auto" w:fill="D9E2F3"/>
            <w:vAlign w:val="center"/>
          </w:tcPr>
          <w:p w14:paraId="6A9447BC" w14:textId="77777777" w:rsidR="00990B14" w:rsidRDefault="00000000">
            <w:pPr>
              <w:spacing w:before="20" w:after="20"/>
              <w:jc w:val="both"/>
            </w:pPr>
            <w:r>
              <w:rPr>
                <w:sz w:val="18"/>
                <w:szCs w:val="18"/>
              </w:rPr>
              <w:t>Conclusión por rubro</w:t>
            </w:r>
          </w:p>
        </w:tc>
        <w:tc>
          <w:tcPr>
            <w:tcW w:w="1876" w:type="dxa"/>
            <w:shd w:val="clear" w:color="auto" w:fill="D9E2F3"/>
            <w:vAlign w:val="center"/>
          </w:tcPr>
          <w:p w14:paraId="5590D9D4" w14:textId="77777777" w:rsidR="00990B14" w:rsidRDefault="00000000">
            <w:pPr>
              <w:spacing w:before="20" w:after="20"/>
              <w:jc w:val="both"/>
            </w:pPr>
            <w:r>
              <w:rPr>
                <w:sz w:val="18"/>
                <w:szCs w:val="18"/>
              </w:rPr>
              <w:t>No concluye.</w:t>
            </w:r>
          </w:p>
        </w:tc>
        <w:tc>
          <w:tcPr>
            <w:tcW w:w="1876" w:type="dxa"/>
            <w:shd w:val="clear" w:color="auto" w:fill="D9E2F3"/>
            <w:vAlign w:val="center"/>
          </w:tcPr>
          <w:p w14:paraId="31016E63" w14:textId="77777777" w:rsidR="00990B14" w:rsidRDefault="00000000">
            <w:pPr>
              <w:spacing w:before="20" w:after="20"/>
              <w:jc w:val="both"/>
            </w:pPr>
            <w:r>
              <w:rPr>
                <w:sz w:val="18"/>
                <w:szCs w:val="18"/>
              </w:rPr>
              <w:t>Concluye sobre cada rubro.</w:t>
            </w:r>
          </w:p>
        </w:tc>
        <w:tc>
          <w:tcPr>
            <w:tcW w:w="1877" w:type="dxa"/>
            <w:shd w:val="clear" w:color="auto" w:fill="D9E2F3"/>
            <w:vAlign w:val="center"/>
          </w:tcPr>
          <w:p w14:paraId="1EF493AC" w14:textId="77777777" w:rsidR="00990B14" w:rsidRDefault="00000000">
            <w:pPr>
              <w:spacing w:before="20" w:after="20"/>
              <w:jc w:val="both"/>
            </w:pPr>
            <w:r>
              <w:rPr>
                <w:sz w:val="18"/>
                <w:szCs w:val="18"/>
              </w:rPr>
              <w:t>Identifica incorrecciones y propone ajustes.</w:t>
            </w:r>
          </w:p>
        </w:tc>
      </w:tr>
      <w:tr w:rsidR="00990B14" w14:paraId="3EF57D5B" w14:textId="77777777">
        <w:trPr>
          <w:cantSplit/>
          <w:jc w:val="center"/>
        </w:trPr>
        <w:tc>
          <w:tcPr>
            <w:tcW w:w="1900" w:type="dxa"/>
            <w:vMerge/>
            <w:shd w:val="clear" w:color="auto" w:fill="4472C4"/>
            <w:vAlign w:val="center"/>
          </w:tcPr>
          <w:p w14:paraId="3E75B813" w14:textId="77777777" w:rsidR="00990B14" w:rsidRDefault="00990B14">
            <w:pPr>
              <w:spacing w:before="20" w:after="20"/>
            </w:pPr>
          </w:p>
        </w:tc>
        <w:tc>
          <w:tcPr>
            <w:tcW w:w="5628" w:type="dxa"/>
            <w:gridSpan w:val="3"/>
            <w:shd w:val="clear" w:color="auto" w:fill="D9E2F3"/>
            <w:vAlign w:val="center"/>
          </w:tcPr>
          <w:p w14:paraId="4523978E" w14:textId="77777777" w:rsidR="00990B14" w:rsidRDefault="00000000">
            <w:pPr>
              <w:keepNext/>
              <w:spacing w:before="20" w:after="20"/>
              <w:jc w:val="both"/>
            </w:pPr>
            <w:r>
              <w:rPr>
                <w:b/>
                <w:bCs/>
                <w:i/>
                <w:iCs/>
                <w:sz w:val="18"/>
                <w:szCs w:val="18"/>
              </w:rPr>
              <w:t xml:space="preserve">Producto 13: </w:t>
            </w:r>
            <w:r>
              <w:rPr>
                <w:sz w:val="18"/>
                <w:szCs w:val="18"/>
              </w:rPr>
              <w:t>Papel de trabajo de resumen de incorrecciones no corregidas y de hallazgos del caso práctico, con su efecto frente a la materialidad y las conclusiones sobre la suficiencia de la evidencia y la empresa en funcionamiento.</w:t>
            </w:r>
          </w:p>
        </w:tc>
        <w:tc>
          <w:tcPr>
            <w:tcW w:w="1877" w:type="dxa"/>
            <w:shd w:val="clear" w:color="auto" w:fill="D9E2F3"/>
            <w:vAlign w:val="center"/>
          </w:tcPr>
          <w:p w14:paraId="0179F696" w14:textId="77777777" w:rsidR="00990B14" w:rsidRDefault="00000000">
            <w:pPr>
              <w:spacing w:before="20" w:after="20"/>
              <w:jc w:val="center"/>
            </w:pPr>
            <w:r>
              <w:rPr>
                <w:b/>
                <w:bCs/>
                <w:sz w:val="18"/>
                <w:szCs w:val="18"/>
              </w:rPr>
              <w:t>5%</w:t>
            </w:r>
          </w:p>
        </w:tc>
      </w:tr>
      <w:tr w:rsidR="00990B14" w14:paraId="63FDDD01" w14:textId="77777777">
        <w:trPr>
          <w:cantSplit/>
          <w:jc w:val="center"/>
        </w:trPr>
        <w:tc>
          <w:tcPr>
            <w:tcW w:w="1900" w:type="dxa"/>
            <w:vMerge/>
            <w:shd w:val="clear" w:color="auto" w:fill="4472C4"/>
            <w:vAlign w:val="center"/>
          </w:tcPr>
          <w:p w14:paraId="6AD6F3FC" w14:textId="77777777" w:rsidR="00990B14" w:rsidRDefault="00990B14">
            <w:pPr>
              <w:spacing w:before="20" w:after="20"/>
            </w:pPr>
          </w:p>
        </w:tc>
        <w:tc>
          <w:tcPr>
            <w:tcW w:w="1876" w:type="dxa"/>
            <w:shd w:val="clear" w:color="auto" w:fill="4472C4"/>
            <w:vAlign w:val="center"/>
          </w:tcPr>
          <w:p w14:paraId="535AED60"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62516C31"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68B0785A"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55060BC1" w14:textId="77777777" w:rsidR="00990B14" w:rsidRDefault="00000000">
            <w:pPr>
              <w:keepNext/>
              <w:spacing w:before="20" w:after="20"/>
              <w:jc w:val="center"/>
            </w:pPr>
            <w:r>
              <w:rPr>
                <w:b/>
                <w:bCs/>
                <w:i/>
                <w:iCs/>
                <w:color w:val="FFFFFF"/>
                <w:sz w:val="18"/>
                <w:szCs w:val="18"/>
              </w:rPr>
              <w:t>Destacado (81–100)</w:t>
            </w:r>
          </w:p>
        </w:tc>
      </w:tr>
      <w:tr w:rsidR="00990B14" w14:paraId="376A75A8" w14:textId="77777777">
        <w:trPr>
          <w:cantSplit/>
          <w:jc w:val="center"/>
        </w:trPr>
        <w:tc>
          <w:tcPr>
            <w:tcW w:w="1900" w:type="dxa"/>
            <w:vMerge/>
            <w:shd w:val="clear" w:color="auto" w:fill="4472C4"/>
            <w:vAlign w:val="center"/>
          </w:tcPr>
          <w:p w14:paraId="1D144CCD" w14:textId="77777777" w:rsidR="00990B14" w:rsidRDefault="00990B14">
            <w:pPr>
              <w:spacing w:before="20" w:after="20"/>
            </w:pPr>
          </w:p>
        </w:tc>
        <w:tc>
          <w:tcPr>
            <w:tcW w:w="1876" w:type="dxa"/>
            <w:shd w:val="clear" w:color="auto" w:fill="D9E2F3"/>
            <w:vAlign w:val="center"/>
          </w:tcPr>
          <w:p w14:paraId="2ED31B5B" w14:textId="77777777" w:rsidR="00990B14" w:rsidRDefault="00000000">
            <w:pPr>
              <w:spacing w:before="20" w:after="20"/>
              <w:jc w:val="both"/>
            </w:pPr>
            <w:r>
              <w:rPr>
                <w:sz w:val="18"/>
                <w:szCs w:val="18"/>
              </w:rPr>
              <w:t>Registro de incorrecciones</w:t>
            </w:r>
          </w:p>
        </w:tc>
        <w:tc>
          <w:tcPr>
            <w:tcW w:w="1876" w:type="dxa"/>
            <w:shd w:val="clear" w:color="auto" w:fill="D9E2F3"/>
            <w:vAlign w:val="center"/>
          </w:tcPr>
          <w:p w14:paraId="73CD4573" w14:textId="77777777" w:rsidR="00990B14" w:rsidRDefault="00000000">
            <w:pPr>
              <w:spacing w:before="20" w:after="20"/>
              <w:jc w:val="both"/>
            </w:pPr>
            <w:r>
              <w:rPr>
                <w:sz w:val="18"/>
                <w:szCs w:val="18"/>
              </w:rPr>
              <w:t>Omite incorrecciones.</w:t>
            </w:r>
          </w:p>
        </w:tc>
        <w:tc>
          <w:tcPr>
            <w:tcW w:w="1876" w:type="dxa"/>
            <w:shd w:val="clear" w:color="auto" w:fill="D9E2F3"/>
            <w:vAlign w:val="center"/>
          </w:tcPr>
          <w:p w14:paraId="24EE535A" w14:textId="77777777" w:rsidR="00990B14" w:rsidRDefault="00000000">
            <w:pPr>
              <w:spacing w:before="20" w:after="20"/>
              <w:jc w:val="both"/>
            </w:pPr>
            <w:r>
              <w:rPr>
                <w:sz w:val="18"/>
                <w:szCs w:val="18"/>
              </w:rPr>
              <w:t>Registra las incorrecciones detectadas.</w:t>
            </w:r>
          </w:p>
        </w:tc>
        <w:tc>
          <w:tcPr>
            <w:tcW w:w="1877" w:type="dxa"/>
            <w:shd w:val="clear" w:color="auto" w:fill="D9E2F3"/>
            <w:vAlign w:val="center"/>
          </w:tcPr>
          <w:p w14:paraId="66005FDC" w14:textId="77777777" w:rsidR="00990B14" w:rsidRDefault="00000000">
            <w:pPr>
              <w:spacing w:before="20" w:after="20"/>
              <w:jc w:val="both"/>
            </w:pPr>
            <w:r>
              <w:rPr>
                <w:sz w:val="18"/>
                <w:szCs w:val="18"/>
              </w:rPr>
              <w:t>Las clasifica en de hecho, de juicio y proyectadas.</w:t>
            </w:r>
          </w:p>
        </w:tc>
      </w:tr>
      <w:tr w:rsidR="00990B14" w14:paraId="7A202A43" w14:textId="77777777">
        <w:trPr>
          <w:cantSplit/>
          <w:jc w:val="center"/>
        </w:trPr>
        <w:tc>
          <w:tcPr>
            <w:tcW w:w="1900" w:type="dxa"/>
            <w:vMerge/>
            <w:shd w:val="clear" w:color="auto" w:fill="4472C4"/>
            <w:vAlign w:val="center"/>
          </w:tcPr>
          <w:p w14:paraId="0A3075BE" w14:textId="77777777" w:rsidR="00990B14" w:rsidRDefault="00990B14">
            <w:pPr>
              <w:spacing w:before="20" w:after="20"/>
            </w:pPr>
          </w:p>
        </w:tc>
        <w:tc>
          <w:tcPr>
            <w:tcW w:w="1876" w:type="dxa"/>
            <w:shd w:val="clear" w:color="auto" w:fill="D9E2F3"/>
            <w:vAlign w:val="center"/>
          </w:tcPr>
          <w:p w14:paraId="0021A6FC" w14:textId="77777777" w:rsidR="00990B14" w:rsidRDefault="00000000">
            <w:pPr>
              <w:spacing w:before="20" w:after="20"/>
              <w:jc w:val="both"/>
            </w:pPr>
            <w:r>
              <w:rPr>
                <w:sz w:val="18"/>
                <w:szCs w:val="18"/>
              </w:rPr>
              <w:t>Efecto frente a la materialidad</w:t>
            </w:r>
          </w:p>
        </w:tc>
        <w:tc>
          <w:tcPr>
            <w:tcW w:w="1876" w:type="dxa"/>
            <w:shd w:val="clear" w:color="auto" w:fill="D9E2F3"/>
            <w:vAlign w:val="center"/>
          </w:tcPr>
          <w:p w14:paraId="260FC46D" w14:textId="77777777" w:rsidR="00990B14" w:rsidRDefault="00000000">
            <w:pPr>
              <w:spacing w:before="20" w:after="20"/>
              <w:jc w:val="both"/>
            </w:pPr>
            <w:r>
              <w:rPr>
                <w:sz w:val="18"/>
                <w:szCs w:val="18"/>
              </w:rPr>
              <w:t>No compara con la materialidad.</w:t>
            </w:r>
          </w:p>
        </w:tc>
        <w:tc>
          <w:tcPr>
            <w:tcW w:w="1876" w:type="dxa"/>
            <w:shd w:val="clear" w:color="auto" w:fill="D9E2F3"/>
            <w:vAlign w:val="center"/>
          </w:tcPr>
          <w:p w14:paraId="45EF49E3" w14:textId="77777777" w:rsidR="00990B14" w:rsidRDefault="00000000">
            <w:pPr>
              <w:spacing w:before="20" w:after="20"/>
              <w:jc w:val="both"/>
            </w:pPr>
            <w:r>
              <w:rPr>
                <w:sz w:val="18"/>
                <w:szCs w:val="18"/>
              </w:rPr>
              <w:t>Evalúa el efecto individual y acumulado.</w:t>
            </w:r>
          </w:p>
        </w:tc>
        <w:tc>
          <w:tcPr>
            <w:tcW w:w="1877" w:type="dxa"/>
            <w:shd w:val="clear" w:color="auto" w:fill="D9E2F3"/>
            <w:vAlign w:val="center"/>
          </w:tcPr>
          <w:p w14:paraId="07F26BD9" w14:textId="77777777" w:rsidR="00990B14" w:rsidRDefault="00000000">
            <w:pPr>
              <w:spacing w:before="20" w:after="20"/>
              <w:jc w:val="both"/>
            </w:pPr>
            <w:r>
              <w:rPr>
                <w:sz w:val="18"/>
                <w:szCs w:val="18"/>
              </w:rPr>
              <w:t>Considera factores cualitativos.</w:t>
            </w:r>
          </w:p>
        </w:tc>
      </w:tr>
      <w:tr w:rsidR="00990B14" w14:paraId="66161D47" w14:textId="77777777">
        <w:trPr>
          <w:cantSplit/>
          <w:jc w:val="center"/>
        </w:trPr>
        <w:tc>
          <w:tcPr>
            <w:tcW w:w="1900" w:type="dxa"/>
            <w:vMerge/>
            <w:shd w:val="clear" w:color="auto" w:fill="4472C4"/>
            <w:vAlign w:val="center"/>
          </w:tcPr>
          <w:p w14:paraId="3F0242A7" w14:textId="77777777" w:rsidR="00990B14" w:rsidRDefault="00990B14">
            <w:pPr>
              <w:spacing w:before="20" w:after="20"/>
            </w:pPr>
          </w:p>
        </w:tc>
        <w:tc>
          <w:tcPr>
            <w:tcW w:w="1876" w:type="dxa"/>
            <w:shd w:val="clear" w:color="auto" w:fill="D9E2F3"/>
            <w:vAlign w:val="center"/>
          </w:tcPr>
          <w:p w14:paraId="54C3D350" w14:textId="77777777" w:rsidR="00990B14" w:rsidRDefault="00000000">
            <w:pPr>
              <w:spacing w:before="20" w:after="20"/>
              <w:jc w:val="both"/>
            </w:pPr>
            <w:r>
              <w:rPr>
                <w:sz w:val="18"/>
                <w:szCs w:val="18"/>
              </w:rPr>
              <w:t>Hallazgos</w:t>
            </w:r>
          </w:p>
        </w:tc>
        <w:tc>
          <w:tcPr>
            <w:tcW w:w="1876" w:type="dxa"/>
            <w:shd w:val="clear" w:color="auto" w:fill="D9E2F3"/>
            <w:vAlign w:val="center"/>
          </w:tcPr>
          <w:p w14:paraId="778E8B50" w14:textId="77777777" w:rsidR="00990B14" w:rsidRDefault="00000000">
            <w:pPr>
              <w:spacing w:before="20" w:after="20"/>
              <w:jc w:val="both"/>
            </w:pPr>
            <w:r>
              <w:rPr>
                <w:sz w:val="18"/>
                <w:szCs w:val="18"/>
              </w:rPr>
              <w:t>Son vagos.</w:t>
            </w:r>
          </w:p>
        </w:tc>
        <w:tc>
          <w:tcPr>
            <w:tcW w:w="1876" w:type="dxa"/>
            <w:shd w:val="clear" w:color="auto" w:fill="D9E2F3"/>
            <w:vAlign w:val="center"/>
          </w:tcPr>
          <w:p w14:paraId="32836171" w14:textId="77777777" w:rsidR="00990B14" w:rsidRDefault="00000000">
            <w:pPr>
              <w:spacing w:before="20" w:after="20"/>
              <w:jc w:val="both"/>
            </w:pPr>
            <w:r>
              <w:rPr>
                <w:sz w:val="18"/>
                <w:szCs w:val="18"/>
              </w:rPr>
              <w:t>Resume los hallazgos con su referencia.</w:t>
            </w:r>
          </w:p>
        </w:tc>
        <w:tc>
          <w:tcPr>
            <w:tcW w:w="1877" w:type="dxa"/>
            <w:shd w:val="clear" w:color="auto" w:fill="D9E2F3"/>
            <w:vAlign w:val="center"/>
          </w:tcPr>
          <w:p w14:paraId="753DFCBF" w14:textId="77777777" w:rsidR="00990B14" w:rsidRDefault="00000000">
            <w:pPr>
              <w:spacing w:before="20" w:after="20"/>
              <w:jc w:val="both"/>
            </w:pPr>
            <w:r>
              <w:rPr>
                <w:sz w:val="18"/>
                <w:szCs w:val="18"/>
              </w:rPr>
              <w:t>Relaciona cada hallazgo con su efecto en la opinión.</w:t>
            </w:r>
          </w:p>
        </w:tc>
      </w:tr>
      <w:tr w:rsidR="00990B14" w14:paraId="585CB63D" w14:textId="77777777">
        <w:trPr>
          <w:cantSplit/>
          <w:jc w:val="center"/>
        </w:trPr>
        <w:tc>
          <w:tcPr>
            <w:tcW w:w="1900" w:type="dxa"/>
            <w:vMerge/>
            <w:shd w:val="clear" w:color="auto" w:fill="4472C4"/>
            <w:vAlign w:val="center"/>
          </w:tcPr>
          <w:p w14:paraId="796E0A3A" w14:textId="77777777" w:rsidR="00990B14" w:rsidRDefault="00990B14">
            <w:pPr>
              <w:spacing w:before="20" w:after="20"/>
            </w:pPr>
          </w:p>
        </w:tc>
        <w:tc>
          <w:tcPr>
            <w:tcW w:w="5628" w:type="dxa"/>
            <w:gridSpan w:val="3"/>
            <w:shd w:val="clear" w:color="auto" w:fill="D9E2F3"/>
            <w:vAlign w:val="center"/>
          </w:tcPr>
          <w:p w14:paraId="0D8B4052" w14:textId="77777777" w:rsidR="00990B14" w:rsidRDefault="00000000">
            <w:pPr>
              <w:keepNext/>
              <w:spacing w:before="20" w:after="20"/>
              <w:jc w:val="both"/>
            </w:pPr>
            <w:r>
              <w:rPr>
                <w:b/>
                <w:bCs/>
                <w:i/>
                <w:iCs/>
                <w:sz w:val="18"/>
                <w:szCs w:val="18"/>
              </w:rPr>
              <w:t xml:space="preserve">Producto 14: </w:t>
            </w:r>
            <w:r>
              <w:rPr>
                <w:sz w:val="18"/>
                <w:szCs w:val="18"/>
              </w:rPr>
              <w:t>Reporte de análisis de datos de los procedimientos analíticos finales y de los asientos de diario del caso práctico, con la validación de los datos, las variaciones no explicadas y los asientos inusuales identificados.</w:t>
            </w:r>
          </w:p>
        </w:tc>
        <w:tc>
          <w:tcPr>
            <w:tcW w:w="1877" w:type="dxa"/>
            <w:shd w:val="clear" w:color="auto" w:fill="D9E2F3"/>
            <w:vAlign w:val="center"/>
          </w:tcPr>
          <w:p w14:paraId="322F36F9" w14:textId="77777777" w:rsidR="00990B14" w:rsidRDefault="00000000">
            <w:pPr>
              <w:spacing w:before="20" w:after="20"/>
              <w:jc w:val="center"/>
            </w:pPr>
            <w:r>
              <w:rPr>
                <w:b/>
                <w:bCs/>
                <w:sz w:val="18"/>
                <w:szCs w:val="18"/>
              </w:rPr>
              <w:t>5%</w:t>
            </w:r>
          </w:p>
        </w:tc>
      </w:tr>
      <w:tr w:rsidR="00990B14" w14:paraId="70937271" w14:textId="77777777">
        <w:trPr>
          <w:cantSplit/>
          <w:jc w:val="center"/>
        </w:trPr>
        <w:tc>
          <w:tcPr>
            <w:tcW w:w="1900" w:type="dxa"/>
            <w:vMerge/>
            <w:shd w:val="clear" w:color="auto" w:fill="4472C4"/>
            <w:vAlign w:val="center"/>
          </w:tcPr>
          <w:p w14:paraId="77C81C72" w14:textId="77777777" w:rsidR="00990B14" w:rsidRDefault="00990B14">
            <w:pPr>
              <w:spacing w:before="20" w:after="20"/>
            </w:pPr>
          </w:p>
        </w:tc>
        <w:tc>
          <w:tcPr>
            <w:tcW w:w="1876" w:type="dxa"/>
            <w:shd w:val="clear" w:color="auto" w:fill="4472C4"/>
            <w:vAlign w:val="center"/>
          </w:tcPr>
          <w:p w14:paraId="52F83CE5"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18450438"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2ABFA8D2"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15BC36EA" w14:textId="77777777" w:rsidR="00990B14" w:rsidRDefault="00000000">
            <w:pPr>
              <w:keepNext/>
              <w:spacing w:before="20" w:after="20"/>
              <w:jc w:val="center"/>
            </w:pPr>
            <w:r>
              <w:rPr>
                <w:b/>
                <w:bCs/>
                <w:i/>
                <w:iCs/>
                <w:color w:val="FFFFFF"/>
                <w:sz w:val="18"/>
                <w:szCs w:val="18"/>
              </w:rPr>
              <w:t>Destacado (81–100)</w:t>
            </w:r>
          </w:p>
        </w:tc>
      </w:tr>
      <w:tr w:rsidR="00990B14" w14:paraId="538D1E9F" w14:textId="77777777">
        <w:trPr>
          <w:cantSplit/>
          <w:jc w:val="center"/>
        </w:trPr>
        <w:tc>
          <w:tcPr>
            <w:tcW w:w="1900" w:type="dxa"/>
            <w:vMerge/>
            <w:shd w:val="clear" w:color="auto" w:fill="4472C4"/>
            <w:vAlign w:val="center"/>
          </w:tcPr>
          <w:p w14:paraId="639A452C" w14:textId="77777777" w:rsidR="00990B14" w:rsidRDefault="00990B14">
            <w:pPr>
              <w:spacing w:before="20" w:after="20"/>
            </w:pPr>
          </w:p>
        </w:tc>
        <w:tc>
          <w:tcPr>
            <w:tcW w:w="1876" w:type="dxa"/>
            <w:shd w:val="clear" w:color="auto" w:fill="D9E2F3"/>
            <w:vAlign w:val="center"/>
          </w:tcPr>
          <w:p w14:paraId="305C8705" w14:textId="77777777" w:rsidR="00990B14" w:rsidRDefault="00000000">
            <w:pPr>
              <w:spacing w:before="20" w:after="20"/>
              <w:jc w:val="both"/>
            </w:pPr>
            <w:r>
              <w:rPr>
                <w:sz w:val="18"/>
                <w:szCs w:val="18"/>
              </w:rPr>
              <w:t>Herramienta</w:t>
            </w:r>
          </w:p>
        </w:tc>
        <w:tc>
          <w:tcPr>
            <w:tcW w:w="1876" w:type="dxa"/>
            <w:shd w:val="clear" w:color="auto" w:fill="D9E2F3"/>
            <w:vAlign w:val="center"/>
          </w:tcPr>
          <w:p w14:paraId="68B4A314" w14:textId="77777777" w:rsidR="00990B14" w:rsidRDefault="00000000">
            <w:pPr>
              <w:spacing w:before="20" w:after="20"/>
              <w:jc w:val="both"/>
            </w:pPr>
            <w:r>
              <w:rPr>
                <w:sz w:val="18"/>
                <w:szCs w:val="18"/>
              </w:rPr>
              <w:t>No usa herramientas de análisis.</w:t>
            </w:r>
          </w:p>
        </w:tc>
        <w:tc>
          <w:tcPr>
            <w:tcW w:w="1876" w:type="dxa"/>
            <w:shd w:val="clear" w:color="auto" w:fill="D9E2F3"/>
            <w:vAlign w:val="center"/>
          </w:tcPr>
          <w:p w14:paraId="74E1356B" w14:textId="77777777" w:rsidR="00990B14" w:rsidRDefault="00000000">
            <w:pPr>
              <w:spacing w:before="20" w:after="20"/>
              <w:jc w:val="both"/>
            </w:pPr>
            <w:r>
              <w:rPr>
                <w:sz w:val="18"/>
                <w:szCs w:val="18"/>
              </w:rPr>
              <w:t>Aplica la herramienta a los datos del caso.</w:t>
            </w:r>
          </w:p>
        </w:tc>
        <w:tc>
          <w:tcPr>
            <w:tcW w:w="1877" w:type="dxa"/>
            <w:shd w:val="clear" w:color="auto" w:fill="D9E2F3"/>
            <w:vAlign w:val="center"/>
          </w:tcPr>
          <w:p w14:paraId="7ECB2D13" w14:textId="77777777" w:rsidR="00990B14" w:rsidRDefault="00000000">
            <w:pPr>
              <w:spacing w:before="20" w:after="20"/>
              <w:jc w:val="both"/>
            </w:pPr>
            <w:r>
              <w:rPr>
                <w:sz w:val="18"/>
                <w:szCs w:val="18"/>
              </w:rPr>
              <w:t>Valida la integridad de los datos extraídos.</w:t>
            </w:r>
          </w:p>
        </w:tc>
      </w:tr>
      <w:tr w:rsidR="00990B14" w14:paraId="60ACF7A1" w14:textId="77777777">
        <w:trPr>
          <w:cantSplit/>
          <w:jc w:val="center"/>
        </w:trPr>
        <w:tc>
          <w:tcPr>
            <w:tcW w:w="1900" w:type="dxa"/>
            <w:vMerge/>
            <w:shd w:val="clear" w:color="auto" w:fill="4472C4"/>
            <w:vAlign w:val="center"/>
          </w:tcPr>
          <w:p w14:paraId="67DCA92E" w14:textId="77777777" w:rsidR="00990B14" w:rsidRDefault="00990B14">
            <w:pPr>
              <w:spacing w:before="20" w:after="20"/>
            </w:pPr>
          </w:p>
        </w:tc>
        <w:tc>
          <w:tcPr>
            <w:tcW w:w="1876" w:type="dxa"/>
            <w:shd w:val="clear" w:color="auto" w:fill="D9E2F3"/>
            <w:vAlign w:val="center"/>
          </w:tcPr>
          <w:p w14:paraId="17532760" w14:textId="77777777" w:rsidR="00990B14" w:rsidRDefault="00000000">
            <w:pPr>
              <w:spacing w:before="20" w:after="20"/>
              <w:jc w:val="both"/>
            </w:pPr>
            <w:r>
              <w:rPr>
                <w:sz w:val="18"/>
                <w:szCs w:val="18"/>
              </w:rPr>
              <w:t>Asientos de diario</w:t>
            </w:r>
          </w:p>
        </w:tc>
        <w:tc>
          <w:tcPr>
            <w:tcW w:w="1876" w:type="dxa"/>
            <w:shd w:val="clear" w:color="auto" w:fill="D9E2F3"/>
            <w:vAlign w:val="center"/>
          </w:tcPr>
          <w:p w14:paraId="6C1A434C" w14:textId="77777777" w:rsidR="00990B14" w:rsidRDefault="00000000">
            <w:pPr>
              <w:spacing w:before="20" w:after="20"/>
              <w:jc w:val="both"/>
            </w:pPr>
            <w:r>
              <w:rPr>
                <w:sz w:val="18"/>
                <w:szCs w:val="18"/>
              </w:rPr>
              <w:t>No los revisa.</w:t>
            </w:r>
          </w:p>
        </w:tc>
        <w:tc>
          <w:tcPr>
            <w:tcW w:w="1876" w:type="dxa"/>
            <w:shd w:val="clear" w:color="auto" w:fill="D9E2F3"/>
            <w:vAlign w:val="center"/>
          </w:tcPr>
          <w:p w14:paraId="4694A801" w14:textId="77777777" w:rsidR="00990B14" w:rsidRDefault="00000000">
            <w:pPr>
              <w:spacing w:before="20" w:after="20"/>
              <w:jc w:val="both"/>
            </w:pPr>
            <w:r>
              <w:rPr>
                <w:sz w:val="18"/>
                <w:szCs w:val="18"/>
              </w:rPr>
              <w:t>Identifica asientos inusuales.</w:t>
            </w:r>
          </w:p>
        </w:tc>
        <w:tc>
          <w:tcPr>
            <w:tcW w:w="1877" w:type="dxa"/>
            <w:shd w:val="clear" w:color="auto" w:fill="D9E2F3"/>
            <w:vAlign w:val="center"/>
          </w:tcPr>
          <w:p w14:paraId="4FFE0FB2" w14:textId="77777777" w:rsidR="00990B14" w:rsidRDefault="00000000">
            <w:pPr>
              <w:spacing w:before="20" w:after="20"/>
              <w:jc w:val="both"/>
            </w:pPr>
            <w:r>
              <w:rPr>
                <w:sz w:val="18"/>
                <w:szCs w:val="18"/>
              </w:rPr>
              <w:t>Concluye sobre el riesgo de elusión de controles.</w:t>
            </w:r>
          </w:p>
        </w:tc>
      </w:tr>
      <w:tr w:rsidR="00990B14" w14:paraId="0E6E71FC" w14:textId="77777777">
        <w:trPr>
          <w:cantSplit/>
          <w:jc w:val="center"/>
        </w:trPr>
        <w:tc>
          <w:tcPr>
            <w:tcW w:w="1900" w:type="dxa"/>
            <w:vMerge/>
            <w:shd w:val="clear" w:color="auto" w:fill="4472C4"/>
            <w:vAlign w:val="center"/>
          </w:tcPr>
          <w:p w14:paraId="66A4BEC4" w14:textId="77777777" w:rsidR="00990B14" w:rsidRDefault="00990B14">
            <w:pPr>
              <w:spacing w:before="20" w:after="20"/>
            </w:pPr>
          </w:p>
        </w:tc>
        <w:tc>
          <w:tcPr>
            <w:tcW w:w="1876" w:type="dxa"/>
            <w:shd w:val="clear" w:color="auto" w:fill="D9E2F3"/>
            <w:vAlign w:val="center"/>
          </w:tcPr>
          <w:p w14:paraId="593758E4" w14:textId="77777777" w:rsidR="00990B14" w:rsidRDefault="00000000">
            <w:pPr>
              <w:spacing w:before="20" w:after="20"/>
              <w:jc w:val="both"/>
            </w:pPr>
            <w:r>
              <w:rPr>
                <w:sz w:val="18"/>
                <w:szCs w:val="18"/>
              </w:rPr>
              <w:t>Analíticos finales</w:t>
            </w:r>
          </w:p>
        </w:tc>
        <w:tc>
          <w:tcPr>
            <w:tcW w:w="1876" w:type="dxa"/>
            <w:shd w:val="clear" w:color="auto" w:fill="D9E2F3"/>
            <w:vAlign w:val="center"/>
          </w:tcPr>
          <w:p w14:paraId="3B5A0E0D" w14:textId="77777777" w:rsidR="00990B14" w:rsidRDefault="00000000">
            <w:pPr>
              <w:spacing w:before="20" w:after="20"/>
              <w:jc w:val="both"/>
            </w:pPr>
            <w:r>
              <w:rPr>
                <w:sz w:val="18"/>
                <w:szCs w:val="18"/>
              </w:rPr>
              <w:t>No identifica variaciones.</w:t>
            </w:r>
          </w:p>
        </w:tc>
        <w:tc>
          <w:tcPr>
            <w:tcW w:w="1876" w:type="dxa"/>
            <w:shd w:val="clear" w:color="auto" w:fill="D9E2F3"/>
            <w:vAlign w:val="center"/>
          </w:tcPr>
          <w:p w14:paraId="08D9DFCB" w14:textId="77777777" w:rsidR="00990B14" w:rsidRDefault="00000000">
            <w:pPr>
              <w:spacing w:before="20" w:after="20"/>
              <w:jc w:val="both"/>
            </w:pPr>
            <w:r>
              <w:rPr>
                <w:sz w:val="18"/>
                <w:szCs w:val="18"/>
              </w:rPr>
              <w:t>Identifica variaciones no explicadas.</w:t>
            </w:r>
          </w:p>
        </w:tc>
        <w:tc>
          <w:tcPr>
            <w:tcW w:w="1877" w:type="dxa"/>
            <w:shd w:val="clear" w:color="auto" w:fill="D9E2F3"/>
            <w:vAlign w:val="center"/>
          </w:tcPr>
          <w:p w14:paraId="296B24C5" w14:textId="77777777" w:rsidR="00990B14" w:rsidRDefault="00000000">
            <w:pPr>
              <w:spacing w:before="20" w:after="20"/>
              <w:jc w:val="both"/>
            </w:pPr>
            <w:r>
              <w:rPr>
                <w:sz w:val="18"/>
                <w:szCs w:val="18"/>
              </w:rPr>
              <w:t>Concluye sobre la coherencia de los estados financieros.</w:t>
            </w:r>
          </w:p>
        </w:tc>
      </w:tr>
      <w:tr w:rsidR="00990B14" w14:paraId="3BFF6298" w14:textId="77777777">
        <w:trPr>
          <w:cantSplit/>
          <w:jc w:val="center"/>
        </w:trPr>
        <w:tc>
          <w:tcPr>
            <w:tcW w:w="1900" w:type="dxa"/>
            <w:vMerge/>
            <w:shd w:val="clear" w:color="auto" w:fill="4472C4"/>
            <w:vAlign w:val="center"/>
          </w:tcPr>
          <w:p w14:paraId="3E1790E9" w14:textId="77777777" w:rsidR="00990B14" w:rsidRDefault="00990B14">
            <w:pPr>
              <w:spacing w:before="20" w:after="20"/>
            </w:pPr>
          </w:p>
        </w:tc>
        <w:tc>
          <w:tcPr>
            <w:tcW w:w="5628" w:type="dxa"/>
            <w:gridSpan w:val="3"/>
            <w:shd w:val="clear" w:color="auto" w:fill="D9E2F3"/>
            <w:vAlign w:val="center"/>
          </w:tcPr>
          <w:p w14:paraId="291F159C" w14:textId="77777777" w:rsidR="00990B14" w:rsidRDefault="00000000">
            <w:pPr>
              <w:keepNext/>
              <w:spacing w:before="20" w:after="20"/>
              <w:jc w:val="both"/>
            </w:pPr>
            <w:r>
              <w:rPr>
                <w:b/>
                <w:bCs/>
                <w:i/>
                <w:iCs/>
                <w:sz w:val="18"/>
                <w:szCs w:val="18"/>
              </w:rPr>
              <w:t xml:space="preserve">Producto 15: </w:t>
            </w:r>
            <w:r>
              <w:rPr>
                <w:sz w:val="18"/>
                <w:szCs w:val="18"/>
              </w:rPr>
              <w:t>Informe del auditor independiente del caso práctico, con los párrafos adicionales que correspondan y la fundamentación del tipo de opinión emitida.</w:t>
            </w:r>
          </w:p>
        </w:tc>
        <w:tc>
          <w:tcPr>
            <w:tcW w:w="1877" w:type="dxa"/>
            <w:shd w:val="clear" w:color="auto" w:fill="D9E2F3"/>
            <w:vAlign w:val="center"/>
          </w:tcPr>
          <w:p w14:paraId="288CC8C8" w14:textId="77777777" w:rsidR="00990B14" w:rsidRDefault="00000000">
            <w:pPr>
              <w:spacing w:before="20" w:after="20"/>
              <w:jc w:val="center"/>
            </w:pPr>
            <w:r>
              <w:rPr>
                <w:b/>
                <w:bCs/>
                <w:sz w:val="18"/>
                <w:szCs w:val="18"/>
              </w:rPr>
              <w:t>5%</w:t>
            </w:r>
          </w:p>
        </w:tc>
      </w:tr>
      <w:tr w:rsidR="00990B14" w14:paraId="146CBD61" w14:textId="77777777">
        <w:trPr>
          <w:cantSplit/>
          <w:jc w:val="center"/>
        </w:trPr>
        <w:tc>
          <w:tcPr>
            <w:tcW w:w="1900" w:type="dxa"/>
            <w:vMerge/>
            <w:shd w:val="clear" w:color="auto" w:fill="4472C4"/>
            <w:vAlign w:val="center"/>
          </w:tcPr>
          <w:p w14:paraId="4F763510" w14:textId="77777777" w:rsidR="00990B14" w:rsidRDefault="00990B14">
            <w:pPr>
              <w:spacing w:before="20" w:after="20"/>
            </w:pPr>
          </w:p>
        </w:tc>
        <w:tc>
          <w:tcPr>
            <w:tcW w:w="1876" w:type="dxa"/>
            <w:shd w:val="clear" w:color="auto" w:fill="4472C4"/>
            <w:vAlign w:val="center"/>
          </w:tcPr>
          <w:p w14:paraId="04DE8A79"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6872E765"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1B240AAD"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50BA416C" w14:textId="77777777" w:rsidR="00990B14" w:rsidRDefault="00000000">
            <w:pPr>
              <w:keepNext/>
              <w:spacing w:before="20" w:after="20"/>
              <w:jc w:val="center"/>
            </w:pPr>
            <w:r>
              <w:rPr>
                <w:b/>
                <w:bCs/>
                <w:i/>
                <w:iCs/>
                <w:color w:val="FFFFFF"/>
                <w:sz w:val="18"/>
                <w:szCs w:val="18"/>
              </w:rPr>
              <w:t>Destacado (81–100)</w:t>
            </w:r>
          </w:p>
        </w:tc>
      </w:tr>
      <w:tr w:rsidR="00990B14" w14:paraId="63732023" w14:textId="77777777">
        <w:trPr>
          <w:cantSplit/>
          <w:jc w:val="center"/>
        </w:trPr>
        <w:tc>
          <w:tcPr>
            <w:tcW w:w="1900" w:type="dxa"/>
            <w:vMerge/>
            <w:shd w:val="clear" w:color="auto" w:fill="4472C4"/>
            <w:vAlign w:val="center"/>
          </w:tcPr>
          <w:p w14:paraId="2AA9F05B" w14:textId="77777777" w:rsidR="00990B14" w:rsidRDefault="00990B14">
            <w:pPr>
              <w:spacing w:before="20" w:after="20"/>
            </w:pPr>
          </w:p>
        </w:tc>
        <w:tc>
          <w:tcPr>
            <w:tcW w:w="1876" w:type="dxa"/>
            <w:shd w:val="clear" w:color="auto" w:fill="D9E2F3"/>
            <w:vAlign w:val="center"/>
          </w:tcPr>
          <w:p w14:paraId="54769CCA" w14:textId="77777777" w:rsidR="00990B14" w:rsidRDefault="00000000">
            <w:pPr>
              <w:spacing w:before="20" w:after="20"/>
              <w:jc w:val="both"/>
            </w:pPr>
            <w:r>
              <w:rPr>
                <w:sz w:val="18"/>
                <w:szCs w:val="18"/>
              </w:rPr>
              <w:t>Estructura</w:t>
            </w:r>
          </w:p>
        </w:tc>
        <w:tc>
          <w:tcPr>
            <w:tcW w:w="1876" w:type="dxa"/>
            <w:shd w:val="clear" w:color="auto" w:fill="D9E2F3"/>
            <w:vAlign w:val="center"/>
          </w:tcPr>
          <w:p w14:paraId="6569C108" w14:textId="77777777" w:rsidR="00990B14" w:rsidRDefault="00000000">
            <w:pPr>
              <w:spacing w:before="20" w:after="20"/>
              <w:jc w:val="both"/>
            </w:pPr>
            <w:r>
              <w:rPr>
                <w:sz w:val="18"/>
                <w:szCs w:val="18"/>
              </w:rPr>
              <w:t>Omite secciones obligatorias.</w:t>
            </w:r>
          </w:p>
        </w:tc>
        <w:tc>
          <w:tcPr>
            <w:tcW w:w="1876" w:type="dxa"/>
            <w:shd w:val="clear" w:color="auto" w:fill="D9E2F3"/>
            <w:vAlign w:val="center"/>
          </w:tcPr>
          <w:p w14:paraId="251F2CF8" w14:textId="77777777" w:rsidR="00990B14" w:rsidRDefault="00000000">
            <w:pPr>
              <w:spacing w:before="20" w:after="20"/>
              <w:jc w:val="both"/>
            </w:pPr>
            <w:r>
              <w:rPr>
                <w:sz w:val="18"/>
                <w:szCs w:val="18"/>
              </w:rPr>
              <w:t>Sigue la estructura de la NIA 700.</w:t>
            </w:r>
          </w:p>
        </w:tc>
        <w:tc>
          <w:tcPr>
            <w:tcW w:w="1877" w:type="dxa"/>
            <w:shd w:val="clear" w:color="auto" w:fill="D9E2F3"/>
            <w:vAlign w:val="center"/>
          </w:tcPr>
          <w:p w14:paraId="380CF080" w14:textId="77777777" w:rsidR="00990B14" w:rsidRDefault="00000000">
            <w:pPr>
              <w:spacing w:before="20" w:after="20"/>
              <w:jc w:val="both"/>
            </w:pPr>
            <w:r>
              <w:rPr>
                <w:sz w:val="18"/>
                <w:szCs w:val="18"/>
              </w:rPr>
              <w:t>Incluye los párrafos adicionales que corresponden.</w:t>
            </w:r>
          </w:p>
        </w:tc>
      </w:tr>
      <w:tr w:rsidR="00990B14" w14:paraId="4DDEC6DA" w14:textId="77777777">
        <w:trPr>
          <w:cantSplit/>
          <w:jc w:val="center"/>
        </w:trPr>
        <w:tc>
          <w:tcPr>
            <w:tcW w:w="1900" w:type="dxa"/>
            <w:vMerge/>
            <w:shd w:val="clear" w:color="auto" w:fill="4472C4"/>
            <w:vAlign w:val="center"/>
          </w:tcPr>
          <w:p w14:paraId="52A4BD0C" w14:textId="77777777" w:rsidR="00990B14" w:rsidRDefault="00990B14">
            <w:pPr>
              <w:spacing w:before="20" w:after="20"/>
            </w:pPr>
          </w:p>
        </w:tc>
        <w:tc>
          <w:tcPr>
            <w:tcW w:w="1876" w:type="dxa"/>
            <w:shd w:val="clear" w:color="auto" w:fill="D9E2F3"/>
            <w:vAlign w:val="center"/>
          </w:tcPr>
          <w:p w14:paraId="14F56980" w14:textId="77777777" w:rsidR="00990B14" w:rsidRDefault="00000000">
            <w:pPr>
              <w:spacing w:before="20" w:after="20"/>
              <w:jc w:val="both"/>
            </w:pPr>
            <w:r>
              <w:rPr>
                <w:sz w:val="18"/>
                <w:szCs w:val="18"/>
              </w:rPr>
              <w:t>Tipo de opinión</w:t>
            </w:r>
          </w:p>
        </w:tc>
        <w:tc>
          <w:tcPr>
            <w:tcW w:w="1876" w:type="dxa"/>
            <w:shd w:val="clear" w:color="auto" w:fill="D9E2F3"/>
            <w:vAlign w:val="center"/>
          </w:tcPr>
          <w:p w14:paraId="25DD1BCF" w14:textId="77777777" w:rsidR="00990B14" w:rsidRDefault="00000000">
            <w:pPr>
              <w:spacing w:before="20" w:after="20"/>
              <w:jc w:val="both"/>
            </w:pPr>
            <w:r>
              <w:rPr>
                <w:sz w:val="18"/>
                <w:szCs w:val="18"/>
              </w:rPr>
              <w:t>La opinión no corresponde.</w:t>
            </w:r>
          </w:p>
        </w:tc>
        <w:tc>
          <w:tcPr>
            <w:tcW w:w="1876" w:type="dxa"/>
            <w:shd w:val="clear" w:color="auto" w:fill="D9E2F3"/>
            <w:vAlign w:val="center"/>
          </w:tcPr>
          <w:p w14:paraId="2E80928A" w14:textId="77777777" w:rsidR="00990B14" w:rsidRDefault="00000000">
            <w:pPr>
              <w:spacing w:before="20" w:after="20"/>
              <w:jc w:val="both"/>
            </w:pPr>
            <w:r>
              <w:rPr>
                <w:sz w:val="18"/>
                <w:szCs w:val="18"/>
              </w:rPr>
              <w:t>Emite la opinión que corresponde al caso.</w:t>
            </w:r>
          </w:p>
        </w:tc>
        <w:tc>
          <w:tcPr>
            <w:tcW w:w="1877" w:type="dxa"/>
            <w:shd w:val="clear" w:color="auto" w:fill="D9E2F3"/>
            <w:vAlign w:val="center"/>
          </w:tcPr>
          <w:p w14:paraId="158296C5" w14:textId="77777777" w:rsidR="00990B14" w:rsidRDefault="00000000">
            <w:pPr>
              <w:spacing w:before="20" w:after="20"/>
              <w:jc w:val="both"/>
            </w:pPr>
            <w:r>
              <w:rPr>
                <w:sz w:val="18"/>
                <w:szCs w:val="18"/>
              </w:rPr>
              <w:t>Fundamenta la opinión con la evidencia y la NIA 705.</w:t>
            </w:r>
          </w:p>
        </w:tc>
      </w:tr>
      <w:tr w:rsidR="00990B14" w14:paraId="0A22F8A8" w14:textId="77777777">
        <w:trPr>
          <w:cantSplit/>
          <w:jc w:val="center"/>
        </w:trPr>
        <w:tc>
          <w:tcPr>
            <w:tcW w:w="1900" w:type="dxa"/>
            <w:vMerge/>
            <w:shd w:val="clear" w:color="auto" w:fill="4472C4"/>
            <w:vAlign w:val="center"/>
          </w:tcPr>
          <w:p w14:paraId="767F7761" w14:textId="77777777" w:rsidR="00990B14" w:rsidRDefault="00990B14">
            <w:pPr>
              <w:spacing w:before="20" w:after="20"/>
            </w:pPr>
          </w:p>
        </w:tc>
        <w:tc>
          <w:tcPr>
            <w:tcW w:w="1876" w:type="dxa"/>
            <w:shd w:val="clear" w:color="auto" w:fill="D9E2F3"/>
            <w:vAlign w:val="center"/>
          </w:tcPr>
          <w:p w14:paraId="1313AA72" w14:textId="77777777" w:rsidR="00990B14" w:rsidRDefault="00000000">
            <w:pPr>
              <w:spacing w:before="20" w:after="20"/>
              <w:jc w:val="both"/>
            </w:pPr>
            <w:r>
              <w:rPr>
                <w:sz w:val="18"/>
                <w:szCs w:val="18"/>
              </w:rPr>
              <w:t>Redacción</w:t>
            </w:r>
          </w:p>
        </w:tc>
        <w:tc>
          <w:tcPr>
            <w:tcW w:w="1876" w:type="dxa"/>
            <w:shd w:val="clear" w:color="auto" w:fill="D9E2F3"/>
            <w:vAlign w:val="center"/>
          </w:tcPr>
          <w:p w14:paraId="747E8199" w14:textId="77777777" w:rsidR="00990B14" w:rsidRDefault="00000000">
            <w:pPr>
              <w:spacing w:before="20" w:after="20"/>
              <w:jc w:val="both"/>
            </w:pPr>
            <w:r>
              <w:rPr>
                <w:sz w:val="18"/>
                <w:szCs w:val="18"/>
              </w:rPr>
              <w:t>La redacción es imprecisa.</w:t>
            </w:r>
          </w:p>
        </w:tc>
        <w:tc>
          <w:tcPr>
            <w:tcW w:w="1876" w:type="dxa"/>
            <w:shd w:val="clear" w:color="auto" w:fill="D9E2F3"/>
            <w:vAlign w:val="center"/>
          </w:tcPr>
          <w:p w14:paraId="343EAE8A" w14:textId="77777777" w:rsidR="00990B14" w:rsidRDefault="00000000">
            <w:pPr>
              <w:spacing w:before="20" w:after="20"/>
              <w:jc w:val="both"/>
            </w:pPr>
            <w:r>
              <w:rPr>
                <w:sz w:val="18"/>
                <w:szCs w:val="18"/>
              </w:rPr>
              <w:t>La redacción es técnica.</w:t>
            </w:r>
          </w:p>
        </w:tc>
        <w:tc>
          <w:tcPr>
            <w:tcW w:w="1877" w:type="dxa"/>
            <w:shd w:val="clear" w:color="auto" w:fill="D9E2F3"/>
            <w:vAlign w:val="center"/>
          </w:tcPr>
          <w:p w14:paraId="63BAA398" w14:textId="77777777" w:rsidR="00990B14" w:rsidRDefault="00000000">
            <w:pPr>
              <w:spacing w:before="20" w:after="20"/>
              <w:jc w:val="both"/>
            </w:pPr>
            <w:r>
              <w:rPr>
                <w:sz w:val="18"/>
                <w:szCs w:val="18"/>
              </w:rPr>
              <w:t>Es precisa y comprensible para el usuario.</w:t>
            </w:r>
          </w:p>
        </w:tc>
      </w:tr>
      <w:tr w:rsidR="00990B14" w14:paraId="2062B176" w14:textId="77777777">
        <w:trPr>
          <w:cantSplit/>
          <w:jc w:val="center"/>
        </w:trPr>
        <w:tc>
          <w:tcPr>
            <w:tcW w:w="1900" w:type="dxa"/>
            <w:vMerge/>
            <w:shd w:val="clear" w:color="auto" w:fill="4472C4"/>
            <w:vAlign w:val="center"/>
          </w:tcPr>
          <w:p w14:paraId="7AA9F0DC" w14:textId="77777777" w:rsidR="00990B14" w:rsidRDefault="00990B14">
            <w:pPr>
              <w:spacing w:before="20" w:after="20"/>
            </w:pPr>
          </w:p>
        </w:tc>
        <w:tc>
          <w:tcPr>
            <w:tcW w:w="5628" w:type="dxa"/>
            <w:gridSpan w:val="3"/>
            <w:shd w:val="clear" w:color="auto" w:fill="D9E2F3"/>
            <w:vAlign w:val="center"/>
          </w:tcPr>
          <w:p w14:paraId="648A3216" w14:textId="77777777" w:rsidR="00990B14" w:rsidRDefault="00000000">
            <w:pPr>
              <w:keepNext/>
              <w:spacing w:before="20" w:after="20"/>
              <w:jc w:val="both"/>
            </w:pPr>
            <w:r>
              <w:rPr>
                <w:b/>
                <w:bCs/>
                <w:i/>
                <w:iCs/>
                <w:sz w:val="18"/>
                <w:szCs w:val="18"/>
              </w:rPr>
              <w:t xml:space="preserve">Producto 16: </w:t>
            </w:r>
            <w:r>
              <w:rPr>
                <w:sz w:val="18"/>
                <w:szCs w:val="18"/>
              </w:rPr>
              <w:t>Carta de recomendaciones de control interno del caso práctico con observaciones estructuradas en condición, criterio, causa, efecto y recomendación.</w:t>
            </w:r>
          </w:p>
        </w:tc>
        <w:tc>
          <w:tcPr>
            <w:tcW w:w="1877" w:type="dxa"/>
            <w:shd w:val="clear" w:color="auto" w:fill="D9E2F3"/>
            <w:vAlign w:val="center"/>
          </w:tcPr>
          <w:p w14:paraId="24B07419" w14:textId="77777777" w:rsidR="00990B14" w:rsidRDefault="00000000">
            <w:pPr>
              <w:spacing w:before="20" w:after="20"/>
              <w:jc w:val="center"/>
            </w:pPr>
            <w:r>
              <w:rPr>
                <w:b/>
                <w:bCs/>
                <w:sz w:val="18"/>
                <w:szCs w:val="18"/>
              </w:rPr>
              <w:t>5%</w:t>
            </w:r>
          </w:p>
        </w:tc>
      </w:tr>
      <w:tr w:rsidR="00990B14" w14:paraId="362C63A9" w14:textId="77777777">
        <w:trPr>
          <w:cantSplit/>
          <w:jc w:val="center"/>
        </w:trPr>
        <w:tc>
          <w:tcPr>
            <w:tcW w:w="1900" w:type="dxa"/>
            <w:vMerge/>
            <w:shd w:val="clear" w:color="auto" w:fill="4472C4"/>
            <w:vAlign w:val="center"/>
          </w:tcPr>
          <w:p w14:paraId="053EAF32" w14:textId="77777777" w:rsidR="00990B14" w:rsidRDefault="00990B14">
            <w:pPr>
              <w:spacing w:before="20" w:after="20"/>
            </w:pPr>
          </w:p>
        </w:tc>
        <w:tc>
          <w:tcPr>
            <w:tcW w:w="1876" w:type="dxa"/>
            <w:shd w:val="clear" w:color="auto" w:fill="4472C4"/>
            <w:vAlign w:val="center"/>
          </w:tcPr>
          <w:p w14:paraId="50D3D4E6"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699B5D2F"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0852C7EB"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6ACC2ECD" w14:textId="77777777" w:rsidR="00990B14" w:rsidRDefault="00000000">
            <w:pPr>
              <w:keepNext/>
              <w:spacing w:before="20" w:after="20"/>
              <w:jc w:val="center"/>
            </w:pPr>
            <w:r>
              <w:rPr>
                <w:b/>
                <w:bCs/>
                <w:i/>
                <w:iCs/>
                <w:color w:val="FFFFFF"/>
                <w:sz w:val="18"/>
                <w:szCs w:val="18"/>
              </w:rPr>
              <w:t>Destacado (81–100)</w:t>
            </w:r>
          </w:p>
        </w:tc>
      </w:tr>
      <w:tr w:rsidR="00990B14" w14:paraId="3F0D106F" w14:textId="77777777">
        <w:trPr>
          <w:cantSplit/>
          <w:jc w:val="center"/>
        </w:trPr>
        <w:tc>
          <w:tcPr>
            <w:tcW w:w="1900" w:type="dxa"/>
            <w:vMerge/>
            <w:shd w:val="clear" w:color="auto" w:fill="4472C4"/>
            <w:vAlign w:val="center"/>
          </w:tcPr>
          <w:p w14:paraId="5FF82787" w14:textId="77777777" w:rsidR="00990B14" w:rsidRDefault="00990B14">
            <w:pPr>
              <w:spacing w:before="20" w:after="20"/>
            </w:pPr>
          </w:p>
        </w:tc>
        <w:tc>
          <w:tcPr>
            <w:tcW w:w="1876" w:type="dxa"/>
            <w:shd w:val="clear" w:color="auto" w:fill="D9E2F3"/>
            <w:vAlign w:val="center"/>
          </w:tcPr>
          <w:p w14:paraId="4E115DC7" w14:textId="77777777" w:rsidR="00990B14" w:rsidRDefault="00000000">
            <w:pPr>
              <w:spacing w:before="20" w:after="20"/>
              <w:jc w:val="both"/>
            </w:pPr>
            <w:r>
              <w:rPr>
                <w:sz w:val="18"/>
                <w:szCs w:val="18"/>
              </w:rPr>
              <w:t>Observaciones</w:t>
            </w:r>
          </w:p>
        </w:tc>
        <w:tc>
          <w:tcPr>
            <w:tcW w:w="1876" w:type="dxa"/>
            <w:shd w:val="clear" w:color="auto" w:fill="D9E2F3"/>
            <w:vAlign w:val="center"/>
          </w:tcPr>
          <w:p w14:paraId="0B477F2D" w14:textId="77777777" w:rsidR="00990B14" w:rsidRDefault="00000000">
            <w:pPr>
              <w:spacing w:before="20" w:after="20"/>
              <w:jc w:val="both"/>
            </w:pPr>
            <w:r>
              <w:rPr>
                <w:sz w:val="18"/>
                <w:szCs w:val="18"/>
              </w:rPr>
              <w:t>Omiten atributos.</w:t>
            </w:r>
          </w:p>
        </w:tc>
        <w:tc>
          <w:tcPr>
            <w:tcW w:w="1876" w:type="dxa"/>
            <w:shd w:val="clear" w:color="auto" w:fill="D9E2F3"/>
            <w:vAlign w:val="center"/>
          </w:tcPr>
          <w:p w14:paraId="50E699B1" w14:textId="77777777" w:rsidR="00990B14" w:rsidRDefault="00000000">
            <w:pPr>
              <w:spacing w:before="20" w:after="20"/>
              <w:jc w:val="both"/>
            </w:pPr>
            <w:r>
              <w:rPr>
                <w:sz w:val="18"/>
                <w:szCs w:val="18"/>
              </w:rPr>
              <w:t>Contienen condición, criterio, causa y efecto.</w:t>
            </w:r>
          </w:p>
        </w:tc>
        <w:tc>
          <w:tcPr>
            <w:tcW w:w="1877" w:type="dxa"/>
            <w:shd w:val="clear" w:color="auto" w:fill="D9E2F3"/>
            <w:vAlign w:val="center"/>
          </w:tcPr>
          <w:p w14:paraId="39A30BEB" w14:textId="77777777" w:rsidR="00990B14" w:rsidRDefault="00000000">
            <w:pPr>
              <w:spacing w:before="20" w:after="20"/>
              <w:jc w:val="both"/>
            </w:pPr>
            <w:r>
              <w:rPr>
                <w:sz w:val="18"/>
                <w:szCs w:val="18"/>
              </w:rPr>
              <w:t>Se priorizan según su riesgo.</w:t>
            </w:r>
          </w:p>
        </w:tc>
      </w:tr>
      <w:tr w:rsidR="00990B14" w14:paraId="44D827E0" w14:textId="77777777">
        <w:trPr>
          <w:cantSplit/>
          <w:jc w:val="center"/>
        </w:trPr>
        <w:tc>
          <w:tcPr>
            <w:tcW w:w="1900" w:type="dxa"/>
            <w:vMerge/>
            <w:shd w:val="clear" w:color="auto" w:fill="4472C4"/>
            <w:vAlign w:val="center"/>
          </w:tcPr>
          <w:p w14:paraId="733C58E6" w14:textId="77777777" w:rsidR="00990B14" w:rsidRDefault="00990B14">
            <w:pPr>
              <w:spacing w:before="20" w:after="20"/>
            </w:pPr>
          </w:p>
        </w:tc>
        <w:tc>
          <w:tcPr>
            <w:tcW w:w="1876" w:type="dxa"/>
            <w:shd w:val="clear" w:color="auto" w:fill="D9E2F3"/>
            <w:vAlign w:val="center"/>
          </w:tcPr>
          <w:p w14:paraId="6D2B62F1" w14:textId="77777777" w:rsidR="00990B14" w:rsidRDefault="00000000">
            <w:pPr>
              <w:spacing w:before="20" w:after="20"/>
              <w:jc w:val="both"/>
            </w:pPr>
            <w:r>
              <w:rPr>
                <w:sz w:val="18"/>
                <w:szCs w:val="18"/>
              </w:rPr>
              <w:t>Recomendaciones</w:t>
            </w:r>
          </w:p>
        </w:tc>
        <w:tc>
          <w:tcPr>
            <w:tcW w:w="1876" w:type="dxa"/>
            <w:shd w:val="clear" w:color="auto" w:fill="D9E2F3"/>
            <w:vAlign w:val="center"/>
          </w:tcPr>
          <w:p w14:paraId="347FAD44" w14:textId="77777777" w:rsidR="00990B14" w:rsidRDefault="00000000">
            <w:pPr>
              <w:spacing w:before="20" w:after="20"/>
              <w:jc w:val="both"/>
            </w:pPr>
            <w:r>
              <w:rPr>
                <w:sz w:val="18"/>
                <w:szCs w:val="18"/>
              </w:rPr>
              <w:t>Son genéricas.</w:t>
            </w:r>
          </w:p>
        </w:tc>
        <w:tc>
          <w:tcPr>
            <w:tcW w:w="1876" w:type="dxa"/>
            <w:shd w:val="clear" w:color="auto" w:fill="D9E2F3"/>
            <w:vAlign w:val="center"/>
          </w:tcPr>
          <w:p w14:paraId="2126CAF8" w14:textId="77777777" w:rsidR="00990B14" w:rsidRDefault="00000000">
            <w:pPr>
              <w:spacing w:before="20" w:after="20"/>
              <w:jc w:val="both"/>
            </w:pPr>
            <w:r>
              <w:rPr>
                <w:sz w:val="18"/>
                <w:szCs w:val="18"/>
              </w:rPr>
              <w:t>Son específicas y viables.</w:t>
            </w:r>
          </w:p>
        </w:tc>
        <w:tc>
          <w:tcPr>
            <w:tcW w:w="1877" w:type="dxa"/>
            <w:shd w:val="clear" w:color="auto" w:fill="D9E2F3"/>
            <w:vAlign w:val="center"/>
          </w:tcPr>
          <w:p w14:paraId="68454796" w14:textId="77777777" w:rsidR="00990B14" w:rsidRDefault="00000000">
            <w:pPr>
              <w:spacing w:before="20" w:after="20"/>
              <w:jc w:val="both"/>
            </w:pPr>
            <w:r>
              <w:rPr>
                <w:sz w:val="18"/>
                <w:szCs w:val="18"/>
              </w:rPr>
              <w:t>Señalan responsables y plazos.</w:t>
            </w:r>
          </w:p>
        </w:tc>
      </w:tr>
      <w:tr w:rsidR="00990B14" w14:paraId="50C9B927" w14:textId="77777777">
        <w:trPr>
          <w:cantSplit/>
          <w:jc w:val="center"/>
        </w:trPr>
        <w:tc>
          <w:tcPr>
            <w:tcW w:w="1900" w:type="dxa"/>
            <w:vMerge/>
            <w:shd w:val="clear" w:color="auto" w:fill="4472C4"/>
            <w:vAlign w:val="center"/>
          </w:tcPr>
          <w:p w14:paraId="337E82CF" w14:textId="77777777" w:rsidR="00990B14" w:rsidRDefault="00990B14">
            <w:pPr>
              <w:spacing w:before="20" w:after="20"/>
            </w:pPr>
          </w:p>
        </w:tc>
        <w:tc>
          <w:tcPr>
            <w:tcW w:w="1876" w:type="dxa"/>
            <w:shd w:val="clear" w:color="auto" w:fill="D9E2F3"/>
            <w:vAlign w:val="center"/>
          </w:tcPr>
          <w:p w14:paraId="176D0F27" w14:textId="77777777" w:rsidR="00990B14" w:rsidRDefault="00000000">
            <w:pPr>
              <w:spacing w:before="20" w:after="20"/>
              <w:jc w:val="both"/>
            </w:pPr>
            <w:r>
              <w:rPr>
                <w:sz w:val="18"/>
                <w:szCs w:val="18"/>
              </w:rPr>
              <w:t>Sustentación</w:t>
            </w:r>
          </w:p>
        </w:tc>
        <w:tc>
          <w:tcPr>
            <w:tcW w:w="1876" w:type="dxa"/>
            <w:shd w:val="clear" w:color="auto" w:fill="D9E2F3"/>
            <w:vAlign w:val="center"/>
          </w:tcPr>
          <w:p w14:paraId="4DEAF760" w14:textId="77777777" w:rsidR="00990B14" w:rsidRDefault="00000000">
            <w:pPr>
              <w:spacing w:before="20" w:after="20"/>
              <w:jc w:val="both"/>
            </w:pPr>
            <w:r>
              <w:rPr>
                <w:sz w:val="18"/>
                <w:szCs w:val="18"/>
              </w:rPr>
              <w:t>No sostiene sus observaciones.</w:t>
            </w:r>
          </w:p>
        </w:tc>
        <w:tc>
          <w:tcPr>
            <w:tcW w:w="1876" w:type="dxa"/>
            <w:shd w:val="clear" w:color="auto" w:fill="D9E2F3"/>
            <w:vAlign w:val="center"/>
          </w:tcPr>
          <w:p w14:paraId="4A20FE28" w14:textId="77777777" w:rsidR="00990B14" w:rsidRDefault="00000000">
            <w:pPr>
              <w:spacing w:before="20" w:after="20"/>
              <w:jc w:val="both"/>
            </w:pPr>
            <w:r>
              <w:rPr>
                <w:sz w:val="18"/>
                <w:szCs w:val="18"/>
              </w:rPr>
              <w:t>Las sustenta con claridad ante directorio y síndico.</w:t>
            </w:r>
          </w:p>
        </w:tc>
        <w:tc>
          <w:tcPr>
            <w:tcW w:w="1877" w:type="dxa"/>
            <w:shd w:val="clear" w:color="auto" w:fill="D9E2F3"/>
            <w:vAlign w:val="center"/>
          </w:tcPr>
          <w:p w14:paraId="6EC32E07" w14:textId="77777777" w:rsidR="00990B14" w:rsidRDefault="00000000">
            <w:pPr>
              <w:spacing w:before="20" w:after="20"/>
              <w:jc w:val="both"/>
            </w:pPr>
            <w:r>
              <w:rPr>
                <w:sz w:val="18"/>
                <w:szCs w:val="18"/>
              </w:rPr>
              <w:t>Maneja objeciones con firmeza y objetividad.</w:t>
            </w:r>
          </w:p>
        </w:tc>
      </w:tr>
      <w:tr w:rsidR="00990B14" w14:paraId="49CE9144" w14:textId="77777777">
        <w:trPr>
          <w:cantSplit/>
          <w:jc w:val="center"/>
        </w:trPr>
        <w:tc>
          <w:tcPr>
            <w:tcW w:w="7528" w:type="dxa"/>
            <w:gridSpan w:val="4"/>
            <w:shd w:val="clear" w:color="auto" w:fill="4472C4"/>
            <w:vAlign w:val="center"/>
          </w:tcPr>
          <w:p w14:paraId="65D0FBAF" w14:textId="77777777" w:rsidR="00990B14" w:rsidRDefault="00000000">
            <w:pPr>
              <w:keepNext/>
              <w:spacing w:before="20" w:after="20"/>
              <w:jc w:val="center"/>
            </w:pPr>
            <w:r>
              <w:rPr>
                <w:b/>
                <w:bCs/>
                <w:i/>
                <w:iCs/>
                <w:color w:val="FFFFFF"/>
                <w:sz w:val="18"/>
                <w:szCs w:val="18"/>
              </w:rPr>
              <w:t>TOTAL</w:t>
            </w:r>
          </w:p>
        </w:tc>
        <w:tc>
          <w:tcPr>
            <w:tcW w:w="1877" w:type="dxa"/>
            <w:shd w:val="clear" w:color="auto" w:fill="4472C4"/>
            <w:vAlign w:val="center"/>
          </w:tcPr>
          <w:p w14:paraId="1D5465B5" w14:textId="77777777" w:rsidR="00990B14" w:rsidRDefault="00000000">
            <w:pPr>
              <w:keepNext/>
              <w:spacing w:before="20" w:after="20"/>
              <w:jc w:val="center"/>
            </w:pPr>
            <w:r>
              <w:rPr>
                <w:b/>
                <w:bCs/>
                <w:i/>
                <w:iCs/>
                <w:color w:val="FFFFFF"/>
                <w:sz w:val="18"/>
                <w:szCs w:val="18"/>
              </w:rPr>
              <w:t>100%</w:t>
            </w:r>
          </w:p>
        </w:tc>
      </w:tr>
    </w:tbl>
    <w:p w14:paraId="14A7C69B"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9405"/>
      </w:tblGrid>
      <w:tr w:rsidR="00990B14" w14:paraId="73F52778" w14:textId="77777777">
        <w:trPr>
          <w:jc w:val="center"/>
        </w:trPr>
        <w:tc>
          <w:tcPr>
            <w:tcW w:w="9405" w:type="dxa"/>
            <w:shd w:val="clear" w:color="auto" w:fill="D9E2F3"/>
          </w:tcPr>
          <w:p w14:paraId="037AE72D" w14:textId="77777777" w:rsidR="00990B14" w:rsidRDefault="00000000">
            <w:pPr>
              <w:spacing w:before="40" w:after="40"/>
              <w:jc w:val="both"/>
            </w:pPr>
            <w:r>
              <w:rPr>
                <w:b/>
                <w:bCs/>
                <w:i/>
                <w:iCs/>
                <w:sz w:val="18"/>
                <w:szCs w:val="18"/>
              </w:rPr>
              <w:t>Bibliografía básica:</w:t>
            </w:r>
          </w:p>
          <w:p w14:paraId="1D036C09" w14:textId="77777777" w:rsidR="00990B14" w:rsidRDefault="00000000">
            <w:pPr>
              <w:numPr>
                <w:ilvl w:val="0"/>
                <w:numId w:val="140"/>
              </w:numPr>
              <w:spacing w:after="20"/>
              <w:jc w:val="both"/>
            </w:pPr>
            <w:r>
              <w:rPr>
                <w:sz w:val="18"/>
                <w:szCs w:val="18"/>
              </w:rPr>
              <w:t>Código de Comercio, Decreto Ley N.º 14379, de 25 de febrero de 1977.</w:t>
            </w:r>
          </w:p>
          <w:p w14:paraId="27546213" w14:textId="77777777" w:rsidR="00990B14" w:rsidRDefault="00000000">
            <w:pPr>
              <w:numPr>
                <w:ilvl w:val="0"/>
                <w:numId w:val="140"/>
              </w:numPr>
              <w:spacing w:after="20"/>
              <w:jc w:val="both"/>
            </w:pPr>
            <w:r>
              <w:rPr>
                <w:sz w:val="18"/>
                <w:szCs w:val="18"/>
              </w:rPr>
              <w:t>Código Tributario Boliviano, Ley N.º 2492, de 2 de agosto de 2003.</w:t>
            </w:r>
          </w:p>
          <w:p w14:paraId="6B432D58" w14:textId="77777777" w:rsidR="00990B14" w:rsidRDefault="00000000">
            <w:pPr>
              <w:numPr>
                <w:ilvl w:val="0"/>
                <w:numId w:val="140"/>
              </w:numPr>
              <w:spacing w:after="20"/>
              <w:jc w:val="both"/>
            </w:pPr>
            <w:r>
              <w:rPr>
                <w:sz w:val="18"/>
                <w:szCs w:val="18"/>
              </w:rPr>
              <w:t xml:space="preserve">Colegio de Auditores o Contadores Públicos de Bolivia, CAUB – Consejo Técnico Nacional de Auditoría y Contabilidad, CTNAC (2025). </w:t>
            </w:r>
            <w:r>
              <w:rPr>
                <w:i/>
                <w:iCs/>
                <w:sz w:val="18"/>
                <w:szCs w:val="18"/>
              </w:rPr>
              <w:t>Compendio de Normas de Contabilidad y Auditoría</w:t>
            </w:r>
            <w:r>
              <w:rPr>
                <w:sz w:val="18"/>
                <w:szCs w:val="18"/>
              </w:rPr>
              <w:t>. Santa Cruz – Bolivia.</w:t>
            </w:r>
          </w:p>
          <w:p w14:paraId="0B2F7CE3" w14:textId="77777777" w:rsidR="00990B14" w:rsidRDefault="00000000">
            <w:pPr>
              <w:numPr>
                <w:ilvl w:val="0"/>
                <w:numId w:val="140"/>
              </w:numPr>
              <w:spacing w:after="20"/>
              <w:jc w:val="both"/>
            </w:pPr>
            <w:r>
              <w:rPr>
                <w:sz w:val="18"/>
                <w:szCs w:val="18"/>
              </w:rPr>
              <w:t>Consejo Técnico Nacional de Auditoría y Contabilidad, CTNAC (2015). Resolución 01/2015, Normas de Auditoría Generalmente Aceptadas en Bolivia. La Paz – Bolivia.</w:t>
            </w:r>
          </w:p>
          <w:p w14:paraId="37D6C3F1" w14:textId="77777777" w:rsidR="00990B14" w:rsidRDefault="00000000">
            <w:pPr>
              <w:numPr>
                <w:ilvl w:val="0"/>
                <w:numId w:val="140"/>
              </w:numPr>
              <w:spacing w:after="20"/>
              <w:jc w:val="both"/>
            </w:pPr>
            <w:r>
              <w:rPr>
                <w:sz w:val="18"/>
                <w:szCs w:val="18"/>
              </w:rPr>
              <w:t>Disposiciones tributarias aplicables: leyes, decretos supremos y resoluciones normativas de directorio relacionadas.</w:t>
            </w:r>
          </w:p>
          <w:p w14:paraId="4527C639" w14:textId="77777777" w:rsidR="00990B14" w:rsidRDefault="00000000">
            <w:pPr>
              <w:numPr>
                <w:ilvl w:val="0"/>
                <w:numId w:val="140"/>
              </w:numPr>
              <w:spacing w:after="20"/>
              <w:jc w:val="both"/>
            </w:pPr>
            <w:r w:rsidRPr="00BD34F7">
              <w:rPr>
                <w:sz w:val="18"/>
                <w:szCs w:val="18"/>
                <w:lang w:val="en-US"/>
              </w:rPr>
              <w:t xml:space="preserve">International Auditing and Assurance Standards Board, IAASB (2011). </w:t>
            </w:r>
            <w:r>
              <w:rPr>
                <w:i/>
                <w:iCs/>
                <w:sz w:val="18"/>
                <w:szCs w:val="18"/>
              </w:rPr>
              <w:t>Guía para el uso de las Normas Internacionales de Auditoría en auditorías de Pequeñas y Medianas Empresas</w:t>
            </w:r>
            <w:r>
              <w:rPr>
                <w:sz w:val="18"/>
                <w:szCs w:val="18"/>
              </w:rPr>
              <w:t>. 3a ed., Volúmenes I y II.</w:t>
            </w:r>
          </w:p>
          <w:p w14:paraId="21EC5219" w14:textId="77777777" w:rsidR="00990B14" w:rsidRDefault="00000000">
            <w:pPr>
              <w:numPr>
                <w:ilvl w:val="0"/>
                <w:numId w:val="140"/>
              </w:numPr>
              <w:spacing w:after="20"/>
              <w:jc w:val="both"/>
            </w:pPr>
            <w:r w:rsidRPr="00BD34F7">
              <w:rPr>
                <w:sz w:val="18"/>
                <w:szCs w:val="18"/>
                <w:lang w:val="en-US"/>
              </w:rPr>
              <w:t xml:space="preserve">International Auditing and Assurance Standards Board, IAASB (2018). </w:t>
            </w:r>
            <w:r w:rsidRPr="00BD34F7">
              <w:rPr>
                <w:i/>
                <w:iCs/>
                <w:sz w:val="18"/>
                <w:szCs w:val="18"/>
                <w:lang w:val="en-US"/>
              </w:rPr>
              <w:t>Guide to Using ISAs in the Audits of Small and Medium Sized Entities</w:t>
            </w:r>
            <w:r w:rsidRPr="00BD34F7">
              <w:rPr>
                <w:sz w:val="18"/>
                <w:szCs w:val="18"/>
                <w:lang w:val="en-US"/>
              </w:rPr>
              <w:t xml:space="preserve">. </w:t>
            </w:r>
            <w:r>
              <w:rPr>
                <w:sz w:val="18"/>
                <w:szCs w:val="18"/>
              </w:rPr>
              <w:t>4a ed., Volúmenes I y II.</w:t>
            </w:r>
          </w:p>
          <w:p w14:paraId="02165750" w14:textId="77777777" w:rsidR="00990B14" w:rsidRDefault="00000000">
            <w:pPr>
              <w:numPr>
                <w:ilvl w:val="0"/>
                <w:numId w:val="140"/>
              </w:numPr>
              <w:spacing w:after="20"/>
              <w:jc w:val="both"/>
            </w:pPr>
            <w:r w:rsidRPr="00BD34F7">
              <w:rPr>
                <w:sz w:val="18"/>
                <w:szCs w:val="18"/>
                <w:lang w:val="en-US"/>
              </w:rPr>
              <w:t xml:space="preserve">International Auditing and Assurance Standards Board, IAASB (2022). </w:t>
            </w:r>
            <w:r>
              <w:rPr>
                <w:sz w:val="18"/>
                <w:szCs w:val="18"/>
              </w:rPr>
              <w:t>Norma Internacional de Gestión de la Calidad 1 y Norma Internacional de Gestión de la Calidad 2. Nueva York.</w:t>
            </w:r>
          </w:p>
          <w:p w14:paraId="2E203D74" w14:textId="77777777" w:rsidR="00990B14" w:rsidRDefault="00000000">
            <w:pPr>
              <w:numPr>
                <w:ilvl w:val="0"/>
                <w:numId w:val="140"/>
              </w:numPr>
              <w:spacing w:after="20"/>
              <w:jc w:val="both"/>
            </w:pPr>
            <w:r w:rsidRPr="00BD34F7">
              <w:rPr>
                <w:sz w:val="18"/>
                <w:szCs w:val="18"/>
                <w:lang w:val="en-US"/>
              </w:rPr>
              <w:t xml:space="preserve">International Auditing and Assurance Standards Board, IAASB (2023). </w:t>
            </w:r>
            <w:r>
              <w:rPr>
                <w:sz w:val="18"/>
                <w:szCs w:val="18"/>
              </w:rPr>
              <w:t>Norma Internacional de Auditoría para Auditorías de Estados Financieros de Entidades Menos Complejas. Nueva York.</w:t>
            </w:r>
          </w:p>
          <w:p w14:paraId="25E2571F" w14:textId="77777777" w:rsidR="00990B14" w:rsidRDefault="00000000">
            <w:pPr>
              <w:numPr>
                <w:ilvl w:val="0"/>
                <w:numId w:val="140"/>
              </w:numPr>
              <w:spacing w:after="20"/>
              <w:jc w:val="both"/>
            </w:pPr>
            <w:r w:rsidRPr="00BD34F7">
              <w:rPr>
                <w:sz w:val="18"/>
                <w:szCs w:val="18"/>
                <w:lang w:val="en-US"/>
              </w:rPr>
              <w:t xml:space="preserve">International Auditing and Assurance Standards Board, IAASB (2024). </w:t>
            </w:r>
            <w:r>
              <w:rPr>
                <w:i/>
                <w:iCs/>
                <w:sz w:val="18"/>
                <w:szCs w:val="18"/>
              </w:rPr>
              <w:t>Manual de Pronunciamientos Internacionales de Control de Calidad, Auditoría, Revisión, Otros Encargos de Aseguramiento y Servicios Relacionados</w:t>
            </w:r>
            <w:r>
              <w:rPr>
                <w:sz w:val="18"/>
                <w:szCs w:val="18"/>
              </w:rPr>
              <w:t>. Edición 2021, Volumen I, II y III.</w:t>
            </w:r>
          </w:p>
          <w:p w14:paraId="773511C8" w14:textId="77777777" w:rsidR="00990B14" w:rsidRDefault="00000000">
            <w:pPr>
              <w:numPr>
                <w:ilvl w:val="0"/>
                <w:numId w:val="140"/>
              </w:numPr>
              <w:spacing w:after="20"/>
              <w:jc w:val="both"/>
            </w:pPr>
            <w:r w:rsidRPr="00BD34F7">
              <w:rPr>
                <w:sz w:val="18"/>
                <w:szCs w:val="18"/>
                <w:lang w:val="en-US"/>
              </w:rPr>
              <w:t xml:space="preserve">International Auditing and Assurance Standards Board, IAASB (2025). </w:t>
            </w:r>
            <w:r w:rsidRPr="00BD34F7">
              <w:rPr>
                <w:i/>
                <w:iCs/>
                <w:sz w:val="18"/>
                <w:szCs w:val="18"/>
                <w:lang w:val="en-US"/>
              </w:rPr>
              <w:t>Handbook of International Quality Control, Auditing, Review, Other Assurance, and Related Services Pronouncements</w:t>
            </w:r>
            <w:r w:rsidRPr="00BD34F7">
              <w:rPr>
                <w:sz w:val="18"/>
                <w:szCs w:val="18"/>
                <w:lang w:val="en-US"/>
              </w:rPr>
              <w:t xml:space="preserve">. </w:t>
            </w:r>
            <w:r>
              <w:rPr>
                <w:sz w:val="18"/>
                <w:szCs w:val="18"/>
              </w:rPr>
              <w:t>2025 Edition, Volume I, II, III, IV and V.</w:t>
            </w:r>
          </w:p>
          <w:p w14:paraId="49F81779" w14:textId="77777777" w:rsidR="00990B14" w:rsidRDefault="00000000">
            <w:pPr>
              <w:numPr>
                <w:ilvl w:val="0"/>
                <w:numId w:val="140"/>
              </w:numPr>
              <w:spacing w:after="20"/>
              <w:jc w:val="both"/>
            </w:pPr>
            <w:r w:rsidRPr="00BD34F7">
              <w:rPr>
                <w:sz w:val="18"/>
                <w:szCs w:val="18"/>
                <w:lang w:val="en-US"/>
              </w:rPr>
              <w:t xml:space="preserve">International Ethics Standards Board for Accountants, IESBA (2024). </w:t>
            </w:r>
            <w:r>
              <w:rPr>
                <w:i/>
                <w:iCs/>
                <w:sz w:val="18"/>
                <w:szCs w:val="18"/>
              </w:rPr>
              <w:t>Manual del Código de Ética para Contadores Profesionales</w:t>
            </w:r>
            <w:r>
              <w:rPr>
                <w:sz w:val="18"/>
                <w:szCs w:val="18"/>
              </w:rPr>
              <w:t>. Edición 2024.</w:t>
            </w:r>
          </w:p>
          <w:p w14:paraId="4DA95380" w14:textId="77777777" w:rsidR="00990B14" w:rsidRDefault="00000000">
            <w:pPr>
              <w:numPr>
                <w:ilvl w:val="0"/>
                <w:numId w:val="140"/>
              </w:numPr>
              <w:spacing w:after="20"/>
              <w:jc w:val="both"/>
            </w:pPr>
            <w:r w:rsidRPr="00BD34F7">
              <w:rPr>
                <w:sz w:val="18"/>
                <w:szCs w:val="18"/>
                <w:lang w:val="en-US"/>
              </w:rPr>
              <w:t xml:space="preserve">International Ethics Standards Board for Accountants, IESBA (2025). </w:t>
            </w:r>
            <w:r w:rsidRPr="00BD34F7">
              <w:rPr>
                <w:i/>
                <w:iCs/>
                <w:sz w:val="18"/>
                <w:szCs w:val="18"/>
                <w:lang w:val="en-US"/>
              </w:rPr>
              <w:t>Handbook of the International Code of Ethics for Professional Accountants</w:t>
            </w:r>
            <w:r w:rsidRPr="00BD34F7">
              <w:rPr>
                <w:sz w:val="18"/>
                <w:szCs w:val="18"/>
                <w:lang w:val="en-US"/>
              </w:rPr>
              <w:t xml:space="preserve">. </w:t>
            </w:r>
            <w:r>
              <w:rPr>
                <w:sz w:val="18"/>
                <w:szCs w:val="18"/>
              </w:rPr>
              <w:t>2025 Edition, Volume I and II.</w:t>
            </w:r>
          </w:p>
        </w:tc>
      </w:tr>
      <w:tr w:rsidR="00990B14" w14:paraId="547B4B85" w14:textId="77777777">
        <w:trPr>
          <w:jc w:val="center"/>
        </w:trPr>
        <w:tc>
          <w:tcPr>
            <w:tcW w:w="9405" w:type="dxa"/>
            <w:shd w:val="clear" w:color="auto" w:fill="D9E2F3"/>
          </w:tcPr>
          <w:p w14:paraId="1EF81BDC" w14:textId="77777777" w:rsidR="00990B14" w:rsidRDefault="00000000">
            <w:pPr>
              <w:spacing w:before="40" w:after="40"/>
              <w:jc w:val="both"/>
            </w:pPr>
            <w:r>
              <w:rPr>
                <w:b/>
                <w:bCs/>
                <w:i/>
                <w:iCs/>
                <w:sz w:val="18"/>
                <w:szCs w:val="18"/>
              </w:rPr>
              <w:t>Bibliografía complementaria:</w:t>
            </w:r>
          </w:p>
          <w:p w14:paraId="2F5184BD" w14:textId="77777777" w:rsidR="00990B14" w:rsidRDefault="00000000">
            <w:pPr>
              <w:numPr>
                <w:ilvl w:val="0"/>
                <w:numId w:val="140"/>
              </w:numPr>
              <w:spacing w:after="20"/>
              <w:jc w:val="both"/>
            </w:pPr>
            <w:r>
              <w:rPr>
                <w:sz w:val="18"/>
                <w:szCs w:val="18"/>
              </w:rPr>
              <w:t xml:space="preserve">Arens, A. y Loebbecke, J. (1996). </w:t>
            </w:r>
            <w:r>
              <w:rPr>
                <w:i/>
                <w:iCs/>
                <w:sz w:val="18"/>
                <w:szCs w:val="18"/>
              </w:rPr>
              <w:t>Auditoría, un enfoque integral</w:t>
            </w:r>
            <w:r>
              <w:rPr>
                <w:sz w:val="18"/>
                <w:szCs w:val="18"/>
              </w:rPr>
              <w:t>. 6a ed. México: Prentice Hall Hispanoamericana.</w:t>
            </w:r>
          </w:p>
          <w:p w14:paraId="655E1AE1" w14:textId="77777777" w:rsidR="00990B14" w:rsidRDefault="00000000">
            <w:pPr>
              <w:numPr>
                <w:ilvl w:val="0"/>
                <w:numId w:val="140"/>
              </w:numPr>
              <w:spacing w:after="20"/>
              <w:jc w:val="both"/>
            </w:pPr>
            <w:r>
              <w:rPr>
                <w:sz w:val="18"/>
                <w:szCs w:val="18"/>
              </w:rPr>
              <w:t>Colegio de Auditores o Contadores Públicos de Bolivia: https://www.auditores.org.bo y Federación Internacional de Contadores: https://www.ifac.org</w:t>
            </w:r>
          </w:p>
          <w:p w14:paraId="663A09DF" w14:textId="77777777" w:rsidR="00990B14" w:rsidRDefault="00000000">
            <w:pPr>
              <w:numPr>
                <w:ilvl w:val="0"/>
                <w:numId w:val="140"/>
              </w:numPr>
              <w:spacing w:after="20"/>
              <w:jc w:val="both"/>
            </w:pPr>
            <w:r w:rsidRPr="00BD34F7">
              <w:rPr>
                <w:sz w:val="18"/>
                <w:szCs w:val="18"/>
                <w:lang w:val="en-US"/>
              </w:rPr>
              <w:t xml:space="preserve">Committee of Sponsoring Organizations of the Treadway Commission – PricewaterhouseCoopers; Instituto de Auditores Internos (2013). </w:t>
            </w:r>
            <w:r>
              <w:rPr>
                <w:i/>
                <w:iCs/>
                <w:sz w:val="18"/>
                <w:szCs w:val="18"/>
              </w:rPr>
              <w:t>Control Interno – Marco Integrado</w:t>
            </w:r>
            <w:r>
              <w:rPr>
                <w:sz w:val="18"/>
                <w:szCs w:val="18"/>
              </w:rPr>
              <w:t>.</w:t>
            </w:r>
          </w:p>
          <w:p w14:paraId="5B998B93" w14:textId="77777777" w:rsidR="00990B14" w:rsidRDefault="00000000">
            <w:pPr>
              <w:numPr>
                <w:ilvl w:val="0"/>
                <w:numId w:val="140"/>
              </w:numPr>
              <w:spacing w:after="20"/>
              <w:jc w:val="both"/>
            </w:pPr>
            <w:r w:rsidRPr="00BD34F7">
              <w:rPr>
                <w:sz w:val="18"/>
                <w:szCs w:val="18"/>
                <w:lang w:val="en-US"/>
              </w:rPr>
              <w:t xml:space="preserve">Fowler Newton, E. (s.f.). </w:t>
            </w:r>
            <w:r>
              <w:rPr>
                <w:i/>
                <w:iCs/>
                <w:sz w:val="18"/>
                <w:szCs w:val="18"/>
              </w:rPr>
              <w:t>Auditoría aplicada</w:t>
            </w:r>
            <w:r>
              <w:rPr>
                <w:sz w:val="18"/>
                <w:szCs w:val="18"/>
              </w:rPr>
              <w:t>. Ediciones Macchi.</w:t>
            </w:r>
          </w:p>
          <w:p w14:paraId="2C8C5EE5" w14:textId="77777777" w:rsidR="00990B14" w:rsidRDefault="00000000">
            <w:pPr>
              <w:numPr>
                <w:ilvl w:val="0"/>
                <w:numId w:val="140"/>
              </w:numPr>
              <w:spacing w:after="20"/>
              <w:jc w:val="both"/>
            </w:pPr>
            <w:r>
              <w:rPr>
                <w:sz w:val="18"/>
                <w:szCs w:val="18"/>
              </w:rPr>
              <w:t xml:space="preserve">Mantilla, S. A. (2004). </w:t>
            </w:r>
            <w:r>
              <w:rPr>
                <w:i/>
                <w:iCs/>
                <w:sz w:val="18"/>
                <w:szCs w:val="18"/>
              </w:rPr>
              <w:t>Auditoría 2005</w:t>
            </w:r>
            <w:r>
              <w:rPr>
                <w:sz w:val="18"/>
                <w:szCs w:val="18"/>
              </w:rPr>
              <w:t>. Bogotá – Colombia: ECOE Ediciones.</w:t>
            </w:r>
          </w:p>
          <w:p w14:paraId="20213E87" w14:textId="77777777" w:rsidR="00990B14" w:rsidRDefault="00000000">
            <w:pPr>
              <w:numPr>
                <w:ilvl w:val="0"/>
                <w:numId w:val="140"/>
              </w:numPr>
              <w:spacing w:after="20"/>
              <w:jc w:val="both"/>
            </w:pPr>
            <w:r>
              <w:rPr>
                <w:sz w:val="18"/>
                <w:szCs w:val="18"/>
              </w:rPr>
              <w:t>Páginas de Internet.</w:t>
            </w:r>
          </w:p>
          <w:p w14:paraId="36687186" w14:textId="77777777" w:rsidR="00990B14" w:rsidRDefault="00000000">
            <w:pPr>
              <w:numPr>
                <w:ilvl w:val="0"/>
                <w:numId w:val="140"/>
              </w:numPr>
              <w:spacing w:after="20"/>
              <w:jc w:val="both"/>
            </w:pPr>
            <w:r>
              <w:rPr>
                <w:sz w:val="18"/>
                <w:szCs w:val="18"/>
              </w:rPr>
              <w:t xml:space="preserve">Peláez, V. y Gonzales, C. (2017). </w:t>
            </w:r>
            <w:r>
              <w:rPr>
                <w:i/>
                <w:iCs/>
                <w:sz w:val="18"/>
                <w:szCs w:val="18"/>
              </w:rPr>
              <w:t>Informes de Auditoría de Estados Financieros</w:t>
            </w:r>
            <w:r>
              <w:rPr>
                <w:sz w:val="18"/>
                <w:szCs w:val="18"/>
              </w:rPr>
              <w:t>. 2a ed. La Paz – Bolivia.</w:t>
            </w:r>
          </w:p>
          <w:p w14:paraId="5FD7E929" w14:textId="77777777" w:rsidR="00990B14" w:rsidRDefault="00000000">
            <w:pPr>
              <w:numPr>
                <w:ilvl w:val="0"/>
                <w:numId w:val="140"/>
              </w:numPr>
              <w:spacing w:after="20"/>
              <w:jc w:val="both"/>
            </w:pPr>
            <w:r>
              <w:rPr>
                <w:sz w:val="18"/>
                <w:szCs w:val="18"/>
              </w:rPr>
              <w:t xml:space="preserve">Peláez, V. y Gonzales, C. (2021). </w:t>
            </w:r>
            <w:r>
              <w:rPr>
                <w:i/>
                <w:iCs/>
                <w:sz w:val="18"/>
                <w:szCs w:val="18"/>
              </w:rPr>
              <w:t>Informes de Auditoría de Estados Financieros</w:t>
            </w:r>
            <w:r>
              <w:rPr>
                <w:sz w:val="18"/>
                <w:szCs w:val="18"/>
              </w:rPr>
              <w:t>. La Paz – Bolivia.</w:t>
            </w:r>
          </w:p>
          <w:p w14:paraId="7918AEAC" w14:textId="77777777" w:rsidR="00990B14" w:rsidRDefault="00000000">
            <w:pPr>
              <w:numPr>
                <w:ilvl w:val="0"/>
                <w:numId w:val="140"/>
              </w:numPr>
              <w:spacing w:after="20"/>
              <w:jc w:val="both"/>
            </w:pPr>
            <w:r>
              <w:rPr>
                <w:sz w:val="18"/>
                <w:szCs w:val="18"/>
              </w:rPr>
              <w:t xml:space="preserve">Slosse, C. (1995). </w:t>
            </w:r>
            <w:r>
              <w:rPr>
                <w:i/>
                <w:iCs/>
                <w:sz w:val="18"/>
                <w:szCs w:val="18"/>
              </w:rPr>
              <w:t>Auditoría, un nuevo enfoque empresarial</w:t>
            </w:r>
            <w:r>
              <w:rPr>
                <w:sz w:val="18"/>
                <w:szCs w:val="18"/>
              </w:rPr>
              <w:t>. 2a ed. Buenos Aires – Argentina: Ediciones Macchi.</w:t>
            </w:r>
          </w:p>
          <w:p w14:paraId="42F1E216" w14:textId="77777777" w:rsidR="00990B14" w:rsidRDefault="00000000">
            <w:pPr>
              <w:numPr>
                <w:ilvl w:val="0"/>
                <w:numId w:val="140"/>
              </w:numPr>
              <w:spacing w:after="20"/>
              <w:jc w:val="both"/>
            </w:pPr>
            <w:r w:rsidRPr="00BD34F7">
              <w:rPr>
                <w:sz w:val="18"/>
                <w:szCs w:val="18"/>
                <w:lang w:val="en-US"/>
              </w:rPr>
              <w:t xml:space="preserve">Whittington, R. y Pany, K. (2005). </w:t>
            </w:r>
            <w:r>
              <w:rPr>
                <w:i/>
                <w:iCs/>
                <w:sz w:val="18"/>
                <w:szCs w:val="18"/>
              </w:rPr>
              <w:t>Principios de Auditoría</w:t>
            </w:r>
            <w:r>
              <w:rPr>
                <w:sz w:val="18"/>
                <w:szCs w:val="18"/>
              </w:rPr>
              <w:t>. 14a ed. México: McGraw Hill.</w:t>
            </w:r>
          </w:p>
        </w:tc>
      </w:tr>
    </w:tbl>
    <w:p w14:paraId="190D0BE1" w14:textId="77777777" w:rsidR="00990B14" w:rsidRDefault="00000000">
      <w:pPr>
        <w:pStyle w:val="TituloPlanAsignatura"/>
        <w:keepNext/>
        <w:pageBreakBefore/>
        <w:spacing w:after="120"/>
        <w:jc w:val="center"/>
        <w:outlineLvl w:val="2"/>
      </w:pPr>
      <w:bookmarkStart w:id="185" w:name="_Toc000000126"/>
      <w:r>
        <w:rPr>
          <w:b/>
          <w:bCs/>
          <w:sz w:val="24"/>
          <w:szCs w:val="24"/>
        </w:rPr>
        <w:t>CPA-503 Auditoría Tributaria</w:t>
      </w:r>
      <w:bookmarkEnd w:id="185"/>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249"/>
        <w:gridCol w:w="1100"/>
        <w:gridCol w:w="149"/>
        <w:gridCol w:w="635"/>
        <w:gridCol w:w="615"/>
        <w:gridCol w:w="952"/>
        <w:gridCol w:w="298"/>
        <w:gridCol w:w="1250"/>
        <w:gridCol w:w="20"/>
        <w:gridCol w:w="385"/>
        <w:gridCol w:w="398"/>
        <w:gridCol w:w="447"/>
        <w:gridCol w:w="1907"/>
      </w:tblGrid>
      <w:tr w:rsidR="00990B14" w14:paraId="76076C24" w14:textId="77777777">
        <w:trPr>
          <w:cantSplit/>
          <w:jc w:val="center"/>
        </w:trPr>
        <w:tc>
          <w:tcPr>
            <w:tcW w:w="2349" w:type="dxa"/>
            <w:gridSpan w:val="2"/>
            <w:shd w:val="clear" w:color="auto" w:fill="4472C4"/>
            <w:vAlign w:val="center"/>
          </w:tcPr>
          <w:p w14:paraId="248D730F" w14:textId="77777777" w:rsidR="00990B14" w:rsidRDefault="00000000">
            <w:pPr>
              <w:keepNext/>
              <w:spacing w:before="20" w:after="20"/>
              <w:jc w:val="center"/>
            </w:pPr>
            <w:r>
              <w:rPr>
                <w:b/>
                <w:bCs/>
                <w:i/>
                <w:iCs/>
                <w:color w:val="FFFFFF"/>
                <w:sz w:val="18"/>
                <w:szCs w:val="18"/>
              </w:rPr>
              <w:t>Asignatura</w:t>
            </w:r>
          </w:p>
        </w:tc>
        <w:tc>
          <w:tcPr>
            <w:tcW w:w="2351" w:type="dxa"/>
            <w:gridSpan w:val="4"/>
            <w:shd w:val="clear" w:color="auto" w:fill="4472C4"/>
            <w:vAlign w:val="center"/>
          </w:tcPr>
          <w:p w14:paraId="6183C264" w14:textId="77777777" w:rsidR="00990B14" w:rsidRDefault="00000000">
            <w:pPr>
              <w:keepNext/>
              <w:spacing w:before="20" w:after="20"/>
              <w:jc w:val="center"/>
            </w:pPr>
            <w:r>
              <w:rPr>
                <w:b/>
                <w:bCs/>
                <w:i/>
                <w:iCs/>
                <w:color w:val="FFFFFF"/>
                <w:sz w:val="18"/>
                <w:szCs w:val="18"/>
              </w:rPr>
              <w:t>Sigla</w:t>
            </w:r>
          </w:p>
        </w:tc>
        <w:tc>
          <w:tcPr>
            <w:tcW w:w="2351" w:type="dxa"/>
            <w:gridSpan w:val="5"/>
            <w:shd w:val="clear" w:color="auto" w:fill="4472C4"/>
            <w:vAlign w:val="center"/>
          </w:tcPr>
          <w:p w14:paraId="16C55C29" w14:textId="77777777" w:rsidR="00990B14" w:rsidRDefault="00000000">
            <w:pPr>
              <w:keepNext/>
              <w:spacing w:before="20" w:after="20"/>
              <w:jc w:val="center"/>
            </w:pPr>
            <w:r>
              <w:rPr>
                <w:b/>
                <w:bCs/>
                <w:i/>
                <w:iCs/>
                <w:color w:val="FFFFFF"/>
                <w:sz w:val="18"/>
                <w:szCs w:val="18"/>
              </w:rPr>
              <w:t>Nivel/Área</w:t>
            </w:r>
          </w:p>
        </w:tc>
        <w:tc>
          <w:tcPr>
            <w:tcW w:w="2354" w:type="dxa"/>
            <w:gridSpan w:val="2"/>
            <w:shd w:val="clear" w:color="auto" w:fill="4472C4"/>
            <w:vAlign w:val="center"/>
          </w:tcPr>
          <w:p w14:paraId="2C6D3E9A" w14:textId="77777777" w:rsidR="00990B14" w:rsidRDefault="00000000">
            <w:pPr>
              <w:keepNext/>
              <w:spacing w:before="20" w:after="20"/>
              <w:jc w:val="center"/>
            </w:pPr>
            <w:r>
              <w:rPr>
                <w:b/>
                <w:bCs/>
                <w:i/>
                <w:iCs/>
                <w:color w:val="FFFFFF"/>
                <w:sz w:val="18"/>
                <w:szCs w:val="18"/>
              </w:rPr>
              <w:t>Prerrequisito</w:t>
            </w:r>
          </w:p>
        </w:tc>
      </w:tr>
      <w:tr w:rsidR="00990B14" w14:paraId="7E2919A1" w14:textId="77777777">
        <w:trPr>
          <w:cantSplit/>
          <w:jc w:val="center"/>
        </w:trPr>
        <w:tc>
          <w:tcPr>
            <w:tcW w:w="2349" w:type="dxa"/>
            <w:gridSpan w:val="2"/>
            <w:shd w:val="clear" w:color="auto" w:fill="D9E2F3"/>
            <w:vAlign w:val="center"/>
          </w:tcPr>
          <w:p w14:paraId="15CC84E3" w14:textId="77777777" w:rsidR="00990B14" w:rsidRDefault="00000000">
            <w:pPr>
              <w:spacing w:before="20" w:after="20"/>
              <w:jc w:val="center"/>
            </w:pPr>
            <w:r>
              <w:rPr>
                <w:b/>
                <w:bCs/>
                <w:i/>
                <w:iCs/>
                <w:sz w:val="18"/>
                <w:szCs w:val="18"/>
              </w:rPr>
              <w:t>Auditoría Tributaria</w:t>
            </w:r>
          </w:p>
        </w:tc>
        <w:tc>
          <w:tcPr>
            <w:tcW w:w="2351" w:type="dxa"/>
            <w:gridSpan w:val="4"/>
            <w:shd w:val="clear" w:color="auto" w:fill="D9E2F3"/>
            <w:vAlign w:val="center"/>
          </w:tcPr>
          <w:p w14:paraId="6212A9D7" w14:textId="77777777" w:rsidR="00990B14" w:rsidRDefault="00000000">
            <w:pPr>
              <w:spacing w:before="20" w:after="20"/>
              <w:jc w:val="center"/>
            </w:pPr>
            <w:r>
              <w:rPr>
                <w:b/>
                <w:bCs/>
                <w:i/>
                <w:iCs/>
                <w:sz w:val="18"/>
                <w:szCs w:val="18"/>
              </w:rPr>
              <w:t>CPA-503</w:t>
            </w:r>
          </w:p>
        </w:tc>
        <w:tc>
          <w:tcPr>
            <w:tcW w:w="2351" w:type="dxa"/>
            <w:gridSpan w:val="5"/>
            <w:shd w:val="clear" w:color="auto" w:fill="D9E2F3"/>
            <w:vAlign w:val="center"/>
          </w:tcPr>
          <w:p w14:paraId="010A91D9" w14:textId="77777777" w:rsidR="00990B14" w:rsidRDefault="00000000">
            <w:pPr>
              <w:spacing w:before="20" w:after="20"/>
              <w:jc w:val="center"/>
            </w:pPr>
            <w:r>
              <w:rPr>
                <w:b/>
                <w:bCs/>
                <w:i/>
                <w:iCs/>
                <w:sz w:val="18"/>
                <w:szCs w:val="18"/>
              </w:rPr>
              <w:t>Aseguramiento</w:t>
            </w:r>
          </w:p>
        </w:tc>
        <w:tc>
          <w:tcPr>
            <w:tcW w:w="2354" w:type="dxa"/>
            <w:gridSpan w:val="2"/>
            <w:shd w:val="clear" w:color="auto" w:fill="D9E2F3"/>
            <w:vAlign w:val="center"/>
          </w:tcPr>
          <w:p w14:paraId="0D89E529" w14:textId="77777777" w:rsidR="00990B14" w:rsidRDefault="00000000">
            <w:pPr>
              <w:spacing w:before="20" w:after="20"/>
              <w:jc w:val="center"/>
            </w:pPr>
            <w:r>
              <w:rPr>
                <w:b/>
                <w:bCs/>
                <w:i/>
                <w:iCs/>
                <w:sz w:val="18"/>
                <w:szCs w:val="18"/>
              </w:rPr>
              <w:t>CPA-401 a CPA-408</w:t>
            </w:r>
          </w:p>
        </w:tc>
      </w:tr>
      <w:tr w:rsidR="00990B14" w14:paraId="74866C7A" w14:textId="77777777">
        <w:trPr>
          <w:cantSplit/>
          <w:jc w:val="center"/>
        </w:trPr>
        <w:tc>
          <w:tcPr>
            <w:tcW w:w="7498" w:type="dxa"/>
            <w:gridSpan w:val="12"/>
            <w:shd w:val="clear" w:color="auto" w:fill="4472C4"/>
            <w:vAlign w:val="center"/>
          </w:tcPr>
          <w:p w14:paraId="09C922A0" w14:textId="77777777" w:rsidR="00990B14" w:rsidRDefault="00000000">
            <w:pPr>
              <w:keepNext/>
              <w:spacing w:before="20" w:after="20"/>
              <w:jc w:val="center"/>
            </w:pPr>
            <w:r>
              <w:rPr>
                <w:b/>
                <w:bCs/>
                <w:i/>
                <w:iCs/>
                <w:color w:val="FFFFFF"/>
                <w:sz w:val="18"/>
                <w:szCs w:val="18"/>
              </w:rPr>
              <w:t>Carga Horaria</w:t>
            </w:r>
          </w:p>
        </w:tc>
        <w:tc>
          <w:tcPr>
            <w:tcW w:w="1907" w:type="dxa"/>
            <w:shd w:val="clear" w:color="auto" w:fill="4472C4"/>
            <w:vAlign w:val="center"/>
          </w:tcPr>
          <w:p w14:paraId="04420A01" w14:textId="77777777" w:rsidR="00990B14" w:rsidRDefault="00000000">
            <w:pPr>
              <w:keepNext/>
              <w:spacing w:before="20" w:after="20"/>
              <w:jc w:val="center"/>
            </w:pPr>
            <w:r>
              <w:rPr>
                <w:b/>
                <w:bCs/>
                <w:i/>
                <w:iCs/>
                <w:color w:val="FFFFFF"/>
                <w:sz w:val="18"/>
                <w:szCs w:val="18"/>
              </w:rPr>
              <w:t>Créditos</w:t>
            </w:r>
          </w:p>
        </w:tc>
      </w:tr>
      <w:tr w:rsidR="00990B14" w14:paraId="3E8BCA3D" w14:textId="77777777">
        <w:trPr>
          <w:cantSplit/>
          <w:jc w:val="center"/>
        </w:trPr>
        <w:tc>
          <w:tcPr>
            <w:tcW w:w="1249" w:type="dxa"/>
            <w:shd w:val="clear" w:color="auto" w:fill="4472C4"/>
            <w:vAlign w:val="center"/>
          </w:tcPr>
          <w:p w14:paraId="63FC734A" w14:textId="77777777" w:rsidR="00990B14" w:rsidRDefault="00000000">
            <w:pPr>
              <w:keepNext/>
              <w:spacing w:before="20" w:after="20"/>
              <w:jc w:val="center"/>
            </w:pPr>
            <w:r>
              <w:rPr>
                <w:b/>
                <w:bCs/>
                <w:i/>
                <w:iCs/>
                <w:color w:val="FFFFFF"/>
                <w:sz w:val="18"/>
                <w:szCs w:val="18"/>
              </w:rPr>
              <w:t>HP</w:t>
            </w:r>
          </w:p>
        </w:tc>
        <w:tc>
          <w:tcPr>
            <w:tcW w:w="1249" w:type="dxa"/>
            <w:gridSpan w:val="2"/>
            <w:shd w:val="clear" w:color="auto" w:fill="4472C4"/>
            <w:vAlign w:val="center"/>
          </w:tcPr>
          <w:p w14:paraId="66DFB82B" w14:textId="77777777" w:rsidR="00990B14" w:rsidRDefault="00000000">
            <w:pPr>
              <w:keepNext/>
              <w:spacing w:before="20" w:after="20"/>
              <w:jc w:val="center"/>
            </w:pPr>
            <w:r>
              <w:rPr>
                <w:b/>
                <w:bCs/>
                <w:i/>
                <w:iCs/>
                <w:color w:val="FFFFFF"/>
                <w:sz w:val="18"/>
                <w:szCs w:val="18"/>
              </w:rPr>
              <w:t>HAA</w:t>
            </w:r>
          </w:p>
        </w:tc>
        <w:tc>
          <w:tcPr>
            <w:tcW w:w="1250" w:type="dxa"/>
            <w:gridSpan w:val="2"/>
            <w:shd w:val="clear" w:color="auto" w:fill="4472C4"/>
            <w:vAlign w:val="center"/>
          </w:tcPr>
          <w:p w14:paraId="2FA9451B" w14:textId="77777777" w:rsidR="00990B14" w:rsidRDefault="00000000">
            <w:pPr>
              <w:keepNext/>
              <w:spacing w:before="20" w:after="20"/>
              <w:jc w:val="center"/>
            </w:pPr>
            <w:r>
              <w:rPr>
                <w:b/>
                <w:bCs/>
                <w:i/>
                <w:iCs/>
                <w:color w:val="FFFFFF"/>
                <w:sz w:val="18"/>
                <w:szCs w:val="18"/>
              </w:rPr>
              <w:t>HTG</w:t>
            </w:r>
          </w:p>
        </w:tc>
        <w:tc>
          <w:tcPr>
            <w:tcW w:w="1250" w:type="dxa"/>
            <w:gridSpan w:val="2"/>
            <w:shd w:val="clear" w:color="auto" w:fill="4472C4"/>
            <w:vAlign w:val="center"/>
          </w:tcPr>
          <w:p w14:paraId="0BCCDD7A" w14:textId="77777777" w:rsidR="00990B14" w:rsidRDefault="00000000">
            <w:pPr>
              <w:keepNext/>
              <w:spacing w:before="20" w:after="20"/>
              <w:jc w:val="center"/>
            </w:pPr>
            <w:r>
              <w:rPr>
                <w:b/>
                <w:bCs/>
                <w:i/>
                <w:iCs/>
                <w:color w:val="FFFFFF"/>
                <w:sz w:val="18"/>
                <w:szCs w:val="18"/>
              </w:rPr>
              <w:t>HIP</w:t>
            </w:r>
          </w:p>
        </w:tc>
        <w:tc>
          <w:tcPr>
            <w:tcW w:w="1250" w:type="dxa"/>
            <w:shd w:val="clear" w:color="auto" w:fill="4472C4"/>
            <w:vAlign w:val="center"/>
          </w:tcPr>
          <w:p w14:paraId="4D593B6E" w14:textId="77777777" w:rsidR="00990B14" w:rsidRDefault="00000000">
            <w:pPr>
              <w:keepNext/>
              <w:spacing w:before="20" w:after="20"/>
              <w:jc w:val="center"/>
            </w:pPr>
            <w:r>
              <w:rPr>
                <w:b/>
                <w:bCs/>
                <w:i/>
                <w:iCs/>
                <w:color w:val="FFFFFF"/>
                <w:sz w:val="18"/>
                <w:szCs w:val="18"/>
              </w:rPr>
              <w:t>HE</w:t>
            </w:r>
          </w:p>
        </w:tc>
        <w:tc>
          <w:tcPr>
            <w:tcW w:w="1250" w:type="dxa"/>
            <w:gridSpan w:val="4"/>
            <w:shd w:val="clear" w:color="auto" w:fill="4472C4"/>
            <w:vAlign w:val="center"/>
          </w:tcPr>
          <w:p w14:paraId="7349C7F2" w14:textId="77777777" w:rsidR="00990B14" w:rsidRDefault="00000000">
            <w:pPr>
              <w:keepNext/>
              <w:spacing w:before="20" w:after="20"/>
              <w:jc w:val="center"/>
            </w:pPr>
            <w:r>
              <w:rPr>
                <w:b/>
                <w:bCs/>
                <w:i/>
                <w:iCs/>
                <w:color w:val="FFFFFF"/>
                <w:sz w:val="18"/>
                <w:szCs w:val="18"/>
              </w:rPr>
              <w:t>TOTAL</w:t>
            </w:r>
          </w:p>
        </w:tc>
        <w:tc>
          <w:tcPr>
            <w:tcW w:w="1907" w:type="dxa"/>
            <w:vMerge w:val="restart"/>
            <w:shd w:val="clear" w:color="auto" w:fill="D9E2F3"/>
            <w:vAlign w:val="center"/>
          </w:tcPr>
          <w:p w14:paraId="708878B6" w14:textId="77777777" w:rsidR="00990B14" w:rsidRDefault="00000000">
            <w:pPr>
              <w:spacing w:before="20" w:after="20"/>
              <w:jc w:val="center"/>
            </w:pPr>
            <w:r>
              <w:rPr>
                <w:sz w:val="18"/>
                <w:szCs w:val="18"/>
              </w:rPr>
              <w:t>8</w:t>
            </w:r>
          </w:p>
        </w:tc>
      </w:tr>
      <w:tr w:rsidR="00990B14" w14:paraId="49E7E119" w14:textId="77777777">
        <w:trPr>
          <w:cantSplit/>
          <w:jc w:val="center"/>
        </w:trPr>
        <w:tc>
          <w:tcPr>
            <w:tcW w:w="1249" w:type="dxa"/>
            <w:shd w:val="clear" w:color="auto" w:fill="D9E2F3"/>
            <w:vAlign w:val="center"/>
          </w:tcPr>
          <w:p w14:paraId="13DA6433" w14:textId="77777777" w:rsidR="00990B14" w:rsidRDefault="00000000">
            <w:pPr>
              <w:spacing w:before="20" w:after="20"/>
              <w:jc w:val="center"/>
            </w:pPr>
            <w:r>
              <w:rPr>
                <w:sz w:val="18"/>
                <w:szCs w:val="18"/>
              </w:rPr>
              <w:t>160</w:t>
            </w:r>
          </w:p>
        </w:tc>
        <w:tc>
          <w:tcPr>
            <w:tcW w:w="1249" w:type="dxa"/>
            <w:gridSpan w:val="2"/>
            <w:shd w:val="clear" w:color="auto" w:fill="D9E2F3"/>
            <w:vAlign w:val="center"/>
          </w:tcPr>
          <w:p w14:paraId="3C42AA6E" w14:textId="77777777" w:rsidR="00990B14" w:rsidRDefault="00000000">
            <w:pPr>
              <w:spacing w:before="20" w:after="20"/>
              <w:jc w:val="center"/>
            </w:pPr>
            <w:r>
              <w:rPr>
                <w:sz w:val="18"/>
                <w:szCs w:val="18"/>
              </w:rPr>
              <w:t>16</w:t>
            </w:r>
          </w:p>
        </w:tc>
        <w:tc>
          <w:tcPr>
            <w:tcW w:w="1250" w:type="dxa"/>
            <w:gridSpan w:val="2"/>
            <w:shd w:val="clear" w:color="auto" w:fill="D9E2F3"/>
            <w:vAlign w:val="center"/>
          </w:tcPr>
          <w:p w14:paraId="649116C0" w14:textId="77777777" w:rsidR="00990B14" w:rsidRDefault="00000000">
            <w:pPr>
              <w:spacing w:before="20" w:after="20"/>
              <w:jc w:val="center"/>
            </w:pPr>
            <w:r>
              <w:rPr>
                <w:sz w:val="18"/>
                <w:szCs w:val="18"/>
              </w:rPr>
              <w:t>16</w:t>
            </w:r>
          </w:p>
        </w:tc>
        <w:tc>
          <w:tcPr>
            <w:tcW w:w="1250" w:type="dxa"/>
            <w:gridSpan w:val="2"/>
            <w:shd w:val="clear" w:color="auto" w:fill="D9E2F3"/>
            <w:vAlign w:val="center"/>
          </w:tcPr>
          <w:p w14:paraId="2D22A6F5" w14:textId="77777777" w:rsidR="00990B14" w:rsidRDefault="00000000">
            <w:pPr>
              <w:spacing w:before="20" w:after="20"/>
              <w:jc w:val="center"/>
            </w:pPr>
            <w:r>
              <w:rPr>
                <w:sz w:val="18"/>
                <w:szCs w:val="18"/>
              </w:rPr>
              <w:t>32</w:t>
            </w:r>
          </w:p>
        </w:tc>
        <w:tc>
          <w:tcPr>
            <w:tcW w:w="1250" w:type="dxa"/>
            <w:shd w:val="clear" w:color="auto" w:fill="D9E2F3"/>
            <w:vAlign w:val="center"/>
          </w:tcPr>
          <w:p w14:paraId="256BCB5D" w14:textId="77777777" w:rsidR="00990B14" w:rsidRDefault="00000000">
            <w:pPr>
              <w:spacing w:before="20" w:after="20"/>
              <w:jc w:val="center"/>
            </w:pPr>
            <w:r>
              <w:rPr>
                <w:sz w:val="18"/>
                <w:szCs w:val="18"/>
              </w:rPr>
              <w:t>16</w:t>
            </w:r>
          </w:p>
        </w:tc>
        <w:tc>
          <w:tcPr>
            <w:tcW w:w="1250" w:type="dxa"/>
            <w:gridSpan w:val="4"/>
            <w:shd w:val="clear" w:color="auto" w:fill="D9E2F3"/>
            <w:vAlign w:val="center"/>
          </w:tcPr>
          <w:p w14:paraId="336577C4" w14:textId="77777777" w:rsidR="00990B14" w:rsidRDefault="00000000">
            <w:pPr>
              <w:spacing w:before="20" w:after="20"/>
              <w:jc w:val="center"/>
            </w:pPr>
            <w:r>
              <w:rPr>
                <w:sz w:val="18"/>
                <w:szCs w:val="18"/>
              </w:rPr>
              <w:t>240</w:t>
            </w:r>
          </w:p>
        </w:tc>
        <w:tc>
          <w:tcPr>
            <w:tcW w:w="1907" w:type="dxa"/>
            <w:vMerge/>
            <w:shd w:val="clear" w:color="auto" w:fill="D9E2F3"/>
            <w:vAlign w:val="center"/>
          </w:tcPr>
          <w:p w14:paraId="56B070E5" w14:textId="77777777" w:rsidR="00990B14" w:rsidRDefault="00990B14">
            <w:pPr>
              <w:spacing w:before="20" w:after="20"/>
            </w:pPr>
          </w:p>
        </w:tc>
      </w:tr>
      <w:tr w:rsidR="00990B14" w14:paraId="00D3EF4E" w14:textId="77777777">
        <w:trPr>
          <w:cantSplit/>
          <w:jc w:val="center"/>
        </w:trPr>
        <w:tc>
          <w:tcPr>
            <w:tcW w:w="9405" w:type="dxa"/>
            <w:gridSpan w:val="13"/>
            <w:shd w:val="clear" w:color="auto" w:fill="4472C4"/>
            <w:vAlign w:val="center"/>
          </w:tcPr>
          <w:p w14:paraId="5FB3691A" w14:textId="77777777" w:rsidR="00990B14" w:rsidRDefault="00000000">
            <w:pPr>
              <w:keepNext/>
              <w:spacing w:before="20" w:after="20"/>
              <w:jc w:val="center"/>
            </w:pPr>
            <w:r>
              <w:rPr>
                <w:b/>
                <w:bCs/>
                <w:i/>
                <w:iCs/>
                <w:color w:val="FFFFFF"/>
                <w:sz w:val="18"/>
                <w:szCs w:val="18"/>
              </w:rPr>
              <w:t>Unidad de Competencia</w:t>
            </w:r>
          </w:p>
        </w:tc>
      </w:tr>
      <w:tr w:rsidR="00990B14" w14:paraId="7DA27D1E" w14:textId="77777777">
        <w:trPr>
          <w:cantSplit/>
          <w:jc w:val="center"/>
        </w:trPr>
        <w:tc>
          <w:tcPr>
            <w:tcW w:w="9405" w:type="dxa"/>
            <w:gridSpan w:val="13"/>
            <w:shd w:val="clear" w:color="auto" w:fill="D9E2F3"/>
            <w:vAlign w:val="center"/>
          </w:tcPr>
          <w:p w14:paraId="5D90232E" w14:textId="77777777" w:rsidR="00990B14" w:rsidRDefault="00000000">
            <w:pPr>
              <w:spacing w:before="20" w:after="20"/>
              <w:jc w:val="both"/>
            </w:pPr>
            <w:r>
              <w:rPr>
                <w:sz w:val="18"/>
                <w:szCs w:val="18"/>
              </w:rPr>
              <w:t>Elabora la Vista de Cargo y el Dictamen Tributario sobre la Información Tributaria Complementaria, aplicando técnicas y procedimientos de auditoría y fiscalización tributaria, determinando de manera objetiva, fundamentada y en cumplimiento de las obligaciones impositivas del cliente o contribuyente conforme a la normativa vigente.</w:t>
            </w:r>
          </w:p>
        </w:tc>
      </w:tr>
      <w:tr w:rsidR="00990B14" w14:paraId="63DE84C0" w14:textId="77777777">
        <w:trPr>
          <w:cantSplit/>
          <w:jc w:val="center"/>
        </w:trPr>
        <w:tc>
          <w:tcPr>
            <w:tcW w:w="9405" w:type="dxa"/>
            <w:gridSpan w:val="13"/>
            <w:shd w:val="clear" w:color="auto" w:fill="D9E2F3"/>
            <w:vAlign w:val="center"/>
          </w:tcPr>
          <w:p w14:paraId="5DA6D24C" w14:textId="77777777" w:rsidR="00990B14" w:rsidRDefault="00000000">
            <w:pPr>
              <w:spacing w:before="20" w:after="20"/>
              <w:jc w:val="both"/>
            </w:pPr>
            <w:r>
              <w:rPr>
                <w:b/>
                <w:bCs/>
                <w:i/>
                <w:iCs/>
                <w:sz w:val="18"/>
                <w:szCs w:val="18"/>
              </w:rPr>
              <w:t xml:space="preserve">Elemento de competencia 1: </w:t>
            </w:r>
            <w:r>
              <w:rPr>
                <w:sz w:val="18"/>
                <w:szCs w:val="18"/>
              </w:rPr>
              <w:t>Interpreta el marco conceptual y normativo de la auditoría tributaria, identificando las clases de auditoría y los elementos de la obligación tributaria, aplicando los procedimientos de determinación y extinción de la deuda tributaria y diferenciando los ilícitos tributarios conforme a la normativa vigente.</w:t>
            </w:r>
          </w:p>
        </w:tc>
      </w:tr>
      <w:tr w:rsidR="00990B14" w14:paraId="32C1DF4D" w14:textId="77777777">
        <w:trPr>
          <w:cantSplit/>
          <w:jc w:val="center"/>
        </w:trPr>
        <w:tc>
          <w:tcPr>
            <w:tcW w:w="3133" w:type="dxa"/>
            <w:gridSpan w:val="4"/>
            <w:shd w:val="clear" w:color="auto" w:fill="4472C4"/>
            <w:vAlign w:val="center"/>
          </w:tcPr>
          <w:p w14:paraId="6A979D1A"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5572E91A"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3465718C" w14:textId="77777777" w:rsidR="00990B14" w:rsidRDefault="00000000">
            <w:pPr>
              <w:keepNext/>
              <w:spacing w:before="20" w:after="20"/>
              <w:jc w:val="center"/>
            </w:pPr>
            <w:r>
              <w:rPr>
                <w:b/>
                <w:bCs/>
                <w:i/>
                <w:iCs/>
                <w:color w:val="FFFFFF"/>
                <w:sz w:val="18"/>
                <w:szCs w:val="18"/>
              </w:rPr>
              <w:t>Evidencias de producto</w:t>
            </w:r>
          </w:p>
        </w:tc>
      </w:tr>
      <w:tr w:rsidR="00990B14" w14:paraId="1631AB08" w14:textId="77777777">
        <w:trPr>
          <w:cantSplit/>
          <w:jc w:val="center"/>
        </w:trPr>
        <w:tc>
          <w:tcPr>
            <w:tcW w:w="3133" w:type="dxa"/>
            <w:gridSpan w:val="4"/>
            <w:vMerge w:val="restart"/>
            <w:shd w:val="clear" w:color="auto" w:fill="D9E2F3"/>
            <w:vAlign w:val="center"/>
          </w:tcPr>
          <w:p w14:paraId="52A065D6" w14:textId="77777777" w:rsidR="00990B14" w:rsidRDefault="00000000">
            <w:pPr>
              <w:spacing w:before="20" w:after="20"/>
              <w:jc w:val="both"/>
            </w:pPr>
            <w:r>
              <w:rPr>
                <w:sz w:val="18"/>
                <w:szCs w:val="18"/>
              </w:rPr>
              <w:t>1. Interpreta el marco conceptual y normativo de la auditoría tributaria, relacionando los elementos de la obligación tributaria con sus formas de determinación y extinción conforme a la normativa vigente.</w:t>
            </w:r>
          </w:p>
        </w:tc>
        <w:tc>
          <w:tcPr>
            <w:tcW w:w="3135" w:type="dxa"/>
            <w:gridSpan w:val="5"/>
            <w:shd w:val="clear" w:color="auto" w:fill="D9E2F3"/>
            <w:vAlign w:val="center"/>
          </w:tcPr>
          <w:p w14:paraId="6E6FACEA" w14:textId="77777777" w:rsidR="00990B14" w:rsidRDefault="00000000">
            <w:pPr>
              <w:spacing w:before="20" w:after="20"/>
              <w:jc w:val="both"/>
            </w:pPr>
            <w:r>
              <w:rPr>
                <w:sz w:val="18"/>
                <w:szCs w:val="18"/>
              </w:rPr>
              <w:t>1.1 Analiza en aula casos tributarios identificando los elementos de la obligación tributaria y fundamentando su interpretación con la normativa vigente.</w:t>
            </w:r>
          </w:p>
        </w:tc>
        <w:tc>
          <w:tcPr>
            <w:tcW w:w="3137" w:type="dxa"/>
            <w:gridSpan w:val="4"/>
            <w:shd w:val="clear" w:color="auto" w:fill="D9E2F3"/>
            <w:vAlign w:val="center"/>
          </w:tcPr>
          <w:p w14:paraId="4D49759B" w14:textId="77777777" w:rsidR="00990B14" w:rsidRDefault="00000000">
            <w:pPr>
              <w:spacing w:before="20" w:after="20"/>
              <w:jc w:val="both"/>
            </w:pPr>
            <w:r>
              <w:rPr>
                <w:b/>
                <w:bCs/>
                <w:sz w:val="18"/>
                <w:szCs w:val="18"/>
              </w:rPr>
              <w:t xml:space="preserve">Producto 1: </w:t>
            </w:r>
            <w:r>
              <w:rPr>
                <w:sz w:val="18"/>
                <w:szCs w:val="18"/>
              </w:rPr>
              <w:t>Informe de análisis de los elementos y de la determinación de las obligaciones tributarias, fundamentado en la normativa vigente.</w:t>
            </w:r>
          </w:p>
        </w:tc>
      </w:tr>
      <w:tr w:rsidR="00990B14" w14:paraId="09070479" w14:textId="77777777">
        <w:trPr>
          <w:cantSplit/>
          <w:jc w:val="center"/>
        </w:trPr>
        <w:tc>
          <w:tcPr>
            <w:tcW w:w="3133" w:type="dxa"/>
            <w:gridSpan w:val="4"/>
            <w:vMerge/>
            <w:shd w:val="clear" w:color="auto" w:fill="D9E2F3"/>
            <w:vAlign w:val="center"/>
          </w:tcPr>
          <w:p w14:paraId="0A7AFEB8" w14:textId="77777777" w:rsidR="00990B14" w:rsidRDefault="00990B14">
            <w:pPr>
              <w:spacing w:before="20" w:after="20"/>
            </w:pPr>
          </w:p>
        </w:tc>
        <w:tc>
          <w:tcPr>
            <w:tcW w:w="3135" w:type="dxa"/>
            <w:gridSpan w:val="5"/>
            <w:shd w:val="clear" w:color="auto" w:fill="D9E2F3"/>
            <w:vAlign w:val="center"/>
          </w:tcPr>
          <w:p w14:paraId="2B8A7DC9" w14:textId="77777777" w:rsidR="00990B14" w:rsidRDefault="00000000">
            <w:pPr>
              <w:spacing w:before="20" w:after="20"/>
              <w:jc w:val="both"/>
            </w:pPr>
            <w:r>
              <w:rPr>
                <w:sz w:val="18"/>
                <w:szCs w:val="18"/>
              </w:rPr>
              <w:t>1.2 Determina en equipo la deuda tributaria diferenciando las contravenciones de delitos tributarios señalando sus consecuencias legales.</w:t>
            </w:r>
          </w:p>
        </w:tc>
        <w:tc>
          <w:tcPr>
            <w:tcW w:w="3137" w:type="dxa"/>
            <w:gridSpan w:val="4"/>
            <w:shd w:val="clear" w:color="auto" w:fill="D9E2F3"/>
            <w:vAlign w:val="center"/>
          </w:tcPr>
          <w:p w14:paraId="7B08508C" w14:textId="77777777" w:rsidR="00990B14" w:rsidRDefault="00000000">
            <w:pPr>
              <w:spacing w:before="20" w:after="20"/>
              <w:jc w:val="both"/>
            </w:pPr>
            <w:r>
              <w:rPr>
                <w:b/>
                <w:bCs/>
                <w:sz w:val="18"/>
                <w:szCs w:val="18"/>
              </w:rPr>
              <w:t xml:space="preserve">Producto 2: </w:t>
            </w:r>
            <w:r>
              <w:rPr>
                <w:sz w:val="18"/>
                <w:szCs w:val="18"/>
              </w:rPr>
              <w:t>Cuadro de liquidación de la deuda tributaria y contravenciones tributarias.</w:t>
            </w:r>
          </w:p>
        </w:tc>
      </w:tr>
      <w:tr w:rsidR="00990B14" w14:paraId="7A8FCE3B" w14:textId="77777777">
        <w:trPr>
          <w:cantSplit/>
          <w:jc w:val="center"/>
        </w:trPr>
        <w:tc>
          <w:tcPr>
            <w:tcW w:w="3133" w:type="dxa"/>
            <w:gridSpan w:val="4"/>
            <w:vMerge w:val="restart"/>
            <w:shd w:val="clear" w:color="auto" w:fill="D9E2F3"/>
            <w:vAlign w:val="center"/>
          </w:tcPr>
          <w:p w14:paraId="6D4341F0" w14:textId="77777777" w:rsidR="00990B14" w:rsidRDefault="00000000">
            <w:pPr>
              <w:spacing w:before="20" w:after="20"/>
              <w:jc w:val="both"/>
            </w:pPr>
            <w:r>
              <w:rPr>
                <w:sz w:val="18"/>
                <w:szCs w:val="18"/>
              </w:rPr>
              <w:t>2. Diferencia las clases y los enfoques de auditoría tributaria, relacionando sus objetivos, alcances, riesgos y características.</w:t>
            </w:r>
          </w:p>
        </w:tc>
        <w:tc>
          <w:tcPr>
            <w:tcW w:w="3135" w:type="dxa"/>
            <w:gridSpan w:val="5"/>
            <w:shd w:val="clear" w:color="auto" w:fill="D9E2F3"/>
            <w:vAlign w:val="center"/>
          </w:tcPr>
          <w:p w14:paraId="484585EE" w14:textId="77777777" w:rsidR="00990B14" w:rsidRDefault="00000000">
            <w:pPr>
              <w:spacing w:before="20" w:after="20"/>
              <w:jc w:val="both"/>
            </w:pPr>
            <w:r>
              <w:rPr>
                <w:sz w:val="18"/>
                <w:szCs w:val="18"/>
              </w:rPr>
              <w:t>2.1 Clasifica en aula casos de auditoría tributaria según su naturaleza, objetivos, alcances, riesgos y características.</w:t>
            </w:r>
          </w:p>
        </w:tc>
        <w:tc>
          <w:tcPr>
            <w:tcW w:w="3137" w:type="dxa"/>
            <w:gridSpan w:val="4"/>
            <w:shd w:val="clear" w:color="auto" w:fill="D9E2F3"/>
            <w:vAlign w:val="center"/>
          </w:tcPr>
          <w:p w14:paraId="2E2FCB1C" w14:textId="77777777" w:rsidR="00990B14" w:rsidRDefault="00000000">
            <w:pPr>
              <w:spacing w:before="20" w:after="20"/>
              <w:jc w:val="both"/>
            </w:pPr>
            <w:r>
              <w:rPr>
                <w:b/>
                <w:bCs/>
                <w:sz w:val="18"/>
                <w:szCs w:val="18"/>
              </w:rPr>
              <w:t xml:space="preserve">Producto 3: </w:t>
            </w:r>
            <w:r>
              <w:rPr>
                <w:sz w:val="18"/>
                <w:szCs w:val="18"/>
              </w:rPr>
              <w:t>Matriz comparativa de las clases de auditoría tributaria y sus características.</w:t>
            </w:r>
          </w:p>
        </w:tc>
      </w:tr>
      <w:tr w:rsidR="00990B14" w14:paraId="3F94B7C7" w14:textId="77777777">
        <w:trPr>
          <w:cantSplit/>
          <w:jc w:val="center"/>
        </w:trPr>
        <w:tc>
          <w:tcPr>
            <w:tcW w:w="3133" w:type="dxa"/>
            <w:gridSpan w:val="4"/>
            <w:vMerge/>
            <w:shd w:val="clear" w:color="auto" w:fill="D9E2F3"/>
            <w:vAlign w:val="center"/>
          </w:tcPr>
          <w:p w14:paraId="79E79E33" w14:textId="77777777" w:rsidR="00990B14" w:rsidRDefault="00990B14">
            <w:pPr>
              <w:spacing w:before="20" w:after="20"/>
            </w:pPr>
          </w:p>
        </w:tc>
        <w:tc>
          <w:tcPr>
            <w:tcW w:w="3135" w:type="dxa"/>
            <w:gridSpan w:val="5"/>
            <w:shd w:val="clear" w:color="auto" w:fill="D9E2F3"/>
            <w:vAlign w:val="center"/>
          </w:tcPr>
          <w:p w14:paraId="45ACF29A" w14:textId="77777777" w:rsidR="00990B14" w:rsidRDefault="00000000">
            <w:pPr>
              <w:spacing w:before="20" w:after="20"/>
              <w:jc w:val="both"/>
            </w:pPr>
            <w:r>
              <w:rPr>
                <w:sz w:val="18"/>
                <w:szCs w:val="18"/>
              </w:rPr>
              <w:t>2.2 Compara en equipo los procesos, las fases y los productos de la auditoría fiscal y de la auditoría tributaria independiente, distinguiendo sus objetivos y alcances.</w:t>
            </w:r>
          </w:p>
        </w:tc>
        <w:tc>
          <w:tcPr>
            <w:tcW w:w="3137" w:type="dxa"/>
            <w:gridSpan w:val="4"/>
            <w:shd w:val="clear" w:color="auto" w:fill="D9E2F3"/>
            <w:vAlign w:val="center"/>
          </w:tcPr>
          <w:p w14:paraId="16E3E353" w14:textId="77777777" w:rsidR="00990B14" w:rsidRDefault="00000000">
            <w:pPr>
              <w:spacing w:before="20" w:after="20"/>
              <w:jc w:val="both"/>
            </w:pPr>
            <w:r>
              <w:rPr>
                <w:b/>
                <w:bCs/>
                <w:sz w:val="18"/>
                <w:szCs w:val="18"/>
              </w:rPr>
              <w:t xml:space="preserve">Producto 4: </w:t>
            </w:r>
            <w:r>
              <w:rPr>
                <w:sz w:val="18"/>
                <w:szCs w:val="18"/>
              </w:rPr>
              <w:t>Esquema comparativo de los procesos, fases y productos de la auditoría fiscal y de la auditoría tributaria independiente.</w:t>
            </w:r>
          </w:p>
        </w:tc>
      </w:tr>
      <w:tr w:rsidR="00990B14" w14:paraId="0BC8B9C1" w14:textId="77777777">
        <w:trPr>
          <w:cantSplit/>
          <w:jc w:val="center"/>
        </w:trPr>
        <w:tc>
          <w:tcPr>
            <w:tcW w:w="9405" w:type="dxa"/>
            <w:gridSpan w:val="13"/>
            <w:shd w:val="clear" w:color="auto" w:fill="4472C4"/>
            <w:vAlign w:val="center"/>
          </w:tcPr>
          <w:p w14:paraId="475B11DA" w14:textId="77777777" w:rsidR="00990B14" w:rsidRDefault="00000000">
            <w:pPr>
              <w:keepNext/>
              <w:spacing w:before="20" w:after="20"/>
              <w:jc w:val="center"/>
            </w:pPr>
            <w:r>
              <w:rPr>
                <w:b/>
                <w:bCs/>
                <w:i/>
                <w:iCs/>
                <w:color w:val="FFFFFF"/>
                <w:sz w:val="18"/>
                <w:szCs w:val="18"/>
              </w:rPr>
              <w:t>Evidencias de conocimiento</w:t>
            </w:r>
          </w:p>
        </w:tc>
      </w:tr>
      <w:tr w:rsidR="00990B14" w14:paraId="152A4EB4" w14:textId="77777777">
        <w:trPr>
          <w:cantSplit/>
          <w:jc w:val="center"/>
        </w:trPr>
        <w:tc>
          <w:tcPr>
            <w:tcW w:w="2349" w:type="dxa"/>
            <w:gridSpan w:val="2"/>
            <w:shd w:val="clear" w:color="auto" w:fill="4472C4"/>
            <w:vAlign w:val="center"/>
          </w:tcPr>
          <w:p w14:paraId="2E8AE79F"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21E495AE" w14:textId="77777777" w:rsidR="00990B14" w:rsidRDefault="00000000">
            <w:pPr>
              <w:keepNext/>
              <w:spacing w:before="20" w:after="20"/>
              <w:jc w:val="both"/>
            </w:pPr>
            <w:r>
              <w:rPr>
                <w:b/>
                <w:bCs/>
                <w:i/>
                <w:iCs/>
                <w:color w:val="FFFFFF"/>
                <w:sz w:val="18"/>
                <w:szCs w:val="18"/>
              </w:rPr>
              <w:t>Contenidos</w:t>
            </w:r>
          </w:p>
          <w:p w14:paraId="594F02A9"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4725EE0D" w14:textId="77777777" w:rsidR="00990B14" w:rsidRDefault="00000000">
            <w:pPr>
              <w:keepNext/>
              <w:spacing w:before="20" w:after="20"/>
              <w:jc w:val="center"/>
            </w:pPr>
            <w:r>
              <w:rPr>
                <w:b/>
                <w:bCs/>
                <w:i/>
                <w:iCs/>
                <w:color w:val="FFFFFF"/>
                <w:sz w:val="18"/>
                <w:szCs w:val="18"/>
              </w:rPr>
              <w:t>Conocimientos circunstanciales</w:t>
            </w:r>
          </w:p>
        </w:tc>
      </w:tr>
      <w:tr w:rsidR="00990B14" w14:paraId="5029D30A" w14:textId="77777777">
        <w:trPr>
          <w:jc w:val="center"/>
        </w:trPr>
        <w:tc>
          <w:tcPr>
            <w:tcW w:w="2349" w:type="dxa"/>
            <w:gridSpan w:val="2"/>
            <w:shd w:val="clear" w:color="auto" w:fill="D9E2F3"/>
          </w:tcPr>
          <w:p w14:paraId="131A0B09" w14:textId="77777777" w:rsidR="00990B14" w:rsidRDefault="00000000">
            <w:pPr>
              <w:spacing w:before="20" w:after="40"/>
              <w:jc w:val="both"/>
            </w:pPr>
            <w:r>
              <w:rPr>
                <w:sz w:val="18"/>
                <w:szCs w:val="18"/>
              </w:rPr>
              <w:t>Tema 1: Auditoría tributaria y la administración tributaria</w:t>
            </w:r>
          </w:p>
          <w:p w14:paraId="69262239" w14:textId="77777777" w:rsidR="00990B14" w:rsidRDefault="00000000">
            <w:pPr>
              <w:spacing w:before="20" w:after="40"/>
              <w:jc w:val="both"/>
            </w:pPr>
            <w:r>
              <w:rPr>
                <w:sz w:val="18"/>
                <w:szCs w:val="18"/>
              </w:rPr>
              <w:t>Tema 2: Base normativa</w:t>
            </w:r>
          </w:p>
          <w:p w14:paraId="76FBC942" w14:textId="77777777" w:rsidR="00990B14" w:rsidRDefault="00000000">
            <w:pPr>
              <w:spacing w:before="20" w:after="40"/>
              <w:jc w:val="both"/>
            </w:pPr>
            <w:r>
              <w:rPr>
                <w:sz w:val="18"/>
                <w:szCs w:val="18"/>
              </w:rPr>
              <w:t>Tema 3: La obligación tributaria</w:t>
            </w:r>
          </w:p>
          <w:p w14:paraId="3464E00A" w14:textId="77777777" w:rsidR="00990B14" w:rsidRDefault="00000000">
            <w:pPr>
              <w:spacing w:before="20" w:after="40"/>
              <w:jc w:val="both"/>
            </w:pPr>
            <w:r>
              <w:rPr>
                <w:sz w:val="18"/>
                <w:szCs w:val="18"/>
              </w:rPr>
              <w:t>Tema 4: Clases de auditoría tributaria</w:t>
            </w:r>
          </w:p>
        </w:tc>
        <w:tc>
          <w:tcPr>
            <w:tcW w:w="4304" w:type="dxa"/>
            <w:gridSpan w:val="8"/>
            <w:shd w:val="clear" w:color="auto" w:fill="D9E2F3"/>
          </w:tcPr>
          <w:p w14:paraId="1CF3AB3D" w14:textId="77777777" w:rsidR="00990B14" w:rsidRDefault="00000000">
            <w:pPr>
              <w:spacing w:after="40"/>
              <w:jc w:val="both"/>
            </w:pPr>
            <w:r>
              <w:rPr>
                <w:sz w:val="18"/>
                <w:szCs w:val="18"/>
              </w:rPr>
              <w:t>La auditoría tributaria: definición, objetivos y metas. (C)</w:t>
            </w:r>
          </w:p>
          <w:p w14:paraId="4AFD0133" w14:textId="77777777" w:rsidR="00990B14" w:rsidRDefault="00000000">
            <w:pPr>
              <w:spacing w:after="40"/>
              <w:jc w:val="both"/>
            </w:pPr>
            <w:r>
              <w:rPr>
                <w:sz w:val="18"/>
                <w:szCs w:val="18"/>
              </w:rPr>
              <w:t>El auditor tributario: funciones, condiciones y valores. (C, A)</w:t>
            </w:r>
          </w:p>
          <w:p w14:paraId="6723EAA6" w14:textId="77777777" w:rsidR="00990B14" w:rsidRDefault="00000000">
            <w:pPr>
              <w:spacing w:after="40"/>
              <w:jc w:val="both"/>
            </w:pPr>
            <w:r>
              <w:rPr>
                <w:sz w:val="18"/>
                <w:szCs w:val="18"/>
              </w:rPr>
              <w:t>La administración tributaria, objetivos y facultades. (C)</w:t>
            </w:r>
          </w:p>
          <w:p w14:paraId="67EDDC70" w14:textId="77777777" w:rsidR="00990B14" w:rsidRDefault="00000000">
            <w:pPr>
              <w:spacing w:after="40"/>
              <w:jc w:val="both"/>
            </w:pPr>
            <w:r>
              <w:rPr>
                <w:sz w:val="18"/>
                <w:szCs w:val="18"/>
              </w:rPr>
              <w:t>Código Tributario Boliviano y reglamento, la relación jurídico tributaria, el hecho generador del tributo y la extinción de la obligación tributaria. (C)</w:t>
            </w:r>
          </w:p>
          <w:p w14:paraId="2B2E9160" w14:textId="77777777" w:rsidR="00990B14" w:rsidRDefault="00000000">
            <w:pPr>
              <w:spacing w:after="40"/>
              <w:jc w:val="both"/>
            </w:pPr>
            <w:r>
              <w:rPr>
                <w:sz w:val="18"/>
                <w:szCs w:val="18"/>
              </w:rPr>
              <w:t>La deuda tributaria: componentes, actualización, intereses y sanciones, aplicando los procedimientos de determinación correspondientes. (C, P)</w:t>
            </w:r>
          </w:p>
          <w:p w14:paraId="348BDDCD" w14:textId="77777777" w:rsidR="00990B14" w:rsidRDefault="00000000">
            <w:pPr>
              <w:spacing w:after="40"/>
              <w:jc w:val="both"/>
            </w:pPr>
            <w:r>
              <w:rPr>
                <w:sz w:val="18"/>
                <w:szCs w:val="18"/>
              </w:rPr>
              <w:t>Los ilícitos tributarios: contravenciones y delitos. (C, P)</w:t>
            </w:r>
          </w:p>
          <w:p w14:paraId="74C8D7B6" w14:textId="77777777" w:rsidR="00990B14" w:rsidRDefault="00000000">
            <w:pPr>
              <w:spacing w:after="40"/>
              <w:jc w:val="both"/>
            </w:pPr>
            <w:r>
              <w:rPr>
                <w:sz w:val="18"/>
                <w:szCs w:val="18"/>
              </w:rPr>
              <w:t>Los derechos y obligaciones de los sujetos pasivos y terceros responsables. (C)</w:t>
            </w:r>
          </w:p>
          <w:p w14:paraId="580863F1" w14:textId="77777777" w:rsidR="00990B14" w:rsidRDefault="00000000">
            <w:pPr>
              <w:spacing w:after="40"/>
              <w:jc w:val="both"/>
            </w:pPr>
            <w:r>
              <w:rPr>
                <w:sz w:val="18"/>
                <w:szCs w:val="18"/>
              </w:rPr>
              <w:t>Modalidades de fiscalización aplicadas por la Administración Tributaria. (C, P)</w:t>
            </w:r>
          </w:p>
          <w:p w14:paraId="54EEF415" w14:textId="77777777" w:rsidR="00990B14" w:rsidRDefault="00000000">
            <w:pPr>
              <w:spacing w:after="40"/>
              <w:jc w:val="both"/>
            </w:pPr>
            <w:r>
              <w:rPr>
                <w:sz w:val="18"/>
                <w:szCs w:val="18"/>
              </w:rPr>
              <w:t>Elementos de la Obligación Tributaria, su determinación sobre base cierta y presunta. (C, P)</w:t>
            </w:r>
          </w:p>
          <w:p w14:paraId="6E16BA2B" w14:textId="77777777" w:rsidR="00990B14" w:rsidRDefault="00000000">
            <w:pPr>
              <w:spacing w:after="40"/>
              <w:jc w:val="both"/>
            </w:pPr>
            <w:r>
              <w:rPr>
                <w:sz w:val="18"/>
                <w:szCs w:val="18"/>
              </w:rPr>
              <w:t>Recursos Tributarios: Alzada, Jerárquico y Contencioso Tributario. (C)</w:t>
            </w:r>
          </w:p>
        </w:tc>
        <w:tc>
          <w:tcPr>
            <w:tcW w:w="2752" w:type="dxa"/>
            <w:gridSpan w:val="3"/>
            <w:shd w:val="clear" w:color="auto" w:fill="D9E2F3"/>
          </w:tcPr>
          <w:p w14:paraId="78F0FD14" w14:textId="77777777" w:rsidR="00990B14" w:rsidRDefault="00000000">
            <w:pPr>
              <w:numPr>
                <w:ilvl w:val="0"/>
                <w:numId w:val="139"/>
              </w:numPr>
              <w:spacing w:before="10" w:after="10"/>
              <w:jc w:val="both"/>
            </w:pPr>
            <w:r>
              <w:rPr>
                <w:sz w:val="18"/>
                <w:szCs w:val="18"/>
              </w:rPr>
              <w:t>Estructura organizativa y funcional de la Administración Tributaria.</w:t>
            </w:r>
          </w:p>
        </w:tc>
      </w:tr>
      <w:tr w:rsidR="00990B14" w14:paraId="4E3D3E3C" w14:textId="77777777">
        <w:trPr>
          <w:cantSplit/>
          <w:jc w:val="center"/>
        </w:trPr>
        <w:tc>
          <w:tcPr>
            <w:tcW w:w="9405" w:type="dxa"/>
            <w:gridSpan w:val="13"/>
            <w:shd w:val="clear" w:color="auto" w:fill="D9E2F3"/>
            <w:vAlign w:val="center"/>
          </w:tcPr>
          <w:p w14:paraId="6F91FA53" w14:textId="77777777" w:rsidR="00990B14" w:rsidRDefault="00000000">
            <w:pPr>
              <w:spacing w:before="20" w:after="20"/>
              <w:jc w:val="both"/>
            </w:pPr>
            <w:r>
              <w:rPr>
                <w:b/>
                <w:bCs/>
                <w:i/>
                <w:iCs/>
                <w:sz w:val="18"/>
                <w:szCs w:val="18"/>
              </w:rPr>
              <w:t xml:space="preserve">Elemento de competencia 2: </w:t>
            </w:r>
            <w:r>
              <w:rPr>
                <w:sz w:val="18"/>
                <w:szCs w:val="18"/>
              </w:rPr>
              <w:t>Ejecuta el proceso de fiscalización tributaria, aplicando técnicas y procedimientos de auditoría, obteniendo evidencia suficiente, competente y pertinente, documentando los hallazgos y fundamentando los resultados conforme a normativa.</w:t>
            </w:r>
          </w:p>
        </w:tc>
      </w:tr>
      <w:tr w:rsidR="00990B14" w14:paraId="3A5BD2B2" w14:textId="77777777">
        <w:trPr>
          <w:cantSplit/>
          <w:jc w:val="center"/>
        </w:trPr>
        <w:tc>
          <w:tcPr>
            <w:tcW w:w="3133" w:type="dxa"/>
            <w:gridSpan w:val="4"/>
            <w:shd w:val="clear" w:color="auto" w:fill="4472C4"/>
            <w:vAlign w:val="center"/>
          </w:tcPr>
          <w:p w14:paraId="1E8955D9"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15AF1557"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78D26439" w14:textId="77777777" w:rsidR="00990B14" w:rsidRDefault="00000000">
            <w:pPr>
              <w:keepNext/>
              <w:spacing w:before="20" w:after="20"/>
              <w:jc w:val="center"/>
            </w:pPr>
            <w:r>
              <w:rPr>
                <w:b/>
                <w:bCs/>
                <w:i/>
                <w:iCs/>
                <w:color w:val="FFFFFF"/>
                <w:sz w:val="18"/>
                <w:szCs w:val="18"/>
              </w:rPr>
              <w:t>Evidencias de producto</w:t>
            </w:r>
          </w:p>
        </w:tc>
      </w:tr>
      <w:tr w:rsidR="00990B14" w14:paraId="2D41A884" w14:textId="77777777">
        <w:trPr>
          <w:cantSplit/>
          <w:jc w:val="center"/>
        </w:trPr>
        <w:tc>
          <w:tcPr>
            <w:tcW w:w="3133" w:type="dxa"/>
            <w:gridSpan w:val="4"/>
            <w:vMerge w:val="restart"/>
            <w:shd w:val="clear" w:color="auto" w:fill="D9E2F3"/>
            <w:vAlign w:val="center"/>
          </w:tcPr>
          <w:p w14:paraId="6FAED765" w14:textId="77777777" w:rsidR="00990B14" w:rsidRDefault="00000000">
            <w:pPr>
              <w:spacing w:before="20" w:after="20"/>
              <w:jc w:val="both"/>
            </w:pPr>
            <w:r>
              <w:rPr>
                <w:sz w:val="18"/>
                <w:szCs w:val="18"/>
              </w:rPr>
              <w:t>1. Planifica la fiscalización determinando los objetivos, alcance, procedimientos y recursos de acuerdo con las modalidades aplicables.</w:t>
            </w:r>
          </w:p>
        </w:tc>
        <w:tc>
          <w:tcPr>
            <w:tcW w:w="3135" w:type="dxa"/>
            <w:gridSpan w:val="5"/>
            <w:shd w:val="clear" w:color="auto" w:fill="D9E2F3"/>
            <w:vAlign w:val="center"/>
          </w:tcPr>
          <w:p w14:paraId="218A2AA4" w14:textId="77777777" w:rsidR="00990B14" w:rsidRDefault="00000000">
            <w:pPr>
              <w:spacing w:before="20" w:after="20"/>
              <w:jc w:val="both"/>
            </w:pPr>
            <w:r>
              <w:rPr>
                <w:sz w:val="18"/>
                <w:szCs w:val="18"/>
              </w:rPr>
              <w:t>1.1 Analiza en aula la información contable, financiera y tributaria del contribuyente, identificando aspectos relevantes que orientan la planificación de la fiscalización.</w:t>
            </w:r>
          </w:p>
        </w:tc>
        <w:tc>
          <w:tcPr>
            <w:tcW w:w="3137" w:type="dxa"/>
            <w:gridSpan w:val="4"/>
            <w:shd w:val="clear" w:color="auto" w:fill="D9E2F3"/>
            <w:vAlign w:val="center"/>
          </w:tcPr>
          <w:p w14:paraId="4C928D40" w14:textId="77777777" w:rsidR="00990B14" w:rsidRDefault="00000000">
            <w:pPr>
              <w:spacing w:before="20" w:after="20"/>
              <w:jc w:val="both"/>
            </w:pPr>
            <w:r>
              <w:rPr>
                <w:b/>
                <w:bCs/>
                <w:sz w:val="18"/>
                <w:szCs w:val="18"/>
              </w:rPr>
              <w:t xml:space="preserve">Producto 5: </w:t>
            </w:r>
            <w:r>
              <w:rPr>
                <w:sz w:val="18"/>
                <w:szCs w:val="18"/>
              </w:rPr>
              <w:t>Memorándum de planificación de la fiscalización tributaria, con objetivos, alcance, riesgos identificados y recursos previstos.</w:t>
            </w:r>
          </w:p>
        </w:tc>
      </w:tr>
      <w:tr w:rsidR="00990B14" w14:paraId="698DC1B9" w14:textId="77777777">
        <w:trPr>
          <w:cantSplit/>
          <w:jc w:val="center"/>
        </w:trPr>
        <w:tc>
          <w:tcPr>
            <w:tcW w:w="3133" w:type="dxa"/>
            <w:gridSpan w:val="4"/>
            <w:vMerge/>
            <w:shd w:val="clear" w:color="auto" w:fill="D9E2F3"/>
            <w:vAlign w:val="center"/>
          </w:tcPr>
          <w:p w14:paraId="4AEAA8BE" w14:textId="77777777" w:rsidR="00990B14" w:rsidRDefault="00990B14">
            <w:pPr>
              <w:spacing w:before="20" w:after="20"/>
            </w:pPr>
          </w:p>
        </w:tc>
        <w:tc>
          <w:tcPr>
            <w:tcW w:w="3135" w:type="dxa"/>
            <w:gridSpan w:val="5"/>
            <w:shd w:val="clear" w:color="auto" w:fill="D9E2F3"/>
            <w:vAlign w:val="center"/>
          </w:tcPr>
          <w:p w14:paraId="2758643B" w14:textId="77777777" w:rsidR="00990B14" w:rsidRDefault="00000000">
            <w:pPr>
              <w:spacing w:before="20" w:after="20"/>
              <w:jc w:val="both"/>
            </w:pPr>
            <w:r>
              <w:rPr>
                <w:sz w:val="18"/>
                <w:szCs w:val="18"/>
              </w:rPr>
              <w:t>1.2 Diseña en equipo el programa de auditoría organizando los procedimientos de fiscalización según los objetivos, el alcance y los riesgos identificados.</w:t>
            </w:r>
          </w:p>
        </w:tc>
        <w:tc>
          <w:tcPr>
            <w:tcW w:w="3137" w:type="dxa"/>
            <w:gridSpan w:val="4"/>
            <w:shd w:val="clear" w:color="auto" w:fill="D9E2F3"/>
            <w:vAlign w:val="center"/>
          </w:tcPr>
          <w:p w14:paraId="0509F1CC" w14:textId="77777777" w:rsidR="00990B14" w:rsidRDefault="00000000">
            <w:pPr>
              <w:spacing w:before="20" w:after="20"/>
              <w:jc w:val="both"/>
            </w:pPr>
            <w:r>
              <w:rPr>
                <w:b/>
                <w:bCs/>
                <w:sz w:val="18"/>
                <w:szCs w:val="18"/>
              </w:rPr>
              <w:t xml:space="preserve">Producto 6: </w:t>
            </w:r>
            <w:r>
              <w:rPr>
                <w:sz w:val="18"/>
                <w:szCs w:val="18"/>
              </w:rPr>
              <w:t>Programa de auditoría tributaria que establece los procedimientos de fiscalización según los objetivos, el alcance y los riesgos identificados.</w:t>
            </w:r>
          </w:p>
        </w:tc>
      </w:tr>
      <w:tr w:rsidR="00990B14" w14:paraId="373A4B23" w14:textId="77777777">
        <w:trPr>
          <w:cantSplit/>
          <w:jc w:val="center"/>
        </w:trPr>
        <w:tc>
          <w:tcPr>
            <w:tcW w:w="3133" w:type="dxa"/>
            <w:gridSpan w:val="4"/>
            <w:vMerge w:val="restart"/>
            <w:shd w:val="clear" w:color="auto" w:fill="D9E2F3"/>
            <w:vAlign w:val="center"/>
          </w:tcPr>
          <w:p w14:paraId="7E4DD342" w14:textId="77777777" w:rsidR="00990B14" w:rsidRDefault="00000000">
            <w:pPr>
              <w:spacing w:before="20" w:after="20"/>
              <w:jc w:val="both"/>
            </w:pPr>
            <w:r>
              <w:rPr>
                <w:sz w:val="18"/>
                <w:szCs w:val="18"/>
              </w:rPr>
              <w:t>2. Aplica técnicas y procedimientos de auditoría tributaria, documentando los hallazgos en papeles de trabajo y fundamentando la Vista de Cargo.</w:t>
            </w:r>
          </w:p>
        </w:tc>
        <w:tc>
          <w:tcPr>
            <w:tcW w:w="3135" w:type="dxa"/>
            <w:gridSpan w:val="5"/>
            <w:shd w:val="clear" w:color="auto" w:fill="D9E2F3"/>
            <w:vAlign w:val="center"/>
          </w:tcPr>
          <w:p w14:paraId="0AAE9140" w14:textId="77777777" w:rsidR="00990B14" w:rsidRDefault="00000000">
            <w:pPr>
              <w:spacing w:before="20" w:after="20"/>
              <w:jc w:val="both"/>
            </w:pPr>
            <w:r>
              <w:rPr>
                <w:sz w:val="18"/>
                <w:szCs w:val="18"/>
              </w:rPr>
              <w:t>2.1 Aplica en equipo técnicas de inspección, comprobación, conciliación, confirmación, análisis y revisión documental, registrando los procedimientos ejecutados y los resultados obtenidos en la información tributaria examinada.</w:t>
            </w:r>
          </w:p>
        </w:tc>
        <w:tc>
          <w:tcPr>
            <w:tcW w:w="3137" w:type="dxa"/>
            <w:gridSpan w:val="4"/>
            <w:shd w:val="clear" w:color="auto" w:fill="D9E2F3"/>
            <w:vAlign w:val="center"/>
          </w:tcPr>
          <w:p w14:paraId="66070AE8" w14:textId="77777777" w:rsidR="00990B14" w:rsidRDefault="00000000">
            <w:pPr>
              <w:spacing w:before="20" w:after="20"/>
              <w:jc w:val="both"/>
            </w:pPr>
            <w:r>
              <w:rPr>
                <w:b/>
                <w:bCs/>
                <w:sz w:val="18"/>
                <w:szCs w:val="18"/>
              </w:rPr>
              <w:t xml:space="preserve">Producto 7: </w:t>
            </w:r>
            <w:r>
              <w:rPr>
                <w:sz w:val="18"/>
                <w:szCs w:val="18"/>
              </w:rPr>
              <w:t>Papeles de trabajo de fiscalización tributaria con procedimientos ejecutados, resultados, hallazgos, referencias y documentación de respaldo.</w:t>
            </w:r>
          </w:p>
        </w:tc>
      </w:tr>
      <w:tr w:rsidR="00990B14" w14:paraId="706ACC52" w14:textId="77777777">
        <w:trPr>
          <w:cantSplit/>
          <w:jc w:val="center"/>
        </w:trPr>
        <w:tc>
          <w:tcPr>
            <w:tcW w:w="3133" w:type="dxa"/>
            <w:gridSpan w:val="4"/>
            <w:vMerge/>
            <w:shd w:val="clear" w:color="auto" w:fill="D9E2F3"/>
            <w:vAlign w:val="center"/>
          </w:tcPr>
          <w:p w14:paraId="526143EC" w14:textId="77777777" w:rsidR="00990B14" w:rsidRDefault="00990B14">
            <w:pPr>
              <w:spacing w:before="20" w:after="20"/>
            </w:pPr>
          </w:p>
        </w:tc>
        <w:tc>
          <w:tcPr>
            <w:tcW w:w="3135" w:type="dxa"/>
            <w:gridSpan w:val="5"/>
            <w:shd w:val="clear" w:color="auto" w:fill="D9E2F3"/>
            <w:vAlign w:val="center"/>
          </w:tcPr>
          <w:p w14:paraId="78779623" w14:textId="77777777" w:rsidR="00990B14" w:rsidRDefault="00000000">
            <w:pPr>
              <w:spacing w:before="20" w:after="20"/>
              <w:jc w:val="both"/>
            </w:pPr>
            <w:r>
              <w:rPr>
                <w:sz w:val="18"/>
                <w:szCs w:val="18"/>
              </w:rPr>
              <w:t>2.2 Elabora en aula la Vista de Cargo, fundamentando la determinación tributaria en los hallazgos, las diferencias identificadas, la documentación de respaldo y la normativa vigente.</w:t>
            </w:r>
          </w:p>
        </w:tc>
        <w:tc>
          <w:tcPr>
            <w:tcW w:w="3137" w:type="dxa"/>
            <w:gridSpan w:val="4"/>
            <w:shd w:val="clear" w:color="auto" w:fill="D9E2F3"/>
            <w:vAlign w:val="center"/>
          </w:tcPr>
          <w:p w14:paraId="1EC7C204" w14:textId="77777777" w:rsidR="00990B14" w:rsidRDefault="00000000">
            <w:pPr>
              <w:spacing w:before="20" w:after="20"/>
              <w:jc w:val="both"/>
            </w:pPr>
            <w:r>
              <w:rPr>
                <w:b/>
                <w:bCs/>
                <w:sz w:val="18"/>
                <w:szCs w:val="18"/>
              </w:rPr>
              <w:t xml:space="preserve">Producto 8: </w:t>
            </w:r>
            <w:r>
              <w:rPr>
                <w:sz w:val="18"/>
                <w:szCs w:val="18"/>
              </w:rPr>
              <w:t>Vista de Cargo fundamentada, estructurada y respaldada documentalmente.</w:t>
            </w:r>
          </w:p>
        </w:tc>
      </w:tr>
      <w:tr w:rsidR="00990B14" w14:paraId="03E83C06" w14:textId="77777777">
        <w:trPr>
          <w:cantSplit/>
          <w:jc w:val="center"/>
        </w:trPr>
        <w:tc>
          <w:tcPr>
            <w:tcW w:w="9405" w:type="dxa"/>
            <w:gridSpan w:val="13"/>
            <w:shd w:val="clear" w:color="auto" w:fill="4472C4"/>
            <w:vAlign w:val="center"/>
          </w:tcPr>
          <w:p w14:paraId="4C2D60D2" w14:textId="77777777" w:rsidR="00990B14" w:rsidRDefault="00000000">
            <w:pPr>
              <w:keepNext/>
              <w:spacing w:before="20" w:after="20"/>
              <w:jc w:val="center"/>
            </w:pPr>
            <w:r>
              <w:rPr>
                <w:b/>
                <w:bCs/>
                <w:i/>
                <w:iCs/>
                <w:color w:val="FFFFFF"/>
                <w:sz w:val="18"/>
                <w:szCs w:val="18"/>
              </w:rPr>
              <w:t>Evidencias de conocimiento</w:t>
            </w:r>
          </w:p>
        </w:tc>
      </w:tr>
      <w:tr w:rsidR="00990B14" w14:paraId="36918319" w14:textId="77777777">
        <w:trPr>
          <w:cantSplit/>
          <w:jc w:val="center"/>
        </w:trPr>
        <w:tc>
          <w:tcPr>
            <w:tcW w:w="2349" w:type="dxa"/>
            <w:gridSpan w:val="2"/>
            <w:shd w:val="clear" w:color="auto" w:fill="4472C4"/>
            <w:vAlign w:val="center"/>
          </w:tcPr>
          <w:p w14:paraId="7F535C96"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3C13DF5A" w14:textId="77777777" w:rsidR="00990B14" w:rsidRDefault="00000000">
            <w:pPr>
              <w:keepNext/>
              <w:spacing w:before="20" w:after="20"/>
              <w:jc w:val="both"/>
            </w:pPr>
            <w:r>
              <w:rPr>
                <w:b/>
                <w:bCs/>
                <w:i/>
                <w:iCs/>
                <w:color w:val="FFFFFF"/>
                <w:sz w:val="18"/>
                <w:szCs w:val="18"/>
              </w:rPr>
              <w:t>Contenidos</w:t>
            </w:r>
          </w:p>
          <w:p w14:paraId="616C5915"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14A26F38" w14:textId="77777777" w:rsidR="00990B14" w:rsidRDefault="00000000">
            <w:pPr>
              <w:keepNext/>
              <w:spacing w:before="20" w:after="20"/>
              <w:jc w:val="center"/>
            </w:pPr>
            <w:r>
              <w:rPr>
                <w:b/>
                <w:bCs/>
                <w:i/>
                <w:iCs/>
                <w:color w:val="FFFFFF"/>
                <w:sz w:val="18"/>
                <w:szCs w:val="18"/>
              </w:rPr>
              <w:t>Conocimientos circunstanciales</w:t>
            </w:r>
          </w:p>
        </w:tc>
      </w:tr>
      <w:tr w:rsidR="00990B14" w14:paraId="112FA481" w14:textId="77777777">
        <w:trPr>
          <w:jc w:val="center"/>
        </w:trPr>
        <w:tc>
          <w:tcPr>
            <w:tcW w:w="2349" w:type="dxa"/>
            <w:gridSpan w:val="2"/>
            <w:shd w:val="clear" w:color="auto" w:fill="D9E2F3"/>
          </w:tcPr>
          <w:p w14:paraId="075F2210" w14:textId="77777777" w:rsidR="00990B14" w:rsidRDefault="00000000">
            <w:pPr>
              <w:spacing w:before="20" w:after="40"/>
              <w:jc w:val="both"/>
            </w:pPr>
            <w:r>
              <w:rPr>
                <w:sz w:val="18"/>
                <w:szCs w:val="18"/>
              </w:rPr>
              <w:t>Tema 5: Auditoría fiscal</w:t>
            </w:r>
          </w:p>
          <w:p w14:paraId="67AA7A54" w14:textId="77777777" w:rsidR="00990B14" w:rsidRDefault="00000000">
            <w:pPr>
              <w:spacing w:before="20" w:after="40"/>
              <w:jc w:val="both"/>
            </w:pPr>
            <w:r>
              <w:rPr>
                <w:sz w:val="18"/>
                <w:szCs w:val="18"/>
              </w:rPr>
              <w:t>Tema 6: Comunicaciones y papeles de trabajo en la auditoría fiscal</w:t>
            </w:r>
          </w:p>
        </w:tc>
        <w:tc>
          <w:tcPr>
            <w:tcW w:w="4304" w:type="dxa"/>
            <w:gridSpan w:val="8"/>
            <w:shd w:val="clear" w:color="auto" w:fill="D9E2F3"/>
          </w:tcPr>
          <w:p w14:paraId="1223E367" w14:textId="77777777" w:rsidR="00990B14" w:rsidRDefault="00000000">
            <w:pPr>
              <w:spacing w:after="40"/>
              <w:jc w:val="both"/>
            </w:pPr>
            <w:r>
              <w:rPr>
                <w:sz w:val="18"/>
                <w:szCs w:val="18"/>
              </w:rPr>
              <w:t>Los objetivos de la Administración Tributaria y los procesos de fiscalización. (C)</w:t>
            </w:r>
          </w:p>
          <w:p w14:paraId="05D795B4" w14:textId="77777777" w:rsidR="00990B14" w:rsidRDefault="00000000">
            <w:pPr>
              <w:spacing w:after="40"/>
              <w:jc w:val="both"/>
            </w:pPr>
            <w:r>
              <w:rPr>
                <w:sz w:val="18"/>
                <w:szCs w:val="18"/>
              </w:rPr>
              <w:t>Programas de auditoría para cada uno de los principales tributos y tipos de fiscalizaciones. (C)</w:t>
            </w:r>
          </w:p>
          <w:p w14:paraId="3A96BF1B" w14:textId="77777777" w:rsidR="00990B14" w:rsidRDefault="00000000">
            <w:pPr>
              <w:spacing w:after="40"/>
              <w:jc w:val="both"/>
            </w:pPr>
            <w:r>
              <w:rPr>
                <w:sz w:val="18"/>
                <w:szCs w:val="18"/>
              </w:rPr>
              <w:t>Técnicas de auditoría: la reconstrucción de inventarios y de ventas, el tratamiento de las diferencias encontradas y la liquidación de impuestos y otras según el tipo de industria y tratamientos específicos. (C, P)</w:t>
            </w:r>
          </w:p>
          <w:p w14:paraId="442E48CC" w14:textId="77777777" w:rsidR="00990B14" w:rsidRDefault="00000000">
            <w:pPr>
              <w:spacing w:after="40"/>
              <w:jc w:val="both"/>
            </w:pPr>
            <w:r>
              <w:rPr>
                <w:sz w:val="18"/>
                <w:szCs w:val="18"/>
              </w:rPr>
              <w:t>Entrevistas y comunicación con el contribuyente bajo principios de objetividad. (C, A)</w:t>
            </w:r>
          </w:p>
          <w:p w14:paraId="3EAB99B8" w14:textId="77777777" w:rsidR="00990B14" w:rsidRDefault="00000000">
            <w:pPr>
              <w:spacing w:after="40"/>
              <w:jc w:val="both"/>
            </w:pPr>
            <w:r>
              <w:rPr>
                <w:sz w:val="18"/>
                <w:szCs w:val="18"/>
              </w:rPr>
              <w:t>Los papeles de trabajo del Fiscalizador. (C, P)</w:t>
            </w:r>
          </w:p>
          <w:p w14:paraId="5834F8FD" w14:textId="77777777" w:rsidR="00990B14" w:rsidRDefault="00000000">
            <w:pPr>
              <w:spacing w:after="40"/>
              <w:jc w:val="both"/>
            </w:pPr>
            <w:r>
              <w:rPr>
                <w:sz w:val="18"/>
                <w:szCs w:val="18"/>
              </w:rPr>
              <w:t>Informe del Fiscalizador y requisitos para la elaboración de la Vista de Cargo. (C, P)</w:t>
            </w:r>
          </w:p>
        </w:tc>
        <w:tc>
          <w:tcPr>
            <w:tcW w:w="2752" w:type="dxa"/>
            <w:gridSpan w:val="3"/>
            <w:shd w:val="clear" w:color="auto" w:fill="D9E2F3"/>
          </w:tcPr>
          <w:p w14:paraId="0340F740" w14:textId="77777777" w:rsidR="00990B14" w:rsidRDefault="00000000">
            <w:pPr>
              <w:numPr>
                <w:ilvl w:val="0"/>
                <w:numId w:val="139"/>
              </w:numPr>
              <w:spacing w:before="10" w:after="10"/>
              <w:jc w:val="both"/>
            </w:pPr>
            <w:r>
              <w:rPr>
                <w:sz w:val="18"/>
                <w:szCs w:val="18"/>
              </w:rPr>
              <w:t>Procesos productivos y comerciales y documentales de los sectores económicos relevantes para la fiscalización tributaria en el país.</w:t>
            </w:r>
          </w:p>
          <w:p w14:paraId="6E5A16F5" w14:textId="77777777" w:rsidR="00990B14" w:rsidRDefault="00000000">
            <w:pPr>
              <w:numPr>
                <w:ilvl w:val="0"/>
                <w:numId w:val="139"/>
              </w:numPr>
              <w:spacing w:before="10" w:after="10"/>
              <w:jc w:val="both"/>
            </w:pPr>
            <w:r>
              <w:rPr>
                <w:sz w:val="18"/>
                <w:szCs w:val="18"/>
              </w:rPr>
              <w:t>Formatos institucionales y criterios específicos de estandarización documental utilizados por la Administración Tributaria.</w:t>
            </w:r>
          </w:p>
        </w:tc>
      </w:tr>
      <w:tr w:rsidR="00990B14" w14:paraId="3CBC0F0A" w14:textId="77777777">
        <w:trPr>
          <w:cantSplit/>
          <w:jc w:val="center"/>
        </w:trPr>
        <w:tc>
          <w:tcPr>
            <w:tcW w:w="9405" w:type="dxa"/>
            <w:gridSpan w:val="13"/>
            <w:shd w:val="clear" w:color="auto" w:fill="D9E2F3"/>
            <w:vAlign w:val="center"/>
          </w:tcPr>
          <w:p w14:paraId="6BC697D7" w14:textId="77777777" w:rsidR="00990B14" w:rsidRDefault="00000000">
            <w:pPr>
              <w:spacing w:before="20" w:after="20"/>
              <w:jc w:val="both"/>
            </w:pPr>
            <w:r>
              <w:rPr>
                <w:b/>
                <w:bCs/>
                <w:i/>
                <w:iCs/>
                <w:sz w:val="18"/>
                <w:szCs w:val="18"/>
              </w:rPr>
              <w:t xml:space="preserve">Elemento de competencia 3: </w:t>
            </w:r>
            <w:r>
              <w:rPr>
                <w:sz w:val="18"/>
                <w:szCs w:val="18"/>
              </w:rPr>
              <w:t>Elabora el Dictamen Tributario, Informe de Procedimientos mínimos e Informe de Control Interno Tributario a partir del relevamiento de la información tributaria complementaria, sustentando los resultados con evidencia suficiente y conforme a la normativa vigente.</w:t>
            </w:r>
          </w:p>
        </w:tc>
      </w:tr>
      <w:tr w:rsidR="00990B14" w14:paraId="67CD8791" w14:textId="77777777">
        <w:trPr>
          <w:cantSplit/>
          <w:jc w:val="center"/>
        </w:trPr>
        <w:tc>
          <w:tcPr>
            <w:tcW w:w="3133" w:type="dxa"/>
            <w:gridSpan w:val="4"/>
            <w:shd w:val="clear" w:color="auto" w:fill="4472C4"/>
            <w:vAlign w:val="center"/>
          </w:tcPr>
          <w:p w14:paraId="1599B6E5"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450A34E0"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339B4C5E" w14:textId="77777777" w:rsidR="00990B14" w:rsidRDefault="00000000">
            <w:pPr>
              <w:keepNext/>
              <w:spacing w:before="20" w:after="20"/>
              <w:jc w:val="center"/>
            </w:pPr>
            <w:r>
              <w:rPr>
                <w:b/>
                <w:bCs/>
                <w:i/>
                <w:iCs/>
                <w:color w:val="FFFFFF"/>
                <w:sz w:val="18"/>
                <w:szCs w:val="18"/>
              </w:rPr>
              <w:t>Evidencias de producto</w:t>
            </w:r>
          </w:p>
        </w:tc>
      </w:tr>
      <w:tr w:rsidR="00990B14" w14:paraId="4184C07A" w14:textId="77777777">
        <w:trPr>
          <w:cantSplit/>
          <w:jc w:val="center"/>
        </w:trPr>
        <w:tc>
          <w:tcPr>
            <w:tcW w:w="3133" w:type="dxa"/>
            <w:gridSpan w:val="4"/>
            <w:vMerge w:val="restart"/>
            <w:shd w:val="clear" w:color="auto" w:fill="D9E2F3"/>
            <w:vAlign w:val="center"/>
          </w:tcPr>
          <w:p w14:paraId="52D6A236" w14:textId="77777777" w:rsidR="00990B14" w:rsidRDefault="00000000">
            <w:pPr>
              <w:spacing w:before="20" w:after="20"/>
              <w:jc w:val="both"/>
            </w:pPr>
            <w:r>
              <w:rPr>
                <w:sz w:val="18"/>
                <w:szCs w:val="18"/>
              </w:rPr>
              <w:t>1. Valida la información tributaria complementaria, verificando su consistencia y pertinencia sustentando las conclusiones con la normativa vigente.</w:t>
            </w:r>
          </w:p>
        </w:tc>
        <w:tc>
          <w:tcPr>
            <w:tcW w:w="3135" w:type="dxa"/>
            <w:gridSpan w:val="5"/>
            <w:shd w:val="clear" w:color="auto" w:fill="D9E2F3"/>
            <w:vAlign w:val="center"/>
          </w:tcPr>
          <w:p w14:paraId="0F19D7F9" w14:textId="77777777" w:rsidR="00990B14" w:rsidRDefault="00000000">
            <w:pPr>
              <w:spacing w:before="20" w:after="20"/>
              <w:jc w:val="both"/>
            </w:pPr>
            <w:r>
              <w:rPr>
                <w:sz w:val="18"/>
                <w:szCs w:val="18"/>
              </w:rPr>
              <w:t>1.1 Comprueba en aula la consistencia numérica de los anexos tributarios contrastando con la información financiera.</w:t>
            </w:r>
          </w:p>
        </w:tc>
        <w:tc>
          <w:tcPr>
            <w:tcW w:w="3137" w:type="dxa"/>
            <w:gridSpan w:val="4"/>
            <w:shd w:val="clear" w:color="auto" w:fill="D9E2F3"/>
            <w:vAlign w:val="center"/>
          </w:tcPr>
          <w:p w14:paraId="6D7F2393" w14:textId="77777777" w:rsidR="00990B14" w:rsidRDefault="00000000">
            <w:pPr>
              <w:spacing w:before="20" w:after="20"/>
              <w:jc w:val="both"/>
            </w:pPr>
            <w:r>
              <w:rPr>
                <w:b/>
                <w:bCs/>
                <w:sz w:val="18"/>
                <w:szCs w:val="18"/>
              </w:rPr>
              <w:t xml:space="preserve">Producto 9: </w:t>
            </w:r>
            <w:r>
              <w:rPr>
                <w:sz w:val="18"/>
                <w:szCs w:val="18"/>
              </w:rPr>
              <w:t>Cuadros comparativos de consistencia financiera y tributaria.</w:t>
            </w:r>
          </w:p>
        </w:tc>
      </w:tr>
      <w:tr w:rsidR="00990B14" w14:paraId="54F95077" w14:textId="77777777">
        <w:trPr>
          <w:cantSplit/>
          <w:jc w:val="center"/>
        </w:trPr>
        <w:tc>
          <w:tcPr>
            <w:tcW w:w="3133" w:type="dxa"/>
            <w:gridSpan w:val="4"/>
            <w:vMerge/>
            <w:shd w:val="clear" w:color="auto" w:fill="D9E2F3"/>
            <w:vAlign w:val="center"/>
          </w:tcPr>
          <w:p w14:paraId="1CD8EEC0" w14:textId="77777777" w:rsidR="00990B14" w:rsidRDefault="00990B14">
            <w:pPr>
              <w:spacing w:before="20" w:after="20"/>
            </w:pPr>
          </w:p>
        </w:tc>
        <w:tc>
          <w:tcPr>
            <w:tcW w:w="3135" w:type="dxa"/>
            <w:gridSpan w:val="5"/>
            <w:shd w:val="clear" w:color="auto" w:fill="D9E2F3"/>
            <w:vAlign w:val="center"/>
          </w:tcPr>
          <w:p w14:paraId="494BFAD7" w14:textId="77777777" w:rsidR="00990B14" w:rsidRDefault="00000000">
            <w:pPr>
              <w:spacing w:before="20" w:after="20"/>
              <w:jc w:val="both"/>
            </w:pPr>
            <w:r>
              <w:rPr>
                <w:sz w:val="18"/>
                <w:szCs w:val="18"/>
              </w:rPr>
              <w:t>1.2 Releva en equipo la información tributaria complementaria del contribuyente en hojas de trabajo, verificando el cumplimiento de la presentación digital y la documentación de soporte.</w:t>
            </w:r>
          </w:p>
        </w:tc>
        <w:tc>
          <w:tcPr>
            <w:tcW w:w="3137" w:type="dxa"/>
            <w:gridSpan w:val="4"/>
            <w:shd w:val="clear" w:color="auto" w:fill="D9E2F3"/>
            <w:vAlign w:val="center"/>
          </w:tcPr>
          <w:p w14:paraId="02E2E1B3" w14:textId="77777777" w:rsidR="00990B14" w:rsidRDefault="00000000">
            <w:pPr>
              <w:spacing w:before="20" w:after="20"/>
              <w:jc w:val="both"/>
            </w:pPr>
            <w:r>
              <w:rPr>
                <w:b/>
                <w:bCs/>
                <w:sz w:val="18"/>
                <w:szCs w:val="18"/>
              </w:rPr>
              <w:t xml:space="preserve">Producto 10: </w:t>
            </w:r>
            <w:r>
              <w:rPr>
                <w:sz w:val="18"/>
                <w:szCs w:val="18"/>
              </w:rPr>
              <w:t>Papeles de trabajo de relevamiento y verificación de la Información Tributaria Complementaria</w:t>
            </w:r>
          </w:p>
        </w:tc>
      </w:tr>
      <w:tr w:rsidR="00990B14" w14:paraId="4BC2B93B" w14:textId="77777777">
        <w:trPr>
          <w:cantSplit/>
          <w:jc w:val="center"/>
        </w:trPr>
        <w:tc>
          <w:tcPr>
            <w:tcW w:w="3133" w:type="dxa"/>
            <w:gridSpan w:val="4"/>
            <w:vMerge w:val="restart"/>
            <w:shd w:val="clear" w:color="auto" w:fill="D9E2F3"/>
            <w:vAlign w:val="center"/>
          </w:tcPr>
          <w:p w14:paraId="7B90C729" w14:textId="77777777" w:rsidR="00990B14" w:rsidRDefault="00000000">
            <w:pPr>
              <w:spacing w:before="20" w:after="20"/>
              <w:jc w:val="both"/>
            </w:pPr>
            <w:r>
              <w:rPr>
                <w:sz w:val="18"/>
                <w:szCs w:val="18"/>
              </w:rPr>
              <w:t>2. Elabora el Dictamen y los Informes Tributarios, evaluando los hallazgos y contingencias fiscales conforme a la normativa vigente.</w:t>
            </w:r>
          </w:p>
        </w:tc>
        <w:tc>
          <w:tcPr>
            <w:tcW w:w="3135" w:type="dxa"/>
            <w:gridSpan w:val="5"/>
            <w:shd w:val="clear" w:color="auto" w:fill="D9E2F3"/>
            <w:vAlign w:val="center"/>
          </w:tcPr>
          <w:p w14:paraId="7C35703E" w14:textId="77777777" w:rsidR="00990B14" w:rsidRDefault="00000000">
            <w:pPr>
              <w:spacing w:before="20" w:after="20"/>
              <w:jc w:val="both"/>
            </w:pPr>
            <w:r>
              <w:rPr>
                <w:sz w:val="18"/>
                <w:szCs w:val="18"/>
              </w:rPr>
              <w:t>2.1 Elabora en equipo el informe de procedimientos mínimos y el informe de control interno tributario, detallando los procedimientos aplicados, los hallazgos obtenidos y la evidencia de respaldo.</w:t>
            </w:r>
          </w:p>
        </w:tc>
        <w:tc>
          <w:tcPr>
            <w:tcW w:w="3137" w:type="dxa"/>
            <w:gridSpan w:val="4"/>
            <w:shd w:val="clear" w:color="auto" w:fill="D9E2F3"/>
            <w:vAlign w:val="center"/>
          </w:tcPr>
          <w:p w14:paraId="29200092" w14:textId="77777777" w:rsidR="00990B14" w:rsidRDefault="00000000">
            <w:pPr>
              <w:spacing w:before="20" w:after="20"/>
              <w:jc w:val="both"/>
            </w:pPr>
            <w:r>
              <w:rPr>
                <w:b/>
                <w:bCs/>
                <w:sz w:val="18"/>
                <w:szCs w:val="18"/>
              </w:rPr>
              <w:t xml:space="preserve">Producto 11: </w:t>
            </w:r>
            <w:r>
              <w:rPr>
                <w:sz w:val="18"/>
                <w:szCs w:val="18"/>
              </w:rPr>
              <w:t>Informe de Procedimientos Mínimos e Informe de Control Interno</w:t>
            </w:r>
          </w:p>
        </w:tc>
      </w:tr>
      <w:tr w:rsidR="00990B14" w14:paraId="264CE56C" w14:textId="77777777">
        <w:trPr>
          <w:cantSplit/>
          <w:jc w:val="center"/>
        </w:trPr>
        <w:tc>
          <w:tcPr>
            <w:tcW w:w="3133" w:type="dxa"/>
            <w:gridSpan w:val="4"/>
            <w:vMerge/>
            <w:shd w:val="clear" w:color="auto" w:fill="D9E2F3"/>
            <w:vAlign w:val="center"/>
          </w:tcPr>
          <w:p w14:paraId="0848DE42" w14:textId="77777777" w:rsidR="00990B14" w:rsidRDefault="00990B14">
            <w:pPr>
              <w:spacing w:before="20" w:after="20"/>
            </w:pPr>
          </w:p>
        </w:tc>
        <w:tc>
          <w:tcPr>
            <w:tcW w:w="3135" w:type="dxa"/>
            <w:gridSpan w:val="5"/>
            <w:shd w:val="clear" w:color="auto" w:fill="D9E2F3"/>
            <w:vAlign w:val="center"/>
          </w:tcPr>
          <w:p w14:paraId="6E834AF0" w14:textId="77777777" w:rsidR="00990B14" w:rsidRDefault="00000000">
            <w:pPr>
              <w:spacing w:before="20" w:after="20"/>
              <w:jc w:val="both"/>
            </w:pPr>
            <w:r>
              <w:rPr>
                <w:sz w:val="18"/>
                <w:szCs w:val="18"/>
              </w:rPr>
              <w:t>2.2 Elabora en aula el Dictamen tributario que incorpora las conclusiones sobre la situación fiscal del sujeto pasivo.</w:t>
            </w:r>
          </w:p>
        </w:tc>
        <w:tc>
          <w:tcPr>
            <w:tcW w:w="3137" w:type="dxa"/>
            <w:gridSpan w:val="4"/>
            <w:shd w:val="clear" w:color="auto" w:fill="D9E2F3"/>
            <w:vAlign w:val="center"/>
          </w:tcPr>
          <w:p w14:paraId="3DDEC589" w14:textId="77777777" w:rsidR="00990B14" w:rsidRDefault="00000000">
            <w:pPr>
              <w:spacing w:before="20" w:after="20"/>
              <w:jc w:val="both"/>
            </w:pPr>
            <w:r>
              <w:rPr>
                <w:b/>
                <w:bCs/>
                <w:sz w:val="18"/>
                <w:szCs w:val="18"/>
              </w:rPr>
              <w:t xml:space="preserve">Producto 12: </w:t>
            </w:r>
            <w:r>
              <w:rPr>
                <w:sz w:val="18"/>
                <w:szCs w:val="18"/>
              </w:rPr>
              <w:t>Dictamen Tributario</w:t>
            </w:r>
          </w:p>
        </w:tc>
      </w:tr>
      <w:tr w:rsidR="00990B14" w14:paraId="75576899" w14:textId="77777777">
        <w:trPr>
          <w:cantSplit/>
          <w:jc w:val="center"/>
        </w:trPr>
        <w:tc>
          <w:tcPr>
            <w:tcW w:w="9405" w:type="dxa"/>
            <w:gridSpan w:val="13"/>
            <w:shd w:val="clear" w:color="auto" w:fill="4472C4"/>
            <w:vAlign w:val="center"/>
          </w:tcPr>
          <w:p w14:paraId="6F0A331A" w14:textId="77777777" w:rsidR="00990B14" w:rsidRDefault="00000000">
            <w:pPr>
              <w:keepNext/>
              <w:spacing w:before="20" w:after="20"/>
              <w:jc w:val="center"/>
            </w:pPr>
            <w:r>
              <w:rPr>
                <w:b/>
                <w:bCs/>
                <w:i/>
                <w:iCs/>
                <w:color w:val="FFFFFF"/>
                <w:sz w:val="18"/>
                <w:szCs w:val="18"/>
              </w:rPr>
              <w:t>Evidencias de conocimiento</w:t>
            </w:r>
          </w:p>
        </w:tc>
      </w:tr>
      <w:tr w:rsidR="00990B14" w14:paraId="76447D61" w14:textId="77777777">
        <w:trPr>
          <w:cantSplit/>
          <w:jc w:val="center"/>
        </w:trPr>
        <w:tc>
          <w:tcPr>
            <w:tcW w:w="2349" w:type="dxa"/>
            <w:gridSpan w:val="2"/>
            <w:shd w:val="clear" w:color="auto" w:fill="4472C4"/>
            <w:vAlign w:val="center"/>
          </w:tcPr>
          <w:p w14:paraId="3554B509"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0DB1F310" w14:textId="77777777" w:rsidR="00990B14" w:rsidRDefault="00000000">
            <w:pPr>
              <w:keepNext/>
              <w:spacing w:before="20" w:after="20"/>
              <w:jc w:val="both"/>
            </w:pPr>
            <w:r>
              <w:rPr>
                <w:b/>
                <w:bCs/>
                <w:i/>
                <w:iCs/>
                <w:color w:val="FFFFFF"/>
                <w:sz w:val="18"/>
                <w:szCs w:val="18"/>
              </w:rPr>
              <w:t>Contenidos</w:t>
            </w:r>
          </w:p>
          <w:p w14:paraId="7EC669A7"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1CD01864" w14:textId="77777777" w:rsidR="00990B14" w:rsidRDefault="00000000">
            <w:pPr>
              <w:keepNext/>
              <w:spacing w:before="20" w:after="20"/>
              <w:jc w:val="center"/>
            </w:pPr>
            <w:r>
              <w:rPr>
                <w:b/>
                <w:bCs/>
                <w:i/>
                <w:iCs/>
                <w:color w:val="FFFFFF"/>
                <w:sz w:val="18"/>
                <w:szCs w:val="18"/>
              </w:rPr>
              <w:t>Conocimientos circunstanciales</w:t>
            </w:r>
          </w:p>
        </w:tc>
      </w:tr>
      <w:tr w:rsidR="00990B14" w14:paraId="537DFD03" w14:textId="77777777">
        <w:trPr>
          <w:jc w:val="center"/>
        </w:trPr>
        <w:tc>
          <w:tcPr>
            <w:tcW w:w="2349" w:type="dxa"/>
            <w:gridSpan w:val="2"/>
            <w:shd w:val="clear" w:color="auto" w:fill="D9E2F3"/>
          </w:tcPr>
          <w:p w14:paraId="3C8AF643" w14:textId="77777777" w:rsidR="00990B14" w:rsidRDefault="00000000">
            <w:pPr>
              <w:spacing w:before="20" w:after="40"/>
              <w:jc w:val="both"/>
            </w:pPr>
            <w:r>
              <w:rPr>
                <w:sz w:val="18"/>
                <w:szCs w:val="18"/>
              </w:rPr>
              <w:t>Tema 7: Proceso de la auditoría tributaria</w:t>
            </w:r>
          </w:p>
          <w:p w14:paraId="3A164447" w14:textId="77777777" w:rsidR="00990B14" w:rsidRDefault="00000000">
            <w:pPr>
              <w:spacing w:before="20" w:after="40"/>
              <w:jc w:val="both"/>
            </w:pPr>
            <w:r>
              <w:rPr>
                <w:sz w:val="18"/>
                <w:szCs w:val="18"/>
              </w:rPr>
              <w:t>Tema 8: Planificación de la auditoría tributaria</w:t>
            </w:r>
          </w:p>
          <w:p w14:paraId="03462CC4" w14:textId="77777777" w:rsidR="00990B14" w:rsidRDefault="00000000">
            <w:pPr>
              <w:spacing w:before="20" w:after="40"/>
              <w:jc w:val="both"/>
            </w:pPr>
            <w:r>
              <w:rPr>
                <w:sz w:val="18"/>
                <w:szCs w:val="18"/>
              </w:rPr>
              <w:t>Tema 9: Ejecución de la auditoría tributaria</w:t>
            </w:r>
          </w:p>
          <w:p w14:paraId="36300DEE" w14:textId="77777777" w:rsidR="00990B14" w:rsidRDefault="00000000">
            <w:pPr>
              <w:spacing w:before="20" w:after="40"/>
              <w:jc w:val="both"/>
            </w:pPr>
            <w:r>
              <w:rPr>
                <w:sz w:val="18"/>
                <w:szCs w:val="18"/>
              </w:rPr>
              <w:t>Tema 10: Finalización de la auditoría tributaria</w:t>
            </w:r>
          </w:p>
          <w:p w14:paraId="6C933C2D" w14:textId="77777777" w:rsidR="00990B14" w:rsidRDefault="00000000">
            <w:pPr>
              <w:spacing w:before="20" w:after="40"/>
              <w:jc w:val="both"/>
            </w:pPr>
            <w:r>
              <w:rPr>
                <w:sz w:val="18"/>
                <w:szCs w:val="18"/>
              </w:rPr>
              <w:t>Tema 11: Normas, dictámenes e informes de auditoría tributaria</w:t>
            </w:r>
          </w:p>
          <w:p w14:paraId="67787D96" w14:textId="77777777" w:rsidR="00990B14" w:rsidRDefault="00000000">
            <w:pPr>
              <w:spacing w:before="20" w:after="40"/>
              <w:jc w:val="both"/>
            </w:pPr>
            <w:r>
              <w:rPr>
                <w:sz w:val="18"/>
                <w:szCs w:val="18"/>
              </w:rPr>
              <w:t>Tema 12: Las Normas de Contabilidad Generalmente Aceptadas en Bolivia, las NIIF y sus implicaciones tributarias</w:t>
            </w:r>
          </w:p>
        </w:tc>
        <w:tc>
          <w:tcPr>
            <w:tcW w:w="4304" w:type="dxa"/>
            <w:gridSpan w:val="8"/>
            <w:shd w:val="clear" w:color="auto" w:fill="D9E2F3"/>
          </w:tcPr>
          <w:p w14:paraId="1476CB6C" w14:textId="77777777" w:rsidR="00990B14" w:rsidRDefault="00000000">
            <w:pPr>
              <w:spacing w:after="40"/>
              <w:jc w:val="both"/>
            </w:pPr>
            <w:r>
              <w:rPr>
                <w:sz w:val="18"/>
                <w:szCs w:val="18"/>
              </w:rPr>
              <w:t>La auditoría tributaria y sus características. (C)</w:t>
            </w:r>
          </w:p>
          <w:p w14:paraId="2C669F3D" w14:textId="77777777" w:rsidR="00990B14" w:rsidRDefault="00000000">
            <w:pPr>
              <w:spacing w:after="40"/>
              <w:jc w:val="both"/>
            </w:pPr>
            <w:r>
              <w:rPr>
                <w:sz w:val="18"/>
                <w:szCs w:val="18"/>
              </w:rPr>
              <w:t>Fase de planificación estratégica y detallada y elaboración del plan de trabajo. (P)</w:t>
            </w:r>
          </w:p>
          <w:p w14:paraId="77F7B90E" w14:textId="77777777" w:rsidR="00990B14" w:rsidRDefault="00000000">
            <w:pPr>
              <w:spacing w:after="40"/>
              <w:jc w:val="both"/>
            </w:pPr>
            <w:r>
              <w:rPr>
                <w:sz w:val="18"/>
                <w:szCs w:val="18"/>
              </w:rPr>
              <w:t>Operación de herramientas de inteligencia artificial para el análisis de procedimientos de Auditoría Tributaria. (T)</w:t>
            </w:r>
          </w:p>
          <w:p w14:paraId="75833C61" w14:textId="77777777" w:rsidR="00990B14" w:rsidRDefault="00000000">
            <w:pPr>
              <w:spacing w:after="40"/>
              <w:jc w:val="both"/>
            </w:pPr>
            <w:r>
              <w:rPr>
                <w:sz w:val="18"/>
                <w:szCs w:val="18"/>
              </w:rPr>
              <w:t>Fase de ejecución: preparación de papeles de trabajo y desarrollo de hallazgos. (P)</w:t>
            </w:r>
          </w:p>
          <w:p w14:paraId="46B03D77" w14:textId="77777777" w:rsidR="00990B14" w:rsidRDefault="00000000">
            <w:pPr>
              <w:spacing w:after="40"/>
              <w:jc w:val="both"/>
            </w:pPr>
            <w:r>
              <w:rPr>
                <w:sz w:val="18"/>
                <w:szCs w:val="18"/>
              </w:rPr>
              <w:t>Etapa de finalización y comunicación de resultados. (C)</w:t>
            </w:r>
          </w:p>
          <w:p w14:paraId="7232CB2E" w14:textId="77777777" w:rsidR="00990B14" w:rsidRDefault="00000000">
            <w:pPr>
              <w:spacing w:after="40"/>
              <w:jc w:val="both"/>
            </w:pPr>
            <w:r>
              <w:rPr>
                <w:sz w:val="18"/>
                <w:szCs w:val="18"/>
              </w:rPr>
              <w:t>Elaboración de propuestas de auditoría tributaria: objetivos, alcance, forma de prestación de servicios y honorarios. (C, P)</w:t>
            </w:r>
          </w:p>
          <w:p w14:paraId="21A99275" w14:textId="77777777" w:rsidR="00990B14" w:rsidRDefault="00000000">
            <w:pPr>
              <w:spacing w:after="40"/>
              <w:jc w:val="both"/>
            </w:pPr>
            <w:r>
              <w:rPr>
                <w:sz w:val="18"/>
                <w:szCs w:val="18"/>
              </w:rPr>
              <w:t>Proceso de planeación de la auditoría tributaria, componentes y evidencias de auditoría. (C)</w:t>
            </w:r>
          </w:p>
          <w:p w14:paraId="016457F7" w14:textId="77777777" w:rsidR="00990B14" w:rsidRDefault="00000000">
            <w:pPr>
              <w:spacing w:after="40"/>
              <w:jc w:val="both"/>
            </w:pPr>
            <w:r>
              <w:rPr>
                <w:sz w:val="18"/>
                <w:szCs w:val="18"/>
              </w:rPr>
              <w:t>Técnicas de la auditoría tributaria y elaboración del cuestionario de la evaluación tributaria de la empresa auditada. (P)</w:t>
            </w:r>
          </w:p>
          <w:p w14:paraId="018F60D2" w14:textId="77777777" w:rsidR="00990B14" w:rsidRDefault="00000000">
            <w:pPr>
              <w:spacing w:after="40"/>
              <w:jc w:val="both"/>
            </w:pPr>
            <w:r>
              <w:rPr>
                <w:sz w:val="18"/>
                <w:szCs w:val="18"/>
              </w:rPr>
              <w:t>Procedimiento de auditoría tributaria y plan de trabajo. (P)</w:t>
            </w:r>
          </w:p>
          <w:p w14:paraId="748213B5" w14:textId="77777777" w:rsidR="00990B14" w:rsidRDefault="00000000">
            <w:pPr>
              <w:spacing w:after="40"/>
              <w:jc w:val="both"/>
            </w:pPr>
            <w:r>
              <w:rPr>
                <w:sz w:val="18"/>
                <w:szCs w:val="18"/>
              </w:rPr>
              <w:t>Papeles de trabajo: definición, propósitos y contenido. (C, P)</w:t>
            </w:r>
          </w:p>
          <w:p w14:paraId="3D3AEDAB" w14:textId="77777777" w:rsidR="00990B14" w:rsidRDefault="00000000">
            <w:pPr>
              <w:spacing w:after="40"/>
              <w:jc w:val="both"/>
            </w:pPr>
            <w:r>
              <w:rPr>
                <w:sz w:val="18"/>
                <w:szCs w:val="18"/>
              </w:rPr>
              <w:t>Organización de los papeles de trabajo: archivo corriente, archivo general y archivo permanente; utilización de marcas y referenciación. (P)</w:t>
            </w:r>
          </w:p>
          <w:p w14:paraId="18BC7B6F" w14:textId="77777777" w:rsidR="00990B14" w:rsidRDefault="00000000">
            <w:pPr>
              <w:spacing w:after="40"/>
              <w:jc w:val="both"/>
            </w:pPr>
            <w:r>
              <w:rPr>
                <w:sz w:val="18"/>
                <w:szCs w:val="18"/>
              </w:rPr>
              <w:t>Aspectos a considerar para desarrollar adecuadamente los papeles de trabajo y diagramas de causa y efecto. (P)</w:t>
            </w:r>
          </w:p>
          <w:p w14:paraId="11D821A7" w14:textId="77777777" w:rsidR="00990B14" w:rsidRDefault="00000000">
            <w:pPr>
              <w:spacing w:after="40"/>
              <w:jc w:val="both"/>
            </w:pPr>
            <w:r>
              <w:rPr>
                <w:sz w:val="18"/>
                <w:szCs w:val="18"/>
              </w:rPr>
              <w:t>Desarrollo del ejercicio de auditoría tributaria. (P)</w:t>
            </w:r>
          </w:p>
          <w:p w14:paraId="2B8FAC5B" w14:textId="77777777" w:rsidR="00990B14" w:rsidRDefault="00000000">
            <w:pPr>
              <w:spacing w:after="40"/>
              <w:jc w:val="both"/>
            </w:pPr>
            <w:r>
              <w:rPr>
                <w:sz w:val="18"/>
                <w:szCs w:val="18"/>
              </w:rPr>
              <w:t>Elaboración de los papeles de trabajo: cédulas índice, generales, planillas y otras hojas de trabajo. (P)</w:t>
            </w:r>
          </w:p>
          <w:p w14:paraId="41D3EABD" w14:textId="77777777" w:rsidR="00990B14" w:rsidRDefault="00000000">
            <w:pPr>
              <w:spacing w:after="40"/>
              <w:jc w:val="both"/>
            </w:pPr>
            <w:r>
              <w:rPr>
                <w:sz w:val="18"/>
                <w:szCs w:val="18"/>
              </w:rPr>
              <w:t>Aplicación de los procedimientos analíticos: análisis comparativo de estados financieros. (P)</w:t>
            </w:r>
          </w:p>
          <w:p w14:paraId="79E119AA" w14:textId="77777777" w:rsidR="00990B14" w:rsidRDefault="00000000">
            <w:pPr>
              <w:spacing w:after="40"/>
              <w:jc w:val="both"/>
            </w:pPr>
            <w:r>
              <w:rPr>
                <w:sz w:val="18"/>
                <w:szCs w:val="18"/>
              </w:rPr>
              <w:t>Informes tributarios: características del informe e importancia del contenido. (C)</w:t>
            </w:r>
          </w:p>
          <w:p w14:paraId="4BA29A20" w14:textId="77777777" w:rsidR="00990B14" w:rsidRDefault="00000000">
            <w:pPr>
              <w:spacing w:after="40"/>
              <w:jc w:val="both"/>
            </w:pPr>
            <w:r>
              <w:rPr>
                <w:sz w:val="18"/>
                <w:szCs w:val="18"/>
              </w:rPr>
              <w:t>El dictamen tributario y las normas aplicables para la preparación del informe; utilidad y oportunidad. (C, P)</w:t>
            </w:r>
          </w:p>
          <w:p w14:paraId="37FF91C5" w14:textId="77777777" w:rsidR="00990B14" w:rsidRDefault="00000000">
            <w:pPr>
              <w:spacing w:after="40"/>
              <w:jc w:val="both"/>
            </w:pPr>
            <w:r>
              <w:rPr>
                <w:sz w:val="18"/>
                <w:szCs w:val="18"/>
              </w:rPr>
              <w:t>Formulación y forma de presentación de las conclusiones y de las recomendaciones; el control interno. (P)</w:t>
            </w:r>
          </w:p>
          <w:p w14:paraId="62880BBB" w14:textId="77777777" w:rsidR="00990B14" w:rsidRDefault="00000000">
            <w:pPr>
              <w:spacing w:after="40"/>
              <w:jc w:val="both"/>
            </w:pPr>
            <w:r>
              <w:rPr>
                <w:sz w:val="18"/>
                <w:szCs w:val="18"/>
              </w:rPr>
              <w:t>Normas emitidas por el Servicio de Impuestos Nacionales y resoluciones normativas de directorio relacionadas con la presentación de estados financieros con dictamen de auditoría externa, a través del Sistema Integrado de la Administración Tributaria - SIAT. (P, T)</w:t>
            </w:r>
          </w:p>
          <w:p w14:paraId="1836E49F" w14:textId="77777777" w:rsidR="00990B14" w:rsidRDefault="00000000">
            <w:pPr>
              <w:spacing w:after="40"/>
              <w:jc w:val="both"/>
            </w:pPr>
            <w:r>
              <w:rPr>
                <w:sz w:val="18"/>
                <w:szCs w:val="18"/>
              </w:rPr>
              <w:t>Dictamen tributario del auditor independiente sobre la Información Tributaria Complementaria. (C)</w:t>
            </w:r>
          </w:p>
          <w:p w14:paraId="0CED5984" w14:textId="77777777" w:rsidR="00990B14" w:rsidRDefault="00000000">
            <w:pPr>
              <w:spacing w:after="40"/>
              <w:jc w:val="both"/>
            </w:pPr>
            <w:r>
              <w:rPr>
                <w:sz w:val="18"/>
                <w:szCs w:val="18"/>
              </w:rPr>
              <w:t>Informe de procedimientos mínimos tributarios. (P)</w:t>
            </w:r>
          </w:p>
          <w:p w14:paraId="088FE7CF" w14:textId="77777777" w:rsidR="00990B14" w:rsidRDefault="00000000">
            <w:pPr>
              <w:spacing w:after="40"/>
              <w:jc w:val="both"/>
            </w:pPr>
            <w:r>
              <w:rPr>
                <w:sz w:val="18"/>
                <w:szCs w:val="18"/>
              </w:rPr>
              <w:t>Estudio de precios de transferencia de las operaciones entre partes vinculadas. (C)</w:t>
            </w:r>
          </w:p>
          <w:p w14:paraId="13BCB549" w14:textId="77777777" w:rsidR="00990B14" w:rsidRDefault="00000000">
            <w:pPr>
              <w:spacing w:after="40"/>
              <w:jc w:val="both"/>
            </w:pPr>
            <w:r>
              <w:rPr>
                <w:sz w:val="18"/>
                <w:szCs w:val="18"/>
              </w:rPr>
              <w:t>Consideraciones sobre la aplicación de la NIC 12: Impuesto sobre las Utilidades de las Empresas. (C)</w:t>
            </w:r>
          </w:p>
        </w:tc>
        <w:tc>
          <w:tcPr>
            <w:tcW w:w="2752" w:type="dxa"/>
            <w:gridSpan w:val="3"/>
            <w:shd w:val="clear" w:color="auto" w:fill="D9E2F3"/>
          </w:tcPr>
          <w:p w14:paraId="49837721" w14:textId="77777777" w:rsidR="00990B14" w:rsidRDefault="00000000">
            <w:pPr>
              <w:numPr>
                <w:ilvl w:val="0"/>
                <w:numId w:val="139"/>
              </w:numPr>
              <w:spacing w:before="10" w:after="10"/>
              <w:jc w:val="both"/>
            </w:pPr>
            <w:r>
              <w:rPr>
                <w:sz w:val="18"/>
                <w:szCs w:val="18"/>
              </w:rPr>
              <w:t>Prácticas de contratación de los servicios de auditoría externa en el mercado boliviano.</w:t>
            </w:r>
          </w:p>
        </w:tc>
      </w:tr>
    </w:tbl>
    <w:p w14:paraId="236035A2"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700"/>
        <w:gridCol w:w="1700"/>
        <w:gridCol w:w="1805"/>
        <w:gridCol w:w="1700"/>
        <w:gridCol w:w="2500"/>
      </w:tblGrid>
      <w:tr w:rsidR="00990B14" w14:paraId="4DA7F32E" w14:textId="77777777">
        <w:trPr>
          <w:cantSplit/>
          <w:jc w:val="center"/>
        </w:trPr>
        <w:tc>
          <w:tcPr>
            <w:tcW w:w="9405" w:type="dxa"/>
            <w:gridSpan w:val="5"/>
            <w:shd w:val="clear" w:color="auto" w:fill="4472C4"/>
            <w:vAlign w:val="center"/>
          </w:tcPr>
          <w:p w14:paraId="3CF63DA7" w14:textId="77777777" w:rsidR="00990B14" w:rsidRDefault="00000000">
            <w:pPr>
              <w:keepNext/>
              <w:spacing w:before="20" w:after="20"/>
              <w:jc w:val="center"/>
            </w:pPr>
            <w:r>
              <w:rPr>
                <w:b/>
                <w:bCs/>
                <w:i/>
                <w:iCs/>
                <w:color w:val="FFFFFF"/>
                <w:sz w:val="18"/>
                <w:szCs w:val="18"/>
              </w:rPr>
              <w:t>Actividades</w:t>
            </w:r>
          </w:p>
        </w:tc>
      </w:tr>
      <w:tr w:rsidR="00990B14" w14:paraId="0B57E7EB" w14:textId="77777777">
        <w:trPr>
          <w:cantSplit/>
          <w:jc w:val="center"/>
        </w:trPr>
        <w:tc>
          <w:tcPr>
            <w:tcW w:w="1700" w:type="dxa"/>
            <w:shd w:val="clear" w:color="auto" w:fill="4472C4"/>
            <w:vAlign w:val="center"/>
          </w:tcPr>
          <w:p w14:paraId="3F28F870" w14:textId="77777777" w:rsidR="00990B14" w:rsidRDefault="00000000">
            <w:pPr>
              <w:keepNext/>
              <w:spacing w:before="20" w:after="20"/>
              <w:jc w:val="center"/>
            </w:pPr>
            <w:r>
              <w:rPr>
                <w:b/>
                <w:bCs/>
                <w:i/>
                <w:iCs/>
                <w:color w:val="FFFFFF"/>
                <w:sz w:val="18"/>
                <w:szCs w:val="18"/>
              </w:rPr>
              <w:t>En clase</w:t>
            </w:r>
          </w:p>
        </w:tc>
        <w:tc>
          <w:tcPr>
            <w:tcW w:w="1700" w:type="dxa"/>
            <w:shd w:val="clear" w:color="auto" w:fill="4472C4"/>
            <w:vAlign w:val="center"/>
          </w:tcPr>
          <w:p w14:paraId="21CFBA87" w14:textId="77777777" w:rsidR="00990B14" w:rsidRDefault="00000000">
            <w:pPr>
              <w:keepNext/>
              <w:spacing w:before="20" w:after="20"/>
              <w:jc w:val="center"/>
            </w:pPr>
            <w:r>
              <w:rPr>
                <w:b/>
                <w:bCs/>
                <w:i/>
                <w:iCs/>
                <w:color w:val="FFFFFF"/>
                <w:sz w:val="18"/>
                <w:szCs w:val="18"/>
              </w:rPr>
              <w:t>Autónomas</w:t>
            </w:r>
          </w:p>
        </w:tc>
        <w:tc>
          <w:tcPr>
            <w:tcW w:w="1805" w:type="dxa"/>
            <w:shd w:val="clear" w:color="auto" w:fill="4472C4"/>
            <w:vAlign w:val="center"/>
          </w:tcPr>
          <w:p w14:paraId="39339EB7" w14:textId="77777777" w:rsidR="00990B14" w:rsidRDefault="00000000">
            <w:pPr>
              <w:keepNext/>
              <w:spacing w:before="20" w:after="20"/>
              <w:jc w:val="center"/>
            </w:pPr>
            <w:r>
              <w:rPr>
                <w:b/>
                <w:bCs/>
                <w:i/>
                <w:iCs/>
                <w:color w:val="FFFFFF"/>
                <w:sz w:val="18"/>
                <w:szCs w:val="18"/>
              </w:rPr>
              <w:t>B-Learning</w:t>
            </w:r>
          </w:p>
        </w:tc>
        <w:tc>
          <w:tcPr>
            <w:tcW w:w="1700" w:type="dxa"/>
            <w:shd w:val="clear" w:color="auto" w:fill="4472C4"/>
            <w:vAlign w:val="center"/>
          </w:tcPr>
          <w:p w14:paraId="0C5CABE0" w14:textId="77777777" w:rsidR="00990B14" w:rsidRDefault="00000000">
            <w:pPr>
              <w:keepNext/>
              <w:spacing w:before="20" w:after="20"/>
              <w:jc w:val="center"/>
            </w:pPr>
            <w:r>
              <w:rPr>
                <w:b/>
                <w:bCs/>
                <w:i/>
                <w:iCs/>
                <w:color w:val="FFFFFF"/>
                <w:sz w:val="18"/>
                <w:szCs w:val="18"/>
              </w:rPr>
              <w:t>Taller</w:t>
            </w:r>
          </w:p>
        </w:tc>
        <w:tc>
          <w:tcPr>
            <w:tcW w:w="2500" w:type="dxa"/>
            <w:shd w:val="clear" w:color="auto" w:fill="4472C4"/>
            <w:vAlign w:val="center"/>
          </w:tcPr>
          <w:p w14:paraId="5A3A583C" w14:textId="77777777" w:rsidR="00990B14" w:rsidRDefault="00000000">
            <w:pPr>
              <w:keepNext/>
              <w:spacing w:before="20" w:after="20"/>
              <w:jc w:val="center"/>
            </w:pPr>
            <w:r>
              <w:rPr>
                <w:b/>
                <w:bCs/>
                <w:i/>
                <w:iCs/>
                <w:color w:val="FFFFFF"/>
                <w:sz w:val="18"/>
                <w:szCs w:val="18"/>
              </w:rPr>
              <w:t>Investigación/Práctica</w:t>
            </w:r>
          </w:p>
        </w:tc>
      </w:tr>
      <w:tr w:rsidR="00990B14" w14:paraId="7C481D90" w14:textId="77777777">
        <w:trPr>
          <w:jc w:val="center"/>
        </w:trPr>
        <w:tc>
          <w:tcPr>
            <w:tcW w:w="1700" w:type="dxa"/>
            <w:shd w:val="clear" w:color="auto" w:fill="D9E2F3"/>
          </w:tcPr>
          <w:p w14:paraId="4668C7FC" w14:textId="77777777" w:rsidR="00990B14" w:rsidRDefault="00000000">
            <w:pPr>
              <w:numPr>
                <w:ilvl w:val="0"/>
                <w:numId w:val="139"/>
              </w:numPr>
              <w:spacing w:before="10" w:after="10"/>
              <w:jc w:val="both"/>
            </w:pPr>
            <w:r>
              <w:rPr>
                <w:sz w:val="18"/>
                <w:szCs w:val="18"/>
              </w:rPr>
              <w:t>Exposición dialogada del Código Tributario Boliviano vigente, Leyes y Decretos Reglamentarios del Sistema Tributario Boliviano y demás disposiciones legales vigentes.</w:t>
            </w:r>
          </w:p>
          <w:p w14:paraId="3CCCEF6E" w14:textId="77777777" w:rsidR="00990B14" w:rsidRDefault="00000000">
            <w:pPr>
              <w:numPr>
                <w:ilvl w:val="0"/>
                <w:numId w:val="139"/>
              </w:numPr>
              <w:spacing w:before="10" w:after="10"/>
              <w:jc w:val="both"/>
            </w:pPr>
            <w:r>
              <w:rPr>
                <w:sz w:val="18"/>
                <w:szCs w:val="18"/>
              </w:rPr>
              <w:t>Exposición dialogada de conceptos generales, elementos de la obligación tributaria y de las clases de Auditoría Tributaria.</w:t>
            </w:r>
          </w:p>
          <w:p w14:paraId="1D0A237C" w14:textId="77777777" w:rsidR="00990B14" w:rsidRDefault="00000000">
            <w:pPr>
              <w:numPr>
                <w:ilvl w:val="0"/>
                <w:numId w:val="139"/>
              </w:numPr>
              <w:spacing w:before="10" w:after="10"/>
              <w:jc w:val="both"/>
            </w:pPr>
            <w:r>
              <w:rPr>
                <w:sz w:val="18"/>
                <w:szCs w:val="18"/>
              </w:rPr>
              <w:t>Resolución guiada de los componentes de la deuda tributaria, ilícitos tributarios.</w:t>
            </w:r>
          </w:p>
          <w:p w14:paraId="28FFFB54" w14:textId="77777777" w:rsidR="00990B14" w:rsidRDefault="00000000">
            <w:pPr>
              <w:numPr>
                <w:ilvl w:val="0"/>
                <w:numId w:val="139"/>
              </w:numPr>
              <w:spacing w:before="10" w:after="10"/>
              <w:jc w:val="both"/>
            </w:pPr>
            <w:r>
              <w:rPr>
                <w:sz w:val="18"/>
                <w:szCs w:val="18"/>
              </w:rPr>
              <w:t>Exposición y resolución guiada del proceso de la Auditoría Fiscal.</w:t>
            </w:r>
          </w:p>
          <w:p w14:paraId="7F599097" w14:textId="77777777" w:rsidR="00990B14" w:rsidRDefault="00000000">
            <w:pPr>
              <w:numPr>
                <w:ilvl w:val="0"/>
                <w:numId w:val="139"/>
              </w:numPr>
              <w:spacing w:before="10" w:after="10"/>
              <w:jc w:val="both"/>
            </w:pPr>
            <w:r>
              <w:rPr>
                <w:sz w:val="18"/>
                <w:szCs w:val="18"/>
              </w:rPr>
              <w:t>Exposición y resolución guiada del proceso de la Auditoría Tributaria Independiente.</w:t>
            </w:r>
          </w:p>
        </w:tc>
        <w:tc>
          <w:tcPr>
            <w:tcW w:w="1700" w:type="dxa"/>
            <w:shd w:val="clear" w:color="auto" w:fill="D9E2F3"/>
          </w:tcPr>
          <w:p w14:paraId="2A0CF136" w14:textId="77777777" w:rsidR="00990B14" w:rsidRDefault="00000000">
            <w:pPr>
              <w:numPr>
                <w:ilvl w:val="0"/>
                <w:numId w:val="139"/>
              </w:numPr>
              <w:spacing w:before="10" w:after="10"/>
              <w:jc w:val="both"/>
            </w:pPr>
            <w:r>
              <w:rPr>
                <w:sz w:val="18"/>
                <w:szCs w:val="18"/>
              </w:rPr>
              <w:t>Lectura del Código Tributario Boliviano vigente, Leyes y Decretos Reglamentarios del Sistema Tributario Boliviano y demás disposiciones legales vigentes.</w:t>
            </w:r>
          </w:p>
          <w:p w14:paraId="4D8E5DF0" w14:textId="77777777" w:rsidR="00990B14" w:rsidRDefault="00000000">
            <w:pPr>
              <w:numPr>
                <w:ilvl w:val="0"/>
                <w:numId w:val="139"/>
              </w:numPr>
              <w:spacing w:before="10" w:after="10"/>
              <w:jc w:val="both"/>
            </w:pPr>
            <w:r>
              <w:rPr>
                <w:sz w:val="18"/>
                <w:szCs w:val="18"/>
              </w:rPr>
              <w:t>Resolución de talleres, prácticas, escenarios y ejercicios planteados en clase al cierre de cada tema.</w:t>
            </w:r>
          </w:p>
          <w:p w14:paraId="69B6984D" w14:textId="77777777" w:rsidR="00990B14" w:rsidRDefault="00000000">
            <w:pPr>
              <w:numPr>
                <w:ilvl w:val="0"/>
                <w:numId w:val="139"/>
              </w:numPr>
              <w:spacing w:before="10" w:after="10"/>
              <w:jc w:val="both"/>
            </w:pPr>
            <w:r>
              <w:rPr>
                <w:sz w:val="18"/>
                <w:szCs w:val="18"/>
              </w:rPr>
              <w:t>Desarrollo progresivo de los papeles de trabajo del caso práctico de auditoría fiscal e independiente.</w:t>
            </w:r>
          </w:p>
        </w:tc>
        <w:tc>
          <w:tcPr>
            <w:tcW w:w="1805" w:type="dxa"/>
            <w:shd w:val="clear" w:color="auto" w:fill="D9E2F3"/>
          </w:tcPr>
          <w:p w14:paraId="1CFDB331" w14:textId="77777777" w:rsidR="00990B14" w:rsidRDefault="00000000">
            <w:pPr>
              <w:numPr>
                <w:ilvl w:val="0"/>
                <w:numId w:val="139"/>
              </w:numPr>
              <w:spacing w:before="10" w:after="10"/>
              <w:jc w:val="both"/>
            </w:pPr>
            <w:r>
              <w:rPr>
                <w:sz w:val="18"/>
                <w:szCs w:val="18"/>
              </w:rPr>
              <w:t>Cuestionarios de comprensión en las plataformas de la UMSA.</w:t>
            </w:r>
          </w:p>
          <w:p w14:paraId="4BD023E2" w14:textId="77777777" w:rsidR="00990B14" w:rsidRDefault="00000000">
            <w:pPr>
              <w:numPr>
                <w:ilvl w:val="0"/>
                <w:numId w:val="139"/>
              </w:numPr>
              <w:spacing w:before="10" w:after="10"/>
              <w:jc w:val="both"/>
            </w:pPr>
            <w:r>
              <w:rPr>
                <w:sz w:val="18"/>
                <w:szCs w:val="18"/>
              </w:rPr>
              <w:t>Videotutoriales de temas tributarios que complementan los temas avanzados.</w:t>
            </w:r>
          </w:p>
          <w:p w14:paraId="0AFD8114" w14:textId="77777777" w:rsidR="00990B14" w:rsidRDefault="00000000">
            <w:pPr>
              <w:numPr>
                <w:ilvl w:val="0"/>
                <w:numId w:val="139"/>
              </w:numPr>
              <w:spacing w:before="10" w:after="10"/>
              <w:jc w:val="both"/>
            </w:pPr>
            <w:r>
              <w:rPr>
                <w:sz w:val="18"/>
                <w:szCs w:val="18"/>
              </w:rPr>
              <w:t>Uso del portal de la Administración Tributaria e IA.</w:t>
            </w:r>
          </w:p>
        </w:tc>
        <w:tc>
          <w:tcPr>
            <w:tcW w:w="1700" w:type="dxa"/>
            <w:shd w:val="clear" w:color="auto" w:fill="D9E2F3"/>
          </w:tcPr>
          <w:p w14:paraId="3A4D85ED" w14:textId="77777777" w:rsidR="00990B14" w:rsidRDefault="00000000">
            <w:pPr>
              <w:numPr>
                <w:ilvl w:val="0"/>
                <w:numId w:val="139"/>
              </w:numPr>
              <w:spacing w:before="10" w:after="10"/>
              <w:jc w:val="both"/>
            </w:pPr>
            <w:r>
              <w:rPr>
                <w:sz w:val="18"/>
                <w:szCs w:val="18"/>
              </w:rPr>
              <w:t>Elaboración guiada del Buró de Auditoría Fiscal e Independiente.</w:t>
            </w:r>
          </w:p>
          <w:p w14:paraId="4B17AEA3" w14:textId="77777777" w:rsidR="00990B14" w:rsidRDefault="00000000">
            <w:pPr>
              <w:numPr>
                <w:ilvl w:val="0"/>
                <w:numId w:val="139"/>
              </w:numPr>
              <w:spacing w:before="10" w:after="10"/>
              <w:jc w:val="both"/>
            </w:pPr>
            <w:r>
              <w:rPr>
                <w:sz w:val="18"/>
                <w:szCs w:val="18"/>
              </w:rPr>
              <w:t>Resolución guiada de escenarios tributarios según el avance temático.</w:t>
            </w:r>
          </w:p>
        </w:tc>
        <w:tc>
          <w:tcPr>
            <w:tcW w:w="2500" w:type="dxa"/>
            <w:shd w:val="clear" w:color="auto" w:fill="D9E2F3"/>
          </w:tcPr>
          <w:p w14:paraId="66937F60" w14:textId="77777777" w:rsidR="00990B14" w:rsidRDefault="00000000">
            <w:pPr>
              <w:numPr>
                <w:ilvl w:val="0"/>
                <w:numId w:val="139"/>
              </w:numPr>
              <w:spacing w:before="10" w:after="10"/>
              <w:jc w:val="both"/>
            </w:pPr>
            <w:r>
              <w:rPr>
                <w:sz w:val="18"/>
                <w:szCs w:val="18"/>
              </w:rPr>
              <w:t>Análisis de las resoluciones emitidas por la Administración Tributaria.</w:t>
            </w:r>
          </w:p>
          <w:p w14:paraId="438A6FC0" w14:textId="77777777" w:rsidR="00990B14" w:rsidRDefault="00000000">
            <w:pPr>
              <w:numPr>
                <w:ilvl w:val="0"/>
                <w:numId w:val="139"/>
              </w:numPr>
              <w:spacing w:before="10" w:after="10"/>
              <w:jc w:val="both"/>
            </w:pPr>
            <w:r>
              <w:rPr>
                <w:sz w:val="18"/>
                <w:szCs w:val="18"/>
              </w:rPr>
              <w:t>Análisis y revisión de la información tributaria complementaria de estados financieros de empresas bolivianas.</w:t>
            </w:r>
          </w:p>
          <w:p w14:paraId="30EDE57A" w14:textId="77777777" w:rsidR="00990B14" w:rsidRDefault="00000000">
            <w:pPr>
              <w:numPr>
                <w:ilvl w:val="0"/>
                <w:numId w:val="139"/>
              </w:numPr>
              <w:spacing w:before="10" w:after="10"/>
              <w:jc w:val="both"/>
            </w:pPr>
            <w:r>
              <w:rPr>
                <w:sz w:val="18"/>
                <w:szCs w:val="18"/>
              </w:rPr>
              <w:t>Investigación de aspectos tributarios relacionados con la NIC 12 y los precios de transferencia.</w:t>
            </w:r>
          </w:p>
          <w:p w14:paraId="31895329" w14:textId="77777777" w:rsidR="00990B14" w:rsidRDefault="00000000">
            <w:pPr>
              <w:numPr>
                <w:ilvl w:val="0"/>
                <w:numId w:val="139"/>
              </w:numPr>
              <w:spacing w:before="10" w:after="10"/>
              <w:jc w:val="both"/>
            </w:pPr>
            <w:r>
              <w:rPr>
                <w:sz w:val="18"/>
                <w:szCs w:val="18"/>
              </w:rPr>
              <w:t>Análisis y revisión de resoluciones emitidas por la Autoridad de Impugnación Tributaria.</w:t>
            </w:r>
          </w:p>
        </w:tc>
      </w:tr>
    </w:tbl>
    <w:p w14:paraId="75A31D10"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635"/>
        <w:gridCol w:w="1830"/>
        <w:gridCol w:w="1910"/>
        <w:gridCol w:w="2015"/>
        <w:gridCol w:w="2015"/>
      </w:tblGrid>
      <w:tr w:rsidR="00990B14" w14:paraId="2BD0B4CC" w14:textId="77777777">
        <w:trPr>
          <w:jc w:val="center"/>
        </w:trPr>
        <w:tc>
          <w:tcPr>
            <w:tcW w:w="1635" w:type="dxa"/>
            <w:shd w:val="clear" w:color="auto" w:fill="4472C4"/>
            <w:vAlign w:val="center"/>
          </w:tcPr>
          <w:p w14:paraId="0D9EE37B" w14:textId="77777777" w:rsidR="00990B14" w:rsidRDefault="00000000">
            <w:pPr>
              <w:spacing w:before="20" w:after="20"/>
              <w:jc w:val="center"/>
            </w:pPr>
            <w:r>
              <w:rPr>
                <w:b/>
                <w:bCs/>
                <w:i/>
                <w:iCs/>
                <w:color w:val="FFFFFF"/>
                <w:sz w:val="18"/>
                <w:szCs w:val="18"/>
              </w:rPr>
              <w:t>Estrategias de aprendizaje y enseñanza</w:t>
            </w:r>
          </w:p>
        </w:tc>
        <w:tc>
          <w:tcPr>
            <w:tcW w:w="7770" w:type="dxa"/>
            <w:gridSpan w:val="4"/>
            <w:shd w:val="clear" w:color="auto" w:fill="D9E2F3"/>
            <w:vAlign w:val="center"/>
          </w:tcPr>
          <w:p w14:paraId="2389921E" w14:textId="77777777" w:rsidR="00990B14" w:rsidRDefault="00000000">
            <w:pPr>
              <w:numPr>
                <w:ilvl w:val="0"/>
                <w:numId w:val="140"/>
              </w:numPr>
              <w:spacing w:before="10" w:after="10"/>
              <w:jc w:val="both"/>
            </w:pPr>
            <w:r>
              <w:rPr>
                <w:sz w:val="18"/>
                <w:szCs w:val="18"/>
              </w:rPr>
              <w:t>Aprendizaje basado en problemas con casos de fiscalización de contribuyentes bolivianos.</w:t>
            </w:r>
          </w:p>
          <w:p w14:paraId="6FB757B8" w14:textId="77777777" w:rsidR="00990B14" w:rsidRDefault="00000000">
            <w:pPr>
              <w:numPr>
                <w:ilvl w:val="0"/>
                <w:numId w:val="140"/>
              </w:numPr>
              <w:spacing w:before="10" w:after="10"/>
              <w:jc w:val="both"/>
            </w:pPr>
            <w:r>
              <w:rPr>
                <w:sz w:val="18"/>
                <w:szCs w:val="18"/>
              </w:rPr>
              <w:t>Resolución progresiva de ejercicios prácticos de determinación de la deuda tributaria, aplicando la normativa vigente y verificando los cálculos realizados.</w:t>
            </w:r>
          </w:p>
          <w:p w14:paraId="67AD3157" w14:textId="77777777" w:rsidR="00990B14" w:rsidRDefault="00000000">
            <w:pPr>
              <w:numPr>
                <w:ilvl w:val="0"/>
                <w:numId w:val="140"/>
              </w:numPr>
              <w:spacing w:before="10" w:after="10"/>
              <w:jc w:val="both"/>
            </w:pPr>
            <w:r>
              <w:rPr>
                <w:sz w:val="18"/>
                <w:szCs w:val="18"/>
              </w:rPr>
              <w:t>Estudio de casos de dictámenes tributarios e información tributaria complementaria.</w:t>
            </w:r>
          </w:p>
          <w:p w14:paraId="7A4ACE6A" w14:textId="77777777" w:rsidR="00990B14" w:rsidRDefault="00000000">
            <w:pPr>
              <w:numPr>
                <w:ilvl w:val="0"/>
                <w:numId w:val="140"/>
              </w:numPr>
              <w:spacing w:before="10" w:after="10"/>
              <w:jc w:val="both"/>
            </w:pPr>
            <w:r>
              <w:rPr>
                <w:sz w:val="18"/>
                <w:szCs w:val="18"/>
              </w:rPr>
              <w:t>Desarrollo del Buró Tributario.</w:t>
            </w:r>
          </w:p>
          <w:p w14:paraId="22DDA35C" w14:textId="77777777" w:rsidR="00990B14" w:rsidRDefault="00000000">
            <w:pPr>
              <w:numPr>
                <w:ilvl w:val="0"/>
                <w:numId w:val="140"/>
              </w:numPr>
              <w:spacing w:before="10" w:after="10"/>
              <w:jc w:val="both"/>
            </w:pPr>
            <w:r>
              <w:rPr>
                <w:sz w:val="18"/>
                <w:szCs w:val="18"/>
              </w:rPr>
              <w:t>Debate sobre casos resueltos por la Autoridad de Impugnación Tributaria.</w:t>
            </w:r>
          </w:p>
        </w:tc>
      </w:tr>
      <w:tr w:rsidR="00990B14" w14:paraId="5BCA5917" w14:textId="77777777">
        <w:trPr>
          <w:jc w:val="center"/>
        </w:trPr>
        <w:tc>
          <w:tcPr>
            <w:tcW w:w="1635" w:type="dxa"/>
            <w:shd w:val="clear" w:color="auto" w:fill="4472C4"/>
            <w:vAlign w:val="center"/>
          </w:tcPr>
          <w:p w14:paraId="00B4CEAE" w14:textId="77777777" w:rsidR="00990B14" w:rsidRDefault="00000000">
            <w:pPr>
              <w:spacing w:before="20" w:after="20"/>
              <w:jc w:val="center"/>
            </w:pPr>
            <w:r>
              <w:rPr>
                <w:b/>
                <w:bCs/>
                <w:i/>
                <w:iCs/>
                <w:color w:val="FFFFFF"/>
                <w:sz w:val="18"/>
                <w:szCs w:val="18"/>
              </w:rPr>
              <w:t>Recursos para el aprendizaje</w:t>
            </w:r>
          </w:p>
        </w:tc>
        <w:tc>
          <w:tcPr>
            <w:tcW w:w="7770" w:type="dxa"/>
            <w:gridSpan w:val="4"/>
            <w:shd w:val="clear" w:color="auto" w:fill="D9E2F3"/>
            <w:vAlign w:val="center"/>
          </w:tcPr>
          <w:p w14:paraId="33699126" w14:textId="77777777" w:rsidR="00990B14" w:rsidRDefault="00000000">
            <w:pPr>
              <w:numPr>
                <w:ilvl w:val="0"/>
                <w:numId w:val="140"/>
              </w:numPr>
              <w:spacing w:before="10" w:after="10"/>
              <w:jc w:val="both"/>
            </w:pPr>
            <w:r>
              <w:rPr>
                <w:sz w:val="18"/>
                <w:szCs w:val="18"/>
              </w:rPr>
              <w:t>Plataformas digitales.</w:t>
            </w:r>
          </w:p>
          <w:p w14:paraId="73F23186" w14:textId="77777777" w:rsidR="00990B14" w:rsidRDefault="00000000">
            <w:pPr>
              <w:numPr>
                <w:ilvl w:val="0"/>
                <w:numId w:val="140"/>
              </w:numPr>
              <w:spacing w:before="10" w:after="10"/>
              <w:jc w:val="both"/>
            </w:pPr>
            <w:r>
              <w:rPr>
                <w:sz w:val="18"/>
                <w:szCs w:val="18"/>
              </w:rPr>
              <w:t>Código Tributario Boliviano, Ley N.º 843 y disposiciones tributarias reglamentarias vigentes.</w:t>
            </w:r>
          </w:p>
          <w:p w14:paraId="2D62DB67" w14:textId="77777777" w:rsidR="00990B14" w:rsidRDefault="00000000">
            <w:pPr>
              <w:numPr>
                <w:ilvl w:val="0"/>
                <w:numId w:val="140"/>
              </w:numPr>
              <w:spacing w:before="10" w:after="10"/>
              <w:jc w:val="both"/>
            </w:pPr>
            <w:r>
              <w:rPr>
                <w:sz w:val="18"/>
                <w:szCs w:val="18"/>
              </w:rPr>
              <w:t>Formatos de cédulas, planillas y hojas de trabajo de auditoría tributaria.</w:t>
            </w:r>
          </w:p>
          <w:p w14:paraId="4487C813" w14:textId="77777777" w:rsidR="00990B14" w:rsidRDefault="00000000">
            <w:pPr>
              <w:numPr>
                <w:ilvl w:val="0"/>
                <w:numId w:val="140"/>
              </w:numPr>
              <w:spacing w:before="10" w:after="10"/>
              <w:jc w:val="both"/>
            </w:pPr>
            <w:r>
              <w:rPr>
                <w:sz w:val="18"/>
                <w:szCs w:val="18"/>
              </w:rPr>
              <w:t>Hoja de cálculo para la elaboración de papeles de trabajo y el análisis comparativo respectivo.</w:t>
            </w:r>
          </w:p>
          <w:p w14:paraId="28134996" w14:textId="77777777" w:rsidR="00990B14" w:rsidRDefault="00000000">
            <w:pPr>
              <w:numPr>
                <w:ilvl w:val="0"/>
                <w:numId w:val="140"/>
              </w:numPr>
              <w:spacing w:before="10" w:after="10"/>
              <w:jc w:val="both"/>
            </w:pPr>
            <w:r>
              <w:rPr>
                <w:sz w:val="18"/>
                <w:szCs w:val="18"/>
              </w:rPr>
              <w:t>Portal del Servicio de Impuestos Nacionales.</w:t>
            </w:r>
          </w:p>
          <w:p w14:paraId="06FABA51" w14:textId="77777777" w:rsidR="00990B14" w:rsidRDefault="00000000">
            <w:pPr>
              <w:numPr>
                <w:ilvl w:val="0"/>
                <w:numId w:val="140"/>
              </w:numPr>
              <w:spacing w:before="10" w:after="10"/>
              <w:jc w:val="both"/>
            </w:pPr>
            <w:r>
              <w:rPr>
                <w:sz w:val="18"/>
                <w:szCs w:val="18"/>
              </w:rPr>
              <w:t>Resoluciones de la Autoridad de Impugnación Tributaria publicadas en su portal institucional.</w:t>
            </w:r>
          </w:p>
        </w:tc>
      </w:tr>
      <w:tr w:rsidR="00990B14" w14:paraId="210E6562" w14:textId="77777777">
        <w:trPr>
          <w:jc w:val="center"/>
        </w:trPr>
        <w:tc>
          <w:tcPr>
            <w:tcW w:w="1635" w:type="dxa"/>
            <w:shd w:val="clear" w:color="auto" w:fill="4472C4"/>
            <w:vAlign w:val="center"/>
          </w:tcPr>
          <w:p w14:paraId="7CC8B2E0" w14:textId="77777777" w:rsidR="00990B14" w:rsidRDefault="00000000">
            <w:pPr>
              <w:spacing w:before="20" w:after="20"/>
              <w:jc w:val="center"/>
            </w:pPr>
            <w:r>
              <w:rPr>
                <w:b/>
                <w:bCs/>
                <w:i/>
                <w:iCs/>
                <w:color w:val="FFFFFF"/>
                <w:sz w:val="18"/>
                <w:szCs w:val="18"/>
              </w:rPr>
              <w:t>Estrategias de evaluación</w:t>
            </w:r>
          </w:p>
        </w:tc>
        <w:tc>
          <w:tcPr>
            <w:tcW w:w="7770" w:type="dxa"/>
            <w:gridSpan w:val="4"/>
            <w:shd w:val="clear" w:color="auto" w:fill="D9E2F3"/>
            <w:vAlign w:val="center"/>
          </w:tcPr>
          <w:p w14:paraId="3A832E51" w14:textId="77777777" w:rsidR="00990B14" w:rsidRDefault="00000000">
            <w:pPr>
              <w:numPr>
                <w:ilvl w:val="0"/>
                <w:numId w:val="140"/>
              </w:numPr>
              <w:spacing w:before="10" w:after="10"/>
              <w:jc w:val="both"/>
            </w:pPr>
            <w:r>
              <w:rPr>
                <w:sz w:val="18"/>
                <w:szCs w:val="18"/>
              </w:rPr>
              <w:t>Evaluación diagnóstica: prueba inicial sobre el marco normativo tributario boliviano y su aplicación práctica y contable.</w:t>
            </w:r>
          </w:p>
          <w:p w14:paraId="5594A57A" w14:textId="77777777" w:rsidR="00990B14" w:rsidRDefault="00000000">
            <w:pPr>
              <w:numPr>
                <w:ilvl w:val="0"/>
                <w:numId w:val="140"/>
              </w:numPr>
              <w:spacing w:before="10" w:after="10"/>
              <w:jc w:val="both"/>
            </w:pPr>
            <w:r>
              <w:rPr>
                <w:sz w:val="18"/>
                <w:szCs w:val="18"/>
              </w:rPr>
              <w:t>Evaluación formativa: resolución de ejercicios, análisis de casos y revisión progresiva de productos, con retroalimentación continua, autoevaluación y coevaluación.</w:t>
            </w:r>
          </w:p>
          <w:p w14:paraId="429D212C" w14:textId="77777777" w:rsidR="00990B14" w:rsidRDefault="00000000">
            <w:pPr>
              <w:numPr>
                <w:ilvl w:val="0"/>
                <w:numId w:val="140"/>
              </w:numPr>
              <w:spacing w:before="10" w:after="10"/>
              <w:jc w:val="both"/>
            </w:pPr>
            <w:r>
              <w:rPr>
                <w:sz w:val="18"/>
                <w:szCs w:val="18"/>
              </w:rPr>
              <w:t>Evaluación sumativa: valoración de las evidencias de conocimiento, desempeño y producto mediante pruebas aplicadas, análisis de casos tributarios, trabajos de investigación y productos profesionales evaluados con sus respectivas rúbricas.</w:t>
            </w:r>
          </w:p>
        </w:tc>
      </w:tr>
      <w:tr w:rsidR="00990B14" w14:paraId="203C8B2C" w14:textId="77777777">
        <w:trPr>
          <w:jc w:val="center"/>
        </w:trPr>
        <w:tc>
          <w:tcPr>
            <w:tcW w:w="1635" w:type="dxa"/>
            <w:shd w:val="clear" w:color="auto" w:fill="4472C4"/>
            <w:vAlign w:val="center"/>
          </w:tcPr>
          <w:p w14:paraId="4054369F" w14:textId="77777777" w:rsidR="00990B14" w:rsidRDefault="00000000">
            <w:pPr>
              <w:spacing w:before="20" w:after="20"/>
              <w:jc w:val="center"/>
            </w:pPr>
            <w:r>
              <w:rPr>
                <w:b/>
                <w:bCs/>
                <w:i/>
                <w:iCs/>
                <w:color w:val="FFFFFF"/>
                <w:sz w:val="18"/>
                <w:szCs w:val="18"/>
              </w:rPr>
              <w:t>Criterios de calificación</w:t>
            </w:r>
          </w:p>
        </w:tc>
        <w:tc>
          <w:tcPr>
            <w:tcW w:w="7770" w:type="dxa"/>
            <w:gridSpan w:val="4"/>
            <w:shd w:val="clear" w:color="auto" w:fill="D9E2F3"/>
            <w:vAlign w:val="center"/>
          </w:tcPr>
          <w:p w14:paraId="79C03951" w14:textId="77777777" w:rsidR="00990B14" w:rsidRDefault="00000000">
            <w:pPr>
              <w:numPr>
                <w:ilvl w:val="0"/>
                <w:numId w:val="140"/>
              </w:numPr>
              <w:spacing w:before="10" w:after="10"/>
              <w:jc w:val="both"/>
            </w:pPr>
            <w:r>
              <w:rPr>
                <w:sz w:val="18"/>
                <w:szCs w:val="18"/>
              </w:rPr>
              <w:t>Nota mínima de aprobación: 51/100.</w:t>
            </w:r>
          </w:p>
          <w:p w14:paraId="5E63C42C" w14:textId="77777777" w:rsidR="00990B14" w:rsidRDefault="00000000">
            <w:pPr>
              <w:numPr>
                <w:ilvl w:val="0"/>
                <w:numId w:val="140"/>
              </w:numPr>
              <w:spacing w:before="10" w:after="10"/>
              <w:jc w:val="both"/>
            </w:pPr>
            <w:r>
              <w:rPr>
                <w:sz w:val="18"/>
                <w:szCs w:val="18"/>
              </w:rPr>
              <w:t>Evaluación periódica al finalizar cada tema, basada en evidencias de conocimiento, desempeño y producto.</w:t>
            </w:r>
          </w:p>
          <w:p w14:paraId="3469AD9E" w14:textId="77777777" w:rsidR="00990B14" w:rsidRDefault="00000000">
            <w:pPr>
              <w:numPr>
                <w:ilvl w:val="0"/>
                <w:numId w:val="140"/>
              </w:numPr>
              <w:spacing w:before="10" w:after="10"/>
              <w:jc w:val="both"/>
            </w:pPr>
            <w:r>
              <w:rPr>
                <w:sz w:val="18"/>
                <w:szCs w:val="18"/>
              </w:rPr>
              <w:t>Cada evidencia de producto se evalúa con su propia rúbrica de tres niveles: Insuficiente, Suficiente y Destacado.</w:t>
            </w:r>
          </w:p>
          <w:p w14:paraId="553653E0" w14:textId="77777777" w:rsidR="00990B14" w:rsidRDefault="00000000">
            <w:pPr>
              <w:numPr>
                <w:ilvl w:val="0"/>
                <w:numId w:val="140"/>
              </w:numPr>
              <w:spacing w:before="10" w:after="10"/>
              <w:jc w:val="both"/>
            </w:pPr>
            <w:r>
              <w:rPr>
                <w:sz w:val="18"/>
                <w:szCs w:val="18"/>
              </w:rPr>
              <w:t>La calificación de cada elemento de competencia suma las calificaciones de sus evidencias de producto.</w:t>
            </w:r>
          </w:p>
        </w:tc>
      </w:tr>
      <w:tr w:rsidR="00990B14" w14:paraId="6BECB9EA" w14:textId="77777777">
        <w:trPr>
          <w:cantSplit/>
          <w:jc w:val="center"/>
        </w:trPr>
        <w:tc>
          <w:tcPr>
            <w:tcW w:w="1635" w:type="dxa"/>
            <w:vMerge w:val="restart"/>
            <w:shd w:val="clear" w:color="auto" w:fill="4472C4"/>
            <w:vAlign w:val="center"/>
          </w:tcPr>
          <w:p w14:paraId="4DB3E5CF" w14:textId="77777777" w:rsidR="00990B14" w:rsidRDefault="00000000">
            <w:pPr>
              <w:spacing w:before="20" w:after="20"/>
              <w:jc w:val="center"/>
            </w:pPr>
            <w:r>
              <w:rPr>
                <w:b/>
                <w:bCs/>
                <w:i/>
                <w:iCs/>
                <w:color w:val="FFFFFF"/>
                <w:sz w:val="18"/>
                <w:szCs w:val="18"/>
              </w:rPr>
              <w:t>Niveles de logro y distribución de la calificación</w:t>
            </w:r>
          </w:p>
        </w:tc>
        <w:tc>
          <w:tcPr>
            <w:tcW w:w="5755" w:type="dxa"/>
            <w:gridSpan w:val="3"/>
            <w:shd w:val="clear" w:color="auto" w:fill="D9E2F3"/>
            <w:vAlign w:val="center"/>
          </w:tcPr>
          <w:p w14:paraId="09841357" w14:textId="77777777" w:rsidR="00990B14" w:rsidRDefault="00000000">
            <w:pPr>
              <w:keepNext/>
              <w:spacing w:before="20" w:after="20"/>
              <w:jc w:val="both"/>
            </w:pPr>
            <w:r>
              <w:rPr>
                <w:b/>
                <w:bCs/>
                <w:i/>
                <w:iCs/>
                <w:sz w:val="18"/>
                <w:szCs w:val="18"/>
              </w:rPr>
              <w:t xml:space="preserve">Producto 1: </w:t>
            </w:r>
            <w:r>
              <w:rPr>
                <w:sz w:val="18"/>
                <w:szCs w:val="18"/>
              </w:rPr>
              <w:t>Informe de análisis de los elementos y de la determinación de las obligaciones tributarias, fundamentado en la normativa vigente.</w:t>
            </w:r>
          </w:p>
        </w:tc>
        <w:tc>
          <w:tcPr>
            <w:tcW w:w="2015" w:type="dxa"/>
            <w:shd w:val="clear" w:color="auto" w:fill="D9E2F3"/>
            <w:vAlign w:val="center"/>
          </w:tcPr>
          <w:p w14:paraId="2AE69B9E" w14:textId="77777777" w:rsidR="00990B14" w:rsidRDefault="00000000">
            <w:pPr>
              <w:spacing w:before="20" w:after="20"/>
              <w:jc w:val="center"/>
            </w:pPr>
            <w:r>
              <w:rPr>
                <w:b/>
                <w:bCs/>
                <w:sz w:val="18"/>
                <w:szCs w:val="18"/>
              </w:rPr>
              <w:t>7%</w:t>
            </w:r>
          </w:p>
        </w:tc>
      </w:tr>
      <w:tr w:rsidR="00990B14" w14:paraId="545F1A05" w14:textId="77777777">
        <w:trPr>
          <w:cantSplit/>
          <w:jc w:val="center"/>
        </w:trPr>
        <w:tc>
          <w:tcPr>
            <w:tcW w:w="1635" w:type="dxa"/>
            <w:vMerge/>
            <w:shd w:val="clear" w:color="auto" w:fill="4472C4"/>
            <w:vAlign w:val="center"/>
          </w:tcPr>
          <w:p w14:paraId="73A524B7" w14:textId="77777777" w:rsidR="00990B14" w:rsidRDefault="00990B14">
            <w:pPr>
              <w:spacing w:before="20" w:after="20"/>
            </w:pPr>
          </w:p>
        </w:tc>
        <w:tc>
          <w:tcPr>
            <w:tcW w:w="1830" w:type="dxa"/>
            <w:shd w:val="clear" w:color="auto" w:fill="4472C4"/>
            <w:vAlign w:val="center"/>
          </w:tcPr>
          <w:p w14:paraId="217E711A"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0AC5A639"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5B869FE3"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56B0B6BB" w14:textId="77777777" w:rsidR="00990B14" w:rsidRDefault="00000000">
            <w:pPr>
              <w:keepNext/>
              <w:spacing w:before="20" w:after="20"/>
              <w:jc w:val="center"/>
            </w:pPr>
            <w:r>
              <w:rPr>
                <w:b/>
                <w:bCs/>
                <w:i/>
                <w:iCs/>
                <w:color w:val="FFFFFF"/>
                <w:sz w:val="18"/>
                <w:szCs w:val="18"/>
              </w:rPr>
              <w:t>Destacado (81–100)</w:t>
            </w:r>
          </w:p>
        </w:tc>
      </w:tr>
      <w:tr w:rsidR="00990B14" w14:paraId="78B7AACF" w14:textId="77777777">
        <w:trPr>
          <w:cantSplit/>
          <w:jc w:val="center"/>
        </w:trPr>
        <w:tc>
          <w:tcPr>
            <w:tcW w:w="1635" w:type="dxa"/>
            <w:vMerge/>
            <w:shd w:val="clear" w:color="auto" w:fill="4472C4"/>
            <w:vAlign w:val="center"/>
          </w:tcPr>
          <w:p w14:paraId="5F7615D8" w14:textId="77777777" w:rsidR="00990B14" w:rsidRDefault="00990B14">
            <w:pPr>
              <w:spacing w:before="20" w:after="20"/>
            </w:pPr>
          </w:p>
        </w:tc>
        <w:tc>
          <w:tcPr>
            <w:tcW w:w="1830" w:type="dxa"/>
            <w:shd w:val="clear" w:color="auto" w:fill="D9E2F3"/>
            <w:vAlign w:val="center"/>
          </w:tcPr>
          <w:p w14:paraId="5030EC1D" w14:textId="77777777" w:rsidR="00990B14" w:rsidRDefault="00000000">
            <w:pPr>
              <w:spacing w:before="20" w:after="20"/>
              <w:jc w:val="both"/>
            </w:pPr>
            <w:r>
              <w:rPr>
                <w:sz w:val="18"/>
                <w:szCs w:val="18"/>
              </w:rPr>
              <w:t>Identificación de los elementos</w:t>
            </w:r>
          </w:p>
        </w:tc>
        <w:tc>
          <w:tcPr>
            <w:tcW w:w="1910" w:type="dxa"/>
            <w:shd w:val="clear" w:color="auto" w:fill="D9E2F3"/>
            <w:vAlign w:val="center"/>
          </w:tcPr>
          <w:p w14:paraId="7FDEFCE8" w14:textId="77777777" w:rsidR="00990B14" w:rsidRDefault="00000000">
            <w:pPr>
              <w:spacing w:before="20" w:after="20"/>
              <w:jc w:val="both"/>
            </w:pPr>
            <w:r>
              <w:rPr>
                <w:sz w:val="18"/>
                <w:szCs w:val="18"/>
              </w:rPr>
              <w:t>Omite o confunde elementos de la obligación tributaria.</w:t>
            </w:r>
          </w:p>
        </w:tc>
        <w:tc>
          <w:tcPr>
            <w:tcW w:w="2015" w:type="dxa"/>
            <w:shd w:val="clear" w:color="auto" w:fill="D9E2F3"/>
            <w:vAlign w:val="center"/>
          </w:tcPr>
          <w:p w14:paraId="28995176" w14:textId="77777777" w:rsidR="00990B14" w:rsidRDefault="00000000">
            <w:pPr>
              <w:spacing w:before="20" w:after="20"/>
              <w:jc w:val="both"/>
            </w:pPr>
            <w:r>
              <w:rPr>
                <w:sz w:val="18"/>
                <w:szCs w:val="18"/>
              </w:rPr>
              <w:t>Identifica los elementos principales de la obligación tributaria.</w:t>
            </w:r>
          </w:p>
        </w:tc>
        <w:tc>
          <w:tcPr>
            <w:tcW w:w="2015" w:type="dxa"/>
            <w:shd w:val="clear" w:color="auto" w:fill="D9E2F3"/>
            <w:vAlign w:val="center"/>
          </w:tcPr>
          <w:p w14:paraId="1CD6D50A" w14:textId="77777777" w:rsidR="00990B14" w:rsidRDefault="00000000">
            <w:pPr>
              <w:spacing w:before="20" w:after="20"/>
              <w:jc w:val="both"/>
            </w:pPr>
            <w:r>
              <w:rPr>
                <w:sz w:val="18"/>
                <w:szCs w:val="18"/>
              </w:rPr>
              <w:t>Relaciona correctamente los elementos con los hechos del caso y sus implicaciones tributarias.</w:t>
            </w:r>
          </w:p>
        </w:tc>
      </w:tr>
      <w:tr w:rsidR="00990B14" w14:paraId="14D38528" w14:textId="77777777">
        <w:trPr>
          <w:cantSplit/>
          <w:jc w:val="center"/>
        </w:trPr>
        <w:tc>
          <w:tcPr>
            <w:tcW w:w="1635" w:type="dxa"/>
            <w:vMerge/>
            <w:shd w:val="clear" w:color="auto" w:fill="4472C4"/>
            <w:vAlign w:val="center"/>
          </w:tcPr>
          <w:p w14:paraId="3920C0A9" w14:textId="77777777" w:rsidR="00990B14" w:rsidRDefault="00990B14">
            <w:pPr>
              <w:spacing w:before="20" w:after="20"/>
            </w:pPr>
          </w:p>
        </w:tc>
        <w:tc>
          <w:tcPr>
            <w:tcW w:w="1830" w:type="dxa"/>
            <w:shd w:val="clear" w:color="auto" w:fill="D9E2F3"/>
            <w:vAlign w:val="center"/>
          </w:tcPr>
          <w:p w14:paraId="388BD7CE" w14:textId="77777777" w:rsidR="00990B14" w:rsidRDefault="00000000">
            <w:pPr>
              <w:spacing w:before="20" w:after="20"/>
              <w:jc w:val="both"/>
            </w:pPr>
            <w:r>
              <w:rPr>
                <w:sz w:val="18"/>
                <w:szCs w:val="18"/>
              </w:rPr>
              <w:t>Determinación de la obligación</w:t>
            </w:r>
          </w:p>
        </w:tc>
        <w:tc>
          <w:tcPr>
            <w:tcW w:w="1910" w:type="dxa"/>
            <w:shd w:val="clear" w:color="auto" w:fill="D9E2F3"/>
            <w:vAlign w:val="center"/>
          </w:tcPr>
          <w:p w14:paraId="67E2CD74" w14:textId="77777777" w:rsidR="00990B14" w:rsidRDefault="00000000">
            <w:pPr>
              <w:spacing w:before="20" w:after="20"/>
              <w:jc w:val="both"/>
            </w:pPr>
            <w:r>
              <w:rPr>
                <w:sz w:val="18"/>
                <w:szCs w:val="18"/>
              </w:rPr>
              <w:t>Presenta una determinación incompleta o incorrecta.</w:t>
            </w:r>
          </w:p>
        </w:tc>
        <w:tc>
          <w:tcPr>
            <w:tcW w:w="2015" w:type="dxa"/>
            <w:shd w:val="clear" w:color="auto" w:fill="D9E2F3"/>
            <w:vAlign w:val="center"/>
          </w:tcPr>
          <w:p w14:paraId="02F0D042" w14:textId="77777777" w:rsidR="00990B14" w:rsidRDefault="00000000">
            <w:pPr>
              <w:spacing w:before="20" w:after="20"/>
              <w:jc w:val="both"/>
            </w:pPr>
            <w:r>
              <w:rPr>
                <w:sz w:val="18"/>
                <w:szCs w:val="18"/>
              </w:rPr>
              <w:t>Determina la obligación tributaria conforme a los datos disponibles.</w:t>
            </w:r>
          </w:p>
        </w:tc>
        <w:tc>
          <w:tcPr>
            <w:tcW w:w="2015" w:type="dxa"/>
            <w:shd w:val="clear" w:color="auto" w:fill="D9E2F3"/>
            <w:vAlign w:val="center"/>
          </w:tcPr>
          <w:p w14:paraId="6B7223C7" w14:textId="77777777" w:rsidR="00990B14" w:rsidRDefault="00000000">
            <w:pPr>
              <w:spacing w:before="20" w:after="20"/>
              <w:jc w:val="both"/>
            </w:pPr>
            <w:r>
              <w:rPr>
                <w:sz w:val="18"/>
                <w:szCs w:val="18"/>
              </w:rPr>
              <w:t>Justifica la determinación y verifica la consistencia de los cálculos y datos utilizados.</w:t>
            </w:r>
          </w:p>
        </w:tc>
      </w:tr>
      <w:tr w:rsidR="00990B14" w14:paraId="1562C2DC" w14:textId="77777777">
        <w:trPr>
          <w:cantSplit/>
          <w:jc w:val="center"/>
        </w:trPr>
        <w:tc>
          <w:tcPr>
            <w:tcW w:w="1635" w:type="dxa"/>
            <w:vMerge/>
            <w:shd w:val="clear" w:color="auto" w:fill="4472C4"/>
            <w:vAlign w:val="center"/>
          </w:tcPr>
          <w:p w14:paraId="11A7FD51" w14:textId="77777777" w:rsidR="00990B14" w:rsidRDefault="00990B14">
            <w:pPr>
              <w:spacing w:before="20" w:after="20"/>
            </w:pPr>
          </w:p>
        </w:tc>
        <w:tc>
          <w:tcPr>
            <w:tcW w:w="1830" w:type="dxa"/>
            <w:shd w:val="clear" w:color="auto" w:fill="D9E2F3"/>
            <w:vAlign w:val="center"/>
          </w:tcPr>
          <w:p w14:paraId="74ADBF39" w14:textId="77777777" w:rsidR="00990B14" w:rsidRDefault="00000000">
            <w:pPr>
              <w:spacing w:before="20" w:after="20"/>
              <w:jc w:val="both"/>
            </w:pPr>
            <w:r>
              <w:rPr>
                <w:sz w:val="18"/>
                <w:szCs w:val="18"/>
              </w:rPr>
              <w:t>Fundamentación normativa</w:t>
            </w:r>
          </w:p>
        </w:tc>
        <w:tc>
          <w:tcPr>
            <w:tcW w:w="1910" w:type="dxa"/>
            <w:shd w:val="clear" w:color="auto" w:fill="D9E2F3"/>
            <w:vAlign w:val="center"/>
          </w:tcPr>
          <w:p w14:paraId="488DF3C1" w14:textId="77777777" w:rsidR="00990B14" w:rsidRDefault="00000000">
            <w:pPr>
              <w:spacing w:before="20" w:after="20"/>
              <w:jc w:val="both"/>
            </w:pPr>
            <w:r>
              <w:rPr>
                <w:sz w:val="18"/>
                <w:szCs w:val="18"/>
              </w:rPr>
              <w:t>Omite la normativa o cita disposiciones que no corresponden al caso.</w:t>
            </w:r>
          </w:p>
        </w:tc>
        <w:tc>
          <w:tcPr>
            <w:tcW w:w="2015" w:type="dxa"/>
            <w:shd w:val="clear" w:color="auto" w:fill="D9E2F3"/>
            <w:vAlign w:val="center"/>
          </w:tcPr>
          <w:p w14:paraId="08CD0B4F" w14:textId="77777777" w:rsidR="00990B14" w:rsidRDefault="00000000">
            <w:pPr>
              <w:spacing w:before="20" w:after="20"/>
              <w:jc w:val="both"/>
            </w:pPr>
            <w:r>
              <w:rPr>
                <w:sz w:val="18"/>
                <w:szCs w:val="18"/>
              </w:rPr>
              <w:t>Fundamenta el análisis con disposiciones tributarias pertinentes.</w:t>
            </w:r>
          </w:p>
        </w:tc>
        <w:tc>
          <w:tcPr>
            <w:tcW w:w="2015" w:type="dxa"/>
            <w:shd w:val="clear" w:color="auto" w:fill="D9E2F3"/>
            <w:vAlign w:val="center"/>
          </w:tcPr>
          <w:p w14:paraId="3D378128" w14:textId="77777777" w:rsidR="00990B14" w:rsidRDefault="00000000">
            <w:pPr>
              <w:spacing w:before="20" w:after="20"/>
              <w:jc w:val="both"/>
            </w:pPr>
            <w:r>
              <w:rPr>
                <w:sz w:val="18"/>
                <w:szCs w:val="18"/>
              </w:rPr>
              <w:t>Relaciona los hechos, la determinación y la normativa vigente con argumentación técnica precisa.</w:t>
            </w:r>
          </w:p>
        </w:tc>
      </w:tr>
      <w:tr w:rsidR="00990B14" w14:paraId="395B08AD" w14:textId="77777777">
        <w:trPr>
          <w:cantSplit/>
          <w:jc w:val="center"/>
        </w:trPr>
        <w:tc>
          <w:tcPr>
            <w:tcW w:w="1635" w:type="dxa"/>
            <w:vMerge/>
            <w:shd w:val="clear" w:color="auto" w:fill="4472C4"/>
            <w:vAlign w:val="center"/>
          </w:tcPr>
          <w:p w14:paraId="08DA37E9" w14:textId="77777777" w:rsidR="00990B14" w:rsidRDefault="00990B14">
            <w:pPr>
              <w:spacing w:before="20" w:after="20"/>
            </w:pPr>
          </w:p>
        </w:tc>
        <w:tc>
          <w:tcPr>
            <w:tcW w:w="5755" w:type="dxa"/>
            <w:gridSpan w:val="3"/>
            <w:shd w:val="clear" w:color="auto" w:fill="D9E2F3"/>
            <w:vAlign w:val="center"/>
          </w:tcPr>
          <w:p w14:paraId="369F8BC9" w14:textId="77777777" w:rsidR="00990B14" w:rsidRDefault="00000000">
            <w:pPr>
              <w:keepNext/>
              <w:spacing w:before="20" w:after="20"/>
              <w:jc w:val="both"/>
            </w:pPr>
            <w:r>
              <w:rPr>
                <w:b/>
                <w:bCs/>
                <w:i/>
                <w:iCs/>
                <w:sz w:val="18"/>
                <w:szCs w:val="18"/>
              </w:rPr>
              <w:t xml:space="preserve">Producto 2: </w:t>
            </w:r>
            <w:r>
              <w:rPr>
                <w:sz w:val="18"/>
                <w:szCs w:val="18"/>
              </w:rPr>
              <w:t>Cuadro de liquidación de la deuda tributaria y contravenciones tributarias.</w:t>
            </w:r>
          </w:p>
        </w:tc>
        <w:tc>
          <w:tcPr>
            <w:tcW w:w="2015" w:type="dxa"/>
            <w:shd w:val="clear" w:color="auto" w:fill="D9E2F3"/>
            <w:vAlign w:val="center"/>
          </w:tcPr>
          <w:p w14:paraId="21C262F5" w14:textId="77777777" w:rsidR="00990B14" w:rsidRDefault="00000000">
            <w:pPr>
              <w:spacing w:before="20" w:after="20"/>
              <w:jc w:val="center"/>
            </w:pPr>
            <w:r>
              <w:rPr>
                <w:b/>
                <w:bCs/>
                <w:sz w:val="18"/>
                <w:szCs w:val="18"/>
              </w:rPr>
              <w:t>6%</w:t>
            </w:r>
          </w:p>
        </w:tc>
      </w:tr>
      <w:tr w:rsidR="00990B14" w14:paraId="6F5E2AFF" w14:textId="77777777">
        <w:trPr>
          <w:cantSplit/>
          <w:jc w:val="center"/>
        </w:trPr>
        <w:tc>
          <w:tcPr>
            <w:tcW w:w="1635" w:type="dxa"/>
            <w:vMerge/>
            <w:shd w:val="clear" w:color="auto" w:fill="4472C4"/>
            <w:vAlign w:val="center"/>
          </w:tcPr>
          <w:p w14:paraId="7468AD1C" w14:textId="77777777" w:rsidR="00990B14" w:rsidRDefault="00990B14">
            <w:pPr>
              <w:spacing w:before="20" w:after="20"/>
            </w:pPr>
          </w:p>
        </w:tc>
        <w:tc>
          <w:tcPr>
            <w:tcW w:w="1830" w:type="dxa"/>
            <w:shd w:val="clear" w:color="auto" w:fill="4472C4"/>
            <w:vAlign w:val="center"/>
          </w:tcPr>
          <w:p w14:paraId="6EC60A53"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3E86F56F"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5A8270B9"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592B5B66" w14:textId="77777777" w:rsidR="00990B14" w:rsidRDefault="00000000">
            <w:pPr>
              <w:keepNext/>
              <w:spacing w:before="20" w:after="20"/>
              <w:jc w:val="center"/>
            </w:pPr>
            <w:r>
              <w:rPr>
                <w:b/>
                <w:bCs/>
                <w:i/>
                <w:iCs/>
                <w:color w:val="FFFFFF"/>
                <w:sz w:val="18"/>
                <w:szCs w:val="18"/>
              </w:rPr>
              <w:t>Destacado (81–100)</w:t>
            </w:r>
          </w:p>
        </w:tc>
      </w:tr>
      <w:tr w:rsidR="00990B14" w14:paraId="4E559823" w14:textId="77777777">
        <w:trPr>
          <w:cantSplit/>
          <w:jc w:val="center"/>
        </w:trPr>
        <w:tc>
          <w:tcPr>
            <w:tcW w:w="1635" w:type="dxa"/>
            <w:vMerge/>
            <w:shd w:val="clear" w:color="auto" w:fill="4472C4"/>
            <w:vAlign w:val="center"/>
          </w:tcPr>
          <w:p w14:paraId="0AA47BC4" w14:textId="77777777" w:rsidR="00990B14" w:rsidRDefault="00990B14">
            <w:pPr>
              <w:spacing w:before="20" w:after="20"/>
            </w:pPr>
          </w:p>
        </w:tc>
        <w:tc>
          <w:tcPr>
            <w:tcW w:w="1830" w:type="dxa"/>
            <w:shd w:val="clear" w:color="auto" w:fill="D9E2F3"/>
            <w:vAlign w:val="center"/>
          </w:tcPr>
          <w:p w14:paraId="632CBCE2" w14:textId="77777777" w:rsidR="00990B14" w:rsidRDefault="00000000">
            <w:pPr>
              <w:spacing w:before="20" w:after="20"/>
              <w:jc w:val="both"/>
            </w:pPr>
            <w:r>
              <w:rPr>
                <w:sz w:val="18"/>
                <w:szCs w:val="18"/>
              </w:rPr>
              <w:t>Liquidación de deuda tributaria.</w:t>
            </w:r>
          </w:p>
        </w:tc>
        <w:tc>
          <w:tcPr>
            <w:tcW w:w="1910" w:type="dxa"/>
            <w:shd w:val="clear" w:color="auto" w:fill="D9E2F3"/>
            <w:vAlign w:val="center"/>
          </w:tcPr>
          <w:p w14:paraId="46570A29" w14:textId="77777777" w:rsidR="00990B14" w:rsidRDefault="00000000">
            <w:pPr>
              <w:spacing w:before="20" w:after="20"/>
              <w:jc w:val="both"/>
            </w:pPr>
            <w:r>
              <w:rPr>
                <w:sz w:val="18"/>
                <w:szCs w:val="18"/>
              </w:rPr>
              <w:t>Omite componentes o presenta errores relevantes en el cálculo.</w:t>
            </w:r>
          </w:p>
        </w:tc>
        <w:tc>
          <w:tcPr>
            <w:tcW w:w="2015" w:type="dxa"/>
            <w:shd w:val="clear" w:color="auto" w:fill="D9E2F3"/>
            <w:vAlign w:val="center"/>
          </w:tcPr>
          <w:p w14:paraId="142D9B7E" w14:textId="77777777" w:rsidR="00990B14" w:rsidRDefault="00000000">
            <w:pPr>
              <w:spacing w:before="20" w:after="20"/>
              <w:jc w:val="both"/>
            </w:pPr>
            <w:r>
              <w:rPr>
                <w:sz w:val="18"/>
                <w:szCs w:val="18"/>
              </w:rPr>
              <w:t>Determina los componentes aplicables de la deuda y realiza los cálculos correspondientes.</w:t>
            </w:r>
          </w:p>
        </w:tc>
        <w:tc>
          <w:tcPr>
            <w:tcW w:w="2015" w:type="dxa"/>
            <w:shd w:val="clear" w:color="auto" w:fill="D9E2F3"/>
            <w:vAlign w:val="center"/>
          </w:tcPr>
          <w:p w14:paraId="34B2E706" w14:textId="77777777" w:rsidR="00990B14" w:rsidRDefault="00000000">
            <w:pPr>
              <w:spacing w:before="20" w:after="20"/>
              <w:jc w:val="both"/>
            </w:pPr>
            <w:r>
              <w:rPr>
                <w:sz w:val="18"/>
                <w:szCs w:val="18"/>
              </w:rPr>
              <w:t>Verifica la liquidación, justifica los componentes aplicados y presenta resultados correctos.</w:t>
            </w:r>
          </w:p>
        </w:tc>
      </w:tr>
      <w:tr w:rsidR="00990B14" w14:paraId="1A50A4D0" w14:textId="77777777">
        <w:trPr>
          <w:cantSplit/>
          <w:jc w:val="center"/>
        </w:trPr>
        <w:tc>
          <w:tcPr>
            <w:tcW w:w="1635" w:type="dxa"/>
            <w:vMerge/>
            <w:shd w:val="clear" w:color="auto" w:fill="4472C4"/>
            <w:vAlign w:val="center"/>
          </w:tcPr>
          <w:p w14:paraId="44BA5114" w14:textId="77777777" w:rsidR="00990B14" w:rsidRDefault="00990B14">
            <w:pPr>
              <w:spacing w:before="20" w:after="20"/>
            </w:pPr>
          </w:p>
        </w:tc>
        <w:tc>
          <w:tcPr>
            <w:tcW w:w="1830" w:type="dxa"/>
            <w:shd w:val="clear" w:color="auto" w:fill="D9E2F3"/>
            <w:vAlign w:val="center"/>
          </w:tcPr>
          <w:p w14:paraId="3AC5485A" w14:textId="77777777" w:rsidR="00990B14" w:rsidRDefault="00000000">
            <w:pPr>
              <w:spacing w:before="20" w:after="20"/>
              <w:jc w:val="both"/>
            </w:pPr>
            <w:r>
              <w:rPr>
                <w:sz w:val="18"/>
                <w:szCs w:val="18"/>
              </w:rPr>
              <w:t>Clasificación de ilícitos</w:t>
            </w:r>
          </w:p>
        </w:tc>
        <w:tc>
          <w:tcPr>
            <w:tcW w:w="1910" w:type="dxa"/>
            <w:shd w:val="clear" w:color="auto" w:fill="D9E2F3"/>
            <w:vAlign w:val="center"/>
          </w:tcPr>
          <w:p w14:paraId="3D75879A" w14:textId="77777777" w:rsidR="00990B14" w:rsidRDefault="00000000">
            <w:pPr>
              <w:spacing w:before="20" w:after="20"/>
              <w:jc w:val="both"/>
            </w:pPr>
            <w:r>
              <w:rPr>
                <w:sz w:val="18"/>
                <w:szCs w:val="18"/>
              </w:rPr>
              <w:t>Confunde contravenciones, delitos u otros incumplimientos.</w:t>
            </w:r>
          </w:p>
        </w:tc>
        <w:tc>
          <w:tcPr>
            <w:tcW w:w="2015" w:type="dxa"/>
            <w:shd w:val="clear" w:color="auto" w:fill="D9E2F3"/>
            <w:vAlign w:val="center"/>
          </w:tcPr>
          <w:p w14:paraId="60DFEFCB" w14:textId="77777777" w:rsidR="00990B14" w:rsidRDefault="00000000">
            <w:pPr>
              <w:spacing w:before="20" w:after="20"/>
              <w:jc w:val="both"/>
            </w:pPr>
            <w:r>
              <w:rPr>
                <w:sz w:val="18"/>
                <w:szCs w:val="18"/>
              </w:rPr>
              <w:t>Clasifica los ilícitos del caso conforme a sus características y a la normativa aplicable.</w:t>
            </w:r>
          </w:p>
        </w:tc>
        <w:tc>
          <w:tcPr>
            <w:tcW w:w="2015" w:type="dxa"/>
            <w:shd w:val="clear" w:color="auto" w:fill="D9E2F3"/>
            <w:vAlign w:val="center"/>
          </w:tcPr>
          <w:p w14:paraId="09FF1837" w14:textId="77777777" w:rsidR="00990B14" w:rsidRDefault="00000000">
            <w:pPr>
              <w:spacing w:before="20" w:after="20"/>
              <w:jc w:val="both"/>
            </w:pPr>
            <w:r>
              <w:rPr>
                <w:sz w:val="18"/>
                <w:szCs w:val="18"/>
              </w:rPr>
              <w:t>Justifica la clasificación, distinguiendo los elementos relevantes de cada supuesto.</w:t>
            </w:r>
          </w:p>
        </w:tc>
      </w:tr>
      <w:tr w:rsidR="00990B14" w14:paraId="3E251B18" w14:textId="77777777">
        <w:trPr>
          <w:cantSplit/>
          <w:jc w:val="center"/>
        </w:trPr>
        <w:tc>
          <w:tcPr>
            <w:tcW w:w="1635" w:type="dxa"/>
            <w:vMerge/>
            <w:shd w:val="clear" w:color="auto" w:fill="4472C4"/>
            <w:vAlign w:val="center"/>
          </w:tcPr>
          <w:p w14:paraId="22CF8732" w14:textId="77777777" w:rsidR="00990B14" w:rsidRDefault="00990B14">
            <w:pPr>
              <w:spacing w:before="20" w:after="20"/>
            </w:pPr>
          </w:p>
        </w:tc>
        <w:tc>
          <w:tcPr>
            <w:tcW w:w="1830" w:type="dxa"/>
            <w:shd w:val="clear" w:color="auto" w:fill="D9E2F3"/>
            <w:vAlign w:val="center"/>
          </w:tcPr>
          <w:p w14:paraId="0E825585" w14:textId="77777777" w:rsidR="00990B14" w:rsidRDefault="00000000">
            <w:pPr>
              <w:spacing w:before="20" w:after="20"/>
              <w:jc w:val="both"/>
            </w:pPr>
            <w:r>
              <w:rPr>
                <w:sz w:val="18"/>
                <w:szCs w:val="18"/>
              </w:rPr>
              <w:t>Consecuencias legales</w:t>
            </w:r>
          </w:p>
        </w:tc>
        <w:tc>
          <w:tcPr>
            <w:tcW w:w="1910" w:type="dxa"/>
            <w:shd w:val="clear" w:color="auto" w:fill="D9E2F3"/>
            <w:vAlign w:val="center"/>
          </w:tcPr>
          <w:p w14:paraId="39178651" w14:textId="77777777" w:rsidR="00990B14" w:rsidRDefault="00000000">
            <w:pPr>
              <w:spacing w:before="20" w:after="20"/>
              <w:jc w:val="both"/>
            </w:pPr>
            <w:r>
              <w:rPr>
                <w:sz w:val="18"/>
                <w:szCs w:val="18"/>
              </w:rPr>
              <w:t>Omite sanciones o atribuye consecuencias sin fundamento.</w:t>
            </w:r>
          </w:p>
        </w:tc>
        <w:tc>
          <w:tcPr>
            <w:tcW w:w="2015" w:type="dxa"/>
            <w:shd w:val="clear" w:color="auto" w:fill="D9E2F3"/>
            <w:vAlign w:val="center"/>
          </w:tcPr>
          <w:p w14:paraId="56889157" w14:textId="77777777" w:rsidR="00990B14" w:rsidRDefault="00000000">
            <w:pPr>
              <w:spacing w:before="20" w:after="20"/>
              <w:jc w:val="both"/>
            </w:pPr>
            <w:r>
              <w:rPr>
                <w:sz w:val="18"/>
                <w:szCs w:val="18"/>
              </w:rPr>
              <w:t>Identifica las consecuencias legales pertinentes y las sustenta normativamente.</w:t>
            </w:r>
          </w:p>
        </w:tc>
        <w:tc>
          <w:tcPr>
            <w:tcW w:w="2015" w:type="dxa"/>
            <w:shd w:val="clear" w:color="auto" w:fill="D9E2F3"/>
            <w:vAlign w:val="center"/>
          </w:tcPr>
          <w:p w14:paraId="503C8E1F" w14:textId="77777777" w:rsidR="00990B14" w:rsidRDefault="00000000">
            <w:pPr>
              <w:spacing w:before="20" w:after="20"/>
              <w:jc w:val="both"/>
            </w:pPr>
            <w:r>
              <w:rPr>
                <w:sz w:val="18"/>
                <w:szCs w:val="18"/>
              </w:rPr>
              <w:t>Relaciona cada supuesto con sus consecuencias y explica los fundamentos normativos aplicables.</w:t>
            </w:r>
          </w:p>
        </w:tc>
      </w:tr>
      <w:tr w:rsidR="00990B14" w14:paraId="7A9B4C71" w14:textId="77777777">
        <w:trPr>
          <w:cantSplit/>
          <w:jc w:val="center"/>
        </w:trPr>
        <w:tc>
          <w:tcPr>
            <w:tcW w:w="1635" w:type="dxa"/>
            <w:vMerge/>
            <w:shd w:val="clear" w:color="auto" w:fill="4472C4"/>
            <w:vAlign w:val="center"/>
          </w:tcPr>
          <w:p w14:paraId="308D4DC6" w14:textId="77777777" w:rsidR="00990B14" w:rsidRDefault="00990B14">
            <w:pPr>
              <w:spacing w:before="20" w:after="20"/>
            </w:pPr>
          </w:p>
        </w:tc>
        <w:tc>
          <w:tcPr>
            <w:tcW w:w="5755" w:type="dxa"/>
            <w:gridSpan w:val="3"/>
            <w:shd w:val="clear" w:color="auto" w:fill="D9E2F3"/>
            <w:vAlign w:val="center"/>
          </w:tcPr>
          <w:p w14:paraId="37ED678B" w14:textId="77777777" w:rsidR="00990B14" w:rsidRDefault="00000000">
            <w:pPr>
              <w:keepNext/>
              <w:spacing w:before="20" w:after="20"/>
              <w:jc w:val="both"/>
            </w:pPr>
            <w:r>
              <w:rPr>
                <w:b/>
                <w:bCs/>
                <w:i/>
                <w:iCs/>
                <w:sz w:val="18"/>
                <w:szCs w:val="18"/>
              </w:rPr>
              <w:t xml:space="preserve">Producto 3: </w:t>
            </w:r>
            <w:r>
              <w:rPr>
                <w:sz w:val="18"/>
                <w:szCs w:val="18"/>
              </w:rPr>
              <w:t>Matriz comparativa de las clases de auditoría tributaria y sus características.</w:t>
            </w:r>
          </w:p>
        </w:tc>
        <w:tc>
          <w:tcPr>
            <w:tcW w:w="2015" w:type="dxa"/>
            <w:shd w:val="clear" w:color="auto" w:fill="D9E2F3"/>
            <w:vAlign w:val="center"/>
          </w:tcPr>
          <w:p w14:paraId="29AA0555" w14:textId="77777777" w:rsidR="00990B14" w:rsidRDefault="00000000">
            <w:pPr>
              <w:spacing w:before="20" w:after="20"/>
              <w:jc w:val="center"/>
            </w:pPr>
            <w:r>
              <w:rPr>
                <w:b/>
                <w:bCs/>
                <w:sz w:val="18"/>
                <w:szCs w:val="18"/>
              </w:rPr>
              <w:t>6%</w:t>
            </w:r>
          </w:p>
        </w:tc>
      </w:tr>
      <w:tr w:rsidR="00990B14" w14:paraId="779E1FBA" w14:textId="77777777">
        <w:trPr>
          <w:cantSplit/>
          <w:jc w:val="center"/>
        </w:trPr>
        <w:tc>
          <w:tcPr>
            <w:tcW w:w="1635" w:type="dxa"/>
            <w:vMerge/>
            <w:shd w:val="clear" w:color="auto" w:fill="4472C4"/>
            <w:vAlign w:val="center"/>
          </w:tcPr>
          <w:p w14:paraId="32D07E97" w14:textId="77777777" w:rsidR="00990B14" w:rsidRDefault="00990B14">
            <w:pPr>
              <w:spacing w:before="20" w:after="20"/>
            </w:pPr>
          </w:p>
        </w:tc>
        <w:tc>
          <w:tcPr>
            <w:tcW w:w="1830" w:type="dxa"/>
            <w:shd w:val="clear" w:color="auto" w:fill="4472C4"/>
            <w:vAlign w:val="center"/>
          </w:tcPr>
          <w:p w14:paraId="0395444C"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1069B822"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42C99D62"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4BA798CF" w14:textId="77777777" w:rsidR="00990B14" w:rsidRDefault="00000000">
            <w:pPr>
              <w:keepNext/>
              <w:spacing w:before="20" w:after="20"/>
              <w:jc w:val="center"/>
            </w:pPr>
            <w:r>
              <w:rPr>
                <w:b/>
                <w:bCs/>
                <w:i/>
                <w:iCs/>
                <w:color w:val="FFFFFF"/>
                <w:sz w:val="18"/>
                <w:szCs w:val="18"/>
              </w:rPr>
              <w:t>Destacado (81–100)</w:t>
            </w:r>
          </w:p>
        </w:tc>
      </w:tr>
      <w:tr w:rsidR="00990B14" w14:paraId="0FD628E1" w14:textId="77777777">
        <w:trPr>
          <w:cantSplit/>
          <w:jc w:val="center"/>
        </w:trPr>
        <w:tc>
          <w:tcPr>
            <w:tcW w:w="1635" w:type="dxa"/>
            <w:vMerge/>
            <w:shd w:val="clear" w:color="auto" w:fill="4472C4"/>
            <w:vAlign w:val="center"/>
          </w:tcPr>
          <w:p w14:paraId="08341D4E" w14:textId="77777777" w:rsidR="00990B14" w:rsidRDefault="00990B14">
            <w:pPr>
              <w:spacing w:before="20" w:after="20"/>
            </w:pPr>
          </w:p>
        </w:tc>
        <w:tc>
          <w:tcPr>
            <w:tcW w:w="1830" w:type="dxa"/>
            <w:shd w:val="clear" w:color="auto" w:fill="D9E2F3"/>
            <w:vAlign w:val="center"/>
          </w:tcPr>
          <w:p w14:paraId="52550131" w14:textId="77777777" w:rsidR="00990B14" w:rsidRDefault="00000000">
            <w:pPr>
              <w:spacing w:before="20" w:after="20"/>
              <w:jc w:val="both"/>
            </w:pPr>
            <w:r>
              <w:rPr>
                <w:sz w:val="18"/>
                <w:szCs w:val="18"/>
              </w:rPr>
              <w:t>Identificación y clasificación</w:t>
            </w:r>
          </w:p>
        </w:tc>
        <w:tc>
          <w:tcPr>
            <w:tcW w:w="1910" w:type="dxa"/>
            <w:shd w:val="clear" w:color="auto" w:fill="D9E2F3"/>
            <w:vAlign w:val="center"/>
          </w:tcPr>
          <w:p w14:paraId="221B960F" w14:textId="77777777" w:rsidR="00990B14" w:rsidRDefault="00000000">
            <w:pPr>
              <w:spacing w:before="20" w:after="20"/>
              <w:jc w:val="both"/>
            </w:pPr>
            <w:r>
              <w:rPr>
                <w:sz w:val="18"/>
                <w:szCs w:val="18"/>
              </w:rPr>
              <w:t>Omite características relevantes o las clasifica incorrectamente.</w:t>
            </w:r>
          </w:p>
        </w:tc>
        <w:tc>
          <w:tcPr>
            <w:tcW w:w="2015" w:type="dxa"/>
            <w:shd w:val="clear" w:color="auto" w:fill="D9E2F3"/>
            <w:vAlign w:val="center"/>
          </w:tcPr>
          <w:p w14:paraId="17588E73" w14:textId="77777777" w:rsidR="00990B14" w:rsidRDefault="00000000">
            <w:pPr>
              <w:spacing w:before="20" w:after="20"/>
              <w:jc w:val="both"/>
            </w:pPr>
            <w:r>
              <w:rPr>
                <w:sz w:val="18"/>
                <w:szCs w:val="18"/>
              </w:rPr>
              <w:t>Identifica y distingue las clases de auditoría tributaria consideradas.</w:t>
            </w:r>
          </w:p>
        </w:tc>
        <w:tc>
          <w:tcPr>
            <w:tcW w:w="2015" w:type="dxa"/>
            <w:shd w:val="clear" w:color="auto" w:fill="D9E2F3"/>
            <w:vAlign w:val="center"/>
          </w:tcPr>
          <w:p w14:paraId="3B5D92D1" w14:textId="77777777" w:rsidR="00990B14" w:rsidRDefault="00000000">
            <w:pPr>
              <w:spacing w:before="20" w:after="20"/>
              <w:jc w:val="both"/>
            </w:pPr>
            <w:r>
              <w:rPr>
                <w:sz w:val="18"/>
                <w:szCs w:val="18"/>
              </w:rPr>
              <w:t>Distingue las clases con precisión y justifica su clasificación.</w:t>
            </w:r>
          </w:p>
        </w:tc>
      </w:tr>
      <w:tr w:rsidR="00990B14" w14:paraId="30506DD2" w14:textId="77777777">
        <w:trPr>
          <w:cantSplit/>
          <w:jc w:val="center"/>
        </w:trPr>
        <w:tc>
          <w:tcPr>
            <w:tcW w:w="1635" w:type="dxa"/>
            <w:vMerge/>
            <w:shd w:val="clear" w:color="auto" w:fill="4472C4"/>
            <w:vAlign w:val="center"/>
          </w:tcPr>
          <w:p w14:paraId="25EB081F" w14:textId="77777777" w:rsidR="00990B14" w:rsidRDefault="00990B14">
            <w:pPr>
              <w:spacing w:before="20" w:after="20"/>
            </w:pPr>
          </w:p>
        </w:tc>
        <w:tc>
          <w:tcPr>
            <w:tcW w:w="1830" w:type="dxa"/>
            <w:shd w:val="clear" w:color="auto" w:fill="D9E2F3"/>
            <w:vAlign w:val="center"/>
          </w:tcPr>
          <w:p w14:paraId="44A35292" w14:textId="77777777" w:rsidR="00990B14" w:rsidRDefault="00000000">
            <w:pPr>
              <w:spacing w:before="20" w:after="20"/>
              <w:jc w:val="both"/>
            </w:pPr>
            <w:r>
              <w:rPr>
                <w:sz w:val="18"/>
                <w:szCs w:val="18"/>
              </w:rPr>
              <w:t>Comparación de características</w:t>
            </w:r>
          </w:p>
        </w:tc>
        <w:tc>
          <w:tcPr>
            <w:tcW w:w="1910" w:type="dxa"/>
            <w:shd w:val="clear" w:color="auto" w:fill="D9E2F3"/>
            <w:vAlign w:val="center"/>
          </w:tcPr>
          <w:p w14:paraId="48A3858D" w14:textId="77777777" w:rsidR="00990B14" w:rsidRDefault="00000000">
            <w:pPr>
              <w:spacing w:before="20" w:after="20"/>
              <w:jc w:val="both"/>
            </w:pPr>
            <w:r>
              <w:rPr>
                <w:sz w:val="18"/>
                <w:szCs w:val="18"/>
              </w:rPr>
              <w:t>Presenta información aislada o comparaciones incorrectas.</w:t>
            </w:r>
          </w:p>
        </w:tc>
        <w:tc>
          <w:tcPr>
            <w:tcW w:w="2015" w:type="dxa"/>
            <w:shd w:val="clear" w:color="auto" w:fill="D9E2F3"/>
            <w:vAlign w:val="center"/>
          </w:tcPr>
          <w:p w14:paraId="44475C3F" w14:textId="77777777" w:rsidR="00990B14" w:rsidRDefault="00000000">
            <w:pPr>
              <w:spacing w:before="20" w:after="20"/>
              <w:jc w:val="both"/>
            </w:pPr>
            <w:r>
              <w:rPr>
                <w:sz w:val="18"/>
                <w:szCs w:val="18"/>
              </w:rPr>
              <w:t>Compara objetivos, alcance, riesgos y características principales.</w:t>
            </w:r>
          </w:p>
        </w:tc>
        <w:tc>
          <w:tcPr>
            <w:tcW w:w="2015" w:type="dxa"/>
            <w:shd w:val="clear" w:color="auto" w:fill="D9E2F3"/>
            <w:vAlign w:val="center"/>
          </w:tcPr>
          <w:p w14:paraId="00AAB78E" w14:textId="77777777" w:rsidR="00990B14" w:rsidRDefault="00000000">
            <w:pPr>
              <w:spacing w:before="20" w:after="20"/>
              <w:jc w:val="both"/>
            </w:pPr>
            <w:r>
              <w:rPr>
                <w:sz w:val="18"/>
                <w:szCs w:val="18"/>
              </w:rPr>
              <w:t>Analiza semejanzas y diferencias y explica sus efectos sobre el trabajo de auditoría.</w:t>
            </w:r>
          </w:p>
        </w:tc>
      </w:tr>
      <w:tr w:rsidR="00990B14" w14:paraId="707391E4" w14:textId="77777777">
        <w:trPr>
          <w:cantSplit/>
          <w:jc w:val="center"/>
        </w:trPr>
        <w:tc>
          <w:tcPr>
            <w:tcW w:w="1635" w:type="dxa"/>
            <w:vMerge/>
            <w:shd w:val="clear" w:color="auto" w:fill="4472C4"/>
            <w:vAlign w:val="center"/>
          </w:tcPr>
          <w:p w14:paraId="1891E3B7" w14:textId="77777777" w:rsidR="00990B14" w:rsidRDefault="00990B14">
            <w:pPr>
              <w:spacing w:before="20" w:after="20"/>
            </w:pPr>
          </w:p>
        </w:tc>
        <w:tc>
          <w:tcPr>
            <w:tcW w:w="1830" w:type="dxa"/>
            <w:shd w:val="clear" w:color="auto" w:fill="D9E2F3"/>
            <w:vAlign w:val="center"/>
          </w:tcPr>
          <w:p w14:paraId="2FD99AF7" w14:textId="77777777" w:rsidR="00990B14" w:rsidRDefault="00000000">
            <w:pPr>
              <w:spacing w:before="20" w:after="20"/>
              <w:jc w:val="both"/>
            </w:pPr>
            <w:r>
              <w:rPr>
                <w:sz w:val="18"/>
                <w:szCs w:val="18"/>
              </w:rPr>
              <w:t>Organización y aplicación</w:t>
            </w:r>
          </w:p>
        </w:tc>
        <w:tc>
          <w:tcPr>
            <w:tcW w:w="1910" w:type="dxa"/>
            <w:shd w:val="clear" w:color="auto" w:fill="D9E2F3"/>
            <w:vAlign w:val="center"/>
          </w:tcPr>
          <w:p w14:paraId="4A1ACFC2" w14:textId="77777777" w:rsidR="00990B14" w:rsidRDefault="00000000">
            <w:pPr>
              <w:spacing w:before="20" w:after="20"/>
              <w:jc w:val="both"/>
            </w:pPr>
            <w:r>
              <w:rPr>
                <w:sz w:val="18"/>
                <w:szCs w:val="18"/>
              </w:rPr>
              <w:t>La matriz es desordenada o no permite comprender las diferencias.</w:t>
            </w:r>
          </w:p>
        </w:tc>
        <w:tc>
          <w:tcPr>
            <w:tcW w:w="2015" w:type="dxa"/>
            <w:shd w:val="clear" w:color="auto" w:fill="D9E2F3"/>
            <w:vAlign w:val="center"/>
          </w:tcPr>
          <w:p w14:paraId="01A11564" w14:textId="77777777" w:rsidR="00990B14" w:rsidRDefault="00000000">
            <w:pPr>
              <w:spacing w:before="20" w:after="20"/>
              <w:jc w:val="both"/>
            </w:pPr>
            <w:r>
              <w:rPr>
                <w:sz w:val="18"/>
                <w:szCs w:val="18"/>
              </w:rPr>
              <w:t>Presenta una matriz clara y aplica las categorías al caso correspondiente.</w:t>
            </w:r>
          </w:p>
        </w:tc>
        <w:tc>
          <w:tcPr>
            <w:tcW w:w="2015" w:type="dxa"/>
            <w:shd w:val="clear" w:color="auto" w:fill="D9E2F3"/>
            <w:vAlign w:val="center"/>
          </w:tcPr>
          <w:p w14:paraId="1BBE5946" w14:textId="77777777" w:rsidR="00990B14" w:rsidRDefault="00000000">
            <w:pPr>
              <w:spacing w:before="20" w:after="20"/>
              <w:jc w:val="both"/>
            </w:pPr>
            <w:r>
              <w:rPr>
                <w:sz w:val="18"/>
                <w:szCs w:val="18"/>
              </w:rPr>
              <w:t>Presenta una matriz completa, coherente y útil para seleccionar el enfoque pertinente según el caso.</w:t>
            </w:r>
          </w:p>
        </w:tc>
      </w:tr>
      <w:tr w:rsidR="00990B14" w14:paraId="7070E036" w14:textId="77777777">
        <w:trPr>
          <w:cantSplit/>
          <w:jc w:val="center"/>
        </w:trPr>
        <w:tc>
          <w:tcPr>
            <w:tcW w:w="1635" w:type="dxa"/>
            <w:vMerge/>
            <w:shd w:val="clear" w:color="auto" w:fill="4472C4"/>
            <w:vAlign w:val="center"/>
          </w:tcPr>
          <w:p w14:paraId="1CB0DDC4" w14:textId="77777777" w:rsidR="00990B14" w:rsidRDefault="00990B14">
            <w:pPr>
              <w:spacing w:before="20" w:after="20"/>
            </w:pPr>
          </w:p>
        </w:tc>
        <w:tc>
          <w:tcPr>
            <w:tcW w:w="5755" w:type="dxa"/>
            <w:gridSpan w:val="3"/>
            <w:shd w:val="clear" w:color="auto" w:fill="D9E2F3"/>
            <w:vAlign w:val="center"/>
          </w:tcPr>
          <w:p w14:paraId="483862B9" w14:textId="77777777" w:rsidR="00990B14" w:rsidRDefault="00000000">
            <w:pPr>
              <w:keepNext/>
              <w:spacing w:before="20" w:after="20"/>
              <w:jc w:val="both"/>
            </w:pPr>
            <w:r>
              <w:rPr>
                <w:b/>
                <w:bCs/>
                <w:i/>
                <w:iCs/>
                <w:sz w:val="18"/>
                <w:szCs w:val="18"/>
              </w:rPr>
              <w:t xml:space="preserve">Producto 4: </w:t>
            </w:r>
            <w:r>
              <w:rPr>
                <w:sz w:val="18"/>
                <w:szCs w:val="18"/>
              </w:rPr>
              <w:t>Esquema comparativo de los procesos, fases y productos de la auditoría fiscal y de la auditoría tributaria independiente</w:t>
            </w:r>
          </w:p>
        </w:tc>
        <w:tc>
          <w:tcPr>
            <w:tcW w:w="2015" w:type="dxa"/>
            <w:shd w:val="clear" w:color="auto" w:fill="D9E2F3"/>
            <w:vAlign w:val="center"/>
          </w:tcPr>
          <w:p w14:paraId="363027BA" w14:textId="77777777" w:rsidR="00990B14" w:rsidRDefault="00000000">
            <w:pPr>
              <w:spacing w:before="20" w:after="20"/>
              <w:jc w:val="center"/>
            </w:pPr>
            <w:r>
              <w:rPr>
                <w:b/>
                <w:bCs/>
                <w:sz w:val="18"/>
                <w:szCs w:val="18"/>
              </w:rPr>
              <w:t>6%</w:t>
            </w:r>
          </w:p>
        </w:tc>
      </w:tr>
      <w:tr w:rsidR="00990B14" w14:paraId="57B34C96" w14:textId="77777777">
        <w:trPr>
          <w:cantSplit/>
          <w:jc w:val="center"/>
        </w:trPr>
        <w:tc>
          <w:tcPr>
            <w:tcW w:w="1635" w:type="dxa"/>
            <w:vMerge/>
            <w:shd w:val="clear" w:color="auto" w:fill="4472C4"/>
            <w:vAlign w:val="center"/>
          </w:tcPr>
          <w:p w14:paraId="3556690F" w14:textId="77777777" w:rsidR="00990B14" w:rsidRDefault="00990B14">
            <w:pPr>
              <w:spacing w:before="20" w:after="20"/>
            </w:pPr>
          </w:p>
        </w:tc>
        <w:tc>
          <w:tcPr>
            <w:tcW w:w="1830" w:type="dxa"/>
            <w:shd w:val="clear" w:color="auto" w:fill="4472C4"/>
            <w:vAlign w:val="center"/>
          </w:tcPr>
          <w:p w14:paraId="4F093E96"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30B2EE0A"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5B62BE89"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763483DB" w14:textId="77777777" w:rsidR="00990B14" w:rsidRDefault="00000000">
            <w:pPr>
              <w:keepNext/>
              <w:spacing w:before="20" w:after="20"/>
              <w:jc w:val="center"/>
            </w:pPr>
            <w:r>
              <w:rPr>
                <w:b/>
                <w:bCs/>
                <w:i/>
                <w:iCs/>
                <w:color w:val="FFFFFF"/>
                <w:sz w:val="18"/>
                <w:szCs w:val="18"/>
              </w:rPr>
              <w:t>Destacado (81–100)</w:t>
            </w:r>
          </w:p>
        </w:tc>
      </w:tr>
      <w:tr w:rsidR="00990B14" w14:paraId="54B1BC31" w14:textId="77777777">
        <w:trPr>
          <w:cantSplit/>
          <w:jc w:val="center"/>
        </w:trPr>
        <w:tc>
          <w:tcPr>
            <w:tcW w:w="1635" w:type="dxa"/>
            <w:vMerge/>
            <w:shd w:val="clear" w:color="auto" w:fill="4472C4"/>
            <w:vAlign w:val="center"/>
          </w:tcPr>
          <w:p w14:paraId="148E0337" w14:textId="77777777" w:rsidR="00990B14" w:rsidRDefault="00990B14">
            <w:pPr>
              <w:spacing w:before="20" w:after="20"/>
            </w:pPr>
          </w:p>
        </w:tc>
        <w:tc>
          <w:tcPr>
            <w:tcW w:w="1830" w:type="dxa"/>
            <w:shd w:val="clear" w:color="auto" w:fill="D9E2F3"/>
            <w:vAlign w:val="center"/>
          </w:tcPr>
          <w:p w14:paraId="271E1DF6" w14:textId="77777777" w:rsidR="00990B14" w:rsidRDefault="00000000">
            <w:pPr>
              <w:spacing w:before="20" w:after="20"/>
              <w:jc w:val="both"/>
            </w:pPr>
            <w:r>
              <w:rPr>
                <w:sz w:val="18"/>
                <w:szCs w:val="18"/>
              </w:rPr>
              <w:t>Procesos y fases</w:t>
            </w:r>
          </w:p>
        </w:tc>
        <w:tc>
          <w:tcPr>
            <w:tcW w:w="1910" w:type="dxa"/>
            <w:shd w:val="clear" w:color="auto" w:fill="D9E2F3"/>
            <w:vAlign w:val="center"/>
          </w:tcPr>
          <w:p w14:paraId="49703D0F" w14:textId="77777777" w:rsidR="00990B14" w:rsidRDefault="00000000">
            <w:pPr>
              <w:spacing w:before="20" w:after="20"/>
              <w:jc w:val="both"/>
            </w:pPr>
            <w:r>
              <w:rPr>
                <w:sz w:val="18"/>
                <w:szCs w:val="18"/>
              </w:rPr>
              <w:t>Omite fases esenciales o presenta una secuencia incorrecta.</w:t>
            </w:r>
          </w:p>
        </w:tc>
        <w:tc>
          <w:tcPr>
            <w:tcW w:w="2015" w:type="dxa"/>
            <w:shd w:val="clear" w:color="auto" w:fill="D9E2F3"/>
            <w:vAlign w:val="center"/>
          </w:tcPr>
          <w:p w14:paraId="71E3485B" w14:textId="77777777" w:rsidR="00990B14" w:rsidRDefault="00000000">
            <w:pPr>
              <w:spacing w:before="20" w:after="20"/>
              <w:jc w:val="both"/>
            </w:pPr>
            <w:r>
              <w:rPr>
                <w:sz w:val="18"/>
                <w:szCs w:val="18"/>
              </w:rPr>
              <w:t>Identifica y ordena las fases principales de ambos procesos.</w:t>
            </w:r>
          </w:p>
        </w:tc>
        <w:tc>
          <w:tcPr>
            <w:tcW w:w="2015" w:type="dxa"/>
            <w:shd w:val="clear" w:color="auto" w:fill="D9E2F3"/>
            <w:vAlign w:val="center"/>
          </w:tcPr>
          <w:p w14:paraId="375BB815" w14:textId="77777777" w:rsidR="00990B14" w:rsidRDefault="00000000">
            <w:pPr>
              <w:spacing w:before="20" w:after="20"/>
              <w:jc w:val="both"/>
            </w:pPr>
            <w:r>
              <w:rPr>
                <w:sz w:val="18"/>
                <w:szCs w:val="18"/>
              </w:rPr>
              <w:t>Explica las fases y sus relaciones, distinguiendo las particularidades de cada proceso.</w:t>
            </w:r>
          </w:p>
        </w:tc>
      </w:tr>
      <w:tr w:rsidR="00990B14" w14:paraId="001C3A9E" w14:textId="77777777">
        <w:trPr>
          <w:cantSplit/>
          <w:jc w:val="center"/>
        </w:trPr>
        <w:tc>
          <w:tcPr>
            <w:tcW w:w="1635" w:type="dxa"/>
            <w:vMerge/>
            <w:shd w:val="clear" w:color="auto" w:fill="4472C4"/>
            <w:vAlign w:val="center"/>
          </w:tcPr>
          <w:p w14:paraId="418D9757" w14:textId="77777777" w:rsidR="00990B14" w:rsidRDefault="00990B14">
            <w:pPr>
              <w:spacing w:before="20" w:after="20"/>
            </w:pPr>
          </w:p>
        </w:tc>
        <w:tc>
          <w:tcPr>
            <w:tcW w:w="1830" w:type="dxa"/>
            <w:shd w:val="clear" w:color="auto" w:fill="D9E2F3"/>
            <w:vAlign w:val="center"/>
          </w:tcPr>
          <w:p w14:paraId="6FF3C1E3" w14:textId="77777777" w:rsidR="00990B14" w:rsidRDefault="00000000">
            <w:pPr>
              <w:spacing w:before="20" w:after="20"/>
              <w:jc w:val="both"/>
            </w:pPr>
            <w:r>
              <w:rPr>
                <w:sz w:val="18"/>
                <w:szCs w:val="18"/>
              </w:rPr>
              <w:t>Diferenciación de productos</w:t>
            </w:r>
          </w:p>
        </w:tc>
        <w:tc>
          <w:tcPr>
            <w:tcW w:w="1910" w:type="dxa"/>
            <w:shd w:val="clear" w:color="auto" w:fill="D9E2F3"/>
            <w:vAlign w:val="center"/>
          </w:tcPr>
          <w:p w14:paraId="75622722" w14:textId="77777777" w:rsidR="00990B14" w:rsidRDefault="00000000">
            <w:pPr>
              <w:spacing w:before="20" w:after="20"/>
              <w:jc w:val="both"/>
            </w:pPr>
            <w:r>
              <w:rPr>
                <w:sz w:val="18"/>
                <w:szCs w:val="18"/>
              </w:rPr>
              <w:t>Confunde los productos documentales de ambas modalidades.</w:t>
            </w:r>
          </w:p>
        </w:tc>
        <w:tc>
          <w:tcPr>
            <w:tcW w:w="2015" w:type="dxa"/>
            <w:shd w:val="clear" w:color="auto" w:fill="D9E2F3"/>
            <w:vAlign w:val="center"/>
          </w:tcPr>
          <w:p w14:paraId="5184455A" w14:textId="77777777" w:rsidR="00990B14" w:rsidRDefault="00000000">
            <w:pPr>
              <w:spacing w:before="20" w:after="20"/>
              <w:jc w:val="both"/>
            </w:pPr>
            <w:r>
              <w:rPr>
                <w:sz w:val="18"/>
                <w:szCs w:val="18"/>
              </w:rPr>
              <w:t>Identifica los productos principales y los relaciona con sus respectivos procesos.</w:t>
            </w:r>
          </w:p>
        </w:tc>
        <w:tc>
          <w:tcPr>
            <w:tcW w:w="2015" w:type="dxa"/>
            <w:shd w:val="clear" w:color="auto" w:fill="D9E2F3"/>
            <w:vAlign w:val="center"/>
          </w:tcPr>
          <w:p w14:paraId="5A656D3A" w14:textId="77777777" w:rsidR="00990B14" w:rsidRDefault="00000000">
            <w:pPr>
              <w:spacing w:before="20" w:after="20"/>
              <w:jc w:val="both"/>
            </w:pPr>
            <w:r>
              <w:rPr>
                <w:sz w:val="18"/>
                <w:szCs w:val="18"/>
              </w:rPr>
              <w:t>Justifica las diferencias entre productos según sus objetivos, destinatarios y alcance.</w:t>
            </w:r>
          </w:p>
        </w:tc>
      </w:tr>
      <w:tr w:rsidR="00990B14" w14:paraId="06986FBC" w14:textId="77777777">
        <w:trPr>
          <w:cantSplit/>
          <w:jc w:val="center"/>
        </w:trPr>
        <w:tc>
          <w:tcPr>
            <w:tcW w:w="1635" w:type="dxa"/>
            <w:vMerge/>
            <w:shd w:val="clear" w:color="auto" w:fill="4472C4"/>
            <w:vAlign w:val="center"/>
          </w:tcPr>
          <w:p w14:paraId="56016C21" w14:textId="77777777" w:rsidR="00990B14" w:rsidRDefault="00990B14">
            <w:pPr>
              <w:spacing w:before="20" w:after="20"/>
            </w:pPr>
          </w:p>
        </w:tc>
        <w:tc>
          <w:tcPr>
            <w:tcW w:w="1830" w:type="dxa"/>
            <w:shd w:val="clear" w:color="auto" w:fill="D9E2F3"/>
            <w:vAlign w:val="center"/>
          </w:tcPr>
          <w:p w14:paraId="0F9E18B1" w14:textId="77777777" w:rsidR="00990B14" w:rsidRDefault="00000000">
            <w:pPr>
              <w:spacing w:before="20" w:after="20"/>
              <w:jc w:val="both"/>
            </w:pPr>
            <w:r>
              <w:rPr>
                <w:sz w:val="18"/>
                <w:szCs w:val="18"/>
              </w:rPr>
              <w:t>Claridad y fundamentación</w:t>
            </w:r>
          </w:p>
        </w:tc>
        <w:tc>
          <w:tcPr>
            <w:tcW w:w="1910" w:type="dxa"/>
            <w:shd w:val="clear" w:color="auto" w:fill="D9E2F3"/>
            <w:vAlign w:val="center"/>
          </w:tcPr>
          <w:p w14:paraId="3F25F2FA" w14:textId="77777777" w:rsidR="00990B14" w:rsidRDefault="00000000">
            <w:pPr>
              <w:spacing w:before="20" w:after="20"/>
              <w:jc w:val="both"/>
            </w:pPr>
            <w:r>
              <w:rPr>
                <w:sz w:val="18"/>
                <w:szCs w:val="18"/>
              </w:rPr>
              <w:t>El esquema es confuso o carece de sustento.</w:t>
            </w:r>
          </w:p>
        </w:tc>
        <w:tc>
          <w:tcPr>
            <w:tcW w:w="2015" w:type="dxa"/>
            <w:shd w:val="clear" w:color="auto" w:fill="D9E2F3"/>
            <w:vAlign w:val="center"/>
          </w:tcPr>
          <w:p w14:paraId="2DE72EE6" w14:textId="77777777" w:rsidR="00990B14" w:rsidRDefault="00000000">
            <w:pPr>
              <w:spacing w:before="20" w:after="20"/>
              <w:jc w:val="both"/>
            </w:pPr>
            <w:r>
              <w:rPr>
                <w:sz w:val="18"/>
                <w:szCs w:val="18"/>
              </w:rPr>
              <w:t>Presenta un esquema comprensible y fundamentado en los contenidos de la asignatura.</w:t>
            </w:r>
          </w:p>
        </w:tc>
        <w:tc>
          <w:tcPr>
            <w:tcW w:w="2015" w:type="dxa"/>
            <w:shd w:val="clear" w:color="auto" w:fill="D9E2F3"/>
            <w:vAlign w:val="center"/>
          </w:tcPr>
          <w:p w14:paraId="18FEEB60" w14:textId="77777777" w:rsidR="00990B14" w:rsidRDefault="00000000">
            <w:pPr>
              <w:spacing w:before="20" w:after="20"/>
              <w:jc w:val="both"/>
            </w:pPr>
            <w:r>
              <w:rPr>
                <w:sz w:val="18"/>
                <w:szCs w:val="18"/>
              </w:rPr>
              <w:t>Presenta una comparación precisa, visualmente coherente y respaldada por normativa o referencias pertinentes.</w:t>
            </w:r>
          </w:p>
        </w:tc>
      </w:tr>
      <w:tr w:rsidR="00990B14" w14:paraId="31243A80" w14:textId="77777777">
        <w:trPr>
          <w:cantSplit/>
          <w:jc w:val="center"/>
        </w:trPr>
        <w:tc>
          <w:tcPr>
            <w:tcW w:w="1635" w:type="dxa"/>
            <w:vMerge/>
            <w:shd w:val="clear" w:color="auto" w:fill="4472C4"/>
            <w:vAlign w:val="center"/>
          </w:tcPr>
          <w:p w14:paraId="21033912" w14:textId="77777777" w:rsidR="00990B14" w:rsidRDefault="00990B14">
            <w:pPr>
              <w:spacing w:before="20" w:after="20"/>
            </w:pPr>
          </w:p>
        </w:tc>
        <w:tc>
          <w:tcPr>
            <w:tcW w:w="5755" w:type="dxa"/>
            <w:gridSpan w:val="3"/>
            <w:shd w:val="clear" w:color="auto" w:fill="D9E2F3"/>
            <w:vAlign w:val="center"/>
          </w:tcPr>
          <w:p w14:paraId="13B11CBE" w14:textId="77777777" w:rsidR="00990B14" w:rsidRDefault="00000000">
            <w:pPr>
              <w:keepNext/>
              <w:spacing w:before="20" w:after="20"/>
              <w:jc w:val="both"/>
            </w:pPr>
            <w:r>
              <w:rPr>
                <w:b/>
                <w:bCs/>
                <w:i/>
                <w:iCs/>
                <w:sz w:val="18"/>
                <w:szCs w:val="18"/>
              </w:rPr>
              <w:t xml:space="preserve">Producto 5: </w:t>
            </w:r>
            <w:r>
              <w:rPr>
                <w:sz w:val="18"/>
                <w:szCs w:val="18"/>
              </w:rPr>
              <w:t>Memorándum de planificación de la fiscalización tributaria</w:t>
            </w:r>
          </w:p>
        </w:tc>
        <w:tc>
          <w:tcPr>
            <w:tcW w:w="2015" w:type="dxa"/>
            <w:shd w:val="clear" w:color="auto" w:fill="D9E2F3"/>
            <w:vAlign w:val="center"/>
          </w:tcPr>
          <w:p w14:paraId="0CA85727" w14:textId="77777777" w:rsidR="00990B14" w:rsidRDefault="00000000">
            <w:pPr>
              <w:spacing w:before="20" w:after="20"/>
              <w:jc w:val="center"/>
            </w:pPr>
            <w:r>
              <w:rPr>
                <w:b/>
                <w:bCs/>
                <w:sz w:val="18"/>
                <w:szCs w:val="18"/>
              </w:rPr>
              <w:t>8%</w:t>
            </w:r>
          </w:p>
        </w:tc>
      </w:tr>
      <w:tr w:rsidR="00990B14" w14:paraId="4FF4C74A" w14:textId="77777777">
        <w:trPr>
          <w:cantSplit/>
          <w:jc w:val="center"/>
        </w:trPr>
        <w:tc>
          <w:tcPr>
            <w:tcW w:w="1635" w:type="dxa"/>
            <w:vMerge/>
            <w:shd w:val="clear" w:color="auto" w:fill="4472C4"/>
            <w:vAlign w:val="center"/>
          </w:tcPr>
          <w:p w14:paraId="55E51757" w14:textId="77777777" w:rsidR="00990B14" w:rsidRDefault="00990B14">
            <w:pPr>
              <w:spacing w:before="20" w:after="20"/>
            </w:pPr>
          </w:p>
        </w:tc>
        <w:tc>
          <w:tcPr>
            <w:tcW w:w="1830" w:type="dxa"/>
            <w:shd w:val="clear" w:color="auto" w:fill="4472C4"/>
            <w:vAlign w:val="center"/>
          </w:tcPr>
          <w:p w14:paraId="50BD5273"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0A10EA8F"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46032F30"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033629F8" w14:textId="77777777" w:rsidR="00990B14" w:rsidRDefault="00000000">
            <w:pPr>
              <w:keepNext/>
              <w:spacing w:before="20" w:after="20"/>
              <w:jc w:val="center"/>
            </w:pPr>
            <w:r>
              <w:rPr>
                <w:b/>
                <w:bCs/>
                <w:i/>
                <w:iCs/>
                <w:color w:val="FFFFFF"/>
                <w:sz w:val="18"/>
                <w:szCs w:val="18"/>
              </w:rPr>
              <w:t>Destacado (81–100)</w:t>
            </w:r>
          </w:p>
        </w:tc>
      </w:tr>
      <w:tr w:rsidR="00990B14" w14:paraId="753AF29B" w14:textId="77777777">
        <w:trPr>
          <w:cantSplit/>
          <w:jc w:val="center"/>
        </w:trPr>
        <w:tc>
          <w:tcPr>
            <w:tcW w:w="1635" w:type="dxa"/>
            <w:vMerge/>
            <w:shd w:val="clear" w:color="auto" w:fill="4472C4"/>
            <w:vAlign w:val="center"/>
          </w:tcPr>
          <w:p w14:paraId="7C8E4490" w14:textId="77777777" w:rsidR="00990B14" w:rsidRDefault="00990B14">
            <w:pPr>
              <w:spacing w:before="20" w:after="20"/>
            </w:pPr>
          </w:p>
        </w:tc>
        <w:tc>
          <w:tcPr>
            <w:tcW w:w="1830" w:type="dxa"/>
            <w:shd w:val="clear" w:color="auto" w:fill="D9E2F3"/>
            <w:vAlign w:val="center"/>
          </w:tcPr>
          <w:p w14:paraId="78E9419E" w14:textId="77777777" w:rsidR="00990B14" w:rsidRDefault="00000000">
            <w:pPr>
              <w:spacing w:before="20" w:after="20"/>
              <w:jc w:val="both"/>
            </w:pPr>
            <w:r>
              <w:rPr>
                <w:sz w:val="18"/>
                <w:szCs w:val="18"/>
              </w:rPr>
              <w:t>Análisis de información y riesgos</w:t>
            </w:r>
          </w:p>
        </w:tc>
        <w:tc>
          <w:tcPr>
            <w:tcW w:w="1910" w:type="dxa"/>
            <w:shd w:val="clear" w:color="auto" w:fill="D9E2F3"/>
            <w:vAlign w:val="center"/>
          </w:tcPr>
          <w:p w14:paraId="27874D9A" w14:textId="77777777" w:rsidR="00990B14" w:rsidRDefault="00000000">
            <w:pPr>
              <w:spacing w:before="20" w:after="20"/>
              <w:jc w:val="both"/>
            </w:pPr>
            <w:r>
              <w:rPr>
                <w:sz w:val="18"/>
                <w:szCs w:val="18"/>
              </w:rPr>
              <w:t>No identifica información relevante o riesgos significativos.</w:t>
            </w:r>
          </w:p>
        </w:tc>
        <w:tc>
          <w:tcPr>
            <w:tcW w:w="2015" w:type="dxa"/>
            <w:shd w:val="clear" w:color="auto" w:fill="D9E2F3"/>
            <w:vAlign w:val="center"/>
          </w:tcPr>
          <w:p w14:paraId="0CB8C286" w14:textId="77777777" w:rsidR="00990B14" w:rsidRDefault="00000000">
            <w:pPr>
              <w:spacing w:before="20" w:after="20"/>
              <w:jc w:val="both"/>
            </w:pPr>
            <w:r>
              <w:rPr>
                <w:sz w:val="18"/>
                <w:szCs w:val="18"/>
              </w:rPr>
              <w:t>Analiza la información disponible e identifica riesgos tributarios pertinentes.</w:t>
            </w:r>
          </w:p>
        </w:tc>
        <w:tc>
          <w:tcPr>
            <w:tcW w:w="2015" w:type="dxa"/>
            <w:shd w:val="clear" w:color="auto" w:fill="D9E2F3"/>
            <w:vAlign w:val="center"/>
          </w:tcPr>
          <w:p w14:paraId="270B3D49" w14:textId="77777777" w:rsidR="00990B14" w:rsidRDefault="00000000">
            <w:pPr>
              <w:spacing w:before="20" w:after="20"/>
              <w:jc w:val="both"/>
            </w:pPr>
            <w:r>
              <w:rPr>
                <w:sz w:val="18"/>
                <w:szCs w:val="18"/>
              </w:rPr>
              <w:t>Prioriza los riesgos con fundamento en la información contable, financiera y tributaria examinada.</w:t>
            </w:r>
          </w:p>
        </w:tc>
      </w:tr>
      <w:tr w:rsidR="00990B14" w14:paraId="65E1A4A6" w14:textId="77777777">
        <w:trPr>
          <w:cantSplit/>
          <w:jc w:val="center"/>
        </w:trPr>
        <w:tc>
          <w:tcPr>
            <w:tcW w:w="1635" w:type="dxa"/>
            <w:vMerge/>
            <w:shd w:val="clear" w:color="auto" w:fill="4472C4"/>
            <w:vAlign w:val="center"/>
          </w:tcPr>
          <w:p w14:paraId="717A2362" w14:textId="77777777" w:rsidR="00990B14" w:rsidRDefault="00990B14">
            <w:pPr>
              <w:spacing w:before="20" w:after="20"/>
            </w:pPr>
          </w:p>
        </w:tc>
        <w:tc>
          <w:tcPr>
            <w:tcW w:w="1830" w:type="dxa"/>
            <w:shd w:val="clear" w:color="auto" w:fill="D9E2F3"/>
            <w:vAlign w:val="center"/>
          </w:tcPr>
          <w:p w14:paraId="75AC6933" w14:textId="77777777" w:rsidR="00990B14" w:rsidRDefault="00000000">
            <w:pPr>
              <w:spacing w:before="20" w:after="20"/>
              <w:jc w:val="both"/>
            </w:pPr>
            <w:r>
              <w:rPr>
                <w:sz w:val="18"/>
                <w:szCs w:val="18"/>
              </w:rPr>
              <w:t>Objetivos y alcance</w:t>
            </w:r>
          </w:p>
        </w:tc>
        <w:tc>
          <w:tcPr>
            <w:tcW w:w="1910" w:type="dxa"/>
            <w:shd w:val="clear" w:color="auto" w:fill="D9E2F3"/>
            <w:vAlign w:val="center"/>
          </w:tcPr>
          <w:p w14:paraId="724CBA71" w14:textId="77777777" w:rsidR="00990B14" w:rsidRDefault="00000000">
            <w:pPr>
              <w:spacing w:before="20" w:after="20"/>
              <w:jc w:val="both"/>
            </w:pPr>
            <w:r>
              <w:rPr>
                <w:sz w:val="18"/>
                <w:szCs w:val="18"/>
              </w:rPr>
              <w:t>Los objetivos o el alcance son imprecisos o incompatibles con el caso.</w:t>
            </w:r>
          </w:p>
        </w:tc>
        <w:tc>
          <w:tcPr>
            <w:tcW w:w="2015" w:type="dxa"/>
            <w:shd w:val="clear" w:color="auto" w:fill="D9E2F3"/>
            <w:vAlign w:val="center"/>
          </w:tcPr>
          <w:p w14:paraId="04997711" w14:textId="77777777" w:rsidR="00990B14" w:rsidRDefault="00000000">
            <w:pPr>
              <w:spacing w:before="20" w:after="20"/>
              <w:jc w:val="both"/>
            </w:pPr>
            <w:r>
              <w:rPr>
                <w:sz w:val="18"/>
                <w:szCs w:val="18"/>
              </w:rPr>
              <w:t>Define objetivos y alcance coherentes con la modalidad de fiscalización.</w:t>
            </w:r>
          </w:p>
        </w:tc>
        <w:tc>
          <w:tcPr>
            <w:tcW w:w="2015" w:type="dxa"/>
            <w:shd w:val="clear" w:color="auto" w:fill="D9E2F3"/>
            <w:vAlign w:val="center"/>
          </w:tcPr>
          <w:p w14:paraId="0E797DF4" w14:textId="77777777" w:rsidR="00990B14" w:rsidRDefault="00000000">
            <w:pPr>
              <w:spacing w:before="20" w:after="20"/>
              <w:jc w:val="both"/>
            </w:pPr>
            <w:r>
              <w:rPr>
                <w:sz w:val="18"/>
                <w:szCs w:val="18"/>
              </w:rPr>
              <w:t>Justifica objetivos y alcance en función de los riesgos y las características del contribuyente.</w:t>
            </w:r>
          </w:p>
        </w:tc>
      </w:tr>
      <w:tr w:rsidR="00990B14" w14:paraId="0364F706" w14:textId="77777777">
        <w:trPr>
          <w:cantSplit/>
          <w:jc w:val="center"/>
        </w:trPr>
        <w:tc>
          <w:tcPr>
            <w:tcW w:w="1635" w:type="dxa"/>
            <w:vMerge/>
            <w:shd w:val="clear" w:color="auto" w:fill="4472C4"/>
            <w:vAlign w:val="center"/>
          </w:tcPr>
          <w:p w14:paraId="1C765830" w14:textId="77777777" w:rsidR="00990B14" w:rsidRDefault="00990B14">
            <w:pPr>
              <w:spacing w:before="20" w:after="20"/>
            </w:pPr>
          </w:p>
        </w:tc>
        <w:tc>
          <w:tcPr>
            <w:tcW w:w="1830" w:type="dxa"/>
            <w:shd w:val="clear" w:color="auto" w:fill="D9E2F3"/>
            <w:vAlign w:val="center"/>
          </w:tcPr>
          <w:p w14:paraId="0321E1CA" w14:textId="77777777" w:rsidR="00990B14" w:rsidRDefault="00000000">
            <w:pPr>
              <w:spacing w:before="20" w:after="20"/>
              <w:jc w:val="both"/>
            </w:pPr>
            <w:r>
              <w:rPr>
                <w:sz w:val="18"/>
                <w:szCs w:val="18"/>
              </w:rPr>
              <w:t>Asignación de procedimientos</w:t>
            </w:r>
          </w:p>
        </w:tc>
        <w:tc>
          <w:tcPr>
            <w:tcW w:w="1910" w:type="dxa"/>
            <w:shd w:val="clear" w:color="auto" w:fill="D9E2F3"/>
            <w:vAlign w:val="center"/>
          </w:tcPr>
          <w:p w14:paraId="45DFA646" w14:textId="77777777" w:rsidR="00990B14" w:rsidRDefault="00000000">
            <w:pPr>
              <w:spacing w:before="20" w:after="20"/>
              <w:jc w:val="both"/>
            </w:pPr>
            <w:r>
              <w:rPr>
                <w:sz w:val="18"/>
                <w:szCs w:val="18"/>
              </w:rPr>
              <w:t>Omite recursos o plantea procedimientos sin relación con los riesgos.</w:t>
            </w:r>
          </w:p>
        </w:tc>
        <w:tc>
          <w:tcPr>
            <w:tcW w:w="2015" w:type="dxa"/>
            <w:shd w:val="clear" w:color="auto" w:fill="D9E2F3"/>
            <w:vAlign w:val="center"/>
          </w:tcPr>
          <w:p w14:paraId="2FFAA57F" w14:textId="77777777" w:rsidR="00990B14" w:rsidRDefault="00000000">
            <w:pPr>
              <w:spacing w:before="20" w:after="20"/>
              <w:jc w:val="both"/>
            </w:pPr>
            <w:r>
              <w:rPr>
                <w:sz w:val="18"/>
                <w:szCs w:val="18"/>
              </w:rPr>
              <w:t>Establece procedimientos y recursos básicos para la fiscalización.</w:t>
            </w:r>
          </w:p>
        </w:tc>
        <w:tc>
          <w:tcPr>
            <w:tcW w:w="2015" w:type="dxa"/>
            <w:shd w:val="clear" w:color="auto" w:fill="D9E2F3"/>
            <w:vAlign w:val="center"/>
          </w:tcPr>
          <w:p w14:paraId="3DABD05B" w14:textId="77777777" w:rsidR="00990B14" w:rsidRDefault="00000000">
            <w:pPr>
              <w:spacing w:before="20" w:after="20"/>
              <w:jc w:val="both"/>
            </w:pPr>
            <w:r>
              <w:rPr>
                <w:sz w:val="18"/>
                <w:szCs w:val="18"/>
              </w:rPr>
              <w:t>Organiza los procedimientos, recursos, prioridades y plazos de forma coherente con los riesgos identificados.</w:t>
            </w:r>
          </w:p>
        </w:tc>
      </w:tr>
      <w:tr w:rsidR="00990B14" w14:paraId="1E4EB8BA" w14:textId="77777777">
        <w:trPr>
          <w:cantSplit/>
          <w:jc w:val="center"/>
        </w:trPr>
        <w:tc>
          <w:tcPr>
            <w:tcW w:w="1635" w:type="dxa"/>
            <w:vMerge/>
            <w:shd w:val="clear" w:color="auto" w:fill="4472C4"/>
            <w:vAlign w:val="center"/>
          </w:tcPr>
          <w:p w14:paraId="53654AFD" w14:textId="77777777" w:rsidR="00990B14" w:rsidRDefault="00990B14">
            <w:pPr>
              <w:spacing w:before="20" w:after="20"/>
            </w:pPr>
          </w:p>
        </w:tc>
        <w:tc>
          <w:tcPr>
            <w:tcW w:w="5755" w:type="dxa"/>
            <w:gridSpan w:val="3"/>
            <w:shd w:val="clear" w:color="auto" w:fill="D9E2F3"/>
            <w:vAlign w:val="center"/>
          </w:tcPr>
          <w:p w14:paraId="6FFAB362" w14:textId="77777777" w:rsidR="00990B14" w:rsidRDefault="00000000">
            <w:pPr>
              <w:keepNext/>
              <w:spacing w:before="20" w:after="20"/>
              <w:jc w:val="both"/>
            </w:pPr>
            <w:r>
              <w:rPr>
                <w:b/>
                <w:bCs/>
                <w:i/>
                <w:iCs/>
                <w:sz w:val="18"/>
                <w:szCs w:val="18"/>
              </w:rPr>
              <w:t xml:space="preserve">Producto 6: </w:t>
            </w:r>
            <w:r>
              <w:rPr>
                <w:sz w:val="18"/>
                <w:szCs w:val="18"/>
              </w:rPr>
              <w:t>Programa de auditoría tributaria con procedimientos de fiscalización</w:t>
            </w:r>
          </w:p>
        </w:tc>
        <w:tc>
          <w:tcPr>
            <w:tcW w:w="2015" w:type="dxa"/>
            <w:shd w:val="clear" w:color="auto" w:fill="D9E2F3"/>
            <w:vAlign w:val="center"/>
          </w:tcPr>
          <w:p w14:paraId="7FC0B0E2" w14:textId="77777777" w:rsidR="00990B14" w:rsidRDefault="00000000">
            <w:pPr>
              <w:spacing w:before="20" w:after="20"/>
              <w:jc w:val="center"/>
            </w:pPr>
            <w:r>
              <w:rPr>
                <w:b/>
                <w:bCs/>
                <w:sz w:val="18"/>
                <w:szCs w:val="18"/>
              </w:rPr>
              <w:t>8%</w:t>
            </w:r>
          </w:p>
        </w:tc>
      </w:tr>
      <w:tr w:rsidR="00990B14" w14:paraId="50B8A449" w14:textId="77777777">
        <w:trPr>
          <w:cantSplit/>
          <w:jc w:val="center"/>
        </w:trPr>
        <w:tc>
          <w:tcPr>
            <w:tcW w:w="1635" w:type="dxa"/>
            <w:vMerge/>
            <w:shd w:val="clear" w:color="auto" w:fill="4472C4"/>
            <w:vAlign w:val="center"/>
          </w:tcPr>
          <w:p w14:paraId="4D117D54" w14:textId="77777777" w:rsidR="00990B14" w:rsidRDefault="00990B14">
            <w:pPr>
              <w:spacing w:before="20" w:after="20"/>
            </w:pPr>
          </w:p>
        </w:tc>
        <w:tc>
          <w:tcPr>
            <w:tcW w:w="1830" w:type="dxa"/>
            <w:shd w:val="clear" w:color="auto" w:fill="4472C4"/>
            <w:vAlign w:val="center"/>
          </w:tcPr>
          <w:p w14:paraId="3301DD7A"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699A629E"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62C6244F"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666BCD87" w14:textId="77777777" w:rsidR="00990B14" w:rsidRDefault="00000000">
            <w:pPr>
              <w:keepNext/>
              <w:spacing w:before="20" w:after="20"/>
              <w:jc w:val="center"/>
            </w:pPr>
            <w:r>
              <w:rPr>
                <w:b/>
                <w:bCs/>
                <w:i/>
                <w:iCs/>
                <w:color w:val="FFFFFF"/>
                <w:sz w:val="18"/>
                <w:szCs w:val="18"/>
              </w:rPr>
              <w:t>Destacado (81–100)</w:t>
            </w:r>
          </w:p>
        </w:tc>
      </w:tr>
      <w:tr w:rsidR="00990B14" w14:paraId="10CCB13E" w14:textId="77777777">
        <w:trPr>
          <w:cantSplit/>
          <w:jc w:val="center"/>
        </w:trPr>
        <w:tc>
          <w:tcPr>
            <w:tcW w:w="1635" w:type="dxa"/>
            <w:vMerge/>
            <w:shd w:val="clear" w:color="auto" w:fill="4472C4"/>
            <w:vAlign w:val="center"/>
          </w:tcPr>
          <w:p w14:paraId="5683621B" w14:textId="77777777" w:rsidR="00990B14" w:rsidRDefault="00990B14">
            <w:pPr>
              <w:spacing w:before="20" w:after="20"/>
            </w:pPr>
          </w:p>
        </w:tc>
        <w:tc>
          <w:tcPr>
            <w:tcW w:w="1830" w:type="dxa"/>
            <w:shd w:val="clear" w:color="auto" w:fill="D9E2F3"/>
            <w:vAlign w:val="center"/>
          </w:tcPr>
          <w:p w14:paraId="09577AA2" w14:textId="77777777" w:rsidR="00990B14" w:rsidRDefault="00000000">
            <w:pPr>
              <w:spacing w:before="20" w:after="20"/>
              <w:jc w:val="both"/>
            </w:pPr>
            <w:r>
              <w:rPr>
                <w:sz w:val="18"/>
                <w:szCs w:val="18"/>
              </w:rPr>
              <w:t>Correspondencia con la planificación</w:t>
            </w:r>
          </w:p>
        </w:tc>
        <w:tc>
          <w:tcPr>
            <w:tcW w:w="1910" w:type="dxa"/>
            <w:shd w:val="clear" w:color="auto" w:fill="D9E2F3"/>
            <w:vAlign w:val="center"/>
          </w:tcPr>
          <w:p w14:paraId="7C083DA3" w14:textId="77777777" w:rsidR="00990B14" w:rsidRDefault="00000000">
            <w:pPr>
              <w:spacing w:before="20" w:after="20"/>
              <w:jc w:val="both"/>
            </w:pPr>
            <w:r>
              <w:rPr>
                <w:sz w:val="18"/>
                <w:szCs w:val="18"/>
              </w:rPr>
              <w:t>Los procedimientos no responden a los objetivos o riesgos.</w:t>
            </w:r>
          </w:p>
        </w:tc>
        <w:tc>
          <w:tcPr>
            <w:tcW w:w="2015" w:type="dxa"/>
            <w:shd w:val="clear" w:color="auto" w:fill="D9E2F3"/>
            <w:vAlign w:val="center"/>
          </w:tcPr>
          <w:p w14:paraId="63319D89" w14:textId="77777777" w:rsidR="00990B14" w:rsidRDefault="00000000">
            <w:pPr>
              <w:spacing w:before="20" w:after="20"/>
              <w:jc w:val="both"/>
            </w:pPr>
            <w:r>
              <w:rPr>
                <w:sz w:val="18"/>
                <w:szCs w:val="18"/>
              </w:rPr>
              <w:t>Relaciona los procedimientos con los objetivos y riesgos identificados.</w:t>
            </w:r>
          </w:p>
        </w:tc>
        <w:tc>
          <w:tcPr>
            <w:tcW w:w="2015" w:type="dxa"/>
            <w:shd w:val="clear" w:color="auto" w:fill="D9E2F3"/>
            <w:vAlign w:val="center"/>
          </w:tcPr>
          <w:p w14:paraId="01756C69" w14:textId="77777777" w:rsidR="00990B14" w:rsidRDefault="00000000">
            <w:pPr>
              <w:spacing w:before="20" w:after="20"/>
              <w:jc w:val="both"/>
            </w:pPr>
            <w:r>
              <w:rPr>
                <w:sz w:val="18"/>
                <w:szCs w:val="18"/>
              </w:rPr>
              <w:t>Vincula cada procedimiento con el riesgo, el objetivo y la evidencia que se espera obtener.</w:t>
            </w:r>
          </w:p>
        </w:tc>
      </w:tr>
      <w:tr w:rsidR="00990B14" w14:paraId="0162D983" w14:textId="77777777">
        <w:trPr>
          <w:cantSplit/>
          <w:jc w:val="center"/>
        </w:trPr>
        <w:tc>
          <w:tcPr>
            <w:tcW w:w="1635" w:type="dxa"/>
            <w:vMerge/>
            <w:shd w:val="clear" w:color="auto" w:fill="4472C4"/>
            <w:vAlign w:val="center"/>
          </w:tcPr>
          <w:p w14:paraId="17B85ABD" w14:textId="77777777" w:rsidR="00990B14" w:rsidRDefault="00990B14">
            <w:pPr>
              <w:spacing w:before="20" w:after="20"/>
            </w:pPr>
          </w:p>
        </w:tc>
        <w:tc>
          <w:tcPr>
            <w:tcW w:w="1830" w:type="dxa"/>
            <w:shd w:val="clear" w:color="auto" w:fill="D9E2F3"/>
            <w:vAlign w:val="center"/>
          </w:tcPr>
          <w:p w14:paraId="167DC105" w14:textId="77777777" w:rsidR="00990B14" w:rsidRDefault="00000000">
            <w:pPr>
              <w:spacing w:before="20" w:after="20"/>
              <w:jc w:val="both"/>
            </w:pPr>
            <w:r>
              <w:rPr>
                <w:sz w:val="18"/>
                <w:szCs w:val="18"/>
              </w:rPr>
              <w:t>Diseño de procedimientos</w:t>
            </w:r>
          </w:p>
        </w:tc>
        <w:tc>
          <w:tcPr>
            <w:tcW w:w="1910" w:type="dxa"/>
            <w:shd w:val="clear" w:color="auto" w:fill="D9E2F3"/>
            <w:vAlign w:val="center"/>
          </w:tcPr>
          <w:p w14:paraId="7162890F" w14:textId="77777777" w:rsidR="00990B14" w:rsidRDefault="00000000">
            <w:pPr>
              <w:spacing w:before="20" w:after="20"/>
              <w:jc w:val="both"/>
            </w:pPr>
            <w:r>
              <w:rPr>
                <w:sz w:val="18"/>
                <w:szCs w:val="18"/>
              </w:rPr>
              <w:t>Los procedimientos son ambiguos, incompletos o no ejecutables.</w:t>
            </w:r>
          </w:p>
        </w:tc>
        <w:tc>
          <w:tcPr>
            <w:tcW w:w="2015" w:type="dxa"/>
            <w:shd w:val="clear" w:color="auto" w:fill="D9E2F3"/>
            <w:vAlign w:val="center"/>
          </w:tcPr>
          <w:p w14:paraId="6C30FB65" w14:textId="77777777" w:rsidR="00990B14" w:rsidRDefault="00000000">
            <w:pPr>
              <w:spacing w:before="20" w:after="20"/>
              <w:jc w:val="both"/>
            </w:pPr>
            <w:r>
              <w:rPr>
                <w:sz w:val="18"/>
                <w:szCs w:val="18"/>
              </w:rPr>
              <w:t>Formula procedimientos claros y aplicables al caso.</w:t>
            </w:r>
          </w:p>
        </w:tc>
        <w:tc>
          <w:tcPr>
            <w:tcW w:w="2015" w:type="dxa"/>
            <w:shd w:val="clear" w:color="auto" w:fill="D9E2F3"/>
            <w:vAlign w:val="center"/>
          </w:tcPr>
          <w:p w14:paraId="2E294C5A" w14:textId="77777777" w:rsidR="00990B14" w:rsidRDefault="00000000">
            <w:pPr>
              <w:spacing w:before="20" w:after="20"/>
              <w:jc w:val="both"/>
            </w:pPr>
            <w:r>
              <w:rPr>
                <w:sz w:val="18"/>
                <w:szCs w:val="18"/>
              </w:rPr>
              <w:t>Define procedimientos precisos, secuenciados y adecuados a la naturaleza de la información examinada.</w:t>
            </w:r>
          </w:p>
        </w:tc>
      </w:tr>
      <w:tr w:rsidR="00990B14" w14:paraId="4442430F" w14:textId="77777777">
        <w:trPr>
          <w:cantSplit/>
          <w:jc w:val="center"/>
        </w:trPr>
        <w:tc>
          <w:tcPr>
            <w:tcW w:w="1635" w:type="dxa"/>
            <w:vMerge/>
            <w:shd w:val="clear" w:color="auto" w:fill="4472C4"/>
            <w:vAlign w:val="center"/>
          </w:tcPr>
          <w:p w14:paraId="483F2EA3" w14:textId="77777777" w:rsidR="00990B14" w:rsidRDefault="00990B14">
            <w:pPr>
              <w:spacing w:before="20" w:after="20"/>
            </w:pPr>
          </w:p>
        </w:tc>
        <w:tc>
          <w:tcPr>
            <w:tcW w:w="1830" w:type="dxa"/>
            <w:shd w:val="clear" w:color="auto" w:fill="D9E2F3"/>
            <w:vAlign w:val="center"/>
          </w:tcPr>
          <w:p w14:paraId="3AECF7F6" w14:textId="77777777" w:rsidR="00990B14" w:rsidRDefault="00000000">
            <w:pPr>
              <w:spacing w:before="20" w:after="20"/>
              <w:jc w:val="both"/>
            </w:pPr>
            <w:r>
              <w:rPr>
                <w:sz w:val="18"/>
                <w:szCs w:val="18"/>
              </w:rPr>
              <w:t>Organización del programa</w:t>
            </w:r>
          </w:p>
        </w:tc>
        <w:tc>
          <w:tcPr>
            <w:tcW w:w="1910" w:type="dxa"/>
            <w:shd w:val="clear" w:color="auto" w:fill="D9E2F3"/>
            <w:vAlign w:val="center"/>
          </w:tcPr>
          <w:p w14:paraId="2FF16804" w14:textId="77777777" w:rsidR="00990B14" w:rsidRDefault="00000000">
            <w:pPr>
              <w:spacing w:before="20" w:after="20"/>
              <w:jc w:val="both"/>
            </w:pPr>
            <w:r>
              <w:rPr>
                <w:sz w:val="18"/>
                <w:szCs w:val="18"/>
              </w:rPr>
              <w:t>Omite elementos de control, responsables o referencias necesarias.</w:t>
            </w:r>
          </w:p>
        </w:tc>
        <w:tc>
          <w:tcPr>
            <w:tcW w:w="2015" w:type="dxa"/>
            <w:shd w:val="clear" w:color="auto" w:fill="D9E2F3"/>
            <w:vAlign w:val="center"/>
          </w:tcPr>
          <w:p w14:paraId="5B303E83" w14:textId="77777777" w:rsidR="00990B14" w:rsidRDefault="00000000">
            <w:pPr>
              <w:spacing w:before="20" w:after="20"/>
              <w:jc w:val="both"/>
            </w:pPr>
            <w:r>
              <w:rPr>
                <w:sz w:val="18"/>
                <w:szCs w:val="18"/>
              </w:rPr>
              <w:t>Presenta procedimientos ordenados y verificables.</w:t>
            </w:r>
          </w:p>
        </w:tc>
        <w:tc>
          <w:tcPr>
            <w:tcW w:w="2015" w:type="dxa"/>
            <w:shd w:val="clear" w:color="auto" w:fill="D9E2F3"/>
            <w:vAlign w:val="center"/>
          </w:tcPr>
          <w:p w14:paraId="64DB185B" w14:textId="77777777" w:rsidR="00990B14" w:rsidRDefault="00000000">
            <w:pPr>
              <w:spacing w:before="20" w:after="20"/>
              <w:jc w:val="both"/>
            </w:pPr>
            <w:r>
              <w:rPr>
                <w:sz w:val="18"/>
                <w:szCs w:val="18"/>
              </w:rPr>
              <w:t>Integra procedimientos, responsables, alcance, referencias y resultados esperados de forma sistemática.</w:t>
            </w:r>
          </w:p>
        </w:tc>
      </w:tr>
      <w:tr w:rsidR="00990B14" w14:paraId="02290937" w14:textId="77777777">
        <w:trPr>
          <w:cantSplit/>
          <w:jc w:val="center"/>
        </w:trPr>
        <w:tc>
          <w:tcPr>
            <w:tcW w:w="1635" w:type="dxa"/>
            <w:vMerge/>
            <w:shd w:val="clear" w:color="auto" w:fill="4472C4"/>
            <w:vAlign w:val="center"/>
          </w:tcPr>
          <w:p w14:paraId="3D1374C9" w14:textId="77777777" w:rsidR="00990B14" w:rsidRDefault="00990B14">
            <w:pPr>
              <w:spacing w:before="20" w:after="20"/>
            </w:pPr>
          </w:p>
        </w:tc>
        <w:tc>
          <w:tcPr>
            <w:tcW w:w="5755" w:type="dxa"/>
            <w:gridSpan w:val="3"/>
            <w:shd w:val="clear" w:color="auto" w:fill="D9E2F3"/>
            <w:vAlign w:val="center"/>
          </w:tcPr>
          <w:p w14:paraId="2E7410CC" w14:textId="77777777" w:rsidR="00990B14" w:rsidRDefault="00000000">
            <w:pPr>
              <w:keepNext/>
              <w:spacing w:before="20" w:after="20"/>
              <w:jc w:val="both"/>
            </w:pPr>
            <w:r>
              <w:rPr>
                <w:b/>
                <w:bCs/>
                <w:i/>
                <w:iCs/>
                <w:sz w:val="18"/>
                <w:szCs w:val="18"/>
              </w:rPr>
              <w:t xml:space="preserve">Producto 7: </w:t>
            </w:r>
            <w:r>
              <w:rPr>
                <w:sz w:val="18"/>
                <w:szCs w:val="18"/>
              </w:rPr>
              <w:t>Papeles de trabajo de fiscalización tributaria con procedimientos ejecutados, resultados, hallazgos y respaldo documental</w:t>
            </w:r>
          </w:p>
        </w:tc>
        <w:tc>
          <w:tcPr>
            <w:tcW w:w="2015" w:type="dxa"/>
            <w:shd w:val="clear" w:color="auto" w:fill="D9E2F3"/>
            <w:vAlign w:val="center"/>
          </w:tcPr>
          <w:p w14:paraId="35B52A6B" w14:textId="77777777" w:rsidR="00990B14" w:rsidRDefault="00000000">
            <w:pPr>
              <w:spacing w:before="20" w:after="20"/>
              <w:jc w:val="center"/>
            </w:pPr>
            <w:r>
              <w:rPr>
                <w:b/>
                <w:bCs/>
                <w:sz w:val="18"/>
                <w:szCs w:val="18"/>
              </w:rPr>
              <w:t>7%</w:t>
            </w:r>
          </w:p>
        </w:tc>
      </w:tr>
      <w:tr w:rsidR="00990B14" w14:paraId="6F4A83DC" w14:textId="77777777">
        <w:trPr>
          <w:cantSplit/>
          <w:jc w:val="center"/>
        </w:trPr>
        <w:tc>
          <w:tcPr>
            <w:tcW w:w="1635" w:type="dxa"/>
            <w:vMerge/>
            <w:shd w:val="clear" w:color="auto" w:fill="4472C4"/>
            <w:vAlign w:val="center"/>
          </w:tcPr>
          <w:p w14:paraId="7B533B40" w14:textId="77777777" w:rsidR="00990B14" w:rsidRDefault="00990B14">
            <w:pPr>
              <w:spacing w:before="20" w:after="20"/>
            </w:pPr>
          </w:p>
        </w:tc>
        <w:tc>
          <w:tcPr>
            <w:tcW w:w="1830" w:type="dxa"/>
            <w:shd w:val="clear" w:color="auto" w:fill="4472C4"/>
            <w:vAlign w:val="center"/>
          </w:tcPr>
          <w:p w14:paraId="4314EFE7"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15443FD2"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76511907"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203A1529" w14:textId="77777777" w:rsidR="00990B14" w:rsidRDefault="00000000">
            <w:pPr>
              <w:keepNext/>
              <w:spacing w:before="20" w:after="20"/>
              <w:jc w:val="center"/>
            </w:pPr>
            <w:r>
              <w:rPr>
                <w:b/>
                <w:bCs/>
                <w:i/>
                <w:iCs/>
                <w:color w:val="FFFFFF"/>
                <w:sz w:val="18"/>
                <w:szCs w:val="18"/>
              </w:rPr>
              <w:t>Destacado (81–100)</w:t>
            </w:r>
          </w:p>
        </w:tc>
      </w:tr>
      <w:tr w:rsidR="00990B14" w14:paraId="2BAEB6C2" w14:textId="77777777">
        <w:trPr>
          <w:cantSplit/>
          <w:jc w:val="center"/>
        </w:trPr>
        <w:tc>
          <w:tcPr>
            <w:tcW w:w="1635" w:type="dxa"/>
            <w:vMerge/>
            <w:shd w:val="clear" w:color="auto" w:fill="4472C4"/>
            <w:vAlign w:val="center"/>
          </w:tcPr>
          <w:p w14:paraId="18B17115" w14:textId="77777777" w:rsidR="00990B14" w:rsidRDefault="00990B14">
            <w:pPr>
              <w:spacing w:before="20" w:after="20"/>
            </w:pPr>
          </w:p>
        </w:tc>
        <w:tc>
          <w:tcPr>
            <w:tcW w:w="1830" w:type="dxa"/>
            <w:shd w:val="clear" w:color="auto" w:fill="D9E2F3"/>
            <w:vAlign w:val="center"/>
          </w:tcPr>
          <w:p w14:paraId="6A4BE44E" w14:textId="77777777" w:rsidR="00990B14" w:rsidRDefault="00000000">
            <w:pPr>
              <w:spacing w:before="20" w:after="20"/>
              <w:jc w:val="both"/>
            </w:pPr>
            <w:r>
              <w:rPr>
                <w:sz w:val="18"/>
                <w:szCs w:val="18"/>
              </w:rPr>
              <w:t>Aplicación de procedimientos</w:t>
            </w:r>
          </w:p>
        </w:tc>
        <w:tc>
          <w:tcPr>
            <w:tcW w:w="1910" w:type="dxa"/>
            <w:shd w:val="clear" w:color="auto" w:fill="D9E2F3"/>
            <w:vAlign w:val="center"/>
          </w:tcPr>
          <w:p w14:paraId="7C826E95" w14:textId="77777777" w:rsidR="00990B14" w:rsidRDefault="00000000">
            <w:pPr>
              <w:spacing w:before="20" w:after="20"/>
              <w:jc w:val="both"/>
            </w:pPr>
            <w:r>
              <w:rPr>
                <w:sz w:val="18"/>
                <w:szCs w:val="18"/>
              </w:rPr>
              <w:t>No demuestra la ejecución de los procedimientos previstos.</w:t>
            </w:r>
          </w:p>
        </w:tc>
        <w:tc>
          <w:tcPr>
            <w:tcW w:w="2015" w:type="dxa"/>
            <w:shd w:val="clear" w:color="auto" w:fill="D9E2F3"/>
            <w:vAlign w:val="center"/>
          </w:tcPr>
          <w:p w14:paraId="32D939B3" w14:textId="77777777" w:rsidR="00990B14" w:rsidRDefault="00000000">
            <w:pPr>
              <w:spacing w:before="20" w:after="20"/>
              <w:jc w:val="both"/>
            </w:pPr>
            <w:r>
              <w:rPr>
                <w:sz w:val="18"/>
                <w:szCs w:val="18"/>
              </w:rPr>
              <w:t>Documenta la ejecución de los procedimientos seleccionados.</w:t>
            </w:r>
          </w:p>
        </w:tc>
        <w:tc>
          <w:tcPr>
            <w:tcW w:w="2015" w:type="dxa"/>
            <w:shd w:val="clear" w:color="auto" w:fill="D9E2F3"/>
            <w:vAlign w:val="center"/>
          </w:tcPr>
          <w:p w14:paraId="52874D56" w14:textId="77777777" w:rsidR="00990B14" w:rsidRDefault="00000000">
            <w:pPr>
              <w:spacing w:before="20" w:after="20"/>
              <w:jc w:val="both"/>
            </w:pPr>
            <w:r>
              <w:rPr>
                <w:sz w:val="18"/>
                <w:szCs w:val="18"/>
              </w:rPr>
              <w:t>Evidencia la ejecución y desarrollo sistemático de los procedimientos.</w:t>
            </w:r>
          </w:p>
        </w:tc>
      </w:tr>
      <w:tr w:rsidR="00990B14" w14:paraId="0C77A1B1" w14:textId="77777777">
        <w:trPr>
          <w:cantSplit/>
          <w:jc w:val="center"/>
        </w:trPr>
        <w:tc>
          <w:tcPr>
            <w:tcW w:w="1635" w:type="dxa"/>
            <w:vMerge/>
            <w:shd w:val="clear" w:color="auto" w:fill="4472C4"/>
            <w:vAlign w:val="center"/>
          </w:tcPr>
          <w:p w14:paraId="68A5F422" w14:textId="77777777" w:rsidR="00990B14" w:rsidRDefault="00990B14">
            <w:pPr>
              <w:spacing w:before="20" w:after="20"/>
            </w:pPr>
          </w:p>
        </w:tc>
        <w:tc>
          <w:tcPr>
            <w:tcW w:w="1830" w:type="dxa"/>
            <w:shd w:val="clear" w:color="auto" w:fill="D9E2F3"/>
            <w:vAlign w:val="center"/>
          </w:tcPr>
          <w:p w14:paraId="4193BD61" w14:textId="77777777" w:rsidR="00990B14" w:rsidRDefault="00000000">
            <w:pPr>
              <w:spacing w:before="20" w:after="20"/>
              <w:jc w:val="both"/>
            </w:pPr>
            <w:r>
              <w:rPr>
                <w:sz w:val="18"/>
                <w:szCs w:val="18"/>
              </w:rPr>
              <w:t>Evidencia y resultados</w:t>
            </w:r>
          </w:p>
        </w:tc>
        <w:tc>
          <w:tcPr>
            <w:tcW w:w="1910" w:type="dxa"/>
            <w:shd w:val="clear" w:color="auto" w:fill="D9E2F3"/>
            <w:vAlign w:val="center"/>
          </w:tcPr>
          <w:p w14:paraId="5BD503D5" w14:textId="77777777" w:rsidR="00990B14" w:rsidRDefault="00000000">
            <w:pPr>
              <w:spacing w:before="20" w:after="20"/>
              <w:jc w:val="both"/>
            </w:pPr>
            <w:r>
              <w:rPr>
                <w:sz w:val="18"/>
                <w:szCs w:val="18"/>
              </w:rPr>
              <w:t>La documentación es insuficiente o no sustenta las conclusiones.</w:t>
            </w:r>
          </w:p>
        </w:tc>
        <w:tc>
          <w:tcPr>
            <w:tcW w:w="2015" w:type="dxa"/>
            <w:shd w:val="clear" w:color="auto" w:fill="D9E2F3"/>
            <w:vAlign w:val="center"/>
          </w:tcPr>
          <w:p w14:paraId="1600FB2B" w14:textId="77777777" w:rsidR="00990B14" w:rsidRDefault="00000000">
            <w:pPr>
              <w:spacing w:before="20" w:after="20"/>
              <w:jc w:val="both"/>
            </w:pPr>
            <w:r>
              <w:rPr>
                <w:sz w:val="18"/>
                <w:szCs w:val="18"/>
              </w:rPr>
              <w:t>Incorpora evidencia pertinente y registra los resultados obtenidos.</w:t>
            </w:r>
          </w:p>
        </w:tc>
        <w:tc>
          <w:tcPr>
            <w:tcW w:w="2015" w:type="dxa"/>
            <w:shd w:val="clear" w:color="auto" w:fill="D9E2F3"/>
            <w:vAlign w:val="center"/>
          </w:tcPr>
          <w:p w14:paraId="3EB04C9B" w14:textId="77777777" w:rsidR="00990B14" w:rsidRDefault="00000000">
            <w:pPr>
              <w:spacing w:before="20" w:after="20"/>
              <w:jc w:val="both"/>
            </w:pPr>
            <w:r>
              <w:rPr>
                <w:sz w:val="18"/>
                <w:szCs w:val="18"/>
              </w:rPr>
              <w:t>Evalúa la suficiencia y pertinencia de la evidencia y vincula los resultados con los hallazgos.</w:t>
            </w:r>
          </w:p>
        </w:tc>
      </w:tr>
      <w:tr w:rsidR="00990B14" w14:paraId="23BB3E26" w14:textId="77777777">
        <w:trPr>
          <w:cantSplit/>
          <w:jc w:val="center"/>
        </w:trPr>
        <w:tc>
          <w:tcPr>
            <w:tcW w:w="1635" w:type="dxa"/>
            <w:vMerge/>
            <w:shd w:val="clear" w:color="auto" w:fill="4472C4"/>
            <w:vAlign w:val="center"/>
          </w:tcPr>
          <w:p w14:paraId="6482AC6F" w14:textId="77777777" w:rsidR="00990B14" w:rsidRDefault="00990B14">
            <w:pPr>
              <w:spacing w:before="20" w:after="20"/>
            </w:pPr>
          </w:p>
        </w:tc>
        <w:tc>
          <w:tcPr>
            <w:tcW w:w="1830" w:type="dxa"/>
            <w:shd w:val="clear" w:color="auto" w:fill="D9E2F3"/>
            <w:vAlign w:val="center"/>
          </w:tcPr>
          <w:p w14:paraId="041E13D1" w14:textId="77777777" w:rsidR="00990B14" w:rsidRDefault="00000000">
            <w:pPr>
              <w:spacing w:before="20" w:after="20"/>
              <w:jc w:val="both"/>
            </w:pPr>
            <w:r>
              <w:rPr>
                <w:sz w:val="18"/>
                <w:szCs w:val="18"/>
              </w:rPr>
              <w:t>Organización</w:t>
            </w:r>
          </w:p>
        </w:tc>
        <w:tc>
          <w:tcPr>
            <w:tcW w:w="1910" w:type="dxa"/>
            <w:shd w:val="clear" w:color="auto" w:fill="D9E2F3"/>
            <w:vAlign w:val="center"/>
          </w:tcPr>
          <w:p w14:paraId="10EAE536" w14:textId="77777777" w:rsidR="00990B14" w:rsidRDefault="00000000">
            <w:pPr>
              <w:spacing w:before="20" w:after="20"/>
              <w:jc w:val="both"/>
            </w:pPr>
            <w:r>
              <w:rPr>
                <w:sz w:val="18"/>
                <w:szCs w:val="18"/>
              </w:rPr>
              <w:t>Los papeles carecen de orden, referencias o respaldo suficiente.</w:t>
            </w:r>
          </w:p>
        </w:tc>
        <w:tc>
          <w:tcPr>
            <w:tcW w:w="2015" w:type="dxa"/>
            <w:shd w:val="clear" w:color="auto" w:fill="D9E2F3"/>
            <w:vAlign w:val="center"/>
          </w:tcPr>
          <w:p w14:paraId="1E680982" w14:textId="77777777" w:rsidR="00990B14" w:rsidRDefault="00000000">
            <w:pPr>
              <w:spacing w:before="20" w:after="20"/>
              <w:jc w:val="both"/>
            </w:pPr>
            <w:r>
              <w:rPr>
                <w:sz w:val="18"/>
                <w:szCs w:val="18"/>
              </w:rPr>
              <w:t>Organiza y referencia los papeles de trabajo con respaldo documental.</w:t>
            </w:r>
          </w:p>
        </w:tc>
        <w:tc>
          <w:tcPr>
            <w:tcW w:w="2015" w:type="dxa"/>
            <w:shd w:val="clear" w:color="auto" w:fill="D9E2F3"/>
            <w:vAlign w:val="center"/>
          </w:tcPr>
          <w:p w14:paraId="18417F3E" w14:textId="77777777" w:rsidR="00990B14" w:rsidRDefault="00000000">
            <w:pPr>
              <w:spacing w:before="20" w:after="20"/>
              <w:jc w:val="both"/>
            </w:pPr>
            <w:r>
              <w:rPr>
                <w:sz w:val="18"/>
                <w:szCs w:val="18"/>
              </w:rPr>
              <w:t>Permite reproducir los procedimientos, verificar los cálculos y seguir la evidencia y los hallazgos.</w:t>
            </w:r>
          </w:p>
        </w:tc>
      </w:tr>
      <w:tr w:rsidR="00990B14" w14:paraId="48C8823D" w14:textId="77777777">
        <w:trPr>
          <w:cantSplit/>
          <w:jc w:val="center"/>
        </w:trPr>
        <w:tc>
          <w:tcPr>
            <w:tcW w:w="1635" w:type="dxa"/>
            <w:vMerge/>
            <w:shd w:val="clear" w:color="auto" w:fill="4472C4"/>
            <w:vAlign w:val="center"/>
          </w:tcPr>
          <w:p w14:paraId="614BFC5D" w14:textId="77777777" w:rsidR="00990B14" w:rsidRDefault="00990B14">
            <w:pPr>
              <w:spacing w:before="20" w:after="20"/>
            </w:pPr>
          </w:p>
        </w:tc>
        <w:tc>
          <w:tcPr>
            <w:tcW w:w="5755" w:type="dxa"/>
            <w:gridSpan w:val="3"/>
            <w:shd w:val="clear" w:color="auto" w:fill="D9E2F3"/>
            <w:vAlign w:val="center"/>
          </w:tcPr>
          <w:p w14:paraId="3B1D5D58" w14:textId="77777777" w:rsidR="00990B14" w:rsidRDefault="00000000">
            <w:pPr>
              <w:keepNext/>
              <w:spacing w:before="20" w:after="20"/>
              <w:jc w:val="both"/>
            </w:pPr>
            <w:r>
              <w:rPr>
                <w:b/>
                <w:bCs/>
                <w:i/>
                <w:iCs/>
                <w:sz w:val="18"/>
                <w:szCs w:val="18"/>
              </w:rPr>
              <w:t xml:space="preserve">Producto 8: </w:t>
            </w:r>
            <w:r>
              <w:rPr>
                <w:sz w:val="18"/>
                <w:szCs w:val="18"/>
              </w:rPr>
              <w:t>Vista de Cargo fundamentada y respaldada documentalmente</w:t>
            </w:r>
          </w:p>
        </w:tc>
        <w:tc>
          <w:tcPr>
            <w:tcW w:w="2015" w:type="dxa"/>
            <w:shd w:val="clear" w:color="auto" w:fill="D9E2F3"/>
            <w:vAlign w:val="center"/>
          </w:tcPr>
          <w:p w14:paraId="7092BF79" w14:textId="77777777" w:rsidR="00990B14" w:rsidRDefault="00000000">
            <w:pPr>
              <w:spacing w:before="20" w:after="20"/>
              <w:jc w:val="center"/>
            </w:pPr>
            <w:r>
              <w:rPr>
                <w:b/>
                <w:bCs/>
                <w:sz w:val="18"/>
                <w:szCs w:val="18"/>
              </w:rPr>
              <w:t>7%</w:t>
            </w:r>
          </w:p>
        </w:tc>
      </w:tr>
      <w:tr w:rsidR="00990B14" w14:paraId="4DBD133A" w14:textId="77777777">
        <w:trPr>
          <w:cantSplit/>
          <w:jc w:val="center"/>
        </w:trPr>
        <w:tc>
          <w:tcPr>
            <w:tcW w:w="1635" w:type="dxa"/>
            <w:vMerge/>
            <w:shd w:val="clear" w:color="auto" w:fill="4472C4"/>
            <w:vAlign w:val="center"/>
          </w:tcPr>
          <w:p w14:paraId="4F392C9C" w14:textId="77777777" w:rsidR="00990B14" w:rsidRDefault="00990B14">
            <w:pPr>
              <w:spacing w:before="20" w:after="20"/>
            </w:pPr>
          </w:p>
        </w:tc>
        <w:tc>
          <w:tcPr>
            <w:tcW w:w="1830" w:type="dxa"/>
            <w:shd w:val="clear" w:color="auto" w:fill="4472C4"/>
            <w:vAlign w:val="center"/>
          </w:tcPr>
          <w:p w14:paraId="5F713D54"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164AA57F"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48BBB4C8"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6413269C" w14:textId="77777777" w:rsidR="00990B14" w:rsidRDefault="00000000">
            <w:pPr>
              <w:keepNext/>
              <w:spacing w:before="20" w:after="20"/>
              <w:jc w:val="center"/>
            </w:pPr>
            <w:r>
              <w:rPr>
                <w:b/>
                <w:bCs/>
                <w:i/>
                <w:iCs/>
                <w:color w:val="FFFFFF"/>
                <w:sz w:val="18"/>
                <w:szCs w:val="18"/>
              </w:rPr>
              <w:t>Destacado (81–100)</w:t>
            </w:r>
          </w:p>
        </w:tc>
      </w:tr>
      <w:tr w:rsidR="00990B14" w14:paraId="59200D2A" w14:textId="77777777">
        <w:trPr>
          <w:cantSplit/>
          <w:jc w:val="center"/>
        </w:trPr>
        <w:tc>
          <w:tcPr>
            <w:tcW w:w="1635" w:type="dxa"/>
            <w:vMerge/>
            <w:shd w:val="clear" w:color="auto" w:fill="4472C4"/>
            <w:vAlign w:val="center"/>
          </w:tcPr>
          <w:p w14:paraId="699768C4" w14:textId="77777777" w:rsidR="00990B14" w:rsidRDefault="00990B14">
            <w:pPr>
              <w:spacing w:before="20" w:after="20"/>
            </w:pPr>
          </w:p>
        </w:tc>
        <w:tc>
          <w:tcPr>
            <w:tcW w:w="1830" w:type="dxa"/>
            <w:shd w:val="clear" w:color="auto" w:fill="D9E2F3"/>
            <w:vAlign w:val="center"/>
          </w:tcPr>
          <w:p w14:paraId="709B1917" w14:textId="77777777" w:rsidR="00990B14" w:rsidRDefault="00000000">
            <w:pPr>
              <w:spacing w:before="20" w:after="20"/>
              <w:jc w:val="both"/>
            </w:pPr>
            <w:r>
              <w:rPr>
                <w:sz w:val="18"/>
                <w:szCs w:val="18"/>
              </w:rPr>
              <w:t>Estructura y contenido</w:t>
            </w:r>
          </w:p>
        </w:tc>
        <w:tc>
          <w:tcPr>
            <w:tcW w:w="1910" w:type="dxa"/>
            <w:shd w:val="clear" w:color="auto" w:fill="D9E2F3"/>
            <w:vAlign w:val="center"/>
          </w:tcPr>
          <w:p w14:paraId="091E8B28" w14:textId="77777777" w:rsidR="00990B14" w:rsidRDefault="00000000">
            <w:pPr>
              <w:spacing w:before="20" w:after="20"/>
              <w:jc w:val="both"/>
            </w:pPr>
            <w:r>
              <w:rPr>
                <w:sz w:val="18"/>
                <w:szCs w:val="18"/>
              </w:rPr>
              <w:t>Omite componentes relevantes o presenta una estructura incompatible con los requisitos aplicables.</w:t>
            </w:r>
          </w:p>
        </w:tc>
        <w:tc>
          <w:tcPr>
            <w:tcW w:w="2015" w:type="dxa"/>
            <w:shd w:val="clear" w:color="auto" w:fill="D9E2F3"/>
            <w:vAlign w:val="center"/>
          </w:tcPr>
          <w:p w14:paraId="73CD447C" w14:textId="77777777" w:rsidR="00990B14" w:rsidRDefault="00000000">
            <w:pPr>
              <w:spacing w:before="20" w:after="20"/>
              <w:jc w:val="both"/>
            </w:pPr>
            <w:r>
              <w:rPr>
                <w:sz w:val="18"/>
                <w:szCs w:val="18"/>
              </w:rPr>
              <w:t>Incluye los componentes esenciales de la Vista de Cargo según la normativa aplicable.</w:t>
            </w:r>
          </w:p>
        </w:tc>
        <w:tc>
          <w:tcPr>
            <w:tcW w:w="2015" w:type="dxa"/>
            <w:shd w:val="clear" w:color="auto" w:fill="D9E2F3"/>
            <w:vAlign w:val="center"/>
          </w:tcPr>
          <w:p w14:paraId="24C949C7" w14:textId="77777777" w:rsidR="00990B14" w:rsidRDefault="00000000">
            <w:pPr>
              <w:spacing w:before="20" w:after="20"/>
              <w:jc w:val="both"/>
            </w:pPr>
            <w:r>
              <w:rPr>
                <w:sz w:val="18"/>
                <w:szCs w:val="18"/>
              </w:rPr>
              <w:t>Presenta una estructura completa y ordenada, con los componentes requeridos y una secuencia adecuada.</w:t>
            </w:r>
          </w:p>
        </w:tc>
      </w:tr>
      <w:tr w:rsidR="00990B14" w14:paraId="5FA52A6D" w14:textId="77777777">
        <w:trPr>
          <w:cantSplit/>
          <w:jc w:val="center"/>
        </w:trPr>
        <w:tc>
          <w:tcPr>
            <w:tcW w:w="1635" w:type="dxa"/>
            <w:vMerge/>
            <w:shd w:val="clear" w:color="auto" w:fill="4472C4"/>
            <w:vAlign w:val="center"/>
          </w:tcPr>
          <w:p w14:paraId="3DA5F51A" w14:textId="77777777" w:rsidR="00990B14" w:rsidRDefault="00990B14">
            <w:pPr>
              <w:spacing w:before="20" w:after="20"/>
            </w:pPr>
          </w:p>
        </w:tc>
        <w:tc>
          <w:tcPr>
            <w:tcW w:w="1830" w:type="dxa"/>
            <w:shd w:val="clear" w:color="auto" w:fill="D9E2F3"/>
            <w:vAlign w:val="center"/>
          </w:tcPr>
          <w:p w14:paraId="22B8AF0E" w14:textId="77777777" w:rsidR="00990B14" w:rsidRDefault="00000000">
            <w:pPr>
              <w:spacing w:before="20" w:after="20"/>
              <w:jc w:val="both"/>
            </w:pPr>
            <w:r>
              <w:rPr>
                <w:sz w:val="18"/>
                <w:szCs w:val="18"/>
              </w:rPr>
              <w:t>Determinación y fundamentación</w:t>
            </w:r>
          </w:p>
        </w:tc>
        <w:tc>
          <w:tcPr>
            <w:tcW w:w="1910" w:type="dxa"/>
            <w:shd w:val="clear" w:color="auto" w:fill="D9E2F3"/>
            <w:vAlign w:val="center"/>
          </w:tcPr>
          <w:p w14:paraId="22205FF0" w14:textId="77777777" w:rsidR="00990B14" w:rsidRDefault="00000000">
            <w:pPr>
              <w:spacing w:before="20" w:after="20"/>
              <w:jc w:val="both"/>
            </w:pPr>
            <w:r>
              <w:rPr>
                <w:sz w:val="18"/>
                <w:szCs w:val="18"/>
              </w:rPr>
              <w:t>Las diferencias o la determinación tributaria no están justificadas.</w:t>
            </w:r>
          </w:p>
        </w:tc>
        <w:tc>
          <w:tcPr>
            <w:tcW w:w="2015" w:type="dxa"/>
            <w:shd w:val="clear" w:color="auto" w:fill="D9E2F3"/>
            <w:vAlign w:val="center"/>
          </w:tcPr>
          <w:p w14:paraId="4F0D4856" w14:textId="77777777" w:rsidR="00990B14" w:rsidRDefault="00000000">
            <w:pPr>
              <w:spacing w:before="20" w:after="20"/>
              <w:jc w:val="both"/>
            </w:pPr>
            <w:r>
              <w:rPr>
                <w:sz w:val="18"/>
                <w:szCs w:val="18"/>
              </w:rPr>
              <w:t>Expone las diferencias identificadas y fundamenta la determinación con la normativa pertinente.</w:t>
            </w:r>
          </w:p>
        </w:tc>
        <w:tc>
          <w:tcPr>
            <w:tcW w:w="2015" w:type="dxa"/>
            <w:shd w:val="clear" w:color="auto" w:fill="D9E2F3"/>
            <w:vAlign w:val="center"/>
          </w:tcPr>
          <w:p w14:paraId="4B9CF664" w14:textId="77777777" w:rsidR="00990B14" w:rsidRDefault="00000000">
            <w:pPr>
              <w:spacing w:before="20" w:after="20"/>
              <w:jc w:val="both"/>
            </w:pPr>
            <w:r>
              <w:rPr>
                <w:sz w:val="18"/>
                <w:szCs w:val="18"/>
              </w:rPr>
              <w:t>Relaciona cada diferencia con la evidencia, los cálculos y las disposiciones aplicables, justificando técnicamente la determinación.</w:t>
            </w:r>
          </w:p>
        </w:tc>
      </w:tr>
      <w:tr w:rsidR="00990B14" w14:paraId="1B257C5E" w14:textId="77777777">
        <w:trPr>
          <w:cantSplit/>
          <w:jc w:val="center"/>
        </w:trPr>
        <w:tc>
          <w:tcPr>
            <w:tcW w:w="1635" w:type="dxa"/>
            <w:vMerge/>
            <w:shd w:val="clear" w:color="auto" w:fill="4472C4"/>
            <w:vAlign w:val="center"/>
          </w:tcPr>
          <w:p w14:paraId="5E59781B" w14:textId="77777777" w:rsidR="00990B14" w:rsidRDefault="00990B14">
            <w:pPr>
              <w:spacing w:before="20" w:after="20"/>
            </w:pPr>
          </w:p>
        </w:tc>
        <w:tc>
          <w:tcPr>
            <w:tcW w:w="1830" w:type="dxa"/>
            <w:shd w:val="clear" w:color="auto" w:fill="D9E2F3"/>
            <w:vAlign w:val="center"/>
          </w:tcPr>
          <w:p w14:paraId="29617BDA" w14:textId="77777777" w:rsidR="00990B14" w:rsidRDefault="00000000">
            <w:pPr>
              <w:spacing w:before="20" w:after="20"/>
              <w:jc w:val="both"/>
            </w:pPr>
            <w:r>
              <w:rPr>
                <w:sz w:val="18"/>
                <w:szCs w:val="18"/>
              </w:rPr>
              <w:t>Respaldo documental y coherencia</w:t>
            </w:r>
          </w:p>
        </w:tc>
        <w:tc>
          <w:tcPr>
            <w:tcW w:w="1910" w:type="dxa"/>
            <w:shd w:val="clear" w:color="auto" w:fill="D9E2F3"/>
            <w:vAlign w:val="center"/>
          </w:tcPr>
          <w:p w14:paraId="1BD91E15" w14:textId="77777777" w:rsidR="00990B14" w:rsidRDefault="00000000">
            <w:pPr>
              <w:spacing w:before="20" w:after="20"/>
              <w:jc w:val="both"/>
            </w:pPr>
            <w:r>
              <w:rPr>
                <w:sz w:val="18"/>
                <w:szCs w:val="18"/>
              </w:rPr>
              <w:t>Carece de respaldo suficiente o contiene contradicciones con los papeles de trabajo.</w:t>
            </w:r>
          </w:p>
        </w:tc>
        <w:tc>
          <w:tcPr>
            <w:tcW w:w="2015" w:type="dxa"/>
            <w:shd w:val="clear" w:color="auto" w:fill="D9E2F3"/>
            <w:vAlign w:val="center"/>
          </w:tcPr>
          <w:p w14:paraId="7363D4D5" w14:textId="77777777" w:rsidR="00990B14" w:rsidRDefault="00000000">
            <w:pPr>
              <w:spacing w:before="20" w:after="20"/>
              <w:jc w:val="both"/>
            </w:pPr>
            <w:r>
              <w:rPr>
                <w:sz w:val="18"/>
                <w:szCs w:val="18"/>
              </w:rPr>
              <w:t>Mantiene correspondencia entre la determinación, los hallazgos y la documentación de respaldo.</w:t>
            </w:r>
          </w:p>
        </w:tc>
        <w:tc>
          <w:tcPr>
            <w:tcW w:w="2015" w:type="dxa"/>
            <w:shd w:val="clear" w:color="auto" w:fill="D9E2F3"/>
            <w:vAlign w:val="center"/>
          </w:tcPr>
          <w:p w14:paraId="57E8DAFA" w14:textId="77777777" w:rsidR="00990B14" w:rsidRDefault="00000000">
            <w:pPr>
              <w:spacing w:before="20" w:after="20"/>
              <w:jc w:val="both"/>
            </w:pPr>
            <w:r>
              <w:rPr>
                <w:sz w:val="18"/>
                <w:szCs w:val="18"/>
              </w:rPr>
              <w:t>Asegura el seguimiento de la determinación desde los papeles de trabajo y verifica la coherencia del documento.</w:t>
            </w:r>
          </w:p>
        </w:tc>
      </w:tr>
      <w:tr w:rsidR="00990B14" w14:paraId="365F4EAD" w14:textId="77777777">
        <w:trPr>
          <w:cantSplit/>
          <w:jc w:val="center"/>
        </w:trPr>
        <w:tc>
          <w:tcPr>
            <w:tcW w:w="1635" w:type="dxa"/>
            <w:vMerge/>
            <w:shd w:val="clear" w:color="auto" w:fill="4472C4"/>
            <w:vAlign w:val="center"/>
          </w:tcPr>
          <w:p w14:paraId="0820E9EF" w14:textId="77777777" w:rsidR="00990B14" w:rsidRDefault="00990B14">
            <w:pPr>
              <w:spacing w:before="20" w:after="20"/>
            </w:pPr>
          </w:p>
        </w:tc>
        <w:tc>
          <w:tcPr>
            <w:tcW w:w="5755" w:type="dxa"/>
            <w:gridSpan w:val="3"/>
            <w:shd w:val="clear" w:color="auto" w:fill="D9E2F3"/>
            <w:vAlign w:val="center"/>
          </w:tcPr>
          <w:p w14:paraId="71BB29BF" w14:textId="77777777" w:rsidR="00990B14" w:rsidRDefault="00000000">
            <w:pPr>
              <w:keepNext/>
              <w:spacing w:before="20" w:after="20"/>
              <w:jc w:val="both"/>
            </w:pPr>
            <w:r>
              <w:rPr>
                <w:b/>
                <w:bCs/>
                <w:i/>
                <w:iCs/>
                <w:sz w:val="18"/>
                <w:szCs w:val="18"/>
              </w:rPr>
              <w:t xml:space="preserve">Producto 9: </w:t>
            </w:r>
            <w:r>
              <w:rPr>
                <w:sz w:val="18"/>
                <w:szCs w:val="18"/>
              </w:rPr>
              <w:t>Cuadros comparativos de consistencia financiera y tributaria</w:t>
            </w:r>
          </w:p>
        </w:tc>
        <w:tc>
          <w:tcPr>
            <w:tcW w:w="2015" w:type="dxa"/>
            <w:shd w:val="clear" w:color="auto" w:fill="D9E2F3"/>
            <w:vAlign w:val="center"/>
          </w:tcPr>
          <w:p w14:paraId="343D7FDF" w14:textId="77777777" w:rsidR="00990B14" w:rsidRDefault="00000000">
            <w:pPr>
              <w:spacing w:before="20" w:after="20"/>
              <w:jc w:val="center"/>
            </w:pPr>
            <w:r>
              <w:rPr>
                <w:b/>
                <w:bCs/>
                <w:sz w:val="18"/>
                <w:szCs w:val="18"/>
              </w:rPr>
              <w:t>11%</w:t>
            </w:r>
          </w:p>
        </w:tc>
      </w:tr>
      <w:tr w:rsidR="00990B14" w14:paraId="76E9ABAB" w14:textId="77777777">
        <w:trPr>
          <w:cantSplit/>
          <w:jc w:val="center"/>
        </w:trPr>
        <w:tc>
          <w:tcPr>
            <w:tcW w:w="1635" w:type="dxa"/>
            <w:vMerge/>
            <w:shd w:val="clear" w:color="auto" w:fill="4472C4"/>
            <w:vAlign w:val="center"/>
          </w:tcPr>
          <w:p w14:paraId="015A1353" w14:textId="77777777" w:rsidR="00990B14" w:rsidRDefault="00990B14">
            <w:pPr>
              <w:spacing w:before="20" w:after="20"/>
            </w:pPr>
          </w:p>
        </w:tc>
        <w:tc>
          <w:tcPr>
            <w:tcW w:w="1830" w:type="dxa"/>
            <w:shd w:val="clear" w:color="auto" w:fill="4472C4"/>
            <w:vAlign w:val="center"/>
          </w:tcPr>
          <w:p w14:paraId="77A40DC6"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6BB14EBA"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0C262D3C"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2FA20D6C" w14:textId="77777777" w:rsidR="00990B14" w:rsidRDefault="00000000">
            <w:pPr>
              <w:keepNext/>
              <w:spacing w:before="20" w:after="20"/>
              <w:jc w:val="center"/>
            </w:pPr>
            <w:r>
              <w:rPr>
                <w:b/>
                <w:bCs/>
                <w:i/>
                <w:iCs/>
                <w:color w:val="FFFFFF"/>
                <w:sz w:val="18"/>
                <w:szCs w:val="18"/>
              </w:rPr>
              <w:t>Destacado (81–100)</w:t>
            </w:r>
          </w:p>
        </w:tc>
      </w:tr>
      <w:tr w:rsidR="00990B14" w14:paraId="76E6257D" w14:textId="77777777">
        <w:trPr>
          <w:cantSplit/>
          <w:jc w:val="center"/>
        </w:trPr>
        <w:tc>
          <w:tcPr>
            <w:tcW w:w="1635" w:type="dxa"/>
            <w:vMerge/>
            <w:shd w:val="clear" w:color="auto" w:fill="4472C4"/>
            <w:vAlign w:val="center"/>
          </w:tcPr>
          <w:p w14:paraId="7D6BAB3D" w14:textId="77777777" w:rsidR="00990B14" w:rsidRDefault="00990B14">
            <w:pPr>
              <w:spacing w:before="20" w:after="20"/>
            </w:pPr>
          </w:p>
        </w:tc>
        <w:tc>
          <w:tcPr>
            <w:tcW w:w="1830" w:type="dxa"/>
            <w:shd w:val="clear" w:color="auto" w:fill="D9E2F3"/>
            <w:vAlign w:val="center"/>
          </w:tcPr>
          <w:p w14:paraId="2695478F" w14:textId="77777777" w:rsidR="00990B14" w:rsidRDefault="00000000">
            <w:pPr>
              <w:spacing w:before="20" w:after="20"/>
              <w:jc w:val="both"/>
            </w:pPr>
            <w:r>
              <w:rPr>
                <w:sz w:val="18"/>
                <w:szCs w:val="18"/>
              </w:rPr>
              <w:t>Revisión numérica y financiera</w:t>
            </w:r>
          </w:p>
        </w:tc>
        <w:tc>
          <w:tcPr>
            <w:tcW w:w="1910" w:type="dxa"/>
            <w:shd w:val="clear" w:color="auto" w:fill="D9E2F3"/>
            <w:vAlign w:val="center"/>
          </w:tcPr>
          <w:p w14:paraId="47E7114A" w14:textId="77777777" w:rsidR="00990B14" w:rsidRDefault="00000000">
            <w:pPr>
              <w:spacing w:before="20" w:after="20"/>
              <w:jc w:val="both"/>
            </w:pPr>
            <w:r>
              <w:rPr>
                <w:sz w:val="18"/>
                <w:szCs w:val="18"/>
              </w:rPr>
              <w:t>Omite la verificación numérica o presenta errores de correlación entre los estados financieros y los anexos.</w:t>
            </w:r>
          </w:p>
        </w:tc>
        <w:tc>
          <w:tcPr>
            <w:tcW w:w="2015" w:type="dxa"/>
            <w:shd w:val="clear" w:color="auto" w:fill="D9E2F3"/>
            <w:vAlign w:val="center"/>
          </w:tcPr>
          <w:p w14:paraId="068F23A5" w14:textId="77777777" w:rsidR="00990B14" w:rsidRDefault="00000000">
            <w:pPr>
              <w:spacing w:before="20" w:after="20"/>
              <w:jc w:val="both"/>
            </w:pPr>
            <w:r>
              <w:rPr>
                <w:sz w:val="18"/>
                <w:szCs w:val="18"/>
              </w:rPr>
              <w:t>Comprueba la consistencia numérica de los anexos tributarios contrastando con la información financiera.</w:t>
            </w:r>
          </w:p>
        </w:tc>
        <w:tc>
          <w:tcPr>
            <w:tcW w:w="2015" w:type="dxa"/>
            <w:shd w:val="clear" w:color="auto" w:fill="D9E2F3"/>
            <w:vAlign w:val="center"/>
          </w:tcPr>
          <w:p w14:paraId="3C5729AA" w14:textId="77777777" w:rsidR="00990B14" w:rsidRDefault="00000000">
            <w:pPr>
              <w:spacing w:before="20" w:after="20"/>
              <w:jc w:val="both"/>
            </w:pPr>
            <w:r>
              <w:rPr>
                <w:sz w:val="18"/>
                <w:szCs w:val="18"/>
              </w:rPr>
              <w:t>Verifica la consistencia y justifica con precisión técnica las variaciones significativas encontradas en la comparación de información.</w:t>
            </w:r>
          </w:p>
        </w:tc>
      </w:tr>
      <w:tr w:rsidR="00990B14" w14:paraId="1A099F60" w14:textId="77777777">
        <w:trPr>
          <w:cantSplit/>
          <w:jc w:val="center"/>
        </w:trPr>
        <w:tc>
          <w:tcPr>
            <w:tcW w:w="1635" w:type="dxa"/>
            <w:vMerge/>
            <w:shd w:val="clear" w:color="auto" w:fill="4472C4"/>
            <w:vAlign w:val="center"/>
          </w:tcPr>
          <w:p w14:paraId="7639183B" w14:textId="77777777" w:rsidR="00990B14" w:rsidRDefault="00990B14">
            <w:pPr>
              <w:spacing w:before="20" w:after="20"/>
            </w:pPr>
          </w:p>
        </w:tc>
        <w:tc>
          <w:tcPr>
            <w:tcW w:w="1830" w:type="dxa"/>
            <w:shd w:val="clear" w:color="auto" w:fill="D9E2F3"/>
            <w:vAlign w:val="center"/>
          </w:tcPr>
          <w:p w14:paraId="076377F6" w14:textId="77777777" w:rsidR="00990B14" w:rsidRDefault="00000000">
            <w:pPr>
              <w:spacing w:before="20" w:after="20"/>
              <w:jc w:val="both"/>
            </w:pPr>
            <w:r>
              <w:rPr>
                <w:sz w:val="18"/>
                <w:szCs w:val="18"/>
              </w:rPr>
              <w:t>Fundamentación normativa</w:t>
            </w:r>
          </w:p>
        </w:tc>
        <w:tc>
          <w:tcPr>
            <w:tcW w:w="1910" w:type="dxa"/>
            <w:shd w:val="clear" w:color="auto" w:fill="D9E2F3"/>
            <w:vAlign w:val="center"/>
          </w:tcPr>
          <w:p w14:paraId="0DFDDAD5" w14:textId="77777777" w:rsidR="00990B14" w:rsidRDefault="00000000">
            <w:pPr>
              <w:spacing w:before="20" w:after="20"/>
              <w:jc w:val="both"/>
            </w:pPr>
            <w:r>
              <w:rPr>
                <w:sz w:val="18"/>
                <w:szCs w:val="18"/>
              </w:rPr>
              <w:t>No respalda los cuadros con la normativa contable y tributaria vigente.</w:t>
            </w:r>
          </w:p>
        </w:tc>
        <w:tc>
          <w:tcPr>
            <w:tcW w:w="2015" w:type="dxa"/>
            <w:shd w:val="clear" w:color="auto" w:fill="D9E2F3"/>
            <w:vAlign w:val="center"/>
          </w:tcPr>
          <w:p w14:paraId="5EC0D546" w14:textId="77777777" w:rsidR="00990B14" w:rsidRDefault="00000000">
            <w:pPr>
              <w:spacing w:before="20" w:after="20"/>
              <w:jc w:val="both"/>
            </w:pPr>
            <w:r>
              <w:rPr>
                <w:sz w:val="18"/>
                <w:szCs w:val="18"/>
              </w:rPr>
              <w:t>Sustenta la validez de los cuadros comparativos con base en las normas tributarias aplicables.</w:t>
            </w:r>
          </w:p>
        </w:tc>
        <w:tc>
          <w:tcPr>
            <w:tcW w:w="2015" w:type="dxa"/>
            <w:shd w:val="clear" w:color="auto" w:fill="D9E2F3"/>
            <w:vAlign w:val="center"/>
          </w:tcPr>
          <w:p w14:paraId="26C2CB9A" w14:textId="77777777" w:rsidR="00990B14" w:rsidRDefault="00000000">
            <w:pPr>
              <w:spacing w:before="20" w:after="20"/>
              <w:jc w:val="both"/>
            </w:pPr>
            <w:r>
              <w:rPr>
                <w:sz w:val="18"/>
                <w:szCs w:val="18"/>
              </w:rPr>
              <w:t>Relaciona rigurosamente los resultados obtenidos con la normativa tributaria vigente.</w:t>
            </w:r>
          </w:p>
        </w:tc>
      </w:tr>
      <w:tr w:rsidR="00990B14" w14:paraId="7AB13C72" w14:textId="77777777">
        <w:trPr>
          <w:cantSplit/>
          <w:jc w:val="center"/>
        </w:trPr>
        <w:tc>
          <w:tcPr>
            <w:tcW w:w="1635" w:type="dxa"/>
            <w:vMerge/>
            <w:shd w:val="clear" w:color="auto" w:fill="4472C4"/>
            <w:vAlign w:val="center"/>
          </w:tcPr>
          <w:p w14:paraId="7E33E3D6" w14:textId="77777777" w:rsidR="00990B14" w:rsidRDefault="00990B14">
            <w:pPr>
              <w:spacing w:before="20" w:after="20"/>
            </w:pPr>
          </w:p>
        </w:tc>
        <w:tc>
          <w:tcPr>
            <w:tcW w:w="1830" w:type="dxa"/>
            <w:shd w:val="clear" w:color="auto" w:fill="D9E2F3"/>
            <w:vAlign w:val="center"/>
          </w:tcPr>
          <w:p w14:paraId="27B89143" w14:textId="77777777" w:rsidR="00990B14" w:rsidRDefault="00000000">
            <w:pPr>
              <w:spacing w:before="20" w:after="20"/>
              <w:jc w:val="both"/>
            </w:pPr>
            <w:r>
              <w:rPr>
                <w:sz w:val="18"/>
                <w:szCs w:val="18"/>
              </w:rPr>
              <w:t>Uso de herramientas analíticas</w:t>
            </w:r>
          </w:p>
        </w:tc>
        <w:tc>
          <w:tcPr>
            <w:tcW w:w="1910" w:type="dxa"/>
            <w:shd w:val="clear" w:color="auto" w:fill="D9E2F3"/>
            <w:vAlign w:val="center"/>
          </w:tcPr>
          <w:p w14:paraId="6EA98F61" w14:textId="77777777" w:rsidR="00990B14" w:rsidRDefault="00000000">
            <w:pPr>
              <w:spacing w:before="20" w:after="20"/>
              <w:jc w:val="both"/>
            </w:pPr>
            <w:r>
              <w:rPr>
                <w:sz w:val="18"/>
                <w:szCs w:val="18"/>
              </w:rPr>
              <w:t>Realiza los cálculos de manera manual sin estructura lógica ni uso de tecnología.</w:t>
            </w:r>
          </w:p>
        </w:tc>
        <w:tc>
          <w:tcPr>
            <w:tcW w:w="2015" w:type="dxa"/>
            <w:shd w:val="clear" w:color="auto" w:fill="D9E2F3"/>
            <w:vAlign w:val="center"/>
          </w:tcPr>
          <w:p w14:paraId="79EE667C" w14:textId="77777777" w:rsidR="00990B14" w:rsidRDefault="00000000">
            <w:pPr>
              <w:spacing w:before="20" w:after="20"/>
              <w:jc w:val="both"/>
            </w:pPr>
            <w:r>
              <w:rPr>
                <w:sz w:val="18"/>
                <w:szCs w:val="18"/>
              </w:rPr>
              <w:t>Utiliza hojas de cálculo estructuradas para el desarrollo de los cuadros comparativos.</w:t>
            </w:r>
          </w:p>
        </w:tc>
        <w:tc>
          <w:tcPr>
            <w:tcW w:w="2015" w:type="dxa"/>
            <w:shd w:val="clear" w:color="auto" w:fill="D9E2F3"/>
            <w:vAlign w:val="center"/>
          </w:tcPr>
          <w:p w14:paraId="49DE92C4" w14:textId="77777777" w:rsidR="00990B14" w:rsidRDefault="00000000">
            <w:pPr>
              <w:spacing w:before="20" w:after="20"/>
              <w:jc w:val="both"/>
            </w:pPr>
            <w:r>
              <w:rPr>
                <w:sz w:val="18"/>
                <w:szCs w:val="18"/>
              </w:rPr>
              <w:t>Emplea modelos automatizados o herramientas de IA de apoyo analítico para optimizar la validación masiva de datos financieros.</w:t>
            </w:r>
          </w:p>
        </w:tc>
      </w:tr>
      <w:tr w:rsidR="00990B14" w14:paraId="212B22DC" w14:textId="77777777">
        <w:trPr>
          <w:cantSplit/>
          <w:jc w:val="center"/>
        </w:trPr>
        <w:tc>
          <w:tcPr>
            <w:tcW w:w="1635" w:type="dxa"/>
            <w:vMerge/>
            <w:shd w:val="clear" w:color="auto" w:fill="4472C4"/>
            <w:vAlign w:val="center"/>
          </w:tcPr>
          <w:p w14:paraId="7C68DA0C" w14:textId="77777777" w:rsidR="00990B14" w:rsidRDefault="00990B14">
            <w:pPr>
              <w:spacing w:before="20" w:after="20"/>
            </w:pPr>
          </w:p>
        </w:tc>
        <w:tc>
          <w:tcPr>
            <w:tcW w:w="5755" w:type="dxa"/>
            <w:gridSpan w:val="3"/>
            <w:shd w:val="clear" w:color="auto" w:fill="D9E2F3"/>
            <w:vAlign w:val="center"/>
          </w:tcPr>
          <w:p w14:paraId="5D81E948" w14:textId="77777777" w:rsidR="00990B14" w:rsidRDefault="00000000">
            <w:pPr>
              <w:keepNext/>
              <w:spacing w:before="20" w:after="20"/>
              <w:jc w:val="both"/>
            </w:pPr>
            <w:r>
              <w:rPr>
                <w:b/>
                <w:bCs/>
                <w:i/>
                <w:iCs/>
                <w:sz w:val="18"/>
                <w:szCs w:val="18"/>
              </w:rPr>
              <w:t xml:space="preserve">Producto 10: </w:t>
            </w:r>
            <w:r>
              <w:rPr>
                <w:sz w:val="18"/>
                <w:szCs w:val="18"/>
              </w:rPr>
              <w:t>Papeles de trabajo de relevamiento y verificación de la Información Tributaria Complementaria</w:t>
            </w:r>
          </w:p>
        </w:tc>
        <w:tc>
          <w:tcPr>
            <w:tcW w:w="2015" w:type="dxa"/>
            <w:shd w:val="clear" w:color="auto" w:fill="D9E2F3"/>
            <w:vAlign w:val="center"/>
          </w:tcPr>
          <w:p w14:paraId="5BDF50C9" w14:textId="77777777" w:rsidR="00990B14" w:rsidRDefault="00000000">
            <w:pPr>
              <w:spacing w:before="20" w:after="20"/>
              <w:jc w:val="center"/>
            </w:pPr>
            <w:r>
              <w:rPr>
                <w:b/>
                <w:bCs/>
                <w:sz w:val="18"/>
                <w:szCs w:val="18"/>
              </w:rPr>
              <w:t>11%</w:t>
            </w:r>
          </w:p>
        </w:tc>
      </w:tr>
      <w:tr w:rsidR="00990B14" w14:paraId="1FA61B54" w14:textId="77777777">
        <w:trPr>
          <w:cantSplit/>
          <w:jc w:val="center"/>
        </w:trPr>
        <w:tc>
          <w:tcPr>
            <w:tcW w:w="1635" w:type="dxa"/>
            <w:vMerge/>
            <w:shd w:val="clear" w:color="auto" w:fill="4472C4"/>
            <w:vAlign w:val="center"/>
          </w:tcPr>
          <w:p w14:paraId="0EE524B9" w14:textId="77777777" w:rsidR="00990B14" w:rsidRDefault="00990B14">
            <w:pPr>
              <w:spacing w:before="20" w:after="20"/>
            </w:pPr>
          </w:p>
        </w:tc>
        <w:tc>
          <w:tcPr>
            <w:tcW w:w="1830" w:type="dxa"/>
            <w:shd w:val="clear" w:color="auto" w:fill="4472C4"/>
            <w:vAlign w:val="center"/>
          </w:tcPr>
          <w:p w14:paraId="07BE75AC"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30B4FE42"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2A8AFB5A"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30D96936" w14:textId="77777777" w:rsidR="00990B14" w:rsidRDefault="00000000">
            <w:pPr>
              <w:keepNext/>
              <w:spacing w:before="20" w:after="20"/>
              <w:jc w:val="center"/>
            </w:pPr>
            <w:r>
              <w:rPr>
                <w:b/>
                <w:bCs/>
                <w:i/>
                <w:iCs/>
                <w:color w:val="FFFFFF"/>
                <w:sz w:val="18"/>
                <w:szCs w:val="18"/>
              </w:rPr>
              <w:t>Destacado (81–100)</w:t>
            </w:r>
          </w:p>
        </w:tc>
      </w:tr>
      <w:tr w:rsidR="00990B14" w14:paraId="5C5813C9" w14:textId="77777777">
        <w:trPr>
          <w:cantSplit/>
          <w:jc w:val="center"/>
        </w:trPr>
        <w:tc>
          <w:tcPr>
            <w:tcW w:w="1635" w:type="dxa"/>
            <w:vMerge/>
            <w:shd w:val="clear" w:color="auto" w:fill="4472C4"/>
            <w:vAlign w:val="center"/>
          </w:tcPr>
          <w:p w14:paraId="42732FC5" w14:textId="77777777" w:rsidR="00990B14" w:rsidRDefault="00990B14">
            <w:pPr>
              <w:spacing w:before="20" w:after="20"/>
            </w:pPr>
          </w:p>
        </w:tc>
        <w:tc>
          <w:tcPr>
            <w:tcW w:w="1830" w:type="dxa"/>
            <w:shd w:val="clear" w:color="auto" w:fill="D9E2F3"/>
            <w:vAlign w:val="center"/>
          </w:tcPr>
          <w:p w14:paraId="57FC72A1" w14:textId="77777777" w:rsidR="00990B14" w:rsidRDefault="00000000">
            <w:pPr>
              <w:spacing w:before="20" w:after="20"/>
              <w:jc w:val="both"/>
            </w:pPr>
            <w:r>
              <w:rPr>
                <w:sz w:val="18"/>
                <w:szCs w:val="18"/>
              </w:rPr>
              <w:t>Relevamiento y hojas de trabajo</w:t>
            </w:r>
          </w:p>
        </w:tc>
        <w:tc>
          <w:tcPr>
            <w:tcW w:w="1910" w:type="dxa"/>
            <w:shd w:val="clear" w:color="auto" w:fill="D9E2F3"/>
            <w:vAlign w:val="center"/>
          </w:tcPr>
          <w:p w14:paraId="0AC67112" w14:textId="77777777" w:rsidR="00990B14" w:rsidRDefault="00000000">
            <w:pPr>
              <w:spacing w:before="20" w:after="20"/>
              <w:jc w:val="both"/>
            </w:pPr>
            <w:r>
              <w:rPr>
                <w:sz w:val="18"/>
                <w:szCs w:val="18"/>
              </w:rPr>
              <w:t>El relevamiento es incompleto y carece de documentación de soporte.</w:t>
            </w:r>
          </w:p>
        </w:tc>
        <w:tc>
          <w:tcPr>
            <w:tcW w:w="2015" w:type="dxa"/>
            <w:shd w:val="clear" w:color="auto" w:fill="D9E2F3"/>
            <w:vAlign w:val="center"/>
          </w:tcPr>
          <w:p w14:paraId="79EC6633" w14:textId="77777777" w:rsidR="00990B14" w:rsidRDefault="00000000">
            <w:pPr>
              <w:spacing w:before="20" w:after="20"/>
              <w:jc w:val="both"/>
            </w:pPr>
            <w:r>
              <w:rPr>
                <w:sz w:val="18"/>
                <w:szCs w:val="18"/>
              </w:rPr>
              <w:t>Releva en equipo la información tributaria complementaria en hojas de trabajo estructuradas.</w:t>
            </w:r>
          </w:p>
        </w:tc>
        <w:tc>
          <w:tcPr>
            <w:tcW w:w="2015" w:type="dxa"/>
            <w:shd w:val="clear" w:color="auto" w:fill="D9E2F3"/>
            <w:vAlign w:val="center"/>
          </w:tcPr>
          <w:p w14:paraId="7D19A83C" w14:textId="77777777" w:rsidR="00990B14" w:rsidRDefault="00000000">
            <w:pPr>
              <w:spacing w:before="20" w:after="20"/>
              <w:jc w:val="both"/>
            </w:pPr>
            <w:r>
              <w:rPr>
                <w:sz w:val="18"/>
                <w:szCs w:val="18"/>
              </w:rPr>
              <w:t>Sistematiza el relevamiento identificando áreas críticas y riesgos fiscales latentes en la información del contribuyente.</w:t>
            </w:r>
          </w:p>
        </w:tc>
      </w:tr>
      <w:tr w:rsidR="00990B14" w14:paraId="129BFDA6" w14:textId="77777777">
        <w:trPr>
          <w:cantSplit/>
          <w:jc w:val="center"/>
        </w:trPr>
        <w:tc>
          <w:tcPr>
            <w:tcW w:w="1635" w:type="dxa"/>
            <w:vMerge/>
            <w:shd w:val="clear" w:color="auto" w:fill="4472C4"/>
            <w:vAlign w:val="center"/>
          </w:tcPr>
          <w:p w14:paraId="39FBE7F4" w14:textId="77777777" w:rsidR="00990B14" w:rsidRDefault="00990B14">
            <w:pPr>
              <w:spacing w:before="20" w:after="20"/>
            </w:pPr>
          </w:p>
        </w:tc>
        <w:tc>
          <w:tcPr>
            <w:tcW w:w="1830" w:type="dxa"/>
            <w:shd w:val="clear" w:color="auto" w:fill="D9E2F3"/>
            <w:vAlign w:val="center"/>
          </w:tcPr>
          <w:p w14:paraId="0FFE3EA1" w14:textId="77777777" w:rsidR="00990B14" w:rsidRDefault="00000000">
            <w:pPr>
              <w:spacing w:before="20" w:after="20"/>
              <w:jc w:val="both"/>
            </w:pPr>
            <w:r>
              <w:rPr>
                <w:sz w:val="18"/>
                <w:szCs w:val="18"/>
              </w:rPr>
              <w:t>Estructura de Papeles de Trabajo</w:t>
            </w:r>
          </w:p>
        </w:tc>
        <w:tc>
          <w:tcPr>
            <w:tcW w:w="1910" w:type="dxa"/>
            <w:shd w:val="clear" w:color="auto" w:fill="D9E2F3"/>
            <w:vAlign w:val="center"/>
          </w:tcPr>
          <w:p w14:paraId="27B568CD" w14:textId="77777777" w:rsidR="00990B14" w:rsidRDefault="00000000">
            <w:pPr>
              <w:spacing w:before="20" w:after="20"/>
              <w:jc w:val="both"/>
            </w:pPr>
            <w:r>
              <w:rPr>
                <w:sz w:val="18"/>
                <w:szCs w:val="18"/>
              </w:rPr>
              <w:t>Los papeles de trabajo carecen de orden lógico, marcas de auditoría estandarizadas o referenciación.</w:t>
            </w:r>
          </w:p>
        </w:tc>
        <w:tc>
          <w:tcPr>
            <w:tcW w:w="2015" w:type="dxa"/>
            <w:shd w:val="clear" w:color="auto" w:fill="D9E2F3"/>
            <w:vAlign w:val="center"/>
          </w:tcPr>
          <w:p w14:paraId="758250CB" w14:textId="77777777" w:rsidR="00990B14" w:rsidRDefault="00000000">
            <w:pPr>
              <w:spacing w:before="20" w:after="20"/>
              <w:jc w:val="both"/>
            </w:pPr>
            <w:r>
              <w:rPr>
                <w:sz w:val="18"/>
                <w:szCs w:val="18"/>
              </w:rPr>
              <w:t>Organiza los papeles de trabajo en hojas de trabajo estructuradas con marcas e índices de referencia adecuados.</w:t>
            </w:r>
          </w:p>
        </w:tc>
        <w:tc>
          <w:tcPr>
            <w:tcW w:w="2015" w:type="dxa"/>
            <w:shd w:val="clear" w:color="auto" w:fill="D9E2F3"/>
            <w:vAlign w:val="center"/>
          </w:tcPr>
          <w:p w14:paraId="23627129" w14:textId="77777777" w:rsidR="00990B14" w:rsidRDefault="00000000">
            <w:pPr>
              <w:spacing w:before="20" w:after="20"/>
              <w:jc w:val="both"/>
            </w:pPr>
            <w:r>
              <w:rPr>
                <w:sz w:val="18"/>
                <w:szCs w:val="18"/>
              </w:rPr>
              <w:t>Elabora cédulas analíticas y hojas de trabajo con índices estandarizados, correferenciación cruzada perfecta y marcas de auditoría uniformes.</w:t>
            </w:r>
          </w:p>
        </w:tc>
      </w:tr>
      <w:tr w:rsidR="00990B14" w14:paraId="4C07D091" w14:textId="77777777">
        <w:trPr>
          <w:cantSplit/>
          <w:jc w:val="center"/>
        </w:trPr>
        <w:tc>
          <w:tcPr>
            <w:tcW w:w="1635" w:type="dxa"/>
            <w:vMerge/>
            <w:shd w:val="clear" w:color="auto" w:fill="4472C4"/>
            <w:vAlign w:val="center"/>
          </w:tcPr>
          <w:p w14:paraId="055E9549" w14:textId="77777777" w:rsidR="00990B14" w:rsidRDefault="00990B14">
            <w:pPr>
              <w:spacing w:before="20" w:after="20"/>
            </w:pPr>
          </w:p>
        </w:tc>
        <w:tc>
          <w:tcPr>
            <w:tcW w:w="1830" w:type="dxa"/>
            <w:shd w:val="clear" w:color="auto" w:fill="D9E2F3"/>
            <w:vAlign w:val="center"/>
          </w:tcPr>
          <w:p w14:paraId="1891CC0B" w14:textId="77777777" w:rsidR="00990B14" w:rsidRDefault="00000000">
            <w:pPr>
              <w:spacing w:before="20" w:after="20"/>
              <w:jc w:val="both"/>
            </w:pPr>
            <w:r>
              <w:rPr>
                <w:sz w:val="18"/>
                <w:szCs w:val="18"/>
              </w:rPr>
              <w:t>Trabajo en equipo y rigor técnico</w:t>
            </w:r>
          </w:p>
        </w:tc>
        <w:tc>
          <w:tcPr>
            <w:tcW w:w="1910" w:type="dxa"/>
            <w:shd w:val="clear" w:color="auto" w:fill="D9E2F3"/>
            <w:vAlign w:val="center"/>
          </w:tcPr>
          <w:p w14:paraId="2C4D7027" w14:textId="77777777" w:rsidR="00990B14" w:rsidRDefault="00000000">
            <w:pPr>
              <w:spacing w:before="20" w:after="20"/>
              <w:jc w:val="both"/>
            </w:pPr>
            <w:r>
              <w:rPr>
                <w:sz w:val="18"/>
                <w:szCs w:val="18"/>
              </w:rPr>
              <w:t>La participación de los integrantes es deficiente y la documentación no está referenciada.</w:t>
            </w:r>
          </w:p>
        </w:tc>
        <w:tc>
          <w:tcPr>
            <w:tcW w:w="2015" w:type="dxa"/>
            <w:shd w:val="clear" w:color="auto" w:fill="D9E2F3"/>
            <w:vAlign w:val="center"/>
          </w:tcPr>
          <w:p w14:paraId="31D45DD0" w14:textId="77777777" w:rsidR="00990B14" w:rsidRDefault="00000000">
            <w:pPr>
              <w:spacing w:before="20" w:after="20"/>
              <w:jc w:val="both"/>
            </w:pPr>
            <w:r>
              <w:rPr>
                <w:sz w:val="18"/>
                <w:szCs w:val="18"/>
              </w:rPr>
              <w:t>Demuestra participación equitativa del equipo y orden en la estructuración de los papeles de trabajo.</w:t>
            </w:r>
          </w:p>
        </w:tc>
        <w:tc>
          <w:tcPr>
            <w:tcW w:w="2015" w:type="dxa"/>
            <w:shd w:val="clear" w:color="auto" w:fill="D9E2F3"/>
            <w:vAlign w:val="center"/>
          </w:tcPr>
          <w:p w14:paraId="3B1FBFA4" w14:textId="77777777" w:rsidR="00990B14" w:rsidRDefault="00000000">
            <w:pPr>
              <w:spacing w:before="20" w:after="20"/>
              <w:jc w:val="both"/>
            </w:pPr>
            <w:r>
              <w:rPr>
                <w:sz w:val="18"/>
                <w:szCs w:val="18"/>
              </w:rPr>
              <w:t>Evidencia sinergia colaborativa, un riguroso control cruzado de la información y referencias cruzadas impecables.</w:t>
            </w:r>
          </w:p>
        </w:tc>
      </w:tr>
      <w:tr w:rsidR="00990B14" w14:paraId="2FB231CB" w14:textId="77777777">
        <w:trPr>
          <w:cantSplit/>
          <w:jc w:val="center"/>
        </w:trPr>
        <w:tc>
          <w:tcPr>
            <w:tcW w:w="1635" w:type="dxa"/>
            <w:vMerge/>
            <w:shd w:val="clear" w:color="auto" w:fill="4472C4"/>
            <w:vAlign w:val="center"/>
          </w:tcPr>
          <w:p w14:paraId="62D92A48" w14:textId="77777777" w:rsidR="00990B14" w:rsidRDefault="00990B14">
            <w:pPr>
              <w:spacing w:before="20" w:after="20"/>
            </w:pPr>
          </w:p>
        </w:tc>
        <w:tc>
          <w:tcPr>
            <w:tcW w:w="5755" w:type="dxa"/>
            <w:gridSpan w:val="3"/>
            <w:shd w:val="clear" w:color="auto" w:fill="D9E2F3"/>
            <w:vAlign w:val="center"/>
          </w:tcPr>
          <w:p w14:paraId="403803AB" w14:textId="77777777" w:rsidR="00990B14" w:rsidRDefault="00000000">
            <w:pPr>
              <w:keepNext/>
              <w:spacing w:before="20" w:after="20"/>
              <w:jc w:val="both"/>
            </w:pPr>
            <w:r>
              <w:rPr>
                <w:b/>
                <w:bCs/>
                <w:i/>
                <w:iCs/>
                <w:sz w:val="18"/>
                <w:szCs w:val="18"/>
              </w:rPr>
              <w:t xml:space="preserve">Producto 11: </w:t>
            </w:r>
            <w:r>
              <w:rPr>
                <w:sz w:val="18"/>
                <w:szCs w:val="18"/>
              </w:rPr>
              <w:t>Informe de procedimientos mínimos e Informe de Control Interno</w:t>
            </w:r>
          </w:p>
        </w:tc>
        <w:tc>
          <w:tcPr>
            <w:tcW w:w="2015" w:type="dxa"/>
            <w:shd w:val="clear" w:color="auto" w:fill="D9E2F3"/>
            <w:vAlign w:val="center"/>
          </w:tcPr>
          <w:p w14:paraId="3FF18619" w14:textId="77777777" w:rsidR="00990B14" w:rsidRDefault="00000000">
            <w:pPr>
              <w:spacing w:before="20" w:after="20"/>
              <w:jc w:val="center"/>
            </w:pPr>
            <w:r>
              <w:rPr>
                <w:b/>
                <w:bCs/>
                <w:sz w:val="18"/>
                <w:szCs w:val="18"/>
              </w:rPr>
              <w:t>11%</w:t>
            </w:r>
          </w:p>
        </w:tc>
      </w:tr>
      <w:tr w:rsidR="00990B14" w14:paraId="5E2BBD76" w14:textId="77777777">
        <w:trPr>
          <w:cantSplit/>
          <w:jc w:val="center"/>
        </w:trPr>
        <w:tc>
          <w:tcPr>
            <w:tcW w:w="1635" w:type="dxa"/>
            <w:vMerge/>
            <w:shd w:val="clear" w:color="auto" w:fill="4472C4"/>
            <w:vAlign w:val="center"/>
          </w:tcPr>
          <w:p w14:paraId="622D01E0" w14:textId="77777777" w:rsidR="00990B14" w:rsidRDefault="00990B14">
            <w:pPr>
              <w:spacing w:before="20" w:after="20"/>
            </w:pPr>
          </w:p>
        </w:tc>
        <w:tc>
          <w:tcPr>
            <w:tcW w:w="1830" w:type="dxa"/>
            <w:shd w:val="clear" w:color="auto" w:fill="4472C4"/>
            <w:vAlign w:val="center"/>
          </w:tcPr>
          <w:p w14:paraId="73ADD300"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6E84A507"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71BBEB76"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5144F9B0" w14:textId="77777777" w:rsidR="00990B14" w:rsidRDefault="00000000">
            <w:pPr>
              <w:keepNext/>
              <w:spacing w:before="20" w:after="20"/>
              <w:jc w:val="center"/>
            </w:pPr>
            <w:r>
              <w:rPr>
                <w:b/>
                <w:bCs/>
                <w:i/>
                <w:iCs/>
                <w:color w:val="FFFFFF"/>
                <w:sz w:val="18"/>
                <w:szCs w:val="18"/>
              </w:rPr>
              <w:t>Destacado (81–100)</w:t>
            </w:r>
          </w:p>
        </w:tc>
      </w:tr>
      <w:tr w:rsidR="00990B14" w14:paraId="795EE7F3" w14:textId="77777777">
        <w:trPr>
          <w:cantSplit/>
          <w:jc w:val="center"/>
        </w:trPr>
        <w:tc>
          <w:tcPr>
            <w:tcW w:w="1635" w:type="dxa"/>
            <w:vMerge/>
            <w:shd w:val="clear" w:color="auto" w:fill="4472C4"/>
            <w:vAlign w:val="center"/>
          </w:tcPr>
          <w:p w14:paraId="4F10409E" w14:textId="77777777" w:rsidR="00990B14" w:rsidRDefault="00990B14">
            <w:pPr>
              <w:spacing w:before="20" w:after="20"/>
            </w:pPr>
          </w:p>
        </w:tc>
        <w:tc>
          <w:tcPr>
            <w:tcW w:w="1830" w:type="dxa"/>
            <w:shd w:val="clear" w:color="auto" w:fill="D9E2F3"/>
            <w:vAlign w:val="center"/>
          </w:tcPr>
          <w:p w14:paraId="3D8BC4B1" w14:textId="77777777" w:rsidR="00990B14" w:rsidRDefault="00000000">
            <w:pPr>
              <w:spacing w:before="20" w:after="20"/>
              <w:jc w:val="both"/>
            </w:pPr>
            <w:r>
              <w:rPr>
                <w:sz w:val="18"/>
                <w:szCs w:val="18"/>
              </w:rPr>
              <w:t>Estructura y procedimientos</w:t>
            </w:r>
          </w:p>
        </w:tc>
        <w:tc>
          <w:tcPr>
            <w:tcW w:w="1910" w:type="dxa"/>
            <w:shd w:val="clear" w:color="auto" w:fill="D9E2F3"/>
            <w:vAlign w:val="center"/>
          </w:tcPr>
          <w:p w14:paraId="3605853B" w14:textId="77777777" w:rsidR="00990B14" w:rsidRDefault="00000000">
            <w:pPr>
              <w:spacing w:before="20" w:after="20"/>
              <w:jc w:val="both"/>
            </w:pPr>
            <w:r>
              <w:rPr>
                <w:sz w:val="18"/>
                <w:szCs w:val="18"/>
              </w:rPr>
              <w:t>Omite la estructura de los informes o detalla procedimientos genéricos sin relación con el caso.</w:t>
            </w:r>
          </w:p>
        </w:tc>
        <w:tc>
          <w:tcPr>
            <w:tcW w:w="2015" w:type="dxa"/>
            <w:shd w:val="clear" w:color="auto" w:fill="D9E2F3"/>
            <w:vAlign w:val="center"/>
          </w:tcPr>
          <w:p w14:paraId="0CD4F47D" w14:textId="77777777" w:rsidR="00990B14" w:rsidRDefault="00000000">
            <w:pPr>
              <w:spacing w:before="20" w:after="20"/>
              <w:jc w:val="both"/>
            </w:pPr>
            <w:r>
              <w:rPr>
                <w:sz w:val="18"/>
                <w:szCs w:val="18"/>
              </w:rPr>
              <w:t>Elabora el informe de procedimientos mínimos y de control interno detallando los procedimientos aplicados.</w:t>
            </w:r>
          </w:p>
        </w:tc>
        <w:tc>
          <w:tcPr>
            <w:tcW w:w="2015" w:type="dxa"/>
            <w:shd w:val="clear" w:color="auto" w:fill="D9E2F3"/>
            <w:vAlign w:val="center"/>
          </w:tcPr>
          <w:p w14:paraId="60B420E5" w14:textId="77777777" w:rsidR="00990B14" w:rsidRDefault="00000000">
            <w:pPr>
              <w:spacing w:before="20" w:after="20"/>
              <w:jc w:val="both"/>
            </w:pPr>
            <w:r>
              <w:rPr>
                <w:sz w:val="18"/>
                <w:szCs w:val="18"/>
              </w:rPr>
              <w:t>Estructura los informes bajo normativas vigentes, adaptando los procedimientos específicos al sector económico del contribuyente.</w:t>
            </w:r>
          </w:p>
        </w:tc>
      </w:tr>
      <w:tr w:rsidR="00990B14" w14:paraId="7B7FF797" w14:textId="77777777">
        <w:trPr>
          <w:cantSplit/>
          <w:jc w:val="center"/>
        </w:trPr>
        <w:tc>
          <w:tcPr>
            <w:tcW w:w="1635" w:type="dxa"/>
            <w:vMerge/>
            <w:shd w:val="clear" w:color="auto" w:fill="4472C4"/>
            <w:vAlign w:val="center"/>
          </w:tcPr>
          <w:p w14:paraId="48F551A8" w14:textId="77777777" w:rsidR="00990B14" w:rsidRDefault="00990B14">
            <w:pPr>
              <w:spacing w:before="20" w:after="20"/>
            </w:pPr>
          </w:p>
        </w:tc>
        <w:tc>
          <w:tcPr>
            <w:tcW w:w="1830" w:type="dxa"/>
            <w:shd w:val="clear" w:color="auto" w:fill="D9E2F3"/>
            <w:vAlign w:val="center"/>
          </w:tcPr>
          <w:p w14:paraId="064A87F4" w14:textId="77777777" w:rsidR="00990B14" w:rsidRDefault="00000000">
            <w:pPr>
              <w:spacing w:before="20" w:after="20"/>
              <w:jc w:val="both"/>
            </w:pPr>
            <w:r>
              <w:rPr>
                <w:sz w:val="18"/>
                <w:szCs w:val="18"/>
              </w:rPr>
              <w:t>Hallazgos y evidencia de respaldo</w:t>
            </w:r>
          </w:p>
        </w:tc>
        <w:tc>
          <w:tcPr>
            <w:tcW w:w="1910" w:type="dxa"/>
            <w:shd w:val="clear" w:color="auto" w:fill="D9E2F3"/>
            <w:vAlign w:val="center"/>
          </w:tcPr>
          <w:p w14:paraId="744E6105" w14:textId="77777777" w:rsidR="00990B14" w:rsidRDefault="00000000">
            <w:pPr>
              <w:spacing w:before="20" w:after="20"/>
              <w:jc w:val="both"/>
            </w:pPr>
            <w:r>
              <w:rPr>
                <w:sz w:val="18"/>
                <w:szCs w:val="18"/>
              </w:rPr>
              <w:t>Los hallazgos carecen de sustento documental o evidencia suficiente.</w:t>
            </w:r>
          </w:p>
        </w:tc>
        <w:tc>
          <w:tcPr>
            <w:tcW w:w="2015" w:type="dxa"/>
            <w:shd w:val="clear" w:color="auto" w:fill="D9E2F3"/>
            <w:vAlign w:val="center"/>
          </w:tcPr>
          <w:p w14:paraId="7DED04A8" w14:textId="77777777" w:rsidR="00990B14" w:rsidRDefault="00000000">
            <w:pPr>
              <w:spacing w:before="20" w:after="20"/>
              <w:jc w:val="both"/>
            </w:pPr>
            <w:r>
              <w:rPr>
                <w:sz w:val="18"/>
                <w:szCs w:val="18"/>
              </w:rPr>
              <w:t>Detalla los hallazgos obtenidos respaldándolos con la evidencia recolectada durante el proceso.</w:t>
            </w:r>
          </w:p>
        </w:tc>
        <w:tc>
          <w:tcPr>
            <w:tcW w:w="2015" w:type="dxa"/>
            <w:shd w:val="clear" w:color="auto" w:fill="D9E2F3"/>
            <w:vAlign w:val="center"/>
          </w:tcPr>
          <w:p w14:paraId="08D8AD60" w14:textId="77777777" w:rsidR="00990B14" w:rsidRDefault="00000000">
            <w:pPr>
              <w:spacing w:before="20" w:after="20"/>
              <w:jc w:val="both"/>
            </w:pPr>
            <w:r>
              <w:rPr>
                <w:sz w:val="18"/>
                <w:szCs w:val="18"/>
              </w:rPr>
              <w:t>Formula las conclusiones y recomendaciones constructivas y de alto valor agregado orientadas a corregir las debilidades detectadas.</w:t>
            </w:r>
          </w:p>
        </w:tc>
      </w:tr>
      <w:tr w:rsidR="00990B14" w14:paraId="1409D31F" w14:textId="77777777">
        <w:trPr>
          <w:cantSplit/>
          <w:jc w:val="center"/>
        </w:trPr>
        <w:tc>
          <w:tcPr>
            <w:tcW w:w="1635" w:type="dxa"/>
            <w:vMerge/>
            <w:shd w:val="clear" w:color="auto" w:fill="4472C4"/>
            <w:vAlign w:val="center"/>
          </w:tcPr>
          <w:p w14:paraId="774A5323" w14:textId="77777777" w:rsidR="00990B14" w:rsidRDefault="00990B14">
            <w:pPr>
              <w:spacing w:before="20" w:after="20"/>
            </w:pPr>
          </w:p>
        </w:tc>
        <w:tc>
          <w:tcPr>
            <w:tcW w:w="1830" w:type="dxa"/>
            <w:shd w:val="clear" w:color="auto" w:fill="D9E2F3"/>
            <w:vAlign w:val="center"/>
          </w:tcPr>
          <w:p w14:paraId="79646C82" w14:textId="77777777" w:rsidR="00990B14" w:rsidRDefault="00000000">
            <w:pPr>
              <w:spacing w:before="20" w:after="20"/>
              <w:jc w:val="both"/>
            </w:pPr>
            <w:r>
              <w:rPr>
                <w:sz w:val="18"/>
                <w:szCs w:val="18"/>
              </w:rPr>
              <w:t>Redacción y claridad técnica</w:t>
            </w:r>
          </w:p>
        </w:tc>
        <w:tc>
          <w:tcPr>
            <w:tcW w:w="1910" w:type="dxa"/>
            <w:shd w:val="clear" w:color="auto" w:fill="D9E2F3"/>
            <w:vAlign w:val="center"/>
          </w:tcPr>
          <w:p w14:paraId="1CA3AEBD" w14:textId="77777777" w:rsidR="00990B14" w:rsidRDefault="00000000">
            <w:pPr>
              <w:spacing w:before="20" w:after="20"/>
              <w:jc w:val="both"/>
            </w:pPr>
            <w:r>
              <w:rPr>
                <w:sz w:val="18"/>
                <w:szCs w:val="18"/>
              </w:rPr>
              <w:t>Presenta faltas de claridad, ambigüedades o errores conceptuales graves en la redacción.</w:t>
            </w:r>
          </w:p>
        </w:tc>
        <w:tc>
          <w:tcPr>
            <w:tcW w:w="2015" w:type="dxa"/>
            <w:shd w:val="clear" w:color="auto" w:fill="D9E2F3"/>
            <w:vAlign w:val="center"/>
          </w:tcPr>
          <w:p w14:paraId="4E7357B5" w14:textId="77777777" w:rsidR="00990B14" w:rsidRDefault="00000000">
            <w:pPr>
              <w:spacing w:before="20" w:after="20"/>
              <w:jc w:val="both"/>
            </w:pPr>
            <w:r>
              <w:rPr>
                <w:sz w:val="18"/>
                <w:szCs w:val="18"/>
              </w:rPr>
              <w:t>Presenta informes redactados con claridad, orden lógico y rigor técnico profesional.</w:t>
            </w:r>
          </w:p>
        </w:tc>
        <w:tc>
          <w:tcPr>
            <w:tcW w:w="2015" w:type="dxa"/>
            <w:shd w:val="clear" w:color="auto" w:fill="D9E2F3"/>
            <w:vAlign w:val="center"/>
          </w:tcPr>
          <w:p w14:paraId="39F8ACCC" w14:textId="77777777" w:rsidR="00990B14" w:rsidRDefault="00000000">
            <w:pPr>
              <w:spacing w:before="20" w:after="20"/>
              <w:jc w:val="both"/>
            </w:pPr>
            <w:r>
              <w:rPr>
                <w:sz w:val="18"/>
                <w:szCs w:val="18"/>
              </w:rPr>
              <w:t>Demuestra absoluta fluidez en la argumentación técnica, precisión en el lenguaje de auditoría y coherencia normativa.</w:t>
            </w:r>
          </w:p>
        </w:tc>
      </w:tr>
      <w:tr w:rsidR="00990B14" w14:paraId="05F390A8" w14:textId="77777777">
        <w:trPr>
          <w:cantSplit/>
          <w:jc w:val="center"/>
        </w:trPr>
        <w:tc>
          <w:tcPr>
            <w:tcW w:w="1635" w:type="dxa"/>
            <w:vMerge/>
            <w:shd w:val="clear" w:color="auto" w:fill="4472C4"/>
            <w:vAlign w:val="center"/>
          </w:tcPr>
          <w:p w14:paraId="57F50AE7" w14:textId="77777777" w:rsidR="00990B14" w:rsidRDefault="00990B14">
            <w:pPr>
              <w:spacing w:before="20" w:after="20"/>
            </w:pPr>
          </w:p>
        </w:tc>
        <w:tc>
          <w:tcPr>
            <w:tcW w:w="5755" w:type="dxa"/>
            <w:gridSpan w:val="3"/>
            <w:shd w:val="clear" w:color="auto" w:fill="D9E2F3"/>
            <w:vAlign w:val="center"/>
          </w:tcPr>
          <w:p w14:paraId="6EB0140F" w14:textId="77777777" w:rsidR="00990B14" w:rsidRDefault="00000000">
            <w:pPr>
              <w:keepNext/>
              <w:spacing w:before="20" w:after="20"/>
              <w:jc w:val="both"/>
            </w:pPr>
            <w:r>
              <w:rPr>
                <w:b/>
                <w:bCs/>
                <w:i/>
                <w:iCs/>
                <w:sz w:val="18"/>
                <w:szCs w:val="18"/>
              </w:rPr>
              <w:t xml:space="preserve">Producto 12: </w:t>
            </w:r>
            <w:r>
              <w:rPr>
                <w:sz w:val="18"/>
                <w:szCs w:val="18"/>
              </w:rPr>
              <w:t>Dictamen tributario</w:t>
            </w:r>
          </w:p>
        </w:tc>
        <w:tc>
          <w:tcPr>
            <w:tcW w:w="2015" w:type="dxa"/>
            <w:shd w:val="clear" w:color="auto" w:fill="D9E2F3"/>
            <w:vAlign w:val="center"/>
          </w:tcPr>
          <w:p w14:paraId="73FE82F9" w14:textId="77777777" w:rsidR="00990B14" w:rsidRDefault="00000000">
            <w:pPr>
              <w:spacing w:before="20" w:after="20"/>
              <w:jc w:val="center"/>
            </w:pPr>
            <w:r>
              <w:rPr>
                <w:b/>
                <w:bCs/>
                <w:sz w:val="18"/>
                <w:szCs w:val="18"/>
              </w:rPr>
              <w:t>12%</w:t>
            </w:r>
          </w:p>
        </w:tc>
      </w:tr>
      <w:tr w:rsidR="00990B14" w14:paraId="1C8CD26C" w14:textId="77777777">
        <w:trPr>
          <w:cantSplit/>
          <w:jc w:val="center"/>
        </w:trPr>
        <w:tc>
          <w:tcPr>
            <w:tcW w:w="1635" w:type="dxa"/>
            <w:vMerge/>
            <w:shd w:val="clear" w:color="auto" w:fill="4472C4"/>
            <w:vAlign w:val="center"/>
          </w:tcPr>
          <w:p w14:paraId="6C013CCB" w14:textId="77777777" w:rsidR="00990B14" w:rsidRDefault="00990B14">
            <w:pPr>
              <w:spacing w:before="20" w:after="20"/>
            </w:pPr>
          </w:p>
        </w:tc>
        <w:tc>
          <w:tcPr>
            <w:tcW w:w="1830" w:type="dxa"/>
            <w:shd w:val="clear" w:color="auto" w:fill="4472C4"/>
            <w:vAlign w:val="center"/>
          </w:tcPr>
          <w:p w14:paraId="068627B1"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63AD7329" w14:textId="77777777" w:rsidR="00990B14" w:rsidRDefault="00000000">
            <w:pPr>
              <w:keepNext/>
              <w:spacing w:before="20" w:after="20"/>
              <w:jc w:val="center"/>
            </w:pPr>
            <w:r>
              <w:rPr>
                <w:b/>
                <w:bCs/>
                <w:i/>
                <w:iCs/>
                <w:color w:val="FFFFFF"/>
                <w:sz w:val="18"/>
                <w:szCs w:val="18"/>
              </w:rPr>
              <w:t>Insuficiente (1–50)</w:t>
            </w:r>
          </w:p>
        </w:tc>
        <w:tc>
          <w:tcPr>
            <w:tcW w:w="2015" w:type="dxa"/>
            <w:shd w:val="clear" w:color="auto" w:fill="4472C4"/>
            <w:vAlign w:val="center"/>
          </w:tcPr>
          <w:p w14:paraId="1027DF23"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64A80320" w14:textId="77777777" w:rsidR="00990B14" w:rsidRDefault="00000000">
            <w:pPr>
              <w:keepNext/>
              <w:spacing w:before="20" w:after="20"/>
              <w:jc w:val="center"/>
            </w:pPr>
            <w:r>
              <w:rPr>
                <w:b/>
                <w:bCs/>
                <w:i/>
                <w:iCs/>
                <w:color w:val="FFFFFF"/>
                <w:sz w:val="18"/>
                <w:szCs w:val="18"/>
              </w:rPr>
              <w:t>Destacado (81–100)</w:t>
            </w:r>
          </w:p>
        </w:tc>
      </w:tr>
      <w:tr w:rsidR="00990B14" w14:paraId="6B450D1F" w14:textId="77777777">
        <w:trPr>
          <w:cantSplit/>
          <w:jc w:val="center"/>
        </w:trPr>
        <w:tc>
          <w:tcPr>
            <w:tcW w:w="1635" w:type="dxa"/>
            <w:vMerge/>
            <w:shd w:val="clear" w:color="auto" w:fill="4472C4"/>
            <w:vAlign w:val="center"/>
          </w:tcPr>
          <w:p w14:paraId="61712D02" w14:textId="77777777" w:rsidR="00990B14" w:rsidRDefault="00990B14">
            <w:pPr>
              <w:spacing w:before="20" w:after="20"/>
            </w:pPr>
          </w:p>
        </w:tc>
        <w:tc>
          <w:tcPr>
            <w:tcW w:w="1830" w:type="dxa"/>
            <w:shd w:val="clear" w:color="auto" w:fill="D9E2F3"/>
            <w:vAlign w:val="center"/>
          </w:tcPr>
          <w:p w14:paraId="4DD89345" w14:textId="77777777" w:rsidR="00990B14" w:rsidRDefault="00000000">
            <w:pPr>
              <w:spacing w:before="20" w:after="20"/>
              <w:jc w:val="both"/>
            </w:pPr>
            <w:r>
              <w:rPr>
                <w:sz w:val="18"/>
                <w:szCs w:val="18"/>
              </w:rPr>
              <w:t>Estructura y opinión técnica</w:t>
            </w:r>
          </w:p>
        </w:tc>
        <w:tc>
          <w:tcPr>
            <w:tcW w:w="1910" w:type="dxa"/>
            <w:shd w:val="clear" w:color="auto" w:fill="D9E2F3"/>
            <w:vAlign w:val="center"/>
          </w:tcPr>
          <w:p w14:paraId="0896AD57" w14:textId="77777777" w:rsidR="00990B14" w:rsidRDefault="00000000">
            <w:pPr>
              <w:spacing w:before="20" w:after="20"/>
              <w:jc w:val="both"/>
            </w:pPr>
            <w:r>
              <w:rPr>
                <w:sz w:val="18"/>
                <w:szCs w:val="18"/>
              </w:rPr>
              <w:t>El dictamen omite secciones obligatorias o emite una opinión sin fundamento empírico.</w:t>
            </w:r>
          </w:p>
        </w:tc>
        <w:tc>
          <w:tcPr>
            <w:tcW w:w="2015" w:type="dxa"/>
            <w:shd w:val="clear" w:color="auto" w:fill="D9E2F3"/>
            <w:vAlign w:val="center"/>
          </w:tcPr>
          <w:p w14:paraId="17848BF8" w14:textId="77777777" w:rsidR="00990B14" w:rsidRDefault="00000000">
            <w:pPr>
              <w:spacing w:before="20" w:after="20"/>
              <w:jc w:val="both"/>
            </w:pPr>
            <w:r>
              <w:rPr>
                <w:sz w:val="18"/>
                <w:szCs w:val="18"/>
              </w:rPr>
              <w:t>Elabora el Dictamen tributario incorporando las conclusiones formales sobre la situación fiscal del Sujeto Pasivo.</w:t>
            </w:r>
          </w:p>
        </w:tc>
        <w:tc>
          <w:tcPr>
            <w:tcW w:w="2015" w:type="dxa"/>
            <w:shd w:val="clear" w:color="auto" w:fill="D9E2F3"/>
            <w:vAlign w:val="center"/>
          </w:tcPr>
          <w:p w14:paraId="52FA66C2" w14:textId="77777777" w:rsidR="00990B14" w:rsidRDefault="00000000">
            <w:pPr>
              <w:spacing w:before="20" w:after="20"/>
              <w:jc w:val="both"/>
            </w:pPr>
            <w:r>
              <w:rPr>
                <w:sz w:val="18"/>
                <w:szCs w:val="18"/>
              </w:rPr>
              <w:t>Fundamenta de manera impecable el tipo de opinión emitida, integrando de forma sistémica los resultados de la fiscalización y la ITC.</w:t>
            </w:r>
          </w:p>
        </w:tc>
      </w:tr>
      <w:tr w:rsidR="00990B14" w14:paraId="7CFF8871" w14:textId="77777777">
        <w:trPr>
          <w:cantSplit/>
          <w:jc w:val="center"/>
        </w:trPr>
        <w:tc>
          <w:tcPr>
            <w:tcW w:w="1635" w:type="dxa"/>
            <w:vMerge/>
            <w:shd w:val="clear" w:color="auto" w:fill="4472C4"/>
            <w:vAlign w:val="center"/>
          </w:tcPr>
          <w:p w14:paraId="531546A3" w14:textId="77777777" w:rsidR="00990B14" w:rsidRDefault="00990B14">
            <w:pPr>
              <w:spacing w:before="20" w:after="20"/>
            </w:pPr>
          </w:p>
        </w:tc>
        <w:tc>
          <w:tcPr>
            <w:tcW w:w="1830" w:type="dxa"/>
            <w:shd w:val="clear" w:color="auto" w:fill="D9E2F3"/>
            <w:vAlign w:val="center"/>
          </w:tcPr>
          <w:p w14:paraId="7243B61A" w14:textId="77777777" w:rsidR="00990B14" w:rsidRDefault="00000000">
            <w:pPr>
              <w:spacing w:before="20" w:after="20"/>
              <w:jc w:val="both"/>
            </w:pPr>
            <w:r>
              <w:rPr>
                <w:sz w:val="18"/>
                <w:szCs w:val="18"/>
              </w:rPr>
              <w:t>Cumplimiento de normas profesionales</w:t>
            </w:r>
          </w:p>
        </w:tc>
        <w:tc>
          <w:tcPr>
            <w:tcW w:w="1910" w:type="dxa"/>
            <w:shd w:val="clear" w:color="auto" w:fill="D9E2F3"/>
            <w:vAlign w:val="center"/>
          </w:tcPr>
          <w:p w14:paraId="2AADE9F3" w14:textId="77777777" w:rsidR="00990B14" w:rsidRDefault="00000000">
            <w:pPr>
              <w:spacing w:before="20" w:after="20"/>
              <w:jc w:val="both"/>
            </w:pPr>
            <w:r>
              <w:rPr>
                <w:sz w:val="18"/>
                <w:szCs w:val="18"/>
              </w:rPr>
              <w:t>Desatiende la aplicación normativa tributaria.</w:t>
            </w:r>
          </w:p>
        </w:tc>
        <w:tc>
          <w:tcPr>
            <w:tcW w:w="2015" w:type="dxa"/>
            <w:shd w:val="clear" w:color="auto" w:fill="D9E2F3"/>
            <w:vAlign w:val="center"/>
          </w:tcPr>
          <w:p w14:paraId="6CF4D555" w14:textId="77777777" w:rsidR="00990B14" w:rsidRDefault="00000000">
            <w:pPr>
              <w:spacing w:before="20" w:after="20"/>
              <w:jc w:val="both"/>
            </w:pPr>
            <w:r>
              <w:rPr>
                <w:sz w:val="18"/>
                <w:szCs w:val="18"/>
              </w:rPr>
              <w:t>Aplica las normas de auditoría y disposiciones normativas vigentes en la formulación del dictamen.</w:t>
            </w:r>
          </w:p>
        </w:tc>
        <w:tc>
          <w:tcPr>
            <w:tcW w:w="2015" w:type="dxa"/>
            <w:shd w:val="clear" w:color="auto" w:fill="D9E2F3"/>
            <w:vAlign w:val="center"/>
          </w:tcPr>
          <w:p w14:paraId="07A917B7" w14:textId="77777777" w:rsidR="00990B14" w:rsidRDefault="00000000">
            <w:pPr>
              <w:spacing w:before="20" w:after="20"/>
              <w:jc w:val="both"/>
            </w:pPr>
            <w:r>
              <w:rPr>
                <w:sz w:val="18"/>
                <w:szCs w:val="18"/>
              </w:rPr>
              <w:t>Interpreta y aplica de forma avanzada las normativas técnicas nacionales vigentes para la emisión de dictámenes especializados.</w:t>
            </w:r>
          </w:p>
        </w:tc>
      </w:tr>
      <w:tr w:rsidR="00990B14" w14:paraId="2D1B34EA" w14:textId="77777777">
        <w:trPr>
          <w:cantSplit/>
          <w:jc w:val="center"/>
        </w:trPr>
        <w:tc>
          <w:tcPr>
            <w:tcW w:w="1635" w:type="dxa"/>
            <w:vMerge/>
            <w:shd w:val="clear" w:color="auto" w:fill="4472C4"/>
            <w:vAlign w:val="center"/>
          </w:tcPr>
          <w:p w14:paraId="72224365" w14:textId="77777777" w:rsidR="00990B14" w:rsidRDefault="00990B14">
            <w:pPr>
              <w:spacing w:before="20" w:after="20"/>
            </w:pPr>
          </w:p>
        </w:tc>
        <w:tc>
          <w:tcPr>
            <w:tcW w:w="1830" w:type="dxa"/>
            <w:shd w:val="clear" w:color="auto" w:fill="D9E2F3"/>
            <w:vAlign w:val="center"/>
          </w:tcPr>
          <w:p w14:paraId="27806CB5" w14:textId="77777777" w:rsidR="00990B14" w:rsidRDefault="00000000">
            <w:pPr>
              <w:spacing w:before="20" w:after="20"/>
              <w:jc w:val="both"/>
            </w:pPr>
            <w:r>
              <w:rPr>
                <w:sz w:val="18"/>
                <w:szCs w:val="18"/>
              </w:rPr>
              <w:t>Validación técnica y tecnológica</w:t>
            </w:r>
          </w:p>
        </w:tc>
        <w:tc>
          <w:tcPr>
            <w:tcW w:w="1910" w:type="dxa"/>
            <w:shd w:val="clear" w:color="auto" w:fill="D9E2F3"/>
            <w:vAlign w:val="center"/>
          </w:tcPr>
          <w:p w14:paraId="04D72EB4" w14:textId="77777777" w:rsidR="00990B14" w:rsidRDefault="00000000">
            <w:pPr>
              <w:spacing w:before="20" w:after="20"/>
              <w:jc w:val="both"/>
            </w:pPr>
            <w:r>
              <w:rPr>
                <w:sz w:val="18"/>
                <w:szCs w:val="18"/>
              </w:rPr>
              <w:t>Desconoce el entorno de presentación digital.</w:t>
            </w:r>
          </w:p>
        </w:tc>
        <w:tc>
          <w:tcPr>
            <w:tcW w:w="2015" w:type="dxa"/>
            <w:shd w:val="clear" w:color="auto" w:fill="D9E2F3"/>
            <w:vAlign w:val="center"/>
          </w:tcPr>
          <w:p w14:paraId="4E2765CA" w14:textId="77777777" w:rsidR="00990B14" w:rsidRDefault="00000000">
            <w:pPr>
              <w:spacing w:before="20" w:after="20"/>
              <w:jc w:val="both"/>
            </w:pPr>
            <w:r>
              <w:rPr>
                <w:sz w:val="18"/>
                <w:szCs w:val="18"/>
              </w:rPr>
              <w:t>Considera los aspectos formales de presentación del dictamen ante los entes reguladores.</w:t>
            </w:r>
          </w:p>
        </w:tc>
        <w:tc>
          <w:tcPr>
            <w:tcW w:w="2015" w:type="dxa"/>
            <w:shd w:val="clear" w:color="auto" w:fill="D9E2F3"/>
            <w:vAlign w:val="center"/>
          </w:tcPr>
          <w:p w14:paraId="5878CB47" w14:textId="77777777" w:rsidR="00990B14" w:rsidRDefault="00000000">
            <w:pPr>
              <w:spacing w:before="20" w:after="20"/>
              <w:jc w:val="both"/>
            </w:pPr>
            <w:r>
              <w:rPr>
                <w:sz w:val="18"/>
                <w:szCs w:val="18"/>
              </w:rPr>
              <w:t>Valida con criterio profesional estricto los resultados procesados con apoyo tecnológico y digitaliza correctamente el dictamen, conforme a los requerimientos del SIAT en Línea.</w:t>
            </w:r>
          </w:p>
        </w:tc>
      </w:tr>
      <w:tr w:rsidR="00990B14" w14:paraId="3CE5B5E1" w14:textId="77777777">
        <w:trPr>
          <w:cantSplit/>
          <w:jc w:val="center"/>
        </w:trPr>
        <w:tc>
          <w:tcPr>
            <w:tcW w:w="7390" w:type="dxa"/>
            <w:gridSpan w:val="4"/>
            <w:shd w:val="clear" w:color="auto" w:fill="4472C4"/>
            <w:vAlign w:val="center"/>
          </w:tcPr>
          <w:p w14:paraId="07C9D1D9" w14:textId="77777777" w:rsidR="00990B14" w:rsidRDefault="00000000">
            <w:pPr>
              <w:keepNext/>
              <w:spacing w:before="20" w:after="20"/>
              <w:jc w:val="center"/>
            </w:pPr>
            <w:r>
              <w:rPr>
                <w:b/>
                <w:bCs/>
                <w:i/>
                <w:iCs/>
                <w:color w:val="FFFFFF"/>
                <w:sz w:val="18"/>
                <w:szCs w:val="18"/>
              </w:rPr>
              <w:t>TOTAL</w:t>
            </w:r>
          </w:p>
        </w:tc>
        <w:tc>
          <w:tcPr>
            <w:tcW w:w="2015" w:type="dxa"/>
            <w:shd w:val="clear" w:color="auto" w:fill="4472C4"/>
            <w:vAlign w:val="center"/>
          </w:tcPr>
          <w:p w14:paraId="64842754" w14:textId="77777777" w:rsidR="00990B14" w:rsidRDefault="00000000">
            <w:pPr>
              <w:keepNext/>
              <w:spacing w:before="20" w:after="20"/>
              <w:jc w:val="center"/>
            </w:pPr>
            <w:r>
              <w:rPr>
                <w:b/>
                <w:bCs/>
                <w:i/>
                <w:iCs/>
                <w:color w:val="FFFFFF"/>
                <w:sz w:val="18"/>
                <w:szCs w:val="18"/>
              </w:rPr>
              <w:t>100%</w:t>
            </w:r>
          </w:p>
        </w:tc>
      </w:tr>
    </w:tbl>
    <w:p w14:paraId="537F55F3"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9405"/>
      </w:tblGrid>
      <w:tr w:rsidR="00990B14" w14:paraId="44D8613B" w14:textId="77777777">
        <w:trPr>
          <w:jc w:val="center"/>
        </w:trPr>
        <w:tc>
          <w:tcPr>
            <w:tcW w:w="9405" w:type="dxa"/>
            <w:shd w:val="clear" w:color="auto" w:fill="D9E2F3"/>
          </w:tcPr>
          <w:p w14:paraId="5711239E" w14:textId="77777777" w:rsidR="00990B14" w:rsidRDefault="00000000">
            <w:pPr>
              <w:spacing w:before="40" w:after="40"/>
              <w:jc w:val="both"/>
            </w:pPr>
            <w:r>
              <w:rPr>
                <w:b/>
                <w:bCs/>
                <w:i/>
                <w:iCs/>
                <w:sz w:val="18"/>
                <w:szCs w:val="18"/>
              </w:rPr>
              <w:t>Bibliografía básica:</w:t>
            </w:r>
          </w:p>
          <w:p w14:paraId="47904428" w14:textId="77777777" w:rsidR="00990B14" w:rsidRDefault="00000000">
            <w:pPr>
              <w:numPr>
                <w:ilvl w:val="0"/>
                <w:numId w:val="140"/>
              </w:numPr>
              <w:spacing w:after="20"/>
              <w:jc w:val="both"/>
            </w:pPr>
            <w:r>
              <w:rPr>
                <w:sz w:val="18"/>
                <w:szCs w:val="18"/>
              </w:rPr>
              <w:t xml:space="preserve">Álvarez Laura, M. y Mora Miranda, C. R. (2017). </w:t>
            </w:r>
            <w:r>
              <w:rPr>
                <w:i/>
                <w:iCs/>
                <w:sz w:val="18"/>
                <w:szCs w:val="18"/>
              </w:rPr>
              <w:t>Jurisprudencia Tributaria para el IVA, IT, IUE y RC-IVA</w:t>
            </w:r>
            <w:r>
              <w:rPr>
                <w:sz w:val="18"/>
                <w:szCs w:val="18"/>
              </w:rPr>
              <w:t>. 1.ª ed. Editorial San José.</w:t>
            </w:r>
          </w:p>
          <w:p w14:paraId="0493919F" w14:textId="77777777" w:rsidR="00990B14" w:rsidRDefault="00000000">
            <w:pPr>
              <w:numPr>
                <w:ilvl w:val="0"/>
                <w:numId w:val="140"/>
              </w:numPr>
              <w:spacing w:after="20"/>
              <w:jc w:val="both"/>
            </w:pPr>
            <w:r>
              <w:rPr>
                <w:sz w:val="18"/>
                <w:szCs w:val="18"/>
              </w:rPr>
              <w:t xml:space="preserve">Catalán Mollinedo, T. O. (2019). </w:t>
            </w:r>
            <w:r>
              <w:rPr>
                <w:i/>
                <w:iCs/>
                <w:sz w:val="18"/>
                <w:szCs w:val="18"/>
              </w:rPr>
              <w:t>Enfoque de Auditoría Tributaria</w:t>
            </w:r>
            <w:r>
              <w:rPr>
                <w:sz w:val="18"/>
                <w:szCs w:val="18"/>
              </w:rPr>
              <w:t>. 1.ª ed. Offspring Gráfica.</w:t>
            </w:r>
          </w:p>
          <w:p w14:paraId="2C462122" w14:textId="77777777" w:rsidR="00990B14" w:rsidRDefault="00000000">
            <w:pPr>
              <w:numPr>
                <w:ilvl w:val="0"/>
                <w:numId w:val="140"/>
              </w:numPr>
              <w:spacing w:after="20"/>
              <w:jc w:val="both"/>
            </w:pPr>
            <w:r>
              <w:rPr>
                <w:sz w:val="18"/>
                <w:szCs w:val="18"/>
              </w:rPr>
              <w:t xml:space="preserve">Colegio de Auditores o Contadores Públicos de Bolivia, CAUB – Consejo Técnico Nacional de Auditoría y Contabilidad, CTNAC (2023). </w:t>
            </w:r>
            <w:r>
              <w:rPr>
                <w:i/>
                <w:iCs/>
                <w:sz w:val="18"/>
                <w:szCs w:val="18"/>
              </w:rPr>
              <w:t>Compendio de Normas de Contabilidad y Auditoría</w:t>
            </w:r>
            <w:r>
              <w:rPr>
                <w:sz w:val="18"/>
                <w:szCs w:val="18"/>
              </w:rPr>
              <w:t>. Santa Cruz – Bolivia.</w:t>
            </w:r>
          </w:p>
          <w:p w14:paraId="1971DAD0" w14:textId="77777777" w:rsidR="00990B14" w:rsidRDefault="00000000">
            <w:pPr>
              <w:numPr>
                <w:ilvl w:val="0"/>
                <w:numId w:val="140"/>
              </w:numPr>
              <w:spacing w:after="20"/>
              <w:jc w:val="both"/>
            </w:pPr>
            <w:r>
              <w:rPr>
                <w:sz w:val="18"/>
                <w:szCs w:val="18"/>
              </w:rPr>
              <w:t xml:space="preserve">López Mamani, E. (2021). </w:t>
            </w:r>
            <w:r>
              <w:rPr>
                <w:i/>
                <w:iCs/>
                <w:sz w:val="18"/>
                <w:szCs w:val="18"/>
              </w:rPr>
              <w:t>Auditoría Impositiva o Fiscal</w:t>
            </w:r>
            <w:r>
              <w:rPr>
                <w:sz w:val="18"/>
                <w:szCs w:val="18"/>
              </w:rPr>
              <w:t>. Servicios Gráficos Punto &amp; Imagen.</w:t>
            </w:r>
          </w:p>
          <w:p w14:paraId="3FE41FA6" w14:textId="77777777" w:rsidR="00990B14" w:rsidRDefault="00000000">
            <w:pPr>
              <w:numPr>
                <w:ilvl w:val="0"/>
                <w:numId w:val="140"/>
              </w:numPr>
              <w:spacing w:after="20"/>
              <w:jc w:val="both"/>
            </w:pPr>
            <w:r>
              <w:rPr>
                <w:sz w:val="18"/>
                <w:szCs w:val="18"/>
              </w:rPr>
              <w:t xml:space="preserve">Peláez Mariscal, V. D. y Gonzales Alanes, C. E. (2021). </w:t>
            </w:r>
            <w:r>
              <w:rPr>
                <w:i/>
                <w:iCs/>
                <w:sz w:val="18"/>
                <w:szCs w:val="18"/>
              </w:rPr>
              <w:t>Informes de Auditoría de Estados Financieros</w:t>
            </w:r>
            <w:r>
              <w:rPr>
                <w:sz w:val="18"/>
                <w:szCs w:val="18"/>
              </w:rPr>
              <w:t>. 1.ª ed. Alanes Art.</w:t>
            </w:r>
          </w:p>
          <w:p w14:paraId="2D9F0516" w14:textId="77777777" w:rsidR="00990B14" w:rsidRDefault="00000000">
            <w:pPr>
              <w:numPr>
                <w:ilvl w:val="0"/>
                <w:numId w:val="140"/>
              </w:numPr>
              <w:spacing w:after="20"/>
              <w:jc w:val="both"/>
            </w:pPr>
            <w:r>
              <w:rPr>
                <w:sz w:val="18"/>
                <w:szCs w:val="18"/>
              </w:rPr>
              <w:t xml:space="preserve">Servicio de Impuestos Nacionales (2026). </w:t>
            </w:r>
            <w:r>
              <w:rPr>
                <w:i/>
                <w:iCs/>
                <w:sz w:val="18"/>
                <w:szCs w:val="18"/>
              </w:rPr>
              <w:t>Ley 843 y Decretos Reglamentarios. Texto ordenado, complementado y actualizado</w:t>
            </w:r>
            <w:r>
              <w:rPr>
                <w:sz w:val="18"/>
                <w:szCs w:val="18"/>
              </w:rPr>
              <w:t>. Departamento de Servicio al Contribuyente, Libros Digitales.</w:t>
            </w:r>
          </w:p>
          <w:p w14:paraId="4892F868" w14:textId="77777777" w:rsidR="00990B14" w:rsidRDefault="00000000">
            <w:pPr>
              <w:numPr>
                <w:ilvl w:val="0"/>
                <w:numId w:val="140"/>
              </w:numPr>
              <w:spacing w:after="20"/>
              <w:jc w:val="both"/>
            </w:pPr>
            <w:r>
              <w:rPr>
                <w:sz w:val="18"/>
                <w:szCs w:val="18"/>
              </w:rPr>
              <w:t xml:space="preserve">Servicio de Impuestos Nacionales (2026). </w:t>
            </w:r>
            <w:r>
              <w:rPr>
                <w:i/>
                <w:iCs/>
                <w:sz w:val="18"/>
                <w:szCs w:val="18"/>
              </w:rPr>
              <w:t>Ley 2492 Código Tributario Boliviano y Decretos Reglamentarios. Texto ordenado, complementado y actualizado</w:t>
            </w:r>
            <w:r>
              <w:rPr>
                <w:sz w:val="18"/>
                <w:szCs w:val="18"/>
              </w:rPr>
              <w:t>. Departamento de Servicio al Contribuyente, Libros Digitales.</w:t>
            </w:r>
          </w:p>
          <w:p w14:paraId="49507856" w14:textId="77777777" w:rsidR="00990B14" w:rsidRDefault="00000000">
            <w:pPr>
              <w:numPr>
                <w:ilvl w:val="0"/>
                <w:numId w:val="140"/>
              </w:numPr>
              <w:spacing w:after="20"/>
              <w:jc w:val="both"/>
            </w:pPr>
            <w:r>
              <w:rPr>
                <w:sz w:val="18"/>
                <w:szCs w:val="18"/>
              </w:rPr>
              <w:t xml:space="preserve">Servicio de Impuestos Nacionales. </w:t>
            </w:r>
            <w:r>
              <w:rPr>
                <w:i/>
                <w:iCs/>
                <w:sz w:val="18"/>
                <w:szCs w:val="18"/>
              </w:rPr>
              <w:t>Resoluciones Normativas de Directorio</w:t>
            </w:r>
            <w:r>
              <w:rPr>
                <w:sz w:val="18"/>
                <w:szCs w:val="18"/>
              </w:rPr>
              <w:t>. www.impuestos.gob.bo</w:t>
            </w:r>
          </w:p>
          <w:p w14:paraId="2F254AD1" w14:textId="77777777" w:rsidR="00990B14" w:rsidRDefault="00000000">
            <w:pPr>
              <w:numPr>
                <w:ilvl w:val="0"/>
                <w:numId w:val="140"/>
              </w:numPr>
              <w:spacing w:after="20"/>
              <w:jc w:val="both"/>
            </w:pPr>
            <w:r>
              <w:rPr>
                <w:sz w:val="18"/>
                <w:szCs w:val="18"/>
              </w:rPr>
              <w:t>Sitio web de la Aduana Nacional de Bolivia: www.aduana.gob.bo</w:t>
            </w:r>
          </w:p>
          <w:p w14:paraId="44B40A05" w14:textId="77777777" w:rsidR="00990B14" w:rsidRDefault="00000000">
            <w:pPr>
              <w:numPr>
                <w:ilvl w:val="0"/>
                <w:numId w:val="140"/>
              </w:numPr>
              <w:spacing w:after="20"/>
              <w:jc w:val="both"/>
            </w:pPr>
            <w:r>
              <w:rPr>
                <w:sz w:val="18"/>
                <w:szCs w:val="18"/>
              </w:rPr>
              <w:t>Sitio web de la Autoridad de Impugnación Tributaria: www.ait.gob.bo</w:t>
            </w:r>
          </w:p>
          <w:p w14:paraId="49F13057" w14:textId="77777777" w:rsidR="00990B14" w:rsidRDefault="00000000">
            <w:pPr>
              <w:numPr>
                <w:ilvl w:val="0"/>
                <w:numId w:val="140"/>
              </w:numPr>
              <w:spacing w:after="20"/>
              <w:jc w:val="both"/>
            </w:pPr>
            <w:r>
              <w:rPr>
                <w:sz w:val="18"/>
                <w:szCs w:val="18"/>
              </w:rPr>
              <w:t>Sitio web del Servicio de Impuestos Nacionales: www.impuestos.gob.bo</w:t>
            </w:r>
          </w:p>
        </w:tc>
      </w:tr>
      <w:tr w:rsidR="00990B14" w14:paraId="17445B39" w14:textId="77777777">
        <w:trPr>
          <w:jc w:val="center"/>
        </w:trPr>
        <w:tc>
          <w:tcPr>
            <w:tcW w:w="9405" w:type="dxa"/>
            <w:shd w:val="clear" w:color="auto" w:fill="D9E2F3"/>
          </w:tcPr>
          <w:p w14:paraId="3C16F64A" w14:textId="77777777" w:rsidR="00990B14" w:rsidRDefault="00000000">
            <w:pPr>
              <w:spacing w:before="40" w:after="40"/>
              <w:jc w:val="both"/>
            </w:pPr>
            <w:r>
              <w:rPr>
                <w:b/>
                <w:bCs/>
                <w:i/>
                <w:iCs/>
                <w:sz w:val="18"/>
                <w:szCs w:val="18"/>
              </w:rPr>
              <w:t>Bibliografía complementaria:</w:t>
            </w:r>
          </w:p>
          <w:p w14:paraId="57F35743" w14:textId="77777777" w:rsidR="00990B14" w:rsidRDefault="00000000">
            <w:pPr>
              <w:numPr>
                <w:ilvl w:val="0"/>
                <w:numId w:val="140"/>
              </w:numPr>
              <w:spacing w:after="20"/>
              <w:jc w:val="both"/>
            </w:pPr>
            <w:r>
              <w:rPr>
                <w:sz w:val="18"/>
                <w:szCs w:val="18"/>
              </w:rPr>
              <w:t xml:space="preserve">Gonzales Alanes, C. E. (2022). </w:t>
            </w:r>
            <w:r>
              <w:rPr>
                <w:i/>
                <w:iCs/>
                <w:sz w:val="18"/>
                <w:szCs w:val="18"/>
              </w:rPr>
              <w:t>Marco Normativo para la preparación de la Información Financiera en Bolivia</w:t>
            </w:r>
            <w:r>
              <w:rPr>
                <w:sz w:val="18"/>
                <w:szCs w:val="18"/>
              </w:rPr>
              <w:t>. 5.ª ed. Alanes Art.</w:t>
            </w:r>
          </w:p>
          <w:p w14:paraId="2D679223" w14:textId="77777777" w:rsidR="00990B14" w:rsidRDefault="00000000">
            <w:pPr>
              <w:numPr>
                <w:ilvl w:val="0"/>
                <w:numId w:val="140"/>
              </w:numPr>
              <w:spacing w:after="20"/>
              <w:jc w:val="both"/>
            </w:pPr>
            <w:r>
              <w:rPr>
                <w:sz w:val="18"/>
                <w:szCs w:val="18"/>
              </w:rPr>
              <w:t xml:space="preserve">León Huayanca, M. (2019). </w:t>
            </w:r>
            <w:r>
              <w:rPr>
                <w:i/>
                <w:iCs/>
                <w:sz w:val="18"/>
                <w:szCs w:val="18"/>
              </w:rPr>
              <w:t>Auditoría Tributaria Preventiva y Procedimientos de Fiscalización</w:t>
            </w:r>
            <w:r>
              <w:rPr>
                <w:sz w:val="18"/>
                <w:szCs w:val="18"/>
              </w:rPr>
              <w:t>. Perú: Instituto Pacífico.</w:t>
            </w:r>
          </w:p>
          <w:p w14:paraId="795E18A9" w14:textId="77777777" w:rsidR="00990B14" w:rsidRDefault="00000000">
            <w:pPr>
              <w:numPr>
                <w:ilvl w:val="0"/>
                <w:numId w:val="140"/>
              </w:numPr>
              <w:spacing w:after="20"/>
              <w:jc w:val="both"/>
            </w:pPr>
            <w:r>
              <w:rPr>
                <w:sz w:val="18"/>
                <w:szCs w:val="18"/>
              </w:rPr>
              <w:t xml:space="preserve">Peña Céspedes, A. (s.f.). </w:t>
            </w:r>
            <w:r>
              <w:rPr>
                <w:i/>
                <w:iCs/>
                <w:sz w:val="18"/>
                <w:szCs w:val="18"/>
              </w:rPr>
              <w:t>Sistema Tributario Boliviano</w:t>
            </w:r>
            <w:r>
              <w:rPr>
                <w:sz w:val="18"/>
                <w:szCs w:val="18"/>
              </w:rPr>
              <w:t>. Cochabamba – Bolivia.</w:t>
            </w:r>
          </w:p>
          <w:p w14:paraId="29E50455" w14:textId="77777777" w:rsidR="00990B14" w:rsidRDefault="00000000">
            <w:pPr>
              <w:numPr>
                <w:ilvl w:val="0"/>
                <w:numId w:val="140"/>
              </w:numPr>
              <w:spacing w:after="20"/>
              <w:jc w:val="both"/>
            </w:pPr>
            <w:r>
              <w:rPr>
                <w:sz w:val="18"/>
                <w:szCs w:val="18"/>
              </w:rPr>
              <w:t xml:space="preserve">Plazas Vega, M. (s.f.). </w:t>
            </w:r>
            <w:r>
              <w:rPr>
                <w:i/>
                <w:iCs/>
                <w:sz w:val="18"/>
                <w:szCs w:val="18"/>
              </w:rPr>
              <w:t>Hacienda Pública y Derecho Tributario</w:t>
            </w:r>
            <w:r>
              <w:rPr>
                <w:sz w:val="18"/>
                <w:szCs w:val="18"/>
              </w:rPr>
              <w:t>.</w:t>
            </w:r>
          </w:p>
          <w:p w14:paraId="51E3EAF3" w14:textId="77777777" w:rsidR="00990B14" w:rsidRDefault="00000000">
            <w:pPr>
              <w:numPr>
                <w:ilvl w:val="0"/>
                <w:numId w:val="140"/>
              </w:numPr>
              <w:spacing w:after="20"/>
              <w:jc w:val="both"/>
            </w:pPr>
            <w:r>
              <w:rPr>
                <w:sz w:val="18"/>
                <w:szCs w:val="18"/>
              </w:rPr>
              <w:t xml:space="preserve">Reinaga Burgos, G. (s.f.). </w:t>
            </w:r>
            <w:r>
              <w:rPr>
                <w:i/>
                <w:iCs/>
                <w:sz w:val="18"/>
                <w:szCs w:val="18"/>
              </w:rPr>
              <w:t>Manual de Derecho Financiero y Tributario Boliviano</w:t>
            </w:r>
            <w:r>
              <w:rPr>
                <w:sz w:val="18"/>
                <w:szCs w:val="18"/>
              </w:rPr>
              <w:t>.</w:t>
            </w:r>
          </w:p>
          <w:p w14:paraId="2FB93D5A" w14:textId="77777777" w:rsidR="00990B14" w:rsidRDefault="00000000">
            <w:pPr>
              <w:numPr>
                <w:ilvl w:val="0"/>
                <w:numId w:val="140"/>
              </w:numPr>
              <w:spacing w:after="20"/>
              <w:jc w:val="both"/>
            </w:pPr>
            <w:r>
              <w:rPr>
                <w:sz w:val="18"/>
                <w:szCs w:val="18"/>
              </w:rPr>
              <w:t xml:space="preserve">Valdez Montoya, J. (2025). </w:t>
            </w:r>
            <w:r>
              <w:rPr>
                <w:i/>
                <w:iCs/>
                <w:sz w:val="18"/>
                <w:szCs w:val="18"/>
              </w:rPr>
              <w:t>En la profundidad de nuestro Sistema Tributario</w:t>
            </w:r>
            <w:r>
              <w:rPr>
                <w:sz w:val="18"/>
                <w:szCs w:val="18"/>
              </w:rPr>
              <w:t>. Artes Gráficas Sagitario S.R.L.</w:t>
            </w:r>
          </w:p>
          <w:p w14:paraId="70736DB3" w14:textId="77777777" w:rsidR="00990B14" w:rsidRDefault="00000000">
            <w:pPr>
              <w:numPr>
                <w:ilvl w:val="0"/>
                <w:numId w:val="140"/>
              </w:numPr>
              <w:spacing w:after="20"/>
              <w:jc w:val="both"/>
            </w:pPr>
            <w:r>
              <w:rPr>
                <w:sz w:val="18"/>
                <w:szCs w:val="18"/>
              </w:rPr>
              <w:t xml:space="preserve">Viscafé Ureña, R. (2009). </w:t>
            </w:r>
            <w:r>
              <w:rPr>
                <w:i/>
                <w:iCs/>
                <w:sz w:val="18"/>
                <w:szCs w:val="18"/>
              </w:rPr>
              <w:t>Sistema Tributario Boliviano, Compendio de Normas</w:t>
            </w:r>
            <w:r>
              <w:rPr>
                <w:sz w:val="18"/>
                <w:szCs w:val="18"/>
              </w:rPr>
              <w:t>. La Paz – Bolivia: Ediciones Excelsior S.R.L.</w:t>
            </w:r>
          </w:p>
        </w:tc>
      </w:tr>
    </w:tbl>
    <w:p w14:paraId="346C6277" w14:textId="77777777" w:rsidR="00990B14" w:rsidRDefault="00000000">
      <w:pPr>
        <w:pStyle w:val="TituloPlanAsignatura"/>
        <w:keepNext/>
        <w:pageBreakBefore/>
        <w:spacing w:after="120"/>
        <w:jc w:val="center"/>
        <w:outlineLvl w:val="2"/>
      </w:pPr>
      <w:bookmarkStart w:id="186" w:name="_Toc000000127"/>
      <w:r>
        <w:rPr>
          <w:b/>
          <w:bCs/>
          <w:sz w:val="24"/>
          <w:szCs w:val="24"/>
        </w:rPr>
        <w:t>CPA-504 Auditoría Gubernamental</w:t>
      </w:r>
      <w:bookmarkEnd w:id="186"/>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249"/>
        <w:gridCol w:w="1100"/>
        <w:gridCol w:w="149"/>
        <w:gridCol w:w="635"/>
        <w:gridCol w:w="615"/>
        <w:gridCol w:w="952"/>
        <w:gridCol w:w="298"/>
        <w:gridCol w:w="1250"/>
        <w:gridCol w:w="20"/>
        <w:gridCol w:w="385"/>
        <w:gridCol w:w="398"/>
        <w:gridCol w:w="447"/>
        <w:gridCol w:w="1907"/>
      </w:tblGrid>
      <w:tr w:rsidR="00990B14" w14:paraId="24B22706" w14:textId="77777777">
        <w:trPr>
          <w:cantSplit/>
          <w:jc w:val="center"/>
        </w:trPr>
        <w:tc>
          <w:tcPr>
            <w:tcW w:w="2349" w:type="dxa"/>
            <w:gridSpan w:val="2"/>
            <w:shd w:val="clear" w:color="auto" w:fill="4472C4"/>
            <w:vAlign w:val="center"/>
          </w:tcPr>
          <w:p w14:paraId="3D0A3105" w14:textId="77777777" w:rsidR="00990B14" w:rsidRDefault="00000000">
            <w:pPr>
              <w:keepNext/>
              <w:spacing w:before="20" w:after="20"/>
              <w:jc w:val="center"/>
            </w:pPr>
            <w:r>
              <w:rPr>
                <w:b/>
                <w:bCs/>
                <w:i/>
                <w:iCs/>
                <w:color w:val="FFFFFF"/>
                <w:sz w:val="18"/>
                <w:szCs w:val="18"/>
              </w:rPr>
              <w:t>Asignatura</w:t>
            </w:r>
          </w:p>
        </w:tc>
        <w:tc>
          <w:tcPr>
            <w:tcW w:w="2351" w:type="dxa"/>
            <w:gridSpan w:val="4"/>
            <w:shd w:val="clear" w:color="auto" w:fill="4472C4"/>
            <w:vAlign w:val="center"/>
          </w:tcPr>
          <w:p w14:paraId="4B0752B9" w14:textId="77777777" w:rsidR="00990B14" w:rsidRDefault="00000000">
            <w:pPr>
              <w:keepNext/>
              <w:spacing w:before="20" w:after="20"/>
              <w:jc w:val="center"/>
            </w:pPr>
            <w:r>
              <w:rPr>
                <w:b/>
                <w:bCs/>
                <w:i/>
                <w:iCs/>
                <w:color w:val="FFFFFF"/>
                <w:sz w:val="18"/>
                <w:szCs w:val="18"/>
              </w:rPr>
              <w:t>Sigla</w:t>
            </w:r>
          </w:p>
        </w:tc>
        <w:tc>
          <w:tcPr>
            <w:tcW w:w="2351" w:type="dxa"/>
            <w:gridSpan w:val="5"/>
            <w:shd w:val="clear" w:color="auto" w:fill="4472C4"/>
            <w:vAlign w:val="center"/>
          </w:tcPr>
          <w:p w14:paraId="72FD6F1A" w14:textId="77777777" w:rsidR="00990B14" w:rsidRDefault="00000000">
            <w:pPr>
              <w:keepNext/>
              <w:spacing w:before="20" w:after="20"/>
              <w:jc w:val="center"/>
            </w:pPr>
            <w:r>
              <w:rPr>
                <w:b/>
                <w:bCs/>
                <w:i/>
                <w:iCs/>
                <w:color w:val="FFFFFF"/>
                <w:sz w:val="18"/>
                <w:szCs w:val="18"/>
              </w:rPr>
              <w:t>Nivel/Área</w:t>
            </w:r>
          </w:p>
        </w:tc>
        <w:tc>
          <w:tcPr>
            <w:tcW w:w="2354" w:type="dxa"/>
            <w:gridSpan w:val="2"/>
            <w:shd w:val="clear" w:color="auto" w:fill="4472C4"/>
            <w:vAlign w:val="center"/>
          </w:tcPr>
          <w:p w14:paraId="7F9C27DC" w14:textId="77777777" w:rsidR="00990B14" w:rsidRDefault="00000000">
            <w:pPr>
              <w:keepNext/>
              <w:spacing w:before="20" w:after="20"/>
              <w:jc w:val="center"/>
            </w:pPr>
            <w:r>
              <w:rPr>
                <w:b/>
                <w:bCs/>
                <w:i/>
                <w:iCs/>
                <w:color w:val="FFFFFF"/>
                <w:sz w:val="18"/>
                <w:szCs w:val="18"/>
              </w:rPr>
              <w:t>Prerrequisito</w:t>
            </w:r>
          </w:p>
        </w:tc>
      </w:tr>
      <w:tr w:rsidR="00990B14" w14:paraId="63386822" w14:textId="77777777">
        <w:trPr>
          <w:cantSplit/>
          <w:jc w:val="center"/>
        </w:trPr>
        <w:tc>
          <w:tcPr>
            <w:tcW w:w="2349" w:type="dxa"/>
            <w:gridSpan w:val="2"/>
            <w:shd w:val="clear" w:color="auto" w:fill="D9E2F3"/>
            <w:vAlign w:val="center"/>
          </w:tcPr>
          <w:p w14:paraId="618FCDA5" w14:textId="77777777" w:rsidR="00990B14" w:rsidRDefault="00000000">
            <w:pPr>
              <w:spacing w:before="20" w:after="20"/>
              <w:jc w:val="center"/>
            </w:pPr>
            <w:r>
              <w:rPr>
                <w:b/>
                <w:bCs/>
                <w:i/>
                <w:iCs/>
                <w:sz w:val="18"/>
                <w:szCs w:val="18"/>
              </w:rPr>
              <w:t>Auditoría Gubernamental</w:t>
            </w:r>
          </w:p>
        </w:tc>
        <w:tc>
          <w:tcPr>
            <w:tcW w:w="2351" w:type="dxa"/>
            <w:gridSpan w:val="4"/>
            <w:shd w:val="clear" w:color="auto" w:fill="D9E2F3"/>
            <w:vAlign w:val="center"/>
          </w:tcPr>
          <w:p w14:paraId="64D1232F" w14:textId="77777777" w:rsidR="00990B14" w:rsidRDefault="00000000">
            <w:pPr>
              <w:spacing w:before="20" w:after="20"/>
              <w:jc w:val="center"/>
            </w:pPr>
            <w:r>
              <w:rPr>
                <w:b/>
                <w:bCs/>
                <w:i/>
                <w:iCs/>
                <w:sz w:val="18"/>
                <w:szCs w:val="18"/>
              </w:rPr>
              <w:t>CPA-504</w:t>
            </w:r>
          </w:p>
        </w:tc>
        <w:tc>
          <w:tcPr>
            <w:tcW w:w="2351" w:type="dxa"/>
            <w:gridSpan w:val="5"/>
            <w:shd w:val="clear" w:color="auto" w:fill="D9E2F3"/>
            <w:vAlign w:val="center"/>
          </w:tcPr>
          <w:p w14:paraId="463F9FA9" w14:textId="77777777" w:rsidR="00990B14" w:rsidRDefault="00000000">
            <w:pPr>
              <w:spacing w:before="20" w:after="20"/>
              <w:jc w:val="center"/>
            </w:pPr>
            <w:r>
              <w:rPr>
                <w:b/>
                <w:bCs/>
                <w:i/>
                <w:iCs/>
                <w:sz w:val="18"/>
                <w:szCs w:val="18"/>
              </w:rPr>
              <w:t>Aseguramiento</w:t>
            </w:r>
          </w:p>
        </w:tc>
        <w:tc>
          <w:tcPr>
            <w:tcW w:w="2354" w:type="dxa"/>
            <w:gridSpan w:val="2"/>
            <w:shd w:val="clear" w:color="auto" w:fill="D9E2F3"/>
            <w:vAlign w:val="center"/>
          </w:tcPr>
          <w:p w14:paraId="11DCEB37" w14:textId="77777777" w:rsidR="00990B14" w:rsidRDefault="00000000">
            <w:pPr>
              <w:spacing w:before="20" w:after="20"/>
              <w:jc w:val="center"/>
            </w:pPr>
            <w:r>
              <w:rPr>
                <w:b/>
                <w:bCs/>
                <w:i/>
                <w:iCs/>
                <w:sz w:val="18"/>
                <w:szCs w:val="18"/>
              </w:rPr>
              <w:t>CPA-401 a CPA-408</w:t>
            </w:r>
          </w:p>
        </w:tc>
      </w:tr>
      <w:tr w:rsidR="00990B14" w14:paraId="23C435F6" w14:textId="77777777">
        <w:trPr>
          <w:cantSplit/>
          <w:jc w:val="center"/>
        </w:trPr>
        <w:tc>
          <w:tcPr>
            <w:tcW w:w="7498" w:type="dxa"/>
            <w:gridSpan w:val="12"/>
            <w:shd w:val="clear" w:color="auto" w:fill="4472C4"/>
            <w:vAlign w:val="center"/>
          </w:tcPr>
          <w:p w14:paraId="05FFC150" w14:textId="77777777" w:rsidR="00990B14" w:rsidRDefault="00000000">
            <w:pPr>
              <w:keepNext/>
              <w:spacing w:before="20" w:after="20"/>
              <w:jc w:val="center"/>
            </w:pPr>
            <w:r>
              <w:rPr>
                <w:b/>
                <w:bCs/>
                <w:i/>
                <w:iCs/>
                <w:color w:val="FFFFFF"/>
                <w:sz w:val="18"/>
                <w:szCs w:val="18"/>
              </w:rPr>
              <w:t>Carga Horaria</w:t>
            </w:r>
          </w:p>
        </w:tc>
        <w:tc>
          <w:tcPr>
            <w:tcW w:w="1907" w:type="dxa"/>
            <w:shd w:val="clear" w:color="auto" w:fill="4472C4"/>
            <w:vAlign w:val="center"/>
          </w:tcPr>
          <w:p w14:paraId="3FA7CF30" w14:textId="77777777" w:rsidR="00990B14" w:rsidRDefault="00000000">
            <w:pPr>
              <w:keepNext/>
              <w:spacing w:before="20" w:after="20"/>
              <w:jc w:val="center"/>
            </w:pPr>
            <w:r>
              <w:rPr>
                <w:b/>
                <w:bCs/>
                <w:i/>
                <w:iCs/>
                <w:color w:val="FFFFFF"/>
                <w:sz w:val="18"/>
                <w:szCs w:val="18"/>
              </w:rPr>
              <w:t>Créditos</w:t>
            </w:r>
          </w:p>
        </w:tc>
      </w:tr>
      <w:tr w:rsidR="00990B14" w14:paraId="1EAF9D69" w14:textId="77777777">
        <w:trPr>
          <w:cantSplit/>
          <w:jc w:val="center"/>
        </w:trPr>
        <w:tc>
          <w:tcPr>
            <w:tcW w:w="1249" w:type="dxa"/>
            <w:shd w:val="clear" w:color="auto" w:fill="4472C4"/>
            <w:vAlign w:val="center"/>
          </w:tcPr>
          <w:p w14:paraId="3956E9D2" w14:textId="77777777" w:rsidR="00990B14" w:rsidRDefault="00000000">
            <w:pPr>
              <w:keepNext/>
              <w:spacing w:before="20" w:after="20"/>
              <w:jc w:val="center"/>
            </w:pPr>
            <w:r>
              <w:rPr>
                <w:b/>
                <w:bCs/>
                <w:i/>
                <w:iCs/>
                <w:color w:val="FFFFFF"/>
                <w:sz w:val="18"/>
                <w:szCs w:val="18"/>
              </w:rPr>
              <w:t>HP</w:t>
            </w:r>
          </w:p>
        </w:tc>
        <w:tc>
          <w:tcPr>
            <w:tcW w:w="1249" w:type="dxa"/>
            <w:gridSpan w:val="2"/>
            <w:shd w:val="clear" w:color="auto" w:fill="4472C4"/>
            <w:vAlign w:val="center"/>
          </w:tcPr>
          <w:p w14:paraId="5654F3C1" w14:textId="77777777" w:rsidR="00990B14" w:rsidRDefault="00000000">
            <w:pPr>
              <w:keepNext/>
              <w:spacing w:before="20" w:after="20"/>
              <w:jc w:val="center"/>
            </w:pPr>
            <w:r>
              <w:rPr>
                <w:b/>
                <w:bCs/>
                <w:i/>
                <w:iCs/>
                <w:color w:val="FFFFFF"/>
                <w:sz w:val="18"/>
                <w:szCs w:val="18"/>
              </w:rPr>
              <w:t>HAA</w:t>
            </w:r>
          </w:p>
        </w:tc>
        <w:tc>
          <w:tcPr>
            <w:tcW w:w="1250" w:type="dxa"/>
            <w:gridSpan w:val="2"/>
            <w:shd w:val="clear" w:color="auto" w:fill="4472C4"/>
            <w:vAlign w:val="center"/>
          </w:tcPr>
          <w:p w14:paraId="1418247C" w14:textId="77777777" w:rsidR="00990B14" w:rsidRDefault="00000000">
            <w:pPr>
              <w:keepNext/>
              <w:spacing w:before="20" w:after="20"/>
              <w:jc w:val="center"/>
            </w:pPr>
            <w:r>
              <w:rPr>
                <w:b/>
                <w:bCs/>
                <w:i/>
                <w:iCs/>
                <w:color w:val="FFFFFF"/>
                <w:sz w:val="18"/>
                <w:szCs w:val="18"/>
              </w:rPr>
              <w:t>HTG</w:t>
            </w:r>
          </w:p>
        </w:tc>
        <w:tc>
          <w:tcPr>
            <w:tcW w:w="1250" w:type="dxa"/>
            <w:gridSpan w:val="2"/>
            <w:shd w:val="clear" w:color="auto" w:fill="4472C4"/>
            <w:vAlign w:val="center"/>
          </w:tcPr>
          <w:p w14:paraId="7D3C55B3" w14:textId="77777777" w:rsidR="00990B14" w:rsidRDefault="00000000">
            <w:pPr>
              <w:keepNext/>
              <w:spacing w:before="20" w:after="20"/>
              <w:jc w:val="center"/>
            </w:pPr>
            <w:r>
              <w:rPr>
                <w:b/>
                <w:bCs/>
                <w:i/>
                <w:iCs/>
                <w:color w:val="FFFFFF"/>
                <w:sz w:val="18"/>
                <w:szCs w:val="18"/>
              </w:rPr>
              <w:t>HIP</w:t>
            </w:r>
          </w:p>
        </w:tc>
        <w:tc>
          <w:tcPr>
            <w:tcW w:w="1250" w:type="dxa"/>
            <w:shd w:val="clear" w:color="auto" w:fill="4472C4"/>
            <w:vAlign w:val="center"/>
          </w:tcPr>
          <w:p w14:paraId="0EB0BE20" w14:textId="77777777" w:rsidR="00990B14" w:rsidRDefault="00000000">
            <w:pPr>
              <w:keepNext/>
              <w:spacing w:before="20" w:after="20"/>
              <w:jc w:val="center"/>
            </w:pPr>
            <w:r>
              <w:rPr>
                <w:b/>
                <w:bCs/>
                <w:i/>
                <w:iCs/>
                <w:color w:val="FFFFFF"/>
                <w:sz w:val="18"/>
                <w:szCs w:val="18"/>
              </w:rPr>
              <w:t>HE</w:t>
            </w:r>
          </w:p>
        </w:tc>
        <w:tc>
          <w:tcPr>
            <w:tcW w:w="1250" w:type="dxa"/>
            <w:gridSpan w:val="4"/>
            <w:shd w:val="clear" w:color="auto" w:fill="4472C4"/>
            <w:vAlign w:val="center"/>
          </w:tcPr>
          <w:p w14:paraId="2D7A7C1C" w14:textId="77777777" w:rsidR="00990B14" w:rsidRDefault="00000000">
            <w:pPr>
              <w:keepNext/>
              <w:spacing w:before="20" w:after="20"/>
              <w:jc w:val="center"/>
            </w:pPr>
            <w:r>
              <w:rPr>
                <w:b/>
                <w:bCs/>
                <w:i/>
                <w:iCs/>
                <w:color w:val="FFFFFF"/>
                <w:sz w:val="18"/>
                <w:szCs w:val="18"/>
              </w:rPr>
              <w:t>TOTAL</w:t>
            </w:r>
          </w:p>
        </w:tc>
        <w:tc>
          <w:tcPr>
            <w:tcW w:w="1907" w:type="dxa"/>
            <w:vMerge w:val="restart"/>
            <w:shd w:val="clear" w:color="auto" w:fill="D9E2F3"/>
            <w:vAlign w:val="center"/>
          </w:tcPr>
          <w:p w14:paraId="4EF817A3" w14:textId="77777777" w:rsidR="00990B14" w:rsidRDefault="00000000">
            <w:pPr>
              <w:spacing w:before="20" w:after="20"/>
              <w:jc w:val="center"/>
            </w:pPr>
            <w:r>
              <w:rPr>
                <w:sz w:val="18"/>
                <w:szCs w:val="18"/>
              </w:rPr>
              <w:t>8</w:t>
            </w:r>
          </w:p>
        </w:tc>
      </w:tr>
      <w:tr w:rsidR="00990B14" w14:paraId="0D9CB7A3" w14:textId="77777777">
        <w:trPr>
          <w:cantSplit/>
          <w:jc w:val="center"/>
        </w:trPr>
        <w:tc>
          <w:tcPr>
            <w:tcW w:w="1249" w:type="dxa"/>
            <w:shd w:val="clear" w:color="auto" w:fill="D9E2F3"/>
            <w:vAlign w:val="center"/>
          </w:tcPr>
          <w:p w14:paraId="52368CC6" w14:textId="77777777" w:rsidR="00990B14" w:rsidRDefault="00000000">
            <w:pPr>
              <w:spacing w:before="20" w:after="20"/>
              <w:jc w:val="center"/>
            </w:pPr>
            <w:r>
              <w:rPr>
                <w:sz w:val="18"/>
                <w:szCs w:val="18"/>
              </w:rPr>
              <w:t>160</w:t>
            </w:r>
          </w:p>
        </w:tc>
        <w:tc>
          <w:tcPr>
            <w:tcW w:w="1249" w:type="dxa"/>
            <w:gridSpan w:val="2"/>
            <w:shd w:val="clear" w:color="auto" w:fill="D9E2F3"/>
            <w:vAlign w:val="center"/>
          </w:tcPr>
          <w:p w14:paraId="11C37AA6" w14:textId="77777777" w:rsidR="00990B14" w:rsidRDefault="00000000">
            <w:pPr>
              <w:spacing w:before="20" w:after="20"/>
              <w:jc w:val="center"/>
            </w:pPr>
            <w:r>
              <w:rPr>
                <w:sz w:val="18"/>
                <w:szCs w:val="18"/>
              </w:rPr>
              <w:t>16</w:t>
            </w:r>
          </w:p>
        </w:tc>
        <w:tc>
          <w:tcPr>
            <w:tcW w:w="1250" w:type="dxa"/>
            <w:gridSpan w:val="2"/>
            <w:shd w:val="clear" w:color="auto" w:fill="D9E2F3"/>
            <w:vAlign w:val="center"/>
          </w:tcPr>
          <w:p w14:paraId="1344E94E" w14:textId="77777777" w:rsidR="00990B14" w:rsidRDefault="00000000">
            <w:pPr>
              <w:spacing w:before="20" w:after="20"/>
              <w:jc w:val="center"/>
            </w:pPr>
            <w:r>
              <w:rPr>
                <w:sz w:val="18"/>
                <w:szCs w:val="18"/>
              </w:rPr>
              <w:t>16</w:t>
            </w:r>
          </w:p>
        </w:tc>
        <w:tc>
          <w:tcPr>
            <w:tcW w:w="1250" w:type="dxa"/>
            <w:gridSpan w:val="2"/>
            <w:shd w:val="clear" w:color="auto" w:fill="D9E2F3"/>
            <w:vAlign w:val="center"/>
          </w:tcPr>
          <w:p w14:paraId="55B71540" w14:textId="77777777" w:rsidR="00990B14" w:rsidRDefault="00000000">
            <w:pPr>
              <w:spacing w:before="20" w:after="20"/>
              <w:jc w:val="center"/>
            </w:pPr>
            <w:r>
              <w:rPr>
                <w:sz w:val="18"/>
                <w:szCs w:val="18"/>
              </w:rPr>
              <w:t>32</w:t>
            </w:r>
          </w:p>
        </w:tc>
        <w:tc>
          <w:tcPr>
            <w:tcW w:w="1250" w:type="dxa"/>
            <w:shd w:val="clear" w:color="auto" w:fill="D9E2F3"/>
            <w:vAlign w:val="center"/>
          </w:tcPr>
          <w:p w14:paraId="6BB70FC4" w14:textId="77777777" w:rsidR="00990B14" w:rsidRDefault="00000000">
            <w:pPr>
              <w:spacing w:before="20" w:after="20"/>
              <w:jc w:val="center"/>
            </w:pPr>
            <w:r>
              <w:rPr>
                <w:sz w:val="18"/>
                <w:szCs w:val="18"/>
              </w:rPr>
              <w:t>16</w:t>
            </w:r>
          </w:p>
        </w:tc>
        <w:tc>
          <w:tcPr>
            <w:tcW w:w="1250" w:type="dxa"/>
            <w:gridSpan w:val="4"/>
            <w:shd w:val="clear" w:color="auto" w:fill="D9E2F3"/>
            <w:vAlign w:val="center"/>
          </w:tcPr>
          <w:p w14:paraId="68E4B209" w14:textId="77777777" w:rsidR="00990B14" w:rsidRDefault="00000000">
            <w:pPr>
              <w:spacing w:before="20" w:after="20"/>
              <w:jc w:val="center"/>
            </w:pPr>
            <w:r>
              <w:rPr>
                <w:sz w:val="18"/>
                <w:szCs w:val="18"/>
              </w:rPr>
              <w:t>240</w:t>
            </w:r>
          </w:p>
        </w:tc>
        <w:tc>
          <w:tcPr>
            <w:tcW w:w="1907" w:type="dxa"/>
            <w:vMerge/>
            <w:shd w:val="clear" w:color="auto" w:fill="D9E2F3"/>
            <w:vAlign w:val="center"/>
          </w:tcPr>
          <w:p w14:paraId="288EE966" w14:textId="77777777" w:rsidR="00990B14" w:rsidRDefault="00990B14">
            <w:pPr>
              <w:spacing w:before="20" w:after="20"/>
            </w:pPr>
          </w:p>
        </w:tc>
      </w:tr>
      <w:tr w:rsidR="00990B14" w14:paraId="68ACCE66" w14:textId="77777777">
        <w:trPr>
          <w:cantSplit/>
          <w:jc w:val="center"/>
        </w:trPr>
        <w:tc>
          <w:tcPr>
            <w:tcW w:w="9405" w:type="dxa"/>
            <w:gridSpan w:val="13"/>
            <w:shd w:val="clear" w:color="auto" w:fill="4472C4"/>
            <w:vAlign w:val="center"/>
          </w:tcPr>
          <w:p w14:paraId="503DA9ED" w14:textId="77777777" w:rsidR="00990B14" w:rsidRDefault="00000000">
            <w:pPr>
              <w:keepNext/>
              <w:spacing w:before="20" w:after="20"/>
              <w:jc w:val="center"/>
            </w:pPr>
            <w:r>
              <w:rPr>
                <w:b/>
                <w:bCs/>
                <w:i/>
                <w:iCs/>
                <w:color w:val="FFFFFF"/>
                <w:sz w:val="18"/>
                <w:szCs w:val="18"/>
              </w:rPr>
              <w:t>Unidad de Competencia</w:t>
            </w:r>
          </w:p>
        </w:tc>
      </w:tr>
      <w:tr w:rsidR="00990B14" w14:paraId="1A8A1496" w14:textId="77777777">
        <w:trPr>
          <w:cantSplit/>
          <w:jc w:val="center"/>
        </w:trPr>
        <w:tc>
          <w:tcPr>
            <w:tcW w:w="9405" w:type="dxa"/>
            <w:gridSpan w:val="13"/>
            <w:shd w:val="clear" w:color="auto" w:fill="D9E2F3"/>
            <w:vAlign w:val="center"/>
          </w:tcPr>
          <w:p w14:paraId="48770F13" w14:textId="77777777" w:rsidR="00990B14" w:rsidRDefault="00000000">
            <w:pPr>
              <w:spacing w:before="20" w:after="20"/>
              <w:jc w:val="both"/>
            </w:pPr>
            <w:r>
              <w:rPr>
                <w:sz w:val="18"/>
                <w:szCs w:val="18"/>
              </w:rPr>
              <w:t>Analiza el Modelo de Gestión Pública, el Sistema de Control Gubernamental y el Régimen de Responsabilidad por la Función Pública; evalúa el sistema de control interno y planifica, ejecuta y comunica los resultados de las auditorías financiera, de cumplimiento y operacional en entidades del sector público boliviano, aplicando el marco jurídico y técnico, las Normas de Auditoría Gubernamental y las guías de la Contraloría General del Estado, mediante el relevamiento de información, la evaluación de riesgos, la planificación de auditoría, la ejecución de programas de trabajo, la obtención de evidencia suficiente, competente y lícita y la formulación de hallazgos, conclusiones y recomendaciones, para emitir opiniones e informes de auditoría, identificar indicios de responsabilidad por la función pública, cuando corresponda, y contribuir al fortalecimiento del control interno, la gestión institucional y la rendición de cuentas, con independencia, objetividad, integridad y ética profesional.</w:t>
            </w:r>
          </w:p>
        </w:tc>
      </w:tr>
      <w:tr w:rsidR="00990B14" w14:paraId="63EEBC17" w14:textId="77777777">
        <w:trPr>
          <w:cantSplit/>
          <w:jc w:val="center"/>
        </w:trPr>
        <w:tc>
          <w:tcPr>
            <w:tcW w:w="9405" w:type="dxa"/>
            <w:gridSpan w:val="13"/>
            <w:shd w:val="clear" w:color="auto" w:fill="D9E2F3"/>
            <w:vAlign w:val="center"/>
          </w:tcPr>
          <w:p w14:paraId="3E447950" w14:textId="77777777" w:rsidR="00990B14" w:rsidRDefault="00000000">
            <w:pPr>
              <w:spacing w:before="20" w:after="20"/>
              <w:jc w:val="both"/>
            </w:pPr>
            <w:r>
              <w:rPr>
                <w:b/>
                <w:bCs/>
                <w:i/>
                <w:iCs/>
                <w:sz w:val="18"/>
                <w:szCs w:val="18"/>
              </w:rPr>
              <w:t xml:space="preserve">Elemento de competencia 1: </w:t>
            </w:r>
            <w:r>
              <w:rPr>
                <w:sz w:val="18"/>
                <w:szCs w:val="18"/>
              </w:rPr>
              <w:t>Explica el Sistema de Control Gubernamental en el marco del Modelo de Gestión Pública, interpretando sus fundamentos jurídicos y técnicos, las Normas de Auditoría Gubernamental, las atribuciones de la Contraloría General del Estado y las funciones de las Unidades de Auditoría Interna, para comprender la aplicación del control interno y externo posterior en la administración de los recursos públicos y el fortalecimiento de la gestión institucional.</w:t>
            </w:r>
          </w:p>
        </w:tc>
      </w:tr>
      <w:tr w:rsidR="00990B14" w14:paraId="6C21346D" w14:textId="77777777">
        <w:trPr>
          <w:cantSplit/>
          <w:jc w:val="center"/>
        </w:trPr>
        <w:tc>
          <w:tcPr>
            <w:tcW w:w="3133" w:type="dxa"/>
            <w:gridSpan w:val="4"/>
            <w:shd w:val="clear" w:color="auto" w:fill="4472C4"/>
            <w:vAlign w:val="center"/>
          </w:tcPr>
          <w:p w14:paraId="58B2A9E0"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592BE950"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04A29455" w14:textId="77777777" w:rsidR="00990B14" w:rsidRDefault="00000000">
            <w:pPr>
              <w:keepNext/>
              <w:spacing w:before="20" w:after="20"/>
              <w:jc w:val="center"/>
            </w:pPr>
            <w:r>
              <w:rPr>
                <w:b/>
                <w:bCs/>
                <w:i/>
                <w:iCs/>
                <w:color w:val="FFFFFF"/>
                <w:sz w:val="18"/>
                <w:szCs w:val="18"/>
              </w:rPr>
              <w:t>Evidencias de producto</w:t>
            </w:r>
          </w:p>
        </w:tc>
      </w:tr>
      <w:tr w:rsidR="00990B14" w14:paraId="7947EB3F" w14:textId="77777777">
        <w:trPr>
          <w:cantSplit/>
          <w:jc w:val="center"/>
        </w:trPr>
        <w:tc>
          <w:tcPr>
            <w:tcW w:w="3133" w:type="dxa"/>
            <w:gridSpan w:val="4"/>
            <w:vMerge w:val="restart"/>
            <w:shd w:val="clear" w:color="auto" w:fill="D9E2F3"/>
            <w:vAlign w:val="center"/>
          </w:tcPr>
          <w:p w14:paraId="50E5389A" w14:textId="77777777" w:rsidR="00990B14" w:rsidRDefault="00000000">
            <w:pPr>
              <w:spacing w:before="20" w:after="20"/>
              <w:jc w:val="both"/>
            </w:pPr>
            <w:r>
              <w:rPr>
                <w:sz w:val="18"/>
                <w:szCs w:val="18"/>
              </w:rPr>
              <w:t>1. Analiza la estructura y el enfoque sistémico del Modelo de Gestión Pública, relacionando los sistemas de planificación, organización y ejecución de la Ley N.º 1178, con la planificación integral del Estado y el Sistema de Control Gubernamental.</w:t>
            </w:r>
          </w:p>
        </w:tc>
        <w:tc>
          <w:tcPr>
            <w:tcW w:w="3135" w:type="dxa"/>
            <w:gridSpan w:val="5"/>
            <w:shd w:val="clear" w:color="auto" w:fill="D9E2F3"/>
            <w:vAlign w:val="center"/>
          </w:tcPr>
          <w:p w14:paraId="04B9414B" w14:textId="77777777" w:rsidR="00990B14" w:rsidRDefault="00000000">
            <w:pPr>
              <w:spacing w:before="20" w:after="20"/>
              <w:jc w:val="both"/>
            </w:pPr>
            <w:r>
              <w:rPr>
                <w:sz w:val="18"/>
                <w:szCs w:val="18"/>
              </w:rPr>
              <w:t>1.1 Explica la interrelación entre los sistemas de planificación integral del Estado y los sistemas de planificación operativa y financiera, organización y de ejecución de la Ley N.º 1178.</w:t>
            </w:r>
          </w:p>
        </w:tc>
        <w:tc>
          <w:tcPr>
            <w:tcW w:w="3137" w:type="dxa"/>
            <w:gridSpan w:val="4"/>
            <w:shd w:val="clear" w:color="auto" w:fill="D9E2F3"/>
            <w:vAlign w:val="center"/>
          </w:tcPr>
          <w:p w14:paraId="520A8973" w14:textId="77777777" w:rsidR="00990B14" w:rsidRDefault="00000000">
            <w:pPr>
              <w:spacing w:before="20" w:after="20"/>
              <w:jc w:val="both"/>
            </w:pPr>
            <w:r>
              <w:rPr>
                <w:b/>
                <w:bCs/>
                <w:sz w:val="18"/>
                <w:szCs w:val="18"/>
              </w:rPr>
              <w:t xml:space="preserve">Producto 1: </w:t>
            </w:r>
            <w:r>
              <w:rPr>
                <w:sz w:val="18"/>
                <w:szCs w:val="18"/>
              </w:rPr>
              <w:t>Esquema de comprensión de los sistemas de administración de la Ley N.º 1178 y su relación con el Sistema de Planificación Integral del Estado.</w:t>
            </w:r>
          </w:p>
        </w:tc>
      </w:tr>
      <w:tr w:rsidR="00990B14" w14:paraId="3F2E1FC2" w14:textId="77777777">
        <w:trPr>
          <w:cantSplit/>
          <w:jc w:val="center"/>
        </w:trPr>
        <w:tc>
          <w:tcPr>
            <w:tcW w:w="3133" w:type="dxa"/>
            <w:gridSpan w:val="4"/>
            <w:vMerge/>
            <w:shd w:val="clear" w:color="auto" w:fill="D9E2F3"/>
            <w:vAlign w:val="center"/>
          </w:tcPr>
          <w:p w14:paraId="5718D45C" w14:textId="77777777" w:rsidR="00990B14" w:rsidRDefault="00990B14">
            <w:pPr>
              <w:spacing w:before="20" w:after="20"/>
            </w:pPr>
          </w:p>
        </w:tc>
        <w:tc>
          <w:tcPr>
            <w:tcW w:w="3135" w:type="dxa"/>
            <w:gridSpan w:val="5"/>
            <w:shd w:val="clear" w:color="auto" w:fill="D9E2F3"/>
            <w:vAlign w:val="center"/>
          </w:tcPr>
          <w:p w14:paraId="6E97ACA7" w14:textId="77777777" w:rsidR="00990B14" w:rsidRDefault="00000000">
            <w:pPr>
              <w:spacing w:before="20" w:after="20"/>
              <w:jc w:val="both"/>
            </w:pPr>
            <w:r>
              <w:rPr>
                <w:sz w:val="18"/>
                <w:szCs w:val="18"/>
              </w:rPr>
              <w:t>1.2 Analiza el funcionamiento de los sistemas de planificación, organización y ejecución de la Ley N.º 1178, y el Sistema de Control Gubernamental</w:t>
            </w:r>
          </w:p>
        </w:tc>
        <w:tc>
          <w:tcPr>
            <w:tcW w:w="3137" w:type="dxa"/>
            <w:gridSpan w:val="4"/>
            <w:shd w:val="clear" w:color="auto" w:fill="D9E2F3"/>
            <w:vAlign w:val="center"/>
          </w:tcPr>
          <w:p w14:paraId="4BC77DB3" w14:textId="77777777" w:rsidR="00990B14" w:rsidRDefault="00000000">
            <w:pPr>
              <w:spacing w:before="20" w:after="20"/>
              <w:jc w:val="both"/>
            </w:pPr>
            <w:r>
              <w:rPr>
                <w:b/>
                <w:bCs/>
                <w:sz w:val="18"/>
                <w:szCs w:val="18"/>
              </w:rPr>
              <w:t xml:space="preserve">Producto 2: </w:t>
            </w:r>
            <w:r>
              <w:rPr>
                <w:sz w:val="18"/>
                <w:szCs w:val="18"/>
              </w:rPr>
              <w:t>Esquema de articulación de los sistemas de administración de la Ley N.º 1178 y su relación con el Sistema de Control Gubernamental.</w:t>
            </w:r>
          </w:p>
        </w:tc>
      </w:tr>
      <w:tr w:rsidR="00990B14" w14:paraId="256F87A6" w14:textId="77777777">
        <w:trPr>
          <w:cantSplit/>
          <w:jc w:val="center"/>
        </w:trPr>
        <w:tc>
          <w:tcPr>
            <w:tcW w:w="3133" w:type="dxa"/>
            <w:gridSpan w:val="4"/>
            <w:vMerge w:val="restart"/>
            <w:shd w:val="clear" w:color="auto" w:fill="D9E2F3"/>
            <w:vAlign w:val="center"/>
          </w:tcPr>
          <w:p w14:paraId="6785263F" w14:textId="77777777" w:rsidR="00990B14" w:rsidRDefault="00000000">
            <w:pPr>
              <w:spacing w:before="20" w:after="20"/>
              <w:jc w:val="both"/>
            </w:pPr>
            <w:r>
              <w:rPr>
                <w:sz w:val="18"/>
                <w:szCs w:val="18"/>
              </w:rPr>
              <w:t>2. Describe el Sistema de Control Gubernamental, las atribuciones de la Contraloría General del Estado y las Normas de Auditoría Gubernamental, incluyendo los componentes de control interno y externo, y los tipos de auditoría gubernamental.</w:t>
            </w:r>
          </w:p>
        </w:tc>
        <w:tc>
          <w:tcPr>
            <w:tcW w:w="3135" w:type="dxa"/>
            <w:gridSpan w:val="5"/>
            <w:shd w:val="clear" w:color="auto" w:fill="D9E2F3"/>
            <w:vAlign w:val="center"/>
          </w:tcPr>
          <w:p w14:paraId="7A1937BE" w14:textId="77777777" w:rsidR="00990B14" w:rsidRDefault="00000000">
            <w:pPr>
              <w:spacing w:before="20" w:after="20"/>
              <w:jc w:val="both"/>
            </w:pPr>
            <w:r>
              <w:rPr>
                <w:sz w:val="18"/>
                <w:szCs w:val="18"/>
              </w:rPr>
              <w:t>2.1 Explica los componentes del Sistema de Control Gubernamental, las Normas de Auditoría Gubernamental y las atribuciones de la Contraloría General del Estado y las Unidades de Auditoría Interna.</w:t>
            </w:r>
          </w:p>
        </w:tc>
        <w:tc>
          <w:tcPr>
            <w:tcW w:w="3137" w:type="dxa"/>
            <w:gridSpan w:val="4"/>
            <w:shd w:val="clear" w:color="auto" w:fill="D9E2F3"/>
            <w:vAlign w:val="center"/>
          </w:tcPr>
          <w:p w14:paraId="347C73B4" w14:textId="77777777" w:rsidR="00990B14" w:rsidRDefault="00000000">
            <w:pPr>
              <w:spacing w:before="20" w:after="20"/>
              <w:jc w:val="both"/>
            </w:pPr>
            <w:r>
              <w:rPr>
                <w:b/>
                <w:bCs/>
                <w:sz w:val="18"/>
                <w:szCs w:val="18"/>
              </w:rPr>
              <w:t xml:space="preserve">Producto 3: </w:t>
            </w:r>
            <w:r>
              <w:rPr>
                <w:sz w:val="18"/>
                <w:szCs w:val="18"/>
              </w:rPr>
              <w:t>Esquema del Sistema de Control Gubernamental, las Normas de Auditoría Gubernamental y las atribuciones de la Contraloría General del Estado y las Unidades de Auditoría Interna.</w:t>
            </w:r>
          </w:p>
        </w:tc>
      </w:tr>
      <w:tr w:rsidR="00990B14" w14:paraId="188E525C" w14:textId="77777777">
        <w:trPr>
          <w:cantSplit/>
          <w:jc w:val="center"/>
        </w:trPr>
        <w:tc>
          <w:tcPr>
            <w:tcW w:w="3133" w:type="dxa"/>
            <w:gridSpan w:val="4"/>
            <w:vMerge/>
            <w:shd w:val="clear" w:color="auto" w:fill="D9E2F3"/>
            <w:vAlign w:val="center"/>
          </w:tcPr>
          <w:p w14:paraId="42B3BB2E" w14:textId="77777777" w:rsidR="00990B14" w:rsidRDefault="00990B14">
            <w:pPr>
              <w:spacing w:before="20" w:after="20"/>
            </w:pPr>
          </w:p>
        </w:tc>
        <w:tc>
          <w:tcPr>
            <w:tcW w:w="3135" w:type="dxa"/>
            <w:gridSpan w:val="5"/>
            <w:shd w:val="clear" w:color="auto" w:fill="D9E2F3"/>
            <w:vAlign w:val="center"/>
          </w:tcPr>
          <w:p w14:paraId="04209F51" w14:textId="77777777" w:rsidR="00990B14" w:rsidRDefault="00000000">
            <w:pPr>
              <w:spacing w:before="20" w:after="20"/>
              <w:jc w:val="both"/>
            </w:pPr>
            <w:r>
              <w:rPr>
                <w:sz w:val="18"/>
                <w:szCs w:val="18"/>
              </w:rPr>
              <w:t>2.2 Analiza y compara los tipos de auditoría gubernamental: financieras, de cumplimiento, operacionales y otras: antecedentes, objetivo, objeto, alcance, metodología y marco normativo.</w:t>
            </w:r>
          </w:p>
        </w:tc>
        <w:tc>
          <w:tcPr>
            <w:tcW w:w="3137" w:type="dxa"/>
            <w:gridSpan w:val="4"/>
            <w:shd w:val="clear" w:color="auto" w:fill="D9E2F3"/>
            <w:vAlign w:val="center"/>
          </w:tcPr>
          <w:p w14:paraId="728CA477" w14:textId="77777777" w:rsidR="00990B14" w:rsidRDefault="00000000">
            <w:pPr>
              <w:spacing w:before="20" w:after="20"/>
              <w:jc w:val="both"/>
            </w:pPr>
            <w:r>
              <w:rPr>
                <w:b/>
                <w:bCs/>
                <w:sz w:val="18"/>
                <w:szCs w:val="18"/>
              </w:rPr>
              <w:t xml:space="preserve">Producto 4: </w:t>
            </w:r>
            <w:r>
              <w:rPr>
                <w:sz w:val="18"/>
                <w:szCs w:val="18"/>
              </w:rPr>
              <w:t>Cuadro comparativo de los tipos de auditoría Gubernamental, bajo los atributos de: antecedentes, objetivo, objeto, alcance, metodología y marco normativo.</w:t>
            </w:r>
          </w:p>
        </w:tc>
      </w:tr>
      <w:tr w:rsidR="00990B14" w14:paraId="6998C192" w14:textId="77777777">
        <w:trPr>
          <w:cantSplit/>
          <w:jc w:val="center"/>
        </w:trPr>
        <w:tc>
          <w:tcPr>
            <w:tcW w:w="9405" w:type="dxa"/>
            <w:gridSpan w:val="13"/>
            <w:shd w:val="clear" w:color="auto" w:fill="4472C4"/>
            <w:vAlign w:val="center"/>
          </w:tcPr>
          <w:p w14:paraId="26FA40E8" w14:textId="77777777" w:rsidR="00990B14" w:rsidRDefault="00000000">
            <w:pPr>
              <w:keepNext/>
              <w:spacing w:before="20" w:after="20"/>
              <w:jc w:val="center"/>
            </w:pPr>
            <w:r>
              <w:rPr>
                <w:b/>
                <w:bCs/>
                <w:i/>
                <w:iCs/>
                <w:color w:val="FFFFFF"/>
                <w:sz w:val="18"/>
                <w:szCs w:val="18"/>
              </w:rPr>
              <w:t>Evidencias de conocimiento</w:t>
            </w:r>
          </w:p>
        </w:tc>
      </w:tr>
      <w:tr w:rsidR="00990B14" w14:paraId="7AE0C87F" w14:textId="77777777">
        <w:trPr>
          <w:cantSplit/>
          <w:jc w:val="center"/>
        </w:trPr>
        <w:tc>
          <w:tcPr>
            <w:tcW w:w="2349" w:type="dxa"/>
            <w:gridSpan w:val="2"/>
            <w:shd w:val="clear" w:color="auto" w:fill="4472C4"/>
            <w:vAlign w:val="center"/>
          </w:tcPr>
          <w:p w14:paraId="2446EE35"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502D3DDF" w14:textId="77777777" w:rsidR="00990B14" w:rsidRDefault="00000000">
            <w:pPr>
              <w:keepNext/>
              <w:spacing w:before="20" w:after="20"/>
              <w:jc w:val="both"/>
            </w:pPr>
            <w:r>
              <w:rPr>
                <w:b/>
                <w:bCs/>
                <w:i/>
                <w:iCs/>
                <w:color w:val="FFFFFF"/>
                <w:sz w:val="18"/>
                <w:szCs w:val="18"/>
              </w:rPr>
              <w:t>Contenidos</w:t>
            </w:r>
          </w:p>
          <w:p w14:paraId="72AB6CF3"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357F976C" w14:textId="77777777" w:rsidR="00990B14" w:rsidRDefault="00000000">
            <w:pPr>
              <w:keepNext/>
              <w:spacing w:before="20" w:after="20"/>
              <w:jc w:val="center"/>
            </w:pPr>
            <w:r>
              <w:rPr>
                <w:b/>
                <w:bCs/>
                <w:i/>
                <w:iCs/>
                <w:color w:val="FFFFFF"/>
                <w:sz w:val="18"/>
                <w:szCs w:val="18"/>
              </w:rPr>
              <w:t>Conocimientos circunstanciales</w:t>
            </w:r>
          </w:p>
        </w:tc>
      </w:tr>
      <w:tr w:rsidR="00990B14" w14:paraId="0626A65B" w14:textId="77777777">
        <w:trPr>
          <w:jc w:val="center"/>
        </w:trPr>
        <w:tc>
          <w:tcPr>
            <w:tcW w:w="2349" w:type="dxa"/>
            <w:gridSpan w:val="2"/>
            <w:shd w:val="clear" w:color="auto" w:fill="D9E2F3"/>
          </w:tcPr>
          <w:p w14:paraId="1C78AE2B" w14:textId="77777777" w:rsidR="00990B14" w:rsidRDefault="00000000">
            <w:pPr>
              <w:spacing w:before="20" w:after="40"/>
              <w:jc w:val="center"/>
            </w:pPr>
            <w:r>
              <w:rPr>
                <w:b/>
                <w:bCs/>
                <w:sz w:val="18"/>
                <w:szCs w:val="18"/>
              </w:rPr>
              <w:t>Tema 1. El Modelo de Gestión Pública y los Sistemas de Administración</w:t>
            </w:r>
          </w:p>
          <w:p w14:paraId="5CBE6F2D" w14:textId="77777777" w:rsidR="00990B14" w:rsidRDefault="00000000">
            <w:pPr>
              <w:spacing w:before="20" w:after="40"/>
              <w:jc w:val="center"/>
            </w:pPr>
            <w:r>
              <w:rPr>
                <w:b/>
                <w:bCs/>
                <w:sz w:val="18"/>
                <w:szCs w:val="18"/>
              </w:rPr>
              <w:t>Tema 2. El Sistema de Control Gubernamental y las Normas de Auditoría</w:t>
            </w:r>
          </w:p>
        </w:tc>
        <w:tc>
          <w:tcPr>
            <w:tcW w:w="4304" w:type="dxa"/>
            <w:gridSpan w:val="8"/>
            <w:shd w:val="clear" w:color="auto" w:fill="D9E2F3"/>
          </w:tcPr>
          <w:p w14:paraId="10BBFD19" w14:textId="77777777" w:rsidR="00990B14" w:rsidRDefault="00000000">
            <w:pPr>
              <w:spacing w:after="40"/>
              <w:jc w:val="both"/>
            </w:pPr>
            <w:r>
              <w:rPr>
                <w:sz w:val="18"/>
                <w:szCs w:val="18"/>
              </w:rPr>
              <w:t>Naturaleza, características y enfoque sistémico del Modelo de Gestión Pública. (C)</w:t>
            </w:r>
          </w:p>
          <w:p w14:paraId="16E96334" w14:textId="77777777" w:rsidR="00990B14" w:rsidRDefault="00000000">
            <w:pPr>
              <w:spacing w:after="40"/>
              <w:jc w:val="both"/>
            </w:pPr>
            <w:r>
              <w:rPr>
                <w:sz w:val="18"/>
                <w:szCs w:val="18"/>
              </w:rPr>
              <w:t>Finalidades, objetivos, ámbito de aplicación y sistemas de la Ley N.º 1178. (C)</w:t>
            </w:r>
          </w:p>
          <w:p w14:paraId="128F816F" w14:textId="77777777" w:rsidR="00990B14" w:rsidRDefault="00000000">
            <w:pPr>
              <w:spacing w:after="40"/>
              <w:jc w:val="both"/>
            </w:pPr>
            <w:r>
              <w:rPr>
                <w:sz w:val="18"/>
                <w:szCs w:val="18"/>
              </w:rPr>
              <w:t>Estructura, organización y competencias de la Administración Pública. (C)</w:t>
            </w:r>
          </w:p>
          <w:p w14:paraId="26653400" w14:textId="77777777" w:rsidR="00990B14" w:rsidRDefault="00000000">
            <w:pPr>
              <w:spacing w:after="40"/>
              <w:jc w:val="both"/>
            </w:pPr>
            <w:r>
              <w:rPr>
                <w:sz w:val="18"/>
                <w:szCs w:val="18"/>
              </w:rPr>
              <w:t>Sistema de Planificación Integral del Estado y su vinculación con el control gubernamental. (C, P)</w:t>
            </w:r>
          </w:p>
          <w:p w14:paraId="1388B214" w14:textId="77777777" w:rsidR="00990B14" w:rsidRDefault="00000000">
            <w:pPr>
              <w:spacing w:after="40"/>
              <w:jc w:val="both"/>
            </w:pPr>
            <w:r>
              <w:rPr>
                <w:sz w:val="18"/>
                <w:szCs w:val="18"/>
              </w:rPr>
              <w:t>Sistemas de planificación: Programación de Operaciones y Presupuesto, y su relación con el control gubernamental. (C, P)</w:t>
            </w:r>
          </w:p>
          <w:p w14:paraId="7E246714" w14:textId="77777777" w:rsidR="00990B14" w:rsidRDefault="00000000">
            <w:pPr>
              <w:spacing w:after="40"/>
              <w:jc w:val="both"/>
            </w:pPr>
            <w:r>
              <w:rPr>
                <w:sz w:val="18"/>
                <w:szCs w:val="18"/>
              </w:rPr>
              <w:t>Sistemas de organización: Organización Administrativa, y su relación con el control gubernamental. (C)</w:t>
            </w:r>
          </w:p>
          <w:p w14:paraId="559364D9" w14:textId="77777777" w:rsidR="00990B14" w:rsidRDefault="00000000">
            <w:pPr>
              <w:spacing w:after="40"/>
              <w:jc w:val="both"/>
            </w:pPr>
            <w:r>
              <w:rPr>
                <w:sz w:val="18"/>
                <w:szCs w:val="18"/>
              </w:rPr>
              <w:t>Sistemas de ejecución: Administración de Personal, Administración de Bienes y Servicios, Contabilidad Integrada, Tesorería y Crédito Público, y su relación con el control gubernamental. (C)</w:t>
            </w:r>
          </w:p>
          <w:p w14:paraId="1290B8F8" w14:textId="77777777" w:rsidR="00990B14" w:rsidRDefault="00000000">
            <w:pPr>
              <w:spacing w:after="40"/>
              <w:jc w:val="both"/>
            </w:pPr>
            <w:r>
              <w:rPr>
                <w:sz w:val="18"/>
                <w:szCs w:val="18"/>
              </w:rPr>
              <w:t>Naturaleza, objetivos, características y estructura del Sistema de Control Gubernamental. (C)</w:t>
            </w:r>
          </w:p>
          <w:p w14:paraId="5514B74B" w14:textId="77777777" w:rsidR="00990B14" w:rsidRDefault="00000000">
            <w:pPr>
              <w:spacing w:after="40"/>
              <w:jc w:val="both"/>
            </w:pPr>
            <w:r>
              <w:rPr>
                <w:sz w:val="18"/>
                <w:szCs w:val="18"/>
              </w:rPr>
              <w:t>Control interno y externo: naturaleza, alcance y responsables. (C)</w:t>
            </w:r>
          </w:p>
          <w:p w14:paraId="16C890BD" w14:textId="77777777" w:rsidR="00990B14" w:rsidRDefault="00000000">
            <w:pPr>
              <w:spacing w:after="40"/>
              <w:jc w:val="both"/>
            </w:pPr>
            <w:r>
              <w:rPr>
                <w:sz w:val="18"/>
                <w:szCs w:val="18"/>
              </w:rPr>
              <w:t>Atribuciones, organización y competencias de la Contraloría General del Estado. (C)</w:t>
            </w:r>
          </w:p>
          <w:p w14:paraId="276569FE" w14:textId="77777777" w:rsidR="00990B14" w:rsidRDefault="00000000">
            <w:pPr>
              <w:spacing w:after="40"/>
              <w:jc w:val="both"/>
            </w:pPr>
            <w:r>
              <w:rPr>
                <w:sz w:val="18"/>
                <w:szCs w:val="18"/>
              </w:rPr>
              <w:t>Funciones y responsabilidades de las Unidades de Auditoría Interna. (C)</w:t>
            </w:r>
          </w:p>
          <w:p w14:paraId="78A00C1D" w14:textId="77777777" w:rsidR="00990B14" w:rsidRDefault="00000000">
            <w:pPr>
              <w:spacing w:after="40"/>
              <w:jc w:val="both"/>
            </w:pPr>
            <w:r>
              <w:rPr>
                <w:sz w:val="18"/>
                <w:szCs w:val="18"/>
              </w:rPr>
              <w:t>Normas de Auditoría Gubernamental generales y específicas. (C, P)</w:t>
            </w:r>
          </w:p>
          <w:p w14:paraId="2EFDA262" w14:textId="77777777" w:rsidR="00990B14" w:rsidRDefault="00000000">
            <w:pPr>
              <w:spacing w:after="40"/>
              <w:jc w:val="both"/>
            </w:pPr>
            <w:r>
              <w:rPr>
                <w:sz w:val="18"/>
                <w:szCs w:val="18"/>
              </w:rPr>
              <w:t>Tipos de auditoría gubernamental: financieras, operacional, de cumplimiento, ambientales, proyectos de inversión y de tecnologías de la información y comunicación. (C)</w:t>
            </w:r>
          </w:p>
          <w:p w14:paraId="534B482A" w14:textId="77777777" w:rsidR="00990B14" w:rsidRDefault="00000000">
            <w:pPr>
              <w:spacing w:after="40"/>
              <w:jc w:val="both"/>
            </w:pPr>
            <w:r>
              <w:rPr>
                <w:sz w:val="18"/>
                <w:szCs w:val="18"/>
              </w:rPr>
              <w:t>Normas Internacionales de Auditoría Gubernamental. (C)</w:t>
            </w:r>
          </w:p>
        </w:tc>
        <w:tc>
          <w:tcPr>
            <w:tcW w:w="2752" w:type="dxa"/>
            <w:gridSpan w:val="3"/>
            <w:shd w:val="clear" w:color="auto" w:fill="D9E2F3"/>
          </w:tcPr>
          <w:p w14:paraId="0A1C66CD" w14:textId="77777777" w:rsidR="00990B14" w:rsidRDefault="00000000">
            <w:pPr>
              <w:numPr>
                <w:ilvl w:val="0"/>
                <w:numId w:val="139"/>
              </w:numPr>
              <w:spacing w:before="10" w:after="10"/>
              <w:jc w:val="both"/>
            </w:pPr>
            <w:r>
              <w:rPr>
                <w:sz w:val="18"/>
                <w:szCs w:val="18"/>
              </w:rPr>
              <w:t>Teorías y enfoques de la administración pública, el enfoque sistémico y la organización del Estado.</w:t>
            </w:r>
          </w:p>
          <w:p w14:paraId="7EA07D64" w14:textId="77777777" w:rsidR="00990B14" w:rsidRDefault="00000000">
            <w:pPr>
              <w:numPr>
                <w:ilvl w:val="0"/>
                <w:numId w:val="139"/>
              </w:numPr>
              <w:spacing w:before="10" w:after="10"/>
              <w:jc w:val="both"/>
            </w:pPr>
            <w:r>
              <w:rPr>
                <w:sz w:val="18"/>
                <w:szCs w:val="18"/>
              </w:rPr>
              <w:t>Constitución Política del Estado y Ley N.º 031 Marco de Autonomías y Descentralización.</w:t>
            </w:r>
          </w:p>
          <w:p w14:paraId="6DF76AFF" w14:textId="77777777" w:rsidR="00990B14" w:rsidRDefault="00000000">
            <w:pPr>
              <w:numPr>
                <w:ilvl w:val="0"/>
                <w:numId w:val="139"/>
              </w:numPr>
              <w:spacing w:before="10" w:after="10"/>
              <w:jc w:val="both"/>
            </w:pPr>
            <w:r>
              <w:rPr>
                <w:sz w:val="18"/>
                <w:szCs w:val="18"/>
              </w:rPr>
              <w:t>Ley N.º 1178 de Administración y Control Gubernamentales y Ley N.º 777 del Sistema de Planificación Integral del Estado.</w:t>
            </w:r>
          </w:p>
          <w:p w14:paraId="47D0BAA3" w14:textId="77777777" w:rsidR="00990B14" w:rsidRDefault="00000000">
            <w:pPr>
              <w:numPr>
                <w:ilvl w:val="0"/>
                <w:numId w:val="139"/>
              </w:numPr>
              <w:spacing w:before="10" w:after="10"/>
              <w:jc w:val="both"/>
            </w:pPr>
            <w:r>
              <w:rPr>
                <w:sz w:val="18"/>
                <w:szCs w:val="18"/>
              </w:rPr>
              <w:t>Nociones sobre Servidor Público, planificación estratégica, operativa y financiera en el Estado.</w:t>
            </w:r>
          </w:p>
          <w:p w14:paraId="2D94DEC0" w14:textId="77777777" w:rsidR="00990B14" w:rsidRDefault="00000000">
            <w:pPr>
              <w:numPr>
                <w:ilvl w:val="0"/>
                <w:numId w:val="139"/>
              </w:numPr>
              <w:spacing w:before="10" w:after="10"/>
              <w:jc w:val="both"/>
            </w:pPr>
            <w:r>
              <w:rPr>
                <w:sz w:val="18"/>
                <w:szCs w:val="18"/>
              </w:rPr>
              <w:t>Teorías y enfoques del control gubernamental, la fiscalización y la rendición de cuentas.</w:t>
            </w:r>
          </w:p>
          <w:p w14:paraId="433235EE" w14:textId="77777777" w:rsidR="00990B14" w:rsidRDefault="00000000">
            <w:pPr>
              <w:numPr>
                <w:ilvl w:val="0"/>
                <w:numId w:val="139"/>
              </w:numPr>
              <w:spacing w:before="10" w:after="10"/>
              <w:jc w:val="both"/>
            </w:pPr>
            <w:r>
              <w:rPr>
                <w:sz w:val="18"/>
                <w:szCs w:val="18"/>
              </w:rPr>
              <w:t>Ley 2341, Procedimiento Administrativo y Ley del Sistema de Control Fiscal.</w:t>
            </w:r>
          </w:p>
          <w:p w14:paraId="784BBE8E" w14:textId="77777777" w:rsidR="00990B14" w:rsidRDefault="00000000">
            <w:pPr>
              <w:numPr>
                <w:ilvl w:val="0"/>
                <w:numId w:val="139"/>
              </w:numPr>
              <w:spacing w:before="10" w:after="10"/>
              <w:jc w:val="both"/>
            </w:pPr>
            <w:r>
              <w:rPr>
                <w:sz w:val="18"/>
                <w:szCs w:val="18"/>
              </w:rPr>
              <w:t>Ley 341 de Participación y Control Social.</w:t>
            </w:r>
          </w:p>
          <w:p w14:paraId="0CDA384A" w14:textId="77777777" w:rsidR="00990B14" w:rsidRDefault="00000000">
            <w:pPr>
              <w:numPr>
                <w:ilvl w:val="0"/>
                <w:numId w:val="139"/>
              </w:numPr>
              <w:spacing w:before="10" w:after="10"/>
              <w:jc w:val="both"/>
            </w:pPr>
            <w:r>
              <w:rPr>
                <w:sz w:val="18"/>
                <w:szCs w:val="18"/>
              </w:rPr>
              <w:t>Ley 974 de Unidades de Transparencia.</w:t>
            </w:r>
          </w:p>
          <w:p w14:paraId="2AAE152C" w14:textId="77777777" w:rsidR="00990B14" w:rsidRDefault="00000000">
            <w:pPr>
              <w:numPr>
                <w:ilvl w:val="0"/>
                <w:numId w:val="139"/>
              </w:numPr>
              <w:spacing w:before="10" w:after="10"/>
              <w:jc w:val="both"/>
            </w:pPr>
            <w:r>
              <w:rPr>
                <w:sz w:val="18"/>
                <w:szCs w:val="18"/>
              </w:rPr>
              <w:t>Nociones sobre ética del servidor público y del auditor gubernamental.</w:t>
            </w:r>
          </w:p>
          <w:p w14:paraId="736F0BDA" w14:textId="77777777" w:rsidR="00990B14" w:rsidRDefault="00000000">
            <w:pPr>
              <w:numPr>
                <w:ilvl w:val="0"/>
                <w:numId w:val="139"/>
              </w:numPr>
              <w:spacing w:before="10" w:after="10"/>
              <w:jc w:val="both"/>
            </w:pPr>
            <w:r>
              <w:rPr>
                <w:sz w:val="18"/>
                <w:szCs w:val="18"/>
              </w:rPr>
              <w:t>Normas internacionales de la INTOSAI y Normas de Auditoría Gubernamental y las Normas Internacionales de Auditoría.</w:t>
            </w:r>
          </w:p>
        </w:tc>
      </w:tr>
      <w:tr w:rsidR="00990B14" w14:paraId="13402EBD" w14:textId="77777777">
        <w:trPr>
          <w:cantSplit/>
          <w:jc w:val="center"/>
        </w:trPr>
        <w:tc>
          <w:tcPr>
            <w:tcW w:w="9405" w:type="dxa"/>
            <w:gridSpan w:val="13"/>
            <w:shd w:val="clear" w:color="auto" w:fill="D9E2F3"/>
            <w:vAlign w:val="center"/>
          </w:tcPr>
          <w:p w14:paraId="13C8A3CA" w14:textId="77777777" w:rsidR="00990B14" w:rsidRDefault="00000000">
            <w:pPr>
              <w:spacing w:before="20" w:after="20"/>
              <w:jc w:val="both"/>
            </w:pPr>
            <w:r>
              <w:rPr>
                <w:b/>
                <w:bCs/>
                <w:i/>
                <w:iCs/>
                <w:sz w:val="18"/>
                <w:szCs w:val="18"/>
              </w:rPr>
              <w:t xml:space="preserve">Elemento de competencia 2: </w:t>
            </w:r>
            <w:r>
              <w:rPr>
                <w:sz w:val="18"/>
                <w:szCs w:val="18"/>
              </w:rPr>
              <w:t>Analiza el Régimen de Responsabilidad por la Función Pública, establecido en la Ley del Sistema de Administración y Control Gubernamentales, identificando su naturaleza, características, causales, procedimientos e instancias competentes, para evaluar los indicios de responsabilidad administrativa, ejecutiva, civil y penal, derivados de las acciones y omisiones de los servidores públicos, en el marco de la auditoría gubernamental.</w:t>
            </w:r>
          </w:p>
        </w:tc>
      </w:tr>
      <w:tr w:rsidR="00990B14" w14:paraId="511046C6" w14:textId="77777777">
        <w:trPr>
          <w:cantSplit/>
          <w:jc w:val="center"/>
        </w:trPr>
        <w:tc>
          <w:tcPr>
            <w:tcW w:w="3133" w:type="dxa"/>
            <w:gridSpan w:val="4"/>
            <w:shd w:val="clear" w:color="auto" w:fill="4472C4"/>
            <w:vAlign w:val="center"/>
          </w:tcPr>
          <w:p w14:paraId="204DBE89"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6193583F"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6CAD57DA" w14:textId="77777777" w:rsidR="00990B14" w:rsidRDefault="00000000">
            <w:pPr>
              <w:keepNext/>
              <w:spacing w:before="20" w:after="20"/>
              <w:jc w:val="center"/>
            </w:pPr>
            <w:r>
              <w:rPr>
                <w:b/>
                <w:bCs/>
                <w:i/>
                <w:iCs/>
                <w:color w:val="FFFFFF"/>
                <w:sz w:val="18"/>
                <w:szCs w:val="18"/>
              </w:rPr>
              <w:t>Evidencias de producto</w:t>
            </w:r>
          </w:p>
        </w:tc>
      </w:tr>
      <w:tr w:rsidR="00990B14" w14:paraId="0BDAC690" w14:textId="77777777">
        <w:trPr>
          <w:cantSplit/>
          <w:jc w:val="center"/>
        </w:trPr>
        <w:tc>
          <w:tcPr>
            <w:tcW w:w="3133" w:type="dxa"/>
            <w:gridSpan w:val="4"/>
            <w:vMerge w:val="restart"/>
            <w:shd w:val="clear" w:color="auto" w:fill="D9E2F3"/>
            <w:vAlign w:val="center"/>
          </w:tcPr>
          <w:p w14:paraId="7877E814" w14:textId="77777777" w:rsidR="00990B14" w:rsidRDefault="00000000">
            <w:pPr>
              <w:spacing w:before="20" w:after="20"/>
              <w:jc w:val="both"/>
            </w:pPr>
            <w:r>
              <w:rPr>
                <w:sz w:val="18"/>
                <w:szCs w:val="18"/>
              </w:rPr>
              <w:t>1. Analiza el régimen de responsabilidad por la función pública, diferenciando la naturaleza de la responsabilidad administrativa, ejecutiva, civil y penal, sus causales, sujetos, sanciones, prescripción, conforme al marco normativo aplicable.</w:t>
            </w:r>
          </w:p>
        </w:tc>
        <w:tc>
          <w:tcPr>
            <w:tcW w:w="3135" w:type="dxa"/>
            <w:gridSpan w:val="5"/>
            <w:shd w:val="clear" w:color="auto" w:fill="D9E2F3"/>
            <w:vAlign w:val="center"/>
          </w:tcPr>
          <w:p w14:paraId="2B0F326A" w14:textId="77777777" w:rsidR="00990B14" w:rsidRDefault="00000000">
            <w:pPr>
              <w:spacing w:before="20" w:after="20"/>
              <w:jc w:val="both"/>
            </w:pPr>
            <w:r>
              <w:rPr>
                <w:sz w:val="18"/>
                <w:szCs w:val="18"/>
              </w:rPr>
              <w:t>1.1 Explica y diferencia la naturaleza, características, sujetos, causales, consecuencias y marco normativo de los tipos de responsabilidad por la función pública: administrativa, civil.</w:t>
            </w:r>
          </w:p>
        </w:tc>
        <w:tc>
          <w:tcPr>
            <w:tcW w:w="3137" w:type="dxa"/>
            <w:gridSpan w:val="4"/>
            <w:shd w:val="clear" w:color="auto" w:fill="D9E2F3"/>
            <w:vAlign w:val="center"/>
          </w:tcPr>
          <w:p w14:paraId="010DDCC3" w14:textId="77777777" w:rsidR="00990B14" w:rsidRDefault="00000000">
            <w:pPr>
              <w:spacing w:before="20" w:after="20"/>
              <w:jc w:val="both"/>
            </w:pPr>
            <w:r>
              <w:rPr>
                <w:b/>
                <w:bCs/>
                <w:sz w:val="18"/>
                <w:szCs w:val="18"/>
              </w:rPr>
              <w:t xml:space="preserve">Producto 5: </w:t>
            </w:r>
            <w:r>
              <w:rPr>
                <w:sz w:val="18"/>
                <w:szCs w:val="18"/>
              </w:rPr>
              <w:t>Esquema de comprensión del Régimen de Responsabilidad por la Función Pública: administrativa y civil.</w:t>
            </w:r>
          </w:p>
        </w:tc>
      </w:tr>
      <w:tr w:rsidR="00990B14" w14:paraId="21F72BA9" w14:textId="77777777">
        <w:trPr>
          <w:cantSplit/>
          <w:jc w:val="center"/>
        </w:trPr>
        <w:tc>
          <w:tcPr>
            <w:tcW w:w="3133" w:type="dxa"/>
            <w:gridSpan w:val="4"/>
            <w:vMerge/>
            <w:shd w:val="clear" w:color="auto" w:fill="D9E2F3"/>
            <w:vAlign w:val="center"/>
          </w:tcPr>
          <w:p w14:paraId="63002BBF" w14:textId="77777777" w:rsidR="00990B14" w:rsidRDefault="00990B14">
            <w:pPr>
              <w:spacing w:before="20" w:after="20"/>
            </w:pPr>
          </w:p>
        </w:tc>
        <w:tc>
          <w:tcPr>
            <w:tcW w:w="3135" w:type="dxa"/>
            <w:gridSpan w:val="5"/>
            <w:shd w:val="clear" w:color="auto" w:fill="D9E2F3"/>
            <w:vAlign w:val="center"/>
          </w:tcPr>
          <w:p w14:paraId="189B34E3" w14:textId="77777777" w:rsidR="00990B14" w:rsidRDefault="00000000">
            <w:pPr>
              <w:spacing w:before="20" w:after="20"/>
              <w:jc w:val="both"/>
            </w:pPr>
            <w:r>
              <w:rPr>
                <w:sz w:val="18"/>
                <w:szCs w:val="18"/>
              </w:rPr>
              <w:t>1.2 Explica y diferencia la naturaleza, características, sujetos, causales, consecuencias y marco normativo de los tipos de responsabilidad por la función pública: penal y ejecutiva</w:t>
            </w:r>
          </w:p>
        </w:tc>
        <w:tc>
          <w:tcPr>
            <w:tcW w:w="3137" w:type="dxa"/>
            <w:gridSpan w:val="4"/>
            <w:shd w:val="clear" w:color="auto" w:fill="D9E2F3"/>
            <w:vAlign w:val="center"/>
          </w:tcPr>
          <w:p w14:paraId="1548B93E" w14:textId="77777777" w:rsidR="00990B14" w:rsidRDefault="00000000">
            <w:pPr>
              <w:spacing w:before="20" w:after="20"/>
              <w:jc w:val="both"/>
            </w:pPr>
            <w:r>
              <w:rPr>
                <w:b/>
                <w:bCs/>
                <w:sz w:val="18"/>
                <w:szCs w:val="18"/>
              </w:rPr>
              <w:t xml:space="preserve">Producto 6: </w:t>
            </w:r>
            <w:r>
              <w:rPr>
                <w:sz w:val="18"/>
                <w:szCs w:val="18"/>
              </w:rPr>
              <w:t>Esquema de comprensión del Régimen de Responsabilidad por la Función Pública: penal y ejecutiva.</w:t>
            </w:r>
          </w:p>
        </w:tc>
      </w:tr>
      <w:tr w:rsidR="00990B14" w14:paraId="27177F8A" w14:textId="77777777">
        <w:trPr>
          <w:cantSplit/>
          <w:jc w:val="center"/>
        </w:trPr>
        <w:tc>
          <w:tcPr>
            <w:tcW w:w="3133" w:type="dxa"/>
            <w:gridSpan w:val="4"/>
            <w:vMerge w:val="restart"/>
            <w:shd w:val="clear" w:color="auto" w:fill="D9E2F3"/>
            <w:vAlign w:val="center"/>
          </w:tcPr>
          <w:p w14:paraId="2252A559" w14:textId="77777777" w:rsidR="00990B14" w:rsidRDefault="00000000">
            <w:pPr>
              <w:spacing w:before="20" w:after="20"/>
              <w:jc w:val="both"/>
            </w:pPr>
            <w:r>
              <w:rPr>
                <w:sz w:val="18"/>
                <w:szCs w:val="18"/>
              </w:rPr>
              <w:t>2. Evalúa hechos y resultados derivados de la gestión pública y de la auditoría gubernamental, determinando la posible existencia de indicios de responsabilidad por la función pública y sus consecuencias jurídicas y condiciones de exención.</w:t>
            </w:r>
          </w:p>
        </w:tc>
        <w:tc>
          <w:tcPr>
            <w:tcW w:w="3135" w:type="dxa"/>
            <w:gridSpan w:val="5"/>
            <w:shd w:val="clear" w:color="auto" w:fill="D9E2F3"/>
            <w:vAlign w:val="center"/>
          </w:tcPr>
          <w:p w14:paraId="579E0E96" w14:textId="77777777" w:rsidR="00990B14" w:rsidRDefault="00000000">
            <w:pPr>
              <w:spacing w:before="20" w:after="20"/>
              <w:jc w:val="both"/>
            </w:pPr>
            <w:r>
              <w:rPr>
                <w:sz w:val="18"/>
                <w:szCs w:val="18"/>
              </w:rPr>
              <w:t>2.1 Analiza y determina responsabilidades por la función pública: administrativa y civil, sobre un estudio de caso, identificando: sujeto, sanción, norma vulnerada e instancia que sanciona.</w:t>
            </w:r>
          </w:p>
        </w:tc>
        <w:tc>
          <w:tcPr>
            <w:tcW w:w="3137" w:type="dxa"/>
            <w:gridSpan w:val="4"/>
            <w:shd w:val="clear" w:color="auto" w:fill="D9E2F3"/>
            <w:vAlign w:val="center"/>
          </w:tcPr>
          <w:p w14:paraId="65A286BA" w14:textId="77777777" w:rsidR="00990B14" w:rsidRDefault="00000000">
            <w:pPr>
              <w:spacing w:before="20" w:after="20"/>
              <w:jc w:val="both"/>
            </w:pPr>
            <w:r>
              <w:rPr>
                <w:b/>
                <w:bCs/>
                <w:sz w:val="18"/>
                <w:szCs w:val="18"/>
              </w:rPr>
              <w:t xml:space="preserve">Producto 7: </w:t>
            </w:r>
            <w:r>
              <w:rPr>
                <w:sz w:val="18"/>
                <w:szCs w:val="18"/>
              </w:rPr>
              <w:t>Informe de indicios de responsabilidad por la función pública del estudio de caso: administrativa y civil</w:t>
            </w:r>
          </w:p>
        </w:tc>
      </w:tr>
      <w:tr w:rsidR="00990B14" w14:paraId="44F9DF3D" w14:textId="77777777">
        <w:trPr>
          <w:cantSplit/>
          <w:jc w:val="center"/>
        </w:trPr>
        <w:tc>
          <w:tcPr>
            <w:tcW w:w="3133" w:type="dxa"/>
            <w:gridSpan w:val="4"/>
            <w:vMerge/>
            <w:shd w:val="clear" w:color="auto" w:fill="D9E2F3"/>
            <w:vAlign w:val="center"/>
          </w:tcPr>
          <w:p w14:paraId="4B848F2C" w14:textId="77777777" w:rsidR="00990B14" w:rsidRDefault="00990B14">
            <w:pPr>
              <w:spacing w:before="20" w:after="20"/>
            </w:pPr>
          </w:p>
        </w:tc>
        <w:tc>
          <w:tcPr>
            <w:tcW w:w="3135" w:type="dxa"/>
            <w:gridSpan w:val="5"/>
            <w:shd w:val="clear" w:color="auto" w:fill="D9E2F3"/>
            <w:vAlign w:val="center"/>
          </w:tcPr>
          <w:p w14:paraId="3775741C" w14:textId="77777777" w:rsidR="00990B14" w:rsidRDefault="00000000">
            <w:pPr>
              <w:spacing w:before="20" w:after="20"/>
              <w:jc w:val="both"/>
            </w:pPr>
            <w:r>
              <w:rPr>
                <w:sz w:val="18"/>
                <w:szCs w:val="18"/>
              </w:rPr>
              <w:t>2.2 Analiza y determina responsabilidades por la función pública: penal y ejecutiva, sobre un estudio de caso, identificando: sujeto, sanción, norma vulnerada e instancia que sanciona.</w:t>
            </w:r>
          </w:p>
        </w:tc>
        <w:tc>
          <w:tcPr>
            <w:tcW w:w="3137" w:type="dxa"/>
            <w:gridSpan w:val="4"/>
            <w:shd w:val="clear" w:color="auto" w:fill="D9E2F3"/>
            <w:vAlign w:val="center"/>
          </w:tcPr>
          <w:p w14:paraId="2FF429F1" w14:textId="77777777" w:rsidR="00990B14" w:rsidRDefault="00000000">
            <w:pPr>
              <w:spacing w:before="20" w:after="20"/>
              <w:jc w:val="both"/>
            </w:pPr>
            <w:r>
              <w:rPr>
                <w:b/>
                <w:bCs/>
                <w:sz w:val="18"/>
                <w:szCs w:val="18"/>
              </w:rPr>
              <w:t xml:space="preserve">Producto 8: </w:t>
            </w:r>
            <w:r>
              <w:rPr>
                <w:sz w:val="18"/>
                <w:szCs w:val="18"/>
              </w:rPr>
              <w:t>Informe de indicios de responsabilidad por la función pública del estudio de caso: penal y ejecutiva</w:t>
            </w:r>
          </w:p>
        </w:tc>
      </w:tr>
      <w:tr w:rsidR="00990B14" w14:paraId="36C8233C" w14:textId="77777777">
        <w:trPr>
          <w:cantSplit/>
          <w:jc w:val="center"/>
        </w:trPr>
        <w:tc>
          <w:tcPr>
            <w:tcW w:w="9405" w:type="dxa"/>
            <w:gridSpan w:val="13"/>
            <w:shd w:val="clear" w:color="auto" w:fill="4472C4"/>
            <w:vAlign w:val="center"/>
          </w:tcPr>
          <w:p w14:paraId="40F5F516" w14:textId="77777777" w:rsidR="00990B14" w:rsidRDefault="00000000">
            <w:pPr>
              <w:keepNext/>
              <w:spacing w:before="20" w:after="20"/>
              <w:jc w:val="center"/>
            </w:pPr>
            <w:r>
              <w:rPr>
                <w:b/>
                <w:bCs/>
                <w:i/>
                <w:iCs/>
                <w:color w:val="FFFFFF"/>
                <w:sz w:val="18"/>
                <w:szCs w:val="18"/>
              </w:rPr>
              <w:t>Evidencias de conocimiento</w:t>
            </w:r>
          </w:p>
        </w:tc>
      </w:tr>
      <w:tr w:rsidR="00990B14" w14:paraId="77C5C8AF" w14:textId="77777777">
        <w:trPr>
          <w:cantSplit/>
          <w:jc w:val="center"/>
        </w:trPr>
        <w:tc>
          <w:tcPr>
            <w:tcW w:w="2349" w:type="dxa"/>
            <w:gridSpan w:val="2"/>
            <w:shd w:val="clear" w:color="auto" w:fill="4472C4"/>
            <w:vAlign w:val="center"/>
          </w:tcPr>
          <w:p w14:paraId="36FC9142"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125D705D" w14:textId="77777777" w:rsidR="00990B14" w:rsidRDefault="00000000">
            <w:pPr>
              <w:keepNext/>
              <w:spacing w:before="20" w:after="20"/>
              <w:jc w:val="both"/>
            </w:pPr>
            <w:r>
              <w:rPr>
                <w:b/>
                <w:bCs/>
                <w:i/>
                <w:iCs/>
                <w:color w:val="FFFFFF"/>
                <w:sz w:val="18"/>
                <w:szCs w:val="18"/>
              </w:rPr>
              <w:t>Contenidos</w:t>
            </w:r>
          </w:p>
          <w:p w14:paraId="25AC5C08"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605353E1" w14:textId="77777777" w:rsidR="00990B14" w:rsidRDefault="00000000">
            <w:pPr>
              <w:keepNext/>
              <w:spacing w:before="20" w:after="20"/>
              <w:jc w:val="center"/>
            </w:pPr>
            <w:r>
              <w:rPr>
                <w:b/>
                <w:bCs/>
                <w:i/>
                <w:iCs/>
                <w:color w:val="FFFFFF"/>
                <w:sz w:val="18"/>
                <w:szCs w:val="18"/>
              </w:rPr>
              <w:t>Conocimientos circunstanciales</w:t>
            </w:r>
          </w:p>
        </w:tc>
      </w:tr>
      <w:tr w:rsidR="00990B14" w14:paraId="51145529" w14:textId="77777777">
        <w:trPr>
          <w:jc w:val="center"/>
        </w:trPr>
        <w:tc>
          <w:tcPr>
            <w:tcW w:w="2349" w:type="dxa"/>
            <w:gridSpan w:val="2"/>
            <w:shd w:val="clear" w:color="auto" w:fill="D9E2F3"/>
          </w:tcPr>
          <w:p w14:paraId="79B0DBA1" w14:textId="77777777" w:rsidR="00990B14" w:rsidRDefault="00000000">
            <w:pPr>
              <w:spacing w:before="20" w:after="40"/>
              <w:jc w:val="center"/>
            </w:pPr>
            <w:r>
              <w:rPr>
                <w:b/>
                <w:bCs/>
                <w:sz w:val="18"/>
                <w:szCs w:val="18"/>
              </w:rPr>
              <w:t>Tema 3. Régimen de Responsabilidad por la Función Pública</w:t>
            </w:r>
          </w:p>
        </w:tc>
        <w:tc>
          <w:tcPr>
            <w:tcW w:w="4304" w:type="dxa"/>
            <w:gridSpan w:val="8"/>
            <w:shd w:val="clear" w:color="auto" w:fill="D9E2F3"/>
          </w:tcPr>
          <w:p w14:paraId="10E6ABA6" w14:textId="77777777" w:rsidR="00990B14" w:rsidRDefault="00000000">
            <w:pPr>
              <w:spacing w:after="40"/>
              <w:jc w:val="both"/>
            </w:pPr>
            <w:r>
              <w:rPr>
                <w:sz w:val="18"/>
                <w:szCs w:val="18"/>
              </w:rPr>
              <w:t>La responsabilidad por la función pública y el Servidor Público: naturaleza, características, sujetos y marco normativo. (C)</w:t>
            </w:r>
          </w:p>
          <w:p w14:paraId="7C53B207" w14:textId="77777777" w:rsidR="00990B14" w:rsidRDefault="00000000">
            <w:pPr>
              <w:spacing w:after="40"/>
              <w:jc w:val="both"/>
            </w:pPr>
            <w:r>
              <w:rPr>
                <w:sz w:val="18"/>
                <w:szCs w:val="18"/>
              </w:rPr>
              <w:t>Responsabilidad administrativa: naturaleza, causales, procedimientos y sanciones. (C, P)</w:t>
            </w:r>
          </w:p>
          <w:p w14:paraId="31E1B59F" w14:textId="77777777" w:rsidR="00990B14" w:rsidRDefault="00000000">
            <w:pPr>
              <w:spacing w:after="40"/>
              <w:jc w:val="both"/>
            </w:pPr>
            <w:r>
              <w:rPr>
                <w:sz w:val="18"/>
                <w:szCs w:val="18"/>
              </w:rPr>
              <w:t>Responsabilidad ejecutiva: naturaleza, causales, procedimientos y consecuencias. (C, P)</w:t>
            </w:r>
          </w:p>
          <w:p w14:paraId="3B017100" w14:textId="77777777" w:rsidR="00990B14" w:rsidRDefault="00000000">
            <w:pPr>
              <w:spacing w:after="40"/>
              <w:jc w:val="both"/>
            </w:pPr>
            <w:r>
              <w:rPr>
                <w:sz w:val="18"/>
                <w:szCs w:val="18"/>
              </w:rPr>
              <w:t>Responsabilidad civil: naturaleza, daño económico al Estado y resarcimiento. (C, P)</w:t>
            </w:r>
          </w:p>
          <w:p w14:paraId="4158D77B" w14:textId="77777777" w:rsidR="00990B14" w:rsidRDefault="00000000">
            <w:pPr>
              <w:spacing w:after="40"/>
              <w:jc w:val="both"/>
            </w:pPr>
            <w:r>
              <w:rPr>
                <w:sz w:val="18"/>
                <w:szCs w:val="18"/>
              </w:rPr>
              <w:t>Responsabilidad penal: naturaleza, conductas delictivas y consecuencias jurídicas. (C, P)</w:t>
            </w:r>
          </w:p>
          <w:p w14:paraId="084F524B" w14:textId="77777777" w:rsidR="00990B14" w:rsidRDefault="00000000">
            <w:pPr>
              <w:spacing w:after="40"/>
              <w:jc w:val="both"/>
            </w:pPr>
            <w:r>
              <w:rPr>
                <w:sz w:val="18"/>
                <w:szCs w:val="18"/>
              </w:rPr>
              <w:t>Exención de responsabilidad por la función pública: causales y condiciones. (C)</w:t>
            </w:r>
          </w:p>
          <w:p w14:paraId="6614BB18" w14:textId="77777777" w:rsidR="00990B14" w:rsidRDefault="00000000">
            <w:pPr>
              <w:spacing w:after="40"/>
              <w:jc w:val="both"/>
            </w:pPr>
            <w:r>
              <w:rPr>
                <w:sz w:val="18"/>
                <w:szCs w:val="18"/>
              </w:rPr>
              <w:t>La auditoría gubernamental y su vinculación con el régimen de responsabilidad por la función pública. (C, P)</w:t>
            </w:r>
          </w:p>
        </w:tc>
        <w:tc>
          <w:tcPr>
            <w:tcW w:w="2752" w:type="dxa"/>
            <w:gridSpan w:val="3"/>
            <w:shd w:val="clear" w:color="auto" w:fill="D9E2F3"/>
          </w:tcPr>
          <w:p w14:paraId="445A7C3B" w14:textId="77777777" w:rsidR="00990B14" w:rsidRDefault="00000000">
            <w:pPr>
              <w:numPr>
                <w:ilvl w:val="0"/>
                <w:numId w:val="139"/>
              </w:numPr>
              <w:spacing w:before="10" w:after="10"/>
              <w:jc w:val="both"/>
            </w:pPr>
            <w:r>
              <w:rPr>
                <w:sz w:val="18"/>
                <w:szCs w:val="18"/>
              </w:rPr>
              <w:t>Teorías y principios de la responsabilidad civil, penal, administrativa y ejecutiva, y la función pública.</w:t>
            </w:r>
          </w:p>
          <w:p w14:paraId="5E5CCE94" w14:textId="77777777" w:rsidR="00990B14" w:rsidRDefault="00000000">
            <w:pPr>
              <w:numPr>
                <w:ilvl w:val="0"/>
                <w:numId w:val="139"/>
              </w:numPr>
              <w:spacing w:before="10" w:after="10"/>
              <w:jc w:val="both"/>
            </w:pPr>
            <w:r>
              <w:rPr>
                <w:sz w:val="18"/>
                <w:szCs w:val="18"/>
              </w:rPr>
              <w:t>Nociones sobre derechos y obligaciones de servidores públicos, prescripción y exención de responsabilidad.</w:t>
            </w:r>
          </w:p>
          <w:p w14:paraId="296DFA3B" w14:textId="77777777" w:rsidR="00990B14" w:rsidRDefault="00000000">
            <w:pPr>
              <w:numPr>
                <w:ilvl w:val="0"/>
                <w:numId w:val="139"/>
              </w:numPr>
              <w:spacing w:before="10" w:after="10"/>
              <w:jc w:val="both"/>
            </w:pPr>
            <w:r>
              <w:rPr>
                <w:sz w:val="18"/>
                <w:szCs w:val="18"/>
              </w:rPr>
              <w:t>Ley 1178 de Administración y Control Gubernamentales y Decreto Supremo 23318-A, Reglamento de la Responsabilidad por la Función Pública.</w:t>
            </w:r>
          </w:p>
          <w:p w14:paraId="7B256393" w14:textId="77777777" w:rsidR="00990B14" w:rsidRDefault="00000000">
            <w:pPr>
              <w:numPr>
                <w:ilvl w:val="0"/>
                <w:numId w:val="139"/>
              </w:numPr>
              <w:spacing w:before="10" w:after="10"/>
              <w:jc w:val="both"/>
            </w:pPr>
            <w:r>
              <w:rPr>
                <w:sz w:val="18"/>
                <w:szCs w:val="18"/>
              </w:rPr>
              <w:t>Ley 2027 del Estatuto del Funcionario Público y Ley N.º 2341 de Procedimiento Administrativo.</w:t>
            </w:r>
          </w:p>
          <w:p w14:paraId="6469FCCE" w14:textId="77777777" w:rsidR="00990B14" w:rsidRDefault="00000000">
            <w:pPr>
              <w:numPr>
                <w:ilvl w:val="0"/>
                <w:numId w:val="139"/>
              </w:numPr>
              <w:spacing w:before="10" w:after="10"/>
              <w:jc w:val="both"/>
            </w:pPr>
            <w:r>
              <w:rPr>
                <w:sz w:val="18"/>
                <w:szCs w:val="18"/>
              </w:rPr>
              <w:t>Ley 004 de Lucha contra la Corrupción.</w:t>
            </w:r>
          </w:p>
        </w:tc>
      </w:tr>
      <w:tr w:rsidR="00990B14" w14:paraId="580831A7" w14:textId="77777777">
        <w:trPr>
          <w:cantSplit/>
          <w:jc w:val="center"/>
        </w:trPr>
        <w:tc>
          <w:tcPr>
            <w:tcW w:w="9405" w:type="dxa"/>
            <w:gridSpan w:val="13"/>
            <w:shd w:val="clear" w:color="auto" w:fill="D9E2F3"/>
            <w:vAlign w:val="center"/>
          </w:tcPr>
          <w:p w14:paraId="1413D612" w14:textId="77777777" w:rsidR="00990B14" w:rsidRDefault="00000000">
            <w:pPr>
              <w:spacing w:before="20" w:after="20"/>
              <w:jc w:val="both"/>
            </w:pPr>
            <w:r>
              <w:rPr>
                <w:b/>
                <w:bCs/>
                <w:i/>
                <w:iCs/>
                <w:sz w:val="18"/>
                <w:szCs w:val="18"/>
              </w:rPr>
              <w:t xml:space="preserve">Elemento de competencia 3: </w:t>
            </w:r>
            <w:r>
              <w:rPr>
                <w:sz w:val="18"/>
                <w:szCs w:val="18"/>
              </w:rPr>
              <w:t>Evalúa el Sistema de Control Interno de las entidades públicas, mediante la aplicación de los Principios, Normas Generales y Básicas de Control Interno Gubernamental, considerando sus componentes y utilizando cuestionarios, técnicas y procedimientos de evaluación, para determinar el grado de eficacia de los controles, identificar deficiencias y formular recomendaciones orientadas al fortalecimiento del control interno y la gestión institucional.</w:t>
            </w:r>
          </w:p>
        </w:tc>
      </w:tr>
      <w:tr w:rsidR="00990B14" w14:paraId="5E506F1E" w14:textId="77777777">
        <w:trPr>
          <w:cantSplit/>
          <w:jc w:val="center"/>
        </w:trPr>
        <w:tc>
          <w:tcPr>
            <w:tcW w:w="3133" w:type="dxa"/>
            <w:gridSpan w:val="4"/>
            <w:shd w:val="clear" w:color="auto" w:fill="4472C4"/>
            <w:vAlign w:val="center"/>
          </w:tcPr>
          <w:p w14:paraId="4D65A796"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4FDB101D"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22061495" w14:textId="77777777" w:rsidR="00990B14" w:rsidRDefault="00000000">
            <w:pPr>
              <w:keepNext/>
              <w:spacing w:before="20" w:after="20"/>
              <w:jc w:val="center"/>
            </w:pPr>
            <w:r>
              <w:rPr>
                <w:b/>
                <w:bCs/>
                <w:i/>
                <w:iCs/>
                <w:color w:val="FFFFFF"/>
                <w:sz w:val="18"/>
                <w:szCs w:val="18"/>
              </w:rPr>
              <w:t>Evidencias de producto</w:t>
            </w:r>
          </w:p>
        </w:tc>
      </w:tr>
      <w:tr w:rsidR="00990B14" w14:paraId="7CFC2A24" w14:textId="77777777">
        <w:trPr>
          <w:cantSplit/>
          <w:jc w:val="center"/>
        </w:trPr>
        <w:tc>
          <w:tcPr>
            <w:tcW w:w="3133" w:type="dxa"/>
            <w:gridSpan w:val="4"/>
            <w:vMerge w:val="restart"/>
            <w:shd w:val="clear" w:color="auto" w:fill="D9E2F3"/>
            <w:vAlign w:val="center"/>
          </w:tcPr>
          <w:p w14:paraId="4EC3CDAE" w14:textId="77777777" w:rsidR="00990B14" w:rsidRDefault="00000000">
            <w:pPr>
              <w:spacing w:before="20" w:after="20"/>
              <w:jc w:val="both"/>
            </w:pPr>
            <w:r>
              <w:rPr>
                <w:sz w:val="18"/>
                <w:szCs w:val="18"/>
              </w:rPr>
              <w:t>1. Evalúa el diseño, la implementación y la eficacia del control interno de entidades públicas, aplicando los Principios, Normas Generales y Básicas de Control Interno Gubernamental.</w:t>
            </w:r>
          </w:p>
        </w:tc>
        <w:tc>
          <w:tcPr>
            <w:tcW w:w="3135" w:type="dxa"/>
            <w:gridSpan w:val="5"/>
            <w:shd w:val="clear" w:color="auto" w:fill="D9E2F3"/>
            <w:vAlign w:val="center"/>
          </w:tcPr>
          <w:p w14:paraId="48B668BF" w14:textId="77777777" w:rsidR="00990B14" w:rsidRDefault="00000000">
            <w:pPr>
              <w:spacing w:before="20" w:after="20"/>
              <w:jc w:val="both"/>
            </w:pPr>
            <w:r>
              <w:rPr>
                <w:sz w:val="18"/>
                <w:szCs w:val="18"/>
              </w:rPr>
              <w:t>1.1 Analiza y describe los principios, las normas, procesos y componentes del Sistema de Control Interno Gubernamental, de acuerdo con el Marco Integrado de Control Interno.</w:t>
            </w:r>
          </w:p>
        </w:tc>
        <w:tc>
          <w:tcPr>
            <w:tcW w:w="3137" w:type="dxa"/>
            <w:gridSpan w:val="4"/>
            <w:shd w:val="clear" w:color="auto" w:fill="D9E2F3"/>
            <w:vAlign w:val="center"/>
          </w:tcPr>
          <w:p w14:paraId="18DD4DBE" w14:textId="77777777" w:rsidR="00990B14" w:rsidRDefault="00000000">
            <w:pPr>
              <w:spacing w:before="20" w:after="20"/>
              <w:jc w:val="both"/>
            </w:pPr>
            <w:r>
              <w:rPr>
                <w:b/>
                <w:bCs/>
                <w:sz w:val="18"/>
                <w:szCs w:val="18"/>
              </w:rPr>
              <w:t xml:space="preserve">Producto 9: </w:t>
            </w:r>
            <w:r>
              <w:rPr>
                <w:sz w:val="18"/>
                <w:szCs w:val="18"/>
              </w:rPr>
              <w:t>Esquema de comprensión del Sistema de Control Interno Gubernamental, sus componentes y características.</w:t>
            </w:r>
          </w:p>
        </w:tc>
      </w:tr>
      <w:tr w:rsidR="00990B14" w14:paraId="283C74F3" w14:textId="77777777">
        <w:trPr>
          <w:cantSplit/>
          <w:jc w:val="center"/>
        </w:trPr>
        <w:tc>
          <w:tcPr>
            <w:tcW w:w="3133" w:type="dxa"/>
            <w:gridSpan w:val="4"/>
            <w:vMerge/>
            <w:shd w:val="clear" w:color="auto" w:fill="D9E2F3"/>
            <w:vAlign w:val="center"/>
          </w:tcPr>
          <w:p w14:paraId="70E9A927" w14:textId="77777777" w:rsidR="00990B14" w:rsidRDefault="00990B14">
            <w:pPr>
              <w:spacing w:before="20" w:after="20"/>
            </w:pPr>
          </w:p>
        </w:tc>
        <w:tc>
          <w:tcPr>
            <w:tcW w:w="3135" w:type="dxa"/>
            <w:gridSpan w:val="5"/>
            <w:shd w:val="clear" w:color="auto" w:fill="D9E2F3"/>
            <w:vAlign w:val="center"/>
          </w:tcPr>
          <w:p w14:paraId="4F0B2398" w14:textId="77777777" w:rsidR="00990B14" w:rsidRDefault="00000000">
            <w:pPr>
              <w:spacing w:before="20" w:after="20"/>
              <w:jc w:val="both"/>
            </w:pPr>
            <w:r>
              <w:rPr>
                <w:sz w:val="18"/>
                <w:szCs w:val="18"/>
              </w:rPr>
              <w:t>1.2 Aplica técnicas e instrumentos de evaluación para determinar el nivel de eficacia de los controles internos y su contribución a los objetivos y metas institucionales.</w:t>
            </w:r>
          </w:p>
        </w:tc>
        <w:tc>
          <w:tcPr>
            <w:tcW w:w="3137" w:type="dxa"/>
            <w:gridSpan w:val="4"/>
            <w:shd w:val="clear" w:color="auto" w:fill="D9E2F3"/>
            <w:vAlign w:val="center"/>
          </w:tcPr>
          <w:p w14:paraId="796163BE" w14:textId="77777777" w:rsidR="00990B14" w:rsidRDefault="00000000">
            <w:pPr>
              <w:spacing w:before="20" w:after="20"/>
              <w:jc w:val="both"/>
            </w:pPr>
            <w:r>
              <w:rPr>
                <w:b/>
                <w:bCs/>
                <w:sz w:val="18"/>
                <w:szCs w:val="18"/>
              </w:rPr>
              <w:t xml:space="preserve">Producto 10: </w:t>
            </w:r>
            <w:r>
              <w:rPr>
                <w:sz w:val="18"/>
                <w:szCs w:val="18"/>
              </w:rPr>
              <w:t>Informe de evaluación de la eficacia del control interno, aplicando técnicas e instrumentos.</w:t>
            </w:r>
          </w:p>
        </w:tc>
      </w:tr>
      <w:tr w:rsidR="00990B14" w14:paraId="0740E4B5" w14:textId="77777777">
        <w:trPr>
          <w:cantSplit/>
          <w:jc w:val="center"/>
        </w:trPr>
        <w:tc>
          <w:tcPr>
            <w:tcW w:w="3133" w:type="dxa"/>
            <w:gridSpan w:val="4"/>
            <w:vMerge w:val="restart"/>
            <w:shd w:val="clear" w:color="auto" w:fill="D9E2F3"/>
            <w:vAlign w:val="center"/>
          </w:tcPr>
          <w:p w14:paraId="325F4ABF" w14:textId="77777777" w:rsidR="00990B14" w:rsidRDefault="00000000">
            <w:pPr>
              <w:spacing w:before="20" w:after="20"/>
              <w:jc w:val="both"/>
            </w:pPr>
            <w:r>
              <w:rPr>
                <w:sz w:val="18"/>
                <w:szCs w:val="18"/>
              </w:rPr>
              <w:t>2. Determina y documenta las deficiencias de control interno y formula recomendaciones de mejora, a fin de contribuir al logro de los objetivos y metas institucionales.</w:t>
            </w:r>
          </w:p>
        </w:tc>
        <w:tc>
          <w:tcPr>
            <w:tcW w:w="3135" w:type="dxa"/>
            <w:gridSpan w:val="5"/>
            <w:shd w:val="clear" w:color="auto" w:fill="D9E2F3"/>
            <w:vAlign w:val="center"/>
          </w:tcPr>
          <w:p w14:paraId="0CC34B45" w14:textId="77777777" w:rsidR="00990B14" w:rsidRDefault="00000000">
            <w:pPr>
              <w:spacing w:before="20" w:after="20"/>
              <w:jc w:val="both"/>
            </w:pPr>
            <w:r>
              <w:rPr>
                <w:sz w:val="18"/>
                <w:szCs w:val="18"/>
              </w:rPr>
              <w:t>2.1 Identifica las deficiencias de control interno a través de estudios de caso práctico: condición, criterio, causa y efecto.</w:t>
            </w:r>
          </w:p>
        </w:tc>
        <w:tc>
          <w:tcPr>
            <w:tcW w:w="3137" w:type="dxa"/>
            <w:gridSpan w:val="4"/>
            <w:shd w:val="clear" w:color="auto" w:fill="D9E2F3"/>
            <w:vAlign w:val="center"/>
          </w:tcPr>
          <w:p w14:paraId="3B2B4D4A" w14:textId="77777777" w:rsidR="00990B14" w:rsidRDefault="00000000">
            <w:pPr>
              <w:spacing w:before="20" w:after="20"/>
              <w:jc w:val="both"/>
            </w:pPr>
            <w:r>
              <w:rPr>
                <w:b/>
                <w:bCs/>
                <w:sz w:val="18"/>
                <w:szCs w:val="18"/>
              </w:rPr>
              <w:t xml:space="preserve">Producto 11: </w:t>
            </w:r>
            <w:r>
              <w:rPr>
                <w:sz w:val="18"/>
                <w:szCs w:val="18"/>
              </w:rPr>
              <w:t>Cuadro de deficiencias de control interno con sus atributos.</w:t>
            </w:r>
          </w:p>
        </w:tc>
      </w:tr>
      <w:tr w:rsidR="00990B14" w14:paraId="59E43002" w14:textId="77777777">
        <w:trPr>
          <w:cantSplit/>
          <w:jc w:val="center"/>
        </w:trPr>
        <w:tc>
          <w:tcPr>
            <w:tcW w:w="3133" w:type="dxa"/>
            <w:gridSpan w:val="4"/>
            <w:vMerge/>
            <w:shd w:val="clear" w:color="auto" w:fill="D9E2F3"/>
            <w:vAlign w:val="center"/>
          </w:tcPr>
          <w:p w14:paraId="5F92988B" w14:textId="77777777" w:rsidR="00990B14" w:rsidRDefault="00990B14">
            <w:pPr>
              <w:spacing w:before="20" w:after="20"/>
            </w:pPr>
          </w:p>
        </w:tc>
        <w:tc>
          <w:tcPr>
            <w:tcW w:w="3135" w:type="dxa"/>
            <w:gridSpan w:val="5"/>
            <w:shd w:val="clear" w:color="auto" w:fill="D9E2F3"/>
            <w:vAlign w:val="center"/>
          </w:tcPr>
          <w:p w14:paraId="15F2ED75" w14:textId="77777777" w:rsidR="00990B14" w:rsidRDefault="00000000">
            <w:pPr>
              <w:spacing w:before="20" w:after="20"/>
              <w:jc w:val="both"/>
            </w:pPr>
            <w:r>
              <w:rPr>
                <w:sz w:val="18"/>
                <w:szCs w:val="18"/>
              </w:rPr>
              <w:t>2.2 Redacta las observaciones de control interno con conclusiones y recomendaciones, sustentadas y argumentadas con marco normativo.</w:t>
            </w:r>
          </w:p>
        </w:tc>
        <w:tc>
          <w:tcPr>
            <w:tcW w:w="3137" w:type="dxa"/>
            <w:gridSpan w:val="4"/>
            <w:shd w:val="clear" w:color="auto" w:fill="D9E2F3"/>
            <w:vAlign w:val="center"/>
          </w:tcPr>
          <w:p w14:paraId="238C56A1" w14:textId="77777777" w:rsidR="00990B14" w:rsidRDefault="00000000">
            <w:pPr>
              <w:spacing w:before="20" w:after="20"/>
              <w:jc w:val="both"/>
            </w:pPr>
            <w:r>
              <w:rPr>
                <w:b/>
                <w:bCs/>
                <w:sz w:val="18"/>
                <w:szCs w:val="18"/>
              </w:rPr>
              <w:t xml:space="preserve">Producto 12: </w:t>
            </w:r>
            <w:r>
              <w:rPr>
                <w:sz w:val="18"/>
                <w:szCs w:val="18"/>
              </w:rPr>
              <w:t>Informe de control interno con conclusiones y recomendaciones.</w:t>
            </w:r>
          </w:p>
        </w:tc>
      </w:tr>
      <w:tr w:rsidR="00990B14" w14:paraId="41BEE0F7" w14:textId="77777777">
        <w:trPr>
          <w:cantSplit/>
          <w:jc w:val="center"/>
        </w:trPr>
        <w:tc>
          <w:tcPr>
            <w:tcW w:w="9405" w:type="dxa"/>
            <w:gridSpan w:val="13"/>
            <w:shd w:val="clear" w:color="auto" w:fill="4472C4"/>
            <w:vAlign w:val="center"/>
          </w:tcPr>
          <w:p w14:paraId="2212AE8B" w14:textId="77777777" w:rsidR="00990B14" w:rsidRDefault="00000000">
            <w:pPr>
              <w:keepNext/>
              <w:spacing w:before="20" w:after="20"/>
              <w:jc w:val="center"/>
            </w:pPr>
            <w:r>
              <w:rPr>
                <w:b/>
                <w:bCs/>
                <w:i/>
                <w:iCs/>
                <w:color w:val="FFFFFF"/>
                <w:sz w:val="18"/>
                <w:szCs w:val="18"/>
              </w:rPr>
              <w:t>Evidencias de conocimiento</w:t>
            </w:r>
          </w:p>
        </w:tc>
      </w:tr>
      <w:tr w:rsidR="00990B14" w14:paraId="393EBDD5" w14:textId="77777777">
        <w:trPr>
          <w:cantSplit/>
          <w:jc w:val="center"/>
        </w:trPr>
        <w:tc>
          <w:tcPr>
            <w:tcW w:w="2349" w:type="dxa"/>
            <w:gridSpan w:val="2"/>
            <w:shd w:val="clear" w:color="auto" w:fill="4472C4"/>
            <w:vAlign w:val="center"/>
          </w:tcPr>
          <w:p w14:paraId="52C92EBC"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0B12B552" w14:textId="77777777" w:rsidR="00990B14" w:rsidRDefault="00000000">
            <w:pPr>
              <w:keepNext/>
              <w:spacing w:before="20" w:after="20"/>
              <w:jc w:val="both"/>
            </w:pPr>
            <w:r>
              <w:rPr>
                <w:b/>
                <w:bCs/>
                <w:i/>
                <w:iCs/>
                <w:color w:val="FFFFFF"/>
                <w:sz w:val="18"/>
                <w:szCs w:val="18"/>
              </w:rPr>
              <w:t>Contenidos</w:t>
            </w:r>
          </w:p>
          <w:p w14:paraId="67C2C827"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3685774E" w14:textId="77777777" w:rsidR="00990B14" w:rsidRDefault="00000000">
            <w:pPr>
              <w:keepNext/>
              <w:spacing w:before="20" w:after="20"/>
              <w:jc w:val="center"/>
            </w:pPr>
            <w:r>
              <w:rPr>
                <w:b/>
                <w:bCs/>
                <w:i/>
                <w:iCs/>
                <w:color w:val="FFFFFF"/>
                <w:sz w:val="18"/>
                <w:szCs w:val="18"/>
              </w:rPr>
              <w:t>Conocimientos circunstanciales</w:t>
            </w:r>
          </w:p>
        </w:tc>
      </w:tr>
      <w:tr w:rsidR="00990B14" w14:paraId="219E7A7F" w14:textId="77777777">
        <w:trPr>
          <w:jc w:val="center"/>
        </w:trPr>
        <w:tc>
          <w:tcPr>
            <w:tcW w:w="2349" w:type="dxa"/>
            <w:gridSpan w:val="2"/>
            <w:shd w:val="clear" w:color="auto" w:fill="D9E2F3"/>
          </w:tcPr>
          <w:p w14:paraId="37056DB2" w14:textId="77777777" w:rsidR="00990B14" w:rsidRDefault="00000000">
            <w:pPr>
              <w:spacing w:before="20" w:after="40"/>
              <w:jc w:val="center"/>
            </w:pPr>
            <w:r>
              <w:rPr>
                <w:b/>
                <w:bCs/>
                <w:sz w:val="18"/>
                <w:szCs w:val="18"/>
              </w:rPr>
              <w:t>Tema 4. Evaluación del Sistema de Control Interno Gubernamental</w:t>
            </w:r>
          </w:p>
        </w:tc>
        <w:tc>
          <w:tcPr>
            <w:tcW w:w="4304" w:type="dxa"/>
            <w:gridSpan w:val="8"/>
            <w:shd w:val="clear" w:color="auto" w:fill="D9E2F3"/>
          </w:tcPr>
          <w:p w14:paraId="664E0CEB" w14:textId="77777777" w:rsidR="00990B14" w:rsidRDefault="00000000">
            <w:pPr>
              <w:spacing w:after="40"/>
              <w:jc w:val="both"/>
            </w:pPr>
            <w:r>
              <w:rPr>
                <w:sz w:val="18"/>
                <w:szCs w:val="18"/>
              </w:rPr>
              <w:t>Naturaleza, objetivos, características y alcance del control interno gubernamental. (C)</w:t>
            </w:r>
          </w:p>
          <w:p w14:paraId="5B52899B" w14:textId="77777777" w:rsidR="00990B14" w:rsidRDefault="00000000">
            <w:pPr>
              <w:spacing w:after="40"/>
              <w:jc w:val="both"/>
            </w:pPr>
            <w:r>
              <w:rPr>
                <w:sz w:val="18"/>
                <w:szCs w:val="18"/>
              </w:rPr>
              <w:t>Principios, Normas Generales y Básicas de Control Interno Gubernamental. (C)</w:t>
            </w:r>
          </w:p>
          <w:p w14:paraId="0875F147" w14:textId="77777777" w:rsidR="00990B14" w:rsidRDefault="00000000">
            <w:pPr>
              <w:spacing w:after="40"/>
              <w:jc w:val="both"/>
            </w:pPr>
            <w:r>
              <w:rPr>
                <w:sz w:val="18"/>
                <w:szCs w:val="18"/>
              </w:rPr>
              <w:t>Componentes del Sistema de Control Interno Gubernamental. (C)</w:t>
            </w:r>
          </w:p>
          <w:p w14:paraId="2FB5EED6" w14:textId="77777777" w:rsidR="00990B14" w:rsidRDefault="00000000">
            <w:pPr>
              <w:spacing w:after="40"/>
              <w:jc w:val="both"/>
            </w:pPr>
            <w:r>
              <w:rPr>
                <w:sz w:val="18"/>
                <w:szCs w:val="18"/>
              </w:rPr>
              <w:t>Métodos, técnicas, manuales y guías de evaluación del control interno. (C, P, T)</w:t>
            </w:r>
          </w:p>
          <w:p w14:paraId="71984A80" w14:textId="77777777" w:rsidR="00990B14" w:rsidRDefault="00000000">
            <w:pPr>
              <w:spacing w:after="40"/>
              <w:jc w:val="both"/>
            </w:pPr>
            <w:r>
              <w:rPr>
                <w:sz w:val="18"/>
                <w:szCs w:val="18"/>
              </w:rPr>
              <w:t>Evaluación del diseño, implementación y eficacia de los controles. (C, P)</w:t>
            </w:r>
          </w:p>
          <w:p w14:paraId="7A6F0AA1" w14:textId="77777777" w:rsidR="00990B14" w:rsidRDefault="00000000">
            <w:pPr>
              <w:spacing w:after="40"/>
              <w:jc w:val="both"/>
            </w:pPr>
            <w:r>
              <w:rPr>
                <w:sz w:val="18"/>
                <w:szCs w:val="18"/>
              </w:rPr>
              <w:t>Identificación, análisis y documentación de deficiencias de control interno. (C, P)</w:t>
            </w:r>
          </w:p>
          <w:p w14:paraId="10F7C5B1" w14:textId="77777777" w:rsidR="00990B14" w:rsidRDefault="00000000">
            <w:pPr>
              <w:spacing w:after="40"/>
              <w:jc w:val="both"/>
            </w:pPr>
            <w:r>
              <w:rPr>
                <w:sz w:val="18"/>
                <w:szCs w:val="18"/>
              </w:rPr>
              <w:t>Elaboración de informes, conclusiones y recomendaciones de control interno. (C, P, A)</w:t>
            </w:r>
          </w:p>
        </w:tc>
        <w:tc>
          <w:tcPr>
            <w:tcW w:w="2752" w:type="dxa"/>
            <w:gridSpan w:val="3"/>
            <w:shd w:val="clear" w:color="auto" w:fill="D9E2F3"/>
          </w:tcPr>
          <w:p w14:paraId="0C67CCE1" w14:textId="77777777" w:rsidR="00990B14" w:rsidRDefault="00000000">
            <w:pPr>
              <w:numPr>
                <w:ilvl w:val="0"/>
                <w:numId w:val="139"/>
              </w:numPr>
              <w:spacing w:before="10" w:after="10"/>
              <w:jc w:val="both"/>
            </w:pPr>
            <w:r>
              <w:rPr>
                <w:sz w:val="18"/>
                <w:szCs w:val="18"/>
              </w:rPr>
              <w:t>Teorías y enfoques del control interno: Modelo COSO y su relación con el control gubernamental.</w:t>
            </w:r>
          </w:p>
          <w:p w14:paraId="052B8259" w14:textId="77777777" w:rsidR="00990B14" w:rsidRDefault="00000000">
            <w:pPr>
              <w:numPr>
                <w:ilvl w:val="0"/>
                <w:numId w:val="139"/>
              </w:numPr>
              <w:spacing w:before="10" w:after="10"/>
              <w:jc w:val="both"/>
            </w:pPr>
            <w:r>
              <w:rPr>
                <w:sz w:val="18"/>
                <w:szCs w:val="18"/>
              </w:rPr>
              <w:t>Teorías y principios del control interno, reserva de la información.</w:t>
            </w:r>
          </w:p>
          <w:p w14:paraId="7134430E" w14:textId="77777777" w:rsidR="00990B14" w:rsidRDefault="00000000">
            <w:pPr>
              <w:numPr>
                <w:ilvl w:val="0"/>
                <w:numId w:val="139"/>
              </w:numPr>
              <w:spacing w:before="10" w:after="10"/>
              <w:jc w:val="both"/>
            </w:pPr>
            <w:r>
              <w:rPr>
                <w:sz w:val="18"/>
                <w:szCs w:val="18"/>
              </w:rPr>
              <w:t>Normas y reglamentos de los sistemas de administración, manuales y disposiciones.</w:t>
            </w:r>
          </w:p>
          <w:p w14:paraId="7CFD6F29" w14:textId="77777777" w:rsidR="00990B14" w:rsidRDefault="00000000">
            <w:pPr>
              <w:numPr>
                <w:ilvl w:val="0"/>
                <w:numId w:val="139"/>
              </w:numPr>
              <w:spacing w:before="10" w:after="10"/>
              <w:jc w:val="both"/>
            </w:pPr>
            <w:r>
              <w:rPr>
                <w:sz w:val="18"/>
                <w:szCs w:val="18"/>
              </w:rPr>
              <w:t>Nociones y métodos de identificación y análisis de riesgos.</w:t>
            </w:r>
          </w:p>
        </w:tc>
      </w:tr>
      <w:tr w:rsidR="00990B14" w14:paraId="1A6269E1" w14:textId="77777777">
        <w:trPr>
          <w:cantSplit/>
          <w:jc w:val="center"/>
        </w:trPr>
        <w:tc>
          <w:tcPr>
            <w:tcW w:w="9405" w:type="dxa"/>
            <w:gridSpan w:val="13"/>
            <w:shd w:val="clear" w:color="auto" w:fill="D9E2F3"/>
            <w:vAlign w:val="center"/>
          </w:tcPr>
          <w:p w14:paraId="57CE24B0" w14:textId="77777777" w:rsidR="00990B14" w:rsidRDefault="00000000">
            <w:pPr>
              <w:spacing w:before="20" w:after="20"/>
              <w:jc w:val="both"/>
            </w:pPr>
            <w:r>
              <w:rPr>
                <w:b/>
                <w:bCs/>
                <w:i/>
                <w:iCs/>
                <w:sz w:val="18"/>
                <w:szCs w:val="18"/>
              </w:rPr>
              <w:t xml:space="preserve">Elemento de competencia 4: </w:t>
            </w:r>
            <w:r>
              <w:rPr>
                <w:sz w:val="18"/>
                <w:szCs w:val="18"/>
              </w:rPr>
              <w:t>Planifica, ejecuta y comunica los resultados de la auditoría financiera gubernamental, aplicando las Normas de Auditoría Financiera, mediante el relevamiento de información, la evaluación del control interno, la planificación de auditoría, la obtención de evidencia válida y suficiente, y la elaboración de papeles de trabajo, para emitir una opinión independiente sobre la razonabilidad o confiabilidad de los estados financieros.</w:t>
            </w:r>
          </w:p>
        </w:tc>
      </w:tr>
      <w:tr w:rsidR="00990B14" w14:paraId="31DC5A8A" w14:textId="77777777">
        <w:trPr>
          <w:cantSplit/>
          <w:jc w:val="center"/>
        </w:trPr>
        <w:tc>
          <w:tcPr>
            <w:tcW w:w="3133" w:type="dxa"/>
            <w:gridSpan w:val="4"/>
            <w:shd w:val="clear" w:color="auto" w:fill="4472C4"/>
            <w:vAlign w:val="center"/>
          </w:tcPr>
          <w:p w14:paraId="4C848C78"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140DA61F"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6AAAB486" w14:textId="77777777" w:rsidR="00990B14" w:rsidRDefault="00000000">
            <w:pPr>
              <w:keepNext/>
              <w:spacing w:before="20" w:after="20"/>
              <w:jc w:val="center"/>
            </w:pPr>
            <w:r>
              <w:rPr>
                <w:b/>
                <w:bCs/>
                <w:i/>
                <w:iCs/>
                <w:color w:val="FFFFFF"/>
                <w:sz w:val="18"/>
                <w:szCs w:val="18"/>
              </w:rPr>
              <w:t>Evidencias de producto</w:t>
            </w:r>
          </w:p>
        </w:tc>
      </w:tr>
      <w:tr w:rsidR="00990B14" w14:paraId="4AC134C3" w14:textId="77777777">
        <w:trPr>
          <w:cantSplit/>
          <w:jc w:val="center"/>
        </w:trPr>
        <w:tc>
          <w:tcPr>
            <w:tcW w:w="3133" w:type="dxa"/>
            <w:gridSpan w:val="4"/>
            <w:vMerge w:val="restart"/>
            <w:shd w:val="clear" w:color="auto" w:fill="D9E2F3"/>
            <w:vAlign w:val="center"/>
          </w:tcPr>
          <w:p w14:paraId="6D8A1C26" w14:textId="77777777" w:rsidR="00990B14" w:rsidRDefault="00000000">
            <w:pPr>
              <w:spacing w:before="20" w:after="20"/>
              <w:jc w:val="both"/>
            </w:pPr>
            <w:r>
              <w:rPr>
                <w:sz w:val="18"/>
                <w:szCs w:val="18"/>
              </w:rPr>
              <w:t>1. Planifica la auditoría financiera mediante el conocimiento de la entidad, la evaluación del control interno, la determinación de riesgos e importancia relativa y la definición del enfoque y estrategia de auditoría, conforme a Normas de Auditoría Financiera.</w:t>
            </w:r>
          </w:p>
        </w:tc>
        <w:tc>
          <w:tcPr>
            <w:tcW w:w="3135" w:type="dxa"/>
            <w:gridSpan w:val="5"/>
            <w:shd w:val="clear" w:color="auto" w:fill="D9E2F3"/>
            <w:vAlign w:val="center"/>
          </w:tcPr>
          <w:p w14:paraId="6666CA99" w14:textId="77777777" w:rsidR="00990B14" w:rsidRDefault="00000000">
            <w:pPr>
              <w:spacing w:before="20" w:after="20"/>
              <w:jc w:val="both"/>
            </w:pPr>
            <w:r>
              <w:rPr>
                <w:sz w:val="18"/>
                <w:szCs w:val="18"/>
              </w:rPr>
              <w:t>1.1 Analiza información de la entidad, su estructura organizacional, los estados financieros, el sistema de control interno y una evaluación de los riesgos relevantes para la auditoría.</w:t>
            </w:r>
          </w:p>
        </w:tc>
        <w:tc>
          <w:tcPr>
            <w:tcW w:w="3137" w:type="dxa"/>
            <w:gridSpan w:val="4"/>
            <w:shd w:val="clear" w:color="auto" w:fill="D9E2F3"/>
            <w:vAlign w:val="center"/>
          </w:tcPr>
          <w:p w14:paraId="107745E6" w14:textId="77777777" w:rsidR="00990B14" w:rsidRDefault="00000000">
            <w:pPr>
              <w:spacing w:before="20" w:after="20"/>
              <w:jc w:val="both"/>
            </w:pPr>
            <w:r>
              <w:rPr>
                <w:b/>
                <w:bCs/>
                <w:sz w:val="18"/>
                <w:szCs w:val="18"/>
              </w:rPr>
              <w:t xml:space="preserve">Producto 13: </w:t>
            </w:r>
            <w:r>
              <w:rPr>
                <w:sz w:val="18"/>
                <w:szCs w:val="18"/>
              </w:rPr>
              <w:t>Documentos de relevamiento de información: cuadros, reportes, análisis vertical y horizontal, evaluación de control interno y otros.</w:t>
            </w:r>
          </w:p>
        </w:tc>
      </w:tr>
      <w:tr w:rsidR="00990B14" w14:paraId="294BEE70" w14:textId="77777777">
        <w:trPr>
          <w:cantSplit/>
          <w:jc w:val="center"/>
        </w:trPr>
        <w:tc>
          <w:tcPr>
            <w:tcW w:w="3133" w:type="dxa"/>
            <w:gridSpan w:val="4"/>
            <w:vMerge/>
            <w:shd w:val="clear" w:color="auto" w:fill="D9E2F3"/>
            <w:vAlign w:val="center"/>
          </w:tcPr>
          <w:p w14:paraId="7111FD1F" w14:textId="77777777" w:rsidR="00990B14" w:rsidRDefault="00990B14">
            <w:pPr>
              <w:spacing w:before="20" w:after="20"/>
            </w:pPr>
          </w:p>
        </w:tc>
        <w:tc>
          <w:tcPr>
            <w:tcW w:w="3135" w:type="dxa"/>
            <w:gridSpan w:val="5"/>
            <w:shd w:val="clear" w:color="auto" w:fill="D9E2F3"/>
            <w:vAlign w:val="center"/>
          </w:tcPr>
          <w:p w14:paraId="5A2877C2" w14:textId="77777777" w:rsidR="00990B14" w:rsidRDefault="00000000">
            <w:pPr>
              <w:spacing w:before="20" w:after="20"/>
              <w:jc w:val="both"/>
            </w:pPr>
            <w:r>
              <w:rPr>
                <w:sz w:val="18"/>
                <w:szCs w:val="18"/>
              </w:rPr>
              <w:t>1.2 Elabora el memorándum de planificación: antecedentes, objetivo, objeto, alcance, metodología, marco normativo y otros, incluidos los procedimientos a ser aplicados en los programas de trabajo.</w:t>
            </w:r>
          </w:p>
        </w:tc>
        <w:tc>
          <w:tcPr>
            <w:tcW w:w="3137" w:type="dxa"/>
            <w:gridSpan w:val="4"/>
            <w:shd w:val="clear" w:color="auto" w:fill="D9E2F3"/>
            <w:vAlign w:val="center"/>
          </w:tcPr>
          <w:p w14:paraId="5D874416" w14:textId="77777777" w:rsidR="00990B14" w:rsidRDefault="00000000">
            <w:pPr>
              <w:spacing w:before="20" w:after="20"/>
              <w:jc w:val="both"/>
            </w:pPr>
            <w:r>
              <w:rPr>
                <w:b/>
                <w:bCs/>
                <w:sz w:val="18"/>
                <w:szCs w:val="18"/>
              </w:rPr>
              <w:t xml:space="preserve">Producto 14: </w:t>
            </w:r>
            <w:r>
              <w:rPr>
                <w:sz w:val="18"/>
                <w:szCs w:val="18"/>
              </w:rPr>
              <w:t>Documento de Memorándum de Planificación de Auditoría (MPA) y programas de auditoría financiera.</w:t>
            </w:r>
          </w:p>
        </w:tc>
      </w:tr>
      <w:tr w:rsidR="00990B14" w14:paraId="17CD3312" w14:textId="77777777">
        <w:trPr>
          <w:cantSplit/>
          <w:jc w:val="center"/>
        </w:trPr>
        <w:tc>
          <w:tcPr>
            <w:tcW w:w="3133" w:type="dxa"/>
            <w:gridSpan w:val="4"/>
            <w:vMerge w:val="restart"/>
            <w:shd w:val="clear" w:color="auto" w:fill="D9E2F3"/>
            <w:vAlign w:val="center"/>
          </w:tcPr>
          <w:p w14:paraId="61070E7C" w14:textId="77777777" w:rsidR="00990B14" w:rsidRDefault="00000000">
            <w:pPr>
              <w:spacing w:before="20" w:after="20"/>
              <w:jc w:val="both"/>
            </w:pPr>
            <w:r>
              <w:rPr>
                <w:sz w:val="18"/>
                <w:szCs w:val="18"/>
              </w:rPr>
              <w:t>2. Ejecuta procedimientos de auditoría financiera y obtiene evidencia suficiente y competente, documentando los resultados de la auditoría y formula la opinión e informes de auditoría conforme a las normas aplicables.</w:t>
            </w:r>
          </w:p>
        </w:tc>
        <w:tc>
          <w:tcPr>
            <w:tcW w:w="3135" w:type="dxa"/>
            <w:gridSpan w:val="5"/>
            <w:shd w:val="clear" w:color="auto" w:fill="D9E2F3"/>
            <w:vAlign w:val="center"/>
          </w:tcPr>
          <w:p w14:paraId="66C3960B" w14:textId="77777777" w:rsidR="00990B14" w:rsidRDefault="00000000">
            <w:pPr>
              <w:spacing w:before="20" w:after="20"/>
              <w:jc w:val="both"/>
            </w:pPr>
            <w:r>
              <w:rPr>
                <w:sz w:val="18"/>
                <w:szCs w:val="18"/>
              </w:rPr>
              <w:t>2.1 Aplica los procedimientos de auditoría y pruebas sustantivas sobre los rubros y cuentas de los estados financieros, obteniendo evidencia válida, suficiente y competente.</w:t>
            </w:r>
          </w:p>
        </w:tc>
        <w:tc>
          <w:tcPr>
            <w:tcW w:w="3137" w:type="dxa"/>
            <w:gridSpan w:val="4"/>
            <w:shd w:val="clear" w:color="auto" w:fill="D9E2F3"/>
            <w:vAlign w:val="center"/>
          </w:tcPr>
          <w:p w14:paraId="78600C85" w14:textId="77777777" w:rsidR="00990B14" w:rsidRDefault="00000000">
            <w:pPr>
              <w:spacing w:before="20" w:after="20"/>
              <w:jc w:val="both"/>
            </w:pPr>
            <w:r>
              <w:rPr>
                <w:b/>
                <w:bCs/>
                <w:sz w:val="18"/>
                <w:szCs w:val="18"/>
              </w:rPr>
              <w:t xml:space="preserve">Producto 15: </w:t>
            </w:r>
            <w:r>
              <w:rPr>
                <w:sz w:val="18"/>
                <w:szCs w:val="18"/>
              </w:rPr>
              <w:t>Documentos de papeles de trabajo, y legajos de ejecución de la auditoría financiera.</w:t>
            </w:r>
          </w:p>
        </w:tc>
      </w:tr>
      <w:tr w:rsidR="00990B14" w14:paraId="1EFAF644" w14:textId="77777777">
        <w:trPr>
          <w:cantSplit/>
          <w:jc w:val="center"/>
        </w:trPr>
        <w:tc>
          <w:tcPr>
            <w:tcW w:w="3133" w:type="dxa"/>
            <w:gridSpan w:val="4"/>
            <w:vMerge/>
            <w:shd w:val="clear" w:color="auto" w:fill="D9E2F3"/>
            <w:vAlign w:val="center"/>
          </w:tcPr>
          <w:p w14:paraId="362CEA9E" w14:textId="77777777" w:rsidR="00990B14" w:rsidRDefault="00990B14">
            <w:pPr>
              <w:spacing w:before="20" w:after="20"/>
            </w:pPr>
          </w:p>
        </w:tc>
        <w:tc>
          <w:tcPr>
            <w:tcW w:w="3135" w:type="dxa"/>
            <w:gridSpan w:val="5"/>
            <w:shd w:val="clear" w:color="auto" w:fill="D9E2F3"/>
            <w:vAlign w:val="center"/>
          </w:tcPr>
          <w:p w14:paraId="74318843" w14:textId="77777777" w:rsidR="00990B14" w:rsidRDefault="00000000">
            <w:pPr>
              <w:spacing w:before="20" w:after="20"/>
              <w:jc w:val="both"/>
            </w:pPr>
            <w:r>
              <w:rPr>
                <w:sz w:val="18"/>
                <w:szCs w:val="18"/>
              </w:rPr>
              <w:t>2.2 Redacta el informe de auditoría financiera expresando la opinión sobre la razonabilidad o confiabilidad de los estados financieros, incluido el informe de control interno.</w:t>
            </w:r>
          </w:p>
        </w:tc>
        <w:tc>
          <w:tcPr>
            <w:tcW w:w="3137" w:type="dxa"/>
            <w:gridSpan w:val="4"/>
            <w:shd w:val="clear" w:color="auto" w:fill="D9E2F3"/>
            <w:vAlign w:val="center"/>
          </w:tcPr>
          <w:p w14:paraId="2B455C84" w14:textId="77777777" w:rsidR="00990B14" w:rsidRDefault="00000000">
            <w:pPr>
              <w:spacing w:before="20" w:after="20"/>
              <w:jc w:val="both"/>
            </w:pPr>
            <w:r>
              <w:rPr>
                <w:b/>
                <w:bCs/>
                <w:sz w:val="18"/>
                <w:szCs w:val="18"/>
              </w:rPr>
              <w:t xml:space="preserve">Producto 16: </w:t>
            </w:r>
            <w:r>
              <w:rPr>
                <w:sz w:val="18"/>
                <w:szCs w:val="18"/>
              </w:rPr>
              <w:t>Informe de auditoría financiera gubernamental con opinión independiente y el informe de control interno.</w:t>
            </w:r>
          </w:p>
        </w:tc>
      </w:tr>
      <w:tr w:rsidR="00990B14" w14:paraId="01385E99" w14:textId="77777777">
        <w:trPr>
          <w:cantSplit/>
          <w:jc w:val="center"/>
        </w:trPr>
        <w:tc>
          <w:tcPr>
            <w:tcW w:w="9405" w:type="dxa"/>
            <w:gridSpan w:val="13"/>
            <w:shd w:val="clear" w:color="auto" w:fill="4472C4"/>
            <w:vAlign w:val="center"/>
          </w:tcPr>
          <w:p w14:paraId="1CC65F07" w14:textId="77777777" w:rsidR="00990B14" w:rsidRDefault="00000000">
            <w:pPr>
              <w:keepNext/>
              <w:spacing w:before="20" w:after="20"/>
              <w:jc w:val="center"/>
            </w:pPr>
            <w:r>
              <w:rPr>
                <w:b/>
                <w:bCs/>
                <w:i/>
                <w:iCs/>
                <w:color w:val="FFFFFF"/>
                <w:sz w:val="18"/>
                <w:szCs w:val="18"/>
              </w:rPr>
              <w:t>Evidencias de conocimiento</w:t>
            </w:r>
          </w:p>
        </w:tc>
      </w:tr>
      <w:tr w:rsidR="00990B14" w14:paraId="1D280359" w14:textId="77777777">
        <w:trPr>
          <w:cantSplit/>
          <w:jc w:val="center"/>
        </w:trPr>
        <w:tc>
          <w:tcPr>
            <w:tcW w:w="2349" w:type="dxa"/>
            <w:gridSpan w:val="2"/>
            <w:shd w:val="clear" w:color="auto" w:fill="4472C4"/>
            <w:vAlign w:val="center"/>
          </w:tcPr>
          <w:p w14:paraId="6A91B8E5"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736F1490" w14:textId="77777777" w:rsidR="00990B14" w:rsidRDefault="00000000">
            <w:pPr>
              <w:keepNext/>
              <w:spacing w:before="20" w:after="20"/>
              <w:jc w:val="both"/>
            </w:pPr>
            <w:r>
              <w:rPr>
                <w:b/>
                <w:bCs/>
                <w:i/>
                <w:iCs/>
                <w:color w:val="FFFFFF"/>
                <w:sz w:val="18"/>
                <w:szCs w:val="18"/>
              </w:rPr>
              <w:t>Contenidos</w:t>
            </w:r>
          </w:p>
          <w:p w14:paraId="0774C8C9"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26476CDC" w14:textId="77777777" w:rsidR="00990B14" w:rsidRDefault="00000000">
            <w:pPr>
              <w:keepNext/>
              <w:spacing w:before="20" w:after="20"/>
              <w:jc w:val="center"/>
            </w:pPr>
            <w:r>
              <w:rPr>
                <w:b/>
                <w:bCs/>
                <w:i/>
                <w:iCs/>
                <w:color w:val="FFFFFF"/>
                <w:sz w:val="18"/>
                <w:szCs w:val="18"/>
              </w:rPr>
              <w:t>Conocimientos circunstanciales</w:t>
            </w:r>
          </w:p>
        </w:tc>
      </w:tr>
      <w:tr w:rsidR="00990B14" w14:paraId="498D3522" w14:textId="77777777">
        <w:trPr>
          <w:jc w:val="center"/>
        </w:trPr>
        <w:tc>
          <w:tcPr>
            <w:tcW w:w="2349" w:type="dxa"/>
            <w:gridSpan w:val="2"/>
            <w:shd w:val="clear" w:color="auto" w:fill="D9E2F3"/>
          </w:tcPr>
          <w:p w14:paraId="2315357D" w14:textId="77777777" w:rsidR="00990B14" w:rsidRDefault="00000000">
            <w:pPr>
              <w:spacing w:before="20" w:after="40"/>
              <w:jc w:val="both"/>
            </w:pPr>
            <w:r>
              <w:rPr>
                <w:b/>
                <w:bCs/>
                <w:sz w:val="18"/>
                <w:szCs w:val="18"/>
              </w:rPr>
              <w:t>Tema 5. Planificación de la Auditoría Financiera Gubernamental</w:t>
            </w:r>
          </w:p>
          <w:p w14:paraId="7FB1D32C" w14:textId="77777777" w:rsidR="00990B14" w:rsidRDefault="00000000">
            <w:pPr>
              <w:spacing w:before="20" w:after="40"/>
              <w:jc w:val="both"/>
            </w:pPr>
            <w:r>
              <w:rPr>
                <w:b/>
                <w:bCs/>
                <w:sz w:val="18"/>
                <w:szCs w:val="18"/>
              </w:rPr>
              <w:t>Tema 6. Ejecución y Comunicación de Resultados de la Auditoría Financiera Gubernamental</w:t>
            </w:r>
          </w:p>
        </w:tc>
        <w:tc>
          <w:tcPr>
            <w:tcW w:w="4304" w:type="dxa"/>
            <w:gridSpan w:val="8"/>
            <w:shd w:val="clear" w:color="auto" w:fill="D9E2F3"/>
          </w:tcPr>
          <w:p w14:paraId="63FF4C39" w14:textId="77777777" w:rsidR="00990B14" w:rsidRDefault="00000000">
            <w:pPr>
              <w:spacing w:after="40"/>
              <w:jc w:val="both"/>
            </w:pPr>
            <w:r>
              <w:rPr>
                <w:sz w:val="18"/>
                <w:szCs w:val="18"/>
              </w:rPr>
              <w:t>Naturaleza, objetivos, características, alcance y responsables de la auditoría financiera gubernamental. (C)</w:t>
            </w:r>
          </w:p>
          <w:p w14:paraId="541C0FAE" w14:textId="77777777" w:rsidR="00990B14" w:rsidRDefault="00000000">
            <w:pPr>
              <w:spacing w:after="40"/>
              <w:jc w:val="both"/>
            </w:pPr>
            <w:r>
              <w:rPr>
                <w:sz w:val="18"/>
                <w:szCs w:val="18"/>
              </w:rPr>
              <w:t>Normas de Auditoría Financiera: principios, requisitos y responsabilidades. (C)</w:t>
            </w:r>
          </w:p>
          <w:p w14:paraId="53927268" w14:textId="77777777" w:rsidR="00990B14" w:rsidRDefault="00000000">
            <w:pPr>
              <w:spacing w:after="40"/>
              <w:jc w:val="both"/>
            </w:pPr>
            <w:r>
              <w:rPr>
                <w:sz w:val="18"/>
                <w:szCs w:val="18"/>
              </w:rPr>
              <w:t>Estados financieros gubernamentales y marco de información financiera aplicable. (C)</w:t>
            </w:r>
          </w:p>
          <w:p w14:paraId="343BE4B6" w14:textId="77777777" w:rsidR="00990B14" w:rsidRDefault="00000000">
            <w:pPr>
              <w:spacing w:after="40"/>
              <w:jc w:val="both"/>
            </w:pPr>
            <w:r>
              <w:rPr>
                <w:sz w:val="18"/>
                <w:szCs w:val="18"/>
              </w:rPr>
              <w:t>Relevamiento de información y conocimiento de la entidad. (C, P, T)</w:t>
            </w:r>
          </w:p>
          <w:p w14:paraId="78C1E74A" w14:textId="77777777" w:rsidR="00990B14" w:rsidRDefault="00000000">
            <w:pPr>
              <w:spacing w:after="40"/>
              <w:jc w:val="both"/>
            </w:pPr>
            <w:r>
              <w:rPr>
                <w:sz w:val="18"/>
                <w:szCs w:val="18"/>
              </w:rPr>
              <w:t>Evaluación del control interno y determinación de riesgos de auditoría. (C, P)</w:t>
            </w:r>
          </w:p>
          <w:p w14:paraId="41D30588" w14:textId="77777777" w:rsidR="00990B14" w:rsidRDefault="00000000">
            <w:pPr>
              <w:spacing w:after="40"/>
              <w:jc w:val="both"/>
            </w:pPr>
            <w:r>
              <w:rPr>
                <w:sz w:val="18"/>
                <w:szCs w:val="18"/>
              </w:rPr>
              <w:t>Importancia relativa, enfoque y estrategia de auditoría financiera. (C, P)</w:t>
            </w:r>
          </w:p>
          <w:p w14:paraId="578811CA" w14:textId="77777777" w:rsidR="00990B14" w:rsidRDefault="00000000">
            <w:pPr>
              <w:spacing w:after="40"/>
              <w:jc w:val="both"/>
            </w:pPr>
            <w:r>
              <w:rPr>
                <w:sz w:val="18"/>
                <w:szCs w:val="18"/>
              </w:rPr>
              <w:t>Planificación de auditoría: memorándum de planificación y programas de trabajo. (C, P)</w:t>
            </w:r>
          </w:p>
          <w:p w14:paraId="1A1F54FE" w14:textId="77777777" w:rsidR="00990B14" w:rsidRDefault="00000000">
            <w:pPr>
              <w:spacing w:after="40"/>
              <w:jc w:val="both"/>
            </w:pPr>
            <w:r>
              <w:rPr>
                <w:sz w:val="18"/>
                <w:szCs w:val="18"/>
              </w:rPr>
              <w:t>Ejecución de programas de trabajo y procedimientos de auditoría financiera. (C, P)</w:t>
            </w:r>
          </w:p>
          <w:p w14:paraId="3F0C4940" w14:textId="77777777" w:rsidR="00990B14" w:rsidRDefault="00000000">
            <w:pPr>
              <w:spacing w:after="40"/>
              <w:jc w:val="both"/>
            </w:pPr>
            <w:r>
              <w:rPr>
                <w:sz w:val="18"/>
                <w:szCs w:val="18"/>
              </w:rPr>
              <w:t>Evidencia de auditoría: naturaleza, características, validez y suficiencia. (C)</w:t>
            </w:r>
          </w:p>
          <w:p w14:paraId="5562DFD6" w14:textId="77777777" w:rsidR="00990B14" w:rsidRDefault="00000000">
            <w:pPr>
              <w:spacing w:after="40"/>
              <w:jc w:val="both"/>
            </w:pPr>
            <w:r>
              <w:rPr>
                <w:sz w:val="18"/>
                <w:szCs w:val="18"/>
              </w:rPr>
              <w:t>Técnicas y procedimientos para la obtención y evaluación de evidencia. (C, P, T)</w:t>
            </w:r>
          </w:p>
          <w:p w14:paraId="4D31E870" w14:textId="77777777" w:rsidR="00990B14" w:rsidRDefault="00000000">
            <w:pPr>
              <w:spacing w:after="40"/>
              <w:jc w:val="both"/>
            </w:pPr>
            <w:r>
              <w:rPr>
                <w:sz w:val="18"/>
                <w:szCs w:val="18"/>
              </w:rPr>
              <w:t>Papeles de trabajo: elaboración, documentación, referenciación y archivo. (C, P, A)</w:t>
            </w:r>
          </w:p>
          <w:p w14:paraId="0EAEE669" w14:textId="77777777" w:rsidR="00990B14" w:rsidRDefault="00000000">
            <w:pPr>
              <w:spacing w:after="40"/>
              <w:jc w:val="both"/>
            </w:pPr>
            <w:r>
              <w:rPr>
                <w:sz w:val="18"/>
                <w:szCs w:val="18"/>
              </w:rPr>
              <w:t>Evaluación de resultados, observaciones y hallazgos de auditoría. (C, P, A)</w:t>
            </w:r>
          </w:p>
          <w:p w14:paraId="66C9F5D3" w14:textId="77777777" w:rsidR="00990B14" w:rsidRDefault="00000000">
            <w:pPr>
              <w:spacing w:after="40"/>
              <w:jc w:val="both"/>
            </w:pPr>
            <w:r>
              <w:rPr>
                <w:sz w:val="18"/>
                <w:szCs w:val="18"/>
              </w:rPr>
              <w:t>Formación de la opinión sobre la razonabilidad o confiabilidad de los estados financieros. (C, P)</w:t>
            </w:r>
          </w:p>
          <w:p w14:paraId="6CE89BE2" w14:textId="77777777" w:rsidR="00990B14" w:rsidRDefault="00000000">
            <w:pPr>
              <w:spacing w:after="40"/>
              <w:jc w:val="both"/>
            </w:pPr>
            <w:r>
              <w:rPr>
                <w:sz w:val="18"/>
                <w:szCs w:val="18"/>
              </w:rPr>
              <w:t>Elaboración y comunicación de informes de auditoría financiera gubernamental. (C, P, A)</w:t>
            </w:r>
          </w:p>
        </w:tc>
        <w:tc>
          <w:tcPr>
            <w:tcW w:w="2752" w:type="dxa"/>
            <w:gridSpan w:val="3"/>
            <w:shd w:val="clear" w:color="auto" w:fill="D9E2F3"/>
          </w:tcPr>
          <w:p w14:paraId="32B10D16" w14:textId="77777777" w:rsidR="00990B14" w:rsidRDefault="00000000">
            <w:pPr>
              <w:numPr>
                <w:ilvl w:val="0"/>
                <w:numId w:val="139"/>
              </w:numPr>
              <w:spacing w:before="10" w:after="10"/>
              <w:jc w:val="both"/>
            </w:pPr>
            <w:r>
              <w:rPr>
                <w:sz w:val="18"/>
                <w:szCs w:val="18"/>
              </w:rPr>
              <w:t>Teorías y principios de razonabilidad y confiabilidad de la información financiera gubernamental.</w:t>
            </w:r>
          </w:p>
          <w:p w14:paraId="4D4FD2B1" w14:textId="77777777" w:rsidR="00990B14" w:rsidRDefault="00000000">
            <w:pPr>
              <w:numPr>
                <w:ilvl w:val="0"/>
                <w:numId w:val="139"/>
              </w:numPr>
              <w:spacing w:before="10" w:after="10"/>
              <w:jc w:val="both"/>
            </w:pPr>
            <w:r>
              <w:rPr>
                <w:sz w:val="18"/>
                <w:szCs w:val="18"/>
              </w:rPr>
              <w:t>Normas Generales de Auditoría Gubernamental, Normas de Auditoría Financiera, guías e instructivos de la Contraloría General del Estado.</w:t>
            </w:r>
          </w:p>
          <w:p w14:paraId="0A52B801" w14:textId="77777777" w:rsidR="00990B14" w:rsidRDefault="00000000">
            <w:pPr>
              <w:numPr>
                <w:ilvl w:val="0"/>
                <w:numId w:val="139"/>
              </w:numPr>
              <w:spacing w:before="10" w:after="10"/>
              <w:jc w:val="both"/>
            </w:pPr>
            <w:r>
              <w:rPr>
                <w:sz w:val="18"/>
                <w:szCs w:val="18"/>
              </w:rPr>
              <w:t>Normas Internacionales de las Entidades Fiscalizadoras Superiores (ISSAI) de la INTOSAI.</w:t>
            </w:r>
          </w:p>
          <w:p w14:paraId="2269C0D4" w14:textId="77777777" w:rsidR="00990B14" w:rsidRDefault="00000000">
            <w:pPr>
              <w:numPr>
                <w:ilvl w:val="0"/>
                <w:numId w:val="139"/>
              </w:numPr>
              <w:spacing w:before="10" w:after="10"/>
              <w:jc w:val="both"/>
            </w:pPr>
            <w:r>
              <w:rPr>
                <w:sz w:val="18"/>
                <w:szCs w:val="18"/>
              </w:rPr>
              <w:t>Nociones de técnicas de análisis de información financiera y valoración del riesgo.</w:t>
            </w:r>
          </w:p>
          <w:p w14:paraId="4E173CE9" w14:textId="77777777" w:rsidR="00990B14" w:rsidRDefault="00000000">
            <w:pPr>
              <w:numPr>
                <w:ilvl w:val="0"/>
                <w:numId w:val="139"/>
              </w:numPr>
              <w:spacing w:before="10" w:after="10"/>
              <w:jc w:val="both"/>
            </w:pPr>
            <w:r>
              <w:rPr>
                <w:sz w:val="18"/>
                <w:szCs w:val="18"/>
              </w:rPr>
              <w:t>Teorías y principios sobre la evidencia de auditoría, su suficiencia, validez y valoración.</w:t>
            </w:r>
          </w:p>
          <w:p w14:paraId="6C88A3D0" w14:textId="77777777" w:rsidR="00990B14" w:rsidRDefault="00000000">
            <w:pPr>
              <w:numPr>
                <w:ilvl w:val="0"/>
                <w:numId w:val="139"/>
              </w:numPr>
              <w:spacing w:before="10" w:after="10"/>
              <w:jc w:val="both"/>
            </w:pPr>
            <w:r>
              <w:rPr>
                <w:sz w:val="18"/>
                <w:szCs w:val="18"/>
              </w:rPr>
              <w:t>Nociones sobre evidencia, ética profesional, confidencialidad, redacción de informes de auditoría.</w:t>
            </w:r>
          </w:p>
          <w:p w14:paraId="5101555A" w14:textId="77777777" w:rsidR="00990B14" w:rsidRDefault="00000000">
            <w:pPr>
              <w:numPr>
                <w:ilvl w:val="0"/>
                <w:numId w:val="139"/>
              </w:numPr>
              <w:spacing w:before="10" w:after="10"/>
              <w:jc w:val="both"/>
            </w:pPr>
            <w:r>
              <w:rPr>
                <w:sz w:val="18"/>
                <w:szCs w:val="18"/>
              </w:rPr>
              <w:t>Normas Generales y de Auditoría Financiera Gubernamental.</w:t>
            </w:r>
          </w:p>
          <w:p w14:paraId="3B344206" w14:textId="77777777" w:rsidR="00990B14" w:rsidRDefault="00000000">
            <w:pPr>
              <w:numPr>
                <w:ilvl w:val="0"/>
                <w:numId w:val="139"/>
              </w:numPr>
              <w:spacing w:before="10" w:after="10"/>
              <w:jc w:val="both"/>
            </w:pPr>
            <w:r>
              <w:rPr>
                <w:sz w:val="18"/>
                <w:szCs w:val="18"/>
              </w:rPr>
              <w:t>Principios, Normas Generales y Básicas de Control Interno Gubernamental.</w:t>
            </w:r>
          </w:p>
          <w:p w14:paraId="5ED5C256" w14:textId="77777777" w:rsidR="00990B14" w:rsidRDefault="00000000">
            <w:pPr>
              <w:numPr>
                <w:ilvl w:val="0"/>
                <w:numId w:val="139"/>
              </w:numPr>
              <w:spacing w:before="10" w:after="10"/>
              <w:jc w:val="both"/>
            </w:pPr>
            <w:r>
              <w:rPr>
                <w:sz w:val="18"/>
                <w:szCs w:val="18"/>
              </w:rPr>
              <w:t>Normas Internacionales de las Entidades Fiscalizadoras Superiores (ISSAI) de la INTOSAI.</w:t>
            </w:r>
          </w:p>
        </w:tc>
      </w:tr>
      <w:tr w:rsidR="00990B14" w14:paraId="25E38C35" w14:textId="77777777">
        <w:trPr>
          <w:cantSplit/>
          <w:jc w:val="center"/>
        </w:trPr>
        <w:tc>
          <w:tcPr>
            <w:tcW w:w="9405" w:type="dxa"/>
            <w:gridSpan w:val="13"/>
            <w:shd w:val="clear" w:color="auto" w:fill="D9E2F3"/>
            <w:vAlign w:val="center"/>
          </w:tcPr>
          <w:p w14:paraId="493C35AA" w14:textId="77777777" w:rsidR="00990B14" w:rsidRDefault="00000000">
            <w:pPr>
              <w:spacing w:before="20" w:after="20"/>
              <w:jc w:val="both"/>
            </w:pPr>
            <w:r>
              <w:rPr>
                <w:b/>
                <w:bCs/>
                <w:i/>
                <w:iCs/>
                <w:sz w:val="18"/>
                <w:szCs w:val="18"/>
              </w:rPr>
              <w:t xml:space="preserve">Elemento de competencia 5: </w:t>
            </w:r>
            <w:r>
              <w:rPr>
                <w:sz w:val="18"/>
                <w:szCs w:val="18"/>
              </w:rPr>
              <w:t>Planifica, ejecuta y comunica los resultados de la auditoría de cumplimiento del ordenamiento jurídico, aplicando las Normas de Auditoría de Cumplimiento, mediante el relevamiento de información, la evaluación de riesgos, la planificación de auditoría y la obtención de evidencia lícita, para determinar indicios de responsabilidad por la función pública y emitir informes preliminares, ampliatorios y complementarios.</w:t>
            </w:r>
          </w:p>
        </w:tc>
      </w:tr>
      <w:tr w:rsidR="00990B14" w14:paraId="712BF547" w14:textId="77777777">
        <w:trPr>
          <w:cantSplit/>
          <w:jc w:val="center"/>
        </w:trPr>
        <w:tc>
          <w:tcPr>
            <w:tcW w:w="3133" w:type="dxa"/>
            <w:gridSpan w:val="4"/>
            <w:shd w:val="clear" w:color="auto" w:fill="4472C4"/>
            <w:vAlign w:val="center"/>
          </w:tcPr>
          <w:p w14:paraId="258691BE"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3691DA40"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146E93E2" w14:textId="77777777" w:rsidR="00990B14" w:rsidRDefault="00000000">
            <w:pPr>
              <w:keepNext/>
              <w:spacing w:before="20" w:after="20"/>
              <w:jc w:val="center"/>
            </w:pPr>
            <w:r>
              <w:rPr>
                <w:b/>
                <w:bCs/>
                <w:i/>
                <w:iCs/>
                <w:color w:val="FFFFFF"/>
                <w:sz w:val="18"/>
                <w:szCs w:val="18"/>
              </w:rPr>
              <w:t>Evidencias de producto</w:t>
            </w:r>
          </w:p>
        </w:tc>
      </w:tr>
      <w:tr w:rsidR="00990B14" w14:paraId="2BA59B13" w14:textId="77777777">
        <w:trPr>
          <w:cantSplit/>
          <w:jc w:val="center"/>
        </w:trPr>
        <w:tc>
          <w:tcPr>
            <w:tcW w:w="3133" w:type="dxa"/>
            <w:gridSpan w:val="4"/>
            <w:vMerge w:val="restart"/>
            <w:shd w:val="clear" w:color="auto" w:fill="D9E2F3"/>
            <w:vAlign w:val="center"/>
          </w:tcPr>
          <w:p w14:paraId="3E6D9D21" w14:textId="77777777" w:rsidR="00990B14" w:rsidRDefault="00000000">
            <w:pPr>
              <w:spacing w:before="20" w:after="20"/>
              <w:jc w:val="both"/>
            </w:pPr>
            <w:r>
              <w:rPr>
                <w:sz w:val="18"/>
                <w:szCs w:val="18"/>
              </w:rPr>
              <w:t>1. Planifica la auditoría de cumplimiento, mediante el conocimiento de la entidad, evaluando el cumplimiento del ordenamiento jurídico y la determinación de posibles indicios de responsabilidad por la función pública, conforme a Normas de Auditoría de cumplimiento.</w:t>
            </w:r>
          </w:p>
        </w:tc>
        <w:tc>
          <w:tcPr>
            <w:tcW w:w="3135" w:type="dxa"/>
            <w:gridSpan w:val="5"/>
            <w:shd w:val="clear" w:color="auto" w:fill="D9E2F3"/>
            <w:vAlign w:val="center"/>
          </w:tcPr>
          <w:p w14:paraId="0E31CA0A" w14:textId="77777777" w:rsidR="00990B14" w:rsidRDefault="00000000">
            <w:pPr>
              <w:spacing w:before="20" w:after="20"/>
              <w:jc w:val="both"/>
            </w:pPr>
            <w:r>
              <w:rPr>
                <w:sz w:val="18"/>
                <w:szCs w:val="18"/>
              </w:rPr>
              <w:t>1.1 Analiza información de la entidad y el ordenamiento jurídico administrativo aplicable a la entidad, así como un análisis de los indicios de responsabilidad por la función pública: civil, penal, administrativa y ejecutiva.</w:t>
            </w:r>
          </w:p>
        </w:tc>
        <w:tc>
          <w:tcPr>
            <w:tcW w:w="3137" w:type="dxa"/>
            <w:gridSpan w:val="4"/>
            <w:shd w:val="clear" w:color="auto" w:fill="D9E2F3"/>
            <w:vAlign w:val="center"/>
          </w:tcPr>
          <w:p w14:paraId="2720AD50" w14:textId="77777777" w:rsidR="00990B14" w:rsidRDefault="00000000">
            <w:pPr>
              <w:spacing w:before="20" w:after="20"/>
              <w:jc w:val="both"/>
            </w:pPr>
            <w:r>
              <w:rPr>
                <w:b/>
                <w:bCs/>
                <w:sz w:val="18"/>
                <w:szCs w:val="18"/>
              </w:rPr>
              <w:t xml:space="preserve">Producto 17: </w:t>
            </w:r>
            <w:r>
              <w:rPr>
                <w:sz w:val="18"/>
                <w:szCs w:val="18"/>
              </w:rPr>
              <w:t>Documentos de relevamiento de información, conocimiento de la entidad, análisis de indicios de responsabilidad por la función pública y otros.</w:t>
            </w:r>
          </w:p>
        </w:tc>
      </w:tr>
      <w:tr w:rsidR="00990B14" w14:paraId="5214FADB" w14:textId="77777777">
        <w:trPr>
          <w:cantSplit/>
          <w:jc w:val="center"/>
        </w:trPr>
        <w:tc>
          <w:tcPr>
            <w:tcW w:w="3133" w:type="dxa"/>
            <w:gridSpan w:val="4"/>
            <w:vMerge/>
            <w:shd w:val="clear" w:color="auto" w:fill="D9E2F3"/>
            <w:vAlign w:val="center"/>
          </w:tcPr>
          <w:p w14:paraId="0B3AE68C" w14:textId="77777777" w:rsidR="00990B14" w:rsidRDefault="00990B14">
            <w:pPr>
              <w:spacing w:before="20" w:after="20"/>
            </w:pPr>
          </w:p>
        </w:tc>
        <w:tc>
          <w:tcPr>
            <w:tcW w:w="3135" w:type="dxa"/>
            <w:gridSpan w:val="5"/>
            <w:shd w:val="clear" w:color="auto" w:fill="D9E2F3"/>
            <w:vAlign w:val="center"/>
          </w:tcPr>
          <w:p w14:paraId="6DAB36A3" w14:textId="77777777" w:rsidR="00990B14" w:rsidRDefault="00000000">
            <w:pPr>
              <w:spacing w:before="20" w:after="20"/>
              <w:jc w:val="both"/>
            </w:pPr>
            <w:r>
              <w:rPr>
                <w:sz w:val="18"/>
                <w:szCs w:val="18"/>
              </w:rPr>
              <w:t>1.2 Elabora el memorándum de planificación: antecedentes, objetivo, objeto, alcance, metodología, marco normativo y otros, incluida una matriz de planificación y procedimientos a ser aplicados en los programas de trabajo.</w:t>
            </w:r>
          </w:p>
        </w:tc>
        <w:tc>
          <w:tcPr>
            <w:tcW w:w="3137" w:type="dxa"/>
            <w:gridSpan w:val="4"/>
            <w:shd w:val="clear" w:color="auto" w:fill="D9E2F3"/>
            <w:vAlign w:val="center"/>
          </w:tcPr>
          <w:p w14:paraId="5C5C0ABE" w14:textId="77777777" w:rsidR="00990B14" w:rsidRDefault="00000000">
            <w:pPr>
              <w:spacing w:before="20" w:after="20"/>
              <w:jc w:val="both"/>
            </w:pPr>
            <w:r>
              <w:rPr>
                <w:b/>
                <w:bCs/>
                <w:sz w:val="18"/>
                <w:szCs w:val="18"/>
              </w:rPr>
              <w:t xml:space="preserve">Producto 18: </w:t>
            </w:r>
            <w:r>
              <w:rPr>
                <w:sz w:val="18"/>
                <w:szCs w:val="18"/>
              </w:rPr>
              <w:t>Documento de Memorándum de Planificación de Auditoría (MPA) y programas de auditoría de cumplimiento.</w:t>
            </w:r>
          </w:p>
        </w:tc>
      </w:tr>
      <w:tr w:rsidR="00990B14" w14:paraId="66586FA4" w14:textId="77777777">
        <w:trPr>
          <w:cantSplit/>
          <w:jc w:val="center"/>
        </w:trPr>
        <w:tc>
          <w:tcPr>
            <w:tcW w:w="3133" w:type="dxa"/>
            <w:gridSpan w:val="4"/>
            <w:vMerge w:val="restart"/>
            <w:shd w:val="clear" w:color="auto" w:fill="D9E2F3"/>
            <w:vAlign w:val="center"/>
          </w:tcPr>
          <w:p w14:paraId="09E8899D" w14:textId="77777777" w:rsidR="00990B14" w:rsidRDefault="00000000">
            <w:pPr>
              <w:spacing w:before="20" w:after="20"/>
              <w:jc w:val="both"/>
            </w:pPr>
            <w:r>
              <w:rPr>
                <w:sz w:val="18"/>
                <w:szCs w:val="18"/>
              </w:rPr>
              <w:t>2. Ejecuta procedimientos de auditoría de cumplimiento y obtiene evidencia legal y lícita, documentando los resultados de la auditoría y formula la determinación de posibles indicios de responsabilidad por la función pública y la emisión de informes: preliminar, ampliatorio y complementario.</w:t>
            </w:r>
          </w:p>
        </w:tc>
        <w:tc>
          <w:tcPr>
            <w:tcW w:w="3135" w:type="dxa"/>
            <w:gridSpan w:val="5"/>
            <w:shd w:val="clear" w:color="auto" w:fill="D9E2F3"/>
            <w:vAlign w:val="center"/>
          </w:tcPr>
          <w:p w14:paraId="38F40EA6" w14:textId="77777777" w:rsidR="00990B14" w:rsidRDefault="00000000">
            <w:pPr>
              <w:spacing w:before="20" w:after="20"/>
              <w:jc w:val="both"/>
            </w:pPr>
            <w:r>
              <w:rPr>
                <w:sz w:val="18"/>
                <w:szCs w:val="18"/>
              </w:rPr>
              <w:t>2.1 Aplica los procedimientos de auditoría y pruebas sustantivas sobre los rubros, cuentas, operaciones o procesos, objeto de la auditoría de cumplimiento, obteniendo evidencia legal y lícita.</w:t>
            </w:r>
          </w:p>
        </w:tc>
        <w:tc>
          <w:tcPr>
            <w:tcW w:w="3137" w:type="dxa"/>
            <w:gridSpan w:val="4"/>
            <w:shd w:val="clear" w:color="auto" w:fill="D9E2F3"/>
            <w:vAlign w:val="center"/>
          </w:tcPr>
          <w:p w14:paraId="05E2BC24" w14:textId="77777777" w:rsidR="00990B14" w:rsidRDefault="00000000">
            <w:pPr>
              <w:spacing w:before="20" w:after="20"/>
              <w:jc w:val="both"/>
            </w:pPr>
            <w:r>
              <w:rPr>
                <w:b/>
                <w:bCs/>
                <w:sz w:val="18"/>
                <w:szCs w:val="18"/>
              </w:rPr>
              <w:t xml:space="preserve">Producto 19: </w:t>
            </w:r>
            <w:r>
              <w:rPr>
                <w:sz w:val="18"/>
                <w:szCs w:val="18"/>
              </w:rPr>
              <w:t>Documentos de papeles de trabajo, y legajos de ejecución de la auditoría de cumplimiento.</w:t>
            </w:r>
          </w:p>
        </w:tc>
      </w:tr>
      <w:tr w:rsidR="00990B14" w14:paraId="3CB00B3E" w14:textId="77777777">
        <w:trPr>
          <w:cantSplit/>
          <w:jc w:val="center"/>
        </w:trPr>
        <w:tc>
          <w:tcPr>
            <w:tcW w:w="3133" w:type="dxa"/>
            <w:gridSpan w:val="4"/>
            <w:vMerge/>
            <w:shd w:val="clear" w:color="auto" w:fill="D9E2F3"/>
            <w:vAlign w:val="center"/>
          </w:tcPr>
          <w:p w14:paraId="69BFDA1E" w14:textId="77777777" w:rsidR="00990B14" w:rsidRDefault="00990B14">
            <w:pPr>
              <w:spacing w:before="20" w:after="20"/>
            </w:pPr>
          </w:p>
        </w:tc>
        <w:tc>
          <w:tcPr>
            <w:tcW w:w="3135" w:type="dxa"/>
            <w:gridSpan w:val="5"/>
            <w:shd w:val="clear" w:color="auto" w:fill="D9E2F3"/>
            <w:vAlign w:val="center"/>
          </w:tcPr>
          <w:p w14:paraId="001F8E30" w14:textId="77777777" w:rsidR="00990B14" w:rsidRDefault="00000000">
            <w:pPr>
              <w:spacing w:before="20" w:after="20"/>
              <w:jc w:val="both"/>
            </w:pPr>
            <w:r>
              <w:rPr>
                <w:sz w:val="18"/>
                <w:szCs w:val="18"/>
              </w:rPr>
              <w:t>2.2 Redacta el informe de auditoría de cumplimiento: preliminar, ampliatorio y complementario, con indicios de responsabilidad por la función pública, incluido el informe de control interno.</w:t>
            </w:r>
          </w:p>
        </w:tc>
        <w:tc>
          <w:tcPr>
            <w:tcW w:w="3137" w:type="dxa"/>
            <w:gridSpan w:val="4"/>
            <w:shd w:val="clear" w:color="auto" w:fill="D9E2F3"/>
            <w:vAlign w:val="center"/>
          </w:tcPr>
          <w:p w14:paraId="559E8062" w14:textId="77777777" w:rsidR="00990B14" w:rsidRDefault="00000000">
            <w:pPr>
              <w:spacing w:before="20" w:after="20"/>
              <w:jc w:val="both"/>
            </w:pPr>
            <w:r>
              <w:rPr>
                <w:b/>
                <w:bCs/>
                <w:sz w:val="18"/>
                <w:szCs w:val="18"/>
              </w:rPr>
              <w:t xml:space="preserve">Producto 20: </w:t>
            </w:r>
            <w:r>
              <w:rPr>
                <w:sz w:val="18"/>
                <w:szCs w:val="18"/>
              </w:rPr>
              <w:t>Informe de auditoría de cumplimiento gubernamental: preliminar, ampliatorio y complementario, con indicios de responsabilidad por la función pública, incluido el informe de control interno.</w:t>
            </w:r>
          </w:p>
        </w:tc>
      </w:tr>
      <w:tr w:rsidR="00990B14" w14:paraId="0C153825" w14:textId="77777777">
        <w:trPr>
          <w:cantSplit/>
          <w:jc w:val="center"/>
        </w:trPr>
        <w:tc>
          <w:tcPr>
            <w:tcW w:w="9405" w:type="dxa"/>
            <w:gridSpan w:val="13"/>
            <w:shd w:val="clear" w:color="auto" w:fill="4472C4"/>
            <w:vAlign w:val="center"/>
          </w:tcPr>
          <w:p w14:paraId="48AC1101" w14:textId="77777777" w:rsidR="00990B14" w:rsidRDefault="00000000">
            <w:pPr>
              <w:keepNext/>
              <w:spacing w:before="20" w:after="20"/>
              <w:jc w:val="center"/>
            </w:pPr>
            <w:r>
              <w:rPr>
                <w:b/>
                <w:bCs/>
                <w:i/>
                <w:iCs/>
                <w:color w:val="FFFFFF"/>
                <w:sz w:val="18"/>
                <w:szCs w:val="18"/>
              </w:rPr>
              <w:t>Evidencias de conocimiento</w:t>
            </w:r>
          </w:p>
        </w:tc>
      </w:tr>
      <w:tr w:rsidR="00990B14" w14:paraId="51D3267C" w14:textId="77777777">
        <w:trPr>
          <w:cantSplit/>
          <w:jc w:val="center"/>
        </w:trPr>
        <w:tc>
          <w:tcPr>
            <w:tcW w:w="2349" w:type="dxa"/>
            <w:gridSpan w:val="2"/>
            <w:shd w:val="clear" w:color="auto" w:fill="4472C4"/>
            <w:vAlign w:val="center"/>
          </w:tcPr>
          <w:p w14:paraId="2517A2AF"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16C8D2BE" w14:textId="77777777" w:rsidR="00990B14" w:rsidRDefault="00000000">
            <w:pPr>
              <w:keepNext/>
              <w:spacing w:before="20" w:after="20"/>
              <w:jc w:val="both"/>
            </w:pPr>
            <w:r>
              <w:rPr>
                <w:b/>
                <w:bCs/>
                <w:i/>
                <w:iCs/>
                <w:color w:val="FFFFFF"/>
                <w:sz w:val="18"/>
                <w:szCs w:val="18"/>
              </w:rPr>
              <w:t>Contenidos</w:t>
            </w:r>
          </w:p>
          <w:p w14:paraId="31497B39"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6B08F606" w14:textId="77777777" w:rsidR="00990B14" w:rsidRDefault="00000000">
            <w:pPr>
              <w:keepNext/>
              <w:spacing w:before="20" w:after="20"/>
              <w:jc w:val="center"/>
            </w:pPr>
            <w:r>
              <w:rPr>
                <w:b/>
                <w:bCs/>
                <w:i/>
                <w:iCs/>
                <w:color w:val="FFFFFF"/>
                <w:sz w:val="18"/>
                <w:szCs w:val="18"/>
              </w:rPr>
              <w:t>Conocimientos circunstanciales</w:t>
            </w:r>
          </w:p>
        </w:tc>
      </w:tr>
      <w:tr w:rsidR="00990B14" w14:paraId="2F08EC39" w14:textId="77777777">
        <w:trPr>
          <w:jc w:val="center"/>
        </w:trPr>
        <w:tc>
          <w:tcPr>
            <w:tcW w:w="2349" w:type="dxa"/>
            <w:gridSpan w:val="2"/>
            <w:shd w:val="clear" w:color="auto" w:fill="D9E2F3"/>
          </w:tcPr>
          <w:p w14:paraId="2C7848E0" w14:textId="77777777" w:rsidR="00990B14" w:rsidRDefault="00000000">
            <w:pPr>
              <w:spacing w:before="20" w:after="40"/>
              <w:jc w:val="center"/>
            </w:pPr>
            <w:r>
              <w:rPr>
                <w:b/>
                <w:bCs/>
                <w:sz w:val="18"/>
                <w:szCs w:val="18"/>
              </w:rPr>
              <w:t>Tema 7. Fundamentos y Planificación de la Auditoría de Cumplimiento</w:t>
            </w:r>
          </w:p>
          <w:p w14:paraId="1D908D72" w14:textId="77777777" w:rsidR="00990B14" w:rsidRDefault="00000000">
            <w:pPr>
              <w:spacing w:before="20" w:after="40"/>
              <w:jc w:val="center"/>
            </w:pPr>
            <w:r>
              <w:rPr>
                <w:b/>
                <w:bCs/>
                <w:sz w:val="18"/>
                <w:szCs w:val="18"/>
              </w:rPr>
              <w:t>Tema 8. Ejecución y Comunicación de Resultados de la Auditoría de Cumplimiento</w:t>
            </w:r>
          </w:p>
        </w:tc>
        <w:tc>
          <w:tcPr>
            <w:tcW w:w="4304" w:type="dxa"/>
            <w:gridSpan w:val="8"/>
            <w:shd w:val="clear" w:color="auto" w:fill="D9E2F3"/>
          </w:tcPr>
          <w:p w14:paraId="4D8F209C" w14:textId="77777777" w:rsidR="00990B14" w:rsidRDefault="00000000">
            <w:pPr>
              <w:spacing w:after="40"/>
              <w:jc w:val="both"/>
            </w:pPr>
            <w:r>
              <w:rPr>
                <w:sz w:val="18"/>
                <w:szCs w:val="18"/>
              </w:rPr>
              <w:t>Naturaleza, objetivos, características y alcance. (C)</w:t>
            </w:r>
          </w:p>
          <w:p w14:paraId="06E2E47B" w14:textId="77777777" w:rsidR="00990B14" w:rsidRDefault="00000000">
            <w:pPr>
              <w:spacing w:after="40"/>
              <w:jc w:val="both"/>
            </w:pPr>
            <w:r>
              <w:rPr>
                <w:sz w:val="18"/>
                <w:szCs w:val="18"/>
              </w:rPr>
              <w:t>Ámbito de aplicación, actores y responsables. (C)</w:t>
            </w:r>
          </w:p>
          <w:p w14:paraId="4963F410" w14:textId="77777777" w:rsidR="00990B14" w:rsidRDefault="00000000">
            <w:pPr>
              <w:spacing w:after="40"/>
              <w:jc w:val="both"/>
            </w:pPr>
            <w:r>
              <w:rPr>
                <w:sz w:val="18"/>
                <w:szCs w:val="18"/>
              </w:rPr>
              <w:t>Normas de Auditoría de Cumplimiento: principios, requisitos y procedimientos. (C)</w:t>
            </w:r>
          </w:p>
          <w:p w14:paraId="1A96D831" w14:textId="77777777" w:rsidR="00990B14" w:rsidRDefault="00000000">
            <w:pPr>
              <w:spacing w:after="40"/>
              <w:jc w:val="both"/>
            </w:pPr>
            <w:r>
              <w:rPr>
                <w:sz w:val="18"/>
                <w:szCs w:val="18"/>
              </w:rPr>
              <w:t>Ordenamiento jurídico aplicable a la auditoría de cumplimiento. (C)</w:t>
            </w:r>
          </w:p>
          <w:p w14:paraId="27F08321" w14:textId="77777777" w:rsidR="00990B14" w:rsidRDefault="00000000">
            <w:pPr>
              <w:spacing w:after="40"/>
              <w:jc w:val="both"/>
            </w:pPr>
            <w:r>
              <w:rPr>
                <w:sz w:val="18"/>
                <w:szCs w:val="18"/>
              </w:rPr>
              <w:t>Relevamiento de información e identificación de posibles indicios de responsabilidad por la función pública. (C, P)</w:t>
            </w:r>
          </w:p>
          <w:p w14:paraId="50E34CB9" w14:textId="77777777" w:rsidR="00990B14" w:rsidRDefault="00000000">
            <w:pPr>
              <w:spacing w:after="40"/>
              <w:jc w:val="both"/>
            </w:pPr>
            <w:r>
              <w:rPr>
                <w:sz w:val="18"/>
                <w:szCs w:val="18"/>
              </w:rPr>
              <w:t>Informe circunstanciado: naturaleza, características y responsables. (C, P)</w:t>
            </w:r>
          </w:p>
          <w:p w14:paraId="3B0336D7" w14:textId="77777777" w:rsidR="00990B14" w:rsidRDefault="00000000">
            <w:pPr>
              <w:spacing w:after="40"/>
              <w:jc w:val="both"/>
            </w:pPr>
            <w:r>
              <w:rPr>
                <w:sz w:val="18"/>
                <w:szCs w:val="18"/>
              </w:rPr>
              <w:t>Planificación de auditoría: memorándum de planificación y programas de trabajo. (C, P)</w:t>
            </w:r>
          </w:p>
          <w:p w14:paraId="055BA396" w14:textId="77777777" w:rsidR="00990B14" w:rsidRDefault="00000000">
            <w:pPr>
              <w:spacing w:after="40"/>
              <w:jc w:val="both"/>
            </w:pPr>
            <w:r>
              <w:rPr>
                <w:sz w:val="18"/>
                <w:szCs w:val="18"/>
              </w:rPr>
              <w:t>Ejecución de programas de trabajo y procedimientos de auditoría de cumplimiento. (C, P)</w:t>
            </w:r>
          </w:p>
          <w:p w14:paraId="279F5DED" w14:textId="77777777" w:rsidR="00990B14" w:rsidRDefault="00000000">
            <w:pPr>
              <w:spacing w:after="40"/>
              <w:jc w:val="both"/>
            </w:pPr>
            <w:r>
              <w:rPr>
                <w:sz w:val="18"/>
                <w:szCs w:val="18"/>
              </w:rPr>
              <w:t>Obtención y valoración de evidencia lícita, válida y suficiente, y organización de papeles de trabajo. (C, P, T)</w:t>
            </w:r>
          </w:p>
          <w:p w14:paraId="27E31BED" w14:textId="77777777" w:rsidR="00990B14" w:rsidRDefault="00000000">
            <w:pPr>
              <w:spacing w:after="40"/>
              <w:jc w:val="both"/>
            </w:pPr>
            <w:r>
              <w:rPr>
                <w:sz w:val="18"/>
                <w:szCs w:val="18"/>
              </w:rPr>
              <w:t>Identificación, análisis, fundamentación y sustentación de hallazgos de incumplimiento normativo. (C, P)</w:t>
            </w:r>
          </w:p>
          <w:p w14:paraId="4EB309DF" w14:textId="77777777" w:rsidR="00990B14" w:rsidRDefault="00000000">
            <w:pPr>
              <w:spacing w:after="40"/>
              <w:jc w:val="both"/>
            </w:pPr>
            <w:r>
              <w:rPr>
                <w:sz w:val="18"/>
                <w:szCs w:val="18"/>
              </w:rPr>
              <w:t>Planilla resumen de indicios de responsabilidad por la función pública. (P)</w:t>
            </w:r>
          </w:p>
          <w:p w14:paraId="458E8162" w14:textId="77777777" w:rsidR="00990B14" w:rsidRDefault="00000000">
            <w:pPr>
              <w:spacing w:after="40"/>
              <w:jc w:val="both"/>
            </w:pPr>
            <w:r>
              <w:rPr>
                <w:sz w:val="18"/>
                <w:szCs w:val="18"/>
              </w:rPr>
              <w:t>Elaboración de informes preliminares y procedimientos de aclaración. (P)</w:t>
            </w:r>
          </w:p>
          <w:p w14:paraId="0706707C" w14:textId="77777777" w:rsidR="00990B14" w:rsidRDefault="00000000">
            <w:pPr>
              <w:spacing w:after="40"/>
              <w:jc w:val="both"/>
            </w:pPr>
            <w:r>
              <w:rPr>
                <w:sz w:val="18"/>
                <w:szCs w:val="18"/>
              </w:rPr>
              <w:t>Elaboración de informes ampliatorios y complementarios. (P)</w:t>
            </w:r>
          </w:p>
          <w:p w14:paraId="1D15FD65" w14:textId="77777777" w:rsidR="00990B14" w:rsidRDefault="00000000">
            <w:pPr>
              <w:spacing w:after="40"/>
              <w:jc w:val="both"/>
            </w:pPr>
            <w:r>
              <w:rPr>
                <w:sz w:val="18"/>
                <w:szCs w:val="18"/>
              </w:rPr>
              <w:t>Organización de los medios de prueba. (P, A)</w:t>
            </w:r>
          </w:p>
        </w:tc>
        <w:tc>
          <w:tcPr>
            <w:tcW w:w="2752" w:type="dxa"/>
            <w:gridSpan w:val="3"/>
            <w:shd w:val="clear" w:color="auto" w:fill="D9E2F3"/>
          </w:tcPr>
          <w:p w14:paraId="6FA6D5F1" w14:textId="77777777" w:rsidR="00990B14" w:rsidRDefault="00000000">
            <w:pPr>
              <w:numPr>
                <w:ilvl w:val="0"/>
                <w:numId w:val="139"/>
              </w:numPr>
              <w:spacing w:before="10" w:after="10"/>
              <w:jc w:val="both"/>
            </w:pPr>
            <w:r>
              <w:rPr>
                <w:sz w:val="18"/>
                <w:szCs w:val="18"/>
              </w:rPr>
              <w:t>Teorías y principios del cumplimiento normativo, legalidad, responsabilidad por la función pública.</w:t>
            </w:r>
          </w:p>
          <w:p w14:paraId="6E6A7EFA" w14:textId="77777777" w:rsidR="00990B14" w:rsidRDefault="00000000">
            <w:pPr>
              <w:numPr>
                <w:ilvl w:val="0"/>
                <w:numId w:val="139"/>
              </w:numPr>
              <w:spacing w:before="10" w:after="10"/>
              <w:jc w:val="both"/>
            </w:pPr>
            <w:r>
              <w:rPr>
                <w:sz w:val="18"/>
                <w:szCs w:val="18"/>
              </w:rPr>
              <w:t>Nociones y métodos de análisis del ordenamiento jurídico, jerarquía de normas, responsabilidad por la función pública.</w:t>
            </w:r>
          </w:p>
          <w:p w14:paraId="0696238D" w14:textId="77777777" w:rsidR="00990B14" w:rsidRDefault="00000000">
            <w:pPr>
              <w:numPr>
                <w:ilvl w:val="0"/>
                <w:numId w:val="139"/>
              </w:numPr>
              <w:spacing w:before="10" w:after="10"/>
              <w:jc w:val="both"/>
            </w:pPr>
            <w:r>
              <w:rPr>
                <w:sz w:val="18"/>
                <w:szCs w:val="18"/>
              </w:rPr>
              <w:t>Normas Generales de Auditoría Gubernamental, Normas de Auditoría de Cumplimiento, guías, instructivos y otros.</w:t>
            </w:r>
          </w:p>
          <w:p w14:paraId="48DE8CE6" w14:textId="77777777" w:rsidR="00990B14" w:rsidRDefault="00000000">
            <w:pPr>
              <w:numPr>
                <w:ilvl w:val="0"/>
                <w:numId w:val="139"/>
              </w:numPr>
              <w:spacing w:before="10" w:after="10"/>
              <w:jc w:val="both"/>
            </w:pPr>
            <w:r>
              <w:rPr>
                <w:sz w:val="18"/>
                <w:szCs w:val="18"/>
              </w:rPr>
              <w:t>Ley 1178 y D.S. 23318-A del Régimen de Responsabilidad por la Función Pública.</w:t>
            </w:r>
          </w:p>
          <w:p w14:paraId="1CD021A2" w14:textId="77777777" w:rsidR="00990B14" w:rsidRDefault="00000000">
            <w:pPr>
              <w:numPr>
                <w:ilvl w:val="0"/>
                <w:numId w:val="139"/>
              </w:numPr>
              <w:spacing w:before="10" w:after="10"/>
              <w:jc w:val="both"/>
            </w:pPr>
            <w:r>
              <w:rPr>
                <w:sz w:val="18"/>
                <w:szCs w:val="18"/>
              </w:rPr>
              <w:t>Teorías y principios del cumplimiento normativo, legalidad, responsabilidad por la función pública.</w:t>
            </w:r>
          </w:p>
          <w:p w14:paraId="77A701AA" w14:textId="77777777" w:rsidR="00990B14" w:rsidRDefault="00000000">
            <w:pPr>
              <w:numPr>
                <w:ilvl w:val="0"/>
                <w:numId w:val="139"/>
              </w:numPr>
              <w:spacing w:before="10" w:after="10"/>
              <w:jc w:val="both"/>
            </w:pPr>
            <w:r>
              <w:rPr>
                <w:sz w:val="18"/>
                <w:szCs w:val="18"/>
              </w:rPr>
              <w:t>Nociones y métodos de análisis del ordenamiento jurídico, jerarquía de normas, responsabilidad por la función pública.</w:t>
            </w:r>
          </w:p>
          <w:p w14:paraId="5CF7D157" w14:textId="77777777" w:rsidR="00990B14" w:rsidRDefault="00000000">
            <w:pPr>
              <w:numPr>
                <w:ilvl w:val="0"/>
                <w:numId w:val="139"/>
              </w:numPr>
              <w:spacing w:before="10" w:after="10"/>
              <w:jc w:val="both"/>
            </w:pPr>
            <w:r>
              <w:rPr>
                <w:sz w:val="18"/>
                <w:szCs w:val="18"/>
              </w:rPr>
              <w:t>Normas Generales de Auditoría Gubernamental, Normas de Auditoría de Cumplimiento, guías, instructivos y otros.</w:t>
            </w:r>
          </w:p>
          <w:p w14:paraId="2A26D6BD" w14:textId="77777777" w:rsidR="00990B14" w:rsidRDefault="00000000">
            <w:pPr>
              <w:numPr>
                <w:ilvl w:val="0"/>
                <w:numId w:val="139"/>
              </w:numPr>
              <w:spacing w:before="10" w:after="10"/>
              <w:jc w:val="both"/>
            </w:pPr>
            <w:r>
              <w:rPr>
                <w:sz w:val="18"/>
                <w:szCs w:val="18"/>
              </w:rPr>
              <w:t>Ley 1178 y D.S. 23318-A del Régimen de Responsabilidad por la Función Pública.</w:t>
            </w:r>
          </w:p>
        </w:tc>
      </w:tr>
      <w:tr w:rsidR="00990B14" w14:paraId="36C8AEDC" w14:textId="77777777">
        <w:trPr>
          <w:cantSplit/>
          <w:jc w:val="center"/>
        </w:trPr>
        <w:tc>
          <w:tcPr>
            <w:tcW w:w="9405" w:type="dxa"/>
            <w:gridSpan w:val="13"/>
            <w:shd w:val="clear" w:color="auto" w:fill="D9E2F3"/>
            <w:vAlign w:val="center"/>
          </w:tcPr>
          <w:p w14:paraId="045B1F34" w14:textId="77777777" w:rsidR="00990B14" w:rsidRDefault="00000000">
            <w:pPr>
              <w:spacing w:before="20" w:after="20"/>
              <w:jc w:val="both"/>
            </w:pPr>
            <w:r>
              <w:rPr>
                <w:b/>
                <w:bCs/>
                <w:i/>
                <w:iCs/>
                <w:sz w:val="18"/>
                <w:szCs w:val="18"/>
              </w:rPr>
              <w:t xml:space="preserve">Elemento de competencia 6: </w:t>
            </w:r>
            <w:r>
              <w:rPr>
                <w:sz w:val="18"/>
                <w:szCs w:val="18"/>
              </w:rPr>
              <w:t>Planifica, ejecuta y comunica los resultados de la auditoría operacional gubernamental, aplicando las Normas de Auditoría Operacional, mediante la evaluación de procesos y actividades administrativas, la identificación de riesgos, la aplicación de indicadores de eficacia, la ejecución de programas de trabajo y la formulación de hallazgos y recomendaciones orientadas al mejoramiento de los sistemas administrativos institucionales.</w:t>
            </w:r>
          </w:p>
        </w:tc>
      </w:tr>
      <w:tr w:rsidR="00990B14" w14:paraId="6597324C" w14:textId="77777777">
        <w:trPr>
          <w:cantSplit/>
          <w:jc w:val="center"/>
        </w:trPr>
        <w:tc>
          <w:tcPr>
            <w:tcW w:w="3133" w:type="dxa"/>
            <w:gridSpan w:val="4"/>
            <w:shd w:val="clear" w:color="auto" w:fill="4472C4"/>
            <w:vAlign w:val="center"/>
          </w:tcPr>
          <w:p w14:paraId="4BE904C3"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45689AAF"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5903105A" w14:textId="77777777" w:rsidR="00990B14" w:rsidRDefault="00000000">
            <w:pPr>
              <w:keepNext/>
              <w:spacing w:before="20" w:after="20"/>
              <w:jc w:val="center"/>
            </w:pPr>
            <w:r>
              <w:rPr>
                <w:b/>
                <w:bCs/>
                <w:i/>
                <w:iCs/>
                <w:color w:val="FFFFFF"/>
                <w:sz w:val="18"/>
                <w:szCs w:val="18"/>
              </w:rPr>
              <w:t>Evidencias de producto</w:t>
            </w:r>
          </w:p>
        </w:tc>
      </w:tr>
      <w:tr w:rsidR="00990B14" w14:paraId="5F85B838" w14:textId="77777777">
        <w:trPr>
          <w:cantSplit/>
          <w:jc w:val="center"/>
        </w:trPr>
        <w:tc>
          <w:tcPr>
            <w:tcW w:w="3133" w:type="dxa"/>
            <w:gridSpan w:val="4"/>
            <w:vMerge w:val="restart"/>
            <w:shd w:val="clear" w:color="auto" w:fill="D9E2F3"/>
            <w:vAlign w:val="center"/>
          </w:tcPr>
          <w:p w14:paraId="74717322" w14:textId="77777777" w:rsidR="00990B14" w:rsidRDefault="00000000">
            <w:pPr>
              <w:spacing w:before="20" w:after="20"/>
              <w:jc w:val="both"/>
            </w:pPr>
            <w:r>
              <w:rPr>
                <w:sz w:val="18"/>
                <w:szCs w:val="18"/>
              </w:rPr>
              <w:t>1. Planifica la auditoría operacional de los sistemas de administración, mediante el conocimiento de la entidad, la evaluación del control interno, la determinación de riesgos de procesos, y la definición del enfoque de auditoría, acerca del grado de eficacia, conforme a Normas de Auditoría Operacional.</w:t>
            </w:r>
          </w:p>
        </w:tc>
        <w:tc>
          <w:tcPr>
            <w:tcW w:w="3135" w:type="dxa"/>
            <w:gridSpan w:val="5"/>
            <w:shd w:val="clear" w:color="auto" w:fill="D9E2F3"/>
            <w:vAlign w:val="center"/>
          </w:tcPr>
          <w:p w14:paraId="3F5AE446" w14:textId="77777777" w:rsidR="00990B14" w:rsidRDefault="00000000">
            <w:pPr>
              <w:spacing w:before="20" w:after="20"/>
              <w:jc w:val="both"/>
            </w:pPr>
            <w:r>
              <w:rPr>
                <w:sz w:val="18"/>
                <w:szCs w:val="18"/>
              </w:rPr>
              <w:t>1.1 Analiza información de la entidad, su naturaleza, estructura organizacional, procesos y los sistemas de administración: planificación, organización y ejecución de la Ley N.º 1178, evaluando el grado de eficacia de los mismos.</w:t>
            </w:r>
          </w:p>
        </w:tc>
        <w:tc>
          <w:tcPr>
            <w:tcW w:w="3137" w:type="dxa"/>
            <w:gridSpan w:val="4"/>
            <w:shd w:val="clear" w:color="auto" w:fill="D9E2F3"/>
            <w:vAlign w:val="center"/>
          </w:tcPr>
          <w:p w14:paraId="1CF43443" w14:textId="77777777" w:rsidR="00990B14" w:rsidRDefault="00000000">
            <w:pPr>
              <w:spacing w:before="20" w:after="20"/>
              <w:jc w:val="both"/>
            </w:pPr>
            <w:r>
              <w:rPr>
                <w:b/>
                <w:bCs/>
                <w:sz w:val="18"/>
                <w:szCs w:val="18"/>
              </w:rPr>
              <w:t xml:space="preserve">Producto 21: </w:t>
            </w:r>
            <w:r>
              <w:rPr>
                <w:sz w:val="18"/>
                <w:szCs w:val="18"/>
              </w:rPr>
              <w:t>Documentos de relevamiento de información, de los sistemas de administración de la entidad: planillas, reportes y otros.</w:t>
            </w:r>
          </w:p>
        </w:tc>
      </w:tr>
      <w:tr w:rsidR="00990B14" w14:paraId="59040CA8" w14:textId="77777777">
        <w:trPr>
          <w:cantSplit/>
          <w:jc w:val="center"/>
        </w:trPr>
        <w:tc>
          <w:tcPr>
            <w:tcW w:w="3133" w:type="dxa"/>
            <w:gridSpan w:val="4"/>
            <w:vMerge/>
            <w:shd w:val="clear" w:color="auto" w:fill="D9E2F3"/>
            <w:vAlign w:val="center"/>
          </w:tcPr>
          <w:p w14:paraId="27F919EE" w14:textId="77777777" w:rsidR="00990B14" w:rsidRDefault="00990B14">
            <w:pPr>
              <w:spacing w:before="20" w:after="20"/>
            </w:pPr>
          </w:p>
        </w:tc>
        <w:tc>
          <w:tcPr>
            <w:tcW w:w="3135" w:type="dxa"/>
            <w:gridSpan w:val="5"/>
            <w:shd w:val="clear" w:color="auto" w:fill="D9E2F3"/>
            <w:vAlign w:val="center"/>
          </w:tcPr>
          <w:p w14:paraId="1A649448" w14:textId="77777777" w:rsidR="00990B14" w:rsidRDefault="00000000">
            <w:pPr>
              <w:spacing w:before="20" w:after="20"/>
              <w:jc w:val="both"/>
            </w:pPr>
            <w:r>
              <w:rPr>
                <w:sz w:val="18"/>
                <w:szCs w:val="18"/>
              </w:rPr>
              <w:t>1.2 Elabora el memorándum de planificación: antecedentes, objetivo, objeto, alcance, metodología, marco normativo y otros, incluidos los procedimientos a ser aplicados en los programas de trabajo.</w:t>
            </w:r>
          </w:p>
        </w:tc>
        <w:tc>
          <w:tcPr>
            <w:tcW w:w="3137" w:type="dxa"/>
            <w:gridSpan w:val="4"/>
            <w:shd w:val="clear" w:color="auto" w:fill="D9E2F3"/>
            <w:vAlign w:val="center"/>
          </w:tcPr>
          <w:p w14:paraId="1F995950" w14:textId="77777777" w:rsidR="00990B14" w:rsidRDefault="00000000">
            <w:pPr>
              <w:spacing w:before="20" w:after="20"/>
              <w:jc w:val="both"/>
            </w:pPr>
            <w:r>
              <w:rPr>
                <w:b/>
                <w:bCs/>
                <w:sz w:val="18"/>
                <w:szCs w:val="18"/>
              </w:rPr>
              <w:t xml:space="preserve">Producto 22: </w:t>
            </w:r>
            <w:r>
              <w:rPr>
                <w:sz w:val="18"/>
                <w:szCs w:val="18"/>
              </w:rPr>
              <w:t>Documento de Memorándum de Planificación de Auditoría (MPA) y programas de auditoría operativa de los sistemas de administración.</w:t>
            </w:r>
          </w:p>
        </w:tc>
      </w:tr>
      <w:tr w:rsidR="00990B14" w14:paraId="46C7467E" w14:textId="77777777">
        <w:trPr>
          <w:cantSplit/>
          <w:jc w:val="center"/>
        </w:trPr>
        <w:tc>
          <w:tcPr>
            <w:tcW w:w="3133" w:type="dxa"/>
            <w:gridSpan w:val="4"/>
            <w:vMerge w:val="restart"/>
            <w:shd w:val="clear" w:color="auto" w:fill="D9E2F3"/>
            <w:vAlign w:val="center"/>
          </w:tcPr>
          <w:p w14:paraId="0B666486" w14:textId="77777777" w:rsidR="00990B14" w:rsidRDefault="00000000">
            <w:pPr>
              <w:spacing w:before="20" w:after="20"/>
              <w:jc w:val="both"/>
            </w:pPr>
            <w:r>
              <w:rPr>
                <w:sz w:val="18"/>
                <w:szCs w:val="18"/>
              </w:rPr>
              <w:t>2. Ejecuta procedimientos de auditoría operacional, y obtiene evidencia válida y suficiente, documentando los resultados y hallazgos de auditoría y emitiendo el informe de auditoría, bajo los atributos de condición, criterio, causa y efecto, y recomendaciones de mejora.</w:t>
            </w:r>
          </w:p>
        </w:tc>
        <w:tc>
          <w:tcPr>
            <w:tcW w:w="3135" w:type="dxa"/>
            <w:gridSpan w:val="5"/>
            <w:shd w:val="clear" w:color="auto" w:fill="D9E2F3"/>
            <w:vAlign w:val="center"/>
          </w:tcPr>
          <w:p w14:paraId="722B13D6" w14:textId="77777777" w:rsidR="00990B14" w:rsidRDefault="00000000">
            <w:pPr>
              <w:spacing w:before="20" w:after="20"/>
              <w:jc w:val="both"/>
            </w:pPr>
            <w:r>
              <w:rPr>
                <w:sz w:val="18"/>
                <w:szCs w:val="18"/>
              </w:rPr>
              <w:t>2.1 Aplica los procedimientos de auditoría y pruebas sustantivas y de control sobre los procesos administrativos objeto de la auditoría, obteniendo evidencia válida y suficiente sobre deficiencias en la eficacia de los controles.</w:t>
            </w:r>
          </w:p>
        </w:tc>
        <w:tc>
          <w:tcPr>
            <w:tcW w:w="3137" w:type="dxa"/>
            <w:gridSpan w:val="4"/>
            <w:shd w:val="clear" w:color="auto" w:fill="D9E2F3"/>
            <w:vAlign w:val="center"/>
          </w:tcPr>
          <w:p w14:paraId="79A4EA8E" w14:textId="77777777" w:rsidR="00990B14" w:rsidRDefault="00000000">
            <w:pPr>
              <w:spacing w:before="20" w:after="20"/>
              <w:jc w:val="both"/>
            </w:pPr>
            <w:r>
              <w:rPr>
                <w:b/>
                <w:bCs/>
                <w:sz w:val="18"/>
                <w:szCs w:val="18"/>
              </w:rPr>
              <w:t xml:space="preserve">Producto 23: </w:t>
            </w:r>
            <w:r>
              <w:rPr>
                <w:sz w:val="18"/>
                <w:szCs w:val="18"/>
              </w:rPr>
              <w:t>Documentos de papeles de trabajo, y legajos de ejecución de la auditoría operativa administrativa.</w:t>
            </w:r>
          </w:p>
        </w:tc>
      </w:tr>
      <w:tr w:rsidR="00990B14" w14:paraId="059F1E95" w14:textId="77777777">
        <w:trPr>
          <w:cantSplit/>
          <w:jc w:val="center"/>
        </w:trPr>
        <w:tc>
          <w:tcPr>
            <w:tcW w:w="3133" w:type="dxa"/>
            <w:gridSpan w:val="4"/>
            <w:vMerge/>
            <w:shd w:val="clear" w:color="auto" w:fill="D9E2F3"/>
            <w:vAlign w:val="center"/>
          </w:tcPr>
          <w:p w14:paraId="65E821D1" w14:textId="77777777" w:rsidR="00990B14" w:rsidRDefault="00990B14">
            <w:pPr>
              <w:spacing w:before="20" w:after="20"/>
            </w:pPr>
          </w:p>
        </w:tc>
        <w:tc>
          <w:tcPr>
            <w:tcW w:w="3135" w:type="dxa"/>
            <w:gridSpan w:val="5"/>
            <w:shd w:val="clear" w:color="auto" w:fill="D9E2F3"/>
            <w:vAlign w:val="center"/>
          </w:tcPr>
          <w:p w14:paraId="15664B29" w14:textId="77777777" w:rsidR="00990B14" w:rsidRDefault="00000000">
            <w:pPr>
              <w:spacing w:before="20" w:after="20"/>
              <w:jc w:val="both"/>
            </w:pPr>
            <w:r>
              <w:rPr>
                <w:sz w:val="18"/>
                <w:szCs w:val="18"/>
              </w:rPr>
              <w:t>2.2 Redacta el informe de auditoría operacional, sobre el grado de eficacia de los sistemas de administración, incluido los hallazgos con sus atributos de: condición, criterio, causa, efecto y recomendación.</w:t>
            </w:r>
          </w:p>
        </w:tc>
        <w:tc>
          <w:tcPr>
            <w:tcW w:w="3137" w:type="dxa"/>
            <w:gridSpan w:val="4"/>
            <w:shd w:val="clear" w:color="auto" w:fill="D9E2F3"/>
            <w:vAlign w:val="center"/>
          </w:tcPr>
          <w:p w14:paraId="105E1D85" w14:textId="77777777" w:rsidR="00990B14" w:rsidRDefault="00000000">
            <w:pPr>
              <w:spacing w:before="20" w:after="20"/>
              <w:jc w:val="both"/>
            </w:pPr>
            <w:r>
              <w:rPr>
                <w:b/>
                <w:bCs/>
                <w:sz w:val="18"/>
                <w:szCs w:val="18"/>
              </w:rPr>
              <w:t xml:space="preserve">Producto 24: </w:t>
            </w:r>
            <w:r>
              <w:rPr>
                <w:sz w:val="18"/>
                <w:szCs w:val="18"/>
              </w:rPr>
              <w:t>Informe de auditoría operativa administrativa y el Plan de Mejoramiento institucional.</w:t>
            </w:r>
          </w:p>
        </w:tc>
      </w:tr>
      <w:tr w:rsidR="00990B14" w14:paraId="70049914" w14:textId="77777777">
        <w:trPr>
          <w:cantSplit/>
          <w:jc w:val="center"/>
        </w:trPr>
        <w:tc>
          <w:tcPr>
            <w:tcW w:w="9405" w:type="dxa"/>
            <w:gridSpan w:val="13"/>
            <w:shd w:val="clear" w:color="auto" w:fill="4472C4"/>
            <w:vAlign w:val="center"/>
          </w:tcPr>
          <w:p w14:paraId="4464F480" w14:textId="77777777" w:rsidR="00990B14" w:rsidRDefault="00000000">
            <w:pPr>
              <w:keepNext/>
              <w:spacing w:before="20" w:after="20"/>
              <w:jc w:val="center"/>
            </w:pPr>
            <w:r>
              <w:rPr>
                <w:b/>
                <w:bCs/>
                <w:i/>
                <w:iCs/>
                <w:color w:val="FFFFFF"/>
                <w:sz w:val="18"/>
                <w:szCs w:val="18"/>
              </w:rPr>
              <w:t>Evidencias de conocimiento</w:t>
            </w:r>
          </w:p>
        </w:tc>
      </w:tr>
      <w:tr w:rsidR="00990B14" w14:paraId="7D4AF4AF" w14:textId="77777777">
        <w:trPr>
          <w:cantSplit/>
          <w:jc w:val="center"/>
        </w:trPr>
        <w:tc>
          <w:tcPr>
            <w:tcW w:w="2349" w:type="dxa"/>
            <w:gridSpan w:val="2"/>
            <w:shd w:val="clear" w:color="auto" w:fill="4472C4"/>
            <w:vAlign w:val="center"/>
          </w:tcPr>
          <w:p w14:paraId="7B719883"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4FF4CA5B" w14:textId="77777777" w:rsidR="00990B14" w:rsidRDefault="00000000">
            <w:pPr>
              <w:keepNext/>
              <w:spacing w:before="20" w:after="20"/>
              <w:jc w:val="both"/>
            </w:pPr>
            <w:r>
              <w:rPr>
                <w:b/>
                <w:bCs/>
                <w:i/>
                <w:iCs/>
                <w:color w:val="FFFFFF"/>
                <w:sz w:val="18"/>
                <w:szCs w:val="18"/>
              </w:rPr>
              <w:t>Contenidos</w:t>
            </w:r>
          </w:p>
          <w:p w14:paraId="7D03ED21"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1AAD16A8" w14:textId="77777777" w:rsidR="00990B14" w:rsidRDefault="00000000">
            <w:pPr>
              <w:keepNext/>
              <w:spacing w:before="20" w:after="20"/>
              <w:jc w:val="center"/>
            </w:pPr>
            <w:r>
              <w:rPr>
                <w:b/>
                <w:bCs/>
                <w:i/>
                <w:iCs/>
                <w:color w:val="FFFFFF"/>
                <w:sz w:val="18"/>
                <w:szCs w:val="18"/>
              </w:rPr>
              <w:t>Conocimientos circunstanciales</w:t>
            </w:r>
          </w:p>
        </w:tc>
      </w:tr>
      <w:tr w:rsidR="00990B14" w14:paraId="22B42E6F" w14:textId="77777777">
        <w:trPr>
          <w:jc w:val="center"/>
        </w:trPr>
        <w:tc>
          <w:tcPr>
            <w:tcW w:w="2349" w:type="dxa"/>
            <w:gridSpan w:val="2"/>
            <w:shd w:val="clear" w:color="auto" w:fill="D9E2F3"/>
          </w:tcPr>
          <w:p w14:paraId="3F99CC9E" w14:textId="77777777" w:rsidR="00990B14" w:rsidRDefault="00000000">
            <w:pPr>
              <w:spacing w:before="20" w:after="40"/>
              <w:jc w:val="center"/>
            </w:pPr>
            <w:r>
              <w:rPr>
                <w:b/>
                <w:bCs/>
                <w:sz w:val="18"/>
                <w:szCs w:val="18"/>
              </w:rPr>
              <w:t>Tema 9. Fundamentos y Planificación de la Auditoría Operacional</w:t>
            </w:r>
          </w:p>
          <w:p w14:paraId="0A4BAABC" w14:textId="77777777" w:rsidR="00990B14" w:rsidRDefault="00000000">
            <w:pPr>
              <w:spacing w:before="20" w:after="40"/>
              <w:jc w:val="center"/>
            </w:pPr>
            <w:r>
              <w:rPr>
                <w:b/>
                <w:bCs/>
                <w:sz w:val="18"/>
                <w:szCs w:val="18"/>
              </w:rPr>
              <w:t>Tema 10. Ejecución y Comunicación de Resultados de la Auditoría Operacional</w:t>
            </w:r>
          </w:p>
        </w:tc>
        <w:tc>
          <w:tcPr>
            <w:tcW w:w="4304" w:type="dxa"/>
            <w:gridSpan w:val="8"/>
            <w:shd w:val="clear" w:color="auto" w:fill="D9E2F3"/>
          </w:tcPr>
          <w:p w14:paraId="13E19FE7" w14:textId="77777777" w:rsidR="00990B14" w:rsidRDefault="00000000">
            <w:pPr>
              <w:spacing w:after="40"/>
              <w:jc w:val="both"/>
            </w:pPr>
            <w:r>
              <w:rPr>
                <w:sz w:val="18"/>
                <w:szCs w:val="18"/>
              </w:rPr>
              <w:t>Naturaleza, objetivos, características y alcance de la auditoría operacional. (C)</w:t>
            </w:r>
          </w:p>
          <w:p w14:paraId="51C01DD5" w14:textId="77777777" w:rsidR="00990B14" w:rsidRDefault="00000000">
            <w:pPr>
              <w:spacing w:after="40"/>
              <w:jc w:val="both"/>
            </w:pPr>
            <w:r>
              <w:rPr>
                <w:sz w:val="18"/>
                <w:szCs w:val="18"/>
              </w:rPr>
              <w:t>Normas de Auditoría Operacional: fundamentos técnicos y normativos. (C)</w:t>
            </w:r>
          </w:p>
          <w:p w14:paraId="52456811" w14:textId="77777777" w:rsidR="00990B14" w:rsidRDefault="00000000">
            <w:pPr>
              <w:spacing w:after="40"/>
              <w:jc w:val="both"/>
            </w:pPr>
            <w:r>
              <w:rPr>
                <w:sz w:val="18"/>
                <w:szCs w:val="18"/>
              </w:rPr>
              <w:t>Ámbito de aplicación, actores y responsables. (C)</w:t>
            </w:r>
          </w:p>
          <w:p w14:paraId="4BB63F66" w14:textId="77777777" w:rsidR="00990B14" w:rsidRDefault="00000000">
            <w:pPr>
              <w:spacing w:after="40"/>
              <w:jc w:val="both"/>
            </w:pPr>
            <w:r>
              <w:rPr>
                <w:sz w:val="18"/>
                <w:szCs w:val="18"/>
              </w:rPr>
              <w:t>Evaluación de la gestión administrativa: sistemas, procesos, unidades organizacionales y responsables. (C, P)</w:t>
            </w:r>
          </w:p>
          <w:p w14:paraId="29AB0320" w14:textId="77777777" w:rsidR="00990B14" w:rsidRDefault="00000000">
            <w:pPr>
              <w:spacing w:after="40"/>
              <w:jc w:val="both"/>
            </w:pPr>
            <w:r>
              <w:rPr>
                <w:sz w:val="18"/>
                <w:szCs w:val="18"/>
              </w:rPr>
              <w:t>Identificación y evaluación de riesgos de la gestión administrativa. (C, P)</w:t>
            </w:r>
          </w:p>
          <w:p w14:paraId="20A398A7" w14:textId="77777777" w:rsidR="00990B14" w:rsidRDefault="00000000">
            <w:pPr>
              <w:spacing w:after="40"/>
              <w:jc w:val="both"/>
            </w:pPr>
            <w:r>
              <w:rPr>
                <w:sz w:val="18"/>
                <w:szCs w:val="18"/>
              </w:rPr>
              <w:t>Indicadores de gestión administrativa: medición y evaluación de la eficacia. (C, P)</w:t>
            </w:r>
          </w:p>
          <w:p w14:paraId="3F23F0B8" w14:textId="77777777" w:rsidR="00990B14" w:rsidRDefault="00000000">
            <w:pPr>
              <w:spacing w:after="40"/>
              <w:jc w:val="both"/>
            </w:pPr>
            <w:r>
              <w:rPr>
                <w:sz w:val="18"/>
                <w:szCs w:val="18"/>
              </w:rPr>
              <w:t>Planificación de auditoría: memorándum de planificación y programas de trabajo. (P)</w:t>
            </w:r>
          </w:p>
          <w:p w14:paraId="60D6A992" w14:textId="77777777" w:rsidR="00990B14" w:rsidRDefault="00000000">
            <w:pPr>
              <w:spacing w:after="40"/>
              <w:jc w:val="both"/>
            </w:pPr>
            <w:r>
              <w:rPr>
                <w:sz w:val="18"/>
                <w:szCs w:val="18"/>
              </w:rPr>
              <w:t>Ejecución de programas de trabajo y procedimientos de auditoría. (P)</w:t>
            </w:r>
          </w:p>
          <w:p w14:paraId="26342101" w14:textId="77777777" w:rsidR="00990B14" w:rsidRDefault="00000000">
            <w:pPr>
              <w:spacing w:after="40"/>
              <w:jc w:val="both"/>
            </w:pPr>
            <w:r>
              <w:rPr>
                <w:sz w:val="18"/>
                <w:szCs w:val="18"/>
              </w:rPr>
              <w:t>Evaluación de procesos, operaciones y actividades administrativas. (P)</w:t>
            </w:r>
          </w:p>
          <w:p w14:paraId="38E2EA79" w14:textId="77777777" w:rsidR="00990B14" w:rsidRDefault="00000000">
            <w:pPr>
              <w:spacing w:after="40"/>
              <w:jc w:val="both"/>
            </w:pPr>
            <w:r>
              <w:rPr>
                <w:sz w:val="18"/>
                <w:szCs w:val="18"/>
              </w:rPr>
              <w:t>Aplicación de indicadores de eficacia y evaluación de resultados. (P)</w:t>
            </w:r>
          </w:p>
          <w:p w14:paraId="7449E5E4" w14:textId="77777777" w:rsidR="00990B14" w:rsidRDefault="00000000">
            <w:pPr>
              <w:spacing w:after="40"/>
              <w:jc w:val="both"/>
            </w:pPr>
            <w:r>
              <w:rPr>
                <w:sz w:val="18"/>
                <w:szCs w:val="18"/>
              </w:rPr>
              <w:t>Obtención y análisis de evidencia de auditoría y organización de papeles de trabajo. (P)</w:t>
            </w:r>
          </w:p>
          <w:p w14:paraId="52055609" w14:textId="77777777" w:rsidR="00990B14" w:rsidRDefault="00000000">
            <w:pPr>
              <w:spacing w:after="40"/>
              <w:jc w:val="both"/>
            </w:pPr>
            <w:r>
              <w:rPr>
                <w:sz w:val="18"/>
                <w:szCs w:val="18"/>
              </w:rPr>
              <w:t>Identificación y formulación de hallazgos: condición, criterio, causa, efecto. (C, P)</w:t>
            </w:r>
          </w:p>
          <w:p w14:paraId="31C27B00" w14:textId="77777777" w:rsidR="00990B14" w:rsidRDefault="00000000">
            <w:pPr>
              <w:spacing w:after="40"/>
              <w:jc w:val="both"/>
            </w:pPr>
            <w:r>
              <w:rPr>
                <w:sz w:val="18"/>
                <w:szCs w:val="18"/>
              </w:rPr>
              <w:t>Formulación de conclusiones y recomendaciones para el mejoramiento de la gestión administrativa. (P, A)</w:t>
            </w:r>
          </w:p>
          <w:p w14:paraId="0CF57FC7" w14:textId="77777777" w:rsidR="00990B14" w:rsidRDefault="00000000">
            <w:pPr>
              <w:spacing w:after="40"/>
              <w:jc w:val="both"/>
            </w:pPr>
            <w:r>
              <w:rPr>
                <w:sz w:val="18"/>
                <w:szCs w:val="18"/>
              </w:rPr>
              <w:t>Elaboración y comunicación de informes de auditoría operacional y seguimiento de recomendaciones. (P, A)</w:t>
            </w:r>
          </w:p>
        </w:tc>
        <w:tc>
          <w:tcPr>
            <w:tcW w:w="2752" w:type="dxa"/>
            <w:gridSpan w:val="3"/>
            <w:shd w:val="clear" w:color="auto" w:fill="D9E2F3"/>
          </w:tcPr>
          <w:p w14:paraId="4133A16D" w14:textId="77777777" w:rsidR="00990B14" w:rsidRDefault="00000000">
            <w:pPr>
              <w:numPr>
                <w:ilvl w:val="0"/>
                <w:numId w:val="139"/>
              </w:numPr>
              <w:spacing w:before="10" w:after="10"/>
              <w:jc w:val="both"/>
            </w:pPr>
            <w:r>
              <w:rPr>
                <w:sz w:val="18"/>
                <w:szCs w:val="18"/>
              </w:rPr>
              <w:t>Teorías y enfoques de la gestión pública, resultados, eficacia, eficiencia, economía y efectividad.</w:t>
            </w:r>
          </w:p>
          <w:p w14:paraId="74C4ABE9" w14:textId="77777777" w:rsidR="00990B14" w:rsidRDefault="00000000">
            <w:pPr>
              <w:numPr>
                <w:ilvl w:val="0"/>
                <w:numId w:val="139"/>
              </w:numPr>
              <w:spacing w:before="10" w:after="10"/>
              <w:jc w:val="both"/>
            </w:pPr>
            <w:r>
              <w:rPr>
                <w:sz w:val="18"/>
                <w:szCs w:val="18"/>
              </w:rPr>
              <w:t>Teorías y enfoques del valor público, cadena de resultados y marco lógico en la formulación, ejecución y evaluación de políticas públicas.</w:t>
            </w:r>
          </w:p>
          <w:p w14:paraId="3803F744" w14:textId="77777777" w:rsidR="00990B14" w:rsidRDefault="00000000">
            <w:pPr>
              <w:numPr>
                <w:ilvl w:val="0"/>
                <w:numId w:val="139"/>
              </w:numPr>
              <w:spacing w:before="10" w:after="10"/>
              <w:jc w:val="both"/>
            </w:pPr>
            <w:r>
              <w:rPr>
                <w:sz w:val="18"/>
                <w:szCs w:val="18"/>
              </w:rPr>
              <w:t>Nociones sobre gestión administrativa, desempeño, métodos de análisis e indicadores.</w:t>
            </w:r>
          </w:p>
          <w:p w14:paraId="0B31BBA8" w14:textId="77777777" w:rsidR="00990B14" w:rsidRDefault="00000000">
            <w:pPr>
              <w:numPr>
                <w:ilvl w:val="0"/>
                <w:numId w:val="139"/>
              </w:numPr>
              <w:spacing w:before="10" w:after="10"/>
              <w:jc w:val="both"/>
            </w:pPr>
            <w:r>
              <w:rPr>
                <w:sz w:val="18"/>
                <w:szCs w:val="18"/>
              </w:rPr>
              <w:t>Normas Generales de Auditoría Gubernamental, Normas de Auditoría Operacional, guías y normas básicas de los sistemas de administración</w:t>
            </w:r>
          </w:p>
          <w:p w14:paraId="0DF8C83E" w14:textId="77777777" w:rsidR="00990B14" w:rsidRDefault="00000000">
            <w:pPr>
              <w:numPr>
                <w:ilvl w:val="0"/>
                <w:numId w:val="139"/>
              </w:numPr>
              <w:spacing w:before="10" w:after="10"/>
              <w:jc w:val="both"/>
            </w:pPr>
            <w:r>
              <w:rPr>
                <w:sz w:val="18"/>
                <w:szCs w:val="18"/>
              </w:rPr>
              <w:t>Ley 1178 y Ley 777 del Sistema de Planificación Integral del Estado.</w:t>
            </w:r>
          </w:p>
          <w:p w14:paraId="1C26AC72" w14:textId="77777777" w:rsidR="00990B14" w:rsidRDefault="00000000">
            <w:pPr>
              <w:numPr>
                <w:ilvl w:val="0"/>
                <w:numId w:val="139"/>
              </w:numPr>
              <w:spacing w:before="10" w:after="10"/>
              <w:jc w:val="both"/>
            </w:pPr>
            <w:r>
              <w:rPr>
                <w:sz w:val="18"/>
                <w:szCs w:val="18"/>
              </w:rPr>
              <w:t>Teorías y enfoques de la gestión pública, resultados, eficacia, eficiencia, economía y efectividad.</w:t>
            </w:r>
          </w:p>
          <w:p w14:paraId="12B2548E" w14:textId="77777777" w:rsidR="00990B14" w:rsidRDefault="00000000">
            <w:pPr>
              <w:numPr>
                <w:ilvl w:val="0"/>
                <w:numId w:val="139"/>
              </w:numPr>
              <w:spacing w:before="10" w:after="10"/>
              <w:jc w:val="both"/>
            </w:pPr>
            <w:r>
              <w:rPr>
                <w:sz w:val="18"/>
                <w:szCs w:val="18"/>
              </w:rPr>
              <w:t>Nociones sobre gestión administrativa, desempeño, métodos de análisis e indicadores.</w:t>
            </w:r>
          </w:p>
          <w:p w14:paraId="5E627578" w14:textId="77777777" w:rsidR="00990B14" w:rsidRDefault="00000000">
            <w:pPr>
              <w:numPr>
                <w:ilvl w:val="0"/>
                <w:numId w:val="139"/>
              </w:numPr>
              <w:spacing w:before="10" w:after="10"/>
              <w:jc w:val="both"/>
            </w:pPr>
            <w:r>
              <w:rPr>
                <w:sz w:val="18"/>
                <w:szCs w:val="18"/>
              </w:rPr>
              <w:t>Normas Generales de Auditoría Gubernamental, Normas de Auditoría Operacional, guías y normas básicas de los sistemas de administración</w:t>
            </w:r>
          </w:p>
          <w:p w14:paraId="02416B0B" w14:textId="77777777" w:rsidR="00990B14" w:rsidRDefault="00000000">
            <w:pPr>
              <w:numPr>
                <w:ilvl w:val="0"/>
                <w:numId w:val="139"/>
              </w:numPr>
              <w:spacing w:before="10" w:after="10"/>
              <w:jc w:val="both"/>
            </w:pPr>
            <w:r>
              <w:rPr>
                <w:sz w:val="18"/>
                <w:szCs w:val="18"/>
              </w:rPr>
              <w:t>Ley 1178 y Ley 777 del Sistema de Planificación Integral del Estado.</w:t>
            </w:r>
          </w:p>
        </w:tc>
      </w:tr>
    </w:tbl>
    <w:p w14:paraId="75661CF5"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881"/>
        <w:gridCol w:w="1881"/>
        <w:gridCol w:w="1881"/>
        <w:gridCol w:w="1881"/>
        <w:gridCol w:w="1881"/>
      </w:tblGrid>
      <w:tr w:rsidR="00990B14" w14:paraId="510C5B3D" w14:textId="77777777">
        <w:trPr>
          <w:cantSplit/>
          <w:jc w:val="center"/>
        </w:trPr>
        <w:tc>
          <w:tcPr>
            <w:tcW w:w="9405" w:type="dxa"/>
            <w:gridSpan w:val="5"/>
            <w:shd w:val="clear" w:color="auto" w:fill="4472C4"/>
            <w:vAlign w:val="center"/>
          </w:tcPr>
          <w:p w14:paraId="6971E288" w14:textId="77777777" w:rsidR="00990B14" w:rsidRDefault="00000000">
            <w:pPr>
              <w:keepNext/>
              <w:spacing w:before="20" w:after="20"/>
              <w:jc w:val="center"/>
            </w:pPr>
            <w:r>
              <w:rPr>
                <w:b/>
                <w:bCs/>
                <w:i/>
                <w:iCs/>
                <w:color w:val="FFFFFF"/>
                <w:sz w:val="18"/>
                <w:szCs w:val="18"/>
              </w:rPr>
              <w:t>Actividades</w:t>
            </w:r>
          </w:p>
        </w:tc>
      </w:tr>
      <w:tr w:rsidR="00990B14" w14:paraId="0F8197C2" w14:textId="77777777">
        <w:trPr>
          <w:cantSplit/>
          <w:jc w:val="center"/>
        </w:trPr>
        <w:tc>
          <w:tcPr>
            <w:tcW w:w="1881" w:type="dxa"/>
            <w:shd w:val="clear" w:color="auto" w:fill="4472C4"/>
            <w:vAlign w:val="center"/>
          </w:tcPr>
          <w:p w14:paraId="62151936" w14:textId="77777777" w:rsidR="00990B14" w:rsidRDefault="00000000">
            <w:pPr>
              <w:keepNext/>
              <w:spacing w:before="20" w:after="20"/>
              <w:jc w:val="center"/>
            </w:pPr>
            <w:r>
              <w:rPr>
                <w:b/>
                <w:bCs/>
                <w:i/>
                <w:iCs/>
                <w:color w:val="FFFFFF"/>
                <w:sz w:val="18"/>
                <w:szCs w:val="18"/>
              </w:rPr>
              <w:t>En clase</w:t>
            </w:r>
          </w:p>
        </w:tc>
        <w:tc>
          <w:tcPr>
            <w:tcW w:w="1881" w:type="dxa"/>
            <w:shd w:val="clear" w:color="auto" w:fill="4472C4"/>
            <w:vAlign w:val="center"/>
          </w:tcPr>
          <w:p w14:paraId="5E751597" w14:textId="77777777" w:rsidR="00990B14" w:rsidRDefault="00000000">
            <w:pPr>
              <w:keepNext/>
              <w:spacing w:before="20" w:after="20"/>
              <w:jc w:val="center"/>
            </w:pPr>
            <w:r>
              <w:rPr>
                <w:b/>
                <w:bCs/>
                <w:i/>
                <w:iCs/>
                <w:color w:val="FFFFFF"/>
                <w:sz w:val="18"/>
                <w:szCs w:val="18"/>
              </w:rPr>
              <w:t>Autónomas</w:t>
            </w:r>
          </w:p>
        </w:tc>
        <w:tc>
          <w:tcPr>
            <w:tcW w:w="1881" w:type="dxa"/>
            <w:shd w:val="clear" w:color="auto" w:fill="4472C4"/>
            <w:vAlign w:val="center"/>
          </w:tcPr>
          <w:p w14:paraId="4CCA2E0D" w14:textId="77777777" w:rsidR="00990B14" w:rsidRDefault="00000000">
            <w:pPr>
              <w:keepNext/>
              <w:spacing w:before="20" w:after="20"/>
              <w:jc w:val="center"/>
            </w:pPr>
            <w:r>
              <w:rPr>
                <w:b/>
                <w:bCs/>
                <w:i/>
                <w:iCs/>
                <w:color w:val="FFFFFF"/>
                <w:sz w:val="18"/>
                <w:szCs w:val="18"/>
              </w:rPr>
              <w:t>B-Learning</w:t>
            </w:r>
          </w:p>
        </w:tc>
        <w:tc>
          <w:tcPr>
            <w:tcW w:w="1881" w:type="dxa"/>
            <w:shd w:val="clear" w:color="auto" w:fill="4472C4"/>
            <w:vAlign w:val="center"/>
          </w:tcPr>
          <w:p w14:paraId="03558DA8" w14:textId="77777777" w:rsidR="00990B14" w:rsidRDefault="00000000">
            <w:pPr>
              <w:keepNext/>
              <w:spacing w:before="20" w:after="20"/>
              <w:jc w:val="center"/>
            </w:pPr>
            <w:r>
              <w:rPr>
                <w:b/>
                <w:bCs/>
                <w:i/>
                <w:iCs/>
                <w:color w:val="FFFFFF"/>
                <w:sz w:val="18"/>
                <w:szCs w:val="18"/>
              </w:rPr>
              <w:t>Taller</w:t>
            </w:r>
          </w:p>
        </w:tc>
        <w:tc>
          <w:tcPr>
            <w:tcW w:w="1881" w:type="dxa"/>
            <w:shd w:val="clear" w:color="auto" w:fill="4472C4"/>
            <w:vAlign w:val="center"/>
          </w:tcPr>
          <w:p w14:paraId="04280CD9" w14:textId="77777777" w:rsidR="00990B14" w:rsidRDefault="00000000">
            <w:pPr>
              <w:keepNext/>
              <w:spacing w:before="20" w:after="20"/>
              <w:jc w:val="center"/>
            </w:pPr>
            <w:r>
              <w:rPr>
                <w:b/>
                <w:bCs/>
                <w:i/>
                <w:iCs/>
                <w:color w:val="FFFFFF"/>
                <w:sz w:val="18"/>
                <w:szCs w:val="18"/>
              </w:rPr>
              <w:t>Investigación/Práctica</w:t>
            </w:r>
          </w:p>
        </w:tc>
      </w:tr>
      <w:tr w:rsidR="00990B14" w14:paraId="64C96F38" w14:textId="77777777">
        <w:trPr>
          <w:jc w:val="center"/>
        </w:trPr>
        <w:tc>
          <w:tcPr>
            <w:tcW w:w="1881" w:type="dxa"/>
            <w:shd w:val="clear" w:color="auto" w:fill="D9E2F3"/>
          </w:tcPr>
          <w:p w14:paraId="79A7A66B" w14:textId="77777777" w:rsidR="00990B14" w:rsidRDefault="00000000">
            <w:pPr>
              <w:numPr>
                <w:ilvl w:val="0"/>
                <w:numId w:val="139"/>
              </w:numPr>
              <w:spacing w:before="10" w:after="10"/>
              <w:jc w:val="both"/>
            </w:pPr>
            <w:r>
              <w:rPr>
                <w:sz w:val="18"/>
                <w:szCs w:val="18"/>
              </w:rPr>
              <w:t>Exposición dialogada del Modelo de Gestión Pública, la Ley N.º 1178 y el enfoque sistémico de sus sistemas de administración con preguntas de comprensión.</w:t>
            </w:r>
          </w:p>
          <w:p w14:paraId="2FA858DF" w14:textId="77777777" w:rsidR="00990B14" w:rsidRDefault="00000000">
            <w:pPr>
              <w:numPr>
                <w:ilvl w:val="0"/>
                <w:numId w:val="139"/>
              </w:numPr>
              <w:spacing w:before="10" w:after="10"/>
              <w:jc w:val="both"/>
            </w:pPr>
            <w:r>
              <w:rPr>
                <w:sz w:val="18"/>
                <w:szCs w:val="18"/>
              </w:rPr>
              <w:t>Exposición dialogada del Sistema de Control Gubernamental, las Normas de Auditoría Gubernamental, las atribuciones de la Contraloría General del Estado y las funciones de las Unidades de Auditoría Interna.</w:t>
            </w:r>
          </w:p>
          <w:p w14:paraId="6866428B" w14:textId="77777777" w:rsidR="00990B14" w:rsidRDefault="00000000">
            <w:pPr>
              <w:numPr>
                <w:ilvl w:val="0"/>
                <w:numId w:val="139"/>
              </w:numPr>
              <w:spacing w:before="10" w:after="10"/>
              <w:jc w:val="both"/>
            </w:pPr>
            <w:r>
              <w:rPr>
                <w:sz w:val="18"/>
                <w:szCs w:val="18"/>
              </w:rPr>
              <w:t>Análisis guiado de informes de auditoría publicados por la Contraloría General del Estado, identificando el tipo de auditoría, el objeto y el alcance.</w:t>
            </w:r>
          </w:p>
          <w:p w14:paraId="3613BF0A" w14:textId="77777777" w:rsidR="00990B14" w:rsidRDefault="00000000">
            <w:pPr>
              <w:numPr>
                <w:ilvl w:val="0"/>
                <w:numId w:val="139"/>
              </w:numPr>
              <w:spacing w:before="10" w:after="10"/>
              <w:jc w:val="both"/>
            </w:pPr>
            <w:r>
              <w:rPr>
                <w:sz w:val="18"/>
                <w:szCs w:val="18"/>
              </w:rPr>
              <w:t>Resolución guiada de ejercicios de clasificación de hechos según el tipo de responsabilidad por la función pública, sus causales, la prescripción y las causales de exención.</w:t>
            </w:r>
          </w:p>
          <w:p w14:paraId="2E94B5BB" w14:textId="77777777" w:rsidR="00990B14" w:rsidRDefault="00000000">
            <w:pPr>
              <w:numPr>
                <w:ilvl w:val="0"/>
                <w:numId w:val="139"/>
              </w:numPr>
              <w:spacing w:before="10" w:after="10"/>
              <w:jc w:val="both"/>
            </w:pPr>
            <w:r>
              <w:rPr>
                <w:sz w:val="18"/>
                <w:szCs w:val="18"/>
              </w:rPr>
              <w:t>Demostración guiada de la evaluación del control interno con cuestionarios, narrativas y flujogramas, aplicando los Principios, Normas Generales y Básicas de Control Interno Gubernamental.</w:t>
            </w:r>
          </w:p>
          <w:p w14:paraId="1A0C8B45" w14:textId="77777777" w:rsidR="00990B14" w:rsidRDefault="00000000">
            <w:pPr>
              <w:numPr>
                <w:ilvl w:val="0"/>
                <w:numId w:val="139"/>
              </w:numPr>
              <w:spacing w:before="10" w:after="10"/>
              <w:jc w:val="both"/>
            </w:pPr>
            <w:r>
              <w:rPr>
                <w:sz w:val="18"/>
                <w:szCs w:val="18"/>
              </w:rPr>
              <w:t>Resolución guiada de la planificación de la auditoría financiera, de cumplimiento y operacional: relevamiento de información, riesgos, importancia relativa y Memorándum de Planificación de Auditoría.</w:t>
            </w:r>
          </w:p>
          <w:p w14:paraId="6E47A2B7" w14:textId="77777777" w:rsidR="00990B14" w:rsidRDefault="00000000">
            <w:pPr>
              <w:numPr>
                <w:ilvl w:val="0"/>
                <w:numId w:val="139"/>
              </w:numPr>
              <w:spacing w:before="10" w:after="10"/>
              <w:jc w:val="both"/>
            </w:pPr>
            <w:r>
              <w:rPr>
                <w:sz w:val="18"/>
                <w:szCs w:val="18"/>
              </w:rPr>
              <w:t>Revisión de papeles de trabajo y legajos modelo: referenciación, marcas, evidencia lícita, válida y suficiente, y conclusiones.</w:t>
            </w:r>
          </w:p>
          <w:p w14:paraId="4D3A3FB7" w14:textId="77777777" w:rsidR="00990B14" w:rsidRDefault="00000000">
            <w:pPr>
              <w:numPr>
                <w:ilvl w:val="0"/>
                <w:numId w:val="139"/>
              </w:numPr>
              <w:spacing w:before="10" w:after="10"/>
              <w:jc w:val="both"/>
            </w:pPr>
            <w:r>
              <w:rPr>
                <w:sz w:val="18"/>
                <w:szCs w:val="18"/>
              </w:rPr>
              <w:t>Análisis de casos de hallazgos con condición, criterio, causa y efecto, y discusión de su redacción y de su respaldo documental.</w:t>
            </w:r>
          </w:p>
          <w:p w14:paraId="4EAB256C" w14:textId="77777777" w:rsidR="00990B14" w:rsidRDefault="00000000">
            <w:pPr>
              <w:numPr>
                <w:ilvl w:val="0"/>
                <w:numId w:val="139"/>
              </w:numPr>
              <w:spacing w:before="10" w:after="10"/>
              <w:jc w:val="both"/>
            </w:pPr>
            <w:r>
              <w:rPr>
                <w:sz w:val="18"/>
                <w:szCs w:val="18"/>
              </w:rPr>
              <w:t>Discusión dirigida de dilemas éticos del auditor gubernamental: independencia, objetividad, escepticismo profesional y confidencialidad ante presiones de la entidad.</w:t>
            </w:r>
          </w:p>
          <w:p w14:paraId="16C78730" w14:textId="77777777" w:rsidR="00990B14" w:rsidRDefault="00000000">
            <w:pPr>
              <w:numPr>
                <w:ilvl w:val="0"/>
                <w:numId w:val="139"/>
              </w:numPr>
              <w:spacing w:before="10" w:after="10"/>
              <w:jc w:val="both"/>
            </w:pPr>
            <w:r>
              <w:rPr>
                <w:sz w:val="18"/>
                <w:szCs w:val="18"/>
              </w:rPr>
              <w:t>Estructuración guiada de los informes de auditoría, del informe circunstanciado y del procedimiento de aclaración y evaluación de descargos.</w:t>
            </w:r>
          </w:p>
        </w:tc>
        <w:tc>
          <w:tcPr>
            <w:tcW w:w="1881" w:type="dxa"/>
            <w:shd w:val="clear" w:color="auto" w:fill="D9E2F3"/>
          </w:tcPr>
          <w:p w14:paraId="7F9A05F0" w14:textId="77777777" w:rsidR="00990B14" w:rsidRDefault="00000000">
            <w:pPr>
              <w:numPr>
                <w:ilvl w:val="0"/>
                <w:numId w:val="139"/>
              </w:numPr>
              <w:spacing w:before="10" w:after="10"/>
              <w:jc w:val="both"/>
            </w:pPr>
            <w:r>
              <w:rPr>
                <w:sz w:val="18"/>
                <w:szCs w:val="18"/>
              </w:rPr>
              <w:t>Lectura analítica previa de la Ley N.º 1178, los D.S. N.º 23215 y N.º 23318-A, la Ley N.º 777 y las Normas de Auditoría Gubernamental, con elaboración de fichas de síntesis.</w:t>
            </w:r>
          </w:p>
          <w:p w14:paraId="52E2CFA8" w14:textId="77777777" w:rsidR="00990B14" w:rsidRDefault="00000000">
            <w:pPr>
              <w:numPr>
                <w:ilvl w:val="0"/>
                <w:numId w:val="139"/>
              </w:numPr>
              <w:spacing w:before="10" w:after="10"/>
              <w:jc w:val="both"/>
            </w:pPr>
            <w:r>
              <w:rPr>
                <w:sz w:val="18"/>
                <w:szCs w:val="18"/>
              </w:rPr>
              <w:t>Elaboración de esquemas y cuadros comparativos de los sistemas de administración, los tipos de auditoría, los tipos de responsabilidad y los tipos de informe.</w:t>
            </w:r>
          </w:p>
          <w:p w14:paraId="62454974" w14:textId="77777777" w:rsidR="00990B14" w:rsidRDefault="00000000">
            <w:pPr>
              <w:numPr>
                <w:ilvl w:val="0"/>
                <w:numId w:val="139"/>
              </w:numPr>
              <w:spacing w:before="10" w:after="10"/>
              <w:jc w:val="both"/>
            </w:pPr>
            <w:r>
              <w:rPr>
                <w:sz w:val="18"/>
                <w:szCs w:val="18"/>
              </w:rPr>
              <w:t>Lectura previa de las normas y guías de cada tema para su aplicación en clase.</w:t>
            </w:r>
          </w:p>
          <w:p w14:paraId="171FD6C9" w14:textId="77777777" w:rsidR="00990B14" w:rsidRDefault="00000000">
            <w:pPr>
              <w:numPr>
                <w:ilvl w:val="0"/>
                <w:numId w:val="139"/>
              </w:numPr>
              <w:spacing w:before="10" w:after="10"/>
              <w:jc w:val="both"/>
            </w:pPr>
            <w:r>
              <w:rPr>
                <w:sz w:val="18"/>
                <w:szCs w:val="18"/>
              </w:rPr>
              <w:t>Elaboración en hoja de cálculo del análisis vertical y horizontal de estados financieros, de los indicadores de eficacia y de la planilla de indicios de responsabilidad.</w:t>
            </w:r>
          </w:p>
          <w:p w14:paraId="3B7FA939" w14:textId="77777777" w:rsidR="00990B14" w:rsidRDefault="00000000">
            <w:pPr>
              <w:numPr>
                <w:ilvl w:val="0"/>
                <w:numId w:val="139"/>
              </w:numPr>
              <w:spacing w:before="10" w:after="10"/>
              <w:jc w:val="both"/>
            </w:pPr>
            <w:r>
              <w:rPr>
                <w:sz w:val="18"/>
                <w:szCs w:val="18"/>
              </w:rPr>
              <w:t>Elaboración de avances de cada producto: relevamiento de información, matriz de planificación, matriz de hallazgos y borradores de informes.</w:t>
            </w:r>
          </w:p>
          <w:p w14:paraId="2B8BBF22" w14:textId="77777777" w:rsidR="00990B14" w:rsidRDefault="00000000">
            <w:pPr>
              <w:numPr>
                <w:ilvl w:val="0"/>
                <w:numId w:val="139"/>
              </w:numPr>
              <w:spacing w:before="10" w:after="10"/>
              <w:jc w:val="both"/>
            </w:pPr>
            <w:r>
              <w:rPr>
                <w:sz w:val="18"/>
                <w:szCs w:val="18"/>
              </w:rPr>
              <w:t>Reflexión escrita sobre un dilema ético del auditor gubernamental, con aplicación de las normas de ética de las Normas de Auditoría Gubernamental.</w:t>
            </w:r>
          </w:p>
          <w:p w14:paraId="2B304382" w14:textId="77777777" w:rsidR="00990B14" w:rsidRDefault="00000000">
            <w:pPr>
              <w:numPr>
                <w:ilvl w:val="0"/>
                <w:numId w:val="139"/>
              </w:numPr>
              <w:spacing w:before="10" w:after="10"/>
              <w:jc w:val="both"/>
            </w:pPr>
            <w:r>
              <w:rPr>
                <w:sz w:val="18"/>
                <w:szCs w:val="18"/>
              </w:rPr>
              <w:t>Resolución de cuestionarios de autoevaluación de cada tema.</w:t>
            </w:r>
          </w:p>
          <w:p w14:paraId="759AA8FE" w14:textId="77777777" w:rsidR="00990B14" w:rsidRDefault="00000000">
            <w:pPr>
              <w:numPr>
                <w:ilvl w:val="0"/>
                <w:numId w:val="139"/>
              </w:numPr>
              <w:spacing w:before="10" w:after="10"/>
              <w:jc w:val="both"/>
            </w:pPr>
            <w:r>
              <w:rPr>
                <w:sz w:val="18"/>
                <w:szCs w:val="18"/>
              </w:rPr>
              <w:t>Armado del portafolio de evidencias de la asignatura.</w:t>
            </w:r>
          </w:p>
        </w:tc>
        <w:tc>
          <w:tcPr>
            <w:tcW w:w="1881" w:type="dxa"/>
            <w:shd w:val="clear" w:color="auto" w:fill="D9E2F3"/>
          </w:tcPr>
          <w:p w14:paraId="4951FF26" w14:textId="77777777" w:rsidR="00990B14" w:rsidRDefault="00000000">
            <w:pPr>
              <w:numPr>
                <w:ilvl w:val="0"/>
                <w:numId w:val="139"/>
              </w:numPr>
              <w:spacing w:before="10" w:after="10"/>
              <w:jc w:val="both"/>
            </w:pPr>
            <w:r>
              <w:rPr>
                <w:sz w:val="18"/>
                <w:szCs w:val="18"/>
              </w:rPr>
              <w:t>Clases y material de apoyo en la plataforma Moodle UMSA sobre el marco normativo, la planificación estatal y los tipos de informe.</w:t>
            </w:r>
          </w:p>
          <w:p w14:paraId="69B63DC7" w14:textId="77777777" w:rsidR="00990B14" w:rsidRDefault="00000000">
            <w:pPr>
              <w:numPr>
                <w:ilvl w:val="0"/>
                <w:numId w:val="139"/>
              </w:numPr>
              <w:spacing w:before="10" w:after="10"/>
              <w:jc w:val="both"/>
            </w:pPr>
            <w:r>
              <w:rPr>
                <w:sz w:val="18"/>
                <w:szCs w:val="18"/>
              </w:rPr>
              <w:t>Foros de discusión de casos sobre hallazgos, indicios de responsabilidad y procesos emergentes, con respeto a la opinión ajena.</w:t>
            </w:r>
          </w:p>
          <w:p w14:paraId="0F6CE77E" w14:textId="77777777" w:rsidR="00990B14" w:rsidRDefault="00000000">
            <w:pPr>
              <w:numPr>
                <w:ilvl w:val="0"/>
                <w:numId w:val="139"/>
              </w:numPr>
              <w:spacing w:before="10" w:after="10"/>
              <w:jc w:val="both"/>
            </w:pPr>
            <w:r>
              <w:rPr>
                <w:sz w:val="18"/>
                <w:szCs w:val="18"/>
              </w:rPr>
              <w:t>Cuestionarios en línea de cada tema.</w:t>
            </w:r>
          </w:p>
          <w:p w14:paraId="5FF98B56" w14:textId="77777777" w:rsidR="00990B14" w:rsidRDefault="00000000">
            <w:pPr>
              <w:numPr>
                <w:ilvl w:val="0"/>
                <w:numId w:val="139"/>
              </w:numPr>
              <w:spacing w:before="10" w:after="10"/>
              <w:jc w:val="both"/>
            </w:pPr>
            <w:r>
              <w:rPr>
                <w:sz w:val="18"/>
                <w:szCs w:val="18"/>
              </w:rPr>
              <w:t>Sesiones guiadas de consulta de los portales de la Contraloría General del Estado, del Sistema de Contrataciones Estatales y del Sistema de Gestión Pública.</w:t>
            </w:r>
          </w:p>
          <w:p w14:paraId="036355C9" w14:textId="77777777" w:rsidR="00990B14" w:rsidRDefault="00000000">
            <w:pPr>
              <w:numPr>
                <w:ilvl w:val="0"/>
                <w:numId w:val="139"/>
              </w:numPr>
              <w:spacing w:before="10" w:after="10"/>
              <w:jc w:val="both"/>
            </w:pPr>
            <w:r>
              <w:rPr>
                <w:sz w:val="18"/>
                <w:szCs w:val="18"/>
              </w:rPr>
              <w:t>Consulta de la versión vigente de las normas en la Gaceta Oficial de Bolivia y en el repositorio normativo de la Contraloría General del Estado.</w:t>
            </w:r>
          </w:p>
          <w:p w14:paraId="14DEB6F2" w14:textId="77777777" w:rsidR="00990B14" w:rsidRDefault="00000000">
            <w:pPr>
              <w:numPr>
                <w:ilvl w:val="0"/>
                <w:numId w:val="139"/>
              </w:numPr>
              <w:spacing w:before="10" w:after="10"/>
              <w:jc w:val="both"/>
            </w:pPr>
            <w:r>
              <w:rPr>
                <w:sz w:val="18"/>
                <w:szCs w:val="18"/>
              </w:rPr>
              <w:t>Videotutoriales sobre la elaboración de papeles de trabajo, cédulas y referenciación.</w:t>
            </w:r>
          </w:p>
          <w:p w14:paraId="3F1D1ADC" w14:textId="77777777" w:rsidR="00990B14" w:rsidRDefault="00000000">
            <w:pPr>
              <w:numPr>
                <w:ilvl w:val="0"/>
                <w:numId w:val="139"/>
              </w:numPr>
              <w:spacing w:before="10" w:after="10"/>
              <w:jc w:val="both"/>
            </w:pPr>
            <w:r>
              <w:rPr>
                <w:sz w:val="18"/>
                <w:szCs w:val="18"/>
              </w:rPr>
              <w:t>Práctica guiada del uso de inteligencia artificial en la redacción de borradores, con verificación de sus resultados y responsabilidad profesional sobre lo que se firma.</w:t>
            </w:r>
          </w:p>
          <w:p w14:paraId="5A9C458F" w14:textId="77777777" w:rsidR="00990B14" w:rsidRDefault="00000000">
            <w:pPr>
              <w:numPr>
                <w:ilvl w:val="0"/>
                <w:numId w:val="139"/>
              </w:numPr>
              <w:spacing w:before="10" w:after="10"/>
              <w:jc w:val="both"/>
            </w:pPr>
            <w:r>
              <w:rPr>
                <w:sz w:val="18"/>
                <w:szCs w:val="18"/>
              </w:rPr>
              <w:t>Entrega y retroalimentación virtual de los avances de los productos.</w:t>
            </w:r>
          </w:p>
        </w:tc>
        <w:tc>
          <w:tcPr>
            <w:tcW w:w="1881" w:type="dxa"/>
            <w:shd w:val="clear" w:color="auto" w:fill="D9E2F3"/>
          </w:tcPr>
          <w:p w14:paraId="38255E69" w14:textId="77777777" w:rsidR="00990B14" w:rsidRDefault="00000000">
            <w:pPr>
              <w:numPr>
                <w:ilvl w:val="0"/>
                <w:numId w:val="139"/>
              </w:numPr>
              <w:spacing w:before="10" w:after="10"/>
              <w:jc w:val="both"/>
            </w:pPr>
            <w:r>
              <w:rPr>
                <w:sz w:val="18"/>
                <w:szCs w:val="18"/>
              </w:rPr>
              <w:t>Taller de articulación de los sistemas de administración de la Ley N.º 1178 con el Sistema de Control Gubernamental y comparación de los tipos de auditoría.</w:t>
            </w:r>
          </w:p>
          <w:p w14:paraId="0CA3A55C" w14:textId="77777777" w:rsidR="00990B14" w:rsidRDefault="00000000">
            <w:pPr>
              <w:numPr>
                <w:ilvl w:val="0"/>
                <w:numId w:val="139"/>
              </w:numPr>
              <w:spacing w:before="10" w:after="10"/>
              <w:jc w:val="both"/>
            </w:pPr>
            <w:r>
              <w:rPr>
                <w:sz w:val="18"/>
                <w:szCs w:val="18"/>
              </w:rPr>
              <w:t>Taller de clasificación de hechos según el tipo de responsabilidad por la función pública y de determinación de indicios en un estudio de caso.</w:t>
            </w:r>
          </w:p>
          <w:p w14:paraId="7D0B6B46" w14:textId="77777777" w:rsidR="00990B14" w:rsidRDefault="00000000">
            <w:pPr>
              <w:numPr>
                <w:ilvl w:val="0"/>
                <w:numId w:val="139"/>
              </w:numPr>
              <w:spacing w:before="10" w:after="10"/>
              <w:jc w:val="both"/>
            </w:pPr>
            <w:r>
              <w:rPr>
                <w:sz w:val="18"/>
                <w:szCs w:val="18"/>
              </w:rPr>
              <w:t>Taller de evaluación del control interno: ambiente de control, riesgos, deficiencias con sus atributos y recomendaciones.</w:t>
            </w:r>
          </w:p>
          <w:p w14:paraId="3A1F46C1" w14:textId="77777777" w:rsidR="00990B14" w:rsidRDefault="00000000">
            <w:pPr>
              <w:numPr>
                <w:ilvl w:val="0"/>
                <w:numId w:val="139"/>
              </w:numPr>
              <w:spacing w:before="10" w:after="10"/>
              <w:jc w:val="both"/>
            </w:pPr>
            <w:r>
              <w:rPr>
                <w:sz w:val="18"/>
                <w:szCs w:val="18"/>
              </w:rPr>
              <w:t>Taller de análisis vertical y horizontal de estados financieros en hoja de cálculo, matriz de planificación, programas de trabajo y Memorándum de Planificación de Auditoría.</w:t>
            </w:r>
          </w:p>
          <w:p w14:paraId="5CEA2A5C" w14:textId="77777777" w:rsidR="00990B14" w:rsidRDefault="00000000">
            <w:pPr>
              <w:numPr>
                <w:ilvl w:val="0"/>
                <w:numId w:val="139"/>
              </w:numPr>
              <w:spacing w:before="10" w:after="10"/>
              <w:jc w:val="both"/>
            </w:pPr>
            <w:r>
              <w:rPr>
                <w:sz w:val="18"/>
                <w:szCs w:val="18"/>
              </w:rPr>
              <w:t>Taller de papeles de trabajo, evidencia y redacción de hallazgos.</w:t>
            </w:r>
          </w:p>
          <w:p w14:paraId="1E67F9DE" w14:textId="77777777" w:rsidR="00990B14" w:rsidRDefault="00000000">
            <w:pPr>
              <w:numPr>
                <w:ilvl w:val="0"/>
                <w:numId w:val="139"/>
              </w:numPr>
              <w:spacing w:before="10" w:after="10"/>
              <w:jc w:val="both"/>
            </w:pPr>
            <w:r>
              <w:rPr>
                <w:sz w:val="18"/>
                <w:szCs w:val="18"/>
              </w:rPr>
              <w:t>Taller de evaluación del cumplimiento del ordenamiento jurídico y de elaboración de la planilla resumen de indicios de responsabilidad.</w:t>
            </w:r>
          </w:p>
          <w:p w14:paraId="15E98973" w14:textId="77777777" w:rsidR="00990B14" w:rsidRDefault="00000000">
            <w:pPr>
              <w:numPr>
                <w:ilvl w:val="0"/>
                <w:numId w:val="139"/>
              </w:numPr>
              <w:spacing w:before="10" w:after="10"/>
              <w:jc w:val="both"/>
            </w:pPr>
            <w:r>
              <w:rPr>
                <w:sz w:val="18"/>
                <w:szCs w:val="18"/>
              </w:rPr>
              <w:t>Taller de indicadores de eficacia y de formulación del Plan de Mejoramiento institucional.</w:t>
            </w:r>
          </w:p>
          <w:p w14:paraId="3B4AC56A" w14:textId="77777777" w:rsidR="00990B14" w:rsidRDefault="00000000">
            <w:pPr>
              <w:numPr>
                <w:ilvl w:val="0"/>
                <w:numId w:val="139"/>
              </w:numPr>
              <w:spacing w:before="10" w:after="10"/>
              <w:jc w:val="both"/>
            </w:pPr>
            <w:r>
              <w:rPr>
                <w:sz w:val="18"/>
                <w:szCs w:val="18"/>
              </w:rPr>
              <w:t>Taller de estructuración de informes y de evaluación de descargos, con roles de auditor, supervisor y jefe de equipo, y participación de todos los integrantes.</w:t>
            </w:r>
          </w:p>
        </w:tc>
        <w:tc>
          <w:tcPr>
            <w:tcW w:w="1881" w:type="dxa"/>
            <w:shd w:val="clear" w:color="auto" w:fill="D9E2F3"/>
          </w:tcPr>
          <w:p w14:paraId="3E8435AB" w14:textId="77777777" w:rsidR="00990B14" w:rsidRDefault="00000000">
            <w:pPr>
              <w:numPr>
                <w:ilvl w:val="0"/>
                <w:numId w:val="139"/>
              </w:numPr>
              <w:spacing w:before="10" w:after="10"/>
              <w:jc w:val="both"/>
            </w:pPr>
            <w:r>
              <w:rPr>
                <w:sz w:val="18"/>
                <w:szCs w:val="18"/>
              </w:rPr>
              <w:t>Análisis de un caso real de entidad pública a partir de informes de auditoría publicados.</w:t>
            </w:r>
          </w:p>
          <w:p w14:paraId="710BC9DE" w14:textId="77777777" w:rsidR="00990B14" w:rsidRDefault="00000000">
            <w:pPr>
              <w:numPr>
                <w:ilvl w:val="0"/>
                <w:numId w:val="139"/>
              </w:numPr>
              <w:spacing w:before="10" w:after="10"/>
              <w:jc w:val="both"/>
            </w:pPr>
            <w:r>
              <w:rPr>
                <w:sz w:val="18"/>
                <w:szCs w:val="18"/>
              </w:rPr>
              <w:t>Relevamiento de información de una entidad real o simulada, respetando la confidencialidad de los datos.</w:t>
            </w:r>
          </w:p>
          <w:p w14:paraId="6C4C474D" w14:textId="77777777" w:rsidR="00990B14" w:rsidRDefault="00000000">
            <w:pPr>
              <w:numPr>
                <w:ilvl w:val="0"/>
                <w:numId w:val="139"/>
              </w:numPr>
              <w:spacing w:before="10" w:after="10"/>
              <w:jc w:val="both"/>
            </w:pPr>
            <w:r>
              <w:rPr>
                <w:sz w:val="18"/>
                <w:szCs w:val="18"/>
              </w:rPr>
              <w:t>Práctica integral de auditoría simulada: planificación, ejecución y comunicación de resultados.</w:t>
            </w:r>
          </w:p>
          <w:p w14:paraId="45584657" w14:textId="77777777" w:rsidR="00990B14" w:rsidRDefault="00000000">
            <w:pPr>
              <w:numPr>
                <w:ilvl w:val="0"/>
                <w:numId w:val="139"/>
              </w:numPr>
              <w:spacing w:before="10" w:after="10"/>
              <w:jc w:val="both"/>
            </w:pPr>
            <w:r>
              <w:rPr>
                <w:sz w:val="18"/>
                <w:szCs w:val="18"/>
              </w:rPr>
              <w:t>Investigación sobre los procesos coactivo fiscal, penal y disciplinario emergentes de informes de auditoría.</w:t>
            </w:r>
          </w:p>
          <w:p w14:paraId="668F4AB3" w14:textId="77777777" w:rsidR="00990B14" w:rsidRDefault="00000000">
            <w:pPr>
              <w:numPr>
                <w:ilvl w:val="0"/>
                <w:numId w:val="139"/>
              </w:numPr>
              <w:spacing w:before="10" w:after="10"/>
              <w:jc w:val="both"/>
            </w:pPr>
            <w:r>
              <w:rPr>
                <w:sz w:val="18"/>
                <w:szCs w:val="18"/>
              </w:rPr>
              <w:t>Conversatorio con profesionales de la Contraloría General del Estado o de las Unidades de Auditoría Interna.</w:t>
            </w:r>
          </w:p>
          <w:p w14:paraId="22319FBA" w14:textId="77777777" w:rsidR="00990B14" w:rsidRDefault="00000000">
            <w:pPr>
              <w:numPr>
                <w:ilvl w:val="0"/>
                <w:numId w:val="139"/>
              </w:numPr>
              <w:spacing w:before="10" w:after="10"/>
              <w:jc w:val="both"/>
            </w:pPr>
            <w:r>
              <w:rPr>
                <w:sz w:val="18"/>
                <w:szCs w:val="18"/>
              </w:rPr>
              <w:t>Extensión universitaria: orientación a organizaciones de control social sobre la lectura de informes de auditoría y la rendición pública de cuentas, en el marco de la Ley N.º 341.</w:t>
            </w:r>
          </w:p>
        </w:tc>
      </w:tr>
    </w:tbl>
    <w:p w14:paraId="1EBCB095"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635"/>
        <w:gridCol w:w="1830"/>
        <w:gridCol w:w="1910"/>
        <w:gridCol w:w="1910"/>
        <w:gridCol w:w="2120"/>
      </w:tblGrid>
      <w:tr w:rsidR="00990B14" w14:paraId="295775EE" w14:textId="77777777">
        <w:trPr>
          <w:jc w:val="center"/>
        </w:trPr>
        <w:tc>
          <w:tcPr>
            <w:tcW w:w="1635" w:type="dxa"/>
            <w:shd w:val="clear" w:color="auto" w:fill="4472C4"/>
            <w:vAlign w:val="center"/>
          </w:tcPr>
          <w:p w14:paraId="47CEF38F" w14:textId="77777777" w:rsidR="00990B14" w:rsidRDefault="00000000">
            <w:pPr>
              <w:spacing w:before="20" w:after="20"/>
              <w:jc w:val="center"/>
            </w:pPr>
            <w:r>
              <w:rPr>
                <w:b/>
                <w:bCs/>
                <w:i/>
                <w:iCs/>
                <w:color w:val="FFFFFF"/>
                <w:sz w:val="18"/>
                <w:szCs w:val="18"/>
              </w:rPr>
              <w:t>Estrategias de aprendizaje y enseñanza</w:t>
            </w:r>
          </w:p>
        </w:tc>
        <w:tc>
          <w:tcPr>
            <w:tcW w:w="7770" w:type="dxa"/>
            <w:gridSpan w:val="4"/>
            <w:shd w:val="clear" w:color="auto" w:fill="D9E2F3"/>
            <w:vAlign w:val="center"/>
          </w:tcPr>
          <w:p w14:paraId="69628DF6" w14:textId="77777777" w:rsidR="00990B14" w:rsidRDefault="00000000">
            <w:pPr>
              <w:numPr>
                <w:ilvl w:val="0"/>
                <w:numId w:val="140"/>
              </w:numPr>
              <w:spacing w:before="10" w:after="10"/>
              <w:jc w:val="both"/>
            </w:pPr>
            <w:r>
              <w:rPr>
                <w:sz w:val="18"/>
                <w:szCs w:val="18"/>
              </w:rPr>
              <w:t>Estudio de casos reales y simulados de entidades públicas bolivianas, desde el Modelo de Gestión Pública hasta los informes de auditoría.</w:t>
            </w:r>
          </w:p>
          <w:p w14:paraId="04ED0E7B" w14:textId="77777777" w:rsidR="00990B14" w:rsidRDefault="00000000">
            <w:pPr>
              <w:numPr>
                <w:ilvl w:val="0"/>
                <w:numId w:val="140"/>
              </w:numPr>
              <w:spacing w:before="10" w:after="10"/>
              <w:jc w:val="both"/>
            </w:pPr>
            <w:r>
              <w:rPr>
                <w:sz w:val="18"/>
                <w:szCs w:val="18"/>
              </w:rPr>
              <w:t>Aprendizaje basado en proyectos: auditoría simulada de una entidad, que integra la planificación, la ejecución y los informes de las auditorías financiera, de cumplimiento y operacional.</w:t>
            </w:r>
          </w:p>
          <w:p w14:paraId="15513EAE" w14:textId="77777777" w:rsidR="00990B14" w:rsidRDefault="00000000">
            <w:pPr>
              <w:numPr>
                <w:ilvl w:val="0"/>
                <w:numId w:val="140"/>
              </w:numPr>
              <w:spacing w:before="10" w:after="10"/>
              <w:jc w:val="both"/>
            </w:pPr>
            <w:r>
              <w:rPr>
                <w:sz w:val="18"/>
                <w:szCs w:val="18"/>
              </w:rPr>
              <w:t>Aprendizaje basado en problemas para el análisis de hechos, evidencia e indicios de responsabilidad por la función pública.</w:t>
            </w:r>
          </w:p>
          <w:p w14:paraId="68DE6350" w14:textId="77777777" w:rsidR="00990B14" w:rsidRDefault="00000000">
            <w:pPr>
              <w:numPr>
                <w:ilvl w:val="0"/>
                <w:numId w:val="140"/>
              </w:numPr>
              <w:spacing w:before="10" w:after="10"/>
              <w:jc w:val="both"/>
            </w:pPr>
            <w:r>
              <w:rPr>
                <w:sz w:val="18"/>
                <w:szCs w:val="18"/>
              </w:rPr>
              <w:t>Simulación de la comunicación de resultados, del procedimiento de aclaración y de la evaluación de descargos.</w:t>
            </w:r>
          </w:p>
          <w:p w14:paraId="3694E68E" w14:textId="77777777" w:rsidR="00990B14" w:rsidRDefault="00000000">
            <w:pPr>
              <w:numPr>
                <w:ilvl w:val="0"/>
                <w:numId w:val="140"/>
              </w:numPr>
              <w:spacing w:before="10" w:after="10"/>
              <w:jc w:val="both"/>
            </w:pPr>
            <w:r>
              <w:rPr>
                <w:sz w:val="18"/>
                <w:szCs w:val="18"/>
              </w:rPr>
              <w:t>Aula invertida: lectura previa de normas y guías, y aplicación en clase.</w:t>
            </w:r>
          </w:p>
          <w:p w14:paraId="095D9E0C" w14:textId="77777777" w:rsidR="00990B14" w:rsidRDefault="00000000">
            <w:pPr>
              <w:numPr>
                <w:ilvl w:val="0"/>
                <w:numId w:val="140"/>
              </w:numPr>
              <w:spacing w:before="10" w:after="10"/>
              <w:jc w:val="both"/>
            </w:pPr>
            <w:r>
              <w:rPr>
                <w:sz w:val="18"/>
                <w:szCs w:val="18"/>
              </w:rPr>
              <w:t>Organizadores gráficos, como mapas conceptuales, matrices y flujogramas, para articular normas, procesos y productos.</w:t>
            </w:r>
          </w:p>
          <w:p w14:paraId="6784D845" w14:textId="77777777" w:rsidR="00990B14" w:rsidRDefault="00000000">
            <w:pPr>
              <w:numPr>
                <w:ilvl w:val="0"/>
                <w:numId w:val="140"/>
              </w:numPr>
              <w:spacing w:before="10" w:after="10"/>
              <w:jc w:val="both"/>
            </w:pPr>
            <w:r>
              <w:rPr>
                <w:sz w:val="18"/>
                <w:szCs w:val="18"/>
              </w:rPr>
              <w:t>Exposición dialogada del docente sobre el marco normativo y técnico de cada tema, con preguntas de comprensión.</w:t>
            </w:r>
          </w:p>
          <w:p w14:paraId="6E69CBD2" w14:textId="77777777" w:rsidR="00990B14" w:rsidRDefault="00000000">
            <w:pPr>
              <w:numPr>
                <w:ilvl w:val="0"/>
                <w:numId w:val="140"/>
              </w:numPr>
              <w:spacing w:before="10" w:after="10"/>
              <w:jc w:val="both"/>
            </w:pPr>
            <w:r>
              <w:rPr>
                <w:sz w:val="18"/>
                <w:szCs w:val="18"/>
              </w:rPr>
              <w:t>Demostración del docente de la elaboración de papeles de trabajo y de hallazgos, seguida de práctica guiada.</w:t>
            </w:r>
          </w:p>
          <w:p w14:paraId="6BBD21AF" w14:textId="77777777" w:rsidR="00990B14" w:rsidRDefault="00000000">
            <w:pPr>
              <w:numPr>
                <w:ilvl w:val="0"/>
                <w:numId w:val="140"/>
              </w:numPr>
              <w:spacing w:before="10" w:after="10"/>
              <w:jc w:val="both"/>
            </w:pPr>
            <w:r>
              <w:rPr>
                <w:sz w:val="18"/>
                <w:szCs w:val="18"/>
              </w:rPr>
              <w:t>Discusión de dilemas éticos para formar independencia, objetividad, escepticismo profesional, confidencialidad y responsabilidad por la función pública.</w:t>
            </w:r>
          </w:p>
          <w:p w14:paraId="51C23414" w14:textId="77777777" w:rsidR="00990B14" w:rsidRDefault="00000000">
            <w:pPr>
              <w:numPr>
                <w:ilvl w:val="0"/>
                <w:numId w:val="140"/>
              </w:numPr>
              <w:spacing w:before="10" w:after="10"/>
              <w:jc w:val="both"/>
            </w:pPr>
            <w:r>
              <w:rPr>
                <w:sz w:val="18"/>
                <w:szCs w:val="18"/>
              </w:rPr>
              <w:t>Retroalimentación formativa continua, con rúbricas y listas de cotejo conocidas por el grupo desde el inicio.</w:t>
            </w:r>
          </w:p>
          <w:p w14:paraId="2254C6B3" w14:textId="77777777" w:rsidR="00990B14" w:rsidRDefault="00000000">
            <w:pPr>
              <w:numPr>
                <w:ilvl w:val="0"/>
                <w:numId w:val="140"/>
              </w:numPr>
              <w:spacing w:before="10" w:after="10"/>
              <w:jc w:val="both"/>
            </w:pPr>
            <w:r>
              <w:rPr>
                <w:sz w:val="18"/>
                <w:szCs w:val="18"/>
              </w:rPr>
              <w:t>Uso de portales oficiales e inteligencia artificial generativa con criterio, verificando sus resultados y asumiendo la responsabilidad profesional sobre lo que se firma.</w:t>
            </w:r>
          </w:p>
        </w:tc>
      </w:tr>
      <w:tr w:rsidR="00990B14" w14:paraId="368CC002" w14:textId="77777777">
        <w:trPr>
          <w:jc w:val="center"/>
        </w:trPr>
        <w:tc>
          <w:tcPr>
            <w:tcW w:w="1635" w:type="dxa"/>
            <w:shd w:val="clear" w:color="auto" w:fill="4472C4"/>
            <w:vAlign w:val="center"/>
          </w:tcPr>
          <w:p w14:paraId="1B53E815" w14:textId="77777777" w:rsidR="00990B14" w:rsidRDefault="00000000">
            <w:pPr>
              <w:spacing w:before="20" w:after="20"/>
              <w:jc w:val="center"/>
            </w:pPr>
            <w:r>
              <w:rPr>
                <w:b/>
                <w:bCs/>
                <w:i/>
                <w:iCs/>
                <w:color w:val="FFFFFF"/>
                <w:sz w:val="18"/>
                <w:szCs w:val="18"/>
              </w:rPr>
              <w:t>Recursos para el aprendizaje</w:t>
            </w:r>
          </w:p>
        </w:tc>
        <w:tc>
          <w:tcPr>
            <w:tcW w:w="7770" w:type="dxa"/>
            <w:gridSpan w:val="4"/>
            <w:shd w:val="clear" w:color="auto" w:fill="D9E2F3"/>
            <w:vAlign w:val="center"/>
          </w:tcPr>
          <w:p w14:paraId="7CFB1F14" w14:textId="77777777" w:rsidR="00990B14" w:rsidRDefault="00000000">
            <w:pPr>
              <w:numPr>
                <w:ilvl w:val="0"/>
                <w:numId w:val="140"/>
              </w:numPr>
              <w:spacing w:before="10" w:after="10"/>
              <w:jc w:val="both"/>
            </w:pPr>
            <w:r>
              <w:rPr>
                <w:sz w:val="18"/>
                <w:szCs w:val="18"/>
              </w:rPr>
              <w:t>Normativa básica: Constitución Política del Estado, Leyes vigentes, Normas de Auditoría Gubernamental y normas básicas de los sistemas de administración.</w:t>
            </w:r>
          </w:p>
          <w:p w14:paraId="48E43DF9" w14:textId="77777777" w:rsidR="00990B14" w:rsidRDefault="00000000">
            <w:pPr>
              <w:numPr>
                <w:ilvl w:val="0"/>
                <w:numId w:val="140"/>
              </w:numPr>
              <w:spacing w:before="10" w:after="10"/>
              <w:jc w:val="both"/>
            </w:pPr>
            <w:r>
              <w:rPr>
                <w:sz w:val="18"/>
                <w:szCs w:val="18"/>
              </w:rPr>
              <w:t>Normativa complementaria.</w:t>
            </w:r>
          </w:p>
          <w:p w14:paraId="772A4F19" w14:textId="77777777" w:rsidR="00990B14" w:rsidRDefault="00000000">
            <w:pPr>
              <w:numPr>
                <w:ilvl w:val="0"/>
                <w:numId w:val="140"/>
              </w:numPr>
              <w:spacing w:before="10" w:after="10"/>
              <w:jc w:val="both"/>
            </w:pPr>
            <w:r>
              <w:rPr>
                <w:sz w:val="18"/>
                <w:szCs w:val="18"/>
              </w:rPr>
              <w:t>Pronunciamientos de la INTOSAI: ISSAI 100, 130, 200, 300 y 400, y Marco Integrado de Control Interno.</w:t>
            </w:r>
          </w:p>
          <w:p w14:paraId="2D296386" w14:textId="77777777" w:rsidR="00990B14" w:rsidRDefault="00000000">
            <w:pPr>
              <w:numPr>
                <w:ilvl w:val="0"/>
                <w:numId w:val="140"/>
              </w:numPr>
              <w:spacing w:before="10" w:after="10"/>
              <w:jc w:val="both"/>
            </w:pPr>
            <w:r>
              <w:rPr>
                <w:sz w:val="18"/>
                <w:szCs w:val="18"/>
              </w:rPr>
              <w:t>Guías, instructivos y formatos de la Contraloría General del Estado: Memorándum de Planificación de Auditoría, programas de trabajo, matriz de hallazgos y modelos de informes.</w:t>
            </w:r>
          </w:p>
          <w:p w14:paraId="27DBE5D2" w14:textId="77777777" w:rsidR="00990B14" w:rsidRDefault="00000000">
            <w:pPr>
              <w:numPr>
                <w:ilvl w:val="0"/>
                <w:numId w:val="140"/>
              </w:numPr>
              <w:spacing w:before="10" w:after="10"/>
              <w:jc w:val="both"/>
            </w:pPr>
            <w:r>
              <w:rPr>
                <w:sz w:val="18"/>
                <w:szCs w:val="18"/>
              </w:rPr>
              <w:t>Modelos de cuestionarios, narrativas, flujogramas y matrices de evaluación del control interno.</w:t>
            </w:r>
          </w:p>
          <w:p w14:paraId="3A0C7079" w14:textId="77777777" w:rsidR="00990B14" w:rsidRDefault="00000000">
            <w:pPr>
              <w:numPr>
                <w:ilvl w:val="0"/>
                <w:numId w:val="140"/>
              </w:numPr>
              <w:spacing w:before="10" w:after="10"/>
              <w:jc w:val="both"/>
            </w:pPr>
            <w:r>
              <w:rPr>
                <w:sz w:val="18"/>
                <w:szCs w:val="18"/>
              </w:rPr>
              <w:t>Formatos modelo de papeles de trabajo, cédulas, planilla resumen de indicios de responsabilidad y Plan de Mejoramiento institucional.</w:t>
            </w:r>
          </w:p>
          <w:p w14:paraId="0A439ADE" w14:textId="77777777" w:rsidR="00990B14" w:rsidRDefault="00000000">
            <w:pPr>
              <w:numPr>
                <w:ilvl w:val="0"/>
                <w:numId w:val="140"/>
              </w:numPr>
              <w:spacing w:before="10" w:after="10"/>
              <w:jc w:val="both"/>
            </w:pPr>
            <w:r>
              <w:rPr>
                <w:sz w:val="18"/>
                <w:szCs w:val="18"/>
              </w:rPr>
              <w:t>Informes de auditoría publicados, casos simulados y legajos modelo.</w:t>
            </w:r>
          </w:p>
          <w:p w14:paraId="5E98E002" w14:textId="77777777" w:rsidR="00990B14" w:rsidRDefault="00000000">
            <w:pPr>
              <w:numPr>
                <w:ilvl w:val="0"/>
                <w:numId w:val="140"/>
              </w:numPr>
              <w:spacing w:before="10" w:after="10"/>
              <w:jc w:val="both"/>
            </w:pPr>
            <w:r>
              <w:rPr>
                <w:sz w:val="18"/>
                <w:szCs w:val="18"/>
              </w:rPr>
              <w:t>Plataforma Moodle UMSA para clases, cuestionarios, foros y videotutoriales.</w:t>
            </w:r>
          </w:p>
          <w:p w14:paraId="29D690C2" w14:textId="77777777" w:rsidR="00990B14" w:rsidRDefault="00000000">
            <w:pPr>
              <w:numPr>
                <w:ilvl w:val="0"/>
                <w:numId w:val="140"/>
              </w:numPr>
              <w:spacing w:before="10" w:after="10"/>
              <w:jc w:val="both"/>
            </w:pPr>
            <w:r>
              <w:rPr>
                <w:sz w:val="18"/>
                <w:szCs w:val="18"/>
              </w:rPr>
              <w:t>Portal y repositorio normativo de la Contraloría General del Estado, Gaceta Oficial de Bolivia y portales de contrataciones estatales y de gestión pública.</w:t>
            </w:r>
          </w:p>
          <w:p w14:paraId="277C28C3" w14:textId="77777777" w:rsidR="00990B14" w:rsidRDefault="00000000">
            <w:pPr>
              <w:numPr>
                <w:ilvl w:val="0"/>
                <w:numId w:val="140"/>
              </w:numPr>
              <w:spacing w:before="10" w:after="10"/>
              <w:jc w:val="both"/>
            </w:pPr>
            <w:r>
              <w:rPr>
                <w:sz w:val="18"/>
                <w:szCs w:val="18"/>
              </w:rPr>
              <w:t>Herramientas de inteligencia artificial generativa de uso autorizado por la Universidad.</w:t>
            </w:r>
          </w:p>
          <w:p w14:paraId="613482DA" w14:textId="77777777" w:rsidR="00990B14" w:rsidRDefault="00000000">
            <w:pPr>
              <w:numPr>
                <w:ilvl w:val="0"/>
                <w:numId w:val="140"/>
              </w:numPr>
              <w:spacing w:before="10" w:after="10"/>
              <w:jc w:val="both"/>
            </w:pPr>
            <w:r>
              <w:rPr>
                <w:sz w:val="18"/>
                <w:szCs w:val="18"/>
              </w:rPr>
              <w:t>Bibliografía básica y complementaria de la asignatura.</w:t>
            </w:r>
          </w:p>
        </w:tc>
      </w:tr>
      <w:tr w:rsidR="00990B14" w14:paraId="31915640" w14:textId="77777777">
        <w:trPr>
          <w:jc w:val="center"/>
        </w:trPr>
        <w:tc>
          <w:tcPr>
            <w:tcW w:w="1635" w:type="dxa"/>
            <w:shd w:val="clear" w:color="auto" w:fill="4472C4"/>
            <w:vAlign w:val="center"/>
          </w:tcPr>
          <w:p w14:paraId="50AEEC42" w14:textId="77777777" w:rsidR="00990B14" w:rsidRDefault="00000000">
            <w:pPr>
              <w:spacing w:before="20" w:after="20"/>
              <w:jc w:val="center"/>
            </w:pPr>
            <w:r>
              <w:rPr>
                <w:b/>
                <w:bCs/>
                <w:i/>
                <w:iCs/>
                <w:color w:val="FFFFFF"/>
                <w:sz w:val="18"/>
                <w:szCs w:val="18"/>
              </w:rPr>
              <w:t>Estrategias de evaluación</w:t>
            </w:r>
          </w:p>
        </w:tc>
        <w:tc>
          <w:tcPr>
            <w:tcW w:w="7770" w:type="dxa"/>
            <w:gridSpan w:val="4"/>
            <w:shd w:val="clear" w:color="auto" w:fill="D9E2F3"/>
            <w:vAlign w:val="center"/>
          </w:tcPr>
          <w:p w14:paraId="61AA9084" w14:textId="77777777" w:rsidR="00990B14" w:rsidRDefault="00000000">
            <w:pPr>
              <w:numPr>
                <w:ilvl w:val="0"/>
                <w:numId w:val="140"/>
              </w:numPr>
              <w:spacing w:before="10" w:after="10"/>
              <w:jc w:val="both"/>
            </w:pPr>
            <w:r>
              <w:rPr>
                <w:sz w:val="18"/>
                <w:szCs w:val="18"/>
              </w:rPr>
              <w:t>Evaluación diagnóstica al inicio de la asignatura sobre conocimientos previos de auditoría, sistemas de administración y control interno.</w:t>
            </w:r>
          </w:p>
          <w:p w14:paraId="67771169" w14:textId="77777777" w:rsidR="00990B14" w:rsidRDefault="00000000">
            <w:pPr>
              <w:numPr>
                <w:ilvl w:val="0"/>
                <w:numId w:val="140"/>
              </w:numPr>
              <w:spacing w:before="10" w:after="10"/>
              <w:jc w:val="both"/>
            </w:pPr>
            <w:r>
              <w:rPr>
                <w:sz w:val="18"/>
                <w:szCs w:val="18"/>
              </w:rPr>
              <w:t>Evaluación formativa continua: retroalimentación de talleres y foros, revisión de avances de los productos, autoevaluación y coevaluación.</w:t>
            </w:r>
          </w:p>
          <w:p w14:paraId="5DE3D3D7" w14:textId="77777777" w:rsidR="00990B14" w:rsidRDefault="00000000">
            <w:pPr>
              <w:numPr>
                <w:ilvl w:val="0"/>
                <w:numId w:val="140"/>
              </w:numPr>
              <w:spacing w:before="10" w:after="10"/>
              <w:jc w:val="both"/>
            </w:pPr>
            <w:r>
              <w:rPr>
                <w:sz w:val="18"/>
                <w:szCs w:val="18"/>
              </w:rPr>
              <w:t>Evaluación sumativa de conocimientos con pruebas escritas y cuestionarios en línea al cierre de cada elemento de competencia.</w:t>
            </w:r>
          </w:p>
          <w:p w14:paraId="0842D220" w14:textId="77777777" w:rsidR="00990B14" w:rsidRDefault="00000000">
            <w:pPr>
              <w:numPr>
                <w:ilvl w:val="0"/>
                <w:numId w:val="140"/>
              </w:numPr>
              <w:spacing w:before="10" w:after="10"/>
              <w:jc w:val="both"/>
            </w:pPr>
            <w:r>
              <w:rPr>
                <w:sz w:val="18"/>
                <w:szCs w:val="18"/>
              </w:rPr>
              <w:t>Evaluación sumativa del desempeño con listas de cotejo y guías de observación en talleres, simulaciones y sustentaciones.</w:t>
            </w:r>
          </w:p>
          <w:p w14:paraId="0683C223" w14:textId="77777777" w:rsidR="00990B14" w:rsidRDefault="00000000">
            <w:pPr>
              <w:numPr>
                <w:ilvl w:val="0"/>
                <w:numId w:val="140"/>
              </w:numPr>
              <w:spacing w:before="10" w:after="10"/>
              <w:jc w:val="both"/>
            </w:pPr>
            <w:r>
              <w:rPr>
                <w:sz w:val="18"/>
                <w:szCs w:val="18"/>
              </w:rPr>
              <w:t>Evaluación sumativa de productos con la rúbrica propia de cada uno de los 24 productos y su sustentación oral.</w:t>
            </w:r>
          </w:p>
          <w:p w14:paraId="07BB6826" w14:textId="77777777" w:rsidR="00990B14" w:rsidRDefault="00000000">
            <w:pPr>
              <w:numPr>
                <w:ilvl w:val="0"/>
                <w:numId w:val="140"/>
              </w:numPr>
              <w:spacing w:before="10" w:after="10"/>
              <w:jc w:val="both"/>
            </w:pPr>
            <w:r>
              <w:rPr>
                <w:sz w:val="18"/>
                <w:szCs w:val="18"/>
              </w:rPr>
              <w:t>Observación de las actitudes profesionales: independencia, objetividad, confidencialidad, trabajo en equipo y cumplimiento de plazos.</w:t>
            </w:r>
          </w:p>
          <w:p w14:paraId="3B972C75" w14:textId="77777777" w:rsidR="00990B14" w:rsidRDefault="00000000">
            <w:pPr>
              <w:numPr>
                <w:ilvl w:val="0"/>
                <w:numId w:val="140"/>
              </w:numPr>
              <w:spacing w:before="10" w:after="10"/>
              <w:jc w:val="both"/>
            </w:pPr>
            <w:r>
              <w:rPr>
                <w:sz w:val="18"/>
                <w:szCs w:val="18"/>
              </w:rPr>
              <w:t>Portafolio de evidencias de la asignatura.</w:t>
            </w:r>
          </w:p>
        </w:tc>
      </w:tr>
      <w:tr w:rsidR="00990B14" w14:paraId="1C413733" w14:textId="77777777">
        <w:trPr>
          <w:jc w:val="center"/>
        </w:trPr>
        <w:tc>
          <w:tcPr>
            <w:tcW w:w="1635" w:type="dxa"/>
            <w:shd w:val="clear" w:color="auto" w:fill="4472C4"/>
            <w:vAlign w:val="center"/>
          </w:tcPr>
          <w:p w14:paraId="2FA6B59C" w14:textId="77777777" w:rsidR="00990B14" w:rsidRDefault="00000000">
            <w:pPr>
              <w:spacing w:before="20" w:after="20"/>
              <w:jc w:val="center"/>
            </w:pPr>
            <w:r>
              <w:rPr>
                <w:b/>
                <w:bCs/>
                <w:i/>
                <w:iCs/>
                <w:color w:val="FFFFFF"/>
                <w:sz w:val="18"/>
                <w:szCs w:val="18"/>
              </w:rPr>
              <w:t>Criterios de calificación</w:t>
            </w:r>
          </w:p>
        </w:tc>
        <w:tc>
          <w:tcPr>
            <w:tcW w:w="7770" w:type="dxa"/>
            <w:gridSpan w:val="4"/>
            <w:shd w:val="clear" w:color="auto" w:fill="D9E2F3"/>
            <w:vAlign w:val="center"/>
          </w:tcPr>
          <w:p w14:paraId="2991EBC7" w14:textId="77777777" w:rsidR="00990B14" w:rsidRDefault="00000000">
            <w:pPr>
              <w:numPr>
                <w:ilvl w:val="0"/>
                <w:numId w:val="140"/>
              </w:numPr>
              <w:spacing w:before="10" w:after="10"/>
              <w:jc w:val="both"/>
            </w:pPr>
            <w:r>
              <w:rPr>
                <w:sz w:val="18"/>
                <w:szCs w:val="18"/>
              </w:rPr>
              <w:t>Escala de calificación de 1 a 100, con niveles de logro Insuficiente de 1 a 50, Suficiente de 51 a 80 y Destacado de 81 a 100; la nota mínima de aprobación es 51/100.</w:t>
            </w:r>
          </w:p>
          <w:p w14:paraId="5E0EFD6B" w14:textId="77777777" w:rsidR="00990B14" w:rsidRDefault="00000000">
            <w:pPr>
              <w:numPr>
                <w:ilvl w:val="0"/>
                <w:numId w:val="140"/>
              </w:numPr>
              <w:spacing w:before="10" w:after="10"/>
              <w:jc w:val="both"/>
            </w:pPr>
            <w:r>
              <w:rPr>
                <w:sz w:val="18"/>
                <w:szCs w:val="18"/>
              </w:rPr>
              <w:t>Calificación por productos: los 24 productos tienen peso entero y su suma es 100 %. Por elemento de competencia: elemento 1, 12 %; elemento 2, 13 %; elemento 3, 14 %; elemento 4, 22 %; elemento 5, 22 %; elemento 6, 17 %.</w:t>
            </w:r>
          </w:p>
          <w:p w14:paraId="001CE0B2" w14:textId="77777777" w:rsidR="00990B14" w:rsidRDefault="00000000">
            <w:pPr>
              <w:numPr>
                <w:ilvl w:val="0"/>
                <w:numId w:val="140"/>
              </w:numPr>
              <w:spacing w:before="10" w:after="10"/>
              <w:jc w:val="both"/>
            </w:pPr>
            <w:r>
              <w:rPr>
                <w:sz w:val="18"/>
                <w:szCs w:val="18"/>
              </w:rPr>
              <w:t>El aporte de cada producto a la nota final es su nota multiplicada por su peso; la nota final es la suma de los aportes de los 24 productos.</w:t>
            </w:r>
          </w:p>
          <w:p w14:paraId="6EE4B293" w14:textId="77777777" w:rsidR="00990B14" w:rsidRDefault="00000000">
            <w:pPr>
              <w:numPr>
                <w:ilvl w:val="0"/>
                <w:numId w:val="140"/>
              </w:numPr>
              <w:spacing w:before="10" w:after="10"/>
              <w:jc w:val="both"/>
            </w:pPr>
            <w:r>
              <w:rPr>
                <w:sz w:val="18"/>
                <w:szCs w:val="18"/>
              </w:rPr>
              <w:t>Pertinencia y precisión en la aplicación de la normativa y de las Normas de Auditoría Gubernamental.</w:t>
            </w:r>
          </w:p>
          <w:p w14:paraId="56A3AE29" w14:textId="77777777" w:rsidR="00990B14" w:rsidRDefault="00000000">
            <w:pPr>
              <w:numPr>
                <w:ilvl w:val="0"/>
                <w:numId w:val="140"/>
              </w:numPr>
              <w:spacing w:before="10" w:after="10"/>
              <w:jc w:val="both"/>
            </w:pPr>
            <w:r>
              <w:rPr>
                <w:sz w:val="18"/>
                <w:szCs w:val="18"/>
              </w:rPr>
              <w:t>Sustento técnico y respaldo documental de los hallazgos, las conclusiones y las recomendaciones.</w:t>
            </w:r>
          </w:p>
          <w:p w14:paraId="605D2D64" w14:textId="77777777" w:rsidR="00990B14" w:rsidRDefault="00000000">
            <w:pPr>
              <w:numPr>
                <w:ilvl w:val="0"/>
                <w:numId w:val="140"/>
              </w:numPr>
              <w:spacing w:before="10" w:after="10"/>
              <w:jc w:val="both"/>
            </w:pPr>
            <w:r>
              <w:rPr>
                <w:sz w:val="18"/>
                <w:szCs w:val="18"/>
              </w:rPr>
              <w:t>Conducta profesional observable: independencia, objetividad, confidencialidad de la información, originalidad y citación de fuentes.</w:t>
            </w:r>
          </w:p>
          <w:p w14:paraId="71A32EA4" w14:textId="77777777" w:rsidR="00990B14" w:rsidRDefault="00000000">
            <w:pPr>
              <w:numPr>
                <w:ilvl w:val="0"/>
                <w:numId w:val="140"/>
              </w:numPr>
              <w:spacing w:before="10" w:after="10"/>
              <w:jc w:val="both"/>
            </w:pPr>
            <w:r>
              <w:rPr>
                <w:sz w:val="18"/>
                <w:szCs w:val="18"/>
              </w:rPr>
              <w:t>Cumplimiento de plazos de entrega; en trabajos grupales se considera además el aporte individual de cada integrante.</w:t>
            </w:r>
          </w:p>
        </w:tc>
      </w:tr>
      <w:tr w:rsidR="00990B14" w14:paraId="6ACCAFAB" w14:textId="77777777">
        <w:trPr>
          <w:cantSplit/>
          <w:jc w:val="center"/>
        </w:trPr>
        <w:tc>
          <w:tcPr>
            <w:tcW w:w="1635" w:type="dxa"/>
            <w:vMerge w:val="restart"/>
            <w:shd w:val="clear" w:color="auto" w:fill="4472C4"/>
            <w:vAlign w:val="center"/>
          </w:tcPr>
          <w:p w14:paraId="0CEF6F7B" w14:textId="77777777" w:rsidR="00990B14" w:rsidRDefault="00000000">
            <w:pPr>
              <w:spacing w:before="20" w:after="20"/>
              <w:jc w:val="center"/>
            </w:pPr>
            <w:r>
              <w:rPr>
                <w:b/>
                <w:bCs/>
                <w:i/>
                <w:iCs/>
                <w:color w:val="FFFFFF"/>
                <w:sz w:val="18"/>
                <w:szCs w:val="18"/>
              </w:rPr>
              <w:t>Niveles de logro y distribución de la calificación</w:t>
            </w:r>
          </w:p>
        </w:tc>
        <w:tc>
          <w:tcPr>
            <w:tcW w:w="5650" w:type="dxa"/>
            <w:gridSpan w:val="3"/>
            <w:shd w:val="clear" w:color="auto" w:fill="D9E2F3"/>
            <w:vAlign w:val="center"/>
          </w:tcPr>
          <w:p w14:paraId="58946DE4" w14:textId="77777777" w:rsidR="00990B14" w:rsidRDefault="00000000">
            <w:pPr>
              <w:keepNext/>
              <w:spacing w:before="20" w:after="20"/>
              <w:jc w:val="both"/>
            </w:pPr>
            <w:r>
              <w:rPr>
                <w:b/>
                <w:bCs/>
                <w:i/>
                <w:iCs/>
                <w:sz w:val="18"/>
                <w:szCs w:val="18"/>
              </w:rPr>
              <w:t xml:space="preserve">Producto 1: </w:t>
            </w:r>
            <w:r>
              <w:rPr>
                <w:sz w:val="18"/>
                <w:szCs w:val="18"/>
              </w:rPr>
              <w:t>Esquema de comprensión de los sistemas de administración de la Ley N.º 1178 y su relación con el Sistema de Planificación Integral del Estado.</w:t>
            </w:r>
          </w:p>
        </w:tc>
        <w:tc>
          <w:tcPr>
            <w:tcW w:w="2120" w:type="dxa"/>
            <w:shd w:val="clear" w:color="auto" w:fill="D9E2F3"/>
            <w:vAlign w:val="center"/>
          </w:tcPr>
          <w:p w14:paraId="5148A41C" w14:textId="77777777" w:rsidR="00990B14" w:rsidRDefault="00000000">
            <w:pPr>
              <w:spacing w:before="20" w:after="20"/>
              <w:jc w:val="center"/>
            </w:pPr>
            <w:r>
              <w:rPr>
                <w:b/>
                <w:bCs/>
                <w:sz w:val="18"/>
                <w:szCs w:val="18"/>
              </w:rPr>
              <w:t>2%</w:t>
            </w:r>
          </w:p>
        </w:tc>
      </w:tr>
      <w:tr w:rsidR="00990B14" w14:paraId="63F1DBA7" w14:textId="77777777">
        <w:trPr>
          <w:cantSplit/>
          <w:jc w:val="center"/>
        </w:trPr>
        <w:tc>
          <w:tcPr>
            <w:tcW w:w="1635" w:type="dxa"/>
            <w:vMerge/>
            <w:shd w:val="clear" w:color="auto" w:fill="4472C4"/>
            <w:vAlign w:val="center"/>
          </w:tcPr>
          <w:p w14:paraId="497C29BB" w14:textId="77777777" w:rsidR="00990B14" w:rsidRDefault="00990B14">
            <w:pPr>
              <w:spacing w:before="20" w:after="20"/>
            </w:pPr>
          </w:p>
        </w:tc>
        <w:tc>
          <w:tcPr>
            <w:tcW w:w="1830" w:type="dxa"/>
            <w:shd w:val="clear" w:color="auto" w:fill="4472C4"/>
            <w:vAlign w:val="center"/>
          </w:tcPr>
          <w:p w14:paraId="3B59D974"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00F80DE9"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473A6428"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26213B6F" w14:textId="77777777" w:rsidR="00990B14" w:rsidRDefault="00000000">
            <w:pPr>
              <w:keepNext/>
              <w:spacing w:before="20" w:after="20"/>
              <w:jc w:val="center"/>
            </w:pPr>
            <w:r>
              <w:rPr>
                <w:b/>
                <w:bCs/>
                <w:i/>
                <w:iCs/>
                <w:color w:val="FFFFFF"/>
                <w:sz w:val="18"/>
                <w:szCs w:val="18"/>
              </w:rPr>
              <w:t>Destacado (81–100)</w:t>
            </w:r>
          </w:p>
        </w:tc>
      </w:tr>
      <w:tr w:rsidR="00990B14" w14:paraId="1C8FBF61" w14:textId="77777777">
        <w:trPr>
          <w:cantSplit/>
          <w:jc w:val="center"/>
        </w:trPr>
        <w:tc>
          <w:tcPr>
            <w:tcW w:w="1635" w:type="dxa"/>
            <w:vMerge/>
            <w:shd w:val="clear" w:color="auto" w:fill="4472C4"/>
            <w:vAlign w:val="center"/>
          </w:tcPr>
          <w:p w14:paraId="508476B3" w14:textId="77777777" w:rsidR="00990B14" w:rsidRDefault="00990B14">
            <w:pPr>
              <w:spacing w:before="20" w:after="20"/>
            </w:pPr>
          </w:p>
        </w:tc>
        <w:tc>
          <w:tcPr>
            <w:tcW w:w="1830" w:type="dxa"/>
            <w:shd w:val="clear" w:color="auto" w:fill="D9E2F3"/>
            <w:vAlign w:val="center"/>
          </w:tcPr>
          <w:p w14:paraId="04CA937D" w14:textId="77777777" w:rsidR="00990B14" w:rsidRDefault="00000000">
            <w:pPr>
              <w:spacing w:before="20" w:after="20"/>
              <w:jc w:val="both"/>
            </w:pPr>
            <w:r>
              <w:rPr>
                <w:sz w:val="18"/>
                <w:szCs w:val="18"/>
              </w:rPr>
              <w:t>Sistemas de administración</w:t>
            </w:r>
          </w:p>
        </w:tc>
        <w:tc>
          <w:tcPr>
            <w:tcW w:w="1910" w:type="dxa"/>
            <w:shd w:val="clear" w:color="auto" w:fill="D9E2F3"/>
            <w:vAlign w:val="center"/>
          </w:tcPr>
          <w:p w14:paraId="6A88C972" w14:textId="77777777" w:rsidR="00990B14" w:rsidRDefault="00000000">
            <w:pPr>
              <w:spacing w:before="20" w:after="20"/>
              <w:jc w:val="both"/>
            </w:pPr>
            <w:r>
              <w:rPr>
                <w:sz w:val="18"/>
                <w:szCs w:val="18"/>
              </w:rPr>
              <w:t>Omite o confunde los sistemas de planificación, organización y ejecución de la Ley N.º 1178.</w:t>
            </w:r>
          </w:p>
        </w:tc>
        <w:tc>
          <w:tcPr>
            <w:tcW w:w="1910" w:type="dxa"/>
            <w:shd w:val="clear" w:color="auto" w:fill="D9E2F3"/>
            <w:vAlign w:val="center"/>
          </w:tcPr>
          <w:p w14:paraId="1CA50C9B" w14:textId="77777777" w:rsidR="00990B14" w:rsidRDefault="00000000">
            <w:pPr>
              <w:spacing w:before="20" w:after="20"/>
              <w:jc w:val="both"/>
            </w:pPr>
            <w:r>
              <w:rPr>
                <w:sz w:val="18"/>
                <w:szCs w:val="18"/>
              </w:rPr>
              <w:t>Identifica correctamente los sistemas de planificación, organización y ejecución de la Ley N.º 1178.</w:t>
            </w:r>
          </w:p>
        </w:tc>
        <w:tc>
          <w:tcPr>
            <w:tcW w:w="2120" w:type="dxa"/>
            <w:shd w:val="clear" w:color="auto" w:fill="D9E2F3"/>
            <w:vAlign w:val="center"/>
          </w:tcPr>
          <w:p w14:paraId="02E16942" w14:textId="77777777" w:rsidR="00990B14" w:rsidRDefault="00000000">
            <w:pPr>
              <w:spacing w:before="20" w:after="20"/>
              <w:jc w:val="both"/>
            </w:pPr>
            <w:r>
              <w:rPr>
                <w:sz w:val="18"/>
                <w:szCs w:val="18"/>
              </w:rPr>
              <w:t>Explica la finalidad de cada sistema y justifica su agrupación en planificación, organización y ejecución.</w:t>
            </w:r>
          </w:p>
        </w:tc>
      </w:tr>
      <w:tr w:rsidR="00990B14" w14:paraId="4A4D1BC0" w14:textId="77777777">
        <w:trPr>
          <w:cantSplit/>
          <w:jc w:val="center"/>
        </w:trPr>
        <w:tc>
          <w:tcPr>
            <w:tcW w:w="1635" w:type="dxa"/>
            <w:vMerge/>
            <w:shd w:val="clear" w:color="auto" w:fill="4472C4"/>
            <w:vAlign w:val="center"/>
          </w:tcPr>
          <w:p w14:paraId="51AD9AC5" w14:textId="77777777" w:rsidR="00990B14" w:rsidRDefault="00990B14">
            <w:pPr>
              <w:spacing w:before="20" w:after="20"/>
            </w:pPr>
          </w:p>
        </w:tc>
        <w:tc>
          <w:tcPr>
            <w:tcW w:w="1830" w:type="dxa"/>
            <w:shd w:val="clear" w:color="auto" w:fill="D9E2F3"/>
            <w:vAlign w:val="center"/>
          </w:tcPr>
          <w:p w14:paraId="0C1760B2" w14:textId="77777777" w:rsidR="00990B14" w:rsidRDefault="00000000">
            <w:pPr>
              <w:spacing w:before="20" w:after="20"/>
              <w:jc w:val="both"/>
            </w:pPr>
            <w:r>
              <w:rPr>
                <w:sz w:val="18"/>
                <w:szCs w:val="18"/>
              </w:rPr>
              <w:t>Vínculo con planificación estatal</w:t>
            </w:r>
          </w:p>
        </w:tc>
        <w:tc>
          <w:tcPr>
            <w:tcW w:w="1910" w:type="dxa"/>
            <w:shd w:val="clear" w:color="auto" w:fill="D9E2F3"/>
            <w:vAlign w:val="center"/>
          </w:tcPr>
          <w:p w14:paraId="77E53A11" w14:textId="77777777" w:rsidR="00990B14" w:rsidRDefault="00000000">
            <w:pPr>
              <w:spacing w:before="20" w:after="20"/>
              <w:jc w:val="both"/>
            </w:pPr>
            <w:r>
              <w:rPr>
                <w:sz w:val="18"/>
                <w:szCs w:val="18"/>
              </w:rPr>
              <w:t>No relaciona los sistemas con el Sistema de Planificación Integral del Estado o lo hace de forma errónea.</w:t>
            </w:r>
          </w:p>
        </w:tc>
        <w:tc>
          <w:tcPr>
            <w:tcW w:w="1910" w:type="dxa"/>
            <w:shd w:val="clear" w:color="auto" w:fill="D9E2F3"/>
            <w:vAlign w:val="center"/>
          </w:tcPr>
          <w:p w14:paraId="2FF1A13A" w14:textId="77777777" w:rsidR="00990B14" w:rsidRDefault="00000000">
            <w:pPr>
              <w:spacing w:before="20" w:after="20"/>
              <w:jc w:val="both"/>
            </w:pPr>
            <w:r>
              <w:rPr>
                <w:sz w:val="18"/>
                <w:szCs w:val="18"/>
              </w:rPr>
              <w:t>Relaciona correctamente los sistemas de la Ley N.º 1178 con el Sistema de Planificación Integral del Estado.</w:t>
            </w:r>
          </w:p>
        </w:tc>
        <w:tc>
          <w:tcPr>
            <w:tcW w:w="2120" w:type="dxa"/>
            <w:shd w:val="clear" w:color="auto" w:fill="D9E2F3"/>
            <w:vAlign w:val="center"/>
          </w:tcPr>
          <w:p w14:paraId="63C2FC12" w14:textId="77777777" w:rsidR="00990B14" w:rsidRDefault="00000000">
            <w:pPr>
              <w:spacing w:before="20" w:after="20"/>
              <w:jc w:val="both"/>
            </w:pPr>
            <w:r>
              <w:rPr>
                <w:sz w:val="18"/>
                <w:szCs w:val="18"/>
              </w:rPr>
              <w:t>Analiza la articulación entre la planificación integral, la programación de operaciones y el presupuesto, con sustento normativo.</w:t>
            </w:r>
          </w:p>
        </w:tc>
      </w:tr>
      <w:tr w:rsidR="00990B14" w14:paraId="2A3400AC" w14:textId="77777777">
        <w:trPr>
          <w:cantSplit/>
          <w:jc w:val="center"/>
        </w:trPr>
        <w:tc>
          <w:tcPr>
            <w:tcW w:w="1635" w:type="dxa"/>
            <w:vMerge/>
            <w:shd w:val="clear" w:color="auto" w:fill="4472C4"/>
            <w:vAlign w:val="center"/>
          </w:tcPr>
          <w:p w14:paraId="0B2E6D18" w14:textId="77777777" w:rsidR="00990B14" w:rsidRDefault="00990B14">
            <w:pPr>
              <w:spacing w:before="20" w:after="20"/>
            </w:pPr>
          </w:p>
        </w:tc>
        <w:tc>
          <w:tcPr>
            <w:tcW w:w="1830" w:type="dxa"/>
            <w:shd w:val="clear" w:color="auto" w:fill="D9E2F3"/>
            <w:vAlign w:val="center"/>
          </w:tcPr>
          <w:p w14:paraId="0F1BEB1E" w14:textId="77777777" w:rsidR="00990B14" w:rsidRDefault="00000000">
            <w:pPr>
              <w:spacing w:before="20" w:after="20"/>
              <w:jc w:val="both"/>
            </w:pPr>
            <w:r>
              <w:rPr>
                <w:sz w:val="18"/>
                <w:szCs w:val="18"/>
              </w:rPr>
              <w:t>Claridad del esquema</w:t>
            </w:r>
          </w:p>
        </w:tc>
        <w:tc>
          <w:tcPr>
            <w:tcW w:w="1910" w:type="dxa"/>
            <w:shd w:val="clear" w:color="auto" w:fill="D9E2F3"/>
            <w:vAlign w:val="center"/>
          </w:tcPr>
          <w:p w14:paraId="3D17969F" w14:textId="77777777" w:rsidR="00990B14" w:rsidRDefault="00000000">
            <w:pPr>
              <w:spacing w:before="20" w:after="20"/>
              <w:jc w:val="both"/>
            </w:pPr>
            <w:r>
              <w:rPr>
                <w:sz w:val="18"/>
                <w:szCs w:val="18"/>
              </w:rPr>
              <w:t>Presenta un esquema desordenado, sin jerarquía ni conectores.</w:t>
            </w:r>
          </w:p>
        </w:tc>
        <w:tc>
          <w:tcPr>
            <w:tcW w:w="1910" w:type="dxa"/>
            <w:shd w:val="clear" w:color="auto" w:fill="D9E2F3"/>
            <w:vAlign w:val="center"/>
          </w:tcPr>
          <w:p w14:paraId="4CFA187E" w14:textId="77777777" w:rsidR="00990B14" w:rsidRDefault="00000000">
            <w:pPr>
              <w:spacing w:before="20" w:after="20"/>
              <w:jc w:val="both"/>
            </w:pPr>
            <w:r>
              <w:rPr>
                <w:sz w:val="18"/>
                <w:szCs w:val="18"/>
              </w:rPr>
              <w:t>Presenta un esquema ordenado, con jerarquía y conectores claros.</w:t>
            </w:r>
          </w:p>
        </w:tc>
        <w:tc>
          <w:tcPr>
            <w:tcW w:w="2120" w:type="dxa"/>
            <w:shd w:val="clear" w:color="auto" w:fill="D9E2F3"/>
            <w:vAlign w:val="center"/>
          </w:tcPr>
          <w:p w14:paraId="318A8599" w14:textId="77777777" w:rsidR="00990B14" w:rsidRDefault="00000000">
            <w:pPr>
              <w:spacing w:before="20" w:after="20"/>
              <w:jc w:val="both"/>
            </w:pPr>
            <w:r>
              <w:rPr>
                <w:sz w:val="18"/>
                <w:szCs w:val="18"/>
              </w:rPr>
              <w:t>Presenta un esquema sintético que facilita la comprensión de terceros, con fuentes citadas.</w:t>
            </w:r>
          </w:p>
        </w:tc>
      </w:tr>
      <w:tr w:rsidR="00990B14" w14:paraId="390502E6" w14:textId="77777777">
        <w:trPr>
          <w:cantSplit/>
          <w:jc w:val="center"/>
        </w:trPr>
        <w:tc>
          <w:tcPr>
            <w:tcW w:w="1635" w:type="dxa"/>
            <w:vMerge/>
            <w:shd w:val="clear" w:color="auto" w:fill="4472C4"/>
            <w:vAlign w:val="center"/>
          </w:tcPr>
          <w:p w14:paraId="280A81E8" w14:textId="77777777" w:rsidR="00990B14" w:rsidRDefault="00990B14">
            <w:pPr>
              <w:spacing w:before="20" w:after="20"/>
            </w:pPr>
          </w:p>
        </w:tc>
        <w:tc>
          <w:tcPr>
            <w:tcW w:w="5650" w:type="dxa"/>
            <w:gridSpan w:val="3"/>
            <w:shd w:val="clear" w:color="auto" w:fill="D9E2F3"/>
            <w:vAlign w:val="center"/>
          </w:tcPr>
          <w:p w14:paraId="36265655" w14:textId="77777777" w:rsidR="00990B14" w:rsidRDefault="00000000">
            <w:pPr>
              <w:keepNext/>
              <w:spacing w:before="20" w:after="20"/>
              <w:jc w:val="both"/>
            </w:pPr>
            <w:r>
              <w:rPr>
                <w:b/>
                <w:bCs/>
                <w:i/>
                <w:iCs/>
                <w:sz w:val="18"/>
                <w:szCs w:val="18"/>
              </w:rPr>
              <w:t xml:space="preserve">Producto 2: </w:t>
            </w:r>
            <w:r>
              <w:rPr>
                <w:sz w:val="18"/>
                <w:szCs w:val="18"/>
              </w:rPr>
              <w:t>Esquema de articulación de los sistemas de administración de la Ley N.º 1178 y su relación con el Sistema de Control Gubernamental.</w:t>
            </w:r>
          </w:p>
        </w:tc>
        <w:tc>
          <w:tcPr>
            <w:tcW w:w="2120" w:type="dxa"/>
            <w:shd w:val="clear" w:color="auto" w:fill="D9E2F3"/>
            <w:vAlign w:val="center"/>
          </w:tcPr>
          <w:p w14:paraId="77CAC56E" w14:textId="77777777" w:rsidR="00990B14" w:rsidRDefault="00000000">
            <w:pPr>
              <w:spacing w:before="20" w:after="20"/>
              <w:jc w:val="center"/>
            </w:pPr>
            <w:r>
              <w:rPr>
                <w:b/>
                <w:bCs/>
                <w:sz w:val="18"/>
                <w:szCs w:val="18"/>
              </w:rPr>
              <w:t>3%</w:t>
            </w:r>
          </w:p>
        </w:tc>
      </w:tr>
      <w:tr w:rsidR="00990B14" w14:paraId="47CD8BE4" w14:textId="77777777">
        <w:trPr>
          <w:cantSplit/>
          <w:jc w:val="center"/>
        </w:trPr>
        <w:tc>
          <w:tcPr>
            <w:tcW w:w="1635" w:type="dxa"/>
            <w:vMerge/>
            <w:shd w:val="clear" w:color="auto" w:fill="4472C4"/>
            <w:vAlign w:val="center"/>
          </w:tcPr>
          <w:p w14:paraId="104D07CD" w14:textId="77777777" w:rsidR="00990B14" w:rsidRDefault="00990B14">
            <w:pPr>
              <w:spacing w:before="20" w:after="20"/>
            </w:pPr>
          </w:p>
        </w:tc>
        <w:tc>
          <w:tcPr>
            <w:tcW w:w="1830" w:type="dxa"/>
            <w:shd w:val="clear" w:color="auto" w:fill="4472C4"/>
            <w:vAlign w:val="center"/>
          </w:tcPr>
          <w:p w14:paraId="7630F991"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4FE3356C"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5A8552EA"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47CABD50" w14:textId="77777777" w:rsidR="00990B14" w:rsidRDefault="00000000">
            <w:pPr>
              <w:keepNext/>
              <w:spacing w:before="20" w:after="20"/>
              <w:jc w:val="center"/>
            </w:pPr>
            <w:r>
              <w:rPr>
                <w:b/>
                <w:bCs/>
                <w:i/>
                <w:iCs/>
                <w:color w:val="FFFFFF"/>
                <w:sz w:val="18"/>
                <w:szCs w:val="18"/>
              </w:rPr>
              <w:t>Destacado (81–100)</w:t>
            </w:r>
          </w:p>
        </w:tc>
      </w:tr>
      <w:tr w:rsidR="00990B14" w14:paraId="1ACB4E85" w14:textId="77777777">
        <w:trPr>
          <w:cantSplit/>
          <w:jc w:val="center"/>
        </w:trPr>
        <w:tc>
          <w:tcPr>
            <w:tcW w:w="1635" w:type="dxa"/>
            <w:vMerge/>
            <w:shd w:val="clear" w:color="auto" w:fill="4472C4"/>
            <w:vAlign w:val="center"/>
          </w:tcPr>
          <w:p w14:paraId="337C7DE6" w14:textId="77777777" w:rsidR="00990B14" w:rsidRDefault="00990B14">
            <w:pPr>
              <w:spacing w:before="20" w:after="20"/>
            </w:pPr>
          </w:p>
        </w:tc>
        <w:tc>
          <w:tcPr>
            <w:tcW w:w="1830" w:type="dxa"/>
            <w:shd w:val="clear" w:color="auto" w:fill="D9E2F3"/>
            <w:vAlign w:val="center"/>
          </w:tcPr>
          <w:p w14:paraId="49F6B2C0" w14:textId="77777777" w:rsidR="00990B14" w:rsidRDefault="00000000">
            <w:pPr>
              <w:spacing w:before="20" w:after="20"/>
              <w:jc w:val="both"/>
            </w:pPr>
            <w:r>
              <w:rPr>
                <w:sz w:val="18"/>
                <w:szCs w:val="18"/>
              </w:rPr>
              <w:t>Articulación de sistemas</w:t>
            </w:r>
          </w:p>
        </w:tc>
        <w:tc>
          <w:tcPr>
            <w:tcW w:w="1910" w:type="dxa"/>
            <w:shd w:val="clear" w:color="auto" w:fill="D9E2F3"/>
            <w:vAlign w:val="center"/>
          </w:tcPr>
          <w:p w14:paraId="1834538F" w14:textId="77777777" w:rsidR="00990B14" w:rsidRDefault="00000000">
            <w:pPr>
              <w:spacing w:before="20" w:after="20"/>
              <w:jc w:val="both"/>
            </w:pPr>
            <w:r>
              <w:rPr>
                <w:sz w:val="18"/>
                <w:szCs w:val="18"/>
              </w:rPr>
              <w:t>Presenta los sistemas aislados, sin mostrar su interrelación.</w:t>
            </w:r>
          </w:p>
        </w:tc>
        <w:tc>
          <w:tcPr>
            <w:tcW w:w="1910" w:type="dxa"/>
            <w:shd w:val="clear" w:color="auto" w:fill="D9E2F3"/>
            <w:vAlign w:val="center"/>
          </w:tcPr>
          <w:p w14:paraId="2A764654" w14:textId="77777777" w:rsidR="00990B14" w:rsidRDefault="00000000">
            <w:pPr>
              <w:spacing w:before="20" w:after="20"/>
              <w:jc w:val="both"/>
            </w:pPr>
            <w:r>
              <w:rPr>
                <w:sz w:val="18"/>
                <w:szCs w:val="18"/>
              </w:rPr>
              <w:t>Articula correctamente los sistemas de administración entre sí.</w:t>
            </w:r>
          </w:p>
        </w:tc>
        <w:tc>
          <w:tcPr>
            <w:tcW w:w="2120" w:type="dxa"/>
            <w:shd w:val="clear" w:color="auto" w:fill="D9E2F3"/>
            <w:vAlign w:val="center"/>
          </w:tcPr>
          <w:p w14:paraId="1674D2E5" w14:textId="77777777" w:rsidR="00990B14" w:rsidRDefault="00000000">
            <w:pPr>
              <w:spacing w:before="20" w:after="20"/>
              <w:jc w:val="both"/>
            </w:pPr>
            <w:r>
              <w:rPr>
                <w:sz w:val="18"/>
                <w:szCs w:val="18"/>
              </w:rPr>
              <w:t>Analiza la interdependencia entre los sistemas e identifica el efecto de la falla de uno sobre los demás.</w:t>
            </w:r>
          </w:p>
        </w:tc>
      </w:tr>
      <w:tr w:rsidR="00990B14" w14:paraId="264626A3" w14:textId="77777777">
        <w:trPr>
          <w:cantSplit/>
          <w:jc w:val="center"/>
        </w:trPr>
        <w:tc>
          <w:tcPr>
            <w:tcW w:w="1635" w:type="dxa"/>
            <w:vMerge/>
            <w:shd w:val="clear" w:color="auto" w:fill="4472C4"/>
            <w:vAlign w:val="center"/>
          </w:tcPr>
          <w:p w14:paraId="0490080E" w14:textId="77777777" w:rsidR="00990B14" w:rsidRDefault="00990B14">
            <w:pPr>
              <w:spacing w:before="20" w:after="20"/>
            </w:pPr>
          </w:p>
        </w:tc>
        <w:tc>
          <w:tcPr>
            <w:tcW w:w="1830" w:type="dxa"/>
            <w:shd w:val="clear" w:color="auto" w:fill="D9E2F3"/>
            <w:vAlign w:val="center"/>
          </w:tcPr>
          <w:p w14:paraId="2491BC5B" w14:textId="77777777" w:rsidR="00990B14" w:rsidRDefault="00000000">
            <w:pPr>
              <w:spacing w:before="20" w:after="20"/>
              <w:jc w:val="both"/>
            </w:pPr>
            <w:r>
              <w:rPr>
                <w:sz w:val="18"/>
                <w:szCs w:val="18"/>
              </w:rPr>
              <w:t>Vínculo con el control</w:t>
            </w:r>
          </w:p>
        </w:tc>
        <w:tc>
          <w:tcPr>
            <w:tcW w:w="1910" w:type="dxa"/>
            <w:shd w:val="clear" w:color="auto" w:fill="D9E2F3"/>
            <w:vAlign w:val="center"/>
          </w:tcPr>
          <w:p w14:paraId="05F3BC8A" w14:textId="77777777" w:rsidR="00990B14" w:rsidRDefault="00000000">
            <w:pPr>
              <w:spacing w:before="20" w:after="20"/>
              <w:jc w:val="both"/>
            </w:pPr>
            <w:r>
              <w:rPr>
                <w:sz w:val="18"/>
                <w:szCs w:val="18"/>
              </w:rPr>
              <w:t>No establece la relación con el Sistema de Control Gubernamental o la establece de forma incorrecta.</w:t>
            </w:r>
          </w:p>
        </w:tc>
        <w:tc>
          <w:tcPr>
            <w:tcW w:w="1910" w:type="dxa"/>
            <w:shd w:val="clear" w:color="auto" w:fill="D9E2F3"/>
            <w:vAlign w:val="center"/>
          </w:tcPr>
          <w:p w14:paraId="7294A690" w14:textId="77777777" w:rsidR="00990B14" w:rsidRDefault="00000000">
            <w:pPr>
              <w:spacing w:before="20" w:after="20"/>
              <w:jc w:val="both"/>
            </w:pPr>
            <w:r>
              <w:rPr>
                <w:sz w:val="18"/>
                <w:szCs w:val="18"/>
              </w:rPr>
              <w:t>Relaciona cada sistema con el Sistema de Control Gubernamental, distinguiendo el control interno y el externo posterior.</w:t>
            </w:r>
          </w:p>
        </w:tc>
        <w:tc>
          <w:tcPr>
            <w:tcW w:w="2120" w:type="dxa"/>
            <w:shd w:val="clear" w:color="auto" w:fill="D9E2F3"/>
            <w:vAlign w:val="center"/>
          </w:tcPr>
          <w:p w14:paraId="4BC6D780" w14:textId="77777777" w:rsidR="00990B14" w:rsidRDefault="00000000">
            <w:pPr>
              <w:spacing w:before="20" w:after="20"/>
              <w:jc w:val="both"/>
            </w:pPr>
            <w:r>
              <w:rPr>
                <w:sz w:val="18"/>
                <w:szCs w:val="18"/>
              </w:rPr>
              <w:t>Justifica con ejemplos de entidades públicas cómo el control gubernamental se apoya en cada sistema.</w:t>
            </w:r>
          </w:p>
        </w:tc>
      </w:tr>
      <w:tr w:rsidR="00990B14" w14:paraId="407382D1" w14:textId="77777777">
        <w:trPr>
          <w:cantSplit/>
          <w:jc w:val="center"/>
        </w:trPr>
        <w:tc>
          <w:tcPr>
            <w:tcW w:w="1635" w:type="dxa"/>
            <w:vMerge/>
            <w:shd w:val="clear" w:color="auto" w:fill="4472C4"/>
            <w:vAlign w:val="center"/>
          </w:tcPr>
          <w:p w14:paraId="6C450C96" w14:textId="77777777" w:rsidR="00990B14" w:rsidRDefault="00990B14">
            <w:pPr>
              <w:spacing w:before="20" w:after="20"/>
            </w:pPr>
          </w:p>
        </w:tc>
        <w:tc>
          <w:tcPr>
            <w:tcW w:w="1830" w:type="dxa"/>
            <w:shd w:val="clear" w:color="auto" w:fill="D9E2F3"/>
            <w:vAlign w:val="center"/>
          </w:tcPr>
          <w:p w14:paraId="3000BA5F" w14:textId="77777777" w:rsidR="00990B14" w:rsidRDefault="00000000">
            <w:pPr>
              <w:spacing w:before="20" w:after="20"/>
              <w:jc w:val="both"/>
            </w:pPr>
            <w:r>
              <w:rPr>
                <w:sz w:val="18"/>
                <w:szCs w:val="18"/>
              </w:rPr>
              <w:t>Rigor normativo</w:t>
            </w:r>
          </w:p>
        </w:tc>
        <w:tc>
          <w:tcPr>
            <w:tcW w:w="1910" w:type="dxa"/>
            <w:shd w:val="clear" w:color="auto" w:fill="D9E2F3"/>
            <w:vAlign w:val="center"/>
          </w:tcPr>
          <w:p w14:paraId="26FAAD4C" w14:textId="77777777" w:rsidR="00990B14" w:rsidRDefault="00000000">
            <w:pPr>
              <w:spacing w:before="20" w:after="20"/>
              <w:jc w:val="both"/>
            </w:pPr>
            <w:r>
              <w:rPr>
                <w:sz w:val="18"/>
                <w:szCs w:val="18"/>
              </w:rPr>
              <w:t>Omite las referencias a los artículos de la Ley N.º 1178.</w:t>
            </w:r>
          </w:p>
        </w:tc>
        <w:tc>
          <w:tcPr>
            <w:tcW w:w="1910" w:type="dxa"/>
            <w:shd w:val="clear" w:color="auto" w:fill="D9E2F3"/>
            <w:vAlign w:val="center"/>
          </w:tcPr>
          <w:p w14:paraId="79D70DD4" w14:textId="77777777" w:rsidR="00990B14" w:rsidRDefault="00000000">
            <w:pPr>
              <w:spacing w:before="20" w:after="20"/>
              <w:jc w:val="both"/>
            </w:pPr>
            <w:r>
              <w:rPr>
                <w:sz w:val="18"/>
                <w:szCs w:val="18"/>
              </w:rPr>
              <w:t>Cita correctamente los artículos de la Ley N.º 1178 que sustentan cada relación.</w:t>
            </w:r>
          </w:p>
        </w:tc>
        <w:tc>
          <w:tcPr>
            <w:tcW w:w="2120" w:type="dxa"/>
            <w:shd w:val="clear" w:color="auto" w:fill="D9E2F3"/>
            <w:vAlign w:val="center"/>
          </w:tcPr>
          <w:p w14:paraId="4A3A7A52" w14:textId="77777777" w:rsidR="00990B14" w:rsidRDefault="00000000">
            <w:pPr>
              <w:spacing w:before="20" w:after="20"/>
              <w:jc w:val="both"/>
            </w:pPr>
            <w:r>
              <w:rPr>
                <w:sz w:val="18"/>
                <w:szCs w:val="18"/>
              </w:rPr>
              <w:t>Verifica las referencias en la versión vigente y las relaciona con las normas básicas de cada sistema.</w:t>
            </w:r>
          </w:p>
        </w:tc>
      </w:tr>
      <w:tr w:rsidR="00990B14" w14:paraId="5E1F2F15" w14:textId="77777777">
        <w:trPr>
          <w:cantSplit/>
          <w:jc w:val="center"/>
        </w:trPr>
        <w:tc>
          <w:tcPr>
            <w:tcW w:w="1635" w:type="dxa"/>
            <w:vMerge/>
            <w:shd w:val="clear" w:color="auto" w:fill="4472C4"/>
            <w:vAlign w:val="center"/>
          </w:tcPr>
          <w:p w14:paraId="2A6E5C67" w14:textId="77777777" w:rsidR="00990B14" w:rsidRDefault="00990B14">
            <w:pPr>
              <w:spacing w:before="20" w:after="20"/>
            </w:pPr>
          </w:p>
        </w:tc>
        <w:tc>
          <w:tcPr>
            <w:tcW w:w="5650" w:type="dxa"/>
            <w:gridSpan w:val="3"/>
            <w:shd w:val="clear" w:color="auto" w:fill="D9E2F3"/>
            <w:vAlign w:val="center"/>
          </w:tcPr>
          <w:p w14:paraId="66DB920A" w14:textId="77777777" w:rsidR="00990B14" w:rsidRDefault="00000000">
            <w:pPr>
              <w:keepNext/>
              <w:spacing w:before="20" w:after="20"/>
              <w:jc w:val="both"/>
            </w:pPr>
            <w:r>
              <w:rPr>
                <w:b/>
                <w:bCs/>
                <w:i/>
                <w:iCs/>
                <w:sz w:val="18"/>
                <w:szCs w:val="18"/>
              </w:rPr>
              <w:t xml:space="preserve">Producto 3: </w:t>
            </w:r>
            <w:r>
              <w:rPr>
                <w:sz w:val="18"/>
                <w:szCs w:val="18"/>
              </w:rPr>
              <w:t>Esquema del Sistema de Control Gubernamental, las Normas de Auditoría Gubernamental y las atribuciones de la Contraloría General del Estado y las Unidades de Auditoría Interna.</w:t>
            </w:r>
          </w:p>
        </w:tc>
        <w:tc>
          <w:tcPr>
            <w:tcW w:w="2120" w:type="dxa"/>
            <w:shd w:val="clear" w:color="auto" w:fill="D9E2F3"/>
            <w:vAlign w:val="center"/>
          </w:tcPr>
          <w:p w14:paraId="107E736F" w14:textId="77777777" w:rsidR="00990B14" w:rsidRDefault="00000000">
            <w:pPr>
              <w:spacing w:before="20" w:after="20"/>
              <w:jc w:val="center"/>
            </w:pPr>
            <w:r>
              <w:rPr>
                <w:b/>
                <w:bCs/>
                <w:sz w:val="18"/>
                <w:szCs w:val="18"/>
              </w:rPr>
              <w:t>3%</w:t>
            </w:r>
          </w:p>
        </w:tc>
      </w:tr>
      <w:tr w:rsidR="00990B14" w14:paraId="49D7DE28" w14:textId="77777777">
        <w:trPr>
          <w:cantSplit/>
          <w:jc w:val="center"/>
        </w:trPr>
        <w:tc>
          <w:tcPr>
            <w:tcW w:w="1635" w:type="dxa"/>
            <w:vMerge/>
            <w:shd w:val="clear" w:color="auto" w:fill="4472C4"/>
            <w:vAlign w:val="center"/>
          </w:tcPr>
          <w:p w14:paraId="6D5E1696" w14:textId="77777777" w:rsidR="00990B14" w:rsidRDefault="00990B14">
            <w:pPr>
              <w:spacing w:before="20" w:after="20"/>
            </w:pPr>
          </w:p>
        </w:tc>
        <w:tc>
          <w:tcPr>
            <w:tcW w:w="1830" w:type="dxa"/>
            <w:shd w:val="clear" w:color="auto" w:fill="4472C4"/>
            <w:vAlign w:val="center"/>
          </w:tcPr>
          <w:p w14:paraId="4D957027"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78FC6527"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05C172F8"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696459DA" w14:textId="77777777" w:rsidR="00990B14" w:rsidRDefault="00000000">
            <w:pPr>
              <w:keepNext/>
              <w:spacing w:before="20" w:after="20"/>
              <w:jc w:val="center"/>
            </w:pPr>
            <w:r>
              <w:rPr>
                <w:b/>
                <w:bCs/>
                <w:i/>
                <w:iCs/>
                <w:color w:val="FFFFFF"/>
                <w:sz w:val="18"/>
                <w:szCs w:val="18"/>
              </w:rPr>
              <w:t>Destacado (81–100)</w:t>
            </w:r>
          </w:p>
        </w:tc>
      </w:tr>
      <w:tr w:rsidR="00990B14" w14:paraId="2730EB9F" w14:textId="77777777">
        <w:trPr>
          <w:cantSplit/>
          <w:jc w:val="center"/>
        </w:trPr>
        <w:tc>
          <w:tcPr>
            <w:tcW w:w="1635" w:type="dxa"/>
            <w:vMerge/>
            <w:shd w:val="clear" w:color="auto" w:fill="4472C4"/>
            <w:vAlign w:val="center"/>
          </w:tcPr>
          <w:p w14:paraId="797275D3" w14:textId="77777777" w:rsidR="00990B14" w:rsidRDefault="00990B14">
            <w:pPr>
              <w:spacing w:before="20" w:after="20"/>
            </w:pPr>
          </w:p>
        </w:tc>
        <w:tc>
          <w:tcPr>
            <w:tcW w:w="1830" w:type="dxa"/>
            <w:shd w:val="clear" w:color="auto" w:fill="D9E2F3"/>
            <w:vAlign w:val="center"/>
          </w:tcPr>
          <w:p w14:paraId="371F22ED" w14:textId="77777777" w:rsidR="00990B14" w:rsidRDefault="00000000">
            <w:pPr>
              <w:spacing w:before="20" w:after="20"/>
              <w:jc w:val="both"/>
            </w:pPr>
            <w:r>
              <w:rPr>
                <w:sz w:val="18"/>
                <w:szCs w:val="18"/>
              </w:rPr>
              <w:t>Componentes del control</w:t>
            </w:r>
          </w:p>
        </w:tc>
        <w:tc>
          <w:tcPr>
            <w:tcW w:w="1910" w:type="dxa"/>
            <w:shd w:val="clear" w:color="auto" w:fill="D9E2F3"/>
            <w:vAlign w:val="center"/>
          </w:tcPr>
          <w:p w14:paraId="408BC0EE" w14:textId="77777777" w:rsidR="00990B14" w:rsidRDefault="00000000">
            <w:pPr>
              <w:spacing w:before="20" w:after="20"/>
              <w:jc w:val="both"/>
            </w:pPr>
            <w:r>
              <w:rPr>
                <w:sz w:val="18"/>
                <w:szCs w:val="18"/>
              </w:rPr>
              <w:t>Confunde u omite el control interno y el control externo posterior.</w:t>
            </w:r>
          </w:p>
        </w:tc>
        <w:tc>
          <w:tcPr>
            <w:tcW w:w="1910" w:type="dxa"/>
            <w:shd w:val="clear" w:color="auto" w:fill="D9E2F3"/>
            <w:vAlign w:val="center"/>
          </w:tcPr>
          <w:p w14:paraId="4C753457" w14:textId="77777777" w:rsidR="00990B14" w:rsidRDefault="00000000">
            <w:pPr>
              <w:spacing w:before="20" w:after="20"/>
              <w:jc w:val="both"/>
            </w:pPr>
            <w:r>
              <w:rPr>
                <w:sz w:val="18"/>
                <w:szCs w:val="18"/>
              </w:rPr>
              <w:t>Describe correctamente los componentes del Sistema de Control Gubernamental.</w:t>
            </w:r>
          </w:p>
        </w:tc>
        <w:tc>
          <w:tcPr>
            <w:tcW w:w="2120" w:type="dxa"/>
            <w:shd w:val="clear" w:color="auto" w:fill="D9E2F3"/>
            <w:vAlign w:val="center"/>
          </w:tcPr>
          <w:p w14:paraId="4765CB31" w14:textId="77777777" w:rsidR="00990B14" w:rsidRDefault="00000000">
            <w:pPr>
              <w:spacing w:before="20" w:after="20"/>
              <w:jc w:val="both"/>
            </w:pPr>
            <w:r>
              <w:rPr>
                <w:sz w:val="18"/>
                <w:szCs w:val="18"/>
              </w:rPr>
              <w:t>Compara el alcance, los responsables y la oportunidad del control interno y del externo posterior.</w:t>
            </w:r>
          </w:p>
        </w:tc>
      </w:tr>
      <w:tr w:rsidR="00990B14" w14:paraId="41E58C4D" w14:textId="77777777">
        <w:trPr>
          <w:cantSplit/>
          <w:jc w:val="center"/>
        </w:trPr>
        <w:tc>
          <w:tcPr>
            <w:tcW w:w="1635" w:type="dxa"/>
            <w:vMerge/>
            <w:shd w:val="clear" w:color="auto" w:fill="4472C4"/>
            <w:vAlign w:val="center"/>
          </w:tcPr>
          <w:p w14:paraId="1ACBFDEB" w14:textId="77777777" w:rsidR="00990B14" w:rsidRDefault="00990B14">
            <w:pPr>
              <w:spacing w:before="20" w:after="20"/>
            </w:pPr>
          </w:p>
        </w:tc>
        <w:tc>
          <w:tcPr>
            <w:tcW w:w="1830" w:type="dxa"/>
            <w:shd w:val="clear" w:color="auto" w:fill="D9E2F3"/>
            <w:vAlign w:val="center"/>
          </w:tcPr>
          <w:p w14:paraId="1ED8DAF8" w14:textId="77777777" w:rsidR="00990B14" w:rsidRDefault="00000000">
            <w:pPr>
              <w:spacing w:before="20" w:after="20"/>
              <w:jc w:val="both"/>
            </w:pPr>
            <w:r>
              <w:rPr>
                <w:sz w:val="18"/>
                <w:szCs w:val="18"/>
              </w:rPr>
              <w:t>Normas y atribuciones</w:t>
            </w:r>
          </w:p>
        </w:tc>
        <w:tc>
          <w:tcPr>
            <w:tcW w:w="1910" w:type="dxa"/>
            <w:shd w:val="clear" w:color="auto" w:fill="D9E2F3"/>
            <w:vAlign w:val="center"/>
          </w:tcPr>
          <w:p w14:paraId="00551139" w14:textId="77777777" w:rsidR="00990B14" w:rsidRDefault="00000000">
            <w:pPr>
              <w:spacing w:before="20" w:after="20"/>
              <w:jc w:val="both"/>
            </w:pPr>
            <w:r>
              <w:rPr>
                <w:sz w:val="18"/>
                <w:szCs w:val="18"/>
              </w:rPr>
              <w:t>Omite las Normas de Auditoría Gubernamental o las atribuciones de la Contraloría General del Estado o de las Unidades de Auditoría Interna.</w:t>
            </w:r>
          </w:p>
        </w:tc>
        <w:tc>
          <w:tcPr>
            <w:tcW w:w="1910" w:type="dxa"/>
            <w:shd w:val="clear" w:color="auto" w:fill="D9E2F3"/>
            <w:vAlign w:val="center"/>
          </w:tcPr>
          <w:p w14:paraId="5A8262DD" w14:textId="77777777" w:rsidR="00990B14" w:rsidRDefault="00000000">
            <w:pPr>
              <w:spacing w:before="20" w:after="20"/>
              <w:jc w:val="both"/>
            </w:pPr>
            <w:r>
              <w:rPr>
                <w:sz w:val="18"/>
                <w:szCs w:val="18"/>
              </w:rPr>
              <w:t>Identifica correctamente las Normas de Auditoría Gubernamental y las atribuciones de la Contraloría General del Estado y de las Unidades de Auditoría Interna.</w:t>
            </w:r>
          </w:p>
        </w:tc>
        <w:tc>
          <w:tcPr>
            <w:tcW w:w="2120" w:type="dxa"/>
            <w:shd w:val="clear" w:color="auto" w:fill="D9E2F3"/>
            <w:vAlign w:val="center"/>
          </w:tcPr>
          <w:p w14:paraId="5717AA1A" w14:textId="77777777" w:rsidR="00990B14" w:rsidRDefault="00000000">
            <w:pPr>
              <w:spacing w:before="20" w:after="20"/>
              <w:jc w:val="both"/>
            </w:pPr>
            <w:r>
              <w:rPr>
                <w:sz w:val="18"/>
                <w:szCs w:val="18"/>
              </w:rPr>
              <w:t>Distingue las atribuciones de cada instancia y justifica la jerarquía de las normas aplicables.</w:t>
            </w:r>
          </w:p>
        </w:tc>
      </w:tr>
      <w:tr w:rsidR="00990B14" w14:paraId="181F4F15" w14:textId="77777777">
        <w:trPr>
          <w:cantSplit/>
          <w:jc w:val="center"/>
        </w:trPr>
        <w:tc>
          <w:tcPr>
            <w:tcW w:w="1635" w:type="dxa"/>
            <w:vMerge/>
            <w:shd w:val="clear" w:color="auto" w:fill="4472C4"/>
            <w:vAlign w:val="center"/>
          </w:tcPr>
          <w:p w14:paraId="1E442C2F" w14:textId="77777777" w:rsidR="00990B14" w:rsidRDefault="00990B14">
            <w:pPr>
              <w:spacing w:before="20" w:after="20"/>
            </w:pPr>
          </w:p>
        </w:tc>
        <w:tc>
          <w:tcPr>
            <w:tcW w:w="1830" w:type="dxa"/>
            <w:shd w:val="clear" w:color="auto" w:fill="D9E2F3"/>
            <w:vAlign w:val="center"/>
          </w:tcPr>
          <w:p w14:paraId="385FC21E" w14:textId="77777777" w:rsidR="00990B14" w:rsidRDefault="00000000">
            <w:pPr>
              <w:spacing w:before="20" w:after="20"/>
              <w:jc w:val="both"/>
            </w:pPr>
            <w:r>
              <w:rPr>
                <w:sz w:val="18"/>
                <w:szCs w:val="18"/>
              </w:rPr>
              <w:t>Estructura visual</w:t>
            </w:r>
          </w:p>
        </w:tc>
        <w:tc>
          <w:tcPr>
            <w:tcW w:w="1910" w:type="dxa"/>
            <w:shd w:val="clear" w:color="auto" w:fill="D9E2F3"/>
            <w:vAlign w:val="center"/>
          </w:tcPr>
          <w:p w14:paraId="4CA6D7D5" w14:textId="77777777" w:rsidR="00990B14" w:rsidRDefault="00000000">
            <w:pPr>
              <w:spacing w:before="20" w:after="20"/>
              <w:jc w:val="both"/>
            </w:pPr>
            <w:r>
              <w:rPr>
                <w:sz w:val="18"/>
                <w:szCs w:val="18"/>
              </w:rPr>
              <w:t>Presenta el esquema incompleto o sin relaciones entre sus partes.</w:t>
            </w:r>
          </w:p>
        </w:tc>
        <w:tc>
          <w:tcPr>
            <w:tcW w:w="1910" w:type="dxa"/>
            <w:shd w:val="clear" w:color="auto" w:fill="D9E2F3"/>
            <w:vAlign w:val="center"/>
          </w:tcPr>
          <w:p w14:paraId="37B2E58A" w14:textId="77777777" w:rsidR="00990B14" w:rsidRDefault="00000000">
            <w:pPr>
              <w:spacing w:before="20" w:after="20"/>
              <w:jc w:val="both"/>
            </w:pPr>
            <w:r>
              <w:rPr>
                <w:sz w:val="18"/>
                <w:szCs w:val="18"/>
              </w:rPr>
              <w:t>Presenta el esquema completo, con relaciones claras entre sus partes.</w:t>
            </w:r>
          </w:p>
        </w:tc>
        <w:tc>
          <w:tcPr>
            <w:tcW w:w="2120" w:type="dxa"/>
            <w:shd w:val="clear" w:color="auto" w:fill="D9E2F3"/>
            <w:vAlign w:val="center"/>
          </w:tcPr>
          <w:p w14:paraId="651CACD5" w14:textId="77777777" w:rsidR="00990B14" w:rsidRDefault="00000000">
            <w:pPr>
              <w:spacing w:before="20" w:after="20"/>
              <w:jc w:val="both"/>
            </w:pPr>
            <w:r>
              <w:rPr>
                <w:sz w:val="18"/>
                <w:szCs w:val="18"/>
              </w:rPr>
              <w:t>Presenta el esquema integrado y reutilizable para el estudio, con fuentes citadas y vigencia verificada.</w:t>
            </w:r>
          </w:p>
        </w:tc>
      </w:tr>
      <w:tr w:rsidR="00990B14" w14:paraId="3251B8AF" w14:textId="77777777">
        <w:trPr>
          <w:cantSplit/>
          <w:jc w:val="center"/>
        </w:trPr>
        <w:tc>
          <w:tcPr>
            <w:tcW w:w="1635" w:type="dxa"/>
            <w:vMerge/>
            <w:shd w:val="clear" w:color="auto" w:fill="4472C4"/>
            <w:vAlign w:val="center"/>
          </w:tcPr>
          <w:p w14:paraId="04299B18" w14:textId="77777777" w:rsidR="00990B14" w:rsidRDefault="00990B14">
            <w:pPr>
              <w:spacing w:before="20" w:after="20"/>
            </w:pPr>
          </w:p>
        </w:tc>
        <w:tc>
          <w:tcPr>
            <w:tcW w:w="5650" w:type="dxa"/>
            <w:gridSpan w:val="3"/>
            <w:shd w:val="clear" w:color="auto" w:fill="D9E2F3"/>
            <w:vAlign w:val="center"/>
          </w:tcPr>
          <w:p w14:paraId="4B2F9F9D" w14:textId="77777777" w:rsidR="00990B14" w:rsidRDefault="00000000">
            <w:pPr>
              <w:keepNext/>
              <w:spacing w:before="20" w:after="20"/>
              <w:jc w:val="both"/>
            </w:pPr>
            <w:r>
              <w:rPr>
                <w:b/>
                <w:bCs/>
                <w:i/>
                <w:iCs/>
                <w:sz w:val="18"/>
                <w:szCs w:val="18"/>
              </w:rPr>
              <w:t xml:space="preserve">Producto 4: </w:t>
            </w:r>
            <w:r>
              <w:rPr>
                <w:sz w:val="18"/>
                <w:szCs w:val="18"/>
              </w:rPr>
              <w:t>Cuadro comparativo de los tipos de auditoría Gubernamental, bajo los atributos de: antecedentes, objetivo, objeto, alcance, metodología y marco normativo.</w:t>
            </w:r>
          </w:p>
        </w:tc>
        <w:tc>
          <w:tcPr>
            <w:tcW w:w="2120" w:type="dxa"/>
            <w:shd w:val="clear" w:color="auto" w:fill="D9E2F3"/>
            <w:vAlign w:val="center"/>
          </w:tcPr>
          <w:p w14:paraId="7D0B3734" w14:textId="77777777" w:rsidR="00990B14" w:rsidRDefault="00000000">
            <w:pPr>
              <w:spacing w:before="20" w:after="20"/>
              <w:jc w:val="center"/>
            </w:pPr>
            <w:r>
              <w:rPr>
                <w:b/>
                <w:bCs/>
                <w:sz w:val="18"/>
                <w:szCs w:val="18"/>
              </w:rPr>
              <w:t>4%</w:t>
            </w:r>
          </w:p>
        </w:tc>
      </w:tr>
      <w:tr w:rsidR="00990B14" w14:paraId="01B884F2" w14:textId="77777777">
        <w:trPr>
          <w:cantSplit/>
          <w:jc w:val="center"/>
        </w:trPr>
        <w:tc>
          <w:tcPr>
            <w:tcW w:w="1635" w:type="dxa"/>
            <w:vMerge/>
            <w:shd w:val="clear" w:color="auto" w:fill="4472C4"/>
            <w:vAlign w:val="center"/>
          </w:tcPr>
          <w:p w14:paraId="0426CF8B" w14:textId="77777777" w:rsidR="00990B14" w:rsidRDefault="00990B14">
            <w:pPr>
              <w:spacing w:before="20" w:after="20"/>
            </w:pPr>
          </w:p>
        </w:tc>
        <w:tc>
          <w:tcPr>
            <w:tcW w:w="1830" w:type="dxa"/>
            <w:shd w:val="clear" w:color="auto" w:fill="4472C4"/>
            <w:vAlign w:val="center"/>
          </w:tcPr>
          <w:p w14:paraId="5FF4C34A"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4BF4C5C6"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0854193F"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1D5930F9" w14:textId="77777777" w:rsidR="00990B14" w:rsidRDefault="00000000">
            <w:pPr>
              <w:keepNext/>
              <w:spacing w:before="20" w:after="20"/>
              <w:jc w:val="center"/>
            </w:pPr>
            <w:r>
              <w:rPr>
                <w:b/>
                <w:bCs/>
                <w:i/>
                <w:iCs/>
                <w:color w:val="FFFFFF"/>
                <w:sz w:val="18"/>
                <w:szCs w:val="18"/>
              </w:rPr>
              <w:t>Destacado (81–100)</w:t>
            </w:r>
          </w:p>
        </w:tc>
      </w:tr>
      <w:tr w:rsidR="00990B14" w14:paraId="7C1E1BE5" w14:textId="77777777">
        <w:trPr>
          <w:cantSplit/>
          <w:jc w:val="center"/>
        </w:trPr>
        <w:tc>
          <w:tcPr>
            <w:tcW w:w="1635" w:type="dxa"/>
            <w:vMerge/>
            <w:shd w:val="clear" w:color="auto" w:fill="4472C4"/>
            <w:vAlign w:val="center"/>
          </w:tcPr>
          <w:p w14:paraId="1ED0EC24" w14:textId="77777777" w:rsidR="00990B14" w:rsidRDefault="00990B14">
            <w:pPr>
              <w:spacing w:before="20" w:after="20"/>
            </w:pPr>
          </w:p>
        </w:tc>
        <w:tc>
          <w:tcPr>
            <w:tcW w:w="1830" w:type="dxa"/>
            <w:shd w:val="clear" w:color="auto" w:fill="D9E2F3"/>
            <w:vAlign w:val="center"/>
          </w:tcPr>
          <w:p w14:paraId="4FFFEBB5" w14:textId="77777777" w:rsidR="00990B14" w:rsidRDefault="00000000">
            <w:pPr>
              <w:spacing w:before="20" w:after="20"/>
              <w:jc w:val="both"/>
            </w:pPr>
            <w:r>
              <w:rPr>
                <w:sz w:val="18"/>
                <w:szCs w:val="18"/>
              </w:rPr>
              <w:t>Atributos comparados</w:t>
            </w:r>
          </w:p>
        </w:tc>
        <w:tc>
          <w:tcPr>
            <w:tcW w:w="1910" w:type="dxa"/>
            <w:shd w:val="clear" w:color="auto" w:fill="D9E2F3"/>
            <w:vAlign w:val="center"/>
          </w:tcPr>
          <w:p w14:paraId="28026C4D" w14:textId="77777777" w:rsidR="00990B14" w:rsidRDefault="00000000">
            <w:pPr>
              <w:spacing w:before="20" w:after="20"/>
              <w:jc w:val="both"/>
            </w:pPr>
            <w:r>
              <w:rPr>
                <w:sz w:val="18"/>
                <w:szCs w:val="18"/>
              </w:rPr>
              <w:t>Omite uno o más de los seis atributos solicitados.</w:t>
            </w:r>
          </w:p>
        </w:tc>
        <w:tc>
          <w:tcPr>
            <w:tcW w:w="1910" w:type="dxa"/>
            <w:shd w:val="clear" w:color="auto" w:fill="D9E2F3"/>
            <w:vAlign w:val="center"/>
          </w:tcPr>
          <w:p w14:paraId="00018EE2" w14:textId="77777777" w:rsidR="00990B14" w:rsidRDefault="00000000">
            <w:pPr>
              <w:spacing w:before="20" w:after="20"/>
              <w:jc w:val="both"/>
            </w:pPr>
            <w:r>
              <w:rPr>
                <w:sz w:val="18"/>
                <w:szCs w:val="18"/>
              </w:rPr>
              <w:t>Compara los seis atributos para cada tipo de auditoría gubernamental.</w:t>
            </w:r>
          </w:p>
        </w:tc>
        <w:tc>
          <w:tcPr>
            <w:tcW w:w="2120" w:type="dxa"/>
            <w:shd w:val="clear" w:color="auto" w:fill="D9E2F3"/>
            <w:vAlign w:val="center"/>
          </w:tcPr>
          <w:p w14:paraId="56D31D76" w14:textId="77777777" w:rsidR="00990B14" w:rsidRDefault="00000000">
            <w:pPr>
              <w:spacing w:before="20" w:after="20"/>
              <w:jc w:val="both"/>
            </w:pPr>
            <w:r>
              <w:rPr>
                <w:sz w:val="18"/>
                <w:szCs w:val="18"/>
              </w:rPr>
              <w:t>Analiza semejanzas y diferencias entre los tipos y concluye cuál corresponde a cada situación de la entidad.</w:t>
            </w:r>
          </w:p>
        </w:tc>
      </w:tr>
      <w:tr w:rsidR="00990B14" w14:paraId="63BC18FC" w14:textId="77777777">
        <w:trPr>
          <w:cantSplit/>
          <w:jc w:val="center"/>
        </w:trPr>
        <w:tc>
          <w:tcPr>
            <w:tcW w:w="1635" w:type="dxa"/>
            <w:vMerge/>
            <w:shd w:val="clear" w:color="auto" w:fill="4472C4"/>
            <w:vAlign w:val="center"/>
          </w:tcPr>
          <w:p w14:paraId="2A211AB3" w14:textId="77777777" w:rsidR="00990B14" w:rsidRDefault="00990B14">
            <w:pPr>
              <w:spacing w:before="20" w:after="20"/>
            </w:pPr>
          </w:p>
        </w:tc>
        <w:tc>
          <w:tcPr>
            <w:tcW w:w="1830" w:type="dxa"/>
            <w:shd w:val="clear" w:color="auto" w:fill="D9E2F3"/>
            <w:vAlign w:val="center"/>
          </w:tcPr>
          <w:p w14:paraId="530A1E44" w14:textId="77777777" w:rsidR="00990B14" w:rsidRDefault="00000000">
            <w:pPr>
              <w:spacing w:before="20" w:after="20"/>
              <w:jc w:val="both"/>
            </w:pPr>
            <w:r>
              <w:rPr>
                <w:sz w:val="18"/>
                <w:szCs w:val="18"/>
              </w:rPr>
              <w:t>Precisión conceptual</w:t>
            </w:r>
          </w:p>
        </w:tc>
        <w:tc>
          <w:tcPr>
            <w:tcW w:w="1910" w:type="dxa"/>
            <w:shd w:val="clear" w:color="auto" w:fill="D9E2F3"/>
            <w:vAlign w:val="center"/>
          </w:tcPr>
          <w:p w14:paraId="4637FD5B" w14:textId="77777777" w:rsidR="00990B14" w:rsidRDefault="00000000">
            <w:pPr>
              <w:spacing w:before="20" w:after="20"/>
              <w:jc w:val="both"/>
            </w:pPr>
            <w:r>
              <w:rPr>
                <w:sz w:val="18"/>
                <w:szCs w:val="18"/>
              </w:rPr>
              <w:t>Confunde objetivos, objetos o alcances entre los tipos de auditoría.</w:t>
            </w:r>
          </w:p>
        </w:tc>
        <w:tc>
          <w:tcPr>
            <w:tcW w:w="1910" w:type="dxa"/>
            <w:shd w:val="clear" w:color="auto" w:fill="D9E2F3"/>
            <w:vAlign w:val="center"/>
          </w:tcPr>
          <w:p w14:paraId="6CFF600D" w14:textId="77777777" w:rsidR="00990B14" w:rsidRDefault="00000000">
            <w:pPr>
              <w:spacing w:before="20" w:after="20"/>
              <w:jc w:val="both"/>
            </w:pPr>
            <w:r>
              <w:rPr>
                <w:sz w:val="18"/>
                <w:szCs w:val="18"/>
              </w:rPr>
              <w:t>Distingue correctamente el objetivo, el objeto y el alcance de las auditorías financiera, de cumplimiento y operacional.</w:t>
            </w:r>
          </w:p>
        </w:tc>
        <w:tc>
          <w:tcPr>
            <w:tcW w:w="2120" w:type="dxa"/>
            <w:shd w:val="clear" w:color="auto" w:fill="D9E2F3"/>
            <w:vAlign w:val="center"/>
          </w:tcPr>
          <w:p w14:paraId="1C14C451" w14:textId="77777777" w:rsidR="00990B14" w:rsidRDefault="00000000">
            <w:pPr>
              <w:spacing w:before="20" w:after="20"/>
              <w:jc w:val="both"/>
            </w:pPr>
            <w:r>
              <w:rPr>
                <w:sz w:val="18"/>
                <w:szCs w:val="18"/>
              </w:rPr>
              <w:t>Incorpora los demás tipos de auditoría y justifica sus diferencias con los tres principales.</w:t>
            </w:r>
          </w:p>
        </w:tc>
      </w:tr>
      <w:tr w:rsidR="00990B14" w14:paraId="534EC5B6" w14:textId="77777777">
        <w:trPr>
          <w:cantSplit/>
          <w:jc w:val="center"/>
        </w:trPr>
        <w:tc>
          <w:tcPr>
            <w:tcW w:w="1635" w:type="dxa"/>
            <w:vMerge/>
            <w:shd w:val="clear" w:color="auto" w:fill="4472C4"/>
            <w:vAlign w:val="center"/>
          </w:tcPr>
          <w:p w14:paraId="42177947" w14:textId="77777777" w:rsidR="00990B14" w:rsidRDefault="00990B14">
            <w:pPr>
              <w:spacing w:before="20" w:after="20"/>
            </w:pPr>
          </w:p>
        </w:tc>
        <w:tc>
          <w:tcPr>
            <w:tcW w:w="1830" w:type="dxa"/>
            <w:shd w:val="clear" w:color="auto" w:fill="D9E2F3"/>
            <w:vAlign w:val="center"/>
          </w:tcPr>
          <w:p w14:paraId="19946AB1" w14:textId="77777777" w:rsidR="00990B14" w:rsidRDefault="00000000">
            <w:pPr>
              <w:spacing w:before="20" w:after="20"/>
              <w:jc w:val="both"/>
            </w:pPr>
            <w:r>
              <w:rPr>
                <w:sz w:val="18"/>
                <w:szCs w:val="18"/>
              </w:rPr>
              <w:t>Fundamento normativo</w:t>
            </w:r>
          </w:p>
        </w:tc>
        <w:tc>
          <w:tcPr>
            <w:tcW w:w="1910" w:type="dxa"/>
            <w:shd w:val="clear" w:color="auto" w:fill="D9E2F3"/>
            <w:vAlign w:val="center"/>
          </w:tcPr>
          <w:p w14:paraId="6DCDD03B" w14:textId="77777777" w:rsidR="00990B14" w:rsidRDefault="00000000">
            <w:pPr>
              <w:spacing w:before="20" w:after="20"/>
              <w:jc w:val="both"/>
            </w:pPr>
            <w:r>
              <w:rPr>
                <w:sz w:val="18"/>
                <w:szCs w:val="18"/>
              </w:rPr>
              <w:t>Cita normas inexistentes o no vigentes.</w:t>
            </w:r>
          </w:p>
        </w:tc>
        <w:tc>
          <w:tcPr>
            <w:tcW w:w="1910" w:type="dxa"/>
            <w:shd w:val="clear" w:color="auto" w:fill="D9E2F3"/>
            <w:vAlign w:val="center"/>
          </w:tcPr>
          <w:p w14:paraId="0BBA4FAA" w14:textId="77777777" w:rsidR="00990B14" w:rsidRDefault="00000000">
            <w:pPr>
              <w:spacing w:before="20" w:after="20"/>
              <w:jc w:val="both"/>
            </w:pPr>
            <w:r>
              <w:rPr>
                <w:sz w:val="18"/>
                <w:szCs w:val="18"/>
              </w:rPr>
              <w:t>Cita correctamente el marco normativo de cada tipo de auditoría.</w:t>
            </w:r>
          </w:p>
        </w:tc>
        <w:tc>
          <w:tcPr>
            <w:tcW w:w="2120" w:type="dxa"/>
            <w:shd w:val="clear" w:color="auto" w:fill="D9E2F3"/>
            <w:vAlign w:val="center"/>
          </w:tcPr>
          <w:p w14:paraId="058ED35A" w14:textId="77777777" w:rsidR="00990B14" w:rsidRDefault="00000000">
            <w:pPr>
              <w:spacing w:before="20" w:after="20"/>
              <w:jc w:val="both"/>
            </w:pPr>
            <w:r>
              <w:rPr>
                <w:sz w:val="18"/>
                <w:szCs w:val="18"/>
              </w:rPr>
              <w:t>Verifica la versión vigente de cada norma en el portal de la Contraloría General del Estado y la relaciona con las ISSAI.</w:t>
            </w:r>
          </w:p>
        </w:tc>
      </w:tr>
      <w:tr w:rsidR="00990B14" w14:paraId="6F60A8B7" w14:textId="77777777">
        <w:trPr>
          <w:cantSplit/>
          <w:jc w:val="center"/>
        </w:trPr>
        <w:tc>
          <w:tcPr>
            <w:tcW w:w="1635" w:type="dxa"/>
            <w:vMerge/>
            <w:shd w:val="clear" w:color="auto" w:fill="4472C4"/>
            <w:vAlign w:val="center"/>
          </w:tcPr>
          <w:p w14:paraId="1003C2CB" w14:textId="77777777" w:rsidR="00990B14" w:rsidRDefault="00990B14">
            <w:pPr>
              <w:spacing w:before="20" w:after="20"/>
            </w:pPr>
          </w:p>
        </w:tc>
        <w:tc>
          <w:tcPr>
            <w:tcW w:w="5650" w:type="dxa"/>
            <w:gridSpan w:val="3"/>
            <w:shd w:val="clear" w:color="auto" w:fill="D9E2F3"/>
            <w:vAlign w:val="center"/>
          </w:tcPr>
          <w:p w14:paraId="7B5499E5" w14:textId="77777777" w:rsidR="00990B14" w:rsidRDefault="00000000">
            <w:pPr>
              <w:keepNext/>
              <w:spacing w:before="20" w:after="20"/>
              <w:jc w:val="both"/>
            </w:pPr>
            <w:r>
              <w:rPr>
                <w:b/>
                <w:bCs/>
                <w:i/>
                <w:iCs/>
                <w:sz w:val="18"/>
                <w:szCs w:val="18"/>
              </w:rPr>
              <w:t xml:space="preserve">Producto 5: </w:t>
            </w:r>
            <w:r>
              <w:rPr>
                <w:sz w:val="18"/>
                <w:szCs w:val="18"/>
              </w:rPr>
              <w:t>Esquema de comprensión del Régimen de Responsabilidad por la Función Pública: administrativa y civil.</w:t>
            </w:r>
          </w:p>
        </w:tc>
        <w:tc>
          <w:tcPr>
            <w:tcW w:w="2120" w:type="dxa"/>
            <w:shd w:val="clear" w:color="auto" w:fill="D9E2F3"/>
            <w:vAlign w:val="center"/>
          </w:tcPr>
          <w:p w14:paraId="77A0D036" w14:textId="77777777" w:rsidR="00990B14" w:rsidRDefault="00000000">
            <w:pPr>
              <w:spacing w:before="20" w:after="20"/>
              <w:jc w:val="center"/>
            </w:pPr>
            <w:r>
              <w:rPr>
                <w:b/>
                <w:bCs/>
                <w:sz w:val="18"/>
                <w:szCs w:val="18"/>
              </w:rPr>
              <w:t>2%</w:t>
            </w:r>
          </w:p>
        </w:tc>
      </w:tr>
      <w:tr w:rsidR="00990B14" w14:paraId="30B827E2" w14:textId="77777777">
        <w:trPr>
          <w:cantSplit/>
          <w:jc w:val="center"/>
        </w:trPr>
        <w:tc>
          <w:tcPr>
            <w:tcW w:w="1635" w:type="dxa"/>
            <w:vMerge/>
            <w:shd w:val="clear" w:color="auto" w:fill="4472C4"/>
            <w:vAlign w:val="center"/>
          </w:tcPr>
          <w:p w14:paraId="6A35737B" w14:textId="77777777" w:rsidR="00990B14" w:rsidRDefault="00990B14">
            <w:pPr>
              <w:spacing w:before="20" w:after="20"/>
            </w:pPr>
          </w:p>
        </w:tc>
        <w:tc>
          <w:tcPr>
            <w:tcW w:w="1830" w:type="dxa"/>
            <w:shd w:val="clear" w:color="auto" w:fill="4472C4"/>
            <w:vAlign w:val="center"/>
          </w:tcPr>
          <w:p w14:paraId="1F9C3164"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461F9EE5"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461FA1AA"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4689D4DE" w14:textId="77777777" w:rsidR="00990B14" w:rsidRDefault="00000000">
            <w:pPr>
              <w:keepNext/>
              <w:spacing w:before="20" w:after="20"/>
              <w:jc w:val="center"/>
            </w:pPr>
            <w:r>
              <w:rPr>
                <w:b/>
                <w:bCs/>
                <w:i/>
                <w:iCs/>
                <w:color w:val="FFFFFF"/>
                <w:sz w:val="18"/>
                <w:szCs w:val="18"/>
              </w:rPr>
              <w:t>Destacado (81–100)</w:t>
            </w:r>
          </w:p>
        </w:tc>
      </w:tr>
      <w:tr w:rsidR="00990B14" w14:paraId="2E9B0193" w14:textId="77777777">
        <w:trPr>
          <w:cantSplit/>
          <w:jc w:val="center"/>
        </w:trPr>
        <w:tc>
          <w:tcPr>
            <w:tcW w:w="1635" w:type="dxa"/>
            <w:vMerge/>
            <w:shd w:val="clear" w:color="auto" w:fill="4472C4"/>
            <w:vAlign w:val="center"/>
          </w:tcPr>
          <w:p w14:paraId="23DEDDC6" w14:textId="77777777" w:rsidR="00990B14" w:rsidRDefault="00990B14">
            <w:pPr>
              <w:spacing w:before="20" w:after="20"/>
            </w:pPr>
          </w:p>
        </w:tc>
        <w:tc>
          <w:tcPr>
            <w:tcW w:w="1830" w:type="dxa"/>
            <w:shd w:val="clear" w:color="auto" w:fill="D9E2F3"/>
            <w:vAlign w:val="center"/>
          </w:tcPr>
          <w:p w14:paraId="37EEB226" w14:textId="77777777" w:rsidR="00990B14" w:rsidRDefault="00000000">
            <w:pPr>
              <w:spacing w:before="20" w:after="20"/>
              <w:jc w:val="both"/>
            </w:pPr>
            <w:r>
              <w:rPr>
                <w:sz w:val="18"/>
                <w:szCs w:val="18"/>
              </w:rPr>
              <w:t>Naturaleza y causales</w:t>
            </w:r>
          </w:p>
        </w:tc>
        <w:tc>
          <w:tcPr>
            <w:tcW w:w="1910" w:type="dxa"/>
            <w:shd w:val="clear" w:color="auto" w:fill="D9E2F3"/>
            <w:vAlign w:val="center"/>
          </w:tcPr>
          <w:p w14:paraId="5B351EA4" w14:textId="77777777" w:rsidR="00990B14" w:rsidRDefault="00000000">
            <w:pPr>
              <w:spacing w:before="20" w:after="20"/>
              <w:jc w:val="both"/>
            </w:pPr>
            <w:r>
              <w:rPr>
                <w:sz w:val="18"/>
                <w:szCs w:val="18"/>
              </w:rPr>
              <w:t>Confunde la naturaleza o las causales de la responsabilidad administrativa y de la civil.</w:t>
            </w:r>
          </w:p>
        </w:tc>
        <w:tc>
          <w:tcPr>
            <w:tcW w:w="1910" w:type="dxa"/>
            <w:shd w:val="clear" w:color="auto" w:fill="D9E2F3"/>
            <w:vAlign w:val="center"/>
          </w:tcPr>
          <w:p w14:paraId="1FE55452" w14:textId="77777777" w:rsidR="00990B14" w:rsidRDefault="00000000">
            <w:pPr>
              <w:spacing w:before="20" w:after="20"/>
              <w:jc w:val="both"/>
            </w:pPr>
            <w:r>
              <w:rPr>
                <w:sz w:val="18"/>
                <w:szCs w:val="18"/>
              </w:rPr>
              <w:t>Describe correctamente la naturaleza, las características y las causales de ambos tipos de responsabilidad.</w:t>
            </w:r>
          </w:p>
        </w:tc>
        <w:tc>
          <w:tcPr>
            <w:tcW w:w="2120" w:type="dxa"/>
            <w:shd w:val="clear" w:color="auto" w:fill="D9E2F3"/>
            <w:vAlign w:val="center"/>
          </w:tcPr>
          <w:p w14:paraId="3BE07FFE" w14:textId="77777777" w:rsidR="00990B14" w:rsidRDefault="00000000">
            <w:pPr>
              <w:spacing w:before="20" w:after="20"/>
              <w:jc w:val="both"/>
            </w:pPr>
            <w:r>
              <w:rPr>
                <w:sz w:val="18"/>
                <w:szCs w:val="18"/>
              </w:rPr>
              <w:t>Diferencia ambos tipos y los fundamenta con ejemplos de hechos de la gestión pública.</w:t>
            </w:r>
          </w:p>
        </w:tc>
      </w:tr>
      <w:tr w:rsidR="00990B14" w14:paraId="1534484B" w14:textId="77777777">
        <w:trPr>
          <w:cantSplit/>
          <w:jc w:val="center"/>
        </w:trPr>
        <w:tc>
          <w:tcPr>
            <w:tcW w:w="1635" w:type="dxa"/>
            <w:vMerge/>
            <w:shd w:val="clear" w:color="auto" w:fill="4472C4"/>
            <w:vAlign w:val="center"/>
          </w:tcPr>
          <w:p w14:paraId="0B983720" w14:textId="77777777" w:rsidR="00990B14" w:rsidRDefault="00990B14">
            <w:pPr>
              <w:spacing w:before="20" w:after="20"/>
            </w:pPr>
          </w:p>
        </w:tc>
        <w:tc>
          <w:tcPr>
            <w:tcW w:w="1830" w:type="dxa"/>
            <w:shd w:val="clear" w:color="auto" w:fill="D9E2F3"/>
            <w:vAlign w:val="center"/>
          </w:tcPr>
          <w:p w14:paraId="69878E7B" w14:textId="77777777" w:rsidR="00990B14" w:rsidRDefault="00000000">
            <w:pPr>
              <w:spacing w:before="20" w:after="20"/>
              <w:jc w:val="both"/>
            </w:pPr>
            <w:r>
              <w:rPr>
                <w:sz w:val="18"/>
                <w:szCs w:val="18"/>
              </w:rPr>
              <w:t>Sujetos y consecuencias</w:t>
            </w:r>
          </w:p>
        </w:tc>
        <w:tc>
          <w:tcPr>
            <w:tcW w:w="1910" w:type="dxa"/>
            <w:shd w:val="clear" w:color="auto" w:fill="D9E2F3"/>
            <w:vAlign w:val="center"/>
          </w:tcPr>
          <w:p w14:paraId="1071E5F2" w14:textId="77777777" w:rsidR="00990B14" w:rsidRDefault="00000000">
            <w:pPr>
              <w:spacing w:before="20" w:after="20"/>
              <w:jc w:val="both"/>
            </w:pPr>
            <w:r>
              <w:rPr>
                <w:sz w:val="18"/>
                <w:szCs w:val="18"/>
              </w:rPr>
              <w:t>Omite los sujetos, las sanciones o el resarcimiento del daño.</w:t>
            </w:r>
          </w:p>
        </w:tc>
        <w:tc>
          <w:tcPr>
            <w:tcW w:w="1910" w:type="dxa"/>
            <w:shd w:val="clear" w:color="auto" w:fill="D9E2F3"/>
            <w:vAlign w:val="center"/>
          </w:tcPr>
          <w:p w14:paraId="7C8F1F8B" w14:textId="77777777" w:rsidR="00990B14" w:rsidRDefault="00000000">
            <w:pPr>
              <w:spacing w:before="20" w:after="20"/>
              <w:jc w:val="both"/>
            </w:pPr>
            <w:r>
              <w:rPr>
                <w:sz w:val="18"/>
                <w:szCs w:val="18"/>
              </w:rPr>
              <w:t>Identifica correctamente los sujetos, las sanciones, el resarcimiento y las instancias competentes.</w:t>
            </w:r>
          </w:p>
        </w:tc>
        <w:tc>
          <w:tcPr>
            <w:tcW w:w="2120" w:type="dxa"/>
            <w:shd w:val="clear" w:color="auto" w:fill="D9E2F3"/>
            <w:vAlign w:val="center"/>
          </w:tcPr>
          <w:p w14:paraId="19BA2543" w14:textId="77777777" w:rsidR="00990B14" w:rsidRDefault="00000000">
            <w:pPr>
              <w:spacing w:before="20" w:after="20"/>
              <w:jc w:val="both"/>
            </w:pPr>
            <w:r>
              <w:rPr>
                <w:sz w:val="18"/>
                <w:szCs w:val="18"/>
              </w:rPr>
              <w:t>Analiza la prescripción y las condiciones de exención aplicables a cada tipo.</w:t>
            </w:r>
          </w:p>
        </w:tc>
      </w:tr>
      <w:tr w:rsidR="00990B14" w14:paraId="7A199F2B" w14:textId="77777777">
        <w:trPr>
          <w:cantSplit/>
          <w:jc w:val="center"/>
        </w:trPr>
        <w:tc>
          <w:tcPr>
            <w:tcW w:w="1635" w:type="dxa"/>
            <w:vMerge/>
            <w:shd w:val="clear" w:color="auto" w:fill="4472C4"/>
            <w:vAlign w:val="center"/>
          </w:tcPr>
          <w:p w14:paraId="11C62DA1" w14:textId="77777777" w:rsidR="00990B14" w:rsidRDefault="00990B14">
            <w:pPr>
              <w:spacing w:before="20" w:after="20"/>
            </w:pPr>
          </w:p>
        </w:tc>
        <w:tc>
          <w:tcPr>
            <w:tcW w:w="1830" w:type="dxa"/>
            <w:shd w:val="clear" w:color="auto" w:fill="D9E2F3"/>
            <w:vAlign w:val="center"/>
          </w:tcPr>
          <w:p w14:paraId="7AD13ECB" w14:textId="77777777" w:rsidR="00990B14" w:rsidRDefault="00000000">
            <w:pPr>
              <w:spacing w:before="20" w:after="20"/>
              <w:jc w:val="both"/>
            </w:pPr>
            <w:r>
              <w:rPr>
                <w:sz w:val="18"/>
                <w:szCs w:val="18"/>
              </w:rPr>
              <w:t>Marco normativo</w:t>
            </w:r>
          </w:p>
        </w:tc>
        <w:tc>
          <w:tcPr>
            <w:tcW w:w="1910" w:type="dxa"/>
            <w:shd w:val="clear" w:color="auto" w:fill="D9E2F3"/>
            <w:vAlign w:val="center"/>
          </w:tcPr>
          <w:p w14:paraId="4862F29F" w14:textId="77777777" w:rsidR="00990B14" w:rsidRDefault="00000000">
            <w:pPr>
              <w:spacing w:before="20" w:after="20"/>
              <w:jc w:val="both"/>
            </w:pPr>
            <w:r>
              <w:rPr>
                <w:sz w:val="18"/>
                <w:szCs w:val="18"/>
              </w:rPr>
              <w:t>No cita la norma o la cita de forma incorrecta.</w:t>
            </w:r>
          </w:p>
        </w:tc>
        <w:tc>
          <w:tcPr>
            <w:tcW w:w="1910" w:type="dxa"/>
            <w:shd w:val="clear" w:color="auto" w:fill="D9E2F3"/>
            <w:vAlign w:val="center"/>
          </w:tcPr>
          <w:p w14:paraId="1702A7CA" w14:textId="77777777" w:rsidR="00990B14" w:rsidRDefault="00000000">
            <w:pPr>
              <w:spacing w:before="20" w:after="20"/>
              <w:jc w:val="both"/>
            </w:pPr>
            <w:r>
              <w:rPr>
                <w:sz w:val="18"/>
                <w:szCs w:val="18"/>
              </w:rPr>
              <w:t>Cita correctamente la Ley N.º 1178 y el Decreto Supremo N.º 23318-A.</w:t>
            </w:r>
          </w:p>
        </w:tc>
        <w:tc>
          <w:tcPr>
            <w:tcW w:w="2120" w:type="dxa"/>
            <w:shd w:val="clear" w:color="auto" w:fill="D9E2F3"/>
            <w:vAlign w:val="center"/>
          </w:tcPr>
          <w:p w14:paraId="5BEBA4AE" w14:textId="77777777" w:rsidR="00990B14" w:rsidRDefault="00000000">
            <w:pPr>
              <w:spacing w:before="20" w:after="20"/>
              <w:jc w:val="both"/>
            </w:pPr>
            <w:r>
              <w:rPr>
                <w:sz w:val="18"/>
                <w:szCs w:val="18"/>
              </w:rPr>
              <w:t>Verifica las modificaciones vigentes, incluido el Decreto Supremo N.º 26237, y las integra al esquema.</w:t>
            </w:r>
          </w:p>
        </w:tc>
      </w:tr>
      <w:tr w:rsidR="00990B14" w14:paraId="5AC517A5" w14:textId="77777777">
        <w:trPr>
          <w:cantSplit/>
          <w:jc w:val="center"/>
        </w:trPr>
        <w:tc>
          <w:tcPr>
            <w:tcW w:w="1635" w:type="dxa"/>
            <w:vMerge/>
            <w:shd w:val="clear" w:color="auto" w:fill="4472C4"/>
            <w:vAlign w:val="center"/>
          </w:tcPr>
          <w:p w14:paraId="43FC2D68" w14:textId="77777777" w:rsidR="00990B14" w:rsidRDefault="00990B14">
            <w:pPr>
              <w:spacing w:before="20" w:after="20"/>
            </w:pPr>
          </w:p>
        </w:tc>
        <w:tc>
          <w:tcPr>
            <w:tcW w:w="5650" w:type="dxa"/>
            <w:gridSpan w:val="3"/>
            <w:shd w:val="clear" w:color="auto" w:fill="D9E2F3"/>
            <w:vAlign w:val="center"/>
          </w:tcPr>
          <w:p w14:paraId="3C66C121" w14:textId="77777777" w:rsidR="00990B14" w:rsidRDefault="00000000">
            <w:pPr>
              <w:keepNext/>
              <w:spacing w:before="20" w:after="20"/>
              <w:jc w:val="both"/>
            </w:pPr>
            <w:r>
              <w:rPr>
                <w:b/>
                <w:bCs/>
                <w:i/>
                <w:iCs/>
                <w:sz w:val="18"/>
                <w:szCs w:val="18"/>
              </w:rPr>
              <w:t xml:space="preserve">Producto 6: </w:t>
            </w:r>
            <w:r>
              <w:rPr>
                <w:sz w:val="18"/>
                <w:szCs w:val="18"/>
              </w:rPr>
              <w:t>Esquema de comprensión del Régimen de Responsabilidad por la Función Pública: penal y ejecutiva.</w:t>
            </w:r>
          </w:p>
        </w:tc>
        <w:tc>
          <w:tcPr>
            <w:tcW w:w="2120" w:type="dxa"/>
            <w:shd w:val="clear" w:color="auto" w:fill="D9E2F3"/>
            <w:vAlign w:val="center"/>
          </w:tcPr>
          <w:p w14:paraId="4D0BDA5E" w14:textId="77777777" w:rsidR="00990B14" w:rsidRDefault="00000000">
            <w:pPr>
              <w:spacing w:before="20" w:after="20"/>
              <w:jc w:val="center"/>
            </w:pPr>
            <w:r>
              <w:rPr>
                <w:b/>
                <w:bCs/>
                <w:sz w:val="18"/>
                <w:szCs w:val="18"/>
              </w:rPr>
              <w:t>3%</w:t>
            </w:r>
          </w:p>
        </w:tc>
      </w:tr>
      <w:tr w:rsidR="00990B14" w14:paraId="7C7F2891" w14:textId="77777777">
        <w:trPr>
          <w:cantSplit/>
          <w:jc w:val="center"/>
        </w:trPr>
        <w:tc>
          <w:tcPr>
            <w:tcW w:w="1635" w:type="dxa"/>
            <w:vMerge/>
            <w:shd w:val="clear" w:color="auto" w:fill="4472C4"/>
            <w:vAlign w:val="center"/>
          </w:tcPr>
          <w:p w14:paraId="56290A6E" w14:textId="77777777" w:rsidR="00990B14" w:rsidRDefault="00990B14">
            <w:pPr>
              <w:spacing w:before="20" w:after="20"/>
            </w:pPr>
          </w:p>
        </w:tc>
        <w:tc>
          <w:tcPr>
            <w:tcW w:w="1830" w:type="dxa"/>
            <w:shd w:val="clear" w:color="auto" w:fill="4472C4"/>
            <w:vAlign w:val="center"/>
          </w:tcPr>
          <w:p w14:paraId="7F81F09A"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36F85190"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6F5DC079"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7AADE6E0" w14:textId="77777777" w:rsidR="00990B14" w:rsidRDefault="00000000">
            <w:pPr>
              <w:keepNext/>
              <w:spacing w:before="20" w:after="20"/>
              <w:jc w:val="center"/>
            </w:pPr>
            <w:r>
              <w:rPr>
                <w:b/>
                <w:bCs/>
                <w:i/>
                <w:iCs/>
                <w:color w:val="FFFFFF"/>
                <w:sz w:val="18"/>
                <w:szCs w:val="18"/>
              </w:rPr>
              <w:t>Destacado (81–100)</w:t>
            </w:r>
          </w:p>
        </w:tc>
      </w:tr>
      <w:tr w:rsidR="00990B14" w14:paraId="768A8A82" w14:textId="77777777">
        <w:trPr>
          <w:cantSplit/>
          <w:jc w:val="center"/>
        </w:trPr>
        <w:tc>
          <w:tcPr>
            <w:tcW w:w="1635" w:type="dxa"/>
            <w:vMerge/>
            <w:shd w:val="clear" w:color="auto" w:fill="4472C4"/>
            <w:vAlign w:val="center"/>
          </w:tcPr>
          <w:p w14:paraId="354432FF" w14:textId="77777777" w:rsidR="00990B14" w:rsidRDefault="00990B14">
            <w:pPr>
              <w:spacing w:before="20" w:after="20"/>
            </w:pPr>
          </w:p>
        </w:tc>
        <w:tc>
          <w:tcPr>
            <w:tcW w:w="1830" w:type="dxa"/>
            <w:shd w:val="clear" w:color="auto" w:fill="D9E2F3"/>
            <w:vAlign w:val="center"/>
          </w:tcPr>
          <w:p w14:paraId="14651EE8" w14:textId="77777777" w:rsidR="00990B14" w:rsidRDefault="00000000">
            <w:pPr>
              <w:spacing w:before="20" w:after="20"/>
              <w:jc w:val="both"/>
            </w:pPr>
            <w:r>
              <w:rPr>
                <w:sz w:val="18"/>
                <w:szCs w:val="18"/>
              </w:rPr>
              <w:t>Naturaleza y causales</w:t>
            </w:r>
          </w:p>
        </w:tc>
        <w:tc>
          <w:tcPr>
            <w:tcW w:w="1910" w:type="dxa"/>
            <w:shd w:val="clear" w:color="auto" w:fill="D9E2F3"/>
            <w:vAlign w:val="center"/>
          </w:tcPr>
          <w:p w14:paraId="065F5B97" w14:textId="77777777" w:rsidR="00990B14" w:rsidRDefault="00000000">
            <w:pPr>
              <w:spacing w:before="20" w:after="20"/>
              <w:jc w:val="both"/>
            </w:pPr>
            <w:r>
              <w:rPr>
                <w:sz w:val="18"/>
                <w:szCs w:val="18"/>
              </w:rPr>
              <w:t>Confunde la naturaleza o las causales de la responsabilidad penal y de la ejecutiva.</w:t>
            </w:r>
          </w:p>
        </w:tc>
        <w:tc>
          <w:tcPr>
            <w:tcW w:w="1910" w:type="dxa"/>
            <w:shd w:val="clear" w:color="auto" w:fill="D9E2F3"/>
            <w:vAlign w:val="center"/>
          </w:tcPr>
          <w:p w14:paraId="134950E7" w14:textId="77777777" w:rsidR="00990B14" w:rsidRDefault="00000000">
            <w:pPr>
              <w:spacing w:before="20" w:after="20"/>
              <w:jc w:val="both"/>
            </w:pPr>
            <w:r>
              <w:rPr>
                <w:sz w:val="18"/>
                <w:szCs w:val="18"/>
              </w:rPr>
              <w:t>Describe correctamente la naturaleza, las características y las causales de ambos tipos de responsabilidad.</w:t>
            </w:r>
          </w:p>
        </w:tc>
        <w:tc>
          <w:tcPr>
            <w:tcW w:w="2120" w:type="dxa"/>
            <w:shd w:val="clear" w:color="auto" w:fill="D9E2F3"/>
            <w:vAlign w:val="center"/>
          </w:tcPr>
          <w:p w14:paraId="7EB1655D" w14:textId="77777777" w:rsidR="00990B14" w:rsidRDefault="00000000">
            <w:pPr>
              <w:spacing w:before="20" w:after="20"/>
              <w:jc w:val="both"/>
            </w:pPr>
            <w:r>
              <w:rPr>
                <w:sz w:val="18"/>
                <w:szCs w:val="18"/>
              </w:rPr>
              <w:t>Diferencia ambos tipos y los distingue de la responsabilidad administrativa y de la civil.</w:t>
            </w:r>
          </w:p>
        </w:tc>
      </w:tr>
      <w:tr w:rsidR="00990B14" w14:paraId="34513CE4" w14:textId="77777777">
        <w:trPr>
          <w:cantSplit/>
          <w:jc w:val="center"/>
        </w:trPr>
        <w:tc>
          <w:tcPr>
            <w:tcW w:w="1635" w:type="dxa"/>
            <w:vMerge/>
            <w:shd w:val="clear" w:color="auto" w:fill="4472C4"/>
            <w:vAlign w:val="center"/>
          </w:tcPr>
          <w:p w14:paraId="3BF08275" w14:textId="77777777" w:rsidR="00990B14" w:rsidRDefault="00990B14">
            <w:pPr>
              <w:spacing w:before="20" w:after="20"/>
            </w:pPr>
          </w:p>
        </w:tc>
        <w:tc>
          <w:tcPr>
            <w:tcW w:w="1830" w:type="dxa"/>
            <w:shd w:val="clear" w:color="auto" w:fill="D9E2F3"/>
            <w:vAlign w:val="center"/>
          </w:tcPr>
          <w:p w14:paraId="14C98545" w14:textId="77777777" w:rsidR="00990B14" w:rsidRDefault="00000000">
            <w:pPr>
              <w:spacing w:before="20" w:after="20"/>
              <w:jc w:val="both"/>
            </w:pPr>
            <w:r>
              <w:rPr>
                <w:sz w:val="18"/>
                <w:szCs w:val="18"/>
              </w:rPr>
              <w:t>Procedimiento e instancias</w:t>
            </w:r>
          </w:p>
        </w:tc>
        <w:tc>
          <w:tcPr>
            <w:tcW w:w="1910" w:type="dxa"/>
            <w:shd w:val="clear" w:color="auto" w:fill="D9E2F3"/>
            <w:vAlign w:val="center"/>
          </w:tcPr>
          <w:p w14:paraId="120A557A" w14:textId="77777777" w:rsidR="00990B14" w:rsidRDefault="00000000">
            <w:pPr>
              <w:spacing w:before="20" w:after="20"/>
              <w:jc w:val="both"/>
            </w:pPr>
            <w:r>
              <w:rPr>
                <w:sz w:val="18"/>
                <w:szCs w:val="18"/>
              </w:rPr>
              <w:t>Omite el procedimiento o las instancias que determinan cada responsabilidad.</w:t>
            </w:r>
          </w:p>
        </w:tc>
        <w:tc>
          <w:tcPr>
            <w:tcW w:w="1910" w:type="dxa"/>
            <w:shd w:val="clear" w:color="auto" w:fill="D9E2F3"/>
            <w:vAlign w:val="center"/>
          </w:tcPr>
          <w:p w14:paraId="317DDFA5" w14:textId="77777777" w:rsidR="00990B14" w:rsidRDefault="00000000">
            <w:pPr>
              <w:spacing w:before="20" w:after="20"/>
              <w:jc w:val="both"/>
            </w:pPr>
            <w:r>
              <w:rPr>
                <w:sz w:val="18"/>
                <w:szCs w:val="18"/>
              </w:rPr>
              <w:t>Identifica correctamente el procedimiento, la instancia competente y las consecuencias jurídicas de cada tipo.</w:t>
            </w:r>
          </w:p>
        </w:tc>
        <w:tc>
          <w:tcPr>
            <w:tcW w:w="2120" w:type="dxa"/>
            <w:shd w:val="clear" w:color="auto" w:fill="D9E2F3"/>
            <w:vAlign w:val="center"/>
          </w:tcPr>
          <w:p w14:paraId="44F98ADE" w14:textId="77777777" w:rsidR="00990B14" w:rsidRDefault="00000000">
            <w:pPr>
              <w:spacing w:before="20" w:after="20"/>
              <w:jc w:val="both"/>
            </w:pPr>
            <w:r>
              <w:rPr>
                <w:sz w:val="18"/>
                <w:szCs w:val="18"/>
              </w:rPr>
              <w:t>Analiza la relación entre los procesos y justifica la independencia entre las responsabilidades.</w:t>
            </w:r>
          </w:p>
        </w:tc>
      </w:tr>
      <w:tr w:rsidR="00990B14" w14:paraId="5534DD0A" w14:textId="77777777">
        <w:trPr>
          <w:cantSplit/>
          <w:jc w:val="center"/>
        </w:trPr>
        <w:tc>
          <w:tcPr>
            <w:tcW w:w="1635" w:type="dxa"/>
            <w:vMerge/>
            <w:shd w:val="clear" w:color="auto" w:fill="4472C4"/>
            <w:vAlign w:val="center"/>
          </w:tcPr>
          <w:p w14:paraId="2B99D34B" w14:textId="77777777" w:rsidR="00990B14" w:rsidRDefault="00990B14">
            <w:pPr>
              <w:spacing w:before="20" w:after="20"/>
            </w:pPr>
          </w:p>
        </w:tc>
        <w:tc>
          <w:tcPr>
            <w:tcW w:w="1830" w:type="dxa"/>
            <w:shd w:val="clear" w:color="auto" w:fill="D9E2F3"/>
            <w:vAlign w:val="center"/>
          </w:tcPr>
          <w:p w14:paraId="474B9D44" w14:textId="77777777" w:rsidR="00990B14" w:rsidRDefault="00000000">
            <w:pPr>
              <w:spacing w:before="20" w:after="20"/>
              <w:jc w:val="both"/>
            </w:pPr>
            <w:r>
              <w:rPr>
                <w:sz w:val="18"/>
                <w:szCs w:val="18"/>
              </w:rPr>
              <w:t>Marco normativo</w:t>
            </w:r>
          </w:p>
        </w:tc>
        <w:tc>
          <w:tcPr>
            <w:tcW w:w="1910" w:type="dxa"/>
            <w:shd w:val="clear" w:color="auto" w:fill="D9E2F3"/>
            <w:vAlign w:val="center"/>
          </w:tcPr>
          <w:p w14:paraId="3ADD1C4F" w14:textId="77777777" w:rsidR="00990B14" w:rsidRDefault="00000000">
            <w:pPr>
              <w:spacing w:before="20" w:after="20"/>
              <w:jc w:val="both"/>
            </w:pPr>
            <w:r>
              <w:rPr>
                <w:sz w:val="18"/>
                <w:szCs w:val="18"/>
              </w:rPr>
              <w:t>No cita la norma o la cita de forma incorrecta.</w:t>
            </w:r>
          </w:p>
        </w:tc>
        <w:tc>
          <w:tcPr>
            <w:tcW w:w="1910" w:type="dxa"/>
            <w:shd w:val="clear" w:color="auto" w:fill="D9E2F3"/>
            <w:vAlign w:val="center"/>
          </w:tcPr>
          <w:p w14:paraId="4F93DE09" w14:textId="77777777" w:rsidR="00990B14" w:rsidRDefault="00000000">
            <w:pPr>
              <w:spacing w:before="20" w:after="20"/>
              <w:jc w:val="both"/>
            </w:pPr>
            <w:r>
              <w:rPr>
                <w:sz w:val="18"/>
                <w:szCs w:val="18"/>
              </w:rPr>
              <w:t>Cita correctamente la Ley N.º 1178, el Decreto Supremo N.º 23318-A, el Código Penal y la Ley N.º 004.</w:t>
            </w:r>
          </w:p>
        </w:tc>
        <w:tc>
          <w:tcPr>
            <w:tcW w:w="2120" w:type="dxa"/>
            <w:shd w:val="clear" w:color="auto" w:fill="D9E2F3"/>
            <w:vAlign w:val="center"/>
          </w:tcPr>
          <w:p w14:paraId="76B9E937" w14:textId="77777777" w:rsidR="00990B14" w:rsidRDefault="00000000">
            <w:pPr>
              <w:spacing w:before="20" w:after="20"/>
              <w:jc w:val="both"/>
            </w:pPr>
            <w:r>
              <w:rPr>
                <w:sz w:val="18"/>
                <w:szCs w:val="18"/>
              </w:rPr>
              <w:t>Relaciona además la Ley N.º 1390 y verifica la vigencia de cada disposición.</w:t>
            </w:r>
          </w:p>
        </w:tc>
      </w:tr>
      <w:tr w:rsidR="00990B14" w14:paraId="41110504" w14:textId="77777777">
        <w:trPr>
          <w:cantSplit/>
          <w:jc w:val="center"/>
        </w:trPr>
        <w:tc>
          <w:tcPr>
            <w:tcW w:w="1635" w:type="dxa"/>
            <w:vMerge/>
            <w:shd w:val="clear" w:color="auto" w:fill="4472C4"/>
            <w:vAlign w:val="center"/>
          </w:tcPr>
          <w:p w14:paraId="68109E6C" w14:textId="77777777" w:rsidR="00990B14" w:rsidRDefault="00990B14">
            <w:pPr>
              <w:spacing w:before="20" w:after="20"/>
            </w:pPr>
          </w:p>
        </w:tc>
        <w:tc>
          <w:tcPr>
            <w:tcW w:w="5650" w:type="dxa"/>
            <w:gridSpan w:val="3"/>
            <w:shd w:val="clear" w:color="auto" w:fill="D9E2F3"/>
            <w:vAlign w:val="center"/>
          </w:tcPr>
          <w:p w14:paraId="609A949C" w14:textId="77777777" w:rsidR="00990B14" w:rsidRDefault="00000000">
            <w:pPr>
              <w:keepNext/>
              <w:spacing w:before="20" w:after="20"/>
              <w:jc w:val="both"/>
            </w:pPr>
            <w:r>
              <w:rPr>
                <w:b/>
                <w:bCs/>
                <w:i/>
                <w:iCs/>
                <w:sz w:val="18"/>
                <w:szCs w:val="18"/>
              </w:rPr>
              <w:t xml:space="preserve">Producto 7: </w:t>
            </w:r>
            <w:r>
              <w:rPr>
                <w:sz w:val="18"/>
                <w:szCs w:val="18"/>
              </w:rPr>
              <w:t>Informe de indicios de responsabilidad por la función pública del estudio de caso: administrativa y civil</w:t>
            </w:r>
          </w:p>
        </w:tc>
        <w:tc>
          <w:tcPr>
            <w:tcW w:w="2120" w:type="dxa"/>
            <w:shd w:val="clear" w:color="auto" w:fill="D9E2F3"/>
            <w:vAlign w:val="center"/>
          </w:tcPr>
          <w:p w14:paraId="25441CC9" w14:textId="77777777" w:rsidR="00990B14" w:rsidRDefault="00000000">
            <w:pPr>
              <w:spacing w:before="20" w:after="20"/>
              <w:jc w:val="center"/>
            </w:pPr>
            <w:r>
              <w:rPr>
                <w:b/>
                <w:bCs/>
                <w:sz w:val="18"/>
                <w:szCs w:val="18"/>
              </w:rPr>
              <w:t>4%</w:t>
            </w:r>
          </w:p>
        </w:tc>
      </w:tr>
      <w:tr w:rsidR="00990B14" w14:paraId="154B6017" w14:textId="77777777">
        <w:trPr>
          <w:cantSplit/>
          <w:jc w:val="center"/>
        </w:trPr>
        <w:tc>
          <w:tcPr>
            <w:tcW w:w="1635" w:type="dxa"/>
            <w:vMerge/>
            <w:shd w:val="clear" w:color="auto" w:fill="4472C4"/>
            <w:vAlign w:val="center"/>
          </w:tcPr>
          <w:p w14:paraId="44FA348F" w14:textId="77777777" w:rsidR="00990B14" w:rsidRDefault="00990B14">
            <w:pPr>
              <w:spacing w:before="20" w:after="20"/>
            </w:pPr>
          </w:p>
        </w:tc>
        <w:tc>
          <w:tcPr>
            <w:tcW w:w="1830" w:type="dxa"/>
            <w:shd w:val="clear" w:color="auto" w:fill="4472C4"/>
            <w:vAlign w:val="center"/>
          </w:tcPr>
          <w:p w14:paraId="4DBF1E13"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37F1ADB9"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4DA25E7C"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690F9170" w14:textId="77777777" w:rsidR="00990B14" w:rsidRDefault="00000000">
            <w:pPr>
              <w:keepNext/>
              <w:spacing w:before="20" w:after="20"/>
              <w:jc w:val="center"/>
            </w:pPr>
            <w:r>
              <w:rPr>
                <w:b/>
                <w:bCs/>
                <w:i/>
                <w:iCs/>
                <w:color w:val="FFFFFF"/>
                <w:sz w:val="18"/>
                <w:szCs w:val="18"/>
              </w:rPr>
              <w:t>Destacado (81–100)</w:t>
            </w:r>
          </w:p>
        </w:tc>
      </w:tr>
      <w:tr w:rsidR="00990B14" w14:paraId="16D85E91" w14:textId="77777777">
        <w:trPr>
          <w:cantSplit/>
          <w:jc w:val="center"/>
        </w:trPr>
        <w:tc>
          <w:tcPr>
            <w:tcW w:w="1635" w:type="dxa"/>
            <w:vMerge/>
            <w:shd w:val="clear" w:color="auto" w:fill="4472C4"/>
            <w:vAlign w:val="center"/>
          </w:tcPr>
          <w:p w14:paraId="07B20323" w14:textId="77777777" w:rsidR="00990B14" w:rsidRDefault="00990B14">
            <w:pPr>
              <w:spacing w:before="20" w:after="20"/>
            </w:pPr>
          </w:p>
        </w:tc>
        <w:tc>
          <w:tcPr>
            <w:tcW w:w="1830" w:type="dxa"/>
            <w:shd w:val="clear" w:color="auto" w:fill="D9E2F3"/>
            <w:vAlign w:val="center"/>
          </w:tcPr>
          <w:p w14:paraId="532F12B5" w14:textId="77777777" w:rsidR="00990B14" w:rsidRDefault="00000000">
            <w:pPr>
              <w:spacing w:before="20" w:after="20"/>
              <w:jc w:val="both"/>
            </w:pPr>
            <w:r>
              <w:rPr>
                <w:sz w:val="18"/>
                <w:szCs w:val="18"/>
              </w:rPr>
              <w:t>Hechos e indicios</w:t>
            </w:r>
          </w:p>
        </w:tc>
        <w:tc>
          <w:tcPr>
            <w:tcW w:w="1910" w:type="dxa"/>
            <w:shd w:val="clear" w:color="auto" w:fill="D9E2F3"/>
            <w:vAlign w:val="center"/>
          </w:tcPr>
          <w:p w14:paraId="4FED7E0C" w14:textId="77777777" w:rsidR="00990B14" w:rsidRDefault="00000000">
            <w:pPr>
              <w:spacing w:before="20" w:after="20"/>
              <w:jc w:val="both"/>
            </w:pPr>
            <w:r>
              <w:rPr>
                <w:sz w:val="18"/>
                <w:szCs w:val="18"/>
              </w:rPr>
              <w:t>Describe hechos incompletos o ajenos al caso.</w:t>
            </w:r>
          </w:p>
        </w:tc>
        <w:tc>
          <w:tcPr>
            <w:tcW w:w="1910" w:type="dxa"/>
            <w:shd w:val="clear" w:color="auto" w:fill="D9E2F3"/>
            <w:vAlign w:val="center"/>
          </w:tcPr>
          <w:p w14:paraId="65097975" w14:textId="77777777" w:rsidR="00990B14" w:rsidRDefault="00000000">
            <w:pPr>
              <w:spacing w:before="20" w:after="20"/>
              <w:jc w:val="both"/>
            </w:pPr>
            <w:r>
              <w:rPr>
                <w:sz w:val="18"/>
                <w:szCs w:val="18"/>
              </w:rPr>
              <w:t>Describe los hechos del caso e identifica los indicios de responsabilidad administrativa y civil.</w:t>
            </w:r>
          </w:p>
        </w:tc>
        <w:tc>
          <w:tcPr>
            <w:tcW w:w="2120" w:type="dxa"/>
            <w:shd w:val="clear" w:color="auto" w:fill="D9E2F3"/>
            <w:vAlign w:val="center"/>
          </w:tcPr>
          <w:p w14:paraId="37857B4F" w14:textId="77777777" w:rsidR="00990B14" w:rsidRDefault="00000000">
            <w:pPr>
              <w:spacing w:before="20" w:after="20"/>
              <w:jc w:val="both"/>
            </w:pPr>
            <w:r>
              <w:rPr>
                <w:sz w:val="18"/>
                <w:szCs w:val="18"/>
              </w:rPr>
              <w:t>Sustenta cada indicio con evidencia del caso y descarta los hechos que no configuran responsabilidad.</w:t>
            </w:r>
          </w:p>
        </w:tc>
      </w:tr>
      <w:tr w:rsidR="00990B14" w14:paraId="0F38BAB8" w14:textId="77777777">
        <w:trPr>
          <w:cantSplit/>
          <w:jc w:val="center"/>
        </w:trPr>
        <w:tc>
          <w:tcPr>
            <w:tcW w:w="1635" w:type="dxa"/>
            <w:vMerge/>
            <w:shd w:val="clear" w:color="auto" w:fill="4472C4"/>
            <w:vAlign w:val="center"/>
          </w:tcPr>
          <w:p w14:paraId="05B0A47D" w14:textId="77777777" w:rsidR="00990B14" w:rsidRDefault="00990B14">
            <w:pPr>
              <w:spacing w:before="20" w:after="20"/>
            </w:pPr>
          </w:p>
        </w:tc>
        <w:tc>
          <w:tcPr>
            <w:tcW w:w="1830" w:type="dxa"/>
            <w:shd w:val="clear" w:color="auto" w:fill="D9E2F3"/>
            <w:vAlign w:val="center"/>
          </w:tcPr>
          <w:p w14:paraId="64A311A5" w14:textId="77777777" w:rsidR="00990B14" w:rsidRDefault="00000000">
            <w:pPr>
              <w:spacing w:before="20" w:after="20"/>
              <w:jc w:val="both"/>
            </w:pPr>
            <w:r>
              <w:rPr>
                <w:sz w:val="18"/>
                <w:szCs w:val="18"/>
              </w:rPr>
              <w:t>Sujeto, norma y sanción</w:t>
            </w:r>
          </w:p>
        </w:tc>
        <w:tc>
          <w:tcPr>
            <w:tcW w:w="1910" w:type="dxa"/>
            <w:shd w:val="clear" w:color="auto" w:fill="D9E2F3"/>
            <w:vAlign w:val="center"/>
          </w:tcPr>
          <w:p w14:paraId="5EE8D6A8" w14:textId="77777777" w:rsidR="00990B14" w:rsidRDefault="00000000">
            <w:pPr>
              <w:spacing w:before="20" w:after="20"/>
              <w:jc w:val="both"/>
            </w:pPr>
            <w:r>
              <w:rPr>
                <w:sz w:val="18"/>
                <w:szCs w:val="18"/>
              </w:rPr>
              <w:t>Omite el sujeto, la norma vulnerada, la sanción o la instancia.</w:t>
            </w:r>
          </w:p>
        </w:tc>
        <w:tc>
          <w:tcPr>
            <w:tcW w:w="1910" w:type="dxa"/>
            <w:shd w:val="clear" w:color="auto" w:fill="D9E2F3"/>
            <w:vAlign w:val="center"/>
          </w:tcPr>
          <w:p w14:paraId="257FE491" w14:textId="77777777" w:rsidR="00990B14" w:rsidRDefault="00000000">
            <w:pPr>
              <w:spacing w:before="20" w:after="20"/>
              <w:jc w:val="both"/>
            </w:pPr>
            <w:r>
              <w:rPr>
                <w:sz w:val="18"/>
                <w:szCs w:val="18"/>
              </w:rPr>
              <w:t>Determina correctamente el sujeto, la norma vulnerada, la sanción y la instancia que sanciona.</w:t>
            </w:r>
          </w:p>
        </w:tc>
        <w:tc>
          <w:tcPr>
            <w:tcW w:w="2120" w:type="dxa"/>
            <w:shd w:val="clear" w:color="auto" w:fill="D9E2F3"/>
            <w:vAlign w:val="center"/>
          </w:tcPr>
          <w:p w14:paraId="367059FB" w14:textId="77777777" w:rsidR="00990B14" w:rsidRDefault="00000000">
            <w:pPr>
              <w:spacing w:before="20" w:after="20"/>
              <w:jc w:val="both"/>
            </w:pPr>
            <w:r>
              <w:rPr>
                <w:sz w:val="18"/>
                <w:szCs w:val="18"/>
              </w:rPr>
              <w:t>Fundamenta la determinación, evalúa las condiciones de exención y cuantifica el daño económico cuando corresponde.</w:t>
            </w:r>
          </w:p>
        </w:tc>
      </w:tr>
      <w:tr w:rsidR="00990B14" w14:paraId="05887128" w14:textId="77777777">
        <w:trPr>
          <w:cantSplit/>
          <w:jc w:val="center"/>
        </w:trPr>
        <w:tc>
          <w:tcPr>
            <w:tcW w:w="1635" w:type="dxa"/>
            <w:vMerge/>
            <w:shd w:val="clear" w:color="auto" w:fill="4472C4"/>
            <w:vAlign w:val="center"/>
          </w:tcPr>
          <w:p w14:paraId="0E5FD1BB" w14:textId="77777777" w:rsidR="00990B14" w:rsidRDefault="00990B14">
            <w:pPr>
              <w:spacing w:before="20" w:after="20"/>
            </w:pPr>
          </w:p>
        </w:tc>
        <w:tc>
          <w:tcPr>
            <w:tcW w:w="1830" w:type="dxa"/>
            <w:shd w:val="clear" w:color="auto" w:fill="D9E2F3"/>
            <w:vAlign w:val="center"/>
          </w:tcPr>
          <w:p w14:paraId="0CFD9ED8" w14:textId="77777777" w:rsidR="00990B14" w:rsidRDefault="00000000">
            <w:pPr>
              <w:spacing w:before="20" w:after="20"/>
              <w:jc w:val="both"/>
            </w:pPr>
            <w:r>
              <w:rPr>
                <w:sz w:val="18"/>
                <w:szCs w:val="18"/>
              </w:rPr>
              <w:t>Redacción del informe</w:t>
            </w:r>
          </w:p>
        </w:tc>
        <w:tc>
          <w:tcPr>
            <w:tcW w:w="1910" w:type="dxa"/>
            <w:shd w:val="clear" w:color="auto" w:fill="D9E2F3"/>
            <w:vAlign w:val="center"/>
          </w:tcPr>
          <w:p w14:paraId="78C388E0" w14:textId="77777777" w:rsidR="00990B14" w:rsidRDefault="00000000">
            <w:pPr>
              <w:spacing w:before="20" w:after="20"/>
              <w:jc w:val="both"/>
            </w:pPr>
            <w:r>
              <w:rPr>
                <w:sz w:val="18"/>
                <w:szCs w:val="18"/>
              </w:rPr>
              <w:t>Redacta con lenguaje ambiguo y sin estructura de informe.</w:t>
            </w:r>
          </w:p>
        </w:tc>
        <w:tc>
          <w:tcPr>
            <w:tcW w:w="1910" w:type="dxa"/>
            <w:shd w:val="clear" w:color="auto" w:fill="D9E2F3"/>
            <w:vAlign w:val="center"/>
          </w:tcPr>
          <w:p w14:paraId="0066F35D" w14:textId="77777777" w:rsidR="00990B14" w:rsidRDefault="00000000">
            <w:pPr>
              <w:spacing w:before="20" w:after="20"/>
              <w:jc w:val="both"/>
            </w:pPr>
            <w:r>
              <w:rPr>
                <w:sz w:val="18"/>
                <w:szCs w:val="18"/>
              </w:rPr>
              <w:t>Redacta con lenguaje claro, objetivo y estructura de informe.</w:t>
            </w:r>
          </w:p>
        </w:tc>
        <w:tc>
          <w:tcPr>
            <w:tcW w:w="2120" w:type="dxa"/>
            <w:shd w:val="clear" w:color="auto" w:fill="D9E2F3"/>
            <w:vAlign w:val="center"/>
          </w:tcPr>
          <w:p w14:paraId="0892DF2D" w14:textId="77777777" w:rsidR="00990B14" w:rsidRDefault="00000000">
            <w:pPr>
              <w:spacing w:before="20" w:after="20"/>
              <w:jc w:val="both"/>
            </w:pPr>
            <w:r>
              <w:rPr>
                <w:sz w:val="18"/>
                <w:szCs w:val="18"/>
              </w:rPr>
              <w:t>Redacta con precisión técnico-jurídica, objetividad y respeto a la confidencialidad de la información.</w:t>
            </w:r>
          </w:p>
        </w:tc>
      </w:tr>
      <w:tr w:rsidR="00990B14" w14:paraId="3BA653C5" w14:textId="77777777">
        <w:trPr>
          <w:cantSplit/>
          <w:jc w:val="center"/>
        </w:trPr>
        <w:tc>
          <w:tcPr>
            <w:tcW w:w="1635" w:type="dxa"/>
            <w:vMerge/>
            <w:shd w:val="clear" w:color="auto" w:fill="4472C4"/>
            <w:vAlign w:val="center"/>
          </w:tcPr>
          <w:p w14:paraId="5E69C909" w14:textId="77777777" w:rsidR="00990B14" w:rsidRDefault="00990B14">
            <w:pPr>
              <w:spacing w:before="20" w:after="20"/>
            </w:pPr>
          </w:p>
        </w:tc>
        <w:tc>
          <w:tcPr>
            <w:tcW w:w="5650" w:type="dxa"/>
            <w:gridSpan w:val="3"/>
            <w:shd w:val="clear" w:color="auto" w:fill="D9E2F3"/>
            <w:vAlign w:val="center"/>
          </w:tcPr>
          <w:p w14:paraId="1B525416" w14:textId="77777777" w:rsidR="00990B14" w:rsidRDefault="00000000">
            <w:pPr>
              <w:keepNext/>
              <w:spacing w:before="20" w:after="20"/>
              <w:jc w:val="both"/>
            </w:pPr>
            <w:r>
              <w:rPr>
                <w:b/>
                <w:bCs/>
                <w:i/>
                <w:iCs/>
                <w:sz w:val="18"/>
                <w:szCs w:val="18"/>
              </w:rPr>
              <w:t xml:space="preserve">Producto 8: </w:t>
            </w:r>
            <w:r>
              <w:rPr>
                <w:sz w:val="18"/>
                <w:szCs w:val="18"/>
              </w:rPr>
              <w:t>Informe de indicios de responsabilidad por la función pública del estudio de caso: penal y ejecutiva</w:t>
            </w:r>
          </w:p>
        </w:tc>
        <w:tc>
          <w:tcPr>
            <w:tcW w:w="2120" w:type="dxa"/>
            <w:shd w:val="clear" w:color="auto" w:fill="D9E2F3"/>
            <w:vAlign w:val="center"/>
          </w:tcPr>
          <w:p w14:paraId="40709F91" w14:textId="77777777" w:rsidR="00990B14" w:rsidRDefault="00000000">
            <w:pPr>
              <w:spacing w:before="20" w:after="20"/>
              <w:jc w:val="center"/>
            </w:pPr>
            <w:r>
              <w:rPr>
                <w:b/>
                <w:bCs/>
                <w:sz w:val="18"/>
                <w:szCs w:val="18"/>
              </w:rPr>
              <w:t>4%</w:t>
            </w:r>
          </w:p>
        </w:tc>
      </w:tr>
      <w:tr w:rsidR="00990B14" w14:paraId="46FF9C9E" w14:textId="77777777">
        <w:trPr>
          <w:cantSplit/>
          <w:jc w:val="center"/>
        </w:trPr>
        <w:tc>
          <w:tcPr>
            <w:tcW w:w="1635" w:type="dxa"/>
            <w:vMerge/>
            <w:shd w:val="clear" w:color="auto" w:fill="4472C4"/>
            <w:vAlign w:val="center"/>
          </w:tcPr>
          <w:p w14:paraId="76E87B17" w14:textId="77777777" w:rsidR="00990B14" w:rsidRDefault="00990B14">
            <w:pPr>
              <w:spacing w:before="20" w:after="20"/>
            </w:pPr>
          </w:p>
        </w:tc>
        <w:tc>
          <w:tcPr>
            <w:tcW w:w="1830" w:type="dxa"/>
            <w:shd w:val="clear" w:color="auto" w:fill="4472C4"/>
            <w:vAlign w:val="center"/>
          </w:tcPr>
          <w:p w14:paraId="4FC708FB"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21B0671E"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0770ACE3"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08A542C8" w14:textId="77777777" w:rsidR="00990B14" w:rsidRDefault="00000000">
            <w:pPr>
              <w:keepNext/>
              <w:spacing w:before="20" w:after="20"/>
              <w:jc w:val="center"/>
            </w:pPr>
            <w:r>
              <w:rPr>
                <w:b/>
                <w:bCs/>
                <w:i/>
                <w:iCs/>
                <w:color w:val="FFFFFF"/>
                <w:sz w:val="18"/>
                <w:szCs w:val="18"/>
              </w:rPr>
              <w:t>Destacado (81–100)</w:t>
            </w:r>
          </w:p>
        </w:tc>
      </w:tr>
      <w:tr w:rsidR="00990B14" w14:paraId="2A248DF4" w14:textId="77777777">
        <w:trPr>
          <w:cantSplit/>
          <w:jc w:val="center"/>
        </w:trPr>
        <w:tc>
          <w:tcPr>
            <w:tcW w:w="1635" w:type="dxa"/>
            <w:vMerge/>
            <w:shd w:val="clear" w:color="auto" w:fill="4472C4"/>
            <w:vAlign w:val="center"/>
          </w:tcPr>
          <w:p w14:paraId="57282872" w14:textId="77777777" w:rsidR="00990B14" w:rsidRDefault="00990B14">
            <w:pPr>
              <w:spacing w:before="20" w:after="20"/>
            </w:pPr>
          </w:p>
        </w:tc>
        <w:tc>
          <w:tcPr>
            <w:tcW w:w="1830" w:type="dxa"/>
            <w:shd w:val="clear" w:color="auto" w:fill="D9E2F3"/>
            <w:vAlign w:val="center"/>
          </w:tcPr>
          <w:p w14:paraId="3AA48F75" w14:textId="77777777" w:rsidR="00990B14" w:rsidRDefault="00000000">
            <w:pPr>
              <w:spacing w:before="20" w:after="20"/>
              <w:jc w:val="both"/>
            </w:pPr>
            <w:r>
              <w:rPr>
                <w:sz w:val="18"/>
                <w:szCs w:val="18"/>
              </w:rPr>
              <w:t>Hechos e indicios</w:t>
            </w:r>
          </w:p>
        </w:tc>
        <w:tc>
          <w:tcPr>
            <w:tcW w:w="1910" w:type="dxa"/>
            <w:shd w:val="clear" w:color="auto" w:fill="D9E2F3"/>
            <w:vAlign w:val="center"/>
          </w:tcPr>
          <w:p w14:paraId="56204083" w14:textId="77777777" w:rsidR="00990B14" w:rsidRDefault="00000000">
            <w:pPr>
              <w:spacing w:before="20" w:after="20"/>
              <w:jc w:val="both"/>
            </w:pPr>
            <w:r>
              <w:rPr>
                <w:sz w:val="18"/>
                <w:szCs w:val="18"/>
              </w:rPr>
              <w:t>Describe hechos incompletos o ajenos al caso.</w:t>
            </w:r>
          </w:p>
        </w:tc>
        <w:tc>
          <w:tcPr>
            <w:tcW w:w="1910" w:type="dxa"/>
            <w:shd w:val="clear" w:color="auto" w:fill="D9E2F3"/>
            <w:vAlign w:val="center"/>
          </w:tcPr>
          <w:p w14:paraId="2E57C698" w14:textId="77777777" w:rsidR="00990B14" w:rsidRDefault="00000000">
            <w:pPr>
              <w:spacing w:before="20" w:after="20"/>
              <w:jc w:val="both"/>
            </w:pPr>
            <w:r>
              <w:rPr>
                <w:sz w:val="18"/>
                <w:szCs w:val="18"/>
              </w:rPr>
              <w:t>Describe los hechos del caso e identifica los indicios de responsabilidad penal y ejecutiva.</w:t>
            </w:r>
          </w:p>
        </w:tc>
        <w:tc>
          <w:tcPr>
            <w:tcW w:w="2120" w:type="dxa"/>
            <w:shd w:val="clear" w:color="auto" w:fill="D9E2F3"/>
            <w:vAlign w:val="center"/>
          </w:tcPr>
          <w:p w14:paraId="786A895C" w14:textId="77777777" w:rsidR="00990B14" w:rsidRDefault="00000000">
            <w:pPr>
              <w:spacing w:before="20" w:after="20"/>
              <w:jc w:val="both"/>
            </w:pPr>
            <w:r>
              <w:rPr>
                <w:sz w:val="18"/>
                <w:szCs w:val="18"/>
              </w:rPr>
              <w:t>Sustenta cada indicio con evidencia del caso y descarta los hechos que no configuran responsabilidad.</w:t>
            </w:r>
          </w:p>
        </w:tc>
      </w:tr>
      <w:tr w:rsidR="00990B14" w14:paraId="5378BA4B" w14:textId="77777777">
        <w:trPr>
          <w:cantSplit/>
          <w:jc w:val="center"/>
        </w:trPr>
        <w:tc>
          <w:tcPr>
            <w:tcW w:w="1635" w:type="dxa"/>
            <w:vMerge/>
            <w:shd w:val="clear" w:color="auto" w:fill="4472C4"/>
            <w:vAlign w:val="center"/>
          </w:tcPr>
          <w:p w14:paraId="5766831C" w14:textId="77777777" w:rsidR="00990B14" w:rsidRDefault="00990B14">
            <w:pPr>
              <w:spacing w:before="20" w:after="20"/>
            </w:pPr>
          </w:p>
        </w:tc>
        <w:tc>
          <w:tcPr>
            <w:tcW w:w="1830" w:type="dxa"/>
            <w:shd w:val="clear" w:color="auto" w:fill="D9E2F3"/>
            <w:vAlign w:val="center"/>
          </w:tcPr>
          <w:p w14:paraId="12C0AF3A" w14:textId="77777777" w:rsidR="00990B14" w:rsidRDefault="00000000">
            <w:pPr>
              <w:spacing w:before="20" w:after="20"/>
              <w:jc w:val="both"/>
            </w:pPr>
            <w:r>
              <w:rPr>
                <w:sz w:val="18"/>
                <w:szCs w:val="18"/>
              </w:rPr>
              <w:t>Tipificación y sanción</w:t>
            </w:r>
          </w:p>
        </w:tc>
        <w:tc>
          <w:tcPr>
            <w:tcW w:w="1910" w:type="dxa"/>
            <w:shd w:val="clear" w:color="auto" w:fill="D9E2F3"/>
            <w:vAlign w:val="center"/>
          </w:tcPr>
          <w:p w14:paraId="050F06AF" w14:textId="77777777" w:rsidR="00990B14" w:rsidRDefault="00000000">
            <w:pPr>
              <w:spacing w:before="20" w:after="20"/>
              <w:jc w:val="both"/>
            </w:pPr>
            <w:r>
              <w:rPr>
                <w:sz w:val="18"/>
                <w:szCs w:val="18"/>
              </w:rPr>
              <w:t>Omite la conducta, la norma vulnerada, la sanción o la instancia.</w:t>
            </w:r>
          </w:p>
        </w:tc>
        <w:tc>
          <w:tcPr>
            <w:tcW w:w="1910" w:type="dxa"/>
            <w:shd w:val="clear" w:color="auto" w:fill="D9E2F3"/>
            <w:vAlign w:val="center"/>
          </w:tcPr>
          <w:p w14:paraId="2C802D69" w14:textId="77777777" w:rsidR="00990B14" w:rsidRDefault="00000000">
            <w:pPr>
              <w:spacing w:before="20" w:after="20"/>
              <w:jc w:val="both"/>
            </w:pPr>
            <w:r>
              <w:rPr>
                <w:sz w:val="18"/>
                <w:szCs w:val="18"/>
              </w:rPr>
              <w:t>Determina correctamente el sujeto, la conducta, la norma vulnerada, la sanción y la instancia que sanciona.</w:t>
            </w:r>
          </w:p>
        </w:tc>
        <w:tc>
          <w:tcPr>
            <w:tcW w:w="2120" w:type="dxa"/>
            <w:shd w:val="clear" w:color="auto" w:fill="D9E2F3"/>
            <w:vAlign w:val="center"/>
          </w:tcPr>
          <w:p w14:paraId="4C5AD3B6" w14:textId="77777777" w:rsidR="00990B14" w:rsidRDefault="00000000">
            <w:pPr>
              <w:spacing w:before="20" w:after="20"/>
              <w:jc w:val="both"/>
            </w:pPr>
            <w:r>
              <w:rPr>
                <w:sz w:val="18"/>
                <w:szCs w:val="18"/>
              </w:rPr>
              <w:t>Fundamenta la tipificación y distingue los indicios penales de los ejecutivos con argumentos jurídicos.</w:t>
            </w:r>
          </w:p>
        </w:tc>
      </w:tr>
      <w:tr w:rsidR="00990B14" w14:paraId="3B2215F6" w14:textId="77777777">
        <w:trPr>
          <w:cantSplit/>
          <w:jc w:val="center"/>
        </w:trPr>
        <w:tc>
          <w:tcPr>
            <w:tcW w:w="1635" w:type="dxa"/>
            <w:vMerge/>
            <w:shd w:val="clear" w:color="auto" w:fill="4472C4"/>
            <w:vAlign w:val="center"/>
          </w:tcPr>
          <w:p w14:paraId="598FAC88" w14:textId="77777777" w:rsidR="00990B14" w:rsidRDefault="00990B14">
            <w:pPr>
              <w:spacing w:before="20" w:after="20"/>
            </w:pPr>
          </w:p>
        </w:tc>
        <w:tc>
          <w:tcPr>
            <w:tcW w:w="1830" w:type="dxa"/>
            <w:shd w:val="clear" w:color="auto" w:fill="D9E2F3"/>
            <w:vAlign w:val="center"/>
          </w:tcPr>
          <w:p w14:paraId="77DABCB6" w14:textId="77777777" w:rsidR="00990B14" w:rsidRDefault="00000000">
            <w:pPr>
              <w:spacing w:before="20" w:after="20"/>
              <w:jc w:val="both"/>
            </w:pPr>
            <w:r>
              <w:rPr>
                <w:sz w:val="18"/>
                <w:szCs w:val="18"/>
              </w:rPr>
              <w:t>Objetividad profesional</w:t>
            </w:r>
          </w:p>
        </w:tc>
        <w:tc>
          <w:tcPr>
            <w:tcW w:w="1910" w:type="dxa"/>
            <w:shd w:val="clear" w:color="auto" w:fill="D9E2F3"/>
            <w:vAlign w:val="center"/>
          </w:tcPr>
          <w:p w14:paraId="1D86941F" w14:textId="77777777" w:rsidR="00990B14" w:rsidRDefault="00000000">
            <w:pPr>
              <w:spacing w:before="20" w:after="20"/>
              <w:jc w:val="both"/>
            </w:pPr>
            <w:r>
              <w:rPr>
                <w:sz w:val="18"/>
                <w:szCs w:val="18"/>
              </w:rPr>
              <w:t>Emite juicios de culpabilidad sin sustento.</w:t>
            </w:r>
          </w:p>
        </w:tc>
        <w:tc>
          <w:tcPr>
            <w:tcW w:w="1910" w:type="dxa"/>
            <w:shd w:val="clear" w:color="auto" w:fill="D9E2F3"/>
            <w:vAlign w:val="center"/>
          </w:tcPr>
          <w:p w14:paraId="4EED226E" w14:textId="77777777" w:rsidR="00990B14" w:rsidRDefault="00000000">
            <w:pPr>
              <w:spacing w:before="20" w:after="20"/>
              <w:jc w:val="both"/>
            </w:pPr>
            <w:r>
              <w:rPr>
                <w:sz w:val="18"/>
                <w:szCs w:val="18"/>
              </w:rPr>
              <w:t>Limita el informe a indicios, sin calificar la culpabilidad.</w:t>
            </w:r>
          </w:p>
        </w:tc>
        <w:tc>
          <w:tcPr>
            <w:tcW w:w="2120" w:type="dxa"/>
            <w:shd w:val="clear" w:color="auto" w:fill="D9E2F3"/>
            <w:vAlign w:val="center"/>
          </w:tcPr>
          <w:p w14:paraId="7A4EC680" w14:textId="77777777" w:rsidR="00990B14" w:rsidRDefault="00000000">
            <w:pPr>
              <w:spacing w:before="20" w:after="20"/>
              <w:jc w:val="both"/>
            </w:pPr>
            <w:r>
              <w:rPr>
                <w:sz w:val="18"/>
                <w:szCs w:val="18"/>
              </w:rPr>
              <w:t>Sustenta su opinión con objetividad y respeta la confidencialidad del caso.</w:t>
            </w:r>
          </w:p>
        </w:tc>
      </w:tr>
      <w:tr w:rsidR="00990B14" w14:paraId="1FFAC2A5" w14:textId="77777777">
        <w:trPr>
          <w:cantSplit/>
          <w:jc w:val="center"/>
        </w:trPr>
        <w:tc>
          <w:tcPr>
            <w:tcW w:w="1635" w:type="dxa"/>
            <w:vMerge/>
            <w:shd w:val="clear" w:color="auto" w:fill="4472C4"/>
            <w:vAlign w:val="center"/>
          </w:tcPr>
          <w:p w14:paraId="25B142C7" w14:textId="77777777" w:rsidR="00990B14" w:rsidRDefault="00990B14">
            <w:pPr>
              <w:spacing w:before="20" w:after="20"/>
            </w:pPr>
          </w:p>
        </w:tc>
        <w:tc>
          <w:tcPr>
            <w:tcW w:w="5650" w:type="dxa"/>
            <w:gridSpan w:val="3"/>
            <w:shd w:val="clear" w:color="auto" w:fill="D9E2F3"/>
            <w:vAlign w:val="center"/>
          </w:tcPr>
          <w:p w14:paraId="1C5B9FEA" w14:textId="77777777" w:rsidR="00990B14" w:rsidRDefault="00000000">
            <w:pPr>
              <w:keepNext/>
              <w:spacing w:before="20" w:after="20"/>
              <w:jc w:val="both"/>
            </w:pPr>
            <w:r>
              <w:rPr>
                <w:b/>
                <w:bCs/>
                <w:i/>
                <w:iCs/>
                <w:sz w:val="18"/>
                <w:szCs w:val="18"/>
              </w:rPr>
              <w:t xml:space="preserve">Producto 9: </w:t>
            </w:r>
            <w:r>
              <w:rPr>
                <w:sz w:val="18"/>
                <w:szCs w:val="18"/>
              </w:rPr>
              <w:t>Esquema de comprensión del Sistema de Control Interno Gubernamental, sus componentes y características.</w:t>
            </w:r>
          </w:p>
        </w:tc>
        <w:tc>
          <w:tcPr>
            <w:tcW w:w="2120" w:type="dxa"/>
            <w:shd w:val="clear" w:color="auto" w:fill="D9E2F3"/>
            <w:vAlign w:val="center"/>
          </w:tcPr>
          <w:p w14:paraId="0212A2C3" w14:textId="77777777" w:rsidR="00990B14" w:rsidRDefault="00000000">
            <w:pPr>
              <w:spacing w:before="20" w:after="20"/>
              <w:jc w:val="center"/>
            </w:pPr>
            <w:r>
              <w:rPr>
                <w:b/>
                <w:bCs/>
                <w:sz w:val="18"/>
                <w:szCs w:val="18"/>
              </w:rPr>
              <w:t>2%</w:t>
            </w:r>
          </w:p>
        </w:tc>
      </w:tr>
      <w:tr w:rsidR="00990B14" w14:paraId="07BD0513" w14:textId="77777777">
        <w:trPr>
          <w:cantSplit/>
          <w:jc w:val="center"/>
        </w:trPr>
        <w:tc>
          <w:tcPr>
            <w:tcW w:w="1635" w:type="dxa"/>
            <w:vMerge/>
            <w:shd w:val="clear" w:color="auto" w:fill="4472C4"/>
            <w:vAlign w:val="center"/>
          </w:tcPr>
          <w:p w14:paraId="720A096F" w14:textId="77777777" w:rsidR="00990B14" w:rsidRDefault="00990B14">
            <w:pPr>
              <w:spacing w:before="20" w:after="20"/>
            </w:pPr>
          </w:p>
        </w:tc>
        <w:tc>
          <w:tcPr>
            <w:tcW w:w="1830" w:type="dxa"/>
            <w:shd w:val="clear" w:color="auto" w:fill="4472C4"/>
            <w:vAlign w:val="center"/>
          </w:tcPr>
          <w:p w14:paraId="0618E1D6"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039C819F"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2625710D"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056ED3B9" w14:textId="77777777" w:rsidR="00990B14" w:rsidRDefault="00000000">
            <w:pPr>
              <w:keepNext/>
              <w:spacing w:before="20" w:after="20"/>
              <w:jc w:val="center"/>
            </w:pPr>
            <w:r>
              <w:rPr>
                <w:b/>
                <w:bCs/>
                <w:i/>
                <w:iCs/>
                <w:color w:val="FFFFFF"/>
                <w:sz w:val="18"/>
                <w:szCs w:val="18"/>
              </w:rPr>
              <w:t>Destacado (81–100)</w:t>
            </w:r>
          </w:p>
        </w:tc>
      </w:tr>
      <w:tr w:rsidR="00990B14" w14:paraId="00FD66A0" w14:textId="77777777">
        <w:trPr>
          <w:cantSplit/>
          <w:jc w:val="center"/>
        </w:trPr>
        <w:tc>
          <w:tcPr>
            <w:tcW w:w="1635" w:type="dxa"/>
            <w:vMerge/>
            <w:shd w:val="clear" w:color="auto" w:fill="4472C4"/>
            <w:vAlign w:val="center"/>
          </w:tcPr>
          <w:p w14:paraId="79786B76" w14:textId="77777777" w:rsidR="00990B14" w:rsidRDefault="00990B14">
            <w:pPr>
              <w:spacing w:before="20" w:after="20"/>
            </w:pPr>
          </w:p>
        </w:tc>
        <w:tc>
          <w:tcPr>
            <w:tcW w:w="1830" w:type="dxa"/>
            <w:shd w:val="clear" w:color="auto" w:fill="D9E2F3"/>
            <w:vAlign w:val="center"/>
          </w:tcPr>
          <w:p w14:paraId="1BBF8B99" w14:textId="77777777" w:rsidR="00990B14" w:rsidRDefault="00000000">
            <w:pPr>
              <w:spacing w:before="20" w:after="20"/>
              <w:jc w:val="both"/>
            </w:pPr>
            <w:r>
              <w:rPr>
                <w:sz w:val="18"/>
                <w:szCs w:val="18"/>
              </w:rPr>
              <w:t>Principios y normas</w:t>
            </w:r>
          </w:p>
        </w:tc>
        <w:tc>
          <w:tcPr>
            <w:tcW w:w="1910" w:type="dxa"/>
            <w:shd w:val="clear" w:color="auto" w:fill="D9E2F3"/>
            <w:vAlign w:val="center"/>
          </w:tcPr>
          <w:p w14:paraId="1E5B3EA2" w14:textId="77777777" w:rsidR="00990B14" w:rsidRDefault="00000000">
            <w:pPr>
              <w:spacing w:before="20" w:after="20"/>
              <w:jc w:val="both"/>
            </w:pPr>
            <w:r>
              <w:rPr>
                <w:sz w:val="18"/>
                <w:szCs w:val="18"/>
              </w:rPr>
              <w:t>Omite o confunde los principios y las normas generales y básicas de control interno.</w:t>
            </w:r>
          </w:p>
        </w:tc>
        <w:tc>
          <w:tcPr>
            <w:tcW w:w="1910" w:type="dxa"/>
            <w:shd w:val="clear" w:color="auto" w:fill="D9E2F3"/>
            <w:vAlign w:val="center"/>
          </w:tcPr>
          <w:p w14:paraId="2D7E7C5C" w14:textId="77777777" w:rsidR="00990B14" w:rsidRDefault="00000000">
            <w:pPr>
              <w:spacing w:before="20" w:after="20"/>
              <w:jc w:val="both"/>
            </w:pPr>
            <w:r>
              <w:rPr>
                <w:sz w:val="18"/>
                <w:szCs w:val="18"/>
              </w:rPr>
              <w:t>Describe correctamente los principios y las normas generales y básicas de control interno.</w:t>
            </w:r>
          </w:p>
        </w:tc>
        <w:tc>
          <w:tcPr>
            <w:tcW w:w="2120" w:type="dxa"/>
            <w:shd w:val="clear" w:color="auto" w:fill="D9E2F3"/>
            <w:vAlign w:val="center"/>
          </w:tcPr>
          <w:p w14:paraId="68758F0A" w14:textId="77777777" w:rsidR="00990B14" w:rsidRDefault="00000000">
            <w:pPr>
              <w:spacing w:before="20" w:after="20"/>
              <w:jc w:val="both"/>
            </w:pPr>
            <w:r>
              <w:rPr>
                <w:sz w:val="18"/>
                <w:szCs w:val="18"/>
              </w:rPr>
              <w:t>Relaciona cada principio con sus normas y justifica su finalidad.</w:t>
            </w:r>
          </w:p>
        </w:tc>
      </w:tr>
      <w:tr w:rsidR="00990B14" w14:paraId="763E1209" w14:textId="77777777">
        <w:trPr>
          <w:cantSplit/>
          <w:jc w:val="center"/>
        </w:trPr>
        <w:tc>
          <w:tcPr>
            <w:tcW w:w="1635" w:type="dxa"/>
            <w:vMerge/>
            <w:shd w:val="clear" w:color="auto" w:fill="4472C4"/>
            <w:vAlign w:val="center"/>
          </w:tcPr>
          <w:p w14:paraId="1456C27F" w14:textId="77777777" w:rsidR="00990B14" w:rsidRDefault="00990B14">
            <w:pPr>
              <w:spacing w:before="20" w:after="20"/>
            </w:pPr>
          </w:p>
        </w:tc>
        <w:tc>
          <w:tcPr>
            <w:tcW w:w="1830" w:type="dxa"/>
            <w:shd w:val="clear" w:color="auto" w:fill="D9E2F3"/>
            <w:vAlign w:val="center"/>
          </w:tcPr>
          <w:p w14:paraId="5F7048B8" w14:textId="77777777" w:rsidR="00990B14" w:rsidRDefault="00000000">
            <w:pPr>
              <w:spacing w:before="20" w:after="20"/>
              <w:jc w:val="both"/>
            </w:pPr>
            <w:r>
              <w:rPr>
                <w:sz w:val="18"/>
                <w:szCs w:val="18"/>
              </w:rPr>
              <w:t>Componentes del control</w:t>
            </w:r>
          </w:p>
        </w:tc>
        <w:tc>
          <w:tcPr>
            <w:tcW w:w="1910" w:type="dxa"/>
            <w:shd w:val="clear" w:color="auto" w:fill="D9E2F3"/>
            <w:vAlign w:val="center"/>
          </w:tcPr>
          <w:p w14:paraId="71A2A43A" w14:textId="77777777" w:rsidR="00990B14" w:rsidRDefault="00000000">
            <w:pPr>
              <w:spacing w:before="20" w:after="20"/>
              <w:jc w:val="both"/>
            </w:pPr>
            <w:r>
              <w:rPr>
                <w:sz w:val="18"/>
                <w:szCs w:val="18"/>
              </w:rPr>
              <w:t>Omite componentes o procesos del control interno.</w:t>
            </w:r>
          </w:p>
        </w:tc>
        <w:tc>
          <w:tcPr>
            <w:tcW w:w="1910" w:type="dxa"/>
            <w:shd w:val="clear" w:color="auto" w:fill="D9E2F3"/>
            <w:vAlign w:val="center"/>
          </w:tcPr>
          <w:p w14:paraId="07834474" w14:textId="77777777" w:rsidR="00990B14" w:rsidRDefault="00000000">
            <w:pPr>
              <w:spacing w:before="20" w:after="20"/>
              <w:jc w:val="both"/>
            </w:pPr>
            <w:r>
              <w:rPr>
                <w:sz w:val="18"/>
                <w:szCs w:val="18"/>
              </w:rPr>
              <w:t>Identifica correctamente los componentes, de acuerdo con el Marco Integrado de Control Interno.</w:t>
            </w:r>
          </w:p>
        </w:tc>
        <w:tc>
          <w:tcPr>
            <w:tcW w:w="2120" w:type="dxa"/>
            <w:shd w:val="clear" w:color="auto" w:fill="D9E2F3"/>
            <w:vAlign w:val="center"/>
          </w:tcPr>
          <w:p w14:paraId="51E5C186" w14:textId="77777777" w:rsidR="00990B14" w:rsidRDefault="00000000">
            <w:pPr>
              <w:spacing w:before="20" w:after="20"/>
              <w:jc w:val="both"/>
            </w:pPr>
            <w:r>
              <w:rPr>
                <w:sz w:val="18"/>
                <w:szCs w:val="18"/>
              </w:rPr>
              <w:t>Establece equivalencias entre el Marco Integrado de Control Interno y el control interno gubernamental.</w:t>
            </w:r>
          </w:p>
        </w:tc>
      </w:tr>
      <w:tr w:rsidR="00990B14" w14:paraId="74083CFC" w14:textId="77777777">
        <w:trPr>
          <w:cantSplit/>
          <w:jc w:val="center"/>
        </w:trPr>
        <w:tc>
          <w:tcPr>
            <w:tcW w:w="1635" w:type="dxa"/>
            <w:vMerge/>
            <w:shd w:val="clear" w:color="auto" w:fill="4472C4"/>
            <w:vAlign w:val="center"/>
          </w:tcPr>
          <w:p w14:paraId="4646D3BD" w14:textId="77777777" w:rsidR="00990B14" w:rsidRDefault="00990B14">
            <w:pPr>
              <w:spacing w:before="20" w:after="20"/>
            </w:pPr>
          </w:p>
        </w:tc>
        <w:tc>
          <w:tcPr>
            <w:tcW w:w="1830" w:type="dxa"/>
            <w:shd w:val="clear" w:color="auto" w:fill="D9E2F3"/>
            <w:vAlign w:val="center"/>
          </w:tcPr>
          <w:p w14:paraId="2635C5DD" w14:textId="77777777" w:rsidR="00990B14" w:rsidRDefault="00000000">
            <w:pPr>
              <w:spacing w:before="20" w:after="20"/>
              <w:jc w:val="both"/>
            </w:pPr>
            <w:r>
              <w:rPr>
                <w:sz w:val="18"/>
                <w:szCs w:val="18"/>
              </w:rPr>
              <w:t>Claridad del esquema</w:t>
            </w:r>
          </w:p>
        </w:tc>
        <w:tc>
          <w:tcPr>
            <w:tcW w:w="1910" w:type="dxa"/>
            <w:shd w:val="clear" w:color="auto" w:fill="D9E2F3"/>
            <w:vAlign w:val="center"/>
          </w:tcPr>
          <w:p w14:paraId="77F47EB5" w14:textId="77777777" w:rsidR="00990B14" w:rsidRDefault="00000000">
            <w:pPr>
              <w:spacing w:before="20" w:after="20"/>
              <w:jc w:val="both"/>
            </w:pPr>
            <w:r>
              <w:rPr>
                <w:sz w:val="18"/>
                <w:szCs w:val="18"/>
              </w:rPr>
              <w:t>Presenta un esquema desordenado, sin jerarquía ni conectores.</w:t>
            </w:r>
          </w:p>
        </w:tc>
        <w:tc>
          <w:tcPr>
            <w:tcW w:w="1910" w:type="dxa"/>
            <w:shd w:val="clear" w:color="auto" w:fill="D9E2F3"/>
            <w:vAlign w:val="center"/>
          </w:tcPr>
          <w:p w14:paraId="79ADD445" w14:textId="77777777" w:rsidR="00990B14" w:rsidRDefault="00000000">
            <w:pPr>
              <w:spacing w:before="20" w:after="20"/>
              <w:jc w:val="both"/>
            </w:pPr>
            <w:r>
              <w:rPr>
                <w:sz w:val="18"/>
                <w:szCs w:val="18"/>
              </w:rPr>
              <w:t>Presenta un esquema ordenado, con jerarquía y conectores claros.</w:t>
            </w:r>
          </w:p>
        </w:tc>
        <w:tc>
          <w:tcPr>
            <w:tcW w:w="2120" w:type="dxa"/>
            <w:shd w:val="clear" w:color="auto" w:fill="D9E2F3"/>
            <w:vAlign w:val="center"/>
          </w:tcPr>
          <w:p w14:paraId="1CB55846" w14:textId="77777777" w:rsidR="00990B14" w:rsidRDefault="00000000">
            <w:pPr>
              <w:spacing w:before="20" w:after="20"/>
              <w:jc w:val="both"/>
            </w:pPr>
            <w:r>
              <w:rPr>
                <w:sz w:val="18"/>
                <w:szCs w:val="18"/>
              </w:rPr>
              <w:t>Presenta un esquema sintético y verificable, con fuentes citadas.</w:t>
            </w:r>
          </w:p>
        </w:tc>
      </w:tr>
      <w:tr w:rsidR="00990B14" w14:paraId="416436B9" w14:textId="77777777">
        <w:trPr>
          <w:cantSplit/>
          <w:jc w:val="center"/>
        </w:trPr>
        <w:tc>
          <w:tcPr>
            <w:tcW w:w="1635" w:type="dxa"/>
            <w:vMerge/>
            <w:shd w:val="clear" w:color="auto" w:fill="4472C4"/>
            <w:vAlign w:val="center"/>
          </w:tcPr>
          <w:p w14:paraId="7B187B4A" w14:textId="77777777" w:rsidR="00990B14" w:rsidRDefault="00990B14">
            <w:pPr>
              <w:spacing w:before="20" w:after="20"/>
            </w:pPr>
          </w:p>
        </w:tc>
        <w:tc>
          <w:tcPr>
            <w:tcW w:w="5650" w:type="dxa"/>
            <w:gridSpan w:val="3"/>
            <w:shd w:val="clear" w:color="auto" w:fill="D9E2F3"/>
            <w:vAlign w:val="center"/>
          </w:tcPr>
          <w:p w14:paraId="753ECDE0" w14:textId="77777777" w:rsidR="00990B14" w:rsidRDefault="00000000">
            <w:pPr>
              <w:keepNext/>
              <w:spacing w:before="20" w:after="20"/>
              <w:jc w:val="both"/>
            </w:pPr>
            <w:r>
              <w:rPr>
                <w:b/>
                <w:bCs/>
                <w:i/>
                <w:iCs/>
                <w:sz w:val="18"/>
                <w:szCs w:val="18"/>
              </w:rPr>
              <w:t xml:space="preserve">Producto 10: </w:t>
            </w:r>
            <w:r>
              <w:rPr>
                <w:sz w:val="18"/>
                <w:szCs w:val="18"/>
              </w:rPr>
              <w:t>Informe de evaluación de la eficacia del control interno, aplicando técnicas e instrumentos.</w:t>
            </w:r>
          </w:p>
        </w:tc>
        <w:tc>
          <w:tcPr>
            <w:tcW w:w="2120" w:type="dxa"/>
            <w:shd w:val="clear" w:color="auto" w:fill="D9E2F3"/>
            <w:vAlign w:val="center"/>
          </w:tcPr>
          <w:p w14:paraId="056CFE4B" w14:textId="77777777" w:rsidR="00990B14" w:rsidRDefault="00000000">
            <w:pPr>
              <w:spacing w:before="20" w:after="20"/>
              <w:jc w:val="center"/>
            </w:pPr>
            <w:r>
              <w:rPr>
                <w:b/>
                <w:bCs/>
                <w:sz w:val="18"/>
                <w:szCs w:val="18"/>
              </w:rPr>
              <w:t>4%</w:t>
            </w:r>
          </w:p>
        </w:tc>
      </w:tr>
      <w:tr w:rsidR="00990B14" w14:paraId="552FB050" w14:textId="77777777">
        <w:trPr>
          <w:cantSplit/>
          <w:jc w:val="center"/>
        </w:trPr>
        <w:tc>
          <w:tcPr>
            <w:tcW w:w="1635" w:type="dxa"/>
            <w:vMerge/>
            <w:shd w:val="clear" w:color="auto" w:fill="4472C4"/>
            <w:vAlign w:val="center"/>
          </w:tcPr>
          <w:p w14:paraId="3C9428E1" w14:textId="77777777" w:rsidR="00990B14" w:rsidRDefault="00990B14">
            <w:pPr>
              <w:spacing w:before="20" w:after="20"/>
            </w:pPr>
          </w:p>
        </w:tc>
        <w:tc>
          <w:tcPr>
            <w:tcW w:w="1830" w:type="dxa"/>
            <w:shd w:val="clear" w:color="auto" w:fill="4472C4"/>
            <w:vAlign w:val="center"/>
          </w:tcPr>
          <w:p w14:paraId="1AF11921"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2E5DD537"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60C96ABB"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2A107A47" w14:textId="77777777" w:rsidR="00990B14" w:rsidRDefault="00000000">
            <w:pPr>
              <w:keepNext/>
              <w:spacing w:before="20" w:after="20"/>
              <w:jc w:val="center"/>
            </w:pPr>
            <w:r>
              <w:rPr>
                <w:b/>
                <w:bCs/>
                <w:i/>
                <w:iCs/>
                <w:color w:val="FFFFFF"/>
                <w:sz w:val="18"/>
                <w:szCs w:val="18"/>
              </w:rPr>
              <w:t>Destacado (81–100)</w:t>
            </w:r>
          </w:p>
        </w:tc>
      </w:tr>
      <w:tr w:rsidR="00990B14" w14:paraId="557A2E80" w14:textId="77777777">
        <w:trPr>
          <w:cantSplit/>
          <w:jc w:val="center"/>
        </w:trPr>
        <w:tc>
          <w:tcPr>
            <w:tcW w:w="1635" w:type="dxa"/>
            <w:vMerge/>
            <w:shd w:val="clear" w:color="auto" w:fill="4472C4"/>
            <w:vAlign w:val="center"/>
          </w:tcPr>
          <w:p w14:paraId="218BC195" w14:textId="77777777" w:rsidR="00990B14" w:rsidRDefault="00990B14">
            <w:pPr>
              <w:spacing w:before="20" w:after="20"/>
            </w:pPr>
          </w:p>
        </w:tc>
        <w:tc>
          <w:tcPr>
            <w:tcW w:w="1830" w:type="dxa"/>
            <w:shd w:val="clear" w:color="auto" w:fill="D9E2F3"/>
            <w:vAlign w:val="center"/>
          </w:tcPr>
          <w:p w14:paraId="098E46C7" w14:textId="77777777" w:rsidR="00990B14" w:rsidRDefault="00000000">
            <w:pPr>
              <w:spacing w:before="20" w:after="20"/>
              <w:jc w:val="both"/>
            </w:pPr>
            <w:r>
              <w:rPr>
                <w:sz w:val="18"/>
                <w:szCs w:val="18"/>
              </w:rPr>
              <w:t>Técnicas e instrumentos</w:t>
            </w:r>
          </w:p>
        </w:tc>
        <w:tc>
          <w:tcPr>
            <w:tcW w:w="1910" w:type="dxa"/>
            <w:shd w:val="clear" w:color="auto" w:fill="D9E2F3"/>
            <w:vAlign w:val="center"/>
          </w:tcPr>
          <w:p w14:paraId="323DE502" w14:textId="77777777" w:rsidR="00990B14" w:rsidRDefault="00000000">
            <w:pPr>
              <w:spacing w:before="20" w:after="20"/>
              <w:jc w:val="both"/>
            </w:pPr>
            <w:r>
              <w:rPr>
                <w:sz w:val="18"/>
                <w:szCs w:val="18"/>
              </w:rPr>
              <w:t>Aplica instrumentos inadecuados o incompletos.</w:t>
            </w:r>
          </w:p>
        </w:tc>
        <w:tc>
          <w:tcPr>
            <w:tcW w:w="1910" w:type="dxa"/>
            <w:shd w:val="clear" w:color="auto" w:fill="D9E2F3"/>
            <w:vAlign w:val="center"/>
          </w:tcPr>
          <w:p w14:paraId="0B8757B8" w14:textId="77777777" w:rsidR="00990B14" w:rsidRDefault="00000000">
            <w:pPr>
              <w:spacing w:before="20" w:after="20"/>
              <w:jc w:val="both"/>
            </w:pPr>
            <w:r>
              <w:rPr>
                <w:sz w:val="18"/>
                <w:szCs w:val="18"/>
              </w:rPr>
              <w:t>Aplica correctamente cuestionarios, narrativas y flujogramas a los procesos evaluados.</w:t>
            </w:r>
          </w:p>
        </w:tc>
        <w:tc>
          <w:tcPr>
            <w:tcW w:w="2120" w:type="dxa"/>
            <w:shd w:val="clear" w:color="auto" w:fill="D9E2F3"/>
            <w:vAlign w:val="center"/>
          </w:tcPr>
          <w:p w14:paraId="623CE716" w14:textId="77777777" w:rsidR="00990B14" w:rsidRDefault="00000000">
            <w:pPr>
              <w:spacing w:before="20" w:after="20"/>
              <w:jc w:val="both"/>
            </w:pPr>
            <w:r>
              <w:rPr>
                <w:sz w:val="18"/>
                <w:szCs w:val="18"/>
              </w:rPr>
              <w:t>Justifica la selección de las técnicas según el riesgo de cada proceso.</w:t>
            </w:r>
          </w:p>
        </w:tc>
      </w:tr>
      <w:tr w:rsidR="00990B14" w14:paraId="112DFA37" w14:textId="77777777">
        <w:trPr>
          <w:cantSplit/>
          <w:jc w:val="center"/>
        </w:trPr>
        <w:tc>
          <w:tcPr>
            <w:tcW w:w="1635" w:type="dxa"/>
            <w:vMerge/>
            <w:shd w:val="clear" w:color="auto" w:fill="4472C4"/>
            <w:vAlign w:val="center"/>
          </w:tcPr>
          <w:p w14:paraId="4B56D9D6" w14:textId="77777777" w:rsidR="00990B14" w:rsidRDefault="00990B14">
            <w:pPr>
              <w:spacing w:before="20" w:after="20"/>
            </w:pPr>
          </w:p>
        </w:tc>
        <w:tc>
          <w:tcPr>
            <w:tcW w:w="1830" w:type="dxa"/>
            <w:shd w:val="clear" w:color="auto" w:fill="D9E2F3"/>
            <w:vAlign w:val="center"/>
          </w:tcPr>
          <w:p w14:paraId="5DEFD1D0" w14:textId="77777777" w:rsidR="00990B14" w:rsidRDefault="00000000">
            <w:pPr>
              <w:spacing w:before="20" w:after="20"/>
              <w:jc w:val="both"/>
            </w:pPr>
            <w:r>
              <w:rPr>
                <w:sz w:val="18"/>
                <w:szCs w:val="18"/>
              </w:rPr>
              <w:t>Nivel de eficacia</w:t>
            </w:r>
          </w:p>
        </w:tc>
        <w:tc>
          <w:tcPr>
            <w:tcW w:w="1910" w:type="dxa"/>
            <w:shd w:val="clear" w:color="auto" w:fill="D9E2F3"/>
            <w:vAlign w:val="center"/>
          </w:tcPr>
          <w:p w14:paraId="5451080E" w14:textId="77777777" w:rsidR="00990B14" w:rsidRDefault="00000000">
            <w:pPr>
              <w:spacing w:before="20" w:after="20"/>
              <w:jc w:val="both"/>
            </w:pPr>
            <w:r>
              <w:rPr>
                <w:sz w:val="18"/>
                <w:szCs w:val="18"/>
              </w:rPr>
              <w:t>No determina el nivel de eficacia o lo determina sin sustento.</w:t>
            </w:r>
          </w:p>
        </w:tc>
        <w:tc>
          <w:tcPr>
            <w:tcW w:w="1910" w:type="dxa"/>
            <w:shd w:val="clear" w:color="auto" w:fill="D9E2F3"/>
            <w:vAlign w:val="center"/>
          </w:tcPr>
          <w:p w14:paraId="43AEE5B7" w14:textId="77777777" w:rsidR="00990B14" w:rsidRDefault="00000000">
            <w:pPr>
              <w:spacing w:before="20" w:after="20"/>
              <w:jc w:val="both"/>
            </w:pPr>
            <w:r>
              <w:rPr>
                <w:sz w:val="18"/>
                <w:szCs w:val="18"/>
              </w:rPr>
              <w:t>Determina el nivel de eficacia de los controles y su contribución a los objetivos institucionales.</w:t>
            </w:r>
          </w:p>
        </w:tc>
        <w:tc>
          <w:tcPr>
            <w:tcW w:w="2120" w:type="dxa"/>
            <w:shd w:val="clear" w:color="auto" w:fill="D9E2F3"/>
            <w:vAlign w:val="center"/>
          </w:tcPr>
          <w:p w14:paraId="27AF7526" w14:textId="77777777" w:rsidR="00990B14" w:rsidRDefault="00000000">
            <w:pPr>
              <w:spacing w:before="20" w:after="20"/>
              <w:jc w:val="both"/>
            </w:pPr>
            <w:r>
              <w:rPr>
                <w:sz w:val="18"/>
                <w:szCs w:val="18"/>
              </w:rPr>
              <w:t>Analiza la relación entre las debilidades halladas y el logro de las metas, y sustenta la calificación del riesgo.</w:t>
            </w:r>
          </w:p>
        </w:tc>
      </w:tr>
      <w:tr w:rsidR="00990B14" w14:paraId="0ED326AA" w14:textId="77777777">
        <w:trPr>
          <w:cantSplit/>
          <w:jc w:val="center"/>
        </w:trPr>
        <w:tc>
          <w:tcPr>
            <w:tcW w:w="1635" w:type="dxa"/>
            <w:vMerge/>
            <w:shd w:val="clear" w:color="auto" w:fill="4472C4"/>
            <w:vAlign w:val="center"/>
          </w:tcPr>
          <w:p w14:paraId="2BE4C76E" w14:textId="77777777" w:rsidR="00990B14" w:rsidRDefault="00990B14">
            <w:pPr>
              <w:spacing w:before="20" w:after="20"/>
            </w:pPr>
          </w:p>
        </w:tc>
        <w:tc>
          <w:tcPr>
            <w:tcW w:w="1830" w:type="dxa"/>
            <w:shd w:val="clear" w:color="auto" w:fill="D9E2F3"/>
            <w:vAlign w:val="center"/>
          </w:tcPr>
          <w:p w14:paraId="02C38A53" w14:textId="77777777" w:rsidR="00990B14" w:rsidRDefault="00000000">
            <w:pPr>
              <w:spacing w:before="20" w:after="20"/>
              <w:jc w:val="both"/>
            </w:pPr>
            <w:r>
              <w:rPr>
                <w:sz w:val="18"/>
                <w:szCs w:val="18"/>
              </w:rPr>
              <w:t>Estructura del informe</w:t>
            </w:r>
          </w:p>
        </w:tc>
        <w:tc>
          <w:tcPr>
            <w:tcW w:w="1910" w:type="dxa"/>
            <w:shd w:val="clear" w:color="auto" w:fill="D9E2F3"/>
            <w:vAlign w:val="center"/>
          </w:tcPr>
          <w:p w14:paraId="229E50F2" w14:textId="77777777" w:rsidR="00990B14" w:rsidRDefault="00000000">
            <w:pPr>
              <w:spacing w:before="20" w:after="20"/>
              <w:jc w:val="both"/>
            </w:pPr>
            <w:r>
              <w:rPr>
                <w:sz w:val="18"/>
                <w:szCs w:val="18"/>
              </w:rPr>
              <w:t>Presenta un informe desorganizado y sin conclusiones.</w:t>
            </w:r>
          </w:p>
        </w:tc>
        <w:tc>
          <w:tcPr>
            <w:tcW w:w="1910" w:type="dxa"/>
            <w:shd w:val="clear" w:color="auto" w:fill="D9E2F3"/>
            <w:vAlign w:val="center"/>
          </w:tcPr>
          <w:p w14:paraId="2E940FA3" w14:textId="77777777" w:rsidR="00990B14" w:rsidRDefault="00000000">
            <w:pPr>
              <w:spacing w:before="20" w:after="20"/>
              <w:jc w:val="both"/>
            </w:pPr>
            <w:r>
              <w:rPr>
                <w:sz w:val="18"/>
                <w:szCs w:val="18"/>
              </w:rPr>
              <w:t>Presenta un informe con estructura completa y conclusiones.</w:t>
            </w:r>
          </w:p>
        </w:tc>
        <w:tc>
          <w:tcPr>
            <w:tcW w:w="2120" w:type="dxa"/>
            <w:shd w:val="clear" w:color="auto" w:fill="D9E2F3"/>
            <w:vAlign w:val="center"/>
          </w:tcPr>
          <w:p w14:paraId="0128A1C8" w14:textId="77777777" w:rsidR="00990B14" w:rsidRDefault="00000000">
            <w:pPr>
              <w:spacing w:before="20" w:after="20"/>
              <w:jc w:val="both"/>
            </w:pPr>
            <w:r>
              <w:rPr>
                <w:sz w:val="18"/>
                <w:szCs w:val="18"/>
              </w:rPr>
              <w:t>Presenta un informe claro y sustentado, con papeles de trabajo referenciados y reserva de la información.</w:t>
            </w:r>
          </w:p>
        </w:tc>
      </w:tr>
      <w:tr w:rsidR="00990B14" w14:paraId="5A00DC90" w14:textId="77777777">
        <w:trPr>
          <w:cantSplit/>
          <w:jc w:val="center"/>
        </w:trPr>
        <w:tc>
          <w:tcPr>
            <w:tcW w:w="1635" w:type="dxa"/>
            <w:vMerge/>
            <w:shd w:val="clear" w:color="auto" w:fill="4472C4"/>
            <w:vAlign w:val="center"/>
          </w:tcPr>
          <w:p w14:paraId="557EF34B" w14:textId="77777777" w:rsidR="00990B14" w:rsidRDefault="00990B14">
            <w:pPr>
              <w:spacing w:before="20" w:after="20"/>
            </w:pPr>
          </w:p>
        </w:tc>
        <w:tc>
          <w:tcPr>
            <w:tcW w:w="5650" w:type="dxa"/>
            <w:gridSpan w:val="3"/>
            <w:shd w:val="clear" w:color="auto" w:fill="D9E2F3"/>
            <w:vAlign w:val="center"/>
          </w:tcPr>
          <w:p w14:paraId="024857AF" w14:textId="77777777" w:rsidR="00990B14" w:rsidRDefault="00000000">
            <w:pPr>
              <w:keepNext/>
              <w:spacing w:before="20" w:after="20"/>
              <w:jc w:val="both"/>
            </w:pPr>
            <w:r>
              <w:rPr>
                <w:b/>
                <w:bCs/>
                <w:i/>
                <w:iCs/>
                <w:sz w:val="18"/>
                <w:szCs w:val="18"/>
              </w:rPr>
              <w:t xml:space="preserve">Producto 11: </w:t>
            </w:r>
            <w:r>
              <w:rPr>
                <w:sz w:val="18"/>
                <w:szCs w:val="18"/>
              </w:rPr>
              <w:t>Cuadro de deficiencias de control interno con sus atributos.</w:t>
            </w:r>
          </w:p>
        </w:tc>
        <w:tc>
          <w:tcPr>
            <w:tcW w:w="2120" w:type="dxa"/>
            <w:shd w:val="clear" w:color="auto" w:fill="D9E2F3"/>
            <w:vAlign w:val="center"/>
          </w:tcPr>
          <w:p w14:paraId="2C587EAF" w14:textId="77777777" w:rsidR="00990B14" w:rsidRDefault="00000000">
            <w:pPr>
              <w:spacing w:before="20" w:after="20"/>
              <w:jc w:val="center"/>
            </w:pPr>
            <w:r>
              <w:rPr>
                <w:b/>
                <w:bCs/>
                <w:sz w:val="18"/>
                <w:szCs w:val="18"/>
              </w:rPr>
              <w:t>4%</w:t>
            </w:r>
          </w:p>
        </w:tc>
      </w:tr>
      <w:tr w:rsidR="00990B14" w14:paraId="1D42C6C5" w14:textId="77777777">
        <w:trPr>
          <w:cantSplit/>
          <w:jc w:val="center"/>
        </w:trPr>
        <w:tc>
          <w:tcPr>
            <w:tcW w:w="1635" w:type="dxa"/>
            <w:vMerge/>
            <w:shd w:val="clear" w:color="auto" w:fill="4472C4"/>
            <w:vAlign w:val="center"/>
          </w:tcPr>
          <w:p w14:paraId="6E1A5AC0" w14:textId="77777777" w:rsidR="00990B14" w:rsidRDefault="00990B14">
            <w:pPr>
              <w:spacing w:before="20" w:after="20"/>
            </w:pPr>
          </w:p>
        </w:tc>
        <w:tc>
          <w:tcPr>
            <w:tcW w:w="1830" w:type="dxa"/>
            <w:shd w:val="clear" w:color="auto" w:fill="4472C4"/>
            <w:vAlign w:val="center"/>
          </w:tcPr>
          <w:p w14:paraId="04185ACF"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35606FC5"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4FACB7BA"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30112846" w14:textId="77777777" w:rsidR="00990B14" w:rsidRDefault="00000000">
            <w:pPr>
              <w:keepNext/>
              <w:spacing w:before="20" w:after="20"/>
              <w:jc w:val="center"/>
            </w:pPr>
            <w:r>
              <w:rPr>
                <w:b/>
                <w:bCs/>
                <w:i/>
                <w:iCs/>
                <w:color w:val="FFFFFF"/>
                <w:sz w:val="18"/>
                <w:szCs w:val="18"/>
              </w:rPr>
              <w:t>Destacado (81–100)</w:t>
            </w:r>
          </w:p>
        </w:tc>
      </w:tr>
      <w:tr w:rsidR="00990B14" w14:paraId="201A738E" w14:textId="77777777">
        <w:trPr>
          <w:cantSplit/>
          <w:jc w:val="center"/>
        </w:trPr>
        <w:tc>
          <w:tcPr>
            <w:tcW w:w="1635" w:type="dxa"/>
            <w:vMerge/>
            <w:shd w:val="clear" w:color="auto" w:fill="4472C4"/>
            <w:vAlign w:val="center"/>
          </w:tcPr>
          <w:p w14:paraId="25D03608" w14:textId="77777777" w:rsidR="00990B14" w:rsidRDefault="00990B14">
            <w:pPr>
              <w:spacing w:before="20" w:after="20"/>
            </w:pPr>
          </w:p>
        </w:tc>
        <w:tc>
          <w:tcPr>
            <w:tcW w:w="1830" w:type="dxa"/>
            <w:shd w:val="clear" w:color="auto" w:fill="D9E2F3"/>
            <w:vAlign w:val="center"/>
          </w:tcPr>
          <w:p w14:paraId="3FB588CE" w14:textId="77777777" w:rsidR="00990B14" w:rsidRDefault="00000000">
            <w:pPr>
              <w:spacing w:before="20" w:after="20"/>
              <w:jc w:val="both"/>
            </w:pPr>
            <w:r>
              <w:rPr>
                <w:sz w:val="18"/>
                <w:szCs w:val="18"/>
              </w:rPr>
              <w:t>Atributos de la deficiencia</w:t>
            </w:r>
          </w:p>
        </w:tc>
        <w:tc>
          <w:tcPr>
            <w:tcW w:w="1910" w:type="dxa"/>
            <w:shd w:val="clear" w:color="auto" w:fill="D9E2F3"/>
            <w:vAlign w:val="center"/>
          </w:tcPr>
          <w:p w14:paraId="324E0DA5" w14:textId="77777777" w:rsidR="00990B14" w:rsidRDefault="00000000">
            <w:pPr>
              <w:spacing w:before="20" w:after="20"/>
              <w:jc w:val="both"/>
            </w:pPr>
            <w:r>
              <w:rPr>
                <w:sz w:val="18"/>
                <w:szCs w:val="18"/>
              </w:rPr>
              <w:t>Omite uno o más atributos: condición, criterio, causa o efecto.</w:t>
            </w:r>
          </w:p>
        </w:tc>
        <w:tc>
          <w:tcPr>
            <w:tcW w:w="1910" w:type="dxa"/>
            <w:shd w:val="clear" w:color="auto" w:fill="D9E2F3"/>
            <w:vAlign w:val="center"/>
          </w:tcPr>
          <w:p w14:paraId="776E3F5D" w14:textId="77777777" w:rsidR="00990B14" w:rsidRDefault="00000000">
            <w:pPr>
              <w:spacing w:before="20" w:after="20"/>
              <w:jc w:val="both"/>
            </w:pPr>
            <w:r>
              <w:rPr>
                <w:sz w:val="18"/>
                <w:szCs w:val="18"/>
              </w:rPr>
              <w:t>Redacta los cuatro atributos de cada deficiencia de forma coherente.</w:t>
            </w:r>
          </w:p>
        </w:tc>
        <w:tc>
          <w:tcPr>
            <w:tcW w:w="2120" w:type="dxa"/>
            <w:shd w:val="clear" w:color="auto" w:fill="D9E2F3"/>
            <w:vAlign w:val="center"/>
          </w:tcPr>
          <w:p w14:paraId="5B81DD7A" w14:textId="77777777" w:rsidR="00990B14" w:rsidRDefault="00000000">
            <w:pPr>
              <w:spacing w:before="20" w:after="20"/>
              <w:jc w:val="both"/>
            </w:pPr>
            <w:r>
              <w:rPr>
                <w:sz w:val="18"/>
                <w:szCs w:val="18"/>
              </w:rPr>
              <w:t>Verifica la consistencia entre los atributos y sustenta la causa raíz.</w:t>
            </w:r>
          </w:p>
        </w:tc>
      </w:tr>
      <w:tr w:rsidR="00990B14" w14:paraId="76D9E08C" w14:textId="77777777">
        <w:trPr>
          <w:cantSplit/>
          <w:jc w:val="center"/>
        </w:trPr>
        <w:tc>
          <w:tcPr>
            <w:tcW w:w="1635" w:type="dxa"/>
            <w:vMerge/>
            <w:shd w:val="clear" w:color="auto" w:fill="4472C4"/>
            <w:vAlign w:val="center"/>
          </w:tcPr>
          <w:p w14:paraId="31CFC715" w14:textId="77777777" w:rsidR="00990B14" w:rsidRDefault="00990B14">
            <w:pPr>
              <w:spacing w:before="20" w:after="20"/>
            </w:pPr>
          </w:p>
        </w:tc>
        <w:tc>
          <w:tcPr>
            <w:tcW w:w="1830" w:type="dxa"/>
            <w:shd w:val="clear" w:color="auto" w:fill="D9E2F3"/>
            <w:vAlign w:val="center"/>
          </w:tcPr>
          <w:p w14:paraId="0B1548D3" w14:textId="77777777" w:rsidR="00990B14" w:rsidRDefault="00000000">
            <w:pPr>
              <w:spacing w:before="20" w:after="20"/>
              <w:jc w:val="both"/>
            </w:pPr>
            <w:r>
              <w:rPr>
                <w:sz w:val="18"/>
                <w:szCs w:val="18"/>
              </w:rPr>
              <w:t>Sustento normativo</w:t>
            </w:r>
          </w:p>
        </w:tc>
        <w:tc>
          <w:tcPr>
            <w:tcW w:w="1910" w:type="dxa"/>
            <w:shd w:val="clear" w:color="auto" w:fill="D9E2F3"/>
            <w:vAlign w:val="center"/>
          </w:tcPr>
          <w:p w14:paraId="4A97721C" w14:textId="77777777" w:rsidR="00990B14" w:rsidRDefault="00000000">
            <w:pPr>
              <w:spacing w:before="20" w:after="20"/>
              <w:jc w:val="both"/>
            </w:pPr>
            <w:r>
              <w:rPr>
                <w:sz w:val="18"/>
                <w:szCs w:val="18"/>
              </w:rPr>
              <w:t>Cita criterios que no corresponden a la deficiencia.</w:t>
            </w:r>
          </w:p>
        </w:tc>
        <w:tc>
          <w:tcPr>
            <w:tcW w:w="1910" w:type="dxa"/>
            <w:shd w:val="clear" w:color="auto" w:fill="D9E2F3"/>
            <w:vAlign w:val="center"/>
          </w:tcPr>
          <w:p w14:paraId="2F018380" w14:textId="77777777" w:rsidR="00990B14" w:rsidRDefault="00000000">
            <w:pPr>
              <w:spacing w:before="20" w:after="20"/>
              <w:jc w:val="both"/>
            </w:pPr>
            <w:r>
              <w:rPr>
                <w:sz w:val="18"/>
                <w:szCs w:val="18"/>
              </w:rPr>
              <w:t>Cita la norma, el reglamento o el manual vulnerado en cada deficiencia.</w:t>
            </w:r>
          </w:p>
        </w:tc>
        <w:tc>
          <w:tcPr>
            <w:tcW w:w="2120" w:type="dxa"/>
            <w:shd w:val="clear" w:color="auto" w:fill="D9E2F3"/>
            <w:vAlign w:val="center"/>
          </w:tcPr>
          <w:p w14:paraId="681E8B7B" w14:textId="77777777" w:rsidR="00990B14" w:rsidRDefault="00000000">
            <w:pPr>
              <w:spacing w:before="20" w:after="20"/>
              <w:jc w:val="both"/>
            </w:pPr>
            <w:r>
              <w:rPr>
                <w:sz w:val="18"/>
                <w:szCs w:val="18"/>
              </w:rPr>
              <w:t>Relaciona cada criterio con los principios de control interno gubernamental y jerarquiza su aplicación.</w:t>
            </w:r>
          </w:p>
        </w:tc>
      </w:tr>
      <w:tr w:rsidR="00990B14" w14:paraId="3EE517EC" w14:textId="77777777">
        <w:trPr>
          <w:cantSplit/>
          <w:jc w:val="center"/>
        </w:trPr>
        <w:tc>
          <w:tcPr>
            <w:tcW w:w="1635" w:type="dxa"/>
            <w:vMerge/>
            <w:shd w:val="clear" w:color="auto" w:fill="4472C4"/>
            <w:vAlign w:val="center"/>
          </w:tcPr>
          <w:p w14:paraId="1F884629" w14:textId="77777777" w:rsidR="00990B14" w:rsidRDefault="00990B14">
            <w:pPr>
              <w:spacing w:before="20" w:after="20"/>
            </w:pPr>
          </w:p>
        </w:tc>
        <w:tc>
          <w:tcPr>
            <w:tcW w:w="1830" w:type="dxa"/>
            <w:shd w:val="clear" w:color="auto" w:fill="D9E2F3"/>
            <w:vAlign w:val="center"/>
          </w:tcPr>
          <w:p w14:paraId="49F84A91" w14:textId="77777777" w:rsidR="00990B14" w:rsidRDefault="00000000">
            <w:pPr>
              <w:spacing w:before="20" w:after="20"/>
              <w:jc w:val="both"/>
            </w:pPr>
            <w:r>
              <w:rPr>
                <w:sz w:val="18"/>
                <w:szCs w:val="18"/>
              </w:rPr>
              <w:t>Priorización</w:t>
            </w:r>
          </w:p>
        </w:tc>
        <w:tc>
          <w:tcPr>
            <w:tcW w:w="1910" w:type="dxa"/>
            <w:shd w:val="clear" w:color="auto" w:fill="D9E2F3"/>
            <w:vAlign w:val="center"/>
          </w:tcPr>
          <w:p w14:paraId="555174F1" w14:textId="77777777" w:rsidR="00990B14" w:rsidRDefault="00000000">
            <w:pPr>
              <w:spacing w:before="20" w:after="20"/>
              <w:jc w:val="both"/>
            </w:pPr>
            <w:r>
              <w:rPr>
                <w:sz w:val="18"/>
                <w:szCs w:val="18"/>
              </w:rPr>
              <w:t>No clasifica ni prioriza las deficiencias.</w:t>
            </w:r>
          </w:p>
        </w:tc>
        <w:tc>
          <w:tcPr>
            <w:tcW w:w="1910" w:type="dxa"/>
            <w:shd w:val="clear" w:color="auto" w:fill="D9E2F3"/>
            <w:vAlign w:val="center"/>
          </w:tcPr>
          <w:p w14:paraId="31001A58" w14:textId="77777777" w:rsidR="00990B14" w:rsidRDefault="00000000">
            <w:pPr>
              <w:spacing w:before="20" w:after="20"/>
              <w:jc w:val="both"/>
            </w:pPr>
            <w:r>
              <w:rPr>
                <w:sz w:val="18"/>
                <w:szCs w:val="18"/>
              </w:rPr>
              <w:t>Clasifica las deficiencias por componente de control.</w:t>
            </w:r>
          </w:p>
        </w:tc>
        <w:tc>
          <w:tcPr>
            <w:tcW w:w="2120" w:type="dxa"/>
            <w:shd w:val="clear" w:color="auto" w:fill="D9E2F3"/>
            <w:vAlign w:val="center"/>
          </w:tcPr>
          <w:p w14:paraId="6BFF5ECF" w14:textId="77777777" w:rsidR="00990B14" w:rsidRDefault="00000000">
            <w:pPr>
              <w:spacing w:before="20" w:after="20"/>
              <w:jc w:val="both"/>
            </w:pPr>
            <w:r>
              <w:rPr>
                <w:sz w:val="18"/>
                <w:szCs w:val="18"/>
              </w:rPr>
              <w:t>Prioriza las deficiencias por impacto y probabilidad, y justifica su orden.</w:t>
            </w:r>
          </w:p>
        </w:tc>
      </w:tr>
      <w:tr w:rsidR="00990B14" w14:paraId="3E3A82CB" w14:textId="77777777">
        <w:trPr>
          <w:cantSplit/>
          <w:jc w:val="center"/>
        </w:trPr>
        <w:tc>
          <w:tcPr>
            <w:tcW w:w="1635" w:type="dxa"/>
            <w:vMerge/>
            <w:shd w:val="clear" w:color="auto" w:fill="4472C4"/>
            <w:vAlign w:val="center"/>
          </w:tcPr>
          <w:p w14:paraId="75D381C9" w14:textId="77777777" w:rsidR="00990B14" w:rsidRDefault="00990B14">
            <w:pPr>
              <w:spacing w:before="20" w:after="20"/>
            </w:pPr>
          </w:p>
        </w:tc>
        <w:tc>
          <w:tcPr>
            <w:tcW w:w="5650" w:type="dxa"/>
            <w:gridSpan w:val="3"/>
            <w:shd w:val="clear" w:color="auto" w:fill="D9E2F3"/>
            <w:vAlign w:val="center"/>
          </w:tcPr>
          <w:p w14:paraId="4E27000B" w14:textId="77777777" w:rsidR="00990B14" w:rsidRDefault="00000000">
            <w:pPr>
              <w:keepNext/>
              <w:spacing w:before="20" w:after="20"/>
              <w:jc w:val="both"/>
            </w:pPr>
            <w:r>
              <w:rPr>
                <w:b/>
                <w:bCs/>
                <w:i/>
                <w:iCs/>
                <w:sz w:val="18"/>
                <w:szCs w:val="18"/>
              </w:rPr>
              <w:t xml:space="preserve">Producto 12: </w:t>
            </w:r>
            <w:r>
              <w:rPr>
                <w:sz w:val="18"/>
                <w:szCs w:val="18"/>
              </w:rPr>
              <w:t>Informe de control interno con conclusiones y recomendaciones.</w:t>
            </w:r>
          </w:p>
        </w:tc>
        <w:tc>
          <w:tcPr>
            <w:tcW w:w="2120" w:type="dxa"/>
            <w:shd w:val="clear" w:color="auto" w:fill="D9E2F3"/>
            <w:vAlign w:val="center"/>
          </w:tcPr>
          <w:p w14:paraId="493981EF" w14:textId="77777777" w:rsidR="00990B14" w:rsidRDefault="00000000">
            <w:pPr>
              <w:spacing w:before="20" w:after="20"/>
              <w:jc w:val="center"/>
            </w:pPr>
            <w:r>
              <w:rPr>
                <w:b/>
                <w:bCs/>
                <w:sz w:val="18"/>
                <w:szCs w:val="18"/>
              </w:rPr>
              <w:t>4%</w:t>
            </w:r>
          </w:p>
        </w:tc>
      </w:tr>
      <w:tr w:rsidR="00990B14" w14:paraId="6F1807B2" w14:textId="77777777">
        <w:trPr>
          <w:cantSplit/>
          <w:jc w:val="center"/>
        </w:trPr>
        <w:tc>
          <w:tcPr>
            <w:tcW w:w="1635" w:type="dxa"/>
            <w:vMerge/>
            <w:shd w:val="clear" w:color="auto" w:fill="4472C4"/>
            <w:vAlign w:val="center"/>
          </w:tcPr>
          <w:p w14:paraId="65B87ED5" w14:textId="77777777" w:rsidR="00990B14" w:rsidRDefault="00990B14">
            <w:pPr>
              <w:spacing w:before="20" w:after="20"/>
            </w:pPr>
          </w:p>
        </w:tc>
        <w:tc>
          <w:tcPr>
            <w:tcW w:w="1830" w:type="dxa"/>
            <w:shd w:val="clear" w:color="auto" w:fill="4472C4"/>
            <w:vAlign w:val="center"/>
          </w:tcPr>
          <w:p w14:paraId="71E6B074"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3A0C54BE"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061BC795"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72C44856" w14:textId="77777777" w:rsidR="00990B14" w:rsidRDefault="00000000">
            <w:pPr>
              <w:keepNext/>
              <w:spacing w:before="20" w:after="20"/>
              <w:jc w:val="center"/>
            </w:pPr>
            <w:r>
              <w:rPr>
                <w:b/>
                <w:bCs/>
                <w:i/>
                <w:iCs/>
                <w:color w:val="FFFFFF"/>
                <w:sz w:val="18"/>
                <w:szCs w:val="18"/>
              </w:rPr>
              <w:t>Destacado (81–100)</w:t>
            </w:r>
          </w:p>
        </w:tc>
      </w:tr>
      <w:tr w:rsidR="00990B14" w14:paraId="1DAC5915" w14:textId="77777777">
        <w:trPr>
          <w:cantSplit/>
          <w:jc w:val="center"/>
        </w:trPr>
        <w:tc>
          <w:tcPr>
            <w:tcW w:w="1635" w:type="dxa"/>
            <w:vMerge/>
            <w:shd w:val="clear" w:color="auto" w:fill="4472C4"/>
            <w:vAlign w:val="center"/>
          </w:tcPr>
          <w:p w14:paraId="07EC2CA2" w14:textId="77777777" w:rsidR="00990B14" w:rsidRDefault="00990B14">
            <w:pPr>
              <w:spacing w:before="20" w:after="20"/>
            </w:pPr>
          </w:p>
        </w:tc>
        <w:tc>
          <w:tcPr>
            <w:tcW w:w="1830" w:type="dxa"/>
            <w:shd w:val="clear" w:color="auto" w:fill="D9E2F3"/>
            <w:vAlign w:val="center"/>
          </w:tcPr>
          <w:p w14:paraId="0A78E4CC" w14:textId="77777777" w:rsidR="00990B14" w:rsidRDefault="00000000">
            <w:pPr>
              <w:spacing w:before="20" w:after="20"/>
              <w:jc w:val="both"/>
            </w:pPr>
            <w:r>
              <w:rPr>
                <w:sz w:val="18"/>
                <w:szCs w:val="18"/>
              </w:rPr>
              <w:t>Observaciones sustentadas</w:t>
            </w:r>
          </w:p>
        </w:tc>
        <w:tc>
          <w:tcPr>
            <w:tcW w:w="1910" w:type="dxa"/>
            <w:shd w:val="clear" w:color="auto" w:fill="D9E2F3"/>
            <w:vAlign w:val="center"/>
          </w:tcPr>
          <w:p w14:paraId="5AEE2473" w14:textId="77777777" w:rsidR="00990B14" w:rsidRDefault="00000000">
            <w:pPr>
              <w:spacing w:before="20" w:after="20"/>
              <w:jc w:val="both"/>
            </w:pPr>
            <w:r>
              <w:rPr>
                <w:sz w:val="18"/>
                <w:szCs w:val="18"/>
              </w:rPr>
              <w:t>Redacta observaciones sin respaldo documental ni norma.</w:t>
            </w:r>
          </w:p>
        </w:tc>
        <w:tc>
          <w:tcPr>
            <w:tcW w:w="1910" w:type="dxa"/>
            <w:shd w:val="clear" w:color="auto" w:fill="D9E2F3"/>
            <w:vAlign w:val="center"/>
          </w:tcPr>
          <w:p w14:paraId="7CF92E69" w14:textId="77777777" w:rsidR="00990B14" w:rsidRDefault="00000000">
            <w:pPr>
              <w:spacing w:before="20" w:after="20"/>
              <w:jc w:val="both"/>
            </w:pPr>
            <w:r>
              <w:rPr>
                <w:sz w:val="18"/>
                <w:szCs w:val="18"/>
              </w:rPr>
              <w:t>Redacta observaciones con respaldo documental y marco normativo.</w:t>
            </w:r>
          </w:p>
        </w:tc>
        <w:tc>
          <w:tcPr>
            <w:tcW w:w="2120" w:type="dxa"/>
            <w:shd w:val="clear" w:color="auto" w:fill="D9E2F3"/>
            <w:vAlign w:val="center"/>
          </w:tcPr>
          <w:p w14:paraId="7E765BCA" w14:textId="77777777" w:rsidR="00990B14" w:rsidRDefault="00000000">
            <w:pPr>
              <w:spacing w:before="20" w:after="20"/>
              <w:jc w:val="both"/>
            </w:pPr>
            <w:r>
              <w:rPr>
                <w:sz w:val="18"/>
                <w:szCs w:val="18"/>
              </w:rPr>
              <w:t>Argumenta cada observación con evidencia verificada y explica sus efectos en la entidad.</w:t>
            </w:r>
          </w:p>
        </w:tc>
      </w:tr>
      <w:tr w:rsidR="00990B14" w14:paraId="382B22FA" w14:textId="77777777">
        <w:trPr>
          <w:cantSplit/>
          <w:jc w:val="center"/>
        </w:trPr>
        <w:tc>
          <w:tcPr>
            <w:tcW w:w="1635" w:type="dxa"/>
            <w:vMerge/>
            <w:shd w:val="clear" w:color="auto" w:fill="4472C4"/>
            <w:vAlign w:val="center"/>
          </w:tcPr>
          <w:p w14:paraId="77E2487A" w14:textId="77777777" w:rsidR="00990B14" w:rsidRDefault="00990B14">
            <w:pPr>
              <w:spacing w:before="20" w:after="20"/>
            </w:pPr>
          </w:p>
        </w:tc>
        <w:tc>
          <w:tcPr>
            <w:tcW w:w="1830" w:type="dxa"/>
            <w:shd w:val="clear" w:color="auto" w:fill="D9E2F3"/>
            <w:vAlign w:val="center"/>
          </w:tcPr>
          <w:p w14:paraId="3F0365F5" w14:textId="77777777" w:rsidR="00990B14" w:rsidRDefault="00000000">
            <w:pPr>
              <w:spacing w:before="20" w:after="20"/>
              <w:jc w:val="both"/>
            </w:pPr>
            <w:r>
              <w:rPr>
                <w:sz w:val="18"/>
                <w:szCs w:val="18"/>
              </w:rPr>
              <w:t>Recomendaciones viables</w:t>
            </w:r>
          </w:p>
        </w:tc>
        <w:tc>
          <w:tcPr>
            <w:tcW w:w="1910" w:type="dxa"/>
            <w:shd w:val="clear" w:color="auto" w:fill="D9E2F3"/>
            <w:vAlign w:val="center"/>
          </w:tcPr>
          <w:p w14:paraId="006B48BE" w14:textId="77777777" w:rsidR="00990B14" w:rsidRDefault="00000000">
            <w:pPr>
              <w:spacing w:before="20" w:after="20"/>
              <w:jc w:val="both"/>
            </w:pPr>
            <w:r>
              <w:rPr>
                <w:sz w:val="18"/>
                <w:szCs w:val="18"/>
              </w:rPr>
              <w:t>Formula recomendaciones genéricas o inaplicables.</w:t>
            </w:r>
          </w:p>
        </w:tc>
        <w:tc>
          <w:tcPr>
            <w:tcW w:w="1910" w:type="dxa"/>
            <w:shd w:val="clear" w:color="auto" w:fill="D9E2F3"/>
            <w:vAlign w:val="center"/>
          </w:tcPr>
          <w:p w14:paraId="2ED2413E" w14:textId="77777777" w:rsidR="00990B14" w:rsidRDefault="00000000">
            <w:pPr>
              <w:spacing w:before="20" w:after="20"/>
              <w:jc w:val="both"/>
            </w:pPr>
            <w:r>
              <w:rPr>
                <w:sz w:val="18"/>
                <w:szCs w:val="18"/>
              </w:rPr>
              <w:t>Formula recomendaciones concretas, dirigidas a los responsables.</w:t>
            </w:r>
          </w:p>
        </w:tc>
        <w:tc>
          <w:tcPr>
            <w:tcW w:w="2120" w:type="dxa"/>
            <w:shd w:val="clear" w:color="auto" w:fill="D9E2F3"/>
            <w:vAlign w:val="center"/>
          </w:tcPr>
          <w:p w14:paraId="531DC569" w14:textId="77777777" w:rsidR="00990B14" w:rsidRDefault="00000000">
            <w:pPr>
              <w:spacing w:before="20" w:after="20"/>
              <w:jc w:val="both"/>
            </w:pPr>
            <w:r>
              <w:rPr>
                <w:sz w:val="18"/>
                <w:szCs w:val="18"/>
              </w:rPr>
              <w:t>Propone acciones con responsables, plazos e indicadores de seguimiento.</w:t>
            </w:r>
          </w:p>
        </w:tc>
      </w:tr>
      <w:tr w:rsidR="00990B14" w14:paraId="6B9C2D02" w14:textId="77777777">
        <w:trPr>
          <w:cantSplit/>
          <w:jc w:val="center"/>
        </w:trPr>
        <w:tc>
          <w:tcPr>
            <w:tcW w:w="1635" w:type="dxa"/>
            <w:vMerge/>
            <w:shd w:val="clear" w:color="auto" w:fill="4472C4"/>
            <w:vAlign w:val="center"/>
          </w:tcPr>
          <w:p w14:paraId="69E99A19" w14:textId="77777777" w:rsidR="00990B14" w:rsidRDefault="00990B14">
            <w:pPr>
              <w:spacing w:before="20" w:after="20"/>
            </w:pPr>
          </w:p>
        </w:tc>
        <w:tc>
          <w:tcPr>
            <w:tcW w:w="1830" w:type="dxa"/>
            <w:shd w:val="clear" w:color="auto" w:fill="D9E2F3"/>
            <w:vAlign w:val="center"/>
          </w:tcPr>
          <w:p w14:paraId="41C9A3A6" w14:textId="77777777" w:rsidR="00990B14" w:rsidRDefault="00000000">
            <w:pPr>
              <w:spacing w:before="20" w:after="20"/>
              <w:jc w:val="both"/>
            </w:pPr>
            <w:r>
              <w:rPr>
                <w:sz w:val="18"/>
                <w:szCs w:val="18"/>
              </w:rPr>
              <w:t>Redacción objetiva</w:t>
            </w:r>
          </w:p>
        </w:tc>
        <w:tc>
          <w:tcPr>
            <w:tcW w:w="1910" w:type="dxa"/>
            <w:shd w:val="clear" w:color="auto" w:fill="D9E2F3"/>
            <w:vAlign w:val="center"/>
          </w:tcPr>
          <w:p w14:paraId="6F97E6BA" w14:textId="77777777" w:rsidR="00990B14" w:rsidRDefault="00000000">
            <w:pPr>
              <w:spacing w:before="20" w:after="20"/>
              <w:jc w:val="both"/>
            </w:pPr>
            <w:r>
              <w:rPr>
                <w:sz w:val="18"/>
                <w:szCs w:val="18"/>
              </w:rPr>
              <w:t>Redacta con lenguaje confuso o con juicios personales.</w:t>
            </w:r>
          </w:p>
        </w:tc>
        <w:tc>
          <w:tcPr>
            <w:tcW w:w="1910" w:type="dxa"/>
            <w:shd w:val="clear" w:color="auto" w:fill="D9E2F3"/>
            <w:vAlign w:val="center"/>
          </w:tcPr>
          <w:p w14:paraId="317B5C17" w14:textId="77777777" w:rsidR="00990B14" w:rsidRDefault="00000000">
            <w:pPr>
              <w:spacing w:before="20" w:after="20"/>
              <w:jc w:val="both"/>
            </w:pPr>
            <w:r>
              <w:rPr>
                <w:sz w:val="18"/>
                <w:szCs w:val="18"/>
              </w:rPr>
              <w:t>Redacta con claridad y objetividad.</w:t>
            </w:r>
          </w:p>
        </w:tc>
        <w:tc>
          <w:tcPr>
            <w:tcW w:w="2120" w:type="dxa"/>
            <w:shd w:val="clear" w:color="auto" w:fill="D9E2F3"/>
            <w:vAlign w:val="center"/>
          </w:tcPr>
          <w:p w14:paraId="6488B532" w14:textId="77777777" w:rsidR="00990B14" w:rsidRDefault="00000000">
            <w:pPr>
              <w:spacing w:before="20" w:after="20"/>
              <w:jc w:val="both"/>
            </w:pPr>
            <w:r>
              <w:rPr>
                <w:sz w:val="18"/>
                <w:szCs w:val="18"/>
              </w:rPr>
              <w:t>Redacta con claridad, objetividad, tono constructivo e independencia profesional.</w:t>
            </w:r>
          </w:p>
        </w:tc>
      </w:tr>
      <w:tr w:rsidR="00990B14" w14:paraId="597B28ED" w14:textId="77777777">
        <w:trPr>
          <w:cantSplit/>
          <w:jc w:val="center"/>
        </w:trPr>
        <w:tc>
          <w:tcPr>
            <w:tcW w:w="1635" w:type="dxa"/>
            <w:vMerge/>
            <w:shd w:val="clear" w:color="auto" w:fill="4472C4"/>
            <w:vAlign w:val="center"/>
          </w:tcPr>
          <w:p w14:paraId="61778A81" w14:textId="77777777" w:rsidR="00990B14" w:rsidRDefault="00990B14">
            <w:pPr>
              <w:spacing w:before="20" w:after="20"/>
            </w:pPr>
          </w:p>
        </w:tc>
        <w:tc>
          <w:tcPr>
            <w:tcW w:w="5650" w:type="dxa"/>
            <w:gridSpan w:val="3"/>
            <w:shd w:val="clear" w:color="auto" w:fill="D9E2F3"/>
            <w:vAlign w:val="center"/>
          </w:tcPr>
          <w:p w14:paraId="42095C8B" w14:textId="77777777" w:rsidR="00990B14" w:rsidRDefault="00000000">
            <w:pPr>
              <w:keepNext/>
              <w:spacing w:before="20" w:after="20"/>
              <w:jc w:val="both"/>
            </w:pPr>
            <w:r>
              <w:rPr>
                <w:b/>
                <w:bCs/>
                <w:i/>
                <w:iCs/>
                <w:sz w:val="18"/>
                <w:szCs w:val="18"/>
              </w:rPr>
              <w:t xml:space="preserve">Producto 13: </w:t>
            </w:r>
            <w:r>
              <w:rPr>
                <w:sz w:val="18"/>
                <w:szCs w:val="18"/>
              </w:rPr>
              <w:t>Documentos de relevamiento de información: cuadros, reportes, análisis vertical y horizontal, evaluación de control interno y otros.</w:t>
            </w:r>
          </w:p>
        </w:tc>
        <w:tc>
          <w:tcPr>
            <w:tcW w:w="2120" w:type="dxa"/>
            <w:shd w:val="clear" w:color="auto" w:fill="D9E2F3"/>
            <w:vAlign w:val="center"/>
          </w:tcPr>
          <w:p w14:paraId="7C3006A0" w14:textId="77777777" w:rsidR="00990B14" w:rsidRDefault="00000000">
            <w:pPr>
              <w:spacing w:before="20" w:after="20"/>
              <w:jc w:val="center"/>
            </w:pPr>
            <w:r>
              <w:rPr>
                <w:b/>
                <w:bCs/>
                <w:sz w:val="18"/>
                <w:szCs w:val="18"/>
              </w:rPr>
              <w:t>5%</w:t>
            </w:r>
          </w:p>
        </w:tc>
      </w:tr>
      <w:tr w:rsidR="00990B14" w14:paraId="7E4E9395" w14:textId="77777777">
        <w:trPr>
          <w:cantSplit/>
          <w:jc w:val="center"/>
        </w:trPr>
        <w:tc>
          <w:tcPr>
            <w:tcW w:w="1635" w:type="dxa"/>
            <w:vMerge/>
            <w:shd w:val="clear" w:color="auto" w:fill="4472C4"/>
            <w:vAlign w:val="center"/>
          </w:tcPr>
          <w:p w14:paraId="64DDEF3A" w14:textId="77777777" w:rsidR="00990B14" w:rsidRDefault="00990B14">
            <w:pPr>
              <w:spacing w:before="20" w:after="20"/>
            </w:pPr>
          </w:p>
        </w:tc>
        <w:tc>
          <w:tcPr>
            <w:tcW w:w="1830" w:type="dxa"/>
            <w:shd w:val="clear" w:color="auto" w:fill="4472C4"/>
            <w:vAlign w:val="center"/>
          </w:tcPr>
          <w:p w14:paraId="312F69D3"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02FB90C2"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07ED126F"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2CE8E965" w14:textId="77777777" w:rsidR="00990B14" w:rsidRDefault="00000000">
            <w:pPr>
              <w:keepNext/>
              <w:spacing w:before="20" w:after="20"/>
              <w:jc w:val="center"/>
            </w:pPr>
            <w:r>
              <w:rPr>
                <w:b/>
                <w:bCs/>
                <w:i/>
                <w:iCs/>
                <w:color w:val="FFFFFF"/>
                <w:sz w:val="18"/>
                <w:szCs w:val="18"/>
              </w:rPr>
              <w:t>Destacado (81–100)</w:t>
            </w:r>
          </w:p>
        </w:tc>
      </w:tr>
      <w:tr w:rsidR="00990B14" w14:paraId="26EF2532" w14:textId="77777777">
        <w:trPr>
          <w:cantSplit/>
          <w:jc w:val="center"/>
        </w:trPr>
        <w:tc>
          <w:tcPr>
            <w:tcW w:w="1635" w:type="dxa"/>
            <w:vMerge/>
            <w:shd w:val="clear" w:color="auto" w:fill="4472C4"/>
            <w:vAlign w:val="center"/>
          </w:tcPr>
          <w:p w14:paraId="2780AC29" w14:textId="77777777" w:rsidR="00990B14" w:rsidRDefault="00990B14">
            <w:pPr>
              <w:spacing w:before="20" w:after="20"/>
            </w:pPr>
          </w:p>
        </w:tc>
        <w:tc>
          <w:tcPr>
            <w:tcW w:w="1830" w:type="dxa"/>
            <w:shd w:val="clear" w:color="auto" w:fill="D9E2F3"/>
            <w:vAlign w:val="center"/>
          </w:tcPr>
          <w:p w14:paraId="0E5967DB" w14:textId="77777777" w:rsidR="00990B14" w:rsidRDefault="00000000">
            <w:pPr>
              <w:spacing w:before="20" w:after="20"/>
              <w:jc w:val="both"/>
            </w:pPr>
            <w:r>
              <w:rPr>
                <w:sz w:val="18"/>
                <w:szCs w:val="18"/>
              </w:rPr>
              <w:t>Conocimiento de la entidad</w:t>
            </w:r>
          </w:p>
        </w:tc>
        <w:tc>
          <w:tcPr>
            <w:tcW w:w="1910" w:type="dxa"/>
            <w:shd w:val="clear" w:color="auto" w:fill="D9E2F3"/>
            <w:vAlign w:val="center"/>
          </w:tcPr>
          <w:p w14:paraId="16F1F090" w14:textId="77777777" w:rsidR="00990B14" w:rsidRDefault="00000000">
            <w:pPr>
              <w:spacing w:before="20" w:after="20"/>
              <w:jc w:val="both"/>
            </w:pPr>
            <w:r>
              <w:rPr>
                <w:sz w:val="18"/>
                <w:szCs w:val="18"/>
              </w:rPr>
              <w:t>Omite aspectos de la estructura, las operaciones o el marco legal de la entidad.</w:t>
            </w:r>
          </w:p>
        </w:tc>
        <w:tc>
          <w:tcPr>
            <w:tcW w:w="1910" w:type="dxa"/>
            <w:shd w:val="clear" w:color="auto" w:fill="D9E2F3"/>
            <w:vAlign w:val="center"/>
          </w:tcPr>
          <w:p w14:paraId="5AA67A09" w14:textId="77777777" w:rsidR="00990B14" w:rsidRDefault="00000000">
            <w:pPr>
              <w:spacing w:before="20" w:after="20"/>
              <w:jc w:val="both"/>
            </w:pPr>
            <w:r>
              <w:rPr>
                <w:sz w:val="18"/>
                <w:szCs w:val="18"/>
              </w:rPr>
              <w:t>Describe la entidad, su estructura, sus operaciones y su marco legal.</w:t>
            </w:r>
          </w:p>
        </w:tc>
        <w:tc>
          <w:tcPr>
            <w:tcW w:w="2120" w:type="dxa"/>
            <w:shd w:val="clear" w:color="auto" w:fill="D9E2F3"/>
            <w:vAlign w:val="center"/>
          </w:tcPr>
          <w:p w14:paraId="3FA48E2D" w14:textId="77777777" w:rsidR="00990B14" w:rsidRDefault="00000000">
            <w:pPr>
              <w:spacing w:before="20" w:after="20"/>
              <w:jc w:val="both"/>
            </w:pPr>
            <w:r>
              <w:rPr>
                <w:sz w:val="18"/>
                <w:szCs w:val="18"/>
              </w:rPr>
              <w:t>Relaciona las características de la entidad con los riesgos de auditoría.</w:t>
            </w:r>
          </w:p>
        </w:tc>
      </w:tr>
      <w:tr w:rsidR="00990B14" w14:paraId="5BEB7866" w14:textId="77777777">
        <w:trPr>
          <w:cantSplit/>
          <w:jc w:val="center"/>
        </w:trPr>
        <w:tc>
          <w:tcPr>
            <w:tcW w:w="1635" w:type="dxa"/>
            <w:vMerge/>
            <w:shd w:val="clear" w:color="auto" w:fill="4472C4"/>
            <w:vAlign w:val="center"/>
          </w:tcPr>
          <w:p w14:paraId="3F72C8A1" w14:textId="77777777" w:rsidR="00990B14" w:rsidRDefault="00990B14">
            <w:pPr>
              <w:spacing w:before="20" w:after="20"/>
            </w:pPr>
          </w:p>
        </w:tc>
        <w:tc>
          <w:tcPr>
            <w:tcW w:w="1830" w:type="dxa"/>
            <w:shd w:val="clear" w:color="auto" w:fill="D9E2F3"/>
            <w:vAlign w:val="center"/>
          </w:tcPr>
          <w:p w14:paraId="31879DAF" w14:textId="77777777" w:rsidR="00990B14" w:rsidRDefault="00000000">
            <w:pPr>
              <w:spacing w:before="20" w:after="20"/>
              <w:jc w:val="both"/>
            </w:pPr>
            <w:r>
              <w:rPr>
                <w:sz w:val="18"/>
                <w:szCs w:val="18"/>
              </w:rPr>
              <w:t>Análisis financiero</w:t>
            </w:r>
          </w:p>
        </w:tc>
        <w:tc>
          <w:tcPr>
            <w:tcW w:w="1910" w:type="dxa"/>
            <w:shd w:val="clear" w:color="auto" w:fill="D9E2F3"/>
            <w:vAlign w:val="center"/>
          </w:tcPr>
          <w:p w14:paraId="3AB90A35" w14:textId="77777777" w:rsidR="00990B14" w:rsidRDefault="00000000">
            <w:pPr>
              <w:spacing w:before="20" w:after="20"/>
              <w:jc w:val="both"/>
            </w:pPr>
            <w:r>
              <w:rPr>
                <w:sz w:val="18"/>
                <w:szCs w:val="18"/>
              </w:rPr>
              <w:t>Calcula erróneamente las variaciones vertical y horizontal.</w:t>
            </w:r>
          </w:p>
        </w:tc>
        <w:tc>
          <w:tcPr>
            <w:tcW w:w="1910" w:type="dxa"/>
            <w:shd w:val="clear" w:color="auto" w:fill="D9E2F3"/>
            <w:vAlign w:val="center"/>
          </w:tcPr>
          <w:p w14:paraId="67C95F9B" w14:textId="77777777" w:rsidR="00990B14" w:rsidRDefault="00000000">
            <w:pPr>
              <w:spacing w:before="20" w:after="20"/>
              <w:jc w:val="both"/>
            </w:pPr>
            <w:r>
              <w:rPr>
                <w:sz w:val="18"/>
                <w:szCs w:val="18"/>
              </w:rPr>
              <w:t>Calcula correctamente el análisis vertical y horizontal de los estados financieros.</w:t>
            </w:r>
          </w:p>
        </w:tc>
        <w:tc>
          <w:tcPr>
            <w:tcW w:w="2120" w:type="dxa"/>
            <w:shd w:val="clear" w:color="auto" w:fill="D9E2F3"/>
            <w:vAlign w:val="center"/>
          </w:tcPr>
          <w:p w14:paraId="33659AAC" w14:textId="77777777" w:rsidR="00990B14" w:rsidRDefault="00000000">
            <w:pPr>
              <w:spacing w:before="20" w:after="20"/>
              <w:jc w:val="both"/>
            </w:pPr>
            <w:r>
              <w:rPr>
                <w:sz w:val="18"/>
                <w:szCs w:val="18"/>
              </w:rPr>
              <w:t>Interpreta las variaciones significativas e identifica los rubros que requieren mayor examen.</w:t>
            </w:r>
          </w:p>
        </w:tc>
      </w:tr>
      <w:tr w:rsidR="00990B14" w14:paraId="5F175D1C" w14:textId="77777777">
        <w:trPr>
          <w:cantSplit/>
          <w:jc w:val="center"/>
        </w:trPr>
        <w:tc>
          <w:tcPr>
            <w:tcW w:w="1635" w:type="dxa"/>
            <w:vMerge/>
            <w:shd w:val="clear" w:color="auto" w:fill="4472C4"/>
            <w:vAlign w:val="center"/>
          </w:tcPr>
          <w:p w14:paraId="7376B891" w14:textId="77777777" w:rsidR="00990B14" w:rsidRDefault="00990B14">
            <w:pPr>
              <w:spacing w:before="20" w:after="20"/>
            </w:pPr>
          </w:p>
        </w:tc>
        <w:tc>
          <w:tcPr>
            <w:tcW w:w="1830" w:type="dxa"/>
            <w:shd w:val="clear" w:color="auto" w:fill="D9E2F3"/>
            <w:vAlign w:val="center"/>
          </w:tcPr>
          <w:p w14:paraId="2C9398E0" w14:textId="77777777" w:rsidR="00990B14" w:rsidRDefault="00000000">
            <w:pPr>
              <w:spacing w:before="20" w:after="20"/>
              <w:jc w:val="both"/>
            </w:pPr>
            <w:r>
              <w:rPr>
                <w:sz w:val="18"/>
                <w:szCs w:val="18"/>
              </w:rPr>
              <w:t>Riesgo y control</w:t>
            </w:r>
          </w:p>
        </w:tc>
        <w:tc>
          <w:tcPr>
            <w:tcW w:w="1910" w:type="dxa"/>
            <w:shd w:val="clear" w:color="auto" w:fill="D9E2F3"/>
            <w:vAlign w:val="center"/>
          </w:tcPr>
          <w:p w14:paraId="355C8924" w14:textId="77777777" w:rsidR="00990B14" w:rsidRDefault="00000000">
            <w:pPr>
              <w:spacing w:before="20" w:after="20"/>
              <w:jc w:val="both"/>
            </w:pPr>
            <w:r>
              <w:rPr>
                <w:sz w:val="18"/>
                <w:szCs w:val="18"/>
              </w:rPr>
              <w:t>No evalúa el control interno ni identifica riesgos.</w:t>
            </w:r>
          </w:p>
        </w:tc>
        <w:tc>
          <w:tcPr>
            <w:tcW w:w="1910" w:type="dxa"/>
            <w:shd w:val="clear" w:color="auto" w:fill="D9E2F3"/>
            <w:vAlign w:val="center"/>
          </w:tcPr>
          <w:p w14:paraId="3A05F3A9" w14:textId="77777777" w:rsidR="00990B14" w:rsidRDefault="00000000">
            <w:pPr>
              <w:spacing w:before="20" w:after="20"/>
              <w:jc w:val="both"/>
            </w:pPr>
            <w:r>
              <w:rPr>
                <w:sz w:val="18"/>
                <w:szCs w:val="18"/>
              </w:rPr>
              <w:t>Evalúa el control interno e identifica los riesgos relevantes.</w:t>
            </w:r>
          </w:p>
        </w:tc>
        <w:tc>
          <w:tcPr>
            <w:tcW w:w="2120" w:type="dxa"/>
            <w:shd w:val="clear" w:color="auto" w:fill="D9E2F3"/>
            <w:vAlign w:val="center"/>
          </w:tcPr>
          <w:p w14:paraId="11615C1C" w14:textId="77777777" w:rsidR="00990B14" w:rsidRDefault="00000000">
            <w:pPr>
              <w:spacing w:before="20" w:after="20"/>
              <w:jc w:val="both"/>
            </w:pPr>
            <w:r>
              <w:rPr>
                <w:sz w:val="18"/>
                <w:szCs w:val="18"/>
              </w:rPr>
              <w:t>Valora el riesgo por rubro y fundamenta el grado de confianza en los controles.</w:t>
            </w:r>
          </w:p>
        </w:tc>
      </w:tr>
      <w:tr w:rsidR="00990B14" w14:paraId="321878AE" w14:textId="77777777">
        <w:trPr>
          <w:cantSplit/>
          <w:jc w:val="center"/>
        </w:trPr>
        <w:tc>
          <w:tcPr>
            <w:tcW w:w="1635" w:type="dxa"/>
            <w:vMerge/>
            <w:shd w:val="clear" w:color="auto" w:fill="4472C4"/>
            <w:vAlign w:val="center"/>
          </w:tcPr>
          <w:p w14:paraId="1E5BEB31" w14:textId="77777777" w:rsidR="00990B14" w:rsidRDefault="00990B14">
            <w:pPr>
              <w:spacing w:before="20" w:after="20"/>
            </w:pPr>
          </w:p>
        </w:tc>
        <w:tc>
          <w:tcPr>
            <w:tcW w:w="5650" w:type="dxa"/>
            <w:gridSpan w:val="3"/>
            <w:shd w:val="clear" w:color="auto" w:fill="D9E2F3"/>
            <w:vAlign w:val="center"/>
          </w:tcPr>
          <w:p w14:paraId="475A7F7B" w14:textId="77777777" w:rsidR="00990B14" w:rsidRDefault="00000000">
            <w:pPr>
              <w:keepNext/>
              <w:spacing w:before="20" w:after="20"/>
              <w:jc w:val="both"/>
            </w:pPr>
            <w:r>
              <w:rPr>
                <w:b/>
                <w:bCs/>
                <w:i/>
                <w:iCs/>
                <w:sz w:val="18"/>
                <w:szCs w:val="18"/>
              </w:rPr>
              <w:t xml:space="preserve">Producto 14: </w:t>
            </w:r>
            <w:r>
              <w:rPr>
                <w:sz w:val="18"/>
                <w:szCs w:val="18"/>
              </w:rPr>
              <w:t>Documento de Memorándum de Planificación de Auditoría (MPA) y programas de auditoría financiera.</w:t>
            </w:r>
          </w:p>
        </w:tc>
        <w:tc>
          <w:tcPr>
            <w:tcW w:w="2120" w:type="dxa"/>
            <w:shd w:val="clear" w:color="auto" w:fill="D9E2F3"/>
            <w:vAlign w:val="center"/>
          </w:tcPr>
          <w:p w14:paraId="75D972DD" w14:textId="77777777" w:rsidR="00990B14" w:rsidRDefault="00000000">
            <w:pPr>
              <w:spacing w:before="20" w:after="20"/>
              <w:jc w:val="center"/>
            </w:pPr>
            <w:r>
              <w:rPr>
                <w:b/>
                <w:bCs/>
                <w:sz w:val="18"/>
                <w:szCs w:val="18"/>
              </w:rPr>
              <w:t>6%</w:t>
            </w:r>
          </w:p>
        </w:tc>
      </w:tr>
      <w:tr w:rsidR="00990B14" w14:paraId="188D2C58" w14:textId="77777777">
        <w:trPr>
          <w:cantSplit/>
          <w:jc w:val="center"/>
        </w:trPr>
        <w:tc>
          <w:tcPr>
            <w:tcW w:w="1635" w:type="dxa"/>
            <w:vMerge/>
            <w:shd w:val="clear" w:color="auto" w:fill="4472C4"/>
            <w:vAlign w:val="center"/>
          </w:tcPr>
          <w:p w14:paraId="6FDA705E" w14:textId="77777777" w:rsidR="00990B14" w:rsidRDefault="00990B14">
            <w:pPr>
              <w:spacing w:before="20" w:after="20"/>
            </w:pPr>
          </w:p>
        </w:tc>
        <w:tc>
          <w:tcPr>
            <w:tcW w:w="1830" w:type="dxa"/>
            <w:shd w:val="clear" w:color="auto" w:fill="4472C4"/>
            <w:vAlign w:val="center"/>
          </w:tcPr>
          <w:p w14:paraId="2A15B917"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1E6A7369"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74DA44A1"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7487CB3F" w14:textId="77777777" w:rsidR="00990B14" w:rsidRDefault="00000000">
            <w:pPr>
              <w:keepNext/>
              <w:spacing w:before="20" w:after="20"/>
              <w:jc w:val="center"/>
            </w:pPr>
            <w:r>
              <w:rPr>
                <w:b/>
                <w:bCs/>
                <w:i/>
                <w:iCs/>
                <w:color w:val="FFFFFF"/>
                <w:sz w:val="18"/>
                <w:szCs w:val="18"/>
              </w:rPr>
              <w:t>Destacado (81–100)</w:t>
            </w:r>
          </w:p>
        </w:tc>
      </w:tr>
      <w:tr w:rsidR="00990B14" w14:paraId="56FB25AD" w14:textId="77777777">
        <w:trPr>
          <w:cantSplit/>
          <w:jc w:val="center"/>
        </w:trPr>
        <w:tc>
          <w:tcPr>
            <w:tcW w:w="1635" w:type="dxa"/>
            <w:vMerge/>
            <w:shd w:val="clear" w:color="auto" w:fill="4472C4"/>
            <w:vAlign w:val="center"/>
          </w:tcPr>
          <w:p w14:paraId="7AEAFA91" w14:textId="77777777" w:rsidR="00990B14" w:rsidRDefault="00990B14">
            <w:pPr>
              <w:spacing w:before="20" w:after="20"/>
            </w:pPr>
          </w:p>
        </w:tc>
        <w:tc>
          <w:tcPr>
            <w:tcW w:w="1830" w:type="dxa"/>
            <w:shd w:val="clear" w:color="auto" w:fill="D9E2F3"/>
            <w:vAlign w:val="center"/>
          </w:tcPr>
          <w:p w14:paraId="239B7B46" w14:textId="77777777" w:rsidR="00990B14" w:rsidRDefault="00000000">
            <w:pPr>
              <w:spacing w:before="20" w:after="20"/>
              <w:jc w:val="both"/>
            </w:pPr>
            <w:r>
              <w:rPr>
                <w:sz w:val="18"/>
                <w:szCs w:val="18"/>
              </w:rPr>
              <w:t>Contenido del memorándum</w:t>
            </w:r>
          </w:p>
        </w:tc>
        <w:tc>
          <w:tcPr>
            <w:tcW w:w="1910" w:type="dxa"/>
            <w:shd w:val="clear" w:color="auto" w:fill="D9E2F3"/>
            <w:vAlign w:val="center"/>
          </w:tcPr>
          <w:p w14:paraId="1ED4E3CE" w14:textId="77777777" w:rsidR="00990B14" w:rsidRDefault="00000000">
            <w:pPr>
              <w:spacing w:before="20" w:after="20"/>
              <w:jc w:val="both"/>
            </w:pPr>
            <w:r>
              <w:rPr>
                <w:sz w:val="18"/>
                <w:szCs w:val="18"/>
              </w:rPr>
              <w:t>Omite uno o más apartados: antecedentes, objetivo, objeto, alcance, metodología o marco normativo.</w:t>
            </w:r>
          </w:p>
        </w:tc>
        <w:tc>
          <w:tcPr>
            <w:tcW w:w="1910" w:type="dxa"/>
            <w:shd w:val="clear" w:color="auto" w:fill="D9E2F3"/>
            <w:vAlign w:val="center"/>
          </w:tcPr>
          <w:p w14:paraId="6834123A" w14:textId="77777777" w:rsidR="00990B14" w:rsidRDefault="00000000">
            <w:pPr>
              <w:spacing w:before="20" w:after="20"/>
              <w:jc w:val="both"/>
            </w:pPr>
            <w:r>
              <w:rPr>
                <w:sz w:val="18"/>
                <w:szCs w:val="18"/>
              </w:rPr>
              <w:t>Incluye todos los apartados exigidos para el memorándum de planificación.</w:t>
            </w:r>
          </w:p>
        </w:tc>
        <w:tc>
          <w:tcPr>
            <w:tcW w:w="2120" w:type="dxa"/>
            <w:shd w:val="clear" w:color="auto" w:fill="D9E2F3"/>
            <w:vAlign w:val="center"/>
          </w:tcPr>
          <w:p w14:paraId="30AC2459" w14:textId="77777777" w:rsidR="00990B14" w:rsidRDefault="00000000">
            <w:pPr>
              <w:spacing w:before="20" w:after="20"/>
              <w:jc w:val="both"/>
            </w:pPr>
            <w:r>
              <w:rPr>
                <w:sz w:val="18"/>
                <w:szCs w:val="18"/>
              </w:rPr>
              <w:t>Redacta apartados coherentes entre sí y ajustados a las características de la entidad.</w:t>
            </w:r>
          </w:p>
        </w:tc>
      </w:tr>
      <w:tr w:rsidR="00990B14" w14:paraId="25379229" w14:textId="77777777">
        <w:trPr>
          <w:cantSplit/>
          <w:jc w:val="center"/>
        </w:trPr>
        <w:tc>
          <w:tcPr>
            <w:tcW w:w="1635" w:type="dxa"/>
            <w:vMerge/>
            <w:shd w:val="clear" w:color="auto" w:fill="4472C4"/>
            <w:vAlign w:val="center"/>
          </w:tcPr>
          <w:p w14:paraId="7BE1324A" w14:textId="77777777" w:rsidR="00990B14" w:rsidRDefault="00990B14">
            <w:pPr>
              <w:spacing w:before="20" w:after="20"/>
            </w:pPr>
          </w:p>
        </w:tc>
        <w:tc>
          <w:tcPr>
            <w:tcW w:w="1830" w:type="dxa"/>
            <w:shd w:val="clear" w:color="auto" w:fill="D9E2F3"/>
            <w:vAlign w:val="center"/>
          </w:tcPr>
          <w:p w14:paraId="095335ED" w14:textId="77777777" w:rsidR="00990B14" w:rsidRDefault="00000000">
            <w:pPr>
              <w:spacing w:before="20" w:after="20"/>
              <w:jc w:val="both"/>
            </w:pPr>
            <w:r>
              <w:rPr>
                <w:sz w:val="18"/>
                <w:szCs w:val="18"/>
              </w:rPr>
              <w:t>Programas de trabajo</w:t>
            </w:r>
          </w:p>
        </w:tc>
        <w:tc>
          <w:tcPr>
            <w:tcW w:w="1910" w:type="dxa"/>
            <w:shd w:val="clear" w:color="auto" w:fill="D9E2F3"/>
            <w:vAlign w:val="center"/>
          </w:tcPr>
          <w:p w14:paraId="58486E15" w14:textId="77777777" w:rsidR="00990B14" w:rsidRDefault="00000000">
            <w:pPr>
              <w:spacing w:before="20" w:after="20"/>
              <w:jc w:val="both"/>
            </w:pPr>
            <w:r>
              <w:rPr>
                <w:sz w:val="18"/>
                <w:szCs w:val="18"/>
              </w:rPr>
              <w:t>Elabora procedimientos genéricos, sin relación con los riesgos.</w:t>
            </w:r>
          </w:p>
        </w:tc>
        <w:tc>
          <w:tcPr>
            <w:tcW w:w="1910" w:type="dxa"/>
            <w:shd w:val="clear" w:color="auto" w:fill="D9E2F3"/>
            <w:vAlign w:val="center"/>
          </w:tcPr>
          <w:p w14:paraId="6DB4032D" w14:textId="77777777" w:rsidR="00990B14" w:rsidRDefault="00000000">
            <w:pPr>
              <w:spacing w:before="20" w:after="20"/>
              <w:jc w:val="both"/>
            </w:pPr>
            <w:r>
              <w:rPr>
                <w:sz w:val="18"/>
                <w:szCs w:val="18"/>
              </w:rPr>
              <w:t>Elabora programas con objetivos y procedimientos pertinentes para cada rubro.</w:t>
            </w:r>
          </w:p>
        </w:tc>
        <w:tc>
          <w:tcPr>
            <w:tcW w:w="2120" w:type="dxa"/>
            <w:shd w:val="clear" w:color="auto" w:fill="D9E2F3"/>
            <w:vAlign w:val="center"/>
          </w:tcPr>
          <w:p w14:paraId="2DEAD69A" w14:textId="77777777" w:rsidR="00990B14" w:rsidRDefault="00000000">
            <w:pPr>
              <w:spacing w:before="20" w:after="20"/>
              <w:jc w:val="both"/>
            </w:pPr>
            <w:r>
              <w:rPr>
                <w:sz w:val="18"/>
                <w:szCs w:val="18"/>
              </w:rPr>
              <w:t>Diseña procedimientos que responden a los riesgos evaluados y justifica la extensión de las pruebas.</w:t>
            </w:r>
          </w:p>
        </w:tc>
      </w:tr>
      <w:tr w:rsidR="00990B14" w14:paraId="64173DD4" w14:textId="77777777">
        <w:trPr>
          <w:cantSplit/>
          <w:jc w:val="center"/>
        </w:trPr>
        <w:tc>
          <w:tcPr>
            <w:tcW w:w="1635" w:type="dxa"/>
            <w:vMerge/>
            <w:shd w:val="clear" w:color="auto" w:fill="4472C4"/>
            <w:vAlign w:val="center"/>
          </w:tcPr>
          <w:p w14:paraId="5FEEFBEB" w14:textId="77777777" w:rsidR="00990B14" w:rsidRDefault="00990B14">
            <w:pPr>
              <w:spacing w:before="20" w:after="20"/>
            </w:pPr>
          </w:p>
        </w:tc>
        <w:tc>
          <w:tcPr>
            <w:tcW w:w="1830" w:type="dxa"/>
            <w:shd w:val="clear" w:color="auto" w:fill="D9E2F3"/>
            <w:vAlign w:val="center"/>
          </w:tcPr>
          <w:p w14:paraId="6E435C15" w14:textId="77777777" w:rsidR="00990B14" w:rsidRDefault="00000000">
            <w:pPr>
              <w:spacing w:before="20" w:after="20"/>
              <w:jc w:val="both"/>
            </w:pPr>
            <w:r>
              <w:rPr>
                <w:sz w:val="18"/>
                <w:szCs w:val="18"/>
              </w:rPr>
              <w:t>Importancia relativa</w:t>
            </w:r>
          </w:p>
        </w:tc>
        <w:tc>
          <w:tcPr>
            <w:tcW w:w="1910" w:type="dxa"/>
            <w:shd w:val="clear" w:color="auto" w:fill="D9E2F3"/>
            <w:vAlign w:val="center"/>
          </w:tcPr>
          <w:p w14:paraId="2930792E" w14:textId="77777777" w:rsidR="00990B14" w:rsidRDefault="00000000">
            <w:pPr>
              <w:spacing w:before="20" w:after="20"/>
              <w:jc w:val="both"/>
            </w:pPr>
            <w:r>
              <w:rPr>
                <w:sz w:val="18"/>
                <w:szCs w:val="18"/>
              </w:rPr>
              <w:t>No determina la importancia relativa ni el enfoque de auditoría.</w:t>
            </w:r>
          </w:p>
        </w:tc>
        <w:tc>
          <w:tcPr>
            <w:tcW w:w="1910" w:type="dxa"/>
            <w:shd w:val="clear" w:color="auto" w:fill="D9E2F3"/>
            <w:vAlign w:val="center"/>
          </w:tcPr>
          <w:p w14:paraId="43A5B4C0" w14:textId="77777777" w:rsidR="00990B14" w:rsidRDefault="00000000">
            <w:pPr>
              <w:spacing w:before="20" w:after="20"/>
              <w:jc w:val="both"/>
            </w:pPr>
            <w:r>
              <w:rPr>
                <w:sz w:val="18"/>
                <w:szCs w:val="18"/>
              </w:rPr>
              <w:t>Determina la importancia relativa y define el enfoque y la estrategia de auditoría.</w:t>
            </w:r>
          </w:p>
        </w:tc>
        <w:tc>
          <w:tcPr>
            <w:tcW w:w="2120" w:type="dxa"/>
            <w:shd w:val="clear" w:color="auto" w:fill="D9E2F3"/>
            <w:vAlign w:val="center"/>
          </w:tcPr>
          <w:p w14:paraId="4713F7D3" w14:textId="77777777" w:rsidR="00990B14" w:rsidRDefault="00000000">
            <w:pPr>
              <w:spacing w:before="20" w:after="20"/>
              <w:jc w:val="both"/>
            </w:pPr>
            <w:r>
              <w:rPr>
                <w:sz w:val="18"/>
                <w:szCs w:val="18"/>
              </w:rPr>
              <w:t>Justifica el cálculo de la importancia relativa y de los umbrales con base en los riesgos.</w:t>
            </w:r>
          </w:p>
        </w:tc>
      </w:tr>
      <w:tr w:rsidR="00990B14" w14:paraId="3E71237D" w14:textId="77777777">
        <w:trPr>
          <w:cantSplit/>
          <w:jc w:val="center"/>
        </w:trPr>
        <w:tc>
          <w:tcPr>
            <w:tcW w:w="1635" w:type="dxa"/>
            <w:vMerge/>
            <w:shd w:val="clear" w:color="auto" w:fill="4472C4"/>
            <w:vAlign w:val="center"/>
          </w:tcPr>
          <w:p w14:paraId="6AABE899" w14:textId="77777777" w:rsidR="00990B14" w:rsidRDefault="00990B14">
            <w:pPr>
              <w:spacing w:before="20" w:after="20"/>
            </w:pPr>
          </w:p>
        </w:tc>
        <w:tc>
          <w:tcPr>
            <w:tcW w:w="5650" w:type="dxa"/>
            <w:gridSpan w:val="3"/>
            <w:shd w:val="clear" w:color="auto" w:fill="D9E2F3"/>
            <w:vAlign w:val="center"/>
          </w:tcPr>
          <w:p w14:paraId="600715B7" w14:textId="77777777" w:rsidR="00990B14" w:rsidRDefault="00000000">
            <w:pPr>
              <w:keepNext/>
              <w:spacing w:before="20" w:after="20"/>
              <w:jc w:val="both"/>
            </w:pPr>
            <w:r>
              <w:rPr>
                <w:b/>
                <w:bCs/>
                <w:i/>
                <w:iCs/>
                <w:sz w:val="18"/>
                <w:szCs w:val="18"/>
              </w:rPr>
              <w:t xml:space="preserve">Producto 15: </w:t>
            </w:r>
            <w:r>
              <w:rPr>
                <w:sz w:val="18"/>
                <w:szCs w:val="18"/>
              </w:rPr>
              <w:t>Documentos de papeles de trabajo, y legajos de ejecución de la auditoría financiera.</w:t>
            </w:r>
          </w:p>
        </w:tc>
        <w:tc>
          <w:tcPr>
            <w:tcW w:w="2120" w:type="dxa"/>
            <w:shd w:val="clear" w:color="auto" w:fill="D9E2F3"/>
            <w:vAlign w:val="center"/>
          </w:tcPr>
          <w:p w14:paraId="0AD8E90C" w14:textId="77777777" w:rsidR="00990B14" w:rsidRDefault="00000000">
            <w:pPr>
              <w:spacing w:before="20" w:after="20"/>
              <w:jc w:val="center"/>
            </w:pPr>
            <w:r>
              <w:rPr>
                <w:b/>
                <w:bCs/>
                <w:sz w:val="18"/>
                <w:szCs w:val="18"/>
              </w:rPr>
              <w:t>6%</w:t>
            </w:r>
          </w:p>
        </w:tc>
      </w:tr>
      <w:tr w:rsidR="00990B14" w14:paraId="3685FE5D" w14:textId="77777777">
        <w:trPr>
          <w:cantSplit/>
          <w:jc w:val="center"/>
        </w:trPr>
        <w:tc>
          <w:tcPr>
            <w:tcW w:w="1635" w:type="dxa"/>
            <w:vMerge/>
            <w:shd w:val="clear" w:color="auto" w:fill="4472C4"/>
            <w:vAlign w:val="center"/>
          </w:tcPr>
          <w:p w14:paraId="156B39BF" w14:textId="77777777" w:rsidR="00990B14" w:rsidRDefault="00990B14">
            <w:pPr>
              <w:spacing w:before="20" w:after="20"/>
            </w:pPr>
          </w:p>
        </w:tc>
        <w:tc>
          <w:tcPr>
            <w:tcW w:w="1830" w:type="dxa"/>
            <w:shd w:val="clear" w:color="auto" w:fill="4472C4"/>
            <w:vAlign w:val="center"/>
          </w:tcPr>
          <w:p w14:paraId="4D9304DD"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1C2E8022"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3EF656C4"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0B6B82CF" w14:textId="77777777" w:rsidR="00990B14" w:rsidRDefault="00000000">
            <w:pPr>
              <w:keepNext/>
              <w:spacing w:before="20" w:after="20"/>
              <w:jc w:val="center"/>
            </w:pPr>
            <w:r>
              <w:rPr>
                <w:b/>
                <w:bCs/>
                <w:i/>
                <w:iCs/>
                <w:color w:val="FFFFFF"/>
                <w:sz w:val="18"/>
                <w:szCs w:val="18"/>
              </w:rPr>
              <w:t>Destacado (81–100)</w:t>
            </w:r>
          </w:p>
        </w:tc>
      </w:tr>
      <w:tr w:rsidR="00990B14" w14:paraId="449A6363" w14:textId="77777777">
        <w:trPr>
          <w:cantSplit/>
          <w:jc w:val="center"/>
        </w:trPr>
        <w:tc>
          <w:tcPr>
            <w:tcW w:w="1635" w:type="dxa"/>
            <w:vMerge/>
            <w:shd w:val="clear" w:color="auto" w:fill="4472C4"/>
            <w:vAlign w:val="center"/>
          </w:tcPr>
          <w:p w14:paraId="4D7C1458" w14:textId="77777777" w:rsidR="00990B14" w:rsidRDefault="00990B14">
            <w:pPr>
              <w:spacing w:before="20" w:after="20"/>
            </w:pPr>
          </w:p>
        </w:tc>
        <w:tc>
          <w:tcPr>
            <w:tcW w:w="1830" w:type="dxa"/>
            <w:shd w:val="clear" w:color="auto" w:fill="D9E2F3"/>
            <w:vAlign w:val="center"/>
          </w:tcPr>
          <w:p w14:paraId="2C2556A7" w14:textId="77777777" w:rsidR="00990B14" w:rsidRDefault="00000000">
            <w:pPr>
              <w:spacing w:before="20" w:after="20"/>
              <w:jc w:val="both"/>
            </w:pPr>
            <w:r>
              <w:rPr>
                <w:sz w:val="18"/>
                <w:szCs w:val="18"/>
              </w:rPr>
              <w:t>Evidencia obtenida</w:t>
            </w:r>
          </w:p>
        </w:tc>
        <w:tc>
          <w:tcPr>
            <w:tcW w:w="1910" w:type="dxa"/>
            <w:shd w:val="clear" w:color="auto" w:fill="D9E2F3"/>
            <w:vAlign w:val="center"/>
          </w:tcPr>
          <w:p w14:paraId="2F7A009D" w14:textId="77777777" w:rsidR="00990B14" w:rsidRDefault="00000000">
            <w:pPr>
              <w:spacing w:before="20" w:after="20"/>
              <w:jc w:val="both"/>
            </w:pPr>
            <w:r>
              <w:rPr>
                <w:sz w:val="18"/>
                <w:szCs w:val="18"/>
              </w:rPr>
              <w:t>Presenta evidencia insuficiente o sin relación con los procedimientos.</w:t>
            </w:r>
          </w:p>
        </w:tc>
        <w:tc>
          <w:tcPr>
            <w:tcW w:w="1910" w:type="dxa"/>
            <w:shd w:val="clear" w:color="auto" w:fill="D9E2F3"/>
            <w:vAlign w:val="center"/>
          </w:tcPr>
          <w:p w14:paraId="7676467F" w14:textId="77777777" w:rsidR="00990B14" w:rsidRDefault="00000000">
            <w:pPr>
              <w:spacing w:before="20" w:after="20"/>
              <w:jc w:val="both"/>
            </w:pPr>
            <w:r>
              <w:rPr>
                <w:sz w:val="18"/>
                <w:szCs w:val="18"/>
              </w:rPr>
              <w:t>Presenta evidencia válida, suficiente y competente en cada procedimiento.</w:t>
            </w:r>
          </w:p>
        </w:tc>
        <w:tc>
          <w:tcPr>
            <w:tcW w:w="2120" w:type="dxa"/>
            <w:shd w:val="clear" w:color="auto" w:fill="D9E2F3"/>
            <w:vAlign w:val="center"/>
          </w:tcPr>
          <w:p w14:paraId="327B7092" w14:textId="77777777" w:rsidR="00990B14" w:rsidRDefault="00000000">
            <w:pPr>
              <w:spacing w:before="20" w:after="20"/>
              <w:jc w:val="both"/>
            </w:pPr>
            <w:r>
              <w:rPr>
                <w:sz w:val="18"/>
                <w:szCs w:val="18"/>
              </w:rPr>
              <w:t>Evalúa la calidad de la evidencia y propone procedimientos alternativos cuando es insuficiente.</w:t>
            </w:r>
          </w:p>
        </w:tc>
      </w:tr>
      <w:tr w:rsidR="00990B14" w14:paraId="17D488FA" w14:textId="77777777">
        <w:trPr>
          <w:cantSplit/>
          <w:jc w:val="center"/>
        </w:trPr>
        <w:tc>
          <w:tcPr>
            <w:tcW w:w="1635" w:type="dxa"/>
            <w:vMerge/>
            <w:shd w:val="clear" w:color="auto" w:fill="4472C4"/>
            <w:vAlign w:val="center"/>
          </w:tcPr>
          <w:p w14:paraId="71E39857" w14:textId="77777777" w:rsidR="00990B14" w:rsidRDefault="00990B14">
            <w:pPr>
              <w:spacing w:before="20" w:after="20"/>
            </w:pPr>
          </w:p>
        </w:tc>
        <w:tc>
          <w:tcPr>
            <w:tcW w:w="1830" w:type="dxa"/>
            <w:shd w:val="clear" w:color="auto" w:fill="D9E2F3"/>
            <w:vAlign w:val="center"/>
          </w:tcPr>
          <w:p w14:paraId="43583778" w14:textId="77777777" w:rsidR="00990B14" w:rsidRDefault="00000000">
            <w:pPr>
              <w:spacing w:before="20" w:after="20"/>
              <w:jc w:val="both"/>
            </w:pPr>
            <w:r>
              <w:rPr>
                <w:sz w:val="18"/>
                <w:szCs w:val="18"/>
              </w:rPr>
              <w:t>Pruebas sustantivas</w:t>
            </w:r>
          </w:p>
        </w:tc>
        <w:tc>
          <w:tcPr>
            <w:tcW w:w="1910" w:type="dxa"/>
            <w:shd w:val="clear" w:color="auto" w:fill="D9E2F3"/>
            <w:vAlign w:val="center"/>
          </w:tcPr>
          <w:p w14:paraId="2A54C5CB" w14:textId="77777777" w:rsidR="00990B14" w:rsidRDefault="00000000">
            <w:pPr>
              <w:spacing w:before="20" w:after="20"/>
              <w:jc w:val="both"/>
            </w:pPr>
            <w:r>
              <w:rPr>
                <w:sz w:val="18"/>
                <w:szCs w:val="18"/>
              </w:rPr>
              <w:t>Aplica pruebas incompletas o con errores de cálculo.</w:t>
            </w:r>
          </w:p>
        </w:tc>
        <w:tc>
          <w:tcPr>
            <w:tcW w:w="1910" w:type="dxa"/>
            <w:shd w:val="clear" w:color="auto" w:fill="D9E2F3"/>
            <w:vAlign w:val="center"/>
          </w:tcPr>
          <w:p w14:paraId="1134D65D" w14:textId="77777777" w:rsidR="00990B14" w:rsidRDefault="00000000">
            <w:pPr>
              <w:spacing w:before="20" w:after="20"/>
              <w:jc w:val="both"/>
            </w:pPr>
            <w:r>
              <w:rPr>
                <w:sz w:val="18"/>
                <w:szCs w:val="18"/>
              </w:rPr>
              <w:t>Aplica correctamente las pruebas sustantivas sobre los rubros y cuentas.</w:t>
            </w:r>
          </w:p>
        </w:tc>
        <w:tc>
          <w:tcPr>
            <w:tcW w:w="2120" w:type="dxa"/>
            <w:shd w:val="clear" w:color="auto" w:fill="D9E2F3"/>
            <w:vAlign w:val="center"/>
          </w:tcPr>
          <w:p w14:paraId="33106A8E" w14:textId="77777777" w:rsidR="00990B14" w:rsidRDefault="00000000">
            <w:pPr>
              <w:spacing w:before="20" w:after="20"/>
              <w:jc w:val="both"/>
            </w:pPr>
            <w:r>
              <w:rPr>
                <w:sz w:val="18"/>
                <w:szCs w:val="18"/>
              </w:rPr>
              <w:t>Concluye por rubro y analiza las diferencias detectadas.</w:t>
            </w:r>
          </w:p>
        </w:tc>
      </w:tr>
      <w:tr w:rsidR="00990B14" w14:paraId="5063975E" w14:textId="77777777">
        <w:trPr>
          <w:cantSplit/>
          <w:jc w:val="center"/>
        </w:trPr>
        <w:tc>
          <w:tcPr>
            <w:tcW w:w="1635" w:type="dxa"/>
            <w:vMerge/>
            <w:shd w:val="clear" w:color="auto" w:fill="4472C4"/>
            <w:vAlign w:val="center"/>
          </w:tcPr>
          <w:p w14:paraId="4F97ABEC" w14:textId="77777777" w:rsidR="00990B14" w:rsidRDefault="00990B14">
            <w:pPr>
              <w:spacing w:before="20" w:after="20"/>
            </w:pPr>
          </w:p>
        </w:tc>
        <w:tc>
          <w:tcPr>
            <w:tcW w:w="1830" w:type="dxa"/>
            <w:shd w:val="clear" w:color="auto" w:fill="D9E2F3"/>
            <w:vAlign w:val="center"/>
          </w:tcPr>
          <w:p w14:paraId="08AB530E" w14:textId="77777777" w:rsidR="00990B14" w:rsidRDefault="00000000">
            <w:pPr>
              <w:spacing w:before="20" w:after="20"/>
              <w:jc w:val="both"/>
            </w:pPr>
            <w:r>
              <w:rPr>
                <w:sz w:val="18"/>
                <w:szCs w:val="18"/>
              </w:rPr>
              <w:t>Referenciación y orden</w:t>
            </w:r>
          </w:p>
        </w:tc>
        <w:tc>
          <w:tcPr>
            <w:tcW w:w="1910" w:type="dxa"/>
            <w:shd w:val="clear" w:color="auto" w:fill="D9E2F3"/>
            <w:vAlign w:val="center"/>
          </w:tcPr>
          <w:p w14:paraId="2F9DFD27" w14:textId="77777777" w:rsidR="00990B14" w:rsidRDefault="00000000">
            <w:pPr>
              <w:spacing w:before="20" w:after="20"/>
              <w:jc w:val="both"/>
            </w:pPr>
            <w:r>
              <w:rPr>
                <w:sz w:val="18"/>
                <w:szCs w:val="18"/>
              </w:rPr>
              <w:t>Presenta papeles sin referencias, marcas ni conclusiones.</w:t>
            </w:r>
          </w:p>
        </w:tc>
        <w:tc>
          <w:tcPr>
            <w:tcW w:w="1910" w:type="dxa"/>
            <w:shd w:val="clear" w:color="auto" w:fill="D9E2F3"/>
            <w:vAlign w:val="center"/>
          </w:tcPr>
          <w:p w14:paraId="5B059C6E" w14:textId="77777777" w:rsidR="00990B14" w:rsidRDefault="00000000">
            <w:pPr>
              <w:spacing w:before="20" w:after="20"/>
              <w:jc w:val="both"/>
            </w:pPr>
            <w:r>
              <w:rPr>
                <w:sz w:val="18"/>
                <w:szCs w:val="18"/>
              </w:rPr>
              <w:t>Presenta papeles referenciados, con marcas y conclusiones.</w:t>
            </w:r>
          </w:p>
        </w:tc>
        <w:tc>
          <w:tcPr>
            <w:tcW w:w="2120" w:type="dxa"/>
            <w:shd w:val="clear" w:color="auto" w:fill="D9E2F3"/>
            <w:vAlign w:val="center"/>
          </w:tcPr>
          <w:p w14:paraId="014F0AF2" w14:textId="77777777" w:rsidR="00990B14" w:rsidRDefault="00000000">
            <w:pPr>
              <w:spacing w:before="20" w:after="20"/>
              <w:jc w:val="both"/>
            </w:pPr>
            <w:r>
              <w:rPr>
                <w:sz w:val="18"/>
                <w:szCs w:val="18"/>
              </w:rPr>
              <w:t>Organiza el legajo con índices cruzados, respaldo digital y confidencialidad.</w:t>
            </w:r>
          </w:p>
        </w:tc>
      </w:tr>
      <w:tr w:rsidR="00990B14" w14:paraId="47FA57A6" w14:textId="77777777">
        <w:trPr>
          <w:cantSplit/>
          <w:jc w:val="center"/>
        </w:trPr>
        <w:tc>
          <w:tcPr>
            <w:tcW w:w="1635" w:type="dxa"/>
            <w:vMerge/>
            <w:shd w:val="clear" w:color="auto" w:fill="4472C4"/>
            <w:vAlign w:val="center"/>
          </w:tcPr>
          <w:p w14:paraId="17B2C67F" w14:textId="77777777" w:rsidR="00990B14" w:rsidRDefault="00990B14">
            <w:pPr>
              <w:spacing w:before="20" w:after="20"/>
            </w:pPr>
          </w:p>
        </w:tc>
        <w:tc>
          <w:tcPr>
            <w:tcW w:w="5650" w:type="dxa"/>
            <w:gridSpan w:val="3"/>
            <w:shd w:val="clear" w:color="auto" w:fill="D9E2F3"/>
            <w:vAlign w:val="center"/>
          </w:tcPr>
          <w:p w14:paraId="4075B0CE" w14:textId="77777777" w:rsidR="00990B14" w:rsidRDefault="00000000">
            <w:pPr>
              <w:keepNext/>
              <w:spacing w:before="20" w:after="20"/>
              <w:jc w:val="both"/>
            </w:pPr>
            <w:r>
              <w:rPr>
                <w:b/>
                <w:bCs/>
                <w:i/>
                <w:iCs/>
                <w:sz w:val="18"/>
                <w:szCs w:val="18"/>
              </w:rPr>
              <w:t xml:space="preserve">Producto 16: </w:t>
            </w:r>
            <w:r>
              <w:rPr>
                <w:sz w:val="18"/>
                <w:szCs w:val="18"/>
              </w:rPr>
              <w:t>Informe de auditoría financiera gubernamental con opinión independiente y el informe de control interno.</w:t>
            </w:r>
          </w:p>
        </w:tc>
        <w:tc>
          <w:tcPr>
            <w:tcW w:w="2120" w:type="dxa"/>
            <w:shd w:val="clear" w:color="auto" w:fill="D9E2F3"/>
            <w:vAlign w:val="center"/>
          </w:tcPr>
          <w:p w14:paraId="7E0CB14A" w14:textId="77777777" w:rsidR="00990B14" w:rsidRDefault="00000000">
            <w:pPr>
              <w:spacing w:before="20" w:after="20"/>
              <w:jc w:val="center"/>
            </w:pPr>
            <w:r>
              <w:rPr>
                <w:b/>
                <w:bCs/>
                <w:sz w:val="18"/>
                <w:szCs w:val="18"/>
              </w:rPr>
              <w:t>5%</w:t>
            </w:r>
          </w:p>
        </w:tc>
      </w:tr>
      <w:tr w:rsidR="00990B14" w14:paraId="24F857BD" w14:textId="77777777">
        <w:trPr>
          <w:cantSplit/>
          <w:jc w:val="center"/>
        </w:trPr>
        <w:tc>
          <w:tcPr>
            <w:tcW w:w="1635" w:type="dxa"/>
            <w:vMerge/>
            <w:shd w:val="clear" w:color="auto" w:fill="4472C4"/>
            <w:vAlign w:val="center"/>
          </w:tcPr>
          <w:p w14:paraId="6A014734" w14:textId="77777777" w:rsidR="00990B14" w:rsidRDefault="00990B14">
            <w:pPr>
              <w:spacing w:before="20" w:after="20"/>
            </w:pPr>
          </w:p>
        </w:tc>
        <w:tc>
          <w:tcPr>
            <w:tcW w:w="1830" w:type="dxa"/>
            <w:shd w:val="clear" w:color="auto" w:fill="4472C4"/>
            <w:vAlign w:val="center"/>
          </w:tcPr>
          <w:p w14:paraId="4E15962B"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2D2EC843"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76C5879B"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12F03A46" w14:textId="77777777" w:rsidR="00990B14" w:rsidRDefault="00000000">
            <w:pPr>
              <w:keepNext/>
              <w:spacing w:before="20" w:after="20"/>
              <w:jc w:val="center"/>
            </w:pPr>
            <w:r>
              <w:rPr>
                <w:b/>
                <w:bCs/>
                <w:i/>
                <w:iCs/>
                <w:color w:val="FFFFFF"/>
                <w:sz w:val="18"/>
                <w:szCs w:val="18"/>
              </w:rPr>
              <w:t>Destacado (81–100)</w:t>
            </w:r>
          </w:p>
        </w:tc>
      </w:tr>
      <w:tr w:rsidR="00990B14" w14:paraId="497EBBD7" w14:textId="77777777">
        <w:trPr>
          <w:cantSplit/>
          <w:jc w:val="center"/>
        </w:trPr>
        <w:tc>
          <w:tcPr>
            <w:tcW w:w="1635" w:type="dxa"/>
            <w:vMerge/>
            <w:shd w:val="clear" w:color="auto" w:fill="4472C4"/>
            <w:vAlign w:val="center"/>
          </w:tcPr>
          <w:p w14:paraId="664AAC00" w14:textId="77777777" w:rsidR="00990B14" w:rsidRDefault="00990B14">
            <w:pPr>
              <w:spacing w:before="20" w:after="20"/>
            </w:pPr>
          </w:p>
        </w:tc>
        <w:tc>
          <w:tcPr>
            <w:tcW w:w="1830" w:type="dxa"/>
            <w:shd w:val="clear" w:color="auto" w:fill="D9E2F3"/>
            <w:vAlign w:val="center"/>
          </w:tcPr>
          <w:p w14:paraId="59B55AA2" w14:textId="77777777" w:rsidR="00990B14" w:rsidRDefault="00000000">
            <w:pPr>
              <w:spacing w:before="20" w:after="20"/>
              <w:jc w:val="both"/>
            </w:pPr>
            <w:r>
              <w:rPr>
                <w:sz w:val="18"/>
                <w:szCs w:val="18"/>
              </w:rPr>
              <w:t>Opinión sobre los estados</w:t>
            </w:r>
          </w:p>
        </w:tc>
        <w:tc>
          <w:tcPr>
            <w:tcW w:w="1910" w:type="dxa"/>
            <w:shd w:val="clear" w:color="auto" w:fill="D9E2F3"/>
            <w:vAlign w:val="center"/>
          </w:tcPr>
          <w:p w14:paraId="1D62E281" w14:textId="77777777" w:rsidR="00990B14" w:rsidRDefault="00000000">
            <w:pPr>
              <w:spacing w:before="20" w:after="20"/>
              <w:jc w:val="both"/>
            </w:pPr>
            <w:r>
              <w:rPr>
                <w:sz w:val="18"/>
                <w:szCs w:val="18"/>
              </w:rPr>
              <w:t>Emite una opinión sin sustento o contraria a los resultados.</w:t>
            </w:r>
          </w:p>
        </w:tc>
        <w:tc>
          <w:tcPr>
            <w:tcW w:w="1910" w:type="dxa"/>
            <w:shd w:val="clear" w:color="auto" w:fill="D9E2F3"/>
            <w:vAlign w:val="center"/>
          </w:tcPr>
          <w:p w14:paraId="759826AF" w14:textId="77777777" w:rsidR="00990B14" w:rsidRDefault="00000000">
            <w:pPr>
              <w:spacing w:before="20" w:after="20"/>
              <w:jc w:val="both"/>
            </w:pPr>
            <w:r>
              <w:rPr>
                <w:sz w:val="18"/>
                <w:szCs w:val="18"/>
              </w:rPr>
              <w:t>Emite una opinión coherente con los resultados sobre la razonabilidad o confiabilidad de los estados financieros.</w:t>
            </w:r>
          </w:p>
        </w:tc>
        <w:tc>
          <w:tcPr>
            <w:tcW w:w="2120" w:type="dxa"/>
            <w:shd w:val="clear" w:color="auto" w:fill="D9E2F3"/>
            <w:vAlign w:val="center"/>
          </w:tcPr>
          <w:p w14:paraId="6910EDC6" w14:textId="77777777" w:rsidR="00990B14" w:rsidRDefault="00000000">
            <w:pPr>
              <w:spacing w:before="20" w:after="20"/>
              <w:jc w:val="both"/>
            </w:pPr>
            <w:r>
              <w:rPr>
                <w:sz w:val="18"/>
                <w:szCs w:val="18"/>
              </w:rPr>
              <w:t>Fundamenta el tipo de opinión y justifica las salvedades y los párrafos adicionales.</w:t>
            </w:r>
          </w:p>
        </w:tc>
      </w:tr>
      <w:tr w:rsidR="00990B14" w14:paraId="3DFCD56A" w14:textId="77777777">
        <w:trPr>
          <w:cantSplit/>
          <w:jc w:val="center"/>
        </w:trPr>
        <w:tc>
          <w:tcPr>
            <w:tcW w:w="1635" w:type="dxa"/>
            <w:vMerge/>
            <w:shd w:val="clear" w:color="auto" w:fill="4472C4"/>
            <w:vAlign w:val="center"/>
          </w:tcPr>
          <w:p w14:paraId="1DF90B10" w14:textId="77777777" w:rsidR="00990B14" w:rsidRDefault="00990B14">
            <w:pPr>
              <w:spacing w:before="20" w:after="20"/>
            </w:pPr>
          </w:p>
        </w:tc>
        <w:tc>
          <w:tcPr>
            <w:tcW w:w="1830" w:type="dxa"/>
            <w:shd w:val="clear" w:color="auto" w:fill="D9E2F3"/>
            <w:vAlign w:val="center"/>
          </w:tcPr>
          <w:p w14:paraId="762A2420" w14:textId="77777777" w:rsidR="00990B14" w:rsidRDefault="00000000">
            <w:pPr>
              <w:spacing w:before="20" w:after="20"/>
              <w:jc w:val="both"/>
            </w:pPr>
            <w:r>
              <w:rPr>
                <w:sz w:val="18"/>
                <w:szCs w:val="18"/>
              </w:rPr>
              <w:t>Informe de control interno</w:t>
            </w:r>
          </w:p>
        </w:tc>
        <w:tc>
          <w:tcPr>
            <w:tcW w:w="1910" w:type="dxa"/>
            <w:shd w:val="clear" w:color="auto" w:fill="D9E2F3"/>
            <w:vAlign w:val="center"/>
          </w:tcPr>
          <w:p w14:paraId="49B8CC1F" w14:textId="77777777" w:rsidR="00990B14" w:rsidRDefault="00000000">
            <w:pPr>
              <w:spacing w:before="20" w:after="20"/>
              <w:jc w:val="both"/>
            </w:pPr>
            <w:r>
              <w:rPr>
                <w:sz w:val="18"/>
                <w:szCs w:val="18"/>
              </w:rPr>
              <w:t>Omite el informe de control interno o sus hallazgos carecen de atributos.</w:t>
            </w:r>
          </w:p>
        </w:tc>
        <w:tc>
          <w:tcPr>
            <w:tcW w:w="1910" w:type="dxa"/>
            <w:shd w:val="clear" w:color="auto" w:fill="D9E2F3"/>
            <w:vAlign w:val="center"/>
          </w:tcPr>
          <w:p w14:paraId="517B9BB3" w14:textId="77777777" w:rsidR="00990B14" w:rsidRDefault="00000000">
            <w:pPr>
              <w:spacing w:before="20" w:after="20"/>
              <w:jc w:val="both"/>
            </w:pPr>
            <w:r>
              <w:rPr>
                <w:sz w:val="18"/>
                <w:szCs w:val="18"/>
              </w:rPr>
              <w:t>Incluye el informe de control interno con hallazgos y recomendaciones.</w:t>
            </w:r>
          </w:p>
        </w:tc>
        <w:tc>
          <w:tcPr>
            <w:tcW w:w="2120" w:type="dxa"/>
            <w:shd w:val="clear" w:color="auto" w:fill="D9E2F3"/>
            <w:vAlign w:val="center"/>
          </w:tcPr>
          <w:p w14:paraId="0E110516" w14:textId="77777777" w:rsidR="00990B14" w:rsidRDefault="00000000">
            <w:pPr>
              <w:spacing w:before="20" w:after="20"/>
              <w:jc w:val="both"/>
            </w:pPr>
            <w:r>
              <w:rPr>
                <w:sz w:val="18"/>
                <w:szCs w:val="18"/>
              </w:rPr>
              <w:t>Relaciona las deficiencias de control con los riesgos de los estados financieros.</w:t>
            </w:r>
          </w:p>
        </w:tc>
      </w:tr>
      <w:tr w:rsidR="00990B14" w14:paraId="292341F1" w14:textId="77777777">
        <w:trPr>
          <w:cantSplit/>
          <w:jc w:val="center"/>
        </w:trPr>
        <w:tc>
          <w:tcPr>
            <w:tcW w:w="1635" w:type="dxa"/>
            <w:vMerge/>
            <w:shd w:val="clear" w:color="auto" w:fill="4472C4"/>
            <w:vAlign w:val="center"/>
          </w:tcPr>
          <w:p w14:paraId="279414BB" w14:textId="77777777" w:rsidR="00990B14" w:rsidRDefault="00990B14">
            <w:pPr>
              <w:spacing w:before="20" w:after="20"/>
            </w:pPr>
          </w:p>
        </w:tc>
        <w:tc>
          <w:tcPr>
            <w:tcW w:w="1830" w:type="dxa"/>
            <w:shd w:val="clear" w:color="auto" w:fill="D9E2F3"/>
            <w:vAlign w:val="center"/>
          </w:tcPr>
          <w:p w14:paraId="76EC1FE0" w14:textId="77777777" w:rsidR="00990B14" w:rsidRDefault="00000000">
            <w:pPr>
              <w:spacing w:before="20" w:after="20"/>
              <w:jc w:val="both"/>
            </w:pPr>
            <w:r>
              <w:rPr>
                <w:sz w:val="18"/>
                <w:szCs w:val="18"/>
              </w:rPr>
              <w:t>Independencia y objetividad</w:t>
            </w:r>
          </w:p>
        </w:tc>
        <w:tc>
          <w:tcPr>
            <w:tcW w:w="1910" w:type="dxa"/>
            <w:shd w:val="clear" w:color="auto" w:fill="D9E2F3"/>
            <w:vAlign w:val="center"/>
          </w:tcPr>
          <w:p w14:paraId="5B8FBB53" w14:textId="77777777" w:rsidR="00990B14" w:rsidRDefault="00000000">
            <w:pPr>
              <w:spacing w:before="20" w:after="20"/>
              <w:jc w:val="both"/>
            </w:pPr>
            <w:r>
              <w:rPr>
                <w:sz w:val="18"/>
                <w:szCs w:val="18"/>
              </w:rPr>
              <w:t>Redacta con juicios sin respaldo en los papeles de trabajo.</w:t>
            </w:r>
          </w:p>
        </w:tc>
        <w:tc>
          <w:tcPr>
            <w:tcW w:w="1910" w:type="dxa"/>
            <w:shd w:val="clear" w:color="auto" w:fill="D9E2F3"/>
            <w:vAlign w:val="center"/>
          </w:tcPr>
          <w:p w14:paraId="34124F2C" w14:textId="77777777" w:rsidR="00990B14" w:rsidRDefault="00000000">
            <w:pPr>
              <w:spacing w:before="20" w:after="20"/>
              <w:jc w:val="both"/>
            </w:pPr>
            <w:r>
              <w:rPr>
                <w:sz w:val="18"/>
                <w:szCs w:val="18"/>
              </w:rPr>
              <w:t>Redacta con objetividad y lenguaje claro.</w:t>
            </w:r>
          </w:p>
        </w:tc>
        <w:tc>
          <w:tcPr>
            <w:tcW w:w="2120" w:type="dxa"/>
            <w:shd w:val="clear" w:color="auto" w:fill="D9E2F3"/>
            <w:vAlign w:val="center"/>
          </w:tcPr>
          <w:p w14:paraId="3D7413AA" w14:textId="77777777" w:rsidR="00990B14" w:rsidRDefault="00000000">
            <w:pPr>
              <w:spacing w:before="20" w:after="20"/>
              <w:jc w:val="both"/>
            </w:pPr>
            <w:r>
              <w:rPr>
                <w:sz w:val="18"/>
                <w:szCs w:val="18"/>
              </w:rPr>
              <w:t>Demuestra independencia y sustenta cada afirmación con papeles de trabajo.</w:t>
            </w:r>
          </w:p>
        </w:tc>
      </w:tr>
      <w:tr w:rsidR="00990B14" w14:paraId="63DD26C5" w14:textId="77777777">
        <w:trPr>
          <w:cantSplit/>
          <w:jc w:val="center"/>
        </w:trPr>
        <w:tc>
          <w:tcPr>
            <w:tcW w:w="1635" w:type="dxa"/>
            <w:vMerge/>
            <w:shd w:val="clear" w:color="auto" w:fill="4472C4"/>
            <w:vAlign w:val="center"/>
          </w:tcPr>
          <w:p w14:paraId="48A58494" w14:textId="77777777" w:rsidR="00990B14" w:rsidRDefault="00990B14">
            <w:pPr>
              <w:spacing w:before="20" w:after="20"/>
            </w:pPr>
          </w:p>
        </w:tc>
        <w:tc>
          <w:tcPr>
            <w:tcW w:w="5650" w:type="dxa"/>
            <w:gridSpan w:val="3"/>
            <w:shd w:val="clear" w:color="auto" w:fill="D9E2F3"/>
            <w:vAlign w:val="center"/>
          </w:tcPr>
          <w:p w14:paraId="10DC0D4A" w14:textId="77777777" w:rsidR="00990B14" w:rsidRDefault="00000000">
            <w:pPr>
              <w:keepNext/>
              <w:spacing w:before="20" w:after="20"/>
              <w:jc w:val="both"/>
            </w:pPr>
            <w:r>
              <w:rPr>
                <w:b/>
                <w:bCs/>
                <w:i/>
                <w:iCs/>
                <w:sz w:val="18"/>
                <w:szCs w:val="18"/>
              </w:rPr>
              <w:t xml:space="preserve">Producto 17: </w:t>
            </w:r>
            <w:r>
              <w:rPr>
                <w:sz w:val="18"/>
                <w:szCs w:val="18"/>
              </w:rPr>
              <w:t>Documentos de relevamiento de información, conocimiento de la entidad, análisis de indicios de responsabilidad por la función pública y otros.</w:t>
            </w:r>
          </w:p>
        </w:tc>
        <w:tc>
          <w:tcPr>
            <w:tcW w:w="2120" w:type="dxa"/>
            <w:shd w:val="clear" w:color="auto" w:fill="D9E2F3"/>
            <w:vAlign w:val="center"/>
          </w:tcPr>
          <w:p w14:paraId="64F69C75" w14:textId="77777777" w:rsidR="00990B14" w:rsidRDefault="00000000">
            <w:pPr>
              <w:spacing w:before="20" w:after="20"/>
              <w:jc w:val="center"/>
            </w:pPr>
            <w:r>
              <w:rPr>
                <w:b/>
                <w:bCs/>
                <w:sz w:val="18"/>
                <w:szCs w:val="18"/>
              </w:rPr>
              <w:t>5%</w:t>
            </w:r>
          </w:p>
        </w:tc>
      </w:tr>
      <w:tr w:rsidR="00990B14" w14:paraId="5835A131" w14:textId="77777777">
        <w:trPr>
          <w:cantSplit/>
          <w:jc w:val="center"/>
        </w:trPr>
        <w:tc>
          <w:tcPr>
            <w:tcW w:w="1635" w:type="dxa"/>
            <w:vMerge/>
            <w:shd w:val="clear" w:color="auto" w:fill="4472C4"/>
            <w:vAlign w:val="center"/>
          </w:tcPr>
          <w:p w14:paraId="36252D7B" w14:textId="77777777" w:rsidR="00990B14" w:rsidRDefault="00990B14">
            <w:pPr>
              <w:spacing w:before="20" w:after="20"/>
            </w:pPr>
          </w:p>
        </w:tc>
        <w:tc>
          <w:tcPr>
            <w:tcW w:w="1830" w:type="dxa"/>
            <w:shd w:val="clear" w:color="auto" w:fill="4472C4"/>
            <w:vAlign w:val="center"/>
          </w:tcPr>
          <w:p w14:paraId="4B4EA053"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2269656C"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4064AED6"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71940FF8" w14:textId="77777777" w:rsidR="00990B14" w:rsidRDefault="00000000">
            <w:pPr>
              <w:keepNext/>
              <w:spacing w:before="20" w:after="20"/>
              <w:jc w:val="center"/>
            </w:pPr>
            <w:r>
              <w:rPr>
                <w:b/>
                <w:bCs/>
                <w:i/>
                <w:iCs/>
                <w:color w:val="FFFFFF"/>
                <w:sz w:val="18"/>
                <w:szCs w:val="18"/>
              </w:rPr>
              <w:t>Destacado (81–100)</w:t>
            </w:r>
          </w:p>
        </w:tc>
      </w:tr>
      <w:tr w:rsidR="00990B14" w14:paraId="583CD97F" w14:textId="77777777">
        <w:trPr>
          <w:cantSplit/>
          <w:jc w:val="center"/>
        </w:trPr>
        <w:tc>
          <w:tcPr>
            <w:tcW w:w="1635" w:type="dxa"/>
            <w:vMerge/>
            <w:shd w:val="clear" w:color="auto" w:fill="4472C4"/>
            <w:vAlign w:val="center"/>
          </w:tcPr>
          <w:p w14:paraId="1C75B7A2" w14:textId="77777777" w:rsidR="00990B14" w:rsidRDefault="00990B14">
            <w:pPr>
              <w:spacing w:before="20" w:after="20"/>
            </w:pPr>
          </w:p>
        </w:tc>
        <w:tc>
          <w:tcPr>
            <w:tcW w:w="1830" w:type="dxa"/>
            <w:shd w:val="clear" w:color="auto" w:fill="D9E2F3"/>
            <w:vAlign w:val="center"/>
          </w:tcPr>
          <w:p w14:paraId="6B128BBB" w14:textId="77777777" w:rsidR="00990B14" w:rsidRDefault="00000000">
            <w:pPr>
              <w:spacing w:before="20" w:after="20"/>
              <w:jc w:val="both"/>
            </w:pPr>
            <w:r>
              <w:rPr>
                <w:sz w:val="18"/>
                <w:szCs w:val="18"/>
              </w:rPr>
              <w:t>Conocimiento de la entidad</w:t>
            </w:r>
          </w:p>
        </w:tc>
        <w:tc>
          <w:tcPr>
            <w:tcW w:w="1910" w:type="dxa"/>
            <w:shd w:val="clear" w:color="auto" w:fill="D9E2F3"/>
            <w:vAlign w:val="center"/>
          </w:tcPr>
          <w:p w14:paraId="41876285" w14:textId="77777777" w:rsidR="00990B14" w:rsidRDefault="00000000">
            <w:pPr>
              <w:spacing w:before="20" w:after="20"/>
              <w:jc w:val="both"/>
            </w:pPr>
            <w:r>
              <w:rPr>
                <w:sz w:val="18"/>
                <w:szCs w:val="18"/>
              </w:rPr>
              <w:t>Omite aspectos de la estructura, las operaciones o las funciones de la entidad.</w:t>
            </w:r>
          </w:p>
        </w:tc>
        <w:tc>
          <w:tcPr>
            <w:tcW w:w="1910" w:type="dxa"/>
            <w:shd w:val="clear" w:color="auto" w:fill="D9E2F3"/>
            <w:vAlign w:val="center"/>
          </w:tcPr>
          <w:p w14:paraId="01DB5D37" w14:textId="77777777" w:rsidR="00990B14" w:rsidRDefault="00000000">
            <w:pPr>
              <w:spacing w:before="20" w:after="20"/>
              <w:jc w:val="both"/>
            </w:pPr>
            <w:r>
              <w:rPr>
                <w:sz w:val="18"/>
                <w:szCs w:val="18"/>
              </w:rPr>
              <w:t>Describe la entidad, su estructura y sus operaciones.</w:t>
            </w:r>
          </w:p>
        </w:tc>
        <w:tc>
          <w:tcPr>
            <w:tcW w:w="2120" w:type="dxa"/>
            <w:shd w:val="clear" w:color="auto" w:fill="D9E2F3"/>
            <w:vAlign w:val="center"/>
          </w:tcPr>
          <w:p w14:paraId="5793B2BD" w14:textId="77777777" w:rsidR="00990B14" w:rsidRDefault="00000000">
            <w:pPr>
              <w:spacing w:before="20" w:after="20"/>
              <w:jc w:val="both"/>
            </w:pPr>
            <w:r>
              <w:rPr>
                <w:sz w:val="18"/>
                <w:szCs w:val="18"/>
              </w:rPr>
              <w:t>Relaciona las características de la entidad con los riesgos de incumplimiento.</w:t>
            </w:r>
          </w:p>
        </w:tc>
      </w:tr>
      <w:tr w:rsidR="00990B14" w14:paraId="366C3D34" w14:textId="77777777">
        <w:trPr>
          <w:cantSplit/>
          <w:jc w:val="center"/>
        </w:trPr>
        <w:tc>
          <w:tcPr>
            <w:tcW w:w="1635" w:type="dxa"/>
            <w:vMerge/>
            <w:shd w:val="clear" w:color="auto" w:fill="4472C4"/>
            <w:vAlign w:val="center"/>
          </w:tcPr>
          <w:p w14:paraId="3170D001" w14:textId="77777777" w:rsidR="00990B14" w:rsidRDefault="00990B14">
            <w:pPr>
              <w:spacing w:before="20" w:after="20"/>
            </w:pPr>
          </w:p>
        </w:tc>
        <w:tc>
          <w:tcPr>
            <w:tcW w:w="1830" w:type="dxa"/>
            <w:shd w:val="clear" w:color="auto" w:fill="D9E2F3"/>
            <w:vAlign w:val="center"/>
          </w:tcPr>
          <w:p w14:paraId="4FE87B4C" w14:textId="77777777" w:rsidR="00990B14" w:rsidRDefault="00000000">
            <w:pPr>
              <w:spacing w:before="20" w:after="20"/>
              <w:jc w:val="both"/>
            </w:pPr>
            <w:r>
              <w:rPr>
                <w:sz w:val="18"/>
                <w:szCs w:val="18"/>
              </w:rPr>
              <w:t>Ordenamiento jurídico</w:t>
            </w:r>
          </w:p>
        </w:tc>
        <w:tc>
          <w:tcPr>
            <w:tcW w:w="1910" w:type="dxa"/>
            <w:shd w:val="clear" w:color="auto" w:fill="D9E2F3"/>
            <w:vAlign w:val="center"/>
          </w:tcPr>
          <w:p w14:paraId="24CEF0A5" w14:textId="77777777" w:rsidR="00990B14" w:rsidRDefault="00000000">
            <w:pPr>
              <w:spacing w:before="20" w:after="20"/>
              <w:jc w:val="both"/>
            </w:pPr>
            <w:r>
              <w:rPr>
                <w:sz w:val="18"/>
                <w:szCs w:val="18"/>
              </w:rPr>
              <w:t>Omite normas aplicables o las cita sin relación con el objeto de la auditoría.</w:t>
            </w:r>
          </w:p>
        </w:tc>
        <w:tc>
          <w:tcPr>
            <w:tcW w:w="1910" w:type="dxa"/>
            <w:shd w:val="clear" w:color="auto" w:fill="D9E2F3"/>
            <w:vAlign w:val="center"/>
          </w:tcPr>
          <w:p w14:paraId="31F2C235" w14:textId="77777777" w:rsidR="00990B14" w:rsidRDefault="00000000">
            <w:pPr>
              <w:spacing w:before="20" w:after="20"/>
              <w:jc w:val="both"/>
            </w:pPr>
            <w:r>
              <w:rPr>
                <w:sz w:val="18"/>
                <w:szCs w:val="18"/>
              </w:rPr>
              <w:t>Identifica el ordenamiento jurídico administrativo aplicable a la entidad.</w:t>
            </w:r>
          </w:p>
        </w:tc>
        <w:tc>
          <w:tcPr>
            <w:tcW w:w="2120" w:type="dxa"/>
            <w:shd w:val="clear" w:color="auto" w:fill="D9E2F3"/>
            <w:vAlign w:val="center"/>
          </w:tcPr>
          <w:p w14:paraId="4911440B" w14:textId="77777777" w:rsidR="00990B14" w:rsidRDefault="00000000">
            <w:pPr>
              <w:spacing w:before="20" w:after="20"/>
              <w:jc w:val="both"/>
            </w:pPr>
            <w:r>
              <w:rPr>
                <w:sz w:val="18"/>
                <w:szCs w:val="18"/>
              </w:rPr>
              <w:t>Jerarquiza las normas y señala las disposiciones críticas que se evaluarán.</w:t>
            </w:r>
          </w:p>
        </w:tc>
      </w:tr>
      <w:tr w:rsidR="00990B14" w14:paraId="7C6A6BDA" w14:textId="77777777">
        <w:trPr>
          <w:cantSplit/>
          <w:jc w:val="center"/>
        </w:trPr>
        <w:tc>
          <w:tcPr>
            <w:tcW w:w="1635" w:type="dxa"/>
            <w:vMerge/>
            <w:shd w:val="clear" w:color="auto" w:fill="4472C4"/>
            <w:vAlign w:val="center"/>
          </w:tcPr>
          <w:p w14:paraId="7174BA3F" w14:textId="77777777" w:rsidR="00990B14" w:rsidRDefault="00990B14">
            <w:pPr>
              <w:spacing w:before="20" w:after="20"/>
            </w:pPr>
          </w:p>
        </w:tc>
        <w:tc>
          <w:tcPr>
            <w:tcW w:w="1830" w:type="dxa"/>
            <w:shd w:val="clear" w:color="auto" w:fill="D9E2F3"/>
            <w:vAlign w:val="center"/>
          </w:tcPr>
          <w:p w14:paraId="2619F23B" w14:textId="77777777" w:rsidR="00990B14" w:rsidRDefault="00000000">
            <w:pPr>
              <w:spacing w:before="20" w:after="20"/>
              <w:jc w:val="both"/>
            </w:pPr>
            <w:r>
              <w:rPr>
                <w:sz w:val="18"/>
                <w:szCs w:val="18"/>
              </w:rPr>
              <w:t>Indicios preliminares</w:t>
            </w:r>
          </w:p>
        </w:tc>
        <w:tc>
          <w:tcPr>
            <w:tcW w:w="1910" w:type="dxa"/>
            <w:shd w:val="clear" w:color="auto" w:fill="D9E2F3"/>
            <w:vAlign w:val="center"/>
          </w:tcPr>
          <w:p w14:paraId="4C6E9846" w14:textId="77777777" w:rsidR="00990B14" w:rsidRDefault="00000000">
            <w:pPr>
              <w:spacing w:before="20" w:after="20"/>
              <w:jc w:val="both"/>
            </w:pPr>
            <w:r>
              <w:rPr>
                <w:sz w:val="18"/>
                <w:szCs w:val="18"/>
              </w:rPr>
              <w:t>No identifica posibles indicios o los confunde entre sí.</w:t>
            </w:r>
          </w:p>
        </w:tc>
        <w:tc>
          <w:tcPr>
            <w:tcW w:w="1910" w:type="dxa"/>
            <w:shd w:val="clear" w:color="auto" w:fill="D9E2F3"/>
            <w:vAlign w:val="center"/>
          </w:tcPr>
          <w:p w14:paraId="49D4A346" w14:textId="77777777" w:rsidR="00990B14" w:rsidRDefault="00000000">
            <w:pPr>
              <w:spacing w:before="20" w:after="20"/>
              <w:jc w:val="both"/>
            </w:pPr>
            <w:r>
              <w:rPr>
                <w:sz w:val="18"/>
                <w:szCs w:val="18"/>
              </w:rPr>
              <w:t>Analiza los posibles indicios de responsabilidad civil, penal, administrativa y ejecutiva.</w:t>
            </w:r>
          </w:p>
        </w:tc>
        <w:tc>
          <w:tcPr>
            <w:tcW w:w="2120" w:type="dxa"/>
            <w:shd w:val="clear" w:color="auto" w:fill="D9E2F3"/>
            <w:vAlign w:val="center"/>
          </w:tcPr>
          <w:p w14:paraId="7D889934" w14:textId="77777777" w:rsidR="00990B14" w:rsidRDefault="00000000">
            <w:pPr>
              <w:spacing w:before="20" w:after="20"/>
              <w:jc w:val="both"/>
            </w:pPr>
            <w:r>
              <w:rPr>
                <w:sz w:val="18"/>
                <w:szCs w:val="18"/>
              </w:rPr>
              <w:t>Prioriza los indicios según su materialidad y sustenta el análisis con fuentes lícitas</w:t>
            </w:r>
          </w:p>
        </w:tc>
      </w:tr>
      <w:tr w:rsidR="00990B14" w14:paraId="4DC0E91D" w14:textId="77777777">
        <w:trPr>
          <w:cantSplit/>
          <w:jc w:val="center"/>
        </w:trPr>
        <w:tc>
          <w:tcPr>
            <w:tcW w:w="1635" w:type="dxa"/>
            <w:vMerge/>
            <w:shd w:val="clear" w:color="auto" w:fill="4472C4"/>
            <w:vAlign w:val="center"/>
          </w:tcPr>
          <w:p w14:paraId="19B89617" w14:textId="77777777" w:rsidR="00990B14" w:rsidRDefault="00990B14">
            <w:pPr>
              <w:spacing w:before="20" w:after="20"/>
            </w:pPr>
          </w:p>
        </w:tc>
        <w:tc>
          <w:tcPr>
            <w:tcW w:w="5650" w:type="dxa"/>
            <w:gridSpan w:val="3"/>
            <w:shd w:val="clear" w:color="auto" w:fill="D9E2F3"/>
            <w:vAlign w:val="center"/>
          </w:tcPr>
          <w:p w14:paraId="5962A8A0" w14:textId="77777777" w:rsidR="00990B14" w:rsidRDefault="00000000">
            <w:pPr>
              <w:keepNext/>
              <w:spacing w:before="20" w:after="20"/>
              <w:jc w:val="both"/>
            </w:pPr>
            <w:r>
              <w:rPr>
                <w:b/>
                <w:bCs/>
                <w:i/>
                <w:iCs/>
                <w:sz w:val="18"/>
                <w:szCs w:val="18"/>
              </w:rPr>
              <w:t xml:space="preserve">Producto 18: </w:t>
            </w:r>
            <w:r>
              <w:rPr>
                <w:sz w:val="18"/>
                <w:szCs w:val="18"/>
              </w:rPr>
              <w:t>Documento de Memorándum de Planificación de Auditoría (MPA) y programas de auditoría de cumplimiento.</w:t>
            </w:r>
          </w:p>
        </w:tc>
        <w:tc>
          <w:tcPr>
            <w:tcW w:w="2120" w:type="dxa"/>
            <w:shd w:val="clear" w:color="auto" w:fill="D9E2F3"/>
            <w:vAlign w:val="center"/>
          </w:tcPr>
          <w:p w14:paraId="38EBEBC6" w14:textId="77777777" w:rsidR="00990B14" w:rsidRDefault="00000000">
            <w:pPr>
              <w:spacing w:before="20" w:after="20"/>
              <w:jc w:val="center"/>
            </w:pPr>
            <w:r>
              <w:rPr>
                <w:b/>
                <w:bCs/>
                <w:sz w:val="18"/>
                <w:szCs w:val="18"/>
              </w:rPr>
              <w:t>6%</w:t>
            </w:r>
          </w:p>
        </w:tc>
      </w:tr>
      <w:tr w:rsidR="00990B14" w14:paraId="39E248A5" w14:textId="77777777">
        <w:trPr>
          <w:cantSplit/>
          <w:jc w:val="center"/>
        </w:trPr>
        <w:tc>
          <w:tcPr>
            <w:tcW w:w="1635" w:type="dxa"/>
            <w:vMerge/>
            <w:shd w:val="clear" w:color="auto" w:fill="4472C4"/>
            <w:vAlign w:val="center"/>
          </w:tcPr>
          <w:p w14:paraId="7CBBE3BC" w14:textId="77777777" w:rsidR="00990B14" w:rsidRDefault="00990B14">
            <w:pPr>
              <w:spacing w:before="20" w:after="20"/>
            </w:pPr>
          </w:p>
        </w:tc>
        <w:tc>
          <w:tcPr>
            <w:tcW w:w="1830" w:type="dxa"/>
            <w:shd w:val="clear" w:color="auto" w:fill="4472C4"/>
            <w:vAlign w:val="center"/>
          </w:tcPr>
          <w:p w14:paraId="4F1C9A35"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1754C749"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2A6E01CE"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5947FDD9" w14:textId="77777777" w:rsidR="00990B14" w:rsidRDefault="00000000">
            <w:pPr>
              <w:keepNext/>
              <w:spacing w:before="20" w:after="20"/>
              <w:jc w:val="center"/>
            </w:pPr>
            <w:r>
              <w:rPr>
                <w:b/>
                <w:bCs/>
                <w:i/>
                <w:iCs/>
                <w:color w:val="FFFFFF"/>
                <w:sz w:val="18"/>
                <w:szCs w:val="18"/>
              </w:rPr>
              <w:t>Destacado (81–100)</w:t>
            </w:r>
          </w:p>
        </w:tc>
      </w:tr>
      <w:tr w:rsidR="00990B14" w14:paraId="39918A0D" w14:textId="77777777">
        <w:trPr>
          <w:cantSplit/>
          <w:jc w:val="center"/>
        </w:trPr>
        <w:tc>
          <w:tcPr>
            <w:tcW w:w="1635" w:type="dxa"/>
            <w:vMerge/>
            <w:shd w:val="clear" w:color="auto" w:fill="4472C4"/>
            <w:vAlign w:val="center"/>
          </w:tcPr>
          <w:p w14:paraId="3909C17A" w14:textId="77777777" w:rsidR="00990B14" w:rsidRDefault="00990B14">
            <w:pPr>
              <w:spacing w:before="20" w:after="20"/>
            </w:pPr>
          </w:p>
        </w:tc>
        <w:tc>
          <w:tcPr>
            <w:tcW w:w="1830" w:type="dxa"/>
            <w:shd w:val="clear" w:color="auto" w:fill="D9E2F3"/>
            <w:vAlign w:val="center"/>
          </w:tcPr>
          <w:p w14:paraId="46502F80" w14:textId="77777777" w:rsidR="00990B14" w:rsidRDefault="00000000">
            <w:pPr>
              <w:spacing w:before="20" w:after="20"/>
              <w:jc w:val="both"/>
            </w:pPr>
            <w:r>
              <w:rPr>
                <w:sz w:val="18"/>
                <w:szCs w:val="18"/>
              </w:rPr>
              <w:t>Contenido del memorándum</w:t>
            </w:r>
          </w:p>
        </w:tc>
        <w:tc>
          <w:tcPr>
            <w:tcW w:w="1910" w:type="dxa"/>
            <w:shd w:val="clear" w:color="auto" w:fill="D9E2F3"/>
            <w:vAlign w:val="center"/>
          </w:tcPr>
          <w:p w14:paraId="0D3B1499" w14:textId="77777777" w:rsidR="00990B14" w:rsidRDefault="00000000">
            <w:pPr>
              <w:spacing w:before="20" w:after="20"/>
              <w:jc w:val="both"/>
            </w:pPr>
            <w:r>
              <w:rPr>
                <w:sz w:val="18"/>
                <w:szCs w:val="18"/>
              </w:rPr>
              <w:t>Omite uno o más apartados: antecedentes, objetivo, objeto, alcance, metodología o marco normativo.</w:t>
            </w:r>
          </w:p>
        </w:tc>
        <w:tc>
          <w:tcPr>
            <w:tcW w:w="1910" w:type="dxa"/>
            <w:shd w:val="clear" w:color="auto" w:fill="D9E2F3"/>
            <w:vAlign w:val="center"/>
          </w:tcPr>
          <w:p w14:paraId="2E91F5EB" w14:textId="77777777" w:rsidR="00990B14" w:rsidRDefault="00000000">
            <w:pPr>
              <w:spacing w:before="20" w:after="20"/>
              <w:jc w:val="both"/>
            </w:pPr>
            <w:r>
              <w:rPr>
                <w:sz w:val="18"/>
                <w:szCs w:val="18"/>
              </w:rPr>
              <w:t>Incluye todos los apartados exigidos para el memorándum de planificación.</w:t>
            </w:r>
          </w:p>
        </w:tc>
        <w:tc>
          <w:tcPr>
            <w:tcW w:w="2120" w:type="dxa"/>
            <w:shd w:val="clear" w:color="auto" w:fill="D9E2F3"/>
            <w:vAlign w:val="center"/>
          </w:tcPr>
          <w:p w14:paraId="30940506" w14:textId="77777777" w:rsidR="00990B14" w:rsidRDefault="00000000">
            <w:pPr>
              <w:spacing w:before="20" w:after="20"/>
              <w:jc w:val="both"/>
            </w:pPr>
            <w:r>
              <w:rPr>
                <w:sz w:val="18"/>
                <w:szCs w:val="18"/>
              </w:rPr>
              <w:t>Redacta apartados coherentes entre sí y ajustados a las características de la entidad.</w:t>
            </w:r>
          </w:p>
        </w:tc>
      </w:tr>
      <w:tr w:rsidR="00990B14" w14:paraId="2DED735F" w14:textId="77777777">
        <w:trPr>
          <w:cantSplit/>
          <w:jc w:val="center"/>
        </w:trPr>
        <w:tc>
          <w:tcPr>
            <w:tcW w:w="1635" w:type="dxa"/>
            <w:vMerge/>
            <w:shd w:val="clear" w:color="auto" w:fill="4472C4"/>
            <w:vAlign w:val="center"/>
          </w:tcPr>
          <w:p w14:paraId="1F69EA85" w14:textId="77777777" w:rsidR="00990B14" w:rsidRDefault="00990B14">
            <w:pPr>
              <w:spacing w:before="20" w:after="20"/>
            </w:pPr>
          </w:p>
        </w:tc>
        <w:tc>
          <w:tcPr>
            <w:tcW w:w="1830" w:type="dxa"/>
            <w:shd w:val="clear" w:color="auto" w:fill="D9E2F3"/>
            <w:vAlign w:val="center"/>
          </w:tcPr>
          <w:p w14:paraId="3D56A2F8" w14:textId="77777777" w:rsidR="00990B14" w:rsidRDefault="00000000">
            <w:pPr>
              <w:spacing w:before="20" w:after="20"/>
              <w:jc w:val="both"/>
            </w:pPr>
            <w:r>
              <w:rPr>
                <w:sz w:val="18"/>
                <w:szCs w:val="18"/>
              </w:rPr>
              <w:t>Programas de cumplimiento</w:t>
            </w:r>
          </w:p>
        </w:tc>
        <w:tc>
          <w:tcPr>
            <w:tcW w:w="1910" w:type="dxa"/>
            <w:shd w:val="clear" w:color="auto" w:fill="D9E2F3"/>
            <w:vAlign w:val="center"/>
          </w:tcPr>
          <w:p w14:paraId="3FB6D5D7" w14:textId="77777777" w:rsidR="00990B14" w:rsidRDefault="00000000">
            <w:pPr>
              <w:spacing w:before="20" w:after="20"/>
              <w:jc w:val="both"/>
            </w:pPr>
            <w:r>
              <w:rPr>
                <w:sz w:val="18"/>
                <w:szCs w:val="18"/>
              </w:rPr>
              <w:t>Elabora procedimientos que no evalúan el cumplimiento de la norma.</w:t>
            </w:r>
          </w:p>
        </w:tc>
        <w:tc>
          <w:tcPr>
            <w:tcW w:w="1910" w:type="dxa"/>
            <w:shd w:val="clear" w:color="auto" w:fill="D9E2F3"/>
            <w:vAlign w:val="center"/>
          </w:tcPr>
          <w:p w14:paraId="64367976" w14:textId="77777777" w:rsidR="00990B14" w:rsidRDefault="00000000">
            <w:pPr>
              <w:spacing w:before="20" w:after="20"/>
              <w:jc w:val="both"/>
            </w:pPr>
            <w:r>
              <w:rPr>
                <w:sz w:val="18"/>
                <w:szCs w:val="18"/>
              </w:rPr>
              <w:t>Elabora procedimientos pertinentes para verificar el cumplimiento del ordenamiento jurídico.</w:t>
            </w:r>
          </w:p>
        </w:tc>
        <w:tc>
          <w:tcPr>
            <w:tcW w:w="2120" w:type="dxa"/>
            <w:shd w:val="clear" w:color="auto" w:fill="D9E2F3"/>
            <w:vAlign w:val="center"/>
          </w:tcPr>
          <w:p w14:paraId="18DE9456" w14:textId="77777777" w:rsidR="00990B14" w:rsidRDefault="00000000">
            <w:pPr>
              <w:spacing w:before="20" w:after="20"/>
              <w:jc w:val="both"/>
            </w:pPr>
            <w:r>
              <w:rPr>
                <w:sz w:val="18"/>
                <w:szCs w:val="18"/>
              </w:rPr>
              <w:t>Vincula cada procedimiento con la norma evaluada y con la evidencia lícita que se obtendrá.</w:t>
            </w:r>
          </w:p>
        </w:tc>
      </w:tr>
      <w:tr w:rsidR="00990B14" w14:paraId="70F95707" w14:textId="77777777">
        <w:trPr>
          <w:cantSplit/>
          <w:jc w:val="center"/>
        </w:trPr>
        <w:tc>
          <w:tcPr>
            <w:tcW w:w="1635" w:type="dxa"/>
            <w:vMerge/>
            <w:shd w:val="clear" w:color="auto" w:fill="4472C4"/>
            <w:vAlign w:val="center"/>
          </w:tcPr>
          <w:p w14:paraId="096FCBF9" w14:textId="77777777" w:rsidR="00990B14" w:rsidRDefault="00990B14">
            <w:pPr>
              <w:spacing w:before="20" w:after="20"/>
            </w:pPr>
          </w:p>
        </w:tc>
        <w:tc>
          <w:tcPr>
            <w:tcW w:w="1830" w:type="dxa"/>
            <w:shd w:val="clear" w:color="auto" w:fill="D9E2F3"/>
            <w:vAlign w:val="center"/>
          </w:tcPr>
          <w:p w14:paraId="20F0B55F" w14:textId="77777777" w:rsidR="00990B14" w:rsidRDefault="00000000">
            <w:pPr>
              <w:spacing w:before="20" w:after="20"/>
              <w:jc w:val="both"/>
            </w:pPr>
            <w:r>
              <w:rPr>
                <w:sz w:val="18"/>
                <w:szCs w:val="18"/>
              </w:rPr>
              <w:t>Objeto y alcance</w:t>
            </w:r>
          </w:p>
        </w:tc>
        <w:tc>
          <w:tcPr>
            <w:tcW w:w="1910" w:type="dxa"/>
            <w:shd w:val="clear" w:color="auto" w:fill="D9E2F3"/>
            <w:vAlign w:val="center"/>
          </w:tcPr>
          <w:p w14:paraId="4D6AD3E7" w14:textId="77777777" w:rsidR="00990B14" w:rsidRDefault="00000000">
            <w:pPr>
              <w:spacing w:before="20" w:after="20"/>
              <w:jc w:val="both"/>
            </w:pPr>
            <w:r>
              <w:rPr>
                <w:sz w:val="18"/>
                <w:szCs w:val="18"/>
              </w:rPr>
              <w:t>Define el objeto y el alcance de forma imprecisa o contradictoria.</w:t>
            </w:r>
          </w:p>
        </w:tc>
        <w:tc>
          <w:tcPr>
            <w:tcW w:w="1910" w:type="dxa"/>
            <w:shd w:val="clear" w:color="auto" w:fill="D9E2F3"/>
            <w:vAlign w:val="center"/>
          </w:tcPr>
          <w:p w14:paraId="16502F52" w14:textId="77777777" w:rsidR="00990B14" w:rsidRDefault="00000000">
            <w:pPr>
              <w:spacing w:before="20" w:after="20"/>
              <w:jc w:val="both"/>
            </w:pPr>
            <w:r>
              <w:rPr>
                <w:sz w:val="18"/>
                <w:szCs w:val="18"/>
              </w:rPr>
              <w:t>Define con precisión el objeto, el alcance y el período auditado.</w:t>
            </w:r>
          </w:p>
        </w:tc>
        <w:tc>
          <w:tcPr>
            <w:tcW w:w="2120" w:type="dxa"/>
            <w:shd w:val="clear" w:color="auto" w:fill="D9E2F3"/>
            <w:vAlign w:val="center"/>
          </w:tcPr>
          <w:p w14:paraId="1D340D92" w14:textId="77777777" w:rsidR="00990B14" w:rsidRDefault="00000000">
            <w:pPr>
              <w:spacing w:before="20" w:after="20"/>
              <w:jc w:val="both"/>
            </w:pPr>
            <w:r>
              <w:rPr>
                <w:sz w:val="18"/>
                <w:szCs w:val="18"/>
              </w:rPr>
              <w:t>Justifica el alcance según los riesgos de incumplimiento y los recursos disponibles.</w:t>
            </w:r>
          </w:p>
        </w:tc>
      </w:tr>
      <w:tr w:rsidR="00990B14" w14:paraId="349DF538" w14:textId="77777777">
        <w:trPr>
          <w:cantSplit/>
          <w:jc w:val="center"/>
        </w:trPr>
        <w:tc>
          <w:tcPr>
            <w:tcW w:w="1635" w:type="dxa"/>
            <w:vMerge/>
            <w:shd w:val="clear" w:color="auto" w:fill="4472C4"/>
            <w:vAlign w:val="center"/>
          </w:tcPr>
          <w:p w14:paraId="288CA234" w14:textId="77777777" w:rsidR="00990B14" w:rsidRDefault="00990B14">
            <w:pPr>
              <w:spacing w:before="20" w:after="20"/>
            </w:pPr>
          </w:p>
        </w:tc>
        <w:tc>
          <w:tcPr>
            <w:tcW w:w="5650" w:type="dxa"/>
            <w:gridSpan w:val="3"/>
            <w:shd w:val="clear" w:color="auto" w:fill="D9E2F3"/>
            <w:vAlign w:val="center"/>
          </w:tcPr>
          <w:p w14:paraId="363765B4" w14:textId="77777777" w:rsidR="00990B14" w:rsidRDefault="00000000">
            <w:pPr>
              <w:keepNext/>
              <w:spacing w:before="20" w:after="20"/>
              <w:jc w:val="both"/>
            </w:pPr>
            <w:r>
              <w:rPr>
                <w:b/>
                <w:bCs/>
                <w:i/>
                <w:iCs/>
                <w:sz w:val="18"/>
                <w:szCs w:val="18"/>
              </w:rPr>
              <w:t xml:space="preserve">Producto 19: </w:t>
            </w:r>
            <w:r>
              <w:rPr>
                <w:sz w:val="18"/>
                <w:szCs w:val="18"/>
              </w:rPr>
              <w:t>Documentos de papeles de trabajo, y legajos de ejecución de la auditoría de cumplimiento.</w:t>
            </w:r>
          </w:p>
        </w:tc>
        <w:tc>
          <w:tcPr>
            <w:tcW w:w="2120" w:type="dxa"/>
            <w:shd w:val="clear" w:color="auto" w:fill="D9E2F3"/>
            <w:vAlign w:val="center"/>
          </w:tcPr>
          <w:p w14:paraId="064588CE" w14:textId="77777777" w:rsidR="00990B14" w:rsidRDefault="00000000">
            <w:pPr>
              <w:spacing w:before="20" w:after="20"/>
              <w:jc w:val="center"/>
            </w:pPr>
            <w:r>
              <w:rPr>
                <w:b/>
                <w:bCs/>
                <w:sz w:val="18"/>
                <w:szCs w:val="18"/>
              </w:rPr>
              <w:t>6%</w:t>
            </w:r>
          </w:p>
        </w:tc>
      </w:tr>
      <w:tr w:rsidR="00990B14" w14:paraId="44B14F6D" w14:textId="77777777">
        <w:trPr>
          <w:cantSplit/>
          <w:jc w:val="center"/>
        </w:trPr>
        <w:tc>
          <w:tcPr>
            <w:tcW w:w="1635" w:type="dxa"/>
            <w:vMerge/>
            <w:shd w:val="clear" w:color="auto" w:fill="4472C4"/>
            <w:vAlign w:val="center"/>
          </w:tcPr>
          <w:p w14:paraId="2AD52988" w14:textId="77777777" w:rsidR="00990B14" w:rsidRDefault="00990B14">
            <w:pPr>
              <w:spacing w:before="20" w:after="20"/>
            </w:pPr>
          </w:p>
        </w:tc>
        <w:tc>
          <w:tcPr>
            <w:tcW w:w="1830" w:type="dxa"/>
            <w:shd w:val="clear" w:color="auto" w:fill="4472C4"/>
            <w:vAlign w:val="center"/>
          </w:tcPr>
          <w:p w14:paraId="4EA7051F"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787C515F"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544AA4EB"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4EA5AB81" w14:textId="77777777" w:rsidR="00990B14" w:rsidRDefault="00000000">
            <w:pPr>
              <w:keepNext/>
              <w:spacing w:before="20" w:after="20"/>
              <w:jc w:val="center"/>
            </w:pPr>
            <w:r>
              <w:rPr>
                <w:b/>
                <w:bCs/>
                <w:i/>
                <w:iCs/>
                <w:color w:val="FFFFFF"/>
                <w:sz w:val="18"/>
                <w:szCs w:val="18"/>
              </w:rPr>
              <w:t>Destacado (81–100)</w:t>
            </w:r>
          </w:p>
        </w:tc>
      </w:tr>
      <w:tr w:rsidR="00990B14" w14:paraId="4DACE21E" w14:textId="77777777">
        <w:trPr>
          <w:cantSplit/>
          <w:jc w:val="center"/>
        </w:trPr>
        <w:tc>
          <w:tcPr>
            <w:tcW w:w="1635" w:type="dxa"/>
            <w:vMerge/>
            <w:shd w:val="clear" w:color="auto" w:fill="4472C4"/>
            <w:vAlign w:val="center"/>
          </w:tcPr>
          <w:p w14:paraId="6140E116" w14:textId="77777777" w:rsidR="00990B14" w:rsidRDefault="00990B14">
            <w:pPr>
              <w:spacing w:before="20" w:after="20"/>
            </w:pPr>
          </w:p>
        </w:tc>
        <w:tc>
          <w:tcPr>
            <w:tcW w:w="1830" w:type="dxa"/>
            <w:shd w:val="clear" w:color="auto" w:fill="D9E2F3"/>
            <w:vAlign w:val="center"/>
          </w:tcPr>
          <w:p w14:paraId="1107F6B1" w14:textId="77777777" w:rsidR="00990B14" w:rsidRDefault="00000000">
            <w:pPr>
              <w:spacing w:before="20" w:after="20"/>
              <w:jc w:val="both"/>
            </w:pPr>
            <w:r>
              <w:rPr>
                <w:sz w:val="18"/>
                <w:szCs w:val="18"/>
              </w:rPr>
              <w:t>Evidencia lícita</w:t>
            </w:r>
          </w:p>
        </w:tc>
        <w:tc>
          <w:tcPr>
            <w:tcW w:w="1910" w:type="dxa"/>
            <w:shd w:val="clear" w:color="auto" w:fill="D9E2F3"/>
            <w:vAlign w:val="center"/>
          </w:tcPr>
          <w:p w14:paraId="798F94C7" w14:textId="77777777" w:rsidR="00990B14" w:rsidRDefault="00000000">
            <w:pPr>
              <w:spacing w:before="20" w:after="20"/>
              <w:jc w:val="both"/>
            </w:pPr>
            <w:r>
              <w:rPr>
                <w:sz w:val="18"/>
                <w:szCs w:val="18"/>
              </w:rPr>
              <w:t>Presenta evidencia sin respaldo legal o de origen dudoso.</w:t>
            </w:r>
          </w:p>
        </w:tc>
        <w:tc>
          <w:tcPr>
            <w:tcW w:w="1910" w:type="dxa"/>
            <w:shd w:val="clear" w:color="auto" w:fill="D9E2F3"/>
            <w:vAlign w:val="center"/>
          </w:tcPr>
          <w:p w14:paraId="144B8424" w14:textId="77777777" w:rsidR="00990B14" w:rsidRDefault="00000000">
            <w:pPr>
              <w:spacing w:before="20" w:after="20"/>
              <w:jc w:val="both"/>
            </w:pPr>
            <w:r>
              <w:rPr>
                <w:sz w:val="18"/>
                <w:szCs w:val="18"/>
              </w:rPr>
              <w:t>Presenta evidencia legal, lícita y suficiente.</w:t>
            </w:r>
          </w:p>
        </w:tc>
        <w:tc>
          <w:tcPr>
            <w:tcW w:w="2120" w:type="dxa"/>
            <w:shd w:val="clear" w:color="auto" w:fill="D9E2F3"/>
            <w:vAlign w:val="center"/>
          </w:tcPr>
          <w:p w14:paraId="301917A5" w14:textId="77777777" w:rsidR="00990B14" w:rsidRDefault="00000000">
            <w:pPr>
              <w:spacing w:before="20" w:after="20"/>
              <w:jc w:val="both"/>
            </w:pPr>
            <w:r>
              <w:rPr>
                <w:sz w:val="18"/>
                <w:szCs w:val="18"/>
              </w:rPr>
              <w:t>Verifica la licitud y la admisibilidad de la evidencia como medio de prueba.</w:t>
            </w:r>
          </w:p>
        </w:tc>
      </w:tr>
      <w:tr w:rsidR="00990B14" w14:paraId="70F3BF6A" w14:textId="77777777">
        <w:trPr>
          <w:cantSplit/>
          <w:jc w:val="center"/>
        </w:trPr>
        <w:tc>
          <w:tcPr>
            <w:tcW w:w="1635" w:type="dxa"/>
            <w:vMerge/>
            <w:shd w:val="clear" w:color="auto" w:fill="4472C4"/>
            <w:vAlign w:val="center"/>
          </w:tcPr>
          <w:p w14:paraId="7C6B762E" w14:textId="77777777" w:rsidR="00990B14" w:rsidRDefault="00990B14">
            <w:pPr>
              <w:spacing w:before="20" w:after="20"/>
            </w:pPr>
          </w:p>
        </w:tc>
        <w:tc>
          <w:tcPr>
            <w:tcW w:w="1830" w:type="dxa"/>
            <w:shd w:val="clear" w:color="auto" w:fill="D9E2F3"/>
            <w:vAlign w:val="center"/>
          </w:tcPr>
          <w:p w14:paraId="41A1C862" w14:textId="77777777" w:rsidR="00990B14" w:rsidRDefault="00000000">
            <w:pPr>
              <w:spacing w:before="20" w:after="20"/>
              <w:jc w:val="both"/>
            </w:pPr>
            <w:r>
              <w:rPr>
                <w:sz w:val="18"/>
                <w:szCs w:val="18"/>
              </w:rPr>
              <w:t>Procedimientos de cumplimiento</w:t>
            </w:r>
          </w:p>
        </w:tc>
        <w:tc>
          <w:tcPr>
            <w:tcW w:w="1910" w:type="dxa"/>
            <w:shd w:val="clear" w:color="auto" w:fill="D9E2F3"/>
            <w:vAlign w:val="center"/>
          </w:tcPr>
          <w:p w14:paraId="7691333C" w14:textId="77777777" w:rsidR="00990B14" w:rsidRDefault="00000000">
            <w:pPr>
              <w:spacing w:before="20" w:after="20"/>
              <w:jc w:val="both"/>
            </w:pPr>
            <w:r>
              <w:rPr>
                <w:sz w:val="18"/>
                <w:szCs w:val="18"/>
              </w:rPr>
              <w:t>Aplica procedimientos incompletos o sin conclusión.</w:t>
            </w:r>
          </w:p>
        </w:tc>
        <w:tc>
          <w:tcPr>
            <w:tcW w:w="1910" w:type="dxa"/>
            <w:shd w:val="clear" w:color="auto" w:fill="D9E2F3"/>
            <w:vAlign w:val="center"/>
          </w:tcPr>
          <w:p w14:paraId="3B678A9F" w14:textId="77777777" w:rsidR="00990B14" w:rsidRDefault="00000000">
            <w:pPr>
              <w:spacing w:before="20" w:after="20"/>
              <w:jc w:val="both"/>
            </w:pPr>
            <w:r>
              <w:rPr>
                <w:sz w:val="18"/>
                <w:szCs w:val="18"/>
              </w:rPr>
              <w:t>Aplica correctamente los procedimientos sobre las operaciones o los procesos auditados y documenta los resultados.</w:t>
            </w:r>
          </w:p>
        </w:tc>
        <w:tc>
          <w:tcPr>
            <w:tcW w:w="2120" w:type="dxa"/>
            <w:shd w:val="clear" w:color="auto" w:fill="D9E2F3"/>
            <w:vAlign w:val="center"/>
          </w:tcPr>
          <w:p w14:paraId="0E3DB920" w14:textId="77777777" w:rsidR="00990B14" w:rsidRDefault="00000000">
            <w:pPr>
              <w:spacing w:before="20" w:after="20"/>
              <w:jc w:val="both"/>
            </w:pPr>
            <w:r>
              <w:rPr>
                <w:sz w:val="18"/>
                <w:szCs w:val="18"/>
              </w:rPr>
              <w:t>Analiza las causas y los efectos de cada incumplimiento detectado.</w:t>
            </w:r>
          </w:p>
        </w:tc>
      </w:tr>
      <w:tr w:rsidR="00990B14" w14:paraId="1F54ED7B" w14:textId="77777777">
        <w:trPr>
          <w:cantSplit/>
          <w:jc w:val="center"/>
        </w:trPr>
        <w:tc>
          <w:tcPr>
            <w:tcW w:w="1635" w:type="dxa"/>
            <w:vMerge/>
            <w:shd w:val="clear" w:color="auto" w:fill="4472C4"/>
            <w:vAlign w:val="center"/>
          </w:tcPr>
          <w:p w14:paraId="52032797" w14:textId="77777777" w:rsidR="00990B14" w:rsidRDefault="00990B14">
            <w:pPr>
              <w:spacing w:before="20" w:after="20"/>
            </w:pPr>
          </w:p>
        </w:tc>
        <w:tc>
          <w:tcPr>
            <w:tcW w:w="1830" w:type="dxa"/>
            <w:shd w:val="clear" w:color="auto" w:fill="D9E2F3"/>
            <w:vAlign w:val="center"/>
          </w:tcPr>
          <w:p w14:paraId="5E129CDA" w14:textId="77777777" w:rsidR="00990B14" w:rsidRDefault="00000000">
            <w:pPr>
              <w:spacing w:before="20" w:after="20"/>
              <w:jc w:val="both"/>
            </w:pPr>
            <w:r>
              <w:rPr>
                <w:sz w:val="18"/>
                <w:szCs w:val="18"/>
              </w:rPr>
              <w:t>Orden y custodia</w:t>
            </w:r>
          </w:p>
        </w:tc>
        <w:tc>
          <w:tcPr>
            <w:tcW w:w="1910" w:type="dxa"/>
            <w:shd w:val="clear" w:color="auto" w:fill="D9E2F3"/>
            <w:vAlign w:val="center"/>
          </w:tcPr>
          <w:p w14:paraId="0B183E9A" w14:textId="77777777" w:rsidR="00990B14" w:rsidRDefault="00000000">
            <w:pPr>
              <w:spacing w:before="20" w:after="20"/>
              <w:jc w:val="both"/>
            </w:pPr>
            <w:r>
              <w:rPr>
                <w:sz w:val="18"/>
                <w:szCs w:val="18"/>
              </w:rPr>
              <w:t>Presenta papeles desordenados y sin referencias.</w:t>
            </w:r>
          </w:p>
        </w:tc>
        <w:tc>
          <w:tcPr>
            <w:tcW w:w="1910" w:type="dxa"/>
            <w:shd w:val="clear" w:color="auto" w:fill="D9E2F3"/>
            <w:vAlign w:val="center"/>
          </w:tcPr>
          <w:p w14:paraId="3C264089" w14:textId="77777777" w:rsidR="00990B14" w:rsidRDefault="00000000">
            <w:pPr>
              <w:spacing w:before="20" w:after="20"/>
              <w:jc w:val="both"/>
            </w:pPr>
            <w:r>
              <w:rPr>
                <w:sz w:val="18"/>
                <w:szCs w:val="18"/>
              </w:rPr>
              <w:t>Presenta papeles referenciados y archivados con orden.</w:t>
            </w:r>
          </w:p>
        </w:tc>
        <w:tc>
          <w:tcPr>
            <w:tcW w:w="2120" w:type="dxa"/>
            <w:shd w:val="clear" w:color="auto" w:fill="D9E2F3"/>
            <w:vAlign w:val="center"/>
          </w:tcPr>
          <w:p w14:paraId="22869027" w14:textId="77777777" w:rsidR="00990B14" w:rsidRDefault="00000000">
            <w:pPr>
              <w:spacing w:before="20" w:after="20"/>
              <w:jc w:val="both"/>
            </w:pPr>
            <w:r>
              <w:rPr>
                <w:sz w:val="18"/>
                <w:szCs w:val="18"/>
              </w:rPr>
              <w:t>Aplica protocolos de cadena de custodia y respaldo digital de la documentación.</w:t>
            </w:r>
          </w:p>
        </w:tc>
      </w:tr>
      <w:tr w:rsidR="00990B14" w14:paraId="41A33D3A" w14:textId="77777777">
        <w:trPr>
          <w:cantSplit/>
          <w:jc w:val="center"/>
        </w:trPr>
        <w:tc>
          <w:tcPr>
            <w:tcW w:w="1635" w:type="dxa"/>
            <w:vMerge/>
            <w:shd w:val="clear" w:color="auto" w:fill="4472C4"/>
            <w:vAlign w:val="center"/>
          </w:tcPr>
          <w:p w14:paraId="18273BD6" w14:textId="77777777" w:rsidR="00990B14" w:rsidRDefault="00990B14">
            <w:pPr>
              <w:spacing w:before="20" w:after="20"/>
            </w:pPr>
          </w:p>
        </w:tc>
        <w:tc>
          <w:tcPr>
            <w:tcW w:w="5650" w:type="dxa"/>
            <w:gridSpan w:val="3"/>
            <w:shd w:val="clear" w:color="auto" w:fill="D9E2F3"/>
            <w:vAlign w:val="center"/>
          </w:tcPr>
          <w:p w14:paraId="342F4467" w14:textId="77777777" w:rsidR="00990B14" w:rsidRDefault="00000000">
            <w:pPr>
              <w:keepNext/>
              <w:spacing w:before="20" w:after="20"/>
              <w:jc w:val="both"/>
            </w:pPr>
            <w:r>
              <w:rPr>
                <w:b/>
                <w:bCs/>
                <w:i/>
                <w:iCs/>
                <w:sz w:val="18"/>
                <w:szCs w:val="18"/>
              </w:rPr>
              <w:t xml:space="preserve">Producto 20: </w:t>
            </w:r>
            <w:r>
              <w:rPr>
                <w:sz w:val="18"/>
                <w:szCs w:val="18"/>
              </w:rPr>
              <w:t>Informe de auditoría de cumplimiento gubernamental: preliminar, ampliatorio y complementario, con indicios de responsabilidad por la función pública, incluido el informe de control interno.</w:t>
            </w:r>
          </w:p>
        </w:tc>
        <w:tc>
          <w:tcPr>
            <w:tcW w:w="2120" w:type="dxa"/>
            <w:shd w:val="clear" w:color="auto" w:fill="D9E2F3"/>
            <w:vAlign w:val="center"/>
          </w:tcPr>
          <w:p w14:paraId="145FFE16" w14:textId="77777777" w:rsidR="00990B14" w:rsidRDefault="00000000">
            <w:pPr>
              <w:spacing w:before="20" w:after="20"/>
              <w:jc w:val="center"/>
            </w:pPr>
            <w:r>
              <w:rPr>
                <w:b/>
                <w:bCs/>
                <w:sz w:val="18"/>
                <w:szCs w:val="18"/>
              </w:rPr>
              <w:t>5%</w:t>
            </w:r>
          </w:p>
        </w:tc>
      </w:tr>
      <w:tr w:rsidR="00990B14" w14:paraId="11A3BFFA" w14:textId="77777777">
        <w:trPr>
          <w:cantSplit/>
          <w:jc w:val="center"/>
        </w:trPr>
        <w:tc>
          <w:tcPr>
            <w:tcW w:w="1635" w:type="dxa"/>
            <w:vMerge/>
            <w:shd w:val="clear" w:color="auto" w:fill="4472C4"/>
            <w:vAlign w:val="center"/>
          </w:tcPr>
          <w:p w14:paraId="2E70AC7E" w14:textId="77777777" w:rsidR="00990B14" w:rsidRDefault="00990B14">
            <w:pPr>
              <w:spacing w:before="20" w:after="20"/>
            </w:pPr>
          </w:p>
        </w:tc>
        <w:tc>
          <w:tcPr>
            <w:tcW w:w="1830" w:type="dxa"/>
            <w:shd w:val="clear" w:color="auto" w:fill="4472C4"/>
            <w:vAlign w:val="center"/>
          </w:tcPr>
          <w:p w14:paraId="3396301F"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23C0E0A4"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3976C314"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1C26A564" w14:textId="77777777" w:rsidR="00990B14" w:rsidRDefault="00000000">
            <w:pPr>
              <w:keepNext/>
              <w:spacing w:before="20" w:after="20"/>
              <w:jc w:val="center"/>
            </w:pPr>
            <w:r>
              <w:rPr>
                <w:b/>
                <w:bCs/>
                <w:i/>
                <w:iCs/>
                <w:color w:val="FFFFFF"/>
                <w:sz w:val="18"/>
                <w:szCs w:val="18"/>
              </w:rPr>
              <w:t>Destacado (81–100)</w:t>
            </w:r>
          </w:p>
        </w:tc>
      </w:tr>
      <w:tr w:rsidR="00990B14" w14:paraId="0C335CC5" w14:textId="77777777">
        <w:trPr>
          <w:cantSplit/>
          <w:jc w:val="center"/>
        </w:trPr>
        <w:tc>
          <w:tcPr>
            <w:tcW w:w="1635" w:type="dxa"/>
            <w:vMerge/>
            <w:shd w:val="clear" w:color="auto" w:fill="4472C4"/>
            <w:vAlign w:val="center"/>
          </w:tcPr>
          <w:p w14:paraId="52089AB5" w14:textId="77777777" w:rsidR="00990B14" w:rsidRDefault="00990B14">
            <w:pPr>
              <w:spacing w:before="20" w:after="20"/>
            </w:pPr>
          </w:p>
        </w:tc>
        <w:tc>
          <w:tcPr>
            <w:tcW w:w="1830" w:type="dxa"/>
            <w:shd w:val="clear" w:color="auto" w:fill="D9E2F3"/>
            <w:vAlign w:val="center"/>
          </w:tcPr>
          <w:p w14:paraId="2F23F722" w14:textId="77777777" w:rsidR="00990B14" w:rsidRDefault="00000000">
            <w:pPr>
              <w:spacing w:before="20" w:after="20"/>
              <w:jc w:val="both"/>
            </w:pPr>
            <w:r>
              <w:rPr>
                <w:sz w:val="18"/>
                <w:szCs w:val="18"/>
              </w:rPr>
              <w:t>Hallazgos de incumplimiento</w:t>
            </w:r>
          </w:p>
        </w:tc>
        <w:tc>
          <w:tcPr>
            <w:tcW w:w="1910" w:type="dxa"/>
            <w:shd w:val="clear" w:color="auto" w:fill="D9E2F3"/>
            <w:vAlign w:val="center"/>
          </w:tcPr>
          <w:p w14:paraId="11CCA3FA" w14:textId="77777777" w:rsidR="00990B14" w:rsidRDefault="00000000">
            <w:pPr>
              <w:spacing w:before="20" w:after="20"/>
              <w:jc w:val="both"/>
            </w:pPr>
            <w:r>
              <w:rPr>
                <w:sz w:val="18"/>
                <w:szCs w:val="18"/>
              </w:rPr>
              <w:t>Redacta hallazgos sin atributos o sin la norma incumplida.</w:t>
            </w:r>
          </w:p>
        </w:tc>
        <w:tc>
          <w:tcPr>
            <w:tcW w:w="1910" w:type="dxa"/>
            <w:shd w:val="clear" w:color="auto" w:fill="D9E2F3"/>
            <w:vAlign w:val="center"/>
          </w:tcPr>
          <w:p w14:paraId="72BB7260" w14:textId="77777777" w:rsidR="00990B14" w:rsidRDefault="00000000">
            <w:pPr>
              <w:spacing w:before="20" w:after="20"/>
              <w:jc w:val="both"/>
            </w:pPr>
            <w:r>
              <w:rPr>
                <w:sz w:val="18"/>
                <w:szCs w:val="18"/>
              </w:rPr>
              <w:t>Redacta hallazgos con condición, criterio, causa y efecto.</w:t>
            </w:r>
          </w:p>
        </w:tc>
        <w:tc>
          <w:tcPr>
            <w:tcW w:w="2120" w:type="dxa"/>
            <w:shd w:val="clear" w:color="auto" w:fill="D9E2F3"/>
            <w:vAlign w:val="center"/>
          </w:tcPr>
          <w:p w14:paraId="1C1FD4CC" w14:textId="77777777" w:rsidR="00990B14" w:rsidRDefault="00000000">
            <w:pPr>
              <w:spacing w:before="20" w:after="20"/>
              <w:jc w:val="both"/>
            </w:pPr>
            <w:r>
              <w:rPr>
                <w:sz w:val="18"/>
                <w:szCs w:val="18"/>
              </w:rPr>
              <w:t>Fundamenta cada hallazgo con evidencia y evalúa los descargos recibidos.</w:t>
            </w:r>
          </w:p>
        </w:tc>
      </w:tr>
      <w:tr w:rsidR="00990B14" w14:paraId="604D3F6F" w14:textId="77777777">
        <w:trPr>
          <w:cantSplit/>
          <w:jc w:val="center"/>
        </w:trPr>
        <w:tc>
          <w:tcPr>
            <w:tcW w:w="1635" w:type="dxa"/>
            <w:vMerge/>
            <w:shd w:val="clear" w:color="auto" w:fill="4472C4"/>
            <w:vAlign w:val="center"/>
          </w:tcPr>
          <w:p w14:paraId="297AB00F" w14:textId="77777777" w:rsidR="00990B14" w:rsidRDefault="00990B14">
            <w:pPr>
              <w:spacing w:before="20" w:after="20"/>
            </w:pPr>
          </w:p>
        </w:tc>
        <w:tc>
          <w:tcPr>
            <w:tcW w:w="1830" w:type="dxa"/>
            <w:shd w:val="clear" w:color="auto" w:fill="D9E2F3"/>
            <w:vAlign w:val="center"/>
          </w:tcPr>
          <w:p w14:paraId="62C0F5A8" w14:textId="77777777" w:rsidR="00990B14" w:rsidRDefault="00000000">
            <w:pPr>
              <w:spacing w:before="20" w:after="20"/>
              <w:jc w:val="both"/>
            </w:pPr>
            <w:r>
              <w:rPr>
                <w:sz w:val="18"/>
                <w:szCs w:val="18"/>
              </w:rPr>
              <w:t>Indicios de responsabilidad</w:t>
            </w:r>
          </w:p>
        </w:tc>
        <w:tc>
          <w:tcPr>
            <w:tcW w:w="1910" w:type="dxa"/>
            <w:shd w:val="clear" w:color="auto" w:fill="D9E2F3"/>
            <w:vAlign w:val="center"/>
          </w:tcPr>
          <w:p w14:paraId="1F9D0F71" w14:textId="77777777" w:rsidR="00990B14" w:rsidRDefault="00000000">
            <w:pPr>
              <w:spacing w:before="20" w:after="20"/>
              <w:jc w:val="both"/>
            </w:pPr>
            <w:r>
              <w:rPr>
                <w:sz w:val="18"/>
                <w:szCs w:val="18"/>
              </w:rPr>
              <w:t>Determina indicios sin sujeto ni norma, o confunde los tipos de responsabilidad.</w:t>
            </w:r>
          </w:p>
        </w:tc>
        <w:tc>
          <w:tcPr>
            <w:tcW w:w="1910" w:type="dxa"/>
            <w:shd w:val="clear" w:color="auto" w:fill="D9E2F3"/>
            <w:vAlign w:val="center"/>
          </w:tcPr>
          <w:p w14:paraId="67661A9F" w14:textId="77777777" w:rsidR="00990B14" w:rsidRDefault="00000000">
            <w:pPr>
              <w:spacing w:before="20" w:after="20"/>
              <w:jc w:val="both"/>
            </w:pPr>
            <w:r>
              <w:rPr>
                <w:sz w:val="18"/>
                <w:szCs w:val="18"/>
              </w:rPr>
              <w:t>Determina los indicios con sujeto, norma, tipo de responsabilidad e instancia, en la planilla resumen.</w:t>
            </w:r>
          </w:p>
        </w:tc>
        <w:tc>
          <w:tcPr>
            <w:tcW w:w="2120" w:type="dxa"/>
            <w:shd w:val="clear" w:color="auto" w:fill="D9E2F3"/>
            <w:vAlign w:val="center"/>
          </w:tcPr>
          <w:p w14:paraId="531824EB" w14:textId="77777777" w:rsidR="00990B14" w:rsidRDefault="00000000">
            <w:pPr>
              <w:spacing w:before="20" w:after="20"/>
              <w:jc w:val="both"/>
            </w:pPr>
            <w:r>
              <w:rPr>
                <w:sz w:val="18"/>
                <w:szCs w:val="18"/>
              </w:rPr>
              <w:t>Justifica cada indicio y organiza los medios de prueba que lo respaldan.</w:t>
            </w:r>
          </w:p>
        </w:tc>
      </w:tr>
      <w:tr w:rsidR="00990B14" w14:paraId="4191145C" w14:textId="77777777">
        <w:trPr>
          <w:cantSplit/>
          <w:jc w:val="center"/>
        </w:trPr>
        <w:tc>
          <w:tcPr>
            <w:tcW w:w="1635" w:type="dxa"/>
            <w:vMerge/>
            <w:shd w:val="clear" w:color="auto" w:fill="4472C4"/>
            <w:vAlign w:val="center"/>
          </w:tcPr>
          <w:p w14:paraId="0E876D07" w14:textId="77777777" w:rsidR="00990B14" w:rsidRDefault="00990B14">
            <w:pPr>
              <w:spacing w:before="20" w:after="20"/>
            </w:pPr>
          </w:p>
        </w:tc>
        <w:tc>
          <w:tcPr>
            <w:tcW w:w="1830" w:type="dxa"/>
            <w:shd w:val="clear" w:color="auto" w:fill="D9E2F3"/>
            <w:vAlign w:val="center"/>
          </w:tcPr>
          <w:p w14:paraId="7C6E6800" w14:textId="77777777" w:rsidR="00990B14" w:rsidRDefault="00000000">
            <w:pPr>
              <w:spacing w:before="20" w:after="20"/>
              <w:jc w:val="both"/>
            </w:pPr>
            <w:r>
              <w:rPr>
                <w:sz w:val="18"/>
                <w:szCs w:val="18"/>
              </w:rPr>
              <w:t>Tipos de informe</w:t>
            </w:r>
          </w:p>
        </w:tc>
        <w:tc>
          <w:tcPr>
            <w:tcW w:w="1910" w:type="dxa"/>
            <w:shd w:val="clear" w:color="auto" w:fill="D9E2F3"/>
            <w:vAlign w:val="center"/>
          </w:tcPr>
          <w:p w14:paraId="3298CCA0" w14:textId="77777777" w:rsidR="00990B14" w:rsidRDefault="00000000">
            <w:pPr>
              <w:spacing w:before="20" w:after="20"/>
              <w:jc w:val="both"/>
            </w:pPr>
            <w:r>
              <w:rPr>
                <w:sz w:val="18"/>
                <w:szCs w:val="18"/>
              </w:rPr>
              <w:t>Omite alguno de los informes o confunde su finalidad.</w:t>
            </w:r>
          </w:p>
        </w:tc>
        <w:tc>
          <w:tcPr>
            <w:tcW w:w="1910" w:type="dxa"/>
            <w:shd w:val="clear" w:color="auto" w:fill="D9E2F3"/>
            <w:vAlign w:val="center"/>
          </w:tcPr>
          <w:p w14:paraId="2AEEDD15" w14:textId="77777777" w:rsidR="00990B14" w:rsidRDefault="00000000">
            <w:pPr>
              <w:spacing w:before="20" w:after="20"/>
              <w:jc w:val="both"/>
            </w:pPr>
            <w:r>
              <w:rPr>
                <w:sz w:val="18"/>
                <w:szCs w:val="18"/>
              </w:rPr>
              <w:t>Elabora los informes preliminar, ampliatorio y complementario con su estructura.</w:t>
            </w:r>
          </w:p>
        </w:tc>
        <w:tc>
          <w:tcPr>
            <w:tcW w:w="2120" w:type="dxa"/>
            <w:shd w:val="clear" w:color="auto" w:fill="D9E2F3"/>
            <w:vAlign w:val="center"/>
          </w:tcPr>
          <w:p w14:paraId="28A448FF" w14:textId="77777777" w:rsidR="00990B14" w:rsidRDefault="00000000">
            <w:pPr>
              <w:spacing w:before="20" w:after="20"/>
              <w:jc w:val="both"/>
            </w:pPr>
            <w:r>
              <w:rPr>
                <w:sz w:val="18"/>
                <w:szCs w:val="18"/>
              </w:rPr>
              <w:t>Distingue el efecto de cada informe y lo vincula con el procedimiento de aclaración.</w:t>
            </w:r>
          </w:p>
        </w:tc>
      </w:tr>
      <w:tr w:rsidR="00990B14" w14:paraId="5709E063" w14:textId="77777777">
        <w:trPr>
          <w:cantSplit/>
          <w:jc w:val="center"/>
        </w:trPr>
        <w:tc>
          <w:tcPr>
            <w:tcW w:w="1635" w:type="dxa"/>
            <w:vMerge/>
            <w:shd w:val="clear" w:color="auto" w:fill="4472C4"/>
            <w:vAlign w:val="center"/>
          </w:tcPr>
          <w:p w14:paraId="75C6F053" w14:textId="77777777" w:rsidR="00990B14" w:rsidRDefault="00990B14">
            <w:pPr>
              <w:spacing w:before="20" w:after="20"/>
            </w:pPr>
          </w:p>
        </w:tc>
        <w:tc>
          <w:tcPr>
            <w:tcW w:w="5650" w:type="dxa"/>
            <w:gridSpan w:val="3"/>
            <w:shd w:val="clear" w:color="auto" w:fill="D9E2F3"/>
            <w:vAlign w:val="center"/>
          </w:tcPr>
          <w:p w14:paraId="6BFE975C" w14:textId="77777777" w:rsidR="00990B14" w:rsidRDefault="00000000">
            <w:pPr>
              <w:keepNext/>
              <w:spacing w:before="20" w:after="20"/>
              <w:jc w:val="both"/>
            </w:pPr>
            <w:r>
              <w:rPr>
                <w:b/>
                <w:bCs/>
                <w:i/>
                <w:iCs/>
                <w:sz w:val="18"/>
                <w:szCs w:val="18"/>
              </w:rPr>
              <w:t xml:space="preserve">Producto 21: </w:t>
            </w:r>
            <w:r>
              <w:rPr>
                <w:sz w:val="18"/>
                <w:szCs w:val="18"/>
              </w:rPr>
              <w:t>Documentos de relevamiento de información, de los sistemas de administración de la entidad: planillas, reportes y otros.</w:t>
            </w:r>
          </w:p>
        </w:tc>
        <w:tc>
          <w:tcPr>
            <w:tcW w:w="2120" w:type="dxa"/>
            <w:shd w:val="clear" w:color="auto" w:fill="D9E2F3"/>
            <w:vAlign w:val="center"/>
          </w:tcPr>
          <w:p w14:paraId="2101A454" w14:textId="77777777" w:rsidR="00990B14" w:rsidRDefault="00000000">
            <w:pPr>
              <w:spacing w:before="20" w:after="20"/>
              <w:jc w:val="center"/>
            </w:pPr>
            <w:r>
              <w:rPr>
                <w:b/>
                <w:bCs/>
                <w:sz w:val="18"/>
                <w:szCs w:val="18"/>
              </w:rPr>
              <w:t>5%</w:t>
            </w:r>
          </w:p>
        </w:tc>
      </w:tr>
      <w:tr w:rsidR="00990B14" w14:paraId="4FB61AFE" w14:textId="77777777">
        <w:trPr>
          <w:cantSplit/>
          <w:jc w:val="center"/>
        </w:trPr>
        <w:tc>
          <w:tcPr>
            <w:tcW w:w="1635" w:type="dxa"/>
            <w:vMerge/>
            <w:shd w:val="clear" w:color="auto" w:fill="4472C4"/>
            <w:vAlign w:val="center"/>
          </w:tcPr>
          <w:p w14:paraId="30F226CF" w14:textId="77777777" w:rsidR="00990B14" w:rsidRDefault="00990B14">
            <w:pPr>
              <w:spacing w:before="20" w:after="20"/>
            </w:pPr>
          </w:p>
        </w:tc>
        <w:tc>
          <w:tcPr>
            <w:tcW w:w="1830" w:type="dxa"/>
            <w:shd w:val="clear" w:color="auto" w:fill="4472C4"/>
            <w:vAlign w:val="center"/>
          </w:tcPr>
          <w:p w14:paraId="54C79BCE"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08B1080E"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0A8EA8E0"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1DF15E29" w14:textId="77777777" w:rsidR="00990B14" w:rsidRDefault="00000000">
            <w:pPr>
              <w:keepNext/>
              <w:spacing w:before="20" w:after="20"/>
              <w:jc w:val="center"/>
            </w:pPr>
            <w:r>
              <w:rPr>
                <w:b/>
                <w:bCs/>
                <w:i/>
                <w:iCs/>
                <w:color w:val="FFFFFF"/>
                <w:sz w:val="18"/>
                <w:szCs w:val="18"/>
              </w:rPr>
              <w:t>Destacado (81–100)</w:t>
            </w:r>
          </w:p>
        </w:tc>
      </w:tr>
      <w:tr w:rsidR="00990B14" w14:paraId="34249E4F" w14:textId="77777777">
        <w:trPr>
          <w:cantSplit/>
          <w:jc w:val="center"/>
        </w:trPr>
        <w:tc>
          <w:tcPr>
            <w:tcW w:w="1635" w:type="dxa"/>
            <w:vMerge/>
            <w:shd w:val="clear" w:color="auto" w:fill="4472C4"/>
            <w:vAlign w:val="center"/>
          </w:tcPr>
          <w:p w14:paraId="183662C9" w14:textId="77777777" w:rsidR="00990B14" w:rsidRDefault="00990B14">
            <w:pPr>
              <w:spacing w:before="20" w:after="20"/>
            </w:pPr>
          </w:p>
        </w:tc>
        <w:tc>
          <w:tcPr>
            <w:tcW w:w="1830" w:type="dxa"/>
            <w:shd w:val="clear" w:color="auto" w:fill="D9E2F3"/>
            <w:vAlign w:val="center"/>
          </w:tcPr>
          <w:p w14:paraId="79786AB2" w14:textId="77777777" w:rsidR="00990B14" w:rsidRDefault="00000000">
            <w:pPr>
              <w:spacing w:before="20" w:after="20"/>
              <w:jc w:val="both"/>
            </w:pPr>
            <w:r>
              <w:rPr>
                <w:sz w:val="18"/>
                <w:szCs w:val="18"/>
              </w:rPr>
              <w:t>Conocimiento de procesos</w:t>
            </w:r>
          </w:p>
        </w:tc>
        <w:tc>
          <w:tcPr>
            <w:tcW w:w="1910" w:type="dxa"/>
            <w:shd w:val="clear" w:color="auto" w:fill="D9E2F3"/>
            <w:vAlign w:val="center"/>
          </w:tcPr>
          <w:p w14:paraId="1BA218EA" w14:textId="77777777" w:rsidR="00990B14" w:rsidRDefault="00000000">
            <w:pPr>
              <w:spacing w:before="20" w:after="20"/>
              <w:jc w:val="both"/>
            </w:pPr>
            <w:r>
              <w:rPr>
                <w:sz w:val="18"/>
                <w:szCs w:val="18"/>
              </w:rPr>
              <w:t>Describe de forma incompleta la estructura, los procesos o los sistemas de la entidad.</w:t>
            </w:r>
          </w:p>
        </w:tc>
        <w:tc>
          <w:tcPr>
            <w:tcW w:w="1910" w:type="dxa"/>
            <w:shd w:val="clear" w:color="auto" w:fill="D9E2F3"/>
            <w:vAlign w:val="center"/>
          </w:tcPr>
          <w:p w14:paraId="34A2925D" w14:textId="77777777" w:rsidR="00990B14" w:rsidRDefault="00000000">
            <w:pPr>
              <w:spacing w:before="20" w:after="20"/>
              <w:jc w:val="both"/>
            </w:pPr>
            <w:r>
              <w:rPr>
                <w:sz w:val="18"/>
                <w:szCs w:val="18"/>
              </w:rPr>
              <w:t>Describe correctamente la estructura, los procesos y los sistemas de administración de la entidad.</w:t>
            </w:r>
          </w:p>
        </w:tc>
        <w:tc>
          <w:tcPr>
            <w:tcW w:w="2120" w:type="dxa"/>
            <w:shd w:val="clear" w:color="auto" w:fill="D9E2F3"/>
            <w:vAlign w:val="center"/>
          </w:tcPr>
          <w:p w14:paraId="5BD5CCF4" w14:textId="77777777" w:rsidR="00990B14" w:rsidRDefault="00000000">
            <w:pPr>
              <w:spacing w:before="20" w:after="20"/>
              <w:jc w:val="both"/>
            </w:pPr>
            <w:r>
              <w:rPr>
                <w:sz w:val="18"/>
                <w:szCs w:val="18"/>
              </w:rPr>
              <w:t>Relaciona los procesos y los sistemas con los riesgos de gestión.</w:t>
            </w:r>
          </w:p>
        </w:tc>
      </w:tr>
      <w:tr w:rsidR="00990B14" w14:paraId="27E88578" w14:textId="77777777">
        <w:trPr>
          <w:cantSplit/>
          <w:jc w:val="center"/>
        </w:trPr>
        <w:tc>
          <w:tcPr>
            <w:tcW w:w="1635" w:type="dxa"/>
            <w:vMerge/>
            <w:shd w:val="clear" w:color="auto" w:fill="4472C4"/>
            <w:vAlign w:val="center"/>
          </w:tcPr>
          <w:p w14:paraId="7BDA053A" w14:textId="77777777" w:rsidR="00990B14" w:rsidRDefault="00990B14">
            <w:pPr>
              <w:spacing w:before="20" w:after="20"/>
            </w:pPr>
          </w:p>
        </w:tc>
        <w:tc>
          <w:tcPr>
            <w:tcW w:w="1830" w:type="dxa"/>
            <w:shd w:val="clear" w:color="auto" w:fill="D9E2F3"/>
            <w:vAlign w:val="center"/>
          </w:tcPr>
          <w:p w14:paraId="76077BAD" w14:textId="77777777" w:rsidR="00990B14" w:rsidRDefault="00000000">
            <w:pPr>
              <w:spacing w:before="20" w:after="20"/>
              <w:jc w:val="both"/>
            </w:pPr>
            <w:r>
              <w:rPr>
                <w:sz w:val="18"/>
                <w:szCs w:val="18"/>
              </w:rPr>
              <w:t>Grado de eficacia</w:t>
            </w:r>
          </w:p>
        </w:tc>
        <w:tc>
          <w:tcPr>
            <w:tcW w:w="1910" w:type="dxa"/>
            <w:shd w:val="clear" w:color="auto" w:fill="D9E2F3"/>
            <w:vAlign w:val="center"/>
          </w:tcPr>
          <w:p w14:paraId="1820948F" w14:textId="77777777" w:rsidR="00990B14" w:rsidRDefault="00000000">
            <w:pPr>
              <w:spacing w:before="20" w:after="20"/>
              <w:jc w:val="both"/>
            </w:pPr>
            <w:r>
              <w:rPr>
                <w:sz w:val="18"/>
                <w:szCs w:val="18"/>
              </w:rPr>
              <w:t>No evalúa la eficacia de los sistemas de administración.</w:t>
            </w:r>
          </w:p>
        </w:tc>
        <w:tc>
          <w:tcPr>
            <w:tcW w:w="1910" w:type="dxa"/>
            <w:shd w:val="clear" w:color="auto" w:fill="D9E2F3"/>
            <w:vAlign w:val="center"/>
          </w:tcPr>
          <w:p w14:paraId="34EFFD67" w14:textId="77777777" w:rsidR="00990B14" w:rsidRDefault="00000000">
            <w:pPr>
              <w:spacing w:before="20" w:after="20"/>
              <w:jc w:val="both"/>
            </w:pPr>
            <w:r>
              <w:rPr>
                <w:sz w:val="18"/>
                <w:szCs w:val="18"/>
              </w:rPr>
              <w:t>Evalúa el grado de eficacia de los sistemas de planificación, organización y ejecución con indicadores.</w:t>
            </w:r>
          </w:p>
        </w:tc>
        <w:tc>
          <w:tcPr>
            <w:tcW w:w="2120" w:type="dxa"/>
            <w:shd w:val="clear" w:color="auto" w:fill="D9E2F3"/>
            <w:vAlign w:val="center"/>
          </w:tcPr>
          <w:p w14:paraId="75D92EE2" w14:textId="77777777" w:rsidR="00990B14" w:rsidRDefault="00000000">
            <w:pPr>
              <w:spacing w:before="20" w:after="20"/>
              <w:jc w:val="both"/>
            </w:pPr>
            <w:r>
              <w:rPr>
                <w:sz w:val="18"/>
                <w:szCs w:val="18"/>
              </w:rPr>
              <w:t>Interpreta los resultados de los indicadores y los compara con las metas institucionales.</w:t>
            </w:r>
          </w:p>
        </w:tc>
      </w:tr>
      <w:tr w:rsidR="00990B14" w14:paraId="54E88830" w14:textId="77777777">
        <w:trPr>
          <w:cantSplit/>
          <w:jc w:val="center"/>
        </w:trPr>
        <w:tc>
          <w:tcPr>
            <w:tcW w:w="1635" w:type="dxa"/>
            <w:vMerge/>
            <w:shd w:val="clear" w:color="auto" w:fill="4472C4"/>
            <w:vAlign w:val="center"/>
          </w:tcPr>
          <w:p w14:paraId="1E551FB1" w14:textId="77777777" w:rsidR="00990B14" w:rsidRDefault="00990B14">
            <w:pPr>
              <w:spacing w:before="20" w:after="20"/>
            </w:pPr>
          </w:p>
        </w:tc>
        <w:tc>
          <w:tcPr>
            <w:tcW w:w="1830" w:type="dxa"/>
            <w:shd w:val="clear" w:color="auto" w:fill="D9E2F3"/>
            <w:vAlign w:val="center"/>
          </w:tcPr>
          <w:p w14:paraId="42AD8DA3" w14:textId="77777777" w:rsidR="00990B14" w:rsidRDefault="00000000">
            <w:pPr>
              <w:spacing w:before="20" w:after="20"/>
              <w:jc w:val="both"/>
            </w:pPr>
            <w:r>
              <w:rPr>
                <w:sz w:val="18"/>
                <w:szCs w:val="18"/>
              </w:rPr>
              <w:t>Calidad de las planillas</w:t>
            </w:r>
          </w:p>
        </w:tc>
        <w:tc>
          <w:tcPr>
            <w:tcW w:w="1910" w:type="dxa"/>
            <w:shd w:val="clear" w:color="auto" w:fill="D9E2F3"/>
            <w:vAlign w:val="center"/>
          </w:tcPr>
          <w:p w14:paraId="171F72DF" w14:textId="77777777" w:rsidR="00990B14" w:rsidRDefault="00000000">
            <w:pPr>
              <w:spacing w:before="20" w:after="20"/>
              <w:jc w:val="both"/>
            </w:pPr>
            <w:r>
              <w:rPr>
                <w:sz w:val="18"/>
                <w:szCs w:val="18"/>
              </w:rPr>
              <w:t>Presenta planillas con errores o sin fuente.</w:t>
            </w:r>
          </w:p>
        </w:tc>
        <w:tc>
          <w:tcPr>
            <w:tcW w:w="1910" w:type="dxa"/>
            <w:shd w:val="clear" w:color="auto" w:fill="D9E2F3"/>
            <w:vAlign w:val="center"/>
          </w:tcPr>
          <w:p w14:paraId="2C868185" w14:textId="77777777" w:rsidR="00990B14" w:rsidRDefault="00000000">
            <w:pPr>
              <w:spacing w:before="20" w:after="20"/>
              <w:jc w:val="both"/>
            </w:pPr>
            <w:r>
              <w:rPr>
                <w:sz w:val="18"/>
                <w:szCs w:val="18"/>
              </w:rPr>
              <w:t>Presenta planillas y reportes ordenados, con fuente y fórmulas correctas.</w:t>
            </w:r>
          </w:p>
        </w:tc>
        <w:tc>
          <w:tcPr>
            <w:tcW w:w="2120" w:type="dxa"/>
            <w:shd w:val="clear" w:color="auto" w:fill="D9E2F3"/>
            <w:vAlign w:val="center"/>
          </w:tcPr>
          <w:p w14:paraId="3F23A11C" w14:textId="77777777" w:rsidR="00990B14" w:rsidRDefault="00000000">
            <w:pPr>
              <w:spacing w:before="20" w:after="20"/>
              <w:jc w:val="both"/>
            </w:pPr>
            <w:r>
              <w:rPr>
                <w:sz w:val="18"/>
                <w:szCs w:val="18"/>
              </w:rPr>
              <w:t>Verifica la integridad de los datos y diseña planillas reutilizables.</w:t>
            </w:r>
          </w:p>
        </w:tc>
      </w:tr>
      <w:tr w:rsidR="00990B14" w14:paraId="2248DDD5" w14:textId="77777777">
        <w:trPr>
          <w:cantSplit/>
          <w:jc w:val="center"/>
        </w:trPr>
        <w:tc>
          <w:tcPr>
            <w:tcW w:w="1635" w:type="dxa"/>
            <w:vMerge/>
            <w:shd w:val="clear" w:color="auto" w:fill="4472C4"/>
            <w:vAlign w:val="center"/>
          </w:tcPr>
          <w:p w14:paraId="77BD6B2E" w14:textId="77777777" w:rsidR="00990B14" w:rsidRDefault="00990B14">
            <w:pPr>
              <w:spacing w:before="20" w:after="20"/>
            </w:pPr>
          </w:p>
        </w:tc>
        <w:tc>
          <w:tcPr>
            <w:tcW w:w="5650" w:type="dxa"/>
            <w:gridSpan w:val="3"/>
            <w:shd w:val="clear" w:color="auto" w:fill="D9E2F3"/>
            <w:vAlign w:val="center"/>
          </w:tcPr>
          <w:p w14:paraId="38C5CA6F" w14:textId="77777777" w:rsidR="00990B14" w:rsidRDefault="00000000">
            <w:pPr>
              <w:keepNext/>
              <w:spacing w:before="20" w:after="20"/>
              <w:jc w:val="both"/>
            </w:pPr>
            <w:r>
              <w:rPr>
                <w:b/>
                <w:bCs/>
                <w:i/>
                <w:iCs/>
                <w:sz w:val="18"/>
                <w:szCs w:val="18"/>
              </w:rPr>
              <w:t xml:space="preserve">Producto 22: </w:t>
            </w:r>
            <w:r>
              <w:rPr>
                <w:sz w:val="18"/>
                <w:szCs w:val="18"/>
              </w:rPr>
              <w:t>Documento de Memorándum de Planificación de Auditoría (MPA) y programas de auditoría operativa de los sistemas de administración.</w:t>
            </w:r>
          </w:p>
        </w:tc>
        <w:tc>
          <w:tcPr>
            <w:tcW w:w="2120" w:type="dxa"/>
            <w:shd w:val="clear" w:color="auto" w:fill="D9E2F3"/>
            <w:vAlign w:val="center"/>
          </w:tcPr>
          <w:p w14:paraId="16F3CE95" w14:textId="77777777" w:rsidR="00990B14" w:rsidRDefault="00000000">
            <w:pPr>
              <w:spacing w:before="20" w:after="20"/>
              <w:jc w:val="center"/>
            </w:pPr>
            <w:r>
              <w:rPr>
                <w:b/>
                <w:bCs/>
                <w:sz w:val="18"/>
                <w:szCs w:val="18"/>
              </w:rPr>
              <w:t>4%</w:t>
            </w:r>
          </w:p>
        </w:tc>
      </w:tr>
      <w:tr w:rsidR="00990B14" w14:paraId="4FC3DCD8" w14:textId="77777777">
        <w:trPr>
          <w:cantSplit/>
          <w:jc w:val="center"/>
        </w:trPr>
        <w:tc>
          <w:tcPr>
            <w:tcW w:w="1635" w:type="dxa"/>
            <w:vMerge/>
            <w:shd w:val="clear" w:color="auto" w:fill="4472C4"/>
            <w:vAlign w:val="center"/>
          </w:tcPr>
          <w:p w14:paraId="6072F497" w14:textId="77777777" w:rsidR="00990B14" w:rsidRDefault="00990B14">
            <w:pPr>
              <w:spacing w:before="20" w:after="20"/>
            </w:pPr>
          </w:p>
        </w:tc>
        <w:tc>
          <w:tcPr>
            <w:tcW w:w="1830" w:type="dxa"/>
            <w:shd w:val="clear" w:color="auto" w:fill="4472C4"/>
            <w:vAlign w:val="center"/>
          </w:tcPr>
          <w:p w14:paraId="351E383F"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6360983C"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0BBD1D5A"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711BBA38" w14:textId="77777777" w:rsidR="00990B14" w:rsidRDefault="00000000">
            <w:pPr>
              <w:keepNext/>
              <w:spacing w:before="20" w:after="20"/>
              <w:jc w:val="center"/>
            </w:pPr>
            <w:r>
              <w:rPr>
                <w:b/>
                <w:bCs/>
                <w:i/>
                <w:iCs/>
                <w:color w:val="FFFFFF"/>
                <w:sz w:val="18"/>
                <w:szCs w:val="18"/>
              </w:rPr>
              <w:t>Destacado (81–100)</w:t>
            </w:r>
          </w:p>
        </w:tc>
      </w:tr>
      <w:tr w:rsidR="00990B14" w14:paraId="6C366703" w14:textId="77777777">
        <w:trPr>
          <w:cantSplit/>
          <w:jc w:val="center"/>
        </w:trPr>
        <w:tc>
          <w:tcPr>
            <w:tcW w:w="1635" w:type="dxa"/>
            <w:vMerge/>
            <w:shd w:val="clear" w:color="auto" w:fill="4472C4"/>
            <w:vAlign w:val="center"/>
          </w:tcPr>
          <w:p w14:paraId="27FC36E4" w14:textId="77777777" w:rsidR="00990B14" w:rsidRDefault="00990B14">
            <w:pPr>
              <w:spacing w:before="20" w:after="20"/>
            </w:pPr>
          </w:p>
        </w:tc>
        <w:tc>
          <w:tcPr>
            <w:tcW w:w="1830" w:type="dxa"/>
            <w:shd w:val="clear" w:color="auto" w:fill="D9E2F3"/>
            <w:vAlign w:val="center"/>
          </w:tcPr>
          <w:p w14:paraId="11D29C4D" w14:textId="77777777" w:rsidR="00990B14" w:rsidRDefault="00000000">
            <w:pPr>
              <w:spacing w:before="20" w:after="20"/>
              <w:jc w:val="both"/>
            </w:pPr>
            <w:r>
              <w:rPr>
                <w:sz w:val="18"/>
                <w:szCs w:val="18"/>
              </w:rPr>
              <w:t>Contenido del memorándum</w:t>
            </w:r>
          </w:p>
        </w:tc>
        <w:tc>
          <w:tcPr>
            <w:tcW w:w="1910" w:type="dxa"/>
            <w:shd w:val="clear" w:color="auto" w:fill="D9E2F3"/>
            <w:vAlign w:val="center"/>
          </w:tcPr>
          <w:p w14:paraId="57C2F6C9" w14:textId="77777777" w:rsidR="00990B14" w:rsidRDefault="00000000">
            <w:pPr>
              <w:spacing w:before="20" w:after="20"/>
              <w:jc w:val="both"/>
            </w:pPr>
            <w:r>
              <w:rPr>
                <w:sz w:val="18"/>
                <w:szCs w:val="18"/>
              </w:rPr>
              <w:t>Omite uno o más apartados: antecedentes, objetivo, objeto, alcance, metodología o marco normativo.</w:t>
            </w:r>
          </w:p>
        </w:tc>
        <w:tc>
          <w:tcPr>
            <w:tcW w:w="1910" w:type="dxa"/>
            <w:shd w:val="clear" w:color="auto" w:fill="D9E2F3"/>
            <w:vAlign w:val="center"/>
          </w:tcPr>
          <w:p w14:paraId="6D825B6D" w14:textId="77777777" w:rsidR="00990B14" w:rsidRDefault="00000000">
            <w:pPr>
              <w:spacing w:before="20" w:after="20"/>
              <w:jc w:val="both"/>
            </w:pPr>
            <w:r>
              <w:rPr>
                <w:sz w:val="18"/>
                <w:szCs w:val="18"/>
              </w:rPr>
              <w:t>Incluye todos los apartados exigidos para el memorándum de planificación.</w:t>
            </w:r>
          </w:p>
        </w:tc>
        <w:tc>
          <w:tcPr>
            <w:tcW w:w="2120" w:type="dxa"/>
            <w:shd w:val="clear" w:color="auto" w:fill="D9E2F3"/>
            <w:vAlign w:val="center"/>
          </w:tcPr>
          <w:p w14:paraId="3CFA5FB5" w14:textId="77777777" w:rsidR="00990B14" w:rsidRDefault="00000000">
            <w:pPr>
              <w:spacing w:before="20" w:after="20"/>
              <w:jc w:val="both"/>
            </w:pPr>
            <w:r>
              <w:rPr>
                <w:sz w:val="18"/>
                <w:szCs w:val="18"/>
              </w:rPr>
              <w:t>Redacta apartados coherentes entre sí y ajustados a las características de la entidad.</w:t>
            </w:r>
          </w:p>
        </w:tc>
      </w:tr>
      <w:tr w:rsidR="00990B14" w14:paraId="768E859E" w14:textId="77777777">
        <w:trPr>
          <w:cantSplit/>
          <w:jc w:val="center"/>
        </w:trPr>
        <w:tc>
          <w:tcPr>
            <w:tcW w:w="1635" w:type="dxa"/>
            <w:vMerge/>
            <w:shd w:val="clear" w:color="auto" w:fill="4472C4"/>
            <w:vAlign w:val="center"/>
          </w:tcPr>
          <w:p w14:paraId="7E1ACA22" w14:textId="77777777" w:rsidR="00990B14" w:rsidRDefault="00990B14">
            <w:pPr>
              <w:spacing w:before="20" w:after="20"/>
            </w:pPr>
          </w:p>
        </w:tc>
        <w:tc>
          <w:tcPr>
            <w:tcW w:w="1830" w:type="dxa"/>
            <w:shd w:val="clear" w:color="auto" w:fill="D9E2F3"/>
            <w:vAlign w:val="center"/>
          </w:tcPr>
          <w:p w14:paraId="64C977DB" w14:textId="77777777" w:rsidR="00990B14" w:rsidRDefault="00000000">
            <w:pPr>
              <w:spacing w:before="20" w:after="20"/>
              <w:jc w:val="both"/>
            </w:pPr>
            <w:r>
              <w:rPr>
                <w:sz w:val="18"/>
                <w:szCs w:val="18"/>
              </w:rPr>
              <w:t>Riesgos de procesos</w:t>
            </w:r>
          </w:p>
        </w:tc>
        <w:tc>
          <w:tcPr>
            <w:tcW w:w="1910" w:type="dxa"/>
            <w:shd w:val="clear" w:color="auto" w:fill="D9E2F3"/>
            <w:vAlign w:val="center"/>
          </w:tcPr>
          <w:p w14:paraId="2007EFFE" w14:textId="77777777" w:rsidR="00990B14" w:rsidRDefault="00000000">
            <w:pPr>
              <w:spacing w:before="20" w:after="20"/>
              <w:jc w:val="both"/>
            </w:pPr>
            <w:r>
              <w:rPr>
                <w:sz w:val="18"/>
                <w:szCs w:val="18"/>
              </w:rPr>
              <w:t>No determina los riesgos de los procesos auditados.</w:t>
            </w:r>
          </w:p>
        </w:tc>
        <w:tc>
          <w:tcPr>
            <w:tcW w:w="1910" w:type="dxa"/>
            <w:shd w:val="clear" w:color="auto" w:fill="D9E2F3"/>
            <w:vAlign w:val="center"/>
          </w:tcPr>
          <w:p w14:paraId="6B8E982C" w14:textId="77777777" w:rsidR="00990B14" w:rsidRDefault="00000000">
            <w:pPr>
              <w:spacing w:before="20" w:after="20"/>
              <w:jc w:val="both"/>
            </w:pPr>
            <w:r>
              <w:rPr>
                <w:sz w:val="18"/>
                <w:szCs w:val="18"/>
              </w:rPr>
              <w:t>Determina los riesgos de los procesos auditados y define el enfoque de auditoría.</w:t>
            </w:r>
          </w:p>
        </w:tc>
        <w:tc>
          <w:tcPr>
            <w:tcW w:w="2120" w:type="dxa"/>
            <w:shd w:val="clear" w:color="auto" w:fill="D9E2F3"/>
            <w:vAlign w:val="center"/>
          </w:tcPr>
          <w:p w14:paraId="5870B2F7" w14:textId="77777777" w:rsidR="00990B14" w:rsidRDefault="00000000">
            <w:pPr>
              <w:spacing w:before="20" w:after="20"/>
              <w:jc w:val="both"/>
            </w:pPr>
            <w:r>
              <w:rPr>
                <w:sz w:val="18"/>
                <w:szCs w:val="18"/>
              </w:rPr>
              <w:t>Prioriza los riesgos y justifica el enfoque con base en ellos.</w:t>
            </w:r>
          </w:p>
        </w:tc>
      </w:tr>
      <w:tr w:rsidR="00990B14" w14:paraId="31303546" w14:textId="77777777">
        <w:trPr>
          <w:cantSplit/>
          <w:jc w:val="center"/>
        </w:trPr>
        <w:tc>
          <w:tcPr>
            <w:tcW w:w="1635" w:type="dxa"/>
            <w:vMerge/>
            <w:shd w:val="clear" w:color="auto" w:fill="4472C4"/>
            <w:vAlign w:val="center"/>
          </w:tcPr>
          <w:p w14:paraId="54A90113" w14:textId="77777777" w:rsidR="00990B14" w:rsidRDefault="00990B14">
            <w:pPr>
              <w:spacing w:before="20" w:after="20"/>
            </w:pPr>
          </w:p>
        </w:tc>
        <w:tc>
          <w:tcPr>
            <w:tcW w:w="1830" w:type="dxa"/>
            <w:shd w:val="clear" w:color="auto" w:fill="D9E2F3"/>
            <w:vAlign w:val="center"/>
          </w:tcPr>
          <w:p w14:paraId="729B0759" w14:textId="77777777" w:rsidR="00990B14" w:rsidRDefault="00000000">
            <w:pPr>
              <w:spacing w:before="20" w:after="20"/>
              <w:jc w:val="both"/>
            </w:pPr>
            <w:r>
              <w:rPr>
                <w:sz w:val="18"/>
                <w:szCs w:val="18"/>
              </w:rPr>
              <w:t>Programas operacionales</w:t>
            </w:r>
          </w:p>
        </w:tc>
        <w:tc>
          <w:tcPr>
            <w:tcW w:w="1910" w:type="dxa"/>
            <w:shd w:val="clear" w:color="auto" w:fill="D9E2F3"/>
            <w:vAlign w:val="center"/>
          </w:tcPr>
          <w:p w14:paraId="4075CC2E" w14:textId="77777777" w:rsidR="00990B14" w:rsidRDefault="00000000">
            <w:pPr>
              <w:spacing w:before="20" w:after="20"/>
              <w:jc w:val="both"/>
            </w:pPr>
            <w:r>
              <w:rPr>
                <w:sz w:val="18"/>
                <w:szCs w:val="18"/>
              </w:rPr>
              <w:t>Elabora programas sin criterios ni indicadores de eficacia.</w:t>
            </w:r>
          </w:p>
        </w:tc>
        <w:tc>
          <w:tcPr>
            <w:tcW w:w="1910" w:type="dxa"/>
            <w:shd w:val="clear" w:color="auto" w:fill="D9E2F3"/>
            <w:vAlign w:val="center"/>
          </w:tcPr>
          <w:p w14:paraId="0226DB74" w14:textId="77777777" w:rsidR="00990B14" w:rsidRDefault="00000000">
            <w:pPr>
              <w:spacing w:before="20" w:after="20"/>
              <w:jc w:val="both"/>
            </w:pPr>
            <w:r>
              <w:rPr>
                <w:sz w:val="18"/>
                <w:szCs w:val="18"/>
              </w:rPr>
              <w:t>Elabora programas con procedimientos e indicadores de eficacia.</w:t>
            </w:r>
          </w:p>
        </w:tc>
        <w:tc>
          <w:tcPr>
            <w:tcW w:w="2120" w:type="dxa"/>
            <w:shd w:val="clear" w:color="auto" w:fill="D9E2F3"/>
            <w:vAlign w:val="center"/>
          </w:tcPr>
          <w:p w14:paraId="27BDA358" w14:textId="77777777" w:rsidR="00990B14" w:rsidRDefault="00000000">
            <w:pPr>
              <w:spacing w:before="20" w:after="20"/>
              <w:jc w:val="both"/>
            </w:pPr>
            <w:r>
              <w:rPr>
                <w:sz w:val="18"/>
                <w:szCs w:val="18"/>
              </w:rPr>
              <w:t>Justifica la selección de los indicadores y la extensión de las pruebas.</w:t>
            </w:r>
          </w:p>
        </w:tc>
      </w:tr>
      <w:tr w:rsidR="00990B14" w14:paraId="13EF201F" w14:textId="77777777">
        <w:trPr>
          <w:cantSplit/>
          <w:jc w:val="center"/>
        </w:trPr>
        <w:tc>
          <w:tcPr>
            <w:tcW w:w="1635" w:type="dxa"/>
            <w:vMerge/>
            <w:shd w:val="clear" w:color="auto" w:fill="4472C4"/>
            <w:vAlign w:val="center"/>
          </w:tcPr>
          <w:p w14:paraId="217881CB" w14:textId="77777777" w:rsidR="00990B14" w:rsidRDefault="00990B14">
            <w:pPr>
              <w:spacing w:before="20" w:after="20"/>
            </w:pPr>
          </w:p>
        </w:tc>
        <w:tc>
          <w:tcPr>
            <w:tcW w:w="5650" w:type="dxa"/>
            <w:gridSpan w:val="3"/>
            <w:shd w:val="clear" w:color="auto" w:fill="D9E2F3"/>
            <w:vAlign w:val="center"/>
          </w:tcPr>
          <w:p w14:paraId="2718078A" w14:textId="77777777" w:rsidR="00990B14" w:rsidRDefault="00000000">
            <w:pPr>
              <w:keepNext/>
              <w:spacing w:before="20" w:after="20"/>
              <w:jc w:val="both"/>
            </w:pPr>
            <w:r>
              <w:rPr>
                <w:b/>
                <w:bCs/>
                <w:i/>
                <w:iCs/>
                <w:sz w:val="18"/>
                <w:szCs w:val="18"/>
              </w:rPr>
              <w:t xml:space="preserve">Producto 23: </w:t>
            </w:r>
            <w:r>
              <w:rPr>
                <w:sz w:val="18"/>
                <w:szCs w:val="18"/>
              </w:rPr>
              <w:t>Documentos de papeles de trabajo, y legajos de ejecución de la auditoría operativa administrativa.</w:t>
            </w:r>
          </w:p>
        </w:tc>
        <w:tc>
          <w:tcPr>
            <w:tcW w:w="2120" w:type="dxa"/>
            <w:shd w:val="clear" w:color="auto" w:fill="D9E2F3"/>
            <w:vAlign w:val="center"/>
          </w:tcPr>
          <w:p w14:paraId="5FE5F4D9" w14:textId="77777777" w:rsidR="00990B14" w:rsidRDefault="00000000">
            <w:pPr>
              <w:spacing w:before="20" w:after="20"/>
              <w:jc w:val="center"/>
            </w:pPr>
            <w:r>
              <w:rPr>
                <w:b/>
                <w:bCs/>
                <w:sz w:val="18"/>
                <w:szCs w:val="18"/>
              </w:rPr>
              <w:t>4%</w:t>
            </w:r>
          </w:p>
        </w:tc>
      </w:tr>
      <w:tr w:rsidR="00990B14" w14:paraId="368D07BF" w14:textId="77777777">
        <w:trPr>
          <w:cantSplit/>
          <w:jc w:val="center"/>
        </w:trPr>
        <w:tc>
          <w:tcPr>
            <w:tcW w:w="1635" w:type="dxa"/>
            <w:vMerge/>
            <w:shd w:val="clear" w:color="auto" w:fill="4472C4"/>
            <w:vAlign w:val="center"/>
          </w:tcPr>
          <w:p w14:paraId="57AFFF54" w14:textId="77777777" w:rsidR="00990B14" w:rsidRDefault="00990B14">
            <w:pPr>
              <w:spacing w:before="20" w:after="20"/>
            </w:pPr>
          </w:p>
        </w:tc>
        <w:tc>
          <w:tcPr>
            <w:tcW w:w="1830" w:type="dxa"/>
            <w:shd w:val="clear" w:color="auto" w:fill="4472C4"/>
            <w:vAlign w:val="center"/>
          </w:tcPr>
          <w:p w14:paraId="15E330F4"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47D9C8A6"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08F35124"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797C7478" w14:textId="77777777" w:rsidR="00990B14" w:rsidRDefault="00000000">
            <w:pPr>
              <w:keepNext/>
              <w:spacing w:before="20" w:after="20"/>
              <w:jc w:val="center"/>
            </w:pPr>
            <w:r>
              <w:rPr>
                <w:b/>
                <w:bCs/>
                <w:i/>
                <w:iCs/>
                <w:color w:val="FFFFFF"/>
                <w:sz w:val="18"/>
                <w:szCs w:val="18"/>
              </w:rPr>
              <w:t>Destacado (81–100)</w:t>
            </w:r>
          </w:p>
        </w:tc>
      </w:tr>
      <w:tr w:rsidR="00990B14" w14:paraId="7A347765" w14:textId="77777777">
        <w:trPr>
          <w:cantSplit/>
          <w:jc w:val="center"/>
        </w:trPr>
        <w:tc>
          <w:tcPr>
            <w:tcW w:w="1635" w:type="dxa"/>
            <w:vMerge/>
            <w:shd w:val="clear" w:color="auto" w:fill="4472C4"/>
            <w:vAlign w:val="center"/>
          </w:tcPr>
          <w:p w14:paraId="5B6EF071" w14:textId="77777777" w:rsidR="00990B14" w:rsidRDefault="00990B14">
            <w:pPr>
              <w:spacing w:before="20" w:after="20"/>
            </w:pPr>
          </w:p>
        </w:tc>
        <w:tc>
          <w:tcPr>
            <w:tcW w:w="1830" w:type="dxa"/>
            <w:shd w:val="clear" w:color="auto" w:fill="D9E2F3"/>
            <w:vAlign w:val="center"/>
          </w:tcPr>
          <w:p w14:paraId="4A0B18E2" w14:textId="77777777" w:rsidR="00990B14" w:rsidRDefault="00000000">
            <w:pPr>
              <w:spacing w:before="20" w:after="20"/>
              <w:jc w:val="both"/>
            </w:pPr>
            <w:r>
              <w:rPr>
                <w:sz w:val="18"/>
                <w:szCs w:val="18"/>
              </w:rPr>
              <w:t>Pruebas aplicadas</w:t>
            </w:r>
          </w:p>
        </w:tc>
        <w:tc>
          <w:tcPr>
            <w:tcW w:w="1910" w:type="dxa"/>
            <w:shd w:val="clear" w:color="auto" w:fill="D9E2F3"/>
            <w:vAlign w:val="center"/>
          </w:tcPr>
          <w:p w14:paraId="26C67D48" w14:textId="77777777" w:rsidR="00990B14" w:rsidRDefault="00000000">
            <w:pPr>
              <w:spacing w:before="20" w:after="20"/>
              <w:jc w:val="both"/>
            </w:pPr>
            <w:r>
              <w:rPr>
                <w:sz w:val="18"/>
                <w:szCs w:val="18"/>
              </w:rPr>
              <w:t>Aplica pruebas incompletas o sin relación con los procesos auditados.</w:t>
            </w:r>
          </w:p>
        </w:tc>
        <w:tc>
          <w:tcPr>
            <w:tcW w:w="1910" w:type="dxa"/>
            <w:shd w:val="clear" w:color="auto" w:fill="D9E2F3"/>
            <w:vAlign w:val="center"/>
          </w:tcPr>
          <w:p w14:paraId="27C0EB34" w14:textId="77777777" w:rsidR="00990B14" w:rsidRDefault="00000000">
            <w:pPr>
              <w:spacing w:before="20" w:after="20"/>
              <w:jc w:val="both"/>
            </w:pPr>
            <w:r>
              <w:rPr>
                <w:sz w:val="18"/>
                <w:szCs w:val="18"/>
              </w:rPr>
              <w:t>Aplica correctamente pruebas sustantivas y de control sobre los procesos auditados.</w:t>
            </w:r>
          </w:p>
        </w:tc>
        <w:tc>
          <w:tcPr>
            <w:tcW w:w="2120" w:type="dxa"/>
            <w:shd w:val="clear" w:color="auto" w:fill="D9E2F3"/>
            <w:vAlign w:val="center"/>
          </w:tcPr>
          <w:p w14:paraId="2F0BFEA3" w14:textId="77777777" w:rsidR="00990B14" w:rsidRDefault="00000000">
            <w:pPr>
              <w:spacing w:before="20" w:after="20"/>
              <w:jc w:val="both"/>
            </w:pPr>
            <w:r>
              <w:rPr>
                <w:sz w:val="18"/>
                <w:szCs w:val="18"/>
              </w:rPr>
              <w:t>Analiza las causas de las deficiencias en la eficacia de los controles.</w:t>
            </w:r>
          </w:p>
        </w:tc>
      </w:tr>
      <w:tr w:rsidR="00990B14" w14:paraId="520CF94A" w14:textId="77777777">
        <w:trPr>
          <w:cantSplit/>
          <w:jc w:val="center"/>
        </w:trPr>
        <w:tc>
          <w:tcPr>
            <w:tcW w:w="1635" w:type="dxa"/>
            <w:vMerge/>
            <w:shd w:val="clear" w:color="auto" w:fill="4472C4"/>
            <w:vAlign w:val="center"/>
          </w:tcPr>
          <w:p w14:paraId="49D56922" w14:textId="77777777" w:rsidR="00990B14" w:rsidRDefault="00990B14">
            <w:pPr>
              <w:spacing w:before="20" w:after="20"/>
            </w:pPr>
          </w:p>
        </w:tc>
        <w:tc>
          <w:tcPr>
            <w:tcW w:w="1830" w:type="dxa"/>
            <w:shd w:val="clear" w:color="auto" w:fill="D9E2F3"/>
            <w:vAlign w:val="center"/>
          </w:tcPr>
          <w:p w14:paraId="1B2F188B" w14:textId="77777777" w:rsidR="00990B14" w:rsidRDefault="00000000">
            <w:pPr>
              <w:spacing w:before="20" w:after="20"/>
              <w:jc w:val="both"/>
            </w:pPr>
            <w:r>
              <w:rPr>
                <w:sz w:val="18"/>
                <w:szCs w:val="18"/>
              </w:rPr>
              <w:t>Evidencia suficiente</w:t>
            </w:r>
          </w:p>
        </w:tc>
        <w:tc>
          <w:tcPr>
            <w:tcW w:w="1910" w:type="dxa"/>
            <w:shd w:val="clear" w:color="auto" w:fill="D9E2F3"/>
            <w:vAlign w:val="center"/>
          </w:tcPr>
          <w:p w14:paraId="78CD4224" w14:textId="77777777" w:rsidR="00990B14" w:rsidRDefault="00000000">
            <w:pPr>
              <w:spacing w:before="20" w:after="20"/>
              <w:jc w:val="both"/>
            </w:pPr>
            <w:r>
              <w:rPr>
                <w:sz w:val="18"/>
                <w:szCs w:val="18"/>
              </w:rPr>
              <w:t>Presenta evidencia insuficiente o sin respaldo.</w:t>
            </w:r>
          </w:p>
        </w:tc>
        <w:tc>
          <w:tcPr>
            <w:tcW w:w="1910" w:type="dxa"/>
            <w:shd w:val="clear" w:color="auto" w:fill="D9E2F3"/>
            <w:vAlign w:val="center"/>
          </w:tcPr>
          <w:p w14:paraId="756F6160" w14:textId="77777777" w:rsidR="00990B14" w:rsidRDefault="00000000">
            <w:pPr>
              <w:spacing w:before="20" w:after="20"/>
              <w:jc w:val="both"/>
            </w:pPr>
            <w:r>
              <w:rPr>
                <w:sz w:val="18"/>
                <w:szCs w:val="18"/>
              </w:rPr>
              <w:t>Presenta evidencia válida y suficiente de cada deficiencia.</w:t>
            </w:r>
          </w:p>
        </w:tc>
        <w:tc>
          <w:tcPr>
            <w:tcW w:w="2120" w:type="dxa"/>
            <w:shd w:val="clear" w:color="auto" w:fill="D9E2F3"/>
            <w:vAlign w:val="center"/>
          </w:tcPr>
          <w:p w14:paraId="4CF79B48" w14:textId="77777777" w:rsidR="00990B14" w:rsidRDefault="00000000">
            <w:pPr>
              <w:spacing w:before="20" w:after="20"/>
              <w:jc w:val="both"/>
            </w:pPr>
            <w:r>
              <w:rPr>
                <w:sz w:val="18"/>
                <w:szCs w:val="18"/>
              </w:rPr>
              <w:t>Evalúa la calidad de la evidencia y propone procedimientos adicionales cuando es necesario.</w:t>
            </w:r>
          </w:p>
        </w:tc>
      </w:tr>
      <w:tr w:rsidR="00990B14" w14:paraId="09D00020" w14:textId="77777777">
        <w:trPr>
          <w:cantSplit/>
          <w:jc w:val="center"/>
        </w:trPr>
        <w:tc>
          <w:tcPr>
            <w:tcW w:w="1635" w:type="dxa"/>
            <w:vMerge/>
            <w:shd w:val="clear" w:color="auto" w:fill="4472C4"/>
            <w:vAlign w:val="center"/>
          </w:tcPr>
          <w:p w14:paraId="56C46772" w14:textId="77777777" w:rsidR="00990B14" w:rsidRDefault="00990B14">
            <w:pPr>
              <w:spacing w:before="20" w:after="20"/>
            </w:pPr>
          </w:p>
        </w:tc>
        <w:tc>
          <w:tcPr>
            <w:tcW w:w="1830" w:type="dxa"/>
            <w:shd w:val="clear" w:color="auto" w:fill="D9E2F3"/>
            <w:vAlign w:val="center"/>
          </w:tcPr>
          <w:p w14:paraId="47C158E7" w14:textId="77777777" w:rsidR="00990B14" w:rsidRDefault="00000000">
            <w:pPr>
              <w:spacing w:before="20" w:after="20"/>
              <w:jc w:val="both"/>
            </w:pPr>
            <w:r>
              <w:rPr>
                <w:sz w:val="18"/>
                <w:szCs w:val="18"/>
              </w:rPr>
              <w:t>Referenciación y orden</w:t>
            </w:r>
          </w:p>
        </w:tc>
        <w:tc>
          <w:tcPr>
            <w:tcW w:w="1910" w:type="dxa"/>
            <w:shd w:val="clear" w:color="auto" w:fill="D9E2F3"/>
            <w:vAlign w:val="center"/>
          </w:tcPr>
          <w:p w14:paraId="5F7C839D" w14:textId="77777777" w:rsidR="00990B14" w:rsidRDefault="00000000">
            <w:pPr>
              <w:spacing w:before="20" w:after="20"/>
              <w:jc w:val="both"/>
            </w:pPr>
            <w:r>
              <w:rPr>
                <w:sz w:val="18"/>
                <w:szCs w:val="18"/>
              </w:rPr>
              <w:t>Presenta papeles sin referencias, marcas ni conclusiones.</w:t>
            </w:r>
          </w:p>
        </w:tc>
        <w:tc>
          <w:tcPr>
            <w:tcW w:w="1910" w:type="dxa"/>
            <w:shd w:val="clear" w:color="auto" w:fill="D9E2F3"/>
            <w:vAlign w:val="center"/>
          </w:tcPr>
          <w:p w14:paraId="46D1F4E1" w14:textId="77777777" w:rsidR="00990B14" w:rsidRDefault="00000000">
            <w:pPr>
              <w:spacing w:before="20" w:after="20"/>
              <w:jc w:val="both"/>
            </w:pPr>
            <w:r>
              <w:rPr>
                <w:sz w:val="18"/>
                <w:szCs w:val="18"/>
              </w:rPr>
              <w:t>Presenta papeles referenciados, con marcas y conclusiones.</w:t>
            </w:r>
          </w:p>
        </w:tc>
        <w:tc>
          <w:tcPr>
            <w:tcW w:w="2120" w:type="dxa"/>
            <w:shd w:val="clear" w:color="auto" w:fill="D9E2F3"/>
            <w:vAlign w:val="center"/>
          </w:tcPr>
          <w:p w14:paraId="7FAC2337" w14:textId="77777777" w:rsidR="00990B14" w:rsidRDefault="00000000">
            <w:pPr>
              <w:spacing w:before="20" w:after="20"/>
              <w:jc w:val="both"/>
            </w:pPr>
            <w:r>
              <w:rPr>
                <w:sz w:val="18"/>
                <w:szCs w:val="18"/>
              </w:rPr>
              <w:t>Organiza el legajo con índices cruzados y respaldo digital.</w:t>
            </w:r>
          </w:p>
        </w:tc>
      </w:tr>
      <w:tr w:rsidR="00990B14" w14:paraId="3F288725" w14:textId="77777777">
        <w:trPr>
          <w:cantSplit/>
          <w:jc w:val="center"/>
        </w:trPr>
        <w:tc>
          <w:tcPr>
            <w:tcW w:w="1635" w:type="dxa"/>
            <w:vMerge/>
            <w:shd w:val="clear" w:color="auto" w:fill="4472C4"/>
            <w:vAlign w:val="center"/>
          </w:tcPr>
          <w:p w14:paraId="0BA18AF1" w14:textId="77777777" w:rsidR="00990B14" w:rsidRDefault="00990B14">
            <w:pPr>
              <w:spacing w:before="20" w:after="20"/>
            </w:pPr>
          </w:p>
        </w:tc>
        <w:tc>
          <w:tcPr>
            <w:tcW w:w="5650" w:type="dxa"/>
            <w:gridSpan w:val="3"/>
            <w:shd w:val="clear" w:color="auto" w:fill="D9E2F3"/>
            <w:vAlign w:val="center"/>
          </w:tcPr>
          <w:p w14:paraId="4F5C05AF" w14:textId="77777777" w:rsidR="00990B14" w:rsidRDefault="00000000">
            <w:pPr>
              <w:keepNext/>
              <w:spacing w:before="20" w:after="20"/>
              <w:jc w:val="both"/>
            </w:pPr>
            <w:r>
              <w:rPr>
                <w:b/>
                <w:bCs/>
                <w:i/>
                <w:iCs/>
                <w:sz w:val="18"/>
                <w:szCs w:val="18"/>
              </w:rPr>
              <w:t xml:space="preserve">Producto 24: </w:t>
            </w:r>
            <w:r>
              <w:rPr>
                <w:sz w:val="18"/>
                <w:szCs w:val="18"/>
              </w:rPr>
              <w:t>Informe de auditoría operativa administrativa y el Plan de Mejoramiento institucional.</w:t>
            </w:r>
          </w:p>
        </w:tc>
        <w:tc>
          <w:tcPr>
            <w:tcW w:w="2120" w:type="dxa"/>
            <w:shd w:val="clear" w:color="auto" w:fill="D9E2F3"/>
            <w:vAlign w:val="center"/>
          </w:tcPr>
          <w:p w14:paraId="1852E504" w14:textId="77777777" w:rsidR="00990B14" w:rsidRDefault="00000000">
            <w:pPr>
              <w:spacing w:before="20" w:after="20"/>
              <w:jc w:val="center"/>
            </w:pPr>
            <w:r>
              <w:rPr>
                <w:b/>
                <w:bCs/>
                <w:sz w:val="18"/>
                <w:szCs w:val="18"/>
              </w:rPr>
              <w:t>4%</w:t>
            </w:r>
          </w:p>
        </w:tc>
      </w:tr>
      <w:tr w:rsidR="00990B14" w14:paraId="74B7077C" w14:textId="77777777">
        <w:trPr>
          <w:cantSplit/>
          <w:jc w:val="center"/>
        </w:trPr>
        <w:tc>
          <w:tcPr>
            <w:tcW w:w="1635" w:type="dxa"/>
            <w:vMerge/>
            <w:shd w:val="clear" w:color="auto" w:fill="4472C4"/>
            <w:vAlign w:val="center"/>
          </w:tcPr>
          <w:p w14:paraId="10D5753B" w14:textId="77777777" w:rsidR="00990B14" w:rsidRDefault="00990B14">
            <w:pPr>
              <w:spacing w:before="20" w:after="20"/>
            </w:pPr>
          </w:p>
        </w:tc>
        <w:tc>
          <w:tcPr>
            <w:tcW w:w="1830" w:type="dxa"/>
            <w:shd w:val="clear" w:color="auto" w:fill="4472C4"/>
            <w:vAlign w:val="center"/>
          </w:tcPr>
          <w:p w14:paraId="67FF034A" w14:textId="77777777" w:rsidR="00990B14" w:rsidRDefault="00000000">
            <w:pPr>
              <w:keepNext/>
              <w:spacing w:before="20" w:after="20"/>
              <w:jc w:val="center"/>
            </w:pPr>
            <w:r>
              <w:rPr>
                <w:b/>
                <w:bCs/>
                <w:i/>
                <w:iCs/>
                <w:color w:val="FFFFFF"/>
                <w:sz w:val="18"/>
                <w:szCs w:val="18"/>
              </w:rPr>
              <w:t>Criterio</w:t>
            </w:r>
          </w:p>
        </w:tc>
        <w:tc>
          <w:tcPr>
            <w:tcW w:w="1910" w:type="dxa"/>
            <w:shd w:val="clear" w:color="auto" w:fill="4472C4"/>
            <w:vAlign w:val="center"/>
          </w:tcPr>
          <w:p w14:paraId="3D2E2A30"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2F155A64" w14:textId="77777777" w:rsidR="00990B14" w:rsidRDefault="00000000">
            <w:pPr>
              <w:keepNext/>
              <w:spacing w:before="20" w:after="20"/>
              <w:jc w:val="center"/>
            </w:pPr>
            <w:r>
              <w:rPr>
                <w:b/>
                <w:bCs/>
                <w:i/>
                <w:iCs/>
                <w:color w:val="FFFFFF"/>
                <w:sz w:val="18"/>
                <w:szCs w:val="18"/>
              </w:rPr>
              <w:t>Suficiente (51–80)</w:t>
            </w:r>
          </w:p>
        </w:tc>
        <w:tc>
          <w:tcPr>
            <w:tcW w:w="2120" w:type="dxa"/>
            <w:shd w:val="clear" w:color="auto" w:fill="4472C4"/>
            <w:vAlign w:val="center"/>
          </w:tcPr>
          <w:p w14:paraId="613977D5" w14:textId="77777777" w:rsidR="00990B14" w:rsidRDefault="00000000">
            <w:pPr>
              <w:keepNext/>
              <w:spacing w:before="20" w:after="20"/>
              <w:jc w:val="center"/>
            </w:pPr>
            <w:r>
              <w:rPr>
                <w:b/>
                <w:bCs/>
                <w:i/>
                <w:iCs/>
                <w:color w:val="FFFFFF"/>
                <w:sz w:val="18"/>
                <w:szCs w:val="18"/>
              </w:rPr>
              <w:t>Destacado (81–100)</w:t>
            </w:r>
          </w:p>
        </w:tc>
      </w:tr>
      <w:tr w:rsidR="00990B14" w14:paraId="28753411" w14:textId="77777777">
        <w:trPr>
          <w:cantSplit/>
          <w:jc w:val="center"/>
        </w:trPr>
        <w:tc>
          <w:tcPr>
            <w:tcW w:w="1635" w:type="dxa"/>
            <w:vMerge/>
            <w:shd w:val="clear" w:color="auto" w:fill="4472C4"/>
            <w:vAlign w:val="center"/>
          </w:tcPr>
          <w:p w14:paraId="2CA70979" w14:textId="77777777" w:rsidR="00990B14" w:rsidRDefault="00990B14">
            <w:pPr>
              <w:spacing w:before="20" w:after="20"/>
            </w:pPr>
          </w:p>
        </w:tc>
        <w:tc>
          <w:tcPr>
            <w:tcW w:w="1830" w:type="dxa"/>
            <w:shd w:val="clear" w:color="auto" w:fill="D9E2F3"/>
            <w:vAlign w:val="center"/>
          </w:tcPr>
          <w:p w14:paraId="1F233050" w14:textId="77777777" w:rsidR="00990B14" w:rsidRDefault="00000000">
            <w:pPr>
              <w:spacing w:before="20" w:after="20"/>
              <w:jc w:val="both"/>
            </w:pPr>
            <w:r>
              <w:rPr>
                <w:sz w:val="18"/>
                <w:szCs w:val="18"/>
              </w:rPr>
              <w:t>Hallazgos operacionales</w:t>
            </w:r>
          </w:p>
        </w:tc>
        <w:tc>
          <w:tcPr>
            <w:tcW w:w="1910" w:type="dxa"/>
            <w:shd w:val="clear" w:color="auto" w:fill="D9E2F3"/>
            <w:vAlign w:val="center"/>
          </w:tcPr>
          <w:p w14:paraId="2401403C" w14:textId="77777777" w:rsidR="00990B14" w:rsidRDefault="00000000">
            <w:pPr>
              <w:spacing w:before="20" w:after="20"/>
              <w:jc w:val="both"/>
            </w:pPr>
            <w:r>
              <w:rPr>
                <w:sz w:val="18"/>
                <w:szCs w:val="18"/>
              </w:rPr>
              <w:t>Omite uno o más atributos: condición, criterio, causa, efecto o recomendación.</w:t>
            </w:r>
          </w:p>
        </w:tc>
        <w:tc>
          <w:tcPr>
            <w:tcW w:w="1910" w:type="dxa"/>
            <w:shd w:val="clear" w:color="auto" w:fill="D9E2F3"/>
            <w:vAlign w:val="center"/>
          </w:tcPr>
          <w:p w14:paraId="5F0A0919" w14:textId="77777777" w:rsidR="00990B14" w:rsidRDefault="00000000">
            <w:pPr>
              <w:spacing w:before="20" w:after="20"/>
              <w:jc w:val="both"/>
            </w:pPr>
            <w:r>
              <w:rPr>
                <w:sz w:val="18"/>
                <w:szCs w:val="18"/>
              </w:rPr>
              <w:t>Redacta cada hallazgo con condición, criterio, causa, efecto y recomendación.</w:t>
            </w:r>
          </w:p>
        </w:tc>
        <w:tc>
          <w:tcPr>
            <w:tcW w:w="2120" w:type="dxa"/>
            <w:shd w:val="clear" w:color="auto" w:fill="D9E2F3"/>
            <w:vAlign w:val="center"/>
          </w:tcPr>
          <w:p w14:paraId="1F0BF2FA" w14:textId="77777777" w:rsidR="00990B14" w:rsidRDefault="00000000">
            <w:pPr>
              <w:spacing w:before="20" w:after="20"/>
              <w:jc w:val="both"/>
            </w:pPr>
            <w:r>
              <w:rPr>
                <w:sz w:val="18"/>
                <w:szCs w:val="18"/>
              </w:rPr>
              <w:t>Verifica la coherencia entre los atributos y sustenta la causa de cada hallazgo.</w:t>
            </w:r>
          </w:p>
        </w:tc>
      </w:tr>
      <w:tr w:rsidR="00990B14" w14:paraId="359A0529" w14:textId="77777777">
        <w:trPr>
          <w:cantSplit/>
          <w:jc w:val="center"/>
        </w:trPr>
        <w:tc>
          <w:tcPr>
            <w:tcW w:w="1635" w:type="dxa"/>
            <w:vMerge/>
            <w:shd w:val="clear" w:color="auto" w:fill="4472C4"/>
            <w:vAlign w:val="center"/>
          </w:tcPr>
          <w:p w14:paraId="335B4273" w14:textId="77777777" w:rsidR="00990B14" w:rsidRDefault="00990B14">
            <w:pPr>
              <w:spacing w:before="20" w:after="20"/>
            </w:pPr>
          </w:p>
        </w:tc>
        <w:tc>
          <w:tcPr>
            <w:tcW w:w="1830" w:type="dxa"/>
            <w:shd w:val="clear" w:color="auto" w:fill="D9E2F3"/>
            <w:vAlign w:val="center"/>
          </w:tcPr>
          <w:p w14:paraId="4F10FA30" w14:textId="77777777" w:rsidR="00990B14" w:rsidRDefault="00000000">
            <w:pPr>
              <w:spacing w:before="20" w:after="20"/>
              <w:jc w:val="both"/>
            </w:pPr>
            <w:r>
              <w:rPr>
                <w:sz w:val="18"/>
                <w:szCs w:val="18"/>
              </w:rPr>
              <w:t>Grado de eficacia</w:t>
            </w:r>
          </w:p>
        </w:tc>
        <w:tc>
          <w:tcPr>
            <w:tcW w:w="1910" w:type="dxa"/>
            <w:shd w:val="clear" w:color="auto" w:fill="D9E2F3"/>
            <w:vAlign w:val="center"/>
          </w:tcPr>
          <w:p w14:paraId="595AD70E" w14:textId="77777777" w:rsidR="00990B14" w:rsidRDefault="00000000">
            <w:pPr>
              <w:spacing w:before="20" w:after="20"/>
              <w:jc w:val="both"/>
            </w:pPr>
            <w:r>
              <w:rPr>
                <w:sz w:val="18"/>
                <w:szCs w:val="18"/>
              </w:rPr>
              <w:t>Concluye sobre la eficacia sin sustento.</w:t>
            </w:r>
          </w:p>
        </w:tc>
        <w:tc>
          <w:tcPr>
            <w:tcW w:w="1910" w:type="dxa"/>
            <w:shd w:val="clear" w:color="auto" w:fill="D9E2F3"/>
            <w:vAlign w:val="center"/>
          </w:tcPr>
          <w:p w14:paraId="0CF92934" w14:textId="77777777" w:rsidR="00990B14" w:rsidRDefault="00000000">
            <w:pPr>
              <w:spacing w:before="20" w:after="20"/>
              <w:jc w:val="both"/>
            </w:pPr>
            <w:r>
              <w:rPr>
                <w:sz w:val="18"/>
                <w:szCs w:val="18"/>
              </w:rPr>
              <w:t>Concluye sobre el grado de eficacia de los sistemas de administración.</w:t>
            </w:r>
          </w:p>
        </w:tc>
        <w:tc>
          <w:tcPr>
            <w:tcW w:w="2120" w:type="dxa"/>
            <w:shd w:val="clear" w:color="auto" w:fill="D9E2F3"/>
            <w:vAlign w:val="center"/>
          </w:tcPr>
          <w:p w14:paraId="4DAE5FB2" w14:textId="77777777" w:rsidR="00990B14" w:rsidRDefault="00000000">
            <w:pPr>
              <w:spacing w:before="20" w:after="20"/>
              <w:jc w:val="both"/>
            </w:pPr>
            <w:r>
              <w:rPr>
                <w:sz w:val="18"/>
                <w:szCs w:val="18"/>
              </w:rPr>
              <w:t>Sustenta la conclusión con indicadores y la compara con el desempeño esperado.</w:t>
            </w:r>
          </w:p>
        </w:tc>
      </w:tr>
      <w:tr w:rsidR="00990B14" w14:paraId="6C348D16" w14:textId="77777777">
        <w:trPr>
          <w:cantSplit/>
          <w:jc w:val="center"/>
        </w:trPr>
        <w:tc>
          <w:tcPr>
            <w:tcW w:w="1635" w:type="dxa"/>
            <w:vMerge/>
            <w:shd w:val="clear" w:color="auto" w:fill="4472C4"/>
            <w:vAlign w:val="center"/>
          </w:tcPr>
          <w:p w14:paraId="70C4B309" w14:textId="77777777" w:rsidR="00990B14" w:rsidRDefault="00990B14">
            <w:pPr>
              <w:spacing w:before="20" w:after="20"/>
            </w:pPr>
          </w:p>
        </w:tc>
        <w:tc>
          <w:tcPr>
            <w:tcW w:w="1830" w:type="dxa"/>
            <w:shd w:val="clear" w:color="auto" w:fill="D9E2F3"/>
            <w:vAlign w:val="center"/>
          </w:tcPr>
          <w:p w14:paraId="45154280" w14:textId="77777777" w:rsidR="00990B14" w:rsidRDefault="00000000">
            <w:pPr>
              <w:spacing w:before="20" w:after="20"/>
              <w:jc w:val="both"/>
            </w:pPr>
            <w:r>
              <w:rPr>
                <w:sz w:val="18"/>
                <w:szCs w:val="18"/>
              </w:rPr>
              <w:t>Plan de mejoramiento</w:t>
            </w:r>
          </w:p>
        </w:tc>
        <w:tc>
          <w:tcPr>
            <w:tcW w:w="1910" w:type="dxa"/>
            <w:shd w:val="clear" w:color="auto" w:fill="D9E2F3"/>
            <w:vAlign w:val="center"/>
          </w:tcPr>
          <w:p w14:paraId="5BA5076F" w14:textId="77777777" w:rsidR="00990B14" w:rsidRDefault="00000000">
            <w:pPr>
              <w:spacing w:before="20" w:after="20"/>
              <w:jc w:val="both"/>
            </w:pPr>
            <w:r>
              <w:rPr>
                <w:sz w:val="18"/>
                <w:szCs w:val="18"/>
              </w:rPr>
              <w:t>Presenta un plan sin acciones, responsables ni plazos.</w:t>
            </w:r>
          </w:p>
        </w:tc>
        <w:tc>
          <w:tcPr>
            <w:tcW w:w="1910" w:type="dxa"/>
            <w:shd w:val="clear" w:color="auto" w:fill="D9E2F3"/>
            <w:vAlign w:val="center"/>
          </w:tcPr>
          <w:p w14:paraId="651B0C7B" w14:textId="77777777" w:rsidR="00990B14" w:rsidRDefault="00000000">
            <w:pPr>
              <w:spacing w:before="20" w:after="20"/>
              <w:jc w:val="both"/>
            </w:pPr>
            <w:r>
              <w:rPr>
                <w:sz w:val="18"/>
                <w:szCs w:val="18"/>
              </w:rPr>
              <w:t>Presenta un plan con acciones, responsables y plazos.</w:t>
            </w:r>
          </w:p>
        </w:tc>
        <w:tc>
          <w:tcPr>
            <w:tcW w:w="2120" w:type="dxa"/>
            <w:shd w:val="clear" w:color="auto" w:fill="D9E2F3"/>
            <w:vAlign w:val="center"/>
          </w:tcPr>
          <w:p w14:paraId="59BABEBF" w14:textId="77777777" w:rsidR="00990B14" w:rsidRDefault="00000000">
            <w:pPr>
              <w:spacing w:before="20" w:after="20"/>
              <w:jc w:val="both"/>
            </w:pPr>
            <w:r>
              <w:rPr>
                <w:sz w:val="18"/>
                <w:szCs w:val="18"/>
              </w:rPr>
              <w:t>Propone acciones priorizadas, con indicadores de seguimiento, y evalúa su viabilidad.</w:t>
            </w:r>
          </w:p>
        </w:tc>
      </w:tr>
      <w:tr w:rsidR="00990B14" w14:paraId="6D8FDD1D" w14:textId="77777777">
        <w:trPr>
          <w:cantSplit/>
          <w:jc w:val="center"/>
        </w:trPr>
        <w:tc>
          <w:tcPr>
            <w:tcW w:w="7285" w:type="dxa"/>
            <w:gridSpan w:val="4"/>
            <w:shd w:val="clear" w:color="auto" w:fill="4472C4"/>
            <w:vAlign w:val="center"/>
          </w:tcPr>
          <w:p w14:paraId="37156DD1" w14:textId="77777777" w:rsidR="00990B14" w:rsidRDefault="00000000">
            <w:pPr>
              <w:keepNext/>
              <w:spacing w:before="20" w:after="20"/>
              <w:jc w:val="center"/>
            </w:pPr>
            <w:r>
              <w:rPr>
                <w:b/>
                <w:bCs/>
                <w:i/>
                <w:iCs/>
                <w:color w:val="FFFFFF"/>
                <w:sz w:val="18"/>
                <w:szCs w:val="18"/>
              </w:rPr>
              <w:t>TOTAL</w:t>
            </w:r>
          </w:p>
        </w:tc>
        <w:tc>
          <w:tcPr>
            <w:tcW w:w="2120" w:type="dxa"/>
            <w:shd w:val="clear" w:color="auto" w:fill="4472C4"/>
            <w:vAlign w:val="center"/>
          </w:tcPr>
          <w:p w14:paraId="4C22C943" w14:textId="77777777" w:rsidR="00990B14" w:rsidRDefault="00000000">
            <w:pPr>
              <w:keepNext/>
              <w:spacing w:before="20" w:after="20"/>
              <w:jc w:val="center"/>
            </w:pPr>
            <w:r>
              <w:rPr>
                <w:b/>
                <w:bCs/>
                <w:i/>
                <w:iCs/>
                <w:color w:val="FFFFFF"/>
                <w:sz w:val="18"/>
                <w:szCs w:val="18"/>
              </w:rPr>
              <w:t>100%</w:t>
            </w:r>
          </w:p>
        </w:tc>
      </w:tr>
    </w:tbl>
    <w:p w14:paraId="43229034"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9405"/>
      </w:tblGrid>
      <w:tr w:rsidR="00990B14" w14:paraId="6F38CCC9" w14:textId="77777777">
        <w:trPr>
          <w:jc w:val="center"/>
        </w:trPr>
        <w:tc>
          <w:tcPr>
            <w:tcW w:w="9405" w:type="dxa"/>
            <w:shd w:val="clear" w:color="auto" w:fill="D9E2F3"/>
          </w:tcPr>
          <w:p w14:paraId="2002FFAC" w14:textId="77777777" w:rsidR="00990B14" w:rsidRDefault="00000000">
            <w:pPr>
              <w:spacing w:before="40" w:after="40"/>
              <w:jc w:val="both"/>
            </w:pPr>
            <w:r>
              <w:rPr>
                <w:b/>
                <w:bCs/>
                <w:i/>
                <w:iCs/>
                <w:sz w:val="18"/>
                <w:szCs w:val="18"/>
              </w:rPr>
              <w:t>Bibliografía básica:</w:t>
            </w:r>
          </w:p>
          <w:p w14:paraId="2E1728BA" w14:textId="77777777" w:rsidR="00990B14" w:rsidRDefault="00000000">
            <w:pPr>
              <w:numPr>
                <w:ilvl w:val="0"/>
                <w:numId w:val="140"/>
              </w:numPr>
              <w:spacing w:after="20"/>
              <w:jc w:val="both"/>
            </w:pPr>
            <w:r>
              <w:rPr>
                <w:sz w:val="18"/>
                <w:szCs w:val="18"/>
              </w:rPr>
              <w:t>Asamblea Legislativa Plurinacional de Bolivia. (2010). Ley N.º 004 Marcelo Quiroga Santa Cruz, de lucha contra la corrupción, enriquecimiento ilícito e investigación de fortunas. La Paz: Gaceta Oficial de Bolivia.</w:t>
            </w:r>
          </w:p>
          <w:p w14:paraId="498226BC" w14:textId="77777777" w:rsidR="00990B14" w:rsidRDefault="00000000">
            <w:pPr>
              <w:numPr>
                <w:ilvl w:val="0"/>
                <w:numId w:val="140"/>
              </w:numPr>
              <w:spacing w:after="20"/>
              <w:jc w:val="both"/>
            </w:pPr>
            <w:r>
              <w:rPr>
                <w:sz w:val="18"/>
                <w:szCs w:val="18"/>
              </w:rPr>
              <w:t>Asamblea Legislativa Plurinacional de Bolivia. (2010). Ley N.º 031 Marco de Autonomías y Descentralización “Andrés Ibáñez”. La Paz: Gaceta Oficial de Bolivia.</w:t>
            </w:r>
          </w:p>
          <w:p w14:paraId="2114D8DC" w14:textId="77777777" w:rsidR="00990B14" w:rsidRDefault="00000000">
            <w:pPr>
              <w:numPr>
                <w:ilvl w:val="0"/>
                <w:numId w:val="140"/>
              </w:numPr>
              <w:spacing w:after="20"/>
              <w:jc w:val="both"/>
            </w:pPr>
            <w:r>
              <w:rPr>
                <w:sz w:val="18"/>
                <w:szCs w:val="18"/>
              </w:rPr>
              <w:t>Asamblea Legislativa Plurinacional de Bolivia. (2011). Ley N.º 164 General de Telecomunicaciones, Tecnologías de Información y Comunicación. La Paz: Gaceta Oficial de Bolivia.</w:t>
            </w:r>
          </w:p>
          <w:p w14:paraId="37D02C3D" w14:textId="77777777" w:rsidR="00990B14" w:rsidRDefault="00000000">
            <w:pPr>
              <w:numPr>
                <w:ilvl w:val="0"/>
                <w:numId w:val="140"/>
              </w:numPr>
              <w:spacing w:after="20"/>
              <w:jc w:val="both"/>
            </w:pPr>
            <w:r>
              <w:rPr>
                <w:sz w:val="18"/>
                <w:szCs w:val="18"/>
              </w:rPr>
              <w:t>Asamblea Legislativa Plurinacional de Bolivia. (2013). Ley N.º 341 de Participación y Control Social. La Paz: Gaceta Oficial de Bolivia.</w:t>
            </w:r>
          </w:p>
          <w:p w14:paraId="483E0277" w14:textId="77777777" w:rsidR="00990B14" w:rsidRDefault="00000000">
            <w:pPr>
              <w:numPr>
                <w:ilvl w:val="0"/>
                <w:numId w:val="140"/>
              </w:numPr>
              <w:spacing w:after="20"/>
              <w:jc w:val="both"/>
            </w:pPr>
            <w:r>
              <w:rPr>
                <w:sz w:val="18"/>
                <w:szCs w:val="18"/>
              </w:rPr>
              <w:t>Asamblea Legislativa Plurinacional de Bolivia. (2016). Ley N.º 777 del Sistema de Planificación Integral del Estado. La Paz: Gaceta Oficial de Bolivia.</w:t>
            </w:r>
          </w:p>
          <w:p w14:paraId="0DF17510" w14:textId="77777777" w:rsidR="00990B14" w:rsidRDefault="00000000">
            <w:pPr>
              <w:numPr>
                <w:ilvl w:val="0"/>
                <w:numId w:val="140"/>
              </w:numPr>
              <w:spacing w:after="20"/>
              <w:jc w:val="both"/>
            </w:pPr>
            <w:r>
              <w:rPr>
                <w:sz w:val="18"/>
                <w:szCs w:val="18"/>
              </w:rPr>
              <w:t>Asamblea Legislativa Plurinacional de Bolivia. (2017). Ley N.º 974 de Unidades de Transparencia y Lucha Contra la Corrupción. La Paz: Gaceta Oficial de Bolivia.</w:t>
            </w:r>
          </w:p>
          <w:p w14:paraId="03249486" w14:textId="77777777" w:rsidR="00990B14" w:rsidRDefault="00000000">
            <w:pPr>
              <w:numPr>
                <w:ilvl w:val="0"/>
                <w:numId w:val="140"/>
              </w:numPr>
              <w:spacing w:after="20"/>
              <w:jc w:val="both"/>
            </w:pPr>
            <w:r>
              <w:rPr>
                <w:sz w:val="18"/>
                <w:szCs w:val="18"/>
              </w:rPr>
              <w:t>Asamblea Legislativa Plurinacional de Bolivia. (2021). Ley N.º 1390 de fortalecimiento para la lucha contra la corrupción. La Paz: Gaceta Oficial de Bolivia.</w:t>
            </w:r>
          </w:p>
          <w:p w14:paraId="2D628484" w14:textId="77777777" w:rsidR="00990B14" w:rsidRDefault="00000000">
            <w:pPr>
              <w:numPr>
                <w:ilvl w:val="0"/>
                <w:numId w:val="140"/>
              </w:numPr>
              <w:spacing w:after="20"/>
              <w:jc w:val="both"/>
            </w:pPr>
            <w:r w:rsidRPr="00BD34F7">
              <w:rPr>
                <w:sz w:val="18"/>
                <w:szCs w:val="18"/>
                <w:lang w:val="en-US"/>
              </w:rPr>
              <w:t xml:space="preserve">Committee of Sponsoring Organizations of the Treadway Commission. </w:t>
            </w:r>
            <w:r>
              <w:rPr>
                <w:sz w:val="18"/>
                <w:szCs w:val="18"/>
              </w:rPr>
              <w:t>(2013). Control interno: marco integrado. Madrid: Instituto de Auditores Internos de España y PwC.</w:t>
            </w:r>
          </w:p>
          <w:p w14:paraId="37827966" w14:textId="77777777" w:rsidR="00990B14" w:rsidRDefault="00000000">
            <w:pPr>
              <w:numPr>
                <w:ilvl w:val="0"/>
                <w:numId w:val="140"/>
              </w:numPr>
              <w:spacing w:after="20"/>
              <w:jc w:val="both"/>
            </w:pPr>
            <w:r>
              <w:rPr>
                <w:sz w:val="18"/>
                <w:szCs w:val="18"/>
              </w:rPr>
              <w:t>Congreso Nacional de Bolivia. (1990). Ley N.º 1178 de Administración y Control Gubernamentales. La Paz: Gaceta Oficial de Bolivia.</w:t>
            </w:r>
          </w:p>
          <w:p w14:paraId="23780670" w14:textId="77777777" w:rsidR="00990B14" w:rsidRDefault="00000000">
            <w:pPr>
              <w:numPr>
                <w:ilvl w:val="0"/>
                <w:numId w:val="140"/>
              </w:numPr>
              <w:spacing w:after="20"/>
              <w:jc w:val="both"/>
            </w:pPr>
            <w:r>
              <w:rPr>
                <w:sz w:val="18"/>
                <w:szCs w:val="18"/>
              </w:rPr>
              <w:t>Congreso Nacional de Bolivia. (1999). Ley N.º 1970 Código de Procedimiento Penal. La Paz: Gaceta Oficial de Bolivia.</w:t>
            </w:r>
          </w:p>
          <w:p w14:paraId="4E9BBBFF" w14:textId="77777777" w:rsidR="00990B14" w:rsidRDefault="00000000">
            <w:pPr>
              <w:numPr>
                <w:ilvl w:val="0"/>
                <w:numId w:val="140"/>
              </w:numPr>
              <w:spacing w:after="20"/>
              <w:jc w:val="both"/>
            </w:pPr>
            <w:r>
              <w:rPr>
                <w:sz w:val="18"/>
                <w:szCs w:val="18"/>
              </w:rPr>
              <w:t>Congreso Nacional de Bolivia. (1999). Ley N.º 2027 del Estatuto del Funcionario Público. La Paz: Gaceta Oficial de Bolivia.</w:t>
            </w:r>
          </w:p>
          <w:p w14:paraId="47880026" w14:textId="77777777" w:rsidR="00990B14" w:rsidRDefault="00000000">
            <w:pPr>
              <w:numPr>
                <w:ilvl w:val="0"/>
                <w:numId w:val="140"/>
              </w:numPr>
              <w:spacing w:after="20"/>
              <w:jc w:val="both"/>
            </w:pPr>
            <w:r>
              <w:rPr>
                <w:sz w:val="18"/>
                <w:szCs w:val="18"/>
              </w:rPr>
              <w:t>Congreso Nacional de Bolivia. (1999). Ley N.º 2042 de Administración Presupuestaria. La Paz: Gaceta Oficial de Bolivia.</w:t>
            </w:r>
          </w:p>
          <w:p w14:paraId="477A9BD4" w14:textId="77777777" w:rsidR="00990B14" w:rsidRDefault="00000000">
            <w:pPr>
              <w:numPr>
                <w:ilvl w:val="0"/>
                <w:numId w:val="140"/>
              </w:numPr>
              <w:spacing w:after="20"/>
              <w:jc w:val="both"/>
            </w:pPr>
            <w:r>
              <w:rPr>
                <w:sz w:val="18"/>
                <w:szCs w:val="18"/>
              </w:rPr>
              <w:t>Congreso Nacional de Bolivia. (2002). Ley N.º 2341 de Procedimiento Administrativo. La Paz: Gaceta Oficial de Bolivia.</w:t>
            </w:r>
          </w:p>
          <w:p w14:paraId="45B8EEAE" w14:textId="77777777" w:rsidR="00990B14" w:rsidRDefault="00000000">
            <w:pPr>
              <w:numPr>
                <w:ilvl w:val="0"/>
                <w:numId w:val="140"/>
              </w:numPr>
              <w:spacing w:after="20"/>
              <w:jc w:val="both"/>
            </w:pPr>
            <w:r>
              <w:rPr>
                <w:sz w:val="18"/>
                <w:szCs w:val="18"/>
              </w:rPr>
              <w:t>Contraloría General del Estado. (2012). Resolución CGE/094/2012: Normas Generales de Auditoría Gubernamental, y sus actualizaciones. La Paz: Contraloría General del Estado.</w:t>
            </w:r>
          </w:p>
          <w:p w14:paraId="62A95ACE" w14:textId="77777777" w:rsidR="00990B14" w:rsidRDefault="00000000">
            <w:pPr>
              <w:numPr>
                <w:ilvl w:val="0"/>
                <w:numId w:val="140"/>
              </w:numPr>
              <w:spacing w:after="20"/>
              <w:jc w:val="both"/>
            </w:pPr>
            <w:r>
              <w:rPr>
                <w:sz w:val="18"/>
                <w:szCs w:val="18"/>
              </w:rPr>
              <w:t>Contraloría General del Estado. (versión vigente). Guías, instructivos, normas y reglamentos para auditorías financieras, de confiabilidad de registros y estados financieros, operacionales, de proyectos y de cumplimiento. La Paz: Contraloría General del Estado.</w:t>
            </w:r>
          </w:p>
          <w:p w14:paraId="160D89A0" w14:textId="77777777" w:rsidR="00990B14" w:rsidRDefault="00000000">
            <w:pPr>
              <w:numPr>
                <w:ilvl w:val="0"/>
                <w:numId w:val="140"/>
              </w:numPr>
              <w:spacing w:after="20"/>
              <w:jc w:val="both"/>
            </w:pPr>
            <w:r>
              <w:rPr>
                <w:sz w:val="18"/>
                <w:szCs w:val="18"/>
              </w:rPr>
              <w:t>Contraloría General del Estado. (versión vigente). Normas de Auditoría Financiera, de Cumplimiento y Operacional. La Paz: Contraloría General del Estado.</w:t>
            </w:r>
          </w:p>
          <w:p w14:paraId="20656B1C" w14:textId="77777777" w:rsidR="00990B14" w:rsidRDefault="00000000">
            <w:pPr>
              <w:numPr>
                <w:ilvl w:val="0"/>
                <w:numId w:val="140"/>
              </w:numPr>
              <w:spacing w:after="20"/>
              <w:jc w:val="both"/>
            </w:pPr>
            <w:r>
              <w:rPr>
                <w:sz w:val="18"/>
                <w:szCs w:val="18"/>
              </w:rPr>
              <w:t>Contraloría General del Estado. (versión vigente). Principios, Normas Generales y Básicas de Control Interno Gubernamental. La Paz: Contraloría General del Estado.</w:t>
            </w:r>
          </w:p>
          <w:p w14:paraId="6DCADC8C" w14:textId="77777777" w:rsidR="00990B14" w:rsidRDefault="00000000">
            <w:pPr>
              <w:numPr>
                <w:ilvl w:val="0"/>
                <w:numId w:val="140"/>
              </w:numPr>
              <w:spacing w:after="20"/>
              <w:jc w:val="both"/>
            </w:pPr>
            <w:r>
              <w:rPr>
                <w:sz w:val="18"/>
                <w:szCs w:val="18"/>
              </w:rPr>
              <w:t>Contraloría General del Estado. (versión vigente). Textos de capacitación. La Paz: Contraloría General del Estado.</w:t>
            </w:r>
          </w:p>
          <w:p w14:paraId="1A7BDCB9" w14:textId="77777777" w:rsidR="00990B14" w:rsidRDefault="00000000">
            <w:pPr>
              <w:numPr>
                <w:ilvl w:val="0"/>
                <w:numId w:val="140"/>
              </w:numPr>
              <w:spacing w:after="20"/>
              <w:jc w:val="both"/>
            </w:pPr>
            <w:r>
              <w:rPr>
                <w:sz w:val="18"/>
                <w:szCs w:val="18"/>
              </w:rPr>
              <w:t>Estado Plurinacional de Bolivia. (2009). Constitución Política del Estado. La Paz: Gaceta Oficial de Bolivia.</w:t>
            </w:r>
          </w:p>
          <w:p w14:paraId="1CCF7469" w14:textId="77777777" w:rsidR="00990B14" w:rsidRDefault="00000000">
            <w:pPr>
              <w:numPr>
                <w:ilvl w:val="0"/>
                <w:numId w:val="140"/>
              </w:numPr>
              <w:spacing w:after="20"/>
              <w:jc w:val="both"/>
            </w:pPr>
            <w:r>
              <w:rPr>
                <w:sz w:val="18"/>
                <w:szCs w:val="18"/>
              </w:rPr>
              <w:t>Estado Plurinacional de Bolivia. (versión vigente). Código Penal. La Paz: Gaceta Oficial de Bolivia.</w:t>
            </w:r>
          </w:p>
          <w:p w14:paraId="5DB19365" w14:textId="77777777" w:rsidR="00990B14" w:rsidRDefault="00000000">
            <w:pPr>
              <w:numPr>
                <w:ilvl w:val="0"/>
                <w:numId w:val="140"/>
              </w:numPr>
              <w:spacing w:after="20"/>
              <w:jc w:val="both"/>
            </w:pPr>
            <w:r w:rsidRPr="00BD34F7">
              <w:rPr>
                <w:sz w:val="18"/>
                <w:szCs w:val="18"/>
                <w:lang w:val="en-US"/>
              </w:rPr>
              <w:t xml:space="preserve">International Auditing and Assurance Standards Board. </w:t>
            </w:r>
            <w:r>
              <w:rPr>
                <w:sz w:val="18"/>
                <w:szCs w:val="18"/>
              </w:rPr>
              <w:t>(edición vigente). Manual de Pronunciamientos Internacionales de Control de Calidad, Auditoría, Revisión, Otros Aseguramientos y Servicios Relacionados. Nueva York: Federación Internacional de Contadores.</w:t>
            </w:r>
          </w:p>
          <w:p w14:paraId="00706CD3" w14:textId="77777777" w:rsidR="00990B14" w:rsidRDefault="00000000">
            <w:pPr>
              <w:numPr>
                <w:ilvl w:val="0"/>
                <w:numId w:val="140"/>
              </w:numPr>
              <w:spacing w:after="20"/>
              <w:jc w:val="both"/>
            </w:pPr>
            <w:r w:rsidRPr="00BD34F7">
              <w:rPr>
                <w:sz w:val="18"/>
                <w:szCs w:val="18"/>
                <w:lang w:val="en-US"/>
              </w:rPr>
              <w:t xml:space="preserve">International Organization of Supreme Audit Institutions. </w:t>
            </w:r>
            <w:r>
              <w:rPr>
                <w:sz w:val="18"/>
                <w:szCs w:val="18"/>
              </w:rPr>
              <w:t>(2004). INTOSAI GOV 9100: Guía para las normas de control interno del sector público. Viena: INTOSAI.</w:t>
            </w:r>
          </w:p>
          <w:p w14:paraId="740B9A0A" w14:textId="77777777" w:rsidR="00990B14" w:rsidRDefault="00000000">
            <w:pPr>
              <w:numPr>
                <w:ilvl w:val="0"/>
                <w:numId w:val="140"/>
              </w:numPr>
              <w:spacing w:after="20"/>
              <w:jc w:val="both"/>
            </w:pPr>
            <w:r w:rsidRPr="00BD34F7">
              <w:rPr>
                <w:sz w:val="18"/>
                <w:szCs w:val="18"/>
                <w:lang w:val="en-US"/>
              </w:rPr>
              <w:t xml:space="preserve">International Organization of Supreme Audit Institutions. </w:t>
            </w:r>
            <w:r>
              <w:rPr>
                <w:sz w:val="18"/>
                <w:szCs w:val="18"/>
              </w:rPr>
              <w:t>(versión vigente). ISSAI 100: Principios fundamentales de la auditoría del sector público y ISSAI 130: Código de ética. Viena: INTOSAI.</w:t>
            </w:r>
          </w:p>
          <w:p w14:paraId="7C216518" w14:textId="77777777" w:rsidR="00990B14" w:rsidRDefault="00000000">
            <w:pPr>
              <w:numPr>
                <w:ilvl w:val="0"/>
                <w:numId w:val="140"/>
              </w:numPr>
              <w:spacing w:after="20"/>
              <w:jc w:val="both"/>
            </w:pPr>
            <w:r w:rsidRPr="00BD34F7">
              <w:rPr>
                <w:sz w:val="18"/>
                <w:szCs w:val="18"/>
                <w:lang w:val="en-US"/>
              </w:rPr>
              <w:t xml:space="preserve">International Organization of Supreme Audit Institutions. </w:t>
            </w:r>
            <w:r>
              <w:rPr>
                <w:sz w:val="18"/>
                <w:szCs w:val="18"/>
              </w:rPr>
              <w:t>(versión vigente). ISSAI 200: Principios fundamentales de la auditoría financiera; ISSAI 300: Principios fundamentales de la auditoría operativa; ISSAI 400: Principios fundamentales de la auditoría de cumplimiento. Viena: INTOSAI.</w:t>
            </w:r>
          </w:p>
          <w:p w14:paraId="28305204" w14:textId="77777777" w:rsidR="00990B14" w:rsidRDefault="00000000">
            <w:pPr>
              <w:numPr>
                <w:ilvl w:val="0"/>
                <w:numId w:val="140"/>
              </w:numPr>
              <w:spacing w:after="20"/>
              <w:jc w:val="both"/>
            </w:pPr>
            <w:r w:rsidRPr="00BD34F7">
              <w:rPr>
                <w:sz w:val="18"/>
                <w:szCs w:val="18"/>
                <w:lang w:val="en-US"/>
              </w:rPr>
              <w:t xml:space="preserve">International Public Sector Accounting Standards Board. </w:t>
            </w:r>
            <w:r>
              <w:rPr>
                <w:sz w:val="18"/>
                <w:szCs w:val="18"/>
              </w:rPr>
              <w:t>(edición vigente). Manual de Pronunciamientos Internacionales de Contabilidad del Sector Público. Nueva York: Federación Internacional de Contadores.</w:t>
            </w:r>
          </w:p>
          <w:p w14:paraId="60C72683" w14:textId="77777777" w:rsidR="00990B14" w:rsidRDefault="00000000">
            <w:pPr>
              <w:numPr>
                <w:ilvl w:val="0"/>
                <w:numId w:val="140"/>
              </w:numPr>
              <w:spacing w:after="20"/>
              <w:jc w:val="both"/>
            </w:pPr>
            <w:r>
              <w:rPr>
                <w:sz w:val="18"/>
                <w:szCs w:val="18"/>
              </w:rPr>
              <w:t>Ministerio de Economía y Finanzas Públicas. (versión vigente). Normas Básicas del Sistema de Administración de Personal. La Paz: Ministerio de Economía y Finanzas Públicas.</w:t>
            </w:r>
          </w:p>
          <w:p w14:paraId="531D5F3B" w14:textId="77777777" w:rsidR="00990B14" w:rsidRDefault="00000000">
            <w:pPr>
              <w:numPr>
                <w:ilvl w:val="0"/>
                <w:numId w:val="140"/>
              </w:numPr>
              <w:spacing w:after="20"/>
              <w:jc w:val="both"/>
            </w:pPr>
            <w:r>
              <w:rPr>
                <w:sz w:val="18"/>
                <w:szCs w:val="18"/>
              </w:rPr>
              <w:t>Ministerio de Economía y Finanzas Públicas. (versión vigente). Normas Básicas del Sistema de Contabilidad Integrada. La Paz: Ministerio de Economía y Finanzas Públicas.</w:t>
            </w:r>
          </w:p>
          <w:p w14:paraId="28DB4D00" w14:textId="77777777" w:rsidR="00990B14" w:rsidRDefault="00000000">
            <w:pPr>
              <w:numPr>
                <w:ilvl w:val="0"/>
                <w:numId w:val="140"/>
              </w:numPr>
              <w:spacing w:after="20"/>
              <w:jc w:val="both"/>
            </w:pPr>
            <w:r>
              <w:rPr>
                <w:sz w:val="18"/>
                <w:szCs w:val="18"/>
              </w:rPr>
              <w:t>Ministerio de Economía y Finanzas Públicas. (versión vigente). Normas Básicas del Sistema de Crédito Público. La Paz: Ministerio de Economía y Finanzas Públicas.</w:t>
            </w:r>
          </w:p>
          <w:p w14:paraId="0025C86E" w14:textId="77777777" w:rsidR="00990B14" w:rsidRDefault="00000000">
            <w:pPr>
              <w:numPr>
                <w:ilvl w:val="0"/>
                <w:numId w:val="140"/>
              </w:numPr>
              <w:spacing w:after="20"/>
              <w:jc w:val="both"/>
            </w:pPr>
            <w:r>
              <w:rPr>
                <w:sz w:val="18"/>
                <w:szCs w:val="18"/>
              </w:rPr>
              <w:t>Ministerio de Economía y Finanzas Públicas. (versión vigente). Normas Básicas del Sistema de Organización Administrativa y Normas Básicas del Sistema de Programación de Operaciones. La Paz: Ministerio de Economía y Finanzas Públicas.</w:t>
            </w:r>
          </w:p>
          <w:p w14:paraId="4486C5C1" w14:textId="77777777" w:rsidR="00990B14" w:rsidRDefault="00000000">
            <w:pPr>
              <w:numPr>
                <w:ilvl w:val="0"/>
                <w:numId w:val="140"/>
              </w:numPr>
              <w:spacing w:after="20"/>
              <w:jc w:val="both"/>
            </w:pPr>
            <w:r>
              <w:rPr>
                <w:sz w:val="18"/>
                <w:szCs w:val="18"/>
              </w:rPr>
              <w:t>Ministerio de Economía y Finanzas Públicas. (versión vigente). Normas Básicas del Sistema de Presupuesto. La Paz: Ministerio de Economía y Finanzas Públicas.</w:t>
            </w:r>
          </w:p>
          <w:p w14:paraId="015D53E3" w14:textId="77777777" w:rsidR="00990B14" w:rsidRDefault="00000000">
            <w:pPr>
              <w:numPr>
                <w:ilvl w:val="0"/>
                <w:numId w:val="140"/>
              </w:numPr>
              <w:spacing w:after="20"/>
              <w:jc w:val="both"/>
            </w:pPr>
            <w:r>
              <w:rPr>
                <w:sz w:val="18"/>
                <w:szCs w:val="18"/>
              </w:rPr>
              <w:t>Ministerio de Economía y Finanzas Públicas. (versión vigente). Normas Básicas del Sistema de Tesorería. La Paz: Ministerio de Economía y Finanzas Públicas.</w:t>
            </w:r>
          </w:p>
          <w:p w14:paraId="7467D400" w14:textId="77777777" w:rsidR="00990B14" w:rsidRDefault="00000000">
            <w:pPr>
              <w:numPr>
                <w:ilvl w:val="0"/>
                <w:numId w:val="140"/>
              </w:numPr>
              <w:spacing w:after="20"/>
              <w:jc w:val="both"/>
            </w:pPr>
            <w:r>
              <w:rPr>
                <w:sz w:val="18"/>
                <w:szCs w:val="18"/>
              </w:rPr>
              <w:t>Presidencia de la República de Bolivia. (1992). Decreto Supremo N.º 23215: Reglamento para el ejercicio de las atribuciones de la Contraloría General de la República. La Paz: Gaceta Oficial de Bolivia.</w:t>
            </w:r>
          </w:p>
          <w:p w14:paraId="4E3CE81B" w14:textId="77777777" w:rsidR="00990B14" w:rsidRDefault="00000000">
            <w:pPr>
              <w:numPr>
                <w:ilvl w:val="0"/>
                <w:numId w:val="140"/>
              </w:numPr>
              <w:spacing w:after="20"/>
              <w:jc w:val="both"/>
            </w:pPr>
            <w:r>
              <w:rPr>
                <w:sz w:val="18"/>
                <w:szCs w:val="18"/>
              </w:rPr>
              <w:t>Presidencia de la República de Bolivia. (1992). Decreto Supremo N.º 23318-A: Reglamento de la Responsabilidad por la Función Pública, modificado por el Decreto Supremo N.º 26237 (2001). La Paz: Gaceta Oficial de Bolivia.</w:t>
            </w:r>
          </w:p>
          <w:p w14:paraId="11A12C9A" w14:textId="77777777" w:rsidR="00990B14" w:rsidRDefault="00000000">
            <w:pPr>
              <w:numPr>
                <w:ilvl w:val="0"/>
                <w:numId w:val="140"/>
              </w:numPr>
              <w:spacing w:after="20"/>
              <w:jc w:val="both"/>
            </w:pPr>
            <w:r>
              <w:rPr>
                <w:sz w:val="18"/>
                <w:szCs w:val="18"/>
              </w:rPr>
              <w:t>Presidencia del Estado Plurinacional de Bolivia. (2009). Decreto Supremo N.º 0181: Normas Básicas del Sistema de Administración de Bienes y Servicios, y sus modificaciones. La Paz: Gaceta Oficial de Bolivia.</w:t>
            </w:r>
          </w:p>
        </w:tc>
      </w:tr>
      <w:tr w:rsidR="00990B14" w14:paraId="26F657F5" w14:textId="77777777">
        <w:trPr>
          <w:jc w:val="center"/>
        </w:trPr>
        <w:tc>
          <w:tcPr>
            <w:tcW w:w="9405" w:type="dxa"/>
            <w:shd w:val="clear" w:color="auto" w:fill="D9E2F3"/>
          </w:tcPr>
          <w:p w14:paraId="711527BD" w14:textId="77777777" w:rsidR="00990B14" w:rsidRDefault="00000000">
            <w:pPr>
              <w:spacing w:before="40" w:after="40"/>
              <w:jc w:val="both"/>
            </w:pPr>
            <w:r>
              <w:rPr>
                <w:b/>
                <w:bCs/>
                <w:i/>
                <w:iCs/>
                <w:sz w:val="18"/>
                <w:szCs w:val="18"/>
              </w:rPr>
              <w:t>Bibliografía complementaria:</w:t>
            </w:r>
          </w:p>
          <w:p w14:paraId="53A26D14" w14:textId="77777777" w:rsidR="00990B14" w:rsidRDefault="00000000">
            <w:pPr>
              <w:numPr>
                <w:ilvl w:val="0"/>
                <w:numId w:val="140"/>
              </w:numPr>
              <w:spacing w:after="20"/>
              <w:jc w:val="both"/>
            </w:pPr>
            <w:r w:rsidRPr="00BD34F7">
              <w:rPr>
                <w:sz w:val="18"/>
                <w:szCs w:val="18"/>
                <w:lang w:val="en-US"/>
              </w:rPr>
              <w:t xml:space="preserve">Arens, A., Elder, R. y Beasley, M. (2007). </w:t>
            </w:r>
            <w:r>
              <w:rPr>
                <w:sz w:val="18"/>
                <w:szCs w:val="18"/>
              </w:rPr>
              <w:t>Auditoría: un enfoque integral. 12.ª ed. México: Pearson Educación.</w:t>
            </w:r>
          </w:p>
          <w:p w14:paraId="193F7601" w14:textId="77777777" w:rsidR="00990B14" w:rsidRDefault="00000000">
            <w:pPr>
              <w:numPr>
                <w:ilvl w:val="0"/>
                <w:numId w:val="140"/>
              </w:numPr>
              <w:spacing w:after="20"/>
              <w:jc w:val="both"/>
            </w:pPr>
            <w:r>
              <w:rPr>
                <w:sz w:val="18"/>
                <w:szCs w:val="18"/>
              </w:rPr>
              <w:t>Blanco Luna, Y. (2012). Auditoría integral: normas y procedimientos. 2.ª ed. Bogotá: Ecoe Ediciones.</w:t>
            </w:r>
          </w:p>
          <w:p w14:paraId="329EC0C2" w14:textId="77777777" w:rsidR="00990B14" w:rsidRDefault="00000000">
            <w:pPr>
              <w:numPr>
                <w:ilvl w:val="0"/>
                <w:numId w:val="140"/>
              </w:numPr>
              <w:spacing w:after="20"/>
              <w:jc w:val="both"/>
            </w:pPr>
            <w:r>
              <w:rPr>
                <w:sz w:val="18"/>
                <w:szCs w:val="18"/>
              </w:rPr>
              <w:t>Contraloría General del Estado: https://www.contraloria.gob.bo y Sistema de Contrataciones Estatales: https://www.sicoes.gob.bo</w:t>
            </w:r>
          </w:p>
          <w:p w14:paraId="0F559564" w14:textId="77777777" w:rsidR="00990B14" w:rsidRDefault="00000000">
            <w:pPr>
              <w:numPr>
                <w:ilvl w:val="0"/>
                <w:numId w:val="140"/>
              </w:numPr>
              <w:spacing w:after="20"/>
              <w:jc w:val="both"/>
            </w:pPr>
            <w:r>
              <w:rPr>
                <w:sz w:val="18"/>
                <w:szCs w:val="18"/>
              </w:rPr>
              <w:t>Estupiñán Gaitán, R. (2015). Control interno y fraudes: análisis de informe COSO I, II y III con base en los ciclos transaccionales. 3.ª ed. Bogotá: Ecoe Ediciones.</w:t>
            </w:r>
          </w:p>
          <w:p w14:paraId="6150D8AB" w14:textId="77777777" w:rsidR="00990B14" w:rsidRDefault="00000000">
            <w:pPr>
              <w:numPr>
                <w:ilvl w:val="0"/>
                <w:numId w:val="140"/>
              </w:numPr>
              <w:spacing w:after="20"/>
              <w:jc w:val="both"/>
            </w:pPr>
            <w:r>
              <w:rPr>
                <w:sz w:val="18"/>
                <w:szCs w:val="18"/>
              </w:rPr>
              <w:t>Lafuente Aranibar, J. R. (2013). Auditoría Financiera I. Cochabamba, Bolivia: EDUQA.</w:t>
            </w:r>
          </w:p>
          <w:p w14:paraId="759512ED" w14:textId="77777777" w:rsidR="00990B14" w:rsidRDefault="00000000">
            <w:pPr>
              <w:numPr>
                <w:ilvl w:val="0"/>
                <w:numId w:val="140"/>
              </w:numPr>
              <w:spacing w:after="20"/>
              <w:jc w:val="both"/>
            </w:pPr>
            <w:r>
              <w:rPr>
                <w:sz w:val="18"/>
                <w:szCs w:val="18"/>
              </w:rPr>
              <w:t>Lafuente Aranibar, J. R. (2015). Auditoría Especial Gubernamental. Cochabamba, Bolivia: EDUQA.</w:t>
            </w:r>
          </w:p>
          <w:p w14:paraId="73040322" w14:textId="77777777" w:rsidR="00990B14" w:rsidRDefault="00000000">
            <w:pPr>
              <w:numPr>
                <w:ilvl w:val="0"/>
                <w:numId w:val="140"/>
              </w:numPr>
              <w:spacing w:after="20"/>
              <w:jc w:val="both"/>
            </w:pPr>
            <w:r>
              <w:rPr>
                <w:sz w:val="18"/>
                <w:szCs w:val="18"/>
              </w:rPr>
              <w:t>Nina Machaca, C. R. (2014). Modelo de Auditoría a la Gestión de Políticas Públicas. La Paz, Bolivia: Impresiones Papelú.</w:t>
            </w:r>
          </w:p>
          <w:p w14:paraId="7BF92510" w14:textId="77777777" w:rsidR="00990B14" w:rsidRDefault="00000000">
            <w:pPr>
              <w:numPr>
                <w:ilvl w:val="0"/>
                <w:numId w:val="140"/>
              </w:numPr>
              <w:spacing w:after="20"/>
              <w:jc w:val="both"/>
            </w:pPr>
            <w:r>
              <w:rPr>
                <w:sz w:val="18"/>
                <w:szCs w:val="18"/>
              </w:rPr>
              <w:t>Nina Machaca, C. R. (2024). Auditoría de Cumplimiento Gubernamental. La Paz, Bolivia: Impresiones Papelú.</w:t>
            </w:r>
          </w:p>
          <w:p w14:paraId="200FBE71" w14:textId="77777777" w:rsidR="00990B14" w:rsidRDefault="00000000">
            <w:pPr>
              <w:numPr>
                <w:ilvl w:val="0"/>
                <w:numId w:val="140"/>
              </w:numPr>
              <w:spacing w:after="20"/>
              <w:jc w:val="both"/>
            </w:pPr>
            <w:r>
              <w:rPr>
                <w:sz w:val="18"/>
                <w:szCs w:val="18"/>
              </w:rPr>
              <w:t>Paiva, W. (1999). Control Interno. Cochabamba, Bolivia: Editorial Educación y Cultura.</w:t>
            </w:r>
          </w:p>
          <w:p w14:paraId="1709B09F" w14:textId="77777777" w:rsidR="00990B14" w:rsidRDefault="00000000">
            <w:pPr>
              <w:numPr>
                <w:ilvl w:val="0"/>
                <w:numId w:val="140"/>
              </w:numPr>
              <w:spacing w:after="20"/>
              <w:jc w:val="both"/>
            </w:pPr>
            <w:r>
              <w:rPr>
                <w:sz w:val="18"/>
                <w:szCs w:val="18"/>
              </w:rPr>
              <w:t>Rocha Claros, J. (2013). Auditoría Financiera. Cochabamba, Bolivia: Editora Nacional.</w:t>
            </w:r>
          </w:p>
          <w:p w14:paraId="69C986BF" w14:textId="77777777" w:rsidR="00990B14" w:rsidRDefault="00000000">
            <w:pPr>
              <w:numPr>
                <w:ilvl w:val="0"/>
                <w:numId w:val="140"/>
              </w:numPr>
              <w:spacing w:after="20"/>
              <w:jc w:val="both"/>
            </w:pPr>
            <w:r>
              <w:rPr>
                <w:sz w:val="18"/>
                <w:szCs w:val="18"/>
              </w:rPr>
              <w:t>Rocha Claros, J. (2015). Auditoría Especial o de Cumplimiento y Aplicación Práctica. Cochabamba, Bolivia: Editora Nacional.</w:t>
            </w:r>
          </w:p>
          <w:p w14:paraId="7343360F" w14:textId="77777777" w:rsidR="00990B14" w:rsidRDefault="00000000">
            <w:pPr>
              <w:numPr>
                <w:ilvl w:val="0"/>
                <w:numId w:val="140"/>
              </w:numPr>
              <w:spacing w:after="20"/>
              <w:jc w:val="both"/>
            </w:pPr>
            <w:r>
              <w:rPr>
                <w:sz w:val="18"/>
                <w:szCs w:val="18"/>
              </w:rPr>
              <w:t>Villca Lamas, D. (2020). Auditoría Gubernamental, auditoría especial: enfoque teórico práctico. Oruro, Bolivia: Latina Editores.</w:t>
            </w:r>
          </w:p>
          <w:p w14:paraId="747DD422" w14:textId="77777777" w:rsidR="00990B14" w:rsidRDefault="00000000">
            <w:pPr>
              <w:numPr>
                <w:ilvl w:val="0"/>
                <w:numId w:val="140"/>
              </w:numPr>
              <w:spacing w:after="20"/>
              <w:jc w:val="both"/>
            </w:pPr>
            <w:r>
              <w:rPr>
                <w:sz w:val="18"/>
                <w:szCs w:val="18"/>
              </w:rPr>
              <w:t>Zuazo, L. (2003). Papeles de Trabajo de Auditoría Externa, Interna y Gubernamental. 3.ª ed. La Paz, Bolivia: Editora Presencia.</w:t>
            </w:r>
          </w:p>
          <w:p w14:paraId="1A4011C4" w14:textId="77777777" w:rsidR="00990B14" w:rsidRDefault="00000000">
            <w:pPr>
              <w:numPr>
                <w:ilvl w:val="0"/>
                <w:numId w:val="140"/>
              </w:numPr>
              <w:spacing w:after="20"/>
              <w:jc w:val="both"/>
            </w:pPr>
            <w:r>
              <w:rPr>
                <w:sz w:val="18"/>
                <w:szCs w:val="18"/>
              </w:rPr>
              <w:t>Zuazo, L. (2020). Documentación de Auditoría Externa, Interna y Gubernamental. La Paz, Bolivia.</w:t>
            </w:r>
          </w:p>
        </w:tc>
      </w:tr>
    </w:tbl>
    <w:p w14:paraId="53991DFB" w14:textId="77777777" w:rsidR="00990B14" w:rsidRDefault="00000000">
      <w:pPr>
        <w:pStyle w:val="TituloPlanAsignatura"/>
        <w:keepNext/>
        <w:pageBreakBefore/>
        <w:spacing w:after="120"/>
        <w:jc w:val="center"/>
        <w:outlineLvl w:val="2"/>
      </w:pPr>
      <w:bookmarkStart w:id="187" w:name="_Toc000000128"/>
      <w:r>
        <w:rPr>
          <w:b/>
          <w:bCs/>
          <w:sz w:val="24"/>
          <w:szCs w:val="24"/>
        </w:rPr>
        <w:t>CPA-505 Auditoría Digital, Ciberseguridad y Tecnologías Emergentes</w:t>
      </w:r>
      <w:bookmarkEnd w:id="187"/>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249"/>
        <w:gridCol w:w="1100"/>
        <w:gridCol w:w="149"/>
        <w:gridCol w:w="635"/>
        <w:gridCol w:w="615"/>
        <w:gridCol w:w="952"/>
        <w:gridCol w:w="298"/>
        <w:gridCol w:w="1250"/>
        <w:gridCol w:w="20"/>
        <w:gridCol w:w="385"/>
        <w:gridCol w:w="398"/>
        <w:gridCol w:w="447"/>
        <w:gridCol w:w="1907"/>
      </w:tblGrid>
      <w:tr w:rsidR="00990B14" w14:paraId="1145D24A" w14:textId="77777777">
        <w:trPr>
          <w:cantSplit/>
          <w:jc w:val="center"/>
        </w:trPr>
        <w:tc>
          <w:tcPr>
            <w:tcW w:w="2349" w:type="dxa"/>
            <w:gridSpan w:val="2"/>
            <w:shd w:val="clear" w:color="auto" w:fill="4472C4"/>
            <w:vAlign w:val="center"/>
          </w:tcPr>
          <w:p w14:paraId="34200711" w14:textId="77777777" w:rsidR="00990B14" w:rsidRDefault="00000000">
            <w:pPr>
              <w:keepNext/>
              <w:spacing w:before="20" w:after="20"/>
              <w:jc w:val="center"/>
            </w:pPr>
            <w:r>
              <w:rPr>
                <w:b/>
                <w:bCs/>
                <w:i/>
                <w:iCs/>
                <w:color w:val="FFFFFF"/>
                <w:sz w:val="18"/>
                <w:szCs w:val="18"/>
              </w:rPr>
              <w:t>Asignatura</w:t>
            </w:r>
          </w:p>
        </w:tc>
        <w:tc>
          <w:tcPr>
            <w:tcW w:w="2351" w:type="dxa"/>
            <w:gridSpan w:val="4"/>
            <w:shd w:val="clear" w:color="auto" w:fill="4472C4"/>
            <w:vAlign w:val="center"/>
          </w:tcPr>
          <w:p w14:paraId="4BBBEBB2" w14:textId="77777777" w:rsidR="00990B14" w:rsidRDefault="00000000">
            <w:pPr>
              <w:keepNext/>
              <w:spacing w:before="20" w:after="20"/>
              <w:jc w:val="center"/>
            </w:pPr>
            <w:r>
              <w:rPr>
                <w:b/>
                <w:bCs/>
                <w:i/>
                <w:iCs/>
                <w:color w:val="FFFFFF"/>
                <w:sz w:val="18"/>
                <w:szCs w:val="18"/>
              </w:rPr>
              <w:t>Sigla</w:t>
            </w:r>
          </w:p>
        </w:tc>
        <w:tc>
          <w:tcPr>
            <w:tcW w:w="2351" w:type="dxa"/>
            <w:gridSpan w:val="5"/>
            <w:shd w:val="clear" w:color="auto" w:fill="4472C4"/>
            <w:vAlign w:val="center"/>
          </w:tcPr>
          <w:p w14:paraId="034DE150" w14:textId="77777777" w:rsidR="00990B14" w:rsidRDefault="00000000">
            <w:pPr>
              <w:keepNext/>
              <w:spacing w:before="20" w:after="20"/>
              <w:jc w:val="center"/>
            </w:pPr>
            <w:r>
              <w:rPr>
                <w:b/>
                <w:bCs/>
                <w:i/>
                <w:iCs/>
                <w:color w:val="FFFFFF"/>
                <w:sz w:val="18"/>
                <w:szCs w:val="18"/>
              </w:rPr>
              <w:t>Nivel/Área</w:t>
            </w:r>
          </w:p>
        </w:tc>
        <w:tc>
          <w:tcPr>
            <w:tcW w:w="2354" w:type="dxa"/>
            <w:gridSpan w:val="2"/>
            <w:shd w:val="clear" w:color="auto" w:fill="4472C4"/>
            <w:vAlign w:val="center"/>
          </w:tcPr>
          <w:p w14:paraId="5DC95EC7" w14:textId="77777777" w:rsidR="00990B14" w:rsidRDefault="00000000">
            <w:pPr>
              <w:keepNext/>
              <w:spacing w:before="20" w:after="20"/>
              <w:jc w:val="center"/>
            </w:pPr>
            <w:r>
              <w:rPr>
                <w:b/>
                <w:bCs/>
                <w:i/>
                <w:iCs/>
                <w:color w:val="FFFFFF"/>
                <w:sz w:val="18"/>
                <w:szCs w:val="18"/>
              </w:rPr>
              <w:t>Prerrequisito</w:t>
            </w:r>
          </w:p>
        </w:tc>
      </w:tr>
      <w:tr w:rsidR="00990B14" w14:paraId="1A1B4294" w14:textId="77777777">
        <w:trPr>
          <w:cantSplit/>
          <w:jc w:val="center"/>
        </w:trPr>
        <w:tc>
          <w:tcPr>
            <w:tcW w:w="2349" w:type="dxa"/>
            <w:gridSpan w:val="2"/>
            <w:shd w:val="clear" w:color="auto" w:fill="D9E2F3"/>
            <w:vAlign w:val="center"/>
          </w:tcPr>
          <w:p w14:paraId="3EA10AC5" w14:textId="77777777" w:rsidR="00990B14" w:rsidRDefault="00000000">
            <w:pPr>
              <w:spacing w:before="20" w:after="20"/>
              <w:jc w:val="center"/>
            </w:pPr>
            <w:r>
              <w:rPr>
                <w:b/>
                <w:bCs/>
                <w:i/>
                <w:iCs/>
                <w:sz w:val="18"/>
                <w:szCs w:val="18"/>
              </w:rPr>
              <w:t>Auditoría Digital, Ciberseguridad y Tecnologías Emergentes</w:t>
            </w:r>
          </w:p>
        </w:tc>
        <w:tc>
          <w:tcPr>
            <w:tcW w:w="2351" w:type="dxa"/>
            <w:gridSpan w:val="4"/>
            <w:shd w:val="clear" w:color="auto" w:fill="D9E2F3"/>
            <w:vAlign w:val="center"/>
          </w:tcPr>
          <w:p w14:paraId="4326EFA6" w14:textId="77777777" w:rsidR="00990B14" w:rsidRDefault="00000000">
            <w:pPr>
              <w:spacing w:before="20" w:after="20"/>
              <w:jc w:val="center"/>
            </w:pPr>
            <w:r>
              <w:rPr>
                <w:b/>
                <w:bCs/>
                <w:i/>
                <w:iCs/>
                <w:sz w:val="18"/>
                <w:szCs w:val="18"/>
              </w:rPr>
              <w:t>CPA-505</w:t>
            </w:r>
          </w:p>
        </w:tc>
        <w:tc>
          <w:tcPr>
            <w:tcW w:w="2351" w:type="dxa"/>
            <w:gridSpan w:val="5"/>
            <w:shd w:val="clear" w:color="auto" w:fill="D9E2F3"/>
            <w:vAlign w:val="center"/>
          </w:tcPr>
          <w:p w14:paraId="47C4831A" w14:textId="77777777" w:rsidR="00990B14" w:rsidRDefault="00000000">
            <w:pPr>
              <w:spacing w:before="20" w:after="20"/>
              <w:jc w:val="center"/>
            </w:pPr>
            <w:r>
              <w:rPr>
                <w:b/>
                <w:bCs/>
                <w:i/>
                <w:iCs/>
                <w:sz w:val="18"/>
                <w:szCs w:val="18"/>
              </w:rPr>
              <w:t>Aseguramiento</w:t>
            </w:r>
          </w:p>
        </w:tc>
        <w:tc>
          <w:tcPr>
            <w:tcW w:w="2354" w:type="dxa"/>
            <w:gridSpan w:val="2"/>
            <w:shd w:val="clear" w:color="auto" w:fill="D9E2F3"/>
            <w:vAlign w:val="center"/>
          </w:tcPr>
          <w:p w14:paraId="58E66771" w14:textId="77777777" w:rsidR="00990B14" w:rsidRDefault="00000000">
            <w:pPr>
              <w:spacing w:before="20" w:after="20"/>
              <w:jc w:val="center"/>
            </w:pPr>
            <w:r>
              <w:rPr>
                <w:b/>
                <w:bCs/>
                <w:i/>
                <w:iCs/>
                <w:sz w:val="18"/>
                <w:szCs w:val="18"/>
              </w:rPr>
              <w:t>CPA-401 a CPA-408</w:t>
            </w:r>
          </w:p>
        </w:tc>
      </w:tr>
      <w:tr w:rsidR="00990B14" w14:paraId="1498C6CC" w14:textId="77777777">
        <w:trPr>
          <w:cantSplit/>
          <w:jc w:val="center"/>
        </w:trPr>
        <w:tc>
          <w:tcPr>
            <w:tcW w:w="7498" w:type="dxa"/>
            <w:gridSpan w:val="12"/>
            <w:shd w:val="clear" w:color="auto" w:fill="4472C4"/>
            <w:vAlign w:val="center"/>
          </w:tcPr>
          <w:p w14:paraId="22D5EA27" w14:textId="77777777" w:rsidR="00990B14" w:rsidRDefault="00000000">
            <w:pPr>
              <w:keepNext/>
              <w:spacing w:before="20" w:after="20"/>
              <w:jc w:val="center"/>
            </w:pPr>
            <w:r>
              <w:rPr>
                <w:b/>
                <w:bCs/>
                <w:i/>
                <w:iCs/>
                <w:color w:val="FFFFFF"/>
                <w:sz w:val="18"/>
                <w:szCs w:val="18"/>
              </w:rPr>
              <w:t>Carga Horaria</w:t>
            </w:r>
          </w:p>
        </w:tc>
        <w:tc>
          <w:tcPr>
            <w:tcW w:w="1907" w:type="dxa"/>
            <w:shd w:val="clear" w:color="auto" w:fill="4472C4"/>
            <w:vAlign w:val="center"/>
          </w:tcPr>
          <w:p w14:paraId="0384B177" w14:textId="77777777" w:rsidR="00990B14" w:rsidRDefault="00000000">
            <w:pPr>
              <w:keepNext/>
              <w:spacing w:before="20" w:after="20"/>
              <w:jc w:val="center"/>
            </w:pPr>
            <w:r>
              <w:rPr>
                <w:b/>
                <w:bCs/>
                <w:i/>
                <w:iCs/>
                <w:color w:val="FFFFFF"/>
                <w:sz w:val="18"/>
                <w:szCs w:val="18"/>
              </w:rPr>
              <w:t>Créditos</w:t>
            </w:r>
          </w:p>
        </w:tc>
      </w:tr>
      <w:tr w:rsidR="00990B14" w14:paraId="1D304191" w14:textId="77777777">
        <w:trPr>
          <w:cantSplit/>
          <w:jc w:val="center"/>
        </w:trPr>
        <w:tc>
          <w:tcPr>
            <w:tcW w:w="1249" w:type="dxa"/>
            <w:shd w:val="clear" w:color="auto" w:fill="4472C4"/>
            <w:vAlign w:val="center"/>
          </w:tcPr>
          <w:p w14:paraId="440F4C29" w14:textId="77777777" w:rsidR="00990B14" w:rsidRDefault="00000000">
            <w:pPr>
              <w:keepNext/>
              <w:spacing w:before="20" w:after="20"/>
              <w:jc w:val="center"/>
            </w:pPr>
            <w:r>
              <w:rPr>
                <w:b/>
                <w:bCs/>
                <w:i/>
                <w:iCs/>
                <w:color w:val="FFFFFF"/>
                <w:sz w:val="18"/>
                <w:szCs w:val="18"/>
              </w:rPr>
              <w:t>HP</w:t>
            </w:r>
          </w:p>
        </w:tc>
        <w:tc>
          <w:tcPr>
            <w:tcW w:w="1249" w:type="dxa"/>
            <w:gridSpan w:val="2"/>
            <w:shd w:val="clear" w:color="auto" w:fill="4472C4"/>
            <w:vAlign w:val="center"/>
          </w:tcPr>
          <w:p w14:paraId="19E9A8BF" w14:textId="77777777" w:rsidR="00990B14" w:rsidRDefault="00000000">
            <w:pPr>
              <w:keepNext/>
              <w:spacing w:before="20" w:after="20"/>
              <w:jc w:val="center"/>
            </w:pPr>
            <w:r>
              <w:rPr>
                <w:b/>
                <w:bCs/>
                <w:i/>
                <w:iCs/>
                <w:color w:val="FFFFFF"/>
                <w:sz w:val="18"/>
                <w:szCs w:val="18"/>
              </w:rPr>
              <w:t>HAA</w:t>
            </w:r>
          </w:p>
        </w:tc>
        <w:tc>
          <w:tcPr>
            <w:tcW w:w="1250" w:type="dxa"/>
            <w:gridSpan w:val="2"/>
            <w:shd w:val="clear" w:color="auto" w:fill="4472C4"/>
            <w:vAlign w:val="center"/>
          </w:tcPr>
          <w:p w14:paraId="33FB77C9" w14:textId="77777777" w:rsidR="00990B14" w:rsidRDefault="00000000">
            <w:pPr>
              <w:keepNext/>
              <w:spacing w:before="20" w:after="20"/>
              <w:jc w:val="center"/>
            </w:pPr>
            <w:r>
              <w:rPr>
                <w:b/>
                <w:bCs/>
                <w:i/>
                <w:iCs/>
                <w:color w:val="FFFFFF"/>
                <w:sz w:val="18"/>
                <w:szCs w:val="18"/>
              </w:rPr>
              <w:t>HTG</w:t>
            </w:r>
          </w:p>
        </w:tc>
        <w:tc>
          <w:tcPr>
            <w:tcW w:w="1250" w:type="dxa"/>
            <w:gridSpan w:val="2"/>
            <w:shd w:val="clear" w:color="auto" w:fill="4472C4"/>
            <w:vAlign w:val="center"/>
          </w:tcPr>
          <w:p w14:paraId="512F3009" w14:textId="77777777" w:rsidR="00990B14" w:rsidRDefault="00000000">
            <w:pPr>
              <w:keepNext/>
              <w:spacing w:before="20" w:after="20"/>
              <w:jc w:val="center"/>
            </w:pPr>
            <w:r>
              <w:rPr>
                <w:b/>
                <w:bCs/>
                <w:i/>
                <w:iCs/>
                <w:color w:val="FFFFFF"/>
                <w:sz w:val="18"/>
                <w:szCs w:val="18"/>
              </w:rPr>
              <w:t>HIP</w:t>
            </w:r>
          </w:p>
        </w:tc>
        <w:tc>
          <w:tcPr>
            <w:tcW w:w="1250" w:type="dxa"/>
            <w:shd w:val="clear" w:color="auto" w:fill="4472C4"/>
            <w:vAlign w:val="center"/>
          </w:tcPr>
          <w:p w14:paraId="1A52B731" w14:textId="77777777" w:rsidR="00990B14" w:rsidRDefault="00000000">
            <w:pPr>
              <w:keepNext/>
              <w:spacing w:before="20" w:after="20"/>
              <w:jc w:val="center"/>
            </w:pPr>
            <w:r>
              <w:rPr>
                <w:b/>
                <w:bCs/>
                <w:i/>
                <w:iCs/>
                <w:color w:val="FFFFFF"/>
                <w:sz w:val="18"/>
                <w:szCs w:val="18"/>
              </w:rPr>
              <w:t>HE</w:t>
            </w:r>
          </w:p>
        </w:tc>
        <w:tc>
          <w:tcPr>
            <w:tcW w:w="1250" w:type="dxa"/>
            <w:gridSpan w:val="4"/>
            <w:shd w:val="clear" w:color="auto" w:fill="4472C4"/>
            <w:vAlign w:val="center"/>
          </w:tcPr>
          <w:p w14:paraId="724A982E" w14:textId="77777777" w:rsidR="00990B14" w:rsidRDefault="00000000">
            <w:pPr>
              <w:keepNext/>
              <w:spacing w:before="20" w:after="20"/>
              <w:jc w:val="center"/>
            </w:pPr>
            <w:r>
              <w:rPr>
                <w:b/>
                <w:bCs/>
                <w:i/>
                <w:iCs/>
                <w:color w:val="FFFFFF"/>
                <w:sz w:val="18"/>
                <w:szCs w:val="18"/>
              </w:rPr>
              <w:t>TOTAL</w:t>
            </w:r>
          </w:p>
        </w:tc>
        <w:tc>
          <w:tcPr>
            <w:tcW w:w="1907" w:type="dxa"/>
            <w:vMerge w:val="restart"/>
            <w:shd w:val="clear" w:color="auto" w:fill="D9E2F3"/>
            <w:vAlign w:val="center"/>
          </w:tcPr>
          <w:p w14:paraId="32BD248F" w14:textId="77777777" w:rsidR="00990B14" w:rsidRDefault="00000000">
            <w:pPr>
              <w:spacing w:before="20" w:after="20"/>
              <w:jc w:val="center"/>
            </w:pPr>
            <w:r>
              <w:rPr>
                <w:sz w:val="18"/>
                <w:szCs w:val="18"/>
              </w:rPr>
              <w:t>8</w:t>
            </w:r>
          </w:p>
        </w:tc>
      </w:tr>
      <w:tr w:rsidR="00990B14" w14:paraId="271EC13A" w14:textId="77777777">
        <w:trPr>
          <w:cantSplit/>
          <w:jc w:val="center"/>
        </w:trPr>
        <w:tc>
          <w:tcPr>
            <w:tcW w:w="1249" w:type="dxa"/>
            <w:shd w:val="clear" w:color="auto" w:fill="D9E2F3"/>
            <w:vAlign w:val="center"/>
          </w:tcPr>
          <w:p w14:paraId="5F501351" w14:textId="77777777" w:rsidR="00990B14" w:rsidRDefault="00000000">
            <w:pPr>
              <w:spacing w:before="20" w:after="20"/>
              <w:jc w:val="center"/>
            </w:pPr>
            <w:r>
              <w:rPr>
                <w:sz w:val="18"/>
                <w:szCs w:val="18"/>
              </w:rPr>
              <w:t>160</w:t>
            </w:r>
          </w:p>
        </w:tc>
        <w:tc>
          <w:tcPr>
            <w:tcW w:w="1249" w:type="dxa"/>
            <w:gridSpan w:val="2"/>
            <w:shd w:val="clear" w:color="auto" w:fill="D9E2F3"/>
            <w:vAlign w:val="center"/>
          </w:tcPr>
          <w:p w14:paraId="1E01FABF" w14:textId="77777777" w:rsidR="00990B14" w:rsidRDefault="00000000">
            <w:pPr>
              <w:spacing w:before="20" w:after="20"/>
              <w:jc w:val="center"/>
            </w:pPr>
            <w:r>
              <w:rPr>
                <w:sz w:val="18"/>
                <w:szCs w:val="18"/>
              </w:rPr>
              <w:t>20</w:t>
            </w:r>
          </w:p>
        </w:tc>
        <w:tc>
          <w:tcPr>
            <w:tcW w:w="1250" w:type="dxa"/>
            <w:gridSpan w:val="2"/>
            <w:shd w:val="clear" w:color="auto" w:fill="D9E2F3"/>
            <w:vAlign w:val="center"/>
          </w:tcPr>
          <w:p w14:paraId="4CFD2F94" w14:textId="77777777" w:rsidR="00990B14" w:rsidRDefault="00000000">
            <w:pPr>
              <w:spacing w:before="20" w:after="20"/>
              <w:jc w:val="center"/>
            </w:pPr>
            <w:r>
              <w:rPr>
                <w:sz w:val="18"/>
                <w:szCs w:val="18"/>
              </w:rPr>
              <w:t>20</w:t>
            </w:r>
          </w:p>
        </w:tc>
        <w:tc>
          <w:tcPr>
            <w:tcW w:w="1250" w:type="dxa"/>
            <w:gridSpan w:val="2"/>
            <w:shd w:val="clear" w:color="auto" w:fill="D9E2F3"/>
            <w:vAlign w:val="center"/>
          </w:tcPr>
          <w:p w14:paraId="28171177" w14:textId="77777777" w:rsidR="00990B14" w:rsidRDefault="00000000">
            <w:pPr>
              <w:spacing w:before="20" w:after="20"/>
              <w:jc w:val="center"/>
            </w:pPr>
            <w:r>
              <w:rPr>
                <w:sz w:val="18"/>
                <w:szCs w:val="18"/>
              </w:rPr>
              <w:t>20</w:t>
            </w:r>
          </w:p>
        </w:tc>
        <w:tc>
          <w:tcPr>
            <w:tcW w:w="1250" w:type="dxa"/>
            <w:shd w:val="clear" w:color="auto" w:fill="D9E2F3"/>
            <w:vAlign w:val="center"/>
          </w:tcPr>
          <w:p w14:paraId="1805CDC3" w14:textId="77777777" w:rsidR="00990B14" w:rsidRDefault="00000000">
            <w:pPr>
              <w:spacing w:before="20" w:after="20"/>
              <w:jc w:val="center"/>
            </w:pPr>
            <w:r>
              <w:rPr>
                <w:sz w:val="18"/>
                <w:szCs w:val="18"/>
              </w:rPr>
              <w:t>20</w:t>
            </w:r>
          </w:p>
        </w:tc>
        <w:tc>
          <w:tcPr>
            <w:tcW w:w="1250" w:type="dxa"/>
            <w:gridSpan w:val="4"/>
            <w:shd w:val="clear" w:color="auto" w:fill="D9E2F3"/>
            <w:vAlign w:val="center"/>
          </w:tcPr>
          <w:p w14:paraId="31B368EA" w14:textId="77777777" w:rsidR="00990B14" w:rsidRDefault="00000000">
            <w:pPr>
              <w:spacing w:before="20" w:after="20"/>
              <w:jc w:val="center"/>
            </w:pPr>
            <w:r>
              <w:rPr>
                <w:sz w:val="18"/>
                <w:szCs w:val="18"/>
              </w:rPr>
              <w:t>240</w:t>
            </w:r>
          </w:p>
        </w:tc>
        <w:tc>
          <w:tcPr>
            <w:tcW w:w="1907" w:type="dxa"/>
            <w:vMerge/>
            <w:shd w:val="clear" w:color="auto" w:fill="D9E2F3"/>
            <w:vAlign w:val="center"/>
          </w:tcPr>
          <w:p w14:paraId="4ACC9FE4" w14:textId="77777777" w:rsidR="00990B14" w:rsidRDefault="00990B14">
            <w:pPr>
              <w:spacing w:before="20" w:after="20"/>
            </w:pPr>
          </w:p>
        </w:tc>
      </w:tr>
      <w:tr w:rsidR="00990B14" w14:paraId="0A55FE8B" w14:textId="77777777">
        <w:trPr>
          <w:cantSplit/>
          <w:jc w:val="center"/>
        </w:trPr>
        <w:tc>
          <w:tcPr>
            <w:tcW w:w="9405" w:type="dxa"/>
            <w:gridSpan w:val="13"/>
            <w:shd w:val="clear" w:color="auto" w:fill="4472C4"/>
            <w:vAlign w:val="center"/>
          </w:tcPr>
          <w:p w14:paraId="61E787EA" w14:textId="77777777" w:rsidR="00990B14" w:rsidRDefault="00000000">
            <w:pPr>
              <w:keepNext/>
              <w:spacing w:before="20" w:after="20"/>
              <w:jc w:val="center"/>
            </w:pPr>
            <w:r>
              <w:rPr>
                <w:b/>
                <w:bCs/>
                <w:i/>
                <w:iCs/>
                <w:color w:val="FFFFFF"/>
                <w:sz w:val="18"/>
                <w:szCs w:val="18"/>
              </w:rPr>
              <w:t>Unidad de Competencia</w:t>
            </w:r>
          </w:p>
        </w:tc>
      </w:tr>
      <w:tr w:rsidR="00990B14" w14:paraId="0BA2C493" w14:textId="77777777">
        <w:trPr>
          <w:cantSplit/>
          <w:jc w:val="center"/>
        </w:trPr>
        <w:tc>
          <w:tcPr>
            <w:tcW w:w="9405" w:type="dxa"/>
            <w:gridSpan w:val="13"/>
            <w:shd w:val="clear" w:color="auto" w:fill="D9E2F3"/>
            <w:vAlign w:val="center"/>
          </w:tcPr>
          <w:p w14:paraId="2012C881" w14:textId="77777777" w:rsidR="00990B14" w:rsidRDefault="00000000">
            <w:pPr>
              <w:spacing w:before="20" w:after="20"/>
              <w:jc w:val="both"/>
            </w:pPr>
            <w:r>
              <w:rPr>
                <w:sz w:val="18"/>
                <w:szCs w:val="18"/>
              </w:rPr>
              <w:t>Elabora el informe de evaluación de los sistemas y tecnologías de información de entidades bolivianas, conforme a las normas de auditoría y aseguramiento y a los estándares de buenas prácticas vigentes, analizando los sistemas de información y las bases de datos que soportan los procesos contables. Aplica frameworks de negocio como COSO, COBIT y las normas ISO de seguridad y gestión de riesgos; evalúa el control interno del entorno tecnológico, ejecuta técnicas de auditoría asistidas por computador y análisis de datos, y valora la ciberseguridad, la auditoría continua y la confiabilidad de las tecnologías emergentes y de la inteligencia artificial, con objetividad, rigor técnico, juicio crítico y ética profesional.</w:t>
            </w:r>
          </w:p>
        </w:tc>
      </w:tr>
      <w:tr w:rsidR="00990B14" w14:paraId="26EDEAAA" w14:textId="77777777">
        <w:trPr>
          <w:cantSplit/>
          <w:jc w:val="center"/>
        </w:trPr>
        <w:tc>
          <w:tcPr>
            <w:tcW w:w="9405" w:type="dxa"/>
            <w:gridSpan w:val="13"/>
            <w:shd w:val="clear" w:color="auto" w:fill="D9E2F3"/>
            <w:vAlign w:val="center"/>
          </w:tcPr>
          <w:p w14:paraId="7E5BE85B" w14:textId="77777777" w:rsidR="00990B14" w:rsidRDefault="00000000">
            <w:pPr>
              <w:spacing w:before="20" w:after="20"/>
              <w:jc w:val="both"/>
            </w:pPr>
            <w:r>
              <w:rPr>
                <w:b/>
                <w:bCs/>
                <w:i/>
                <w:iCs/>
                <w:sz w:val="18"/>
                <w:szCs w:val="18"/>
              </w:rPr>
              <w:t xml:space="preserve">Elemento de competencia 1: </w:t>
            </w:r>
            <w:r>
              <w:rPr>
                <w:sz w:val="18"/>
                <w:szCs w:val="18"/>
              </w:rPr>
              <w:t>Revisa conocimientos sobre Sistemas y Tecnologías de Información, para determinar metodologías y procesos de Auditorías de los sistemas de información y las tecnologías de la información, aplicables al campo de la contaduría pública, modelando las bases de datos relacionales que soportan los sistemas contables.</w:t>
            </w:r>
          </w:p>
        </w:tc>
      </w:tr>
      <w:tr w:rsidR="00990B14" w14:paraId="425EEAB9" w14:textId="77777777">
        <w:trPr>
          <w:cantSplit/>
          <w:jc w:val="center"/>
        </w:trPr>
        <w:tc>
          <w:tcPr>
            <w:tcW w:w="3133" w:type="dxa"/>
            <w:gridSpan w:val="4"/>
            <w:shd w:val="clear" w:color="auto" w:fill="4472C4"/>
            <w:vAlign w:val="center"/>
          </w:tcPr>
          <w:p w14:paraId="10503C20"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711F4C39"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58BC142D" w14:textId="77777777" w:rsidR="00990B14" w:rsidRDefault="00000000">
            <w:pPr>
              <w:keepNext/>
              <w:spacing w:before="20" w:after="20"/>
              <w:jc w:val="center"/>
            </w:pPr>
            <w:r>
              <w:rPr>
                <w:b/>
                <w:bCs/>
                <w:i/>
                <w:iCs/>
                <w:color w:val="FFFFFF"/>
                <w:sz w:val="18"/>
                <w:szCs w:val="18"/>
              </w:rPr>
              <w:t>Evidencias de producto</w:t>
            </w:r>
          </w:p>
        </w:tc>
      </w:tr>
      <w:tr w:rsidR="00990B14" w14:paraId="1E409779" w14:textId="77777777">
        <w:trPr>
          <w:cantSplit/>
          <w:jc w:val="center"/>
        </w:trPr>
        <w:tc>
          <w:tcPr>
            <w:tcW w:w="3133" w:type="dxa"/>
            <w:gridSpan w:val="4"/>
            <w:vMerge w:val="restart"/>
            <w:shd w:val="clear" w:color="auto" w:fill="D9E2F3"/>
            <w:vAlign w:val="center"/>
          </w:tcPr>
          <w:p w14:paraId="4E5F9605" w14:textId="77777777" w:rsidR="00990B14" w:rsidRDefault="00000000">
            <w:pPr>
              <w:spacing w:before="20" w:after="20"/>
              <w:jc w:val="both"/>
            </w:pPr>
            <w:r>
              <w:rPr>
                <w:sz w:val="18"/>
                <w:szCs w:val="18"/>
              </w:rPr>
              <w:t>1. Analiza los tipos de sistemas de información y el impacto de las tecnologías de la información y de las tecnologías emergentes en los Sistemas y aplicaciones, valorando el rol del contador público.</w:t>
            </w:r>
          </w:p>
        </w:tc>
        <w:tc>
          <w:tcPr>
            <w:tcW w:w="3135" w:type="dxa"/>
            <w:gridSpan w:val="5"/>
            <w:shd w:val="clear" w:color="auto" w:fill="D9E2F3"/>
            <w:vAlign w:val="center"/>
          </w:tcPr>
          <w:p w14:paraId="440B1D5A" w14:textId="77777777" w:rsidR="00990B14" w:rsidRDefault="00000000">
            <w:pPr>
              <w:spacing w:before="20" w:after="20"/>
              <w:jc w:val="both"/>
            </w:pPr>
            <w:r>
              <w:rPr>
                <w:sz w:val="18"/>
                <w:szCs w:val="18"/>
              </w:rPr>
              <w:t>1.1 Revisa conceptos de Sistemas de Información y la Infraestructura de Tecnología de Información.</w:t>
            </w:r>
          </w:p>
        </w:tc>
        <w:tc>
          <w:tcPr>
            <w:tcW w:w="3137" w:type="dxa"/>
            <w:gridSpan w:val="4"/>
            <w:shd w:val="clear" w:color="auto" w:fill="D9E2F3"/>
            <w:vAlign w:val="center"/>
          </w:tcPr>
          <w:p w14:paraId="7971CFDF" w14:textId="77777777" w:rsidR="00990B14" w:rsidRDefault="00000000">
            <w:pPr>
              <w:spacing w:before="20" w:after="20"/>
              <w:jc w:val="both"/>
            </w:pPr>
            <w:r>
              <w:rPr>
                <w:b/>
                <w:bCs/>
                <w:sz w:val="18"/>
                <w:szCs w:val="18"/>
              </w:rPr>
              <w:t xml:space="preserve">Producto 1: </w:t>
            </w:r>
            <w:r>
              <w:rPr>
                <w:sz w:val="18"/>
                <w:szCs w:val="18"/>
              </w:rPr>
              <w:t>Análisis de los Sistemas de Información Empresariales y Aplicaciones individuales. Verificación de la Infraestructura de TI.</w:t>
            </w:r>
          </w:p>
        </w:tc>
      </w:tr>
      <w:tr w:rsidR="00990B14" w14:paraId="0BDE3399" w14:textId="77777777">
        <w:trPr>
          <w:cantSplit/>
          <w:jc w:val="center"/>
        </w:trPr>
        <w:tc>
          <w:tcPr>
            <w:tcW w:w="3133" w:type="dxa"/>
            <w:gridSpan w:val="4"/>
            <w:vMerge/>
            <w:shd w:val="clear" w:color="auto" w:fill="D9E2F3"/>
            <w:vAlign w:val="center"/>
          </w:tcPr>
          <w:p w14:paraId="2EFFC15E" w14:textId="77777777" w:rsidR="00990B14" w:rsidRDefault="00990B14">
            <w:pPr>
              <w:spacing w:before="20" w:after="20"/>
            </w:pPr>
          </w:p>
        </w:tc>
        <w:tc>
          <w:tcPr>
            <w:tcW w:w="3135" w:type="dxa"/>
            <w:gridSpan w:val="5"/>
            <w:shd w:val="clear" w:color="auto" w:fill="D9E2F3"/>
            <w:vAlign w:val="center"/>
          </w:tcPr>
          <w:p w14:paraId="24AA06C5" w14:textId="77777777" w:rsidR="00990B14" w:rsidRDefault="00000000">
            <w:pPr>
              <w:spacing w:before="20" w:after="20"/>
              <w:jc w:val="both"/>
            </w:pPr>
            <w:r>
              <w:rPr>
                <w:sz w:val="18"/>
                <w:szCs w:val="18"/>
              </w:rPr>
              <w:t>1.2 Compara en aula los sistemas TPS, MIS, DSS, ESS, BIS, ERP, CRM y SCM según su utilidad contable apoyados por herramientas de inteligencia artificial.</w:t>
            </w:r>
          </w:p>
        </w:tc>
        <w:tc>
          <w:tcPr>
            <w:tcW w:w="3137" w:type="dxa"/>
            <w:gridSpan w:val="4"/>
            <w:shd w:val="clear" w:color="auto" w:fill="D9E2F3"/>
            <w:vAlign w:val="center"/>
          </w:tcPr>
          <w:p w14:paraId="29D28251" w14:textId="77777777" w:rsidR="00990B14" w:rsidRDefault="00000000">
            <w:pPr>
              <w:spacing w:before="20" w:after="20"/>
              <w:jc w:val="both"/>
            </w:pPr>
            <w:r>
              <w:rPr>
                <w:b/>
                <w:bCs/>
                <w:sz w:val="18"/>
                <w:szCs w:val="18"/>
              </w:rPr>
              <w:t xml:space="preserve">Producto 2: </w:t>
            </w:r>
            <w:r>
              <w:rPr>
                <w:sz w:val="18"/>
                <w:szCs w:val="18"/>
              </w:rPr>
              <w:t>Cuadro comparativo de los tipos de sistemas de información y su utilidad para la contaduría pública.</w:t>
            </w:r>
          </w:p>
        </w:tc>
      </w:tr>
      <w:tr w:rsidR="00990B14" w14:paraId="5EB29022" w14:textId="77777777">
        <w:trPr>
          <w:cantSplit/>
          <w:jc w:val="center"/>
        </w:trPr>
        <w:tc>
          <w:tcPr>
            <w:tcW w:w="3133" w:type="dxa"/>
            <w:gridSpan w:val="4"/>
            <w:vMerge w:val="restart"/>
            <w:shd w:val="clear" w:color="auto" w:fill="D9E2F3"/>
            <w:vAlign w:val="center"/>
          </w:tcPr>
          <w:p w14:paraId="666E23B6" w14:textId="77777777" w:rsidR="00990B14" w:rsidRDefault="00000000">
            <w:pPr>
              <w:spacing w:before="20" w:after="20"/>
              <w:jc w:val="both"/>
            </w:pPr>
            <w:r>
              <w:rPr>
                <w:sz w:val="18"/>
                <w:szCs w:val="18"/>
              </w:rPr>
              <w:t>2. Revisa los Objetivos de Control para bases de datos relacionales de cualquier sistema o aplicación en sus niveles conceptual, lógico y físico.</w:t>
            </w:r>
          </w:p>
        </w:tc>
        <w:tc>
          <w:tcPr>
            <w:tcW w:w="3135" w:type="dxa"/>
            <w:gridSpan w:val="5"/>
            <w:shd w:val="clear" w:color="auto" w:fill="D9E2F3"/>
            <w:vAlign w:val="center"/>
          </w:tcPr>
          <w:p w14:paraId="2A5CE0A0" w14:textId="77777777" w:rsidR="00990B14" w:rsidRDefault="00000000">
            <w:pPr>
              <w:spacing w:before="20" w:after="20"/>
              <w:jc w:val="both"/>
            </w:pPr>
            <w:r>
              <w:rPr>
                <w:sz w:val="18"/>
                <w:szCs w:val="18"/>
              </w:rPr>
              <w:t>2.1 Modela en el laboratorio de cómputo la base de datos de un sistema contable con sus entidades, relaciones y cardinalidad.</w:t>
            </w:r>
          </w:p>
        </w:tc>
        <w:tc>
          <w:tcPr>
            <w:tcW w:w="3137" w:type="dxa"/>
            <w:gridSpan w:val="4"/>
            <w:shd w:val="clear" w:color="auto" w:fill="D9E2F3"/>
            <w:vAlign w:val="center"/>
          </w:tcPr>
          <w:p w14:paraId="482215FE" w14:textId="77777777" w:rsidR="00990B14" w:rsidRDefault="00000000">
            <w:pPr>
              <w:spacing w:before="20" w:after="20"/>
              <w:jc w:val="both"/>
            </w:pPr>
            <w:r>
              <w:rPr>
                <w:b/>
                <w:bCs/>
                <w:sz w:val="18"/>
                <w:szCs w:val="18"/>
              </w:rPr>
              <w:t xml:space="preserve">Producto 3: </w:t>
            </w:r>
            <w:r>
              <w:rPr>
                <w:sz w:val="18"/>
                <w:szCs w:val="18"/>
              </w:rPr>
              <w:t>Modelo conceptual, lógico y físico de la base de datos contable con sus sentencias SQL.</w:t>
            </w:r>
          </w:p>
        </w:tc>
      </w:tr>
      <w:tr w:rsidR="00990B14" w14:paraId="2C49011A" w14:textId="77777777">
        <w:trPr>
          <w:cantSplit/>
          <w:jc w:val="center"/>
        </w:trPr>
        <w:tc>
          <w:tcPr>
            <w:tcW w:w="3133" w:type="dxa"/>
            <w:gridSpan w:val="4"/>
            <w:vMerge/>
            <w:shd w:val="clear" w:color="auto" w:fill="D9E2F3"/>
            <w:vAlign w:val="center"/>
          </w:tcPr>
          <w:p w14:paraId="0350408C" w14:textId="77777777" w:rsidR="00990B14" w:rsidRDefault="00990B14">
            <w:pPr>
              <w:spacing w:before="20" w:after="20"/>
            </w:pPr>
          </w:p>
        </w:tc>
        <w:tc>
          <w:tcPr>
            <w:tcW w:w="3135" w:type="dxa"/>
            <w:gridSpan w:val="5"/>
            <w:shd w:val="clear" w:color="auto" w:fill="D9E2F3"/>
            <w:vAlign w:val="center"/>
          </w:tcPr>
          <w:p w14:paraId="38C8E652" w14:textId="77777777" w:rsidR="00990B14" w:rsidRDefault="00000000">
            <w:pPr>
              <w:spacing w:before="20" w:after="20"/>
              <w:jc w:val="both"/>
            </w:pPr>
            <w:r>
              <w:rPr>
                <w:sz w:val="18"/>
                <w:szCs w:val="18"/>
              </w:rPr>
              <w:t>2.2 Resuelve en aula consultas de extracción de datos sobre la base modelada, resguardando los datos personales.</w:t>
            </w:r>
          </w:p>
        </w:tc>
        <w:tc>
          <w:tcPr>
            <w:tcW w:w="3137" w:type="dxa"/>
            <w:gridSpan w:val="4"/>
            <w:shd w:val="clear" w:color="auto" w:fill="D9E2F3"/>
            <w:vAlign w:val="center"/>
          </w:tcPr>
          <w:p w14:paraId="0E3898C2" w14:textId="77777777" w:rsidR="00990B14" w:rsidRDefault="00000000">
            <w:pPr>
              <w:spacing w:before="20" w:after="20"/>
              <w:jc w:val="both"/>
            </w:pPr>
            <w:r>
              <w:rPr>
                <w:b/>
                <w:bCs/>
                <w:sz w:val="18"/>
                <w:szCs w:val="18"/>
              </w:rPr>
              <w:t xml:space="preserve">Producto 4: </w:t>
            </w:r>
            <w:r>
              <w:rPr>
                <w:sz w:val="18"/>
                <w:szCs w:val="18"/>
              </w:rPr>
              <w:t>Reporte de consultas de extracción de datos con la verificación de su integridad.</w:t>
            </w:r>
          </w:p>
        </w:tc>
      </w:tr>
      <w:tr w:rsidR="00990B14" w14:paraId="533A74DC" w14:textId="77777777">
        <w:trPr>
          <w:cantSplit/>
          <w:jc w:val="center"/>
        </w:trPr>
        <w:tc>
          <w:tcPr>
            <w:tcW w:w="9405" w:type="dxa"/>
            <w:gridSpan w:val="13"/>
            <w:shd w:val="clear" w:color="auto" w:fill="4472C4"/>
            <w:vAlign w:val="center"/>
          </w:tcPr>
          <w:p w14:paraId="07BC05E2" w14:textId="77777777" w:rsidR="00990B14" w:rsidRDefault="00000000">
            <w:pPr>
              <w:keepNext/>
              <w:spacing w:before="20" w:after="20"/>
              <w:jc w:val="center"/>
            </w:pPr>
            <w:r>
              <w:rPr>
                <w:b/>
                <w:bCs/>
                <w:i/>
                <w:iCs/>
                <w:color w:val="FFFFFF"/>
                <w:sz w:val="18"/>
                <w:szCs w:val="18"/>
              </w:rPr>
              <w:t>Evidencias de conocimiento</w:t>
            </w:r>
          </w:p>
        </w:tc>
      </w:tr>
      <w:tr w:rsidR="00990B14" w14:paraId="60DDAD31" w14:textId="77777777">
        <w:trPr>
          <w:cantSplit/>
          <w:jc w:val="center"/>
        </w:trPr>
        <w:tc>
          <w:tcPr>
            <w:tcW w:w="2349" w:type="dxa"/>
            <w:gridSpan w:val="2"/>
            <w:shd w:val="clear" w:color="auto" w:fill="4472C4"/>
            <w:vAlign w:val="center"/>
          </w:tcPr>
          <w:p w14:paraId="04A1F9E3"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54FC2466" w14:textId="77777777" w:rsidR="00990B14" w:rsidRDefault="00000000">
            <w:pPr>
              <w:keepNext/>
              <w:spacing w:before="20" w:after="20"/>
              <w:jc w:val="both"/>
            </w:pPr>
            <w:r>
              <w:rPr>
                <w:b/>
                <w:bCs/>
                <w:i/>
                <w:iCs/>
                <w:color w:val="FFFFFF"/>
                <w:sz w:val="18"/>
                <w:szCs w:val="18"/>
              </w:rPr>
              <w:t>Contenidos</w:t>
            </w:r>
          </w:p>
          <w:p w14:paraId="680D39F7"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5E759B8F" w14:textId="77777777" w:rsidR="00990B14" w:rsidRDefault="00000000">
            <w:pPr>
              <w:keepNext/>
              <w:spacing w:before="20" w:after="20"/>
              <w:jc w:val="center"/>
            </w:pPr>
            <w:r>
              <w:rPr>
                <w:b/>
                <w:bCs/>
                <w:i/>
                <w:iCs/>
                <w:color w:val="FFFFFF"/>
                <w:sz w:val="18"/>
                <w:szCs w:val="18"/>
              </w:rPr>
              <w:t>Conocimientos circunstanciales</w:t>
            </w:r>
          </w:p>
        </w:tc>
      </w:tr>
      <w:tr w:rsidR="00990B14" w14:paraId="6E7D3A74" w14:textId="77777777">
        <w:trPr>
          <w:jc w:val="center"/>
        </w:trPr>
        <w:tc>
          <w:tcPr>
            <w:tcW w:w="2349" w:type="dxa"/>
            <w:gridSpan w:val="2"/>
            <w:shd w:val="clear" w:color="auto" w:fill="D9E2F3"/>
          </w:tcPr>
          <w:p w14:paraId="334A0E63" w14:textId="77777777" w:rsidR="00990B14" w:rsidRDefault="00000000">
            <w:pPr>
              <w:spacing w:before="20" w:after="40"/>
              <w:jc w:val="both"/>
            </w:pPr>
            <w:r>
              <w:rPr>
                <w:sz w:val="18"/>
                <w:szCs w:val="18"/>
              </w:rPr>
              <w:t>Tema 1: Los sistemas de información y las tecnologías de la información</w:t>
            </w:r>
          </w:p>
          <w:p w14:paraId="3B16C0C9" w14:textId="77777777" w:rsidR="00990B14" w:rsidRDefault="00000000">
            <w:pPr>
              <w:spacing w:before="20" w:after="40"/>
              <w:jc w:val="both"/>
            </w:pPr>
            <w:r>
              <w:rPr>
                <w:sz w:val="18"/>
                <w:szCs w:val="18"/>
              </w:rPr>
              <w:t>Tema 2: Introducción a la evaluación de sistemas de información</w:t>
            </w:r>
          </w:p>
          <w:p w14:paraId="72EEAA2B" w14:textId="77777777" w:rsidR="00990B14" w:rsidRDefault="00000000">
            <w:pPr>
              <w:spacing w:before="20" w:after="40"/>
              <w:jc w:val="both"/>
            </w:pPr>
            <w:r>
              <w:rPr>
                <w:sz w:val="18"/>
                <w:szCs w:val="18"/>
              </w:rPr>
              <w:t>Tema 3: Base de datos</w:t>
            </w:r>
          </w:p>
        </w:tc>
        <w:tc>
          <w:tcPr>
            <w:tcW w:w="4304" w:type="dxa"/>
            <w:gridSpan w:val="8"/>
            <w:shd w:val="clear" w:color="auto" w:fill="D9E2F3"/>
          </w:tcPr>
          <w:p w14:paraId="49033AF1" w14:textId="77777777" w:rsidR="00990B14" w:rsidRDefault="00000000">
            <w:pPr>
              <w:spacing w:after="40"/>
              <w:jc w:val="both"/>
            </w:pPr>
            <w:r>
              <w:rPr>
                <w:sz w:val="18"/>
                <w:szCs w:val="18"/>
              </w:rPr>
              <w:t>Concepto y objetivos de los sistemas de información; tipos de sistemas TPS, MIS, DSS, ESS, BIS, ERP, CRM y SCM. (C)</w:t>
            </w:r>
          </w:p>
          <w:p w14:paraId="1BF90B31" w14:textId="77777777" w:rsidR="00990B14" w:rsidRDefault="00000000">
            <w:pPr>
              <w:spacing w:after="40"/>
              <w:jc w:val="both"/>
            </w:pPr>
            <w:r>
              <w:rPr>
                <w:sz w:val="18"/>
                <w:szCs w:val="18"/>
              </w:rPr>
              <w:t>Perspectivas de los sistemas de información, enfoques contemporáneos y los sistemas de información financiera. (C)</w:t>
            </w:r>
          </w:p>
          <w:p w14:paraId="3C2F0FE6" w14:textId="77777777" w:rsidR="00990B14" w:rsidRDefault="00000000">
            <w:pPr>
              <w:spacing w:after="40"/>
              <w:jc w:val="both"/>
            </w:pPr>
            <w:r>
              <w:rPr>
                <w:sz w:val="18"/>
                <w:szCs w:val="18"/>
              </w:rPr>
              <w:t>Concepto, características y tipos de tecnologías de la información; impacto de la tecnología de la información en las organizaciones. (C)</w:t>
            </w:r>
          </w:p>
          <w:p w14:paraId="7481ADC3" w14:textId="77777777" w:rsidR="00990B14" w:rsidRDefault="00000000">
            <w:pPr>
              <w:spacing w:after="40"/>
              <w:jc w:val="both"/>
            </w:pPr>
            <w:r>
              <w:rPr>
                <w:sz w:val="18"/>
                <w:szCs w:val="18"/>
              </w:rPr>
              <w:t>Tecnologías emergentes; la tecnología de la información y los sistemas contables. (C, T)</w:t>
            </w:r>
          </w:p>
          <w:p w14:paraId="2DF40F6C" w14:textId="77777777" w:rsidR="00990B14" w:rsidRDefault="00000000">
            <w:pPr>
              <w:spacing w:after="40"/>
              <w:jc w:val="both"/>
            </w:pPr>
            <w:r>
              <w:rPr>
                <w:sz w:val="18"/>
                <w:szCs w:val="18"/>
              </w:rPr>
              <w:t>Computación en la nube, analítica de datos e inteligencia artificial aplicadas a los procesos contables. (C, T)</w:t>
            </w:r>
          </w:p>
          <w:p w14:paraId="07006633" w14:textId="77777777" w:rsidR="00990B14" w:rsidRDefault="00000000">
            <w:pPr>
              <w:spacing w:after="40"/>
              <w:jc w:val="both"/>
            </w:pPr>
            <w:r>
              <w:rPr>
                <w:sz w:val="18"/>
                <w:szCs w:val="18"/>
              </w:rPr>
              <w:t>Conceptos y consideraciones fundamentales de la evaluación de sistemas de información y su importancia. (C, P)</w:t>
            </w:r>
          </w:p>
          <w:p w14:paraId="355D5C57" w14:textId="77777777" w:rsidR="00990B14" w:rsidRDefault="00000000">
            <w:pPr>
              <w:spacing w:after="40"/>
              <w:jc w:val="both"/>
            </w:pPr>
            <w:r>
              <w:rPr>
                <w:sz w:val="18"/>
                <w:szCs w:val="18"/>
              </w:rPr>
              <w:t>El rol del contador público en la evaluación de sistemas y tecnologías de la información. (P)</w:t>
            </w:r>
          </w:p>
          <w:p w14:paraId="59AC36B8" w14:textId="77777777" w:rsidR="00990B14" w:rsidRDefault="00000000">
            <w:pPr>
              <w:spacing w:after="40"/>
              <w:jc w:val="both"/>
            </w:pPr>
            <w:r>
              <w:rPr>
                <w:sz w:val="18"/>
                <w:szCs w:val="18"/>
              </w:rPr>
              <w:t>Tratamiento de los datos personales, confidencialidad y resguardo de la información ante la ausencia de una ley general de protección de datos personales en Bolivia. (C, A)</w:t>
            </w:r>
          </w:p>
          <w:p w14:paraId="3EBC04C4" w14:textId="77777777" w:rsidR="00990B14" w:rsidRDefault="00000000">
            <w:pPr>
              <w:spacing w:after="40"/>
              <w:jc w:val="both"/>
            </w:pPr>
            <w:r>
              <w:rPr>
                <w:sz w:val="18"/>
                <w:szCs w:val="18"/>
              </w:rPr>
              <w:t>Base de datos: tipos, análisis de datos, arquitectura y sistemas de bases de datos. (C, T)</w:t>
            </w:r>
          </w:p>
          <w:p w14:paraId="4E0F9776" w14:textId="77777777" w:rsidR="00990B14" w:rsidRDefault="00000000">
            <w:pPr>
              <w:spacing w:after="40"/>
              <w:jc w:val="both"/>
            </w:pPr>
            <w:r>
              <w:rPr>
                <w:sz w:val="18"/>
                <w:szCs w:val="18"/>
              </w:rPr>
              <w:t>El modelo relacional y el proceso de diseño de una base de datos relacional; gestión de requerimientos. (C, P)</w:t>
            </w:r>
          </w:p>
          <w:p w14:paraId="473275EA" w14:textId="77777777" w:rsidR="00990B14" w:rsidRDefault="00000000">
            <w:pPr>
              <w:spacing w:after="40"/>
              <w:jc w:val="both"/>
            </w:pPr>
            <w:r>
              <w:rPr>
                <w:sz w:val="18"/>
                <w:szCs w:val="18"/>
              </w:rPr>
              <w:t>Modelo conceptual con entidades, relaciones y cardinalidad; modelo lógico de tablas bidimensionales y modelo físico en SQL. (C)</w:t>
            </w:r>
          </w:p>
          <w:p w14:paraId="75E268FF" w14:textId="77777777" w:rsidR="00990B14" w:rsidRDefault="00000000">
            <w:pPr>
              <w:spacing w:after="40"/>
              <w:jc w:val="both"/>
            </w:pPr>
            <w:r>
              <w:rPr>
                <w:sz w:val="18"/>
                <w:szCs w:val="18"/>
              </w:rPr>
              <w:t>Normalización de la base de datos relacional; buenas prácticas y estándares generalmente aceptados. (C)</w:t>
            </w:r>
          </w:p>
          <w:p w14:paraId="09E2FA6C" w14:textId="77777777" w:rsidR="00990B14" w:rsidRDefault="00000000">
            <w:pPr>
              <w:spacing w:after="40"/>
              <w:jc w:val="both"/>
            </w:pPr>
            <w:r>
              <w:rPr>
                <w:sz w:val="18"/>
                <w:szCs w:val="18"/>
              </w:rPr>
              <w:t>Estructuras no tradicionales NoSQL. (C)</w:t>
            </w:r>
          </w:p>
          <w:p w14:paraId="63ADB768" w14:textId="77777777" w:rsidR="00990B14" w:rsidRDefault="00000000">
            <w:pPr>
              <w:spacing w:after="40"/>
              <w:jc w:val="both"/>
            </w:pPr>
            <w:r>
              <w:rPr>
                <w:sz w:val="18"/>
                <w:szCs w:val="18"/>
              </w:rPr>
              <w:t>Consultas de extracción de datos con fines de auditoría y verificación de la integridad de los archivos obtenidos. (C, A)</w:t>
            </w:r>
          </w:p>
        </w:tc>
        <w:tc>
          <w:tcPr>
            <w:tcW w:w="2752" w:type="dxa"/>
            <w:gridSpan w:val="3"/>
            <w:shd w:val="clear" w:color="auto" w:fill="D9E2F3"/>
          </w:tcPr>
          <w:p w14:paraId="1A61F723" w14:textId="77777777" w:rsidR="00990B14" w:rsidRDefault="00000000">
            <w:pPr>
              <w:numPr>
                <w:ilvl w:val="0"/>
                <w:numId w:val="139"/>
              </w:numPr>
              <w:spacing w:before="10" w:after="10"/>
              <w:jc w:val="both"/>
            </w:pPr>
            <w:r>
              <w:rPr>
                <w:sz w:val="18"/>
                <w:szCs w:val="18"/>
              </w:rPr>
              <w:t>Fundamentos de arquitectura de computadoras y de sistemas operativos.</w:t>
            </w:r>
          </w:p>
          <w:p w14:paraId="3B52B1D6" w14:textId="77777777" w:rsidR="00990B14" w:rsidRDefault="00000000">
            <w:pPr>
              <w:numPr>
                <w:ilvl w:val="0"/>
                <w:numId w:val="139"/>
              </w:numPr>
              <w:spacing w:before="10" w:after="10"/>
              <w:jc w:val="both"/>
            </w:pPr>
            <w:r>
              <w:rPr>
                <w:sz w:val="18"/>
                <w:szCs w:val="18"/>
              </w:rPr>
              <w:t>Régimen de los documentos electrónicos y de la firma digital establecido por la Ley N.º 164.</w:t>
            </w:r>
          </w:p>
        </w:tc>
      </w:tr>
      <w:tr w:rsidR="00990B14" w14:paraId="6DF75233" w14:textId="77777777">
        <w:trPr>
          <w:cantSplit/>
          <w:jc w:val="center"/>
        </w:trPr>
        <w:tc>
          <w:tcPr>
            <w:tcW w:w="9405" w:type="dxa"/>
            <w:gridSpan w:val="13"/>
            <w:shd w:val="clear" w:color="auto" w:fill="D9E2F3"/>
            <w:vAlign w:val="center"/>
          </w:tcPr>
          <w:p w14:paraId="55385A91" w14:textId="77777777" w:rsidR="00990B14" w:rsidRDefault="00000000">
            <w:pPr>
              <w:spacing w:before="20" w:after="20"/>
              <w:jc w:val="both"/>
            </w:pPr>
            <w:r>
              <w:rPr>
                <w:b/>
                <w:bCs/>
                <w:i/>
                <w:iCs/>
                <w:sz w:val="18"/>
                <w:szCs w:val="18"/>
              </w:rPr>
              <w:t xml:space="preserve">Elemento de competencia 2: </w:t>
            </w:r>
            <w:r>
              <w:rPr>
                <w:sz w:val="18"/>
                <w:szCs w:val="18"/>
              </w:rPr>
              <w:t>Aplica los marcos normativos y los estándares de buenas prácticas en tecnologías de la información a la evaluación de una entidad, relacionando los objetivos de gobierno y gestión de COBIT con los componentes del control interno, verificando que se cumplan los requerimientos de los stakeholders, considerando un framework como COBIT que permita unificar criterios, abarcando de extremo a extremo de la organización.</w:t>
            </w:r>
          </w:p>
        </w:tc>
      </w:tr>
      <w:tr w:rsidR="00990B14" w14:paraId="3DA40DCF" w14:textId="77777777">
        <w:trPr>
          <w:cantSplit/>
          <w:jc w:val="center"/>
        </w:trPr>
        <w:tc>
          <w:tcPr>
            <w:tcW w:w="3133" w:type="dxa"/>
            <w:gridSpan w:val="4"/>
            <w:shd w:val="clear" w:color="auto" w:fill="4472C4"/>
            <w:vAlign w:val="center"/>
          </w:tcPr>
          <w:p w14:paraId="44197373"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1F6EE59C"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7C6B5B8C" w14:textId="77777777" w:rsidR="00990B14" w:rsidRDefault="00000000">
            <w:pPr>
              <w:keepNext/>
              <w:spacing w:before="20" w:after="20"/>
              <w:jc w:val="center"/>
            </w:pPr>
            <w:r>
              <w:rPr>
                <w:b/>
                <w:bCs/>
                <w:i/>
                <w:iCs/>
                <w:color w:val="FFFFFF"/>
                <w:sz w:val="18"/>
                <w:szCs w:val="18"/>
              </w:rPr>
              <w:t>Evidencias de producto</w:t>
            </w:r>
          </w:p>
        </w:tc>
      </w:tr>
      <w:tr w:rsidR="00990B14" w14:paraId="0C03566B" w14:textId="77777777">
        <w:trPr>
          <w:cantSplit/>
          <w:jc w:val="center"/>
        </w:trPr>
        <w:tc>
          <w:tcPr>
            <w:tcW w:w="3133" w:type="dxa"/>
            <w:gridSpan w:val="4"/>
            <w:vMerge w:val="restart"/>
            <w:shd w:val="clear" w:color="auto" w:fill="D9E2F3"/>
            <w:vAlign w:val="center"/>
          </w:tcPr>
          <w:p w14:paraId="59B29317" w14:textId="77777777" w:rsidR="00990B14" w:rsidRDefault="00000000">
            <w:pPr>
              <w:spacing w:before="20" w:after="20"/>
              <w:jc w:val="both"/>
            </w:pPr>
            <w:r>
              <w:rPr>
                <w:sz w:val="18"/>
                <w:szCs w:val="18"/>
              </w:rPr>
              <w:t>1. Aplica los objetivos de gobierno y gestión de COBIT y los componentes del COSO a la evaluación de una entidad, valorando el riesgo de incorrección material en entornos tecnológicos conforme a la NIA 315.</w:t>
            </w:r>
          </w:p>
        </w:tc>
        <w:tc>
          <w:tcPr>
            <w:tcW w:w="3135" w:type="dxa"/>
            <w:gridSpan w:val="5"/>
            <w:shd w:val="clear" w:color="auto" w:fill="D9E2F3"/>
            <w:vAlign w:val="center"/>
          </w:tcPr>
          <w:p w14:paraId="32C1D1D7" w14:textId="77777777" w:rsidR="00990B14" w:rsidRDefault="00000000">
            <w:pPr>
              <w:spacing w:before="20" w:after="20"/>
              <w:jc w:val="both"/>
            </w:pPr>
            <w:r>
              <w:rPr>
                <w:sz w:val="18"/>
                <w:szCs w:val="18"/>
              </w:rPr>
              <w:t>1.1 Selecciona en aula los objetivos de gobierno de COBIT según los factores de diseño de la entidad.</w:t>
            </w:r>
          </w:p>
        </w:tc>
        <w:tc>
          <w:tcPr>
            <w:tcW w:w="3137" w:type="dxa"/>
            <w:gridSpan w:val="4"/>
            <w:shd w:val="clear" w:color="auto" w:fill="D9E2F3"/>
            <w:vAlign w:val="center"/>
          </w:tcPr>
          <w:p w14:paraId="509C01F1" w14:textId="77777777" w:rsidR="00990B14" w:rsidRDefault="00000000">
            <w:pPr>
              <w:spacing w:before="20" w:after="20"/>
              <w:jc w:val="both"/>
            </w:pPr>
            <w:r>
              <w:rPr>
                <w:b/>
                <w:bCs/>
                <w:sz w:val="18"/>
                <w:szCs w:val="18"/>
              </w:rPr>
              <w:t xml:space="preserve">Producto 5: </w:t>
            </w:r>
            <w:r>
              <w:rPr>
                <w:sz w:val="18"/>
                <w:szCs w:val="18"/>
              </w:rPr>
              <w:t>Matriz de objetivos de gobierno y gestión de COBIT aplicada a la entidad.</w:t>
            </w:r>
          </w:p>
        </w:tc>
      </w:tr>
      <w:tr w:rsidR="00990B14" w14:paraId="1777274E" w14:textId="77777777">
        <w:trPr>
          <w:cantSplit/>
          <w:jc w:val="center"/>
        </w:trPr>
        <w:tc>
          <w:tcPr>
            <w:tcW w:w="3133" w:type="dxa"/>
            <w:gridSpan w:val="4"/>
            <w:vMerge/>
            <w:shd w:val="clear" w:color="auto" w:fill="D9E2F3"/>
            <w:vAlign w:val="center"/>
          </w:tcPr>
          <w:p w14:paraId="7716EE81" w14:textId="77777777" w:rsidR="00990B14" w:rsidRDefault="00990B14">
            <w:pPr>
              <w:spacing w:before="20" w:after="20"/>
            </w:pPr>
          </w:p>
        </w:tc>
        <w:tc>
          <w:tcPr>
            <w:tcW w:w="3135" w:type="dxa"/>
            <w:gridSpan w:val="5"/>
            <w:shd w:val="clear" w:color="auto" w:fill="D9E2F3"/>
            <w:vAlign w:val="center"/>
          </w:tcPr>
          <w:p w14:paraId="45C8CE70" w14:textId="77777777" w:rsidR="00990B14" w:rsidRDefault="00000000">
            <w:pPr>
              <w:spacing w:before="20" w:after="20"/>
              <w:jc w:val="both"/>
            </w:pPr>
            <w:r>
              <w:rPr>
                <w:sz w:val="18"/>
                <w:szCs w:val="18"/>
              </w:rPr>
              <w:t>1.2 Valora en equipo los riesgos derivados de los controles generales de tecnología de la información conforme a la NIA 315 revisada.</w:t>
            </w:r>
          </w:p>
        </w:tc>
        <w:tc>
          <w:tcPr>
            <w:tcW w:w="3137" w:type="dxa"/>
            <w:gridSpan w:val="4"/>
            <w:shd w:val="clear" w:color="auto" w:fill="D9E2F3"/>
            <w:vAlign w:val="center"/>
          </w:tcPr>
          <w:p w14:paraId="43A47707" w14:textId="77777777" w:rsidR="00990B14" w:rsidRDefault="00000000">
            <w:pPr>
              <w:spacing w:before="20" w:after="20"/>
              <w:jc w:val="both"/>
            </w:pPr>
            <w:r>
              <w:rPr>
                <w:b/>
                <w:bCs/>
                <w:sz w:val="18"/>
                <w:szCs w:val="18"/>
              </w:rPr>
              <w:t xml:space="preserve">Producto 6: </w:t>
            </w:r>
            <w:r>
              <w:rPr>
                <w:sz w:val="18"/>
                <w:szCs w:val="18"/>
              </w:rPr>
              <w:t>Matriz de riesgos de los controles generales de tecnología de la información.</w:t>
            </w:r>
          </w:p>
        </w:tc>
      </w:tr>
      <w:tr w:rsidR="00990B14" w14:paraId="4FE773DB" w14:textId="77777777">
        <w:trPr>
          <w:cantSplit/>
          <w:jc w:val="center"/>
        </w:trPr>
        <w:tc>
          <w:tcPr>
            <w:tcW w:w="3133" w:type="dxa"/>
            <w:gridSpan w:val="4"/>
            <w:vMerge w:val="restart"/>
            <w:shd w:val="clear" w:color="auto" w:fill="D9E2F3"/>
            <w:vAlign w:val="center"/>
          </w:tcPr>
          <w:p w14:paraId="512B940E" w14:textId="77777777" w:rsidR="00990B14" w:rsidRDefault="00000000">
            <w:pPr>
              <w:spacing w:before="20" w:after="20"/>
              <w:jc w:val="both"/>
            </w:pPr>
            <w:r>
              <w:rPr>
                <w:sz w:val="18"/>
                <w:szCs w:val="18"/>
              </w:rPr>
              <w:t>2. Evalúa el sistema de gestión de la seguridad de la información y los controles de los proveedores de servicios tecnológicos conforme a las normas ISO 27001, 27002, 27005 y 31000 y a la NIEA 3402.</w:t>
            </w:r>
          </w:p>
        </w:tc>
        <w:tc>
          <w:tcPr>
            <w:tcW w:w="3135" w:type="dxa"/>
            <w:gridSpan w:val="5"/>
            <w:shd w:val="clear" w:color="auto" w:fill="D9E2F3"/>
            <w:vAlign w:val="center"/>
          </w:tcPr>
          <w:p w14:paraId="0FDBCA2F" w14:textId="77777777" w:rsidR="00990B14" w:rsidRDefault="00000000">
            <w:pPr>
              <w:spacing w:before="20" w:after="20"/>
              <w:jc w:val="both"/>
            </w:pPr>
            <w:r>
              <w:rPr>
                <w:sz w:val="18"/>
                <w:szCs w:val="18"/>
              </w:rPr>
              <w:t>2.1 Sustenta en equipo la gestión de riesgos de seguridad de la información de una entidad conforme a las normas ISO 27005 y 31000, aplicando procesos de Seguridad de la Información con SGSI conforme a la ISO 27001 e ISO 27002.</w:t>
            </w:r>
          </w:p>
        </w:tc>
        <w:tc>
          <w:tcPr>
            <w:tcW w:w="3137" w:type="dxa"/>
            <w:gridSpan w:val="4"/>
            <w:shd w:val="clear" w:color="auto" w:fill="D9E2F3"/>
            <w:vAlign w:val="center"/>
          </w:tcPr>
          <w:p w14:paraId="7DE83287" w14:textId="77777777" w:rsidR="00990B14" w:rsidRDefault="00000000">
            <w:pPr>
              <w:spacing w:before="20" w:after="20"/>
              <w:jc w:val="both"/>
            </w:pPr>
            <w:r>
              <w:rPr>
                <w:b/>
                <w:bCs/>
                <w:sz w:val="18"/>
                <w:szCs w:val="18"/>
              </w:rPr>
              <w:t xml:space="preserve">Producto 7: </w:t>
            </w:r>
            <w:r>
              <w:rPr>
                <w:sz w:val="18"/>
                <w:szCs w:val="18"/>
              </w:rPr>
              <w:t>Informe de evaluación del sistema de gestión de la seguridad de la información.</w:t>
            </w:r>
          </w:p>
        </w:tc>
      </w:tr>
      <w:tr w:rsidR="00990B14" w14:paraId="387CBD3C" w14:textId="77777777">
        <w:trPr>
          <w:cantSplit/>
          <w:jc w:val="center"/>
        </w:trPr>
        <w:tc>
          <w:tcPr>
            <w:tcW w:w="3133" w:type="dxa"/>
            <w:gridSpan w:val="4"/>
            <w:vMerge/>
            <w:shd w:val="clear" w:color="auto" w:fill="D9E2F3"/>
            <w:vAlign w:val="center"/>
          </w:tcPr>
          <w:p w14:paraId="7D547A7D" w14:textId="77777777" w:rsidR="00990B14" w:rsidRDefault="00990B14">
            <w:pPr>
              <w:spacing w:before="20" w:after="20"/>
            </w:pPr>
          </w:p>
        </w:tc>
        <w:tc>
          <w:tcPr>
            <w:tcW w:w="3135" w:type="dxa"/>
            <w:gridSpan w:val="5"/>
            <w:shd w:val="clear" w:color="auto" w:fill="D9E2F3"/>
            <w:vAlign w:val="center"/>
          </w:tcPr>
          <w:p w14:paraId="2CEBF6C3" w14:textId="77777777" w:rsidR="00990B14" w:rsidRDefault="00000000">
            <w:pPr>
              <w:spacing w:before="20" w:after="20"/>
              <w:jc w:val="both"/>
            </w:pPr>
            <w:r>
              <w:rPr>
                <w:sz w:val="18"/>
                <w:szCs w:val="18"/>
              </w:rPr>
              <w:t>2.2 Analiza en aula un informe sobre los controles de una organización de servicios y su efecto en la auditoría.</w:t>
            </w:r>
          </w:p>
        </w:tc>
        <w:tc>
          <w:tcPr>
            <w:tcW w:w="3137" w:type="dxa"/>
            <w:gridSpan w:val="4"/>
            <w:shd w:val="clear" w:color="auto" w:fill="D9E2F3"/>
            <w:vAlign w:val="center"/>
          </w:tcPr>
          <w:p w14:paraId="7366594C" w14:textId="77777777" w:rsidR="00990B14" w:rsidRDefault="00000000">
            <w:pPr>
              <w:spacing w:before="20" w:after="20"/>
              <w:jc w:val="both"/>
            </w:pPr>
            <w:r>
              <w:rPr>
                <w:b/>
                <w:bCs/>
                <w:sz w:val="18"/>
                <w:szCs w:val="18"/>
              </w:rPr>
              <w:t xml:space="preserve">Producto 8: </w:t>
            </w:r>
            <w:r>
              <w:rPr>
                <w:sz w:val="18"/>
                <w:szCs w:val="18"/>
              </w:rPr>
              <w:t>Informe sobre los controles de los proveedores de servicios tecnológicos.</w:t>
            </w:r>
          </w:p>
        </w:tc>
      </w:tr>
      <w:tr w:rsidR="00990B14" w14:paraId="21A35F7B" w14:textId="77777777">
        <w:trPr>
          <w:cantSplit/>
          <w:jc w:val="center"/>
        </w:trPr>
        <w:tc>
          <w:tcPr>
            <w:tcW w:w="9405" w:type="dxa"/>
            <w:gridSpan w:val="13"/>
            <w:shd w:val="clear" w:color="auto" w:fill="4472C4"/>
            <w:vAlign w:val="center"/>
          </w:tcPr>
          <w:p w14:paraId="24746DC2" w14:textId="77777777" w:rsidR="00990B14" w:rsidRDefault="00000000">
            <w:pPr>
              <w:keepNext/>
              <w:spacing w:before="20" w:after="20"/>
              <w:jc w:val="center"/>
            </w:pPr>
            <w:r>
              <w:rPr>
                <w:b/>
                <w:bCs/>
                <w:i/>
                <w:iCs/>
                <w:color w:val="FFFFFF"/>
                <w:sz w:val="18"/>
                <w:szCs w:val="18"/>
              </w:rPr>
              <w:t>Evidencias de conocimiento</w:t>
            </w:r>
          </w:p>
        </w:tc>
      </w:tr>
      <w:tr w:rsidR="00990B14" w14:paraId="73FCC11C" w14:textId="77777777">
        <w:trPr>
          <w:cantSplit/>
          <w:jc w:val="center"/>
        </w:trPr>
        <w:tc>
          <w:tcPr>
            <w:tcW w:w="2349" w:type="dxa"/>
            <w:gridSpan w:val="2"/>
            <w:shd w:val="clear" w:color="auto" w:fill="4472C4"/>
            <w:vAlign w:val="center"/>
          </w:tcPr>
          <w:p w14:paraId="1392A769"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7C2D23AF" w14:textId="77777777" w:rsidR="00990B14" w:rsidRDefault="00000000">
            <w:pPr>
              <w:keepNext/>
              <w:spacing w:before="20" w:after="20"/>
              <w:jc w:val="both"/>
            </w:pPr>
            <w:r>
              <w:rPr>
                <w:b/>
                <w:bCs/>
                <w:i/>
                <w:iCs/>
                <w:color w:val="FFFFFF"/>
                <w:sz w:val="18"/>
                <w:szCs w:val="18"/>
              </w:rPr>
              <w:t>Contenidos</w:t>
            </w:r>
          </w:p>
          <w:p w14:paraId="6ABEE7C8"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38CEE38F" w14:textId="77777777" w:rsidR="00990B14" w:rsidRDefault="00000000">
            <w:pPr>
              <w:keepNext/>
              <w:spacing w:before="20" w:after="20"/>
              <w:jc w:val="center"/>
            </w:pPr>
            <w:r>
              <w:rPr>
                <w:b/>
                <w:bCs/>
                <w:i/>
                <w:iCs/>
                <w:color w:val="FFFFFF"/>
                <w:sz w:val="18"/>
                <w:szCs w:val="18"/>
              </w:rPr>
              <w:t>Conocimientos circunstanciales</w:t>
            </w:r>
          </w:p>
        </w:tc>
      </w:tr>
      <w:tr w:rsidR="00990B14" w14:paraId="220DB93D" w14:textId="77777777">
        <w:trPr>
          <w:jc w:val="center"/>
        </w:trPr>
        <w:tc>
          <w:tcPr>
            <w:tcW w:w="2349" w:type="dxa"/>
            <w:gridSpan w:val="2"/>
            <w:shd w:val="clear" w:color="auto" w:fill="D9E2F3"/>
          </w:tcPr>
          <w:p w14:paraId="4289390C" w14:textId="77777777" w:rsidR="00990B14" w:rsidRDefault="00000000">
            <w:pPr>
              <w:spacing w:before="20" w:after="40"/>
              <w:jc w:val="both"/>
            </w:pPr>
            <w:r>
              <w:rPr>
                <w:sz w:val="18"/>
                <w:szCs w:val="18"/>
              </w:rPr>
              <w:t>Tema 4: Normas de auditoría base para evaluar tecnologías de la información y comunicación</w:t>
            </w:r>
          </w:p>
          <w:p w14:paraId="255E4E2A" w14:textId="77777777" w:rsidR="00990B14" w:rsidRDefault="00000000">
            <w:pPr>
              <w:spacing w:before="20" w:after="40"/>
              <w:jc w:val="both"/>
            </w:pPr>
            <w:r>
              <w:rPr>
                <w:sz w:val="18"/>
                <w:szCs w:val="18"/>
              </w:rPr>
              <w:t>Tema 5: Marco regulatorio</w:t>
            </w:r>
          </w:p>
          <w:p w14:paraId="2DE95BB4" w14:textId="77777777" w:rsidR="00990B14" w:rsidRDefault="00000000">
            <w:pPr>
              <w:spacing w:before="20" w:after="40"/>
              <w:jc w:val="both"/>
            </w:pPr>
            <w:r>
              <w:rPr>
                <w:sz w:val="18"/>
                <w:szCs w:val="18"/>
              </w:rPr>
              <w:t>Tema 6: Marco COSO</w:t>
            </w:r>
          </w:p>
          <w:p w14:paraId="6C6FD5F0" w14:textId="77777777" w:rsidR="00990B14" w:rsidRDefault="00000000">
            <w:pPr>
              <w:spacing w:before="20" w:after="40"/>
              <w:jc w:val="both"/>
            </w:pPr>
            <w:r>
              <w:rPr>
                <w:sz w:val="18"/>
                <w:szCs w:val="18"/>
              </w:rPr>
              <w:t>Tema 7: Modelo COBIT</w:t>
            </w:r>
          </w:p>
          <w:p w14:paraId="196F5851" w14:textId="77777777" w:rsidR="00990B14" w:rsidRDefault="00000000">
            <w:pPr>
              <w:spacing w:before="20" w:after="40"/>
              <w:jc w:val="both"/>
            </w:pPr>
            <w:r>
              <w:rPr>
                <w:sz w:val="18"/>
                <w:szCs w:val="18"/>
              </w:rPr>
              <w:t>Tema 8: NIEA 3000 Norma Internacional de Encargos de Aseguramiento</w:t>
            </w:r>
          </w:p>
          <w:p w14:paraId="5F9BE647" w14:textId="77777777" w:rsidR="00990B14" w:rsidRDefault="00000000">
            <w:pPr>
              <w:spacing w:before="20" w:after="40"/>
              <w:jc w:val="both"/>
            </w:pPr>
            <w:r>
              <w:rPr>
                <w:sz w:val="18"/>
                <w:szCs w:val="18"/>
              </w:rPr>
              <w:t>Tema 9: NIA 315 Norma Internacional de Auditoría</w:t>
            </w:r>
          </w:p>
          <w:p w14:paraId="7ADE1D3D" w14:textId="77777777" w:rsidR="00990B14" w:rsidRDefault="00000000">
            <w:pPr>
              <w:spacing w:before="20" w:after="40"/>
              <w:jc w:val="both"/>
            </w:pPr>
            <w:r>
              <w:rPr>
                <w:sz w:val="18"/>
                <w:szCs w:val="18"/>
              </w:rPr>
              <w:t>Tema 10: Estándares de seguridad de la información y gestión de riesgos</w:t>
            </w:r>
          </w:p>
        </w:tc>
        <w:tc>
          <w:tcPr>
            <w:tcW w:w="4304" w:type="dxa"/>
            <w:gridSpan w:val="8"/>
            <w:shd w:val="clear" w:color="auto" w:fill="D9E2F3"/>
          </w:tcPr>
          <w:p w14:paraId="36149922" w14:textId="77777777" w:rsidR="00990B14" w:rsidRDefault="00000000">
            <w:pPr>
              <w:spacing w:after="40"/>
              <w:jc w:val="both"/>
            </w:pPr>
            <w:r>
              <w:rPr>
                <w:sz w:val="18"/>
                <w:szCs w:val="18"/>
              </w:rPr>
              <w:t>Normas Internacionales de Auditoría y Aseguramiento aplicables a la evaluación de las tecnologías de la información: planificación, supervisión, control interno, evidencia y comunicación de resultados. (C, P)</w:t>
            </w:r>
          </w:p>
          <w:p w14:paraId="4F437D73" w14:textId="77777777" w:rsidR="00990B14" w:rsidRDefault="00000000">
            <w:pPr>
              <w:spacing w:after="40"/>
              <w:jc w:val="both"/>
            </w:pPr>
            <w:r>
              <w:rPr>
                <w:sz w:val="18"/>
                <w:szCs w:val="18"/>
              </w:rPr>
              <w:t>Requerimientos sobre recursos tecnológicos y de información de la Norma Internacional de Gestión de la Calidad 1. (C)</w:t>
            </w:r>
          </w:p>
          <w:p w14:paraId="6B308548" w14:textId="77777777" w:rsidR="00990B14" w:rsidRDefault="00000000">
            <w:pPr>
              <w:spacing w:after="40"/>
              <w:jc w:val="both"/>
            </w:pPr>
            <w:r>
              <w:rPr>
                <w:sz w:val="18"/>
                <w:szCs w:val="18"/>
              </w:rPr>
              <w:t>Normas emitidas por la ASFI y por la SPVS, actualmente Autoridad de Fiscalización y Control de Pensiones y Seguros: flujo de información y revisión selectiva de los datos. (C)</w:t>
            </w:r>
          </w:p>
          <w:p w14:paraId="3F761990" w14:textId="77777777" w:rsidR="00990B14" w:rsidRDefault="00000000">
            <w:pPr>
              <w:spacing w:after="40"/>
              <w:jc w:val="both"/>
            </w:pPr>
            <w:r>
              <w:rPr>
                <w:sz w:val="18"/>
                <w:szCs w:val="18"/>
              </w:rPr>
              <w:t>Controles de acceso, validación de los controles generales y detección de actividades no autorizadas. (C)</w:t>
            </w:r>
          </w:p>
          <w:p w14:paraId="30BF6D46" w14:textId="77777777" w:rsidR="00990B14" w:rsidRDefault="00000000">
            <w:pPr>
              <w:spacing w:after="40"/>
              <w:jc w:val="both"/>
            </w:pPr>
            <w:r>
              <w:rPr>
                <w:sz w:val="18"/>
                <w:szCs w:val="18"/>
              </w:rPr>
              <w:t>Protección de la confidencialidad, exactitud e integridad de la información; normas emitidas por el CTNAC. (C, A)</w:t>
            </w:r>
          </w:p>
          <w:p w14:paraId="3ACFE69B" w14:textId="77777777" w:rsidR="00990B14" w:rsidRDefault="00000000">
            <w:pPr>
              <w:spacing w:after="40"/>
              <w:jc w:val="both"/>
            </w:pPr>
            <w:r>
              <w:rPr>
                <w:sz w:val="18"/>
                <w:szCs w:val="18"/>
              </w:rPr>
              <w:t>Marco COSO: componentes de control interno, principios y puntos de interés. (C)</w:t>
            </w:r>
          </w:p>
          <w:p w14:paraId="54CE896C" w14:textId="77777777" w:rsidR="00990B14" w:rsidRDefault="00000000">
            <w:pPr>
              <w:spacing w:after="40"/>
              <w:jc w:val="both"/>
            </w:pPr>
            <w:r>
              <w:rPr>
                <w:sz w:val="18"/>
                <w:szCs w:val="18"/>
              </w:rPr>
              <w:t>Marco integrado de control interno COSO 2013 y marco de gestión del riesgo empresarial COSO ERM 2017. (C)</w:t>
            </w:r>
          </w:p>
          <w:p w14:paraId="127AC828" w14:textId="77777777" w:rsidR="00990B14" w:rsidRDefault="00000000">
            <w:pPr>
              <w:spacing w:after="40"/>
              <w:jc w:val="both"/>
            </w:pPr>
            <w:r>
              <w:rPr>
                <w:sz w:val="18"/>
                <w:szCs w:val="18"/>
              </w:rPr>
              <w:t>Sistema de control interno automatizado y controles generales de tecnología de la información. (C, T)</w:t>
            </w:r>
          </w:p>
          <w:p w14:paraId="0B5D6ACB" w14:textId="77777777" w:rsidR="00990B14" w:rsidRDefault="00000000">
            <w:pPr>
              <w:spacing w:after="40"/>
              <w:jc w:val="both"/>
            </w:pPr>
            <w:r>
              <w:rPr>
                <w:sz w:val="18"/>
                <w:szCs w:val="18"/>
              </w:rPr>
              <w:t>COBIT como marco de referencia para el gobierno y la gestión de las tecnologías de la información. (C)</w:t>
            </w:r>
          </w:p>
          <w:p w14:paraId="19D6B36F" w14:textId="77777777" w:rsidR="00990B14" w:rsidRDefault="00000000">
            <w:pPr>
              <w:spacing w:after="40"/>
              <w:jc w:val="both"/>
            </w:pPr>
            <w:r>
              <w:rPr>
                <w:sz w:val="18"/>
                <w:szCs w:val="18"/>
              </w:rPr>
              <w:t>COBIT: principios del sistema de gobierno, factores de diseño y niveles de capacidad de los procesos. (C, P)</w:t>
            </w:r>
          </w:p>
          <w:p w14:paraId="5CAE59F4" w14:textId="77777777" w:rsidR="00990B14" w:rsidRDefault="00000000">
            <w:pPr>
              <w:spacing w:after="40"/>
              <w:jc w:val="both"/>
            </w:pPr>
            <w:r>
              <w:rPr>
                <w:sz w:val="18"/>
                <w:szCs w:val="18"/>
              </w:rPr>
              <w:t>Objetivos de gobierno y gestión, componentes, dominios y objetivos de control interno informático. (C, T)</w:t>
            </w:r>
          </w:p>
          <w:p w14:paraId="27BDBB10" w14:textId="77777777" w:rsidR="00990B14" w:rsidRDefault="00000000">
            <w:pPr>
              <w:spacing w:after="40"/>
              <w:jc w:val="both"/>
            </w:pPr>
            <w:r>
              <w:rPr>
                <w:sz w:val="18"/>
                <w:szCs w:val="18"/>
              </w:rPr>
              <w:t>NIEA 3000: principios básicos y procedimientos esenciales. (C, P)</w:t>
            </w:r>
          </w:p>
          <w:p w14:paraId="34BE0AFD" w14:textId="77777777" w:rsidR="00990B14" w:rsidRDefault="00000000">
            <w:pPr>
              <w:spacing w:after="40"/>
              <w:jc w:val="both"/>
            </w:pPr>
            <w:r>
              <w:rPr>
                <w:sz w:val="18"/>
                <w:szCs w:val="18"/>
              </w:rPr>
              <w:t>Encargos de revisión y encargos de aseguramiento de controles inherentes a sistemas y tecnologías de la información. (C)</w:t>
            </w:r>
          </w:p>
          <w:p w14:paraId="79B84BE5" w14:textId="77777777" w:rsidR="00990B14" w:rsidRDefault="00000000">
            <w:pPr>
              <w:spacing w:after="40"/>
              <w:jc w:val="both"/>
            </w:pPr>
            <w:r>
              <w:rPr>
                <w:sz w:val="18"/>
                <w:szCs w:val="18"/>
              </w:rPr>
              <w:t>Norma Internacional de Encargos de Aseguramiento 3402: informes sobre los controles de las organizaciones de servicios y su uso por el auditor de la entidad usuaria. (C)</w:t>
            </w:r>
          </w:p>
          <w:p w14:paraId="2E44950A" w14:textId="77777777" w:rsidR="00990B14" w:rsidRDefault="00000000">
            <w:pPr>
              <w:spacing w:after="40"/>
              <w:jc w:val="both"/>
            </w:pPr>
            <w:r>
              <w:rPr>
                <w:sz w:val="18"/>
                <w:szCs w:val="18"/>
              </w:rPr>
              <w:t>NIA 315: alcance, identificación y valoración del riesgo de incorrección material debida a fraude o error en los estados financieros y en las afirmaciones. (C, P)</w:t>
            </w:r>
          </w:p>
          <w:p w14:paraId="18167C6C" w14:textId="77777777" w:rsidR="00990B14" w:rsidRDefault="00000000">
            <w:pPr>
              <w:spacing w:after="40"/>
              <w:jc w:val="both"/>
            </w:pPr>
            <w:r>
              <w:rPr>
                <w:sz w:val="18"/>
                <w:szCs w:val="18"/>
              </w:rPr>
              <w:t>Controles generales de tecnología de la información y espectro de riesgo inherente de la NIA 315 revisada. (C)</w:t>
            </w:r>
          </w:p>
          <w:p w14:paraId="31B00245" w14:textId="77777777" w:rsidR="00990B14" w:rsidRDefault="00000000">
            <w:pPr>
              <w:spacing w:after="40"/>
              <w:jc w:val="both"/>
            </w:pPr>
            <w:r>
              <w:rPr>
                <w:sz w:val="18"/>
                <w:szCs w:val="18"/>
              </w:rPr>
              <w:t>Base para el diseño y la implementación de respuestas a los riesgos valorados de incorrección material; aplicaciones. (P)</w:t>
            </w:r>
          </w:p>
          <w:p w14:paraId="4853CC09" w14:textId="77777777" w:rsidR="00990B14" w:rsidRDefault="00000000">
            <w:pPr>
              <w:spacing w:after="40"/>
              <w:jc w:val="both"/>
            </w:pPr>
            <w:r>
              <w:rPr>
                <w:sz w:val="18"/>
                <w:szCs w:val="18"/>
              </w:rPr>
              <w:t>Normas ISO 27001 y 27002: el sistema de gestión de la seguridad de la información (SGSI) y sus requisitos. (C)</w:t>
            </w:r>
          </w:p>
          <w:p w14:paraId="51C74D3C" w14:textId="77777777" w:rsidR="00990B14" w:rsidRDefault="00000000">
            <w:pPr>
              <w:spacing w:after="40"/>
              <w:jc w:val="both"/>
            </w:pPr>
            <w:r>
              <w:rPr>
                <w:sz w:val="18"/>
                <w:szCs w:val="18"/>
              </w:rPr>
              <w:t>Normas ISO 27001 y 27002 de IBNORCA y la reorganización de sus controles por temas. (C)</w:t>
            </w:r>
          </w:p>
          <w:p w14:paraId="65EADA13" w14:textId="77777777" w:rsidR="00990B14" w:rsidRDefault="00000000">
            <w:pPr>
              <w:spacing w:after="40"/>
              <w:jc w:val="both"/>
            </w:pPr>
            <w:r>
              <w:rPr>
                <w:sz w:val="18"/>
                <w:szCs w:val="18"/>
              </w:rPr>
              <w:t>Procesos y procedimientos para proteger la información contra amenazas y vulnerabilidades; reducción del riesgo de pérdida de información. (P)</w:t>
            </w:r>
          </w:p>
          <w:p w14:paraId="7DBCFE97" w14:textId="77777777" w:rsidR="00990B14" w:rsidRDefault="00000000">
            <w:pPr>
              <w:spacing w:after="40"/>
              <w:jc w:val="both"/>
            </w:pPr>
            <w:r>
              <w:rPr>
                <w:sz w:val="18"/>
                <w:szCs w:val="18"/>
              </w:rPr>
              <w:t>Cumplimiento de requisitos legales y normativos y aumento de la confianza de las partes interesadas. (C)</w:t>
            </w:r>
          </w:p>
          <w:p w14:paraId="567FD214" w14:textId="77777777" w:rsidR="00990B14" w:rsidRDefault="00000000">
            <w:pPr>
              <w:spacing w:after="40"/>
              <w:jc w:val="both"/>
            </w:pPr>
            <w:r>
              <w:rPr>
                <w:sz w:val="18"/>
                <w:szCs w:val="18"/>
              </w:rPr>
              <w:t>Norma ISO 27004: orientación para realizar mediciones, configurar métricas, qué medir, con qué frecuencia medir y cómo medir. (C)</w:t>
            </w:r>
          </w:p>
          <w:p w14:paraId="00AB2069" w14:textId="77777777" w:rsidR="00990B14" w:rsidRDefault="00000000">
            <w:pPr>
              <w:spacing w:after="40"/>
              <w:jc w:val="both"/>
            </w:pPr>
            <w:r>
              <w:rPr>
                <w:sz w:val="18"/>
                <w:szCs w:val="18"/>
              </w:rPr>
              <w:t>Norma ISO 27005: directrices para la gestión de riesgos de seguridad de la información; amenazas, vulnerabilidades e impactos. (C)</w:t>
            </w:r>
          </w:p>
          <w:p w14:paraId="40071923" w14:textId="77777777" w:rsidR="00990B14" w:rsidRDefault="00000000">
            <w:pPr>
              <w:spacing w:after="40"/>
              <w:jc w:val="both"/>
            </w:pPr>
            <w:r>
              <w:rPr>
                <w:sz w:val="18"/>
                <w:szCs w:val="18"/>
              </w:rPr>
              <w:t>Norma ISO 31000 de gestión de riesgos: definición, principios y directrices; enfoques basados en la organización, en procesos, en evidencia y en la mejora continua. (C)</w:t>
            </w:r>
          </w:p>
          <w:p w14:paraId="6B5C2802" w14:textId="77777777" w:rsidR="00990B14" w:rsidRDefault="00000000">
            <w:pPr>
              <w:spacing w:after="40"/>
              <w:jc w:val="both"/>
            </w:pPr>
            <w:r>
              <w:rPr>
                <w:sz w:val="18"/>
                <w:szCs w:val="18"/>
              </w:rPr>
              <w:t>Marco de gestión del riesgo: identificación y análisis; adopción del estándar para la toma de decisiones, la reducción de la incertidumbre y la mejora del rendimiento. (C)</w:t>
            </w:r>
          </w:p>
          <w:p w14:paraId="4977C74B" w14:textId="77777777" w:rsidR="00990B14" w:rsidRDefault="00000000">
            <w:pPr>
              <w:spacing w:after="40"/>
              <w:jc w:val="both"/>
            </w:pPr>
            <w:r>
              <w:rPr>
                <w:sz w:val="18"/>
                <w:szCs w:val="18"/>
              </w:rPr>
              <w:t>Normas de gestión de la continuidad del negocio y de los sistemas de gestión de la inteligencia artificial. (C, T)</w:t>
            </w:r>
          </w:p>
        </w:tc>
        <w:tc>
          <w:tcPr>
            <w:tcW w:w="2752" w:type="dxa"/>
            <w:gridSpan w:val="3"/>
            <w:shd w:val="clear" w:color="auto" w:fill="D9E2F3"/>
          </w:tcPr>
          <w:p w14:paraId="132557C0" w14:textId="77777777" w:rsidR="00990B14" w:rsidRDefault="00000000">
            <w:pPr>
              <w:numPr>
                <w:ilvl w:val="0"/>
                <w:numId w:val="139"/>
              </w:numPr>
              <w:spacing w:before="10" w:after="10"/>
              <w:jc w:val="both"/>
            </w:pPr>
            <w:r>
              <w:rPr>
                <w:sz w:val="18"/>
                <w:szCs w:val="18"/>
              </w:rPr>
              <w:t>Lineamientos de seguridad de la información de la Agencia de Gobierno Electrónico y Tecnologías de Información y Comunicación.</w:t>
            </w:r>
          </w:p>
          <w:p w14:paraId="1AA40983" w14:textId="77777777" w:rsidR="00990B14" w:rsidRDefault="00000000">
            <w:pPr>
              <w:numPr>
                <w:ilvl w:val="0"/>
                <w:numId w:val="139"/>
              </w:numPr>
              <w:spacing w:before="10" w:after="10"/>
              <w:jc w:val="both"/>
            </w:pPr>
            <w:r>
              <w:rPr>
                <w:sz w:val="18"/>
                <w:szCs w:val="18"/>
              </w:rPr>
              <w:t>Proceso de certificación de sistemas de gestión conforme a normas ISO.</w:t>
            </w:r>
          </w:p>
        </w:tc>
      </w:tr>
      <w:tr w:rsidR="00990B14" w14:paraId="175C23BD" w14:textId="77777777">
        <w:trPr>
          <w:cantSplit/>
          <w:jc w:val="center"/>
        </w:trPr>
        <w:tc>
          <w:tcPr>
            <w:tcW w:w="9405" w:type="dxa"/>
            <w:gridSpan w:val="13"/>
            <w:shd w:val="clear" w:color="auto" w:fill="D9E2F3"/>
            <w:vAlign w:val="center"/>
          </w:tcPr>
          <w:p w14:paraId="03881A0D" w14:textId="77777777" w:rsidR="00990B14" w:rsidRDefault="00000000">
            <w:pPr>
              <w:spacing w:before="20" w:after="20"/>
              <w:jc w:val="both"/>
            </w:pPr>
            <w:r>
              <w:rPr>
                <w:b/>
                <w:bCs/>
                <w:i/>
                <w:iCs/>
                <w:sz w:val="18"/>
                <w:szCs w:val="18"/>
              </w:rPr>
              <w:t xml:space="preserve">Elemento de competencia 3: </w:t>
            </w:r>
            <w:r>
              <w:rPr>
                <w:sz w:val="18"/>
                <w:szCs w:val="18"/>
              </w:rPr>
              <w:t>Evalúa el control interno en un entorno de sistemas de información, levantando la información con narrativas, flujogramas y cuestionarios y determinando el nivel del riesgo de control, comunicando los resultados con un informe preliminar y, después de una validación, emitiendo el Informe Final.</w:t>
            </w:r>
          </w:p>
        </w:tc>
      </w:tr>
      <w:tr w:rsidR="00990B14" w14:paraId="24E22429" w14:textId="77777777">
        <w:trPr>
          <w:cantSplit/>
          <w:jc w:val="center"/>
        </w:trPr>
        <w:tc>
          <w:tcPr>
            <w:tcW w:w="3133" w:type="dxa"/>
            <w:gridSpan w:val="4"/>
            <w:shd w:val="clear" w:color="auto" w:fill="4472C4"/>
            <w:vAlign w:val="center"/>
          </w:tcPr>
          <w:p w14:paraId="44D3DA48"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0E69E715"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0FD2CBD3" w14:textId="77777777" w:rsidR="00990B14" w:rsidRDefault="00000000">
            <w:pPr>
              <w:keepNext/>
              <w:spacing w:before="20" w:after="20"/>
              <w:jc w:val="center"/>
            </w:pPr>
            <w:r>
              <w:rPr>
                <w:b/>
                <w:bCs/>
                <w:i/>
                <w:iCs/>
                <w:color w:val="FFFFFF"/>
                <w:sz w:val="18"/>
                <w:szCs w:val="18"/>
              </w:rPr>
              <w:t>Evidencias de producto</w:t>
            </w:r>
          </w:p>
        </w:tc>
      </w:tr>
      <w:tr w:rsidR="00990B14" w14:paraId="11FE415E" w14:textId="77777777">
        <w:trPr>
          <w:cantSplit/>
          <w:jc w:val="center"/>
        </w:trPr>
        <w:tc>
          <w:tcPr>
            <w:tcW w:w="3133" w:type="dxa"/>
            <w:gridSpan w:val="4"/>
            <w:vMerge w:val="restart"/>
            <w:shd w:val="clear" w:color="auto" w:fill="D9E2F3"/>
            <w:vAlign w:val="center"/>
          </w:tcPr>
          <w:p w14:paraId="12920FD0" w14:textId="77777777" w:rsidR="00990B14" w:rsidRDefault="00000000">
            <w:pPr>
              <w:spacing w:before="20" w:after="20"/>
              <w:jc w:val="both"/>
            </w:pPr>
            <w:r>
              <w:rPr>
                <w:sz w:val="18"/>
                <w:szCs w:val="18"/>
              </w:rPr>
              <w:t>1. Evalúa los controles generales y de aplicación de un entorno de sistemas, levantando la información con narrativas, flujogramas y cuestionarios y revisando la segregación de funciones.</w:t>
            </w:r>
          </w:p>
        </w:tc>
        <w:tc>
          <w:tcPr>
            <w:tcW w:w="3135" w:type="dxa"/>
            <w:gridSpan w:val="5"/>
            <w:shd w:val="clear" w:color="auto" w:fill="D9E2F3"/>
            <w:vAlign w:val="center"/>
          </w:tcPr>
          <w:p w14:paraId="08756D04" w14:textId="77777777" w:rsidR="00990B14" w:rsidRDefault="00000000">
            <w:pPr>
              <w:spacing w:before="20" w:after="20"/>
              <w:jc w:val="both"/>
            </w:pPr>
            <w:r>
              <w:rPr>
                <w:sz w:val="18"/>
                <w:szCs w:val="18"/>
              </w:rPr>
              <w:t>1.1 Revisa en aula los controles internos de un entorno de sistemas con narrativas, flujogramas y cuestionarios.</w:t>
            </w:r>
          </w:p>
        </w:tc>
        <w:tc>
          <w:tcPr>
            <w:tcW w:w="3137" w:type="dxa"/>
            <w:gridSpan w:val="4"/>
            <w:shd w:val="clear" w:color="auto" w:fill="D9E2F3"/>
            <w:vAlign w:val="center"/>
          </w:tcPr>
          <w:p w14:paraId="1BE3ECC0" w14:textId="77777777" w:rsidR="00990B14" w:rsidRDefault="00000000">
            <w:pPr>
              <w:spacing w:before="20" w:after="20"/>
              <w:jc w:val="both"/>
            </w:pPr>
            <w:r>
              <w:rPr>
                <w:b/>
                <w:bCs/>
                <w:sz w:val="18"/>
                <w:szCs w:val="18"/>
              </w:rPr>
              <w:t xml:space="preserve">Producto 9: </w:t>
            </w:r>
            <w:r>
              <w:rPr>
                <w:sz w:val="18"/>
                <w:szCs w:val="18"/>
              </w:rPr>
              <w:t>Narrativas, flujogramas y cuestionarios del levantamiento de controles del entorno de sistemas.</w:t>
            </w:r>
          </w:p>
        </w:tc>
      </w:tr>
      <w:tr w:rsidR="00990B14" w14:paraId="7E5062D3" w14:textId="77777777">
        <w:trPr>
          <w:cantSplit/>
          <w:jc w:val="center"/>
        </w:trPr>
        <w:tc>
          <w:tcPr>
            <w:tcW w:w="3133" w:type="dxa"/>
            <w:gridSpan w:val="4"/>
            <w:vMerge/>
            <w:shd w:val="clear" w:color="auto" w:fill="D9E2F3"/>
            <w:vAlign w:val="center"/>
          </w:tcPr>
          <w:p w14:paraId="621E6ECA" w14:textId="77777777" w:rsidR="00990B14" w:rsidRDefault="00990B14">
            <w:pPr>
              <w:spacing w:before="20" w:after="20"/>
            </w:pPr>
          </w:p>
        </w:tc>
        <w:tc>
          <w:tcPr>
            <w:tcW w:w="3135" w:type="dxa"/>
            <w:gridSpan w:val="5"/>
            <w:shd w:val="clear" w:color="auto" w:fill="D9E2F3"/>
            <w:vAlign w:val="center"/>
          </w:tcPr>
          <w:p w14:paraId="448D2BB3" w14:textId="77777777" w:rsidR="00990B14" w:rsidRDefault="00000000">
            <w:pPr>
              <w:spacing w:before="20" w:after="20"/>
              <w:jc w:val="both"/>
            </w:pPr>
            <w:r>
              <w:rPr>
                <w:sz w:val="18"/>
                <w:szCs w:val="18"/>
              </w:rPr>
              <w:t>1.2 Revisa en el laboratorio de cómputo los perfiles de acceso y la segregación de funciones del sistema evaluado.</w:t>
            </w:r>
          </w:p>
        </w:tc>
        <w:tc>
          <w:tcPr>
            <w:tcW w:w="3137" w:type="dxa"/>
            <w:gridSpan w:val="4"/>
            <w:shd w:val="clear" w:color="auto" w:fill="D9E2F3"/>
            <w:vAlign w:val="center"/>
          </w:tcPr>
          <w:p w14:paraId="76D25694" w14:textId="77777777" w:rsidR="00990B14" w:rsidRDefault="00000000">
            <w:pPr>
              <w:spacing w:before="20" w:after="20"/>
              <w:jc w:val="both"/>
            </w:pPr>
            <w:r>
              <w:rPr>
                <w:b/>
                <w:bCs/>
                <w:sz w:val="18"/>
                <w:szCs w:val="18"/>
              </w:rPr>
              <w:t xml:space="preserve">Producto 10: </w:t>
            </w:r>
            <w:r>
              <w:rPr>
                <w:sz w:val="18"/>
                <w:szCs w:val="18"/>
              </w:rPr>
              <w:t>Matriz de perfiles de acceso con las incompatibilidades de funciones detectadas.</w:t>
            </w:r>
          </w:p>
        </w:tc>
      </w:tr>
      <w:tr w:rsidR="00990B14" w14:paraId="1F5C331E" w14:textId="77777777">
        <w:trPr>
          <w:cantSplit/>
          <w:jc w:val="center"/>
        </w:trPr>
        <w:tc>
          <w:tcPr>
            <w:tcW w:w="3133" w:type="dxa"/>
            <w:gridSpan w:val="4"/>
            <w:vMerge w:val="restart"/>
            <w:shd w:val="clear" w:color="auto" w:fill="D9E2F3"/>
            <w:vAlign w:val="center"/>
          </w:tcPr>
          <w:p w14:paraId="6CEC2A9E" w14:textId="77777777" w:rsidR="00990B14" w:rsidRDefault="00000000">
            <w:pPr>
              <w:spacing w:before="20" w:after="20"/>
              <w:jc w:val="both"/>
            </w:pPr>
            <w:r>
              <w:rPr>
                <w:sz w:val="18"/>
                <w:szCs w:val="18"/>
              </w:rPr>
              <w:t>2. Determina el nivel evaluado del riesgo de control y diseña las pruebas de control de aplicaciones, ajustando las pruebas sustantivas planificadas.</w:t>
            </w:r>
          </w:p>
        </w:tc>
        <w:tc>
          <w:tcPr>
            <w:tcW w:w="3135" w:type="dxa"/>
            <w:gridSpan w:val="5"/>
            <w:shd w:val="clear" w:color="auto" w:fill="D9E2F3"/>
            <w:vAlign w:val="center"/>
          </w:tcPr>
          <w:p w14:paraId="3B2BD3E1" w14:textId="77777777" w:rsidR="00990B14" w:rsidRDefault="00000000">
            <w:pPr>
              <w:spacing w:before="20" w:after="20"/>
              <w:jc w:val="both"/>
            </w:pPr>
            <w:r>
              <w:rPr>
                <w:sz w:val="18"/>
                <w:szCs w:val="18"/>
              </w:rPr>
              <w:t>2.1 Diseña en equipo las pruebas de control de aplicaciones con técnicas de auditoría asistidas por computador.</w:t>
            </w:r>
          </w:p>
        </w:tc>
        <w:tc>
          <w:tcPr>
            <w:tcW w:w="3137" w:type="dxa"/>
            <w:gridSpan w:val="4"/>
            <w:shd w:val="clear" w:color="auto" w:fill="D9E2F3"/>
            <w:vAlign w:val="center"/>
          </w:tcPr>
          <w:p w14:paraId="1B6C288C" w14:textId="77777777" w:rsidR="00990B14" w:rsidRDefault="00000000">
            <w:pPr>
              <w:spacing w:before="20" w:after="20"/>
              <w:jc w:val="both"/>
            </w:pPr>
            <w:r>
              <w:rPr>
                <w:b/>
                <w:bCs/>
                <w:sz w:val="18"/>
                <w:szCs w:val="18"/>
              </w:rPr>
              <w:t xml:space="preserve">Producto 11: </w:t>
            </w:r>
            <w:r>
              <w:rPr>
                <w:sz w:val="18"/>
                <w:szCs w:val="18"/>
              </w:rPr>
              <w:t>Matriz de pruebas de control de aplicaciones con el nivel evaluado del riesgo de control.</w:t>
            </w:r>
          </w:p>
        </w:tc>
      </w:tr>
      <w:tr w:rsidR="00990B14" w14:paraId="3D35180B" w14:textId="77777777">
        <w:trPr>
          <w:cantSplit/>
          <w:jc w:val="center"/>
        </w:trPr>
        <w:tc>
          <w:tcPr>
            <w:tcW w:w="3133" w:type="dxa"/>
            <w:gridSpan w:val="4"/>
            <w:vMerge/>
            <w:shd w:val="clear" w:color="auto" w:fill="D9E2F3"/>
            <w:vAlign w:val="center"/>
          </w:tcPr>
          <w:p w14:paraId="2F21B87A" w14:textId="77777777" w:rsidR="00990B14" w:rsidRDefault="00990B14">
            <w:pPr>
              <w:spacing w:before="20" w:after="20"/>
            </w:pPr>
          </w:p>
        </w:tc>
        <w:tc>
          <w:tcPr>
            <w:tcW w:w="3135" w:type="dxa"/>
            <w:gridSpan w:val="5"/>
            <w:shd w:val="clear" w:color="auto" w:fill="D9E2F3"/>
            <w:vAlign w:val="center"/>
          </w:tcPr>
          <w:p w14:paraId="3BAEEB19" w14:textId="77777777" w:rsidR="00990B14" w:rsidRDefault="00000000">
            <w:pPr>
              <w:spacing w:before="20" w:after="20"/>
              <w:jc w:val="both"/>
            </w:pPr>
            <w:r>
              <w:rPr>
                <w:sz w:val="18"/>
                <w:szCs w:val="18"/>
              </w:rPr>
              <w:t>2.2 Evalúa en aula los controles de respaldo, continuidad y respuesta ante incidentes de ciberseguridad.</w:t>
            </w:r>
          </w:p>
        </w:tc>
        <w:tc>
          <w:tcPr>
            <w:tcW w:w="3137" w:type="dxa"/>
            <w:gridSpan w:val="4"/>
            <w:shd w:val="clear" w:color="auto" w:fill="D9E2F3"/>
            <w:vAlign w:val="center"/>
          </w:tcPr>
          <w:p w14:paraId="407E0290" w14:textId="77777777" w:rsidR="00990B14" w:rsidRDefault="00000000">
            <w:pPr>
              <w:spacing w:before="20" w:after="20"/>
              <w:jc w:val="both"/>
            </w:pPr>
            <w:r>
              <w:rPr>
                <w:b/>
                <w:bCs/>
                <w:sz w:val="18"/>
                <w:szCs w:val="18"/>
              </w:rPr>
              <w:t xml:space="preserve">Producto 12: </w:t>
            </w:r>
            <w:r>
              <w:rPr>
                <w:sz w:val="18"/>
                <w:szCs w:val="18"/>
              </w:rPr>
              <w:t>Informe de evaluación de los controles de respaldo y continuidad operativa.</w:t>
            </w:r>
          </w:p>
        </w:tc>
      </w:tr>
      <w:tr w:rsidR="00990B14" w14:paraId="3E2BF001" w14:textId="77777777">
        <w:trPr>
          <w:cantSplit/>
          <w:jc w:val="center"/>
        </w:trPr>
        <w:tc>
          <w:tcPr>
            <w:tcW w:w="9405" w:type="dxa"/>
            <w:gridSpan w:val="13"/>
            <w:shd w:val="clear" w:color="auto" w:fill="4472C4"/>
            <w:vAlign w:val="center"/>
          </w:tcPr>
          <w:p w14:paraId="38E82DA5" w14:textId="77777777" w:rsidR="00990B14" w:rsidRDefault="00000000">
            <w:pPr>
              <w:keepNext/>
              <w:spacing w:before="20" w:after="20"/>
              <w:jc w:val="center"/>
            </w:pPr>
            <w:r>
              <w:rPr>
                <w:b/>
                <w:bCs/>
                <w:i/>
                <w:iCs/>
                <w:color w:val="FFFFFF"/>
                <w:sz w:val="18"/>
                <w:szCs w:val="18"/>
              </w:rPr>
              <w:t>Evidencias de conocimiento</w:t>
            </w:r>
          </w:p>
        </w:tc>
      </w:tr>
      <w:tr w:rsidR="00990B14" w14:paraId="0F06474A" w14:textId="77777777">
        <w:trPr>
          <w:cantSplit/>
          <w:jc w:val="center"/>
        </w:trPr>
        <w:tc>
          <w:tcPr>
            <w:tcW w:w="2349" w:type="dxa"/>
            <w:gridSpan w:val="2"/>
            <w:shd w:val="clear" w:color="auto" w:fill="4472C4"/>
            <w:vAlign w:val="center"/>
          </w:tcPr>
          <w:p w14:paraId="36A320C5"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2B2CE735" w14:textId="77777777" w:rsidR="00990B14" w:rsidRDefault="00000000">
            <w:pPr>
              <w:keepNext/>
              <w:spacing w:before="20" w:after="20"/>
              <w:jc w:val="both"/>
            </w:pPr>
            <w:r>
              <w:rPr>
                <w:b/>
                <w:bCs/>
                <w:i/>
                <w:iCs/>
                <w:color w:val="FFFFFF"/>
                <w:sz w:val="18"/>
                <w:szCs w:val="18"/>
              </w:rPr>
              <w:t>Contenidos</w:t>
            </w:r>
          </w:p>
          <w:p w14:paraId="74AE9439"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687942D8" w14:textId="77777777" w:rsidR="00990B14" w:rsidRDefault="00000000">
            <w:pPr>
              <w:keepNext/>
              <w:spacing w:before="20" w:after="20"/>
              <w:jc w:val="center"/>
            </w:pPr>
            <w:r>
              <w:rPr>
                <w:b/>
                <w:bCs/>
                <w:i/>
                <w:iCs/>
                <w:color w:val="FFFFFF"/>
                <w:sz w:val="18"/>
                <w:szCs w:val="18"/>
              </w:rPr>
              <w:t>Conocimientos circunstanciales</w:t>
            </w:r>
          </w:p>
        </w:tc>
      </w:tr>
      <w:tr w:rsidR="00990B14" w14:paraId="7D88C0AD" w14:textId="77777777">
        <w:trPr>
          <w:jc w:val="center"/>
        </w:trPr>
        <w:tc>
          <w:tcPr>
            <w:tcW w:w="2349" w:type="dxa"/>
            <w:gridSpan w:val="2"/>
            <w:shd w:val="clear" w:color="auto" w:fill="D9E2F3"/>
          </w:tcPr>
          <w:p w14:paraId="7EE9AE28" w14:textId="77777777" w:rsidR="00990B14" w:rsidRDefault="00000000">
            <w:pPr>
              <w:spacing w:before="20" w:after="40"/>
              <w:jc w:val="both"/>
            </w:pPr>
            <w:r>
              <w:rPr>
                <w:sz w:val="18"/>
                <w:szCs w:val="18"/>
              </w:rPr>
              <w:t>Tema 11: El control interno en un entorno de sistemas</w:t>
            </w:r>
          </w:p>
          <w:p w14:paraId="65CB3149" w14:textId="77777777" w:rsidR="00990B14" w:rsidRDefault="00000000">
            <w:pPr>
              <w:spacing w:before="20" w:after="40"/>
              <w:jc w:val="both"/>
            </w:pPr>
            <w:r>
              <w:rPr>
                <w:sz w:val="18"/>
                <w:szCs w:val="18"/>
              </w:rPr>
              <w:t>Tema 12: Controles de aplicación y actividades de control</w:t>
            </w:r>
          </w:p>
          <w:p w14:paraId="3F2EA7FE" w14:textId="77777777" w:rsidR="00990B14" w:rsidRDefault="00000000">
            <w:pPr>
              <w:spacing w:before="20" w:after="40"/>
              <w:jc w:val="both"/>
            </w:pPr>
            <w:r>
              <w:rPr>
                <w:sz w:val="18"/>
                <w:szCs w:val="18"/>
              </w:rPr>
              <w:t>Tema 13: Consideraciones de control interno del contador público en un entorno tecnológico</w:t>
            </w:r>
          </w:p>
        </w:tc>
        <w:tc>
          <w:tcPr>
            <w:tcW w:w="4304" w:type="dxa"/>
            <w:gridSpan w:val="8"/>
            <w:shd w:val="clear" w:color="auto" w:fill="D9E2F3"/>
          </w:tcPr>
          <w:p w14:paraId="7BEF9961" w14:textId="77777777" w:rsidR="00990B14" w:rsidRDefault="00000000">
            <w:pPr>
              <w:spacing w:after="40"/>
              <w:jc w:val="both"/>
            </w:pPr>
            <w:r>
              <w:rPr>
                <w:sz w:val="18"/>
                <w:szCs w:val="18"/>
              </w:rPr>
              <w:t>Entendimiento del entorno y de los controles generales de tecnología de la información; enfoque de auditoría en sistemas. (C)</w:t>
            </w:r>
          </w:p>
          <w:p w14:paraId="31DC23D6" w14:textId="77777777" w:rsidR="00990B14" w:rsidRDefault="00000000">
            <w:pPr>
              <w:spacing w:after="40"/>
              <w:jc w:val="both"/>
            </w:pPr>
            <w:r>
              <w:rPr>
                <w:sz w:val="18"/>
                <w:szCs w:val="18"/>
              </w:rPr>
              <w:t>Controles generales sobre los accesos, los cambios a los programas y las operaciones de los sistemas. (C)</w:t>
            </w:r>
          </w:p>
          <w:p w14:paraId="65579D7C" w14:textId="77777777" w:rsidR="00990B14" w:rsidRDefault="00000000">
            <w:pPr>
              <w:spacing w:after="40"/>
              <w:jc w:val="both"/>
            </w:pPr>
            <w:r>
              <w:rPr>
                <w:sz w:val="18"/>
                <w:szCs w:val="18"/>
              </w:rPr>
              <w:t>El control interno en un entorno de sistemas y la evaluación de la estructura organizacional de los sistemas de información. (C, P)</w:t>
            </w:r>
          </w:p>
          <w:p w14:paraId="6D418898" w14:textId="77777777" w:rsidR="00990B14" w:rsidRDefault="00000000">
            <w:pPr>
              <w:spacing w:after="40"/>
              <w:jc w:val="both"/>
            </w:pPr>
            <w:r>
              <w:rPr>
                <w:sz w:val="18"/>
                <w:szCs w:val="18"/>
              </w:rPr>
              <w:t>Evaluación del establecimiento de políticas, normas y procedimientos relacionados con el hardware, el software y la funcionalidad del personal de sistemas. (C, P, T)</w:t>
            </w:r>
          </w:p>
          <w:p w14:paraId="0622144D" w14:textId="77777777" w:rsidR="00990B14" w:rsidRDefault="00000000">
            <w:pPr>
              <w:spacing w:after="40"/>
              <w:jc w:val="both"/>
            </w:pPr>
            <w:r>
              <w:rPr>
                <w:sz w:val="18"/>
                <w:szCs w:val="18"/>
              </w:rPr>
              <w:t>Levantamiento de la información de los controles internos en ambientes de sistemas con narrativas, diagramas, flujogramas y cuestionarios. (P)</w:t>
            </w:r>
          </w:p>
          <w:p w14:paraId="647182CC" w14:textId="77777777" w:rsidR="00990B14" w:rsidRDefault="00000000">
            <w:pPr>
              <w:spacing w:after="40"/>
              <w:jc w:val="both"/>
            </w:pPr>
            <w:r>
              <w:rPr>
                <w:sz w:val="18"/>
                <w:szCs w:val="18"/>
              </w:rPr>
              <w:t>Definición y tipos de control. (C)</w:t>
            </w:r>
          </w:p>
          <w:p w14:paraId="71B3A81E" w14:textId="77777777" w:rsidR="00990B14" w:rsidRDefault="00000000">
            <w:pPr>
              <w:spacing w:after="40"/>
              <w:jc w:val="both"/>
            </w:pPr>
            <w:r>
              <w:rPr>
                <w:sz w:val="18"/>
                <w:szCs w:val="18"/>
              </w:rPr>
              <w:t>Actividades de control general: desarrollo o adaptación de nuevos programas y sistemas y cambio de los programas y sistemas existentes. (C)</w:t>
            </w:r>
          </w:p>
          <w:p w14:paraId="14458934" w14:textId="77777777" w:rsidR="00990B14" w:rsidRDefault="00000000">
            <w:pPr>
              <w:spacing w:after="40"/>
              <w:jc w:val="both"/>
            </w:pPr>
            <w:r>
              <w:rPr>
                <w:sz w:val="18"/>
                <w:szCs w:val="18"/>
              </w:rPr>
              <w:t>Acceso a programas e información y operaciones del computador; actividades de control y de aplicación. (P)</w:t>
            </w:r>
          </w:p>
          <w:p w14:paraId="4AAD3E92" w14:textId="77777777" w:rsidR="00990B14" w:rsidRDefault="00000000">
            <w:pPr>
              <w:spacing w:after="40"/>
              <w:jc w:val="both"/>
            </w:pPr>
            <w:r>
              <w:rPr>
                <w:sz w:val="18"/>
                <w:szCs w:val="18"/>
              </w:rPr>
              <w:t>Segregación de funciones en los perfiles de acceso y revisión periódica de los usuarios habilitados. (C)</w:t>
            </w:r>
          </w:p>
          <w:p w14:paraId="73464718" w14:textId="77777777" w:rsidR="00990B14" w:rsidRDefault="00000000">
            <w:pPr>
              <w:spacing w:after="40"/>
              <w:jc w:val="both"/>
            </w:pPr>
            <w:r>
              <w:rPr>
                <w:sz w:val="18"/>
                <w:szCs w:val="18"/>
              </w:rPr>
              <w:t>Evaluación del riesgo de control: nivel evaluado y planificado del riesgo de control. (P)</w:t>
            </w:r>
          </w:p>
          <w:p w14:paraId="6A225EAD" w14:textId="77777777" w:rsidR="00990B14" w:rsidRDefault="00000000">
            <w:pPr>
              <w:spacing w:after="40"/>
              <w:jc w:val="both"/>
            </w:pPr>
            <w:r>
              <w:rPr>
                <w:sz w:val="18"/>
                <w:szCs w:val="18"/>
              </w:rPr>
              <w:t>Diseño y realización de pruebas de control, ajuste de las pruebas sustantivas planificadas y documentación del nivel evaluado del riesgo de control. (P)</w:t>
            </w:r>
          </w:p>
          <w:p w14:paraId="4396EF89" w14:textId="77777777" w:rsidR="00990B14" w:rsidRDefault="00000000">
            <w:pPr>
              <w:spacing w:after="40"/>
              <w:jc w:val="both"/>
            </w:pPr>
            <w:r>
              <w:rPr>
                <w:sz w:val="18"/>
                <w:szCs w:val="18"/>
              </w:rPr>
              <w:t>Procedimientos para probar las actividades de control de aplicaciones con técnicas de auditoría asistidas por computador: información de pruebas, ambiente de prueba integrado, programas controlados y análisis de programas. (P, T)</w:t>
            </w:r>
          </w:p>
          <w:p w14:paraId="107028B3" w14:textId="77777777" w:rsidR="00990B14" w:rsidRDefault="00000000">
            <w:pPr>
              <w:spacing w:after="40"/>
              <w:jc w:val="both"/>
            </w:pPr>
            <w:r>
              <w:rPr>
                <w:sz w:val="18"/>
                <w:szCs w:val="18"/>
              </w:rPr>
              <w:t>Programas de muestras de auditoría; comparación de información de archivos separados y de los resultados de auditoría con los registros del cliente. (P)</w:t>
            </w:r>
          </w:p>
          <w:p w14:paraId="39D60AE8" w14:textId="77777777" w:rsidR="00990B14" w:rsidRDefault="00000000">
            <w:pPr>
              <w:spacing w:after="40"/>
              <w:jc w:val="both"/>
            </w:pPr>
            <w:r>
              <w:rPr>
                <w:sz w:val="18"/>
                <w:szCs w:val="18"/>
              </w:rPr>
              <w:t>Evaluación de la globalización en las operaciones de negocio. (P)</w:t>
            </w:r>
          </w:p>
          <w:p w14:paraId="636D42BE" w14:textId="77777777" w:rsidR="00990B14" w:rsidRDefault="00000000">
            <w:pPr>
              <w:spacing w:after="40"/>
              <w:jc w:val="both"/>
            </w:pPr>
            <w:r>
              <w:rPr>
                <w:sz w:val="18"/>
                <w:szCs w:val="18"/>
              </w:rPr>
              <w:t>Controles sobre los servicios tecnológicos contratados con terceros y con proveedores de servicios en la nube. (C)</w:t>
            </w:r>
          </w:p>
          <w:p w14:paraId="71A65268" w14:textId="77777777" w:rsidR="00990B14" w:rsidRDefault="00000000">
            <w:pPr>
              <w:spacing w:after="40"/>
              <w:jc w:val="both"/>
            </w:pPr>
            <w:r>
              <w:rPr>
                <w:sz w:val="18"/>
                <w:szCs w:val="18"/>
              </w:rPr>
              <w:t>Diseño de medidas de control de acceso lógico y establecimiento del rastro de las operaciones. (P)</w:t>
            </w:r>
          </w:p>
          <w:p w14:paraId="14B44264" w14:textId="77777777" w:rsidR="00990B14" w:rsidRDefault="00000000">
            <w:pPr>
              <w:spacing w:after="40"/>
              <w:jc w:val="both"/>
            </w:pPr>
            <w:r>
              <w:rPr>
                <w:sz w:val="18"/>
                <w:szCs w:val="18"/>
              </w:rPr>
              <w:t>Gestión de incidentes de ciberseguridad, respaldo de la información y planes de continuidad y recuperación. (C)</w:t>
            </w:r>
          </w:p>
          <w:p w14:paraId="6263AB4D" w14:textId="77777777" w:rsidR="00990B14" w:rsidRDefault="00000000">
            <w:pPr>
              <w:spacing w:after="40"/>
              <w:jc w:val="both"/>
            </w:pPr>
            <w:r>
              <w:rPr>
                <w:sz w:val="18"/>
                <w:szCs w:val="18"/>
              </w:rPr>
              <w:t>Software de auditoría generalizado y procedimientos para probar las actividades de control del usuario. (P, T)</w:t>
            </w:r>
          </w:p>
        </w:tc>
        <w:tc>
          <w:tcPr>
            <w:tcW w:w="2752" w:type="dxa"/>
            <w:gridSpan w:val="3"/>
            <w:shd w:val="clear" w:color="auto" w:fill="D9E2F3"/>
          </w:tcPr>
          <w:p w14:paraId="24AF92EC" w14:textId="77777777" w:rsidR="00990B14" w:rsidRDefault="00000000">
            <w:pPr>
              <w:numPr>
                <w:ilvl w:val="0"/>
                <w:numId w:val="139"/>
              </w:numPr>
              <w:spacing w:before="10" w:after="10"/>
              <w:jc w:val="both"/>
            </w:pPr>
            <w:r>
              <w:rPr>
                <w:sz w:val="18"/>
                <w:szCs w:val="18"/>
              </w:rPr>
              <w:t>Fundamentos de redes de datos y de protocolos de comunicación.</w:t>
            </w:r>
          </w:p>
          <w:p w14:paraId="7EA43B6D" w14:textId="77777777" w:rsidR="00990B14" w:rsidRDefault="00000000">
            <w:pPr>
              <w:numPr>
                <w:ilvl w:val="0"/>
                <w:numId w:val="139"/>
              </w:numPr>
              <w:spacing w:before="10" w:after="10"/>
              <w:jc w:val="both"/>
            </w:pPr>
            <w:r>
              <w:rPr>
                <w:sz w:val="18"/>
                <w:szCs w:val="18"/>
              </w:rPr>
              <w:t>Nociones de criptografía y de gestión de contraseñas.</w:t>
            </w:r>
          </w:p>
        </w:tc>
      </w:tr>
      <w:tr w:rsidR="00990B14" w14:paraId="0454AAEC" w14:textId="77777777">
        <w:trPr>
          <w:cantSplit/>
          <w:jc w:val="center"/>
        </w:trPr>
        <w:tc>
          <w:tcPr>
            <w:tcW w:w="9405" w:type="dxa"/>
            <w:gridSpan w:val="13"/>
            <w:shd w:val="clear" w:color="auto" w:fill="D9E2F3"/>
            <w:vAlign w:val="center"/>
          </w:tcPr>
          <w:p w14:paraId="0254A543" w14:textId="77777777" w:rsidR="00990B14" w:rsidRDefault="00000000">
            <w:pPr>
              <w:spacing w:before="20" w:after="20"/>
              <w:jc w:val="both"/>
            </w:pPr>
            <w:r>
              <w:rPr>
                <w:b/>
                <w:bCs/>
                <w:i/>
                <w:iCs/>
                <w:sz w:val="18"/>
                <w:szCs w:val="18"/>
              </w:rPr>
              <w:t xml:space="preserve">Elemento de competencia 4: </w:t>
            </w:r>
            <w:r>
              <w:rPr>
                <w:sz w:val="18"/>
                <w:szCs w:val="18"/>
              </w:rPr>
              <w:t>Elabora el informe de evaluación de un sistema de información contable, aplicando las técnicas de auditoría asistidas por computador en las pruebas sustantivas de transacciones y saldos, considerando un Informe preliminar y un Informe Final.</w:t>
            </w:r>
          </w:p>
        </w:tc>
      </w:tr>
      <w:tr w:rsidR="00990B14" w14:paraId="6E687A62" w14:textId="77777777">
        <w:trPr>
          <w:cantSplit/>
          <w:jc w:val="center"/>
        </w:trPr>
        <w:tc>
          <w:tcPr>
            <w:tcW w:w="3133" w:type="dxa"/>
            <w:gridSpan w:val="4"/>
            <w:shd w:val="clear" w:color="auto" w:fill="4472C4"/>
            <w:vAlign w:val="center"/>
          </w:tcPr>
          <w:p w14:paraId="3F2DE053"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5E03B0A6"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4E9CBF6C" w14:textId="77777777" w:rsidR="00990B14" w:rsidRDefault="00000000">
            <w:pPr>
              <w:keepNext/>
              <w:spacing w:before="20" w:after="20"/>
              <w:jc w:val="center"/>
            </w:pPr>
            <w:r>
              <w:rPr>
                <w:b/>
                <w:bCs/>
                <w:i/>
                <w:iCs/>
                <w:color w:val="FFFFFF"/>
                <w:sz w:val="18"/>
                <w:szCs w:val="18"/>
              </w:rPr>
              <w:t>Evidencias de producto</w:t>
            </w:r>
          </w:p>
        </w:tc>
      </w:tr>
      <w:tr w:rsidR="00990B14" w14:paraId="7B374893" w14:textId="77777777">
        <w:trPr>
          <w:cantSplit/>
          <w:jc w:val="center"/>
        </w:trPr>
        <w:tc>
          <w:tcPr>
            <w:tcW w:w="3133" w:type="dxa"/>
            <w:gridSpan w:val="4"/>
            <w:vMerge w:val="restart"/>
            <w:shd w:val="clear" w:color="auto" w:fill="D9E2F3"/>
            <w:vAlign w:val="center"/>
          </w:tcPr>
          <w:p w14:paraId="392BEDE0" w14:textId="77777777" w:rsidR="00990B14" w:rsidRDefault="00000000">
            <w:pPr>
              <w:spacing w:before="20" w:after="20"/>
              <w:jc w:val="both"/>
            </w:pPr>
            <w:r>
              <w:rPr>
                <w:sz w:val="18"/>
                <w:szCs w:val="18"/>
              </w:rPr>
              <w:t>1. Aplica las técnicas de auditoría asistidas por computador en las pruebas sustantivas de transacciones y saldos, verificando el origen y la integridad de los datos.</w:t>
            </w:r>
          </w:p>
        </w:tc>
        <w:tc>
          <w:tcPr>
            <w:tcW w:w="3135" w:type="dxa"/>
            <w:gridSpan w:val="5"/>
            <w:shd w:val="clear" w:color="auto" w:fill="D9E2F3"/>
            <w:vAlign w:val="center"/>
          </w:tcPr>
          <w:p w14:paraId="65516FFB" w14:textId="77777777" w:rsidR="00990B14" w:rsidRDefault="00000000">
            <w:pPr>
              <w:spacing w:before="20" w:after="20"/>
              <w:jc w:val="both"/>
            </w:pPr>
            <w:r>
              <w:rPr>
                <w:sz w:val="18"/>
                <w:szCs w:val="18"/>
              </w:rPr>
              <w:t>1.1 Aplica en el laboratorio de cómputo una herramienta TAAC a la extracción de datos y al recálculo de saldos.</w:t>
            </w:r>
          </w:p>
        </w:tc>
        <w:tc>
          <w:tcPr>
            <w:tcW w:w="3137" w:type="dxa"/>
            <w:gridSpan w:val="4"/>
            <w:shd w:val="clear" w:color="auto" w:fill="D9E2F3"/>
            <w:vAlign w:val="center"/>
          </w:tcPr>
          <w:p w14:paraId="0041E693" w14:textId="77777777" w:rsidR="00990B14" w:rsidRDefault="00000000">
            <w:pPr>
              <w:spacing w:before="20" w:after="20"/>
              <w:jc w:val="both"/>
            </w:pPr>
            <w:r>
              <w:rPr>
                <w:b/>
                <w:bCs/>
                <w:sz w:val="18"/>
                <w:szCs w:val="18"/>
              </w:rPr>
              <w:t xml:space="preserve">Producto 13: </w:t>
            </w:r>
            <w:r>
              <w:rPr>
                <w:sz w:val="18"/>
                <w:szCs w:val="18"/>
              </w:rPr>
              <w:t>Papeles de trabajo de las pruebas de detalle obtenidas con herramientas TAAC.</w:t>
            </w:r>
          </w:p>
        </w:tc>
      </w:tr>
      <w:tr w:rsidR="00990B14" w14:paraId="35B562EC" w14:textId="77777777">
        <w:trPr>
          <w:cantSplit/>
          <w:jc w:val="center"/>
        </w:trPr>
        <w:tc>
          <w:tcPr>
            <w:tcW w:w="3133" w:type="dxa"/>
            <w:gridSpan w:val="4"/>
            <w:vMerge/>
            <w:shd w:val="clear" w:color="auto" w:fill="D9E2F3"/>
            <w:vAlign w:val="center"/>
          </w:tcPr>
          <w:p w14:paraId="12E831EF" w14:textId="77777777" w:rsidR="00990B14" w:rsidRDefault="00990B14">
            <w:pPr>
              <w:spacing w:before="20" w:after="20"/>
            </w:pPr>
          </w:p>
        </w:tc>
        <w:tc>
          <w:tcPr>
            <w:tcW w:w="3135" w:type="dxa"/>
            <w:gridSpan w:val="5"/>
            <w:shd w:val="clear" w:color="auto" w:fill="D9E2F3"/>
            <w:vAlign w:val="center"/>
          </w:tcPr>
          <w:p w14:paraId="70D0495B" w14:textId="77777777" w:rsidR="00990B14" w:rsidRDefault="00000000">
            <w:pPr>
              <w:spacing w:before="20" w:after="20"/>
              <w:jc w:val="both"/>
            </w:pPr>
            <w:r>
              <w:rPr>
                <w:sz w:val="18"/>
                <w:szCs w:val="18"/>
              </w:rPr>
              <w:t>1.2 Compara en equipo información de archivos separados con los registros de la entidad.</w:t>
            </w:r>
          </w:p>
        </w:tc>
        <w:tc>
          <w:tcPr>
            <w:tcW w:w="3137" w:type="dxa"/>
            <w:gridSpan w:val="4"/>
            <w:shd w:val="clear" w:color="auto" w:fill="D9E2F3"/>
            <w:vAlign w:val="center"/>
          </w:tcPr>
          <w:p w14:paraId="019B165B" w14:textId="77777777" w:rsidR="00990B14" w:rsidRDefault="00000000">
            <w:pPr>
              <w:spacing w:before="20" w:after="20"/>
              <w:jc w:val="both"/>
            </w:pPr>
            <w:r>
              <w:rPr>
                <w:b/>
                <w:bCs/>
                <w:sz w:val="18"/>
                <w:szCs w:val="18"/>
              </w:rPr>
              <w:t xml:space="preserve">Producto 14: </w:t>
            </w:r>
            <w:r>
              <w:rPr>
                <w:sz w:val="18"/>
                <w:szCs w:val="18"/>
              </w:rPr>
              <w:t>Reporte de comparación de archivos separados con los registros de la entidad.</w:t>
            </w:r>
          </w:p>
        </w:tc>
      </w:tr>
      <w:tr w:rsidR="00990B14" w14:paraId="7CB841A9" w14:textId="77777777">
        <w:trPr>
          <w:cantSplit/>
          <w:jc w:val="center"/>
        </w:trPr>
        <w:tc>
          <w:tcPr>
            <w:tcW w:w="3133" w:type="dxa"/>
            <w:gridSpan w:val="4"/>
            <w:vMerge w:val="restart"/>
            <w:shd w:val="clear" w:color="auto" w:fill="D9E2F3"/>
            <w:vAlign w:val="center"/>
          </w:tcPr>
          <w:p w14:paraId="0AA0C49E" w14:textId="77777777" w:rsidR="00990B14" w:rsidRDefault="00000000">
            <w:pPr>
              <w:spacing w:before="20" w:after="20"/>
              <w:jc w:val="both"/>
            </w:pPr>
            <w:r>
              <w:rPr>
                <w:sz w:val="18"/>
                <w:szCs w:val="18"/>
              </w:rPr>
              <w:t>2. Elabora el informe de evaluación de un sistema de información contable, sustentando sus hallazgos en el análisis de datos de poblaciones completas.</w:t>
            </w:r>
          </w:p>
        </w:tc>
        <w:tc>
          <w:tcPr>
            <w:tcW w:w="3135" w:type="dxa"/>
            <w:gridSpan w:val="5"/>
            <w:shd w:val="clear" w:color="auto" w:fill="D9E2F3"/>
            <w:vAlign w:val="center"/>
          </w:tcPr>
          <w:p w14:paraId="54A387E9" w14:textId="77777777" w:rsidR="00990B14" w:rsidRDefault="00000000">
            <w:pPr>
              <w:spacing w:before="20" w:after="20"/>
              <w:jc w:val="both"/>
            </w:pPr>
            <w:r>
              <w:rPr>
                <w:sz w:val="18"/>
                <w:szCs w:val="18"/>
              </w:rPr>
              <w:t>2.1 Analiza en el laboratorio de cómputo la totalidad de las transacciones y visualiza las excepciones.</w:t>
            </w:r>
          </w:p>
        </w:tc>
        <w:tc>
          <w:tcPr>
            <w:tcW w:w="3137" w:type="dxa"/>
            <w:gridSpan w:val="4"/>
            <w:shd w:val="clear" w:color="auto" w:fill="D9E2F3"/>
            <w:vAlign w:val="center"/>
          </w:tcPr>
          <w:p w14:paraId="20A1DD6C" w14:textId="77777777" w:rsidR="00990B14" w:rsidRDefault="00000000">
            <w:pPr>
              <w:spacing w:before="20" w:after="20"/>
              <w:jc w:val="both"/>
            </w:pPr>
            <w:r>
              <w:rPr>
                <w:b/>
                <w:bCs/>
                <w:sz w:val="18"/>
                <w:szCs w:val="18"/>
              </w:rPr>
              <w:t xml:space="preserve">Producto 15: </w:t>
            </w:r>
            <w:r>
              <w:rPr>
                <w:sz w:val="18"/>
                <w:szCs w:val="18"/>
              </w:rPr>
              <w:t>Tablero de visualización de excepciones de la población analizada.</w:t>
            </w:r>
          </w:p>
        </w:tc>
      </w:tr>
      <w:tr w:rsidR="00990B14" w14:paraId="7263214A" w14:textId="77777777">
        <w:trPr>
          <w:cantSplit/>
          <w:jc w:val="center"/>
        </w:trPr>
        <w:tc>
          <w:tcPr>
            <w:tcW w:w="3133" w:type="dxa"/>
            <w:gridSpan w:val="4"/>
            <w:vMerge/>
            <w:shd w:val="clear" w:color="auto" w:fill="D9E2F3"/>
            <w:vAlign w:val="center"/>
          </w:tcPr>
          <w:p w14:paraId="43BBF0E6" w14:textId="77777777" w:rsidR="00990B14" w:rsidRDefault="00990B14">
            <w:pPr>
              <w:spacing w:before="20" w:after="20"/>
            </w:pPr>
          </w:p>
        </w:tc>
        <w:tc>
          <w:tcPr>
            <w:tcW w:w="3135" w:type="dxa"/>
            <w:gridSpan w:val="5"/>
            <w:shd w:val="clear" w:color="auto" w:fill="D9E2F3"/>
            <w:vAlign w:val="center"/>
          </w:tcPr>
          <w:p w14:paraId="1C156ED0" w14:textId="77777777" w:rsidR="00990B14" w:rsidRDefault="00000000">
            <w:pPr>
              <w:spacing w:before="20" w:after="20"/>
              <w:jc w:val="both"/>
            </w:pPr>
            <w:r>
              <w:rPr>
                <w:sz w:val="18"/>
                <w:szCs w:val="18"/>
              </w:rPr>
              <w:t>2.2 Presenta ante el curso el informe de evaluación del sistema de información contable.</w:t>
            </w:r>
          </w:p>
        </w:tc>
        <w:tc>
          <w:tcPr>
            <w:tcW w:w="3137" w:type="dxa"/>
            <w:gridSpan w:val="4"/>
            <w:shd w:val="clear" w:color="auto" w:fill="D9E2F3"/>
            <w:vAlign w:val="center"/>
          </w:tcPr>
          <w:p w14:paraId="7D48F16F" w14:textId="77777777" w:rsidR="00990B14" w:rsidRDefault="00000000">
            <w:pPr>
              <w:spacing w:before="20" w:after="20"/>
              <w:jc w:val="both"/>
            </w:pPr>
            <w:r>
              <w:rPr>
                <w:b/>
                <w:bCs/>
                <w:sz w:val="18"/>
                <w:szCs w:val="18"/>
              </w:rPr>
              <w:t xml:space="preserve">Producto 16: </w:t>
            </w:r>
            <w:r>
              <w:rPr>
                <w:sz w:val="18"/>
                <w:szCs w:val="18"/>
              </w:rPr>
              <w:t>Informe de evaluación del sistema de información contable con sus hallazgos y recomendaciones.</w:t>
            </w:r>
          </w:p>
        </w:tc>
      </w:tr>
      <w:tr w:rsidR="00990B14" w14:paraId="2044D197" w14:textId="77777777">
        <w:trPr>
          <w:cantSplit/>
          <w:jc w:val="center"/>
        </w:trPr>
        <w:tc>
          <w:tcPr>
            <w:tcW w:w="9405" w:type="dxa"/>
            <w:gridSpan w:val="13"/>
            <w:shd w:val="clear" w:color="auto" w:fill="4472C4"/>
            <w:vAlign w:val="center"/>
          </w:tcPr>
          <w:p w14:paraId="6000F85C" w14:textId="77777777" w:rsidR="00990B14" w:rsidRDefault="00000000">
            <w:pPr>
              <w:keepNext/>
              <w:spacing w:before="20" w:after="20"/>
              <w:jc w:val="center"/>
            </w:pPr>
            <w:r>
              <w:rPr>
                <w:b/>
                <w:bCs/>
                <w:i/>
                <w:iCs/>
                <w:color w:val="FFFFFF"/>
                <w:sz w:val="18"/>
                <w:szCs w:val="18"/>
              </w:rPr>
              <w:t>Evidencias de conocimiento</w:t>
            </w:r>
          </w:p>
        </w:tc>
      </w:tr>
      <w:tr w:rsidR="00990B14" w14:paraId="4816683A" w14:textId="77777777">
        <w:trPr>
          <w:cantSplit/>
          <w:jc w:val="center"/>
        </w:trPr>
        <w:tc>
          <w:tcPr>
            <w:tcW w:w="2349" w:type="dxa"/>
            <w:gridSpan w:val="2"/>
            <w:shd w:val="clear" w:color="auto" w:fill="4472C4"/>
            <w:vAlign w:val="center"/>
          </w:tcPr>
          <w:p w14:paraId="0B29647A"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4E004EE5" w14:textId="77777777" w:rsidR="00990B14" w:rsidRDefault="00000000">
            <w:pPr>
              <w:keepNext/>
              <w:spacing w:before="20" w:after="20"/>
              <w:jc w:val="both"/>
            </w:pPr>
            <w:r>
              <w:rPr>
                <w:b/>
                <w:bCs/>
                <w:i/>
                <w:iCs/>
                <w:color w:val="FFFFFF"/>
                <w:sz w:val="18"/>
                <w:szCs w:val="18"/>
              </w:rPr>
              <w:t>Contenidos</w:t>
            </w:r>
          </w:p>
          <w:p w14:paraId="7CDF9854"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28E3D95C" w14:textId="77777777" w:rsidR="00990B14" w:rsidRDefault="00000000">
            <w:pPr>
              <w:keepNext/>
              <w:spacing w:before="20" w:after="20"/>
              <w:jc w:val="center"/>
            </w:pPr>
            <w:r>
              <w:rPr>
                <w:b/>
                <w:bCs/>
                <w:i/>
                <w:iCs/>
                <w:color w:val="FFFFFF"/>
                <w:sz w:val="18"/>
                <w:szCs w:val="18"/>
              </w:rPr>
              <w:t>Conocimientos circunstanciales</w:t>
            </w:r>
          </w:p>
        </w:tc>
      </w:tr>
      <w:tr w:rsidR="00990B14" w14:paraId="40AD8B18" w14:textId="77777777">
        <w:trPr>
          <w:jc w:val="center"/>
        </w:trPr>
        <w:tc>
          <w:tcPr>
            <w:tcW w:w="2349" w:type="dxa"/>
            <w:gridSpan w:val="2"/>
            <w:shd w:val="clear" w:color="auto" w:fill="D9E2F3"/>
          </w:tcPr>
          <w:p w14:paraId="1EA94FB1" w14:textId="77777777" w:rsidR="00990B14" w:rsidRDefault="00000000">
            <w:pPr>
              <w:spacing w:before="20" w:after="40"/>
              <w:jc w:val="both"/>
            </w:pPr>
            <w:r>
              <w:rPr>
                <w:sz w:val="18"/>
                <w:szCs w:val="18"/>
              </w:rPr>
              <w:t>Tema 14: Evaluación de sistemas</w:t>
            </w:r>
          </w:p>
          <w:p w14:paraId="6062EBE0" w14:textId="77777777" w:rsidR="00990B14" w:rsidRDefault="00000000">
            <w:pPr>
              <w:spacing w:before="20" w:after="40"/>
              <w:jc w:val="both"/>
            </w:pPr>
            <w:r>
              <w:rPr>
                <w:sz w:val="18"/>
                <w:szCs w:val="18"/>
              </w:rPr>
              <w:t>Tema 15: Herramientas TAAC</w:t>
            </w:r>
          </w:p>
          <w:p w14:paraId="4DFFE184" w14:textId="77777777" w:rsidR="00990B14" w:rsidRDefault="00000000">
            <w:pPr>
              <w:spacing w:before="20" w:after="40"/>
              <w:jc w:val="both"/>
            </w:pPr>
            <w:r>
              <w:rPr>
                <w:sz w:val="18"/>
                <w:szCs w:val="18"/>
              </w:rPr>
              <w:t>Tema 16: Pruebas sustantivas de sistemas y el impacto de la globalización en la evidencia de auditoría</w:t>
            </w:r>
          </w:p>
        </w:tc>
        <w:tc>
          <w:tcPr>
            <w:tcW w:w="4304" w:type="dxa"/>
            <w:gridSpan w:val="8"/>
            <w:shd w:val="clear" w:color="auto" w:fill="D9E2F3"/>
          </w:tcPr>
          <w:p w14:paraId="6C7B696E" w14:textId="77777777" w:rsidR="00990B14" w:rsidRDefault="00000000">
            <w:pPr>
              <w:spacing w:after="40"/>
              <w:jc w:val="both"/>
            </w:pPr>
            <w:r>
              <w:rPr>
                <w:sz w:val="18"/>
                <w:szCs w:val="18"/>
              </w:rPr>
              <w:t>Evaluación de sistemas: concepto, antecedentes, importancia, objetivos, tipos y etapas. (C, P)</w:t>
            </w:r>
          </w:p>
          <w:p w14:paraId="5588910D" w14:textId="77777777" w:rsidR="00990B14" w:rsidRDefault="00000000">
            <w:pPr>
              <w:spacing w:after="40"/>
              <w:jc w:val="both"/>
            </w:pPr>
            <w:r>
              <w:rPr>
                <w:sz w:val="18"/>
                <w:szCs w:val="18"/>
              </w:rPr>
              <w:t>La evaluación de la automatización de procesos y la evaluación de sistemas computacionales. (P, T)</w:t>
            </w:r>
          </w:p>
          <w:p w14:paraId="733195BB" w14:textId="77777777" w:rsidR="00990B14" w:rsidRDefault="00000000">
            <w:pPr>
              <w:spacing w:after="40"/>
              <w:jc w:val="both"/>
            </w:pPr>
            <w:r>
              <w:rPr>
                <w:sz w:val="18"/>
                <w:szCs w:val="18"/>
              </w:rPr>
              <w:t>Auditoría de sistemas de información y auditoría de sistemas de información contable; el rol del contador público en la auditoría de sistemas. (C)</w:t>
            </w:r>
          </w:p>
          <w:p w14:paraId="504A2A5B" w14:textId="77777777" w:rsidR="00990B14" w:rsidRDefault="00000000">
            <w:pPr>
              <w:spacing w:after="40"/>
              <w:jc w:val="both"/>
            </w:pPr>
            <w:r>
              <w:rPr>
                <w:sz w:val="18"/>
                <w:szCs w:val="18"/>
              </w:rPr>
              <w:t>Conceptos, importancia, ventajas y desventajas de las herramientas TAAC. (C)</w:t>
            </w:r>
          </w:p>
          <w:p w14:paraId="4847D5FA" w14:textId="77777777" w:rsidR="00990B14" w:rsidRDefault="00000000">
            <w:pPr>
              <w:spacing w:after="40"/>
              <w:jc w:val="both"/>
            </w:pPr>
            <w:r>
              <w:rPr>
                <w:sz w:val="18"/>
                <w:szCs w:val="18"/>
              </w:rPr>
              <w:t>Evolución de las técnicas de auditoría asistidas por computador hacia el análisis de datos y la automatización de procedimientos. (C, P, T)</w:t>
            </w:r>
          </w:p>
          <w:p w14:paraId="06E8A766" w14:textId="77777777" w:rsidR="00990B14" w:rsidRDefault="00000000">
            <w:pPr>
              <w:spacing w:after="40"/>
              <w:jc w:val="both"/>
            </w:pPr>
            <w:r>
              <w:rPr>
                <w:sz w:val="18"/>
                <w:szCs w:val="18"/>
              </w:rPr>
              <w:t>Planificación y utilización de las TAAC: pruebas de detalle de transacciones y saldos, pruebas completas, procedimientos analíticos y pruebas de controles generales. (P)</w:t>
            </w:r>
          </w:p>
          <w:p w14:paraId="266AA3C9" w14:textId="77777777" w:rsidR="00990B14" w:rsidRDefault="00000000">
            <w:pPr>
              <w:spacing w:after="40"/>
              <w:jc w:val="both"/>
            </w:pPr>
            <w:r>
              <w:rPr>
                <w:sz w:val="18"/>
                <w:szCs w:val="18"/>
              </w:rPr>
              <w:t>Muestreo de programas para extraer datos y rehacer cálculos; paquetes de auditoría y aplicaciones prácticas. (P)</w:t>
            </w:r>
          </w:p>
          <w:p w14:paraId="641A248B" w14:textId="77777777" w:rsidR="00990B14" w:rsidRDefault="00000000">
            <w:pPr>
              <w:spacing w:after="40"/>
              <w:jc w:val="both"/>
            </w:pPr>
            <w:r>
              <w:rPr>
                <w:sz w:val="18"/>
                <w:szCs w:val="18"/>
              </w:rPr>
              <w:t>Verificación del origen y de la integridad de los datos obtenidos y documentación de su tratamiento. (P, A)</w:t>
            </w:r>
          </w:p>
          <w:p w14:paraId="59F8D01F" w14:textId="77777777" w:rsidR="00990B14" w:rsidRDefault="00000000">
            <w:pPr>
              <w:spacing w:after="40"/>
              <w:jc w:val="both"/>
            </w:pPr>
            <w:r>
              <w:rPr>
                <w:sz w:val="18"/>
                <w:szCs w:val="18"/>
              </w:rPr>
              <w:t>Pruebas sustantivas: definición y utilización de las TAAC o del software de auditoría en el examen de registros. (C, P, T)</w:t>
            </w:r>
          </w:p>
          <w:p w14:paraId="3955171E" w14:textId="77777777" w:rsidR="00990B14" w:rsidRDefault="00000000">
            <w:pPr>
              <w:spacing w:after="40"/>
              <w:jc w:val="both"/>
            </w:pPr>
            <w:r>
              <w:rPr>
                <w:sz w:val="18"/>
                <w:szCs w:val="18"/>
              </w:rPr>
              <w:t>Reordenamiento de la información, realización de análisis y selección de muestras de auditoría. (C)</w:t>
            </w:r>
          </w:p>
          <w:p w14:paraId="1064BC48" w14:textId="77777777" w:rsidR="00990B14" w:rsidRDefault="00000000">
            <w:pPr>
              <w:spacing w:after="40"/>
              <w:jc w:val="both"/>
            </w:pPr>
            <w:r>
              <w:rPr>
                <w:sz w:val="18"/>
                <w:szCs w:val="18"/>
              </w:rPr>
              <w:t>Comparación de información de archivos separados y de los resultados con los datos registrados. (C)</w:t>
            </w:r>
          </w:p>
          <w:p w14:paraId="0397DC98" w14:textId="77777777" w:rsidR="00990B14" w:rsidRDefault="00000000">
            <w:pPr>
              <w:spacing w:after="40"/>
              <w:jc w:val="both"/>
            </w:pPr>
            <w:r>
              <w:rPr>
                <w:sz w:val="18"/>
                <w:szCs w:val="18"/>
              </w:rPr>
              <w:t>Análisis de datos sobre la totalidad de las transacciones y visualización de los resultados para identificar excepciones. (P, T)</w:t>
            </w:r>
          </w:p>
          <w:p w14:paraId="73F65CCD" w14:textId="77777777" w:rsidR="00990B14" w:rsidRDefault="00000000">
            <w:pPr>
              <w:spacing w:after="40"/>
              <w:jc w:val="both"/>
            </w:pPr>
            <w:r>
              <w:rPr>
                <w:sz w:val="18"/>
                <w:szCs w:val="18"/>
              </w:rPr>
              <w:t>Evaluación de la globalización en las operaciones de negocio. (P)</w:t>
            </w:r>
          </w:p>
          <w:p w14:paraId="4D531D68" w14:textId="77777777" w:rsidR="00990B14" w:rsidRDefault="00000000">
            <w:pPr>
              <w:spacing w:after="40"/>
              <w:jc w:val="both"/>
            </w:pPr>
            <w:r>
              <w:rPr>
                <w:sz w:val="18"/>
                <w:szCs w:val="18"/>
              </w:rPr>
              <w:t>Uso de sistemas de inteligencia artificial en la evaluación de sistemas: supervisión del profesional, confidencialidad de los datos y documentación de su utilización. (P, A, T)</w:t>
            </w:r>
          </w:p>
        </w:tc>
        <w:tc>
          <w:tcPr>
            <w:tcW w:w="2752" w:type="dxa"/>
            <w:gridSpan w:val="3"/>
            <w:shd w:val="clear" w:color="auto" w:fill="D9E2F3"/>
          </w:tcPr>
          <w:p w14:paraId="089BFF38" w14:textId="77777777" w:rsidR="00990B14" w:rsidRDefault="00000000">
            <w:pPr>
              <w:numPr>
                <w:ilvl w:val="0"/>
                <w:numId w:val="139"/>
              </w:numPr>
              <w:spacing w:before="10" w:after="10"/>
              <w:jc w:val="both"/>
            </w:pPr>
            <w:r>
              <w:rPr>
                <w:sz w:val="18"/>
                <w:szCs w:val="18"/>
              </w:rPr>
              <w:t>Formatos de archivo y codificación de datos usados en la extracción de información contable.</w:t>
            </w:r>
          </w:p>
          <w:p w14:paraId="639AB20D" w14:textId="77777777" w:rsidR="00990B14" w:rsidRDefault="00000000">
            <w:pPr>
              <w:numPr>
                <w:ilvl w:val="0"/>
                <w:numId w:val="139"/>
              </w:numPr>
              <w:spacing w:before="10" w:after="10"/>
              <w:jc w:val="both"/>
            </w:pPr>
            <w:r>
              <w:rPr>
                <w:sz w:val="18"/>
                <w:szCs w:val="18"/>
              </w:rPr>
              <w:t>Licenciamiento de software de auditoría y de herramientas de código abierto.</w:t>
            </w:r>
          </w:p>
        </w:tc>
      </w:tr>
      <w:tr w:rsidR="00990B14" w14:paraId="7B5C49FA" w14:textId="77777777">
        <w:trPr>
          <w:cantSplit/>
          <w:jc w:val="center"/>
        </w:trPr>
        <w:tc>
          <w:tcPr>
            <w:tcW w:w="9405" w:type="dxa"/>
            <w:gridSpan w:val="13"/>
            <w:shd w:val="clear" w:color="auto" w:fill="D9E2F3"/>
            <w:vAlign w:val="center"/>
          </w:tcPr>
          <w:p w14:paraId="5CBDE08C" w14:textId="77777777" w:rsidR="00990B14" w:rsidRDefault="00000000">
            <w:pPr>
              <w:spacing w:before="20" w:after="20"/>
              <w:jc w:val="both"/>
            </w:pPr>
            <w:r>
              <w:rPr>
                <w:b/>
                <w:bCs/>
                <w:i/>
                <w:iCs/>
                <w:sz w:val="18"/>
                <w:szCs w:val="18"/>
              </w:rPr>
              <w:t xml:space="preserve">Elemento de competencia 5: </w:t>
            </w:r>
            <w:r>
              <w:rPr>
                <w:sz w:val="18"/>
                <w:szCs w:val="18"/>
              </w:rPr>
              <w:t>Evalúa la ciberseguridad y los riesgos de las tecnologías emergentes de una entidad, aplicando la auditoría continua y el análisis de procesos digitalizados y verificando la confiabilidad de la automatización y de los algoritmos de inteligencia artificial que intervienen en el procesamiento contable.</w:t>
            </w:r>
          </w:p>
        </w:tc>
      </w:tr>
      <w:tr w:rsidR="00990B14" w14:paraId="5EAB1A8F" w14:textId="77777777">
        <w:trPr>
          <w:cantSplit/>
          <w:jc w:val="center"/>
        </w:trPr>
        <w:tc>
          <w:tcPr>
            <w:tcW w:w="3133" w:type="dxa"/>
            <w:gridSpan w:val="4"/>
            <w:shd w:val="clear" w:color="auto" w:fill="4472C4"/>
            <w:vAlign w:val="center"/>
          </w:tcPr>
          <w:p w14:paraId="1E8EE3F9"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6ACC8D83"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445DD46C" w14:textId="77777777" w:rsidR="00990B14" w:rsidRDefault="00000000">
            <w:pPr>
              <w:keepNext/>
              <w:spacing w:before="20" w:after="20"/>
              <w:jc w:val="center"/>
            </w:pPr>
            <w:r>
              <w:rPr>
                <w:b/>
                <w:bCs/>
                <w:i/>
                <w:iCs/>
                <w:color w:val="FFFFFF"/>
                <w:sz w:val="18"/>
                <w:szCs w:val="18"/>
              </w:rPr>
              <w:t>Evidencias de producto</w:t>
            </w:r>
          </w:p>
        </w:tc>
      </w:tr>
      <w:tr w:rsidR="00990B14" w14:paraId="59340EA1" w14:textId="77777777">
        <w:trPr>
          <w:cantSplit/>
          <w:jc w:val="center"/>
        </w:trPr>
        <w:tc>
          <w:tcPr>
            <w:tcW w:w="3133" w:type="dxa"/>
            <w:gridSpan w:val="4"/>
            <w:vMerge w:val="restart"/>
            <w:shd w:val="clear" w:color="auto" w:fill="D9E2F3"/>
            <w:vAlign w:val="center"/>
          </w:tcPr>
          <w:p w14:paraId="6526CC4B" w14:textId="77777777" w:rsidR="00990B14" w:rsidRDefault="00000000">
            <w:pPr>
              <w:spacing w:before="20" w:after="20"/>
              <w:jc w:val="both"/>
            </w:pPr>
            <w:r>
              <w:rPr>
                <w:sz w:val="18"/>
                <w:szCs w:val="18"/>
              </w:rPr>
              <w:t>1. Evalúa la auditoría continua, la automatización robótica y la minería de procesos de una entidad, verificando la trazabilidad e integridad de la evidencia contable digital.</w:t>
            </w:r>
          </w:p>
        </w:tc>
        <w:tc>
          <w:tcPr>
            <w:tcW w:w="3135" w:type="dxa"/>
            <w:gridSpan w:val="5"/>
            <w:shd w:val="clear" w:color="auto" w:fill="D9E2F3"/>
            <w:vAlign w:val="center"/>
          </w:tcPr>
          <w:p w14:paraId="1C784C1D" w14:textId="77777777" w:rsidR="00990B14" w:rsidRDefault="00000000">
            <w:pPr>
              <w:spacing w:before="20" w:after="20"/>
              <w:jc w:val="both"/>
            </w:pPr>
            <w:r>
              <w:rPr>
                <w:sz w:val="18"/>
                <w:szCs w:val="18"/>
              </w:rPr>
              <w:t>1.1 Resuelve en el laboratorio de cómputo un ejercicio de minería de datos con procesos sobre un registro de eventos.</w:t>
            </w:r>
          </w:p>
        </w:tc>
        <w:tc>
          <w:tcPr>
            <w:tcW w:w="3137" w:type="dxa"/>
            <w:gridSpan w:val="4"/>
            <w:shd w:val="clear" w:color="auto" w:fill="D9E2F3"/>
            <w:vAlign w:val="center"/>
          </w:tcPr>
          <w:p w14:paraId="4E0CB978" w14:textId="77777777" w:rsidR="00990B14" w:rsidRDefault="00000000">
            <w:pPr>
              <w:spacing w:before="20" w:after="20"/>
              <w:jc w:val="both"/>
            </w:pPr>
            <w:r>
              <w:rPr>
                <w:b/>
                <w:bCs/>
                <w:sz w:val="18"/>
                <w:szCs w:val="18"/>
              </w:rPr>
              <w:t xml:space="preserve">Producto 17: </w:t>
            </w:r>
            <w:r>
              <w:rPr>
                <w:sz w:val="18"/>
                <w:szCs w:val="18"/>
              </w:rPr>
              <w:t>Diagrama del flujo real del proceso con sus desviaciones.</w:t>
            </w:r>
          </w:p>
        </w:tc>
      </w:tr>
      <w:tr w:rsidR="00990B14" w14:paraId="449298FC" w14:textId="77777777">
        <w:trPr>
          <w:cantSplit/>
          <w:jc w:val="center"/>
        </w:trPr>
        <w:tc>
          <w:tcPr>
            <w:tcW w:w="3133" w:type="dxa"/>
            <w:gridSpan w:val="4"/>
            <w:vMerge/>
            <w:shd w:val="clear" w:color="auto" w:fill="D9E2F3"/>
            <w:vAlign w:val="center"/>
          </w:tcPr>
          <w:p w14:paraId="3D220EC1" w14:textId="77777777" w:rsidR="00990B14" w:rsidRDefault="00990B14">
            <w:pPr>
              <w:spacing w:before="20" w:after="20"/>
            </w:pPr>
          </w:p>
        </w:tc>
        <w:tc>
          <w:tcPr>
            <w:tcW w:w="3135" w:type="dxa"/>
            <w:gridSpan w:val="5"/>
            <w:shd w:val="clear" w:color="auto" w:fill="D9E2F3"/>
            <w:vAlign w:val="center"/>
          </w:tcPr>
          <w:p w14:paraId="5E9CDAE7" w14:textId="77777777" w:rsidR="00990B14" w:rsidRDefault="00000000">
            <w:pPr>
              <w:spacing w:before="20" w:after="20"/>
              <w:jc w:val="both"/>
            </w:pPr>
            <w:r>
              <w:rPr>
                <w:sz w:val="18"/>
                <w:szCs w:val="18"/>
              </w:rPr>
              <w:t>1.2 Evalúa en equipo los objetivos de control sobre los riesgos de un proceso automatizado.</w:t>
            </w:r>
          </w:p>
        </w:tc>
        <w:tc>
          <w:tcPr>
            <w:tcW w:w="3137" w:type="dxa"/>
            <w:gridSpan w:val="4"/>
            <w:shd w:val="clear" w:color="auto" w:fill="D9E2F3"/>
            <w:vAlign w:val="center"/>
          </w:tcPr>
          <w:p w14:paraId="4286B320" w14:textId="77777777" w:rsidR="00990B14" w:rsidRDefault="00000000">
            <w:pPr>
              <w:spacing w:before="20" w:after="20"/>
              <w:jc w:val="both"/>
            </w:pPr>
            <w:r>
              <w:rPr>
                <w:b/>
                <w:bCs/>
                <w:sz w:val="18"/>
                <w:szCs w:val="18"/>
              </w:rPr>
              <w:t xml:space="preserve">Producto 18: </w:t>
            </w:r>
            <w:r>
              <w:rPr>
                <w:sz w:val="18"/>
                <w:szCs w:val="18"/>
              </w:rPr>
              <w:t>Matriz de controles sobre la automatización robótica de procesos.</w:t>
            </w:r>
          </w:p>
        </w:tc>
      </w:tr>
      <w:tr w:rsidR="00990B14" w14:paraId="567C40E9" w14:textId="77777777">
        <w:trPr>
          <w:cantSplit/>
          <w:jc w:val="center"/>
        </w:trPr>
        <w:tc>
          <w:tcPr>
            <w:tcW w:w="3133" w:type="dxa"/>
            <w:gridSpan w:val="4"/>
            <w:vMerge w:val="restart"/>
            <w:shd w:val="clear" w:color="auto" w:fill="D9E2F3"/>
            <w:vAlign w:val="center"/>
          </w:tcPr>
          <w:p w14:paraId="4703C487" w14:textId="77777777" w:rsidR="00990B14" w:rsidRDefault="00000000">
            <w:pPr>
              <w:spacing w:before="20" w:after="20"/>
              <w:jc w:val="both"/>
            </w:pPr>
            <w:r>
              <w:rPr>
                <w:sz w:val="18"/>
                <w:szCs w:val="18"/>
              </w:rPr>
              <w:t>2. Valora la madurez de la ciberseguridad y la confiabilidad de los algoritmos de inteligencia artificial y de la cadena de bloques, comunicando las deficiencias a los responsables del gobierno de la entidad.</w:t>
            </w:r>
          </w:p>
        </w:tc>
        <w:tc>
          <w:tcPr>
            <w:tcW w:w="3135" w:type="dxa"/>
            <w:gridSpan w:val="5"/>
            <w:shd w:val="clear" w:color="auto" w:fill="D9E2F3"/>
            <w:vAlign w:val="center"/>
          </w:tcPr>
          <w:p w14:paraId="769745BB" w14:textId="77777777" w:rsidR="00990B14" w:rsidRDefault="00000000">
            <w:pPr>
              <w:spacing w:before="20" w:after="20"/>
              <w:jc w:val="both"/>
            </w:pPr>
            <w:r>
              <w:rPr>
                <w:sz w:val="18"/>
                <w:szCs w:val="18"/>
              </w:rPr>
              <w:t>2.1 Valora en equipo la madurez de los controles de ciberseguridad con el marco del NIST y comparando con CMMI</w:t>
            </w:r>
          </w:p>
        </w:tc>
        <w:tc>
          <w:tcPr>
            <w:tcW w:w="3137" w:type="dxa"/>
            <w:gridSpan w:val="4"/>
            <w:shd w:val="clear" w:color="auto" w:fill="D9E2F3"/>
            <w:vAlign w:val="center"/>
          </w:tcPr>
          <w:p w14:paraId="245B1D35" w14:textId="77777777" w:rsidR="00990B14" w:rsidRDefault="00000000">
            <w:pPr>
              <w:spacing w:before="20" w:after="20"/>
              <w:jc w:val="both"/>
            </w:pPr>
            <w:r>
              <w:rPr>
                <w:b/>
                <w:bCs/>
                <w:sz w:val="18"/>
                <w:szCs w:val="18"/>
              </w:rPr>
              <w:t xml:space="preserve">Producto 19: </w:t>
            </w:r>
            <w:r>
              <w:rPr>
                <w:sz w:val="18"/>
                <w:szCs w:val="18"/>
              </w:rPr>
              <w:t>Perfil de madurez de ciberseguridad de la entidad.</w:t>
            </w:r>
          </w:p>
        </w:tc>
      </w:tr>
      <w:tr w:rsidR="00990B14" w14:paraId="6FD61FC6" w14:textId="77777777">
        <w:trPr>
          <w:cantSplit/>
          <w:jc w:val="center"/>
        </w:trPr>
        <w:tc>
          <w:tcPr>
            <w:tcW w:w="3133" w:type="dxa"/>
            <w:gridSpan w:val="4"/>
            <w:vMerge/>
            <w:shd w:val="clear" w:color="auto" w:fill="D9E2F3"/>
            <w:vAlign w:val="center"/>
          </w:tcPr>
          <w:p w14:paraId="77D30F7F" w14:textId="77777777" w:rsidR="00990B14" w:rsidRDefault="00990B14">
            <w:pPr>
              <w:spacing w:before="20" w:after="20"/>
            </w:pPr>
          </w:p>
        </w:tc>
        <w:tc>
          <w:tcPr>
            <w:tcW w:w="3135" w:type="dxa"/>
            <w:gridSpan w:val="5"/>
            <w:shd w:val="clear" w:color="auto" w:fill="D9E2F3"/>
            <w:vAlign w:val="center"/>
          </w:tcPr>
          <w:p w14:paraId="770667B4" w14:textId="77777777" w:rsidR="00990B14" w:rsidRDefault="00000000">
            <w:pPr>
              <w:spacing w:before="20" w:after="20"/>
              <w:jc w:val="both"/>
            </w:pPr>
            <w:r>
              <w:rPr>
                <w:sz w:val="18"/>
                <w:szCs w:val="18"/>
              </w:rPr>
              <w:t>2.2 Presenta ante el curso los riesgos de sesgo y explicabilidad de un algoritmo de inteligencia artificial aplicado al procesamiento contable.</w:t>
            </w:r>
          </w:p>
        </w:tc>
        <w:tc>
          <w:tcPr>
            <w:tcW w:w="3137" w:type="dxa"/>
            <w:gridSpan w:val="4"/>
            <w:shd w:val="clear" w:color="auto" w:fill="D9E2F3"/>
            <w:vAlign w:val="center"/>
          </w:tcPr>
          <w:p w14:paraId="4BC56C3C" w14:textId="77777777" w:rsidR="00990B14" w:rsidRDefault="00000000">
            <w:pPr>
              <w:spacing w:before="20" w:after="20"/>
              <w:jc w:val="both"/>
            </w:pPr>
            <w:r>
              <w:rPr>
                <w:b/>
                <w:bCs/>
                <w:sz w:val="18"/>
                <w:szCs w:val="18"/>
              </w:rPr>
              <w:t xml:space="preserve">Producto 20: </w:t>
            </w:r>
            <w:r>
              <w:rPr>
                <w:sz w:val="18"/>
                <w:szCs w:val="18"/>
              </w:rPr>
              <w:t>Informe de deficiencias de ciberseguridad y de tecnologías emergentes dirigido a la dirección.</w:t>
            </w:r>
          </w:p>
        </w:tc>
      </w:tr>
      <w:tr w:rsidR="00990B14" w14:paraId="4F955124" w14:textId="77777777">
        <w:trPr>
          <w:cantSplit/>
          <w:jc w:val="center"/>
        </w:trPr>
        <w:tc>
          <w:tcPr>
            <w:tcW w:w="9405" w:type="dxa"/>
            <w:gridSpan w:val="13"/>
            <w:shd w:val="clear" w:color="auto" w:fill="4472C4"/>
            <w:vAlign w:val="center"/>
          </w:tcPr>
          <w:p w14:paraId="048DD0F1" w14:textId="77777777" w:rsidR="00990B14" w:rsidRDefault="00000000">
            <w:pPr>
              <w:keepNext/>
              <w:spacing w:before="20" w:after="20"/>
              <w:jc w:val="center"/>
            </w:pPr>
            <w:r>
              <w:rPr>
                <w:b/>
                <w:bCs/>
                <w:i/>
                <w:iCs/>
                <w:color w:val="FFFFFF"/>
                <w:sz w:val="18"/>
                <w:szCs w:val="18"/>
              </w:rPr>
              <w:t>Evidencias de conocimiento</w:t>
            </w:r>
          </w:p>
        </w:tc>
      </w:tr>
      <w:tr w:rsidR="00990B14" w14:paraId="02FA8453" w14:textId="77777777">
        <w:trPr>
          <w:cantSplit/>
          <w:jc w:val="center"/>
        </w:trPr>
        <w:tc>
          <w:tcPr>
            <w:tcW w:w="2349" w:type="dxa"/>
            <w:gridSpan w:val="2"/>
            <w:shd w:val="clear" w:color="auto" w:fill="4472C4"/>
            <w:vAlign w:val="center"/>
          </w:tcPr>
          <w:p w14:paraId="2E56B6A2"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4FA9358C" w14:textId="77777777" w:rsidR="00990B14" w:rsidRDefault="00000000">
            <w:pPr>
              <w:keepNext/>
              <w:spacing w:before="20" w:after="20"/>
              <w:jc w:val="both"/>
            </w:pPr>
            <w:r>
              <w:rPr>
                <w:b/>
                <w:bCs/>
                <w:i/>
                <w:iCs/>
                <w:color w:val="FFFFFF"/>
                <w:sz w:val="18"/>
                <w:szCs w:val="18"/>
              </w:rPr>
              <w:t>Contenidos</w:t>
            </w:r>
          </w:p>
          <w:p w14:paraId="29782DC1"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027FFC31" w14:textId="77777777" w:rsidR="00990B14" w:rsidRDefault="00000000">
            <w:pPr>
              <w:keepNext/>
              <w:spacing w:before="20" w:after="20"/>
              <w:jc w:val="center"/>
            </w:pPr>
            <w:r>
              <w:rPr>
                <w:b/>
                <w:bCs/>
                <w:i/>
                <w:iCs/>
                <w:color w:val="FFFFFF"/>
                <w:sz w:val="18"/>
                <w:szCs w:val="18"/>
              </w:rPr>
              <w:t>Conocimientos circunstanciales</w:t>
            </w:r>
          </w:p>
        </w:tc>
      </w:tr>
      <w:tr w:rsidR="00990B14" w14:paraId="3BE952BC" w14:textId="77777777">
        <w:trPr>
          <w:jc w:val="center"/>
        </w:trPr>
        <w:tc>
          <w:tcPr>
            <w:tcW w:w="2349" w:type="dxa"/>
            <w:gridSpan w:val="2"/>
            <w:shd w:val="clear" w:color="auto" w:fill="D9E2F3"/>
          </w:tcPr>
          <w:p w14:paraId="5FB3112F" w14:textId="77777777" w:rsidR="00990B14" w:rsidRDefault="00000000">
            <w:pPr>
              <w:spacing w:before="20" w:after="40"/>
              <w:jc w:val="both"/>
            </w:pPr>
            <w:r>
              <w:rPr>
                <w:sz w:val="18"/>
                <w:szCs w:val="18"/>
              </w:rPr>
              <w:t>Tema 17: Auditoría continua y procesos digitalizados</w:t>
            </w:r>
          </w:p>
          <w:p w14:paraId="73A72F47" w14:textId="77777777" w:rsidR="00990B14" w:rsidRDefault="00000000">
            <w:pPr>
              <w:spacing w:before="20" w:after="40"/>
              <w:jc w:val="both"/>
            </w:pPr>
            <w:r>
              <w:rPr>
                <w:sz w:val="18"/>
                <w:szCs w:val="18"/>
              </w:rPr>
              <w:t>Tema 18: Ciberseguridad y auditoría de tecnologías emergentes</w:t>
            </w:r>
          </w:p>
        </w:tc>
        <w:tc>
          <w:tcPr>
            <w:tcW w:w="4304" w:type="dxa"/>
            <w:gridSpan w:val="8"/>
            <w:shd w:val="clear" w:color="auto" w:fill="D9E2F3"/>
          </w:tcPr>
          <w:p w14:paraId="6FCDAEFA" w14:textId="77777777" w:rsidR="00990B14" w:rsidRDefault="00000000">
            <w:pPr>
              <w:spacing w:after="40"/>
              <w:jc w:val="both"/>
            </w:pPr>
            <w:r>
              <w:rPr>
                <w:sz w:val="18"/>
                <w:szCs w:val="18"/>
              </w:rPr>
              <w:t>Auditoría continua y monitoreo continuo de controles en entornos en la nube. (C)</w:t>
            </w:r>
          </w:p>
          <w:p w14:paraId="40BE9426" w14:textId="77777777" w:rsidR="00990B14" w:rsidRDefault="00000000">
            <w:pPr>
              <w:spacing w:after="40"/>
              <w:jc w:val="both"/>
            </w:pPr>
            <w:r>
              <w:rPr>
                <w:sz w:val="18"/>
                <w:szCs w:val="18"/>
              </w:rPr>
              <w:t>Automatización robótica de procesos: riesgos, controles sobre los bots y evaluación de su funcionamiento. (P, T)</w:t>
            </w:r>
          </w:p>
          <w:p w14:paraId="6A463BDC" w14:textId="77777777" w:rsidR="00990B14" w:rsidRDefault="00000000">
            <w:pPr>
              <w:spacing w:after="40"/>
              <w:jc w:val="both"/>
            </w:pPr>
            <w:r>
              <w:rPr>
                <w:sz w:val="18"/>
                <w:szCs w:val="18"/>
              </w:rPr>
              <w:t>Minería de procesos: reconstrucción del flujo real de las transacciones a partir de los registros de eventos del sistema. (P)</w:t>
            </w:r>
          </w:p>
          <w:p w14:paraId="237360C2" w14:textId="77777777" w:rsidR="00990B14" w:rsidRDefault="00000000">
            <w:pPr>
              <w:spacing w:after="40"/>
              <w:jc w:val="both"/>
            </w:pPr>
            <w:r>
              <w:rPr>
                <w:sz w:val="18"/>
                <w:szCs w:val="18"/>
              </w:rPr>
              <w:t>Trazabilidad e integridad de la evidencia contable digital: firma digital, sellos de tiempo y registros de auditoría. (P, A, T)</w:t>
            </w:r>
          </w:p>
          <w:p w14:paraId="1C53B34B" w14:textId="77777777" w:rsidR="00990B14" w:rsidRDefault="00000000">
            <w:pPr>
              <w:spacing w:after="40"/>
              <w:jc w:val="both"/>
            </w:pPr>
            <w:r>
              <w:rPr>
                <w:sz w:val="18"/>
                <w:szCs w:val="18"/>
              </w:rPr>
              <w:t>Ciberseguridad: amenazas, vulnerabilidades y evaluación de la madurez de los controles con el marco de ciberseguridad del NIST. (C, P)</w:t>
            </w:r>
          </w:p>
          <w:p w14:paraId="5211FC4B" w14:textId="77777777" w:rsidR="00990B14" w:rsidRDefault="00000000">
            <w:pPr>
              <w:spacing w:after="40"/>
              <w:jc w:val="both"/>
            </w:pPr>
            <w:r>
              <w:rPr>
                <w:sz w:val="18"/>
                <w:szCs w:val="18"/>
              </w:rPr>
              <w:t>Resiliencia operativa y gestión de la seguridad de la información exigidas por la ASFI a las entidades supervisadas. (C)</w:t>
            </w:r>
          </w:p>
          <w:p w14:paraId="17089DFE" w14:textId="77777777" w:rsidR="00990B14" w:rsidRDefault="00000000">
            <w:pPr>
              <w:spacing w:after="40"/>
              <w:jc w:val="both"/>
            </w:pPr>
            <w:r>
              <w:rPr>
                <w:sz w:val="18"/>
                <w:szCs w:val="18"/>
              </w:rPr>
              <w:t>Gobernanza de la inteligencia artificial: sesgo, explicabilidad y confiabilidad de los algoritmos aplicados al procesamiento de transacciones; norma ISO/IEC 42001. (C, T)</w:t>
            </w:r>
          </w:p>
          <w:p w14:paraId="40A1DD75" w14:textId="77777777" w:rsidR="00990B14" w:rsidRDefault="00000000">
            <w:pPr>
              <w:spacing w:after="40"/>
              <w:jc w:val="both"/>
            </w:pPr>
            <w:r>
              <w:rPr>
                <w:sz w:val="18"/>
                <w:szCs w:val="18"/>
              </w:rPr>
              <w:t>Registros distribuidos y cadena de bloques: trazabilidad de las transacciones, contratos inteligentes y consideraciones para el auditor. (C, P)</w:t>
            </w:r>
          </w:p>
          <w:p w14:paraId="1CB9B696" w14:textId="77777777" w:rsidR="00990B14" w:rsidRDefault="00000000">
            <w:pPr>
              <w:spacing w:after="40"/>
              <w:jc w:val="both"/>
            </w:pPr>
            <w:r>
              <w:rPr>
                <w:sz w:val="18"/>
                <w:szCs w:val="18"/>
              </w:rPr>
              <w:t>Comunicación de las deficiencias de ciberseguridad y de tecnologías emergentes a la dirección y a los responsables del gobierno de la entidad. (P, T)</w:t>
            </w:r>
          </w:p>
        </w:tc>
        <w:tc>
          <w:tcPr>
            <w:tcW w:w="2752" w:type="dxa"/>
            <w:gridSpan w:val="3"/>
            <w:shd w:val="clear" w:color="auto" w:fill="D9E2F3"/>
          </w:tcPr>
          <w:p w14:paraId="1B9E4D3F" w14:textId="77777777" w:rsidR="00990B14" w:rsidRDefault="00000000">
            <w:pPr>
              <w:numPr>
                <w:ilvl w:val="0"/>
                <w:numId w:val="139"/>
              </w:numPr>
              <w:spacing w:before="10" w:after="10"/>
              <w:jc w:val="both"/>
            </w:pPr>
            <w:r>
              <w:rPr>
                <w:sz w:val="18"/>
                <w:szCs w:val="18"/>
              </w:rPr>
              <w:t>Tipologías de ataques informáticos y de ingeniería social dirigidos a entidades financieras bolivianas.</w:t>
            </w:r>
          </w:p>
          <w:p w14:paraId="23061892" w14:textId="77777777" w:rsidR="00990B14" w:rsidRDefault="00000000">
            <w:pPr>
              <w:numPr>
                <w:ilvl w:val="0"/>
                <w:numId w:val="139"/>
              </w:numPr>
              <w:spacing w:before="10" w:after="10"/>
              <w:jc w:val="both"/>
            </w:pPr>
            <w:r>
              <w:rPr>
                <w:sz w:val="18"/>
                <w:szCs w:val="18"/>
              </w:rPr>
              <w:t>Funcionamiento de los activos virtuales y su tratamiento por el regulador boliviano.</w:t>
            </w:r>
          </w:p>
        </w:tc>
      </w:tr>
    </w:tbl>
    <w:p w14:paraId="0117CAE5"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737"/>
        <w:gridCol w:w="1654"/>
        <w:gridCol w:w="1821"/>
        <w:gridCol w:w="1654"/>
        <w:gridCol w:w="2539"/>
      </w:tblGrid>
      <w:tr w:rsidR="00990B14" w14:paraId="180CDB03" w14:textId="77777777">
        <w:trPr>
          <w:cantSplit/>
          <w:jc w:val="center"/>
        </w:trPr>
        <w:tc>
          <w:tcPr>
            <w:tcW w:w="9405" w:type="dxa"/>
            <w:gridSpan w:val="5"/>
            <w:shd w:val="clear" w:color="auto" w:fill="4472C4"/>
            <w:vAlign w:val="center"/>
          </w:tcPr>
          <w:p w14:paraId="08CF6971" w14:textId="77777777" w:rsidR="00990B14" w:rsidRDefault="00000000">
            <w:pPr>
              <w:keepNext/>
              <w:spacing w:before="20" w:after="20"/>
              <w:jc w:val="center"/>
            </w:pPr>
            <w:r>
              <w:rPr>
                <w:b/>
                <w:bCs/>
                <w:i/>
                <w:iCs/>
                <w:color w:val="FFFFFF"/>
                <w:sz w:val="18"/>
                <w:szCs w:val="18"/>
              </w:rPr>
              <w:t>Actividades</w:t>
            </w:r>
          </w:p>
        </w:tc>
      </w:tr>
      <w:tr w:rsidR="00990B14" w14:paraId="505DA2D4" w14:textId="77777777">
        <w:trPr>
          <w:cantSplit/>
          <w:jc w:val="center"/>
        </w:trPr>
        <w:tc>
          <w:tcPr>
            <w:tcW w:w="1737" w:type="dxa"/>
            <w:shd w:val="clear" w:color="auto" w:fill="4472C4"/>
            <w:vAlign w:val="center"/>
          </w:tcPr>
          <w:p w14:paraId="403AC198" w14:textId="77777777" w:rsidR="00990B14" w:rsidRDefault="00000000">
            <w:pPr>
              <w:keepNext/>
              <w:spacing w:before="20" w:after="20"/>
              <w:jc w:val="center"/>
            </w:pPr>
            <w:r>
              <w:rPr>
                <w:b/>
                <w:bCs/>
                <w:i/>
                <w:iCs/>
                <w:color w:val="FFFFFF"/>
                <w:sz w:val="18"/>
                <w:szCs w:val="18"/>
              </w:rPr>
              <w:t>En clase</w:t>
            </w:r>
          </w:p>
        </w:tc>
        <w:tc>
          <w:tcPr>
            <w:tcW w:w="1654" w:type="dxa"/>
            <w:shd w:val="clear" w:color="auto" w:fill="4472C4"/>
            <w:vAlign w:val="center"/>
          </w:tcPr>
          <w:p w14:paraId="2921A898" w14:textId="77777777" w:rsidR="00990B14" w:rsidRDefault="00000000">
            <w:pPr>
              <w:keepNext/>
              <w:spacing w:before="20" w:after="20"/>
              <w:jc w:val="center"/>
            </w:pPr>
            <w:r>
              <w:rPr>
                <w:b/>
                <w:bCs/>
                <w:i/>
                <w:iCs/>
                <w:color w:val="FFFFFF"/>
                <w:sz w:val="18"/>
                <w:szCs w:val="18"/>
              </w:rPr>
              <w:t>Autónomas</w:t>
            </w:r>
          </w:p>
        </w:tc>
        <w:tc>
          <w:tcPr>
            <w:tcW w:w="1821" w:type="dxa"/>
            <w:shd w:val="clear" w:color="auto" w:fill="4472C4"/>
            <w:vAlign w:val="center"/>
          </w:tcPr>
          <w:p w14:paraId="0B4D8C37" w14:textId="77777777" w:rsidR="00990B14" w:rsidRDefault="00000000">
            <w:pPr>
              <w:keepNext/>
              <w:spacing w:before="20" w:after="20"/>
              <w:jc w:val="center"/>
            </w:pPr>
            <w:r>
              <w:rPr>
                <w:b/>
                <w:bCs/>
                <w:i/>
                <w:iCs/>
                <w:color w:val="FFFFFF"/>
                <w:sz w:val="18"/>
                <w:szCs w:val="18"/>
              </w:rPr>
              <w:t>B-Learning</w:t>
            </w:r>
          </w:p>
        </w:tc>
        <w:tc>
          <w:tcPr>
            <w:tcW w:w="1654" w:type="dxa"/>
            <w:shd w:val="clear" w:color="auto" w:fill="4472C4"/>
            <w:vAlign w:val="center"/>
          </w:tcPr>
          <w:p w14:paraId="3908C7EA" w14:textId="77777777" w:rsidR="00990B14" w:rsidRDefault="00000000">
            <w:pPr>
              <w:keepNext/>
              <w:spacing w:before="20" w:after="20"/>
              <w:jc w:val="center"/>
            </w:pPr>
            <w:r>
              <w:rPr>
                <w:b/>
                <w:bCs/>
                <w:i/>
                <w:iCs/>
                <w:color w:val="FFFFFF"/>
                <w:sz w:val="18"/>
                <w:szCs w:val="18"/>
              </w:rPr>
              <w:t>Taller</w:t>
            </w:r>
          </w:p>
        </w:tc>
        <w:tc>
          <w:tcPr>
            <w:tcW w:w="2539" w:type="dxa"/>
            <w:shd w:val="clear" w:color="auto" w:fill="4472C4"/>
            <w:vAlign w:val="center"/>
          </w:tcPr>
          <w:p w14:paraId="20EA1CC0" w14:textId="77777777" w:rsidR="00990B14" w:rsidRDefault="00000000">
            <w:pPr>
              <w:keepNext/>
              <w:spacing w:before="20" w:after="20"/>
              <w:jc w:val="center"/>
            </w:pPr>
            <w:r>
              <w:rPr>
                <w:b/>
                <w:bCs/>
                <w:i/>
                <w:iCs/>
                <w:color w:val="FFFFFF"/>
                <w:sz w:val="18"/>
                <w:szCs w:val="18"/>
              </w:rPr>
              <w:t>Investigación/Práctica</w:t>
            </w:r>
          </w:p>
        </w:tc>
      </w:tr>
      <w:tr w:rsidR="00990B14" w14:paraId="42CFEE22" w14:textId="77777777">
        <w:trPr>
          <w:jc w:val="center"/>
        </w:trPr>
        <w:tc>
          <w:tcPr>
            <w:tcW w:w="1737" w:type="dxa"/>
            <w:shd w:val="clear" w:color="auto" w:fill="D9E2F3"/>
          </w:tcPr>
          <w:p w14:paraId="333C77E2" w14:textId="77777777" w:rsidR="00990B14" w:rsidRDefault="00000000">
            <w:pPr>
              <w:numPr>
                <w:ilvl w:val="0"/>
                <w:numId w:val="139"/>
              </w:numPr>
              <w:spacing w:before="10" w:after="10"/>
              <w:jc w:val="both"/>
            </w:pPr>
            <w:r>
              <w:rPr>
                <w:sz w:val="18"/>
                <w:szCs w:val="18"/>
              </w:rPr>
              <w:t>Exposición dialogada de los marcos COBIT, COSO y de las normas ISO de seguridad de la información.</w:t>
            </w:r>
          </w:p>
          <w:p w14:paraId="31CFDCEA" w14:textId="77777777" w:rsidR="00990B14" w:rsidRDefault="00000000">
            <w:pPr>
              <w:numPr>
                <w:ilvl w:val="0"/>
                <w:numId w:val="139"/>
              </w:numPr>
              <w:spacing w:before="10" w:after="10"/>
              <w:jc w:val="both"/>
            </w:pPr>
            <w:r>
              <w:rPr>
                <w:sz w:val="18"/>
                <w:szCs w:val="18"/>
              </w:rPr>
              <w:t>Demostración en el laboratorio de cómputo de consultas SQL y de herramientas TAAC.</w:t>
            </w:r>
          </w:p>
          <w:p w14:paraId="0E5ABF3F" w14:textId="77777777" w:rsidR="00990B14" w:rsidRDefault="00000000">
            <w:pPr>
              <w:numPr>
                <w:ilvl w:val="0"/>
                <w:numId w:val="139"/>
              </w:numPr>
              <w:spacing w:before="10" w:after="10"/>
              <w:jc w:val="both"/>
            </w:pPr>
            <w:r>
              <w:rPr>
                <w:sz w:val="18"/>
                <w:szCs w:val="18"/>
              </w:rPr>
              <w:t>Resolución guiada de la evaluación de controles generales y de aplicación de un caso.</w:t>
            </w:r>
          </w:p>
          <w:p w14:paraId="4A679D3E" w14:textId="77777777" w:rsidR="00990B14" w:rsidRDefault="00000000">
            <w:pPr>
              <w:numPr>
                <w:ilvl w:val="0"/>
                <w:numId w:val="139"/>
              </w:numPr>
              <w:spacing w:before="10" w:after="10"/>
              <w:jc w:val="both"/>
            </w:pPr>
            <w:r>
              <w:rPr>
                <w:sz w:val="18"/>
                <w:szCs w:val="18"/>
              </w:rPr>
              <w:t>Análisis de casos de incidentes de ciberseguridad en entidades bolivianas.</w:t>
            </w:r>
          </w:p>
          <w:p w14:paraId="040826B3" w14:textId="77777777" w:rsidR="00990B14" w:rsidRDefault="00000000">
            <w:pPr>
              <w:numPr>
                <w:ilvl w:val="0"/>
                <w:numId w:val="139"/>
              </w:numPr>
              <w:spacing w:before="10" w:after="10"/>
              <w:jc w:val="both"/>
            </w:pPr>
            <w:r>
              <w:rPr>
                <w:sz w:val="18"/>
                <w:szCs w:val="18"/>
              </w:rPr>
              <w:t>Preguntas de comprensión sobre la NIA 315 y el riesgo de control en entornos tecnológicos.</w:t>
            </w:r>
          </w:p>
        </w:tc>
        <w:tc>
          <w:tcPr>
            <w:tcW w:w="1654" w:type="dxa"/>
            <w:shd w:val="clear" w:color="auto" w:fill="D9E2F3"/>
          </w:tcPr>
          <w:p w14:paraId="47C145F8" w14:textId="77777777" w:rsidR="00990B14" w:rsidRDefault="00000000">
            <w:pPr>
              <w:numPr>
                <w:ilvl w:val="0"/>
                <w:numId w:val="139"/>
              </w:numPr>
              <w:spacing w:before="10" w:after="10"/>
              <w:jc w:val="both"/>
            </w:pPr>
            <w:r>
              <w:rPr>
                <w:sz w:val="18"/>
                <w:szCs w:val="18"/>
              </w:rPr>
              <w:t>Lectura de los marcos COBIT y COSO y de las normas ISO 27001, 27005 y 31000.</w:t>
            </w:r>
          </w:p>
          <w:p w14:paraId="5CA6039F" w14:textId="77777777" w:rsidR="00990B14" w:rsidRDefault="00000000">
            <w:pPr>
              <w:numPr>
                <w:ilvl w:val="0"/>
                <w:numId w:val="139"/>
              </w:numPr>
              <w:spacing w:before="10" w:after="10"/>
              <w:jc w:val="both"/>
            </w:pPr>
            <w:r>
              <w:rPr>
                <w:sz w:val="18"/>
                <w:szCs w:val="18"/>
              </w:rPr>
              <w:t>Resolución de ejercicios de modelado y normalización de bases de datos al cierre de cada capítulo.</w:t>
            </w:r>
          </w:p>
          <w:p w14:paraId="67E5E45E" w14:textId="77777777" w:rsidR="00990B14" w:rsidRDefault="00000000">
            <w:pPr>
              <w:numPr>
                <w:ilvl w:val="0"/>
                <w:numId w:val="139"/>
              </w:numPr>
              <w:spacing w:before="10" w:after="10"/>
              <w:jc w:val="both"/>
            </w:pPr>
            <w:r>
              <w:rPr>
                <w:sz w:val="18"/>
                <w:szCs w:val="18"/>
              </w:rPr>
              <w:t>Desarrollo progresivo del informe de evaluación de sistemas del caso práctico.</w:t>
            </w:r>
          </w:p>
          <w:p w14:paraId="7976E2C8" w14:textId="77777777" w:rsidR="00990B14" w:rsidRDefault="00000000">
            <w:pPr>
              <w:numPr>
                <w:ilvl w:val="0"/>
                <w:numId w:val="139"/>
              </w:numPr>
              <w:spacing w:before="10" w:after="10"/>
              <w:jc w:val="both"/>
            </w:pPr>
            <w:r>
              <w:rPr>
                <w:sz w:val="18"/>
                <w:szCs w:val="18"/>
              </w:rPr>
              <w:t>Lectura de la versión vigente de las normas ISO 27001 y 27002 y del marco COBIT 2019.</w:t>
            </w:r>
          </w:p>
        </w:tc>
        <w:tc>
          <w:tcPr>
            <w:tcW w:w="1821" w:type="dxa"/>
            <w:shd w:val="clear" w:color="auto" w:fill="D9E2F3"/>
          </w:tcPr>
          <w:p w14:paraId="60E6FD6D" w14:textId="77777777" w:rsidR="00990B14" w:rsidRDefault="00000000">
            <w:pPr>
              <w:numPr>
                <w:ilvl w:val="0"/>
                <w:numId w:val="139"/>
              </w:numPr>
              <w:spacing w:before="10" w:after="10"/>
              <w:jc w:val="both"/>
            </w:pPr>
            <w:r>
              <w:rPr>
                <w:sz w:val="18"/>
                <w:szCs w:val="18"/>
              </w:rPr>
              <w:t>Cuestionarios de comprensión en la plataforma Moodle UMSA.</w:t>
            </w:r>
          </w:p>
          <w:p w14:paraId="189538A9" w14:textId="77777777" w:rsidR="00990B14" w:rsidRDefault="00000000">
            <w:pPr>
              <w:numPr>
                <w:ilvl w:val="0"/>
                <w:numId w:val="139"/>
              </w:numPr>
              <w:spacing w:before="10" w:after="10"/>
              <w:jc w:val="both"/>
            </w:pPr>
            <w:r>
              <w:rPr>
                <w:sz w:val="18"/>
                <w:szCs w:val="18"/>
              </w:rPr>
              <w:t>Foros de consulta sobre los objetivos de control de COBIT y la seguridad de la información.</w:t>
            </w:r>
          </w:p>
          <w:p w14:paraId="2FAB5AC0" w14:textId="77777777" w:rsidR="00990B14" w:rsidRDefault="00000000">
            <w:pPr>
              <w:numPr>
                <w:ilvl w:val="0"/>
                <w:numId w:val="139"/>
              </w:numPr>
              <w:spacing w:before="10" w:after="10"/>
              <w:jc w:val="both"/>
            </w:pPr>
            <w:r>
              <w:rPr>
                <w:sz w:val="18"/>
                <w:szCs w:val="18"/>
              </w:rPr>
              <w:t>Videotutoriales de uso de herramientas TAAC y de consultas SQL.</w:t>
            </w:r>
          </w:p>
          <w:p w14:paraId="5BC549CC" w14:textId="77777777" w:rsidR="00990B14" w:rsidRDefault="00000000">
            <w:pPr>
              <w:numPr>
                <w:ilvl w:val="0"/>
                <w:numId w:val="139"/>
              </w:numPr>
              <w:spacing w:before="10" w:after="10"/>
              <w:jc w:val="both"/>
            </w:pPr>
            <w:r>
              <w:rPr>
                <w:sz w:val="18"/>
                <w:szCs w:val="18"/>
              </w:rPr>
              <w:t>Práctica guiada de análisis de datos sobre archivos de transacciones de un sistema contable.</w:t>
            </w:r>
          </w:p>
        </w:tc>
        <w:tc>
          <w:tcPr>
            <w:tcW w:w="1654" w:type="dxa"/>
            <w:shd w:val="clear" w:color="auto" w:fill="D9E2F3"/>
          </w:tcPr>
          <w:p w14:paraId="3AACECFA" w14:textId="77777777" w:rsidR="00990B14" w:rsidRDefault="00000000">
            <w:pPr>
              <w:numPr>
                <w:ilvl w:val="0"/>
                <w:numId w:val="139"/>
              </w:numPr>
              <w:spacing w:before="10" w:after="10"/>
              <w:jc w:val="both"/>
            </w:pPr>
            <w:r>
              <w:rPr>
                <w:sz w:val="18"/>
                <w:szCs w:val="18"/>
              </w:rPr>
              <w:t>Modelado guiado de bases de datos relacionales de un sistema contable.</w:t>
            </w:r>
          </w:p>
          <w:p w14:paraId="170C12CE" w14:textId="77777777" w:rsidR="00990B14" w:rsidRDefault="00000000">
            <w:pPr>
              <w:numPr>
                <w:ilvl w:val="0"/>
                <w:numId w:val="139"/>
              </w:numPr>
              <w:spacing w:before="10" w:after="10"/>
              <w:jc w:val="both"/>
            </w:pPr>
            <w:r>
              <w:rPr>
                <w:sz w:val="18"/>
                <w:szCs w:val="18"/>
              </w:rPr>
              <w:t>Levantamiento colaborativo de los controles internos de un entorno de sistemas.</w:t>
            </w:r>
          </w:p>
          <w:p w14:paraId="453A3676" w14:textId="77777777" w:rsidR="00990B14" w:rsidRDefault="00000000">
            <w:pPr>
              <w:numPr>
                <w:ilvl w:val="0"/>
                <w:numId w:val="139"/>
              </w:numPr>
              <w:spacing w:before="10" w:after="10"/>
              <w:jc w:val="both"/>
            </w:pPr>
            <w:r>
              <w:rPr>
                <w:sz w:val="18"/>
                <w:szCs w:val="18"/>
              </w:rPr>
              <w:t>Aplicación práctica de herramientas TAAC sobre archivos de datos de la entidad.</w:t>
            </w:r>
          </w:p>
          <w:p w14:paraId="65482D99" w14:textId="77777777" w:rsidR="00990B14" w:rsidRDefault="00000000">
            <w:pPr>
              <w:numPr>
                <w:ilvl w:val="0"/>
                <w:numId w:val="139"/>
              </w:numPr>
              <w:spacing w:before="10" w:after="10"/>
              <w:jc w:val="both"/>
            </w:pPr>
            <w:r>
              <w:rPr>
                <w:sz w:val="18"/>
                <w:szCs w:val="18"/>
              </w:rPr>
              <w:t>Revisión conjunta de los perfiles de acceso y de la segregación de funciones del sistema evaluado.</w:t>
            </w:r>
          </w:p>
        </w:tc>
        <w:tc>
          <w:tcPr>
            <w:tcW w:w="2539" w:type="dxa"/>
            <w:shd w:val="clear" w:color="auto" w:fill="D9E2F3"/>
          </w:tcPr>
          <w:p w14:paraId="1D0A3388" w14:textId="77777777" w:rsidR="00990B14" w:rsidRDefault="00000000">
            <w:pPr>
              <w:numPr>
                <w:ilvl w:val="0"/>
                <w:numId w:val="139"/>
              </w:numPr>
              <w:spacing w:before="10" w:after="10"/>
              <w:jc w:val="both"/>
            </w:pPr>
            <w:r>
              <w:rPr>
                <w:sz w:val="18"/>
                <w:szCs w:val="18"/>
              </w:rPr>
              <w:t>Análisis de las normas de la ASFI y del CTNAC aplicables a los sistemas de información.</w:t>
            </w:r>
          </w:p>
          <w:p w14:paraId="2B679FEE" w14:textId="77777777" w:rsidR="00990B14" w:rsidRDefault="00000000">
            <w:pPr>
              <w:numPr>
                <w:ilvl w:val="0"/>
                <w:numId w:val="139"/>
              </w:numPr>
              <w:spacing w:before="10" w:after="10"/>
              <w:jc w:val="both"/>
            </w:pPr>
            <w:r>
              <w:rPr>
                <w:sz w:val="18"/>
                <w:szCs w:val="18"/>
              </w:rPr>
              <w:t>Revisión de los controles generales de tecnología de la información de una entidad boliviana.</w:t>
            </w:r>
          </w:p>
          <w:p w14:paraId="416F37CA" w14:textId="77777777" w:rsidR="00990B14" w:rsidRDefault="00000000">
            <w:pPr>
              <w:numPr>
                <w:ilvl w:val="0"/>
                <w:numId w:val="139"/>
              </w:numPr>
              <w:spacing w:before="10" w:after="10"/>
              <w:jc w:val="both"/>
            </w:pPr>
            <w:r>
              <w:rPr>
                <w:sz w:val="18"/>
                <w:szCs w:val="18"/>
              </w:rPr>
              <w:t>Comparación de paquetes de auditoría y herramientas de análisis de datos.</w:t>
            </w:r>
          </w:p>
          <w:p w14:paraId="62BC216A" w14:textId="77777777" w:rsidR="00990B14" w:rsidRDefault="00000000">
            <w:pPr>
              <w:numPr>
                <w:ilvl w:val="0"/>
                <w:numId w:val="139"/>
              </w:numPr>
              <w:spacing w:before="10" w:after="10"/>
              <w:jc w:val="both"/>
            </w:pPr>
            <w:r>
              <w:rPr>
                <w:sz w:val="18"/>
                <w:szCs w:val="18"/>
              </w:rPr>
              <w:t>Revisión de informes de aseguramiento sobre controles de organizaciones de servicios.</w:t>
            </w:r>
          </w:p>
          <w:p w14:paraId="665AC1F6" w14:textId="77777777" w:rsidR="00990B14" w:rsidRDefault="00000000">
            <w:pPr>
              <w:numPr>
                <w:ilvl w:val="0"/>
                <w:numId w:val="139"/>
              </w:numPr>
              <w:spacing w:before="10" w:after="10"/>
              <w:jc w:val="both"/>
            </w:pPr>
            <w:r>
              <w:rPr>
                <w:sz w:val="18"/>
                <w:szCs w:val="18"/>
              </w:rPr>
              <w:t>Análisis de un incidente de ciberseguridad en una entidad financiera y de los controles que pudieron prevenirlo.</w:t>
            </w:r>
          </w:p>
        </w:tc>
      </w:tr>
    </w:tbl>
    <w:p w14:paraId="3DEF5A2E"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490"/>
        <w:gridCol w:w="2120"/>
        <w:gridCol w:w="1805"/>
        <w:gridCol w:w="2113"/>
        <w:gridCol w:w="1877"/>
      </w:tblGrid>
      <w:tr w:rsidR="00990B14" w14:paraId="682E06C7" w14:textId="77777777">
        <w:trPr>
          <w:jc w:val="center"/>
        </w:trPr>
        <w:tc>
          <w:tcPr>
            <w:tcW w:w="1490" w:type="dxa"/>
            <w:shd w:val="clear" w:color="auto" w:fill="4472C4"/>
            <w:vAlign w:val="center"/>
          </w:tcPr>
          <w:p w14:paraId="226369A9" w14:textId="77777777" w:rsidR="00990B14" w:rsidRDefault="00000000">
            <w:pPr>
              <w:spacing w:before="20" w:after="20"/>
              <w:jc w:val="center"/>
            </w:pPr>
            <w:r>
              <w:rPr>
                <w:b/>
                <w:bCs/>
                <w:i/>
                <w:iCs/>
                <w:color w:val="FFFFFF"/>
                <w:sz w:val="18"/>
                <w:szCs w:val="18"/>
              </w:rPr>
              <w:t>Estrategias de aprendizaje y enseñanza</w:t>
            </w:r>
          </w:p>
        </w:tc>
        <w:tc>
          <w:tcPr>
            <w:tcW w:w="7915" w:type="dxa"/>
            <w:gridSpan w:val="4"/>
            <w:shd w:val="clear" w:color="auto" w:fill="D9E2F3"/>
            <w:vAlign w:val="center"/>
          </w:tcPr>
          <w:p w14:paraId="5AD92ECB" w14:textId="77777777" w:rsidR="00990B14" w:rsidRDefault="00000000">
            <w:pPr>
              <w:numPr>
                <w:ilvl w:val="0"/>
                <w:numId w:val="140"/>
              </w:numPr>
              <w:spacing w:before="10" w:after="10"/>
              <w:jc w:val="both"/>
            </w:pPr>
            <w:r>
              <w:rPr>
                <w:sz w:val="18"/>
                <w:szCs w:val="18"/>
              </w:rPr>
              <w:t>Aprendizaje basado en problemas con sistemas de información de entidades bolivianas.</w:t>
            </w:r>
          </w:p>
          <w:p w14:paraId="58E4F6A3" w14:textId="77777777" w:rsidR="00990B14" w:rsidRDefault="00000000">
            <w:pPr>
              <w:numPr>
                <w:ilvl w:val="0"/>
                <w:numId w:val="140"/>
              </w:numPr>
              <w:spacing w:before="10" w:after="10"/>
              <w:jc w:val="both"/>
            </w:pPr>
            <w:r>
              <w:rPr>
                <w:sz w:val="18"/>
                <w:szCs w:val="18"/>
              </w:rPr>
              <w:t>Prácticas de laboratorio de modelado de bases de datos y consultas SQL.</w:t>
            </w:r>
          </w:p>
          <w:p w14:paraId="62D6C3B3" w14:textId="77777777" w:rsidR="00990B14" w:rsidRDefault="00000000">
            <w:pPr>
              <w:numPr>
                <w:ilvl w:val="0"/>
                <w:numId w:val="140"/>
              </w:numPr>
              <w:spacing w:before="10" w:after="10"/>
              <w:jc w:val="both"/>
            </w:pPr>
            <w:r>
              <w:rPr>
                <w:sz w:val="18"/>
                <w:szCs w:val="18"/>
              </w:rPr>
              <w:t>Caso práctico integral de evaluación de un sistema de información contable.</w:t>
            </w:r>
          </w:p>
          <w:p w14:paraId="641E86DD" w14:textId="77777777" w:rsidR="00990B14" w:rsidRDefault="00000000">
            <w:pPr>
              <w:numPr>
                <w:ilvl w:val="0"/>
                <w:numId w:val="140"/>
              </w:numPr>
              <w:spacing w:before="10" w:after="10"/>
              <w:jc w:val="both"/>
            </w:pPr>
            <w:r>
              <w:rPr>
                <w:sz w:val="18"/>
                <w:szCs w:val="18"/>
              </w:rPr>
              <w:t>Estudio de casos de aplicación de los marcos COBIT y COSO y de las normas ISO.</w:t>
            </w:r>
          </w:p>
          <w:p w14:paraId="0228A827" w14:textId="77777777" w:rsidR="00990B14" w:rsidRDefault="00000000">
            <w:pPr>
              <w:numPr>
                <w:ilvl w:val="0"/>
                <w:numId w:val="140"/>
              </w:numPr>
              <w:spacing w:before="10" w:after="10"/>
              <w:jc w:val="both"/>
            </w:pPr>
            <w:r>
              <w:rPr>
                <w:sz w:val="18"/>
                <w:szCs w:val="18"/>
              </w:rPr>
              <w:t>Trabajo colaborativo en equipos de evaluación con asignación de controles.</w:t>
            </w:r>
          </w:p>
          <w:p w14:paraId="6CC787CD" w14:textId="77777777" w:rsidR="00990B14" w:rsidRDefault="00000000">
            <w:pPr>
              <w:numPr>
                <w:ilvl w:val="0"/>
                <w:numId w:val="140"/>
              </w:numPr>
              <w:spacing w:before="10" w:after="10"/>
              <w:jc w:val="both"/>
            </w:pPr>
            <w:r>
              <w:rPr>
                <w:sz w:val="18"/>
                <w:szCs w:val="18"/>
              </w:rPr>
              <w:t>Clase invertida para los contenidos normativos y conceptuales.</w:t>
            </w:r>
          </w:p>
          <w:p w14:paraId="3DB1C70D" w14:textId="77777777" w:rsidR="00990B14" w:rsidRDefault="00000000">
            <w:pPr>
              <w:numPr>
                <w:ilvl w:val="0"/>
                <w:numId w:val="140"/>
              </w:numPr>
              <w:spacing w:before="10" w:after="10"/>
              <w:jc w:val="both"/>
            </w:pPr>
            <w:r>
              <w:rPr>
                <w:sz w:val="18"/>
                <w:szCs w:val="18"/>
              </w:rPr>
              <w:t>Estudio de casos de incidentes de seguridad de la información y de sus controles asociados.</w:t>
            </w:r>
          </w:p>
        </w:tc>
      </w:tr>
      <w:tr w:rsidR="00990B14" w14:paraId="497A6B7F" w14:textId="77777777">
        <w:trPr>
          <w:jc w:val="center"/>
        </w:trPr>
        <w:tc>
          <w:tcPr>
            <w:tcW w:w="1490" w:type="dxa"/>
            <w:shd w:val="clear" w:color="auto" w:fill="4472C4"/>
            <w:vAlign w:val="center"/>
          </w:tcPr>
          <w:p w14:paraId="48C6DDF4" w14:textId="77777777" w:rsidR="00990B14" w:rsidRDefault="00000000">
            <w:pPr>
              <w:spacing w:before="20" w:after="20"/>
              <w:jc w:val="center"/>
            </w:pPr>
            <w:r>
              <w:rPr>
                <w:b/>
                <w:bCs/>
                <w:i/>
                <w:iCs/>
                <w:color w:val="FFFFFF"/>
                <w:sz w:val="18"/>
                <w:szCs w:val="18"/>
              </w:rPr>
              <w:t>Recursos para el aprendizaje</w:t>
            </w:r>
          </w:p>
        </w:tc>
        <w:tc>
          <w:tcPr>
            <w:tcW w:w="7915" w:type="dxa"/>
            <w:gridSpan w:val="4"/>
            <w:shd w:val="clear" w:color="auto" w:fill="D9E2F3"/>
            <w:vAlign w:val="center"/>
          </w:tcPr>
          <w:p w14:paraId="103DB56E" w14:textId="77777777" w:rsidR="00990B14" w:rsidRDefault="00000000">
            <w:pPr>
              <w:numPr>
                <w:ilvl w:val="0"/>
                <w:numId w:val="140"/>
              </w:numPr>
              <w:spacing w:before="10" w:after="10"/>
              <w:jc w:val="both"/>
            </w:pPr>
            <w:r>
              <w:rPr>
                <w:sz w:val="18"/>
                <w:szCs w:val="18"/>
              </w:rPr>
              <w:t>Plataforma Moodle UMSA.</w:t>
            </w:r>
          </w:p>
          <w:p w14:paraId="2A6603FF" w14:textId="77777777" w:rsidR="00990B14" w:rsidRDefault="00000000">
            <w:pPr>
              <w:numPr>
                <w:ilvl w:val="0"/>
                <w:numId w:val="140"/>
              </w:numPr>
              <w:spacing w:before="10" w:after="10"/>
              <w:jc w:val="both"/>
            </w:pPr>
            <w:r>
              <w:rPr>
                <w:sz w:val="18"/>
                <w:szCs w:val="18"/>
              </w:rPr>
              <w:t>Laboratorio de computación con gestor de base de datos y hoja de cálculo.</w:t>
            </w:r>
          </w:p>
          <w:p w14:paraId="26B4089B" w14:textId="77777777" w:rsidR="00990B14" w:rsidRDefault="00000000">
            <w:pPr>
              <w:numPr>
                <w:ilvl w:val="0"/>
                <w:numId w:val="140"/>
              </w:numPr>
              <w:spacing w:before="10" w:after="10"/>
              <w:jc w:val="both"/>
            </w:pPr>
            <w:r>
              <w:rPr>
                <w:sz w:val="18"/>
                <w:szCs w:val="18"/>
              </w:rPr>
              <w:t>Herramientas TAAC y software de análisis de datos de uso académico.</w:t>
            </w:r>
          </w:p>
          <w:p w14:paraId="63BAFA46" w14:textId="77777777" w:rsidR="00990B14" w:rsidRDefault="00000000">
            <w:pPr>
              <w:numPr>
                <w:ilvl w:val="0"/>
                <w:numId w:val="140"/>
              </w:numPr>
              <w:spacing w:before="10" w:after="10"/>
              <w:jc w:val="both"/>
            </w:pPr>
            <w:r>
              <w:rPr>
                <w:sz w:val="18"/>
                <w:szCs w:val="18"/>
              </w:rPr>
              <w:t>Marco COBIT, marco COSO y normas ISO 27001, 27002, 27004, 27005 y 31000.</w:t>
            </w:r>
          </w:p>
          <w:p w14:paraId="172032B6" w14:textId="77777777" w:rsidR="00990B14" w:rsidRDefault="00000000">
            <w:pPr>
              <w:numPr>
                <w:ilvl w:val="0"/>
                <w:numId w:val="140"/>
              </w:numPr>
              <w:spacing w:before="10" w:after="10"/>
              <w:jc w:val="both"/>
            </w:pPr>
            <w:r>
              <w:rPr>
                <w:sz w:val="18"/>
                <w:szCs w:val="18"/>
              </w:rPr>
              <w:t>Compendio de Normas de Contabilidad y Auditoría del CAUB y normas emitidas por la ASFI.</w:t>
            </w:r>
          </w:p>
          <w:p w14:paraId="49463D71" w14:textId="77777777" w:rsidR="00990B14" w:rsidRDefault="00000000">
            <w:pPr>
              <w:numPr>
                <w:ilvl w:val="0"/>
                <w:numId w:val="140"/>
              </w:numPr>
              <w:spacing w:before="10" w:after="10"/>
              <w:jc w:val="both"/>
            </w:pPr>
            <w:r>
              <w:rPr>
                <w:sz w:val="18"/>
                <w:szCs w:val="18"/>
              </w:rPr>
              <w:t>Lineamientos y estándares publicados por la Agencia de Gobierno Electrónico y Tecnologías de Información y Comunicación.</w:t>
            </w:r>
          </w:p>
          <w:p w14:paraId="26B00346" w14:textId="77777777" w:rsidR="00990B14" w:rsidRDefault="00000000">
            <w:pPr>
              <w:numPr>
                <w:ilvl w:val="0"/>
                <w:numId w:val="140"/>
              </w:numPr>
              <w:spacing w:before="10" w:after="10"/>
              <w:jc w:val="both"/>
            </w:pPr>
            <w:r>
              <w:rPr>
                <w:sz w:val="18"/>
                <w:szCs w:val="18"/>
              </w:rPr>
              <w:t>Archivos de datos de prueba para los ejercicios de análisis de datos de la cátedra.</w:t>
            </w:r>
          </w:p>
        </w:tc>
      </w:tr>
      <w:tr w:rsidR="00990B14" w14:paraId="4DCD0B58" w14:textId="77777777">
        <w:trPr>
          <w:jc w:val="center"/>
        </w:trPr>
        <w:tc>
          <w:tcPr>
            <w:tcW w:w="1490" w:type="dxa"/>
            <w:shd w:val="clear" w:color="auto" w:fill="4472C4"/>
            <w:vAlign w:val="center"/>
          </w:tcPr>
          <w:p w14:paraId="787AC385" w14:textId="77777777" w:rsidR="00990B14" w:rsidRDefault="00000000">
            <w:pPr>
              <w:spacing w:before="20" w:after="20"/>
              <w:jc w:val="center"/>
            </w:pPr>
            <w:r>
              <w:rPr>
                <w:b/>
                <w:bCs/>
                <w:i/>
                <w:iCs/>
                <w:color w:val="FFFFFF"/>
                <w:sz w:val="18"/>
                <w:szCs w:val="18"/>
              </w:rPr>
              <w:t>Estrategias de evaluación</w:t>
            </w:r>
          </w:p>
        </w:tc>
        <w:tc>
          <w:tcPr>
            <w:tcW w:w="7915" w:type="dxa"/>
            <w:gridSpan w:val="4"/>
            <w:shd w:val="clear" w:color="auto" w:fill="D9E2F3"/>
            <w:vAlign w:val="center"/>
          </w:tcPr>
          <w:p w14:paraId="18ABC419" w14:textId="77777777" w:rsidR="00990B14" w:rsidRDefault="00000000">
            <w:pPr>
              <w:numPr>
                <w:ilvl w:val="0"/>
                <w:numId w:val="140"/>
              </w:numPr>
              <w:spacing w:before="10" w:after="10"/>
              <w:jc w:val="both"/>
            </w:pPr>
            <w:r>
              <w:rPr>
                <w:sz w:val="18"/>
                <w:szCs w:val="18"/>
              </w:rPr>
              <w:t>Evaluación diagnóstica: prueba inicial sobre control interno, gestión de riesgos y sistemas de información de las materias precedentes.</w:t>
            </w:r>
          </w:p>
          <w:p w14:paraId="108EB373" w14:textId="77777777" w:rsidR="00990B14" w:rsidRDefault="00000000">
            <w:pPr>
              <w:numPr>
                <w:ilvl w:val="0"/>
                <w:numId w:val="140"/>
              </w:numPr>
              <w:spacing w:before="10" w:after="10"/>
              <w:jc w:val="both"/>
            </w:pPr>
            <w:r>
              <w:rPr>
                <w:sz w:val="18"/>
                <w:szCs w:val="18"/>
              </w:rPr>
              <w:t>Evaluación formativa: preguntas de comprensión y desarrollo de ejercicios prácticos en el aula, con retroalimentación continua, autoevaluación y coevaluación.</w:t>
            </w:r>
          </w:p>
          <w:p w14:paraId="4D86F760" w14:textId="77777777" w:rsidR="00990B14" w:rsidRDefault="00000000">
            <w:pPr>
              <w:numPr>
                <w:ilvl w:val="0"/>
                <w:numId w:val="140"/>
              </w:numPr>
              <w:spacing w:before="10" w:after="10"/>
              <w:jc w:val="both"/>
            </w:pPr>
            <w:r>
              <w:rPr>
                <w:sz w:val="18"/>
                <w:szCs w:val="18"/>
              </w:rPr>
              <w:t>Evaluación sumativa: controles de lectura y asistencia, evaluación de casos prácticos, trabajos de investigación y desarrollo, exámenes parciales y examen final.</w:t>
            </w:r>
          </w:p>
        </w:tc>
      </w:tr>
      <w:tr w:rsidR="00990B14" w14:paraId="27F8655E" w14:textId="77777777">
        <w:trPr>
          <w:jc w:val="center"/>
        </w:trPr>
        <w:tc>
          <w:tcPr>
            <w:tcW w:w="1490" w:type="dxa"/>
            <w:shd w:val="clear" w:color="auto" w:fill="4472C4"/>
            <w:vAlign w:val="center"/>
          </w:tcPr>
          <w:p w14:paraId="4E391745" w14:textId="77777777" w:rsidR="00990B14" w:rsidRDefault="00000000">
            <w:pPr>
              <w:spacing w:before="20" w:after="20"/>
              <w:jc w:val="center"/>
            </w:pPr>
            <w:r>
              <w:rPr>
                <w:b/>
                <w:bCs/>
                <w:i/>
                <w:iCs/>
                <w:color w:val="FFFFFF"/>
                <w:sz w:val="18"/>
                <w:szCs w:val="18"/>
              </w:rPr>
              <w:t>Criterios de calificación</w:t>
            </w:r>
          </w:p>
        </w:tc>
        <w:tc>
          <w:tcPr>
            <w:tcW w:w="7915" w:type="dxa"/>
            <w:gridSpan w:val="4"/>
            <w:shd w:val="clear" w:color="auto" w:fill="D9E2F3"/>
            <w:vAlign w:val="center"/>
          </w:tcPr>
          <w:p w14:paraId="7F3E85E8" w14:textId="77777777" w:rsidR="00990B14" w:rsidRDefault="00000000">
            <w:pPr>
              <w:numPr>
                <w:ilvl w:val="0"/>
                <w:numId w:val="140"/>
              </w:numPr>
              <w:spacing w:before="10" w:after="10"/>
              <w:jc w:val="both"/>
            </w:pPr>
            <w:r>
              <w:rPr>
                <w:sz w:val="18"/>
                <w:szCs w:val="18"/>
              </w:rPr>
              <w:t>Nota mínima de aprobación: 51/100.</w:t>
            </w:r>
          </w:p>
          <w:p w14:paraId="1CA41F4D" w14:textId="77777777" w:rsidR="00990B14" w:rsidRDefault="00000000">
            <w:pPr>
              <w:numPr>
                <w:ilvl w:val="0"/>
                <w:numId w:val="140"/>
              </w:numPr>
              <w:spacing w:before="10" w:after="10"/>
              <w:jc w:val="both"/>
            </w:pPr>
            <w:r>
              <w:rPr>
                <w:sz w:val="18"/>
                <w:szCs w:val="18"/>
              </w:rPr>
              <w:t>Evaluación periódica al finalizar cada tema, basada en evidencias de conocimiento, desempeño y producto.</w:t>
            </w:r>
          </w:p>
          <w:p w14:paraId="5F5196ED" w14:textId="77777777" w:rsidR="00990B14" w:rsidRDefault="00000000">
            <w:pPr>
              <w:numPr>
                <w:ilvl w:val="0"/>
                <w:numId w:val="140"/>
              </w:numPr>
              <w:spacing w:before="10" w:after="10"/>
              <w:jc w:val="both"/>
            </w:pPr>
            <w:r>
              <w:rPr>
                <w:sz w:val="18"/>
                <w:szCs w:val="18"/>
              </w:rPr>
              <w:t>Cada evidencia de producto se evalúa con su propia rúbrica de tres niveles: Insuficiente, Suficiente y Destacado.</w:t>
            </w:r>
          </w:p>
          <w:p w14:paraId="5817E6A6" w14:textId="77777777" w:rsidR="00990B14" w:rsidRDefault="00000000">
            <w:pPr>
              <w:numPr>
                <w:ilvl w:val="0"/>
                <w:numId w:val="140"/>
              </w:numPr>
              <w:spacing w:before="10" w:after="10"/>
              <w:jc w:val="both"/>
            </w:pPr>
            <w:r>
              <w:rPr>
                <w:sz w:val="18"/>
                <w:szCs w:val="18"/>
              </w:rPr>
              <w:t>La calificación de cada elemento de competencia suma las calificaciones de sus evidencias de producto.</w:t>
            </w:r>
          </w:p>
        </w:tc>
      </w:tr>
      <w:tr w:rsidR="00990B14" w14:paraId="4F3911AF" w14:textId="77777777">
        <w:trPr>
          <w:cantSplit/>
          <w:jc w:val="center"/>
        </w:trPr>
        <w:tc>
          <w:tcPr>
            <w:tcW w:w="1490" w:type="dxa"/>
            <w:vMerge w:val="restart"/>
            <w:shd w:val="clear" w:color="auto" w:fill="4472C4"/>
            <w:vAlign w:val="center"/>
          </w:tcPr>
          <w:p w14:paraId="7F5592AC" w14:textId="77777777" w:rsidR="00990B14" w:rsidRDefault="00000000">
            <w:pPr>
              <w:spacing w:before="20" w:after="20"/>
              <w:jc w:val="center"/>
            </w:pPr>
            <w:r>
              <w:rPr>
                <w:b/>
                <w:bCs/>
                <w:i/>
                <w:iCs/>
                <w:color w:val="FFFFFF"/>
                <w:sz w:val="18"/>
                <w:szCs w:val="18"/>
              </w:rPr>
              <w:t>Niveles de logro y distribución de la calificación</w:t>
            </w:r>
          </w:p>
        </w:tc>
        <w:tc>
          <w:tcPr>
            <w:tcW w:w="6038" w:type="dxa"/>
            <w:gridSpan w:val="3"/>
            <w:shd w:val="clear" w:color="auto" w:fill="D9E2F3"/>
            <w:vAlign w:val="center"/>
          </w:tcPr>
          <w:p w14:paraId="10E8D449" w14:textId="77777777" w:rsidR="00990B14" w:rsidRDefault="00000000">
            <w:pPr>
              <w:keepNext/>
              <w:spacing w:before="20" w:after="20"/>
              <w:jc w:val="both"/>
            </w:pPr>
            <w:r>
              <w:rPr>
                <w:b/>
                <w:bCs/>
                <w:i/>
                <w:iCs/>
                <w:sz w:val="18"/>
                <w:szCs w:val="18"/>
              </w:rPr>
              <w:t xml:space="preserve">Producto 1: </w:t>
            </w:r>
            <w:r>
              <w:rPr>
                <w:sz w:val="18"/>
                <w:szCs w:val="18"/>
              </w:rPr>
              <w:t>Análisis de los Sistemas de Información Empresariales y Aplicaciones individuales. Verificación de la Infraestructura de TI.</w:t>
            </w:r>
          </w:p>
        </w:tc>
        <w:tc>
          <w:tcPr>
            <w:tcW w:w="1877" w:type="dxa"/>
            <w:shd w:val="clear" w:color="auto" w:fill="D9E2F3"/>
            <w:vAlign w:val="center"/>
          </w:tcPr>
          <w:p w14:paraId="4F24BB7A" w14:textId="77777777" w:rsidR="00990B14" w:rsidRDefault="00000000">
            <w:pPr>
              <w:spacing w:before="20" w:after="20"/>
              <w:jc w:val="center"/>
            </w:pPr>
            <w:r>
              <w:rPr>
                <w:b/>
                <w:bCs/>
                <w:sz w:val="18"/>
                <w:szCs w:val="18"/>
              </w:rPr>
              <w:t>2%</w:t>
            </w:r>
          </w:p>
        </w:tc>
      </w:tr>
      <w:tr w:rsidR="00990B14" w14:paraId="3A354655" w14:textId="77777777">
        <w:trPr>
          <w:cantSplit/>
          <w:jc w:val="center"/>
        </w:trPr>
        <w:tc>
          <w:tcPr>
            <w:tcW w:w="1490" w:type="dxa"/>
            <w:vMerge/>
            <w:shd w:val="clear" w:color="auto" w:fill="4472C4"/>
            <w:vAlign w:val="center"/>
          </w:tcPr>
          <w:p w14:paraId="5B6842A9" w14:textId="77777777" w:rsidR="00990B14" w:rsidRDefault="00990B14">
            <w:pPr>
              <w:spacing w:before="20" w:after="20"/>
            </w:pPr>
          </w:p>
        </w:tc>
        <w:tc>
          <w:tcPr>
            <w:tcW w:w="2120" w:type="dxa"/>
            <w:shd w:val="clear" w:color="auto" w:fill="4472C4"/>
            <w:vAlign w:val="center"/>
          </w:tcPr>
          <w:p w14:paraId="49D2304D" w14:textId="77777777" w:rsidR="00990B14" w:rsidRDefault="00000000">
            <w:pPr>
              <w:keepNext/>
              <w:spacing w:before="20" w:after="20"/>
              <w:jc w:val="center"/>
            </w:pPr>
            <w:r>
              <w:rPr>
                <w:b/>
                <w:bCs/>
                <w:i/>
                <w:iCs/>
                <w:color w:val="FFFFFF"/>
                <w:sz w:val="18"/>
                <w:szCs w:val="18"/>
              </w:rPr>
              <w:t>Criterio</w:t>
            </w:r>
          </w:p>
        </w:tc>
        <w:tc>
          <w:tcPr>
            <w:tcW w:w="1805" w:type="dxa"/>
            <w:shd w:val="clear" w:color="auto" w:fill="4472C4"/>
            <w:vAlign w:val="center"/>
          </w:tcPr>
          <w:p w14:paraId="1F93CAD3" w14:textId="77777777" w:rsidR="00990B14" w:rsidRDefault="00000000">
            <w:pPr>
              <w:keepNext/>
              <w:spacing w:before="20" w:after="20"/>
              <w:jc w:val="center"/>
            </w:pPr>
            <w:r>
              <w:rPr>
                <w:b/>
                <w:bCs/>
                <w:i/>
                <w:iCs/>
                <w:color w:val="FFFFFF"/>
                <w:sz w:val="18"/>
                <w:szCs w:val="18"/>
              </w:rPr>
              <w:t>Insuficiente (1–50)</w:t>
            </w:r>
          </w:p>
        </w:tc>
        <w:tc>
          <w:tcPr>
            <w:tcW w:w="2113" w:type="dxa"/>
            <w:shd w:val="clear" w:color="auto" w:fill="4472C4"/>
            <w:vAlign w:val="center"/>
          </w:tcPr>
          <w:p w14:paraId="03D8B3C2"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2B74C84F" w14:textId="77777777" w:rsidR="00990B14" w:rsidRDefault="00000000">
            <w:pPr>
              <w:keepNext/>
              <w:spacing w:before="20" w:after="20"/>
              <w:jc w:val="center"/>
            </w:pPr>
            <w:r>
              <w:rPr>
                <w:b/>
                <w:bCs/>
                <w:i/>
                <w:iCs/>
                <w:color w:val="FFFFFF"/>
                <w:sz w:val="18"/>
                <w:szCs w:val="18"/>
              </w:rPr>
              <w:t>Destacado (81–100)</w:t>
            </w:r>
          </w:p>
        </w:tc>
      </w:tr>
      <w:tr w:rsidR="00990B14" w14:paraId="58204F5B" w14:textId="77777777">
        <w:trPr>
          <w:cantSplit/>
          <w:jc w:val="center"/>
        </w:trPr>
        <w:tc>
          <w:tcPr>
            <w:tcW w:w="1490" w:type="dxa"/>
            <w:vMerge/>
            <w:shd w:val="clear" w:color="auto" w:fill="4472C4"/>
            <w:vAlign w:val="center"/>
          </w:tcPr>
          <w:p w14:paraId="28D7F73C" w14:textId="77777777" w:rsidR="00990B14" w:rsidRDefault="00990B14">
            <w:pPr>
              <w:spacing w:before="20" w:after="20"/>
            </w:pPr>
          </w:p>
        </w:tc>
        <w:tc>
          <w:tcPr>
            <w:tcW w:w="2120" w:type="dxa"/>
            <w:shd w:val="clear" w:color="auto" w:fill="D9E2F3"/>
            <w:vAlign w:val="center"/>
          </w:tcPr>
          <w:p w14:paraId="00346FCC" w14:textId="77777777" w:rsidR="00990B14" w:rsidRDefault="00000000">
            <w:pPr>
              <w:spacing w:before="20" w:after="20"/>
              <w:jc w:val="both"/>
            </w:pPr>
            <w:r>
              <w:rPr>
                <w:sz w:val="18"/>
                <w:szCs w:val="18"/>
              </w:rPr>
              <w:t>Infraestructura de TI</w:t>
            </w:r>
          </w:p>
        </w:tc>
        <w:tc>
          <w:tcPr>
            <w:tcW w:w="1805" w:type="dxa"/>
            <w:shd w:val="clear" w:color="auto" w:fill="D9E2F3"/>
            <w:vAlign w:val="center"/>
          </w:tcPr>
          <w:p w14:paraId="76B1A505" w14:textId="77777777" w:rsidR="00990B14" w:rsidRDefault="00000000">
            <w:pPr>
              <w:spacing w:before="20" w:after="20"/>
              <w:jc w:val="both"/>
            </w:pPr>
            <w:r>
              <w:rPr>
                <w:sz w:val="18"/>
                <w:szCs w:val="18"/>
              </w:rPr>
              <w:t>No recuerda los pasos de la infraestructura</w:t>
            </w:r>
          </w:p>
        </w:tc>
        <w:tc>
          <w:tcPr>
            <w:tcW w:w="2113" w:type="dxa"/>
            <w:shd w:val="clear" w:color="auto" w:fill="D9E2F3"/>
            <w:vAlign w:val="center"/>
          </w:tcPr>
          <w:p w14:paraId="1814AEB3" w14:textId="77777777" w:rsidR="00990B14" w:rsidRDefault="00000000">
            <w:pPr>
              <w:spacing w:before="20" w:after="20"/>
              <w:jc w:val="both"/>
            </w:pPr>
            <w:r>
              <w:rPr>
                <w:sz w:val="18"/>
                <w:szCs w:val="18"/>
              </w:rPr>
              <w:t>Describe cada tipo</w:t>
            </w:r>
          </w:p>
        </w:tc>
        <w:tc>
          <w:tcPr>
            <w:tcW w:w="1877" w:type="dxa"/>
            <w:shd w:val="clear" w:color="auto" w:fill="D9E2F3"/>
            <w:vAlign w:val="center"/>
          </w:tcPr>
          <w:p w14:paraId="6C7ED0E2" w14:textId="77777777" w:rsidR="00990B14" w:rsidRDefault="00000000">
            <w:pPr>
              <w:spacing w:before="20" w:after="20"/>
              <w:jc w:val="both"/>
            </w:pPr>
            <w:r>
              <w:rPr>
                <w:sz w:val="18"/>
                <w:szCs w:val="18"/>
              </w:rPr>
              <w:t>Verifica la infraestructura de TI de una entidad y sustenta sus hallazgos.</w:t>
            </w:r>
          </w:p>
        </w:tc>
      </w:tr>
      <w:tr w:rsidR="00990B14" w14:paraId="1775CAE4" w14:textId="77777777">
        <w:trPr>
          <w:cantSplit/>
          <w:jc w:val="center"/>
        </w:trPr>
        <w:tc>
          <w:tcPr>
            <w:tcW w:w="1490" w:type="dxa"/>
            <w:vMerge/>
            <w:shd w:val="clear" w:color="auto" w:fill="4472C4"/>
            <w:vAlign w:val="center"/>
          </w:tcPr>
          <w:p w14:paraId="6A914D91" w14:textId="77777777" w:rsidR="00990B14" w:rsidRDefault="00990B14">
            <w:pPr>
              <w:spacing w:before="20" w:after="20"/>
            </w:pPr>
          </w:p>
        </w:tc>
        <w:tc>
          <w:tcPr>
            <w:tcW w:w="2120" w:type="dxa"/>
            <w:shd w:val="clear" w:color="auto" w:fill="D9E2F3"/>
            <w:vAlign w:val="center"/>
          </w:tcPr>
          <w:p w14:paraId="6359A903" w14:textId="77777777" w:rsidR="00990B14" w:rsidRDefault="00000000">
            <w:pPr>
              <w:spacing w:before="20" w:after="20"/>
              <w:jc w:val="both"/>
            </w:pPr>
            <w:r>
              <w:rPr>
                <w:sz w:val="18"/>
                <w:szCs w:val="18"/>
              </w:rPr>
              <w:t>Utilidad contable</w:t>
            </w:r>
          </w:p>
        </w:tc>
        <w:tc>
          <w:tcPr>
            <w:tcW w:w="1805" w:type="dxa"/>
            <w:shd w:val="clear" w:color="auto" w:fill="D9E2F3"/>
            <w:vAlign w:val="center"/>
          </w:tcPr>
          <w:p w14:paraId="01B5C32B" w14:textId="77777777" w:rsidR="00990B14" w:rsidRDefault="00000000">
            <w:pPr>
              <w:spacing w:before="20" w:after="20"/>
              <w:jc w:val="both"/>
            </w:pPr>
            <w:r>
              <w:rPr>
                <w:sz w:val="18"/>
                <w:szCs w:val="18"/>
              </w:rPr>
              <w:t>No relaciona con la contabilidad.</w:t>
            </w:r>
          </w:p>
        </w:tc>
        <w:tc>
          <w:tcPr>
            <w:tcW w:w="2113" w:type="dxa"/>
            <w:shd w:val="clear" w:color="auto" w:fill="D9E2F3"/>
            <w:vAlign w:val="center"/>
          </w:tcPr>
          <w:p w14:paraId="350CEB64" w14:textId="77777777" w:rsidR="00990B14" w:rsidRDefault="00000000">
            <w:pPr>
              <w:spacing w:before="20" w:after="20"/>
              <w:jc w:val="both"/>
            </w:pPr>
            <w:r>
              <w:rPr>
                <w:sz w:val="18"/>
                <w:szCs w:val="18"/>
              </w:rPr>
              <w:t>Explica su utilidad para el contador público.</w:t>
            </w:r>
          </w:p>
        </w:tc>
        <w:tc>
          <w:tcPr>
            <w:tcW w:w="1877" w:type="dxa"/>
            <w:shd w:val="clear" w:color="auto" w:fill="D9E2F3"/>
            <w:vAlign w:val="center"/>
          </w:tcPr>
          <w:p w14:paraId="4BAF1998" w14:textId="77777777" w:rsidR="00990B14" w:rsidRDefault="00000000">
            <w:pPr>
              <w:spacing w:before="20" w:after="20"/>
              <w:jc w:val="both"/>
            </w:pPr>
            <w:r>
              <w:rPr>
                <w:sz w:val="18"/>
                <w:szCs w:val="18"/>
              </w:rPr>
              <w:t>Analiza el impacto de cada sistema en la información contable de la entidad.</w:t>
            </w:r>
          </w:p>
        </w:tc>
      </w:tr>
      <w:tr w:rsidR="00990B14" w14:paraId="4C91AAA6" w14:textId="77777777">
        <w:trPr>
          <w:cantSplit/>
          <w:jc w:val="center"/>
        </w:trPr>
        <w:tc>
          <w:tcPr>
            <w:tcW w:w="1490" w:type="dxa"/>
            <w:vMerge/>
            <w:shd w:val="clear" w:color="auto" w:fill="4472C4"/>
            <w:vAlign w:val="center"/>
          </w:tcPr>
          <w:p w14:paraId="1CF54B2C" w14:textId="77777777" w:rsidR="00990B14" w:rsidRDefault="00990B14">
            <w:pPr>
              <w:spacing w:before="20" w:after="20"/>
            </w:pPr>
          </w:p>
        </w:tc>
        <w:tc>
          <w:tcPr>
            <w:tcW w:w="2120" w:type="dxa"/>
            <w:shd w:val="clear" w:color="auto" w:fill="D9E2F3"/>
            <w:vAlign w:val="center"/>
          </w:tcPr>
          <w:p w14:paraId="09518F42" w14:textId="77777777" w:rsidR="00990B14" w:rsidRDefault="00000000">
            <w:pPr>
              <w:spacing w:before="20" w:after="20"/>
              <w:jc w:val="both"/>
            </w:pPr>
            <w:r>
              <w:rPr>
                <w:sz w:val="18"/>
                <w:szCs w:val="18"/>
              </w:rPr>
              <w:t>Presentación</w:t>
            </w:r>
          </w:p>
        </w:tc>
        <w:tc>
          <w:tcPr>
            <w:tcW w:w="1805" w:type="dxa"/>
            <w:shd w:val="clear" w:color="auto" w:fill="D9E2F3"/>
            <w:vAlign w:val="center"/>
          </w:tcPr>
          <w:p w14:paraId="18F19A44" w14:textId="77777777" w:rsidR="00990B14" w:rsidRDefault="00000000">
            <w:pPr>
              <w:spacing w:before="20" w:after="20"/>
              <w:jc w:val="both"/>
            </w:pPr>
            <w:r>
              <w:rPr>
                <w:sz w:val="18"/>
                <w:szCs w:val="18"/>
              </w:rPr>
              <w:t>El cuadro es desordenado.</w:t>
            </w:r>
          </w:p>
        </w:tc>
        <w:tc>
          <w:tcPr>
            <w:tcW w:w="2113" w:type="dxa"/>
            <w:shd w:val="clear" w:color="auto" w:fill="D9E2F3"/>
            <w:vAlign w:val="center"/>
          </w:tcPr>
          <w:p w14:paraId="07B7DA87" w14:textId="77777777" w:rsidR="00990B14" w:rsidRDefault="00000000">
            <w:pPr>
              <w:spacing w:before="20" w:after="20"/>
              <w:jc w:val="both"/>
            </w:pPr>
            <w:r>
              <w:rPr>
                <w:sz w:val="18"/>
                <w:szCs w:val="18"/>
              </w:rPr>
              <w:t>El cuadro es claro.</w:t>
            </w:r>
          </w:p>
        </w:tc>
        <w:tc>
          <w:tcPr>
            <w:tcW w:w="1877" w:type="dxa"/>
            <w:shd w:val="clear" w:color="auto" w:fill="D9E2F3"/>
            <w:vAlign w:val="center"/>
          </w:tcPr>
          <w:p w14:paraId="33472CE2" w14:textId="77777777" w:rsidR="00990B14" w:rsidRDefault="00000000">
            <w:pPr>
              <w:spacing w:before="20" w:after="20"/>
              <w:jc w:val="both"/>
            </w:pPr>
            <w:r>
              <w:rPr>
                <w:sz w:val="18"/>
                <w:szCs w:val="18"/>
              </w:rPr>
              <w:t>El análisis integra ejemplos de entidades bolivianas con claridad.</w:t>
            </w:r>
          </w:p>
        </w:tc>
      </w:tr>
      <w:tr w:rsidR="00990B14" w14:paraId="1B65DBB3" w14:textId="77777777">
        <w:trPr>
          <w:cantSplit/>
          <w:jc w:val="center"/>
        </w:trPr>
        <w:tc>
          <w:tcPr>
            <w:tcW w:w="1490" w:type="dxa"/>
            <w:vMerge/>
            <w:shd w:val="clear" w:color="auto" w:fill="4472C4"/>
            <w:vAlign w:val="center"/>
          </w:tcPr>
          <w:p w14:paraId="0B4C8643" w14:textId="77777777" w:rsidR="00990B14" w:rsidRDefault="00990B14">
            <w:pPr>
              <w:spacing w:before="20" w:after="20"/>
            </w:pPr>
          </w:p>
        </w:tc>
        <w:tc>
          <w:tcPr>
            <w:tcW w:w="6038" w:type="dxa"/>
            <w:gridSpan w:val="3"/>
            <w:shd w:val="clear" w:color="auto" w:fill="D9E2F3"/>
            <w:vAlign w:val="center"/>
          </w:tcPr>
          <w:p w14:paraId="11C777A8" w14:textId="77777777" w:rsidR="00990B14" w:rsidRDefault="00000000">
            <w:pPr>
              <w:keepNext/>
              <w:spacing w:before="20" w:after="20"/>
              <w:jc w:val="both"/>
            </w:pPr>
            <w:r>
              <w:rPr>
                <w:b/>
                <w:bCs/>
                <w:i/>
                <w:iCs/>
                <w:sz w:val="18"/>
                <w:szCs w:val="18"/>
              </w:rPr>
              <w:t xml:space="preserve">Producto 2: </w:t>
            </w:r>
            <w:r>
              <w:rPr>
                <w:sz w:val="18"/>
                <w:szCs w:val="18"/>
              </w:rPr>
              <w:t>Cuadro comparativo de sistemas de información</w:t>
            </w:r>
          </w:p>
        </w:tc>
        <w:tc>
          <w:tcPr>
            <w:tcW w:w="1877" w:type="dxa"/>
            <w:shd w:val="clear" w:color="auto" w:fill="D9E2F3"/>
            <w:vAlign w:val="center"/>
          </w:tcPr>
          <w:p w14:paraId="2C462E2A" w14:textId="77777777" w:rsidR="00990B14" w:rsidRDefault="00000000">
            <w:pPr>
              <w:spacing w:before="20" w:after="20"/>
              <w:jc w:val="center"/>
            </w:pPr>
            <w:r>
              <w:rPr>
                <w:b/>
                <w:bCs/>
                <w:sz w:val="18"/>
                <w:szCs w:val="18"/>
              </w:rPr>
              <w:t>2%</w:t>
            </w:r>
          </w:p>
        </w:tc>
      </w:tr>
      <w:tr w:rsidR="00990B14" w14:paraId="336CBF13" w14:textId="77777777">
        <w:trPr>
          <w:cantSplit/>
          <w:jc w:val="center"/>
        </w:trPr>
        <w:tc>
          <w:tcPr>
            <w:tcW w:w="1490" w:type="dxa"/>
            <w:vMerge/>
            <w:shd w:val="clear" w:color="auto" w:fill="4472C4"/>
            <w:vAlign w:val="center"/>
          </w:tcPr>
          <w:p w14:paraId="2DAA1EB9" w14:textId="77777777" w:rsidR="00990B14" w:rsidRDefault="00990B14">
            <w:pPr>
              <w:spacing w:before="20" w:after="20"/>
            </w:pPr>
          </w:p>
        </w:tc>
        <w:tc>
          <w:tcPr>
            <w:tcW w:w="2120" w:type="dxa"/>
            <w:shd w:val="clear" w:color="auto" w:fill="4472C4"/>
            <w:vAlign w:val="center"/>
          </w:tcPr>
          <w:p w14:paraId="726957A0" w14:textId="77777777" w:rsidR="00990B14" w:rsidRDefault="00000000">
            <w:pPr>
              <w:keepNext/>
              <w:spacing w:before="20" w:after="20"/>
              <w:jc w:val="center"/>
            </w:pPr>
            <w:r>
              <w:rPr>
                <w:b/>
                <w:bCs/>
                <w:i/>
                <w:iCs/>
                <w:color w:val="FFFFFF"/>
                <w:sz w:val="18"/>
                <w:szCs w:val="18"/>
              </w:rPr>
              <w:t>Criterio</w:t>
            </w:r>
          </w:p>
        </w:tc>
        <w:tc>
          <w:tcPr>
            <w:tcW w:w="1805" w:type="dxa"/>
            <w:shd w:val="clear" w:color="auto" w:fill="4472C4"/>
            <w:vAlign w:val="center"/>
          </w:tcPr>
          <w:p w14:paraId="4E538CB6" w14:textId="77777777" w:rsidR="00990B14" w:rsidRDefault="00000000">
            <w:pPr>
              <w:keepNext/>
              <w:spacing w:before="20" w:after="20"/>
              <w:jc w:val="center"/>
            </w:pPr>
            <w:r>
              <w:rPr>
                <w:b/>
                <w:bCs/>
                <w:i/>
                <w:iCs/>
                <w:color w:val="FFFFFF"/>
                <w:sz w:val="18"/>
                <w:szCs w:val="18"/>
              </w:rPr>
              <w:t>Insuficiente (1–50)</w:t>
            </w:r>
          </w:p>
        </w:tc>
        <w:tc>
          <w:tcPr>
            <w:tcW w:w="2113" w:type="dxa"/>
            <w:shd w:val="clear" w:color="auto" w:fill="4472C4"/>
            <w:vAlign w:val="center"/>
          </w:tcPr>
          <w:p w14:paraId="7649F80F"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0EBE3E67" w14:textId="77777777" w:rsidR="00990B14" w:rsidRDefault="00000000">
            <w:pPr>
              <w:keepNext/>
              <w:spacing w:before="20" w:after="20"/>
              <w:jc w:val="center"/>
            </w:pPr>
            <w:r>
              <w:rPr>
                <w:b/>
                <w:bCs/>
                <w:i/>
                <w:iCs/>
                <w:color w:val="FFFFFF"/>
                <w:sz w:val="18"/>
                <w:szCs w:val="18"/>
              </w:rPr>
              <w:t>Destacado (81–100)</w:t>
            </w:r>
          </w:p>
        </w:tc>
      </w:tr>
      <w:tr w:rsidR="00990B14" w14:paraId="77365E4A" w14:textId="77777777">
        <w:trPr>
          <w:cantSplit/>
          <w:jc w:val="center"/>
        </w:trPr>
        <w:tc>
          <w:tcPr>
            <w:tcW w:w="1490" w:type="dxa"/>
            <w:vMerge/>
            <w:shd w:val="clear" w:color="auto" w:fill="4472C4"/>
            <w:vAlign w:val="center"/>
          </w:tcPr>
          <w:p w14:paraId="6DEB0495" w14:textId="77777777" w:rsidR="00990B14" w:rsidRDefault="00990B14">
            <w:pPr>
              <w:spacing w:before="20" w:after="20"/>
            </w:pPr>
          </w:p>
        </w:tc>
        <w:tc>
          <w:tcPr>
            <w:tcW w:w="2120" w:type="dxa"/>
            <w:shd w:val="clear" w:color="auto" w:fill="D9E2F3"/>
            <w:vAlign w:val="center"/>
          </w:tcPr>
          <w:p w14:paraId="6C1BA94F" w14:textId="77777777" w:rsidR="00990B14" w:rsidRDefault="00000000">
            <w:pPr>
              <w:spacing w:before="20" w:after="20"/>
              <w:jc w:val="both"/>
            </w:pPr>
            <w:r>
              <w:rPr>
                <w:sz w:val="18"/>
                <w:szCs w:val="18"/>
              </w:rPr>
              <w:t>Tipos de sistemas</w:t>
            </w:r>
          </w:p>
        </w:tc>
        <w:tc>
          <w:tcPr>
            <w:tcW w:w="1805" w:type="dxa"/>
            <w:shd w:val="clear" w:color="auto" w:fill="D9E2F3"/>
            <w:vAlign w:val="center"/>
          </w:tcPr>
          <w:p w14:paraId="7C3B2C2A" w14:textId="77777777" w:rsidR="00990B14" w:rsidRDefault="00000000">
            <w:pPr>
              <w:spacing w:before="20" w:after="20"/>
              <w:jc w:val="both"/>
            </w:pPr>
            <w:r>
              <w:rPr>
                <w:sz w:val="18"/>
                <w:szCs w:val="18"/>
              </w:rPr>
              <w:t>Omite tipos de sistemas.</w:t>
            </w:r>
          </w:p>
        </w:tc>
        <w:tc>
          <w:tcPr>
            <w:tcW w:w="2113" w:type="dxa"/>
            <w:shd w:val="clear" w:color="auto" w:fill="D9E2F3"/>
            <w:vAlign w:val="center"/>
          </w:tcPr>
          <w:p w14:paraId="051A39D4" w14:textId="77777777" w:rsidR="00990B14" w:rsidRDefault="00000000">
            <w:pPr>
              <w:spacing w:before="20" w:after="20"/>
              <w:jc w:val="both"/>
            </w:pPr>
            <w:r>
              <w:rPr>
                <w:sz w:val="18"/>
                <w:szCs w:val="18"/>
              </w:rPr>
              <w:t>Describe cada tipo de sistema.</w:t>
            </w:r>
          </w:p>
        </w:tc>
        <w:tc>
          <w:tcPr>
            <w:tcW w:w="1877" w:type="dxa"/>
            <w:shd w:val="clear" w:color="auto" w:fill="D9E2F3"/>
            <w:vAlign w:val="center"/>
          </w:tcPr>
          <w:p w14:paraId="5A292326" w14:textId="77777777" w:rsidR="00990B14" w:rsidRDefault="00000000">
            <w:pPr>
              <w:spacing w:before="20" w:after="20"/>
              <w:jc w:val="both"/>
            </w:pPr>
            <w:r>
              <w:rPr>
                <w:sz w:val="18"/>
                <w:szCs w:val="18"/>
              </w:rPr>
              <w:t>Ubica cada sistema en el nivel de decisión que atiende.</w:t>
            </w:r>
          </w:p>
        </w:tc>
      </w:tr>
      <w:tr w:rsidR="00990B14" w14:paraId="74DA7AAA" w14:textId="77777777">
        <w:trPr>
          <w:cantSplit/>
          <w:jc w:val="center"/>
        </w:trPr>
        <w:tc>
          <w:tcPr>
            <w:tcW w:w="1490" w:type="dxa"/>
            <w:vMerge/>
            <w:shd w:val="clear" w:color="auto" w:fill="4472C4"/>
            <w:vAlign w:val="center"/>
          </w:tcPr>
          <w:p w14:paraId="7BCC35E4" w14:textId="77777777" w:rsidR="00990B14" w:rsidRDefault="00990B14">
            <w:pPr>
              <w:spacing w:before="20" w:after="20"/>
            </w:pPr>
          </w:p>
        </w:tc>
        <w:tc>
          <w:tcPr>
            <w:tcW w:w="2120" w:type="dxa"/>
            <w:shd w:val="clear" w:color="auto" w:fill="D9E2F3"/>
            <w:vAlign w:val="center"/>
          </w:tcPr>
          <w:p w14:paraId="643C5327" w14:textId="77777777" w:rsidR="00990B14" w:rsidRDefault="00000000">
            <w:pPr>
              <w:spacing w:before="20" w:after="20"/>
              <w:jc w:val="both"/>
            </w:pPr>
            <w:r>
              <w:rPr>
                <w:sz w:val="18"/>
                <w:szCs w:val="18"/>
              </w:rPr>
              <w:t>Utilidad contable</w:t>
            </w:r>
          </w:p>
        </w:tc>
        <w:tc>
          <w:tcPr>
            <w:tcW w:w="1805" w:type="dxa"/>
            <w:shd w:val="clear" w:color="auto" w:fill="D9E2F3"/>
            <w:vAlign w:val="center"/>
          </w:tcPr>
          <w:p w14:paraId="794EEB96" w14:textId="77777777" w:rsidR="00990B14" w:rsidRDefault="00000000">
            <w:pPr>
              <w:spacing w:before="20" w:after="20"/>
              <w:jc w:val="both"/>
            </w:pPr>
            <w:r>
              <w:rPr>
                <w:sz w:val="18"/>
                <w:szCs w:val="18"/>
              </w:rPr>
              <w:t>No relaciona con la contabilidad.</w:t>
            </w:r>
          </w:p>
        </w:tc>
        <w:tc>
          <w:tcPr>
            <w:tcW w:w="2113" w:type="dxa"/>
            <w:shd w:val="clear" w:color="auto" w:fill="D9E2F3"/>
            <w:vAlign w:val="center"/>
          </w:tcPr>
          <w:p w14:paraId="63B0D353" w14:textId="77777777" w:rsidR="00990B14" w:rsidRDefault="00000000">
            <w:pPr>
              <w:spacing w:before="20" w:after="20"/>
              <w:jc w:val="both"/>
            </w:pPr>
            <w:r>
              <w:rPr>
                <w:sz w:val="18"/>
                <w:szCs w:val="18"/>
              </w:rPr>
              <w:t>Explica su utilidad para el contador público.</w:t>
            </w:r>
          </w:p>
        </w:tc>
        <w:tc>
          <w:tcPr>
            <w:tcW w:w="1877" w:type="dxa"/>
            <w:shd w:val="clear" w:color="auto" w:fill="D9E2F3"/>
            <w:vAlign w:val="center"/>
          </w:tcPr>
          <w:p w14:paraId="11A7FE7B" w14:textId="77777777" w:rsidR="00990B14" w:rsidRDefault="00000000">
            <w:pPr>
              <w:spacing w:before="20" w:after="20"/>
              <w:jc w:val="both"/>
            </w:pPr>
            <w:r>
              <w:rPr>
                <w:sz w:val="18"/>
                <w:szCs w:val="18"/>
              </w:rPr>
              <w:t>Identifica los riesgos de auditoría de cada sistema.</w:t>
            </w:r>
          </w:p>
        </w:tc>
      </w:tr>
      <w:tr w:rsidR="00990B14" w14:paraId="1E0811F9" w14:textId="77777777">
        <w:trPr>
          <w:cantSplit/>
          <w:jc w:val="center"/>
        </w:trPr>
        <w:tc>
          <w:tcPr>
            <w:tcW w:w="1490" w:type="dxa"/>
            <w:vMerge/>
            <w:shd w:val="clear" w:color="auto" w:fill="4472C4"/>
            <w:vAlign w:val="center"/>
          </w:tcPr>
          <w:p w14:paraId="7CA0BE9F" w14:textId="77777777" w:rsidR="00990B14" w:rsidRDefault="00990B14">
            <w:pPr>
              <w:spacing w:before="20" w:after="20"/>
            </w:pPr>
          </w:p>
        </w:tc>
        <w:tc>
          <w:tcPr>
            <w:tcW w:w="2120" w:type="dxa"/>
            <w:shd w:val="clear" w:color="auto" w:fill="D9E2F3"/>
            <w:vAlign w:val="center"/>
          </w:tcPr>
          <w:p w14:paraId="3DBDC522" w14:textId="77777777" w:rsidR="00990B14" w:rsidRDefault="00000000">
            <w:pPr>
              <w:spacing w:before="20" w:after="20"/>
              <w:jc w:val="both"/>
            </w:pPr>
            <w:r>
              <w:rPr>
                <w:sz w:val="18"/>
                <w:szCs w:val="18"/>
              </w:rPr>
              <w:t>Presentación</w:t>
            </w:r>
          </w:p>
        </w:tc>
        <w:tc>
          <w:tcPr>
            <w:tcW w:w="1805" w:type="dxa"/>
            <w:shd w:val="clear" w:color="auto" w:fill="D9E2F3"/>
            <w:vAlign w:val="center"/>
          </w:tcPr>
          <w:p w14:paraId="34408E6E" w14:textId="77777777" w:rsidR="00990B14" w:rsidRDefault="00000000">
            <w:pPr>
              <w:spacing w:before="20" w:after="20"/>
              <w:jc w:val="both"/>
            </w:pPr>
            <w:r>
              <w:rPr>
                <w:sz w:val="18"/>
                <w:szCs w:val="18"/>
              </w:rPr>
              <w:t>El cuadro es desordenado.</w:t>
            </w:r>
          </w:p>
        </w:tc>
        <w:tc>
          <w:tcPr>
            <w:tcW w:w="2113" w:type="dxa"/>
            <w:shd w:val="clear" w:color="auto" w:fill="D9E2F3"/>
            <w:vAlign w:val="center"/>
          </w:tcPr>
          <w:p w14:paraId="2BA4ED13" w14:textId="77777777" w:rsidR="00990B14" w:rsidRDefault="00000000">
            <w:pPr>
              <w:spacing w:before="20" w:after="20"/>
              <w:jc w:val="both"/>
            </w:pPr>
            <w:r>
              <w:rPr>
                <w:sz w:val="18"/>
                <w:szCs w:val="18"/>
              </w:rPr>
              <w:t>El cuadro es claro.</w:t>
            </w:r>
          </w:p>
        </w:tc>
        <w:tc>
          <w:tcPr>
            <w:tcW w:w="1877" w:type="dxa"/>
            <w:shd w:val="clear" w:color="auto" w:fill="D9E2F3"/>
            <w:vAlign w:val="center"/>
          </w:tcPr>
          <w:p w14:paraId="7127C6F1" w14:textId="77777777" w:rsidR="00990B14" w:rsidRDefault="00000000">
            <w:pPr>
              <w:spacing w:before="20" w:after="20"/>
              <w:jc w:val="both"/>
            </w:pPr>
            <w:r>
              <w:rPr>
                <w:sz w:val="18"/>
                <w:szCs w:val="18"/>
              </w:rPr>
              <w:t>El cuadro usa ejemplos de entidades bolivianas.</w:t>
            </w:r>
          </w:p>
        </w:tc>
      </w:tr>
      <w:tr w:rsidR="00990B14" w14:paraId="7EFF024B" w14:textId="77777777">
        <w:trPr>
          <w:cantSplit/>
          <w:jc w:val="center"/>
        </w:trPr>
        <w:tc>
          <w:tcPr>
            <w:tcW w:w="1490" w:type="dxa"/>
            <w:vMerge/>
            <w:shd w:val="clear" w:color="auto" w:fill="4472C4"/>
            <w:vAlign w:val="center"/>
          </w:tcPr>
          <w:p w14:paraId="36A65234" w14:textId="77777777" w:rsidR="00990B14" w:rsidRDefault="00990B14">
            <w:pPr>
              <w:spacing w:before="20" w:after="20"/>
            </w:pPr>
          </w:p>
        </w:tc>
        <w:tc>
          <w:tcPr>
            <w:tcW w:w="6038" w:type="dxa"/>
            <w:gridSpan w:val="3"/>
            <w:shd w:val="clear" w:color="auto" w:fill="D9E2F3"/>
            <w:vAlign w:val="center"/>
          </w:tcPr>
          <w:p w14:paraId="25AC5914" w14:textId="77777777" w:rsidR="00990B14" w:rsidRDefault="00000000">
            <w:pPr>
              <w:keepNext/>
              <w:spacing w:before="20" w:after="20"/>
              <w:jc w:val="both"/>
            </w:pPr>
            <w:r>
              <w:rPr>
                <w:b/>
                <w:bCs/>
                <w:i/>
                <w:iCs/>
                <w:sz w:val="18"/>
                <w:szCs w:val="18"/>
              </w:rPr>
              <w:t xml:space="preserve">Producto 3: </w:t>
            </w:r>
            <w:r>
              <w:rPr>
                <w:sz w:val="18"/>
                <w:szCs w:val="18"/>
              </w:rPr>
              <w:t>Modelo de la base de datos contable</w:t>
            </w:r>
          </w:p>
        </w:tc>
        <w:tc>
          <w:tcPr>
            <w:tcW w:w="1877" w:type="dxa"/>
            <w:shd w:val="clear" w:color="auto" w:fill="D9E2F3"/>
            <w:vAlign w:val="center"/>
          </w:tcPr>
          <w:p w14:paraId="5FE212FB" w14:textId="77777777" w:rsidR="00990B14" w:rsidRDefault="00000000">
            <w:pPr>
              <w:spacing w:before="20" w:after="20"/>
              <w:jc w:val="center"/>
            </w:pPr>
            <w:r>
              <w:rPr>
                <w:b/>
                <w:bCs/>
                <w:sz w:val="18"/>
                <w:szCs w:val="18"/>
              </w:rPr>
              <w:t>4%</w:t>
            </w:r>
          </w:p>
        </w:tc>
      </w:tr>
      <w:tr w:rsidR="00990B14" w14:paraId="46AE9BD4" w14:textId="77777777">
        <w:trPr>
          <w:cantSplit/>
          <w:jc w:val="center"/>
        </w:trPr>
        <w:tc>
          <w:tcPr>
            <w:tcW w:w="1490" w:type="dxa"/>
            <w:vMerge/>
            <w:shd w:val="clear" w:color="auto" w:fill="4472C4"/>
            <w:vAlign w:val="center"/>
          </w:tcPr>
          <w:p w14:paraId="1807F2A8" w14:textId="77777777" w:rsidR="00990B14" w:rsidRDefault="00990B14">
            <w:pPr>
              <w:spacing w:before="20" w:after="20"/>
            </w:pPr>
          </w:p>
        </w:tc>
        <w:tc>
          <w:tcPr>
            <w:tcW w:w="2120" w:type="dxa"/>
            <w:shd w:val="clear" w:color="auto" w:fill="4472C4"/>
            <w:vAlign w:val="center"/>
          </w:tcPr>
          <w:p w14:paraId="03F4D0CE" w14:textId="77777777" w:rsidR="00990B14" w:rsidRDefault="00000000">
            <w:pPr>
              <w:keepNext/>
              <w:spacing w:before="20" w:after="20"/>
              <w:jc w:val="center"/>
            </w:pPr>
            <w:r>
              <w:rPr>
                <w:b/>
                <w:bCs/>
                <w:i/>
                <w:iCs/>
                <w:color w:val="FFFFFF"/>
                <w:sz w:val="18"/>
                <w:szCs w:val="18"/>
              </w:rPr>
              <w:t>Criterio</w:t>
            </w:r>
          </w:p>
        </w:tc>
        <w:tc>
          <w:tcPr>
            <w:tcW w:w="1805" w:type="dxa"/>
            <w:shd w:val="clear" w:color="auto" w:fill="4472C4"/>
            <w:vAlign w:val="center"/>
          </w:tcPr>
          <w:p w14:paraId="61FB2409" w14:textId="77777777" w:rsidR="00990B14" w:rsidRDefault="00000000">
            <w:pPr>
              <w:keepNext/>
              <w:spacing w:before="20" w:after="20"/>
              <w:jc w:val="center"/>
            </w:pPr>
            <w:r>
              <w:rPr>
                <w:b/>
                <w:bCs/>
                <w:i/>
                <w:iCs/>
                <w:color w:val="FFFFFF"/>
                <w:sz w:val="18"/>
                <w:szCs w:val="18"/>
              </w:rPr>
              <w:t>Insuficiente (1–50)</w:t>
            </w:r>
          </w:p>
        </w:tc>
        <w:tc>
          <w:tcPr>
            <w:tcW w:w="2113" w:type="dxa"/>
            <w:shd w:val="clear" w:color="auto" w:fill="4472C4"/>
            <w:vAlign w:val="center"/>
          </w:tcPr>
          <w:p w14:paraId="7AA245C2"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3E5B112C" w14:textId="77777777" w:rsidR="00990B14" w:rsidRDefault="00000000">
            <w:pPr>
              <w:keepNext/>
              <w:spacing w:before="20" w:after="20"/>
              <w:jc w:val="center"/>
            </w:pPr>
            <w:r>
              <w:rPr>
                <w:b/>
                <w:bCs/>
                <w:i/>
                <w:iCs/>
                <w:color w:val="FFFFFF"/>
                <w:sz w:val="18"/>
                <w:szCs w:val="18"/>
              </w:rPr>
              <w:t>Destacado (81–100)</w:t>
            </w:r>
          </w:p>
        </w:tc>
      </w:tr>
      <w:tr w:rsidR="00990B14" w14:paraId="604FD48B" w14:textId="77777777">
        <w:trPr>
          <w:cantSplit/>
          <w:jc w:val="center"/>
        </w:trPr>
        <w:tc>
          <w:tcPr>
            <w:tcW w:w="1490" w:type="dxa"/>
            <w:vMerge/>
            <w:shd w:val="clear" w:color="auto" w:fill="4472C4"/>
            <w:vAlign w:val="center"/>
          </w:tcPr>
          <w:p w14:paraId="339CDB80" w14:textId="77777777" w:rsidR="00990B14" w:rsidRDefault="00990B14">
            <w:pPr>
              <w:spacing w:before="20" w:after="20"/>
            </w:pPr>
          </w:p>
        </w:tc>
        <w:tc>
          <w:tcPr>
            <w:tcW w:w="2120" w:type="dxa"/>
            <w:shd w:val="clear" w:color="auto" w:fill="D9E2F3"/>
            <w:vAlign w:val="center"/>
          </w:tcPr>
          <w:p w14:paraId="239D7BEB" w14:textId="77777777" w:rsidR="00990B14" w:rsidRDefault="00000000">
            <w:pPr>
              <w:spacing w:before="20" w:after="20"/>
              <w:jc w:val="both"/>
            </w:pPr>
            <w:r>
              <w:rPr>
                <w:sz w:val="18"/>
                <w:szCs w:val="18"/>
              </w:rPr>
              <w:t>Modelo conceptual</w:t>
            </w:r>
          </w:p>
        </w:tc>
        <w:tc>
          <w:tcPr>
            <w:tcW w:w="1805" w:type="dxa"/>
            <w:shd w:val="clear" w:color="auto" w:fill="D9E2F3"/>
            <w:vAlign w:val="center"/>
          </w:tcPr>
          <w:p w14:paraId="6BA7A59C" w14:textId="77777777" w:rsidR="00990B14" w:rsidRDefault="00000000">
            <w:pPr>
              <w:spacing w:before="20" w:after="20"/>
              <w:jc w:val="both"/>
            </w:pPr>
            <w:r>
              <w:rPr>
                <w:sz w:val="18"/>
                <w:szCs w:val="18"/>
              </w:rPr>
              <w:t>Faltan entidades o relaciones.</w:t>
            </w:r>
          </w:p>
        </w:tc>
        <w:tc>
          <w:tcPr>
            <w:tcW w:w="2113" w:type="dxa"/>
            <w:shd w:val="clear" w:color="auto" w:fill="D9E2F3"/>
            <w:vAlign w:val="center"/>
          </w:tcPr>
          <w:p w14:paraId="19893734" w14:textId="77777777" w:rsidR="00990B14" w:rsidRDefault="00000000">
            <w:pPr>
              <w:spacing w:before="20" w:after="20"/>
              <w:jc w:val="both"/>
            </w:pPr>
            <w:r>
              <w:rPr>
                <w:sz w:val="18"/>
                <w:szCs w:val="18"/>
              </w:rPr>
              <w:t>Representa entidades, relaciones y cardinalidad.</w:t>
            </w:r>
          </w:p>
        </w:tc>
        <w:tc>
          <w:tcPr>
            <w:tcW w:w="1877" w:type="dxa"/>
            <w:shd w:val="clear" w:color="auto" w:fill="D9E2F3"/>
            <w:vAlign w:val="center"/>
          </w:tcPr>
          <w:p w14:paraId="40177E29" w14:textId="77777777" w:rsidR="00990B14" w:rsidRDefault="00000000">
            <w:pPr>
              <w:spacing w:before="20" w:after="20"/>
              <w:jc w:val="both"/>
            </w:pPr>
            <w:r>
              <w:rPr>
                <w:sz w:val="18"/>
                <w:szCs w:val="18"/>
              </w:rPr>
              <w:t>Justifica el modelo con los requerimientos del sistema.</w:t>
            </w:r>
          </w:p>
        </w:tc>
      </w:tr>
      <w:tr w:rsidR="00990B14" w14:paraId="5B3C5F32" w14:textId="77777777">
        <w:trPr>
          <w:cantSplit/>
          <w:jc w:val="center"/>
        </w:trPr>
        <w:tc>
          <w:tcPr>
            <w:tcW w:w="1490" w:type="dxa"/>
            <w:vMerge/>
            <w:shd w:val="clear" w:color="auto" w:fill="4472C4"/>
            <w:vAlign w:val="center"/>
          </w:tcPr>
          <w:p w14:paraId="7199B6AE" w14:textId="77777777" w:rsidR="00990B14" w:rsidRDefault="00990B14">
            <w:pPr>
              <w:spacing w:before="20" w:after="20"/>
            </w:pPr>
          </w:p>
        </w:tc>
        <w:tc>
          <w:tcPr>
            <w:tcW w:w="2120" w:type="dxa"/>
            <w:shd w:val="clear" w:color="auto" w:fill="D9E2F3"/>
            <w:vAlign w:val="center"/>
          </w:tcPr>
          <w:p w14:paraId="3102176A" w14:textId="77777777" w:rsidR="00990B14" w:rsidRDefault="00000000">
            <w:pPr>
              <w:spacing w:before="20" w:after="20"/>
              <w:jc w:val="both"/>
            </w:pPr>
            <w:r>
              <w:rPr>
                <w:sz w:val="18"/>
                <w:szCs w:val="18"/>
              </w:rPr>
              <w:t>Normalización</w:t>
            </w:r>
          </w:p>
        </w:tc>
        <w:tc>
          <w:tcPr>
            <w:tcW w:w="1805" w:type="dxa"/>
            <w:shd w:val="clear" w:color="auto" w:fill="D9E2F3"/>
            <w:vAlign w:val="center"/>
          </w:tcPr>
          <w:p w14:paraId="38490E0E" w14:textId="77777777" w:rsidR="00990B14" w:rsidRDefault="00000000">
            <w:pPr>
              <w:spacing w:before="20" w:after="20"/>
              <w:jc w:val="both"/>
            </w:pPr>
            <w:r>
              <w:rPr>
                <w:sz w:val="18"/>
                <w:szCs w:val="18"/>
              </w:rPr>
              <w:t>La base presenta redundancias.</w:t>
            </w:r>
          </w:p>
        </w:tc>
        <w:tc>
          <w:tcPr>
            <w:tcW w:w="2113" w:type="dxa"/>
            <w:shd w:val="clear" w:color="auto" w:fill="D9E2F3"/>
            <w:vAlign w:val="center"/>
          </w:tcPr>
          <w:p w14:paraId="65AD130A" w14:textId="77777777" w:rsidR="00990B14" w:rsidRDefault="00000000">
            <w:pPr>
              <w:spacing w:before="20" w:after="20"/>
              <w:jc w:val="both"/>
            </w:pPr>
            <w:r>
              <w:rPr>
                <w:sz w:val="18"/>
                <w:szCs w:val="18"/>
              </w:rPr>
              <w:t>Normaliza la base hasta la tercera forma normal.</w:t>
            </w:r>
          </w:p>
        </w:tc>
        <w:tc>
          <w:tcPr>
            <w:tcW w:w="1877" w:type="dxa"/>
            <w:shd w:val="clear" w:color="auto" w:fill="D9E2F3"/>
            <w:vAlign w:val="center"/>
          </w:tcPr>
          <w:p w14:paraId="3BC04C50" w14:textId="77777777" w:rsidR="00990B14" w:rsidRDefault="00000000">
            <w:pPr>
              <w:spacing w:before="20" w:after="20"/>
              <w:jc w:val="both"/>
            </w:pPr>
            <w:r>
              <w:rPr>
                <w:sz w:val="18"/>
                <w:szCs w:val="18"/>
              </w:rPr>
              <w:t>Explica cuándo conviene una estructura NoSQL.</w:t>
            </w:r>
          </w:p>
        </w:tc>
      </w:tr>
      <w:tr w:rsidR="00990B14" w14:paraId="05C78830" w14:textId="77777777">
        <w:trPr>
          <w:cantSplit/>
          <w:jc w:val="center"/>
        </w:trPr>
        <w:tc>
          <w:tcPr>
            <w:tcW w:w="1490" w:type="dxa"/>
            <w:vMerge/>
            <w:shd w:val="clear" w:color="auto" w:fill="4472C4"/>
            <w:vAlign w:val="center"/>
          </w:tcPr>
          <w:p w14:paraId="361CDB9A" w14:textId="77777777" w:rsidR="00990B14" w:rsidRDefault="00990B14">
            <w:pPr>
              <w:spacing w:before="20" w:after="20"/>
            </w:pPr>
          </w:p>
        </w:tc>
        <w:tc>
          <w:tcPr>
            <w:tcW w:w="2120" w:type="dxa"/>
            <w:shd w:val="clear" w:color="auto" w:fill="D9E2F3"/>
            <w:vAlign w:val="center"/>
          </w:tcPr>
          <w:p w14:paraId="0C218601" w14:textId="77777777" w:rsidR="00990B14" w:rsidRDefault="00000000">
            <w:pPr>
              <w:spacing w:before="20" w:after="20"/>
              <w:jc w:val="both"/>
            </w:pPr>
            <w:r>
              <w:rPr>
                <w:sz w:val="18"/>
                <w:szCs w:val="18"/>
              </w:rPr>
              <w:t>Modelo físico</w:t>
            </w:r>
          </w:p>
        </w:tc>
        <w:tc>
          <w:tcPr>
            <w:tcW w:w="1805" w:type="dxa"/>
            <w:shd w:val="clear" w:color="auto" w:fill="D9E2F3"/>
            <w:vAlign w:val="center"/>
          </w:tcPr>
          <w:p w14:paraId="7D1E8CC8" w14:textId="77777777" w:rsidR="00990B14" w:rsidRDefault="00000000">
            <w:pPr>
              <w:spacing w:before="20" w:after="20"/>
              <w:jc w:val="both"/>
            </w:pPr>
            <w:r>
              <w:rPr>
                <w:sz w:val="18"/>
                <w:szCs w:val="18"/>
              </w:rPr>
              <w:t>Las sentencias tienen errores.</w:t>
            </w:r>
          </w:p>
        </w:tc>
        <w:tc>
          <w:tcPr>
            <w:tcW w:w="2113" w:type="dxa"/>
            <w:shd w:val="clear" w:color="auto" w:fill="D9E2F3"/>
            <w:vAlign w:val="center"/>
          </w:tcPr>
          <w:p w14:paraId="180BCC3F" w14:textId="77777777" w:rsidR="00990B14" w:rsidRDefault="00000000">
            <w:pPr>
              <w:spacing w:before="20" w:after="20"/>
              <w:jc w:val="both"/>
            </w:pPr>
            <w:r>
              <w:rPr>
                <w:sz w:val="18"/>
                <w:szCs w:val="18"/>
              </w:rPr>
              <w:t>Crea las tablas con sentencias SQL correctas.</w:t>
            </w:r>
          </w:p>
        </w:tc>
        <w:tc>
          <w:tcPr>
            <w:tcW w:w="1877" w:type="dxa"/>
            <w:shd w:val="clear" w:color="auto" w:fill="D9E2F3"/>
            <w:vAlign w:val="center"/>
          </w:tcPr>
          <w:p w14:paraId="17A73C78" w14:textId="77777777" w:rsidR="00990B14" w:rsidRDefault="00000000">
            <w:pPr>
              <w:spacing w:before="20" w:after="20"/>
              <w:jc w:val="both"/>
            </w:pPr>
            <w:r>
              <w:rPr>
                <w:sz w:val="18"/>
                <w:szCs w:val="18"/>
              </w:rPr>
              <w:t>Define restricciones de integridad referencial.</w:t>
            </w:r>
          </w:p>
        </w:tc>
      </w:tr>
      <w:tr w:rsidR="00990B14" w14:paraId="3DE73FF8" w14:textId="77777777">
        <w:trPr>
          <w:cantSplit/>
          <w:jc w:val="center"/>
        </w:trPr>
        <w:tc>
          <w:tcPr>
            <w:tcW w:w="1490" w:type="dxa"/>
            <w:vMerge/>
            <w:shd w:val="clear" w:color="auto" w:fill="4472C4"/>
            <w:vAlign w:val="center"/>
          </w:tcPr>
          <w:p w14:paraId="52C03C94" w14:textId="77777777" w:rsidR="00990B14" w:rsidRDefault="00990B14">
            <w:pPr>
              <w:spacing w:before="20" w:after="20"/>
            </w:pPr>
          </w:p>
        </w:tc>
        <w:tc>
          <w:tcPr>
            <w:tcW w:w="6038" w:type="dxa"/>
            <w:gridSpan w:val="3"/>
            <w:shd w:val="clear" w:color="auto" w:fill="D9E2F3"/>
            <w:vAlign w:val="center"/>
          </w:tcPr>
          <w:p w14:paraId="33E0DAE0" w14:textId="77777777" w:rsidR="00990B14" w:rsidRDefault="00000000">
            <w:pPr>
              <w:keepNext/>
              <w:spacing w:before="20" w:after="20"/>
              <w:jc w:val="both"/>
            </w:pPr>
            <w:r>
              <w:rPr>
                <w:b/>
                <w:bCs/>
                <w:i/>
                <w:iCs/>
                <w:sz w:val="18"/>
                <w:szCs w:val="18"/>
              </w:rPr>
              <w:t xml:space="preserve">Producto 4: </w:t>
            </w:r>
            <w:r>
              <w:rPr>
                <w:sz w:val="18"/>
                <w:szCs w:val="18"/>
              </w:rPr>
              <w:t>Reporte de consultas de extracción</w:t>
            </w:r>
          </w:p>
        </w:tc>
        <w:tc>
          <w:tcPr>
            <w:tcW w:w="1877" w:type="dxa"/>
            <w:shd w:val="clear" w:color="auto" w:fill="D9E2F3"/>
            <w:vAlign w:val="center"/>
          </w:tcPr>
          <w:p w14:paraId="5439866F" w14:textId="77777777" w:rsidR="00990B14" w:rsidRDefault="00000000">
            <w:pPr>
              <w:spacing w:before="20" w:after="20"/>
              <w:jc w:val="center"/>
            </w:pPr>
            <w:r>
              <w:rPr>
                <w:b/>
                <w:bCs/>
                <w:sz w:val="18"/>
                <w:szCs w:val="18"/>
              </w:rPr>
              <w:t>3%</w:t>
            </w:r>
          </w:p>
        </w:tc>
      </w:tr>
      <w:tr w:rsidR="00990B14" w14:paraId="5210B35E" w14:textId="77777777">
        <w:trPr>
          <w:cantSplit/>
          <w:jc w:val="center"/>
        </w:trPr>
        <w:tc>
          <w:tcPr>
            <w:tcW w:w="1490" w:type="dxa"/>
            <w:vMerge/>
            <w:shd w:val="clear" w:color="auto" w:fill="4472C4"/>
            <w:vAlign w:val="center"/>
          </w:tcPr>
          <w:p w14:paraId="6B8DD94B" w14:textId="77777777" w:rsidR="00990B14" w:rsidRDefault="00990B14">
            <w:pPr>
              <w:spacing w:before="20" w:after="20"/>
            </w:pPr>
          </w:p>
        </w:tc>
        <w:tc>
          <w:tcPr>
            <w:tcW w:w="2120" w:type="dxa"/>
            <w:shd w:val="clear" w:color="auto" w:fill="4472C4"/>
            <w:vAlign w:val="center"/>
          </w:tcPr>
          <w:p w14:paraId="3BD60809" w14:textId="77777777" w:rsidR="00990B14" w:rsidRDefault="00000000">
            <w:pPr>
              <w:keepNext/>
              <w:spacing w:before="20" w:after="20"/>
              <w:jc w:val="center"/>
            </w:pPr>
            <w:r>
              <w:rPr>
                <w:b/>
                <w:bCs/>
                <w:i/>
                <w:iCs/>
                <w:color w:val="FFFFFF"/>
                <w:sz w:val="18"/>
                <w:szCs w:val="18"/>
              </w:rPr>
              <w:t>Criterio</w:t>
            </w:r>
          </w:p>
        </w:tc>
        <w:tc>
          <w:tcPr>
            <w:tcW w:w="1805" w:type="dxa"/>
            <w:shd w:val="clear" w:color="auto" w:fill="4472C4"/>
            <w:vAlign w:val="center"/>
          </w:tcPr>
          <w:p w14:paraId="1CFF096E" w14:textId="77777777" w:rsidR="00990B14" w:rsidRDefault="00000000">
            <w:pPr>
              <w:keepNext/>
              <w:spacing w:before="20" w:after="20"/>
              <w:jc w:val="center"/>
            </w:pPr>
            <w:r>
              <w:rPr>
                <w:b/>
                <w:bCs/>
                <w:i/>
                <w:iCs/>
                <w:color w:val="FFFFFF"/>
                <w:sz w:val="18"/>
                <w:szCs w:val="18"/>
              </w:rPr>
              <w:t>Insuficiente (1–50)</w:t>
            </w:r>
          </w:p>
        </w:tc>
        <w:tc>
          <w:tcPr>
            <w:tcW w:w="2113" w:type="dxa"/>
            <w:shd w:val="clear" w:color="auto" w:fill="4472C4"/>
            <w:vAlign w:val="center"/>
          </w:tcPr>
          <w:p w14:paraId="7F19715C"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0E1EE3AA" w14:textId="77777777" w:rsidR="00990B14" w:rsidRDefault="00000000">
            <w:pPr>
              <w:keepNext/>
              <w:spacing w:before="20" w:after="20"/>
              <w:jc w:val="center"/>
            </w:pPr>
            <w:r>
              <w:rPr>
                <w:b/>
                <w:bCs/>
                <w:i/>
                <w:iCs/>
                <w:color w:val="FFFFFF"/>
                <w:sz w:val="18"/>
                <w:szCs w:val="18"/>
              </w:rPr>
              <w:t>Destacado (81–100)</w:t>
            </w:r>
          </w:p>
        </w:tc>
      </w:tr>
      <w:tr w:rsidR="00990B14" w14:paraId="766F714D" w14:textId="77777777">
        <w:trPr>
          <w:cantSplit/>
          <w:jc w:val="center"/>
        </w:trPr>
        <w:tc>
          <w:tcPr>
            <w:tcW w:w="1490" w:type="dxa"/>
            <w:vMerge/>
            <w:shd w:val="clear" w:color="auto" w:fill="4472C4"/>
            <w:vAlign w:val="center"/>
          </w:tcPr>
          <w:p w14:paraId="65BE0958" w14:textId="77777777" w:rsidR="00990B14" w:rsidRDefault="00990B14">
            <w:pPr>
              <w:spacing w:before="20" w:after="20"/>
            </w:pPr>
          </w:p>
        </w:tc>
        <w:tc>
          <w:tcPr>
            <w:tcW w:w="2120" w:type="dxa"/>
            <w:shd w:val="clear" w:color="auto" w:fill="D9E2F3"/>
            <w:vAlign w:val="center"/>
          </w:tcPr>
          <w:p w14:paraId="467959E6" w14:textId="77777777" w:rsidR="00990B14" w:rsidRDefault="00000000">
            <w:pPr>
              <w:spacing w:before="20" w:after="20"/>
              <w:jc w:val="both"/>
            </w:pPr>
            <w:r>
              <w:rPr>
                <w:sz w:val="18"/>
                <w:szCs w:val="18"/>
              </w:rPr>
              <w:t>Consultas</w:t>
            </w:r>
          </w:p>
        </w:tc>
        <w:tc>
          <w:tcPr>
            <w:tcW w:w="1805" w:type="dxa"/>
            <w:shd w:val="clear" w:color="auto" w:fill="D9E2F3"/>
            <w:vAlign w:val="center"/>
          </w:tcPr>
          <w:p w14:paraId="387A99BB" w14:textId="77777777" w:rsidR="00990B14" w:rsidRDefault="00000000">
            <w:pPr>
              <w:spacing w:before="20" w:after="20"/>
              <w:jc w:val="both"/>
            </w:pPr>
            <w:r>
              <w:rPr>
                <w:sz w:val="18"/>
                <w:szCs w:val="18"/>
              </w:rPr>
              <w:t>Las consultas no responden al objetivo.</w:t>
            </w:r>
          </w:p>
        </w:tc>
        <w:tc>
          <w:tcPr>
            <w:tcW w:w="2113" w:type="dxa"/>
            <w:shd w:val="clear" w:color="auto" w:fill="D9E2F3"/>
            <w:vAlign w:val="center"/>
          </w:tcPr>
          <w:p w14:paraId="52687838" w14:textId="77777777" w:rsidR="00990B14" w:rsidRDefault="00000000">
            <w:pPr>
              <w:spacing w:before="20" w:after="20"/>
              <w:jc w:val="both"/>
            </w:pPr>
            <w:r>
              <w:rPr>
                <w:sz w:val="18"/>
                <w:szCs w:val="18"/>
              </w:rPr>
              <w:t>Las consultas extraen los datos requeridos.</w:t>
            </w:r>
          </w:p>
        </w:tc>
        <w:tc>
          <w:tcPr>
            <w:tcW w:w="1877" w:type="dxa"/>
            <w:shd w:val="clear" w:color="auto" w:fill="D9E2F3"/>
            <w:vAlign w:val="center"/>
          </w:tcPr>
          <w:p w14:paraId="0CD8DBA8" w14:textId="77777777" w:rsidR="00990B14" w:rsidRDefault="00000000">
            <w:pPr>
              <w:spacing w:before="20" w:after="20"/>
              <w:jc w:val="both"/>
            </w:pPr>
            <w:r>
              <w:rPr>
                <w:sz w:val="18"/>
                <w:szCs w:val="18"/>
              </w:rPr>
              <w:t>Las consultas detectan registros anómalos.</w:t>
            </w:r>
          </w:p>
        </w:tc>
      </w:tr>
      <w:tr w:rsidR="00990B14" w14:paraId="650C3E62" w14:textId="77777777">
        <w:trPr>
          <w:cantSplit/>
          <w:jc w:val="center"/>
        </w:trPr>
        <w:tc>
          <w:tcPr>
            <w:tcW w:w="1490" w:type="dxa"/>
            <w:vMerge/>
            <w:shd w:val="clear" w:color="auto" w:fill="4472C4"/>
            <w:vAlign w:val="center"/>
          </w:tcPr>
          <w:p w14:paraId="2C5A9CCC" w14:textId="77777777" w:rsidR="00990B14" w:rsidRDefault="00990B14">
            <w:pPr>
              <w:spacing w:before="20" w:after="20"/>
            </w:pPr>
          </w:p>
        </w:tc>
        <w:tc>
          <w:tcPr>
            <w:tcW w:w="2120" w:type="dxa"/>
            <w:shd w:val="clear" w:color="auto" w:fill="D9E2F3"/>
            <w:vAlign w:val="center"/>
          </w:tcPr>
          <w:p w14:paraId="2B3E0179" w14:textId="77777777" w:rsidR="00990B14" w:rsidRDefault="00000000">
            <w:pPr>
              <w:spacing w:before="20" w:after="20"/>
              <w:jc w:val="both"/>
            </w:pPr>
            <w:r>
              <w:rPr>
                <w:sz w:val="18"/>
                <w:szCs w:val="18"/>
              </w:rPr>
              <w:t>Integridad</w:t>
            </w:r>
          </w:p>
        </w:tc>
        <w:tc>
          <w:tcPr>
            <w:tcW w:w="1805" w:type="dxa"/>
            <w:shd w:val="clear" w:color="auto" w:fill="D9E2F3"/>
            <w:vAlign w:val="center"/>
          </w:tcPr>
          <w:p w14:paraId="04CB3DC0" w14:textId="77777777" w:rsidR="00990B14" w:rsidRDefault="00000000">
            <w:pPr>
              <w:spacing w:before="20" w:after="20"/>
              <w:jc w:val="both"/>
            </w:pPr>
            <w:r>
              <w:rPr>
                <w:sz w:val="18"/>
                <w:szCs w:val="18"/>
              </w:rPr>
              <w:t>No verifica los datos.</w:t>
            </w:r>
          </w:p>
        </w:tc>
        <w:tc>
          <w:tcPr>
            <w:tcW w:w="2113" w:type="dxa"/>
            <w:shd w:val="clear" w:color="auto" w:fill="D9E2F3"/>
            <w:vAlign w:val="center"/>
          </w:tcPr>
          <w:p w14:paraId="040CAA79" w14:textId="77777777" w:rsidR="00990B14" w:rsidRDefault="00000000">
            <w:pPr>
              <w:spacing w:before="20" w:after="20"/>
              <w:jc w:val="both"/>
            </w:pPr>
            <w:r>
              <w:rPr>
                <w:sz w:val="18"/>
                <w:szCs w:val="18"/>
              </w:rPr>
              <w:t>Verifica totales y cantidad de registros.</w:t>
            </w:r>
          </w:p>
        </w:tc>
        <w:tc>
          <w:tcPr>
            <w:tcW w:w="1877" w:type="dxa"/>
            <w:shd w:val="clear" w:color="auto" w:fill="D9E2F3"/>
            <w:vAlign w:val="center"/>
          </w:tcPr>
          <w:p w14:paraId="74F48E83" w14:textId="77777777" w:rsidR="00990B14" w:rsidRDefault="00000000">
            <w:pPr>
              <w:spacing w:before="20" w:after="20"/>
              <w:jc w:val="both"/>
            </w:pPr>
            <w:r>
              <w:rPr>
                <w:sz w:val="18"/>
                <w:szCs w:val="18"/>
              </w:rPr>
              <w:t>Documenta la conciliación con la fuente.</w:t>
            </w:r>
          </w:p>
        </w:tc>
      </w:tr>
      <w:tr w:rsidR="00990B14" w14:paraId="4F58BB91" w14:textId="77777777">
        <w:trPr>
          <w:cantSplit/>
          <w:jc w:val="center"/>
        </w:trPr>
        <w:tc>
          <w:tcPr>
            <w:tcW w:w="1490" w:type="dxa"/>
            <w:vMerge/>
            <w:shd w:val="clear" w:color="auto" w:fill="4472C4"/>
            <w:vAlign w:val="center"/>
          </w:tcPr>
          <w:p w14:paraId="21C22D1D" w14:textId="77777777" w:rsidR="00990B14" w:rsidRDefault="00990B14">
            <w:pPr>
              <w:spacing w:before="20" w:after="20"/>
            </w:pPr>
          </w:p>
        </w:tc>
        <w:tc>
          <w:tcPr>
            <w:tcW w:w="2120" w:type="dxa"/>
            <w:shd w:val="clear" w:color="auto" w:fill="D9E2F3"/>
            <w:vAlign w:val="center"/>
          </w:tcPr>
          <w:p w14:paraId="31498083" w14:textId="77777777" w:rsidR="00990B14" w:rsidRDefault="00000000">
            <w:pPr>
              <w:spacing w:before="20" w:after="20"/>
              <w:jc w:val="both"/>
            </w:pPr>
            <w:r>
              <w:rPr>
                <w:sz w:val="18"/>
                <w:szCs w:val="18"/>
              </w:rPr>
              <w:t>Confidencialidad</w:t>
            </w:r>
          </w:p>
        </w:tc>
        <w:tc>
          <w:tcPr>
            <w:tcW w:w="1805" w:type="dxa"/>
            <w:shd w:val="clear" w:color="auto" w:fill="D9E2F3"/>
            <w:vAlign w:val="center"/>
          </w:tcPr>
          <w:p w14:paraId="6BD3E64C" w14:textId="77777777" w:rsidR="00990B14" w:rsidRDefault="00000000">
            <w:pPr>
              <w:spacing w:before="20" w:after="20"/>
              <w:jc w:val="both"/>
            </w:pPr>
            <w:r>
              <w:rPr>
                <w:sz w:val="18"/>
                <w:szCs w:val="18"/>
              </w:rPr>
              <w:t>Expone datos personales.</w:t>
            </w:r>
          </w:p>
        </w:tc>
        <w:tc>
          <w:tcPr>
            <w:tcW w:w="2113" w:type="dxa"/>
            <w:shd w:val="clear" w:color="auto" w:fill="D9E2F3"/>
            <w:vAlign w:val="center"/>
          </w:tcPr>
          <w:p w14:paraId="3B36E11A" w14:textId="77777777" w:rsidR="00990B14" w:rsidRDefault="00000000">
            <w:pPr>
              <w:spacing w:before="20" w:after="20"/>
              <w:jc w:val="both"/>
            </w:pPr>
            <w:r>
              <w:rPr>
                <w:sz w:val="18"/>
                <w:szCs w:val="18"/>
              </w:rPr>
              <w:t>Resguarda los datos personales.</w:t>
            </w:r>
          </w:p>
        </w:tc>
        <w:tc>
          <w:tcPr>
            <w:tcW w:w="1877" w:type="dxa"/>
            <w:shd w:val="clear" w:color="auto" w:fill="D9E2F3"/>
            <w:vAlign w:val="center"/>
          </w:tcPr>
          <w:p w14:paraId="43668713" w14:textId="77777777" w:rsidR="00990B14" w:rsidRDefault="00000000">
            <w:pPr>
              <w:spacing w:before="20" w:after="20"/>
              <w:jc w:val="both"/>
            </w:pPr>
            <w:r>
              <w:rPr>
                <w:sz w:val="18"/>
                <w:szCs w:val="18"/>
              </w:rPr>
              <w:t>Propone reglas de anonimización.</w:t>
            </w:r>
          </w:p>
        </w:tc>
      </w:tr>
      <w:tr w:rsidR="00990B14" w14:paraId="42A64330" w14:textId="77777777">
        <w:trPr>
          <w:cantSplit/>
          <w:jc w:val="center"/>
        </w:trPr>
        <w:tc>
          <w:tcPr>
            <w:tcW w:w="1490" w:type="dxa"/>
            <w:vMerge/>
            <w:shd w:val="clear" w:color="auto" w:fill="4472C4"/>
            <w:vAlign w:val="center"/>
          </w:tcPr>
          <w:p w14:paraId="1A209773" w14:textId="77777777" w:rsidR="00990B14" w:rsidRDefault="00990B14">
            <w:pPr>
              <w:spacing w:before="20" w:after="20"/>
            </w:pPr>
          </w:p>
        </w:tc>
        <w:tc>
          <w:tcPr>
            <w:tcW w:w="6038" w:type="dxa"/>
            <w:gridSpan w:val="3"/>
            <w:shd w:val="clear" w:color="auto" w:fill="D9E2F3"/>
            <w:vAlign w:val="center"/>
          </w:tcPr>
          <w:p w14:paraId="6F5ECE39" w14:textId="77777777" w:rsidR="00990B14" w:rsidRDefault="00000000">
            <w:pPr>
              <w:keepNext/>
              <w:spacing w:before="20" w:after="20"/>
              <w:jc w:val="both"/>
            </w:pPr>
            <w:r>
              <w:rPr>
                <w:b/>
                <w:bCs/>
                <w:i/>
                <w:iCs/>
                <w:sz w:val="18"/>
                <w:szCs w:val="18"/>
              </w:rPr>
              <w:t xml:space="preserve">Producto 5: </w:t>
            </w:r>
            <w:r>
              <w:rPr>
                <w:sz w:val="18"/>
                <w:szCs w:val="18"/>
              </w:rPr>
              <w:t>Matriz de objetivos COBIT</w:t>
            </w:r>
          </w:p>
        </w:tc>
        <w:tc>
          <w:tcPr>
            <w:tcW w:w="1877" w:type="dxa"/>
            <w:shd w:val="clear" w:color="auto" w:fill="D9E2F3"/>
            <w:vAlign w:val="center"/>
          </w:tcPr>
          <w:p w14:paraId="231A4A6F" w14:textId="77777777" w:rsidR="00990B14" w:rsidRDefault="00000000">
            <w:pPr>
              <w:spacing w:before="20" w:after="20"/>
              <w:jc w:val="center"/>
            </w:pPr>
            <w:r>
              <w:rPr>
                <w:b/>
                <w:bCs/>
                <w:sz w:val="18"/>
                <w:szCs w:val="18"/>
              </w:rPr>
              <w:t>5%</w:t>
            </w:r>
          </w:p>
        </w:tc>
      </w:tr>
      <w:tr w:rsidR="00990B14" w14:paraId="1ACADCD7" w14:textId="77777777">
        <w:trPr>
          <w:cantSplit/>
          <w:jc w:val="center"/>
        </w:trPr>
        <w:tc>
          <w:tcPr>
            <w:tcW w:w="1490" w:type="dxa"/>
            <w:vMerge/>
            <w:shd w:val="clear" w:color="auto" w:fill="4472C4"/>
            <w:vAlign w:val="center"/>
          </w:tcPr>
          <w:p w14:paraId="7F6C717C" w14:textId="77777777" w:rsidR="00990B14" w:rsidRDefault="00990B14">
            <w:pPr>
              <w:spacing w:before="20" w:after="20"/>
            </w:pPr>
          </w:p>
        </w:tc>
        <w:tc>
          <w:tcPr>
            <w:tcW w:w="2120" w:type="dxa"/>
            <w:shd w:val="clear" w:color="auto" w:fill="4472C4"/>
            <w:vAlign w:val="center"/>
          </w:tcPr>
          <w:p w14:paraId="7E4A9535" w14:textId="77777777" w:rsidR="00990B14" w:rsidRDefault="00000000">
            <w:pPr>
              <w:keepNext/>
              <w:spacing w:before="20" w:after="20"/>
              <w:jc w:val="center"/>
            </w:pPr>
            <w:r>
              <w:rPr>
                <w:b/>
                <w:bCs/>
                <w:i/>
                <w:iCs/>
                <w:color w:val="FFFFFF"/>
                <w:sz w:val="18"/>
                <w:szCs w:val="18"/>
              </w:rPr>
              <w:t>Criterio</w:t>
            </w:r>
          </w:p>
        </w:tc>
        <w:tc>
          <w:tcPr>
            <w:tcW w:w="1805" w:type="dxa"/>
            <w:shd w:val="clear" w:color="auto" w:fill="4472C4"/>
            <w:vAlign w:val="center"/>
          </w:tcPr>
          <w:p w14:paraId="0E4B1981" w14:textId="77777777" w:rsidR="00990B14" w:rsidRDefault="00000000">
            <w:pPr>
              <w:keepNext/>
              <w:spacing w:before="20" w:after="20"/>
              <w:jc w:val="center"/>
            </w:pPr>
            <w:r>
              <w:rPr>
                <w:b/>
                <w:bCs/>
                <w:i/>
                <w:iCs/>
                <w:color w:val="FFFFFF"/>
                <w:sz w:val="18"/>
                <w:szCs w:val="18"/>
              </w:rPr>
              <w:t>Insuficiente (1–50)</w:t>
            </w:r>
          </w:p>
        </w:tc>
        <w:tc>
          <w:tcPr>
            <w:tcW w:w="2113" w:type="dxa"/>
            <w:shd w:val="clear" w:color="auto" w:fill="4472C4"/>
            <w:vAlign w:val="center"/>
          </w:tcPr>
          <w:p w14:paraId="721E1817"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078F2D55" w14:textId="77777777" w:rsidR="00990B14" w:rsidRDefault="00000000">
            <w:pPr>
              <w:keepNext/>
              <w:spacing w:before="20" w:after="20"/>
              <w:jc w:val="center"/>
            </w:pPr>
            <w:r>
              <w:rPr>
                <w:b/>
                <w:bCs/>
                <w:i/>
                <w:iCs/>
                <w:color w:val="FFFFFF"/>
                <w:sz w:val="18"/>
                <w:szCs w:val="18"/>
              </w:rPr>
              <w:t>Destacado (81–100)</w:t>
            </w:r>
          </w:p>
        </w:tc>
      </w:tr>
      <w:tr w:rsidR="00990B14" w14:paraId="31E11A7F" w14:textId="77777777">
        <w:trPr>
          <w:cantSplit/>
          <w:jc w:val="center"/>
        </w:trPr>
        <w:tc>
          <w:tcPr>
            <w:tcW w:w="1490" w:type="dxa"/>
            <w:vMerge/>
            <w:shd w:val="clear" w:color="auto" w:fill="4472C4"/>
            <w:vAlign w:val="center"/>
          </w:tcPr>
          <w:p w14:paraId="7386D81A" w14:textId="77777777" w:rsidR="00990B14" w:rsidRDefault="00990B14">
            <w:pPr>
              <w:spacing w:before="20" w:after="20"/>
            </w:pPr>
          </w:p>
        </w:tc>
        <w:tc>
          <w:tcPr>
            <w:tcW w:w="2120" w:type="dxa"/>
            <w:shd w:val="clear" w:color="auto" w:fill="D9E2F3"/>
            <w:vAlign w:val="center"/>
          </w:tcPr>
          <w:p w14:paraId="171D5FE6" w14:textId="77777777" w:rsidR="00990B14" w:rsidRDefault="00000000">
            <w:pPr>
              <w:spacing w:before="20" w:after="20"/>
              <w:jc w:val="both"/>
            </w:pPr>
            <w:r>
              <w:rPr>
                <w:sz w:val="18"/>
                <w:szCs w:val="18"/>
              </w:rPr>
              <w:t>Factores de diseño</w:t>
            </w:r>
          </w:p>
        </w:tc>
        <w:tc>
          <w:tcPr>
            <w:tcW w:w="1805" w:type="dxa"/>
            <w:shd w:val="clear" w:color="auto" w:fill="D9E2F3"/>
            <w:vAlign w:val="center"/>
          </w:tcPr>
          <w:p w14:paraId="5CF4B72C" w14:textId="77777777" w:rsidR="00990B14" w:rsidRDefault="00000000">
            <w:pPr>
              <w:spacing w:before="20" w:after="20"/>
              <w:jc w:val="both"/>
            </w:pPr>
            <w:r>
              <w:rPr>
                <w:sz w:val="18"/>
                <w:szCs w:val="18"/>
              </w:rPr>
              <w:t>No considera los factores.</w:t>
            </w:r>
          </w:p>
        </w:tc>
        <w:tc>
          <w:tcPr>
            <w:tcW w:w="2113" w:type="dxa"/>
            <w:shd w:val="clear" w:color="auto" w:fill="D9E2F3"/>
            <w:vAlign w:val="center"/>
          </w:tcPr>
          <w:p w14:paraId="3323EACD" w14:textId="77777777" w:rsidR="00990B14" w:rsidRDefault="00000000">
            <w:pPr>
              <w:spacing w:before="20" w:after="20"/>
              <w:jc w:val="both"/>
            </w:pPr>
            <w:r>
              <w:rPr>
                <w:sz w:val="18"/>
                <w:szCs w:val="18"/>
              </w:rPr>
              <w:t>Aplica los factores de diseño de la entidad.</w:t>
            </w:r>
          </w:p>
        </w:tc>
        <w:tc>
          <w:tcPr>
            <w:tcW w:w="1877" w:type="dxa"/>
            <w:shd w:val="clear" w:color="auto" w:fill="D9E2F3"/>
            <w:vAlign w:val="center"/>
          </w:tcPr>
          <w:p w14:paraId="03F38FD2" w14:textId="77777777" w:rsidR="00990B14" w:rsidRDefault="00000000">
            <w:pPr>
              <w:spacing w:before="20" w:after="20"/>
              <w:jc w:val="both"/>
            </w:pPr>
            <w:r>
              <w:rPr>
                <w:sz w:val="18"/>
                <w:szCs w:val="18"/>
              </w:rPr>
              <w:t>Justifica la priorización de los objetivos.</w:t>
            </w:r>
          </w:p>
        </w:tc>
      </w:tr>
      <w:tr w:rsidR="00990B14" w14:paraId="264CCA58" w14:textId="77777777">
        <w:trPr>
          <w:cantSplit/>
          <w:jc w:val="center"/>
        </w:trPr>
        <w:tc>
          <w:tcPr>
            <w:tcW w:w="1490" w:type="dxa"/>
            <w:vMerge/>
            <w:shd w:val="clear" w:color="auto" w:fill="4472C4"/>
            <w:vAlign w:val="center"/>
          </w:tcPr>
          <w:p w14:paraId="23C23E40" w14:textId="77777777" w:rsidR="00990B14" w:rsidRDefault="00990B14">
            <w:pPr>
              <w:spacing w:before="20" w:after="20"/>
            </w:pPr>
          </w:p>
        </w:tc>
        <w:tc>
          <w:tcPr>
            <w:tcW w:w="2120" w:type="dxa"/>
            <w:shd w:val="clear" w:color="auto" w:fill="D9E2F3"/>
            <w:vAlign w:val="center"/>
          </w:tcPr>
          <w:p w14:paraId="6DDAD4FF" w14:textId="77777777" w:rsidR="00990B14" w:rsidRDefault="00000000">
            <w:pPr>
              <w:spacing w:before="20" w:after="20"/>
              <w:jc w:val="both"/>
            </w:pPr>
            <w:r>
              <w:rPr>
                <w:sz w:val="18"/>
                <w:szCs w:val="18"/>
              </w:rPr>
              <w:t>Objetivos</w:t>
            </w:r>
          </w:p>
        </w:tc>
        <w:tc>
          <w:tcPr>
            <w:tcW w:w="1805" w:type="dxa"/>
            <w:shd w:val="clear" w:color="auto" w:fill="D9E2F3"/>
            <w:vAlign w:val="center"/>
          </w:tcPr>
          <w:p w14:paraId="7F2A19DE" w14:textId="77777777" w:rsidR="00990B14" w:rsidRDefault="00000000">
            <w:pPr>
              <w:spacing w:before="20" w:after="20"/>
              <w:jc w:val="both"/>
            </w:pPr>
            <w:r>
              <w:rPr>
                <w:sz w:val="18"/>
                <w:szCs w:val="18"/>
              </w:rPr>
              <w:t>Selecciona objetivos irrelevantes.</w:t>
            </w:r>
          </w:p>
        </w:tc>
        <w:tc>
          <w:tcPr>
            <w:tcW w:w="2113" w:type="dxa"/>
            <w:shd w:val="clear" w:color="auto" w:fill="D9E2F3"/>
            <w:vAlign w:val="center"/>
          </w:tcPr>
          <w:p w14:paraId="0D2F54C2" w14:textId="77777777" w:rsidR="00990B14" w:rsidRDefault="00000000">
            <w:pPr>
              <w:spacing w:before="20" w:after="20"/>
              <w:jc w:val="both"/>
            </w:pPr>
            <w:r>
              <w:rPr>
                <w:sz w:val="18"/>
                <w:szCs w:val="18"/>
              </w:rPr>
              <w:t>Selecciona los objetivos pertinentes.</w:t>
            </w:r>
          </w:p>
        </w:tc>
        <w:tc>
          <w:tcPr>
            <w:tcW w:w="1877" w:type="dxa"/>
            <w:shd w:val="clear" w:color="auto" w:fill="D9E2F3"/>
            <w:vAlign w:val="center"/>
          </w:tcPr>
          <w:p w14:paraId="6BD35ABC" w14:textId="77777777" w:rsidR="00990B14" w:rsidRDefault="00000000">
            <w:pPr>
              <w:spacing w:before="20" w:after="20"/>
              <w:jc w:val="both"/>
            </w:pPr>
            <w:r>
              <w:rPr>
                <w:sz w:val="18"/>
                <w:szCs w:val="18"/>
              </w:rPr>
              <w:t>Asigna el nivel de capacidad esperado.</w:t>
            </w:r>
          </w:p>
        </w:tc>
      </w:tr>
      <w:tr w:rsidR="00990B14" w14:paraId="3939BF3B" w14:textId="77777777">
        <w:trPr>
          <w:cantSplit/>
          <w:jc w:val="center"/>
        </w:trPr>
        <w:tc>
          <w:tcPr>
            <w:tcW w:w="1490" w:type="dxa"/>
            <w:vMerge/>
            <w:shd w:val="clear" w:color="auto" w:fill="4472C4"/>
            <w:vAlign w:val="center"/>
          </w:tcPr>
          <w:p w14:paraId="6AFB691C" w14:textId="77777777" w:rsidR="00990B14" w:rsidRDefault="00990B14">
            <w:pPr>
              <w:spacing w:before="20" w:after="20"/>
            </w:pPr>
          </w:p>
        </w:tc>
        <w:tc>
          <w:tcPr>
            <w:tcW w:w="2120" w:type="dxa"/>
            <w:shd w:val="clear" w:color="auto" w:fill="D9E2F3"/>
            <w:vAlign w:val="center"/>
          </w:tcPr>
          <w:p w14:paraId="49FC3A87" w14:textId="77777777" w:rsidR="00990B14" w:rsidRDefault="00000000">
            <w:pPr>
              <w:spacing w:before="20" w:after="20"/>
              <w:jc w:val="both"/>
            </w:pPr>
            <w:r>
              <w:rPr>
                <w:sz w:val="18"/>
                <w:szCs w:val="18"/>
              </w:rPr>
              <w:t>Relación con COSO</w:t>
            </w:r>
          </w:p>
        </w:tc>
        <w:tc>
          <w:tcPr>
            <w:tcW w:w="1805" w:type="dxa"/>
            <w:shd w:val="clear" w:color="auto" w:fill="D9E2F3"/>
            <w:vAlign w:val="center"/>
          </w:tcPr>
          <w:p w14:paraId="6C5E217C" w14:textId="77777777" w:rsidR="00990B14" w:rsidRDefault="00000000">
            <w:pPr>
              <w:spacing w:before="20" w:after="20"/>
              <w:jc w:val="both"/>
            </w:pPr>
            <w:r>
              <w:rPr>
                <w:sz w:val="18"/>
                <w:szCs w:val="18"/>
              </w:rPr>
              <w:t>No relaciona los marcos.</w:t>
            </w:r>
          </w:p>
        </w:tc>
        <w:tc>
          <w:tcPr>
            <w:tcW w:w="2113" w:type="dxa"/>
            <w:shd w:val="clear" w:color="auto" w:fill="D9E2F3"/>
            <w:vAlign w:val="center"/>
          </w:tcPr>
          <w:p w14:paraId="72378715" w14:textId="77777777" w:rsidR="00990B14" w:rsidRDefault="00000000">
            <w:pPr>
              <w:spacing w:before="20" w:after="20"/>
              <w:jc w:val="both"/>
            </w:pPr>
            <w:r>
              <w:rPr>
                <w:sz w:val="18"/>
                <w:szCs w:val="18"/>
              </w:rPr>
              <w:t>Relaciona los objetivos con los componentes del COSO.</w:t>
            </w:r>
          </w:p>
        </w:tc>
        <w:tc>
          <w:tcPr>
            <w:tcW w:w="1877" w:type="dxa"/>
            <w:shd w:val="clear" w:color="auto" w:fill="D9E2F3"/>
            <w:vAlign w:val="center"/>
          </w:tcPr>
          <w:p w14:paraId="57462657" w14:textId="77777777" w:rsidR="00990B14" w:rsidRDefault="00000000">
            <w:pPr>
              <w:spacing w:before="20" w:after="20"/>
              <w:jc w:val="both"/>
            </w:pPr>
            <w:r>
              <w:rPr>
                <w:sz w:val="18"/>
                <w:szCs w:val="18"/>
              </w:rPr>
              <w:t>Identifica vacíos de control entre ambos marcos.</w:t>
            </w:r>
          </w:p>
        </w:tc>
      </w:tr>
      <w:tr w:rsidR="00990B14" w14:paraId="69B0B688" w14:textId="77777777">
        <w:trPr>
          <w:cantSplit/>
          <w:jc w:val="center"/>
        </w:trPr>
        <w:tc>
          <w:tcPr>
            <w:tcW w:w="1490" w:type="dxa"/>
            <w:vMerge/>
            <w:shd w:val="clear" w:color="auto" w:fill="4472C4"/>
            <w:vAlign w:val="center"/>
          </w:tcPr>
          <w:p w14:paraId="776A1C49" w14:textId="77777777" w:rsidR="00990B14" w:rsidRDefault="00990B14">
            <w:pPr>
              <w:spacing w:before="20" w:after="20"/>
            </w:pPr>
          </w:p>
        </w:tc>
        <w:tc>
          <w:tcPr>
            <w:tcW w:w="6038" w:type="dxa"/>
            <w:gridSpan w:val="3"/>
            <w:shd w:val="clear" w:color="auto" w:fill="D9E2F3"/>
            <w:vAlign w:val="center"/>
          </w:tcPr>
          <w:p w14:paraId="3CCC2544" w14:textId="77777777" w:rsidR="00990B14" w:rsidRDefault="00000000">
            <w:pPr>
              <w:keepNext/>
              <w:spacing w:before="20" w:after="20"/>
              <w:jc w:val="both"/>
            </w:pPr>
            <w:r>
              <w:rPr>
                <w:b/>
                <w:bCs/>
                <w:i/>
                <w:iCs/>
                <w:sz w:val="18"/>
                <w:szCs w:val="18"/>
              </w:rPr>
              <w:t xml:space="preserve">Producto 6: </w:t>
            </w:r>
            <w:r>
              <w:rPr>
                <w:sz w:val="18"/>
                <w:szCs w:val="18"/>
              </w:rPr>
              <w:t>Matriz de riesgos de controles generales</w:t>
            </w:r>
          </w:p>
        </w:tc>
        <w:tc>
          <w:tcPr>
            <w:tcW w:w="1877" w:type="dxa"/>
            <w:shd w:val="clear" w:color="auto" w:fill="D9E2F3"/>
            <w:vAlign w:val="center"/>
          </w:tcPr>
          <w:p w14:paraId="7EBE6835" w14:textId="77777777" w:rsidR="00990B14" w:rsidRDefault="00000000">
            <w:pPr>
              <w:spacing w:before="20" w:after="20"/>
              <w:jc w:val="center"/>
            </w:pPr>
            <w:r>
              <w:rPr>
                <w:b/>
                <w:bCs/>
                <w:sz w:val="18"/>
                <w:szCs w:val="18"/>
              </w:rPr>
              <w:t>5%</w:t>
            </w:r>
          </w:p>
        </w:tc>
      </w:tr>
      <w:tr w:rsidR="00990B14" w14:paraId="6A63EEA5" w14:textId="77777777">
        <w:trPr>
          <w:cantSplit/>
          <w:jc w:val="center"/>
        </w:trPr>
        <w:tc>
          <w:tcPr>
            <w:tcW w:w="1490" w:type="dxa"/>
            <w:vMerge/>
            <w:shd w:val="clear" w:color="auto" w:fill="4472C4"/>
            <w:vAlign w:val="center"/>
          </w:tcPr>
          <w:p w14:paraId="3B577438" w14:textId="77777777" w:rsidR="00990B14" w:rsidRDefault="00990B14">
            <w:pPr>
              <w:spacing w:before="20" w:after="20"/>
            </w:pPr>
          </w:p>
        </w:tc>
        <w:tc>
          <w:tcPr>
            <w:tcW w:w="2120" w:type="dxa"/>
            <w:shd w:val="clear" w:color="auto" w:fill="4472C4"/>
            <w:vAlign w:val="center"/>
          </w:tcPr>
          <w:p w14:paraId="25126901" w14:textId="77777777" w:rsidR="00990B14" w:rsidRDefault="00000000">
            <w:pPr>
              <w:keepNext/>
              <w:spacing w:before="20" w:after="20"/>
              <w:jc w:val="center"/>
            </w:pPr>
            <w:r>
              <w:rPr>
                <w:b/>
                <w:bCs/>
                <w:i/>
                <w:iCs/>
                <w:color w:val="FFFFFF"/>
                <w:sz w:val="18"/>
                <w:szCs w:val="18"/>
              </w:rPr>
              <w:t>Criterio</w:t>
            </w:r>
          </w:p>
        </w:tc>
        <w:tc>
          <w:tcPr>
            <w:tcW w:w="1805" w:type="dxa"/>
            <w:shd w:val="clear" w:color="auto" w:fill="4472C4"/>
            <w:vAlign w:val="center"/>
          </w:tcPr>
          <w:p w14:paraId="4E530AFA" w14:textId="77777777" w:rsidR="00990B14" w:rsidRDefault="00000000">
            <w:pPr>
              <w:keepNext/>
              <w:spacing w:before="20" w:after="20"/>
              <w:jc w:val="center"/>
            </w:pPr>
            <w:r>
              <w:rPr>
                <w:b/>
                <w:bCs/>
                <w:i/>
                <w:iCs/>
                <w:color w:val="FFFFFF"/>
                <w:sz w:val="18"/>
                <w:szCs w:val="18"/>
              </w:rPr>
              <w:t>Insuficiente (1–50)</w:t>
            </w:r>
          </w:p>
        </w:tc>
        <w:tc>
          <w:tcPr>
            <w:tcW w:w="2113" w:type="dxa"/>
            <w:shd w:val="clear" w:color="auto" w:fill="4472C4"/>
            <w:vAlign w:val="center"/>
          </w:tcPr>
          <w:p w14:paraId="62D8FAD3"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391B60F8" w14:textId="77777777" w:rsidR="00990B14" w:rsidRDefault="00000000">
            <w:pPr>
              <w:keepNext/>
              <w:spacing w:before="20" w:after="20"/>
              <w:jc w:val="center"/>
            </w:pPr>
            <w:r>
              <w:rPr>
                <w:b/>
                <w:bCs/>
                <w:i/>
                <w:iCs/>
                <w:color w:val="FFFFFF"/>
                <w:sz w:val="18"/>
                <w:szCs w:val="18"/>
              </w:rPr>
              <w:t>Destacado (81–100)</w:t>
            </w:r>
          </w:p>
        </w:tc>
      </w:tr>
      <w:tr w:rsidR="00990B14" w14:paraId="46CF3A90" w14:textId="77777777">
        <w:trPr>
          <w:cantSplit/>
          <w:jc w:val="center"/>
        </w:trPr>
        <w:tc>
          <w:tcPr>
            <w:tcW w:w="1490" w:type="dxa"/>
            <w:vMerge/>
            <w:shd w:val="clear" w:color="auto" w:fill="4472C4"/>
            <w:vAlign w:val="center"/>
          </w:tcPr>
          <w:p w14:paraId="16C72701" w14:textId="77777777" w:rsidR="00990B14" w:rsidRDefault="00990B14">
            <w:pPr>
              <w:spacing w:before="20" w:after="20"/>
            </w:pPr>
          </w:p>
        </w:tc>
        <w:tc>
          <w:tcPr>
            <w:tcW w:w="2120" w:type="dxa"/>
            <w:shd w:val="clear" w:color="auto" w:fill="D9E2F3"/>
            <w:vAlign w:val="center"/>
          </w:tcPr>
          <w:p w14:paraId="71301CE3" w14:textId="77777777" w:rsidR="00990B14" w:rsidRDefault="00000000">
            <w:pPr>
              <w:spacing w:before="20" w:after="20"/>
              <w:jc w:val="both"/>
            </w:pPr>
            <w:r>
              <w:rPr>
                <w:sz w:val="18"/>
                <w:szCs w:val="18"/>
              </w:rPr>
              <w:t>Identificación</w:t>
            </w:r>
          </w:p>
        </w:tc>
        <w:tc>
          <w:tcPr>
            <w:tcW w:w="1805" w:type="dxa"/>
            <w:shd w:val="clear" w:color="auto" w:fill="D9E2F3"/>
            <w:vAlign w:val="center"/>
          </w:tcPr>
          <w:p w14:paraId="5DD13443" w14:textId="77777777" w:rsidR="00990B14" w:rsidRDefault="00000000">
            <w:pPr>
              <w:spacing w:before="20" w:after="20"/>
              <w:jc w:val="both"/>
            </w:pPr>
            <w:r>
              <w:rPr>
                <w:sz w:val="18"/>
                <w:szCs w:val="18"/>
              </w:rPr>
              <w:t>Omite controles generales.</w:t>
            </w:r>
          </w:p>
        </w:tc>
        <w:tc>
          <w:tcPr>
            <w:tcW w:w="2113" w:type="dxa"/>
            <w:shd w:val="clear" w:color="auto" w:fill="D9E2F3"/>
            <w:vAlign w:val="center"/>
          </w:tcPr>
          <w:p w14:paraId="3DCEDBA9" w14:textId="77777777" w:rsidR="00990B14" w:rsidRDefault="00000000">
            <w:pPr>
              <w:spacing w:before="20" w:after="20"/>
              <w:jc w:val="both"/>
            </w:pPr>
            <w:r>
              <w:rPr>
                <w:sz w:val="18"/>
                <w:szCs w:val="18"/>
              </w:rPr>
              <w:t>Identifica los controles de acceso, cambios y operaciones.</w:t>
            </w:r>
          </w:p>
        </w:tc>
        <w:tc>
          <w:tcPr>
            <w:tcW w:w="1877" w:type="dxa"/>
            <w:shd w:val="clear" w:color="auto" w:fill="D9E2F3"/>
            <w:vAlign w:val="center"/>
          </w:tcPr>
          <w:p w14:paraId="43CDBCC2" w14:textId="77777777" w:rsidR="00990B14" w:rsidRDefault="00000000">
            <w:pPr>
              <w:spacing w:before="20" w:after="20"/>
              <w:jc w:val="both"/>
            </w:pPr>
            <w:r>
              <w:rPr>
                <w:sz w:val="18"/>
                <w:szCs w:val="18"/>
              </w:rPr>
              <w:t>Relaciona cada control con las afirmaciones afectadas.</w:t>
            </w:r>
          </w:p>
        </w:tc>
      </w:tr>
      <w:tr w:rsidR="00990B14" w14:paraId="0AE1B093" w14:textId="77777777">
        <w:trPr>
          <w:cantSplit/>
          <w:jc w:val="center"/>
        </w:trPr>
        <w:tc>
          <w:tcPr>
            <w:tcW w:w="1490" w:type="dxa"/>
            <w:vMerge/>
            <w:shd w:val="clear" w:color="auto" w:fill="4472C4"/>
            <w:vAlign w:val="center"/>
          </w:tcPr>
          <w:p w14:paraId="17068938" w14:textId="77777777" w:rsidR="00990B14" w:rsidRDefault="00990B14">
            <w:pPr>
              <w:spacing w:before="20" w:after="20"/>
            </w:pPr>
          </w:p>
        </w:tc>
        <w:tc>
          <w:tcPr>
            <w:tcW w:w="2120" w:type="dxa"/>
            <w:shd w:val="clear" w:color="auto" w:fill="D9E2F3"/>
            <w:vAlign w:val="center"/>
          </w:tcPr>
          <w:p w14:paraId="70CAFA30" w14:textId="77777777" w:rsidR="00990B14" w:rsidRDefault="00000000">
            <w:pPr>
              <w:spacing w:before="20" w:after="20"/>
              <w:jc w:val="both"/>
            </w:pPr>
            <w:r>
              <w:rPr>
                <w:sz w:val="18"/>
                <w:szCs w:val="18"/>
              </w:rPr>
              <w:t>Valoración</w:t>
            </w:r>
          </w:p>
        </w:tc>
        <w:tc>
          <w:tcPr>
            <w:tcW w:w="1805" w:type="dxa"/>
            <w:shd w:val="clear" w:color="auto" w:fill="D9E2F3"/>
            <w:vAlign w:val="center"/>
          </w:tcPr>
          <w:p w14:paraId="35ED0344" w14:textId="77777777" w:rsidR="00990B14" w:rsidRDefault="00000000">
            <w:pPr>
              <w:spacing w:before="20" w:after="20"/>
              <w:jc w:val="both"/>
            </w:pPr>
            <w:r>
              <w:rPr>
                <w:sz w:val="18"/>
                <w:szCs w:val="18"/>
              </w:rPr>
              <w:t>No valora el riesgo.</w:t>
            </w:r>
          </w:p>
        </w:tc>
        <w:tc>
          <w:tcPr>
            <w:tcW w:w="2113" w:type="dxa"/>
            <w:shd w:val="clear" w:color="auto" w:fill="D9E2F3"/>
            <w:vAlign w:val="center"/>
          </w:tcPr>
          <w:p w14:paraId="60A31D0B" w14:textId="77777777" w:rsidR="00990B14" w:rsidRDefault="00000000">
            <w:pPr>
              <w:spacing w:before="20" w:after="20"/>
              <w:jc w:val="both"/>
            </w:pPr>
            <w:r>
              <w:rPr>
                <w:sz w:val="18"/>
                <w:szCs w:val="18"/>
              </w:rPr>
              <w:t>Valora el riesgo en el espectro de riesgo inherente.</w:t>
            </w:r>
          </w:p>
        </w:tc>
        <w:tc>
          <w:tcPr>
            <w:tcW w:w="1877" w:type="dxa"/>
            <w:shd w:val="clear" w:color="auto" w:fill="D9E2F3"/>
            <w:vAlign w:val="center"/>
          </w:tcPr>
          <w:p w14:paraId="6C9E2AED" w14:textId="77777777" w:rsidR="00990B14" w:rsidRDefault="00000000">
            <w:pPr>
              <w:spacing w:before="20" w:after="20"/>
              <w:jc w:val="both"/>
            </w:pPr>
            <w:r>
              <w:rPr>
                <w:sz w:val="18"/>
                <w:szCs w:val="18"/>
              </w:rPr>
              <w:t>Diseña la respuesta a cada riesgo valorado.</w:t>
            </w:r>
          </w:p>
        </w:tc>
      </w:tr>
      <w:tr w:rsidR="00990B14" w14:paraId="69E38BE1" w14:textId="77777777">
        <w:trPr>
          <w:cantSplit/>
          <w:jc w:val="center"/>
        </w:trPr>
        <w:tc>
          <w:tcPr>
            <w:tcW w:w="1490" w:type="dxa"/>
            <w:vMerge/>
            <w:shd w:val="clear" w:color="auto" w:fill="4472C4"/>
            <w:vAlign w:val="center"/>
          </w:tcPr>
          <w:p w14:paraId="0F3FAF3A" w14:textId="77777777" w:rsidR="00990B14" w:rsidRDefault="00990B14">
            <w:pPr>
              <w:spacing w:before="20" w:after="20"/>
            </w:pPr>
          </w:p>
        </w:tc>
        <w:tc>
          <w:tcPr>
            <w:tcW w:w="2120" w:type="dxa"/>
            <w:shd w:val="clear" w:color="auto" w:fill="D9E2F3"/>
            <w:vAlign w:val="center"/>
          </w:tcPr>
          <w:p w14:paraId="193203E9" w14:textId="77777777" w:rsidR="00990B14" w:rsidRDefault="00000000">
            <w:pPr>
              <w:spacing w:before="20" w:after="20"/>
              <w:jc w:val="both"/>
            </w:pPr>
            <w:r>
              <w:rPr>
                <w:sz w:val="18"/>
                <w:szCs w:val="18"/>
              </w:rPr>
              <w:t>Trabajo en equipo</w:t>
            </w:r>
          </w:p>
        </w:tc>
        <w:tc>
          <w:tcPr>
            <w:tcW w:w="1805" w:type="dxa"/>
            <w:shd w:val="clear" w:color="auto" w:fill="D9E2F3"/>
            <w:vAlign w:val="center"/>
          </w:tcPr>
          <w:p w14:paraId="2ECCD232" w14:textId="77777777" w:rsidR="00990B14" w:rsidRDefault="00000000">
            <w:pPr>
              <w:spacing w:before="20" w:after="20"/>
              <w:jc w:val="both"/>
            </w:pPr>
            <w:r>
              <w:rPr>
                <w:sz w:val="18"/>
                <w:szCs w:val="18"/>
              </w:rPr>
              <w:t>La participación es desigual.</w:t>
            </w:r>
          </w:p>
        </w:tc>
        <w:tc>
          <w:tcPr>
            <w:tcW w:w="2113" w:type="dxa"/>
            <w:shd w:val="clear" w:color="auto" w:fill="D9E2F3"/>
            <w:vAlign w:val="center"/>
          </w:tcPr>
          <w:p w14:paraId="02A885C2" w14:textId="77777777" w:rsidR="00990B14" w:rsidRDefault="00000000">
            <w:pPr>
              <w:spacing w:before="20" w:after="20"/>
              <w:jc w:val="both"/>
            </w:pPr>
            <w:r>
              <w:rPr>
                <w:sz w:val="18"/>
                <w:szCs w:val="18"/>
              </w:rPr>
              <w:t>Todos los integrantes participan.</w:t>
            </w:r>
          </w:p>
        </w:tc>
        <w:tc>
          <w:tcPr>
            <w:tcW w:w="1877" w:type="dxa"/>
            <w:shd w:val="clear" w:color="auto" w:fill="D9E2F3"/>
            <w:vAlign w:val="center"/>
          </w:tcPr>
          <w:p w14:paraId="162022CB" w14:textId="77777777" w:rsidR="00990B14" w:rsidRDefault="00000000">
            <w:pPr>
              <w:spacing w:before="20" w:after="20"/>
              <w:jc w:val="both"/>
            </w:pPr>
            <w:r>
              <w:rPr>
                <w:sz w:val="18"/>
                <w:szCs w:val="18"/>
              </w:rPr>
              <w:t>El equipo sustenta la matriz con evidencia del caso.</w:t>
            </w:r>
          </w:p>
        </w:tc>
      </w:tr>
      <w:tr w:rsidR="00990B14" w14:paraId="1B65DE5D" w14:textId="77777777">
        <w:trPr>
          <w:cantSplit/>
          <w:jc w:val="center"/>
        </w:trPr>
        <w:tc>
          <w:tcPr>
            <w:tcW w:w="1490" w:type="dxa"/>
            <w:vMerge/>
            <w:shd w:val="clear" w:color="auto" w:fill="4472C4"/>
            <w:vAlign w:val="center"/>
          </w:tcPr>
          <w:p w14:paraId="597A282E" w14:textId="77777777" w:rsidR="00990B14" w:rsidRDefault="00990B14">
            <w:pPr>
              <w:spacing w:before="20" w:after="20"/>
            </w:pPr>
          </w:p>
        </w:tc>
        <w:tc>
          <w:tcPr>
            <w:tcW w:w="6038" w:type="dxa"/>
            <w:gridSpan w:val="3"/>
            <w:shd w:val="clear" w:color="auto" w:fill="D9E2F3"/>
            <w:vAlign w:val="center"/>
          </w:tcPr>
          <w:p w14:paraId="3E6446B3" w14:textId="77777777" w:rsidR="00990B14" w:rsidRDefault="00000000">
            <w:pPr>
              <w:keepNext/>
              <w:spacing w:before="20" w:after="20"/>
              <w:jc w:val="both"/>
            </w:pPr>
            <w:r>
              <w:rPr>
                <w:b/>
                <w:bCs/>
                <w:i/>
                <w:iCs/>
                <w:sz w:val="18"/>
                <w:szCs w:val="18"/>
              </w:rPr>
              <w:t xml:space="preserve">Producto 7: </w:t>
            </w:r>
            <w:r>
              <w:rPr>
                <w:sz w:val="18"/>
                <w:szCs w:val="18"/>
              </w:rPr>
              <w:t>Informe del sistema de seguridad de la información</w:t>
            </w:r>
          </w:p>
        </w:tc>
        <w:tc>
          <w:tcPr>
            <w:tcW w:w="1877" w:type="dxa"/>
            <w:shd w:val="clear" w:color="auto" w:fill="D9E2F3"/>
            <w:vAlign w:val="center"/>
          </w:tcPr>
          <w:p w14:paraId="27F920A3" w14:textId="77777777" w:rsidR="00990B14" w:rsidRDefault="00000000">
            <w:pPr>
              <w:spacing w:before="20" w:after="20"/>
              <w:jc w:val="center"/>
            </w:pPr>
            <w:r>
              <w:rPr>
                <w:b/>
                <w:bCs/>
                <w:sz w:val="18"/>
                <w:szCs w:val="18"/>
              </w:rPr>
              <w:t>5%</w:t>
            </w:r>
          </w:p>
        </w:tc>
      </w:tr>
      <w:tr w:rsidR="00990B14" w14:paraId="1160E6B3" w14:textId="77777777">
        <w:trPr>
          <w:cantSplit/>
          <w:jc w:val="center"/>
        </w:trPr>
        <w:tc>
          <w:tcPr>
            <w:tcW w:w="1490" w:type="dxa"/>
            <w:vMerge/>
            <w:shd w:val="clear" w:color="auto" w:fill="4472C4"/>
            <w:vAlign w:val="center"/>
          </w:tcPr>
          <w:p w14:paraId="2E1064C3" w14:textId="77777777" w:rsidR="00990B14" w:rsidRDefault="00990B14">
            <w:pPr>
              <w:spacing w:before="20" w:after="20"/>
            </w:pPr>
          </w:p>
        </w:tc>
        <w:tc>
          <w:tcPr>
            <w:tcW w:w="2120" w:type="dxa"/>
            <w:shd w:val="clear" w:color="auto" w:fill="4472C4"/>
            <w:vAlign w:val="center"/>
          </w:tcPr>
          <w:p w14:paraId="45F6518D" w14:textId="77777777" w:rsidR="00990B14" w:rsidRDefault="00000000">
            <w:pPr>
              <w:keepNext/>
              <w:spacing w:before="20" w:after="20"/>
              <w:jc w:val="center"/>
            </w:pPr>
            <w:r>
              <w:rPr>
                <w:b/>
                <w:bCs/>
                <w:i/>
                <w:iCs/>
                <w:color w:val="FFFFFF"/>
                <w:sz w:val="18"/>
                <w:szCs w:val="18"/>
              </w:rPr>
              <w:t>Criterio</w:t>
            </w:r>
          </w:p>
        </w:tc>
        <w:tc>
          <w:tcPr>
            <w:tcW w:w="1805" w:type="dxa"/>
            <w:shd w:val="clear" w:color="auto" w:fill="4472C4"/>
            <w:vAlign w:val="center"/>
          </w:tcPr>
          <w:p w14:paraId="15A3575B" w14:textId="77777777" w:rsidR="00990B14" w:rsidRDefault="00000000">
            <w:pPr>
              <w:keepNext/>
              <w:spacing w:before="20" w:after="20"/>
              <w:jc w:val="center"/>
            </w:pPr>
            <w:r>
              <w:rPr>
                <w:b/>
                <w:bCs/>
                <w:i/>
                <w:iCs/>
                <w:color w:val="FFFFFF"/>
                <w:sz w:val="18"/>
                <w:szCs w:val="18"/>
              </w:rPr>
              <w:t>Insuficiente (1–50)</w:t>
            </w:r>
          </w:p>
        </w:tc>
        <w:tc>
          <w:tcPr>
            <w:tcW w:w="2113" w:type="dxa"/>
            <w:shd w:val="clear" w:color="auto" w:fill="4472C4"/>
            <w:vAlign w:val="center"/>
          </w:tcPr>
          <w:p w14:paraId="365AFC53"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5B8ED3D1" w14:textId="77777777" w:rsidR="00990B14" w:rsidRDefault="00000000">
            <w:pPr>
              <w:keepNext/>
              <w:spacing w:before="20" w:after="20"/>
              <w:jc w:val="center"/>
            </w:pPr>
            <w:r>
              <w:rPr>
                <w:b/>
                <w:bCs/>
                <w:i/>
                <w:iCs/>
                <w:color w:val="FFFFFF"/>
                <w:sz w:val="18"/>
                <w:szCs w:val="18"/>
              </w:rPr>
              <w:t>Destacado (81–100)</w:t>
            </w:r>
          </w:p>
        </w:tc>
      </w:tr>
      <w:tr w:rsidR="00990B14" w14:paraId="1CEA8679" w14:textId="77777777">
        <w:trPr>
          <w:cantSplit/>
          <w:jc w:val="center"/>
        </w:trPr>
        <w:tc>
          <w:tcPr>
            <w:tcW w:w="1490" w:type="dxa"/>
            <w:vMerge/>
            <w:shd w:val="clear" w:color="auto" w:fill="4472C4"/>
            <w:vAlign w:val="center"/>
          </w:tcPr>
          <w:p w14:paraId="4D7F1879" w14:textId="77777777" w:rsidR="00990B14" w:rsidRDefault="00990B14">
            <w:pPr>
              <w:spacing w:before="20" w:after="20"/>
            </w:pPr>
          </w:p>
        </w:tc>
        <w:tc>
          <w:tcPr>
            <w:tcW w:w="2120" w:type="dxa"/>
            <w:shd w:val="clear" w:color="auto" w:fill="D9E2F3"/>
            <w:vAlign w:val="center"/>
          </w:tcPr>
          <w:p w14:paraId="1FDAC3AF" w14:textId="77777777" w:rsidR="00990B14" w:rsidRDefault="00000000">
            <w:pPr>
              <w:spacing w:before="20" w:after="20"/>
              <w:jc w:val="both"/>
            </w:pPr>
            <w:r>
              <w:rPr>
                <w:sz w:val="18"/>
                <w:szCs w:val="18"/>
              </w:rPr>
              <w:t>Requisitos</w:t>
            </w:r>
          </w:p>
        </w:tc>
        <w:tc>
          <w:tcPr>
            <w:tcW w:w="1805" w:type="dxa"/>
            <w:shd w:val="clear" w:color="auto" w:fill="D9E2F3"/>
            <w:vAlign w:val="center"/>
          </w:tcPr>
          <w:p w14:paraId="2691CF5E" w14:textId="77777777" w:rsidR="00990B14" w:rsidRDefault="00000000">
            <w:pPr>
              <w:spacing w:before="20" w:after="20"/>
              <w:jc w:val="both"/>
            </w:pPr>
            <w:r>
              <w:rPr>
                <w:sz w:val="18"/>
                <w:szCs w:val="18"/>
              </w:rPr>
              <w:t>Omite requisitos de la norma.</w:t>
            </w:r>
          </w:p>
        </w:tc>
        <w:tc>
          <w:tcPr>
            <w:tcW w:w="2113" w:type="dxa"/>
            <w:shd w:val="clear" w:color="auto" w:fill="D9E2F3"/>
            <w:vAlign w:val="center"/>
          </w:tcPr>
          <w:p w14:paraId="42CD04DE" w14:textId="77777777" w:rsidR="00990B14" w:rsidRDefault="00000000">
            <w:pPr>
              <w:spacing w:before="20" w:after="20"/>
              <w:jc w:val="both"/>
            </w:pPr>
            <w:r>
              <w:rPr>
                <w:sz w:val="18"/>
                <w:szCs w:val="18"/>
              </w:rPr>
              <w:t>Evalúa los requisitos de la ISO 27001 vigente.</w:t>
            </w:r>
          </w:p>
        </w:tc>
        <w:tc>
          <w:tcPr>
            <w:tcW w:w="1877" w:type="dxa"/>
            <w:shd w:val="clear" w:color="auto" w:fill="D9E2F3"/>
            <w:vAlign w:val="center"/>
          </w:tcPr>
          <w:p w14:paraId="4E408992" w14:textId="77777777" w:rsidR="00990B14" w:rsidRDefault="00000000">
            <w:pPr>
              <w:spacing w:before="20" w:after="20"/>
              <w:jc w:val="both"/>
            </w:pPr>
            <w:r>
              <w:rPr>
                <w:sz w:val="18"/>
                <w:szCs w:val="18"/>
              </w:rPr>
              <w:t>Mide los controles con métricas de la ISO 27004.</w:t>
            </w:r>
          </w:p>
        </w:tc>
      </w:tr>
      <w:tr w:rsidR="00990B14" w14:paraId="14F3B304" w14:textId="77777777">
        <w:trPr>
          <w:cantSplit/>
          <w:jc w:val="center"/>
        </w:trPr>
        <w:tc>
          <w:tcPr>
            <w:tcW w:w="1490" w:type="dxa"/>
            <w:vMerge/>
            <w:shd w:val="clear" w:color="auto" w:fill="4472C4"/>
            <w:vAlign w:val="center"/>
          </w:tcPr>
          <w:p w14:paraId="6C35A107" w14:textId="77777777" w:rsidR="00990B14" w:rsidRDefault="00990B14">
            <w:pPr>
              <w:spacing w:before="20" w:after="20"/>
            </w:pPr>
          </w:p>
        </w:tc>
        <w:tc>
          <w:tcPr>
            <w:tcW w:w="2120" w:type="dxa"/>
            <w:shd w:val="clear" w:color="auto" w:fill="D9E2F3"/>
            <w:vAlign w:val="center"/>
          </w:tcPr>
          <w:p w14:paraId="606F77E9" w14:textId="77777777" w:rsidR="00990B14" w:rsidRDefault="00000000">
            <w:pPr>
              <w:spacing w:before="20" w:after="20"/>
              <w:jc w:val="both"/>
            </w:pPr>
            <w:r>
              <w:rPr>
                <w:sz w:val="18"/>
                <w:szCs w:val="18"/>
              </w:rPr>
              <w:t>Riesgos</w:t>
            </w:r>
          </w:p>
        </w:tc>
        <w:tc>
          <w:tcPr>
            <w:tcW w:w="1805" w:type="dxa"/>
            <w:shd w:val="clear" w:color="auto" w:fill="D9E2F3"/>
            <w:vAlign w:val="center"/>
          </w:tcPr>
          <w:p w14:paraId="2F5814EA" w14:textId="77777777" w:rsidR="00990B14" w:rsidRDefault="00000000">
            <w:pPr>
              <w:spacing w:before="20" w:after="20"/>
              <w:jc w:val="both"/>
            </w:pPr>
            <w:r>
              <w:rPr>
                <w:sz w:val="18"/>
                <w:szCs w:val="18"/>
              </w:rPr>
              <w:t>No analiza amenazas.</w:t>
            </w:r>
          </w:p>
        </w:tc>
        <w:tc>
          <w:tcPr>
            <w:tcW w:w="2113" w:type="dxa"/>
            <w:shd w:val="clear" w:color="auto" w:fill="D9E2F3"/>
            <w:vAlign w:val="center"/>
          </w:tcPr>
          <w:p w14:paraId="612724BB" w14:textId="77777777" w:rsidR="00990B14" w:rsidRDefault="00000000">
            <w:pPr>
              <w:spacing w:before="20" w:after="20"/>
              <w:jc w:val="both"/>
            </w:pPr>
            <w:r>
              <w:rPr>
                <w:sz w:val="18"/>
                <w:szCs w:val="18"/>
              </w:rPr>
              <w:t>Analiza amenazas, vulnerabilidades e impactos.</w:t>
            </w:r>
          </w:p>
        </w:tc>
        <w:tc>
          <w:tcPr>
            <w:tcW w:w="1877" w:type="dxa"/>
            <w:shd w:val="clear" w:color="auto" w:fill="D9E2F3"/>
            <w:vAlign w:val="center"/>
          </w:tcPr>
          <w:p w14:paraId="35B8FDF7" w14:textId="77777777" w:rsidR="00990B14" w:rsidRDefault="00000000">
            <w:pPr>
              <w:spacing w:before="20" w:after="20"/>
              <w:jc w:val="both"/>
            </w:pPr>
            <w:r>
              <w:rPr>
                <w:sz w:val="18"/>
                <w:szCs w:val="18"/>
              </w:rPr>
              <w:t>Propone el tratamiento de cada riesgo.</w:t>
            </w:r>
          </w:p>
        </w:tc>
      </w:tr>
      <w:tr w:rsidR="00990B14" w14:paraId="4EAA2431" w14:textId="77777777">
        <w:trPr>
          <w:cantSplit/>
          <w:jc w:val="center"/>
        </w:trPr>
        <w:tc>
          <w:tcPr>
            <w:tcW w:w="1490" w:type="dxa"/>
            <w:vMerge/>
            <w:shd w:val="clear" w:color="auto" w:fill="4472C4"/>
            <w:vAlign w:val="center"/>
          </w:tcPr>
          <w:p w14:paraId="64276277" w14:textId="77777777" w:rsidR="00990B14" w:rsidRDefault="00990B14">
            <w:pPr>
              <w:spacing w:before="20" w:after="20"/>
            </w:pPr>
          </w:p>
        </w:tc>
        <w:tc>
          <w:tcPr>
            <w:tcW w:w="2120" w:type="dxa"/>
            <w:shd w:val="clear" w:color="auto" w:fill="D9E2F3"/>
            <w:vAlign w:val="center"/>
          </w:tcPr>
          <w:p w14:paraId="55F94A0B" w14:textId="77777777" w:rsidR="00990B14" w:rsidRDefault="00000000">
            <w:pPr>
              <w:spacing w:before="20" w:after="20"/>
              <w:jc w:val="both"/>
            </w:pPr>
            <w:r>
              <w:rPr>
                <w:sz w:val="18"/>
                <w:szCs w:val="18"/>
              </w:rPr>
              <w:t>Sustentación</w:t>
            </w:r>
          </w:p>
        </w:tc>
        <w:tc>
          <w:tcPr>
            <w:tcW w:w="1805" w:type="dxa"/>
            <w:shd w:val="clear" w:color="auto" w:fill="D9E2F3"/>
            <w:vAlign w:val="center"/>
          </w:tcPr>
          <w:p w14:paraId="579A6787" w14:textId="77777777" w:rsidR="00990B14" w:rsidRDefault="00000000">
            <w:pPr>
              <w:spacing w:before="20" w:after="20"/>
              <w:jc w:val="both"/>
            </w:pPr>
            <w:r>
              <w:rPr>
                <w:sz w:val="18"/>
                <w:szCs w:val="18"/>
              </w:rPr>
              <w:t>La sustentación es débil.</w:t>
            </w:r>
          </w:p>
        </w:tc>
        <w:tc>
          <w:tcPr>
            <w:tcW w:w="2113" w:type="dxa"/>
            <w:shd w:val="clear" w:color="auto" w:fill="D9E2F3"/>
            <w:vAlign w:val="center"/>
          </w:tcPr>
          <w:p w14:paraId="59829696" w14:textId="77777777" w:rsidR="00990B14" w:rsidRDefault="00000000">
            <w:pPr>
              <w:spacing w:before="20" w:after="20"/>
              <w:jc w:val="both"/>
            </w:pPr>
            <w:r>
              <w:rPr>
                <w:sz w:val="18"/>
                <w:szCs w:val="18"/>
              </w:rPr>
              <w:t>Sustenta con claridad.</w:t>
            </w:r>
          </w:p>
        </w:tc>
        <w:tc>
          <w:tcPr>
            <w:tcW w:w="1877" w:type="dxa"/>
            <w:shd w:val="clear" w:color="auto" w:fill="D9E2F3"/>
            <w:vAlign w:val="center"/>
          </w:tcPr>
          <w:p w14:paraId="01D7CB97" w14:textId="77777777" w:rsidR="00990B14" w:rsidRDefault="00000000">
            <w:pPr>
              <w:spacing w:before="20" w:after="20"/>
              <w:jc w:val="both"/>
            </w:pPr>
            <w:r>
              <w:rPr>
                <w:sz w:val="18"/>
                <w:szCs w:val="18"/>
              </w:rPr>
              <w:t>Responde con fundamento las preguntas.</w:t>
            </w:r>
          </w:p>
        </w:tc>
      </w:tr>
      <w:tr w:rsidR="00990B14" w14:paraId="65E6706B" w14:textId="77777777">
        <w:trPr>
          <w:cantSplit/>
          <w:jc w:val="center"/>
        </w:trPr>
        <w:tc>
          <w:tcPr>
            <w:tcW w:w="1490" w:type="dxa"/>
            <w:vMerge/>
            <w:shd w:val="clear" w:color="auto" w:fill="4472C4"/>
            <w:vAlign w:val="center"/>
          </w:tcPr>
          <w:p w14:paraId="703B3874" w14:textId="77777777" w:rsidR="00990B14" w:rsidRDefault="00990B14">
            <w:pPr>
              <w:spacing w:before="20" w:after="20"/>
            </w:pPr>
          </w:p>
        </w:tc>
        <w:tc>
          <w:tcPr>
            <w:tcW w:w="6038" w:type="dxa"/>
            <w:gridSpan w:val="3"/>
            <w:shd w:val="clear" w:color="auto" w:fill="D9E2F3"/>
            <w:vAlign w:val="center"/>
          </w:tcPr>
          <w:p w14:paraId="2AF1A404" w14:textId="77777777" w:rsidR="00990B14" w:rsidRDefault="00000000">
            <w:pPr>
              <w:keepNext/>
              <w:spacing w:before="20" w:after="20"/>
              <w:jc w:val="both"/>
            </w:pPr>
            <w:r>
              <w:rPr>
                <w:b/>
                <w:bCs/>
                <w:i/>
                <w:iCs/>
                <w:sz w:val="18"/>
                <w:szCs w:val="18"/>
              </w:rPr>
              <w:t xml:space="preserve">Producto 8: </w:t>
            </w:r>
            <w:r>
              <w:rPr>
                <w:sz w:val="18"/>
                <w:szCs w:val="18"/>
              </w:rPr>
              <w:t>Informe sobre proveedores tecnológicos</w:t>
            </w:r>
          </w:p>
        </w:tc>
        <w:tc>
          <w:tcPr>
            <w:tcW w:w="1877" w:type="dxa"/>
            <w:shd w:val="clear" w:color="auto" w:fill="D9E2F3"/>
            <w:vAlign w:val="center"/>
          </w:tcPr>
          <w:p w14:paraId="132DFA42" w14:textId="77777777" w:rsidR="00990B14" w:rsidRDefault="00000000">
            <w:pPr>
              <w:spacing w:before="20" w:after="20"/>
              <w:jc w:val="center"/>
            </w:pPr>
            <w:r>
              <w:rPr>
                <w:b/>
                <w:bCs/>
                <w:sz w:val="18"/>
                <w:szCs w:val="18"/>
              </w:rPr>
              <w:t>5%</w:t>
            </w:r>
          </w:p>
        </w:tc>
      </w:tr>
      <w:tr w:rsidR="00990B14" w14:paraId="3315CCD4" w14:textId="77777777">
        <w:trPr>
          <w:cantSplit/>
          <w:jc w:val="center"/>
        </w:trPr>
        <w:tc>
          <w:tcPr>
            <w:tcW w:w="1490" w:type="dxa"/>
            <w:vMerge/>
            <w:shd w:val="clear" w:color="auto" w:fill="4472C4"/>
            <w:vAlign w:val="center"/>
          </w:tcPr>
          <w:p w14:paraId="5473ACC9" w14:textId="77777777" w:rsidR="00990B14" w:rsidRDefault="00990B14">
            <w:pPr>
              <w:spacing w:before="20" w:after="20"/>
            </w:pPr>
          </w:p>
        </w:tc>
        <w:tc>
          <w:tcPr>
            <w:tcW w:w="2120" w:type="dxa"/>
            <w:shd w:val="clear" w:color="auto" w:fill="4472C4"/>
            <w:vAlign w:val="center"/>
          </w:tcPr>
          <w:p w14:paraId="74B874C8" w14:textId="77777777" w:rsidR="00990B14" w:rsidRDefault="00000000">
            <w:pPr>
              <w:keepNext/>
              <w:spacing w:before="20" w:after="20"/>
              <w:jc w:val="center"/>
            </w:pPr>
            <w:r>
              <w:rPr>
                <w:b/>
                <w:bCs/>
                <w:i/>
                <w:iCs/>
                <w:color w:val="FFFFFF"/>
                <w:sz w:val="18"/>
                <w:szCs w:val="18"/>
              </w:rPr>
              <w:t>Criterio</w:t>
            </w:r>
          </w:p>
        </w:tc>
        <w:tc>
          <w:tcPr>
            <w:tcW w:w="1805" w:type="dxa"/>
            <w:shd w:val="clear" w:color="auto" w:fill="4472C4"/>
            <w:vAlign w:val="center"/>
          </w:tcPr>
          <w:p w14:paraId="63650DB9" w14:textId="77777777" w:rsidR="00990B14" w:rsidRDefault="00000000">
            <w:pPr>
              <w:keepNext/>
              <w:spacing w:before="20" w:after="20"/>
              <w:jc w:val="center"/>
            </w:pPr>
            <w:r>
              <w:rPr>
                <w:b/>
                <w:bCs/>
                <w:i/>
                <w:iCs/>
                <w:color w:val="FFFFFF"/>
                <w:sz w:val="18"/>
                <w:szCs w:val="18"/>
              </w:rPr>
              <w:t>Insuficiente (1–50)</w:t>
            </w:r>
          </w:p>
        </w:tc>
        <w:tc>
          <w:tcPr>
            <w:tcW w:w="2113" w:type="dxa"/>
            <w:shd w:val="clear" w:color="auto" w:fill="4472C4"/>
            <w:vAlign w:val="center"/>
          </w:tcPr>
          <w:p w14:paraId="36CC4FCB"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571DF390" w14:textId="77777777" w:rsidR="00990B14" w:rsidRDefault="00000000">
            <w:pPr>
              <w:keepNext/>
              <w:spacing w:before="20" w:after="20"/>
              <w:jc w:val="center"/>
            </w:pPr>
            <w:r>
              <w:rPr>
                <w:b/>
                <w:bCs/>
                <w:i/>
                <w:iCs/>
                <w:color w:val="FFFFFF"/>
                <w:sz w:val="18"/>
                <w:szCs w:val="18"/>
              </w:rPr>
              <w:t>Destacado (81–100)</w:t>
            </w:r>
          </w:p>
        </w:tc>
      </w:tr>
      <w:tr w:rsidR="00990B14" w14:paraId="6E73D8A6" w14:textId="77777777">
        <w:trPr>
          <w:cantSplit/>
          <w:jc w:val="center"/>
        </w:trPr>
        <w:tc>
          <w:tcPr>
            <w:tcW w:w="1490" w:type="dxa"/>
            <w:vMerge/>
            <w:shd w:val="clear" w:color="auto" w:fill="4472C4"/>
            <w:vAlign w:val="center"/>
          </w:tcPr>
          <w:p w14:paraId="665FC1F9" w14:textId="77777777" w:rsidR="00990B14" w:rsidRDefault="00990B14">
            <w:pPr>
              <w:spacing w:before="20" w:after="20"/>
            </w:pPr>
          </w:p>
        </w:tc>
        <w:tc>
          <w:tcPr>
            <w:tcW w:w="2120" w:type="dxa"/>
            <w:shd w:val="clear" w:color="auto" w:fill="D9E2F3"/>
            <w:vAlign w:val="center"/>
          </w:tcPr>
          <w:p w14:paraId="02A148F3" w14:textId="77777777" w:rsidR="00990B14" w:rsidRDefault="00000000">
            <w:pPr>
              <w:spacing w:before="20" w:after="20"/>
              <w:jc w:val="both"/>
            </w:pPr>
            <w:r>
              <w:rPr>
                <w:sz w:val="18"/>
                <w:szCs w:val="18"/>
              </w:rPr>
              <w:t>Tipo de informe</w:t>
            </w:r>
          </w:p>
        </w:tc>
        <w:tc>
          <w:tcPr>
            <w:tcW w:w="1805" w:type="dxa"/>
            <w:shd w:val="clear" w:color="auto" w:fill="D9E2F3"/>
            <w:vAlign w:val="center"/>
          </w:tcPr>
          <w:p w14:paraId="00783D71" w14:textId="77777777" w:rsidR="00990B14" w:rsidRDefault="00000000">
            <w:pPr>
              <w:spacing w:before="20" w:after="20"/>
              <w:jc w:val="both"/>
            </w:pPr>
            <w:r>
              <w:rPr>
                <w:sz w:val="18"/>
                <w:szCs w:val="18"/>
              </w:rPr>
              <w:t>Confunde los tipos de informe.</w:t>
            </w:r>
          </w:p>
        </w:tc>
        <w:tc>
          <w:tcPr>
            <w:tcW w:w="2113" w:type="dxa"/>
            <w:shd w:val="clear" w:color="auto" w:fill="D9E2F3"/>
            <w:vAlign w:val="center"/>
          </w:tcPr>
          <w:p w14:paraId="1FD9BD25" w14:textId="77777777" w:rsidR="00990B14" w:rsidRDefault="00000000">
            <w:pPr>
              <w:spacing w:before="20" w:after="20"/>
              <w:jc w:val="both"/>
            </w:pPr>
            <w:r>
              <w:rPr>
                <w:sz w:val="18"/>
                <w:szCs w:val="18"/>
              </w:rPr>
              <w:t>Distingue los informes tipo 1 y tipo 2.</w:t>
            </w:r>
          </w:p>
        </w:tc>
        <w:tc>
          <w:tcPr>
            <w:tcW w:w="1877" w:type="dxa"/>
            <w:shd w:val="clear" w:color="auto" w:fill="D9E2F3"/>
            <w:vAlign w:val="center"/>
          </w:tcPr>
          <w:p w14:paraId="7F39FB8A" w14:textId="77777777" w:rsidR="00990B14" w:rsidRDefault="00000000">
            <w:pPr>
              <w:spacing w:before="20" w:after="20"/>
              <w:jc w:val="both"/>
            </w:pPr>
            <w:r>
              <w:rPr>
                <w:sz w:val="18"/>
                <w:szCs w:val="18"/>
              </w:rPr>
              <w:t>Evalúa el periodo cubierto frente al de la auditoría.</w:t>
            </w:r>
          </w:p>
        </w:tc>
      </w:tr>
      <w:tr w:rsidR="00990B14" w14:paraId="76E391CF" w14:textId="77777777">
        <w:trPr>
          <w:cantSplit/>
          <w:jc w:val="center"/>
        </w:trPr>
        <w:tc>
          <w:tcPr>
            <w:tcW w:w="1490" w:type="dxa"/>
            <w:vMerge/>
            <w:shd w:val="clear" w:color="auto" w:fill="4472C4"/>
            <w:vAlign w:val="center"/>
          </w:tcPr>
          <w:p w14:paraId="6D4B561B" w14:textId="77777777" w:rsidR="00990B14" w:rsidRDefault="00990B14">
            <w:pPr>
              <w:spacing w:before="20" w:after="20"/>
            </w:pPr>
          </w:p>
        </w:tc>
        <w:tc>
          <w:tcPr>
            <w:tcW w:w="2120" w:type="dxa"/>
            <w:shd w:val="clear" w:color="auto" w:fill="D9E2F3"/>
            <w:vAlign w:val="center"/>
          </w:tcPr>
          <w:p w14:paraId="7E33491C" w14:textId="77777777" w:rsidR="00990B14" w:rsidRDefault="00000000">
            <w:pPr>
              <w:spacing w:before="20" w:after="20"/>
              <w:jc w:val="both"/>
            </w:pPr>
            <w:r>
              <w:rPr>
                <w:sz w:val="18"/>
                <w:szCs w:val="18"/>
              </w:rPr>
              <w:t>Controles complementarios</w:t>
            </w:r>
          </w:p>
        </w:tc>
        <w:tc>
          <w:tcPr>
            <w:tcW w:w="1805" w:type="dxa"/>
            <w:shd w:val="clear" w:color="auto" w:fill="D9E2F3"/>
            <w:vAlign w:val="center"/>
          </w:tcPr>
          <w:p w14:paraId="1088A864" w14:textId="77777777" w:rsidR="00990B14" w:rsidRDefault="00000000">
            <w:pPr>
              <w:spacing w:before="20" w:after="20"/>
              <w:jc w:val="both"/>
            </w:pPr>
            <w:r>
              <w:rPr>
                <w:sz w:val="18"/>
                <w:szCs w:val="18"/>
              </w:rPr>
              <w:t>Los omite.</w:t>
            </w:r>
          </w:p>
        </w:tc>
        <w:tc>
          <w:tcPr>
            <w:tcW w:w="2113" w:type="dxa"/>
            <w:shd w:val="clear" w:color="auto" w:fill="D9E2F3"/>
            <w:vAlign w:val="center"/>
          </w:tcPr>
          <w:p w14:paraId="65B0C97C" w14:textId="77777777" w:rsidR="00990B14" w:rsidRDefault="00000000">
            <w:pPr>
              <w:spacing w:before="20" w:after="20"/>
              <w:jc w:val="both"/>
            </w:pPr>
            <w:r>
              <w:rPr>
                <w:sz w:val="18"/>
                <w:szCs w:val="18"/>
              </w:rPr>
              <w:t>Identifica los controles complementarios de la entidad usuaria.</w:t>
            </w:r>
          </w:p>
        </w:tc>
        <w:tc>
          <w:tcPr>
            <w:tcW w:w="1877" w:type="dxa"/>
            <w:shd w:val="clear" w:color="auto" w:fill="D9E2F3"/>
            <w:vAlign w:val="center"/>
          </w:tcPr>
          <w:p w14:paraId="4A2E8CFD" w14:textId="77777777" w:rsidR="00990B14" w:rsidRDefault="00000000">
            <w:pPr>
              <w:spacing w:before="20" w:after="20"/>
              <w:jc w:val="both"/>
            </w:pPr>
            <w:r>
              <w:rPr>
                <w:sz w:val="18"/>
                <w:szCs w:val="18"/>
              </w:rPr>
              <w:t>Diseña pruebas sobre esos controles.</w:t>
            </w:r>
          </w:p>
        </w:tc>
      </w:tr>
      <w:tr w:rsidR="00990B14" w14:paraId="4B860544" w14:textId="77777777">
        <w:trPr>
          <w:cantSplit/>
          <w:jc w:val="center"/>
        </w:trPr>
        <w:tc>
          <w:tcPr>
            <w:tcW w:w="1490" w:type="dxa"/>
            <w:vMerge/>
            <w:shd w:val="clear" w:color="auto" w:fill="4472C4"/>
            <w:vAlign w:val="center"/>
          </w:tcPr>
          <w:p w14:paraId="135DB27B" w14:textId="77777777" w:rsidR="00990B14" w:rsidRDefault="00990B14">
            <w:pPr>
              <w:spacing w:before="20" w:after="20"/>
            </w:pPr>
          </w:p>
        </w:tc>
        <w:tc>
          <w:tcPr>
            <w:tcW w:w="2120" w:type="dxa"/>
            <w:shd w:val="clear" w:color="auto" w:fill="D9E2F3"/>
            <w:vAlign w:val="center"/>
          </w:tcPr>
          <w:p w14:paraId="0C94CAF7" w14:textId="77777777" w:rsidR="00990B14" w:rsidRDefault="00000000">
            <w:pPr>
              <w:spacing w:before="20" w:after="20"/>
              <w:jc w:val="both"/>
            </w:pPr>
            <w:r>
              <w:rPr>
                <w:sz w:val="18"/>
                <w:szCs w:val="18"/>
              </w:rPr>
              <w:t>Efecto en la auditoría</w:t>
            </w:r>
          </w:p>
        </w:tc>
        <w:tc>
          <w:tcPr>
            <w:tcW w:w="1805" w:type="dxa"/>
            <w:shd w:val="clear" w:color="auto" w:fill="D9E2F3"/>
            <w:vAlign w:val="center"/>
          </w:tcPr>
          <w:p w14:paraId="433B14A3" w14:textId="77777777" w:rsidR="00990B14" w:rsidRDefault="00000000">
            <w:pPr>
              <w:spacing w:before="20" w:after="20"/>
              <w:jc w:val="both"/>
            </w:pPr>
            <w:r>
              <w:rPr>
                <w:sz w:val="18"/>
                <w:szCs w:val="18"/>
              </w:rPr>
              <w:t>No concluye.</w:t>
            </w:r>
          </w:p>
        </w:tc>
        <w:tc>
          <w:tcPr>
            <w:tcW w:w="2113" w:type="dxa"/>
            <w:shd w:val="clear" w:color="auto" w:fill="D9E2F3"/>
            <w:vAlign w:val="center"/>
          </w:tcPr>
          <w:p w14:paraId="4C937FD0" w14:textId="77777777" w:rsidR="00990B14" w:rsidRDefault="00000000">
            <w:pPr>
              <w:spacing w:before="20" w:after="20"/>
              <w:jc w:val="both"/>
            </w:pPr>
            <w:r>
              <w:rPr>
                <w:sz w:val="18"/>
                <w:szCs w:val="18"/>
              </w:rPr>
              <w:t>Concluye sobre el efecto en la auditoría.</w:t>
            </w:r>
          </w:p>
        </w:tc>
        <w:tc>
          <w:tcPr>
            <w:tcW w:w="1877" w:type="dxa"/>
            <w:shd w:val="clear" w:color="auto" w:fill="D9E2F3"/>
            <w:vAlign w:val="center"/>
          </w:tcPr>
          <w:p w14:paraId="519B3D28" w14:textId="77777777" w:rsidR="00990B14" w:rsidRDefault="00000000">
            <w:pPr>
              <w:spacing w:before="20" w:after="20"/>
              <w:jc w:val="both"/>
            </w:pPr>
            <w:r>
              <w:rPr>
                <w:sz w:val="18"/>
                <w:szCs w:val="18"/>
              </w:rPr>
              <w:t>Propone procedimientos ante excepciones del informe.</w:t>
            </w:r>
          </w:p>
        </w:tc>
      </w:tr>
      <w:tr w:rsidR="00990B14" w14:paraId="4F574550" w14:textId="77777777">
        <w:trPr>
          <w:cantSplit/>
          <w:jc w:val="center"/>
        </w:trPr>
        <w:tc>
          <w:tcPr>
            <w:tcW w:w="1490" w:type="dxa"/>
            <w:vMerge/>
            <w:shd w:val="clear" w:color="auto" w:fill="4472C4"/>
            <w:vAlign w:val="center"/>
          </w:tcPr>
          <w:p w14:paraId="6F84E475" w14:textId="77777777" w:rsidR="00990B14" w:rsidRDefault="00990B14">
            <w:pPr>
              <w:spacing w:before="20" w:after="20"/>
            </w:pPr>
          </w:p>
        </w:tc>
        <w:tc>
          <w:tcPr>
            <w:tcW w:w="6038" w:type="dxa"/>
            <w:gridSpan w:val="3"/>
            <w:shd w:val="clear" w:color="auto" w:fill="D9E2F3"/>
            <w:vAlign w:val="center"/>
          </w:tcPr>
          <w:p w14:paraId="583D45C7" w14:textId="77777777" w:rsidR="00990B14" w:rsidRDefault="00000000">
            <w:pPr>
              <w:keepNext/>
              <w:spacing w:before="20" w:after="20"/>
              <w:jc w:val="both"/>
            </w:pPr>
            <w:r>
              <w:rPr>
                <w:b/>
                <w:bCs/>
                <w:i/>
                <w:iCs/>
                <w:sz w:val="18"/>
                <w:szCs w:val="18"/>
              </w:rPr>
              <w:t xml:space="preserve">Producto 9: </w:t>
            </w:r>
            <w:r>
              <w:rPr>
                <w:sz w:val="18"/>
                <w:szCs w:val="18"/>
              </w:rPr>
              <w:t>Levantamiento de controles del entorno de sistemas</w:t>
            </w:r>
          </w:p>
        </w:tc>
        <w:tc>
          <w:tcPr>
            <w:tcW w:w="1877" w:type="dxa"/>
            <w:shd w:val="clear" w:color="auto" w:fill="D9E2F3"/>
            <w:vAlign w:val="center"/>
          </w:tcPr>
          <w:p w14:paraId="41AAC513" w14:textId="77777777" w:rsidR="00990B14" w:rsidRDefault="00000000">
            <w:pPr>
              <w:spacing w:before="20" w:after="20"/>
              <w:jc w:val="center"/>
            </w:pPr>
            <w:r>
              <w:rPr>
                <w:b/>
                <w:bCs/>
                <w:sz w:val="18"/>
                <w:szCs w:val="18"/>
              </w:rPr>
              <w:t>5%</w:t>
            </w:r>
          </w:p>
        </w:tc>
      </w:tr>
      <w:tr w:rsidR="00990B14" w14:paraId="04CCC90C" w14:textId="77777777">
        <w:trPr>
          <w:cantSplit/>
          <w:jc w:val="center"/>
        </w:trPr>
        <w:tc>
          <w:tcPr>
            <w:tcW w:w="1490" w:type="dxa"/>
            <w:vMerge/>
            <w:shd w:val="clear" w:color="auto" w:fill="4472C4"/>
            <w:vAlign w:val="center"/>
          </w:tcPr>
          <w:p w14:paraId="620AFEFA" w14:textId="77777777" w:rsidR="00990B14" w:rsidRDefault="00990B14">
            <w:pPr>
              <w:spacing w:before="20" w:after="20"/>
            </w:pPr>
          </w:p>
        </w:tc>
        <w:tc>
          <w:tcPr>
            <w:tcW w:w="2120" w:type="dxa"/>
            <w:shd w:val="clear" w:color="auto" w:fill="4472C4"/>
            <w:vAlign w:val="center"/>
          </w:tcPr>
          <w:p w14:paraId="5AE4B2C2" w14:textId="77777777" w:rsidR="00990B14" w:rsidRDefault="00000000">
            <w:pPr>
              <w:keepNext/>
              <w:spacing w:before="20" w:after="20"/>
              <w:jc w:val="center"/>
            </w:pPr>
            <w:r>
              <w:rPr>
                <w:b/>
                <w:bCs/>
                <w:i/>
                <w:iCs/>
                <w:color w:val="FFFFFF"/>
                <w:sz w:val="18"/>
                <w:szCs w:val="18"/>
              </w:rPr>
              <w:t>Criterio</w:t>
            </w:r>
          </w:p>
        </w:tc>
        <w:tc>
          <w:tcPr>
            <w:tcW w:w="1805" w:type="dxa"/>
            <w:shd w:val="clear" w:color="auto" w:fill="4472C4"/>
            <w:vAlign w:val="center"/>
          </w:tcPr>
          <w:p w14:paraId="12AA9292" w14:textId="77777777" w:rsidR="00990B14" w:rsidRDefault="00000000">
            <w:pPr>
              <w:keepNext/>
              <w:spacing w:before="20" w:after="20"/>
              <w:jc w:val="center"/>
            </w:pPr>
            <w:r>
              <w:rPr>
                <w:b/>
                <w:bCs/>
                <w:i/>
                <w:iCs/>
                <w:color w:val="FFFFFF"/>
                <w:sz w:val="18"/>
                <w:szCs w:val="18"/>
              </w:rPr>
              <w:t>Insuficiente (1–50)</w:t>
            </w:r>
          </w:p>
        </w:tc>
        <w:tc>
          <w:tcPr>
            <w:tcW w:w="2113" w:type="dxa"/>
            <w:shd w:val="clear" w:color="auto" w:fill="4472C4"/>
            <w:vAlign w:val="center"/>
          </w:tcPr>
          <w:p w14:paraId="34C5B991"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206CB0F1" w14:textId="77777777" w:rsidR="00990B14" w:rsidRDefault="00000000">
            <w:pPr>
              <w:keepNext/>
              <w:spacing w:before="20" w:after="20"/>
              <w:jc w:val="center"/>
            </w:pPr>
            <w:r>
              <w:rPr>
                <w:b/>
                <w:bCs/>
                <w:i/>
                <w:iCs/>
                <w:color w:val="FFFFFF"/>
                <w:sz w:val="18"/>
                <w:szCs w:val="18"/>
              </w:rPr>
              <w:t>Destacado (81–100)</w:t>
            </w:r>
          </w:p>
        </w:tc>
      </w:tr>
      <w:tr w:rsidR="00990B14" w14:paraId="4EF6E288" w14:textId="77777777">
        <w:trPr>
          <w:cantSplit/>
          <w:jc w:val="center"/>
        </w:trPr>
        <w:tc>
          <w:tcPr>
            <w:tcW w:w="1490" w:type="dxa"/>
            <w:vMerge/>
            <w:shd w:val="clear" w:color="auto" w:fill="4472C4"/>
            <w:vAlign w:val="center"/>
          </w:tcPr>
          <w:p w14:paraId="3F498D61" w14:textId="77777777" w:rsidR="00990B14" w:rsidRDefault="00990B14">
            <w:pPr>
              <w:spacing w:before="20" w:after="20"/>
            </w:pPr>
          </w:p>
        </w:tc>
        <w:tc>
          <w:tcPr>
            <w:tcW w:w="2120" w:type="dxa"/>
            <w:shd w:val="clear" w:color="auto" w:fill="D9E2F3"/>
            <w:vAlign w:val="center"/>
          </w:tcPr>
          <w:p w14:paraId="03C188AD" w14:textId="77777777" w:rsidR="00990B14" w:rsidRDefault="00000000">
            <w:pPr>
              <w:spacing w:before="20" w:after="20"/>
              <w:jc w:val="both"/>
            </w:pPr>
            <w:r>
              <w:rPr>
                <w:sz w:val="18"/>
                <w:szCs w:val="18"/>
              </w:rPr>
              <w:t>Narrativas</w:t>
            </w:r>
          </w:p>
        </w:tc>
        <w:tc>
          <w:tcPr>
            <w:tcW w:w="1805" w:type="dxa"/>
            <w:shd w:val="clear" w:color="auto" w:fill="D9E2F3"/>
            <w:vAlign w:val="center"/>
          </w:tcPr>
          <w:p w14:paraId="32A4FE6F" w14:textId="77777777" w:rsidR="00990B14" w:rsidRDefault="00000000">
            <w:pPr>
              <w:spacing w:before="20" w:after="20"/>
              <w:jc w:val="both"/>
            </w:pPr>
            <w:r>
              <w:rPr>
                <w:sz w:val="18"/>
                <w:szCs w:val="18"/>
              </w:rPr>
              <w:t>Son incompletas.</w:t>
            </w:r>
          </w:p>
        </w:tc>
        <w:tc>
          <w:tcPr>
            <w:tcW w:w="2113" w:type="dxa"/>
            <w:shd w:val="clear" w:color="auto" w:fill="D9E2F3"/>
            <w:vAlign w:val="center"/>
          </w:tcPr>
          <w:p w14:paraId="7EC1BAE4" w14:textId="77777777" w:rsidR="00990B14" w:rsidRDefault="00000000">
            <w:pPr>
              <w:spacing w:before="20" w:after="20"/>
              <w:jc w:val="both"/>
            </w:pPr>
            <w:r>
              <w:rPr>
                <w:sz w:val="18"/>
                <w:szCs w:val="18"/>
              </w:rPr>
              <w:t>Describen el flujo de las operaciones.</w:t>
            </w:r>
          </w:p>
        </w:tc>
        <w:tc>
          <w:tcPr>
            <w:tcW w:w="1877" w:type="dxa"/>
            <w:shd w:val="clear" w:color="auto" w:fill="D9E2F3"/>
            <w:vAlign w:val="center"/>
          </w:tcPr>
          <w:p w14:paraId="692BC379" w14:textId="77777777" w:rsidR="00990B14" w:rsidRDefault="00000000">
            <w:pPr>
              <w:spacing w:before="20" w:after="20"/>
              <w:jc w:val="both"/>
            </w:pPr>
            <w:r>
              <w:rPr>
                <w:sz w:val="18"/>
                <w:szCs w:val="18"/>
              </w:rPr>
              <w:t>Señalan los puntos de control clave.</w:t>
            </w:r>
          </w:p>
        </w:tc>
      </w:tr>
      <w:tr w:rsidR="00990B14" w14:paraId="7B814ECE" w14:textId="77777777">
        <w:trPr>
          <w:cantSplit/>
          <w:jc w:val="center"/>
        </w:trPr>
        <w:tc>
          <w:tcPr>
            <w:tcW w:w="1490" w:type="dxa"/>
            <w:vMerge/>
            <w:shd w:val="clear" w:color="auto" w:fill="4472C4"/>
            <w:vAlign w:val="center"/>
          </w:tcPr>
          <w:p w14:paraId="705D529F" w14:textId="77777777" w:rsidR="00990B14" w:rsidRDefault="00990B14">
            <w:pPr>
              <w:spacing w:before="20" w:after="20"/>
            </w:pPr>
          </w:p>
        </w:tc>
        <w:tc>
          <w:tcPr>
            <w:tcW w:w="2120" w:type="dxa"/>
            <w:shd w:val="clear" w:color="auto" w:fill="D9E2F3"/>
            <w:vAlign w:val="center"/>
          </w:tcPr>
          <w:p w14:paraId="47378816" w14:textId="77777777" w:rsidR="00990B14" w:rsidRDefault="00000000">
            <w:pPr>
              <w:spacing w:before="20" w:after="20"/>
              <w:jc w:val="both"/>
            </w:pPr>
            <w:r>
              <w:rPr>
                <w:sz w:val="18"/>
                <w:szCs w:val="18"/>
              </w:rPr>
              <w:t>Flujogramas</w:t>
            </w:r>
          </w:p>
        </w:tc>
        <w:tc>
          <w:tcPr>
            <w:tcW w:w="1805" w:type="dxa"/>
            <w:shd w:val="clear" w:color="auto" w:fill="D9E2F3"/>
            <w:vAlign w:val="center"/>
          </w:tcPr>
          <w:p w14:paraId="386C843E" w14:textId="77777777" w:rsidR="00990B14" w:rsidRDefault="00000000">
            <w:pPr>
              <w:spacing w:before="20" w:after="20"/>
              <w:jc w:val="both"/>
            </w:pPr>
            <w:r>
              <w:rPr>
                <w:sz w:val="18"/>
                <w:szCs w:val="18"/>
              </w:rPr>
              <w:t>Usan símbolos incorrectos.</w:t>
            </w:r>
          </w:p>
        </w:tc>
        <w:tc>
          <w:tcPr>
            <w:tcW w:w="2113" w:type="dxa"/>
            <w:shd w:val="clear" w:color="auto" w:fill="D9E2F3"/>
            <w:vAlign w:val="center"/>
          </w:tcPr>
          <w:p w14:paraId="361A069B" w14:textId="77777777" w:rsidR="00990B14" w:rsidRDefault="00000000">
            <w:pPr>
              <w:spacing w:before="20" w:after="20"/>
              <w:jc w:val="both"/>
            </w:pPr>
            <w:r>
              <w:rPr>
                <w:sz w:val="18"/>
                <w:szCs w:val="18"/>
              </w:rPr>
              <w:t>Usan la simbología estándar.</w:t>
            </w:r>
          </w:p>
        </w:tc>
        <w:tc>
          <w:tcPr>
            <w:tcW w:w="1877" w:type="dxa"/>
            <w:shd w:val="clear" w:color="auto" w:fill="D9E2F3"/>
            <w:vAlign w:val="center"/>
          </w:tcPr>
          <w:p w14:paraId="1F7C381C" w14:textId="77777777" w:rsidR="00990B14" w:rsidRDefault="00000000">
            <w:pPr>
              <w:spacing w:before="20" w:after="20"/>
              <w:jc w:val="both"/>
            </w:pPr>
            <w:r>
              <w:rPr>
                <w:sz w:val="18"/>
                <w:szCs w:val="18"/>
              </w:rPr>
              <w:t>Identifican los riesgos en cada etapa.</w:t>
            </w:r>
          </w:p>
        </w:tc>
      </w:tr>
      <w:tr w:rsidR="00990B14" w14:paraId="2CF7A833" w14:textId="77777777">
        <w:trPr>
          <w:cantSplit/>
          <w:jc w:val="center"/>
        </w:trPr>
        <w:tc>
          <w:tcPr>
            <w:tcW w:w="1490" w:type="dxa"/>
            <w:vMerge/>
            <w:shd w:val="clear" w:color="auto" w:fill="4472C4"/>
            <w:vAlign w:val="center"/>
          </w:tcPr>
          <w:p w14:paraId="2AB91D5D" w14:textId="77777777" w:rsidR="00990B14" w:rsidRDefault="00990B14">
            <w:pPr>
              <w:spacing w:before="20" w:after="20"/>
            </w:pPr>
          </w:p>
        </w:tc>
        <w:tc>
          <w:tcPr>
            <w:tcW w:w="2120" w:type="dxa"/>
            <w:shd w:val="clear" w:color="auto" w:fill="D9E2F3"/>
            <w:vAlign w:val="center"/>
          </w:tcPr>
          <w:p w14:paraId="1AA83B40" w14:textId="77777777" w:rsidR="00990B14" w:rsidRDefault="00000000">
            <w:pPr>
              <w:spacing w:before="20" w:after="20"/>
              <w:jc w:val="both"/>
            </w:pPr>
            <w:r>
              <w:rPr>
                <w:sz w:val="18"/>
                <w:szCs w:val="18"/>
              </w:rPr>
              <w:t>Cuestionarios</w:t>
            </w:r>
          </w:p>
        </w:tc>
        <w:tc>
          <w:tcPr>
            <w:tcW w:w="1805" w:type="dxa"/>
            <w:shd w:val="clear" w:color="auto" w:fill="D9E2F3"/>
            <w:vAlign w:val="center"/>
          </w:tcPr>
          <w:p w14:paraId="42F5BE26" w14:textId="77777777" w:rsidR="00990B14" w:rsidRDefault="00000000">
            <w:pPr>
              <w:spacing w:before="20" w:after="20"/>
              <w:jc w:val="both"/>
            </w:pPr>
            <w:r>
              <w:rPr>
                <w:sz w:val="18"/>
                <w:szCs w:val="18"/>
              </w:rPr>
              <w:t>Son genéricos.</w:t>
            </w:r>
          </w:p>
        </w:tc>
        <w:tc>
          <w:tcPr>
            <w:tcW w:w="2113" w:type="dxa"/>
            <w:shd w:val="clear" w:color="auto" w:fill="D9E2F3"/>
            <w:vAlign w:val="center"/>
          </w:tcPr>
          <w:p w14:paraId="688C7E9C" w14:textId="77777777" w:rsidR="00990B14" w:rsidRDefault="00000000">
            <w:pPr>
              <w:spacing w:before="20" w:after="20"/>
              <w:jc w:val="both"/>
            </w:pPr>
            <w:r>
              <w:rPr>
                <w:sz w:val="18"/>
                <w:szCs w:val="18"/>
              </w:rPr>
              <w:t>Cubren los controles generales y de aplicación.</w:t>
            </w:r>
          </w:p>
        </w:tc>
        <w:tc>
          <w:tcPr>
            <w:tcW w:w="1877" w:type="dxa"/>
            <w:shd w:val="clear" w:color="auto" w:fill="D9E2F3"/>
            <w:vAlign w:val="center"/>
          </w:tcPr>
          <w:p w14:paraId="70E21976" w14:textId="77777777" w:rsidR="00990B14" w:rsidRDefault="00000000">
            <w:pPr>
              <w:spacing w:before="20" w:after="20"/>
              <w:jc w:val="both"/>
            </w:pPr>
            <w:r>
              <w:rPr>
                <w:sz w:val="18"/>
                <w:szCs w:val="18"/>
              </w:rPr>
              <w:t>Corroboran las respuestas con pruebas de recorrido.</w:t>
            </w:r>
          </w:p>
        </w:tc>
      </w:tr>
      <w:tr w:rsidR="00990B14" w14:paraId="2351FA68" w14:textId="77777777">
        <w:trPr>
          <w:cantSplit/>
          <w:jc w:val="center"/>
        </w:trPr>
        <w:tc>
          <w:tcPr>
            <w:tcW w:w="1490" w:type="dxa"/>
            <w:vMerge/>
            <w:shd w:val="clear" w:color="auto" w:fill="4472C4"/>
            <w:vAlign w:val="center"/>
          </w:tcPr>
          <w:p w14:paraId="33FC6865" w14:textId="77777777" w:rsidR="00990B14" w:rsidRDefault="00990B14">
            <w:pPr>
              <w:spacing w:before="20" w:after="20"/>
            </w:pPr>
          </w:p>
        </w:tc>
        <w:tc>
          <w:tcPr>
            <w:tcW w:w="6038" w:type="dxa"/>
            <w:gridSpan w:val="3"/>
            <w:shd w:val="clear" w:color="auto" w:fill="D9E2F3"/>
            <w:vAlign w:val="center"/>
          </w:tcPr>
          <w:p w14:paraId="753DC98C" w14:textId="77777777" w:rsidR="00990B14" w:rsidRDefault="00000000">
            <w:pPr>
              <w:keepNext/>
              <w:spacing w:before="20" w:after="20"/>
              <w:jc w:val="both"/>
            </w:pPr>
            <w:r>
              <w:rPr>
                <w:b/>
                <w:bCs/>
                <w:i/>
                <w:iCs/>
                <w:sz w:val="18"/>
                <w:szCs w:val="18"/>
              </w:rPr>
              <w:t xml:space="preserve">Producto 10: </w:t>
            </w:r>
            <w:r>
              <w:rPr>
                <w:sz w:val="18"/>
                <w:szCs w:val="18"/>
              </w:rPr>
              <w:t>Matriz de perfiles de acceso</w:t>
            </w:r>
          </w:p>
        </w:tc>
        <w:tc>
          <w:tcPr>
            <w:tcW w:w="1877" w:type="dxa"/>
            <w:shd w:val="clear" w:color="auto" w:fill="D9E2F3"/>
            <w:vAlign w:val="center"/>
          </w:tcPr>
          <w:p w14:paraId="5E69FE69" w14:textId="77777777" w:rsidR="00990B14" w:rsidRDefault="00000000">
            <w:pPr>
              <w:spacing w:before="20" w:after="20"/>
              <w:jc w:val="center"/>
            </w:pPr>
            <w:r>
              <w:rPr>
                <w:b/>
                <w:bCs/>
                <w:sz w:val="18"/>
                <w:szCs w:val="18"/>
              </w:rPr>
              <w:t>5%</w:t>
            </w:r>
          </w:p>
        </w:tc>
      </w:tr>
      <w:tr w:rsidR="00990B14" w14:paraId="4AEFD658" w14:textId="77777777">
        <w:trPr>
          <w:cantSplit/>
          <w:jc w:val="center"/>
        </w:trPr>
        <w:tc>
          <w:tcPr>
            <w:tcW w:w="1490" w:type="dxa"/>
            <w:vMerge/>
            <w:shd w:val="clear" w:color="auto" w:fill="4472C4"/>
            <w:vAlign w:val="center"/>
          </w:tcPr>
          <w:p w14:paraId="1B002FB7" w14:textId="77777777" w:rsidR="00990B14" w:rsidRDefault="00990B14">
            <w:pPr>
              <w:spacing w:before="20" w:after="20"/>
            </w:pPr>
          </w:p>
        </w:tc>
        <w:tc>
          <w:tcPr>
            <w:tcW w:w="2120" w:type="dxa"/>
            <w:shd w:val="clear" w:color="auto" w:fill="4472C4"/>
            <w:vAlign w:val="center"/>
          </w:tcPr>
          <w:p w14:paraId="71334157" w14:textId="77777777" w:rsidR="00990B14" w:rsidRDefault="00000000">
            <w:pPr>
              <w:keepNext/>
              <w:spacing w:before="20" w:after="20"/>
              <w:jc w:val="center"/>
            </w:pPr>
            <w:r>
              <w:rPr>
                <w:b/>
                <w:bCs/>
                <w:i/>
                <w:iCs/>
                <w:color w:val="FFFFFF"/>
                <w:sz w:val="18"/>
                <w:szCs w:val="18"/>
              </w:rPr>
              <w:t>Criterio</w:t>
            </w:r>
          </w:p>
        </w:tc>
        <w:tc>
          <w:tcPr>
            <w:tcW w:w="1805" w:type="dxa"/>
            <w:shd w:val="clear" w:color="auto" w:fill="4472C4"/>
            <w:vAlign w:val="center"/>
          </w:tcPr>
          <w:p w14:paraId="565E99D8" w14:textId="77777777" w:rsidR="00990B14" w:rsidRDefault="00000000">
            <w:pPr>
              <w:keepNext/>
              <w:spacing w:before="20" w:after="20"/>
              <w:jc w:val="center"/>
            </w:pPr>
            <w:r>
              <w:rPr>
                <w:b/>
                <w:bCs/>
                <w:i/>
                <w:iCs/>
                <w:color w:val="FFFFFF"/>
                <w:sz w:val="18"/>
                <w:szCs w:val="18"/>
              </w:rPr>
              <w:t>Insuficiente (1–50)</w:t>
            </w:r>
          </w:p>
        </w:tc>
        <w:tc>
          <w:tcPr>
            <w:tcW w:w="2113" w:type="dxa"/>
            <w:shd w:val="clear" w:color="auto" w:fill="4472C4"/>
            <w:vAlign w:val="center"/>
          </w:tcPr>
          <w:p w14:paraId="0640DB66"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012D8910" w14:textId="77777777" w:rsidR="00990B14" w:rsidRDefault="00000000">
            <w:pPr>
              <w:keepNext/>
              <w:spacing w:before="20" w:after="20"/>
              <w:jc w:val="center"/>
            </w:pPr>
            <w:r>
              <w:rPr>
                <w:b/>
                <w:bCs/>
                <w:i/>
                <w:iCs/>
                <w:color w:val="FFFFFF"/>
                <w:sz w:val="18"/>
                <w:szCs w:val="18"/>
              </w:rPr>
              <w:t>Destacado (81–100)</w:t>
            </w:r>
          </w:p>
        </w:tc>
      </w:tr>
      <w:tr w:rsidR="00990B14" w14:paraId="55D7048E" w14:textId="77777777">
        <w:trPr>
          <w:cantSplit/>
          <w:jc w:val="center"/>
        </w:trPr>
        <w:tc>
          <w:tcPr>
            <w:tcW w:w="1490" w:type="dxa"/>
            <w:vMerge/>
            <w:shd w:val="clear" w:color="auto" w:fill="4472C4"/>
            <w:vAlign w:val="center"/>
          </w:tcPr>
          <w:p w14:paraId="6DFEDC43" w14:textId="77777777" w:rsidR="00990B14" w:rsidRDefault="00990B14">
            <w:pPr>
              <w:spacing w:before="20" w:after="20"/>
            </w:pPr>
          </w:p>
        </w:tc>
        <w:tc>
          <w:tcPr>
            <w:tcW w:w="2120" w:type="dxa"/>
            <w:shd w:val="clear" w:color="auto" w:fill="D9E2F3"/>
            <w:vAlign w:val="center"/>
          </w:tcPr>
          <w:p w14:paraId="6554EA07" w14:textId="77777777" w:rsidR="00990B14" w:rsidRDefault="00000000">
            <w:pPr>
              <w:spacing w:before="20" w:after="20"/>
              <w:jc w:val="both"/>
            </w:pPr>
            <w:r>
              <w:rPr>
                <w:sz w:val="18"/>
                <w:szCs w:val="18"/>
              </w:rPr>
              <w:t>Perfiles</w:t>
            </w:r>
          </w:p>
        </w:tc>
        <w:tc>
          <w:tcPr>
            <w:tcW w:w="1805" w:type="dxa"/>
            <w:shd w:val="clear" w:color="auto" w:fill="D9E2F3"/>
            <w:vAlign w:val="center"/>
          </w:tcPr>
          <w:p w14:paraId="05A2F9C5" w14:textId="77777777" w:rsidR="00990B14" w:rsidRDefault="00000000">
            <w:pPr>
              <w:spacing w:before="20" w:after="20"/>
              <w:jc w:val="both"/>
            </w:pPr>
            <w:r>
              <w:rPr>
                <w:sz w:val="18"/>
                <w:szCs w:val="18"/>
              </w:rPr>
              <w:t>No analiza los perfiles.</w:t>
            </w:r>
          </w:p>
        </w:tc>
        <w:tc>
          <w:tcPr>
            <w:tcW w:w="2113" w:type="dxa"/>
            <w:shd w:val="clear" w:color="auto" w:fill="D9E2F3"/>
            <w:vAlign w:val="center"/>
          </w:tcPr>
          <w:p w14:paraId="5854AB45" w14:textId="77777777" w:rsidR="00990B14" w:rsidRDefault="00000000">
            <w:pPr>
              <w:spacing w:before="20" w:after="20"/>
              <w:jc w:val="both"/>
            </w:pPr>
            <w:r>
              <w:rPr>
                <w:sz w:val="18"/>
                <w:szCs w:val="18"/>
              </w:rPr>
              <w:t>Analiza los perfiles de cada usuario.</w:t>
            </w:r>
          </w:p>
        </w:tc>
        <w:tc>
          <w:tcPr>
            <w:tcW w:w="1877" w:type="dxa"/>
            <w:shd w:val="clear" w:color="auto" w:fill="D9E2F3"/>
            <w:vAlign w:val="center"/>
          </w:tcPr>
          <w:p w14:paraId="433B5274" w14:textId="77777777" w:rsidR="00990B14" w:rsidRDefault="00000000">
            <w:pPr>
              <w:spacing w:before="20" w:after="20"/>
              <w:jc w:val="both"/>
            </w:pPr>
            <w:r>
              <w:rPr>
                <w:sz w:val="18"/>
                <w:szCs w:val="18"/>
              </w:rPr>
              <w:t>Detecta usuarios genéricos o inactivos.</w:t>
            </w:r>
          </w:p>
        </w:tc>
      </w:tr>
      <w:tr w:rsidR="00990B14" w14:paraId="3F8B4AE6" w14:textId="77777777">
        <w:trPr>
          <w:cantSplit/>
          <w:jc w:val="center"/>
        </w:trPr>
        <w:tc>
          <w:tcPr>
            <w:tcW w:w="1490" w:type="dxa"/>
            <w:vMerge/>
            <w:shd w:val="clear" w:color="auto" w:fill="4472C4"/>
            <w:vAlign w:val="center"/>
          </w:tcPr>
          <w:p w14:paraId="34D6A250" w14:textId="77777777" w:rsidR="00990B14" w:rsidRDefault="00990B14">
            <w:pPr>
              <w:spacing w:before="20" w:after="20"/>
            </w:pPr>
          </w:p>
        </w:tc>
        <w:tc>
          <w:tcPr>
            <w:tcW w:w="2120" w:type="dxa"/>
            <w:shd w:val="clear" w:color="auto" w:fill="D9E2F3"/>
            <w:vAlign w:val="center"/>
          </w:tcPr>
          <w:p w14:paraId="291DB207" w14:textId="77777777" w:rsidR="00990B14" w:rsidRDefault="00000000">
            <w:pPr>
              <w:spacing w:before="20" w:after="20"/>
              <w:jc w:val="both"/>
            </w:pPr>
            <w:r>
              <w:rPr>
                <w:sz w:val="18"/>
                <w:szCs w:val="18"/>
              </w:rPr>
              <w:t>Incompatibilidades</w:t>
            </w:r>
          </w:p>
        </w:tc>
        <w:tc>
          <w:tcPr>
            <w:tcW w:w="1805" w:type="dxa"/>
            <w:shd w:val="clear" w:color="auto" w:fill="D9E2F3"/>
            <w:vAlign w:val="center"/>
          </w:tcPr>
          <w:p w14:paraId="73437DA6" w14:textId="77777777" w:rsidR="00990B14" w:rsidRDefault="00000000">
            <w:pPr>
              <w:spacing w:before="20" w:after="20"/>
              <w:jc w:val="both"/>
            </w:pPr>
            <w:r>
              <w:rPr>
                <w:sz w:val="18"/>
                <w:szCs w:val="18"/>
              </w:rPr>
              <w:t>No las detecta.</w:t>
            </w:r>
          </w:p>
        </w:tc>
        <w:tc>
          <w:tcPr>
            <w:tcW w:w="2113" w:type="dxa"/>
            <w:shd w:val="clear" w:color="auto" w:fill="D9E2F3"/>
            <w:vAlign w:val="center"/>
          </w:tcPr>
          <w:p w14:paraId="7F38319A" w14:textId="77777777" w:rsidR="00990B14" w:rsidRDefault="00000000">
            <w:pPr>
              <w:spacing w:before="20" w:after="20"/>
              <w:jc w:val="both"/>
            </w:pPr>
            <w:r>
              <w:rPr>
                <w:sz w:val="18"/>
                <w:szCs w:val="18"/>
              </w:rPr>
              <w:t>Detecta las incompatibilidades de funciones.</w:t>
            </w:r>
          </w:p>
        </w:tc>
        <w:tc>
          <w:tcPr>
            <w:tcW w:w="1877" w:type="dxa"/>
            <w:shd w:val="clear" w:color="auto" w:fill="D9E2F3"/>
            <w:vAlign w:val="center"/>
          </w:tcPr>
          <w:p w14:paraId="29D3DB28" w14:textId="77777777" w:rsidR="00990B14" w:rsidRDefault="00000000">
            <w:pPr>
              <w:spacing w:before="20" w:after="20"/>
              <w:jc w:val="both"/>
            </w:pPr>
            <w:r>
              <w:rPr>
                <w:sz w:val="18"/>
                <w:szCs w:val="18"/>
              </w:rPr>
              <w:t>Valora el riesgo de cada incompatibilidad.</w:t>
            </w:r>
          </w:p>
        </w:tc>
      </w:tr>
      <w:tr w:rsidR="00990B14" w14:paraId="59FB15D4" w14:textId="77777777">
        <w:trPr>
          <w:cantSplit/>
          <w:jc w:val="center"/>
        </w:trPr>
        <w:tc>
          <w:tcPr>
            <w:tcW w:w="1490" w:type="dxa"/>
            <w:vMerge/>
            <w:shd w:val="clear" w:color="auto" w:fill="4472C4"/>
            <w:vAlign w:val="center"/>
          </w:tcPr>
          <w:p w14:paraId="5DC52A53" w14:textId="77777777" w:rsidR="00990B14" w:rsidRDefault="00990B14">
            <w:pPr>
              <w:spacing w:before="20" w:after="20"/>
            </w:pPr>
          </w:p>
        </w:tc>
        <w:tc>
          <w:tcPr>
            <w:tcW w:w="2120" w:type="dxa"/>
            <w:shd w:val="clear" w:color="auto" w:fill="D9E2F3"/>
            <w:vAlign w:val="center"/>
          </w:tcPr>
          <w:p w14:paraId="6FF5AB02" w14:textId="77777777" w:rsidR="00990B14" w:rsidRDefault="00000000">
            <w:pPr>
              <w:spacing w:before="20" w:after="20"/>
              <w:jc w:val="both"/>
            </w:pPr>
            <w:r>
              <w:rPr>
                <w:sz w:val="18"/>
                <w:szCs w:val="18"/>
              </w:rPr>
              <w:t>Recomendaciones</w:t>
            </w:r>
          </w:p>
        </w:tc>
        <w:tc>
          <w:tcPr>
            <w:tcW w:w="1805" w:type="dxa"/>
            <w:shd w:val="clear" w:color="auto" w:fill="D9E2F3"/>
            <w:vAlign w:val="center"/>
          </w:tcPr>
          <w:p w14:paraId="3EAE6B68" w14:textId="77777777" w:rsidR="00990B14" w:rsidRDefault="00000000">
            <w:pPr>
              <w:spacing w:before="20" w:after="20"/>
              <w:jc w:val="both"/>
            </w:pPr>
            <w:r>
              <w:rPr>
                <w:sz w:val="18"/>
                <w:szCs w:val="18"/>
              </w:rPr>
              <w:t>No recomienda.</w:t>
            </w:r>
          </w:p>
        </w:tc>
        <w:tc>
          <w:tcPr>
            <w:tcW w:w="2113" w:type="dxa"/>
            <w:shd w:val="clear" w:color="auto" w:fill="D9E2F3"/>
            <w:vAlign w:val="center"/>
          </w:tcPr>
          <w:p w14:paraId="445B3C0A" w14:textId="77777777" w:rsidR="00990B14" w:rsidRDefault="00000000">
            <w:pPr>
              <w:spacing w:before="20" w:after="20"/>
              <w:jc w:val="both"/>
            </w:pPr>
            <w:r>
              <w:rPr>
                <w:sz w:val="18"/>
                <w:szCs w:val="18"/>
              </w:rPr>
              <w:t>Recomienda ajustes a los perfiles.</w:t>
            </w:r>
          </w:p>
        </w:tc>
        <w:tc>
          <w:tcPr>
            <w:tcW w:w="1877" w:type="dxa"/>
            <w:shd w:val="clear" w:color="auto" w:fill="D9E2F3"/>
            <w:vAlign w:val="center"/>
          </w:tcPr>
          <w:p w14:paraId="7B1B1B81" w14:textId="77777777" w:rsidR="00990B14" w:rsidRDefault="00000000">
            <w:pPr>
              <w:spacing w:before="20" w:after="20"/>
              <w:jc w:val="both"/>
            </w:pPr>
            <w:r>
              <w:rPr>
                <w:sz w:val="18"/>
                <w:szCs w:val="18"/>
              </w:rPr>
              <w:t>Propone controles compensatorios.</w:t>
            </w:r>
          </w:p>
        </w:tc>
      </w:tr>
      <w:tr w:rsidR="00990B14" w14:paraId="5C6C0FAB" w14:textId="77777777">
        <w:trPr>
          <w:cantSplit/>
          <w:jc w:val="center"/>
        </w:trPr>
        <w:tc>
          <w:tcPr>
            <w:tcW w:w="1490" w:type="dxa"/>
            <w:vMerge/>
            <w:shd w:val="clear" w:color="auto" w:fill="4472C4"/>
            <w:vAlign w:val="center"/>
          </w:tcPr>
          <w:p w14:paraId="10814A7F" w14:textId="77777777" w:rsidR="00990B14" w:rsidRDefault="00990B14">
            <w:pPr>
              <w:spacing w:before="20" w:after="20"/>
            </w:pPr>
          </w:p>
        </w:tc>
        <w:tc>
          <w:tcPr>
            <w:tcW w:w="6038" w:type="dxa"/>
            <w:gridSpan w:val="3"/>
            <w:shd w:val="clear" w:color="auto" w:fill="D9E2F3"/>
            <w:vAlign w:val="center"/>
          </w:tcPr>
          <w:p w14:paraId="4B13B3DE" w14:textId="77777777" w:rsidR="00990B14" w:rsidRDefault="00000000">
            <w:pPr>
              <w:keepNext/>
              <w:spacing w:before="20" w:after="20"/>
              <w:jc w:val="both"/>
            </w:pPr>
            <w:r>
              <w:rPr>
                <w:b/>
                <w:bCs/>
                <w:i/>
                <w:iCs/>
                <w:sz w:val="18"/>
                <w:szCs w:val="18"/>
              </w:rPr>
              <w:t xml:space="preserve">Producto 11: </w:t>
            </w:r>
            <w:r>
              <w:rPr>
                <w:sz w:val="18"/>
                <w:szCs w:val="18"/>
              </w:rPr>
              <w:t>Matriz de pruebas de control de aplicaciones</w:t>
            </w:r>
          </w:p>
        </w:tc>
        <w:tc>
          <w:tcPr>
            <w:tcW w:w="1877" w:type="dxa"/>
            <w:shd w:val="clear" w:color="auto" w:fill="D9E2F3"/>
            <w:vAlign w:val="center"/>
          </w:tcPr>
          <w:p w14:paraId="4DE81B4C" w14:textId="77777777" w:rsidR="00990B14" w:rsidRDefault="00000000">
            <w:pPr>
              <w:spacing w:before="20" w:after="20"/>
              <w:jc w:val="center"/>
            </w:pPr>
            <w:r>
              <w:rPr>
                <w:b/>
                <w:bCs/>
                <w:sz w:val="18"/>
                <w:szCs w:val="18"/>
              </w:rPr>
              <w:t>5%</w:t>
            </w:r>
          </w:p>
        </w:tc>
      </w:tr>
      <w:tr w:rsidR="00990B14" w14:paraId="44B8F61E" w14:textId="77777777">
        <w:trPr>
          <w:cantSplit/>
          <w:jc w:val="center"/>
        </w:trPr>
        <w:tc>
          <w:tcPr>
            <w:tcW w:w="1490" w:type="dxa"/>
            <w:vMerge/>
            <w:shd w:val="clear" w:color="auto" w:fill="4472C4"/>
            <w:vAlign w:val="center"/>
          </w:tcPr>
          <w:p w14:paraId="38A203E4" w14:textId="77777777" w:rsidR="00990B14" w:rsidRDefault="00990B14">
            <w:pPr>
              <w:spacing w:before="20" w:after="20"/>
            </w:pPr>
          </w:p>
        </w:tc>
        <w:tc>
          <w:tcPr>
            <w:tcW w:w="2120" w:type="dxa"/>
            <w:shd w:val="clear" w:color="auto" w:fill="4472C4"/>
            <w:vAlign w:val="center"/>
          </w:tcPr>
          <w:p w14:paraId="3A7C0377" w14:textId="77777777" w:rsidR="00990B14" w:rsidRDefault="00000000">
            <w:pPr>
              <w:keepNext/>
              <w:spacing w:before="20" w:after="20"/>
              <w:jc w:val="center"/>
            </w:pPr>
            <w:r>
              <w:rPr>
                <w:b/>
                <w:bCs/>
                <w:i/>
                <w:iCs/>
                <w:color w:val="FFFFFF"/>
                <w:sz w:val="18"/>
                <w:szCs w:val="18"/>
              </w:rPr>
              <w:t>Criterio</w:t>
            </w:r>
          </w:p>
        </w:tc>
        <w:tc>
          <w:tcPr>
            <w:tcW w:w="1805" w:type="dxa"/>
            <w:shd w:val="clear" w:color="auto" w:fill="4472C4"/>
            <w:vAlign w:val="center"/>
          </w:tcPr>
          <w:p w14:paraId="429DCA91" w14:textId="77777777" w:rsidR="00990B14" w:rsidRDefault="00000000">
            <w:pPr>
              <w:keepNext/>
              <w:spacing w:before="20" w:after="20"/>
              <w:jc w:val="center"/>
            </w:pPr>
            <w:r>
              <w:rPr>
                <w:b/>
                <w:bCs/>
                <w:i/>
                <w:iCs/>
                <w:color w:val="FFFFFF"/>
                <w:sz w:val="18"/>
                <w:szCs w:val="18"/>
              </w:rPr>
              <w:t>Insuficiente (1–50)</w:t>
            </w:r>
          </w:p>
        </w:tc>
        <w:tc>
          <w:tcPr>
            <w:tcW w:w="2113" w:type="dxa"/>
            <w:shd w:val="clear" w:color="auto" w:fill="4472C4"/>
            <w:vAlign w:val="center"/>
          </w:tcPr>
          <w:p w14:paraId="3A70EA74"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18DF2C73" w14:textId="77777777" w:rsidR="00990B14" w:rsidRDefault="00000000">
            <w:pPr>
              <w:keepNext/>
              <w:spacing w:before="20" w:after="20"/>
              <w:jc w:val="center"/>
            </w:pPr>
            <w:r>
              <w:rPr>
                <w:b/>
                <w:bCs/>
                <w:i/>
                <w:iCs/>
                <w:color w:val="FFFFFF"/>
                <w:sz w:val="18"/>
                <w:szCs w:val="18"/>
              </w:rPr>
              <w:t>Destacado (81–100)</w:t>
            </w:r>
          </w:p>
        </w:tc>
      </w:tr>
      <w:tr w:rsidR="00990B14" w14:paraId="5C8CA7FD" w14:textId="77777777">
        <w:trPr>
          <w:cantSplit/>
          <w:jc w:val="center"/>
        </w:trPr>
        <w:tc>
          <w:tcPr>
            <w:tcW w:w="1490" w:type="dxa"/>
            <w:vMerge/>
            <w:shd w:val="clear" w:color="auto" w:fill="4472C4"/>
            <w:vAlign w:val="center"/>
          </w:tcPr>
          <w:p w14:paraId="06C6BB89" w14:textId="77777777" w:rsidR="00990B14" w:rsidRDefault="00990B14">
            <w:pPr>
              <w:spacing w:before="20" w:after="20"/>
            </w:pPr>
          </w:p>
        </w:tc>
        <w:tc>
          <w:tcPr>
            <w:tcW w:w="2120" w:type="dxa"/>
            <w:shd w:val="clear" w:color="auto" w:fill="D9E2F3"/>
            <w:vAlign w:val="center"/>
          </w:tcPr>
          <w:p w14:paraId="11153A0F" w14:textId="77777777" w:rsidR="00990B14" w:rsidRDefault="00000000">
            <w:pPr>
              <w:spacing w:before="20" w:after="20"/>
              <w:jc w:val="both"/>
            </w:pPr>
            <w:r>
              <w:rPr>
                <w:sz w:val="18"/>
                <w:szCs w:val="18"/>
              </w:rPr>
              <w:t>Diseño</w:t>
            </w:r>
          </w:p>
        </w:tc>
        <w:tc>
          <w:tcPr>
            <w:tcW w:w="1805" w:type="dxa"/>
            <w:shd w:val="clear" w:color="auto" w:fill="D9E2F3"/>
            <w:vAlign w:val="center"/>
          </w:tcPr>
          <w:p w14:paraId="76610945" w14:textId="77777777" w:rsidR="00990B14" w:rsidRDefault="00000000">
            <w:pPr>
              <w:spacing w:before="20" w:after="20"/>
              <w:jc w:val="both"/>
            </w:pPr>
            <w:r>
              <w:rPr>
                <w:sz w:val="18"/>
                <w:szCs w:val="18"/>
              </w:rPr>
              <w:t>Las pruebas no prueban el control.</w:t>
            </w:r>
          </w:p>
        </w:tc>
        <w:tc>
          <w:tcPr>
            <w:tcW w:w="2113" w:type="dxa"/>
            <w:shd w:val="clear" w:color="auto" w:fill="D9E2F3"/>
            <w:vAlign w:val="center"/>
          </w:tcPr>
          <w:p w14:paraId="03AD8246" w14:textId="77777777" w:rsidR="00990B14" w:rsidRDefault="00000000">
            <w:pPr>
              <w:spacing w:before="20" w:after="20"/>
              <w:jc w:val="both"/>
            </w:pPr>
            <w:r>
              <w:rPr>
                <w:sz w:val="18"/>
                <w:szCs w:val="18"/>
              </w:rPr>
              <w:t>Las pruebas responden a cada control.</w:t>
            </w:r>
          </w:p>
        </w:tc>
        <w:tc>
          <w:tcPr>
            <w:tcW w:w="1877" w:type="dxa"/>
            <w:shd w:val="clear" w:color="auto" w:fill="D9E2F3"/>
            <w:vAlign w:val="center"/>
          </w:tcPr>
          <w:p w14:paraId="326B619E" w14:textId="77777777" w:rsidR="00990B14" w:rsidRDefault="00000000">
            <w:pPr>
              <w:spacing w:before="20" w:after="20"/>
              <w:jc w:val="both"/>
            </w:pPr>
            <w:r>
              <w:rPr>
                <w:sz w:val="18"/>
                <w:szCs w:val="18"/>
              </w:rPr>
              <w:t>Combina datos de prueba y ambiente de prueba integrado.</w:t>
            </w:r>
          </w:p>
        </w:tc>
      </w:tr>
      <w:tr w:rsidR="00990B14" w14:paraId="6325C80C" w14:textId="77777777">
        <w:trPr>
          <w:cantSplit/>
          <w:jc w:val="center"/>
        </w:trPr>
        <w:tc>
          <w:tcPr>
            <w:tcW w:w="1490" w:type="dxa"/>
            <w:vMerge/>
            <w:shd w:val="clear" w:color="auto" w:fill="4472C4"/>
            <w:vAlign w:val="center"/>
          </w:tcPr>
          <w:p w14:paraId="1B157A97" w14:textId="77777777" w:rsidR="00990B14" w:rsidRDefault="00990B14">
            <w:pPr>
              <w:spacing w:before="20" w:after="20"/>
            </w:pPr>
          </w:p>
        </w:tc>
        <w:tc>
          <w:tcPr>
            <w:tcW w:w="2120" w:type="dxa"/>
            <w:shd w:val="clear" w:color="auto" w:fill="D9E2F3"/>
            <w:vAlign w:val="center"/>
          </w:tcPr>
          <w:p w14:paraId="220CB8FE" w14:textId="77777777" w:rsidR="00990B14" w:rsidRDefault="00000000">
            <w:pPr>
              <w:spacing w:before="20" w:after="20"/>
              <w:jc w:val="both"/>
            </w:pPr>
            <w:r>
              <w:rPr>
                <w:sz w:val="18"/>
                <w:szCs w:val="18"/>
              </w:rPr>
              <w:t>Riesgo de control</w:t>
            </w:r>
          </w:p>
        </w:tc>
        <w:tc>
          <w:tcPr>
            <w:tcW w:w="1805" w:type="dxa"/>
            <w:shd w:val="clear" w:color="auto" w:fill="D9E2F3"/>
            <w:vAlign w:val="center"/>
          </w:tcPr>
          <w:p w14:paraId="5D219C59" w14:textId="77777777" w:rsidR="00990B14" w:rsidRDefault="00000000">
            <w:pPr>
              <w:spacing w:before="20" w:after="20"/>
              <w:jc w:val="both"/>
            </w:pPr>
            <w:r>
              <w:rPr>
                <w:sz w:val="18"/>
                <w:szCs w:val="18"/>
              </w:rPr>
              <w:t>No determina el nivel.</w:t>
            </w:r>
          </w:p>
        </w:tc>
        <w:tc>
          <w:tcPr>
            <w:tcW w:w="2113" w:type="dxa"/>
            <w:shd w:val="clear" w:color="auto" w:fill="D9E2F3"/>
            <w:vAlign w:val="center"/>
          </w:tcPr>
          <w:p w14:paraId="6D77E563" w14:textId="77777777" w:rsidR="00990B14" w:rsidRDefault="00000000">
            <w:pPr>
              <w:spacing w:before="20" w:after="20"/>
              <w:jc w:val="both"/>
            </w:pPr>
            <w:r>
              <w:rPr>
                <w:sz w:val="18"/>
                <w:szCs w:val="18"/>
              </w:rPr>
              <w:t>Determina el nivel evaluado y planificado.</w:t>
            </w:r>
          </w:p>
        </w:tc>
        <w:tc>
          <w:tcPr>
            <w:tcW w:w="1877" w:type="dxa"/>
            <w:shd w:val="clear" w:color="auto" w:fill="D9E2F3"/>
            <w:vAlign w:val="center"/>
          </w:tcPr>
          <w:p w14:paraId="2BA7E5C0" w14:textId="77777777" w:rsidR="00990B14" w:rsidRDefault="00000000">
            <w:pPr>
              <w:spacing w:before="20" w:after="20"/>
              <w:jc w:val="both"/>
            </w:pPr>
            <w:r>
              <w:rPr>
                <w:sz w:val="18"/>
                <w:szCs w:val="18"/>
              </w:rPr>
              <w:t>Ajusta las pruebas sustantivas según el resultado.</w:t>
            </w:r>
          </w:p>
        </w:tc>
      </w:tr>
      <w:tr w:rsidR="00990B14" w14:paraId="77348561" w14:textId="77777777">
        <w:trPr>
          <w:cantSplit/>
          <w:jc w:val="center"/>
        </w:trPr>
        <w:tc>
          <w:tcPr>
            <w:tcW w:w="1490" w:type="dxa"/>
            <w:vMerge/>
            <w:shd w:val="clear" w:color="auto" w:fill="4472C4"/>
            <w:vAlign w:val="center"/>
          </w:tcPr>
          <w:p w14:paraId="3B785145" w14:textId="77777777" w:rsidR="00990B14" w:rsidRDefault="00990B14">
            <w:pPr>
              <w:spacing w:before="20" w:after="20"/>
            </w:pPr>
          </w:p>
        </w:tc>
        <w:tc>
          <w:tcPr>
            <w:tcW w:w="2120" w:type="dxa"/>
            <w:shd w:val="clear" w:color="auto" w:fill="D9E2F3"/>
            <w:vAlign w:val="center"/>
          </w:tcPr>
          <w:p w14:paraId="11D2A6E6" w14:textId="77777777" w:rsidR="00990B14" w:rsidRDefault="00000000">
            <w:pPr>
              <w:spacing w:before="20" w:after="20"/>
              <w:jc w:val="both"/>
            </w:pPr>
            <w:r>
              <w:rPr>
                <w:sz w:val="18"/>
                <w:szCs w:val="18"/>
              </w:rPr>
              <w:t>Documentación</w:t>
            </w:r>
          </w:p>
        </w:tc>
        <w:tc>
          <w:tcPr>
            <w:tcW w:w="1805" w:type="dxa"/>
            <w:shd w:val="clear" w:color="auto" w:fill="D9E2F3"/>
            <w:vAlign w:val="center"/>
          </w:tcPr>
          <w:p w14:paraId="59598F6F" w14:textId="77777777" w:rsidR="00990B14" w:rsidRDefault="00000000">
            <w:pPr>
              <w:spacing w:before="20" w:after="20"/>
              <w:jc w:val="both"/>
            </w:pPr>
            <w:r>
              <w:rPr>
                <w:sz w:val="18"/>
                <w:szCs w:val="18"/>
              </w:rPr>
              <w:t>No documenta.</w:t>
            </w:r>
          </w:p>
        </w:tc>
        <w:tc>
          <w:tcPr>
            <w:tcW w:w="2113" w:type="dxa"/>
            <w:shd w:val="clear" w:color="auto" w:fill="D9E2F3"/>
            <w:vAlign w:val="center"/>
          </w:tcPr>
          <w:p w14:paraId="5BE072E9" w14:textId="77777777" w:rsidR="00990B14" w:rsidRDefault="00000000">
            <w:pPr>
              <w:spacing w:before="20" w:after="20"/>
              <w:jc w:val="both"/>
            </w:pPr>
            <w:r>
              <w:rPr>
                <w:sz w:val="18"/>
                <w:szCs w:val="18"/>
              </w:rPr>
              <w:t>Documenta el nivel evaluado.</w:t>
            </w:r>
          </w:p>
        </w:tc>
        <w:tc>
          <w:tcPr>
            <w:tcW w:w="1877" w:type="dxa"/>
            <w:shd w:val="clear" w:color="auto" w:fill="D9E2F3"/>
            <w:vAlign w:val="center"/>
          </w:tcPr>
          <w:p w14:paraId="4CA52977" w14:textId="77777777" w:rsidR="00990B14" w:rsidRDefault="00000000">
            <w:pPr>
              <w:spacing w:before="20" w:after="20"/>
              <w:jc w:val="both"/>
            </w:pPr>
            <w:r>
              <w:rPr>
                <w:sz w:val="18"/>
                <w:szCs w:val="18"/>
              </w:rPr>
              <w:t>Mantiene el rastro de las operaciones probadas.</w:t>
            </w:r>
          </w:p>
        </w:tc>
      </w:tr>
      <w:tr w:rsidR="00990B14" w14:paraId="1E7C5EDB" w14:textId="77777777">
        <w:trPr>
          <w:cantSplit/>
          <w:jc w:val="center"/>
        </w:trPr>
        <w:tc>
          <w:tcPr>
            <w:tcW w:w="1490" w:type="dxa"/>
            <w:vMerge/>
            <w:shd w:val="clear" w:color="auto" w:fill="4472C4"/>
            <w:vAlign w:val="center"/>
          </w:tcPr>
          <w:p w14:paraId="34EDE18F" w14:textId="77777777" w:rsidR="00990B14" w:rsidRDefault="00990B14">
            <w:pPr>
              <w:spacing w:before="20" w:after="20"/>
            </w:pPr>
          </w:p>
        </w:tc>
        <w:tc>
          <w:tcPr>
            <w:tcW w:w="6038" w:type="dxa"/>
            <w:gridSpan w:val="3"/>
            <w:shd w:val="clear" w:color="auto" w:fill="D9E2F3"/>
            <w:vAlign w:val="center"/>
          </w:tcPr>
          <w:p w14:paraId="24F30697" w14:textId="77777777" w:rsidR="00990B14" w:rsidRDefault="00000000">
            <w:pPr>
              <w:keepNext/>
              <w:spacing w:before="20" w:after="20"/>
              <w:jc w:val="both"/>
            </w:pPr>
            <w:r>
              <w:rPr>
                <w:b/>
                <w:bCs/>
                <w:i/>
                <w:iCs/>
                <w:sz w:val="18"/>
                <w:szCs w:val="18"/>
              </w:rPr>
              <w:t xml:space="preserve">Producto 12: </w:t>
            </w:r>
            <w:r>
              <w:rPr>
                <w:sz w:val="18"/>
                <w:szCs w:val="18"/>
              </w:rPr>
              <w:t>Informe de respaldo y continuidad</w:t>
            </w:r>
          </w:p>
        </w:tc>
        <w:tc>
          <w:tcPr>
            <w:tcW w:w="1877" w:type="dxa"/>
            <w:shd w:val="clear" w:color="auto" w:fill="D9E2F3"/>
            <w:vAlign w:val="center"/>
          </w:tcPr>
          <w:p w14:paraId="1A5087F4" w14:textId="77777777" w:rsidR="00990B14" w:rsidRDefault="00000000">
            <w:pPr>
              <w:spacing w:before="20" w:after="20"/>
              <w:jc w:val="center"/>
            </w:pPr>
            <w:r>
              <w:rPr>
                <w:b/>
                <w:bCs/>
                <w:sz w:val="18"/>
                <w:szCs w:val="18"/>
              </w:rPr>
              <w:t>5%</w:t>
            </w:r>
          </w:p>
        </w:tc>
      </w:tr>
      <w:tr w:rsidR="00990B14" w14:paraId="1FDAC29D" w14:textId="77777777">
        <w:trPr>
          <w:cantSplit/>
          <w:jc w:val="center"/>
        </w:trPr>
        <w:tc>
          <w:tcPr>
            <w:tcW w:w="1490" w:type="dxa"/>
            <w:vMerge/>
            <w:shd w:val="clear" w:color="auto" w:fill="4472C4"/>
            <w:vAlign w:val="center"/>
          </w:tcPr>
          <w:p w14:paraId="244FA86A" w14:textId="77777777" w:rsidR="00990B14" w:rsidRDefault="00990B14">
            <w:pPr>
              <w:spacing w:before="20" w:after="20"/>
            </w:pPr>
          </w:p>
        </w:tc>
        <w:tc>
          <w:tcPr>
            <w:tcW w:w="2120" w:type="dxa"/>
            <w:shd w:val="clear" w:color="auto" w:fill="4472C4"/>
            <w:vAlign w:val="center"/>
          </w:tcPr>
          <w:p w14:paraId="1EFCAE78" w14:textId="77777777" w:rsidR="00990B14" w:rsidRDefault="00000000">
            <w:pPr>
              <w:keepNext/>
              <w:spacing w:before="20" w:after="20"/>
              <w:jc w:val="center"/>
            </w:pPr>
            <w:r>
              <w:rPr>
                <w:b/>
                <w:bCs/>
                <w:i/>
                <w:iCs/>
                <w:color w:val="FFFFFF"/>
                <w:sz w:val="18"/>
                <w:szCs w:val="18"/>
              </w:rPr>
              <w:t>Criterio</w:t>
            </w:r>
          </w:p>
        </w:tc>
        <w:tc>
          <w:tcPr>
            <w:tcW w:w="1805" w:type="dxa"/>
            <w:shd w:val="clear" w:color="auto" w:fill="4472C4"/>
            <w:vAlign w:val="center"/>
          </w:tcPr>
          <w:p w14:paraId="5EBE01C4" w14:textId="77777777" w:rsidR="00990B14" w:rsidRDefault="00000000">
            <w:pPr>
              <w:keepNext/>
              <w:spacing w:before="20" w:after="20"/>
              <w:jc w:val="center"/>
            </w:pPr>
            <w:r>
              <w:rPr>
                <w:b/>
                <w:bCs/>
                <w:i/>
                <w:iCs/>
                <w:color w:val="FFFFFF"/>
                <w:sz w:val="18"/>
                <w:szCs w:val="18"/>
              </w:rPr>
              <w:t>Insuficiente (1–50)</w:t>
            </w:r>
          </w:p>
        </w:tc>
        <w:tc>
          <w:tcPr>
            <w:tcW w:w="2113" w:type="dxa"/>
            <w:shd w:val="clear" w:color="auto" w:fill="4472C4"/>
            <w:vAlign w:val="center"/>
          </w:tcPr>
          <w:p w14:paraId="3A56A3AE"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28D21E22" w14:textId="77777777" w:rsidR="00990B14" w:rsidRDefault="00000000">
            <w:pPr>
              <w:keepNext/>
              <w:spacing w:before="20" w:after="20"/>
              <w:jc w:val="center"/>
            </w:pPr>
            <w:r>
              <w:rPr>
                <w:b/>
                <w:bCs/>
                <w:i/>
                <w:iCs/>
                <w:color w:val="FFFFFF"/>
                <w:sz w:val="18"/>
                <w:szCs w:val="18"/>
              </w:rPr>
              <w:t>Destacado (81–100)</w:t>
            </w:r>
          </w:p>
        </w:tc>
      </w:tr>
      <w:tr w:rsidR="00990B14" w14:paraId="7DF6C8B2" w14:textId="77777777">
        <w:trPr>
          <w:cantSplit/>
          <w:jc w:val="center"/>
        </w:trPr>
        <w:tc>
          <w:tcPr>
            <w:tcW w:w="1490" w:type="dxa"/>
            <w:vMerge/>
            <w:shd w:val="clear" w:color="auto" w:fill="4472C4"/>
            <w:vAlign w:val="center"/>
          </w:tcPr>
          <w:p w14:paraId="2668C6B8" w14:textId="77777777" w:rsidR="00990B14" w:rsidRDefault="00990B14">
            <w:pPr>
              <w:spacing w:before="20" w:after="20"/>
            </w:pPr>
          </w:p>
        </w:tc>
        <w:tc>
          <w:tcPr>
            <w:tcW w:w="2120" w:type="dxa"/>
            <w:shd w:val="clear" w:color="auto" w:fill="D9E2F3"/>
            <w:vAlign w:val="center"/>
          </w:tcPr>
          <w:p w14:paraId="1C9C57D7" w14:textId="77777777" w:rsidR="00990B14" w:rsidRDefault="00000000">
            <w:pPr>
              <w:spacing w:before="20" w:after="20"/>
              <w:jc w:val="both"/>
            </w:pPr>
            <w:r>
              <w:rPr>
                <w:sz w:val="18"/>
                <w:szCs w:val="18"/>
              </w:rPr>
              <w:t>Respaldo</w:t>
            </w:r>
          </w:p>
        </w:tc>
        <w:tc>
          <w:tcPr>
            <w:tcW w:w="1805" w:type="dxa"/>
            <w:shd w:val="clear" w:color="auto" w:fill="D9E2F3"/>
            <w:vAlign w:val="center"/>
          </w:tcPr>
          <w:p w14:paraId="34E28229" w14:textId="77777777" w:rsidR="00990B14" w:rsidRDefault="00000000">
            <w:pPr>
              <w:spacing w:before="20" w:after="20"/>
              <w:jc w:val="both"/>
            </w:pPr>
            <w:r>
              <w:rPr>
                <w:sz w:val="18"/>
                <w:szCs w:val="18"/>
              </w:rPr>
              <w:t>No evalúa el respaldo.</w:t>
            </w:r>
          </w:p>
        </w:tc>
        <w:tc>
          <w:tcPr>
            <w:tcW w:w="2113" w:type="dxa"/>
            <w:shd w:val="clear" w:color="auto" w:fill="D9E2F3"/>
            <w:vAlign w:val="center"/>
          </w:tcPr>
          <w:p w14:paraId="70A83B6E" w14:textId="77777777" w:rsidR="00990B14" w:rsidRDefault="00000000">
            <w:pPr>
              <w:spacing w:before="20" w:after="20"/>
              <w:jc w:val="both"/>
            </w:pPr>
            <w:r>
              <w:rPr>
                <w:sz w:val="18"/>
                <w:szCs w:val="18"/>
              </w:rPr>
              <w:t>Evalúa la frecuencia y la prueba de los respaldos.</w:t>
            </w:r>
          </w:p>
        </w:tc>
        <w:tc>
          <w:tcPr>
            <w:tcW w:w="1877" w:type="dxa"/>
            <w:shd w:val="clear" w:color="auto" w:fill="D9E2F3"/>
            <w:vAlign w:val="center"/>
          </w:tcPr>
          <w:p w14:paraId="00FCD151" w14:textId="77777777" w:rsidR="00990B14" w:rsidRDefault="00000000">
            <w:pPr>
              <w:spacing w:before="20" w:after="20"/>
              <w:jc w:val="both"/>
            </w:pPr>
            <w:r>
              <w:rPr>
                <w:sz w:val="18"/>
                <w:szCs w:val="18"/>
              </w:rPr>
              <w:t>Verifica la restauración efectiva de la información.</w:t>
            </w:r>
          </w:p>
        </w:tc>
      </w:tr>
      <w:tr w:rsidR="00990B14" w14:paraId="1858C2B8" w14:textId="77777777">
        <w:trPr>
          <w:cantSplit/>
          <w:jc w:val="center"/>
        </w:trPr>
        <w:tc>
          <w:tcPr>
            <w:tcW w:w="1490" w:type="dxa"/>
            <w:vMerge/>
            <w:shd w:val="clear" w:color="auto" w:fill="4472C4"/>
            <w:vAlign w:val="center"/>
          </w:tcPr>
          <w:p w14:paraId="7F7E3E50" w14:textId="77777777" w:rsidR="00990B14" w:rsidRDefault="00990B14">
            <w:pPr>
              <w:spacing w:before="20" w:after="20"/>
            </w:pPr>
          </w:p>
        </w:tc>
        <w:tc>
          <w:tcPr>
            <w:tcW w:w="2120" w:type="dxa"/>
            <w:shd w:val="clear" w:color="auto" w:fill="D9E2F3"/>
            <w:vAlign w:val="center"/>
          </w:tcPr>
          <w:p w14:paraId="29296CCA" w14:textId="77777777" w:rsidR="00990B14" w:rsidRDefault="00000000">
            <w:pPr>
              <w:spacing w:before="20" w:after="20"/>
              <w:jc w:val="both"/>
            </w:pPr>
            <w:r>
              <w:rPr>
                <w:sz w:val="18"/>
                <w:szCs w:val="18"/>
              </w:rPr>
              <w:t>Continuidad</w:t>
            </w:r>
          </w:p>
        </w:tc>
        <w:tc>
          <w:tcPr>
            <w:tcW w:w="1805" w:type="dxa"/>
            <w:shd w:val="clear" w:color="auto" w:fill="D9E2F3"/>
            <w:vAlign w:val="center"/>
          </w:tcPr>
          <w:p w14:paraId="353F4040" w14:textId="77777777" w:rsidR="00990B14" w:rsidRDefault="00000000">
            <w:pPr>
              <w:spacing w:before="20" w:after="20"/>
              <w:jc w:val="both"/>
            </w:pPr>
            <w:r>
              <w:rPr>
                <w:sz w:val="18"/>
                <w:szCs w:val="18"/>
              </w:rPr>
              <w:t>Omite el plan de continuidad.</w:t>
            </w:r>
          </w:p>
        </w:tc>
        <w:tc>
          <w:tcPr>
            <w:tcW w:w="2113" w:type="dxa"/>
            <w:shd w:val="clear" w:color="auto" w:fill="D9E2F3"/>
            <w:vAlign w:val="center"/>
          </w:tcPr>
          <w:p w14:paraId="569099EF" w14:textId="77777777" w:rsidR="00990B14" w:rsidRDefault="00000000">
            <w:pPr>
              <w:spacing w:before="20" w:after="20"/>
              <w:jc w:val="both"/>
            </w:pPr>
            <w:r>
              <w:rPr>
                <w:sz w:val="18"/>
                <w:szCs w:val="18"/>
              </w:rPr>
              <w:t>Evalúa el plan de continuidad y recuperación.</w:t>
            </w:r>
          </w:p>
        </w:tc>
        <w:tc>
          <w:tcPr>
            <w:tcW w:w="1877" w:type="dxa"/>
            <w:shd w:val="clear" w:color="auto" w:fill="D9E2F3"/>
            <w:vAlign w:val="center"/>
          </w:tcPr>
          <w:p w14:paraId="046E58FE" w14:textId="77777777" w:rsidR="00990B14" w:rsidRDefault="00000000">
            <w:pPr>
              <w:spacing w:before="20" w:after="20"/>
              <w:jc w:val="both"/>
            </w:pPr>
            <w:r>
              <w:rPr>
                <w:sz w:val="18"/>
                <w:szCs w:val="18"/>
              </w:rPr>
              <w:t>Contrasta los tiempos de recuperación con las necesidades del negocio.</w:t>
            </w:r>
          </w:p>
        </w:tc>
      </w:tr>
      <w:tr w:rsidR="00990B14" w14:paraId="66532C6F" w14:textId="77777777">
        <w:trPr>
          <w:cantSplit/>
          <w:jc w:val="center"/>
        </w:trPr>
        <w:tc>
          <w:tcPr>
            <w:tcW w:w="1490" w:type="dxa"/>
            <w:vMerge/>
            <w:shd w:val="clear" w:color="auto" w:fill="4472C4"/>
            <w:vAlign w:val="center"/>
          </w:tcPr>
          <w:p w14:paraId="2032DA66" w14:textId="77777777" w:rsidR="00990B14" w:rsidRDefault="00990B14">
            <w:pPr>
              <w:spacing w:before="20" w:after="20"/>
            </w:pPr>
          </w:p>
        </w:tc>
        <w:tc>
          <w:tcPr>
            <w:tcW w:w="2120" w:type="dxa"/>
            <w:shd w:val="clear" w:color="auto" w:fill="D9E2F3"/>
            <w:vAlign w:val="center"/>
          </w:tcPr>
          <w:p w14:paraId="59F12E74" w14:textId="77777777" w:rsidR="00990B14" w:rsidRDefault="00000000">
            <w:pPr>
              <w:spacing w:before="20" w:after="20"/>
              <w:jc w:val="both"/>
            </w:pPr>
            <w:r>
              <w:rPr>
                <w:sz w:val="18"/>
                <w:szCs w:val="18"/>
              </w:rPr>
              <w:t>Incidentes</w:t>
            </w:r>
          </w:p>
        </w:tc>
        <w:tc>
          <w:tcPr>
            <w:tcW w:w="1805" w:type="dxa"/>
            <w:shd w:val="clear" w:color="auto" w:fill="D9E2F3"/>
            <w:vAlign w:val="center"/>
          </w:tcPr>
          <w:p w14:paraId="14900936" w14:textId="77777777" w:rsidR="00990B14" w:rsidRDefault="00000000">
            <w:pPr>
              <w:spacing w:before="20" w:after="20"/>
              <w:jc w:val="both"/>
            </w:pPr>
            <w:r>
              <w:rPr>
                <w:sz w:val="18"/>
                <w:szCs w:val="18"/>
              </w:rPr>
              <w:t>No evalúa la respuesta.</w:t>
            </w:r>
          </w:p>
        </w:tc>
        <w:tc>
          <w:tcPr>
            <w:tcW w:w="2113" w:type="dxa"/>
            <w:shd w:val="clear" w:color="auto" w:fill="D9E2F3"/>
            <w:vAlign w:val="center"/>
          </w:tcPr>
          <w:p w14:paraId="74BE13C3" w14:textId="77777777" w:rsidR="00990B14" w:rsidRDefault="00000000">
            <w:pPr>
              <w:spacing w:before="20" w:after="20"/>
              <w:jc w:val="both"/>
            </w:pPr>
            <w:r>
              <w:rPr>
                <w:sz w:val="18"/>
                <w:szCs w:val="18"/>
              </w:rPr>
              <w:t>Evalúa la gestión de incidentes.</w:t>
            </w:r>
          </w:p>
        </w:tc>
        <w:tc>
          <w:tcPr>
            <w:tcW w:w="1877" w:type="dxa"/>
            <w:shd w:val="clear" w:color="auto" w:fill="D9E2F3"/>
            <w:vAlign w:val="center"/>
          </w:tcPr>
          <w:p w14:paraId="3B09140E" w14:textId="77777777" w:rsidR="00990B14" w:rsidRDefault="00000000">
            <w:pPr>
              <w:spacing w:before="20" w:after="20"/>
              <w:jc w:val="both"/>
            </w:pPr>
            <w:r>
              <w:rPr>
                <w:sz w:val="18"/>
                <w:szCs w:val="18"/>
              </w:rPr>
              <w:t>Incluye los servicios contratados con terceros.</w:t>
            </w:r>
          </w:p>
        </w:tc>
      </w:tr>
      <w:tr w:rsidR="00990B14" w14:paraId="1187B988" w14:textId="77777777">
        <w:trPr>
          <w:cantSplit/>
          <w:jc w:val="center"/>
        </w:trPr>
        <w:tc>
          <w:tcPr>
            <w:tcW w:w="1490" w:type="dxa"/>
            <w:vMerge/>
            <w:shd w:val="clear" w:color="auto" w:fill="4472C4"/>
            <w:vAlign w:val="center"/>
          </w:tcPr>
          <w:p w14:paraId="1FDC85E1" w14:textId="77777777" w:rsidR="00990B14" w:rsidRDefault="00990B14">
            <w:pPr>
              <w:spacing w:before="20" w:after="20"/>
            </w:pPr>
          </w:p>
        </w:tc>
        <w:tc>
          <w:tcPr>
            <w:tcW w:w="6038" w:type="dxa"/>
            <w:gridSpan w:val="3"/>
            <w:shd w:val="clear" w:color="auto" w:fill="D9E2F3"/>
            <w:vAlign w:val="center"/>
          </w:tcPr>
          <w:p w14:paraId="6A08BD43" w14:textId="77777777" w:rsidR="00990B14" w:rsidRDefault="00000000">
            <w:pPr>
              <w:keepNext/>
              <w:spacing w:before="20" w:after="20"/>
              <w:jc w:val="both"/>
            </w:pPr>
            <w:r>
              <w:rPr>
                <w:b/>
                <w:bCs/>
                <w:i/>
                <w:iCs/>
                <w:sz w:val="18"/>
                <w:szCs w:val="18"/>
              </w:rPr>
              <w:t xml:space="preserve">Producto 13: </w:t>
            </w:r>
            <w:r>
              <w:rPr>
                <w:sz w:val="18"/>
                <w:szCs w:val="18"/>
              </w:rPr>
              <w:t>Papeles de pruebas con TAAC</w:t>
            </w:r>
          </w:p>
        </w:tc>
        <w:tc>
          <w:tcPr>
            <w:tcW w:w="1877" w:type="dxa"/>
            <w:shd w:val="clear" w:color="auto" w:fill="D9E2F3"/>
            <w:vAlign w:val="center"/>
          </w:tcPr>
          <w:p w14:paraId="6C5199D7" w14:textId="77777777" w:rsidR="00990B14" w:rsidRDefault="00000000">
            <w:pPr>
              <w:spacing w:before="20" w:after="20"/>
              <w:jc w:val="center"/>
            </w:pPr>
            <w:r>
              <w:rPr>
                <w:b/>
                <w:bCs/>
                <w:sz w:val="18"/>
                <w:szCs w:val="18"/>
              </w:rPr>
              <w:t>7%</w:t>
            </w:r>
          </w:p>
        </w:tc>
      </w:tr>
      <w:tr w:rsidR="00990B14" w14:paraId="31F15F2B" w14:textId="77777777">
        <w:trPr>
          <w:cantSplit/>
          <w:jc w:val="center"/>
        </w:trPr>
        <w:tc>
          <w:tcPr>
            <w:tcW w:w="1490" w:type="dxa"/>
            <w:vMerge/>
            <w:shd w:val="clear" w:color="auto" w:fill="4472C4"/>
            <w:vAlign w:val="center"/>
          </w:tcPr>
          <w:p w14:paraId="1EE54397" w14:textId="77777777" w:rsidR="00990B14" w:rsidRDefault="00990B14">
            <w:pPr>
              <w:spacing w:before="20" w:after="20"/>
            </w:pPr>
          </w:p>
        </w:tc>
        <w:tc>
          <w:tcPr>
            <w:tcW w:w="2120" w:type="dxa"/>
            <w:shd w:val="clear" w:color="auto" w:fill="4472C4"/>
            <w:vAlign w:val="center"/>
          </w:tcPr>
          <w:p w14:paraId="5C5EBFA3" w14:textId="77777777" w:rsidR="00990B14" w:rsidRDefault="00000000">
            <w:pPr>
              <w:keepNext/>
              <w:spacing w:before="20" w:after="20"/>
              <w:jc w:val="center"/>
            </w:pPr>
            <w:r>
              <w:rPr>
                <w:b/>
                <w:bCs/>
                <w:i/>
                <w:iCs/>
                <w:color w:val="FFFFFF"/>
                <w:sz w:val="18"/>
                <w:szCs w:val="18"/>
              </w:rPr>
              <w:t>Criterio</w:t>
            </w:r>
          </w:p>
        </w:tc>
        <w:tc>
          <w:tcPr>
            <w:tcW w:w="1805" w:type="dxa"/>
            <w:shd w:val="clear" w:color="auto" w:fill="4472C4"/>
            <w:vAlign w:val="center"/>
          </w:tcPr>
          <w:p w14:paraId="39EAAA81" w14:textId="77777777" w:rsidR="00990B14" w:rsidRDefault="00000000">
            <w:pPr>
              <w:keepNext/>
              <w:spacing w:before="20" w:after="20"/>
              <w:jc w:val="center"/>
            </w:pPr>
            <w:r>
              <w:rPr>
                <w:b/>
                <w:bCs/>
                <w:i/>
                <w:iCs/>
                <w:color w:val="FFFFFF"/>
                <w:sz w:val="18"/>
                <w:szCs w:val="18"/>
              </w:rPr>
              <w:t>Insuficiente (1–50)</w:t>
            </w:r>
          </w:p>
        </w:tc>
        <w:tc>
          <w:tcPr>
            <w:tcW w:w="2113" w:type="dxa"/>
            <w:shd w:val="clear" w:color="auto" w:fill="4472C4"/>
            <w:vAlign w:val="center"/>
          </w:tcPr>
          <w:p w14:paraId="7A9BEBFB"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4AB8E336" w14:textId="77777777" w:rsidR="00990B14" w:rsidRDefault="00000000">
            <w:pPr>
              <w:keepNext/>
              <w:spacing w:before="20" w:after="20"/>
              <w:jc w:val="center"/>
            </w:pPr>
            <w:r>
              <w:rPr>
                <w:b/>
                <w:bCs/>
                <w:i/>
                <w:iCs/>
                <w:color w:val="FFFFFF"/>
                <w:sz w:val="18"/>
                <w:szCs w:val="18"/>
              </w:rPr>
              <w:t>Destacado (81–100)</w:t>
            </w:r>
          </w:p>
        </w:tc>
      </w:tr>
      <w:tr w:rsidR="00990B14" w14:paraId="14013886" w14:textId="77777777">
        <w:trPr>
          <w:cantSplit/>
          <w:jc w:val="center"/>
        </w:trPr>
        <w:tc>
          <w:tcPr>
            <w:tcW w:w="1490" w:type="dxa"/>
            <w:vMerge/>
            <w:shd w:val="clear" w:color="auto" w:fill="4472C4"/>
            <w:vAlign w:val="center"/>
          </w:tcPr>
          <w:p w14:paraId="13DCB237" w14:textId="77777777" w:rsidR="00990B14" w:rsidRDefault="00990B14">
            <w:pPr>
              <w:spacing w:before="20" w:after="20"/>
            </w:pPr>
          </w:p>
        </w:tc>
        <w:tc>
          <w:tcPr>
            <w:tcW w:w="2120" w:type="dxa"/>
            <w:shd w:val="clear" w:color="auto" w:fill="D9E2F3"/>
            <w:vAlign w:val="center"/>
          </w:tcPr>
          <w:p w14:paraId="14ADA74C" w14:textId="77777777" w:rsidR="00990B14" w:rsidRDefault="00000000">
            <w:pPr>
              <w:spacing w:before="20" w:after="20"/>
              <w:jc w:val="both"/>
            </w:pPr>
            <w:r>
              <w:rPr>
                <w:sz w:val="18"/>
                <w:szCs w:val="18"/>
              </w:rPr>
              <w:t>Extracción</w:t>
            </w:r>
          </w:p>
        </w:tc>
        <w:tc>
          <w:tcPr>
            <w:tcW w:w="1805" w:type="dxa"/>
            <w:shd w:val="clear" w:color="auto" w:fill="D9E2F3"/>
            <w:vAlign w:val="center"/>
          </w:tcPr>
          <w:p w14:paraId="64F7D4BE" w14:textId="77777777" w:rsidR="00990B14" w:rsidRDefault="00000000">
            <w:pPr>
              <w:spacing w:before="20" w:after="20"/>
              <w:jc w:val="both"/>
            </w:pPr>
            <w:r>
              <w:rPr>
                <w:sz w:val="18"/>
                <w:szCs w:val="18"/>
              </w:rPr>
              <w:t>No verifica la extracción.</w:t>
            </w:r>
          </w:p>
        </w:tc>
        <w:tc>
          <w:tcPr>
            <w:tcW w:w="2113" w:type="dxa"/>
            <w:shd w:val="clear" w:color="auto" w:fill="D9E2F3"/>
            <w:vAlign w:val="center"/>
          </w:tcPr>
          <w:p w14:paraId="12A95777" w14:textId="77777777" w:rsidR="00990B14" w:rsidRDefault="00000000">
            <w:pPr>
              <w:spacing w:before="20" w:after="20"/>
              <w:jc w:val="both"/>
            </w:pPr>
            <w:r>
              <w:rPr>
                <w:sz w:val="18"/>
                <w:szCs w:val="18"/>
              </w:rPr>
              <w:t>Verifica el origen y la integridad de los datos.</w:t>
            </w:r>
          </w:p>
        </w:tc>
        <w:tc>
          <w:tcPr>
            <w:tcW w:w="1877" w:type="dxa"/>
            <w:shd w:val="clear" w:color="auto" w:fill="D9E2F3"/>
            <w:vAlign w:val="center"/>
          </w:tcPr>
          <w:p w14:paraId="058D2CED" w14:textId="77777777" w:rsidR="00990B14" w:rsidRDefault="00000000">
            <w:pPr>
              <w:spacing w:before="20" w:after="20"/>
              <w:jc w:val="both"/>
            </w:pPr>
            <w:r>
              <w:rPr>
                <w:sz w:val="18"/>
                <w:szCs w:val="18"/>
              </w:rPr>
              <w:t>Documenta el tratamiento de los datos.</w:t>
            </w:r>
          </w:p>
        </w:tc>
      </w:tr>
      <w:tr w:rsidR="00990B14" w14:paraId="44910BCC" w14:textId="77777777">
        <w:trPr>
          <w:cantSplit/>
          <w:jc w:val="center"/>
        </w:trPr>
        <w:tc>
          <w:tcPr>
            <w:tcW w:w="1490" w:type="dxa"/>
            <w:vMerge/>
            <w:shd w:val="clear" w:color="auto" w:fill="4472C4"/>
            <w:vAlign w:val="center"/>
          </w:tcPr>
          <w:p w14:paraId="0DE2178B" w14:textId="77777777" w:rsidR="00990B14" w:rsidRDefault="00990B14">
            <w:pPr>
              <w:spacing w:before="20" w:after="20"/>
            </w:pPr>
          </w:p>
        </w:tc>
        <w:tc>
          <w:tcPr>
            <w:tcW w:w="2120" w:type="dxa"/>
            <w:shd w:val="clear" w:color="auto" w:fill="D9E2F3"/>
            <w:vAlign w:val="center"/>
          </w:tcPr>
          <w:p w14:paraId="35ADDF14" w14:textId="77777777" w:rsidR="00990B14" w:rsidRDefault="00000000">
            <w:pPr>
              <w:spacing w:before="20" w:after="20"/>
              <w:jc w:val="both"/>
            </w:pPr>
            <w:r>
              <w:rPr>
                <w:sz w:val="18"/>
                <w:szCs w:val="18"/>
              </w:rPr>
              <w:t>Pruebas</w:t>
            </w:r>
          </w:p>
        </w:tc>
        <w:tc>
          <w:tcPr>
            <w:tcW w:w="1805" w:type="dxa"/>
            <w:shd w:val="clear" w:color="auto" w:fill="D9E2F3"/>
            <w:vAlign w:val="center"/>
          </w:tcPr>
          <w:p w14:paraId="6A53C2DA" w14:textId="77777777" w:rsidR="00990B14" w:rsidRDefault="00000000">
            <w:pPr>
              <w:spacing w:before="20" w:after="20"/>
              <w:jc w:val="both"/>
            </w:pPr>
            <w:r>
              <w:rPr>
                <w:sz w:val="18"/>
                <w:szCs w:val="18"/>
              </w:rPr>
              <w:t>Las pruebas son incompletas.</w:t>
            </w:r>
          </w:p>
        </w:tc>
        <w:tc>
          <w:tcPr>
            <w:tcW w:w="2113" w:type="dxa"/>
            <w:shd w:val="clear" w:color="auto" w:fill="D9E2F3"/>
            <w:vAlign w:val="center"/>
          </w:tcPr>
          <w:p w14:paraId="2A671511" w14:textId="77777777" w:rsidR="00990B14" w:rsidRDefault="00000000">
            <w:pPr>
              <w:spacing w:before="20" w:after="20"/>
              <w:jc w:val="both"/>
            </w:pPr>
            <w:r>
              <w:rPr>
                <w:sz w:val="18"/>
                <w:szCs w:val="18"/>
              </w:rPr>
              <w:t>Recalcula saldos y selecciona muestras.</w:t>
            </w:r>
          </w:p>
        </w:tc>
        <w:tc>
          <w:tcPr>
            <w:tcW w:w="1877" w:type="dxa"/>
            <w:shd w:val="clear" w:color="auto" w:fill="D9E2F3"/>
            <w:vAlign w:val="center"/>
          </w:tcPr>
          <w:p w14:paraId="4F9FE7EB" w14:textId="77777777" w:rsidR="00990B14" w:rsidRDefault="00000000">
            <w:pPr>
              <w:spacing w:before="20" w:after="20"/>
              <w:jc w:val="both"/>
            </w:pPr>
            <w:r>
              <w:rPr>
                <w:sz w:val="18"/>
                <w:szCs w:val="18"/>
              </w:rPr>
              <w:t>Aplica pruebas completas sobre la población.</w:t>
            </w:r>
          </w:p>
        </w:tc>
      </w:tr>
      <w:tr w:rsidR="00990B14" w14:paraId="3BD1A9A6" w14:textId="77777777">
        <w:trPr>
          <w:cantSplit/>
          <w:jc w:val="center"/>
        </w:trPr>
        <w:tc>
          <w:tcPr>
            <w:tcW w:w="1490" w:type="dxa"/>
            <w:vMerge/>
            <w:shd w:val="clear" w:color="auto" w:fill="4472C4"/>
            <w:vAlign w:val="center"/>
          </w:tcPr>
          <w:p w14:paraId="0B7E5A65" w14:textId="77777777" w:rsidR="00990B14" w:rsidRDefault="00990B14">
            <w:pPr>
              <w:spacing w:before="20" w:after="20"/>
            </w:pPr>
          </w:p>
        </w:tc>
        <w:tc>
          <w:tcPr>
            <w:tcW w:w="2120" w:type="dxa"/>
            <w:shd w:val="clear" w:color="auto" w:fill="D9E2F3"/>
            <w:vAlign w:val="center"/>
          </w:tcPr>
          <w:p w14:paraId="095E7A89" w14:textId="77777777" w:rsidR="00990B14" w:rsidRDefault="00000000">
            <w:pPr>
              <w:spacing w:before="20" w:after="20"/>
              <w:jc w:val="both"/>
            </w:pPr>
            <w:r>
              <w:rPr>
                <w:sz w:val="18"/>
                <w:szCs w:val="18"/>
              </w:rPr>
              <w:t>Documentación</w:t>
            </w:r>
          </w:p>
        </w:tc>
        <w:tc>
          <w:tcPr>
            <w:tcW w:w="1805" w:type="dxa"/>
            <w:shd w:val="clear" w:color="auto" w:fill="D9E2F3"/>
            <w:vAlign w:val="center"/>
          </w:tcPr>
          <w:p w14:paraId="088F82D5" w14:textId="77777777" w:rsidR="00990B14" w:rsidRDefault="00000000">
            <w:pPr>
              <w:spacing w:before="20" w:after="20"/>
              <w:jc w:val="both"/>
            </w:pPr>
            <w:r>
              <w:rPr>
                <w:sz w:val="18"/>
                <w:szCs w:val="18"/>
              </w:rPr>
              <w:t>Los papeles no están referenciados.</w:t>
            </w:r>
          </w:p>
        </w:tc>
        <w:tc>
          <w:tcPr>
            <w:tcW w:w="2113" w:type="dxa"/>
            <w:shd w:val="clear" w:color="auto" w:fill="D9E2F3"/>
            <w:vAlign w:val="center"/>
          </w:tcPr>
          <w:p w14:paraId="049AED8A" w14:textId="77777777" w:rsidR="00990B14" w:rsidRDefault="00000000">
            <w:pPr>
              <w:spacing w:before="20" w:after="20"/>
              <w:jc w:val="both"/>
            </w:pPr>
            <w:r>
              <w:rPr>
                <w:sz w:val="18"/>
                <w:szCs w:val="18"/>
              </w:rPr>
              <w:t>Los papeles están referenciados.</w:t>
            </w:r>
          </w:p>
        </w:tc>
        <w:tc>
          <w:tcPr>
            <w:tcW w:w="1877" w:type="dxa"/>
            <w:shd w:val="clear" w:color="auto" w:fill="D9E2F3"/>
            <w:vAlign w:val="center"/>
          </w:tcPr>
          <w:p w14:paraId="46977789" w14:textId="77777777" w:rsidR="00990B14" w:rsidRDefault="00000000">
            <w:pPr>
              <w:spacing w:before="20" w:after="20"/>
              <w:jc w:val="both"/>
            </w:pPr>
            <w:r>
              <w:rPr>
                <w:sz w:val="18"/>
                <w:szCs w:val="18"/>
              </w:rPr>
              <w:t>Los papeles permiten reproducir la prueba.</w:t>
            </w:r>
          </w:p>
        </w:tc>
      </w:tr>
      <w:tr w:rsidR="00990B14" w14:paraId="4F4D3022" w14:textId="77777777">
        <w:trPr>
          <w:cantSplit/>
          <w:jc w:val="center"/>
        </w:trPr>
        <w:tc>
          <w:tcPr>
            <w:tcW w:w="1490" w:type="dxa"/>
            <w:vMerge/>
            <w:shd w:val="clear" w:color="auto" w:fill="4472C4"/>
            <w:vAlign w:val="center"/>
          </w:tcPr>
          <w:p w14:paraId="756607D7" w14:textId="77777777" w:rsidR="00990B14" w:rsidRDefault="00990B14">
            <w:pPr>
              <w:spacing w:before="20" w:after="20"/>
            </w:pPr>
          </w:p>
        </w:tc>
        <w:tc>
          <w:tcPr>
            <w:tcW w:w="6038" w:type="dxa"/>
            <w:gridSpan w:val="3"/>
            <w:shd w:val="clear" w:color="auto" w:fill="D9E2F3"/>
            <w:vAlign w:val="center"/>
          </w:tcPr>
          <w:p w14:paraId="6647A855" w14:textId="77777777" w:rsidR="00990B14" w:rsidRDefault="00000000">
            <w:pPr>
              <w:keepNext/>
              <w:spacing w:before="20" w:after="20"/>
              <w:jc w:val="both"/>
            </w:pPr>
            <w:r>
              <w:rPr>
                <w:b/>
                <w:bCs/>
                <w:i/>
                <w:iCs/>
                <w:sz w:val="18"/>
                <w:szCs w:val="18"/>
              </w:rPr>
              <w:t xml:space="preserve">Producto 14: </w:t>
            </w:r>
            <w:r>
              <w:rPr>
                <w:sz w:val="18"/>
                <w:szCs w:val="18"/>
              </w:rPr>
              <w:t>Reporte de comparación de archivos</w:t>
            </w:r>
          </w:p>
        </w:tc>
        <w:tc>
          <w:tcPr>
            <w:tcW w:w="1877" w:type="dxa"/>
            <w:shd w:val="clear" w:color="auto" w:fill="D9E2F3"/>
            <w:vAlign w:val="center"/>
          </w:tcPr>
          <w:p w14:paraId="6611AE00" w14:textId="77777777" w:rsidR="00990B14" w:rsidRDefault="00000000">
            <w:pPr>
              <w:spacing w:before="20" w:after="20"/>
              <w:jc w:val="center"/>
            </w:pPr>
            <w:r>
              <w:rPr>
                <w:b/>
                <w:bCs/>
                <w:sz w:val="18"/>
                <w:szCs w:val="18"/>
              </w:rPr>
              <w:t>6%</w:t>
            </w:r>
          </w:p>
        </w:tc>
      </w:tr>
      <w:tr w:rsidR="00990B14" w14:paraId="4DDAC6D0" w14:textId="77777777">
        <w:trPr>
          <w:cantSplit/>
          <w:jc w:val="center"/>
        </w:trPr>
        <w:tc>
          <w:tcPr>
            <w:tcW w:w="1490" w:type="dxa"/>
            <w:vMerge/>
            <w:shd w:val="clear" w:color="auto" w:fill="4472C4"/>
            <w:vAlign w:val="center"/>
          </w:tcPr>
          <w:p w14:paraId="5F3C6509" w14:textId="77777777" w:rsidR="00990B14" w:rsidRDefault="00990B14">
            <w:pPr>
              <w:spacing w:before="20" w:after="20"/>
            </w:pPr>
          </w:p>
        </w:tc>
        <w:tc>
          <w:tcPr>
            <w:tcW w:w="2120" w:type="dxa"/>
            <w:shd w:val="clear" w:color="auto" w:fill="4472C4"/>
            <w:vAlign w:val="center"/>
          </w:tcPr>
          <w:p w14:paraId="2AFCFE8F" w14:textId="77777777" w:rsidR="00990B14" w:rsidRDefault="00000000">
            <w:pPr>
              <w:keepNext/>
              <w:spacing w:before="20" w:after="20"/>
              <w:jc w:val="center"/>
            </w:pPr>
            <w:r>
              <w:rPr>
                <w:b/>
                <w:bCs/>
                <w:i/>
                <w:iCs/>
                <w:color w:val="FFFFFF"/>
                <w:sz w:val="18"/>
                <w:szCs w:val="18"/>
              </w:rPr>
              <w:t>Criterio</w:t>
            </w:r>
          </w:p>
        </w:tc>
        <w:tc>
          <w:tcPr>
            <w:tcW w:w="1805" w:type="dxa"/>
            <w:shd w:val="clear" w:color="auto" w:fill="4472C4"/>
            <w:vAlign w:val="center"/>
          </w:tcPr>
          <w:p w14:paraId="46BE8A31" w14:textId="77777777" w:rsidR="00990B14" w:rsidRDefault="00000000">
            <w:pPr>
              <w:keepNext/>
              <w:spacing w:before="20" w:after="20"/>
              <w:jc w:val="center"/>
            </w:pPr>
            <w:r>
              <w:rPr>
                <w:b/>
                <w:bCs/>
                <w:i/>
                <w:iCs/>
                <w:color w:val="FFFFFF"/>
                <w:sz w:val="18"/>
                <w:szCs w:val="18"/>
              </w:rPr>
              <w:t>Insuficiente (1–50)</w:t>
            </w:r>
          </w:p>
        </w:tc>
        <w:tc>
          <w:tcPr>
            <w:tcW w:w="2113" w:type="dxa"/>
            <w:shd w:val="clear" w:color="auto" w:fill="4472C4"/>
            <w:vAlign w:val="center"/>
          </w:tcPr>
          <w:p w14:paraId="16C85644"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1EA227BA" w14:textId="77777777" w:rsidR="00990B14" w:rsidRDefault="00000000">
            <w:pPr>
              <w:keepNext/>
              <w:spacing w:before="20" w:after="20"/>
              <w:jc w:val="center"/>
            </w:pPr>
            <w:r>
              <w:rPr>
                <w:b/>
                <w:bCs/>
                <w:i/>
                <w:iCs/>
                <w:color w:val="FFFFFF"/>
                <w:sz w:val="18"/>
                <w:szCs w:val="18"/>
              </w:rPr>
              <w:t>Destacado (81–100)</w:t>
            </w:r>
          </w:p>
        </w:tc>
      </w:tr>
      <w:tr w:rsidR="00990B14" w14:paraId="0D51297E" w14:textId="77777777">
        <w:trPr>
          <w:cantSplit/>
          <w:jc w:val="center"/>
        </w:trPr>
        <w:tc>
          <w:tcPr>
            <w:tcW w:w="1490" w:type="dxa"/>
            <w:vMerge/>
            <w:shd w:val="clear" w:color="auto" w:fill="4472C4"/>
            <w:vAlign w:val="center"/>
          </w:tcPr>
          <w:p w14:paraId="5D09F4E6" w14:textId="77777777" w:rsidR="00990B14" w:rsidRDefault="00990B14">
            <w:pPr>
              <w:spacing w:before="20" w:after="20"/>
            </w:pPr>
          </w:p>
        </w:tc>
        <w:tc>
          <w:tcPr>
            <w:tcW w:w="2120" w:type="dxa"/>
            <w:shd w:val="clear" w:color="auto" w:fill="D9E2F3"/>
            <w:vAlign w:val="center"/>
          </w:tcPr>
          <w:p w14:paraId="62050580" w14:textId="77777777" w:rsidR="00990B14" w:rsidRDefault="00000000">
            <w:pPr>
              <w:spacing w:before="20" w:after="20"/>
              <w:jc w:val="both"/>
            </w:pPr>
            <w:r>
              <w:rPr>
                <w:sz w:val="18"/>
                <w:szCs w:val="18"/>
              </w:rPr>
              <w:t>Reordenamiento</w:t>
            </w:r>
          </w:p>
        </w:tc>
        <w:tc>
          <w:tcPr>
            <w:tcW w:w="1805" w:type="dxa"/>
            <w:shd w:val="clear" w:color="auto" w:fill="D9E2F3"/>
            <w:vAlign w:val="center"/>
          </w:tcPr>
          <w:p w14:paraId="75B0F98E" w14:textId="77777777" w:rsidR="00990B14" w:rsidRDefault="00000000">
            <w:pPr>
              <w:spacing w:before="20" w:after="20"/>
              <w:jc w:val="both"/>
            </w:pPr>
            <w:r>
              <w:rPr>
                <w:sz w:val="18"/>
                <w:szCs w:val="18"/>
              </w:rPr>
              <w:t>No reordena la información.</w:t>
            </w:r>
          </w:p>
        </w:tc>
        <w:tc>
          <w:tcPr>
            <w:tcW w:w="2113" w:type="dxa"/>
            <w:shd w:val="clear" w:color="auto" w:fill="D9E2F3"/>
            <w:vAlign w:val="center"/>
          </w:tcPr>
          <w:p w14:paraId="2162B8AB" w14:textId="77777777" w:rsidR="00990B14" w:rsidRDefault="00000000">
            <w:pPr>
              <w:spacing w:before="20" w:after="20"/>
              <w:jc w:val="both"/>
            </w:pPr>
            <w:r>
              <w:rPr>
                <w:sz w:val="18"/>
                <w:szCs w:val="18"/>
              </w:rPr>
              <w:t>Reordena y relaciona los archivos.</w:t>
            </w:r>
          </w:p>
        </w:tc>
        <w:tc>
          <w:tcPr>
            <w:tcW w:w="1877" w:type="dxa"/>
            <w:shd w:val="clear" w:color="auto" w:fill="D9E2F3"/>
            <w:vAlign w:val="center"/>
          </w:tcPr>
          <w:p w14:paraId="63534A2A" w14:textId="77777777" w:rsidR="00990B14" w:rsidRDefault="00000000">
            <w:pPr>
              <w:spacing w:before="20" w:after="20"/>
              <w:jc w:val="both"/>
            </w:pPr>
            <w:r>
              <w:rPr>
                <w:sz w:val="18"/>
                <w:szCs w:val="18"/>
              </w:rPr>
              <w:t>Define claves de enlace confiables.</w:t>
            </w:r>
          </w:p>
        </w:tc>
      </w:tr>
      <w:tr w:rsidR="00990B14" w14:paraId="18B29096" w14:textId="77777777">
        <w:trPr>
          <w:cantSplit/>
          <w:jc w:val="center"/>
        </w:trPr>
        <w:tc>
          <w:tcPr>
            <w:tcW w:w="1490" w:type="dxa"/>
            <w:vMerge/>
            <w:shd w:val="clear" w:color="auto" w:fill="4472C4"/>
            <w:vAlign w:val="center"/>
          </w:tcPr>
          <w:p w14:paraId="7DB18064" w14:textId="77777777" w:rsidR="00990B14" w:rsidRDefault="00990B14">
            <w:pPr>
              <w:spacing w:before="20" w:after="20"/>
            </w:pPr>
          </w:p>
        </w:tc>
        <w:tc>
          <w:tcPr>
            <w:tcW w:w="2120" w:type="dxa"/>
            <w:shd w:val="clear" w:color="auto" w:fill="D9E2F3"/>
            <w:vAlign w:val="center"/>
          </w:tcPr>
          <w:p w14:paraId="1D977052" w14:textId="77777777" w:rsidR="00990B14" w:rsidRDefault="00000000">
            <w:pPr>
              <w:spacing w:before="20" w:after="20"/>
              <w:jc w:val="both"/>
            </w:pPr>
            <w:r>
              <w:rPr>
                <w:sz w:val="18"/>
                <w:szCs w:val="18"/>
              </w:rPr>
              <w:t>Diferencias</w:t>
            </w:r>
          </w:p>
        </w:tc>
        <w:tc>
          <w:tcPr>
            <w:tcW w:w="1805" w:type="dxa"/>
            <w:shd w:val="clear" w:color="auto" w:fill="D9E2F3"/>
            <w:vAlign w:val="center"/>
          </w:tcPr>
          <w:p w14:paraId="55BCB428" w14:textId="77777777" w:rsidR="00990B14" w:rsidRDefault="00000000">
            <w:pPr>
              <w:spacing w:before="20" w:after="20"/>
              <w:jc w:val="both"/>
            </w:pPr>
            <w:r>
              <w:rPr>
                <w:sz w:val="18"/>
                <w:szCs w:val="18"/>
              </w:rPr>
              <w:t>No identifica diferencias.</w:t>
            </w:r>
          </w:p>
        </w:tc>
        <w:tc>
          <w:tcPr>
            <w:tcW w:w="2113" w:type="dxa"/>
            <w:shd w:val="clear" w:color="auto" w:fill="D9E2F3"/>
            <w:vAlign w:val="center"/>
          </w:tcPr>
          <w:p w14:paraId="43584F7A" w14:textId="77777777" w:rsidR="00990B14" w:rsidRDefault="00000000">
            <w:pPr>
              <w:spacing w:before="20" w:after="20"/>
              <w:jc w:val="both"/>
            </w:pPr>
            <w:r>
              <w:rPr>
                <w:sz w:val="18"/>
                <w:szCs w:val="18"/>
              </w:rPr>
              <w:t>Identifica las diferencias.</w:t>
            </w:r>
          </w:p>
        </w:tc>
        <w:tc>
          <w:tcPr>
            <w:tcW w:w="1877" w:type="dxa"/>
            <w:shd w:val="clear" w:color="auto" w:fill="D9E2F3"/>
            <w:vAlign w:val="center"/>
          </w:tcPr>
          <w:p w14:paraId="2DEDD935" w14:textId="77777777" w:rsidR="00990B14" w:rsidRDefault="00000000">
            <w:pPr>
              <w:spacing w:before="20" w:after="20"/>
              <w:jc w:val="both"/>
            </w:pPr>
            <w:r>
              <w:rPr>
                <w:sz w:val="18"/>
                <w:szCs w:val="18"/>
              </w:rPr>
              <w:t>Analiza las causas de cada diferencia.</w:t>
            </w:r>
          </w:p>
        </w:tc>
      </w:tr>
      <w:tr w:rsidR="00990B14" w14:paraId="7E08CA9D" w14:textId="77777777">
        <w:trPr>
          <w:cantSplit/>
          <w:jc w:val="center"/>
        </w:trPr>
        <w:tc>
          <w:tcPr>
            <w:tcW w:w="1490" w:type="dxa"/>
            <w:vMerge/>
            <w:shd w:val="clear" w:color="auto" w:fill="4472C4"/>
            <w:vAlign w:val="center"/>
          </w:tcPr>
          <w:p w14:paraId="1561852A" w14:textId="77777777" w:rsidR="00990B14" w:rsidRDefault="00990B14">
            <w:pPr>
              <w:spacing w:before="20" w:after="20"/>
            </w:pPr>
          </w:p>
        </w:tc>
        <w:tc>
          <w:tcPr>
            <w:tcW w:w="2120" w:type="dxa"/>
            <w:shd w:val="clear" w:color="auto" w:fill="D9E2F3"/>
            <w:vAlign w:val="center"/>
          </w:tcPr>
          <w:p w14:paraId="593E5859" w14:textId="77777777" w:rsidR="00990B14" w:rsidRDefault="00000000">
            <w:pPr>
              <w:spacing w:before="20" w:after="20"/>
              <w:jc w:val="both"/>
            </w:pPr>
            <w:r>
              <w:rPr>
                <w:sz w:val="18"/>
                <w:szCs w:val="18"/>
              </w:rPr>
              <w:t>Trabajo en equipo</w:t>
            </w:r>
          </w:p>
        </w:tc>
        <w:tc>
          <w:tcPr>
            <w:tcW w:w="1805" w:type="dxa"/>
            <w:shd w:val="clear" w:color="auto" w:fill="D9E2F3"/>
            <w:vAlign w:val="center"/>
          </w:tcPr>
          <w:p w14:paraId="47D04219" w14:textId="77777777" w:rsidR="00990B14" w:rsidRDefault="00000000">
            <w:pPr>
              <w:spacing w:before="20" w:after="20"/>
              <w:jc w:val="both"/>
            </w:pPr>
            <w:r>
              <w:rPr>
                <w:sz w:val="18"/>
                <w:szCs w:val="18"/>
              </w:rPr>
              <w:t>La participación es desigual.</w:t>
            </w:r>
          </w:p>
        </w:tc>
        <w:tc>
          <w:tcPr>
            <w:tcW w:w="2113" w:type="dxa"/>
            <w:shd w:val="clear" w:color="auto" w:fill="D9E2F3"/>
            <w:vAlign w:val="center"/>
          </w:tcPr>
          <w:p w14:paraId="1B8484E9" w14:textId="77777777" w:rsidR="00990B14" w:rsidRDefault="00000000">
            <w:pPr>
              <w:spacing w:before="20" w:after="20"/>
              <w:jc w:val="both"/>
            </w:pPr>
            <w:r>
              <w:rPr>
                <w:sz w:val="18"/>
                <w:szCs w:val="18"/>
              </w:rPr>
              <w:t>Todos los integrantes participan.</w:t>
            </w:r>
          </w:p>
        </w:tc>
        <w:tc>
          <w:tcPr>
            <w:tcW w:w="1877" w:type="dxa"/>
            <w:shd w:val="clear" w:color="auto" w:fill="D9E2F3"/>
            <w:vAlign w:val="center"/>
          </w:tcPr>
          <w:p w14:paraId="45EBB197" w14:textId="77777777" w:rsidR="00990B14" w:rsidRDefault="00000000">
            <w:pPr>
              <w:spacing w:before="20" w:after="20"/>
              <w:jc w:val="both"/>
            </w:pPr>
            <w:r>
              <w:rPr>
                <w:sz w:val="18"/>
                <w:szCs w:val="18"/>
              </w:rPr>
              <w:t>El equipo valida los resultados de forma cruzada.</w:t>
            </w:r>
          </w:p>
        </w:tc>
      </w:tr>
      <w:tr w:rsidR="00990B14" w14:paraId="7DDF2E4C" w14:textId="77777777">
        <w:trPr>
          <w:cantSplit/>
          <w:jc w:val="center"/>
        </w:trPr>
        <w:tc>
          <w:tcPr>
            <w:tcW w:w="1490" w:type="dxa"/>
            <w:vMerge/>
            <w:shd w:val="clear" w:color="auto" w:fill="4472C4"/>
            <w:vAlign w:val="center"/>
          </w:tcPr>
          <w:p w14:paraId="3251E44B" w14:textId="77777777" w:rsidR="00990B14" w:rsidRDefault="00990B14">
            <w:pPr>
              <w:spacing w:before="20" w:after="20"/>
            </w:pPr>
          </w:p>
        </w:tc>
        <w:tc>
          <w:tcPr>
            <w:tcW w:w="6038" w:type="dxa"/>
            <w:gridSpan w:val="3"/>
            <w:shd w:val="clear" w:color="auto" w:fill="D9E2F3"/>
            <w:vAlign w:val="center"/>
          </w:tcPr>
          <w:p w14:paraId="0AAFE372" w14:textId="77777777" w:rsidR="00990B14" w:rsidRDefault="00000000">
            <w:pPr>
              <w:keepNext/>
              <w:spacing w:before="20" w:after="20"/>
              <w:jc w:val="both"/>
            </w:pPr>
            <w:r>
              <w:rPr>
                <w:b/>
                <w:bCs/>
                <w:i/>
                <w:iCs/>
                <w:sz w:val="18"/>
                <w:szCs w:val="18"/>
              </w:rPr>
              <w:t xml:space="preserve">Producto 15: </w:t>
            </w:r>
            <w:r>
              <w:rPr>
                <w:sz w:val="18"/>
                <w:szCs w:val="18"/>
              </w:rPr>
              <w:t>Tablero de excepciones</w:t>
            </w:r>
          </w:p>
        </w:tc>
        <w:tc>
          <w:tcPr>
            <w:tcW w:w="1877" w:type="dxa"/>
            <w:shd w:val="clear" w:color="auto" w:fill="D9E2F3"/>
            <w:vAlign w:val="center"/>
          </w:tcPr>
          <w:p w14:paraId="18B549DC" w14:textId="77777777" w:rsidR="00990B14" w:rsidRDefault="00000000">
            <w:pPr>
              <w:spacing w:before="20" w:after="20"/>
              <w:jc w:val="center"/>
            </w:pPr>
            <w:r>
              <w:rPr>
                <w:b/>
                <w:bCs/>
                <w:sz w:val="18"/>
                <w:szCs w:val="18"/>
              </w:rPr>
              <w:t>6%</w:t>
            </w:r>
          </w:p>
        </w:tc>
      </w:tr>
      <w:tr w:rsidR="00990B14" w14:paraId="4381E695" w14:textId="77777777">
        <w:trPr>
          <w:cantSplit/>
          <w:jc w:val="center"/>
        </w:trPr>
        <w:tc>
          <w:tcPr>
            <w:tcW w:w="1490" w:type="dxa"/>
            <w:vMerge/>
            <w:shd w:val="clear" w:color="auto" w:fill="4472C4"/>
            <w:vAlign w:val="center"/>
          </w:tcPr>
          <w:p w14:paraId="76000E58" w14:textId="77777777" w:rsidR="00990B14" w:rsidRDefault="00990B14">
            <w:pPr>
              <w:spacing w:before="20" w:after="20"/>
            </w:pPr>
          </w:p>
        </w:tc>
        <w:tc>
          <w:tcPr>
            <w:tcW w:w="2120" w:type="dxa"/>
            <w:shd w:val="clear" w:color="auto" w:fill="4472C4"/>
            <w:vAlign w:val="center"/>
          </w:tcPr>
          <w:p w14:paraId="7B33462B" w14:textId="77777777" w:rsidR="00990B14" w:rsidRDefault="00000000">
            <w:pPr>
              <w:keepNext/>
              <w:spacing w:before="20" w:after="20"/>
              <w:jc w:val="center"/>
            </w:pPr>
            <w:r>
              <w:rPr>
                <w:b/>
                <w:bCs/>
                <w:i/>
                <w:iCs/>
                <w:color w:val="FFFFFF"/>
                <w:sz w:val="18"/>
                <w:szCs w:val="18"/>
              </w:rPr>
              <w:t>Criterio</w:t>
            </w:r>
          </w:p>
        </w:tc>
        <w:tc>
          <w:tcPr>
            <w:tcW w:w="1805" w:type="dxa"/>
            <w:shd w:val="clear" w:color="auto" w:fill="4472C4"/>
            <w:vAlign w:val="center"/>
          </w:tcPr>
          <w:p w14:paraId="7917D7BA" w14:textId="77777777" w:rsidR="00990B14" w:rsidRDefault="00000000">
            <w:pPr>
              <w:keepNext/>
              <w:spacing w:before="20" w:after="20"/>
              <w:jc w:val="center"/>
            </w:pPr>
            <w:r>
              <w:rPr>
                <w:b/>
                <w:bCs/>
                <w:i/>
                <w:iCs/>
                <w:color w:val="FFFFFF"/>
                <w:sz w:val="18"/>
                <w:szCs w:val="18"/>
              </w:rPr>
              <w:t>Insuficiente (1–50)</w:t>
            </w:r>
          </w:p>
        </w:tc>
        <w:tc>
          <w:tcPr>
            <w:tcW w:w="2113" w:type="dxa"/>
            <w:shd w:val="clear" w:color="auto" w:fill="4472C4"/>
            <w:vAlign w:val="center"/>
          </w:tcPr>
          <w:p w14:paraId="22BC015E"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218D444C" w14:textId="77777777" w:rsidR="00990B14" w:rsidRDefault="00000000">
            <w:pPr>
              <w:keepNext/>
              <w:spacing w:before="20" w:after="20"/>
              <w:jc w:val="center"/>
            </w:pPr>
            <w:r>
              <w:rPr>
                <w:b/>
                <w:bCs/>
                <w:i/>
                <w:iCs/>
                <w:color w:val="FFFFFF"/>
                <w:sz w:val="18"/>
                <w:szCs w:val="18"/>
              </w:rPr>
              <w:t>Destacado (81–100)</w:t>
            </w:r>
          </w:p>
        </w:tc>
      </w:tr>
      <w:tr w:rsidR="00990B14" w14:paraId="35AF3628" w14:textId="77777777">
        <w:trPr>
          <w:cantSplit/>
          <w:jc w:val="center"/>
        </w:trPr>
        <w:tc>
          <w:tcPr>
            <w:tcW w:w="1490" w:type="dxa"/>
            <w:vMerge/>
            <w:shd w:val="clear" w:color="auto" w:fill="4472C4"/>
            <w:vAlign w:val="center"/>
          </w:tcPr>
          <w:p w14:paraId="6977CD33" w14:textId="77777777" w:rsidR="00990B14" w:rsidRDefault="00990B14">
            <w:pPr>
              <w:spacing w:before="20" w:after="20"/>
            </w:pPr>
          </w:p>
        </w:tc>
        <w:tc>
          <w:tcPr>
            <w:tcW w:w="2120" w:type="dxa"/>
            <w:shd w:val="clear" w:color="auto" w:fill="D9E2F3"/>
            <w:vAlign w:val="center"/>
          </w:tcPr>
          <w:p w14:paraId="34080D06" w14:textId="77777777" w:rsidR="00990B14" w:rsidRDefault="00000000">
            <w:pPr>
              <w:spacing w:before="20" w:after="20"/>
              <w:jc w:val="both"/>
            </w:pPr>
            <w:r>
              <w:rPr>
                <w:sz w:val="18"/>
                <w:szCs w:val="18"/>
              </w:rPr>
              <w:t>Análisis</w:t>
            </w:r>
          </w:p>
        </w:tc>
        <w:tc>
          <w:tcPr>
            <w:tcW w:w="1805" w:type="dxa"/>
            <w:shd w:val="clear" w:color="auto" w:fill="D9E2F3"/>
            <w:vAlign w:val="center"/>
          </w:tcPr>
          <w:p w14:paraId="33E85D72" w14:textId="77777777" w:rsidR="00990B14" w:rsidRDefault="00000000">
            <w:pPr>
              <w:spacing w:before="20" w:after="20"/>
              <w:jc w:val="both"/>
            </w:pPr>
            <w:r>
              <w:rPr>
                <w:sz w:val="18"/>
                <w:szCs w:val="18"/>
              </w:rPr>
              <w:t>Analiza solo una muestra.</w:t>
            </w:r>
          </w:p>
        </w:tc>
        <w:tc>
          <w:tcPr>
            <w:tcW w:w="2113" w:type="dxa"/>
            <w:shd w:val="clear" w:color="auto" w:fill="D9E2F3"/>
            <w:vAlign w:val="center"/>
          </w:tcPr>
          <w:p w14:paraId="7455B614" w14:textId="77777777" w:rsidR="00990B14" w:rsidRDefault="00000000">
            <w:pPr>
              <w:spacing w:before="20" w:after="20"/>
              <w:jc w:val="both"/>
            </w:pPr>
            <w:r>
              <w:rPr>
                <w:sz w:val="18"/>
                <w:szCs w:val="18"/>
              </w:rPr>
              <w:t>Analiza la población completa.</w:t>
            </w:r>
          </w:p>
        </w:tc>
        <w:tc>
          <w:tcPr>
            <w:tcW w:w="1877" w:type="dxa"/>
            <w:shd w:val="clear" w:color="auto" w:fill="D9E2F3"/>
            <w:vAlign w:val="center"/>
          </w:tcPr>
          <w:p w14:paraId="17370B0A" w14:textId="77777777" w:rsidR="00990B14" w:rsidRDefault="00000000">
            <w:pPr>
              <w:spacing w:before="20" w:after="20"/>
              <w:jc w:val="both"/>
            </w:pPr>
            <w:r>
              <w:rPr>
                <w:sz w:val="18"/>
                <w:szCs w:val="18"/>
              </w:rPr>
              <w:t>Combina varias pruebas para confirmar excepciones.</w:t>
            </w:r>
          </w:p>
        </w:tc>
      </w:tr>
      <w:tr w:rsidR="00990B14" w14:paraId="11923553" w14:textId="77777777">
        <w:trPr>
          <w:cantSplit/>
          <w:jc w:val="center"/>
        </w:trPr>
        <w:tc>
          <w:tcPr>
            <w:tcW w:w="1490" w:type="dxa"/>
            <w:vMerge/>
            <w:shd w:val="clear" w:color="auto" w:fill="4472C4"/>
            <w:vAlign w:val="center"/>
          </w:tcPr>
          <w:p w14:paraId="1DBD66DD" w14:textId="77777777" w:rsidR="00990B14" w:rsidRDefault="00990B14">
            <w:pPr>
              <w:spacing w:before="20" w:after="20"/>
            </w:pPr>
          </w:p>
        </w:tc>
        <w:tc>
          <w:tcPr>
            <w:tcW w:w="2120" w:type="dxa"/>
            <w:shd w:val="clear" w:color="auto" w:fill="D9E2F3"/>
            <w:vAlign w:val="center"/>
          </w:tcPr>
          <w:p w14:paraId="061FE6F5" w14:textId="77777777" w:rsidR="00990B14" w:rsidRDefault="00000000">
            <w:pPr>
              <w:spacing w:before="20" w:after="20"/>
              <w:jc w:val="both"/>
            </w:pPr>
            <w:r>
              <w:rPr>
                <w:sz w:val="18"/>
                <w:szCs w:val="18"/>
              </w:rPr>
              <w:t>Visualización</w:t>
            </w:r>
          </w:p>
        </w:tc>
        <w:tc>
          <w:tcPr>
            <w:tcW w:w="1805" w:type="dxa"/>
            <w:shd w:val="clear" w:color="auto" w:fill="D9E2F3"/>
            <w:vAlign w:val="center"/>
          </w:tcPr>
          <w:p w14:paraId="10EC0119" w14:textId="77777777" w:rsidR="00990B14" w:rsidRDefault="00000000">
            <w:pPr>
              <w:spacing w:before="20" w:after="20"/>
              <w:jc w:val="both"/>
            </w:pPr>
            <w:r>
              <w:rPr>
                <w:sz w:val="18"/>
                <w:szCs w:val="18"/>
              </w:rPr>
              <w:t>Los gráficos confunden.</w:t>
            </w:r>
          </w:p>
        </w:tc>
        <w:tc>
          <w:tcPr>
            <w:tcW w:w="2113" w:type="dxa"/>
            <w:shd w:val="clear" w:color="auto" w:fill="D9E2F3"/>
            <w:vAlign w:val="center"/>
          </w:tcPr>
          <w:p w14:paraId="48F2E97C" w14:textId="77777777" w:rsidR="00990B14" w:rsidRDefault="00000000">
            <w:pPr>
              <w:spacing w:before="20" w:after="20"/>
              <w:jc w:val="both"/>
            </w:pPr>
            <w:r>
              <w:rPr>
                <w:sz w:val="18"/>
                <w:szCs w:val="18"/>
              </w:rPr>
              <w:t>Los gráficos muestran las excepciones.</w:t>
            </w:r>
          </w:p>
        </w:tc>
        <w:tc>
          <w:tcPr>
            <w:tcW w:w="1877" w:type="dxa"/>
            <w:shd w:val="clear" w:color="auto" w:fill="D9E2F3"/>
            <w:vAlign w:val="center"/>
          </w:tcPr>
          <w:p w14:paraId="29F405E0" w14:textId="77777777" w:rsidR="00990B14" w:rsidRDefault="00000000">
            <w:pPr>
              <w:spacing w:before="20" w:after="20"/>
              <w:jc w:val="both"/>
            </w:pPr>
            <w:r>
              <w:rPr>
                <w:sz w:val="18"/>
                <w:szCs w:val="18"/>
              </w:rPr>
              <w:t>El tablero permite filtrar por riesgo.</w:t>
            </w:r>
          </w:p>
        </w:tc>
      </w:tr>
      <w:tr w:rsidR="00990B14" w14:paraId="15286B48" w14:textId="77777777">
        <w:trPr>
          <w:cantSplit/>
          <w:jc w:val="center"/>
        </w:trPr>
        <w:tc>
          <w:tcPr>
            <w:tcW w:w="1490" w:type="dxa"/>
            <w:vMerge/>
            <w:shd w:val="clear" w:color="auto" w:fill="4472C4"/>
            <w:vAlign w:val="center"/>
          </w:tcPr>
          <w:p w14:paraId="3114678D" w14:textId="77777777" w:rsidR="00990B14" w:rsidRDefault="00990B14">
            <w:pPr>
              <w:spacing w:before="20" w:after="20"/>
            </w:pPr>
          </w:p>
        </w:tc>
        <w:tc>
          <w:tcPr>
            <w:tcW w:w="2120" w:type="dxa"/>
            <w:shd w:val="clear" w:color="auto" w:fill="D9E2F3"/>
            <w:vAlign w:val="center"/>
          </w:tcPr>
          <w:p w14:paraId="76D5611D" w14:textId="77777777" w:rsidR="00990B14" w:rsidRDefault="00000000">
            <w:pPr>
              <w:spacing w:before="20" w:after="20"/>
              <w:jc w:val="both"/>
            </w:pPr>
            <w:r>
              <w:rPr>
                <w:sz w:val="18"/>
                <w:szCs w:val="18"/>
              </w:rPr>
              <w:t>Interpretación</w:t>
            </w:r>
          </w:p>
        </w:tc>
        <w:tc>
          <w:tcPr>
            <w:tcW w:w="1805" w:type="dxa"/>
            <w:shd w:val="clear" w:color="auto" w:fill="D9E2F3"/>
            <w:vAlign w:val="center"/>
          </w:tcPr>
          <w:p w14:paraId="72FB8E04" w14:textId="77777777" w:rsidR="00990B14" w:rsidRDefault="00000000">
            <w:pPr>
              <w:spacing w:before="20" w:after="20"/>
              <w:jc w:val="both"/>
            </w:pPr>
            <w:r>
              <w:rPr>
                <w:sz w:val="18"/>
                <w:szCs w:val="18"/>
              </w:rPr>
              <w:t>No interpreta.</w:t>
            </w:r>
          </w:p>
        </w:tc>
        <w:tc>
          <w:tcPr>
            <w:tcW w:w="2113" w:type="dxa"/>
            <w:shd w:val="clear" w:color="auto" w:fill="D9E2F3"/>
            <w:vAlign w:val="center"/>
          </w:tcPr>
          <w:p w14:paraId="378432A7" w14:textId="77777777" w:rsidR="00990B14" w:rsidRDefault="00000000">
            <w:pPr>
              <w:spacing w:before="20" w:after="20"/>
              <w:jc w:val="both"/>
            </w:pPr>
            <w:r>
              <w:rPr>
                <w:sz w:val="18"/>
                <w:szCs w:val="18"/>
              </w:rPr>
              <w:t>Interpreta las excepciones.</w:t>
            </w:r>
          </w:p>
        </w:tc>
        <w:tc>
          <w:tcPr>
            <w:tcW w:w="1877" w:type="dxa"/>
            <w:shd w:val="clear" w:color="auto" w:fill="D9E2F3"/>
            <w:vAlign w:val="center"/>
          </w:tcPr>
          <w:p w14:paraId="65980C9A" w14:textId="77777777" w:rsidR="00990B14" w:rsidRDefault="00000000">
            <w:pPr>
              <w:spacing w:before="20" w:after="20"/>
              <w:jc w:val="both"/>
            </w:pPr>
            <w:r>
              <w:rPr>
                <w:sz w:val="18"/>
                <w:szCs w:val="18"/>
              </w:rPr>
              <w:t>Relaciona las excepciones con debilidades de control.</w:t>
            </w:r>
          </w:p>
        </w:tc>
      </w:tr>
      <w:tr w:rsidR="00990B14" w14:paraId="246078BD" w14:textId="77777777">
        <w:trPr>
          <w:cantSplit/>
          <w:jc w:val="center"/>
        </w:trPr>
        <w:tc>
          <w:tcPr>
            <w:tcW w:w="1490" w:type="dxa"/>
            <w:vMerge/>
            <w:shd w:val="clear" w:color="auto" w:fill="4472C4"/>
            <w:vAlign w:val="center"/>
          </w:tcPr>
          <w:p w14:paraId="4AA85BE2" w14:textId="77777777" w:rsidR="00990B14" w:rsidRDefault="00990B14">
            <w:pPr>
              <w:spacing w:before="20" w:after="20"/>
            </w:pPr>
          </w:p>
        </w:tc>
        <w:tc>
          <w:tcPr>
            <w:tcW w:w="6038" w:type="dxa"/>
            <w:gridSpan w:val="3"/>
            <w:shd w:val="clear" w:color="auto" w:fill="D9E2F3"/>
            <w:vAlign w:val="center"/>
          </w:tcPr>
          <w:p w14:paraId="37D9C5D1" w14:textId="77777777" w:rsidR="00990B14" w:rsidRDefault="00000000">
            <w:pPr>
              <w:keepNext/>
              <w:spacing w:before="20" w:after="20"/>
              <w:jc w:val="both"/>
            </w:pPr>
            <w:r>
              <w:rPr>
                <w:b/>
                <w:bCs/>
                <w:i/>
                <w:iCs/>
                <w:sz w:val="18"/>
                <w:szCs w:val="18"/>
              </w:rPr>
              <w:t xml:space="preserve">Producto 16: </w:t>
            </w:r>
            <w:r>
              <w:rPr>
                <w:sz w:val="18"/>
                <w:szCs w:val="18"/>
              </w:rPr>
              <w:t>Informe de evaluación del sistema contable</w:t>
            </w:r>
          </w:p>
        </w:tc>
        <w:tc>
          <w:tcPr>
            <w:tcW w:w="1877" w:type="dxa"/>
            <w:shd w:val="clear" w:color="auto" w:fill="D9E2F3"/>
            <w:vAlign w:val="center"/>
          </w:tcPr>
          <w:p w14:paraId="3886BF2A" w14:textId="77777777" w:rsidR="00990B14" w:rsidRDefault="00000000">
            <w:pPr>
              <w:spacing w:before="20" w:after="20"/>
              <w:jc w:val="center"/>
            </w:pPr>
            <w:r>
              <w:rPr>
                <w:b/>
                <w:bCs/>
                <w:sz w:val="18"/>
                <w:szCs w:val="18"/>
              </w:rPr>
              <w:t>8%</w:t>
            </w:r>
          </w:p>
        </w:tc>
      </w:tr>
      <w:tr w:rsidR="00990B14" w14:paraId="3933C306" w14:textId="77777777">
        <w:trPr>
          <w:cantSplit/>
          <w:jc w:val="center"/>
        </w:trPr>
        <w:tc>
          <w:tcPr>
            <w:tcW w:w="1490" w:type="dxa"/>
            <w:vMerge/>
            <w:shd w:val="clear" w:color="auto" w:fill="4472C4"/>
            <w:vAlign w:val="center"/>
          </w:tcPr>
          <w:p w14:paraId="2404B345" w14:textId="77777777" w:rsidR="00990B14" w:rsidRDefault="00990B14">
            <w:pPr>
              <w:spacing w:before="20" w:after="20"/>
            </w:pPr>
          </w:p>
        </w:tc>
        <w:tc>
          <w:tcPr>
            <w:tcW w:w="2120" w:type="dxa"/>
            <w:shd w:val="clear" w:color="auto" w:fill="4472C4"/>
            <w:vAlign w:val="center"/>
          </w:tcPr>
          <w:p w14:paraId="635E11EA" w14:textId="77777777" w:rsidR="00990B14" w:rsidRDefault="00000000">
            <w:pPr>
              <w:keepNext/>
              <w:spacing w:before="20" w:after="20"/>
              <w:jc w:val="center"/>
            </w:pPr>
            <w:r>
              <w:rPr>
                <w:b/>
                <w:bCs/>
                <w:i/>
                <w:iCs/>
                <w:color w:val="FFFFFF"/>
                <w:sz w:val="18"/>
                <w:szCs w:val="18"/>
              </w:rPr>
              <w:t>Criterio</w:t>
            </w:r>
          </w:p>
        </w:tc>
        <w:tc>
          <w:tcPr>
            <w:tcW w:w="1805" w:type="dxa"/>
            <w:shd w:val="clear" w:color="auto" w:fill="4472C4"/>
            <w:vAlign w:val="center"/>
          </w:tcPr>
          <w:p w14:paraId="2AE23286" w14:textId="77777777" w:rsidR="00990B14" w:rsidRDefault="00000000">
            <w:pPr>
              <w:keepNext/>
              <w:spacing w:before="20" w:after="20"/>
              <w:jc w:val="center"/>
            </w:pPr>
            <w:r>
              <w:rPr>
                <w:b/>
                <w:bCs/>
                <w:i/>
                <w:iCs/>
                <w:color w:val="FFFFFF"/>
                <w:sz w:val="18"/>
                <w:szCs w:val="18"/>
              </w:rPr>
              <w:t>Insuficiente (1–50)</w:t>
            </w:r>
          </w:p>
        </w:tc>
        <w:tc>
          <w:tcPr>
            <w:tcW w:w="2113" w:type="dxa"/>
            <w:shd w:val="clear" w:color="auto" w:fill="4472C4"/>
            <w:vAlign w:val="center"/>
          </w:tcPr>
          <w:p w14:paraId="42B90377"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4EC6BC54" w14:textId="77777777" w:rsidR="00990B14" w:rsidRDefault="00000000">
            <w:pPr>
              <w:keepNext/>
              <w:spacing w:before="20" w:after="20"/>
              <w:jc w:val="center"/>
            </w:pPr>
            <w:r>
              <w:rPr>
                <w:b/>
                <w:bCs/>
                <w:i/>
                <w:iCs/>
                <w:color w:val="FFFFFF"/>
                <w:sz w:val="18"/>
                <w:szCs w:val="18"/>
              </w:rPr>
              <w:t>Destacado (81–100)</w:t>
            </w:r>
          </w:p>
        </w:tc>
      </w:tr>
      <w:tr w:rsidR="00990B14" w14:paraId="74682AE0" w14:textId="77777777">
        <w:trPr>
          <w:cantSplit/>
          <w:jc w:val="center"/>
        </w:trPr>
        <w:tc>
          <w:tcPr>
            <w:tcW w:w="1490" w:type="dxa"/>
            <w:vMerge/>
            <w:shd w:val="clear" w:color="auto" w:fill="4472C4"/>
            <w:vAlign w:val="center"/>
          </w:tcPr>
          <w:p w14:paraId="11CD9539" w14:textId="77777777" w:rsidR="00990B14" w:rsidRDefault="00990B14">
            <w:pPr>
              <w:spacing w:before="20" w:after="20"/>
            </w:pPr>
          </w:p>
        </w:tc>
        <w:tc>
          <w:tcPr>
            <w:tcW w:w="2120" w:type="dxa"/>
            <w:shd w:val="clear" w:color="auto" w:fill="D9E2F3"/>
            <w:vAlign w:val="center"/>
          </w:tcPr>
          <w:p w14:paraId="16E26F98" w14:textId="77777777" w:rsidR="00990B14" w:rsidRDefault="00000000">
            <w:pPr>
              <w:spacing w:before="20" w:after="20"/>
              <w:jc w:val="both"/>
            </w:pPr>
            <w:r>
              <w:rPr>
                <w:sz w:val="18"/>
                <w:szCs w:val="18"/>
              </w:rPr>
              <w:t>Hallazgos</w:t>
            </w:r>
          </w:p>
        </w:tc>
        <w:tc>
          <w:tcPr>
            <w:tcW w:w="1805" w:type="dxa"/>
            <w:shd w:val="clear" w:color="auto" w:fill="D9E2F3"/>
            <w:vAlign w:val="center"/>
          </w:tcPr>
          <w:p w14:paraId="07DFE36D" w14:textId="77777777" w:rsidR="00990B14" w:rsidRDefault="00000000">
            <w:pPr>
              <w:spacing w:before="20" w:after="20"/>
              <w:jc w:val="both"/>
            </w:pPr>
            <w:r>
              <w:rPr>
                <w:sz w:val="18"/>
                <w:szCs w:val="18"/>
              </w:rPr>
              <w:t>Los hallazgos carecen de sustento.</w:t>
            </w:r>
          </w:p>
        </w:tc>
        <w:tc>
          <w:tcPr>
            <w:tcW w:w="2113" w:type="dxa"/>
            <w:shd w:val="clear" w:color="auto" w:fill="D9E2F3"/>
            <w:vAlign w:val="center"/>
          </w:tcPr>
          <w:p w14:paraId="332491D5" w14:textId="77777777" w:rsidR="00990B14" w:rsidRDefault="00000000">
            <w:pPr>
              <w:spacing w:before="20" w:after="20"/>
              <w:jc w:val="both"/>
            </w:pPr>
            <w:r>
              <w:rPr>
                <w:sz w:val="18"/>
                <w:szCs w:val="18"/>
              </w:rPr>
              <w:t>Los hallazgos están sustentados.</w:t>
            </w:r>
          </w:p>
        </w:tc>
        <w:tc>
          <w:tcPr>
            <w:tcW w:w="1877" w:type="dxa"/>
            <w:shd w:val="clear" w:color="auto" w:fill="D9E2F3"/>
            <w:vAlign w:val="center"/>
          </w:tcPr>
          <w:p w14:paraId="1CFB6BED" w14:textId="77777777" w:rsidR="00990B14" w:rsidRDefault="00000000">
            <w:pPr>
              <w:spacing w:before="20" w:after="20"/>
              <w:jc w:val="both"/>
            </w:pPr>
            <w:r>
              <w:rPr>
                <w:sz w:val="18"/>
                <w:szCs w:val="18"/>
              </w:rPr>
              <w:t>Cuantifica el efecto de los hallazgos.</w:t>
            </w:r>
          </w:p>
        </w:tc>
      </w:tr>
      <w:tr w:rsidR="00990B14" w14:paraId="4C4ECDB3" w14:textId="77777777">
        <w:trPr>
          <w:cantSplit/>
          <w:jc w:val="center"/>
        </w:trPr>
        <w:tc>
          <w:tcPr>
            <w:tcW w:w="1490" w:type="dxa"/>
            <w:vMerge/>
            <w:shd w:val="clear" w:color="auto" w:fill="4472C4"/>
            <w:vAlign w:val="center"/>
          </w:tcPr>
          <w:p w14:paraId="5B41D407" w14:textId="77777777" w:rsidR="00990B14" w:rsidRDefault="00990B14">
            <w:pPr>
              <w:spacing w:before="20" w:after="20"/>
            </w:pPr>
          </w:p>
        </w:tc>
        <w:tc>
          <w:tcPr>
            <w:tcW w:w="2120" w:type="dxa"/>
            <w:shd w:val="clear" w:color="auto" w:fill="D9E2F3"/>
            <w:vAlign w:val="center"/>
          </w:tcPr>
          <w:p w14:paraId="076FE5BD" w14:textId="77777777" w:rsidR="00990B14" w:rsidRDefault="00000000">
            <w:pPr>
              <w:spacing w:before="20" w:after="20"/>
              <w:jc w:val="both"/>
            </w:pPr>
            <w:r>
              <w:rPr>
                <w:sz w:val="18"/>
                <w:szCs w:val="18"/>
              </w:rPr>
              <w:t>Recomendaciones</w:t>
            </w:r>
          </w:p>
        </w:tc>
        <w:tc>
          <w:tcPr>
            <w:tcW w:w="1805" w:type="dxa"/>
            <w:shd w:val="clear" w:color="auto" w:fill="D9E2F3"/>
            <w:vAlign w:val="center"/>
          </w:tcPr>
          <w:p w14:paraId="6ACD4B4A" w14:textId="77777777" w:rsidR="00990B14" w:rsidRDefault="00000000">
            <w:pPr>
              <w:spacing w:before="20" w:after="20"/>
              <w:jc w:val="both"/>
            </w:pPr>
            <w:r>
              <w:rPr>
                <w:sz w:val="18"/>
                <w:szCs w:val="18"/>
              </w:rPr>
              <w:t>Son vagas.</w:t>
            </w:r>
          </w:p>
        </w:tc>
        <w:tc>
          <w:tcPr>
            <w:tcW w:w="2113" w:type="dxa"/>
            <w:shd w:val="clear" w:color="auto" w:fill="D9E2F3"/>
            <w:vAlign w:val="center"/>
          </w:tcPr>
          <w:p w14:paraId="60CE4899" w14:textId="77777777" w:rsidR="00990B14" w:rsidRDefault="00000000">
            <w:pPr>
              <w:spacing w:before="20" w:after="20"/>
              <w:jc w:val="both"/>
            </w:pPr>
            <w:r>
              <w:rPr>
                <w:sz w:val="18"/>
                <w:szCs w:val="18"/>
              </w:rPr>
              <w:t>Atacan la causa de cada hallazgo.</w:t>
            </w:r>
          </w:p>
        </w:tc>
        <w:tc>
          <w:tcPr>
            <w:tcW w:w="1877" w:type="dxa"/>
            <w:shd w:val="clear" w:color="auto" w:fill="D9E2F3"/>
            <w:vAlign w:val="center"/>
          </w:tcPr>
          <w:p w14:paraId="64C3F304" w14:textId="77777777" w:rsidR="00990B14" w:rsidRDefault="00000000">
            <w:pPr>
              <w:spacing w:before="20" w:after="20"/>
              <w:jc w:val="both"/>
            </w:pPr>
            <w:r>
              <w:rPr>
                <w:sz w:val="18"/>
                <w:szCs w:val="18"/>
              </w:rPr>
              <w:t>Son viables y priorizadas.</w:t>
            </w:r>
          </w:p>
        </w:tc>
      </w:tr>
      <w:tr w:rsidR="00990B14" w14:paraId="29D59193" w14:textId="77777777">
        <w:trPr>
          <w:cantSplit/>
          <w:jc w:val="center"/>
        </w:trPr>
        <w:tc>
          <w:tcPr>
            <w:tcW w:w="1490" w:type="dxa"/>
            <w:vMerge/>
            <w:shd w:val="clear" w:color="auto" w:fill="4472C4"/>
            <w:vAlign w:val="center"/>
          </w:tcPr>
          <w:p w14:paraId="06361F6D" w14:textId="77777777" w:rsidR="00990B14" w:rsidRDefault="00990B14">
            <w:pPr>
              <w:spacing w:before="20" w:after="20"/>
            </w:pPr>
          </w:p>
        </w:tc>
        <w:tc>
          <w:tcPr>
            <w:tcW w:w="2120" w:type="dxa"/>
            <w:shd w:val="clear" w:color="auto" w:fill="D9E2F3"/>
            <w:vAlign w:val="center"/>
          </w:tcPr>
          <w:p w14:paraId="65605271" w14:textId="77777777" w:rsidR="00990B14" w:rsidRDefault="00000000">
            <w:pPr>
              <w:spacing w:before="20" w:after="20"/>
              <w:jc w:val="both"/>
            </w:pPr>
            <w:r>
              <w:rPr>
                <w:sz w:val="18"/>
                <w:szCs w:val="18"/>
              </w:rPr>
              <w:t>Uso de inteligencia artificial</w:t>
            </w:r>
          </w:p>
        </w:tc>
        <w:tc>
          <w:tcPr>
            <w:tcW w:w="1805" w:type="dxa"/>
            <w:shd w:val="clear" w:color="auto" w:fill="D9E2F3"/>
            <w:vAlign w:val="center"/>
          </w:tcPr>
          <w:p w14:paraId="3B479B95" w14:textId="77777777" w:rsidR="00990B14" w:rsidRDefault="00000000">
            <w:pPr>
              <w:spacing w:before="20" w:after="20"/>
              <w:jc w:val="both"/>
            </w:pPr>
            <w:r>
              <w:rPr>
                <w:sz w:val="18"/>
                <w:szCs w:val="18"/>
              </w:rPr>
              <w:t>No declara su uso.</w:t>
            </w:r>
          </w:p>
        </w:tc>
        <w:tc>
          <w:tcPr>
            <w:tcW w:w="2113" w:type="dxa"/>
            <w:shd w:val="clear" w:color="auto" w:fill="D9E2F3"/>
            <w:vAlign w:val="center"/>
          </w:tcPr>
          <w:p w14:paraId="45287780" w14:textId="77777777" w:rsidR="00990B14" w:rsidRDefault="00000000">
            <w:pPr>
              <w:spacing w:before="20" w:after="20"/>
              <w:jc w:val="both"/>
            </w:pPr>
            <w:r>
              <w:rPr>
                <w:sz w:val="18"/>
                <w:szCs w:val="18"/>
              </w:rPr>
              <w:t>Declara y supervisa el uso de herramientas de inteligencia artificial.</w:t>
            </w:r>
          </w:p>
        </w:tc>
        <w:tc>
          <w:tcPr>
            <w:tcW w:w="1877" w:type="dxa"/>
            <w:shd w:val="clear" w:color="auto" w:fill="D9E2F3"/>
            <w:vAlign w:val="center"/>
          </w:tcPr>
          <w:p w14:paraId="3C7D3135" w14:textId="77777777" w:rsidR="00990B14" w:rsidRDefault="00000000">
            <w:pPr>
              <w:spacing w:before="20" w:after="20"/>
              <w:jc w:val="both"/>
            </w:pPr>
            <w:r>
              <w:rPr>
                <w:sz w:val="18"/>
                <w:szCs w:val="18"/>
              </w:rPr>
              <w:t>Documenta la verificación de sus resultados.</w:t>
            </w:r>
          </w:p>
        </w:tc>
      </w:tr>
      <w:tr w:rsidR="00990B14" w14:paraId="463DFCA7" w14:textId="77777777">
        <w:trPr>
          <w:cantSplit/>
          <w:jc w:val="center"/>
        </w:trPr>
        <w:tc>
          <w:tcPr>
            <w:tcW w:w="1490" w:type="dxa"/>
            <w:vMerge/>
            <w:shd w:val="clear" w:color="auto" w:fill="4472C4"/>
            <w:vAlign w:val="center"/>
          </w:tcPr>
          <w:p w14:paraId="013E8DA5" w14:textId="77777777" w:rsidR="00990B14" w:rsidRDefault="00990B14">
            <w:pPr>
              <w:spacing w:before="20" w:after="20"/>
            </w:pPr>
          </w:p>
        </w:tc>
        <w:tc>
          <w:tcPr>
            <w:tcW w:w="6038" w:type="dxa"/>
            <w:gridSpan w:val="3"/>
            <w:shd w:val="clear" w:color="auto" w:fill="D9E2F3"/>
            <w:vAlign w:val="center"/>
          </w:tcPr>
          <w:p w14:paraId="57CCB33B" w14:textId="77777777" w:rsidR="00990B14" w:rsidRDefault="00000000">
            <w:pPr>
              <w:keepNext/>
              <w:spacing w:before="20" w:after="20"/>
              <w:jc w:val="both"/>
            </w:pPr>
            <w:r>
              <w:rPr>
                <w:b/>
                <w:bCs/>
                <w:i/>
                <w:iCs/>
                <w:sz w:val="18"/>
                <w:szCs w:val="18"/>
              </w:rPr>
              <w:t xml:space="preserve">Producto 17: </w:t>
            </w:r>
            <w:r>
              <w:rPr>
                <w:sz w:val="18"/>
                <w:szCs w:val="18"/>
              </w:rPr>
              <w:t>Diagrama del flujo real del proceso</w:t>
            </w:r>
          </w:p>
        </w:tc>
        <w:tc>
          <w:tcPr>
            <w:tcW w:w="1877" w:type="dxa"/>
            <w:shd w:val="clear" w:color="auto" w:fill="D9E2F3"/>
            <w:vAlign w:val="center"/>
          </w:tcPr>
          <w:p w14:paraId="6304B26D" w14:textId="77777777" w:rsidR="00990B14" w:rsidRDefault="00000000">
            <w:pPr>
              <w:spacing w:before="20" w:after="20"/>
              <w:jc w:val="center"/>
            </w:pPr>
            <w:r>
              <w:rPr>
                <w:b/>
                <w:bCs/>
                <w:sz w:val="18"/>
                <w:szCs w:val="18"/>
              </w:rPr>
              <w:t>7%</w:t>
            </w:r>
          </w:p>
        </w:tc>
      </w:tr>
      <w:tr w:rsidR="00990B14" w14:paraId="77D10CC6" w14:textId="77777777">
        <w:trPr>
          <w:cantSplit/>
          <w:jc w:val="center"/>
        </w:trPr>
        <w:tc>
          <w:tcPr>
            <w:tcW w:w="1490" w:type="dxa"/>
            <w:vMerge/>
            <w:shd w:val="clear" w:color="auto" w:fill="4472C4"/>
            <w:vAlign w:val="center"/>
          </w:tcPr>
          <w:p w14:paraId="53127293" w14:textId="77777777" w:rsidR="00990B14" w:rsidRDefault="00990B14">
            <w:pPr>
              <w:spacing w:before="20" w:after="20"/>
            </w:pPr>
          </w:p>
        </w:tc>
        <w:tc>
          <w:tcPr>
            <w:tcW w:w="2120" w:type="dxa"/>
            <w:shd w:val="clear" w:color="auto" w:fill="4472C4"/>
            <w:vAlign w:val="center"/>
          </w:tcPr>
          <w:p w14:paraId="05C25E6D" w14:textId="77777777" w:rsidR="00990B14" w:rsidRDefault="00000000">
            <w:pPr>
              <w:keepNext/>
              <w:spacing w:before="20" w:after="20"/>
              <w:jc w:val="center"/>
            </w:pPr>
            <w:r>
              <w:rPr>
                <w:b/>
                <w:bCs/>
                <w:i/>
                <w:iCs/>
                <w:color w:val="FFFFFF"/>
                <w:sz w:val="18"/>
                <w:szCs w:val="18"/>
              </w:rPr>
              <w:t>Criterio</w:t>
            </w:r>
          </w:p>
        </w:tc>
        <w:tc>
          <w:tcPr>
            <w:tcW w:w="1805" w:type="dxa"/>
            <w:shd w:val="clear" w:color="auto" w:fill="4472C4"/>
            <w:vAlign w:val="center"/>
          </w:tcPr>
          <w:p w14:paraId="0CAD3A17" w14:textId="77777777" w:rsidR="00990B14" w:rsidRDefault="00000000">
            <w:pPr>
              <w:keepNext/>
              <w:spacing w:before="20" w:after="20"/>
              <w:jc w:val="center"/>
            </w:pPr>
            <w:r>
              <w:rPr>
                <w:b/>
                <w:bCs/>
                <w:i/>
                <w:iCs/>
                <w:color w:val="FFFFFF"/>
                <w:sz w:val="18"/>
                <w:szCs w:val="18"/>
              </w:rPr>
              <w:t>Insuficiente (1–50)</w:t>
            </w:r>
          </w:p>
        </w:tc>
        <w:tc>
          <w:tcPr>
            <w:tcW w:w="2113" w:type="dxa"/>
            <w:shd w:val="clear" w:color="auto" w:fill="4472C4"/>
            <w:vAlign w:val="center"/>
          </w:tcPr>
          <w:p w14:paraId="6C9A4A90"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762B57B7" w14:textId="77777777" w:rsidR="00990B14" w:rsidRDefault="00000000">
            <w:pPr>
              <w:keepNext/>
              <w:spacing w:before="20" w:after="20"/>
              <w:jc w:val="center"/>
            </w:pPr>
            <w:r>
              <w:rPr>
                <w:b/>
                <w:bCs/>
                <w:i/>
                <w:iCs/>
                <w:color w:val="FFFFFF"/>
                <w:sz w:val="18"/>
                <w:szCs w:val="18"/>
              </w:rPr>
              <w:t>Destacado (81–100)</w:t>
            </w:r>
          </w:p>
        </w:tc>
      </w:tr>
      <w:tr w:rsidR="00990B14" w14:paraId="27F01D1E" w14:textId="77777777">
        <w:trPr>
          <w:cantSplit/>
          <w:jc w:val="center"/>
        </w:trPr>
        <w:tc>
          <w:tcPr>
            <w:tcW w:w="1490" w:type="dxa"/>
            <w:vMerge/>
            <w:shd w:val="clear" w:color="auto" w:fill="4472C4"/>
            <w:vAlign w:val="center"/>
          </w:tcPr>
          <w:p w14:paraId="29E40D87" w14:textId="77777777" w:rsidR="00990B14" w:rsidRDefault="00990B14">
            <w:pPr>
              <w:spacing w:before="20" w:after="20"/>
            </w:pPr>
          </w:p>
        </w:tc>
        <w:tc>
          <w:tcPr>
            <w:tcW w:w="2120" w:type="dxa"/>
            <w:shd w:val="clear" w:color="auto" w:fill="D9E2F3"/>
            <w:vAlign w:val="center"/>
          </w:tcPr>
          <w:p w14:paraId="2CE7C8CA" w14:textId="77777777" w:rsidR="00990B14" w:rsidRDefault="00000000">
            <w:pPr>
              <w:spacing w:before="20" w:after="20"/>
              <w:jc w:val="both"/>
            </w:pPr>
            <w:r>
              <w:rPr>
                <w:sz w:val="18"/>
                <w:szCs w:val="18"/>
              </w:rPr>
              <w:t>Registro de eventos</w:t>
            </w:r>
          </w:p>
        </w:tc>
        <w:tc>
          <w:tcPr>
            <w:tcW w:w="1805" w:type="dxa"/>
            <w:shd w:val="clear" w:color="auto" w:fill="D9E2F3"/>
            <w:vAlign w:val="center"/>
          </w:tcPr>
          <w:p w14:paraId="530EB191" w14:textId="77777777" w:rsidR="00990B14" w:rsidRDefault="00000000">
            <w:pPr>
              <w:spacing w:before="20" w:after="20"/>
              <w:jc w:val="both"/>
            </w:pPr>
            <w:r>
              <w:rPr>
                <w:sz w:val="18"/>
                <w:szCs w:val="18"/>
              </w:rPr>
              <w:t>El registro está incompleto.</w:t>
            </w:r>
          </w:p>
        </w:tc>
        <w:tc>
          <w:tcPr>
            <w:tcW w:w="2113" w:type="dxa"/>
            <w:shd w:val="clear" w:color="auto" w:fill="D9E2F3"/>
            <w:vAlign w:val="center"/>
          </w:tcPr>
          <w:p w14:paraId="75BEECC0" w14:textId="77777777" w:rsidR="00990B14" w:rsidRDefault="00000000">
            <w:pPr>
              <w:spacing w:before="20" w:after="20"/>
              <w:jc w:val="both"/>
            </w:pPr>
            <w:r>
              <w:rPr>
                <w:sz w:val="18"/>
                <w:szCs w:val="18"/>
              </w:rPr>
              <w:t>Prepara el registro con caso, actividad y fecha.</w:t>
            </w:r>
          </w:p>
        </w:tc>
        <w:tc>
          <w:tcPr>
            <w:tcW w:w="1877" w:type="dxa"/>
            <w:shd w:val="clear" w:color="auto" w:fill="D9E2F3"/>
            <w:vAlign w:val="center"/>
          </w:tcPr>
          <w:p w14:paraId="388D833A" w14:textId="77777777" w:rsidR="00990B14" w:rsidRDefault="00000000">
            <w:pPr>
              <w:spacing w:before="20" w:after="20"/>
              <w:jc w:val="both"/>
            </w:pPr>
            <w:r>
              <w:rPr>
                <w:sz w:val="18"/>
                <w:szCs w:val="18"/>
              </w:rPr>
              <w:t>Verifica la integridad del registro.</w:t>
            </w:r>
          </w:p>
        </w:tc>
      </w:tr>
      <w:tr w:rsidR="00990B14" w14:paraId="32B09E1E" w14:textId="77777777">
        <w:trPr>
          <w:cantSplit/>
          <w:jc w:val="center"/>
        </w:trPr>
        <w:tc>
          <w:tcPr>
            <w:tcW w:w="1490" w:type="dxa"/>
            <w:vMerge/>
            <w:shd w:val="clear" w:color="auto" w:fill="4472C4"/>
            <w:vAlign w:val="center"/>
          </w:tcPr>
          <w:p w14:paraId="4199C198" w14:textId="77777777" w:rsidR="00990B14" w:rsidRDefault="00990B14">
            <w:pPr>
              <w:spacing w:before="20" w:after="20"/>
            </w:pPr>
          </w:p>
        </w:tc>
        <w:tc>
          <w:tcPr>
            <w:tcW w:w="2120" w:type="dxa"/>
            <w:shd w:val="clear" w:color="auto" w:fill="D9E2F3"/>
            <w:vAlign w:val="center"/>
          </w:tcPr>
          <w:p w14:paraId="42A4B8D0" w14:textId="77777777" w:rsidR="00990B14" w:rsidRDefault="00000000">
            <w:pPr>
              <w:spacing w:before="20" w:after="20"/>
              <w:jc w:val="both"/>
            </w:pPr>
            <w:r>
              <w:rPr>
                <w:sz w:val="18"/>
                <w:szCs w:val="18"/>
              </w:rPr>
              <w:t>Flujo real</w:t>
            </w:r>
          </w:p>
        </w:tc>
        <w:tc>
          <w:tcPr>
            <w:tcW w:w="1805" w:type="dxa"/>
            <w:shd w:val="clear" w:color="auto" w:fill="D9E2F3"/>
            <w:vAlign w:val="center"/>
          </w:tcPr>
          <w:p w14:paraId="4452E02D" w14:textId="77777777" w:rsidR="00990B14" w:rsidRDefault="00000000">
            <w:pPr>
              <w:spacing w:before="20" w:after="20"/>
              <w:jc w:val="both"/>
            </w:pPr>
            <w:r>
              <w:rPr>
                <w:sz w:val="18"/>
                <w:szCs w:val="18"/>
              </w:rPr>
              <w:t>No reconstruye el flujo.</w:t>
            </w:r>
          </w:p>
        </w:tc>
        <w:tc>
          <w:tcPr>
            <w:tcW w:w="2113" w:type="dxa"/>
            <w:shd w:val="clear" w:color="auto" w:fill="D9E2F3"/>
            <w:vAlign w:val="center"/>
          </w:tcPr>
          <w:p w14:paraId="3A6EE54E" w14:textId="77777777" w:rsidR="00990B14" w:rsidRDefault="00000000">
            <w:pPr>
              <w:spacing w:before="20" w:after="20"/>
              <w:jc w:val="both"/>
            </w:pPr>
            <w:r>
              <w:rPr>
                <w:sz w:val="18"/>
                <w:szCs w:val="18"/>
              </w:rPr>
              <w:t>Reconstruye el flujo real del proceso.</w:t>
            </w:r>
          </w:p>
        </w:tc>
        <w:tc>
          <w:tcPr>
            <w:tcW w:w="1877" w:type="dxa"/>
            <w:shd w:val="clear" w:color="auto" w:fill="D9E2F3"/>
            <w:vAlign w:val="center"/>
          </w:tcPr>
          <w:p w14:paraId="4B5FBBB3" w14:textId="77777777" w:rsidR="00990B14" w:rsidRDefault="00000000">
            <w:pPr>
              <w:spacing w:before="20" w:after="20"/>
              <w:jc w:val="both"/>
            </w:pPr>
            <w:r>
              <w:rPr>
                <w:sz w:val="18"/>
                <w:szCs w:val="18"/>
              </w:rPr>
              <w:t>Compara el flujo real con el diseñado.</w:t>
            </w:r>
          </w:p>
        </w:tc>
      </w:tr>
      <w:tr w:rsidR="00990B14" w14:paraId="6C7B258E" w14:textId="77777777">
        <w:trPr>
          <w:cantSplit/>
          <w:jc w:val="center"/>
        </w:trPr>
        <w:tc>
          <w:tcPr>
            <w:tcW w:w="1490" w:type="dxa"/>
            <w:vMerge/>
            <w:shd w:val="clear" w:color="auto" w:fill="4472C4"/>
            <w:vAlign w:val="center"/>
          </w:tcPr>
          <w:p w14:paraId="3CAEA171" w14:textId="77777777" w:rsidR="00990B14" w:rsidRDefault="00990B14">
            <w:pPr>
              <w:spacing w:before="20" w:after="20"/>
            </w:pPr>
          </w:p>
        </w:tc>
        <w:tc>
          <w:tcPr>
            <w:tcW w:w="2120" w:type="dxa"/>
            <w:shd w:val="clear" w:color="auto" w:fill="D9E2F3"/>
            <w:vAlign w:val="center"/>
          </w:tcPr>
          <w:p w14:paraId="12743CE7" w14:textId="77777777" w:rsidR="00990B14" w:rsidRDefault="00000000">
            <w:pPr>
              <w:spacing w:before="20" w:after="20"/>
              <w:jc w:val="both"/>
            </w:pPr>
            <w:r>
              <w:rPr>
                <w:sz w:val="18"/>
                <w:szCs w:val="18"/>
              </w:rPr>
              <w:t>Desviaciones</w:t>
            </w:r>
          </w:p>
        </w:tc>
        <w:tc>
          <w:tcPr>
            <w:tcW w:w="1805" w:type="dxa"/>
            <w:shd w:val="clear" w:color="auto" w:fill="D9E2F3"/>
            <w:vAlign w:val="center"/>
          </w:tcPr>
          <w:p w14:paraId="10511D06" w14:textId="77777777" w:rsidR="00990B14" w:rsidRDefault="00000000">
            <w:pPr>
              <w:spacing w:before="20" w:after="20"/>
              <w:jc w:val="both"/>
            </w:pPr>
            <w:r>
              <w:rPr>
                <w:sz w:val="18"/>
                <w:szCs w:val="18"/>
              </w:rPr>
              <w:t>No las identifica.</w:t>
            </w:r>
          </w:p>
        </w:tc>
        <w:tc>
          <w:tcPr>
            <w:tcW w:w="2113" w:type="dxa"/>
            <w:shd w:val="clear" w:color="auto" w:fill="D9E2F3"/>
            <w:vAlign w:val="center"/>
          </w:tcPr>
          <w:p w14:paraId="12D31E03" w14:textId="77777777" w:rsidR="00990B14" w:rsidRDefault="00000000">
            <w:pPr>
              <w:spacing w:before="20" w:after="20"/>
              <w:jc w:val="both"/>
            </w:pPr>
            <w:r>
              <w:rPr>
                <w:sz w:val="18"/>
                <w:szCs w:val="18"/>
              </w:rPr>
              <w:t>Identifica las desviaciones.</w:t>
            </w:r>
          </w:p>
        </w:tc>
        <w:tc>
          <w:tcPr>
            <w:tcW w:w="1877" w:type="dxa"/>
            <w:shd w:val="clear" w:color="auto" w:fill="D9E2F3"/>
            <w:vAlign w:val="center"/>
          </w:tcPr>
          <w:p w14:paraId="483320B9" w14:textId="77777777" w:rsidR="00990B14" w:rsidRDefault="00000000">
            <w:pPr>
              <w:spacing w:before="20" w:after="20"/>
              <w:jc w:val="both"/>
            </w:pPr>
            <w:r>
              <w:rPr>
                <w:sz w:val="18"/>
                <w:szCs w:val="18"/>
              </w:rPr>
              <w:t>Valora el riesgo de cada desviación.</w:t>
            </w:r>
          </w:p>
        </w:tc>
      </w:tr>
      <w:tr w:rsidR="00990B14" w14:paraId="7D6834DA" w14:textId="77777777">
        <w:trPr>
          <w:cantSplit/>
          <w:jc w:val="center"/>
        </w:trPr>
        <w:tc>
          <w:tcPr>
            <w:tcW w:w="1490" w:type="dxa"/>
            <w:vMerge/>
            <w:shd w:val="clear" w:color="auto" w:fill="4472C4"/>
            <w:vAlign w:val="center"/>
          </w:tcPr>
          <w:p w14:paraId="4B5CBC4F" w14:textId="77777777" w:rsidR="00990B14" w:rsidRDefault="00990B14">
            <w:pPr>
              <w:spacing w:before="20" w:after="20"/>
            </w:pPr>
          </w:p>
        </w:tc>
        <w:tc>
          <w:tcPr>
            <w:tcW w:w="6038" w:type="dxa"/>
            <w:gridSpan w:val="3"/>
            <w:shd w:val="clear" w:color="auto" w:fill="D9E2F3"/>
            <w:vAlign w:val="center"/>
          </w:tcPr>
          <w:p w14:paraId="3FB10920" w14:textId="77777777" w:rsidR="00990B14" w:rsidRDefault="00000000">
            <w:pPr>
              <w:keepNext/>
              <w:spacing w:before="20" w:after="20"/>
              <w:jc w:val="both"/>
            </w:pPr>
            <w:r>
              <w:rPr>
                <w:b/>
                <w:bCs/>
                <w:i/>
                <w:iCs/>
                <w:sz w:val="18"/>
                <w:szCs w:val="18"/>
              </w:rPr>
              <w:t xml:space="preserve">Producto 18: </w:t>
            </w:r>
            <w:r>
              <w:rPr>
                <w:sz w:val="18"/>
                <w:szCs w:val="18"/>
              </w:rPr>
              <w:t>Matriz de controles de automatización</w:t>
            </w:r>
          </w:p>
        </w:tc>
        <w:tc>
          <w:tcPr>
            <w:tcW w:w="1877" w:type="dxa"/>
            <w:shd w:val="clear" w:color="auto" w:fill="D9E2F3"/>
            <w:vAlign w:val="center"/>
          </w:tcPr>
          <w:p w14:paraId="05B7F615" w14:textId="77777777" w:rsidR="00990B14" w:rsidRDefault="00000000">
            <w:pPr>
              <w:spacing w:before="20" w:after="20"/>
              <w:jc w:val="center"/>
            </w:pPr>
            <w:r>
              <w:rPr>
                <w:b/>
                <w:bCs/>
                <w:sz w:val="18"/>
                <w:szCs w:val="18"/>
              </w:rPr>
              <w:t>5%</w:t>
            </w:r>
          </w:p>
        </w:tc>
      </w:tr>
      <w:tr w:rsidR="00990B14" w14:paraId="2CEBB488" w14:textId="77777777">
        <w:trPr>
          <w:cantSplit/>
          <w:jc w:val="center"/>
        </w:trPr>
        <w:tc>
          <w:tcPr>
            <w:tcW w:w="1490" w:type="dxa"/>
            <w:vMerge/>
            <w:shd w:val="clear" w:color="auto" w:fill="4472C4"/>
            <w:vAlign w:val="center"/>
          </w:tcPr>
          <w:p w14:paraId="21C09C5D" w14:textId="77777777" w:rsidR="00990B14" w:rsidRDefault="00990B14">
            <w:pPr>
              <w:spacing w:before="20" w:after="20"/>
            </w:pPr>
          </w:p>
        </w:tc>
        <w:tc>
          <w:tcPr>
            <w:tcW w:w="2120" w:type="dxa"/>
            <w:shd w:val="clear" w:color="auto" w:fill="4472C4"/>
            <w:vAlign w:val="center"/>
          </w:tcPr>
          <w:p w14:paraId="753B575A" w14:textId="77777777" w:rsidR="00990B14" w:rsidRDefault="00000000">
            <w:pPr>
              <w:keepNext/>
              <w:spacing w:before="20" w:after="20"/>
              <w:jc w:val="center"/>
            </w:pPr>
            <w:r>
              <w:rPr>
                <w:b/>
                <w:bCs/>
                <w:i/>
                <w:iCs/>
                <w:color w:val="FFFFFF"/>
                <w:sz w:val="18"/>
                <w:szCs w:val="18"/>
              </w:rPr>
              <w:t>Criterio</w:t>
            </w:r>
          </w:p>
        </w:tc>
        <w:tc>
          <w:tcPr>
            <w:tcW w:w="1805" w:type="dxa"/>
            <w:shd w:val="clear" w:color="auto" w:fill="4472C4"/>
            <w:vAlign w:val="center"/>
          </w:tcPr>
          <w:p w14:paraId="0093010C" w14:textId="77777777" w:rsidR="00990B14" w:rsidRDefault="00000000">
            <w:pPr>
              <w:keepNext/>
              <w:spacing w:before="20" w:after="20"/>
              <w:jc w:val="center"/>
            </w:pPr>
            <w:r>
              <w:rPr>
                <w:b/>
                <w:bCs/>
                <w:i/>
                <w:iCs/>
                <w:color w:val="FFFFFF"/>
                <w:sz w:val="18"/>
                <w:szCs w:val="18"/>
              </w:rPr>
              <w:t>Insuficiente (1–50)</w:t>
            </w:r>
          </w:p>
        </w:tc>
        <w:tc>
          <w:tcPr>
            <w:tcW w:w="2113" w:type="dxa"/>
            <w:shd w:val="clear" w:color="auto" w:fill="4472C4"/>
            <w:vAlign w:val="center"/>
          </w:tcPr>
          <w:p w14:paraId="229BEBD3"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52B2B58D" w14:textId="77777777" w:rsidR="00990B14" w:rsidRDefault="00000000">
            <w:pPr>
              <w:keepNext/>
              <w:spacing w:before="20" w:after="20"/>
              <w:jc w:val="center"/>
            </w:pPr>
            <w:r>
              <w:rPr>
                <w:b/>
                <w:bCs/>
                <w:i/>
                <w:iCs/>
                <w:color w:val="FFFFFF"/>
                <w:sz w:val="18"/>
                <w:szCs w:val="18"/>
              </w:rPr>
              <w:t>Destacado (81–100)</w:t>
            </w:r>
          </w:p>
        </w:tc>
      </w:tr>
      <w:tr w:rsidR="00990B14" w14:paraId="3B0FEB85" w14:textId="77777777">
        <w:trPr>
          <w:cantSplit/>
          <w:jc w:val="center"/>
        </w:trPr>
        <w:tc>
          <w:tcPr>
            <w:tcW w:w="1490" w:type="dxa"/>
            <w:vMerge/>
            <w:shd w:val="clear" w:color="auto" w:fill="4472C4"/>
            <w:vAlign w:val="center"/>
          </w:tcPr>
          <w:p w14:paraId="6979A084" w14:textId="77777777" w:rsidR="00990B14" w:rsidRDefault="00990B14">
            <w:pPr>
              <w:spacing w:before="20" w:after="20"/>
            </w:pPr>
          </w:p>
        </w:tc>
        <w:tc>
          <w:tcPr>
            <w:tcW w:w="2120" w:type="dxa"/>
            <w:shd w:val="clear" w:color="auto" w:fill="D9E2F3"/>
            <w:vAlign w:val="center"/>
          </w:tcPr>
          <w:p w14:paraId="7A0FE35B" w14:textId="77777777" w:rsidR="00990B14" w:rsidRDefault="00000000">
            <w:pPr>
              <w:spacing w:before="20" w:after="20"/>
              <w:jc w:val="both"/>
            </w:pPr>
            <w:r>
              <w:rPr>
                <w:sz w:val="18"/>
                <w:szCs w:val="18"/>
              </w:rPr>
              <w:t>Riesgos</w:t>
            </w:r>
          </w:p>
        </w:tc>
        <w:tc>
          <w:tcPr>
            <w:tcW w:w="1805" w:type="dxa"/>
            <w:shd w:val="clear" w:color="auto" w:fill="D9E2F3"/>
            <w:vAlign w:val="center"/>
          </w:tcPr>
          <w:p w14:paraId="4E92207B" w14:textId="77777777" w:rsidR="00990B14" w:rsidRDefault="00000000">
            <w:pPr>
              <w:spacing w:before="20" w:after="20"/>
              <w:jc w:val="both"/>
            </w:pPr>
            <w:r>
              <w:rPr>
                <w:sz w:val="18"/>
                <w:szCs w:val="18"/>
              </w:rPr>
              <w:t>Omite riesgos.</w:t>
            </w:r>
          </w:p>
        </w:tc>
        <w:tc>
          <w:tcPr>
            <w:tcW w:w="2113" w:type="dxa"/>
            <w:shd w:val="clear" w:color="auto" w:fill="D9E2F3"/>
            <w:vAlign w:val="center"/>
          </w:tcPr>
          <w:p w14:paraId="56F4E36D" w14:textId="77777777" w:rsidR="00990B14" w:rsidRDefault="00000000">
            <w:pPr>
              <w:spacing w:before="20" w:after="20"/>
              <w:jc w:val="both"/>
            </w:pPr>
            <w:r>
              <w:rPr>
                <w:sz w:val="18"/>
                <w:szCs w:val="18"/>
              </w:rPr>
              <w:t>Identifica los riesgos de los bots.</w:t>
            </w:r>
          </w:p>
        </w:tc>
        <w:tc>
          <w:tcPr>
            <w:tcW w:w="1877" w:type="dxa"/>
            <w:shd w:val="clear" w:color="auto" w:fill="D9E2F3"/>
            <w:vAlign w:val="center"/>
          </w:tcPr>
          <w:p w14:paraId="0BC5B726" w14:textId="77777777" w:rsidR="00990B14" w:rsidRDefault="00000000">
            <w:pPr>
              <w:spacing w:before="20" w:after="20"/>
              <w:jc w:val="both"/>
            </w:pPr>
            <w:r>
              <w:rPr>
                <w:sz w:val="18"/>
                <w:szCs w:val="18"/>
              </w:rPr>
              <w:t>Incluye riesgos de accesos y credenciales.</w:t>
            </w:r>
          </w:p>
        </w:tc>
      </w:tr>
      <w:tr w:rsidR="00990B14" w14:paraId="5D7756A6" w14:textId="77777777">
        <w:trPr>
          <w:cantSplit/>
          <w:jc w:val="center"/>
        </w:trPr>
        <w:tc>
          <w:tcPr>
            <w:tcW w:w="1490" w:type="dxa"/>
            <w:vMerge/>
            <w:shd w:val="clear" w:color="auto" w:fill="4472C4"/>
            <w:vAlign w:val="center"/>
          </w:tcPr>
          <w:p w14:paraId="6CCB286D" w14:textId="77777777" w:rsidR="00990B14" w:rsidRDefault="00990B14">
            <w:pPr>
              <w:spacing w:before="20" w:after="20"/>
            </w:pPr>
          </w:p>
        </w:tc>
        <w:tc>
          <w:tcPr>
            <w:tcW w:w="2120" w:type="dxa"/>
            <w:shd w:val="clear" w:color="auto" w:fill="D9E2F3"/>
            <w:vAlign w:val="center"/>
          </w:tcPr>
          <w:p w14:paraId="48DAD901" w14:textId="77777777" w:rsidR="00990B14" w:rsidRDefault="00000000">
            <w:pPr>
              <w:spacing w:before="20" w:after="20"/>
              <w:jc w:val="both"/>
            </w:pPr>
            <w:r>
              <w:rPr>
                <w:sz w:val="18"/>
                <w:szCs w:val="18"/>
              </w:rPr>
              <w:t>Controles</w:t>
            </w:r>
          </w:p>
        </w:tc>
        <w:tc>
          <w:tcPr>
            <w:tcW w:w="1805" w:type="dxa"/>
            <w:shd w:val="clear" w:color="auto" w:fill="D9E2F3"/>
            <w:vAlign w:val="center"/>
          </w:tcPr>
          <w:p w14:paraId="0EC3DB80" w14:textId="77777777" w:rsidR="00990B14" w:rsidRDefault="00000000">
            <w:pPr>
              <w:spacing w:before="20" w:after="20"/>
              <w:jc w:val="both"/>
            </w:pPr>
            <w:r>
              <w:rPr>
                <w:sz w:val="18"/>
                <w:szCs w:val="18"/>
              </w:rPr>
              <w:t>No evalúa los controles.</w:t>
            </w:r>
          </w:p>
        </w:tc>
        <w:tc>
          <w:tcPr>
            <w:tcW w:w="2113" w:type="dxa"/>
            <w:shd w:val="clear" w:color="auto" w:fill="D9E2F3"/>
            <w:vAlign w:val="center"/>
          </w:tcPr>
          <w:p w14:paraId="0AC872B4" w14:textId="77777777" w:rsidR="00990B14" w:rsidRDefault="00000000">
            <w:pPr>
              <w:spacing w:before="20" w:after="20"/>
              <w:jc w:val="both"/>
            </w:pPr>
            <w:r>
              <w:rPr>
                <w:sz w:val="18"/>
                <w:szCs w:val="18"/>
              </w:rPr>
              <w:t>Evalúa los controles sobre los bots.</w:t>
            </w:r>
          </w:p>
        </w:tc>
        <w:tc>
          <w:tcPr>
            <w:tcW w:w="1877" w:type="dxa"/>
            <w:shd w:val="clear" w:color="auto" w:fill="D9E2F3"/>
            <w:vAlign w:val="center"/>
          </w:tcPr>
          <w:p w14:paraId="46E51584" w14:textId="77777777" w:rsidR="00990B14" w:rsidRDefault="00000000">
            <w:pPr>
              <w:spacing w:before="20" w:after="20"/>
              <w:jc w:val="both"/>
            </w:pPr>
            <w:r>
              <w:rPr>
                <w:sz w:val="18"/>
                <w:szCs w:val="18"/>
              </w:rPr>
              <w:t>Propone monitoreo continuo de su funcionamiento.</w:t>
            </w:r>
          </w:p>
        </w:tc>
      </w:tr>
      <w:tr w:rsidR="00990B14" w14:paraId="12AF6701" w14:textId="77777777">
        <w:trPr>
          <w:cantSplit/>
          <w:jc w:val="center"/>
        </w:trPr>
        <w:tc>
          <w:tcPr>
            <w:tcW w:w="1490" w:type="dxa"/>
            <w:vMerge/>
            <w:shd w:val="clear" w:color="auto" w:fill="4472C4"/>
            <w:vAlign w:val="center"/>
          </w:tcPr>
          <w:p w14:paraId="4643F526" w14:textId="77777777" w:rsidR="00990B14" w:rsidRDefault="00990B14">
            <w:pPr>
              <w:spacing w:before="20" w:after="20"/>
            </w:pPr>
          </w:p>
        </w:tc>
        <w:tc>
          <w:tcPr>
            <w:tcW w:w="2120" w:type="dxa"/>
            <w:shd w:val="clear" w:color="auto" w:fill="D9E2F3"/>
            <w:vAlign w:val="center"/>
          </w:tcPr>
          <w:p w14:paraId="38207A49" w14:textId="77777777" w:rsidR="00990B14" w:rsidRDefault="00000000">
            <w:pPr>
              <w:spacing w:before="20" w:after="20"/>
              <w:jc w:val="both"/>
            </w:pPr>
            <w:r>
              <w:rPr>
                <w:sz w:val="18"/>
                <w:szCs w:val="18"/>
              </w:rPr>
              <w:t>Trabajo en equipo</w:t>
            </w:r>
          </w:p>
        </w:tc>
        <w:tc>
          <w:tcPr>
            <w:tcW w:w="1805" w:type="dxa"/>
            <w:shd w:val="clear" w:color="auto" w:fill="D9E2F3"/>
            <w:vAlign w:val="center"/>
          </w:tcPr>
          <w:p w14:paraId="5100274C" w14:textId="77777777" w:rsidR="00990B14" w:rsidRDefault="00000000">
            <w:pPr>
              <w:spacing w:before="20" w:after="20"/>
              <w:jc w:val="both"/>
            </w:pPr>
            <w:r>
              <w:rPr>
                <w:sz w:val="18"/>
                <w:szCs w:val="18"/>
              </w:rPr>
              <w:t>La participación es desigual.</w:t>
            </w:r>
          </w:p>
        </w:tc>
        <w:tc>
          <w:tcPr>
            <w:tcW w:w="2113" w:type="dxa"/>
            <w:shd w:val="clear" w:color="auto" w:fill="D9E2F3"/>
            <w:vAlign w:val="center"/>
          </w:tcPr>
          <w:p w14:paraId="0DF07437" w14:textId="77777777" w:rsidR="00990B14" w:rsidRDefault="00000000">
            <w:pPr>
              <w:spacing w:before="20" w:after="20"/>
              <w:jc w:val="both"/>
            </w:pPr>
            <w:r>
              <w:rPr>
                <w:sz w:val="18"/>
                <w:szCs w:val="18"/>
              </w:rPr>
              <w:t>Todos los integrantes participan.</w:t>
            </w:r>
          </w:p>
        </w:tc>
        <w:tc>
          <w:tcPr>
            <w:tcW w:w="1877" w:type="dxa"/>
            <w:shd w:val="clear" w:color="auto" w:fill="D9E2F3"/>
            <w:vAlign w:val="center"/>
          </w:tcPr>
          <w:p w14:paraId="5CA72125" w14:textId="77777777" w:rsidR="00990B14" w:rsidRDefault="00000000">
            <w:pPr>
              <w:spacing w:before="20" w:after="20"/>
              <w:jc w:val="both"/>
            </w:pPr>
            <w:r>
              <w:rPr>
                <w:sz w:val="18"/>
                <w:szCs w:val="18"/>
              </w:rPr>
              <w:t>El equipo integra los aportes con coherencia.</w:t>
            </w:r>
          </w:p>
        </w:tc>
      </w:tr>
      <w:tr w:rsidR="00990B14" w14:paraId="40A383BA" w14:textId="77777777">
        <w:trPr>
          <w:cantSplit/>
          <w:jc w:val="center"/>
        </w:trPr>
        <w:tc>
          <w:tcPr>
            <w:tcW w:w="1490" w:type="dxa"/>
            <w:vMerge/>
            <w:shd w:val="clear" w:color="auto" w:fill="4472C4"/>
            <w:vAlign w:val="center"/>
          </w:tcPr>
          <w:p w14:paraId="6E0F4DAE" w14:textId="77777777" w:rsidR="00990B14" w:rsidRDefault="00990B14">
            <w:pPr>
              <w:spacing w:before="20" w:after="20"/>
            </w:pPr>
          </w:p>
        </w:tc>
        <w:tc>
          <w:tcPr>
            <w:tcW w:w="6038" w:type="dxa"/>
            <w:gridSpan w:val="3"/>
            <w:shd w:val="clear" w:color="auto" w:fill="D9E2F3"/>
            <w:vAlign w:val="center"/>
          </w:tcPr>
          <w:p w14:paraId="5C23EE84" w14:textId="77777777" w:rsidR="00990B14" w:rsidRDefault="00000000">
            <w:pPr>
              <w:keepNext/>
              <w:spacing w:before="20" w:after="20"/>
              <w:jc w:val="both"/>
            </w:pPr>
            <w:r>
              <w:rPr>
                <w:b/>
                <w:bCs/>
                <w:i/>
                <w:iCs/>
                <w:sz w:val="18"/>
                <w:szCs w:val="18"/>
              </w:rPr>
              <w:t xml:space="preserve">Producto 19: </w:t>
            </w:r>
            <w:r>
              <w:rPr>
                <w:sz w:val="18"/>
                <w:szCs w:val="18"/>
              </w:rPr>
              <w:t>Perfil de madurez de ciberseguridad</w:t>
            </w:r>
          </w:p>
        </w:tc>
        <w:tc>
          <w:tcPr>
            <w:tcW w:w="1877" w:type="dxa"/>
            <w:shd w:val="clear" w:color="auto" w:fill="D9E2F3"/>
            <w:vAlign w:val="center"/>
          </w:tcPr>
          <w:p w14:paraId="698223C7" w14:textId="77777777" w:rsidR="00990B14" w:rsidRDefault="00000000">
            <w:pPr>
              <w:spacing w:before="20" w:after="20"/>
              <w:jc w:val="center"/>
            </w:pPr>
            <w:r>
              <w:rPr>
                <w:b/>
                <w:bCs/>
                <w:sz w:val="18"/>
                <w:szCs w:val="18"/>
              </w:rPr>
              <w:t>5%</w:t>
            </w:r>
          </w:p>
        </w:tc>
      </w:tr>
      <w:tr w:rsidR="00990B14" w14:paraId="793FD9C0" w14:textId="77777777">
        <w:trPr>
          <w:cantSplit/>
          <w:jc w:val="center"/>
        </w:trPr>
        <w:tc>
          <w:tcPr>
            <w:tcW w:w="1490" w:type="dxa"/>
            <w:vMerge/>
            <w:shd w:val="clear" w:color="auto" w:fill="4472C4"/>
            <w:vAlign w:val="center"/>
          </w:tcPr>
          <w:p w14:paraId="5C0148C4" w14:textId="77777777" w:rsidR="00990B14" w:rsidRDefault="00990B14">
            <w:pPr>
              <w:spacing w:before="20" w:after="20"/>
            </w:pPr>
          </w:p>
        </w:tc>
        <w:tc>
          <w:tcPr>
            <w:tcW w:w="2120" w:type="dxa"/>
            <w:shd w:val="clear" w:color="auto" w:fill="4472C4"/>
            <w:vAlign w:val="center"/>
          </w:tcPr>
          <w:p w14:paraId="38516B02" w14:textId="77777777" w:rsidR="00990B14" w:rsidRDefault="00000000">
            <w:pPr>
              <w:keepNext/>
              <w:spacing w:before="20" w:after="20"/>
              <w:jc w:val="center"/>
            </w:pPr>
            <w:r>
              <w:rPr>
                <w:b/>
                <w:bCs/>
                <w:i/>
                <w:iCs/>
                <w:color w:val="FFFFFF"/>
                <w:sz w:val="18"/>
                <w:szCs w:val="18"/>
              </w:rPr>
              <w:t>Criterio</w:t>
            </w:r>
          </w:p>
        </w:tc>
        <w:tc>
          <w:tcPr>
            <w:tcW w:w="1805" w:type="dxa"/>
            <w:shd w:val="clear" w:color="auto" w:fill="4472C4"/>
            <w:vAlign w:val="center"/>
          </w:tcPr>
          <w:p w14:paraId="26830378" w14:textId="77777777" w:rsidR="00990B14" w:rsidRDefault="00000000">
            <w:pPr>
              <w:keepNext/>
              <w:spacing w:before="20" w:after="20"/>
              <w:jc w:val="center"/>
            </w:pPr>
            <w:r>
              <w:rPr>
                <w:b/>
                <w:bCs/>
                <w:i/>
                <w:iCs/>
                <w:color w:val="FFFFFF"/>
                <w:sz w:val="18"/>
                <w:szCs w:val="18"/>
              </w:rPr>
              <w:t>Insuficiente (1–50)</w:t>
            </w:r>
          </w:p>
        </w:tc>
        <w:tc>
          <w:tcPr>
            <w:tcW w:w="2113" w:type="dxa"/>
            <w:shd w:val="clear" w:color="auto" w:fill="4472C4"/>
            <w:vAlign w:val="center"/>
          </w:tcPr>
          <w:p w14:paraId="0B28E0F9"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3A4B63C9" w14:textId="77777777" w:rsidR="00990B14" w:rsidRDefault="00000000">
            <w:pPr>
              <w:keepNext/>
              <w:spacing w:before="20" w:after="20"/>
              <w:jc w:val="center"/>
            </w:pPr>
            <w:r>
              <w:rPr>
                <w:b/>
                <w:bCs/>
                <w:i/>
                <w:iCs/>
                <w:color w:val="FFFFFF"/>
                <w:sz w:val="18"/>
                <w:szCs w:val="18"/>
              </w:rPr>
              <w:t>Destacado (81–100)</w:t>
            </w:r>
          </w:p>
        </w:tc>
      </w:tr>
      <w:tr w:rsidR="00990B14" w14:paraId="71847250" w14:textId="77777777">
        <w:trPr>
          <w:cantSplit/>
          <w:jc w:val="center"/>
        </w:trPr>
        <w:tc>
          <w:tcPr>
            <w:tcW w:w="1490" w:type="dxa"/>
            <w:vMerge/>
            <w:shd w:val="clear" w:color="auto" w:fill="4472C4"/>
            <w:vAlign w:val="center"/>
          </w:tcPr>
          <w:p w14:paraId="2191A2BF" w14:textId="77777777" w:rsidR="00990B14" w:rsidRDefault="00990B14">
            <w:pPr>
              <w:spacing w:before="20" w:after="20"/>
            </w:pPr>
          </w:p>
        </w:tc>
        <w:tc>
          <w:tcPr>
            <w:tcW w:w="2120" w:type="dxa"/>
            <w:shd w:val="clear" w:color="auto" w:fill="D9E2F3"/>
            <w:vAlign w:val="center"/>
          </w:tcPr>
          <w:p w14:paraId="6B1D46EF" w14:textId="77777777" w:rsidR="00990B14" w:rsidRDefault="00000000">
            <w:pPr>
              <w:spacing w:before="20" w:after="20"/>
              <w:jc w:val="both"/>
            </w:pPr>
            <w:r>
              <w:rPr>
                <w:sz w:val="18"/>
                <w:szCs w:val="18"/>
              </w:rPr>
              <w:t>Funciones</w:t>
            </w:r>
          </w:p>
        </w:tc>
        <w:tc>
          <w:tcPr>
            <w:tcW w:w="1805" w:type="dxa"/>
            <w:shd w:val="clear" w:color="auto" w:fill="D9E2F3"/>
            <w:vAlign w:val="center"/>
          </w:tcPr>
          <w:p w14:paraId="5D373EF3" w14:textId="77777777" w:rsidR="00990B14" w:rsidRDefault="00000000">
            <w:pPr>
              <w:spacing w:before="20" w:after="20"/>
              <w:jc w:val="both"/>
            </w:pPr>
            <w:r>
              <w:rPr>
                <w:sz w:val="18"/>
                <w:szCs w:val="18"/>
              </w:rPr>
              <w:t>Omite funciones del marco.</w:t>
            </w:r>
          </w:p>
        </w:tc>
        <w:tc>
          <w:tcPr>
            <w:tcW w:w="2113" w:type="dxa"/>
            <w:shd w:val="clear" w:color="auto" w:fill="D9E2F3"/>
            <w:vAlign w:val="center"/>
          </w:tcPr>
          <w:p w14:paraId="2B76E17F" w14:textId="77777777" w:rsidR="00990B14" w:rsidRDefault="00000000">
            <w:pPr>
              <w:spacing w:before="20" w:after="20"/>
              <w:jc w:val="both"/>
            </w:pPr>
            <w:r>
              <w:rPr>
                <w:sz w:val="18"/>
                <w:szCs w:val="18"/>
              </w:rPr>
              <w:t>Evalúa todas las funciones del marco.</w:t>
            </w:r>
          </w:p>
        </w:tc>
        <w:tc>
          <w:tcPr>
            <w:tcW w:w="1877" w:type="dxa"/>
            <w:shd w:val="clear" w:color="auto" w:fill="D9E2F3"/>
            <w:vAlign w:val="center"/>
          </w:tcPr>
          <w:p w14:paraId="0AB58A39" w14:textId="77777777" w:rsidR="00990B14" w:rsidRDefault="00000000">
            <w:pPr>
              <w:spacing w:before="20" w:after="20"/>
              <w:jc w:val="both"/>
            </w:pPr>
            <w:r>
              <w:rPr>
                <w:sz w:val="18"/>
                <w:szCs w:val="18"/>
              </w:rPr>
              <w:t>Compara el perfil actual con el objetivo.</w:t>
            </w:r>
          </w:p>
        </w:tc>
      </w:tr>
      <w:tr w:rsidR="00990B14" w14:paraId="3527C065" w14:textId="77777777">
        <w:trPr>
          <w:cantSplit/>
          <w:jc w:val="center"/>
        </w:trPr>
        <w:tc>
          <w:tcPr>
            <w:tcW w:w="1490" w:type="dxa"/>
            <w:vMerge/>
            <w:shd w:val="clear" w:color="auto" w:fill="4472C4"/>
            <w:vAlign w:val="center"/>
          </w:tcPr>
          <w:p w14:paraId="01225D74" w14:textId="77777777" w:rsidR="00990B14" w:rsidRDefault="00990B14">
            <w:pPr>
              <w:spacing w:before="20" w:after="20"/>
            </w:pPr>
          </w:p>
        </w:tc>
        <w:tc>
          <w:tcPr>
            <w:tcW w:w="2120" w:type="dxa"/>
            <w:shd w:val="clear" w:color="auto" w:fill="D9E2F3"/>
            <w:vAlign w:val="center"/>
          </w:tcPr>
          <w:p w14:paraId="1E67DE52" w14:textId="77777777" w:rsidR="00990B14" w:rsidRDefault="00000000">
            <w:pPr>
              <w:spacing w:before="20" w:after="20"/>
              <w:jc w:val="both"/>
            </w:pPr>
            <w:r>
              <w:rPr>
                <w:sz w:val="18"/>
                <w:szCs w:val="18"/>
              </w:rPr>
              <w:t>Madurez</w:t>
            </w:r>
          </w:p>
        </w:tc>
        <w:tc>
          <w:tcPr>
            <w:tcW w:w="1805" w:type="dxa"/>
            <w:shd w:val="clear" w:color="auto" w:fill="D9E2F3"/>
            <w:vAlign w:val="center"/>
          </w:tcPr>
          <w:p w14:paraId="11C8A598" w14:textId="77777777" w:rsidR="00990B14" w:rsidRDefault="00000000">
            <w:pPr>
              <w:spacing w:before="20" w:after="20"/>
              <w:jc w:val="both"/>
            </w:pPr>
            <w:r>
              <w:rPr>
                <w:sz w:val="18"/>
                <w:szCs w:val="18"/>
              </w:rPr>
              <w:t>No determina el nivel.</w:t>
            </w:r>
          </w:p>
        </w:tc>
        <w:tc>
          <w:tcPr>
            <w:tcW w:w="2113" w:type="dxa"/>
            <w:shd w:val="clear" w:color="auto" w:fill="D9E2F3"/>
            <w:vAlign w:val="center"/>
          </w:tcPr>
          <w:p w14:paraId="598560DE" w14:textId="77777777" w:rsidR="00990B14" w:rsidRDefault="00000000">
            <w:pPr>
              <w:spacing w:before="20" w:after="20"/>
              <w:jc w:val="both"/>
            </w:pPr>
            <w:r>
              <w:rPr>
                <w:sz w:val="18"/>
                <w:szCs w:val="18"/>
              </w:rPr>
              <w:t>Determina el nivel de madurez.</w:t>
            </w:r>
          </w:p>
        </w:tc>
        <w:tc>
          <w:tcPr>
            <w:tcW w:w="1877" w:type="dxa"/>
            <w:shd w:val="clear" w:color="auto" w:fill="D9E2F3"/>
            <w:vAlign w:val="center"/>
          </w:tcPr>
          <w:p w14:paraId="6CE20005" w14:textId="77777777" w:rsidR="00990B14" w:rsidRDefault="00000000">
            <w:pPr>
              <w:spacing w:before="20" w:after="20"/>
              <w:jc w:val="both"/>
            </w:pPr>
            <w:r>
              <w:rPr>
                <w:sz w:val="18"/>
                <w:szCs w:val="18"/>
              </w:rPr>
              <w:t>Sustenta el nivel con evidencia.</w:t>
            </w:r>
          </w:p>
        </w:tc>
      </w:tr>
      <w:tr w:rsidR="00990B14" w14:paraId="3D02E345" w14:textId="77777777">
        <w:trPr>
          <w:cantSplit/>
          <w:jc w:val="center"/>
        </w:trPr>
        <w:tc>
          <w:tcPr>
            <w:tcW w:w="1490" w:type="dxa"/>
            <w:vMerge/>
            <w:shd w:val="clear" w:color="auto" w:fill="4472C4"/>
            <w:vAlign w:val="center"/>
          </w:tcPr>
          <w:p w14:paraId="510CB0D7" w14:textId="77777777" w:rsidR="00990B14" w:rsidRDefault="00990B14">
            <w:pPr>
              <w:spacing w:before="20" w:after="20"/>
            </w:pPr>
          </w:p>
        </w:tc>
        <w:tc>
          <w:tcPr>
            <w:tcW w:w="2120" w:type="dxa"/>
            <w:shd w:val="clear" w:color="auto" w:fill="D9E2F3"/>
            <w:vAlign w:val="center"/>
          </w:tcPr>
          <w:p w14:paraId="6EE91340" w14:textId="77777777" w:rsidR="00990B14" w:rsidRDefault="00000000">
            <w:pPr>
              <w:spacing w:before="20" w:after="20"/>
              <w:jc w:val="both"/>
            </w:pPr>
            <w:r>
              <w:rPr>
                <w:sz w:val="18"/>
                <w:szCs w:val="18"/>
              </w:rPr>
              <w:t>Brechas</w:t>
            </w:r>
          </w:p>
        </w:tc>
        <w:tc>
          <w:tcPr>
            <w:tcW w:w="1805" w:type="dxa"/>
            <w:shd w:val="clear" w:color="auto" w:fill="D9E2F3"/>
            <w:vAlign w:val="center"/>
          </w:tcPr>
          <w:p w14:paraId="7E9474B5" w14:textId="77777777" w:rsidR="00990B14" w:rsidRDefault="00000000">
            <w:pPr>
              <w:spacing w:before="20" w:after="20"/>
              <w:jc w:val="both"/>
            </w:pPr>
            <w:r>
              <w:rPr>
                <w:sz w:val="18"/>
                <w:szCs w:val="18"/>
              </w:rPr>
              <w:t>No identifica brechas.</w:t>
            </w:r>
          </w:p>
        </w:tc>
        <w:tc>
          <w:tcPr>
            <w:tcW w:w="2113" w:type="dxa"/>
            <w:shd w:val="clear" w:color="auto" w:fill="D9E2F3"/>
            <w:vAlign w:val="center"/>
          </w:tcPr>
          <w:p w14:paraId="204E4AB4" w14:textId="77777777" w:rsidR="00990B14" w:rsidRDefault="00000000">
            <w:pPr>
              <w:spacing w:before="20" w:after="20"/>
              <w:jc w:val="both"/>
            </w:pPr>
            <w:r>
              <w:rPr>
                <w:sz w:val="18"/>
                <w:szCs w:val="18"/>
              </w:rPr>
              <w:t>Identifica las brechas.</w:t>
            </w:r>
          </w:p>
        </w:tc>
        <w:tc>
          <w:tcPr>
            <w:tcW w:w="1877" w:type="dxa"/>
            <w:shd w:val="clear" w:color="auto" w:fill="D9E2F3"/>
            <w:vAlign w:val="center"/>
          </w:tcPr>
          <w:p w14:paraId="7694941C" w14:textId="77777777" w:rsidR="00990B14" w:rsidRDefault="00000000">
            <w:pPr>
              <w:spacing w:before="20" w:after="20"/>
              <w:jc w:val="both"/>
            </w:pPr>
            <w:r>
              <w:rPr>
                <w:sz w:val="18"/>
                <w:szCs w:val="18"/>
              </w:rPr>
              <w:t>Prioriza las brechas según el riesgo.</w:t>
            </w:r>
          </w:p>
        </w:tc>
      </w:tr>
      <w:tr w:rsidR="00990B14" w14:paraId="02A98BFC" w14:textId="77777777">
        <w:trPr>
          <w:cantSplit/>
          <w:jc w:val="center"/>
        </w:trPr>
        <w:tc>
          <w:tcPr>
            <w:tcW w:w="1490" w:type="dxa"/>
            <w:vMerge/>
            <w:shd w:val="clear" w:color="auto" w:fill="4472C4"/>
            <w:vAlign w:val="center"/>
          </w:tcPr>
          <w:p w14:paraId="32D59387" w14:textId="77777777" w:rsidR="00990B14" w:rsidRDefault="00990B14">
            <w:pPr>
              <w:spacing w:before="20" w:after="20"/>
            </w:pPr>
          </w:p>
        </w:tc>
        <w:tc>
          <w:tcPr>
            <w:tcW w:w="6038" w:type="dxa"/>
            <w:gridSpan w:val="3"/>
            <w:shd w:val="clear" w:color="auto" w:fill="D9E2F3"/>
            <w:vAlign w:val="center"/>
          </w:tcPr>
          <w:p w14:paraId="46896421" w14:textId="77777777" w:rsidR="00990B14" w:rsidRDefault="00000000">
            <w:pPr>
              <w:keepNext/>
              <w:spacing w:before="20" w:after="20"/>
              <w:jc w:val="both"/>
            </w:pPr>
            <w:r>
              <w:rPr>
                <w:b/>
                <w:bCs/>
                <w:i/>
                <w:iCs/>
                <w:sz w:val="18"/>
                <w:szCs w:val="18"/>
              </w:rPr>
              <w:t xml:space="preserve">Producto 20: </w:t>
            </w:r>
            <w:r>
              <w:rPr>
                <w:sz w:val="18"/>
                <w:szCs w:val="18"/>
              </w:rPr>
              <w:t>Informe de deficiencias tecnológicas</w:t>
            </w:r>
          </w:p>
        </w:tc>
        <w:tc>
          <w:tcPr>
            <w:tcW w:w="1877" w:type="dxa"/>
            <w:shd w:val="clear" w:color="auto" w:fill="D9E2F3"/>
            <w:vAlign w:val="center"/>
          </w:tcPr>
          <w:p w14:paraId="1FD327C6" w14:textId="77777777" w:rsidR="00990B14" w:rsidRDefault="00000000">
            <w:pPr>
              <w:spacing w:before="20" w:after="20"/>
              <w:jc w:val="center"/>
            </w:pPr>
            <w:r>
              <w:rPr>
                <w:b/>
                <w:bCs/>
                <w:sz w:val="18"/>
                <w:szCs w:val="18"/>
              </w:rPr>
              <w:t>5%</w:t>
            </w:r>
          </w:p>
        </w:tc>
      </w:tr>
      <w:tr w:rsidR="00990B14" w14:paraId="0415FDE6" w14:textId="77777777">
        <w:trPr>
          <w:cantSplit/>
          <w:jc w:val="center"/>
        </w:trPr>
        <w:tc>
          <w:tcPr>
            <w:tcW w:w="1490" w:type="dxa"/>
            <w:vMerge/>
            <w:shd w:val="clear" w:color="auto" w:fill="4472C4"/>
            <w:vAlign w:val="center"/>
          </w:tcPr>
          <w:p w14:paraId="3D6BE6BD" w14:textId="77777777" w:rsidR="00990B14" w:rsidRDefault="00990B14">
            <w:pPr>
              <w:spacing w:before="20" w:after="20"/>
            </w:pPr>
          </w:p>
        </w:tc>
        <w:tc>
          <w:tcPr>
            <w:tcW w:w="2120" w:type="dxa"/>
            <w:shd w:val="clear" w:color="auto" w:fill="4472C4"/>
            <w:vAlign w:val="center"/>
          </w:tcPr>
          <w:p w14:paraId="6F7FB03C" w14:textId="77777777" w:rsidR="00990B14" w:rsidRDefault="00000000">
            <w:pPr>
              <w:keepNext/>
              <w:spacing w:before="20" w:after="20"/>
              <w:jc w:val="center"/>
            </w:pPr>
            <w:r>
              <w:rPr>
                <w:b/>
                <w:bCs/>
                <w:i/>
                <w:iCs/>
                <w:color w:val="FFFFFF"/>
                <w:sz w:val="18"/>
                <w:szCs w:val="18"/>
              </w:rPr>
              <w:t>Criterio</w:t>
            </w:r>
          </w:p>
        </w:tc>
        <w:tc>
          <w:tcPr>
            <w:tcW w:w="1805" w:type="dxa"/>
            <w:shd w:val="clear" w:color="auto" w:fill="4472C4"/>
            <w:vAlign w:val="center"/>
          </w:tcPr>
          <w:p w14:paraId="1098DAE5" w14:textId="77777777" w:rsidR="00990B14" w:rsidRDefault="00000000">
            <w:pPr>
              <w:keepNext/>
              <w:spacing w:before="20" w:after="20"/>
              <w:jc w:val="center"/>
            </w:pPr>
            <w:r>
              <w:rPr>
                <w:b/>
                <w:bCs/>
                <w:i/>
                <w:iCs/>
                <w:color w:val="FFFFFF"/>
                <w:sz w:val="18"/>
                <w:szCs w:val="18"/>
              </w:rPr>
              <w:t>Insuficiente (1–50)</w:t>
            </w:r>
          </w:p>
        </w:tc>
        <w:tc>
          <w:tcPr>
            <w:tcW w:w="2113" w:type="dxa"/>
            <w:shd w:val="clear" w:color="auto" w:fill="4472C4"/>
            <w:vAlign w:val="center"/>
          </w:tcPr>
          <w:p w14:paraId="531248A6"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7F79F0C0" w14:textId="77777777" w:rsidR="00990B14" w:rsidRDefault="00000000">
            <w:pPr>
              <w:keepNext/>
              <w:spacing w:before="20" w:after="20"/>
              <w:jc w:val="center"/>
            </w:pPr>
            <w:r>
              <w:rPr>
                <w:b/>
                <w:bCs/>
                <w:i/>
                <w:iCs/>
                <w:color w:val="FFFFFF"/>
                <w:sz w:val="18"/>
                <w:szCs w:val="18"/>
              </w:rPr>
              <w:t>Destacado (81–100)</w:t>
            </w:r>
          </w:p>
        </w:tc>
      </w:tr>
      <w:tr w:rsidR="00990B14" w14:paraId="6090205A" w14:textId="77777777">
        <w:trPr>
          <w:cantSplit/>
          <w:jc w:val="center"/>
        </w:trPr>
        <w:tc>
          <w:tcPr>
            <w:tcW w:w="1490" w:type="dxa"/>
            <w:vMerge/>
            <w:shd w:val="clear" w:color="auto" w:fill="4472C4"/>
            <w:vAlign w:val="center"/>
          </w:tcPr>
          <w:p w14:paraId="5ABA15AD" w14:textId="77777777" w:rsidR="00990B14" w:rsidRDefault="00990B14">
            <w:pPr>
              <w:spacing w:before="20" w:after="20"/>
            </w:pPr>
          </w:p>
        </w:tc>
        <w:tc>
          <w:tcPr>
            <w:tcW w:w="2120" w:type="dxa"/>
            <w:shd w:val="clear" w:color="auto" w:fill="D9E2F3"/>
            <w:vAlign w:val="center"/>
          </w:tcPr>
          <w:p w14:paraId="2FDE85BC" w14:textId="77777777" w:rsidR="00990B14" w:rsidRDefault="00000000">
            <w:pPr>
              <w:spacing w:before="20" w:after="20"/>
              <w:jc w:val="both"/>
            </w:pPr>
            <w:r>
              <w:rPr>
                <w:sz w:val="18"/>
                <w:szCs w:val="18"/>
              </w:rPr>
              <w:t>Riesgos de la inteligencia artificial</w:t>
            </w:r>
          </w:p>
        </w:tc>
        <w:tc>
          <w:tcPr>
            <w:tcW w:w="1805" w:type="dxa"/>
            <w:shd w:val="clear" w:color="auto" w:fill="D9E2F3"/>
            <w:vAlign w:val="center"/>
          </w:tcPr>
          <w:p w14:paraId="06BD48C1" w14:textId="77777777" w:rsidR="00990B14" w:rsidRDefault="00000000">
            <w:pPr>
              <w:spacing w:before="20" w:after="20"/>
              <w:jc w:val="both"/>
            </w:pPr>
            <w:r>
              <w:rPr>
                <w:sz w:val="18"/>
                <w:szCs w:val="18"/>
              </w:rPr>
              <w:t>No identifica riesgos.</w:t>
            </w:r>
          </w:p>
        </w:tc>
        <w:tc>
          <w:tcPr>
            <w:tcW w:w="2113" w:type="dxa"/>
            <w:shd w:val="clear" w:color="auto" w:fill="D9E2F3"/>
            <w:vAlign w:val="center"/>
          </w:tcPr>
          <w:p w14:paraId="269CC438" w14:textId="77777777" w:rsidR="00990B14" w:rsidRDefault="00000000">
            <w:pPr>
              <w:spacing w:before="20" w:after="20"/>
              <w:jc w:val="both"/>
            </w:pPr>
            <w:r>
              <w:rPr>
                <w:sz w:val="18"/>
                <w:szCs w:val="18"/>
              </w:rPr>
              <w:t>Identifica sesgo, explicabilidad y confiabilidad.</w:t>
            </w:r>
          </w:p>
        </w:tc>
        <w:tc>
          <w:tcPr>
            <w:tcW w:w="1877" w:type="dxa"/>
            <w:shd w:val="clear" w:color="auto" w:fill="D9E2F3"/>
            <w:vAlign w:val="center"/>
          </w:tcPr>
          <w:p w14:paraId="67206358" w14:textId="77777777" w:rsidR="00990B14" w:rsidRDefault="00000000">
            <w:pPr>
              <w:spacing w:before="20" w:after="20"/>
              <w:jc w:val="both"/>
            </w:pPr>
            <w:r>
              <w:rPr>
                <w:sz w:val="18"/>
                <w:szCs w:val="18"/>
              </w:rPr>
              <w:t>Relaciona los riesgos con la norma ISO/IEC 42001.</w:t>
            </w:r>
          </w:p>
        </w:tc>
      </w:tr>
      <w:tr w:rsidR="00990B14" w14:paraId="517CB760" w14:textId="77777777">
        <w:trPr>
          <w:cantSplit/>
          <w:jc w:val="center"/>
        </w:trPr>
        <w:tc>
          <w:tcPr>
            <w:tcW w:w="1490" w:type="dxa"/>
            <w:vMerge/>
            <w:shd w:val="clear" w:color="auto" w:fill="4472C4"/>
            <w:vAlign w:val="center"/>
          </w:tcPr>
          <w:p w14:paraId="1436006E" w14:textId="77777777" w:rsidR="00990B14" w:rsidRDefault="00990B14">
            <w:pPr>
              <w:spacing w:before="20" w:after="20"/>
            </w:pPr>
          </w:p>
        </w:tc>
        <w:tc>
          <w:tcPr>
            <w:tcW w:w="2120" w:type="dxa"/>
            <w:shd w:val="clear" w:color="auto" w:fill="D9E2F3"/>
            <w:vAlign w:val="center"/>
          </w:tcPr>
          <w:p w14:paraId="76BB265E" w14:textId="77777777" w:rsidR="00990B14" w:rsidRDefault="00000000">
            <w:pPr>
              <w:spacing w:before="20" w:after="20"/>
              <w:jc w:val="both"/>
            </w:pPr>
            <w:r>
              <w:rPr>
                <w:sz w:val="18"/>
                <w:szCs w:val="18"/>
              </w:rPr>
              <w:t>Cadena de bloques</w:t>
            </w:r>
          </w:p>
        </w:tc>
        <w:tc>
          <w:tcPr>
            <w:tcW w:w="1805" w:type="dxa"/>
            <w:shd w:val="clear" w:color="auto" w:fill="D9E2F3"/>
            <w:vAlign w:val="center"/>
          </w:tcPr>
          <w:p w14:paraId="04BBDD03" w14:textId="77777777" w:rsidR="00990B14" w:rsidRDefault="00000000">
            <w:pPr>
              <w:spacing w:before="20" w:after="20"/>
              <w:jc w:val="both"/>
            </w:pPr>
            <w:r>
              <w:rPr>
                <w:sz w:val="18"/>
                <w:szCs w:val="18"/>
              </w:rPr>
              <w:t>La omite.</w:t>
            </w:r>
          </w:p>
        </w:tc>
        <w:tc>
          <w:tcPr>
            <w:tcW w:w="2113" w:type="dxa"/>
            <w:shd w:val="clear" w:color="auto" w:fill="D9E2F3"/>
            <w:vAlign w:val="center"/>
          </w:tcPr>
          <w:p w14:paraId="361A6F1E" w14:textId="77777777" w:rsidR="00990B14" w:rsidRDefault="00000000">
            <w:pPr>
              <w:spacing w:before="20" w:after="20"/>
              <w:jc w:val="both"/>
            </w:pPr>
            <w:r>
              <w:rPr>
                <w:sz w:val="18"/>
                <w:szCs w:val="18"/>
              </w:rPr>
              <w:t>Explica las consideraciones para el auditor.</w:t>
            </w:r>
          </w:p>
        </w:tc>
        <w:tc>
          <w:tcPr>
            <w:tcW w:w="1877" w:type="dxa"/>
            <w:shd w:val="clear" w:color="auto" w:fill="D9E2F3"/>
            <w:vAlign w:val="center"/>
          </w:tcPr>
          <w:p w14:paraId="2F25A020" w14:textId="77777777" w:rsidR="00990B14" w:rsidRDefault="00000000">
            <w:pPr>
              <w:spacing w:before="20" w:after="20"/>
              <w:jc w:val="both"/>
            </w:pPr>
            <w:r>
              <w:rPr>
                <w:sz w:val="18"/>
                <w:szCs w:val="18"/>
              </w:rPr>
              <w:t>Evalúa la trazabilidad de los contratos inteligentes.</w:t>
            </w:r>
          </w:p>
        </w:tc>
      </w:tr>
      <w:tr w:rsidR="00990B14" w14:paraId="0908E3D5" w14:textId="77777777">
        <w:trPr>
          <w:cantSplit/>
          <w:jc w:val="center"/>
        </w:trPr>
        <w:tc>
          <w:tcPr>
            <w:tcW w:w="1490" w:type="dxa"/>
            <w:vMerge/>
            <w:shd w:val="clear" w:color="auto" w:fill="4472C4"/>
            <w:vAlign w:val="center"/>
          </w:tcPr>
          <w:p w14:paraId="3893D037" w14:textId="77777777" w:rsidR="00990B14" w:rsidRDefault="00990B14">
            <w:pPr>
              <w:spacing w:before="20" w:after="20"/>
            </w:pPr>
          </w:p>
        </w:tc>
        <w:tc>
          <w:tcPr>
            <w:tcW w:w="2120" w:type="dxa"/>
            <w:shd w:val="clear" w:color="auto" w:fill="D9E2F3"/>
            <w:vAlign w:val="center"/>
          </w:tcPr>
          <w:p w14:paraId="19A7AEDE" w14:textId="77777777" w:rsidR="00990B14" w:rsidRDefault="00000000">
            <w:pPr>
              <w:spacing w:before="20" w:after="20"/>
              <w:jc w:val="both"/>
            </w:pPr>
            <w:r>
              <w:rPr>
                <w:sz w:val="18"/>
                <w:szCs w:val="18"/>
              </w:rPr>
              <w:t>Comunicación</w:t>
            </w:r>
          </w:p>
        </w:tc>
        <w:tc>
          <w:tcPr>
            <w:tcW w:w="1805" w:type="dxa"/>
            <w:shd w:val="clear" w:color="auto" w:fill="D9E2F3"/>
            <w:vAlign w:val="center"/>
          </w:tcPr>
          <w:p w14:paraId="50EC28CE" w14:textId="77777777" w:rsidR="00990B14" w:rsidRDefault="00000000">
            <w:pPr>
              <w:spacing w:before="20" w:after="20"/>
              <w:jc w:val="both"/>
            </w:pPr>
            <w:r>
              <w:rPr>
                <w:sz w:val="18"/>
                <w:szCs w:val="18"/>
              </w:rPr>
              <w:t>El informe es técnico en exceso.</w:t>
            </w:r>
          </w:p>
        </w:tc>
        <w:tc>
          <w:tcPr>
            <w:tcW w:w="2113" w:type="dxa"/>
            <w:shd w:val="clear" w:color="auto" w:fill="D9E2F3"/>
            <w:vAlign w:val="center"/>
          </w:tcPr>
          <w:p w14:paraId="0EE63C7B" w14:textId="77777777" w:rsidR="00990B14" w:rsidRDefault="00000000">
            <w:pPr>
              <w:spacing w:before="20" w:after="20"/>
              <w:jc w:val="both"/>
            </w:pPr>
            <w:r>
              <w:rPr>
                <w:sz w:val="18"/>
                <w:szCs w:val="18"/>
              </w:rPr>
              <w:t>El informe es claro para la dirección.</w:t>
            </w:r>
          </w:p>
        </w:tc>
        <w:tc>
          <w:tcPr>
            <w:tcW w:w="1877" w:type="dxa"/>
            <w:shd w:val="clear" w:color="auto" w:fill="D9E2F3"/>
            <w:vAlign w:val="center"/>
          </w:tcPr>
          <w:p w14:paraId="31AB05C3" w14:textId="77777777" w:rsidR="00990B14" w:rsidRDefault="00000000">
            <w:pPr>
              <w:spacing w:before="20" w:after="20"/>
              <w:jc w:val="both"/>
            </w:pPr>
            <w:r>
              <w:rPr>
                <w:sz w:val="18"/>
                <w:szCs w:val="18"/>
              </w:rPr>
              <w:t>Prioriza las deficiencias y propone responsables.</w:t>
            </w:r>
          </w:p>
        </w:tc>
      </w:tr>
      <w:tr w:rsidR="00990B14" w14:paraId="4C3C3E67" w14:textId="77777777">
        <w:trPr>
          <w:cantSplit/>
          <w:jc w:val="center"/>
        </w:trPr>
        <w:tc>
          <w:tcPr>
            <w:tcW w:w="7528" w:type="dxa"/>
            <w:gridSpan w:val="4"/>
            <w:shd w:val="clear" w:color="auto" w:fill="4472C4"/>
            <w:vAlign w:val="center"/>
          </w:tcPr>
          <w:p w14:paraId="35191BA0" w14:textId="77777777" w:rsidR="00990B14" w:rsidRDefault="00000000">
            <w:pPr>
              <w:keepNext/>
              <w:spacing w:before="20" w:after="20"/>
              <w:jc w:val="center"/>
            </w:pPr>
            <w:r>
              <w:rPr>
                <w:b/>
                <w:bCs/>
                <w:i/>
                <w:iCs/>
                <w:color w:val="FFFFFF"/>
                <w:sz w:val="18"/>
                <w:szCs w:val="18"/>
              </w:rPr>
              <w:t>TOTAL</w:t>
            </w:r>
          </w:p>
        </w:tc>
        <w:tc>
          <w:tcPr>
            <w:tcW w:w="1877" w:type="dxa"/>
            <w:shd w:val="clear" w:color="auto" w:fill="4472C4"/>
            <w:vAlign w:val="center"/>
          </w:tcPr>
          <w:p w14:paraId="1F459A46" w14:textId="77777777" w:rsidR="00990B14" w:rsidRDefault="00000000">
            <w:pPr>
              <w:keepNext/>
              <w:spacing w:before="20" w:after="20"/>
              <w:jc w:val="center"/>
            </w:pPr>
            <w:r>
              <w:rPr>
                <w:b/>
                <w:bCs/>
                <w:i/>
                <w:iCs/>
                <w:color w:val="FFFFFF"/>
                <w:sz w:val="18"/>
                <w:szCs w:val="18"/>
              </w:rPr>
              <w:t>100%</w:t>
            </w:r>
          </w:p>
        </w:tc>
      </w:tr>
    </w:tbl>
    <w:p w14:paraId="3E32E07E"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9405"/>
      </w:tblGrid>
      <w:tr w:rsidR="00990B14" w14:paraId="3FC1F909" w14:textId="77777777">
        <w:trPr>
          <w:jc w:val="center"/>
        </w:trPr>
        <w:tc>
          <w:tcPr>
            <w:tcW w:w="9405" w:type="dxa"/>
            <w:shd w:val="clear" w:color="auto" w:fill="D9E2F3"/>
          </w:tcPr>
          <w:p w14:paraId="40DB0AE7" w14:textId="77777777" w:rsidR="00990B14" w:rsidRDefault="00000000">
            <w:pPr>
              <w:spacing w:before="40" w:after="40"/>
              <w:jc w:val="both"/>
            </w:pPr>
            <w:r>
              <w:rPr>
                <w:b/>
                <w:bCs/>
                <w:i/>
                <w:iCs/>
                <w:sz w:val="18"/>
                <w:szCs w:val="18"/>
              </w:rPr>
              <w:t>Bibliografía básica:</w:t>
            </w:r>
          </w:p>
          <w:p w14:paraId="2E3E248C" w14:textId="77777777" w:rsidR="00990B14" w:rsidRDefault="00000000">
            <w:pPr>
              <w:numPr>
                <w:ilvl w:val="0"/>
                <w:numId w:val="140"/>
              </w:numPr>
              <w:spacing w:after="20"/>
              <w:jc w:val="both"/>
            </w:pPr>
            <w:r>
              <w:rPr>
                <w:sz w:val="18"/>
                <w:szCs w:val="18"/>
              </w:rPr>
              <w:t xml:space="preserve">COBIT (s.f.). </w:t>
            </w:r>
            <w:r>
              <w:rPr>
                <w:i/>
                <w:iCs/>
                <w:sz w:val="18"/>
                <w:szCs w:val="18"/>
              </w:rPr>
              <w:t>Implementación y optimización de una solución de gobierno de información y tecnología</w:t>
            </w:r>
            <w:r>
              <w:rPr>
                <w:sz w:val="18"/>
                <w:szCs w:val="18"/>
              </w:rPr>
              <w:t>.</w:t>
            </w:r>
          </w:p>
          <w:p w14:paraId="210CE687" w14:textId="77777777" w:rsidR="00990B14" w:rsidRDefault="00000000">
            <w:pPr>
              <w:numPr>
                <w:ilvl w:val="0"/>
                <w:numId w:val="140"/>
              </w:numPr>
              <w:spacing w:after="20"/>
              <w:jc w:val="both"/>
            </w:pPr>
            <w:r>
              <w:rPr>
                <w:sz w:val="18"/>
                <w:szCs w:val="18"/>
              </w:rPr>
              <w:t xml:space="preserve">COBIT (s.f.). </w:t>
            </w:r>
            <w:r>
              <w:rPr>
                <w:i/>
                <w:iCs/>
                <w:sz w:val="18"/>
                <w:szCs w:val="18"/>
              </w:rPr>
              <w:t>Introducción y metodología</w:t>
            </w:r>
            <w:r>
              <w:rPr>
                <w:sz w:val="18"/>
                <w:szCs w:val="18"/>
              </w:rPr>
              <w:t>.</w:t>
            </w:r>
          </w:p>
          <w:p w14:paraId="06F49074" w14:textId="77777777" w:rsidR="00990B14" w:rsidRDefault="00000000">
            <w:pPr>
              <w:numPr>
                <w:ilvl w:val="0"/>
                <w:numId w:val="140"/>
              </w:numPr>
              <w:spacing w:after="20"/>
              <w:jc w:val="both"/>
            </w:pPr>
            <w:r>
              <w:rPr>
                <w:sz w:val="18"/>
                <w:szCs w:val="18"/>
              </w:rPr>
              <w:t xml:space="preserve">COBIT (s.f.). </w:t>
            </w:r>
            <w:r>
              <w:rPr>
                <w:i/>
                <w:iCs/>
                <w:sz w:val="18"/>
                <w:szCs w:val="18"/>
              </w:rPr>
              <w:t>Objetivos de gobierno y gestión</w:t>
            </w:r>
            <w:r>
              <w:rPr>
                <w:sz w:val="18"/>
                <w:szCs w:val="18"/>
              </w:rPr>
              <w:t>.</w:t>
            </w:r>
          </w:p>
          <w:p w14:paraId="6F566996" w14:textId="77777777" w:rsidR="00990B14" w:rsidRDefault="00000000">
            <w:pPr>
              <w:numPr>
                <w:ilvl w:val="0"/>
                <w:numId w:val="140"/>
              </w:numPr>
              <w:spacing w:after="20"/>
              <w:jc w:val="both"/>
            </w:pPr>
            <w:r>
              <w:rPr>
                <w:sz w:val="18"/>
                <w:szCs w:val="18"/>
              </w:rPr>
              <w:t>Código Civil y Código Penal.</w:t>
            </w:r>
          </w:p>
          <w:p w14:paraId="611D8937" w14:textId="77777777" w:rsidR="00990B14" w:rsidRDefault="00000000">
            <w:pPr>
              <w:numPr>
                <w:ilvl w:val="0"/>
                <w:numId w:val="140"/>
              </w:numPr>
              <w:spacing w:after="20"/>
              <w:jc w:val="both"/>
            </w:pPr>
            <w:r>
              <w:rPr>
                <w:sz w:val="18"/>
                <w:szCs w:val="18"/>
              </w:rPr>
              <w:t>Código de Comercio.</w:t>
            </w:r>
          </w:p>
          <w:p w14:paraId="4525E835" w14:textId="77777777" w:rsidR="00990B14" w:rsidRDefault="00000000">
            <w:pPr>
              <w:numPr>
                <w:ilvl w:val="0"/>
                <w:numId w:val="140"/>
              </w:numPr>
              <w:spacing w:after="20"/>
              <w:jc w:val="both"/>
            </w:pPr>
            <w:r>
              <w:rPr>
                <w:sz w:val="18"/>
                <w:szCs w:val="18"/>
              </w:rPr>
              <w:t xml:space="preserve">Colegio de Auditores o Contadores Públicos de Bolivia, CAUB – Consejo Técnico Nacional de Auditoría y Contabilidad, CTNAC (2023). </w:t>
            </w:r>
            <w:r>
              <w:rPr>
                <w:i/>
                <w:iCs/>
                <w:sz w:val="18"/>
                <w:szCs w:val="18"/>
              </w:rPr>
              <w:t>Compendio de Normas de Contabilidad y Auditoría</w:t>
            </w:r>
            <w:r>
              <w:rPr>
                <w:sz w:val="18"/>
                <w:szCs w:val="18"/>
              </w:rPr>
              <w:t>. Santa Cruz – Bolivia.</w:t>
            </w:r>
          </w:p>
          <w:p w14:paraId="5A4A224D" w14:textId="77777777" w:rsidR="00990B14" w:rsidRDefault="00000000">
            <w:pPr>
              <w:numPr>
                <w:ilvl w:val="0"/>
                <w:numId w:val="140"/>
              </w:numPr>
              <w:spacing w:after="20"/>
              <w:jc w:val="both"/>
            </w:pPr>
            <w:r>
              <w:rPr>
                <w:sz w:val="18"/>
                <w:szCs w:val="18"/>
              </w:rPr>
              <w:t xml:space="preserve">Contraloría General del Estado (2012). </w:t>
            </w:r>
            <w:r>
              <w:rPr>
                <w:i/>
                <w:iCs/>
                <w:sz w:val="18"/>
                <w:szCs w:val="18"/>
              </w:rPr>
              <w:t>Normas de Auditoría de Tecnología de la Información y Comunicación</w:t>
            </w:r>
            <w:r>
              <w:rPr>
                <w:sz w:val="18"/>
                <w:szCs w:val="18"/>
              </w:rPr>
              <w:t>. La Paz – Bolivia.</w:t>
            </w:r>
          </w:p>
          <w:p w14:paraId="6912D723" w14:textId="77777777" w:rsidR="00990B14" w:rsidRDefault="00000000">
            <w:pPr>
              <w:numPr>
                <w:ilvl w:val="0"/>
                <w:numId w:val="140"/>
              </w:numPr>
              <w:spacing w:after="20"/>
              <w:jc w:val="both"/>
            </w:pPr>
            <w:r>
              <w:rPr>
                <w:sz w:val="18"/>
                <w:szCs w:val="18"/>
              </w:rPr>
              <w:t xml:space="preserve">Contraloría General del Estado (2012). </w:t>
            </w:r>
            <w:r>
              <w:rPr>
                <w:i/>
                <w:iCs/>
                <w:sz w:val="18"/>
                <w:szCs w:val="18"/>
              </w:rPr>
              <w:t>Normas de Auditoría Financiera</w:t>
            </w:r>
            <w:r>
              <w:rPr>
                <w:sz w:val="18"/>
                <w:szCs w:val="18"/>
              </w:rPr>
              <w:t>. La Paz – Bolivia.</w:t>
            </w:r>
          </w:p>
          <w:p w14:paraId="12D43A86" w14:textId="77777777" w:rsidR="00990B14" w:rsidRDefault="00000000">
            <w:pPr>
              <w:numPr>
                <w:ilvl w:val="0"/>
                <w:numId w:val="140"/>
              </w:numPr>
              <w:spacing w:after="20"/>
              <w:jc w:val="both"/>
            </w:pPr>
            <w:r>
              <w:rPr>
                <w:sz w:val="18"/>
                <w:szCs w:val="18"/>
              </w:rPr>
              <w:t xml:space="preserve">Contraloría General del Estado (2012). </w:t>
            </w:r>
            <w:r>
              <w:rPr>
                <w:i/>
                <w:iCs/>
                <w:sz w:val="18"/>
                <w:szCs w:val="18"/>
              </w:rPr>
              <w:t>Normas Generales de Auditoría Gubernamental</w:t>
            </w:r>
            <w:r>
              <w:rPr>
                <w:sz w:val="18"/>
                <w:szCs w:val="18"/>
              </w:rPr>
              <w:t>. La Paz – Bolivia.</w:t>
            </w:r>
          </w:p>
          <w:p w14:paraId="72D5F43A" w14:textId="77777777" w:rsidR="00990B14" w:rsidRDefault="00000000">
            <w:pPr>
              <w:numPr>
                <w:ilvl w:val="0"/>
                <w:numId w:val="140"/>
              </w:numPr>
              <w:spacing w:after="20"/>
              <w:jc w:val="both"/>
            </w:pPr>
            <w:r w:rsidRPr="00BD34F7">
              <w:rPr>
                <w:sz w:val="18"/>
                <w:szCs w:val="18"/>
                <w:lang w:val="en-US"/>
              </w:rPr>
              <w:t xml:space="preserve">International Auditing and Assurance Standards Board, IAASB (2011). </w:t>
            </w:r>
            <w:r>
              <w:rPr>
                <w:i/>
                <w:iCs/>
                <w:sz w:val="18"/>
                <w:szCs w:val="18"/>
              </w:rPr>
              <w:t>Guía para el uso de las Normas Internacionales de Auditoría en auditorías de Pequeñas y Medianas Empresas</w:t>
            </w:r>
            <w:r>
              <w:rPr>
                <w:sz w:val="18"/>
                <w:szCs w:val="18"/>
              </w:rPr>
              <w:t>. 3a ed., Volúmenes I y II.</w:t>
            </w:r>
          </w:p>
          <w:p w14:paraId="15075533" w14:textId="77777777" w:rsidR="00990B14" w:rsidRDefault="00000000">
            <w:pPr>
              <w:numPr>
                <w:ilvl w:val="0"/>
                <w:numId w:val="140"/>
              </w:numPr>
              <w:spacing w:after="20"/>
              <w:jc w:val="both"/>
            </w:pPr>
            <w:r w:rsidRPr="00BD34F7">
              <w:rPr>
                <w:sz w:val="18"/>
                <w:szCs w:val="18"/>
                <w:lang w:val="en-US"/>
              </w:rPr>
              <w:t xml:space="preserve">International Auditing and Assurance Standards Board, IAASB (2018). </w:t>
            </w:r>
            <w:r w:rsidRPr="00BD34F7">
              <w:rPr>
                <w:i/>
                <w:iCs/>
                <w:sz w:val="18"/>
                <w:szCs w:val="18"/>
                <w:lang w:val="en-US"/>
              </w:rPr>
              <w:t>Guide to Using ISAs in the Audits of Small and Medium Sized Entities</w:t>
            </w:r>
            <w:r w:rsidRPr="00BD34F7">
              <w:rPr>
                <w:sz w:val="18"/>
                <w:szCs w:val="18"/>
                <w:lang w:val="en-US"/>
              </w:rPr>
              <w:t xml:space="preserve">. </w:t>
            </w:r>
            <w:r>
              <w:rPr>
                <w:sz w:val="18"/>
                <w:szCs w:val="18"/>
              </w:rPr>
              <w:t>4a ed., Volúmenes I y II.</w:t>
            </w:r>
          </w:p>
          <w:p w14:paraId="555C5061" w14:textId="77777777" w:rsidR="00990B14" w:rsidRDefault="00000000">
            <w:pPr>
              <w:numPr>
                <w:ilvl w:val="0"/>
                <w:numId w:val="140"/>
              </w:numPr>
              <w:spacing w:after="20"/>
              <w:jc w:val="both"/>
            </w:pPr>
            <w:r w:rsidRPr="00BD34F7">
              <w:rPr>
                <w:sz w:val="18"/>
                <w:szCs w:val="18"/>
                <w:lang w:val="en-US"/>
              </w:rPr>
              <w:t xml:space="preserve">International Auditing and Assurance Standards Board, IAASB (2020). </w:t>
            </w:r>
            <w:r>
              <w:rPr>
                <w:i/>
                <w:iCs/>
                <w:sz w:val="18"/>
                <w:szCs w:val="18"/>
              </w:rPr>
              <w:t>Manual de Pronunciamientos Internacionales de Control de Calidad, Auditoría, Revisión, Otros Encargos de Aseguramiento y Servicios Relacionados</w:t>
            </w:r>
            <w:r>
              <w:rPr>
                <w:sz w:val="18"/>
                <w:szCs w:val="18"/>
              </w:rPr>
              <w:t>. Edición 2018, Volúmenes I, II y III.</w:t>
            </w:r>
          </w:p>
          <w:p w14:paraId="518484AF" w14:textId="77777777" w:rsidR="00990B14" w:rsidRDefault="00000000">
            <w:pPr>
              <w:numPr>
                <w:ilvl w:val="0"/>
                <w:numId w:val="140"/>
              </w:numPr>
              <w:spacing w:after="20"/>
              <w:jc w:val="both"/>
            </w:pPr>
            <w:r w:rsidRPr="00BD34F7">
              <w:rPr>
                <w:sz w:val="18"/>
                <w:szCs w:val="18"/>
                <w:lang w:val="en-US"/>
              </w:rPr>
              <w:t xml:space="preserve">International Auditing and Assurance Standards Board, IAASB (2023). </w:t>
            </w:r>
            <w:r w:rsidRPr="00BD34F7">
              <w:rPr>
                <w:i/>
                <w:iCs/>
                <w:sz w:val="18"/>
                <w:szCs w:val="18"/>
                <w:lang w:val="en-US"/>
              </w:rPr>
              <w:t>Handbook of International Quality Control, Auditing, Review, Other Assurance, and Related Services Pronouncements</w:t>
            </w:r>
            <w:r w:rsidRPr="00BD34F7">
              <w:rPr>
                <w:sz w:val="18"/>
                <w:szCs w:val="18"/>
                <w:lang w:val="en-US"/>
              </w:rPr>
              <w:t xml:space="preserve">. </w:t>
            </w:r>
            <w:r>
              <w:rPr>
                <w:sz w:val="18"/>
                <w:szCs w:val="18"/>
              </w:rPr>
              <w:t>Edición 2021, Volúmenes I, II y III.</w:t>
            </w:r>
          </w:p>
          <w:p w14:paraId="63E3198B" w14:textId="77777777" w:rsidR="00990B14" w:rsidRDefault="00000000">
            <w:pPr>
              <w:numPr>
                <w:ilvl w:val="0"/>
                <w:numId w:val="140"/>
              </w:numPr>
              <w:spacing w:after="20"/>
              <w:jc w:val="both"/>
            </w:pPr>
            <w:r w:rsidRPr="00BD34F7">
              <w:rPr>
                <w:sz w:val="18"/>
                <w:szCs w:val="18"/>
                <w:lang w:val="en-US"/>
              </w:rPr>
              <w:t xml:space="preserve">International Auditing and Assurance Standards Board, IAASB. </w:t>
            </w:r>
            <w:r>
              <w:rPr>
                <w:sz w:val="18"/>
                <w:szCs w:val="18"/>
              </w:rPr>
              <w:t>Norma Internacional de Encargos de Aseguramiento 3402, Informes de aseguramiento sobre los controles de las organizaciones de servicios. Nueva York.</w:t>
            </w:r>
          </w:p>
          <w:p w14:paraId="1A57DFE3" w14:textId="77777777" w:rsidR="00990B14" w:rsidRDefault="00000000">
            <w:pPr>
              <w:numPr>
                <w:ilvl w:val="0"/>
                <w:numId w:val="140"/>
              </w:numPr>
              <w:spacing w:after="20"/>
              <w:jc w:val="both"/>
            </w:pPr>
            <w:r>
              <w:rPr>
                <w:sz w:val="18"/>
                <w:szCs w:val="18"/>
              </w:rPr>
              <w:t>ISACA (2019). COBIT 2019: marco de referencia, objetivos de gobierno y gestión. Schaumburg – Estados Unidos.</w:t>
            </w:r>
          </w:p>
          <w:p w14:paraId="3834BAA4" w14:textId="77777777" w:rsidR="00990B14" w:rsidRDefault="00000000">
            <w:pPr>
              <w:numPr>
                <w:ilvl w:val="0"/>
                <w:numId w:val="140"/>
              </w:numPr>
              <w:spacing w:after="20"/>
              <w:jc w:val="both"/>
            </w:pPr>
            <w:r>
              <w:rPr>
                <w:sz w:val="18"/>
                <w:szCs w:val="18"/>
              </w:rPr>
              <w:t xml:space="preserve">ISACA (2019). </w:t>
            </w:r>
            <w:r>
              <w:rPr>
                <w:i/>
                <w:iCs/>
                <w:sz w:val="18"/>
                <w:szCs w:val="18"/>
              </w:rPr>
              <w:t>Manual de Preparación para Examen CISA</w:t>
            </w:r>
            <w:r>
              <w:rPr>
                <w:sz w:val="18"/>
                <w:szCs w:val="18"/>
              </w:rPr>
              <w:t>. 26a ed.</w:t>
            </w:r>
          </w:p>
          <w:p w14:paraId="59E901BD" w14:textId="77777777" w:rsidR="00990B14" w:rsidRDefault="00000000">
            <w:pPr>
              <w:numPr>
                <w:ilvl w:val="0"/>
                <w:numId w:val="140"/>
              </w:numPr>
              <w:spacing w:after="20"/>
              <w:jc w:val="both"/>
            </w:pPr>
            <w:r>
              <w:rPr>
                <w:sz w:val="18"/>
                <w:szCs w:val="18"/>
              </w:rPr>
              <w:t xml:space="preserve">ISACA (2019). </w:t>
            </w:r>
            <w:r>
              <w:rPr>
                <w:i/>
                <w:iCs/>
                <w:sz w:val="18"/>
                <w:szCs w:val="18"/>
              </w:rPr>
              <w:t>Manual de Preparación para Examen CISM</w:t>
            </w:r>
            <w:r>
              <w:rPr>
                <w:sz w:val="18"/>
                <w:szCs w:val="18"/>
              </w:rPr>
              <w:t>.</w:t>
            </w:r>
          </w:p>
          <w:p w14:paraId="5AF49988" w14:textId="77777777" w:rsidR="00990B14" w:rsidRDefault="00000000">
            <w:pPr>
              <w:numPr>
                <w:ilvl w:val="0"/>
                <w:numId w:val="140"/>
              </w:numPr>
              <w:spacing w:after="20"/>
              <w:jc w:val="both"/>
            </w:pPr>
            <w:r>
              <w:rPr>
                <w:sz w:val="18"/>
                <w:szCs w:val="18"/>
              </w:rPr>
              <w:t>ISO/IEC 27001.</w:t>
            </w:r>
          </w:p>
          <w:p w14:paraId="74B2E97E" w14:textId="77777777" w:rsidR="00990B14" w:rsidRDefault="00000000">
            <w:pPr>
              <w:numPr>
                <w:ilvl w:val="0"/>
                <w:numId w:val="140"/>
              </w:numPr>
              <w:spacing w:after="20"/>
              <w:jc w:val="both"/>
            </w:pPr>
            <w:r>
              <w:rPr>
                <w:sz w:val="18"/>
                <w:szCs w:val="18"/>
              </w:rPr>
              <w:t>Ley N.º 164 General de Telecomunicaciones y Tecnologías de Información y Comunicación y su Decreto Supremo reglamentario N.º 1793.</w:t>
            </w:r>
          </w:p>
          <w:p w14:paraId="0EB486FB" w14:textId="77777777" w:rsidR="00990B14" w:rsidRDefault="00000000">
            <w:pPr>
              <w:numPr>
                <w:ilvl w:val="0"/>
                <w:numId w:val="140"/>
              </w:numPr>
              <w:spacing w:after="20"/>
              <w:jc w:val="both"/>
            </w:pPr>
            <w:r>
              <w:rPr>
                <w:sz w:val="18"/>
                <w:szCs w:val="18"/>
              </w:rPr>
              <w:t>NTC-ISO-IEC 27001.</w:t>
            </w:r>
          </w:p>
          <w:p w14:paraId="3EAAF691" w14:textId="77777777" w:rsidR="00990B14" w:rsidRDefault="00000000">
            <w:pPr>
              <w:numPr>
                <w:ilvl w:val="0"/>
                <w:numId w:val="140"/>
              </w:numPr>
              <w:spacing w:after="20"/>
              <w:jc w:val="both"/>
            </w:pPr>
            <w:r>
              <w:rPr>
                <w:sz w:val="18"/>
                <w:szCs w:val="18"/>
              </w:rPr>
              <w:t>Organización Internacional de Normalización (2022). ISO/IEC 27001:2022, Sistemas de gestión de la seguridad de la información. Ginebra.</w:t>
            </w:r>
          </w:p>
        </w:tc>
      </w:tr>
      <w:tr w:rsidR="00990B14" w14:paraId="1229FC6B" w14:textId="77777777">
        <w:trPr>
          <w:jc w:val="center"/>
        </w:trPr>
        <w:tc>
          <w:tcPr>
            <w:tcW w:w="9405" w:type="dxa"/>
            <w:shd w:val="clear" w:color="auto" w:fill="D9E2F3"/>
          </w:tcPr>
          <w:p w14:paraId="0F7B9860" w14:textId="77777777" w:rsidR="00990B14" w:rsidRDefault="00000000">
            <w:pPr>
              <w:spacing w:before="40" w:after="40"/>
              <w:jc w:val="both"/>
            </w:pPr>
            <w:r>
              <w:rPr>
                <w:b/>
                <w:bCs/>
                <w:i/>
                <w:iCs/>
                <w:sz w:val="18"/>
                <w:szCs w:val="18"/>
              </w:rPr>
              <w:t>Bibliografía complementaria:</w:t>
            </w:r>
          </w:p>
          <w:p w14:paraId="13916701" w14:textId="77777777" w:rsidR="00990B14" w:rsidRDefault="00000000">
            <w:pPr>
              <w:numPr>
                <w:ilvl w:val="0"/>
                <w:numId w:val="140"/>
              </w:numPr>
              <w:spacing w:after="20"/>
              <w:jc w:val="both"/>
            </w:pPr>
            <w:r>
              <w:rPr>
                <w:sz w:val="18"/>
                <w:szCs w:val="18"/>
              </w:rPr>
              <w:t>Agencia de Gobierno Electrónico y Tecnologías de Información y Comunicación: https://www.agetic.gob.bo e ISACA: https://www.isaca.org</w:t>
            </w:r>
          </w:p>
          <w:p w14:paraId="4C2959D2" w14:textId="77777777" w:rsidR="00990B14" w:rsidRDefault="00000000">
            <w:pPr>
              <w:numPr>
                <w:ilvl w:val="0"/>
                <w:numId w:val="140"/>
              </w:numPr>
              <w:spacing w:after="20"/>
              <w:jc w:val="both"/>
            </w:pPr>
            <w:r>
              <w:rPr>
                <w:sz w:val="18"/>
                <w:szCs w:val="18"/>
              </w:rPr>
              <w:t xml:space="preserve">Baca Urbina, G. (2016). </w:t>
            </w:r>
            <w:r>
              <w:rPr>
                <w:i/>
                <w:iCs/>
                <w:sz w:val="18"/>
                <w:szCs w:val="18"/>
              </w:rPr>
              <w:t>Introducción a la Seguridad Informática</w:t>
            </w:r>
            <w:r>
              <w:rPr>
                <w:sz w:val="18"/>
                <w:szCs w:val="18"/>
              </w:rPr>
              <w:t>. México: Grupo Editorial Patria.</w:t>
            </w:r>
          </w:p>
          <w:p w14:paraId="69679990" w14:textId="77777777" w:rsidR="00990B14" w:rsidRDefault="00000000">
            <w:pPr>
              <w:numPr>
                <w:ilvl w:val="0"/>
                <w:numId w:val="140"/>
              </w:numPr>
              <w:spacing w:after="20"/>
              <w:jc w:val="both"/>
            </w:pPr>
            <w:r>
              <w:rPr>
                <w:sz w:val="18"/>
                <w:szCs w:val="18"/>
              </w:rPr>
              <w:t xml:space="preserve">Calero, C., Moraga, M. y Piattini, M. (2010). </w:t>
            </w:r>
            <w:r>
              <w:rPr>
                <w:i/>
                <w:iCs/>
                <w:sz w:val="18"/>
                <w:szCs w:val="18"/>
              </w:rPr>
              <w:t>Calidad del producto y proceso software</w:t>
            </w:r>
            <w:r>
              <w:rPr>
                <w:sz w:val="18"/>
                <w:szCs w:val="18"/>
              </w:rPr>
              <w:t>. RA-MA.</w:t>
            </w:r>
          </w:p>
          <w:p w14:paraId="467B2611" w14:textId="77777777" w:rsidR="00990B14" w:rsidRDefault="00000000">
            <w:pPr>
              <w:numPr>
                <w:ilvl w:val="0"/>
                <w:numId w:val="140"/>
              </w:numPr>
              <w:spacing w:after="20"/>
              <w:jc w:val="both"/>
            </w:pPr>
            <w:r>
              <w:rPr>
                <w:sz w:val="18"/>
                <w:szCs w:val="18"/>
              </w:rPr>
              <w:t xml:space="preserve">Costas Santos, J. (2011). </w:t>
            </w:r>
            <w:r>
              <w:rPr>
                <w:i/>
                <w:iCs/>
                <w:sz w:val="18"/>
                <w:szCs w:val="18"/>
              </w:rPr>
              <w:t>Seguridad y Alta Disponibilidad</w:t>
            </w:r>
            <w:r>
              <w:rPr>
                <w:sz w:val="18"/>
                <w:szCs w:val="18"/>
              </w:rPr>
              <w:t>. RA-MA.</w:t>
            </w:r>
          </w:p>
          <w:p w14:paraId="7D704492" w14:textId="77777777" w:rsidR="00990B14" w:rsidRDefault="00000000">
            <w:pPr>
              <w:numPr>
                <w:ilvl w:val="0"/>
                <w:numId w:val="140"/>
              </w:numPr>
              <w:spacing w:after="20"/>
              <w:jc w:val="both"/>
            </w:pPr>
            <w:r>
              <w:rPr>
                <w:sz w:val="18"/>
                <w:szCs w:val="18"/>
              </w:rPr>
              <w:t xml:space="preserve">De Miguel, A., Piattini, M. y Marcos, E. (1999). </w:t>
            </w:r>
            <w:r>
              <w:rPr>
                <w:i/>
                <w:iCs/>
                <w:sz w:val="18"/>
                <w:szCs w:val="18"/>
              </w:rPr>
              <w:t>Diseño de bases de datos relacionales</w:t>
            </w:r>
            <w:r>
              <w:rPr>
                <w:sz w:val="18"/>
                <w:szCs w:val="18"/>
              </w:rPr>
              <w:t>. Madrid: RA-MA.</w:t>
            </w:r>
          </w:p>
          <w:p w14:paraId="5703928B" w14:textId="77777777" w:rsidR="00990B14" w:rsidRDefault="00000000">
            <w:pPr>
              <w:numPr>
                <w:ilvl w:val="0"/>
                <w:numId w:val="140"/>
              </w:numPr>
              <w:spacing w:after="20"/>
              <w:jc w:val="both"/>
            </w:pPr>
            <w:r>
              <w:rPr>
                <w:sz w:val="18"/>
                <w:szCs w:val="18"/>
              </w:rPr>
              <w:t xml:space="preserve">Gómez Vieites, Á. (2011). </w:t>
            </w:r>
            <w:r>
              <w:rPr>
                <w:i/>
                <w:iCs/>
                <w:sz w:val="18"/>
                <w:szCs w:val="18"/>
              </w:rPr>
              <w:t>Enciclopedia de la Seguridad Informática</w:t>
            </w:r>
            <w:r>
              <w:rPr>
                <w:sz w:val="18"/>
                <w:szCs w:val="18"/>
              </w:rPr>
              <w:t>. 2a ed. RA-MA.</w:t>
            </w:r>
          </w:p>
          <w:p w14:paraId="3F19C1ED" w14:textId="77777777" w:rsidR="00990B14" w:rsidRDefault="00000000">
            <w:pPr>
              <w:numPr>
                <w:ilvl w:val="0"/>
                <w:numId w:val="140"/>
              </w:numPr>
              <w:spacing w:after="20"/>
              <w:jc w:val="both"/>
            </w:pPr>
            <w:r>
              <w:rPr>
                <w:sz w:val="18"/>
                <w:szCs w:val="18"/>
              </w:rPr>
              <w:t xml:space="preserve">Laudon, K. C. y Laudon, J. P. (2016). </w:t>
            </w:r>
            <w:r>
              <w:rPr>
                <w:i/>
                <w:iCs/>
                <w:sz w:val="18"/>
                <w:szCs w:val="18"/>
              </w:rPr>
              <w:t>Sistemas de información gerencial</w:t>
            </w:r>
            <w:r>
              <w:rPr>
                <w:sz w:val="18"/>
                <w:szCs w:val="18"/>
              </w:rPr>
              <w:t>. 14a ed. México D.F.: Pearson.</w:t>
            </w:r>
          </w:p>
          <w:p w14:paraId="5A317C5C" w14:textId="77777777" w:rsidR="00990B14" w:rsidRDefault="00000000">
            <w:pPr>
              <w:numPr>
                <w:ilvl w:val="0"/>
                <w:numId w:val="140"/>
              </w:numPr>
              <w:spacing w:after="20"/>
              <w:jc w:val="both"/>
            </w:pPr>
            <w:r>
              <w:rPr>
                <w:sz w:val="18"/>
                <w:szCs w:val="18"/>
              </w:rPr>
              <w:t xml:space="preserve">Muñoz Razo, C. (2002). </w:t>
            </w:r>
            <w:r>
              <w:rPr>
                <w:i/>
                <w:iCs/>
                <w:sz w:val="18"/>
                <w:szCs w:val="18"/>
              </w:rPr>
              <w:t>Auditoría en Sistemas Computacionales</w:t>
            </w:r>
            <w:r>
              <w:rPr>
                <w:sz w:val="18"/>
                <w:szCs w:val="18"/>
              </w:rPr>
              <w:t>. Pearson – Prentice Hall.</w:t>
            </w:r>
          </w:p>
          <w:p w14:paraId="377CB867" w14:textId="77777777" w:rsidR="00990B14" w:rsidRDefault="00000000">
            <w:pPr>
              <w:numPr>
                <w:ilvl w:val="0"/>
                <w:numId w:val="140"/>
              </w:numPr>
              <w:spacing w:after="20"/>
              <w:jc w:val="both"/>
            </w:pPr>
            <w:r w:rsidRPr="00BD34F7">
              <w:rPr>
                <w:sz w:val="18"/>
                <w:szCs w:val="18"/>
                <w:lang w:val="en-US"/>
              </w:rPr>
              <w:t xml:space="preserve">National Institute of Standards and Technology, NIST (2024). </w:t>
            </w:r>
            <w:r w:rsidRPr="00BD34F7">
              <w:rPr>
                <w:i/>
                <w:iCs/>
                <w:sz w:val="18"/>
                <w:szCs w:val="18"/>
                <w:lang w:val="en-US"/>
              </w:rPr>
              <w:t>The NIST Cybersecurity Framework (CSF) 2.0</w:t>
            </w:r>
            <w:r w:rsidRPr="00BD34F7">
              <w:rPr>
                <w:sz w:val="18"/>
                <w:szCs w:val="18"/>
                <w:lang w:val="en-US"/>
              </w:rPr>
              <w:t xml:space="preserve">. </w:t>
            </w:r>
            <w:r>
              <w:rPr>
                <w:sz w:val="18"/>
                <w:szCs w:val="18"/>
              </w:rPr>
              <w:t>Gaithersburg: NIST.</w:t>
            </w:r>
          </w:p>
          <w:p w14:paraId="46BB1F3C" w14:textId="77777777" w:rsidR="00990B14" w:rsidRDefault="00000000">
            <w:pPr>
              <w:numPr>
                <w:ilvl w:val="0"/>
                <w:numId w:val="140"/>
              </w:numPr>
              <w:spacing w:after="20"/>
              <w:jc w:val="both"/>
            </w:pPr>
            <w:r>
              <w:rPr>
                <w:sz w:val="18"/>
                <w:szCs w:val="18"/>
              </w:rPr>
              <w:t xml:space="preserve">Piattini, M. y Del Peso, E. (2001). </w:t>
            </w:r>
            <w:r>
              <w:rPr>
                <w:i/>
                <w:iCs/>
                <w:sz w:val="18"/>
                <w:szCs w:val="18"/>
              </w:rPr>
              <w:t>Auditoría Informática: un enfoque práctico</w:t>
            </w:r>
            <w:r>
              <w:rPr>
                <w:sz w:val="18"/>
                <w:szCs w:val="18"/>
              </w:rPr>
              <w:t>. Alfaomega RA-MA.</w:t>
            </w:r>
          </w:p>
          <w:p w14:paraId="13AA1625" w14:textId="77777777" w:rsidR="00990B14" w:rsidRDefault="00000000">
            <w:pPr>
              <w:numPr>
                <w:ilvl w:val="0"/>
                <w:numId w:val="140"/>
              </w:numPr>
              <w:spacing w:after="20"/>
              <w:jc w:val="both"/>
            </w:pPr>
            <w:r>
              <w:rPr>
                <w:sz w:val="18"/>
                <w:szCs w:val="18"/>
              </w:rPr>
              <w:t xml:space="preserve">Piattini, M., Del Peso, E. y Del Peso, M. (s.f.). </w:t>
            </w:r>
            <w:r>
              <w:rPr>
                <w:i/>
                <w:iCs/>
                <w:sz w:val="18"/>
                <w:szCs w:val="18"/>
              </w:rPr>
              <w:t>Auditoría de Tecnologías y Sistemas de Información</w:t>
            </w:r>
            <w:r>
              <w:rPr>
                <w:sz w:val="18"/>
                <w:szCs w:val="18"/>
              </w:rPr>
              <w:t>. Alfaomega RA-MA.</w:t>
            </w:r>
          </w:p>
          <w:p w14:paraId="7F2038A5" w14:textId="77777777" w:rsidR="00990B14" w:rsidRDefault="00000000">
            <w:pPr>
              <w:numPr>
                <w:ilvl w:val="0"/>
                <w:numId w:val="140"/>
              </w:numPr>
              <w:spacing w:after="20"/>
              <w:jc w:val="both"/>
            </w:pPr>
            <w:r>
              <w:rPr>
                <w:sz w:val="18"/>
                <w:szCs w:val="18"/>
              </w:rPr>
              <w:t xml:space="preserve">Pressman, R. (2010). </w:t>
            </w:r>
            <w:r>
              <w:rPr>
                <w:i/>
                <w:iCs/>
                <w:sz w:val="18"/>
                <w:szCs w:val="18"/>
              </w:rPr>
              <w:t>Ingeniería de software: un enfoque práctico</w:t>
            </w:r>
            <w:r>
              <w:rPr>
                <w:sz w:val="18"/>
                <w:szCs w:val="18"/>
              </w:rPr>
              <w:t>. McGraw Hill.</w:t>
            </w:r>
          </w:p>
        </w:tc>
      </w:tr>
    </w:tbl>
    <w:p w14:paraId="6FC54CB1" w14:textId="77777777" w:rsidR="00990B14" w:rsidRDefault="00000000">
      <w:pPr>
        <w:pStyle w:val="TituloPlanAsignatura"/>
        <w:keepNext/>
        <w:pageBreakBefore/>
        <w:spacing w:after="120"/>
        <w:jc w:val="center"/>
        <w:outlineLvl w:val="2"/>
      </w:pPr>
      <w:bookmarkStart w:id="188" w:name="_Toc000000129"/>
      <w:r>
        <w:rPr>
          <w:b/>
          <w:bCs/>
          <w:sz w:val="24"/>
          <w:szCs w:val="24"/>
        </w:rPr>
        <w:t>CPA-506 Reportes y Aseguramiento de Sostenibilidad y Auditoría Ambiental</w:t>
      </w:r>
      <w:bookmarkEnd w:id="188"/>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249"/>
        <w:gridCol w:w="1100"/>
        <w:gridCol w:w="149"/>
        <w:gridCol w:w="635"/>
        <w:gridCol w:w="615"/>
        <w:gridCol w:w="952"/>
        <w:gridCol w:w="298"/>
        <w:gridCol w:w="1250"/>
        <w:gridCol w:w="20"/>
        <w:gridCol w:w="385"/>
        <w:gridCol w:w="398"/>
        <w:gridCol w:w="447"/>
        <w:gridCol w:w="1907"/>
      </w:tblGrid>
      <w:tr w:rsidR="00990B14" w14:paraId="5313BDBC" w14:textId="77777777">
        <w:trPr>
          <w:cantSplit/>
          <w:jc w:val="center"/>
        </w:trPr>
        <w:tc>
          <w:tcPr>
            <w:tcW w:w="2349" w:type="dxa"/>
            <w:gridSpan w:val="2"/>
            <w:shd w:val="clear" w:color="auto" w:fill="4472C4"/>
            <w:vAlign w:val="center"/>
          </w:tcPr>
          <w:p w14:paraId="7F1C0880" w14:textId="77777777" w:rsidR="00990B14" w:rsidRDefault="00000000">
            <w:pPr>
              <w:keepNext/>
              <w:spacing w:before="20" w:after="20"/>
              <w:jc w:val="center"/>
            </w:pPr>
            <w:r>
              <w:rPr>
                <w:b/>
                <w:bCs/>
                <w:i/>
                <w:iCs/>
                <w:color w:val="FFFFFF"/>
                <w:sz w:val="18"/>
                <w:szCs w:val="18"/>
              </w:rPr>
              <w:t>Asignatura</w:t>
            </w:r>
          </w:p>
        </w:tc>
        <w:tc>
          <w:tcPr>
            <w:tcW w:w="2351" w:type="dxa"/>
            <w:gridSpan w:val="4"/>
            <w:shd w:val="clear" w:color="auto" w:fill="4472C4"/>
            <w:vAlign w:val="center"/>
          </w:tcPr>
          <w:p w14:paraId="717F0D69" w14:textId="77777777" w:rsidR="00990B14" w:rsidRDefault="00000000">
            <w:pPr>
              <w:keepNext/>
              <w:spacing w:before="20" w:after="20"/>
              <w:jc w:val="center"/>
            </w:pPr>
            <w:r>
              <w:rPr>
                <w:b/>
                <w:bCs/>
                <w:i/>
                <w:iCs/>
                <w:color w:val="FFFFFF"/>
                <w:sz w:val="18"/>
                <w:szCs w:val="18"/>
              </w:rPr>
              <w:t>Sigla</w:t>
            </w:r>
          </w:p>
        </w:tc>
        <w:tc>
          <w:tcPr>
            <w:tcW w:w="2351" w:type="dxa"/>
            <w:gridSpan w:val="5"/>
            <w:shd w:val="clear" w:color="auto" w:fill="4472C4"/>
            <w:vAlign w:val="center"/>
          </w:tcPr>
          <w:p w14:paraId="3232592D" w14:textId="77777777" w:rsidR="00990B14" w:rsidRDefault="00000000">
            <w:pPr>
              <w:keepNext/>
              <w:spacing w:before="20" w:after="20"/>
              <w:jc w:val="center"/>
            </w:pPr>
            <w:r>
              <w:rPr>
                <w:b/>
                <w:bCs/>
                <w:i/>
                <w:iCs/>
                <w:color w:val="FFFFFF"/>
                <w:sz w:val="18"/>
                <w:szCs w:val="18"/>
              </w:rPr>
              <w:t>Nivel/Área</w:t>
            </w:r>
          </w:p>
        </w:tc>
        <w:tc>
          <w:tcPr>
            <w:tcW w:w="2354" w:type="dxa"/>
            <w:gridSpan w:val="2"/>
            <w:shd w:val="clear" w:color="auto" w:fill="4472C4"/>
            <w:vAlign w:val="center"/>
          </w:tcPr>
          <w:p w14:paraId="5093D9B4" w14:textId="77777777" w:rsidR="00990B14" w:rsidRDefault="00000000">
            <w:pPr>
              <w:keepNext/>
              <w:spacing w:before="20" w:after="20"/>
              <w:jc w:val="center"/>
            </w:pPr>
            <w:r>
              <w:rPr>
                <w:b/>
                <w:bCs/>
                <w:i/>
                <w:iCs/>
                <w:color w:val="FFFFFF"/>
                <w:sz w:val="18"/>
                <w:szCs w:val="18"/>
              </w:rPr>
              <w:t>Prerrequisito</w:t>
            </w:r>
          </w:p>
        </w:tc>
      </w:tr>
      <w:tr w:rsidR="00990B14" w14:paraId="33D909ED" w14:textId="77777777">
        <w:trPr>
          <w:cantSplit/>
          <w:jc w:val="center"/>
        </w:trPr>
        <w:tc>
          <w:tcPr>
            <w:tcW w:w="2349" w:type="dxa"/>
            <w:gridSpan w:val="2"/>
            <w:shd w:val="clear" w:color="auto" w:fill="D9E2F3"/>
            <w:vAlign w:val="center"/>
          </w:tcPr>
          <w:p w14:paraId="3762ABFD" w14:textId="77777777" w:rsidR="00990B14" w:rsidRDefault="00000000">
            <w:pPr>
              <w:spacing w:before="20" w:after="20"/>
              <w:jc w:val="center"/>
            </w:pPr>
            <w:r>
              <w:rPr>
                <w:b/>
                <w:bCs/>
                <w:i/>
                <w:iCs/>
                <w:sz w:val="18"/>
                <w:szCs w:val="18"/>
              </w:rPr>
              <w:t>Reportes y Aseguramiento de Sostenibilidad y Auditoría Ambiental</w:t>
            </w:r>
          </w:p>
        </w:tc>
        <w:tc>
          <w:tcPr>
            <w:tcW w:w="2351" w:type="dxa"/>
            <w:gridSpan w:val="4"/>
            <w:shd w:val="clear" w:color="auto" w:fill="D9E2F3"/>
            <w:vAlign w:val="center"/>
          </w:tcPr>
          <w:p w14:paraId="5F6CE8D1" w14:textId="77777777" w:rsidR="00990B14" w:rsidRDefault="00000000">
            <w:pPr>
              <w:spacing w:before="20" w:after="20"/>
              <w:jc w:val="center"/>
            </w:pPr>
            <w:r>
              <w:rPr>
                <w:b/>
                <w:bCs/>
                <w:i/>
                <w:iCs/>
                <w:sz w:val="18"/>
                <w:szCs w:val="18"/>
              </w:rPr>
              <w:t>CPA-506</w:t>
            </w:r>
          </w:p>
        </w:tc>
        <w:tc>
          <w:tcPr>
            <w:tcW w:w="2351" w:type="dxa"/>
            <w:gridSpan w:val="5"/>
            <w:shd w:val="clear" w:color="auto" w:fill="D9E2F3"/>
            <w:vAlign w:val="center"/>
          </w:tcPr>
          <w:p w14:paraId="702C86F2" w14:textId="77777777" w:rsidR="00990B14" w:rsidRDefault="00000000">
            <w:pPr>
              <w:spacing w:before="20" w:after="20"/>
              <w:jc w:val="center"/>
            </w:pPr>
            <w:r>
              <w:rPr>
                <w:b/>
                <w:bCs/>
                <w:i/>
                <w:iCs/>
                <w:sz w:val="18"/>
                <w:szCs w:val="18"/>
              </w:rPr>
              <w:t>Aseguramiento</w:t>
            </w:r>
          </w:p>
        </w:tc>
        <w:tc>
          <w:tcPr>
            <w:tcW w:w="2354" w:type="dxa"/>
            <w:gridSpan w:val="2"/>
            <w:shd w:val="clear" w:color="auto" w:fill="D9E2F3"/>
            <w:vAlign w:val="center"/>
          </w:tcPr>
          <w:p w14:paraId="7741D6C4" w14:textId="77777777" w:rsidR="00990B14" w:rsidRDefault="00000000">
            <w:pPr>
              <w:spacing w:before="20" w:after="20"/>
              <w:jc w:val="center"/>
            </w:pPr>
            <w:r>
              <w:rPr>
                <w:b/>
                <w:bCs/>
                <w:i/>
                <w:iCs/>
                <w:sz w:val="18"/>
                <w:szCs w:val="18"/>
              </w:rPr>
              <w:t>CPA-401 a CPA-408</w:t>
            </w:r>
          </w:p>
        </w:tc>
      </w:tr>
      <w:tr w:rsidR="00990B14" w14:paraId="29E103CE" w14:textId="77777777">
        <w:trPr>
          <w:cantSplit/>
          <w:jc w:val="center"/>
        </w:trPr>
        <w:tc>
          <w:tcPr>
            <w:tcW w:w="7498" w:type="dxa"/>
            <w:gridSpan w:val="12"/>
            <w:shd w:val="clear" w:color="auto" w:fill="4472C4"/>
            <w:vAlign w:val="center"/>
          </w:tcPr>
          <w:p w14:paraId="285E9228" w14:textId="77777777" w:rsidR="00990B14" w:rsidRDefault="00000000">
            <w:pPr>
              <w:keepNext/>
              <w:spacing w:before="20" w:after="20"/>
              <w:jc w:val="center"/>
            </w:pPr>
            <w:r>
              <w:rPr>
                <w:b/>
                <w:bCs/>
                <w:i/>
                <w:iCs/>
                <w:color w:val="FFFFFF"/>
                <w:sz w:val="18"/>
                <w:szCs w:val="18"/>
              </w:rPr>
              <w:t>Carga Horaria</w:t>
            </w:r>
          </w:p>
        </w:tc>
        <w:tc>
          <w:tcPr>
            <w:tcW w:w="1907" w:type="dxa"/>
            <w:shd w:val="clear" w:color="auto" w:fill="4472C4"/>
            <w:vAlign w:val="center"/>
          </w:tcPr>
          <w:p w14:paraId="4F19BFD4" w14:textId="77777777" w:rsidR="00990B14" w:rsidRDefault="00000000">
            <w:pPr>
              <w:keepNext/>
              <w:spacing w:before="20" w:after="20"/>
              <w:jc w:val="center"/>
            </w:pPr>
            <w:r>
              <w:rPr>
                <w:b/>
                <w:bCs/>
                <w:i/>
                <w:iCs/>
                <w:color w:val="FFFFFF"/>
                <w:sz w:val="18"/>
                <w:szCs w:val="18"/>
              </w:rPr>
              <w:t>Créditos</w:t>
            </w:r>
          </w:p>
        </w:tc>
      </w:tr>
      <w:tr w:rsidR="00990B14" w14:paraId="41B00DE6" w14:textId="77777777">
        <w:trPr>
          <w:cantSplit/>
          <w:jc w:val="center"/>
        </w:trPr>
        <w:tc>
          <w:tcPr>
            <w:tcW w:w="1249" w:type="dxa"/>
            <w:shd w:val="clear" w:color="auto" w:fill="4472C4"/>
            <w:vAlign w:val="center"/>
          </w:tcPr>
          <w:p w14:paraId="385BBCDE" w14:textId="77777777" w:rsidR="00990B14" w:rsidRDefault="00000000">
            <w:pPr>
              <w:keepNext/>
              <w:spacing w:before="20" w:after="20"/>
              <w:jc w:val="center"/>
            </w:pPr>
            <w:r>
              <w:rPr>
                <w:b/>
                <w:bCs/>
                <w:i/>
                <w:iCs/>
                <w:color w:val="FFFFFF"/>
                <w:sz w:val="18"/>
                <w:szCs w:val="18"/>
              </w:rPr>
              <w:t>HP</w:t>
            </w:r>
          </w:p>
        </w:tc>
        <w:tc>
          <w:tcPr>
            <w:tcW w:w="1249" w:type="dxa"/>
            <w:gridSpan w:val="2"/>
            <w:shd w:val="clear" w:color="auto" w:fill="4472C4"/>
            <w:vAlign w:val="center"/>
          </w:tcPr>
          <w:p w14:paraId="326971FB" w14:textId="77777777" w:rsidR="00990B14" w:rsidRDefault="00000000">
            <w:pPr>
              <w:keepNext/>
              <w:spacing w:before="20" w:after="20"/>
              <w:jc w:val="center"/>
            </w:pPr>
            <w:r>
              <w:rPr>
                <w:b/>
                <w:bCs/>
                <w:i/>
                <w:iCs/>
                <w:color w:val="FFFFFF"/>
                <w:sz w:val="18"/>
                <w:szCs w:val="18"/>
              </w:rPr>
              <w:t>HAA</w:t>
            </w:r>
          </w:p>
        </w:tc>
        <w:tc>
          <w:tcPr>
            <w:tcW w:w="1250" w:type="dxa"/>
            <w:gridSpan w:val="2"/>
            <w:shd w:val="clear" w:color="auto" w:fill="4472C4"/>
            <w:vAlign w:val="center"/>
          </w:tcPr>
          <w:p w14:paraId="12468227" w14:textId="77777777" w:rsidR="00990B14" w:rsidRDefault="00000000">
            <w:pPr>
              <w:keepNext/>
              <w:spacing w:before="20" w:after="20"/>
              <w:jc w:val="center"/>
            </w:pPr>
            <w:r>
              <w:rPr>
                <w:b/>
                <w:bCs/>
                <w:i/>
                <w:iCs/>
                <w:color w:val="FFFFFF"/>
                <w:sz w:val="18"/>
                <w:szCs w:val="18"/>
              </w:rPr>
              <w:t>HTG</w:t>
            </w:r>
          </w:p>
        </w:tc>
        <w:tc>
          <w:tcPr>
            <w:tcW w:w="1250" w:type="dxa"/>
            <w:gridSpan w:val="2"/>
            <w:shd w:val="clear" w:color="auto" w:fill="4472C4"/>
            <w:vAlign w:val="center"/>
          </w:tcPr>
          <w:p w14:paraId="35FBCF16" w14:textId="77777777" w:rsidR="00990B14" w:rsidRDefault="00000000">
            <w:pPr>
              <w:keepNext/>
              <w:spacing w:before="20" w:after="20"/>
              <w:jc w:val="center"/>
            </w:pPr>
            <w:r>
              <w:rPr>
                <w:b/>
                <w:bCs/>
                <w:i/>
                <w:iCs/>
                <w:color w:val="FFFFFF"/>
                <w:sz w:val="18"/>
                <w:szCs w:val="18"/>
              </w:rPr>
              <w:t>HIP</w:t>
            </w:r>
          </w:p>
        </w:tc>
        <w:tc>
          <w:tcPr>
            <w:tcW w:w="1250" w:type="dxa"/>
            <w:shd w:val="clear" w:color="auto" w:fill="4472C4"/>
            <w:vAlign w:val="center"/>
          </w:tcPr>
          <w:p w14:paraId="18444C52" w14:textId="77777777" w:rsidR="00990B14" w:rsidRDefault="00000000">
            <w:pPr>
              <w:keepNext/>
              <w:spacing w:before="20" w:after="20"/>
              <w:jc w:val="center"/>
            </w:pPr>
            <w:r>
              <w:rPr>
                <w:b/>
                <w:bCs/>
                <w:i/>
                <w:iCs/>
                <w:color w:val="FFFFFF"/>
                <w:sz w:val="18"/>
                <w:szCs w:val="18"/>
              </w:rPr>
              <w:t>HE</w:t>
            </w:r>
          </w:p>
        </w:tc>
        <w:tc>
          <w:tcPr>
            <w:tcW w:w="1250" w:type="dxa"/>
            <w:gridSpan w:val="4"/>
            <w:shd w:val="clear" w:color="auto" w:fill="4472C4"/>
            <w:vAlign w:val="center"/>
          </w:tcPr>
          <w:p w14:paraId="0F30AAA7" w14:textId="77777777" w:rsidR="00990B14" w:rsidRDefault="00000000">
            <w:pPr>
              <w:keepNext/>
              <w:spacing w:before="20" w:after="20"/>
              <w:jc w:val="center"/>
            </w:pPr>
            <w:r>
              <w:rPr>
                <w:b/>
                <w:bCs/>
                <w:i/>
                <w:iCs/>
                <w:color w:val="FFFFFF"/>
                <w:sz w:val="18"/>
                <w:szCs w:val="18"/>
              </w:rPr>
              <w:t>TOTAL</w:t>
            </w:r>
          </w:p>
        </w:tc>
        <w:tc>
          <w:tcPr>
            <w:tcW w:w="1907" w:type="dxa"/>
            <w:vMerge w:val="restart"/>
            <w:shd w:val="clear" w:color="auto" w:fill="D9E2F3"/>
            <w:vAlign w:val="center"/>
          </w:tcPr>
          <w:p w14:paraId="590F795F" w14:textId="77777777" w:rsidR="00990B14" w:rsidRDefault="00000000">
            <w:pPr>
              <w:spacing w:before="20" w:after="20"/>
              <w:jc w:val="center"/>
            </w:pPr>
            <w:r>
              <w:rPr>
                <w:sz w:val="18"/>
                <w:szCs w:val="18"/>
              </w:rPr>
              <w:t>4</w:t>
            </w:r>
          </w:p>
        </w:tc>
      </w:tr>
      <w:tr w:rsidR="00990B14" w14:paraId="5BF65D27" w14:textId="77777777">
        <w:trPr>
          <w:cantSplit/>
          <w:jc w:val="center"/>
        </w:trPr>
        <w:tc>
          <w:tcPr>
            <w:tcW w:w="1249" w:type="dxa"/>
            <w:shd w:val="clear" w:color="auto" w:fill="D9E2F3"/>
            <w:vAlign w:val="center"/>
          </w:tcPr>
          <w:p w14:paraId="1A1208F9" w14:textId="77777777" w:rsidR="00990B14" w:rsidRDefault="00000000">
            <w:pPr>
              <w:spacing w:before="20" w:after="20"/>
              <w:jc w:val="center"/>
            </w:pPr>
            <w:r>
              <w:rPr>
                <w:sz w:val="18"/>
                <w:szCs w:val="18"/>
              </w:rPr>
              <w:t>80</w:t>
            </w:r>
          </w:p>
        </w:tc>
        <w:tc>
          <w:tcPr>
            <w:tcW w:w="1249" w:type="dxa"/>
            <w:gridSpan w:val="2"/>
            <w:shd w:val="clear" w:color="auto" w:fill="D9E2F3"/>
            <w:vAlign w:val="center"/>
          </w:tcPr>
          <w:p w14:paraId="40EEF8D2" w14:textId="77777777" w:rsidR="00990B14" w:rsidRDefault="00000000">
            <w:pPr>
              <w:spacing w:before="20" w:after="20"/>
              <w:jc w:val="center"/>
            </w:pPr>
            <w:r>
              <w:rPr>
                <w:sz w:val="18"/>
                <w:szCs w:val="18"/>
              </w:rPr>
              <w:t>10</w:t>
            </w:r>
          </w:p>
        </w:tc>
        <w:tc>
          <w:tcPr>
            <w:tcW w:w="1250" w:type="dxa"/>
            <w:gridSpan w:val="2"/>
            <w:shd w:val="clear" w:color="auto" w:fill="D9E2F3"/>
            <w:vAlign w:val="center"/>
          </w:tcPr>
          <w:p w14:paraId="2ACC6B41" w14:textId="77777777" w:rsidR="00990B14" w:rsidRDefault="00000000">
            <w:pPr>
              <w:spacing w:before="20" w:after="20"/>
              <w:jc w:val="center"/>
            </w:pPr>
            <w:r>
              <w:rPr>
                <w:sz w:val="18"/>
                <w:szCs w:val="18"/>
              </w:rPr>
              <w:t>10</w:t>
            </w:r>
          </w:p>
        </w:tc>
        <w:tc>
          <w:tcPr>
            <w:tcW w:w="1250" w:type="dxa"/>
            <w:gridSpan w:val="2"/>
            <w:shd w:val="clear" w:color="auto" w:fill="D9E2F3"/>
            <w:vAlign w:val="center"/>
          </w:tcPr>
          <w:p w14:paraId="7F3B63B7" w14:textId="77777777" w:rsidR="00990B14" w:rsidRDefault="00000000">
            <w:pPr>
              <w:spacing w:before="20" w:after="20"/>
              <w:jc w:val="center"/>
            </w:pPr>
            <w:r>
              <w:rPr>
                <w:sz w:val="18"/>
                <w:szCs w:val="18"/>
              </w:rPr>
              <w:t>10</w:t>
            </w:r>
          </w:p>
        </w:tc>
        <w:tc>
          <w:tcPr>
            <w:tcW w:w="1250" w:type="dxa"/>
            <w:shd w:val="clear" w:color="auto" w:fill="D9E2F3"/>
            <w:vAlign w:val="center"/>
          </w:tcPr>
          <w:p w14:paraId="246D7225" w14:textId="77777777" w:rsidR="00990B14" w:rsidRDefault="00000000">
            <w:pPr>
              <w:spacing w:before="20" w:after="20"/>
              <w:jc w:val="center"/>
            </w:pPr>
            <w:r>
              <w:rPr>
                <w:sz w:val="18"/>
                <w:szCs w:val="18"/>
              </w:rPr>
              <w:t>10</w:t>
            </w:r>
          </w:p>
        </w:tc>
        <w:tc>
          <w:tcPr>
            <w:tcW w:w="1250" w:type="dxa"/>
            <w:gridSpan w:val="4"/>
            <w:shd w:val="clear" w:color="auto" w:fill="D9E2F3"/>
            <w:vAlign w:val="center"/>
          </w:tcPr>
          <w:p w14:paraId="15C0C94A" w14:textId="77777777" w:rsidR="00990B14" w:rsidRDefault="00000000">
            <w:pPr>
              <w:spacing w:before="20" w:after="20"/>
              <w:jc w:val="center"/>
            </w:pPr>
            <w:r>
              <w:rPr>
                <w:sz w:val="18"/>
                <w:szCs w:val="18"/>
              </w:rPr>
              <w:t>120</w:t>
            </w:r>
          </w:p>
        </w:tc>
        <w:tc>
          <w:tcPr>
            <w:tcW w:w="1907" w:type="dxa"/>
            <w:vMerge/>
            <w:shd w:val="clear" w:color="auto" w:fill="D9E2F3"/>
            <w:vAlign w:val="center"/>
          </w:tcPr>
          <w:p w14:paraId="1FF6D92D" w14:textId="77777777" w:rsidR="00990B14" w:rsidRDefault="00990B14">
            <w:pPr>
              <w:spacing w:before="20" w:after="20"/>
            </w:pPr>
          </w:p>
        </w:tc>
      </w:tr>
      <w:tr w:rsidR="00990B14" w14:paraId="30E032F6" w14:textId="77777777">
        <w:trPr>
          <w:cantSplit/>
          <w:jc w:val="center"/>
        </w:trPr>
        <w:tc>
          <w:tcPr>
            <w:tcW w:w="9405" w:type="dxa"/>
            <w:gridSpan w:val="13"/>
            <w:shd w:val="clear" w:color="auto" w:fill="4472C4"/>
            <w:vAlign w:val="center"/>
          </w:tcPr>
          <w:p w14:paraId="156077CA" w14:textId="77777777" w:rsidR="00990B14" w:rsidRDefault="00000000">
            <w:pPr>
              <w:keepNext/>
              <w:spacing w:before="20" w:after="20"/>
              <w:jc w:val="center"/>
            </w:pPr>
            <w:r>
              <w:rPr>
                <w:b/>
                <w:bCs/>
                <w:i/>
                <w:iCs/>
                <w:color w:val="FFFFFF"/>
                <w:sz w:val="18"/>
                <w:szCs w:val="18"/>
              </w:rPr>
              <w:t>Unidad de Competencia</w:t>
            </w:r>
          </w:p>
        </w:tc>
      </w:tr>
      <w:tr w:rsidR="00990B14" w14:paraId="0DFDB9EC" w14:textId="77777777">
        <w:trPr>
          <w:cantSplit/>
          <w:jc w:val="center"/>
        </w:trPr>
        <w:tc>
          <w:tcPr>
            <w:tcW w:w="9405" w:type="dxa"/>
            <w:gridSpan w:val="13"/>
            <w:shd w:val="clear" w:color="auto" w:fill="D9E2F3"/>
            <w:vAlign w:val="center"/>
          </w:tcPr>
          <w:p w14:paraId="240FD226" w14:textId="77777777" w:rsidR="00990B14" w:rsidRDefault="00000000">
            <w:pPr>
              <w:spacing w:before="20" w:after="20"/>
              <w:jc w:val="both"/>
            </w:pPr>
            <w:r>
              <w:rPr>
                <w:sz w:val="18"/>
                <w:szCs w:val="18"/>
              </w:rPr>
              <w:t>Elabora el reporte de sostenibilidad conforme a las NIIF de Sostenibilidad, el informe de aseguramiento de la sostenibilidad y de auditoría ambiental de entidades públicas y privadas bolivianas conforme a los pronunciamientos profesionales locales e internacionales vigentes, analizando la información financiera de sostenibilidad y el marco normativo ambiental del Estado boliviano, ejecutando las etapas de la auditoría ambiental gubernamental conforme a normas emitidas por el sector gubernamental y contraloría en temas ambientales, normas de las Entidades Fiscalizadoras Superiores y valorando los riesgos y oportunidades relacionados con el medio ambiente, social, gobernanza; con independencia, objetividad, juicio crítico y compromiso con el desarrollo sostenible.</w:t>
            </w:r>
          </w:p>
        </w:tc>
      </w:tr>
      <w:tr w:rsidR="00990B14" w14:paraId="763210E0" w14:textId="77777777">
        <w:trPr>
          <w:cantSplit/>
          <w:jc w:val="center"/>
        </w:trPr>
        <w:tc>
          <w:tcPr>
            <w:tcW w:w="9405" w:type="dxa"/>
            <w:gridSpan w:val="13"/>
            <w:shd w:val="clear" w:color="auto" w:fill="D9E2F3"/>
            <w:vAlign w:val="center"/>
          </w:tcPr>
          <w:p w14:paraId="59D25C76" w14:textId="77777777" w:rsidR="00990B14" w:rsidRDefault="00000000">
            <w:pPr>
              <w:spacing w:before="20" w:after="20"/>
              <w:jc w:val="both"/>
            </w:pPr>
            <w:r>
              <w:rPr>
                <w:b/>
                <w:bCs/>
                <w:i/>
                <w:iCs/>
                <w:sz w:val="18"/>
                <w:szCs w:val="18"/>
              </w:rPr>
              <w:t xml:space="preserve">Elemento de competencia 1: </w:t>
            </w:r>
            <w:r>
              <w:rPr>
                <w:sz w:val="18"/>
                <w:szCs w:val="18"/>
              </w:rPr>
              <w:t>Prepara el reporte de sostenibilidad de una entidad conforme a las NIIF de Sostenibilidad, analizando el marco normativo de la gestión ambiental en Bolivia y relacionando los requisitos de revelación con los indicadores ESG (ambiental, social, gobernanza) de la entidad.</w:t>
            </w:r>
          </w:p>
        </w:tc>
      </w:tr>
      <w:tr w:rsidR="00990B14" w14:paraId="3A7DEFDD" w14:textId="77777777">
        <w:trPr>
          <w:cantSplit/>
          <w:jc w:val="center"/>
        </w:trPr>
        <w:tc>
          <w:tcPr>
            <w:tcW w:w="3133" w:type="dxa"/>
            <w:gridSpan w:val="4"/>
            <w:shd w:val="clear" w:color="auto" w:fill="4472C4"/>
            <w:vAlign w:val="center"/>
          </w:tcPr>
          <w:p w14:paraId="79BE64CC"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182DD707"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319EF731" w14:textId="77777777" w:rsidR="00990B14" w:rsidRDefault="00000000">
            <w:pPr>
              <w:keepNext/>
              <w:spacing w:before="20" w:after="20"/>
              <w:jc w:val="center"/>
            </w:pPr>
            <w:r>
              <w:rPr>
                <w:b/>
                <w:bCs/>
                <w:i/>
                <w:iCs/>
                <w:color w:val="FFFFFF"/>
                <w:sz w:val="18"/>
                <w:szCs w:val="18"/>
              </w:rPr>
              <w:t>Evidencias de producto</w:t>
            </w:r>
          </w:p>
        </w:tc>
      </w:tr>
      <w:tr w:rsidR="00990B14" w14:paraId="6EDCA974" w14:textId="77777777">
        <w:trPr>
          <w:cantSplit/>
          <w:jc w:val="center"/>
        </w:trPr>
        <w:tc>
          <w:tcPr>
            <w:tcW w:w="3133" w:type="dxa"/>
            <w:gridSpan w:val="4"/>
            <w:vMerge w:val="restart"/>
            <w:shd w:val="clear" w:color="auto" w:fill="D9E2F3"/>
            <w:vAlign w:val="center"/>
          </w:tcPr>
          <w:p w14:paraId="0C67BBB1" w14:textId="77777777" w:rsidR="00990B14" w:rsidRDefault="00000000">
            <w:pPr>
              <w:spacing w:before="20" w:after="20"/>
              <w:jc w:val="both"/>
            </w:pPr>
            <w:r>
              <w:rPr>
                <w:sz w:val="18"/>
                <w:szCs w:val="18"/>
              </w:rPr>
              <w:t>1. Analiza el marco normativo boliviano de gestión y control ambiental y los marcos internacionales de sostenibilidad, identificando las obligaciones de revelación que imponen a la entidad.</w:t>
            </w:r>
          </w:p>
        </w:tc>
        <w:tc>
          <w:tcPr>
            <w:tcW w:w="3135" w:type="dxa"/>
            <w:gridSpan w:val="5"/>
            <w:shd w:val="clear" w:color="auto" w:fill="D9E2F3"/>
            <w:vAlign w:val="center"/>
          </w:tcPr>
          <w:p w14:paraId="029836F1" w14:textId="77777777" w:rsidR="00990B14" w:rsidRDefault="00000000">
            <w:pPr>
              <w:spacing w:before="20" w:after="20"/>
              <w:jc w:val="both"/>
            </w:pPr>
            <w:r>
              <w:rPr>
                <w:sz w:val="18"/>
                <w:szCs w:val="18"/>
              </w:rPr>
              <w:t>1.1 Sintetiza en equipo las obligaciones del marco normativo boliviano e internacional aplicables a un sector económico en temas ambientales, sociales y de gobernanza.</w:t>
            </w:r>
          </w:p>
        </w:tc>
        <w:tc>
          <w:tcPr>
            <w:tcW w:w="3137" w:type="dxa"/>
            <w:gridSpan w:val="4"/>
            <w:shd w:val="clear" w:color="auto" w:fill="D9E2F3"/>
            <w:vAlign w:val="center"/>
          </w:tcPr>
          <w:p w14:paraId="24807386" w14:textId="77777777" w:rsidR="00990B14" w:rsidRDefault="00000000">
            <w:pPr>
              <w:spacing w:before="20" w:after="20"/>
              <w:jc w:val="both"/>
            </w:pPr>
            <w:r>
              <w:rPr>
                <w:b/>
                <w:bCs/>
                <w:sz w:val="18"/>
                <w:szCs w:val="18"/>
              </w:rPr>
              <w:t xml:space="preserve">Producto 1: </w:t>
            </w:r>
            <w:r>
              <w:rPr>
                <w:sz w:val="18"/>
                <w:szCs w:val="18"/>
              </w:rPr>
              <w:t>Cuadro del marco normativo ambiental boliviano con las obligaciones que impone a las organizaciones públicas y privadas.</w:t>
            </w:r>
          </w:p>
        </w:tc>
      </w:tr>
      <w:tr w:rsidR="00990B14" w14:paraId="2409BF1F" w14:textId="77777777">
        <w:trPr>
          <w:cantSplit/>
          <w:jc w:val="center"/>
        </w:trPr>
        <w:tc>
          <w:tcPr>
            <w:tcW w:w="3133" w:type="dxa"/>
            <w:gridSpan w:val="4"/>
            <w:vMerge/>
            <w:shd w:val="clear" w:color="auto" w:fill="D9E2F3"/>
            <w:vAlign w:val="center"/>
          </w:tcPr>
          <w:p w14:paraId="225DCCD1" w14:textId="77777777" w:rsidR="00990B14" w:rsidRDefault="00990B14">
            <w:pPr>
              <w:spacing w:before="20" w:after="20"/>
            </w:pPr>
          </w:p>
        </w:tc>
        <w:tc>
          <w:tcPr>
            <w:tcW w:w="3135" w:type="dxa"/>
            <w:gridSpan w:val="5"/>
            <w:shd w:val="clear" w:color="auto" w:fill="D9E2F3"/>
            <w:vAlign w:val="center"/>
          </w:tcPr>
          <w:p w14:paraId="03872334" w14:textId="77777777" w:rsidR="00990B14" w:rsidRDefault="00000000">
            <w:pPr>
              <w:spacing w:before="20" w:after="20"/>
              <w:jc w:val="both"/>
            </w:pPr>
            <w:r>
              <w:rPr>
                <w:sz w:val="18"/>
                <w:szCs w:val="18"/>
              </w:rPr>
              <w:t>1.2 Elabora con los hallazgos de cumplimiento legal vigente los atributos de la auditoría ambiental.</w:t>
            </w:r>
          </w:p>
        </w:tc>
        <w:tc>
          <w:tcPr>
            <w:tcW w:w="3137" w:type="dxa"/>
            <w:gridSpan w:val="4"/>
            <w:shd w:val="clear" w:color="auto" w:fill="D9E2F3"/>
            <w:vAlign w:val="center"/>
          </w:tcPr>
          <w:p w14:paraId="725E3AFC" w14:textId="77777777" w:rsidR="00990B14" w:rsidRDefault="00000000">
            <w:pPr>
              <w:spacing w:before="20" w:after="20"/>
              <w:jc w:val="both"/>
            </w:pPr>
            <w:r>
              <w:rPr>
                <w:b/>
                <w:bCs/>
                <w:sz w:val="18"/>
                <w:szCs w:val="18"/>
              </w:rPr>
              <w:t xml:space="preserve">Producto 2: </w:t>
            </w:r>
            <w:r>
              <w:rPr>
                <w:sz w:val="18"/>
                <w:szCs w:val="18"/>
              </w:rPr>
              <w:t>Cuadro comparativo de los marcos internacionales de información de sostenibilidad.</w:t>
            </w:r>
          </w:p>
        </w:tc>
      </w:tr>
      <w:tr w:rsidR="00990B14" w14:paraId="4AEA4F37" w14:textId="77777777">
        <w:trPr>
          <w:cantSplit/>
          <w:jc w:val="center"/>
        </w:trPr>
        <w:tc>
          <w:tcPr>
            <w:tcW w:w="3133" w:type="dxa"/>
            <w:gridSpan w:val="4"/>
            <w:vMerge w:val="restart"/>
            <w:shd w:val="clear" w:color="auto" w:fill="D9E2F3"/>
            <w:vAlign w:val="center"/>
          </w:tcPr>
          <w:p w14:paraId="24F5DF8E" w14:textId="77777777" w:rsidR="00990B14" w:rsidRDefault="00000000">
            <w:pPr>
              <w:spacing w:before="20" w:after="20"/>
              <w:jc w:val="both"/>
            </w:pPr>
            <w:r>
              <w:rPr>
                <w:sz w:val="18"/>
                <w:szCs w:val="18"/>
              </w:rPr>
              <w:t>2. Prepara el reporte de sostenibilidad de una entidad con los cuatro pilares de revelación de las NIIF de Sostenibilidad, evaluando la materialidad de los asuntos y los riesgos y oportunidades relacionados con el clima y ESG.</w:t>
            </w:r>
          </w:p>
        </w:tc>
        <w:tc>
          <w:tcPr>
            <w:tcW w:w="3135" w:type="dxa"/>
            <w:gridSpan w:val="5"/>
            <w:shd w:val="clear" w:color="auto" w:fill="D9E2F3"/>
            <w:vAlign w:val="center"/>
          </w:tcPr>
          <w:p w14:paraId="078E1585" w14:textId="77777777" w:rsidR="00990B14" w:rsidRDefault="00000000">
            <w:pPr>
              <w:spacing w:before="20" w:after="20"/>
              <w:jc w:val="both"/>
            </w:pPr>
            <w:r>
              <w:rPr>
                <w:sz w:val="18"/>
                <w:szCs w:val="18"/>
              </w:rPr>
              <w:t>2.1 Compara en aula los marcos de la Fundación NIIF en Sostenibilidad, las normas europeas ESRS - ESG – GRI y los estándares SASB del sector de la organización.</w:t>
            </w:r>
          </w:p>
        </w:tc>
        <w:tc>
          <w:tcPr>
            <w:tcW w:w="3137" w:type="dxa"/>
            <w:gridSpan w:val="4"/>
            <w:shd w:val="clear" w:color="auto" w:fill="D9E2F3"/>
            <w:vAlign w:val="center"/>
          </w:tcPr>
          <w:p w14:paraId="70DC3501" w14:textId="77777777" w:rsidR="00990B14" w:rsidRDefault="00000000">
            <w:pPr>
              <w:spacing w:before="20" w:after="20"/>
              <w:jc w:val="both"/>
            </w:pPr>
            <w:r>
              <w:rPr>
                <w:b/>
                <w:bCs/>
                <w:sz w:val="18"/>
                <w:szCs w:val="18"/>
              </w:rPr>
              <w:t xml:space="preserve">Producto 3: </w:t>
            </w:r>
            <w:r>
              <w:rPr>
                <w:sz w:val="18"/>
                <w:szCs w:val="18"/>
              </w:rPr>
              <w:t>Matriz de materialidad y de riesgos y oportunidades relacionados con el clima por horizonte temporal.</w:t>
            </w:r>
          </w:p>
        </w:tc>
      </w:tr>
      <w:tr w:rsidR="00990B14" w14:paraId="08656890" w14:textId="77777777">
        <w:trPr>
          <w:cantSplit/>
          <w:jc w:val="center"/>
        </w:trPr>
        <w:tc>
          <w:tcPr>
            <w:tcW w:w="3133" w:type="dxa"/>
            <w:gridSpan w:val="4"/>
            <w:vMerge/>
            <w:shd w:val="clear" w:color="auto" w:fill="D9E2F3"/>
            <w:vAlign w:val="center"/>
          </w:tcPr>
          <w:p w14:paraId="19EDC188" w14:textId="77777777" w:rsidR="00990B14" w:rsidRDefault="00990B14">
            <w:pPr>
              <w:spacing w:before="20" w:after="20"/>
            </w:pPr>
          </w:p>
        </w:tc>
        <w:tc>
          <w:tcPr>
            <w:tcW w:w="3135" w:type="dxa"/>
            <w:gridSpan w:val="5"/>
            <w:shd w:val="clear" w:color="auto" w:fill="D9E2F3"/>
            <w:vAlign w:val="center"/>
          </w:tcPr>
          <w:p w14:paraId="51263BFF" w14:textId="77777777" w:rsidR="00990B14" w:rsidRDefault="00000000">
            <w:pPr>
              <w:spacing w:before="20" w:after="20"/>
              <w:jc w:val="both"/>
            </w:pPr>
            <w:r>
              <w:rPr>
                <w:sz w:val="18"/>
                <w:szCs w:val="18"/>
              </w:rPr>
              <w:t>2.2 Elabora en equipo el reporte de sostenibilidad con sus indicadores ESG de acuerdo a los Objetivos de Desarrollo Sostenible.</w:t>
            </w:r>
          </w:p>
        </w:tc>
        <w:tc>
          <w:tcPr>
            <w:tcW w:w="3137" w:type="dxa"/>
            <w:gridSpan w:val="4"/>
            <w:shd w:val="clear" w:color="auto" w:fill="D9E2F3"/>
            <w:vAlign w:val="center"/>
          </w:tcPr>
          <w:p w14:paraId="42D88B51" w14:textId="77777777" w:rsidR="00990B14" w:rsidRDefault="00000000">
            <w:pPr>
              <w:spacing w:before="20" w:after="20"/>
              <w:jc w:val="both"/>
            </w:pPr>
            <w:r>
              <w:rPr>
                <w:b/>
                <w:bCs/>
                <w:sz w:val="18"/>
                <w:szCs w:val="18"/>
              </w:rPr>
              <w:t xml:space="preserve">Producto 4: </w:t>
            </w:r>
            <w:r>
              <w:rPr>
                <w:sz w:val="18"/>
                <w:szCs w:val="18"/>
              </w:rPr>
              <w:t>Reporte de sostenibilidad de una entidad boliviana con sus indicadores ESG.</w:t>
            </w:r>
          </w:p>
        </w:tc>
      </w:tr>
      <w:tr w:rsidR="00990B14" w14:paraId="1AA68906" w14:textId="77777777">
        <w:trPr>
          <w:cantSplit/>
          <w:jc w:val="center"/>
        </w:trPr>
        <w:tc>
          <w:tcPr>
            <w:tcW w:w="9405" w:type="dxa"/>
            <w:gridSpan w:val="13"/>
            <w:shd w:val="clear" w:color="auto" w:fill="4472C4"/>
            <w:vAlign w:val="center"/>
          </w:tcPr>
          <w:p w14:paraId="35691063" w14:textId="77777777" w:rsidR="00990B14" w:rsidRDefault="00000000">
            <w:pPr>
              <w:keepNext/>
              <w:spacing w:before="20" w:after="20"/>
              <w:jc w:val="center"/>
            </w:pPr>
            <w:r>
              <w:rPr>
                <w:b/>
                <w:bCs/>
                <w:i/>
                <w:iCs/>
                <w:color w:val="FFFFFF"/>
                <w:sz w:val="18"/>
                <w:szCs w:val="18"/>
              </w:rPr>
              <w:t>Evidencias de conocimiento</w:t>
            </w:r>
          </w:p>
        </w:tc>
      </w:tr>
      <w:tr w:rsidR="00990B14" w14:paraId="47F3D085" w14:textId="77777777">
        <w:trPr>
          <w:cantSplit/>
          <w:jc w:val="center"/>
        </w:trPr>
        <w:tc>
          <w:tcPr>
            <w:tcW w:w="2349" w:type="dxa"/>
            <w:gridSpan w:val="2"/>
            <w:shd w:val="clear" w:color="auto" w:fill="4472C4"/>
            <w:vAlign w:val="center"/>
          </w:tcPr>
          <w:p w14:paraId="01E3639B"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0B70DC2C" w14:textId="77777777" w:rsidR="00990B14" w:rsidRDefault="00000000">
            <w:pPr>
              <w:keepNext/>
              <w:spacing w:before="20" w:after="20"/>
              <w:jc w:val="both"/>
            </w:pPr>
            <w:r>
              <w:rPr>
                <w:b/>
                <w:bCs/>
                <w:i/>
                <w:iCs/>
                <w:color w:val="FFFFFF"/>
                <w:sz w:val="18"/>
                <w:szCs w:val="18"/>
              </w:rPr>
              <w:t>Contenidos</w:t>
            </w:r>
          </w:p>
          <w:p w14:paraId="03BB3392"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3FB61942" w14:textId="77777777" w:rsidR="00990B14" w:rsidRDefault="00000000">
            <w:pPr>
              <w:keepNext/>
              <w:spacing w:before="20" w:after="20"/>
              <w:jc w:val="center"/>
            </w:pPr>
            <w:r>
              <w:rPr>
                <w:b/>
                <w:bCs/>
                <w:i/>
                <w:iCs/>
                <w:color w:val="FFFFFF"/>
                <w:sz w:val="18"/>
                <w:szCs w:val="18"/>
              </w:rPr>
              <w:t>Conocimientos circunstanciales</w:t>
            </w:r>
          </w:p>
        </w:tc>
      </w:tr>
      <w:tr w:rsidR="00990B14" w14:paraId="33E61121" w14:textId="77777777">
        <w:trPr>
          <w:jc w:val="center"/>
        </w:trPr>
        <w:tc>
          <w:tcPr>
            <w:tcW w:w="2349" w:type="dxa"/>
            <w:gridSpan w:val="2"/>
            <w:shd w:val="clear" w:color="auto" w:fill="D9E2F3"/>
          </w:tcPr>
          <w:p w14:paraId="6F936591" w14:textId="77777777" w:rsidR="00990B14" w:rsidRDefault="00000000">
            <w:pPr>
              <w:spacing w:before="20" w:after="40"/>
              <w:jc w:val="both"/>
            </w:pPr>
            <w:r>
              <w:rPr>
                <w:sz w:val="18"/>
                <w:szCs w:val="18"/>
              </w:rPr>
              <w:t>Tema 1: Introducción al medio ambiente y el desarrollo sostenible</w:t>
            </w:r>
          </w:p>
          <w:p w14:paraId="04AC510F" w14:textId="77777777" w:rsidR="00990B14" w:rsidRDefault="00000000">
            <w:pPr>
              <w:spacing w:before="20" w:after="40"/>
              <w:jc w:val="both"/>
            </w:pPr>
            <w:r>
              <w:rPr>
                <w:sz w:val="18"/>
                <w:szCs w:val="18"/>
              </w:rPr>
              <w:t>Tema 2: Marco normativo en Bolivia sobre gestión y control ambiental</w:t>
            </w:r>
          </w:p>
          <w:p w14:paraId="61AE56C8" w14:textId="77777777" w:rsidR="00990B14" w:rsidRDefault="00000000">
            <w:pPr>
              <w:spacing w:before="20" w:after="40"/>
              <w:jc w:val="both"/>
            </w:pPr>
            <w:r>
              <w:rPr>
                <w:sz w:val="18"/>
                <w:szCs w:val="18"/>
              </w:rPr>
              <w:t>Tema 3: Informes ESG de sostenibilidad</w:t>
            </w:r>
          </w:p>
          <w:p w14:paraId="7844288B" w14:textId="77777777" w:rsidR="00990B14" w:rsidRDefault="00000000">
            <w:pPr>
              <w:spacing w:before="20" w:after="40"/>
              <w:jc w:val="both"/>
            </w:pPr>
            <w:r>
              <w:rPr>
                <w:sz w:val="18"/>
                <w:szCs w:val="18"/>
              </w:rPr>
              <w:t>Tema 4: Organismos emisores de pronunciamientos sobre sostenibilidad</w:t>
            </w:r>
          </w:p>
          <w:p w14:paraId="69D4604B" w14:textId="77777777" w:rsidR="00990B14" w:rsidRDefault="00000000">
            <w:pPr>
              <w:spacing w:before="20" w:after="40"/>
              <w:jc w:val="both"/>
            </w:pPr>
            <w:r>
              <w:rPr>
                <w:sz w:val="18"/>
                <w:szCs w:val="18"/>
              </w:rPr>
              <w:t>Tema 5: Normas Internacionales de Información Financiera de Sostenibilidad</w:t>
            </w:r>
          </w:p>
          <w:p w14:paraId="137F0A92" w14:textId="77777777" w:rsidR="00990B14" w:rsidRDefault="00000000">
            <w:pPr>
              <w:spacing w:before="20" w:after="40"/>
              <w:jc w:val="both"/>
            </w:pPr>
            <w:r>
              <w:rPr>
                <w:sz w:val="18"/>
                <w:szCs w:val="18"/>
              </w:rPr>
              <w:t>Tema 6: Normas emitidas por la SASB</w:t>
            </w:r>
          </w:p>
        </w:tc>
        <w:tc>
          <w:tcPr>
            <w:tcW w:w="4304" w:type="dxa"/>
            <w:gridSpan w:val="8"/>
            <w:shd w:val="clear" w:color="auto" w:fill="D9E2F3"/>
          </w:tcPr>
          <w:p w14:paraId="0BC5370B" w14:textId="77777777" w:rsidR="00990B14" w:rsidRDefault="00000000">
            <w:pPr>
              <w:spacing w:after="40"/>
              <w:jc w:val="both"/>
            </w:pPr>
            <w:r>
              <w:rPr>
                <w:sz w:val="18"/>
                <w:szCs w:val="18"/>
              </w:rPr>
              <w:t>Problemas ambientales e impactos ambientales internacionales y nacionales. (C)</w:t>
            </w:r>
          </w:p>
          <w:p w14:paraId="27DD56B9" w14:textId="77777777" w:rsidR="00990B14" w:rsidRDefault="00000000">
            <w:pPr>
              <w:spacing w:after="40"/>
              <w:jc w:val="both"/>
            </w:pPr>
            <w:r>
              <w:rPr>
                <w:sz w:val="18"/>
                <w:szCs w:val="18"/>
              </w:rPr>
              <w:t>La Organización de las Naciones Unidas y los objetivos de desarrollo sostenible; el Programa de las Naciones Unidas para el Medio Ambiente. (C)</w:t>
            </w:r>
          </w:p>
          <w:p w14:paraId="7154B3BF" w14:textId="77777777" w:rsidR="00990B14" w:rsidRDefault="00000000">
            <w:pPr>
              <w:spacing w:after="40"/>
              <w:jc w:val="both"/>
            </w:pPr>
            <w:r>
              <w:rPr>
                <w:sz w:val="18"/>
                <w:szCs w:val="18"/>
              </w:rPr>
              <w:t>La Agencia de Protección Ambiental de los Estados Unidos y la Unión Internacional para la Conservación de la Naturaleza. (C)</w:t>
            </w:r>
          </w:p>
          <w:p w14:paraId="59809D99" w14:textId="77777777" w:rsidR="00990B14" w:rsidRDefault="00000000">
            <w:pPr>
              <w:spacing w:after="40"/>
              <w:jc w:val="both"/>
            </w:pPr>
            <w:r>
              <w:rPr>
                <w:sz w:val="18"/>
                <w:szCs w:val="18"/>
              </w:rPr>
              <w:t>La ISO como emisora de normas de estandarización y el IBNORCA como emisor de Normas Bolivianas de calidad. (C)</w:t>
            </w:r>
          </w:p>
          <w:p w14:paraId="362AD01F" w14:textId="77777777" w:rsidR="00990B14" w:rsidRDefault="00000000">
            <w:pPr>
              <w:spacing w:after="40"/>
              <w:jc w:val="both"/>
            </w:pPr>
            <w:r>
              <w:rPr>
                <w:sz w:val="18"/>
                <w:szCs w:val="18"/>
              </w:rPr>
              <w:t>La Contraloría General del Estado como emisora de normas de auditoría ambiental; la INTOSAI y las entidades fiscalizadoras superiores como emisoras de las ISSAI. (C)</w:t>
            </w:r>
          </w:p>
          <w:p w14:paraId="237F116D" w14:textId="77777777" w:rsidR="00990B14" w:rsidRDefault="00000000">
            <w:pPr>
              <w:spacing w:after="40"/>
              <w:jc w:val="both"/>
            </w:pPr>
            <w:r>
              <w:rPr>
                <w:sz w:val="18"/>
                <w:szCs w:val="18"/>
              </w:rPr>
              <w:t>La Federación Internacional de Contadores y sus comités, consejos y fundaciones emisores de normas de información financiera, auditoría y aseguramiento. (C)</w:t>
            </w:r>
          </w:p>
          <w:p w14:paraId="5CCC461B" w14:textId="77777777" w:rsidR="00990B14" w:rsidRDefault="00000000">
            <w:pPr>
              <w:spacing w:after="40"/>
              <w:jc w:val="both"/>
            </w:pPr>
            <w:r>
              <w:rPr>
                <w:sz w:val="18"/>
                <w:szCs w:val="18"/>
              </w:rPr>
              <w:t>La Bolsa Boliviana de Valores y las finanzas sostenibles, verdes y sociales. (C, A)</w:t>
            </w:r>
          </w:p>
          <w:p w14:paraId="23AA6CE7" w14:textId="77777777" w:rsidR="00990B14" w:rsidRDefault="00000000">
            <w:pPr>
              <w:spacing w:after="40"/>
              <w:jc w:val="both"/>
            </w:pPr>
            <w:r>
              <w:rPr>
                <w:sz w:val="18"/>
                <w:szCs w:val="18"/>
              </w:rPr>
              <w:t>Bonos verdes, sociales y sostenibles y sus guías de emisión en el mercado de valores boliviano. (C, A)</w:t>
            </w:r>
          </w:p>
          <w:p w14:paraId="5C208D64" w14:textId="77777777" w:rsidR="00990B14" w:rsidRDefault="00000000">
            <w:pPr>
              <w:spacing w:after="40"/>
              <w:jc w:val="both"/>
            </w:pPr>
            <w:r>
              <w:rPr>
                <w:sz w:val="18"/>
                <w:szCs w:val="18"/>
              </w:rPr>
              <w:t>La Constitución Política del Estado y la Ley Marco de Autonomías y Descentralización Andrés Ibáñez. (C)</w:t>
            </w:r>
          </w:p>
          <w:p w14:paraId="67DD2D5C" w14:textId="77777777" w:rsidR="00990B14" w:rsidRDefault="00000000">
            <w:pPr>
              <w:spacing w:after="40"/>
              <w:jc w:val="both"/>
            </w:pPr>
            <w:r>
              <w:rPr>
                <w:sz w:val="18"/>
                <w:szCs w:val="18"/>
              </w:rPr>
              <w:t>Ley de Derechos de la Madre Tierra y Ley Marco de la Madre Tierra y Desarrollo Integral para Vivir Bien. (C)</w:t>
            </w:r>
          </w:p>
          <w:p w14:paraId="2B22222D" w14:textId="77777777" w:rsidR="00990B14" w:rsidRDefault="00000000">
            <w:pPr>
              <w:spacing w:after="40"/>
              <w:jc w:val="both"/>
            </w:pPr>
            <w:r>
              <w:rPr>
                <w:sz w:val="18"/>
                <w:szCs w:val="18"/>
              </w:rPr>
              <w:t>Ley N.º 071 de Derechos de la Madre Tierra y Ley N.º 300 Marco de la Madre Tierra y Desarrollo Integral para Vivir Bien; la Autoridad Plurinacional de la Madre Tierra. (C)</w:t>
            </w:r>
          </w:p>
          <w:p w14:paraId="5785E692" w14:textId="77777777" w:rsidR="00990B14" w:rsidRDefault="00000000">
            <w:pPr>
              <w:spacing w:after="40"/>
              <w:jc w:val="both"/>
            </w:pPr>
            <w:r>
              <w:rPr>
                <w:sz w:val="18"/>
                <w:szCs w:val="18"/>
              </w:rPr>
              <w:t>Ley del Medio Ambiente N.º 1333, sus reglamentos y normas conexas vigentes. (C)</w:t>
            </w:r>
          </w:p>
          <w:p w14:paraId="46EB6128" w14:textId="77777777" w:rsidR="00990B14" w:rsidRDefault="00000000">
            <w:pPr>
              <w:spacing w:after="40"/>
              <w:jc w:val="both"/>
            </w:pPr>
            <w:r>
              <w:rPr>
                <w:sz w:val="18"/>
                <w:szCs w:val="18"/>
              </w:rPr>
              <w:t>Ley N.º 755 de Gestión Integral de Residuos y otras leyes, decretos y resoluciones sectoriales. (C)</w:t>
            </w:r>
          </w:p>
          <w:p w14:paraId="4EFB0782" w14:textId="77777777" w:rsidR="00990B14" w:rsidRDefault="00000000">
            <w:pPr>
              <w:spacing w:after="40"/>
              <w:jc w:val="both"/>
            </w:pPr>
            <w:r>
              <w:rPr>
                <w:sz w:val="18"/>
                <w:szCs w:val="18"/>
              </w:rPr>
              <w:t>Normas Bolivianas emitidas por el IBNORCA. (C)</w:t>
            </w:r>
          </w:p>
          <w:p w14:paraId="0F5BE71D" w14:textId="77777777" w:rsidR="00990B14" w:rsidRDefault="00000000">
            <w:pPr>
              <w:spacing w:after="40"/>
              <w:jc w:val="both"/>
            </w:pPr>
            <w:r>
              <w:rPr>
                <w:sz w:val="18"/>
                <w:szCs w:val="18"/>
              </w:rPr>
              <w:t>La obligación de las empresas de informar sus acciones e impactos ambientales, sociales y de gobierno. (C)</w:t>
            </w:r>
          </w:p>
          <w:p w14:paraId="53BDF1B1" w14:textId="77777777" w:rsidR="00990B14" w:rsidRDefault="00000000">
            <w:pPr>
              <w:spacing w:after="40"/>
              <w:jc w:val="both"/>
            </w:pPr>
            <w:r>
              <w:rPr>
                <w:sz w:val="18"/>
                <w:szCs w:val="18"/>
              </w:rPr>
              <w:t>Requisitos de la Directiva de Informes de Sostenibilidad Corporativa de la Unión Europea y el enfoque de cinco fases de los informes ESG. (C)</w:t>
            </w:r>
          </w:p>
          <w:p w14:paraId="38EDE8F2" w14:textId="77777777" w:rsidR="00990B14" w:rsidRDefault="00000000">
            <w:pPr>
              <w:spacing w:after="40"/>
              <w:jc w:val="both"/>
            </w:pPr>
            <w:r>
              <w:rPr>
                <w:sz w:val="18"/>
                <w:szCs w:val="18"/>
              </w:rPr>
              <w:t>Métricas y objetivos de las Normas Europeas de Información de Sostenibilidad; comprensión, gestión y cuantificación de los asuntos ESG. (C)</w:t>
            </w:r>
          </w:p>
          <w:p w14:paraId="1A0E56FF" w14:textId="77777777" w:rsidR="00990B14" w:rsidRDefault="00000000">
            <w:pPr>
              <w:spacing w:after="40"/>
              <w:jc w:val="both"/>
            </w:pPr>
            <w:r>
              <w:rPr>
                <w:sz w:val="18"/>
                <w:szCs w:val="18"/>
              </w:rPr>
              <w:t>Los grupos de interés y la transparencia en los informes ESG; establecimiento de una estructura de gobierno dirigida por la junta directiva. (C, A)</w:t>
            </w:r>
          </w:p>
          <w:p w14:paraId="332C2843" w14:textId="77777777" w:rsidR="00990B14" w:rsidRDefault="00000000">
            <w:pPr>
              <w:spacing w:after="40"/>
              <w:jc w:val="both"/>
            </w:pPr>
            <w:r>
              <w:rPr>
                <w:sz w:val="18"/>
                <w:szCs w:val="18"/>
              </w:rPr>
              <w:t>Proceso de diligencia debida en las cadenas de valor completas e integración de los asuntos ESG en los sistemas de gestión de riesgos corporativos. (C)</w:t>
            </w:r>
          </w:p>
          <w:p w14:paraId="401171F3" w14:textId="77777777" w:rsidR="00990B14" w:rsidRDefault="00000000">
            <w:pPr>
              <w:spacing w:after="40"/>
              <w:jc w:val="both"/>
            </w:pPr>
            <w:r>
              <w:rPr>
                <w:sz w:val="18"/>
                <w:szCs w:val="18"/>
              </w:rPr>
              <w:t>Preparación para el aseguramiento y consideración de los horizontes de corto, mediano y largo plazo. (P)</w:t>
            </w:r>
          </w:p>
          <w:p w14:paraId="784D486C" w14:textId="77777777" w:rsidR="00990B14" w:rsidRDefault="00000000">
            <w:pPr>
              <w:spacing w:after="40"/>
              <w:jc w:val="both"/>
            </w:pPr>
            <w:r>
              <w:rPr>
                <w:sz w:val="18"/>
                <w:szCs w:val="18"/>
              </w:rPr>
              <w:t>Evaluación de la materialidad de los asuntos de sostenibilidad y alcance de la cadena de valor de la entidad. (C, P)</w:t>
            </w:r>
          </w:p>
          <w:p w14:paraId="47E04C92" w14:textId="77777777" w:rsidR="00990B14" w:rsidRDefault="00000000">
            <w:pPr>
              <w:spacing w:after="40"/>
              <w:jc w:val="both"/>
            </w:pPr>
            <w:r>
              <w:rPr>
                <w:sz w:val="18"/>
                <w:szCs w:val="18"/>
              </w:rPr>
              <w:t>El Foro Económico Mundial y sus métricas; la Fundación IFRS y el Consejo de Normas Internacionales de Sostenibilidad. (C)</w:t>
            </w:r>
          </w:p>
          <w:p w14:paraId="02E66844" w14:textId="77777777" w:rsidR="00990B14" w:rsidRDefault="00000000">
            <w:pPr>
              <w:spacing w:after="40"/>
              <w:jc w:val="both"/>
            </w:pPr>
            <w:r>
              <w:rPr>
                <w:sz w:val="18"/>
                <w:szCs w:val="18"/>
              </w:rPr>
              <w:t>La Junta de Normas de Divulgación Climática y el Grupo de Trabajo para Divulgaciones Financieras Relacionadas con el Clima. (C)</w:t>
            </w:r>
          </w:p>
          <w:p w14:paraId="5C3AA968" w14:textId="77777777" w:rsidR="00990B14" w:rsidRDefault="00000000">
            <w:pPr>
              <w:spacing w:after="40"/>
              <w:jc w:val="both"/>
            </w:pPr>
            <w:r>
              <w:rPr>
                <w:sz w:val="18"/>
                <w:szCs w:val="18"/>
              </w:rPr>
              <w:t>Consolidación de la Junta de Normas de Divulgación Climática, de la Fundación de Informes de Valor y del seguimiento de las divulgaciones climáticas en la Fundación IFRS. (C)</w:t>
            </w:r>
          </w:p>
          <w:p w14:paraId="5181D72B" w14:textId="77777777" w:rsidR="00990B14" w:rsidRDefault="00000000">
            <w:pPr>
              <w:spacing w:after="40"/>
              <w:jc w:val="both"/>
            </w:pPr>
            <w:r>
              <w:rPr>
                <w:sz w:val="18"/>
                <w:szCs w:val="18"/>
              </w:rPr>
              <w:t>El Marco de Información Integrada de la Fundación de Informes de Valor, los estándares SASB basados en la industria y el Consejo Internacional de Reporte Integrado. (C)</w:t>
            </w:r>
          </w:p>
          <w:p w14:paraId="7D287C09" w14:textId="77777777" w:rsidR="00990B14" w:rsidRDefault="00000000">
            <w:pPr>
              <w:spacing w:after="40"/>
              <w:jc w:val="both"/>
            </w:pPr>
            <w:r>
              <w:rPr>
                <w:sz w:val="18"/>
                <w:szCs w:val="18"/>
              </w:rPr>
              <w:t>Otros marcos de referencia sobre sostenibilidad. (C)</w:t>
            </w:r>
          </w:p>
          <w:p w14:paraId="152B694C" w14:textId="77777777" w:rsidR="00990B14" w:rsidRDefault="00000000">
            <w:pPr>
              <w:spacing w:after="40"/>
              <w:jc w:val="both"/>
            </w:pPr>
            <w:r>
              <w:rPr>
                <w:sz w:val="18"/>
                <w:szCs w:val="18"/>
              </w:rPr>
              <w:t>NIIF S1: requisitos generales para la revelación de información financiera relacionada con la sostenibilidad. (C)</w:t>
            </w:r>
          </w:p>
          <w:p w14:paraId="3D733E2F" w14:textId="77777777" w:rsidR="00990B14" w:rsidRDefault="00000000">
            <w:pPr>
              <w:spacing w:after="40"/>
              <w:jc w:val="both"/>
            </w:pPr>
            <w:r>
              <w:rPr>
                <w:sz w:val="18"/>
                <w:szCs w:val="18"/>
              </w:rPr>
              <w:t>Vigencia de las NIIF S1 y S2 y disposiciones transitorias para su primera aplicación. (C, P)</w:t>
            </w:r>
          </w:p>
          <w:p w14:paraId="0925660C" w14:textId="77777777" w:rsidR="00990B14" w:rsidRDefault="00000000">
            <w:pPr>
              <w:spacing w:after="40"/>
              <w:jc w:val="both"/>
            </w:pPr>
            <w:r>
              <w:rPr>
                <w:sz w:val="18"/>
                <w:szCs w:val="18"/>
              </w:rPr>
              <w:t>NIIF S2: información a revelar relacionada con el clima; otras normas de sostenibilidad. (C, P)</w:t>
            </w:r>
          </w:p>
          <w:p w14:paraId="7AC88D15" w14:textId="77777777" w:rsidR="00990B14" w:rsidRDefault="00000000">
            <w:pPr>
              <w:spacing w:after="40"/>
              <w:jc w:val="both"/>
            </w:pPr>
            <w:r>
              <w:rPr>
                <w:sz w:val="18"/>
                <w:szCs w:val="18"/>
              </w:rPr>
              <w:t>Medición y revelación de las emisiones de gases de efecto invernadero de alcance 1, 2 y 3. (C, P)</w:t>
            </w:r>
          </w:p>
          <w:p w14:paraId="7AD95DB4" w14:textId="77777777" w:rsidR="00990B14" w:rsidRDefault="00000000">
            <w:pPr>
              <w:spacing w:after="40"/>
              <w:jc w:val="both"/>
            </w:pPr>
            <w:r>
              <w:rPr>
                <w:sz w:val="18"/>
                <w:szCs w:val="18"/>
              </w:rPr>
              <w:t>Preparación del reporte de sostenibilidad conforme a las NIIF S1 y S2: gobernanza, estrategia, gestión de riesgos, métricas y objetivos. (C, P, A)</w:t>
            </w:r>
          </w:p>
          <w:p w14:paraId="7FECC4FD" w14:textId="77777777" w:rsidR="00990B14" w:rsidRDefault="00000000">
            <w:pPr>
              <w:spacing w:after="40"/>
              <w:jc w:val="both"/>
            </w:pPr>
            <w:r>
              <w:rPr>
                <w:sz w:val="18"/>
                <w:szCs w:val="18"/>
              </w:rPr>
              <w:t>Indicadores ESG de una entidad boliviana: selección, medición, fuentes de datos y controles sobre la información reportada. (C, P, A)</w:t>
            </w:r>
          </w:p>
          <w:p w14:paraId="394E0ED4" w14:textId="77777777" w:rsidR="00990B14" w:rsidRDefault="00000000">
            <w:pPr>
              <w:spacing w:after="40"/>
              <w:jc w:val="both"/>
            </w:pPr>
            <w:r>
              <w:rPr>
                <w:sz w:val="18"/>
                <w:szCs w:val="18"/>
              </w:rPr>
              <w:t>El Consejo de Normas de Contabilidad de la Sostenibilidad y la guía de aplicación de las normas SASB. (C, P)</w:t>
            </w:r>
          </w:p>
          <w:p w14:paraId="029BAAAB" w14:textId="77777777" w:rsidR="00990B14" w:rsidRDefault="00000000">
            <w:pPr>
              <w:spacing w:after="40"/>
              <w:jc w:val="both"/>
            </w:pPr>
            <w:r>
              <w:rPr>
                <w:sz w:val="18"/>
                <w:szCs w:val="18"/>
              </w:rPr>
              <w:t>Normas SASB de los sectores de ropa, accesorios y calzado; fabricación de electrodomésticos; productos y mobiliario de construcción; comercio electrónico y productos personales y para el hogar. (C, T)</w:t>
            </w:r>
          </w:p>
          <w:p w14:paraId="28EF18D2" w14:textId="77777777" w:rsidR="00990B14" w:rsidRDefault="00000000">
            <w:pPr>
              <w:spacing w:after="40"/>
              <w:jc w:val="both"/>
            </w:pPr>
            <w:r>
              <w:rPr>
                <w:sz w:val="18"/>
                <w:szCs w:val="18"/>
              </w:rPr>
              <w:t>Normas SASB de los sectores de minoristas y distribuidores multilínea y especializados; juguetes y artículos deportivos; extractivos y procesamiento de minerales; finanzas y bebida alimenticia. (C)</w:t>
            </w:r>
          </w:p>
          <w:p w14:paraId="7797FAB1" w14:textId="77777777" w:rsidR="00990B14" w:rsidRDefault="00000000">
            <w:pPr>
              <w:spacing w:after="40"/>
              <w:jc w:val="both"/>
            </w:pPr>
            <w:r>
              <w:rPr>
                <w:sz w:val="18"/>
                <w:szCs w:val="18"/>
              </w:rPr>
              <w:t>Normas SASB de los sectores de cuidado de la salud; infraestructura; recursos renovables y energía alternativa; transformación de recursos; servicios; tecnología y comunicaciones y transporte. (C)</w:t>
            </w:r>
          </w:p>
        </w:tc>
        <w:tc>
          <w:tcPr>
            <w:tcW w:w="2752" w:type="dxa"/>
            <w:gridSpan w:val="3"/>
            <w:shd w:val="clear" w:color="auto" w:fill="D9E2F3"/>
          </w:tcPr>
          <w:p w14:paraId="1C79574F" w14:textId="77777777" w:rsidR="00990B14" w:rsidRDefault="00000000">
            <w:pPr>
              <w:numPr>
                <w:ilvl w:val="0"/>
                <w:numId w:val="139"/>
              </w:numPr>
              <w:spacing w:before="10" w:after="10"/>
              <w:jc w:val="both"/>
            </w:pPr>
            <w:r>
              <w:rPr>
                <w:sz w:val="18"/>
                <w:szCs w:val="18"/>
              </w:rPr>
              <w:t>Nociones de ecología y de contaminación del agua, del aire y del suelo.</w:t>
            </w:r>
          </w:p>
          <w:p w14:paraId="761720AD" w14:textId="77777777" w:rsidR="00990B14" w:rsidRDefault="00000000">
            <w:pPr>
              <w:numPr>
                <w:ilvl w:val="0"/>
                <w:numId w:val="139"/>
              </w:numPr>
              <w:spacing w:before="10" w:after="10"/>
              <w:jc w:val="both"/>
            </w:pPr>
            <w:r>
              <w:rPr>
                <w:sz w:val="18"/>
                <w:szCs w:val="18"/>
              </w:rPr>
              <w:t>Generación de residuos y la gestión integral de los residuos</w:t>
            </w:r>
          </w:p>
          <w:p w14:paraId="704D88C7" w14:textId="77777777" w:rsidR="00990B14" w:rsidRDefault="00000000">
            <w:pPr>
              <w:numPr>
                <w:ilvl w:val="0"/>
                <w:numId w:val="139"/>
              </w:numPr>
              <w:spacing w:before="10" w:after="10"/>
              <w:jc w:val="both"/>
            </w:pPr>
            <w:r>
              <w:rPr>
                <w:sz w:val="18"/>
                <w:szCs w:val="18"/>
              </w:rPr>
              <w:t>Factores de emisión y unidades de conversión utilizados en la cuantificación de gases de efecto invernadero.</w:t>
            </w:r>
          </w:p>
          <w:p w14:paraId="698524EA" w14:textId="77777777" w:rsidR="00990B14" w:rsidRDefault="00000000">
            <w:pPr>
              <w:numPr>
                <w:ilvl w:val="0"/>
                <w:numId w:val="139"/>
              </w:numPr>
              <w:spacing w:before="10" w:after="10"/>
              <w:jc w:val="both"/>
            </w:pPr>
            <w:r>
              <w:rPr>
                <w:sz w:val="18"/>
                <w:szCs w:val="18"/>
              </w:rPr>
              <w:t>Conocimiento de las páginas de las organizaciones que son emisores y reguladores de normas ambientales, sociales y gobernanza en desarrollo sostenible.</w:t>
            </w:r>
          </w:p>
        </w:tc>
      </w:tr>
      <w:tr w:rsidR="00990B14" w14:paraId="5E93C793" w14:textId="77777777">
        <w:trPr>
          <w:cantSplit/>
          <w:jc w:val="center"/>
        </w:trPr>
        <w:tc>
          <w:tcPr>
            <w:tcW w:w="9405" w:type="dxa"/>
            <w:gridSpan w:val="13"/>
            <w:shd w:val="clear" w:color="auto" w:fill="D9E2F3"/>
            <w:vAlign w:val="center"/>
          </w:tcPr>
          <w:p w14:paraId="1C2BFCF3" w14:textId="77777777" w:rsidR="00990B14" w:rsidRDefault="00000000">
            <w:pPr>
              <w:spacing w:before="20" w:after="20"/>
              <w:jc w:val="both"/>
            </w:pPr>
            <w:r>
              <w:rPr>
                <w:b/>
                <w:bCs/>
                <w:i/>
                <w:iCs/>
                <w:sz w:val="18"/>
                <w:szCs w:val="18"/>
              </w:rPr>
              <w:t xml:space="preserve">Elemento de competencia 2: </w:t>
            </w:r>
            <w:r>
              <w:rPr>
                <w:sz w:val="18"/>
                <w:szCs w:val="18"/>
              </w:rPr>
              <w:t>Elabora informes de aseguramiento de la sostenibilidad, social y GEI, conforme a la Norma Internacional de Aseguramiento de la Sostenibilidad y Auditorías Sociales Externas.</w:t>
            </w:r>
          </w:p>
        </w:tc>
      </w:tr>
      <w:tr w:rsidR="00990B14" w14:paraId="3EDD6146" w14:textId="77777777">
        <w:trPr>
          <w:cantSplit/>
          <w:jc w:val="center"/>
        </w:trPr>
        <w:tc>
          <w:tcPr>
            <w:tcW w:w="3133" w:type="dxa"/>
            <w:gridSpan w:val="4"/>
            <w:shd w:val="clear" w:color="auto" w:fill="4472C4"/>
            <w:vAlign w:val="center"/>
          </w:tcPr>
          <w:p w14:paraId="665C2F50"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798FF2E4"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22660513" w14:textId="77777777" w:rsidR="00990B14" w:rsidRDefault="00000000">
            <w:pPr>
              <w:keepNext/>
              <w:spacing w:before="20" w:after="20"/>
              <w:jc w:val="center"/>
            </w:pPr>
            <w:r>
              <w:rPr>
                <w:b/>
                <w:bCs/>
                <w:i/>
                <w:iCs/>
                <w:color w:val="FFFFFF"/>
                <w:sz w:val="18"/>
                <w:szCs w:val="18"/>
              </w:rPr>
              <w:t>Evidencias de producto</w:t>
            </w:r>
          </w:p>
        </w:tc>
      </w:tr>
      <w:tr w:rsidR="00990B14" w14:paraId="50EB5114" w14:textId="77777777">
        <w:trPr>
          <w:cantSplit/>
          <w:jc w:val="center"/>
        </w:trPr>
        <w:tc>
          <w:tcPr>
            <w:tcW w:w="3133" w:type="dxa"/>
            <w:gridSpan w:val="4"/>
            <w:vMerge w:val="restart"/>
            <w:shd w:val="clear" w:color="auto" w:fill="D9E2F3"/>
            <w:vAlign w:val="center"/>
          </w:tcPr>
          <w:p w14:paraId="4DE99D2F" w14:textId="77777777" w:rsidR="00990B14" w:rsidRDefault="00000000">
            <w:pPr>
              <w:spacing w:before="20" w:after="20"/>
              <w:jc w:val="both"/>
            </w:pPr>
            <w:r>
              <w:rPr>
                <w:sz w:val="18"/>
                <w:szCs w:val="18"/>
              </w:rPr>
              <w:t>1. Planifica, ejecuta y reporta el encargo de aseguramiento de la sostenibilidad conforme a las Normas Internacionales de Aseguramiento de la Sostenibilidad (NIAS) 5000, evaluando las condiciones previas, los requisitos de ética e independencia y el nivel de aseguramiento; así como los Gases de Efecto Invernadero.</w:t>
            </w:r>
          </w:p>
        </w:tc>
        <w:tc>
          <w:tcPr>
            <w:tcW w:w="3135" w:type="dxa"/>
            <w:gridSpan w:val="5"/>
            <w:shd w:val="clear" w:color="auto" w:fill="D9E2F3"/>
            <w:vAlign w:val="center"/>
          </w:tcPr>
          <w:p w14:paraId="163FFD5A" w14:textId="77777777" w:rsidR="00990B14" w:rsidRDefault="00000000">
            <w:pPr>
              <w:spacing w:before="20" w:after="20"/>
              <w:jc w:val="both"/>
            </w:pPr>
            <w:r>
              <w:rPr>
                <w:sz w:val="18"/>
                <w:szCs w:val="18"/>
              </w:rPr>
              <w:t>1.1 Elabora en aula los términos del contrato y la carta de aceptación de un encargo de aseguramiento de sostenibilidad.</w:t>
            </w:r>
          </w:p>
        </w:tc>
        <w:tc>
          <w:tcPr>
            <w:tcW w:w="3137" w:type="dxa"/>
            <w:gridSpan w:val="4"/>
            <w:shd w:val="clear" w:color="auto" w:fill="D9E2F3"/>
            <w:vAlign w:val="center"/>
          </w:tcPr>
          <w:p w14:paraId="2FE7210A" w14:textId="77777777" w:rsidR="00990B14" w:rsidRDefault="00000000">
            <w:pPr>
              <w:spacing w:before="20" w:after="20"/>
              <w:jc w:val="both"/>
            </w:pPr>
            <w:r>
              <w:rPr>
                <w:b/>
                <w:bCs/>
                <w:sz w:val="18"/>
                <w:szCs w:val="18"/>
              </w:rPr>
              <w:t xml:space="preserve">Producto 5: </w:t>
            </w:r>
            <w:r>
              <w:rPr>
                <w:sz w:val="18"/>
                <w:szCs w:val="18"/>
              </w:rPr>
              <w:t>Carta de aceptación y términos del encargo de aseguramiento de la sostenibilidad.</w:t>
            </w:r>
          </w:p>
        </w:tc>
      </w:tr>
      <w:tr w:rsidR="00990B14" w14:paraId="66A6E3DC" w14:textId="77777777">
        <w:trPr>
          <w:cantSplit/>
          <w:jc w:val="center"/>
        </w:trPr>
        <w:tc>
          <w:tcPr>
            <w:tcW w:w="3133" w:type="dxa"/>
            <w:gridSpan w:val="4"/>
            <w:vMerge/>
            <w:shd w:val="clear" w:color="auto" w:fill="D9E2F3"/>
            <w:vAlign w:val="center"/>
          </w:tcPr>
          <w:p w14:paraId="6E923AF0" w14:textId="77777777" w:rsidR="00990B14" w:rsidRDefault="00990B14">
            <w:pPr>
              <w:spacing w:before="20" w:after="20"/>
            </w:pPr>
          </w:p>
        </w:tc>
        <w:tc>
          <w:tcPr>
            <w:tcW w:w="3135" w:type="dxa"/>
            <w:gridSpan w:val="5"/>
            <w:shd w:val="clear" w:color="auto" w:fill="D9E2F3"/>
            <w:vAlign w:val="center"/>
          </w:tcPr>
          <w:p w14:paraId="7AEBFEBF" w14:textId="77777777" w:rsidR="00990B14" w:rsidRDefault="00000000">
            <w:pPr>
              <w:spacing w:before="20" w:after="20"/>
              <w:jc w:val="both"/>
            </w:pPr>
            <w:r>
              <w:rPr>
                <w:sz w:val="18"/>
                <w:szCs w:val="18"/>
              </w:rPr>
              <w:t>1.2 Contrasta en equipo el aseguramiento limitado y el razonable con los procedimientos que exige cada uno.</w:t>
            </w:r>
          </w:p>
        </w:tc>
        <w:tc>
          <w:tcPr>
            <w:tcW w:w="3137" w:type="dxa"/>
            <w:gridSpan w:val="4"/>
            <w:shd w:val="clear" w:color="auto" w:fill="D9E2F3"/>
            <w:vAlign w:val="center"/>
          </w:tcPr>
          <w:p w14:paraId="4A98E570" w14:textId="77777777" w:rsidR="00990B14" w:rsidRDefault="00000000">
            <w:pPr>
              <w:spacing w:before="20" w:after="20"/>
              <w:jc w:val="both"/>
            </w:pPr>
            <w:r>
              <w:rPr>
                <w:b/>
                <w:bCs/>
                <w:sz w:val="18"/>
                <w:szCs w:val="18"/>
              </w:rPr>
              <w:t xml:space="preserve">Producto 6: </w:t>
            </w:r>
            <w:r>
              <w:rPr>
                <w:sz w:val="18"/>
                <w:szCs w:val="18"/>
              </w:rPr>
              <w:t>Cuadro comparativo del aseguramiento limitado y del aseguramiento razonable. Forma la conclusión de aseguramiento y elabora el informe sobre la información de sostenibilidad y sobre las declaraciones de gases de efecto invernadero, respondiendo a los riesgos de inexactitud material.</w:t>
            </w:r>
          </w:p>
        </w:tc>
      </w:tr>
      <w:tr w:rsidR="00990B14" w14:paraId="0EF9B782" w14:textId="77777777">
        <w:trPr>
          <w:cantSplit/>
          <w:jc w:val="center"/>
        </w:trPr>
        <w:tc>
          <w:tcPr>
            <w:tcW w:w="3133" w:type="dxa"/>
            <w:gridSpan w:val="4"/>
            <w:vMerge w:val="restart"/>
            <w:shd w:val="clear" w:color="auto" w:fill="D9E2F3"/>
            <w:vAlign w:val="center"/>
          </w:tcPr>
          <w:p w14:paraId="2B805786" w14:textId="77777777" w:rsidR="00990B14" w:rsidRDefault="00000000">
            <w:pPr>
              <w:spacing w:before="20" w:after="20"/>
              <w:jc w:val="both"/>
            </w:pPr>
            <w:r>
              <w:rPr>
                <w:sz w:val="18"/>
                <w:szCs w:val="18"/>
              </w:rPr>
              <w:t>2. Planifica, ejecuta e informa las auditorías sociales externas con procesos de evaluación independientes que verifican de manera objetiva las prácticas laborales, éticas, comunitarias y de sostenibilidad de una organización.</w:t>
            </w:r>
          </w:p>
        </w:tc>
        <w:tc>
          <w:tcPr>
            <w:tcW w:w="3135" w:type="dxa"/>
            <w:gridSpan w:val="5"/>
            <w:shd w:val="clear" w:color="auto" w:fill="D9E2F3"/>
            <w:vAlign w:val="center"/>
          </w:tcPr>
          <w:p w14:paraId="75AA7908" w14:textId="77777777" w:rsidR="00990B14" w:rsidRDefault="00000000">
            <w:pPr>
              <w:spacing w:before="20" w:after="20"/>
              <w:jc w:val="both"/>
            </w:pPr>
            <w:r>
              <w:rPr>
                <w:sz w:val="18"/>
                <w:szCs w:val="18"/>
              </w:rPr>
              <w:t>2.1 Toma conocimiento en aula de: Norma SA8000 (Social Accountability International), Metodología SMETA (Sedex Members Ethical Trade Audit) y Norma ISO 26000.</w:t>
            </w:r>
          </w:p>
        </w:tc>
        <w:tc>
          <w:tcPr>
            <w:tcW w:w="3137" w:type="dxa"/>
            <w:gridSpan w:val="4"/>
            <w:shd w:val="clear" w:color="auto" w:fill="D9E2F3"/>
            <w:vAlign w:val="center"/>
          </w:tcPr>
          <w:p w14:paraId="27F22171" w14:textId="77777777" w:rsidR="00990B14" w:rsidRDefault="00000000">
            <w:pPr>
              <w:spacing w:before="20" w:after="20"/>
              <w:jc w:val="both"/>
            </w:pPr>
            <w:r>
              <w:rPr>
                <w:b/>
                <w:bCs/>
                <w:sz w:val="18"/>
                <w:szCs w:val="18"/>
              </w:rPr>
              <w:t xml:space="preserve">Producto 7: </w:t>
            </w:r>
            <w:r>
              <w:rPr>
                <w:sz w:val="18"/>
                <w:szCs w:val="18"/>
              </w:rPr>
              <w:t>Cuadro comparativo de las normas sociales: Norma SA8000 (Social Accountability International), Metodología SMETA (Sedex Members Ethical Trade Audit) y Norma ISO 26000; como parte de su conocimiento adquirido</w:t>
            </w:r>
          </w:p>
        </w:tc>
      </w:tr>
      <w:tr w:rsidR="00990B14" w14:paraId="6EBC12FD" w14:textId="77777777">
        <w:trPr>
          <w:cantSplit/>
          <w:jc w:val="center"/>
        </w:trPr>
        <w:tc>
          <w:tcPr>
            <w:tcW w:w="3133" w:type="dxa"/>
            <w:gridSpan w:val="4"/>
            <w:vMerge/>
            <w:shd w:val="clear" w:color="auto" w:fill="D9E2F3"/>
            <w:vAlign w:val="center"/>
          </w:tcPr>
          <w:p w14:paraId="1D01A655" w14:textId="77777777" w:rsidR="00990B14" w:rsidRDefault="00990B14">
            <w:pPr>
              <w:spacing w:before="20" w:after="20"/>
            </w:pPr>
          </w:p>
        </w:tc>
        <w:tc>
          <w:tcPr>
            <w:tcW w:w="3135" w:type="dxa"/>
            <w:gridSpan w:val="5"/>
            <w:shd w:val="clear" w:color="auto" w:fill="D9E2F3"/>
            <w:vAlign w:val="center"/>
          </w:tcPr>
          <w:p w14:paraId="6356D5E1" w14:textId="77777777" w:rsidR="00990B14" w:rsidRDefault="00000000">
            <w:pPr>
              <w:spacing w:before="20" w:after="20"/>
              <w:jc w:val="both"/>
            </w:pPr>
            <w:r>
              <w:rPr>
                <w:sz w:val="18"/>
                <w:szCs w:val="18"/>
              </w:rPr>
              <w:t>2.2 Hace levantamiento de evidencias documentales y evidencias físicas en sitio de organización. Realiza evidencia testimoniales, analíticas y de cálculo.</w:t>
            </w:r>
          </w:p>
        </w:tc>
        <w:tc>
          <w:tcPr>
            <w:tcW w:w="3137" w:type="dxa"/>
            <w:gridSpan w:val="4"/>
            <w:shd w:val="clear" w:color="auto" w:fill="D9E2F3"/>
            <w:vAlign w:val="center"/>
          </w:tcPr>
          <w:p w14:paraId="15581220" w14:textId="77777777" w:rsidR="00990B14" w:rsidRDefault="00000000">
            <w:pPr>
              <w:spacing w:before="20" w:after="20"/>
              <w:jc w:val="both"/>
            </w:pPr>
            <w:r>
              <w:rPr>
                <w:b/>
                <w:bCs/>
                <w:sz w:val="18"/>
                <w:szCs w:val="18"/>
              </w:rPr>
              <w:t xml:space="preserve">Producto 8: </w:t>
            </w:r>
            <w:r>
              <w:rPr>
                <w:sz w:val="18"/>
                <w:szCs w:val="18"/>
              </w:rPr>
              <w:t>Informe de auditoría social externa</w:t>
            </w:r>
          </w:p>
        </w:tc>
      </w:tr>
      <w:tr w:rsidR="00990B14" w14:paraId="42E47E01" w14:textId="77777777">
        <w:trPr>
          <w:cantSplit/>
          <w:jc w:val="center"/>
        </w:trPr>
        <w:tc>
          <w:tcPr>
            <w:tcW w:w="9405" w:type="dxa"/>
            <w:gridSpan w:val="13"/>
            <w:shd w:val="clear" w:color="auto" w:fill="4472C4"/>
            <w:vAlign w:val="center"/>
          </w:tcPr>
          <w:p w14:paraId="40316B0C" w14:textId="77777777" w:rsidR="00990B14" w:rsidRDefault="00000000">
            <w:pPr>
              <w:keepNext/>
              <w:spacing w:before="20" w:after="20"/>
              <w:jc w:val="center"/>
            </w:pPr>
            <w:r>
              <w:rPr>
                <w:b/>
                <w:bCs/>
                <w:i/>
                <w:iCs/>
                <w:color w:val="FFFFFF"/>
                <w:sz w:val="18"/>
                <w:szCs w:val="18"/>
              </w:rPr>
              <w:t>Evidencias de conocimiento</w:t>
            </w:r>
          </w:p>
        </w:tc>
      </w:tr>
      <w:tr w:rsidR="00990B14" w14:paraId="720DA233" w14:textId="77777777">
        <w:trPr>
          <w:cantSplit/>
          <w:jc w:val="center"/>
        </w:trPr>
        <w:tc>
          <w:tcPr>
            <w:tcW w:w="2349" w:type="dxa"/>
            <w:gridSpan w:val="2"/>
            <w:shd w:val="clear" w:color="auto" w:fill="4472C4"/>
            <w:vAlign w:val="center"/>
          </w:tcPr>
          <w:p w14:paraId="52C2D39D"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173D136A" w14:textId="77777777" w:rsidR="00990B14" w:rsidRDefault="00000000">
            <w:pPr>
              <w:keepNext/>
              <w:spacing w:before="20" w:after="20"/>
              <w:jc w:val="both"/>
            </w:pPr>
            <w:r>
              <w:rPr>
                <w:b/>
                <w:bCs/>
                <w:i/>
                <w:iCs/>
                <w:color w:val="FFFFFF"/>
                <w:sz w:val="18"/>
                <w:szCs w:val="18"/>
              </w:rPr>
              <w:t>Contenidos</w:t>
            </w:r>
          </w:p>
          <w:p w14:paraId="1D1E9A22"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3A0BCEE9" w14:textId="77777777" w:rsidR="00990B14" w:rsidRDefault="00000000">
            <w:pPr>
              <w:keepNext/>
              <w:spacing w:before="20" w:after="20"/>
              <w:jc w:val="center"/>
            </w:pPr>
            <w:r>
              <w:rPr>
                <w:b/>
                <w:bCs/>
                <w:i/>
                <w:iCs/>
                <w:color w:val="FFFFFF"/>
                <w:sz w:val="18"/>
                <w:szCs w:val="18"/>
              </w:rPr>
              <w:t>Conocimientos circunstanciales</w:t>
            </w:r>
          </w:p>
        </w:tc>
      </w:tr>
      <w:tr w:rsidR="00990B14" w14:paraId="35C88086" w14:textId="77777777">
        <w:trPr>
          <w:jc w:val="center"/>
        </w:trPr>
        <w:tc>
          <w:tcPr>
            <w:tcW w:w="2349" w:type="dxa"/>
            <w:gridSpan w:val="2"/>
            <w:shd w:val="clear" w:color="auto" w:fill="D9E2F3"/>
          </w:tcPr>
          <w:p w14:paraId="10146B67" w14:textId="77777777" w:rsidR="00990B14" w:rsidRDefault="00000000">
            <w:pPr>
              <w:spacing w:before="20" w:after="40"/>
              <w:jc w:val="both"/>
            </w:pPr>
            <w:r>
              <w:rPr>
                <w:sz w:val="18"/>
                <w:szCs w:val="18"/>
              </w:rPr>
              <w:t>Tema 7: La Ética para el Aseguramiento de la Sostenibilidad</w:t>
            </w:r>
          </w:p>
          <w:p w14:paraId="7A68FF0B" w14:textId="77777777" w:rsidR="00990B14" w:rsidRDefault="00000000">
            <w:pPr>
              <w:spacing w:before="20" w:after="40"/>
              <w:jc w:val="both"/>
            </w:pPr>
            <w:r>
              <w:rPr>
                <w:sz w:val="18"/>
                <w:szCs w:val="18"/>
              </w:rPr>
              <w:t>Tema 8: Aseguramiento de la sostenibilidad</w:t>
            </w:r>
          </w:p>
          <w:p w14:paraId="290D44C8" w14:textId="77777777" w:rsidR="00990B14" w:rsidRDefault="00000000">
            <w:pPr>
              <w:spacing w:before="20" w:after="40"/>
              <w:jc w:val="both"/>
            </w:pPr>
            <w:r>
              <w:rPr>
                <w:sz w:val="18"/>
                <w:szCs w:val="18"/>
              </w:rPr>
              <w:t>Tema 9: Proceso de auditoría ambiental de aseguramiento de la sostenibilidad</w:t>
            </w:r>
          </w:p>
          <w:p w14:paraId="7D1462D3" w14:textId="77777777" w:rsidR="00990B14" w:rsidRDefault="00000000">
            <w:pPr>
              <w:spacing w:before="20" w:after="40"/>
              <w:jc w:val="both"/>
            </w:pPr>
            <w:r>
              <w:rPr>
                <w:sz w:val="18"/>
                <w:szCs w:val="18"/>
              </w:rPr>
              <w:t>Tema 10: Auditorías sociales externas y la responsabilidad social empresarial</w:t>
            </w:r>
          </w:p>
        </w:tc>
        <w:tc>
          <w:tcPr>
            <w:tcW w:w="4304" w:type="dxa"/>
            <w:gridSpan w:val="8"/>
            <w:shd w:val="clear" w:color="auto" w:fill="D9E2F3"/>
          </w:tcPr>
          <w:p w14:paraId="1220455F" w14:textId="77777777" w:rsidR="00990B14" w:rsidRDefault="00000000">
            <w:pPr>
              <w:spacing w:after="40"/>
              <w:jc w:val="both"/>
            </w:pPr>
            <w:r>
              <w:rPr>
                <w:sz w:val="18"/>
                <w:szCs w:val="18"/>
              </w:rPr>
              <w:t>Normas Internacionales de Ética para el Aseguramiento de la Sostenibilidad emitido por el IESBA. (C)</w:t>
            </w:r>
          </w:p>
          <w:p w14:paraId="7B1205C8" w14:textId="77777777" w:rsidR="00990B14" w:rsidRDefault="00000000">
            <w:pPr>
              <w:spacing w:after="40"/>
              <w:jc w:val="both"/>
            </w:pPr>
            <w:r>
              <w:rPr>
                <w:sz w:val="18"/>
                <w:szCs w:val="18"/>
              </w:rPr>
              <w:t>Norma Internacional de Aseguramiento de la Sostenibilidad NIAS 5000: requisitos generales para los encargos de aseguramiento de sostenibilidad y modificaciones consecuentes a otras normas del IAASB. (C)</w:t>
            </w:r>
          </w:p>
          <w:p w14:paraId="7D74B34D" w14:textId="77777777" w:rsidR="00990B14" w:rsidRDefault="00000000">
            <w:pPr>
              <w:spacing w:after="40"/>
              <w:jc w:val="both"/>
            </w:pPr>
            <w:r>
              <w:rPr>
                <w:sz w:val="18"/>
                <w:szCs w:val="18"/>
              </w:rPr>
              <w:t>Emisión de la norma en noviembre de 2024 y su vigencia para los periodos iniciados desde el 15 de diciembre de 2026. (C)</w:t>
            </w:r>
          </w:p>
          <w:p w14:paraId="010F95AD" w14:textId="77777777" w:rsidR="00990B14" w:rsidRDefault="00000000">
            <w:pPr>
              <w:spacing w:after="40"/>
              <w:jc w:val="both"/>
            </w:pPr>
            <w:r>
              <w:rPr>
                <w:sz w:val="18"/>
                <w:szCs w:val="18"/>
              </w:rPr>
              <w:t>Carácter neutral de la norma respecto del marco de información aplicado y su uso por profesionales de la contabilidad y por otros profesionales ejercientes. (C)</w:t>
            </w:r>
          </w:p>
          <w:p w14:paraId="4DEDB556" w14:textId="77777777" w:rsidR="00990B14" w:rsidRDefault="00000000">
            <w:pPr>
              <w:spacing w:after="40"/>
              <w:jc w:val="both"/>
            </w:pPr>
            <w:r>
              <w:rPr>
                <w:sz w:val="18"/>
                <w:szCs w:val="18"/>
              </w:rPr>
              <w:t>Ámbito de aplicación, objetivos, definiciones y requisitos de la norma. (C, P)</w:t>
            </w:r>
          </w:p>
          <w:p w14:paraId="33527385" w14:textId="77777777" w:rsidR="00990B14" w:rsidRDefault="00000000">
            <w:pPr>
              <w:spacing w:after="40"/>
              <w:jc w:val="both"/>
            </w:pPr>
            <w:r>
              <w:rPr>
                <w:sz w:val="18"/>
                <w:szCs w:val="18"/>
              </w:rPr>
              <w:t>Aseguramiento limitado y aseguramiento razonable: diferencias en el alcance de los procedimientos y en la redacción de la conclusión. (C, P, A)</w:t>
            </w:r>
          </w:p>
          <w:p w14:paraId="7D267AFF" w14:textId="77777777" w:rsidR="00990B14" w:rsidRDefault="00000000">
            <w:pPr>
              <w:spacing w:after="40"/>
              <w:jc w:val="both"/>
            </w:pPr>
            <w:r>
              <w:rPr>
                <w:sz w:val="18"/>
                <w:szCs w:val="18"/>
              </w:rPr>
              <w:t>Realización de un contrato de aseguramiento de conformidad con la norma. (C, P, A)</w:t>
            </w:r>
          </w:p>
          <w:p w14:paraId="484985FE" w14:textId="77777777" w:rsidR="00990B14" w:rsidRDefault="00000000">
            <w:pPr>
              <w:spacing w:after="40"/>
              <w:jc w:val="both"/>
            </w:pPr>
            <w:r>
              <w:rPr>
                <w:sz w:val="18"/>
                <w:szCs w:val="18"/>
              </w:rPr>
              <w:t>Aceptación y continuidad del trabajo de aseguramiento; gestión de la calidad a nivel de firma y a nivel de encargo. (C, P, A)</w:t>
            </w:r>
          </w:p>
          <w:p w14:paraId="47A636C4" w14:textId="77777777" w:rsidR="00990B14" w:rsidRDefault="00000000">
            <w:pPr>
              <w:spacing w:after="40"/>
              <w:jc w:val="both"/>
            </w:pPr>
            <w:r>
              <w:rPr>
                <w:sz w:val="18"/>
                <w:szCs w:val="18"/>
              </w:rPr>
              <w:t>Normas internacionales de ética para el aseguramiento de la sostenibilidad y requerimientos de independencia aplicables al encargo. (C, A)</w:t>
            </w:r>
          </w:p>
          <w:p w14:paraId="4E8FE0B5" w14:textId="77777777" w:rsidR="00990B14" w:rsidRDefault="00000000">
            <w:pPr>
              <w:spacing w:after="40"/>
              <w:jc w:val="both"/>
            </w:pPr>
            <w:r>
              <w:rPr>
                <w:sz w:val="18"/>
                <w:szCs w:val="18"/>
              </w:rPr>
              <w:t>Fraude e incumplimiento de las leyes o regulaciones; comunicación con la gerencia, los encargados de la gobernanza y otros; documentación. (P)</w:t>
            </w:r>
          </w:p>
          <w:p w14:paraId="00AC61FD" w14:textId="77777777" w:rsidR="00990B14" w:rsidRDefault="00000000">
            <w:pPr>
              <w:spacing w:after="40"/>
              <w:jc w:val="both"/>
            </w:pPr>
            <w:r>
              <w:rPr>
                <w:sz w:val="18"/>
                <w:szCs w:val="18"/>
              </w:rPr>
              <w:t>Condiciones previas para un encargo de aseguramiento y términos del contrato de aseguramiento. (C)</w:t>
            </w:r>
          </w:p>
          <w:p w14:paraId="7037DF67" w14:textId="77777777" w:rsidR="00990B14" w:rsidRDefault="00000000">
            <w:pPr>
              <w:spacing w:after="40"/>
              <w:jc w:val="both"/>
            </w:pPr>
            <w:r>
              <w:rPr>
                <w:sz w:val="18"/>
                <w:szCs w:val="18"/>
              </w:rPr>
              <w:t>Evidencia, planificación, procedimientos de riesgo y respuesta a los riesgos de inexactitudes materiales. (C, P, A)</w:t>
            </w:r>
          </w:p>
          <w:p w14:paraId="2A8270FA" w14:textId="77777777" w:rsidR="00990B14" w:rsidRDefault="00000000">
            <w:pPr>
              <w:spacing w:after="40"/>
              <w:jc w:val="both"/>
            </w:pPr>
            <w:r>
              <w:rPr>
                <w:sz w:val="18"/>
                <w:szCs w:val="18"/>
              </w:rPr>
              <w:t>Acumulación y consideración de los errores identificados y evaluación de la descripción de los criterios aplicables. (C, P, A)</w:t>
            </w:r>
          </w:p>
          <w:p w14:paraId="6934DDE4" w14:textId="77777777" w:rsidR="00990B14" w:rsidRDefault="00000000">
            <w:pPr>
              <w:spacing w:after="40"/>
              <w:jc w:val="both"/>
            </w:pPr>
            <w:r>
              <w:rPr>
                <w:sz w:val="18"/>
                <w:szCs w:val="18"/>
              </w:rPr>
              <w:t>Eventos posteriores, representaciones escritas de la administración y de los encargados de la gobernanza y otra información. (C)</w:t>
            </w:r>
          </w:p>
          <w:p w14:paraId="2C316113" w14:textId="77777777" w:rsidR="00990B14" w:rsidRDefault="00000000">
            <w:pPr>
              <w:spacing w:after="40"/>
              <w:jc w:val="both"/>
            </w:pPr>
            <w:r>
              <w:rPr>
                <w:sz w:val="18"/>
                <w:szCs w:val="18"/>
              </w:rPr>
              <w:t>Formación de la conclusión de aseguramiento y preparación del informe de aseguramiento. (C, P, A)</w:t>
            </w:r>
          </w:p>
          <w:p w14:paraId="7D65E94B" w14:textId="77777777" w:rsidR="00990B14" w:rsidRDefault="00000000">
            <w:pPr>
              <w:spacing w:after="40"/>
              <w:jc w:val="both"/>
            </w:pPr>
            <w:r>
              <w:rPr>
                <w:sz w:val="18"/>
                <w:szCs w:val="18"/>
              </w:rPr>
              <w:t>Introducción, alcance y objetivo del encargo; utilización del trabajo de otros profesionales ejercientes. (C)</w:t>
            </w:r>
          </w:p>
          <w:p w14:paraId="49B3E8D1" w14:textId="77777777" w:rsidR="00990B14" w:rsidRDefault="00000000">
            <w:pPr>
              <w:spacing w:after="40"/>
              <w:jc w:val="both"/>
            </w:pPr>
            <w:r>
              <w:rPr>
                <w:sz w:val="18"/>
                <w:szCs w:val="18"/>
              </w:rPr>
              <w:t>Hechos posteriores, información comparativa, otra información y documentación. (P)</w:t>
            </w:r>
          </w:p>
          <w:p w14:paraId="15F77C76" w14:textId="77777777" w:rsidR="00990B14" w:rsidRDefault="00000000">
            <w:pPr>
              <w:spacing w:after="40"/>
              <w:jc w:val="both"/>
            </w:pPr>
            <w:r>
              <w:rPr>
                <w:sz w:val="18"/>
                <w:szCs w:val="18"/>
              </w:rPr>
              <w:t>Control de calidad, compilación del archivo final del encargo y revisión del control de calidad del encargo. (C)</w:t>
            </w:r>
          </w:p>
          <w:p w14:paraId="526E68DF" w14:textId="77777777" w:rsidR="00990B14" w:rsidRDefault="00000000">
            <w:pPr>
              <w:spacing w:after="40"/>
              <w:jc w:val="both"/>
            </w:pPr>
            <w:r>
              <w:rPr>
                <w:sz w:val="18"/>
                <w:szCs w:val="18"/>
              </w:rPr>
              <w:t>Formación de la conclusión de aseguramiento y contenido del informe de aseguramiento. (C)</w:t>
            </w:r>
          </w:p>
          <w:p w14:paraId="70BA2114" w14:textId="77777777" w:rsidR="00990B14" w:rsidRDefault="00000000">
            <w:pPr>
              <w:spacing w:after="40"/>
              <w:jc w:val="both"/>
            </w:pPr>
            <w:r>
              <w:rPr>
                <w:sz w:val="18"/>
                <w:szCs w:val="18"/>
              </w:rPr>
              <w:t>Introducción a la responsabilidad social empresarial y evolución del concepto de responsabilidad social y sostenibilidad. (C, A)</w:t>
            </w:r>
          </w:p>
          <w:p w14:paraId="2F93F5F3" w14:textId="77777777" w:rsidR="00990B14" w:rsidRDefault="00000000">
            <w:pPr>
              <w:spacing w:after="40"/>
              <w:jc w:val="both"/>
            </w:pPr>
            <w:r>
              <w:rPr>
                <w:sz w:val="18"/>
                <w:szCs w:val="18"/>
              </w:rPr>
              <w:t>Los límites del crecimiento y el Informe Brundtland; instrumentos globales. (C)</w:t>
            </w:r>
          </w:p>
          <w:p w14:paraId="5A4F4484" w14:textId="77777777" w:rsidR="00990B14" w:rsidRDefault="00000000">
            <w:pPr>
              <w:spacing w:after="40"/>
              <w:jc w:val="both"/>
            </w:pPr>
            <w:r>
              <w:rPr>
                <w:sz w:val="18"/>
                <w:szCs w:val="18"/>
              </w:rPr>
              <w:t>Sociedad-rentabilidad y ambiente-rentabilidad; la triple cuenta de resultados. (C)</w:t>
            </w:r>
          </w:p>
          <w:p w14:paraId="2E04629B" w14:textId="77777777" w:rsidR="00990B14" w:rsidRDefault="00000000">
            <w:pPr>
              <w:spacing w:after="40"/>
              <w:jc w:val="both"/>
            </w:pPr>
            <w:r>
              <w:rPr>
                <w:sz w:val="18"/>
                <w:szCs w:val="18"/>
              </w:rPr>
              <w:t>Trasfondo conceptual e historia de la auditoría social; la auditoría social ambiental. (C)</w:t>
            </w:r>
          </w:p>
          <w:p w14:paraId="7947A84D" w14:textId="77777777" w:rsidR="00990B14" w:rsidRDefault="00000000">
            <w:pPr>
              <w:spacing w:after="40"/>
              <w:jc w:val="both"/>
            </w:pPr>
            <w:r>
              <w:rPr>
                <w:sz w:val="18"/>
                <w:szCs w:val="18"/>
              </w:rPr>
              <w:t>Gobierno local y auditorías sociales; la campaña del consumidor verde y el estado del arte de los constructos de responsabilidad social y sustentabilidad. (C, A)</w:t>
            </w:r>
          </w:p>
          <w:p w14:paraId="4D108390" w14:textId="77777777" w:rsidR="00990B14" w:rsidRDefault="00000000">
            <w:pPr>
              <w:spacing w:after="40"/>
              <w:jc w:val="both"/>
            </w:pPr>
            <w:r>
              <w:rPr>
                <w:sz w:val="18"/>
                <w:szCs w:val="18"/>
              </w:rPr>
              <w:t>Declaraciones ambientales engañosas y su efecto en la confianza de los grupos de interés. (C)</w:t>
            </w:r>
          </w:p>
        </w:tc>
        <w:tc>
          <w:tcPr>
            <w:tcW w:w="2752" w:type="dxa"/>
            <w:gridSpan w:val="3"/>
            <w:shd w:val="clear" w:color="auto" w:fill="D9E2F3"/>
          </w:tcPr>
          <w:p w14:paraId="0D94133E" w14:textId="77777777" w:rsidR="00990B14" w:rsidRDefault="00000000">
            <w:pPr>
              <w:numPr>
                <w:ilvl w:val="0"/>
                <w:numId w:val="139"/>
              </w:numPr>
              <w:spacing w:before="10" w:after="10"/>
              <w:jc w:val="both"/>
            </w:pPr>
            <w:r>
              <w:rPr>
                <w:sz w:val="18"/>
                <w:szCs w:val="18"/>
              </w:rPr>
              <w:t>Normas Internacionales de Ética para el Aseguramiento de la Sostenibilidad</w:t>
            </w:r>
          </w:p>
          <w:p w14:paraId="04B2E288" w14:textId="77777777" w:rsidR="00990B14" w:rsidRDefault="00000000">
            <w:pPr>
              <w:numPr>
                <w:ilvl w:val="0"/>
                <w:numId w:val="139"/>
              </w:numPr>
              <w:spacing w:before="10" w:after="10"/>
              <w:jc w:val="both"/>
            </w:pPr>
            <w:r>
              <w:rPr>
                <w:sz w:val="18"/>
                <w:szCs w:val="18"/>
              </w:rPr>
              <w:t>Norma Internacional de Aseguramiento de la Sostenibilidad 5000 emitida por el IAASB y su adopción en el ejercicio profesional boliviano.</w:t>
            </w:r>
          </w:p>
          <w:p w14:paraId="5DA926F0" w14:textId="77777777" w:rsidR="00990B14" w:rsidRDefault="00000000">
            <w:pPr>
              <w:numPr>
                <w:ilvl w:val="0"/>
                <w:numId w:val="139"/>
              </w:numPr>
              <w:spacing w:before="10" w:after="10"/>
              <w:jc w:val="both"/>
            </w:pPr>
            <w:r>
              <w:rPr>
                <w:sz w:val="18"/>
                <w:szCs w:val="18"/>
              </w:rPr>
              <w:t>Reportes de sostenibilidad y de responsabilidad social empresarial publicados por empresas bolivianas.</w:t>
            </w:r>
          </w:p>
          <w:p w14:paraId="3D47B37C" w14:textId="77777777" w:rsidR="00990B14" w:rsidRDefault="00000000">
            <w:pPr>
              <w:numPr>
                <w:ilvl w:val="0"/>
                <w:numId w:val="139"/>
              </w:numPr>
              <w:spacing w:before="10" w:after="10"/>
              <w:jc w:val="both"/>
            </w:pPr>
            <w:r>
              <w:rPr>
                <w:sz w:val="18"/>
                <w:szCs w:val="18"/>
              </w:rPr>
              <w:t>Aplicación de la Norma Internacional de Encargos de Aseguramiento 3410 a las declaraciones de gases de efecto invernadero de entidades del sector extractivo.</w:t>
            </w:r>
          </w:p>
          <w:p w14:paraId="02BD5DEA" w14:textId="77777777" w:rsidR="00990B14" w:rsidRDefault="00000000">
            <w:pPr>
              <w:numPr>
                <w:ilvl w:val="0"/>
                <w:numId w:val="139"/>
              </w:numPr>
              <w:spacing w:before="10" w:after="10"/>
              <w:jc w:val="both"/>
            </w:pPr>
            <w:r>
              <w:rPr>
                <w:sz w:val="18"/>
                <w:szCs w:val="18"/>
              </w:rPr>
              <w:t>Normas legales vigentes en Bolivia sobre ambiental, sociales, gobernanza y gases de efecto invernadero (GEI).</w:t>
            </w:r>
          </w:p>
        </w:tc>
      </w:tr>
      <w:tr w:rsidR="00990B14" w14:paraId="16AEB728" w14:textId="77777777">
        <w:trPr>
          <w:cantSplit/>
          <w:jc w:val="center"/>
        </w:trPr>
        <w:tc>
          <w:tcPr>
            <w:tcW w:w="9405" w:type="dxa"/>
            <w:gridSpan w:val="13"/>
            <w:shd w:val="clear" w:color="auto" w:fill="D9E2F3"/>
            <w:vAlign w:val="center"/>
          </w:tcPr>
          <w:p w14:paraId="67F75618" w14:textId="77777777" w:rsidR="00990B14" w:rsidRDefault="00000000">
            <w:pPr>
              <w:spacing w:before="20" w:after="20"/>
              <w:jc w:val="both"/>
            </w:pPr>
            <w:r>
              <w:rPr>
                <w:b/>
                <w:bCs/>
                <w:i/>
                <w:iCs/>
                <w:sz w:val="18"/>
                <w:szCs w:val="18"/>
              </w:rPr>
              <w:t xml:space="preserve">Elemento de competencia 3: </w:t>
            </w:r>
            <w:r>
              <w:rPr>
                <w:sz w:val="18"/>
                <w:szCs w:val="18"/>
              </w:rPr>
              <w:t>Ejecuta las etapas de la auditoría ambiental gubernamental conforme a normas emitidas por la Contraloría General del Estado (CGE) y normas internacionales emitidas por la Organización Internacional de Entidades Fiscalizadoras Superiores (INTOSAI), obteniendo las evidencias del cumplimiento de la normativa ambiental y comunicando los resultados del examen.</w:t>
            </w:r>
          </w:p>
        </w:tc>
      </w:tr>
      <w:tr w:rsidR="00990B14" w14:paraId="76A604EA" w14:textId="77777777">
        <w:trPr>
          <w:cantSplit/>
          <w:jc w:val="center"/>
        </w:trPr>
        <w:tc>
          <w:tcPr>
            <w:tcW w:w="3133" w:type="dxa"/>
            <w:gridSpan w:val="4"/>
            <w:shd w:val="clear" w:color="auto" w:fill="4472C4"/>
            <w:vAlign w:val="center"/>
          </w:tcPr>
          <w:p w14:paraId="47B5243E"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0B3C2688"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1D9EF83D" w14:textId="77777777" w:rsidR="00990B14" w:rsidRDefault="00000000">
            <w:pPr>
              <w:keepNext/>
              <w:spacing w:before="20" w:after="20"/>
              <w:jc w:val="center"/>
            </w:pPr>
            <w:r>
              <w:rPr>
                <w:b/>
                <w:bCs/>
                <w:i/>
                <w:iCs/>
                <w:color w:val="FFFFFF"/>
                <w:sz w:val="18"/>
                <w:szCs w:val="18"/>
              </w:rPr>
              <w:t>Evidencias de producto</w:t>
            </w:r>
          </w:p>
        </w:tc>
      </w:tr>
      <w:tr w:rsidR="00990B14" w14:paraId="0613485A" w14:textId="77777777">
        <w:trPr>
          <w:cantSplit/>
          <w:jc w:val="center"/>
        </w:trPr>
        <w:tc>
          <w:tcPr>
            <w:tcW w:w="3133" w:type="dxa"/>
            <w:gridSpan w:val="4"/>
            <w:vMerge w:val="restart"/>
            <w:shd w:val="clear" w:color="auto" w:fill="D9E2F3"/>
            <w:vAlign w:val="center"/>
          </w:tcPr>
          <w:p w14:paraId="5A176D28" w14:textId="77777777" w:rsidR="00990B14" w:rsidRDefault="00000000">
            <w:pPr>
              <w:spacing w:before="20" w:after="20"/>
              <w:jc w:val="both"/>
            </w:pPr>
            <w:r>
              <w:rPr>
                <w:sz w:val="18"/>
                <w:szCs w:val="18"/>
              </w:rPr>
              <w:t>1. Planifica, ejecuta e informa la auditoría ambiental gubernamental conforme a normas legales ambientales y normas ambientales gubernamentales de la Contraloría General del Estado.</w:t>
            </w:r>
          </w:p>
        </w:tc>
        <w:tc>
          <w:tcPr>
            <w:tcW w:w="3135" w:type="dxa"/>
            <w:gridSpan w:val="5"/>
            <w:shd w:val="clear" w:color="auto" w:fill="D9E2F3"/>
            <w:vAlign w:val="center"/>
          </w:tcPr>
          <w:p w14:paraId="4FC383F4" w14:textId="77777777" w:rsidR="00990B14" w:rsidRDefault="00000000">
            <w:pPr>
              <w:spacing w:before="20" w:after="20"/>
              <w:jc w:val="both"/>
            </w:pPr>
            <w:r>
              <w:rPr>
                <w:sz w:val="18"/>
                <w:szCs w:val="18"/>
              </w:rPr>
              <w:t>1.1 Clasifica en aula los tipos de auditoría ambiental en Bolivia y la Auditoría Ambiental Gubernamental y sus sistemas de gestión y control ambiental con sus normas vigentes.</w:t>
            </w:r>
          </w:p>
        </w:tc>
        <w:tc>
          <w:tcPr>
            <w:tcW w:w="3137" w:type="dxa"/>
            <w:gridSpan w:val="4"/>
            <w:shd w:val="clear" w:color="auto" w:fill="D9E2F3"/>
            <w:vAlign w:val="center"/>
          </w:tcPr>
          <w:p w14:paraId="1AA9FB1D" w14:textId="77777777" w:rsidR="00990B14" w:rsidRDefault="00000000">
            <w:pPr>
              <w:spacing w:before="20" w:after="20"/>
              <w:jc w:val="both"/>
            </w:pPr>
            <w:r>
              <w:rPr>
                <w:b/>
                <w:bCs/>
                <w:sz w:val="18"/>
                <w:szCs w:val="18"/>
              </w:rPr>
              <w:t xml:space="preserve">Producto 9: </w:t>
            </w:r>
            <w:r>
              <w:rPr>
                <w:sz w:val="18"/>
                <w:szCs w:val="18"/>
              </w:rPr>
              <w:t>Esquema de los tipos de auditoría ambiental con su base normativa.</w:t>
            </w:r>
          </w:p>
        </w:tc>
      </w:tr>
      <w:tr w:rsidR="00990B14" w14:paraId="187B70D5" w14:textId="77777777">
        <w:trPr>
          <w:cantSplit/>
          <w:jc w:val="center"/>
        </w:trPr>
        <w:tc>
          <w:tcPr>
            <w:tcW w:w="3133" w:type="dxa"/>
            <w:gridSpan w:val="4"/>
            <w:vMerge/>
            <w:shd w:val="clear" w:color="auto" w:fill="D9E2F3"/>
            <w:vAlign w:val="center"/>
          </w:tcPr>
          <w:p w14:paraId="2CCB5CBE" w14:textId="77777777" w:rsidR="00990B14" w:rsidRDefault="00990B14">
            <w:pPr>
              <w:spacing w:before="20" w:after="20"/>
            </w:pPr>
          </w:p>
        </w:tc>
        <w:tc>
          <w:tcPr>
            <w:tcW w:w="3135" w:type="dxa"/>
            <w:gridSpan w:val="5"/>
            <w:shd w:val="clear" w:color="auto" w:fill="D9E2F3"/>
            <w:vAlign w:val="center"/>
          </w:tcPr>
          <w:p w14:paraId="10B1B9C5" w14:textId="77777777" w:rsidR="00990B14" w:rsidRDefault="00000000">
            <w:pPr>
              <w:spacing w:before="20" w:after="20"/>
              <w:jc w:val="both"/>
            </w:pPr>
            <w:r>
              <w:rPr>
                <w:sz w:val="18"/>
                <w:szCs w:val="18"/>
              </w:rPr>
              <w:t>1.2 Elabora en equipo la planificación, ejecución e informe de una auditoría ambiental gubernamental.</w:t>
            </w:r>
          </w:p>
        </w:tc>
        <w:tc>
          <w:tcPr>
            <w:tcW w:w="3137" w:type="dxa"/>
            <w:gridSpan w:val="4"/>
            <w:shd w:val="clear" w:color="auto" w:fill="D9E2F3"/>
            <w:vAlign w:val="center"/>
          </w:tcPr>
          <w:p w14:paraId="0D307EC1" w14:textId="77777777" w:rsidR="00990B14" w:rsidRDefault="00000000">
            <w:pPr>
              <w:spacing w:before="20" w:after="20"/>
              <w:jc w:val="both"/>
            </w:pPr>
            <w:r>
              <w:rPr>
                <w:b/>
                <w:bCs/>
                <w:sz w:val="18"/>
                <w:szCs w:val="18"/>
              </w:rPr>
              <w:t xml:space="preserve">Producto 10: </w:t>
            </w:r>
            <w:r>
              <w:rPr>
                <w:sz w:val="18"/>
                <w:szCs w:val="18"/>
              </w:rPr>
              <w:t>Planificación, ejecución e informe de la auditoría ambiental gubernamental con su objeto, alcance y programas de trabajo.</w:t>
            </w:r>
          </w:p>
        </w:tc>
      </w:tr>
      <w:tr w:rsidR="00990B14" w14:paraId="4B903153" w14:textId="77777777">
        <w:trPr>
          <w:cantSplit/>
          <w:jc w:val="center"/>
        </w:trPr>
        <w:tc>
          <w:tcPr>
            <w:tcW w:w="3133" w:type="dxa"/>
            <w:gridSpan w:val="4"/>
            <w:vMerge w:val="restart"/>
            <w:shd w:val="clear" w:color="auto" w:fill="D9E2F3"/>
            <w:vAlign w:val="center"/>
          </w:tcPr>
          <w:p w14:paraId="52A45021" w14:textId="77777777" w:rsidR="00990B14" w:rsidRDefault="00000000">
            <w:pPr>
              <w:spacing w:before="20" w:after="20"/>
              <w:jc w:val="both"/>
            </w:pPr>
            <w:r>
              <w:rPr>
                <w:sz w:val="18"/>
                <w:szCs w:val="18"/>
              </w:rPr>
              <w:t>2. Planifica, ejecuta e informa las auditorías ambientales según metodologías de las EFS y sus normas de la INTOSAI - ISSAI</w:t>
            </w:r>
          </w:p>
        </w:tc>
        <w:tc>
          <w:tcPr>
            <w:tcW w:w="3135" w:type="dxa"/>
            <w:gridSpan w:val="5"/>
            <w:shd w:val="clear" w:color="auto" w:fill="D9E2F3"/>
            <w:vAlign w:val="center"/>
          </w:tcPr>
          <w:p w14:paraId="04A2D709" w14:textId="77777777" w:rsidR="00990B14" w:rsidRDefault="00000000">
            <w:pPr>
              <w:spacing w:before="20" w:after="20"/>
              <w:jc w:val="both"/>
            </w:pPr>
            <w:r>
              <w:rPr>
                <w:sz w:val="18"/>
                <w:szCs w:val="18"/>
              </w:rPr>
              <w:t>2.1 Clasifica en aula la Auditoría Ambiental Gubernamental y sus sistemas de gestión y control ambiental con sus normas vigentes con metodología de las EFS y normas INTOSAI.</w:t>
            </w:r>
          </w:p>
        </w:tc>
        <w:tc>
          <w:tcPr>
            <w:tcW w:w="3137" w:type="dxa"/>
            <w:gridSpan w:val="4"/>
            <w:shd w:val="clear" w:color="auto" w:fill="D9E2F3"/>
            <w:vAlign w:val="center"/>
          </w:tcPr>
          <w:p w14:paraId="76202DF6" w14:textId="77777777" w:rsidR="00990B14" w:rsidRDefault="00000000">
            <w:pPr>
              <w:spacing w:before="20" w:after="20"/>
              <w:jc w:val="both"/>
            </w:pPr>
            <w:r>
              <w:rPr>
                <w:b/>
                <w:bCs/>
                <w:sz w:val="18"/>
                <w:szCs w:val="18"/>
              </w:rPr>
              <w:t xml:space="preserve">Producto 11: </w:t>
            </w:r>
            <w:r>
              <w:rPr>
                <w:sz w:val="18"/>
                <w:szCs w:val="18"/>
              </w:rPr>
              <w:t>Esquema de los tipos de auditoría ambiental de acuerdo a la INTOSAI – ISSAI con su base normativa.</w:t>
            </w:r>
          </w:p>
        </w:tc>
      </w:tr>
      <w:tr w:rsidR="00990B14" w14:paraId="55970644" w14:textId="77777777">
        <w:trPr>
          <w:cantSplit/>
          <w:jc w:val="center"/>
        </w:trPr>
        <w:tc>
          <w:tcPr>
            <w:tcW w:w="3133" w:type="dxa"/>
            <w:gridSpan w:val="4"/>
            <w:vMerge/>
            <w:shd w:val="clear" w:color="auto" w:fill="D9E2F3"/>
            <w:vAlign w:val="center"/>
          </w:tcPr>
          <w:p w14:paraId="75C119D6" w14:textId="77777777" w:rsidR="00990B14" w:rsidRDefault="00990B14">
            <w:pPr>
              <w:spacing w:before="20" w:after="20"/>
            </w:pPr>
          </w:p>
        </w:tc>
        <w:tc>
          <w:tcPr>
            <w:tcW w:w="3135" w:type="dxa"/>
            <w:gridSpan w:val="5"/>
            <w:shd w:val="clear" w:color="auto" w:fill="D9E2F3"/>
            <w:vAlign w:val="center"/>
          </w:tcPr>
          <w:p w14:paraId="0C091B09" w14:textId="77777777" w:rsidR="00990B14" w:rsidRDefault="00000000">
            <w:pPr>
              <w:spacing w:before="20" w:after="20"/>
              <w:jc w:val="both"/>
            </w:pPr>
            <w:r>
              <w:rPr>
                <w:sz w:val="18"/>
                <w:szCs w:val="18"/>
              </w:rPr>
              <w:t>2.2 Elabora en equipo la planificación, ejecución e informe de una auditoría ambiental gubernamental con metodología de las EFS y normas INTOSAI.</w:t>
            </w:r>
          </w:p>
        </w:tc>
        <w:tc>
          <w:tcPr>
            <w:tcW w:w="3137" w:type="dxa"/>
            <w:gridSpan w:val="4"/>
            <w:shd w:val="clear" w:color="auto" w:fill="D9E2F3"/>
            <w:vAlign w:val="center"/>
          </w:tcPr>
          <w:p w14:paraId="545ED826" w14:textId="77777777" w:rsidR="00990B14" w:rsidRDefault="00000000">
            <w:pPr>
              <w:spacing w:before="20" w:after="20"/>
              <w:jc w:val="both"/>
            </w:pPr>
            <w:r>
              <w:rPr>
                <w:b/>
                <w:bCs/>
                <w:sz w:val="18"/>
                <w:szCs w:val="18"/>
              </w:rPr>
              <w:t xml:space="preserve">Producto 12: </w:t>
            </w:r>
            <w:r>
              <w:rPr>
                <w:sz w:val="18"/>
                <w:szCs w:val="18"/>
              </w:rPr>
              <w:t>Planificación, ejecución e informe de la auditoría ambiental según metodología de las EFS e INTOSAI-ISSAI con su objeto, alcance y programas de trabajo (BURÓ).</w:t>
            </w:r>
          </w:p>
        </w:tc>
      </w:tr>
      <w:tr w:rsidR="00990B14" w14:paraId="0BD2B49A" w14:textId="77777777">
        <w:trPr>
          <w:cantSplit/>
          <w:jc w:val="center"/>
        </w:trPr>
        <w:tc>
          <w:tcPr>
            <w:tcW w:w="9405" w:type="dxa"/>
            <w:gridSpan w:val="13"/>
            <w:shd w:val="clear" w:color="auto" w:fill="4472C4"/>
            <w:vAlign w:val="center"/>
          </w:tcPr>
          <w:p w14:paraId="1DD83E17" w14:textId="77777777" w:rsidR="00990B14" w:rsidRDefault="00000000">
            <w:pPr>
              <w:keepNext/>
              <w:spacing w:before="20" w:after="20"/>
              <w:jc w:val="center"/>
            </w:pPr>
            <w:r>
              <w:rPr>
                <w:b/>
                <w:bCs/>
                <w:i/>
                <w:iCs/>
                <w:color w:val="FFFFFF"/>
                <w:sz w:val="18"/>
                <w:szCs w:val="18"/>
              </w:rPr>
              <w:t>Evidencias de conocimiento</w:t>
            </w:r>
          </w:p>
        </w:tc>
      </w:tr>
      <w:tr w:rsidR="00990B14" w14:paraId="7C18093F" w14:textId="77777777">
        <w:trPr>
          <w:cantSplit/>
          <w:jc w:val="center"/>
        </w:trPr>
        <w:tc>
          <w:tcPr>
            <w:tcW w:w="2349" w:type="dxa"/>
            <w:gridSpan w:val="2"/>
            <w:shd w:val="clear" w:color="auto" w:fill="4472C4"/>
            <w:vAlign w:val="center"/>
          </w:tcPr>
          <w:p w14:paraId="2D672CEC"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6A331D51" w14:textId="77777777" w:rsidR="00990B14" w:rsidRDefault="00000000">
            <w:pPr>
              <w:keepNext/>
              <w:spacing w:before="20" w:after="20"/>
              <w:jc w:val="both"/>
            </w:pPr>
            <w:r>
              <w:rPr>
                <w:b/>
                <w:bCs/>
                <w:i/>
                <w:iCs/>
                <w:color w:val="FFFFFF"/>
                <w:sz w:val="18"/>
                <w:szCs w:val="18"/>
              </w:rPr>
              <w:t>Contenidos</w:t>
            </w:r>
          </w:p>
          <w:p w14:paraId="45F8A67C"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6F17B8C3" w14:textId="77777777" w:rsidR="00990B14" w:rsidRDefault="00000000">
            <w:pPr>
              <w:keepNext/>
              <w:spacing w:before="20" w:after="20"/>
              <w:jc w:val="center"/>
            </w:pPr>
            <w:r>
              <w:rPr>
                <w:b/>
                <w:bCs/>
                <w:i/>
                <w:iCs/>
                <w:color w:val="FFFFFF"/>
                <w:sz w:val="18"/>
                <w:szCs w:val="18"/>
              </w:rPr>
              <w:t>Conocimientos circunstanciales</w:t>
            </w:r>
          </w:p>
        </w:tc>
      </w:tr>
      <w:tr w:rsidR="00990B14" w14:paraId="6DBBD7A6" w14:textId="77777777">
        <w:trPr>
          <w:jc w:val="center"/>
        </w:trPr>
        <w:tc>
          <w:tcPr>
            <w:tcW w:w="2349" w:type="dxa"/>
            <w:gridSpan w:val="2"/>
            <w:shd w:val="clear" w:color="auto" w:fill="D9E2F3"/>
          </w:tcPr>
          <w:p w14:paraId="4127B231" w14:textId="77777777" w:rsidR="00990B14" w:rsidRDefault="00000000">
            <w:pPr>
              <w:spacing w:before="20" w:after="40"/>
              <w:jc w:val="both"/>
            </w:pPr>
            <w:r>
              <w:rPr>
                <w:sz w:val="18"/>
                <w:szCs w:val="18"/>
              </w:rPr>
              <w:t>Tema 11: Auditorías ambientales en Bolivia</w:t>
            </w:r>
          </w:p>
          <w:p w14:paraId="2AEBE8D4" w14:textId="77777777" w:rsidR="00990B14" w:rsidRDefault="00000000">
            <w:pPr>
              <w:spacing w:before="20" w:after="40"/>
              <w:jc w:val="both"/>
            </w:pPr>
            <w:r>
              <w:rPr>
                <w:sz w:val="18"/>
                <w:szCs w:val="18"/>
              </w:rPr>
              <w:t>Tema 12: Auditoría ambiental gubernamental</w:t>
            </w:r>
          </w:p>
          <w:p w14:paraId="374FDD7D" w14:textId="77777777" w:rsidR="00990B14" w:rsidRDefault="00000000">
            <w:pPr>
              <w:spacing w:before="20" w:after="40"/>
              <w:jc w:val="both"/>
            </w:pPr>
            <w:r>
              <w:rPr>
                <w:sz w:val="18"/>
                <w:szCs w:val="18"/>
              </w:rPr>
              <w:t>Tema 13: Auditorías ambientales realizadas por las entidades fiscalizadoras superiores</w:t>
            </w:r>
          </w:p>
        </w:tc>
        <w:tc>
          <w:tcPr>
            <w:tcW w:w="4304" w:type="dxa"/>
            <w:gridSpan w:val="8"/>
            <w:shd w:val="clear" w:color="auto" w:fill="D9E2F3"/>
          </w:tcPr>
          <w:p w14:paraId="0DF0E166" w14:textId="77777777" w:rsidR="00990B14" w:rsidRDefault="00000000">
            <w:pPr>
              <w:spacing w:after="40"/>
              <w:jc w:val="both"/>
            </w:pPr>
            <w:r>
              <w:rPr>
                <w:sz w:val="18"/>
                <w:szCs w:val="18"/>
              </w:rPr>
              <w:t>La auditoría ambiental: antecedentes sobre el medio ambiente y la auditoría y evolución de las auditorías ambientales. (C)</w:t>
            </w:r>
          </w:p>
          <w:p w14:paraId="6D03C97D" w14:textId="77777777" w:rsidR="00990B14" w:rsidRDefault="00000000">
            <w:pPr>
              <w:spacing w:after="40"/>
              <w:jc w:val="both"/>
            </w:pPr>
            <w:r>
              <w:rPr>
                <w:sz w:val="18"/>
                <w:szCs w:val="18"/>
              </w:rPr>
              <w:t>Auditorías ambientales internas y externas a los sistemas de gestión ambiental conforme a las normas ISO e IBNORCA para la certificación del Sistema de Gestión Ambiental. (C, P)</w:t>
            </w:r>
          </w:p>
          <w:p w14:paraId="4555AC88" w14:textId="77777777" w:rsidR="00990B14" w:rsidRDefault="00000000">
            <w:pPr>
              <w:spacing w:after="40"/>
              <w:jc w:val="both"/>
            </w:pPr>
            <w:r>
              <w:rPr>
                <w:sz w:val="18"/>
                <w:szCs w:val="18"/>
              </w:rPr>
              <w:t>Auditoría ambiental según la Ley N.º 1333. (C)</w:t>
            </w:r>
          </w:p>
          <w:p w14:paraId="02C8BB72" w14:textId="77777777" w:rsidR="00990B14" w:rsidRDefault="00000000">
            <w:pPr>
              <w:spacing w:after="40"/>
              <w:jc w:val="both"/>
            </w:pPr>
            <w:r>
              <w:rPr>
                <w:sz w:val="18"/>
                <w:szCs w:val="18"/>
              </w:rPr>
              <w:t>Auditoría ambiental gubernamental como seguimiento al cumplimiento, gestión y desempeño ambiental. (C, P, A)</w:t>
            </w:r>
          </w:p>
          <w:p w14:paraId="69CBB650" w14:textId="77777777" w:rsidR="00990B14" w:rsidRDefault="00000000">
            <w:pPr>
              <w:spacing w:after="40"/>
              <w:jc w:val="both"/>
            </w:pPr>
            <w:r>
              <w:rPr>
                <w:sz w:val="18"/>
                <w:szCs w:val="18"/>
              </w:rPr>
              <w:t>Auditoría ambiental de las entidades fiscalizadoras superiores. (C, P, A)</w:t>
            </w:r>
          </w:p>
          <w:p w14:paraId="471E1A38" w14:textId="77777777" w:rsidR="00990B14" w:rsidRDefault="00000000">
            <w:pPr>
              <w:spacing w:after="40"/>
              <w:jc w:val="both"/>
            </w:pPr>
            <w:r>
              <w:rPr>
                <w:sz w:val="18"/>
                <w:szCs w:val="18"/>
              </w:rPr>
              <w:t>Auditorías ambientales sectoriales. (C)</w:t>
            </w:r>
          </w:p>
          <w:p w14:paraId="68E0AA30" w14:textId="77777777" w:rsidR="00990B14" w:rsidRDefault="00000000">
            <w:pPr>
              <w:spacing w:after="40"/>
              <w:jc w:val="both"/>
            </w:pPr>
            <w:r>
              <w:rPr>
                <w:sz w:val="18"/>
                <w:szCs w:val="18"/>
              </w:rPr>
              <w:t>Auditorías sociales externas. (C, P)</w:t>
            </w:r>
          </w:p>
          <w:p w14:paraId="0DEDD718" w14:textId="77777777" w:rsidR="00990B14" w:rsidRDefault="00000000">
            <w:pPr>
              <w:spacing w:after="40"/>
              <w:jc w:val="both"/>
            </w:pPr>
            <w:r>
              <w:rPr>
                <w:sz w:val="18"/>
                <w:szCs w:val="18"/>
              </w:rPr>
              <w:t>Etapas de la auditoría ambiental gubernamental y manual para ejecutar las auditorías ambientales gubernamentales. (C, P, A)</w:t>
            </w:r>
          </w:p>
          <w:p w14:paraId="78617D85" w14:textId="77777777" w:rsidR="00990B14" w:rsidRDefault="00000000">
            <w:pPr>
              <w:spacing w:after="40"/>
              <w:jc w:val="both"/>
            </w:pPr>
            <w:r>
              <w:rPr>
                <w:sz w:val="18"/>
                <w:szCs w:val="18"/>
              </w:rPr>
              <w:t>Auditorías internas y auditorías externas; planificación de la auditoría, supervisión y control interno. (C, P, A)</w:t>
            </w:r>
          </w:p>
          <w:p w14:paraId="4F19544C" w14:textId="77777777" w:rsidR="00990B14" w:rsidRDefault="00000000">
            <w:pPr>
              <w:spacing w:after="40"/>
              <w:jc w:val="both"/>
            </w:pPr>
            <w:r>
              <w:rPr>
                <w:sz w:val="18"/>
                <w:szCs w:val="18"/>
              </w:rPr>
              <w:t>Ejecución de la auditoría, evidencias, informes a emitir y comunicación de resultados. (C, P, A)</w:t>
            </w:r>
          </w:p>
          <w:p w14:paraId="19C3C08D" w14:textId="77777777" w:rsidR="00990B14" w:rsidRDefault="00000000">
            <w:pPr>
              <w:spacing w:after="40"/>
              <w:jc w:val="both"/>
            </w:pPr>
            <w:r>
              <w:rPr>
                <w:sz w:val="18"/>
                <w:szCs w:val="18"/>
              </w:rPr>
              <w:t>Introducción a las entidades fiscalizadoras superiores y guía metodológica para sus auditorías ambientales. (C)</w:t>
            </w:r>
          </w:p>
          <w:p w14:paraId="05BEAC01" w14:textId="77777777" w:rsidR="00990B14" w:rsidRDefault="00000000">
            <w:pPr>
              <w:spacing w:after="40"/>
              <w:jc w:val="both"/>
            </w:pPr>
            <w:r>
              <w:rPr>
                <w:sz w:val="18"/>
                <w:szCs w:val="18"/>
              </w:rPr>
              <w:t>Marco conceptual y proceso de la auditoría ambiental realizada por las entidades fiscalizadoras superiores. (C, P, A)</w:t>
            </w:r>
          </w:p>
          <w:p w14:paraId="7ED9607A" w14:textId="77777777" w:rsidR="00990B14" w:rsidRDefault="00000000">
            <w:pPr>
              <w:spacing w:after="40"/>
              <w:jc w:val="both"/>
            </w:pPr>
            <w:r>
              <w:rPr>
                <w:sz w:val="18"/>
                <w:szCs w:val="18"/>
              </w:rPr>
              <w:t>Fase de planeación, fase de ejecución, fase de informe y técnicas de auditoría. (C, P, A)</w:t>
            </w:r>
          </w:p>
        </w:tc>
        <w:tc>
          <w:tcPr>
            <w:tcW w:w="2752" w:type="dxa"/>
            <w:gridSpan w:val="3"/>
            <w:shd w:val="clear" w:color="auto" w:fill="D9E2F3"/>
          </w:tcPr>
          <w:p w14:paraId="74571869" w14:textId="77777777" w:rsidR="00990B14" w:rsidRDefault="00000000">
            <w:pPr>
              <w:numPr>
                <w:ilvl w:val="0"/>
                <w:numId w:val="139"/>
              </w:numPr>
              <w:spacing w:before="10" w:after="10"/>
              <w:jc w:val="both"/>
            </w:pPr>
            <w:r>
              <w:rPr>
                <w:sz w:val="18"/>
                <w:szCs w:val="18"/>
              </w:rPr>
              <w:t>Normas de auditoría ambiental en vigencia emitidas por la INTOSAI – ISSAI 5110 a 5140</w:t>
            </w:r>
          </w:p>
          <w:p w14:paraId="4C506A28" w14:textId="77777777" w:rsidR="00990B14" w:rsidRDefault="00000000">
            <w:pPr>
              <w:numPr>
                <w:ilvl w:val="0"/>
                <w:numId w:val="139"/>
              </w:numPr>
              <w:spacing w:before="10" w:after="10"/>
              <w:jc w:val="both"/>
            </w:pPr>
            <w:r>
              <w:rPr>
                <w:sz w:val="18"/>
                <w:szCs w:val="18"/>
              </w:rPr>
              <w:t>Planificación de la Auditoría Ambiental.</w:t>
            </w:r>
          </w:p>
          <w:p w14:paraId="44055DAB" w14:textId="77777777" w:rsidR="00990B14" w:rsidRDefault="00000000">
            <w:pPr>
              <w:numPr>
                <w:ilvl w:val="0"/>
                <w:numId w:val="139"/>
              </w:numPr>
              <w:spacing w:before="10" w:after="10"/>
              <w:jc w:val="both"/>
            </w:pPr>
            <w:r>
              <w:rPr>
                <w:sz w:val="18"/>
                <w:szCs w:val="18"/>
              </w:rPr>
              <w:t>Ejecución de la Auditoría Ambiental</w:t>
            </w:r>
          </w:p>
          <w:p w14:paraId="1CE73A7F" w14:textId="77777777" w:rsidR="00990B14" w:rsidRDefault="00000000">
            <w:pPr>
              <w:numPr>
                <w:ilvl w:val="0"/>
                <w:numId w:val="139"/>
              </w:numPr>
              <w:spacing w:before="10" w:after="10"/>
              <w:jc w:val="both"/>
            </w:pPr>
            <w:r>
              <w:rPr>
                <w:sz w:val="18"/>
                <w:szCs w:val="18"/>
              </w:rPr>
              <w:t>Informe de Auditoría Ambiental.</w:t>
            </w:r>
          </w:p>
        </w:tc>
      </w:tr>
    </w:tbl>
    <w:p w14:paraId="5A4D0060"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700"/>
        <w:gridCol w:w="1805"/>
        <w:gridCol w:w="1805"/>
        <w:gridCol w:w="1700"/>
        <w:gridCol w:w="2395"/>
      </w:tblGrid>
      <w:tr w:rsidR="00990B14" w14:paraId="41D3E2D6" w14:textId="77777777">
        <w:trPr>
          <w:cantSplit/>
          <w:jc w:val="center"/>
        </w:trPr>
        <w:tc>
          <w:tcPr>
            <w:tcW w:w="9405" w:type="dxa"/>
            <w:gridSpan w:val="5"/>
            <w:shd w:val="clear" w:color="auto" w:fill="4472C4"/>
            <w:vAlign w:val="center"/>
          </w:tcPr>
          <w:p w14:paraId="5714537E" w14:textId="77777777" w:rsidR="00990B14" w:rsidRDefault="00000000">
            <w:pPr>
              <w:keepNext/>
              <w:spacing w:before="20" w:after="20"/>
              <w:jc w:val="center"/>
            </w:pPr>
            <w:r>
              <w:rPr>
                <w:b/>
                <w:bCs/>
                <w:i/>
                <w:iCs/>
                <w:color w:val="FFFFFF"/>
                <w:sz w:val="18"/>
                <w:szCs w:val="18"/>
              </w:rPr>
              <w:t>Actividades</w:t>
            </w:r>
          </w:p>
        </w:tc>
      </w:tr>
      <w:tr w:rsidR="00990B14" w14:paraId="0A72FA0B" w14:textId="77777777">
        <w:trPr>
          <w:cantSplit/>
          <w:jc w:val="center"/>
        </w:trPr>
        <w:tc>
          <w:tcPr>
            <w:tcW w:w="1700" w:type="dxa"/>
            <w:shd w:val="clear" w:color="auto" w:fill="4472C4"/>
            <w:vAlign w:val="center"/>
          </w:tcPr>
          <w:p w14:paraId="78B21251" w14:textId="77777777" w:rsidR="00990B14" w:rsidRDefault="00000000">
            <w:pPr>
              <w:keepNext/>
              <w:spacing w:before="20" w:after="20"/>
              <w:jc w:val="center"/>
            </w:pPr>
            <w:r>
              <w:rPr>
                <w:b/>
                <w:bCs/>
                <w:i/>
                <w:iCs/>
                <w:color w:val="FFFFFF"/>
                <w:sz w:val="18"/>
                <w:szCs w:val="18"/>
              </w:rPr>
              <w:t>En clase</w:t>
            </w:r>
          </w:p>
        </w:tc>
        <w:tc>
          <w:tcPr>
            <w:tcW w:w="1805" w:type="dxa"/>
            <w:shd w:val="clear" w:color="auto" w:fill="4472C4"/>
            <w:vAlign w:val="center"/>
          </w:tcPr>
          <w:p w14:paraId="6275A0D0" w14:textId="77777777" w:rsidR="00990B14" w:rsidRDefault="00000000">
            <w:pPr>
              <w:keepNext/>
              <w:spacing w:before="20" w:after="20"/>
              <w:jc w:val="center"/>
            </w:pPr>
            <w:r>
              <w:rPr>
                <w:b/>
                <w:bCs/>
                <w:i/>
                <w:iCs/>
                <w:color w:val="FFFFFF"/>
                <w:sz w:val="18"/>
                <w:szCs w:val="18"/>
              </w:rPr>
              <w:t>Autónomas</w:t>
            </w:r>
          </w:p>
        </w:tc>
        <w:tc>
          <w:tcPr>
            <w:tcW w:w="1805" w:type="dxa"/>
            <w:shd w:val="clear" w:color="auto" w:fill="4472C4"/>
            <w:vAlign w:val="center"/>
          </w:tcPr>
          <w:p w14:paraId="55A74146" w14:textId="77777777" w:rsidR="00990B14" w:rsidRDefault="00000000">
            <w:pPr>
              <w:keepNext/>
              <w:spacing w:before="20" w:after="20"/>
              <w:jc w:val="center"/>
            </w:pPr>
            <w:r>
              <w:rPr>
                <w:b/>
                <w:bCs/>
                <w:i/>
                <w:iCs/>
                <w:color w:val="FFFFFF"/>
                <w:sz w:val="18"/>
                <w:szCs w:val="18"/>
              </w:rPr>
              <w:t>B-Learning</w:t>
            </w:r>
          </w:p>
        </w:tc>
        <w:tc>
          <w:tcPr>
            <w:tcW w:w="1700" w:type="dxa"/>
            <w:shd w:val="clear" w:color="auto" w:fill="4472C4"/>
            <w:vAlign w:val="center"/>
          </w:tcPr>
          <w:p w14:paraId="0C8001FC" w14:textId="77777777" w:rsidR="00990B14" w:rsidRDefault="00000000">
            <w:pPr>
              <w:keepNext/>
              <w:spacing w:before="20" w:after="20"/>
              <w:jc w:val="center"/>
            </w:pPr>
            <w:r>
              <w:rPr>
                <w:b/>
                <w:bCs/>
                <w:i/>
                <w:iCs/>
                <w:color w:val="FFFFFF"/>
                <w:sz w:val="18"/>
                <w:szCs w:val="18"/>
              </w:rPr>
              <w:t>Taller</w:t>
            </w:r>
          </w:p>
        </w:tc>
        <w:tc>
          <w:tcPr>
            <w:tcW w:w="2395" w:type="dxa"/>
            <w:shd w:val="clear" w:color="auto" w:fill="4472C4"/>
            <w:vAlign w:val="center"/>
          </w:tcPr>
          <w:p w14:paraId="25D8D513" w14:textId="77777777" w:rsidR="00990B14" w:rsidRDefault="00000000">
            <w:pPr>
              <w:keepNext/>
              <w:spacing w:before="20" w:after="20"/>
              <w:jc w:val="center"/>
            </w:pPr>
            <w:r>
              <w:rPr>
                <w:b/>
                <w:bCs/>
                <w:i/>
                <w:iCs/>
                <w:color w:val="FFFFFF"/>
                <w:sz w:val="18"/>
                <w:szCs w:val="18"/>
              </w:rPr>
              <w:t>Investigación/Práctica</w:t>
            </w:r>
          </w:p>
        </w:tc>
      </w:tr>
      <w:tr w:rsidR="00990B14" w14:paraId="2FF9AC4A" w14:textId="77777777">
        <w:trPr>
          <w:jc w:val="center"/>
        </w:trPr>
        <w:tc>
          <w:tcPr>
            <w:tcW w:w="1700" w:type="dxa"/>
            <w:shd w:val="clear" w:color="auto" w:fill="D9E2F3"/>
          </w:tcPr>
          <w:p w14:paraId="77EF3E0D" w14:textId="77777777" w:rsidR="00990B14" w:rsidRDefault="00000000">
            <w:pPr>
              <w:numPr>
                <w:ilvl w:val="0"/>
                <w:numId w:val="139"/>
              </w:numPr>
              <w:spacing w:before="10" w:after="10"/>
              <w:jc w:val="both"/>
            </w:pPr>
            <w:r>
              <w:rPr>
                <w:sz w:val="18"/>
                <w:szCs w:val="18"/>
              </w:rPr>
              <w:t>Preguntas de comprensión sobre el marco normativo ambiental boliviano. Exposición dialogada de las NIIF de Sostenibilidad con riesgos, oportunidades, métricas y reporte de ESG y de la NIAS 5000.</w:t>
            </w:r>
          </w:p>
          <w:p w14:paraId="302C728F" w14:textId="77777777" w:rsidR="00990B14" w:rsidRDefault="00000000">
            <w:pPr>
              <w:numPr>
                <w:ilvl w:val="0"/>
                <w:numId w:val="139"/>
              </w:numPr>
              <w:spacing w:before="10" w:after="10"/>
              <w:jc w:val="both"/>
            </w:pPr>
            <w:r>
              <w:rPr>
                <w:sz w:val="18"/>
                <w:szCs w:val="18"/>
              </w:rPr>
              <w:t>Demostración de la redacción de la conclusión de aseguramiento limitado y razonable.</w:t>
            </w:r>
          </w:p>
          <w:p w14:paraId="343398EA" w14:textId="77777777" w:rsidR="00990B14" w:rsidRDefault="00000000">
            <w:pPr>
              <w:numPr>
                <w:ilvl w:val="0"/>
                <w:numId w:val="139"/>
              </w:numPr>
              <w:spacing w:before="10" w:after="10"/>
              <w:jc w:val="both"/>
            </w:pPr>
            <w:r>
              <w:rPr>
                <w:sz w:val="18"/>
                <w:szCs w:val="18"/>
              </w:rPr>
              <w:t>Resolución guiada de la matriz de materialidad y del inventario de emisiones de un caso.</w:t>
            </w:r>
          </w:p>
          <w:p w14:paraId="3A7E0EFE" w14:textId="77777777" w:rsidR="00990B14" w:rsidRDefault="00000000">
            <w:pPr>
              <w:numPr>
                <w:ilvl w:val="0"/>
                <w:numId w:val="139"/>
              </w:numPr>
              <w:spacing w:before="10" w:after="10"/>
              <w:jc w:val="both"/>
            </w:pPr>
            <w:r>
              <w:rPr>
                <w:sz w:val="18"/>
                <w:szCs w:val="18"/>
              </w:rPr>
              <w:t>Análisis de casos de auditoría ambiental publicados por la Contraloría General del Estado e INTOSAI.</w:t>
            </w:r>
          </w:p>
        </w:tc>
        <w:tc>
          <w:tcPr>
            <w:tcW w:w="1805" w:type="dxa"/>
            <w:shd w:val="clear" w:color="auto" w:fill="D9E2F3"/>
          </w:tcPr>
          <w:p w14:paraId="1111F2C7" w14:textId="77777777" w:rsidR="00990B14" w:rsidRDefault="00000000">
            <w:pPr>
              <w:numPr>
                <w:ilvl w:val="0"/>
                <w:numId w:val="139"/>
              </w:numPr>
              <w:spacing w:before="10" w:after="10"/>
              <w:jc w:val="both"/>
            </w:pPr>
            <w:r>
              <w:rPr>
                <w:sz w:val="18"/>
                <w:szCs w:val="18"/>
              </w:rPr>
              <w:t>Lectura de los ODS, NIIF de Sostenibilidad y de la NIAS 5000 para realizar Reportes y Aseguramiento de Sostenibilidad.</w:t>
            </w:r>
          </w:p>
          <w:p w14:paraId="789B8139" w14:textId="77777777" w:rsidR="00990B14" w:rsidRDefault="00000000">
            <w:pPr>
              <w:numPr>
                <w:ilvl w:val="0"/>
                <w:numId w:val="139"/>
              </w:numPr>
              <w:spacing w:before="10" w:after="10"/>
              <w:jc w:val="both"/>
            </w:pPr>
            <w:r>
              <w:rPr>
                <w:sz w:val="18"/>
                <w:szCs w:val="18"/>
              </w:rPr>
              <w:t>Investigación sobre la normativa ambiental boliviana aplicable a un sector económico.</w:t>
            </w:r>
          </w:p>
          <w:p w14:paraId="00B96C1C" w14:textId="77777777" w:rsidR="00990B14" w:rsidRDefault="00000000">
            <w:pPr>
              <w:numPr>
                <w:ilvl w:val="0"/>
                <w:numId w:val="139"/>
              </w:numPr>
              <w:spacing w:before="10" w:after="10"/>
              <w:jc w:val="both"/>
            </w:pPr>
            <w:r>
              <w:rPr>
                <w:sz w:val="18"/>
                <w:szCs w:val="18"/>
              </w:rPr>
              <w:t>Desarrollo progresivo del informe de aseguramiento del caso asignado.</w:t>
            </w:r>
          </w:p>
          <w:p w14:paraId="64752026" w14:textId="77777777" w:rsidR="00990B14" w:rsidRDefault="00000000">
            <w:pPr>
              <w:numPr>
                <w:ilvl w:val="0"/>
                <w:numId w:val="139"/>
              </w:numPr>
              <w:spacing w:before="10" w:after="10"/>
              <w:jc w:val="both"/>
            </w:pPr>
            <w:r>
              <w:rPr>
                <w:sz w:val="18"/>
                <w:szCs w:val="18"/>
              </w:rPr>
              <w:t>Normas técnicas ISO-IBNORCA, normas de auditoría ambiental gubernamental, y normas INTOSAI para Ejecutar Auditorías Ambientales de las EFS.</w:t>
            </w:r>
          </w:p>
        </w:tc>
        <w:tc>
          <w:tcPr>
            <w:tcW w:w="1805" w:type="dxa"/>
            <w:shd w:val="clear" w:color="auto" w:fill="D9E2F3"/>
          </w:tcPr>
          <w:p w14:paraId="7C5F3190" w14:textId="77777777" w:rsidR="00990B14" w:rsidRDefault="00000000">
            <w:pPr>
              <w:numPr>
                <w:ilvl w:val="0"/>
                <w:numId w:val="139"/>
              </w:numPr>
              <w:spacing w:before="10" w:after="10"/>
              <w:jc w:val="both"/>
            </w:pPr>
            <w:r>
              <w:rPr>
                <w:sz w:val="18"/>
                <w:szCs w:val="18"/>
              </w:rPr>
              <w:t>Cuestionarios de comprensión en la plataforma Moodle UMSA.</w:t>
            </w:r>
          </w:p>
          <w:p w14:paraId="6AFD4BDC" w14:textId="77777777" w:rsidR="00990B14" w:rsidRDefault="00000000">
            <w:pPr>
              <w:numPr>
                <w:ilvl w:val="0"/>
                <w:numId w:val="139"/>
              </w:numPr>
              <w:spacing w:before="10" w:after="10"/>
              <w:jc w:val="both"/>
            </w:pPr>
            <w:r>
              <w:rPr>
                <w:sz w:val="18"/>
                <w:szCs w:val="18"/>
              </w:rPr>
              <w:t>Foros de consulta sobre los informes ESG y los marcos de sostenibilidad.</w:t>
            </w:r>
          </w:p>
          <w:p w14:paraId="12541C27" w14:textId="77777777" w:rsidR="00990B14" w:rsidRDefault="00000000">
            <w:pPr>
              <w:numPr>
                <w:ilvl w:val="0"/>
                <w:numId w:val="139"/>
              </w:numPr>
              <w:spacing w:before="10" w:after="10"/>
              <w:jc w:val="both"/>
            </w:pPr>
            <w:r>
              <w:rPr>
                <w:sz w:val="18"/>
                <w:szCs w:val="18"/>
              </w:rPr>
              <w:t>Material audiovisual sobre auditoría ambiental y divulgaciones relacionadas con sostenibilidad.</w:t>
            </w:r>
          </w:p>
          <w:p w14:paraId="3FC8C6EE" w14:textId="77777777" w:rsidR="00990B14" w:rsidRDefault="00000000">
            <w:pPr>
              <w:numPr>
                <w:ilvl w:val="0"/>
                <w:numId w:val="139"/>
              </w:numPr>
              <w:spacing w:before="10" w:after="10"/>
              <w:jc w:val="both"/>
            </w:pPr>
            <w:r>
              <w:rPr>
                <w:sz w:val="18"/>
                <w:szCs w:val="18"/>
              </w:rPr>
              <w:t>Prácticas guiadas de entendimiento de la organización, riesgos, oportunidades, métricas, control interno, fraude ambiental, social y gobernanza.</w:t>
            </w:r>
          </w:p>
          <w:p w14:paraId="14846C3C" w14:textId="77777777" w:rsidR="00990B14" w:rsidRDefault="00000000">
            <w:pPr>
              <w:numPr>
                <w:ilvl w:val="0"/>
                <w:numId w:val="139"/>
              </w:numPr>
              <w:spacing w:before="10" w:after="10"/>
              <w:jc w:val="both"/>
            </w:pPr>
            <w:r>
              <w:rPr>
                <w:sz w:val="18"/>
                <w:szCs w:val="18"/>
              </w:rPr>
              <w:t>Cálculo de un inventario de emisiones de gases de efecto invernadero.</w:t>
            </w:r>
          </w:p>
        </w:tc>
        <w:tc>
          <w:tcPr>
            <w:tcW w:w="1700" w:type="dxa"/>
            <w:shd w:val="clear" w:color="auto" w:fill="D9E2F3"/>
          </w:tcPr>
          <w:p w14:paraId="3738F01F" w14:textId="77777777" w:rsidR="00990B14" w:rsidRDefault="00000000">
            <w:pPr>
              <w:numPr>
                <w:ilvl w:val="0"/>
                <w:numId w:val="139"/>
              </w:numPr>
              <w:spacing w:before="10" w:after="10"/>
              <w:jc w:val="both"/>
            </w:pPr>
            <w:r>
              <w:rPr>
                <w:sz w:val="18"/>
                <w:szCs w:val="18"/>
              </w:rPr>
              <w:t>Elaboración guiada del informe ESG o Informe de Sostenibilidad de una entidad boliviana.</w:t>
            </w:r>
          </w:p>
          <w:p w14:paraId="1E60A331" w14:textId="77777777" w:rsidR="00990B14" w:rsidRDefault="00000000">
            <w:pPr>
              <w:numPr>
                <w:ilvl w:val="0"/>
                <w:numId w:val="139"/>
              </w:numPr>
              <w:spacing w:before="10" w:after="10"/>
              <w:jc w:val="both"/>
            </w:pPr>
            <w:r>
              <w:rPr>
                <w:sz w:val="18"/>
                <w:szCs w:val="18"/>
              </w:rPr>
              <w:t>Análisis colaborativo de casos de auditoría ambiental gubernamental.</w:t>
            </w:r>
          </w:p>
          <w:p w14:paraId="7C613EAD" w14:textId="77777777" w:rsidR="00990B14" w:rsidRDefault="00000000">
            <w:pPr>
              <w:numPr>
                <w:ilvl w:val="0"/>
                <w:numId w:val="139"/>
              </w:numPr>
              <w:spacing w:before="10" w:after="10"/>
              <w:jc w:val="both"/>
            </w:pPr>
            <w:r>
              <w:rPr>
                <w:sz w:val="18"/>
                <w:szCs w:val="18"/>
              </w:rPr>
              <w:t>Revisión cruzada de los informes de aseguramiento entre equipos.</w:t>
            </w:r>
          </w:p>
          <w:p w14:paraId="39AE75AC" w14:textId="77777777" w:rsidR="00990B14" w:rsidRDefault="00000000">
            <w:pPr>
              <w:numPr>
                <w:ilvl w:val="0"/>
                <w:numId w:val="139"/>
              </w:numPr>
              <w:spacing w:before="10" w:after="10"/>
              <w:jc w:val="both"/>
            </w:pPr>
            <w:r>
              <w:rPr>
                <w:sz w:val="18"/>
                <w:szCs w:val="18"/>
              </w:rPr>
              <w:t>Determinación conjunta de los asuntos de sostenibilidad materiales de la entidad analizada.</w:t>
            </w:r>
          </w:p>
        </w:tc>
        <w:tc>
          <w:tcPr>
            <w:tcW w:w="2395" w:type="dxa"/>
            <w:shd w:val="clear" w:color="auto" w:fill="D9E2F3"/>
          </w:tcPr>
          <w:p w14:paraId="74E52704" w14:textId="77777777" w:rsidR="00990B14" w:rsidRDefault="00000000">
            <w:pPr>
              <w:numPr>
                <w:ilvl w:val="0"/>
                <w:numId w:val="139"/>
              </w:numPr>
              <w:spacing w:before="10" w:after="10"/>
              <w:jc w:val="both"/>
            </w:pPr>
            <w:r>
              <w:rPr>
                <w:sz w:val="18"/>
                <w:szCs w:val="18"/>
              </w:rPr>
              <w:t>Análisis de informes de auditoría ambiental publicados por la Contraloría General del Estado.</w:t>
            </w:r>
          </w:p>
          <w:p w14:paraId="1616B500" w14:textId="77777777" w:rsidR="00990B14" w:rsidRDefault="00000000">
            <w:pPr>
              <w:numPr>
                <w:ilvl w:val="0"/>
                <w:numId w:val="139"/>
              </w:numPr>
              <w:spacing w:before="10" w:after="10"/>
              <w:jc w:val="both"/>
            </w:pPr>
            <w:r>
              <w:rPr>
                <w:sz w:val="18"/>
                <w:szCs w:val="18"/>
              </w:rPr>
              <w:t>Revisión de los reportes de sostenibilidad de empresas bolivianas y de su aseguramiento.</w:t>
            </w:r>
          </w:p>
          <w:p w14:paraId="002A6DE3" w14:textId="77777777" w:rsidR="00990B14" w:rsidRDefault="00000000">
            <w:pPr>
              <w:numPr>
                <w:ilvl w:val="0"/>
                <w:numId w:val="139"/>
              </w:numPr>
              <w:spacing w:before="10" w:after="10"/>
              <w:jc w:val="both"/>
            </w:pPr>
            <w:r>
              <w:rPr>
                <w:sz w:val="18"/>
                <w:szCs w:val="18"/>
              </w:rPr>
              <w:t>Estudio de los impactos ambientales de un sector productivo del país.</w:t>
            </w:r>
          </w:p>
          <w:p w14:paraId="76C6495F" w14:textId="77777777" w:rsidR="00990B14" w:rsidRDefault="00000000">
            <w:pPr>
              <w:numPr>
                <w:ilvl w:val="0"/>
                <w:numId w:val="139"/>
              </w:numPr>
              <w:spacing w:before="10" w:after="10"/>
              <w:jc w:val="both"/>
            </w:pPr>
            <w:r>
              <w:rPr>
                <w:sz w:val="18"/>
                <w:szCs w:val="18"/>
              </w:rPr>
              <w:t>Revisión de reportes de sostenibilidad de empresas bolivianas y de sus informes de aseguramiento.</w:t>
            </w:r>
          </w:p>
        </w:tc>
      </w:tr>
    </w:tbl>
    <w:p w14:paraId="18534E9A"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780"/>
        <w:gridCol w:w="1825"/>
        <w:gridCol w:w="1825"/>
        <w:gridCol w:w="2120"/>
        <w:gridCol w:w="1855"/>
      </w:tblGrid>
      <w:tr w:rsidR="00990B14" w14:paraId="2FF9EBA3" w14:textId="77777777">
        <w:trPr>
          <w:jc w:val="center"/>
        </w:trPr>
        <w:tc>
          <w:tcPr>
            <w:tcW w:w="1780" w:type="dxa"/>
            <w:shd w:val="clear" w:color="auto" w:fill="4472C4"/>
            <w:vAlign w:val="center"/>
          </w:tcPr>
          <w:p w14:paraId="4EFB3ADE" w14:textId="77777777" w:rsidR="00990B14" w:rsidRDefault="00000000">
            <w:pPr>
              <w:spacing w:before="20" w:after="20"/>
              <w:jc w:val="center"/>
            </w:pPr>
            <w:r>
              <w:rPr>
                <w:b/>
                <w:bCs/>
                <w:i/>
                <w:iCs/>
                <w:color w:val="FFFFFF"/>
                <w:sz w:val="18"/>
                <w:szCs w:val="18"/>
              </w:rPr>
              <w:t>Estrategias de aprendizaje y enseñanza</w:t>
            </w:r>
          </w:p>
        </w:tc>
        <w:tc>
          <w:tcPr>
            <w:tcW w:w="7625" w:type="dxa"/>
            <w:gridSpan w:val="4"/>
            <w:shd w:val="clear" w:color="auto" w:fill="D9E2F3"/>
            <w:vAlign w:val="center"/>
          </w:tcPr>
          <w:p w14:paraId="170E3715" w14:textId="77777777" w:rsidR="00990B14" w:rsidRDefault="00000000">
            <w:pPr>
              <w:numPr>
                <w:ilvl w:val="0"/>
                <w:numId w:val="140"/>
              </w:numPr>
              <w:spacing w:before="10" w:after="10"/>
              <w:jc w:val="both"/>
            </w:pPr>
            <w:r>
              <w:rPr>
                <w:sz w:val="18"/>
                <w:szCs w:val="18"/>
              </w:rPr>
              <w:t>Aprendizaje basado en problemas con casos de gestión ambiental de entidades bolivianas.</w:t>
            </w:r>
          </w:p>
          <w:p w14:paraId="1763F1B4" w14:textId="77777777" w:rsidR="00990B14" w:rsidRDefault="00000000">
            <w:pPr>
              <w:numPr>
                <w:ilvl w:val="0"/>
                <w:numId w:val="140"/>
              </w:numPr>
              <w:spacing w:before="10" w:after="10"/>
              <w:jc w:val="both"/>
            </w:pPr>
            <w:r>
              <w:rPr>
                <w:sz w:val="18"/>
                <w:szCs w:val="18"/>
              </w:rPr>
              <w:t>Clase invertida para los contenidos normativos.</w:t>
            </w:r>
          </w:p>
          <w:p w14:paraId="703C4E65" w14:textId="77777777" w:rsidR="00990B14" w:rsidRDefault="00000000">
            <w:pPr>
              <w:numPr>
                <w:ilvl w:val="0"/>
                <w:numId w:val="140"/>
              </w:numPr>
              <w:spacing w:before="10" w:after="10"/>
              <w:jc w:val="both"/>
            </w:pPr>
            <w:r>
              <w:rPr>
                <w:sz w:val="18"/>
                <w:szCs w:val="18"/>
              </w:rPr>
              <w:t>Investigación documental sobre los marcos normativos de sostenibilidad vigentes.</w:t>
            </w:r>
          </w:p>
          <w:p w14:paraId="549867E2" w14:textId="77777777" w:rsidR="00990B14" w:rsidRDefault="00000000">
            <w:pPr>
              <w:numPr>
                <w:ilvl w:val="0"/>
                <w:numId w:val="140"/>
              </w:numPr>
              <w:spacing w:before="10" w:after="10"/>
              <w:jc w:val="both"/>
            </w:pPr>
            <w:r>
              <w:rPr>
                <w:sz w:val="18"/>
                <w:szCs w:val="18"/>
              </w:rPr>
              <w:t>Trabajo colaborativo en equipos de aseguramiento con asignación de sectores económicos.</w:t>
            </w:r>
          </w:p>
          <w:p w14:paraId="75D63838" w14:textId="77777777" w:rsidR="00990B14" w:rsidRDefault="00000000">
            <w:pPr>
              <w:numPr>
                <w:ilvl w:val="0"/>
                <w:numId w:val="140"/>
              </w:numPr>
              <w:spacing w:before="10" w:after="10"/>
              <w:jc w:val="both"/>
            </w:pPr>
            <w:r>
              <w:rPr>
                <w:sz w:val="18"/>
                <w:szCs w:val="18"/>
              </w:rPr>
              <w:t>Exposición y defensa de los informes ante el curso.</w:t>
            </w:r>
          </w:p>
          <w:p w14:paraId="3637A47F" w14:textId="77777777" w:rsidR="00990B14" w:rsidRDefault="00000000">
            <w:pPr>
              <w:numPr>
                <w:ilvl w:val="0"/>
                <w:numId w:val="140"/>
              </w:numPr>
              <w:spacing w:before="10" w:after="10"/>
              <w:jc w:val="both"/>
            </w:pPr>
            <w:r>
              <w:rPr>
                <w:sz w:val="18"/>
                <w:szCs w:val="18"/>
              </w:rPr>
              <w:t>Estudio de casos de informes de aseguramiento de sostenibilidad con alcance limitado y razonable.</w:t>
            </w:r>
          </w:p>
          <w:p w14:paraId="0FAE6233" w14:textId="77777777" w:rsidR="00990B14" w:rsidRDefault="00000000">
            <w:pPr>
              <w:numPr>
                <w:ilvl w:val="0"/>
                <w:numId w:val="140"/>
              </w:numPr>
              <w:spacing w:before="10" w:after="10"/>
              <w:jc w:val="both"/>
            </w:pPr>
            <w:r>
              <w:rPr>
                <w:sz w:val="18"/>
                <w:szCs w:val="18"/>
              </w:rPr>
              <w:t>Estudio de casos de auditorías ambientales gubernamentales y de informes de sostenibilidad.</w:t>
            </w:r>
          </w:p>
        </w:tc>
      </w:tr>
      <w:tr w:rsidR="00990B14" w14:paraId="2C270CE9" w14:textId="77777777">
        <w:trPr>
          <w:jc w:val="center"/>
        </w:trPr>
        <w:tc>
          <w:tcPr>
            <w:tcW w:w="1780" w:type="dxa"/>
            <w:shd w:val="clear" w:color="auto" w:fill="4472C4"/>
            <w:vAlign w:val="center"/>
          </w:tcPr>
          <w:p w14:paraId="21D18D08" w14:textId="77777777" w:rsidR="00990B14" w:rsidRDefault="00000000">
            <w:pPr>
              <w:spacing w:before="20" w:after="20"/>
              <w:jc w:val="center"/>
            </w:pPr>
            <w:r>
              <w:rPr>
                <w:b/>
                <w:bCs/>
                <w:i/>
                <w:iCs/>
                <w:color w:val="FFFFFF"/>
                <w:sz w:val="18"/>
                <w:szCs w:val="18"/>
              </w:rPr>
              <w:t>Recursos para el aprendizaje</w:t>
            </w:r>
          </w:p>
        </w:tc>
        <w:tc>
          <w:tcPr>
            <w:tcW w:w="7625" w:type="dxa"/>
            <w:gridSpan w:val="4"/>
            <w:shd w:val="clear" w:color="auto" w:fill="D9E2F3"/>
            <w:vAlign w:val="center"/>
          </w:tcPr>
          <w:p w14:paraId="7F1C23F3" w14:textId="77777777" w:rsidR="00990B14" w:rsidRDefault="00000000">
            <w:pPr>
              <w:numPr>
                <w:ilvl w:val="0"/>
                <w:numId w:val="140"/>
              </w:numPr>
              <w:spacing w:before="10" w:after="10"/>
              <w:jc w:val="both"/>
            </w:pPr>
            <w:r>
              <w:rPr>
                <w:sz w:val="18"/>
                <w:szCs w:val="18"/>
              </w:rPr>
              <w:t>Plataforma Moodle UMSA.</w:t>
            </w:r>
          </w:p>
          <w:p w14:paraId="759C1C62" w14:textId="77777777" w:rsidR="00990B14" w:rsidRDefault="00000000">
            <w:pPr>
              <w:numPr>
                <w:ilvl w:val="0"/>
                <w:numId w:val="140"/>
              </w:numPr>
              <w:spacing w:before="10" w:after="10"/>
              <w:jc w:val="both"/>
            </w:pPr>
            <w:r>
              <w:rPr>
                <w:sz w:val="18"/>
                <w:szCs w:val="18"/>
              </w:rPr>
              <w:t>Norma Internacional de Información Financiera de Sostenibilidad (NIIF de Sostenibilidad) y Norma Internacional de Aseguramiento de la Sostenibilidad 5000 del IAASB.</w:t>
            </w:r>
          </w:p>
          <w:p w14:paraId="00F9C63B" w14:textId="77777777" w:rsidR="00990B14" w:rsidRDefault="00000000">
            <w:pPr>
              <w:numPr>
                <w:ilvl w:val="0"/>
                <w:numId w:val="140"/>
              </w:numPr>
              <w:spacing w:before="10" w:after="10"/>
              <w:jc w:val="both"/>
            </w:pPr>
            <w:r>
              <w:rPr>
                <w:sz w:val="18"/>
                <w:szCs w:val="18"/>
              </w:rPr>
              <w:t>Normas de Auditoría Gubernamental de la Contraloría General del Estado y su Manual para Ejecutar Auditorías Ambientales.</w:t>
            </w:r>
          </w:p>
          <w:p w14:paraId="093664D5" w14:textId="77777777" w:rsidR="00990B14" w:rsidRDefault="00000000">
            <w:pPr>
              <w:numPr>
                <w:ilvl w:val="0"/>
                <w:numId w:val="140"/>
              </w:numPr>
              <w:spacing w:before="10" w:after="10"/>
              <w:jc w:val="both"/>
            </w:pPr>
            <w:r>
              <w:rPr>
                <w:sz w:val="18"/>
                <w:szCs w:val="18"/>
              </w:rPr>
              <w:t>Normas emitidas por la INTOSAI</w:t>
            </w:r>
          </w:p>
          <w:p w14:paraId="06C6F6FB" w14:textId="77777777" w:rsidR="00990B14" w:rsidRDefault="00000000">
            <w:pPr>
              <w:numPr>
                <w:ilvl w:val="0"/>
                <w:numId w:val="140"/>
              </w:numPr>
              <w:spacing w:before="10" w:after="10"/>
              <w:jc w:val="both"/>
            </w:pPr>
            <w:r>
              <w:rPr>
                <w:sz w:val="18"/>
                <w:szCs w:val="18"/>
              </w:rPr>
              <w:t>Ley N.º 1333, Ley N.º 755 y normas ambientales sectoriales vigentes.</w:t>
            </w:r>
          </w:p>
          <w:p w14:paraId="19FDB19F" w14:textId="77777777" w:rsidR="00990B14" w:rsidRDefault="00000000">
            <w:pPr>
              <w:numPr>
                <w:ilvl w:val="0"/>
                <w:numId w:val="140"/>
              </w:numPr>
              <w:spacing w:before="10" w:after="10"/>
              <w:jc w:val="both"/>
            </w:pPr>
            <w:r>
              <w:rPr>
                <w:sz w:val="18"/>
                <w:szCs w:val="18"/>
              </w:rPr>
              <w:t>Normas ISO 14001 e ISO 19011 y Normas Bolivianas emitidas por el IBNORCA.</w:t>
            </w:r>
          </w:p>
          <w:p w14:paraId="3493E5F6" w14:textId="77777777" w:rsidR="00990B14" w:rsidRDefault="00000000">
            <w:pPr>
              <w:numPr>
                <w:ilvl w:val="0"/>
                <w:numId w:val="140"/>
              </w:numPr>
              <w:spacing w:before="10" w:after="10"/>
              <w:jc w:val="both"/>
            </w:pPr>
            <w:r>
              <w:rPr>
                <w:sz w:val="18"/>
                <w:szCs w:val="18"/>
              </w:rPr>
              <w:t>Reportes de sostenibilidad y guías de bonos verdes publicados en el mercado de valores boliviano.</w:t>
            </w:r>
          </w:p>
          <w:p w14:paraId="28E9CB40" w14:textId="77777777" w:rsidR="00990B14" w:rsidRDefault="00000000">
            <w:pPr>
              <w:numPr>
                <w:ilvl w:val="0"/>
                <w:numId w:val="140"/>
              </w:numPr>
              <w:spacing w:before="10" w:after="10"/>
              <w:jc w:val="both"/>
            </w:pPr>
            <w:r>
              <w:rPr>
                <w:sz w:val="18"/>
                <w:szCs w:val="18"/>
              </w:rPr>
              <w:t>Hoja de cálculo para la elaboración del inventario de emisiones de gases de efecto invernadero.</w:t>
            </w:r>
          </w:p>
        </w:tc>
      </w:tr>
      <w:tr w:rsidR="00990B14" w14:paraId="7B2DDEAA" w14:textId="77777777">
        <w:trPr>
          <w:jc w:val="center"/>
        </w:trPr>
        <w:tc>
          <w:tcPr>
            <w:tcW w:w="1780" w:type="dxa"/>
            <w:shd w:val="clear" w:color="auto" w:fill="4472C4"/>
            <w:vAlign w:val="center"/>
          </w:tcPr>
          <w:p w14:paraId="712720BE" w14:textId="77777777" w:rsidR="00990B14" w:rsidRDefault="00000000">
            <w:pPr>
              <w:spacing w:before="20" w:after="20"/>
              <w:jc w:val="center"/>
            </w:pPr>
            <w:r>
              <w:rPr>
                <w:b/>
                <w:bCs/>
                <w:i/>
                <w:iCs/>
                <w:color w:val="FFFFFF"/>
                <w:sz w:val="18"/>
                <w:szCs w:val="18"/>
              </w:rPr>
              <w:t>Estrategias de evaluación</w:t>
            </w:r>
          </w:p>
        </w:tc>
        <w:tc>
          <w:tcPr>
            <w:tcW w:w="7625" w:type="dxa"/>
            <w:gridSpan w:val="4"/>
            <w:shd w:val="clear" w:color="auto" w:fill="D9E2F3"/>
            <w:vAlign w:val="center"/>
          </w:tcPr>
          <w:p w14:paraId="05201645" w14:textId="77777777" w:rsidR="00990B14" w:rsidRDefault="00000000">
            <w:pPr>
              <w:numPr>
                <w:ilvl w:val="0"/>
                <w:numId w:val="140"/>
              </w:numPr>
              <w:spacing w:before="10" w:after="10"/>
              <w:jc w:val="both"/>
            </w:pPr>
            <w:r>
              <w:rPr>
                <w:sz w:val="18"/>
                <w:szCs w:val="18"/>
              </w:rPr>
              <w:t>Evaluación diagnóstica: prueba inicial sobre la normativa ambiental boliviana y los encargos de aseguramiento de las materias precedentes.</w:t>
            </w:r>
          </w:p>
          <w:p w14:paraId="3B030CE3" w14:textId="77777777" w:rsidR="00990B14" w:rsidRDefault="00000000">
            <w:pPr>
              <w:numPr>
                <w:ilvl w:val="0"/>
                <w:numId w:val="140"/>
              </w:numPr>
              <w:spacing w:before="10" w:after="10"/>
              <w:jc w:val="both"/>
            </w:pPr>
            <w:r>
              <w:rPr>
                <w:sz w:val="18"/>
                <w:szCs w:val="18"/>
              </w:rPr>
              <w:t>Evaluación formativa: preguntas de comprensión y desarrollo de trabajos prácticos e investigación en el aula y para la casa, con retroalimentación continua, autoevaluación y coevaluación.</w:t>
            </w:r>
          </w:p>
          <w:p w14:paraId="7F1246AA" w14:textId="77777777" w:rsidR="00990B14" w:rsidRDefault="00000000">
            <w:pPr>
              <w:numPr>
                <w:ilvl w:val="0"/>
                <w:numId w:val="140"/>
              </w:numPr>
              <w:spacing w:before="10" w:after="10"/>
              <w:jc w:val="both"/>
            </w:pPr>
            <w:r>
              <w:rPr>
                <w:sz w:val="18"/>
                <w:szCs w:val="18"/>
              </w:rPr>
              <w:t>Evaluación sumativa: controles de lectura y asistencia, trabajos de investigación y desarrollo, exámenes parciales y examen final.</w:t>
            </w:r>
          </w:p>
        </w:tc>
      </w:tr>
      <w:tr w:rsidR="00990B14" w14:paraId="3B8E9664" w14:textId="77777777">
        <w:trPr>
          <w:jc w:val="center"/>
        </w:trPr>
        <w:tc>
          <w:tcPr>
            <w:tcW w:w="1780" w:type="dxa"/>
            <w:shd w:val="clear" w:color="auto" w:fill="4472C4"/>
            <w:vAlign w:val="center"/>
          </w:tcPr>
          <w:p w14:paraId="29C42A27" w14:textId="77777777" w:rsidR="00990B14" w:rsidRDefault="00000000">
            <w:pPr>
              <w:spacing w:before="20" w:after="20"/>
              <w:jc w:val="center"/>
            </w:pPr>
            <w:r>
              <w:rPr>
                <w:b/>
                <w:bCs/>
                <w:i/>
                <w:iCs/>
                <w:color w:val="FFFFFF"/>
                <w:sz w:val="18"/>
                <w:szCs w:val="18"/>
              </w:rPr>
              <w:t>Criterios de calificación</w:t>
            </w:r>
          </w:p>
        </w:tc>
        <w:tc>
          <w:tcPr>
            <w:tcW w:w="7625" w:type="dxa"/>
            <w:gridSpan w:val="4"/>
            <w:shd w:val="clear" w:color="auto" w:fill="D9E2F3"/>
            <w:vAlign w:val="center"/>
          </w:tcPr>
          <w:p w14:paraId="6591E086" w14:textId="77777777" w:rsidR="00990B14" w:rsidRDefault="00000000">
            <w:pPr>
              <w:numPr>
                <w:ilvl w:val="0"/>
                <w:numId w:val="140"/>
              </w:numPr>
              <w:spacing w:before="10" w:after="10"/>
              <w:jc w:val="both"/>
            </w:pPr>
            <w:r>
              <w:rPr>
                <w:sz w:val="18"/>
                <w:szCs w:val="18"/>
              </w:rPr>
              <w:t>Nota mínima de aprobación: 51/100.</w:t>
            </w:r>
          </w:p>
          <w:p w14:paraId="285F6406" w14:textId="77777777" w:rsidR="00990B14" w:rsidRDefault="00000000">
            <w:pPr>
              <w:numPr>
                <w:ilvl w:val="0"/>
                <w:numId w:val="140"/>
              </w:numPr>
              <w:spacing w:before="10" w:after="10"/>
              <w:jc w:val="both"/>
            </w:pPr>
            <w:r>
              <w:rPr>
                <w:sz w:val="18"/>
                <w:szCs w:val="18"/>
              </w:rPr>
              <w:t>Evaluación periódica al finalizar cada tema, basada en evidencias de conocimiento, desempeño y producto.</w:t>
            </w:r>
          </w:p>
          <w:p w14:paraId="6E8D10DF" w14:textId="77777777" w:rsidR="00990B14" w:rsidRDefault="00000000">
            <w:pPr>
              <w:numPr>
                <w:ilvl w:val="0"/>
                <w:numId w:val="140"/>
              </w:numPr>
              <w:spacing w:before="10" w:after="10"/>
              <w:jc w:val="both"/>
            </w:pPr>
            <w:r>
              <w:rPr>
                <w:sz w:val="18"/>
                <w:szCs w:val="18"/>
              </w:rPr>
              <w:t>Cada evidencia de producto se evalúa con su propia rúbrica de tres niveles: Insuficiente, Suficiente y Destacado.</w:t>
            </w:r>
          </w:p>
          <w:p w14:paraId="34CD1AEC" w14:textId="77777777" w:rsidR="00990B14" w:rsidRDefault="00000000">
            <w:pPr>
              <w:numPr>
                <w:ilvl w:val="0"/>
                <w:numId w:val="140"/>
              </w:numPr>
              <w:spacing w:before="10" w:after="10"/>
              <w:jc w:val="both"/>
            </w:pPr>
            <w:r>
              <w:rPr>
                <w:sz w:val="18"/>
                <w:szCs w:val="18"/>
              </w:rPr>
              <w:t>La calificación de cada elemento de competencia suma las calificaciones de sus evidencias de producto.</w:t>
            </w:r>
          </w:p>
        </w:tc>
      </w:tr>
      <w:tr w:rsidR="00990B14" w14:paraId="490F863F" w14:textId="77777777">
        <w:trPr>
          <w:cantSplit/>
          <w:jc w:val="center"/>
        </w:trPr>
        <w:tc>
          <w:tcPr>
            <w:tcW w:w="1780" w:type="dxa"/>
            <w:vMerge w:val="restart"/>
            <w:shd w:val="clear" w:color="auto" w:fill="4472C4"/>
            <w:vAlign w:val="center"/>
          </w:tcPr>
          <w:p w14:paraId="682C5F2E" w14:textId="77777777" w:rsidR="00990B14" w:rsidRDefault="00000000">
            <w:pPr>
              <w:spacing w:before="20" w:after="20"/>
              <w:jc w:val="center"/>
            </w:pPr>
            <w:r>
              <w:rPr>
                <w:b/>
                <w:bCs/>
                <w:i/>
                <w:iCs/>
                <w:color w:val="FFFFFF"/>
                <w:sz w:val="18"/>
                <w:szCs w:val="18"/>
              </w:rPr>
              <w:t>Niveles de logro y distribución de la calificación</w:t>
            </w:r>
          </w:p>
        </w:tc>
        <w:tc>
          <w:tcPr>
            <w:tcW w:w="5770" w:type="dxa"/>
            <w:gridSpan w:val="3"/>
            <w:shd w:val="clear" w:color="auto" w:fill="D9E2F3"/>
            <w:vAlign w:val="center"/>
          </w:tcPr>
          <w:p w14:paraId="094C5449" w14:textId="77777777" w:rsidR="00990B14" w:rsidRDefault="00000000">
            <w:pPr>
              <w:keepNext/>
              <w:spacing w:before="20" w:after="20"/>
              <w:jc w:val="both"/>
            </w:pPr>
            <w:r>
              <w:rPr>
                <w:b/>
                <w:bCs/>
                <w:i/>
                <w:iCs/>
                <w:sz w:val="18"/>
                <w:szCs w:val="18"/>
              </w:rPr>
              <w:t xml:space="preserve">Producto 1: </w:t>
            </w:r>
            <w:r>
              <w:rPr>
                <w:sz w:val="18"/>
                <w:szCs w:val="18"/>
              </w:rPr>
              <w:t>Cuadro del marco normativo ambiental boliviano con las obligaciones que impone a las organizaciones públicas y privadas</w:t>
            </w:r>
          </w:p>
        </w:tc>
        <w:tc>
          <w:tcPr>
            <w:tcW w:w="1855" w:type="dxa"/>
            <w:shd w:val="clear" w:color="auto" w:fill="D9E2F3"/>
            <w:vAlign w:val="center"/>
          </w:tcPr>
          <w:p w14:paraId="504A2F90" w14:textId="77777777" w:rsidR="00990B14" w:rsidRDefault="00000000">
            <w:pPr>
              <w:spacing w:before="20" w:after="20"/>
              <w:jc w:val="center"/>
            </w:pPr>
            <w:r>
              <w:rPr>
                <w:b/>
                <w:bCs/>
                <w:sz w:val="18"/>
                <w:szCs w:val="18"/>
              </w:rPr>
              <w:t>9%</w:t>
            </w:r>
          </w:p>
        </w:tc>
      </w:tr>
      <w:tr w:rsidR="00990B14" w14:paraId="4958AFC2" w14:textId="77777777">
        <w:trPr>
          <w:cantSplit/>
          <w:jc w:val="center"/>
        </w:trPr>
        <w:tc>
          <w:tcPr>
            <w:tcW w:w="1780" w:type="dxa"/>
            <w:vMerge/>
            <w:shd w:val="clear" w:color="auto" w:fill="4472C4"/>
            <w:vAlign w:val="center"/>
          </w:tcPr>
          <w:p w14:paraId="739DFE0B" w14:textId="77777777" w:rsidR="00990B14" w:rsidRDefault="00990B14">
            <w:pPr>
              <w:spacing w:before="20" w:after="20"/>
            </w:pPr>
          </w:p>
        </w:tc>
        <w:tc>
          <w:tcPr>
            <w:tcW w:w="1825" w:type="dxa"/>
            <w:shd w:val="clear" w:color="auto" w:fill="4472C4"/>
            <w:vAlign w:val="center"/>
          </w:tcPr>
          <w:p w14:paraId="0F27E010" w14:textId="77777777" w:rsidR="00990B14" w:rsidRDefault="00000000">
            <w:pPr>
              <w:keepNext/>
              <w:spacing w:before="20" w:after="20"/>
              <w:jc w:val="center"/>
            </w:pPr>
            <w:r>
              <w:rPr>
                <w:b/>
                <w:bCs/>
                <w:i/>
                <w:iCs/>
                <w:color w:val="FFFFFF"/>
                <w:sz w:val="18"/>
                <w:szCs w:val="18"/>
              </w:rPr>
              <w:t>Criterio</w:t>
            </w:r>
          </w:p>
        </w:tc>
        <w:tc>
          <w:tcPr>
            <w:tcW w:w="1825" w:type="dxa"/>
            <w:shd w:val="clear" w:color="auto" w:fill="4472C4"/>
            <w:vAlign w:val="center"/>
          </w:tcPr>
          <w:p w14:paraId="07CB873B" w14:textId="77777777" w:rsidR="00990B14" w:rsidRDefault="00000000">
            <w:pPr>
              <w:keepNext/>
              <w:spacing w:before="20" w:after="20"/>
              <w:jc w:val="center"/>
            </w:pPr>
            <w:r>
              <w:rPr>
                <w:b/>
                <w:bCs/>
                <w:i/>
                <w:iCs/>
                <w:color w:val="FFFFFF"/>
                <w:sz w:val="18"/>
                <w:szCs w:val="18"/>
              </w:rPr>
              <w:t>Insuficiente (1–50)</w:t>
            </w:r>
          </w:p>
        </w:tc>
        <w:tc>
          <w:tcPr>
            <w:tcW w:w="2120" w:type="dxa"/>
            <w:shd w:val="clear" w:color="auto" w:fill="4472C4"/>
            <w:vAlign w:val="center"/>
          </w:tcPr>
          <w:p w14:paraId="260F8580" w14:textId="77777777" w:rsidR="00990B14" w:rsidRDefault="00000000">
            <w:pPr>
              <w:keepNext/>
              <w:spacing w:before="20" w:after="20"/>
              <w:jc w:val="center"/>
            </w:pPr>
            <w:r>
              <w:rPr>
                <w:b/>
                <w:bCs/>
                <w:i/>
                <w:iCs/>
                <w:color w:val="FFFFFF"/>
                <w:sz w:val="18"/>
                <w:szCs w:val="18"/>
              </w:rPr>
              <w:t>Suficiente (51–80)</w:t>
            </w:r>
          </w:p>
        </w:tc>
        <w:tc>
          <w:tcPr>
            <w:tcW w:w="1855" w:type="dxa"/>
            <w:shd w:val="clear" w:color="auto" w:fill="4472C4"/>
            <w:vAlign w:val="center"/>
          </w:tcPr>
          <w:p w14:paraId="3C8159A4" w14:textId="77777777" w:rsidR="00990B14" w:rsidRDefault="00000000">
            <w:pPr>
              <w:keepNext/>
              <w:spacing w:before="20" w:after="20"/>
              <w:jc w:val="center"/>
            </w:pPr>
            <w:r>
              <w:rPr>
                <w:b/>
                <w:bCs/>
                <w:i/>
                <w:iCs/>
                <w:color w:val="FFFFFF"/>
                <w:sz w:val="18"/>
                <w:szCs w:val="18"/>
              </w:rPr>
              <w:t>Destacado (81–100)</w:t>
            </w:r>
          </w:p>
        </w:tc>
      </w:tr>
      <w:tr w:rsidR="00990B14" w14:paraId="01DD0E3D" w14:textId="77777777">
        <w:trPr>
          <w:cantSplit/>
          <w:jc w:val="center"/>
        </w:trPr>
        <w:tc>
          <w:tcPr>
            <w:tcW w:w="1780" w:type="dxa"/>
            <w:vMerge/>
            <w:shd w:val="clear" w:color="auto" w:fill="4472C4"/>
            <w:vAlign w:val="center"/>
          </w:tcPr>
          <w:p w14:paraId="6A5B94BE" w14:textId="77777777" w:rsidR="00990B14" w:rsidRDefault="00990B14">
            <w:pPr>
              <w:spacing w:before="20" w:after="20"/>
            </w:pPr>
          </w:p>
        </w:tc>
        <w:tc>
          <w:tcPr>
            <w:tcW w:w="1825" w:type="dxa"/>
            <w:shd w:val="clear" w:color="auto" w:fill="D9E2F3"/>
            <w:vAlign w:val="center"/>
          </w:tcPr>
          <w:p w14:paraId="5666331C" w14:textId="77777777" w:rsidR="00990B14" w:rsidRDefault="00000000">
            <w:pPr>
              <w:spacing w:before="20" w:after="20"/>
              <w:jc w:val="both"/>
            </w:pPr>
            <w:r>
              <w:rPr>
                <w:sz w:val="18"/>
                <w:szCs w:val="18"/>
              </w:rPr>
              <w:t>Normas</w:t>
            </w:r>
          </w:p>
        </w:tc>
        <w:tc>
          <w:tcPr>
            <w:tcW w:w="1825" w:type="dxa"/>
            <w:shd w:val="clear" w:color="auto" w:fill="D9E2F3"/>
            <w:vAlign w:val="center"/>
          </w:tcPr>
          <w:p w14:paraId="29C39D34" w14:textId="77777777" w:rsidR="00990B14" w:rsidRDefault="00000000">
            <w:pPr>
              <w:spacing w:before="20" w:after="20"/>
              <w:jc w:val="both"/>
            </w:pPr>
            <w:r>
              <w:rPr>
                <w:sz w:val="18"/>
                <w:szCs w:val="18"/>
              </w:rPr>
              <w:t>Omite normas aplicables.</w:t>
            </w:r>
          </w:p>
        </w:tc>
        <w:tc>
          <w:tcPr>
            <w:tcW w:w="2120" w:type="dxa"/>
            <w:shd w:val="clear" w:color="auto" w:fill="D9E2F3"/>
            <w:vAlign w:val="center"/>
          </w:tcPr>
          <w:p w14:paraId="50729A2C" w14:textId="77777777" w:rsidR="00990B14" w:rsidRDefault="00000000">
            <w:pPr>
              <w:spacing w:before="20" w:after="20"/>
              <w:jc w:val="both"/>
            </w:pPr>
            <w:r>
              <w:rPr>
                <w:sz w:val="18"/>
                <w:szCs w:val="18"/>
              </w:rPr>
              <w:t>Reconoce la CPE, las leyes N.º 1333, 071, 300 y 755 y sus reglamentos generales.</w:t>
            </w:r>
          </w:p>
        </w:tc>
        <w:tc>
          <w:tcPr>
            <w:tcW w:w="1855" w:type="dxa"/>
            <w:shd w:val="clear" w:color="auto" w:fill="D9E2F3"/>
            <w:vAlign w:val="center"/>
          </w:tcPr>
          <w:p w14:paraId="5791725C" w14:textId="77777777" w:rsidR="00990B14" w:rsidRDefault="00000000">
            <w:pPr>
              <w:spacing w:before="20" w:after="20"/>
              <w:jc w:val="both"/>
            </w:pPr>
            <w:r>
              <w:rPr>
                <w:sz w:val="18"/>
                <w:szCs w:val="18"/>
              </w:rPr>
              <w:t>Aprende, analiza y aplica la norma.</w:t>
            </w:r>
          </w:p>
        </w:tc>
      </w:tr>
      <w:tr w:rsidR="00990B14" w14:paraId="7190B40B" w14:textId="77777777">
        <w:trPr>
          <w:cantSplit/>
          <w:jc w:val="center"/>
        </w:trPr>
        <w:tc>
          <w:tcPr>
            <w:tcW w:w="1780" w:type="dxa"/>
            <w:vMerge/>
            <w:shd w:val="clear" w:color="auto" w:fill="4472C4"/>
            <w:vAlign w:val="center"/>
          </w:tcPr>
          <w:p w14:paraId="1877F355" w14:textId="77777777" w:rsidR="00990B14" w:rsidRDefault="00990B14">
            <w:pPr>
              <w:spacing w:before="20" w:after="20"/>
            </w:pPr>
          </w:p>
        </w:tc>
        <w:tc>
          <w:tcPr>
            <w:tcW w:w="1825" w:type="dxa"/>
            <w:shd w:val="clear" w:color="auto" w:fill="D9E2F3"/>
            <w:vAlign w:val="center"/>
          </w:tcPr>
          <w:p w14:paraId="4CBECE0F" w14:textId="77777777" w:rsidR="00990B14" w:rsidRDefault="00000000">
            <w:pPr>
              <w:spacing w:before="20" w:after="20"/>
              <w:jc w:val="both"/>
            </w:pPr>
            <w:r>
              <w:rPr>
                <w:sz w:val="18"/>
                <w:szCs w:val="18"/>
              </w:rPr>
              <w:t>Obligaciones de las organizaciones públicas y privadas</w:t>
            </w:r>
          </w:p>
        </w:tc>
        <w:tc>
          <w:tcPr>
            <w:tcW w:w="1825" w:type="dxa"/>
            <w:shd w:val="clear" w:color="auto" w:fill="D9E2F3"/>
            <w:vAlign w:val="center"/>
          </w:tcPr>
          <w:p w14:paraId="4EF3FF8C" w14:textId="77777777" w:rsidR="00990B14" w:rsidRDefault="00000000">
            <w:pPr>
              <w:spacing w:before="20" w:after="20"/>
              <w:jc w:val="both"/>
            </w:pPr>
            <w:r>
              <w:rPr>
                <w:sz w:val="18"/>
                <w:szCs w:val="18"/>
              </w:rPr>
              <w:t>No identifica obligaciones.</w:t>
            </w:r>
          </w:p>
        </w:tc>
        <w:tc>
          <w:tcPr>
            <w:tcW w:w="2120" w:type="dxa"/>
            <w:shd w:val="clear" w:color="auto" w:fill="D9E2F3"/>
            <w:vAlign w:val="center"/>
          </w:tcPr>
          <w:p w14:paraId="019F7F7F" w14:textId="77777777" w:rsidR="00990B14" w:rsidRDefault="00000000">
            <w:pPr>
              <w:spacing w:before="20" w:after="20"/>
              <w:jc w:val="both"/>
            </w:pPr>
            <w:r>
              <w:rPr>
                <w:sz w:val="18"/>
                <w:szCs w:val="18"/>
              </w:rPr>
              <w:t>Identifica las obligaciones de la entidad.</w:t>
            </w:r>
          </w:p>
        </w:tc>
        <w:tc>
          <w:tcPr>
            <w:tcW w:w="1855" w:type="dxa"/>
            <w:shd w:val="clear" w:color="auto" w:fill="D9E2F3"/>
            <w:vAlign w:val="center"/>
          </w:tcPr>
          <w:p w14:paraId="5EEAD23F" w14:textId="77777777" w:rsidR="00990B14" w:rsidRDefault="00000000">
            <w:pPr>
              <w:spacing w:before="20" w:after="20"/>
              <w:jc w:val="both"/>
            </w:pPr>
            <w:r>
              <w:rPr>
                <w:sz w:val="18"/>
                <w:szCs w:val="18"/>
              </w:rPr>
              <w:t>Relaciona cada obligación con un riesgo de incumplimiento.</w:t>
            </w:r>
          </w:p>
        </w:tc>
      </w:tr>
      <w:tr w:rsidR="00990B14" w14:paraId="7C0B4306" w14:textId="77777777">
        <w:trPr>
          <w:cantSplit/>
          <w:jc w:val="center"/>
        </w:trPr>
        <w:tc>
          <w:tcPr>
            <w:tcW w:w="1780" w:type="dxa"/>
            <w:vMerge/>
            <w:shd w:val="clear" w:color="auto" w:fill="4472C4"/>
            <w:vAlign w:val="center"/>
          </w:tcPr>
          <w:p w14:paraId="57580AA6" w14:textId="77777777" w:rsidR="00990B14" w:rsidRDefault="00990B14">
            <w:pPr>
              <w:spacing w:before="20" w:after="20"/>
            </w:pPr>
          </w:p>
        </w:tc>
        <w:tc>
          <w:tcPr>
            <w:tcW w:w="1825" w:type="dxa"/>
            <w:shd w:val="clear" w:color="auto" w:fill="D9E2F3"/>
            <w:vAlign w:val="center"/>
          </w:tcPr>
          <w:p w14:paraId="679D577F" w14:textId="77777777" w:rsidR="00990B14" w:rsidRDefault="00000000">
            <w:pPr>
              <w:spacing w:before="20" w:after="20"/>
              <w:jc w:val="both"/>
            </w:pPr>
            <w:r>
              <w:rPr>
                <w:sz w:val="18"/>
                <w:szCs w:val="18"/>
              </w:rPr>
              <w:t>Trabajo en grupos</w:t>
            </w:r>
          </w:p>
        </w:tc>
        <w:tc>
          <w:tcPr>
            <w:tcW w:w="1825" w:type="dxa"/>
            <w:shd w:val="clear" w:color="auto" w:fill="D9E2F3"/>
            <w:vAlign w:val="center"/>
          </w:tcPr>
          <w:p w14:paraId="1A329122" w14:textId="77777777" w:rsidR="00990B14" w:rsidRDefault="00000000">
            <w:pPr>
              <w:spacing w:before="20" w:after="20"/>
              <w:jc w:val="both"/>
            </w:pPr>
            <w:r>
              <w:rPr>
                <w:sz w:val="18"/>
                <w:szCs w:val="18"/>
              </w:rPr>
              <w:t>La participación es desigual.</w:t>
            </w:r>
          </w:p>
        </w:tc>
        <w:tc>
          <w:tcPr>
            <w:tcW w:w="2120" w:type="dxa"/>
            <w:shd w:val="clear" w:color="auto" w:fill="D9E2F3"/>
            <w:vAlign w:val="center"/>
          </w:tcPr>
          <w:p w14:paraId="20F691B5" w14:textId="77777777" w:rsidR="00990B14" w:rsidRDefault="00000000">
            <w:pPr>
              <w:spacing w:before="20" w:after="20"/>
              <w:jc w:val="both"/>
            </w:pPr>
            <w:r>
              <w:rPr>
                <w:sz w:val="18"/>
                <w:szCs w:val="18"/>
              </w:rPr>
              <w:t>Todos los integrantes participan.</w:t>
            </w:r>
          </w:p>
        </w:tc>
        <w:tc>
          <w:tcPr>
            <w:tcW w:w="1855" w:type="dxa"/>
            <w:shd w:val="clear" w:color="auto" w:fill="D9E2F3"/>
            <w:vAlign w:val="center"/>
          </w:tcPr>
          <w:p w14:paraId="2E4083C1" w14:textId="77777777" w:rsidR="00990B14" w:rsidRDefault="00000000">
            <w:pPr>
              <w:spacing w:before="20" w:after="20"/>
              <w:jc w:val="both"/>
            </w:pPr>
            <w:r>
              <w:rPr>
                <w:sz w:val="18"/>
                <w:szCs w:val="18"/>
              </w:rPr>
              <w:t>El equipo ilustra el cuadro con casos del sector.</w:t>
            </w:r>
          </w:p>
        </w:tc>
      </w:tr>
      <w:tr w:rsidR="00990B14" w14:paraId="7B1E483A" w14:textId="77777777">
        <w:trPr>
          <w:cantSplit/>
          <w:jc w:val="center"/>
        </w:trPr>
        <w:tc>
          <w:tcPr>
            <w:tcW w:w="1780" w:type="dxa"/>
            <w:vMerge/>
            <w:shd w:val="clear" w:color="auto" w:fill="4472C4"/>
            <w:vAlign w:val="center"/>
          </w:tcPr>
          <w:p w14:paraId="57173B0F" w14:textId="77777777" w:rsidR="00990B14" w:rsidRDefault="00990B14">
            <w:pPr>
              <w:spacing w:before="20" w:after="20"/>
            </w:pPr>
          </w:p>
        </w:tc>
        <w:tc>
          <w:tcPr>
            <w:tcW w:w="5770" w:type="dxa"/>
            <w:gridSpan w:val="3"/>
            <w:shd w:val="clear" w:color="auto" w:fill="D9E2F3"/>
            <w:vAlign w:val="center"/>
          </w:tcPr>
          <w:p w14:paraId="31418E49" w14:textId="77777777" w:rsidR="00990B14" w:rsidRDefault="00000000">
            <w:pPr>
              <w:keepNext/>
              <w:spacing w:before="20" w:after="20"/>
              <w:jc w:val="both"/>
            </w:pPr>
            <w:r>
              <w:rPr>
                <w:b/>
                <w:bCs/>
                <w:i/>
                <w:iCs/>
                <w:sz w:val="18"/>
                <w:szCs w:val="18"/>
              </w:rPr>
              <w:t xml:space="preserve">Producto 2: </w:t>
            </w:r>
            <w:r>
              <w:rPr>
                <w:sz w:val="18"/>
                <w:szCs w:val="18"/>
              </w:rPr>
              <w:t>Cuadro comparativo de los marcos internacionales de información de sostenibilidad.</w:t>
            </w:r>
          </w:p>
        </w:tc>
        <w:tc>
          <w:tcPr>
            <w:tcW w:w="1855" w:type="dxa"/>
            <w:shd w:val="clear" w:color="auto" w:fill="D9E2F3"/>
            <w:vAlign w:val="center"/>
          </w:tcPr>
          <w:p w14:paraId="3AFC4636" w14:textId="77777777" w:rsidR="00990B14" w:rsidRDefault="00000000">
            <w:pPr>
              <w:spacing w:before="20" w:after="20"/>
              <w:jc w:val="center"/>
            </w:pPr>
            <w:r>
              <w:rPr>
                <w:b/>
                <w:bCs/>
                <w:sz w:val="18"/>
                <w:szCs w:val="18"/>
              </w:rPr>
              <w:t>9%</w:t>
            </w:r>
          </w:p>
        </w:tc>
      </w:tr>
      <w:tr w:rsidR="00990B14" w14:paraId="2801BACB" w14:textId="77777777">
        <w:trPr>
          <w:cantSplit/>
          <w:jc w:val="center"/>
        </w:trPr>
        <w:tc>
          <w:tcPr>
            <w:tcW w:w="1780" w:type="dxa"/>
            <w:vMerge/>
            <w:shd w:val="clear" w:color="auto" w:fill="4472C4"/>
            <w:vAlign w:val="center"/>
          </w:tcPr>
          <w:p w14:paraId="53C5C544" w14:textId="77777777" w:rsidR="00990B14" w:rsidRDefault="00990B14">
            <w:pPr>
              <w:spacing w:before="20" w:after="20"/>
            </w:pPr>
          </w:p>
        </w:tc>
        <w:tc>
          <w:tcPr>
            <w:tcW w:w="1825" w:type="dxa"/>
            <w:shd w:val="clear" w:color="auto" w:fill="4472C4"/>
            <w:vAlign w:val="center"/>
          </w:tcPr>
          <w:p w14:paraId="652DA6A1" w14:textId="77777777" w:rsidR="00990B14" w:rsidRDefault="00000000">
            <w:pPr>
              <w:keepNext/>
              <w:spacing w:before="20" w:after="20"/>
              <w:jc w:val="center"/>
            </w:pPr>
            <w:r>
              <w:rPr>
                <w:b/>
                <w:bCs/>
                <w:i/>
                <w:iCs/>
                <w:color w:val="FFFFFF"/>
                <w:sz w:val="18"/>
                <w:szCs w:val="18"/>
              </w:rPr>
              <w:t>Criterio</w:t>
            </w:r>
          </w:p>
        </w:tc>
        <w:tc>
          <w:tcPr>
            <w:tcW w:w="1825" w:type="dxa"/>
            <w:shd w:val="clear" w:color="auto" w:fill="4472C4"/>
            <w:vAlign w:val="center"/>
          </w:tcPr>
          <w:p w14:paraId="235E6208" w14:textId="77777777" w:rsidR="00990B14" w:rsidRDefault="00000000">
            <w:pPr>
              <w:keepNext/>
              <w:spacing w:before="20" w:after="20"/>
              <w:jc w:val="center"/>
            </w:pPr>
            <w:r>
              <w:rPr>
                <w:b/>
                <w:bCs/>
                <w:i/>
                <w:iCs/>
                <w:color w:val="FFFFFF"/>
                <w:sz w:val="18"/>
                <w:szCs w:val="18"/>
              </w:rPr>
              <w:t>Insuficiente (1–50)</w:t>
            </w:r>
          </w:p>
        </w:tc>
        <w:tc>
          <w:tcPr>
            <w:tcW w:w="2120" w:type="dxa"/>
            <w:shd w:val="clear" w:color="auto" w:fill="4472C4"/>
            <w:vAlign w:val="center"/>
          </w:tcPr>
          <w:p w14:paraId="76E383D3" w14:textId="77777777" w:rsidR="00990B14" w:rsidRDefault="00000000">
            <w:pPr>
              <w:keepNext/>
              <w:spacing w:before="20" w:after="20"/>
              <w:jc w:val="center"/>
            </w:pPr>
            <w:r>
              <w:rPr>
                <w:b/>
                <w:bCs/>
                <w:i/>
                <w:iCs/>
                <w:color w:val="FFFFFF"/>
                <w:sz w:val="18"/>
                <w:szCs w:val="18"/>
              </w:rPr>
              <w:t>Suficiente (51–80)</w:t>
            </w:r>
          </w:p>
        </w:tc>
        <w:tc>
          <w:tcPr>
            <w:tcW w:w="1855" w:type="dxa"/>
            <w:shd w:val="clear" w:color="auto" w:fill="4472C4"/>
            <w:vAlign w:val="center"/>
          </w:tcPr>
          <w:p w14:paraId="11453B54" w14:textId="77777777" w:rsidR="00990B14" w:rsidRDefault="00000000">
            <w:pPr>
              <w:keepNext/>
              <w:spacing w:before="20" w:after="20"/>
              <w:jc w:val="center"/>
            </w:pPr>
            <w:r>
              <w:rPr>
                <w:b/>
                <w:bCs/>
                <w:i/>
                <w:iCs/>
                <w:color w:val="FFFFFF"/>
                <w:sz w:val="18"/>
                <w:szCs w:val="18"/>
              </w:rPr>
              <w:t>Destacado (81–100)</w:t>
            </w:r>
          </w:p>
        </w:tc>
      </w:tr>
      <w:tr w:rsidR="00990B14" w14:paraId="08347CC3" w14:textId="77777777">
        <w:trPr>
          <w:cantSplit/>
          <w:jc w:val="center"/>
        </w:trPr>
        <w:tc>
          <w:tcPr>
            <w:tcW w:w="1780" w:type="dxa"/>
            <w:vMerge/>
            <w:shd w:val="clear" w:color="auto" w:fill="4472C4"/>
            <w:vAlign w:val="center"/>
          </w:tcPr>
          <w:p w14:paraId="6567B6D7" w14:textId="77777777" w:rsidR="00990B14" w:rsidRDefault="00990B14">
            <w:pPr>
              <w:spacing w:before="20" w:after="20"/>
            </w:pPr>
          </w:p>
        </w:tc>
        <w:tc>
          <w:tcPr>
            <w:tcW w:w="1825" w:type="dxa"/>
            <w:shd w:val="clear" w:color="auto" w:fill="D9E2F3"/>
            <w:vAlign w:val="center"/>
          </w:tcPr>
          <w:p w14:paraId="56DE3FAE" w14:textId="77777777" w:rsidR="00990B14" w:rsidRDefault="00000000">
            <w:pPr>
              <w:spacing w:before="20" w:after="20"/>
              <w:jc w:val="both"/>
            </w:pPr>
            <w:r>
              <w:rPr>
                <w:sz w:val="18"/>
                <w:szCs w:val="18"/>
              </w:rPr>
              <w:t>Emisores</w:t>
            </w:r>
          </w:p>
        </w:tc>
        <w:tc>
          <w:tcPr>
            <w:tcW w:w="1825" w:type="dxa"/>
            <w:shd w:val="clear" w:color="auto" w:fill="D9E2F3"/>
            <w:vAlign w:val="center"/>
          </w:tcPr>
          <w:p w14:paraId="273DCD6E" w14:textId="77777777" w:rsidR="00990B14" w:rsidRDefault="00000000">
            <w:pPr>
              <w:spacing w:before="20" w:after="20"/>
              <w:jc w:val="both"/>
            </w:pPr>
            <w:r>
              <w:rPr>
                <w:sz w:val="18"/>
                <w:szCs w:val="18"/>
              </w:rPr>
              <w:t>Confunde los emisores.</w:t>
            </w:r>
          </w:p>
        </w:tc>
        <w:tc>
          <w:tcPr>
            <w:tcW w:w="2120" w:type="dxa"/>
            <w:shd w:val="clear" w:color="auto" w:fill="D9E2F3"/>
            <w:vAlign w:val="center"/>
          </w:tcPr>
          <w:p w14:paraId="08FEB8ED" w14:textId="77777777" w:rsidR="00990B14" w:rsidRDefault="00000000">
            <w:pPr>
              <w:spacing w:before="20" w:after="20"/>
              <w:jc w:val="both"/>
            </w:pPr>
            <w:r>
              <w:rPr>
                <w:sz w:val="18"/>
                <w:szCs w:val="18"/>
              </w:rPr>
              <w:t>Identifica el emisor y el alcance de cada marco.</w:t>
            </w:r>
          </w:p>
        </w:tc>
        <w:tc>
          <w:tcPr>
            <w:tcW w:w="1855" w:type="dxa"/>
            <w:shd w:val="clear" w:color="auto" w:fill="D9E2F3"/>
            <w:vAlign w:val="center"/>
          </w:tcPr>
          <w:p w14:paraId="2F0905E9" w14:textId="77777777" w:rsidR="00990B14" w:rsidRDefault="00000000">
            <w:pPr>
              <w:spacing w:before="20" w:after="20"/>
              <w:jc w:val="both"/>
            </w:pPr>
            <w:r>
              <w:rPr>
                <w:sz w:val="18"/>
                <w:szCs w:val="18"/>
              </w:rPr>
              <w:t>Explica la consolidación de emisores en la Fundación NIIF.</w:t>
            </w:r>
          </w:p>
        </w:tc>
      </w:tr>
      <w:tr w:rsidR="00990B14" w14:paraId="0316AE63" w14:textId="77777777">
        <w:trPr>
          <w:cantSplit/>
          <w:jc w:val="center"/>
        </w:trPr>
        <w:tc>
          <w:tcPr>
            <w:tcW w:w="1780" w:type="dxa"/>
            <w:vMerge/>
            <w:shd w:val="clear" w:color="auto" w:fill="4472C4"/>
            <w:vAlign w:val="center"/>
          </w:tcPr>
          <w:p w14:paraId="60A2F265" w14:textId="77777777" w:rsidR="00990B14" w:rsidRDefault="00990B14">
            <w:pPr>
              <w:spacing w:before="20" w:after="20"/>
            </w:pPr>
          </w:p>
        </w:tc>
        <w:tc>
          <w:tcPr>
            <w:tcW w:w="1825" w:type="dxa"/>
            <w:shd w:val="clear" w:color="auto" w:fill="D9E2F3"/>
            <w:vAlign w:val="center"/>
          </w:tcPr>
          <w:p w14:paraId="6639F750" w14:textId="77777777" w:rsidR="00990B14" w:rsidRDefault="00000000">
            <w:pPr>
              <w:spacing w:before="20" w:after="20"/>
              <w:jc w:val="both"/>
            </w:pPr>
            <w:r>
              <w:rPr>
                <w:sz w:val="18"/>
                <w:szCs w:val="18"/>
              </w:rPr>
              <w:t>Materialidad</w:t>
            </w:r>
          </w:p>
        </w:tc>
        <w:tc>
          <w:tcPr>
            <w:tcW w:w="1825" w:type="dxa"/>
            <w:shd w:val="clear" w:color="auto" w:fill="D9E2F3"/>
            <w:vAlign w:val="center"/>
          </w:tcPr>
          <w:p w14:paraId="58D1A41C" w14:textId="77777777" w:rsidR="00990B14" w:rsidRDefault="00000000">
            <w:pPr>
              <w:spacing w:before="20" w:after="20"/>
              <w:jc w:val="both"/>
            </w:pPr>
            <w:r>
              <w:rPr>
                <w:sz w:val="18"/>
                <w:szCs w:val="18"/>
              </w:rPr>
              <w:t>No distingue los enfoques.</w:t>
            </w:r>
          </w:p>
        </w:tc>
        <w:tc>
          <w:tcPr>
            <w:tcW w:w="2120" w:type="dxa"/>
            <w:shd w:val="clear" w:color="auto" w:fill="D9E2F3"/>
            <w:vAlign w:val="center"/>
          </w:tcPr>
          <w:p w14:paraId="7D919D29" w14:textId="77777777" w:rsidR="00990B14" w:rsidRDefault="00000000">
            <w:pPr>
              <w:spacing w:before="20" w:after="20"/>
              <w:jc w:val="both"/>
            </w:pPr>
            <w:r>
              <w:rPr>
                <w:sz w:val="18"/>
                <w:szCs w:val="18"/>
              </w:rPr>
              <w:t>Distingue la materialidad financiera de la doble materialidad.</w:t>
            </w:r>
          </w:p>
        </w:tc>
        <w:tc>
          <w:tcPr>
            <w:tcW w:w="1855" w:type="dxa"/>
            <w:shd w:val="clear" w:color="auto" w:fill="D9E2F3"/>
            <w:vAlign w:val="center"/>
          </w:tcPr>
          <w:p w14:paraId="564729AD" w14:textId="77777777" w:rsidR="00990B14" w:rsidRDefault="00000000">
            <w:pPr>
              <w:spacing w:before="20" w:after="20"/>
              <w:jc w:val="both"/>
            </w:pPr>
            <w:r>
              <w:rPr>
                <w:sz w:val="18"/>
                <w:szCs w:val="18"/>
              </w:rPr>
              <w:t>Evalúa qué enfoque conviene a la entidad.</w:t>
            </w:r>
          </w:p>
        </w:tc>
      </w:tr>
      <w:tr w:rsidR="00990B14" w14:paraId="1A68003F" w14:textId="77777777">
        <w:trPr>
          <w:cantSplit/>
          <w:jc w:val="center"/>
        </w:trPr>
        <w:tc>
          <w:tcPr>
            <w:tcW w:w="1780" w:type="dxa"/>
            <w:vMerge/>
            <w:shd w:val="clear" w:color="auto" w:fill="4472C4"/>
            <w:vAlign w:val="center"/>
          </w:tcPr>
          <w:p w14:paraId="182CCBF5" w14:textId="77777777" w:rsidR="00990B14" w:rsidRDefault="00990B14">
            <w:pPr>
              <w:spacing w:before="20" w:after="20"/>
            </w:pPr>
          </w:p>
        </w:tc>
        <w:tc>
          <w:tcPr>
            <w:tcW w:w="1825" w:type="dxa"/>
            <w:shd w:val="clear" w:color="auto" w:fill="D9E2F3"/>
            <w:vAlign w:val="center"/>
          </w:tcPr>
          <w:p w14:paraId="09992E22" w14:textId="77777777" w:rsidR="00990B14" w:rsidRDefault="00000000">
            <w:pPr>
              <w:spacing w:before="20" w:after="20"/>
              <w:jc w:val="both"/>
            </w:pPr>
            <w:r>
              <w:rPr>
                <w:sz w:val="18"/>
                <w:szCs w:val="18"/>
              </w:rPr>
              <w:t>Presentación</w:t>
            </w:r>
          </w:p>
        </w:tc>
        <w:tc>
          <w:tcPr>
            <w:tcW w:w="1825" w:type="dxa"/>
            <w:shd w:val="clear" w:color="auto" w:fill="D9E2F3"/>
            <w:vAlign w:val="center"/>
          </w:tcPr>
          <w:p w14:paraId="548B7457" w14:textId="77777777" w:rsidR="00990B14" w:rsidRDefault="00000000">
            <w:pPr>
              <w:spacing w:before="20" w:after="20"/>
              <w:jc w:val="both"/>
            </w:pPr>
            <w:r>
              <w:rPr>
                <w:sz w:val="18"/>
                <w:szCs w:val="18"/>
              </w:rPr>
              <w:t>El cuadro es confuso.</w:t>
            </w:r>
          </w:p>
        </w:tc>
        <w:tc>
          <w:tcPr>
            <w:tcW w:w="2120" w:type="dxa"/>
            <w:shd w:val="clear" w:color="auto" w:fill="D9E2F3"/>
            <w:vAlign w:val="center"/>
          </w:tcPr>
          <w:p w14:paraId="04FB0AF8" w14:textId="77777777" w:rsidR="00990B14" w:rsidRDefault="00000000">
            <w:pPr>
              <w:spacing w:before="20" w:after="20"/>
              <w:jc w:val="both"/>
            </w:pPr>
            <w:r>
              <w:rPr>
                <w:sz w:val="18"/>
                <w:szCs w:val="18"/>
              </w:rPr>
              <w:t>El cuadro es claro.</w:t>
            </w:r>
          </w:p>
        </w:tc>
        <w:tc>
          <w:tcPr>
            <w:tcW w:w="1855" w:type="dxa"/>
            <w:shd w:val="clear" w:color="auto" w:fill="D9E2F3"/>
            <w:vAlign w:val="center"/>
          </w:tcPr>
          <w:p w14:paraId="2DE08C02" w14:textId="77777777" w:rsidR="00990B14" w:rsidRDefault="00000000">
            <w:pPr>
              <w:spacing w:before="20" w:after="20"/>
              <w:jc w:val="both"/>
            </w:pPr>
            <w:r>
              <w:rPr>
                <w:sz w:val="18"/>
                <w:szCs w:val="18"/>
              </w:rPr>
              <w:t>El cuadro cita las fuentes oficiales.</w:t>
            </w:r>
          </w:p>
        </w:tc>
      </w:tr>
      <w:tr w:rsidR="00990B14" w14:paraId="6D6CA9A3" w14:textId="77777777">
        <w:trPr>
          <w:cantSplit/>
          <w:jc w:val="center"/>
        </w:trPr>
        <w:tc>
          <w:tcPr>
            <w:tcW w:w="1780" w:type="dxa"/>
            <w:vMerge/>
            <w:shd w:val="clear" w:color="auto" w:fill="4472C4"/>
            <w:vAlign w:val="center"/>
          </w:tcPr>
          <w:p w14:paraId="22DE2A5C" w14:textId="77777777" w:rsidR="00990B14" w:rsidRDefault="00990B14">
            <w:pPr>
              <w:spacing w:before="20" w:after="20"/>
            </w:pPr>
          </w:p>
        </w:tc>
        <w:tc>
          <w:tcPr>
            <w:tcW w:w="5770" w:type="dxa"/>
            <w:gridSpan w:val="3"/>
            <w:shd w:val="clear" w:color="auto" w:fill="D9E2F3"/>
            <w:vAlign w:val="center"/>
          </w:tcPr>
          <w:p w14:paraId="400BCB1C" w14:textId="77777777" w:rsidR="00990B14" w:rsidRDefault="00000000">
            <w:pPr>
              <w:keepNext/>
              <w:spacing w:before="20" w:after="20"/>
              <w:jc w:val="both"/>
            </w:pPr>
            <w:r>
              <w:rPr>
                <w:b/>
                <w:bCs/>
                <w:i/>
                <w:iCs/>
                <w:sz w:val="18"/>
                <w:szCs w:val="18"/>
              </w:rPr>
              <w:t xml:space="preserve">Producto 3: </w:t>
            </w:r>
            <w:r>
              <w:rPr>
                <w:sz w:val="18"/>
                <w:szCs w:val="18"/>
              </w:rPr>
              <w:t>Matriz de materialidad y de riesgos y oportunidades relacionados con el clima por horizonte temporal.</w:t>
            </w:r>
          </w:p>
        </w:tc>
        <w:tc>
          <w:tcPr>
            <w:tcW w:w="1855" w:type="dxa"/>
            <w:shd w:val="clear" w:color="auto" w:fill="D9E2F3"/>
            <w:vAlign w:val="center"/>
          </w:tcPr>
          <w:p w14:paraId="1F7BDA26" w14:textId="77777777" w:rsidR="00990B14" w:rsidRDefault="00000000">
            <w:pPr>
              <w:spacing w:before="20" w:after="20"/>
              <w:jc w:val="center"/>
            </w:pPr>
            <w:r>
              <w:rPr>
                <w:b/>
                <w:bCs/>
                <w:sz w:val="18"/>
                <w:szCs w:val="18"/>
              </w:rPr>
              <w:t>9%</w:t>
            </w:r>
          </w:p>
        </w:tc>
      </w:tr>
      <w:tr w:rsidR="00990B14" w14:paraId="63895BB0" w14:textId="77777777">
        <w:trPr>
          <w:cantSplit/>
          <w:jc w:val="center"/>
        </w:trPr>
        <w:tc>
          <w:tcPr>
            <w:tcW w:w="1780" w:type="dxa"/>
            <w:vMerge/>
            <w:shd w:val="clear" w:color="auto" w:fill="4472C4"/>
            <w:vAlign w:val="center"/>
          </w:tcPr>
          <w:p w14:paraId="7CB4B724" w14:textId="77777777" w:rsidR="00990B14" w:rsidRDefault="00990B14">
            <w:pPr>
              <w:spacing w:before="20" w:after="20"/>
            </w:pPr>
          </w:p>
        </w:tc>
        <w:tc>
          <w:tcPr>
            <w:tcW w:w="1825" w:type="dxa"/>
            <w:shd w:val="clear" w:color="auto" w:fill="4472C4"/>
            <w:vAlign w:val="center"/>
          </w:tcPr>
          <w:p w14:paraId="3BE2D3B1" w14:textId="77777777" w:rsidR="00990B14" w:rsidRDefault="00000000">
            <w:pPr>
              <w:keepNext/>
              <w:spacing w:before="20" w:after="20"/>
              <w:jc w:val="center"/>
            </w:pPr>
            <w:r>
              <w:rPr>
                <w:b/>
                <w:bCs/>
                <w:i/>
                <w:iCs/>
                <w:color w:val="FFFFFF"/>
                <w:sz w:val="18"/>
                <w:szCs w:val="18"/>
              </w:rPr>
              <w:t>Criterio</w:t>
            </w:r>
          </w:p>
        </w:tc>
        <w:tc>
          <w:tcPr>
            <w:tcW w:w="1825" w:type="dxa"/>
            <w:shd w:val="clear" w:color="auto" w:fill="4472C4"/>
            <w:vAlign w:val="center"/>
          </w:tcPr>
          <w:p w14:paraId="07E011A2" w14:textId="77777777" w:rsidR="00990B14" w:rsidRDefault="00000000">
            <w:pPr>
              <w:keepNext/>
              <w:spacing w:before="20" w:after="20"/>
              <w:jc w:val="center"/>
            </w:pPr>
            <w:r>
              <w:rPr>
                <w:b/>
                <w:bCs/>
                <w:i/>
                <w:iCs/>
                <w:color w:val="FFFFFF"/>
                <w:sz w:val="18"/>
                <w:szCs w:val="18"/>
              </w:rPr>
              <w:t>Insuficiente (1–50)</w:t>
            </w:r>
          </w:p>
        </w:tc>
        <w:tc>
          <w:tcPr>
            <w:tcW w:w="2120" w:type="dxa"/>
            <w:shd w:val="clear" w:color="auto" w:fill="4472C4"/>
            <w:vAlign w:val="center"/>
          </w:tcPr>
          <w:p w14:paraId="3A112FA5" w14:textId="77777777" w:rsidR="00990B14" w:rsidRDefault="00000000">
            <w:pPr>
              <w:keepNext/>
              <w:spacing w:before="20" w:after="20"/>
              <w:jc w:val="center"/>
            </w:pPr>
            <w:r>
              <w:rPr>
                <w:b/>
                <w:bCs/>
                <w:i/>
                <w:iCs/>
                <w:color w:val="FFFFFF"/>
                <w:sz w:val="18"/>
                <w:szCs w:val="18"/>
              </w:rPr>
              <w:t>Suficiente (51–80)</w:t>
            </w:r>
          </w:p>
        </w:tc>
        <w:tc>
          <w:tcPr>
            <w:tcW w:w="1855" w:type="dxa"/>
            <w:shd w:val="clear" w:color="auto" w:fill="4472C4"/>
            <w:vAlign w:val="center"/>
          </w:tcPr>
          <w:p w14:paraId="405DA4D5" w14:textId="77777777" w:rsidR="00990B14" w:rsidRDefault="00000000">
            <w:pPr>
              <w:keepNext/>
              <w:spacing w:before="20" w:after="20"/>
              <w:jc w:val="center"/>
            </w:pPr>
            <w:r>
              <w:rPr>
                <w:b/>
                <w:bCs/>
                <w:i/>
                <w:iCs/>
                <w:color w:val="FFFFFF"/>
                <w:sz w:val="18"/>
                <w:szCs w:val="18"/>
              </w:rPr>
              <w:t>Destacado (81–100)</w:t>
            </w:r>
          </w:p>
        </w:tc>
      </w:tr>
      <w:tr w:rsidR="00990B14" w14:paraId="547F03CF" w14:textId="77777777">
        <w:trPr>
          <w:cantSplit/>
          <w:jc w:val="center"/>
        </w:trPr>
        <w:tc>
          <w:tcPr>
            <w:tcW w:w="1780" w:type="dxa"/>
            <w:vMerge/>
            <w:shd w:val="clear" w:color="auto" w:fill="4472C4"/>
            <w:vAlign w:val="center"/>
          </w:tcPr>
          <w:p w14:paraId="278F66C0" w14:textId="77777777" w:rsidR="00990B14" w:rsidRDefault="00990B14">
            <w:pPr>
              <w:spacing w:before="20" w:after="20"/>
            </w:pPr>
          </w:p>
        </w:tc>
        <w:tc>
          <w:tcPr>
            <w:tcW w:w="1825" w:type="dxa"/>
            <w:shd w:val="clear" w:color="auto" w:fill="D9E2F3"/>
            <w:vAlign w:val="center"/>
          </w:tcPr>
          <w:p w14:paraId="4365983C" w14:textId="77777777" w:rsidR="00990B14" w:rsidRDefault="00000000">
            <w:pPr>
              <w:spacing w:before="20" w:after="20"/>
              <w:jc w:val="both"/>
            </w:pPr>
            <w:r>
              <w:rPr>
                <w:sz w:val="18"/>
                <w:szCs w:val="18"/>
              </w:rPr>
              <w:t>Asuntos materiales</w:t>
            </w:r>
          </w:p>
        </w:tc>
        <w:tc>
          <w:tcPr>
            <w:tcW w:w="1825" w:type="dxa"/>
            <w:shd w:val="clear" w:color="auto" w:fill="D9E2F3"/>
            <w:vAlign w:val="center"/>
          </w:tcPr>
          <w:p w14:paraId="2B8E1063" w14:textId="77777777" w:rsidR="00990B14" w:rsidRDefault="00000000">
            <w:pPr>
              <w:spacing w:before="20" w:after="20"/>
              <w:jc w:val="both"/>
            </w:pPr>
            <w:r>
              <w:rPr>
                <w:sz w:val="18"/>
                <w:szCs w:val="18"/>
              </w:rPr>
              <w:t>Omite asuntos relevantes.</w:t>
            </w:r>
          </w:p>
        </w:tc>
        <w:tc>
          <w:tcPr>
            <w:tcW w:w="2120" w:type="dxa"/>
            <w:shd w:val="clear" w:color="auto" w:fill="D9E2F3"/>
            <w:vAlign w:val="center"/>
          </w:tcPr>
          <w:p w14:paraId="04177099" w14:textId="77777777" w:rsidR="00990B14" w:rsidRDefault="00000000">
            <w:pPr>
              <w:spacing w:before="20" w:after="20"/>
              <w:jc w:val="both"/>
            </w:pPr>
            <w:r>
              <w:rPr>
                <w:sz w:val="18"/>
                <w:szCs w:val="18"/>
              </w:rPr>
              <w:t>Determina los asuntos materiales con sus fuentes.</w:t>
            </w:r>
          </w:p>
        </w:tc>
        <w:tc>
          <w:tcPr>
            <w:tcW w:w="1855" w:type="dxa"/>
            <w:shd w:val="clear" w:color="auto" w:fill="D9E2F3"/>
            <w:vAlign w:val="center"/>
          </w:tcPr>
          <w:p w14:paraId="12474DC4" w14:textId="77777777" w:rsidR="00990B14" w:rsidRDefault="00000000">
            <w:pPr>
              <w:spacing w:before="20" w:after="20"/>
              <w:jc w:val="both"/>
            </w:pPr>
            <w:r>
              <w:rPr>
                <w:sz w:val="18"/>
                <w:szCs w:val="18"/>
              </w:rPr>
              <w:t>Considera la cadena de valor de la entidad.</w:t>
            </w:r>
          </w:p>
        </w:tc>
      </w:tr>
      <w:tr w:rsidR="00990B14" w14:paraId="639BBC05" w14:textId="77777777">
        <w:trPr>
          <w:cantSplit/>
          <w:jc w:val="center"/>
        </w:trPr>
        <w:tc>
          <w:tcPr>
            <w:tcW w:w="1780" w:type="dxa"/>
            <w:vMerge/>
            <w:shd w:val="clear" w:color="auto" w:fill="4472C4"/>
            <w:vAlign w:val="center"/>
          </w:tcPr>
          <w:p w14:paraId="27C21177" w14:textId="77777777" w:rsidR="00990B14" w:rsidRDefault="00990B14">
            <w:pPr>
              <w:spacing w:before="20" w:after="20"/>
            </w:pPr>
          </w:p>
        </w:tc>
        <w:tc>
          <w:tcPr>
            <w:tcW w:w="1825" w:type="dxa"/>
            <w:shd w:val="clear" w:color="auto" w:fill="D9E2F3"/>
            <w:vAlign w:val="center"/>
          </w:tcPr>
          <w:p w14:paraId="5B24BFF8" w14:textId="77777777" w:rsidR="00990B14" w:rsidRDefault="00000000">
            <w:pPr>
              <w:spacing w:before="20" w:after="20"/>
              <w:jc w:val="both"/>
            </w:pPr>
            <w:r>
              <w:rPr>
                <w:sz w:val="18"/>
                <w:szCs w:val="18"/>
              </w:rPr>
              <w:t>Riesgos y oportunidades</w:t>
            </w:r>
          </w:p>
        </w:tc>
        <w:tc>
          <w:tcPr>
            <w:tcW w:w="1825" w:type="dxa"/>
            <w:shd w:val="clear" w:color="auto" w:fill="D9E2F3"/>
            <w:vAlign w:val="center"/>
          </w:tcPr>
          <w:p w14:paraId="2BE580B6" w14:textId="77777777" w:rsidR="00990B14" w:rsidRDefault="00000000">
            <w:pPr>
              <w:spacing w:before="20" w:after="20"/>
              <w:jc w:val="both"/>
            </w:pPr>
            <w:r>
              <w:rPr>
                <w:sz w:val="18"/>
                <w:szCs w:val="18"/>
              </w:rPr>
              <w:t>No distingue riesgos físicos y de transición.</w:t>
            </w:r>
          </w:p>
        </w:tc>
        <w:tc>
          <w:tcPr>
            <w:tcW w:w="2120" w:type="dxa"/>
            <w:shd w:val="clear" w:color="auto" w:fill="D9E2F3"/>
            <w:vAlign w:val="center"/>
          </w:tcPr>
          <w:p w14:paraId="1E878403" w14:textId="77777777" w:rsidR="00990B14" w:rsidRDefault="00000000">
            <w:pPr>
              <w:spacing w:before="20" w:after="20"/>
              <w:jc w:val="both"/>
            </w:pPr>
            <w:r>
              <w:rPr>
                <w:sz w:val="18"/>
                <w:szCs w:val="18"/>
              </w:rPr>
              <w:t>Clasifica riesgos y oportunidades por horizonte.</w:t>
            </w:r>
          </w:p>
        </w:tc>
        <w:tc>
          <w:tcPr>
            <w:tcW w:w="1855" w:type="dxa"/>
            <w:shd w:val="clear" w:color="auto" w:fill="D9E2F3"/>
            <w:vAlign w:val="center"/>
          </w:tcPr>
          <w:p w14:paraId="4FE01BEA" w14:textId="77777777" w:rsidR="00990B14" w:rsidRDefault="00000000">
            <w:pPr>
              <w:spacing w:before="20" w:after="20"/>
              <w:jc w:val="both"/>
            </w:pPr>
            <w:r>
              <w:rPr>
                <w:sz w:val="18"/>
                <w:szCs w:val="18"/>
              </w:rPr>
              <w:t>Estima su efecto financiero.</w:t>
            </w:r>
          </w:p>
        </w:tc>
      </w:tr>
      <w:tr w:rsidR="00990B14" w14:paraId="581F42EA" w14:textId="77777777">
        <w:trPr>
          <w:cantSplit/>
          <w:jc w:val="center"/>
        </w:trPr>
        <w:tc>
          <w:tcPr>
            <w:tcW w:w="1780" w:type="dxa"/>
            <w:vMerge/>
            <w:shd w:val="clear" w:color="auto" w:fill="4472C4"/>
            <w:vAlign w:val="center"/>
          </w:tcPr>
          <w:p w14:paraId="6888E7C0" w14:textId="77777777" w:rsidR="00990B14" w:rsidRDefault="00990B14">
            <w:pPr>
              <w:spacing w:before="20" w:after="20"/>
            </w:pPr>
          </w:p>
        </w:tc>
        <w:tc>
          <w:tcPr>
            <w:tcW w:w="1825" w:type="dxa"/>
            <w:shd w:val="clear" w:color="auto" w:fill="D9E2F3"/>
            <w:vAlign w:val="center"/>
          </w:tcPr>
          <w:p w14:paraId="672FAC14" w14:textId="77777777" w:rsidR="00990B14" w:rsidRDefault="00000000">
            <w:pPr>
              <w:spacing w:before="20" w:after="20"/>
              <w:jc w:val="both"/>
            </w:pPr>
            <w:r>
              <w:rPr>
                <w:sz w:val="18"/>
                <w:szCs w:val="18"/>
              </w:rPr>
              <w:t>Justificación</w:t>
            </w:r>
          </w:p>
        </w:tc>
        <w:tc>
          <w:tcPr>
            <w:tcW w:w="1825" w:type="dxa"/>
            <w:shd w:val="clear" w:color="auto" w:fill="D9E2F3"/>
            <w:vAlign w:val="center"/>
          </w:tcPr>
          <w:p w14:paraId="2AE97AB8" w14:textId="77777777" w:rsidR="00990B14" w:rsidRDefault="00000000">
            <w:pPr>
              <w:spacing w:before="20" w:after="20"/>
              <w:jc w:val="both"/>
            </w:pPr>
            <w:r>
              <w:rPr>
                <w:sz w:val="18"/>
                <w:szCs w:val="18"/>
              </w:rPr>
              <w:t>No justifica.</w:t>
            </w:r>
          </w:p>
        </w:tc>
        <w:tc>
          <w:tcPr>
            <w:tcW w:w="2120" w:type="dxa"/>
            <w:shd w:val="clear" w:color="auto" w:fill="D9E2F3"/>
            <w:vAlign w:val="center"/>
          </w:tcPr>
          <w:p w14:paraId="5A15BD8F" w14:textId="77777777" w:rsidR="00990B14" w:rsidRDefault="00000000">
            <w:pPr>
              <w:spacing w:before="20" w:after="20"/>
              <w:jc w:val="both"/>
            </w:pPr>
            <w:r>
              <w:rPr>
                <w:sz w:val="18"/>
                <w:szCs w:val="18"/>
              </w:rPr>
              <w:t>Justifica la materialidad asignada.</w:t>
            </w:r>
          </w:p>
        </w:tc>
        <w:tc>
          <w:tcPr>
            <w:tcW w:w="1855" w:type="dxa"/>
            <w:shd w:val="clear" w:color="auto" w:fill="D9E2F3"/>
            <w:vAlign w:val="center"/>
          </w:tcPr>
          <w:p w14:paraId="0F15F330" w14:textId="77777777" w:rsidR="00990B14" w:rsidRDefault="00000000">
            <w:pPr>
              <w:spacing w:before="20" w:after="20"/>
              <w:jc w:val="both"/>
            </w:pPr>
            <w:r>
              <w:rPr>
                <w:sz w:val="18"/>
                <w:szCs w:val="18"/>
              </w:rPr>
              <w:t>Contrasta con empresas del mismo sector.</w:t>
            </w:r>
          </w:p>
        </w:tc>
      </w:tr>
      <w:tr w:rsidR="00990B14" w14:paraId="71949504" w14:textId="77777777">
        <w:trPr>
          <w:cantSplit/>
          <w:jc w:val="center"/>
        </w:trPr>
        <w:tc>
          <w:tcPr>
            <w:tcW w:w="1780" w:type="dxa"/>
            <w:vMerge/>
            <w:shd w:val="clear" w:color="auto" w:fill="4472C4"/>
            <w:vAlign w:val="center"/>
          </w:tcPr>
          <w:p w14:paraId="4256F9FA" w14:textId="77777777" w:rsidR="00990B14" w:rsidRDefault="00990B14">
            <w:pPr>
              <w:spacing w:before="20" w:after="20"/>
            </w:pPr>
          </w:p>
        </w:tc>
        <w:tc>
          <w:tcPr>
            <w:tcW w:w="5770" w:type="dxa"/>
            <w:gridSpan w:val="3"/>
            <w:shd w:val="clear" w:color="auto" w:fill="D9E2F3"/>
            <w:vAlign w:val="center"/>
          </w:tcPr>
          <w:p w14:paraId="1DC0C609" w14:textId="77777777" w:rsidR="00990B14" w:rsidRDefault="00000000">
            <w:pPr>
              <w:keepNext/>
              <w:spacing w:before="20" w:after="20"/>
              <w:jc w:val="both"/>
            </w:pPr>
            <w:r>
              <w:rPr>
                <w:b/>
                <w:bCs/>
                <w:i/>
                <w:iCs/>
                <w:sz w:val="18"/>
                <w:szCs w:val="18"/>
              </w:rPr>
              <w:t xml:space="preserve">Producto 4: </w:t>
            </w:r>
            <w:r>
              <w:rPr>
                <w:sz w:val="18"/>
                <w:szCs w:val="18"/>
              </w:rPr>
              <w:t>Reporte de sostenibilidad de una entidad boliviana con sus indicadores ESG.</w:t>
            </w:r>
          </w:p>
        </w:tc>
        <w:tc>
          <w:tcPr>
            <w:tcW w:w="1855" w:type="dxa"/>
            <w:shd w:val="clear" w:color="auto" w:fill="D9E2F3"/>
            <w:vAlign w:val="center"/>
          </w:tcPr>
          <w:p w14:paraId="077A156C" w14:textId="77777777" w:rsidR="00990B14" w:rsidRDefault="00000000">
            <w:pPr>
              <w:spacing w:before="20" w:after="20"/>
              <w:jc w:val="center"/>
            </w:pPr>
            <w:r>
              <w:rPr>
                <w:b/>
                <w:bCs/>
                <w:sz w:val="18"/>
                <w:szCs w:val="18"/>
              </w:rPr>
              <w:t>8%</w:t>
            </w:r>
          </w:p>
        </w:tc>
      </w:tr>
      <w:tr w:rsidR="00990B14" w14:paraId="6BD2BA29" w14:textId="77777777">
        <w:trPr>
          <w:cantSplit/>
          <w:jc w:val="center"/>
        </w:trPr>
        <w:tc>
          <w:tcPr>
            <w:tcW w:w="1780" w:type="dxa"/>
            <w:vMerge/>
            <w:shd w:val="clear" w:color="auto" w:fill="4472C4"/>
            <w:vAlign w:val="center"/>
          </w:tcPr>
          <w:p w14:paraId="6C25B0EA" w14:textId="77777777" w:rsidR="00990B14" w:rsidRDefault="00990B14">
            <w:pPr>
              <w:spacing w:before="20" w:after="20"/>
            </w:pPr>
          </w:p>
        </w:tc>
        <w:tc>
          <w:tcPr>
            <w:tcW w:w="1825" w:type="dxa"/>
            <w:shd w:val="clear" w:color="auto" w:fill="4472C4"/>
            <w:vAlign w:val="center"/>
          </w:tcPr>
          <w:p w14:paraId="7D00E196" w14:textId="77777777" w:rsidR="00990B14" w:rsidRDefault="00000000">
            <w:pPr>
              <w:keepNext/>
              <w:spacing w:before="20" w:after="20"/>
              <w:jc w:val="center"/>
            </w:pPr>
            <w:r>
              <w:rPr>
                <w:b/>
                <w:bCs/>
                <w:i/>
                <w:iCs/>
                <w:color w:val="FFFFFF"/>
                <w:sz w:val="18"/>
                <w:szCs w:val="18"/>
              </w:rPr>
              <w:t>Criterio</w:t>
            </w:r>
          </w:p>
        </w:tc>
        <w:tc>
          <w:tcPr>
            <w:tcW w:w="1825" w:type="dxa"/>
            <w:shd w:val="clear" w:color="auto" w:fill="4472C4"/>
            <w:vAlign w:val="center"/>
          </w:tcPr>
          <w:p w14:paraId="25DB3CF1" w14:textId="77777777" w:rsidR="00990B14" w:rsidRDefault="00000000">
            <w:pPr>
              <w:keepNext/>
              <w:spacing w:before="20" w:after="20"/>
              <w:jc w:val="center"/>
            </w:pPr>
            <w:r>
              <w:rPr>
                <w:b/>
                <w:bCs/>
                <w:i/>
                <w:iCs/>
                <w:color w:val="FFFFFF"/>
                <w:sz w:val="18"/>
                <w:szCs w:val="18"/>
              </w:rPr>
              <w:t>Insuficiente (1–50)</w:t>
            </w:r>
          </w:p>
        </w:tc>
        <w:tc>
          <w:tcPr>
            <w:tcW w:w="2120" w:type="dxa"/>
            <w:shd w:val="clear" w:color="auto" w:fill="4472C4"/>
            <w:vAlign w:val="center"/>
          </w:tcPr>
          <w:p w14:paraId="66BDB05B" w14:textId="77777777" w:rsidR="00990B14" w:rsidRDefault="00000000">
            <w:pPr>
              <w:keepNext/>
              <w:spacing w:before="20" w:after="20"/>
              <w:jc w:val="center"/>
            </w:pPr>
            <w:r>
              <w:rPr>
                <w:b/>
                <w:bCs/>
                <w:i/>
                <w:iCs/>
                <w:color w:val="FFFFFF"/>
                <w:sz w:val="18"/>
                <w:szCs w:val="18"/>
              </w:rPr>
              <w:t>Suficiente (51–80)</w:t>
            </w:r>
          </w:p>
        </w:tc>
        <w:tc>
          <w:tcPr>
            <w:tcW w:w="1855" w:type="dxa"/>
            <w:shd w:val="clear" w:color="auto" w:fill="4472C4"/>
            <w:vAlign w:val="center"/>
          </w:tcPr>
          <w:p w14:paraId="162385DA" w14:textId="77777777" w:rsidR="00990B14" w:rsidRDefault="00000000">
            <w:pPr>
              <w:keepNext/>
              <w:spacing w:before="20" w:after="20"/>
              <w:jc w:val="center"/>
            </w:pPr>
            <w:r>
              <w:rPr>
                <w:b/>
                <w:bCs/>
                <w:i/>
                <w:iCs/>
                <w:color w:val="FFFFFF"/>
                <w:sz w:val="18"/>
                <w:szCs w:val="18"/>
              </w:rPr>
              <w:t>Destacado (81–100)</w:t>
            </w:r>
          </w:p>
        </w:tc>
      </w:tr>
      <w:tr w:rsidR="00990B14" w14:paraId="1318B468" w14:textId="77777777">
        <w:trPr>
          <w:cantSplit/>
          <w:jc w:val="center"/>
        </w:trPr>
        <w:tc>
          <w:tcPr>
            <w:tcW w:w="1780" w:type="dxa"/>
            <w:vMerge/>
            <w:shd w:val="clear" w:color="auto" w:fill="4472C4"/>
            <w:vAlign w:val="center"/>
          </w:tcPr>
          <w:p w14:paraId="0E3C990E" w14:textId="77777777" w:rsidR="00990B14" w:rsidRDefault="00990B14">
            <w:pPr>
              <w:spacing w:before="20" w:after="20"/>
            </w:pPr>
          </w:p>
        </w:tc>
        <w:tc>
          <w:tcPr>
            <w:tcW w:w="1825" w:type="dxa"/>
            <w:shd w:val="clear" w:color="auto" w:fill="D9E2F3"/>
            <w:vAlign w:val="center"/>
          </w:tcPr>
          <w:p w14:paraId="45C85FC3" w14:textId="77777777" w:rsidR="00990B14" w:rsidRDefault="00000000">
            <w:pPr>
              <w:spacing w:before="20" w:after="20"/>
              <w:jc w:val="both"/>
            </w:pPr>
            <w:r>
              <w:rPr>
                <w:sz w:val="18"/>
                <w:szCs w:val="18"/>
              </w:rPr>
              <w:t>Pilares</w:t>
            </w:r>
          </w:p>
        </w:tc>
        <w:tc>
          <w:tcPr>
            <w:tcW w:w="1825" w:type="dxa"/>
            <w:shd w:val="clear" w:color="auto" w:fill="D9E2F3"/>
            <w:vAlign w:val="center"/>
          </w:tcPr>
          <w:p w14:paraId="330EA617" w14:textId="77777777" w:rsidR="00990B14" w:rsidRDefault="00000000">
            <w:pPr>
              <w:spacing w:before="20" w:after="20"/>
              <w:jc w:val="both"/>
            </w:pPr>
            <w:r>
              <w:rPr>
                <w:sz w:val="18"/>
                <w:szCs w:val="18"/>
              </w:rPr>
              <w:t>Omite pilares.</w:t>
            </w:r>
          </w:p>
        </w:tc>
        <w:tc>
          <w:tcPr>
            <w:tcW w:w="2120" w:type="dxa"/>
            <w:shd w:val="clear" w:color="auto" w:fill="D9E2F3"/>
            <w:vAlign w:val="center"/>
          </w:tcPr>
          <w:p w14:paraId="5406898F" w14:textId="77777777" w:rsidR="00990B14" w:rsidRDefault="00000000">
            <w:pPr>
              <w:spacing w:before="20" w:after="20"/>
              <w:jc w:val="both"/>
            </w:pPr>
            <w:r>
              <w:rPr>
                <w:sz w:val="18"/>
                <w:szCs w:val="18"/>
              </w:rPr>
              <w:t>Revela gobernanza, estrategia, gestión de riesgos, métricas y objetivos.</w:t>
            </w:r>
          </w:p>
        </w:tc>
        <w:tc>
          <w:tcPr>
            <w:tcW w:w="1855" w:type="dxa"/>
            <w:shd w:val="clear" w:color="auto" w:fill="D9E2F3"/>
            <w:vAlign w:val="center"/>
          </w:tcPr>
          <w:p w14:paraId="19D81E8D" w14:textId="77777777" w:rsidR="00990B14" w:rsidRDefault="00000000">
            <w:pPr>
              <w:spacing w:before="20" w:after="20"/>
              <w:jc w:val="both"/>
            </w:pPr>
            <w:r>
              <w:rPr>
                <w:sz w:val="18"/>
                <w:szCs w:val="18"/>
              </w:rPr>
              <w:t>Aplica las disposiciones transitorias de primera aplicación.</w:t>
            </w:r>
          </w:p>
        </w:tc>
      </w:tr>
      <w:tr w:rsidR="00990B14" w14:paraId="611EA6E6" w14:textId="77777777">
        <w:trPr>
          <w:cantSplit/>
          <w:jc w:val="center"/>
        </w:trPr>
        <w:tc>
          <w:tcPr>
            <w:tcW w:w="1780" w:type="dxa"/>
            <w:vMerge/>
            <w:shd w:val="clear" w:color="auto" w:fill="4472C4"/>
            <w:vAlign w:val="center"/>
          </w:tcPr>
          <w:p w14:paraId="35CDC190" w14:textId="77777777" w:rsidR="00990B14" w:rsidRDefault="00990B14">
            <w:pPr>
              <w:spacing w:before="20" w:after="20"/>
            </w:pPr>
          </w:p>
        </w:tc>
        <w:tc>
          <w:tcPr>
            <w:tcW w:w="1825" w:type="dxa"/>
            <w:shd w:val="clear" w:color="auto" w:fill="D9E2F3"/>
            <w:vAlign w:val="center"/>
          </w:tcPr>
          <w:p w14:paraId="31878B9A" w14:textId="77777777" w:rsidR="00990B14" w:rsidRDefault="00000000">
            <w:pPr>
              <w:spacing w:before="20" w:after="20"/>
              <w:jc w:val="both"/>
            </w:pPr>
            <w:r>
              <w:rPr>
                <w:sz w:val="18"/>
                <w:szCs w:val="18"/>
              </w:rPr>
              <w:t>Indicadores</w:t>
            </w:r>
          </w:p>
        </w:tc>
        <w:tc>
          <w:tcPr>
            <w:tcW w:w="1825" w:type="dxa"/>
            <w:shd w:val="clear" w:color="auto" w:fill="D9E2F3"/>
            <w:vAlign w:val="center"/>
          </w:tcPr>
          <w:p w14:paraId="38036811" w14:textId="77777777" w:rsidR="00990B14" w:rsidRDefault="00000000">
            <w:pPr>
              <w:spacing w:before="20" w:after="20"/>
              <w:jc w:val="both"/>
            </w:pPr>
            <w:r>
              <w:rPr>
                <w:sz w:val="18"/>
                <w:szCs w:val="18"/>
              </w:rPr>
              <w:t>Los indicadores carecen de fuente.</w:t>
            </w:r>
          </w:p>
        </w:tc>
        <w:tc>
          <w:tcPr>
            <w:tcW w:w="2120" w:type="dxa"/>
            <w:shd w:val="clear" w:color="auto" w:fill="D9E2F3"/>
            <w:vAlign w:val="center"/>
          </w:tcPr>
          <w:p w14:paraId="75BC14D6" w14:textId="77777777" w:rsidR="00990B14" w:rsidRDefault="00000000">
            <w:pPr>
              <w:spacing w:before="20" w:after="20"/>
              <w:jc w:val="both"/>
            </w:pPr>
            <w:r>
              <w:rPr>
                <w:sz w:val="18"/>
                <w:szCs w:val="18"/>
              </w:rPr>
              <w:t>Mide los indicadores con fuentes identificadas.</w:t>
            </w:r>
          </w:p>
        </w:tc>
        <w:tc>
          <w:tcPr>
            <w:tcW w:w="1855" w:type="dxa"/>
            <w:shd w:val="clear" w:color="auto" w:fill="D9E2F3"/>
            <w:vAlign w:val="center"/>
          </w:tcPr>
          <w:p w14:paraId="4B784C94" w14:textId="77777777" w:rsidR="00990B14" w:rsidRDefault="00000000">
            <w:pPr>
              <w:spacing w:before="20" w:after="20"/>
              <w:jc w:val="both"/>
            </w:pPr>
            <w:r>
              <w:rPr>
                <w:sz w:val="18"/>
                <w:szCs w:val="18"/>
              </w:rPr>
              <w:t>Describe los controles sobre la información reportada.</w:t>
            </w:r>
          </w:p>
        </w:tc>
      </w:tr>
      <w:tr w:rsidR="00990B14" w14:paraId="3B234962" w14:textId="77777777">
        <w:trPr>
          <w:cantSplit/>
          <w:jc w:val="center"/>
        </w:trPr>
        <w:tc>
          <w:tcPr>
            <w:tcW w:w="1780" w:type="dxa"/>
            <w:vMerge/>
            <w:shd w:val="clear" w:color="auto" w:fill="4472C4"/>
            <w:vAlign w:val="center"/>
          </w:tcPr>
          <w:p w14:paraId="6FF5BD4A" w14:textId="77777777" w:rsidR="00990B14" w:rsidRDefault="00990B14">
            <w:pPr>
              <w:spacing w:before="20" w:after="20"/>
            </w:pPr>
          </w:p>
        </w:tc>
        <w:tc>
          <w:tcPr>
            <w:tcW w:w="1825" w:type="dxa"/>
            <w:shd w:val="clear" w:color="auto" w:fill="D9E2F3"/>
            <w:vAlign w:val="center"/>
          </w:tcPr>
          <w:p w14:paraId="416BA3C3" w14:textId="77777777" w:rsidR="00990B14" w:rsidRDefault="00000000">
            <w:pPr>
              <w:spacing w:before="20" w:after="20"/>
              <w:jc w:val="both"/>
            </w:pPr>
            <w:r>
              <w:rPr>
                <w:sz w:val="18"/>
                <w:szCs w:val="18"/>
              </w:rPr>
              <w:t>Emisiones</w:t>
            </w:r>
          </w:p>
        </w:tc>
        <w:tc>
          <w:tcPr>
            <w:tcW w:w="1825" w:type="dxa"/>
            <w:shd w:val="clear" w:color="auto" w:fill="D9E2F3"/>
            <w:vAlign w:val="center"/>
          </w:tcPr>
          <w:p w14:paraId="59764E9F" w14:textId="77777777" w:rsidR="00990B14" w:rsidRDefault="00000000">
            <w:pPr>
              <w:spacing w:before="20" w:after="20"/>
              <w:jc w:val="both"/>
            </w:pPr>
            <w:r>
              <w:rPr>
                <w:sz w:val="18"/>
                <w:szCs w:val="18"/>
              </w:rPr>
              <w:t>No cuantifica emisiones.</w:t>
            </w:r>
          </w:p>
        </w:tc>
        <w:tc>
          <w:tcPr>
            <w:tcW w:w="2120" w:type="dxa"/>
            <w:shd w:val="clear" w:color="auto" w:fill="D9E2F3"/>
            <w:vAlign w:val="center"/>
          </w:tcPr>
          <w:p w14:paraId="2AB32159" w14:textId="77777777" w:rsidR="00990B14" w:rsidRDefault="00000000">
            <w:pPr>
              <w:spacing w:before="20" w:after="20"/>
              <w:jc w:val="both"/>
            </w:pPr>
            <w:r>
              <w:rPr>
                <w:sz w:val="18"/>
                <w:szCs w:val="18"/>
              </w:rPr>
              <w:t>Cuantifica las emisiones de alcance 1 y 2.</w:t>
            </w:r>
          </w:p>
        </w:tc>
        <w:tc>
          <w:tcPr>
            <w:tcW w:w="1855" w:type="dxa"/>
            <w:shd w:val="clear" w:color="auto" w:fill="D9E2F3"/>
            <w:vAlign w:val="center"/>
          </w:tcPr>
          <w:p w14:paraId="35132947" w14:textId="77777777" w:rsidR="00990B14" w:rsidRDefault="00000000">
            <w:pPr>
              <w:spacing w:before="20" w:after="20"/>
              <w:jc w:val="both"/>
            </w:pPr>
            <w:r>
              <w:rPr>
                <w:sz w:val="18"/>
                <w:szCs w:val="18"/>
              </w:rPr>
              <w:t>Incluye las de alcance 3 con su metodología.</w:t>
            </w:r>
          </w:p>
        </w:tc>
      </w:tr>
      <w:tr w:rsidR="00990B14" w14:paraId="406B7FAE" w14:textId="77777777">
        <w:trPr>
          <w:cantSplit/>
          <w:jc w:val="center"/>
        </w:trPr>
        <w:tc>
          <w:tcPr>
            <w:tcW w:w="1780" w:type="dxa"/>
            <w:vMerge/>
            <w:shd w:val="clear" w:color="auto" w:fill="4472C4"/>
            <w:vAlign w:val="center"/>
          </w:tcPr>
          <w:p w14:paraId="53C2FE1B" w14:textId="77777777" w:rsidR="00990B14" w:rsidRDefault="00990B14">
            <w:pPr>
              <w:spacing w:before="20" w:after="20"/>
            </w:pPr>
          </w:p>
        </w:tc>
        <w:tc>
          <w:tcPr>
            <w:tcW w:w="5770" w:type="dxa"/>
            <w:gridSpan w:val="3"/>
            <w:shd w:val="clear" w:color="auto" w:fill="D9E2F3"/>
            <w:vAlign w:val="center"/>
          </w:tcPr>
          <w:p w14:paraId="7A9B32EA" w14:textId="77777777" w:rsidR="00990B14" w:rsidRDefault="00000000">
            <w:pPr>
              <w:keepNext/>
              <w:spacing w:before="20" w:after="20"/>
              <w:jc w:val="both"/>
            </w:pPr>
            <w:r>
              <w:rPr>
                <w:b/>
                <w:bCs/>
                <w:i/>
                <w:iCs/>
                <w:sz w:val="18"/>
                <w:szCs w:val="18"/>
              </w:rPr>
              <w:t xml:space="preserve">Producto 5: </w:t>
            </w:r>
            <w:r>
              <w:rPr>
                <w:sz w:val="18"/>
                <w:szCs w:val="18"/>
              </w:rPr>
              <w:t>Carta de aceptación y términos del encargo de aseguramiento de la sostenibilidad.</w:t>
            </w:r>
          </w:p>
        </w:tc>
        <w:tc>
          <w:tcPr>
            <w:tcW w:w="1855" w:type="dxa"/>
            <w:shd w:val="clear" w:color="auto" w:fill="D9E2F3"/>
            <w:vAlign w:val="center"/>
          </w:tcPr>
          <w:p w14:paraId="2EFD246F" w14:textId="77777777" w:rsidR="00990B14" w:rsidRDefault="00000000">
            <w:pPr>
              <w:spacing w:before="20" w:after="20"/>
              <w:jc w:val="center"/>
            </w:pPr>
            <w:r>
              <w:rPr>
                <w:b/>
                <w:bCs/>
                <w:sz w:val="18"/>
                <w:szCs w:val="18"/>
              </w:rPr>
              <w:t>8%</w:t>
            </w:r>
          </w:p>
        </w:tc>
      </w:tr>
      <w:tr w:rsidR="00990B14" w14:paraId="6505D475" w14:textId="77777777">
        <w:trPr>
          <w:cantSplit/>
          <w:jc w:val="center"/>
        </w:trPr>
        <w:tc>
          <w:tcPr>
            <w:tcW w:w="1780" w:type="dxa"/>
            <w:vMerge/>
            <w:shd w:val="clear" w:color="auto" w:fill="4472C4"/>
            <w:vAlign w:val="center"/>
          </w:tcPr>
          <w:p w14:paraId="770E0961" w14:textId="77777777" w:rsidR="00990B14" w:rsidRDefault="00990B14">
            <w:pPr>
              <w:spacing w:before="20" w:after="20"/>
            </w:pPr>
          </w:p>
        </w:tc>
        <w:tc>
          <w:tcPr>
            <w:tcW w:w="1825" w:type="dxa"/>
            <w:shd w:val="clear" w:color="auto" w:fill="4472C4"/>
            <w:vAlign w:val="center"/>
          </w:tcPr>
          <w:p w14:paraId="708ABFE7" w14:textId="77777777" w:rsidR="00990B14" w:rsidRDefault="00000000">
            <w:pPr>
              <w:keepNext/>
              <w:spacing w:before="20" w:after="20"/>
              <w:jc w:val="center"/>
            </w:pPr>
            <w:r>
              <w:rPr>
                <w:b/>
                <w:bCs/>
                <w:i/>
                <w:iCs/>
                <w:color w:val="FFFFFF"/>
                <w:sz w:val="18"/>
                <w:szCs w:val="18"/>
              </w:rPr>
              <w:t>Criterio</w:t>
            </w:r>
          </w:p>
        </w:tc>
        <w:tc>
          <w:tcPr>
            <w:tcW w:w="1825" w:type="dxa"/>
            <w:shd w:val="clear" w:color="auto" w:fill="4472C4"/>
            <w:vAlign w:val="center"/>
          </w:tcPr>
          <w:p w14:paraId="15F0EFE4" w14:textId="77777777" w:rsidR="00990B14" w:rsidRDefault="00000000">
            <w:pPr>
              <w:keepNext/>
              <w:spacing w:before="20" w:after="20"/>
              <w:jc w:val="center"/>
            </w:pPr>
            <w:r>
              <w:rPr>
                <w:b/>
                <w:bCs/>
                <w:i/>
                <w:iCs/>
                <w:color w:val="FFFFFF"/>
                <w:sz w:val="18"/>
                <w:szCs w:val="18"/>
              </w:rPr>
              <w:t>Insuficiente (1–50)</w:t>
            </w:r>
          </w:p>
        </w:tc>
        <w:tc>
          <w:tcPr>
            <w:tcW w:w="2120" w:type="dxa"/>
            <w:shd w:val="clear" w:color="auto" w:fill="4472C4"/>
            <w:vAlign w:val="center"/>
          </w:tcPr>
          <w:p w14:paraId="572FB1C1" w14:textId="77777777" w:rsidR="00990B14" w:rsidRDefault="00000000">
            <w:pPr>
              <w:keepNext/>
              <w:spacing w:before="20" w:after="20"/>
              <w:jc w:val="center"/>
            </w:pPr>
            <w:r>
              <w:rPr>
                <w:b/>
                <w:bCs/>
                <w:i/>
                <w:iCs/>
                <w:color w:val="FFFFFF"/>
                <w:sz w:val="18"/>
                <w:szCs w:val="18"/>
              </w:rPr>
              <w:t>Suficiente (51–80)</w:t>
            </w:r>
          </w:p>
        </w:tc>
        <w:tc>
          <w:tcPr>
            <w:tcW w:w="1855" w:type="dxa"/>
            <w:shd w:val="clear" w:color="auto" w:fill="4472C4"/>
            <w:vAlign w:val="center"/>
          </w:tcPr>
          <w:p w14:paraId="5BC30E3B" w14:textId="77777777" w:rsidR="00990B14" w:rsidRDefault="00000000">
            <w:pPr>
              <w:keepNext/>
              <w:spacing w:before="20" w:after="20"/>
              <w:jc w:val="center"/>
            </w:pPr>
            <w:r>
              <w:rPr>
                <w:b/>
                <w:bCs/>
                <w:i/>
                <w:iCs/>
                <w:color w:val="FFFFFF"/>
                <w:sz w:val="18"/>
                <w:szCs w:val="18"/>
              </w:rPr>
              <w:t>Destacado (81–100)</w:t>
            </w:r>
          </w:p>
        </w:tc>
      </w:tr>
      <w:tr w:rsidR="00990B14" w14:paraId="28EE7945" w14:textId="77777777">
        <w:trPr>
          <w:cantSplit/>
          <w:jc w:val="center"/>
        </w:trPr>
        <w:tc>
          <w:tcPr>
            <w:tcW w:w="1780" w:type="dxa"/>
            <w:vMerge/>
            <w:shd w:val="clear" w:color="auto" w:fill="4472C4"/>
            <w:vAlign w:val="center"/>
          </w:tcPr>
          <w:p w14:paraId="2BB48357" w14:textId="77777777" w:rsidR="00990B14" w:rsidRDefault="00990B14">
            <w:pPr>
              <w:spacing w:before="20" w:after="20"/>
            </w:pPr>
          </w:p>
        </w:tc>
        <w:tc>
          <w:tcPr>
            <w:tcW w:w="1825" w:type="dxa"/>
            <w:shd w:val="clear" w:color="auto" w:fill="D9E2F3"/>
            <w:vAlign w:val="center"/>
          </w:tcPr>
          <w:p w14:paraId="471F7D97" w14:textId="77777777" w:rsidR="00990B14" w:rsidRDefault="00000000">
            <w:pPr>
              <w:spacing w:before="20" w:after="20"/>
              <w:jc w:val="both"/>
            </w:pPr>
            <w:r>
              <w:rPr>
                <w:sz w:val="18"/>
                <w:szCs w:val="18"/>
              </w:rPr>
              <w:t>Condiciones previas</w:t>
            </w:r>
          </w:p>
        </w:tc>
        <w:tc>
          <w:tcPr>
            <w:tcW w:w="1825" w:type="dxa"/>
            <w:shd w:val="clear" w:color="auto" w:fill="D9E2F3"/>
            <w:vAlign w:val="center"/>
          </w:tcPr>
          <w:p w14:paraId="1E21F3A8" w14:textId="77777777" w:rsidR="00990B14" w:rsidRDefault="00000000">
            <w:pPr>
              <w:spacing w:before="20" w:after="20"/>
              <w:jc w:val="both"/>
            </w:pPr>
            <w:r>
              <w:rPr>
                <w:sz w:val="18"/>
                <w:szCs w:val="18"/>
              </w:rPr>
              <w:t>No evalúa en la etapa de aceptación</w:t>
            </w:r>
          </w:p>
        </w:tc>
        <w:tc>
          <w:tcPr>
            <w:tcW w:w="2120" w:type="dxa"/>
            <w:shd w:val="clear" w:color="auto" w:fill="D9E2F3"/>
            <w:vAlign w:val="center"/>
          </w:tcPr>
          <w:p w14:paraId="178D39CB" w14:textId="77777777" w:rsidR="00990B14" w:rsidRDefault="00000000">
            <w:pPr>
              <w:spacing w:before="20" w:after="20"/>
              <w:jc w:val="both"/>
            </w:pPr>
            <w:r>
              <w:rPr>
                <w:sz w:val="18"/>
                <w:szCs w:val="18"/>
              </w:rPr>
              <w:t>Evalúa las condiciones previas del encargo.</w:t>
            </w:r>
          </w:p>
        </w:tc>
        <w:tc>
          <w:tcPr>
            <w:tcW w:w="1855" w:type="dxa"/>
            <w:shd w:val="clear" w:color="auto" w:fill="D9E2F3"/>
            <w:vAlign w:val="center"/>
          </w:tcPr>
          <w:p w14:paraId="1FEED858" w14:textId="77777777" w:rsidR="00990B14" w:rsidRDefault="00000000">
            <w:pPr>
              <w:spacing w:before="20" w:after="20"/>
              <w:jc w:val="both"/>
            </w:pPr>
            <w:r>
              <w:rPr>
                <w:sz w:val="18"/>
                <w:szCs w:val="18"/>
              </w:rPr>
              <w:t>Evalúa la idoneidad de los criterios aplicables.</w:t>
            </w:r>
          </w:p>
        </w:tc>
      </w:tr>
      <w:tr w:rsidR="00990B14" w14:paraId="09E353DB" w14:textId="77777777">
        <w:trPr>
          <w:cantSplit/>
          <w:jc w:val="center"/>
        </w:trPr>
        <w:tc>
          <w:tcPr>
            <w:tcW w:w="1780" w:type="dxa"/>
            <w:vMerge/>
            <w:shd w:val="clear" w:color="auto" w:fill="4472C4"/>
            <w:vAlign w:val="center"/>
          </w:tcPr>
          <w:p w14:paraId="5FAF029D" w14:textId="77777777" w:rsidR="00990B14" w:rsidRDefault="00990B14">
            <w:pPr>
              <w:spacing w:before="20" w:after="20"/>
            </w:pPr>
          </w:p>
        </w:tc>
        <w:tc>
          <w:tcPr>
            <w:tcW w:w="1825" w:type="dxa"/>
            <w:shd w:val="clear" w:color="auto" w:fill="D9E2F3"/>
            <w:vAlign w:val="center"/>
          </w:tcPr>
          <w:p w14:paraId="580423DD" w14:textId="77777777" w:rsidR="00990B14" w:rsidRDefault="00000000">
            <w:pPr>
              <w:spacing w:before="20" w:after="20"/>
              <w:jc w:val="both"/>
            </w:pPr>
            <w:r>
              <w:rPr>
                <w:sz w:val="18"/>
                <w:szCs w:val="18"/>
              </w:rPr>
              <w:t>Términos</w:t>
            </w:r>
          </w:p>
        </w:tc>
        <w:tc>
          <w:tcPr>
            <w:tcW w:w="1825" w:type="dxa"/>
            <w:shd w:val="clear" w:color="auto" w:fill="D9E2F3"/>
            <w:vAlign w:val="center"/>
          </w:tcPr>
          <w:p w14:paraId="31E0C587" w14:textId="77777777" w:rsidR="00990B14" w:rsidRDefault="00000000">
            <w:pPr>
              <w:spacing w:before="20" w:after="20"/>
              <w:jc w:val="both"/>
            </w:pPr>
            <w:r>
              <w:rPr>
                <w:sz w:val="18"/>
                <w:szCs w:val="18"/>
              </w:rPr>
              <w:t>Omite términos esenciales.</w:t>
            </w:r>
          </w:p>
        </w:tc>
        <w:tc>
          <w:tcPr>
            <w:tcW w:w="2120" w:type="dxa"/>
            <w:shd w:val="clear" w:color="auto" w:fill="D9E2F3"/>
            <w:vAlign w:val="center"/>
          </w:tcPr>
          <w:p w14:paraId="1706A9A2" w14:textId="77777777" w:rsidR="00990B14" w:rsidRDefault="00000000">
            <w:pPr>
              <w:spacing w:before="20" w:after="20"/>
              <w:jc w:val="both"/>
            </w:pPr>
            <w:r>
              <w:rPr>
                <w:sz w:val="18"/>
                <w:szCs w:val="18"/>
              </w:rPr>
              <w:t>Incluye objeto, nivel de aseguramiento y responsabilidades.</w:t>
            </w:r>
          </w:p>
        </w:tc>
        <w:tc>
          <w:tcPr>
            <w:tcW w:w="1855" w:type="dxa"/>
            <w:shd w:val="clear" w:color="auto" w:fill="D9E2F3"/>
            <w:vAlign w:val="center"/>
          </w:tcPr>
          <w:p w14:paraId="75A65A4E" w14:textId="77777777" w:rsidR="00990B14" w:rsidRDefault="00000000">
            <w:pPr>
              <w:spacing w:before="20" w:after="20"/>
              <w:jc w:val="both"/>
            </w:pPr>
            <w:r>
              <w:rPr>
                <w:sz w:val="18"/>
                <w:szCs w:val="18"/>
              </w:rPr>
              <w:t>Documenta la gestión de la calidad del encargo.</w:t>
            </w:r>
          </w:p>
        </w:tc>
      </w:tr>
      <w:tr w:rsidR="00990B14" w14:paraId="1FE58CC3" w14:textId="77777777">
        <w:trPr>
          <w:cantSplit/>
          <w:jc w:val="center"/>
        </w:trPr>
        <w:tc>
          <w:tcPr>
            <w:tcW w:w="1780" w:type="dxa"/>
            <w:vMerge/>
            <w:shd w:val="clear" w:color="auto" w:fill="4472C4"/>
            <w:vAlign w:val="center"/>
          </w:tcPr>
          <w:p w14:paraId="7114B33A" w14:textId="77777777" w:rsidR="00990B14" w:rsidRDefault="00990B14">
            <w:pPr>
              <w:spacing w:before="20" w:after="20"/>
            </w:pPr>
          </w:p>
        </w:tc>
        <w:tc>
          <w:tcPr>
            <w:tcW w:w="1825" w:type="dxa"/>
            <w:shd w:val="clear" w:color="auto" w:fill="D9E2F3"/>
            <w:vAlign w:val="center"/>
          </w:tcPr>
          <w:p w14:paraId="422C9A87" w14:textId="77777777" w:rsidR="00990B14" w:rsidRDefault="00000000">
            <w:pPr>
              <w:spacing w:before="20" w:after="20"/>
              <w:jc w:val="both"/>
            </w:pPr>
            <w:r>
              <w:rPr>
                <w:sz w:val="18"/>
                <w:szCs w:val="18"/>
              </w:rPr>
              <w:t>Ética e independencia</w:t>
            </w:r>
          </w:p>
        </w:tc>
        <w:tc>
          <w:tcPr>
            <w:tcW w:w="1825" w:type="dxa"/>
            <w:shd w:val="clear" w:color="auto" w:fill="D9E2F3"/>
            <w:vAlign w:val="center"/>
          </w:tcPr>
          <w:p w14:paraId="4430FA98" w14:textId="77777777" w:rsidR="00990B14" w:rsidRDefault="00000000">
            <w:pPr>
              <w:spacing w:before="20" w:after="20"/>
              <w:jc w:val="both"/>
            </w:pPr>
            <w:r>
              <w:rPr>
                <w:sz w:val="18"/>
                <w:szCs w:val="18"/>
              </w:rPr>
              <w:t>Omite la independencia.</w:t>
            </w:r>
          </w:p>
        </w:tc>
        <w:tc>
          <w:tcPr>
            <w:tcW w:w="2120" w:type="dxa"/>
            <w:shd w:val="clear" w:color="auto" w:fill="D9E2F3"/>
            <w:vAlign w:val="center"/>
          </w:tcPr>
          <w:p w14:paraId="260A72FC" w14:textId="77777777" w:rsidR="00990B14" w:rsidRDefault="00000000">
            <w:pPr>
              <w:spacing w:before="20" w:after="20"/>
              <w:jc w:val="both"/>
            </w:pPr>
            <w:r>
              <w:rPr>
                <w:sz w:val="18"/>
                <w:szCs w:val="18"/>
              </w:rPr>
              <w:t>Declara los requisitos de independencia.</w:t>
            </w:r>
          </w:p>
        </w:tc>
        <w:tc>
          <w:tcPr>
            <w:tcW w:w="1855" w:type="dxa"/>
            <w:shd w:val="clear" w:color="auto" w:fill="D9E2F3"/>
            <w:vAlign w:val="center"/>
          </w:tcPr>
          <w:p w14:paraId="79E9F83F" w14:textId="77777777" w:rsidR="00990B14" w:rsidRDefault="00000000">
            <w:pPr>
              <w:spacing w:before="20" w:after="20"/>
              <w:jc w:val="both"/>
            </w:pPr>
            <w:r>
              <w:rPr>
                <w:sz w:val="18"/>
                <w:szCs w:val="18"/>
              </w:rPr>
              <w:t>Identifica amenazas y sus salvaguardas.</w:t>
            </w:r>
          </w:p>
        </w:tc>
      </w:tr>
      <w:tr w:rsidR="00990B14" w14:paraId="200AB48F" w14:textId="77777777">
        <w:trPr>
          <w:cantSplit/>
          <w:jc w:val="center"/>
        </w:trPr>
        <w:tc>
          <w:tcPr>
            <w:tcW w:w="1780" w:type="dxa"/>
            <w:vMerge/>
            <w:shd w:val="clear" w:color="auto" w:fill="4472C4"/>
            <w:vAlign w:val="center"/>
          </w:tcPr>
          <w:p w14:paraId="4455E2B1" w14:textId="77777777" w:rsidR="00990B14" w:rsidRDefault="00990B14">
            <w:pPr>
              <w:spacing w:before="20" w:after="20"/>
            </w:pPr>
          </w:p>
        </w:tc>
        <w:tc>
          <w:tcPr>
            <w:tcW w:w="5770" w:type="dxa"/>
            <w:gridSpan w:val="3"/>
            <w:shd w:val="clear" w:color="auto" w:fill="D9E2F3"/>
            <w:vAlign w:val="center"/>
          </w:tcPr>
          <w:p w14:paraId="2DE66F94" w14:textId="77777777" w:rsidR="00990B14" w:rsidRDefault="00000000">
            <w:pPr>
              <w:keepNext/>
              <w:spacing w:before="20" w:after="20"/>
              <w:jc w:val="both"/>
            </w:pPr>
            <w:r>
              <w:rPr>
                <w:b/>
                <w:bCs/>
                <w:i/>
                <w:iCs/>
                <w:sz w:val="18"/>
                <w:szCs w:val="18"/>
              </w:rPr>
              <w:t xml:space="preserve">Producto 6: </w:t>
            </w:r>
            <w:r>
              <w:rPr>
                <w:sz w:val="18"/>
                <w:szCs w:val="18"/>
              </w:rPr>
              <w:t>Cuadro comparativo del aseguramiento limitado y del aseguramiento razonable. Forma la conclusión de aseguramiento y elabora el informe sobre la información de sostenibilidad y sobre las declaraciones de gases de efecto invernadero, respondiendo a los riesgos de inexactitud material.</w:t>
            </w:r>
          </w:p>
        </w:tc>
        <w:tc>
          <w:tcPr>
            <w:tcW w:w="1855" w:type="dxa"/>
            <w:shd w:val="clear" w:color="auto" w:fill="D9E2F3"/>
            <w:vAlign w:val="center"/>
          </w:tcPr>
          <w:p w14:paraId="7C533AFB" w14:textId="77777777" w:rsidR="00990B14" w:rsidRDefault="00000000">
            <w:pPr>
              <w:spacing w:before="20" w:after="20"/>
              <w:jc w:val="center"/>
            </w:pPr>
            <w:r>
              <w:rPr>
                <w:b/>
                <w:bCs/>
                <w:sz w:val="18"/>
                <w:szCs w:val="18"/>
              </w:rPr>
              <w:t>8%</w:t>
            </w:r>
          </w:p>
        </w:tc>
      </w:tr>
      <w:tr w:rsidR="00990B14" w14:paraId="2A656393" w14:textId="77777777">
        <w:trPr>
          <w:cantSplit/>
          <w:jc w:val="center"/>
        </w:trPr>
        <w:tc>
          <w:tcPr>
            <w:tcW w:w="1780" w:type="dxa"/>
            <w:vMerge/>
            <w:shd w:val="clear" w:color="auto" w:fill="4472C4"/>
            <w:vAlign w:val="center"/>
          </w:tcPr>
          <w:p w14:paraId="55BD91B6" w14:textId="77777777" w:rsidR="00990B14" w:rsidRDefault="00990B14">
            <w:pPr>
              <w:spacing w:before="20" w:after="20"/>
            </w:pPr>
          </w:p>
        </w:tc>
        <w:tc>
          <w:tcPr>
            <w:tcW w:w="1825" w:type="dxa"/>
            <w:shd w:val="clear" w:color="auto" w:fill="4472C4"/>
            <w:vAlign w:val="center"/>
          </w:tcPr>
          <w:p w14:paraId="648BE30F" w14:textId="77777777" w:rsidR="00990B14" w:rsidRDefault="00000000">
            <w:pPr>
              <w:keepNext/>
              <w:spacing w:before="20" w:after="20"/>
              <w:jc w:val="center"/>
            </w:pPr>
            <w:r>
              <w:rPr>
                <w:b/>
                <w:bCs/>
                <w:i/>
                <w:iCs/>
                <w:color w:val="FFFFFF"/>
                <w:sz w:val="18"/>
                <w:szCs w:val="18"/>
              </w:rPr>
              <w:t>Criterio</w:t>
            </w:r>
          </w:p>
        </w:tc>
        <w:tc>
          <w:tcPr>
            <w:tcW w:w="1825" w:type="dxa"/>
            <w:shd w:val="clear" w:color="auto" w:fill="4472C4"/>
            <w:vAlign w:val="center"/>
          </w:tcPr>
          <w:p w14:paraId="65929E86" w14:textId="77777777" w:rsidR="00990B14" w:rsidRDefault="00000000">
            <w:pPr>
              <w:keepNext/>
              <w:spacing w:before="20" w:after="20"/>
              <w:jc w:val="center"/>
            </w:pPr>
            <w:r>
              <w:rPr>
                <w:b/>
                <w:bCs/>
                <w:i/>
                <w:iCs/>
                <w:color w:val="FFFFFF"/>
                <w:sz w:val="18"/>
                <w:szCs w:val="18"/>
              </w:rPr>
              <w:t>Insuficiente (1–50)</w:t>
            </w:r>
          </w:p>
        </w:tc>
        <w:tc>
          <w:tcPr>
            <w:tcW w:w="2120" w:type="dxa"/>
            <w:shd w:val="clear" w:color="auto" w:fill="4472C4"/>
            <w:vAlign w:val="center"/>
          </w:tcPr>
          <w:p w14:paraId="44D85FFC" w14:textId="77777777" w:rsidR="00990B14" w:rsidRDefault="00000000">
            <w:pPr>
              <w:keepNext/>
              <w:spacing w:before="20" w:after="20"/>
              <w:jc w:val="center"/>
            </w:pPr>
            <w:r>
              <w:rPr>
                <w:b/>
                <w:bCs/>
                <w:i/>
                <w:iCs/>
                <w:color w:val="FFFFFF"/>
                <w:sz w:val="18"/>
                <w:szCs w:val="18"/>
              </w:rPr>
              <w:t>Suficiente (51–80)</w:t>
            </w:r>
          </w:p>
        </w:tc>
        <w:tc>
          <w:tcPr>
            <w:tcW w:w="1855" w:type="dxa"/>
            <w:shd w:val="clear" w:color="auto" w:fill="4472C4"/>
            <w:vAlign w:val="center"/>
          </w:tcPr>
          <w:p w14:paraId="3BE71034" w14:textId="77777777" w:rsidR="00990B14" w:rsidRDefault="00000000">
            <w:pPr>
              <w:keepNext/>
              <w:spacing w:before="20" w:after="20"/>
              <w:jc w:val="center"/>
            </w:pPr>
            <w:r>
              <w:rPr>
                <w:b/>
                <w:bCs/>
                <w:i/>
                <w:iCs/>
                <w:color w:val="FFFFFF"/>
                <w:sz w:val="18"/>
                <w:szCs w:val="18"/>
              </w:rPr>
              <w:t>Destacado (81–100)</w:t>
            </w:r>
          </w:p>
        </w:tc>
      </w:tr>
      <w:tr w:rsidR="00990B14" w14:paraId="4E303AE1" w14:textId="77777777">
        <w:trPr>
          <w:cantSplit/>
          <w:jc w:val="center"/>
        </w:trPr>
        <w:tc>
          <w:tcPr>
            <w:tcW w:w="1780" w:type="dxa"/>
            <w:vMerge/>
            <w:shd w:val="clear" w:color="auto" w:fill="4472C4"/>
            <w:vAlign w:val="center"/>
          </w:tcPr>
          <w:p w14:paraId="0EA9B939" w14:textId="77777777" w:rsidR="00990B14" w:rsidRDefault="00990B14">
            <w:pPr>
              <w:spacing w:before="20" w:after="20"/>
            </w:pPr>
          </w:p>
        </w:tc>
        <w:tc>
          <w:tcPr>
            <w:tcW w:w="1825" w:type="dxa"/>
            <w:shd w:val="clear" w:color="auto" w:fill="D9E2F3"/>
            <w:vAlign w:val="center"/>
          </w:tcPr>
          <w:p w14:paraId="203389BD" w14:textId="77777777" w:rsidR="00990B14" w:rsidRDefault="00000000">
            <w:pPr>
              <w:spacing w:before="20" w:after="20"/>
              <w:jc w:val="both"/>
            </w:pPr>
            <w:r>
              <w:rPr>
                <w:sz w:val="18"/>
                <w:szCs w:val="18"/>
              </w:rPr>
              <w:t>Aseguramiento</w:t>
            </w:r>
          </w:p>
        </w:tc>
        <w:tc>
          <w:tcPr>
            <w:tcW w:w="1825" w:type="dxa"/>
            <w:shd w:val="clear" w:color="auto" w:fill="D9E2F3"/>
            <w:vAlign w:val="center"/>
          </w:tcPr>
          <w:p w14:paraId="7437DCD1" w14:textId="77777777" w:rsidR="00990B14" w:rsidRDefault="00000000">
            <w:pPr>
              <w:spacing w:before="20" w:after="20"/>
              <w:jc w:val="both"/>
            </w:pPr>
            <w:r>
              <w:rPr>
                <w:sz w:val="18"/>
                <w:szCs w:val="18"/>
              </w:rPr>
              <w:t>Confunde los procedimientos de aseguramiento limitado y razonable.</w:t>
            </w:r>
          </w:p>
        </w:tc>
        <w:tc>
          <w:tcPr>
            <w:tcW w:w="2120" w:type="dxa"/>
            <w:shd w:val="clear" w:color="auto" w:fill="D9E2F3"/>
            <w:vAlign w:val="center"/>
          </w:tcPr>
          <w:p w14:paraId="1E1F30DE" w14:textId="77777777" w:rsidR="00990B14" w:rsidRDefault="00000000">
            <w:pPr>
              <w:spacing w:before="20" w:after="20"/>
              <w:jc w:val="both"/>
            </w:pPr>
            <w:r>
              <w:rPr>
                <w:sz w:val="18"/>
                <w:szCs w:val="18"/>
              </w:rPr>
              <w:t>Diferencia la extensión de los procedimientos de aseguramiento limitado y razonable.</w:t>
            </w:r>
          </w:p>
        </w:tc>
        <w:tc>
          <w:tcPr>
            <w:tcW w:w="1855" w:type="dxa"/>
            <w:shd w:val="clear" w:color="auto" w:fill="D9E2F3"/>
            <w:vAlign w:val="center"/>
          </w:tcPr>
          <w:p w14:paraId="2DA280B4" w14:textId="77777777" w:rsidR="00990B14" w:rsidRDefault="00000000">
            <w:pPr>
              <w:spacing w:before="20" w:after="20"/>
              <w:jc w:val="both"/>
            </w:pPr>
            <w:r>
              <w:rPr>
                <w:sz w:val="18"/>
                <w:szCs w:val="18"/>
              </w:rPr>
              <w:t>Ejemplifica procedimientos para un indicador.</w:t>
            </w:r>
          </w:p>
        </w:tc>
      </w:tr>
      <w:tr w:rsidR="00990B14" w14:paraId="127A26D0" w14:textId="77777777">
        <w:trPr>
          <w:cantSplit/>
          <w:jc w:val="center"/>
        </w:trPr>
        <w:tc>
          <w:tcPr>
            <w:tcW w:w="1780" w:type="dxa"/>
            <w:vMerge/>
            <w:shd w:val="clear" w:color="auto" w:fill="4472C4"/>
            <w:vAlign w:val="center"/>
          </w:tcPr>
          <w:p w14:paraId="2B4F9A23" w14:textId="77777777" w:rsidR="00990B14" w:rsidRDefault="00990B14">
            <w:pPr>
              <w:spacing w:before="20" w:after="20"/>
            </w:pPr>
          </w:p>
        </w:tc>
        <w:tc>
          <w:tcPr>
            <w:tcW w:w="1825" w:type="dxa"/>
            <w:shd w:val="clear" w:color="auto" w:fill="D9E2F3"/>
            <w:vAlign w:val="center"/>
          </w:tcPr>
          <w:p w14:paraId="27D906BC" w14:textId="77777777" w:rsidR="00990B14" w:rsidRDefault="00000000">
            <w:pPr>
              <w:spacing w:before="20" w:after="20"/>
              <w:jc w:val="both"/>
            </w:pPr>
            <w:r>
              <w:rPr>
                <w:sz w:val="18"/>
                <w:szCs w:val="18"/>
              </w:rPr>
              <w:t>Conclusión</w:t>
            </w:r>
          </w:p>
        </w:tc>
        <w:tc>
          <w:tcPr>
            <w:tcW w:w="1825" w:type="dxa"/>
            <w:shd w:val="clear" w:color="auto" w:fill="D9E2F3"/>
            <w:vAlign w:val="center"/>
          </w:tcPr>
          <w:p w14:paraId="4BE421DA" w14:textId="77777777" w:rsidR="00990B14" w:rsidRDefault="00000000">
            <w:pPr>
              <w:spacing w:before="20" w:after="20"/>
              <w:jc w:val="both"/>
            </w:pPr>
            <w:r>
              <w:rPr>
                <w:sz w:val="18"/>
                <w:szCs w:val="18"/>
              </w:rPr>
              <w:t>No distingue la redacción.</w:t>
            </w:r>
          </w:p>
        </w:tc>
        <w:tc>
          <w:tcPr>
            <w:tcW w:w="2120" w:type="dxa"/>
            <w:shd w:val="clear" w:color="auto" w:fill="D9E2F3"/>
            <w:vAlign w:val="center"/>
          </w:tcPr>
          <w:p w14:paraId="09F393F2" w14:textId="77777777" w:rsidR="00990B14" w:rsidRDefault="00000000">
            <w:pPr>
              <w:spacing w:before="20" w:after="20"/>
              <w:jc w:val="both"/>
            </w:pPr>
            <w:r>
              <w:rPr>
                <w:sz w:val="18"/>
                <w:szCs w:val="18"/>
              </w:rPr>
              <w:t>Distingue la redacción de cada conclusión.</w:t>
            </w:r>
          </w:p>
        </w:tc>
        <w:tc>
          <w:tcPr>
            <w:tcW w:w="1855" w:type="dxa"/>
            <w:shd w:val="clear" w:color="auto" w:fill="D9E2F3"/>
            <w:vAlign w:val="center"/>
          </w:tcPr>
          <w:p w14:paraId="607F6608" w14:textId="77777777" w:rsidR="00990B14" w:rsidRDefault="00000000">
            <w:pPr>
              <w:spacing w:before="20" w:after="20"/>
              <w:jc w:val="both"/>
            </w:pPr>
            <w:r>
              <w:rPr>
                <w:sz w:val="18"/>
                <w:szCs w:val="18"/>
              </w:rPr>
              <w:t>Explica el efecto en la confianza del usuario.</w:t>
            </w:r>
          </w:p>
        </w:tc>
      </w:tr>
      <w:tr w:rsidR="00990B14" w14:paraId="375B4E2C" w14:textId="77777777">
        <w:trPr>
          <w:cantSplit/>
          <w:jc w:val="center"/>
        </w:trPr>
        <w:tc>
          <w:tcPr>
            <w:tcW w:w="1780" w:type="dxa"/>
            <w:vMerge/>
            <w:shd w:val="clear" w:color="auto" w:fill="4472C4"/>
            <w:vAlign w:val="center"/>
          </w:tcPr>
          <w:p w14:paraId="732FAE3C" w14:textId="77777777" w:rsidR="00990B14" w:rsidRDefault="00990B14">
            <w:pPr>
              <w:spacing w:before="20" w:after="20"/>
            </w:pPr>
          </w:p>
        </w:tc>
        <w:tc>
          <w:tcPr>
            <w:tcW w:w="1825" w:type="dxa"/>
            <w:shd w:val="clear" w:color="auto" w:fill="D9E2F3"/>
            <w:vAlign w:val="center"/>
          </w:tcPr>
          <w:p w14:paraId="073C283D" w14:textId="77777777" w:rsidR="00990B14" w:rsidRDefault="00000000">
            <w:pPr>
              <w:spacing w:before="20" w:after="20"/>
              <w:jc w:val="both"/>
            </w:pPr>
            <w:r>
              <w:rPr>
                <w:sz w:val="18"/>
                <w:szCs w:val="18"/>
              </w:rPr>
              <w:t>Trabajo en equipo</w:t>
            </w:r>
          </w:p>
        </w:tc>
        <w:tc>
          <w:tcPr>
            <w:tcW w:w="1825" w:type="dxa"/>
            <w:shd w:val="clear" w:color="auto" w:fill="D9E2F3"/>
            <w:vAlign w:val="center"/>
          </w:tcPr>
          <w:p w14:paraId="29E06A21" w14:textId="77777777" w:rsidR="00990B14" w:rsidRDefault="00000000">
            <w:pPr>
              <w:spacing w:before="20" w:after="20"/>
              <w:jc w:val="both"/>
            </w:pPr>
            <w:r>
              <w:rPr>
                <w:sz w:val="18"/>
                <w:szCs w:val="18"/>
              </w:rPr>
              <w:t>La participación es desigual.</w:t>
            </w:r>
          </w:p>
        </w:tc>
        <w:tc>
          <w:tcPr>
            <w:tcW w:w="2120" w:type="dxa"/>
            <w:shd w:val="clear" w:color="auto" w:fill="D9E2F3"/>
            <w:vAlign w:val="center"/>
          </w:tcPr>
          <w:p w14:paraId="21542FC9" w14:textId="77777777" w:rsidR="00990B14" w:rsidRDefault="00000000">
            <w:pPr>
              <w:spacing w:before="20" w:after="20"/>
              <w:jc w:val="both"/>
            </w:pPr>
            <w:r>
              <w:rPr>
                <w:sz w:val="18"/>
                <w:szCs w:val="18"/>
              </w:rPr>
              <w:t>Todos los integrantes participan.</w:t>
            </w:r>
          </w:p>
        </w:tc>
        <w:tc>
          <w:tcPr>
            <w:tcW w:w="1855" w:type="dxa"/>
            <w:shd w:val="clear" w:color="auto" w:fill="D9E2F3"/>
            <w:vAlign w:val="center"/>
          </w:tcPr>
          <w:p w14:paraId="35B9E38C" w14:textId="77777777" w:rsidR="00990B14" w:rsidRDefault="00000000">
            <w:pPr>
              <w:spacing w:before="20" w:after="20"/>
              <w:jc w:val="both"/>
            </w:pPr>
            <w:r>
              <w:rPr>
                <w:sz w:val="18"/>
                <w:szCs w:val="18"/>
              </w:rPr>
              <w:t>El equipo sustenta el cuadro con la norma.</w:t>
            </w:r>
          </w:p>
        </w:tc>
      </w:tr>
      <w:tr w:rsidR="00990B14" w14:paraId="7FEDE402" w14:textId="77777777">
        <w:trPr>
          <w:cantSplit/>
          <w:jc w:val="center"/>
        </w:trPr>
        <w:tc>
          <w:tcPr>
            <w:tcW w:w="1780" w:type="dxa"/>
            <w:vMerge/>
            <w:shd w:val="clear" w:color="auto" w:fill="4472C4"/>
            <w:vAlign w:val="center"/>
          </w:tcPr>
          <w:p w14:paraId="44D2BF6E" w14:textId="77777777" w:rsidR="00990B14" w:rsidRDefault="00990B14">
            <w:pPr>
              <w:spacing w:before="20" w:after="20"/>
            </w:pPr>
          </w:p>
        </w:tc>
        <w:tc>
          <w:tcPr>
            <w:tcW w:w="5770" w:type="dxa"/>
            <w:gridSpan w:val="3"/>
            <w:shd w:val="clear" w:color="auto" w:fill="D9E2F3"/>
            <w:vAlign w:val="center"/>
          </w:tcPr>
          <w:p w14:paraId="6406C9CF" w14:textId="77777777" w:rsidR="00990B14" w:rsidRDefault="00000000">
            <w:pPr>
              <w:keepNext/>
              <w:spacing w:before="20" w:after="20"/>
              <w:jc w:val="both"/>
            </w:pPr>
            <w:r>
              <w:rPr>
                <w:b/>
                <w:bCs/>
                <w:i/>
                <w:iCs/>
                <w:sz w:val="18"/>
                <w:szCs w:val="18"/>
              </w:rPr>
              <w:t xml:space="preserve">Producto 7: </w:t>
            </w:r>
            <w:r>
              <w:rPr>
                <w:sz w:val="18"/>
                <w:szCs w:val="18"/>
              </w:rPr>
              <w:t>Cuadro comparativo de las normas: Norma SA8000 (Social Accountability International), Metodología SMETA (Sedex Members Ethical Trade Audit) y Norma ISO 26000; como parte de su conocimiento adquirido</w:t>
            </w:r>
          </w:p>
        </w:tc>
        <w:tc>
          <w:tcPr>
            <w:tcW w:w="1855" w:type="dxa"/>
            <w:shd w:val="clear" w:color="auto" w:fill="D9E2F3"/>
            <w:vAlign w:val="center"/>
          </w:tcPr>
          <w:p w14:paraId="7378E4C9" w14:textId="77777777" w:rsidR="00990B14" w:rsidRDefault="00000000">
            <w:pPr>
              <w:spacing w:before="20" w:after="20"/>
              <w:jc w:val="center"/>
            </w:pPr>
            <w:r>
              <w:rPr>
                <w:b/>
                <w:bCs/>
                <w:sz w:val="18"/>
                <w:szCs w:val="18"/>
              </w:rPr>
              <w:t>7%</w:t>
            </w:r>
          </w:p>
        </w:tc>
      </w:tr>
      <w:tr w:rsidR="00990B14" w14:paraId="357790D4" w14:textId="77777777">
        <w:trPr>
          <w:cantSplit/>
          <w:jc w:val="center"/>
        </w:trPr>
        <w:tc>
          <w:tcPr>
            <w:tcW w:w="1780" w:type="dxa"/>
            <w:vMerge/>
            <w:shd w:val="clear" w:color="auto" w:fill="4472C4"/>
            <w:vAlign w:val="center"/>
          </w:tcPr>
          <w:p w14:paraId="64511DA1" w14:textId="77777777" w:rsidR="00990B14" w:rsidRDefault="00990B14">
            <w:pPr>
              <w:spacing w:before="20" w:after="20"/>
            </w:pPr>
          </w:p>
        </w:tc>
        <w:tc>
          <w:tcPr>
            <w:tcW w:w="1825" w:type="dxa"/>
            <w:shd w:val="clear" w:color="auto" w:fill="4472C4"/>
            <w:vAlign w:val="center"/>
          </w:tcPr>
          <w:p w14:paraId="16EAA1E7" w14:textId="77777777" w:rsidR="00990B14" w:rsidRDefault="00000000">
            <w:pPr>
              <w:keepNext/>
              <w:spacing w:before="20" w:after="20"/>
              <w:jc w:val="center"/>
            </w:pPr>
            <w:r>
              <w:rPr>
                <w:b/>
                <w:bCs/>
                <w:i/>
                <w:iCs/>
                <w:color w:val="FFFFFF"/>
                <w:sz w:val="18"/>
                <w:szCs w:val="18"/>
              </w:rPr>
              <w:t>Criterio</w:t>
            </w:r>
          </w:p>
        </w:tc>
        <w:tc>
          <w:tcPr>
            <w:tcW w:w="1825" w:type="dxa"/>
            <w:shd w:val="clear" w:color="auto" w:fill="4472C4"/>
            <w:vAlign w:val="center"/>
          </w:tcPr>
          <w:p w14:paraId="4251CA6C" w14:textId="77777777" w:rsidR="00990B14" w:rsidRDefault="00000000">
            <w:pPr>
              <w:keepNext/>
              <w:spacing w:before="20" w:after="20"/>
              <w:jc w:val="center"/>
            </w:pPr>
            <w:r>
              <w:rPr>
                <w:b/>
                <w:bCs/>
                <w:i/>
                <w:iCs/>
                <w:color w:val="FFFFFF"/>
                <w:sz w:val="18"/>
                <w:szCs w:val="18"/>
              </w:rPr>
              <w:t>Insuficiente (1–50)</w:t>
            </w:r>
          </w:p>
        </w:tc>
        <w:tc>
          <w:tcPr>
            <w:tcW w:w="2120" w:type="dxa"/>
            <w:shd w:val="clear" w:color="auto" w:fill="4472C4"/>
            <w:vAlign w:val="center"/>
          </w:tcPr>
          <w:p w14:paraId="56CF7137" w14:textId="77777777" w:rsidR="00990B14" w:rsidRDefault="00000000">
            <w:pPr>
              <w:keepNext/>
              <w:spacing w:before="20" w:after="20"/>
              <w:jc w:val="center"/>
            </w:pPr>
            <w:r>
              <w:rPr>
                <w:b/>
                <w:bCs/>
                <w:i/>
                <w:iCs/>
                <w:color w:val="FFFFFF"/>
                <w:sz w:val="18"/>
                <w:szCs w:val="18"/>
              </w:rPr>
              <w:t>Suficiente (51–80)</w:t>
            </w:r>
          </w:p>
        </w:tc>
        <w:tc>
          <w:tcPr>
            <w:tcW w:w="1855" w:type="dxa"/>
            <w:shd w:val="clear" w:color="auto" w:fill="4472C4"/>
            <w:vAlign w:val="center"/>
          </w:tcPr>
          <w:p w14:paraId="6F373EF8" w14:textId="77777777" w:rsidR="00990B14" w:rsidRDefault="00000000">
            <w:pPr>
              <w:keepNext/>
              <w:spacing w:before="20" w:after="20"/>
              <w:jc w:val="center"/>
            </w:pPr>
            <w:r>
              <w:rPr>
                <w:b/>
                <w:bCs/>
                <w:i/>
                <w:iCs/>
                <w:color w:val="FFFFFF"/>
                <w:sz w:val="18"/>
                <w:szCs w:val="18"/>
              </w:rPr>
              <w:t>Destacado (81–100)</w:t>
            </w:r>
          </w:p>
        </w:tc>
      </w:tr>
      <w:tr w:rsidR="00990B14" w14:paraId="259801B4" w14:textId="77777777">
        <w:trPr>
          <w:cantSplit/>
          <w:jc w:val="center"/>
        </w:trPr>
        <w:tc>
          <w:tcPr>
            <w:tcW w:w="1780" w:type="dxa"/>
            <w:vMerge/>
            <w:shd w:val="clear" w:color="auto" w:fill="4472C4"/>
            <w:vAlign w:val="center"/>
          </w:tcPr>
          <w:p w14:paraId="46FBDBAC" w14:textId="77777777" w:rsidR="00990B14" w:rsidRDefault="00990B14">
            <w:pPr>
              <w:spacing w:before="20" w:after="20"/>
            </w:pPr>
          </w:p>
        </w:tc>
        <w:tc>
          <w:tcPr>
            <w:tcW w:w="1825" w:type="dxa"/>
            <w:shd w:val="clear" w:color="auto" w:fill="D9E2F3"/>
            <w:vAlign w:val="center"/>
          </w:tcPr>
          <w:p w14:paraId="47273A56" w14:textId="77777777" w:rsidR="00990B14" w:rsidRDefault="00000000">
            <w:pPr>
              <w:spacing w:before="20" w:after="20"/>
              <w:jc w:val="both"/>
            </w:pPr>
            <w:r>
              <w:rPr>
                <w:sz w:val="18"/>
                <w:szCs w:val="18"/>
              </w:rPr>
              <w:t>Emisores</w:t>
            </w:r>
          </w:p>
        </w:tc>
        <w:tc>
          <w:tcPr>
            <w:tcW w:w="1825" w:type="dxa"/>
            <w:shd w:val="clear" w:color="auto" w:fill="D9E2F3"/>
            <w:vAlign w:val="center"/>
          </w:tcPr>
          <w:p w14:paraId="46F5E1D0" w14:textId="77777777" w:rsidR="00990B14" w:rsidRDefault="00000000">
            <w:pPr>
              <w:spacing w:before="20" w:after="20"/>
              <w:jc w:val="both"/>
            </w:pPr>
            <w:r>
              <w:rPr>
                <w:sz w:val="18"/>
                <w:szCs w:val="18"/>
              </w:rPr>
              <w:t>Confunde los emisores.</w:t>
            </w:r>
          </w:p>
        </w:tc>
        <w:tc>
          <w:tcPr>
            <w:tcW w:w="2120" w:type="dxa"/>
            <w:shd w:val="clear" w:color="auto" w:fill="D9E2F3"/>
            <w:vAlign w:val="center"/>
          </w:tcPr>
          <w:p w14:paraId="61E4C9F8" w14:textId="77777777" w:rsidR="00990B14" w:rsidRDefault="00000000">
            <w:pPr>
              <w:spacing w:before="20" w:after="20"/>
              <w:jc w:val="both"/>
            </w:pPr>
            <w:r>
              <w:rPr>
                <w:sz w:val="18"/>
                <w:szCs w:val="18"/>
              </w:rPr>
              <w:t>Identifica el emisor y el alcance de cada marco.</w:t>
            </w:r>
          </w:p>
        </w:tc>
        <w:tc>
          <w:tcPr>
            <w:tcW w:w="1855" w:type="dxa"/>
            <w:shd w:val="clear" w:color="auto" w:fill="D9E2F3"/>
            <w:vAlign w:val="center"/>
          </w:tcPr>
          <w:p w14:paraId="21250E08" w14:textId="77777777" w:rsidR="00990B14" w:rsidRDefault="00000000">
            <w:pPr>
              <w:spacing w:before="20" w:after="20"/>
              <w:jc w:val="both"/>
            </w:pPr>
            <w:r>
              <w:rPr>
                <w:sz w:val="18"/>
                <w:szCs w:val="18"/>
              </w:rPr>
              <w:t>Explica la consolidación de emisores en las normas sociales</w:t>
            </w:r>
          </w:p>
        </w:tc>
      </w:tr>
      <w:tr w:rsidR="00990B14" w14:paraId="2E6598C9" w14:textId="77777777">
        <w:trPr>
          <w:cantSplit/>
          <w:jc w:val="center"/>
        </w:trPr>
        <w:tc>
          <w:tcPr>
            <w:tcW w:w="1780" w:type="dxa"/>
            <w:vMerge/>
            <w:shd w:val="clear" w:color="auto" w:fill="4472C4"/>
            <w:vAlign w:val="center"/>
          </w:tcPr>
          <w:p w14:paraId="53862417" w14:textId="77777777" w:rsidR="00990B14" w:rsidRDefault="00990B14">
            <w:pPr>
              <w:spacing w:before="20" w:after="20"/>
            </w:pPr>
          </w:p>
        </w:tc>
        <w:tc>
          <w:tcPr>
            <w:tcW w:w="1825" w:type="dxa"/>
            <w:shd w:val="clear" w:color="auto" w:fill="D9E2F3"/>
            <w:vAlign w:val="center"/>
          </w:tcPr>
          <w:p w14:paraId="5C236E0E" w14:textId="77777777" w:rsidR="00990B14" w:rsidRDefault="00000000">
            <w:pPr>
              <w:spacing w:before="20" w:after="20"/>
              <w:jc w:val="both"/>
            </w:pPr>
            <w:r>
              <w:rPr>
                <w:sz w:val="18"/>
                <w:szCs w:val="18"/>
              </w:rPr>
              <w:t>Materialidad</w:t>
            </w:r>
          </w:p>
        </w:tc>
        <w:tc>
          <w:tcPr>
            <w:tcW w:w="1825" w:type="dxa"/>
            <w:shd w:val="clear" w:color="auto" w:fill="D9E2F3"/>
            <w:vAlign w:val="center"/>
          </w:tcPr>
          <w:p w14:paraId="5641F7E9" w14:textId="77777777" w:rsidR="00990B14" w:rsidRDefault="00000000">
            <w:pPr>
              <w:spacing w:before="20" w:after="20"/>
              <w:jc w:val="both"/>
            </w:pPr>
            <w:r>
              <w:rPr>
                <w:sz w:val="18"/>
                <w:szCs w:val="18"/>
              </w:rPr>
              <w:t>No distingue los enfoques.</w:t>
            </w:r>
          </w:p>
        </w:tc>
        <w:tc>
          <w:tcPr>
            <w:tcW w:w="2120" w:type="dxa"/>
            <w:shd w:val="clear" w:color="auto" w:fill="D9E2F3"/>
            <w:vAlign w:val="center"/>
          </w:tcPr>
          <w:p w14:paraId="3BD083E8" w14:textId="77777777" w:rsidR="00990B14" w:rsidRDefault="00000000">
            <w:pPr>
              <w:spacing w:before="20" w:after="20"/>
              <w:jc w:val="both"/>
            </w:pPr>
            <w:r>
              <w:rPr>
                <w:sz w:val="18"/>
                <w:szCs w:val="18"/>
              </w:rPr>
              <w:t>Distingue la materialidad financiera y social.</w:t>
            </w:r>
          </w:p>
        </w:tc>
        <w:tc>
          <w:tcPr>
            <w:tcW w:w="1855" w:type="dxa"/>
            <w:shd w:val="clear" w:color="auto" w:fill="D9E2F3"/>
            <w:vAlign w:val="center"/>
          </w:tcPr>
          <w:p w14:paraId="49612217" w14:textId="77777777" w:rsidR="00990B14" w:rsidRDefault="00000000">
            <w:pPr>
              <w:spacing w:before="20" w:after="20"/>
              <w:jc w:val="both"/>
            </w:pPr>
            <w:r>
              <w:rPr>
                <w:sz w:val="18"/>
                <w:szCs w:val="18"/>
              </w:rPr>
              <w:t>Evalúa la materialidad bajo enfoque de la Auditoría Social y sus normas aplicables.</w:t>
            </w:r>
          </w:p>
        </w:tc>
      </w:tr>
      <w:tr w:rsidR="00990B14" w14:paraId="6B40877A" w14:textId="77777777">
        <w:trPr>
          <w:cantSplit/>
          <w:jc w:val="center"/>
        </w:trPr>
        <w:tc>
          <w:tcPr>
            <w:tcW w:w="1780" w:type="dxa"/>
            <w:vMerge/>
            <w:shd w:val="clear" w:color="auto" w:fill="4472C4"/>
            <w:vAlign w:val="center"/>
          </w:tcPr>
          <w:p w14:paraId="0AA314FD" w14:textId="77777777" w:rsidR="00990B14" w:rsidRDefault="00990B14">
            <w:pPr>
              <w:spacing w:before="20" w:after="20"/>
            </w:pPr>
          </w:p>
        </w:tc>
        <w:tc>
          <w:tcPr>
            <w:tcW w:w="1825" w:type="dxa"/>
            <w:shd w:val="clear" w:color="auto" w:fill="D9E2F3"/>
            <w:vAlign w:val="center"/>
          </w:tcPr>
          <w:p w14:paraId="2D68E9B4" w14:textId="77777777" w:rsidR="00990B14" w:rsidRDefault="00000000">
            <w:pPr>
              <w:spacing w:before="20" w:after="20"/>
              <w:jc w:val="both"/>
            </w:pPr>
            <w:r>
              <w:rPr>
                <w:sz w:val="18"/>
                <w:szCs w:val="18"/>
              </w:rPr>
              <w:t>Presentación</w:t>
            </w:r>
          </w:p>
        </w:tc>
        <w:tc>
          <w:tcPr>
            <w:tcW w:w="1825" w:type="dxa"/>
            <w:shd w:val="clear" w:color="auto" w:fill="D9E2F3"/>
            <w:vAlign w:val="center"/>
          </w:tcPr>
          <w:p w14:paraId="2CDA7648" w14:textId="77777777" w:rsidR="00990B14" w:rsidRDefault="00000000">
            <w:pPr>
              <w:spacing w:before="20" w:after="20"/>
              <w:jc w:val="both"/>
            </w:pPr>
            <w:r>
              <w:rPr>
                <w:sz w:val="18"/>
                <w:szCs w:val="18"/>
              </w:rPr>
              <w:t>El cuadro es confuso.</w:t>
            </w:r>
          </w:p>
        </w:tc>
        <w:tc>
          <w:tcPr>
            <w:tcW w:w="2120" w:type="dxa"/>
            <w:shd w:val="clear" w:color="auto" w:fill="D9E2F3"/>
            <w:vAlign w:val="center"/>
          </w:tcPr>
          <w:p w14:paraId="53F88478" w14:textId="77777777" w:rsidR="00990B14" w:rsidRDefault="00000000">
            <w:pPr>
              <w:spacing w:before="20" w:after="20"/>
              <w:jc w:val="both"/>
            </w:pPr>
            <w:r>
              <w:rPr>
                <w:sz w:val="18"/>
                <w:szCs w:val="18"/>
              </w:rPr>
              <w:t>El cuadro es claro.</w:t>
            </w:r>
          </w:p>
        </w:tc>
        <w:tc>
          <w:tcPr>
            <w:tcW w:w="1855" w:type="dxa"/>
            <w:shd w:val="clear" w:color="auto" w:fill="D9E2F3"/>
            <w:vAlign w:val="center"/>
          </w:tcPr>
          <w:p w14:paraId="7FFEC10A" w14:textId="77777777" w:rsidR="00990B14" w:rsidRDefault="00000000">
            <w:pPr>
              <w:spacing w:before="20" w:after="20"/>
              <w:jc w:val="both"/>
            </w:pPr>
            <w:r>
              <w:rPr>
                <w:sz w:val="18"/>
                <w:szCs w:val="18"/>
              </w:rPr>
              <w:t>El cuadro cita las fuentes oficiales.</w:t>
            </w:r>
          </w:p>
        </w:tc>
      </w:tr>
      <w:tr w:rsidR="00990B14" w14:paraId="58BDB98A" w14:textId="77777777">
        <w:trPr>
          <w:cantSplit/>
          <w:jc w:val="center"/>
        </w:trPr>
        <w:tc>
          <w:tcPr>
            <w:tcW w:w="1780" w:type="dxa"/>
            <w:vMerge/>
            <w:shd w:val="clear" w:color="auto" w:fill="4472C4"/>
            <w:vAlign w:val="center"/>
          </w:tcPr>
          <w:p w14:paraId="259A546C" w14:textId="77777777" w:rsidR="00990B14" w:rsidRDefault="00990B14">
            <w:pPr>
              <w:spacing w:before="20" w:after="20"/>
            </w:pPr>
          </w:p>
        </w:tc>
        <w:tc>
          <w:tcPr>
            <w:tcW w:w="5770" w:type="dxa"/>
            <w:gridSpan w:val="3"/>
            <w:shd w:val="clear" w:color="auto" w:fill="D9E2F3"/>
            <w:vAlign w:val="center"/>
          </w:tcPr>
          <w:p w14:paraId="2CA58BE0" w14:textId="77777777" w:rsidR="00990B14" w:rsidRDefault="00000000">
            <w:pPr>
              <w:keepNext/>
              <w:spacing w:before="20" w:after="20"/>
              <w:jc w:val="both"/>
            </w:pPr>
            <w:r>
              <w:rPr>
                <w:b/>
                <w:bCs/>
                <w:i/>
                <w:iCs/>
                <w:sz w:val="18"/>
                <w:szCs w:val="18"/>
              </w:rPr>
              <w:t xml:space="preserve">Producto 8: </w:t>
            </w:r>
            <w:r>
              <w:rPr>
                <w:sz w:val="18"/>
                <w:szCs w:val="18"/>
              </w:rPr>
              <w:t>Informe de auditoría social externa</w:t>
            </w:r>
          </w:p>
        </w:tc>
        <w:tc>
          <w:tcPr>
            <w:tcW w:w="1855" w:type="dxa"/>
            <w:shd w:val="clear" w:color="auto" w:fill="D9E2F3"/>
            <w:vAlign w:val="center"/>
          </w:tcPr>
          <w:p w14:paraId="65F3E5A4" w14:textId="77777777" w:rsidR="00990B14" w:rsidRDefault="00000000">
            <w:pPr>
              <w:spacing w:before="20" w:after="20"/>
              <w:jc w:val="center"/>
            </w:pPr>
            <w:r>
              <w:rPr>
                <w:b/>
                <w:bCs/>
                <w:sz w:val="18"/>
                <w:szCs w:val="18"/>
              </w:rPr>
              <w:t>7%</w:t>
            </w:r>
          </w:p>
        </w:tc>
      </w:tr>
      <w:tr w:rsidR="00990B14" w14:paraId="6C18319E" w14:textId="77777777">
        <w:trPr>
          <w:cantSplit/>
          <w:jc w:val="center"/>
        </w:trPr>
        <w:tc>
          <w:tcPr>
            <w:tcW w:w="1780" w:type="dxa"/>
            <w:vMerge/>
            <w:shd w:val="clear" w:color="auto" w:fill="4472C4"/>
            <w:vAlign w:val="center"/>
          </w:tcPr>
          <w:p w14:paraId="0183D1BB" w14:textId="77777777" w:rsidR="00990B14" w:rsidRDefault="00990B14">
            <w:pPr>
              <w:spacing w:before="20" w:after="20"/>
            </w:pPr>
          </w:p>
        </w:tc>
        <w:tc>
          <w:tcPr>
            <w:tcW w:w="1825" w:type="dxa"/>
            <w:shd w:val="clear" w:color="auto" w:fill="4472C4"/>
            <w:vAlign w:val="center"/>
          </w:tcPr>
          <w:p w14:paraId="3911AA4E" w14:textId="77777777" w:rsidR="00990B14" w:rsidRDefault="00000000">
            <w:pPr>
              <w:keepNext/>
              <w:spacing w:before="20" w:after="20"/>
              <w:jc w:val="center"/>
            </w:pPr>
            <w:r>
              <w:rPr>
                <w:b/>
                <w:bCs/>
                <w:i/>
                <w:iCs/>
                <w:color w:val="FFFFFF"/>
                <w:sz w:val="18"/>
                <w:szCs w:val="18"/>
              </w:rPr>
              <w:t>Criterio</w:t>
            </w:r>
          </w:p>
        </w:tc>
        <w:tc>
          <w:tcPr>
            <w:tcW w:w="1825" w:type="dxa"/>
            <w:shd w:val="clear" w:color="auto" w:fill="4472C4"/>
            <w:vAlign w:val="center"/>
          </w:tcPr>
          <w:p w14:paraId="75BF5517" w14:textId="77777777" w:rsidR="00990B14" w:rsidRDefault="00000000">
            <w:pPr>
              <w:keepNext/>
              <w:spacing w:before="20" w:after="20"/>
              <w:jc w:val="center"/>
            </w:pPr>
            <w:r>
              <w:rPr>
                <w:b/>
                <w:bCs/>
                <w:i/>
                <w:iCs/>
                <w:color w:val="FFFFFF"/>
                <w:sz w:val="18"/>
                <w:szCs w:val="18"/>
              </w:rPr>
              <w:t>Insuficiente (1–50)</w:t>
            </w:r>
          </w:p>
        </w:tc>
        <w:tc>
          <w:tcPr>
            <w:tcW w:w="2120" w:type="dxa"/>
            <w:shd w:val="clear" w:color="auto" w:fill="4472C4"/>
            <w:vAlign w:val="center"/>
          </w:tcPr>
          <w:p w14:paraId="48304818" w14:textId="77777777" w:rsidR="00990B14" w:rsidRDefault="00000000">
            <w:pPr>
              <w:keepNext/>
              <w:spacing w:before="20" w:after="20"/>
              <w:jc w:val="center"/>
            </w:pPr>
            <w:r>
              <w:rPr>
                <w:b/>
                <w:bCs/>
                <w:i/>
                <w:iCs/>
                <w:color w:val="FFFFFF"/>
                <w:sz w:val="18"/>
                <w:szCs w:val="18"/>
              </w:rPr>
              <w:t>Suficiente (51–80)</w:t>
            </w:r>
          </w:p>
        </w:tc>
        <w:tc>
          <w:tcPr>
            <w:tcW w:w="1855" w:type="dxa"/>
            <w:shd w:val="clear" w:color="auto" w:fill="4472C4"/>
            <w:vAlign w:val="center"/>
          </w:tcPr>
          <w:p w14:paraId="7F4A9A8E" w14:textId="77777777" w:rsidR="00990B14" w:rsidRDefault="00000000">
            <w:pPr>
              <w:keepNext/>
              <w:spacing w:before="20" w:after="20"/>
              <w:jc w:val="center"/>
            </w:pPr>
            <w:r>
              <w:rPr>
                <w:b/>
                <w:bCs/>
                <w:i/>
                <w:iCs/>
                <w:color w:val="FFFFFF"/>
                <w:sz w:val="18"/>
                <w:szCs w:val="18"/>
              </w:rPr>
              <w:t>Destacado (81–100)</w:t>
            </w:r>
          </w:p>
        </w:tc>
      </w:tr>
      <w:tr w:rsidR="00990B14" w14:paraId="1A006944" w14:textId="77777777">
        <w:trPr>
          <w:cantSplit/>
          <w:jc w:val="center"/>
        </w:trPr>
        <w:tc>
          <w:tcPr>
            <w:tcW w:w="1780" w:type="dxa"/>
            <w:vMerge/>
            <w:shd w:val="clear" w:color="auto" w:fill="4472C4"/>
            <w:vAlign w:val="center"/>
          </w:tcPr>
          <w:p w14:paraId="77347A4C" w14:textId="77777777" w:rsidR="00990B14" w:rsidRDefault="00990B14">
            <w:pPr>
              <w:spacing w:before="20" w:after="20"/>
            </w:pPr>
          </w:p>
        </w:tc>
        <w:tc>
          <w:tcPr>
            <w:tcW w:w="1825" w:type="dxa"/>
            <w:shd w:val="clear" w:color="auto" w:fill="D9E2F3"/>
            <w:vAlign w:val="center"/>
          </w:tcPr>
          <w:p w14:paraId="3344B836" w14:textId="77777777" w:rsidR="00990B14" w:rsidRDefault="00000000">
            <w:pPr>
              <w:spacing w:before="20" w:after="20"/>
              <w:jc w:val="both"/>
            </w:pPr>
            <w:r>
              <w:rPr>
                <w:sz w:val="18"/>
                <w:szCs w:val="18"/>
              </w:rPr>
              <w:t>Presentación</w:t>
            </w:r>
          </w:p>
        </w:tc>
        <w:tc>
          <w:tcPr>
            <w:tcW w:w="1825" w:type="dxa"/>
            <w:shd w:val="clear" w:color="auto" w:fill="D9E2F3"/>
            <w:vAlign w:val="center"/>
          </w:tcPr>
          <w:p w14:paraId="6E5BBA2B" w14:textId="77777777" w:rsidR="00990B14" w:rsidRDefault="00000000">
            <w:pPr>
              <w:spacing w:before="20" w:after="20"/>
              <w:jc w:val="both"/>
            </w:pPr>
            <w:r>
              <w:rPr>
                <w:sz w:val="18"/>
                <w:szCs w:val="18"/>
              </w:rPr>
              <w:t>No comprende y no redacta el Informe de Auditoría Social.</w:t>
            </w:r>
          </w:p>
        </w:tc>
        <w:tc>
          <w:tcPr>
            <w:tcW w:w="2120" w:type="dxa"/>
            <w:shd w:val="clear" w:color="auto" w:fill="D9E2F3"/>
            <w:vAlign w:val="center"/>
          </w:tcPr>
          <w:p w14:paraId="5001F98F" w14:textId="77777777" w:rsidR="00990B14" w:rsidRDefault="00000000">
            <w:pPr>
              <w:spacing w:before="20" w:after="20"/>
              <w:jc w:val="both"/>
            </w:pPr>
            <w:r>
              <w:rPr>
                <w:sz w:val="18"/>
                <w:szCs w:val="18"/>
              </w:rPr>
              <w:t>Elabora el Informe de Auditoría Social de forma limitada.</w:t>
            </w:r>
          </w:p>
        </w:tc>
        <w:tc>
          <w:tcPr>
            <w:tcW w:w="1855" w:type="dxa"/>
            <w:shd w:val="clear" w:color="auto" w:fill="D9E2F3"/>
            <w:vAlign w:val="center"/>
          </w:tcPr>
          <w:p w14:paraId="76CFB930" w14:textId="77777777" w:rsidR="00990B14" w:rsidRDefault="00000000">
            <w:pPr>
              <w:spacing w:before="20" w:after="20"/>
              <w:jc w:val="both"/>
            </w:pPr>
            <w:r>
              <w:rPr>
                <w:sz w:val="18"/>
                <w:szCs w:val="18"/>
              </w:rPr>
              <w:t>Opinar con razonabilidad de la información suministrada de los informes sociales para mejorar la gestión social de la organización.</w:t>
            </w:r>
          </w:p>
        </w:tc>
      </w:tr>
      <w:tr w:rsidR="00990B14" w14:paraId="7119198D" w14:textId="77777777">
        <w:trPr>
          <w:cantSplit/>
          <w:jc w:val="center"/>
        </w:trPr>
        <w:tc>
          <w:tcPr>
            <w:tcW w:w="1780" w:type="dxa"/>
            <w:vMerge/>
            <w:shd w:val="clear" w:color="auto" w:fill="4472C4"/>
            <w:vAlign w:val="center"/>
          </w:tcPr>
          <w:p w14:paraId="1CD30EE0" w14:textId="77777777" w:rsidR="00990B14" w:rsidRDefault="00990B14">
            <w:pPr>
              <w:spacing w:before="20" w:after="20"/>
            </w:pPr>
          </w:p>
        </w:tc>
        <w:tc>
          <w:tcPr>
            <w:tcW w:w="1825" w:type="dxa"/>
            <w:shd w:val="clear" w:color="auto" w:fill="D9E2F3"/>
            <w:vAlign w:val="center"/>
          </w:tcPr>
          <w:p w14:paraId="67EE718D" w14:textId="77777777" w:rsidR="00990B14" w:rsidRDefault="00000000">
            <w:pPr>
              <w:spacing w:before="20" w:after="20"/>
              <w:jc w:val="both"/>
            </w:pPr>
            <w:r>
              <w:rPr>
                <w:sz w:val="18"/>
                <w:szCs w:val="18"/>
              </w:rPr>
              <w:t>Conclusión</w:t>
            </w:r>
          </w:p>
        </w:tc>
        <w:tc>
          <w:tcPr>
            <w:tcW w:w="1825" w:type="dxa"/>
            <w:shd w:val="clear" w:color="auto" w:fill="D9E2F3"/>
            <w:vAlign w:val="center"/>
          </w:tcPr>
          <w:p w14:paraId="418727AF" w14:textId="77777777" w:rsidR="00990B14" w:rsidRDefault="00000000">
            <w:pPr>
              <w:spacing w:before="20" w:after="20"/>
              <w:jc w:val="both"/>
            </w:pPr>
            <w:r>
              <w:rPr>
                <w:sz w:val="18"/>
                <w:szCs w:val="18"/>
              </w:rPr>
              <w:t>No distingue la redacción.</w:t>
            </w:r>
          </w:p>
        </w:tc>
        <w:tc>
          <w:tcPr>
            <w:tcW w:w="2120" w:type="dxa"/>
            <w:shd w:val="clear" w:color="auto" w:fill="D9E2F3"/>
            <w:vAlign w:val="center"/>
          </w:tcPr>
          <w:p w14:paraId="790A28E8" w14:textId="77777777" w:rsidR="00990B14" w:rsidRDefault="00000000">
            <w:pPr>
              <w:spacing w:before="20" w:after="20"/>
              <w:jc w:val="both"/>
            </w:pPr>
            <w:r>
              <w:rPr>
                <w:sz w:val="18"/>
                <w:szCs w:val="18"/>
              </w:rPr>
              <w:t>Distingue la redacción de cada conclusión.</w:t>
            </w:r>
          </w:p>
        </w:tc>
        <w:tc>
          <w:tcPr>
            <w:tcW w:w="1855" w:type="dxa"/>
            <w:shd w:val="clear" w:color="auto" w:fill="D9E2F3"/>
            <w:vAlign w:val="center"/>
          </w:tcPr>
          <w:p w14:paraId="15D03F4D" w14:textId="77777777" w:rsidR="00990B14" w:rsidRDefault="00000000">
            <w:pPr>
              <w:spacing w:before="20" w:after="20"/>
              <w:jc w:val="both"/>
            </w:pPr>
            <w:r>
              <w:rPr>
                <w:sz w:val="18"/>
                <w:szCs w:val="18"/>
              </w:rPr>
              <w:t>Explica el efecto en la confianza del usuario.</w:t>
            </w:r>
          </w:p>
        </w:tc>
      </w:tr>
      <w:tr w:rsidR="00990B14" w14:paraId="79EF0C80" w14:textId="77777777">
        <w:trPr>
          <w:cantSplit/>
          <w:jc w:val="center"/>
        </w:trPr>
        <w:tc>
          <w:tcPr>
            <w:tcW w:w="1780" w:type="dxa"/>
            <w:vMerge/>
            <w:shd w:val="clear" w:color="auto" w:fill="4472C4"/>
            <w:vAlign w:val="center"/>
          </w:tcPr>
          <w:p w14:paraId="6AF63958" w14:textId="77777777" w:rsidR="00990B14" w:rsidRDefault="00990B14">
            <w:pPr>
              <w:spacing w:before="20" w:after="20"/>
            </w:pPr>
          </w:p>
        </w:tc>
        <w:tc>
          <w:tcPr>
            <w:tcW w:w="1825" w:type="dxa"/>
            <w:shd w:val="clear" w:color="auto" w:fill="D9E2F3"/>
            <w:vAlign w:val="center"/>
          </w:tcPr>
          <w:p w14:paraId="0302E061" w14:textId="77777777" w:rsidR="00990B14" w:rsidRDefault="00000000">
            <w:pPr>
              <w:spacing w:before="20" w:after="20"/>
              <w:jc w:val="both"/>
            </w:pPr>
            <w:r>
              <w:rPr>
                <w:sz w:val="18"/>
                <w:szCs w:val="18"/>
              </w:rPr>
              <w:t>Trabajo en equipo</w:t>
            </w:r>
          </w:p>
        </w:tc>
        <w:tc>
          <w:tcPr>
            <w:tcW w:w="1825" w:type="dxa"/>
            <w:shd w:val="clear" w:color="auto" w:fill="D9E2F3"/>
            <w:vAlign w:val="center"/>
          </w:tcPr>
          <w:p w14:paraId="2066A303" w14:textId="77777777" w:rsidR="00990B14" w:rsidRDefault="00000000">
            <w:pPr>
              <w:spacing w:before="20" w:after="20"/>
              <w:jc w:val="both"/>
            </w:pPr>
            <w:r>
              <w:rPr>
                <w:sz w:val="18"/>
                <w:szCs w:val="18"/>
              </w:rPr>
              <w:t>La participación es desigual.</w:t>
            </w:r>
          </w:p>
        </w:tc>
        <w:tc>
          <w:tcPr>
            <w:tcW w:w="2120" w:type="dxa"/>
            <w:shd w:val="clear" w:color="auto" w:fill="D9E2F3"/>
            <w:vAlign w:val="center"/>
          </w:tcPr>
          <w:p w14:paraId="1C885F4B" w14:textId="77777777" w:rsidR="00990B14" w:rsidRDefault="00000000">
            <w:pPr>
              <w:spacing w:before="20" w:after="20"/>
              <w:jc w:val="both"/>
            </w:pPr>
            <w:r>
              <w:rPr>
                <w:sz w:val="18"/>
                <w:szCs w:val="18"/>
              </w:rPr>
              <w:t>Todos los integrantes participan.</w:t>
            </w:r>
          </w:p>
        </w:tc>
        <w:tc>
          <w:tcPr>
            <w:tcW w:w="1855" w:type="dxa"/>
            <w:shd w:val="clear" w:color="auto" w:fill="D9E2F3"/>
            <w:vAlign w:val="center"/>
          </w:tcPr>
          <w:p w14:paraId="36BC8961" w14:textId="77777777" w:rsidR="00990B14" w:rsidRDefault="00000000">
            <w:pPr>
              <w:spacing w:before="20" w:after="20"/>
              <w:jc w:val="both"/>
            </w:pPr>
            <w:r>
              <w:rPr>
                <w:sz w:val="18"/>
                <w:szCs w:val="18"/>
              </w:rPr>
              <w:t>El equipo sustenta el cuadro con la norma.</w:t>
            </w:r>
          </w:p>
        </w:tc>
      </w:tr>
      <w:tr w:rsidR="00990B14" w14:paraId="278B4F05" w14:textId="77777777">
        <w:trPr>
          <w:cantSplit/>
          <w:jc w:val="center"/>
        </w:trPr>
        <w:tc>
          <w:tcPr>
            <w:tcW w:w="1780" w:type="dxa"/>
            <w:vMerge/>
            <w:shd w:val="clear" w:color="auto" w:fill="4472C4"/>
            <w:vAlign w:val="center"/>
          </w:tcPr>
          <w:p w14:paraId="62BF8887" w14:textId="77777777" w:rsidR="00990B14" w:rsidRDefault="00990B14">
            <w:pPr>
              <w:spacing w:before="20" w:after="20"/>
            </w:pPr>
          </w:p>
        </w:tc>
        <w:tc>
          <w:tcPr>
            <w:tcW w:w="5770" w:type="dxa"/>
            <w:gridSpan w:val="3"/>
            <w:shd w:val="clear" w:color="auto" w:fill="D9E2F3"/>
            <w:vAlign w:val="center"/>
          </w:tcPr>
          <w:p w14:paraId="68E590F6" w14:textId="77777777" w:rsidR="00990B14" w:rsidRDefault="00000000">
            <w:pPr>
              <w:keepNext/>
              <w:spacing w:before="20" w:after="20"/>
              <w:jc w:val="both"/>
            </w:pPr>
            <w:r>
              <w:rPr>
                <w:b/>
                <w:bCs/>
                <w:i/>
                <w:iCs/>
                <w:sz w:val="18"/>
                <w:szCs w:val="18"/>
              </w:rPr>
              <w:t xml:space="preserve">Producto 9: </w:t>
            </w:r>
            <w:r>
              <w:rPr>
                <w:sz w:val="18"/>
                <w:szCs w:val="18"/>
              </w:rPr>
              <w:t>Esquema de los tipos de auditoría ambiental con su base normativa.</w:t>
            </w:r>
          </w:p>
        </w:tc>
        <w:tc>
          <w:tcPr>
            <w:tcW w:w="1855" w:type="dxa"/>
            <w:shd w:val="clear" w:color="auto" w:fill="D9E2F3"/>
            <w:vAlign w:val="center"/>
          </w:tcPr>
          <w:p w14:paraId="49F7191D" w14:textId="77777777" w:rsidR="00990B14" w:rsidRDefault="00000000">
            <w:pPr>
              <w:spacing w:before="20" w:after="20"/>
              <w:jc w:val="center"/>
            </w:pPr>
            <w:r>
              <w:rPr>
                <w:b/>
                <w:bCs/>
                <w:sz w:val="18"/>
                <w:szCs w:val="18"/>
              </w:rPr>
              <w:t>9%</w:t>
            </w:r>
          </w:p>
        </w:tc>
      </w:tr>
      <w:tr w:rsidR="00990B14" w14:paraId="518F9060" w14:textId="77777777">
        <w:trPr>
          <w:cantSplit/>
          <w:jc w:val="center"/>
        </w:trPr>
        <w:tc>
          <w:tcPr>
            <w:tcW w:w="1780" w:type="dxa"/>
            <w:vMerge/>
            <w:shd w:val="clear" w:color="auto" w:fill="4472C4"/>
            <w:vAlign w:val="center"/>
          </w:tcPr>
          <w:p w14:paraId="2663325C" w14:textId="77777777" w:rsidR="00990B14" w:rsidRDefault="00990B14">
            <w:pPr>
              <w:spacing w:before="20" w:after="20"/>
            </w:pPr>
          </w:p>
        </w:tc>
        <w:tc>
          <w:tcPr>
            <w:tcW w:w="1825" w:type="dxa"/>
            <w:shd w:val="clear" w:color="auto" w:fill="4472C4"/>
            <w:vAlign w:val="center"/>
          </w:tcPr>
          <w:p w14:paraId="468FA819" w14:textId="77777777" w:rsidR="00990B14" w:rsidRDefault="00000000">
            <w:pPr>
              <w:keepNext/>
              <w:spacing w:before="20" w:after="20"/>
              <w:jc w:val="center"/>
            </w:pPr>
            <w:r>
              <w:rPr>
                <w:b/>
                <w:bCs/>
                <w:i/>
                <w:iCs/>
                <w:color w:val="FFFFFF"/>
                <w:sz w:val="18"/>
                <w:szCs w:val="18"/>
              </w:rPr>
              <w:t>Criterio</w:t>
            </w:r>
          </w:p>
        </w:tc>
        <w:tc>
          <w:tcPr>
            <w:tcW w:w="1825" w:type="dxa"/>
            <w:shd w:val="clear" w:color="auto" w:fill="4472C4"/>
            <w:vAlign w:val="center"/>
          </w:tcPr>
          <w:p w14:paraId="10309529" w14:textId="77777777" w:rsidR="00990B14" w:rsidRDefault="00000000">
            <w:pPr>
              <w:keepNext/>
              <w:spacing w:before="20" w:after="20"/>
              <w:jc w:val="center"/>
            </w:pPr>
            <w:r>
              <w:rPr>
                <w:b/>
                <w:bCs/>
                <w:i/>
                <w:iCs/>
                <w:color w:val="FFFFFF"/>
                <w:sz w:val="18"/>
                <w:szCs w:val="18"/>
              </w:rPr>
              <w:t>Insuficiente (1–50)</w:t>
            </w:r>
          </w:p>
        </w:tc>
        <w:tc>
          <w:tcPr>
            <w:tcW w:w="2120" w:type="dxa"/>
            <w:shd w:val="clear" w:color="auto" w:fill="4472C4"/>
            <w:vAlign w:val="center"/>
          </w:tcPr>
          <w:p w14:paraId="32D703B6" w14:textId="77777777" w:rsidR="00990B14" w:rsidRDefault="00000000">
            <w:pPr>
              <w:keepNext/>
              <w:spacing w:before="20" w:after="20"/>
              <w:jc w:val="center"/>
            </w:pPr>
            <w:r>
              <w:rPr>
                <w:b/>
                <w:bCs/>
                <w:i/>
                <w:iCs/>
                <w:color w:val="FFFFFF"/>
                <w:sz w:val="18"/>
                <w:szCs w:val="18"/>
              </w:rPr>
              <w:t>Suficiente (51–80)</w:t>
            </w:r>
          </w:p>
        </w:tc>
        <w:tc>
          <w:tcPr>
            <w:tcW w:w="1855" w:type="dxa"/>
            <w:shd w:val="clear" w:color="auto" w:fill="4472C4"/>
            <w:vAlign w:val="center"/>
          </w:tcPr>
          <w:p w14:paraId="7DB63155" w14:textId="77777777" w:rsidR="00990B14" w:rsidRDefault="00000000">
            <w:pPr>
              <w:keepNext/>
              <w:spacing w:before="20" w:after="20"/>
              <w:jc w:val="center"/>
            </w:pPr>
            <w:r>
              <w:rPr>
                <w:b/>
                <w:bCs/>
                <w:i/>
                <w:iCs/>
                <w:color w:val="FFFFFF"/>
                <w:sz w:val="18"/>
                <w:szCs w:val="18"/>
              </w:rPr>
              <w:t>Destacado (81–100)</w:t>
            </w:r>
          </w:p>
        </w:tc>
      </w:tr>
      <w:tr w:rsidR="00990B14" w14:paraId="556D4E11" w14:textId="77777777">
        <w:trPr>
          <w:cantSplit/>
          <w:jc w:val="center"/>
        </w:trPr>
        <w:tc>
          <w:tcPr>
            <w:tcW w:w="1780" w:type="dxa"/>
            <w:vMerge/>
            <w:shd w:val="clear" w:color="auto" w:fill="4472C4"/>
            <w:vAlign w:val="center"/>
          </w:tcPr>
          <w:p w14:paraId="0BA28E84" w14:textId="77777777" w:rsidR="00990B14" w:rsidRDefault="00990B14">
            <w:pPr>
              <w:spacing w:before="20" w:after="20"/>
            </w:pPr>
          </w:p>
        </w:tc>
        <w:tc>
          <w:tcPr>
            <w:tcW w:w="1825" w:type="dxa"/>
            <w:shd w:val="clear" w:color="auto" w:fill="D9E2F3"/>
            <w:vAlign w:val="center"/>
          </w:tcPr>
          <w:p w14:paraId="7642170C" w14:textId="77777777" w:rsidR="00990B14" w:rsidRDefault="00000000">
            <w:pPr>
              <w:spacing w:before="20" w:after="20"/>
              <w:jc w:val="both"/>
            </w:pPr>
            <w:r>
              <w:rPr>
                <w:sz w:val="18"/>
                <w:szCs w:val="18"/>
              </w:rPr>
              <w:t>Condiciones previas</w:t>
            </w:r>
          </w:p>
        </w:tc>
        <w:tc>
          <w:tcPr>
            <w:tcW w:w="1825" w:type="dxa"/>
            <w:shd w:val="clear" w:color="auto" w:fill="D9E2F3"/>
            <w:vAlign w:val="center"/>
          </w:tcPr>
          <w:p w14:paraId="607B10EF" w14:textId="77777777" w:rsidR="00990B14" w:rsidRDefault="00000000">
            <w:pPr>
              <w:spacing w:before="20" w:after="20"/>
              <w:jc w:val="both"/>
            </w:pPr>
            <w:r>
              <w:rPr>
                <w:sz w:val="18"/>
                <w:szCs w:val="18"/>
              </w:rPr>
              <w:t>No las evalúa.</w:t>
            </w:r>
          </w:p>
        </w:tc>
        <w:tc>
          <w:tcPr>
            <w:tcW w:w="2120" w:type="dxa"/>
            <w:shd w:val="clear" w:color="auto" w:fill="D9E2F3"/>
            <w:vAlign w:val="center"/>
          </w:tcPr>
          <w:p w14:paraId="6C45781D" w14:textId="77777777" w:rsidR="00990B14" w:rsidRDefault="00000000">
            <w:pPr>
              <w:spacing w:before="20" w:after="20"/>
              <w:jc w:val="both"/>
            </w:pPr>
            <w:r>
              <w:rPr>
                <w:sz w:val="18"/>
                <w:szCs w:val="18"/>
              </w:rPr>
              <w:t>Evalúa las condiciones previas del encargo.</w:t>
            </w:r>
          </w:p>
        </w:tc>
        <w:tc>
          <w:tcPr>
            <w:tcW w:w="1855" w:type="dxa"/>
            <w:shd w:val="clear" w:color="auto" w:fill="D9E2F3"/>
            <w:vAlign w:val="center"/>
          </w:tcPr>
          <w:p w14:paraId="401DE1D4" w14:textId="77777777" w:rsidR="00990B14" w:rsidRDefault="00000000">
            <w:pPr>
              <w:spacing w:before="20" w:after="20"/>
              <w:jc w:val="both"/>
            </w:pPr>
            <w:r>
              <w:rPr>
                <w:sz w:val="18"/>
                <w:szCs w:val="18"/>
              </w:rPr>
              <w:t>Evalúa la idoneidad de los criterios aplicables.</w:t>
            </w:r>
          </w:p>
        </w:tc>
      </w:tr>
      <w:tr w:rsidR="00990B14" w14:paraId="23FFD437" w14:textId="77777777">
        <w:trPr>
          <w:cantSplit/>
          <w:jc w:val="center"/>
        </w:trPr>
        <w:tc>
          <w:tcPr>
            <w:tcW w:w="1780" w:type="dxa"/>
            <w:vMerge/>
            <w:shd w:val="clear" w:color="auto" w:fill="4472C4"/>
            <w:vAlign w:val="center"/>
          </w:tcPr>
          <w:p w14:paraId="5D58CA06" w14:textId="77777777" w:rsidR="00990B14" w:rsidRDefault="00990B14">
            <w:pPr>
              <w:spacing w:before="20" w:after="20"/>
            </w:pPr>
          </w:p>
        </w:tc>
        <w:tc>
          <w:tcPr>
            <w:tcW w:w="1825" w:type="dxa"/>
            <w:shd w:val="clear" w:color="auto" w:fill="D9E2F3"/>
            <w:vAlign w:val="center"/>
          </w:tcPr>
          <w:p w14:paraId="324B3EF1" w14:textId="77777777" w:rsidR="00990B14" w:rsidRDefault="00000000">
            <w:pPr>
              <w:spacing w:before="20" w:after="20"/>
              <w:jc w:val="both"/>
            </w:pPr>
            <w:r>
              <w:rPr>
                <w:sz w:val="18"/>
                <w:szCs w:val="18"/>
              </w:rPr>
              <w:t>Términos</w:t>
            </w:r>
          </w:p>
        </w:tc>
        <w:tc>
          <w:tcPr>
            <w:tcW w:w="1825" w:type="dxa"/>
            <w:shd w:val="clear" w:color="auto" w:fill="D9E2F3"/>
            <w:vAlign w:val="center"/>
          </w:tcPr>
          <w:p w14:paraId="0BBA7992" w14:textId="77777777" w:rsidR="00990B14" w:rsidRDefault="00000000">
            <w:pPr>
              <w:spacing w:before="20" w:after="20"/>
              <w:jc w:val="both"/>
            </w:pPr>
            <w:r>
              <w:rPr>
                <w:sz w:val="18"/>
                <w:szCs w:val="18"/>
              </w:rPr>
              <w:t>Omite términos esenciales.</w:t>
            </w:r>
          </w:p>
        </w:tc>
        <w:tc>
          <w:tcPr>
            <w:tcW w:w="2120" w:type="dxa"/>
            <w:shd w:val="clear" w:color="auto" w:fill="D9E2F3"/>
            <w:vAlign w:val="center"/>
          </w:tcPr>
          <w:p w14:paraId="0BD69D99" w14:textId="77777777" w:rsidR="00990B14" w:rsidRDefault="00000000">
            <w:pPr>
              <w:spacing w:before="20" w:after="20"/>
              <w:jc w:val="both"/>
            </w:pPr>
            <w:r>
              <w:rPr>
                <w:sz w:val="18"/>
                <w:szCs w:val="18"/>
              </w:rPr>
              <w:t>Incluye objeto, nivel de aseguramiento y responsabilidades.</w:t>
            </w:r>
          </w:p>
        </w:tc>
        <w:tc>
          <w:tcPr>
            <w:tcW w:w="1855" w:type="dxa"/>
            <w:shd w:val="clear" w:color="auto" w:fill="D9E2F3"/>
            <w:vAlign w:val="center"/>
          </w:tcPr>
          <w:p w14:paraId="4368BBF7" w14:textId="77777777" w:rsidR="00990B14" w:rsidRDefault="00000000">
            <w:pPr>
              <w:spacing w:before="20" w:after="20"/>
              <w:jc w:val="both"/>
            </w:pPr>
            <w:r>
              <w:rPr>
                <w:sz w:val="18"/>
                <w:szCs w:val="18"/>
              </w:rPr>
              <w:t>Documenta la gestión de la calidad del encargo.</w:t>
            </w:r>
          </w:p>
        </w:tc>
      </w:tr>
      <w:tr w:rsidR="00990B14" w14:paraId="30233242" w14:textId="77777777">
        <w:trPr>
          <w:cantSplit/>
          <w:jc w:val="center"/>
        </w:trPr>
        <w:tc>
          <w:tcPr>
            <w:tcW w:w="1780" w:type="dxa"/>
            <w:vMerge/>
            <w:shd w:val="clear" w:color="auto" w:fill="4472C4"/>
            <w:vAlign w:val="center"/>
          </w:tcPr>
          <w:p w14:paraId="287D0185" w14:textId="77777777" w:rsidR="00990B14" w:rsidRDefault="00990B14">
            <w:pPr>
              <w:spacing w:before="20" w:after="20"/>
            </w:pPr>
          </w:p>
        </w:tc>
        <w:tc>
          <w:tcPr>
            <w:tcW w:w="1825" w:type="dxa"/>
            <w:shd w:val="clear" w:color="auto" w:fill="D9E2F3"/>
            <w:vAlign w:val="center"/>
          </w:tcPr>
          <w:p w14:paraId="5EB0265A" w14:textId="77777777" w:rsidR="00990B14" w:rsidRDefault="00000000">
            <w:pPr>
              <w:spacing w:before="20" w:after="20"/>
              <w:jc w:val="both"/>
            </w:pPr>
            <w:r>
              <w:rPr>
                <w:sz w:val="18"/>
                <w:szCs w:val="18"/>
              </w:rPr>
              <w:t>Ética e independencia</w:t>
            </w:r>
          </w:p>
        </w:tc>
        <w:tc>
          <w:tcPr>
            <w:tcW w:w="1825" w:type="dxa"/>
            <w:shd w:val="clear" w:color="auto" w:fill="D9E2F3"/>
            <w:vAlign w:val="center"/>
          </w:tcPr>
          <w:p w14:paraId="26BC3F23" w14:textId="77777777" w:rsidR="00990B14" w:rsidRDefault="00000000">
            <w:pPr>
              <w:spacing w:before="20" w:after="20"/>
              <w:jc w:val="both"/>
            </w:pPr>
            <w:r>
              <w:rPr>
                <w:sz w:val="18"/>
                <w:szCs w:val="18"/>
              </w:rPr>
              <w:t>Omite la independencia.</w:t>
            </w:r>
          </w:p>
        </w:tc>
        <w:tc>
          <w:tcPr>
            <w:tcW w:w="2120" w:type="dxa"/>
            <w:shd w:val="clear" w:color="auto" w:fill="D9E2F3"/>
            <w:vAlign w:val="center"/>
          </w:tcPr>
          <w:p w14:paraId="1ECEDF88" w14:textId="77777777" w:rsidR="00990B14" w:rsidRDefault="00000000">
            <w:pPr>
              <w:spacing w:before="20" w:after="20"/>
              <w:jc w:val="both"/>
            </w:pPr>
            <w:r>
              <w:rPr>
                <w:sz w:val="18"/>
                <w:szCs w:val="18"/>
              </w:rPr>
              <w:t>Declara los requisitos de independencia.</w:t>
            </w:r>
          </w:p>
        </w:tc>
        <w:tc>
          <w:tcPr>
            <w:tcW w:w="1855" w:type="dxa"/>
            <w:shd w:val="clear" w:color="auto" w:fill="D9E2F3"/>
            <w:vAlign w:val="center"/>
          </w:tcPr>
          <w:p w14:paraId="016238A1" w14:textId="77777777" w:rsidR="00990B14" w:rsidRDefault="00000000">
            <w:pPr>
              <w:spacing w:before="20" w:after="20"/>
              <w:jc w:val="both"/>
            </w:pPr>
            <w:r>
              <w:rPr>
                <w:sz w:val="18"/>
                <w:szCs w:val="18"/>
              </w:rPr>
              <w:t>Identifica amenazas y sus salvaguardas.</w:t>
            </w:r>
          </w:p>
        </w:tc>
      </w:tr>
      <w:tr w:rsidR="00990B14" w14:paraId="021C2D81" w14:textId="77777777">
        <w:trPr>
          <w:cantSplit/>
          <w:jc w:val="center"/>
        </w:trPr>
        <w:tc>
          <w:tcPr>
            <w:tcW w:w="1780" w:type="dxa"/>
            <w:vMerge/>
            <w:shd w:val="clear" w:color="auto" w:fill="4472C4"/>
            <w:vAlign w:val="center"/>
          </w:tcPr>
          <w:p w14:paraId="514BE98A" w14:textId="77777777" w:rsidR="00990B14" w:rsidRDefault="00990B14">
            <w:pPr>
              <w:spacing w:before="20" w:after="20"/>
            </w:pPr>
          </w:p>
        </w:tc>
        <w:tc>
          <w:tcPr>
            <w:tcW w:w="5770" w:type="dxa"/>
            <w:gridSpan w:val="3"/>
            <w:shd w:val="clear" w:color="auto" w:fill="D9E2F3"/>
            <w:vAlign w:val="center"/>
          </w:tcPr>
          <w:p w14:paraId="684B371F" w14:textId="77777777" w:rsidR="00990B14" w:rsidRDefault="00000000">
            <w:pPr>
              <w:keepNext/>
              <w:spacing w:before="20" w:after="20"/>
              <w:jc w:val="both"/>
            </w:pPr>
            <w:r>
              <w:rPr>
                <w:b/>
                <w:bCs/>
                <w:i/>
                <w:iCs/>
                <w:sz w:val="18"/>
                <w:szCs w:val="18"/>
              </w:rPr>
              <w:t xml:space="preserve">Producto 10: </w:t>
            </w:r>
            <w:r>
              <w:rPr>
                <w:sz w:val="18"/>
                <w:szCs w:val="18"/>
              </w:rPr>
              <w:t>Planificación, ejecución e informe de la auditoría ambiental gubernamental con su objeto, alcance y programas de trabajo.</w:t>
            </w:r>
          </w:p>
        </w:tc>
        <w:tc>
          <w:tcPr>
            <w:tcW w:w="1855" w:type="dxa"/>
            <w:shd w:val="clear" w:color="auto" w:fill="D9E2F3"/>
            <w:vAlign w:val="center"/>
          </w:tcPr>
          <w:p w14:paraId="288E9CA5" w14:textId="77777777" w:rsidR="00990B14" w:rsidRDefault="00000000">
            <w:pPr>
              <w:spacing w:before="20" w:after="20"/>
              <w:jc w:val="center"/>
            </w:pPr>
            <w:r>
              <w:rPr>
                <w:b/>
                <w:bCs/>
                <w:sz w:val="18"/>
                <w:szCs w:val="18"/>
              </w:rPr>
              <w:t>9%</w:t>
            </w:r>
          </w:p>
        </w:tc>
      </w:tr>
      <w:tr w:rsidR="00990B14" w14:paraId="7C0CCB56" w14:textId="77777777">
        <w:trPr>
          <w:cantSplit/>
          <w:jc w:val="center"/>
        </w:trPr>
        <w:tc>
          <w:tcPr>
            <w:tcW w:w="1780" w:type="dxa"/>
            <w:vMerge/>
            <w:shd w:val="clear" w:color="auto" w:fill="4472C4"/>
            <w:vAlign w:val="center"/>
          </w:tcPr>
          <w:p w14:paraId="0E0A4CE3" w14:textId="77777777" w:rsidR="00990B14" w:rsidRDefault="00990B14">
            <w:pPr>
              <w:spacing w:before="20" w:after="20"/>
            </w:pPr>
          </w:p>
        </w:tc>
        <w:tc>
          <w:tcPr>
            <w:tcW w:w="1825" w:type="dxa"/>
            <w:shd w:val="clear" w:color="auto" w:fill="4472C4"/>
            <w:vAlign w:val="center"/>
          </w:tcPr>
          <w:p w14:paraId="3C345B96" w14:textId="77777777" w:rsidR="00990B14" w:rsidRDefault="00000000">
            <w:pPr>
              <w:keepNext/>
              <w:spacing w:before="20" w:after="20"/>
              <w:jc w:val="center"/>
            </w:pPr>
            <w:r>
              <w:rPr>
                <w:b/>
                <w:bCs/>
                <w:i/>
                <w:iCs/>
                <w:color w:val="FFFFFF"/>
                <w:sz w:val="18"/>
                <w:szCs w:val="18"/>
              </w:rPr>
              <w:t>Criterio</w:t>
            </w:r>
          </w:p>
        </w:tc>
        <w:tc>
          <w:tcPr>
            <w:tcW w:w="1825" w:type="dxa"/>
            <w:shd w:val="clear" w:color="auto" w:fill="4472C4"/>
            <w:vAlign w:val="center"/>
          </w:tcPr>
          <w:p w14:paraId="3FAA6009" w14:textId="77777777" w:rsidR="00990B14" w:rsidRDefault="00000000">
            <w:pPr>
              <w:keepNext/>
              <w:spacing w:before="20" w:after="20"/>
              <w:jc w:val="center"/>
            </w:pPr>
            <w:r>
              <w:rPr>
                <w:b/>
                <w:bCs/>
                <w:i/>
                <w:iCs/>
                <w:color w:val="FFFFFF"/>
                <w:sz w:val="18"/>
                <w:szCs w:val="18"/>
              </w:rPr>
              <w:t>Insuficiente (1–50)</w:t>
            </w:r>
          </w:p>
        </w:tc>
        <w:tc>
          <w:tcPr>
            <w:tcW w:w="2120" w:type="dxa"/>
            <w:shd w:val="clear" w:color="auto" w:fill="4472C4"/>
            <w:vAlign w:val="center"/>
          </w:tcPr>
          <w:p w14:paraId="06330B3F" w14:textId="77777777" w:rsidR="00990B14" w:rsidRDefault="00000000">
            <w:pPr>
              <w:keepNext/>
              <w:spacing w:before="20" w:after="20"/>
              <w:jc w:val="center"/>
            </w:pPr>
            <w:r>
              <w:rPr>
                <w:b/>
                <w:bCs/>
                <w:i/>
                <w:iCs/>
                <w:color w:val="FFFFFF"/>
                <w:sz w:val="18"/>
                <w:szCs w:val="18"/>
              </w:rPr>
              <w:t>Suficiente (51–80)</w:t>
            </w:r>
          </w:p>
        </w:tc>
        <w:tc>
          <w:tcPr>
            <w:tcW w:w="1855" w:type="dxa"/>
            <w:shd w:val="clear" w:color="auto" w:fill="4472C4"/>
            <w:vAlign w:val="center"/>
          </w:tcPr>
          <w:p w14:paraId="6F43186C" w14:textId="77777777" w:rsidR="00990B14" w:rsidRDefault="00000000">
            <w:pPr>
              <w:keepNext/>
              <w:spacing w:before="20" w:after="20"/>
              <w:jc w:val="center"/>
            </w:pPr>
            <w:r>
              <w:rPr>
                <w:b/>
                <w:bCs/>
                <w:i/>
                <w:iCs/>
                <w:color w:val="FFFFFF"/>
                <w:sz w:val="18"/>
                <w:szCs w:val="18"/>
              </w:rPr>
              <w:t>Destacado (81–100)</w:t>
            </w:r>
          </w:p>
        </w:tc>
      </w:tr>
      <w:tr w:rsidR="00990B14" w14:paraId="7D8BFFA1" w14:textId="77777777">
        <w:trPr>
          <w:cantSplit/>
          <w:jc w:val="center"/>
        </w:trPr>
        <w:tc>
          <w:tcPr>
            <w:tcW w:w="1780" w:type="dxa"/>
            <w:vMerge/>
            <w:shd w:val="clear" w:color="auto" w:fill="4472C4"/>
            <w:vAlign w:val="center"/>
          </w:tcPr>
          <w:p w14:paraId="11E195DC" w14:textId="77777777" w:rsidR="00990B14" w:rsidRDefault="00990B14">
            <w:pPr>
              <w:spacing w:before="20" w:after="20"/>
            </w:pPr>
          </w:p>
        </w:tc>
        <w:tc>
          <w:tcPr>
            <w:tcW w:w="1825" w:type="dxa"/>
            <w:shd w:val="clear" w:color="auto" w:fill="D9E2F3"/>
            <w:vAlign w:val="center"/>
          </w:tcPr>
          <w:p w14:paraId="163ED6E4" w14:textId="77777777" w:rsidR="00990B14" w:rsidRDefault="00000000">
            <w:pPr>
              <w:spacing w:before="20" w:after="20"/>
              <w:jc w:val="both"/>
            </w:pPr>
            <w:r>
              <w:rPr>
                <w:sz w:val="18"/>
                <w:szCs w:val="18"/>
              </w:rPr>
              <w:t>Presentación</w:t>
            </w:r>
          </w:p>
        </w:tc>
        <w:tc>
          <w:tcPr>
            <w:tcW w:w="1825" w:type="dxa"/>
            <w:shd w:val="clear" w:color="auto" w:fill="D9E2F3"/>
            <w:vAlign w:val="center"/>
          </w:tcPr>
          <w:p w14:paraId="03C6A4A0" w14:textId="77777777" w:rsidR="00990B14" w:rsidRDefault="00000000">
            <w:pPr>
              <w:spacing w:before="20" w:after="20"/>
              <w:jc w:val="both"/>
            </w:pPr>
            <w:r>
              <w:rPr>
                <w:sz w:val="18"/>
                <w:szCs w:val="18"/>
              </w:rPr>
              <w:t>No comprende y no redacta la planificación, ejecución e informe de Auditoría Ambiental Gubernamental.</w:t>
            </w:r>
          </w:p>
        </w:tc>
        <w:tc>
          <w:tcPr>
            <w:tcW w:w="2120" w:type="dxa"/>
            <w:shd w:val="clear" w:color="auto" w:fill="D9E2F3"/>
            <w:vAlign w:val="center"/>
          </w:tcPr>
          <w:p w14:paraId="76A63FA6" w14:textId="77777777" w:rsidR="00990B14" w:rsidRDefault="00000000">
            <w:pPr>
              <w:spacing w:before="20" w:after="20"/>
              <w:jc w:val="both"/>
            </w:pPr>
            <w:r>
              <w:rPr>
                <w:sz w:val="18"/>
                <w:szCs w:val="18"/>
              </w:rPr>
              <w:t>Elabora la planificación, ejecución e informe de auditoría ambiental gubernamental de forma limitada.</w:t>
            </w:r>
          </w:p>
        </w:tc>
        <w:tc>
          <w:tcPr>
            <w:tcW w:w="1855" w:type="dxa"/>
            <w:shd w:val="clear" w:color="auto" w:fill="D9E2F3"/>
            <w:vAlign w:val="center"/>
          </w:tcPr>
          <w:p w14:paraId="62E4C5FA" w14:textId="77777777" w:rsidR="00990B14" w:rsidRDefault="00000000">
            <w:pPr>
              <w:spacing w:before="20" w:after="20"/>
              <w:jc w:val="both"/>
            </w:pPr>
            <w:r>
              <w:rPr>
                <w:sz w:val="18"/>
                <w:szCs w:val="18"/>
              </w:rPr>
              <w:t>Planifica, ejecuta e informa con razonabilidad de la información suministrada de los informes de auditoría ambiental gubernamental de acuerdo a las normas vigentes.</w:t>
            </w:r>
          </w:p>
        </w:tc>
      </w:tr>
      <w:tr w:rsidR="00990B14" w14:paraId="5F9C9E79" w14:textId="77777777">
        <w:trPr>
          <w:cantSplit/>
          <w:jc w:val="center"/>
        </w:trPr>
        <w:tc>
          <w:tcPr>
            <w:tcW w:w="1780" w:type="dxa"/>
            <w:vMerge/>
            <w:shd w:val="clear" w:color="auto" w:fill="4472C4"/>
            <w:vAlign w:val="center"/>
          </w:tcPr>
          <w:p w14:paraId="7EDAAE55" w14:textId="77777777" w:rsidR="00990B14" w:rsidRDefault="00990B14">
            <w:pPr>
              <w:spacing w:before="20" w:after="20"/>
            </w:pPr>
          </w:p>
        </w:tc>
        <w:tc>
          <w:tcPr>
            <w:tcW w:w="1825" w:type="dxa"/>
            <w:shd w:val="clear" w:color="auto" w:fill="D9E2F3"/>
            <w:vAlign w:val="center"/>
          </w:tcPr>
          <w:p w14:paraId="265EF3FB" w14:textId="77777777" w:rsidR="00990B14" w:rsidRDefault="00000000">
            <w:pPr>
              <w:spacing w:before="20" w:after="20"/>
              <w:jc w:val="both"/>
            </w:pPr>
            <w:r>
              <w:rPr>
                <w:sz w:val="18"/>
                <w:szCs w:val="18"/>
              </w:rPr>
              <w:t>Norma</w:t>
            </w:r>
          </w:p>
        </w:tc>
        <w:tc>
          <w:tcPr>
            <w:tcW w:w="1825" w:type="dxa"/>
            <w:shd w:val="clear" w:color="auto" w:fill="D9E2F3"/>
            <w:vAlign w:val="center"/>
          </w:tcPr>
          <w:p w14:paraId="23C2BCD3" w14:textId="77777777" w:rsidR="00990B14" w:rsidRDefault="00000000">
            <w:pPr>
              <w:spacing w:before="20" w:after="20"/>
              <w:jc w:val="both"/>
            </w:pPr>
            <w:r>
              <w:rPr>
                <w:sz w:val="18"/>
                <w:szCs w:val="18"/>
              </w:rPr>
              <w:t>No distingue las normas aplicables.</w:t>
            </w:r>
          </w:p>
        </w:tc>
        <w:tc>
          <w:tcPr>
            <w:tcW w:w="2120" w:type="dxa"/>
            <w:shd w:val="clear" w:color="auto" w:fill="D9E2F3"/>
            <w:vAlign w:val="center"/>
          </w:tcPr>
          <w:p w14:paraId="00D2BFED" w14:textId="77777777" w:rsidR="00990B14" w:rsidRDefault="00000000">
            <w:pPr>
              <w:spacing w:before="20" w:after="20"/>
              <w:jc w:val="both"/>
            </w:pPr>
            <w:r>
              <w:rPr>
                <w:sz w:val="18"/>
                <w:szCs w:val="18"/>
              </w:rPr>
              <w:t>Distingue las normas aplicables.</w:t>
            </w:r>
          </w:p>
        </w:tc>
        <w:tc>
          <w:tcPr>
            <w:tcW w:w="1855" w:type="dxa"/>
            <w:shd w:val="clear" w:color="auto" w:fill="D9E2F3"/>
            <w:vAlign w:val="center"/>
          </w:tcPr>
          <w:p w14:paraId="30198F56" w14:textId="77777777" w:rsidR="00990B14" w:rsidRDefault="00000000">
            <w:pPr>
              <w:spacing w:before="20" w:after="20"/>
              <w:jc w:val="both"/>
            </w:pPr>
            <w:r>
              <w:rPr>
                <w:sz w:val="18"/>
                <w:szCs w:val="18"/>
              </w:rPr>
              <w:t>Explica sus conclusiones y emendaciones al usuario de acuerdo a normativa.</w:t>
            </w:r>
          </w:p>
        </w:tc>
      </w:tr>
      <w:tr w:rsidR="00990B14" w14:paraId="78AF6FD2" w14:textId="77777777">
        <w:trPr>
          <w:cantSplit/>
          <w:jc w:val="center"/>
        </w:trPr>
        <w:tc>
          <w:tcPr>
            <w:tcW w:w="1780" w:type="dxa"/>
            <w:vMerge/>
            <w:shd w:val="clear" w:color="auto" w:fill="4472C4"/>
            <w:vAlign w:val="center"/>
          </w:tcPr>
          <w:p w14:paraId="16787132" w14:textId="77777777" w:rsidR="00990B14" w:rsidRDefault="00990B14">
            <w:pPr>
              <w:spacing w:before="20" w:after="20"/>
            </w:pPr>
          </w:p>
        </w:tc>
        <w:tc>
          <w:tcPr>
            <w:tcW w:w="1825" w:type="dxa"/>
            <w:shd w:val="clear" w:color="auto" w:fill="D9E2F3"/>
            <w:vAlign w:val="center"/>
          </w:tcPr>
          <w:p w14:paraId="259B563F" w14:textId="77777777" w:rsidR="00990B14" w:rsidRDefault="00000000">
            <w:pPr>
              <w:spacing w:before="20" w:after="20"/>
              <w:jc w:val="both"/>
            </w:pPr>
            <w:r>
              <w:rPr>
                <w:sz w:val="18"/>
                <w:szCs w:val="18"/>
              </w:rPr>
              <w:t>Trabajo en equipo</w:t>
            </w:r>
          </w:p>
        </w:tc>
        <w:tc>
          <w:tcPr>
            <w:tcW w:w="1825" w:type="dxa"/>
            <w:shd w:val="clear" w:color="auto" w:fill="D9E2F3"/>
            <w:vAlign w:val="center"/>
          </w:tcPr>
          <w:p w14:paraId="53486283" w14:textId="77777777" w:rsidR="00990B14" w:rsidRDefault="00000000">
            <w:pPr>
              <w:spacing w:before="20" w:after="20"/>
              <w:jc w:val="both"/>
            </w:pPr>
            <w:r>
              <w:rPr>
                <w:sz w:val="18"/>
                <w:szCs w:val="18"/>
              </w:rPr>
              <w:t>La participación es desigual.</w:t>
            </w:r>
          </w:p>
        </w:tc>
        <w:tc>
          <w:tcPr>
            <w:tcW w:w="2120" w:type="dxa"/>
            <w:shd w:val="clear" w:color="auto" w:fill="D9E2F3"/>
            <w:vAlign w:val="center"/>
          </w:tcPr>
          <w:p w14:paraId="1AF81B33" w14:textId="77777777" w:rsidR="00990B14" w:rsidRDefault="00000000">
            <w:pPr>
              <w:spacing w:before="20" w:after="20"/>
              <w:jc w:val="both"/>
            </w:pPr>
            <w:r>
              <w:rPr>
                <w:sz w:val="18"/>
                <w:szCs w:val="18"/>
              </w:rPr>
              <w:t>Todos los integrantes participan.</w:t>
            </w:r>
          </w:p>
        </w:tc>
        <w:tc>
          <w:tcPr>
            <w:tcW w:w="1855" w:type="dxa"/>
            <w:shd w:val="clear" w:color="auto" w:fill="D9E2F3"/>
            <w:vAlign w:val="center"/>
          </w:tcPr>
          <w:p w14:paraId="3B3844AD" w14:textId="77777777" w:rsidR="00990B14" w:rsidRDefault="00000000">
            <w:pPr>
              <w:spacing w:before="20" w:after="20"/>
              <w:jc w:val="both"/>
            </w:pPr>
            <w:r>
              <w:rPr>
                <w:sz w:val="18"/>
                <w:szCs w:val="18"/>
              </w:rPr>
              <w:t>El equipo sustenta el cuadro con la norma.</w:t>
            </w:r>
          </w:p>
        </w:tc>
      </w:tr>
      <w:tr w:rsidR="00990B14" w14:paraId="1D2395A5" w14:textId="77777777">
        <w:trPr>
          <w:cantSplit/>
          <w:jc w:val="center"/>
        </w:trPr>
        <w:tc>
          <w:tcPr>
            <w:tcW w:w="1780" w:type="dxa"/>
            <w:vMerge/>
            <w:shd w:val="clear" w:color="auto" w:fill="4472C4"/>
            <w:vAlign w:val="center"/>
          </w:tcPr>
          <w:p w14:paraId="7D61B65C" w14:textId="77777777" w:rsidR="00990B14" w:rsidRDefault="00990B14">
            <w:pPr>
              <w:spacing w:before="20" w:after="20"/>
            </w:pPr>
          </w:p>
        </w:tc>
        <w:tc>
          <w:tcPr>
            <w:tcW w:w="5770" w:type="dxa"/>
            <w:gridSpan w:val="3"/>
            <w:shd w:val="clear" w:color="auto" w:fill="D9E2F3"/>
            <w:vAlign w:val="center"/>
          </w:tcPr>
          <w:p w14:paraId="289DD6FE" w14:textId="77777777" w:rsidR="00990B14" w:rsidRDefault="00000000">
            <w:pPr>
              <w:keepNext/>
              <w:spacing w:before="20" w:after="20"/>
              <w:jc w:val="both"/>
            </w:pPr>
            <w:r>
              <w:rPr>
                <w:b/>
                <w:bCs/>
                <w:i/>
                <w:iCs/>
                <w:sz w:val="18"/>
                <w:szCs w:val="18"/>
              </w:rPr>
              <w:t xml:space="preserve">Producto 11: </w:t>
            </w:r>
            <w:r>
              <w:rPr>
                <w:sz w:val="18"/>
                <w:szCs w:val="18"/>
              </w:rPr>
              <w:t>Esquema de los tipos de auditoría ambiental de acuerdo a la INTOSAI – ISSAI con su base normativa.</w:t>
            </w:r>
          </w:p>
        </w:tc>
        <w:tc>
          <w:tcPr>
            <w:tcW w:w="1855" w:type="dxa"/>
            <w:shd w:val="clear" w:color="auto" w:fill="D9E2F3"/>
            <w:vAlign w:val="center"/>
          </w:tcPr>
          <w:p w14:paraId="4A4D9395" w14:textId="77777777" w:rsidR="00990B14" w:rsidRDefault="00000000">
            <w:pPr>
              <w:spacing w:before="20" w:after="20"/>
              <w:jc w:val="center"/>
            </w:pPr>
            <w:r>
              <w:rPr>
                <w:b/>
                <w:bCs/>
                <w:sz w:val="18"/>
                <w:szCs w:val="18"/>
              </w:rPr>
              <w:t>9%</w:t>
            </w:r>
          </w:p>
        </w:tc>
      </w:tr>
      <w:tr w:rsidR="00990B14" w14:paraId="4C817642" w14:textId="77777777">
        <w:trPr>
          <w:cantSplit/>
          <w:jc w:val="center"/>
        </w:trPr>
        <w:tc>
          <w:tcPr>
            <w:tcW w:w="1780" w:type="dxa"/>
            <w:vMerge/>
            <w:shd w:val="clear" w:color="auto" w:fill="4472C4"/>
            <w:vAlign w:val="center"/>
          </w:tcPr>
          <w:p w14:paraId="79309E99" w14:textId="77777777" w:rsidR="00990B14" w:rsidRDefault="00990B14">
            <w:pPr>
              <w:spacing w:before="20" w:after="20"/>
            </w:pPr>
          </w:p>
        </w:tc>
        <w:tc>
          <w:tcPr>
            <w:tcW w:w="1825" w:type="dxa"/>
            <w:shd w:val="clear" w:color="auto" w:fill="4472C4"/>
            <w:vAlign w:val="center"/>
          </w:tcPr>
          <w:p w14:paraId="5941549B" w14:textId="77777777" w:rsidR="00990B14" w:rsidRDefault="00000000">
            <w:pPr>
              <w:keepNext/>
              <w:spacing w:before="20" w:after="20"/>
              <w:jc w:val="center"/>
            </w:pPr>
            <w:r>
              <w:rPr>
                <w:b/>
                <w:bCs/>
                <w:i/>
                <w:iCs/>
                <w:color w:val="FFFFFF"/>
                <w:sz w:val="18"/>
                <w:szCs w:val="18"/>
              </w:rPr>
              <w:t>Criterio</w:t>
            </w:r>
          </w:p>
        </w:tc>
        <w:tc>
          <w:tcPr>
            <w:tcW w:w="1825" w:type="dxa"/>
            <w:shd w:val="clear" w:color="auto" w:fill="4472C4"/>
            <w:vAlign w:val="center"/>
          </w:tcPr>
          <w:p w14:paraId="3A57B66B" w14:textId="77777777" w:rsidR="00990B14" w:rsidRDefault="00000000">
            <w:pPr>
              <w:keepNext/>
              <w:spacing w:before="20" w:after="20"/>
              <w:jc w:val="center"/>
            </w:pPr>
            <w:r>
              <w:rPr>
                <w:b/>
                <w:bCs/>
                <w:i/>
                <w:iCs/>
                <w:color w:val="FFFFFF"/>
                <w:sz w:val="18"/>
                <w:szCs w:val="18"/>
              </w:rPr>
              <w:t>Insuficiente (1–50)</w:t>
            </w:r>
          </w:p>
        </w:tc>
        <w:tc>
          <w:tcPr>
            <w:tcW w:w="2120" w:type="dxa"/>
            <w:shd w:val="clear" w:color="auto" w:fill="4472C4"/>
            <w:vAlign w:val="center"/>
          </w:tcPr>
          <w:p w14:paraId="51FE073A" w14:textId="77777777" w:rsidR="00990B14" w:rsidRDefault="00000000">
            <w:pPr>
              <w:keepNext/>
              <w:spacing w:before="20" w:after="20"/>
              <w:jc w:val="center"/>
            </w:pPr>
            <w:r>
              <w:rPr>
                <w:b/>
                <w:bCs/>
                <w:i/>
                <w:iCs/>
                <w:color w:val="FFFFFF"/>
                <w:sz w:val="18"/>
                <w:szCs w:val="18"/>
              </w:rPr>
              <w:t>Suficiente (51–80)</w:t>
            </w:r>
          </w:p>
        </w:tc>
        <w:tc>
          <w:tcPr>
            <w:tcW w:w="1855" w:type="dxa"/>
            <w:shd w:val="clear" w:color="auto" w:fill="4472C4"/>
            <w:vAlign w:val="center"/>
          </w:tcPr>
          <w:p w14:paraId="19682C8A" w14:textId="77777777" w:rsidR="00990B14" w:rsidRDefault="00000000">
            <w:pPr>
              <w:keepNext/>
              <w:spacing w:before="20" w:after="20"/>
              <w:jc w:val="center"/>
            </w:pPr>
            <w:r>
              <w:rPr>
                <w:b/>
                <w:bCs/>
                <w:i/>
                <w:iCs/>
                <w:color w:val="FFFFFF"/>
                <w:sz w:val="18"/>
                <w:szCs w:val="18"/>
              </w:rPr>
              <w:t>Destacado (81–100)</w:t>
            </w:r>
          </w:p>
        </w:tc>
      </w:tr>
      <w:tr w:rsidR="00990B14" w14:paraId="603ADF4B" w14:textId="77777777">
        <w:trPr>
          <w:cantSplit/>
          <w:jc w:val="center"/>
        </w:trPr>
        <w:tc>
          <w:tcPr>
            <w:tcW w:w="1780" w:type="dxa"/>
            <w:vMerge/>
            <w:shd w:val="clear" w:color="auto" w:fill="4472C4"/>
            <w:vAlign w:val="center"/>
          </w:tcPr>
          <w:p w14:paraId="1DA2B0CC" w14:textId="77777777" w:rsidR="00990B14" w:rsidRDefault="00990B14">
            <w:pPr>
              <w:spacing w:before="20" w:after="20"/>
            </w:pPr>
          </w:p>
        </w:tc>
        <w:tc>
          <w:tcPr>
            <w:tcW w:w="1825" w:type="dxa"/>
            <w:shd w:val="clear" w:color="auto" w:fill="D9E2F3"/>
            <w:vAlign w:val="center"/>
          </w:tcPr>
          <w:p w14:paraId="05654E64" w14:textId="77777777" w:rsidR="00990B14" w:rsidRDefault="00000000">
            <w:pPr>
              <w:spacing w:before="20" w:after="20"/>
              <w:jc w:val="both"/>
            </w:pPr>
            <w:r>
              <w:rPr>
                <w:sz w:val="18"/>
                <w:szCs w:val="18"/>
              </w:rPr>
              <w:t>Emisores</w:t>
            </w:r>
          </w:p>
        </w:tc>
        <w:tc>
          <w:tcPr>
            <w:tcW w:w="1825" w:type="dxa"/>
            <w:shd w:val="clear" w:color="auto" w:fill="D9E2F3"/>
            <w:vAlign w:val="center"/>
          </w:tcPr>
          <w:p w14:paraId="1A7D025C" w14:textId="77777777" w:rsidR="00990B14" w:rsidRDefault="00000000">
            <w:pPr>
              <w:spacing w:before="20" w:after="20"/>
              <w:jc w:val="both"/>
            </w:pPr>
            <w:r>
              <w:rPr>
                <w:sz w:val="18"/>
                <w:szCs w:val="18"/>
              </w:rPr>
              <w:t>Confunde los emisores de normas legales y técnicas.</w:t>
            </w:r>
          </w:p>
        </w:tc>
        <w:tc>
          <w:tcPr>
            <w:tcW w:w="2120" w:type="dxa"/>
            <w:shd w:val="clear" w:color="auto" w:fill="D9E2F3"/>
            <w:vAlign w:val="center"/>
          </w:tcPr>
          <w:p w14:paraId="48D04775" w14:textId="77777777" w:rsidR="00990B14" w:rsidRDefault="00000000">
            <w:pPr>
              <w:spacing w:before="20" w:after="20"/>
              <w:jc w:val="both"/>
            </w:pPr>
            <w:r>
              <w:rPr>
                <w:sz w:val="18"/>
                <w:szCs w:val="18"/>
              </w:rPr>
              <w:t>Identifica el emisor y el alcance de cada marco.</w:t>
            </w:r>
          </w:p>
        </w:tc>
        <w:tc>
          <w:tcPr>
            <w:tcW w:w="1855" w:type="dxa"/>
            <w:shd w:val="clear" w:color="auto" w:fill="D9E2F3"/>
            <w:vAlign w:val="center"/>
          </w:tcPr>
          <w:p w14:paraId="79522AA4" w14:textId="77777777" w:rsidR="00990B14" w:rsidRDefault="00000000">
            <w:pPr>
              <w:spacing w:before="20" w:after="20"/>
              <w:jc w:val="both"/>
            </w:pPr>
            <w:r>
              <w:rPr>
                <w:sz w:val="18"/>
                <w:szCs w:val="18"/>
              </w:rPr>
              <w:t>Explica la consolidación de emisores en las normas para auditorías ambientales</w:t>
            </w:r>
          </w:p>
        </w:tc>
      </w:tr>
      <w:tr w:rsidR="00990B14" w14:paraId="5E8AAC18" w14:textId="77777777">
        <w:trPr>
          <w:cantSplit/>
          <w:jc w:val="center"/>
        </w:trPr>
        <w:tc>
          <w:tcPr>
            <w:tcW w:w="1780" w:type="dxa"/>
            <w:vMerge/>
            <w:shd w:val="clear" w:color="auto" w:fill="4472C4"/>
            <w:vAlign w:val="center"/>
          </w:tcPr>
          <w:p w14:paraId="4D953B0E" w14:textId="77777777" w:rsidR="00990B14" w:rsidRDefault="00990B14">
            <w:pPr>
              <w:spacing w:before="20" w:after="20"/>
            </w:pPr>
          </w:p>
        </w:tc>
        <w:tc>
          <w:tcPr>
            <w:tcW w:w="1825" w:type="dxa"/>
            <w:shd w:val="clear" w:color="auto" w:fill="D9E2F3"/>
            <w:vAlign w:val="center"/>
          </w:tcPr>
          <w:p w14:paraId="710756C2" w14:textId="77777777" w:rsidR="00990B14" w:rsidRDefault="00000000">
            <w:pPr>
              <w:spacing w:before="20" w:after="20"/>
              <w:jc w:val="both"/>
            </w:pPr>
            <w:r>
              <w:rPr>
                <w:sz w:val="18"/>
                <w:szCs w:val="18"/>
              </w:rPr>
              <w:t>Materialidad</w:t>
            </w:r>
          </w:p>
        </w:tc>
        <w:tc>
          <w:tcPr>
            <w:tcW w:w="1825" w:type="dxa"/>
            <w:shd w:val="clear" w:color="auto" w:fill="D9E2F3"/>
            <w:vAlign w:val="center"/>
          </w:tcPr>
          <w:p w14:paraId="4198460A" w14:textId="77777777" w:rsidR="00990B14" w:rsidRDefault="00000000">
            <w:pPr>
              <w:spacing w:before="20" w:after="20"/>
              <w:jc w:val="both"/>
            </w:pPr>
            <w:r>
              <w:rPr>
                <w:sz w:val="18"/>
                <w:szCs w:val="18"/>
              </w:rPr>
              <w:t>No distingue los enfoques.</w:t>
            </w:r>
          </w:p>
        </w:tc>
        <w:tc>
          <w:tcPr>
            <w:tcW w:w="2120" w:type="dxa"/>
            <w:shd w:val="clear" w:color="auto" w:fill="D9E2F3"/>
            <w:vAlign w:val="center"/>
          </w:tcPr>
          <w:p w14:paraId="09C3C753" w14:textId="77777777" w:rsidR="00990B14" w:rsidRDefault="00000000">
            <w:pPr>
              <w:spacing w:before="20" w:after="20"/>
              <w:jc w:val="both"/>
            </w:pPr>
            <w:r>
              <w:rPr>
                <w:sz w:val="18"/>
                <w:szCs w:val="18"/>
              </w:rPr>
              <w:t>Distingue la materialidad, hallazgos y recomendaciones ambientales.</w:t>
            </w:r>
          </w:p>
        </w:tc>
        <w:tc>
          <w:tcPr>
            <w:tcW w:w="1855" w:type="dxa"/>
            <w:shd w:val="clear" w:color="auto" w:fill="D9E2F3"/>
            <w:vAlign w:val="center"/>
          </w:tcPr>
          <w:p w14:paraId="36C27EE3" w14:textId="77777777" w:rsidR="00990B14" w:rsidRDefault="00000000">
            <w:pPr>
              <w:spacing w:before="20" w:after="20"/>
              <w:jc w:val="both"/>
            </w:pPr>
            <w:r>
              <w:rPr>
                <w:sz w:val="18"/>
                <w:szCs w:val="18"/>
              </w:rPr>
              <w:t>Evalúa la materialidad bajo enfoque de la Auditoría Ambiental y sus normas aplicables.</w:t>
            </w:r>
          </w:p>
        </w:tc>
      </w:tr>
      <w:tr w:rsidR="00990B14" w14:paraId="11D083EE" w14:textId="77777777">
        <w:trPr>
          <w:cantSplit/>
          <w:jc w:val="center"/>
        </w:trPr>
        <w:tc>
          <w:tcPr>
            <w:tcW w:w="1780" w:type="dxa"/>
            <w:vMerge/>
            <w:shd w:val="clear" w:color="auto" w:fill="4472C4"/>
            <w:vAlign w:val="center"/>
          </w:tcPr>
          <w:p w14:paraId="08F90890" w14:textId="77777777" w:rsidR="00990B14" w:rsidRDefault="00990B14">
            <w:pPr>
              <w:spacing w:before="20" w:after="20"/>
            </w:pPr>
          </w:p>
        </w:tc>
        <w:tc>
          <w:tcPr>
            <w:tcW w:w="1825" w:type="dxa"/>
            <w:shd w:val="clear" w:color="auto" w:fill="D9E2F3"/>
            <w:vAlign w:val="center"/>
          </w:tcPr>
          <w:p w14:paraId="54CA28BE" w14:textId="77777777" w:rsidR="00990B14" w:rsidRDefault="00000000">
            <w:pPr>
              <w:spacing w:before="20" w:after="20"/>
              <w:jc w:val="both"/>
            </w:pPr>
            <w:r>
              <w:rPr>
                <w:sz w:val="18"/>
                <w:szCs w:val="18"/>
              </w:rPr>
              <w:t>Presentación</w:t>
            </w:r>
          </w:p>
        </w:tc>
        <w:tc>
          <w:tcPr>
            <w:tcW w:w="1825" w:type="dxa"/>
            <w:shd w:val="clear" w:color="auto" w:fill="D9E2F3"/>
            <w:vAlign w:val="center"/>
          </w:tcPr>
          <w:p w14:paraId="6A89F636" w14:textId="77777777" w:rsidR="00990B14" w:rsidRDefault="00000000">
            <w:pPr>
              <w:spacing w:before="20" w:after="20"/>
              <w:jc w:val="both"/>
            </w:pPr>
            <w:r>
              <w:rPr>
                <w:sz w:val="18"/>
                <w:szCs w:val="18"/>
              </w:rPr>
              <w:t>El cuadro es confuso.</w:t>
            </w:r>
          </w:p>
        </w:tc>
        <w:tc>
          <w:tcPr>
            <w:tcW w:w="2120" w:type="dxa"/>
            <w:shd w:val="clear" w:color="auto" w:fill="D9E2F3"/>
            <w:vAlign w:val="center"/>
          </w:tcPr>
          <w:p w14:paraId="49B752C1" w14:textId="77777777" w:rsidR="00990B14" w:rsidRDefault="00000000">
            <w:pPr>
              <w:spacing w:before="20" w:after="20"/>
              <w:jc w:val="both"/>
            </w:pPr>
            <w:r>
              <w:rPr>
                <w:sz w:val="18"/>
                <w:szCs w:val="18"/>
              </w:rPr>
              <w:t>El cuadro es claro.</w:t>
            </w:r>
          </w:p>
        </w:tc>
        <w:tc>
          <w:tcPr>
            <w:tcW w:w="1855" w:type="dxa"/>
            <w:shd w:val="clear" w:color="auto" w:fill="D9E2F3"/>
            <w:vAlign w:val="center"/>
          </w:tcPr>
          <w:p w14:paraId="18EE877D" w14:textId="77777777" w:rsidR="00990B14" w:rsidRDefault="00000000">
            <w:pPr>
              <w:spacing w:before="20" w:after="20"/>
              <w:jc w:val="both"/>
            </w:pPr>
            <w:r>
              <w:rPr>
                <w:sz w:val="18"/>
                <w:szCs w:val="18"/>
              </w:rPr>
              <w:t>El cuadro cita las fuentes oficiales.</w:t>
            </w:r>
          </w:p>
        </w:tc>
      </w:tr>
      <w:tr w:rsidR="00990B14" w14:paraId="7AA2E177" w14:textId="77777777">
        <w:trPr>
          <w:cantSplit/>
          <w:jc w:val="center"/>
        </w:trPr>
        <w:tc>
          <w:tcPr>
            <w:tcW w:w="1780" w:type="dxa"/>
            <w:vMerge/>
            <w:shd w:val="clear" w:color="auto" w:fill="4472C4"/>
            <w:vAlign w:val="center"/>
          </w:tcPr>
          <w:p w14:paraId="0761F9D0" w14:textId="77777777" w:rsidR="00990B14" w:rsidRDefault="00990B14">
            <w:pPr>
              <w:spacing w:before="20" w:after="20"/>
            </w:pPr>
          </w:p>
        </w:tc>
        <w:tc>
          <w:tcPr>
            <w:tcW w:w="5770" w:type="dxa"/>
            <w:gridSpan w:val="3"/>
            <w:shd w:val="clear" w:color="auto" w:fill="D9E2F3"/>
            <w:vAlign w:val="center"/>
          </w:tcPr>
          <w:p w14:paraId="54B94474" w14:textId="77777777" w:rsidR="00990B14" w:rsidRDefault="00000000">
            <w:pPr>
              <w:keepNext/>
              <w:spacing w:before="20" w:after="20"/>
              <w:jc w:val="both"/>
            </w:pPr>
            <w:r>
              <w:rPr>
                <w:b/>
                <w:bCs/>
                <w:i/>
                <w:iCs/>
                <w:sz w:val="18"/>
                <w:szCs w:val="18"/>
              </w:rPr>
              <w:t xml:space="preserve">Producto 12: </w:t>
            </w:r>
            <w:r>
              <w:rPr>
                <w:sz w:val="18"/>
                <w:szCs w:val="18"/>
              </w:rPr>
              <w:t>Planificación, ejecución e informe de la auditoría ambiental según metodología de las EFS e INTOSAI-ISSAI con su objeto, alcance y programas de trabajo.</w:t>
            </w:r>
          </w:p>
        </w:tc>
        <w:tc>
          <w:tcPr>
            <w:tcW w:w="1855" w:type="dxa"/>
            <w:shd w:val="clear" w:color="auto" w:fill="D9E2F3"/>
            <w:vAlign w:val="center"/>
          </w:tcPr>
          <w:p w14:paraId="6283F034" w14:textId="77777777" w:rsidR="00990B14" w:rsidRDefault="00000000">
            <w:pPr>
              <w:spacing w:before="20" w:after="20"/>
              <w:jc w:val="center"/>
            </w:pPr>
            <w:r>
              <w:rPr>
                <w:b/>
                <w:bCs/>
                <w:sz w:val="18"/>
                <w:szCs w:val="18"/>
              </w:rPr>
              <w:t>8%</w:t>
            </w:r>
          </w:p>
        </w:tc>
      </w:tr>
      <w:tr w:rsidR="00990B14" w14:paraId="140D2C8D" w14:textId="77777777">
        <w:trPr>
          <w:cantSplit/>
          <w:jc w:val="center"/>
        </w:trPr>
        <w:tc>
          <w:tcPr>
            <w:tcW w:w="1780" w:type="dxa"/>
            <w:vMerge/>
            <w:shd w:val="clear" w:color="auto" w:fill="4472C4"/>
            <w:vAlign w:val="center"/>
          </w:tcPr>
          <w:p w14:paraId="55B0859E" w14:textId="77777777" w:rsidR="00990B14" w:rsidRDefault="00990B14">
            <w:pPr>
              <w:spacing w:before="20" w:after="20"/>
            </w:pPr>
          </w:p>
        </w:tc>
        <w:tc>
          <w:tcPr>
            <w:tcW w:w="1825" w:type="dxa"/>
            <w:shd w:val="clear" w:color="auto" w:fill="4472C4"/>
            <w:vAlign w:val="center"/>
          </w:tcPr>
          <w:p w14:paraId="7002F41C" w14:textId="77777777" w:rsidR="00990B14" w:rsidRDefault="00000000">
            <w:pPr>
              <w:keepNext/>
              <w:spacing w:before="20" w:after="20"/>
              <w:jc w:val="center"/>
            </w:pPr>
            <w:r>
              <w:rPr>
                <w:b/>
                <w:bCs/>
                <w:i/>
                <w:iCs/>
                <w:color w:val="FFFFFF"/>
                <w:sz w:val="18"/>
                <w:szCs w:val="18"/>
              </w:rPr>
              <w:t>Criterio</w:t>
            </w:r>
          </w:p>
        </w:tc>
        <w:tc>
          <w:tcPr>
            <w:tcW w:w="1825" w:type="dxa"/>
            <w:shd w:val="clear" w:color="auto" w:fill="4472C4"/>
            <w:vAlign w:val="center"/>
          </w:tcPr>
          <w:p w14:paraId="3C5BBDB9" w14:textId="77777777" w:rsidR="00990B14" w:rsidRDefault="00000000">
            <w:pPr>
              <w:keepNext/>
              <w:spacing w:before="20" w:after="20"/>
              <w:jc w:val="center"/>
            </w:pPr>
            <w:r>
              <w:rPr>
                <w:b/>
                <w:bCs/>
                <w:i/>
                <w:iCs/>
                <w:color w:val="FFFFFF"/>
                <w:sz w:val="18"/>
                <w:szCs w:val="18"/>
              </w:rPr>
              <w:t>Insuficiente (1–50)</w:t>
            </w:r>
          </w:p>
        </w:tc>
        <w:tc>
          <w:tcPr>
            <w:tcW w:w="2120" w:type="dxa"/>
            <w:shd w:val="clear" w:color="auto" w:fill="4472C4"/>
            <w:vAlign w:val="center"/>
          </w:tcPr>
          <w:p w14:paraId="268A3D3F" w14:textId="77777777" w:rsidR="00990B14" w:rsidRDefault="00000000">
            <w:pPr>
              <w:keepNext/>
              <w:spacing w:before="20" w:after="20"/>
              <w:jc w:val="center"/>
            </w:pPr>
            <w:r>
              <w:rPr>
                <w:b/>
                <w:bCs/>
                <w:i/>
                <w:iCs/>
                <w:color w:val="FFFFFF"/>
                <w:sz w:val="18"/>
                <w:szCs w:val="18"/>
              </w:rPr>
              <w:t>Suficiente (51–80)</w:t>
            </w:r>
          </w:p>
        </w:tc>
        <w:tc>
          <w:tcPr>
            <w:tcW w:w="1855" w:type="dxa"/>
            <w:shd w:val="clear" w:color="auto" w:fill="4472C4"/>
            <w:vAlign w:val="center"/>
          </w:tcPr>
          <w:p w14:paraId="205C67F7" w14:textId="77777777" w:rsidR="00990B14" w:rsidRDefault="00000000">
            <w:pPr>
              <w:keepNext/>
              <w:spacing w:before="20" w:after="20"/>
              <w:jc w:val="center"/>
            </w:pPr>
            <w:r>
              <w:rPr>
                <w:b/>
                <w:bCs/>
                <w:i/>
                <w:iCs/>
                <w:color w:val="FFFFFF"/>
                <w:sz w:val="18"/>
                <w:szCs w:val="18"/>
              </w:rPr>
              <w:t>Destacado (81–100)</w:t>
            </w:r>
          </w:p>
        </w:tc>
      </w:tr>
      <w:tr w:rsidR="00990B14" w14:paraId="27A1E49C" w14:textId="77777777">
        <w:trPr>
          <w:cantSplit/>
          <w:jc w:val="center"/>
        </w:trPr>
        <w:tc>
          <w:tcPr>
            <w:tcW w:w="1780" w:type="dxa"/>
            <w:vMerge/>
            <w:shd w:val="clear" w:color="auto" w:fill="4472C4"/>
            <w:vAlign w:val="center"/>
          </w:tcPr>
          <w:p w14:paraId="5872CB14" w14:textId="77777777" w:rsidR="00990B14" w:rsidRDefault="00990B14">
            <w:pPr>
              <w:spacing w:before="20" w:after="20"/>
            </w:pPr>
          </w:p>
        </w:tc>
        <w:tc>
          <w:tcPr>
            <w:tcW w:w="1825" w:type="dxa"/>
            <w:shd w:val="clear" w:color="auto" w:fill="D9E2F3"/>
            <w:vAlign w:val="center"/>
          </w:tcPr>
          <w:p w14:paraId="46E59E66" w14:textId="77777777" w:rsidR="00990B14" w:rsidRDefault="00000000">
            <w:pPr>
              <w:spacing w:before="20" w:after="20"/>
              <w:jc w:val="both"/>
            </w:pPr>
            <w:r>
              <w:rPr>
                <w:sz w:val="18"/>
                <w:szCs w:val="18"/>
              </w:rPr>
              <w:t>Presentación</w:t>
            </w:r>
          </w:p>
        </w:tc>
        <w:tc>
          <w:tcPr>
            <w:tcW w:w="1825" w:type="dxa"/>
            <w:shd w:val="clear" w:color="auto" w:fill="D9E2F3"/>
            <w:vAlign w:val="center"/>
          </w:tcPr>
          <w:p w14:paraId="71FA8A9D" w14:textId="77777777" w:rsidR="00990B14" w:rsidRDefault="00000000">
            <w:pPr>
              <w:spacing w:before="20" w:after="20"/>
              <w:jc w:val="both"/>
            </w:pPr>
            <w:r>
              <w:rPr>
                <w:sz w:val="18"/>
                <w:szCs w:val="18"/>
              </w:rPr>
              <w:t>No comprende y no redacta el Informe de Auditoría Ambiental según metodología de las EFS e INTOSAI-ISSAI.</w:t>
            </w:r>
          </w:p>
        </w:tc>
        <w:tc>
          <w:tcPr>
            <w:tcW w:w="2120" w:type="dxa"/>
            <w:shd w:val="clear" w:color="auto" w:fill="D9E2F3"/>
            <w:vAlign w:val="center"/>
          </w:tcPr>
          <w:p w14:paraId="33A4A7E4" w14:textId="77777777" w:rsidR="00990B14" w:rsidRDefault="00000000">
            <w:pPr>
              <w:spacing w:before="20" w:after="20"/>
              <w:jc w:val="both"/>
            </w:pPr>
            <w:r>
              <w:rPr>
                <w:sz w:val="18"/>
                <w:szCs w:val="18"/>
              </w:rPr>
              <w:t>Elabora el Informe de Auditoría Ambiental de forma limitada.</w:t>
            </w:r>
          </w:p>
        </w:tc>
        <w:tc>
          <w:tcPr>
            <w:tcW w:w="1855" w:type="dxa"/>
            <w:shd w:val="clear" w:color="auto" w:fill="D9E2F3"/>
            <w:vAlign w:val="center"/>
          </w:tcPr>
          <w:p w14:paraId="4EC99D3C" w14:textId="77777777" w:rsidR="00990B14" w:rsidRDefault="00000000">
            <w:pPr>
              <w:spacing w:before="20" w:after="20"/>
              <w:jc w:val="both"/>
            </w:pPr>
            <w:r>
              <w:rPr>
                <w:sz w:val="18"/>
                <w:szCs w:val="18"/>
              </w:rPr>
              <w:t>Opinar con razonabilidad de la información suministrada de los informes de auditoría ambiental según metodología de las EFS e INTOSAI-ISSAI.</w:t>
            </w:r>
          </w:p>
        </w:tc>
      </w:tr>
      <w:tr w:rsidR="00990B14" w14:paraId="2521305A" w14:textId="77777777">
        <w:trPr>
          <w:cantSplit/>
          <w:jc w:val="center"/>
        </w:trPr>
        <w:tc>
          <w:tcPr>
            <w:tcW w:w="1780" w:type="dxa"/>
            <w:vMerge/>
            <w:shd w:val="clear" w:color="auto" w:fill="4472C4"/>
            <w:vAlign w:val="center"/>
          </w:tcPr>
          <w:p w14:paraId="08CBF809" w14:textId="77777777" w:rsidR="00990B14" w:rsidRDefault="00990B14">
            <w:pPr>
              <w:spacing w:before="20" w:after="20"/>
            </w:pPr>
          </w:p>
        </w:tc>
        <w:tc>
          <w:tcPr>
            <w:tcW w:w="1825" w:type="dxa"/>
            <w:shd w:val="clear" w:color="auto" w:fill="D9E2F3"/>
            <w:vAlign w:val="center"/>
          </w:tcPr>
          <w:p w14:paraId="13F73010" w14:textId="77777777" w:rsidR="00990B14" w:rsidRDefault="00000000">
            <w:pPr>
              <w:spacing w:before="20" w:after="20"/>
              <w:jc w:val="both"/>
            </w:pPr>
            <w:r>
              <w:rPr>
                <w:sz w:val="18"/>
                <w:szCs w:val="18"/>
              </w:rPr>
              <w:t>Conclusión</w:t>
            </w:r>
          </w:p>
        </w:tc>
        <w:tc>
          <w:tcPr>
            <w:tcW w:w="1825" w:type="dxa"/>
            <w:shd w:val="clear" w:color="auto" w:fill="D9E2F3"/>
            <w:vAlign w:val="center"/>
          </w:tcPr>
          <w:p w14:paraId="0CFB9189" w14:textId="77777777" w:rsidR="00990B14" w:rsidRDefault="00000000">
            <w:pPr>
              <w:spacing w:before="20" w:after="20"/>
              <w:jc w:val="both"/>
            </w:pPr>
            <w:r>
              <w:rPr>
                <w:sz w:val="18"/>
                <w:szCs w:val="18"/>
              </w:rPr>
              <w:t>No distingue la redacción.</w:t>
            </w:r>
          </w:p>
        </w:tc>
        <w:tc>
          <w:tcPr>
            <w:tcW w:w="2120" w:type="dxa"/>
            <w:shd w:val="clear" w:color="auto" w:fill="D9E2F3"/>
            <w:vAlign w:val="center"/>
          </w:tcPr>
          <w:p w14:paraId="2A0ADF55" w14:textId="77777777" w:rsidR="00990B14" w:rsidRDefault="00000000">
            <w:pPr>
              <w:spacing w:before="20" w:after="20"/>
              <w:jc w:val="both"/>
            </w:pPr>
            <w:r>
              <w:rPr>
                <w:sz w:val="18"/>
                <w:szCs w:val="18"/>
              </w:rPr>
              <w:t>Distingue la redacción de cada conclusión.</w:t>
            </w:r>
          </w:p>
        </w:tc>
        <w:tc>
          <w:tcPr>
            <w:tcW w:w="1855" w:type="dxa"/>
            <w:shd w:val="clear" w:color="auto" w:fill="D9E2F3"/>
            <w:vAlign w:val="center"/>
          </w:tcPr>
          <w:p w14:paraId="7E2679F2" w14:textId="77777777" w:rsidR="00990B14" w:rsidRDefault="00000000">
            <w:pPr>
              <w:spacing w:before="20" w:after="20"/>
              <w:jc w:val="both"/>
            </w:pPr>
            <w:r>
              <w:rPr>
                <w:sz w:val="18"/>
                <w:szCs w:val="18"/>
              </w:rPr>
              <w:t>Explica el efecto en la confianza del usuario.</w:t>
            </w:r>
          </w:p>
        </w:tc>
      </w:tr>
      <w:tr w:rsidR="00990B14" w14:paraId="2F60AFEB" w14:textId="77777777">
        <w:trPr>
          <w:cantSplit/>
          <w:jc w:val="center"/>
        </w:trPr>
        <w:tc>
          <w:tcPr>
            <w:tcW w:w="1780" w:type="dxa"/>
            <w:vMerge/>
            <w:shd w:val="clear" w:color="auto" w:fill="4472C4"/>
            <w:vAlign w:val="center"/>
          </w:tcPr>
          <w:p w14:paraId="0548B4DB" w14:textId="77777777" w:rsidR="00990B14" w:rsidRDefault="00990B14">
            <w:pPr>
              <w:spacing w:before="20" w:after="20"/>
            </w:pPr>
          </w:p>
        </w:tc>
        <w:tc>
          <w:tcPr>
            <w:tcW w:w="1825" w:type="dxa"/>
            <w:shd w:val="clear" w:color="auto" w:fill="D9E2F3"/>
            <w:vAlign w:val="center"/>
          </w:tcPr>
          <w:p w14:paraId="514EE5F6" w14:textId="77777777" w:rsidR="00990B14" w:rsidRDefault="00000000">
            <w:pPr>
              <w:spacing w:before="20" w:after="20"/>
              <w:jc w:val="both"/>
            </w:pPr>
            <w:r>
              <w:rPr>
                <w:sz w:val="18"/>
                <w:szCs w:val="18"/>
              </w:rPr>
              <w:t>Trabajo en equipo</w:t>
            </w:r>
          </w:p>
        </w:tc>
        <w:tc>
          <w:tcPr>
            <w:tcW w:w="1825" w:type="dxa"/>
            <w:shd w:val="clear" w:color="auto" w:fill="D9E2F3"/>
            <w:vAlign w:val="center"/>
          </w:tcPr>
          <w:p w14:paraId="5AD8F53E" w14:textId="77777777" w:rsidR="00990B14" w:rsidRDefault="00000000">
            <w:pPr>
              <w:spacing w:before="20" w:after="20"/>
              <w:jc w:val="both"/>
            </w:pPr>
            <w:r>
              <w:rPr>
                <w:sz w:val="18"/>
                <w:szCs w:val="18"/>
              </w:rPr>
              <w:t>La participación es desigual.</w:t>
            </w:r>
          </w:p>
        </w:tc>
        <w:tc>
          <w:tcPr>
            <w:tcW w:w="2120" w:type="dxa"/>
            <w:shd w:val="clear" w:color="auto" w:fill="D9E2F3"/>
            <w:vAlign w:val="center"/>
          </w:tcPr>
          <w:p w14:paraId="5045346C" w14:textId="77777777" w:rsidR="00990B14" w:rsidRDefault="00000000">
            <w:pPr>
              <w:spacing w:before="20" w:after="20"/>
              <w:jc w:val="both"/>
            </w:pPr>
            <w:r>
              <w:rPr>
                <w:sz w:val="18"/>
                <w:szCs w:val="18"/>
              </w:rPr>
              <w:t>Todos los integrantes participan.</w:t>
            </w:r>
          </w:p>
        </w:tc>
        <w:tc>
          <w:tcPr>
            <w:tcW w:w="1855" w:type="dxa"/>
            <w:shd w:val="clear" w:color="auto" w:fill="D9E2F3"/>
            <w:vAlign w:val="center"/>
          </w:tcPr>
          <w:p w14:paraId="09F8F877" w14:textId="77777777" w:rsidR="00990B14" w:rsidRDefault="00000000">
            <w:pPr>
              <w:spacing w:before="20" w:after="20"/>
              <w:jc w:val="both"/>
            </w:pPr>
            <w:r>
              <w:rPr>
                <w:sz w:val="18"/>
                <w:szCs w:val="18"/>
              </w:rPr>
              <w:t>El equipo sustenta el cuadro con la norma.</w:t>
            </w:r>
          </w:p>
        </w:tc>
      </w:tr>
      <w:tr w:rsidR="00990B14" w14:paraId="4F50604C" w14:textId="77777777">
        <w:trPr>
          <w:cantSplit/>
          <w:jc w:val="center"/>
        </w:trPr>
        <w:tc>
          <w:tcPr>
            <w:tcW w:w="7550" w:type="dxa"/>
            <w:gridSpan w:val="4"/>
            <w:shd w:val="clear" w:color="auto" w:fill="4472C4"/>
            <w:vAlign w:val="center"/>
          </w:tcPr>
          <w:p w14:paraId="2B49972D" w14:textId="77777777" w:rsidR="00990B14" w:rsidRDefault="00000000">
            <w:pPr>
              <w:keepNext/>
              <w:spacing w:before="20" w:after="20"/>
              <w:jc w:val="center"/>
            </w:pPr>
            <w:r>
              <w:rPr>
                <w:b/>
                <w:bCs/>
                <w:i/>
                <w:iCs/>
                <w:color w:val="FFFFFF"/>
                <w:sz w:val="18"/>
                <w:szCs w:val="18"/>
              </w:rPr>
              <w:t>TOTAL</w:t>
            </w:r>
          </w:p>
        </w:tc>
        <w:tc>
          <w:tcPr>
            <w:tcW w:w="1855" w:type="dxa"/>
            <w:shd w:val="clear" w:color="auto" w:fill="4472C4"/>
            <w:vAlign w:val="center"/>
          </w:tcPr>
          <w:p w14:paraId="413953CB" w14:textId="77777777" w:rsidR="00990B14" w:rsidRDefault="00000000">
            <w:pPr>
              <w:keepNext/>
              <w:spacing w:before="20" w:after="20"/>
              <w:jc w:val="center"/>
            </w:pPr>
            <w:r>
              <w:rPr>
                <w:b/>
                <w:bCs/>
                <w:i/>
                <w:iCs/>
                <w:color w:val="FFFFFF"/>
                <w:sz w:val="18"/>
                <w:szCs w:val="18"/>
              </w:rPr>
              <w:t>100%</w:t>
            </w:r>
          </w:p>
        </w:tc>
      </w:tr>
    </w:tbl>
    <w:p w14:paraId="598B1D5F"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9405"/>
      </w:tblGrid>
      <w:tr w:rsidR="00990B14" w14:paraId="0B9291AC" w14:textId="77777777">
        <w:trPr>
          <w:jc w:val="center"/>
        </w:trPr>
        <w:tc>
          <w:tcPr>
            <w:tcW w:w="9405" w:type="dxa"/>
            <w:shd w:val="clear" w:color="auto" w:fill="D9E2F3"/>
          </w:tcPr>
          <w:p w14:paraId="48F2B694" w14:textId="77777777" w:rsidR="00990B14" w:rsidRDefault="00000000">
            <w:pPr>
              <w:spacing w:before="40" w:after="40"/>
              <w:jc w:val="both"/>
            </w:pPr>
            <w:r>
              <w:rPr>
                <w:b/>
                <w:bCs/>
                <w:i/>
                <w:iCs/>
                <w:sz w:val="18"/>
                <w:szCs w:val="18"/>
              </w:rPr>
              <w:t>Bibliografía básica:</w:t>
            </w:r>
          </w:p>
          <w:p w14:paraId="22532947" w14:textId="77777777" w:rsidR="00990B14" w:rsidRDefault="00000000">
            <w:pPr>
              <w:numPr>
                <w:ilvl w:val="0"/>
                <w:numId w:val="140"/>
              </w:numPr>
              <w:spacing w:after="20"/>
              <w:jc w:val="both"/>
            </w:pPr>
            <w:r>
              <w:rPr>
                <w:sz w:val="18"/>
                <w:szCs w:val="18"/>
              </w:rPr>
              <w:t>Auditorías ambientales como instrumento de control de la calidad ambiental conforme a los Decretos Supremos N.º 24176 y N.º 28499.</w:t>
            </w:r>
          </w:p>
          <w:p w14:paraId="6B6356A4" w14:textId="77777777" w:rsidR="00990B14" w:rsidRDefault="00000000">
            <w:pPr>
              <w:numPr>
                <w:ilvl w:val="0"/>
                <w:numId w:val="140"/>
              </w:numPr>
              <w:spacing w:after="20"/>
              <w:jc w:val="both"/>
            </w:pPr>
            <w:r>
              <w:rPr>
                <w:sz w:val="18"/>
                <w:szCs w:val="18"/>
              </w:rPr>
              <w:t>Consejo de Normas de Contabilidad de la Sostenibilidad, SASB (2022). Marco de Información Integrada de la Fundación de Informes de Valor y los informes basados en la industria como los estándares SASB. Versión 2018-10.</w:t>
            </w:r>
          </w:p>
          <w:p w14:paraId="5CFFC737" w14:textId="77777777" w:rsidR="00990B14" w:rsidRDefault="00000000">
            <w:pPr>
              <w:numPr>
                <w:ilvl w:val="0"/>
                <w:numId w:val="140"/>
              </w:numPr>
              <w:spacing w:after="20"/>
              <w:jc w:val="both"/>
            </w:pPr>
            <w:r>
              <w:rPr>
                <w:sz w:val="18"/>
                <w:szCs w:val="18"/>
              </w:rPr>
              <w:t>Consejo de Normas Internacionales de Ética para Contadores, IESBA (2024). Normas Internacionales de Ética para el Aseguramiento de la Sostenibilidad. Nueva York.</w:t>
            </w:r>
          </w:p>
          <w:p w14:paraId="5B8A69B6" w14:textId="77777777" w:rsidR="00990B14" w:rsidRDefault="00000000">
            <w:pPr>
              <w:numPr>
                <w:ilvl w:val="0"/>
                <w:numId w:val="140"/>
              </w:numPr>
              <w:spacing w:after="20"/>
              <w:jc w:val="both"/>
            </w:pPr>
            <w:r>
              <w:rPr>
                <w:sz w:val="18"/>
                <w:szCs w:val="18"/>
              </w:rPr>
              <w:t>Constitución Política del Estado, 2009.</w:t>
            </w:r>
          </w:p>
          <w:p w14:paraId="68065810" w14:textId="77777777" w:rsidR="00990B14" w:rsidRDefault="00000000">
            <w:pPr>
              <w:numPr>
                <w:ilvl w:val="0"/>
                <w:numId w:val="140"/>
              </w:numPr>
              <w:spacing w:after="20"/>
              <w:jc w:val="both"/>
            </w:pPr>
            <w:r>
              <w:rPr>
                <w:sz w:val="18"/>
                <w:szCs w:val="18"/>
              </w:rPr>
              <w:t>Contraloría General del Estado (2012). Normas de Auditoría Gubernamental. Resolución CGE/094/2012, NE/CE-014. La Paz – Bolivia.</w:t>
            </w:r>
          </w:p>
          <w:p w14:paraId="566D3BB2" w14:textId="77777777" w:rsidR="00990B14" w:rsidRDefault="00000000">
            <w:pPr>
              <w:numPr>
                <w:ilvl w:val="0"/>
                <w:numId w:val="140"/>
              </w:numPr>
              <w:spacing w:after="20"/>
              <w:jc w:val="both"/>
            </w:pPr>
            <w:r>
              <w:rPr>
                <w:sz w:val="18"/>
                <w:szCs w:val="18"/>
              </w:rPr>
              <w:t>Contraloría General del Estado (2013). Manual Para Ejecutar Auditorías Ambientales. Resolución N.º CGE/166/2013, ME/CE-034. La Paz – Bolivia.</w:t>
            </w:r>
          </w:p>
          <w:p w14:paraId="37980C5B" w14:textId="77777777" w:rsidR="00990B14" w:rsidRDefault="00000000">
            <w:pPr>
              <w:numPr>
                <w:ilvl w:val="0"/>
                <w:numId w:val="140"/>
              </w:numPr>
              <w:spacing w:after="20"/>
              <w:jc w:val="both"/>
            </w:pPr>
            <w:r>
              <w:rPr>
                <w:sz w:val="18"/>
                <w:szCs w:val="18"/>
              </w:rPr>
              <w:t>Fundación IFRS – Consejo de Normas Internacionales de Sostenibilidad, ISSB (2023). Normas NIIF de divulgación de la sostenibilidad.</w:t>
            </w:r>
          </w:p>
          <w:p w14:paraId="5F1EE017" w14:textId="77777777" w:rsidR="00990B14" w:rsidRDefault="00000000">
            <w:pPr>
              <w:numPr>
                <w:ilvl w:val="0"/>
                <w:numId w:val="140"/>
              </w:numPr>
              <w:spacing w:after="20"/>
              <w:jc w:val="both"/>
            </w:pPr>
            <w:r>
              <w:rPr>
                <w:sz w:val="18"/>
                <w:szCs w:val="18"/>
              </w:rPr>
              <w:t>Fundación IFRS – Consejo Internacional de Reporte Integrado (2022). Reporte Integrado.</w:t>
            </w:r>
          </w:p>
          <w:p w14:paraId="3E87B4D0" w14:textId="77777777" w:rsidR="00990B14" w:rsidRDefault="00000000">
            <w:pPr>
              <w:numPr>
                <w:ilvl w:val="0"/>
                <w:numId w:val="140"/>
              </w:numPr>
              <w:spacing w:after="20"/>
              <w:jc w:val="both"/>
            </w:pPr>
            <w:r>
              <w:rPr>
                <w:sz w:val="18"/>
                <w:szCs w:val="18"/>
              </w:rPr>
              <w:t>Instituto Boliviano de Normalización y Calidad, IBNORCA (2023). Normas Bolivianas de Calidad y adopción de las normas ISO 14001 Sistema de Gestión Ambiental e ISO 19011 Directrices para la Auditoría de Sistemas de Gestión, y normas americanas OSHA. La Paz – Bolivia.</w:t>
            </w:r>
          </w:p>
          <w:p w14:paraId="77305CF6" w14:textId="77777777" w:rsidR="00990B14" w:rsidRDefault="00000000">
            <w:pPr>
              <w:numPr>
                <w:ilvl w:val="0"/>
                <w:numId w:val="140"/>
              </w:numPr>
              <w:spacing w:after="20"/>
              <w:jc w:val="both"/>
            </w:pPr>
            <w:r w:rsidRPr="00BD34F7">
              <w:rPr>
                <w:sz w:val="18"/>
                <w:szCs w:val="18"/>
                <w:lang w:val="en-US"/>
              </w:rPr>
              <w:t xml:space="preserve">International Auditing and Assurance Standards Board, IAASB (2018). </w:t>
            </w:r>
            <w:r>
              <w:rPr>
                <w:sz w:val="18"/>
                <w:szCs w:val="18"/>
              </w:rPr>
              <w:t>Manual de Pronunciamientos Internacionales de Control de Calidad, Auditoría, Revisión, Otros Encargos de Aseguramiento y Servicios Relacionados. Volúmenes I, II y III.</w:t>
            </w:r>
          </w:p>
          <w:p w14:paraId="156B3B90" w14:textId="77777777" w:rsidR="00990B14" w:rsidRDefault="00000000">
            <w:pPr>
              <w:numPr>
                <w:ilvl w:val="0"/>
                <w:numId w:val="140"/>
              </w:numPr>
              <w:spacing w:after="20"/>
              <w:jc w:val="both"/>
            </w:pPr>
            <w:r w:rsidRPr="00BD34F7">
              <w:rPr>
                <w:sz w:val="18"/>
                <w:szCs w:val="18"/>
                <w:lang w:val="en-US"/>
              </w:rPr>
              <w:t xml:space="preserve">International Auditing and Assurance Standards Board, IAASB (2023). </w:t>
            </w:r>
            <w:r>
              <w:rPr>
                <w:sz w:val="18"/>
                <w:szCs w:val="18"/>
              </w:rPr>
              <w:t>Normas de Aseguramiento de la Sostenibilidad. Emitida como Norma Internacional de Aseguramiento de la Sostenibilidad 5000 en noviembre de 2024, vigente para los periodos iniciados desde el 15 de diciembre de 2026.</w:t>
            </w:r>
          </w:p>
          <w:p w14:paraId="4DD8AFE5" w14:textId="77777777" w:rsidR="00990B14" w:rsidRDefault="00000000">
            <w:pPr>
              <w:numPr>
                <w:ilvl w:val="0"/>
                <w:numId w:val="140"/>
              </w:numPr>
              <w:spacing w:after="20"/>
              <w:jc w:val="both"/>
            </w:pPr>
            <w:r>
              <w:rPr>
                <w:sz w:val="18"/>
                <w:szCs w:val="18"/>
              </w:rPr>
              <w:t>Junta de Normas de Divulgación Climática, CDSB (2023). Divulgaciones Financieras Relacionadas con el Clima. Grupo de Trabajo para Divulgaciones Financieras Relacionadas con el Clima, TCFD.</w:t>
            </w:r>
          </w:p>
          <w:p w14:paraId="0CE0C0F5" w14:textId="77777777" w:rsidR="00990B14" w:rsidRDefault="00000000">
            <w:pPr>
              <w:numPr>
                <w:ilvl w:val="0"/>
                <w:numId w:val="140"/>
              </w:numPr>
              <w:spacing w:after="20"/>
              <w:jc w:val="both"/>
            </w:pPr>
            <w:r>
              <w:rPr>
                <w:sz w:val="18"/>
                <w:szCs w:val="18"/>
              </w:rPr>
              <w:t>Ley de Derechos de la Madre Tierra, 2010, y Ley Marco de la Madre Tierra y Desarrollo Integral para Vivir Bien.</w:t>
            </w:r>
          </w:p>
          <w:p w14:paraId="25572589" w14:textId="77777777" w:rsidR="00990B14" w:rsidRDefault="00000000">
            <w:pPr>
              <w:numPr>
                <w:ilvl w:val="0"/>
                <w:numId w:val="140"/>
              </w:numPr>
              <w:spacing w:after="20"/>
              <w:jc w:val="both"/>
            </w:pPr>
            <w:r>
              <w:rPr>
                <w:sz w:val="18"/>
                <w:szCs w:val="18"/>
              </w:rPr>
              <w:t>Ley del Medio Ambiente N.º 1333, de 1992, y sus reglamentos, decretos y resoluciones de carácter ambiental.</w:t>
            </w:r>
          </w:p>
          <w:p w14:paraId="1B47CAE5" w14:textId="77777777" w:rsidR="00990B14" w:rsidRDefault="00000000">
            <w:pPr>
              <w:numPr>
                <w:ilvl w:val="0"/>
                <w:numId w:val="140"/>
              </w:numPr>
              <w:spacing w:after="20"/>
              <w:jc w:val="both"/>
            </w:pPr>
            <w:r>
              <w:rPr>
                <w:sz w:val="18"/>
                <w:szCs w:val="18"/>
              </w:rPr>
              <w:t>Ley Forestal N.º 1700, de 1996, y Decreto Supremo N.º 0429 de 10 de febrero de 2010, que determina las atribuciones de la Autoridad de Fiscalización y Control Social de Bosques y Tierra.</w:t>
            </w:r>
          </w:p>
          <w:p w14:paraId="2C3F69AA" w14:textId="77777777" w:rsidR="00990B14" w:rsidRDefault="00000000">
            <w:pPr>
              <w:numPr>
                <w:ilvl w:val="0"/>
                <w:numId w:val="140"/>
              </w:numPr>
              <w:spacing w:after="20"/>
              <w:jc w:val="both"/>
            </w:pPr>
            <w:r>
              <w:rPr>
                <w:sz w:val="18"/>
                <w:szCs w:val="18"/>
              </w:rPr>
              <w:t>Ley Marco de Autonomías y Descentralización Andrés Ibáñez, 2010.</w:t>
            </w:r>
          </w:p>
          <w:p w14:paraId="17C57A9F" w14:textId="77777777" w:rsidR="00990B14" w:rsidRDefault="00000000">
            <w:pPr>
              <w:numPr>
                <w:ilvl w:val="0"/>
                <w:numId w:val="140"/>
              </w:numPr>
              <w:spacing w:after="20"/>
              <w:jc w:val="both"/>
            </w:pPr>
            <w:r>
              <w:rPr>
                <w:sz w:val="18"/>
                <w:szCs w:val="18"/>
              </w:rPr>
              <w:t>Ley N.º 071 de Derechos de la Madre Tierra, de 2010, y Ley N.º 300 Marco de la Madre Tierra y Desarrollo Integral para Vivir Bien, de 2012.</w:t>
            </w:r>
          </w:p>
          <w:p w14:paraId="0DFDF3C4" w14:textId="77777777" w:rsidR="00990B14" w:rsidRDefault="00000000">
            <w:pPr>
              <w:numPr>
                <w:ilvl w:val="0"/>
                <w:numId w:val="140"/>
              </w:numPr>
              <w:spacing w:after="20"/>
              <w:jc w:val="both"/>
            </w:pPr>
            <w:r>
              <w:rPr>
                <w:sz w:val="18"/>
                <w:szCs w:val="18"/>
              </w:rPr>
              <w:t>Ley N.º 535 de Minería y Metalurgia, de 2014, y la Auditoría Ambiental de Línea Base.</w:t>
            </w:r>
          </w:p>
          <w:p w14:paraId="627D5D0D" w14:textId="77777777" w:rsidR="00990B14" w:rsidRDefault="00000000">
            <w:pPr>
              <w:numPr>
                <w:ilvl w:val="0"/>
                <w:numId w:val="140"/>
              </w:numPr>
              <w:spacing w:after="20"/>
              <w:jc w:val="both"/>
            </w:pPr>
            <w:r>
              <w:rPr>
                <w:sz w:val="18"/>
                <w:szCs w:val="18"/>
              </w:rPr>
              <w:t>Ley N.º 755 de Gestión Integral de Residuos, de 2015, y su reglamento.</w:t>
            </w:r>
          </w:p>
          <w:p w14:paraId="7E67940F" w14:textId="77777777" w:rsidR="00990B14" w:rsidRDefault="00000000">
            <w:pPr>
              <w:numPr>
                <w:ilvl w:val="0"/>
                <w:numId w:val="140"/>
              </w:numPr>
              <w:spacing w:after="20"/>
              <w:jc w:val="both"/>
            </w:pPr>
            <w:r>
              <w:rPr>
                <w:sz w:val="18"/>
                <w:szCs w:val="18"/>
              </w:rPr>
              <w:t>Leyes, decretos y resoluciones sectoriales de las gobernaciones y de los gobiernos municipales.</w:t>
            </w:r>
          </w:p>
          <w:p w14:paraId="66A80992" w14:textId="77777777" w:rsidR="00990B14" w:rsidRDefault="00000000">
            <w:pPr>
              <w:numPr>
                <w:ilvl w:val="0"/>
                <w:numId w:val="140"/>
              </w:numPr>
              <w:spacing w:after="20"/>
              <w:jc w:val="both"/>
            </w:pPr>
            <w:r>
              <w:rPr>
                <w:sz w:val="18"/>
                <w:szCs w:val="18"/>
              </w:rPr>
              <w:t>Organización Internacional de Entidades Fiscalizadoras Superiores, INTOSAI (2000). Guía Metodológica para las Auditorías Ambientales realizadas por las Entidades Fiscalizadoras Superiores.</w:t>
            </w:r>
          </w:p>
          <w:p w14:paraId="57840546" w14:textId="77777777" w:rsidR="00990B14" w:rsidRDefault="00000000">
            <w:pPr>
              <w:numPr>
                <w:ilvl w:val="0"/>
                <w:numId w:val="140"/>
              </w:numPr>
              <w:spacing w:after="20"/>
              <w:jc w:val="both"/>
            </w:pPr>
            <w:r>
              <w:rPr>
                <w:sz w:val="18"/>
                <w:szCs w:val="18"/>
              </w:rPr>
              <w:t xml:space="preserve">Organización Internacional de Entidades Fiscalizadoras Superiores, INTOSAI (2000). </w:t>
            </w:r>
            <w:r>
              <w:rPr>
                <w:i/>
                <w:iCs/>
                <w:sz w:val="18"/>
                <w:szCs w:val="18"/>
              </w:rPr>
              <w:t>Guía Metodológica para las Auditorías Ambientales realizadas por las Entidades Fiscalizadoras Superiores</w:t>
            </w:r>
            <w:r>
              <w:rPr>
                <w:sz w:val="18"/>
                <w:szCs w:val="18"/>
              </w:rPr>
              <w:t>.</w:t>
            </w:r>
          </w:p>
          <w:p w14:paraId="7ECB2318" w14:textId="77777777" w:rsidR="00990B14" w:rsidRDefault="00000000">
            <w:pPr>
              <w:numPr>
                <w:ilvl w:val="0"/>
                <w:numId w:val="140"/>
              </w:numPr>
              <w:spacing w:after="20"/>
              <w:jc w:val="both"/>
            </w:pPr>
            <w:r>
              <w:rPr>
                <w:sz w:val="18"/>
                <w:szCs w:val="18"/>
              </w:rPr>
              <w:t>Organización Internacional de Entidades Fiscalizadoras Superiores, INTOSAI (2022). Directrices de Auditoría del Medio Ambiente 5110 a 5140 y guías GUID 5201 a GUID 5203 para el cumplimiento de las ISSAI.</w:t>
            </w:r>
          </w:p>
          <w:p w14:paraId="520E59A9" w14:textId="77777777" w:rsidR="00990B14" w:rsidRDefault="00000000">
            <w:pPr>
              <w:numPr>
                <w:ilvl w:val="0"/>
                <w:numId w:val="140"/>
              </w:numPr>
              <w:spacing w:after="20"/>
              <w:jc w:val="both"/>
            </w:pPr>
            <w:r>
              <w:rPr>
                <w:sz w:val="18"/>
                <w:szCs w:val="18"/>
              </w:rPr>
              <w:t xml:space="preserve">Organización Internacional de Entidades Fiscalizadoras Superiores, INTOSAI (2022). </w:t>
            </w:r>
            <w:r>
              <w:rPr>
                <w:i/>
                <w:iCs/>
                <w:sz w:val="18"/>
                <w:szCs w:val="18"/>
              </w:rPr>
              <w:t>Directrices de Auditoría del Medio Ambiente 5110 a 5140 y guías GUID 5201 a GUID 5203 para el cumplimiento de las ISSAI</w:t>
            </w:r>
            <w:r>
              <w:rPr>
                <w:sz w:val="18"/>
                <w:szCs w:val="18"/>
              </w:rPr>
              <w:t>.</w:t>
            </w:r>
          </w:p>
        </w:tc>
      </w:tr>
      <w:tr w:rsidR="00990B14" w14:paraId="704B48B5" w14:textId="77777777">
        <w:trPr>
          <w:jc w:val="center"/>
        </w:trPr>
        <w:tc>
          <w:tcPr>
            <w:tcW w:w="9405" w:type="dxa"/>
            <w:shd w:val="clear" w:color="auto" w:fill="D9E2F3"/>
          </w:tcPr>
          <w:p w14:paraId="10EB2ED5" w14:textId="77777777" w:rsidR="00990B14" w:rsidRDefault="00000000">
            <w:pPr>
              <w:spacing w:before="40" w:after="40"/>
              <w:jc w:val="both"/>
            </w:pPr>
            <w:r>
              <w:rPr>
                <w:b/>
                <w:bCs/>
                <w:i/>
                <w:iCs/>
                <w:sz w:val="18"/>
                <w:szCs w:val="18"/>
              </w:rPr>
              <w:t>Bibliografía complementaria:</w:t>
            </w:r>
          </w:p>
          <w:p w14:paraId="29704F76" w14:textId="77777777" w:rsidR="00990B14" w:rsidRDefault="00000000">
            <w:pPr>
              <w:numPr>
                <w:ilvl w:val="0"/>
                <w:numId w:val="140"/>
              </w:numPr>
              <w:spacing w:after="20"/>
              <w:jc w:val="both"/>
            </w:pPr>
            <w:r>
              <w:rPr>
                <w:sz w:val="18"/>
                <w:szCs w:val="18"/>
              </w:rPr>
              <w:t>Acuña, G., Pahlen, R. y otros (2014). Contabilidad Social y Ambiental. 2a ed. Buenos Aires – Argentina: Ediciones Macchi.</w:t>
            </w:r>
          </w:p>
          <w:p w14:paraId="54A5308A" w14:textId="77777777" w:rsidR="00990B14" w:rsidRDefault="00000000">
            <w:pPr>
              <w:numPr>
                <w:ilvl w:val="0"/>
                <w:numId w:val="140"/>
              </w:numPr>
              <w:spacing w:after="20"/>
              <w:jc w:val="both"/>
            </w:pPr>
            <w:r>
              <w:rPr>
                <w:sz w:val="18"/>
                <w:szCs w:val="18"/>
              </w:rPr>
              <w:t>Fronti de García, L. (2018). Contabilidad y Auditoría Ambiental. 2a ed. Buenos Aires – Argentina: Ediciones Macchi.</w:t>
            </w:r>
          </w:p>
          <w:p w14:paraId="604413B2" w14:textId="77777777" w:rsidR="00990B14" w:rsidRDefault="00000000">
            <w:pPr>
              <w:numPr>
                <w:ilvl w:val="0"/>
                <w:numId w:val="140"/>
              </w:numPr>
              <w:spacing w:after="20"/>
              <w:jc w:val="both"/>
            </w:pPr>
            <w:r>
              <w:rPr>
                <w:sz w:val="18"/>
                <w:szCs w:val="18"/>
              </w:rPr>
              <w:t>Fundación IFRS: https://www.ifrs.org y Bolsa Boliviana de Valores: https://www.bbv.com.bo</w:t>
            </w:r>
          </w:p>
          <w:p w14:paraId="2EB46D48" w14:textId="77777777" w:rsidR="00990B14" w:rsidRDefault="00000000">
            <w:pPr>
              <w:numPr>
                <w:ilvl w:val="0"/>
                <w:numId w:val="140"/>
              </w:numPr>
              <w:spacing w:after="20"/>
              <w:jc w:val="both"/>
            </w:pPr>
            <w:r>
              <w:rPr>
                <w:sz w:val="18"/>
                <w:szCs w:val="18"/>
              </w:rPr>
              <w:t>Gray, R. (2012). Contabilidad y Auditoría Ambiental. Traducción de S. Mantilla.</w:t>
            </w:r>
          </w:p>
          <w:p w14:paraId="5AD11FEC" w14:textId="77777777" w:rsidR="00990B14" w:rsidRDefault="00000000">
            <w:pPr>
              <w:numPr>
                <w:ilvl w:val="0"/>
                <w:numId w:val="140"/>
              </w:numPr>
              <w:spacing w:after="20"/>
              <w:jc w:val="both"/>
            </w:pPr>
            <w:r>
              <w:rPr>
                <w:sz w:val="18"/>
                <w:szCs w:val="18"/>
              </w:rPr>
              <w:t>Navarro García, F. (2018). Responsabilidad Social Corporativa. 3a ed. México: Alfaomega.</w:t>
            </w:r>
          </w:p>
          <w:p w14:paraId="23C2867D" w14:textId="77777777" w:rsidR="00990B14" w:rsidRDefault="00000000">
            <w:pPr>
              <w:numPr>
                <w:ilvl w:val="0"/>
                <w:numId w:val="140"/>
              </w:numPr>
              <w:spacing w:after="20"/>
              <w:jc w:val="both"/>
            </w:pPr>
            <w:r>
              <w:rPr>
                <w:sz w:val="18"/>
                <w:szCs w:val="18"/>
              </w:rPr>
              <w:t>Quisbert Blanco, Á. (2026). Auditoría Ambiental y Aseguramiento de la Sostenibilidad. Virgo Impresiones.</w:t>
            </w:r>
          </w:p>
          <w:p w14:paraId="78AE3682" w14:textId="77777777" w:rsidR="00990B14" w:rsidRDefault="00000000">
            <w:pPr>
              <w:numPr>
                <w:ilvl w:val="0"/>
                <w:numId w:val="140"/>
              </w:numPr>
              <w:spacing w:after="20"/>
              <w:jc w:val="both"/>
            </w:pPr>
            <w:r>
              <w:rPr>
                <w:sz w:val="18"/>
                <w:szCs w:val="18"/>
              </w:rPr>
              <w:t>Rodríguez Ruiz, J. y otros (2012). Auditoría Ambiental. 1a ed. España.</w:t>
            </w:r>
          </w:p>
          <w:p w14:paraId="4E6E15E8" w14:textId="77777777" w:rsidR="00990B14" w:rsidRDefault="00000000">
            <w:pPr>
              <w:numPr>
                <w:ilvl w:val="0"/>
                <w:numId w:val="140"/>
              </w:numPr>
              <w:spacing w:after="20"/>
              <w:jc w:val="both"/>
            </w:pPr>
            <w:r>
              <w:rPr>
                <w:sz w:val="18"/>
                <w:szCs w:val="18"/>
              </w:rPr>
              <w:t>Wolinsky, J. (2010). Manual de Auditoría para la Gestión de Negocios. Buenos Aires – Argentina: Editorial Buyatti.</w:t>
            </w:r>
          </w:p>
        </w:tc>
      </w:tr>
    </w:tbl>
    <w:p w14:paraId="13314962" w14:textId="77777777" w:rsidR="00990B14" w:rsidRDefault="00000000">
      <w:pPr>
        <w:pStyle w:val="TituloPlanAsignatura"/>
        <w:keepNext/>
        <w:pageBreakBefore/>
        <w:spacing w:after="120"/>
        <w:jc w:val="center"/>
        <w:outlineLvl w:val="2"/>
      </w:pPr>
      <w:bookmarkStart w:id="189" w:name="_Toc000000130"/>
      <w:r>
        <w:rPr>
          <w:b/>
          <w:bCs/>
          <w:sz w:val="24"/>
          <w:szCs w:val="24"/>
        </w:rPr>
        <w:t>CPA-507 Auditoría de Entidades Sin Fines de Lucro – Proyectos Privados y Públicos</w:t>
      </w:r>
      <w:bookmarkEnd w:id="189"/>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249"/>
        <w:gridCol w:w="1100"/>
        <w:gridCol w:w="149"/>
        <w:gridCol w:w="635"/>
        <w:gridCol w:w="615"/>
        <w:gridCol w:w="952"/>
        <w:gridCol w:w="298"/>
        <w:gridCol w:w="1250"/>
        <w:gridCol w:w="20"/>
        <w:gridCol w:w="385"/>
        <w:gridCol w:w="398"/>
        <w:gridCol w:w="447"/>
        <w:gridCol w:w="1907"/>
      </w:tblGrid>
      <w:tr w:rsidR="00990B14" w14:paraId="5D3504A7" w14:textId="77777777">
        <w:trPr>
          <w:cantSplit/>
          <w:jc w:val="center"/>
        </w:trPr>
        <w:tc>
          <w:tcPr>
            <w:tcW w:w="2349" w:type="dxa"/>
            <w:gridSpan w:val="2"/>
            <w:shd w:val="clear" w:color="auto" w:fill="4472C4"/>
            <w:vAlign w:val="center"/>
          </w:tcPr>
          <w:p w14:paraId="64D8F15E" w14:textId="77777777" w:rsidR="00990B14" w:rsidRDefault="00000000">
            <w:pPr>
              <w:keepNext/>
              <w:spacing w:before="20" w:after="20"/>
              <w:jc w:val="center"/>
            </w:pPr>
            <w:r>
              <w:rPr>
                <w:b/>
                <w:bCs/>
                <w:i/>
                <w:iCs/>
                <w:color w:val="FFFFFF"/>
                <w:sz w:val="18"/>
                <w:szCs w:val="18"/>
              </w:rPr>
              <w:t>Asignatura</w:t>
            </w:r>
          </w:p>
        </w:tc>
        <w:tc>
          <w:tcPr>
            <w:tcW w:w="2351" w:type="dxa"/>
            <w:gridSpan w:val="4"/>
            <w:shd w:val="clear" w:color="auto" w:fill="4472C4"/>
            <w:vAlign w:val="center"/>
          </w:tcPr>
          <w:p w14:paraId="71B088E6" w14:textId="77777777" w:rsidR="00990B14" w:rsidRDefault="00000000">
            <w:pPr>
              <w:keepNext/>
              <w:spacing w:before="20" w:after="20"/>
              <w:jc w:val="center"/>
            </w:pPr>
            <w:r>
              <w:rPr>
                <w:b/>
                <w:bCs/>
                <w:i/>
                <w:iCs/>
                <w:color w:val="FFFFFF"/>
                <w:sz w:val="18"/>
                <w:szCs w:val="18"/>
              </w:rPr>
              <w:t>Sigla</w:t>
            </w:r>
          </w:p>
        </w:tc>
        <w:tc>
          <w:tcPr>
            <w:tcW w:w="2351" w:type="dxa"/>
            <w:gridSpan w:val="5"/>
            <w:shd w:val="clear" w:color="auto" w:fill="4472C4"/>
            <w:vAlign w:val="center"/>
          </w:tcPr>
          <w:p w14:paraId="1C80D306" w14:textId="77777777" w:rsidR="00990B14" w:rsidRDefault="00000000">
            <w:pPr>
              <w:keepNext/>
              <w:spacing w:before="20" w:after="20"/>
              <w:jc w:val="center"/>
            </w:pPr>
            <w:r>
              <w:rPr>
                <w:b/>
                <w:bCs/>
                <w:i/>
                <w:iCs/>
                <w:color w:val="FFFFFF"/>
                <w:sz w:val="18"/>
                <w:szCs w:val="18"/>
              </w:rPr>
              <w:t>Nivel/Área</w:t>
            </w:r>
          </w:p>
        </w:tc>
        <w:tc>
          <w:tcPr>
            <w:tcW w:w="2354" w:type="dxa"/>
            <w:gridSpan w:val="2"/>
            <w:shd w:val="clear" w:color="auto" w:fill="4472C4"/>
            <w:vAlign w:val="center"/>
          </w:tcPr>
          <w:p w14:paraId="152C3D36" w14:textId="77777777" w:rsidR="00990B14" w:rsidRDefault="00000000">
            <w:pPr>
              <w:keepNext/>
              <w:spacing w:before="20" w:after="20"/>
              <w:jc w:val="center"/>
            </w:pPr>
            <w:r>
              <w:rPr>
                <w:b/>
                <w:bCs/>
                <w:i/>
                <w:iCs/>
                <w:color w:val="FFFFFF"/>
                <w:sz w:val="18"/>
                <w:szCs w:val="18"/>
              </w:rPr>
              <w:t>Prerrequisito</w:t>
            </w:r>
          </w:p>
        </w:tc>
      </w:tr>
      <w:tr w:rsidR="00990B14" w14:paraId="0B3B518D" w14:textId="77777777">
        <w:trPr>
          <w:cantSplit/>
          <w:jc w:val="center"/>
        </w:trPr>
        <w:tc>
          <w:tcPr>
            <w:tcW w:w="2349" w:type="dxa"/>
            <w:gridSpan w:val="2"/>
            <w:shd w:val="clear" w:color="auto" w:fill="D9E2F3"/>
            <w:vAlign w:val="center"/>
          </w:tcPr>
          <w:p w14:paraId="560051CF" w14:textId="77777777" w:rsidR="00990B14" w:rsidRDefault="00000000">
            <w:pPr>
              <w:spacing w:before="20" w:after="20"/>
              <w:jc w:val="center"/>
            </w:pPr>
            <w:r>
              <w:rPr>
                <w:b/>
                <w:bCs/>
                <w:i/>
                <w:iCs/>
                <w:sz w:val="18"/>
                <w:szCs w:val="18"/>
              </w:rPr>
              <w:t>Auditoría de Entidades Sin Fines de Lucro – Proyectos Privados y Públicos</w:t>
            </w:r>
          </w:p>
        </w:tc>
        <w:tc>
          <w:tcPr>
            <w:tcW w:w="2351" w:type="dxa"/>
            <w:gridSpan w:val="4"/>
            <w:shd w:val="clear" w:color="auto" w:fill="D9E2F3"/>
            <w:vAlign w:val="center"/>
          </w:tcPr>
          <w:p w14:paraId="654F558D" w14:textId="77777777" w:rsidR="00990B14" w:rsidRDefault="00000000">
            <w:pPr>
              <w:spacing w:before="20" w:after="20"/>
              <w:jc w:val="center"/>
            </w:pPr>
            <w:r>
              <w:rPr>
                <w:b/>
                <w:bCs/>
                <w:i/>
                <w:iCs/>
                <w:sz w:val="18"/>
                <w:szCs w:val="18"/>
              </w:rPr>
              <w:t>CPA-507</w:t>
            </w:r>
          </w:p>
        </w:tc>
        <w:tc>
          <w:tcPr>
            <w:tcW w:w="2351" w:type="dxa"/>
            <w:gridSpan w:val="5"/>
            <w:shd w:val="clear" w:color="auto" w:fill="D9E2F3"/>
            <w:vAlign w:val="center"/>
          </w:tcPr>
          <w:p w14:paraId="2F91FCE2" w14:textId="77777777" w:rsidR="00990B14" w:rsidRDefault="00000000">
            <w:pPr>
              <w:spacing w:before="20" w:after="20"/>
              <w:jc w:val="center"/>
            </w:pPr>
            <w:r>
              <w:rPr>
                <w:b/>
                <w:bCs/>
                <w:i/>
                <w:iCs/>
                <w:sz w:val="18"/>
                <w:szCs w:val="18"/>
              </w:rPr>
              <w:t>Aseguramiento</w:t>
            </w:r>
          </w:p>
        </w:tc>
        <w:tc>
          <w:tcPr>
            <w:tcW w:w="2354" w:type="dxa"/>
            <w:gridSpan w:val="2"/>
            <w:shd w:val="clear" w:color="auto" w:fill="D9E2F3"/>
            <w:vAlign w:val="center"/>
          </w:tcPr>
          <w:p w14:paraId="0E9F2AD8" w14:textId="77777777" w:rsidR="00990B14" w:rsidRDefault="00000000">
            <w:pPr>
              <w:spacing w:before="20" w:after="20"/>
              <w:jc w:val="center"/>
            </w:pPr>
            <w:r>
              <w:rPr>
                <w:b/>
                <w:bCs/>
                <w:i/>
                <w:iCs/>
                <w:sz w:val="18"/>
                <w:szCs w:val="18"/>
              </w:rPr>
              <w:t>CPA-401 a CPA-408</w:t>
            </w:r>
          </w:p>
        </w:tc>
      </w:tr>
      <w:tr w:rsidR="00990B14" w14:paraId="06D6E8EB" w14:textId="77777777">
        <w:trPr>
          <w:cantSplit/>
          <w:jc w:val="center"/>
        </w:trPr>
        <w:tc>
          <w:tcPr>
            <w:tcW w:w="7498" w:type="dxa"/>
            <w:gridSpan w:val="12"/>
            <w:shd w:val="clear" w:color="auto" w:fill="4472C4"/>
            <w:vAlign w:val="center"/>
          </w:tcPr>
          <w:p w14:paraId="7DB440B9" w14:textId="77777777" w:rsidR="00990B14" w:rsidRDefault="00000000">
            <w:pPr>
              <w:keepNext/>
              <w:spacing w:before="20" w:after="20"/>
              <w:jc w:val="center"/>
            </w:pPr>
            <w:r>
              <w:rPr>
                <w:b/>
                <w:bCs/>
                <w:i/>
                <w:iCs/>
                <w:color w:val="FFFFFF"/>
                <w:sz w:val="18"/>
                <w:szCs w:val="18"/>
              </w:rPr>
              <w:t>Carga Horaria</w:t>
            </w:r>
          </w:p>
        </w:tc>
        <w:tc>
          <w:tcPr>
            <w:tcW w:w="1907" w:type="dxa"/>
            <w:shd w:val="clear" w:color="auto" w:fill="4472C4"/>
            <w:vAlign w:val="center"/>
          </w:tcPr>
          <w:p w14:paraId="0723E362" w14:textId="77777777" w:rsidR="00990B14" w:rsidRDefault="00000000">
            <w:pPr>
              <w:keepNext/>
              <w:spacing w:before="20" w:after="20"/>
              <w:jc w:val="center"/>
            </w:pPr>
            <w:r>
              <w:rPr>
                <w:b/>
                <w:bCs/>
                <w:i/>
                <w:iCs/>
                <w:color w:val="FFFFFF"/>
                <w:sz w:val="18"/>
                <w:szCs w:val="18"/>
              </w:rPr>
              <w:t>Créditos</w:t>
            </w:r>
          </w:p>
        </w:tc>
      </w:tr>
      <w:tr w:rsidR="00990B14" w14:paraId="4EA533C5" w14:textId="77777777">
        <w:trPr>
          <w:cantSplit/>
          <w:jc w:val="center"/>
        </w:trPr>
        <w:tc>
          <w:tcPr>
            <w:tcW w:w="1249" w:type="dxa"/>
            <w:shd w:val="clear" w:color="auto" w:fill="4472C4"/>
            <w:vAlign w:val="center"/>
          </w:tcPr>
          <w:p w14:paraId="7DB22954" w14:textId="77777777" w:rsidR="00990B14" w:rsidRDefault="00000000">
            <w:pPr>
              <w:keepNext/>
              <w:spacing w:before="20" w:after="20"/>
              <w:jc w:val="center"/>
            </w:pPr>
            <w:r>
              <w:rPr>
                <w:b/>
                <w:bCs/>
                <w:i/>
                <w:iCs/>
                <w:color w:val="FFFFFF"/>
                <w:sz w:val="18"/>
                <w:szCs w:val="18"/>
              </w:rPr>
              <w:t>HP</w:t>
            </w:r>
          </w:p>
        </w:tc>
        <w:tc>
          <w:tcPr>
            <w:tcW w:w="1249" w:type="dxa"/>
            <w:gridSpan w:val="2"/>
            <w:shd w:val="clear" w:color="auto" w:fill="4472C4"/>
            <w:vAlign w:val="center"/>
          </w:tcPr>
          <w:p w14:paraId="36E870EE" w14:textId="77777777" w:rsidR="00990B14" w:rsidRDefault="00000000">
            <w:pPr>
              <w:keepNext/>
              <w:spacing w:before="20" w:after="20"/>
              <w:jc w:val="center"/>
            </w:pPr>
            <w:r>
              <w:rPr>
                <w:b/>
                <w:bCs/>
                <w:i/>
                <w:iCs/>
                <w:color w:val="FFFFFF"/>
                <w:sz w:val="18"/>
                <w:szCs w:val="18"/>
              </w:rPr>
              <w:t>HAA</w:t>
            </w:r>
          </w:p>
        </w:tc>
        <w:tc>
          <w:tcPr>
            <w:tcW w:w="1250" w:type="dxa"/>
            <w:gridSpan w:val="2"/>
            <w:shd w:val="clear" w:color="auto" w:fill="4472C4"/>
            <w:vAlign w:val="center"/>
          </w:tcPr>
          <w:p w14:paraId="0E412638" w14:textId="77777777" w:rsidR="00990B14" w:rsidRDefault="00000000">
            <w:pPr>
              <w:keepNext/>
              <w:spacing w:before="20" w:after="20"/>
              <w:jc w:val="center"/>
            </w:pPr>
            <w:r>
              <w:rPr>
                <w:b/>
                <w:bCs/>
                <w:i/>
                <w:iCs/>
                <w:color w:val="FFFFFF"/>
                <w:sz w:val="18"/>
                <w:szCs w:val="18"/>
              </w:rPr>
              <w:t>HTG</w:t>
            </w:r>
          </w:p>
        </w:tc>
        <w:tc>
          <w:tcPr>
            <w:tcW w:w="1250" w:type="dxa"/>
            <w:gridSpan w:val="2"/>
            <w:shd w:val="clear" w:color="auto" w:fill="4472C4"/>
            <w:vAlign w:val="center"/>
          </w:tcPr>
          <w:p w14:paraId="7463D7F4" w14:textId="77777777" w:rsidR="00990B14" w:rsidRDefault="00000000">
            <w:pPr>
              <w:keepNext/>
              <w:spacing w:before="20" w:after="20"/>
              <w:jc w:val="center"/>
            </w:pPr>
            <w:r>
              <w:rPr>
                <w:b/>
                <w:bCs/>
                <w:i/>
                <w:iCs/>
                <w:color w:val="FFFFFF"/>
                <w:sz w:val="18"/>
                <w:szCs w:val="18"/>
              </w:rPr>
              <w:t>HIP</w:t>
            </w:r>
          </w:p>
        </w:tc>
        <w:tc>
          <w:tcPr>
            <w:tcW w:w="1250" w:type="dxa"/>
            <w:shd w:val="clear" w:color="auto" w:fill="4472C4"/>
            <w:vAlign w:val="center"/>
          </w:tcPr>
          <w:p w14:paraId="3560B2E3" w14:textId="77777777" w:rsidR="00990B14" w:rsidRDefault="00000000">
            <w:pPr>
              <w:keepNext/>
              <w:spacing w:before="20" w:after="20"/>
              <w:jc w:val="center"/>
            </w:pPr>
            <w:r>
              <w:rPr>
                <w:b/>
                <w:bCs/>
                <w:i/>
                <w:iCs/>
                <w:color w:val="FFFFFF"/>
                <w:sz w:val="18"/>
                <w:szCs w:val="18"/>
              </w:rPr>
              <w:t>HE</w:t>
            </w:r>
          </w:p>
        </w:tc>
        <w:tc>
          <w:tcPr>
            <w:tcW w:w="1250" w:type="dxa"/>
            <w:gridSpan w:val="4"/>
            <w:shd w:val="clear" w:color="auto" w:fill="4472C4"/>
            <w:vAlign w:val="center"/>
          </w:tcPr>
          <w:p w14:paraId="59BB830F" w14:textId="77777777" w:rsidR="00990B14" w:rsidRDefault="00000000">
            <w:pPr>
              <w:keepNext/>
              <w:spacing w:before="20" w:after="20"/>
              <w:jc w:val="center"/>
            </w:pPr>
            <w:r>
              <w:rPr>
                <w:b/>
                <w:bCs/>
                <w:i/>
                <w:iCs/>
                <w:color w:val="FFFFFF"/>
                <w:sz w:val="18"/>
                <w:szCs w:val="18"/>
              </w:rPr>
              <w:t>TOTAL</w:t>
            </w:r>
          </w:p>
        </w:tc>
        <w:tc>
          <w:tcPr>
            <w:tcW w:w="1907" w:type="dxa"/>
            <w:vMerge w:val="restart"/>
            <w:shd w:val="clear" w:color="auto" w:fill="D9E2F3"/>
            <w:vAlign w:val="center"/>
          </w:tcPr>
          <w:p w14:paraId="099FB310" w14:textId="77777777" w:rsidR="00990B14" w:rsidRDefault="00000000">
            <w:pPr>
              <w:spacing w:before="20" w:after="20"/>
              <w:jc w:val="center"/>
            </w:pPr>
            <w:r>
              <w:rPr>
                <w:sz w:val="18"/>
                <w:szCs w:val="18"/>
              </w:rPr>
              <w:t>4</w:t>
            </w:r>
          </w:p>
        </w:tc>
      </w:tr>
      <w:tr w:rsidR="00990B14" w14:paraId="2535E667" w14:textId="77777777">
        <w:trPr>
          <w:cantSplit/>
          <w:jc w:val="center"/>
        </w:trPr>
        <w:tc>
          <w:tcPr>
            <w:tcW w:w="1249" w:type="dxa"/>
            <w:shd w:val="clear" w:color="auto" w:fill="D9E2F3"/>
            <w:vAlign w:val="center"/>
          </w:tcPr>
          <w:p w14:paraId="32BFE6EE" w14:textId="77777777" w:rsidR="00990B14" w:rsidRDefault="00000000">
            <w:pPr>
              <w:spacing w:before="20" w:after="20"/>
              <w:jc w:val="center"/>
            </w:pPr>
            <w:r>
              <w:rPr>
                <w:sz w:val="18"/>
                <w:szCs w:val="18"/>
              </w:rPr>
              <w:t>80</w:t>
            </w:r>
          </w:p>
        </w:tc>
        <w:tc>
          <w:tcPr>
            <w:tcW w:w="1249" w:type="dxa"/>
            <w:gridSpan w:val="2"/>
            <w:shd w:val="clear" w:color="auto" w:fill="D9E2F3"/>
            <w:vAlign w:val="center"/>
          </w:tcPr>
          <w:p w14:paraId="070B148D" w14:textId="77777777" w:rsidR="00990B14" w:rsidRDefault="00000000">
            <w:pPr>
              <w:spacing w:before="20" w:after="20"/>
              <w:jc w:val="center"/>
            </w:pPr>
            <w:r>
              <w:rPr>
                <w:sz w:val="18"/>
                <w:szCs w:val="18"/>
              </w:rPr>
              <w:t>14</w:t>
            </w:r>
          </w:p>
        </w:tc>
        <w:tc>
          <w:tcPr>
            <w:tcW w:w="1250" w:type="dxa"/>
            <w:gridSpan w:val="2"/>
            <w:shd w:val="clear" w:color="auto" w:fill="D9E2F3"/>
            <w:vAlign w:val="center"/>
          </w:tcPr>
          <w:p w14:paraId="4F2021C4" w14:textId="77777777" w:rsidR="00990B14" w:rsidRDefault="00000000">
            <w:pPr>
              <w:spacing w:before="20" w:after="20"/>
              <w:jc w:val="center"/>
            </w:pPr>
            <w:r>
              <w:rPr>
                <w:sz w:val="18"/>
                <w:szCs w:val="18"/>
              </w:rPr>
              <w:t>12</w:t>
            </w:r>
          </w:p>
        </w:tc>
        <w:tc>
          <w:tcPr>
            <w:tcW w:w="1250" w:type="dxa"/>
            <w:gridSpan w:val="2"/>
            <w:shd w:val="clear" w:color="auto" w:fill="D9E2F3"/>
            <w:vAlign w:val="center"/>
          </w:tcPr>
          <w:p w14:paraId="1EBC2D0E" w14:textId="77777777" w:rsidR="00990B14" w:rsidRDefault="00000000">
            <w:pPr>
              <w:spacing w:before="20" w:after="20"/>
              <w:jc w:val="center"/>
            </w:pPr>
            <w:r>
              <w:rPr>
                <w:sz w:val="18"/>
                <w:szCs w:val="18"/>
              </w:rPr>
              <w:t>7</w:t>
            </w:r>
          </w:p>
        </w:tc>
        <w:tc>
          <w:tcPr>
            <w:tcW w:w="1250" w:type="dxa"/>
            <w:shd w:val="clear" w:color="auto" w:fill="D9E2F3"/>
            <w:vAlign w:val="center"/>
          </w:tcPr>
          <w:p w14:paraId="34192530" w14:textId="77777777" w:rsidR="00990B14" w:rsidRDefault="00000000">
            <w:pPr>
              <w:spacing w:before="20" w:after="20"/>
              <w:jc w:val="center"/>
            </w:pPr>
            <w:r>
              <w:rPr>
                <w:sz w:val="18"/>
                <w:szCs w:val="18"/>
              </w:rPr>
              <w:t>7</w:t>
            </w:r>
          </w:p>
        </w:tc>
        <w:tc>
          <w:tcPr>
            <w:tcW w:w="1250" w:type="dxa"/>
            <w:gridSpan w:val="4"/>
            <w:shd w:val="clear" w:color="auto" w:fill="D9E2F3"/>
            <w:vAlign w:val="center"/>
          </w:tcPr>
          <w:p w14:paraId="43B477A2" w14:textId="77777777" w:rsidR="00990B14" w:rsidRDefault="00000000">
            <w:pPr>
              <w:spacing w:before="20" w:after="20"/>
              <w:jc w:val="center"/>
            </w:pPr>
            <w:r>
              <w:rPr>
                <w:sz w:val="18"/>
                <w:szCs w:val="18"/>
              </w:rPr>
              <w:t>120</w:t>
            </w:r>
          </w:p>
        </w:tc>
        <w:tc>
          <w:tcPr>
            <w:tcW w:w="1907" w:type="dxa"/>
            <w:vMerge/>
            <w:shd w:val="clear" w:color="auto" w:fill="D9E2F3"/>
            <w:vAlign w:val="center"/>
          </w:tcPr>
          <w:p w14:paraId="7D5E497B" w14:textId="77777777" w:rsidR="00990B14" w:rsidRDefault="00990B14">
            <w:pPr>
              <w:spacing w:before="20" w:after="20"/>
            </w:pPr>
          </w:p>
        </w:tc>
      </w:tr>
      <w:tr w:rsidR="00990B14" w14:paraId="3E1D0CA8" w14:textId="77777777">
        <w:trPr>
          <w:cantSplit/>
          <w:jc w:val="center"/>
        </w:trPr>
        <w:tc>
          <w:tcPr>
            <w:tcW w:w="9405" w:type="dxa"/>
            <w:gridSpan w:val="13"/>
            <w:shd w:val="clear" w:color="auto" w:fill="4472C4"/>
            <w:vAlign w:val="center"/>
          </w:tcPr>
          <w:p w14:paraId="1FD4B47E" w14:textId="77777777" w:rsidR="00990B14" w:rsidRDefault="00000000">
            <w:pPr>
              <w:keepNext/>
              <w:spacing w:before="20" w:after="20"/>
              <w:jc w:val="center"/>
            </w:pPr>
            <w:r>
              <w:rPr>
                <w:b/>
                <w:bCs/>
                <w:i/>
                <w:iCs/>
                <w:color w:val="FFFFFF"/>
                <w:sz w:val="18"/>
                <w:szCs w:val="18"/>
              </w:rPr>
              <w:t>Unidad de Competencia</w:t>
            </w:r>
          </w:p>
        </w:tc>
      </w:tr>
      <w:tr w:rsidR="00990B14" w14:paraId="4695A1CE" w14:textId="77777777">
        <w:trPr>
          <w:cantSplit/>
          <w:jc w:val="center"/>
        </w:trPr>
        <w:tc>
          <w:tcPr>
            <w:tcW w:w="9405" w:type="dxa"/>
            <w:gridSpan w:val="13"/>
            <w:shd w:val="clear" w:color="auto" w:fill="D9E2F3"/>
            <w:vAlign w:val="center"/>
          </w:tcPr>
          <w:p w14:paraId="7B7B5C6C" w14:textId="77777777" w:rsidR="00990B14" w:rsidRDefault="00000000">
            <w:pPr>
              <w:spacing w:before="20" w:after="20"/>
              <w:jc w:val="both"/>
            </w:pPr>
            <w:r>
              <w:rPr>
                <w:sz w:val="18"/>
                <w:szCs w:val="18"/>
              </w:rPr>
              <w:t>Realiza los encargos de auditoría, de revisión, de procedimientos acordados y de cumplimiento sobre los estados financieros de propósito general y de propósito específico de las Entidades Sin Fines de Lucro y de los proyectos privados y públicos que administran y ejecutan con recursos nacionales e internacionales, mediante el proceso de planificación (valoración del riesgo), ejecución (respuesta al riesgo) e informe, conforme a las normas nacionales e internacionales, los marcos de referencia de información financiera, la normativa tributaria y los requerimientos de los financiadores, con apoyo de las tecnologías emergentes, juicio profesional, independencia, objetividad, escepticismo profesional y ética conforme al código de ética profesional vigente.</w:t>
            </w:r>
          </w:p>
        </w:tc>
      </w:tr>
      <w:tr w:rsidR="00990B14" w14:paraId="7AFE7084" w14:textId="77777777">
        <w:trPr>
          <w:cantSplit/>
          <w:jc w:val="center"/>
        </w:trPr>
        <w:tc>
          <w:tcPr>
            <w:tcW w:w="9405" w:type="dxa"/>
            <w:gridSpan w:val="13"/>
            <w:shd w:val="clear" w:color="auto" w:fill="D9E2F3"/>
            <w:vAlign w:val="center"/>
          </w:tcPr>
          <w:p w14:paraId="756D3E5D" w14:textId="77777777" w:rsidR="00990B14" w:rsidRDefault="00000000">
            <w:pPr>
              <w:spacing w:before="20" w:after="20"/>
              <w:jc w:val="both"/>
            </w:pPr>
            <w:r>
              <w:rPr>
                <w:b/>
                <w:bCs/>
                <w:i/>
                <w:iCs/>
                <w:sz w:val="18"/>
                <w:szCs w:val="18"/>
              </w:rPr>
              <w:t xml:space="preserve">Elemento de competencia 1: </w:t>
            </w:r>
            <w:r>
              <w:rPr>
                <w:sz w:val="18"/>
                <w:szCs w:val="18"/>
              </w:rPr>
              <w:t>Caracteriza las Entidades Sin Fines de Lucro y los proyectos privados y públicos que administran y ejecutan, sus estados financieros de propósito general y específico y su gestión financiera, diferenciándola de la gestión de las entidades lucrativas.</w:t>
            </w:r>
          </w:p>
        </w:tc>
      </w:tr>
      <w:tr w:rsidR="00990B14" w14:paraId="72AD0D9B" w14:textId="77777777">
        <w:trPr>
          <w:cantSplit/>
          <w:jc w:val="center"/>
        </w:trPr>
        <w:tc>
          <w:tcPr>
            <w:tcW w:w="3133" w:type="dxa"/>
            <w:gridSpan w:val="4"/>
            <w:shd w:val="clear" w:color="auto" w:fill="4472C4"/>
            <w:vAlign w:val="center"/>
          </w:tcPr>
          <w:p w14:paraId="0E2F662D"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4B6F8751"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10A70665" w14:textId="77777777" w:rsidR="00990B14" w:rsidRDefault="00000000">
            <w:pPr>
              <w:keepNext/>
              <w:spacing w:before="20" w:after="20"/>
              <w:jc w:val="center"/>
            </w:pPr>
            <w:r>
              <w:rPr>
                <w:b/>
                <w:bCs/>
                <w:i/>
                <w:iCs/>
                <w:color w:val="FFFFFF"/>
                <w:sz w:val="18"/>
                <w:szCs w:val="18"/>
              </w:rPr>
              <w:t>Evidencias de producto</w:t>
            </w:r>
          </w:p>
        </w:tc>
      </w:tr>
      <w:tr w:rsidR="00990B14" w14:paraId="424EE32B" w14:textId="77777777">
        <w:trPr>
          <w:cantSplit/>
          <w:jc w:val="center"/>
        </w:trPr>
        <w:tc>
          <w:tcPr>
            <w:tcW w:w="3133" w:type="dxa"/>
            <w:gridSpan w:val="4"/>
            <w:vMerge w:val="restart"/>
            <w:shd w:val="clear" w:color="auto" w:fill="D9E2F3"/>
            <w:vAlign w:val="center"/>
          </w:tcPr>
          <w:p w14:paraId="73EFE6FF" w14:textId="77777777" w:rsidR="00990B14" w:rsidRDefault="00000000">
            <w:pPr>
              <w:spacing w:before="20" w:after="20"/>
              <w:jc w:val="both"/>
            </w:pPr>
            <w:r>
              <w:rPr>
                <w:sz w:val="18"/>
                <w:szCs w:val="18"/>
              </w:rPr>
              <w:t>1. Caracteriza a las Entidades Sin Fines de Lucro y a sus proyectos según su régimen jurídico, los encargos de aseguramiento aplicables y los estados financieros de propósito general y específico que presentan, conforme al Código Civil, a la Ley N.º 351 y al marco internacional de aseguramiento.</w:t>
            </w:r>
          </w:p>
        </w:tc>
        <w:tc>
          <w:tcPr>
            <w:tcW w:w="3135" w:type="dxa"/>
            <w:gridSpan w:val="5"/>
            <w:shd w:val="clear" w:color="auto" w:fill="D9E2F3"/>
            <w:vAlign w:val="center"/>
          </w:tcPr>
          <w:p w14:paraId="557DAFDC" w14:textId="77777777" w:rsidR="00990B14" w:rsidRDefault="00000000">
            <w:pPr>
              <w:spacing w:before="20" w:after="20"/>
              <w:jc w:val="both"/>
            </w:pPr>
            <w:r>
              <w:rPr>
                <w:sz w:val="18"/>
                <w:szCs w:val="18"/>
              </w:rPr>
              <w:t>1.1 Clasifica en equipo, a partir de un caso, la naturaleza jurídica de una entidad sin fines de lucro y los encargos aplicables (auditoría, revisión, procedimientos acordados y compilación).</w:t>
            </w:r>
          </w:p>
        </w:tc>
        <w:tc>
          <w:tcPr>
            <w:tcW w:w="3137" w:type="dxa"/>
            <w:gridSpan w:val="4"/>
            <w:shd w:val="clear" w:color="auto" w:fill="D9E2F3"/>
            <w:vAlign w:val="center"/>
          </w:tcPr>
          <w:p w14:paraId="51D06210" w14:textId="77777777" w:rsidR="00990B14" w:rsidRDefault="00000000">
            <w:pPr>
              <w:spacing w:before="20" w:after="20"/>
              <w:jc w:val="both"/>
            </w:pPr>
            <w:r>
              <w:rPr>
                <w:b/>
                <w:bCs/>
                <w:sz w:val="18"/>
                <w:szCs w:val="18"/>
              </w:rPr>
              <w:t xml:space="preserve">Producto 1: </w:t>
            </w:r>
            <w:r>
              <w:rPr>
                <w:sz w:val="18"/>
                <w:szCs w:val="18"/>
              </w:rPr>
              <w:t>Cuadro de caracterización jurídica de la entidad y de los encargos aplicables.</w:t>
            </w:r>
          </w:p>
        </w:tc>
      </w:tr>
      <w:tr w:rsidR="00990B14" w14:paraId="767108F9" w14:textId="77777777">
        <w:trPr>
          <w:cantSplit/>
          <w:jc w:val="center"/>
        </w:trPr>
        <w:tc>
          <w:tcPr>
            <w:tcW w:w="3133" w:type="dxa"/>
            <w:gridSpan w:val="4"/>
            <w:vMerge/>
            <w:shd w:val="clear" w:color="auto" w:fill="D9E2F3"/>
            <w:vAlign w:val="center"/>
          </w:tcPr>
          <w:p w14:paraId="676DBCEA" w14:textId="77777777" w:rsidR="00990B14" w:rsidRDefault="00990B14">
            <w:pPr>
              <w:spacing w:before="20" w:after="20"/>
            </w:pPr>
          </w:p>
        </w:tc>
        <w:tc>
          <w:tcPr>
            <w:tcW w:w="3135" w:type="dxa"/>
            <w:gridSpan w:val="5"/>
            <w:shd w:val="clear" w:color="auto" w:fill="D9E2F3"/>
            <w:vAlign w:val="center"/>
          </w:tcPr>
          <w:p w14:paraId="77F5441B" w14:textId="77777777" w:rsidR="00990B14" w:rsidRDefault="00000000">
            <w:pPr>
              <w:spacing w:before="20" w:after="20"/>
              <w:jc w:val="both"/>
            </w:pPr>
            <w:r>
              <w:rPr>
                <w:sz w:val="18"/>
                <w:szCs w:val="18"/>
              </w:rPr>
              <w:t>1.2 Clasifica en aula los estados financieros de propósito general y de propósito específico que una entidad y su proyecto presentan a sus usuarios y al financiador.</w:t>
            </w:r>
          </w:p>
        </w:tc>
        <w:tc>
          <w:tcPr>
            <w:tcW w:w="3137" w:type="dxa"/>
            <w:gridSpan w:val="4"/>
            <w:shd w:val="clear" w:color="auto" w:fill="D9E2F3"/>
            <w:vAlign w:val="center"/>
          </w:tcPr>
          <w:p w14:paraId="1742BD9E" w14:textId="77777777" w:rsidR="00990B14" w:rsidRDefault="00000000">
            <w:pPr>
              <w:spacing w:before="20" w:after="20"/>
              <w:jc w:val="both"/>
            </w:pPr>
            <w:r>
              <w:rPr>
                <w:b/>
                <w:bCs/>
                <w:sz w:val="18"/>
                <w:szCs w:val="18"/>
              </w:rPr>
              <w:t xml:space="preserve">Producto 2: </w:t>
            </w:r>
            <w:r>
              <w:rPr>
                <w:sz w:val="18"/>
                <w:szCs w:val="18"/>
              </w:rPr>
              <w:t>Matriz comparativa de los estados financieros de propósito general y específico de la entidad y de su proyecto.</w:t>
            </w:r>
          </w:p>
        </w:tc>
      </w:tr>
      <w:tr w:rsidR="00990B14" w14:paraId="069939EE" w14:textId="77777777">
        <w:trPr>
          <w:cantSplit/>
          <w:jc w:val="center"/>
        </w:trPr>
        <w:tc>
          <w:tcPr>
            <w:tcW w:w="3133" w:type="dxa"/>
            <w:gridSpan w:val="4"/>
            <w:vMerge w:val="restart"/>
            <w:shd w:val="clear" w:color="auto" w:fill="D9E2F3"/>
            <w:vAlign w:val="center"/>
          </w:tcPr>
          <w:p w14:paraId="69722999" w14:textId="77777777" w:rsidR="00990B14" w:rsidRDefault="00000000">
            <w:pPr>
              <w:spacing w:before="20" w:after="20"/>
              <w:jc w:val="both"/>
            </w:pPr>
            <w:r>
              <w:rPr>
                <w:sz w:val="18"/>
                <w:szCs w:val="18"/>
              </w:rPr>
              <w:t>2. Estructura el ciclo, la gestión por resultados y la gestión financiera de un proyecto, vinculando sus indicadores con los Objetivos de Desarrollo Sostenible y con la planificación estatal y diferenciando el tratamiento de las contribuciones, las donaciones y la contraparte.</w:t>
            </w:r>
          </w:p>
        </w:tc>
        <w:tc>
          <w:tcPr>
            <w:tcW w:w="3135" w:type="dxa"/>
            <w:gridSpan w:val="5"/>
            <w:shd w:val="clear" w:color="auto" w:fill="D9E2F3"/>
            <w:vAlign w:val="center"/>
          </w:tcPr>
          <w:p w14:paraId="5BB2B736" w14:textId="77777777" w:rsidR="00990B14" w:rsidRDefault="00000000">
            <w:pPr>
              <w:spacing w:before="20" w:after="20"/>
              <w:jc w:val="both"/>
            </w:pPr>
            <w:r>
              <w:rPr>
                <w:sz w:val="18"/>
                <w:szCs w:val="18"/>
              </w:rPr>
              <w:t>2.1 Elabora en equipo el marco lógico de un proyecto con sus indicadores, metas y medios de verificación, alineados a los Objetivos de Desarrollo Sostenible.</w:t>
            </w:r>
          </w:p>
        </w:tc>
        <w:tc>
          <w:tcPr>
            <w:tcW w:w="3137" w:type="dxa"/>
            <w:gridSpan w:val="4"/>
            <w:shd w:val="clear" w:color="auto" w:fill="D9E2F3"/>
            <w:vAlign w:val="center"/>
          </w:tcPr>
          <w:p w14:paraId="722B6A48" w14:textId="77777777" w:rsidR="00990B14" w:rsidRDefault="00000000">
            <w:pPr>
              <w:spacing w:before="20" w:after="20"/>
              <w:jc w:val="both"/>
            </w:pPr>
            <w:r>
              <w:rPr>
                <w:b/>
                <w:bCs/>
                <w:sz w:val="18"/>
                <w:szCs w:val="18"/>
              </w:rPr>
              <w:t xml:space="preserve">Producto 3: </w:t>
            </w:r>
            <w:r>
              <w:rPr>
                <w:sz w:val="18"/>
                <w:szCs w:val="18"/>
              </w:rPr>
              <w:t>Marco lógico del proyecto con su matriz de indicadores alineada a los ODS y a la planificación estatal.</w:t>
            </w:r>
          </w:p>
        </w:tc>
      </w:tr>
      <w:tr w:rsidR="00990B14" w14:paraId="2F720550" w14:textId="77777777">
        <w:trPr>
          <w:cantSplit/>
          <w:jc w:val="center"/>
        </w:trPr>
        <w:tc>
          <w:tcPr>
            <w:tcW w:w="3133" w:type="dxa"/>
            <w:gridSpan w:val="4"/>
            <w:vMerge/>
            <w:shd w:val="clear" w:color="auto" w:fill="D9E2F3"/>
            <w:vAlign w:val="center"/>
          </w:tcPr>
          <w:p w14:paraId="3F5016FC" w14:textId="77777777" w:rsidR="00990B14" w:rsidRDefault="00990B14">
            <w:pPr>
              <w:spacing w:before="20" w:after="20"/>
            </w:pPr>
          </w:p>
        </w:tc>
        <w:tc>
          <w:tcPr>
            <w:tcW w:w="3135" w:type="dxa"/>
            <w:gridSpan w:val="5"/>
            <w:shd w:val="clear" w:color="auto" w:fill="D9E2F3"/>
            <w:vAlign w:val="center"/>
          </w:tcPr>
          <w:p w14:paraId="7E8E8BDF" w14:textId="77777777" w:rsidR="00990B14" w:rsidRDefault="00000000">
            <w:pPr>
              <w:spacing w:before="20" w:after="20"/>
              <w:jc w:val="both"/>
            </w:pPr>
            <w:r>
              <w:rPr>
                <w:sz w:val="18"/>
                <w:szCs w:val="18"/>
              </w:rPr>
              <w:t>2.2 Expone ante el curso la gestión financiera de una entidad no lucrativa, sus fuentes de financiamiento y sus obligaciones de prevención de legitimación de ganancias ilícitas en la recepción de donaciones.</w:t>
            </w:r>
          </w:p>
        </w:tc>
        <w:tc>
          <w:tcPr>
            <w:tcW w:w="3137" w:type="dxa"/>
            <w:gridSpan w:val="4"/>
            <w:shd w:val="clear" w:color="auto" w:fill="D9E2F3"/>
            <w:vAlign w:val="center"/>
          </w:tcPr>
          <w:p w14:paraId="3D98F168" w14:textId="77777777" w:rsidR="00990B14" w:rsidRDefault="00000000">
            <w:pPr>
              <w:spacing w:before="20" w:after="20"/>
              <w:jc w:val="both"/>
            </w:pPr>
            <w:r>
              <w:rPr>
                <w:b/>
                <w:bCs/>
                <w:sz w:val="18"/>
                <w:szCs w:val="18"/>
              </w:rPr>
              <w:t xml:space="preserve">Producto 4: </w:t>
            </w:r>
            <w:r>
              <w:rPr>
                <w:sz w:val="18"/>
                <w:szCs w:val="18"/>
              </w:rPr>
              <w:t>Cuadro comparativo de la gestión financiera lucrativa y no lucrativa con el esquema de fuentes de fondos y de obligaciones ante la UIF.</w:t>
            </w:r>
          </w:p>
        </w:tc>
      </w:tr>
      <w:tr w:rsidR="00990B14" w14:paraId="4B5E4408" w14:textId="77777777">
        <w:trPr>
          <w:cantSplit/>
          <w:jc w:val="center"/>
        </w:trPr>
        <w:tc>
          <w:tcPr>
            <w:tcW w:w="9405" w:type="dxa"/>
            <w:gridSpan w:val="13"/>
            <w:shd w:val="clear" w:color="auto" w:fill="4472C4"/>
            <w:vAlign w:val="center"/>
          </w:tcPr>
          <w:p w14:paraId="4442A26F" w14:textId="77777777" w:rsidR="00990B14" w:rsidRDefault="00000000">
            <w:pPr>
              <w:keepNext/>
              <w:spacing w:before="20" w:after="20"/>
              <w:jc w:val="center"/>
            </w:pPr>
            <w:r>
              <w:rPr>
                <w:b/>
                <w:bCs/>
                <w:i/>
                <w:iCs/>
                <w:color w:val="FFFFFF"/>
                <w:sz w:val="18"/>
                <w:szCs w:val="18"/>
              </w:rPr>
              <w:t>Evidencias de conocimiento</w:t>
            </w:r>
          </w:p>
        </w:tc>
      </w:tr>
      <w:tr w:rsidR="00990B14" w14:paraId="231FBC6C" w14:textId="77777777">
        <w:trPr>
          <w:cantSplit/>
          <w:jc w:val="center"/>
        </w:trPr>
        <w:tc>
          <w:tcPr>
            <w:tcW w:w="2349" w:type="dxa"/>
            <w:gridSpan w:val="2"/>
            <w:shd w:val="clear" w:color="auto" w:fill="4472C4"/>
            <w:vAlign w:val="center"/>
          </w:tcPr>
          <w:p w14:paraId="7A64BA39"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05491C50" w14:textId="77777777" w:rsidR="00990B14" w:rsidRDefault="00000000">
            <w:pPr>
              <w:keepNext/>
              <w:spacing w:before="20" w:after="20"/>
              <w:jc w:val="both"/>
            </w:pPr>
            <w:r>
              <w:rPr>
                <w:b/>
                <w:bCs/>
                <w:i/>
                <w:iCs/>
                <w:color w:val="FFFFFF"/>
                <w:sz w:val="18"/>
                <w:szCs w:val="18"/>
              </w:rPr>
              <w:t>Contenidos</w:t>
            </w:r>
          </w:p>
          <w:p w14:paraId="60CFE96D"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233AD590" w14:textId="77777777" w:rsidR="00990B14" w:rsidRDefault="00000000">
            <w:pPr>
              <w:keepNext/>
              <w:spacing w:before="20" w:after="20"/>
              <w:jc w:val="center"/>
            </w:pPr>
            <w:r>
              <w:rPr>
                <w:b/>
                <w:bCs/>
                <w:i/>
                <w:iCs/>
                <w:color w:val="FFFFFF"/>
                <w:sz w:val="18"/>
                <w:szCs w:val="18"/>
              </w:rPr>
              <w:t>Conocimientos circunstanciales</w:t>
            </w:r>
          </w:p>
        </w:tc>
      </w:tr>
      <w:tr w:rsidR="00990B14" w14:paraId="67522363" w14:textId="77777777">
        <w:trPr>
          <w:jc w:val="center"/>
        </w:trPr>
        <w:tc>
          <w:tcPr>
            <w:tcW w:w="2349" w:type="dxa"/>
            <w:gridSpan w:val="2"/>
            <w:shd w:val="clear" w:color="auto" w:fill="D9E2F3"/>
          </w:tcPr>
          <w:p w14:paraId="138C3D2D" w14:textId="77777777" w:rsidR="00990B14" w:rsidRDefault="00000000">
            <w:pPr>
              <w:spacing w:before="20" w:after="40"/>
              <w:jc w:val="both"/>
            </w:pPr>
            <w:r>
              <w:rPr>
                <w:b/>
                <w:bCs/>
                <w:sz w:val="18"/>
                <w:szCs w:val="18"/>
              </w:rPr>
              <w:t>Tema 1: Introducción y definición de conceptos generales</w:t>
            </w:r>
          </w:p>
          <w:p w14:paraId="061394D5" w14:textId="77777777" w:rsidR="00990B14" w:rsidRDefault="00000000">
            <w:pPr>
              <w:spacing w:before="20" w:after="40"/>
              <w:jc w:val="both"/>
            </w:pPr>
            <w:r>
              <w:rPr>
                <w:b/>
                <w:bCs/>
                <w:sz w:val="18"/>
                <w:szCs w:val="18"/>
              </w:rPr>
              <w:t>Tema 2: Estados financieros de propósitos generales y específicos (especiales)</w:t>
            </w:r>
          </w:p>
          <w:p w14:paraId="38416CAC" w14:textId="77777777" w:rsidR="00990B14" w:rsidRDefault="00000000">
            <w:pPr>
              <w:spacing w:before="20" w:after="40"/>
              <w:jc w:val="both"/>
            </w:pPr>
            <w:r>
              <w:rPr>
                <w:b/>
                <w:bCs/>
                <w:sz w:val="18"/>
                <w:szCs w:val="18"/>
              </w:rPr>
              <w:t>Tema 3: Gestión financiera de las Entidades Sin Fines de Lucro y los proyectos que administran y ejecutan</w:t>
            </w:r>
          </w:p>
        </w:tc>
        <w:tc>
          <w:tcPr>
            <w:tcW w:w="4304" w:type="dxa"/>
            <w:gridSpan w:val="8"/>
            <w:shd w:val="clear" w:color="auto" w:fill="D9E2F3"/>
          </w:tcPr>
          <w:p w14:paraId="40F2CC4A" w14:textId="77777777" w:rsidR="00990B14" w:rsidRDefault="00000000">
            <w:pPr>
              <w:spacing w:after="40"/>
              <w:jc w:val="both"/>
            </w:pPr>
            <w:r>
              <w:rPr>
                <w:sz w:val="18"/>
                <w:szCs w:val="18"/>
              </w:rPr>
              <w:t>Concepto de aseguramiento y de servicios relacionados; tipos de auditoría (financiera, de cumplimiento, operacional y especial) y tipos de encargo: auditoría, revisión, otros encargos de aseguramiento, procedimientos acordados y compilación. (C)</w:t>
            </w:r>
          </w:p>
          <w:p w14:paraId="3D940980" w14:textId="77777777" w:rsidR="00990B14" w:rsidRDefault="00000000">
            <w:pPr>
              <w:spacing w:after="40"/>
              <w:jc w:val="both"/>
            </w:pPr>
            <w:r>
              <w:rPr>
                <w:sz w:val="18"/>
                <w:szCs w:val="18"/>
              </w:rPr>
              <w:t>Concepto, características y clasificación de las Entidades Sin Fines de Lucro (asociaciones, fundaciones, organizaciones no gubernamentales nacionales y extranjeras, entidades religiosas) y de los proyectos privados y públicos que administran y ejecutan. (C)</w:t>
            </w:r>
          </w:p>
          <w:p w14:paraId="733D4C70" w14:textId="77777777" w:rsidR="00990B14" w:rsidRDefault="00000000">
            <w:pPr>
              <w:spacing w:after="40"/>
              <w:jc w:val="both"/>
            </w:pPr>
            <w:r>
              <w:rPr>
                <w:sz w:val="18"/>
                <w:szCs w:val="18"/>
              </w:rPr>
              <w:t>Régimen jurídico: Código Civil (Decreto Ley N.º 12760) sobre asociaciones y fundaciones; Ley N.º 351 de 19 de marzo de 2013 y Decreto Supremo N.º 1597 de 5 de junio de 2013, reglamentario y otros. (C)</w:t>
            </w:r>
          </w:p>
          <w:p w14:paraId="11AA55D5" w14:textId="77777777" w:rsidR="00990B14" w:rsidRDefault="00000000">
            <w:pPr>
              <w:spacing w:after="40"/>
              <w:jc w:val="both"/>
            </w:pPr>
            <w:r>
              <w:rPr>
                <w:sz w:val="18"/>
                <w:szCs w:val="18"/>
              </w:rPr>
              <w:t>Clasificación de casos de entidades según su naturaleza jurídica, su fuente de recursos y el encargo profesional requerido. (P)</w:t>
            </w:r>
          </w:p>
          <w:p w14:paraId="4EAB8AA5" w14:textId="77777777" w:rsidR="00990B14" w:rsidRDefault="00000000">
            <w:pPr>
              <w:spacing w:after="40"/>
              <w:jc w:val="both"/>
            </w:pPr>
            <w:r>
              <w:rPr>
                <w:sz w:val="18"/>
                <w:szCs w:val="18"/>
              </w:rPr>
              <w:t>Responsabilidad del auditor frente al interés público en la fiscalización de recursos ajenos: independencia, objetividad y escepticismo profesional. (A)</w:t>
            </w:r>
          </w:p>
          <w:p w14:paraId="25F2B39C" w14:textId="77777777" w:rsidR="00990B14" w:rsidRDefault="00000000">
            <w:pPr>
              <w:spacing w:after="40"/>
              <w:jc w:val="both"/>
            </w:pPr>
            <w:r>
              <w:rPr>
                <w:sz w:val="18"/>
                <w:szCs w:val="18"/>
              </w:rPr>
              <w:t>Consulta de normativa y de registros públicos en línea (Gaceta Oficial de Bolivia, registro de personalidades jurídicas). (T)</w:t>
            </w:r>
          </w:p>
          <w:p w14:paraId="6AE12F14" w14:textId="77777777" w:rsidR="00990B14" w:rsidRDefault="00000000">
            <w:pPr>
              <w:spacing w:after="40"/>
              <w:jc w:val="both"/>
            </w:pPr>
            <w:r>
              <w:rPr>
                <w:sz w:val="18"/>
                <w:szCs w:val="18"/>
              </w:rPr>
              <w:t>Estados financieros de propósito general de las Entidades Sin Fines de Lucro: objetivo, usuarios y componentes. (C)</w:t>
            </w:r>
          </w:p>
          <w:p w14:paraId="5BD7F013" w14:textId="77777777" w:rsidR="00990B14" w:rsidRDefault="00000000">
            <w:pPr>
              <w:spacing w:after="40"/>
              <w:jc w:val="both"/>
            </w:pPr>
            <w:r>
              <w:rPr>
                <w:sz w:val="18"/>
                <w:szCs w:val="18"/>
              </w:rPr>
              <w:t>Estados financieros de propósito específico exigidos por los convenios: estado de fuentes y usos de fondos, estado de inversiones acumuladas, estado de ejecución presupuestaria, estado de solicitudes de desembolso y notas. (C)</w:t>
            </w:r>
          </w:p>
          <w:p w14:paraId="0621F2A1" w14:textId="77777777" w:rsidR="00990B14" w:rsidRDefault="00000000">
            <w:pPr>
              <w:spacing w:after="40"/>
              <w:jc w:val="both"/>
            </w:pPr>
            <w:r>
              <w:rPr>
                <w:sz w:val="18"/>
                <w:szCs w:val="18"/>
              </w:rPr>
              <w:t>Relación entre la información financiera de la entidad y la de cada proyecto; rendición de cuentas al financiador. (C)</w:t>
            </w:r>
          </w:p>
          <w:p w14:paraId="5F65C947" w14:textId="77777777" w:rsidR="00990B14" w:rsidRDefault="00000000">
            <w:pPr>
              <w:spacing w:after="40"/>
              <w:jc w:val="both"/>
            </w:pPr>
            <w:r>
              <w:rPr>
                <w:sz w:val="18"/>
                <w:szCs w:val="18"/>
              </w:rPr>
              <w:t>Identificación, a partir de las cláusulas de un convenio, de los estados financieros que deben presentar la entidad y su proyecto. (P)</w:t>
            </w:r>
          </w:p>
          <w:p w14:paraId="5EE78ADF" w14:textId="77777777" w:rsidR="00990B14" w:rsidRDefault="00000000">
            <w:pPr>
              <w:spacing w:after="40"/>
              <w:jc w:val="both"/>
            </w:pPr>
            <w:r>
              <w:rPr>
                <w:sz w:val="18"/>
                <w:szCs w:val="18"/>
              </w:rPr>
              <w:t>Transparencia y rendición de cuentas como valores de la administración de recursos ajenos. (A)</w:t>
            </w:r>
          </w:p>
          <w:p w14:paraId="73C7844B" w14:textId="77777777" w:rsidR="00990B14" w:rsidRDefault="00000000">
            <w:pPr>
              <w:spacing w:after="40"/>
              <w:jc w:val="both"/>
            </w:pPr>
            <w:r>
              <w:rPr>
                <w:sz w:val="18"/>
                <w:szCs w:val="18"/>
              </w:rPr>
              <w:t>Lectura de estados financieros y de informes de rendición de cuentas publicados en los portales de las entidades y de los financiadores. (T)</w:t>
            </w:r>
          </w:p>
          <w:p w14:paraId="482B380B" w14:textId="77777777" w:rsidR="00990B14" w:rsidRDefault="00000000">
            <w:pPr>
              <w:spacing w:after="40"/>
              <w:jc w:val="both"/>
            </w:pPr>
            <w:r>
              <w:rPr>
                <w:sz w:val="18"/>
                <w:szCs w:val="18"/>
              </w:rPr>
              <w:t>Tipos de proyecto, ciclo del proyecto y atributos comunes; gestión, seguimiento y partes interesadas; restricciones tradicionales (alcance, tiempo, costo y calidad) y posibles alteraciones. (C)</w:t>
            </w:r>
          </w:p>
          <w:p w14:paraId="3D11CF25" w14:textId="77777777" w:rsidR="00990B14" w:rsidRDefault="00000000">
            <w:pPr>
              <w:spacing w:after="40"/>
              <w:jc w:val="both"/>
            </w:pPr>
            <w:r>
              <w:rPr>
                <w:sz w:val="18"/>
                <w:szCs w:val="18"/>
              </w:rPr>
              <w:t>Gestión por resultados: plan estratégico, marco lógico, indicadores, metas y medios de verificación. (C, P)</w:t>
            </w:r>
          </w:p>
          <w:p w14:paraId="6F448D6A" w14:textId="77777777" w:rsidR="00990B14" w:rsidRDefault="00000000">
            <w:pPr>
              <w:spacing w:after="40"/>
              <w:jc w:val="both"/>
            </w:pPr>
            <w:r>
              <w:rPr>
                <w:sz w:val="18"/>
                <w:szCs w:val="18"/>
              </w:rPr>
              <w:t>Alineación de los resultados del proyecto con la Agenda 2030 y los Objetivos de Desarrollo Sostenible y con el Sistema de Planificación Integral del Estado (Ley N.º 777). (C)</w:t>
            </w:r>
          </w:p>
          <w:p w14:paraId="33F20695" w14:textId="77777777" w:rsidR="00990B14" w:rsidRDefault="00000000">
            <w:pPr>
              <w:spacing w:after="40"/>
              <w:jc w:val="both"/>
            </w:pPr>
            <w:r>
              <w:rPr>
                <w:sz w:val="18"/>
                <w:szCs w:val="18"/>
              </w:rPr>
              <w:t>Diferencias entre instituciones lucrativas y no lucrativas; la función financiera en la estructura organizacional; administración, ejecución y finanzas. (C)</w:t>
            </w:r>
          </w:p>
          <w:p w14:paraId="66F34B55" w14:textId="77777777" w:rsidR="00990B14" w:rsidRDefault="00000000">
            <w:pPr>
              <w:spacing w:after="40"/>
              <w:jc w:val="both"/>
            </w:pPr>
            <w:r>
              <w:rPr>
                <w:sz w:val="18"/>
                <w:szCs w:val="18"/>
              </w:rPr>
              <w:t>Contribuciones, donaciones y contraparte de co-ejecución; obtención y asignación de fondos por fuente. (P)</w:t>
            </w:r>
          </w:p>
          <w:p w14:paraId="1E9DE77A" w14:textId="77777777" w:rsidR="00990B14" w:rsidRDefault="00000000">
            <w:pPr>
              <w:spacing w:after="40"/>
              <w:jc w:val="both"/>
            </w:pPr>
            <w:r>
              <w:rPr>
                <w:sz w:val="18"/>
                <w:szCs w:val="18"/>
              </w:rPr>
              <w:t>Subvenciones en cascada (sub-granting) y co-ejecutores: transferencia de fondos a terceros, evaluación de su capacidad fiduciaria y rendición de cuentas en cadena. (C, P)</w:t>
            </w:r>
          </w:p>
          <w:p w14:paraId="2AC606DE" w14:textId="77777777" w:rsidR="00990B14" w:rsidRDefault="00000000">
            <w:pPr>
              <w:spacing w:after="40"/>
              <w:jc w:val="both"/>
            </w:pPr>
            <w:r>
              <w:rPr>
                <w:sz w:val="18"/>
                <w:szCs w:val="18"/>
              </w:rPr>
              <w:t>Prevención de la legitimación de ganancias ilícitas y del financiamiento del terrorismo en la recepción de donaciones y transferencias (Recomendación 8 del GAFI); obligaciones de registro y reporte ante la Unidad de Investigaciones Financieras; identificación del beneficiario final de los donantes y de los receptores de fondos. (C, A)</w:t>
            </w:r>
          </w:p>
          <w:p w14:paraId="0A023A6F" w14:textId="77777777" w:rsidR="00990B14" w:rsidRDefault="00000000">
            <w:pPr>
              <w:spacing w:after="40"/>
              <w:jc w:val="both"/>
            </w:pPr>
            <w:r>
              <w:rPr>
                <w:sz w:val="18"/>
                <w:szCs w:val="18"/>
              </w:rPr>
              <w:t>Elaboración del marco lógico y de la matriz de indicadores en hoja de cálculo o en herramientas colaborativas en línea. (P, T)</w:t>
            </w:r>
          </w:p>
        </w:tc>
        <w:tc>
          <w:tcPr>
            <w:tcW w:w="2752" w:type="dxa"/>
            <w:gridSpan w:val="3"/>
            <w:shd w:val="clear" w:color="auto" w:fill="D9E2F3"/>
          </w:tcPr>
          <w:p w14:paraId="12886841" w14:textId="77777777" w:rsidR="00990B14" w:rsidRDefault="00000000">
            <w:pPr>
              <w:numPr>
                <w:ilvl w:val="0"/>
                <w:numId w:val="139"/>
              </w:numPr>
              <w:spacing w:before="10" w:after="10"/>
              <w:jc w:val="both"/>
            </w:pPr>
            <w:r>
              <w:rPr>
                <w:sz w:val="18"/>
                <w:szCs w:val="18"/>
              </w:rPr>
              <w:t>Organización y gobierno de las organizaciones no gubernamentales y de las fundaciones que operan en Bolivia.</w:t>
            </w:r>
          </w:p>
          <w:p w14:paraId="1614345F" w14:textId="77777777" w:rsidR="00990B14" w:rsidRDefault="00000000">
            <w:pPr>
              <w:numPr>
                <w:ilvl w:val="0"/>
                <w:numId w:val="139"/>
              </w:numPr>
              <w:spacing w:before="10" w:after="10"/>
              <w:jc w:val="both"/>
            </w:pPr>
            <w:r>
              <w:rPr>
                <w:sz w:val="18"/>
                <w:szCs w:val="18"/>
              </w:rPr>
              <w:t>Modalidades de la cooperación internacional al desarrollo: reembolsable y no reembolsable.</w:t>
            </w:r>
          </w:p>
          <w:p w14:paraId="2029E12D" w14:textId="77777777" w:rsidR="00990B14" w:rsidRDefault="00000000">
            <w:pPr>
              <w:numPr>
                <w:ilvl w:val="0"/>
                <w:numId w:val="139"/>
              </w:numPr>
              <w:spacing w:before="10" w:after="10"/>
              <w:jc w:val="both"/>
            </w:pPr>
            <w:r>
              <w:rPr>
                <w:sz w:val="18"/>
                <w:szCs w:val="18"/>
              </w:rPr>
              <w:t>Formatos de rendición de cuentas exigidos por los financiadores bilaterales y multilaterales que operan en Bolivia.</w:t>
            </w:r>
          </w:p>
          <w:p w14:paraId="01B04BD3" w14:textId="77777777" w:rsidR="00990B14" w:rsidRDefault="00000000">
            <w:pPr>
              <w:numPr>
                <w:ilvl w:val="0"/>
                <w:numId w:val="139"/>
              </w:numPr>
              <w:spacing w:before="10" w:after="10"/>
              <w:jc w:val="both"/>
            </w:pPr>
            <w:r>
              <w:rPr>
                <w:sz w:val="18"/>
                <w:szCs w:val="18"/>
              </w:rPr>
              <w:t>Terminología financiera en inglés de los convenios de financiamiento.</w:t>
            </w:r>
          </w:p>
          <w:p w14:paraId="63599446" w14:textId="77777777" w:rsidR="00990B14" w:rsidRDefault="00000000">
            <w:pPr>
              <w:numPr>
                <w:ilvl w:val="0"/>
                <w:numId w:val="139"/>
              </w:numPr>
              <w:spacing w:before="10" w:after="10"/>
              <w:jc w:val="both"/>
            </w:pPr>
            <w:r>
              <w:rPr>
                <w:sz w:val="18"/>
                <w:szCs w:val="18"/>
              </w:rPr>
              <w:t>Normas NIIF S1 y S2 del ISSB (2023) como referencia internacional de divulgación de información de sostenibilidad.</w:t>
            </w:r>
          </w:p>
          <w:p w14:paraId="7E9A2B3A" w14:textId="77777777" w:rsidR="00990B14" w:rsidRDefault="00000000">
            <w:pPr>
              <w:numPr>
                <w:ilvl w:val="0"/>
                <w:numId w:val="139"/>
              </w:numPr>
              <w:spacing w:before="10" w:after="10"/>
              <w:jc w:val="both"/>
            </w:pPr>
            <w:r>
              <w:rPr>
                <w:sz w:val="18"/>
                <w:szCs w:val="18"/>
              </w:rPr>
              <w:t>Plan de Desarrollo Económico y Social vigente y su articulación con los proyectos de la cooperación.</w:t>
            </w:r>
          </w:p>
          <w:p w14:paraId="7B795331" w14:textId="77777777" w:rsidR="00990B14" w:rsidRDefault="00000000">
            <w:pPr>
              <w:numPr>
                <w:ilvl w:val="0"/>
                <w:numId w:val="139"/>
              </w:numPr>
              <w:spacing w:before="10" w:after="10"/>
              <w:jc w:val="both"/>
            </w:pPr>
            <w:r>
              <w:rPr>
                <w:sz w:val="18"/>
                <w:szCs w:val="18"/>
              </w:rPr>
              <w:t>Informes de resultados de proyectos de la cooperación vinculados a los Objetivos de Desarrollo Sostenible.</w:t>
            </w:r>
          </w:p>
          <w:p w14:paraId="78797A34" w14:textId="77777777" w:rsidR="00990B14" w:rsidRDefault="00000000">
            <w:pPr>
              <w:numPr>
                <w:ilvl w:val="0"/>
                <w:numId w:val="139"/>
              </w:numPr>
              <w:spacing w:before="10" w:after="10"/>
              <w:jc w:val="both"/>
            </w:pPr>
            <w:r>
              <w:rPr>
                <w:sz w:val="18"/>
                <w:szCs w:val="18"/>
              </w:rPr>
              <w:t>Tipologías regionales de uso indebido de organizaciones sin fines de lucro (GAFILAT).</w:t>
            </w:r>
          </w:p>
        </w:tc>
      </w:tr>
      <w:tr w:rsidR="00990B14" w14:paraId="70CDBB67" w14:textId="77777777">
        <w:trPr>
          <w:cantSplit/>
          <w:jc w:val="center"/>
        </w:trPr>
        <w:tc>
          <w:tcPr>
            <w:tcW w:w="9405" w:type="dxa"/>
            <w:gridSpan w:val="13"/>
            <w:shd w:val="clear" w:color="auto" w:fill="D9E2F3"/>
            <w:vAlign w:val="center"/>
          </w:tcPr>
          <w:p w14:paraId="5524689A" w14:textId="77777777" w:rsidR="00990B14" w:rsidRDefault="00000000">
            <w:pPr>
              <w:spacing w:before="20" w:after="20"/>
              <w:jc w:val="both"/>
            </w:pPr>
            <w:r>
              <w:rPr>
                <w:b/>
                <w:bCs/>
                <w:i/>
                <w:iCs/>
                <w:sz w:val="18"/>
                <w:szCs w:val="18"/>
              </w:rPr>
              <w:t xml:space="preserve">Elemento de competencia 2: </w:t>
            </w:r>
            <w:r>
              <w:rPr>
                <w:sz w:val="18"/>
                <w:szCs w:val="18"/>
              </w:rPr>
              <w:t>Prepara los estados financieros de propósito general y específico de las Entidades Sin Fines de Lucro y de sus proyectos conforme a los marcos de referencia de información financiera aplicables, considerando las regulaciones tributarias de las entidades sin fines de lucro y la ejecución presupuestaria del convenio.</w:t>
            </w:r>
          </w:p>
        </w:tc>
      </w:tr>
      <w:tr w:rsidR="00990B14" w14:paraId="516F195C" w14:textId="77777777">
        <w:trPr>
          <w:cantSplit/>
          <w:jc w:val="center"/>
        </w:trPr>
        <w:tc>
          <w:tcPr>
            <w:tcW w:w="3133" w:type="dxa"/>
            <w:gridSpan w:val="4"/>
            <w:shd w:val="clear" w:color="auto" w:fill="4472C4"/>
            <w:vAlign w:val="center"/>
          </w:tcPr>
          <w:p w14:paraId="1F9B47FF"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2325B291"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78402F9A" w14:textId="77777777" w:rsidR="00990B14" w:rsidRDefault="00000000">
            <w:pPr>
              <w:keepNext/>
              <w:spacing w:before="20" w:after="20"/>
              <w:jc w:val="center"/>
            </w:pPr>
            <w:r>
              <w:rPr>
                <w:b/>
                <w:bCs/>
                <w:i/>
                <w:iCs/>
                <w:color w:val="FFFFFF"/>
                <w:sz w:val="18"/>
                <w:szCs w:val="18"/>
              </w:rPr>
              <w:t>Evidencias de producto</w:t>
            </w:r>
          </w:p>
        </w:tc>
      </w:tr>
      <w:tr w:rsidR="00990B14" w14:paraId="1C451308" w14:textId="77777777">
        <w:trPr>
          <w:cantSplit/>
          <w:jc w:val="center"/>
        </w:trPr>
        <w:tc>
          <w:tcPr>
            <w:tcW w:w="3133" w:type="dxa"/>
            <w:gridSpan w:val="4"/>
            <w:vMerge w:val="restart"/>
            <w:shd w:val="clear" w:color="auto" w:fill="D9E2F3"/>
            <w:vAlign w:val="center"/>
          </w:tcPr>
          <w:p w14:paraId="2E2CC659" w14:textId="77777777" w:rsidR="00990B14" w:rsidRDefault="00000000">
            <w:pPr>
              <w:spacing w:before="20" w:after="20"/>
              <w:jc w:val="both"/>
            </w:pPr>
            <w:r>
              <w:rPr>
                <w:sz w:val="18"/>
                <w:szCs w:val="18"/>
              </w:rPr>
              <w:t>1. Aplica el marco conceptual y las normas de información financiera pertinentes (NIC 20, Sección 24 de la NIIF para las PYMES, NICSP 47 e INPAS) al reconocimiento, medición, presentación y revelación de las contribuciones, las subvenciones, los fondos restringidos y las diferencias de cambio del convenio.</w:t>
            </w:r>
          </w:p>
        </w:tc>
        <w:tc>
          <w:tcPr>
            <w:tcW w:w="3135" w:type="dxa"/>
            <w:gridSpan w:val="5"/>
            <w:shd w:val="clear" w:color="auto" w:fill="D9E2F3"/>
            <w:vAlign w:val="center"/>
          </w:tcPr>
          <w:p w14:paraId="06C21BB4" w14:textId="77777777" w:rsidR="00990B14" w:rsidRDefault="00000000">
            <w:pPr>
              <w:spacing w:before="20" w:after="20"/>
              <w:jc w:val="both"/>
            </w:pPr>
            <w:r>
              <w:rPr>
                <w:sz w:val="18"/>
                <w:szCs w:val="18"/>
              </w:rPr>
              <w:t>1.1 Resuelve en aula un caso de reconocimiento de subvenciones y donaciones restringidas, no restringidas y en especie, conforme a la INPAS y a la NIC 20.</w:t>
            </w:r>
          </w:p>
        </w:tc>
        <w:tc>
          <w:tcPr>
            <w:tcW w:w="3137" w:type="dxa"/>
            <w:gridSpan w:val="4"/>
            <w:shd w:val="clear" w:color="auto" w:fill="D9E2F3"/>
            <w:vAlign w:val="center"/>
          </w:tcPr>
          <w:p w14:paraId="5FAD73EC" w14:textId="77777777" w:rsidR="00990B14" w:rsidRDefault="00000000">
            <w:pPr>
              <w:spacing w:before="20" w:after="20"/>
              <w:jc w:val="both"/>
            </w:pPr>
            <w:r>
              <w:rPr>
                <w:b/>
                <w:bCs/>
                <w:sz w:val="18"/>
                <w:szCs w:val="18"/>
              </w:rPr>
              <w:t xml:space="preserve">Producto 5: </w:t>
            </w:r>
            <w:r>
              <w:rPr>
                <w:sz w:val="18"/>
                <w:szCs w:val="18"/>
              </w:rPr>
              <w:t>Estados financieros de propósito general y específico de una entidad y de su proyecto, con las notas de fondos restringidos.</w:t>
            </w:r>
          </w:p>
        </w:tc>
      </w:tr>
      <w:tr w:rsidR="00990B14" w14:paraId="6C7AF571" w14:textId="77777777">
        <w:trPr>
          <w:cantSplit/>
          <w:jc w:val="center"/>
        </w:trPr>
        <w:tc>
          <w:tcPr>
            <w:tcW w:w="3133" w:type="dxa"/>
            <w:gridSpan w:val="4"/>
            <w:vMerge/>
            <w:shd w:val="clear" w:color="auto" w:fill="D9E2F3"/>
            <w:vAlign w:val="center"/>
          </w:tcPr>
          <w:p w14:paraId="20F7DBC5" w14:textId="77777777" w:rsidR="00990B14" w:rsidRDefault="00990B14">
            <w:pPr>
              <w:spacing w:before="20" w:after="20"/>
            </w:pPr>
          </w:p>
        </w:tc>
        <w:tc>
          <w:tcPr>
            <w:tcW w:w="3135" w:type="dxa"/>
            <w:gridSpan w:val="5"/>
            <w:shd w:val="clear" w:color="auto" w:fill="D9E2F3"/>
            <w:vAlign w:val="center"/>
          </w:tcPr>
          <w:p w14:paraId="5FB6E171" w14:textId="77777777" w:rsidR="00990B14" w:rsidRDefault="00000000">
            <w:pPr>
              <w:spacing w:before="20" w:after="20"/>
              <w:jc w:val="both"/>
            </w:pPr>
            <w:r>
              <w:rPr>
                <w:sz w:val="18"/>
                <w:szCs w:val="18"/>
              </w:rPr>
              <w:t>1.2 Calcula en el laboratorio de cómputo la conversión de los desembolsos del financiador a la moneda de reporte y las diferencias de cambio del convenio.</w:t>
            </w:r>
          </w:p>
        </w:tc>
        <w:tc>
          <w:tcPr>
            <w:tcW w:w="3137" w:type="dxa"/>
            <w:gridSpan w:val="4"/>
            <w:shd w:val="clear" w:color="auto" w:fill="D9E2F3"/>
            <w:vAlign w:val="center"/>
          </w:tcPr>
          <w:p w14:paraId="05F393D5" w14:textId="77777777" w:rsidR="00990B14" w:rsidRDefault="00000000">
            <w:pPr>
              <w:spacing w:before="20" w:after="20"/>
              <w:jc w:val="both"/>
            </w:pPr>
            <w:r>
              <w:rPr>
                <w:b/>
                <w:bCs/>
                <w:sz w:val="18"/>
                <w:szCs w:val="18"/>
              </w:rPr>
              <w:t xml:space="preserve">Producto 6: </w:t>
            </w:r>
            <w:r>
              <w:rPr>
                <w:sz w:val="18"/>
                <w:szCs w:val="18"/>
              </w:rPr>
              <w:t>Papel de trabajo de la conversión de los desembolsos y de las diferencias de cambio.</w:t>
            </w:r>
          </w:p>
        </w:tc>
      </w:tr>
      <w:tr w:rsidR="00990B14" w14:paraId="23AD5F93" w14:textId="77777777">
        <w:trPr>
          <w:cantSplit/>
          <w:jc w:val="center"/>
        </w:trPr>
        <w:tc>
          <w:tcPr>
            <w:tcW w:w="3133" w:type="dxa"/>
            <w:gridSpan w:val="4"/>
            <w:vMerge w:val="restart"/>
            <w:shd w:val="clear" w:color="auto" w:fill="D9E2F3"/>
            <w:vAlign w:val="center"/>
          </w:tcPr>
          <w:p w14:paraId="4426F08E" w14:textId="77777777" w:rsidR="00990B14" w:rsidRDefault="00000000">
            <w:pPr>
              <w:spacing w:before="20" w:after="20"/>
              <w:jc w:val="both"/>
            </w:pPr>
            <w:r>
              <w:rPr>
                <w:sz w:val="18"/>
                <w:szCs w:val="18"/>
              </w:rPr>
              <w:t>2. Determina el régimen tributario y la ejecución presupuestaria del convenio, verificando la exención, las obligaciones de facturación y de retención y el seguimiento por fuente de financiamiento y por componente.</w:t>
            </w:r>
          </w:p>
        </w:tc>
        <w:tc>
          <w:tcPr>
            <w:tcW w:w="3135" w:type="dxa"/>
            <w:gridSpan w:val="5"/>
            <w:shd w:val="clear" w:color="auto" w:fill="D9E2F3"/>
            <w:vAlign w:val="center"/>
          </w:tcPr>
          <w:p w14:paraId="24E73ED8" w14:textId="77777777" w:rsidR="00990B14" w:rsidRDefault="00000000">
            <w:pPr>
              <w:spacing w:before="20" w:after="20"/>
              <w:jc w:val="both"/>
            </w:pPr>
            <w:r>
              <w:rPr>
                <w:sz w:val="18"/>
                <w:szCs w:val="18"/>
              </w:rPr>
              <w:t>2.1 Clasifica en equipo las disposiciones tributarias aplicables a una entidad sin fines de lucro y verifica su cumplimiento en un caso.</w:t>
            </w:r>
          </w:p>
        </w:tc>
        <w:tc>
          <w:tcPr>
            <w:tcW w:w="3137" w:type="dxa"/>
            <w:gridSpan w:val="4"/>
            <w:shd w:val="clear" w:color="auto" w:fill="D9E2F3"/>
            <w:vAlign w:val="center"/>
          </w:tcPr>
          <w:p w14:paraId="5662B457" w14:textId="77777777" w:rsidR="00990B14" w:rsidRDefault="00000000">
            <w:pPr>
              <w:spacing w:before="20" w:after="20"/>
              <w:jc w:val="both"/>
            </w:pPr>
            <w:r>
              <w:rPr>
                <w:b/>
                <w:bCs/>
                <w:sz w:val="18"/>
                <w:szCs w:val="18"/>
              </w:rPr>
              <w:t xml:space="preserve">Producto 7: </w:t>
            </w:r>
            <w:r>
              <w:rPr>
                <w:sz w:val="18"/>
                <w:szCs w:val="18"/>
              </w:rPr>
              <w:t>Cuadro de regulaciones tributarias y de exenciones con la verificación del cumplimiento de las obligaciones formales.</w:t>
            </w:r>
          </w:p>
        </w:tc>
      </w:tr>
      <w:tr w:rsidR="00990B14" w14:paraId="26196597" w14:textId="77777777">
        <w:trPr>
          <w:cantSplit/>
          <w:jc w:val="center"/>
        </w:trPr>
        <w:tc>
          <w:tcPr>
            <w:tcW w:w="3133" w:type="dxa"/>
            <w:gridSpan w:val="4"/>
            <w:vMerge/>
            <w:shd w:val="clear" w:color="auto" w:fill="D9E2F3"/>
            <w:vAlign w:val="center"/>
          </w:tcPr>
          <w:p w14:paraId="4D384871" w14:textId="77777777" w:rsidR="00990B14" w:rsidRDefault="00990B14">
            <w:pPr>
              <w:spacing w:before="20" w:after="20"/>
            </w:pPr>
          </w:p>
        </w:tc>
        <w:tc>
          <w:tcPr>
            <w:tcW w:w="3135" w:type="dxa"/>
            <w:gridSpan w:val="5"/>
            <w:shd w:val="clear" w:color="auto" w:fill="D9E2F3"/>
            <w:vAlign w:val="center"/>
          </w:tcPr>
          <w:p w14:paraId="0340002E" w14:textId="77777777" w:rsidR="00990B14" w:rsidRDefault="00000000">
            <w:pPr>
              <w:spacing w:before="20" w:after="20"/>
              <w:jc w:val="both"/>
            </w:pPr>
            <w:r>
              <w:rPr>
                <w:sz w:val="18"/>
                <w:szCs w:val="18"/>
              </w:rPr>
              <w:t>2.2 Calcula en el laboratorio de cómputo la ejecución presupuestaria del convenio por fuente de financiamiento y por componente, y la concilia con los estados financieros.</w:t>
            </w:r>
          </w:p>
        </w:tc>
        <w:tc>
          <w:tcPr>
            <w:tcW w:w="3137" w:type="dxa"/>
            <w:gridSpan w:val="4"/>
            <w:shd w:val="clear" w:color="auto" w:fill="D9E2F3"/>
            <w:vAlign w:val="center"/>
          </w:tcPr>
          <w:p w14:paraId="4953921E" w14:textId="77777777" w:rsidR="00990B14" w:rsidRDefault="00000000">
            <w:pPr>
              <w:spacing w:before="20" w:after="20"/>
              <w:jc w:val="both"/>
            </w:pPr>
            <w:r>
              <w:rPr>
                <w:b/>
                <w:bCs/>
                <w:sz w:val="18"/>
                <w:szCs w:val="18"/>
              </w:rPr>
              <w:t xml:space="preserve">Producto 8: </w:t>
            </w:r>
            <w:r>
              <w:rPr>
                <w:sz w:val="18"/>
                <w:szCs w:val="18"/>
              </w:rPr>
              <w:t>Informe de ejecución presupuestaria del convenio con el análisis de sus variaciones.</w:t>
            </w:r>
          </w:p>
        </w:tc>
      </w:tr>
      <w:tr w:rsidR="00990B14" w14:paraId="3B91CC69" w14:textId="77777777">
        <w:trPr>
          <w:cantSplit/>
          <w:jc w:val="center"/>
        </w:trPr>
        <w:tc>
          <w:tcPr>
            <w:tcW w:w="9405" w:type="dxa"/>
            <w:gridSpan w:val="13"/>
            <w:shd w:val="clear" w:color="auto" w:fill="4472C4"/>
            <w:vAlign w:val="center"/>
          </w:tcPr>
          <w:p w14:paraId="375B106C" w14:textId="77777777" w:rsidR="00990B14" w:rsidRDefault="00000000">
            <w:pPr>
              <w:keepNext/>
              <w:spacing w:before="20" w:after="20"/>
              <w:jc w:val="center"/>
            </w:pPr>
            <w:r>
              <w:rPr>
                <w:b/>
                <w:bCs/>
                <w:i/>
                <w:iCs/>
                <w:color w:val="FFFFFF"/>
                <w:sz w:val="18"/>
                <w:szCs w:val="18"/>
              </w:rPr>
              <w:t>Evidencias de conocimiento</w:t>
            </w:r>
          </w:p>
        </w:tc>
      </w:tr>
      <w:tr w:rsidR="00990B14" w14:paraId="3133B468" w14:textId="77777777">
        <w:trPr>
          <w:cantSplit/>
          <w:jc w:val="center"/>
        </w:trPr>
        <w:tc>
          <w:tcPr>
            <w:tcW w:w="2349" w:type="dxa"/>
            <w:gridSpan w:val="2"/>
            <w:shd w:val="clear" w:color="auto" w:fill="4472C4"/>
            <w:vAlign w:val="center"/>
          </w:tcPr>
          <w:p w14:paraId="635BB56E"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504C1C45" w14:textId="77777777" w:rsidR="00990B14" w:rsidRDefault="00000000">
            <w:pPr>
              <w:keepNext/>
              <w:spacing w:before="20" w:after="20"/>
              <w:jc w:val="both"/>
            </w:pPr>
            <w:r>
              <w:rPr>
                <w:b/>
                <w:bCs/>
                <w:i/>
                <w:iCs/>
                <w:color w:val="FFFFFF"/>
                <w:sz w:val="18"/>
                <w:szCs w:val="18"/>
              </w:rPr>
              <w:t>Contenidos</w:t>
            </w:r>
          </w:p>
          <w:p w14:paraId="12E55EB5"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046EFEDA" w14:textId="77777777" w:rsidR="00990B14" w:rsidRDefault="00000000">
            <w:pPr>
              <w:keepNext/>
              <w:spacing w:before="20" w:after="20"/>
              <w:jc w:val="center"/>
            </w:pPr>
            <w:r>
              <w:rPr>
                <w:b/>
                <w:bCs/>
                <w:i/>
                <w:iCs/>
                <w:color w:val="FFFFFF"/>
                <w:sz w:val="18"/>
                <w:szCs w:val="18"/>
              </w:rPr>
              <w:t>Conocimientos circunstanciales</w:t>
            </w:r>
          </w:p>
        </w:tc>
      </w:tr>
      <w:tr w:rsidR="00990B14" w14:paraId="712FD408" w14:textId="77777777">
        <w:trPr>
          <w:jc w:val="center"/>
        </w:trPr>
        <w:tc>
          <w:tcPr>
            <w:tcW w:w="2349" w:type="dxa"/>
            <w:gridSpan w:val="2"/>
            <w:shd w:val="clear" w:color="auto" w:fill="D9E2F3"/>
          </w:tcPr>
          <w:p w14:paraId="279CD100" w14:textId="77777777" w:rsidR="00990B14" w:rsidRDefault="00000000">
            <w:pPr>
              <w:spacing w:before="20" w:after="40"/>
              <w:jc w:val="both"/>
            </w:pPr>
            <w:r>
              <w:rPr>
                <w:b/>
                <w:bCs/>
                <w:sz w:val="18"/>
                <w:szCs w:val="18"/>
              </w:rPr>
              <w:t>Tema 4: Marco conceptual de la información financiera</w:t>
            </w:r>
          </w:p>
          <w:p w14:paraId="460AB0F6" w14:textId="77777777" w:rsidR="00990B14" w:rsidRDefault="00000000">
            <w:pPr>
              <w:spacing w:before="20" w:after="40"/>
              <w:jc w:val="both"/>
            </w:pPr>
            <w:r>
              <w:rPr>
                <w:b/>
                <w:bCs/>
                <w:sz w:val="18"/>
                <w:szCs w:val="18"/>
              </w:rPr>
              <w:t>Tema 5: Normas Internacionales de Información Financiera para ayudas gubernamentales y Norma Internacional de Contabilidad para Entidades sin Fines de Lucro (INPAS)</w:t>
            </w:r>
          </w:p>
          <w:p w14:paraId="23339D8B" w14:textId="77777777" w:rsidR="00990B14" w:rsidRDefault="00000000">
            <w:pPr>
              <w:spacing w:before="20" w:after="40"/>
              <w:jc w:val="both"/>
            </w:pPr>
            <w:r>
              <w:rPr>
                <w:b/>
                <w:bCs/>
                <w:sz w:val="18"/>
                <w:szCs w:val="18"/>
              </w:rPr>
              <w:t>Tema 6: Regulaciones emitidas por el Servicio de Impuestos Nacionales para entidades sin fines de lucro y otras leyes, normas y regulaciones aplicables</w:t>
            </w:r>
          </w:p>
          <w:p w14:paraId="0E2F9E9D" w14:textId="77777777" w:rsidR="00990B14" w:rsidRDefault="00000000">
            <w:pPr>
              <w:spacing w:before="20" w:after="40"/>
              <w:jc w:val="both"/>
            </w:pPr>
            <w:r>
              <w:rPr>
                <w:b/>
                <w:bCs/>
                <w:sz w:val="18"/>
                <w:szCs w:val="18"/>
              </w:rPr>
              <w:t>Tema 7: Presupuesto y la ejecución presupuestaria</w:t>
            </w:r>
          </w:p>
        </w:tc>
        <w:tc>
          <w:tcPr>
            <w:tcW w:w="4304" w:type="dxa"/>
            <w:gridSpan w:val="8"/>
            <w:shd w:val="clear" w:color="auto" w:fill="D9E2F3"/>
          </w:tcPr>
          <w:p w14:paraId="53E49A97" w14:textId="77777777" w:rsidR="00990B14" w:rsidRDefault="00000000">
            <w:pPr>
              <w:spacing w:after="40"/>
              <w:jc w:val="both"/>
            </w:pPr>
            <w:r>
              <w:rPr>
                <w:sz w:val="18"/>
                <w:szCs w:val="18"/>
              </w:rPr>
              <w:t>Repaso autónomo del Marco Conceptual del IASB aplicado a la selección del marco de referencia del convenio. (C)</w:t>
            </w:r>
          </w:p>
          <w:p w14:paraId="040B7D7B" w14:textId="77777777" w:rsidR="00990B14" w:rsidRDefault="00000000">
            <w:pPr>
              <w:spacing w:after="40"/>
              <w:jc w:val="both"/>
            </w:pPr>
            <w:r>
              <w:rPr>
                <w:sz w:val="18"/>
                <w:szCs w:val="18"/>
              </w:rPr>
              <w:t>Marcos de referencia de propósito general y de propósito específico; marcos de imagen fiel y de cumplimiento (NIA 200 y NIA 800): características y diferencias. (C)</w:t>
            </w:r>
          </w:p>
          <w:p w14:paraId="47D99D5E" w14:textId="77777777" w:rsidR="00990B14" w:rsidRDefault="00000000">
            <w:pPr>
              <w:spacing w:after="40"/>
              <w:jc w:val="both"/>
            </w:pPr>
            <w:r>
              <w:rPr>
                <w:sz w:val="18"/>
                <w:szCs w:val="18"/>
              </w:rPr>
              <w:t>Marcos aplicables en Bolivia (normas emitidas o adoptadas por el CTNAC del CAUB) y a nivel internacional (NIIF, NIIF para las PYMES, NICSP y ASC 958 del FASB). (C)</w:t>
            </w:r>
          </w:p>
          <w:p w14:paraId="0276F625" w14:textId="77777777" w:rsidR="00990B14" w:rsidRDefault="00000000">
            <w:pPr>
              <w:spacing w:after="40"/>
              <w:jc w:val="both"/>
            </w:pPr>
            <w:r>
              <w:rPr>
                <w:sz w:val="18"/>
                <w:szCs w:val="18"/>
              </w:rPr>
              <w:t>Selección y justificación del marco de referencia aplicable a un proyecto según las cláusulas del convenio. (P)</w:t>
            </w:r>
          </w:p>
          <w:p w14:paraId="28CD9880" w14:textId="77777777" w:rsidR="00990B14" w:rsidRDefault="00000000">
            <w:pPr>
              <w:spacing w:after="40"/>
              <w:jc w:val="both"/>
            </w:pPr>
            <w:r>
              <w:rPr>
                <w:sz w:val="18"/>
                <w:szCs w:val="18"/>
              </w:rPr>
              <w:t>Juicio profesional y neutralidad en la elección de las políticas contables. (A)</w:t>
            </w:r>
          </w:p>
          <w:p w14:paraId="72601CAC" w14:textId="77777777" w:rsidR="00990B14" w:rsidRDefault="00000000">
            <w:pPr>
              <w:spacing w:after="40"/>
              <w:jc w:val="both"/>
            </w:pPr>
            <w:r>
              <w:rPr>
                <w:sz w:val="18"/>
                <w:szCs w:val="18"/>
              </w:rPr>
              <w:t>NIC 20, Contabilización de las subvenciones del gobierno e información a revelar sobre ayudas gubernamentales; Sección 24 de la NIIF para las PYMES (tercera edición, 2025). (C, P)</w:t>
            </w:r>
          </w:p>
          <w:p w14:paraId="6C38EFD6" w14:textId="77777777" w:rsidR="00990B14" w:rsidRDefault="00000000">
            <w:pPr>
              <w:spacing w:after="40"/>
              <w:jc w:val="both"/>
            </w:pPr>
            <w:r>
              <w:rPr>
                <w:sz w:val="18"/>
                <w:szCs w:val="18"/>
              </w:rPr>
              <w:t>NICSP 47, Ingresos, aplicable a las entidades públicas ejecutoras de proyectos (sustituye a las NICSP 9, 11 y 23). (C)</w:t>
            </w:r>
          </w:p>
          <w:p w14:paraId="5F55E099" w14:textId="77777777" w:rsidR="00990B14" w:rsidRDefault="00000000">
            <w:pPr>
              <w:spacing w:after="40"/>
              <w:jc w:val="both"/>
            </w:pPr>
            <w:r>
              <w:rPr>
                <w:sz w:val="18"/>
                <w:szCs w:val="18"/>
              </w:rPr>
              <w:t>Norma Internacional de Contabilidad para Entidades sin Fines de Lucro (INPAS, INPRF, 2025): fondos restringidos y no restringidos, ingresos por subvenciones, donaciones en especie, presentación, revelación e informe narrativo. (C, P)</w:t>
            </w:r>
          </w:p>
          <w:p w14:paraId="7C963129" w14:textId="77777777" w:rsidR="00990B14" w:rsidRDefault="00000000">
            <w:pPr>
              <w:spacing w:after="40"/>
              <w:jc w:val="both"/>
            </w:pPr>
            <w:r>
              <w:rPr>
                <w:sz w:val="18"/>
                <w:szCs w:val="18"/>
              </w:rPr>
              <w:t>ASC 958 del FASB (que codifica las anteriores FASB 116 y 117): contribuciones recibidas y efectuadas y presentación según las restricciones del donante. (C)</w:t>
            </w:r>
          </w:p>
          <w:p w14:paraId="28E8DB18" w14:textId="77777777" w:rsidR="00990B14" w:rsidRDefault="00000000">
            <w:pPr>
              <w:spacing w:after="40"/>
              <w:jc w:val="both"/>
            </w:pPr>
            <w:r>
              <w:rPr>
                <w:sz w:val="18"/>
                <w:szCs w:val="18"/>
              </w:rPr>
              <w:t>Registro contable de subvenciones, donaciones en especie y fondos restringidos; casos prácticos. (P)</w:t>
            </w:r>
          </w:p>
          <w:p w14:paraId="082A0276" w14:textId="77777777" w:rsidR="00990B14" w:rsidRDefault="00000000">
            <w:pPr>
              <w:spacing w:after="40"/>
              <w:jc w:val="both"/>
            </w:pPr>
            <w:r>
              <w:rPr>
                <w:sz w:val="18"/>
                <w:szCs w:val="18"/>
              </w:rPr>
              <w:t>Conversión de las transacciones en moneda extranjera del convenio (NIC 21) y tratamiento de las diferencias de cambio. (C, P)</w:t>
            </w:r>
          </w:p>
          <w:p w14:paraId="4EAD1B12" w14:textId="77777777" w:rsidR="00990B14" w:rsidRDefault="00000000">
            <w:pPr>
              <w:spacing w:after="40"/>
              <w:jc w:val="both"/>
            </w:pPr>
            <w:r>
              <w:rPr>
                <w:sz w:val="18"/>
                <w:szCs w:val="18"/>
              </w:rPr>
              <w:t>Hoja de cálculo para la conversión y la conciliación de los desembolsos. (T)</w:t>
            </w:r>
          </w:p>
          <w:p w14:paraId="61F44FD6" w14:textId="77777777" w:rsidR="00990B14" w:rsidRDefault="00000000">
            <w:pPr>
              <w:spacing w:after="40"/>
              <w:jc w:val="both"/>
            </w:pPr>
            <w:r>
              <w:rPr>
                <w:sz w:val="18"/>
                <w:szCs w:val="18"/>
              </w:rPr>
              <w:t>Respeto de las restricciones impuestas por el donante en el uso de los fondos. (A)</w:t>
            </w:r>
          </w:p>
          <w:p w14:paraId="74A7BDD3" w14:textId="77777777" w:rsidR="00990B14" w:rsidRDefault="00000000">
            <w:pPr>
              <w:spacing w:after="40"/>
              <w:jc w:val="both"/>
            </w:pPr>
            <w:r>
              <w:rPr>
                <w:sz w:val="18"/>
                <w:szCs w:val="18"/>
              </w:rPr>
              <w:t>Ley N.º 843 (Texto Ordenado vigente), artículo 49, inciso b), y Decreto Supremo N.º 24051, artículo 5: exención del Impuesto sobre las Utilidades de las Empresas. (C)</w:t>
            </w:r>
          </w:p>
          <w:p w14:paraId="622A35DF" w14:textId="77777777" w:rsidR="00990B14" w:rsidRDefault="00000000">
            <w:pPr>
              <w:spacing w:after="40"/>
              <w:jc w:val="both"/>
            </w:pPr>
            <w:r>
              <w:rPr>
                <w:sz w:val="18"/>
                <w:szCs w:val="18"/>
              </w:rPr>
              <w:t>Resolución Normativa de Directorio N.º 10-0030-05, de 14 de septiembre de 2005, y sus modificaciones: procedimiento y requisitos para el reconocimiento de la exención; RND N.º 101800000004, de 2 de marzo de 2018, y N.º 101800000007, de 16 de marzo de 2018: presentación de estados financieros, dictamen e información tributaria complementaria; y otras aplicables. (C)</w:t>
            </w:r>
          </w:p>
          <w:p w14:paraId="08618D59" w14:textId="77777777" w:rsidR="00990B14" w:rsidRDefault="00000000">
            <w:pPr>
              <w:spacing w:after="40"/>
              <w:jc w:val="both"/>
            </w:pPr>
            <w:r>
              <w:rPr>
                <w:sz w:val="18"/>
                <w:szCs w:val="18"/>
              </w:rPr>
              <w:t>Código Tributario Boliviano (Ley N.º 2492): interpretación de las exenciones, facultades de fiscalización y revocatoria. (C)</w:t>
            </w:r>
          </w:p>
          <w:p w14:paraId="217840F0" w14:textId="77777777" w:rsidR="00990B14" w:rsidRDefault="00000000">
            <w:pPr>
              <w:spacing w:after="40"/>
              <w:jc w:val="both"/>
            </w:pPr>
            <w:r>
              <w:rPr>
                <w:sz w:val="18"/>
                <w:szCs w:val="18"/>
              </w:rPr>
              <w:t>Obligaciones formales: facturación electrónica (RND N.º 102100000011), retenciones (RC-IVA, IUE-BE e IT) y agentes de información. (C, T)</w:t>
            </w:r>
          </w:p>
          <w:p w14:paraId="1D5FF41B" w14:textId="77777777" w:rsidR="00990B14" w:rsidRDefault="00000000">
            <w:pPr>
              <w:spacing w:after="40"/>
              <w:jc w:val="both"/>
            </w:pPr>
            <w:r>
              <w:rPr>
                <w:sz w:val="18"/>
                <w:szCs w:val="18"/>
              </w:rPr>
              <w:t>Verificación del cumplimiento tributario de una entidad sin fines de lucro en un caso práctico. (P)</w:t>
            </w:r>
          </w:p>
          <w:p w14:paraId="05247D23" w14:textId="77777777" w:rsidR="00990B14" w:rsidRDefault="00000000">
            <w:pPr>
              <w:spacing w:after="40"/>
              <w:jc w:val="both"/>
            </w:pPr>
            <w:r>
              <w:rPr>
                <w:sz w:val="18"/>
                <w:szCs w:val="18"/>
              </w:rPr>
              <w:t>El cumplimiento tributario como responsabilidad de quien administra recursos ajenos. (A)</w:t>
            </w:r>
          </w:p>
          <w:p w14:paraId="63E16C92" w14:textId="77777777" w:rsidR="00990B14" w:rsidRDefault="00000000">
            <w:pPr>
              <w:spacing w:after="40"/>
              <w:jc w:val="both"/>
            </w:pPr>
            <w:r>
              <w:rPr>
                <w:sz w:val="18"/>
                <w:szCs w:val="18"/>
              </w:rPr>
              <w:t>El presupuesto dentro del convenio: estructura por componente, por categoría de gasto y por fuente de financiamiento; su relación con la auditoría. (C)</w:t>
            </w:r>
          </w:p>
          <w:p w14:paraId="5A0F1A78" w14:textId="77777777" w:rsidR="00990B14" w:rsidRDefault="00000000">
            <w:pPr>
              <w:spacing w:after="40"/>
              <w:jc w:val="both"/>
            </w:pPr>
            <w:r>
              <w:rPr>
                <w:sz w:val="18"/>
                <w:szCs w:val="18"/>
              </w:rPr>
              <w:t>La ejecución presupuestaria y sus efectos: sobre-ejecución, subejecución, reformulaciones y no objeción del financiador; casos prácticos. (C, P)</w:t>
            </w:r>
          </w:p>
          <w:p w14:paraId="107749FC" w14:textId="77777777" w:rsidR="00990B14" w:rsidRDefault="00000000">
            <w:pPr>
              <w:spacing w:after="40"/>
              <w:jc w:val="both"/>
            </w:pPr>
            <w:r>
              <w:rPr>
                <w:sz w:val="18"/>
                <w:szCs w:val="18"/>
              </w:rPr>
              <w:t>Seguimiento de la ejecución por fuente de financiamiento y por componente; conciliación con los estados financieros. (P)</w:t>
            </w:r>
          </w:p>
          <w:p w14:paraId="4B5DFA99" w14:textId="77777777" w:rsidR="00990B14" w:rsidRDefault="00000000">
            <w:pPr>
              <w:spacing w:after="40"/>
              <w:jc w:val="both"/>
            </w:pPr>
            <w:r>
              <w:rPr>
                <w:sz w:val="18"/>
                <w:szCs w:val="18"/>
              </w:rPr>
              <w:t>Reportes de ejecución en hoja de cálculo y tableros de control (Power BI). (T)</w:t>
            </w:r>
          </w:p>
          <w:p w14:paraId="6F63A64E" w14:textId="77777777" w:rsidR="00990B14" w:rsidRDefault="00000000">
            <w:pPr>
              <w:spacing w:after="40"/>
              <w:jc w:val="both"/>
            </w:pPr>
            <w:r>
              <w:rPr>
                <w:sz w:val="18"/>
                <w:szCs w:val="18"/>
              </w:rPr>
              <w:t>Responsabilidad en el uso eficiente y transparente de los recursos. (A)</w:t>
            </w:r>
          </w:p>
        </w:tc>
        <w:tc>
          <w:tcPr>
            <w:tcW w:w="2752" w:type="dxa"/>
            <w:gridSpan w:val="3"/>
            <w:shd w:val="clear" w:color="auto" w:fill="D9E2F3"/>
          </w:tcPr>
          <w:p w14:paraId="5CEFFFA9" w14:textId="77777777" w:rsidR="00990B14" w:rsidRDefault="00000000">
            <w:pPr>
              <w:numPr>
                <w:ilvl w:val="0"/>
                <w:numId w:val="139"/>
              </w:numPr>
              <w:spacing w:before="10" w:after="10"/>
              <w:jc w:val="both"/>
            </w:pPr>
            <w:r>
              <w:rPr>
                <w:sz w:val="18"/>
                <w:szCs w:val="18"/>
              </w:rPr>
              <w:t>Normas de contabilidad vigentes en Bolivia emitidas por el CTNAC y estado de adopción de las NIIF.</w:t>
            </w:r>
          </w:p>
          <w:p w14:paraId="7E2FE403" w14:textId="77777777" w:rsidR="00990B14" w:rsidRDefault="00000000">
            <w:pPr>
              <w:numPr>
                <w:ilvl w:val="0"/>
                <w:numId w:val="139"/>
              </w:numPr>
              <w:spacing w:before="10" w:after="10"/>
              <w:jc w:val="both"/>
            </w:pPr>
            <w:r>
              <w:rPr>
                <w:sz w:val="18"/>
                <w:szCs w:val="18"/>
              </w:rPr>
              <w:t>Marcos contables exigidos en los convenios de financiamiento suscritos por entidades bolivianas.</w:t>
            </w:r>
          </w:p>
          <w:p w14:paraId="0E4B3D54" w14:textId="77777777" w:rsidR="00990B14" w:rsidRDefault="00000000">
            <w:pPr>
              <w:numPr>
                <w:ilvl w:val="0"/>
                <w:numId w:val="139"/>
              </w:numPr>
              <w:spacing w:before="10" w:after="10"/>
              <w:jc w:val="both"/>
            </w:pPr>
            <w:r>
              <w:rPr>
                <w:sz w:val="18"/>
                <w:szCs w:val="18"/>
              </w:rPr>
              <w:t>Estado de adopción de la INPAS y su aplicación por exigencia de los financiadores.</w:t>
            </w:r>
          </w:p>
          <w:p w14:paraId="777C8B44" w14:textId="77777777" w:rsidR="00990B14" w:rsidRDefault="00000000">
            <w:pPr>
              <w:numPr>
                <w:ilvl w:val="0"/>
                <w:numId w:val="139"/>
              </w:numPr>
              <w:spacing w:before="10" w:after="10"/>
              <w:jc w:val="both"/>
            </w:pPr>
            <w:r>
              <w:rPr>
                <w:sz w:val="18"/>
                <w:szCs w:val="18"/>
              </w:rPr>
              <w:t>Variación de la cotización oficial de la moneda extranjera (Banco Central de Bolivia) y su efecto en los desembolsos.</w:t>
            </w:r>
          </w:p>
          <w:p w14:paraId="7FF7A20A" w14:textId="77777777" w:rsidR="00990B14" w:rsidRDefault="00000000">
            <w:pPr>
              <w:numPr>
                <w:ilvl w:val="0"/>
                <w:numId w:val="139"/>
              </w:numPr>
              <w:spacing w:before="10" w:after="10"/>
              <w:jc w:val="both"/>
            </w:pPr>
            <w:r>
              <w:rPr>
                <w:sz w:val="18"/>
                <w:szCs w:val="18"/>
              </w:rPr>
              <w:t>Procesos de fiscalización del Servicio de Impuestos Nacionales a entidades sin fines de lucro.</w:t>
            </w:r>
          </w:p>
          <w:p w14:paraId="5A106107" w14:textId="77777777" w:rsidR="00990B14" w:rsidRDefault="00000000">
            <w:pPr>
              <w:numPr>
                <w:ilvl w:val="0"/>
                <w:numId w:val="139"/>
              </w:numPr>
              <w:spacing w:before="10" w:after="10"/>
              <w:jc w:val="both"/>
            </w:pPr>
            <w:r>
              <w:rPr>
                <w:sz w:val="18"/>
                <w:szCs w:val="18"/>
              </w:rPr>
              <w:t>Servicios en línea del Sistema Integrado de Administración Tributaria (SIAT).</w:t>
            </w:r>
          </w:p>
          <w:p w14:paraId="41672C13" w14:textId="77777777" w:rsidR="00990B14" w:rsidRDefault="00000000">
            <w:pPr>
              <w:numPr>
                <w:ilvl w:val="0"/>
                <w:numId w:val="139"/>
              </w:numPr>
              <w:spacing w:before="10" w:after="10"/>
              <w:jc w:val="both"/>
            </w:pPr>
            <w:r>
              <w:rPr>
                <w:sz w:val="18"/>
                <w:szCs w:val="18"/>
              </w:rPr>
              <w:t>Condiciones de desembolso y de rendición de cuentas pactadas con los financiadores.</w:t>
            </w:r>
          </w:p>
          <w:p w14:paraId="2E12A946" w14:textId="77777777" w:rsidR="00990B14" w:rsidRDefault="00000000">
            <w:pPr>
              <w:numPr>
                <w:ilvl w:val="0"/>
                <w:numId w:val="139"/>
              </w:numPr>
              <w:spacing w:before="10" w:after="10"/>
              <w:jc w:val="both"/>
            </w:pPr>
            <w:r>
              <w:rPr>
                <w:sz w:val="18"/>
                <w:szCs w:val="18"/>
              </w:rPr>
              <w:t>Registro presupuestario de los proyectos con contraparte estatal en el Sistema de Gestión Pública (SIGEP).</w:t>
            </w:r>
          </w:p>
          <w:p w14:paraId="1CF4AA23" w14:textId="77777777" w:rsidR="00990B14" w:rsidRDefault="00000000">
            <w:pPr>
              <w:numPr>
                <w:ilvl w:val="0"/>
                <w:numId w:val="139"/>
              </w:numPr>
              <w:spacing w:before="10" w:after="10"/>
              <w:jc w:val="both"/>
            </w:pPr>
            <w:r>
              <w:rPr>
                <w:sz w:val="18"/>
                <w:szCs w:val="18"/>
              </w:rPr>
              <w:t>Valor por el dinero (Value for Money): economía, eficiencia y eficacia en la ejecución de los proyectos.</w:t>
            </w:r>
          </w:p>
        </w:tc>
      </w:tr>
      <w:tr w:rsidR="00990B14" w14:paraId="64C5FFF4" w14:textId="77777777">
        <w:trPr>
          <w:cantSplit/>
          <w:jc w:val="center"/>
        </w:trPr>
        <w:tc>
          <w:tcPr>
            <w:tcW w:w="9405" w:type="dxa"/>
            <w:gridSpan w:val="13"/>
            <w:shd w:val="clear" w:color="auto" w:fill="D9E2F3"/>
            <w:vAlign w:val="center"/>
          </w:tcPr>
          <w:p w14:paraId="52E63682" w14:textId="77777777" w:rsidR="00990B14" w:rsidRDefault="00000000">
            <w:pPr>
              <w:spacing w:before="20" w:after="20"/>
              <w:jc w:val="both"/>
            </w:pPr>
            <w:r>
              <w:rPr>
                <w:b/>
                <w:bCs/>
                <w:i/>
                <w:iCs/>
                <w:sz w:val="18"/>
                <w:szCs w:val="18"/>
              </w:rPr>
              <w:t xml:space="preserve">Elemento de competencia 3: </w:t>
            </w:r>
            <w:r>
              <w:rPr>
                <w:sz w:val="18"/>
                <w:szCs w:val="18"/>
              </w:rPr>
              <w:t>Evalúa el control interno de las Entidades Sin Fines de Lucro y de sus proyectos financiados, incluido el cumplimiento de las salvaguardas ambientales y sociales exigidas por los financiadores, documentando el sistema con cuestionarios, narrativas y diagramas de flujo y aplicando pruebas de cumplimiento.</w:t>
            </w:r>
          </w:p>
        </w:tc>
      </w:tr>
      <w:tr w:rsidR="00990B14" w14:paraId="016C4A0C" w14:textId="77777777">
        <w:trPr>
          <w:cantSplit/>
          <w:jc w:val="center"/>
        </w:trPr>
        <w:tc>
          <w:tcPr>
            <w:tcW w:w="3133" w:type="dxa"/>
            <w:gridSpan w:val="4"/>
            <w:shd w:val="clear" w:color="auto" w:fill="4472C4"/>
            <w:vAlign w:val="center"/>
          </w:tcPr>
          <w:p w14:paraId="1AF90E9B"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5FB2176A"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4E3925CF" w14:textId="77777777" w:rsidR="00990B14" w:rsidRDefault="00000000">
            <w:pPr>
              <w:keepNext/>
              <w:spacing w:before="20" w:after="20"/>
              <w:jc w:val="center"/>
            </w:pPr>
            <w:r>
              <w:rPr>
                <w:b/>
                <w:bCs/>
                <w:i/>
                <w:iCs/>
                <w:color w:val="FFFFFF"/>
                <w:sz w:val="18"/>
                <w:szCs w:val="18"/>
              </w:rPr>
              <w:t>Evidencias de producto</w:t>
            </w:r>
          </w:p>
        </w:tc>
      </w:tr>
      <w:tr w:rsidR="00990B14" w14:paraId="43AB9B74" w14:textId="77777777">
        <w:trPr>
          <w:cantSplit/>
          <w:jc w:val="center"/>
        </w:trPr>
        <w:tc>
          <w:tcPr>
            <w:tcW w:w="3133" w:type="dxa"/>
            <w:gridSpan w:val="4"/>
            <w:vMerge w:val="restart"/>
            <w:shd w:val="clear" w:color="auto" w:fill="D9E2F3"/>
            <w:vAlign w:val="center"/>
          </w:tcPr>
          <w:p w14:paraId="32616BA7" w14:textId="77777777" w:rsidR="00990B14" w:rsidRDefault="00000000">
            <w:pPr>
              <w:spacing w:before="20" w:after="20"/>
              <w:jc w:val="both"/>
            </w:pPr>
            <w:r>
              <w:rPr>
                <w:sz w:val="18"/>
                <w:szCs w:val="18"/>
              </w:rPr>
              <w:t>1. Determina el proceso de auditoría aplicable a una entidad sin fines de lucro y a sus proyectos según el origen de los fondos privados (Normas de Auditoría Generalmente Aceptadas en Bolivia) o públicos (Ley N.º 1178 y Normas de Auditoría Gubernamental) y según la fase del proyecto de inversión pública.</w:t>
            </w:r>
          </w:p>
        </w:tc>
        <w:tc>
          <w:tcPr>
            <w:tcW w:w="3135" w:type="dxa"/>
            <w:gridSpan w:val="5"/>
            <w:shd w:val="clear" w:color="auto" w:fill="D9E2F3"/>
            <w:vAlign w:val="center"/>
          </w:tcPr>
          <w:p w14:paraId="5E6BAF79" w14:textId="77777777" w:rsidR="00990B14" w:rsidRDefault="00000000">
            <w:pPr>
              <w:spacing w:before="20" w:after="20"/>
              <w:jc w:val="both"/>
            </w:pPr>
            <w:r>
              <w:rPr>
                <w:sz w:val="18"/>
                <w:szCs w:val="18"/>
              </w:rPr>
              <w:t>1.1 Elabora en equipo el cuadro comparativo del proceso de auditoría de un proyecto financiado con fondos privados y de uno financiado con fondos públicos.</w:t>
            </w:r>
          </w:p>
        </w:tc>
        <w:tc>
          <w:tcPr>
            <w:tcW w:w="3137" w:type="dxa"/>
            <w:gridSpan w:val="4"/>
            <w:shd w:val="clear" w:color="auto" w:fill="D9E2F3"/>
            <w:vAlign w:val="center"/>
          </w:tcPr>
          <w:p w14:paraId="64379713" w14:textId="77777777" w:rsidR="00990B14" w:rsidRDefault="00000000">
            <w:pPr>
              <w:spacing w:before="20" w:after="20"/>
              <w:jc w:val="both"/>
            </w:pPr>
            <w:r>
              <w:rPr>
                <w:b/>
                <w:bCs/>
                <w:sz w:val="18"/>
                <w:szCs w:val="18"/>
              </w:rPr>
              <w:t xml:space="preserve">Producto 9: </w:t>
            </w:r>
            <w:r>
              <w:rPr>
                <w:sz w:val="18"/>
                <w:szCs w:val="18"/>
              </w:rPr>
              <w:t>Cuadro comparativo del proceso de auditoría según el origen de los fondos.</w:t>
            </w:r>
          </w:p>
        </w:tc>
      </w:tr>
      <w:tr w:rsidR="00990B14" w14:paraId="09246D58" w14:textId="77777777">
        <w:trPr>
          <w:cantSplit/>
          <w:jc w:val="center"/>
        </w:trPr>
        <w:tc>
          <w:tcPr>
            <w:tcW w:w="3133" w:type="dxa"/>
            <w:gridSpan w:val="4"/>
            <w:vMerge/>
            <w:shd w:val="clear" w:color="auto" w:fill="D9E2F3"/>
            <w:vAlign w:val="center"/>
          </w:tcPr>
          <w:p w14:paraId="29778C08" w14:textId="77777777" w:rsidR="00990B14" w:rsidRDefault="00990B14">
            <w:pPr>
              <w:spacing w:before="20" w:after="20"/>
            </w:pPr>
          </w:p>
        </w:tc>
        <w:tc>
          <w:tcPr>
            <w:tcW w:w="3135" w:type="dxa"/>
            <w:gridSpan w:val="5"/>
            <w:shd w:val="clear" w:color="auto" w:fill="D9E2F3"/>
            <w:vAlign w:val="center"/>
          </w:tcPr>
          <w:p w14:paraId="6A43CF0B" w14:textId="77777777" w:rsidR="00990B14" w:rsidRDefault="00000000">
            <w:pPr>
              <w:spacing w:before="20" w:after="20"/>
              <w:jc w:val="both"/>
            </w:pPr>
            <w:r>
              <w:rPr>
                <w:sz w:val="18"/>
                <w:szCs w:val="18"/>
              </w:rPr>
              <w:t>1.2 Determina en aula, en un proyecto de inversión pública, los aspectos que examina la auditoría en cada fase del ciclo, en sus contrataciones y en el cumplimiento de sus salvaguardas ambientales y sociales.</w:t>
            </w:r>
          </w:p>
        </w:tc>
        <w:tc>
          <w:tcPr>
            <w:tcW w:w="3137" w:type="dxa"/>
            <w:gridSpan w:val="4"/>
            <w:shd w:val="clear" w:color="auto" w:fill="D9E2F3"/>
            <w:vAlign w:val="center"/>
          </w:tcPr>
          <w:p w14:paraId="466AC56B" w14:textId="77777777" w:rsidR="00990B14" w:rsidRDefault="00000000">
            <w:pPr>
              <w:spacing w:before="20" w:after="20"/>
              <w:jc w:val="both"/>
            </w:pPr>
            <w:r>
              <w:rPr>
                <w:b/>
                <w:bCs/>
                <w:sz w:val="18"/>
                <w:szCs w:val="18"/>
              </w:rPr>
              <w:t xml:space="preserve">Producto 10: </w:t>
            </w:r>
            <w:r>
              <w:rPr>
                <w:sz w:val="18"/>
                <w:szCs w:val="18"/>
              </w:rPr>
              <w:t>Matriz de aspectos de auditoría por fase del proyecto de inversión pública, con el cuadro de prelación de las normas de adquisiciones.</w:t>
            </w:r>
          </w:p>
        </w:tc>
      </w:tr>
      <w:tr w:rsidR="00990B14" w14:paraId="6FFD7DEB" w14:textId="77777777">
        <w:trPr>
          <w:cantSplit/>
          <w:jc w:val="center"/>
        </w:trPr>
        <w:tc>
          <w:tcPr>
            <w:tcW w:w="3133" w:type="dxa"/>
            <w:gridSpan w:val="4"/>
            <w:vMerge w:val="restart"/>
            <w:shd w:val="clear" w:color="auto" w:fill="D9E2F3"/>
            <w:vAlign w:val="center"/>
          </w:tcPr>
          <w:p w14:paraId="558389C8" w14:textId="77777777" w:rsidR="00990B14" w:rsidRDefault="00000000">
            <w:pPr>
              <w:spacing w:before="20" w:after="20"/>
              <w:jc w:val="both"/>
            </w:pPr>
            <w:r>
              <w:rPr>
                <w:sz w:val="18"/>
                <w:szCs w:val="18"/>
              </w:rPr>
              <w:t>2. Evalúa el control interno de los ciclos contables del proyecto conforme al marco COSO 2013, con cuestionarios, narrativas, diagramas de flujo y pruebas de cumplimiento, determinando el riesgo de control por ciclo.</w:t>
            </w:r>
          </w:p>
        </w:tc>
        <w:tc>
          <w:tcPr>
            <w:tcW w:w="3135" w:type="dxa"/>
            <w:gridSpan w:val="5"/>
            <w:shd w:val="clear" w:color="auto" w:fill="D9E2F3"/>
            <w:vAlign w:val="center"/>
          </w:tcPr>
          <w:p w14:paraId="32499C11" w14:textId="77777777" w:rsidR="00990B14" w:rsidRDefault="00000000">
            <w:pPr>
              <w:spacing w:before="20" w:after="20"/>
              <w:jc w:val="both"/>
            </w:pPr>
            <w:r>
              <w:rPr>
                <w:sz w:val="18"/>
                <w:szCs w:val="18"/>
              </w:rPr>
              <w:t>2.1 Documenta en aula los ciclos de contribuciones y de adquisiciones y pagos de un proyecto con narrativas, diagramas de flujo y cuestionarios, incluidos los controles generales de tecnología de la información.</w:t>
            </w:r>
          </w:p>
        </w:tc>
        <w:tc>
          <w:tcPr>
            <w:tcW w:w="3137" w:type="dxa"/>
            <w:gridSpan w:val="4"/>
            <w:shd w:val="clear" w:color="auto" w:fill="D9E2F3"/>
            <w:vAlign w:val="center"/>
          </w:tcPr>
          <w:p w14:paraId="4CF50CEB" w14:textId="77777777" w:rsidR="00990B14" w:rsidRDefault="00000000">
            <w:pPr>
              <w:spacing w:before="20" w:after="20"/>
              <w:jc w:val="both"/>
            </w:pPr>
            <w:r>
              <w:rPr>
                <w:b/>
                <w:bCs/>
                <w:sz w:val="18"/>
                <w:szCs w:val="18"/>
              </w:rPr>
              <w:t xml:space="preserve">Producto 11: </w:t>
            </w:r>
            <w:r>
              <w:rPr>
                <w:sz w:val="18"/>
                <w:szCs w:val="18"/>
              </w:rPr>
              <w:t>Narrativas, diagramas de flujo y matriz de riesgos y controles clave de los ciclos del proyecto.</w:t>
            </w:r>
          </w:p>
        </w:tc>
      </w:tr>
      <w:tr w:rsidR="00990B14" w14:paraId="0B5016E9" w14:textId="77777777">
        <w:trPr>
          <w:cantSplit/>
          <w:jc w:val="center"/>
        </w:trPr>
        <w:tc>
          <w:tcPr>
            <w:tcW w:w="3133" w:type="dxa"/>
            <w:gridSpan w:val="4"/>
            <w:vMerge/>
            <w:shd w:val="clear" w:color="auto" w:fill="D9E2F3"/>
            <w:vAlign w:val="center"/>
          </w:tcPr>
          <w:p w14:paraId="6AD48572" w14:textId="77777777" w:rsidR="00990B14" w:rsidRDefault="00990B14">
            <w:pPr>
              <w:spacing w:before="20" w:after="20"/>
            </w:pPr>
          </w:p>
        </w:tc>
        <w:tc>
          <w:tcPr>
            <w:tcW w:w="3135" w:type="dxa"/>
            <w:gridSpan w:val="5"/>
            <w:shd w:val="clear" w:color="auto" w:fill="D9E2F3"/>
            <w:vAlign w:val="center"/>
          </w:tcPr>
          <w:p w14:paraId="761067F6" w14:textId="77777777" w:rsidR="00990B14" w:rsidRDefault="00000000">
            <w:pPr>
              <w:spacing w:before="20" w:after="20"/>
              <w:jc w:val="both"/>
            </w:pPr>
            <w:r>
              <w:rPr>
                <w:sz w:val="18"/>
                <w:szCs w:val="18"/>
              </w:rPr>
              <w:t>2.2 Aplica en equipo las pruebas de cumplimiento a los controles clave y sustenta ante el curso la evaluación del control interno del caso.</w:t>
            </w:r>
          </w:p>
        </w:tc>
        <w:tc>
          <w:tcPr>
            <w:tcW w:w="3137" w:type="dxa"/>
            <w:gridSpan w:val="4"/>
            <w:shd w:val="clear" w:color="auto" w:fill="D9E2F3"/>
            <w:vAlign w:val="center"/>
          </w:tcPr>
          <w:p w14:paraId="6E714AD1" w14:textId="77777777" w:rsidR="00990B14" w:rsidRDefault="00000000">
            <w:pPr>
              <w:spacing w:before="20" w:after="20"/>
              <w:jc w:val="both"/>
            </w:pPr>
            <w:r>
              <w:rPr>
                <w:b/>
                <w:bCs/>
                <w:sz w:val="18"/>
                <w:szCs w:val="18"/>
              </w:rPr>
              <w:t xml:space="preserve">Producto 12: </w:t>
            </w:r>
            <w:r>
              <w:rPr>
                <w:sz w:val="18"/>
                <w:szCs w:val="18"/>
              </w:rPr>
              <w:t>Papeles de trabajo de las pruebas de cumplimiento e informe de evaluación del control interno con el riesgo por ciclo.</w:t>
            </w:r>
          </w:p>
        </w:tc>
      </w:tr>
      <w:tr w:rsidR="00990B14" w14:paraId="78A6664B" w14:textId="77777777">
        <w:trPr>
          <w:cantSplit/>
          <w:jc w:val="center"/>
        </w:trPr>
        <w:tc>
          <w:tcPr>
            <w:tcW w:w="9405" w:type="dxa"/>
            <w:gridSpan w:val="13"/>
            <w:shd w:val="clear" w:color="auto" w:fill="4472C4"/>
            <w:vAlign w:val="center"/>
          </w:tcPr>
          <w:p w14:paraId="1A8B9A2D" w14:textId="77777777" w:rsidR="00990B14" w:rsidRDefault="00000000">
            <w:pPr>
              <w:keepNext/>
              <w:spacing w:before="20" w:after="20"/>
              <w:jc w:val="center"/>
            </w:pPr>
            <w:r>
              <w:rPr>
                <w:b/>
                <w:bCs/>
                <w:i/>
                <w:iCs/>
                <w:color w:val="FFFFFF"/>
                <w:sz w:val="18"/>
                <w:szCs w:val="18"/>
              </w:rPr>
              <w:t>Evidencias de conocimiento</w:t>
            </w:r>
          </w:p>
        </w:tc>
      </w:tr>
      <w:tr w:rsidR="00990B14" w14:paraId="059A4377" w14:textId="77777777">
        <w:trPr>
          <w:cantSplit/>
          <w:jc w:val="center"/>
        </w:trPr>
        <w:tc>
          <w:tcPr>
            <w:tcW w:w="2349" w:type="dxa"/>
            <w:gridSpan w:val="2"/>
            <w:shd w:val="clear" w:color="auto" w:fill="4472C4"/>
            <w:vAlign w:val="center"/>
          </w:tcPr>
          <w:p w14:paraId="22AF430F"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38AC5B02" w14:textId="77777777" w:rsidR="00990B14" w:rsidRDefault="00000000">
            <w:pPr>
              <w:keepNext/>
              <w:spacing w:before="20" w:after="20"/>
              <w:jc w:val="both"/>
            </w:pPr>
            <w:r>
              <w:rPr>
                <w:b/>
                <w:bCs/>
                <w:i/>
                <w:iCs/>
                <w:color w:val="FFFFFF"/>
                <w:sz w:val="18"/>
                <w:szCs w:val="18"/>
              </w:rPr>
              <w:t>Contenidos</w:t>
            </w:r>
          </w:p>
          <w:p w14:paraId="472C3D48"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0737E008" w14:textId="77777777" w:rsidR="00990B14" w:rsidRDefault="00000000">
            <w:pPr>
              <w:keepNext/>
              <w:spacing w:before="20" w:after="20"/>
              <w:jc w:val="center"/>
            </w:pPr>
            <w:r>
              <w:rPr>
                <w:b/>
                <w:bCs/>
                <w:i/>
                <w:iCs/>
                <w:color w:val="FFFFFF"/>
                <w:sz w:val="18"/>
                <w:szCs w:val="18"/>
              </w:rPr>
              <w:t>Conocimientos circunstanciales</w:t>
            </w:r>
          </w:p>
        </w:tc>
      </w:tr>
      <w:tr w:rsidR="00990B14" w14:paraId="288E8A40" w14:textId="77777777">
        <w:trPr>
          <w:jc w:val="center"/>
        </w:trPr>
        <w:tc>
          <w:tcPr>
            <w:tcW w:w="2349" w:type="dxa"/>
            <w:gridSpan w:val="2"/>
            <w:shd w:val="clear" w:color="auto" w:fill="D9E2F3"/>
          </w:tcPr>
          <w:p w14:paraId="0A1AD452" w14:textId="77777777" w:rsidR="00990B14" w:rsidRDefault="00000000">
            <w:pPr>
              <w:spacing w:before="20" w:after="40"/>
              <w:jc w:val="both"/>
            </w:pPr>
            <w:r>
              <w:rPr>
                <w:b/>
                <w:bCs/>
                <w:sz w:val="18"/>
                <w:szCs w:val="18"/>
              </w:rPr>
              <w:t>Tema 8: Auditoría de proyectos y de las entidades que los administran y ejecutan, procesos de auditoría con fondos públicos y privados</w:t>
            </w:r>
          </w:p>
          <w:p w14:paraId="42500815" w14:textId="77777777" w:rsidR="00990B14" w:rsidRDefault="00000000">
            <w:pPr>
              <w:spacing w:before="20" w:after="40"/>
              <w:jc w:val="both"/>
            </w:pPr>
            <w:r>
              <w:rPr>
                <w:b/>
                <w:bCs/>
                <w:sz w:val="18"/>
                <w:szCs w:val="18"/>
              </w:rPr>
              <w:t>Tema 9: Auditoría de proyectos de inversión pública</w:t>
            </w:r>
          </w:p>
          <w:p w14:paraId="1352F39C" w14:textId="77777777" w:rsidR="00990B14" w:rsidRDefault="00000000">
            <w:pPr>
              <w:spacing w:before="20" w:after="40"/>
              <w:jc w:val="both"/>
            </w:pPr>
            <w:r>
              <w:rPr>
                <w:b/>
                <w:bCs/>
                <w:sz w:val="18"/>
                <w:szCs w:val="18"/>
              </w:rPr>
              <w:t>Tema 10: Comprensión y valoración del control interno</w:t>
            </w:r>
          </w:p>
        </w:tc>
        <w:tc>
          <w:tcPr>
            <w:tcW w:w="4304" w:type="dxa"/>
            <w:gridSpan w:val="8"/>
            <w:shd w:val="clear" w:color="auto" w:fill="D9E2F3"/>
          </w:tcPr>
          <w:p w14:paraId="70586350" w14:textId="77777777" w:rsidR="00990B14" w:rsidRDefault="00000000">
            <w:pPr>
              <w:spacing w:after="40"/>
              <w:jc w:val="both"/>
            </w:pPr>
            <w:r>
              <w:rPr>
                <w:sz w:val="18"/>
                <w:szCs w:val="18"/>
              </w:rPr>
              <w:t>Encargos de aseguramiento y servicios relacionados aplicables a las entidades y a sus proyectos y sus objetivos. (C)</w:t>
            </w:r>
          </w:p>
          <w:p w14:paraId="09E6E462" w14:textId="77777777" w:rsidR="00990B14" w:rsidRDefault="00000000">
            <w:pPr>
              <w:spacing w:after="40"/>
              <w:jc w:val="both"/>
            </w:pPr>
            <w:r>
              <w:rPr>
                <w:sz w:val="18"/>
                <w:szCs w:val="18"/>
              </w:rPr>
              <w:t>Normas de Auditoría Generalmente Aceptadas en Bolivia (NIA adoptadas por el CTNAC), NIA para Entidades Menos Complejas, Normas Internacionales de Gestión de la Calidad 1 y 2 y NIA 220 (Revisada). (C)</w:t>
            </w:r>
          </w:p>
          <w:p w14:paraId="79D441DD" w14:textId="77777777" w:rsidR="00990B14" w:rsidRDefault="00000000">
            <w:pPr>
              <w:spacing w:after="40"/>
              <w:jc w:val="both"/>
            </w:pPr>
            <w:r>
              <w:rPr>
                <w:sz w:val="18"/>
                <w:szCs w:val="18"/>
              </w:rPr>
              <w:t>Ley N.º 1178 de Administración y Control Gubernamentales y Normas de Auditoría Gubernamental (CGE y otras aplicables): control de los recursos públicos administrados por entidades y proyectos. (C)</w:t>
            </w:r>
          </w:p>
          <w:p w14:paraId="5EEFB950" w14:textId="77777777" w:rsidR="00990B14" w:rsidRDefault="00000000">
            <w:pPr>
              <w:spacing w:after="40"/>
              <w:jc w:val="both"/>
            </w:pPr>
            <w:r>
              <w:rPr>
                <w:sz w:val="18"/>
                <w:szCs w:val="18"/>
              </w:rPr>
              <w:t>El proceso de la auditoría definido por los términos de referencia (TdR) del financiador y sus diferencias según el origen de los fondos. (C, P)</w:t>
            </w:r>
          </w:p>
          <w:p w14:paraId="2DA51FFC" w14:textId="77777777" w:rsidR="00990B14" w:rsidRDefault="00000000">
            <w:pPr>
              <w:spacing w:after="40"/>
              <w:jc w:val="both"/>
            </w:pPr>
            <w:r>
              <w:rPr>
                <w:sz w:val="18"/>
                <w:szCs w:val="18"/>
              </w:rPr>
              <w:t>Comparación de los procesos de auditoría con fondos públicos y privados en un caso. (P)</w:t>
            </w:r>
          </w:p>
          <w:p w14:paraId="32C8CBEE" w14:textId="77777777" w:rsidR="00990B14" w:rsidRDefault="00000000">
            <w:pPr>
              <w:spacing w:after="40"/>
              <w:jc w:val="both"/>
            </w:pPr>
            <w:r>
              <w:rPr>
                <w:sz w:val="18"/>
                <w:szCs w:val="18"/>
              </w:rPr>
              <w:t>Papeles de trabajo electrónicos y software de gestión de auditoría. (T)</w:t>
            </w:r>
          </w:p>
          <w:p w14:paraId="5C444AF1" w14:textId="77777777" w:rsidR="00990B14" w:rsidRDefault="00000000">
            <w:pPr>
              <w:spacing w:after="40"/>
              <w:jc w:val="both"/>
            </w:pPr>
            <w:r>
              <w:rPr>
                <w:sz w:val="18"/>
                <w:szCs w:val="18"/>
              </w:rPr>
              <w:t>Independencia y escepticismo profesional en la auditoría de recursos ajenos. (A)</w:t>
            </w:r>
          </w:p>
          <w:p w14:paraId="42FBE574" w14:textId="77777777" w:rsidR="00990B14" w:rsidRDefault="00000000">
            <w:pPr>
              <w:spacing w:after="40"/>
              <w:jc w:val="both"/>
            </w:pPr>
            <w:r>
              <w:rPr>
                <w:sz w:val="18"/>
                <w:szCs w:val="18"/>
              </w:rPr>
              <w:t>Normas Básicas del Sistema Nacional de Inversión Pública; fases del ciclo del proyecto (pre-inversión, inversión y operación) y aspectos que examina la auditoría en cada fase. (C)</w:t>
            </w:r>
          </w:p>
          <w:p w14:paraId="549E6E2D" w14:textId="77777777" w:rsidR="00990B14" w:rsidRDefault="00000000">
            <w:pPr>
              <w:spacing w:after="40"/>
              <w:jc w:val="both"/>
            </w:pPr>
            <w:r>
              <w:rPr>
                <w:sz w:val="18"/>
                <w:szCs w:val="18"/>
              </w:rPr>
              <w:t>Contratación de bienes, obras y servicios: Normas Básicas del Sistema de Administración de Bienes y Servicios (D.S. N.º 0181) y políticas de adquisiciones de los financiadores (Regulaciones de Adquisiciones del Banco Mundial y sistema STEP; políticas GN-2349-15 y GN-2350-15 del BID y sistema SEPA; PRAG de la Unión Europea); compatibilización de las normas y prelación del convenio de financiamiento. (C)</w:t>
            </w:r>
          </w:p>
          <w:p w14:paraId="5CF5A8C9" w14:textId="77777777" w:rsidR="00990B14" w:rsidRDefault="00000000">
            <w:pPr>
              <w:spacing w:after="40"/>
              <w:jc w:val="both"/>
            </w:pPr>
            <w:r>
              <w:rPr>
                <w:sz w:val="18"/>
                <w:szCs w:val="18"/>
              </w:rPr>
              <w:t>Auditoría técnica: verificación de los avances físicos y financieros y del cumplimiento de las especificaciones con apoyo de especialistas (NIA 620). (C, P)</w:t>
            </w:r>
          </w:p>
          <w:p w14:paraId="57590B33" w14:textId="77777777" w:rsidR="00990B14" w:rsidRDefault="00000000">
            <w:pPr>
              <w:spacing w:after="40"/>
              <w:jc w:val="both"/>
            </w:pPr>
            <w:r>
              <w:rPr>
                <w:sz w:val="18"/>
                <w:szCs w:val="18"/>
              </w:rPr>
              <w:t>Identificación, en un caso, de los aspectos a auditar en cada fase del proyecto de inversión. (P)</w:t>
            </w:r>
          </w:p>
          <w:p w14:paraId="0E0F77C0" w14:textId="77777777" w:rsidR="00990B14" w:rsidRDefault="00000000">
            <w:pPr>
              <w:spacing w:after="40"/>
              <w:jc w:val="both"/>
            </w:pPr>
            <w:r>
              <w:rPr>
                <w:sz w:val="18"/>
                <w:szCs w:val="18"/>
              </w:rPr>
              <w:t>Auditoría del cumplimiento de las salvaguardas ambientales y sociales (Marco Ambiental y Social del Banco Mundial; Marco de Política Ambiental y Social del BID) y de los mecanismos de atención de quejas (GRM). (C, P)</w:t>
            </w:r>
          </w:p>
          <w:p w14:paraId="0271BA86" w14:textId="77777777" w:rsidR="00990B14" w:rsidRDefault="00000000">
            <w:pPr>
              <w:spacing w:after="40"/>
              <w:jc w:val="both"/>
            </w:pPr>
            <w:r>
              <w:rPr>
                <w:sz w:val="18"/>
                <w:szCs w:val="18"/>
              </w:rPr>
              <w:t>Control Interno – Marco Integrado (COSO 2013): objetivos, cinco componentes y diecisiete principios; antecedentes COSO 1992 y 2004. (C)</w:t>
            </w:r>
          </w:p>
          <w:p w14:paraId="600D5BE1" w14:textId="77777777" w:rsidR="00990B14" w:rsidRDefault="00000000">
            <w:pPr>
              <w:spacing w:after="40"/>
              <w:jc w:val="both"/>
            </w:pPr>
            <w:r>
              <w:rPr>
                <w:sz w:val="18"/>
                <w:szCs w:val="18"/>
              </w:rPr>
              <w:t>Gestión del riesgo empresarial COSO ERM 2017 aplicada a los riesgos de las entidades y de sus proyectos; Principios, Normas Generales y Básicas de Control Interno Gubernamental. (C)</w:t>
            </w:r>
          </w:p>
          <w:p w14:paraId="7B8A9F3A" w14:textId="77777777" w:rsidR="00990B14" w:rsidRDefault="00000000">
            <w:pPr>
              <w:spacing w:after="40"/>
              <w:jc w:val="both"/>
            </w:pPr>
            <w:r>
              <w:rPr>
                <w:sz w:val="18"/>
                <w:szCs w:val="18"/>
              </w:rPr>
              <w:t>Ciclos contables: tesorería, adquisiciones y pagos, contribuciones y desembolsos, informe financiero; controles sobre la elegibilidad de los gastos; segregación de funciones, estados de gastos y ruta de no objeción. (C)</w:t>
            </w:r>
          </w:p>
          <w:p w14:paraId="100B78C6" w14:textId="77777777" w:rsidR="00990B14" w:rsidRDefault="00000000">
            <w:pPr>
              <w:spacing w:after="40"/>
              <w:jc w:val="both"/>
            </w:pPr>
            <w:r>
              <w:rPr>
                <w:sz w:val="18"/>
                <w:szCs w:val="18"/>
              </w:rPr>
              <w:t>Métodos de documentación: cuestionarios, narrativas, diagramas de flujo y pruebas de recorrido. (P)</w:t>
            </w:r>
          </w:p>
          <w:p w14:paraId="2324EB6B" w14:textId="77777777" w:rsidR="00990B14" w:rsidRDefault="00000000">
            <w:pPr>
              <w:spacing w:after="40"/>
              <w:jc w:val="both"/>
            </w:pPr>
            <w:r>
              <w:rPr>
                <w:sz w:val="18"/>
                <w:szCs w:val="18"/>
              </w:rPr>
              <w:t>Pruebas de cumplimiento: diseño, muestreo (NIA 530) y evaluación de las desviaciones. (P)</w:t>
            </w:r>
          </w:p>
          <w:p w14:paraId="5A683725" w14:textId="77777777" w:rsidR="00990B14" w:rsidRDefault="00000000">
            <w:pPr>
              <w:spacing w:after="40"/>
              <w:jc w:val="both"/>
            </w:pPr>
            <w:r>
              <w:rPr>
                <w:sz w:val="18"/>
                <w:szCs w:val="18"/>
              </w:rPr>
              <w:t>Controles generales de tecnología de la información y controles de aplicación de los sistemas contables en la nube. (P, T)</w:t>
            </w:r>
          </w:p>
          <w:p w14:paraId="6B186706" w14:textId="77777777" w:rsidR="00990B14" w:rsidRDefault="00000000">
            <w:pPr>
              <w:spacing w:after="40"/>
              <w:jc w:val="both"/>
            </w:pPr>
            <w:r>
              <w:rPr>
                <w:sz w:val="18"/>
                <w:szCs w:val="18"/>
              </w:rPr>
              <w:t>Determinación del riesgo de control por ciclo y comunicación de las deficiencias (NIA 265). (P)</w:t>
            </w:r>
          </w:p>
          <w:p w14:paraId="22353031" w14:textId="77777777" w:rsidR="00990B14" w:rsidRDefault="00000000">
            <w:pPr>
              <w:spacing w:after="40"/>
              <w:jc w:val="both"/>
            </w:pPr>
            <w:r>
              <w:rPr>
                <w:sz w:val="18"/>
                <w:szCs w:val="18"/>
              </w:rPr>
              <w:t>Actitud crítica y confidencialidad en el manejo de la información del cliente. (A)</w:t>
            </w:r>
          </w:p>
        </w:tc>
        <w:tc>
          <w:tcPr>
            <w:tcW w:w="2752" w:type="dxa"/>
            <w:gridSpan w:val="3"/>
            <w:shd w:val="clear" w:color="auto" w:fill="D9E2F3"/>
          </w:tcPr>
          <w:p w14:paraId="6D868790" w14:textId="77777777" w:rsidR="00990B14" w:rsidRDefault="00000000">
            <w:pPr>
              <w:numPr>
                <w:ilvl w:val="0"/>
                <w:numId w:val="139"/>
              </w:numPr>
              <w:spacing w:before="10" w:after="10"/>
              <w:jc w:val="both"/>
            </w:pPr>
            <w:r>
              <w:rPr>
                <w:sz w:val="18"/>
                <w:szCs w:val="18"/>
              </w:rPr>
              <w:t>Requisitos para que firmas privadas auditen recursos públicos administrados por entidades sin fines de lucro.</w:t>
            </w:r>
          </w:p>
          <w:p w14:paraId="5D0B8F41" w14:textId="77777777" w:rsidR="00990B14" w:rsidRDefault="00000000">
            <w:pPr>
              <w:numPr>
                <w:ilvl w:val="0"/>
                <w:numId w:val="139"/>
              </w:numPr>
              <w:spacing w:before="10" w:after="10"/>
              <w:jc w:val="both"/>
            </w:pPr>
            <w:r>
              <w:rPr>
                <w:sz w:val="18"/>
                <w:szCs w:val="18"/>
              </w:rPr>
              <w:t>Auditorías de proyectos con contraparte de gobiernos municipales y departamentales.</w:t>
            </w:r>
          </w:p>
          <w:p w14:paraId="1F8398D7" w14:textId="77777777" w:rsidR="00990B14" w:rsidRDefault="00000000">
            <w:pPr>
              <w:numPr>
                <w:ilvl w:val="0"/>
                <w:numId w:val="139"/>
              </w:numPr>
              <w:spacing w:before="10" w:after="10"/>
              <w:jc w:val="both"/>
            </w:pPr>
            <w:r>
              <w:rPr>
                <w:sz w:val="18"/>
                <w:szCs w:val="18"/>
              </w:rPr>
              <w:t>Informes de supervisión técnica de obras.</w:t>
            </w:r>
          </w:p>
          <w:p w14:paraId="168B3CFC" w14:textId="77777777" w:rsidR="00990B14" w:rsidRDefault="00000000">
            <w:pPr>
              <w:numPr>
                <w:ilvl w:val="0"/>
                <w:numId w:val="139"/>
              </w:numPr>
              <w:spacing w:before="10" w:after="10"/>
              <w:jc w:val="both"/>
            </w:pPr>
            <w:r>
              <w:rPr>
                <w:sz w:val="18"/>
                <w:szCs w:val="18"/>
              </w:rPr>
              <w:t>Informes de la Contraloría General del Estado sobre proyectos de inversión pública.</w:t>
            </w:r>
          </w:p>
          <w:p w14:paraId="76AF50F5" w14:textId="77777777" w:rsidR="00990B14" w:rsidRDefault="00000000">
            <w:pPr>
              <w:numPr>
                <w:ilvl w:val="0"/>
                <w:numId w:val="139"/>
              </w:numPr>
              <w:spacing w:before="10" w:after="10"/>
              <w:jc w:val="both"/>
            </w:pPr>
            <w:r>
              <w:rPr>
                <w:sz w:val="18"/>
                <w:szCs w:val="18"/>
              </w:rPr>
              <w:t>Sistemas contables y de gestión en la nube utilizados por las entidades sin fines de lucro en Bolivia.</w:t>
            </w:r>
          </w:p>
          <w:p w14:paraId="3EC1B6CC" w14:textId="77777777" w:rsidR="00990B14" w:rsidRDefault="00000000">
            <w:pPr>
              <w:numPr>
                <w:ilvl w:val="0"/>
                <w:numId w:val="139"/>
              </w:numPr>
              <w:spacing w:before="10" w:after="10"/>
              <w:jc w:val="both"/>
            </w:pPr>
            <w:r>
              <w:rPr>
                <w:sz w:val="18"/>
                <w:szCs w:val="18"/>
              </w:rPr>
              <w:t>Controles exigidos por los financiadores sobre la contraparte local y los gastos elegibles.</w:t>
            </w:r>
          </w:p>
        </w:tc>
      </w:tr>
      <w:tr w:rsidR="00990B14" w14:paraId="4DFDEB3B" w14:textId="77777777">
        <w:trPr>
          <w:cantSplit/>
          <w:jc w:val="center"/>
        </w:trPr>
        <w:tc>
          <w:tcPr>
            <w:tcW w:w="9405" w:type="dxa"/>
            <w:gridSpan w:val="13"/>
            <w:shd w:val="clear" w:color="auto" w:fill="D9E2F3"/>
            <w:vAlign w:val="center"/>
          </w:tcPr>
          <w:p w14:paraId="7F5A806E" w14:textId="77777777" w:rsidR="00990B14" w:rsidRDefault="00000000">
            <w:pPr>
              <w:spacing w:before="20" w:after="20"/>
              <w:jc w:val="both"/>
            </w:pPr>
            <w:r>
              <w:rPr>
                <w:b/>
                <w:bCs/>
                <w:i/>
                <w:iCs/>
                <w:sz w:val="18"/>
                <w:szCs w:val="18"/>
              </w:rPr>
              <w:t xml:space="preserve">Elemento de competencia 4: </w:t>
            </w:r>
            <w:r>
              <w:rPr>
                <w:sz w:val="18"/>
                <w:szCs w:val="18"/>
              </w:rPr>
              <w:t>Elabora los informes de auditoría, de revisión, de procedimientos acordados y de cumplimiento de las Entidades Sin Fines de Lucro y de sus proyectos financiados por organismos nacionales e internacionales, a partir de la valoración de los riesgos del encargo, de la respuesta de auditoría y de la verificación del régimen tributario del convenio, con apoyo de la analítica de datos y de la inteligencia artificial bajo juicio profesional.</w:t>
            </w:r>
          </w:p>
        </w:tc>
      </w:tr>
      <w:tr w:rsidR="00990B14" w14:paraId="30B241CC" w14:textId="77777777">
        <w:trPr>
          <w:cantSplit/>
          <w:jc w:val="center"/>
        </w:trPr>
        <w:tc>
          <w:tcPr>
            <w:tcW w:w="3133" w:type="dxa"/>
            <w:gridSpan w:val="4"/>
            <w:shd w:val="clear" w:color="auto" w:fill="4472C4"/>
            <w:vAlign w:val="center"/>
          </w:tcPr>
          <w:p w14:paraId="2136063C"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3099F06F"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1CA9947D" w14:textId="77777777" w:rsidR="00990B14" w:rsidRDefault="00000000">
            <w:pPr>
              <w:keepNext/>
              <w:spacing w:before="20" w:after="20"/>
              <w:jc w:val="center"/>
            </w:pPr>
            <w:r>
              <w:rPr>
                <w:b/>
                <w:bCs/>
                <w:i/>
                <w:iCs/>
                <w:color w:val="FFFFFF"/>
                <w:sz w:val="18"/>
                <w:szCs w:val="18"/>
              </w:rPr>
              <w:t>Evidencias de producto</w:t>
            </w:r>
          </w:p>
        </w:tc>
      </w:tr>
      <w:tr w:rsidR="00990B14" w14:paraId="51309974" w14:textId="77777777">
        <w:trPr>
          <w:cantSplit/>
          <w:jc w:val="center"/>
        </w:trPr>
        <w:tc>
          <w:tcPr>
            <w:tcW w:w="3133" w:type="dxa"/>
            <w:gridSpan w:val="4"/>
            <w:vMerge w:val="restart"/>
            <w:shd w:val="clear" w:color="auto" w:fill="D9E2F3"/>
            <w:vAlign w:val="center"/>
          </w:tcPr>
          <w:p w14:paraId="41930667" w14:textId="77777777" w:rsidR="00990B14" w:rsidRDefault="00000000">
            <w:pPr>
              <w:spacing w:before="20" w:after="20"/>
              <w:jc w:val="both"/>
            </w:pPr>
            <w:r>
              <w:rPr>
                <w:sz w:val="18"/>
                <w:szCs w:val="18"/>
              </w:rPr>
              <w:t>1. Planifica el encargo valorando sus riesgos y diseñando la respuesta de auditoría, con base en la independencia (Código IESBA), la materialidad y los riesgos significativos y de fraude (NIA 240, 315 y 330), con apoyo de la analítica de datos y de la inteligencia artificial validadas por el auditor.</w:t>
            </w:r>
          </w:p>
        </w:tc>
        <w:tc>
          <w:tcPr>
            <w:tcW w:w="3135" w:type="dxa"/>
            <w:gridSpan w:val="5"/>
            <w:shd w:val="clear" w:color="auto" w:fill="D9E2F3"/>
            <w:vAlign w:val="center"/>
          </w:tcPr>
          <w:p w14:paraId="40696859" w14:textId="77777777" w:rsidR="00990B14" w:rsidRDefault="00000000">
            <w:pPr>
              <w:spacing w:before="20" w:after="20"/>
              <w:jc w:val="both"/>
            </w:pPr>
            <w:r>
              <w:rPr>
                <w:sz w:val="18"/>
                <w:szCs w:val="18"/>
              </w:rPr>
              <w:t>1.1 Determina en equipo la aceptación del encargo, la independencia, la materialidad, los riesgos inherentes y de fraude y la respuesta de auditoría de un proyecto.</w:t>
            </w:r>
          </w:p>
        </w:tc>
        <w:tc>
          <w:tcPr>
            <w:tcW w:w="3137" w:type="dxa"/>
            <w:gridSpan w:val="4"/>
            <w:shd w:val="clear" w:color="auto" w:fill="D9E2F3"/>
            <w:vAlign w:val="center"/>
          </w:tcPr>
          <w:p w14:paraId="26D4EA63" w14:textId="77777777" w:rsidR="00990B14" w:rsidRDefault="00000000">
            <w:pPr>
              <w:spacing w:before="20" w:after="20"/>
              <w:jc w:val="both"/>
            </w:pPr>
            <w:r>
              <w:rPr>
                <w:b/>
                <w:bCs/>
                <w:sz w:val="18"/>
                <w:szCs w:val="18"/>
              </w:rPr>
              <w:t xml:space="preserve">Producto 13: </w:t>
            </w:r>
            <w:r>
              <w:rPr>
                <w:sz w:val="18"/>
                <w:szCs w:val="18"/>
              </w:rPr>
              <w:t>Estrategia global y plan de auditoría del proyecto con la evaluación de independencia.</w:t>
            </w:r>
          </w:p>
        </w:tc>
      </w:tr>
      <w:tr w:rsidR="00990B14" w14:paraId="072DEEF5" w14:textId="77777777">
        <w:trPr>
          <w:cantSplit/>
          <w:jc w:val="center"/>
        </w:trPr>
        <w:tc>
          <w:tcPr>
            <w:tcW w:w="3133" w:type="dxa"/>
            <w:gridSpan w:val="4"/>
            <w:vMerge/>
            <w:shd w:val="clear" w:color="auto" w:fill="D9E2F3"/>
            <w:vAlign w:val="center"/>
          </w:tcPr>
          <w:p w14:paraId="507BC78A" w14:textId="77777777" w:rsidR="00990B14" w:rsidRDefault="00990B14">
            <w:pPr>
              <w:spacing w:before="20" w:after="20"/>
            </w:pPr>
          </w:p>
        </w:tc>
        <w:tc>
          <w:tcPr>
            <w:tcW w:w="3135" w:type="dxa"/>
            <w:gridSpan w:val="5"/>
            <w:shd w:val="clear" w:color="auto" w:fill="D9E2F3"/>
            <w:vAlign w:val="center"/>
          </w:tcPr>
          <w:p w14:paraId="37A2CF27" w14:textId="77777777" w:rsidR="00990B14" w:rsidRDefault="00000000">
            <w:pPr>
              <w:spacing w:before="20" w:after="20"/>
              <w:jc w:val="both"/>
            </w:pPr>
            <w:r>
              <w:rPr>
                <w:sz w:val="18"/>
                <w:szCs w:val="18"/>
              </w:rPr>
              <w:t>1.2 Examina en el laboratorio de cómputo la totalidad de los desembolsos de un proyecto con software de análisis de datos y un modelo de inteligencia artificial generativa, validando sus resultados.</w:t>
            </w:r>
          </w:p>
        </w:tc>
        <w:tc>
          <w:tcPr>
            <w:tcW w:w="3137" w:type="dxa"/>
            <w:gridSpan w:val="4"/>
            <w:shd w:val="clear" w:color="auto" w:fill="D9E2F3"/>
            <w:vAlign w:val="center"/>
          </w:tcPr>
          <w:p w14:paraId="7BF1D2B9" w14:textId="77777777" w:rsidR="00990B14" w:rsidRDefault="00000000">
            <w:pPr>
              <w:spacing w:before="20" w:after="20"/>
              <w:jc w:val="both"/>
            </w:pPr>
            <w:r>
              <w:rPr>
                <w:b/>
                <w:bCs/>
                <w:sz w:val="18"/>
                <w:szCs w:val="18"/>
              </w:rPr>
              <w:t xml:space="preserve">Producto 14: </w:t>
            </w:r>
            <w:r>
              <w:rPr>
                <w:sz w:val="18"/>
                <w:szCs w:val="18"/>
              </w:rPr>
              <w:t>Papel de trabajo de analítica de datos e inteligencia artificial con las instrucciones utilizadas, los resultados y su validación.</w:t>
            </w:r>
          </w:p>
        </w:tc>
      </w:tr>
      <w:tr w:rsidR="00990B14" w14:paraId="6EF74B2A" w14:textId="77777777">
        <w:trPr>
          <w:cantSplit/>
          <w:jc w:val="center"/>
        </w:trPr>
        <w:tc>
          <w:tcPr>
            <w:tcW w:w="3133" w:type="dxa"/>
            <w:gridSpan w:val="4"/>
            <w:vMerge w:val="restart"/>
            <w:shd w:val="clear" w:color="auto" w:fill="D9E2F3"/>
            <w:vAlign w:val="center"/>
          </w:tcPr>
          <w:p w14:paraId="0834E847" w14:textId="77777777" w:rsidR="00990B14" w:rsidRDefault="00000000">
            <w:pPr>
              <w:spacing w:before="20" w:after="20"/>
              <w:jc w:val="both"/>
            </w:pPr>
            <w:r>
              <w:rPr>
                <w:sz w:val="18"/>
                <w:szCs w:val="18"/>
              </w:rPr>
              <w:t>2. Elabora los informes del encargo de auditoría (NIA 700, 705, 706, 800 y 805), revisión (NIER 2400), procedimientos acordados (NISR 4400) y cumplimiento (ISSAI 4000 / NIEA 3000) cuantificando los gastos no elegibles, verificando el cierre financiero y la cuenta designada y atendiendo los requerimientos de la Unión Europea, del Banco Mundial, del BID y de otros financiadores.</w:t>
            </w:r>
          </w:p>
        </w:tc>
        <w:tc>
          <w:tcPr>
            <w:tcW w:w="3135" w:type="dxa"/>
            <w:gridSpan w:val="5"/>
            <w:shd w:val="clear" w:color="auto" w:fill="D9E2F3"/>
            <w:vAlign w:val="center"/>
          </w:tcPr>
          <w:p w14:paraId="70BF92E7" w14:textId="77777777" w:rsidR="00990B14" w:rsidRDefault="00000000">
            <w:pPr>
              <w:spacing w:before="20" w:after="20"/>
              <w:jc w:val="both"/>
            </w:pPr>
            <w:r>
              <w:rPr>
                <w:sz w:val="18"/>
                <w:szCs w:val="18"/>
              </w:rPr>
              <w:t>2.1 Resuelve en aula la determinación de los gastos no elegibles y del cumplimiento de las estipulaciones y del régimen tributario del convenio, y su efecto en el informe.</w:t>
            </w:r>
          </w:p>
        </w:tc>
        <w:tc>
          <w:tcPr>
            <w:tcW w:w="3137" w:type="dxa"/>
            <w:gridSpan w:val="4"/>
            <w:shd w:val="clear" w:color="auto" w:fill="D9E2F3"/>
            <w:vAlign w:val="center"/>
          </w:tcPr>
          <w:p w14:paraId="0073A115" w14:textId="77777777" w:rsidR="00990B14" w:rsidRDefault="00000000">
            <w:pPr>
              <w:spacing w:before="20" w:after="20"/>
              <w:jc w:val="both"/>
            </w:pPr>
            <w:r>
              <w:rPr>
                <w:b/>
                <w:bCs/>
                <w:sz w:val="18"/>
                <w:szCs w:val="18"/>
              </w:rPr>
              <w:t xml:space="preserve">Producto 15: </w:t>
            </w:r>
            <w:r>
              <w:rPr>
                <w:sz w:val="18"/>
                <w:szCs w:val="18"/>
              </w:rPr>
              <w:t>Papel de trabajo de gastos no elegibles y de cumplimiento del convenio con su efecto en el informe.</w:t>
            </w:r>
          </w:p>
        </w:tc>
      </w:tr>
      <w:tr w:rsidR="00990B14" w14:paraId="23675708" w14:textId="77777777">
        <w:trPr>
          <w:cantSplit/>
          <w:jc w:val="center"/>
        </w:trPr>
        <w:tc>
          <w:tcPr>
            <w:tcW w:w="3133" w:type="dxa"/>
            <w:gridSpan w:val="4"/>
            <w:vMerge/>
            <w:shd w:val="clear" w:color="auto" w:fill="D9E2F3"/>
            <w:vAlign w:val="center"/>
          </w:tcPr>
          <w:p w14:paraId="200B6E5E" w14:textId="77777777" w:rsidR="00990B14" w:rsidRDefault="00990B14">
            <w:pPr>
              <w:spacing w:before="20" w:after="20"/>
            </w:pPr>
          </w:p>
        </w:tc>
        <w:tc>
          <w:tcPr>
            <w:tcW w:w="3135" w:type="dxa"/>
            <w:gridSpan w:val="5"/>
            <w:shd w:val="clear" w:color="auto" w:fill="D9E2F3"/>
            <w:vAlign w:val="center"/>
          </w:tcPr>
          <w:p w14:paraId="7195BE93" w14:textId="77777777" w:rsidR="00990B14" w:rsidRDefault="00000000">
            <w:pPr>
              <w:spacing w:before="20" w:after="20"/>
              <w:jc w:val="both"/>
            </w:pPr>
            <w:r>
              <w:rPr>
                <w:sz w:val="18"/>
                <w:szCs w:val="18"/>
              </w:rPr>
              <w:t>2.2 Presenta ante el curso el informe del encargo de un proyecto financiado por un organismo internacional, con la carta de deficiencias de control interno.</w:t>
            </w:r>
          </w:p>
        </w:tc>
        <w:tc>
          <w:tcPr>
            <w:tcW w:w="3137" w:type="dxa"/>
            <w:gridSpan w:val="4"/>
            <w:shd w:val="clear" w:color="auto" w:fill="D9E2F3"/>
            <w:vAlign w:val="center"/>
          </w:tcPr>
          <w:p w14:paraId="18BCF09C" w14:textId="77777777" w:rsidR="00990B14" w:rsidRDefault="00000000">
            <w:pPr>
              <w:spacing w:before="20" w:after="20"/>
              <w:jc w:val="both"/>
            </w:pPr>
            <w:r>
              <w:rPr>
                <w:b/>
                <w:bCs/>
                <w:sz w:val="18"/>
                <w:szCs w:val="18"/>
              </w:rPr>
              <w:t xml:space="preserve">Producto 16: </w:t>
            </w:r>
            <w:r>
              <w:rPr>
                <w:sz w:val="18"/>
                <w:szCs w:val="18"/>
              </w:rPr>
              <w:t>Informe del encargo del proyecto (auditoría, revisión o procedimientos acordados), con el estado de la cuenta designada cuando corresponda, y carta de deficiencias de control interno.</w:t>
            </w:r>
          </w:p>
        </w:tc>
      </w:tr>
      <w:tr w:rsidR="00990B14" w14:paraId="02E35929" w14:textId="77777777">
        <w:trPr>
          <w:cantSplit/>
          <w:jc w:val="center"/>
        </w:trPr>
        <w:tc>
          <w:tcPr>
            <w:tcW w:w="9405" w:type="dxa"/>
            <w:gridSpan w:val="13"/>
            <w:shd w:val="clear" w:color="auto" w:fill="4472C4"/>
            <w:vAlign w:val="center"/>
          </w:tcPr>
          <w:p w14:paraId="4E8296E3" w14:textId="77777777" w:rsidR="00990B14" w:rsidRDefault="00000000">
            <w:pPr>
              <w:keepNext/>
              <w:spacing w:before="20" w:after="20"/>
              <w:jc w:val="center"/>
            </w:pPr>
            <w:r>
              <w:rPr>
                <w:b/>
                <w:bCs/>
                <w:i/>
                <w:iCs/>
                <w:color w:val="FFFFFF"/>
                <w:sz w:val="18"/>
                <w:szCs w:val="18"/>
              </w:rPr>
              <w:t>Evidencias de conocimiento</w:t>
            </w:r>
          </w:p>
        </w:tc>
      </w:tr>
      <w:tr w:rsidR="00990B14" w14:paraId="6A4FB394" w14:textId="77777777">
        <w:trPr>
          <w:cantSplit/>
          <w:jc w:val="center"/>
        </w:trPr>
        <w:tc>
          <w:tcPr>
            <w:tcW w:w="2349" w:type="dxa"/>
            <w:gridSpan w:val="2"/>
            <w:shd w:val="clear" w:color="auto" w:fill="4472C4"/>
            <w:vAlign w:val="center"/>
          </w:tcPr>
          <w:p w14:paraId="66E03370"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42223CB6" w14:textId="77777777" w:rsidR="00990B14" w:rsidRDefault="00000000">
            <w:pPr>
              <w:keepNext/>
              <w:spacing w:before="20" w:after="20"/>
              <w:jc w:val="both"/>
            </w:pPr>
            <w:r>
              <w:rPr>
                <w:b/>
                <w:bCs/>
                <w:i/>
                <w:iCs/>
                <w:color w:val="FFFFFF"/>
                <w:sz w:val="18"/>
                <w:szCs w:val="18"/>
              </w:rPr>
              <w:t>Contenidos</w:t>
            </w:r>
          </w:p>
          <w:p w14:paraId="367FE79C"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63E52F2D" w14:textId="77777777" w:rsidR="00990B14" w:rsidRDefault="00000000">
            <w:pPr>
              <w:keepNext/>
              <w:spacing w:before="20" w:after="20"/>
              <w:jc w:val="center"/>
            </w:pPr>
            <w:r>
              <w:rPr>
                <w:b/>
                <w:bCs/>
                <w:i/>
                <w:iCs/>
                <w:color w:val="FFFFFF"/>
                <w:sz w:val="18"/>
                <w:szCs w:val="18"/>
              </w:rPr>
              <w:t>Conocimientos circunstanciales</w:t>
            </w:r>
          </w:p>
        </w:tc>
      </w:tr>
      <w:tr w:rsidR="00990B14" w14:paraId="24EA5D77" w14:textId="77777777">
        <w:trPr>
          <w:jc w:val="center"/>
        </w:trPr>
        <w:tc>
          <w:tcPr>
            <w:tcW w:w="2349" w:type="dxa"/>
            <w:gridSpan w:val="2"/>
            <w:shd w:val="clear" w:color="auto" w:fill="D9E2F3"/>
          </w:tcPr>
          <w:p w14:paraId="0EA913A1" w14:textId="77777777" w:rsidR="00990B14" w:rsidRDefault="00000000">
            <w:pPr>
              <w:spacing w:before="20" w:after="40"/>
              <w:jc w:val="both"/>
            </w:pPr>
            <w:r>
              <w:rPr>
                <w:b/>
                <w:bCs/>
                <w:sz w:val="18"/>
                <w:szCs w:val="18"/>
              </w:rPr>
              <w:t>Tema 11: Encargos de revisión de Entidades Sin Fines de Lucro y sus proyectos y la aplicación de la NIER 2400 (Revisada)</w:t>
            </w:r>
          </w:p>
          <w:p w14:paraId="0762B952" w14:textId="77777777" w:rsidR="00990B14" w:rsidRDefault="00000000">
            <w:pPr>
              <w:spacing w:before="20" w:after="40"/>
              <w:jc w:val="both"/>
            </w:pPr>
            <w:r>
              <w:rPr>
                <w:b/>
                <w:bCs/>
                <w:sz w:val="18"/>
                <w:szCs w:val="18"/>
              </w:rPr>
              <w:t>Tema 12: Directrices y lineamientos para las auditorías de cumplimiento realizadas separadamente de la auditoría de estados financieros</w:t>
            </w:r>
          </w:p>
          <w:p w14:paraId="716C2A3F" w14:textId="77777777" w:rsidR="00990B14" w:rsidRDefault="00000000">
            <w:pPr>
              <w:spacing w:before="20" w:after="40"/>
              <w:jc w:val="both"/>
            </w:pPr>
            <w:r>
              <w:rPr>
                <w:b/>
                <w:bCs/>
                <w:sz w:val="18"/>
                <w:szCs w:val="18"/>
              </w:rPr>
              <w:t>Tema 13: Normas tributarias aplicables a los convenios y otros instrumentos jurídicos internacionales</w:t>
            </w:r>
          </w:p>
          <w:p w14:paraId="5D9D9A36" w14:textId="77777777" w:rsidR="00990B14" w:rsidRDefault="00000000">
            <w:pPr>
              <w:spacing w:before="20" w:after="40"/>
              <w:jc w:val="both"/>
            </w:pPr>
            <w:r>
              <w:rPr>
                <w:b/>
                <w:bCs/>
                <w:sz w:val="18"/>
                <w:szCs w:val="18"/>
              </w:rPr>
              <w:t>Tema 14: Evaluación del riesgo</w:t>
            </w:r>
          </w:p>
          <w:p w14:paraId="0231F60B" w14:textId="77777777" w:rsidR="00990B14" w:rsidRDefault="00000000">
            <w:pPr>
              <w:spacing w:before="20" w:after="40"/>
              <w:jc w:val="both"/>
            </w:pPr>
            <w:r>
              <w:rPr>
                <w:b/>
                <w:bCs/>
                <w:sz w:val="18"/>
                <w:szCs w:val="18"/>
              </w:rPr>
              <w:t>Tema 15: Respuesta al riesgo</w:t>
            </w:r>
          </w:p>
          <w:p w14:paraId="51B8B11A" w14:textId="77777777" w:rsidR="00990B14" w:rsidRDefault="00000000">
            <w:pPr>
              <w:spacing w:before="20" w:after="40"/>
              <w:jc w:val="both"/>
            </w:pPr>
            <w:r>
              <w:rPr>
                <w:b/>
                <w:bCs/>
                <w:sz w:val="18"/>
                <w:szCs w:val="18"/>
              </w:rPr>
              <w:t>Tema 16: Informes de auditoría</w:t>
            </w:r>
          </w:p>
          <w:p w14:paraId="356F19A0" w14:textId="77777777" w:rsidR="00990B14" w:rsidRDefault="00000000">
            <w:pPr>
              <w:spacing w:before="20" w:after="40"/>
              <w:jc w:val="both"/>
            </w:pPr>
            <w:r>
              <w:rPr>
                <w:b/>
                <w:bCs/>
                <w:sz w:val="18"/>
                <w:szCs w:val="18"/>
              </w:rPr>
              <w:t>Tema 17: Utilización de herramientas de tecnologías emergentes en el proceso de auditoría</w:t>
            </w:r>
          </w:p>
          <w:p w14:paraId="0236DE2E" w14:textId="77777777" w:rsidR="00990B14" w:rsidRDefault="00000000">
            <w:pPr>
              <w:spacing w:before="20" w:after="40"/>
              <w:jc w:val="both"/>
            </w:pPr>
            <w:r>
              <w:rPr>
                <w:b/>
                <w:bCs/>
                <w:sz w:val="18"/>
                <w:szCs w:val="18"/>
              </w:rPr>
              <w:t>Tema 18: Auditoría de proyectos con fondos de la Unión Europea, Banco Mundial, BID y otros financiadores internacionales y nacionales como administradores y ejecutores</w:t>
            </w:r>
          </w:p>
        </w:tc>
        <w:tc>
          <w:tcPr>
            <w:tcW w:w="4304" w:type="dxa"/>
            <w:gridSpan w:val="8"/>
            <w:shd w:val="clear" w:color="auto" w:fill="D9E2F3"/>
          </w:tcPr>
          <w:p w14:paraId="0DF63007" w14:textId="77777777" w:rsidR="00990B14" w:rsidRDefault="00000000">
            <w:pPr>
              <w:spacing w:after="40"/>
              <w:jc w:val="both"/>
            </w:pPr>
            <w:r>
              <w:rPr>
                <w:sz w:val="18"/>
                <w:szCs w:val="18"/>
              </w:rPr>
              <w:t>Objetivo y aplicabilidad de la NIER 2400 (Revisada): seguridad limitada y conclusión expresada en forma negativa sobre estados financieros históricos. (C)</w:t>
            </w:r>
          </w:p>
          <w:p w14:paraId="389D418E" w14:textId="77777777" w:rsidR="00990B14" w:rsidRDefault="00000000">
            <w:pPr>
              <w:spacing w:after="40"/>
              <w:jc w:val="both"/>
            </w:pPr>
            <w:r>
              <w:rPr>
                <w:sz w:val="18"/>
                <w:szCs w:val="18"/>
              </w:rPr>
              <w:t>Procedimientos de revisión: indagación y procedimientos analíticos; materialidad en el encargo de revisión. (P)</w:t>
            </w:r>
          </w:p>
          <w:p w14:paraId="03E8BA3C" w14:textId="77777777" w:rsidR="00990B14" w:rsidRDefault="00000000">
            <w:pPr>
              <w:spacing w:after="40"/>
              <w:jc w:val="both"/>
            </w:pPr>
            <w:r>
              <w:rPr>
                <w:sz w:val="18"/>
                <w:szCs w:val="18"/>
              </w:rPr>
              <w:t>Diferencias entre el informe de auditoría, el de revisión, el de procedimientos acordados (NISR 4400 Revisada) y el de compilación (NISR 4410 Revisada). (C, P)</w:t>
            </w:r>
          </w:p>
          <w:p w14:paraId="123D3484" w14:textId="77777777" w:rsidR="00990B14" w:rsidRDefault="00000000">
            <w:pPr>
              <w:spacing w:after="40"/>
              <w:jc w:val="both"/>
            </w:pPr>
            <w:r>
              <w:rPr>
                <w:sz w:val="18"/>
                <w:szCs w:val="18"/>
              </w:rPr>
              <w:t>Comunicación clara al usuario del grado de seguridad que proporciona cada encargo. (A)</w:t>
            </w:r>
          </w:p>
          <w:p w14:paraId="51145F94" w14:textId="77777777" w:rsidR="00990B14" w:rsidRDefault="00000000">
            <w:pPr>
              <w:spacing w:after="40"/>
              <w:jc w:val="both"/>
            </w:pPr>
            <w:r>
              <w:rPr>
                <w:sz w:val="18"/>
                <w:szCs w:val="18"/>
              </w:rPr>
              <w:t>Objeto de la auditoría de cumplimiento realizada separadamente: ISSAI 4000 que sustituyó a las ISSAI 4100 y 4200, y NIEA 3000 (Revisada) para el sector privado. (C)</w:t>
            </w:r>
          </w:p>
          <w:p w14:paraId="15A39061" w14:textId="77777777" w:rsidR="00990B14" w:rsidRDefault="00000000">
            <w:pPr>
              <w:spacing w:after="40"/>
              <w:jc w:val="both"/>
            </w:pPr>
            <w:r>
              <w:rPr>
                <w:sz w:val="18"/>
                <w:szCs w:val="18"/>
              </w:rPr>
              <w:t>Materia en cuestión y criterios: convenio, políticas, códigos establecidos y estipulaciones acordadas; seguridad razonable o limitada. (C, P)</w:t>
            </w:r>
          </w:p>
          <w:p w14:paraId="3EE68406" w14:textId="77777777" w:rsidR="00990B14" w:rsidRDefault="00000000">
            <w:pPr>
              <w:spacing w:after="40"/>
              <w:jc w:val="both"/>
            </w:pPr>
            <w:r>
              <w:rPr>
                <w:sz w:val="18"/>
                <w:szCs w:val="18"/>
              </w:rPr>
              <w:t>Verificación de las estipulaciones del convenio y de los procedimientos de licitación exigidos por los financiadores frente a la legislación local. (P)</w:t>
            </w:r>
          </w:p>
          <w:p w14:paraId="2C63A928" w14:textId="77777777" w:rsidR="00990B14" w:rsidRDefault="00000000">
            <w:pPr>
              <w:spacing w:after="40"/>
              <w:jc w:val="both"/>
            </w:pPr>
            <w:r>
              <w:rPr>
                <w:sz w:val="18"/>
                <w:szCs w:val="18"/>
              </w:rPr>
              <w:t>Transparencia, rendición de cuentas, administración de recursos ajenos y buena gobernanza. (A)</w:t>
            </w:r>
          </w:p>
          <w:p w14:paraId="065D283F" w14:textId="77777777" w:rsidR="00990B14" w:rsidRDefault="00000000">
            <w:pPr>
              <w:spacing w:after="40"/>
              <w:jc w:val="both"/>
            </w:pPr>
            <w:r>
              <w:rPr>
                <w:sz w:val="18"/>
                <w:szCs w:val="18"/>
              </w:rPr>
              <w:t>Tratamiento tributario de los convenios de cooperación reembolsable y no reembolsable y de los acuerdos marco de cooperación con el Estado. (C)</w:t>
            </w:r>
          </w:p>
          <w:p w14:paraId="3EDD9BA7" w14:textId="77777777" w:rsidR="00990B14" w:rsidRDefault="00000000">
            <w:pPr>
              <w:spacing w:after="40"/>
              <w:jc w:val="both"/>
            </w:pPr>
            <w:r>
              <w:rPr>
                <w:sz w:val="18"/>
                <w:szCs w:val="18"/>
              </w:rPr>
              <w:t>Identificación de los impuestos directos e indirectos que gravan la ejecución del convenio, de las exenciones (incluidos el IVA y el Gravamen Arancelario en la importación de donaciones y de bienes del proyecto) y de su relación con otras disposiciones tributarias. (P)</w:t>
            </w:r>
          </w:p>
          <w:p w14:paraId="56A93A4C" w14:textId="77777777" w:rsidR="00990B14" w:rsidRDefault="00000000">
            <w:pPr>
              <w:spacing w:after="40"/>
              <w:jc w:val="both"/>
            </w:pPr>
            <w:r>
              <w:rPr>
                <w:sz w:val="18"/>
                <w:szCs w:val="18"/>
              </w:rPr>
              <w:t>Verificación del cumplimiento tributario en la ejecución del convenio. (P)</w:t>
            </w:r>
          </w:p>
          <w:p w14:paraId="352E4D47" w14:textId="77777777" w:rsidR="00990B14" w:rsidRDefault="00000000">
            <w:pPr>
              <w:spacing w:after="40"/>
              <w:jc w:val="both"/>
            </w:pPr>
            <w:r>
              <w:rPr>
                <w:sz w:val="18"/>
                <w:szCs w:val="18"/>
              </w:rPr>
              <w:t>Integridad en la aplicación de los beneficios tributarios del convenio. (A)</w:t>
            </w:r>
          </w:p>
          <w:p w14:paraId="4C576433" w14:textId="77777777" w:rsidR="00990B14" w:rsidRDefault="00000000">
            <w:pPr>
              <w:spacing w:after="40"/>
              <w:jc w:val="both"/>
            </w:pPr>
            <w:r>
              <w:rPr>
                <w:sz w:val="18"/>
                <w:szCs w:val="18"/>
              </w:rPr>
              <w:t>Aceptación y continuidad del encargo; independencia y amenazas conforme al Código IESBA, a la NIGC 1 y a la NIA 220 (Revisada). (C, A)</w:t>
            </w:r>
          </w:p>
          <w:p w14:paraId="4FABD656" w14:textId="77777777" w:rsidR="00990B14" w:rsidRDefault="00000000">
            <w:pPr>
              <w:spacing w:after="40"/>
              <w:jc w:val="both"/>
            </w:pPr>
            <w:r>
              <w:rPr>
                <w:sz w:val="18"/>
                <w:szCs w:val="18"/>
              </w:rPr>
              <w:t>Estrategia global y plan de auditoría (NIA 300). (C, P)</w:t>
            </w:r>
          </w:p>
          <w:p w14:paraId="0E4A8AF8" w14:textId="77777777" w:rsidR="00990B14" w:rsidRDefault="00000000">
            <w:pPr>
              <w:spacing w:after="40"/>
              <w:jc w:val="both"/>
            </w:pPr>
            <w:r>
              <w:rPr>
                <w:sz w:val="18"/>
                <w:szCs w:val="18"/>
              </w:rPr>
              <w:t>Materialidad en los estados financieros de proyectos (NIA 320): bases, materialidad de ejecución y umbral de lo claramente insignificante. (P)</w:t>
            </w:r>
          </w:p>
          <w:p w14:paraId="5CC20AE2" w14:textId="77777777" w:rsidR="00990B14" w:rsidRDefault="00000000">
            <w:pPr>
              <w:spacing w:after="40"/>
              <w:jc w:val="both"/>
            </w:pPr>
            <w:r>
              <w:rPr>
                <w:sz w:val="18"/>
                <w:szCs w:val="18"/>
              </w:rPr>
              <w:t>Identificación y valoración de los riesgos (NIA 315 Revisada 2019): riesgo inherente, espectro de riesgo y riesgos significativos. (C, P)</w:t>
            </w:r>
          </w:p>
          <w:p w14:paraId="1B28622F" w14:textId="77777777" w:rsidR="00990B14" w:rsidRDefault="00000000">
            <w:pPr>
              <w:spacing w:after="40"/>
              <w:jc w:val="both"/>
            </w:pPr>
            <w:r>
              <w:rPr>
                <w:sz w:val="18"/>
                <w:szCs w:val="18"/>
              </w:rPr>
              <w:t>Riesgo de fraude en el uso de los fondos del proyecto (NIA 240 Revisada, emitida en 2025 y aplicable a periodos iniciados desde el 15 de diciembre de 2026). (C, P)</w:t>
            </w:r>
          </w:p>
          <w:p w14:paraId="774B75FE" w14:textId="77777777" w:rsidR="00990B14" w:rsidRDefault="00000000">
            <w:pPr>
              <w:spacing w:after="40"/>
              <w:jc w:val="both"/>
            </w:pPr>
            <w:r>
              <w:rPr>
                <w:sz w:val="18"/>
                <w:szCs w:val="18"/>
              </w:rPr>
              <w:t>Discusión del equipo y procedimientos analíticos preliminares con herramientas de datos. (P, T)</w:t>
            </w:r>
          </w:p>
          <w:p w14:paraId="24FA9812" w14:textId="77777777" w:rsidR="00990B14" w:rsidRDefault="00000000">
            <w:pPr>
              <w:spacing w:after="40"/>
              <w:jc w:val="both"/>
            </w:pPr>
            <w:r>
              <w:rPr>
                <w:sz w:val="18"/>
                <w:szCs w:val="18"/>
              </w:rPr>
              <w:t>Respuestas globales y procedimientos de auditoría (NIA 330): naturaleza, momento y extensión. (C, P)</w:t>
            </w:r>
          </w:p>
          <w:p w14:paraId="3CA8BBB0" w14:textId="77777777" w:rsidR="00990B14" w:rsidRDefault="00000000">
            <w:pPr>
              <w:spacing w:after="40"/>
              <w:jc w:val="both"/>
            </w:pPr>
            <w:r>
              <w:rPr>
                <w:sz w:val="18"/>
                <w:szCs w:val="18"/>
              </w:rPr>
              <w:t>Evidencia de auditoría (NIA 500), confirmaciones externas con el financiador (NIA 505) y muestreo (NIA 530). (P)</w:t>
            </w:r>
          </w:p>
          <w:p w14:paraId="30351DEA" w14:textId="77777777" w:rsidR="00990B14" w:rsidRDefault="00000000">
            <w:pPr>
              <w:spacing w:after="40"/>
              <w:jc w:val="both"/>
            </w:pPr>
            <w:r>
              <w:rPr>
                <w:sz w:val="18"/>
                <w:szCs w:val="18"/>
              </w:rPr>
              <w:t>Documentación del trabajo (NIA 230) y manifestaciones escritas (NIA 580). (P)</w:t>
            </w:r>
          </w:p>
          <w:p w14:paraId="00C95EB9" w14:textId="77777777" w:rsidR="00990B14" w:rsidRDefault="00000000">
            <w:pPr>
              <w:spacing w:after="40"/>
              <w:jc w:val="both"/>
            </w:pPr>
            <w:r>
              <w:rPr>
                <w:sz w:val="18"/>
                <w:szCs w:val="18"/>
              </w:rPr>
              <w:t>Evaluación de la evidencia y comunicación con los responsables del gobierno de la entidad (NIA 260 y 265). (P, A)</w:t>
            </w:r>
          </w:p>
          <w:p w14:paraId="484381F9" w14:textId="77777777" w:rsidR="00990B14" w:rsidRDefault="00000000">
            <w:pPr>
              <w:spacing w:after="40"/>
              <w:jc w:val="both"/>
            </w:pPr>
            <w:r>
              <w:rPr>
                <w:sz w:val="18"/>
                <w:szCs w:val="18"/>
              </w:rPr>
              <w:t>Escepticismo profesional ante la evidencia contradictoria. (A)</w:t>
            </w:r>
          </w:p>
          <w:p w14:paraId="60DE1216" w14:textId="77777777" w:rsidR="00990B14" w:rsidRDefault="00000000">
            <w:pPr>
              <w:spacing w:after="40"/>
              <w:jc w:val="both"/>
            </w:pPr>
            <w:r>
              <w:rPr>
                <w:sz w:val="18"/>
                <w:szCs w:val="18"/>
              </w:rPr>
              <w:t>Informe del auditor (NIA 700 Revisada), opinión modificada (NIA 705) y párrafos de énfasis y de otras cuestiones (NIA 706). (C)</w:t>
            </w:r>
          </w:p>
          <w:p w14:paraId="4268B91F" w14:textId="77777777" w:rsidR="00990B14" w:rsidRDefault="00000000">
            <w:pPr>
              <w:spacing w:after="40"/>
              <w:jc w:val="both"/>
            </w:pPr>
            <w:r>
              <w:rPr>
                <w:sz w:val="18"/>
                <w:szCs w:val="18"/>
              </w:rPr>
              <w:t>NIA 800 y NIA 805: informes sobre estados financieros preparados conforme a marcos de propósito específico y sobre estados o elementos aislados. (C)</w:t>
            </w:r>
          </w:p>
          <w:p w14:paraId="4692C004" w14:textId="77777777" w:rsidR="00990B14" w:rsidRDefault="00000000">
            <w:pPr>
              <w:spacing w:after="40"/>
              <w:jc w:val="both"/>
            </w:pPr>
            <w:r>
              <w:rPr>
                <w:sz w:val="18"/>
                <w:szCs w:val="18"/>
              </w:rPr>
              <w:t>Gastos elegibles y no elegibles: identificación, cuantificación y efecto en la opinión y en las recomendaciones. (C, P)</w:t>
            </w:r>
          </w:p>
          <w:p w14:paraId="06DD268F" w14:textId="77777777" w:rsidR="00990B14" w:rsidRDefault="00000000">
            <w:pPr>
              <w:spacing w:after="40"/>
              <w:jc w:val="both"/>
            </w:pPr>
            <w:r>
              <w:rPr>
                <w:sz w:val="18"/>
                <w:szCs w:val="18"/>
              </w:rPr>
              <w:t>Carta de deficiencias de control interno (NIA 265) y seguimiento de las recomendaciones. (P)</w:t>
            </w:r>
          </w:p>
          <w:p w14:paraId="6D1CEBE7" w14:textId="77777777" w:rsidR="00990B14" w:rsidRDefault="00000000">
            <w:pPr>
              <w:spacing w:after="40"/>
              <w:jc w:val="both"/>
            </w:pPr>
            <w:r>
              <w:rPr>
                <w:sz w:val="18"/>
                <w:szCs w:val="18"/>
              </w:rPr>
              <w:t>Opinión sobre el estado de la cuenta designada y conciliación de los desembolsos con los registros del financiador. (C, P)</w:t>
            </w:r>
          </w:p>
          <w:p w14:paraId="0992E05A" w14:textId="77777777" w:rsidR="00990B14" w:rsidRDefault="00000000">
            <w:pPr>
              <w:spacing w:after="40"/>
              <w:jc w:val="both"/>
            </w:pPr>
            <w:r>
              <w:rPr>
                <w:sz w:val="18"/>
                <w:szCs w:val="18"/>
              </w:rPr>
              <w:t>Redacción técnica clara, objetiva y fundamentada. (A)</w:t>
            </w:r>
          </w:p>
          <w:p w14:paraId="62B591AB" w14:textId="77777777" w:rsidR="00990B14" w:rsidRDefault="00000000">
            <w:pPr>
              <w:spacing w:after="40"/>
              <w:jc w:val="both"/>
            </w:pPr>
            <w:r>
              <w:rPr>
                <w:sz w:val="18"/>
                <w:szCs w:val="18"/>
              </w:rPr>
              <w:t>Firma digital y entrega electrónica de los informes a los financiadores. (T)</w:t>
            </w:r>
          </w:p>
          <w:p w14:paraId="6AA23711" w14:textId="77777777" w:rsidR="00990B14" w:rsidRDefault="00000000">
            <w:pPr>
              <w:spacing w:after="40"/>
              <w:jc w:val="both"/>
            </w:pPr>
            <w:r>
              <w:rPr>
                <w:sz w:val="18"/>
                <w:szCs w:val="18"/>
              </w:rPr>
              <w:t>Técnicas de auditoría asistidas por computador: pruebas de totalidad, duplicados, secuencias, estratificación y ley de Benford. (P, T)</w:t>
            </w:r>
          </w:p>
          <w:p w14:paraId="6C27813B" w14:textId="77777777" w:rsidR="00990B14" w:rsidRDefault="00000000">
            <w:pPr>
              <w:spacing w:after="40"/>
              <w:jc w:val="both"/>
            </w:pPr>
            <w:r>
              <w:rPr>
                <w:sz w:val="18"/>
                <w:szCs w:val="18"/>
              </w:rPr>
              <w:t>Analítica de datos (hoja de cálculo, Power BI y Python) sobre la totalidad de los desembolsos y de las transacciones del proyecto. (P, T)</w:t>
            </w:r>
          </w:p>
          <w:p w14:paraId="4295B084" w14:textId="77777777" w:rsidR="00990B14" w:rsidRDefault="00000000">
            <w:pPr>
              <w:spacing w:after="40"/>
              <w:jc w:val="both"/>
            </w:pPr>
            <w:r>
              <w:rPr>
                <w:sz w:val="18"/>
                <w:szCs w:val="18"/>
              </w:rPr>
              <w:t>Inteligencia artificial generativa en la auditoría: usos, riesgos, limitaciones, confidencialidad, documentación de las instrucciones y validación de los resultados por el auditor. (C, T)</w:t>
            </w:r>
          </w:p>
          <w:p w14:paraId="03A18A01" w14:textId="77777777" w:rsidR="00990B14" w:rsidRDefault="00000000">
            <w:pPr>
              <w:spacing w:after="40"/>
              <w:jc w:val="both"/>
            </w:pPr>
            <w:r>
              <w:rPr>
                <w:sz w:val="18"/>
                <w:szCs w:val="18"/>
              </w:rPr>
              <w:t>Papeles de trabajo electrónicos y trazabilidad de las rutinas de análisis. (T)</w:t>
            </w:r>
          </w:p>
          <w:p w14:paraId="6737F7DE" w14:textId="77777777" w:rsidR="00990B14" w:rsidRDefault="00000000">
            <w:pPr>
              <w:spacing w:after="40"/>
              <w:jc w:val="both"/>
            </w:pPr>
            <w:r>
              <w:rPr>
                <w:sz w:val="18"/>
                <w:szCs w:val="18"/>
              </w:rPr>
              <w:t>Ética en el uso de la inteligencia artificial y protección de los datos personales. (A)</w:t>
            </w:r>
          </w:p>
          <w:p w14:paraId="692CDFA1" w14:textId="77777777" w:rsidR="00990B14" w:rsidRDefault="00000000">
            <w:pPr>
              <w:spacing w:after="40"/>
              <w:jc w:val="both"/>
            </w:pPr>
            <w:r>
              <w:rPr>
                <w:sz w:val="18"/>
                <w:szCs w:val="18"/>
              </w:rPr>
              <w:t>Antecedentes, aplicabilidad y responsabilidades del auditor, del ejecutor y del prestatario o beneficiario. (C, A)</w:t>
            </w:r>
          </w:p>
          <w:p w14:paraId="798C1779" w14:textId="77777777" w:rsidR="00990B14" w:rsidRDefault="00000000">
            <w:pPr>
              <w:spacing w:after="40"/>
              <w:jc w:val="both"/>
            </w:pPr>
            <w:r>
              <w:rPr>
                <w:sz w:val="18"/>
                <w:szCs w:val="18"/>
              </w:rPr>
              <w:t>Banco Mundial: Manual de Gestión Financiera para operaciones de Financiamiento de Proyectos de Inversión; estados financieros del proyecto y términos de referencia de auditoría. (C)</w:t>
            </w:r>
          </w:p>
          <w:p w14:paraId="0E6D840E" w14:textId="77777777" w:rsidR="00990B14" w:rsidRDefault="00000000">
            <w:pPr>
              <w:spacing w:after="40"/>
              <w:jc w:val="both"/>
            </w:pPr>
            <w:r>
              <w:rPr>
                <w:sz w:val="18"/>
                <w:szCs w:val="18"/>
              </w:rPr>
              <w:t>BID: Guía de Gestión Financiera para Proyectos financiados por el BID (OP-273-12) y requisitos de los informes financieros auditados. (C)</w:t>
            </w:r>
          </w:p>
          <w:p w14:paraId="1A6FD3BF" w14:textId="77777777" w:rsidR="00990B14" w:rsidRDefault="00000000">
            <w:pPr>
              <w:spacing w:after="40"/>
              <w:jc w:val="both"/>
            </w:pPr>
            <w:r>
              <w:rPr>
                <w:sz w:val="18"/>
                <w:szCs w:val="18"/>
              </w:rPr>
              <w:t>Unión Europea: Guía práctica de procedimientos contractuales (PRAG) y verificación de gastos mediante procedimientos acordados (NISR 4400). (C, P)</w:t>
            </w:r>
          </w:p>
          <w:p w14:paraId="4F1B04E0" w14:textId="77777777" w:rsidR="00990B14" w:rsidRDefault="00000000">
            <w:pPr>
              <w:spacing w:after="40"/>
              <w:jc w:val="both"/>
            </w:pPr>
            <w:r>
              <w:rPr>
                <w:sz w:val="18"/>
                <w:szCs w:val="18"/>
              </w:rPr>
              <w:t>Otros financiadores (CAF, FONPLATA y cooperación bilateral) y financiadores nacionales como administradores y ejecutores. (C)</w:t>
            </w:r>
          </w:p>
          <w:p w14:paraId="5A96F1F2" w14:textId="77777777" w:rsidR="00990B14" w:rsidRDefault="00000000">
            <w:pPr>
              <w:spacing w:after="40"/>
              <w:jc w:val="both"/>
            </w:pPr>
            <w:r>
              <w:rPr>
                <w:sz w:val="18"/>
                <w:szCs w:val="18"/>
              </w:rPr>
              <w:t>Selección y contratación de auditores independientes; objetivos, alcance, procedimientos e informes. (C, P)</w:t>
            </w:r>
          </w:p>
          <w:p w14:paraId="6BCCB252" w14:textId="77777777" w:rsidR="00990B14" w:rsidRDefault="00000000">
            <w:pPr>
              <w:spacing w:after="40"/>
              <w:jc w:val="both"/>
            </w:pPr>
            <w:r>
              <w:rPr>
                <w:sz w:val="18"/>
                <w:szCs w:val="18"/>
              </w:rPr>
              <w:t>Consulta de manuales y términos de referencia en los portales de los financiadores; lectura en inglés técnico. (T)</w:t>
            </w:r>
          </w:p>
          <w:p w14:paraId="26E1D2BA" w14:textId="77777777" w:rsidR="00990B14" w:rsidRDefault="00000000">
            <w:pPr>
              <w:spacing w:after="40"/>
              <w:jc w:val="both"/>
            </w:pPr>
            <w:r>
              <w:rPr>
                <w:sz w:val="18"/>
                <w:szCs w:val="18"/>
              </w:rPr>
              <w:t>Cierre financiero del proyecto: conciliación final de los desembolsos y de la contraparte, liquidación de la cuenta designada y devolución de saldos no utilizados o no elegibles. (C, P)</w:t>
            </w:r>
          </w:p>
        </w:tc>
        <w:tc>
          <w:tcPr>
            <w:tcW w:w="2752" w:type="dxa"/>
            <w:gridSpan w:val="3"/>
            <w:shd w:val="clear" w:color="auto" w:fill="D9E2F3"/>
          </w:tcPr>
          <w:p w14:paraId="405DE271" w14:textId="77777777" w:rsidR="00990B14" w:rsidRDefault="00000000">
            <w:pPr>
              <w:numPr>
                <w:ilvl w:val="0"/>
                <w:numId w:val="139"/>
              </w:numPr>
              <w:spacing w:before="10" w:after="10"/>
              <w:jc w:val="both"/>
            </w:pPr>
            <w:r>
              <w:rPr>
                <w:sz w:val="18"/>
                <w:szCs w:val="18"/>
              </w:rPr>
              <w:t>Financiadores que admiten revisiones o procedimientos acordados en lugar de auditorías para montos menores.</w:t>
            </w:r>
          </w:p>
          <w:p w14:paraId="6CC4DDB8" w14:textId="77777777" w:rsidR="00990B14" w:rsidRDefault="00000000">
            <w:pPr>
              <w:numPr>
                <w:ilvl w:val="0"/>
                <w:numId w:val="139"/>
              </w:numPr>
              <w:spacing w:before="10" w:after="10"/>
              <w:jc w:val="both"/>
            </w:pPr>
            <w:r>
              <w:rPr>
                <w:sz w:val="18"/>
                <w:szCs w:val="18"/>
              </w:rPr>
              <w:t>Auditorías especiales de la Contraloría General del Estado en el marco de la Ley N.º 1178.</w:t>
            </w:r>
          </w:p>
          <w:p w14:paraId="577ABF6C" w14:textId="77777777" w:rsidR="00990B14" w:rsidRDefault="00000000">
            <w:pPr>
              <w:numPr>
                <w:ilvl w:val="0"/>
                <w:numId w:val="139"/>
              </w:numPr>
              <w:spacing w:before="10" w:after="10"/>
              <w:jc w:val="both"/>
            </w:pPr>
            <w:r>
              <w:rPr>
                <w:sz w:val="18"/>
                <w:szCs w:val="18"/>
              </w:rPr>
              <w:t>Acuerdos marco de cooperación entre el Estado Plurinacional de Bolivia y organizaciones extranjeras.</w:t>
            </w:r>
          </w:p>
          <w:p w14:paraId="1B0E7B83" w14:textId="77777777" w:rsidR="00990B14" w:rsidRDefault="00000000">
            <w:pPr>
              <w:numPr>
                <w:ilvl w:val="0"/>
                <w:numId w:val="139"/>
              </w:numPr>
              <w:spacing w:before="10" w:after="10"/>
              <w:jc w:val="both"/>
            </w:pPr>
            <w:r>
              <w:rPr>
                <w:sz w:val="18"/>
                <w:szCs w:val="18"/>
              </w:rPr>
              <w:t>Tipologías de fraude en proyectos de cooperación reportadas por los financiadores.</w:t>
            </w:r>
          </w:p>
          <w:p w14:paraId="15A50BF0" w14:textId="77777777" w:rsidR="00990B14" w:rsidRDefault="00000000">
            <w:pPr>
              <w:numPr>
                <w:ilvl w:val="0"/>
                <w:numId w:val="139"/>
              </w:numPr>
              <w:spacing w:before="10" w:after="10"/>
              <w:jc w:val="both"/>
            </w:pPr>
            <w:r>
              <w:rPr>
                <w:sz w:val="18"/>
                <w:szCs w:val="18"/>
              </w:rPr>
              <w:t>Confirmación de los desembolsos con los financiadores y con las entidades bancarias.</w:t>
            </w:r>
          </w:p>
          <w:p w14:paraId="77C7A444" w14:textId="77777777" w:rsidR="00990B14" w:rsidRDefault="00000000">
            <w:pPr>
              <w:numPr>
                <w:ilvl w:val="0"/>
                <w:numId w:val="139"/>
              </w:numPr>
              <w:spacing w:before="10" w:after="10"/>
              <w:jc w:val="both"/>
            </w:pPr>
            <w:r>
              <w:rPr>
                <w:sz w:val="18"/>
                <w:szCs w:val="18"/>
              </w:rPr>
              <w:t>Formatos de informe exigidos por el Banco Mundial, el BID y la Unión Europea.</w:t>
            </w:r>
          </w:p>
          <w:p w14:paraId="40F5B9BE" w14:textId="77777777" w:rsidR="00990B14" w:rsidRDefault="00000000">
            <w:pPr>
              <w:numPr>
                <w:ilvl w:val="0"/>
                <w:numId w:val="139"/>
              </w:numPr>
              <w:spacing w:before="10" w:after="10"/>
              <w:jc w:val="both"/>
            </w:pPr>
            <w:r>
              <w:rPr>
                <w:sz w:val="18"/>
                <w:szCs w:val="18"/>
              </w:rPr>
              <w:t>Herramientas de inteligencia artificial y de analítica disponibles con licencia académica.</w:t>
            </w:r>
          </w:p>
          <w:p w14:paraId="2DE37D60" w14:textId="77777777" w:rsidR="00990B14" w:rsidRDefault="00000000">
            <w:pPr>
              <w:numPr>
                <w:ilvl w:val="0"/>
                <w:numId w:val="139"/>
              </w:numPr>
              <w:spacing w:before="10" w:after="10"/>
              <w:jc w:val="both"/>
            </w:pPr>
            <w:r>
              <w:rPr>
                <w:sz w:val="18"/>
                <w:szCs w:val="18"/>
              </w:rPr>
              <w:t>Cláusulas de confidencialidad de los convenios que restringen el tratamiento de datos.</w:t>
            </w:r>
          </w:p>
          <w:p w14:paraId="0B4D8D11" w14:textId="77777777" w:rsidR="00990B14" w:rsidRDefault="00000000">
            <w:pPr>
              <w:numPr>
                <w:ilvl w:val="0"/>
                <w:numId w:val="139"/>
              </w:numPr>
              <w:spacing w:before="10" w:after="10"/>
              <w:jc w:val="both"/>
            </w:pPr>
            <w:r>
              <w:rPr>
                <w:sz w:val="18"/>
                <w:szCs w:val="18"/>
              </w:rPr>
              <w:t>Proyectos del Banco Mundial, del BID y de CAF ejecutados en Bolivia.</w:t>
            </w:r>
          </w:p>
          <w:p w14:paraId="392979B4" w14:textId="77777777" w:rsidR="00990B14" w:rsidRDefault="00000000">
            <w:pPr>
              <w:numPr>
                <w:ilvl w:val="0"/>
                <w:numId w:val="139"/>
              </w:numPr>
              <w:spacing w:before="10" w:after="10"/>
              <w:jc w:val="both"/>
            </w:pPr>
            <w:r>
              <w:rPr>
                <w:sz w:val="18"/>
                <w:szCs w:val="18"/>
              </w:rPr>
              <w:t>Proyectos de financiamiento climático (Fondo Verde para el Clima) y sus requisitos fiduciarios.</w:t>
            </w:r>
          </w:p>
          <w:p w14:paraId="072EAE88" w14:textId="77777777" w:rsidR="00990B14" w:rsidRDefault="00000000">
            <w:pPr>
              <w:numPr>
                <w:ilvl w:val="0"/>
                <w:numId w:val="139"/>
              </w:numPr>
              <w:spacing w:before="10" w:after="10"/>
              <w:jc w:val="both"/>
            </w:pPr>
            <w:r>
              <w:rPr>
                <w:sz w:val="18"/>
                <w:szCs w:val="18"/>
              </w:rPr>
              <w:t>Inglés técnico de los manuales y guías de auditoría de los financiadores.</w:t>
            </w:r>
          </w:p>
        </w:tc>
      </w:tr>
    </w:tbl>
    <w:p w14:paraId="4E1071B3"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2015"/>
        <w:gridCol w:w="1490"/>
        <w:gridCol w:w="2015"/>
        <w:gridCol w:w="1700"/>
        <w:gridCol w:w="2185"/>
      </w:tblGrid>
      <w:tr w:rsidR="00990B14" w14:paraId="1B74F44E" w14:textId="77777777">
        <w:trPr>
          <w:cantSplit/>
          <w:jc w:val="center"/>
        </w:trPr>
        <w:tc>
          <w:tcPr>
            <w:tcW w:w="9405" w:type="dxa"/>
            <w:gridSpan w:val="5"/>
            <w:shd w:val="clear" w:color="auto" w:fill="4472C4"/>
            <w:vAlign w:val="center"/>
          </w:tcPr>
          <w:p w14:paraId="67E6C734" w14:textId="77777777" w:rsidR="00990B14" w:rsidRDefault="00000000">
            <w:pPr>
              <w:keepNext/>
              <w:spacing w:before="20" w:after="20"/>
              <w:jc w:val="center"/>
            </w:pPr>
            <w:r>
              <w:rPr>
                <w:b/>
                <w:bCs/>
                <w:i/>
                <w:iCs/>
                <w:color w:val="FFFFFF"/>
                <w:sz w:val="18"/>
                <w:szCs w:val="18"/>
              </w:rPr>
              <w:t>Actividades</w:t>
            </w:r>
          </w:p>
        </w:tc>
      </w:tr>
      <w:tr w:rsidR="00990B14" w14:paraId="47B7CB56" w14:textId="77777777">
        <w:trPr>
          <w:cantSplit/>
          <w:jc w:val="center"/>
        </w:trPr>
        <w:tc>
          <w:tcPr>
            <w:tcW w:w="2015" w:type="dxa"/>
            <w:shd w:val="clear" w:color="auto" w:fill="4472C4"/>
            <w:vAlign w:val="center"/>
          </w:tcPr>
          <w:p w14:paraId="70CD02B7" w14:textId="77777777" w:rsidR="00990B14" w:rsidRDefault="00000000">
            <w:pPr>
              <w:keepNext/>
              <w:spacing w:before="20" w:after="20"/>
              <w:jc w:val="center"/>
            </w:pPr>
            <w:r>
              <w:rPr>
                <w:b/>
                <w:bCs/>
                <w:i/>
                <w:iCs/>
                <w:color w:val="FFFFFF"/>
                <w:sz w:val="18"/>
                <w:szCs w:val="18"/>
              </w:rPr>
              <w:t>En clase</w:t>
            </w:r>
          </w:p>
        </w:tc>
        <w:tc>
          <w:tcPr>
            <w:tcW w:w="1490" w:type="dxa"/>
            <w:shd w:val="clear" w:color="auto" w:fill="4472C4"/>
            <w:vAlign w:val="center"/>
          </w:tcPr>
          <w:p w14:paraId="03EE1108" w14:textId="77777777" w:rsidR="00990B14" w:rsidRDefault="00000000">
            <w:pPr>
              <w:keepNext/>
              <w:spacing w:before="20" w:after="20"/>
              <w:jc w:val="center"/>
            </w:pPr>
            <w:r>
              <w:rPr>
                <w:b/>
                <w:bCs/>
                <w:i/>
                <w:iCs/>
                <w:color w:val="FFFFFF"/>
                <w:sz w:val="18"/>
                <w:szCs w:val="18"/>
              </w:rPr>
              <w:t>Autónomas</w:t>
            </w:r>
          </w:p>
        </w:tc>
        <w:tc>
          <w:tcPr>
            <w:tcW w:w="2015" w:type="dxa"/>
            <w:shd w:val="clear" w:color="auto" w:fill="4472C4"/>
            <w:vAlign w:val="center"/>
          </w:tcPr>
          <w:p w14:paraId="5F101EC5" w14:textId="77777777" w:rsidR="00990B14" w:rsidRDefault="00000000">
            <w:pPr>
              <w:keepNext/>
              <w:spacing w:before="20" w:after="20"/>
              <w:jc w:val="center"/>
            </w:pPr>
            <w:r>
              <w:rPr>
                <w:b/>
                <w:bCs/>
                <w:i/>
                <w:iCs/>
                <w:color w:val="FFFFFF"/>
                <w:sz w:val="18"/>
                <w:szCs w:val="18"/>
              </w:rPr>
              <w:t>B-Learning</w:t>
            </w:r>
          </w:p>
        </w:tc>
        <w:tc>
          <w:tcPr>
            <w:tcW w:w="1700" w:type="dxa"/>
            <w:shd w:val="clear" w:color="auto" w:fill="4472C4"/>
            <w:vAlign w:val="center"/>
          </w:tcPr>
          <w:p w14:paraId="0879549F" w14:textId="77777777" w:rsidR="00990B14" w:rsidRDefault="00000000">
            <w:pPr>
              <w:keepNext/>
              <w:spacing w:before="20" w:after="20"/>
              <w:jc w:val="center"/>
            </w:pPr>
            <w:r>
              <w:rPr>
                <w:b/>
                <w:bCs/>
                <w:i/>
                <w:iCs/>
                <w:color w:val="FFFFFF"/>
                <w:sz w:val="18"/>
                <w:szCs w:val="18"/>
              </w:rPr>
              <w:t>Taller</w:t>
            </w:r>
          </w:p>
        </w:tc>
        <w:tc>
          <w:tcPr>
            <w:tcW w:w="2185" w:type="dxa"/>
            <w:shd w:val="clear" w:color="auto" w:fill="4472C4"/>
            <w:vAlign w:val="center"/>
          </w:tcPr>
          <w:p w14:paraId="31AFFE33" w14:textId="77777777" w:rsidR="00990B14" w:rsidRDefault="00000000">
            <w:pPr>
              <w:keepNext/>
              <w:spacing w:before="20" w:after="20"/>
              <w:jc w:val="center"/>
            </w:pPr>
            <w:r>
              <w:rPr>
                <w:b/>
                <w:bCs/>
                <w:i/>
                <w:iCs/>
                <w:color w:val="FFFFFF"/>
                <w:sz w:val="18"/>
                <w:szCs w:val="18"/>
              </w:rPr>
              <w:t>Investigación/Práctica</w:t>
            </w:r>
          </w:p>
        </w:tc>
      </w:tr>
      <w:tr w:rsidR="00990B14" w14:paraId="0A4C99F0" w14:textId="77777777">
        <w:trPr>
          <w:jc w:val="center"/>
        </w:trPr>
        <w:tc>
          <w:tcPr>
            <w:tcW w:w="2015" w:type="dxa"/>
            <w:shd w:val="clear" w:color="auto" w:fill="D9E2F3"/>
          </w:tcPr>
          <w:p w14:paraId="71006FCA" w14:textId="77777777" w:rsidR="00990B14" w:rsidRDefault="00000000">
            <w:pPr>
              <w:numPr>
                <w:ilvl w:val="0"/>
                <w:numId w:val="139"/>
              </w:numPr>
              <w:spacing w:before="10" w:after="10"/>
              <w:jc w:val="both"/>
            </w:pPr>
            <w:r>
              <w:rPr>
                <w:sz w:val="18"/>
                <w:szCs w:val="18"/>
              </w:rPr>
              <w:t>Exposición dialogada con preguntas detonantes al inicio de cada tema.</w:t>
            </w:r>
          </w:p>
          <w:p w14:paraId="38CD9883" w14:textId="77777777" w:rsidR="00990B14" w:rsidRDefault="00000000">
            <w:pPr>
              <w:numPr>
                <w:ilvl w:val="0"/>
                <w:numId w:val="139"/>
              </w:numPr>
              <w:spacing w:before="10" w:after="10"/>
              <w:jc w:val="both"/>
            </w:pPr>
            <w:r>
              <w:rPr>
                <w:sz w:val="18"/>
                <w:szCs w:val="18"/>
              </w:rPr>
              <w:t>Resolución guiada de casos de reconocimiento de subvenciones y de conversión de desembolsos (EC2: 1.1 y 1.2).</w:t>
            </w:r>
          </w:p>
          <w:p w14:paraId="4260A472" w14:textId="77777777" w:rsidR="00990B14" w:rsidRDefault="00000000">
            <w:pPr>
              <w:numPr>
                <w:ilvl w:val="0"/>
                <w:numId w:val="139"/>
              </w:numPr>
              <w:spacing w:before="10" w:after="10"/>
              <w:jc w:val="both"/>
            </w:pPr>
            <w:r>
              <w:rPr>
                <w:sz w:val="18"/>
                <w:szCs w:val="18"/>
              </w:rPr>
              <w:t>Análisis de casos de control interno y documentación de ciclos en aula (EC3: 2.1).</w:t>
            </w:r>
          </w:p>
          <w:p w14:paraId="10916E80" w14:textId="77777777" w:rsidR="00990B14" w:rsidRDefault="00000000">
            <w:pPr>
              <w:numPr>
                <w:ilvl w:val="0"/>
                <w:numId w:val="139"/>
              </w:numPr>
              <w:spacing w:before="10" w:after="10"/>
              <w:jc w:val="both"/>
            </w:pPr>
            <w:r>
              <w:rPr>
                <w:sz w:val="18"/>
                <w:szCs w:val="18"/>
              </w:rPr>
              <w:t>Demostración de analítica de datos e inteligencia artificial con validación de resultados (EC4: 1.2).</w:t>
            </w:r>
          </w:p>
          <w:p w14:paraId="3648EA1C" w14:textId="77777777" w:rsidR="00990B14" w:rsidRDefault="00000000">
            <w:pPr>
              <w:numPr>
                <w:ilvl w:val="0"/>
                <w:numId w:val="139"/>
              </w:numPr>
              <w:spacing w:before="10" w:after="10"/>
              <w:jc w:val="both"/>
            </w:pPr>
            <w:r>
              <w:rPr>
                <w:sz w:val="18"/>
                <w:szCs w:val="18"/>
              </w:rPr>
              <w:t>Resolución de casos de gastos no elegibles y de cumplimiento del convenio (EC4: 2.1).</w:t>
            </w:r>
          </w:p>
          <w:p w14:paraId="264A0432" w14:textId="77777777" w:rsidR="00990B14" w:rsidRDefault="00000000">
            <w:pPr>
              <w:numPr>
                <w:ilvl w:val="0"/>
                <w:numId w:val="139"/>
              </w:numPr>
              <w:spacing w:before="10" w:after="10"/>
              <w:jc w:val="both"/>
            </w:pPr>
            <w:r>
              <w:rPr>
                <w:sz w:val="18"/>
                <w:szCs w:val="18"/>
              </w:rPr>
              <w:t>Sustentación de productos con retroalimentación inmediata (EC1: 2.2; EC3: 2.2; EC4: 2.2).</w:t>
            </w:r>
          </w:p>
        </w:tc>
        <w:tc>
          <w:tcPr>
            <w:tcW w:w="1490" w:type="dxa"/>
            <w:shd w:val="clear" w:color="auto" w:fill="D9E2F3"/>
          </w:tcPr>
          <w:p w14:paraId="008FCBB5" w14:textId="77777777" w:rsidR="00990B14" w:rsidRDefault="00000000">
            <w:pPr>
              <w:numPr>
                <w:ilvl w:val="0"/>
                <w:numId w:val="139"/>
              </w:numPr>
              <w:spacing w:before="10" w:after="10"/>
              <w:jc w:val="both"/>
            </w:pPr>
            <w:r>
              <w:rPr>
                <w:sz w:val="18"/>
                <w:szCs w:val="18"/>
              </w:rPr>
              <w:t>Lectura dirigida del Código Civil, de la Ley N.º 351 y del D.S. N.º 1597 (EC1: 1.1).</w:t>
            </w:r>
          </w:p>
          <w:p w14:paraId="2786948E" w14:textId="77777777" w:rsidR="00990B14" w:rsidRDefault="00000000">
            <w:pPr>
              <w:numPr>
                <w:ilvl w:val="0"/>
                <w:numId w:val="139"/>
              </w:numPr>
              <w:spacing w:before="10" w:after="10"/>
              <w:jc w:val="both"/>
            </w:pPr>
            <w:r>
              <w:rPr>
                <w:sz w:val="18"/>
                <w:szCs w:val="18"/>
              </w:rPr>
              <w:t>Lectura de la INPAS, de la NIC 20 y de la Sección 24 de la NIIF para las PYMES (EC2: 1.1).</w:t>
            </w:r>
          </w:p>
          <w:p w14:paraId="70FDCF18" w14:textId="77777777" w:rsidR="00990B14" w:rsidRDefault="00000000">
            <w:pPr>
              <w:numPr>
                <w:ilvl w:val="0"/>
                <w:numId w:val="139"/>
              </w:numPr>
              <w:spacing w:before="10" w:after="10"/>
              <w:jc w:val="both"/>
            </w:pPr>
            <w:r>
              <w:rPr>
                <w:sz w:val="18"/>
                <w:szCs w:val="18"/>
              </w:rPr>
              <w:t>Resolución de ejercicios de exenciones y de obligaciones tributarias (EC2: 2.1).</w:t>
            </w:r>
          </w:p>
          <w:p w14:paraId="53FECA4F" w14:textId="77777777" w:rsidR="00990B14" w:rsidRDefault="00000000">
            <w:pPr>
              <w:numPr>
                <w:ilvl w:val="0"/>
                <w:numId w:val="139"/>
              </w:numPr>
              <w:spacing w:before="10" w:after="10"/>
              <w:jc w:val="both"/>
            </w:pPr>
            <w:r>
              <w:rPr>
                <w:sz w:val="18"/>
                <w:szCs w:val="18"/>
              </w:rPr>
              <w:t>Lectura de las NIA, de la NIER 2400, de la NISR 4400 y de la ISSAI 4000 (EC3 y EC4).</w:t>
            </w:r>
          </w:p>
          <w:p w14:paraId="70A42139" w14:textId="77777777" w:rsidR="00990B14" w:rsidRDefault="00000000">
            <w:pPr>
              <w:numPr>
                <w:ilvl w:val="0"/>
                <w:numId w:val="139"/>
              </w:numPr>
              <w:spacing w:before="10" w:after="10"/>
              <w:jc w:val="both"/>
            </w:pPr>
            <w:r>
              <w:rPr>
                <w:sz w:val="18"/>
                <w:szCs w:val="18"/>
              </w:rPr>
              <w:t>Desarrollo progresivo de los papeles de trabajo del caso integrador (EC3 y EC4).</w:t>
            </w:r>
          </w:p>
          <w:p w14:paraId="639B7074" w14:textId="77777777" w:rsidR="00990B14" w:rsidRDefault="00000000">
            <w:pPr>
              <w:numPr>
                <w:ilvl w:val="0"/>
                <w:numId w:val="139"/>
              </w:numPr>
              <w:spacing w:before="10" w:after="10"/>
              <w:jc w:val="both"/>
            </w:pPr>
            <w:r>
              <w:rPr>
                <w:sz w:val="18"/>
                <w:szCs w:val="18"/>
              </w:rPr>
              <w:t>Lectura en inglés técnico de los manuales del Banco Mundial, del BID y de la Unión Europea (EC4: 2.2).</w:t>
            </w:r>
          </w:p>
        </w:tc>
        <w:tc>
          <w:tcPr>
            <w:tcW w:w="2015" w:type="dxa"/>
            <w:shd w:val="clear" w:color="auto" w:fill="D9E2F3"/>
          </w:tcPr>
          <w:p w14:paraId="5D360FF2" w14:textId="77777777" w:rsidR="00990B14" w:rsidRDefault="00000000">
            <w:pPr>
              <w:numPr>
                <w:ilvl w:val="0"/>
                <w:numId w:val="139"/>
              </w:numPr>
              <w:spacing w:before="10" w:after="10"/>
              <w:jc w:val="both"/>
            </w:pPr>
            <w:r>
              <w:rPr>
                <w:sz w:val="18"/>
                <w:szCs w:val="18"/>
              </w:rPr>
              <w:t>Cuestionarios de comprensión con retroalimentación automática en la plataforma Moodle UMSA al cierre de cada tema.</w:t>
            </w:r>
          </w:p>
          <w:p w14:paraId="7E0E8FC7" w14:textId="77777777" w:rsidR="00990B14" w:rsidRDefault="00000000">
            <w:pPr>
              <w:numPr>
                <w:ilvl w:val="0"/>
                <w:numId w:val="139"/>
              </w:numPr>
              <w:spacing w:before="10" w:after="10"/>
              <w:jc w:val="both"/>
            </w:pPr>
            <w:r>
              <w:rPr>
                <w:sz w:val="18"/>
                <w:szCs w:val="18"/>
              </w:rPr>
              <w:t>Foros de consulta sobre los requisitos de los financiadores y sobre casos tributarios.</w:t>
            </w:r>
          </w:p>
          <w:p w14:paraId="0FAEAF78" w14:textId="77777777" w:rsidR="00990B14" w:rsidRDefault="00000000">
            <w:pPr>
              <w:numPr>
                <w:ilvl w:val="0"/>
                <w:numId w:val="139"/>
              </w:numPr>
              <w:spacing w:before="10" w:after="10"/>
              <w:jc w:val="both"/>
            </w:pPr>
            <w:r>
              <w:rPr>
                <w:sz w:val="18"/>
                <w:szCs w:val="18"/>
              </w:rPr>
              <w:t>Videotutoriales de hoja de cálculo, Power BI y Python aplicados a la auditoría.</w:t>
            </w:r>
          </w:p>
          <w:p w14:paraId="3B8E50E8" w14:textId="77777777" w:rsidR="00990B14" w:rsidRDefault="00000000">
            <w:pPr>
              <w:numPr>
                <w:ilvl w:val="0"/>
                <w:numId w:val="139"/>
              </w:numPr>
              <w:spacing w:before="10" w:after="10"/>
              <w:jc w:val="both"/>
            </w:pPr>
            <w:r>
              <w:rPr>
                <w:sz w:val="18"/>
                <w:szCs w:val="18"/>
              </w:rPr>
              <w:t>Repositorio de normas, convenios y plantillas de papeles de trabajo.</w:t>
            </w:r>
          </w:p>
          <w:p w14:paraId="5DC2A49A" w14:textId="77777777" w:rsidR="00990B14" w:rsidRDefault="00000000">
            <w:pPr>
              <w:numPr>
                <w:ilvl w:val="0"/>
                <w:numId w:val="139"/>
              </w:numPr>
              <w:spacing w:before="10" w:after="10"/>
              <w:jc w:val="both"/>
            </w:pPr>
            <w:r>
              <w:rPr>
                <w:sz w:val="18"/>
                <w:szCs w:val="18"/>
              </w:rPr>
              <w:t>Entrega en línea de los productos con la rúbrica visible.</w:t>
            </w:r>
          </w:p>
          <w:p w14:paraId="0F319D5C" w14:textId="77777777" w:rsidR="00990B14" w:rsidRDefault="00000000">
            <w:pPr>
              <w:numPr>
                <w:ilvl w:val="0"/>
                <w:numId w:val="139"/>
              </w:numPr>
              <w:spacing w:before="10" w:after="10"/>
              <w:jc w:val="both"/>
            </w:pPr>
            <w:r>
              <w:rPr>
                <w:sz w:val="18"/>
                <w:szCs w:val="18"/>
              </w:rPr>
              <w:t>Práctica guiada de inteligencia artificial generativa con registro de instrucciones y validación.</w:t>
            </w:r>
          </w:p>
        </w:tc>
        <w:tc>
          <w:tcPr>
            <w:tcW w:w="1700" w:type="dxa"/>
            <w:shd w:val="clear" w:color="auto" w:fill="D9E2F3"/>
          </w:tcPr>
          <w:p w14:paraId="7D6E9E19" w14:textId="77777777" w:rsidR="00990B14" w:rsidRDefault="00000000">
            <w:pPr>
              <w:numPr>
                <w:ilvl w:val="0"/>
                <w:numId w:val="139"/>
              </w:numPr>
              <w:spacing w:before="10" w:after="10"/>
              <w:jc w:val="both"/>
            </w:pPr>
            <w:r>
              <w:rPr>
                <w:sz w:val="18"/>
                <w:szCs w:val="18"/>
              </w:rPr>
              <w:t>Elaboración guiada del marco lógico y de la matriz de indicadores (EC1: 2.1).</w:t>
            </w:r>
          </w:p>
          <w:p w14:paraId="17B41075" w14:textId="77777777" w:rsidR="00990B14" w:rsidRDefault="00000000">
            <w:pPr>
              <w:numPr>
                <w:ilvl w:val="0"/>
                <w:numId w:val="139"/>
              </w:numPr>
              <w:spacing w:before="10" w:after="10"/>
              <w:jc w:val="both"/>
            </w:pPr>
            <w:r>
              <w:rPr>
                <w:sz w:val="18"/>
                <w:szCs w:val="18"/>
              </w:rPr>
              <w:t>Construcción de estados financieros de propósito específico (EC2: 1.1).</w:t>
            </w:r>
          </w:p>
          <w:p w14:paraId="71E81737" w14:textId="77777777" w:rsidR="00990B14" w:rsidRDefault="00000000">
            <w:pPr>
              <w:numPr>
                <w:ilvl w:val="0"/>
                <w:numId w:val="139"/>
              </w:numPr>
              <w:spacing w:before="10" w:after="10"/>
              <w:jc w:val="both"/>
            </w:pPr>
            <w:r>
              <w:rPr>
                <w:sz w:val="18"/>
                <w:szCs w:val="18"/>
              </w:rPr>
              <w:t>Cálculo de la ejecución presupuestaria en el laboratorio de cómputo (EC2: 2.2).</w:t>
            </w:r>
          </w:p>
          <w:p w14:paraId="6FCF9A74" w14:textId="77777777" w:rsidR="00990B14" w:rsidRDefault="00000000">
            <w:pPr>
              <w:numPr>
                <w:ilvl w:val="0"/>
                <w:numId w:val="139"/>
              </w:numPr>
              <w:spacing w:before="10" w:after="10"/>
              <w:jc w:val="both"/>
            </w:pPr>
            <w:r>
              <w:rPr>
                <w:sz w:val="18"/>
                <w:szCs w:val="18"/>
              </w:rPr>
              <w:t>Documentación colaborativa de ciclos y matriz de riesgos y controles (EC3: 2.1).</w:t>
            </w:r>
          </w:p>
          <w:p w14:paraId="0A654F8D" w14:textId="77777777" w:rsidR="00990B14" w:rsidRDefault="00000000">
            <w:pPr>
              <w:numPr>
                <w:ilvl w:val="0"/>
                <w:numId w:val="139"/>
              </w:numPr>
              <w:spacing w:before="10" w:after="10"/>
              <w:jc w:val="both"/>
            </w:pPr>
            <w:r>
              <w:rPr>
                <w:sz w:val="18"/>
                <w:szCs w:val="18"/>
              </w:rPr>
              <w:t>Determinación de la materialidad y de los riesgos del caso (EC4: 1.1).</w:t>
            </w:r>
          </w:p>
          <w:p w14:paraId="6BA98DFD" w14:textId="77777777" w:rsidR="00990B14" w:rsidRDefault="00000000">
            <w:pPr>
              <w:numPr>
                <w:ilvl w:val="0"/>
                <w:numId w:val="139"/>
              </w:numPr>
              <w:spacing w:before="10" w:after="10"/>
              <w:jc w:val="both"/>
            </w:pPr>
            <w:r>
              <w:rPr>
                <w:sz w:val="18"/>
                <w:szCs w:val="18"/>
              </w:rPr>
              <w:t>Revisión cruzada de informes entre equipos (EC4: 2.2).</w:t>
            </w:r>
          </w:p>
        </w:tc>
        <w:tc>
          <w:tcPr>
            <w:tcW w:w="2185" w:type="dxa"/>
            <w:shd w:val="clear" w:color="auto" w:fill="D9E2F3"/>
          </w:tcPr>
          <w:p w14:paraId="62B924D6" w14:textId="77777777" w:rsidR="00990B14" w:rsidRDefault="00000000">
            <w:pPr>
              <w:numPr>
                <w:ilvl w:val="0"/>
                <w:numId w:val="139"/>
              </w:numPr>
              <w:spacing w:before="10" w:after="10"/>
              <w:jc w:val="both"/>
            </w:pPr>
            <w:r>
              <w:rPr>
                <w:sz w:val="18"/>
                <w:szCs w:val="18"/>
              </w:rPr>
              <w:t>Análisis del régimen jurídico y de los estados financieros publicados de una entidad real (EC1: 1.1 y 1.2).</w:t>
            </w:r>
          </w:p>
          <w:p w14:paraId="73C6FE61" w14:textId="77777777" w:rsidR="00990B14" w:rsidRDefault="00000000">
            <w:pPr>
              <w:numPr>
                <w:ilvl w:val="0"/>
                <w:numId w:val="139"/>
              </w:numPr>
              <w:spacing w:before="10" w:after="10"/>
              <w:jc w:val="both"/>
            </w:pPr>
            <w:r>
              <w:rPr>
                <w:sz w:val="18"/>
                <w:szCs w:val="18"/>
              </w:rPr>
              <w:t>Investigación del estado de adopción de la INPAS (EC2: 1.1).</w:t>
            </w:r>
          </w:p>
          <w:p w14:paraId="3419CADF" w14:textId="77777777" w:rsidR="00990B14" w:rsidRDefault="00000000">
            <w:pPr>
              <w:numPr>
                <w:ilvl w:val="0"/>
                <w:numId w:val="139"/>
              </w:numPr>
              <w:spacing w:before="10" w:after="10"/>
              <w:jc w:val="both"/>
            </w:pPr>
            <w:r>
              <w:rPr>
                <w:sz w:val="18"/>
                <w:szCs w:val="18"/>
              </w:rPr>
              <w:t>Análisis de informes de auditoría de proyectos de inversión pública (EC3: 1.2).</w:t>
            </w:r>
          </w:p>
          <w:p w14:paraId="5C889BC3" w14:textId="77777777" w:rsidR="00990B14" w:rsidRDefault="00000000">
            <w:pPr>
              <w:numPr>
                <w:ilvl w:val="0"/>
                <w:numId w:val="139"/>
              </w:numPr>
              <w:spacing w:before="10" w:after="10"/>
              <w:jc w:val="both"/>
            </w:pPr>
            <w:r>
              <w:rPr>
                <w:sz w:val="18"/>
                <w:szCs w:val="18"/>
              </w:rPr>
              <w:t>Revisión de convenios de cooperación y de sus cláusulas de auditoría (EC4: 2.1).</w:t>
            </w:r>
          </w:p>
          <w:p w14:paraId="7FCC5E01" w14:textId="77777777" w:rsidR="00990B14" w:rsidRDefault="00000000">
            <w:pPr>
              <w:numPr>
                <w:ilvl w:val="0"/>
                <w:numId w:val="139"/>
              </w:numPr>
              <w:spacing w:before="10" w:after="10"/>
              <w:jc w:val="both"/>
            </w:pPr>
            <w:r>
              <w:rPr>
                <w:sz w:val="18"/>
                <w:szCs w:val="18"/>
              </w:rPr>
              <w:t>Comparación de los manuales de auditoría del Banco Mundial, del BID y de la Unión Europea (EC4: 2.2).</w:t>
            </w:r>
          </w:p>
          <w:p w14:paraId="5E3F4838" w14:textId="77777777" w:rsidR="00990B14" w:rsidRDefault="00000000">
            <w:pPr>
              <w:numPr>
                <w:ilvl w:val="0"/>
                <w:numId w:val="139"/>
              </w:numPr>
              <w:spacing w:before="10" w:after="10"/>
              <w:jc w:val="both"/>
            </w:pPr>
            <w:r>
              <w:rPr>
                <w:sz w:val="18"/>
                <w:szCs w:val="18"/>
              </w:rPr>
              <w:t>Proyecto integrador con una entidad sin fines de lucro real en convenio con la Carrera (aprendizaje situado).</w:t>
            </w:r>
          </w:p>
          <w:p w14:paraId="3CC26FED" w14:textId="77777777" w:rsidR="00990B14" w:rsidRDefault="00000000">
            <w:pPr>
              <w:numPr>
                <w:ilvl w:val="0"/>
                <w:numId w:val="139"/>
              </w:numPr>
              <w:spacing w:before="10" w:after="10"/>
              <w:jc w:val="both"/>
            </w:pPr>
            <w:r>
              <w:rPr>
                <w:sz w:val="18"/>
                <w:szCs w:val="18"/>
              </w:rPr>
              <w:t>Vinculación con el instituto de investigaciones de la Facultad (IICCFA) y con las prácticas preprofesionales.</w:t>
            </w:r>
          </w:p>
        </w:tc>
      </w:tr>
    </w:tbl>
    <w:p w14:paraId="37BA4090"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793"/>
        <w:gridCol w:w="1830"/>
        <w:gridCol w:w="1857"/>
        <w:gridCol w:w="1910"/>
        <w:gridCol w:w="2015"/>
      </w:tblGrid>
      <w:tr w:rsidR="00990B14" w14:paraId="3E82506F" w14:textId="77777777">
        <w:trPr>
          <w:jc w:val="center"/>
        </w:trPr>
        <w:tc>
          <w:tcPr>
            <w:tcW w:w="1793" w:type="dxa"/>
            <w:shd w:val="clear" w:color="auto" w:fill="4472C4"/>
            <w:vAlign w:val="center"/>
          </w:tcPr>
          <w:p w14:paraId="7F4BACE0" w14:textId="77777777" w:rsidR="00990B14" w:rsidRDefault="00000000">
            <w:pPr>
              <w:spacing w:before="20" w:after="20"/>
              <w:jc w:val="center"/>
            </w:pPr>
            <w:r>
              <w:rPr>
                <w:b/>
                <w:bCs/>
                <w:i/>
                <w:iCs/>
                <w:color w:val="FFFFFF"/>
                <w:sz w:val="18"/>
                <w:szCs w:val="18"/>
              </w:rPr>
              <w:t>Estrategias de aprendizaje y enseñanza</w:t>
            </w:r>
          </w:p>
        </w:tc>
        <w:tc>
          <w:tcPr>
            <w:tcW w:w="7612" w:type="dxa"/>
            <w:gridSpan w:val="4"/>
            <w:shd w:val="clear" w:color="auto" w:fill="D9E2F3"/>
            <w:vAlign w:val="center"/>
          </w:tcPr>
          <w:p w14:paraId="1534020B" w14:textId="77777777" w:rsidR="00990B14" w:rsidRDefault="00000000">
            <w:pPr>
              <w:numPr>
                <w:ilvl w:val="0"/>
                <w:numId w:val="140"/>
              </w:numPr>
              <w:spacing w:before="10" w:after="10"/>
              <w:jc w:val="both"/>
            </w:pPr>
            <w:r>
              <w:rPr>
                <w:sz w:val="18"/>
                <w:szCs w:val="18"/>
              </w:rPr>
              <w:t>Aprendizaje basado en problemas con proyectos ejecutados por entidades bolivianas.</w:t>
            </w:r>
          </w:p>
          <w:p w14:paraId="073F0C6F" w14:textId="77777777" w:rsidR="00990B14" w:rsidRDefault="00000000">
            <w:pPr>
              <w:numPr>
                <w:ilvl w:val="0"/>
                <w:numId w:val="140"/>
              </w:numPr>
              <w:spacing w:before="10" w:after="10"/>
              <w:jc w:val="both"/>
            </w:pPr>
            <w:r>
              <w:rPr>
                <w:sz w:val="18"/>
                <w:szCs w:val="18"/>
              </w:rPr>
              <w:t>Método de casos: caso práctico integrador de auditoría de una entidad sin fines de lucro y de sus proyectos, basado en los procesos de financiadores externos en Bolivia, desarrollado de forma progresiva a lo largo de los cuatro elementos.</w:t>
            </w:r>
          </w:p>
          <w:p w14:paraId="18CCA6CA" w14:textId="77777777" w:rsidR="00990B14" w:rsidRDefault="00000000">
            <w:pPr>
              <w:numPr>
                <w:ilvl w:val="0"/>
                <w:numId w:val="140"/>
              </w:numPr>
              <w:spacing w:before="10" w:after="10"/>
              <w:jc w:val="both"/>
            </w:pPr>
            <w:r>
              <w:rPr>
                <w:sz w:val="18"/>
                <w:szCs w:val="18"/>
              </w:rPr>
              <w:t>Aprendizaje basado en proyectos reales en convenio con entidades sin fines de lucro (aprendizaje situado).</w:t>
            </w:r>
          </w:p>
          <w:p w14:paraId="7E274A27" w14:textId="77777777" w:rsidR="00990B14" w:rsidRDefault="00000000">
            <w:pPr>
              <w:numPr>
                <w:ilvl w:val="0"/>
                <w:numId w:val="140"/>
              </w:numPr>
              <w:spacing w:before="10" w:after="10"/>
              <w:jc w:val="both"/>
            </w:pPr>
            <w:r>
              <w:rPr>
                <w:sz w:val="18"/>
                <w:szCs w:val="18"/>
              </w:rPr>
              <w:t>Aula invertida para los contenidos normativos, con lectura previa y aplicación en clase.</w:t>
            </w:r>
          </w:p>
          <w:p w14:paraId="4454B1E7" w14:textId="77777777" w:rsidR="00990B14" w:rsidRDefault="00000000">
            <w:pPr>
              <w:numPr>
                <w:ilvl w:val="0"/>
                <w:numId w:val="140"/>
              </w:numPr>
              <w:spacing w:before="10" w:after="10"/>
              <w:jc w:val="both"/>
            </w:pPr>
            <w:r>
              <w:rPr>
                <w:sz w:val="18"/>
                <w:szCs w:val="18"/>
              </w:rPr>
              <w:t>Trabajo colaborativo en equipos de auditoría con roles rotativos (encargado, supervisor y revisor).</w:t>
            </w:r>
          </w:p>
          <w:p w14:paraId="0039CEF4" w14:textId="77777777" w:rsidR="00990B14" w:rsidRDefault="00000000">
            <w:pPr>
              <w:numPr>
                <w:ilvl w:val="0"/>
                <w:numId w:val="140"/>
              </w:numPr>
              <w:spacing w:before="10" w:after="10"/>
              <w:jc w:val="both"/>
            </w:pPr>
            <w:r>
              <w:rPr>
                <w:sz w:val="18"/>
                <w:szCs w:val="18"/>
              </w:rPr>
              <w:t>Simulación del encargo: aceptación, planificación, ejecución e informe.</w:t>
            </w:r>
          </w:p>
          <w:p w14:paraId="44C5068F" w14:textId="77777777" w:rsidR="00990B14" w:rsidRDefault="00000000">
            <w:pPr>
              <w:numPr>
                <w:ilvl w:val="0"/>
                <w:numId w:val="140"/>
              </w:numPr>
              <w:spacing w:before="10" w:after="10"/>
              <w:jc w:val="both"/>
            </w:pPr>
            <w:r>
              <w:rPr>
                <w:sz w:val="18"/>
                <w:szCs w:val="18"/>
              </w:rPr>
              <w:t>Modelado docente (demostración experta) del uso de la analítica de datos y de la inteligencia artificial, con reflexión ética sobre su empleo.</w:t>
            </w:r>
          </w:p>
          <w:p w14:paraId="55998453" w14:textId="77777777" w:rsidR="00990B14" w:rsidRDefault="00000000">
            <w:pPr>
              <w:numPr>
                <w:ilvl w:val="0"/>
                <w:numId w:val="140"/>
              </w:numPr>
              <w:spacing w:before="10" w:after="10"/>
              <w:jc w:val="both"/>
            </w:pPr>
            <w:r>
              <w:rPr>
                <w:sz w:val="18"/>
                <w:szCs w:val="18"/>
              </w:rPr>
              <w:t>Retroalimentación formativa continua sobre cada producto antes de su versión final.</w:t>
            </w:r>
          </w:p>
          <w:p w14:paraId="7D764D59" w14:textId="77777777" w:rsidR="00990B14" w:rsidRDefault="00000000">
            <w:pPr>
              <w:numPr>
                <w:ilvl w:val="0"/>
                <w:numId w:val="140"/>
              </w:numPr>
              <w:spacing w:before="10" w:after="10"/>
              <w:jc w:val="both"/>
            </w:pPr>
            <w:r>
              <w:rPr>
                <w:sz w:val="18"/>
                <w:szCs w:val="18"/>
              </w:rPr>
              <w:t>Transversalidad de la analítica de datos y de la inteligencia artificial: se aplican desde la planificación (NIA 315) hasta el muestreo (NIA 530) en todos los elementos.</w:t>
            </w:r>
          </w:p>
        </w:tc>
      </w:tr>
      <w:tr w:rsidR="00990B14" w14:paraId="5AD1C4F2" w14:textId="77777777">
        <w:trPr>
          <w:jc w:val="center"/>
        </w:trPr>
        <w:tc>
          <w:tcPr>
            <w:tcW w:w="1793" w:type="dxa"/>
            <w:shd w:val="clear" w:color="auto" w:fill="4472C4"/>
            <w:vAlign w:val="center"/>
          </w:tcPr>
          <w:p w14:paraId="28548AF7" w14:textId="77777777" w:rsidR="00990B14" w:rsidRDefault="00000000">
            <w:pPr>
              <w:spacing w:before="20" w:after="20"/>
              <w:jc w:val="center"/>
            </w:pPr>
            <w:r>
              <w:rPr>
                <w:b/>
                <w:bCs/>
                <w:i/>
                <w:iCs/>
                <w:color w:val="FFFFFF"/>
                <w:sz w:val="18"/>
                <w:szCs w:val="18"/>
              </w:rPr>
              <w:t>Recursos para el aprendizaje</w:t>
            </w:r>
          </w:p>
        </w:tc>
        <w:tc>
          <w:tcPr>
            <w:tcW w:w="7612" w:type="dxa"/>
            <w:gridSpan w:val="4"/>
            <w:shd w:val="clear" w:color="auto" w:fill="D9E2F3"/>
            <w:vAlign w:val="center"/>
          </w:tcPr>
          <w:p w14:paraId="4E63FB00" w14:textId="77777777" w:rsidR="00990B14" w:rsidRDefault="00000000">
            <w:pPr>
              <w:numPr>
                <w:ilvl w:val="0"/>
                <w:numId w:val="140"/>
              </w:numPr>
              <w:spacing w:before="10" w:after="10"/>
              <w:jc w:val="both"/>
            </w:pPr>
            <w:r>
              <w:rPr>
                <w:sz w:val="18"/>
                <w:szCs w:val="18"/>
              </w:rPr>
              <w:t>Plataforma Moodle UMSA y laboratorio de cómputo de la Carrera.</w:t>
            </w:r>
          </w:p>
          <w:p w14:paraId="6CA0FD99" w14:textId="77777777" w:rsidR="00990B14" w:rsidRDefault="00000000">
            <w:pPr>
              <w:numPr>
                <w:ilvl w:val="0"/>
                <w:numId w:val="140"/>
              </w:numPr>
              <w:spacing w:before="10" w:after="10"/>
              <w:jc w:val="both"/>
            </w:pPr>
            <w:r>
              <w:rPr>
                <w:sz w:val="18"/>
                <w:szCs w:val="18"/>
              </w:rPr>
              <w:t>Compendio de Normas de Contabilidad y Auditoría del CAUB–CTNAC y Manual de Pronunciamientos Internacionales del IAASB (edición 2025).</w:t>
            </w:r>
          </w:p>
          <w:p w14:paraId="772DC52C" w14:textId="77777777" w:rsidR="00990B14" w:rsidRDefault="00000000">
            <w:pPr>
              <w:numPr>
                <w:ilvl w:val="0"/>
                <w:numId w:val="140"/>
              </w:numPr>
              <w:spacing w:before="10" w:after="10"/>
              <w:jc w:val="both"/>
            </w:pPr>
            <w:r>
              <w:rPr>
                <w:sz w:val="18"/>
                <w:szCs w:val="18"/>
              </w:rPr>
              <w:t>Código Internacional de Ética del IESBA, INPAS, NIIF para las PYMES (tercera edición) y NICSP vigentes.</w:t>
            </w:r>
          </w:p>
          <w:p w14:paraId="31F22D16" w14:textId="77777777" w:rsidR="00990B14" w:rsidRDefault="00000000">
            <w:pPr>
              <w:numPr>
                <w:ilvl w:val="0"/>
                <w:numId w:val="140"/>
              </w:numPr>
              <w:spacing w:before="10" w:after="10"/>
              <w:jc w:val="both"/>
            </w:pPr>
            <w:r>
              <w:rPr>
                <w:sz w:val="18"/>
                <w:szCs w:val="18"/>
              </w:rPr>
              <w:t>Normas de Auditoría Gubernamental, ISSAI vigentes y Ley N.º 1178 con sus normas básicas.</w:t>
            </w:r>
          </w:p>
          <w:p w14:paraId="32B86176" w14:textId="77777777" w:rsidR="00990B14" w:rsidRDefault="00000000">
            <w:pPr>
              <w:numPr>
                <w:ilvl w:val="0"/>
                <w:numId w:val="140"/>
              </w:numPr>
              <w:spacing w:before="10" w:after="10"/>
              <w:jc w:val="both"/>
            </w:pPr>
            <w:r>
              <w:rPr>
                <w:sz w:val="18"/>
                <w:szCs w:val="18"/>
              </w:rPr>
              <w:t>Manuales de gestión financiera y de auditoría del Banco Mundial, del BID y de la Unión Europea.</w:t>
            </w:r>
          </w:p>
          <w:p w14:paraId="667FB5BF" w14:textId="77777777" w:rsidR="00990B14" w:rsidRDefault="00000000">
            <w:pPr>
              <w:numPr>
                <w:ilvl w:val="0"/>
                <w:numId w:val="140"/>
              </w:numPr>
              <w:spacing w:before="10" w:after="10"/>
              <w:jc w:val="both"/>
            </w:pPr>
            <w:r>
              <w:rPr>
                <w:sz w:val="18"/>
                <w:szCs w:val="18"/>
              </w:rPr>
              <w:t>Convenios, presupuestos, archivos de desembolsos y plantillas de papeles de trabajo de la cátedra.</w:t>
            </w:r>
          </w:p>
          <w:p w14:paraId="4C6C3DF9" w14:textId="77777777" w:rsidR="00990B14" w:rsidRDefault="00000000">
            <w:pPr>
              <w:numPr>
                <w:ilvl w:val="0"/>
                <w:numId w:val="140"/>
              </w:numPr>
              <w:spacing w:before="10" w:after="10"/>
              <w:jc w:val="both"/>
            </w:pPr>
            <w:r>
              <w:rPr>
                <w:sz w:val="18"/>
                <w:szCs w:val="18"/>
              </w:rPr>
              <w:t>Hoja de cálculo, Power BI y Python con licencia académica; herramientas de inteligencia artificial generativa.</w:t>
            </w:r>
          </w:p>
          <w:p w14:paraId="6F924E46" w14:textId="77777777" w:rsidR="00990B14" w:rsidRDefault="00000000">
            <w:pPr>
              <w:numPr>
                <w:ilvl w:val="0"/>
                <w:numId w:val="140"/>
              </w:numPr>
              <w:spacing w:before="10" w:after="10"/>
              <w:jc w:val="both"/>
            </w:pPr>
            <w:r>
              <w:rPr>
                <w:sz w:val="18"/>
                <w:szCs w:val="18"/>
              </w:rPr>
              <w:t>Normativa tributaria vigente (Ley N.º 843, Código Tributario y RND aplicables) y portales del SIN, SICOES y Gaceta Oficial.</w:t>
            </w:r>
          </w:p>
        </w:tc>
      </w:tr>
      <w:tr w:rsidR="00990B14" w14:paraId="1B7977B1" w14:textId="77777777">
        <w:trPr>
          <w:jc w:val="center"/>
        </w:trPr>
        <w:tc>
          <w:tcPr>
            <w:tcW w:w="1793" w:type="dxa"/>
            <w:shd w:val="clear" w:color="auto" w:fill="4472C4"/>
            <w:vAlign w:val="center"/>
          </w:tcPr>
          <w:p w14:paraId="3C7D58F2" w14:textId="77777777" w:rsidR="00990B14" w:rsidRDefault="00000000">
            <w:pPr>
              <w:spacing w:before="20" w:after="20"/>
              <w:jc w:val="center"/>
            </w:pPr>
            <w:r>
              <w:rPr>
                <w:b/>
                <w:bCs/>
                <w:i/>
                <w:iCs/>
                <w:color w:val="FFFFFF"/>
                <w:sz w:val="18"/>
                <w:szCs w:val="18"/>
              </w:rPr>
              <w:t>Estrategias de evaluación</w:t>
            </w:r>
          </w:p>
        </w:tc>
        <w:tc>
          <w:tcPr>
            <w:tcW w:w="7612" w:type="dxa"/>
            <w:gridSpan w:val="4"/>
            <w:shd w:val="clear" w:color="auto" w:fill="D9E2F3"/>
            <w:vAlign w:val="center"/>
          </w:tcPr>
          <w:p w14:paraId="2FCA1E5F" w14:textId="77777777" w:rsidR="00990B14" w:rsidRDefault="00000000">
            <w:pPr>
              <w:numPr>
                <w:ilvl w:val="0"/>
                <w:numId w:val="140"/>
              </w:numPr>
              <w:spacing w:before="10" w:after="10"/>
              <w:jc w:val="both"/>
            </w:pPr>
            <w:r>
              <w:rPr>
                <w:b/>
                <w:bCs/>
                <w:sz w:val="18"/>
                <w:szCs w:val="18"/>
              </w:rPr>
              <w:t>Diagnóstica:</w:t>
            </w:r>
            <w:r>
              <w:rPr>
                <w:sz w:val="18"/>
                <w:szCs w:val="18"/>
              </w:rPr>
              <w:t xml:space="preserve"> prueba inicial sobre encargos de aseguramiento, control interno y normas de contabilidad de las materias precedentes; sus resultados orientan la nivelación y no se califican.</w:t>
            </w:r>
          </w:p>
          <w:p w14:paraId="77FBEFE9" w14:textId="77777777" w:rsidR="00990B14" w:rsidRDefault="00000000">
            <w:pPr>
              <w:numPr>
                <w:ilvl w:val="0"/>
                <w:numId w:val="140"/>
              </w:numPr>
              <w:spacing w:before="10" w:after="10"/>
              <w:jc w:val="both"/>
            </w:pPr>
            <w:r>
              <w:rPr>
                <w:b/>
                <w:bCs/>
                <w:sz w:val="18"/>
                <w:szCs w:val="18"/>
              </w:rPr>
              <w:t>Formativa:</w:t>
            </w:r>
            <w:r>
              <w:rPr>
                <w:sz w:val="18"/>
                <w:szCs w:val="18"/>
              </w:rPr>
              <w:t xml:space="preserve"> preguntas de comprensión, cuestionarios en Moodle, revisión de borradores de cada producto y retroalimentación continua, con autoevaluación y coevaluación mediante listas de cotejo.</w:t>
            </w:r>
          </w:p>
          <w:p w14:paraId="172FAFD7" w14:textId="77777777" w:rsidR="00990B14" w:rsidRDefault="00000000">
            <w:pPr>
              <w:numPr>
                <w:ilvl w:val="0"/>
                <w:numId w:val="140"/>
              </w:numPr>
              <w:spacing w:before="10" w:after="10"/>
              <w:jc w:val="both"/>
            </w:pPr>
            <w:r>
              <w:rPr>
                <w:b/>
                <w:bCs/>
                <w:sz w:val="18"/>
                <w:szCs w:val="18"/>
              </w:rPr>
              <w:t>Sumativa:</w:t>
            </w:r>
            <w:r>
              <w:rPr>
                <w:sz w:val="18"/>
                <w:szCs w:val="18"/>
              </w:rPr>
              <w:t xml:space="preserve"> heteroevaluación de los 16 productos con su rúbrica; verificación de las evidencias de conocimiento en la sustentación de cada producto y en un control escrito al cierre de cada elemento de competencia; cuando el reglamento de evaluación de la Carrera exija exámenes parciales y final, el control escrito de cada elemento cumple la función de examen parcial y se aplica un examen final integrador sobre el caso integral.</w:t>
            </w:r>
          </w:p>
        </w:tc>
      </w:tr>
      <w:tr w:rsidR="00990B14" w14:paraId="14F39927" w14:textId="77777777">
        <w:trPr>
          <w:jc w:val="center"/>
        </w:trPr>
        <w:tc>
          <w:tcPr>
            <w:tcW w:w="1793" w:type="dxa"/>
            <w:shd w:val="clear" w:color="auto" w:fill="4472C4"/>
            <w:vAlign w:val="center"/>
          </w:tcPr>
          <w:p w14:paraId="1DF177B3" w14:textId="77777777" w:rsidR="00990B14" w:rsidRDefault="00000000">
            <w:pPr>
              <w:spacing w:before="20" w:after="20"/>
              <w:jc w:val="center"/>
            </w:pPr>
            <w:r>
              <w:rPr>
                <w:b/>
                <w:bCs/>
                <w:i/>
                <w:iCs/>
                <w:color w:val="FFFFFF"/>
                <w:sz w:val="18"/>
                <w:szCs w:val="18"/>
              </w:rPr>
              <w:t>Criterios de calificación</w:t>
            </w:r>
          </w:p>
        </w:tc>
        <w:tc>
          <w:tcPr>
            <w:tcW w:w="7612" w:type="dxa"/>
            <w:gridSpan w:val="4"/>
            <w:shd w:val="clear" w:color="auto" w:fill="D9E2F3"/>
            <w:vAlign w:val="center"/>
          </w:tcPr>
          <w:p w14:paraId="5389E2EC" w14:textId="77777777" w:rsidR="00990B14" w:rsidRDefault="00000000">
            <w:pPr>
              <w:numPr>
                <w:ilvl w:val="0"/>
                <w:numId w:val="140"/>
              </w:numPr>
              <w:spacing w:before="10" w:after="10"/>
              <w:jc w:val="both"/>
            </w:pPr>
            <w:r>
              <w:rPr>
                <w:sz w:val="18"/>
                <w:szCs w:val="18"/>
              </w:rPr>
              <w:t>Nota mínima de aprobación: 51/100.</w:t>
            </w:r>
          </w:p>
          <w:p w14:paraId="6BD349DA" w14:textId="77777777" w:rsidR="00990B14" w:rsidRDefault="00000000">
            <w:pPr>
              <w:numPr>
                <w:ilvl w:val="0"/>
                <w:numId w:val="140"/>
              </w:numPr>
              <w:spacing w:before="10" w:after="10"/>
              <w:jc w:val="both"/>
            </w:pPr>
            <w:r>
              <w:rPr>
                <w:sz w:val="18"/>
                <w:szCs w:val="18"/>
              </w:rPr>
              <w:t>Cada producto se califica con su propia rúbrica de tres criterios, uno por dimensión: conocimiento (C), procedimiento (P) y actitud o tecnología (A/T).</w:t>
            </w:r>
          </w:p>
          <w:p w14:paraId="23C53366" w14:textId="77777777" w:rsidR="00990B14" w:rsidRDefault="00000000">
            <w:pPr>
              <w:numPr>
                <w:ilvl w:val="0"/>
                <w:numId w:val="140"/>
              </w:numPr>
              <w:spacing w:before="10" w:after="10"/>
              <w:jc w:val="both"/>
            </w:pPr>
            <w:r>
              <w:rPr>
                <w:sz w:val="18"/>
                <w:szCs w:val="18"/>
              </w:rPr>
              <w:t>Escala por criterio: Insuficiente (1–50), Suficiente (51–80) y Destacado (81–100). La nota del producto es el promedio de sus tres criterios.</w:t>
            </w:r>
          </w:p>
          <w:p w14:paraId="5F5185A0" w14:textId="77777777" w:rsidR="00990B14" w:rsidRDefault="00000000">
            <w:pPr>
              <w:numPr>
                <w:ilvl w:val="0"/>
                <w:numId w:val="140"/>
              </w:numPr>
              <w:spacing w:before="10" w:after="10"/>
              <w:jc w:val="both"/>
            </w:pPr>
            <w:r>
              <w:rPr>
                <w:sz w:val="18"/>
                <w:szCs w:val="18"/>
              </w:rPr>
              <w:t>Aporte de cada producto a la nota final = nota del producto × ponderación del producto ÷ 100.</w:t>
            </w:r>
          </w:p>
          <w:p w14:paraId="55804675" w14:textId="77777777" w:rsidR="00990B14" w:rsidRDefault="00000000">
            <w:pPr>
              <w:numPr>
                <w:ilvl w:val="0"/>
                <w:numId w:val="140"/>
              </w:numPr>
              <w:spacing w:before="10" w:after="10"/>
              <w:jc w:val="both"/>
            </w:pPr>
            <w:r>
              <w:rPr>
                <w:sz w:val="18"/>
                <w:szCs w:val="18"/>
              </w:rPr>
              <w:t>La nota de cada elemento de competencia es la suma de los aportes de sus cuatro productos: EC1 15 %, EC2 25 %, EC3 25 %, EC4 35 %.</w:t>
            </w:r>
          </w:p>
          <w:p w14:paraId="351BCF98" w14:textId="77777777" w:rsidR="00990B14" w:rsidRDefault="00000000">
            <w:pPr>
              <w:numPr>
                <w:ilvl w:val="0"/>
                <w:numId w:val="140"/>
              </w:numPr>
              <w:spacing w:before="10" w:after="10"/>
              <w:jc w:val="both"/>
            </w:pPr>
            <w:r>
              <w:rPr>
                <w:sz w:val="18"/>
                <w:szCs w:val="18"/>
              </w:rPr>
              <w:t>El control escrito de cada elemento verifica las evidencias de conocimiento y se integra al criterio de conocimiento (C) de las rúbricas de ese elemento.</w:t>
            </w:r>
          </w:p>
          <w:p w14:paraId="06F7D2F0" w14:textId="77777777" w:rsidR="00990B14" w:rsidRDefault="00000000">
            <w:pPr>
              <w:numPr>
                <w:ilvl w:val="0"/>
                <w:numId w:val="140"/>
              </w:numPr>
              <w:spacing w:before="10" w:after="10"/>
              <w:jc w:val="both"/>
            </w:pPr>
            <w:r>
              <w:rPr>
                <w:sz w:val="18"/>
                <w:szCs w:val="18"/>
              </w:rPr>
              <w:t>Cuando el reglamento de evaluación de la Carrera exija examen final, su nota se integra al criterio de conocimiento (C) de las rúbricas de todos los elementos, sin alterar la ponderación de los productos.</w:t>
            </w:r>
          </w:p>
          <w:p w14:paraId="6C63F70F" w14:textId="77777777" w:rsidR="00990B14" w:rsidRDefault="00000000">
            <w:pPr>
              <w:numPr>
                <w:ilvl w:val="0"/>
                <w:numId w:val="140"/>
              </w:numPr>
              <w:spacing w:before="10" w:after="10"/>
              <w:jc w:val="both"/>
            </w:pPr>
            <w:r>
              <w:rPr>
                <w:sz w:val="18"/>
                <w:szCs w:val="18"/>
              </w:rPr>
              <w:t>En los productos de equipo, la coevaluación puede ajustar la nota individual hasta en 10 puntos.</w:t>
            </w:r>
          </w:p>
          <w:p w14:paraId="5209EB4A" w14:textId="77777777" w:rsidR="00990B14" w:rsidRDefault="00000000">
            <w:pPr>
              <w:numPr>
                <w:ilvl w:val="0"/>
                <w:numId w:val="140"/>
              </w:numPr>
              <w:spacing w:before="10" w:after="10"/>
              <w:jc w:val="both"/>
            </w:pPr>
            <w:r>
              <w:rPr>
                <w:sz w:val="18"/>
                <w:szCs w:val="18"/>
              </w:rPr>
              <w:t>Las rúbricas evalúan de forma explícita el pensamiento crítico, el manejo de datos e IA, la comunicación y el trabajo colaborativo, conforme al Diagnóstico del Plan de Estudios de la Carrera (2026).</w:t>
            </w:r>
          </w:p>
          <w:p w14:paraId="61946500" w14:textId="77777777" w:rsidR="00990B14" w:rsidRDefault="00000000">
            <w:pPr>
              <w:numPr>
                <w:ilvl w:val="0"/>
                <w:numId w:val="140"/>
              </w:numPr>
              <w:spacing w:before="10" w:after="10"/>
              <w:jc w:val="both"/>
            </w:pPr>
            <w:r>
              <w:rPr>
                <w:sz w:val="18"/>
                <w:szCs w:val="18"/>
              </w:rPr>
              <w:t>La evaluación es periódica, al finalizar cada tema, y se basa en las evidencias de conocimiento, de desempeño y de producto.</w:t>
            </w:r>
          </w:p>
        </w:tc>
      </w:tr>
      <w:tr w:rsidR="00990B14" w14:paraId="1865D8B5" w14:textId="77777777">
        <w:trPr>
          <w:cantSplit/>
          <w:jc w:val="center"/>
        </w:trPr>
        <w:tc>
          <w:tcPr>
            <w:tcW w:w="1793" w:type="dxa"/>
            <w:vMerge w:val="restart"/>
            <w:shd w:val="clear" w:color="auto" w:fill="4472C4"/>
            <w:vAlign w:val="center"/>
          </w:tcPr>
          <w:p w14:paraId="60473313" w14:textId="77777777" w:rsidR="00990B14" w:rsidRDefault="00000000">
            <w:pPr>
              <w:spacing w:before="20" w:after="20"/>
              <w:jc w:val="center"/>
            </w:pPr>
            <w:r>
              <w:rPr>
                <w:b/>
                <w:bCs/>
                <w:i/>
                <w:iCs/>
                <w:color w:val="FFFFFF"/>
                <w:sz w:val="18"/>
                <w:szCs w:val="18"/>
              </w:rPr>
              <w:t>Niveles de logro y distribución de la calificación</w:t>
            </w:r>
          </w:p>
        </w:tc>
        <w:tc>
          <w:tcPr>
            <w:tcW w:w="5597" w:type="dxa"/>
            <w:gridSpan w:val="3"/>
            <w:shd w:val="clear" w:color="auto" w:fill="D9E2F3"/>
            <w:vAlign w:val="center"/>
          </w:tcPr>
          <w:p w14:paraId="267F4BCD" w14:textId="77777777" w:rsidR="00990B14" w:rsidRDefault="00000000">
            <w:pPr>
              <w:keepNext/>
              <w:spacing w:before="20" w:after="20"/>
              <w:jc w:val="both"/>
            </w:pPr>
            <w:r>
              <w:rPr>
                <w:b/>
                <w:bCs/>
                <w:i/>
                <w:iCs/>
                <w:sz w:val="18"/>
                <w:szCs w:val="18"/>
              </w:rPr>
              <w:t xml:space="preserve">Producto 1: </w:t>
            </w:r>
            <w:r>
              <w:rPr>
                <w:sz w:val="18"/>
                <w:szCs w:val="18"/>
              </w:rPr>
              <w:t>Cuadro de caracterización jurídica y encargos</w:t>
            </w:r>
          </w:p>
        </w:tc>
        <w:tc>
          <w:tcPr>
            <w:tcW w:w="2015" w:type="dxa"/>
            <w:shd w:val="clear" w:color="auto" w:fill="D9E2F3"/>
            <w:vAlign w:val="center"/>
          </w:tcPr>
          <w:p w14:paraId="7C8BC086" w14:textId="77777777" w:rsidR="00990B14" w:rsidRDefault="00000000">
            <w:pPr>
              <w:spacing w:before="20" w:after="20"/>
              <w:jc w:val="center"/>
            </w:pPr>
            <w:r>
              <w:rPr>
                <w:b/>
                <w:bCs/>
                <w:sz w:val="18"/>
                <w:szCs w:val="18"/>
              </w:rPr>
              <w:t>3%</w:t>
            </w:r>
          </w:p>
        </w:tc>
      </w:tr>
      <w:tr w:rsidR="00990B14" w14:paraId="12154002" w14:textId="77777777">
        <w:trPr>
          <w:cantSplit/>
          <w:jc w:val="center"/>
        </w:trPr>
        <w:tc>
          <w:tcPr>
            <w:tcW w:w="1793" w:type="dxa"/>
            <w:vMerge/>
            <w:shd w:val="clear" w:color="auto" w:fill="4472C4"/>
            <w:vAlign w:val="center"/>
          </w:tcPr>
          <w:p w14:paraId="16374D55" w14:textId="77777777" w:rsidR="00990B14" w:rsidRDefault="00990B14">
            <w:pPr>
              <w:spacing w:before="20" w:after="20"/>
            </w:pPr>
          </w:p>
        </w:tc>
        <w:tc>
          <w:tcPr>
            <w:tcW w:w="1830" w:type="dxa"/>
            <w:shd w:val="clear" w:color="auto" w:fill="4472C4"/>
            <w:vAlign w:val="center"/>
          </w:tcPr>
          <w:p w14:paraId="629E647C" w14:textId="77777777" w:rsidR="00990B14" w:rsidRDefault="00000000">
            <w:pPr>
              <w:keepNext/>
              <w:spacing w:before="20" w:after="20"/>
              <w:jc w:val="center"/>
            </w:pPr>
            <w:r>
              <w:rPr>
                <w:b/>
                <w:bCs/>
                <w:i/>
                <w:iCs/>
                <w:color w:val="FFFFFF"/>
                <w:sz w:val="18"/>
                <w:szCs w:val="18"/>
              </w:rPr>
              <w:t>Criterio</w:t>
            </w:r>
          </w:p>
        </w:tc>
        <w:tc>
          <w:tcPr>
            <w:tcW w:w="1857" w:type="dxa"/>
            <w:shd w:val="clear" w:color="auto" w:fill="4472C4"/>
            <w:vAlign w:val="center"/>
          </w:tcPr>
          <w:p w14:paraId="7181C222"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1A01916F"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49350533" w14:textId="77777777" w:rsidR="00990B14" w:rsidRDefault="00000000">
            <w:pPr>
              <w:keepNext/>
              <w:spacing w:before="20" w:after="20"/>
              <w:jc w:val="center"/>
            </w:pPr>
            <w:r>
              <w:rPr>
                <w:b/>
                <w:bCs/>
                <w:i/>
                <w:iCs/>
                <w:color w:val="FFFFFF"/>
                <w:sz w:val="18"/>
                <w:szCs w:val="18"/>
              </w:rPr>
              <w:t>Destacado (81–100)</w:t>
            </w:r>
          </w:p>
        </w:tc>
      </w:tr>
      <w:tr w:rsidR="00990B14" w14:paraId="580E6515" w14:textId="77777777">
        <w:trPr>
          <w:cantSplit/>
          <w:jc w:val="center"/>
        </w:trPr>
        <w:tc>
          <w:tcPr>
            <w:tcW w:w="1793" w:type="dxa"/>
            <w:vMerge/>
            <w:shd w:val="clear" w:color="auto" w:fill="4472C4"/>
            <w:vAlign w:val="center"/>
          </w:tcPr>
          <w:p w14:paraId="54455555" w14:textId="77777777" w:rsidR="00990B14" w:rsidRDefault="00990B14">
            <w:pPr>
              <w:spacing w:before="20" w:after="20"/>
            </w:pPr>
          </w:p>
        </w:tc>
        <w:tc>
          <w:tcPr>
            <w:tcW w:w="1830" w:type="dxa"/>
            <w:shd w:val="clear" w:color="auto" w:fill="D9E2F3"/>
            <w:vAlign w:val="center"/>
          </w:tcPr>
          <w:p w14:paraId="02E77819" w14:textId="77777777" w:rsidR="00990B14" w:rsidRDefault="00000000">
            <w:pPr>
              <w:spacing w:before="20" w:after="20"/>
              <w:jc w:val="both"/>
            </w:pPr>
            <w:r>
              <w:rPr>
                <w:sz w:val="18"/>
                <w:szCs w:val="18"/>
              </w:rPr>
              <w:t>Fundamento jurídico (C)</w:t>
            </w:r>
          </w:p>
        </w:tc>
        <w:tc>
          <w:tcPr>
            <w:tcW w:w="1857" w:type="dxa"/>
            <w:shd w:val="clear" w:color="auto" w:fill="D9E2F3"/>
            <w:vAlign w:val="center"/>
          </w:tcPr>
          <w:p w14:paraId="04F6FEDF" w14:textId="77777777" w:rsidR="00990B14" w:rsidRDefault="00000000">
            <w:pPr>
              <w:spacing w:before="20" w:after="20"/>
              <w:jc w:val="both"/>
            </w:pPr>
            <w:r>
              <w:rPr>
                <w:sz w:val="18"/>
                <w:szCs w:val="18"/>
              </w:rPr>
              <w:t>Confunde la naturaleza jurídica de la entidad.</w:t>
            </w:r>
          </w:p>
        </w:tc>
        <w:tc>
          <w:tcPr>
            <w:tcW w:w="1910" w:type="dxa"/>
            <w:shd w:val="clear" w:color="auto" w:fill="D9E2F3"/>
            <w:vAlign w:val="center"/>
          </w:tcPr>
          <w:p w14:paraId="129C75CD" w14:textId="77777777" w:rsidR="00990B14" w:rsidRDefault="00000000">
            <w:pPr>
              <w:spacing w:before="20" w:after="20"/>
              <w:jc w:val="both"/>
            </w:pPr>
            <w:r>
              <w:rPr>
                <w:sz w:val="18"/>
                <w:szCs w:val="18"/>
              </w:rPr>
              <w:t>Identifica la naturaleza jurídica conforme al Código Civil y a la Ley N.º 351.</w:t>
            </w:r>
          </w:p>
        </w:tc>
        <w:tc>
          <w:tcPr>
            <w:tcW w:w="2015" w:type="dxa"/>
            <w:shd w:val="clear" w:color="auto" w:fill="D9E2F3"/>
            <w:vAlign w:val="center"/>
          </w:tcPr>
          <w:p w14:paraId="175FFA34" w14:textId="77777777" w:rsidR="00990B14" w:rsidRDefault="00000000">
            <w:pPr>
              <w:spacing w:before="20" w:after="20"/>
              <w:jc w:val="both"/>
            </w:pPr>
            <w:r>
              <w:rPr>
                <w:sz w:val="18"/>
                <w:szCs w:val="18"/>
              </w:rPr>
              <w:t>Relaciona cada disposición con las obligaciones de la entidad.</w:t>
            </w:r>
          </w:p>
        </w:tc>
      </w:tr>
      <w:tr w:rsidR="00990B14" w14:paraId="70DBA1B5" w14:textId="77777777">
        <w:trPr>
          <w:cantSplit/>
          <w:jc w:val="center"/>
        </w:trPr>
        <w:tc>
          <w:tcPr>
            <w:tcW w:w="1793" w:type="dxa"/>
            <w:vMerge/>
            <w:shd w:val="clear" w:color="auto" w:fill="4472C4"/>
            <w:vAlign w:val="center"/>
          </w:tcPr>
          <w:p w14:paraId="3B48C410" w14:textId="77777777" w:rsidR="00990B14" w:rsidRDefault="00990B14">
            <w:pPr>
              <w:spacing w:before="20" w:after="20"/>
            </w:pPr>
          </w:p>
        </w:tc>
        <w:tc>
          <w:tcPr>
            <w:tcW w:w="1830" w:type="dxa"/>
            <w:shd w:val="clear" w:color="auto" w:fill="D9E2F3"/>
            <w:vAlign w:val="center"/>
          </w:tcPr>
          <w:p w14:paraId="71966B7B" w14:textId="77777777" w:rsidR="00990B14" w:rsidRDefault="00000000">
            <w:pPr>
              <w:spacing w:before="20" w:after="20"/>
              <w:jc w:val="both"/>
            </w:pPr>
            <w:r>
              <w:rPr>
                <w:sz w:val="18"/>
                <w:szCs w:val="18"/>
              </w:rPr>
              <w:t>Encargos aplicables (P)</w:t>
            </w:r>
          </w:p>
        </w:tc>
        <w:tc>
          <w:tcPr>
            <w:tcW w:w="1857" w:type="dxa"/>
            <w:shd w:val="clear" w:color="auto" w:fill="D9E2F3"/>
            <w:vAlign w:val="center"/>
          </w:tcPr>
          <w:p w14:paraId="32A64D70" w14:textId="77777777" w:rsidR="00990B14" w:rsidRDefault="00000000">
            <w:pPr>
              <w:spacing w:before="20" w:after="20"/>
              <w:jc w:val="both"/>
            </w:pPr>
            <w:r>
              <w:rPr>
                <w:sz w:val="18"/>
                <w:szCs w:val="18"/>
              </w:rPr>
              <w:t>No distingue los tipos de encargo.</w:t>
            </w:r>
          </w:p>
        </w:tc>
        <w:tc>
          <w:tcPr>
            <w:tcW w:w="1910" w:type="dxa"/>
            <w:shd w:val="clear" w:color="auto" w:fill="D9E2F3"/>
            <w:vAlign w:val="center"/>
          </w:tcPr>
          <w:p w14:paraId="30F58FFD" w14:textId="77777777" w:rsidR="00990B14" w:rsidRDefault="00000000">
            <w:pPr>
              <w:spacing w:before="20" w:after="20"/>
              <w:jc w:val="both"/>
            </w:pPr>
            <w:r>
              <w:rPr>
                <w:sz w:val="18"/>
                <w:szCs w:val="18"/>
              </w:rPr>
              <w:t>Asigna el encargo que corresponde a cada caso.</w:t>
            </w:r>
          </w:p>
        </w:tc>
        <w:tc>
          <w:tcPr>
            <w:tcW w:w="2015" w:type="dxa"/>
            <w:shd w:val="clear" w:color="auto" w:fill="D9E2F3"/>
            <w:vAlign w:val="center"/>
          </w:tcPr>
          <w:p w14:paraId="57A1AFA1" w14:textId="77777777" w:rsidR="00990B14" w:rsidRDefault="00000000">
            <w:pPr>
              <w:spacing w:before="20" w:after="20"/>
              <w:jc w:val="both"/>
            </w:pPr>
            <w:r>
              <w:rPr>
                <w:sz w:val="18"/>
                <w:szCs w:val="18"/>
              </w:rPr>
              <w:t>Justifica el grado de seguridad de cada encargo.</w:t>
            </w:r>
          </w:p>
        </w:tc>
      </w:tr>
      <w:tr w:rsidR="00990B14" w14:paraId="440CCE12" w14:textId="77777777">
        <w:trPr>
          <w:cantSplit/>
          <w:jc w:val="center"/>
        </w:trPr>
        <w:tc>
          <w:tcPr>
            <w:tcW w:w="1793" w:type="dxa"/>
            <w:vMerge/>
            <w:shd w:val="clear" w:color="auto" w:fill="4472C4"/>
            <w:vAlign w:val="center"/>
          </w:tcPr>
          <w:p w14:paraId="34D77E03" w14:textId="77777777" w:rsidR="00990B14" w:rsidRDefault="00990B14">
            <w:pPr>
              <w:spacing w:before="20" w:after="20"/>
            </w:pPr>
          </w:p>
        </w:tc>
        <w:tc>
          <w:tcPr>
            <w:tcW w:w="1830" w:type="dxa"/>
            <w:shd w:val="clear" w:color="auto" w:fill="D9E2F3"/>
            <w:vAlign w:val="center"/>
          </w:tcPr>
          <w:p w14:paraId="4A0A0A3D" w14:textId="77777777" w:rsidR="00990B14" w:rsidRDefault="00000000">
            <w:pPr>
              <w:spacing w:before="20" w:after="20"/>
              <w:jc w:val="both"/>
            </w:pPr>
            <w:r>
              <w:rPr>
                <w:sz w:val="18"/>
                <w:szCs w:val="18"/>
              </w:rPr>
              <w:t>Trabajo en equipo (A)</w:t>
            </w:r>
          </w:p>
        </w:tc>
        <w:tc>
          <w:tcPr>
            <w:tcW w:w="1857" w:type="dxa"/>
            <w:shd w:val="clear" w:color="auto" w:fill="D9E2F3"/>
            <w:vAlign w:val="center"/>
          </w:tcPr>
          <w:p w14:paraId="7E379522" w14:textId="77777777" w:rsidR="00990B14" w:rsidRDefault="00000000">
            <w:pPr>
              <w:spacing w:before="20" w:after="20"/>
              <w:jc w:val="both"/>
            </w:pPr>
            <w:r>
              <w:rPr>
                <w:sz w:val="18"/>
                <w:szCs w:val="18"/>
              </w:rPr>
              <w:t>La participación de los integrantes es desigual.</w:t>
            </w:r>
          </w:p>
        </w:tc>
        <w:tc>
          <w:tcPr>
            <w:tcW w:w="1910" w:type="dxa"/>
            <w:shd w:val="clear" w:color="auto" w:fill="D9E2F3"/>
            <w:vAlign w:val="center"/>
          </w:tcPr>
          <w:p w14:paraId="3561246D" w14:textId="77777777" w:rsidR="00990B14" w:rsidRDefault="00000000">
            <w:pPr>
              <w:spacing w:before="20" w:after="20"/>
              <w:jc w:val="both"/>
            </w:pPr>
            <w:r>
              <w:rPr>
                <w:sz w:val="18"/>
                <w:szCs w:val="18"/>
              </w:rPr>
              <w:t>Todos los integrantes participan en el trabajo.</w:t>
            </w:r>
          </w:p>
        </w:tc>
        <w:tc>
          <w:tcPr>
            <w:tcW w:w="2015" w:type="dxa"/>
            <w:shd w:val="clear" w:color="auto" w:fill="D9E2F3"/>
            <w:vAlign w:val="center"/>
          </w:tcPr>
          <w:p w14:paraId="6ABF32CD" w14:textId="77777777" w:rsidR="00990B14" w:rsidRDefault="00000000">
            <w:pPr>
              <w:spacing w:before="20" w:after="20"/>
              <w:jc w:val="both"/>
            </w:pPr>
            <w:r>
              <w:rPr>
                <w:sz w:val="18"/>
                <w:szCs w:val="18"/>
              </w:rPr>
              <w:t>El equipo sustenta sus decisiones con fundamento.</w:t>
            </w:r>
          </w:p>
        </w:tc>
      </w:tr>
      <w:tr w:rsidR="00990B14" w14:paraId="23659E77" w14:textId="77777777">
        <w:trPr>
          <w:cantSplit/>
          <w:jc w:val="center"/>
        </w:trPr>
        <w:tc>
          <w:tcPr>
            <w:tcW w:w="1793" w:type="dxa"/>
            <w:vMerge/>
            <w:shd w:val="clear" w:color="auto" w:fill="4472C4"/>
            <w:vAlign w:val="center"/>
          </w:tcPr>
          <w:p w14:paraId="3A4A5C16" w14:textId="77777777" w:rsidR="00990B14" w:rsidRDefault="00990B14">
            <w:pPr>
              <w:spacing w:before="20" w:after="20"/>
            </w:pPr>
          </w:p>
        </w:tc>
        <w:tc>
          <w:tcPr>
            <w:tcW w:w="5597" w:type="dxa"/>
            <w:gridSpan w:val="3"/>
            <w:shd w:val="clear" w:color="auto" w:fill="D9E2F3"/>
            <w:vAlign w:val="center"/>
          </w:tcPr>
          <w:p w14:paraId="51BB7FC6" w14:textId="77777777" w:rsidR="00990B14" w:rsidRDefault="00000000">
            <w:pPr>
              <w:keepNext/>
              <w:spacing w:before="20" w:after="20"/>
              <w:jc w:val="both"/>
            </w:pPr>
            <w:r>
              <w:rPr>
                <w:b/>
                <w:bCs/>
                <w:i/>
                <w:iCs/>
                <w:sz w:val="18"/>
                <w:szCs w:val="18"/>
              </w:rPr>
              <w:t xml:space="preserve">Producto 2: </w:t>
            </w:r>
            <w:r>
              <w:rPr>
                <w:sz w:val="18"/>
                <w:szCs w:val="18"/>
              </w:rPr>
              <w:t>Matriz comparativa de estados financieros</w:t>
            </w:r>
          </w:p>
        </w:tc>
        <w:tc>
          <w:tcPr>
            <w:tcW w:w="2015" w:type="dxa"/>
            <w:shd w:val="clear" w:color="auto" w:fill="D9E2F3"/>
            <w:vAlign w:val="center"/>
          </w:tcPr>
          <w:p w14:paraId="2121A938" w14:textId="77777777" w:rsidR="00990B14" w:rsidRDefault="00000000">
            <w:pPr>
              <w:spacing w:before="20" w:after="20"/>
              <w:jc w:val="center"/>
            </w:pPr>
            <w:r>
              <w:rPr>
                <w:b/>
                <w:bCs/>
                <w:sz w:val="18"/>
                <w:szCs w:val="18"/>
              </w:rPr>
              <w:t>4%</w:t>
            </w:r>
          </w:p>
        </w:tc>
      </w:tr>
      <w:tr w:rsidR="00990B14" w14:paraId="26A5DE1B" w14:textId="77777777">
        <w:trPr>
          <w:cantSplit/>
          <w:jc w:val="center"/>
        </w:trPr>
        <w:tc>
          <w:tcPr>
            <w:tcW w:w="1793" w:type="dxa"/>
            <w:vMerge/>
            <w:shd w:val="clear" w:color="auto" w:fill="4472C4"/>
            <w:vAlign w:val="center"/>
          </w:tcPr>
          <w:p w14:paraId="0C7CFBE6" w14:textId="77777777" w:rsidR="00990B14" w:rsidRDefault="00990B14">
            <w:pPr>
              <w:spacing w:before="20" w:after="20"/>
            </w:pPr>
          </w:p>
        </w:tc>
        <w:tc>
          <w:tcPr>
            <w:tcW w:w="1830" w:type="dxa"/>
            <w:shd w:val="clear" w:color="auto" w:fill="4472C4"/>
            <w:vAlign w:val="center"/>
          </w:tcPr>
          <w:p w14:paraId="31D850AA" w14:textId="77777777" w:rsidR="00990B14" w:rsidRDefault="00000000">
            <w:pPr>
              <w:keepNext/>
              <w:spacing w:before="20" w:after="20"/>
              <w:jc w:val="center"/>
            </w:pPr>
            <w:r>
              <w:rPr>
                <w:b/>
                <w:bCs/>
                <w:i/>
                <w:iCs/>
                <w:color w:val="FFFFFF"/>
                <w:sz w:val="18"/>
                <w:szCs w:val="18"/>
              </w:rPr>
              <w:t>Criterio</w:t>
            </w:r>
          </w:p>
        </w:tc>
        <w:tc>
          <w:tcPr>
            <w:tcW w:w="1857" w:type="dxa"/>
            <w:shd w:val="clear" w:color="auto" w:fill="4472C4"/>
            <w:vAlign w:val="center"/>
          </w:tcPr>
          <w:p w14:paraId="529B66BE"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2EC170D3"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4E121469" w14:textId="77777777" w:rsidR="00990B14" w:rsidRDefault="00000000">
            <w:pPr>
              <w:keepNext/>
              <w:spacing w:before="20" w:after="20"/>
              <w:jc w:val="center"/>
            </w:pPr>
            <w:r>
              <w:rPr>
                <w:b/>
                <w:bCs/>
                <w:i/>
                <w:iCs/>
                <w:color w:val="FFFFFF"/>
                <w:sz w:val="18"/>
                <w:szCs w:val="18"/>
              </w:rPr>
              <w:t>Destacado (81–100)</w:t>
            </w:r>
          </w:p>
        </w:tc>
      </w:tr>
      <w:tr w:rsidR="00990B14" w14:paraId="34835A5A" w14:textId="77777777">
        <w:trPr>
          <w:cantSplit/>
          <w:jc w:val="center"/>
        </w:trPr>
        <w:tc>
          <w:tcPr>
            <w:tcW w:w="1793" w:type="dxa"/>
            <w:vMerge/>
            <w:shd w:val="clear" w:color="auto" w:fill="4472C4"/>
            <w:vAlign w:val="center"/>
          </w:tcPr>
          <w:p w14:paraId="4446831B" w14:textId="77777777" w:rsidR="00990B14" w:rsidRDefault="00990B14">
            <w:pPr>
              <w:spacing w:before="20" w:after="20"/>
            </w:pPr>
          </w:p>
        </w:tc>
        <w:tc>
          <w:tcPr>
            <w:tcW w:w="1830" w:type="dxa"/>
            <w:shd w:val="clear" w:color="auto" w:fill="D9E2F3"/>
            <w:vAlign w:val="center"/>
          </w:tcPr>
          <w:p w14:paraId="60207FB8" w14:textId="77777777" w:rsidR="00990B14" w:rsidRDefault="00000000">
            <w:pPr>
              <w:spacing w:before="20" w:after="20"/>
              <w:jc w:val="both"/>
            </w:pPr>
            <w:r>
              <w:rPr>
                <w:sz w:val="18"/>
                <w:szCs w:val="18"/>
              </w:rPr>
              <w:t>Conceptos (C)</w:t>
            </w:r>
          </w:p>
        </w:tc>
        <w:tc>
          <w:tcPr>
            <w:tcW w:w="1857" w:type="dxa"/>
            <w:shd w:val="clear" w:color="auto" w:fill="D9E2F3"/>
            <w:vAlign w:val="center"/>
          </w:tcPr>
          <w:p w14:paraId="59D098AC" w14:textId="77777777" w:rsidR="00990B14" w:rsidRDefault="00000000">
            <w:pPr>
              <w:spacing w:before="20" w:after="20"/>
              <w:jc w:val="both"/>
            </w:pPr>
            <w:r>
              <w:rPr>
                <w:sz w:val="18"/>
                <w:szCs w:val="18"/>
              </w:rPr>
              <w:t>Confunde los estados de propósito general y específico.</w:t>
            </w:r>
          </w:p>
        </w:tc>
        <w:tc>
          <w:tcPr>
            <w:tcW w:w="1910" w:type="dxa"/>
            <w:shd w:val="clear" w:color="auto" w:fill="D9E2F3"/>
            <w:vAlign w:val="center"/>
          </w:tcPr>
          <w:p w14:paraId="327DEEBA" w14:textId="77777777" w:rsidR="00990B14" w:rsidRDefault="00000000">
            <w:pPr>
              <w:spacing w:before="20" w:after="20"/>
              <w:jc w:val="both"/>
            </w:pPr>
            <w:r>
              <w:rPr>
                <w:sz w:val="18"/>
                <w:szCs w:val="18"/>
              </w:rPr>
              <w:t>Diferencia su objetivo, usuarios y componentes.</w:t>
            </w:r>
          </w:p>
        </w:tc>
        <w:tc>
          <w:tcPr>
            <w:tcW w:w="2015" w:type="dxa"/>
            <w:shd w:val="clear" w:color="auto" w:fill="D9E2F3"/>
            <w:vAlign w:val="center"/>
          </w:tcPr>
          <w:p w14:paraId="243C3328" w14:textId="77777777" w:rsidR="00990B14" w:rsidRDefault="00000000">
            <w:pPr>
              <w:spacing w:before="20" w:after="20"/>
              <w:jc w:val="both"/>
            </w:pPr>
            <w:r>
              <w:rPr>
                <w:sz w:val="18"/>
                <w:szCs w:val="18"/>
              </w:rPr>
              <w:t>Relaciona cada estado con la cláusula del convenio que lo exige.</w:t>
            </w:r>
          </w:p>
        </w:tc>
      </w:tr>
      <w:tr w:rsidR="00990B14" w14:paraId="14113E2D" w14:textId="77777777">
        <w:trPr>
          <w:cantSplit/>
          <w:jc w:val="center"/>
        </w:trPr>
        <w:tc>
          <w:tcPr>
            <w:tcW w:w="1793" w:type="dxa"/>
            <w:vMerge/>
            <w:shd w:val="clear" w:color="auto" w:fill="4472C4"/>
            <w:vAlign w:val="center"/>
          </w:tcPr>
          <w:p w14:paraId="2E2DF9DA" w14:textId="77777777" w:rsidR="00990B14" w:rsidRDefault="00990B14">
            <w:pPr>
              <w:spacing w:before="20" w:after="20"/>
            </w:pPr>
          </w:p>
        </w:tc>
        <w:tc>
          <w:tcPr>
            <w:tcW w:w="1830" w:type="dxa"/>
            <w:shd w:val="clear" w:color="auto" w:fill="D9E2F3"/>
            <w:vAlign w:val="center"/>
          </w:tcPr>
          <w:p w14:paraId="34D6DACA" w14:textId="77777777" w:rsidR="00990B14" w:rsidRDefault="00000000">
            <w:pPr>
              <w:spacing w:before="20" w:after="20"/>
              <w:jc w:val="both"/>
            </w:pPr>
            <w:r>
              <w:rPr>
                <w:sz w:val="18"/>
                <w:szCs w:val="18"/>
              </w:rPr>
              <w:t>Identificación (P)</w:t>
            </w:r>
          </w:p>
        </w:tc>
        <w:tc>
          <w:tcPr>
            <w:tcW w:w="1857" w:type="dxa"/>
            <w:shd w:val="clear" w:color="auto" w:fill="D9E2F3"/>
            <w:vAlign w:val="center"/>
          </w:tcPr>
          <w:p w14:paraId="319452DF" w14:textId="77777777" w:rsidR="00990B14" w:rsidRDefault="00000000">
            <w:pPr>
              <w:spacing w:before="20" w:after="20"/>
              <w:jc w:val="both"/>
            </w:pPr>
            <w:r>
              <w:rPr>
                <w:sz w:val="18"/>
                <w:szCs w:val="18"/>
              </w:rPr>
              <w:t>Omite estados exigidos por el convenio.</w:t>
            </w:r>
          </w:p>
        </w:tc>
        <w:tc>
          <w:tcPr>
            <w:tcW w:w="1910" w:type="dxa"/>
            <w:shd w:val="clear" w:color="auto" w:fill="D9E2F3"/>
            <w:vAlign w:val="center"/>
          </w:tcPr>
          <w:p w14:paraId="223C0689" w14:textId="77777777" w:rsidR="00990B14" w:rsidRDefault="00000000">
            <w:pPr>
              <w:spacing w:before="20" w:after="20"/>
              <w:jc w:val="both"/>
            </w:pPr>
            <w:r>
              <w:rPr>
                <w:sz w:val="18"/>
                <w:szCs w:val="18"/>
              </w:rPr>
              <w:t>Identifica los estados que debe presentar la entidad y su proyecto.</w:t>
            </w:r>
          </w:p>
        </w:tc>
        <w:tc>
          <w:tcPr>
            <w:tcW w:w="2015" w:type="dxa"/>
            <w:shd w:val="clear" w:color="auto" w:fill="D9E2F3"/>
            <w:vAlign w:val="center"/>
          </w:tcPr>
          <w:p w14:paraId="73D38138" w14:textId="77777777" w:rsidR="00990B14" w:rsidRDefault="00000000">
            <w:pPr>
              <w:spacing w:before="20" w:after="20"/>
              <w:jc w:val="both"/>
            </w:pPr>
            <w:r>
              <w:rPr>
                <w:sz w:val="18"/>
                <w:szCs w:val="18"/>
              </w:rPr>
              <w:t>Explica la relación entre los estados de la entidad y los del proyecto.</w:t>
            </w:r>
          </w:p>
        </w:tc>
      </w:tr>
      <w:tr w:rsidR="00990B14" w14:paraId="393F8E30" w14:textId="77777777">
        <w:trPr>
          <w:cantSplit/>
          <w:jc w:val="center"/>
        </w:trPr>
        <w:tc>
          <w:tcPr>
            <w:tcW w:w="1793" w:type="dxa"/>
            <w:vMerge/>
            <w:shd w:val="clear" w:color="auto" w:fill="4472C4"/>
            <w:vAlign w:val="center"/>
          </w:tcPr>
          <w:p w14:paraId="748B0F7F" w14:textId="77777777" w:rsidR="00990B14" w:rsidRDefault="00990B14">
            <w:pPr>
              <w:spacing w:before="20" w:after="20"/>
            </w:pPr>
          </w:p>
        </w:tc>
        <w:tc>
          <w:tcPr>
            <w:tcW w:w="1830" w:type="dxa"/>
            <w:shd w:val="clear" w:color="auto" w:fill="D9E2F3"/>
            <w:vAlign w:val="center"/>
          </w:tcPr>
          <w:p w14:paraId="15DE8276" w14:textId="77777777" w:rsidR="00990B14" w:rsidRDefault="00000000">
            <w:pPr>
              <w:spacing w:before="20" w:after="20"/>
              <w:jc w:val="both"/>
            </w:pPr>
            <w:r>
              <w:rPr>
                <w:sz w:val="18"/>
                <w:szCs w:val="18"/>
              </w:rPr>
              <w:t>Uso de fuentes (T)</w:t>
            </w:r>
          </w:p>
        </w:tc>
        <w:tc>
          <w:tcPr>
            <w:tcW w:w="1857" w:type="dxa"/>
            <w:shd w:val="clear" w:color="auto" w:fill="D9E2F3"/>
            <w:vAlign w:val="center"/>
          </w:tcPr>
          <w:p w14:paraId="143F9E25" w14:textId="77777777" w:rsidR="00990B14" w:rsidRDefault="00000000">
            <w:pPr>
              <w:spacing w:before="20" w:after="20"/>
              <w:jc w:val="both"/>
            </w:pPr>
            <w:r>
              <w:rPr>
                <w:sz w:val="18"/>
                <w:szCs w:val="18"/>
              </w:rPr>
              <w:t>No consulta fuentes en línea.</w:t>
            </w:r>
          </w:p>
        </w:tc>
        <w:tc>
          <w:tcPr>
            <w:tcW w:w="1910" w:type="dxa"/>
            <w:shd w:val="clear" w:color="auto" w:fill="D9E2F3"/>
            <w:vAlign w:val="center"/>
          </w:tcPr>
          <w:p w14:paraId="67A2AA89" w14:textId="77777777" w:rsidR="00990B14" w:rsidRDefault="00000000">
            <w:pPr>
              <w:spacing w:before="20" w:after="20"/>
              <w:jc w:val="both"/>
            </w:pPr>
            <w:r>
              <w:rPr>
                <w:sz w:val="18"/>
                <w:szCs w:val="18"/>
              </w:rPr>
              <w:t>Utiliza estados publicados por entidades o financiadores.</w:t>
            </w:r>
          </w:p>
        </w:tc>
        <w:tc>
          <w:tcPr>
            <w:tcW w:w="2015" w:type="dxa"/>
            <w:shd w:val="clear" w:color="auto" w:fill="D9E2F3"/>
            <w:vAlign w:val="center"/>
          </w:tcPr>
          <w:p w14:paraId="66753357" w14:textId="77777777" w:rsidR="00990B14" w:rsidRDefault="00000000">
            <w:pPr>
              <w:spacing w:before="20" w:after="20"/>
              <w:jc w:val="both"/>
            </w:pPr>
            <w:r>
              <w:rPr>
                <w:sz w:val="18"/>
                <w:szCs w:val="18"/>
              </w:rPr>
              <w:t>Contrasta varias fuentes y cita su procedencia.</w:t>
            </w:r>
          </w:p>
        </w:tc>
      </w:tr>
      <w:tr w:rsidR="00990B14" w14:paraId="71DF5EC7" w14:textId="77777777">
        <w:trPr>
          <w:cantSplit/>
          <w:jc w:val="center"/>
        </w:trPr>
        <w:tc>
          <w:tcPr>
            <w:tcW w:w="1793" w:type="dxa"/>
            <w:vMerge/>
            <w:shd w:val="clear" w:color="auto" w:fill="4472C4"/>
            <w:vAlign w:val="center"/>
          </w:tcPr>
          <w:p w14:paraId="563E8B65" w14:textId="77777777" w:rsidR="00990B14" w:rsidRDefault="00990B14">
            <w:pPr>
              <w:spacing w:before="20" w:after="20"/>
            </w:pPr>
          </w:p>
        </w:tc>
        <w:tc>
          <w:tcPr>
            <w:tcW w:w="5597" w:type="dxa"/>
            <w:gridSpan w:val="3"/>
            <w:shd w:val="clear" w:color="auto" w:fill="D9E2F3"/>
            <w:vAlign w:val="center"/>
          </w:tcPr>
          <w:p w14:paraId="3876983B" w14:textId="77777777" w:rsidR="00990B14" w:rsidRDefault="00000000">
            <w:pPr>
              <w:keepNext/>
              <w:spacing w:before="20" w:after="20"/>
              <w:jc w:val="both"/>
            </w:pPr>
            <w:r>
              <w:rPr>
                <w:b/>
                <w:bCs/>
                <w:i/>
                <w:iCs/>
                <w:sz w:val="18"/>
                <w:szCs w:val="18"/>
              </w:rPr>
              <w:t xml:space="preserve">Producto 3: </w:t>
            </w:r>
            <w:r>
              <w:rPr>
                <w:sz w:val="18"/>
                <w:szCs w:val="18"/>
              </w:rPr>
              <w:t>Marco lógico y matriz de indicadores</w:t>
            </w:r>
          </w:p>
        </w:tc>
        <w:tc>
          <w:tcPr>
            <w:tcW w:w="2015" w:type="dxa"/>
            <w:shd w:val="clear" w:color="auto" w:fill="D9E2F3"/>
            <w:vAlign w:val="center"/>
          </w:tcPr>
          <w:p w14:paraId="38BAD08C" w14:textId="77777777" w:rsidR="00990B14" w:rsidRDefault="00000000">
            <w:pPr>
              <w:spacing w:before="20" w:after="20"/>
              <w:jc w:val="center"/>
            </w:pPr>
            <w:r>
              <w:rPr>
                <w:b/>
                <w:bCs/>
                <w:sz w:val="18"/>
                <w:szCs w:val="18"/>
              </w:rPr>
              <w:t>4%</w:t>
            </w:r>
          </w:p>
        </w:tc>
      </w:tr>
      <w:tr w:rsidR="00990B14" w14:paraId="4CB0B8C3" w14:textId="77777777">
        <w:trPr>
          <w:cantSplit/>
          <w:jc w:val="center"/>
        </w:trPr>
        <w:tc>
          <w:tcPr>
            <w:tcW w:w="1793" w:type="dxa"/>
            <w:vMerge/>
            <w:shd w:val="clear" w:color="auto" w:fill="4472C4"/>
            <w:vAlign w:val="center"/>
          </w:tcPr>
          <w:p w14:paraId="2143E2EB" w14:textId="77777777" w:rsidR="00990B14" w:rsidRDefault="00990B14">
            <w:pPr>
              <w:spacing w:before="20" w:after="20"/>
            </w:pPr>
          </w:p>
        </w:tc>
        <w:tc>
          <w:tcPr>
            <w:tcW w:w="1830" w:type="dxa"/>
            <w:shd w:val="clear" w:color="auto" w:fill="4472C4"/>
            <w:vAlign w:val="center"/>
          </w:tcPr>
          <w:p w14:paraId="44651721" w14:textId="77777777" w:rsidR="00990B14" w:rsidRDefault="00000000">
            <w:pPr>
              <w:keepNext/>
              <w:spacing w:before="20" w:after="20"/>
              <w:jc w:val="center"/>
            </w:pPr>
            <w:r>
              <w:rPr>
                <w:b/>
                <w:bCs/>
                <w:i/>
                <w:iCs/>
                <w:color w:val="FFFFFF"/>
                <w:sz w:val="18"/>
                <w:szCs w:val="18"/>
              </w:rPr>
              <w:t>Criterio</w:t>
            </w:r>
          </w:p>
        </w:tc>
        <w:tc>
          <w:tcPr>
            <w:tcW w:w="1857" w:type="dxa"/>
            <w:shd w:val="clear" w:color="auto" w:fill="4472C4"/>
            <w:vAlign w:val="center"/>
          </w:tcPr>
          <w:p w14:paraId="75352AF2"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13BD7D94"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67874D63" w14:textId="77777777" w:rsidR="00990B14" w:rsidRDefault="00000000">
            <w:pPr>
              <w:keepNext/>
              <w:spacing w:before="20" w:after="20"/>
              <w:jc w:val="center"/>
            </w:pPr>
            <w:r>
              <w:rPr>
                <w:b/>
                <w:bCs/>
                <w:i/>
                <w:iCs/>
                <w:color w:val="FFFFFF"/>
                <w:sz w:val="18"/>
                <w:szCs w:val="18"/>
              </w:rPr>
              <w:t>Destacado (81–100)</w:t>
            </w:r>
          </w:p>
        </w:tc>
      </w:tr>
      <w:tr w:rsidR="00990B14" w14:paraId="7584C542" w14:textId="77777777">
        <w:trPr>
          <w:cantSplit/>
          <w:jc w:val="center"/>
        </w:trPr>
        <w:tc>
          <w:tcPr>
            <w:tcW w:w="1793" w:type="dxa"/>
            <w:vMerge/>
            <w:shd w:val="clear" w:color="auto" w:fill="4472C4"/>
            <w:vAlign w:val="center"/>
          </w:tcPr>
          <w:p w14:paraId="32ACFCF6" w14:textId="77777777" w:rsidR="00990B14" w:rsidRDefault="00990B14">
            <w:pPr>
              <w:spacing w:before="20" w:after="20"/>
            </w:pPr>
          </w:p>
        </w:tc>
        <w:tc>
          <w:tcPr>
            <w:tcW w:w="1830" w:type="dxa"/>
            <w:shd w:val="clear" w:color="auto" w:fill="D9E2F3"/>
            <w:vAlign w:val="center"/>
          </w:tcPr>
          <w:p w14:paraId="31714754" w14:textId="77777777" w:rsidR="00990B14" w:rsidRDefault="00000000">
            <w:pPr>
              <w:spacing w:before="20" w:after="20"/>
              <w:jc w:val="both"/>
            </w:pPr>
            <w:r>
              <w:rPr>
                <w:sz w:val="18"/>
                <w:szCs w:val="18"/>
              </w:rPr>
              <w:t>Lógica del proyecto (C)</w:t>
            </w:r>
          </w:p>
        </w:tc>
        <w:tc>
          <w:tcPr>
            <w:tcW w:w="1857" w:type="dxa"/>
            <w:shd w:val="clear" w:color="auto" w:fill="D9E2F3"/>
            <w:vAlign w:val="center"/>
          </w:tcPr>
          <w:p w14:paraId="61CA32D0" w14:textId="77777777" w:rsidR="00990B14" w:rsidRDefault="00000000">
            <w:pPr>
              <w:spacing w:before="20" w:after="20"/>
              <w:jc w:val="both"/>
            </w:pPr>
            <w:r>
              <w:rPr>
                <w:sz w:val="18"/>
                <w:szCs w:val="18"/>
              </w:rPr>
              <w:t>Omite niveles del marco lógico.</w:t>
            </w:r>
          </w:p>
        </w:tc>
        <w:tc>
          <w:tcPr>
            <w:tcW w:w="1910" w:type="dxa"/>
            <w:shd w:val="clear" w:color="auto" w:fill="D9E2F3"/>
            <w:vAlign w:val="center"/>
          </w:tcPr>
          <w:p w14:paraId="250C327A" w14:textId="77777777" w:rsidR="00990B14" w:rsidRDefault="00000000">
            <w:pPr>
              <w:spacing w:before="20" w:after="20"/>
              <w:jc w:val="both"/>
            </w:pPr>
            <w:r>
              <w:rPr>
                <w:sz w:val="18"/>
                <w:szCs w:val="18"/>
              </w:rPr>
              <w:t>Articula el fin, el propósito, los componentes y las actividades.</w:t>
            </w:r>
          </w:p>
        </w:tc>
        <w:tc>
          <w:tcPr>
            <w:tcW w:w="2015" w:type="dxa"/>
            <w:shd w:val="clear" w:color="auto" w:fill="D9E2F3"/>
            <w:vAlign w:val="center"/>
          </w:tcPr>
          <w:p w14:paraId="5FF92EC9" w14:textId="77777777" w:rsidR="00990B14" w:rsidRDefault="00000000">
            <w:pPr>
              <w:spacing w:before="20" w:after="20"/>
              <w:jc w:val="both"/>
            </w:pPr>
            <w:r>
              <w:rPr>
                <w:sz w:val="18"/>
                <w:szCs w:val="18"/>
              </w:rPr>
              <w:t>Verifica la coherencia causal entre los niveles.</w:t>
            </w:r>
          </w:p>
        </w:tc>
      </w:tr>
      <w:tr w:rsidR="00990B14" w14:paraId="033C9F81" w14:textId="77777777">
        <w:trPr>
          <w:cantSplit/>
          <w:jc w:val="center"/>
        </w:trPr>
        <w:tc>
          <w:tcPr>
            <w:tcW w:w="1793" w:type="dxa"/>
            <w:vMerge/>
            <w:shd w:val="clear" w:color="auto" w:fill="4472C4"/>
            <w:vAlign w:val="center"/>
          </w:tcPr>
          <w:p w14:paraId="019078EE" w14:textId="77777777" w:rsidR="00990B14" w:rsidRDefault="00990B14">
            <w:pPr>
              <w:spacing w:before="20" w:after="20"/>
            </w:pPr>
          </w:p>
        </w:tc>
        <w:tc>
          <w:tcPr>
            <w:tcW w:w="1830" w:type="dxa"/>
            <w:shd w:val="clear" w:color="auto" w:fill="D9E2F3"/>
            <w:vAlign w:val="center"/>
          </w:tcPr>
          <w:p w14:paraId="1E7BF0FE" w14:textId="77777777" w:rsidR="00990B14" w:rsidRDefault="00000000">
            <w:pPr>
              <w:spacing w:before="20" w:after="20"/>
              <w:jc w:val="both"/>
            </w:pPr>
            <w:r>
              <w:rPr>
                <w:sz w:val="18"/>
                <w:szCs w:val="18"/>
              </w:rPr>
              <w:t>Indicadores (P)</w:t>
            </w:r>
          </w:p>
        </w:tc>
        <w:tc>
          <w:tcPr>
            <w:tcW w:w="1857" w:type="dxa"/>
            <w:shd w:val="clear" w:color="auto" w:fill="D9E2F3"/>
            <w:vAlign w:val="center"/>
          </w:tcPr>
          <w:p w14:paraId="13D91266" w14:textId="77777777" w:rsidR="00990B14" w:rsidRDefault="00000000">
            <w:pPr>
              <w:spacing w:before="20" w:after="20"/>
              <w:jc w:val="both"/>
            </w:pPr>
            <w:r>
              <w:rPr>
                <w:sz w:val="18"/>
                <w:szCs w:val="18"/>
              </w:rPr>
              <w:t>Los indicadores no miden los resultados.</w:t>
            </w:r>
          </w:p>
        </w:tc>
        <w:tc>
          <w:tcPr>
            <w:tcW w:w="1910" w:type="dxa"/>
            <w:shd w:val="clear" w:color="auto" w:fill="D9E2F3"/>
            <w:vAlign w:val="center"/>
          </w:tcPr>
          <w:p w14:paraId="09A39508" w14:textId="77777777" w:rsidR="00990B14" w:rsidRDefault="00000000">
            <w:pPr>
              <w:spacing w:before="20" w:after="20"/>
              <w:jc w:val="both"/>
            </w:pPr>
            <w:r>
              <w:rPr>
                <w:sz w:val="18"/>
                <w:szCs w:val="18"/>
              </w:rPr>
              <w:t>Formula indicadores, metas y medios de verificación pertinentes.</w:t>
            </w:r>
          </w:p>
        </w:tc>
        <w:tc>
          <w:tcPr>
            <w:tcW w:w="2015" w:type="dxa"/>
            <w:shd w:val="clear" w:color="auto" w:fill="D9E2F3"/>
            <w:vAlign w:val="center"/>
          </w:tcPr>
          <w:p w14:paraId="6399180D" w14:textId="77777777" w:rsidR="00990B14" w:rsidRDefault="00000000">
            <w:pPr>
              <w:spacing w:before="20" w:after="20"/>
              <w:jc w:val="both"/>
            </w:pPr>
            <w:r>
              <w:rPr>
                <w:sz w:val="18"/>
                <w:szCs w:val="18"/>
              </w:rPr>
              <w:t>Incluye la línea base y la frecuencia de medición.</w:t>
            </w:r>
          </w:p>
        </w:tc>
      </w:tr>
      <w:tr w:rsidR="00990B14" w14:paraId="379C218A" w14:textId="77777777">
        <w:trPr>
          <w:cantSplit/>
          <w:jc w:val="center"/>
        </w:trPr>
        <w:tc>
          <w:tcPr>
            <w:tcW w:w="1793" w:type="dxa"/>
            <w:vMerge/>
            <w:shd w:val="clear" w:color="auto" w:fill="4472C4"/>
            <w:vAlign w:val="center"/>
          </w:tcPr>
          <w:p w14:paraId="47BFBB87" w14:textId="77777777" w:rsidR="00990B14" w:rsidRDefault="00990B14">
            <w:pPr>
              <w:spacing w:before="20" w:after="20"/>
            </w:pPr>
          </w:p>
        </w:tc>
        <w:tc>
          <w:tcPr>
            <w:tcW w:w="1830" w:type="dxa"/>
            <w:shd w:val="clear" w:color="auto" w:fill="D9E2F3"/>
            <w:vAlign w:val="center"/>
          </w:tcPr>
          <w:p w14:paraId="218A1592" w14:textId="77777777" w:rsidR="00990B14" w:rsidRDefault="00000000">
            <w:pPr>
              <w:spacing w:before="20" w:after="20"/>
              <w:jc w:val="both"/>
            </w:pPr>
            <w:r>
              <w:rPr>
                <w:sz w:val="18"/>
                <w:szCs w:val="18"/>
              </w:rPr>
              <w:t>Alineación y herramienta (T)</w:t>
            </w:r>
          </w:p>
        </w:tc>
        <w:tc>
          <w:tcPr>
            <w:tcW w:w="1857" w:type="dxa"/>
            <w:shd w:val="clear" w:color="auto" w:fill="D9E2F3"/>
            <w:vAlign w:val="center"/>
          </w:tcPr>
          <w:p w14:paraId="496A3F41" w14:textId="77777777" w:rsidR="00990B14" w:rsidRDefault="00000000">
            <w:pPr>
              <w:spacing w:before="20" w:after="20"/>
              <w:jc w:val="both"/>
            </w:pPr>
            <w:r>
              <w:rPr>
                <w:sz w:val="18"/>
                <w:szCs w:val="18"/>
              </w:rPr>
              <w:t>No vincula el proyecto con los ODS.</w:t>
            </w:r>
          </w:p>
        </w:tc>
        <w:tc>
          <w:tcPr>
            <w:tcW w:w="1910" w:type="dxa"/>
            <w:shd w:val="clear" w:color="auto" w:fill="D9E2F3"/>
            <w:vAlign w:val="center"/>
          </w:tcPr>
          <w:p w14:paraId="0C0989D1" w14:textId="77777777" w:rsidR="00990B14" w:rsidRDefault="00000000">
            <w:pPr>
              <w:spacing w:before="20" w:after="20"/>
              <w:jc w:val="both"/>
            </w:pPr>
            <w:r>
              <w:rPr>
                <w:sz w:val="18"/>
                <w:szCs w:val="18"/>
              </w:rPr>
              <w:t>Vincula los resultados con los ODS en hoja de cálculo.</w:t>
            </w:r>
          </w:p>
        </w:tc>
        <w:tc>
          <w:tcPr>
            <w:tcW w:w="2015" w:type="dxa"/>
            <w:shd w:val="clear" w:color="auto" w:fill="D9E2F3"/>
            <w:vAlign w:val="center"/>
          </w:tcPr>
          <w:p w14:paraId="64F8CB4C" w14:textId="77777777" w:rsidR="00990B14" w:rsidRDefault="00000000">
            <w:pPr>
              <w:spacing w:before="20" w:after="20"/>
              <w:jc w:val="both"/>
            </w:pPr>
            <w:r>
              <w:rPr>
                <w:sz w:val="18"/>
                <w:szCs w:val="18"/>
              </w:rPr>
              <w:t>Relaciona además los resultados con la planificación estatal.</w:t>
            </w:r>
          </w:p>
        </w:tc>
      </w:tr>
      <w:tr w:rsidR="00990B14" w14:paraId="2A201D50" w14:textId="77777777">
        <w:trPr>
          <w:cantSplit/>
          <w:jc w:val="center"/>
        </w:trPr>
        <w:tc>
          <w:tcPr>
            <w:tcW w:w="1793" w:type="dxa"/>
            <w:vMerge/>
            <w:shd w:val="clear" w:color="auto" w:fill="4472C4"/>
            <w:vAlign w:val="center"/>
          </w:tcPr>
          <w:p w14:paraId="7BBF796E" w14:textId="77777777" w:rsidR="00990B14" w:rsidRDefault="00990B14">
            <w:pPr>
              <w:spacing w:before="20" w:after="20"/>
            </w:pPr>
          </w:p>
        </w:tc>
        <w:tc>
          <w:tcPr>
            <w:tcW w:w="5597" w:type="dxa"/>
            <w:gridSpan w:val="3"/>
            <w:shd w:val="clear" w:color="auto" w:fill="D9E2F3"/>
            <w:vAlign w:val="center"/>
          </w:tcPr>
          <w:p w14:paraId="7BA26A0B" w14:textId="77777777" w:rsidR="00990B14" w:rsidRDefault="00000000">
            <w:pPr>
              <w:keepNext/>
              <w:spacing w:before="20" w:after="20"/>
              <w:jc w:val="both"/>
            </w:pPr>
            <w:r>
              <w:rPr>
                <w:b/>
                <w:bCs/>
                <w:i/>
                <w:iCs/>
                <w:sz w:val="18"/>
                <w:szCs w:val="18"/>
              </w:rPr>
              <w:t xml:space="preserve">Producto 4: </w:t>
            </w:r>
            <w:r>
              <w:rPr>
                <w:sz w:val="18"/>
                <w:szCs w:val="18"/>
              </w:rPr>
              <w:t>Cuadro de gestión financiera, fuentes y obligaciones UIF</w:t>
            </w:r>
          </w:p>
        </w:tc>
        <w:tc>
          <w:tcPr>
            <w:tcW w:w="2015" w:type="dxa"/>
            <w:shd w:val="clear" w:color="auto" w:fill="D9E2F3"/>
            <w:vAlign w:val="center"/>
          </w:tcPr>
          <w:p w14:paraId="20CB1638" w14:textId="77777777" w:rsidR="00990B14" w:rsidRDefault="00000000">
            <w:pPr>
              <w:spacing w:before="20" w:after="20"/>
              <w:jc w:val="center"/>
            </w:pPr>
            <w:r>
              <w:rPr>
                <w:b/>
                <w:bCs/>
                <w:sz w:val="18"/>
                <w:szCs w:val="18"/>
              </w:rPr>
              <w:t>4%</w:t>
            </w:r>
          </w:p>
        </w:tc>
      </w:tr>
      <w:tr w:rsidR="00990B14" w14:paraId="1CE4D934" w14:textId="77777777">
        <w:trPr>
          <w:cantSplit/>
          <w:jc w:val="center"/>
        </w:trPr>
        <w:tc>
          <w:tcPr>
            <w:tcW w:w="1793" w:type="dxa"/>
            <w:vMerge/>
            <w:shd w:val="clear" w:color="auto" w:fill="4472C4"/>
            <w:vAlign w:val="center"/>
          </w:tcPr>
          <w:p w14:paraId="2D115E08" w14:textId="77777777" w:rsidR="00990B14" w:rsidRDefault="00990B14">
            <w:pPr>
              <w:spacing w:before="20" w:after="20"/>
            </w:pPr>
          </w:p>
        </w:tc>
        <w:tc>
          <w:tcPr>
            <w:tcW w:w="1830" w:type="dxa"/>
            <w:shd w:val="clear" w:color="auto" w:fill="4472C4"/>
            <w:vAlign w:val="center"/>
          </w:tcPr>
          <w:p w14:paraId="0E5115D4" w14:textId="77777777" w:rsidR="00990B14" w:rsidRDefault="00000000">
            <w:pPr>
              <w:keepNext/>
              <w:spacing w:before="20" w:after="20"/>
              <w:jc w:val="center"/>
            </w:pPr>
            <w:r>
              <w:rPr>
                <w:b/>
                <w:bCs/>
                <w:i/>
                <w:iCs/>
                <w:color w:val="FFFFFF"/>
                <w:sz w:val="18"/>
                <w:szCs w:val="18"/>
              </w:rPr>
              <w:t>Criterio</w:t>
            </w:r>
          </w:p>
        </w:tc>
        <w:tc>
          <w:tcPr>
            <w:tcW w:w="1857" w:type="dxa"/>
            <w:shd w:val="clear" w:color="auto" w:fill="4472C4"/>
            <w:vAlign w:val="center"/>
          </w:tcPr>
          <w:p w14:paraId="57BF0CFA"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5761BE0B"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5BC48310" w14:textId="77777777" w:rsidR="00990B14" w:rsidRDefault="00000000">
            <w:pPr>
              <w:keepNext/>
              <w:spacing w:before="20" w:after="20"/>
              <w:jc w:val="center"/>
            </w:pPr>
            <w:r>
              <w:rPr>
                <w:b/>
                <w:bCs/>
                <w:i/>
                <w:iCs/>
                <w:color w:val="FFFFFF"/>
                <w:sz w:val="18"/>
                <w:szCs w:val="18"/>
              </w:rPr>
              <w:t>Destacado (81–100)</w:t>
            </w:r>
          </w:p>
        </w:tc>
      </w:tr>
      <w:tr w:rsidR="00990B14" w14:paraId="5E1833CE" w14:textId="77777777">
        <w:trPr>
          <w:cantSplit/>
          <w:jc w:val="center"/>
        </w:trPr>
        <w:tc>
          <w:tcPr>
            <w:tcW w:w="1793" w:type="dxa"/>
            <w:vMerge/>
            <w:shd w:val="clear" w:color="auto" w:fill="4472C4"/>
            <w:vAlign w:val="center"/>
          </w:tcPr>
          <w:p w14:paraId="126D51F2" w14:textId="77777777" w:rsidR="00990B14" w:rsidRDefault="00990B14">
            <w:pPr>
              <w:spacing w:before="20" w:after="20"/>
            </w:pPr>
          </w:p>
        </w:tc>
        <w:tc>
          <w:tcPr>
            <w:tcW w:w="1830" w:type="dxa"/>
            <w:shd w:val="clear" w:color="auto" w:fill="D9E2F3"/>
            <w:vAlign w:val="center"/>
          </w:tcPr>
          <w:p w14:paraId="06ED7148" w14:textId="77777777" w:rsidR="00990B14" w:rsidRDefault="00000000">
            <w:pPr>
              <w:spacing w:before="20" w:after="20"/>
              <w:jc w:val="both"/>
            </w:pPr>
            <w:r>
              <w:rPr>
                <w:sz w:val="18"/>
                <w:szCs w:val="18"/>
              </w:rPr>
              <w:t>Diferencias (C)</w:t>
            </w:r>
          </w:p>
        </w:tc>
        <w:tc>
          <w:tcPr>
            <w:tcW w:w="1857" w:type="dxa"/>
            <w:shd w:val="clear" w:color="auto" w:fill="D9E2F3"/>
            <w:vAlign w:val="center"/>
          </w:tcPr>
          <w:p w14:paraId="5E1F8BC1" w14:textId="77777777" w:rsidR="00990B14" w:rsidRDefault="00000000">
            <w:pPr>
              <w:spacing w:before="20" w:after="20"/>
              <w:jc w:val="both"/>
            </w:pPr>
            <w:r>
              <w:rPr>
                <w:sz w:val="18"/>
                <w:szCs w:val="18"/>
              </w:rPr>
              <w:t>Confunde los rasgos de cada tipo de entidad.</w:t>
            </w:r>
          </w:p>
        </w:tc>
        <w:tc>
          <w:tcPr>
            <w:tcW w:w="1910" w:type="dxa"/>
            <w:shd w:val="clear" w:color="auto" w:fill="D9E2F3"/>
            <w:vAlign w:val="center"/>
          </w:tcPr>
          <w:p w14:paraId="7B415895" w14:textId="77777777" w:rsidR="00990B14" w:rsidRDefault="00000000">
            <w:pPr>
              <w:spacing w:before="20" w:after="20"/>
              <w:jc w:val="both"/>
            </w:pPr>
            <w:r>
              <w:rPr>
                <w:sz w:val="18"/>
                <w:szCs w:val="18"/>
              </w:rPr>
              <w:t>Contrasta la administración, la ejecución y las finanzas de ambas.</w:t>
            </w:r>
          </w:p>
        </w:tc>
        <w:tc>
          <w:tcPr>
            <w:tcW w:w="2015" w:type="dxa"/>
            <w:shd w:val="clear" w:color="auto" w:fill="D9E2F3"/>
            <w:vAlign w:val="center"/>
          </w:tcPr>
          <w:p w14:paraId="14F0346F" w14:textId="77777777" w:rsidR="00990B14" w:rsidRDefault="00000000">
            <w:pPr>
              <w:spacing w:before="20" w:after="20"/>
              <w:jc w:val="both"/>
            </w:pPr>
            <w:r>
              <w:rPr>
                <w:sz w:val="18"/>
                <w:szCs w:val="18"/>
              </w:rPr>
              <w:t>Explica el efecto de las diferencias en la auditoría.</w:t>
            </w:r>
          </w:p>
        </w:tc>
      </w:tr>
      <w:tr w:rsidR="00990B14" w14:paraId="782C310E" w14:textId="77777777">
        <w:trPr>
          <w:cantSplit/>
          <w:jc w:val="center"/>
        </w:trPr>
        <w:tc>
          <w:tcPr>
            <w:tcW w:w="1793" w:type="dxa"/>
            <w:vMerge/>
            <w:shd w:val="clear" w:color="auto" w:fill="4472C4"/>
            <w:vAlign w:val="center"/>
          </w:tcPr>
          <w:p w14:paraId="6188497D" w14:textId="77777777" w:rsidR="00990B14" w:rsidRDefault="00990B14">
            <w:pPr>
              <w:spacing w:before="20" w:after="20"/>
            </w:pPr>
          </w:p>
        </w:tc>
        <w:tc>
          <w:tcPr>
            <w:tcW w:w="1830" w:type="dxa"/>
            <w:shd w:val="clear" w:color="auto" w:fill="D9E2F3"/>
            <w:vAlign w:val="center"/>
          </w:tcPr>
          <w:p w14:paraId="44783094" w14:textId="77777777" w:rsidR="00990B14" w:rsidRDefault="00000000">
            <w:pPr>
              <w:spacing w:before="20" w:after="20"/>
              <w:jc w:val="both"/>
            </w:pPr>
            <w:r>
              <w:rPr>
                <w:sz w:val="18"/>
                <w:szCs w:val="18"/>
              </w:rPr>
              <w:t>Fuentes y obligaciones (P)</w:t>
            </w:r>
          </w:p>
        </w:tc>
        <w:tc>
          <w:tcPr>
            <w:tcW w:w="1857" w:type="dxa"/>
            <w:shd w:val="clear" w:color="auto" w:fill="D9E2F3"/>
            <w:vAlign w:val="center"/>
          </w:tcPr>
          <w:p w14:paraId="51EC7462" w14:textId="77777777" w:rsidR="00990B14" w:rsidRDefault="00000000">
            <w:pPr>
              <w:spacing w:before="20" w:after="20"/>
              <w:jc w:val="both"/>
            </w:pPr>
            <w:r>
              <w:rPr>
                <w:sz w:val="18"/>
                <w:szCs w:val="18"/>
              </w:rPr>
              <w:t>Omite fuentes de fondos u obligaciones ante la UIF.</w:t>
            </w:r>
          </w:p>
        </w:tc>
        <w:tc>
          <w:tcPr>
            <w:tcW w:w="1910" w:type="dxa"/>
            <w:shd w:val="clear" w:color="auto" w:fill="D9E2F3"/>
            <w:vAlign w:val="center"/>
          </w:tcPr>
          <w:p w14:paraId="7739AC8A" w14:textId="77777777" w:rsidR="00990B14" w:rsidRDefault="00000000">
            <w:pPr>
              <w:spacing w:before="20" w:after="20"/>
              <w:jc w:val="both"/>
            </w:pPr>
            <w:r>
              <w:rPr>
                <w:sz w:val="18"/>
                <w:szCs w:val="18"/>
              </w:rPr>
              <w:t>Describe las fuentes de fondos y las obligaciones de registro y reporte.</w:t>
            </w:r>
          </w:p>
        </w:tc>
        <w:tc>
          <w:tcPr>
            <w:tcW w:w="2015" w:type="dxa"/>
            <w:shd w:val="clear" w:color="auto" w:fill="D9E2F3"/>
            <w:vAlign w:val="center"/>
          </w:tcPr>
          <w:p w14:paraId="7A9D1B45" w14:textId="77777777" w:rsidR="00990B14" w:rsidRDefault="00000000">
            <w:pPr>
              <w:spacing w:before="20" w:after="20"/>
              <w:jc w:val="both"/>
            </w:pPr>
            <w:r>
              <w:rPr>
                <w:sz w:val="18"/>
                <w:szCs w:val="18"/>
              </w:rPr>
              <w:t>Señala los riesgos del incumplimiento para la entidad.</w:t>
            </w:r>
          </w:p>
        </w:tc>
      </w:tr>
      <w:tr w:rsidR="00990B14" w14:paraId="2FC70581" w14:textId="77777777">
        <w:trPr>
          <w:cantSplit/>
          <w:jc w:val="center"/>
        </w:trPr>
        <w:tc>
          <w:tcPr>
            <w:tcW w:w="1793" w:type="dxa"/>
            <w:vMerge/>
            <w:shd w:val="clear" w:color="auto" w:fill="4472C4"/>
            <w:vAlign w:val="center"/>
          </w:tcPr>
          <w:p w14:paraId="5262E431" w14:textId="77777777" w:rsidR="00990B14" w:rsidRDefault="00990B14">
            <w:pPr>
              <w:spacing w:before="20" w:after="20"/>
            </w:pPr>
          </w:p>
        </w:tc>
        <w:tc>
          <w:tcPr>
            <w:tcW w:w="1830" w:type="dxa"/>
            <w:shd w:val="clear" w:color="auto" w:fill="D9E2F3"/>
            <w:vAlign w:val="center"/>
          </w:tcPr>
          <w:p w14:paraId="36D8FA40" w14:textId="77777777" w:rsidR="00990B14" w:rsidRDefault="00000000">
            <w:pPr>
              <w:spacing w:before="20" w:after="20"/>
              <w:jc w:val="both"/>
            </w:pPr>
            <w:r>
              <w:rPr>
                <w:sz w:val="18"/>
                <w:szCs w:val="18"/>
              </w:rPr>
              <w:t>Exposición (A)</w:t>
            </w:r>
          </w:p>
        </w:tc>
        <w:tc>
          <w:tcPr>
            <w:tcW w:w="1857" w:type="dxa"/>
            <w:shd w:val="clear" w:color="auto" w:fill="D9E2F3"/>
            <w:vAlign w:val="center"/>
          </w:tcPr>
          <w:p w14:paraId="3D0549E8" w14:textId="77777777" w:rsidR="00990B14" w:rsidRDefault="00000000">
            <w:pPr>
              <w:spacing w:before="20" w:after="20"/>
              <w:jc w:val="both"/>
            </w:pPr>
            <w:r>
              <w:rPr>
                <w:sz w:val="18"/>
                <w:szCs w:val="18"/>
              </w:rPr>
              <w:t>La exposición es confusa.</w:t>
            </w:r>
          </w:p>
        </w:tc>
        <w:tc>
          <w:tcPr>
            <w:tcW w:w="1910" w:type="dxa"/>
            <w:shd w:val="clear" w:color="auto" w:fill="D9E2F3"/>
            <w:vAlign w:val="center"/>
          </w:tcPr>
          <w:p w14:paraId="0EF12F43" w14:textId="77777777" w:rsidR="00990B14" w:rsidRDefault="00000000">
            <w:pPr>
              <w:spacing w:before="20" w:after="20"/>
              <w:jc w:val="both"/>
            </w:pPr>
            <w:r>
              <w:rPr>
                <w:sz w:val="18"/>
                <w:szCs w:val="18"/>
              </w:rPr>
              <w:t>La exposición es ordenada y clara.</w:t>
            </w:r>
          </w:p>
        </w:tc>
        <w:tc>
          <w:tcPr>
            <w:tcW w:w="2015" w:type="dxa"/>
            <w:shd w:val="clear" w:color="auto" w:fill="D9E2F3"/>
            <w:vAlign w:val="center"/>
          </w:tcPr>
          <w:p w14:paraId="55AED8FB" w14:textId="77777777" w:rsidR="00990B14" w:rsidRDefault="00000000">
            <w:pPr>
              <w:spacing w:before="20" w:after="20"/>
              <w:jc w:val="both"/>
            </w:pPr>
            <w:r>
              <w:rPr>
                <w:sz w:val="18"/>
                <w:szCs w:val="18"/>
              </w:rPr>
              <w:t>Responde con fundamento las preguntas del curso.</w:t>
            </w:r>
          </w:p>
        </w:tc>
      </w:tr>
      <w:tr w:rsidR="00990B14" w14:paraId="64254AC2" w14:textId="77777777">
        <w:trPr>
          <w:cantSplit/>
          <w:jc w:val="center"/>
        </w:trPr>
        <w:tc>
          <w:tcPr>
            <w:tcW w:w="1793" w:type="dxa"/>
            <w:vMerge/>
            <w:shd w:val="clear" w:color="auto" w:fill="4472C4"/>
            <w:vAlign w:val="center"/>
          </w:tcPr>
          <w:p w14:paraId="012AE40F" w14:textId="77777777" w:rsidR="00990B14" w:rsidRDefault="00990B14">
            <w:pPr>
              <w:spacing w:before="20" w:after="20"/>
            </w:pPr>
          </w:p>
        </w:tc>
        <w:tc>
          <w:tcPr>
            <w:tcW w:w="5597" w:type="dxa"/>
            <w:gridSpan w:val="3"/>
            <w:shd w:val="clear" w:color="auto" w:fill="D9E2F3"/>
            <w:vAlign w:val="center"/>
          </w:tcPr>
          <w:p w14:paraId="657BBDC8" w14:textId="77777777" w:rsidR="00990B14" w:rsidRDefault="00000000">
            <w:pPr>
              <w:keepNext/>
              <w:spacing w:before="20" w:after="20"/>
              <w:jc w:val="both"/>
            </w:pPr>
            <w:r>
              <w:rPr>
                <w:b/>
                <w:bCs/>
                <w:i/>
                <w:iCs/>
                <w:sz w:val="18"/>
                <w:szCs w:val="18"/>
              </w:rPr>
              <w:t xml:space="preserve">Producto 5: </w:t>
            </w:r>
            <w:r>
              <w:rPr>
                <w:sz w:val="18"/>
                <w:szCs w:val="18"/>
              </w:rPr>
              <w:t>Estados financieros con notas de fondos restringidos</w:t>
            </w:r>
          </w:p>
        </w:tc>
        <w:tc>
          <w:tcPr>
            <w:tcW w:w="2015" w:type="dxa"/>
            <w:shd w:val="clear" w:color="auto" w:fill="D9E2F3"/>
            <w:vAlign w:val="center"/>
          </w:tcPr>
          <w:p w14:paraId="572C938C" w14:textId="77777777" w:rsidR="00990B14" w:rsidRDefault="00000000">
            <w:pPr>
              <w:spacing w:before="20" w:after="20"/>
              <w:jc w:val="center"/>
            </w:pPr>
            <w:r>
              <w:rPr>
                <w:b/>
                <w:bCs/>
                <w:sz w:val="18"/>
                <w:szCs w:val="18"/>
              </w:rPr>
              <w:t>7%</w:t>
            </w:r>
          </w:p>
        </w:tc>
      </w:tr>
      <w:tr w:rsidR="00990B14" w14:paraId="7F412BC5" w14:textId="77777777">
        <w:trPr>
          <w:cantSplit/>
          <w:jc w:val="center"/>
        </w:trPr>
        <w:tc>
          <w:tcPr>
            <w:tcW w:w="1793" w:type="dxa"/>
            <w:vMerge/>
            <w:shd w:val="clear" w:color="auto" w:fill="4472C4"/>
            <w:vAlign w:val="center"/>
          </w:tcPr>
          <w:p w14:paraId="05B1D9B5" w14:textId="77777777" w:rsidR="00990B14" w:rsidRDefault="00990B14">
            <w:pPr>
              <w:spacing w:before="20" w:after="20"/>
            </w:pPr>
          </w:p>
        </w:tc>
        <w:tc>
          <w:tcPr>
            <w:tcW w:w="1830" w:type="dxa"/>
            <w:shd w:val="clear" w:color="auto" w:fill="4472C4"/>
            <w:vAlign w:val="center"/>
          </w:tcPr>
          <w:p w14:paraId="12F9B771" w14:textId="77777777" w:rsidR="00990B14" w:rsidRDefault="00000000">
            <w:pPr>
              <w:keepNext/>
              <w:spacing w:before="20" w:after="20"/>
              <w:jc w:val="center"/>
            </w:pPr>
            <w:r>
              <w:rPr>
                <w:b/>
                <w:bCs/>
                <w:i/>
                <w:iCs/>
                <w:color w:val="FFFFFF"/>
                <w:sz w:val="18"/>
                <w:szCs w:val="18"/>
              </w:rPr>
              <w:t>Criterio</w:t>
            </w:r>
          </w:p>
        </w:tc>
        <w:tc>
          <w:tcPr>
            <w:tcW w:w="1857" w:type="dxa"/>
            <w:shd w:val="clear" w:color="auto" w:fill="4472C4"/>
            <w:vAlign w:val="center"/>
          </w:tcPr>
          <w:p w14:paraId="10FF36DB"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29E82A01"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4AA035EA" w14:textId="77777777" w:rsidR="00990B14" w:rsidRDefault="00000000">
            <w:pPr>
              <w:keepNext/>
              <w:spacing w:before="20" w:after="20"/>
              <w:jc w:val="center"/>
            </w:pPr>
            <w:r>
              <w:rPr>
                <w:b/>
                <w:bCs/>
                <w:i/>
                <w:iCs/>
                <w:color w:val="FFFFFF"/>
                <w:sz w:val="18"/>
                <w:szCs w:val="18"/>
              </w:rPr>
              <w:t>Destacado (81–100)</w:t>
            </w:r>
          </w:p>
        </w:tc>
      </w:tr>
      <w:tr w:rsidR="00990B14" w14:paraId="0A8AB417" w14:textId="77777777">
        <w:trPr>
          <w:cantSplit/>
          <w:jc w:val="center"/>
        </w:trPr>
        <w:tc>
          <w:tcPr>
            <w:tcW w:w="1793" w:type="dxa"/>
            <w:vMerge/>
            <w:shd w:val="clear" w:color="auto" w:fill="4472C4"/>
            <w:vAlign w:val="center"/>
          </w:tcPr>
          <w:p w14:paraId="023915A3" w14:textId="77777777" w:rsidR="00990B14" w:rsidRDefault="00990B14">
            <w:pPr>
              <w:spacing w:before="20" w:after="20"/>
            </w:pPr>
          </w:p>
        </w:tc>
        <w:tc>
          <w:tcPr>
            <w:tcW w:w="1830" w:type="dxa"/>
            <w:shd w:val="clear" w:color="auto" w:fill="D9E2F3"/>
            <w:vAlign w:val="center"/>
          </w:tcPr>
          <w:p w14:paraId="62FFC56F" w14:textId="77777777" w:rsidR="00990B14" w:rsidRDefault="00000000">
            <w:pPr>
              <w:spacing w:before="20" w:after="20"/>
              <w:jc w:val="both"/>
            </w:pPr>
            <w:r>
              <w:rPr>
                <w:sz w:val="18"/>
                <w:szCs w:val="18"/>
              </w:rPr>
              <w:t>Marco aplicado (C)</w:t>
            </w:r>
          </w:p>
        </w:tc>
        <w:tc>
          <w:tcPr>
            <w:tcW w:w="1857" w:type="dxa"/>
            <w:shd w:val="clear" w:color="auto" w:fill="D9E2F3"/>
            <w:vAlign w:val="center"/>
          </w:tcPr>
          <w:p w14:paraId="09462E83" w14:textId="77777777" w:rsidR="00990B14" w:rsidRDefault="00000000">
            <w:pPr>
              <w:spacing w:before="20" w:after="20"/>
              <w:jc w:val="both"/>
            </w:pPr>
            <w:r>
              <w:rPr>
                <w:sz w:val="18"/>
                <w:szCs w:val="18"/>
              </w:rPr>
              <w:t>Elige un marco inadecuado.</w:t>
            </w:r>
          </w:p>
        </w:tc>
        <w:tc>
          <w:tcPr>
            <w:tcW w:w="1910" w:type="dxa"/>
            <w:shd w:val="clear" w:color="auto" w:fill="D9E2F3"/>
            <w:vAlign w:val="center"/>
          </w:tcPr>
          <w:p w14:paraId="64731361" w14:textId="77777777" w:rsidR="00990B14" w:rsidRDefault="00000000">
            <w:pPr>
              <w:spacing w:before="20" w:after="20"/>
              <w:jc w:val="both"/>
            </w:pPr>
            <w:r>
              <w:rPr>
                <w:sz w:val="18"/>
                <w:szCs w:val="18"/>
              </w:rPr>
              <w:t>Justifica el marco de referencia aplicable.</w:t>
            </w:r>
          </w:p>
        </w:tc>
        <w:tc>
          <w:tcPr>
            <w:tcW w:w="2015" w:type="dxa"/>
            <w:shd w:val="clear" w:color="auto" w:fill="D9E2F3"/>
            <w:vAlign w:val="center"/>
          </w:tcPr>
          <w:p w14:paraId="2DBB6E7E" w14:textId="77777777" w:rsidR="00990B14" w:rsidRDefault="00000000">
            <w:pPr>
              <w:spacing w:before="20" w:after="20"/>
              <w:jc w:val="both"/>
            </w:pPr>
            <w:r>
              <w:rPr>
                <w:sz w:val="18"/>
                <w:szCs w:val="18"/>
              </w:rPr>
              <w:t>Contrasta la INPAS con la NIC 20 y la Sección 24.</w:t>
            </w:r>
          </w:p>
        </w:tc>
      </w:tr>
      <w:tr w:rsidR="00990B14" w14:paraId="23EBB5AD" w14:textId="77777777">
        <w:trPr>
          <w:cantSplit/>
          <w:jc w:val="center"/>
        </w:trPr>
        <w:tc>
          <w:tcPr>
            <w:tcW w:w="1793" w:type="dxa"/>
            <w:vMerge/>
            <w:shd w:val="clear" w:color="auto" w:fill="4472C4"/>
            <w:vAlign w:val="center"/>
          </w:tcPr>
          <w:p w14:paraId="062B8171" w14:textId="77777777" w:rsidR="00990B14" w:rsidRDefault="00990B14">
            <w:pPr>
              <w:spacing w:before="20" w:after="20"/>
            </w:pPr>
          </w:p>
        </w:tc>
        <w:tc>
          <w:tcPr>
            <w:tcW w:w="1830" w:type="dxa"/>
            <w:shd w:val="clear" w:color="auto" w:fill="D9E2F3"/>
            <w:vAlign w:val="center"/>
          </w:tcPr>
          <w:p w14:paraId="4E119089" w14:textId="77777777" w:rsidR="00990B14" w:rsidRDefault="00000000">
            <w:pPr>
              <w:spacing w:before="20" w:after="20"/>
              <w:jc w:val="both"/>
            </w:pPr>
            <w:r>
              <w:rPr>
                <w:sz w:val="18"/>
                <w:szCs w:val="18"/>
              </w:rPr>
              <w:t>Reconocimiento (P)</w:t>
            </w:r>
          </w:p>
        </w:tc>
        <w:tc>
          <w:tcPr>
            <w:tcW w:w="1857" w:type="dxa"/>
            <w:shd w:val="clear" w:color="auto" w:fill="D9E2F3"/>
            <w:vAlign w:val="center"/>
          </w:tcPr>
          <w:p w14:paraId="12E2B25C" w14:textId="77777777" w:rsidR="00990B14" w:rsidRDefault="00000000">
            <w:pPr>
              <w:spacing w:before="20" w:after="20"/>
              <w:jc w:val="both"/>
            </w:pPr>
            <w:r>
              <w:rPr>
                <w:sz w:val="18"/>
                <w:szCs w:val="18"/>
              </w:rPr>
              <w:t>Registra mal las contribuciones o subvenciones.</w:t>
            </w:r>
          </w:p>
        </w:tc>
        <w:tc>
          <w:tcPr>
            <w:tcW w:w="1910" w:type="dxa"/>
            <w:shd w:val="clear" w:color="auto" w:fill="D9E2F3"/>
            <w:vAlign w:val="center"/>
          </w:tcPr>
          <w:p w14:paraId="1DE13E0E" w14:textId="77777777" w:rsidR="00990B14" w:rsidRDefault="00000000">
            <w:pPr>
              <w:spacing w:before="20" w:after="20"/>
              <w:jc w:val="both"/>
            </w:pPr>
            <w:r>
              <w:rPr>
                <w:sz w:val="18"/>
                <w:szCs w:val="18"/>
              </w:rPr>
              <w:t>Reconoce las subvenciones y donaciones conforme a la norma.</w:t>
            </w:r>
          </w:p>
        </w:tc>
        <w:tc>
          <w:tcPr>
            <w:tcW w:w="2015" w:type="dxa"/>
            <w:shd w:val="clear" w:color="auto" w:fill="D9E2F3"/>
            <w:vAlign w:val="center"/>
          </w:tcPr>
          <w:p w14:paraId="65164F43" w14:textId="77777777" w:rsidR="00990B14" w:rsidRDefault="00000000">
            <w:pPr>
              <w:spacing w:before="20" w:after="20"/>
              <w:jc w:val="both"/>
            </w:pPr>
            <w:r>
              <w:rPr>
                <w:sz w:val="18"/>
                <w:szCs w:val="18"/>
              </w:rPr>
              <w:t>Revela las restricciones de los fondos en las notas.</w:t>
            </w:r>
          </w:p>
        </w:tc>
      </w:tr>
      <w:tr w:rsidR="00990B14" w14:paraId="67D4147E" w14:textId="77777777">
        <w:trPr>
          <w:cantSplit/>
          <w:jc w:val="center"/>
        </w:trPr>
        <w:tc>
          <w:tcPr>
            <w:tcW w:w="1793" w:type="dxa"/>
            <w:vMerge/>
            <w:shd w:val="clear" w:color="auto" w:fill="4472C4"/>
            <w:vAlign w:val="center"/>
          </w:tcPr>
          <w:p w14:paraId="24A57CC0" w14:textId="77777777" w:rsidR="00990B14" w:rsidRDefault="00990B14">
            <w:pPr>
              <w:spacing w:before="20" w:after="20"/>
            </w:pPr>
          </w:p>
        </w:tc>
        <w:tc>
          <w:tcPr>
            <w:tcW w:w="1830" w:type="dxa"/>
            <w:shd w:val="clear" w:color="auto" w:fill="D9E2F3"/>
            <w:vAlign w:val="center"/>
          </w:tcPr>
          <w:p w14:paraId="7BAF8F7D" w14:textId="77777777" w:rsidR="00990B14" w:rsidRDefault="00000000">
            <w:pPr>
              <w:spacing w:before="20" w:after="20"/>
              <w:jc w:val="both"/>
            </w:pPr>
            <w:r>
              <w:rPr>
                <w:sz w:val="18"/>
                <w:szCs w:val="18"/>
              </w:rPr>
              <w:t>Integridad (A)</w:t>
            </w:r>
          </w:p>
        </w:tc>
        <w:tc>
          <w:tcPr>
            <w:tcW w:w="1857" w:type="dxa"/>
            <w:shd w:val="clear" w:color="auto" w:fill="D9E2F3"/>
            <w:vAlign w:val="center"/>
          </w:tcPr>
          <w:p w14:paraId="1920A207" w14:textId="77777777" w:rsidR="00990B14" w:rsidRDefault="00000000">
            <w:pPr>
              <w:spacing w:before="20" w:after="20"/>
              <w:jc w:val="both"/>
            </w:pPr>
            <w:r>
              <w:rPr>
                <w:sz w:val="18"/>
                <w:szCs w:val="18"/>
              </w:rPr>
              <w:t>Ignora las restricciones del donante.</w:t>
            </w:r>
          </w:p>
        </w:tc>
        <w:tc>
          <w:tcPr>
            <w:tcW w:w="1910" w:type="dxa"/>
            <w:shd w:val="clear" w:color="auto" w:fill="D9E2F3"/>
            <w:vAlign w:val="center"/>
          </w:tcPr>
          <w:p w14:paraId="13F4A483" w14:textId="77777777" w:rsidR="00990B14" w:rsidRDefault="00000000">
            <w:pPr>
              <w:spacing w:before="20" w:after="20"/>
              <w:jc w:val="both"/>
            </w:pPr>
            <w:r>
              <w:rPr>
                <w:sz w:val="18"/>
                <w:szCs w:val="18"/>
              </w:rPr>
              <w:t>Respeta las restricciones del donante.</w:t>
            </w:r>
          </w:p>
        </w:tc>
        <w:tc>
          <w:tcPr>
            <w:tcW w:w="2015" w:type="dxa"/>
            <w:shd w:val="clear" w:color="auto" w:fill="D9E2F3"/>
            <w:vAlign w:val="center"/>
          </w:tcPr>
          <w:p w14:paraId="2B57F162" w14:textId="77777777" w:rsidR="00990B14" w:rsidRDefault="00000000">
            <w:pPr>
              <w:spacing w:before="20" w:after="20"/>
              <w:jc w:val="both"/>
            </w:pPr>
            <w:r>
              <w:rPr>
                <w:sz w:val="18"/>
                <w:szCs w:val="18"/>
              </w:rPr>
              <w:t>Advierte los riesgos de uso indebido de fondos restringidos.</w:t>
            </w:r>
          </w:p>
        </w:tc>
      </w:tr>
      <w:tr w:rsidR="00990B14" w14:paraId="2BCC385C" w14:textId="77777777">
        <w:trPr>
          <w:cantSplit/>
          <w:jc w:val="center"/>
        </w:trPr>
        <w:tc>
          <w:tcPr>
            <w:tcW w:w="1793" w:type="dxa"/>
            <w:vMerge/>
            <w:shd w:val="clear" w:color="auto" w:fill="4472C4"/>
            <w:vAlign w:val="center"/>
          </w:tcPr>
          <w:p w14:paraId="4E230216" w14:textId="77777777" w:rsidR="00990B14" w:rsidRDefault="00990B14">
            <w:pPr>
              <w:spacing w:before="20" w:after="20"/>
            </w:pPr>
          </w:p>
        </w:tc>
        <w:tc>
          <w:tcPr>
            <w:tcW w:w="5597" w:type="dxa"/>
            <w:gridSpan w:val="3"/>
            <w:shd w:val="clear" w:color="auto" w:fill="D9E2F3"/>
            <w:vAlign w:val="center"/>
          </w:tcPr>
          <w:p w14:paraId="3013D771" w14:textId="77777777" w:rsidR="00990B14" w:rsidRDefault="00000000">
            <w:pPr>
              <w:keepNext/>
              <w:spacing w:before="20" w:after="20"/>
              <w:jc w:val="both"/>
            </w:pPr>
            <w:r>
              <w:rPr>
                <w:b/>
                <w:bCs/>
                <w:i/>
                <w:iCs/>
                <w:sz w:val="18"/>
                <w:szCs w:val="18"/>
              </w:rPr>
              <w:t xml:space="preserve">Producto 6: </w:t>
            </w:r>
            <w:r>
              <w:rPr>
                <w:sz w:val="18"/>
                <w:szCs w:val="18"/>
              </w:rPr>
              <w:t>Papel de trabajo de conversión de desembolsos</w:t>
            </w:r>
          </w:p>
        </w:tc>
        <w:tc>
          <w:tcPr>
            <w:tcW w:w="2015" w:type="dxa"/>
            <w:shd w:val="clear" w:color="auto" w:fill="D9E2F3"/>
            <w:vAlign w:val="center"/>
          </w:tcPr>
          <w:p w14:paraId="043CCE8A" w14:textId="77777777" w:rsidR="00990B14" w:rsidRDefault="00000000">
            <w:pPr>
              <w:spacing w:before="20" w:after="20"/>
              <w:jc w:val="center"/>
            </w:pPr>
            <w:r>
              <w:rPr>
                <w:b/>
                <w:bCs/>
                <w:sz w:val="18"/>
                <w:szCs w:val="18"/>
              </w:rPr>
              <w:t>6%</w:t>
            </w:r>
          </w:p>
        </w:tc>
      </w:tr>
      <w:tr w:rsidR="00990B14" w14:paraId="62CECF07" w14:textId="77777777">
        <w:trPr>
          <w:cantSplit/>
          <w:jc w:val="center"/>
        </w:trPr>
        <w:tc>
          <w:tcPr>
            <w:tcW w:w="1793" w:type="dxa"/>
            <w:vMerge/>
            <w:shd w:val="clear" w:color="auto" w:fill="4472C4"/>
            <w:vAlign w:val="center"/>
          </w:tcPr>
          <w:p w14:paraId="549AEC0D" w14:textId="77777777" w:rsidR="00990B14" w:rsidRDefault="00990B14">
            <w:pPr>
              <w:spacing w:before="20" w:after="20"/>
            </w:pPr>
          </w:p>
        </w:tc>
        <w:tc>
          <w:tcPr>
            <w:tcW w:w="1830" w:type="dxa"/>
            <w:shd w:val="clear" w:color="auto" w:fill="4472C4"/>
            <w:vAlign w:val="center"/>
          </w:tcPr>
          <w:p w14:paraId="565E8544" w14:textId="77777777" w:rsidR="00990B14" w:rsidRDefault="00000000">
            <w:pPr>
              <w:keepNext/>
              <w:spacing w:before="20" w:after="20"/>
              <w:jc w:val="center"/>
            </w:pPr>
            <w:r>
              <w:rPr>
                <w:b/>
                <w:bCs/>
                <w:i/>
                <w:iCs/>
                <w:color w:val="FFFFFF"/>
                <w:sz w:val="18"/>
                <w:szCs w:val="18"/>
              </w:rPr>
              <w:t>Criterio</w:t>
            </w:r>
          </w:p>
        </w:tc>
        <w:tc>
          <w:tcPr>
            <w:tcW w:w="1857" w:type="dxa"/>
            <w:shd w:val="clear" w:color="auto" w:fill="4472C4"/>
            <w:vAlign w:val="center"/>
          </w:tcPr>
          <w:p w14:paraId="032B53AE"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3035E2C0"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1E489D7F" w14:textId="77777777" w:rsidR="00990B14" w:rsidRDefault="00000000">
            <w:pPr>
              <w:keepNext/>
              <w:spacing w:before="20" w:after="20"/>
              <w:jc w:val="center"/>
            </w:pPr>
            <w:r>
              <w:rPr>
                <w:b/>
                <w:bCs/>
                <w:i/>
                <w:iCs/>
                <w:color w:val="FFFFFF"/>
                <w:sz w:val="18"/>
                <w:szCs w:val="18"/>
              </w:rPr>
              <w:t>Destacado (81–100)</w:t>
            </w:r>
          </w:p>
        </w:tc>
      </w:tr>
      <w:tr w:rsidR="00990B14" w14:paraId="67992C8C" w14:textId="77777777">
        <w:trPr>
          <w:cantSplit/>
          <w:jc w:val="center"/>
        </w:trPr>
        <w:tc>
          <w:tcPr>
            <w:tcW w:w="1793" w:type="dxa"/>
            <w:vMerge/>
            <w:shd w:val="clear" w:color="auto" w:fill="4472C4"/>
            <w:vAlign w:val="center"/>
          </w:tcPr>
          <w:p w14:paraId="32E91ABB" w14:textId="77777777" w:rsidR="00990B14" w:rsidRDefault="00990B14">
            <w:pPr>
              <w:spacing w:before="20" w:after="20"/>
            </w:pPr>
          </w:p>
        </w:tc>
        <w:tc>
          <w:tcPr>
            <w:tcW w:w="1830" w:type="dxa"/>
            <w:shd w:val="clear" w:color="auto" w:fill="D9E2F3"/>
            <w:vAlign w:val="center"/>
          </w:tcPr>
          <w:p w14:paraId="33B353F2" w14:textId="77777777" w:rsidR="00990B14" w:rsidRDefault="00000000">
            <w:pPr>
              <w:spacing w:before="20" w:after="20"/>
              <w:jc w:val="both"/>
            </w:pPr>
            <w:r>
              <w:rPr>
                <w:sz w:val="18"/>
                <w:szCs w:val="18"/>
              </w:rPr>
              <w:t>Norma de conversión (C)</w:t>
            </w:r>
          </w:p>
        </w:tc>
        <w:tc>
          <w:tcPr>
            <w:tcW w:w="1857" w:type="dxa"/>
            <w:shd w:val="clear" w:color="auto" w:fill="D9E2F3"/>
            <w:vAlign w:val="center"/>
          </w:tcPr>
          <w:p w14:paraId="01A846DB" w14:textId="77777777" w:rsidR="00990B14" w:rsidRDefault="00000000">
            <w:pPr>
              <w:spacing w:before="20" w:after="20"/>
              <w:jc w:val="both"/>
            </w:pPr>
            <w:r>
              <w:rPr>
                <w:sz w:val="18"/>
                <w:szCs w:val="18"/>
              </w:rPr>
              <w:t>Desconoce el tratamiento de la NIC 21.</w:t>
            </w:r>
          </w:p>
        </w:tc>
        <w:tc>
          <w:tcPr>
            <w:tcW w:w="1910" w:type="dxa"/>
            <w:shd w:val="clear" w:color="auto" w:fill="D9E2F3"/>
            <w:vAlign w:val="center"/>
          </w:tcPr>
          <w:p w14:paraId="2FB2EE2A" w14:textId="77777777" w:rsidR="00990B14" w:rsidRDefault="00000000">
            <w:pPr>
              <w:spacing w:before="20" w:after="20"/>
              <w:jc w:val="both"/>
            </w:pPr>
            <w:r>
              <w:rPr>
                <w:sz w:val="18"/>
                <w:szCs w:val="18"/>
              </w:rPr>
              <w:t>Aplica el tipo de cambio de cada fecha conforme a la NIC 21.</w:t>
            </w:r>
          </w:p>
        </w:tc>
        <w:tc>
          <w:tcPr>
            <w:tcW w:w="2015" w:type="dxa"/>
            <w:shd w:val="clear" w:color="auto" w:fill="D9E2F3"/>
            <w:vAlign w:val="center"/>
          </w:tcPr>
          <w:p w14:paraId="7E679A58" w14:textId="77777777" w:rsidR="00990B14" w:rsidRDefault="00000000">
            <w:pPr>
              <w:spacing w:before="20" w:after="20"/>
              <w:jc w:val="both"/>
            </w:pPr>
            <w:r>
              <w:rPr>
                <w:sz w:val="18"/>
                <w:szCs w:val="18"/>
              </w:rPr>
              <w:t>Explica el efecto de la política de conversión en el convenio.</w:t>
            </w:r>
          </w:p>
        </w:tc>
      </w:tr>
      <w:tr w:rsidR="00990B14" w14:paraId="47F29589" w14:textId="77777777">
        <w:trPr>
          <w:cantSplit/>
          <w:jc w:val="center"/>
        </w:trPr>
        <w:tc>
          <w:tcPr>
            <w:tcW w:w="1793" w:type="dxa"/>
            <w:vMerge/>
            <w:shd w:val="clear" w:color="auto" w:fill="4472C4"/>
            <w:vAlign w:val="center"/>
          </w:tcPr>
          <w:p w14:paraId="7A4EE1C7" w14:textId="77777777" w:rsidR="00990B14" w:rsidRDefault="00990B14">
            <w:pPr>
              <w:spacing w:before="20" w:after="20"/>
            </w:pPr>
          </w:p>
        </w:tc>
        <w:tc>
          <w:tcPr>
            <w:tcW w:w="1830" w:type="dxa"/>
            <w:shd w:val="clear" w:color="auto" w:fill="D9E2F3"/>
            <w:vAlign w:val="center"/>
          </w:tcPr>
          <w:p w14:paraId="3F389737" w14:textId="77777777" w:rsidR="00990B14" w:rsidRDefault="00000000">
            <w:pPr>
              <w:spacing w:before="20" w:after="20"/>
              <w:jc w:val="both"/>
            </w:pPr>
            <w:r>
              <w:rPr>
                <w:sz w:val="18"/>
                <w:szCs w:val="18"/>
              </w:rPr>
              <w:t>Diferencias de cambio (P)</w:t>
            </w:r>
          </w:p>
        </w:tc>
        <w:tc>
          <w:tcPr>
            <w:tcW w:w="1857" w:type="dxa"/>
            <w:shd w:val="clear" w:color="auto" w:fill="D9E2F3"/>
            <w:vAlign w:val="center"/>
          </w:tcPr>
          <w:p w14:paraId="790DDFA2" w14:textId="77777777" w:rsidR="00990B14" w:rsidRDefault="00000000">
            <w:pPr>
              <w:spacing w:before="20" w:after="20"/>
              <w:jc w:val="both"/>
            </w:pPr>
            <w:r>
              <w:rPr>
                <w:sz w:val="18"/>
                <w:szCs w:val="18"/>
              </w:rPr>
              <w:t>No determina las diferencias.</w:t>
            </w:r>
          </w:p>
        </w:tc>
        <w:tc>
          <w:tcPr>
            <w:tcW w:w="1910" w:type="dxa"/>
            <w:shd w:val="clear" w:color="auto" w:fill="D9E2F3"/>
            <w:vAlign w:val="center"/>
          </w:tcPr>
          <w:p w14:paraId="24495512" w14:textId="77777777" w:rsidR="00990B14" w:rsidRDefault="00000000">
            <w:pPr>
              <w:spacing w:before="20" w:after="20"/>
              <w:jc w:val="both"/>
            </w:pPr>
            <w:r>
              <w:rPr>
                <w:sz w:val="18"/>
                <w:szCs w:val="18"/>
              </w:rPr>
              <w:t>Determina y registra las diferencias de cambio.</w:t>
            </w:r>
          </w:p>
        </w:tc>
        <w:tc>
          <w:tcPr>
            <w:tcW w:w="2015" w:type="dxa"/>
            <w:shd w:val="clear" w:color="auto" w:fill="D9E2F3"/>
            <w:vAlign w:val="center"/>
          </w:tcPr>
          <w:p w14:paraId="2C5159E6" w14:textId="77777777" w:rsidR="00990B14" w:rsidRDefault="00000000">
            <w:pPr>
              <w:spacing w:before="20" w:after="20"/>
              <w:jc w:val="both"/>
            </w:pPr>
            <w:r>
              <w:rPr>
                <w:sz w:val="18"/>
                <w:szCs w:val="18"/>
              </w:rPr>
              <w:t>Concilia los desembolsos con los extractos del financiador.</w:t>
            </w:r>
          </w:p>
        </w:tc>
      </w:tr>
      <w:tr w:rsidR="00990B14" w14:paraId="1AF3755C" w14:textId="77777777">
        <w:trPr>
          <w:cantSplit/>
          <w:jc w:val="center"/>
        </w:trPr>
        <w:tc>
          <w:tcPr>
            <w:tcW w:w="1793" w:type="dxa"/>
            <w:vMerge/>
            <w:shd w:val="clear" w:color="auto" w:fill="4472C4"/>
            <w:vAlign w:val="center"/>
          </w:tcPr>
          <w:p w14:paraId="405F7F76" w14:textId="77777777" w:rsidR="00990B14" w:rsidRDefault="00990B14">
            <w:pPr>
              <w:spacing w:before="20" w:after="20"/>
            </w:pPr>
          </w:p>
        </w:tc>
        <w:tc>
          <w:tcPr>
            <w:tcW w:w="1830" w:type="dxa"/>
            <w:shd w:val="clear" w:color="auto" w:fill="D9E2F3"/>
            <w:vAlign w:val="center"/>
          </w:tcPr>
          <w:p w14:paraId="2AA9B1C7" w14:textId="77777777" w:rsidR="00990B14" w:rsidRDefault="00000000">
            <w:pPr>
              <w:spacing w:before="20" w:after="20"/>
              <w:jc w:val="both"/>
            </w:pPr>
            <w:r>
              <w:rPr>
                <w:sz w:val="18"/>
                <w:szCs w:val="18"/>
              </w:rPr>
              <w:t>Hoja de cálculo (T)</w:t>
            </w:r>
          </w:p>
        </w:tc>
        <w:tc>
          <w:tcPr>
            <w:tcW w:w="1857" w:type="dxa"/>
            <w:shd w:val="clear" w:color="auto" w:fill="D9E2F3"/>
            <w:vAlign w:val="center"/>
          </w:tcPr>
          <w:p w14:paraId="4B15E5F3" w14:textId="77777777" w:rsidR="00990B14" w:rsidRDefault="00000000">
            <w:pPr>
              <w:spacing w:before="20" w:after="20"/>
              <w:jc w:val="both"/>
            </w:pPr>
            <w:r>
              <w:rPr>
                <w:sz w:val="18"/>
                <w:szCs w:val="18"/>
              </w:rPr>
              <w:t>El papel no está referenciado.</w:t>
            </w:r>
          </w:p>
        </w:tc>
        <w:tc>
          <w:tcPr>
            <w:tcW w:w="1910" w:type="dxa"/>
            <w:shd w:val="clear" w:color="auto" w:fill="D9E2F3"/>
            <w:vAlign w:val="center"/>
          </w:tcPr>
          <w:p w14:paraId="22238022" w14:textId="77777777" w:rsidR="00990B14" w:rsidRDefault="00000000">
            <w:pPr>
              <w:spacing w:before="20" w:after="20"/>
              <w:jc w:val="both"/>
            </w:pPr>
            <w:r>
              <w:rPr>
                <w:sz w:val="18"/>
                <w:szCs w:val="18"/>
              </w:rPr>
              <w:t>El papel está referenciado y sus fórmulas son correctas.</w:t>
            </w:r>
          </w:p>
        </w:tc>
        <w:tc>
          <w:tcPr>
            <w:tcW w:w="2015" w:type="dxa"/>
            <w:shd w:val="clear" w:color="auto" w:fill="D9E2F3"/>
            <w:vAlign w:val="center"/>
          </w:tcPr>
          <w:p w14:paraId="46F75E8F" w14:textId="77777777" w:rsidR="00990B14" w:rsidRDefault="00000000">
            <w:pPr>
              <w:spacing w:before="20" w:after="20"/>
              <w:jc w:val="both"/>
            </w:pPr>
            <w:r>
              <w:rPr>
                <w:sz w:val="18"/>
                <w:szCs w:val="18"/>
              </w:rPr>
              <w:t>El papel cruza las cifras con los estados financieros.</w:t>
            </w:r>
          </w:p>
        </w:tc>
      </w:tr>
      <w:tr w:rsidR="00990B14" w14:paraId="3DF22EE2" w14:textId="77777777">
        <w:trPr>
          <w:cantSplit/>
          <w:jc w:val="center"/>
        </w:trPr>
        <w:tc>
          <w:tcPr>
            <w:tcW w:w="1793" w:type="dxa"/>
            <w:vMerge/>
            <w:shd w:val="clear" w:color="auto" w:fill="4472C4"/>
            <w:vAlign w:val="center"/>
          </w:tcPr>
          <w:p w14:paraId="08EA02FF" w14:textId="77777777" w:rsidR="00990B14" w:rsidRDefault="00990B14">
            <w:pPr>
              <w:spacing w:before="20" w:after="20"/>
            </w:pPr>
          </w:p>
        </w:tc>
        <w:tc>
          <w:tcPr>
            <w:tcW w:w="5597" w:type="dxa"/>
            <w:gridSpan w:val="3"/>
            <w:shd w:val="clear" w:color="auto" w:fill="D9E2F3"/>
            <w:vAlign w:val="center"/>
          </w:tcPr>
          <w:p w14:paraId="1481A96F" w14:textId="77777777" w:rsidR="00990B14" w:rsidRDefault="00000000">
            <w:pPr>
              <w:keepNext/>
              <w:spacing w:before="20" w:after="20"/>
              <w:jc w:val="both"/>
            </w:pPr>
            <w:r>
              <w:rPr>
                <w:b/>
                <w:bCs/>
                <w:i/>
                <w:iCs/>
                <w:sz w:val="18"/>
                <w:szCs w:val="18"/>
              </w:rPr>
              <w:t xml:space="preserve">Producto 7: </w:t>
            </w:r>
            <w:r>
              <w:rPr>
                <w:sz w:val="18"/>
                <w:szCs w:val="18"/>
              </w:rPr>
              <w:t>Cuadro de regulaciones tributarias y cumplimiento</w:t>
            </w:r>
          </w:p>
        </w:tc>
        <w:tc>
          <w:tcPr>
            <w:tcW w:w="2015" w:type="dxa"/>
            <w:shd w:val="clear" w:color="auto" w:fill="D9E2F3"/>
            <w:vAlign w:val="center"/>
          </w:tcPr>
          <w:p w14:paraId="4D4DD506" w14:textId="77777777" w:rsidR="00990B14" w:rsidRDefault="00000000">
            <w:pPr>
              <w:spacing w:before="20" w:after="20"/>
              <w:jc w:val="center"/>
            </w:pPr>
            <w:r>
              <w:rPr>
                <w:b/>
                <w:bCs/>
                <w:sz w:val="18"/>
                <w:szCs w:val="18"/>
              </w:rPr>
              <w:t>6%</w:t>
            </w:r>
          </w:p>
        </w:tc>
      </w:tr>
      <w:tr w:rsidR="00990B14" w14:paraId="08E42E50" w14:textId="77777777">
        <w:trPr>
          <w:cantSplit/>
          <w:jc w:val="center"/>
        </w:trPr>
        <w:tc>
          <w:tcPr>
            <w:tcW w:w="1793" w:type="dxa"/>
            <w:vMerge/>
            <w:shd w:val="clear" w:color="auto" w:fill="4472C4"/>
            <w:vAlign w:val="center"/>
          </w:tcPr>
          <w:p w14:paraId="0EFD5691" w14:textId="77777777" w:rsidR="00990B14" w:rsidRDefault="00990B14">
            <w:pPr>
              <w:spacing w:before="20" w:after="20"/>
            </w:pPr>
          </w:p>
        </w:tc>
        <w:tc>
          <w:tcPr>
            <w:tcW w:w="1830" w:type="dxa"/>
            <w:shd w:val="clear" w:color="auto" w:fill="4472C4"/>
            <w:vAlign w:val="center"/>
          </w:tcPr>
          <w:p w14:paraId="27EEB093" w14:textId="77777777" w:rsidR="00990B14" w:rsidRDefault="00000000">
            <w:pPr>
              <w:keepNext/>
              <w:spacing w:before="20" w:after="20"/>
              <w:jc w:val="center"/>
            </w:pPr>
            <w:r>
              <w:rPr>
                <w:b/>
                <w:bCs/>
                <w:i/>
                <w:iCs/>
                <w:color w:val="FFFFFF"/>
                <w:sz w:val="18"/>
                <w:szCs w:val="18"/>
              </w:rPr>
              <w:t>Criterio</w:t>
            </w:r>
          </w:p>
        </w:tc>
        <w:tc>
          <w:tcPr>
            <w:tcW w:w="1857" w:type="dxa"/>
            <w:shd w:val="clear" w:color="auto" w:fill="4472C4"/>
            <w:vAlign w:val="center"/>
          </w:tcPr>
          <w:p w14:paraId="0AF8BE37"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03A5EA0C"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0F108C54" w14:textId="77777777" w:rsidR="00990B14" w:rsidRDefault="00000000">
            <w:pPr>
              <w:keepNext/>
              <w:spacing w:before="20" w:after="20"/>
              <w:jc w:val="center"/>
            </w:pPr>
            <w:r>
              <w:rPr>
                <w:b/>
                <w:bCs/>
                <w:i/>
                <w:iCs/>
                <w:color w:val="FFFFFF"/>
                <w:sz w:val="18"/>
                <w:szCs w:val="18"/>
              </w:rPr>
              <w:t>Destacado (81–100)</w:t>
            </w:r>
          </w:p>
        </w:tc>
      </w:tr>
      <w:tr w:rsidR="00990B14" w14:paraId="6BEE6F31" w14:textId="77777777">
        <w:trPr>
          <w:cantSplit/>
          <w:jc w:val="center"/>
        </w:trPr>
        <w:tc>
          <w:tcPr>
            <w:tcW w:w="1793" w:type="dxa"/>
            <w:vMerge/>
            <w:shd w:val="clear" w:color="auto" w:fill="4472C4"/>
            <w:vAlign w:val="center"/>
          </w:tcPr>
          <w:p w14:paraId="34D16497" w14:textId="77777777" w:rsidR="00990B14" w:rsidRDefault="00990B14">
            <w:pPr>
              <w:spacing w:before="20" w:after="20"/>
            </w:pPr>
          </w:p>
        </w:tc>
        <w:tc>
          <w:tcPr>
            <w:tcW w:w="1830" w:type="dxa"/>
            <w:shd w:val="clear" w:color="auto" w:fill="D9E2F3"/>
            <w:vAlign w:val="center"/>
          </w:tcPr>
          <w:p w14:paraId="600CD12A" w14:textId="77777777" w:rsidR="00990B14" w:rsidRDefault="00000000">
            <w:pPr>
              <w:spacing w:before="20" w:after="20"/>
              <w:jc w:val="both"/>
            </w:pPr>
            <w:r>
              <w:rPr>
                <w:sz w:val="18"/>
                <w:szCs w:val="18"/>
              </w:rPr>
              <w:t>Normas (C)</w:t>
            </w:r>
          </w:p>
        </w:tc>
        <w:tc>
          <w:tcPr>
            <w:tcW w:w="1857" w:type="dxa"/>
            <w:shd w:val="clear" w:color="auto" w:fill="D9E2F3"/>
            <w:vAlign w:val="center"/>
          </w:tcPr>
          <w:p w14:paraId="66C13011" w14:textId="77777777" w:rsidR="00990B14" w:rsidRDefault="00000000">
            <w:pPr>
              <w:spacing w:before="20" w:after="20"/>
              <w:jc w:val="both"/>
            </w:pPr>
            <w:r>
              <w:rPr>
                <w:sz w:val="18"/>
                <w:szCs w:val="18"/>
              </w:rPr>
              <w:t>Omite disposiciones aplicables.</w:t>
            </w:r>
          </w:p>
        </w:tc>
        <w:tc>
          <w:tcPr>
            <w:tcW w:w="1910" w:type="dxa"/>
            <w:shd w:val="clear" w:color="auto" w:fill="D9E2F3"/>
            <w:vAlign w:val="center"/>
          </w:tcPr>
          <w:p w14:paraId="1C5DE707" w14:textId="77777777" w:rsidR="00990B14" w:rsidRDefault="00000000">
            <w:pPr>
              <w:spacing w:before="20" w:after="20"/>
              <w:jc w:val="both"/>
            </w:pPr>
            <w:r>
              <w:rPr>
                <w:sz w:val="18"/>
                <w:szCs w:val="18"/>
              </w:rPr>
              <w:t>Identifica la Ley N.º 843, el D.S. N.º 24051 y las RND vigentes.</w:t>
            </w:r>
          </w:p>
        </w:tc>
        <w:tc>
          <w:tcPr>
            <w:tcW w:w="2015" w:type="dxa"/>
            <w:shd w:val="clear" w:color="auto" w:fill="D9E2F3"/>
            <w:vAlign w:val="center"/>
          </w:tcPr>
          <w:p w14:paraId="5974ABC4" w14:textId="77777777" w:rsidR="00990B14" w:rsidRDefault="00000000">
            <w:pPr>
              <w:spacing w:before="20" w:after="20"/>
              <w:jc w:val="both"/>
            </w:pPr>
            <w:r>
              <w:rPr>
                <w:sz w:val="18"/>
                <w:szCs w:val="18"/>
              </w:rPr>
              <w:t>Señala los requisitos para mantener la exención.</w:t>
            </w:r>
          </w:p>
        </w:tc>
      </w:tr>
      <w:tr w:rsidR="00990B14" w14:paraId="7606586A" w14:textId="77777777">
        <w:trPr>
          <w:cantSplit/>
          <w:jc w:val="center"/>
        </w:trPr>
        <w:tc>
          <w:tcPr>
            <w:tcW w:w="1793" w:type="dxa"/>
            <w:vMerge/>
            <w:shd w:val="clear" w:color="auto" w:fill="4472C4"/>
            <w:vAlign w:val="center"/>
          </w:tcPr>
          <w:p w14:paraId="352CA7B5" w14:textId="77777777" w:rsidR="00990B14" w:rsidRDefault="00990B14">
            <w:pPr>
              <w:spacing w:before="20" w:after="20"/>
            </w:pPr>
          </w:p>
        </w:tc>
        <w:tc>
          <w:tcPr>
            <w:tcW w:w="1830" w:type="dxa"/>
            <w:shd w:val="clear" w:color="auto" w:fill="D9E2F3"/>
            <w:vAlign w:val="center"/>
          </w:tcPr>
          <w:p w14:paraId="0D2A9CCE" w14:textId="77777777" w:rsidR="00990B14" w:rsidRDefault="00000000">
            <w:pPr>
              <w:spacing w:before="20" w:after="20"/>
              <w:jc w:val="both"/>
            </w:pPr>
            <w:r>
              <w:rPr>
                <w:sz w:val="18"/>
                <w:szCs w:val="18"/>
              </w:rPr>
              <w:t>Verificación (P)</w:t>
            </w:r>
          </w:p>
        </w:tc>
        <w:tc>
          <w:tcPr>
            <w:tcW w:w="1857" w:type="dxa"/>
            <w:shd w:val="clear" w:color="auto" w:fill="D9E2F3"/>
            <w:vAlign w:val="center"/>
          </w:tcPr>
          <w:p w14:paraId="36CE3A57" w14:textId="77777777" w:rsidR="00990B14" w:rsidRDefault="00000000">
            <w:pPr>
              <w:spacing w:before="20" w:after="20"/>
              <w:jc w:val="both"/>
            </w:pPr>
            <w:r>
              <w:rPr>
                <w:sz w:val="18"/>
                <w:szCs w:val="18"/>
              </w:rPr>
              <w:t>No verifica las obligaciones formales.</w:t>
            </w:r>
          </w:p>
        </w:tc>
        <w:tc>
          <w:tcPr>
            <w:tcW w:w="1910" w:type="dxa"/>
            <w:shd w:val="clear" w:color="auto" w:fill="D9E2F3"/>
            <w:vAlign w:val="center"/>
          </w:tcPr>
          <w:p w14:paraId="20A0FB97" w14:textId="77777777" w:rsidR="00990B14" w:rsidRDefault="00000000">
            <w:pPr>
              <w:spacing w:before="20" w:after="20"/>
              <w:jc w:val="both"/>
            </w:pPr>
            <w:r>
              <w:rPr>
                <w:sz w:val="18"/>
                <w:szCs w:val="18"/>
              </w:rPr>
              <w:t>Verifica la facturación, las retenciones y la información a reportar.</w:t>
            </w:r>
          </w:p>
        </w:tc>
        <w:tc>
          <w:tcPr>
            <w:tcW w:w="2015" w:type="dxa"/>
            <w:shd w:val="clear" w:color="auto" w:fill="D9E2F3"/>
            <w:vAlign w:val="center"/>
          </w:tcPr>
          <w:p w14:paraId="5AE09D7B" w14:textId="77777777" w:rsidR="00990B14" w:rsidRDefault="00000000">
            <w:pPr>
              <w:spacing w:before="20" w:after="20"/>
              <w:jc w:val="both"/>
            </w:pPr>
            <w:r>
              <w:rPr>
                <w:sz w:val="18"/>
                <w:szCs w:val="18"/>
              </w:rPr>
              <w:t>Cuantifica las contingencias del incumplimiento.</w:t>
            </w:r>
          </w:p>
        </w:tc>
      </w:tr>
      <w:tr w:rsidR="00990B14" w14:paraId="434EEB7C" w14:textId="77777777">
        <w:trPr>
          <w:cantSplit/>
          <w:jc w:val="center"/>
        </w:trPr>
        <w:tc>
          <w:tcPr>
            <w:tcW w:w="1793" w:type="dxa"/>
            <w:vMerge/>
            <w:shd w:val="clear" w:color="auto" w:fill="4472C4"/>
            <w:vAlign w:val="center"/>
          </w:tcPr>
          <w:p w14:paraId="6C7AC774" w14:textId="77777777" w:rsidR="00990B14" w:rsidRDefault="00990B14">
            <w:pPr>
              <w:spacing w:before="20" w:after="20"/>
            </w:pPr>
          </w:p>
        </w:tc>
        <w:tc>
          <w:tcPr>
            <w:tcW w:w="1830" w:type="dxa"/>
            <w:shd w:val="clear" w:color="auto" w:fill="D9E2F3"/>
            <w:vAlign w:val="center"/>
          </w:tcPr>
          <w:p w14:paraId="3D428B2D" w14:textId="77777777" w:rsidR="00990B14" w:rsidRDefault="00000000">
            <w:pPr>
              <w:spacing w:before="20" w:after="20"/>
              <w:jc w:val="both"/>
            </w:pPr>
            <w:r>
              <w:rPr>
                <w:sz w:val="18"/>
                <w:szCs w:val="18"/>
              </w:rPr>
              <w:t>Trabajo en equipo (A)</w:t>
            </w:r>
          </w:p>
        </w:tc>
        <w:tc>
          <w:tcPr>
            <w:tcW w:w="1857" w:type="dxa"/>
            <w:shd w:val="clear" w:color="auto" w:fill="D9E2F3"/>
            <w:vAlign w:val="center"/>
          </w:tcPr>
          <w:p w14:paraId="3CE215B0" w14:textId="77777777" w:rsidR="00990B14" w:rsidRDefault="00000000">
            <w:pPr>
              <w:spacing w:before="20" w:after="20"/>
              <w:jc w:val="both"/>
            </w:pPr>
            <w:r>
              <w:rPr>
                <w:sz w:val="18"/>
                <w:szCs w:val="18"/>
              </w:rPr>
              <w:t>La participación de los integrantes es desigual.</w:t>
            </w:r>
          </w:p>
        </w:tc>
        <w:tc>
          <w:tcPr>
            <w:tcW w:w="1910" w:type="dxa"/>
            <w:shd w:val="clear" w:color="auto" w:fill="D9E2F3"/>
            <w:vAlign w:val="center"/>
          </w:tcPr>
          <w:p w14:paraId="4866E0B2" w14:textId="77777777" w:rsidR="00990B14" w:rsidRDefault="00000000">
            <w:pPr>
              <w:spacing w:before="20" w:after="20"/>
              <w:jc w:val="both"/>
            </w:pPr>
            <w:r>
              <w:rPr>
                <w:sz w:val="18"/>
                <w:szCs w:val="18"/>
              </w:rPr>
              <w:t>Todos los integrantes participan en el trabajo.</w:t>
            </w:r>
          </w:p>
        </w:tc>
        <w:tc>
          <w:tcPr>
            <w:tcW w:w="2015" w:type="dxa"/>
            <w:shd w:val="clear" w:color="auto" w:fill="D9E2F3"/>
            <w:vAlign w:val="center"/>
          </w:tcPr>
          <w:p w14:paraId="2DC6EBC0" w14:textId="77777777" w:rsidR="00990B14" w:rsidRDefault="00000000">
            <w:pPr>
              <w:spacing w:before="20" w:after="20"/>
              <w:jc w:val="both"/>
            </w:pPr>
            <w:r>
              <w:rPr>
                <w:sz w:val="18"/>
                <w:szCs w:val="18"/>
              </w:rPr>
              <w:t>El equipo sustenta sus decisiones con fundamento.</w:t>
            </w:r>
          </w:p>
        </w:tc>
      </w:tr>
      <w:tr w:rsidR="00990B14" w14:paraId="086A61E3" w14:textId="77777777">
        <w:trPr>
          <w:cantSplit/>
          <w:jc w:val="center"/>
        </w:trPr>
        <w:tc>
          <w:tcPr>
            <w:tcW w:w="1793" w:type="dxa"/>
            <w:vMerge/>
            <w:shd w:val="clear" w:color="auto" w:fill="4472C4"/>
            <w:vAlign w:val="center"/>
          </w:tcPr>
          <w:p w14:paraId="45ACB981" w14:textId="77777777" w:rsidR="00990B14" w:rsidRDefault="00990B14">
            <w:pPr>
              <w:spacing w:before="20" w:after="20"/>
            </w:pPr>
          </w:p>
        </w:tc>
        <w:tc>
          <w:tcPr>
            <w:tcW w:w="5597" w:type="dxa"/>
            <w:gridSpan w:val="3"/>
            <w:shd w:val="clear" w:color="auto" w:fill="D9E2F3"/>
            <w:vAlign w:val="center"/>
          </w:tcPr>
          <w:p w14:paraId="0E557251" w14:textId="77777777" w:rsidR="00990B14" w:rsidRDefault="00000000">
            <w:pPr>
              <w:keepNext/>
              <w:spacing w:before="20" w:after="20"/>
              <w:jc w:val="both"/>
            </w:pPr>
            <w:r>
              <w:rPr>
                <w:b/>
                <w:bCs/>
                <w:i/>
                <w:iCs/>
                <w:sz w:val="18"/>
                <w:szCs w:val="18"/>
              </w:rPr>
              <w:t xml:space="preserve">Producto 8: </w:t>
            </w:r>
            <w:r>
              <w:rPr>
                <w:sz w:val="18"/>
                <w:szCs w:val="18"/>
              </w:rPr>
              <w:t>Informe de ejecución presupuestaria</w:t>
            </w:r>
          </w:p>
        </w:tc>
        <w:tc>
          <w:tcPr>
            <w:tcW w:w="2015" w:type="dxa"/>
            <w:shd w:val="clear" w:color="auto" w:fill="D9E2F3"/>
            <w:vAlign w:val="center"/>
          </w:tcPr>
          <w:p w14:paraId="7F0F48D7" w14:textId="77777777" w:rsidR="00990B14" w:rsidRDefault="00000000">
            <w:pPr>
              <w:spacing w:before="20" w:after="20"/>
              <w:jc w:val="center"/>
            </w:pPr>
            <w:r>
              <w:rPr>
                <w:b/>
                <w:bCs/>
                <w:sz w:val="18"/>
                <w:szCs w:val="18"/>
              </w:rPr>
              <w:t>6%</w:t>
            </w:r>
          </w:p>
        </w:tc>
      </w:tr>
      <w:tr w:rsidR="00990B14" w14:paraId="77174D71" w14:textId="77777777">
        <w:trPr>
          <w:cantSplit/>
          <w:jc w:val="center"/>
        </w:trPr>
        <w:tc>
          <w:tcPr>
            <w:tcW w:w="1793" w:type="dxa"/>
            <w:vMerge/>
            <w:shd w:val="clear" w:color="auto" w:fill="4472C4"/>
            <w:vAlign w:val="center"/>
          </w:tcPr>
          <w:p w14:paraId="7439E5A7" w14:textId="77777777" w:rsidR="00990B14" w:rsidRDefault="00990B14">
            <w:pPr>
              <w:spacing w:before="20" w:after="20"/>
            </w:pPr>
          </w:p>
        </w:tc>
        <w:tc>
          <w:tcPr>
            <w:tcW w:w="1830" w:type="dxa"/>
            <w:shd w:val="clear" w:color="auto" w:fill="4472C4"/>
            <w:vAlign w:val="center"/>
          </w:tcPr>
          <w:p w14:paraId="6C2C2D9A" w14:textId="77777777" w:rsidR="00990B14" w:rsidRDefault="00000000">
            <w:pPr>
              <w:keepNext/>
              <w:spacing w:before="20" w:after="20"/>
              <w:jc w:val="center"/>
            </w:pPr>
            <w:r>
              <w:rPr>
                <w:b/>
                <w:bCs/>
                <w:i/>
                <w:iCs/>
                <w:color w:val="FFFFFF"/>
                <w:sz w:val="18"/>
                <w:szCs w:val="18"/>
              </w:rPr>
              <w:t>Criterio</w:t>
            </w:r>
          </w:p>
        </w:tc>
        <w:tc>
          <w:tcPr>
            <w:tcW w:w="1857" w:type="dxa"/>
            <w:shd w:val="clear" w:color="auto" w:fill="4472C4"/>
            <w:vAlign w:val="center"/>
          </w:tcPr>
          <w:p w14:paraId="75DE698C"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708422C2"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183652E8" w14:textId="77777777" w:rsidR="00990B14" w:rsidRDefault="00000000">
            <w:pPr>
              <w:keepNext/>
              <w:spacing w:before="20" w:after="20"/>
              <w:jc w:val="center"/>
            </w:pPr>
            <w:r>
              <w:rPr>
                <w:b/>
                <w:bCs/>
                <w:i/>
                <w:iCs/>
                <w:color w:val="FFFFFF"/>
                <w:sz w:val="18"/>
                <w:szCs w:val="18"/>
              </w:rPr>
              <w:t>Destacado (81–100)</w:t>
            </w:r>
          </w:p>
        </w:tc>
      </w:tr>
      <w:tr w:rsidR="00990B14" w14:paraId="0236DB07" w14:textId="77777777">
        <w:trPr>
          <w:cantSplit/>
          <w:jc w:val="center"/>
        </w:trPr>
        <w:tc>
          <w:tcPr>
            <w:tcW w:w="1793" w:type="dxa"/>
            <w:vMerge/>
            <w:shd w:val="clear" w:color="auto" w:fill="4472C4"/>
            <w:vAlign w:val="center"/>
          </w:tcPr>
          <w:p w14:paraId="5402ECF9" w14:textId="77777777" w:rsidR="00990B14" w:rsidRDefault="00990B14">
            <w:pPr>
              <w:spacing w:before="20" w:after="20"/>
            </w:pPr>
          </w:p>
        </w:tc>
        <w:tc>
          <w:tcPr>
            <w:tcW w:w="1830" w:type="dxa"/>
            <w:shd w:val="clear" w:color="auto" w:fill="D9E2F3"/>
            <w:vAlign w:val="center"/>
          </w:tcPr>
          <w:p w14:paraId="0F49EF4A" w14:textId="77777777" w:rsidR="00990B14" w:rsidRDefault="00000000">
            <w:pPr>
              <w:spacing w:before="20" w:after="20"/>
              <w:jc w:val="both"/>
            </w:pPr>
            <w:r>
              <w:rPr>
                <w:sz w:val="18"/>
                <w:szCs w:val="18"/>
              </w:rPr>
              <w:t>Estructura presupuestaria (C)</w:t>
            </w:r>
          </w:p>
        </w:tc>
        <w:tc>
          <w:tcPr>
            <w:tcW w:w="1857" w:type="dxa"/>
            <w:shd w:val="clear" w:color="auto" w:fill="D9E2F3"/>
            <w:vAlign w:val="center"/>
          </w:tcPr>
          <w:p w14:paraId="226DB3C4" w14:textId="77777777" w:rsidR="00990B14" w:rsidRDefault="00000000">
            <w:pPr>
              <w:spacing w:before="20" w:after="20"/>
              <w:jc w:val="both"/>
            </w:pPr>
            <w:r>
              <w:rPr>
                <w:sz w:val="18"/>
                <w:szCs w:val="18"/>
              </w:rPr>
              <w:t>Desconoce la estructura del presupuesto del convenio.</w:t>
            </w:r>
          </w:p>
        </w:tc>
        <w:tc>
          <w:tcPr>
            <w:tcW w:w="1910" w:type="dxa"/>
            <w:shd w:val="clear" w:color="auto" w:fill="D9E2F3"/>
            <w:vAlign w:val="center"/>
          </w:tcPr>
          <w:p w14:paraId="65961D6C" w14:textId="77777777" w:rsidR="00990B14" w:rsidRDefault="00000000">
            <w:pPr>
              <w:spacing w:before="20" w:after="20"/>
              <w:jc w:val="both"/>
            </w:pPr>
            <w:r>
              <w:rPr>
                <w:sz w:val="18"/>
                <w:szCs w:val="18"/>
              </w:rPr>
              <w:t>Explica la estructura por componente, categoría y fuente.</w:t>
            </w:r>
          </w:p>
        </w:tc>
        <w:tc>
          <w:tcPr>
            <w:tcW w:w="2015" w:type="dxa"/>
            <w:shd w:val="clear" w:color="auto" w:fill="D9E2F3"/>
            <w:vAlign w:val="center"/>
          </w:tcPr>
          <w:p w14:paraId="4AF3B36B" w14:textId="77777777" w:rsidR="00990B14" w:rsidRDefault="00000000">
            <w:pPr>
              <w:spacing w:before="20" w:after="20"/>
              <w:jc w:val="both"/>
            </w:pPr>
            <w:r>
              <w:rPr>
                <w:sz w:val="18"/>
                <w:szCs w:val="18"/>
              </w:rPr>
              <w:t>Relaciona el presupuesto con los riesgos de auditoría.</w:t>
            </w:r>
          </w:p>
        </w:tc>
      </w:tr>
      <w:tr w:rsidR="00990B14" w14:paraId="2D42CAFF" w14:textId="77777777">
        <w:trPr>
          <w:cantSplit/>
          <w:jc w:val="center"/>
        </w:trPr>
        <w:tc>
          <w:tcPr>
            <w:tcW w:w="1793" w:type="dxa"/>
            <w:vMerge/>
            <w:shd w:val="clear" w:color="auto" w:fill="4472C4"/>
            <w:vAlign w:val="center"/>
          </w:tcPr>
          <w:p w14:paraId="0D7D5624" w14:textId="77777777" w:rsidR="00990B14" w:rsidRDefault="00990B14">
            <w:pPr>
              <w:spacing w:before="20" w:after="20"/>
            </w:pPr>
          </w:p>
        </w:tc>
        <w:tc>
          <w:tcPr>
            <w:tcW w:w="1830" w:type="dxa"/>
            <w:shd w:val="clear" w:color="auto" w:fill="D9E2F3"/>
            <w:vAlign w:val="center"/>
          </w:tcPr>
          <w:p w14:paraId="1C5E5835" w14:textId="77777777" w:rsidR="00990B14" w:rsidRDefault="00000000">
            <w:pPr>
              <w:spacing w:before="20" w:after="20"/>
              <w:jc w:val="both"/>
            </w:pPr>
            <w:r>
              <w:rPr>
                <w:sz w:val="18"/>
                <w:szCs w:val="18"/>
              </w:rPr>
              <w:t>Cálculo y análisis (P)</w:t>
            </w:r>
          </w:p>
        </w:tc>
        <w:tc>
          <w:tcPr>
            <w:tcW w:w="1857" w:type="dxa"/>
            <w:shd w:val="clear" w:color="auto" w:fill="D9E2F3"/>
            <w:vAlign w:val="center"/>
          </w:tcPr>
          <w:p w14:paraId="6A6AAB6A" w14:textId="77777777" w:rsidR="00990B14" w:rsidRDefault="00000000">
            <w:pPr>
              <w:spacing w:before="20" w:after="20"/>
              <w:jc w:val="both"/>
            </w:pPr>
            <w:r>
              <w:rPr>
                <w:sz w:val="18"/>
                <w:szCs w:val="18"/>
              </w:rPr>
              <w:t>Comete errores de cálculo.</w:t>
            </w:r>
          </w:p>
        </w:tc>
        <w:tc>
          <w:tcPr>
            <w:tcW w:w="1910" w:type="dxa"/>
            <w:shd w:val="clear" w:color="auto" w:fill="D9E2F3"/>
            <w:vAlign w:val="center"/>
          </w:tcPr>
          <w:p w14:paraId="193EEA43" w14:textId="77777777" w:rsidR="00990B14" w:rsidRDefault="00000000">
            <w:pPr>
              <w:spacing w:before="20" w:after="20"/>
              <w:jc w:val="both"/>
            </w:pPr>
            <w:r>
              <w:rPr>
                <w:sz w:val="18"/>
                <w:szCs w:val="18"/>
              </w:rPr>
              <w:t>Calcula la ejecución y la concilia con los estados financieros.</w:t>
            </w:r>
          </w:p>
        </w:tc>
        <w:tc>
          <w:tcPr>
            <w:tcW w:w="2015" w:type="dxa"/>
            <w:shd w:val="clear" w:color="auto" w:fill="D9E2F3"/>
            <w:vAlign w:val="center"/>
          </w:tcPr>
          <w:p w14:paraId="1DADBD45" w14:textId="77777777" w:rsidR="00990B14" w:rsidRDefault="00000000">
            <w:pPr>
              <w:spacing w:before="20" w:after="20"/>
              <w:jc w:val="both"/>
            </w:pPr>
            <w:r>
              <w:rPr>
                <w:sz w:val="18"/>
                <w:szCs w:val="18"/>
              </w:rPr>
              <w:t>Explica las variaciones y propone medidas ante la subejecución.</w:t>
            </w:r>
          </w:p>
        </w:tc>
      </w:tr>
      <w:tr w:rsidR="00990B14" w14:paraId="57661192" w14:textId="77777777">
        <w:trPr>
          <w:cantSplit/>
          <w:jc w:val="center"/>
        </w:trPr>
        <w:tc>
          <w:tcPr>
            <w:tcW w:w="1793" w:type="dxa"/>
            <w:vMerge/>
            <w:shd w:val="clear" w:color="auto" w:fill="4472C4"/>
            <w:vAlign w:val="center"/>
          </w:tcPr>
          <w:p w14:paraId="767264B0" w14:textId="77777777" w:rsidR="00990B14" w:rsidRDefault="00990B14">
            <w:pPr>
              <w:spacing w:before="20" w:after="20"/>
            </w:pPr>
          </w:p>
        </w:tc>
        <w:tc>
          <w:tcPr>
            <w:tcW w:w="1830" w:type="dxa"/>
            <w:shd w:val="clear" w:color="auto" w:fill="D9E2F3"/>
            <w:vAlign w:val="center"/>
          </w:tcPr>
          <w:p w14:paraId="1D8D9BCA" w14:textId="77777777" w:rsidR="00990B14" w:rsidRDefault="00000000">
            <w:pPr>
              <w:spacing w:before="20" w:after="20"/>
              <w:jc w:val="both"/>
            </w:pPr>
            <w:r>
              <w:rPr>
                <w:sz w:val="18"/>
                <w:szCs w:val="18"/>
              </w:rPr>
              <w:t>Herramienta (T)</w:t>
            </w:r>
          </w:p>
        </w:tc>
        <w:tc>
          <w:tcPr>
            <w:tcW w:w="1857" w:type="dxa"/>
            <w:shd w:val="clear" w:color="auto" w:fill="D9E2F3"/>
            <w:vAlign w:val="center"/>
          </w:tcPr>
          <w:p w14:paraId="5C9E64EE" w14:textId="77777777" w:rsidR="00990B14" w:rsidRDefault="00000000">
            <w:pPr>
              <w:spacing w:before="20" w:after="20"/>
              <w:jc w:val="both"/>
            </w:pPr>
            <w:r>
              <w:rPr>
                <w:sz w:val="18"/>
                <w:szCs w:val="18"/>
              </w:rPr>
              <w:t>No usa hoja de cálculo.</w:t>
            </w:r>
          </w:p>
        </w:tc>
        <w:tc>
          <w:tcPr>
            <w:tcW w:w="1910" w:type="dxa"/>
            <w:shd w:val="clear" w:color="auto" w:fill="D9E2F3"/>
            <w:vAlign w:val="center"/>
          </w:tcPr>
          <w:p w14:paraId="4392E26A" w14:textId="77777777" w:rsidR="00990B14" w:rsidRDefault="00000000">
            <w:pPr>
              <w:spacing w:before="20" w:after="20"/>
              <w:jc w:val="both"/>
            </w:pPr>
            <w:r>
              <w:rPr>
                <w:sz w:val="18"/>
                <w:szCs w:val="18"/>
              </w:rPr>
              <w:t>Construye el reporte en hoja de cálculo.</w:t>
            </w:r>
          </w:p>
        </w:tc>
        <w:tc>
          <w:tcPr>
            <w:tcW w:w="2015" w:type="dxa"/>
            <w:shd w:val="clear" w:color="auto" w:fill="D9E2F3"/>
            <w:vAlign w:val="center"/>
          </w:tcPr>
          <w:p w14:paraId="7504E22F" w14:textId="77777777" w:rsidR="00990B14" w:rsidRDefault="00000000">
            <w:pPr>
              <w:spacing w:before="20" w:after="20"/>
              <w:jc w:val="both"/>
            </w:pPr>
            <w:r>
              <w:rPr>
                <w:sz w:val="18"/>
                <w:szCs w:val="18"/>
              </w:rPr>
              <w:t>Automatiza el seguimiento con un tablero verificable.</w:t>
            </w:r>
          </w:p>
        </w:tc>
      </w:tr>
      <w:tr w:rsidR="00990B14" w14:paraId="38DB239F" w14:textId="77777777">
        <w:trPr>
          <w:cantSplit/>
          <w:jc w:val="center"/>
        </w:trPr>
        <w:tc>
          <w:tcPr>
            <w:tcW w:w="1793" w:type="dxa"/>
            <w:vMerge/>
            <w:shd w:val="clear" w:color="auto" w:fill="4472C4"/>
            <w:vAlign w:val="center"/>
          </w:tcPr>
          <w:p w14:paraId="01BCE87B" w14:textId="77777777" w:rsidR="00990B14" w:rsidRDefault="00990B14">
            <w:pPr>
              <w:spacing w:before="20" w:after="20"/>
            </w:pPr>
          </w:p>
        </w:tc>
        <w:tc>
          <w:tcPr>
            <w:tcW w:w="5597" w:type="dxa"/>
            <w:gridSpan w:val="3"/>
            <w:shd w:val="clear" w:color="auto" w:fill="D9E2F3"/>
            <w:vAlign w:val="center"/>
          </w:tcPr>
          <w:p w14:paraId="472F7360" w14:textId="77777777" w:rsidR="00990B14" w:rsidRDefault="00000000">
            <w:pPr>
              <w:keepNext/>
              <w:spacing w:before="20" w:after="20"/>
              <w:jc w:val="both"/>
            </w:pPr>
            <w:r>
              <w:rPr>
                <w:b/>
                <w:bCs/>
                <w:i/>
                <w:iCs/>
                <w:sz w:val="18"/>
                <w:szCs w:val="18"/>
              </w:rPr>
              <w:t xml:space="preserve">Producto 9: </w:t>
            </w:r>
            <w:r>
              <w:rPr>
                <w:sz w:val="18"/>
                <w:szCs w:val="18"/>
              </w:rPr>
              <w:t>Cuadro comparativo del proceso de auditoría</w:t>
            </w:r>
          </w:p>
        </w:tc>
        <w:tc>
          <w:tcPr>
            <w:tcW w:w="2015" w:type="dxa"/>
            <w:shd w:val="clear" w:color="auto" w:fill="D9E2F3"/>
            <w:vAlign w:val="center"/>
          </w:tcPr>
          <w:p w14:paraId="026A08AA" w14:textId="77777777" w:rsidR="00990B14" w:rsidRDefault="00000000">
            <w:pPr>
              <w:spacing w:before="20" w:after="20"/>
              <w:jc w:val="center"/>
            </w:pPr>
            <w:r>
              <w:rPr>
                <w:b/>
                <w:bCs/>
                <w:sz w:val="18"/>
                <w:szCs w:val="18"/>
              </w:rPr>
              <w:t>6%</w:t>
            </w:r>
          </w:p>
        </w:tc>
      </w:tr>
      <w:tr w:rsidR="00990B14" w14:paraId="435DA8EF" w14:textId="77777777">
        <w:trPr>
          <w:cantSplit/>
          <w:jc w:val="center"/>
        </w:trPr>
        <w:tc>
          <w:tcPr>
            <w:tcW w:w="1793" w:type="dxa"/>
            <w:vMerge/>
            <w:shd w:val="clear" w:color="auto" w:fill="4472C4"/>
            <w:vAlign w:val="center"/>
          </w:tcPr>
          <w:p w14:paraId="49F257A4" w14:textId="77777777" w:rsidR="00990B14" w:rsidRDefault="00990B14">
            <w:pPr>
              <w:spacing w:before="20" w:after="20"/>
            </w:pPr>
          </w:p>
        </w:tc>
        <w:tc>
          <w:tcPr>
            <w:tcW w:w="1830" w:type="dxa"/>
            <w:shd w:val="clear" w:color="auto" w:fill="4472C4"/>
            <w:vAlign w:val="center"/>
          </w:tcPr>
          <w:p w14:paraId="711906FE" w14:textId="77777777" w:rsidR="00990B14" w:rsidRDefault="00000000">
            <w:pPr>
              <w:keepNext/>
              <w:spacing w:before="20" w:after="20"/>
              <w:jc w:val="center"/>
            </w:pPr>
            <w:r>
              <w:rPr>
                <w:b/>
                <w:bCs/>
                <w:i/>
                <w:iCs/>
                <w:color w:val="FFFFFF"/>
                <w:sz w:val="18"/>
                <w:szCs w:val="18"/>
              </w:rPr>
              <w:t>Criterio</w:t>
            </w:r>
          </w:p>
        </w:tc>
        <w:tc>
          <w:tcPr>
            <w:tcW w:w="1857" w:type="dxa"/>
            <w:shd w:val="clear" w:color="auto" w:fill="4472C4"/>
            <w:vAlign w:val="center"/>
          </w:tcPr>
          <w:p w14:paraId="682E24FF"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4D4E4C0A"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4FC7E9B5" w14:textId="77777777" w:rsidR="00990B14" w:rsidRDefault="00000000">
            <w:pPr>
              <w:keepNext/>
              <w:spacing w:before="20" w:after="20"/>
              <w:jc w:val="center"/>
            </w:pPr>
            <w:r>
              <w:rPr>
                <w:b/>
                <w:bCs/>
                <w:i/>
                <w:iCs/>
                <w:color w:val="FFFFFF"/>
                <w:sz w:val="18"/>
                <w:szCs w:val="18"/>
              </w:rPr>
              <w:t>Destacado (81–100)</w:t>
            </w:r>
          </w:p>
        </w:tc>
      </w:tr>
      <w:tr w:rsidR="00990B14" w14:paraId="3246EA9C" w14:textId="77777777">
        <w:trPr>
          <w:cantSplit/>
          <w:jc w:val="center"/>
        </w:trPr>
        <w:tc>
          <w:tcPr>
            <w:tcW w:w="1793" w:type="dxa"/>
            <w:vMerge/>
            <w:shd w:val="clear" w:color="auto" w:fill="4472C4"/>
            <w:vAlign w:val="center"/>
          </w:tcPr>
          <w:p w14:paraId="7B26AD0A" w14:textId="77777777" w:rsidR="00990B14" w:rsidRDefault="00990B14">
            <w:pPr>
              <w:spacing w:before="20" w:after="20"/>
            </w:pPr>
          </w:p>
        </w:tc>
        <w:tc>
          <w:tcPr>
            <w:tcW w:w="1830" w:type="dxa"/>
            <w:shd w:val="clear" w:color="auto" w:fill="D9E2F3"/>
            <w:vAlign w:val="center"/>
          </w:tcPr>
          <w:p w14:paraId="15C95F22" w14:textId="77777777" w:rsidR="00990B14" w:rsidRDefault="00000000">
            <w:pPr>
              <w:spacing w:before="20" w:after="20"/>
              <w:jc w:val="both"/>
            </w:pPr>
            <w:r>
              <w:rPr>
                <w:sz w:val="18"/>
                <w:szCs w:val="18"/>
              </w:rPr>
              <w:t>Marco normativo (C)</w:t>
            </w:r>
          </w:p>
        </w:tc>
        <w:tc>
          <w:tcPr>
            <w:tcW w:w="1857" w:type="dxa"/>
            <w:shd w:val="clear" w:color="auto" w:fill="D9E2F3"/>
            <w:vAlign w:val="center"/>
          </w:tcPr>
          <w:p w14:paraId="695350A0" w14:textId="77777777" w:rsidR="00990B14" w:rsidRDefault="00000000">
            <w:pPr>
              <w:spacing w:before="20" w:after="20"/>
              <w:jc w:val="both"/>
            </w:pPr>
            <w:r>
              <w:rPr>
                <w:sz w:val="18"/>
                <w:szCs w:val="18"/>
              </w:rPr>
              <w:t>Confunde las normas según el origen de los fondos.</w:t>
            </w:r>
          </w:p>
        </w:tc>
        <w:tc>
          <w:tcPr>
            <w:tcW w:w="1910" w:type="dxa"/>
            <w:shd w:val="clear" w:color="auto" w:fill="D9E2F3"/>
            <w:vAlign w:val="center"/>
          </w:tcPr>
          <w:p w14:paraId="3C48E996" w14:textId="77777777" w:rsidR="00990B14" w:rsidRDefault="00000000">
            <w:pPr>
              <w:spacing w:before="20" w:after="20"/>
              <w:jc w:val="both"/>
            </w:pPr>
            <w:r>
              <w:rPr>
                <w:sz w:val="18"/>
                <w:szCs w:val="18"/>
              </w:rPr>
              <w:t>Distingue las NIA y las Normas de Auditoría Gubernamental.</w:t>
            </w:r>
          </w:p>
        </w:tc>
        <w:tc>
          <w:tcPr>
            <w:tcW w:w="2015" w:type="dxa"/>
            <w:shd w:val="clear" w:color="auto" w:fill="D9E2F3"/>
            <w:vAlign w:val="center"/>
          </w:tcPr>
          <w:p w14:paraId="5435E2B4" w14:textId="77777777" w:rsidR="00990B14" w:rsidRDefault="00000000">
            <w:pPr>
              <w:spacing w:before="20" w:after="20"/>
              <w:jc w:val="both"/>
            </w:pPr>
            <w:r>
              <w:rPr>
                <w:sz w:val="18"/>
                <w:szCs w:val="18"/>
              </w:rPr>
              <w:t>Explica las responsabilidades que derivan de la Ley N.º 1178.</w:t>
            </w:r>
          </w:p>
        </w:tc>
      </w:tr>
      <w:tr w:rsidR="00990B14" w14:paraId="2550DD9A" w14:textId="77777777">
        <w:trPr>
          <w:cantSplit/>
          <w:jc w:val="center"/>
        </w:trPr>
        <w:tc>
          <w:tcPr>
            <w:tcW w:w="1793" w:type="dxa"/>
            <w:vMerge/>
            <w:shd w:val="clear" w:color="auto" w:fill="4472C4"/>
            <w:vAlign w:val="center"/>
          </w:tcPr>
          <w:p w14:paraId="65A326A1" w14:textId="77777777" w:rsidR="00990B14" w:rsidRDefault="00990B14">
            <w:pPr>
              <w:spacing w:before="20" w:after="20"/>
            </w:pPr>
          </w:p>
        </w:tc>
        <w:tc>
          <w:tcPr>
            <w:tcW w:w="1830" w:type="dxa"/>
            <w:shd w:val="clear" w:color="auto" w:fill="D9E2F3"/>
            <w:vAlign w:val="center"/>
          </w:tcPr>
          <w:p w14:paraId="3F0DE506" w14:textId="77777777" w:rsidR="00990B14" w:rsidRDefault="00000000">
            <w:pPr>
              <w:spacing w:before="20" w:after="20"/>
              <w:jc w:val="both"/>
            </w:pPr>
            <w:r>
              <w:rPr>
                <w:sz w:val="18"/>
                <w:szCs w:val="18"/>
              </w:rPr>
              <w:t>Comparación (P)</w:t>
            </w:r>
          </w:p>
        </w:tc>
        <w:tc>
          <w:tcPr>
            <w:tcW w:w="1857" w:type="dxa"/>
            <w:shd w:val="clear" w:color="auto" w:fill="D9E2F3"/>
            <w:vAlign w:val="center"/>
          </w:tcPr>
          <w:p w14:paraId="1317FEA9" w14:textId="77777777" w:rsidR="00990B14" w:rsidRDefault="00000000">
            <w:pPr>
              <w:spacing w:before="20" w:after="20"/>
              <w:jc w:val="both"/>
            </w:pPr>
            <w:r>
              <w:rPr>
                <w:sz w:val="18"/>
                <w:szCs w:val="18"/>
              </w:rPr>
              <w:t>La comparación es incompleta.</w:t>
            </w:r>
          </w:p>
        </w:tc>
        <w:tc>
          <w:tcPr>
            <w:tcW w:w="1910" w:type="dxa"/>
            <w:shd w:val="clear" w:color="auto" w:fill="D9E2F3"/>
            <w:vAlign w:val="center"/>
          </w:tcPr>
          <w:p w14:paraId="1A9146F4" w14:textId="77777777" w:rsidR="00990B14" w:rsidRDefault="00000000">
            <w:pPr>
              <w:spacing w:before="20" w:after="20"/>
              <w:jc w:val="both"/>
            </w:pPr>
            <w:r>
              <w:rPr>
                <w:sz w:val="18"/>
                <w:szCs w:val="18"/>
              </w:rPr>
              <w:t>Compara las fases, los responsables y los informes de ambos procesos.</w:t>
            </w:r>
          </w:p>
        </w:tc>
        <w:tc>
          <w:tcPr>
            <w:tcW w:w="2015" w:type="dxa"/>
            <w:shd w:val="clear" w:color="auto" w:fill="D9E2F3"/>
            <w:vAlign w:val="center"/>
          </w:tcPr>
          <w:p w14:paraId="525BC2E6" w14:textId="77777777" w:rsidR="00990B14" w:rsidRDefault="00000000">
            <w:pPr>
              <w:spacing w:before="20" w:after="20"/>
              <w:jc w:val="both"/>
            </w:pPr>
            <w:r>
              <w:rPr>
                <w:sz w:val="18"/>
                <w:szCs w:val="18"/>
              </w:rPr>
              <w:t>Señala los puntos donde ambos procesos deben compatibilizarse.</w:t>
            </w:r>
          </w:p>
        </w:tc>
      </w:tr>
      <w:tr w:rsidR="00990B14" w14:paraId="72245AB7" w14:textId="77777777">
        <w:trPr>
          <w:cantSplit/>
          <w:jc w:val="center"/>
        </w:trPr>
        <w:tc>
          <w:tcPr>
            <w:tcW w:w="1793" w:type="dxa"/>
            <w:vMerge/>
            <w:shd w:val="clear" w:color="auto" w:fill="4472C4"/>
            <w:vAlign w:val="center"/>
          </w:tcPr>
          <w:p w14:paraId="2A5233F0" w14:textId="77777777" w:rsidR="00990B14" w:rsidRDefault="00990B14">
            <w:pPr>
              <w:spacing w:before="20" w:after="20"/>
            </w:pPr>
          </w:p>
        </w:tc>
        <w:tc>
          <w:tcPr>
            <w:tcW w:w="1830" w:type="dxa"/>
            <w:shd w:val="clear" w:color="auto" w:fill="D9E2F3"/>
            <w:vAlign w:val="center"/>
          </w:tcPr>
          <w:p w14:paraId="2E9F539B" w14:textId="77777777" w:rsidR="00990B14" w:rsidRDefault="00000000">
            <w:pPr>
              <w:spacing w:before="20" w:after="20"/>
              <w:jc w:val="both"/>
            </w:pPr>
            <w:r>
              <w:rPr>
                <w:sz w:val="18"/>
                <w:szCs w:val="18"/>
              </w:rPr>
              <w:t>Trabajo en equipo (A)</w:t>
            </w:r>
          </w:p>
        </w:tc>
        <w:tc>
          <w:tcPr>
            <w:tcW w:w="1857" w:type="dxa"/>
            <w:shd w:val="clear" w:color="auto" w:fill="D9E2F3"/>
            <w:vAlign w:val="center"/>
          </w:tcPr>
          <w:p w14:paraId="31573DD9" w14:textId="77777777" w:rsidR="00990B14" w:rsidRDefault="00000000">
            <w:pPr>
              <w:spacing w:before="20" w:after="20"/>
              <w:jc w:val="both"/>
            </w:pPr>
            <w:r>
              <w:rPr>
                <w:sz w:val="18"/>
                <w:szCs w:val="18"/>
              </w:rPr>
              <w:t>La participación de los integrantes es desigual.</w:t>
            </w:r>
          </w:p>
        </w:tc>
        <w:tc>
          <w:tcPr>
            <w:tcW w:w="1910" w:type="dxa"/>
            <w:shd w:val="clear" w:color="auto" w:fill="D9E2F3"/>
            <w:vAlign w:val="center"/>
          </w:tcPr>
          <w:p w14:paraId="7AEC6DD1" w14:textId="77777777" w:rsidR="00990B14" w:rsidRDefault="00000000">
            <w:pPr>
              <w:spacing w:before="20" w:after="20"/>
              <w:jc w:val="both"/>
            </w:pPr>
            <w:r>
              <w:rPr>
                <w:sz w:val="18"/>
                <w:szCs w:val="18"/>
              </w:rPr>
              <w:t>Todos los integrantes participan en el trabajo.</w:t>
            </w:r>
          </w:p>
        </w:tc>
        <w:tc>
          <w:tcPr>
            <w:tcW w:w="2015" w:type="dxa"/>
            <w:shd w:val="clear" w:color="auto" w:fill="D9E2F3"/>
            <w:vAlign w:val="center"/>
          </w:tcPr>
          <w:p w14:paraId="5B3DEFC6" w14:textId="77777777" w:rsidR="00990B14" w:rsidRDefault="00000000">
            <w:pPr>
              <w:spacing w:before="20" w:after="20"/>
              <w:jc w:val="both"/>
            </w:pPr>
            <w:r>
              <w:rPr>
                <w:sz w:val="18"/>
                <w:szCs w:val="18"/>
              </w:rPr>
              <w:t>El equipo sustenta sus decisiones con fundamento.</w:t>
            </w:r>
          </w:p>
        </w:tc>
      </w:tr>
      <w:tr w:rsidR="00990B14" w14:paraId="0F30C9FF" w14:textId="77777777">
        <w:trPr>
          <w:cantSplit/>
          <w:jc w:val="center"/>
        </w:trPr>
        <w:tc>
          <w:tcPr>
            <w:tcW w:w="1793" w:type="dxa"/>
            <w:vMerge/>
            <w:shd w:val="clear" w:color="auto" w:fill="4472C4"/>
            <w:vAlign w:val="center"/>
          </w:tcPr>
          <w:p w14:paraId="77B90BDF" w14:textId="77777777" w:rsidR="00990B14" w:rsidRDefault="00990B14">
            <w:pPr>
              <w:spacing w:before="20" w:after="20"/>
            </w:pPr>
          </w:p>
        </w:tc>
        <w:tc>
          <w:tcPr>
            <w:tcW w:w="5597" w:type="dxa"/>
            <w:gridSpan w:val="3"/>
            <w:shd w:val="clear" w:color="auto" w:fill="D9E2F3"/>
            <w:vAlign w:val="center"/>
          </w:tcPr>
          <w:p w14:paraId="110971B6" w14:textId="77777777" w:rsidR="00990B14" w:rsidRDefault="00000000">
            <w:pPr>
              <w:keepNext/>
              <w:spacing w:before="20" w:after="20"/>
              <w:jc w:val="both"/>
            </w:pPr>
            <w:r>
              <w:rPr>
                <w:b/>
                <w:bCs/>
                <w:i/>
                <w:iCs/>
                <w:sz w:val="18"/>
                <w:szCs w:val="18"/>
              </w:rPr>
              <w:t xml:space="preserve">Producto 10: </w:t>
            </w:r>
            <w:r>
              <w:rPr>
                <w:sz w:val="18"/>
                <w:szCs w:val="18"/>
              </w:rPr>
              <w:t>Matriz de auditoría por fase de inversión</w:t>
            </w:r>
          </w:p>
        </w:tc>
        <w:tc>
          <w:tcPr>
            <w:tcW w:w="2015" w:type="dxa"/>
            <w:shd w:val="clear" w:color="auto" w:fill="D9E2F3"/>
            <w:vAlign w:val="center"/>
          </w:tcPr>
          <w:p w14:paraId="325C04CC" w14:textId="77777777" w:rsidR="00990B14" w:rsidRDefault="00000000">
            <w:pPr>
              <w:spacing w:before="20" w:after="20"/>
              <w:jc w:val="center"/>
            </w:pPr>
            <w:r>
              <w:rPr>
                <w:b/>
                <w:bCs/>
                <w:sz w:val="18"/>
                <w:szCs w:val="18"/>
              </w:rPr>
              <w:t>6%</w:t>
            </w:r>
          </w:p>
        </w:tc>
      </w:tr>
      <w:tr w:rsidR="00990B14" w14:paraId="6A53D39C" w14:textId="77777777">
        <w:trPr>
          <w:cantSplit/>
          <w:jc w:val="center"/>
        </w:trPr>
        <w:tc>
          <w:tcPr>
            <w:tcW w:w="1793" w:type="dxa"/>
            <w:vMerge/>
            <w:shd w:val="clear" w:color="auto" w:fill="4472C4"/>
            <w:vAlign w:val="center"/>
          </w:tcPr>
          <w:p w14:paraId="5DC204D7" w14:textId="77777777" w:rsidR="00990B14" w:rsidRDefault="00990B14">
            <w:pPr>
              <w:spacing w:before="20" w:after="20"/>
            </w:pPr>
          </w:p>
        </w:tc>
        <w:tc>
          <w:tcPr>
            <w:tcW w:w="1830" w:type="dxa"/>
            <w:shd w:val="clear" w:color="auto" w:fill="4472C4"/>
            <w:vAlign w:val="center"/>
          </w:tcPr>
          <w:p w14:paraId="774097B3" w14:textId="77777777" w:rsidR="00990B14" w:rsidRDefault="00000000">
            <w:pPr>
              <w:keepNext/>
              <w:spacing w:before="20" w:after="20"/>
              <w:jc w:val="center"/>
            </w:pPr>
            <w:r>
              <w:rPr>
                <w:b/>
                <w:bCs/>
                <w:i/>
                <w:iCs/>
                <w:color w:val="FFFFFF"/>
                <w:sz w:val="18"/>
                <w:szCs w:val="18"/>
              </w:rPr>
              <w:t>Criterio</w:t>
            </w:r>
          </w:p>
        </w:tc>
        <w:tc>
          <w:tcPr>
            <w:tcW w:w="1857" w:type="dxa"/>
            <w:shd w:val="clear" w:color="auto" w:fill="4472C4"/>
            <w:vAlign w:val="center"/>
          </w:tcPr>
          <w:p w14:paraId="0408A7F1"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5B1F6A0B"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5F340940" w14:textId="77777777" w:rsidR="00990B14" w:rsidRDefault="00000000">
            <w:pPr>
              <w:keepNext/>
              <w:spacing w:before="20" w:after="20"/>
              <w:jc w:val="center"/>
            </w:pPr>
            <w:r>
              <w:rPr>
                <w:b/>
                <w:bCs/>
                <w:i/>
                <w:iCs/>
                <w:color w:val="FFFFFF"/>
                <w:sz w:val="18"/>
                <w:szCs w:val="18"/>
              </w:rPr>
              <w:t>Destacado (81–100)</w:t>
            </w:r>
          </w:p>
        </w:tc>
      </w:tr>
      <w:tr w:rsidR="00990B14" w14:paraId="6DD53D58" w14:textId="77777777">
        <w:trPr>
          <w:cantSplit/>
          <w:jc w:val="center"/>
        </w:trPr>
        <w:tc>
          <w:tcPr>
            <w:tcW w:w="1793" w:type="dxa"/>
            <w:vMerge/>
            <w:shd w:val="clear" w:color="auto" w:fill="4472C4"/>
            <w:vAlign w:val="center"/>
          </w:tcPr>
          <w:p w14:paraId="2CE9EF13" w14:textId="77777777" w:rsidR="00990B14" w:rsidRDefault="00990B14">
            <w:pPr>
              <w:spacing w:before="20" w:after="20"/>
            </w:pPr>
          </w:p>
        </w:tc>
        <w:tc>
          <w:tcPr>
            <w:tcW w:w="1830" w:type="dxa"/>
            <w:shd w:val="clear" w:color="auto" w:fill="D9E2F3"/>
            <w:vAlign w:val="center"/>
          </w:tcPr>
          <w:p w14:paraId="258578DB" w14:textId="77777777" w:rsidR="00990B14" w:rsidRDefault="00000000">
            <w:pPr>
              <w:spacing w:before="20" w:after="20"/>
              <w:jc w:val="both"/>
            </w:pPr>
            <w:r>
              <w:rPr>
                <w:sz w:val="18"/>
                <w:szCs w:val="18"/>
              </w:rPr>
              <w:t>Ciclo de inversión (C)</w:t>
            </w:r>
          </w:p>
        </w:tc>
        <w:tc>
          <w:tcPr>
            <w:tcW w:w="1857" w:type="dxa"/>
            <w:shd w:val="clear" w:color="auto" w:fill="D9E2F3"/>
            <w:vAlign w:val="center"/>
          </w:tcPr>
          <w:p w14:paraId="0C7A31F1" w14:textId="77777777" w:rsidR="00990B14" w:rsidRDefault="00000000">
            <w:pPr>
              <w:spacing w:before="20" w:after="20"/>
              <w:jc w:val="both"/>
            </w:pPr>
            <w:r>
              <w:rPr>
                <w:sz w:val="18"/>
                <w:szCs w:val="18"/>
              </w:rPr>
              <w:t>Omite fases del proyecto de inversión.</w:t>
            </w:r>
          </w:p>
        </w:tc>
        <w:tc>
          <w:tcPr>
            <w:tcW w:w="1910" w:type="dxa"/>
            <w:shd w:val="clear" w:color="auto" w:fill="D9E2F3"/>
            <w:vAlign w:val="center"/>
          </w:tcPr>
          <w:p w14:paraId="46DAAFDC" w14:textId="77777777" w:rsidR="00990B14" w:rsidRDefault="00000000">
            <w:pPr>
              <w:spacing w:before="20" w:after="20"/>
              <w:jc w:val="both"/>
            </w:pPr>
            <w:r>
              <w:rPr>
                <w:sz w:val="18"/>
                <w:szCs w:val="18"/>
              </w:rPr>
              <w:t>Describe la preinversión, la inversión y la operación.</w:t>
            </w:r>
          </w:p>
        </w:tc>
        <w:tc>
          <w:tcPr>
            <w:tcW w:w="2015" w:type="dxa"/>
            <w:shd w:val="clear" w:color="auto" w:fill="D9E2F3"/>
            <w:vAlign w:val="center"/>
          </w:tcPr>
          <w:p w14:paraId="4E99656F" w14:textId="77777777" w:rsidR="00990B14" w:rsidRDefault="00000000">
            <w:pPr>
              <w:spacing w:before="20" w:after="20"/>
              <w:jc w:val="both"/>
            </w:pPr>
            <w:r>
              <w:rPr>
                <w:sz w:val="18"/>
                <w:szCs w:val="18"/>
              </w:rPr>
              <w:t>Relaciona cada fase con sus riesgos de auditoría.</w:t>
            </w:r>
          </w:p>
        </w:tc>
      </w:tr>
      <w:tr w:rsidR="00990B14" w14:paraId="6FEC6CF2" w14:textId="77777777">
        <w:trPr>
          <w:cantSplit/>
          <w:jc w:val="center"/>
        </w:trPr>
        <w:tc>
          <w:tcPr>
            <w:tcW w:w="1793" w:type="dxa"/>
            <w:vMerge/>
            <w:shd w:val="clear" w:color="auto" w:fill="4472C4"/>
            <w:vAlign w:val="center"/>
          </w:tcPr>
          <w:p w14:paraId="289F59FF" w14:textId="77777777" w:rsidR="00990B14" w:rsidRDefault="00990B14">
            <w:pPr>
              <w:spacing w:before="20" w:after="20"/>
            </w:pPr>
          </w:p>
        </w:tc>
        <w:tc>
          <w:tcPr>
            <w:tcW w:w="1830" w:type="dxa"/>
            <w:shd w:val="clear" w:color="auto" w:fill="D9E2F3"/>
            <w:vAlign w:val="center"/>
          </w:tcPr>
          <w:p w14:paraId="044C5D63" w14:textId="77777777" w:rsidR="00990B14" w:rsidRDefault="00000000">
            <w:pPr>
              <w:spacing w:before="20" w:after="20"/>
              <w:jc w:val="both"/>
            </w:pPr>
            <w:r>
              <w:rPr>
                <w:sz w:val="18"/>
                <w:szCs w:val="18"/>
              </w:rPr>
              <w:t>Aspectos a auditar (P)</w:t>
            </w:r>
          </w:p>
        </w:tc>
        <w:tc>
          <w:tcPr>
            <w:tcW w:w="1857" w:type="dxa"/>
            <w:shd w:val="clear" w:color="auto" w:fill="D9E2F3"/>
            <w:vAlign w:val="center"/>
          </w:tcPr>
          <w:p w14:paraId="00A758F7" w14:textId="77777777" w:rsidR="00990B14" w:rsidRDefault="00000000">
            <w:pPr>
              <w:spacing w:before="20" w:after="20"/>
              <w:jc w:val="both"/>
            </w:pPr>
            <w:r>
              <w:rPr>
                <w:sz w:val="18"/>
                <w:szCs w:val="18"/>
              </w:rPr>
              <w:t>No identifica aspectos de auditoría por fase.</w:t>
            </w:r>
          </w:p>
        </w:tc>
        <w:tc>
          <w:tcPr>
            <w:tcW w:w="1910" w:type="dxa"/>
            <w:shd w:val="clear" w:color="auto" w:fill="D9E2F3"/>
            <w:vAlign w:val="center"/>
          </w:tcPr>
          <w:p w14:paraId="2F0C9F79" w14:textId="77777777" w:rsidR="00990B14" w:rsidRDefault="00000000">
            <w:pPr>
              <w:spacing w:before="20" w:after="20"/>
              <w:jc w:val="both"/>
            </w:pPr>
            <w:r>
              <w:rPr>
                <w:sz w:val="18"/>
                <w:szCs w:val="18"/>
              </w:rPr>
              <w:t>Identifica los aspectos financieros, técnicos y de contratación por fase.</w:t>
            </w:r>
          </w:p>
        </w:tc>
        <w:tc>
          <w:tcPr>
            <w:tcW w:w="2015" w:type="dxa"/>
            <w:shd w:val="clear" w:color="auto" w:fill="D9E2F3"/>
            <w:vAlign w:val="center"/>
          </w:tcPr>
          <w:p w14:paraId="124EB117" w14:textId="77777777" w:rsidR="00990B14" w:rsidRDefault="00000000">
            <w:pPr>
              <w:spacing w:before="20" w:after="20"/>
              <w:jc w:val="both"/>
            </w:pPr>
            <w:r>
              <w:rPr>
                <w:sz w:val="18"/>
                <w:szCs w:val="18"/>
              </w:rPr>
              <w:t>Propone el apoyo de especialistas donde corresponde.</w:t>
            </w:r>
          </w:p>
        </w:tc>
      </w:tr>
      <w:tr w:rsidR="00990B14" w14:paraId="6153CE9B" w14:textId="77777777">
        <w:trPr>
          <w:cantSplit/>
          <w:jc w:val="center"/>
        </w:trPr>
        <w:tc>
          <w:tcPr>
            <w:tcW w:w="1793" w:type="dxa"/>
            <w:vMerge/>
            <w:shd w:val="clear" w:color="auto" w:fill="4472C4"/>
            <w:vAlign w:val="center"/>
          </w:tcPr>
          <w:p w14:paraId="5C1C8134" w14:textId="77777777" w:rsidR="00990B14" w:rsidRDefault="00990B14">
            <w:pPr>
              <w:spacing w:before="20" w:after="20"/>
            </w:pPr>
          </w:p>
        </w:tc>
        <w:tc>
          <w:tcPr>
            <w:tcW w:w="1830" w:type="dxa"/>
            <w:shd w:val="clear" w:color="auto" w:fill="D9E2F3"/>
            <w:vAlign w:val="center"/>
          </w:tcPr>
          <w:p w14:paraId="4C957EBB" w14:textId="77777777" w:rsidR="00990B14" w:rsidRDefault="00000000">
            <w:pPr>
              <w:spacing w:before="20" w:after="20"/>
              <w:jc w:val="both"/>
            </w:pPr>
            <w:r>
              <w:rPr>
                <w:sz w:val="18"/>
                <w:szCs w:val="18"/>
              </w:rPr>
              <w:t>Fuentes en línea (T)</w:t>
            </w:r>
          </w:p>
        </w:tc>
        <w:tc>
          <w:tcPr>
            <w:tcW w:w="1857" w:type="dxa"/>
            <w:shd w:val="clear" w:color="auto" w:fill="D9E2F3"/>
            <w:vAlign w:val="center"/>
          </w:tcPr>
          <w:p w14:paraId="1E2BB9C8" w14:textId="77777777" w:rsidR="00990B14" w:rsidRDefault="00000000">
            <w:pPr>
              <w:spacing w:before="20" w:after="20"/>
              <w:jc w:val="both"/>
            </w:pPr>
            <w:r>
              <w:rPr>
                <w:sz w:val="18"/>
                <w:szCs w:val="18"/>
              </w:rPr>
              <w:t>No consulta los sistemas públicos.</w:t>
            </w:r>
          </w:p>
        </w:tc>
        <w:tc>
          <w:tcPr>
            <w:tcW w:w="1910" w:type="dxa"/>
            <w:shd w:val="clear" w:color="auto" w:fill="D9E2F3"/>
            <w:vAlign w:val="center"/>
          </w:tcPr>
          <w:p w14:paraId="0E82EC13" w14:textId="77777777" w:rsidR="00990B14" w:rsidRDefault="00000000">
            <w:pPr>
              <w:spacing w:before="20" w:after="20"/>
              <w:jc w:val="both"/>
            </w:pPr>
            <w:r>
              <w:rPr>
                <w:sz w:val="18"/>
                <w:szCs w:val="18"/>
              </w:rPr>
              <w:t>Utiliza la información del SICOES u otros sistemas públicos.</w:t>
            </w:r>
          </w:p>
        </w:tc>
        <w:tc>
          <w:tcPr>
            <w:tcW w:w="2015" w:type="dxa"/>
            <w:shd w:val="clear" w:color="auto" w:fill="D9E2F3"/>
            <w:vAlign w:val="center"/>
          </w:tcPr>
          <w:p w14:paraId="4FA75424" w14:textId="77777777" w:rsidR="00990B14" w:rsidRDefault="00000000">
            <w:pPr>
              <w:spacing w:before="20" w:after="20"/>
              <w:jc w:val="both"/>
            </w:pPr>
            <w:r>
              <w:rPr>
                <w:sz w:val="18"/>
                <w:szCs w:val="18"/>
              </w:rPr>
              <w:t>Contrasta la información pública con la documentación del caso.</w:t>
            </w:r>
          </w:p>
        </w:tc>
      </w:tr>
      <w:tr w:rsidR="00990B14" w14:paraId="2E063B1E" w14:textId="77777777">
        <w:trPr>
          <w:cantSplit/>
          <w:jc w:val="center"/>
        </w:trPr>
        <w:tc>
          <w:tcPr>
            <w:tcW w:w="1793" w:type="dxa"/>
            <w:vMerge/>
            <w:shd w:val="clear" w:color="auto" w:fill="4472C4"/>
            <w:vAlign w:val="center"/>
          </w:tcPr>
          <w:p w14:paraId="6729EEDE" w14:textId="77777777" w:rsidR="00990B14" w:rsidRDefault="00990B14">
            <w:pPr>
              <w:spacing w:before="20" w:after="20"/>
            </w:pPr>
          </w:p>
        </w:tc>
        <w:tc>
          <w:tcPr>
            <w:tcW w:w="5597" w:type="dxa"/>
            <w:gridSpan w:val="3"/>
            <w:shd w:val="clear" w:color="auto" w:fill="D9E2F3"/>
            <w:vAlign w:val="center"/>
          </w:tcPr>
          <w:p w14:paraId="4EBD9D54" w14:textId="77777777" w:rsidR="00990B14" w:rsidRDefault="00000000">
            <w:pPr>
              <w:keepNext/>
              <w:spacing w:before="20" w:after="20"/>
              <w:jc w:val="both"/>
            </w:pPr>
            <w:r>
              <w:rPr>
                <w:b/>
                <w:bCs/>
                <w:i/>
                <w:iCs/>
                <w:sz w:val="18"/>
                <w:szCs w:val="18"/>
              </w:rPr>
              <w:t xml:space="preserve">Producto 11: </w:t>
            </w:r>
            <w:r>
              <w:rPr>
                <w:sz w:val="18"/>
                <w:szCs w:val="18"/>
              </w:rPr>
              <w:t>Narrativas, diagramas y matriz de riesgos y controles</w:t>
            </w:r>
          </w:p>
        </w:tc>
        <w:tc>
          <w:tcPr>
            <w:tcW w:w="2015" w:type="dxa"/>
            <w:shd w:val="clear" w:color="auto" w:fill="D9E2F3"/>
            <w:vAlign w:val="center"/>
          </w:tcPr>
          <w:p w14:paraId="5B4981D2" w14:textId="77777777" w:rsidR="00990B14" w:rsidRDefault="00000000">
            <w:pPr>
              <w:spacing w:before="20" w:after="20"/>
              <w:jc w:val="center"/>
            </w:pPr>
            <w:r>
              <w:rPr>
                <w:b/>
                <w:bCs/>
                <w:sz w:val="18"/>
                <w:szCs w:val="18"/>
              </w:rPr>
              <w:t>7%</w:t>
            </w:r>
          </w:p>
        </w:tc>
      </w:tr>
      <w:tr w:rsidR="00990B14" w14:paraId="65D58B2E" w14:textId="77777777">
        <w:trPr>
          <w:cantSplit/>
          <w:jc w:val="center"/>
        </w:trPr>
        <w:tc>
          <w:tcPr>
            <w:tcW w:w="1793" w:type="dxa"/>
            <w:vMerge/>
            <w:shd w:val="clear" w:color="auto" w:fill="4472C4"/>
            <w:vAlign w:val="center"/>
          </w:tcPr>
          <w:p w14:paraId="4016C1F8" w14:textId="77777777" w:rsidR="00990B14" w:rsidRDefault="00990B14">
            <w:pPr>
              <w:spacing w:before="20" w:after="20"/>
            </w:pPr>
          </w:p>
        </w:tc>
        <w:tc>
          <w:tcPr>
            <w:tcW w:w="1830" w:type="dxa"/>
            <w:shd w:val="clear" w:color="auto" w:fill="4472C4"/>
            <w:vAlign w:val="center"/>
          </w:tcPr>
          <w:p w14:paraId="441C194A" w14:textId="77777777" w:rsidR="00990B14" w:rsidRDefault="00000000">
            <w:pPr>
              <w:keepNext/>
              <w:spacing w:before="20" w:after="20"/>
              <w:jc w:val="center"/>
            </w:pPr>
            <w:r>
              <w:rPr>
                <w:b/>
                <w:bCs/>
                <w:i/>
                <w:iCs/>
                <w:color w:val="FFFFFF"/>
                <w:sz w:val="18"/>
                <w:szCs w:val="18"/>
              </w:rPr>
              <w:t>Criterio</w:t>
            </w:r>
          </w:p>
        </w:tc>
        <w:tc>
          <w:tcPr>
            <w:tcW w:w="1857" w:type="dxa"/>
            <w:shd w:val="clear" w:color="auto" w:fill="4472C4"/>
            <w:vAlign w:val="center"/>
          </w:tcPr>
          <w:p w14:paraId="05030FB1"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617DAAAD"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2D09A396" w14:textId="77777777" w:rsidR="00990B14" w:rsidRDefault="00000000">
            <w:pPr>
              <w:keepNext/>
              <w:spacing w:before="20" w:after="20"/>
              <w:jc w:val="center"/>
            </w:pPr>
            <w:r>
              <w:rPr>
                <w:b/>
                <w:bCs/>
                <w:i/>
                <w:iCs/>
                <w:color w:val="FFFFFF"/>
                <w:sz w:val="18"/>
                <w:szCs w:val="18"/>
              </w:rPr>
              <w:t>Destacado (81–100)</w:t>
            </w:r>
          </w:p>
        </w:tc>
      </w:tr>
      <w:tr w:rsidR="00990B14" w14:paraId="47E5131C" w14:textId="77777777">
        <w:trPr>
          <w:cantSplit/>
          <w:jc w:val="center"/>
        </w:trPr>
        <w:tc>
          <w:tcPr>
            <w:tcW w:w="1793" w:type="dxa"/>
            <w:vMerge/>
            <w:shd w:val="clear" w:color="auto" w:fill="4472C4"/>
            <w:vAlign w:val="center"/>
          </w:tcPr>
          <w:p w14:paraId="4C494DCF" w14:textId="77777777" w:rsidR="00990B14" w:rsidRDefault="00990B14">
            <w:pPr>
              <w:spacing w:before="20" w:after="20"/>
            </w:pPr>
          </w:p>
        </w:tc>
        <w:tc>
          <w:tcPr>
            <w:tcW w:w="1830" w:type="dxa"/>
            <w:shd w:val="clear" w:color="auto" w:fill="D9E2F3"/>
            <w:vAlign w:val="center"/>
          </w:tcPr>
          <w:p w14:paraId="333ADFD5" w14:textId="77777777" w:rsidR="00990B14" w:rsidRDefault="00000000">
            <w:pPr>
              <w:spacing w:before="20" w:after="20"/>
              <w:jc w:val="both"/>
            </w:pPr>
            <w:r>
              <w:rPr>
                <w:sz w:val="18"/>
                <w:szCs w:val="18"/>
              </w:rPr>
              <w:t>Componentes COSO (C)</w:t>
            </w:r>
          </w:p>
        </w:tc>
        <w:tc>
          <w:tcPr>
            <w:tcW w:w="1857" w:type="dxa"/>
            <w:shd w:val="clear" w:color="auto" w:fill="D9E2F3"/>
            <w:vAlign w:val="center"/>
          </w:tcPr>
          <w:p w14:paraId="74A9BBDA" w14:textId="77777777" w:rsidR="00990B14" w:rsidRDefault="00000000">
            <w:pPr>
              <w:spacing w:before="20" w:after="20"/>
              <w:jc w:val="both"/>
            </w:pPr>
            <w:r>
              <w:rPr>
                <w:sz w:val="18"/>
                <w:szCs w:val="18"/>
              </w:rPr>
              <w:t>Omite componentes o principios.</w:t>
            </w:r>
          </w:p>
        </w:tc>
        <w:tc>
          <w:tcPr>
            <w:tcW w:w="1910" w:type="dxa"/>
            <w:shd w:val="clear" w:color="auto" w:fill="D9E2F3"/>
            <w:vAlign w:val="center"/>
          </w:tcPr>
          <w:p w14:paraId="2E98935B" w14:textId="77777777" w:rsidR="00990B14" w:rsidRDefault="00000000">
            <w:pPr>
              <w:spacing w:before="20" w:after="20"/>
              <w:jc w:val="both"/>
            </w:pPr>
            <w:r>
              <w:rPr>
                <w:sz w:val="18"/>
                <w:szCs w:val="18"/>
              </w:rPr>
              <w:t>Relaciona los controles con los componentes y principios de COSO 2013.</w:t>
            </w:r>
          </w:p>
        </w:tc>
        <w:tc>
          <w:tcPr>
            <w:tcW w:w="2015" w:type="dxa"/>
            <w:shd w:val="clear" w:color="auto" w:fill="D9E2F3"/>
            <w:vAlign w:val="center"/>
          </w:tcPr>
          <w:p w14:paraId="2E59D8F6" w14:textId="77777777" w:rsidR="00990B14" w:rsidRDefault="00000000">
            <w:pPr>
              <w:spacing w:before="20" w:after="20"/>
              <w:jc w:val="both"/>
            </w:pPr>
            <w:r>
              <w:rPr>
                <w:sz w:val="18"/>
                <w:szCs w:val="18"/>
              </w:rPr>
              <w:t>Identifica los principios no cumplidos.</w:t>
            </w:r>
          </w:p>
        </w:tc>
      </w:tr>
      <w:tr w:rsidR="00990B14" w14:paraId="5EB33A80" w14:textId="77777777">
        <w:trPr>
          <w:cantSplit/>
          <w:jc w:val="center"/>
        </w:trPr>
        <w:tc>
          <w:tcPr>
            <w:tcW w:w="1793" w:type="dxa"/>
            <w:vMerge/>
            <w:shd w:val="clear" w:color="auto" w:fill="4472C4"/>
            <w:vAlign w:val="center"/>
          </w:tcPr>
          <w:p w14:paraId="3A1AE66C" w14:textId="77777777" w:rsidR="00990B14" w:rsidRDefault="00990B14">
            <w:pPr>
              <w:spacing w:before="20" w:after="20"/>
            </w:pPr>
          </w:p>
        </w:tc>
        <w:tc>
          <w:tcPr>
            <w:tcW w:w="1830" w:type="dxa"/>
            <w:shd w:val="clear" w:color="auto" w:fill="D9E2F3"/>
            <w:vAlign w:val="center"/>
          </w:tcPr>
          <w:p w14:paraId="3506A17D" w14:textId="77777777" w:rsidR="00990B14" w:rsidRDefault="00000000">
            <w:pPr>
              <w:spacing w:before="20" w:after="20"/>
              <w:jc w:val="both"/>
            </w:pPr>
            <w:r>
              <w:rPr>
                <w:sz w:val="18"/>
                <w:szCs w:val="18"/>
              </w:rPr>
              <w:t>Documentación (P)</w:t>
            </w:r>
          </w:p>
        </w:tc>
        <w:tc>
          <w:tcPr>
            <w:tcW w:w="1857" w:type="dxa"/>
            <w:shd w:val="clear" w:color="auto" w:fill="D9E2F3"/>
            <w:vAlign w:val="center"/>
          </w:tcPr>
          <w:p w14:paraId="5A6E1399" w14:textId="77777777" w:rsidR="00990B14" w:rsidRDefault="00000000">
            <w:pPr>
              <w:spacing w:before="20" w:after="20"/>
              <w:jc w:val="both"/>
            </w:pPr>
            <w:r>
              <w:rPr>
                <w:sz w:val="18"/>
                <w:szCs w:val="18"/>
              </w:rPr>
              <w:t>Omite pasos o usa símbolos incorrectos.</w:t>
            </w:r>
          </w:p>
        </w:tc>
        <w:tc>
          <w:tcPr>
            <w:tcW w:w="1910" w:type="dxa"/>
            <w:shd w:val="clear" w:color="auto" w:fill="D9E2F3"/>
            <w:vAlign w:val="center"/>
          </w:tcPr>
          <w:p w14:paraId="4BF2B098" w14:textId="77777777" w:rsidR="00990B14" w:rsidRDefault="00000000">
            <w:pPr>
              <w:spacing w:before="20" w:after="20"/>
              <w:jc w:val="both"/>
            </w:pPr>
            <w:r>
              <w:rPr>
                <w:sz w:val="18"/>
                <w:szCs w:val="18"/>
              </w:rPr>
              <w:t>Documenta los ciclos con narrativas y diagramas coherentes.</w:t>
            </w:r>
          </w:p>
        </w:tc>
        <w:tc>
          <w:tcPr>
            <w:tcW w:w="2015" w:type="dxa"/>
            <w:shd w:val="clear" w:color="auto" w:fill="D9E2F3"/>
            <w:vAlign w:val="center"/>
          </w:tcPr>
          <w:p w14:paraId="386D9328" w14:textId="77777777" w:rsidR="00990B14" w:rsidRDefault="00000000">
            <w:pPr>
              <w:spacing w:before="20" w:after="20"/>
              <w:jc w:val="both"/>
            </w:pPr>
            <w:r>
              <w:rPr>
                <w:sz w:val="18"/>
                <w:szCs w:val="18"/>
              </w:rPr>
              <w:t>Señala los controles clave y los riesgos de gastos no elegibles.</w:t>
            </w:r>
          </w:p>
        </w:tc>
      </w:tr>
      <w:tr w:rsidR="00990B14" w14:paraId="6EE79E7B" w14:textId="77777777">
        <w:trPr>
          <w:cantSplit/>
          <w:jc w:val="center"/>
        </w:trPr>
        <w:tc>
          <w:tcPr>
            <w:tcW w:w="1793" w:type="dxa"/>
            <w:vMerge/>
            <w:shd w:val="clear" w:color="auto" w:fill="4472C4"/>
            <w:vAlign w:val="center"/>
          </w:tcPr>
          <w:p w14:paraId="1CD81998" w14:textId="77777777" w:rsidR="00990B14" w:rsidRDefault="00990B14">
            <w:pPr>
              <w:spacing w:before="20" w:after="20"/>
            </w:pPr>
          </w:p>
        </w:tc>
        <w:tc>
          <w:tcPr>
            <w:tcW w:w="1830" w:type="dxa"/>
            <w:shd w:val="clear" w:color="auto" w:fill="D9E2F3"/>
            <w:vAlign w:val="center"/>
          </w:tcPr>
          <w:p w14:paraId="295A8E93" w14:textId="77777777" w:rsidR="00990B14" w:rsidRDefault="00000000">
            <w:pPr>
              <w:spacing w:before="20" w:after="20"/>
              <w:jc w:val="both"/>
            </w:pPr>
            <w:r>
              <w:rPr>
                <w:sz w:val="18"/>
                <w:szCs w:val="18"/>
              </w:rPr>
              <w:t>Matriz de riesgos y controles (T)</w:t>
            </w:r>
          </w:p>
        </w:tc>
        <w:tc>
          <w:tcPr>
            <w:tcW w:w="1857" w:type="dxa"/>
            <w:shd w:val="clear" w:color="auto" w:fill="D9E2F3"/>
            <w:vAlign w:val="center"/>
          </w:tcPr>
          <w:p w14:paraId="121C5347" w14:textId="77777777" w:rsidR="00990B14" w:rsidRDefault="00000000">
            <w:pPr>
              <w:spacing w:before="20" w:after="20"/>
              <w:jc w:val="both"/>
            </w:pPr>
            <w:r>
              <w:rPr>
                <w:sz w:val="18"/>
                <w:szCs w:val="18"/>
              </w:rPr>
              <w:t>Omite riesgos relevantes o no asocia controles a los riesgos.</w:t>
            </w:r>
          </w:p>
        </w:tc>
        <w:tc>
          <w:tcPr>
            <w:tcW w:w="1910" w:type="dxa"/>
            <w:shd w:val="clear" w:color="auto" w:fill="D9E2F3"/>
            <w:vAlign w:val="center"/>
          </w:tcPr>
          <w:p w14:paraId="63B39545" w14:textId="77777777" w:rsidR="00990B14" w:rsidRDefault="00000000">
            <w:pPr>
              <w:spacing w:before="20" w:after="20"/>
              <w:jc w:val="both"/>
            </w:pPr>
            <w:r>
              <w:rPr>
                <w:sz w:val="18"/>
                <w:szCs w:val="18"/>
              </w:rPr>
              <w:t>Asocia un control clave a cada riesgo del ciclo en una matriz en hoja de cálculo, incluidos los controles generales de TI.</w:t>
            </w:r>
          </w:p>
        </w:tc>
        <w:tc>
          <w:tcPr>
            <w:tcW w:w="2015" w:type="dxa"/>
            <w:shd w:val="clear" w:color="auto" w:fill="D9E2F3"/>
            <w:vAlign w:val="center"/>
          </w:tcPr>
          <w:p w14:paraId="7B726708" w14:textId="77777777" w:rsidR="00990B14" w:rsidRDefault="00000000">
            <w:pPr>
              <w:spacing w:before="20" w:after="20"/>
              <w:jc w:val="both"/>
            </w:pPr>
            <w:r>
              <w:rPr>
                <w:sz w:val="18"/>
                <w:szCs w:val="18"/>
              </w:rPr>
              <w:t>Evalúa el diseño de cada control y concluye sobre su efecto en el riesgo del ciclo.</w:t>
            </w:r>
          </w:p>
        </w:tc>
      </w:tr>
      <w:tr w:rsidR="00990B14" w14:paraId="5CF4464B" w14:textId="77777777">
        <w:trPr>
          <w:cantSplit/>
          <w:jc w:val="center"/>
        </w:trPr>
        <w:tc>
          <w:tcPr>
            <w:tcW w:w="1793" w:type="dxa"/>
            <w:vMerge/>
            <w:shd w:val="clear" w:color="auto" w:fill="4472C4"/>
            <w:vAlign w:val="center"/>
          </w:tcPr>
          <w:p w14:paraId="46B7C932" w14:textId="77777777" w:rsidR="00990B14" w:rsidRDefault="00990B14">
            <w:pPr>
              <w:spacing w:before="20" w:after="20"/>
            </w:pPr>
          </w:p>
        </w:tc>
        <w:tc>
          <w:tcPr>
            <w:tcW w:w="5597" w:type="dxa"/>
            <w:gridSpan w:val="3"/>
            <w:shd w:val="clear" w:color="auto" w:fill="D9E2F3"/>
            <w:vAlign w:val="center"/>
          </w:tcPr>
          <w:p w14:paraId="13AE6E64" w14:textId="77777777" w:rsidR="00990B14" w:rsidRDefault="00000000">
            <w:pPr>
              <w:keepNext/>
              <w:spacing w:before="20" w:after="20"/>
              <w:jc w:val="both"/>
            </w:pPr>
            <w:r>
              <w:rPr>
                <w:b/>
                <w:bCs/>
                <w:i/>
                <w:iCs/>
                <w:sz w:val="18"/>
                <w:szCs w:val="18"/>
              </w:rPr>
              <w:t xml:space="preserve">Producto 12: </w:t>
            </w:r>
            <w:r>
              <w:rPr>
                <w:sz w:val="18"/>
                <w:szCs w:val="18"/>
              </w:rPr>
              <w:t>Pruebas de cumplimiento y evaluación del control interno</w:t>
            </w:r>
          </w:p>
        </w:tc>
        <w:tc>
          <w:tcPr>
            <w:tcW w:w="2015" w:type="dxa"/>
            <w:shd w:val="clear" w:color="auto" w:fill="D9E2F3"/>
            <w:vAlign w:val="center"/>
          </w:tcPr>
          <w:p w14:paraId="25CDA309" w14:textId="77777777" w:rsidR="00990B14" w:rsidRDefault="00000000">
            <w:pPr>
              <w:spacing w:before="20" w:after="20"/>
              <w:jc w:val="center"/>
            </w:pPr>
            <w:r>
              <w:rPr>
                <w:b/>
                <w:bCs/>
                <w:sz w:val="18"/>
                <w:szCs w:val="18"/>
              </w:rPr>
              <w:t>6%</w:t>
            </w:r>
          </w:p>
        </w:tc>
      </w:tr>
      <w:tr w:rsidR="00990B14" w14:paraId="75B55B26" w14:textId="77777777">
        <w:trPr>
          <w:cantSplit/>
          <w:jc w:val="center"/>
        </w:trPr>
        <w:tc>
          <w:tcPr>
            <w:tcW w:w="1793" w:type="dxa"/>
            <w:vMerge/>
            <w:shd w:val="clear" w:color="auto" w:fill="4472C4"/>
            <w:vAlign w:val="center"/>
          </w:tcPr>
          <w:p w14:paraId="223983AA" w14:textId="77777777" w:rsidR="00990B14" w:rsidRDefault="00990B14">
            <w:pPr>
              <w:spacing w:before="20" w:after="20"/>
            </w:pPr>
          </w:p>
        </w:tc>
        <w:tc>
          <w:tcPr>
            <w:tcW w:w="1830" w:type="dxa"/>
            <w:shd w:val="clear" w:color="auto" w:fill="4472C4"/>
            <w:vAlign w:val="center"/>
          </w:tcPr>
          <w:p w14:paraId="137CD120" w14:textId="77777777" w:rsidR="00990B14" w:rsidRDefault="00000000">
            <w:pPr>
              <w:keepNext/>
              <w:spacing w:before="20" w:after="20"/>
              <w:jc w:val="center"/>
            </w:pPr>
            <w:r>
              <w:rPr>
                <w:b/>
                <w:bCs/>
                <w:i/>
                <w:iCs/>
                <w:color w:val="FFFFFF"/>
                <w:sz w:val="18"/>
                <w:szCs w:val="18"/>
              </w:rPr>
              <w:t>Criterio</w:t>
            </w:r>
          </w:p>
        </w:tc>
        <w:tc>
          <w:tcPr>
            <w:tcW w:w="1857" w:type="dxa"/>
            <w:shd w:val="clear" w:color="auto" w:fill="4472C4"/>
            <w:vAlign w:val="center"/>
          </w:tcPr>
          <w:p w14:paraId="366F6D3A"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6BBE112D"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75A5D3A5" w14:textId="77777777" w:rsidR="00990B14" w:rsidRDefault="00000000">
            <w:pPr>
              <w:keepNext/>
              <w:spacing w:before="20" w:after="20"/>
              <w:jc w:val="center"/>
            </w:pPr>
            <w:r>
              <w:rPr>
                <w:b/>
                <w:bCs/>
                <w:i/>
                <w:iCs/>
                <w:color w:val="FFFFFF"/>
                <w:sz w:val="18"/>
                <w:szCs w:val="18"/>
              </w:rPr>
              <w:t>Destacado (81–100)</w:t>
            </w:r>
          </w:p>
        </w:tc>
      </w:tr>
      <w:tr w:rsidR="00990B14" w14:paraId="563BA2C7" w14:textId="77777777">
        <w:trPr>
          <w:cantSplit/>
          <w:jc w:val="center"/>
        </w:trPr>
        <w:tc>
          <w:tcPr>
            <w:tcW w:w="1793" w:type="dxa"/>
            <w:vMerge/>
            <w:shd w:val="clear" w:color="auto" w:fill="4472C4"/>
            <w:vAlign w:val="center"/>
          </w:tcPr>
          <w:p w14:paraId="4976A489" w14:textId="77777777" w:rsidR="00990B14" w:rsidRDefault="00990B14">
            <w:pPr>
              <w:spacing w:before="20" w:after="20"/>
            </w:pPr>
          </w:p>
        </w:tc>
        <w:tc>
          <w:tcPr>
            <w:tcW w:w="1830" w:type="dxa"/>
            <w:shd w:val="clear" w:color="auto" w:fill="D9E2F3"/>
            <w:vAlign w:val="center"/>
          </w:tcPr>
          <w:p w14:paraId="6792EC9D" w14:textId="77777777" w:rsidR="00990B14" w:rsidRDefault="00000000">
            <w:pPr>
              <w:spacing w:before="20" w:after="20"/>
              <w:jc w:val="both"/>
            </w:pPr>
            <w:r>
              <w:rPr>
                <w:sz w:val="18"/>
                <w:szCs w:val="18"/>
              </w:rPr>
              <w:t>Fundamento técnico (C)</w:t>
            </w:r>
          </w:p>
        </w:tc>
        <w:tc>
          <w:tcPr>
            <w:tcW w:w="1857" w:type="dxa"/>
            <w:shd w:val="clear" w:color="auto" w:fill="D9E2F3"/>
            <w:vAlign w:val="center"/>
          </w:tcPr>
          <w:p w14:paraId="0A8C42DE" w14:textId="77777777" w:rsidR="00990B14" w:rsidRDefault="00000000">
            <w:pPr>
              <w:spacing w:before="20" w:after="20"/>
              <w:jc w:val="both"/>
            </w:pPr>
            <w:r>
              <w:rPr>
                <w:sz w:val="18"/>
                <w:szCs w:val="18"/>
              </w:rPr>
              <w:t>No relaciona la prueba con la norma.</w:t>
            </w:r>
          </w:p>
        </w:tc>
        <w:tc>
          <w:tcPr>
            <w:tcW w:w="1910" w:type="dxa"/>
            <w:shd w:val="clear" w:color="auto" w:fill="D9E2F3"/>
            <w:vAlign w:val="center"/>
          </w:tcPr>
          <w:p w14:paraId="41EDED7B" w14:textId="77777777" w:rsidR="00990B14" w:rsidRDefault="00000000">
            <w:pPr>
              <w:spacing w:before="20" w:after="20"/>
              <w:jc w:val="both"/>
            </w:pPr>
            <w:r>
              <w:rPr>
                <w:sz w:val="18"/>
                <w:szCs w:val="18"/>
              </w:rPr>
              <w:t>Fundamenta las pruebas en las NIA 330 y 530.</w:t>
            </w:r>
          </w:p>
        </w:tc>
        <w:tc>
          <w:tcPr>
            <w:tcW w:w="2015" w:type="dxa"/>
            <w:shd w:val="clear" w:color="auto" w:fill="D9E2F3"/>
            <w:vAlign w:val="center"/>
          </w:tcPr>
          <w:p w14:paraId="5FBC4F50" w14:textId="77777777" w:rsidR="00990B14" w:rsidRDefault="00000000">
            <w:pPr>
              <w:spacing w:before="20" w:after="20"/>
              <w:jc w:val="both"/>
            </w:pPr>
            <w:r>
              <w:rPr>
                <w:sz w:val="18"/>
                <w:szCs w:val="18"/>
              </w:rPr>
              <w:t>Justifica el tamaño de la muestra.</w:t>
            </w:r>
          </w:p>
        </w:tc>
      </w:tr>
      <w:tr w:rsidR="00990B14" w14:paraId="4F9B633C" w14:textId="77777777">
        <w:trPr>
          <w:cantSplit/>
          <w:jc w:val="center"/>
        </w:trPr>
        <w:tc>
          <w:tcPr>
            <w:tcW w:w="1793" w:type="dxa"/>
            <w:vMerge/>
            <w:shd w:val="clear" w:color="auto" w:fill="4472C4"/>
            <w:vAlign w:val="center"/>
          </w:tcPr>
          <w:p w14:paraId="48E089A7" w14:textId="77777777" w:rsidR="00990B14" w:rsidRDefault="00990B14">
            <w:pPr>
              <w:spacing w:before="20" w:after="20"/>
            </w:pPr>
          </w:p>
        </w:tc>
        <w:tc>
          <w:tcPr>
            <w:tcW w:w="1830" w:type="dxa"/>
            <w:shd w:val="clear" w:color="auto" w:fill="D9E2F3"/>
            <w:vAlign w:val="center"/>
          </w:tcPr>
          <w:p w14:paraId="690DB1F1" w14:textId="77777777" w:rsidR="00990B14" w:rsidRDefault="00000000">
            <w:pPr>
              <w:spacing w:before="20" w:after="20"/>
              <w:jc w:val="both"/>
            </w:pPr>
            <w:r>
              <w:rPr>
                <w:sz w:val="18"/>
                <w:szCs w:val="18"/>
              </w:rPr>
              <w:t>Pruebas y conclusión (P)</w:t>
            </w:r>
          </w:p>
        </w:tc>
        <w:tc>
          <w:tcPr>
            <w:tcW w:w="1857" w:type="dxa"/>
            <w:shd w:val="clear" w:color="auto" w:fill="D9E2F3"/>
            <w:vAlign w:val="center"/>
          </w:tcPr>
          <w:p w14:paraId="4D70686E" w14:textId="77777777" w:rsidR="00990B14" w:rsidRDefault="00000000">
            <w:pPr>
              <w:spacing w:before="20" w:after="20"/>
              <w:jc w:val="both"/>
            </w:pPr>
            <w:r>
              <w:rPr>
                <w:sz w:val="18"/>
                <w:szCs w:val="18"/>
              </w:rPr>
              <w:t>No documenta las desviaciones.</w:t>
            </w:r>
          </w:p>
        </w:tc>
        <w:tc>
          <w:tcPr>
            <w:tcW w:w="1910" w:type="dxa"/>
            <w:shd w:val="clear" w:color="auto" w:fill="D9E2F3"/>
            <w:vAlign w:val="center"/>
          </w:tcPr>
          <w:p w14:paraId="6C6323CB" w14:textId="77777777" w:rsidR="00990B14" w:rsidRDefault="00000000">
            <w:pPr>
              <w:spacing w:before="20" w:after="20"/>
              <w:jc w:val="both"/>
            </w:pPr>
            <w:r>
              <w:rPr>
                <w:sz w:val="18"/>
                <w:szCs w:val="18"/>
              </w:rPr>
              <w:t>Documenta las desviaciones y determina el riesgo por ciclo.</w:t>
            </w:r>
          </w:p>
        </w:tc>
        <w:tc>
          <w:tcPr>
            <w:tcW w:w="2015" w:type="dxa"/>
            <w:shd w:val="clear" w:color="auto" w:fill="D9E2F3"/>
            <w:vAlign w:val="center"/>
          </w:tcPr>
          <w:p w14:paraId="326108CD" w14:textId="77777777" w:rsidR="00990B14" w:rsidRDefault="00000000">
            <w:pPr>
              <w:spacing w:before="20" w:after="20"/>
              <w:jc w:val="both"/>
            </w:pPr>
            <w:r>
              <w:rPr>
                <w:sz w:val="18"/>
                <w:szCs w:val="18"/>
              </w:rPr>
              <w:t>Relaciona el riesgo con la extensión de las pruebas sustantivas.</w:t>
            </w:r>
          </w:p>
        </w:tc>
      </w:tr>
      <w:tr w:rsidR="00990B14" w14:paraId="7BFEAA5A" w14:textId="77777777">
        <w:trPr>
          <w:cantSplit/>
          <w:jc w:val="center"/>
        </w:trPr>
        <w:tc>
          <w:tcPr>
            <w:tcW w:w="1793" w:type="dxa"/>
            <w:vMerge/>
            <w:shd w:val="clear" w:color="auto" w:fill="4472C4"/>
            <w:vAlign w:val="center"/>
          </w:tcPr>
          <w:p w14:paraId="173AC892" w14:textId="77777777" w:rsidR="00990B14" w:rsidRDefault="00990B14">
            <w:pPr>
              <w:spacing w:before="20" w:after="20"/>
            </w:pPr>
          </w:p>
        </w:tc>
        <w:tc>
          <w:tcPr>
            <w:tcW w:w="1830" w:type="dxa"/>
            <w:shd w:val="clear" w:color="auto" w:fill="D9E2F3"/>
            <w:vAlign w:val="center"/>
          </w:tcPr>
          <w:p w14:paraId="452D3F5D" w14:textId="77777777" w:rsidR="00990B14" w:rsidRDefault="00000000">
            <w:pPr>
              <w:spacing w:before="20" w:after="20"/>
              <w:jc w:val="both"/>
            </w:pPr>
            <w:r>
              <w:rPr>
                <w:sz w:val="18"/>
                <w:szCs w:val="18"/>
              </w:rPr>
              <w:t>Sustentación (A)</w:t>
            </w:r>
          </w:p>
        </w:tc>
        <w:tc>
          <w:tcPr>
            <w:tcW w:w="1857" w:type="dxa"/>
            <w:shd w:val="clear" w:color="auto" w:fill="D9E2F3"/>
            <w:vAlign w:val="center"/>
          </w:tcPr>
          <w:p w14:paraId="73E4A0B5" w14:textId="77777777" w:rsidR="00990B14" w:rsidRDefault="00000000">
            <w:pPr>
              <w:spacing w:before="20" w:after="20"/>
              <w:jc w:val="both"/>
            </w:pPr>
            <w:r>
              <w:rPr>
                <w:sz w:val="18"/>
                <w:szCs w:val="18"/>
              </w:rPr>
              <w:t>La sustentación es confusa.</w:t>
            </w:r>
          </w:p>
        </w:tc>
        <w:tc>
          <w:tcPr>
            <w:tcW w:w="1910" w:type="dxa"/>
            <w:shd w:val="clear" w:color="auto" w:fill="D9E2F3"/>
            <w:vAlign w:val="center"/>
          </w:tcPr>
          <w:p w14:paraId="24F63C5D" w14:textId="77777777" w:rsidR="00990B14" w:rsidRDefault="00000000">
            <w:pPr>
              <w:spacing w:before="20" w:after="20"/>
              <w:jc w:val="both"/>
            </w:pPr>
            <w:r>
              <w:rPr>
                <w:sz w:val="18"/>
                <w:szCs w:val="18"/>
              </w:rPr>
              <w:t>La sustentación es clara.</w:t>
            </w:r>
          </w:p>
        </w:tc>
        <w:tc>
          <w:tcPr>
            <w:tcW w:w="2015" w:type="dxa"/>
            <w:shd w:val="clear" w:color="auto" w:fill="D9E2F3"/>
            <w:vAlign w:val="center"/>
          </w:tcPr>
          <w:p w14:paraId="157671F6" w14:textId="77777777" w:rsidR="00990B14" w:rsidRDefault="00000000">
            <w:pPr>
              <w:spacing w:before="20" w:after="20"/>
              <w:jc w:val="both"/>
            </w:pPr>
            <w:r>
              <w:rPr>
                <w:sz w:val="18"/>
                <w:szCs w:val="18"/>
              </w:rPr>
              <w:t>Responde con fundamento las preguntas del curso.</w:t>
            </w:r>
          </w:p>
        </w:tc>
      </w:tr>
      <w:tr w:rsidR="00990B14" w14:paraId="74EADC6C" w14:textId="77777777">
        <w:trPr>
          <w:cantSplit/>
          <w:jc w:val="center"/>
        </w:trPr>
        <w:tc>
          <w:tcPr>
            <w:tcW w:w="1793" w:type="dxa"/>
            <w:vMerge/>
            <w:shd w:val="clear" w:color="auto" w:fill="4472C4"/>
            <w:vAlign w:val="center"/>
          </w:tcPr>
          <w:p w14:paraId="73DA438A" w14:textId="77777777" w:rsidR="00990B14" w:rsidRDefault="00990B14">
            <w:pPr>
              <w:spacing w:before="20" w:after="20"/>
            </w:pPr>
          </w:p>
        </w:tc>
        <w:tc>
          <w:tcPr>
            <w:tcW w:w="5597" w:type="dxa"/>
            <w:gridSpan w:val="3"/>
            <w:shd w:val="clear" w:color="auto" w:fill="D9E2F3"/>
            <w:vAlign w:val="center"/>
          </w:tcPr>
          <w:p w14:paraId="175E0749" w14:textId="77777777" w:rsidR="00990B14" w:rsidRDefault="00000000">
            <w:pPr>
              <w:keepNext/>
              <w:spacing w:before="20" w:after="20"/>
              <w:jc w:val="both"/>
            </w:pPr>
            <w:r>
              <w:rPr>
                <w:b/>
                <w:bCs/>
                <w:i/>
                <w:iCs/>
                <w:sz w:val="18"/>
                <w:szCs w:val="18"/>
              </w:rPr>
              <w:t xml:space="preserve">Producto 13: </w:t>
            </w:r>
            <w:r>
              <w:rPr>
                <w:sz w:val="18"/>
                <w:szCs w:val="18"/>
              </w:rPr>
              <w:t>Estrategia global y plan de auditoría</w:t>
            </w:r>
          </w:p>
        </w:tc>
        <w:tc>
          <w:tcPr>
            <w:tcW w:w="2015" w:type="dxa"/>
            <w:shd w:val="clear" w:color="auto" w:fill="D9E2F3"/>
            <w:vAlign w:val="center"/>
          </w:tcPr>
          <w:p w14:paraId="0D4A42A1" w14:textId="77777777" w:rsidR="00990B14" w:rsidRDefault="00000000">
            <w:pPr>
              <w:spacing w:before="20" w:after="20"/>
              <w:jc w:val="center"/>
            </w:pPr>
            <w:r>
              <w:rPr>
                <w:b/>
                <w:bCs/>
                <w:sz w:val="18"/>
                <w:szCs w:val="18"/>
              </w:rPr>
              <w:t>9%</w:t>
            </w:r>
          </w:p>
        </w:tc>
      </w:tr>
      <w:tr w:rsidR="00990B14" w14:paraId="07FEDAC1" w14:textId="77777777">
        <w:trPr>
          <w:cantSplit/>
          <w:jc w:val="center"/>
        </w:trPr>
        <w:tc>
          <w:tcPr>
            <w:tcW w:w="1793" w:type="dxa"/>
            <w:vMerge/>
            <w:shd w:val="clear" w:color="auto" w:fill="4472C4"/>
            <w:vAlign w:val="center"/>
          </w:tcPr>
          <w:p w14:paraId="71171571" w14:textId="77777777" w:rsidR="00990B14" w:rsidRDefault="00990B14">
            <w:pPr>
              <w:spacing w:before="20" w:after="20"/>
            </w:pPr>
          </w:p>
        </w:tc>
        <w:tc>
          <w:tcPr>
            <w:tcW w:w="1830" w:type="dxa"/>
            <w:shd w:val="clear" w:color="auto" w:fill="4472C4"/>
            <w:vAlign w:val="center"/>
          </w:tcPr>
          <w:p w14:paraId="1D9E73C8" w14:textId="77777777" w:rsidR="00990B14" w:rsidRDefault="00000000">
            <w:pPr>
              <w:keepNext/>
              <w:spacing w:before="20" w:after="20"/>
              <w:jc w:val="center"/>
            </w:pPr>
            <w:r>
              <w:rPr>
                <w:b/>
                <w:bCs/>
                <w:i/>
                <w:iCs/>
                <w:color w:val="FFFFFF"/>
                <w:sz w:val="18"/>
                <w:szCs w:val="18"/>
              </w:rPr>
              <w:t>Criterio</w:t>
            </w:r>
          </w:p>
        </w:tc>
        <w:tc>
          <w:tcPr>
            <w:tcW w:w="1857" w:type="dxa"/>
            <w:shd w:val="clear" w:color="auto" w:fill="4472C4"/>
            <w:vAlign w:val="center"/>
          </w:tcPr>
          <w:p w14:paraId="62CC9081"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5CD07E54"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458B31B6" w14:textId="77777777" w:rsidR="00990B14" w:rsidRDefault="00000000">
            <w:pPr>
              <w:keepNext/>
              <w:spacing w:before="20" w:after="20"/>
              <w:jc w:val="center"/>
            </w:pPr>
            <w:r>
              <w:rPr>
                <w:b/>
                <w:bCs/>
                <w:i/>
                <w:iCs/>
                <w:color w:val="FFFFFF"/>
                <w:sz w:val="18"/>
                <w:szCs w:val="18"/>
              </w:rPr>
              <w:t>Destacado (81–100)</w:t>
            </w:r>
          </w:p>
        </w:tc>
      </w:tr>
      <w:tr w:rsidR="00990B14" w14:paraId="16D5D6B7" w14:textId="77777777">
        <w:trPr>
          <w:cantSplit/>
          <w:jc w:val="center"/>
        </w:trPr>
        <w:tc>
          <w:tcPr>
            <w:tcW w:w="1793" w:type="dxa"/>
            <w:vMerge/>
            <w:shd w:val="clear" w:color="auto" w:fill="4472C4"/>
            <w:vAlign w:val="center"/>
          </w:tcPr>
          <w:p w14:paraId="571AC41A" w14:textId="77777777" w:rsidR="00990B14" w:rsidRDefault="00990B14">
            <w:pPr>
              <w:spacing w:before="20" w:after="20"/>
            </w:pPr>
          </w:p>
        </w:tc>
        <w:tc>
          <w:tcPr>
            <w:tcW w:w="1830" w:type="dxa"/>
            <w:shd w:val="clear" w:color="auto" w:fill="D9E2F3"/>
            <w:vAlign w:val="center"/>
          </w:tcPr>
          <w:p w14:paraId="38E1F6CF" w14:textId="77777777" w:rsidR="00990B14" w:rsidRDefault="00000000">
            <w:pPr>
              <w:spacing w:before="20" w:after="20"/>
              <w:jc w:val="both"/>
            </w:pPr>
            <w:r>
              <w:rPr>
                <w:sz w:val="18"/>
                <w:szCs w:val="18"/>
              </w:rPr>
              <w:t>Independencia y riesgos (C)</w:t>
            </w:r>
          </w:p>
        </w:tc>
        <w:tc>
          <w:tcPr>
            <w:tcW w:w="1857" w:type="dxa"/>
            <w:shd w:val="clear" w:color="auto" w:fill="D9E2F3"/>
            <w:vAlign w:val="center"/>
          </w:tcPr>
          <w:p w14:paraId="4FC6231D" w14:textId="77777777" w:rsidR="00990B14" w:rsidRDefault="00000000">
            <w:pPr>
              <w:spacing w:before="20" w:after="20"/>
              <w:jc w:val="both"/>
            </w:pPr>
            <w:r>
              <w:rPr>
                <w:sz w:val="18"/>
                <w:szCs w:val="18"/>
              </w:rPr>
              <w:t>Omite la evaluación de independencia o los riesgos significativos.</w:t>
            </w:r>
          </w:p>
        </w:tc>
        <w:tc>
          <w:tcPr>
            <w:tcW w:w="1910" w:type="dxa"/>
            <w:shd w:val="clear" w:color="auto" w:fill="D9E2F3"/>
            <w:vAlign w:val="center"/>
          </w:tcPr>
          <w:p w14:paraId="7F3DE70C" w14:textId="77777777" w:rsidR="00990B14" w:rsidRDefault="00000000">
            <w:pPr>
              <w:spacing w:before="20" w:after="20"/>
              <w:jc w:val="both"/>
            </w:pPr>
            <w:r>
              <w:rPr>
                <w:sz w:val="18"/>
                <w:szCs w:val="18"/>
              </w:rPr>
              <w:t>Evalúa la independencia e identifica los riesgos inherentes y de fraude.</w:t>
            </w:r>
          </w:p>
        </w:tc>
        <w:tc>
          <w:tcPr>
            <w:tcW w:w="2015" w:type="dxa"/>
            <w:shd w:val="clear" w:color="auto" w:fill="D9E2F3"/>
            <w:vAlign w:val="center"/>
          </w:tcPr>
          <w:p w14:paraId="04D5BD8F" w14:textId="77777777" w:rsidR="00990B14" w:rsidRDefault="00000000">
            <w:pPr>
              <w:spacing w:before="20" w:after="20"/>
              <w:jc w:val="both"/>
            </w:pPr>
            <w:r>
              <w:rPr>
                <w:sz w:val="18"/>
                <w:szCs w:val="18"/>
              </w:rPr>
              <w:t>Vincula cada riesgo con sus procedimientos de respuesta.</w:t>
            </w:r>
          </w:p>
        </w:tc>
      </w:tr>
      <w:tr w:rsidR="00990B14" w14:paraId="7B187638" w14:textId="77777777">
        <w:trPr>
          <w:cantSplit/>
          <w:jc w:val="center"/>
        </w:trPr>
        <w:tc>
          <w:tcPr>
            <w:tcW w:w="1793" w:type="dxa"/>
            <w:vMerge/>
            <w:shd w:val="clear" w:color="auto" w:fill="4472C4"/>
            <w:vAlign w:val="center"/>
          </w:tcPr>
          <w:p w14:paraId="249AF410" w14:textId="77777777" w:rsidR="00990B14" w:rsidRDefault="00990B14">
            <w:pPr>
              <w:spacing w:before="20" w:after="20"/>
            </w:pPr>
          </w:p>
        </w:tc>
        <w:tc>
          <w:tcPr>
            <w:tcW w:w="1830" w:type="dxa"/>
            <w:shd w:val="clear" w:color="auto" w:fill="D9E2F3"/>
            <w:vAlign w:val="center"/>
          </w:tcPr>
          <w:p w14:paraId="6791CB86" w14:textId="77777777" w:rsidR="00990B14" w:rsidRDefault="00000000">
            <w:pPr>
              <w:spacing w:before="20" w:after="20"/>
              <w:jc w:val="both"/>
            </w:pPr>
            <w:r>
              <w:rPr>
                <w:sz w:val="18"/>
                <w:szCs w:val="18"/>
              </w:rPr>
              <w:t>Materialidad y plan (P)</w:t>
            </w:r>
          </w:p>
        </w:tc>
        <w:tc>
          <w:tcPr>
            <w:tcW w:w="1857" w:type="dxa"/>
            <w:shd w:val="clear" w:color="auto" w:fill="D9E2F3"/>
            <w:vAlign w:val="center"/>
          </w:tcPr>
          <w:p w14:paraId="5F39B8FB" w14:textId="77777777" w:rsidR="00990B14" w:rsidRDefault="00000000">
            <w:pPr>
              <w:spacing w:before="20" w:after="20"/>
              <w:jc w:val="both"/>
            </w:pPr>
            <w:r>
              <w:rPr>
                <w:sz w:val="18"/>
                <w:szCs w:val="18"/>
              </w:rPr>
              <w:t>Elige una base de materialidad inadecuada.</w:t>
            </w:r>
          </w:p>
        </w:tc>
        <w:tc>
          <w:tcPr>
            <w:tcW w:w="1910" w:type="dxa"/>
            <w:shd w:val="clear" w:color="auto" w:fill="D9E2F3"/>
            <w:vAlign w:val="center"/>
          </w:tcPr>
          <w:p w14:paraId="447A6534" w14:textId="77777777" w:rsidR="00990B14" w:rsidRDefault="00000000">
            <w:pPr>
              <w:spacing w:before="20" w:after="20"/>
              <w:jc w:val="both"/>
            </w:pPr>
            <w:r>
              <w:rPr>
                <w:sz w:val="18"/>
                <w:szCs w:val="18"/>
              </w:rPr>
              <w:t>Determina la materialidad y define la naturaleza, el momento y la extensión de las pruebas.</w:t>
            </w:r>
          </w:p>
        </w:tc>
        <w:tc>
          <w:tcPr>
            <w:tcW w:w="2015" w:type="dxa"/>
            <w:shd w:val="clear" w:color="auto" w:fill="D9E2F3"/>
            <w:vAlign w:val="center"/>
          </w:tcPr>
          <w:p w14:paraId="26894493" w14:textId="77777777" w:rsidR="00990B14" w:rsidRDefault="00000000">
            <w:pPr>
              <w:spacing w:before="20" w:after="20"/>
              <w:jc w:val="both"/>
            </w:pPr>
            <w:r>
              <w:rPr>
                <w:sz w:val="18"/>
                <w:szCs w:val="18"/>
              </w:rPr>
              <w:t>Fija la materialidad de ejecución y ajusta el plan a los requisitos del financiador.</w:t>
            </w:r>
          </w:p>
        </w:tc>
      </w:tr>
      <w:tr w:rsidR="00990B14" w14:paraId="136F8B90" w14:textId="77777777">
        <w:trPr>
          <w:cantSplit/>
          <w:jc w:val="center"/>
        </w:trPr>
        <w:tc>
          <w:tcPr>
            <w:tcW w:w="1793" w:type="dxa"/>
            <w:vMerge/>
            <w:shd w:val="clear" w:color="auto" w:fill="4472C4"/>
            <w:vAlign w:val="center"/>
          </w:tcPr>
          <w:p w14:paraId="747C32BC" w14:textId="77777777" w:rsidR="00990B14" w:rsidRDefault="00990B14">
            <w:pPr>
              <w:spacing w:before="20" w:after="20"/>
            </w:pPr>
          </w:p>
        </w:tc>
        <w:tc>
          <w:tcPr>
            <w:tcW w:w="1830" w:type="dxa"/>
            <w:shd w:val="clear" w:color="auto" w:fill="D9E2F3"/>
            <w:vAlign w:val="center"/>
          </w:tcPr>
          <w:p w14:paraId="5BB341D1" w14:textId="77777777" w:rsidR="00990B14" w:rsidRDefault="00000000">
            <w:pPr>
              <w:spacing w:before="20" w:after="20"/>
              <w:jc w:val="both"/>
            </w:pPr>
            <w:r>
              <w:rPr>
                <w:sz w:val="18"/>
                <w:szCs w:val="18"/>
              </w:rPr>
              <w:t>Escepticismo profesional (A)</w:t>
            </w:r>
          </w:p>
        </w:tc>
        <w:tc>
          <w:tcPr>
            <w:tcW w:w="1857" w:type="dxa"/>
            <w:shd w:val="clear" w:color="auto" w:fill="D9E2F3"/>
            <w:vAlign w:val="center"/>
          </w:tcPr>
          <w:p w14:paraId="06F0E1F2" w14:textId="77777777" w:rsidR="00990B14" w:rsidRDefault="00000000">
            <w:pPr>
              <w:spacing w:before="20" w:after="20"/>
              <w:jc w:val="both"/>
            </w:pPr>
            <w:r>
              <w:rPr>
                <w:sz w:val="18"/>
                <w:szCs w:val="18"/>
              </w:rPr>
              <w:t>Acepta la información sin cuestionarla.</w:t>
            </w:r>
          </w:p>
        </w:tc>
        <w:tc>
          <w:tcPr>
            <w:tcW w:w="1910" w:type="dxa"/>
            <w:shd w:val="clear" w:color="auto" w:fill="D9E2F3"/>
            <w:vAlign w:val="center"/>
          </w:tcPr>
          <w:p w14:paraId="6218AD6B" w14:textId="77777777" w:rsidR="00990B14" w:rsidRDefault="00000000">
            <w:pPr>
              <w:spacing w:before="20" w:after="20"/>
              <w:jc w:val="both"/>
            </w:pPr>
            <w:r>
              <w:rPr>
                <w:sz w:val="18"/>
                <w:szCs w:val="18"/>
              </w:rPr>
              <w:t>Plantea preguntas críticas sobre la información del cliente.</w:t>
            </w:r>
          </w:p>
        </w:tc>
        <w:tc>
          <w:tcPr>
            <w:tcW w:w="2015" w:type="dxa"/>
            <w:shd w:val="clear" w:color="auto" w:fill="D9E2F3"/>
            <w:vAlign w:val="center"/>
          </w:tcPr>
          <w:p w14:paraId="67C1DE06" w14:textId="77777777" w:rsidR="00990B14" w:rsidRDefault="00000000">
            <w:pPr>
              <w:spacing w:before="20" w:after="20"/>
              <w:jc w:val="both"/>
            </w:pPr>
            <w:r>
              <w:rPr>
                <w:sz w:val="18"/>
                <w:szCs w:val="18"/>
              </w:rPr>
              <w:t>Documenta cómo el escepticismo modificó el plan.</w:t>
            </w:r>
          </w:p>
        </w:tc>
      </w:tr>
      <w:tr w:rsidR="00990B14" w14:paraId="043817A7" w14:textId="77777777">
        <w:trPr>
          <w:cantSplit/>
          <w:jc w:val="center"/>
        </w:trPr>
        <w:tc>
          <w:tcPr>
            <w:tcW w:w="1793" w:type="dxa"/>
            <w:vMerge/>
            <w:shd w:val="clear" w:color="auto" w:fill="4472C4"/>
            <w:vAlign w:val="center"/>
          </w:tcPr>
          <w:p w14:paraId="3949BEB2" w14:textId="77777777" w:rsidR="00990B14" w:rsidRDefault="00990B14">
            <w:pPr>
              <w:spacing w:before="20" w:after="20"/>
            </w:pPr>
          </w:p>
        </w:tc>
        <w:tc>
          <w:tcPr>
            <w:tcW w:w="5597" w:type="dxa"/>
            <w:gridSpan w:val="3"/>
            <w:shd w:val="clear" w:color="auto" w:fill="D9E2F3"/>
            <w:vAlign w:val="center"/>
          </w:tcPr>
          <w:p w14:paraId="5D259305" w14:textId="77777777" w:rsidR="00990B14" w:rsidRDefault="00000000">
            <w:pPr>
              <w:keepNext/>
              <w:spacing w:before="20" w:after="20"/>
              <w:jc w:val="both"/>
            </w:pPr>
            <w:r>
              <w:rPr>
                <w:b/>
                <w:bCs/>
                <w:i/>
                <w:iCs/>
                <w:sz w:val="18"/>
                <w:szCs w:val="18"/>
              </w:rPr>
              <w:t xml:space="preserve">Producto 14: </w:t>
            </w:r>
            <w:r>
              <w:rPr>
                <w:sz w:val="18"/>
                <w:szCs w:val="18"/>
              </w:rPr>
              <w:t>Papel de trabajo de analítica de datos e IA</w:t>
            </w:r>
          </w:p>
        </w:tc>
        <w:tc>
          <w:tcPr>
            <w:tcW w:w="2015" w:type="dxa"/>
            <w:shd w:val="clear" w:color="auto" w:fill="D9E2F3"/>
            <w:vAlign w:val="center"/>
          </w:tcPr>
          <w:p w14:paraId="0586174A" w14:textId="77777777" w:rsidR="00990B14" w:rsidRDefault="00000000">
            <w:pPr>
              <w:spacing w:before="20" w:after="20"/>
              <w:jc w:val="center"/>
            </w:pPr>
            <w:r>
              <w:rPr>
                <w:b/>
                <w:bCs/>
                <w:sz w:val="18"/>
                <w:szCs w:val="18"/>
              </w:rPr>
              <w:t>9%</w:t>
            </w:r>
          </w:p>
        </w:tc>
      </w:tr>
      <w:tr w:rsidR="00990B14" w14:paraId="657F1C42" w14:textId="77777777">
        <w:trPr>
          <w:cantSplit/>
          <w:jc w:val="center"/>
        </w:trPr>
        <w:tc>
          <w:tcPr>
            <w:tcW w:w="1793" w:type="dxa"/>
            <w:vMerge/>
            <w:shd w:val="clear" w:color="auto" w:fill="4472C4"/>
            <w:vAlign w:val="center"/>
          </w:tcPr>
          <w:p w14:paraId="76F003C2" w14:textId="77777777" w:rsidR="00990B14" w:rsidRDefault="00990B14">
            <w:pPr>
              <w:spacing w:before="20" w:after="20"/>
            </w:pPr>
          </w:p>
        </w:tc>
        <w:tc>
          <w:tcPr>
            <w:tcW w:w="1830" w:type="dxa"/>
            <w:shd w:val="clear" w:color="auto" w:fill="4472C4"/>
            <w:vAlign w:val="center"/>
          </w:tcPr>
          <w:p w14:paraId="70CD1C1D" w14:textId="77777777" w:rsidR="00990B14" w:rsidRDefault="00000000">
            <w:pPr>
              <w:keepNext/>
              <w:spacing w:before="20" w:after="20"/>
              <w:jc w:val="center"/>
            </w:pPr>
            <w:r>
              <w:rPr>
                <w:b/>
                <w:bCs/>
                <w:i/>
                <w:iCs/>
                <w:color w:val="FFFFFF"/>
                <w:sz w:val="18"/>
                <w:szCs w:val="18"/>
              </w:rPr>
              <w:t>Criterio</w:t>
            </w:r>
          </w:p>
        </w:tc>
        <w:tc>
          <w:tcPr>
            <w:tcW w:w="1857" w:type="dxa"/>
            <w:shd w:val="clear" w:color="auto" w:fill="4472C4"/>
            <w:vAlign w:val="center"/>
          </w:tcPr>
          <w:p w14:paraId="07BC8172"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65BE9E18"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5CC3FAF3" w14:textId="77777777" w:rsidR="00990B14" w:rsidRDefault="00000000">
            <w:pPr>
              <w:keepNext/>
              <w:spacing w:before="20" w:after="20"/>
              <w:jc w:val="center"/>
            </w:pPr>
            <w:r>
              <w:rPr>
                <w:b/>
                <w:bCs/>
                <w:i/>
                <w:iCs/>
                <w:color w:val="FFFFFF"/>
                <w:sz w:val="18"/>
                <w:szCs w:val="18"/>
              </w:rPr>
              <w:t>Destacado (81–100)</w:t>
            </w:r>
          </w:p>
        </w:tc>
      </w:tr>
      <w:tr w:rsidR="00990B14" w14:paraId="29701DD8" w14:textId="77777777">
        <w:trPr>
          <w:cantSplit/>
          <w:jc w:val="center"/>
        </w:trPr>
        <w:tc>
          <w:tcPr>
            <w:tcW w:w="1793" w:type="dxa"/>
            <w:vMerge/>
            <w:shd w:val="clear" w:color="auto" w:fill="4472C4"/>
            <w:vAlign w:val="center"/>
          </w:tcPr>
          <w:p w14:paraId="586C03F7" w14:textId="77777777" w:rsidR="00990B14" w:rsidRDefault="00990B14">
            <w:pPr>
              <w:spacing w:before="20" w:after="20"/>
            </w:pPr>
          </w:p>
        </w:tc>
        <w:tc>
          <w:tcPr>
            <w:tcW w:w="1830" w:type="dxa"/>
            <w:shd w:val="clear" w:color="auto" w:fill="D9E2F3"/>
            <w:vAlign w:val="center"/>
          </w:tcPr>
          <w:p w14:paraId="42E0FB77" w14:textId="77777777" w:rsidR="00990B14" w:rsidRDefault="00000000">
            <w:pPr>
              <w:spacing w:before="20" w:after="20"/>
              <w:jc w:val="both"/>
            </w:pPr>
            <w:r>
              <w:rPr>
                <w:sz w:val="18"/>
                <w:szCs w:val="18"/>
              </w:rPr>
              <w:t>Riesgos del uso de la IA (C)</w:t>
            </w:r>
          </w:p>
        </w:tc>
        <w:tc>
          <w:tcPr>
            <w:tcW w:w="1857" w:type="dxa"/>
            <w:shd w:val="clear" w:color="auto" w:fill="D9E2F3"/>
            <w:vAlign w:val="center"/>
          </w:tcPr>
          <w:p w14:paraId="4C1BCAD0" w14:textId="77777777" w:rsidR="00990B14" w:rsidRDefault="00000000">
            <w:pPr>
              <w:spacing w:before="20" w:after="20"/>
              <w:jc w:val="both"/>
            </w:pPr>
            <w:r>
              <w:rPr>
                <w:sz w:val="18"/>
                <w:szCs w:val="18"/>
              </w:rPr>
              <w:t>Desconoce las limitaciones de la IA.</w:t>
            </w:r>
          </w:p>
        </w:tc>
        <w:tc>
          <w:tcPr>
            <w:tcW w:w="1910" w:type="dxa"/>
            <w:shd w:val="clear" w:color="auto" w:fill="D9E2F3"/>
            <w:vAlign w:val="center"/>
          </w:tcPr>
          <w:p w14:paraId="61406B72" w14:textId="77777777" w:rsidR="00990B14" w:rsidRDefault="00000000">
            <w:pPr>
              <w:spacing w:before="20" w:after="20"/>
              <w:jc w:val="both"/>
            </w:pPr>
            <w:r>
              <w:rPr>
                <w:sz w:val="18"/>
                <w:szCs w:val="18"/>
              </w:rPr>
              <w:t>Explica los riesgos, las limitaciones y la confidencialidad del uso de la IA.</w:t>
            </w:r>
          </w:p>
        </w:tc>
        <w:tc>
          <w:tcPr>
            <w:tcW w:w="2015" w:type="dxa"/>
            <w:shd w:val="clear" w:color="auto" w:fill="D9E2F3"/>
            <w:vAlign w:val="center"/>
          </w:tcPr>
          <w:p w14:paraId="7F66E51A" w14:textId="77777777" w:rsidR="00990B14" w:rsidRDefault="00000000">
            <w:pPr>
              <w:spacing w:before="20" w:after="20"/>
              <w:jc w:val="both"/>
            </w:pPr>
            <w:r>
              <w:rPr>
                <w:sz w:val="18"/>
                <w:szCs w:val="18"/>
              </w:rPr>
              <w:t>Fundamenta el juicio profesional sobre los resultados obtenidos.</w:t>
            </w:r>
          </w:p>
        </w:tc>
      </w:tr>
      <w:tr w:rsidR="00990B14" w14:paraId="46987031" w14:textId="77777777">
        <w:trPr>
          <w:cantSplit/>
          <w:jc w:val="center"/>
        </w:trPr>
        <w:tc>
          <w:tcPr>
            <w:tcW w:w="1793" w:type="dxa"/>
            <w:vMerge/>
            <w:shd w:val="clear" w:color="auto" w:fill="4472C4"/>
            <w:vAlign w:val="center"/>
          </w:tcPr>
          <w:p w14:paraId="4D35A3A3" w14:textId="77777777" w:rsidR="00990B14" w:rsidRDefault="00990B14">
            <w:pPr>
              <w:spacing w:before="20" w:after="20"/>
            </w:pPr>
          </w:p>
        </w:tc>
        <w:tc>
          <w:tcPr>
            <w:tcW w:w="1830" w:type="dxa"/>
            <w:shd w:val="clear" w:color="auto" w:fill="D9E2F3"/>
            <w:vAlign w:val="center"/>
          </w:tcPr>
          <w:p w14:paraId="1DD37896" w14:textId="77777777" w:rsidR="00990B14" w:rsidRDefault="00000000">
            <w:pPr>
              <w:spacing w:before="20" w:after="20"/>
              <w:jc w:val="both"/>
            </w:pPr>
            <w:r>
              <w:rPr>
                <w:sz w:val="18"/>
                <w:szCs w:val="18"/>
              </w:rPr>
              <w:t>Pruebas aplicadas (P)</w:t>
            </w:r>
          </w:p>
        </w:tc>
        <w:tc>
          <w:tcPr>
            <w:tcW w:w="1857" w:type="dxa"/>
            <w:shd w:val="clear" w:color="auto" w:fill="D9E2F3"/>
            <w:vAlign w:val="center"/>
          </w:tcPr>
          <w:p w14:paraId="54C5DA33" w14:textId="77777777" w:rsidR="00990B14" w:rsidRDefault="00000000">
            <w:pPr>
              <w:spacing w:before="20" w:after="20"/>
              <w:jc w:val="both"/>
            </w:pPr>
            <w:r>
              <w:rPr>
                <w:sz w:val="18"/>
                <w:szCs w:val="18"/>
              </w:rPr>
              <w:t>Aplica pruebas irrelevantes o no investiga las excepciones.</w:t>
            </w:r>
          </w:p>
        </w:tc>
        <w:tc>
          <w:tcPr>
            <w:tcW w:w="1910" w:type="dxa"/>
            <w:shd w:val="clear" w:color="auto" w:fill="D9E2F3"/>
            <w:vAlign w:val="center"/>
          </w:tcPr>
          <w:p w14:paraId="4550A9D9" w14:textId="77777777" w:rsidR="00990B14" w:rsidRDefault="00000000">
            <w:pPr>
              <w:spacing w:before="20" w:after="20"/>
              <w:jc w:val="both"/>
            </w:pPr>
            <w:r>
              <w:rPr>
                <w:sz w:val="18"/>
                <w:szCs w:val="18"/>
              </w:rPr>
              <w:t>Aplica pruebas de totalidad, duplicados y estratificación y documenta las excepciones.</w:t>
            </w:r>
          </w:p>
        </w:tc>
        <w:tc>
          <w:tcPr>
            <w:tcW w:w="2015" w:type="dxa"/>
            <w:shd w:val="clear" w:color="auto" w:fill="D9E2F3"/>
            <w:vAlign w:val="center"/>
          </w:tcPr>
          <w:p w14:paraId="4290C312" w14:textId="77777777" w:rsidR="00990B14" w:rsidRDefault="00000000">
            <w:pPr>
              <w:spacing w:before="20" w:after="20"/>
              <w:jc w:val="both"/>
            </w:pPr>
            <w:r>
              <w:rPr>
                <w:sz w:val="18"/>
                <w:szCs w:val="18"/>
              </w:rPr>
              <w:t>Combina pruebas y concluye sobre su efecto en el control interno.</w:t>
            </w:r>
          </w:p>
        </w:tc>
      </w:tr>
      <w:tr w:rsidR="00990B14" w14:paraId="73FE30E4" w14:textId="77777777">
        <w:trPr>
          <w:cantSplit/>
          <w:jc w:val="center"/>
        </w:trPr>
        <w:tc>
          <w:tcPr>
            <w:tcW w:w="1793" w:type="dxa"/>
            <w:vMerge/>
            <w:shd w:val="clear" w:color="auto" w:fill="4472C4"/>
            <w:vAlign w:val="center"/>
          </w:tcPr>
          <w:p w14:paraId="6114DBCB" w14:textId="77777777" w:rsidR="00990B14" w:rsidRDefault="00990B14">
            <w:pPr>
              <w:spacing w:before="20" w:after="20"/>
            </w:pPr>
          </w:p>
        </w:tc>
        <w:tc>
          <w:tcPr>
            <w:tcW w:w="1830" w:type="dxa"/>
            <w:shd w:val="clear" w:color="auto" w:fill="D9E2F3"/>
            <w:vAlign w:val="center"/>
          </w:tcPr>
          <w:p w14:paraId="7840EC56" w14:textId="77777777" w:rsidR="00990B14" w:rsidRDefault="00000000">
            <w:pPr>
              <w:spacing w:before="20" w:after="20"/>
              <w:jc w:val="both"/>
            </w:pPr>
            <w:r>
              <w:rPr>
                <w:sz w:val="18"/>
                <w:szCs w:val="18"/>
              </w:rPr>
              <w:t>Trazabilidad (T)</w:t>
            </w:r>
          </w:p>
        </w:tc>
        <w:tc>
          <w:tcPr>
            <w:tcW w:w="1857" w:type="dxa"/>
            <w:shd w:val="clear" w:color="auto" w:fill="D9E2F3"/>
            <w:vAlign w:val="center"/>
          </w:tcPr>
          <w:p w14:paraId="6DB7872A" w14:textId="77777777" w:rsidR="00990B14" w:rsidRDefault="00000000">
            <w:pPr>
              <w:spacing w:before="20" w:after="20"/>
              <w:jc w:val="both"/>
            </w:pPr>
            <w:r>
              <w:rPr>
                <w:sz w:val="18"/>
                <w:szCs w:val="18"/>
              </w:rPr>
              <w:t>No documenta las instrucciones ni las rutinas.</w:t>
            </w:r>
          </w:p>
        </w:tc>
        <w:tc>
          <w:tcPr>
            <w:tcW w:w="1910" w:type="dxa"/>
            <w:shd w:val="clear" w:color="auto" w:fill="D9E2F3"/>
            <w:vAlign w:val="center"/>
          </w:tcPr>
          <w:p w14:paraId="34C95410" w14:textId="77777777" w:rsidR="00990B14" w:rsidRDefault="00000000">
            <w:pPr>
              <w:spacing w:before="20" w:after="20"/>
              <w:jc w:val="both"/>
            </w:pPr>
            <w:r>
              <w:rPr>
                <w:sz w:val="18"/>
                <w:szCs w:val="18"/>
              </w:rPr>
              <w:t>Documenta las instrucciones, las rutinas y los resultados.</w:t>
            </w:r>
          </w:p>
        </w:tc>
        <w:tc>
          <w:tcPr>
            <w:tcW w:w="2015" w:type="dxa"/>
            <w:shd w:val="clear" w:color="auto" w:fill="D9E2F3"/>
            <w:vAlign w:val="center"/>
          </w:tcPr>
          <w:p w14:paraId="2AAAC2C1" w14:textId="77777777" w:rsidR="00990B14" w:rsidRDefault="00000000">
            <w:pPr>
              <w:spacing w:before="20" w:after="20"/>
              <w:jc w:val="both"/>
            </w:pPr>
            <w:r>
              <w:rPr>
                <w:sz w:val="18"/>
                <w:szCs w:val="18"/>
              </w:rPr>
              <w:t>Valida los resultados de la IA con evidencia independiente y los hace reproducibles.</w:t>
            </w:r>
          </w:p>
        </w:tc>
      </w:tr>
      <w:tr w:rsidR="00990B14" w14:paraId="3121E17F" w14:textId="77777777">
        <w:trPr>
          <w:cantSplit/>
          <w:jc w:val="center"/>
        </w:trPr>
        <w:tc>
          <w:tcPr>
            <w:tcW w:w="1793" w:type="dxa"/>
            <w:vMerge/>
            <w:shd w:val="clear" w:color="auto" w:fill="4472C4"/>
            <w:vAlign w:val="center"/>
          </w:tcPr>
          <w:p w14:paraId="79A67F4E" w14:textId="77777777" w:rsidR="00990B14" w:rsidRDefault="00990B14">
            <w:pPr>
              <w:spacing w:before="20" w:after="20"/>
            </w:pPr>
          </w:p>
        </w:tc>
        <w:tc>
          <w:tcPr>
            <w:tcW w:w="5597" w:type="dxa"/>
            <w:gridSpan w:val="3"/>
            <w:shd w:val="clear" w:color="auto" w:fill="D9E2F3"/>
            <w:vAlign w:val="center"/>
          </w:tcPr>
          <w:p w14:paraId="036EC382" w14:textId="77777777" w:rsidR="00990B14" w:rsidRDefault="00000000">
            <w:pPr>
              <w:keepNext/>
              <w:spacing w:before="20" w:after="20"/>
              <w:jc w:val="both"/>
            </w:pPr>
            <w:r>
              <w:rPr>
                <w:b/>
                <w:bCs/>
                <w:i/>
                <w:iCs/>
                <w:sz w:val="18"/>
                <w:szCs w:val="18"/>
              </w:rPr>
              <w:t xml:space="preserve">Producto 15: </w:t>
            </w:r>
            <w:r>
              <w:rPr>
                <w:sz w:val="18"/>
                <w:szCs w:val="18"/>
              </w:rPr>
              <w:t>Gastos no elegibles y cumplimiento del convenio</w:t>
            </w:r>
          </w:p>
        </w:tc>
        <w:tc>
          <w:tcPr>
            <w:tcW w:w="2015" w:type="dxa"/>
            <w:shd w:val="clear" w:color="auto" w:fill="D9E2F3"/>
            <w:vAlign w:val="center"/>
          </w:tcPr>
          <w:p w14:paraId="4B4F028E" w14:textId="77777777" w:rsidR="00990B14" w:rsidRDefault="00000000">
            <w:pPr>
              <w:spacing w:before="20" w:after="20"/>
              <w:jc w:val="center"/>
            </w:pPr>
            <w:r>
              <w:rPr>
                <w:b/>
                <w:bCs/>
                <w:sz w:val="18"/>
                <w:szCs w:val="18"/>
              </w:rPr>
              <w:t>9%</w:t>
            </w:r>
          </w:p>
        </w:tc>
      </w:tr>
      <w:tr w:rsidR="00990B14" w14:paraId="4E3472CE" w14:textId="77777777">
        <w:trPr>
          <w:cantSplit/>
          <w:jc w:val="center"/>
        </w:trPr>
        <w:tc>
          <w:tcPr>
            <w:tcW w:w="1793" w:type="dxa"/>
            <w:vMerge/>
            <w:shd w:val="clear" w:color="auto" w:fill="4472C4"/>
            <w:vAlign w:val="center"/>
          </w:tcPr>
          <w:p w14:paraId="7BD48BCA" w14:textId="77777777" w:rsidR="00990B14" w:rsidRDefault="00990B14">
            <w:pPr>
              <w:spacing w:before="20" w:after="20"/>
            </w:pPr>
          </w:p>
        </w:tc>
        <w:tc>
          <w:tcPr>
            <w:tcW w:w="1830" w:type="dxa"/>
            <w:shd w:val="clear" w:color="auto" w:fill="4472C4"/>
            <w:vAlign w:val="center"/>
          </w:tcPr>
          <w:p w14:paraId="2403CF9A" w14:textId="77777777" w:rsidR="00990B14" w:rsidRDefault="00000000">
            <w:pPr>
              <w:keepNext/>
              <w:spacing w:before="20" w:after="20"/>
              <w:jc w:val="center"/>
            </w:pPr>
            <w:r>
              <w:rPr>
                <w:b/>
                <w:bCs/>
                <w:i/>
                <w:iCs/>
                <w:color w:val="FFFFFF"/>
                <w:sz w:val="18"/>
                <w:szCs w:val="18"/>
              </w:rPr>
              <w:t>Criterio</w:t>
            </w:r>
          </w:p>
        </w:tc>
        <w:tc>
          <w:tcPr>
            <w:tcW w:w="1857" w:type="dxa"/>
            <w:shd w:val="clear" w:color="auto" w:fill="4472C4"/>
            <w:vAlign w:val="center"/>
          </w:tcPr>
          <w:p w14:paraId="41400D4E"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514B3251"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4CD6241E" w14:textId="77777777" w:rsidR="00990B14" w:rsidRDefault="00000000">
            <w:pPr>
              <w:keepNext/>
              <w:spacing w:before="20" w:after="20"/>
              <w:jc w:val="center"/>
            </w:pPr>
            <w:r>
              <w:rPr>
                <w:b/>
                <w:bCs/>
                <w:i/>
                <w:iCs/>
                <w:color w:val="FFFFFF"/>
                <w:sz w:val="18"/>
                <w:szCs w:val="18"/>
              </w:rPr>
              <w:t>Destacado (81–100)</w:t>
            </w:r>
          </w:p>
        </w:tc>
      </w:tr>
      <w:tr w:rsidR="00990B14" w14:paraId="730D0336" w14:textId="77777777">
        <w:trPr>
          <w:cantSplit/>
          <w:jc w:val="center"/>
        </w:trPr>
        <w:tc>
          <w:tcPr>
            <w:tcW w:w="1793" w:type="dxa"/>
            <w:vMerge/>
            <w:shd w:val="clear" w:color="auto" w:fill="4472C4"/>
            <w:vAlign w:val="center"/>
          </w:tcPr>
          <w:p w14:paraId="4D2535DB" w14:textId="77777777" w:rsidR="00990B14" w:rsidRDefault="00990B14">
            <w:pPr>
              <w:spacing w:before="20" w:after="20"/>
            </w:pPr>
          </w:p>
        </w:tc>
        <w:tc>
          <w:tcPr>
            <w:tcW w:w="1830" w:type="dxa"/>
            <w:shd w:val="clear" w:color="auto" w:fill="D9E2F3"/>
            <w:vAlign w:val="center"/>
          </w:tcPr>
          <w:p w14:paraId="278FF76A" w14:textId="77777777" w:rsidR="00990B14" w:rsidRDefault="00000000">
            <w:pPr>
              <w:spacing w:before="20" w:after="20"/>
              <w:jc w:val="both"/>
            </w:pPr>
            <w:r>
              <w:rPr>
                <w:sz w:val="18"/>
                <w:szCs w:val="18"/>
              </w:rPr>
              <w:t>Fundamento contractual (C)</w:t>
            </w:r>
          </w:p>
        </w:tc>
        <w:tc>
          <w:tcPr>
            <w:tcW w:w="1857" w:type="dxa"/>
            <w:shd w:val="clear" w:color="auto" w:fill="D9E2F3"/>
            <w:vAlign w:val="center"/>
          </w:tcPr>
          <w:p w14:paraId="591363B7" w14:textId="77777777" w:rsidR="00990B14" w:rsidRDefault="00000000">
            <w:pPr>
              <w:spacing w:before="20" w:after="20"/>
              <w:jc w:val="both"/>
            </w:pPr>
            <w:r>
              <w:rPr>
                <w:sz w:val="18"/>
                <w:szCs w:val="18"/>
              </w:rPr>
              <w:t>No relaciona los gastos con el convenio.</w:t>
            </w:r>
          </w:p>
        </w:tc>
        <w:tc>
          <w:tcPr>
            <w:tcW w:w="1910" w:type="dxa"/>
            <w:shd w:val="clear" w:color="auto" w:fill="D9E2F3"/>
            <w:vAlign w:val="center"/>
          </w:tcPr>
          <w:p w14:paraId="57E544E3" w14:textId="77777777" w:rsidR="00990B14" w:rsidRDefault="00000000">
            <w:pPr>
              <w:spacing w:before="20" w:after="20"/>
              <w:jc w:val="both"/>
            </w:pPr>
            <w:r>
              <w:rPr>
                <w:sz w:val="18"/>
                <w:szCs w:val="18"/>
              </w:rPr>
              <w:t>Identifica los gastos no elegibles según el convenio.</w:t>
            </w:r>
          </w:p>
        </w:tc>
        <w:tc>
          <w:tcPr>
            <w:tcW w:w="2015" w:type="dxa"/>
            <w:shd w:val="clear" w:color="auto" w:fill="D9E2F3"/>
            <w:vAlign w:val="center"/>
          </w:tcPr>
          <w:p w14:paraId="11909767" w14:textId="77777777" w:rsidR="00990B14" w:rsidRDefault="00000000">
            <w:pPr>
              <w:spacing w:before="20" w:after="20"/>
              <w:jc w:val="both"/>
            </w:pPr>
            <w:r>
              <w:rPr>
                <w:sz w:val="18"/>
                <w:szCs w:val="18"/>
              </w:rPr>
              <w:t>Fundamenta cada caso en la cláusula y en la norma tributaria aplicable.</w:t>
            </w:r>
          </w:p>
        </w:tc>
      </w:tr>
      <w:tr w:rsidR="00990B14" w14:paraId="03BD05F3" w14:textId="77777777">
        <w:trPr>
          <w:cantSplit/>
          <w:jc w:val="center"/>
        </w:trPr>
        <w:tc>
          <w:tcPr>
            <w:tcW w:w="1793" w:type="dxa"/>
            <w:vMerge/>
            <w:shd w:val="clear" w:color="auto" w:fill="4472C4"/>
            <w:vAlign w:val="center"/>
          </w:tcPr>
          <w:p w14:paraId="554122AE" w14:textId="77777777" w:rsidR="00990B14" w:rsidRDefault="00990B14">
            <w:pPr>
              <w:spacing w:before="20" w:after="20"/>
            </w:pPr>
          </w:p>
        </w:tc>
        <w:tc>
          <w:tcPr>
            <w:tcW w:w="1830" w:type="dxa"/>
            <w:shd w:val="clear" w:color="auto" w:fill="D9E2F3"/>
            <w:vAlign w:val="center"/>
          </w:tcPr>
          <w:p w14:paraId="3EDC54FD" w14:textId="77777777" w:rsidR="00990B14" w:rsidRDefault="00000000">
            <w:pPr>
              <w:spacing w:before="20" w:after="20"/>
              <w:jc w:val="both"/>
            </w:pPr>
            <w:r>
              <w:rPr>
                <w:sz w:val="18"/>
                <w:szCs w:val="18"/>
              </w:rPr>
              <w:t>Cuantificación y efecto (P)</w:t>
            </w:r>
          </w:p>
        </w:tc>
        <w:tc>
          <w:tcPr>
            <w:tcW w:w="1857" w:type="dxa"/>
            <w:shd w:val="clear" w:color="auto" w:fill="D9E2F3"/>
            <w:vAlign w:val="center"/>
          </w:tcPr>
          <w:p w14:paraId="25B53758" w14:textId="77777777" w:rsidR="00990B14" w:rsidRDefault="00000000">
            <w:pPr>
              <w:spacing w:before="20" w:after="20"/>
              <w:jc w:val="both"/>
            </w:pPr>
            <w:r>
              <w:rPr>
                <w:sz w:val="18"/>
                <w:szCs w:val="18"/>
              </w:rPr>
              <w:t>Cuantifica con errores o no concluye.</w:t>
            </w:r>
          </w:p>
        </w:tc>
        <w:tc>
          <w:tcPr>
            <w:tcW w:w="1910" w:type="dxa"/>
            <w:shd w:val="clear" w:color="auto" w:fill="D9E2F3"/>
            <w:vAlign w:val="center"/>
          </w:tcPr>
          <w:p w14:paraId="3418DEBF" w14:textId="77777777" w:rsidR="00990B14" w:rsidRDefault="00000000">
            <w:pPr>
              <w:spacing w:before="20" w:after="20"/>
              <w:jc w:val="both"/>
            </w:pPr>
            <w:r>
              <w:rPr>
                <w:sz w:val="18"/>
                <w:szCs w:val="18"/>
              </w:rPr>
              <w:t>Cuantifica los gastos no elegibles y determina su efecto en el informe.</w:t>
            </w:r>
          </w:p>
        </w:tc>
        <w:tc>
          <w:tcPr>
            <w:tcW w:w="2015" w:type="dxa"/>
            <w:shd w:val="clear" w:color="auto" w:fill="D9E2F3"/>
            <w:vAlign w:val="center"/>
          </w:tcPr>
          <w:p w14:paraId="39260C92" w14:textId="77777777" w:rsidR="00990B14" w:rsidRDefault="00000000">
            <w:pPr>
              <w:spacing w:before="20" w:after="20"/>
              <w:jc w:val="both"/>
            </w:pPr>
            <w:r>
              <w:rPr>
                <w:sz w:val="18"/>
                <w:szCs w:val="18"/>
              </w:rPr>
              <w:t>Compara el monto con la materialidad y formula recomendaciones.</w:t>
            </w:r>
          </w:p>
        </w:tc>
      </w:tr>
      <w:tr w:rsidR="00990B14" w14:paraId="0F014518" w14:textId="77777777">
        <w:trPr>
          <w:cantSplit/>
          <w:jc w:val="center"/>
        </w:trPr>
        <w:tc>
          <w:tcPr>
            <w:tcW w:w="1793" w:type="dxa"/>
            <w:vMerge/>
            <w:shd w:val="clear" w:color="auto" w:fill="4472C4"/>
            <w:vAlign w:val="center"/>
          </w:tcPr>
          <w:p w14:paraId="0599E4A4" w14:textId="77777777" w:rsidR="00990B14" w:rsidRDefault="00990B14">
            <w:pPr>
              <w:spacing w:before="20" w:after="20"/>
            </w:pPr>
          </w:p>
        </w:tc>
        <w:tc>
          <w:tcPr>
            <w:tcW w:w="1830" w:type="dxa"/>
            <w:shd w:val="clear" w:color="auto" w:fill="D9E2F3"/>
            <w:vAlign w:val="center"/>
          </w:tcPr>
          <w:p w14:paraId="7BE5253E" w14:textId="77777777" w:rsidR="00990B14" w:rsidRDefault="00000000">
            <w:pPr>
              <w:spacing w:before="20" w:after="20"/>
              <w:jc w:val="both"/>
            </w:pPr>
            <w:r>
              <w:rPr>
                <w:sz w:val="18"/>
                <w:szCs w:val="18"/>
              </w:rPr>
              <w:t>Trabajo en equipo (A)</w:t>
            </w:r>
          </w:p>
        </w:tc>
        <w:tc>
          <w:tcPr>
            <w:tcW w:w="1857" w:type="dxa"/>
            <w:shd w:val="clear" w:color="auto" w:fill="D9E2F3"/>
            <w:vAlign w:val="center"/>
          </w:tcPr>
          <w:p w14:paraId="20D2A82C" w14:textId="77777777" w:rsidR="00990B14" w:rsidRDefault="00000000">
            <w:pPr>
              <w:spacing w:before="20" w:after="20"/>
              <w:jc w:val="both"/>
            </w:pPr>
            <w:r>
              <w:rPr>
                <w:sz w:val="18"/>
                <w:szCs w:val="18"/>
              </w:rPr>
              <w:t>La participación de los integrantes es desigual.</w:t>
            </w:r>
          </w:p>
        </w:tc>
        <w:tc>
          <w:tcPr>
            <w:tcW w:w="1910" w:type="dxa"/>
            <w:shd w:val="clear" w:color="auto" w:fill="D9E2F3"/>
            <w:vAlign w:val="center"/>
          </w:tcPr>
          <w:p w14:paraId="4C8A6225" w14:textId="77777777" w:rsidR="00990B14" w:rsidRDefault="00000000">
            <w:pPr>
              <w:spacing w:before="20" w:after="20"/>
              <w:jc w:val="both"/>
            </w:pPr>
            <w:r>
              <w:rPr>
                <w:sz w:val="18"/>
                <w:szCs w:val="18"/>
              </w:rPr>
              <w:t>Todos los integrantes participan en el trabajo.</w:t>
            </w:r>
          </w:p>
        </w:tc>
        <w:tc>
          <w:tcPr>
            <w:tcW w:w="2015" w:type="dxa"/>
            <w:shd w:val="clear" w:color="auto" w:fill="D9E2F3"/>
            <w:vAlign w:val="center"/>
          </w:tcPr>
          <w:p w14:paraId="73E40E30" w14:textId="77777777" w:rsidR="00990B14" w:rsidRDefault="00000000">
            <w:pPr>
              <w:spacing w:before="20" w:after="20"/>
              <w:jc w:val="both"/>
            </w:pPr>
            <w:r>
              <w:rPr>
                <w:sz w:val="18"/>
                <w:szCs w:val="18"/>
              </w:rPr>
              <w:t>El equipo sustenta sus decisiones con fundamento.</w:t>
            </w:r>
          </w:p>
        </w:tc>
      </w:tr>
      <w:tr w:rsidR="00990B14" w14:paraId="2CA27D3F" w14:textId="77777777">
        <w:trPr>
          <w:cantSplit/>
          <w:jc w:val="center"/>
        </w:trPr>
        <w:tc>
          <w:tcPr>
            <w:tcW w:w="1793" w:type="dxa"/>
            <w:vMerge/>
            <w:shd w:val="clear" w:color="auto" w:fill="4472C4"/>
            <w:vAlign w:val="center"/>
          </w:tcPr>
          <w:p w14:paraId="3EC474B9" w14:textId="77777777" w:rsidR="00990B14" w:rsidRDefault="00990B14">
            <w:pPr>
              <w:spacing w:before="20" w:after="20"/>
            </w:pPr>
          </w:p>
        </w:tc>
        <w:tc>
          <w:tcPr>
            <w:tcW w:w="5597" w:type="dxa"/>
            <w:gridSpan w:val="3"/>
            <w:shd w:val="clear" w:color="auto" w:fill="D9E2F3"/>
            <w:vAlign w:val="center"/>
          </w:tcPr>
          <w:p w14:paraId="11BEB03B" w14:textId="77777777" w:rsidR="00990B14" w:rsidRDefault="00000000">
            <w:pPr>
              <w:keepNext/>
              <w:spacing w:before="20" w:after="20"/>
              <w:jc w:val="both"/>
            </w:pPr>
            <w:r>
              <w:rPr>
                <w:b/>
                <w:bCs/>
                <w:i/>
                <w:iCs/>
                <w:sz w:val="18"/>
                <w:szCs w:val="18"/>
              </w:rPr>
              <w:t xml:space="preserve">Producto 16: </w:t>
            </w:r>
            <w:r>
              <w:rPr>
                <w:sz w:val="18"/>
                <w:szCs w:val="18"/>
              </w:rPr>
              <w:t>Informe del encargo y carta de deficiencias</w:t>
            </w:r>
          </w:p>
        </w:tc>
        <w:tc>
          <w:tcPr>
            <w:tcW w:w="2015" w:type="dxa"/>
            <w:shd w:val="clear" w:color="auto" w:fill="D9E2F3"/>
            <w:vAlign w:val="center"/>
          </w:tcPr>
          <w:p w14:paraId="5B7B84CC" w14:textId="77777777" w:rsidR="00990B14" w:rsidRDefault="00000000">
            <w:pPr>
              <w:spacing w:before="20" w:after="20"/>
              <w:jc w:val="center"/>
            </w:pPr>
            <w:r>
              <w:rPr>
                <w:b/>
                <w:bCs/>
                <w:sz w:val="18"/>
                <w:szCs w:val="18"/>
              </w:rPr>
              <w:t>8%</w:t>
            </w:r>
          </w:p>
        </w:tc>
      </w:tr>
      <w:tr w:rsidR="00990B14" w14:paraId="6F94535E" w14:textId="77777777">
        <w:trPr>
          <w:cantSplit/>
          <w:jc w:val="center"/>
        </w:trPr>
        <w:tc>
          <w:tcPr>
            <w:tcW w:w="1793" w:type="dxa"/>
            <w:vMerge/>
            <w:shd w:val="clear" w:color="auto" w:fill="4472C4"/>
            <w:vAlign w:val="center"/>
          </w:tcPr>
          <w:p w14:paraId="70ABAC61" w14:textId="77777777" w:rsidR="00990B14" w:rsidRDefault="00990B14">
            <w:pPr>
              <w:spacing w:before="20" w:after="20"/>
            </w:pPr>
          </w:p>
        </w:tc>
        <w:tc>
          <w:tcPr>
            <w:tcW w:w="1830" w:type="dxa"/>
            <w:shd w:val="clear" w:color="auto" w:fill="4472C4"/>
            <w:vAlign w:val="center"/>
          </w:tcPr>
          <w:p w14:paraId="050104EC" w14:textId="77777777" w:rsidR="00990B14" w:rsidRDefault="00000000">
            <w:pPr>
              <w:keepNext/>
              <w:spacing w:before="20" w:after="20"/>
              <w:jc w:val="center"/>
            </w:pPr>
            <w:r>
              <w:rPr>
                <w:b/>
                <w:bCs/>
                <w:i/>
                <w:iCs/>
                <w:color w:val="FFFFFF"/>
                <w:sz w:val="18"/>
                <w:szCs w:val="18"/>
              </w:rPr>
              <w:t>Criterio</w:t>
            </w:r>
          </w:p>
        </w:tc>
        <w:tc>
          <w:tcPr>
            <w:tcW w:w="1857" w:type="dxa"/>
            <w:shd w:val="clear" w:color="auto" w:fill="4472C4"/>
            <w:vAlign w:val="center"/>
          </w:tcPr>
          <w:p w14:paraId="132672A2" w14:textId="77777777" w:rsidR="00990B14" w:rsidRDefault="00000000">
            <w:pPr>
              <w:keepNext/>
              <w:spacing w:before="20" w:after="20"/>
              <w:jc w:val="center"/>
            </w:pPr>
            <w:r>
              <w:rPr>
                <w:b/>
                <w:bCs/>
                <w:i/>
                <w:iCs/>
                <w:color w:val="FFFFFF"/>
                <w:sz w:val="18"/>
                <w:szCs w:val="18"/>
              </w:rPr>
              <w:t>Insuficiente (1–50)</w:t>
            </w:r>
          </w:p>
        </w:tc>
        <w:tc>
          <w:tcPr>
            <w:tcW w:w="1910" w:type="dxa"/>
            <w:shd w:val="clear" w:color="auto" w:fill="4472C4"/>
            <w:vAlign w:val="center"/>
          </w:tcPr>
          <w:p w14:paraId="45085A5D" w14:textId="77777777" w:rsidR="00990B14" w:rsidRDefault="00000000">
            <w:pPr>
              <w:keepNext/>
              <w:spacing w:before="20" w:after="20"/>
              <w:jc w:val="center"/>
            </w:pPr>
            <w:r>
              <w:rPr>
                <w:b/>
                <w:bCs/>
                <w:i/>
                <w:iCs/>
                <w:color w:val="FFFFFF"/>
                <w:sz w:val="18"/>
                <w:szCs w:val="18"/>
              </w:rPr>
              <w:t>Suficiente (51–80)</w:t>
            </w:r>
          </w:p>
        </w:tc>
        <w:tc>
          <w:tcPr>
            <w:tcW w:w="2015" w:type="dxa"/>
            <w:shd w:val="clear" w:color="auto" w:fill="4472C4"/>
            <w:vAlign w:val="center"/>
          </w:tcPr>
          <w:p w14:paraId="6C7F6D63" w14:textId="77777777" w:rsidR="00990B14" w:rsidRDefault="00000000">
            <w:pPr>
              <w:keepNext/>
              <w:spacing w:before="20" w:after="20"/>
              <w:jc w:val="center"/>
            </w:pPr>
            <w:r>
              <w:rPr>
                <w:b/>
                <w:bCs/>
                <w:i/>
                <w:iCs/>
                <w:color w:val="FFFFFF"/>
                <w:sz w:val="18"/>
                <w:szCs w:val="18"/>
              </w:rPr>
              <w:t>Destacado (81–100)</w:t>
            </w:r>
          </w:p>
        </w:tc>
      </w:tr>
      <w:tr w:rsidR="00990B14" w14:paraId="3517054B" w14:textId="77777777">
        <w:trPr>
          <w:cantSplit/>
          <w:jc w:val="center"/>
        </w:trPr>
        <w:tc>
          <w:tcPr>
            <w:tcW w:w="1793" w:type="dxa"/>
            <w:vMerge/>
            <w:shd w:val="clear" w:color="auto" w:fill="4472C4"/>
            <w:vAlign w:val="center"/>
          </w:tcPr>
          <w:p w14:paraId="284F2646" w14:textId="77777777" w:rsidR="00990B14" w:rsidRDefault="00990B14">
            <w:pPr>
              <w:spacing w:before="20" w:after="20"/>
            </w:pPr>
          </w:p>
        </w:tc>
        <w:tc>
          <w:tcPr>
            <w:tcW w:w="1830" w:type="dxa"/>
            <w:shd w:val="clear" w:color="auto" w:fill="D9E2F3"/>
            <w:vAlign w:val="center"/>
          </w:tcPr>
          <w:p w14:paraId="7F7C1F45" w14:textId="77777777" w:rsidR="00990B14" w:rsidRDefault="00000000">
            <w:pPr>
              <w:spacing w:before="20" w:after="20"/>
              <w:jc w:val="both"/>
            </w:pPr>
            <w:r>
              <w:rPr>
                <w:sz w:val="18"/>
                <w:szCs w:val="18"/>
              </w:rPr>
              <w:t>Norma del informe (C)</w:t>
            </w:r>
          </w:p>
        </w:tc>
        <w:tc>
          <w:tcPr>
            <w:tcW w:w="1857" w:type="dxa"/>
            <w:shd w:val="clear" w:color="auto" w:fill="D9E2F3"/>
            <w:vAlign w:val="center"/>
          </w:tcPr>
          <w:p w14:paraId="57C8A415" w14:textId="77777777" w:rsidR="00990B14" w:rsidRDefault="00000000">
            <w:pPr>
              <w:spacing w:before="20" w:after="20"/>
              <w:jc w:val="both"/>
            </w:pPr>
            <w:r>
              <w:rPr>
                <w:sz w:val="18"/>
                <w:szCs w:val="18"/>
              </w:rPr>
              <w:t>Elige un tipo de informe inadecuado.</w:t>
            </w:r>
          </w:p>
        </w:tc>
        <w:tc>
          <w:tcPr>
            <w:tcW w:w="1910" w:type="dxa"/>
            <w:shd w:val="clear" w:color="auto" w:fill="D9E2F3"/>
            <w:vAlign w:val="center"/>
          </w:tcPr>
          <w:p w14:paraId="474BA9F2" w14:textId="77777777" w:rsidR="00990B14" w:rsidRDefault="00000000">
            <w:pPr>
              <w:spacing w:before="20" w:after="20"/>
              <w:jc w:val="both"/>
            </w:pPr>
            <w:r>
              <w:rPr>
                <w:sz w:val="18"/>
                <w:szCs w:val="18"/>
              </w:rPr>
              <w:t>Aplica la norma del encargo (NIA 800/805, NIER 2400 o NISR 4400).</w:t>
            </w:r>
          </w:p>
        </w:tc>
        <w:tc>
          <w:tcPr>
            <w:tcW w:w="2015" w:type="dxa"/>
            <w:shd w:val="clear" w:color="auto" w:fill="D9E2F3"/>
            <w:vAlign w:val="center"/>
          </w:tcPr>
          <w:p w14:paraId="3CC38D78" w14:textId="77777777" w:rsidR="00990B14" w:rsidRDefault="00000000">
            <w:pPr>
              <w:spacing w:before="20" w:after="20"/>
              <w:jc w:val="both"/>
            </w:pPr>
            <w:r>
              <w:rPr>
                <w:sz w:val="18"/>
                <w:szCs w:val="18"/>
              </w:rPr>
              <w:t>Atiende además los formatos exigidos por el financiador.</w:t>
            </w:r>
          </w:p>
        </w:tc>
      </w:tr>
      <w:tr w:rsidR="00990B14" w14:paraId="3F21E206" w14:textId="77777777">
        <w:trPr>
          <w:cantSplit/>
          <w:jc w:val="center"/>
        </w:trPr>
        <w:tc>
          <w:tcPr>
            <w:tcW w:w="1793" w:type="dxa"/>
            <w:vMerge/>
            <w:shd w:val="clear" w:color="auto" w:fill="4472C4"/>
            <w:vAlign w:val="center"/>
          </w:tcPr>
          <w:p w14:paraId="4F32D9C6" w14:textId="77777777" w:rsidR="00990B14" w:rsidRDefault="00990B14">
            <w:pPr>
              <w:spacing w:before="20" w:after="20"/>
            </w:pPr>
          </w:p>
        </w:tc>
        <w:tc>
          <w:tcPr>
            <w:tcW w:w="1830" w:type="dxa"/>
            <w:shd w:val="clear" w:color="auto" w:fill="D9E2F3"/>
            <w:vAlign w:val="center"/>
          </w:tcPr>
          <w:p w14:paraId="6CD95E5D" w14:textId="77777777" w:rsidR="00990B14" w:rsidRDefault="00000000">
            <w:pPr>
              <w:spacing w:before="20" w:after="20"/>
              <w:jc w:val="both"/>
            </w:pPr>
            <w:r>
              <w:rPr>
                <w:sz w:val="18"/>
                <w:szCs w:val="18"/>
              </w:rPr>
              <w:t>Opinión o conclusión (P)</w:t>
            </w:r>
          </w:p>
        </w:tc>
        <w:tc>
          <w:tcPr>
            <w:tcW w:w="1857" w:type="dxa"/>
            <w:shd w:val="clear" w:color="auto" w:fill="D9E2F3"/>
            <w:vAlign w:val="center"/>
          </w:tcPr>
          <w:p w14:paraId="6A060307" w14:textId="77777777" w:rsidR="00990B14" w:rsidRDefault="00000000">
            <w:pPr>
              <w:spacing w:before="20" w:after="20"/>
              <w:jc w:val="both"/>
            </w:pPr>
            <w:r>
              <w:rPr>
                <w:sz w:val="18"/>
                <w:szCs w:val="18"/>
              </w:rPr>
              <w:t>La opinión o conclusión no se sustenta.</w:t>
            </w:r>
          </w:p>
        </w:tc>
        <w:tc>
          <w:tcPr>
            <w:tcW w:w="1910" w:type="dxa"/>
            <w:shd w:val="clear" w:color="auto" w:fill="D9E2F3"/>
            <w:vAlign w:val="center"/>
          </w:tcPr>
          <w:p w14:paraId="03AF1D75" w14:textId="77777777" w:rsidR="00990B14" w:rsidRDefault="00000000">
            <w:pPr>
              <w:spacing w:before="20" w:after="20"/>
              <w:jc w:val="both"/>
            </w:pPr>
            <w:r>
              <w:rPr>
                <w:sz w:val="18"/>
                <w:szCs w:val="18"/>
              </w:rPr>
              <w:t>La opinión o conclusión es coherente con los hallazgos.</w:t>
            </w:r>
          </w:p>
        </w:tc>
        <w:tc>
          <w:tcPr>
            <w:tcW w:w="2015" w:type="dxa"/>
            <w:shd w:val="clear" w:color="auto" w:fill="D9E2F3"/>
            <w:vAlign w:val="center"/>
          </w:tcPr>
          <w:p w14:paraId="7009B2EB" w14:textId="77777777" w:rsidR="00990B14" w:rsidRDefault="00000000">
            <w:pPr>
              <w:spacing w:before="20" w:after="20"/>
              <w:jc w:val="both"/>
            </w:pPr>
            <w:r>
              <w:rPr>
                <w:sz w:val="18"/>
                <w:szCs w:val="18"/>
              </w:rPr>
              <w:t>Justifica las modificaciones y la carta de deficiencias es accionable.</w:t>
            </w:r>
          </w:p>
        </w:tc>
      </w:tr>
      <w:tr w:rsidR="00990B14" w14:paraId="5DAB436F" w14:textId="77777777">
        <w:trPr>
          <w:cantSplit/>
          <w:jc w:val="center"/>
        </w:trPr>
        <w:tc>
          <w:tcPr>
            <w:tcW w:w="1793" w:type="dxa"/>
            <w:vMerge/>
            <w:shd w:val="clear" w:color="auto" w:fill="4472C4"/>
            <w:vAlign w:val="center"/>
          </w:tcPr>
          <w:p w14:paraId="11E8D560" w14:textId="77777777" w:rsidR="00990B14" w:rsidRDefault="00990B14">
            <w:pPr>
              <w:spacing w:before="20" w:after="20"/>
            </w:pPr>
          </w:p>
        </w:tc>
        <w:tc>
          <w:tcPr>
            <w:tcW w:w="1830" w:type="dxa"/>
            <w:shd w:val="clear" w:color="auto" w:fill="D9E2F3"/>
            <w:vAlign w:val="center"/>
          </w:tcPr>
          <w:p w14:paraId="2C4E8B82" w14:textId="77777777" w:rsidR="00990B14" w:rsidRDefault="00000000">
            <w:pPr>
              <w:spacing w:before="20" w:after="20"/>
              <w:jc w:val="both"/>
            </w:pPr>
            <w:r>
              <w:rPr>
                <w:sz w:val="18"/>
                <w:szCs w:val="18"/>
              </w:rPr>
              <w:t>Comunicación y firma (A/T)</w:t>
            </w:r>
          </w:p>
        </w:tc>
        <w:tc>
          <w:tcPr>
            <w:tcW w:w="1857" w:type="dxa"/>
            <w:shd w:val="clear" w:color="auto" w:fill="D9E2F3"/>
            <w:vAlign w:val="center"/>
          </w:tcPr>
          <w:p w14:paraId="5C4AC694" w14:textId="77777777" w:rsidR="00990B14" w:rsidRDefault="00000000">
            <w:pPr>
              <w:spacing w:before="20" w:after="20"/>
              <w:jc w:val="both"/>
            </w:pPr>
            <w:r>
              <w:rPr>
                <w:sz w:val="18"/>
                <w:szCs w:val="18"/>
              </w:rPr>
              <w:t>La exposición es confusa.</w:t>
            </w:r>
          </w:p>
        </w:tc>
        <w:tc>
          <w:tcPr>
            <w:tcW w:w="1910" w:type="dxa"/>
            <w:shd w:val="clear" w:color="auto" w:fill="D9E2F3"/>
            <w:vAlign w:val="center"/>
          </w:tcPr>
          <w:p w14:paraId="3BB0F920" w14:textId="77777777" w:rsidR="00990B14" w:rsidRDefault="00000000">
            <w:pPr>
              <w:spacing w:before="20" w:after="20"/>
              <w:jc w:val="both"/>
            </w:pPr>
            <w:r>
              <w:rPr>
                <w:sz w:val="18"/>
                <w:szCs w:val="18"/>
              </w:rPr>
              <w:t>La exposición es clara y el informe se entrega en formato digital.</w:t>
            </w:r>
          </w:p>
        </w:tc>
        <w:tc>
          <w:tcPr>
            <w:tcW w:w="2015" w:type="dxa"/>
            <w:shd w:val="clear" w:color="auto" w:fill="D9E2F3"/>
            <w:vAlign w:val="center"/>
          </w:tcPr>
          <w:p w14:paraId="0F5226E8" w14:textId="77777777" w:rsidR="00990B14" w:rsidRDefault="00000000">
            <w:pPr>
              <w:spacing w:before="20" w:after="20"/>
              <w:jc w:val="both"/>
            </w:pPr>
            <w:r>
              <w:rPr>
                <w:sz w:val="18"/>
                <w:szCs w:val="18"/>
              </w:rPr>
              <w:t>Responde con solvencia y presenta el informe con firma digital.</w:t>
            </w:r>
          </w:p>
        </w:tc>
      </w:tr>
      <w:tr w:rsidR="00990B14" w14:paraId="29AD721B" w14:textId="77777777">
        <w:trPr>
          <w:cantSplit/>
          <w:jc w:val="center"/>
        </w:trPr>
        <w:tc>
          <w:tcPr>
            <w:tcW w:w="7390" w:type="dxa"/>
            <w:gridSpan w:val="4"/>
            <w:shd w:val="clear" w:color="auto" w:fill="4472C4"/>
            <w:vAlign w:val="center"/>
          </w:tcPr>
          <w:p w14:paraId="0E46D929" w14:textId="77777777" w:rsidR="00990B14" w:rsidRDefault="00000000">
            <w:pPr>
              <w:keepNext/>
              <w:spacing w:before="20" w:after="20"/>
              <w:jc w:val="center"/>
            </w:pPr>
            <w:r>
              <w:rPr>
                <w:b/>
                <w:bCs/>
                <w:i/>
                <w:iCs/>
                <w:color w:val="FFFFFF"/>
                <w:sz w:val="18"/>
                <w:szCs w:val="18"/>
              </w:rPr>
              <w:t>TOTAL</w:t>
            </w:r>
          </w:p>
        </w:tc>
        <w:tc>
          <w:tcPr>
            <w:tcW w:w="2015" w:type="dxa"/>
            <w:shd w:val="clear" w:color="auto" w:fill="4472C4"/>
            <w:vAlign w:val="center"/>
          </w:tcPr>
          <w:p w14:paraId="4F05B995" w14:textId="77777777" w:rsidR="00990B14" w:rsidRDefault="00000000">
            <w:pPr>
              <w:keepNext/>
              <w:spacing w:before="20" w:after="20"/>
              <w:jc w:val="center"/>
            </w:pPr>
            <w:r>
              <w:rPr>
                <w:b/>
                <w:bCs/>
                <w:i/>
                <w:iCs/>
                <w:color w:val="FFFFFF"/>
                <w:sz w:val="18"/>
                <w:szCs w:val="18"/>
              </w:rPr>
              <w:t>100%</w:t>
            </w:r>
          </w:p>
        </w:tc>
      </w:tr>
    </w:tbl>
    <w:p w14:paraId="7DFF3BA3"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9405"/>
      </w:tblGrid>
      <w:tr w:rsidR="00990B14" w14:paraId="73DBBAB1" w14:textId="77777777">
        <w:trPr>
          <w:jc w:val="center"/>
        </w:trPr>
        <w:tc>
          <w:tcPr>
            <w:tcW w:w="9405" w:type="dxa"/>
            <w:shd w:val="clear" w:color="auto" w:fill="D9E2F3"/>
          </w:tcPr>
          <w:p w14:paraId="439FE782" w14:textId="77777777" w:rsidR="00990B14" w:rsidRDefault="00000000">
            <w:pPr>
              <w:spacing w:before="40" w:after="40"/>
              <w:jc w:val="both"/>
            </w:pPr>
            <w:r>
              <w:rPr>
                <w:b/>
                <w:bCs/>
                <w:i/>
                <w:iCs/>
                <w:sz w:val="18"/>
                <w:szCs w:val="18"/>
              </w:rPr>
              <w:t>Bibliografía básica:</w:t>
            </w:r>
          </w:p>
          <w:p w14:paraId="6881337A" w14:textId="77777777" w:rsidR="00990B14" w:rsidRDefault="00000000">
            <w:pPr>
              <w:numPr>
                <w:ilvl w:val="0"/>
                <w:numId w:val="140"/>
              </w:numPr>
              <w:spacing w:after="20"/>
              <w:jc w:val="both"/>
            </w:pPr>
            <w:r>
              <w:rPr>
                <w:sz w:val="18"/>
                <w:szCs w:val="18"/>
              </w:rPr>
              <w:t>Asamblea Legislativa Plurinacional de Bolivia. (2013). Ley N.º 351 de Otorgación de Personalidades Jurídicas, de 19 de marzo de 2013. Gaceta Oficial de Bolivia.</w:t>
            </w:r>
          </w:p>
          <w:p w14:paraId="3FA0B393" w14:textId="77777777" w:rsidR="00990B14" w:rsidRDefault="00000000">
            <w:pPr>
              <w:numPr>
                <w:ilvl w:val="0"/>
                <w:numId w:val="140"/>
              </w:numPr>
              <w:spacing w:after="20"/>
              <w:jc w:val="both"/>
            </w:pPr>
            <w:r>
              <w:rPr>
                <w:sz w:val="18"/>
                <w:szCs w:val="18"/>
              </w:rPr>
              <w:t>Banco Interamericano de Desarrollo. (2019). Guía de Gestión Financiera para Proyectos Financiados por el BID (OP-273-12). Washington, D.C.: BID.</w:t>
            </w:r>
          </w:p>
          <w:p w14:paraId="1315E998" w14:textId="77777777" w:rsidR="00990B14" w:rsidRDefault="00000000">
            <w:pPr>
              <w:numPr>
                <w:ilvl w:val="0"/>
                <w:numId w:val="140"/>
              </w:numPr>
              <w:spacing w:after="20"/>
              <w:jc w:val="both"/>
            </w:pPr>
            <w:r>
              <w:rPr>
                <w:sz w:val="18"/>
                <w:szCs w:val="18"/>
              </w:rPr>
              <w:t>Banco Interamericano de Desarrollo. (2019). Políticas para la adquisición de bienes y obras financiados por el BID (GN-2349-15) y Políticas para la selección y contratación de consultores (GN-2350-15). Washington, D.C.: BID.</w:t>
            </w:r>
          </w:p>
          <w:p w14:paraId="4AAF21DE" w14:textId="77777777" w:rsidR="00990B14" w:rsidRDefault="00000000">
            <w:pPr>
              <w:numPr>
                <w:ilvl w:val="0"/>
                <w:numId w:val="140"/>
              </w:numPr>
              <w:spacing w:after="20"/>
              <w:jc w:val="both"/>
            </w:pPr>
            <w:r>
              <w:rPr>
                <w:sz w:val="18"/>
                <w:szCs w:val="18"/>
              </w:rPr>
              <w:t>Banco Interamericano de Desarrollo. (2020). Marco de Política Ambiental y Social. Washington, D.C.: BID.</w:t>
            </w:r>
          </w:p>
          <w:p w14:paraId="3BB31D96" w14:textId="77777777" w:rsidR="00990B14" w:rsidRDefault="00000000">
            <w:pPr>
              <w:numPr>
                <w:ilvl w:val="0"/>
                <w:numId w:val="140"/>
              </w:numPr>
              <w:spacing w:after="20"/>
              <w:jc w:val="both"/>
            </w:pPr>
            <w:r w:rsidRPr="00BD34F7">
              <w:rPr>
                <w:sz w:val="18"/>
                <w:szCs w:val="18"/>
                <w:lang w:val="en-US"/>
              </w:rPr>
              <w:t xml:space="preserve">Banco Mundial. (2017). Disbursement Guidelines for Investment Project Financing. </w:t>
            </w:r>
            <w:r>
              <w:rPr>
                <w:sz w:val="18"/>
                <w:szCs w:val="18"/>
              </w:rPr>
              <w:t>Washington, D.C.: Banco Mundial.</w:t>
            </w:r>
          </w:p>
          <w:p w14:paraId="6182D876" w14:textId="77777777" w:rsidR="00990B14" w:rsidRDefault="00000000">
            <w:pPr>
              <w:numPr>
                <w:ilvl w:val="0"/>
                <w:numId w:val="140"/>
              </w:numPr>
              <w:spacing w:after="20"/>
              <w:jc w:val="both"/>
            </w:pPr>
            <w:r w:rsidRPr="00BD34F7">
              <w:rPr>
                <w:sz w:val="18"/>
                <w:szCs w:val="18"/>
                <w:lang w:val="en-US"/>
              </w:rPr>
              <w:t xml:space="preserve">Banco Mundial. (2017). Financial Management Manual for World Bank Investment Project Financing Operations. </w:t>
            </w:r>
            <w:r>
              <w:rPr>
                <w:sz w:val="18"/>
                <w:szCs w:val="18"/>
              </w:rPr>
              <w:t>Washington, D.C.: Banco Mundial.</w:t>
            </w:r>
          </w:p>
          <w:p w14:paraId="73B6FFF4" w14:textId="77777777" w:rsidR="00990B14" w:rsidRDefault="00000000">
            <w:pPr>
              <w:numPr>
                <w:ilvl w:val="0"/>
                <w:numId w:val="140"/>
              </w:numPr>
              <w:spacing w:after="20"/>
              <w:jc w:val="both"/>
            </w:pPr>
            <w:r w:rsidRPr="00BD34F7">
              <w:rPr>
                <w:sz w:val="18"/>
                <w:szCs w:val="18"/>
                <w:lang w:val="en-US"/>
              </w:rPr>
              <w:t xml:space="preserve">Banco Mundial. (2017). The World Bank Environmental and Social Framework. </w:t>
            </w:r>
            <w:r>
              <w:rPr>
                <w:sz w:val="18"/>
                <w:szCs w:val="18"/>
              </w:rPr>
              <w:t>Washington, D.C.: Banco Mundial.</w:t>
            </w:r>
          </w:p>
          <w:p w14:paraId="4E8632B8" w14:textId="77777777" w:rsidR="00990B14" w:rsidRDefault="00000000">
            <w:pPr>
              <w:numPr>
                <w:ilvl w:val="0"/>
                <w:numId w:val="140"/>
              </w:numPr>
              <w:spacing w:after="20"/>
              <w:jc w:val="both"/>
            </w:pPr>
            <w:r>
              <w:rPr>
                <w:sz w:val="18"/>
                <w:szCs w:val="18"/>
              </w:rPr>
              <w:t>Banco Mundial. (2025). Procurement Regulations for IPF Borrowers (7.ª ed., septiembre de 2025). Washington, D.C.: Banco Mundial.</w:t>
            </w:r>
          </w:p>
          <w:p w14:paraId="0D549915" w14:textId="77777777" w:rsidR="00990B14" w:rsidRDefault="00000000">
            <w:pPr>
              <w:numPr>
                <w:ilvl w:val="0"/>
                <w:numId w:val="140"/>
              </w:numPr>
              <w:spacing w:after="20"/>
              <w:jc w:val="both"/>
            </w:pPr>
            <w:r>
              <w:rPr>
                <w:sz w:val="18"/>
                <w:szCs w:val="18"/>
              </w:rPr>
              <w:t>Colegio de Auditores o Contadores Públicos de Bolivia – Consejo Técnico Nacional de Auditoría y Contabilidad. (2023). Compendio de Normas de Contabilidad y Auditoría. Santa Cruz: CAUB–CTNAC.</w:t>
            </w:r>
          </w:p>
          <w:p w14:paraId="0181851D" w14:textId="77777777" w:rsidR="00990B14" w:rsidRDefault="00000000">
            <w:pPr>
              <w:numPr>
                <w:ilvl w:val="0"/>
                <w:numId w:val="140"/>
              </w:numPr>
              <w:spacing w:after="20"/>
              <w:jc w:val="both"/>
            </w:pPr>
            <w:r>
              <w:rPr>
                <w:sz w:val="18"/>
                <w:szCs w:val="18"/>
              </w:rPr>
              <w:t>Comisión Europea. (s. f.). Guía práctica de los procedimientos contractuales para la acción exterior de la UE (PRAG), versión vigente. Bruselas: Comisión Europea.</w:t>
            </w:r>
          </w:p>
          <w:p w14:paraId="60DC4BC7" w14:textId="77777777" w:rsidR="00990B14" w:rsidRDefault="00000000">
            <w:pPr>
              <w:numPr>
                <w:ilvl w:val="0"/>
                <w:numId w:val="140"/>
              </w:numPr>
              <w:spacing w:after="20"/>
              <w:jc w:val="both"/>
            </w:pPr>
            <w:r w:rsidRPr="00BD34F7">
              <w:rPr>
                <w:sz w:val="18"/>
                <w:szCs w:val="18"/>
                <w:lang w:val="en-US"/>
              </w:rPr>
              <w:t xml:space="preserve">Committee of Sponsoring Organizations of the Treadway Commission. </w:t>
            </w:r>
            <w:r>
              <w:rPr>
                <w:sz w:val="18"/>
                <w:szCs w:val="18"/>
              </w:rPr>
              <w:t>(2013). Control Interno – Marco Integrado. Traducción del Instituto de Auditores Internos de España y PwC.</w:t>
            </w:r>
          </w:p>
          <w:p w14:paraId="7E53EB81" w14:textId="77777777" w:rsidR="00990B14" w:rsidRDefault="00000000">
            <w:pPr>
              <w:numPr>
                <w:ilvl w:val="0"/>
                <w:numId w:val="140"/>
              </w:numPr>
              <w:spacing w:after="20"/>
              <w:jc w:val="both"/>
            </w:pPr>
            <w:r w:rsidRPr="00BD34F7">
              <w:rPr>
                <w:sz w:val="18"/>
                <w:szCs w:val="18"/>
                <w:lang w:val="en-US"/>
              </w:rPr>
              <w:t xml:space="preserve">Committee of Sponsoring Organizations of the Treadway Commission. </w:t>
            </w:r>
            <w:r>
              <w:rPr>
                <w:sz w:val="18"/>
                <w:szCs w:val="18"/>
              </w:rPr>
              <w:t>(2017). Gestión del Riesgo Empresarial: Integrando Estrategia y Desempeño. Traducción del Instituto de Auditores Internos de España y PwC.</w:t>
            </w:r>
          </w:p>
          <w:p w14:paraId="747EB3D7" w14:textId="77777777" w:rsidR="00990B14" w:rsidRDefault="00000000">
            <w:pPr>
              <w:numPr>
                <w:ilvl w:val="0"/>
                <w:numId w:val="140"/>
              </w:numPr>
              <w:spacing w:after="20"/>
              <w:jc w:val="both"/>
            </w:pPr>
            <w:r>
              <w:rPr>
                <w:sz w:val="18"/>
                <w:szCs w:val="18"/>
              </w:rPr>
              <w:t>Contraloría General del Estado. (2012). Normas de Auditoría Gubernamental (Resolución CGE/094/2012, de 27 de agosto de 2012). La Paz: CGE.</w:t>
            </w:r>
          </w:p>
          <w:p w14:paraId="3BC6223C" w14:textId="77777777" w:rsidR="00990B14" w:rsidRDefault="00000000">
            <w:pPr>
              <w:numPr>
                <w:ilvl w:val="0"/>
                <w:numId w:val="140"/>
              </w:numPr>
              <w:spacing w:after="20"/>
              <w:jc w:val="both"/>
            </w:pPr>
            <w:r>
              <w:rPr>
                <w:sz w:val="18"/>
                <w:szCs w:val="18"/>
              </w:rPr>
              <w:t>Decreto Supremo N.º 1597, de 5 de junio de 2013, Reglamento parcial de la Ley N.º 351. Gaceta Oficial de Bolivia.</w:t>
            </w:r>
          </w:p>
          <w:p w14:paraId="3B1C3DA0" w14:textId="77777777" w:rsidR="00990B14" w:rsidRDefault="00000000">
            <w:pPr>
              <w:numPr>
                <w:ilvl w:val="0"/>
                <w:numId w:val="140"/>
              </w:numPr>
              <w:spacing w:after="20"/>
              <w:jc w:val="both"/>
            </w:pPr>
            <w:r>
              <w:rPr>
                <w:sz w:val="18"/>
                <w:szCs w:val="18"/>
              </w:rPr>
              <w:t>Decreto Supremo N.º 24051, de 29 de junio de 1995, Reglamento del Impuesto sobre las Utilidades de las Empresas. Gaceta Oficial de Bolivia.</w:t>
            </w:r>
          </w:p>
          <w:p w14:paraId="4574F732" w14:textId="77777777" w:rsidR="00990B14" w:rsidRPr="00BD34F7" w:rsidRDefault="00000000">
            <w:pPr>
              <w:numPr>
                <w:ilvl w:val="0"/>
                <w:numId w:val="140"/>
              </w:numPr>
              <w:spacing w:after="20"/>
              <w:jc w:val="both"/>
              <w:rPr>
                <w:lang w:val="en-US"/>
              </w:rPr>
            </w:pPr>
            <w:r w:rsidRPr="00BD34F7">
              <w:rPr>
                <w:sz w:val="18"/>
                <w:szCs w:val="18"/>
                <w:lang w:val="en-US"/>
              </w:rPr>
              <w:t>International Accounting Standards Board. (2025). NIIF para las PYMES (tercera edición). Londres: IFRS Foundation.</w:t>
            </w:r>
          </w:p>
          <w:p w14:paraId="333C0B5D" w14:textId="77777777" w:rsidR="00990B14" w:rsidRDefault="00000000">
            <w:pPr>
              <w:numPr>
                <w:ilvl w:val="0"/>
                <w:numId w:val="140"/>
              </w:numPr>
              <w:spacing w:after="20"/>
              <w:jc w:val="both"/>
            </w:pPr>
            <w:r>
              <w:rPr>
                <w:sz w:val="18"/>
                <w:szCs w:val="18"/>
              </w:rPr>
              <w:t>International Accounting Standards Board. NIC 20, Contabilización de las Subvenciones del Gobierno e Información a Revelar sobre Ayudas Gubernamentales; y NIC 21, Efectos de las Variaciones en las Tasas de Cambio de la Moneda Extranjera. Londres: IFRS Foundation.</w:t>
            </w:r>
          </w:p>
          <w:p w14:paraId="218CAC3B" w14:textId="77777777" w:rsidR="00990B14" w:rsidRDefault="00000000">
            <w:pPr>
              <w:numPr>
                <w:ilvl w:val="0"/>
                <w:numId w:val="140"/>
              </w:numPr>
              <w:spacing w:after="20"/>
              <w:jc w:val="both"/>
            </w:pPr>
            <w:r w:rsidRPr="00BD34F7">
              <w:rPr>
                <w:sz w:val="18"/>
                <w:szCs w:val="18"/>
                <w:lang w:val="en-US"/>
              </w:rPr>
              <w:t xml:space="preserve">International Auditing and Assurance Standards Board. </w:t>
            </w:r>
            <w:r>
              <w:rPr>
                <w:sz w:val="18"/>
                <w:szCs w:val="18"/>
              </w:rPr>
              <w:t>(2023). Norma Internacional de Auditoría para Auditorías de Estados Financieros de Entidades Menos Complejas (NIA para EMC). Nueva York: IFAC.</w:t>
            </w:r>
          </w:p>
          <w:p w14:paraId="2CB804D0" w14:textId="77777777" w:rsidR="00990B14" w:rsidRDefault="00000000">
            <w:pPr>
              <w:numPr>
                <w:ilvl w:val="0"/>
                <w:numId w:val="140"/>
              </w:numPr>
              <w:spacing w:after="20"/>
              <w:jc w:val="both"/>
            </w:pPr>
            <w:r w:rsidRPr="00BD34F7">
              <w:rPr>
                <w:sz w:val="18"/>
                <w:szCs w:val="18"/>
                <w:lang w:val="en-US"/>
              </w:rPr>
              <w:t xml:space="preserve">International Auditing and Assurance Standards Board. (2025). Handbook of International Quality Management, Auditing, Review, Other Assurance, and Related Services Pronouncements, 2025 Edition. </w:t>
            </w:r>
            <w:r>
              <w:rPr>
                <w:sz w:val="18"/>
                <w:szCs w:val="18"/>
              </w:rPr>
              <w:t>Nueva York: IFAC.</w:t>
            </w:r>
          </w:p>
          <w:p w14:paraId="2A9D6DF0" w14:textId="77777777" w:rsidR="00990B14" w:rsidRDefault="00000000">
            <w:pPr>
              <w:numPr>
                <w:ilvl w:val="0"/>
                <w:numId w:val="140"/>
              </w:numPr>
              <w:spacing w:after="20"/>
              <w:jc w:val="both"/>
            </w:pPr>
            <w:r w:rsidRPr="00BD34F7">
              <w:rPr>
                <w:sz w:val="18"/>
                <w:szCs w:val="18"/>
                <w:lang w:val="en-US"/>
              </w:rPr>
              <w:t xml:space="preserve">International Ethics Standards Board for Accountants. (2025). 2025 Handbook of the International Code of Ethics for Professional Accountants (including International Independence Standards). </w:t>
            </w:r>
            <w:r>
              <w:rPr>
                <w:sz w:val="18"/>
                <w:szCs w:val="18"/>
              </w:rPr>
              <w:t>Nueva York: IFAC.</w:t>
            </w:r>
          </w:p>
          <w:p w14:paraId="748F69E0" w14:textId="77777777" w:rsidR="00990B14" w:rsidRDefault="00000000">
            <w:pPr>
              <w:numPr>
                <w:ilvl w:val="0"/>
                <w:numId w:val="140"/>
              </w:numPr>
              <w:spacing w:after="20"/>
              <w:jc w:val="both"/>
            </w:pPr>
            <w:r w:rsidRPr="00BD34F7">
              <w:rPr>
                <w:sz w:val="18"/>
                <w:szCs w:val="18"/>
                <w:lang w:val="en-US"/>
              </w:rPr>
              <w:t xml:space="preserve">International Non-Profit Reporting Foundation. (2025). International Non-Profit Accounting Standard (INPAS). </w:t>
            </w:r>
            <w:r>
              <w:rPr>
                <w:sz w:val="18"/>
                <w:szCs w:val="18"/>
              </w:rPr>
              <w:t>Recuperado de www.inprf.org</w:t>
            </w:r>
          </w:p>
          <w:p w14:paraId="3CDDA079" w14:textId="77777777" w:rsidR="00990B14" w:rsidRDefault="00000000">
            <w:pPr>
              <w:numPr>
                <w:ilvl w:val="0"/>
                <w:numId w:val="140"/>
              </w:numPr>
              <w:spacing w:after="20"/>
              <w:jc w:val="both"/>
            </w:pPr>
            <w:r w:rsidRPr="00BD34F7">
              <w:rPr>
                <w:sz w:val="18"/>
                <w:szCs w:val="18"/>
                <w:lang w:val="en-US"/>
              </w:rPr>
              <w:t xml:space="preserve">International Public Sector Accounting Standards Board. </w:t>
            </w:r>
            <w:r>
              <w:rPr>
                <w:sz w:val="18"/>
                <w:szCs w:val="18"/>
              </w:rPr>
              <w:t>(2023). NICSP 47, Ingresos. Nueva York: IFAC.</w:t>
            </w:r>
          </w:p>
          <w:p w14:paraId="1D622397" w14:textId="77777777" w:rsidR="00990B14" w:rsidRDefault="00000000">
            <w:pPr>
              <w:numPr>
                <w:ilvl w:val="0"/>
                <w:numId w:val="140"/>
              </w:numPr>
              <w:spacing w:after="20"/>
              <w:jc w:val="both"/>
            </w:pPr>
            <w:r>
              <w:rPr>
                <w:sz w:val="18"/>
                <w:szCs w:val="18"/>
              </w:rPr>
              <w:t>Ley N.º 1178 de Administración y Control Gubernamentales, de 20 de julio de 1990. Gaceta Oficial de Bolivia.</w:t>
            </w:r>
          </w:p>
          <w:p w14:paraId="58FC2555" w14:textId="77777777" w:rsidR="00990B14" w:rsidRDefault="00000000">
            <w:pPr>
              <w:numPr>
                <w:ilvl w:val="0"/>
                <w:numId w:val="140"/>
              </w:numPr>
              <w:spacing w:after="20"/>
              <w:jc w:val="both"/>
            </w:pPr>
            <w:r>
              <w:rPr>
                <w:sz w:val="18"/>
                <w:szCs w:val="18"/>
              </w:rPr>
              <w:t>Ley N.º 2492, Código Tributario Boliviano, de 2 de agosto de 2003. Gaceta Oficial de Bolivia.</w:t>
            </w:r>
          </w:p>
          <w:p w14:paraId="5C3100AC" w14:textId="77777777" w:rsidR="00990B14" w:rsidRDefault="00000000">
            <w:pPr>
              <w:numPr>
                <w:ilvl w:val="0"/>
                <w:numId w:val="140"/>
              </w:numPr>
              <w:spacing w:after="20"/>
              <w:jc w:val="both"/>
            </w:pPr>
            <w:r>
              <w:rPr>
                <w:sz w:val="18"/>
                <w:szCs w:val="18"/>
              </w:rPr>
              <w:t>Ley N.º 843 de Reforma Tributaria, Texto Ordenado vigente. Servicio de Impuestos Nacionales.</w:t>
            </w:r>
          </w:p>
          <w:p w14:paraId="5EF3BBAC" w14:textId="77777777" w:rsidR="00990B14" w:rsidRDefault="00000000">
            <w:pPr>
              <w:numPr>
                <w:ilvl w:val="0"/>
                <w:numId w:val="140"/>
              </w:numPr>
              <w:spacing w:after="20"/>
              <w:jc w:val="both"/>
            </w:pPr>
            <w:r>
              <w:rPr>
                <w:sz w:val="18"/>
                <w:szCs w:val="18"/>
              </w:rPr>
              <w:t>Organización Internacional de Entidades Fiscalizadoras Superiores. (2019). ISSAI 4000, Norma para la Auditoría de Cumplimiento. Viena: INTOSAI.</w:t>
            </w:r>
          </w:p>
          <w:p w14:paraId="4773929F" w14:textId="77777777" w:rsidR="00990B14" w:rsidRDefault="00000000">
            <w:pPr>
              <w:numPr>
                <w:ilvl w:val="0"/>
                <w:numId w:val="140"/>
              </w:numPr>
              <w:spacing w:after="20"/>
              <w:jc w:val="both"/>
            </w:pPr>
            <w:r>
              <w:rPr>
                <w:sz w:val="18"/>
                <w:szCs w:val="18"/>
              </w:rPr>
              <w:t>Ortegón, E., Pacheco, J. F. y Prieto, A. (2005). Metodología del marco lógico para la planificación, el seguimiento y la evaluación de proyectos y programas (Serie Manuales N.º 42). Santiago de Chile: CEPAL–ILPES.</w:t>
            </w:r>
          </w:p>
          <w:p w14:paraId="37CCAF22" w14:textId="77777777" w:rsidR="00990B14" w:rsidRDefault="00000000">
            <w:pPr>
              <w:numPr>
                <w:ilvl w:val="0"/>
                <w:numId w:val="140"/>
              </w:numPr>
              <w:spacing w:after="20"/>
              <w:jc w:val="both"/>
            </w:pPr>
            <w:r>
              <w:rPr>
                <w:sz w:val="18"/>
                <w:szCs w:val="18"/>
              </w:rPr>
              <w:t>Servicio de Impuestos Nacionales. Resoluciones Normativas de Directorio N.º 10-0030-05 (14/09/2005), N.º 101800000004 (02/03/2018), N.º 101800000007 (16/03/2018) y N.º 102100000011, Sistema de Facturación (11/08/2021), y sus modificaciones. La Paz: SIN.</w:t>
            </w:r>
          </w:p>
          <w:p w14:paraId="42678F3B" w14:textId="77777777" w:rsidR="00990B14" w:rsidRDefault="00000000">
            <w:pPr>
              <w:numPr>
                <w:ilvl w:val="0"/>
                <w:numId w:val="140"/>
              </w:numPr>
              <w:spacing w:after="20"/>
              <w:jc w:val="both"/>
            </w:pPr>
            <w:r>
              <w:rPr>
                <w:sz w:val="18"/>
                <w:szCs w:val="18"/>
              </w:rPr>
              <w:t>Sistema de la Universidad Boliviana. (2024). Conclusiones y recomendaciones de la III-XIII Reunión Sectorial de Carreras de Contaduría Pública. Trinidad: SUB.</w:t>
            </w:r>
          </w:p>
          <w:p w14:paraId="19EEA925" w14:textId="77777777" w:rsidR="00990B14" w:rsidRDefault="00000000">
            <w:pPr>
              <w:numPr>
                <w:ilvl w:val="0"/>
                <w:numId w:val="140"/>
              </w:numPr>
              <w:spacing w:after="20"/>
              <w:jc w:val="both"/>
            </w:pPr>
            <w:r>
              <w:rPr>
                <w:sz w:val="18"/>
                <w:szCs w:val="18"/>
              </w:rPr>
              <w:t>Universidad Mayor de San Andrés – Carrera de Contaduría Pública. (2026). Diagnóstico del Plan de Estudios 2013 de la Licenciatura en Contaduría Pública. La Paz: UMSA.</w:t>
            </w:r>
          </w:p>
        </w:tc>
      </w:tr>
      <w:tr w:rsidR="00990B14" w14:paraId="761EB3B7" w14:textId="77777777">
        <w:trPr>
          <w:jc w:val="center"/>
        </w:trPr>
        <w:tc>
          <w:tcPr>
            <w:tcW w:w="9405" w:type="dxa"/>
            <w:shd w:val="clear" w:color="auto" w:fill="D9E2F3"/>
          </w:tcPr>
          <w:p w14:paraId="4F9618BA" w14:textId="77777777" w:rsidR="00990B14" w:rsidRDefault="00000000">
            <w:pPr>
              <w:spacing w:before="40" w:after="40"/>
              <w:jc w:val="both"/>
            </w:pPr>
            <w:r>
              <w:rPr>
                <w:b/>
                <w:bCs/>
                <w:i/>
                <w:iCs/>
                <w:sz w:val="18"/>
                <w:szCs w:val="18"/>
              </w:rPr>
              <w:t>Bibliografía complementaria:</w:t>
            </w:r>
          </w:p>
          <w:p w14:paraId="4C3F7E4C" w14:textId="77777777" w:rsidR="00990B14" w:rsidRDefault="00000000">
            <w:pPr>
              <w:numPr>
                <w:ilvl w:val="0"/>
                <w:numId w:val="140"/>
              </w:numPr>
              <w:spacing w:after="20"/>
              <w:jc w:val="both"/>
            </w:pPr>
            <w:r>
              <w:rPr>
                <w:sz w:val="18"/>
                <w:szCs w:val="18"/>
              </w:rPr>
              <w:t>Barbosa Díaz, M. A. (2017). Entidades no lucrativas. México: Instituto Mexicano de Contadores Públicos.</w:t>
            </w:r>
          </w:p>
          <w:p w14:paraId="3ADD0493" w14:textId="77777777" w:rsidR="00990B14" w:rsidRDefault="00000000">
            <w:pPr>
              <w:numPr>
                <w:ilvl w:val="0"/>
                <w:numId w:val="140"/>
              </w:numPr>
              <w:spacing w:after="20"/>
              <w:jc w:val="both"/>
            </w:pPr>
            <w:r w:rsidRPr="00BD34F7">
              <w:rPr>
                <w:sz w:val="18"/>
                <w:szCs w:val="18"/>
                <w:lang w:val="en-US"/>
              </w:rPr>
              <w:t xml:space="preserve">Biggs, J., Tang, C. y Kennedy, G. (2022). Teaching for Quality Learning at University (5.ª ed.). </w:t>
            </w:r>
            <w:r>
              <w:rPr>
                <w:sz w:val="18"/>
                <w:szCs w:val="18"/>
              </w:rPr>
              <w:t>Londres: Open University Press – McGraw-Hill.</w:t>
            </w:r>
          </w:p>
          <w:p w14:paraId="4C054282" w14:textId="77777777" w:rsidR="00990B14" w:rsidRDefault="00000000">
            <w:pPr>
              <w:numPr>
                <w:ilvl w:val="0"/>
                <w:numId w:val="140"/>
              </w:numPr>
              <w:spacing w:after="20"/>
              <w:jc w:val="both"/>
            </w:pPr>
            <w:r>
              <w:rPr>
                <w:sz w:val="18"/>
                <w:szCs w:val="18"/>
              </w:rPr>
              <w:t>Código Civil boliviano, Decreto Ley N.º 12760, de 6 de agosto de 1975.</w:t>
            </w:r>
          </w:p>
          <w:p w14:paraId="00D55D88" w14:textId="77777777" w:rsidR="00990B14" w:rsidRDefault="00000000">
            <w:pPr>
              <w:numPr>
                <w:ilvl w:val="0"/>
                <w:numId w:val="140"/>
              </w:numPr>
              <w:spacing w:after="20"/>
              <w:jc w:val="both"/>
            </w:pPr>
            <w:r w:rsidRPr="00BD34F7">
              <w:rPr>
                <w:sz w:val="18"/>
                <w:szCs w:val="18"/>
                <w:lang w:val="en-US"/>
              </w:rPr>
              <w:t xml:space="preserve">Committee of Sponsoring Organizations of the Treadway Commission. </w:t>
            </w:r>
            <w:r>
              <w:rPr>
                <w:sz w:val="18"/>
                <w:szCs w:val="18"/>
              </w:rPr>
              <w:t>(2023). Achieving Effective Internal Control over Sustainability Reporting (ICSR). COSO.</w:t>
            </w:r>
          </w:p>
          <w:p w14:paraId="1471D7E4" w14:textId="77777777" w:rsidR="00990B14" w:rsidRDefault="00000000">
            <w:pPr>
              <w:numPr>
                <w:ilvl w:val="0"/>
                <w:numId w:val="140"/>
              </w:numPr>
              <w:spacing w:after="20"/>
              <w:jc w:val="both"/>
            </w:pPr>
            <w:r>
              <w:rPr>
                <w:sz w:val="18"/>
                <w:szCs w:val="18"/>
              </w:rPr>
              <w:t>Decreto Supremo N.º 0181, de 28 de junio de 2009, Normas Básicas del Sistema de Administración de Bienes y Servicios. Gaceta Oficial de Bolivia.</w:t>
            </w:r>
          </w:p>
          <w:p w14:paraId="6E74031E" w14:textId="77777777" w:rsidR="00990B14" w:rsidRDefault="00000000">
            <w:pPr>
              <w:numPr>
                <w:ilvl w:val="0"/>
                <w:numId w:val="140"/>
              </w:numPr>
              <w:spacing w:after="20"/>
              <w:jc w:val="both"/>
            </w:pPr>
            <w:r>
              <w:rPr>
                <w:sz w:val="18"/>
                <w:szCs w:val="18"/>
              </w:rPr>
              <w:t>Deloitte. (2019). Estándares Internacionales de Auditoría, Aseguramiento, Revisión, Otros Encargos de Aseguramiento, Servicios Relacionados y Control de Calidad.</w:t>
            </w:r>
          </w:p>
          <w:p w14:paraId="73A89191" w14:textId="77777777" w:rsidR="00990B14" w:rsidRDefault="00000000">
            <w:pPr>
              <w:numPr>
                <w:ilvl w:val="0"/>
                <w:numId w:val="140"/>
              </w:numPr>
              <w:spacing w:after="20"/>
              <w:jc w:val="both"/>
            </w:pPr>
            <w:r>
              <w:rPr>
                <w:sz w:val="18"/>
                <w:szCs w:val="18"/>
              </w:rPr>
              <w:t>Estupiñán Gaitán, R. (2015). Administración de riesgos E.R.M. y la auditoría interna. Bogotá: ECOE Ediciones.</w:t>
            </w:r>
          </w:p>
          <w:p w14:paraId="24E54D0E" w14:textId="77777777" w:rsidR="00990B14" w:rsidRDefault="00000000">
            <w:pPr>
              <w:numPr>
                <w:ilvl w:val="0"/>
                <w:numId w:val="140"/>
              </w:numPr>
              <w:spacing w:after="20"/>
              <w:jc w:val="both"/>
            </w:pPr>
            <w:r w:rsidRPr="00BD34F7">
              <w:rPr>
                <w:sz w:val="18"/>
                <w:szCs w:val="18"/>
                <w:lang w:val="en-US"/>
              </w:rPr>
              <w:t xml:space="preserve">Financial Accounting Standards Board. Accounting Standards Codification, Topic 958: Not-for-Profit Entities (incluye ASU 2016-14 y ASU 2018-08). </w:t>
            </w:r>
            <w:r>
              <w:rPr>
                <w:sz w:val="18"/>
                <w:szCs w:val="18"/>
              </w:rPr>
              <w:t>Norwalk: FASB.</w:t>
            </w:r>
          </w:p>
          <w:p w14:paraId="0BC9E2CA" w14:textId="77777777" w:rsidR="00990B14" w:rsidRDefault="00000000">
            <w:pPr>
              <w:numPr>
                <w:ilvl w:val="0"/>
                <w:numId w:val="140"/>
              </w:numPr>
              <w:spacing w:after="20"/>
              <w:jc w:val="both"/>
            </w:pPr>
            <w:r>
              <w:rPr>
                <w:sz w:val="18"/>
                <w:szCs w:val="18"/>
              </w:rPr>
              <w:t xml:space="preserve">Grupo de Acción Financiera Internacional. </w:t>
            </w:r>
            <w:r w:rsidRPr="00BD34F7">
              <w:rPr>
                <w:sz w:val="18"/>
                <w:szCs w:val="18"/>
                <w:lang w:val="en-US"/>
              </w:rPr>
              <w:t xml:space="preserve">(2023). Best Practices on Combating the Abuse of Non-Profit Organisations (Recommendation 8). </w:t>
            </w:r>
            <w:r>
              <w:rPr>
                <w:sz w:val="18"/>
                <w:szCs w:val="18"/>
              </w:rPr>
              <w:t>París: GAFI.</w:t>
            </w:r>
          </w:p>
          <w:p w14:paraId="5B0E048C" w14:textId="77777777" w:rsidR="00990B14" w:rsidRDefault="00000000">
            <w:pPr>
              <w:numPr>
                <w:ilvl w:val="0"/>
                <w:numId w:val="140"/>
              </w:numPr>
              <w:spacing w:after="20"/>
              <w:jc w:val="both"/>
            </w:pPr>
            <w:r w:rsidRPr="00BD34F7">
              <w:rPr>
                <w:sz w:val="18"/>
                <w:szCs w:val="18"/>
                <w:lang w:val="en-US"/>
              </w:rPr>
              <w:t xml:space="preserve">International Auditing and Assurance Standards Board. (2018). Guide to Using ISAs in the Audits of Small and Medium-Sized Entities (4.ª ed., Vols. </w:t>
            </w:r>
            <w:r>
              <w:rPr>
                <w:sz w:val="18"/>
                <w:szCs w:val="18"/>
              </w:rPr>
              <w:t>I y II). Nueva York: IFAC.</w:t>
            </w:r>
          </w:p>
          <w:p w14:paraId="43D14C4C" w14:textId="77777777" w:rsidR="00990B14" w:rsidRDefault="00000000">
            <w:pPr>
              <w:numPr>
                <w:ilvl w:val="0"/>
                <w:numId w:val="140"/>
              </w:numPr>
              <w:spacing w:after="20"/>
              <w:jc w:val="both"/>
            </w:pPr>
            <w:r w:rsidRPr="00BD34F7">
              <w:rPr>
                <w:sz w:val="18"/>
                <w:szCs w:val="18"/>
                <w:lang w:val="en-US"/>
              </w:rPr>
              <w:t xml:space="preserve">International Auditing and Assurance Standards Board. (2024). ISSA 5000, General Requirements for Sustainability Assurance Engagements. </w:t>
            </w:r>
            <w:r>
              <w:rPr>
                <w:sz w:val="18"/>
                <w:szCs w:val="18"/>
              </w:rPr>
              <w:t>Nueva York: IFAC.</w:t>
            </w:r>
          </w:p>
          <w:p w14:paraId="4F68C67E" w14:textId="77777777" w:rsidR="00990B14" w:rsidRDefault="00000000">
            <w:pPr>
              <w:numPr>
                <w:ilvl w:val="0"/>
                <w:numId w:val="140"/>
              </w:numPr>
              <w:spacing w:after="20"/>
              <w:jc w:val="both"/>
            </w:pPr>
            <w:r w:rsidRPr="00BD34F7">
              <w:rPr>
                <w:sz w:val="18"/>
                <w:szCs w:val="18"/>
                <w:lang w:val="en-US"/>
              </w:rPr>
              <w:t xml:space="preserve">International Auditing and Assurance Standards Board. </w:t>
            </w:r>
            <w:r>
              <w:rPr>
                <w:sz w:val="18"/>
                <w:szCs w:val="18"/>
              </w:rPr>
              <w:t>(2025). NIA 240 (Revisada), Responsabilidades del auditor con respecto al fraude en una auditoría de estados financieros. Nueva York: IFAC.</w:t>
            </w:r>
          </w:p>
          <w:p w14:paraId="0193A32C" w14:textId="77777777" w:rsidR="00990B14" w:rsidRPr="00BD34F7" w:rsidRDefault="00000000">
            <w:pPr>
              <w:numPr>
                <w:ilvl w:val="0"/>
                <w:numId w:val="140"/>
              </w:numPr>
              <w:spacing w:after="20"/>
              <w:jc w:val="both"/>
              <w:rPr>
                <w:lang w:val="en-US"/>
              </w:rPr>
            </w:pPr>
            <w:r w:rsidRPr="00BD34F7">
              <w:rPr>
                <w:sz w:val="18"/>
                <w:szCs w:val="18"/>
                <w:lang w:val="en-US"/>
              </w:rPr>
              <w:t>International Federation of Accountants – International Accounting Education Standards Board. (2019). Handbook of International Education Pronouncements, 2019 Edition (IES 2, 3, 4 y 6, revisadas). Nueva York: IFAC.</w:t>
            </w:r>
          </w:p>
          <w:p w14:paraId="17E788D5" w14:textId="77777777" w:rsidR="00990B14" w:rsidRDefault="00000000">
            <w:pPr>
              <w:numPr>
                <w:ilvl w:val="0"/>
                <w:numId w:val="140"/>
              </w:numPr>
              <w:spacing w:after="20"/>
              <w:jc w:val="both"/>
            </w:pPr>
            <w:r>
              <w:rPr>
                <w:sz w:val="18"/>
                <w:szCs w:val="18"/>
              </w:rPr>
              <w:t>International Sustainability Standards Board. (2023). NIIF S1, Requerimientos generales para la información a revelar sobre sostenibilidad, y NIIF S2, Información a revelar relacionada con el clima. Londres: IFRS Foundation.</w:t>
            </w:r>
          </w:p>
          <w:p w14:paraId="28790F8D" w14:textId="77777777" w:rsidR="00990B14" w:rsidRDefault="00000000">
            <w:pPr>
              <w:numPr>
                <w:ilvl w:val="0"/>
                <w:numId w:val="140"/>
              </w:numPr>
              <w:spacing w:after="20"/>
              <w:jc w:val="both"/>
            </w:pPr>
            <w:r>
              <w:rPr>
                <w:sz w:val="18"/>
                <w:szCs w:val="18"/>
              </w:rPr>
              <w:t>Ley N.º 777 del Sistema de Planificación Integral del Estado, de 21 de enero de 2016. Gaceta Oficial de Bolivia.</w:t>
            </w:r>
          </w:p>
          <w:p w14:paraId="47564DBB" w14:textId="77777777" w:rsidR="00990B14" w:rsidRDefault="00000000">
            <w:pPr>
              <w:numPr>
                <w:ilvl w:val="0"/>
                <w:numId w:val="140"/>
              </w:numPr>
              <w:spacing w:after="20"/>
              <w:jc w:val="both"/>
            </w:pPr>
            <w:r>
              <w:rPr>
                <w:sz w:val="18"/>
                <w:szCs w:val="18"/>
              </w:rPr>
              <w:t>Naciones Unidas. (2015). Transformar nuestro mundo: la Agenda 2030 para el Desarrollo Sostenible (Resolución A/RES/70/1). Nueva York: ONU.</w:t>
            </w:r>
          </w:p>
          <w:p w14:paraId="54F0D54A" w14:textId="77777777" w:rsidR="00990B14" w:rsidRDefault="00000000">
            <w:pPr>
              <w:numPr>
                <w:ilvl w:val="0"/>
                <w:numId w:val="140"/>
              </w:numPr>
              <w:spacing w:after="20"/>
              <w:jc w:val="both"/>
            </w:pPr>
            <w:r>
              <w:rPr>
                <w:sz w:val="18"/>
                <w:szCs w:val="18"/>
              </w:rPr>
              <w:t>Project Management Institute. (2021). Guía de los fundamentos para la dirección de proyectos (Guía del PMBOK®), 7.ª ed. Newtown Square: PMI.</w:t>
            </w:r>
          </w:p>
          <w:p w14:paraId="36334BA7" w14:textId="77777777" w:rsidR="00990B14" w:rsidRDefault="00000000">
            <w:pPr>
              <w:numPr>
                <w:ilvl w:val="0"/>
                <w:numId w:val="140"/>
              </w:numPr>
              <w:spacing w:after="20"/>
              <w:jc w:val="both"/>
            </w:pPr>
            <w:r>
              <w:rPr>
                <w:sz w:val="18"/>
                <w:szCs w:val="18"/>
              </w:rPr>
              <w:t>Romano Aparicio, J. (2018). Manual contable de entidades no lucrativas. Madrid: Ediciones CEF.</w:t>
            </w:r>
          </w:p>
          <w:p w14:paraId="68EA225A" w14:textId="77777777" w:rsidR="00990B14" w:rsidRPr="00BD34F7" w:rsidRDefault="00000000">
            <w:pPr>
              <w:numPr>
                <w:ilvl w:val="0"/>
                <w:numId w:val="140"/>
              </w:numPr>
              <w:spacing w:after="20"/>
              <w:jc w:val="both"/>
              <w:rPr>
                <w:lang w:val="en-US"/>
              </w:rPr>
            </w:pPr>
            <w:r w:rsidRPr="00BD34F7">
              <w:rPr>
                <w:sz w:val="18"/>
                <w:szCs w:val="18"/>
                <w:lang w:val="en-US"/>
              </w:rPr>
              <w:t>Sitios web: www.iaasb.org · www.ethicsboard.org · www.ifrs.org · www.ipsasb.org · www.inprf.org · www.issai.org · www.bancomundial.org · www.iadb.org · www.impuestos.gob.bo · www.contraloria.gob.bo</w:t>
            </w:r>
          </w:p>
          <w:p w14:paraId="7934CAFB" w14:textId="77777777" w:rsidR="00990B14" w:rsidRDefault="00000000">
            <w:pPr>
              <w:numPr>
                <w:ilvl w:val="0"/>
                <w:numId w:val="140"/>
              </w:numPr>
              <w:spacing w:after="20"/>
              <w:jc w:val="both"/>
            </w:pPr>
            <w:r w:rsidRPr="00BD34F7">
              <w:rPr>
                <w:sz w:val="18"/>
                <w:szCs w:val="18"/>
                <w:lang w:val="en-US"/>
              </w:rPr>
              <w:t xml:space="preserve">The Institute of Internal Auditors. </w:t>
            </w:r>
            <w:r>
              <w:rPr>
                <w:sz w:val="18"/>
                <w:szCs w:val="18"/>
              </w:rPr>
              <w:t>(2024). Normas Globales de Auditoría Interna. Lake Mary: The IIA.</w:t>
            </w:r>
          </w:p>
          <w:p w14:paraId="795BFBC9" w14:textId="77777777" w:rsidR="00990B14" w:rsidRDefault="00000000">
            <w:pPr>
              <w:numPr>
                <w:ilvl w:val="0"/>
                <w:numId w:val="140"/>
              </w:numPr>
              <w:spacing w:after="20"/>
              <w:jc w:val="both"/>
            </w:pPr>
            <w:r>
              <w:rPr>
                <w:sz w:val="18"/>
                <w:szCs w:val="18"/>
              </w:rPr>
              <w:t>Tobón, S. (2013). Formación integral y competencias: pensamiento complejo, currículo, didáctica y evaluación (4.ª ed.). Bogotá: ECOE Ediciones.</w:t>
            </w:r>
          </w:p>
          <w:p w14:paraId="58D750EB" w14:textId="77777777" w:rsidR="00990B14" w:rsidRDefault="00000000">
            <w:pPr>
              <w:numPr>
                <w:ilvl w:val="0"/>
                <w:numId w:val="140"/>
              </w:numPr>
              <w:spacing w:after="20"/>
              <w:jc w:val="both"/>
            </w:pPr>
            <w:r w:rsidRPr="00BD34F7">
              <w:rPr>
                <w:sz w:val="18"/>
                <w:szCs w:val="18"/>
                <w:lang w:val="en-US"/>
              </w:rPr>
              <w:t xml:space="preserve">U.S. Government Accountability Office. (2024). Government Auditing Standards, 2024 Revision (Yellow Book, GAO-24-106786). </w:t>
            </w:r>
            <w:r>
              <w:rPr>
                <w:sz w:val="18"/>
                <w:szCs w:val="18"/>
              </w:rPr>
              <w:t>Washington, D.C.: GAO.</w:t>
            </w:r>
          </w:p>
          <w:p w14:paraId="57482DCC" w14:textId="77777777" w:rsidR="00990B14" w:rsidRDefault="00000000">
            <w:pPr>
              <w:numPr>
                <w:ilvl w:val="0"/>
                <w:numId w:val="140"/>
              </w:numPr>
              <w:spacing w:after="20"/>
              <w:jc w:val="both"/>
            </w:pPr>
            <w:r>
              <w:rPr>
                <w:sz w:val="18"/>
                <w:szCs w:val="18"/>
              </w:rPr>
              <w:t>UNESCO. (2021). Recomendación sobre la ética de la inteligencia artificial. París: UNESCO.</w:t>
            </w:r>
          </w:p>
          <w:p w14:paraId="0711D091" w14:textId="77777777" w:rsidR="00990B14" w:rsidRDefault="00000000">
            <w:pPr>
              <w:numPr>
                <w:ilvl w:val="0"/>
                <w:numId w:val="140"/>
              </w:numPr>
              <w:spacing w:after="20"/>
              <w:jc w:val="both"/>
            </w:pPr>
            <w:r w:rsidRPr="00BD34F7">
              <w:rPr>
                <w:sz w:val="18"/>
                <w:szCs w:val="18"/>
                <w:lang w:val="en-US"/>
              </w:rPr>
              <w:t xml:space="preserve">Whittington, R. y Pany, K. (2010). </w:t>
            </w:r>
            <w:r>
              <w:rPr>
                <w:sz w:val="18"/>
                <w:szCs w:val="18"/>
              </w:rPr>
              <w:t>Principios de auditoría. México: McGraw-Hill.</w:t>
            </w:r>
          </w:p>
          <w:p w14:paraId="517AFBE7" w14:textId="77777777" w:rsidR="00990B14" w:rsidRDefault="00000000">
            <w:pPr>
              <w:numPr>
                <w:ilvl w:val="0"/>
                <w:numId w:val="140"/>
              </w:numPr>
              <w:spacing w:after="20"/>
              <w:jc w:val="both"/>
            </w:pPr>
            <w:r w:rsidRPr="00BD34F7">
              <w:rPr>
                <w:sz w:val="18"/>
                <w:szCs w:val="18"/>
                <w:lang w:val="en-US"/>
              </w:rPr>
              <w:t xml:space="preserve">World Economic Forum. (2025). The Future of Jobs Report 2025. </w:t>
            </w:r>
            <w:r>
              <w:rPr>
                <w:sz w:val="18"/>
                <w:szCs w:val="18"/>
              </w:rPr>
              <w:t>Ginebra: WEF.</w:t>
            </w:r>
          </w:p>
        </w:tc>
      </w:tr>
    </w:tbl>
    <w:p w14:paraId="12E17BC7" w14:textId="77777777" w:rsidR="00990B14" w:rsidRDefault="00000000">
      <w:pPr>
        <w:pStyle w:val="TituloPlanAsignatura"/>
        <w:keepNext/>
        <w:pageBreakBefore/>
        <w:spacing w:after="120"/>
        <w:jc w:val="center"/>
        <w:outlineLvl w:val="2"/>
      </w:pPr>
      <w:bookmarkStart w:id="190" w:name="_Toc000000131"/>
      <w:r>
        <w:rPr>
          <w:b/>
          <w:bCs/>
          <w:sz w:val="24"/>
          <w:szCs w:val="24"/>
        </w:rPr>
        <w:t>CPA-508 Auditoría Forense y Prevención de Delitos Económicos</w:t>
      </w:r>
      <w:bookmarkEnd w:id="190"/>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249"/>
        <w:gridCol w:w="1100"/>
        <w:gridCol w:w="149"/>
        <w:gridCol w:w="635"/>
        <w:gridCol w:w="615"/>
        <w:gridCol w:w="952"/>
        <w:gridCol w:w="298"/>
        <w:gridCol w:w="1250"/>
        <w:gridCol w:w="20"/>
        <w:gridCol w:w="385"/>
        <w:gridCol w:w="398"/>
        <w:gridCol w:w="447"/>
        <w:gridCol w:w="1907"/>
      </w:tblGrid>
      <w:tr w:rsidR="00990B14" w14:paraId="674C770F" w14:textId="77777777">
        <w:trPr>
          <w:cantSplit/>
          <w:jc w:val="center"/>
        </w:trPr>
        <w:tc>
          <w:tcPr>
            <w:tcW w:w="2349" w:type="dxa"/>
            <w:gridSpan w:val="2"/>
            <w:shd w:val="clear" w:color="auto" w:fill="4472C4"/>
            <w:vAlign w:val="center"/>
          </w:tcPr>
          <w:p w14:paraId="6F56445A" w14:textId="77777777" w:rsidR="00990B14" w:rsidRDefault="00000000">
            <w:pPr>
              <w:keepNext/>
              <w:spacing w:before="20" w:after="20"/>
              <w:jc w:val="center"/>
            </w:pPr>
            <w:r>
              <w:rPr>
                <w:b/>
                <w:bCs/>
                <w:i/>
                <w:iCs/>
                <w:color w:val="FFFFFF"/>
                <w:sz w:val="18"/>
                <w:szCs w:val="18"/>
              </w:rPr>
              <w:t>Asignatura</w:t>
            </w:r>
          </w:p>
        </w:tc>
        <w:tc>
          <w:tcPr>
            <w:tcW w:w="2351" w:type="dxa"/>
            <w:gridSpan w:val="4"/>
            <w:shd w:val="clear" w:color="auto" w:fill="4472C4"/>
            <w:vAlign w:val="center"/>
          </w:tcPr>
          <w:p w14:paraId="5B892056" w14:textId="77777777" w:rsidR="00990B14" w:rsidRDefault="00000000">
            <w:pPr>
              <w:keepNext/>
              <w:spacing w:before="20" w:after="20"/>
              <w:jc w:val="center"/>
            </w:pPr>
            <w:r>
              <w:rPr>
                <w:b/>
                <w:bCs/>
                <w:i/>
                <w:iCs/>
                <w:color w:val="FFFFFF"/>
                <w:sz w:val="18"/>
                <w:szCs w:val="18"/>
              </w:rPr>
              <w:t>Sigla</w:t>
            </w:r>
          </w:p>
        </w:tc>
        <w:tc>
          <w:tcPr>
            <w:tcW w:w="2351" w:type="dxa"/>
            <w:gridSpan w:val="5"/>
            <w:shd w:val="clear" w:color="auto" w:fill="4472C4"/>
            <w:vAlign w:val="center"/>
          </w:tcPr>
          <w:p w14:paraId="36AA75F5" w14:textId="77777777" w:rsidR="00990B14" w:rsidRDefault="00000000">
            <w:pPr>
              <w:keepNext/>
              <w:spacing w:before="20" w:after="20"/>
              <w:jc w:val="center"/>
            </w:pPr>
            <w:r>
              <w:rPr>
                <w:b/>
                <w:bCs/>
                <w:i/>
                <w:iCs/>
                <w:color w:val="FFFFFF"/>
                <w:sz w:val="18"/>
                <w:szCs w:val="18"/>
              </w:rPr>
              <w:t>Nivel/Área</w:t>
            </w:r>
          </w:p>
        </w:tc>
        <w:tc>
          <w:tcPr>
            <w:tcW w:w="2354" w:type="dxa"/>
            <w:gridSpan w:val="2"/>
            <w:shd w:val="clear" w:color="auto" w:fill="4472C4"/>
            <w:vAlign w:val="center"/>
          </w:tcPr>
          <w:p w14:paraId="447C155D" w14:textId="77777777" w:rsidR="00990B14" w:rsidRDefault="00000000">
            <w:pPr>
              <w:keepNext/>
              <w:spacing w:before="20" w:after="20"/>
              <w:jc w:val="center"/>
            </w:pPr>
            <w:r>
              <w:rPr>
                <w:b/>
                <w:bCs/>
                <w:i/>
                <w:iCs/>
                <w:color w:val="FFFFFF"/>
                <w:sz w:val="18"/>
                <w:szCs w:val="18"/>
              </w:rPr>
              <w:t>Prerrequisito</w:t>
            </w:r>
          </w:p>
        </w:tc>
      </w:tr>
      <w:tr w:rsidR="00990B14" w14:paraId="16BDF77E" w14:textId="77777777">
        <w:trPr>
          <w:cantSplit/>
          <w:jc w:val="center"/>
        </w:trPr>
        <w:tc>
          <w:tcPr>
            <w:tcW w:w="2349" w:type="dxa"/>
            <w:gridSpan w:val="2"/>
            <w:shd w:val="clear" w:color="auto" w:fill="D9E2F3"/>
            <w:vAlign w:val="center"/>
          </w:tcPr>
          <w:p w14:paraId="7B807853" w14:textId="77777777" w:rsidR="00990B14" w:rsidRDefault="00000000">
            <w:pPr>
              <w:spacing w:before="20" w:after="20"/>
              <w:jc w:val="center"/>
            </w:pPr>
            <w:r>
              <w:rPr>
                <w:b/>
                <w:bCs/>
                <w:i/>
                <w:iCs/>
                <w:sz w:val="18"/>
                <w:szCs w:val="18"/>
              </w:rPr>
              <w:t>Auditoría Forense y Prevención de Delitos Económicos</w:t>
            </w:r>
          </w:p>
        </w:tc>
        <w:tc>
          <w:tcPr>
            <w:tcW w:w="2351" w:type="dxa"/>
            <w:gridSpan w:val="4"/>
            <w:shd w:val="clear" w:color="auto" w:fill="D9E2F3"/>
            <w:vAlign w:val="center"/>
          </w:tcPr>
          <w:p w14:paraId="0A950E5A" w14:textId="77777777" w:rsidR="00990B14" w:rsidRDefault="00000000">
            <w:pPr>
              <w:spacing w:before="20" w:after="20"/>
              <w:jc w:val="center"/>
            </w:pPr>
            <w:r>
              <w:rPr>
                <w:b/>
                <w:bCs/>
                <w:i/>
                <w:iCs/>
                <w:sz w:val="18"/>
                <w:szCs w:val="18"/>
              </w:rPr>
              <w:t>CPA-508</w:t>
            </w:r>
          </w:p>
        </w:tc>
        <w:tc>
          <w:tcPr>
            <w:tcW w:w="2351" w:type="dxa"/>
            <w:gridSpan w:val="5"/>
            <w:shd w:val="clear" w:color="auto" w:fill="D9E2F3"/>
            <w:vAlign w:val="center"/>
          </w:tcPr>
          <w:p w14:paraId="13545276" w14:textId="77777777" w:rsidR="00990B14" w:rsidRDefault="00000000">
            <w:pPr>
              <w:spacing w:before="20" w:after="20"/>
              <w:jc w:val="center"/>
            </w:pPr>
            <w:r>
              <w:rPr>
                <w:b/>
                <w:bCs/>
                <w:i/>
                <w:iCs/>
                <w:sz w:val="18"/>
                <w:szCs w:val="18"/>
              </w:rPr>
              <w:t>Aseguramiento</w:t>
            </w:r>
          </w:p>
        </w:tc>
        <w:tc>
          <w:tcPr>
            <w:tcW w:w="2354" w:type="dxa"/>
            <w:gridSpan w:val="2"/>
            <w:shd w:val="clear" w:color="auto" w:fill="D9E2F3"/>
            <w:vAlign w:val="center"/>
          </w:tcPr>
          <w:p w14:paraId="24EC4273" w14:textId="77777777" w:rsidR="00990B14" w:rsidRDefault="00000000">
            <w:pPr>
              <w:spacing w:before="20" w:after="20"/>
              <w:jc w:val="center"/>
            </w:pPr>
            <w:r>
              <w:rPr>
                <w:b/>
                <w:bCs/>
                <w:i/>
                <w:iCs/>
                <w:sz w:val="18"/>
                <w:szCs w:val="18"/>
              </w:rPr>
              <w:t>CPA-401 a CPA-408</w:t>
            </w:r>
          </w:p>
        </w:tc>
      </w:tr>
      <w:tr w:rsidR="00990B14" w14:paraId="65541865" w14:textId="77777777">
        <w:trPr>
          <w:cantSplit/>
          <w:jc w:val="center"/>
        </w:trPr>
        <w:tc>
          <w:tcPr>
            <w:tcW w:w="7498" w:type="dxa"/>
            <w:gridSpan w:val="12"/>
            <w:shd w:val="clear" w:color="auto" w:fill="4472C4"/>
            <w:vAlign w:val="center"/>
          </w:tcPr>
          <w:p w14:paraId="10CC5BB7" w14:textId="77777777" w:rsidR="00990B14" w:rsidRDefault="00000000">
            <w:pPr>
              <w:keepNext/>
              <w:spacing w:before="20" w:after="20"/>
              <w:jc w:val="center"/>
            </w:pPr>
            <w:r>
              <w:rPr>
                <w:b/>
                <w:bCs/>
                <w:i/>
                <w:iCs/>
                <w:color w:val="FFFFFF"/>
                <w:sz w:val="18"/>
                <w:szCs w:val="18"/>
              </w:rPr>
              <w:t>Carga Horaria</w:t>
            </w:r>
          </w:p>
        </w:tc>
        <w:tc>
          <w:tcPr>
            <w:tcW w:w="1907" w:type="dxa"/>
            <w:shd w:val="clear" w:color="auto" w:fill="4472C4"/>
            <w:vAlign w:val="center"/>
          </w:tcPr>
          <w:p w14:paraId="0AE74523" w14:textId="77777777" w:rsidR="00990B14" w:rsidRDefault="00000000">
            <w:pPr>
              <w:keepNext/>
              <w:spacing w:before="20" w:after="20"/>
              <w:jc w:val="center"/>
            </w:pPr>
            <w:r>
              <w:rPr>
                <w:b/>
                <w:bCs/>
                <w:i/>
                <w:iCs/>
                <w:color w:val="FFFFFF"/>
                <w:sz w:val="18"/>
                <w:szCs w:val="18"/>
              </w:rPr>
              <w:t>Créditos</w:t>
            </w:r>
          </w:p>
        </w:tc>
      </w:tr>
      <w:tr w:rsidR="00990B14" w14:paraId="044D2708" w14:textId="77777777">
        <w:trPr>
          <w:cantSplit/>
          <w:jc w:val="center"/>
        </w:trPr>
        <w:tc>
          <w:tcPr>
            <w:tcW w:w="1249" w:type="dxa"/>
            <w:shd w:val="clear" w:color="auto" w:fill="4472C4"/>
            <w:vAlign w:val="center"/>
          </w:tcPr>
          <w:p w14:paraId="6638BBDF" w14:textId="77777777" w:rsidR="00990B14" w:rsidRDefault="00000000">
            <w:pPr>
              <w:keepNext/>
              <w:spacing w:before="20" w:after="20"/>
              <w:jc w:val="center"/>
            </w:pPr>
            <w:r>
              <w:rPr>
                <w:b/>
                <w:bCs/>
                <w:i/>
                <w:iCs/>
                <w:color w:val="FFFFFF"/>
                <w:sz w:val="18"/>
                <w:szCs w:val="18"/>
              </w:rPr>
              <w:t>HP</w:t>
            </w:r>
          </w:p>
        </w:tc>
        <w:tc>
          <w:tcPr>
            <w:tcW w:w="1249" w:type="dxa"/>
            <w:gridSpan w:val="2"/>
            <w:shd w:val="clear" w:color="auto" w:fill="4472C4"/>
            <w:vAlign w:val="center"/>
          </w:tcPr>
          <w:p w14:paraId="298C4A68" w14:textId="77777777" w:rsidR="00990B14" w:rsidRDefault="00000000">
            <w:pPr>
              <w:keepNext/>
              <w:spacing w:before="20" w:after="20"/>
              <w:jc w:val="center"/>
            </w:pPr>
            <w:r>
              <w:rPr>
                <w:b/>
                <w:bCs/>
                <w:i/>
                <w:iCs/>
                <w:color w:val="FFFFFF"/>
                <w:sz w:val="18"/>
                <w:szCs w:val="18"/>
              </w:rPr>
              <w:t>HAA</w:t>
            </w:r>
          </w:p>
        </w:tc>
        <w:tc>
          <w:tcPr>
            <w:tcW w:w="1250" w:type="dxa"/>
            <w:gridSpan w:val="2"/>
            <w:shd w:val="clear" w:color="auto" w:fill="4472C4"/>
            <w:vAlign w:val="center"/>
          </w:tcPr>
          <w:p w14:paraId="060F3CF2" w14:textId="77777777" w:rsidR="00990B14" w:rsidRDefault="00000000">
            <w:pPr>
              <w:keepNext/>
              <w:spacing w:before="20" w:after="20"/>
              <w:jc w:val="center"/>
            </w:pPr>
            <w:r>
              <w:rPr>
                <w:b/>
                <w:bCs/>
                <w:i/>
                <w:iCs/>
                <w:color w:val="FFFFFF"/>
                <w:sz w:val="18"/>
                <w:szCs w:val="18"/>
              </w:rPr>
              <w:t>HTG</w:t>
            </w:r>
          </w:p>
        </w:tc>
        <w:tc>
          <w:tcPr>
            <w:tcW w:w="1250" w:type="dxa"/>
            <w:gridSpan w:val="2"/>
            <w:shd w:val="clear" w:color="auto" w:fill="4472C4"/>
            <w:vAlign w:val="center"/>
          </w:tcPr>
          <w:p w14:paraId="11A1B621" w14:textId="77777777" w:rsidR="00990B14" w:rsidRDefault="00000000">
            <w:pPr>
              <w:keepNext/>
              <w:spacing w:before="20" w:after="20"/>
              <w:jc w:val="center"/>
            </w:pPr>
            <w:r>
              <w:rPr>
                <w:b/>
                <w:bCs/>
                <w:i/>
                <w:iCs/>
                <w:color w:val="FFFFFF"/>
                <w:sz w:val="18"/>
                <w:szCs w:val="18"/>
              </w:rPr>
              <w:t>HIP</w:t>
            </w:r>
          </w:p>
        </w:tc>
        <w:tc>
          <w:tcPr>
            <w:tcW w:w="1250" w:type="dxa"/>
            <w:shd w:val="clear" w:color="auto" w:fill="4472C4"/>
            <w:vAlign w:val="center"/>
          </w:tcPr>
          <w:p w14:paraId="03D4DBE5" w14:textId="77777777" w:rsidR="00990B14" w:rsidRDefault="00000000">
            <w:pPr>
              <w:keepNext/>
              <w:spacing w:before="20" w:after="20"/>
              <w:jc w:val="center"/>
            </w:pPr>
            <w:r>
              <w:rPr>
                <w:b/>
                <w:bCs/>
                <w:i/>
                <w:iCs/>
                <w:color w:val="FFFFFF"/>
                <w:sz w:val="18"/>
                <w:szCs w:val="18"/>
              </w:rPr>
              <w:t>HE</w:t>
            </w:r>
          </w:p>
        </w:tc>
        <w:tc>
          <w:tcPr>
            <w:tcW w:w="1250" w:type="dxa"/>
            <w:gridSpan w:val="4"/>
            <w:shd w:val="clear" w:color="auto" w:fill="4472C4"/>
            <w:vAlign w:val="center"/>
          </w:tcPr>
          <w:p w14:paraId="180493BF" w14:textId="77777777" w:rsidR="00990B14" w:rsidRDefault="00000000">
            <w:pPr>
              <w:keepNext/>
              <w:spacing w:before="20" w:after="20"/>
              <w:jc w:val="center"/>
            </w:pPr>
            <w:r>
              <w:rPr>
                <w:b/>
                <w:bCs/>
                <w:i/>
                <w:iCs/>
                <w:color w:val="FFFFFF"/>
                <w:sz w:val="18"/>
                <w:szCs w:val="18"/>
              </w:rPr>
              <w:t>TOTAL</w:t>
            </w:r>
          </w:p>
        </w:tc>
        <w:tc>
          <w:tcPr>
            <w:tcW w:w="1907" w:type="dxa"/>
            <w:vMerge w:val="restart"/>
            <w:shd w:val="clear" w:color="auto" w:fill="D9E2F3"/>
            <w:vAlign w:val="center"/>
          </w:tcPr>
          <w:p w14:paraId="02A4B8AB" w14:textId="77777777" w:rsidR="00990B14" w:rsidRDefault="00000000">
            <w:pPr>
              <w:spacing w:before="20" w:after="20"/>
              <w:jc w:val="center"/>
            </w:pPr>
            <w:r>
              <w:rPr>
                <w:sz w:val="18"/>
                <w:szCs w:val="18"/>
              </w:rPr>
              <w:t>4</w:t>
            </w:r>
          </w:p>
        </w:tc>
      </w:tr>
      <w:tr w:rsidR="00990B14" w14:paraId="1DEB48AB" w14:textId="77777777">
        <w:trPr>
          <w:cantSplit/>
          <w:jc w:val="center"/>
        </w:trPr>
        <w:tc>
          <w:tcPr>
            <w:tcW w:w="1249" w:type="dxa"/>
            <w:shd w:val="clear" w:color="auto" w:fill="D9E2F3"/>
            <w:vAlign w:val="center"/>
          </w:tcPr>
          <w:p w14:paraId="1EDF0626" w14:textId="77777777" w:rsidR="00990B14" w:rsidRDefault="00000000">
            <w:pPr>
              <w:spacing w:before="20" w:after="20"/>
              <w:jc w:val="center"/>
            </w:pPr>
            <w:r>
              <w:rPr>
                <w:sz w:val="18"/>
                <w:szCs w:val="18"/>
              </w:rPr>
              <w:t>80</w:t>
            </w:r>
          </w:p>
        </w:tc>
        <w:tc>
          <w:tcPr>
            <w:tcW w:w="1249" w:type="dxa"/>
            <w:gridSpan w:val="2"/>
            <w:shd w:val="clear" w:color="auto" w:fill="D9E2F3"/>
            <w:vAlign w:val="center"/>
          </w:tcPr>
          <w:p w14:paraId="6CFB98AA" w14:textId="77777777" w:rsidR="00990B14" w:rsidRDefault="00000000">
            <w:pPr>
              <w:spacing w:before="20" w:after="20"/>
              <w:jc w:val="center"/>
            </w:pPr>
            <w:r>
              <w:rPr>
                <w:sz w:val="18"/>
                <w:szCs w:val="18"/>
              </w:rPr>
              <w:t>8</w:t>
            </w:r>
          </w:p>
        </w:tc>
        <w:tc>
          <w:tcPr>
            <w:tcW w:w="1250" w:type="dxa"/>
            <w:gridSpan w:val="2"/>
            <w:shd w:val="clear" w:color="auto" w:fill="D9E2F3"/>
            <w:vAlign w:val="center"/>
          </w:tcPr>
          <w:p w14:paraId="0B1C9D8C" w14:textId="77777777" w:rsidR="00990B14" w:rsidRDefault="00000000">
            <w:pPr>
              <w:spacing w:before="20" w:after="20"/>
              <w:jc w:val="center"/>
            </w:pPr>
            <w:r>
              <w:rPr>
                <w:sz w:val="18"/>
                <w:szCs w:val="18"/>
              </w:rPr>
              <w:t>8</w:t>
            </w:r>
          </w:p>
        </w:tc>
        <w:tc>
          <w:tcPr>
            <w:tcW w:w="1250" w:type="dxa"/>
            <w:gridSpan w:val="2"/>
            <w:shd w:val="clear" w:color="auto" w:fill="D9E2F3"/>
            <w:vAlign w:val="center"/>
          </w:tcPr>
          <w:p w14:paraId="63D4AF64" w14:textId="77777777" w:rsidR="00990B14" w:rsidRDefault="00000000">
            <w:pPr>
              <w:spacing w:before="20" w:after="20"/>
              <w:jc w:val="center"/>
            </w:pPr>
            <w:r>
              <w:rPr>
                <w:sz w:val="18"/>
                <w:szCs w:val="18"/>
              </w:rPr>
              <w:t>12</w:t>
            </w:r>
          </w:p>
        </w:tc>
        <w:tc>
          <w:tcPr>
            <w:tcW w:w="1250" w:type="dxa"/>
            <w:shd w:val="clear" w:color="auto" w:fill="D9E2F3"/>
            <w:vAlign w:val="center"/>
          </w:tcPr>
          <w:p w14:paraId="71597D9F" w14:textId="77777777" w:rsidR="00990B14" w:rsidRDefault="00000000">
            <w:pPr>
              <w:spacing w:before="20" w:after="20"/>
              <w:jc w:val="center"/>
            </w:pPr>
            <w:r>
              <w:rPr>
                <w:sz w:val="18"/>
                <w:szCs w:val="18"/>
              </w:rPr>
              <w:t>12</w:t>
            </w:r>
          </w:p>
        </w:tc>
        <w:tc>
          <w:tcPr>
            <w:tcW w:w="1250" w:type="dxa"/>
            <w:gridSpan w:val="4"/>
            <w:shd w:val="clear" w:color="auto" w:fill="D9E2F3"/>
            <w:vAlign w:val="center"/>
          </w:tcPr>
          <w:p w14:paraId="113524FD" w14:textId="77777777" w:rsidR="00990B14" w:rsidRDefault="00000000">
            <w:pPr>
              <w:spacing w:before="20" w:after="20"/>
              <w:jc w:val="center"/>
            </w:pPr>
            <w:r>
              <w:rPr>
                <w:sz w:val="18"/>
                <w:szCs w:val="18"/>
              </w:rPr>
              <w:t>120</w:t>
            </w:r>
          </w:p>
        </w:tc>
        <w:tc>
          <w:tcPr>
            <w:tcW w:w="1907" w:type="dxa"/>
            <w:vMerge/>
            <w:shd w:val="clear" w:color="auto" w:fill="D9E2F3"/>
            <w:vAlign w:val="center"/>
          </w:tcPr>
          <w:p w14:paraId="3ED8CADD" w14:textId="77777777" w:rsidR="00990B14" w:rsidRDefault="00990B14">
            <w:pPr>
              <w:spacing w:before="20" w:after="20"/>
            </w:pPr>
          </w:p>
        </w:tc>
      </w:tr>
      <w:tr w:rsidR="00990B14" w14:paraId="14F18F7A" w14:textId="77777777">
        <w:trPr>
          <w:cantSplit/>
          <w:jc w:val="center"/>
        </w:trPr>
        <w:tc>
          <w:tcPr>
            <w:tcW w:w="9405" w:type="dxa"/>
            <w:gridSpan w:val="13"/>
            <w:shd w:val="clear" w:color="auto" w:fill="4472C4"/>
            <w:vAlign w:val="center"/>
          </w:tcPr>
          <w:p w14:paraId="664F8D6E" w14:textId="77777777" w:rsidR="00990B14" w:rsidRDefault="00000000">
            <w:pPr>
              <w:keepNext/>
              <w:spacing w:before="20" w:after="20"/>
              <w:jc w:val="center"/>
            </w:pPr>
            <w:r>
              <w:rPr>
                <w:b/>
                <w:bCs/>
                <w:i/>
                <w:iCs/>
                <w:color w:val="FFFFFF"/>
                <w:sz w:val="18"/>
                <w:szCs w:val="18"/>
              </w:rPr>
              <w:t>Unidad de Competencia</w:t>
            </w:r>
          </w:p>
        </w:tc>
      </w:tr>
      <w:tr w:rsidR="00990B14" w14:paraId="0A57BDDA" w14:textId="77777777">
        <w:trPr>
          <w:cantSplit/>
          <w:jc w:val="center"/>
        </w:trPr>
        <w:tc>
          <w:tcPr>
            <w:tcW w:w="9405" w:type="dxa"/>
            <w:gridSpan w:val="13"/>
            <w:shd w:val="clear" w:color="auto" w:fill="D9E2F3"/>
            <w:vAlign w:val="center"/>
          </w:tcPr>
          <w:p w14:paraId="1219FEFC" w14:textId="77777777" w:rsidR="00990B14" w:rsidRDefault="00000000">
            <w:pPr>
              <w:spacing w:before="20" w:after="20"/>
              <w:jc w:val="both"/>
            </w:pPr>
            <w:r>
              <w:rPr>
                <w:sz w:val="18"/>
                <w:szCs w:val="18"/>
              </w:rPr>
              <w:t>Diseña, ejecuta y evalúa estrategias integrales de auditoría forense y compliance penal bajo la NIA 3000 (ISAE 3000), ISO 37001 y las Normas de Auditoría de Cumplimiento de la Contraloría General del Estado de Bolivia, integrando la legislación penal, civil, comercial y financiera boliviana (Leyes 004, 1390, 1178, 393, UIF/ASFI) y técnicas de investigación financiera y analítica transaccional, para prevenir, detectar, mitigar y sustentar evidencias de fraude, corrupción y lavado de activos, garantizando la cadena de custodia probatoria, la admisibilidad judicial y el blindaje institucional.</w:t>
            </w:r>
          </w:p>
        </w:tc>
      </w:tr>
      <w:tr w:rsidR="00990B14" w14:paraId="1DC5F162" w14:textId="77777777">
        <w:trPr>
          <w:cantSplit/>
          <w:jc w:val="center"/>
        </w:trPr>
        <w:tc>
          <w:tcPr>
            <w:tcW w:w="9405" w:type="dxa"/>
            <w:gridSpan w:val="13"/>
            <w:shd w:val="clear" w:color="auto" w:fill="D9E2F3"/>
            <w:vAlign w:val="center"/>
          </w:tcPr>
          <w:p w14:paraId="631AFF6D" w14:textId="77777777" w:rsidR="00990B14" w:rsidRDefault="00000000">
            <w:pPr>
              <w:spacing w:before="20" w:after="20"/>
              <w:jc w:val="both"/>
            </w:pPr>
            <w:r>
              <w:rPr>
                <w:b/>
                <w:bCs/>
                <w:i/>
                <w:iCs/>
                <w:sz w:val="18"/>
                <w:szCs w:val="18"/>
              </w:rPr>
              <w:t xml:space="preserve">Elemento de competencia 1: </w:t>
            </w:r>
            <w:r>
              <w:rPr>
                <w:sz w:val="18"/>
                <w:szCs w:val="18"/>
              </w:rPr>
              <w:t>Diseña y ejecuta auditorías forenses especializadas e investigaciones de cumplimiento sobre la gestión pública y privada, aplicando marcos normativos internacionales, las Normas Generales de Auditoría Gubernamental de la Contraloría General del Estado de Bolivia (Normas de Auditoría de Cumplimiento) y técnicas de examen analítico para prevenir, detectar y mitigar el fraude patrimonial y la legitimación de ganancias ilícitas.</w:t>
            </w:r>
          </w:p>
        </w:tc>
      </w:tr>
      <w:tr w:rsidR="00990B14" w14:paraId="3DFB9F88" w14:textId="77777777">
        <w:trPr>
          <w:cantSplit/>
          <w:jc w:val="center"/>
        </w:trPr>
        <w:tc>
          <w:tcPr>
            <w:tcW w:w="3133" w:type="dxa"/>
            <w:gridSpan w:val="4"/>
            <w:shd w:val="clear" w:color="auto" w:fill="4472C4"/>
            <w:vAlign w:val="center"/>
          </w:tcPr>
          <w:p w14:paraId="4DCA0EF2"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5BAC4BA7"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7BDF3B87" w14:textId="77777777" w:rsidR="00990B14" w:rsidRDefault="00000000">
            <w:pPr>
              <w:keepNext/>
              <w:spacing w:before="20" w:after="20"/>
              <w:jc w:val="center"/>
            </w:pPr>
            <w:r>
              <w:rPr>
                <w:b/>
                <w:bCs/>
                <w:i/>
                <w:iCs/>
                <w:color w:val="FFFFFF"/>
                <w:sz w:val="18"/>
                <w:szCs w:val="18"/>
              </w:rPr>
              <w:t>Evidencias de producto</w:t>
            </w:r>
          </w:p>
        </w:tc>
      </w:tr>
      <w:tr w:rsidR="00990B14" w14:paraId="17D7172F" w14:textId="77777777">
        <w:trPr>
          <w:cantSplit/>
          <w:jc w:val="center"/>
        </w:trPr>
        <w:tc>
          <w:tcPr>
            <w:tcW w:w="3133" w:type="dxa"/>
            <w:gridSpan w:val="4"/>
            <w:vMerge w:val="restart"/>
            <w:shd w:val="clear" w:color="auto" w:fill="D9E2F3"/>
            <w:vAlign w:val="center"/>
          </w:tcPr>
          <w:p w14:paraId="7923F70D" w14:textId="77777777" w:rsidR="00990B14" w:rsidRDefault="00000000">
            <w:pPr>
              <w:spacing w:before="20" w:after="20"/>
              <w:jc w:val="both"/>
            </w:pPr>
            <w:r>
              <w:rPr>
                <w:sz w:val="18"/>
                <w:szCs w:val="18"/>
              </w:rPr>
              <w:t>1. Diseña programas de auditoría forense y de cumplimiento gubernamental mediante la integración de marcos normativos (Contraloría General del Estado, Ley SAFCO 1178, Ley 004) y matrices de riesgo para identificar áreas vulnerables al fraude y al lavado de activos.</w:t>
            </w:r>
          </w:p>
        </w:tc>
        <w:tc>
          <w:tcPr>
            <w:tcW w:w="3135" w:type="dxa"/>
            <w:gridSpan w:val="5"/>
            <w:shd w:val="clear" w:color="auto" w:fill="D9E2F3"/>
            <w:vAlign w:val="center"/>
          </w:tcPr>
          <w:p w14:paraId="73C994F9" w14:textId="77777777" w:rsidR="00990B14" w:rsidRDefault="00000000">
            <w:pPr>
              <w:spacing w:before="20" w:after="20"/>
              <w:jc w:val="both"/>
            </w:pPr>
            <w:r>
              <w:rPr>
                <w:sz w:val="18"/>
                <w:szCs w:val="18"/>
              </w:rPr>
              <w:t>1.1 Aplica pruebas sustantivas de auditoría, procedimientos analíticos y muestreo estadístico sobre los registros contables y operaciones gubernamentales bajo sospecha.</w:t>
            </w:r>
          </w:p>
        </w:tc>
        <w:tc>
          <w:tcPr>
            <w:tcW w:w="3137" w:type="dxa"/>
            <w:gridSpan w:val="4"/>
            <w:shd w:val="clear" w:color="auto" w:fill="D9E2F3"/>
            <w:vAlign w:val="center"/>
          </w:tcPr>
          <w:p w14:paraId="1764F9FD" w14:textId="77777777" w:rsidR="00990B14" w:rsidRDefault="00000000">
            <w:pPr>
              <w:spacing w:before="20" w:after="20"/>
              <w:jc w:val="both"/>
            </w:pPr>
            <w:r>
              <w:rPr>
                <w:b/>
                <w:bCs/>
                <w:sz w:val="18"/>
                <w:szCs w:val="18"/>
              </w:rPr>
              <w:t xml:space="preserve">Producto 1: </w:t>
            </w:r>
            <w:r>
              <w:rPr>
                <w:sz w:val="18"/>
                <w:szCs w:val="18"/>
              </w:rPr>
              <w:t>Plan de auditoría forense y de cumplimiento estructurado, detallando alcance, objetivos, marco normativo (CGE, CP, CCo) y cronograma.</w:t>
            </w:r>
          </w:p>
        </w:tc>
      </w:tr>
      <w:tr w:rsidR="00990B14" w14:paraId="0D65FE24" w14:textId="77777777">
        <w:trPr>
          <w:cantSplit/>
          <w:jc w:val="center"/>
        </w:trPr>
        <w:tc>
          <w:tcPr>
            <w:tcW w:w="3133" w:type="dxa"/>
            <w:gridSpan w:val="4"/>
            <w:vMerge/>
            <w:shd w:val="clear" w:color="auto" w:fill="D9E2F3"/>
            <w:vAlign w:val="center"/>
          </w:tcPr>
          <w:p w14:paraId="31A1295C" w14:textId="77777777" w:rsidR="00990B14" w:rsidRDefault="00990B14">
            <w:pPr>
              <w:spacing w:before="20" w:after="20"/>
            </w:pPr>
          </w:p>
        </w:tc>
        <w:tc>
          <w:tcPr>
            <w:tcW w:w="3135" w:type="dxa"/>
            <w:gridSpan w:val="5"/>
            <w:shd w:val="clear" w:color="auto" w:fill="D9E2F3"/>
            <w:vAlign w:val="center"/>
          </w:tcPr>
          <w:p w14:paraId="0EBC8C9C" w14:textId="77777777" w:rsidR="00990B14" w:rsidRDefault="00000000">
            <w:pPr>
              <w:spacing w:before="20" w:after="20"/>
              <w:jc w:val="both"/>
            </w:pPr>
            <w:r>
              <w:rPr>
                <w:sz w:val="18"/>
                <w:szCs w:val="18"/>
              </w:rPr>
              <w:t>1.2 Entrevista al personal clave y a los presuntos implicados utilizando técnicas de interrogatorio estructurado y detección de incongruencias.</w:t>
            </w:r>
          </w:p>
        </w:tc>
        <w:tc>
          <w:tcPr>
            <w:tcW w:w="3137" w:type="dxa"/>
            <w:gridSpan w:val="4"/>
            <w:shd w:val="clear" w:color="auto" w:fill="D9E2F3"/>
            <w:vAlign w:val="center"/>
          </w:tcPr>
          <w:p w14:paraId="726AFC82" w14:textId="77777777" w:rsidR="00990B14" w:rsidRDefault="00000000">
            <w:pPr>
              <w:spacing w:before="20" w:after="20"/>
              <w:jc w:val="both"/>
            </w:pPr>
            <w:r>
              <w:rPr>
                <w:b/>
                <w:bCs/>
                <w:sz w:val="18"/>
                <w:szCs w:val="18"/>
              </w:rPr>
              <w:t xml:space="preserve">Producto 2: </w:t>
            </w:r>
            <w:r>
              <w:rPr>
                <w:sz w:val="18"/>
                <w:szCs w:val="18"/>
              </w:rPr>
              <w:t>Matriz de riesgos de fraude, corrupción y lavado de activos implementada, priorizando alertas tempranas (red flags) y brechas de control interno.</w:t>
            </w:r>
          </w:p>
        </w:tc>
      </w:tr>
      <w:tr w:rsidR="00990B14" w14:paraId="5FC1A006" w14:textId="77777777">
        <w:trPr>
          <w:cantSplit/>
          <w:jc w:val="center"/>
        </w:trPr>
        <w:tc>
          <w:tcPr>
            <w:tcW w:w="3133" w:type="dxa"/>
            <w:gridSpan w:val="4"/>
            <w:vMerge w:val="restart"/>
            <w:shd w:val="clear" w:color="auto" w:fill="D9E2F3"/>
            <w:vAlign w:val="center"/>
          </w:tcPr>
          <w:p w14:paraId="1CD368BF" w14:textId="77777777" w:rsidR="00990B14" w:rsidRDefault="00000000">
            <w:pPr>
              <w:spacing w:before="20" w:after="20"/>
              <w:jc w:val="both"/>
            </w:pPr>
            <w:r>
              <w:rPr>
                <w:sz w:val="18"/>
                <w:szCs w:val="18"/>
              </w:rPr>
              <w:t>2. Ejecuta técnicas de investigación avanzada, rastreo financiero y análisis de datos transaccionales para descubrir patrones irregulares y determinar responsabilidades en la función pública y privada.</w:t>
            </w:r>
          </w:p>
        </w:tc>
        <w:tc>
          <w:tcPr>
            <w:tcW w:w="3135" w:type="dxa"/>
            <w:gridSpan w:val="5"/>
            <w:shd w:val="clear" w:color="auto" w:fill="D9E2F3"/>
            <w:vAlign w:val="center"/>
          </w:tcPr>
          <w:p w14:paraId="75662DAB" w14:textId="77777777" w:rsidR="00990B14" w:rsidRDefault="00000000">
            <w:pPr>
              <w:spacing w:before="20" w:after="20"/>
              <w:jc w:val="both"/>
            </w:pPr>
            <w:r>
              <w:rPr>
                <w:sz w:val="18"/>
                <w:szCs w:val="18"/>
              </w:rPr>
              <w:t>2.1 Rastrea el origen y destino de los fondos transaccionales a través de la reconstrucción de flujos financieros complejos (Cash Flow Tracing).</w:t>
            </w:r>
          </w:p>
        </w:tc>
        <w:tc>
          <w:tcPr>
            <w:tcW w:w="3137" w:type="dxa"/>
            <w:gridSpan w:val="4"/>
            <w:shd w:val="clear" w:color="auto" w:fill="D9E2F3"/>
            <w:vAlign w:val="center"/>
          </w:tcPr>
          <w:p w14:paraId="6BF2E17E" w14:textId="77777777" w:rsidR="00990B14" w:rsidRDefault="00000000">
            <w:pPr>
              <w:spacing w:before="20" w:after="20"/>
              <w:jc w:val="both"/>
            </w:pPr>
            <w:r>
              <w:rPr>
                <w:b/>
                <w:bCs/>
                <w:sz w:val="18"/>
                <w:szCs w:val="18"/>
              </w:rPr>
              <w:t xml:space="preserve">Producto 3: </w:t>
            </w:r>
            <w:r>
              <w:rPr>
                <w:sz w:val="18"/>
                <w:szCs w:val="18"/>
              </w:rPr>
              <w:t>Informe técnico preliminar de hallazgos documentado, consolidando pruebas, patrones de irregularidad y cuantificaciones económicas del daño.</w:t>
            </w:r>
          </w:p>
        </w:tc>
      </w:tr>
      <w:tr w:rsidR="00990B14" w14:paraId="60B5C63E" w14:textId="77777777">
        <w:trPr>
          <w:cantSplit/>
          <w:jc w:val="center"/>
        </w:trPr>
        <w:tc>
          <w:tcPr>
            <w:tcW w:w="3133" w:type="dxa"/>
            <w:gridSpan w:val="4"/>
            <w:vMerge/>
            <w:shd w:val="clear" w:color="auto" w:fill="D9E2F3"/>
            <w:vAlign w:val="center"/>
          </w:tcPr>
          <w:p w14:paraId="2224ECC2" w14:textId="77777777" w:rsidR="00990B14" w:rsidRDefault="00990B14">
            <w:pPr>
              <w:spacing w:before="20" w:after="20"/>
            </w:pPr>
          </w:p>
        </w:tc>
        <w:tc>
          <w:tcPr>
            <w:tcW w:w="3135" w:type="dxa"/>
            <w:gridSpan w:val="5"/>
            <w:shd w:val="clear" w:color="auto" w:fill="D9E2F3"/>
            <w:vAlign w:val="center"/>
          </w:tcPr>
          <w:p w14:paraId="7D9B9B80" w14:textId="77777777" w:rsidR="00990B14" w:rsidRDefault="00000000">
            <w:pPr>
              <w:spacing w:before="20" w:after="20"/>
              <w:jc w:val="both"/>
            </w:pPr>
            <w:r>
              <w:rPr>
                <w:sz w:val="18"/>
                <w:szCs w:val="18"/>
              </w:rPr>
              <w:t>2.2 Utiliza herramientas tecnológicas especializadas y software de auditoría para la extracción y examen analítico de datos masivos (Big Data, Ley de Benford, ACL/IDEA).</w:t>
            </w:r>
          </w:p>
        </w:tc>
        <w:tc>
          <w:tcPr>
            <w:tcW w:w="3137" w:type="dxa"/>
            <w:gridSpan w:val="4"/>
            <w:shd w:val="clear" w:color="auto" w:fill="D9E2F3"/>
            <w:vAlign w:val="center"/>
          </w:tcPr>
          <w:p w14:paraId="55A97336" w14:textId="77777777" w:rsidR="00990B14" w:rsidRDefault="00000000">
            <w:pPr>
              <w:spacing w:before="20" w:after="20"/>
              <w:jc w:val="both"/>
            </w:pPr>
            <w:r>
              <w:rPr>
                <w:b/>
                <w:bCs/>
                <w:sz w:val="18"/>
                <w:szCs w:val="18"/>
              </w:rPr>
              <w:t xml:space="preserve">Producto 4: </w:t>
            </w:r>
            <w:r>
              <w:rPr>
                <w:sz w:val="18"/>
                <w:szCs w:val="18"/>
              </w:rPr>
              <w:t>Dossier de evidencias probatorias foliado y resguardado, asegurando la cadena de custodia física y digital lista para el proceso legal.</w:t>
            </w:r>
          </w:p>
        </w:tc>
      </w:tr>
      <w:tr w:rsidR="00990B14" w14:paraId="1897DD9F" w14:textId="77777777">
        <w:trPr>
          <w:cantSplit/>
          <w:jc w:val="center"/>
        </w:trPr>
        <w:tc>
          <w:tcPr>
            <w:tcW w:w="9405" w:type="dxa"/>
            <w:gridSpan w:val="13"/>
            <w:shd w:val="clear" w:color="auto" w:fill="4472C4"/>
            <w:vAlign w:val="center"/>
          </w:tcPr>
          <w:p w14:paraId="38831A61" w14:textId="77777777" w:rsidR="00990B14" w:rsidRDefault="00000000">
            <w:pPr>
              <w:keepNext/>
              <w:spacing w:before="20" w:after="20"/>
              <w:jc w:val="center"/>
            </w:pPr>
            <w:r>
              <w:rPr>
                <w:b/>
                <w:bCs/>
                <w:i/>
                <w:iCs/>
                <w:color w:val="FFFFFF"/>
                <w:sz w:val="18"/>
                <w:szCs w:val="18"/>
              </w:rPr>
              <w:t>Evidencias de conocimiento</w:t>
            </w:r>
          </w:p>
        </w:tc>
      </w:tr>
      <w:tr w:rsidR="00990B14" w14:paraId="4788B3EE" w14:textId="77777777">
        <w:trPr>
          <w:cantSplit/>
          <w:jc w:val="center"/>
        </w:trPr>
        <w:tc>
          <w:tcPr>
            <w:tcW w:w="2349" w:type="dxa"/>
            <w:gridSpan w:val="2"/>
            <w:shd w:val="clear" w:color="auto" w:fill="4472C4"/>
            <w:vAlign w:val="center"/>
          </w:tcPr>
          <w:p w14:paraId="151DE332"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36A1C51D" w14:textId="77777777" w:rsidR="00990B14" w:rsidRDefault="00000000">
            <w:pPr>
              <w:keepNext/>
              <w:spacing w:before="20" w:after="20"/>
              <w:jc w:val="both"/>
            </w:pPr>
            <w:r>
              <w:rPr>
                <w:b/>
                <w:bCs/>
                <w:i/>
                <w:iCs/>
                <w:color w:val="FFFFFF"/>
                <w:sz w:val="18"/>
                <w:szCs w:val="18"/>
              </w:rPr>
              <w:t>Contenidos</w:t>
            </w:r>
          </w:p>
          <w:p w14:paraId="7713BC1A"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4B243817" w14:textId="77777777" w:rsidR="00990B14" w:rsidRDefault="00000000">
            <w:pPr>
              <w:keepNext/>
              <w:spacing w:before="20" w:after="20"/>
              <w:jc w:val="center"/>
            </w:pPr>
            <w:r>
              <w:rPr>
                <w:b/>
                <w:bCs/>
                <w:i/>
                <w:iCs/>
                <w:color w:val="FFFFFF"/>
                <w:sz w:val="18"/>
                <w:szCs w:val="18"/>
              </w:rPr>
              <w:t>Conocimientos circunstanciales</w:t>
            </w:r>
          </w:p>
        </w:tc>
      </w:tr>
      <w:tr w:rsidR="00990B14" w14:paraId="1AF487A3" w14:textId="77777777">
        <w:trPr>
          <w:jc w:val="center"/>
        </w:trPr>
        <w:tc>
          <w:tcPr>
            <w:tcW w:w="2349" w:type="dxa"/>
            <w:gridSpan w:val="2"/>
            <w:shd w:val="clear" w:color="auto" w:fill="D9E2F3"/>
          </w:tcPr>
          <w:p w14:paraId="626B88AD" w14:textId="77777777" w:rsidR="00990B14" w:rsidRDefault="00000000">
            <w:pPr>
              <w:spacing w:before="20" w:after="40"/>
              <w:jc w:val="both"/>
            </w:pPr>
            <w:r>
              <w:rPr>
                <w:sz w:val="18"/>
                <w:szCs w:val="18"/>
              </w:rPr>
              <w:t>Tema 1: Introducción a la auditoría forense</w:t>
            </w:r>
          </w:p>
          <w:p w14:paraId="52673F2C" w14:textId="77777777" w:rsidR="00990B14" w:rsidRDefault="00000000">
            <w:pPr>
              <w:spacing w:before="20" w:after="40"/>
              <w:jc w:val="both"/>
            </w:pPr>
            <w:r>
              <w:rPr>
                <w:sz w:val="18"/>
                <w:szCs w:val="18"/>
              </w:rPr>
              <w:t>Tema 2: Alcance, Objetivos y Ámbito de Aplicación de la Auditoría Forense</w:t>
            </w:r>
          </w:p>
          <w:p w14:paraId="5DEF4B28" w14:textId="77777777" w:rsidR="00990B14" w:rsidRDefault="00000000">
            <w:pPr>
              <w:spacing w:before="20" w:after="40"/>
              <w:jc w:val="both"/>
            </w:pPr>
            <w:r>
              <w:rPr>
                <w:sz w:val="18"/>
                <w:szCs w:val="18"/>
              </w:rPr>
              <w:t>Tema 3: Enfoques preventivo y detectivo de la auditoría forense.</w:t>
            </w:r>
          </w:p>
          <w:p w14:paraId="40232502" w14:textId="77777777" w:rsidR="00990B14" w:rsidRDefault="00000000">
            <w:pPr>
              <w:spacing w:before="20" w:after="40"/>
              <w:jc w:val="both"/>
            </w:pPr>
            <w:r>
              <w:rPr>
                <w:sz w:val="18"/>
                <w:szCs w:val="18"/>
              </w:rPr>
              <w:t>Tema 4: Marco Normativo</w:t>
            </w:r>
          </w:p>
          <w:p w14:paraId="1F4F91A6" w14:textId="77777777" w:rsidR="00990B14" w:rsidRDefault="00000000">
            <w:pPr>
              <w:spacing w:before="20" w:after="40"/>
              <w:jc w:val="both"/>
            </w:pPr>
            <w:r>
              <w:rPr>
                <w:sz w:val="18"/>
                <w:szCs w:val="18"/>
              </w:rPr>
              <w:t>Tema 5: Pronunciamientos Profesionales para la Auditoría del Fraude</w:t>
            </w:r>
          </w:p>
          <w:p w14:paraId="4A935190" w14:textId="77777777" w:rsidR="00990B14" w:rsidRDefault="00000000">
            <w:pPr>
              <w:spacing w:before="20" w:after="40"/>
              <w:jc w:val="both"/>
            </w:pPr>
            <w:r>
              <w:rPr>
                <w:sz w:val="18"/>
                <w:szCs w:val="18"/>
              </w:rPr>
              <w:t>Tema 6: El fraude y los principales tipos de fraudes</w:t>
            </w:r>
          </w:p>
          <w:p w14:paraId="10ACED5D" w14:textId="77777777" w:rsidR="00990B14" w:rsidRDefault="00000000">
            <w:pPr>
              <w:spacing w:before="20" w:after="40"/>
              <w:jc w:val="both"/>
            </w:pPr>
            <w:r>
              <w:rPr>
                <w:sz w:val="18"/>
                <w:szCs w:val="18"/>
              </w:rPr>
              <w:t>Tema 7: El fraude en los estados financieros</w:t>
            </w:r>
          </w:p>
          <w:p w14:paraId="551AB96A" w14:textId="77777777" w:rsidR="00990B14" w:rsidRDefault="00000000">
            <w:pPr>
              <w:spacing w:before="20" w:after="40"/>
              <w:jc w:val="both"/>
            </w:pPr>
            <w:r>
              <w:rPr>
                <w:sz w:val="18"/>
                <w:szCs w:val="18"/>
              </w:rPr>
              <w:t>Tema 8: Fraudes tecnológicos</w:t>
            </w:r>
          </w:p>
          <w:p w14:paraId="7D47ECEC" w14:textId="77777777" w:rsidR="00990B14" w:rsidRDefault="00000000">
            <w:pPr>
              <w:spacing w:before="20" w:after="40"/>
              <w:jc w:val="both"/>
            </w:pPr>
            <w:r>
              <w:rPr>
                <w:sz w:val="18"/>
                <w:szCs w:val="18"/>
              </w:rPr>
              <w:t>Tema 9: Lavado de dinero y activos</w:t>
            </w:r>
          </w:p>
          <w:p w14:paraId="4B591CA2" w14:textId="77777777" w:rsidR="00990B14" w:rsidRDefault="00000000">
            <w:pPr>
              <w:spacing w:before="20" w:after="40"/>
              <w:jc w:val="both"/>
            </w:pPr>
            <w:r>
              <w:rPr>
                <w:sz w:val="18"/>
                <w:szCs w:val="18"/>
              </w:rPr>
              <w:t>Tema 10: Técnicas y prácticas para prevenir y detectar el fraude</w:t>
            </w:r>
          </w:p>
        </w:tc>
        <w:tc>
          <w:tcPr>
            <w:tcW w:w="4304" w:type="dxa"/>
            <w:gridSpan w:val="8"/>
            <w:shd w:val="clear" w:color="auto" w:fill="D9E2F3"/>
          </w:tcPr>
          <w:p w14:paraId="34AC5948" w14:textId="77777777" w:rsidR="00990B14" w:rsidRDefault="00000000">
            <w:pPr>
              <w:spacing w:after="40"/>
              <w:jc w:val="both"/>
            </w:pPr>
            <w:r>
              <w:rPr>
                <w:sz w:val="18"/>
                <w:szCs w:val="18"/>
              </w:rPr>
              <w:t>Antecedentes de la Auditoría Forense. (C)</w:t>
            </w:r>
          </w:p>
          <w:p w14:paraId="52E9DE3F" w14:textId="77777777" w:rsidR="00990B14" w:rsidRDefault="00000000">
            <w:pPr>
              <w:spacing w:after="40"/>
              <w:jc w:val="both"/>
            </w:pPr>
            <w:r>
              <w:rPr>
                <w:sz w:val="18"/>
                <w:szCs w:val="18"/>
              </w:rPr>
              <w:t>Origen del término forense e historia de la Auditoría Forense. (C)</w:t>
            </w:r>
          </w:p>
          <w:p w14:paraId="70FFEE7A" w14:textId="77777777" w:rsidR="00990B14" w:rsidRDefault="00000000">
            <w:pPr>
              <w:spacing w:after="40"/>
              <w:jc w:val="both"/>
            </w:pPr>
            <w:r>
              <w:rPr>
                <w:sz w:val="18"/>
                <w:szCs w:val="18"/>
              </w:rPr>
              <w:t>Tipos de auditoría. (C)</w:t>
            </w:r>
          </w:p>
          <w:p w14:paraId="256CA520" w14:textId="77777777" w:rsidR="00990B14" w:rsidRDefault="00000000">
            <w:pPr>
              <w:spacing w:after="40"/>
              <w:jc w:val="both"/>
            </w:pPr>
            <w:r>
              <w:rPr>
                <w:sz w:val="18"/>
                <w:szCs w:val="18"/>
              </w:rPr>
              <w:t>Alcance de la Auditoría Forense. (C)</w:t>
            </w:r>
          </w:p>
          <w:p w14:paraId="54077831" w14:textId="77777777" w:rsidR="00990B14" w:rsidRDefault="00000000">
            <w:pPr>
              <w:spacing w:after="40"/>
              <w:jc w:val="both"/>
            </w:pPr>
            <w:r>
              <w:rPr>
                <w:sz w:val="18"/>
                <w:szCs w:val="18"/>
              </w:rPr>
              <w:t>Objetivos de la Auditoría Forense. (C)</w:t>
            </w:r>
          </w:p>
          <w:p w14:paraId="3D9AD927" w14:textId="77777777" w:rsidR="00990B14" w:rsidRDefault="00000000">
            <w:pPr>
              <w:spacing w:after="40"/>
              <w:jc w:val="both"/>
            </w:pPr>
            <w:r>
              <w:rPr>
                <w:sz w:val="18"/>
                <w:szCs w:val="18"/>
              </w:rPr>
              <w:t>Ámbito de Aplicación de la Auditoría Forense y Diferencia de la Auditoría Forense y la auditoría financiera. (C)</w:t>
            </w:r>
          </w:p>
          <w:p w14:paraId="78896F7A" w14:textId="77777777" w:rsidR="00990B14" w:rsidRDefault="00000000">
            <w:pPr>
              <w:spacing w:after="40"/>
              <w:jc w:val="both"/>
            </w:pPr>
            <w:r>
              <w:rPr>
                <w:sz w:val="18"/>
                <w:szCs w:val="18"/>
              </w:rPr>
              <w:t>Auditoría Forense preventiva. (C)</w:t>
            </w:r>
          </w:p>
          <w:p w14:paraId="4B869202" w14:textId="77777777" w:rsidR="00990B14" w:rsidRDefault="00000000">
            <w:pPr>
              <w:spacing w:after="40"/>
              <w:jc w:val="both"/>
            </w:pPr>
            <w:r>
              <w:rPr>
                <w:sz w:val="18"/>
                <w:szCs w:val="18"/>
              </w:rPr>
              <w:t>La participación de la auditoría forense preventiva. (C)</w:t>
            </w:r>
          </w:p>
          <w:p w14:paraId="049C25C8" w14:textId="77777777" w:rsidR="00990B14" w:rsidRDefault="00000000">
            <w:pPr>
              <w:spacing w:after="40"/>
              <w:jc w:val="both"/>
            </w:pPr>
            <w:r>
              <w:rPr>
                <w:sz w:val="18"/>
                <w:szCs w:val="18"/>
              </w:rPr>
              <w:t>El sistema de control interno y la prevención de delitos con afectación al patrimonio. (C)</w:t>
            </w:r>
          </w:p>
          <w:p w14:paraId="75620EF8" w14:textId="77777777" w:rsidR="00990B14" w:rsidRDefault="00000000">
            <w:pPr>
              <w:spacing w:after="40"/>
              <w:jc w:val="both"/>
            </w:pPr>
            <w:r>
              <w:rPr>
                <w:sz w:val="18"/>
                <w:szCs w:val="18"/>
              </w:rPr>
              <w:t>Desarrollo de la Auditoría Forense Preventiva, planificación, trabajo de campo, comunicación y monitoreo. (C, P)</w:t>
            </w:r>
          </w:p>
          <w:p w14:paraId="4DE52B77" w14:textId="77777777" w:rsidR="00990B14" w:rsidRDefault="00000000">
            <w:pPr>
              <w:spacing w:after="40"/>
              <w:jc w:val="both"/>
            </w:pPr>
            <w:r>
              <w:rPr>
                <w:sz w:val="18"/>
                <w:szCs w:val="18"/>
              </w:rPr>
              <w:t>Preservación de la evidencia digital, Análisis de datos electrónicos, Esquemas de ciberfraude financiero, Seguridad de la información. (C)</w:t>
            </w:r>
          </w:p>
          <w:p w14:paraId="6BC1594E" w14:textId="77777777" w:rsidR="00990B14" w:rsidRDefault="00000000">
            <w:pPr>
              <w:spacing w:after="40"/>
              <w:jc w:val="both"/>
            </w:pPr>
            <w:r>
              <w:rPr>
                <w:sz w:val="18"/>
                <w:szCs w:val="18"/>
              </w:rPr>
              <w:t>Auditoría Forense detectiva. (C, P)</w:t>
            </w:r>
          </w:p>
          <w:p w14:paraId="738C06CF" w14:textId="77777777" w:rsidR="00990B14" w:rsidRDefault="00000000">
            <w:pPr>
              <w:spacing w:after="40"/>
              <w:jc w:val="both"/>
            </w:pPr>
            <w:r>
              <w:rPr>
                <w:sz w:val="18"/>
                <w:szCs w:val="18"/>
              </w:rPr>
              <w:t>Aspectos generales y aspectos específicos. (C)</w:t>
            </w:r>
          </w:p>
          <w:p w14:paraId="5DEE2E9B" w14:textId="77777777" w:rsidR="00990B14" w:rsidRDefault="00000000">
            <w:pPr>
              <w:spacing w:after="40"/>
              <w:jc w:val="both"/>
            </w:pPr>
            <w:r>
              <w:rPr>
                <w:sz w:val="18"/>
                <w:szCs w:val="18"/>
              </w:rPr>
              <w:t>La teoría pentatónica del delito en la auditoría forense detectiva. (C)</w:t>
            </w:r>
          </w:p>
          <w:p w14:paraId="157ED072" w14:textId="77777777" w:rsidR="00990B14" w:rsidRDefault="00000000">
            <w:pPr>
              <w:spacing w:after="40"/>
              <w:jc w:val="both"/>
            </w:pPr>
            <w:r>
              <w:rPr>
                <w:sz w:val="18"/>
                <w:szCs w:val="18"/>
              </w:rPr>
              <w:t>Dictamen pericial en la auditoría forense detectiva. (C, P)</w:t>
            </w:r>
          </w:p>
          <w:p w14:paraId="3D0F5A9D" w14:textId="77777777" w:rsidR="00990B14" w:rsidRDefault="00000000">
            <w:pPr>
              <w:spacing w:after="40"/>
              <w:jc w:val="both"/>
            </w:pPr>
            <w:r>
              <w:rPr>
                <w:sz w:val="18"/>
                <w:szCs w:val="18"/>
              </w:rPr>
              <w:t>La Constitución Política del Estado Plurinacional, Código Penal, Código de Procedimiento Penal y la Ley N.º 004 Marcelo Quiroga Santa Cruz. (C)</w:t>
            </w:r>
          </w:p>
          <w:p w14:paraId="11141187" w14:textId="77777777" w:rsidR="00990B14" w:rsidRDefault="00000000">
            <w:pPr>
              <w:spacing w:after="40"/>
              <w:jc w:val="both"/>
            </w:pPr>
            <w:r>
              <w:rPr>
                <w:sz w:val="18"/>
                <w:szCs w:val="18"/>
              </w:rPr>
              <w:t>Decreto Supremo N.º 214 de la Política Nacional de Transparencia y Lucha Contra la Corrupción. (C, A)</w:t>
            </w:r>
          </w:p>
          <w:p w14:paraId="49F12F60" w14:textId="77777777" w:rsidR="00990B14" w:rsidRDefault="00000000">
            <w:pPr>
              <w:spacing w:after="40"/>
              <w:jc w:val="both"/>
            </w:pPr>
            <w:r>
              <w:rPr>
                <w:sz w:val="18"/>
                <w:szCs w:val="18"/>
              </w:rPr>
              <w:t>Ley N.º 1390 de fortalecimiento para la lucha contra la corrupción y sus modificaciones al marco legal aplicable. (C)</w:t>
            </w:r>
          </w:p>
          <w:p w14:paraId="44B34CB8" w14:textId="77777777" w:rsidR="00990B14" w:rsidRDefault="00000000">
            <w:pPr>
              <w:spacing w:after="40"/>
              <w:jc w:val="both"/>
            </w:pPr>
            <w:r>
              <w:rPr>
                <w:sz w:val="18"/>
                <w:szCs w:val="18"/>
              </w:rPr>
              <w:t>Reglamento del Instituto de Investigaciones Forenses; Ley Sarbanes-Oxley. (C)</w:t>
            </w:r>
          </w:p>
          <w:p w14:paraId="2D92F654" w14:textId="77777777" w:rsidR="00990B14" w:rsidRDefault="00000000">
            <w:pPr>
              <w:spacing w:after="40"/>
              <w:jc w:val="both"/>
            </w:pPr>
            <w:r>
              <w:rPr>
                <w:sz w:val="18"/>
                <w:szCs w:val="18"/>
              </w:rPr>
              <w:t>Responsabilidades del auditor ante el fraude en la auditoría de estados financieros conforme a la NIA 240 revisada. (C, A)</w:t>
            </w:r>
          </w:p>
          <w:p w14:paraId="7A00B2ED" w14:textId="77777777" w:rsidR="00990B14" w:rsidRDefault="00000000">
            <w:pPr>
              <w:spacing w:after="40"/>
              <w:jc w:val="both"/>
            </w:pPr>
            <w:r>
              <w:rPr>
                <w:sz w:val="18"/>
                <w:szCs w:val="18"/>
              </w:rPr>
              <w:t>La Ley N.º 1178 de Administración y Control Gubernamental SAFCO. (C)</w:t>
            </w:r>
          </w:p>
          <w:p w14:paraId="07DD3A11" w14:textId="77777777" w:rsidR="00990B14" w:rsidRDefault="00000000">
            <w:pPr>
              <w:spacing w:after="40"/>
              <w:jc w:val="both"/>
            </w:pPr>
            <w:r>
              <w:rPr>
                <w:sz w:val="18"/>
                <w:szCs w:val="18"/>
              </w:rPr>
              <w:t>Normas de Auditoría Gubernamental. (C)</w:t>
            </w:r>
          </w:p>
          <w:p w14:paraId="4D095D57" w14:textId="77777777" w:rsidR="00990B14" w:rsidRDefault="00000000">
            <w:pPr>
              <w:spacing w:after="40"/>
              <w:jc w:val="both"/>
            </w:pPr>
            <w:r>
              <w:rPr>
                <w:sz w:val="18"/>
                <w:szCs w:val="18"/>
              </w:rPr>
              <w:t>Cuarenta recomendaciones del Grupo de Acción Financiera Internacional (GAFI). (C)</w:t>
            </w:r>
          </w:p>
          <w:p w14:paraId="7B4EB129" w14:textId="77777777" w:rsidR="00990B14" w:rsidRDefault="00000000">
            <w:pPr>
              <w:spacing w:after="40"/>
              <w:jc w:val="both"/>
            </w:pPr>
            <w:r>
              <w:rPr>
                <w:sz w:val="18"/>
                <w:szCs w:val="18"/>
              </w:rPr>
              <w:t>Definición del fraude y consideraciones sobre el fraude; la auditoría financiera y la auditoría interna frente al fraude. (C)</w:t>
            </w:r>
          </w:p>
          <w:p w14:paraId="14EF7AF1" w14:textId="77777777" w:rsidR="00990B14" w:rsidRDefault="00000000">
            <w:pPr>
              <w:spacing w:after="40"/>
              <w:jc w:val="both"/>
            </w:pPr>
            <w:r>
              <w:rPr>
                <w:sz w:val="18"/>
                <w:szCs w:val="18"/>
              </w:rPr>
              <w:t>El triángulo del fraude, la teoría del diamante del fraude y los esquemas de fraude corporativo. (C)</w:t>
            </w:r>
          </w:p>
          <w:p w14:paraId="424C2B92" w14:textId="77777777" w:rsidR="00990B14" w:rsidRDefault="00000000">
            <w:pPr>
              <w:spacing w:after="40"/>
              <w:jc w:val="both"/>
            </w:pPr>
            <w:r>
              <w:rPr>
                <w:sz w:val="18"/>
                <w:szCs w:val="18"/>
              </w:rPr>
              <w:t>El árbol del fraude y los tipos de fraude: fraude ocupacional o laboral, fraude en estados financieros, apropiación ilegal de activos y corrupción. (C)</w:t>
            </w:r>
          </w:p>
          <w:p w14:paraId="7F304678" w14:textId="77777777" w:rsidR="00990B14" w:rsidRDefault="00000000">
            <w:pPr>
              <w:spacing w:after="40"/>
              <w:jc w:val="both"/>
            </w:pPr>
            <w:r>
              <w:rPr>
                <w:sz w:val="18"/>
                <w:szCs w:val="18"/>
              </w:rPr>
              <w:t>Perfil del defraudador. (C)</w:t>
            </w:r>
          </w:p>
          <w:p w14:paraId="7A0C5FE7" w14:textId="77777777" w:rsidR="00990B14" w:rsidRDefault="00000000">
            <w:pPr>
              <w:spacing w:after="40"/>
              <w:jc w:val="both"/>
            </w:pPr>
            <w:r>
              <w:rPr>
                <w:sz w:val="18"/>
                <w:szCs w:val="18"/>
              </w:rPr>
              <w:t>Falsificación de documentos, Manipulación de estimaciones contables. (C)</w:t>
            </w:r>
          </w:p>
          <w:p w14:paraId="47C819ED" w14:textId="77777777" w:rsidR="00990B14" w:rsidRDefault="00000000">
            <w:pPr>
              <w:spacing w:after="40"/>
              <w:jc w:val="both"/>
            </w:pPr>
            <w:r>
              <w:rPr>
                <w:sz w:val="18"/>
                <w:szCs w:val="18"/>
              </w:rPr>
              <w:t>Uso indebido de políticas contables, Divulgación insuficiente o engañosa. (C)</w:t>
            </w:r>
          </w:p>
          <w:p w14:paraId="6297806C" w14:textId="77777777" w:rsidR="00990B14" w:rsidRDefault="00000000">
            <w:pPr>
              <w:spacing w:after="40"/>
              <w:jc w:val="both"/>
            </w:pPr>
            <w:r>
              <w:rPr>
                <w:sz w:val="18"/>
                <w:szCs w:val="18"/>
              </w:rPr>
              <w:t>Colusión entre partes internas o externas. (C)</w:t>
            </w:r>
          </w:p>
          <w:p w14:paraId="69269B94" w14:textId="77777777" w:rsidR="00990B14" w:rsidRDefault="00000000">
            <w:pPr>
              <w:spacing w:after="40"/>
              <w:jc w:val="both"/>
            </w:pPr>
            <w:r>
              <w:rPr>
                <w:sz w:val="18"/>
                <w:szCs w:val="18"/>
              </w:rPr>
              <w:t>Fraude en el Ciclo de ingresos y cobranzas. Ciclo de compras y desembolsos. (C)</w:t>
            </w:r>
          </w:p>
          <w:p w14:paraId="092B6FA2" w14:textId="77777777" w:rsidR="00990B14" w:rsidRDefault="00000000">
            <w:pPr>
              <w:spacing w:after="40"/>
              <w:jc w:val="both"/>
            </w:pPr>
            <w:r>
              <w:rPr>
                <w:sz w:val="18"/>
                <w:szCs w:val="18"/>
              </w:rPr>
              <w:t>Fraude en Inventarios, Activos fijos y otros activos. (C)</w:t>
            </w:r>
          </w:p>
          <w:p w14:paraId="62665EC9" w14:textId="77777777" w:rsidR="00990B14" w:rsidRDefault="00000000">
            <w:pPr>
              <w:spacing w:after="40"/>
              <w:jc w:val="both"/>
            </w:pPr>
            <w:r>
              <w:rPr>
                <w:sz w:val="18"/>
                <w:szCs w:val="18"/>
              </w:rPr>
              <w:t>Fraude en nómina, Planilla de sueldos y beneficios de personal. Construcciones y contratos. (C)</w:t>
            </w:r>
          </w:p>
          <w:p w14:paraId="0C4F230F" w14:textId="77777777" w:rsidR="00990B14" w:rsidRDefault="00000000">
            <w:pPr>
              <w:spacing w:after="40"/>
              <w:jc w:val="both"/>
            </w:pPr>
            <w:r>
              <w:rPr>
                <w:sz w:val="18"/>
                <w:szCs w:val="18"/>
              </w:rPr>
              <w:t>Técnicas y mejores prácticas para prevenir y detectar el fraude en los estados financieros. (P)</w:t>
            </w:r>
          </w:p>
          <w:p w14:paraId="5300A85A" w14:textId="77777777" w:rsidR="00990B14" w:rsidRDefault="00000000">
            <w:pPr>
              <w:spacing w:after="40"/>
              <w:jc w:val="both"/>
            </w:pPr>
            <w:r>
              <w:rPr>
                <w:sz w:val="18"/>
                <w:szCs w:val="18"/>
              </w:rPr>
              <w:t>Concepto de delito informático y sus características. (C)</w:t>
            </w:r>
          </w:p>
          <w:p w14:paraId="5B475D7C" w14:textId="77777777" w:rsidR="00990B14" w:rsidRDefault="00000000">
            <w:pPr>
              <w:spacing w:after="40"/>
              <w:jc w:val="both"/>
            </w:pPr>
            <w:r>
              <w:rPr>
                <w:sz w:val="18"/>
                <w:szCs w:val="18"/>
              </w:rPr>
              <w:t>Sujetos activos y pasivos en el delito informático. (C)</w:t>
            </w:r>
          </w:p>
          <w:p w14:paraId="5BDA4140" w14:textId="77777777" w:rsidR="00990B14" w:rsidRDefault="00000000">
            <w:pPr>
              <w:spacing w:after="40"/>
              <w:jc w:val="both"/>
            </w:pPr>
            <w:r>
              <w:rPr>
                <w:sz w:val="18"/>
                <w:szCs w:val="18"/>
              </w:rPr>
              <w:t>Clasificación de delitos informáticos. (C)</w:t>
            </w:r>
          </w:p>
          <w:p w14:paraId="5F0620F8" w14:textId="77777777" w:rsidR="00990B14" w:rsidRDefault="00000000">
            <w:pPr>
              <w:spacing w:after="40"/>
              <w:jc w:val="both"/>
            </w:pPr>
            <w:r>
              <w:rPr>
                <w:sz w:val="18"/>
                <w:szCs w:val="18"/>
              </w:rPr>
              <w:t>Fraude informático. (C)</w:t>
            </w:r>
          </w:p>
          <w:p w14:paraId="092BB971" w14:textId="77777777" w:rsidR="00990B14" w:rsidRDefault="00000000">
            <w:pPr>
              <w:spacing w:after="40"/>
              <w:jc w:val="both"/>
            </w:pPr>
            <w:r>
              <w:rPr>
                <w:sz w:val="18"/>
                <w:szCs w:val="18"/>
              </w:rPr>
              <w:t>Historia y concepto del lavado de activos; factores o fuentes que influyen en el lavado de dinero. (C)</w:t>
            </w:r>
          </w:p>
          <w:p w14:paraId="6D75D461" w14:textId="77777777" w:rsidR="00990B14" w:rsidRDefault="00000000">
            <w:pPr>
              <w:spacing w:after="40"/>
              <w:jc w:val="both"/>
            </w:pPr>
            <w:r>
              <w:rPr>
                <w:sz w:val="18"/>
                <w:szCs w:val="18"/>
              </w:rPr>
              <w:t>Características del proceso de lavado de activos; metodologías, instrumentos y mecanismos utilizados. (C, P)</w:t>
            </w:r>
          </w:p>
          <w:p w14:paraId="5C616D25" w14:textId="77777777" w:rsidR="00990B14" w:rsidRDefault="00000000">
            <w:pPr>
              <w:spacing w:after="40"/>
              <w:jc w:val="both"/>
            </w:pPr>
            <w:r>
              <w:rPr>
                <w:sz w:val="18"/>
                <w:szCs w:val="18"/>
              </w:rPr>
              <w:t>Terminología empleada en diferentes países y el carácter transnacional del lavado de dinero. (C)</w:t>
            </w:r>
          </w:p>
          <w:p w14:paraId="20A51177" w14:textId="77777777" w:rsidR="00990B14" w:rsidRDefault="00000000">
            <w:pPr>
              <w:spacing w:after="40"/>
              <w:jc w:val="both"/>
            </w:pPr>
            <w:r>
              <w:rPr>
                <w:sz w:val="18"/>
                <w:szCs w:val="18"/>
              </w:rPr>
              <w:t>Etapas del proceso de lavado de activos, sus impactos y sus tipologías. (C)</w:t>
            </w:r>
          </w:p>
          <w:p w14:paraId="779BC0B8" w14:textId="77777777" w:rsidR="00990B14" w:rsidRDefault="00000000">
            <w:pPr>
              <w:spacing w:after="40"/>
              <w:jc w:val="both"/>
            </w:pPr>
            <w:r>
              <w:rPr>
                <w:sz w:val="18"/>
                <w:szCs w:val="18"/>
              </w:rPr>
              <w:t>Política conozca a su cliente y normativa relacionada con el lavado de dinero. (C)</w:t>
            </w:r>
          </w:p>
          <w:p w14:paraId="2D3D3F6B" w14:textId="77777777" w:rsidR="00990B14" w:rsidRDefault="00000000">
            <w:pPr>
              <w:spacing w:after="40"/>
              <w:jc w:val="both"/>
            </w:pPr>
            <w:r>
              <w:rPr>
                <w:sz w:val="18"/>
                <w:szCs w:val="18"/>
              </w:rPr>
              <w:t>Señales de alerta o banderas rojas: concepto básico y listado de señales de alerta temprana. (C)</w:t>
            </w:r>
          </w:p>
          <w:p w14:paraId="21B6A6FE" w14:textId="77777777" w:rsidR="00990B14" w:rsidRDefault="00000000">
            <w:pPr>
              <w:spacing w:after="40"/>
              <w:jc w:val="both"/>
            </w:pPr>
            <w:r>
              <w:rPr>
                <w:sz w:val="18"/>
                <w:szCs w:val="18"/>
              </w:rPr>
              <w:t>Responsabilidad de las entidades financieras y métodos de detección del fraude. (C, A)</w:t>
            </w:r>
          </w:p>
          <w:p w14:paraId="77311DCF" w14:textId="77777777" w:rsidR="00990B14" w:rsidRDefault="00000000">
            <w:pPr>
              <w:spacing w:after="40"/>
              <w:jc w:val="both"/>
            </w:pPr>
            <w:r>
              <w:rPr>
                <w:sz w:val="18"/>
                <w:szCs w:val="18"/>
              </w:rPr>
              <w:t>Análisis de datos aplicado a la detección de operaciones inusuales y de patrones de fraude. (P, T)</w:t>
            </w:r>
          </w:p>
          <w:p w14:paraId="32518F9A" w14:textId="77777777" w:rsidR="00990B14" w:rsidRDefault="00000000">
            <w:pPr>
              <w:spacing w:after="40"/>
              <w:jc w:val="both"/>
            </w:pPr>
            <w:r>
              <w:rPr>
                <w:sz w:val="18"/>
                <w:szCs w:val="18"/>
              </w:rPr>
              <w:t>Política de ética organizacional, política antifraude y prevención del fraude. (C, A)</w:t>
            </w:r>
          </w:p>
        </w:tc>
        <w:tc>
          <w:tcPr>
            <w:tcW w:w="2752" w:type="dxa"/>
            <w:gridSpan w:val="3"/>
            <w:shd w:val="clear" w:color="auto" w:fill="D9E2F3"/>
          </w:tcPr>
          <w:p w14:paraId="7DFED518" w14:textId="77777777" w:rsidR="00990B14" w:rsidRDefault="00000000">
            <w:pPr>
              <w:numPr>
                <w:ilvl w:val="0"/>
                <w:numId w:val="139"/>
              </w:numPr>
              <w:spacing w:before="10" w:after="10"/>
              <w:jc w:val="both"/>
            </w:pPr>
            <w:r>
              <w:rPr>
                <w:sz w:val="18"/>
                <w:szCs w:val="18"/>
              </w:rPr>
              <w:t>Nociones de Auditoría Forense y la conducta del defraudador.</w:t>
            </w:r>
          </w:p>
          <w:p w14:paraId="3441E4DE" w14:textId="77777777" w:rsidR="00990B14" w:rsidRDefault="00000000">
            <w:pPr>
              <w:numPr>
                <w:ilvl w:val="0"/>
                <w:numId w:val="139"/>
              </w:numPr>
              <w:spacing w:before="10" w:after="10"/>
              <w:jc w:val="both"/>
            </w:pPr>
            <w:r>
              <w:rPr>
                <w:sz w:val="18"/>
                <w:szCs w:val="18"/>
              </w:rPr>
              <w:t>Nociones de informática forense y de la integridad de los archivos digitales.</w:t>
            </w:r>
          </w:p>
          <w:p w14:paraId="5EF5E8E5" w14:textId="77777777" w:rsidR="00990B14" w:rsidRDefault="00000000">
            <w:pPr>
              <w:numPr>
                <w:ilvl w:val="0"/>
                <w:numId w:val="139"/>
              </w:numPr>
              <w:spacing w:before="10" w:after="10"/>
              <w:jc w:val="both"/>
            </w:pPr>
            <w:r>
              <w:rPr>
                <w:sz w:val="18"/>
                <w:szCs w:val="18"/>
              </w:rPr>
              <w:t>Nociones de la teoría del delito en el derecho penal.</w:t>
            </w:r>
          </w:p>
        </w:tc>
      </w:tr>
      <w:tr w:rsidR="00990B14" w14:paraId="694B8616" w14:textId="77777777">
        <w:trPr>
          <w:cantSplit/>
          <w:jc w:val="center"/>
        </w:trPr>
        <w:tc>
          <w:tcPr>
            <w:tcW w:w="9405" w:type="dxa"/>
            <w:gridSpan w:val="13"/>
            <w:shd w:val="clear" w:color="auto" w:fill="D9E2F3"/>
            <w:vAlign w:val="center"/>
          </w:tcPr>
          <w:p w14:paraId="32044804" w14:textId="77777777" w:rsidR="00990B14" w:rsidRDefault="00000000">
            <w:pPr>
              <w:spacing w:before="20" w:after="20"/>
              <w:jc w:val="both"/>
            </w:pPr>
            <w:r>
              <w:rPr>
                <w:b/>
                <w:bCs/>
                <w:i/>
                <w:iCs/>
                <w:sz w:val="18"/>
                <w:szCs w:val="18"/>
              </w:rPr>
              <w:t xml:space="preserve">Elemento de competencia 2: </w:t>
            </w:r>
            <w:r>
              <w:rPr>
                <w:sz w:val="18"/>
                <w:szCs w:val="18"/>
              </w:rPr>
              <w:t>Aplica de forma rigurosa y especializada la Norma Internacional de Encargos de Aseguramiento NIA 3000 (ISAE 3000 Revisada) como eje central de atestiguamiento y el Estándar ISO 37001 para planificar, ejecutar y evaluar encargos de aseguramiento independientes sobre materias distintas de información histórica, garantizando la idoneidad de criterios, la calidad de la evidencia, la debida diligencia y el diseño de controles preventivos antisoborno.</w:t>
            </w:r>
          </w:p>
        </w:tc>
      </w:tr>
      <w:tr w:rsidR="00990B14" w14:paraId="459B2E81" w14:textId="77777777">
        <w:trPr>
          <w:cantSplit/>
          <w:jc w:val="center"/>
        </w:trPr>
        <w:tc>
          <w:tcPr>
            <w:tcW w:w="3133" w:type="dxa"/>
            <w:gridSpan w:val="4"/>
            <w:shd w:val="clear" w:color="auto" w:fill="4472C4"/>
            <w:vAlign w:val="center"/>
          </w:tcPr>
          <w:p w14:paraId="1163E285"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3FF5CAB4"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536E32AE" w14:textId="77777777" w:rsidR="00990B14" w:rsidRDefault="00000000">
            <w:pPr>
              <w:keepNext/>
              <w:spacing w:before="20" w:after="20"/>
              <w:jc w:val="center"/>
            </w:pPr>
            <w:r>
              <w:rPr>
                <w:b/>
                <w:bCs/>
                <w:i/>
                <w:iCs/>
                <w:color w:val="FFFFFF"/>
                <w:sz w:val="18"/>
                <w:szCs w:val="18"/>
              </w:rPr>
              <w:t>Evidencias de producto</w:t>
            </w:r>
          </w:p>
        </w:tc>
      </w:tr>
      <w:tr w:rsidR="00990B14" w14:paraId="15056D8D" w14:textId="77777777">
        <w:trPr>
          <w:cantSplit/>
          <w:jc w:val="center"/>
        </w:trPr>
        <w:tc>
          <w:tcPr>
            <w:tcW w:w="3133" w:type="dxa"/>
            <w:gridSpan w:val="4"/>
            <w:vMerge w:val="restart"/>
            <w:shd w:val="clear" w:color="auto" w:fill="D9E2F3"/>
            <w:vAlign w:val="center"/>
          </w:tcPr>
          <w:p w14:paraId="6D53D6EA" w14:textId="77777777" w:rsidR="00990B14" w:rsidRDefault="00000000">
            <w:pPr>
              <w:spacing w:before="20" w:after="20"/>
              <w:jc w:val="both"/>
            </w:pPr>
            <w:r>
              <w:rPr>
                <w:sz w:val="18"/>
                <w:szCs w:val="18"/>
              </w:rPr>
              <w:t>1. Planifica y ejecuta encargos de atestiguamiento aplicando de forma estricta los requerimientos éticos, de control de calidad y de obtención de evidencia de acuerdo con la NIA 3000 (ISAE 3000) como tema principal, garantizando una conclusión sobre la materia objeto de análisis basada en criterios idóneos y con seguridad razonable o limitada.</w:t>
            </w:r>
          </w:p>
        </w:tc>
        <w:tc>
          <w:tcPr>
            <w:tcW w:w="3135" w:type="dxa"/>
            <w:gridSpan w:val="5"/>
            <w:shd w:val="clear" w:color="auto" w:fill="D9E2F3"/>
            <w:vAlign w:val="center"/>
          </w:tcPr>
          <w:p w14:paraId="4468B6DC" w14:textId="77777777" w:rsidR="00990B14" w:rsidRDefault="00000000">
            <w:pPr>
              <w:spacing w:before="20" w:after="20"/>
              <w:jc w:val="both"/>
            </w:pPr>
            <w:r>
              <w:rPr>
                <w:sz w:val="18"/>
                <w:szCs w:val="18"/>
              </w:rPr>
              <w:t>1.1 Simula la entrevista de aceptación evaluando si se cumplen las condiciones previas del encargo bajo la NIA 3000 (idoneidad de criterios, acceso a la evidencia y existencia de un propósito racional).</w:t>
            </w:r>
          </w:p>
        </w:tc>
        <w:tc>
          <w:tcPr>
            <w:tcW w:w="3137" w:type="dxa"/>
            <w:gridSpan w:val="4"/>
            <w:shd w:val="clear" w:color="auto" w:fill="D9E2F3"/>
            <w:vAlign w:val="center"/>
          </w:tcPr>
          <w:p w14:paraId="003BE679" w14:textId="77777777" w:rsidR="00990B14" w:rsidRDefault="00000000">
            <w:pPr>
              <w:spacing w:before="20" w:after="20"/>
              <w:jc w:val="both"/>
            </w:pPr>
            <w:r>
              <w:rPr>
                <w:b/>
                <w:bCs/>
                <w:sz w:val="18"/>
                <w:szCs w:val="18"/>
              </w:rPr>
              <w:t xml:space="preserve">Producto 5: </w:t>
            </w:r>
            <w:r>
              <w:rPr>
                <w:sz w:val="18"/>
                <w:szCs w:val="18"/>
              </w:rPr>
              <w:t>Carta de compromiso del encargo firmada bajo NIA 3000, formalizando términos, responsabilidades de la dirección y del profesional, y la naturaleza del informe a emitir.</w:t>
            </w:r>
          </w:p>
        </w:tc>
      </w:tr>
      <w:tr w:rsidR="00990B14" w14:paraId="1A2B88B0" w14:textId="77777777">
        <w:trPr>
          <w:cantSplit/>
          <w:jc w:val="center"/>
        </w:trPr>
        <w:tc>
          <w:tcPr>
            <w:tcW w:w="3133" w:type="dxa"/>
            <w:gridSpan w:val="4"/>
            <w:vMerge/>
            <w:shd w:val="clear" w:color="auto" w:fill="D9E2F3"/>
            <w:vAlign w:val="center"/>
          </w:tcPr>
          <w:p w14:paraId="0C48798B" w14:textId="77777777" w:rsidR="00990B14" w:rsidRDefault="00990B14">
            <w:pPr>
              <w:spacing w:before="20" w:after="20"/>
            </w:pPr>
          </w:p>
        </w:tc>
        <w:tc>
          <w:tcPr>
            <w:tcW w:w="3135" w:type="dxa"/>
            <w:gridSpan w:val="5"/>
            <w:shd w:val="clear" w:color="auto" w:fill="D9E2F3"/>
            <w:vAlign w:val="center"/>
          </w:tcPr>
          <w:p w14:paraId="536B77A2" w14:textId="77777777" w:rsidR="00990B14" w:rsidRDefault="00000000">
            <w:pPr>
              <w:spacing w:before="20" w:after="20"/>
              <w:jc w:val="both"/>
            </w:pPr>
            <w:r>
              <w:rPr>
                <w:sz w:val="18"/>
                <w:szCs w:val="18"/>
              </w:rPr>
              <w:t>1.2 Observa y ejecuta procedimientos de aseguramiento en campo aplicando la NIA 3000 y respondiendo a los riesgos identificados durante la recopilación de evidencia.</w:t>
            </w:r>
          </w:p>
        </w:tc>
        <w:tc>
          <w:tcPr>
            <w:tcW w:w="3137" w:type="dxa"/>
            <w:gridSpan w:val="4"/>
            <w:shd w:val="clear" w:color="auto" w:fill="D9E2F3"/>
            <w:vAlign w:val="center"/>
          </w:tcPr>
          <w:p w14:paraId="5CD95F58" w14:textId="77777777" w:rsidR="00990B14" w:rsidRDefault="00000000">
            <w:pPr>
              <w:spacing w:before="20" w:after="20"/>
              <w:jc w:val="both"/>
            </w:pPr>
            <w:r>
              <w:rPr>
                <w:b/>
                <w:bCs/>
                <w:sz w:val="18"/>
                <w:szCs w:val="18"/>
              </w:rPr>
              <w:t xml:space="preserve">Producto 6: </w:t>
            </w:r>
            <w:r>
              <w:rPr>
                <w:sz w:val="18"/>
                <w:szCs w:val="18"/>
              </w:rPr>
              <w:t>Informe de aseguramiento independiente estructurado bajo los lineamientos formales de la NIA 3000 (ISAE 3000), expresando la conclusión (seguridad razonable o limitada).</w:t>
            </w:r>
          </w:p>
        </w:tc>
      </w:tr>
      <w:tr w:rsidR="00990B14" w14:paraId="005B477A" w14:textId="77777777">
        <w:trPr>
          <w:cantSplit/>
          <w:jc w:val="center"/>
        </w:trPr>
        <w:tc>
          <w:tcPr>
            <w:tcW w:w="3133" w:type="dxa"/>
            <w:gridSpan w:val="4"/>
            <w:vMerge w:val="restart"/>
            <w:shd w:val="clear" w:color="auto" w:fill="D9E2F3"/>
            <w:vAlign w:val="center"/>
          </w:tcPr>
          <w:p w14:paraId="132799FD" w14:textId="77777777" w:rsidR="00990B14" w:rsidRDefault="00000000">
            <w:pPr>
              <w:spacing w:before="20" w:after="20"/>
              <w:jc w:val="both"/>
            </w:pPr>
            <w:r>
              <w:rPr>
                <w:sz w:val="18"/>
                <w:szCs w:val="18"/>
              </w:rPr>
              <w:t>2. Evalúa e implementa Sistemas de Gestión Antisoborno conforme a la Norma ISO 37001 y programas de compliance, realizando la debida diligencia, inspección de controles preventivos y diseño de canales de denuncia para prevenir e identificar riesgos de corrupción.</w:t>
            </w:r>
          </w:p>
        </w:tc>
        <w:tc>
          <w:tcPr>
            <w:tcW w:w="3135" w:type="dxa"/>
            <w:gridSpan w:val="5"/>
            <w:shd w:val="clear" w:color="auto" w:fill="D9E2F3"/>
            <w:vAlign w:val="center"/>
          </w:tcPr>
          <w:p w14:paraId="714B2E69" w14:textId="77777777" w:rsidR="00990B14" w:rsidRDefault="00000000">
            <w:pPr>
              <w:spacing w:before="20" w:after="20"/>
              <w:jc w:val="both"/>
            </w:pPr>
            <w:r>
              <w:rPr>
                <w:sz w:val="18"/>
                <w:szCs w:val="18"/>
              </w:rPr>
              <w:t>2.1 Aplica pruebas de cumplimiento y debida diligencia (Due Diligence) sobre socios de negocios, personal clave y procesos críticos conforme a los lineamientos de la ISO 37001.</w:t>
            </w:r>
          </w:p>
        </w:tc>
        <w:tc>
          <w:tcPr>
            <w:tcW w:w="3137" w:type="dxa"/>
            <w:gridSpan w:val="4"/>
            <w:shd w:val="clear" w:color="auto" w:fill="D9E2F3"/>
            <w:vAlign w:val="center"/>
          </w:tcPr>
          <w:p w14:paraId="6C40787D" w14:textId="77777777" w:rsidR="00990B14" w:rsidRDefault="00000000">
            <w:pPr>
              <w:spacing w:before="20" w:after="20"/>
              <w:jc w:val="both"/>
            </w:pPr>
            <w:r>
              <w:rPr>
                <w:b/>
                <w:bCs/>
                <w:sz w:val="18"/>
                <w:szCs w:val="18"/>
              </w:rPr>
              <w:t xml:space="preserve">Producto 7: </w:t>
            </w:r>
            <w:r>
              <w:rPr>
                <w:sz w:val="18"/>
                <w:szCs w:val="18"/>
              </w:rPr>
              <w:t>Matriz de evaluación del Sistema de Gestión Antisoborno (ISO 37001) y políticas de debida diligencia.</w:t>
            </w:r>
          </w:p>
        </w:tc>
      </w:tr>
      <w:tr w:rsidR="00990B14" w14:paraId="7753AA77" w14:textId="77777777">
        <w:trPr>
          <w:cantSplit/>
          <w:jc w:val="center"/>
        </w:trPr>
        <w:tc>
          <w:tcPr>
            <w:tcW w:w="3133" w:type="dxa"/>
            <w:gridSpan w:val="4"/>
            <w:vMerge/>
            <w:shd w:val="clear" w:color="auto" w:fill="D9E2F3"/>
            <w:vAlign w:val="center"/>
          </w:tcPr>
          <w:p w14:paraId="48D1D4BC" w14:textId="77777777" w:rsidR="00990B14" w:rsidRDefault="00990B14">
            <w:pPr>
              <w:spacing w:before="20" w:after="20"/>
            </w:pPr>
          </w:p>
        </w:tc>
        <w:tc>
          <w:tcPr>
            <w:tcW w:w="3135" w:type="dxa"/>
            <w:gridSpan w:val="5"/>
            <w:shd w:val="clear" w:color="auto" w:fill="D9E2F3"/>
            <w:vAlign w:val="center"/>
          </w:tcPr>
          <w:p w14:paraId="34DAF9BB" w14:textId="77777777" w:rsidR="00990B14" w:rsidRDefault="00000000">
            <w:pPr>
              <w:spacing w:before="20" w:after="20"/>
              <w:jc w:val="both"/>
            </w:pPr>
            <w:r>
              <w:rPr>
                <w:sz w:val="18"/>
                <w:szCs w:val="18"/>
              </w:rPr>
              <w:t>2.2 Diseña y evalúa la operatividad de los controles antisoborno, políticas de ética y canales de denuncia confidenciales e institucionales.</w:t>
            </w:r>
          </w:p>
        </w:tc>
        <w:tc>
          <w:tcPr>
            <w:tcW w:w="3137" w:type="dxa"/>
            <w:gridSpan w:val="4"/>
            <w:shd w:val="clear" w:color="auto" w:fill="D9E2F3"/>
            <w:vAlign w:val="center"/>
          </w:tcPr>
          <w:p w14:paraId="4FAB3D18" w14:textId="77777777" w:rsidR="00990B14" w:rsidRDefault="00000000">
            <w:pPr>
              <w:spacing w:before="20" w:after="20"/>
              <w:jc w:val="both"/>
            </w:pPr>
            <w:r>
              <w:rPr>
                <w:b/>
                <w:bCs/>
                <w:sz w:val="18"/>
                <w:szCs w:val="18"/>
              </w:rPr>
              <w:t xml:space="preserve">Producto 8: </w:t>
            </w:r>
            <w:r>
              <w:rPr>
                <w:sz w:val="18"/>
                <w:szCs w:val="18"/>
              </w:rPr>
              <w:t>Informe de auditoría de cumplimiento e implementación del programa antisoborno y canal de denuncias conforme a ISO 37001.</w:t>
            </w:r>
          </w:p>
        </w:tc>
      </w:tr>
      <w:tr w:rsidR="00990B14" w14:paraId="53BF9378" w14:textId="77777777">
        <w:trPr>
          <w:cantSplit/>
          <w:jc w:val="center"/>
        </w:trPr>
        <w:tc>
          <w:tcPr>
            <w:tcW w:w="9405" w:type="dxa"/>
            <w:gridSpan w:val="13"/>
            <w:shd w:val="clear" w:color="auto" w:fill="4472C4"/>
            <w:vAlign w:val="center"/>
          </w:tcPr>
          <w:p w14:paraId="5FBF94E2" w14:textId="77777777" w:rsidR="00990B14" w:rsidRDefault="00000000">
            <w:pPr>
              <w:keepNext/>
              <w:spacing w:before="20" w:after="20"/>
              <w:jc w:val="center"/>
            </w:pPr>
            <w:r>
              <w:rPr>
                <w:b/>
                <w:bCs/>
                <w:i/>
                <w:iCs/>
                <w:color w:val="FFFFFF"/>
                <w:sz w:val="18"/>
                <w:szCs w:val="18"/>
              </w:rPr>
              <w:t>Evidencias de conocimiento</w:t>
            </w:r>
          </w:p>
        </w:tc>
      </w:tr>
      <w:tr w:rsidR="00990B14" w14:paraId="2F2929A2" w14:textId="77777777">
        <w:trPr>
          <w:cantSplit/>
          <w:jc w:val="center"/>
        </w:trPr>
        <w:tc>
          <w:tcPr>
            <w:tcW w:w="2349" w:type="dxa"/>
            <w:gridSpan w:val="2"/>
            <w:shd w:val="clear" w:color="auto" w:fill="4472C4"/>
            <w:vAlign w:val="center"/>
          </w:tcPr>
          <w:p w14:paraId="7789359C"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65DAABC3" w14:textId="77777777" w:rsidR="00990B14" w:rsidRDefault="00000000">
            <w:pPr>
              <w:keepNext/>
              <w:spacing w:before="20" w:after="20"/>
              <w:jc w:val="both"/>
            </w:pPr>
            <w:r>
              <w:rPr>
                <w:b/>
                <w:bCs/>
                <w:i/>
                <w:iCs/>
                <w:color w:val="FFFFFF"/>
                <w:sz w:val="18"/>
                <w:szCs w:val="18"/>
              </w:rPr>
              <w:t>Contenidos</w:t>
            </w:r>
          </w:p>
          <w:p w14:paraId="10FC4F0E"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3A717F30" w14:textId="77777777" w:rsidR="00990B14" w:rsidRDefault="00000000">
            <w:pPr>
              <w:keepNext/>
              <w:spacing w:before="20" w:after="20"/>
              <w:jc w:val="center"/>
            </w:pPr>
            <w:r>
              <w:rPr>
                <w:b/>
                <w:bCs/>
                <w:i/>
                <w:iCs/>
                <w:color w:val="FFFFFF"/>
                <w:sz w:val="18"/>
                <w:szCs w:val="18"/>
              </w:rPr>
              <w:t>Conocimientos circunstanciales</w:t>
            </w:r>
          </w:p>
        </w:tc>
      </w:tr>
      <w:tr w:rsidR="00990B14" w14:paraId="41923CB2" w14:textId="77777777">
        <w:trPr>
          <w:jc w:val="center"/>
        </w:trPr>
        <w:tc>
          <w:tcPr>
            <w:tcW w:w="2349" w:type="dxa"/>
            <w:gridSpan w:val="2"/>
            <w:shd w:val="clear" w:color="auto" w:fill="D9E2F3"/>
          </w:tcPr>
          <w:p w14:paraId="592EF37B" w14:textId="77777777" w:rsidR="00990B14" w:rsidRDefault="00000000">
            <w:pPr>
              <w:spacing w:before="20" w:after="40"/>
              <w:jc w:val="both"/>
            </w:pPr>
            <w:r>
              <w:rPr>
                <w:sz w:val="18"/>
                <w:szCs w:val="18"/>
              </w:rPr>
              <w:t>Tema 11: NIA 3000 (Encargos de aseguramiento distintos de la auditoría o de la revisión de información financiera histórica)</w:t>
            </w:r>
          </w:p>
          <w:p w14:paraId="793FA865" w14:textId="77777777" w:rsidR="00990B14" w:rsidRDefault="00000000">
            <w:pPr>
              <w:spacing w:before="20" w:after="40"/>
              <w:jc w:val="both"/>
            </w:pPr>
            <w:r>
              <w:rPr>
                <w:sz w:val="18"/>
                <w:szCs w:val="18"/>
              </w:rPr>
              <w:t>Tema 12: Estándares Internacionales ISO 37001: Sistemas de gestión antisoborno utilizados para alinear las fases preventivas de la auditoría forense</w:t>
            </w:r>
          </w:p>
        </w:tc>
        <w:tc>
          <w:tcPr>
            <w:tcW w:w="4304" w:type="dxa"/>
            <w:gridSpan w:val="8"/>
            <w:shd w:val="clear" w:color="auto" w:fill="D9E2F3"/>
          </w:tcPr>
          <w:p w14:paraId="1A2C2E6B" w14:textId="77777777" w:rsidR="00990B14" w:rsidRDefault="00000000">
            <w:pPr>
              <w:spacing w:after="40"/>
              <w:jc w:val="both"/>
            </w:pPr>
            <w:r>
              <w:rPr>
                <w:sz w:val="18"/>
                <w:szCs w:val="18"/>
              </w:rPr>
              <w:t>Introducción. (C)</w:t>
            </w:r>
          </w:p>
          <w:p w14:paraId="2BFD7EF0" w14:textId="77777777" w:rsidR="00990B14" w:rsidRDefault="00000000">
            <w:pPr>
              <w:spacing w:after="40"/>
              <w:jc w:val="both"/>
            </w:pPr>
            <w:r>
              <w:rPr>
                <w:sz w:val="18"/>
                <w:szCs w:val="18"/>
              </w:rPr>
              <w:t>Objetivos y Definiciones. (C)</w:t>
            </w:r>
          </w:p>
          <w:p w14:paraId="36FB7C47" w14:textId="77777777" w:rsidR="00990B14" w:rsidRDefault="00000000">
            <w:pPr>
              <w:spacing w:after="40"/>
              <w:jc w:val="both"/>
            </w:pPr>
            <w:r>
              <w:rPr>
                <w:sz w:val="18"/>
                <w:szCs w:val="18"/>
              </w:rPr>
              <w:t>Escepticismo y juicio profesional. (C, A)</w:t>
            </w:r>
          </w:p>
          <w:p w14:paraId="68DB8762" w14:textId="77777777" w:rsidR="00990B14" w:rsidRDefault="00000000">
            <w:pPr>
              <w:spacing w:after="40"/>
              <w:jc w:val="both"/>
            </w:pPr>
            <w:r>
              <w:rPr>
                <w:sz w:val="18"/>
                <w:szCs w:val="18"/>
              </w:rPr>
              <w:t>Planificación y realización del encargo. (C)</w:t>
            </w:r>
          </w:p>
          <w:p w14:paraId="48E5A167" w14:textId="77777777" w:rsidR="00990B14" w:rsidRDefault="00000000">
            <w:pPr>
              <w:spacing w:after="40"/>
              <w:jc w:val="both"/>
            </w:pPr>
            <w:r>
              <w:rPr>
                <w:sz w:val="18"/>
                <w:szCs w:val="18"/>
              </w:rPr>
              <w:t>Hechos posteriores. (C)</w:t>
            </w:r>
          </w:p>
          <w:p w14:paraId="2C6DCE5A" w14:textId="77777777" w:rsidR="00990B14" w:rsidRDefault="00000000">
            <w:pPr>
              <w:spacing w:after="40"/>
              <w:jc w:val="both"/>
            </w:pPr>
            <w:r>
              <w:rPr>
                <w:sz w:val="18"/>
                <w:szCs w:val="18"/>
              </w:rPr>
              <w:t>Descripción de los criterios aplicables. (C)</w:t>
            </w:r>
          </w:p>
          <w:p w14:paraId="0B9215AF" w14:textId="77777777" w:rsidR="00990B14" w:rsidRDefault="00000000">
            <w:pPr>
              <w:spacing w:after="40"/>
              <w:jc w:val="both"/>
            </w:pPr>
            <w:r>
              <w:rPr>
                <w:sz w:val="18"/>
                <w:szCs w:val="18"/>
              </w:rPr>
              <w:t>Formación de la conclusión. (C)</w:t>
            </w:r>
          </w:p>
          <w:p w14:paraId="7E569CE2" w14:textId="77777777" w:rsidR="00990B14" w:rsidRDefault="00000000">
            <w:pPr>
              <w:spacing w:after="40"/>
              <w:jc w:val="both"/>
            </w:pPr>
            <w:r>
              <w:rPr>
                <w:sz w:val="18"/>
                <w:szCs w:val="18"/>
              </w:rPr>
              <w:t>Preparación del informe de aseguramiento. (C, P)</w:t>
            </w:r>
          </w:p>
          <w:p w14:paraId="5BCD80C9" w14:textId="77777777" w:rsidR="00990B14" w:rsidRDefault="00000000">
            <w:pPr>
              <w:spacing w:after="40"/>
              <w:jc w:val="both"/>
            </w:pPr>
            <w:r>
              <w:rPr>
                <w:sz w:val="18"/>
                <w:szCs w:val="18"/>
              </w:rPr>
              <w:t>Objeto y campo de aplicación ISO 37001. (C)</w:t>
            </w:r>
          </w:p>
          <w:p w14:paraId="75D2946E" w14:textId="77777777" w:rsidR="00990B14" w:rsidRDefault="00000000">
            <w:pPr>
              <w:spacing w:after="40"/>
              <w:jc w:val="both"/>
            </w:pPr>
            <w:r>
              <w:rPr>
                <w:sz w:val="18"/>
                <w:szCs w:val="18"/>
              </w:rPr>
              <w:t>Referencias normativas. (C)</w:t>
            </w:r>
          </w:p>
          <w:p w14:paraId="2A953201" w14:textId="77777777" w:rsidR="00990B14" w:rsidRDefault="00000000">
            <w:pPr>
              <w:spacing w:after="40"/>
              <w:jc w:val="both"/>
            </w:pPr>
            <w:r>
              <w:rPr>
                <w:sz w:val="18"/>
                <w:szCs w:val="18"/>
              </w:rPr>
              <w:t>Términos y Definiciones. (C)</w:t>
            </w:r>
          </w:p>
          <w:p w14:paraId="38AC1586" w14:textId="77777777" w:rsidR="00990B14" w:rsidRDefault="00000000">
            <w:pPr>
              <w:spacing w:after="40"/>
              <w:jc w:val="both"/>
            </w:pPr>
            <w:r>
              <w:rPr>
                <w:sz w:val="18"/>
                <w:szCs w:val="18"/>
              </w:rPr>
              <w:t>Contexto de la organización. (C)</w:t>
            </w:r>
          </w:p>
          <w:p w14:paraId="3CC28242" w14:textId="77777777" w:rsidR="00990B14" w:rsidRDefault="00000000">
            <w:pPr>
              <w:spacing w:after="40"/>
              <w:jc w:val="both"/>
            </w:pPr>
            <w:r>
              <w:rPr>
                <w:sz w:val="18"/>
                <w:szCs w:val="18"/>
              </w:rPr>
              <w:t>Planificación. (C, P)</w:t>
            </w:r>
          </w:p>
          <w:p w14:paraId="0D0BE9E2" w14:textId="77777777" w:rsidR="00990B14" w:rsidRDefault="00000000">
            <w:pPr>
              <w:spacing w:after="40"/>
              <w:jc w:val="both"/>
            </w:pPr>
            <w:r>
              <w:rPr>
                <w:sz w:val="18"/>
                <w:szCs w:val="18"/>
              </w:rPr>
              <w:t>Soporte. (C, P)</w:t>
            </w:r>
          </w:p>
          <w:p w14:paraId="1D1836A8" w14:textId="77777777" w:rsidR="00990B14" w:rsidRDefault="00000000">
            <w:pPr>
              <w:spacing w:after="40"/>
              <w:jc w:val="both"/>
            </w:pPr>
            <w:r>
              <w:rPr>
                <w:sz w:val="18"/>
                <w:szCs w:val="18"/>
              </w:rPr>
              <w:t>Operación. (C, P)</w:t>
            </w:r>
          </w:p>
        </w:tc>
        <w:tc>
          <w:tcPr>
            <w:tcW w:w="2752" w:type="dxa"/>
            <w:gridSpan w:val="3"/>
            <w:shd w:val="clear" w:color="auto" w:fill="D9E2F3"/>
          </w:tcPr>
          <w:p w14:paraId="44F57D4F" w14:textId="77777777" w:rsidR="00990B14" w:rsidRDefault="00000000">
            <w:pPr>
              <w:numPr>
                <w:ilvl w:val="0"/>
                <w:numId w:val="139"/>
              </w:numPr>
              <w:spacing w:before="10" w:after="10"/>
              <w:jc w:val="both"/>
            </w:pPr>
            <w:r>
              <w:rPr>
                <w:sz w:val="18"/>
                <w:szCs w:val="18"/>
              </w:rPr>
              <w:t>Nociones de la comunicación profesional y de las técnicas de indagación ante la dirección.</w:t>
            </w:r>
          </w:p>
          <w:p w14:paraId="18D514F8" w14:textId="77777777" w:rsidR="00990B14" w:rsidRDefault="00000000">
            <w:pPr>
              <w:numPr>
                <w:ilvl w:val="0"/>
                <w:numId w:val="139"/>
              </w:numPr>
              <w:spacing w:before="10" w:after="10"/>
              <w:jc w:val="both"/>
            </w:pPr>
            <w:r>
              <w:rPr>
                <w:sz w:val="18"/>
                <w:szCs w:val="18"/>
              </w:rPr>
              <w:t>Requisitos de información financiera que exigen las entidades financieras para la evaluación de créditos.</w:t>
            </w:r>
          </w:p>
        </w:tc>
      </w:tr>
      <w:tr w:rsidR="00990B14" w14:paraId="09D96EEE" w14:textId="77777777">
        <w:trPr>
          <w:cantSplit/>
          <w:jc w:val="center"/>
        </w:trPr>
        <w:tc>
          <w:tcPr>
            <w:tcW w:w="9405" w:type="dxa"/>
            <w:gridSpan w:val="13"/>
            <w:shd w:val="clear" w:color="auto" w:fill="D9E2F3"/>
            <w:vAlign w:val="center"/>
          </w:tcPr>
          <w:p w14:paraId="222F40E6" w14:textId="77777777" w:rsidR="00990B14" w:rsidRDefault="00000000">
            <w:pPr>
              <w:spacing w:before="20" w:after="20"/>
              <w:jc w:val="both"/>
            </w:pPr>
            <w:r>
              <w:rPr>
                <w:b/>
                <w:bCs/>
                <w:i/>
                <w:iCs/>
                <w:sz w:val="18"/>
                <w:szCs w:val="18"/>
              </w:rPr>
              <w:t xml:space="preserve">Elemento de competencia 3: </w:t>
            </w:r>
            <w:r>
              <w:rPr>
                <w:sz w:val="18"/>
                <w:szCs w:val="18"/>
              </w:rPr>
              <w:t>Aplica los encargos de procedimientos acordados y de compilación conforme a las Normas Internacionales de Servicios Relacionados 4400 (Revisada) y 4410, acordando los términos con el cliente, delimitando explícitamente el servicio respecto a los encargos de aseguramiento (NIA 3000 / ISAE 3000) mediante la matriz comparativa técnica de delimitación y elaborando los informes del profesional ejerciente mediante herramientas digitales.</w:t>
            </w:r>
          </w:p>
        </w:tc>
      </w:tr>
      <w:tr w:rsidR="00990B14" w14:paraId="2293875D" w14:textId="77777777">
        <w:trPr>
          <w:cantSplit/>
          <w:jc w:val="center"/>
        </w:trPr>
        <w:tc>
          <w:tcPr>
            <w:tcW w:w="3133" w:type="dxa"/>
            <w:gridSpan w:val="4"/>
            <w:shd w:val="clear" w:color="auto" w:fill="4472C4"/>
            <w:vAlign w:val="center"/>
          </w:tcPr>
          <w:p w14:paraId="75815CDA"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7ED40077"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2622DD61" w14:textId="77777777" w:rsidR="00990B14" w:rsidRDefault="00000000">
            <w:pPr>
              <w:keepNext/>
              <w:spacing w:before="20" w:after="20"/>
              <w:jc w:val="center"/>
            </w:pPr>
            <w:r>
              <w:rPr>
                <w:b/>
                <w:bCs/>
                <w:i/>
                <w:iCs/>
                <w:color w:val="FFFFFF"/>
                <w:sz w:val="18"/>
                <w:szCs w:val="18"/>
              </w:rPr>
              <w:t>Evidencias de producto</w:t>
            </w:r>
          </w:p>
        </w:tc>
      </w:tr>
      <w:tr w:rsidR="00990B14" w14:paraId="01C39C39" w14:textId="77777777">
        <w:trPr>
          <w:cantSplit/>
          <w:jc w:val="center"/>
        </w:trPr>
        <w:tc>
          <w:tcPr>
            <w:tcW w:w="3133" w:type="dxa"/>
            <w:gridSpan w:val="4"/>
            <w:vMerge w:val="restart"/>
            <w:shd w:val="clear" w:color="auto" w:fill="D9E2F3"/>
            <w:vAlign w:val="center"/>
          </w:tcPr>
          <w:p w14:paraId="10BCCC4F" w14:textId="77777777" w:rsidR="00990B14" w:rsidRDefault="00000000">
            <w:pPr>
              <w:spacing w:before="20" w:after="20"/>
              <w:jc w:val="both"/>
            </w:pPr>
            <w:r>
              <w:rPr>
                <w:sz w:val="18"/>
                <w:szCs w:val="18"/>
              </w:rPr>
              <w:t>1. Aplica el encargo de procedimientos acordados conforme a la NISR 4400 revisada, verificando la idoneidad de los procedimientos, el no otorgamiento de ningún nivel de aseguramiento y la utilización del trabajo de un experto.</w:t>
            </w:r>
          </w:p>
        </w:tc>
        <w:tc>
          <w:tcPr>
            <w:tcW w:w="3135" w:type="dxa"/>
            <w:gridSpan w:val="5"/>
            <w:shd w:val="clear" w:color="auto" w:fill="D9E2F3"/>
            <w:vAlign w:val="center"/>
          </w:tcPr>
          <w:p w14:paraId="35F6BE27" w14:textId="77777777" w:rsidR="00990B14" w:rsidRDefault="00000000">
            <w:pPr>
              <w:spacing w:before="20" w:after="20"/>
              <w:jc w:val="both"/>
            </w:pPr>
            <w:r>
              <w:rPr>
                <w:sz w:val="18"/>
                <w:szCs w:val="18"/>
              </w:rPr>
              <w:t>1.1 Redacta en equipo los procedimientos acordados con el cliente y los términos del encargo.</w:t>
            </w:r>
          </w:p>
        </w:tc>
        <w:tc>
          <w:tcPr>
            <w:tcW w:w="3137" w:type="dxa"/>
            <w:gridSpan w:val="4"/>
            <w:shd w:val="clear" w:color="auto" w:fill="D9E2F3"/>
            <w:vAlign w:val="center"/>
          </w:tcPr>
          <w:p w14:paraId="55E9B4A2" w14:textId="77777777" w:rsidR="00990B14" w:rsidRDefault="00000000">
            <w:pPr>
              <w:spacing w:before="20" w:after="20"/>
              <w:jc w:val="both"/>
            </w:pPr>
            <w:r>
              <w:rPr>
                <w:b/>
                <w:bCs/>
                <w:sz w:val="18"/>
                <w:szCs w:val="18"/>
              </w:rPr>
              <w:t xml:space="preserve">Producto 9: </w:t>
            </w:r>
            <w:r>
              <w:rPr>
                <w:sz w:val="18"/>
                <w:szCs w:val="18"/>
              </w:rPr>
              <w:t>Términos del encargo con la descripción de los procedimientos acordados conforme a NISR 4400.</w:t>
            </w:r>
          </w:p>
        </w:tc>
      </w:tr>
      <w:tr w:rsidR="00990B14" w14:paraId="66B17C5C" w14:textId="77777777">
        <w:trPr>
          <w:cantSplit/>
          <w:jc w:val="center"/>
        </w:trPr>
        <w:tc>
          <w:tcPr>
            <w:tcW w:w="3133" w:type="dxa"/>
            <w:gridSpan w:val="4"/>
            <w:vMerge/>
            <w:shd w:val="clear" w:color="auto" w:fill="D9E2F3"/>
            <w:vAlign w:val="center"/>
          </w:tcPr>
          <w:p w14:paraId="484CE35D" w14:textId="77777777" w:rsidR="00990B14" w:rsidRDefault="00990B14">
            <w:pPr>
              <w:spacing w:before="20" w:after="20"/>
            </w:pPr>
          </w:p>
        </w:tc>
        <w:tc>
          <w:tcPr>
            <w:tcW w:w="3135" w:type="dxa"/>
            <w:gridSpan w:val="5"/>
            <w:shd w:val="clear" w:color="auto" w:fill="D9E2F3"/>
            <w:vAlign w:val="center"/>
          </w:tcPr>
          <w:p w14:paraId="48BB4A84" w14:textId="77777777" w:rsidR="00990B14" w:rsidRDefault="00000000">
            <w:pPr>
              <w:spacing w:before="20" w:after="20"/>
              <w:jc w:val="both"/>
            </w:pPr>
            <w:r>
              <w:rPr>
                <w:sz w:val="18"/>
                <w:szCs w:val="18"/>
              </w:rPr>
              <w:t>1.2 Aplica en aula un conjunto de procedimientos acordados a la información de un cliente y redacta sus hallazgos factuales.</w:t>
            </w:r>
          </w:p>
        </w:tc>
        <w:tc>
          <w:tcPr>
            <w:tcW w:w="3137" w:type="dxa"/>
            <w:gridSpan w:val="4"/>
            <w:shd w:val="clear" w:color="auto" w:fill="D9E2F3"/>
            <w:vAlign w:val="center"/>
          </w:tcPr>
          <w:p w14:paraId="542691BA" w14:textId="77777777" w:rsidR="00990B14" w:rsidRDefault="00000000">
            <w:pPr>
              <w:spacing w:before="20" w:after="20"/>
              <w:jc w:val="both"/>
            </w:pPr>
            <w:r>
              <w:rPr>
                <w:b/>
                <w:bCs/>
                <w:sz w:val="18"/>
                <w:szCs w:val="18"/>
              </w:rPr>
              <w:t xml:space="preserve">Producto 10: </w:t>
            </w:r>
            <w:r>
              <w:rPr>
                <w:sz w:val="18"/>
                <w:szCs w:val="18"/>
              </w:rPr>
              <w:t>Informe de procedimientos acordados con sus hallazgos factuales verificables (sin aseguramiento).</w:t>
            </w:r>
          </w:p>
        </w:tc>
      </w:tr>
      <w:tr w:rsidR="00990B14" w14:paraId="4713A889" w14:textId="77777777">
        <w:trPr>
          <w:cantSplit/>
          <w:jc w:val="center"/>
        </w:trPr>
        <w:tc>
          <w:tcPr>
            <w:tcW w:w="3133" w:type="dxa"/>
            <w:gridSpan w:val="4"/>
            <w:vMerge w:val="restart"/>
            <w:shd w:val="clear" w:color="auto" w:fill="D9E2F3"/>
            <w:vAlign w:val="center"/>
          </w:tcPr>
          <w:p w14:paraId="41FCD5ED" w14:textId="77777777" w:rsidR="00990B14" w:rsidRDefault="00000000">
            <w:pPr>
              <w:spacing w:before="20" w:after="20"/>
              <w:jc w:val="both"/>
            </w:pPr>
            <w:r>
              <w:rPr>
                <w:sz w:val="18"/>
                <w:szCs w:val="18"/>
              </w:rPr>
              <w:t>2. Elabora el encargo de compilación conforme a la NISR 4410, delimitándolo estrictamente de los encargos de aseguramiento (NIA 3000 / Auditoría) y documentándolo mediante herramientas digitales.</w:t>
            </w:r>
          </w:p>
        </w:tc>
        <w:tc>
          <w:tcPr>
            <w:tcW w:w="3135" w:type="dxa"/>
            <w:gridSpan w:val="5"/>
            <w:shd w:val="clear" w:color="auto" w:fill="D9E2F3"/>
            <w:vAlign w:val="center"/>
          </w:tcPr>
          <w:p w14:paraId="1BA7AC48" w14:textId="77777777" w:rsidR="00990B14" w:rsidRDefault="00000000">
            <w:pPr>
              <w:spacing w:before="20" w:after="20"/>
              <w:jc w:val="both"/>
            </w:pPr>
            <w:r>
              <w:rPr>
                <w:sz w:val="18"/>
                <w:szCs w:val="18"/>
              </w:rPr>
              <w:t>2.1 Compila en el laboratorio de cómputo los estados financieros de una pequeña empresa con herramientas digitales.</w:t>
            </w:r>
          </w:p>
        </w:tc>
        <w:tc>
          <w:tcPr>
            <w:tcW w:w="3137" w:type="dxa"/>
            <w:gridSpan w:val="4"/>
            <w:shd w:val="clear" w:color="auto" w:fill="D9E2F3"/>
            <w:vAlign w:val="center"/>
          </w:tcPr>
          <w:p w14:paraId="0A890F11" w14:textId="77777777" w:rsidR="00990B14" w:rsidRDefault="00000000">
            <w:pPr>
              <w:spacing w:before="20" w:after="20"/>
              <w:jc w:val="both"/>
            </w:pPr>
            <w:r>
              <w:rPr>
                <w:b/>
                <w:bCs/>
                <w:sz w:val="18"/>
                <w:szCs w:val="18"/>
              </w:rPr>
              <w:t xml:space="preserve">Producto 11: </w:t>
            </w:r>
            <w:r>
              <w:rPr>
                <w:sz w:val="18"/>
                <w:szCs w:val="18"/>
              </w:rPr>
              <w:t>Estados financieros compilados con su documentación de soporte.</w:t>
            </w:r>
          </w:p>
        </w:tc>
      </w:tr>
      <w:tr w:rsidR="00990B14" w14:paraId="65D8C739" w14:textId="77777777">
        <w:trPr>
          <w:cantSplit/>
          <w:jc w:val="center"/>
        </w:trPr>
        <w:tc>
          <w:tcPr>
            <w:tcW w:w="3133" w:type="dxa"/>
            <w:gridSpan w:val="4"/>
            <w:vMerge/>
            <w:shd w:val="clear" w:color="auto" w:fill="D9E2F3"/>
            <w:vAlign w:val="center"/>
          </w:tcPr>
          <w:p w14:paraId="583573CC" w14:textId="77777777" w:rsidR="00990B14" w:rsidRDefault="00990B14">
            <w:pPr>
              <w:spacing w:before="20" w:after="20"/>
            </w:pPr>
          </w:p>
        </w:tc>
        <w:tc>
          <w:tcPr>
            <w:tcW w:w="3135" w:type="dxa"/>
            <w:gridSpan w:val="5"/>
            <w:shd w:val="clear" w:color="auto" w:fill="D9E2F3"/>
            <w:vAlign w:val="center"/>
          </w:tcPr>
          <w:p w14:paraId="15A845C2" w14:textId="77777777" w:rsidR="00990B14" w:rsidRDefault="00000000">
            <w:pPr>
              <w:spacing w:before="20" w:after="20"/>
              <w:jc w:val="both"/>
            </w:pPr>
            <w:r>
              <w:rPr>
                <w:sz w:val="18"/>
                <w:szCs w:val="18"/>
              </w:rPr>
              <w:t>2.2 Presenta ante el curso el informe de compilación y expone su diferencia esencial respecto a los encargos que proporcionan seguridad.</w:t>
            </w:r>
          </w:p>
        </w:tc>
        <w:tc>
          <w:tcPr>
            <w:tcW w:w="3137" w:type="dxa"/>
            <w:gridSpan w:val="4"/>
            <w:shd w:val="clear" w:color="auto" w:fill="D9E2F3"/>
            <w:vAlign w:val="center"/>
          </w:tcPr>
          <w:p w14:paraId="7388E57C" w14:textId="77777777" w:rsidR="00990B14" w:rsidRDefault="00000000">
            <w:pPr>
              <w:spacing w:before="20" w:after="20"/>
              <w:jc w:val="both"/>
            </w:pPr>
            <w:r>
              <w:rPr>
                <w:b/>
                <w:bCs/>
                <w:sz w:val="18"/>
                <w:szCs w:val="18"/>
              </w:rPr>
              <w:t xml:space="preserve">Producto 12: </w:t>
            </w:r>
            <w:r>
              <w:rPr>
                <w:sz w:val="18"/>
                <w:szCs w:val="18"/>
              </w:rPr>
              <w:t>Informe de compilación del profesional ejerciente conforme a NISR 4410.</w:t>
            </w:r>
          </w:p>
        </w:tc>
      </w:tr>
      <w:tr w:rsidR="00990B14" w14:paraId="1AB8D5B4" w14:textId="77777777">
        <w:trPr>
          <w:cantSplit/>
          <w:jc w:val="center"/>
        </w:trPr>
        <w:tc>
          <w:tcPr>
            <w:tcW w:w="9405" w:type="dxa"/>
            <w:gridSpan w:val="13"/>
            <w:shd w:val="clear" w:color="auto" w:fill="4472C4"/>
            <w:vAlign w:val="center"/>
          </w:tcPr>
          <w:p w14:paraId="485FB53E" w14:textId="77777777" w:rsidR="00990B14" w:rsidRDefault="00000000">
            <w:pPr>
              <w:keepNext/>
              <w:spacing w:before="20" w:after="20"/>
              <w:jc w:val="center"/>
            </w:pPr>
            <w:r>
              <w:rPr>
                <w:b/>
                <w:bCs/>
                <w:i/>
                <w:iCs/>
                <w:color w:val="FFFFFF"/>
                <w:sz w:val="18"/>
                <w:szCs w:val="18"/>
              </w:rPr>
              <w:t>Evidencias de conocimiento</w:t>
            </w:r>
          </w:p>
        </w:tc>
      </w:tr>
      <w:tr w:rsidR="00990B14" w14:paraId="49B1F8A8" w14:textId="77777777">
        <w:trPr>
          <w:cantSplit/>
          <w:jc w:val="center"/>
        </w:trPr>
        <w:tc>
          <w:tcPr>
            <w:tcW w:w="2349" w:type="dxa"/>
            <w:gridSpan w:val="2"/>
            <w:shd w:val="clear" w:color="auto" w:fill="4472C4"/>
            <w:vAlign w:val="center"/>
          </w:tcPr>
          <w:p w14:paraId="3FEB2D7D"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3C3CD8BF" w14:textId="77777777" w:rsidR="00990B14" w:rsidRDefault="00000000">
            <w:pPr>
              <w:keepNext/>
              <w:spacing w:before="20" w:after="20"/>
              <w:jc w:val="both"/>
            </w:pPr>
            <w:r>
              <w:rPr>
                <w:b/>
                <w:bCs/>
                <w:i/>
                <w:iCs/>
                <w:color w:val="FFFFFF"/>
                <w:sz w:val="18"/>
                <w:szCs w:val="18"/>
              </w:rPr>
              <w:t>Contenidos</w:t>
            </w:r>
          </w:p>
          <w:p w14:paraId="0553E40B"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7E602680" w14:textId="77777777" w:rsidR="00990B14" w:rsidRDefault="00000000">
            <w:pPr>
              <w:keepNext/>
              <w:spacing w:before="20" w:after="20"/>
              <w:jc w:val="center"/>
            </w:pPr>
            <w:r>
              <w:rPr>
                <w:b/>
                <w:bCs/>
                <w:i/>
                <w:iCs/>
                <w:color w:val="FFFFFF"/>
                <w:sz w:val="18"/>
                <w:szCs w:val="18"/>
              </w:rPr>
              <w:t>Conocimientos circunstanciales</w:t>
            </w:r>
          </w:p>
        </w:tc>
      </w:tr>
      <w:tr w:rsidR="00990B14" w14:paraId="055C76B9" w14:textId="77777777">
        <w:trPr>
          <w:jc w:val="center"/>
        </w:trPr>
        <w:tc>
          <w:tcPr>
            <w:tcW w:w="2349" w:type="dxa"/>
            <w:gridSpan w:val="2"/>
            <w:shd w:val="clear" w:color="auto" w:fill="D9E2F3"/>
          </w:tcPr>
          <w:p w14:paraId="4B9D1E1F" w14:textId="77777777" w:rsidR="00990B14" w:rsidRDefault="00000000">
            <w:pPr>
              <w:spacing w:before="20" w:after="40"/>
              <w:jc w:val="both"/>
            </w:pPr>
            <w:r>
              <w:rPr>
                <w:sz w:val="18"/>
                <w:szCs w:val="18"/>
              </w:rPr>
              <w:t>Tema 15: Procedimientos convenidos</w:t>
            </w:r>
          </w:p>
          <w:p w14:paraId="659963FA" w14:textId="77777777" w:rsidR="00990B14" w:rsidRDefault="00000000">
            <w:pPr>
              <w:spacing w:before="20" w:after="40"/>
              <w:jc w:val="both"/>
            </w:pPr>
            <w:r>
              <w:rPr>
                <w:sz w:val="18"/>
                <w:szCs w:val="18"/>
              </w:rPr>
              <w:t>Tema 16: Compilación</w:t>
            </w:r>
          </w:p>
        </w:tc>
        <w:tc>
          <w:tcPr>
            <w:tcW w:w="4304" w:type="dxa"/>
            <w:gridSpan w:val="8"/>
            <w:shd w:val="clear" w:color="auto" w:fill="D9E2F3"/>
          </w:tcPr>
          <w:p w14:paraId="489D4A0F" w14:textId="77777777" w:rsidR="00990B14" w:rsidRDefault="00000000">
            <w:pPr>
              <w:spacing w:after="40"/>
              <w:jc w:val="both"/>
            </w:pPr>
            <w:r>
              <w:rPr>
                <w:sz w:val="18"/>
                <w:szCs w:val="18"/>
              </w:rPr>
              <w:t>Norma Internacional de Servicios Relacionados (NISR) 4400: el encargo de procedimientos acordados, aplicabilidad, objetivos y definiciones. (C, P)</w:t>
            </w:r>
          </w:p>
          <w:p w14:paraId="552EEBED" w14:textId="77777777" w:rsidR="00990B14" w:rsidRDefault="00000000">
            <w:pPr>
              <w:spacing w:after="40"/>
              <w:jc w:val="both"/>
            </w:pPr>
            <w:r>
              <w:rPr>
                <w:sz w:val="18"/>
                <w:szCs w:val="18"/>
              </w:rPr>
              <w:t>Requerimientos para la realización de un encargo de procedimientos acordados: requerimientos de ética aplicables, juicio profesional y gestión de calidad del encargo. (C, P, A)</w:t>
            </w:r>
          </w:p>
          <w:p w14:paraId="041DD212" w14:textId="77777777" w:rsidR="00990B14" w:rsidRDefault="00000000">
            <w:pPr>
              <w:spacing w:after="40"/>
              <w:jc w:val="both"/>
            </w:pPr>
            <w:r>
              <w:rPr>
                <w:sz w:val="18"/>
                <w:szCs w:val="18"/>
              </w:rPr>
              <w:t>Vigencia de la norma revisada de procedimientos acordados desde los encargos cuyos términos se acuerdan a partir del 1 de enero de 2022 y su énfasis en la idoneidad de los procedimientos. (C, P)</w:t>
            </w:r>
          </w:p>
          <w:p w14:paraId="0710B065" w14:textId="77777777" w:rsidR="00990B14" w:rsidRDefault="00000000">
            <w:pPr>
              <w:spacing w:after="40"/>
              <w:jc w:val="both"/>
            </w:pPr>
            <w:r>
              <w:rPr>
                <w:sz w:val="18"/>
                <w:szCs w:val="18"/>
              </w:rPr>
              <w:t>Aceptación y continuidad del encargo y acuerdo de los términos del encargo. (C)</w:t>
            </w:r>
          </w:p>
          <w:p w14:paraId="264BBA7B" w14:textId="77777777" w:rsidR="00990B14" w:rsidRDefault="00000000">
            <w:pPr>
              <w:spacing w:after="40"/>
              <w:jc w:val="both"/>
            </w:pPr>
            <w:r>
              <w:rPr>
                <w:sz w:val="18"/>
                <w:szCs w:val="18"/>
              </w:rPr>
              <w:t>Aplicación de los procedimientos acordados y utilización del trabajo de un experto del profesional ejerciente. (P)</w:t>
            </w:r>
          </w:p>
          <w:p w14:paraId="423DC578" w14:textId="77777777" w:rsidR="00990B14" w:rsidRDefault="00000000">
            <w:pPr>
              <w:spacing w:after="40"/>
              <w:jc w:val="both"/>
            </w:pPr>
            <w:r>
              <w:rPr>
                <w:sz w:val="18"/>
                <w:szCs w:val="18"/>
              </w:rPr>
              <w:t>El informe de procedimientos acordados, la realización de este encargo junto con otro encargo y su documentación. (P)</w:t>
            </w:r>
          </w:p>
          <w:p w14:paraId="56CD5CB1" w14:textId="77777777" w:rsidR="00990B14" w:rsidRDefault="00000000">
            <w:pPr>
              <w:spacing w:after="40"/>
              <w:jc w:val="both"/>
            </w:pPr>
            <w:r>
              <w:rPr>
                <w:sz w:val="18"/>
                <w:szCs w:val="18"/>
              </w:rPr>
              <w:t>Uso de los encargos de procedimientos acordados para atender requerimientos de financiadores y de entidades supervisoras. (C, P)</w:t>
            </w:r>
          </w:p>
          <w:p w14:paraId="1F69D2D0" w14:textId="77777777" w:rsidR="00990B14" w:rsidRDefault="00000000">
            <w:pPr>
              <w:spacing w:after="40"/>
              <w:jc w:val="both"/>
            </w:pPr>
            <w:r>
              <w:rPr>
                <w:sz w:val="18"/>
                <w:szCs w:val="18"/>
              </w:rPr>
              <w:t>Norma Internacional de Servicios Relacionados 4410: alcance, el encargo de compilación, aplicabilidad, objetivos y definiciones. (C)</w:t>
            </w:r>
          </w:p>
          <w:p w14:paraId="39C9273E" w14:textId="77777777" w:rsidR="00990B14" w:rsidRDefault="00000000">
            <w:pPr>
              <w:spacing w:after="40"/>
              <w:jc w:val="both"/>
            </w:pPr>
            <w:r>
              <w:rPr>
                <w:sz w:val="18"/>
                <w:szCs w:val="18"/>
              </w:rPr>
              <w:t>Requerimientos para la realización de un encargo de compilación: requerimientos de ética, juicio profesional y gestión de calidad del encargo. (C, A)</w:t>
            </w:r>
          </w:p>
          <w:p w14:paraId="74F33968" w14:textId="77777777" w:rsidR="00990B14" w:rsidRDefault="00000000">
            <w:pPr>
              <w:spacing w:after="40"/>
              <w:jc w:val="both"/>
            </w:pPr>
            <w:r>
              <w:rPr>
                <w:sz w:val="18"/>
                <w:szCs w:val="18"/>
              </w:rPr>
              <w:t>Aceptación y continuidad del encargo y comunicación con la dirección y con los responsables del gobierno de la entidad. (C)</w:t>
            </w:r>
          </w:p>
          <w:p w14:paraId="31EE3A5A" w14:textId="77777777" w:rsidR="00990B14" w:rsidRDefault="00000000">
            <w:pPr>
              <w:spacing w:after="40"/>
              <w:jc w:val="both"/>
            </w:pPr>
            <w:r>
              <w:rPr>
                <w:sz w:val="18"/>
                <w:szCs w:val="18"/>
              </w:rPr>
              <w:t>Realización del encargo, documentación e informe del profesional ejerciente. (P)</w:t>
            </w:r>
          </w:p>
          <w:p w14:paraId="1B415402" w14:textId="77777777" w:rsidR="00990B14" w:rsidRDefault="00000000">
            <w:pPr>
              <w:spacing w:after="40"/>
              <w:jc w:val="both"/>
            </w:pPr>
            <w:r>
              <w:rPr>
                <w:sz w:val="18"/>
                <w:szCs w:val="18"/>
              </w:rPr>
              <w:t>Delimitación de la compilación respecto de los encargos que proporcionan seguridad y uso de herramientas digitales en su ejecución y documentación. (P, T)</w:t>
            </w:r>
          </w:p>
        </w:tc>
        <w:tc>
          <w:tcPr>
            <w:tcW w:w="2752" w:type="dxa"/>
            <w:gridSpan w:val="3"/>
            <w:shd w:val="clear" w:color="auto" w:fill="D9E2F3"/>
          </w:tcPr>
          <w:p w14:paraId="344084E1" w14:textId="77777777" w:rsidR="00990B14" w:rsidRDefault="00000000">
            <w:pPr>
              <w:numPr>
                <w:ilvl w:val="0"/>
                <w:numId w:val="139"/>
              </w:numPr>
              <w:spacing w:before="10" w:after="10"/>
              <w:jc w:val="both"/>
            </w:pPr>
            <w:r>
              <w:rPr>
                <w:sz w:val="18"/>
                <w:szCs w:val="18"/>
              </w:rPr>
              <w:t>Nociones de los requisitos de información de los bancos, los financiadores y las entidades públicas que solicitan procedimientos acordados.</w:t>
            </w:r>
          </w:p>
          <w:p w14:paraId="2A366F66" w14:textId="77777777" w:rsidR="00990B14" w:rsidRDefault="00000000">
            <w:pPr>
              <w:numPr>
                <w:ilvl w:val="0"/>
                <w:numId w:val="139"/>
              </w:numPr>
              <w:spacing w:before="10" w:after="10"/>
              <w:jc w:val="both"/>
            </w:pPr>
            <w:r>
              <w:rPr>
                <w:sz w:val="18"/>
                <w:szCs w:val="18"/>
              </w:rPr>
              <w:t>Nociones de la contratación de servicios profesionales independientes.</w:t>
            </w:r>
          </w:p>
        </w:tc>
      </w:tr>
      <w:tr w:rsidR="00990B14" w14:paraId="7A58BB78" w14:textId="77777777">
        <w:trPr>
          <w:cantSplit/>
          <w:jc w:val="center"/>
        </w:trPr>
        <w:tc>
          <w:tcPr>
            <w:tcW w:w="9405" w:type="dxa"/>
            <w:gridSpan w:val="13"/>
            <w:shd w:val="clear" w:color="auto" w:fill="D9E2F3"/>
            <w:vAlign w:val="center"/>
          </w:tcPr>
          <w:p w14:paraId="47434271" w14:textId="77777777" w:rsidR="00990B14" w:rsidRDefault="00000000">
            <w:pPr>
              <w:spacing w:before="20" w:after="20"/>
              <w:jc w:val="both"/>
            </w:pPr>
            <w:r>
              <w:rPr>
                <w:b/>
                <w:bCs/>
                <w:i/>
                <w:iCs/>
                <w:sz w:val="18"/>
                <w:szCs w:val="18"/>
              </w:rPr>
              <w:t xml:space="preserve">Elemento de competencia 4: </w:t>
            </w:r>
            <w:r>
              <w:rPr>
                <w:sz w:val="18"/>
                <w:szCs w:val="18"/>
              </w:rPr>
              <w:t>Elabora el informe pericial contable de un caso de delito económico y evalúa el programa de prevención de una entidad, aplicando técnicas de investigación contable, la normativa procesal penal y civil boliviana, las Normas de Auditoría de Cumplimiento de la Contraloría General del Estado y la normativa de prevención de legitimación de ganancias ilícitas vigente.</w:t>
            </w:r>
          </w:p>
        </w:tc>
      </w:tr>
      <w:tr w:rsidR="00990B14" w14:paraId="45C84733" w14:textId="77777777">
        <w:trPr>
          <w:cantSplit/>
          <w:jc w:val="center"/>
        </w:trPr>
        <w:tc>
          <w:tcPr>
            <w:tcW w:w="3133" w:type="dxa"/>
            <w:gridSpan w:val="4"/>
            <w:shd w:val="clear" w:color="auto" w:fill="4472C4"/>
            <w:vAlign w:val="center"/>
          </w:tcPr>
          <w:p w14:paraId="391CE34E"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2448F2CA"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1D9705DA" w14:textId="77777777" w:rsidR="00990B14" w:rsidRDefault="00000000">
            <w:pPr>
              <w:keepNext/>
              <w:spacing w:before="20" w:after="20"/>
              <w:jc w:val="center"/>
            </w:pPr>
            <w:r>
              <w:rPr>
                <w:b/>
                <w:bCs/>
                <w:i/>
                <w:iCs/>
                <w:color w:val="FFFFFF"/>
                <w:sz w:val="18"/>
                <w:szCs w:val="18"/>
              </w:rPr>
              <w:t>Evidencias de producto</w:t>
            </w:r>
          </w:p>
        </w:tc>
      </w:tr>
      <w:tr w:rsidR="00990B14" w14:paraId="30B997FC" w14:textId="77777777">
        <w:trPr>
          <w:cantSplit/>
          <w:jc w:val="center"/>
        </w:trPr>
        <w:tc>
          <w:tcPr>
            <w:tcW w:w="3133" w:type="dxa"/>
            <w:gridSpan w:val="4"/>
            <w:vMerge w:val="restart"/>
            <w:shd w:val="clear" w:color="auto" w:fill="D9E2F3"/>
            <w:vAlign w:val="center"/>
          </w:tcPr>
          <w:p w14:paraId="2F60428D" w14:textId="77777777" w:rsidR="00990B14" w:rsidRDefault="00000000">
            <w:pPr>
              <w:spacing w:before="20" w:after="20"/>
              <w:jc w:val="both"/>
            </w:pPr>
            <w:r>
              <w:rPr>
                <w:sz w:val="18"/>
                <w:szCs w:val="18"/>
              </w:rPr>
              <w:t>1. Elabora el informe pericial contable de un caso de delito económico, aplicando técnicas de rastreo de fondos, reconstrucción de registros y cuantificación del daño patrimonial con imparcialidad y rigor probatorio.</w:t>
            </w:r>
          </w:p>
        </w:tc>
        <w:tc>
          <w:tcPr>
            <w:tcW w:w="3135" w:type="dxa"/>
            <w:gridSpan w:val="5"/>
            <w:shd w:val="clear" w:color="auto" w:fill="D9E2F3"/>
            <w:vAlign w:val="center"/>
          </w:tcPr>
          <w:p w14:paraId="1AE5D897" w14:textId="77777777" w:rsidR="00990B14" w:rsidRDefault="00000000">
            <w:pPr>
              <w:spacing w:before="20" w:after="20"/>
              <w:jc w:val="both"/>
            </w:pPr>
            <w:r>
              <w:rPr>
                <w:sz w:val="18"/>
                <w:szCs w:val="18"/>
              </w:rPr>
              <w:t>1.1 Resuelve en aula la cuantificación del daño económico de un caso de malversación o fraude mediante análisis de flujos.</w:t>
            </w:r>
          </w:p>
        </w:tc>
        <w:tc>
          <w:tcPr>
            <w:tcW w:w="3137" w:type="dxa"/>
            <w:gridSpan w:val="4"/>
            <w:shd w:val="clear" w:color="auto" w:fill="D9E2F3"/>
            <w:vAlign w:val="center"/>
          </w:tcPr>
          <w:p w14:paraId="7EB2E9A0" w14:textId="77777777" w:rsidR="00990B14" w:rsidRDefault="00000000">
            <w:pPr>
              <w:spacing w:before="20" w:after="20"/>
              <w:jc w:val="both"/>
            </w:pPr>
            <w:r>
              <w:rPr>
                <w:b/>
                <w:bCs/>
                <w:sz w:val="18"/>
                <w:szCs w:val="18"/>
              </w:rPr>
              <w:t xml:space="preserve">Producto 13: </w:t>
            </w:r>
            <w:r>
              <w:rPr>
                <w:sz w:val="18"/>
                <w:szCs w:val="18"/>
              </w:rPr>
              <w:t>Cédula de cuantificación del daño económico y prueba documental.</w:t>
            </w:r>
          </w:p>
        </w:tc>
      </w:tr>
      <w:tr w:rsidR="00990B14" w14:paraId="05340C65" w14:textId="77777777">
        <w:trPr>
          <w:cantSplit/>
          <w:jc w:val="center"/>
        </w:trPr>
        <w:tc>
          <w:tcPr>
            <w:tcW w:w="3133" w:type="dxa"/>
            <w:gridSpan w:val="4"/>
            <w:vMerge/>
            <w:shd w:val="clear" w:color="auto" w:fill="D9E2F3"/>
            <w:vAlign w:val="center"/>
          </w:tcPr>
          <w:p w14:paraId="5B0877EF" w14:textId="77777777" w:rsidR="00990B14" w:rsidRDefault="00990B14">
            <w:pPr>
              <w:spacing w:before="20" w:after="20"/>
            </w:pPr>
          </w:p>
        </w:tc>
        <w:tc>
          <w:tcPr>
            <w:tcW w:w="3135" w:type="dxa"/>
            <w:gridSpan w:val="5"/>
            <w:shd w:val="clear" w:color="auto" w:fill="D9E2F3"/>
            <w:vAlign w:val="center"/>
          </w:tcPr>
          <w:p w14:paraId="6EEE0069" w14:textId="77777777" w:rsidR="00990B14" w:rsidRDefault="00000000">
            <w:pPr>
              <w:spacing w:before="20" w:after="20"/>
              <w:jc w:val="both"/>
            </w:pPr>
            <w:r>
              <w:rPr>
                <w:sz w:val="18"/>
                <w:szCs w:val="18"/>
              </w:rPr>
              <w:t>1.2 Sustenta en un simulacro de juicio oral (audiencia) las conclusiones técnico-legales del informe pericial.</w:t>
            </w:r>
          </w:p>
        </w:tc>
        <w:tc>
          <w:tcPr>
            <w:tcW w:w="3137" w:type="dxa"/>
            <w:gridSpan w:val="4"/>
            <w:shd w:val="clear" w:color="auto" w:fill="D9E2F3"/>
            <w:vAlign w:val="center"/>
          </w:tcPr>
          <w:p w14:paraId="3B92AE43" w14:textId="77777777" w:rsidR="00990B14" w:rsidRDefault="00000000">
            <w:pPr>
              <w:spacing w:before="20" w:after="20"/>
              <w:jc w:val="both"/>
            </w:pPr>
            <w:r>
              <w:rPr>
                <w:b/>
                <w:bCs/>
                <w:sz w:val="18"/>
                <w:szCs w:val="18"/>
              </w:rPr>
              <w:t xml:space="preserve">Producto 14: </w:t>
            </w:r>
            <w:r>
              <w:rPr>
                <w:sz w:val="18"/>
                <w:szCs w:val="18"/>
              </w:rPr>
              <w:t>Informe pericial contable procesal con sus anexos y cadena de custodia.</w:t>
            </w:r>
          </w:p>
        </w:tc>
      </w:tr>
      <w:tr w:rsidR="00990B14" w14:paraId="3F8B645C" w14:textId="77777777">
        <w:trPr>
          <w:cantSplit/>
          <w:jc w:val="center"/>
        </w:trPr>
        <w:tc>
          <w:tcPr>
            <w:tcW w:w="3133" w:type="dxa"/>
            <w:gridSpan w:val="4"/>
            <w:vMerge w:val="restart"/>
            <w:shd w:val="clear" w:color="auto" w:fill="D9E2F3"/>
            <w:vAlign w:val="center"/>
          </w:tcPr>
          <w:p w14:paraId="38CC402E" w14:textId="77777777" w:rsidR="00990B14" w:rsidRDefault="00000000">
            <w:pPr>
              <w:spacing w:before="20" w:after="20"/>
              <w:jc w:val="both"/>
            </w:pPr>
            <w:r>
              <w:rPr>
                <w:sz w:val="18"/>
                <w:szCs w:val="18"/>
              </w:rPr>
              <w:t>2. Evalúa el programa de prevención de delitos económicos y de legitimación de ganancias ilícitas de una entidad, proponiendo mejoras operativas a sus controles antifraude y de cumplimiento.</w:t>
            </w:r>
          </w:p>
        </w:tc>
        <w:tc>
          <w:tcPr>
            <w:tcW w:w="3135" w:type="dxa"/>
            <w:gridSpan w:val="5"/>
            <w:shd w:val="clear" w:color="auto" w:fill="D9E2F3"/>
            <w:vAlign w:val="center"/>
          </w:tcPr>
          <w:p w14:paraId="0EC6F51D" w14:textId="77777777" w:rsidR="00990B14" w:rsidRDefault="00000000">
            <w:pPr>
              <w:spacing w:before="20" w:after="20"/>
              <w:jc w:val="both"/>
            </w:pPr>
            <w:r>
              <w:rPr>
                <w:sz w:val="18"/>
                <w:szCs w:val="18"/>
              </w:rPr>
              <w:t>2.1 Diseña en equipo la política de ética, compliance y la política antifraude corporativa con su canal de denuncias.</w:t>
            </w:r>
          </w:p>
        </w:tc>
        <w:tc>
          <w:tcPr>
            <w:tcW w:w="3137" w:type="dxa"/>
            <w:gridSpan w:val="4"/>
            <w:shd w:val="clear" w:color="auto" w:fill="D9E2F3"/>
            <w:vAlign w:val="center"/>
          </w:tcPr>
          <w:p w14:paraId="01B60932" w14:textId="77777777" w:rsidR="00990B14" w:rsidRDefault="00000000">
            <w:pPr>
              <w:spacing w:before="20" w:after="20"/>
              <w:jc w:val="both"/>
            </w:pPr>
            <w:r>
              <w:rPr>
                <w:b/>
                <w:bCs/>
                <w:sz w:val="18"/>
                <w:szCs w:val="18"/>
              </w:rPr>
              <w:t xml:space="preserve">Producto 15: </w:t>
            </w:r>
            <w:r>
              <w:rPr>
                <w:sz w:val="18"/>
                <w:szCs w:val="18"/>
              </w:rPr>
              <w:t>Propuesta de política antifraude corporativa con canal de denuncias seguro.</w:t>
            </w:r>
          </w:p>
        </w:tc>
      </w:tr>
      <w:tr w:rsidR="00990B14" w14:paraId="118FDCFE" w14:textId="77777777">
        <w:trPr>
          <w:cantSplit/>
          <w:jc w:val="center"/>
        </w:trPr>
        <w:tc>
          <w:tcPr>
            <w:tcW w:w="3133" w:type="dxa"/>
            <w:gridSpan w:val="4"/>
            <w:vMerge/>
            <w:shd w:val="clear" w:color="auto" w:fill="D9E2F3"/>
            <w:vAlign w:val="center"/>
          </w:tcPr>
          <w:p w14:paraId="6195E2CE" w14:textId="77777777" w:rsidR="00990B14" w:rsidRDefault="00990B14">
            <w:pPr>
              <w:spacing w:before="20" w:after="20"/>
            </w:pPr>
          </w:p>
        </w:tc>
        <w:tc>
          <w:tcPr>
            <w:tcW w:w="3135" w:type="dxa"/>
            <w:gridSpan w:val="5"/>
            <w:shd w:val="clear" w:color="auto" w:fill="D9E2F3"/>
            <w:vAlign w:val="center"/>
          </w:tcPr>
          <w:p w14:paraId="4E2AF152" w14:textId="77777777" w:rsidR="00990B14" w:rsidRDefault="00000000">
            <w:pPr>
              <w:spacing w:before="20" w:after="20"/>
              <w:jc w:val="both"/>
            </w:pPr>
            <w:r>
              <w:rPr>
                <w:sz w:val="18"/>
                <w:szCs w:val="18"/>
              </w:rPr>
              <w:t>2.2 Evalúa en aula la eficacia del programa de cumplimiento de una entidad sujeta a la Unidad de Investigaciones Financieras (UIF).</w:t>
            </w:r>
          </w:p>
        </w:tc>
        <w:tc>
          <w:tcPr>
            <w:tcW w:w="3137" w:type="dxa"/>
            <w:gridSpan w:val="4"/>
            <w:shd w:val="clear" w:color="auto" w:fill="D9E2F3"/>
            <w:vAlign w:val="center"/>
          </w:tcPr>
          <w:p w14:paraId="6078B3A0" w14:textId="77777777" w:rsidR="00990B14" w:rsidRDefault="00000000">
            <w:pPr>
              <w:spacing w:before="20" w:after="20"/>
              <w:jc w:val="both"/>
            </w:pPr>
            <w:r>
              <w:rPr>
                <w:b/>
                <w:bCs/>
                <w:sz w:val="18"/>
                <w:szCs w:val="18"/>
              </w:rPr>
              <w:t xml:space="preserve">Producto 16: </w:t>
            </w:r>
            <w:r>
              <w:rPr>
                <w:sz w:val="18"/>
                <w:szCs w:val="18"/>
              </w:rPr>
              <w:t>Informe de evaluación del programa de prevención (UIF/ASFI) con recomendaciones.</w:t>
            </w:r>
          </w:p>
        </w:tc>
      </w:tr>
      <w:tr w:rsidR="00990B14" w14:paraId="2725FEDB" w14:textId="77777777">
        <w:trPr>
          <w:cantSplit/>
          <w:jc w:val="center"/>
        </w:trPr>
        <w:tc>
          <w:tcPr>
            <w:tcW w:w="9405" w:type="dxa"/>
            <w:gridSpan w:val="13"/>
            <w:shd w:val="clear" w:color="auto" w:fill="4472C4"/>
            <w:vAlign w:val="center"/>
          </w:tcPr>
          <w:p w14:paraId="571DA3E9" w14:textId="77777777" w:rsidR="00990B14" w:rsidRDefault="00000000">
            <w:pPr>
              <w:keepNext/>
              <w:spacing w:before="20" w:after="20"/>
              <w:jc w:val="center"/>
            </w:pPr>
            <w:r>
              <w:rPr>
                <w:b/>
                <w:bCs/>
                <w:i/>
                <w:iCs/>
                <w:color w:val="FFFFFF"/>
                <w:sz w:val="18"/>
                <w:szCs w:val="18"/>
              </w:rPr>
              <w:t>Evidencias de conocimiento</w:t>
            </w:r>
          </w:p>
        </w:tc>
      </w:tr>
      <w:tr w:rsidR="00990B14" w14:paraId="01036D87" w14:textId="77777777">
        <w:trPr>
          <w:cantSplit/>
          <w:jc w:val="center"/>
        </w:trPr>
        <w:tc>
          <w:tcPr>
            <w:tcW w:w="2349" w:type="dxa"/>
            <w:gridSpan w:val="2"/>
            <w:shd w:val="clear" w:color="auto" w:fill="4472C4"/>
            <w:vAlign w:val="center"/>
          </w:tcPr>
          <w:p w14:paraId="77AEEFE5"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0D362A51" w14:textId="77777777" w:rsidR="00990B14" w:rsidRDefault="00000000">
            <w:pPr>
              <w:keepNext/>
              <w:spacing w:before="20" w:after="20"/>
              <w:jc w:val="both"/>
            </w:pPr>
            <w:r>
              <w:rPr>
                <w:b/>
                <w:bCs/>
                <w:i/>
                <w:iCs/>
                <w:color w:val="FFFFFF"/>
                <w:sz w:val="18"/>
                <w:szCs w:val="18"/>
              </w:rPr>
              <w:t>Contenidos</w:t>
            </w:r>
          </w:p>
          <w:p w14:paraId="72021E4B"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56511E47" w14:textId="77777777" w:rsidR="00990B14" w:rsidRDefault="00000000">
            <w:pPr>
              <w:keepNext/>
              <w:spacing w:before="20" w:after="20"/>
              <w:jc w:val="center"/>
            </w:pPr>
            <w:r>
              <w:rPr>
                <w:b/>
                <w:bCs/>
                <w:i/>
                <w:iCs/>
                <w:color w:val="FFFFFF"/>
                <w:sz w:val="18"/>
                <w:szCs w:val="18"/>
              </w:rPr>
              <w:t>Conocimientos circunstanciales</w:t>
            </w:r>
          </w:p>
        </w:tc>
      </w:tr>
      <w:tr w:rsidR="00990B14" w14:paraId="6EBE0E55" w14:textId="77777777">
        <w:trPr>
          <w:jc w:val="center"/>
        </w:trPr>
        <w:tc>
          <w:tcPr>
            <w:tcW w:w="2349" w:type="dxa"/>
            <w:gridSpan w:val="2"/>
            <w:shd w:val="clear" w:color="auto" w:fill="D9E2F3"/>
          </w:tcPr>
          <w:p w14:paraId="7B8D7E73" w14:textId="77777777" w:rsidR="00990B14" w:rsidRDefault="00000000">
            <w:pPr>
              <w:spacing w:before="20" w:after="40"/>
              <w:jc w:val="both"/>
            </w:pPr>
            <w:r>
              <w:rPr>
                <w:sz w:val="18"/>
                <w:szCs w:val="18"/>
              </w:rPr>
              <w:t>Tema 17: Peritaje contable</w:t>
            </w:r>
          </w:p>
          <w:p w14:paraId="7E38FAA2" w14:textId="77777777" w:rsidR="00990B14" w:rsidRDefault="00000000">
            <w:pPr>
              <w:spacing w:before="20" w:after="40"/>
              <w:jc w:val="both"/>
            </w:pPr>
            <w:r>
              <w:rPr>
                <w:sz w:val="18"/>
                <w:szCs w:val="18"/>
              </w:rPr>
              <w:t>Tema 18: Prevención de delitos económicos y cumplimiento</w:t>
            </w:r>
          </w:p>
        </w:tc>
        <w:tc>
          <w:tcPr>
            <w:tcW w:w="4304" w:type="dxa"/>
            <w:gridSpan w:val="8"/>
            <w:shd w:val="clear" w:color="auto" w:fill="D9E2F3"/>
          </w:tcPr>
          <w:p w14:paraId="6AF42424" w14:textId="77777777" w:rsidR="00990B14" w:rsidRDefault="00000000">
            <w:pPr>
              <w:spacing w:after="40"/>
              <w:jc w:val="both"/>
            </w:pPr>
            <w:r>
              <w:rPr>
                <w:sz w:val="18"/>
                <w:szCs w:val="18"/>
              </w:rPr>
              <w:t>El perito contable: requisitos, designación, excusa y recusación conforme al Código Procesal Civil y al Código de Procedimiento Penal. (P)</w:t>
            </w:r>
          </w:p>
          <w:p w14:paraId="331B6CB2" w14:textId="77777777" w:rsidR="00990B14" w:rsidRDefault="00000000">
            <w:pPr>
              <w:spacing w:after="40"/>
              <w:jc w:val="both"/>
            </w:pPr>
            <w:r>
              <w:rPr>
                <w:sz w:val="18"/>
                <w:szCs w:val="18"/>
              </w:rPr>
              <w:t>Planificación del peritaje: puntos de pericia, alcance, fuentes de información y cronograma. (C, P)</w:t>
            </w:r>
          </w:p>
          <w:p w14:paraId="3E25A6A1" w14:textId="77777777" w:rsidR="00990B14" w:rsidRDefault="00000000">
            <w:pPr>
              <w:spacing w:after="40"/>
              <w:jc w:val="both"/>
            </w:pPr>
            <w:r>
              <w:rPr>
                <w:sz w:val="18"/>
                <w:szCs w:val="18"/>
              </w:rPr>
              <w:t>Técnicas de investigación contable: rastreo de fondos y de activos, reconstrucción de registros, análisis de flujos financieros y cuantificación del daño económico. (P)</w:t>
            </w:r>
          </w:p>
          <w:p w14:paraId="457650A5" w14:textId="77777777" w:rsidR="00990B14" w:rsidRDefault="00000000">
            <w:pPr>
              <w:spacing w:after="40"/>
              <w:jc w:val="both"/>
            </w:pPr>
            <w:r>
              <w:rPr>
                <w:sz w:val="18"/>
                <w:szCs w:val="18"/>
              </w:rPr>
              <w:t>Delitos económicos y tributarios: malversación, enriquecimiento ilícito, contrabando y defraudación tributaria; hechos que debe acreditar la pericia. (C)</w:t>
            </w:r>
          </w:p>
          <w:p w14:paraId="6700A1D5" w14:textId="77777777" w:rsidR="00990B14" w:rsidRDefault="00000000">
            <w:pPr>
              <w:spacing w:after="40"/>
              <w:jc w:val="both"/>
            </w:pPr>
            <w:r>
              <w:rPr>
                <w:sz w:val="18"/>
                <w:szCs w:val="18"/>
              </w:rPr>
              <w:t>Informe pericial: estructura, conclusiones, anexos y sustentación oral ante la autoridad judicial o fiscal. (C)</w:t>
            </w:r>
          </w:p>
          <w:p w14:paraId="1E4D44B1" w14:textId="77777777" w:rsidR="00990B14" w:rsidRDefault="00000000">
            <w:pPr>
              <w:spacing w:after="40"/>
              <w:jc w:val="both"/>
            </w:pPr>
            <w:r>
              <w:rPr>
                <w:sz w:val="18"/>
                <w:szCs w:val="18"/>
              </w:rPr>
              <w:t>Imparcialidad, confidencialidad y responsabilidad del perito contable. (C, A)</w:t>
            </w:r>
          </w:p>
          <w:p w14:paraId="15510BC0" w14:textId="77777777" w:rsidR="00990B14" w:rsidRDefault="00000000">
            <w:pPr>
              <w:spacing w:after="40"/>
              <w:jc w:val="both"/>
            </w:pPr>
            <w:r>
              <w:rPr>
                <w:sz w:val="18"/>
                <w:szCs w:val="18"/>
              </w:rPr>
              <w:t>Programas de cumplimiento y de prevención del fraude: código de ética corporativa, canal de denuncias y controles antifraude. (C, A)</w:t>
            </w:r>
          </w:p>
          <w:p w14:paraId="613C893C" w14:textId="77777777" w:rsidR="00990B14" w:rsidRDefault="00000000">
            <w:pPr>
              <w:spacing w:after="40"/>
              <w:jc w:val="both"/>
            </w:pPr>
            <w:r>
              <w:rPr>
                <w:sz w:val="18"/>
                <w:szCs w:val="18"/>
              </w:rPr>
              <w:t>Sistema de prevención de legitimación de ganancias ilícitas y financiamiento del terrorismo: debida diligencia, reporte de operaciones sospechosas a la Unidad de Investigaciones Financieras y función del oficial de cumplimiento. (C)</w:t>
            </w:r>
          </w:p>
          <w:p w14:paraId="6A699D62" w14:textId="77777777" w:rsidR="00990B14" w:rsidRDefault="00000000">
            <w:pPr>
              <w:spacing w:after="40"/>
              <w:jc w:val="both"/>
            </w:pPr>
            <w:r>
              <w:rPr>
                <w:sz w:val="18"/>
                <w:szCs w:val="18"/>
              </w:rPr>
              <w:t>Evaluación de la eficacia de un programa de prevención de delitos económicos en una entidad. (P)</w:t>
            </w:r>
          </w:p>
        </w:tc>
        <w:tc>
          <w:tcPr>
            <w:tcW w:w="2752" w:type="dxa"/>
            <w:gridSpan w:val="3"/>
            <w:shd w:val="clear" w:color="auto" w:fill="D9E2F3"/>
          </w:tcPr>
          <w:p w14:paraId="70C7A997" w14:textId="77777777" w:rsidR="00990B14" w:rsidRDefault="00000000">
            <w:pPr>
              <w:numPr>
                <w:ilvl w:val="0"/>
                <w:numId w:val="139"/>
              </w:numPr>
              <w:spacing w:before="10" w:after="10"/>
              <w:jc w:val="both"/>
            </w:pPr>
            <w:r>
              <w:rPr>
                <w:sz w:val="18"/>
                <w:szCs w:val="18"/>
              </w:rPr>
              <w:t>Nociones de derecho procesal sobre la prueba pericial.</w:t>
            </w:r>
          </w:p>
          <w:p w14:paraId="36C202C3" w14:textId="77777777" w:rsidR="00990B14" w:rsidRDefault="00000000">
            <w:pPr>
              <w:numPr>
                <w:ilvl w:val="0"/>
                <w:numId w:val="139"/>
              </w:numPr>
              <w:spacing w:before="10" w:after="10"/>
              <w:jc w:val="both"/>
            </w:pPr>
            <w:r>
              <w:rPr>
                <w:sz w:val="18"/>
                <w:szCs w:val="18"/>
              </w:rPr>
              <w:t>Técnicas de oratoria y de argumentación ante la autoridad judicial.</w:t>
            </w:r>
          </w:p>
          <w:p w14:paraId="4BF0C4E3" w14:textId="77777777" w:rsidR="00990B14" w:rsidRDefault="00000000">
            <w:pPr>
              <w:numPr>
                <w:ilvl w:val="0"/>
                <w:numId w:val="139"/>
              </w:numPr>
              <w:spacing w:before="10" w:after="10"/>
              <w:jc w:val="both"/>
            </w:pPr>
            <w:r>
              <w:rPr>
                <w:sz w:val="18"/>
                <w:szCs w:val="18"/>
              </w:rPr>
              <w:t>Nociones de documentoscopía y de la autenticidad de los documentos contables.</w:t>
            </w:r>
          </w:p>
        </w:tc>
      </w:tr>
    </w:tbl>
    <w:p w14:paraId="0C38B2DE"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805"/>
        <w:gridCol w:w="1910"/>
        <w:gridCol w:w="1910"/>
        <w:gridCol w:w="1899"/>
        <w:gridCol w:w="1881"/>
      </w:tblGrid>
      <w:tr w:rsidR="00990B14" w14:paraId="0DB0CC40" w14:textId="77777777">
        <w:trPr>
          <w:cantSplit/>
          <w:jc w:val="center"/>
        </w:trPr>
        <w:tc>
          <w:tcPr>
            <w:tcW w:w="9405" w:type="dxa"/>
            <w:gridSpan w:val="5"/>
            <w:shd w:val="clear" w:color="auto" w:fill="4472C4"/>
            <w:vAlign w:val="center"/>
          </w:tcPr>
          <w:p w14:paraId="763295FC" w14:textId="77777777" w:rsidR="00990B14" w:rsidRDefault="00000000">
            <w:pPr>
              <w:keepNext/>
              <w:spacing w:before="20" w:after="20"/>
              <w:jc w:val="center"/>
            </w:pPr>
            <w:r>
              <w:rPr>
                <w:b/>
                <w:bCs/>
                <w:i/>
                <w:iCs/>
                <w:color w:val="FFFFFF"/>
                <w:sz w:val="18"/>
                <w:szCs w:val="18"/>
              </w:rPr>
              <w:t>Actividades</w:t>
            </w:r>
          </w:p>
        </w:tc>
      </w:tr>
      <w:tr w:rsidR="00990B14" w14:paraId="5C33EC90" w14:textId="77777777">
        <w:trPr>
          <w:cantSplit/>
          <w:jc w:val="center"/>
        </w:trPr>
        <w:tc>
          <w:tcPr>
            <w:tcW w:w="1805" w:type="dxa"/>
            <w:shd w:val="clear" w:color="auto" w:fill="4472C4"/>
            <w:vAlign w:val="center"/>
          </w:tcPr>
          <w:p w14:paraId="529875B6" w14:textId="77777777" w:rsidR="00990B14" w:rsidRDefault="00000000">
            <w:pPr>
              <w:keepNext/>
              <w:spacing w:before="20" w:after="20"/>
              <w:jc w:val="center"/>
            </w:pPr>
            <w:r>
              <w:rPr>
                <w:b/>
                <w:bCs/>
                <w:i/>
                <w:iCs/>
                <w:color w:val="FFFFFF"/>
                <w:sz w:val="18"/>
                <w:szCs w:val="18"/>
              </w:rPr>
              <w:t>En clase</w:t>
            </w:r>
          </w:p>
        </w:tc>
        <w:tc>
          <w:tcPr>
            <w:tcW w:w="1910" w:type="dxa"/>
            <w:shd w:val="clear" w:color="auto" w:fill="4472C4"/>
            <w:vAlign w:val="center"/>
          </w:tcPr>
          <w:p w14:paraId="3DE8A561" w14:textId="77777777" w:rsidR="00990B14" w:rsidRDefault="00000000">
            <w:pPr>
              <w:keepNext/>
              <w:spacing w:before="20" w:after="20"/>
              <w:jc w:val="center"/>
            </w:pPr>
            <w:r>
              <w:rPr>
                <w:b/>
                <w:bCs/>
                <w:i/>
                <w:iCs/>
                <w:color w:val="FFFFFF"/>
                <w:sz w:val="18"/>
                <w:szCs w:val="18"/>
              </w:rPr>
              <w:t>Autónomas</w:t>
            </w:r>
          </w:p>
        </w:tc>
        <w:tc>
          <w:tcPr>
            <w:tcW w:w="1910" w:type="dxa"/>
            <w:shd w:val="clear" w:color="auto" w:fill="4472C4"/>
            <w:vAlign w:val="center"/>
          </w:tcPr>
          <w:p w14:paraId="211D410C" w14:textId="77777777" w:rsidR="00990B14" w:rsidRDefault="00000000">
            <w:pPr>
              <w:keepNext/>
              <w:spacing w:before="20" w:after="20"/>
              <w:jc w:val="center"/>
            </w:pPr>
            <w:r>
              <w:rPr>
                <w:b/>
                <w:bCs/>
                <w:i/>
                <w:iCs/>
                <w:color w:val="FFFFFF"/>
                <w:sz w:val="18"/>
                <w:szCs w:val="18"/>
              </w:rPr>
              <w:t>B-Learning</w:t>
            </w:r>
          </w:p>
        </w:tc>
        <w:tc>
          <w:tcPr>
            <w:tcW w:w="1899" w:type="dxa"/>
            <w:shd w:val="clear" w:color="auto" w:fill="4472C4"/>
            <w:vAlign w:val="center"/>
          </w:tcPr>
          <w:p w14:paraId="7A5535C8" w14:textId="77777777" w:rsidR="00990B14" w:rsidRDefault="00000000">
            <w:pPr>
              <w:keepNext/>
              <w:spacing w:before="20" w:after="20"/>
              <w:jc w:val="center"/>
            </w:pPr>
            <w:r>
              <w:rPr>
                <w:b/>
                <w:bCs/>
                <w:i/>
                <w:iCs/>
                <w:color w:val="FFFFFF"/>
                <w:sz w:val="18"/>
                <w:szCs w:val="18"/>
              </w:rPr>
              <w:t>Taller</w:t>
            </w:r>
          </w:p>
        </w:tc>
        <w:tc>
          <w:tcPr>
            <w:tcW w:w="1881" w:type="dxa"/>
            <w:shd w:val="clear" w:color="auto" w:fill="4472C4"/>
            <w:vAlign w:val="center"/>
          </w:tcPr>
          <w:p w14:paraId="31FD445A" w14:textId="77777777" w:rsidR="00990B14" w:rsidRDefault="00000000">
            <w:pPr>
              <w:keepNext/>
              <w:spacing w:before="20" w:after="20"/>
              <w:jc w:val="center"/>
            </w:pPr>
            <w:r>
              <w:rPr>
                <w:b/>
                <w:bCs/>
                <w:i/>
                <w:iCs/>
                <w:color w:val="FFFFFF"/>
                <w:sz w:val="18"/>
                <w:szCs w:val="18"/>
              </w:rPr>
              <w:t>Investigación/Práctica</w:t>
            </w:r>
          </w:p>
        </w:tc>
      </w:tr>
      <w:tr w:rsidR="00990B14" w14:paraId="18B5A7E4" w14:textId="77777777">
        <w:trPr>
          <w:jc w:val="center"/>
        </w:trPr>
        <w:tc>
          <w:tcPr>
            <w:tcW w:w="1805" w:type="dxa"/>
            <w:shd w:val="clear" w:color="auto" w:fill="D9E2F3"/>
          </w:tcPr>
          <w:p w14:paraId="4F072F2C" w14:textId="77777777" w:rsidR="00990B14" w:rsidRDefault="00000000">
            <w:pPr>
              <w:numPr>
                <w:ilvl w:val="0"/>
                <w:numId w:val="139"/>
              </w:numPr>
              <w:spacing w:before="10" w:after="10"/>
              <w:jc w:val="both"/>
            </w:pPr>
            <w:r>
              <w:rPr>
                <w:sz w:val="18"/>
                <w:szCs w:val="18"/>
              </w:rPr>
              <w:t>Analiza casos guiados de fraude y discute señales de alerta (red flags).</w:t>
            </w:r>
          </w:p>
          <w:p w14:paraId="61A9832C" w14:textId="77777777" w:rsidR="00990B14" w:rsidRDefault="00000000">
            <w:pPr>
              <w:numPr>
                <w:ilvl w:val="0"/>
                <w:numId w:val="139"/>
              </w:numPr>
              <w:spacing w:before="10" w:after="10"/>
              <w:jc w:val="both"/>
            </w:pPr>
            <w:r>
              <w:rPr>
                <w:sz w:val="18"/>
                <w:szCs w:val="18"/>
              </w:rPr>
              <w:t>Resuelve ejercicios de pruebas sustantivas y evaluación de controles.</w:t>
            </w:r>
          </w:p>
          <w:p w14:paraId="3F1A272B" w14:textId="77777777" w:rsidR="00990B14" w:rsidRDefault="00000000">
            <w:pPr>
              <w:numPr>
                <w:ilvl w:val="0"/>
                <w:numId w:val="139"/>
              </w:numPr>
              <w:spacing w:before="10" w:after="10"/>
              <w:jc w:val="both"/>
            </w:pPr>
            <w:r>
              <w:rPr>
                <w:sz w:val="18"/>
                <w:szCs w:val="18"/>
              </w:rPr>
              <w:t>Simula entrevistas e interrogatorios estructurados.</w:t>
            </w:r>
          </w:p>
          <w:p w14:paraId="695D83F2" w14:textId="77777777" w:rsidR="00990B14" w:rsidRDefault="00000000">
            <w:pPr>
              <w:numPr>
                <w:ilvl w:val="0"/>
                <w:numId w:val="139"/>
              </w:numPr>
              <w:spacing w:before="10" w:after="10"/>
              <w:jc w:val="both"/>
            </w:pPr>
            <w:r>
              <w:rPr>
                <w:sz w:val="18"/>
                <w:szCs w:val="18"/>
              </w:rPr>
              <w:t>Debates sobre ética, independencia y secretos legales.</w:t>
            </w:r>
          </w:p>
        </w:tc>
        <w:tc>
          <w:tcPr>
            <w:tcW w:w="1910" w:type="dxa"/>
            <w:shd w:val="clear" w:color="auto" w:fill="D9E2F3"/>
          </w:tcPr>
          <w:p w14:paraId="439BC743" w14:textId="77777777" w:rsidR="00990B14" w:rsidRDefault="00000000">
            <w:pPr>
              <w:numPr>
                <w:ilvl w:val="0"/>
                <w:numId w:val="139"/>
              </w:numPr>
              <w:spacing w:before="10" w:after="10"/>
              <w:jc w:val="both"/>
            </w:pPr>
            <w:r>
              <w:rPr>
                <w:sz w:val="18"/>
                <w:szCs w:val="18"/>
              </w:rPr>
              <w:t>Desarrolla lecturas críticas de normas (NIA 3000, ISO 37001, CGE) y leyes bolivianas.</w:t>
            </w:r>
          </w:p>
          <w:p w14:paraId="4A3821D7" w14:textId="77777777" w:rsidR="00990B14" w:rsidRDefault="00000000">
            <w:pPr>
              <w:numPr>
                <w:ilvl w:val="0"/>
                <w:numId w:val="139"/>
              </w:numPr>
              <w:spacing w:before="10" w:after="10"/>
              <w:jc w:val="both"/>
            </w:pPr>
            <w:r>
              <w:rPr>
                <w:sz w:val="18"/>
                <w:szCs w:val="18"/>
              </w:rPr>
              <w:t>Construye mapas conceptuales y esquemas de flujos transaccionales.</w:t>
            </w:r>
          </w:p>
          <w:p w14:paraId="66772067" w14:textId="77777777" w:rsidR="00990B14" w:rsidRDefault="00000000">
            <w:pPr>
              <w:numPr>
                <w:ilvl w:val="0"/>
                <w:numId w:val="139"/>
              </w:numPr>
              <w:spacing w:before="10" w:after="10"/>
              <w:jc w:val="both"/>
            </w:pPr>
            <w:r>
              <w:rPr>
                <w:sz w:val="18"/>
                <w:szCs w:val="18"/>
              </w:rPr>
              <w:t>Resuelve cuestionarios de autoevaluación analítica.</w:t>
            </w:r>
          </w:p>
        </w:tc>
        <w:tc>
          <w:tcPr>
            <w:tcW w:w="1910" w:type="dxa"/>
            <w:shd w:val="clear" w:color="auto" w:fill="D9E2F3"/>
          </w:tcPr>
          <w:p w14:paraId="0322ED75" w14:textId="77777777" w:rsidR="00990B14" w:rsidRDefault="00000000">
            <w:pPr>
              <w:numPr>
                <w:ilvl w:val="0"/>
                <w:numId w:val="139"/>
              </w:numPr>
              <w:spacing w:before="10" w:after="10"/>
              <w:jc w:val="both"/>
            </w:pPr>
            <w:r>
              <w:rPr>
                <w:sz w:val="18"/>
                <w:szCs w:val="18"/>
              </w:rPr>
              <w:t>Participa en foros de debate y cuestionarios interactivos en Moodle UMSA.</w:t>
            </w:r>
          </w:p>
          <w:p w14:paraId="6DFC5367" w14:textId="77777777" w:rsidR="00990B14" w:rsidRDefault="00000000">
            <w:pPr>
              <w:numPr>
                <w:ilvl w:val="0"/>
                <w:numId w:val="139"/>
              </w:numPr>
              <w:spacing w:before="10" w:after="10"/>
              <w:jc w:val="both"/>
            </w:pPr>
            <w:r>
              <w:rPr>
                <w:sz w:val="18"/>
                <w:szCs w:val="18"/>
              </w:rPr>
              <w:t>Utiliza hojas de cálculo y archivos simulados para ejercicios analíticos de datos transaccionales.</w:t>
            </w:r>
          </w:p>
        </w:tc>
        <w:tc>
          <w:tcPr>
            <w:tcW w:w="1899" w:type="dxa"/>
            <w:shd w:val="clear" w:color="auto" w:fill="D9E2F3"/>
          </w:tcPr>
          <w:p w14:paraId="04189594" w14:textId="77777777" w:rsidR="00990B14" w:rsidRDefault="00000000">
            <w:pPr>
              <w:numPr>
                <w:ilvl w:val="0"/>
                <w:numId w:val="139"/>
              </w:numPr>
              <w:spacing w:before="10" w:after="10"/>
              <w:jc w:val="both"/>
            </w:pPr>
            <w:r>
              <w:rPr>
                <w:sz w:val="18"/>
                <w:szCs w:val="18"/>
              </w:rPr>
              <w:t>Planifica auditorías forenses y construye matrices de riesgo.</w:t>
            </w:r>
          </w:p>
          <w:p w14:paraId="3E2EFC3F" w14:textId="77777777" w:rsidR="00990B14" w:rsidRDefault="00000000">
            <w:pPr>
              <w:numPr>
                <w:ilvl w:val="0"/>
                <w:numId w:val="139"/>
              </w:numPr>
              <w:spacing w:before="10" w:after="10"/>
              <w:jc w:val="both"/>
            </w:pPr>
            <w:r>
              <w:rPr>
                <w:sz w:val="18"/>
                <w:szCs w:val="18"/>
              </w:rPr>
              <w:t>Ejecuta talleres de análisis de datos y resguardo de evidencia (ACL/IDEA/Excel).</w:t>
            </w:r>
          </w:p>
          <w:p w14:paraId="2B8FE08B" w14:textId="77777777" w:rsidR="00990B14" w:rsidRDefault="00000000">
            <w:pPr>
              <w:numPr>
                <w:ilvl w:val="0"/>
                <w:numId w:val="139"/>
              </w:numPr>
              <w:spacing w:before="10" w:after="10"/>
              <w:jc w:val="both"/>
            </w:pPr>
            <w:r>
              <w:rPr>
                <w:sz w:val="18"/>
                <w:szCs w:val="18"/>
              </w:rPr>
              <w:t>Redacta informes periciales, informes bajo NIA 3000 y NISR 4400.</w:t>
            </w:r>
          </w:p>
        </w:tc>
        <w:tc>
          <w:tcPr>
            <w:tcW w:w="1881" w:type="dxa"/>
            <w:shd w:val="clear" w:color="auto" w:fill="D9E2F3"/>
          </w:tcPr>
          <w:p w14:paraId="49A5FE4D" w14:textId="77777777" w:rsidR="00990B14" w:rsidRDefault="00000000">
            <w:pPr>
              <w:numPr>
                <w:ilvl w:val="0"/>
                <w:numId w:val="139"/>
              </w:numPr>
              <w:spacing w:before="10" w:after="10"/>
              <w:jc w:val="both"/>
            </w:pPr>
            <w:r>
              <w:rPr>
                <w:sz w:val="18"/>
                <w:szCs w:val="18"/>
              </w:rPr>
              <w:t>Ejecuta investigación aplicada sobre Normas de Auditoría de Cumplimiento de la CGE y legislación penal/civil.</w:t>
            </w:r>
          </w:p>
          <w:p w14:paraId="0019A698" w14:textId="77777777" w:rsidR="00990B14" w:rsidRDefault="00000000">
            <w:pPr>
              <w:numPr>
                <w:ilvl w:val="0"/>
                <w:numId w:val="139"/>
              </w:numPr>
              <w:spacing w:before="10" w:after="10"/>
              <w:jc w:val="both"/>
            </w:pPr>
            <w:r>
              <w:rPr>
                <w:sz w:val="18"/>
                <w:szCs w:val="18"/>
              </w:rPr>
              <w:t>Desarrolla casos integradores en equipo, preparando dossiers probatorios.</w:t>
            </w:r>
          </w:p>
          <w:p w14:paraId="7318C7CB" w14:textId="77777777" w:rsidR="00990B14" w:rsidRDefault="00000000">
            <w:pPr>
              <w:numPr>
                <w:ilvl w:val="0"/>
                <w:numId w:val="139"/>
              </w:numPr>
              <w:spacing w:before="10" w:after="10"/>
              <w:jc w:val="both"/>
            </w:pPr>
            <w:r>
              <w:rPr>
                <w:sz w:val="18"/>
                <w:szCs w:val="18"/>
              </w:rPr>
              <w:t>Realiza la defensa oral en simulacros de juicio oral.</w:t>
            </w:r>
          </w:p>
        </w:tc>
      </w:tr>
    </w:tbl>
    <w:p w14:paraId="0BF6A1BC"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490"/>
        <w:gridCol w:w="2015"/>
        <w:gridCol w:w="2120"/>
        <w:gridCol w:w="1903"/>
        <w:gridCol w:w="1877"/>
      </w:tblGrid>
      <w:tr w:rsidR="00990B14" w14:paraId="60688337" w14:textId="77777777">
        <w:trPr>
          <w:jc w:val="center"/>
        </w:trPr>
        <w:tc>
          <w:tcPr>
            <w:tcW w:w="1490" w:type="dxa"/>
            <w:shd w:val="clear" w:color="auto" w:fill="4472C4"/>
            <w:vAlign w:val="center"/>
          </w:tcPr>
          <w:p w14:paraId="0FA75CDA" w14:textId="77777777" w:rsidR="00990B14" w:rsidRDefault="00000000">
            <w:pPr>
              <w:spacing w:before="20" w:after="20"/>
              <w:jc w:val="center"/>
            </w:pPr>
            <w:r>
              <w:rPr>
                <w:b/>
                <w:bCs/>
                <w:i/>
                <w:iCs/>
                <w:color w:val="FFFFFF"/>
                <w:sz w:val="18"/>
                <w:szCs w:val="18"/>
              </w:rPr>
              <w:t>Estrategias de aprendizaje y enseñanza</w:t>
            </w:r>
          </w:p>
        </w:tc>
        <w:tc>
          <w:tcPr>
            <w:tcW w:w="7915" w:type="dxa"/>
            <w:gridSpan w:val="4"/>
            <w:shd w:val="clear" w:color="auto" w:fill="D9E2F3"/>
            <w:vAlign w:val="center"/>
          </w:tcPr>
          <w:p w14:paraId="22A1C979" w14:textId="77777777" w:rsidR="00990B14" w:rsidRDefault="00000000">
            <w:pPr>
              <w:numPr>
                <w:ilvl w:val="0"/>
                <w:numId w:val="140"/>
              </w:numPr>
              <w:spacing w:before="10" w:after="10"/>
              <w:jc w:val="both"/>
            </w:pPr>
            <w:r>
              <w:rPr>
                <w:sz w:val="18"/>
                <w:szCs w:val="18"/>
              </w:rPr>
              <w:t>Aplica el aprendizaje basado en problemas y casos (ABP)</w:t>
            </w:r>
          </w:p>
          <w:p w14:paraId="33BAFC3A" w14:textId="77777777" w:rsidR="00990B14" w:rsidRDefault="00000000">
            <w:pPr>
              <w:numPr>
                <w:ilvl w:val="0"/>
                <w:numId w:val="140"/>
              </w:numPr>
              <w:spacing w:before="10" w:after="10"/>
              <w:jc w:val="both"/>
            </w:pPr>
            <w:r>
              <w:rPr>
                <w:sz w:val="18"/>
                <w:szCs w:val="18"/>
              </w:rPr>
              <w:t>Promueve proyectos integradores y simulaciones de litigio en estrados judiciales.</w:t>
            </w:r>
          </w:p>
          <w:p w14:paraId="276B0BAC" w14:textId="77777777" w:rsidR="00990B14" w:rsidRDefault="00000000">
            <w:pPr>
              <w:numPr>
                <w:ilvl w:val="0"/>
                <w:numId w:val="140"/>
              </w:numPr>
              <w:spacing w:before="10" w:after="10"/>
              <w:jc w:val="both"/>
            </w:pPr>
            <w:r>
              <w:rPr>
                <w:sz w:val="18"/>
                <w:szCs w:val="18"/>
              </w:rPr>
              <w:t>Utiliza el trabajo colaborativo con roles definidos, el aula invertida, el debate socrático y la retroalimentación formativa.</w:t>
            </w:r>
          </w:p>
          <w:p w14:paraId="50AB8DB7" w14:textId="77777777" w:rsidR="00990B14" w:rsidRDefault="00000000">
            <w:pPr>
              <w:numPr>
                <w:ilvl w:val="0"/>
                <w:numId w:val="140"/>
              </w:numPr>
              <w:spacing w:before="10" w:after="10"/>
              <w:jc w:val="both"/>
            </w:pPr>
            <w:r>
              <w:rPr>
                <w:sz w:val="18"/>
                <w:szCs w:val="18"/>
              </w:rPr>
              <w:t>Fomenta el pensamiento crítico, el escepticismo profesional, la objetividad ética y el debido proceso.</w:t>
            </w:r>
          </w:p>
        </w:tc>
      </w:tr>
      <w:tr w:rsidR="00990B14" w14:paraId="6C1BA30D" w14:textId="77777777">
        <w:trPr>
          <w:jc w:val="center"/>
        </w:trPr>
        <w:tc>
          <w:tcPr>
            <w:tcW w:w="1490" w:type="dxa"/>
            <w:shd w:val="clear" w:color="auto" w:fill="4472C4"/>
            <w:vAlign w:val="center"/>
          </w:tcPr>
          <w:p w14:paraId="247EB7BD" w14:textId="77777777" w:rsidR="00990B14" w:rsidRDefault="00000000">
            <w:pPr>
              <w:spacing w:before="20" w:after="20"/>
              <w:jc w:val="center"/>
            </w:pPr>
            <w:r>
              <w:rPr>
                <w:b/>
                <w:bCs/>
                <w:i/>
                <w:iCs/>
                <w:color w:val="FFFFFF"/>
                <w:sz w:val="18"/>
                <w:szCs w:val="18"/>
              </w:rPr>
              <w:t>Recursos para el aprendizaje</w:t>
            </w:r>
          </w:p>
        </w:tc>
        <w:tc>
          <w:tcPr>
            <w:tcW w:w="7915" w:type="dxa"/>
            <w:gridSpan w:val="4"/>
            <w:shd w:val="clear" w:color="auto" w:fill="D9E2F3"/>
            <w:vAlign w:val="center"/>
          </w:tcPr>
          <w:p w14:paraId="2C5B9093" w14:textId="77777777" w:rsidR="00990B14" w:rsidRDefault="00000000">
            <w:pPr>
              <w:numPr>
                <w:ilvl w:val="0"/>
                <w:numId w:val="140"/>
              </w:numPr>
              <w:spacing w:before="10" w:after="10"/>
              <w:jc w:val="both"/>
            </w:pPr>
            <w:r>
              <w:rPr>
                <w:sz w:val="18"/>
                <w:szCs w:val="18"/>
              </w:rPr>
              <w:t>Utiliza la normativa internacional vigente (NIA 240, NIA 3000/ISAE 3000, NISR 4400, NISR 4410 e ISO 37001)</w:t>
            </w:r>
          </w:p>
          <w:p w14:paraId="4FC612BF" w14:textId="77777777" w:rsidR="00990B14" w:rsidRDefault="00000000">
            <w:pPr>
              <w:numPr>
                <w:ilvl w:val="0"/>
                <w:numId w:val="140"/>
              </w:numPr>
              <w:spacing w:before="10" w:after="10"/>
              <w:jc w:val="both"/>
            </w:pPr>
            <w:r>
              <w:rPr>
                <w:sz w:val="18"/>
                <w:szCs w:val="18"/>
              </w:rPr>
              <w:t>Dispone de la legislación boliviana aplicable (CPE, CP, CCo, CC, Ley 004, Ley 1390, Ley 1178 SAFCO, Ley 393, normas UIF/ASFI) y de forma especializada las Normas Generales de Auditoría Gubernamental de la Contraloría General del Estado de Bolivia (Normas de Auditoría de Cumplimiento)</w:t>
            </w:r>
          </w:p>
          <w:p w14:paraId="7CC9FDD4" w14:textId="77777777" w:rsidR="00990B14" w:rsidRDefault="00000000">
            <w:pPr>
              <w:numPr>
                <w:ilvl w:val="0"/>
                <w:numId w:val="140"/>
              </w:numPr>
              <w:spacing w:before="10" w:after="10"/>
              <w:jc w:val="both"/>
            </w:pPr>
            <w:r>
              <w:rPr>
                <w:sz w:val="18"/>
                <w:szCs w:val="18"/>
              </w:rPr>
              <w:t>Emplea software de auditoría y examen analítico de datos (ACL, IDEA, Excel), aula virtual Moodle y plantillas formales de papeles de trabajo.</w:t>
            </w:r>
          </w:p>
        </w:tc>
      </w:tr>
      <w:tr w:rsidR="00990B14" w14:paraId="424AA29A" w14:textId="77777777">
        <w:trPr>
          <w:jc w:val="center"/>
        </w:trPr>
        <w:tc>
          <w:tcPr>
            <w:tcW w:w="1490" w:type="dxa"/>
            <w:shd w:val="clear" w:color="auto" w:fill="4472C4"/>
            <w:vAlign w:val="center"/>
          </w:tcPr>
          <w:p w14:paraId="7B4B1F6F" w14:textId="77777777" w:rsidR="00990B14" w:rsidRDefault="00000000">
            <w:pPr>
              <w:spacing w:before="20" w:after="20"/>
              <w:jc w:val="center"/>
            </w:pPr>
            <w:r>
              <w:rPr>
                <w:b/>
                <w:bCs/>
                <w:i/>
                <w:iCs/>
                <w:color w:val="FFFFFF"/>
                <w:sz w:val="18"/>
                <w:szCs w:val="18"/>
              </w:rPr>
              <w:t>Estrategias de evaluación</w:t>
            </w:r>
          </w:p>
        </w:tc>
        <w:tc>
          <w:tcPr>
            <w:tcW w:w="7915" w:type="dxa"/>
            <w:gridSpan w:val="4"/>
            <w:shd w:val="clear" w:color="auto" w:fill="D9E2F3"/>
            <w:vAlign w:val="center"/>
          </w:tcPr>
          <w:p w14:paraId="0C01CCF4" w14:textId="77777777" w:rsidR="00990B14" w:rsidRDefault="00000000">
            <w:pPr>
              <w:numPr>
                <w:ilvl w:val="0"/>
                <w:numId w:val="140"/>
              </w:numPr>
              <w:spacing w:before="10" w:after="10"/>
              <w:jc w:val="both"/>
            </w:pPr>
            <w:r>
              <w:rPr>
                <w:sz w:val="18"/>
                <w:szCs w:val="18"/>
              </w:rPr>
              <w:t>Aplica evaluación diagnóstica, formativa continua y sumativa mediante listas de cotejo, rúbricas analíticas, evaluación de dossiers probatorios y defensas orales en simulacros de juicio.</w:t>
            </w:r>
          </w:p>
          <w:p w14:paraId="3C206836" w14:textId="77777777" w:rsidR="00990B14" w:rsidRDefault="00000000">
            <w:pPr>
              <w:numPr>
                <w:ilvl w:val="0"/>
                <w:numId w:val="140"/>
              </w:numPr>
              <w:spacing w:before="10" w:after="10"/>
              <w:jc w:val="both"/>
            </w:pPr>
            <w:r>
              <w:rPr>
                <w:sz w:val="18"/>
                <w:szCs w:val="18"/>
              </w:rPr>
              <w:t>Valora la trazabilidad de los procedimientos, la fundamentación jurídica, el cumplimiento estricto de la NIA 3000, ISO 37001 y Normas de Cumplimiento de la CGE, y la conducta ética profesional.</w:t>
            </w:r>
          </w:p>
        </w:tc>
      </w:tr>
      <w:tr w:rsidR="00990B14" w14:paraId="501BF713" w14:textId="77777777">
        <w:trPr>
          <w:jc w:val="center"/>
        </w:trPr>
        <w:tc>
          <w:tcPr>
            <w:tcW w:w="1490" w:type="dxa"/>
            <w:shd w:val="clear" w:color="auto" w:fill="4472C4"/>
            <w:vAlign w:val="center"/>
          </w:tcPr>
          <w:p w14:paraId="444CD69F" w14:textId="77777777" w:rsidR="00990B14" w:rsidRDefault="00000000">
            <w:pPr>
              <w:spacing w:before="20" w:after="20"/>
              <w:jc w:val="center"/>
            </w:pPr>
            <w:r>
              <w:rPr>
                <w:b/>
                <w:bCs/>
                <w:i/>
                <w:iCs/>
                <w:color w:val="FFFFFF"/>
                <w:sz w:val="18"/>
                <w:szCs w:val="18"/>
              </w:rPr>
              <w:t>Criterios de calificación</w:t>
            </w:r>
          </w:p>
        </w:tc>
        <w:tc>
          <w:tcPr>
            <w:tcW w:w="7915" w:type="dxa"/>
            <w:gridSpan w:val="4"/>
            <w:shd w:val="clear" w:color="auto" w:fill="D9E2F3"/>
            <w:vAlign w:val="center"/>
          </w:tcPr>
          <w:p w14:paraId="52D26216" w14:textId="77777777" w:rsidR="00990B14" w:rsidRDefault="00000000">
            <w:pPr>
              <w:numPr>
                <w:ilvl w:val="0"/>
                <w:numId w:val="140"/>
              </w:numPr>
              <w:spacing w:before="10" w:after="10"/>
              <w:jc w:val="both"/>
            </w:pPr>
            <w:r>
              <w:rPr>
                <w:sz w:val="18"/>
                <w:szCs w:val="18"/>
              </w:rPr>
              <w:t>La calificación final se distribuye en 16 productos evaluables, conforme a las ponderaciones consignadas en la matriz (total 100%)</w:t>
            </w:r>
          </w:p>
          <w:p w14:paraId="6C09B50A" w14:textId="77777777" w:rsidR="00990B14" w:rsidRDefault="00000000">
            <w:pPr>
              <w:numPr>
                <w:ilvl w:val="0"/>
                <w:numId w:val="140"/>
              </w:numPr>
              <w:spacing w:before="10" w:after="10"/>
              <w:jc w:val="both"/>
            </w:pPr>
            <w:r>
              <w:rPr>
                <w:sz w:val="18"/>
                <w:szCs w:val="18"/>
              </w:rPr>
              <w:t>Cada producto se calificará de 1 a 100 y su aporte se calculará aplicando la ponderación correspondiente.</w:t>
            </w:r>
          </w:p>
          <w:p w14:paraId="4B7332AC" w14:textId="77777777" w:rsidR="00990B14" w:rsidRDefault="00000000">
            <w:pPr>
              <w:numPr>
                <w:ilvl w:val="0"/>
                <w:numId w:val="140"/>
              </w:numPr>
              <w:spacing w:before="10" w:after="10"/>
              <w:jc w:val="both"/>
            </w:pPr>
            <w:r>
              <w:rPr>
                <w:sz w:val="18"/>
                <w:szCs w:val="18"/>
              </w:rPr>
              <w:t>La valoración considerará el cumplimiento del propósito, rigor técnico, aplicación de normas y procedimientos, consistencia de resultados, documentación, presentación y conducta profesional.</w:t>
            </w:r>
          </w:p>
          <w:p w14:paraId="1D6BDC02" w14:textId="77777777" w:rsidR="00990B14" w:rsidRDefault="00000000">
            <w:pPr>
              <w:numPr>
                <w:ilvl w:val="0"/>
                <w:numId w:val="140"/>
              </w:numPr>
              <w:spacing w:before="10" w:after="10"/>
              <w:jc w:val="both"/>
            </w:pPr>
            <w:r>
              <w:rPr>
                <w:sz w:val="18"/>
                <w:szCs w:val="18"/>
              </w:rPr>
              <w:t>Los niveles de logro se interpretan así: Insuficiente 1–50.</w:t>
            </w:r>
          </w:p>
          <w:p w14:paraId="4DE4054E" w14:textId="77777777" w:rsidR="00990B14" w:rsidRDefault="00000000">
            <w:pPr>
              <w:numPr>
                <w:ilvl w:val="0"/>
                <w:numId w:val="140"/>
              </w:numPr>
              <w:spacing w:before="10" w:after="10"/>
              <w:jc w:val="both"/>
            </w:pPr>
            <w:r>
              <w:rPr>
                <w:sz w:val="18"/>
                <w:szCs w:val="18"/>
              </w:rPr>
              <w:t>Suficiente 51–80.</w:t>
            </w:r>
          </w:p>
          <w:p w14:paraId="3FAC4D3D" w14:textId="77777777" w:rsidR="00990B14" w:rsidRDefault="00000000">
            <w:pPr>
              <w:numPr>
                <w:ilvl w:val="0"/>
                <w:numId w:val="140"/>
              </w:numPr>
              <w:spacing w:before="10" w:after="10"/>
              <w:jc w:val="both"/>
            </w:pPr>
            <w:r>
              <w:rPr>
                <w:sz w:val="18"/>
                <w:szCs w:val="18"/>
              </w:rPr>
              <w:t>Destacado 81–100.</w:t>
            </w:r>
          </w:p>
        </w:tc>
      </w:tr>
      <w:tr w:rsidR="00990B14" w14:paraId="2E2ACD11" w14:textId="77777777">
        <w:trPr>
          <w:cantSplit/>
          <w:jc w:val="center"/>
        </w:trPr>
        <w:tc>
          <w:tcPr>
            <w:tcW w:w="1490" w:type="dxa"/>
            <w:vMerge w:val="restart"/>
            <w:shd w:val="clear" w:color="auto" w:fill="4472C4"/>
            <w:vAlign w:val="center"/>
          </w:tcPr>
          <w:p w14:paraId="5BE26C8B" w14:textId="77777777" w:rsidR="00990B14" w:rsidRDefault="00000000">
            <w:pPr>
              <w:spacing w:before="20" w:after="20"/>
              <w:jc w:val="center"/>
            </w:pPr>
            <w:r>
              <w:rPr>
                <w:b/>
                <w:bCs/>
                <w:i/>
                <w:iCs/>
                <w:color w:val="FFFFFF"/>
                <w:sz w:val="18"/>
                <w:szCs w:val="18"/>
              </w:rPr>
              <w:t>Niveles de logro y distribución de la calificación</w:t>
            </w:r>
          </w:p>
        </w:tc>
        <w:tc>
          <w:tcPr>
            <w:tcW w:w="6038" w:type="dxa"/>
            <w:gridSpan w:val="3"/>
            <w:shd w:val="clear" w:color="auto" w:fill="D9E2F3"/>
            <w:vAlign w:val="center"/>
          </w:tcPr>
          <w:p w14:paraId="186AE5C4" w14:textId="77777777" w:rsidR="00990B14" w:rsidRDefault="00000000">
            <w:pPr>
              <w:keepNext/>
              <w:spacing w:before="20" w:after="20"/>
              <w:jc w:val="both"/>
            </w:pPr>
            <w:r>
              <w:rPr>
                <w:b/>
                <w:bCs/>
                <w:i/>
                <w:iCs/>
                <w:sz w:val="18"/>
                <w:szCs w:val="18"/>
              </w:rPr>
              <w:t xml:space="preserve">Producto 1: </w:t>
            </w:r>
            <w:r>
              <w:rPr>
                <w:sz w:val="18"/>
                <w:szCs w:val="18"/>
              </w:rPr>
              <w:t>Plan de auditoría forense</w:t>
            </w:r>
          </w:p>
        </w:tc>
        <w:tc>
          <w:tcPr>
            <w:tcW w:w="1877" w:type="dxa"/>
            <w:shd w:val="clear" w:color="auto" w:fill="D9E2F3"/>
            <w:vAlign w:val="center"/>
          </w:tcPr>
          <w:p w14:paraId="57FD5ECD" w14:textId="77777777" w:rsidR="00990B14" w:rsidRDefault="00000000">
            <w:pPr>
              <w:spacing w:before="20" w:after="20"/>
              <w:jc w:val="center"/>
            </w:pPr>
            <w:r>
              <w:rPr>
                <w:b/>
                <w:bCs/>
                <w:sz w:val="18"/>
                <w:szCs w:val="18"/>
              </w:rPr>
              <w:t>9%</w:t>
            </w:r>
          </w:p>
        </w:tc>
      </w:tr>
      <w:tr w:rsidR="00990B14" w14:paraId="12C3F2D9" w14:textId="77777777">
        <w:trPr>
          <w:cantSplit/>
          <w:jc w:val="center"/>
        </w:trPr>
        <w:tc>
          <w:tcPr>
            <w:tcW w:w="1490" w:type="dxa"/>
            <w:vMerge/>
            <w:shd w:val="clear" w:color="auto" w:fill="4472C4"/>
            <w:vAlign w:val="center"/>
          </w:tcPr>
          <w:p w14:paraId="3B09E2E9" w14:textId="77777777" w:rsidR="00990B14" w:rsidRDefault="00990B14">
            <w:pPr>
              <w:spacing w:before="20" w:after="20"/>
            </w:pPr>
          </w:p>
        </w:tc>
        <w:tc>
          <w:tcPr>
            <w:tcW w:w="2015" w:type="dxa"/>
            <w:shd w:val="clear" w:color="auto" w:fill="4472C4"/>
            <w:vAlign w:val="center"/>
          </w:tcPr>
          <w:p w14:paraId="0552E767" w14:textId="77777777" w:rsidR="00990B14" w:rsidRDefault="00000000">
            <w:pPr>
              <w:keepNext/>
              <w:spacing w:before="20" w:after="20"/>
              <w:jc w:val="center"/>
            </w:pPr>
            <w:r>
              <w:rPr>
                <w:b/>
                <w:bCs/>
                <w:i/>
                <w:iCs/>
                <w:color w:val="FFFFFF"/>
                <w:sz w:val="18"/>
                <w:szCs w:val="18"/>
              </w:rPr>
              <w:t>Criterio</w:t>
            </w:r>
          </w:p>
        </w:tc>
        <w:tc>
          <w:tcPr>
            <w:tcW w:w="2120" w:type="dxa"/>
            <w:shd w:val="clear" w:color="auto" w:fill="4472C4"/>
            <w:vAlign w:val="center"/>
          </w:tcPr>
          <w:p w14:paraId="58841D54" w14:textId="77777777" w:rsidR="00990B14" w:rsidRDefault="00000000">
            <w:pPr>
              <w:keepNext/>
              <w:spacing w:before="20" w:after="20"/>
              <w:jc w:val="center"/>
            </w:pPr>
            <w:r>
              <w:rPr>
                <w:b/>
                <w:bCs/>
                <w:i/>
                <w:iCs/>
                <w:color w:val="FFFFFF"/>
                <w:sz w:val="18"/>
                <w:szCs w:val="18"/>
              </w:rPr>
              <w:t>Insuficiente (1–50)</w:t>
            </w:r>
          </w:p>
        </w:tc>
        <w:tc>
          <w:tcPr>
            <w:tcW w:w="1903" w:type="dxa"/>
            <w:shd w:val="clear" w:color="auto" w:fill="4472C4"/>
            <w:vAlign w:val="center"/>
          </w:tcPr>
          <w:p w14:paraId="5F660138"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6749BC26" w14:textId="77777777" w:rsidR="00990B14" w:rsidRDefault="00000000">
            <w:pPr>
              <w:keepNext/>
              <w:spacing w:before="20" w:after="20"/>
              <w:jc w:val="center"/>
            </w:pPr>
            <w:r>
              <w:rPr>
                <w:b/>
                <w:bCs/>
                <w:i/>
                <w:iCs/>
                <w:color w:val="FFFFFF"/>
                <w:sz w:val="18"/>
                <w:szCs w:val="18"/>
              </w:rPr>
              <w:t>Destacado (81–100)</w:t>
            </w:r>
          </w:p>
        </w:tc>
      </w:tr>
      <w:tr w:rsidR="00990B14" w14:paraId="69BF9BDC" w14:textId="77777777">
        <w:trPr>
          <w:cantSplit/>
          <w:jc w:val="center"/>
        </w:trPr>
        <w:tc>
          <w:tcPr>
            <w:tcW w:w="1490" w:type="dxa"/>
            <w:vMerge/>
            <w:shd w:val="clear" w:color="auto" w:fill="4472C4"/>
            <w:vAlign w:val="center"/>
          </w:tcPr>
          <w:p w14:paraId="024817AC" w14:textId="77777777" w:rsidR="00990B14" w:rsidRDefault="00990B14">
            <w:pPr>
              <w:spacing w:before="20" w:after="20"/>
            </w:pPr>
          </w:p>
        </w:tc>
        <w:tc>
          <w:tcPr>
            <w:tcW w:w="2015" w:type="dxa"/>
            <w:shd w:val="clear" w:color="auto" w:fill="D9E2F3"/>
            <w:vAlign w:val="center"/>
          </w:tcPr>
          <w:p w14:paraId="22C0D4BD" w14:textId="77777777" w:rsidR="00990B14" w:rsidRDefault="00000000">
            <w:pPr>
              <w:spacing w:before="20" w:after="20"/>
              <w:jc w:val="both"/>
            </w:pPr>
            <w:r>
              <w:rPr>
                <w:sz w:val="18"/>
                <w:szCs w:val="18"/>
              </w:rPr>
              <w:t>Planificación y alcance</w:t>
            </w:r>
          </w:p>
        </w:tc>
        <w:tc>
          <w:tcPr>
            <w:tcW w:w="2120" w:type="dxa"/>
            <w:shd w:val="clear" w:color="auto" w:fill="D9E2F3"/>
            <w:vAlign w:val="center"/>
          </w:tcPr>
          <w:p w14:paraId="5AAE136E" w14:textId="77777777" w:rsidR="00990B14" w:rsidRDefault="00000000">
            <w:pPr>
              <w:spacing w:before="20" w:after="20"/>
              <w:jc w:val="both"/>
            </w:pPr>
            <w:r>
              <w:rPr>
                <w:sz w:val="18"/>
                <w:szCs w:val="18"/>
              </w:rPr>
              <w:t>No define con claridad objetivos, alcance, procedimientos ni cronograma; omite elementos esenciales.</w:t>
            </w:r>
          </w:p>
        </w:tc>
        <w:tc>
          <w:tcPr>
            <w:tcW w:w="1903" w:type="dxa"/>
            <w:shd w:val="clear" w:color="auto" w:fill="D9E2F3"/>
            <w:vAlign w:val="center"/>
          </w:tcPr>
          <w:p w14:paraId="632C395A" w14:textId="77777777" w:rsidR="00990B14" w:rsidRDefault="00000000">
            <w:pPr>
              <w:spacing w:before="20" w:after="20"/>
              <w:jc w:val="both"/>
            </w:pPr>
            <w:r>
              <w:rPr>
                <w:sz w:val="18"/>
                <w:szCs w:val="18"/>
              </w:rPr>
              <w:t>Define objetivos, alcance, procedimientos y cronograma básicos, con algunas omisiones menores.</w:t>
            </w:r>
          </w:p>
        </w:tc>
        <w:tc>
          <w:tcPr>
            <w:tcW w:w="1877" w:type="dxa"/>
            <w:shd w:val="clear" w:color="auto" w:fill="D9E2F3"/>
            <w:vAlign w:val="center"/>
          </w:tcPr>
          <w:p w14:paraId="32A11C18" w14:textId="77777777" w:rsidR="00990B14" w:rsidRDefault="00000000">
            <w:pPr>
              <w:spacing w:before="20" w:after="20"/>
              <w:jc w:val="both"/>
            </w:pPr>
            <w:r>
              <w:rPr>
                <w:sz w:val="18"/>
                <w:szCs w:val="18"/>
              </w:rPr>
              <w:t>Integra objetivos, alcance, riesgos, procedimientos, responsables y cronograma de forma coherente y verificable.</w:t>
            </w:r>
          </w:p>
        </w:tc>
      </w:tr>
      <w:tr w:rsidR="00990B14" w14:paraId="275068BF" w14:textId="77777777">
        <w:trPr>
          <w:cantSplit/>
          <w:jc w:val="center"/>
        </w:trPr>
        <w:tc>
          <w:tcPr>
            <w:tcW w:w="1490" w:type="dxa"/>
            <w:vMerge/>
            <w:shd w:val="clear" w:color="auto" w:fill="4472C4"/>
            <w:vAlign w:val="center"/>
          </w:tcPr>
          <w:p w14:paraId="76CB2A46" w14:textId="77777777" w:rsidR="00990B14" w:rsidRDefault="00990B14">
            <w:pPr>
              <w:spacing w:before="20" w:after="20"/>
            </w:pPr>
          </w:p>
        </w:tc>
        <w:tc>
          <w:tcPr>
            <w:tcW w:w="2015" w:type="dxa"/>
            <w:shd w:val="clear" w:color="auto" w:fill="D9E2F3"/>
            <w:vAlign w:val="center"/>
          </w:tcPr>
          <w:p w14:paraId="6B21BA16" w14:textId="77777777" w:rsidR="00990B14" w:rsidRDefault="00000000">
            <w:pPr>
              <w:spacing w:before="20" w:after="20"/>
              <w:jc w:val="both"/>
            </w:pPr>
            <w:r>
              <w:rPr>
                <w:sz w:val="18"/>
                <w:szCs w:val="18"/>
              </w:rPr>
              <w:t>Marco normativo y riesgos</w:t>
            </w:r>
          </w:p>
        </w:tc>
        <w:tc>
          <w:tcPr>
            <w:tcW w:w="2120" w:type="dxa"/>
            <w:shd w:val="clear" w:color="auto" w:fill="D9E2F3"/>
            <w:vAlign w:val="center"/>
          </w:tcPr>
          <w:p w14:paraId="07ECC52C" w14:textId="77777777" w:rsidR="00990B14" w:rsidRDefault="00000000">
            <w:pPr>
              <w:spacing w:before="20" w:after="20"/>
              <w:jc w:val="both"/>
            </w:pPr>
            <w:r>
              <w:rPr>
                <w:sz w:val="18"/>
                <w:szCs w:val="18"/>
              </w:rPr>
              <w:t>Cita normas sin relacionarlas con el caso y no justifica los riesgos priorizados.</w:t>
            </w:r>
          </w:p>
        </w:tc>
        <w:tc>
          <w:tcPr>
            <w:tcW w:w="1903" w:type="dxa"/>
            <w:shd w:val="clear" w:color="auto" w:fill="D9E2F3"/>
            <w:vAlign w:val="center"/>
          </w:tcPr>
          <w:p w14:paraId="2154E11C" w14:textId="77777777" w:rsidR="00990B14" w:rsidRDefault="00000000">
            <w:pPr>
              <w:spacing w:before="20" w:after="20"/>
              <w:jc w:val="both"/>
            </w:pPr>
            <w:r>
              <w:rPr>
                <w:sz w:val="18"/>
                <w:szCs w:val="18"/>
              </w:rPr>
              <w:t>Identifica normativa y riesgos principales, con justificación parcial.</w:t>
            </w:r>
          </w:p>
        </w:tc>
        <w:tc>
          <w:tcPr>
            <w:tcW w:w="1877" w:type="dxa"/>
            <w:shd w:val="clear" w:color="auto" w:fill="D9E2F3"/>
            <w:vAlign w:val="center"/>
          </w:tcPr>
          <w:p w14:paraId="504CA485" w14:textId="77777777" w:rsidR="00990B14" w:rsidRDefault="00000000">
            <w:pPr>
              <w:spacing w:before="20" w:after="20"/>
              <w:jc w:val="both"/>
            </w:pPr>
            <w:r>
              <w:rPr>
                <w:sz w:val="18"/>
                <w:szCs w:val="18"/>
              </w:rPr>
              <w:t>Aplica pertinentemente el marco normativo y fundamenta la priorización de riesgos con criterios claros.</w:t>
            </w:r>
          </w:p>
        </w:tc>
      </w:tr>
      <w:tr w:rsidR="00990B14" w14:paraId="53F2A21A" w14:textId="77777777">
        <w:trPr>
          <w:cantSplit/>
          <w:jc w:val="center"/>
        </w:trPr>
        <w:tc>
          <w:tcPr>
            <w:tcW w:w="1490" w:type="dxa"/>
            <w:vMerge/>
            <w:shd w:val="clear" w:color="auto" w:fill="4472C4"/>
            <w:vAlign w:val="center"/>
          </w:tcPr>
          <w:p w14:paraId="52CF267A" w14:textId="77777777" w:rsidR="00990B14" w:rsidRDefault="00990B14">
            <w:pPr>
              <w:spacing w:before="20" w:after="20"/>
            </w:pPr>
          </w:p>
        </w:tc>
        <w:tc>
          <w:tcPr>
            <w:tcW w:w="2015" w:type="dxa"/>
            <w:shd w:val="clear" w:color="auto" w:fill="D9E2F3"/>
            <w:vAlign w:val="center"/>
          </w:tcPr>
          <w:p w14:paraId="7003EDE9" w14:textId="77777777" w:rsidR="00990B14" w:rsidRDefault="00000000">
            <w:pPr>
              <w:spacing w:before="20" w:after="20"/>
              <w:jc w:val="both"/>
            </w:pPr>
            <w:r>
              <w:rPr>
                <w:sz w:val="18"/>
                <w:szCs w:val="18"/>
              </w:rPr>
              <w:t>Presentación técnica</w:t>
            </w:r>
          </w:p>
        </w:tc>
        <w:tc>
          <w:tcPr>
            <w:tcW w:w="2120" w:type="dxa"/>
            <w:shd w:val="clear" w:color="auto" w:fill="D9E2F3"/>
            <w:vAlign w:val="center"/>
          </w:tcPr>
          <w:p w14:paraId="61CAEA72" w14:textId="77777777" w:rsidR="00990B14" w:rsidRDefault="00000000">
            <w:pPr>
              <w:spacing w:before="20" w:after="20"/>
              <w:jc w:val="both"/>
            </w:pPr>
            <w:r>
              <w:rPr>
                <w:sz w:val="18"/>
                <w:szCs w:val="18"/>
              </w:rPr>
              <w:t>Documento desordenado, incompleto o sin sustento suficiente.</w:t>
            </w:r>
          </w:p>
        </w:tc>
        <w:tc>
          <w:tcPr>
            <w:tcW w:w="1903" w:type="dxa"/>
            <w:shd w:val="clear" w:color="auto" w:fill="D9E2F3"/>
            <w:vAlign w:val="center"/>
          </w:tcPr>
          <w:p w14:paraId="4090F958" w14:textId="77777777" w:rsidR="00990B14" w:rsidRDefault="00000000">
            <w:pPr>
              <w:spacing w:before="20" w:after="20"/>
              <w:jc w:val="both"/>
            </w:pPr>
            <w:r>
              <w:rPr>
                <w:sz w:val="18"/>
                <w:szCs w:val="18"/>
              </w:rPr>
              <w:t>Documento comprensible y mayormente completo, con detalles por mejorar.</w:t>
            </w:r>
          </w:p>
        </w:tc>
        <w:tc>
          <w:tcPr>
            <w:tcW w:w="1877" w:type="dxa"/>
            <w:shd w:val="clear" w:color="auto" w:fill="D9E2F3"/>
            <w:vAlign w:val="center"/>
          </w:tcPr>
          <w:p w14:paraId="14BA8E52" w14:textId="77777777" w:rsidR="00990B14" w:rsidRDefault="00000000">
            <w:pPr>
              <w:spacing w:before="20" w:after="20"/>
              <w:jc w:val="both"/>
            </w:pPr>
            <w:r>
              <w:rPr>
                <w:sz w:val="18"/>
                <w:szCs w:val="18"/>
              </w:rPr>
              <w:t>Documento estructurado, preciso, trazable y profesional, con fuentes y anexos pertinentes.</w:t>
            </w:r>
          </w:p>
        </w:tc>
      </w:tr>
      <w:tr w:rsidR="00990B14" w14:paraId="4D857846" w14:textId="77777777">
        <w:trPr>
          <w:cantSplit/>
          <w:jc w:val="center"/>
        </w:trPr>
        <w:tc>
          <w:tcPr>
            <w:tcW w:w="1490" w:type="dxa"/>
            <w:vMerge/>
            <w:shd w:val="clear" w:color="auto" w:fill="4472C4"/>
            <w:vAlign w:val="center"/>
          </w:tcPr>
          <w:p w14:paraId="1E418FC5" w14:textId="77777777" w:rsidR="00990B14" w:rsidRDefault="00990B14">
            <w:pPr>
              <w:spacing w:before="20" w:after="20"/>
            </w:pPr>
          </w:p>
        </w:tc>
        <w:tc>
          <w:tcPr>
            <w:tcW w:w="6038" w:type="dxa"/>
            <w:gridSpan w:val="3"/>
            <w:shd w:val="clear" w:color="auto" w:fill="D9E2F3"/>
            <w:vAlign w:val="center"/>
          </w:tcPr>
          <w:p w14:paraId="5435479D" w14:textId="77777777" w:rsidR="00990B14" w:rsidRDefault="00000000">
            <w:pPr>
              <w:keepNext/>
              <w:spacing w:before="20" w:after="20"/>
              <w:jc w:val="both"/>
            </w:pPr>
            <w:r>
              <w:rPr>
                <w:b/>
                <w:bCs/>
                <w:i/>
                <w:iCs/>
                <w:sz w:val="18"/>
                <w:szCs w:val="18"/>
              </w:rPr>
              <w:t xml:space="preserve">Producto 2: </w:t>
            </w:r>
            <w:r>
              <w:rPr>
                <w:sz w:val="18"/>
                <w:szCs w:val="18"/>
              </w:rPr>
              <w:t>Matriz de riesgos de fraude y lavado de activos</w:t>
            </w:r>
          </w:p>
        </w:tc>
        <w:tc>
          <w:tcPr>
            <w:tcW w:w="1877" w:type="dxa"/>
            <w:shd w:val="clear" w:color="auto" w:fill="D9E2F3"/>
            <w:vAlign w:val="center"/>
          </w:tcPr>
          <w:p w14:paraId="1B094414" w14:textId="77777777" w:rsidR="00990B14" w:rsidRDefault="00000000">
            <w:pPr>
              <w:spacing w:before="20" w:after="20"/>
              <w:jc w:val="center"/>
            </w:pPr>
            <w:r>
              <w:rPr>
                <w:b/>
                <w:bCs/>
                <w:sz w:val="18"/>
                <w:szCs w:val="18"/>
              </w:rPr>
              <w:t>9%</w:t>
            </w:r>
          </w:p>
        </w:tc>
      </w:tr>
      <w:tr w:rsidR="00990B14" w14:paraId="6B0214F1" w14:textId="77777777">
        <w:trPr>
          <w:cantSplit/>
          <w:jc w:val="center"/>
        </w:trPr>
        <w:tc>
          <w:tcPr>
            <w:tcW w:w="1490" w:type="dxa"/>
            <w:vMerge/>
            <w:shd w:val="clear" w:color="auto" w:fill="4472C4"/>
            <w:vAlign w:val="center"/>
          </w:tcPr>
          <w:p w14:paraId="1463FA70" w14:textId="77777777" w:rsidR="00990B14" w:rsidRDefault="00990B14">
            <w:pPr>
              <w:spacing w:before="20" w:after="20"/>
            </w:pPr>
          </w:p>
        </w:tc>
        <w:tc>
          <w:tcPr>
            <w:tcW w:w="2015" w:type="dxa"/>
            <w:shd w:val="clear" w:color="auto" w:fill="4472C4"/>
            <w:vAlign w:val="center"/>
          </w:tcPr>
          <w:p w14:paraId="5A8B4878" w14:textId="77777777" w:rsidR="00990B14" w:rsidRDefault="00000000">
            <w:pPr>
              <w:keepNext/>
              <w:spacing w:before="20" w:after="20"/>
              <w:jc w:val="center"/>
            </w:pPr>
            <w:r>
              <w:rPr>
                <w:b/>
                <w:bCs/>
                <w:i/>
                <w:iCs/>
                <w:color w:val="FFFFFF"/>
                <w:sz w:val="18"/>
                <w:szCs w:val="18"/>
              </w:rPr>
              <w:t>Criterio</w:t>
            </w:r>
          </w:p>
        </w:tc>
        <w:tc>
          <w:tcPr>
            <w:tcW w:w="2120" w:type="dxa"/>
            <w:shd w:val="clear" w:color="auto" w:fill="4472C4"/>
            <w:vAlign w:val="center"/>
          </w:tcPr>
          <w:p w14:paraId="2C67FCC3" w14:textId="77777777" w:rsidR="00990B14" w:rsidRDefault="00000000">
            <w:pPr>
              <w:keepNext/>
              <w:spacing w:before="20" w:after="20"/>
              <w:jc w:val="center"/>
            </w:pPr>
            <w:r>
              <w:rPr>
                <w:b/>
                <w:bCs/>
                <w:i/>
                <w:iCs/>
                <w:color w:val="FFFFFF"/>
                <w:sz w:val="18"/>
                <w:szCs w:val="18"/>
              </w:rPr>
              <w:t>Insuficiente (1–50)</w:t>
            </w:r>
          </w:p>
        </w:tc>
        <w:tc>
          <w:tcPr>
            <w:tcW w:w="1903" w:type="dxa"/>
            <w:shd w:val="clear" w:color="auto" w:fill="4472C4"/>
            <w:vAlign w:val="center"/>
          </w:tcPr>
          <w:p w14:paraId="2C587E29"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59ECC302" w14:textId="77777777" w:rsidR="00990B14" w:rsidRDefault="00000000">
            <w:pPr>
              <w:keepNext/>
              <w:spacing w:before="20" w:after="20"/>
              <w:jc w:val="center"/>
            </w:pPr>
            <w:r>
              <w:rPr>
                <w:b/>
                <w:bCs/>
                <w:i/>
                <w:iCs/>
                <w:color w:val="FFFFFF"/>
                <w:sz w:val="18"/>
                <w:szCs w:val="18"/>
              </w:rPr>
              <w:t>Destacado (81–100)</w:t>
            </w:r>
          </w:p>
        </w:tc>
      </w:tr>
      <w:tr w:rsidR="00990B14" w14:paraId="13EB7A56" w14:textId="77777777">
        <w:trPr>
          <w:cantSplit/>
          <w:jc w:val="center"/>
        </w:trPr>
        <w:tc>
          <w:tcPr>
            <w:tcW w:w="1490" w:type="dxa"/>
            <w:vMerge/>
            <w:shd w:val="clear" w:color="auto" w:fill="4472C4"/>
            <w:vAlign w:val="center"/>
          </w:tcPr>
          <w:p w14:paraId="49EA4CFF" w14:textId="77777777" w:rsidR="00990B14" w:rsidRDefault="00990B14">
            <w:pPr>
              <w:spacing w:before="20" w:after="20"/>
            </w:pPr>
          </w:p>
        </w:tc>
        <w:tc>
          <w:tcPr>
            <w:tcW w:w="2015" w:type="dxa"/>
            <w:shd w:val="clear" w:color="auto" w:fill="D9E2F3"/>
            <w:vAlign w:val="center"/>
          </w:tcPr>
          <w:p w14:paraId="3C98BEC2" w14:textId="77777777" w:rsidR="00990B14" w:rsidRDefault="00000000">
            <w:pPr>
              <w:spacing w:before="20" w:after="20"/>
              <w:jc w:val="both"/>
            </w:pPr>
            <w:r>
              <w:rPr>
                <w:sz w:val="18"/>
                <w:szCs w:val="18"/>
              </w:rPr>
              <w:t>Identificación de riesgos</w:t>
            </w:r>
          </w:p>
        </w:tc>
        <w:tc>
          <w:tcPr>
            <w:tcW w:w="2120" w:type="dxa"/>
            <w:shd w:val="clear" w:color="auto" w:fill="D9E2F3"/>
            <w:vAlign w:val="center"/>
          </w:tcPr>
          <w:p w14:paraId="4ADAF670" w14:textId="77777777" w:rsidR="00990B14" w:rsidRDefault="00000000">
            <w:pPr>
              <w:spacing w:before="20" w:after="20"/>
              <w:jc w:val="both"/>
            </w:pPr>
            <w:r>
              <w:rPr>
                <w:sz w:val="18"/>
                <w:szCs w:val="18"/>
              </w:rPr>
              <w:t>No identifica alertas relevantes o confunde riesgos con hechos probados.</w:t>
            </w:r>
          </w:p>
        </w:tc>
        <w:tc>
          <w:tcPr>
            <w:tcW w:w="1903" w:type="dxa"/>
            <w:shd w:val="clear" w:color="auto" w:fill="D9E2F3"/>
            <w:vAlign w:val="center"/>
          </w:tcPr>
          <w:p w14:paraId="4D2CF7FC" w14:textId="77777777" w:rsidR="00990B14" w:rsidRDefault="00000000">
            <w:pPr>
              <w:spacing w:before="20" w:after="20"/>
              <w:jc w:val="both"/>
            </w:pPr>
            <w:r>
              <w:rPr>
                <w:sz w:val="18"/>
                <w:szCs w:val="18"/>
              </w:rPr>
              <w:t>Identifica alertas principales y diferencia parcialmente riesgos e indicios.</w:t>
            </w:r>
          </w:p>
        </w:tc>
        <w:tc>
          <w:tcPr>
            <w:tcW w:w="1877" w:type="dxa"/>
            <w:shd w:val="clear" w:color="auto" w:fill="D9E2F3"/>
            <w:vAlign w:val="center"/>
          </w:tcPr>
          <w:p w14:paraId="51325B75" w14:textId="77777777" w:rsidR="00990B14" w:rsidRDefault="00000000">
            <w:pPr>
              <w:spacing w:before="20" w:after="20"/>
              <w:jc w:val="both"/>
            </w:pPr>
            <w:r>
              <w:rPr>
                <w:sz w:val="18"/>
                <w:szCs w:val="18"/>
              </w:rPr>
              <w:t>Identifica y clasifica alertas, factores de riesgo y brechas de control sin presentar sospechas como hechos probados.</w:t>
            </w:r>
          </w:p>
        </w:tc>
      </w:tr>
      <w:tr w:rsidR="00990B14" w14:paraId="1E5AAC60" w14:textId="77777777">
        <w:trPr>
          <w:cantSplit/>
          <w:jc w:val="center"/>
        </w:trPr>
        <w:tc>
          <w:tcPr>
            <w:tcW w:w="1490" w:type="dxa"/>
            <w:vMerge/>
            <w:shd w:val="clear" w:color="auto" w:fill="4472C4"/>
            <w:vAlign w:val="center"/>
          </w:tcPr>
          <w:p w14:paraId="4BC0FF1F" w14:textId="77777777" w:rsidR="00990B14" w:rsidRDefault="00990B14">
            <w:pPr>
              <w:spacing w:before="20" w:after="20"/>
            </w:pPr>
          </w:p>
        </w:tc>
        <w:tc>
          <w:tcPr>
            <w:tcW w:w="2015" w:type="dxa"/>
            <w:shd w:val="clear" w:color="auto" w:fill="D9E2F3"/>
            <w:vAlign w:val="center"/>
          </w:tcPr>
          <w:p w14:paraId="460825D9" w14:textId="77777777" w:rsidR="00990B14" w:rsidRDefault="00000000">
            <w:pPr>
              <w:spacing w:before="20" w:after="20"/>
              <w:jc w:val="both"/>
            </w:pPr>
            <w:r>
              <w:rPr>
                <w:sz w:val="18"/>
                <w:szCs w:val="18"/>
              </w:rPr>
              <w:t>Priorización y controles</w:t>
            </w:r>
          </w:p>
        </w:tc>
        <w:tc>
          <w:tcPr>
            <w:tcW w:w="2120" w:type="dxa"/>
            <w:shd w:val="clear" w:color="auto" w:fill="D9E2F3"/>
            <w:vAlign w:val="center"/>
          </w:tcPr>
          <w:p w14:paraId="41A0CAA7" w14:textId="77777777" w:rsidR="00990B14" w:rsidRDefault="00000000">
            <w:pPr>
              <w:spacing w:before="20" w:after="20"/>
              <w:jc w:val="both"/>
            </w:pPr>
            <w:r>
              <w:rPr>
                <w:sz w:val="18"/>
                <w:szCs w:val="18"/>
              </w:rPr>
              <w:t>La valoración carece de criterios o no propone controles pertinentes.</w:t>
            </w:r>
          </w:p>
        </w:tc>
        <w:tc>
          <w:tcPr>
            <w:tcW w:w="1903" w:type="dxa"/>
            <w:shd w:val="clear" w:color="auto" w:fill="D9E2F3"/>
            <w:vAlign w:val="center"/>
          </w:tcPr>
          <w:p w14:paraId="508B33D2" w14:textId="77777777" w:rsidR="00990B14" w:rsidRDefault="00000000">
            <w:pPr>
              <w:spacing w:before="20" w:after="20"/>
              <w:jc w:val="both"/>
            </w:pPr>
            <w:r>
              <w:rPr>
                <w:sz w:val="18"/>
                <w:szCs w:val="18"/>
              </w:rPr>
              <w:t>Prioriza los riesgos principales y propone controles generales.</w:t>
            </w:r>
          </w:p>
        </w:tc>
        <w:tc>
          <w:tcPr>
            <w:tcW w:w="1877" w:type="dxa"/>
            <w:shd w:val="clear" w:color="auto" w:fill="D9E2F3"/>
            <w:vAlign w:val="center"/>
          </w:tcPr>
          <w:p w14:paraId="074FE040" w14:textId="77777777" w:rsidR="00990B14" w:rsidRDefault="00000000">
            <w:pPr>
              <w:spacing w:before="20" w:after="20"/>
              <w:jc w:val="both"/>
            </w:pPr>
            <w:r>
              <w:rPr>
                <w:sz w:val="18"/>
                <w:szCs w:val="18"/>
              </w:rPr>
              <w:t>Prioriza mediante criterios explícitos de probabilidad e impacto y propone controles proporcionales y aplicables.</w:t>
            </w:r>
          </w:p>
        </w:tc>
      </w:tr>
      <w:tr w:rsidR="00990B14" w14:paraId="4BD237AE" w14:textId="77777777">
        <w:trPr>
          <w:cantSplit/>
          <w:jc w:val="center"/>
        </w:trPr>
        <w:tc>
          <w:tcPr>
            <w:tcW w:w="1490" w:type="dxa"/>
            <w:vMerge/>
            <w:shd w:val="clear" w:color="auto" w:fill="4472C4"/>
            <w:vAlign w:val="center"/>
          </w:tcPr>
          <w:p w14:paraId="1793B066" w14:textId="77777777" w:rsidR="00990B14" w:rsidRDefault="00990B14">
            <w:pPr>
              <w:spacing w:before="20" w:after="20"/>
            </w:pPr>
          </w:p>
        </w:tc>
        <w:tc>
          <w:tcPr>
            <w:tcW w:w="2015" w:type="dxa"/>
            <w:shd w:val="clear" w:color="auto" w:fill="D9E2F3"/>
            <w:vAlign w:val="center"/>
          </w:tcPr>
          <w:p w14:paraId="17E30483" w14:textId="77777777" w:rsidR="00990B14" w:rsidRDefault="00000000">
            <w:pPr>
              <w:spacing w:before="20" w:after="20"/>
              <w:jc w:val="both"/>
            </w:pPr>
            <w:r>
              <w:rPr>
                <w:sz w:val="18"/>
                <w:szCs w:val="18"/>
              </w:rPr>
              <w:t>Utilidad de la matriz</w:t>
            </w:r>
          </w:p>
        </w:tc>
        <w:tc>
          <w:tcPr>
            <w:tcW w:w="2120" w:type="dxa"/>
            <w:shd w:val="clear" w:color="auto" w:fill="D9E2F3"/>
            <w:vAlign w:val="center"/>
          </w:tcPr>
          <w:p w14:paraId="7B30C5B1" w14:textId="77777777" w:rsidR="00990B14" w:rsidRDefault="00000000">
            <w:pPr>
              <w:spacing w:before="20" w:after="20"/>
              <w:jc w:val="both"/>
            </w:pPr>
            <w:r>
              <w:rPr>
                <w:sz w:val="18"/>
                <w:szCs w:val="18"/>
              </w:rPr>
              <w:t>Matriz incompleta, difícil de interpretar o sin trazabilidad.</w:t>
            </w:r>
          </w:p>
        </w:tc>
        <w:tc>
          <w:tcPr>
            <w:tcW w:w="1903" w:type="dxa"/>
            <w:shd w:val="clear" w:color="auto" w:fill="D9E2F3"/>
            <w:vAlign w:val="center"/>
          </w:tcPr>
          <w:p w14:paraId="191D08AC" w14:textId="77777777" w:rsidR="00990B14" w:rsidRDefault="00000000">
            <w:pPr>
              <w:spacing w:before="20" w:after="20"/>
              <w:jc w:val="both"/>
            </w:pPr>
            <w:r>
              <w:rPr>
                <w:sz w:val="18"/>
                <w:szCs w:val="18"/>
              </w:rPr>
              <w:t>Matriz utilizable con campos esenciales y algunas inconsistencias.</w:t>
            </w:r>
          </w:p>
        </w:tc>
        <w:tc>
          <w:tcPr>
            <w:tcW w:w="1877" w:type="dxa"/>
            <w:shd w:val="clear" w:color="auto" w:fill="D9E2F3"/>
            <w:vAlign w:val="center"/>
          </w:tcPr>
          <w:p w14:paraId="09E25B38" w14:textId="77777777" w:rsidR="00990B14" w:rsidRDefault="00000000">
            <w:pPr>
              <w:spacing w:before="20" w:after="20"/>
              <w:jc w:val="both"/>
            </w:pPr>
            <w:r>
              <w:rPr>
                <w:sz w:val="18"/>
                <w:szCs w:val="18"/>
              </w:rPr>
              <w:t>Matriz clara, completa, trazable y útil para orientar pruebas y seguimiento.</w:t>
            </w:r>
          </w:p>
        </w:tc>
      </w:tr>
      <w:tr w:rsidR="00990B14" w14:paraId="5B21C82B" w14:textId="77777777">
        <w:trPr>
          <w:cantSplit/>
          <w:jc w:val="center"/>
        </w:trPr>
        <w:tc>
          <w:tcPr>
            <w:tcW w:w="1490" w:type="dxa"/>
            <w:vMerge/>
            <w:shd w:val="clear" w:color="auto" w:fill="4472C4"/>
            <w:vAlign w:val="center"/>
          </w:tcPr>
          <w:p w14:paraId="5AAEDADC" w14:textId="77777777" w:rsidR="00990B14" w:rsidRDefault="00990B14">
            <w:pPr>
              <w:spacing w:before="20" w:after="20"/>
            </w:pPr>
          </w:p>
        </w:tc>
        <w:tc>
          <w:tcPr>
            <w:tcW w:w="6038" w:type="dxa"/>
            <w:gridSpan w:val="3"/>
            <w:shd w:val="clear" w:color="auto" w:fill="D9E2F3"/>
            <w:vAlign w:val="center"/>
          </w:tcPr>
          <w:p w14:paraId="010F2329" w14:textId="77777777" w:rsidR="00990B14" w:rsidRDefault="00000000">
            <w:pPr>
              <w:keepNext/>
              <w:spacing w:before="20" w:after="20"/>
              <w:jc w:val="both"/>
            </w:pPr>
            <w:r>
              <w:rPr>
                <w:b/>
                <w:bCs/>
                <w:i/>
                <w:iCs/>
                <w:sz w:val="18"/>
                <w:szCs w:val="18"/>
              </w:rPr>
              <w:t xml:space="preserve">Producto 3: </w:t>
            </w:r>
            <w:r>
              <w:rPr>
                <w:sz w:val="18"/>
                <w:szCs w:val="18"/>
              </w:rPr>
              <w:t>Informe técnico preliminar de hallazgos</w:t>
            </w:r>
          </w:p>
        </w:tc>
        <w:tc>
          <w:tcPr>
            <w:tcW w:w="1877" w:type="dxa"/>
            <w:shd w:val="clear" w:color="auto" w:fill="D9E2F3"/>
            <w:vAlign w:val="center"/>
          </w:tcPr>
          <w:p w14:paraId="3CC48B53" w14:textId="77777777" w:rsidR="00990B14" w:rsidRDefault="00000000">
            <w:pPr>
              <w:spacing w:before="20" w:after="20"/>
              <w:jc w:val="center"/>
            </w:pPr>
            <w:r>
              <w:rPr>
                <w:b/>
                <w:bCs/>
                <w:sz w:val="18"/>
                <w:szCs w:val="18"/>
              </w:rPr>
              <w:t>9%</w:t>
            </w:r>
          </w:p>
        </w:tc>
      </w:tr>
      <w:tr w:rsidR="00990B14" w14:paraId="549DC409" w14:textId="77777777">
        <w:trPr>
          <w:cantSplit/>
          <w:jc w:val="center"/>
        </w:trPr>
        <w:tc>
          <w:tcPr>
            <w:tcW w:w="1490" w:type="dxa"/>
            <w:vMerge/>
            <w:shd w:val="clear" w:color="auto" w:fill="4472C4"/>
            <w:vAlign w:val="center"/>
          </w:tcPr>
          <w:p w14:paraId="3A08F6D5" w14:textId="77777777" w:rsidR="00990B14" w:rsidRDefault="00990B14">
            <w:pPr>
              <w:spacing w:before="20" w:after="20"/>
            </w:pPr>
          </w:p>
        </w:tc>
        <w:tc>
          <w:tcPr>
            <w:tcW w:w="2015" w:type="dxa"/>
            <w:shd w:val="clear" w:color="auto" w:fill="4472C4"/>
            <w:vAlign w:val="center"/>
          </w:tcPr>
          <w:p w14:paraId="04F221B9" w14:textId="77777777" w:rsidR="00990B14" w:rsidRDefault="00000000">
            <w:pPr>
              <w:keepNext/>
              <w:spacing w:before="20" w:after="20"/>
              <w:jc w:val="center"/>
            </w:pPr>
            <w:r>
              <w:rPr>
                <w:b/>
                <w:bCs/>
                <w:i/>
                <w:iCs/>
                <w:color w:val="FFFFFF"/>
                <w:sz w:val="18"/>
                <w:szCs w:val="18"/>
              </w:rPr>
              <w:t>Criterio</w:t>
            </w:r>
          </w:p>
        </w:tc>
        <w:tc>
          <w:tcPr>
            <w:tcW w:w="2120" w:type="dxa"/>
            <w:shd w:val="clear" w:color="auto" w:fill="4472C4"/>
            <w:vAlign w:val="center"/>
          </w:tcPr>
          <w:p w14:paraId="58046F9A" w14:textId="77777777" w:rsidR="00990B14" w:rsidRDefault="00000000">
            <w:pPr>
              <w:keepNext/>
              <w:spacing w:before="20" w:after="20"/>
              <w:jc w:val="center"/>
            </w:pPr>
            <w:r>
              <w:rPr>
                <w:b/>
                <w:bCs/>
                <w:i/>
                <w:iCs/>
                <w:color w:val="FFFFFF"/>
                <w:sz w:val="18"/>
                <w:szCs w:val="18"/>
              </w:rPr>
              <w:t>Insuficiente (1–50)</w:t>
            </w:r>
          </w:p>
        </w:tc>
        <w:tc>
          <w:tcPr>
            <w:tcW w:w="1903" w:type="dxa"/>
            <w:shd w:val="clear" w:color="auto" w:fill="4472C4"/>
            <w:vAlign w:val="center"/>
          </w:tcPr>
          <w:p w14:paraId="3D3A4608"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7F9D67A3" w14:textId="77777777" w:rsidR="00990B14" w:rsidRDefault="00000000">
            <w:pPr>
              <w:keepNext/>
              <w:spacing w:before="20" w:after="20"/>
              <w:jc w:val="center"/>
            </w:pPr>
            <w:r>
              <w:rPr>
                <w:b/>
                <w:bCs/>
                <w:i/>
                <w:iCs/>
                <w:color w:val="FFFFFF"/>
                <w:sz w:val="18"/>
                <w:szCs w:val="18"/>
              </w:rPr>
              <w:t>Destacado (81–100)</w:t>
            </w:r>
          </w:p>
        </w:tc>
      </w:tr>
      <w:tr w:rsidR="00990B14" w14:paraId="650533A9" w14:textId="77777777">
        <w:trPr>
          <w:cantSplit/>
          <w:jc w:val="center"/>
        </w:trPr>
        <w:tc>
          <w:tcPr>
            <w:tcW w:w="1490" w:type="dxa"/>
            <w:vMerge/>
            <w:shd w:val="clear" w:color="auto" w:fill="4472C4"/>
            <w:vAlign w:val="center"/>
          </w:tcPr>
          <w:p w14:paraId="437675CB" w14:textId="77777777" w:rsidR="00990B14" w:rsidRDefault="00990B14">
            <w:pPr>
              <w:spacing w:before="20" w:after="20"/>
            </w:pPr>
          </w:p>
        </w:tc>
        <w:tc>
          <w:tcPr>
            <w:tcW w:w="2015" w:type="dxa"/>
            <w:shd w:val="clear" w:color="auto" w:fill="D9E2F3"/>
            <w:vAlign w:val="center"/>
          </w:tcPr>
          <w:p w14:paraId="3291D57F" w14:textId="77777777" w:rsidR="00990B14" w:rsidRDefault="00000000">
            <w:pPr>
              <w:spacing w:before="20" w:after="20"/>
              <w:jc w:val="both"/>
            </w:pPr>
            <w:r>
              <w:rPr>
                <w:sz w:val="18"/>
                <w:szCs w:val="18"/>
              </w:rPr>
              <w:t>Sustento de hallazgos</w:t>
            </w:r>
          </w:p>
        </w:tc>
        <w:tc>
          <w:tcPr>
            <w:tcW w:w="2120" w:type="dxa"/>
            <w:shd w:val="clear" w:color="auto" w:fill="D9E2F3"/>
            <w:vAlign w:val="center"/>
          </w:tcPr>
          <w:p w14:paraId="1FB8406E" w14:textId="77777777" w:rsidR="00990B14" w:rsidRDefault="00000000">
            <w:pPr>
              <w:spacing w:before="20" w:after="20"/>
              <w:jc w:val="both"/>
            </w:pPr>
            <w:r>
              <w:rPr>
                <w:sz w:val="18"/>
                <w:szCs w:val="18"/>
              </w:rPr>
              <w:t>Hallazgos sin evidencia suficiente, fuentes identificables o relación con los objetivos.</w:t>
            </w:r>
          </w:p>
        </w:tc>
        <w:tc>
          <w:tcPr>
            <w:tcW w:w="1903" w:type="dxa"/>
            <w:shd w:val="clear" w:color="auto" w:fill="D9E2F3"/>
            <w:vAlign w:val="center"/>
          </w:tcPr>
          <w:p w14:paraId="7A8C86E3" w14:textId="77777777" w:rsidR="00990B14" w:rsidRDefault="00000000">
            <w:pPr>
              <w:spacing w:before="20" w:after="20"/>
              <w:jc w:val="both"/>
            </w:pPr>
            <w:r>
              <w:rPr>
                <w:sz w:val="18"/>
                <w:szCs w:val="18"/>
              </w:rPr>
              <w:t>Hallazgos sustentados parcialmente y con referencias básicas a la evidencia.</w:t>
            </w:r>
          </w:p>
        </w:tc>
        <w:tc>
          <w:tcPr>
            <w:tcW w:w="1877" w:type="dxa"/>
            <w:shd w:val="clear" w:color="auto" w:fill="D9E2F3"/>
            <w:vAlign w:val="center"/>
          </w:tcPr>
          <w:p w14:paraId="7C1FA4E1" w14:textId="77777777" w:rsidR="00990B14" w:rsidRDefault="00000000">
            <w:pPr>
              <w:spacing w:before="20" w:after="20"/>
              <w:jc w:val="both"/>
            </w:pPr>
            <w:r>
              <w:rPr>
                <w:sz w:val="18"/>
                <w:szCs w:val="18"/>
              </w:rPr>
              <w:t>Cada hallazgo vincula criterio, condición, evidencia y efecto con referencias verificables.</w:t>
            </w:r>
          </w:p>
        </w:tc>
      </w:tr>
      <w:tr w:rsidR="00990B14" w14:paraId="596353A4" w14:textId="77777777">
        <w:trPr>
          <w:cantSplit/>
          <w:jc w:val="center"/>
        </w:trPr>
        <w:tc>
          <w:tcPr>
            <w:tcW w:w="1490" w:type="dxa"/>
            <w:vMerge/>
            <w:shd w:val="clear" w:color="auto" w:fill="4472C4"/>
            <w:vAlign w:val="center"/>
          </w:tcPr>
          <w:p w14:paraId="139BD834" w14:textId="77777777" w:rsidR="00990B14" w:rsidRDefault="00990B14">
            <w:pPr>
              <w:spacing w:before="20" w:after="20"/>
            </w:pPr>
          </w:p>
        </w:tc>
        <w:tc>
          <w:tcPr>
            <w:tcW w:w="2015" w:type="dxa"/>
            <w:shd w:val="clear" w:color="auto" w:fill="D9E2F3"/>
            <w:vAlign w:val="center"/>
          </w:tcPr>
          <w:p w14:paraId="5CC1F564" w14:textId="77777777" w:rsidR="00990B14" w:rsidRDefault="00000000">
            <w:pPr>
              <w:spacing w:before="20" w:after="20"/>
              <w:jc w:val="both"/>
            </w:pPr>
            <w:r>
              <w:rPr>
                <w:sz w:val="18"/>
                <w:szCs w:val="18"/>
              </w:rPr>
              <w:t>Análisis y cuantificación</w:t>
            </w:r>
          </w:p>
        </w:tc>
        <w:tc>
          <w:tcPr>
            <w:tcW w:w="2120" w:type="dxa"/>
            <w:shd w:val="clear" w:color="auto" w:fill="D9E2F3"/>
            <w:vAlign w:val="center"/>
          </w:tcPr>
          <w:p w14:paraId="17EFE781" w14:textId="77777777" w:rsidR="00990B14" w:rsidRDefault="00000000">
            <w:pPr>
              <w:spacing w:before="20" w:after="20"/>
              <w:jc w:val="both"/>
            </w:pPr>
            <w:r>
              <w:rPr>
                <w:sz w:val="18"/>
                <w:szCs w:val="18"/>
              </w:rPr>
              <w:t>Análisis superficial o cálculos erróneos/no explicados.</w:t>
            </w:r>
          </w:p>
        </w:tc>
        <w:tc>
          <w:tcPr>
            <w:tcW w:w="1903" w:type="dxa"/>
            <w:shd w:val="clear" w:color="auto" w:fill="D9E2F3"/>
            <w:vAlign w:val="center"/>
          </w:tcPr>
          <w:p w14:paraId="69910219" w14:textId="77777777" w:rsidR="00990B14" w:rsidRDefault="00000000">
            <w:pPr>
              <w:spacing w:before="20" w:after="20"/>
              <w:jc w:val="both"/>
            </w:pPr>
            <w:r>
              <w:rPr>
                <w:sz w:val="18"/>
                <w:szCs w:val="18"/>
              </w:rPr>
              <w:t>Análisis razonable con cálculos básicos y algunas limitaciones señaladas.</w:t>
            </w:r>
          </w:p>
        </w:tc>
        <w:tc>
          <w:tcPr>
            <w:tcW w:w="1877" w:type="dxa"/>
            <w:shd w:val="clear" w:color="auto" w:fill="D9E2F3"/>
            <w:vAlign w:val="center"/>
          </w:tcPr>
          <w:p w14:paraId="7B0A68CC" w14:textId="77777777" w:rsidR="00990B14" w:rsidRDefault="00000000">
            <w:pPr>
              <w:spacing w:before="20" w:after="20"/>
              <w:jc w:val="both"/>
            </w:pPr>
            <w:r>
              <w:rPr>
                <w:sz w:val="18"/>
                <w:szCs w:val="18"/>
              </w:rPr>
              <w:t>Análisis consistente, cálculos reproducibles y limitaciones explícitamente documentadas.</w:t>
            </w:r>
          </w:p>
        </w:tc>
      </w:tr>
      <w:tr w:rsidR="00990B14" w14:paraId="0053FC05" w14:textId="77777777">
        <w:trPr>
          <w:cantSplit/>
          <w:jc w:val="center"/>
        </w:trPr>
        <w:tc>
          <w:tcPr>
            <w:tcW w:w="1490" w:type="dxa"/>
            <w:vMerge/>
            <w:shd w:val="clear" w:color="auto" w:fill="4472C4"/>
            <w:vAlign w:val="center"/>
          </w:tcPr>
          <w:p w14:paraId="528CAC65" w14:textId="77777777" w:rsidR="00990B14" w:rsidRDefault="00990B14">
            <w:pPr>
              <w:spacing w:before="20" w:after="20"/>
            </w:pPr>
          </w:p>
        </w:tc>
        <w:tc>
          <w:tcPr>
            <w:tcW w:w="2015" w:type="dxa"/>
            <w:shd w:val="clear" w:color="auto" w:fill="D9E2F3"/>
            <w:vAlign w:val="center"/>
          </w:tcPr>
          <w:p w14:paraId="79BE7528" w14:textId="77777777" w:rsidR="00990B14" w:rsidRDefault="00000000">
            <w:pPr>
              <w:spacing w:before="20" w:after="20"/>
              <w:jc w:val="both"/>
            </w:pPr>
            <w:r>
              <w:rPr>
                <w:sz w:val="18"/>
                <w:szCs w:val="18"/>
              </w:rPr>
              <w:t>Conclusiones y comunicación</w:t>
            </w:r>
          </w:p>
        </w:tc>
        <w:tc>
          <w:tcPr>
            <w:tcW w:w="2120" w:type="dxa"/>
            <w:shd w:val="clear" w:color="auto" w:fill="D9E2F3"/>
            <w:vAlign w:val="center"/>
          </w:tcPr>
          <w:p w14:paraId="1AA170E6" w14:textId="77777777" w:rsidR="00990B14" w:rsidRDefault="00000000">
            <w:pPr>
              <w:spacing w:before="20" w:after="20"/>
              <w:jc w:val="both"/>
            </w:pPr>
            <w:r>
              <w:rPr>
                <w:sz w:val="18"/>
                <w:szCs w:val="18"/>
              </w:rPr>
              <w:t>Conclusiones no se desprenden de la evidencia o exceden el alcance.</w:t>
            </w:r>
          </w:p>
        </w:tc>
        <w:tc>
          <w:tcPr>
            <w:tcW w:w="1903" w:type="dxa"/>
            <w:shd w:val="clear" w:color="auto" w:fill="D9E2F3"/>
            <w:vAlign w:val="center"/>
          </w:tcPr>
          <w:p w14:paraId="3E74FAA7" w14:textId="77777777" w:rsidR="00990B14" w:rsidRDefault="00000000">
            <w:pPr>
              <w:spacing w:before="20" w:after="20"/>
              <w:jc w:val="both"/>
            </w:pPr>
            <w:r>
              <w:rPr>
                <w:sz w:val="18"/>
                <w:szCs w:val="18"/>
              </w:rPr>
              <w:t>Conclusiones generalmente congruentes, con redacción mejorable.</w:t>
            </w:r>
          </w:p>
        </w:tc>
        <w:tc>
          <w:tcPr>
            <w:tcW w:w="1877" w:type="dxa"/>
            <w:shd w:val="clear" w:color="auto" w:fill="D9E2F3"/>
            <w:vAlign w:val="center"/>
          </w:tcPr>
          <w:p w14:paraId="28C09D01" w14:textId="77777777" w:rsidR="00990B14" w:rsidRDefault="00000000">
            <w:pPr>
              <w:spacing w:before="20" w:after="20"/>
              <w:jc w:val="both"/>
            </w:pPr>
            <w:r>
              <w:rPr>
                <w:sz w:val="18"/>
                <w:szCs w:val="18"/>
              </w:rPr>
              <w:t>Conclusiones objetivas, prudentes, claras y congruentes con el alcance y la evidencia.</w:t>
            </w:r>
          </w:p>
        </w:tc>
      </w:tr>
      <w:tr w:rsidR="00990B14" w14:paraId="48B79460" w14:textId="77777777">
        <w:trPr>
          <w:cantSplit/>
          <w:jc w:val="center"/>
        </w:trPr>
        <w:tc>
          <w:tcPr>
            <w:tcW w:w="1490" w:type="dxa"/>
            <w:vMerge/>
            <w:shd w:val="clear" w:color="auto" w:fill="4472C4"/>
            <w:vAlign w:val="center"/>
          </w:tcPr>
          <w:p w14:paraId="30F7F853" w14:textId="77777777" w:rsidR="00990B14" w:rsidRDefault="00990B14">
            <w:pPr>
              <w:spacing w:before="20" w:after="20"/>
            </w:pPr>
          </w:p>
        </w:tc>
        <w:tc>
          <w:tcPr>
            <w:tcW w:w="6038" w:type="dxa"/>
            <w:gridSpan w:val="3"/>
            <w:shd w:val="clear" w:color="auto" w:fill="D9E2F3"/>
            <w:vAlign w:val="center"/>
          </w:tcPr>
          <w:p w14:paraId="33FE5DF3" w14:textId="77777777" w:rsidR="00990B14" w:rsidRDefault="00000000">
            <w:pPr>
              <w:keepNext/>
              <w:spacing w:before="20" w:after="20"/>
              <w:jc w:val="both"/>
            </w:pPr>
            <w:r>
              <w:rPr>
                <w:b/>
                <w:bCs/>
                <w:i/>
                <w:iCs/>
                <w:sz w:val="18"/>
                <w:szCs w:val="18"/>
              </w:rPr>
              <w:t xml:space="preserve">Producto 4: </w:t>
            </w:r>
            <w:r>
              <w:rPr>
                <w:sz w:val="18"/>
                <w:szCs w:val="18"/>
              </w:rPr>
              <w:t>Dossier de evidencias probatorias</w:t>
            </w:r>
          </w:p>
        </w:tc>
        <w:tc>
          <w:tcPr>
            <w:tcW w:w="1877" w:type="dxa"/>
            <w:shd w:val="clear" w:color="auto" w:fill="D9E2F3"/>
            <w:vAlign w:val="center"/>
          </w:tcPr>
          <w:p w14:paraId="4066F451" w14:textId="77777777" w:rsidR="00990B14" w:rsidRDefault="00000000">
            <w:pPr>
              <w:spacing w:before="20" w:after="20"/>
              <w:jc w:val="center"/>
            </w:pPr>
            <w:r>
              <w:rPr>
                <w:b/>
                <w:bCs/>
                <w:sz w:val="18"/>
                <w:szCs w:val="18"/>
              </w:rPr>
              <w:t>8%</w:t>
            </w:r>
          </w:p>
        </w:tc>
      </w:tr>
      <w:tr w:rsidR="00990B14" w14:paraId="3F2BED52" w14:textId="77777777">
        <w:trPr>
          <w:cantSplit/>
          <w:jc w:val="center"/>
        </w:trPr>
        <w:tc>
          <w:tcPr>
            <w:tcW w:w="1490" w:type="dxa"/>
            <w:vMerge/>
            <w:shd w:val="clear" w:color="auto" w:fill="4472C4"/>
            <w:vAlign w:val="center"/>
          </w:tcPr>
          <w:p w14:paraId="45C4159E" w14:textId="77777777" w:rsidR="00990B14" w:rsidRDefault="00990B14">
            <w:pPr>
              <w:spacing w:before="20" w:after="20"/>
            </w:pPr>
          </w:p>
        </w:tc>
        <w:tc>
          <w:tcPr>
            <w:tcW w:w="2015" w:type="dxa"/>
            <w:shd w:val="clear" w:color="auto" w:fill="4472C4"/>
            <w:vAlign w:val="center"/>
          </w:tcPr>
          <w:p w14:paraId="0E7E3A13" w14:textId="77777777" w:rsidR="00990B14" w:rsidRDefault="00000000">
            <w:pPr>
              <w:keepNext/>
              <w:spacing w:before="20" w:after="20"/>
              <w:jc w:val="center"/>
            </w:pPr>
            <w:r>
              <w:rPr>
                <w:b/>
                <w:bCs/>
                <w:i/>
                <w:iCs/>
                <w:color w:val="FFFFFF"/>
                <w:sz w:val="18"/>
                <w:szCs w:val="18"/>
              </w:rPr>
              <w:t>Criterio</w:t>
            </w:r>
          </w:p>
        </w:tc>
        <w:tc>
          <w:tcPr>
            <w:tcW w:w="2120" w:type="dxa"/>
            <w:shd w:val="clear" w:color="auto" w:fill="4472C4"/>
            <w:vAlign w:val="center"/>
          </w:tcPr>
          <w:p w14:paraId="1B869F0E" w14:textId="77777777" w:rsidR="00990B14" w:rsidRDefault="00000000">
            <w:pPr>
              <w:keepNext/>
              <w:spacing w:before="20" w:after="20"/>
              <w:jc w:val="center"/>
            </w:pPr>
            <w:r>
              <w:rPr>
                <w:b/>
                <w:bCs/>
                <w:i/>
                <w:iCs/>
                <w:color w:val="FFFFFF"/>
                <w:sz w:val="18"/>
                <w:szCs w:val="18"/>
              </w:rPr>
              <w:t>Insuficiente (1–50)</w:t>
            </w:r>
          </w:p>
        </w:tc>
        <w:tc>
          <w:tcPr>
            <w:tcW w:w="1903" w:type="dxa"/>
            <w:shd w:val="clear" w:color="auto" w:fill="4472C4"/>
            <w:vAlign w:val="center"/>
          </w:tcPr>
          <w:p w14:paraId="16909FC0"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454D3D0D" w14:textId="77777777" w:rsidR="00990B14" w:rsidRDefault="00000000">
            <w:pPr>
              <w:keepNext/>
              <w:spacing w:before="20" w:after="20"/>
              <w:jc w:val="center"/>
            </w:pPr>
            <w:r>
              <w:rPr>
                <w:b/>
                <w:bCs/>
                <w:i/>
                <w:iCs/>
                <w:color w:val="FFFFFF"/>
                <w:sz w:val="18"/>
                <w:szCs w:val="18"/>
              </w:rPr>
              <w:t>Destacado (81–100)</w:t>
            </w:r>
          </w:p>
        </w:tc>
      </w:tr>
      <w:tr w:rsidR="00990B14" w14:paraId="7F887250" w14:textId="77777777">
        <w:trPr>
          <w:cantSplit/>
          <w:jc w:val="center"/>
        </w:trPr>
        <w:tc>
          <w:tcPr>
            <w:tcW w:w="1490" w:type="dxa"/>
            <w:vMerge/>
            <w:shd w:val="clear" w:color="auto" w:fill="4472C4"/>
            <w:vAlign w:val="center"/>
          </w:tcPr>
          <w:p w14:paraId="133C3537" w14:textId="77777777" w:rsidR="00990B14" w:rsidRDefault="00990B14">
            <w:pPr>
              <w:spacing w:before="20" w:after="20"/>
            </w:pPr>
          </w:p>
        </w:tc>
        <w:tc>
          <w:tcPr>
            <w:tcW w:w="2015" w:type="dxa"/>
            <w:shd w:val="clear" w:color="auto" w:fill="D9E2F3"/>
            <w:vAlign w:val="center"/>
          </w:tcPr>
          <w:p w14:paraId="07D22AF8" w14:textId="77777777" w:rsidR="00990B14" w:rsidRDefault="00000000">
            <w:pPr>
              <w:spacing w:before="20" w:after="20"/>
              <w:jc w:val="both"/>
            </w:pPr>
            <w:r>
              <w:rPr>
                <w:sz w:val="18"/>
                <w:szCs w:val="18"/>
              </w:rPr>
              <w:t>Integridad y cadena de custodia</w:t>
            </w:r>
          </w:p>
        </w:tc>
        <w:tc>
          <w:tcPr>
            <w:tcW w:w="2120" w:type="dxa"/>
            <w:shd w:val="clear" w:color="auto" w:fill="D9E2F3"/>
            <w:vAlign w:val="center"/>
          </w:tcPr>
          <w:p w14:paraId="24C7111C" w14:textId="77777777" w:rsidR="00990B14" w:rsidRDefault="00000000">
            <w:pPr>
              <w:spacing w:before="20" w:after="20"/>
              <w:jc w:val="both"/>
            </w:pPr>
            <w:r>
              <w:rPr>
                <w:sz w:val="18"/>
                <w:szCs w:val="18"/>
              </w:rPr>
              <w:t>No registra origen, recepción, manejo o resguardo de evidencias.</w:t>
            </w:r>
          </w:p>
        </w:tc>
        <w:tc>
          <w:tcPr>
            <w:tcW w:w="1903" w:type="dxa"/>
            <w:shd w:val="clear" w:color="auto" w:fill="D9E2F3"/>
            <w:vAlign w:val="center"/>
          </w:tcPr>
          <w:p w14:paraId="03E82EAD" w14:textId="77777777" w:rsidR="00990B14" w:rsidRDefault="00000000">
            <w:pPr>
              <w:spacing w:before="20" w:after="20"/>
              <w:jc w:val="both"/>
            </w:pPr>
            <w:r>
              <w:rPr>
                <w:sz w:val="18"/>
                <w:szCs w:val="18"/>
              </w:rPr>
              <w:t>Registra los datos esenciales, con vacíos menores en la trazabilidad.</w:t>
            </w:r>
          </w:p>
        </w:tc>
        <w:tc>
          <w:tcPr>
            <w:tcW w:w="1877" w:type="dxa"/>
            <w:shd w:val="clear" w:color="auto" w:fill="D9E2F3"/>
            <w:vAlign w:val="center"/>
          </w:tcPr>
          <w:p w14:paraId="7D534B9B" w14:textId="77777777" w:rsidR="00990B14" w:rsidRDefault="00000000">
            <w:pPr>
              <w:spacing w:before="20" w:after="20"/>
              <w:jc w:val="both"/>
            </w:pPr>
            <w:r>
              <w:rPr>
                <w:sz w:val="18"/>
                <w:szCs w:val="18"/>
              </w:rPr>
              <w:t>Documenta identificación, origen, fecha, responsable, transferencias, integridad y resguardo de cada evidencia.</w:t>
            </w:r>
          </w:p>
        </w:tc>
      </w:tr>
      <w:tr w:rsidR="00990B14" w14:paraId="2F32415C" w14:textId="77777777">
        <w:trPr>
          <w:cantSplit/>
          <w:jc w:val="center"/>
        </w:trPr>
        <w:tc>
          <w:tcPr>
            <w:tcW w:w="1490" w:type="dxa"/>
            <w:vMerge/>
            <w:shd w:val="clear" w:color="auto" w:fill="4472C4"/>
            <w:vAlign w:val="center"/>
          </w:tcPr>
          <w:p w14:paraId="309674C1" w14:textId="77777777" w:rsidR="00990B14" w:rsidRDefault="00990B14">
            <w:pPr>
              <w:spacing w:before="20" w:after="20"/>
            </w:pPr>
          </w:p>
        </w:tc>
        <w:tc>
          <w:tcPr>
            <w:tcW w:w="2015" w:type="dxa"/>
            <w:shd w:val="clear" w:color="auto" w:fill="D9E2F3"/>
            <w:vAlign w:val="center"/>
          </w:tcPr>
          <w:p w14:paraId="1709D62D" w14:textId="77777777" w:rsidR="00990B14" w:rsidRDefault="00000000">
            <w:pPr>
              <w:spacing w:before="20" w:after="20"/>
              <w:jc w:val="both"/>
            </w:pPr>
            <w:r>
              <w:rPr>
                <w:sz w:val="18"/>
                <w:szCs w:val="18"/>
              </w:rPr>
              <w:t>Organización documental</w:t>
            </w:r>
          </w:p>
        </w:tc>
        <w:tc>
          <w:tcPr>
            <w:tcW w:w="2120" w:type="dxa"/>
            <w:shd w:val="clear" w:color="auto" w:fill="D9E2F3"/>
            <w:vAlign w:val="center"/>
          </w:tcPr>
          <w:p w14:paraId="6F6A2974" w14:textId="77777777" w:rsidR="00990B14" w:rsidRDefault="00000000">
            <w:pPr>
              <w:spacing w:before="20" w:after="20"/>
              <w:jc w:val="both"/>
            </w:pPr>
            <w:r>
              <w:rPr>
                <w:sz w:val="18"/>
                <w:szCs w:val="18"/>
              </w:rPr>
              <w:t>Dossier desordenado, sin foliado o con archivos no identificados.</w:t>
            </w:r>
          </w:p>
        </w:tc>
        <w:tc>
          <w:tcPr>
            <w:tcW w:w="1903" w:type="dxa"/>
            <w:shd w:val="clear" w:color="auto" w:fill="D9E2F3"/>
            <w:vAlign w:val="center"/>
          </w:tcPr>
          <w:p w14:paraId="56C52E51" w14:textId="77777777" w:rsidR="00990B14" w:rsidRDefault="00000000">
            <w:pPr>
              <w:spacing w:before="20" w:after="20"/>
              <w:jc w:val="both"/>
            </w:pPr>
            <w:r>
              <w:rPr>
                <w:sz w:val="18"/>
                <w:szCs w:val="18"/>
              </w:rPr>
              <w:t>Dossier ordenado parcialmente y con foliado básico.</w:t>
            </w:r>
          </w:p>
        </w:tc>
        <w:tc>
          <w:tcPr>
            <w:tcW w:w="1877" w:type="dxa"/>
            <w:shd w:val="clear" w:color="auto" w:fill="D9E2F3"/>
            <w:vAlign w:val="center"/>
          </w:tcPr>
          <w:p w14:paraId="658EB7E9" w14:textId="77777777" w:rsidR="00990B14" w:rsidRDefault="00000000">
            <w:pPr>
              <w:spacing w:before="20" w:after="20"/>
              <w:jc w:val="both"/>
            </w:pPr>
            <w:r>
              <w:rPr>
                <w:sz w:val="18"/>
                <w:szCs w:val="18"/>
              </w:rPr>
              <w:t>Dossier foliado, indexado y organizado, con referencias cruzadas y control de acceso.</w:t>
            </w:r>
          </w:p>
        </w:tc>
      </w:tr>
      <w:tr w:rsidR="00990B14" w14:paraId="6BC2BF37" w14:textId="77777777">
        <w:trPr>
          <w:cantSplit/>
          <w:jc w:val="center"/>
        </w:trPr>
        <w:tc>
          <w:tcPr>
            <w:tcW w:w="1490" w:type="dxa"/>
            <w:vMerge/>
            <w:shd w:val="clear" w:color="auto" w:fill="4472C4"/>
            <w:vAlign w:val="center"/>
          </w:tcPr>
          <w:p w14:paraId="3602267D" w14:textId="77777777" w:rsidR="00990B14" w:rsidRDefault="00990B14">
            <w:pPr>
              <w:spacing w:before="20" w:after="20"/>
            </w:pPr>
          </w:p>
        </w:tc>
        <w:tc>
          <w:tcPr>
            <w:tcW w:w="2015" w:type="dxa"/>
            <w:shd w:val="clear" w:color="auto" w:fill="D9E2F3"/>
            <w:vAlign w:val="center"/>
          </w:tcPr>
          <w:p w14:paraId="0B8B4881" w14:textId="77777777" w:rsidR="00990B14" w:rsidRDefault="00000000">
            <w:pPr>
              <w:spacing w:before="20" w:after="20"/>
              <w:jc w:val="both"/>
            </w:pPr>
            <w:r>
              <w:rPr>
                <w:sz w:val="18"/>
                <w:szCs w:val="18"/>
              </w:rPr>
              <w:t>Seguridad y confidencialidad</w:t>
            </w:r>
          </w:p>
        </w:tc>
        <w:tc>
          <w:tcPr>
            <w:tcW w:w="2120" w:type="dxa"/>
            <w:shd w:val="clear" w:color="auto" w:fill="D9E2F3"/>
            <w:vAlign w:val="center"/>
          </w:tcPr>
          <w:p w14:paraId="79692E17" w14:textId="77777777" w:rsidR="00990B14" w:rsidRDefault="00000000">
            <w:pPr>
              <w:spacing w:before="20" w:after="20"/>
              <w:jc w:val="both"/>
            </w:pPr>
            <w:r>
              <w:rPr>
                <w:sz w:val="18"/>
                <w:szCs w:val="18"/>
              </w:rPr>
              <w:t>Expone datos sensibles o utiliza medios de resguardo inadecuados.</w:t>
            </w:r>
          </w:p>
        </w:tc>
        <w:tc>
          <w:tcPr>
            <w:tcW w:w="1903" w:type="dxa"/>
            <w:shd w:val="clear" w:color="auto" w:fill="D9E2F3"/>
            <w:vAlign w:val="center"/>
          </w:tcPr>
          <w:p w14:paraId="531A0F28" w14:textId="77777777" w:rsidR="00990B14" w:rsidRDefault="00000000">
            <w:pPr>
              <w:spacing w:before="20" w:after="20"/>
              <w:jc w:val="both"/>
            </w:pPr>
            <w:r>
              <w:rPr>
                <w:sz w:val="18"/>
                <w:szCs w:val="18"/>
              </w:rPr>
              <w:t>Aplica medidas básicas de reserva y resguardo.</w:t>
            </w:r>
          </w:p>
        </w:tc>
        <w:tc>
          <w:tcPr>
            <w:tcW w:w="1877" w:type="dxa"/>
            <w:shd w:val="clear" w:color="auto" w:fill="D9E2F3"/>
            <w:vAlign w:val="center"/>
          </w:tcPr>
          <w:p w14:paraId="29C45377" w14:textId="77777777" w:rsidR="00990B14" w:rsidRDefault="00000000">
            <w:pPr>
              <w:spacing w:before="20" w:after="20"/>
              <w:jc w:val="both"/>
            </w:pPr>
            <w:r>
              <w:rPr>
                <w:sz w:val="18"/>
                <w:szCs w:val="18"/>
              </w:rPr>
              <w:t>Aplica medidas proporcionales de acceso, respaldo, integridad y confidencialidad.</w:t>
            </w:r>
          </w:p>
        </w:tc>
      </w:tr>
      <w:tr w:rsidR="00990B14" w14:paraId="026C23BF" w14:textId="77777777">
        <w:trPr>
          <w:cantSplit/>
          <w:jc w:val="center"/>
        </w:trPr>
        <w:tc>
          <w:tcPr>
            <w:tcW w:w="1490" w:type="dxa"/>
            <w:vMerge/>
            <w:shd w:val="clear" w:color="auto" w:fill="4472C4"/>
            <w:vAlign w:val="center"/>
          </w:tcPr>
          <w:p w14:paraId="292E89A8" w14:textId="77777777" w:rsidR="00990B14" w:rsidRDefault="00990B14">
            <w:pPr>
              <w:spacing w:before="20" w:after="20"/>
            </w:pPr>
          </w:p>
        </w:tc>
        <w:tc>
          <w:tcPr>
            <w:tcW w:w="6038" w:type="dxa"/>
            <w:gridSpan w:val="3"/>
            <w:shd w:val="clear" w:color="auto" w:fill="D9E2F3"/>
            <w:vAlign w:val="center"/>
          </w:tcPr>
          <w:p w14:paraId="7963C26D" w14:textId="77777777" w:rsidR="00990B14" w:rsidRDefault="00000000">
            <w:pPr>
              <w:keepNext/>
              <w:spacing w:before="20" w:after="20"/>
              <w:jc w:val="both"/>
            </w:pPr>
            <w:r>
              <w:rPr>
                <w:b/>
                <w:bCs/>
                <w:i/>
                <w:iCs/>
                <w:sz w:val="18"/>
                <w:szCs w:val="18"/>
              </w:rPr>
              <w:t xml:space="preserve">Producto 5: </w:t>
            </w:r>
            <w:r>
              <w:rPr>
                <w:sz w:val="18"/>
                <w:szCs w:val="18"/>
              </w:rPr>
              <w:t>Carta de compromiso del encargo</w:t>
            </w:r>
          </w:p>
        </w:tc>
        <w:tc>
          <w:tcPr>
            <w:tcW w:w="1877" w:type="dxa"/>
            <w:shd w:val="clear" w:color="auto" w:fill="D9E2F3"/>
            <w:vAlign w:val="center"/>
          </w:tcPr>
          <w:p w14:paraId="0326CBFC" w14:textId="77777777" w:rsidR="00990B14" w:rsidRDefault="00000000">
            <w:pPr>
              <w:spacing w:before="20" w:after="20"/>
              <w:jc w:val="center"/>
            </w:pPr>
            <w:r>
              <w:rPr>
                <w:b/>
                <w:bCs/>
                <w:sz w:val="18"/>
                <w:szCs w:val="18"/>
              </w:rPr>
              <w:t>5%</w:t>
            </w:r>
          </w:p>
        </w:tc>
      </w:tr>
      <w:tr w:rsidR="00990B14" w14:paraId="49484049" w14:textId="77777777">
        <w:trPr>
          <w:cantSplit/>
          <w:jc w:val="center"/>
        </w:trPr>
        <w:tc>
          <w:tcPr>
            <w:tcW w:w="1490" w:type="dxa"/>
            <w:vMerge/>
            <w:shd w:val="clear" w:color="auto" w:fill="4472C4"/>
            <w:vAlign w:val="center"/>
          </w:tcPr>
          <w:p w14:paraId="09A3F56A" w14:textId="77777777" w:rsidR="00990B14" w:rsidRDefault="00990B14">
            <w:pPr>
              <w:spacing w:before="20" w:after="20"/>
            </w:pPr>
          </w:p>
        </w:tc>
        <w:tc>
          <w:tcPr>
            <w:tcW w:w="2015" w:type="dxa"/>
            <w:shd w:val="clear" w:color="auto" w:fill="4472C4"/>
            <w:vAlign w:val="center"/>
          </w:tcPr>
          <w:p w14:paraId="720A8F42" w14:textId="77777777" w:rsidR="00990B14" w:rsidRDefault="00000000">
            <w:pPr>
              <w:keepNext/>
              <w:spacing w:before="20" w:after="20"/>
              <w:jc w:val="center"/>
            </w:pPr>
            <w:r>
              <w:rPr>
                <w:b/>
                <w:bCs/>
                <w:i/>
                <w:iCs/>
                <w:color w:val="FFFFFF"/>
                <w:sz w:val="18"/>
                <w:szCs w:val="18"/>
              </w:rPr>
              <w:t>Criterio</w:t>
            </w:r>
          </w:p>
        </w:tc>
        <w:tc>
          <w:tcPr>
            <w:tcW w:w="2120" w:type="dxa"/>
            <w:shd w:val="clear" w:color="auto" w:fill="4472C4"/>
            <w:vAlign w:val="center"/>
          </w:tcPr>
          <w:p w14:paraId="1A26D28E" w14:textId="77777777" w:rsidR="00990B14" w:rsidRDefault="00000000">
            <w:pPr>
              <w:keepNext/>
              <w:spacing w:before="20" w:after="20"/>
              <w:jc w:val="center"/>
            </w:pPr>
            <w:r>
              <w:rPr>
                <w:b/>
                <w:bCs/>
                <w:i/>
                <w:iCs/>
                <w:color w:val="FFFFFF"/>
                <w:sz w:val="18"/>
                <w:szCs w:val="18"/>
              </w:rPr>
              <w:t>Insuficiente (1–50)</w:t>
            </w:r>
          </w:p>
        </w:tc>
        <w:tc>
          <w:tcPr>
            <w:tcW w:w="1903" w:type="dxa"/>
            <w:shd w:val="clear" w:color="auto" w:fill="4472C4"/>
            <w:vAlign w:val="center"/>
          </w:tcPr>
          <w:p w14:paraId="5E685180"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630B7304" w14:textId="77777777" w:rsidR="00990B14" w:rsidRDefault="00000000">
            <w:pPr>
              <w:keepNext/>
              <w:spacing w:before="20" w:after="20"/>
              <w:jc w:val="center"/>
            </w:pPr>
            <w:r>
              <w:rPr>
                <w:b/>
                <w:bCs/>
                <w:i/>
                <w:iCs/>
                <w:color w:val="FFFFFF"/>
                <w:sz w:val="18"/>
                <w:szCs w:val="18"/>
              </w:rPr>
              <w:t>Destacado (81–100)</w:t>
            </w:r>
          </w:p>
        </w:tc>
      </w:tr>
      <w:tr w:rsidR="00990B14" w14:paraId="09FD0622" w14:textId="77777777">
        <w:trPr>
          <w:cantSplit/>
          <w:jc w:val="center"/>
        </w:trPr>
        <w:tc>
          <w:tcPr>
            <w:tcW w:w="1490" w:type="dxa"/>
            <w:vMerge/>
            <w:shd w:val="clear" w:color="auto" w:fill="4472C4"/>
            <w:vAlign w:val="center"/>
          </w:tcPr>
          <w:p w14:paraId="73D71692" w14:textId="77777777" w:rsidR="00990B14" w:rsidRDefault="00990B14">
            <w:pPr>
              <w:spacing w:before="20" w:after="20"/>
            </w:pPr>
          </w:p>
        </w:tc>
        <w:tc>
          <w:tcPr>
            <w:tcW w:w="2015" w:type="dxa"/>
            <w:shd w:val="clear" w:color="auto" w:fill="D9E2F3"/>
            <w:vAlign w:val="center"/>
          </w:tcPr>
          <w:p w14:paraId="1D89C804" w14:textId="77777777" w:rsidR="00990B14" w:rsidRDefault="00000000">
            <w:pPr>
              <w:spacing w:before="20" w:after="20"/>
              <w:jc w:val="both"/>
            </w:pPr>
            <w:r>
              <w:rPr>
                <w:sz w:val="18"/>
                <w:szCs w:val="18"/>
              </w:rPr>
              <w:t>Aceptación del encargo</w:t>
            </w:r>
          </w:p>
        </w:tc>
        <w:tc>
          <w:tcPr>
            <w:tcW w:w="2120" w:type="dxa"/>
            <w:shd w:val="clear" w:color="auto" w:fill="D9E2F3"/>
            <w:vAlign w:val="center"/>
          </w:tcPr>
          <w:p w14:paraId="49CB075C" w14:textId="77777777" w:rsidR="00990B14" w:rsidRDefault="00000000">
            <w:pPr>
              <w:spacing w:before="20" w:after="20"/>
              <w:jc w:val="both"/>
            </w:pPr>
            <w:r>
              <w:rPr>
                <w:sz w:val="18"/>
                <w:szCs w:val="18"/>
              </w:rPr>
              <w:t>No identifica condiciones previas, independencia o limitaciones de acceso.</w:t>
            </w:r>
          </w:p>
        </w:tc>
        <w:tc>
          <w:tcPr>
            <w:tcW w:w="1903" w:type="dxa"/>
            <w:shd w:val="clear" w:color="auto" w:fill="D9E2F3"/>
            <w:vAlign w:val="center"/>
          </w:tcPr>
          <w:p w14:paraId="0CE64052" w14:textId="77777777" w:rsidR="00990B14" w:rsidRDefault="00000000">
            <w:pPr>
              <w:spacing w:before="20" w:after="20"/>
              <w:jc w:val="both"/>
            </w:pPr>
            <w:r>
              <w:rPr>
                <w:sz w:val="18"/>
                <w:szCs w:val="18"/>
              </w:rPr>
              <w:t>Reconoce las condiciones principales, aunque la evaluación es parcial.</w:t>
            </w:r>
          </w:p>
        </w:tc>
        <w:tc>
          <w:tcPr>
            <w:tcW w:w="1877" w:type="dxa"/>
            <w:shd w:val="clear" w:color="auto" w:fill="D9E2F3"/>
            <w:vAlign w:val="center"/>
          </w:tcPr>
          <w:p w14:paraId="783E52D7" w14:textId="77777777" w:rsidR="00990B14" w:rsidRDefault="00000000">
            <w:pPr>
              <w:spacing w:before="20" w:after="20"/>
              <w:jc w:val="both"/>
            </w:pPr>
            <w:r>
              <w:rPr>
                <w:sz w:val="18"/>
                <w:szCs w:val="18"/>
              </w:rPr>
              <w:t>Evalúa idoneidad de criterios, propósito, independencia, competencia, acceso a evidencia y condiciones previas.</w:t>
            </w:r>
          </w:p>
        </w:tc>
      </w:tr>
      <w:tr w:rsidR="00990B14" w14:paraId="74623FA6" w14:textId="77777777">
        <w:trPr>
          <w:cantSplit/>
          <w:jc w:val="center"/>
        </w:trPr>
        <w:tc>
          <w:tcPr>
            <w:tcW w:w="1490" w:type="dxa"/>
            <w:vMerge/>
            <w:shd w:val="clear" w:color="auto" w:fill="4472C4"/>
            <w:vAlign w:val="center"/>
          </w:tcPr>
          <w:p w14:paraId="4AE0FBED" w14:textId="77777777" w:rsidR="00990B14" w:rsidRDefault="00990B14">
            <w:pPr>
              <w:spacing w:before="20" w:after="20"/>
            </w:pPr>
          </w:p>
        </w:tc>
        <w:tc>
          <w:tcPr>
            <w:tcW w:w="2015" w:type="dxa"/>
            <w:shd w:val="clear" w:color="auto" w:fill="D9E2F3"/>
            <w:vAlign w:val="center"/>
          </w:tcPr>
          <w:p w14:paraId="342D8811" w14:textId="77777777" w:rsidR="00990B14" w:rsidRDefault="00000000">
            <w:pPr>
              <w:spacing w:before="20" w:after="20"/>
              <w:jc w:val="both"/>
            </w:pPr>
            <w:r>
              <w:rPr>
                <w:sz w:val="18"/>
                <w:szCs w:val="18"/>
              </w:rPr>
              <w:t>Términos y responsabilidades</w:t>
            </w:r>
          </w:p>
        </w:tc>
        <w:tc>
          <w:tcPr>
            <w:tcW w:w="2120" w:type="dxa"/>
            <w:shd w:val="clear" w:color="auto" w:fill="D9E2F3"/>
            <w:vAlign w:val="center"/>
          </w:tcPr>
          <w:p w14:paraId="51C9CD44" w14:textId="77777777" w:rsidR="00990B14" w:rsidRDefault="00000000">
            <w:pPr>
              <w:spacing w:before="20" w:after="20"/>
              <w:jc w:val="both"/>
            </w:pPr>
            <w:r>
              <w:rPr>
                <w:sz w:val="18"/>
                <w:szCs w:val="18"/>
              </w:rPr>
              <w:t>La carta omite objetivos, alcance, responsabilidades o naturaleza del informe.</w:t>
            </w:r>
          </w:p>
        </w:tc>
        <w:tc>
          <w:tcPr>
            <w:tcW w:w="1903" w:type="dxa"/>
            <w:shd w:val="clear" w:color="auto" w:fill="D9E2F3"/>
            <w:vAlign w:val="center"/>
          </w:tcPr>
          <w:p w14:paraId="45D4826B" w14:textId="77777777" w:rsidR="00990B14" w:rsidRDefault="00000000">
            <w:pPr>
              <w:spacing w:before="20" w:after="20"/>
              <w:jc w:val="both"/>
            </w:pPr>
            <w:r>
              <w:rPr>
                <w:sz w:val="18"/>
                <w:szCs w:val="18"/>
              </w:rPr>
              <w:t>Incluye los términos principales, con omisiones menores.</w:t>
            </w:r>
          </w:p>
        </w:tc>
        <w:tc>
          <w:tcPr>
            <w:tcW w:w="1877" w:type="dxa"/>
            <w:shd w:val="clear" w:color="auto" w:fill="D9E2F3"/>
            <w:vAlign w:val="center"/>
          </w:tcPr>
          <w:p w14:paraId="049C1F1D" w14:textId="77777777" w:rsidR="00990B14" w:rsidRDefault="00000000">
            <w:pPr>
              <w:spacing w:before="20" w:after="20"/>
              <w:jc w:val="both"/>
            </w:pPr>
            <w:r>
              <w:rPr>
                <w:sz w:val="18"/>
                <w:szCs w:val="18"/>
              </w:rPr>
              <w:t>Formaliza claramente objeto, alcance, criterios, responsabilidades, limitaciones y tipo de conclusión.</w:t>
            </w:r>
          </w:p>
        </w:tc>
      </w:tr>
      <w:tr w:rsidR="00990B14" w14:paraId="42C3E156" w14:textId="77777777">
        <w:trPr>
          <w:cantSplit/>
          <w:jc w:val="center"/>
        </w:trPr>
        <w:tc>
          <w:tcPr>
            <w:tcW w:w="1490" w:type="dxa"/>
            <w:vMerge/>
            <w:shd w:val="clear" w:color="auto" w:fill="4472C4"/>
            <w:vAlign w:val="center"/>
          </w:tcPr>
          <w:p w14:paraId="7830B245" w14:textId="77777777" w:rsidR="00990B14" w:rsidRDefault="00990B14">
            <w:pPr>
              <w:spacing w:before="20" w:after="20"/>
            </w:pPr>
          </w:p>
        </w:tc>
        <w:tc>
          <w:tcPr>
            <w:tcW w:w="2015" w:type="dxa"/>
            <w:shd w:val="clear" w:color="auto" w:fill="D9E2F3"/>
            <w:vAlign w:val="center"/>
          </w:tcPr>
          <w:p w14:paraId="7F3401B7" w14:textId="77777777" w:rsidR="00990B14" w:rsidRDefault="00000000">
            <w:pPr>
              <w:spacing w:before="20" w:after="20"/>
              <w:jc w:val="both"/>
            </w:pPr>
            <w:r>
              <w:rPr>
                <w:sz w:val="18"/>
                <w:szCs w:val="18"/>
              </w:rPr>
              <w:t>Redacción y formalidad</w:t>
            </w:r>
          </w:p>
        </w:tc>
        <w:tc>
          <w:tcPr>
            <w:tcW w:w="2120" w:type="dxa"/>
            <w:shd w:val="clear" w:color="auto" w:fill="D9E2F3"/>
            <w:vAlign w:val="center"/>
          </w:tcPr>
          <w:p w14:paraId="0932C50A" w14:textId="77777777" w:rsidR="00990B14" w:rsidRDefault="00000000">
            <w:pPr>
              <w:spacing w:before="20" w:after="20"/>
              <w:jc w:val="both"/>
            </w:pPr>
            <w:r>
              <w:rPr>
                <w:sz w:val="18"/>
                <w:szCs w:val="18"/>
              </w:rPr>
              <w:t>Documento ambiguo, incompleto o con errores relevantes.</w:t>
            </w:r>
          </w:p>
        </w:tc>
        <w:tc>
          <w:tcPr>
            <w:tcW w:w="1903" w:type="dxa"/>
            <w:shd w:val="clear" w:color="auto" w:fill="D9E2F3"/>
            <w:vAlign w:val="center"/>
          </w:tcPr>
          <w:p w14:paraId="7BBDD856" w14:textId="77777777" w:rsidR="00990B14" w:rsidRDefault="00000000">
            <w:pPr>
              <w:spacing w:before="20" w:after="20"/>
              <w:jc w:val="both"/>
            </w:pPr>
            <w:r>
              <w:rPr>
                <w:sz w:val="18"/>
                <w:szCs w:val="18"/>
              </w:rPr>
              <w:t>Documento comprensible y formal, con detalles por ajustar.</w:t>
            </w:r>
          </w:p>
        </w:tc>
        <w:tc>
          <w:tcPr>
            <w:tcW w:w="1877" w:type="dxa"/>
            <w:shd w:val="clear" w:color="auto" w:fill="D9E2F3"/>
            <w:vAlign w:val="center"/>
          </w:tcPr>
          <w:p w14:paraId="3D2154ED" w14:textId="77777777" w:rsidR="00990B14" w:rsidRDefault="00000000">
            <w:pPr>
              <w:spacing w:before="20" w:after="20"/>
              <w:jc w:val="both"/>
            </w:pPr>
            <w:r>
              <w:rPr>
                <w:sz w:val="18"/>
                <w:szCs w:val="18"/>
              </w:rPr>
              <w:t>Documento preciso, consistente y profesional, adecuado al encargo.</w:t>
            </w:r>
          </w:p>
        </w:tc>
      </w:tr>
      <w:tr w:rsidR="00990B14" w14:paraId="7323788D" w14:textId="77777777">
        <w:trPr>
          <w:cantSplit/>
          <w:jc w:val="center"/>
        </w:trPr>
        <w:tc>
          <w:tcPr>
            <w:tcW w:w="1490" w:type="dxa"/>
            <w:vMerge/>
            <w:shd w:val="clear" w:color="auto" w:fill="4472C4"/>
            <w:vAlign w:val="center"/>
          </w:tcPr>
          <w:p w14:paraId="6FA886E4" w14:textId="77777777" w:rsidR="00990B14" w:rsidRDefault="00990B14">
            <w:pPr>
              <w:spacing w:before="20" w:after="20"/>
            </w:pPr>
          </w:p>
        </w:tc>
        <w:tc>
          <w:tcPr>
            <w:tcW w:w="6038" w:type="dxa"/>
            <w:gridSpan w:val="3"/>
            <w:shd w:val="clear" w:color="auto" w:fill="D9E2F3"/>
            <w:vAlign w:val="center"/>
          </w:tcPr>
          <w:p w14:paraId="2F4BD330" w14:textId="77777777" w:rsidR="00990B14" w:rsidRDefault="00000000">
            <w:pPr>
              <w:keepNext/>
              <w:spacing w:before="20" w:after="20"/>
              <w:jc w:val="both"/>
            </w:pPr>
            <w:r>
              <w:rPr>
                <w:b/>
                <w:bCs/>
                <w:i/>
                <w:iCs/>
                <w:sz w:val="18"/>
                <w:szCs w:val="18"/>
              </w:rPr>
              <w:t xml:space="preserve">Producto 6: </w:t>
            </w:r>
            <w:r>
              <w:rPr>
                <w:sz w:val="18"/>
                <w:szCs w:val="18"/>
              </w:rPr>
              <w:t>Informe de aseguramiento independiente</w:t>
            </w:r>
          </w:p>
        </w:tc>
        <w:tc>
          <w:tcPr>
            <w:tcW w:w="1877" w:type="dxa"/>
            <w:shd w:val="clear" w:color="auto" w:fill="D9E2F3"/>
            <w:vAlign w:val="center"/>
          </w:tcPr>
          <w:p w14:paraId="0AF1A3BE" w14:textId="77777777" w:rsidR="00990B14" w:rsidRDefault="00000000">
            <w:pPr>
              <w:spacing w:before="20" w:after="20"/>
              <w:jc w:val="center"/>
            </w:pPr>
            <w:r>
              <w:rPr>
                <w:b/>
                <w:bCs/>
                <w:sz w:val="18"/>
                <w:szCs w:val="18"/>
              </w:rPr>
              <w:t>5%</w:t>
            </w:r>
          </w:p>
        </w:tc>
      </w:tr>
      <w:tr w:rsidR="00990B14" w14:paraId="7D078283" w14:textId="77777777">
        <w:trPr>
          <w:cantSplit/>
          <w:jc w:val="center"/>
        </w:trPr>
        <w:tc>
          <w:tcPr>
            <w:tcW w:w="1490" w:type="dxa"/>
            <w:vMerge/>
            <w:shd w:val="clear" w:color="auto" w:fill="4472C4"/>
            <w:vAlign w:val="center"/>
          </w:tcPr>
          <w:p w14:paraId="32D4B2D5" w14:textId="77777777" w:rsidR="00990B14" w:rsidRDefault="00990B14">
            <w:pPr>
              <w:spacing w:before="20" w:after="20"/>
            </w:pPr>
          </w:p>
        </w:tc>
        <w:tc>
          <w:tcPr>
            <w:tcW w:w="2015" w:type="dxa"/>
            <w:shd w:val="clear" w:color="auto" w:fill="4472C4"/>
            <w:vAlign w:val="center"/>
          </w:tcPr>
          <w:p w14:paraId="24DD67BA" w14:textId="77777777" w:rsidR="00990B14" w:rsidRDefault="00000000">
            <w:pPr>
              <w:keepNext/>
              <w:spacing w:before="20" w:after="20"/>
              <w:jc w:val="center"/>
            </w:pPr>
            <w:r>
              <w:rPr>
                <w:b/>
                <w:bCs/>
                <w:i/>
                <w:iCs/>
                <w:color w:val="FFFFFF"/>
                <w:sz w:val="18"/>
                <w:szCs w:val="18"/>
              </w:rPr>
              <w:t>Criterio</w:t>
            </w:r>
          </w:p>
        </w:tc>
        <w:tc>
          <w:tcPr>
            <w:tcW w:w="2120" w:type="dxa"/>
            <w:shd w:val="clear" w:color="auto" w:fill="4472C4"/>
            <w:vAlign w:val="center"/>
          </w:tcPr>
          <w:p w14:paraId="5CE115F2" w14:textId="77777777" w:rsidR="00990B14" w:rsidRDefault="00000000">
            <w:pPr>
              <w:keepNext/>
              <w:spacing w:before="20" w:after="20"/>
              <w:jc w:val="center"/>
            </w:pPr>
            <w:r>
              <w:rPr>
                <w:b/>
                <w:bCs/>
                <w:i/>
                <w:iCs/>
                <w:color w:val="FFFFFF"/>
                <w:sz w:val="18"/>
                <w:szCs w:val="18"/>
              </w:rPr>
              <w:t>Insuficiente (1–50)</w:t>
            </w:r>
          </w:p>
        </w:tc>
        <w:tc>
          <w:tcPr>
            <w:tcW w:w="1903" w:type="dxa"/>
            <w:shd w:val="clear" w:color="auto" w:fill="4472C4"/>
            <w:vAlign w:val="center"/>
          </w:tcPr>
          <w:p w14:paraId="4213DAC7"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0EBCD36C" w14:textId="77777777" w:rsidR="00990B14" w:rsidRDefault="00000000">
            <w:pPr>
              <w:keepNext/>
              <w:spacing w:before="20" w:after="20"/>
              <w:jc w:val="center"/>
            </w:pPr>
            <w:r>
              <w:rPr>
                <w:b/>
                <w:bCs/>
                <w:i/>
                <w:iCs/>
                <w:color w:val="FFFFFF"/>
                <w:sz w:val="18"/>
                <w:szCs w:val="18"/>
              </w:rPr>
              <w:t>Destacado (81–100)</w:t>
            </w:r>
          </w:p>
        </w:tc>
      </w:tr>
      <w:tr w:rsidR="00990B14" w14:paraId="7A7DDACC" w14:textId="77777777">
        <w:trPr>
          <w:cantSplit/>
          <w:jc w:val="center"/>
        </w:trPr>
        <w:tc>
          <w:tcPr>
            <w:tcW w:w="1490" w:type="dxa"/>
            <w:vMerge/>
            <w:shd w:val="clear" w:color="auto" w:fill="4472C4"/>
            <w:vAlign w:val="center"/>
          </w:tcPr>
          <w:p w14:paraId="2426E935" w14:textId="77777777" w:rsidR="00990B14" w:rsidRDefault="00990B14">
            <w:pPr>
              <w:spacing w:before="20" w:after="20"/>
            </w:pPr>
          </w:p>
        </w:tc>
        <w:tc>
          <w:tcPr>
            <w:tcW w:w="2015" w:type="dxa"/>
            <w:shd w:val="clear" w:color="auto" w:fill="D9E2F3"/>
            <w:vAlign w:val="center"/>
          </w:tcPr>
          <w:p w14:paraId="03CD556C" w14:textId="77777777" w:rsidR="00990B14" w:rsidRDefault="00000000">
            <w:pPr>
              <w:spacing w:before="20" w:after="20"/>
              <w:jc w:val="both"/>
            </w:pPr>
            <w:r>
              <w:rPr>
                <w:sz w:val="18"/>
                <w:szCs w:val="18"/>
              </w:rPr>
              <w:t>Ejecución y evidencia</w:t>
            </w:r>
          </w:p>
        </w:tc>
        <w:tc>
          <w:tcPr>
            <w:tcW w:w="2120" w:type="dxa"/>
            <w:shd w:val="clear" w:color="auto" w:fill="D9E2F3"/>
            <w:vAlign w:val="center"/>
          </w:tcPr>
          <w:p w14:paraId="7752C86D" w14:textId="77777777" w:rsidR="00990B14" w:rsidRDefault="00000000">
            <w:pPr>
              <w:spacing w:before="20" w:after="20"/>
              <w:jc w:val="both"/>
            </w:pPr>
            <w:r>
              <w:rPr>
                <w:sz w:val="18"/>
                <w:szCs w:val="18"/>
              </w:rPr>
              <w:t>Procedimientos no responden a los riesgos o la evidencia es insuficiente.</w:t>
            </w:r>
          </w:p>
        </w:tc>
        <w:tc>
          <w:tcPr>
            <w:tcW w:w="1903" w:type="dxa"/>
            <w:shd w:val="clear" w:color="auto" w:fill="D9E2F3"/>
            <w:vAlign w:val="center"/>
          </w:tcPr>
          <w:p w14:paraId="3DE006A4" w14:textId="77777777" w:rsidR="00990B14" w:rsidRDefault="00000000">
            <w:pPr>
              <w:spacing w:before="20" w:after="20"/>
              <w:jc w:val="both"/>
            </w:pPr>
            <w:r>
              <w:rPr>
                <w:sz w:val="18"/>
                <w:szCs w:val="18"/>
              </w:rPr>
              <w:t>Procedimientos pertinentes en lo esencial y evidencia suficiente para parte de los objetivos.</w:t>
            </w:r>
          </w:p>
        </w:tc>
        <w:tc>
          <w:tcPr>
            <w:tcW w:w="1877" w:type="dxa"/>
            <w:shd w:val="clear" w:color="auto" w:fill="D9E2F3"/>
            <w:vAlign w:val="center"/>
          </w:tcPr>
          <w:p w14:paraId="566BA3F5" w14:textId="77777777" w:rsidR="00990B14" w:rsidRDefault="00000000">
            <w:pPr>
              <w:spacing w:before="20" w:after="20"/>
              <w:jc w:val="both"/>
            </w:pPr>
            <w:r>
              <w:rPr>
                <w:sz w:val="18"/>
                <w:szCs w:val="18"/>
              </w:rPr>
              <w:t>Procedimientos planificados y ajustados a riesgos, con evidencia suficiente, pertinente y documentada.</w:t>
            </w:r>
          </w:p>
        </w:tc>
      </w:tr>
      <w:tr w:rsidR="00990B14" w14:paraId="71D5CAC9" w14:textId="77777777">
        <w:trPr>
          <w:cantSplit/>
          <w:jc w:val="center"/>
        </w:trPr>
        <w:tc>
          <w:tcPr>
            <w:tcW w:w="1490" w:type="dxa"/>
            <w:vMerge/>
            <w:shd w:val="clear" w:color="auto" w:fill="4472C4"/>
            <w:vAlign w:val="center"/>
          </w:tcPr>
          <w:p w14:paraId="493FBA6C" w14:textId="77777777" w:rsidR="00990B14" w:rsidRDefault="00990B14">
            <w:pPr>
              <w:spacing w:before="20" w:after="20"/>
            </w:pPr>
          </w:p>
        </w:tc>
        <w:tc>
          <w:tcPr>
            <w:tcW w:w="2015" w:type="dxa"/>
            <w:shd w:val="clear" w:color="auto" w:fill="D9E2F3"/>
            <w:vAlign w:val="center"/>
          </w:tcPr>
          <w:p w14:paraId="2CDF93E2" w14:textId="77777777" w:rsidR="00990B14" w:rsidRDefault="00000000">
            <w:pPr>
              <w:spacing w:before="20" w:after="20"/>
              <w:jc w:val="both"/>
            </w:pPr>
            <w:r>
              <w:rPr>
                <w:sz w:val="18"/>
                <w:szCs w:val="18"/>
              </w:rPr>
              <w:t>Aplicación de criterios</w:t>
            </w:r>
          </w:p>
        </w:tc>
        <w:tc>
          <w:tcPr>
            <w:tcW w:w="2120" w:type="dxa"/>
            <w:shd w:val="clear" w:color="auto" w:fill="D9E2F3"/>
            <w:vAlign w:val="center"/>
          </w:tcPr>
          <w:p w14:paraId="183905FE" w14:textId="77777777" w:rsidR="00990B14" w:rsidRDefault="00000000">
            <w:pPr>
              <w:spacing w:before="20" w:after="20"/>
              <w:jc w:val="both"/>
            </w:pPr>
            <w:r>
              <w:rPr>
                <w:sz w:val="18"/>
                <w:szCs w:val="18"/>
              </w:rPr>
              <w:t>No aplica criterios idóneos o no explica desviaciones.</w:t>
            </w:r>
          </w:p>
        </w:tc>
        <w:tc>
          <w:tcPr>
            <w:tcW w:w="1903" w:type="dxa"/>
            <w:shd w:val="clear" w:color="auto" w:fill="D9E2F3"/>
            <w:vAlign w:val="center"/>
          </w:tcPr>
          <w:p w14:paraId="5EA7A049" w14:textId="77777777" w:rsidR="00990B14" w:rsidRDefault="00000000">
            <w:pPr>
              <w:spacing w:before="20" w:after="20"/>
              <w:jc w:val="both"/>
            </w:pPr>
            <w:r>
              <w:rPr>
                <w:sz w:val="18"/>
                <w:szCs w:val="18"/>
              </w:rPr>
              <w:t>Aplica criterios pertinentes con explicación parcial.</w:t>
            </w:r>
          </w:p>
        </w:tc>
        <w:tc>
          <w:tcPr>
            <w:tcW w:w="1877" w:type="dxa"/>
            <w:shd w:val="clear" w:color="auto" w:fill="D9E2F3"/>
            <w:vAlign w:val="center"/>
          </w:tcPr>
          <w:p w14:paraId="5FBD0781" w14:textId="77777777" w:rsidR="00990B14" w:rsidRDefault="00000000">
            <w:pPr>
              <w:spacing w:before="20" w:after="20"/>
              <w:jc w:val="both"/>
            </w:pPr>
            <w:r>
              <w:rPr>
                <w:sz w:val="18"/>
                <w:szCs w:val="18"/>
              </w:rPr>
              <w:t>Aplica criterios idóneos y explica alcance, desviaciones y limitaciones de forma transparente.</w:t>
            </w:r>
          </w:p>
        </w:tc>
      </w:tr>
      <w:tr w:rsidR="00990B14" w14:paraId="06D81CA7" w14:textId="77777777">
        <w:trPr>
          <w:cantSplit/>
          <w:jc w:val="center"/>
        </w:trPr>
        <w:tc>
          <w:tcPr>
            <w:tcW w:w="1490" w:type="dxa"/>
            <w:vMerge/>
            <w:shd w:val="clear" w:color="auto" w:fill="4472C4"/>
            <w:vAlign w:val="center"/>
          </w:tcPr>
          <w:p w14:paraId="31D16294" w14:textId="77777777" w:rsidR="00990B14" w:rsidRDefault="00990B14">
            <w:pPr>
              <w:spacing w:before="20" w:after="20"/>
            </w:pPr>
          </w:p>
        </w:tc>
        <w:tc>
          <w:tcPr>
            <w:tcW w:w="2015" w:type="dxa"/>
            <w:shd w:val="clear" w:color="auto" w:fill="D9E2F3"/>
            <w:vAlign w:val="center"/>
          </w:tcPr>
          <w:p w14:paraId="48BF8E6C" w14:textId="77777777" w:rsidR="00990B14" w:rsidRDefault="00000000">
            <w:pPr>
              <w:spacing w:before="20" w:after="20"/>
              <w:jc w:val="both"/>
            </w:pPr>
            <w:r>
              <w:rPr>
                <w:sz w:val="18"/>
                <w:szCs w:val="18"/>
              </w:rPr>
              <w:t>Conclusión e informe</w:t>
            </w:r>
          </w:p>
        </w:tc>
        <w:tc>
          <w:tcPr>
            <w:tcW w:w="2120" w:type="dxa"/>
            <w:shd w:val="clear" w:color="auto" w:fill="D9E2F3"/>
            <w:vAlign w:val="center"/>
          </w:tcPr>
          <w:p w14:paraId="77C7AA16" w14:textId="77777777" w:rsidR="00990B14" w:rsidRDefault="00000000">
            <w:pPr>
              <w:spacing w:before="20" w:after="20"/>
              <w:jc w:val="both"/>
            </w:pPr>
            <w:r>
              <w:rPr>
                <w:sz w:val="18"/>
                <w:szCs w:val="18"/>
              </w:rPr>
              <w:t>Conclusión no sustentada o informe confuso.</w:t>
            </w:r>
          </w:p>
        </w:tc>
        <w:tc>
          <w:tcPr>
            <w:tcW w:w="1903" w:type="dxa"/>
            <w:shd w:val="clear" w:color="auto" w:fill="D9E2F3"/>
            <w:vAlign w:val="center"/>
          </w:tcPr>
          <w:p w14:paraId="41D4FA90" w14:textId="77777777" w:rsidR="00990B14" w:rsidRDefault="00000000">
            <w:pPr>
              <w:spacing w:before="20" w:after="20"/>
              <w:jc w:val="both"/>
            </w:pPr>
            <w:r>
              <w:rPr>
                <w:sz w:val="18"/>
                <w:szCs w:val="18"/>
              </w:rPr>
              <w:t>Conclusión razonable y estructura básica del informe.</w:t>
            </w:r>
          </w:p>
        </w:tc>
        <w:tc>
          <w:tcPr>
            <w:tcW w:w="1877" w:type="dxa"/>
            <w:shd w:val="clear" w:color="auto" w:fill="D9E2F3"/>
            <w:vAlign w:val="center"/>
          </w:tcPr>
          <w:p w14:paraId="229D47CC" w14:textId="77777777" w:rsidR="00990B14" w:rsidRDefault="00000000">
            <w:pPr>
              <w:spacing w:before="20" w:after="20"/>
              <w:jc w:val="both"/>
            </w:pPr>
            <w:r>
              <w:rPr>
                <w:sz w:val="18"/>
                <w:szCs w:val="18"/>
              </w:rPr>
              <w:t>Conclusión clara, sustentada y consistente con el nivel de seguridad y los requerimientos del encargo.</w:t>
            </w:r>
          </w:p>
        </w:tc>
      </w:tr>
      <w:tr w:rsidR="00990B14" w14:paraId="3E4DA591" w14:textId="77777777">
        <w:trPr>
          <w:cantSplit/>
          <w:jc w:val="center"/>
        </w:trPr>
        <w:tc>
          <w:tcPr>
            <w:tcW w:w="1490" w:type="dxa"/>
            <w:vMerge/>
            <w:shd w:val="clear" w:color="auto" w:fill="4472C4"/>
            <w:vAlign w:val="center"/>
          </w:tcPr>
          <w:p w14:paraId="2BCFE758" w14:textId="77777777" w:rsidR="00990B14" w:rsidRDefault="00990B14">
            <w:pPr>
              <w:spacing w:before="20" w:after="20"/>
            </w:pPr>
          </w:p>
        </w:tc>
        <w:tc>
          <w:tcPr>
            <w:tcW w:w="6038" w:type="dxa"/>
            <w:gridSpan w:val="3"/>
            <w:shd w:val="clear" w:color="auto" w:fill="D9E2F3"/>
            <w:vAlign w:val="center"/>
          </w:tcPr>
          <w:p w14:paraId="61EAE90B" w14:textId="77777777" w:rsidR="00990B14" w:rsidRDefault="00000000">
            <w:pPr>
              <w:keepNext/>
              <w:spacing w:before="20" w:after="20"/>
              <w:jc w:val="both"/>
            </w:pPr>
            <w:r>
              <w:rPr>
                <w:b/>
                <w:bCs/>
                <w:i/>
                <w:iCs/>
                <w:sz w:val="18"/>
                <w:szCs w:val="18"/>
              </w:rPr>
              <w:t xml:space="preserve">Producto 7: </w:t>
            </w:r>
            <w:r>
              <w:rPr>
                <w:sz w:val="18"/>
                <w:szCs w:val="18"/>
              </w:rPr>
              <w:t>Informe de conclusión de la revisión de estados financieros</w:t>
            </w:r>
          </w:p>
        </w:tc>
        <w:tc>
          <w:tcPr>
            <w:tcW w:w="1877" w:type="dxa"/>
            <w:shd w:val="clear" w:color="auto" w:fill="D9E2F3"/>
            <w:vAlign w:val="center"/>
          </w:tcPr>
          <w:p w14:paraId="0BFB2F2E" w14:textId="77777777" w:rsidR="00990B14" w:rsidRDefault="00000000">
            <w:pPr>
              <w:spacing w:before="20" w:after="20"/>
              <w:jc w:val="center"/>
            </w:pPr>
            <w:r>
              <w:rPr>
                <w:b/>
                <w:bCs/>
                <w:sz w:val="18"/>
                <w:szCs w:val="18"/>
              </w:rPr>
              <w:t>5%</w:t>
            </w:r>
          </w:p>
        </w:tc>
      </w:tr>
      <w:tr w:rsidR="00990B14" w14:paraId="6BA1DE3D" w14:textId="77777777">
        <w:trPr>
          <w:cantSplit/>
          <w:jc w:val="center"/>
        </w:trPr>
        <w:tc>
          <w:tcPr>
            <w:tcW w:w="1490" w:type="dxa"/>
            <w:vMerge/>
            <w:shd w:val="clear" w:color="auto" w:fill="4472C4"/>
            <w:vAlign w:val="center"/>
          </w:tcPr>
          <w:p w14:paraId="43D58BCF" w14:textId="77777777" w:rsidR="00990B14" w:rsidRDefault="00990B14">
            <w:pPr>
              <w:spacing w:before="20" w:after="20"/>
            </w:pPr>
          </w:p>
        </w:tc>
        <w:tc>
          <w:tcPr>
            <w:tcW w:w="2015" w:type="dxa"/>
            <w:shd w:val="clear" w:color="auto" w:fill="4472C4"/>
            <w:vAlign w:val="center"/>
          </w:tcPr>
          <w:p w14:paraId="72615FC2" w14:textId="77777777" w:rsidR="00990B14" w:rsidRDefault="00000000">
            <w:pPr>
              <w:keepNext/>
              <w:spacing w:before="20" w:after="20"/>
              <w:jc w:val="center"/>
            </w:pPr>
            <w:r>
              <w:rPr>
                <w:b/>
                <w:bCs/>
                <w:i/>
                <w:iCs/>
                <w:color w:val="FFFFFF"/>
                <w:sz w:val="18"/>
                <w:szCs w:val="18"/>
              </w:rPr>
              <w:t>Criterio</w:t>
            </w:r>
          </w:p>
        </w:tc>
        <w:tc>
          <w:tcPr>
            <w:tcW w:w="2120" w:type="dxa"/>
            <w:shd w:val="clear" w:color="auto" w:fill="4472C4"/>
            <w:vAlign w:val="center"/>
          </w:tcPr>
          <w:p w14:paraId="1CA39455" w14:textId="77777777" w:rsidR="00990B14" w:rsidRDefault="00000000">
            <w:pPr>
              <w:keepNext/>
              <w:spacing w:before="20" w:after="20"/>
              <w:jc w:val="center"/>
            </w:pPr>
            <w:r>
              <w:rPr>
                <w:b/>
                <w:bCs/>
                <w:i/>
                <w:iCs/>
                <w:color w:val="FFFFFF"/>
                <w:sz w:val="18"/>
                <w:szCs w:val="18"/>
              </w:rPr>
              <w:t>Insuficiente (1–50)</w:t>
            </w:r>
          </w:p>
        </w:tc>
        <w:tc>
          <w:tcPr>
            <w:tcW w:w="1903" w:type="dxa"/>
            <w:shd w:val="clear" w:color="auto" w:fill="4472C4"/>
            <w:vAlign w:val="center"/>
          </w:tcPr>
          <w:p w14:paraId="4A7E4849"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69A7F654" w14:textId="77777777" w:rsidR="00990B14" w:rsidRDefault="00000000">
            <w:pPr>
              <w:keepNext/>
              <w:spacing w:before="20" w:after="20"/>
              <w:jc w:val="center"/>
            </w:pPr>
            <w:r>
              <w:rPr>
                <w:b/>
                <w:bCs/>
                <w:i/>
                <w:iCs/>
                <w:color w:val="FFFFFF"/>
                <w:sz w:val="18"/>
                <w:szCs w:val="18"/>
              </w:rPr>
              <w:t>Destacado (81–100)</w:t>
            </w:r>
          </w:p>
        </w:tc>
      </w:tr>
      <w:tr w:rsidR="00990B14" w14:paraId="5A04CE8F" w14:textId="77777777">
        <w:trPr>
          <w:cantSplit/>
          <w:jc w:val="center"/>
        </w:trPr>
        <w:tc>
          <w:tcPr>
            <w:tcW w:w="1490" w:type="dxa"/>
            <w:vMerge/>
            <w:shd w:val="clear" w:color="auto" w:fill="4472C4"/>
            <w:vAlign w:val="center"/>
          </w:tcPr>
          <w:p w14:paraId="3BD7AF50" w14:textId="77777777" w:rsidR="00990B14" w:rsidRDefault="00990B14">
            <w:pPr>
              <w:spacing w:before="20" w:after="20"/>
            </w:pPr>
          </w:p>
        </w:tc>
        <w:tc>
          <w:tcPr>
            <w:tcW w:w="2015" w:type="dxa"/>
            <w:shd w:val="clear" w:color="auto" w:fill="D9E2F3"/>
            <w:vAlign w:val="center"/>
          </w:tcPr>
          <w:p w14:paraId="5C6D724B" w14:textId="77777777" w:rsidR="00990B14" w:rsidRDefault="00000000">
            <w:pPr>
              <w:spacing w:before="20" w:after="20"/>
              <w:jc w:val="both"/>
            </w:pPr>
            <w:r>
              <w:rPr>
                <w:sz w:val="18"/>
                <w:szCs w:val="18"/>
              </w:rPr>
              <w:t>Evaluación de incorrecciones</w:t>
            </w:r>
          </w:p>
        </w:tc>
        <w:tc>
          <w:tcPr>
            <w:tcW w:w="2120" w:type="dxa"/>
            <w:shd w:val="clear" w:color="auto" w:fill="D9E2F3"/>
            <w:vAlign w:val="center"/>
          </w:tcPr>
          <w:p w14:paraId="6DC6861A" w14:textId="77777777" w:rsidR="00990B14" w:rsidRDefault="00000000">
            <w:pPr>
              <w:spacing w:before="20" w:after="20"/>
              <w:jc w:val="both"/>
            </w:pPr>
            <w:r>
              <w:rPr>
                <w:sz w:val="18"/>
                <w:szCs w:val="18"/>
              </w:rPr>
              <w:t>No identifica o evalúa adecuadamente las incorrecciones detectadas.</w:t>
            </w:r>
          </w:p>
        </w:tc>
        <w:tc>
          <w:tcPr>
            <w:tcW w:w="1903" w:type="dxa"/>
            <w:shd w:val="clear" w:color="auto" w:fill="D9E2F3"/>
            <w:vAlign w:val="center"/>
          </w:tcPr>
          <w:p w14:paraId="741391FF" w14:textId="77777777" w:rsidR="00990B14" w:rsidRDefault="00000000">
            <w:pPr>
              <w:spacing w:before="20" w:after="20"/>
              <w:jc w:val="both"/>
            </w:pPr>
            <w:r>
              <w:rPr>
                <w:sz w:val="18"/>
                <w:szCs w:val="18"/>
              </w:rPr>
              <w:t>Identifica las incorrecciones principales y analiza parcialmente su efecto.</w:t>
            </w:r>
          </w:p>
        </w:tc>
        <w:tc>
          <w:tcPr>
            <w:tcW w:w="1877" w:type="dxa"/>
            <w:shd w:val="clear" w:color="auto" w:fill="D9E2F3"/>
            <w:vAlign w:val="center"/>
          </w:tcPr>
          <w:p w14:paraId="2DD4DBE6" w14:textId="77777777" w:rsidR="00990B14" w:rsidRDefault="00000000">
            <w:pPr>
              <w:spacing w:before="20" w:after="20"/>
              <w:jc w:val="both"/>
            </w:pPr>
            <w:r>
              <w:rPr>
                <w:sz w:val="18"/>
                <w:szCs w:val="18"/>
              </w:rPr>
              <w:t>Evalúa naturaleza, magnitud y efecto de las incorrecciones con sustento suficiente.</w:t>
            </w:r>
          </w:p>
        </w:tc>
      </w:tr>
      <w:tr w:rsidR="00990B14" w14:paraId="6C5A3121" w14:textId="77777777">
        <w:trPr>
          <w:cantSplit/>
          <w:jc w:val="center"/>
        </w:trPr>
        <w:tc>
          <w:tcPr>
            <w:tcW w:w="1490" w:type="dxa"/>
            <w:vMerge/>
            <w:shd w:val="clear" w:color="auto" w:fill="4472C4"/>
            <w:vAlign w:val="center"/>
          </w:tcPr>
          <w:p w14:paraId="05753326" w14:textId="77777777" w:rsidR="00990B14" w:rsidRDefault="00990B14">
            <w:pPr>
              <w:spacing w:before="20" w:after="20"/>
            </w:pPr>
          </w:p>
        </w:tc>
        <w:tc>
          <w:tcPr>
            <w:tcW w:w="2015" w:type="dxa"/>
            <w:shd w:val="clear" w:color="auto" w:fill="D9E2F3"/>
            <w:vAlign w:val="center"/>
          </w:tcPr>
          <w:p w14:paraId="7C37DB32" w14:textId="77777777" w:rsidR="00990B14" w:rsidRDefault="00000000">
            <w:pPr>
              <w:spacing w:before="20" w:after="20"/>
              <w:jc w:val="both"/>
            </w:pPr>
            <w:r>
              <w:rPr>
                <w:sz w:val="18"/>
                <w:szCs w:val="18"/>
              </w:rPr>
              <w:t>Hechos posteriores y empresa en marcha</w:t>
            </w:r>
          </w:p>
        </w:tc>
        <w:tc>
          <w:tcPr>
            <w:tcW w:w="2120" w:type="dxa"/>
            <w:shd w:val="clear" w:color="auto" w:fill="D9E2F3"/>
            <w:vAlign w:val="center"/>
          </w:tcPr>
          <w:p w14:paraId="05E0F551" w14:textId="77777777" w:rsidR="00990B14" w:rsidRDefault="00000000">
            <w:pPr>
              <w:spacing w:before="20" w:after="20"/>
              <w:jc w:val="both"/>
            </w:pPr>
            <w:r>
              <w:rPr>
                <w:sz w:val="18"/>
                <w:szCs w:val="18"/>
              </w:rPr>
              <w:t>Omite asuntos relevantes o formula afirmaciones sin sustento.</w:t>
            </w:r>
          </w:p>
        </w:tc>
        <w:tc>
          <w:tcPr>
            <w:tcW w:w="1903" w:type="dxa"/>
            <w:shd w:val="clear" w:color="auto" w:fill="D9E2F3"/>
            <w:vAlign w:val="center"/>
          </w:tcPr>
          <w:p w14:paraId="222FEA7C" w14:textId="77777777" w:rsidR="00990B14" w:rsidRDefault="00000000">
            <w:pPr>
              <w:spacing w:before="20" w:after="20"/>
              <w:jc w:val="both"/>
            </w:pPr>
            <w:r>
              <w:rPr>
                <w:sz w:val="18"/>
                <w:szCs w:val="18"/>
              </w:rPr>
              <w:t>Considera los asuntos principales, con análisis limitado.</w:t>
            </w:r>
          </w:p>
        </w:tc>
        <w:tc>
          <w:tcPr>
            <w:tcW w:w="1877" w:type="dxa"/>
            <w:shd w:val="clear" w:color="auto" w:fill="D9E2F3"/>
            <w:vAlign w:val="center"/>
          </w:tcPr>
          <w:p w14:paraId="23436A85" w14:textId="77777777" w:rsidR="00990B14" w:rsidRDefault="00000000">
            <w:pPr>
              <w:spacing w:before="20" w:after="20"/>
              <w:jc w:val="both"/>
            </w:pPr>
            <w:r>
              <w:rPr>
                <w:sz w:val="18"/>
                <w:szCs w:val="18"/>
              </w:rPr>
              <w:t>Analiza hechos posteriores y empresa en marcha de manera pertinente y documentada.</w:t>
            </w:r>
          </w:p>
        </w:tc>
      </w:tr>
      <w:tr w:rsidR="00990B14" w14:paraId="6E9A1290" w14:textId="77777777">
        <w:trPr>
          <w:cantSplit/>
          <w:jc w:val="center"/>
        </w:trPr>
        <w:tc>
          <w:tcPr>
            <w:tcW w:w="1490" w:type="dxa"/>
            <w:vMerge/>
            <w:shd w:val="clear" w:color="auto" w:fill="4472C4"/>
            <w:vAlign w:val="center"/>
          </w:tcPr>
          <w:p w14:paraId="5B1B9D66" w14:textId="77777777" w:rsidR="00990B14" w:rsidRDefault="00990B14">
            <w:pPr>
              <w:spacing w:before="20" w:after="20"/>
            </w:pPr>
          </w:p>
        </w:tc>
        <w:tc>
          <w:tcPr>
            <w:tcW w:w="2015" w:type="dxa"/>
            <w:shd w:val="clear" w:color="auto" w:fill="D9E2F3"/>
            <w:vAlign w:val="center"/>
          </w:tcPr>
          <w:p w14:paraId="4D7226CC" w14:textId="77777777" w:rsidR="00990B14" w:rsidRDefault="00000000">
            <w:pPr>
              <w:spacing w:before="20" w:after="20"/>
              <w:jc w:val="both"/>
            </w:pPr>
            <w:r>
              <w:rPr>
                <w:sz w:val="18"/>
                <w:szCs w:val="18"/>
              </w:rPr>
              <w:t>Conclusión profesional</w:t>
            </w:r>
          </w:p>
        </w:tc>
        <w:tc>
          <w:tcPr>
            <w:tcW w:w="2120" w:type="dxa"/>
            <w:shd w:val="clear" w:color="auto" w:fill="D9E2F3"/>
            <w:vAlign w:val="center"/>
          </w:tcPr>
          <w:p w14:paraId="2F474AA9" w14:textId="77777777" w:rsidR="00990B14" w:rsidRDefault="00000000">
            <w:pPr>
              <w:spacing w:before="20" w:after="20"/>
              <w:jc w:val="both"/>
            </w:pPr>
            <w:r>
              <w:rPr>
                <w:sz w:val="18"/>
                <w:szCs w:val="18"/>
              </w:rPr>
              <w:t>Conclusión inconsistente con los resultados de la revisión.</w:t>
            </w:r>
          </w:p>
        </w:tc>
        <w:tc>
          <w:tcPr>
            <w:tcW w:w="1903" w:type="dxa"/>
            <w:shd w:val="clear" w:color="auto" w:fill="D9E2F3"/>
            <w:vAlign w:val="center"/>
          </w:tcPr>
          <w:p w14:paraId="5D07F41C" w14:textId="77777777" w:rsidR="00990B14" w:rsidRDefault="00000000">
            <w:pPr>
              <w:spacing w:before="20" w:after="20"/>
              <w:jc w:val="both"/>
            </w:pPr>
            <w:r>
              <w:rPr>
                <w:sz w:val="18"/>
                <w:szCs w:val="18"/>
              </w:rPr>
              <w:t>Conclusión generalmente congruente, con justificación parcial.</w:t>
            </w:r>
          </w:p>
        </w:tc>
        <w:tc>
          <w:tcPr>
            <w:tcW w:w="1877" w:type="dxa"/>
            <w:shd w:val="clear" w:color="auto" w:fill="D9E2F3"/>
            <w:vAlign w:val="center"/>
          </w:tcPr>
          <w:p w14:paraId="152CB14A" w14:textId="77777777" w:rsidR="00990B14" w:rsidRDefault="00000000">
            <w:pPr>
              <w:spacing w:before="20" w:after="20"/>
              <w:jc w:val="both"/>
            </w:pPr>
            <w:r>
              <w:rPr>
                <w:sz w:val="18"/>
                <w:szCs w:val="18"/>
              </w:rPr>
              <w:t>Conclusión coherente, fundamentada y comunicada con precisión.</w:t>
            </w:r>
          </w:p>
        </w:tc>
      </w:tr>
      <w:tr w:rsidR="00990B14" w14:paraId="595E60F9" w14:textId="77777777">
        <w:trPr>
          <w:cantSplit/>
          <w:jc w:val="center"/>
        </w:trPr>
        <w:tc>
          <w:tcPr>
            <w:tcW w:w="1490" w:type="dxa"/>
            <w:vMerge/>
            <w:shd w:val="clear" w:color="auto" w:fill="4472C4"/>
            <w:vAlign w:val="center"/>
          </w:tcPr>
          <w:p w14:paraId="27C6FE5F" w14:textId="77777777" w:rsidR="00990B14" w:rsidRDefault="00990B14">
            <w:pPr>
              <w:spacing w:before="20" w:after="20"/>
            </w:pPr>
          </w:p>
        </w:tc>
        <w:tc>
          <w:tcPr>
            <w:tcW w:w="6038" w:type="dxa"/>
            <w:gridSpan w:val="3"/>
            <w:shd w:val="clear" w:color="auto" w:fill="D9E2F3"/>
            <w:vAlign w:val="center"/>
          </w:tcPr>
          <w:p w14:paraId="18195742" w14:textId="77777777" w:rsidR="00990B14" w:rsidRDefault="00000000">
            <w:pPr>
              <w:keepNext/>
              <w:spacing w:before="20" w:after="20"/>
              <w:jc w:val="both"/>
            </w:pPr>
            <w:r>
              <w:rPr>
                <w:b/>
                <w:bCs/>
                <w:i/>
                <w:iCs/>
                <w:sz w:val="18"/>
                <w:szCs w:val="18"/>
              </w:rPr>
              <w:t xml:space="preserve">Producto 8: </w:t>
            </w:r>
            <w:r>
              <w:rPr>
                <w:sz w:val="18"/>
                <w:szCs w:val="18"/>
              </w:rPr>
              <w:t>Informe de revisión de información financiera intermedia</w:t>
            </w:r>
          </w:p>
        </w:tc>
        <w:tc>
          <w:tcPr>
            <w:tcW w:w="1877" w:type="dxa"/>
            <w:shd w:val="clear" w:color="auto" w:fill="D9E2F3"/>
            <w:vAlign w:val="center"/>
          </w:tcPr>
          <w:p w14:paraId="1F35432A" w14:textId="77777777" w:rsidR="00990B14" w:rsidRDefault="00000000">
            <w:pPr>
              <w:spacing w:before="20" w:after="20"/>
              <w:jc w:val="center"/>
            </w:pPr>
            <w:r>
              <w:rPr>
                <w:b/>
                <w:bCs/>
                <w:sz w:val="18"/>
                <w:szCs w:val="18"/>
              </w:rPr>
              <w:t>5%</w:t>
            </w:r>
          </w:p>
        </w:tc>
      </w:tr>
      <w:tr w:rsidR="00990B14" w14:paraId="0486BEC7" w14:textId="77777777">
        <w:trPr>
          <w:cantSplit/>
          <w:jc w:val="center"/>
        </w:trPr>
        <w:tc>
          <w:tcPr>
            <w:tcW w:w="1490" w:type="dxa"/>
            <w:vMerge/>
            <w:shd w:val="clear" w:color="auto" w:fill="4472C4"/>
            <w:vAlign w:val="center"/>
          </w:tcPr>
          <w:p w14:paraId="14BB0B93" w14:textId="77777777" w:rsidR="00990B14" w:rsidRDefault="00990B14">
            <w:pPr>
              <w:spacing w:before="20" w:after="20"/>
            </w:pPr>
          </w:p>
        </w:tc>
        <w:tc>
          <w:tcPr>
            <w:tcW w:w="2015" w:type="dxa"/>
            <w:shd w:val="clear" w:color="auto" w:fill="4472C4"/>
            <w:vAlign w:val="center"/>
          </w:tcPr>
          <w:p w14:paraId="66B7B515" w14:textId="77777777" w:rsidR="00990B14" w:rsidRDefault="00000000">
            <w:pPr>
              <w:keepNext/>
              <w:spacing w:before="20" w:after="20"/>
              <w:jc w:val="center"/>
            </w:pPr>
            <w:r>
              <w:rPr>
                <w:b/>
                <w:bCs/>
                <w:i/>
                <w:iCs/>
                <w:color w:val="FFFFFF"/>
                <w:sz w:val="18"/>
                <w:szCs w:val="18"/>
              </w:rPr>
              <w:t>Criterio</w:t>
            </w:r>
          </w:p>
        </w:tc>
        <w:tc>
          <w:tcPr>
            <w:tcW w:w="2120" w:type="dxa"/>
            <w:shd w:val="clear" w:color="auto" w:fill="4472C4"/>
            <w:vAlign w:val="center"/>
          </w:tcPr>
          <w:p w14:paraId="30AAC6B0" w14:textId="77777777" w:rsidR="00990B14" w:rsidRDefault="00000000">
            <w:pPr>
              <w:keepNext/>
              <w:spacing w:before="20" w:after="20"/>
              <w:jc w:val="center"/>
            </w:pPr>
            <w:r>
              <w:rPr>
                <w:b/>
                <w:bCs/>
                <w:i/>
                <w:iCs/>
                <w:color w:val="FFFFFF"/>
                <w:sz w:val="18"/>
                <w:szCs w:val="18"/>
              </w:rPr>
              <w:t>Insuficiente (1–50)</w:t>
            </w:r>
          </w:p>
        </w:tc>
        <w:tc>
          <w:tcPr>
            <w:tcW w:w="1903" w:type="dxa"/>
            <w:shd w:val="clear" w:color="auto" w:fill="4472C4"/>
            <w:vAlign w:val="center"/>
          </w:tcPr>
          <w:p w14:paraId="22952289"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4E5A9804" w14:textId="77777777" w:rsidR="00990B14" w:rsidRDefault="00000000">
            <w:pPr>
              <w:keepNext/>
              <w:spacing w:before="20" w:after="20"/>
              <w:jc w:val="center"/>
            </w:pPr>
            <w:r>
              <w:rPr>
                <w:b/>
                <w:bCs/>
                <w:i/>
                <w:iCs/>
                <w:color w:val="FFFFFF"/>
                <w:sz w:val="18"/>
                <w:szCs w:val="18"/>
              </w:rPr>
              <w:t>Destacado (81–100)</w:t>
            </w:r>
          </w:p>
        </w:tc>
      </w:tr>
      <w:tr w:rsidR="00990B14" w14:paraId="4B30DABA" w14:textId="77777777">
        <w:trPr>
          <w:cantSplit/>
          <w:jc w:val="center"/>
        </w:trPr>
        <w:tc>
          <w:tcPr>
            <w:tcW w:w="1490" w:type="dxa"/>
            <w:vMerge/>
            <w:shd w:val="clear" w:color="auto" w:fill="4472C4"/>
            <w:vAlign w:val="center"/>
          </w:tcPr>
          <w:p w14:paraId="40518C4B" w14:textId="77777777" w:rsidR="00990B14" w:rsidRDefault="00990B14">
            <w:pPr>
              <w:spacing w:before="20" w:after="20"/>
            </w:pPr>
          </w:p>
        </w:tc>
        <w:tc>
          <w:tcPr>
            <w:tcW w:w="2015" w:type="dxa"/>
            <w:shd w:val="clear" w:color="auto" w:fill="D9E2F3"/>
            <w:vAlign w:val="center"/>
          </w:tcPr>
          <w:p w14:paraId="137FF556" w14:textId="77777777" w:rsidR="00990B14" w:rsidRDefault="00000000">
            <w:pPr>
              <w:spacing w:before="20" w:after="20"/>
              <w:jc w:val="both"/>
            </w:pPr>
            <w:r>
              <w:rPr>
                <w:sz w:val="18"/>
                <w:szCs w:val="18"/>
              </w:rPr>
              <w:t>Aplicación de NITR 2410</w:t>
            </w:r>
          </w:p>
        </w:tc>
        <w:tc>
          <w:tcPr>
            <w:tcW w:w="2120" w:type="dxa"/>
            <w:shd w:val="clear" w:color="auto" w:fill="D9E2F3"/>
            <w:vAlign w:val="center"/>
          </w:tcPr>
          <w:p w14:paraId="2EF3A0C9" w14:textId="77777777" w:rsidR="00990B14" w:rsidRDefault="00000000">
            <w:pPr>
              <w:spacing w:before="20" w:after="20"/>
              <w:jc w:val="both"/>
            </w:pPr>
            <w:r>
              <w:rPr>
                <w:sz w:val="18"/>
                <w:szCs w:val="18"/>
              </w:rPr>
              <w:t>No aplica la estructura o los requerimientos relevantes de la norma.</w:t>
            </w:r>
          </w:p>
        </w:tc>
        <w:tc>
          <w:tcPr>
            <w:tcW w:w="1903" w:type="dxa"/>
            <w:shd w:val="clear" w:color="auto" w:fill="D9E2F3"/>
            <w:vAlign w:val="center"/>
          </w:tcPr>
          <w:p w14:paraId="536C0FDE" w14:textId="77777777" w:rsidR="00990B14" w:rsidRDefault="00000000">
            <w:pPr>
              <w:spacing w:before="20" w:after="20"/>
              <w:jc w:val="both"/>
            </w:pPr>
            <w:r>
              <w:rPr>
                <w:sz w:val="18"/>
                <w:szCs w:val="18"/>
              </w:rPr>
              <w:t>Aplica la estructura básica y la mayoría de los requerimientos pertinentes.</w:t>
            </w:r>
          </w:p>
        </w:tc>
        <w:tc>
          <w:tcPr>
            <w:tcW w:w="1877" w:type="dxa"/>
            <w:shd w:val="clear" w:color="auto" w:fill="D9E2F3"/>
            <w:vAlign w:val="center"/>
          </w:tcPr>
          <w:p w14:paraId="73A9911C" w14:textId="77777777" w:rsidR="00990B14" w:rsidRDefault="00000000">
            <w:pPr>
              <w:spacing w:before="20" w:after="20"/>
              <w:jc w:val="both"/>
            </w:pPr>
            <w:r>
              <w:rPr>
                <w:sz w:val="18"/>
                <w:szCs w:val="18"/>
              </w:rPr>
              <w:t>Aplica de forma consistente los requerimientos pertinentes y delimita el alcance de la revisión.</w:t>
            </w:r>
          </w:p>
        </w:tc>
      </w:tr>
      <w:tr w:rsidR="00990B14" w14:paraId="3F5691F3" w14:textId="77777777">
        <w:trPr>
          <w:cantSplit/>
          <w:jc w:val="center"/>
        </w:trPr>
        <w:tc>
          <w:tcPr>
            <w:tcW w:w="1490" w:type="dxa"/>
            <w:vMerge/>
            <w:shd w:val="clear" w:color="auto" w:fill="4472C4"/>
            <w:vAlign w:val="center"/>
          </w:tcPr>
          <w:p w14:paraId="2C43FFA4" w14:textId="77777777" w:rsidR="00990B14" w:rsidRDefault="00990B14">
            <w:pPr>
              <w:spacing w:before="20" w:after="20"/>
            </w:pPr>
          </w:p>
        </w:tc>
        <w:tc>
          <w:tcPr>
            <w:tcW w:w="2015" w:type="dxa"/>
            <w:shd w:val="clear" w:color="auto" w:fill="D9E2F3"/>
            <w:vAlign w:val="center"/>
          </w:tcPr>
          <w:p w14:paraId="47B309E6" w14:textId="77777777" w:rsidR="00990B14" w:rsidRDefault="00000000">
            <w:pPr>
              <w:spacing w:before="20" w:after="20"/>
              <w:jc w:val="both"/>
            </w:pPr>
            <w:r>
              <w:rPr>
                <w:sz w:val="18"/>
                <w:szCs w:val="18"/>
              </w:rPr>
              <w:t>Análisis de información intermedia</w:t>
            </w:r>
          </w:p>
        </w:tc>
        <w:tc>
          <w:tcPr>
            <w:tcW w:w="2120" w:type="dxa"/>
            <w:shd w:val="clear" w:color="auto" w:fill="D9E2F3"/>
            <w:vAlign w:val="center"/>
          </w:tcPr>
          <w:p w14:paraId="3A8F95CC" w14:textId="77777777" w:rsidR="00990B14" w:rsidRDefault="00000000">
            <w:pPr>
              <w:spacing w:before="20" w:after="20"/>
              <w:jc w:val="both"/>
            </w:pPr>
            <w:r>
              <w:rPr>
                <w:sz w:val="18"/>
                <w:szCs w:val="18"/>
              </w:rPr>
              <w:t>No identifica inconsistencias o no documenta indagaciones y análisis.</w:t>
            </w:r>
          </w:p>
        </w:tc>
        <w:tc>
          <w:tcPr>
            <w:tcW w:w="1903" w:type="dxa"/>
            <w:shd w:val="clear" w:color="auto" w:fill="D9E2F3"/>
            <w:vAlign w:val="center"/>
          </w:tcPr>
          <w:p w14:paraId="31727366" w14:textId="77777777" w:rsidR="00990B14" w:rsidRDefault="00000000">
            <w:pPr>
              <w:spacing w:before="20" w:after="20"/>
              <w:jc w:val="both"/>
            </w:pPr>
            <w:r>
              <w:rPr>
                <w:sz w:val="18"/>
                <w:szCs w:val="18"/>
              </w:rPr>
              <w:t>Realiza indagaciones y análisis básicos con documentación parcial.</w:t>
            </w:r>
          </w:p>
        </w:tc>
        <w:tc>
          <w:tcPr>
            <w:tcW w:w="1877" w:type="dxa"/>
            <w:shd w:val="clear" w:color="auto" w:fill="D9E2F3"/>
            <w:vAlign w:val="center"/>
          </w:tcPr>
          <w:p w14:paraId="0EC1E40D" w14:textId="77777777" w:rsidR="00990B14" w:rsidRDefault="00000000">
            <w:pPr>
              <w:spacing w:before="20" w:after="20"/>
              <w:jc w:val="both"/>
            </w:pPr>
            <w:r>
              <w:rPr>
                <w:sz w:val="18"/>
                <w:szCs w:val="18"/>
              </w:rPr>
              <w:t>Documenta indagaciones, procedimientos analíticos y asuntos que requieren seguimiento.</w:t>
            </w:r>
          </w:p>
        </w:tc>
      </w:tr>
      <w:tr w:rsidR="00990B14" w14:paraId="2E57F8AC" w14:textId="77777777">
        <w:trPr>
          <w:cantSplit/>
          <w:jc w:val="center"/>
        </w:trPr>
        <w:tc>
          <w:tcPr>
            <w:tcW w:w="1490" w:type="dxa"/>
            <w:vMerge/>
            <w:shd w:val="clear" w:color="auto" w:fill="4472C4"/>
            <w:vAlign w:val="center"/>
          </w:tcPr>
          <w:p w14:paraId="7729FF33" w14:textId="77777777" w:rsidR="00990B14" w:rsidRDefault="00990B14">
            <w:pPr>
              <w:spacing w:before="20" w:after="20"/>
            </w:pPr>
          </w:p>
        </w:tc>
        <w:tc>
          <w:tcPr>
            <w:tcW w:w="2015" w:type="dxa"/>
            <w:shd w:val="clear" w:color="auto" w:fill="D9E2F3"/>
            <w:vAlign w:val="center"/>
          </w:tcPr>
          <w:p w14:paraId="21304542" w14:textId="77777777" w:rsidR="00990B14" w:rsidRDefault="00000000">
            <w:pPr>
              <w:spacing w:before="20" w:after="20"/>
              <w:jc w:val="both"/>
            </w:pPr>
            <w:r>
              <w:rPr>
                <w:sz w:val="18"/>
                <w:szCs w:val="18"/>
              </w:rPr>
              <w:t>Informe</w:t>
            </w:r>
          </w:p>
        </w:tc>
        <w:tc>
          <w:tcPr>
            <w:tcW w:w="2120" w:type="dxa"/>
            <w:shd w:val="clear" w:color="auto" w:fill="D9E2F3"/>
            <w:vAlign w:val="center"/>
          </w:tcPr>
          <w:p w14:paraId="53DDC706" w14:textId="77777777" w:rsidR="00990B14" w:rsidRDefault="00000000">
            <w:pPr>
              <w:spacing w:before="20" w:after="20"/>
              <w:jc w:val="both"/>
            </w:pPr>
            <w:r>
              <w:rPr>
                <w:sz w:val="18"/>
                <w:szCs w:val="18"/>
              </w:rPr>
              <w:t>Informe incompleto, ambiguo o con conclusión inadecuada.</w:t>
            </w:r>
          </w:p>
        </w:tc>
        <w:tc>
          <w:tcPr>
            <w:tcW w:w="1903" w:type="dxa"/>
            <w:shd w:val="clear" w:color="auto" w:fill="D9E2F3"/>
            <w:vAlign w:val="center"/>
          </w:tcPr>
          <w:p w14:paraId="7E29070B" w14:textId="77777777" w:rsidR="00990B14" w:rsidRDefault="00000000">
            <w:pPr>
              <w:spacing w:before="20" w:after="20"/>
              <w:jc w:val="both"/>
            </w:pPr>
            <w:r>
              <w:rPr>
                <w:sz w:val="18"/>
                <w:szCs w:val="18"/>
              </w:rPr>
              <w:t>Informe entendible con elementos esenciales y ajustes menores.</w:t>
            </w:r>
          </w:p>
        </w:tc>
        <w:tc>
          <w:tcPr>
            <w:tcW w:w="1877" w:type="dxa"/>
            <w:shd w:val="clear" w:color="auto" w:fill="D9E2F3"/>
            <w:vAlign w:val="center"/>
          </w:tcPr>
          <w:p w14:paraId="07003759" w14:textId="77777777" w:rsidR="00990B14" w:rsidRDefault="00000000">
            <w:pPr>
              <w:spacing w:before="20" w:after="20"/>
              <w:jc w:val="both"/>
            </w:pPr>
            <w:r>
              <w:rPr>
                <w:sz w:val="18"/>
                <w:szCs w:val="18"/>
              </w:rPr>
              <w:t>Informe completo, claro y congruente con los resultados y el marco aplicable.</w:t>
            </w:r>
          </w:p>
        </w:tc>
      </w:tr>
      <w:tr w:rsidR="00990B14" w14:paraId="17BA1ACA" w14:textId="77777777">
        <w:trPr>
          <w:cantSplit/>
          <w:jc w:val="center"/>
        </w:trPr>
        <w:tc>
          <w:tcPr>
            <w:tcW w:w="1490" w:type="dxa"/>
            <w:vMerge/>
            <w:shd w:val="clear" w:color="auto" w:fill="4472C4"/>
            <w:vAlign w:val="center"/>
          </w:tcPr>
          <w:p w14:paraId="7FEB9FD1" w14:textId="77777777" w:rsidR="00990B14" w:rsidRDefault="00990B14">
            <w:pPr>
              <w:spacing w:before="20" w:after="20"/>
            </w:pPr>
          </w:p>
        </w:tc>
        <w:tc>
          <w:tcPr>
            <w:tcW w:w="6038" w:type="dxa"/>
            <w:gridSpan w:val="3"/>
            <w:shd w:val="clear" w:color="auto" w:fill="D9E2F3"/>
            <w:vAlign w:val="center"/>
          </w:tcPr>
          <w:p w14:paraId="0D5F241E" w14:textId="77777777" w:rsidR="00990B14" w:rsidRDefault="00000000">
            <w:pPr>
              <w:keepNext/>
              <w:spacing w:before="20" w:after="20"/>
              <w:jc w:val="both"/>
            </w:pPr>
            <w:r>
              <w:rPr>
                <w:b/>
                <w:bCs/>
                <w:i/>
                <w:iCs/>
                <w:sz w:val="18"/>
                <w:szCs w:val="18"/>
              </w:rPr>
              <w:t xml:space="preserve">Producto 9: </w:t>
            </w:r>
            <w:r>
              <w:rPr>
                <w:sz w:val="18"/>
                <w:szCs w:val="18"/>
              </w:rPr>
              <w:t>Términos del encargo</w:t>
            </w:r>
          </w:p>
        </w:tc>
        <w:tc>
          <w:tcPr>
            <w:tcW w:w="1877" w:type="dxa"/>
            <w:shd w:val="clear" w:color="auto" w:fill="D9E2F3"/>
            <w:vAlign w:val="center"/>
          </w:tcPr>
          <w:p w14:paraId="15F94ADF" w14:textId="77777777" w:rsidR="00990B14" w:rsidRDefault="00000000">
            <w:pPr>
              <w:spacing w:before="20" w:after="20"/>
              <w:jc w:val="center"/>
            </w:pPr>
            <w:r>
              <w:rPr>
                <w:b/>
                <w:bCs/>
                <w:sz w:val="18"/>
                <w:szCs w:val="18"/>
              </w:rPr>
              <w:t>4%</w:t>
            </w:r>
          </w:p>
        </w:tc>
      </w:tr>
      <w:tr w:rsidR="00990B14" w14:paraId="3BC71ABE" w14:textId="77777777">
        <w:trPr>
          <w:cantSplit/>
          <w:jc w:val="center"/>
        </w:trPr>
        <w:tc>
          <w:tcPr>
            <w:tcW w:w="1490" w:type="dxa"/>
            <w:vMerge/>
            <w:shd w:val="clear" w:color="auto" w:fill="4472C4"/>
            <w:vAlign w:val="center"/>
          </w:tcPr>
          <w:p w14:paraId="59A27FB0" w14:textId="77777777" w:rsidR="00990B14" w:rsidRDefault="00990B14">
            <w:pPr>
              <w:spacing w:before="20" w:after="20"/>
            </w:pPr>
          </w:p>
        </w:tc>
        <w:tc>
          <w:tcPr>
            <w:tcW w:w="2015" w:type="dxa"/>
            <w:shd w:val="clear" w:color="auto" w:fill="4472C4"/>
            <w:vAlign w:val="center"/>
          </w:tcPr>
          <w:p w14:paraId="4A0967A4" w14:textId="77777777" w:rsidR="00990B14" w:rsidRDefault="00000000">
            <w:pPr>
              <w:keepNext/>
              <w:spacing w:before="20" w:after="20"/>
              <w:jc w:val="center"/>
            </w:pPr>
            <w:r>
              <w:rPr>
                <w:b/>
                <w:bCs/>
                <w:i/>
                <w:iCs/>
                <w:color w:val="FFFFFF"/>
                <w:sz w:val="18"/>
                <w:szCs w:val="18"/>
              </w:rPr>
              <w:t>Criterio</w:t>
            </w:r>
          </w:p>
        </w:tc>
        <w:tc>
          <w:tcPr>
            <w:tcW w:w="2120" w:type="dxa"/>
            <w:shd w:val="clear" w:color="auto" w:fill="4472C4"/>
            <w:vAlign w:val="center"/>
          </w:tcPr>
          <w:p w14:paraId="65D9DD36" w14:textId="77777777" w:rsidR="00990B14" w:rsidRDefault="00000000">
            <w:pPr>
              <w:keepNext/>
              <w:spacing w:before="20" w:after="20"/>
              <w:jc w:val="center"/>
            </w:pPr>
            <w:r>
              <w:rPr>
                <w:b/>
                <w:bCs/>
                <w:i/>
                <w:iCs/>
                <w:color w:val="FFFFFF"/>
                <w:sz w:val="18"/>
                <w:szCs w:val="18"/>
              </w:rPr>
              <w:t>Insuficiente (1–50)</w:t>
            </w:r>
          </w:p>
        </w:tc>
        <w:tc>
          <w:tcPr>
            <w:tcW w:w="1903" w:type="dxa"/>
            <w:shd w:val="clear" w:color="auto" w:fill="4472C4"/>
            <w:vAlign w:val="center"/>
          </w:tcPr>
          <w:p w14:paraId="72084A43"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4315F0E3" w14:textId="77777777" w:rsidR="00990B14" w:rsidRDefault="00000000">
            <w:pPr>
              <w:keepNext/>
              <w:spacing w:before="20" w:after="20"/>
              <w:jc w:val="center"/>
            </w:pPr>
            <w:r>
              <w:rPr>
                <w:b/>
                <w:bCs/>
                <w:i/>
                <w:iCs/>
                <w:color w:val="FFFFFF"/>
                <w:sz w:val="18"/>
                <w:szCs w:val="18"/>
              </w:rPr>
              <w:t>Destacado (81–100)</w:t>
            </w:r>
          </w:p>
        </w:tc>
      </w:tr>
      <w:tr w:rsidR="00990B14" w14:paraId="006A3B4A" w14:textId="77777777">
        <w:trPr>
          <w:cantSplit/>
          <w:jc w:val="center"/>
        </w:trPr>
        <w:tc>
          <w:tcPr>
            <w:tcW w:w="1490" w:type="dxa"/>
            <w:vMerge/>
            <w:shd w:val="clear" w:color="auto" w:fill="4472C4"/>
            <w:vAlign w:val="center"/>
          </w:tcPr>
          <w:p w14:paraId="6059C28A" w14:textId="77777777" w:rsidR="00990B14" w:rsidRDefault="00990B14">
            <w:pPr>
              <w:spacing w:before="20" w:after="20"/>
            </w:pPr>
          </w:p>
        </w:tc>
        <w:tc>
          <w:tcPr>
            <w:tcW w:w="2015" w:type="dxa"/>
            <w:shd w:val="clear" w:color="auto" w:fill="D9E2F3"/>
            <w:vAlign w:val="center"/>
          </w:tcPr>
          <w:p w14:paraId="6E8907F7" w14:textId="77777777" w:rsidR="00990B14" w:rsidRDefault="00000000">
            <w:pPr>
              <w:spacing w:before="20" w:after="20"/>
              <w:jc w:val="both"/>
            </w:pPr>
            <w:r>
              <w:rPr>
                <w:sz w:val="18"/>
                <w:szCs w:val="18"/>
              </w:rPr>
              <w:t>Acuerdo de procedimientos</w:t>
            </w:r>
          </w:p>
        </w:tc>
        <w:tc>
          <w:tcPr>
            <w:tcW w:w="2120" w:type="dxa"/>
            <w:shd w:val="clear" w:color="auto" w:fill="D9E2F3"/>
            <w:vAlign w:val="center"/>
          </w:tcPr>
          <w:p w14:paraId="1A0374C9" w14:textId="77777777" w:rsidR="00990B14" w:rsidRDefault="00000000">
            <w:pPr>
              <w:spacing w:before="20" w:after="20"/>
              <w:jc w:val="both"/>
            </w:pPr>
            <w:r>
              <w:rPr>
                <w:sz w:val="18"/>
                <w:szCs w:val="18"/>
              </w:rPr>
              <w:t>Procedimientos ambiguos, no acordados o sin conexión con la necesidad del cliente.</w:t>
            </w:r>
          </w:p>
        </w:tc>
        <w:tc>
          <w:tcPr>
            <w:tcW w:w="1903" w:type="dxa"/>
            <w:shd w:val="clear" w:color="auto" w:fill="D9E2F3"/>
            <w:vAlign w:val="center"/>
          </w:tcPr>
          <w:p w14:paraId="11A405C9" w14:textId="77777777" w:rsidR="00990B14" w:rsidRDefault="00000000">
            <w:pPr>
              <w:spacing w:before="20" w:after="20"/>
              <w:jc w:val="both"/>
            </w:pPr>
            <w:r>
              <w:rPr>
                <w:sz w:val="18"/>
                <w:szCs w:val="18"/>
              </w:rPr>
              <w:t>Procedimientos y términos principales definidos, con precisiones pendientes.</w:t>
            </w:r>
          </w:p>
        </w:tc>
        <w:tc>
          <w:tcPr>
            <w:tcW w:w="1877" w:type="dxa"/>
            <w:shd w:val="clear" w:color="auto" w:fill="D9E2F3"/>
            <w:vAlign w:val="center"/>
          </w:tcPr>
          <w:p w14:paraId="5C7E9D6D" w14:textId="77777777" w:rsidR="00990B14" w:rsidRDefault="00000000">
            <w:pPr>
              <w:spacing w:before="20" w:after="20"/>
              <w:jc w:val="both"/>
            </w:pPr>
            <w:r>
              <w:rPr>
                <w:sz w:val="18"/>
                <w:szCs w:val="18"/>
              </w:rPr>
              <w:t>Procedimientos específicos, objetivos, acordados y adecuados al propósito del encargo.</w:t>
            </w:r>
          </w:p>
        </w:tc>
      </w:tr>
      <w:tr w:rsidR="00990B14" w14:paraId="4FD56468" w14:textId="77777777">
        <w:trPr>
          <w:cantSplit/>
          <w:jc w:val="center"/>
        </w:trPr>
        <w:tc>
          <w:tcPr>
            <w:tcW w:w="1490" w:type="dxa"/>
            <w:vMerge/>
            <w:shd w:val="clear" w:color="auto" w:fill="4472C4"/>
            <w:vAlign w:val="center"/>
          </w:tcPr>
          <w:p w14:paraId="06712D73" w14:textId="77777777" w:rsidR="00990B14" w:rsidRDefault="00990B14">
            <w:pPr>
              <w:spacing w:before="20" w:after="20"/>
            </w:pPr>
          </w:p>
        </w:tc>
        <w:tc>
          <w:tcPr>
            <w:tcW w:w="2015" w:type="dxa"/>
            <w:shd w:val="clear" w:color="auto" w:fill="D9E2F3"/>
            <w:vAlign w:val="center"/>
          </w:tcPr>
          <w:p w14:paraId="3EE944A8" w14:textId="77777777" w:rsidR="00990B14" w:rsidRDefault="00000000">
            <w:pPr>
              <w:spacing w:before="20" w:after="20"/>
              <w:jc w:val="both"/>
            </w:pPr>
            <w:r>
              <w:rPr>
                <w:sz w:val="18"/>
                <w:szCs w:val="18"/>
              </w:rPr>
              <w:t>Alcance y responsabilidades</w:t>
            </w:r>
          </w:p>
        </w:tc>
        <w:tc>
          <w:tcPr>
            <w:tcW w:w="2120" w:type="dxa"/>
            <w:shd w:val="clear" w:color="auto" w:fill="D9E2F3"/>
            <w:vAlign w:val="center"/>
          </w:tcPr>
          <w:p w14:paraId="15FBC8FE" w14:textId="77777777" w:rsidR="00990B14" w:rsidRDefault="00000000">
            <w:pPr>
              <w:spacing w:before="20" w:after="20"/>
              <w:jc w:val="both"/>
            </w:pPr>
            <w:r>
              <w:rPr>
                <w:sz w:val="18"/>
                <w:szCs w:val="18"/>
              </w:rPr>
              <w:t>No delimita responsabilidades, destinatarios o limitaciones.</w:t>
            </w:r>
          </w:p>
        </w:tc>
        <w:tc>
          <w:tcPr>
            <w:tcW w:w="1903" w:type="dxa"/>
            <w:shd w:val="clear" w:color="auto" w:fill="D9E2F3"/>
            <w:vAlign w:val="center"/>
          </w:tcPr>
          <w:p w14:paraId="775A7856" w14:textId="77777777" w:rsidR="00990B14" w:rsidRDefault="00000000">
            <w:pPr>
              <w:spacing w:before="20" w:after="20"/>
              <w:jc w:val="both"/>
            </w:pPr>
            <w:r>
              <w:rPr>
                <w:sz w:val="18"/>
                <w:szCs w:val="18"/>
              </w:rPr>
              <w:t>Delimita la mayoría de las responsabilidades y condiciones.</w:t>
            </w:r>
          </w:p>
        </w:tc>
        <w:tc>
          <w:tcPr>
            <w:tcW w:w="1877" w:type="dxa"/>
            <w:shd w:val="clear" w:color="auto" w:fill="D9E2F3"/>
            <w:vAlign w:val="center"/>
          </w:tcPr>
          <w:p w14:paraId="64C760B1" w14:textId="77777777" w:rsidR="00990B14" w:rsidRDefault="00000000">
            <w:pPr>
              <w:spacing w:before="20" w:after="20"/>
              <w:jc w:val="both"/>
            </w:pPr>
            <w:r>
              <w:rPr>
                <w:sz w:val="18"/>
                <w:szCs w:val="18"/>
              </w:rPr>
              <w:t>Delimita claramente alcance, responsabilidades, destinatarios, criterios y limitaciones.</w:t>
            </w:r>
          </w:p>
        </w:tc>
      </w:tr>
      <w:tr w:rsidR="00990B14" w14:paraId="736AA2BB" w14:textId="77777777">
        <w:trPr>
          <w:cantSplit/>
          <w:jc w:val="center"/>
        </w:trPr>
        <w:tc>
          <w:tcPr>
            <w:tcW w:w="1490" w:type="dxa"/>
            <w:vMerge/>
            <w:shd w:val="clear" w:color="auto" w:fill="4472C4"/>
            <w:vAlign w:val="center"/>
          </w:tcPr>
          <w:p w14:paraId="4879B828" w14:textId="77777777" w:rsidR="00990B14" w:rsidRDefault="00990B14">
            <w:pPr>
              <w:spacing w:before="20" w:after="20"/>
            </w:pPr>
          </w:p>
        </w:tc>
        <w:tc>
          <w:tcPr>
            <w:tcW w:w="2015" w:type="dxa"/>
            <w:shd w:val="clear" w:color="auto" w:fill="D9E2F3"/>
            <w:vAlign w:val="center"/>
          </w:tcPr>
          <w:p w14:paraId="009AB03A" w14:textId="77777777" w:rsidR="00990B14" w:rsidRDefault="00000000">
            <w:pPr>
              <w:spacing w:before="20" w:after="20"/>
              <w:jc w:val="both"/>
            </w:pPr>
            <w:r>
              <w:rPr>
                <w:sz w:val="18"/>
                <w:szCs w:val="18"/>
              </w:rPr>
              <w:t>Documentación</w:t>
            </w:r>
          </w:p>
        </w:tc>
        <w:tc>
          <w:tcPr>
            <w:tcW w:w="2120" w:type="dxa"/>
            <w:shd w:val="clear" w:color="auto" w:fill="D9E2F3"/>
            <w:vAlign w:val="center"/>
          </w:tcPr>
          <w:p w14:paraId="49673E71" w14:textId="77777777" w:rsidR="00990B14" w:rsidRDefault="00000000">
            <w:pPr>
              <w:spacing w:before="20" w:after="20"/>
              <w:jc w:val="both"/>
            </w:pPr>
            <w:r>
              <w:rPr>
                <w:sz w:val="18"/>
                <w:szCs w:val="18"/>
              </w:rPr>
              <w:t>Términos incompletos o sin constancia de aceptación.</w:t>
            </w:r>
          </w:p>
        </w:tc>
        <w:tc>
          <w:tcPr>
            <w:tcW w:w="1903" w:type="dxa"/>
            <w:shd w:val="clear" w:color="auto" w:fill="D9E2F3"/>
            <w:vAlign w:val="center"/>
          </w:tcPr>
          <w:p w14:paraId="18D356B0" w14:textId="77777777" w:rsidR="00990B14" w:rsidRDefault="00000000">
            <w:pPr>
              <w:spacing w:before="20" w:after="20"/>
              <w:jc w:val="both"/>
            </w:pPr>
            <w:r>
              <w:rPr>
                <w:sz w:val="18"/>
                <w:szCs w:val="18"/>
              </w:rPr>
              <w:t>Documento suficiente con algunos datos o formalidades pendientes.</w:t>
            </w:r>
          </w:p>
        </w:tc>
        <w:tc>
          <w:tcPr>
            <w:tcW w:w="1877" w:type="dxa"/>
            <w:shd w:val="clear" w:color="auto" w:fill="D9E2F3"/>
            <w:vAlign w:val="center"/>
          </w:tcPr>
          <w:p w14:paraId="7EB15083" w14:textId="77777777" w:rsidR="00990B14" w:rsidRDefault="00000000">
            <w:pPr>
              <w:spacing w:before="20" w:after="20"/>
              <w:jc w:val="both"/>
            </w:pPr>
            <w:r>
              <w:rPr>
                <w:sz w:val="18"/>
                <w:szCs w:val="18"/>
              </w:rPr>
              <w:t>Documento íntegro, consistente y formalizado, con evidencia de aceptación.</w:t>
            </w:r>
          </w:p>
        </w:tc>
      </w:tr>
      <w:tr w:rsidR="00990B14" w14:paraId="2F6E138F" w14:textId="77777777">
        <w:trPr>
          <w:cantSplit/>
          <w:jc w:val="center"/>
        </w:trPr>
        <w:tc>
          <w:tcPr>
            <w:tcW w:w="1490" w:type="dxa"/>
            <w:vMerge/>
            <w:shd w:val="clear" w:color="auto" w:fill="4472C4"/>
            <w:vAlign w:val="center"/>
          </w:tcPr>
          <w:p w14:paraId="5CF1C490" w14:textId="77777777" w:rsidR="00990B14" w:rsidRDefault="00990B14">
            <w:pPr>
              <w:spacing w:before="20" w:after="20"/>
            </w:pPr>
          </w:p>
        </w:tc>
        <w:tc>
          <w:tcPr>
            <w:tcW w:w="6038" w:type="dxa"/>
            <w:gridSpan w:val="3"/>
            <w:shd w:val="clear" w:color="auto" w:fill="D9E2F3"/>
            <w:vAlign w:val="center"/>
          </w:tcPr>
          <w:p w14:paraId="420EA00E" w14:textId="77777777" w:rsidR="00990B14" w:rsidRDefault="00000000">
            <w:pPr>
              <w:keepNext/>
              <w:spacing w:before="20" w:after="20"/>
              <w:jc w:val="both"/>
            </w:pPr>
            <w:r>
              <w:rPr>
                <w:b/>
                <w:bCs/>
                <w:i/>
                <w:iCs/>
                <w:sz w:val="18"/>
                <w:szCs w:val="18"/>
              </w:rPr>
              <w:t xml:space="preserve">Producto 10: </w:t>
            </w:r>
            <w:r>
              <w:rPr>
                <w:sz w:val="18"/>
                <w:szCs w:val="18"/>
              </w:rPr>
              <w:t>Informe de procedimientos acordados</w:t>
            </w:r>
          </w:p>
        </w:tc>
        <w:tc>
          <w:tcPr>
            <w:tcW w:w="1877" w:type="dxa"/>
            <w:shd w:val="clear" w:color="auto" w:fill="D9E2F3"/>
            <w:vAlign w:val="center"/>
          </w:tcPr>
          <w:p w14:paraId="461F0776" w14:textId="77777777" w:rsidR="00990B14" w:rsidRDefault="00000000">
            <w:pPr>
              <w:spacing w:before="20" w:after="20"/>
              <w:jc w:val="center"/>
            </w:pPr>
            <w:r>
              <w:rPr>
                <w:b/>
                <w:bCs/>
                <w:sz w:val="18"/>
                <w:szCs w:val="18"/>
              </w:rPr>
              <w:t>4%</w:t>
            </w:r>
          </w:p>
        </w:tc>
      </w:tr>
      <w:tr w:rsidR="00990B14" w14:paraId="4078647C" w14:textId="77777777">
        <w:trPr>
          <w:cantSplit/>
          <w:jc w:val="center"/>
        </w:trPr>
        <w:tc>
          <w:tcPr>
            <w:tcW w:w="1490" w:type="dxa"/>
            <w:vMerge/>
            <w:shd w:val="clear" w:color="auto" w:fill="4472C4"/>
            <w:vAlign w:val="center"/>
          </w:tcPr>
          <w:p w14:paraId="2CF118B0" w14:textId="77777777" w:rsidR="00990B14" w:rsidRDefault="00990B14">
            <w:pPr>
              <w:spacing w:before="20" w:after="20"/>
            </w:pPr>
          </w:p>
        </w:tc>
        <w:tc>
          <w:tcPr>
            <w:tcW w:w="2015" w:type="dxa"/>
            <w:shd w:val="clear" w:color="auto" w:fill="4472C4"/>
            <w:vAlign w:val="center"/>
          </w:tcPr>
          <w:p w14:paraId="384CD335" w14:textId="77777777" w:rsidR="00990B14" w:rsidRDefault="00000000">
            <w:pPr>
              <w:keepNext/>
              <w:spacing w:before="20" w:after="20"/>
              <w:jc w:val="center"/>
            </w:pPr>
            <w:r>
              <w:rPr>
                <w:b/>
                <w:bCs/>
                <w:i/>
                <w:iCs/>
                <w:color w:val="FFFFFF"/>
                <w:sz w:val="18"/>
                <w:szCs w:val="18"/>
              </w:rPr>
              <w:t>Criterio</w:t>
            </w:r>
          </w:p>
        </w:tc>
        <w:tc>
          <w:tcPr>
            <w:tcW w:w="2120" w:type="dxa"/>
            <w:shd w:val="clear" w:color="auto" w:fill="4472C4"/>
            <w:vAlign w:val="center"/>
          </w:tcPr>
          <w:p w14:paraId="764F65BA" w14:textId="77777777" w:rsidR="00990B14" w:rsidRDefault="00000000">
            <w:pPr>
              <w:keepNext/>
              <w:spacing w:before="20" w:after="20"/>
              <w:jc w:val="center"/>
            </w:pPr>
            <w:r>
              <w:rPr>
                <w:b/>
                <w:bCs/>
                <w:i/>
                <w:iCs/>
                <w:color w:val="FFFFFF"/>
                <w:sz w:val="18"/>
                <w:szCs w:val="18"/>
              </w:rPr>
              <w:t>Insuficiente (1–50)</w:t>
            </w:r>
          </w:p>
        </w:tc>
        <w:tc>
          <w:tcPr>
            <w:tcW w:w="1903" w:type="dxa"/>
            <w:shd w:val="clear" w:color="auto" w:fill="4472C4"/>
            <w:vAlign w:val="center"/>
          </w:tcPr>
          <w:p w14:paraId="5EFE89BA"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65F699D5" w14:textId="77777777" w:rsidR="00990B14" w:rsidRDefault="00000000">
            <w:pPr>
              <w:keepNext/>
              <w:spacing w:before="20" w:after="20"/>
              <w:jc w:val="center"/>
            </w:pPr>
            <w:r>
              <w:rPr>
                <w:b/>
                <w:bCs/>
                <w:i/>
                <w:iCs/>
                <w:color w:val="FFFFFF"/>
                <w:sz w:val="18"/>
                <w:szCs w:val="18"/>
              </w:rPr>
              <w:t>Destacado (81–100)</w:t>
            </w:r>
          </w:p>
        </w:tc>
      </w:tr>
      <w:tr w:rsidR="00990B14" w14:paraId="1E142CE1" w14:textId="77777777">
        <w:trPr>
          <w:cantSplit/>
          <w:jc w:val="center"/>
        </w:trPr>
        <w:tc>
          <w:tcPr>
            <w:tcW w:w="1490" w:type="dxa"/>
            <w:vMerge/>
            <w:shd w:val="clear" w:color="auto" w:fill="4472C4"/>
            <w:vAlign w:val="center"/>
          </w:tcPr>
          <w:p w14:paraId="65B3B64C" w14:textId="77777777" w:rsidR="00990B14" w:rsidRDefault="00990B14">
            <w:pPr>
              <w:spacing w:before="20" w:after="20"/>
            </w:pPr>
          </w:p>
        </w:tc>
        <w:tc>
          <w:tcPr>
            <w:tcW w:w="2015" w:type="dxa"/>
            <w:shd w:val="clear" w:color="auto" w:fill="D9E2F3"/>
            <w:vAlign w:val="center"/>
          </w:tcPr>
          <w:p w14:paraId="3A6565DD" w14:textId="77777777" w:rsidR="00990B14" w:rsidRDefault="00000000">
            <w:pPr>
              <w:spacing w:before="20" w:after="20"/>
              <w:jc w:val="both"/>
            </w:pPr>
            <w:r>
              <w:rPr>
                <w:sz w:val="18"/>
                <w:szCs w:val="18"/>
              </w:rPr>
              <w:t>Ejecución de procedimientos</w:t>
            </w:r>
          </w:p>
        </w:tc>
        <w:tc>
          <w:tcPr>
            <w:tcW w:w="2120" w:type="dxa"/>
            <w:shd w:val="clear" w:color="auto" w:fill="D9E2F3"/>
            <w:vAlign w:val="center"/>
          </w:tcPr>
          <w:p w14:paraId="5F01AA79" w14:textId="77777777" w:rsidR="00990B14" w:rsidRDefault="00000000">
            <w:pPr>
              <w:spacing w:before="20" w:after="20"/>
              <w:jc w:val="both"/>
            </w:pPr>
            <w:r>
              <w:rPr>
                <w:sz w:val="18"/>
                <w:szCs w:val="18"/>
              </w:rPr>
              <w:t>Procedimientos ejecutados de forma incompleta o distinta de lo acordado.</w:t>
            </w:r>
          </w:p>
        </w:tc>
        <w:tc>
          <w:tcPr>
            <w:tcW w:w="1903" w:type="dxa"/>
            <w:shd w:val="clear" w:color="auto" w:fill="D9E2F3"/>
            <w:vAlign w:val="center"/>
          </w:tcPr>
          <w:p w14:paraId="5DF5BFF8" w14:textId="77777777" w:rsidR="00990B14" w:rsidRDefault="00000000">
            <w:pPr>
              <w:spacing w:before="20" w:after="20"/>
              <w:jc w:val="both"/>
            </w:pPr>
            <w:r>
              <w:rPr>
                <w:sz w:val="18"/>
                <w:szCs w:val="18"/>
              </w:rPr>
              <w:t>Ejecuta los procedimientos principales y registra parte de los resultados.</w:t>
            </w:r>
          </w:p>
        </w:tc>
        <w:tc>
          <w:tcPr>
            <w:tcW w:w="1877" w:type="dxa"/>
            <w:shd w:val="clear" w:color="auto" w:fill="D9E2F3"/>
            <w:vAlign w:val="center"/>
          </w:tcPr>
          <w:p w14:paraId="37D26908" w14:textId="77777777" w:rsidR="00990B14" w:rsidRDefault="00000000">
            <w:pPr>
              <w:spacing w:before="20" w:after="20"/>
              <w:jc w:val="both"/>
            </w:pPr>
            <w:r>
              <w:rPr>
                <w:sz w:val="18"/>
                <w:szCs w:val="18"/>
              </w:rPr>
              <w:t>Ejecuta exactamente los procedimientos acordados y documenta el trabajo realizado.</w:t>
            </w:r>
          </w:p>
        </w:tc>
      </w:tr>
      <w:tr w:rsidR="00990B14" w14:paraId="502D49DC" w14:textId="77777777">
        <w:trPr>
          <w:cantSplit/>
          <w:jc w:val="center"/>
        </w:trPr>
        <w:tc>
          <w:tcPr>
            <w:tcW w:w="1490" w:type="dxa"/>
            <w:vMerge/>
            <w:shd w:val="clear" w:color="auto" w:fill="4472C4"/>
            <w:vAlign w:val="center"/>
          </w:tcPr>
          <w:p w14:paraId="070A6678" w14:textId="77777777" w:rsidR="00990B14" w:rsidRDefault="00990B14">
            <w:pPr>
              <w:spacing w:before="20" w:after="20"/>
            </w:pPr>
          </w:p>
        </w:tc>
        <w:tc>
          <w:tcPr>
            <w:tcW w:w="2015" w:type="dxa"/>
            <w:shd w:val="clear" w:color="auto" w:fill="D9E2F3"/>
            <w:vAlign w:val="center"/>
          </w:tcPr>
          <w:p w14:paraId="3509BBF2" w14:textId="77777777" w:rsidR="00990B14" w:rsidRDefault="00000000">
            <w:pPr>
              <w:spacing w:before="20" w:after="20"/>
              <w:jc w:val="both"/>
            </w:pPr>
            <w:r>
              <w:rPr>
                <w:sz w:val="18"/>
                <w:szCs w:val="18"/>
              </w:rPr>
              <w:t>Hallazgos factuales</w:t>
            </w:r>
          </w:p>
        </w:tc>
        <w:tc>
          <w:tcPr>
            <w:tcW w:w="2120" w:type="dxa"/>
            <w:shd w:val="clear" w:color="auto" w:fill="D9E2F3"/>
            <w:vAlign w:val="center"/>
          </w:tcPr>
          <w:p w14:paraId="517C0F26" w14:textId="77777777" w:rsidR="00990B14" w:rsidRDefault="00000000">
            <w:pPr>
              <w:spacing w:before="20" w:after="20"/>
              <w:jc w:val="both"/>
            </w:pPr>
            <w:r>
              <w:rPr>
                <w:sz w:val="18"/>
                <w:szCs w:val="18"/>
              </w:rPr>
              <w:t>Hallazgos interpretativos, no verificables o sin soporte.</w:t>
            </w:r>
          </w:p>
        </w:tc>
        <w:tc>
          <w:tcPr>
            <w:tcW w:w="1903" w:type="dxa"/>
            <w:shd w:val="clear" w:color="auto" w:fill="D9E2F3"/>
            <w:vAlign w:val="center"/>
          </w:tcPr>
          <w:p w14:paraId="1F5E15A6" w14:textId="77777777" w:rsidR="00990B14" w:rsidRDefault="00000000">
            <w:pPr>
              <w:spacing w:before="20" w:after="20"/>
              <w:jc w:val="both"/>
            </w:pPr>
            <w:r>
              <w:rPr>
                <w:sz w:val="18"/>
                <w:szCs w:val="18"/>
              </w:rPr>
              <w:t>Hallazgos mayormente factuales con soporte básico.</w:t>
            </w:r>
          </w:p>
        </w:tc>
        <w:tc>
          <w:tcPr>
            <w:tcW w:w="1877" w:type="dxa"/>
            <w:shd w:val="clear" w:color="auto" w:fill="D9E2F3"/>
            <w:vAlign w:val="center"/>
          </w:tcPr>
          <w:p w14:paraId="777149E8" w14:textId="77777777" w:rsidR="00990B14" w:rsidRDefault="00000000">
            <w:pPr>
              <w:spacing w:before="20" w:after="20"/>
              <w:jc w:val="both"/>
            </w:pPr>
            <w:r>
              <w:rPr>
                <w:sz w:val="18"/>
                <w:szCs w:val="18"/>
              </w:rPr>
              <w:t>Comunica hallazgos factuales verificables, sin emitir aseguramiento ni conclusiones no autorizadas.</w:t>
            </w:r>
          </w:p>
        </w:tc>
      </w:tr>
      <w:tr w:rsidR="00990B14" w14:paraId="3760569C" w14:textId="77777777">
        <w:trPr>
          <w:cantSplit/>
          <w:jc w:val="center"/>
        </w:trPr>
        <w:tc>
          <w:tcPr>
            <w:tcW w:w="1490" w:type="dxa"/>
            <w:vMerge/>
            <w:shd w:val="clear" w:color="auto" w:fill="4472C4"/>
            <w:vAlign w:val="center"/>
          </w:tcPr>
          <w:p w14:paraId="74774B12" w14:textId="77777777" w:rsidR="00990B14" w:rsidRDefault="00990B14">
            <w:pPr>
              <w:spacing w:before="20" w:after="20"/>
            </w:pPr>
          </w:p>
        </w:tc>
        <w:tc>
          <w:tcPr>
            <w:tcW w:w="2015" w:type="dxa"/>
            <w:shd w:val="clear" w:color="auto" w:fill="D9E2F3"/>
            <w:vAlign w:val="center"/>
          </w:tcPr>
          <w:p w14:paraId="1F87DCB0" w14:textId="77777777" w:rsidR="00990B14" w:rsidRDefault="00000000">
            <w:pPr>
              <w:spacing w:before="20" w:after="20"/>
              <w:jc w:val="both"/>
            </w:pPr>
            <w:r>
              <w:rPr>
                <w:sz w:val="18"/>
                <w:szCs w:val="18"/>
              </w:rPr>
              <w:t>Informe y trazabilidad</w:t>
            </w:r>
          </w:p>
        </w:tc>
        <w:tc>
          <w:tcPr>
            <w:tcW w:w="2120" w:type="dxa"/>
            <w:shd w:val="clear" w:color="auto" w:fill="D9E2F3"/>
            <w:vAlign w:val="center"/>
          </w:tcPr>
          <w:p w14:paraId="3A2A1C30" w14:textId="77777777" w:rsidR="00990B14" w:rsidRDefault="00000000">
            <w:pPr>
              <w:spacing w:before="20" w:after="20"/>
              <w:jc w:val="both"/>
            </w:pPr>
            <w:r>
              <w:rPr>
                <w:sz w:val="18"/>
                <w:szCs w:val="18"/>
              </w:rPr>
              <w:t>Informe incompleto o sin referencias a papeles de trabajo.</w:t>
            </w:r>
          </w:p>
        </w:tc>
        <w:tc>
          <w:tcPr>
            <w:tcW w:w="1903" w:type="dxa"/>
            <w:shd w:val="clear" w:color="auto" w:fill="D9E2F3"/>
            <w:vAlign w:val="center"/>
          </w:tcPr>
          <w:p w14:paraId="7C882584" w14:textId="77777777" w:rsidR="00990B14" w:rsidRDefault="00000000">
            <w:pPr>
              <w:spacing w:before="20" w:after="20"/>
              <w:jc w:val="both"/>
            </w:pPr>
            <w:r>
              <w:rPr>
                <w:sz w:val="18"/>
                <w:szCs w:val="18"/>
              </w:rPr>
              <w:t>Informe organizado con referencias parciales.</w:t>
            </w:r>
          </w:p>
        </w:tc>
        <w:tc>
          <w:tcPr>
            <w:tcW w:w="1877" w:type="dxa"/>
            <w:shd w:val="clear" w:color="auto" w:fill="D9E2F3"/>
            <w:vAlign w:val="center"/>
          </w:tcPr>
          <w:p w14:paraId="0E142F1E" w14:textId="77777777" w:rsidR="00990B14" w:rsidRDefault="00000000">
            <w:pPr>
              <w:spacing w:before="20" w:after="20"/>
              <w:jc w:val="both"/>
            </w:pPr>
            <w:r>
              <w:rPr>
                <w:sz w:val="18"/>
                <w:szCs w:val="18"/>
              </w:rPr>
              <w:t>Informe claro, objetivo, completo y trazable a procedimientos y evidencia.</w:t>
            </w:r>
          </w:p>
        </w:tc>
      </w:tr>
      <w:tr w:rsidR="00990B14" w14:paraId="625810F1" w14:textId="77777777">
        <w:trPr>
          <w:cantSplit/>
          <w:jc w:val="center"/>
        </w:trPr>
        <w:tc>
          <w:tcPr>
            <w:tcW w:w="1490" w:type="dxa"/>
            <w:vMerge/>
            <w:shd w:val="clear" w:color="auto" w:fill="4472C4"/>
            <w:vAlign w:val="center"/>
          </w:tcPr>
          <w:p w14:paraId="05E767CE" w14:textId="77777777" w:rsidR="00990B14" w:rsidRDefault="00990B14">
            <w:pPr>
              <w:spacing w:before="20" w:after="20"/>
            </w:pPr>
          </w:p>
        </w:tc>
        <w:tc>
          <w:tcPr>
            <w:tcW w:w="6038" w:type="dxa"/>
            <w:gridSpan w:val="3"/>
            <w:shd w:val="clear" w:color="auto" w:fill="D9E2F3"/>
            <w:vAlign w:val="center"/>
          </w:tcPr>
          <w:p w14:paraId="1986081B" w14:textId="77777777" w:rsidR="00990B14" w:rsidRDefault="00000000">
            <w:pPr>
              <w:keepNext/>
              <w:spacing w:before="20" w:after="20"/>
              <w:jc w:val="both"/>
            </w:pPr>
            <w:r>
              <w:rPr>
                <w:b/>
                <w:bCs/>
                <w:i/>
                <w:iCs/>
                <w:sz w:val="18"/>
                <w:szCs w:val="18"/>
              </w:rPr>
              <w:t xml:space="preserve">Producto 11: </w:t>
            </w:r>
            <w:r>
              <w:rPr>
                <w:sz w:val="18"/>
                <w:szCs w:val="18"/>
              </w:rPr>
              <w:t>Estados financieros compilados</w:t>
            </w:r>
          </w:p>
        </w:tc>
        <w:tc>
          <w:tcPr>
            <w:tcW w:w="1877" w:type="dxa"/>
            <w:shd w:val="clear" w:color="auto" w:fill="D9E2F3"/>
            <w:vAlign w:val="center"/>
          </w:tcPr>
          <w:p w14:paraId="45F1A51D" w14:textId="77777777" w:rsidR="00990B14" w:rsidRDefault="00000000">
            <w:pPr>
              <w:spacing w:before="20" w:after="20"/>
              <w:jc w:val="center"/>
            </w:pPr>
            <w:r>
              <w:rPr>
                <w:b/>
                <w:bCs/>
                <w:sz w:val="18"/>
                <w:szCs w:val="18"/>
              </w:rPr>
              <w:t>4%</w:t>
            </w:r>
          </w:p>
        </w:tc>
      </w:tr>
      <w:tr w:rsidR="00990B14" w14:paraId="5AA8AA67" w14:textId="77777777">
        <w:trPr>
          <w:cantSplit/>
          <w:jc w:val="center"/>
        </w:trPr>
        <w:tc>
          <w:tcPr>
            <w:tcW w:w="1490" w:type="dxa"/>
            <w:vMerge/>
            <w:shd w:val="clear" w:color="auto" w:fill="4472C4"/>
            <w:vAlign w:val="center"/>
          </w:tcPr>
          <w:p w14:paraId="678ECB5C" w14:textId="77777777" w:rsidR="00990B14" w:rsidRDefault="00990B14">
            <w:pPr>
              <w:spacing w:before="20" w:after="20"/>
            </w:pPr>
          </w:p>
        </w:tc>
        <w:tc>
          <w:tcPr>
            <w:tcW w:w="2015" w:type="dxa"/>
            <w:shd w:val="clear" w:color="auto" w:fill="4472C4"/>
            <w:vAlign w:val="center"/>
          </w:tcPr>
          <w:p w14:paraId="6C1C7225" w14:textId="77777777" w:rsidR="00990B14" w:rsidRDefault="00000000">
            <w:pPr>
              <w:keepNext/>
              <w:spacing w:before="20" w:after="20"/>
              <w:jc w:val="center"/>
            </w:pPr>
            <w:r>
              <w:rPr>
                <w:b/>
                <w:bCs/>
                <w:i/>
                <w:iCs/>
                <w:color w:val="FFFFFF"/>
                <w:sz w:val="18"/>
                <w:szCs w:val="18"/>
              </w:rPr>
              <w:t>Criterio</w:t>
            </w:r>
          </w:p>
        </w:tc>
        <w:tc>
          <w:tcPr>
            <w:tcW w:w="2120" w:type="dxa"/>
            <w:shd w:val="clear" w:color="auto" w:fill="4472C4"/>
            <w:vAlign w:val="center"/>
          </w:tcPr>
          <w:p w14:paraId="1A53DA99" w14:textId="77777777" w:rsidR="00990B14" w:rsidRDefault="00000000">
            <w:pPr>
              <w:keepNext/>
              <w:spacing w:before="20" w:after="20"/>
              <w:jc w:val="center"/>
            </w:pPr>
            <w:r>
              <w:rPr>
                <w:b/>
                <w:bCs/>
                <w:i/>
                <w:iCs/>
                <w:color w:val="FFFFFF"/>
                <w:sz w:val="18"/>
                <w:szCs w:val="18"/>
              </w:rPr>
              <w:t>Insuficiente (1–50)</w:t>
            </w:r>
          </w:p>
        </w:tc>
        <w:tc>
          <w:tcPr>
            <w:tcW w:w="1903" w:type="dxa"/>
            <w:shd w:val="clear" w:color="auto" w:fill="4472C4"/>
            <w:vAlign w:val="center"/>
          </w:tcPr>
          <w:p w14:paraId="1DF5DB74"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7BF0A9A2" w14:textId="77777777" w:rsidR="00990B14" w:rsidRDefault="00000000">
            <w:pPr>
              <w:keepNext/>
              <w:spacing w:before="20" w:after="20"/>
              <w:jc w:val="center"/>
            </w:pPr>
            <w:r>
              <w:rPr>
                <w:b/>
                <w:bCs/>
                <w:i/>
                <w:iCs/>
                <w:color w:val="FFFFFF"/>
                <w:sz w:val="18"/>
                <w:szCs w:val="18"/>
              </w:rPr>
              <w:t>Destacado (81–100)</w:t>
            </w:r>
          </w:p>
        </w:tc>
      </w:tr>
      <w:tr w:rsidR="00990B14" w14:paraId="5200B4DD" w14:textId="77777777">
        <w:trPr>
          <w:cantSplit/>
          <w:jc w:val="center"/>
        </w:trPr>
        <w:tc>
          <w:tcPr>
            <w:tcW w:w="1490" w:type="dxa"/>
            <w:vMerge/>
            <w:shd w:val="clear" w:color="auto" w:fill="4472C4"/>
            <w:vAlign w:val="center"/>
          </w:tcPr>
          <w:p w14:paraId="139E29AE" w14:textId="77777777" w:rsidR="00990B14" w:rsidRDefault="00990B14">
            <w:pPr>
              <w:spacing w:before="20" w:after="20"/>
            </w:pPr>
          </w:p>
        </w:tc>
        <w:tc>
          <w:tcPr>
            <w:tcW w:w="2015" w:type="dxa"/>
            <w:shd w:val="clear" w:color="auto" w:fill="D9E2F3"/>
            <w:vAlign w:val="center"/>
          </w:tcPr>
          <w:p w14:paraId="35B1C025" w14:textId="77777777" w:rsidR="00990B14" w:rsidRDefault="00000000">
            <w:pPr>
              <w:spacing w:before="20" w:after="20"/>
              <w:jc w:val="both"/>
            </w:pPr>
            <w:r>
              <w:rPr>
                <w:sz w:val="18"/>
                <w:szCs w:val="18"/>
              </w:rPr>
              <w:t>Integridad de la información</w:t>
            </w:r>
          </w:p>
        </w:tc>
        <w:tc>
          <w:tcPr>
            <w:tcW w:w="2120" w:type="dxa"/>
            <w:shd w:val="clear" w:color="auto" w:fill="D9E2F3"/>
            <w:vAlign w:val="center"/>
          </w:tcPr>
          <w:p w14:paraId="7F250D4D" w14:textId="77777777" w:rsidR="00990B14" w:rsidRDefault="00000000">
            <w:pPr>
              <w:spacing w:before="20" w:after="20"/>
              <w:jc w:val="both"/>
            </w:pPr>
            <w:r>
              <w:rPr>
                <w:sz w:val="18"/>
                <w:szCs w:val="18"/>
              </w:rPr>
              <w:t>Estados compilados con datos faltantes, inconsistencias o ajustes no identificados.</w:t>
            </w:r>
          </w:p>
        </w:tc>
        <w:tc>
          <w:tcPr>
            <w:tcW w:w="1903" w:type="dxa"/>
            <w:shd w:val="clear" w:color="auto" w:fill="D9E2F3"/>
            <w:vAlign w:val="center"/>
          </w:tcPr>
          <w:p w14:paraId="4B7C3636" w14:textId="77777777" w:rsidR="00990B14" w:rsidRDefault="00000000">
            <w:pPr>
              <w:spacing w:before="20" w:after="20"/>
              <w:jc w:val="both"/>
            </w:pPr>
            <w:r>
              <w:rPr>
                <w:sz w:val="18"/>
                <w:szCs w:val="18"/>
              </w:rPr>
              <w:t>Información esencial incorporada con inconsistencias menores documentadas.</w:t>
            </w:r>
          </w:p>
        </w:tc>
        <w:tc>
          <w:tcPr>
            <w:tcW w:w="1877" w:type="dxa"/>
            <w:shd w:val="clear" w:color="auto" w:fill="D9E2F3"/>
            <w:vAlign w:val="center"/>
          </w:tcPr>
          <w:p w14:paraId="77389D8A" w14:textId="77777777" w:rsidR="00990B14" w:rsidRDefault="00000000">
            <w:pPr>
              <w:spacing w:before="20" w:after="20"/>
              <w:jc w:val="both"/>
            </w:pPr>
            <w:r>
              <w:rPr>
                <w:sz w:val="18"/>
                <w:szCs w:val="18"/>
              </w:rPr>
              <w:t>Información completa y coherente, con ajustes y fuentes identificados y conciliados.</w:t>
            </w:r>
          </w:p>
        </w:tc>
      </w:tr>
      <w:tr w:rsidR="00990B14" w14:paraId="60BE6542" w14:textId="77777777">
        <w:trPr>
          <w:cantSplit/>
          <w:jc w:val="center"/>
        </w:trPr>
        <w:tc>
          <w:tcPr>
            <w:tcW w:w="1490" w:type="dxa"/>
            <w:vMerge/>
            <w:shd w:val="clear" w:color="auto" w:fill="4472C4"/>
            <w:vAlign w:val="center"/>
          </w:tcPr>
          <w:p w14:paraId="00275456" w14:textId="77777777" w:rsidR="00990B14" w:rsidRDefault="00990B14">
            <w:pPr>
              <w:spacing w:before="20" w:after="20"/>
            </w:pPr>
          </w:p>
        </w:tc>
        <w:tc>
          <w:tcPr>
            <w:tcW w:w="2015" w:type="dxa"/>
            <w:shd w:val="clear" w:color="auto" w:fill="D9E2F3"/>
            <w:vAlign w:val="center"/>
          </w:tcPr>
          <w:p w14:paraId="7FDB16BE" w14:textId="77777777" w:rsidR="00990B14" w:rsidRDefault="00000000">
            <w:pPr>
              <w:spacing w:before="20" w:after="20"/>
              <w:jc w:val="both"/>
            </w:pPr>
            <w:r>
              <w:rPr>
                <w:sz w:val="18"/>
                <w:szCs w:val="18"/>
              </w:rPr>
              <w:t>Presentación financiera</w:t>
            </w:r>
          </w:p>
        </w:tc>
        <w:tc>
          <w:tcPr>
            <w:tcW w:w="2120" w:type="dxa"/>
            <w:shd w:val="clear" w:color="auto" w:fill="D9E2F3"/>
            <w:vAlign w:val="center"/>
          </w:tcPr>
          <w:p w14:paraId="13047D60" w14:textId="77777777" w:rsidR="00990B14" w:rsidRDefault="00000000">
            <w:pPr>
              <w:spacing w:before="20" w:after="20"/>
              <w:jc w:val="both"/>
            </w:pPr>
            <w:r>
              <w:rPr>
                <w:sz w:val="18"/>
                <w:szCs w:val="18"/>
              </w:rPr>
              <w:t>Estructura o clasificación inadecuada y errores materiales de presentación.</w:t>
            </w:r>
          </w:p>
        </w:tc>
        <w:tc>
          <w:tcPr>
            <w:tcW w:w="1903" w:type="dxa"/>
            <w:shd w:val="clear" w:color="auto" w:fill="D9E2F3"/>
            <w:vAlign w:val="center"/>
          </w:tcPr>
          <w:p w14:paraId="2E4A819A" w14:textId="77777777" w:rsidR="00990B14" w:rsidRDefault="00000000">
            <w:pPr>
              <w:spacing w:before="20" w:after="20"/>
              <w:jc w:val="both"/>
            </w:pPr>
            <w:r>
              <w:rPr>
                <w:sz w:val="18"/>
                <w:szCs w:val="18"/>
              </w:rPr>
              <w:t>Presentación aceptable con detalles de clasificación por corregir.</w:t>
            </w:r>
          </w:p>
        </w:tc>
        <w:tc>
          <w:tcPr>
            <w:tcW w:w="1877" w:type="dxa"/>
            <w:shd w:val="clear" w:color="auto" w:fill="D9E2F3"/>
            <w:vAlign w:val="center"/>
          </w:tcPr>
          <w:p w14:paraId="7B5AAD7C" w14:textId="77777777" w:rsidR="00990B14" w:rsidRDefault="00000000">
            <w:pPr>
              <w:spacing w:before="20" w:after="20"/>
              <w:jc w:val="both"/>
            </w:pPr>
            <w:r>
              <w:rPr>
                <w:sz w:val="18"/>
                <w:szCs w:val="18"/>
              </w:rPr>
              <w:t>Presentación ordenada y consistente con el marco de información financiera indicado.</w:t>
            </w:r>
          </w:p>
        </w:tc>
      </w:tr>
      <w:tr w:rsidR="00990B14" w14:paraId="745CF94C" w14:textId="77777777">
        <w:trPr>
          <w:cantSplit/>
          <w:jc w:val="center"/>
        </w:trPr>
        <w:tc>
          <w:tcPr>
            <w:tcW w:w="1490" w:type="dxa"/>
            <w:vMerge/>
            <w:shd w:val="clear" w:color="auto" w:fill="4472C4"/>
            <w:vAlign w:val="center"/>
          </w:tcPr>
          <w:p w14:paraId="033F6E85" w14:textId="77777777" w:rsidR="00990B14" w:rsidRDefault="00990B14">
            <w:pPr>
              <w:spacing w:before="20" w:after="20"/>
            </w:pPr>
          </w:p>
        </w:tc>
        <w:tc>
          <w:tcPr>
            <w:tcW w:w="2015" w:type="dxa"/>
            <w:shd w:val="clear" w:color="auto" w:fill="D9E2F3"/>
            <w:vAlign w:val="center"/>
          </w:tcPr>
          <w:p w14:paraId="337F9A1E" w14:textId="77777777" w:rsidR="00990B14" w:rsidRDefault="00000000">
            <w:pPr>
              <w:spacing w:before="20" w:after="20"/>
              <w:jc w:val="both"/>
            </w:pPr>
            <w:r>
              <w:rPr>
                <w:sz w:val="18"/>
                <w:szCs w:val="18"/>
              </w:rPr>
              <w:t>Herramientas y documentación</w:t>
            </w:r>
          </w:p>
        </w:tc>
        <w:tc>
          <w:tcPr>
            <w:tcW w:w="2120" w:type="dxa"/>
            <w:shd w:val="clear" w:color="auto" w:fill="D9E2F3"/>
            <w:vAlign w:val="center"/>
          </w:tcPr>
          <w:p w14:paraId="41483469" w14:textId="77777777" w:rsidR="00990B14" w:rsidRDefault="00000000">
            <w:pPr>
              <w:spacing w:before="20" w:after="20"/>
              <w:jc w:val="both"/>
            </w:pPr>
            <w:r>
              <w:rPr>
                <w:sz w:val="18"/>
                <w:szCs w:val="18"/>
              </w:rPr>
              <w:t>No conserva archivos fuente, versiones o documentación de soporte.</w:t>
            </w:r>
          </w:p>
        </w:tc>
        <w:tc>
          <w:tcPr>
            <w:tcW w:w="1903" w:type="dxa"/>
            <w:shd w:val="clear" w:color="auto" w:fill="D9E2F3"/>
            <w:vAlign w:val="center"/>
          </w:tcPr>
          <w:p w14:paraId="0A0F83E1" w14:textId="77777777" w:rsidR="00990B14" w:rsidRDefault="00000000">
            <w:pPr>
              <w:spacing w:before="20" w:after="20"/>
              <w:jc w:val="both"/>
            </w:pPr>
            <w:r>
              <w:rPr>
                <w:sz w:val="18"/>
                <w:szCs w:val="18"/>
              </w:rPr>
              <w:t>Conserva los archivos principales y documentación básica.</w:t>
            </w:r>
          </w:p>
        </w:tc>
        <w:tc>
          <w:tcPr>
            <w:tcW w:w="1877" w:type="dxa"/>
            <w:shd w:val="clear" w:color="auto" w:fill="D9E2F3"/>
            <w:vAlign w:val="center"/>
          </w:tcPr>
          <w:p w14:paraId="1042F927" w14:textId="77777777" w:rsidR="00990B14" w:rsidRDefault="00000000">
            <w:pPr>
              <w:spacing w:before="20" w:after="20"/>
              <w:jc w:val="both"/>
            </w:pPr>
            <w:r>
              <w:rPr>
                <w:sz w:val="18"/>
                <w:szCs w:val="18"/>
              </w:rPr>
              <w:t>Utiliza herramientas digitales apropiadas y conserva fuentes, versiones, conciliaciones y soportes.</w:t>
            </w:r>
          </w:p>
        </w:tc>
      </w:tr>
      <w:tr w:rsidR="00990B14" w14:paraId="6111C63E" w14:textId="77777777">
        <w:trPr>
          <w:cantSplit/>
          <w:jc w:val="center"/>
        </w:trPr>
        <w:tc>
          <w:tcPr>
            <w:tcW w:w="1490" w:type="dxa"/>
            <w:vMerge/>
            <w:shd w:val="clear" w:color="auto" w:fill="4472C4"/>
            <w:vAlign w:val="center"/>
          </w:tcPr>
          <w:p w14:paraId="2DD4D84A" w14:textId="77777777" w:rsidR="00990B14" w:rsidRDefault="00990B14">
            <w:pPr>
              <w:spacing w:before="20" w:after="20"/>
            </w:pPr>
          </w:p>
        </w:tc>
        <w:tc>
          <w:tcPr>
            <w:tcW w:w="6038" w:type="dxa"/>
            <w:gridSpan w:val="3"/>
            <w:shd w:val="clear" w:color="auto" w:fill="D9E2F3"/>
            <w:vAlign w:val="center"/>
          </w:tcPr>
          <w:p w14:paraId="597A5623" w14:textId="77777777" w:rsidR="00990B14" w:rsidRDefault="00000000">
            <w:pPr>
              <w:keepNext/>
              <w:spacing w:before="20" w:after="20"/>
              <w:jc w:val="both"/>
            </w:pPr>
            <w:r>
              <w:rPr>
                <w:b/>
                <w:bCs/>
                <w:i/>
                <w:iCs/>
                <w:sz w:val="18"/>
                <w:szCs w:val="18"/>
              </w:rPr>
              <w:t xml:space="preserve">Producto 12: </w:t>
            </w:r>
            <w:r>
              <w:rPr>
                <w:sz w:val="18"/>
                <w:szCs w:val="18"/>
              </w:rPr>
              <w:t>Informe de compilación del profesional ejerciente</w:t>
            </w:r>
          </w:p>
        </w:tc>
        <w:tc>
          <w:tcPr>
            <w:tcW w:w="1877" w:type="dxa"/>
            <w:shd w:val="clear" w:color="auto" w:fill="D9E2F3"/>
            <w:vAlign w:val="center"/>
          </w:tcPr>
          <w:p w14:paraId="454772F4" w14:textId="77777777" w:rsidR="00990B14" w:rsidRDefault="00000000">
            <w:pPr>
              <w:spacing w:before="20" w:after="20"/>
              <w:jc w:val="center"/>
            </w:pPr>
            <w:r>
              <w:rPr>
                <w:b/>
                <w:bCs/>
                <w:sz w:val="18"/>
                <w:szCs w:val="18"/>
              </w:rPr>
              <w:t>3%</w:t>
            </w:r>
          </w:p>
        </w:tc>
      </w:tr>
      <w:tr w:rsidR="00990B14" w14:paraId="7026176B" w14:textId="77777777">
        <w:trPr>
          <w:cantSplit/>
          <w:jc w:val="center"/>
        </w:trPr>
        <w:tc>
          <w:tcPr>
            <w:tcW w:w="1490" w:type="dxa"/>
            <w:vMerge/>
            <w:shd w:val="clear" w:color="auto" w:fill="4472C4"/>
            <w:vAlign w:val="center"/>
          </w:tcPr>
          <w:p w14:paraId="01EF1CEE" w14:textId="77777777" w:rsidR="00990B14" w:rsidRDefault="00990B14">
            <w:pPr>
              <w:spacing w:before="20" w:after="20"/>
            </w:pPr>
          </w:p>
        </w:tc>
        <w:tc>
          <w:tcPr>
            <w:tcW w:w="2015" w:type="dxa"/>
            <w:shd w:val="clear" w:color="auto" w:fill="4472C4"/>
            <w:vAlign w:val="center"/>
          </w:tcPr>
          <w:p w14:paraId="4D359939" w14:textId="77777777" w:rsidR="00990B14" w:rsidRDefault="00000000">
            <w:pPr>
              <w:keepNext/>
              <w:spacing w:before="20" w:after="20"/>
              <w:jc w:val="center"/>
            </w:pPr>
            <w:r>
              <w:rPr>
                <w:b/>
                <w:bCs/>
                <w:i/>
                <w:iCs/>
                <w:color w:val="FFFFFF"/>
                <w:sz w:val="18"/>
                <w:szCs w:val="18"/>
              </w:rPr>
              <w:t>Criterio</w:t>
            </w:r>
          </w:p>
        </w:tc>
        <w:tc>
          <w:tcPr>
            <w:tcW w:w="2120" w:type="dxa"/>
            <w:shd w:val="clear" w:color="auto" w:fill="4472C4"/>
            <w:vAlign w:val="center"/>
          </w:tcPr>
          <w:p w14:paraId="1C43F37B" w14:textId="77777777" w:rsidR="00990B14" w:rsidRDefault="00000000">
            <w:pPr>
              <w:keepNext/>
              <w:spacing w:before="20" w:after="20"/>
              <w:jc w:val="center"/>
            </w:pPr>
            <w:r>
              <w:rPr>
                <w:b/>
                <w:bCs/>
                <w:i/>
                <w:iCs/>
                <w:color w:val="FFFFFF"/>
                <w:sz w:val="18"/>
                <w:szCs w:val="18"/>
              </w:rPr>
              <w:t>Insuficiente (1–50)</w:t>
            </w:r>
          </w:p>
        </w:tc>
        <w:tc>
          <w:tcPr>
            <w:tcW w:w="1903" w:type="dxa"/>
            <w:shd w:val="clear" w:color="auto" w:fill="4472C4"/>
            <w:vAlign w:val="center"/>
          </w:tcPr>
          <w:p w14:paraId="75E08302"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410ECEF3" w14:textId="77777777" w:rsidR="00990B14" w:rsidRDefault="00000000">
            <w:pPr>
              <w:keepNext/>
              <w:spacing w:before="20" w:after="20"/>
              <w:jc w:val="center"/>
            </w:pPr>
            <w:r>
              <w:rPr>
                <w:b/>
                <w:bCs/>
                <w:i/>
                <w:iCs/>
                <w:color w:val="FFFFFF"/>
                <w:sz w:val="18"/>
                <w:szCs w:val="18"/>
              </w:rPr>
              <w:t>Destacado (81–100)</w:t>
            </w:r>
          </w:p>
        </w:tc>
      </w:tr>
      <w:tr w:rsidR="00990B14" w14:paraId="65EF26DA" w14:textId="77777777">
        <w:trPr>
          <w:cantSplit/>
          <w:jc w:val="center"/>
        </w:trPr>
        <w:tc>
          <w:tcPr>
            <w:tcW w:w="1490" w:type="dxa"/>
            <w:vMerge/>
            <w:shd w:val="clear" w:color="auto" w:fill="4472C4"/>
            <w:vAlign w:val="center"/>
          </w:tcPr>
          <w:p w14:paraId="005D473B" w14:textId="77777777" w:rsidR="00990B14" w:rsidRDefault="00990B14">
            <w:pPr>
              <w:spacing w:before="20" w:after="20"/>
            </w:pPr>
          </w:p>
        </w:tc>
        <w:tc>
          <w:tcPr>
            <w:tcW w:w="2015" w:type="dxa"/>
            <w:shd w:val="clear" w:color="auto" w:fill="D9E2F3"/>
            <w:vAlign w:val="center"/>
          </w:tcPr>
          <w:p w14:paraId="15825084" w14:textId="77777777" w:rsidR="00990B14" w:rsidRDefault="00000000">
            <w:pPr>
              <w:spacing w:before="20" w:after="20"/>
              <w:jc w:val="both"/>
            </w:pPr>
            <w:r>
              <w:rPr>
                <w:sz w:val="18"/>
                <w:szCs w:val="18"/>
              </w:rPr>
              <w:t>Contenido del informe</w:t>
            </w:r>
          </w:p>
        </w:tc>
        <w:tc>
          <w:tcPr>
            <w:tcW w:w="2120" w:type="dxa"/>
            <w:shd w:val="clear" w:color="auto" w:fill="D9E2F3"/>
            <w:vAlign w:val="center"/>
          </w:tcPr>
          <w:p w14:paraId="4357A6A1" w14:textId="77777777" w:rsidR="00990B14" w:rsidRDefault="00000000">
            <w:pPr>
              <w:spacing w:before="20" w:after="20"/>
              <w:jc w:val="both"/>
            </w:pPr>
            <w:r>
              <w:rPr>
                <w:sz w:val="18"/>
                <w:szCs w:val="18"/>
              </w:rPr>
              <w:t>No describe el encargo, responsabilidades o información compilada.</w:t>
            </w:r>
          </w:p>
        </w:tc>
        <w:tc>
          <w:tcPr>
            <w:tcW w:w="1903" w:type="dxa"/>
            <w:shd w:val="clear" w:color="auto" w:fill="D9E2F3"/>
            <w:vAlign w:val="center"/>
          </w:tcPr>
          <w:p w14:paraId="14A04C0F" w14:textId="77777777" w:rsidR="00990B14" w:rsidRDefault="00000000">
            <w:pPr>
              <w:spacing w:before="20" w:after="20"/>
              <w:jc w:val="both"/>
            </w:pPr>
            <w:r>
              <w:rPr>
                <w:sz w:val="18"/>
                <w:szCs w:val="18"/>
              </w:rPr>
              <w:t>Incluye los elementos principales, con omisiones menores.</w:t>
            </w:r>
          </w:p>
        </w:tc>
        <w:tc>
          <w:tcPr>
            <w:tcW w:w="1877" w:type="dxa"/>
            <w:shd w:val="clear" w:color="auto" w:fill="D9E2F3"/>
            <w:vAlign w:val="center"/>
          </w:tcPr>
          <w:p w14:paraId="649291C5" w14:textId="77777777" w:rsidR="00990B14" w:rsidRDefault="00000000">
            <w:pPr>
              <w:spacing w:before="20" w:after="20"/>
              <w:jc w:val="both"/>
            </w:pPr>
            <w:r>
              <w:rPr>
                <w:sz w:val="18"/>
                <w:szCs w:val="18"/>
              </w:rPr>
              <w:t>Describe claramente el encargo, responsabilidades, marco aplicable y naturaleza del trabajo.</w:t>
            </w:r>
          </w:p>
        </w:tc>
      </w:tr>
      <w:tr w:rsidR="00990B14" w14:paraId="63E4B4EC" w14:textId="77777777">
        <w:trPr>
          <w:cantSplit/>
          <w:jc w:val="center"/>
        </w:trPr>
        <w:tc>
          <w:tcPr>
            <w:tcW w:w="1490" w:type="dxa"/>
            <w:vMerge/>
            <w:shd w:val="clear" w:color="auto" w:fill="4472C4"/>
            <w:vAlign w:val="center"/>
          </w:tcPr>
          <w:p w14:paraId="22B275CE" w14:textId="77777777" w:rsidR="00990B14" w:rsidRDefault="00990B14">
            <w:pPr>
              <w:spacing w:before="20" w:after="20"/>
            </w:pPr>
          </w:p>
        </w:tc>
        <w:tc>
          <w:tcPr>
            <w:tcW w:w="2015" w:type="dxa"/>
            <w:shd w:val="clear" w:color="auto" w:fill="D9E2F3"/>
            <w:vAlign w:val="center"/>
          </w:tcPr>
          <w:p w14:paraId="335E15EF" w14:textId="77777777" w:rsidR="00990B14" w:rsidRDefault="00000000">
            <w:pPr>
              <w:spacing w:before="20" w:after="20"/>
              <w:jc w:val="both"/>
            </w:pPr>
            <w:r>
              <w:rPr>
                <w:sz w:val="18"/>
                <w:szCs w:val="18"/>
              </w:rPr>
              <w:t>Delimitación del servicio</w:t>
            </w:r>
          </w:p>
        </w:tc>
        <w:tc>
          <w:tcPr>
            <w:tcW w:w="2120" w:type="dxa"/>
            <w:shd w:val="clear" w:color="auto" w:fill="D9E2F3"/>
            <w:vAlign w:val="center"/>
          </w:tcPr>
          <w:p w14:paraId="3B7C5135" w14:textId="77777777" w:rsidR="00990B14" w:rsidRDefault="00000000">
            <w:pPr>
              <w:spacing w:before="20" w:after="20"/>
              <w:jc w:val="both"/>
            </w:pPr>
            <w:r>
              <w:rPr>
                <w:sz w:val="18"/>
                <w:szCs w:val="18"/>
              </w:rPr>
              <w:t>Confunde compilación con auditoría o aseguramiento.</w:t>
            </w:r>
          </w:p>
        </w:tc>
        <w:tc>
          <w:tcPr>
            <w:tcW w:w="1903" w:type="dxa"/>
            <w:shd w:val="clear" w:color="auto" w:fill="D9E2F3"/>
            <w:vAlign w:val="center"/>
          </w:tcPr>
          <w:p w14:paraId="2B4440DC" w14:textId="77777777" w:rsidR="00990B14" w:rsidRDefault="00000000">
            <w:pPr>
              <w:spacing w:before="20" w:after="20"/>
              <w:jc w:val="both"/>
            </w:pPr>
            <w:r>
              <w:rPr>
                <w:sz w:val="18"/>
                <w:szCs w:val="18"/>
              </w:rPr>
              <w:t>Distingue los servicios de manera general, con alguna imprecisión.</w:t>
            </w:r>
          </w:p>
        </w:tc>
        <w:tc>
          <w:tcPr>
            <w:tcW w:w="1877" w:type="dxa"/>
            <w:shd w:val="clear" w:color="auto" w:fill="D9E2F3"/>
            <w:vAlign w:val="center"/>
          </w:tcPr>
          <w:p w14:paraId="74791342" w14:textId="77777777" w:rsidR="00990B14" w:rsidRDefault="00000000">
            <w:pPr>
              <w:spacing w:before="20" w:after="20"/>
              <w:jc w:val="both"/>
            </w:pPr>
            <w:r>
              <w:rPr>
                <w:sz w:val="18"/>
                <w:szCs w:val="18"/>
              </w:rPr>
              <w:t>Explica con precisión que la compilación no proporciona aseguramiento y delimita sus responsabilidades.</w:t>
            </w:r>
          </w:p>
        </w:tc>
      </w:tr>
      <w:tr w:rsidR="00990B14" w14:paraId="4EDFD7AD" w14:textId="77777777">
        <w:trPr>
          <w:cantSplit/>
          <w:jc w:val="center"/>
        </w:trPr>
        <w:tc>
          <w:tcPr>
            <w:tcW w:w="1490" w:type="dxa"/>
            <w:vMerge/>
            <w:shd w:val="clear" w:color="auto" w:fill="4472C4"/>
            <w:vAlign w:val="center"/>
          </w:tcPr>
          <w:p w14:paraId="57FDBBF1" w14:textId="77777777" w:rsidR="00990B14" w:rsidRDefault="00990B14">
            <w:pPr>
              <w:spacing w:before="20" w:after="20"/>
            </w:pPr>
          </w:p>
        </w:tc>
        <w:tc>
          <w:tcPr>
            <w:tcW w:w="2015" w:type="dxa"/>
            <w:shd w:val="clear" w:color="auto" w:fill="D9E2F3"/>
            <w:vAlign w:val="center"/>
          </w:tcPr>
          <w:p w14:paraId="3C1FF035" w14:textId="77777777" w:rsidR="00990B14" w:rsidRDefault="00000000">
            <w:pPr>
              <w:spacing w:before="20" w:after="20"/>
              <w:jc w:val="both"/>
            </w:pPr>
            <w:r>
              <w:rPr>
                <w:sz w:val="18"/>
                <w:szCs w:val="18"/>
              </w:rPr>
              <w:t>Claridad profesional</w:t>
            </w:r>
          </w:p>
        </w:tc>
        <w:tc>
          <w:tcPr>
            <w:tcW w:w="2120" w:type="dxa"/>
            <w:shd w:val="clear" w:color="auto" w:fill="D9E2F3"/>
            <w:vAlign w:val="center"/>
          </w:tcPr>
          <w:p w14:paraId="304EEB0F" w14:textId="77777777" w:rsidR="00990B14" w:rsidRDefault="00000000">
            <w:pPr>
              <w:spacing w:before="20" w:after="20"/>
              <w:jc w:val="both"/>
            </w:pPr>
            <w:r>
              <w:rPr>
                <w:sz w:val="18"/>
                <w:szCs w:val="18"/>
              </w:rPr>
              <w:t>Redacción confusa, sin estructura ni documentación suficiente.</w:t>
            </w:r>
          </w:p>
        </w:tc>
        <w:tc>
          <w:tcPr>
            <w:tcW w:w="1903" w:type="dxa"/>
            <w:shd w:val="clear" w:color="auto" w:fill="D9E2F3"/>
            <w:vAlign w:val="center"/>
          </w:tcPr>
          <w:p w14:paraId="5E9C7511" w14:textId="77777777" w:rsidR="00990B14" w:rsidRDefault="00000000">
            <w:pPr>
              <w:spacing w:before="20" w:after="20"/>
              <w:jc w:val="both"/>
            </w:pPr>
            <w:r>
              <w:rPr>
                <w:sz w:val="18"/>
                <w:szCs w:val="18"/>
              </w:rPr>
              <w:t>Redacción clara en términos generales y estructura básica.</w:t>
            </w:r>
          </w:p>
        </w:tc>
        <w:tc>
          <w:tcPr>
            <w:tcW w:w="1877" w:type="dxa"/>
            <w:shd w:val="clear" w:color="auto" w:fill="D9E2F3"/>
            <w:vAlign w:val="center"/>
          </w:tcPr>
          <w:p w14:paraId="3343E61E" w14:textId="77777777" w:rsidR="00990B14" w:rsidRDefault="00000000">
            <w:pPr>
              <w:spacing w:before="20" w:after="20"/>
              <w:jc w:val="both"/>
            </w:pPr>
            <w:r>
              <w:rPr>
                <w:sz w:val="18"/>
                <w:szCs w:val="18"/>
              </w:rPr>
              <w:t>Informe profesional, preciso, completo y consistente con la NISR 4410.</w:t>
            </w:r>
          </w:p>
        </w:tc>
      </w:tr>
      <w:tr w:rsidR="00990B14" w14:paraId="54CCA0D4" w14:textId="77777777">
        <w:trPr>
          <w:cantSplit/>
          <w:jc w:val="center"/>
        </w:trPr>
        <w:tc>
          <w:tcPr>
            <w:tcW w:w="1490" w:type="dxa"/>
            <w:vMerge/>
            <w:shd w:val="clear" w:color="auto" w:fill="4472C4"/>
            <w:vAlign w:val="center"/>
          </w:tcPr>
          <w:p w14:paraId="7C61EC53" w14:textId="77777777" w:rsidR="00990B14" w:rsidRDefault="00990B14">
            <w:pPr>
              <w:spacing w:before="20" w:after="20"/>
            </w:pPr>
          </w:p>
        </w:tc>
        <w:tc>
          <w:tcPr>
            <w:tcW w:w="6038" w:type="dxa"/>
            <w:gridSpan w:val="3"/>
            <w:shd w:val="clear" w:color="auto" w:fill="D9E2F3"/>
            <w:vAlign w:val="center"/>
          </w:tcPr>
          <w:p w14:paraId="53B41C3F" w14:textId="77777777" w:rsidR="00990B14" w:rsidRDefault="00000000">
            <w:pPr>
              <w:keepNext/>
              <w:spacing w:before="20" w:after="20"/>
              <w:jc w:val="both"/>
            </w:pPr>
            <w:r>
              <w:rPr>
                <w:b/>
                <w:bCs/>
                <w:i/>
                <w:iCs/>
                <w:sz w:val="18"/>
                <w:szCs w:val="18"/>
              </w:rPr>
              <w:t xml:space="preserve">Producto 13: </w:t>
            </w:r>
            <w:r>
              <w:rPr>
                <w:sz w:val="18"/>
                <w:szCs w:val="18"/>
              </w:rPr>
              <w:t>Cédula de cuantificación del daño económico</w:t>
            </w:r>
          </w:p>
        </w:tc>
        <w:tc>
          <w:tcPr>
            <w:tcW w:w="1877" w:type="dxa"/>
            <w:shd w:val="clear" w:color="auto" w:fill="D9E2F3"/>
            <w:vAlign w:val="center"/>
          </w:tcPr>
          <w:p w14:paraId="3FAC6C89" w14:textId="77777777" w:rsidR="00990B14" w:rsidRDefault="00000000">
            <w:pPr>
              <w:spacing w:before="20" w:after="20"/>
              <w:jc w:val="center"/>
            </w:pPr>
            <w:r>
              <w:rPr>
                <w:b/>
                <w:bCs/>
                <w:sz w:val="18"/>
                <w:szCs w:val="18"/>
              </w:rPr>
              <w:t>8%</w:t>
            </w:r>
          </w:p>
        </w:tc>
      </w:tr>
      <w:tr w:rsidR="00990B14" w14:paraId="12657333" w14:textId="77777777">
        <w:trPr>
          <w:cantSplit/>
          <w:jc w:val="center"/>
        </w:trPr>
        <w:tc>
          <w:tcPr>
            <w:tcW w:w="1490" w:type="dxa"/>
            <w:vMerge/>
            <w:shd w:val="clear" w:color="auto" w:fill="4472C4"/>
            <w:vAlign w:val="center"/>
          </w:tcPr>
          <w:p w14:paraId="4942D5C8" w14:textId="77777777" w:rsidR="00990B14" w:rsidRDefault="00990B14">
            <w:pPr>
              <w:spacing w:before="20" w:after="20"/>
            </w:pPr>
          </w:p>
        </w:tc>
        <w:tc>
          <w:tcPr>
            <w:tcW w:w="2015" w:type="dxa"/>
            <w:shd w:val="clear" w:color="auto" w:fill="4472C4"/>
            <w:vAlign w:val="center"/>
          </w:tcPr>
          <w:p w14:paraId="241041A9" w14:textId="77777777" w:rsidR="00990B14" w:rsidRDefault="00000000">
            <w:pPr>
              <w:keepNext/>
              <w:spacing w:before="20" w:after="20"/>
              <w:jc w:val="center"/>
            </w:pPr>
            <w:r>
              <w:rPr>
                <w:b/>
                <w:bCs/>
                <w:i/>
                <w:iCs/>
                <w:color w:val="FFFFFF"/>
                <w:sz w:val="18"/>
                <w:szCs w:val="18"/>
              </w:rPr>
              <w:t>Criterio</w:t>
            </w:r>
          </w:p>
        </w:tc>
        <w:tc>
          <w:tcPr>
            <w:tcW w:w="2120" w:type="dxa"/>
            <w:shd w:val="clear" w:color="auto" w:fill="4472C4"/>
            <w:vAlign w:val="center"/>
          </w:tcPr>
          <w:p w14:paraId="1EB3A85E" w14:textId="77777777" w:rsidR="00990B14" w:rsidRDefault="00000000">
            <w:pPr>
              <w:keepNext/>
              <w:spacing w:before="20" w:after="20"/>
              <w:jc w:val="center"/>
            </w:pPr>
            <w:r>
              <w:rPr>
                <w:b/>
                <w:bCs/>
                <w:i/>
                <w:iCs/>
                <w:color w:val="FFFFFF"/>
                <w:sz w:val="18"/>
                <w:szCs w:val="18"/>
              </w:rPr>
              <w:t>Insuficiente (1–50)</w:t>
            </w:r>
          </w:p>
        </w:tc>
        <w:tc>
          <w:tcPr>
            <w:tcW w:w="1903" w:type="dxa"/>
            <w:shd w:val="clear" w:color="auto" w:fill="4472C4"/>
            <w:vAlign w:val="center"/>
          </w:tcPr>
          <w:p w14:paraId="6D4EEBEC"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07BDAB68" w14:textId="77777777" w:rsidR="00990B14" w:rsidRDefault="00000000">
            <w:pPr>
              <w:keepNext/>
              <w:spacing w:before="20" w:after="20"/>
              <w:jc w:val="center"/>
            </w:pPr>
            <w:r>
              <w:rPr>
                <w:b/>
                <w:bCs/>
                <w:i/>
                <w:iCs/>
                <w:color w:val="FFFFFF"/>
                <w:sz w:val="18"/>
                <w:szCs w:val="18"/>
              </w:rPr>
              <w:t>Destacado (81–100)</w:t>
            </w:r>
          </w:p>
        </w:tc>
      </w:tr>
      <w:tr w:rsidR="00990B14" w14:paraId="508F6D3E" w14:textId="77777777">
        <w:trPr>
          <w:cantSplit/>
          <w:jc w:val="center"/>
        </w:trPr>
        <w:tc>
          <w:tcPr>
            <w:tcW w:w="1490" w:type="dxa"/>
            <w:vMerge/>
            <w:shd w:val="clear" w:color="auto" w:fill="4472C4"/>
            <w:vAlign w:val="center"/>
          </w:tcPr>
          <w:p w14:paraId="59012AC4" w14:textId="77777777" w:rsidR="00990B14" w:rsidRDefault="00990B14">
            <w:pPr>
              <w:spacing w:before="20" w:after="20"/>
            </w:pPr>
          </w:p>
        </w:tc>
        <w:tc>
          <w:tcPr>
            <w:tcW w:w="2015" w:type="dxa"/>
            <w:shd w:val="clear" w:color="auto" w:fill="D9E2F3"/>
            <w:vAlign w:val="center"/>
          </w:tcPr>
          <w:p w14:paraId="1CD286BC" w14:textId="77777777" w:rsidR="00990B14" w:rsidRDefault="00000000">
            <w:pPr>
              <w:spacing w:before="20" w:after="20"/>
              <w:jc w:val="both"/>
            </w:pPr>
            <w:r>
              <w:rPr>
                <w:sz w:val="18"/>
                <w:szCs w:val="18"/>
              </w:rPr>
              <w:t>Cálculo del daño</w:t>
            </w:r>
          </w:p>
        </w:tc>
        <w:tc>
          <w:tcPr>
            <w:tcW w:w="2120" w:type="dxa"/>
            <w:shd w:val="clear" w:color="auto" w:fill="D9E2F3"/>
            <w:vAlign w:val="center"/>
          </w:tcPr>
          <w:p w14:paraId="5387927E" w14:textId="77777777" w:rsidR="00990B14" w:rsidRDefault="00000000">
            <w:pPr>
              <w:spacing w:before="20" w:after="20"/>
              <w:jc w:val="both"/>
            </w:pPr>
            <w:r>
              <w:rPr>
                <w:sz w:val="18"/>
                <w:szCs w:val="18"/>
              </w:rPr>
              <w:t>Método o cálculos incorrectos, sin reconciliación con las fuentes.</w:t>
            </w:r>
          </w:p>
        </w:tc>
        <w:tc>
          <w:tcPr>
            <w:tcW w:w="1903" w:type="dxa"/>
            <w:shd w:val="clear" w:color="auto" w:fill="D9E2F3"/>
            <w:vAlign w:val="center"/>
          </w:tcPr>
          <w:p w14:paraId="130BCE75" w14:textId="77777777" w:rsidR="00990B14" w:rsidRDefault="00000000">
            <w:pPr>
              <w:spacing w:before="20" w:after="20"/>
              <w:jc w:val="both"/>
            </w:pPr>
            <w:r>
              <w:rPr>
                <w:sz w:val="18"/>
                <w:szCs w:val="18"/>
              </w:rPr>
              <w:t>Cálculos principales correctos con explicación parcial del método.</w:t>
            </w:r>
          </w:p>
        </w:tc>
        <w:tc>
          <w:tcPr>
            <w:tcW w:w="1877" w:type="dxa"/>
            <w:shd w:val="clear" w:color="auto" w:fill="D9E2F3"/>
            <w:vAlign w:val="center"/>
          </w:tcPr>
          <w:p w14:paraId="46FC1A72" w14:textId="77777777" w:rsidR="00990B14" w:rsidRDefault="00000000">
            <w:pPr>
              <w:spacing w:before="20" w:after="20"/>
              <w:jc w:val="both"/>
            </w:pPr>
            <w:r>
              <w:rPr>
                <w:sz w:val="18"/>
                <w:szCs w:val="18"/>
              </w:rPr>
              <w:t>Cuantificación reproducible, conciliada y basada en fuentes identificables.</w:t>
            </w:r>
          </w:p>
        </w:tc>
      </w:tr>
      <w:tr w:rsidR="00990B14" w14:paraId="4895704E" w14:textId="77777777">
        <w:trPr>
          <w:cantSplit/>
          <w:jc w:val="center"/>
        </w:trPr>
        <w:tc>
          <w:tcPr>
            <w:tcW w:w="1490" w:type="dxa"/>
            <w:vMerge/>
            <w:shd w:val="clear" w:color="auto" w:fill="4472C4"/>
            <w:vAlign w:val="center"/>
          </w:tcPr>
          <w:p w14:paraId="295EB798" w14:textId="77777777" w:rsidR="00990B14" w:rsidRDefault="00990B14">
            <w:pPr>
              <w:spacing w:before="20" w:after="20"/>
            </w:pPr>
          </w:p>
        </w:tc>
        <w:tc>
          <w:tcPr>
            <w:tcW w:w="2015" w:type="dxa"/>
            <w:shd w:val="clear" w:color="auto" w:fill="D9E2F3"/>
            <w:vAlign w:val="center"/>
          </w:tcPr>
          <w:p w14:paraId="31B6146B" w14:textId="77777777" w:rsidR="00990B14" w:rsidRDefault="00000000">
            <w:pPr>
              <w:spacing w:before="20" w:after="20"/>
              <w:jc w:val="both"/>
            </w:pPr>
            <w:r>
              <w:rPr>
                <w:sz w:val="18"/>
                <w:szCs w:val="18"/>
              </w:rPr>
              <w:t>Sustento documental</w:t>
            </w:r>
          </w:p>
        </w:tc>
        <w:tc>
          <w:tcPr>
            <w:tcW w:w="2120" w:type="dxa"/>
            <w:shd w:val="clear" w:color="auto" w:fill="D9E2F3"/>
            <w:vAlign w:val="center"/>
          </w:tcPr>
          <w:p w14:paraId="313A0A50" w14:textId="77777777" w:rsidR="00990B14" w:rsidRDefault="00000000">
            <w:pPr>
              <w:spacing w:before="20" w:after="20"/>
              <w:jc w:val="both"/>
            </w:pPr>
            <w:r>
              <w:rPr>
                <w:sz w:val="18"/>
                <w:szCs w:val="18"/>
              </w:rPr>
              <w:t>No vincula cifras con documentos o registros fuente.</w:t>
            </w:r>
          </w:p>
        </w:tc>
        <w:tc>
          <w:tcPr>
            <w:tcW w:w="1903" w:type="dxa"/>
            <w:shd w:val="clear" w:color="auto" w:fill="D9E2F3"/>
            <w:vAlign w:val="center"/>
          </w:tcPr>
          <w:p w14:paraId="1AAA76CE" w14:textId="77777777" w:rsidR="00990B14" w:rsidRDefault="00000000">
            <w:pPr>
              <w:spacing w:before="20" w:after="20"/>
              <w:jc w:val="both"/>
            </w:pPr>
            <w:r>
              <w:rPr>
                <w:sz w:val="18"/>
                <w:szCs w:val="18"/>
              </w:rPr>
              <w:t>Vincula las cifras principales con soportes básicos.</w:t>
            </w:r>
          </w:p>
        </w:tc>
        <w:tc>
          <w:tcPr>
            <w:tcW w:w="1877" w:type="dxa"/>
            <w:shd w:val="clear" w:color="auto" w:fill="D9E2F3"/>
            <w:vAlign w:val="center"/>
          </w:tcPr>
          <w:p w14:paraId="189C8B37" w14:textId="77777777" w:rsidR="00990B14" w:rsidRDefault="00000000">
            <w:pPr>
              <w:spacing w:before="20" w:after="20"/>
              <w:jc w:val="both"/>
            </w:pPr>
            <w:r>
              <w:rPr>
                <w:sz w:val="18"/>
                <w:szCs w:val="18"/>
              </w:rPr>
              <w:t>Cada importe se relaciona con documentos, registros, supuestos y operaciones verificables.</w:t>
            </w:r>
          </w:p>
        </w:tc>
      </w:tr>
      <w:tr w:rsidR="00990B14" w14:paraId="3CF66725" w14:textId="77777777">
        <w:trPr>
          <w:cantSplit/>
          <w:jc w:val="center"/>
        </w:trPr>
        <w:tc>
          <w:tcPr>
            <w:tcW w:w="1490" w:type="dxa"/>
            <w:vMerge/>
            <w:shd w:val="clear" w:color="auto" w:fill="4472C4"/>
            <w:vAlign w:val="center"/>
          </w:tcPr>
          <w:p w14:paraId="28024A70" w14:textId="77777777" w:rsidR="00990B14" w:rsidRDefault="00990B14">
            <w:pPr>
              <w:spacing w:before="20" w:after="20"/>
            </w:pPr>
          </w:p>
        </w:tc>
        <w:tc>
          <w:tcPr>
            <w:tcW w:w="2015" w:type="dxa"/>
            <w:shd w:val="clear" w:color="auto" w:fill="D9E2F3"/>
            <w:vAlign w:val="center"/>
          </w:tcPr>
          <w:p w14:paraId="7AEE65F4" w14:textId="77777777" w:rsidR="00990B14" w:rsidRDefault="00000000">
            <w:pPr>
              <w:spacing w:before="20" w:after="20"/>
              <w:jc w:val="both"/>
            </w:pPr>
            <w:r>
              <w:rPr>
                <w:sz w:val="18"/>
                <w:szCs w:val="18"/>
              </w:rPr>
              <w:t>Objetividad y límites</w:t>
            </w:r>
          </w:p>
        </w:tc>
        <w:tc>
          <w:tcPr>
            <w:tcW w:w="2120" w:type="dxa"/>
            <w:shd w:val="clear" w:color="auto" w:fill="D9E2F3"/>
            <w:vAlign w:val="center"/>
          </w:tcPr>
          <w:p w14:paraId="26CA357B" w14:textId="77777777" w:rsidR="00990B14" w:rsidRDefault="00000000">
            <w:pPr>
              <w:spacing w:before="20" w:after="20"/>
              <w:jc w:val="both"/>
            </w:pPr>
            <w:r>
              <w:rPr>
                <w:sz w:val="18"/>
                <w:szCs w:val="18"/>
              </w:rPr>
              <w:t>Presenta estimaciones como hechos o atribuye responsabilidades fuera del alcance.</w:t>
            </w:r>
          </w:p>
        </w:tc>
        <w:tc>
          <w:tcPr>
            <w:tcW w:w="1903" w:type="dxa"/>
            <w:shd w:val="clear" w:color="auto" w:fill="D9E2F3"/>
            <w:vAlign w:val="center"/>
          </w:tcPr>
          <w:p w14:paraId="367282A1" w14:textId="77777777" w:rsidR="00990B14" w:rsidRDefault="00000000">
            <w:pPr>
              <w:spacing w:before="20" w:after="20"/>
              <w:jc w:val="both"/>
            </w:pPr>
            <w:r>
              <w:rPr>
                <w:sz w:val="18"/>
                <w:szCs w:val="18"/>
              </w:rPr>
              <w:t>Expone algunas limitaciones, aunque persisten inferencias no delimitadas.</w:t>
            </w:r>
          </w:p>
        </w:tc>
        <w:tc>
          <w:tcPr>
            <w:tcW w:w="1877" w:type="dxa"/>
            <w:shd w:val="clear" w:color="auto" w:fill="D9E2F3"/>
            <w:vAlign w:val="center"/>
          </w:tcPr>
          <w:p w14:paraId="620A373F" w14:textId="77777777" w:rsidR="00990B14" w:rsidRDefault="00000000">
            <w:pPr>
              <w:spacing w:before="20" w:after="20"/>
              <w:jc w:val="both"/>
            </w:pPr>
            <w:r>
              <w:rPr>
                <w:sz w:val="18"/>
                <w:szCs w:val="18"/>
              </w:rPr>
              <w:t>Distingue hechos, estimaciones y limitaciones, manteniendo imparcialidad técnica.</w:t>
            </w:r>
          </w:p>
        </w:tc>
      </w:tr>
      <w:tr w:rsidR="00990B14" w14:paraId="0BE84820" w14:textId="77777777">
        <w:trPr>
          <w:cantSplit/>
          <w:jc w:val="center"/>
        </w:trPr>
        <w:tc>
          <w:tcPr>
            <w:tcW w:w="1490" w:type="dxa"/>
            <w:vMerge/>
            <w:shd w:val="clear" w:color="auto" w:fill="4472C4"/>
            <w:vAlign w:val="center"/>
          </w:tcPr>
          <w:p w14:paraId="53DFC890" w14:textId="77777777" w:rsidR="00990B14" w:rsidRDefault="00990B14">
            <w:pPr>
              <w:spacing w:before="20" w:after="20"/>
            </w:pPr>
          </w:p>
        </w:tc>
        <w:tc>
          <w:tcPr>
            <w:tcW w:w="6038" w:type="dxa"/>
            <w:gridSpan w:val="3"/>
            <w:shd w:val="clear" w:color="auto" w:fill="D9E2F3"/>
            <w:vAlign w:val="center"/>
          </w:tcPr>
          <w:p w14:paraId="4B1E1926" w14:textId="77777777" w:rsidR="00990B14" w:rsidRDefault="00000000">
            <w:pPr>
              <w:keepNext/>
              <w:spacing w:before="20" w:after="20"/>
              <w:jc w:val="both"/>
            </w:pPr>
            <w:r>
              <w:rPr>
                <w:b/>
                <w:bCs/>
                <w:i/>
                <w:iCs/>
                <w:sz w:val="18"/>
                <w:szCs w:val="18"/>
              </w:rPr>
              <w:t xml:space="preserve">Producto 14: </w:t>
            </w:r>
            <w:r>
              <w:rPr>
                <w:sz w:val="18"/>
                <w:szCs w:val="18"/>
              </w:rPr>
              <w:t>Informe pericial contable</w:t>
            </w:r>
          </w:p>
        </w:tc>
        <w:tc>
          <w:tcPr>
            <w:tcW w:w="1877" w:type="dxa"/>
            <w:shd w:val="clear" w:color="auto" w:fill="D9E2F3"/>
            <w:vAlign w:val="center"/>
          </w:tcPr>
          <w:p w14:paraId="5CB7A2AA" w14:textId="77777777" w:rsidR="00990B14" w:rsidRDefault="00000000">
            <w:pPr>
              <w:spacing w:before="20" w:after="20"/>
              <w:jc w:val="center"/>
            </w:pPr>
            <w:r>
              <w:rPr>
                <w:b/>
                <w:bCs/>
                <w:sz w:val="18"/>
                <w:szCs w:val="18"/>
              </w:rPr>
              <w:t>8%</w:t>
            </w:r>
          </w:p>
        </w:tc>
      </w:tr>
      <w:tr w:rsidR="00990B14" w14:paraId="49BA82DD" w14:textId="77777777">
        <w:trPr>
          <w:cantSplit/>
          <w:jc w:val="center"/>
        </w:trPr>
        <w:tc>
          <w:tcPr>
            <w:tcW w:w="1490" w:type="dxa"/>
            <w:vMerge/>
            <w:shd w:val="clear" w:color="auto" w:fill="4472C4"/>
            <w:vAlign w:val="center"/>
          </w:tcPr>
          <w:p w14:paraId="6923AA78" w14:textId="77777777" w:rsidR="00990B14" w:rsidRDefault="00990B14">
            <w:pPr>
              <w:spacing w:before="20" w:after="20"/>
            </w:pPr>
          </w:p>
        </w:tc>
        <w:tc>
          <w:tcPr>
            <w:tcW w:w="2015" w:type="dxa"/>
            <w:shd w:val="clear" w:color="auto" w:fill="4472C4"/>
            <w:vAlign w:val="center"/>
          </w:tcPr>
          <w:p w14:paraId="184FBC4D" w14:textId="77777777" w:rsidR="00990B14" w:rsidRDefault="00000000">
            <w:pPr>
              <w:keepNext/>
              <w:spacing w:before="20" w:after="20"/>
              <w:jc w:val="center"/>
            </w:pPr>
            <w:r>
              <w:rPr>
                <w:b/>
                <w:bCs/>
                <w:i/>
                <w:iCs/>
                <w:color w:val="FFFFFF"/>
                <w:sz w:val="18"/>
                <w:szCs w:val="18"/>
              </w:rPr>
              <w:t>Criterio</w:t>
            </w:r>
          </w:p>
        </w:tc>
        <w:tc>
          <w:tcPr>
            <w:tcW w:w="2120" w:type="dxa"/>
            <w:shd w:val="clear" w:color="auto" w:fill="4472C4"/>
            <w:vAlign w:val="center"/>
          </w:tcPr>
          <w:p w14:paraId="45F78F5E" w14:textId="77777777" w:rsidR="00990B14" w:rsidRDefault="00000000">
            <w:pPr>
              <w:keepNext/>
              <w:spacing w:before="20" w:after="20"/>
              <w:jc w:val="center"/>
            </w:pPr>
            <w:r>
              <w:rPr>
                <w:b/>
                <w:bCs/>
                <w:i/>
                <w:iCs/>
                <w:color w:val="FFFFFF"/>
                <w:sz w:val="18"/>
                <w:szCs w:val="18"/>
              </w:rPr>
              <w:t>Insuficiente (1–50)</w:t>
            </w:r>
          </w:p>
        </w:tc>
        <w:tc>
          <w:tcPr>
            <w:tcW w:w="1903" w:type="dxa"/>
            <w:shd w:val="clear" w:color="auto" w:fill="4472C4"/>
            <w:vAlign w:val="center"/>
          </w:tcPr>
          <w:p w14:paraId="4543E83C"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59310C87" w14:textId="77777777" w:rsidR="00990B14" w:rsidRDefault="00000000">
            <w:pPr>
              <w:keepNext/>
              <w:spacing w:before="20" w:after="20"/>
              <w:jc w:val="center"/>
            </w:pPr>
            <w:r>
              <w:rPr>
                <w:b/>
                <w:bCs/>
                <w:i/>
                <w:iCs/>
                <w:color w:val="FFFFFF"/>
                <w:sz w:val="18"/>
                <w:szCs w:val="18"/>
              </w:rPr>
              <w:t>Destacado (81–100)</w:t>
            </w:r>
          </w:p>
        </w:tc>
      </w:tr>
      <w:tr w:rsidR="00990B14" w14:paraId="7B9DD362" w14:textId="77777777">
        <w:trPr>
          <w:cantSplit/>
          <w:jc w:val="center"/>
        </w:trPr>
        <w:tc>
          <w:tcPr>
            <w:tcW w:w="1490" w:type="dxa"/>
            <w:vMerge/>
            <w:shd w:val="clear" w:color="auto" w:fill="4472C4"/>
            <w:vAlign w:val="center"/>
          </w:tcPr>
          <w:p w14:paraId="133B40BD" w14:textId="77777777" w:rsidR="00990B14" w:rsidRDefault="00990B14">
            <w:pPr>
              <w:spacing w:before="20" w:after="20"/>
            </w:pPr>
          </w:p>
        </w:tc>
        <w:tc>
          <w:tcPr>
            <w:tcW w:w="2015" w:type="dxa"/>
            <w:shd w:val="clear" w:color="auto" w:fill="D9E2F3"/>
            <w:vAlign w:val="center"/>
          </w:tcPr>
          <w:p w14:paraId="632F4E14" w14:textId="77777777" w:rsidR="00990B14" w:rsidRDefault="00000000">
            <w:pPr>
              <w:spacing w:before="20" w:after="20"/>
              <w:jc w:val="both"/>
            </w:pPr>
            <w:r>
              <w:rPr>
                <w:sz w:val="18"/>
                <w:szCs w:val="18"/>
              </w:rPr>
              <w:t>Estructura pericial</w:t>
            </w:r>
          </w:p>
        </w:tc>
        <w:tc>
          <w:tcPr>
            <w:tcW w:w="2120" w:type="dxa"/>
            <w:shd w:val="clear" w:color="auto" w:fill="D9E2F3"/>
            <w:vAlign w:val="center"/>
          </w:tcPr>
          <w:p w14:paraId="28D330AE" w14:textId="77777777" w:rsidR="00990B14" w:rsidRDefault="00000000">
            <w:pPr>
              <w:spacing w:before="20" w:after="20"/>
              <w:jc w:val="both"/>
            </w:pPr>
            <w:r>
              <w:rPr>
                <w:sz w:val="18"/>
                <w:szCs w:val="18"/>
              </w:rPr>
              <w:t>Faltan objeto, metodología, operaciones, conclusiones o anexos esenciales.</w:t>
            </w:r>
          </w:p>
        </w:tc>
        <w:tc>
          <w:tcPr>
            <w:tcW w:w="1903" w:type="dxa"/>
            <w:shd w:val="clear" w:color="auto" w:fill="D9E2F3"/>
            <w:vAlign w:val="center"/>
          </w:tcPr>
          <w:p w14:paraId="48FF4DC4" w14:textId="77777777" w:rsidR="00990B14" w:rsidRDefault="00000000">
            <w:pPr>
              <w:spacing w:before="20" w:after="20"/>
              <w:jc w:val="both"/>
            </w:pPr>
            <w:r>
              <w:rPr>
                <w:sz w:val="18"/>
                <w:szCs w:val="18"/>
              </w:rPr>
              <w:t>Incluye los apartados principales, con desarrollo desigual.</w:t>
            </w:r>
          </w:p>
        </w:tc>
        <w:tc>
          <w:tcPr>
            <w:tcW w:w="1877" w:type="dxa"/>
            <w:shd w:val="clear" w:color="auto" w:fill="D9E2F3"/>
            <w:vAlign w:val="center"/>
          </w:tcPr>
          <w:p w14:paraId="055727C8" w14:textId="77777777" w:rsidR="00990B14" w:rsidRDefault="00000000">
            <w:pPr>
              <w:spacing w:before="20" w:after="20"/>
              <w:jc w:val="both"/>
            </w:pPr>
            <w:r>
              <w:rPr>
                <w:sz w:val="18"/>
                <w:szCs w:val="18"/>
              </w:rPr>
              <w:t>Informe completo con objeto, puntos de pericia, metodología, análisis, conclusiones y anexos.</w:t>
            </w:r>
          </w:p>
        </w:tc>
      </w:tr>
      <w:tr w:rsidR="00990B14" w14:paraId="52F1730C" w14:textId="77777777">
        <w:trPr>
          <w:cantSplit/>
          <w:jc w:val="center"/>
        </w:trPr>
        <w:tc>
          <w:tcPr>
            <w:tcW w:w="1490" w:type="dxa"/>
            <w:vMerge/>
            <w:shd w:val="clear" w:color="auto" w:fill="4472C4"/>
            <w:vAlign w:val="center"/>
          </w:tcPr>
          <w:p w14:paraId="70C34B7D" w14:textId="77777777" w:rsidR="00990B14" w:rsidRDefault="00990B14">
            <w:pPr>
              <w:spacing w:before="20" w:after="20"/>
            </w:pPr>
          </w:p>
        </w:tc>
        <w:tc>
          <w:tcPr>
            <w:tcW w:w="2015" w:type="dxa"/>
            <w:shd w:val="clear" w:color="auto" w:fill="D9E2F3"/>
            <w:vAlign w:val="center"/>
          </w:tcPr>
          <w:p w14:paraId="0F33E20A" w14:textId="77777777" w:rsidR="00990B14" w:rsidRDefault="00000000">
            <w:pPr>
              <w:spacing w:before="20" w:after="20"/>
              <w:jc w:val="both"/>
            </w:pPr>
            <w:r>
              <w:rPr>
                <w:sz w:val="18"/>
                <w:szCs w:val="18"/>
              </w:rPr>
              <w:t>Método y evidencia</w:t>
            </w:r>
          </w:p>
        </w:tc>
        <w:tc>
          <w:tcPr>
            <w:tcW w:w="2120" w:type="dxa"/>
            <w:shd w:val="clear" w:color="auto" w:fill="D9E2F3"/>
            <w:vAlign w:val="center"/>
          </w:tcPr>
          <w:p w14:paraId="54735533" w14:textId="77777777" w:rsidR="00990B14" w:rsidRDefault="00000000">
            <w:pPr>
              <w:spacing w:before="20" w:after="20"/>
              <w:jc w:val="both"/>
            </w:pPr>
            <w:r>
              <w:rPr>
                <w:sz w:val="18"/>
                <w:szCs w:val="18"/>
              </w:rPr>
              <w:t>Método no reproducible o conclusiones sin respaldo suficiente.</w:t>
            </w:r>
          </w:p>
        </w:tc>
        <w:tc>
          <w:tcPr>
            <w:tcW w:w="1903" w:type="dxa"/>
            <w:shd w:val="clear" w:color="auto" w:fill="D9E2F3"/>
            <w:vAlign w:val="center"/>
          </w:tcPr>
          <w:p w14:paraId="67986EE0" w14:textId="77777777" w:rsidR="00990B14" w:rsidRDefault="00000000">
            <w:pPr>
              <w:spacing w:before="20" w:after="20"/>
              <w:jc w:val="both"/>
            </w:pPr>
            <w:r>
              <w:rPr>
                <w:sz w:val="18"/>
                <w:szCs w:val="18"/>
              </w:rPr>
              <w:t>Método generalmente pertinente y evidencia parcialmente referenciada.</w:t>
            </w:r>
          </w:p>
        </w:tc>
        <w:tc>
          <w:tcPr>
            <w:tcW w:w="1877" w:type="dxa"/>
            <w:shd w:val="clear" w:color="auto" w:fill="D9E2F3"/>
            <w:vAlign w:val="center"/>
          </w:tcPr>
          <w:p w14:paraId="5DE2700C" w14:textId="77777777" w:rsidR="00990B14" w:rsidRDefault="00000000">
            <w:pPr>
              <w:spacing w:before="20" w:after="20"/>
              <w:jc w:val="both"/>
            </w:pPr>
            <w:r>
              <w:rPr>
                <w:sz w:val="18"/>
                <w:szCs w:val="18"/>
              </w:rPr>
              <w:t>Método explícito, reproducible y respaldado por evidencia pertinente y trazable.</w:t>
            </w:r>
          </w:p>
        </w:tc>
      </w:tr>
      <w:tr w:rsidR="00990B14" w14:paraId="6221DEB1" w14:textId="77777777">
        <w:trPr>
          <w:cantSplit/>
          <w:jc w:val="center"/>
        </w:trPr>
        <w:tc>
          <w:tcPr>
            <w:tcW w:w="1490" w:type="dxa"/>
            <w:vMerge/>
            <w:shd w:val="clear" w:color="auto" w:fill="4472C4"/>
            <w:vAlign w:val="center"/>
          </w:tcPr>
          <w:p w14:paraId="13D76269" w14:textId="77777777" w:rsidR="00990B14" w:rsidRDefault="00990B14">
            <w:pPr>
              <w:spacing w:before="20" w:after="20"/>
            </w:pPr>
          </w:p>
        </w:tc>
        <w:tc>
          <w:tcPr>
            <w:tcW w:w="2015" w:type="dxa"/>
            <w:shd w:val="clear" w:color="auto" w:fill="D9E2F3"/>
            <w:vAlign w:val="center"/>
          </w:tcPr>
          <w:p w14:paraId="48E721D2" w14:textId="77777777" w:rsidR="00990B14" w:rsidRDefault="00000000">
            <w:pPr>
              <w:spacing w:before="20" w:after="20"/>
              <w:jc w:val="both"/>
            </w:pPr>
            <w:r>
              <w:rPr>
                <w:sz w:val="18"/>
                <w:szCs w:val="18"/>
              </w:rPr>
              <w:t>Defensa oral y ética</w:t>
            </w:r>
          </w:p>
        </w:tc>
        <w:tc>
          <w:tcPr>
            <w:tcW w:w="2120" w:type="dxa"/>
            <w:shd w:val="clear" w:color="auto" w:fill="D9E2F3"/>
            <w:vAlign w:val="center"/>
          </w:tcPr>
          <w:p w14:paraId="660960A9" w14:textId="77777777" w:rsidR="00990B14" w:rsidRDefault="00000000">
            <w:pPr>
              <w:spacing w:before="20" w:after="20"/>
              <w:jc w:val="both"/>
            </w:pPr>
            <w:r>
              <w:rPr>
                <w:sz w:val="18"/>
                <w:szCs w:val="18"/>
              </w:rPr>
              <w:t>Expone de forma confusa o pierde imparcialidad ante preguntas.</w:t>
            </w:r>
          </w:p>
        </w:tc>
        <w:tc>
          <w:tcPr>
            <w:tcW w:w="1903" w:type="dxa"/>
            <w:shd w:val="clear" w:color="auto" w:fill="D9E2F3"/>
            <w:vAlign w:val="center"/>
          </w:tcPr>
          <w:p w14:paraId="10CE1867" w14:textId="77777777" w:rsidR="00990B14" w:rsidRDefault="00000000">
            <w:pPr>
              <w:spacing w:before="20" w:after="20"/>
              <w:jc w:val="both"/>
            </w:pPr>
            <w:r>
              <w:rPr>
                <w:sz w:val="18"/>
                <w:szCs w:val="18"/>
              </w:rPr>
              <w:t>Expone las conclusiones principales y responde parcialmente las preguntas.</w:t>
            </w:r>
          </w:p>
        </w:tc>
        <w:tc>
          <w:tcPr>
            <w:tcW w:w="1877" w:type="dxa"/>
            <w:shd w:val="clear" w:color="auto" w:fill="D9E2F3"/>
            <w:vAlign w:val="center"/>
          </w:tcPr>
          <w:p w14:paraId="4D8AD533" w14:textId="77777777" w:rsidR="00990B14" w:rsidRDefault="00000000">
            <w:pPr>
              <w:spacing w:before="20" w:after="20"/>
              <w:jc w:val="both"/>
            </w:pPr>
            <w:r>
              <w:rPr>
                <w:sz w:val="18"/>
                <w:szCs w:val="18"/>
              </w:rPr>
              <w:t>Sustenta con claridad, responde con rigor y mantiene imparcialidad, confidencialidad y límites periciales.</w:t>
            </w:r>
          </w:p>
        </w:tc>
      </w:tr>
      <w:tr w:rsidR="00990B14" w14:paraId="0DF2EA20" w14:textId="77777777">
        <w:trPr>
          <w:cantSplit/>
          <w:jc w:val="center"/>
        </w:trPr>
        <w:tc>
          <w:tcPr>
            <w:tcW w:w="1490" w:type="dxa"/>
            <w:vMerge/>
            <w:shd w:val="clear" w:color="auto" w:fill="4472C4"/>
            <w:vAlign w:val="center"/>
          </w:tcPr>
          <w:p w14:paraId="48690BFC" w14:textId="77777777" w:rsidR="00990B14" w:rsidRDefault="00990B14">
            <w:pPr>
              <w:spacing w:before="20" w:after="20"/>
            </w:pPr>
          </w:p>
        </w:tc>
        <w:tc>
          <w:tcPr>
            <w:tcW w:w="6038" w:type="dxa"/>
            <w:gridSpan w:val="3"/>
            <w:shd w:val="clear" w:color="auto" w:fill="D9E2F3"/>
            <w:vAlign w:val="center"/>
          </w:tcPr>
          <w:p w14:paraId="00FD9AAB" w14:textId="77777777" w:rsidR="00990B14" w:rsidRDefault="00000000">
            <w:pPr>
              <w:keepNext/>
              <w:spacing w:before="20" w:after="20"/>
              <w:jc w:val="both"/>
            </w:pPr>
            <w:r>
              <w:rPr>
                <w:b/>
                <w:bCs/>
                <w:i/>
                <w:iCs/>
                <w:sz w:val="18"/>
                <w:szCs w:val="18"/>
              </w:rPr>
              <w:t xml:space="preserve">Producto 15: </w:t>
            </w:r>
            <w:r>
              <w:rPr>
                <w:sz w:val="18"/>
                <w:szCs w:val="18"/>
              </w:rPr>
              <w:t>Propuesta de política antifraude</w:t>
            </w:r>
          </w:p>
        </w:tc>
        <w:tc>
          <w:tcPr>
            <w:tcW w:w="1877" w:type="dxa"/>
            <w:shd w:val="clear" w:color="auto" w:fill="D9E2F3"/>
            <w:vAlign w:val="center"/>
          </w:tcPr>
          <w:p w14:paraId="1C23369D" w14:textId="77777777" w:rsidR="00990B14" w:rsidRDefault="00000000">
            <w:pPr>
              <w:spacing w:before="20" w:after="20"/>
              <w:jc w:val="center"/>
            </w:pPr>
            <w:r>
              <w:rPr>
                <w:b/>
                <w:bCs/>
                <w:sz w:val="18"/>
                <w:szCs w:val="18"/>
              </w:rPr>
              <w:t>7%</w:t>
            </w:r>
          </w:p>
        </w:tc>
      </w:tr>
      <w:tr w:rsidR="00990B14" w14:paraId="5C3AF75F" w14:textId="77777777">
        <w:trPr>
          <w:cantSplit/>
          <w:jc w:val="center"/>
        </w:trPr>
        <w:tc>
          <w:tcPr>
            <w:tcW w:w="1490" w:type="dxa"/>
            <w:vMerge/>
            <w:shd w:val="clear" w:color="auto" w:fill="4472C4"/>
            <w:vAlign w:val="center"/>
          </w:tcPr>
          <w:p w14:paraId="3B0C785F" w14:textId="77777777" w:rsidR="00990B14" w:rsidRDefault="00990B14">
            <w:pPr>
              <w:spacing w:before="20" w:after="20"/>
            </w:pPr>
          </w:p>
        </w:tc>
        <w:tc>
          <w:tcPr>
            <w:tcW w:w="2015" w:type="dxa"/>
            <w:shd w:val="clear" w:color="auto" w:fill="4472C4"/>
            <w:vAlign w:val="center"/>
          </w:tcPr>
          <w:p w14:paraId="6872B32E" w14:textId="77777777" w:rsidR="00990B14" w:rsidRDefault="00000000">
            <w:pPr>
              <w:keepNext/>
              <w:spacing w:before="20" w:after="20"/>
              <w:jc w:val="center"/>
            </w:pPr>
            <w:r>
              <w:rPr>
                <w:b/>
                <w:bCs/>
                <w:i/>
                <w:iCs/>
                <w:color w:val="FFFFFF"/>
                <w:sz w:val="18"/>
                <w:szCs w:val="18"/>
              </w:rPr>
              <w:t>Criterio</w:t>
            </w:r>
          </w:p>
        </w:tc>
        <w:tc>
          <w:tcPr>
            <w:tcW w:w="2120" w:type="dxa"/>
            <w:shd w:val="clear" w:color="auto" w:fill="4472C4"/>
            <w:vAlign w:val="center"/>
          </w:tcPr>
          <w:p w14:paraId="1350EBFE" w14:textId="77777777" w:rsidR="00990B14" w:rsidRDefault="00000000">
            <w:pPr>
              <w:keepNext/>
              <w:spacing w:before="20" w:after="20"/>
              <w:jc w:val="center"/>
            </w:pPr>
            <w:r>
              <w:rPr>
                <w:b/>
                <w:bCs/>
                <w:i/>
                <w:iCs/>
                <w:color w:val="FFFFFF"/>
                <w:sz w:val="18"/>
                <w:szCs w:val="18"/>
              </w:rPr>
              <w:t>Insuficiente (1–50)</w:t>
            </w:r>
          </w:p>
        </w:tc>
        <w:tc>
          <w:tcPr>
            <w:tcW w:w="1903" w:type="dxa"/>
            <w:shd w:val="clear" w:color="auto" w:fill="4472C4"/>
            <w:vAlign w:val="center"/>
          </w:tcPr>
          <w:p w14:paraId="227A218D"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4265F37E" w14:textId="77777777" w:rsidR="00990B14" w:rsidRDefault="00000000">
            <w:pPr>
              <w:keepNext/>
              <w:spacing w:before="20" w:after="20"/>
              <w:jc w:val="center"/>
            </w:pPr>
            <w:r>
              <w:rPr>
                <w:b/>
                <w:bCs/>
                <w:i/>
                <w:iCs/>
                <w:color w:val="FFFFFF"/>
                <w:sz w:val="18"/>
                <w:szCs w:val="18"/>
              </w:rPr>
              <w:t>Destacado (81–100)</w:t>
            </w:r>
          </w:p>
        </w:tc>
      </w:tr>
      <w:tr w:rsidR="00990B14" w14:paraId="791E4268" w14:textId="77777777">
        <w:trPr>
          <w:cantSplit/>
          <w:jc w:val="center"/>
        </w:trPr>
        <w:tc>
          <w:tcPr>
            <w:tcW w:w="1490" w:type="dxa"/>
            <w:vMerge/>
            <w:shd w:val="clear" w:color="auto" w:fill="4472C4"/>
            <w:vAlign w:val="center"/>
          </w:tcPr>
          <w:p w14:paraId="5D30E61B" w14:textId="77777777" w:rsidR="00990B14" w:rsidRDefault="00990B14">
            <w:pPr>
              <w:spacing w:before="20" w:after="20"/>
            </w:pPr>
          </w:p>
        </w:tc>
        <w:tc>
          <w:tcPr>
            <w:tcW w:w="2015" w:type="dxa"/>
            <w:shd w:val="clear" w:color="auto" w:fill="D9E2F3"/>
            <w:vAlign w:val="center"/>
          </w:tcPr>
          <w:p w14:paraId="37F8778B" w14:textId="77777777" w:rsidR="00990B14" w:rsidRDefault="00000000">
            <w:pPr>
              <w:spacing w:before="20" w:after="20"/>
              <w:jc w:val="both"/>
            </w:pPr>
            <w:r>
              <w:rPr>
                <w:sz w:val="18"/>
                <w:szCs w:val="18"/>
              </w:rPr>
              <w:t>Diseño de política antifraude</w:t>
            </w:r>
          </w:p>
        </w:tc>
        <w:tc>
          <w:tcPr>
            <w:tcW w:w="2120" w:type="dxa"/>
            <w:shd w:val="clear" w:color="auto" w:fill="D9E2F3"/>
            <w:vAlign w:val="center"/>
          </w:tcPr>
          <w:p w14:paraId="520EF240" w14:textId="77777777" w:rsidR="00990B14" w:rsidRDefault="00000000">
            <w:pPr>
              <w:spacing w:before="20" w:after="20"/>
              <w:jc w:val="both"/>
            </w:pPr>
            <w:r>
              <w:rPr>
                <w:sz w:val="18"/>
                <w:szCs w:val="18"/>
              </w:rPr>
              <w:t>Política genérica, sin responsabilidades, prevención ni respuesta.</w:t>
            </w:r>
          </w:p>
        </w:tc>
        <w:tc>
          <w:tcPr>
            <w:tcW w:w="1903" w:type="dxa"/>
            <w:shd w:val="clear" w:color="auto" w:fill="D9E2F3"/>
            <w:vAlign w:val="center"/>
          </w:tcPr>
          <w:p w14:paraId="22706A87" w14:textId="77777777" w:rsidR="00990B14" w:rsidRDefault="00000000">
            <w:pPr>
              <w:spacing w:before="20" w:after="20"/>
              <w:jc w:val="both"/>
            </w:pPr>
            <w:r>
              <w:rPr>
                <w:sz w:val="18"/>
                <w:szCs w:val="18"/>
              </w:rPr>
              <w:t>Incluye medidas básicas, roles y canal de denuncia.</w:t>
            </w:r>
          </w:p>
        </w:tc>
        <w:tc>
          <w:tcPr>
            <w:tcW w:w="1877" w:type="dxa"/>
            <w:shd w:val="clear" w:color="auto" w:fill="D9E2F3"/>
            <w:vAlign w:val="center"/>
          </w:tcPr>
          <w:p w14:paraId="4DB37863" w14:textId="77777777" w:rsidR="00990B14" w:rsidRDefault="00000000">
            <w:pPr>
              <w:spacing w:before="20" w:after="20"/>
              <w:jc w:val="both"/>
            </w:pPr>
            <w:r>
              <w:rPr>
                <w:sz w:val="18"/>
                <w:szCs w:val="18"/>
              </w:rPr>
              <w:t>Política contextualizada con responsabilidades, prevención, detección, respuesta y protección frente a represalias.</w:t>
            </w:r>
          </w:p>
        </w:tc>
      </w:tr>
      <w:tr w:rsidR="00990B14" w14:paraId="7F910EFA" w14:textId="77777777">
        <w:trPr>
          <w:cantSplit/>
          <w:jc w:val="center"/>
        </w:trPr>
        <w:tc>
          <w:tcPr>
            <w:tcW w:w="1490" w:type="dxa"/>
            <w:vMerge/>
            <w:shd w:val="clear" w:color="auto" w:fill="4472C4"/>
            <w:vAlign w:val="center"/>
          </w:tcPr>
          <w:p w14:paraId="18E684D2" w14:textId="77777777" w:rsidR="00990B14" w:rsidRDefault="00990B14">
            <w:pPr>
              <w:spacing w:before="20" w:after="20"/>
            </w:pPr>
          </w:p>
        </w:tc>
        <w:tc>
          <w:tcPr>
            <w:tcW w:w="2015" w:type="dxa"/>
            <w:shd w:val="clear" w:color="auto" w:fill="D9E2F3"/>
            <w:vAlign w:val="center"/>
          </w:tcPr>
          <w:p w14:paraId="5E823BA3" w14:textId="77777777" w:rsidR="00990B14" w:rsidRDefault="00000000">
            <w:pPr>
              <w:spacing w:before="20" w:after="20"/>
              <w:jc w:val="both"/>
            </w:pPr>
            <w:r>
              <w:rPr>
                <w:sz w:val="18"/>
                <w:szCs w:val="18"/>
              </w:rPr>
              <w:t>Canal de denuncias y controles</w:t>
            </w:r>
          </w:p>
        </w:tc>
        <w:tc>
          <w:tcPr>
            <w:tcW w:w="2120" w:type="dxa"/>
            <w:shd w:val="clear" w:color="auto" w:fill="D9E2F3"/>
            <w:vAlign w:val="center"/>
          </w:tcPr>
          <w:p w14:paraId="4536C3C4" w14:textId="77777777" w:rsidR="00990B14" w:rsidRDefault="00000000">
            <w:pPr>
              <w:spacing w:before="20" w:after="20"/>
              <w:jc w:val="both"/>
            </w:pPr>
            <w:r>
              <w:rPr>
                <w:sz w:val="18"/>
                <w:szCs w:val="18"/>
              </w:rPr>
              <w:t>Canal inaccesible o sin medidas de confidencialidad y seguimiento.</w:t>
            </w:r>
          </w:p>
        </w:tc>
        <w:tc>
          <w:tcPr>
            <w:tcW w:w="1903" w:type="dxa"/>
            <w:shd w:val="clear" w:color="auto" w:fill="D9E2F3"/>
            <w:vAlign w:val="center"/>
          </w:tcPr>
          <w:p w14:paraId="61011117" w14:textId="77777777" w:rsidR="00990B14" w:rsidRDefault="00000000">
            <w:pPr>
              <w:spacing w:before="20" w:after="20"/>
              <w:jc w:val="both"/>
            </w:pPr>
            <w:r>
              <w:rPr>
                <w:sz w:val="18"/>
                <w:szCs w:val="18"/>
              </w:rPr>
              <w:t>Define un canal y controles básicos, con vacíos operativos.</w:t>
            </w:r>
          </w:p>
        </w:tc>
        <w:tc>
          <w:tcPr>
            <w:tcW w:w="1877" w:type="dxa"/>
            <w:shd w:val="clear" w:color="auto" w:fill="D9E2F3"/>
            <w:vAlign w:val="center"/>
          </w:tcPr>
          <w:p w14:paraId="00F985DD" w14:textId="77777777" w:rsidR="00990B14" w:rsidRDefault="00000000">
            <w:pPr>
              <w:spacing w:before="20" w:after="20"/>
              <w:jc w:val="both"/>
            </w:pPr>
            <w:r>
              <w:rPr>
                <w:sz w:val="18"/>
                <w:szCs w:val="18"/>
              </w:rPr>
              <w:t>Define canales accesibles, confidencialidad, registro, investigación, escalamiento y controles verificables.</w:t>
            </w:r>
          </w:p>
        </w:tc>
      </w:tr>
      <w:tr w:rsidR="00990B14" w14:paraId="1334938B" w14:textId="77777777">
        <w:trPr>
          <w:cantSplit/>
          <w:jc w:val="center"/>
        </w:trPr>
        <w:tc>
          <w:tcPr>
            <w:tcW w:w="1490" w:type="dxa"/>
            <w:vMerge/>
            <w:shd w:val="clear" w:color="auto" w:fill="4472C4"/>
            <w:vAlign w:val="center"/>
          </w:tcPr>
          <w:p w14:paraId="7AF886A7" w14:textId="77777777" w:rsidR="00990B14" w:rsidRDefault="00990B14">
            <w:pPr>
              <w:spacing w:before="20" w:after="20"/>
            </w:pPr>
          </w:p>
        </w:tc>
        <w:tc>
          <w:tcPr>
            <w:tcW w:w="2015" w:type="dxa"/>
            <w:shd w:val="clear" w:color="auto" w:fill="D9E2F3"/>
            <w:vAlign w:val="center"/>
          </w:tcPr>
          <w:p w14:paraId="2B52A763" w14:textId="77777777" w:rsidR="00990B14" w:rsidRDefault="00000000">
            <w:pPr>
              <w:spacing w:before="20" w:after="20"/>
              <w:jc w:val="both"/>
            </w:pPr>
            <w:r>
              <w:rPr>
                <w:sz w:val="18"/>
                <w:szCs w:val="18"/>
              </w:rPr>
              <w:t>Viabilidad y ética</w:t>
            </w:r>
          </w:p>
        </w:tc>
        <w:tc>
          <w:tcPr>
            <w:tcW w:w="2120" w:type="dxa"/>
            <w:shd w:val="clear" w:color="auto" w:fill="D9E2F3"/>
            <w:vAlign w:val="center"/>
          </w:tcPr>
          <w:p w14:paraId="1CEC380A" w14:textId="77777777" w:rsidR="00990B14" w:rsidRDefault="00000000">
            <w:pPr>
              <w:spacing w:before="20" w:after="20"/>
              <w:jc w:val="both"/>
            </w:pPr>
            <w:r>
              <w:rPr>
                <w:sz w:val="18"/>
                <w:szCs w:val="18"/>
              </w:rPr>
              <w:t>Propuesta poco viable o incompatible con principios éticos.</w:t>
            </w:r>
          </w:p>
        </w:tc>
        <w:tc>
          <w:tcPr>
            <w:tcW w:w="1903" w:type="dxa"/>
            <w:shd w:val="clear" w:color="auto" w:fill="D9E2F3"/>
            <w:vAlign w:val="center"/>
          </w:tcPr>
          <w:p w14:paraId="2D2E9E84" w14:textId="77777777" w:rsidR="00990B14" w:rsidRDefault="00000000">
            <w:pPr>
              <w:spacing w:before="20" w:after="20"/>
              <w:jc w:val="both"/>
            </w:pPr>
            <w:r>
              <w:rPr>
                <w:sz w:val="18"/>
                <w:szCs w:val="18"/>
              </w:rPr>
              <w:t>Propuesta viable en términos generales y con principios básicos.</w:t>
            </w:r>
          </w:p>
        </w:tc>
        <w:tc>
          <w:tcPr>
            <w:tcW w:w="1877" w:type="dxa"/>
            <w:shd w:val="clear" w:color="auto" w:fill="D9E2F3"/>
            <w:vAlign w:val="center"/>
          </w:tcPr>
          <w:p w14:paraId="70840158" w14:textId="77777777" w:rsidR="00990B14" w:rsidRDefault="00000000">
            <w:pPr>
              <w:spacing w:before="20" w:after="20"/>
              <w:jc w:val="both"/>
            </w:pPr>
            <w:r>
              <w:rPr>
                <w:sz w:val="18"/>
                <w:szCs w:val="18"/>
              </w:rPr>
              <w:t>Propuesta viable, proporcional, medible y alineada con integridad, debido proceso y mejora continua.</w:t>
            </w:r>
          </w:p>
        </w:tc>
      </w:tr>
      <w:tr w:rsidR="00990B14" w14:paraId="01EFC5FD" w14:textId="77777777">
        <w:trPr>
          <w:cantSplit/>
          <w:jc w:val="center"/>
        </w:trPr>
        <w:tc>
          <w:tcPr>
            <w:tcW w:w="1490" w:type="dxa"/>
            <w:vMerge/>
            <w:shd w:val="clear" w:color="auto" w:fill="4472C4"/>
            <w:vAlign w:val="center"/>
          </w:tcPr>
          <w:p w14:paraId="630CF7A9" w14:textId="77777777" w:rsidR="00990B14" w:rsidRDefault="00990B14">
            <w:pPr>
              <w:spacing w:before="20" w:after="20"/>
            </w:pPr>
          </w:p>
        </w:tc>
        <w:tc>
          <w:tcPr>
            <w:tcW w:w="6038" w:type="dxa"/>
            <w:gridSpan w:val="3"/>
            <w:shd w:val="clear" w:color="auto" w:fill="D9E2F3"/>
            <w:vAlign w:val="center"/>
          </w:tcPr>
          <w:p w14:paraId="03860922" w14:textId="77777777" w:rsidR="00990B14" w:rsidRDefault="00000000">
            <w:pPr>
              <w:keepNext/>
              <w:spacing w:before="20" w:after="20"/>
              <w:jc w:val="both"/>
            </w:pPr>
            <w:r>
              <w:rPr>
                <w:b/>
                <w:bCs/>
                <w:i/>
                <w:iCs/>
                <w:sz w:val="18"/>
                <w:szCs w:val="18"/>
              </w:rPr>
              <w:t xml:space="preserve">Producto 16: </w:t>
            </w:r>
            <w:r>
              <w:rPr>
                <w:sz w:val="18"/>
                <w:szCs w:val="18"/>
              </w:rPr>
              <w:t>Informe de evaluación del programa de prevención</w:t>
            </w:r>
          </w:p>
        </w:tc>
        <w:tc>
          <w:tcPr>
            <w:tcW w:w="1877" w:type="dxa"/>
            <w:shd w:val="clear" w:color="auto" w:fill="D9E2F3"/>
            <w:vAlign w:val="center"/>
          </w:tcPr>
          <w:p w14:paraId="4818FEB2" w14:textId="77777777" w:rsidR="00990B14" w:rsidRDefault="00000000">
            <w:pPr>
              <w:spacing w:before="20" w:after="20"/>
              <w:jc w:val="center"/>
            </w:pPr>
            <w:r>
              <w:rPr>
                <w:b/>
                <w:bCs/>
                <w:sz w:val="18"/>
                <w:szCs w:val="18"/>
              </w:rPr>
              <w:t>7%</w:t>
            </w:r>
          </w:p>
        </w:tc>
      </w:tr>
      <w:tr w:rsidR="00990B14" w14:paraId="5DE2B1A7" w14:textId="77777777">
        <w:trPr>
          <w:cantSplit/>
          <w:jc w:val="center"/>
        </w:trPr>
        <w:tc>
          <w:tcPr>
            <w:tcW w:w="1490" w:type="dxa"/>
            <w:vMerge/>
            <w:shd w:val="clear" w:color="auto" w:fill="4472C4"/>
            <w:vAlign w:val="center"/>
          </w:tcPr>
          <w:p w14:paraId="668B2DC9" w14:textId="77777777" w:rsidR="00990B14" w:rsidRDefault="00990B14">
            <w:pPr>
              <w:spacing w:before="20" w:after="20"/>
            </w:pPr>
          </w:p>
        </w:tc>
        <w:tc>
          <w:tcPr>
            <w:tcW w:w="2015" w:type="dxa"/>
            <w:shd w:val="clear" w:color="auto" w:fill="4472C4"/>
            <w:vAlign w:val="center"/>
          </w:tcPr>
          <w:p w14:paraId="04685EAD" w14:textId="77777777" w:rsidR="00990B14" w:rsidRDefault="00000000">
            <w:pPr>
              <w:keepNext/>
              <w:spacing w:before="20" w:after="20"/>
              <w:jc w:val="center"/>
            </w:pPr>
            <w:r>
              <w:rPr>
                <w:b/>
                <w:bCs/>
                <w:i/>
                <w:iCs/>
                <w:color w:val="FFFFFF"/>
                <w:sz w:val="18"/>
                <w:szCs w:val="18"/>
              </w:rPr>
              <w:t>Criterio</w:t>
            </w:r>
          </w:p>
        </w:tc>
        <w:tc>
          <w:tcPr>
            <w:tcW w:w="2120" w:type="dxa"/>
            <w:shd w:val="clear" w:color="auto" w:fill="4472C4"/>
            <w:vAlign w:val="center"/>
          </w:tcPr>
          <w:p w14:paraId="3304D77C" w14:textId="77777777" w:rsidR="00990B14" w:rsidRDefault="00000000">
            <w:pPr>
              <w:keepNext/>
              <w:spacing w:before="20" w:after="20"/>
              <w:jc w:val="center"/>
            </w:pPr>
            <w:r>
              <w:rPr>
                <w:b/>
                <w:bCs/>
                <w:i/>
                <w:iCs/>
                <w:color w:val="FFFFFF"/>
                <w:sz w:val="18"/>
                <w:szCs w:val="18"/>
              </w:rPr>
              <w:t>Insuficiente (1–50)</w:t>
            </w:r>
          </w:p>
        </w:tc>
        <w:tc>
          <w:tcPr>
            <w:tcW w:w="1903" w:type="dxa"/>
            <w:shd w:val="clear" w:color="auto" w:fill="4472C4"/>
            <w:vAlign w:val="center"/>
          </w:tcPr>
          <w:p w14:paraId="5BCB7235"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26E94401" w14:textId="77777777" w:rsidR="00990B14" w:rsidRDefault="00000000">
            <w:pPr>
              <w:keepNext/>
              <w:spacing w:before="20" w:after="20"/>
              <w:jc w:val="center"/>
            </w:pPr>
            <w:r>
              <w:rPr>
                <w:b/>
                <w:bCs/>
                <w:i/>
                <w:iCs/>
                <w:color w:val="FFFFFF"/>
                <w:sz w:val="18"/>
                <w:szCs w:val="18"/>
              </w:rPr>
              <w:t>Destacado (81–100)</w:t>
            </w:r>
          </w:p>
        </w:tc>
      </w:tr>
      <w:tr w:rsidR="00990B14" w14:paraId="3FA35C13" w14:textId="77777777">
        <w:trPr>
          <w:cantSplit/>
          <w:jc w:val="center"/>
        </w:trPr>
        <w:tc>
          <w:tcPr>
            <w:tcW w:w="1490" w:type="dxa"/>
            <w:vMerge/>
            <w:shd w:val="clear" w:color="auto" w:fill="4472C4"/>
            <w:vAlign w:val="center"/>
          </w:tcPr>
          <w:p w14:paraId="5CC644F5" w14:textId="77777777" w:rsidR="00990B14" w:rsidRDefault="00990B14">
            <w:pPr>
              <w:spacing w:before="20" w:after="20"/>
            </w:pPr>
          </w:p>
        </w:tc>
        <w:tc>
          <w:tcPr>
            <w:tcW w:w="2015" w:type="dxa"/>
            <w:shd w:val="clear" w:color="auto" w:fill="D9E2F3"/>
            <w:vAlign w:val="center"/>
          </w:tcPr>
          <w:p w14:paraId="3D505D6B" w14:textId="77777777" w:rsidR="00990B14" w:rsidRDefault="00000000">
            <w:pPr>
              <w:spacing w:before="20" w:after="20"/>
              <w:jc w:val="both"/>
            </w:pPr>
            <w:r>
              <w:rPr>
                <w:sz w:val="18"/>
                <w:szCs w:val="18"/>
              </w:rPr>
              <w:t>Evaluación del programa</w:t>
            </w:r>
          </w:p>
        </w:tc>
        <w:tc>
          <w:tcPr>
            <w:tcW w:w="2120" w:type="dxa"/>
            <w:shd w:val="clear" w:color="auto" w:fill="D9E2F3"/>
            <w:vAlign w:val="center"/>
          </w:tcPr>
          <w:p w14:paraId="4F1CB9B9" w14:textId="77777777" w:rsidR="00990B14" w:rsidRDefault="00000000">
            <w:pPr>
              <w:spacing w:before="20" w:after="20"/>
              <w:jc w:val="both"/>
            </w:pPr>
            <w:r>
              <w:rPr>
                <w:sz w:val="18"/>
                <w:szCs w:val="18"/>
              </w:rPr>
              <w:t>No establece criterios ni evidencia para valorar la eficacia.</w:t>
            </w:r>
          </w:p>
        </w:tc>
        <w:tc>
          <w:tcPr>
            <w:tcW w:w="1903" w:type="dxa"/>
            <w:shd w:val="clear" w:color="auto" w:fill="D9E2F3"/>
            <w:vAlign w:val="center"/>
          </w:tcPr>
          <w:p w14:paraId="1C0DBE9C" w14:textId="77777777" w:rsidR="00990B14" w:rsidRDefault="00000000">
            <w:pPr>
              <w:spacing w:before="20" w:after="20"/>
              <w:jc w:val="both"/>
            </w:pPr>
            <w:r>
              <w:rPr>
                <w:sz w:val="18"/>
                <w:szCs w:val="18"/>
              </w:rPr>
              <w:t>Evalúa controles principales con criterios y evidencia parciales.</w:t>
            </w:r>
          </w:p>
        </w:tc>
        <w:tc>
          <w:tcPr>
            <w:tcW w:w="1877" w:type="dxa"/>
            <w:shd w:val="clear" w:color="auto" w:fill="D9E2F3"/>
            <w:vAlign w:val="center"/>
          </w:tcPr>
          <w:p w14:paraId="56561653" w14:textId="77777777" w:rsidR="00990B14" w:rsidRDefault="00000000">
            <w:pPr>
              <w:spacing w:before="20" w:after="20"/>
              <w:jc w:val="both"/>
            </w:pPr>
            <w:r>
              <w:rPr>
                <w:sz w:val="18"/>
                <w:szCs w:val="18"/>
              </w:rPr>
              <w:t>Evalúa diseño y funcionamiento de controles mediante criterios claros y evidencia verificable.</w:t>
            </w:r>
          </w:p>
        </w:tc>
      </w:tr>
      <w:tr w:rsidR="00990B14" w14:paraId="2785538A" w14:textId="77777777">
        <w:trPr>
          <w:cantSplit/>
          <w:jc w:val="center"/>
        </w:trPr>
        <w:tc>
          <w:tcPr>
            <w:tcW w:w="1490" w:type="dxa"/>
            <w:vMerge/>
            <w:shd w:val="clear" w:color="auto" w:fill="4472C4"/>
            <w:vAlign w:val="center"/>
          </w:tcPr>
          <w:p w14:paraId="79100A48" w14:textId="77777777" w:rsidR="00990B14" w:rsidRDefault="00990B14">
            <w:pPr>
              <w:spacing w:before="20" w:after="20"/>
            </w:pPr>
          </w:p>
        </w:tc>
        <w:tc>
          <w:tcPr>
            <w:tcW w:w="2015" w:type="dxa"/>
            <w:shd w:val="clear" w:color="auto" w:fill="D9E2F3"/>
            <w:vAlign w:val="center"/>
          </w:tcPr>
          <w:p w14:paraId="77677400" w14:textId="77777777" w:rsidR="00990B14" w:rsidRDefault="00000000">
            <w:pPr>
              <w:spacing w:before="20" w:after="20"/>
              <w:jc w:val="both"/>
            </w:pPr>
            <w:r>
              <w:rPr>
                <w:sz w:val="18"/>
                <w:szCs w:val="18"/>
              </w:rPr>
              <w:t>Hallazgos y recomendaciones</w:t>
            </w:r>
          </w:p>
        </w:tc>
        <w:tc>
          <w:tcPr>
            <w:tcW w:w="2120" w:type="dxa"/>
            <w:shd w:val="clear" w:color="auto" w:fill="D9E2F3"/>
            <w:vAlign w:val="center"/>
          </w:tcPr>
          <w:p w14:paraId="56DA09FA" w14:textId="77777777" w:rsidR="00990B14" w:rsidRDefault="00000000">
            <w:pPr>
              <w:spacing w:before="20" w:after="20"/>
              <w:jc w:val="both"/>
            </w:pPr>
            <w:r>
              <w:rPr>
                <w:sz w:val="18"/>
                <w:szCs w:val="18"/>
              </w:rPr>
              <w:t>Recomendaciones vagas, no priorizadas o sin relación con hallazgos.</w:t>
            </w:r>
          </w:p>
        </w:tc>
        <w:tc>
          <w:tcPr>
            <w:tcW w:w="1903" w:type="dxa"/>
            <w:shd w:val="clear" w:color="auto" w:fill="D9E2F3"/>
            <w:vAlign w:val="center"/>
          </w:tcPr>
          <w:p w14:paraId="05BD9DE8" w14:textId="77777777" w:rsidR="00990B14" w:rsidRDefault="00000000">
            <w:pPr>
              <w:spacing w:before="20" w:after="20"/>
              <w:jc w:val="both"/>
            </w:pPr>
            <w:r>
              <w:rPr>
                <w:sz w:val="18"/>
                <w:szCs w:val="18"/>
              </w:rPr>
              <w:t>Recomendaciones pertinentes pero con prioridades o responsables poco definidos.</w:t>
            </w:r>
          </w:p>
        </w:tc>
        <w:tc>
          <w:tcPr>
            <w:tcW w:w="1877" w:type="dxa"/>
            <w:shd w:val="clear" w:color="auto" w:fill="D9E2F3"/>
            <w:vAlign w:val="center"/>
          </w:tcPr>
          <w:p w14:paraId="565F77D7" w14:textId="77777777" w:rsidR="00990B14" w:rsidRDefault="00000000">
            <w:pPr>
              <w:spacing w:before="20" w:after="20"/>
              <w:jc w:val="both"/>
            </w:pPr>
            <w:r>
              <w:rPr>
                <w:sz w:val="18"/>
                <w:szCs w:val="18"/>
              </w:rPr>
              <w:t>Recomendaciones específicas, priorizadas, viables, con responsables, plazos e indicadores.</w:t>
            </w:r>
          </w:p>
        </w:tc>
      </w:tr>
      <w:tr w:rsidR="00990B14" w14:paraId="77383978" w14:textId="77777777">
        <w:trPr>
          <w:cantSplit/>
          <w:jc w:val="center"/>
        </w:trPr>
        <w:tc>
          <w:tcPr>
            <w:tcW w:w="1490" w:type="dxa"/>
            <w:vMerge/>
            <w:shd w:val="clear" w:color="auto" w:fill="4472C4"/>
            <w:vAlign w:val="center"/>
          </w:tcPr>
          <w:p w14:paraId="40E2A635" w14:textId="77777777" w:rsidR="00990B14" w:rsidRDefault="00990B14">
            <w:pPr>
              <w:spacing w:before="20" w:after="20"/>
            </w:pPr>
          </w:p>
        </w:tc>
        <w:tc>
          <w:tcPr>
            <w:tcW w:w="2015" w:type="dxa"/>
            <w:shd w:val="clear" w:color="auto" w:fill="D9E2F3"/>
            <w:vAlign w:val="center"/>
          </w:tcPr>
          <w:p w14:paraId="520F0742" w14:textId="77777777" w:rsidR="00990B14" w:rsidRDefault="00000000">
            <w:pPr>
              <w:spacing w:before="20" w:after="20"/>
              <w:jc w:val="both"/>
            </w:pPr>
            <w:r>
              <w:rPr>
                <w:sz w:val="18"/>
                <w:szCs w:val="18"/>
              </w:rPr>
              <w:t>Informe y cumplimiento</w:t>
            </w:r>
          </w:p>
        </w:tc>
        <w:tc>
          <w:tcPr>
            <w:tcW w:w="2120" w:type="dxa"/>
            <w:shd w:val="clear" w:color="auto" w:fill="D9E2F3"/>
            <w:vAlign w:val="center"/>
          </w:tcPr>
          <w:p w14:paraId="25965E2C" w14:textId="77777777" w:rsidR="00990B14" w:rsidRDefault="00000000">
            <w:pPr>
              <w:spacing w:before="20" w:after="20"/>
              <w:jc w:val="both"/>
            </w:pPr>
            <w:r>
              <w:rPr>
                <w:sz w:val="18"/>
                <w:szCs w:val="18"/>
              </w:rPr>
              <w:t>Informe incompleto o desconoce el marco aplicable.</w:t>
            </w:r>
          </w:p>
        </w:tc>
        <w:tc>
          <w:tcPr>
            <w:tcW w:w="1903" w:type="dxa"/>
            <w:shd w:val="clear" w:color="auto" w:fill="D9E2F3"/>
            <w:vAlign w:val="center"/>
          </w:tcPr>
          <w:p w14:paraId="14A786BE" w14:textId="77777777" w:rsidR="00990B14" w:rsidRDefault="00000000">
            <w:pPr>
              <w:spacing w:before="20" w:after="20"/>
              <w:jc w:val="both"/>
            </w:pPr>
            <w:r>
              <w:rPr>
                <w:sz w:val="18"/>
                <w:szCs w:val="18"/>
              </w:rPr>
              <w:t>Informe estructurado con referencias normativas generales.</w:t>
            </w:r>
          </w:p>
        </w:tc>
        <w:tc>
          <w:tcPr>
            <w:tcW w:w="1877" w:type="dxa"/>
            <w:shd w:val="clear" w:color="auto" w:fill="D9E2F3"/>
            <w:vAlign w:val="center"/>
          </w:tcPr>
          <w:p w14:paraId="79E8E8CF" w14:textId="77777777" w:rsidR="00990B14" w:rsidRDefault="00000000">
            <w:pPr>
              <w:spacing w:before="20" w:after="20"/>
              <w:jc w:val="both"/>
            </w:pPr>
            <w:r>
              <w:rPr>
                <w:sz w:val="18"/>
                <w:szCs w:val="18"/>
              </w:rPr>
              <w:t>Informe objetivo y trazable, con normativa pertinente, limitaciones y plan de seguimiento.</w:t>
            </w:r>
          </w:p>
        </w:tc>
      </w:tr>
      <w:tr w:rsidR="00990B14" w14:paraId="47A22A70" w14:textId="77777777">
        <w:trPr>
          <w:cantSplit/>
          <w:jc w:val="center"/>
        </w:trPr>
        <w:tc>
          <w:tcPr>
            <w:tcW w:w="7528" w:type="dxa"/>
            <w:gridSpan w:val="4"/>
            <w:shd w:val="clear" w:color="auto" w:fill="4472C4"/>
            <w:vAlign w:val="center"/>
          </w:tcPr>
          <w:p w14:paraId="43019C91" w14:textId="77777777" w:rsidR="00990B14" w:rsidRDefault="00000000">
            <w:pPr>
              <w:keepNext/>
              <w:spacing w:before="20" w:after="20"/>
              <w:jc w:val="center"/>
            </w:pPr>
            <w:r>
              <w:rPr>
                <w:b/>
                <w:bCs/>
                <w:i/>
                <w:iCs/>
                <w:color w:val="FFFFFF"/>
                <w:sz w:val="18"/>
                <w:szCs w:val="18"/>
              </w:rPr>
              <w:t>TOTAL</w:t>
            </w:r>
          </w:p>
        </w:tc>
        <w:tc>
          <w:tcPr>
            <w:tcW w:w="1877" w:type="dxa"/>
            <w:shd w:val="clear" w:color="auto" w:fill="4472C4"/>
            <w:vAlign w:val="center"/>
          </w:tcPr>
          <w:p w14:paraId="2FE036C7" w14:textId="77777777" w:rsidR="00990B14" w:rsidRDefault="00000000">
            <w:pPr>
              <w:keepNext/>
              <w:spacing w:before="20" w:after="20"/>
              <w:jc w:val="center"/>
            </w:pPr>
            <w:r>
              <w:rPr>
                <w:b/>
                <w:bCs/>
                <w:i/>
                <w:iCs/>
                <w:color w:val="FFFFFF"/>
                <w:sz w:val="18"/>
                <w:szCs w:val="18"/>
              </w:rPr>
              <w:t>100%</w:t>
            </w:r>
          </w:p>
        </w:tc>
      </w:tr>
    </w:tbl>
    <w:p w14:paraId="3342E2BB"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9405"/>
      </w:tblGrid>
      <w:tr w:rsidR="00990B14" w14:paraId="210E297D" w14:textId="77777777">
        <w:trPr>
          <w:jc w:val="center"/>
        </w:trPr>
        <w:tc>
          <w:tcPr>
            <w:tcW w:w="9405" w:type="dxa"/>
            <w:shd w:val="clear" w:color="auto" w:fill="D9E2F3"/>
          </w:tcPr>
          <w:p w14:paraId="2800E3D2" w14:textId="77777777" w:rsidR="00990B14" w:rsidRDefault="00000000">
            <w:pPr>
              <w:spacing w:before="40" w:after="40"/>
              <w:jc w:val="both"/>
            </w:pPr>
            <w:r>
              <w:rPr>
                <w:b/>
                <w:bCs/>
                <w:i/>
                <w:iCs/>
                <w:sz w:val="18"/>
                <w:szCs w:val="18"/>
              </w:rPr>
              <w:t>Bibliografía básica:</w:t>
            </w:r>
          </w:p>
          <w:p w14:paraId="4530B87E" w14:textId="77777777" w:rsidR="00990B14" w:rsidRDefault="00000000">
            <w:pPr>
              <w:numPr>
                <w:ilvl w:val="0"/>
                <w:numId w:val="140"/>
              </w:numPr>
              <w:spacing w:after="20"/>
              <w:jc w:val="both"/>
            </w:pPr>
            <w:r>
              <w:rPr>
                <w:sz w:val="18"/>
                <w:szCs w:val="18"/>
              </w:rPr>
              <w:t xml:space="preserve">Asociación de Examinadores de Fraude Certificados, ACFE (s.f.). </w:t>
            </w:r>
            <w:r>
              <w:rPr>
                <w:i/>
                <w:iCs/>
                <w:sz w:val="18"/>
                <w:szCs w:val="18"/>
              </w:rPr>
              <w:t>Informe a las Naciones sobre Fraude y Abuso Ocupacional</w:t>
            </w:r>
            <w:r>
              <w:rPr>
                <w:sz w:val="18"/>
                <w:szCs w:val="18"/>
              </w:rPr>
              <w:t>.</w:t>
            </w:r>
          </w:p>
          <w:p w14:paraId="7922A55E" w14:textId="77777777" w:rsidR="00990B14" w:rsidRDefault="00000000">
            <w:pPr>
              <w:numPr>
                <w:ilvl w:val="0"/>
                <w:numId w:val="140"/>
              </w:numPr>
              <w:spacing w:after="20"/>
              <w:jc w:val="both"/>
            </w:pPr>
            <w:r>
              <w:rPr>
                <w:sz w:val="18"/>
                <w:szCs w:val="18"/>
              </w:rPr>
              <w:t>Estándares Internacionales ISO 37001: Sistemas de gestión antisoborno utilizados para alinear las fases preventivas de la auditoría forense</w:t>
            </w:r>
          </w:p>
          <w:p w14:paraId="412F010F" w14:textId="77777777" w:rsidR="00990B14" w:rsidRDefault="00000000">
            <w:pPr>
              <w:numPr>
                <w:ilvl w:val="0"/>
                <w:numId w:val="140"/>
              </w:numPr>
              <w:spacing w:after="20"/>
              <w:jc w:val="both"/>
            </w:pPr>
            <w:r>
              <w:rPr>
                <w:sz w:val="18"/>
                <w:szCs w:val="18"/>
              </w:rPr>
              <w:t>Grupo de Acción Financiera Internacional, GAFI. Las cuarenta recomendaciones sobre prevención del lavado de activos y del financiamiento del terrorismo. París.</w:t>
            </w:r>
          </w:p>
          <w:p w14:paraId="4348644E" w14:textId="77777777" w:rsidR="00990B14" w:rsidRDefault="00000000">
            <w:pPr>
              <w:numPr>
                <w:ilvl w:val="0"/>
                <w:numId w:val="140"/>
              </w:numPr>
              <w:spacing w:after="20"/>
              <w:jc w:val="both"/>
            </w:pPr>
            <w:r w:rsidRPr="00BD34F7">
              <w:rPr>
                <w:sz w:val="18"/>
                <w:szCs w:val="18"/>
                <w:lang w:val="en-US"/>
              </w:rPr>
              <w:t xml:space="preserve">International Auditing and Assurance Standards Board, IAASB (2020). </w:t>
            </w:r>
            <w:r>
              <w:rPr>
                <w:i/>
                <w:iCs/>
                <w:sz w:val="18"/>
                <w:szCs w:val="18"/>
              </w:rPr>
              <w:t>Manual de Pronunciamientos Internacionales de Control de Calidad, Auditoría, Revisión, Otros Encargos de Aseguramiento y Servicios Relacionados</w:t>
            </w:r>
            <w:r>
              <w:rPr>
                <w:sz w:val="18"/>
                <w:szCs w:val="18"/>
              </w:rPr>
              <w:t>. Edición 2018, Volúmenes I, II y III.</w:t>
            </w:r>
          </w:p>
          <w:p w14:paraId="4B3CE598" w14:textId="77777777" w:rsidR="00990B14" w:rsidRDefault="00000000">
            <w:pPr>
              <w:numPr>
                <w:ilvl w:val="0"/>
                <w:numId w:val="140"/>
              </w:numPr>
              <w:spacing w:after="20"/>
              <w:jc w:val="both"/>
            </w:pPr>
            <w:r w:rsidRPr="00BD34F7">
              <w:rPr>
                <w:sz w:val="18"/>
                <w:szCs w:val="18"/>
                <w:lang w:val="en-US"/>
              </w:rPr>
              <w:t xml:space="preserve">International Auditing and Assurance Standards Board, IAASB (2023). </w:t>
            </w:r>
            <w:r w:rsidRPr="00BD34F7">
              <w:rPr>
                <w:i/>
                <w:iCs/>
                <w:sz w:val="18"/>
                <w:szCs w:val="18"/>
                <w:lang w:val="en-US"/>
              </w:rPr>
              <w:t>Handbook of International Quality Control, Auditing, Review, Other Assurance, and Related Services Pronouncements</w:t>
            </w:r>
            <w:r w:rsidRPr="00BD34F7">
              <w:rPr>
                <w:sz w:val="18"/>
                <w:szCs w:val="18"/>
                <w:lang w:val="en-US"/>
              </w:rPr>
              <w:t xml:space="preserve">. </w:t>
            </w:r>
            <w:r>
              <w:rPr>
                <w:sz w:val="18"/>
                <w:szCs w:val="18"/>
              </w:rPr>
              <w:t>Edición 2021, Volúmenes I, II y III.</w:t>
            </w:r>
          </w:p>
          <w:p w14:paraId="7A40C937" w14:textId="77777777" w:rsidR="00990B14" w:rsidRDefault="00000000">
            <w:pPr>
              <w:numPr>
                <w:ilvl w:val="0"/>
                <w:numId w:val="140"/>
              </w:numPr>
              <w:spacing w:after="20"/>
              <w:jc w:val="both"/>
            </w:pPr>
            <w:r w:rsidRPr="00BD34F7">
              <w:rPr>
                <w:sz w:val="18"/>
                <w:szCs w:val="18"/>
                <w:lang w:val="en-US"/>
              </w:rPr>
              <w:t xml:space="preserve">International Auditing and Assurance Standards Board, IAASB. </w:t>
            </w:r>
            <w:r>
              <w:rPr>
                <w:sz w:val="18"/>
                <w:szCs w:val="18"/>
              </w:rPr>
              <w:t>Norma Internacional de Servicios Relacionados 4400 (Revisada), Encargos de procedimientos acordados, aplicable a los encargos acordados desde el 1 de enero de 2022. Nueva York.</w:t>
            </w:r>
          </w:p>
          <w:p w14:paraId="22742A62" w14:textId="77777777" w:rsidR="00990B14" w:rsidRDefault="00000000">
            <w:pPr>
              <w:numPr>
                <w:ilvl w:val="0"/>
                <w:numId w:val="140"/>
              </w:numPr>
              <w:spacing w:after="20"/>
              <w:jc w:val="both"/>
            </w:pPr>
            <w:r>
              <w:rPr>
                <w:sz w:val="18"/>
                <w:szCs w:val="18"/>
              </w:rPr>
              <w:t>La Ley N.º 1178 de Administración y Control Gubernamental SAFCO Ley N.º 004 de lucha contra la corrupción, enriquecimiento ilícito e investigación de fortunas Marcelo Quiroga Santa Cruz, de 31 de marzo de 2010.</w:t>
            </w:r>
          </w:p>
          <w:p w14:paraId="5D8ABE8D" w14:textId="77777777" w:rsidR="00990B14" w:rsidRDefault="00000000">
            <w:pPr>
              <w:numPr>
                <w:ilvl w:val="0"/>
                <w:numId w:val="140"/>
              </w:numPr>
              <w:spacing w:after="20"/>
              <w:jc w:val="both"/>
            </w:pPr>
            <w:r>
              <w:rPr>
                <w:sz w:val="18"/>
                <w:szCs w:val="18"/>
              </w:rPr>
              <w:t>Ley N.º 1390 de fortalecimiento para la lucha contra la corrupción, de 27 de agosto de 2021.</w:t>
            </w:r>
          </w:p>
          <w:p w14:paraId="2EBD15F8" w14:textId="77777777" w:rsidR="00990B14" w:rsidRDefault="00000000">
            <w:pPr>
              <w:numPr>
                <w:ilvl w:val="0"/>
                <w:numId w:val="140"/>
              </w:numPr>
              <w:spacing w:after="20"/>
              <w:jc w:val="both"/>
            </w:pPr>
            <w:r>
              <w:rPr>
                <w:sz w:val="18"/>
                <w:szCs w:val="18"/>
              </w:rPr>
              <w:t>Ley N.º 393 de Servicios Financieros, de 21 de agosto de 2013, y normativa de la Unidad de Investigaciones Financieras sobre prevención del lavado de activos.</w:t>
            </w:r>
          </w:p>
          <w:p w14:paraId="27009067" w14:textId="77777777" w:rsidR="00990B14" w:rsidRDefault="00000000">
            <w:pPr>
              <w:numPr>
                <w:ilvl w:val="0"/>
                <w:numId w:val="140"/>
              </w:numPr>
              <w:spacing w:after="20"/>
              <w:jc w:val="both"/>
            </w:pPr>
            <w:r>
              <w:rPr>
                <w:sz w:val="18"/>
                <w:szCs w:val="18"/>
              </w:rPr>
              <w:t>NIA 3000 (Encargos de aseguramiento distintos de la auditoría o de la revisión de información financiera histórica)</w:t>
            </w:r>
          </w:p>
          <w:p w14:paraId="5BB099EE" w14:textId="77777777" w:rsidR="00990B14" w:rsidRDefault="00000000">
            <w:pPr>
              <w:numPr>
                <w:ilvl w:val="0"/>
                <w:numId w:val="140"/>
              </w:numPr>
              <w:spacing w:after="20"/>
              <w:jc w:val="both"/>
            </w:pPr>
            <w:r>
              <w:rPr>
                <w:sz w:val="18"/>
                <w:szCs w:val="18"/>
              </w:rPr>
              <w:t>Otras normas legales aplicables.</w:t>
            </w:r>
          </w:p>
        </w:tc>
      </w:tr>
      <w:tr w:rsidR="00990B14" w14:paraId="237FE1AA" w14:textId="77777777">
        <w:trPr>
          <w:jc w:val="center"/>
        </w:trPr>
        <w:tc>
          <w:tcPr>
            <w:tcW w:w="9405" w:type="dxa"/>
            <w:shd w:val="clear" w:color="auto" w:fill="D9E2F3"/>
          </w:tcPr>
          <w:p w14:paraId="375A54B6" w14:textId="77777777" w:rsidR="00990B14" w:rsidRDefault="00000000">
            <w:pPr>
              <w:spacing w:before="40" w:after="40"/>
              <w:jc w:val="both"/>
            </w:pPr>
            <w:r>
              <w:rPr>
                <w:b/>
                <w:bCs/>
                <w:i/>
                <w:iCs/>
                <w:sz w:val="18"/>
                <w:szCs w:val="18"/>
              </w:rPr>
              <w:t>Bibliografía complementaria:</w:t>
            </w:r>
          </w:p>
          <w:p w14:paraId="1F709BB7" w14:textId="77777777" w:rsidR="00990B14" w:rsidRDefault="00000000">
            <w:pPr>
              <w:numPr>
                <w:ilvl w:val="0"/>
                <w:numId w:val="140"/>
              </w:numPr>
              <w:spacing w:after="20"/>
              <w:jc w:val="both"/>
            </w:pPr>
            <w:r>
              <w:rPr>
                <w:sz w:val="18"/>
                <w:szCs w:val="18"/>
              </w:rPr>
              <w:t xml:space="preserve">Aparicio Delgado, L. (2008). </w:t>
            </w:r>
            <w:r>
              <w:rPr>
                <w:i/>
                <w:iCs/>
                <w:sz w:val="18"/>
                <w:szCs w:val="18"/>
              </w:rPr>
              <w:t>Auditoría Forense</w:t>
            </w:r>
            <w:r>
              <w:rPr>
                <w:sz w:val="18"/>
                <w:szCs w:val="18"/>
              </w:rPr>
              <w:t>. 2a ed. La Paz – Bolivia: Imprenta Edugraf.</w:t>
            </w:r>
          </w:p>
          <w:p w14:paraId="3E128DE7" w14:textId="77777777" w:rsidR="00990B14" w:rsidRDefault="00000000">
            <w:pPr>
              <w:numPr>
                <w:ilvl w:val="0"/>
                <w:numId w:val="140"/>
              </w:numPr>
              <w:spacing w:after="20"/>
              <w:jc w:val="both"/>
            </w:pPr>
            <w:r>
              <w:rPr>
                <w:sz w:val="18"/>
                <w:szCs w:val="18"/>
              </w:rPr>
              <w:t xml:space="preserve">Arias González, I. P., Colcha Ortiz, R. V. y Robalino, A. P. (2019). </w:t>
            </w:r>
            <w:r>
              <w:rPr>
                <w:i/>
                <w:iCs/>
                <w:sz w:val="18"/>
                <w:szCs w:val="18"/>
              </w:rPr>
              <w:t>Elementos de la Auditoría Forense</w:t>
            </w:r>
            <w:r>
              <w:rPr>
                <w:sz w:val="18"/>
                <w:szCs w:val="18"/>
              </w:rPr>
              <w:t>. Riobamba – Ecuador: La Caracola Editores.</w:t>
            </w:r>
          </w:p>
          <w:p w14:paraId="68DAA943" w14:textId="77777777" w:rsidR="00990B14" w:rsidRDefault="00000000">
            <w:pPr>
              <w:numPr>
                <w:ilvl w:val="0"/>
                <w:numId w:val="140"/>
              </w:numPr>
              <w:spacing w:after="20"/>
              <w:jc w:val="both"/>
            </w:pPr>
            <w:r>
              <w:rPr>
                <w:sz w:val="18"/>
                <w:szCs w:val="18"/>
              </w:rPr>
              <w:t>Asociación de Examinadores de Fraude Certificados: https://www.acfe.com y Grupo de Acción Financiera de Latinoamérica: https://www.gafilat.org</w:t>
            </w:r>
          </w:p>
          <w:p w14:paraId="279C6115" w14:textId="77777777" w:rsidR="00990B14" w:rsidRDefault="00000000">
            <w:pPr>
              <w:numPr>
                <w:ilvl w:val="0"/>
                <w:numId w:val="140"/>
              </w:numPr>
              <w:spacing w:after="20"/>
              <w:jc w:val="both"/>
            </w:pPr>
            <w:r>
              <w:rPr>
                <w:sz w:val="18"/>
                <w:szCs w:val="18"/>
              </w:rPr>
              <w:t xml:space="preserve">Badillo, J. (2008). </w:t>
            </w:r>
            <w:r>
              <w:rPr>
                <w:i/>
                <w:iCs/>
                <w:sz w:val="18"/>
                <w:szCs w:val="18"/>
              </w:rPr>
              <w:t>Auditoría Forense: más que una especialidad profesional una misión, prevenir y detectar el fraude financiero</w:t>
            </w:r>
            <w:r>
              <w:rPr>
                <w:sz w:val="18"/>
                <w:szCs w:val="18"/>
              </w:rPr>
              <w:t>. Quito – Ecuador.</w:t>
            </w:r>
          </w:p>
          <w:p w14:paraId="35453221" w14:textId="77777777" w:rsidR="00990B14" w:rsidRDefault="00000000">
            <w:pPr>
              <w:numPr>
                <w:ilvl w:val="0"/>
                <w:numId w:val="140"/>
              </w:numPr>
              <w:spacing w:after="20"/>
              <w:jc w:val="both"/>
            </w:pPr>
            <w:r>
              <w:rPr>
                <w:sz w:val="18"/>
                <w:szCs w:val="18"/>
              </w:rPr>
              <w:t xml:space="preserve">Cano Donaliza, L. D. (2008). </w:t>
            </w:r>
            <w:r>
              <w:rPr>
                <w:i/>
                <w:iCs/>
                <w:sz w:val="18"/>
                <w:szCs w:val="18"/>
              </w:rPr>
              <w:t>Auditoría Financiera Forense en la investigación de delitos económicos y financieros, lavado de dinero y activos y financiación del terrorismo</w:t>
            </w:r>
            <w:r>
              <w:rPr>
                <w:sz w:val="18"/>
                <w:szCs w:val="18"/>
              </w:rPr>
              <w:t>. Bogotá – Colombia: ECOE Ediciones.</w:t>
            </w:r>
          </w:p>
          <w:p w14:paraId="3AA0EB1D" w14:textId="77777777" w:rsidR="00990B14" w:rsidRDefault="00000000">
            <w:pPr>
              <w:numPr>
                <w:ilvl w:val="0"/>
                <w:numId w:val="140"/>
              </w:numPr>
              <w:spacing w:after="20"/>
              <w:jc w:val="both"/>
            </w:pPr>
            <w:r>
              <w:rPr>
                <w:sz w:val="18"/>
                <w:szCs w:val="18"/>
              </w:rPr>
              <w:t xml:space="preserve">Estado Plurinacional de Bolivia (2013). </w:t>
            </w:r>
            <w:r>
              <w:rPr>
                <w:i/>
                <w:iCs/>
                <w:sz w:val="18"/>
                <w:szCs w:val="18"/>
              </w:rPr>
              <w:t>Ley N.º 439, Código Procesal Civil</w:t>
            </w:r>
            <w:r>
              <w:rPr>
                <w:sz w:val="18"/>
                <w:szCs w:val="18"/>
              </w:rPr>
              <w:t>. La Paz: Gaceta Oficial de Bolivia.</w:t>
            </w:r>
          </w:p>
          <w:p w14:paraId="4A688A2E" w14:textId="77777777" w:rsidR="00990B14" w:rsidRDefault="00000000">
            <w:pPr>
              <w:numPr>
                <w:ilvl w:val="0"/>
                <w:numId w:val="140"/>
              </w:numPr>
              <w:spacing w:after="20"/>
              <w:jc w:val="both"/>
            </w:pPr>
            <w:r>
              <w:rPr>
                <w:sz w:val="18"/>
                <w:szCs w:val="18"/>
              </w:rPr>
              <w:t xml:space="preserve">Estupiñán, R. (2015). </w:t>
            </w:r>
            <w:r>
              <w:rPr>
                <w:i/>
                <w:iCs/>
                <w:sz w:val="18"/>
                <w:szCs w:val="18"/>
              </w:rPr>
              <w:t>Control Interno y Fraudes</w:t>
            </w:r>
            <w:r>
              <w:rPr>
                <w:sz w:val="18"/>
                <w:szCs w:val="18"/>
              </w:rPr>
              <w:t>. 3a ed. Bogotá – Colombia: ECOE Ediciones.</w:t>
            </w:r>
          </w:p>
          <w:p w14:paraId="2789EDF7" w14:textId="77777777" w:rsidR="00990B14" w:rsidRDefault="00000000">
            <w:pPr>
              <w:numPr>
                <w:ilvl w:val="0"/>
                <w:numId w:val="140"/>
              </w:numPr>
              <w:spacing w:after="20"/>
              <w:jc w:val="both"/>
            </w:pPr>
            <w:r>
              <w:rPr>
                <w:sz w:val="18"/>
                <w:szCs w:val="18"/>
              </w:rPr>
              <w:t xml:space="preserve">Márquez Arcila, R. H. (2018). </w:t>
            </w:r>
            <w:r>
              <w:rPr>
                <w:i/>
                <w:iCs/>
                <w:sz w:val="18"/>
                <w:szCs w:val="18"/>
              </w:rPr>
              <w:t>Auditoría Forense</w:t>
            </w:r>
            <w:r>
              <w:rPr>
                <w:sz w:val="18"/>
                <w:szCs w:val="18"/>
              </w:rPr>
              <w:t>. 1a ed. México.</w:t>
            </w:r>
          </w:p>
          <w:p w14:paraId="717ADBBE" w14:textId="77777777" w:rsidR="00990B14" w:rsidRDefault="00000000">
            <w:pPr>
              <w:numPr>
                <w:ilvl w:val="0"/>
                <w:numId w:val="140"/>
              </w:numPr>
              <w:spacing w:after="20"/>
              <w:jc w:val="both"/>
            </w:pPr>
            <w:r>
              <w:rPr>
                <w:sz w:val="18"/>
                <w:szCs w:val="18"/>
              </w:rPr>
              <w:t xml:space="preserve">Pérez Villanueva, M. (2018). </w:t>
            </w:r>
            <w:r>
              <w:rPr>
                <w:i/>
                <w:iCs/>
                <w:sz w:val="18"/>
                <w:szCs w:val="18"/>
              </w:rPr>
              <w:t>Proceso de Investigación en Auditoría Forense y Auditoría Especial</w:t>
            </w:r>
            <w:r>
              <w:rPr>
                <w:sz w:val="18"/>
                <w:szCs w:val="18"/>
              </w:rPr>
              <w:t>. 1a ed. Cochabamba – Bolivia: Editorial Sabiduría y Cultura.</w:t>
            </w:r>
          </w:p>
          <w:p w14:paraId="114CFF03" w14:textId="77777777" w:rsidR="00990B14" w:rsidRDefault="00000000">
            <w:pPr>
              <w:numPr>
                <w:ilvl w:val="0"/>
                <w:numId w:val="140"/>
              </w:numPr>
              <w:spacing w:after="20"/>
              <w:jc w:val="both"/>
            </w:pPr>
            <w:r>
              <w:rPr>
                <w:sz w:val="18"/>
                <w:szCs w:val="18"/>
              </w:rPr>
              <w:t xml:space="preserve">Rocha Chavarría, J. P. (2016). </w:t>
            </w:r>
            <w:r>
              <w:rPr>
                <w:i/>
                <w:iCs/>
                <w:sz w:val="18"/>
                <w:szCs w:val="18"/>
              </w:rPr>
              <w:t>Auditoría Forense</w:t>
            </w:r>
            <w:r>
              <w:rPr>
                <w:sz w:val="18"/>
                <w:szCs w:val="18"/>
              </w:rPr>
              <w:t>. 1a ed. Santa Cruz – Bolivia: Gráfica SIMMER.</w:t>
            </w:r>
          </w:p>
          <w:p w14:paraId="51DFDAA6" w14:textId="77777777" w:rsidR="00990B14" w:rsidRDefault="00000000">
            <w:pPr>
              <w:numPr>
                <w:ilvl w:val="0"/>
                <w:numId w:val="140"/>
              </w:numPr>
              <w:spacing w:after="20"/>
              <w:jc w:val="both"/>
            </w:pPr>
            <w:r>
              <w:rPr>
                <w:sz w:val="18"/>
                <w:szCs w:val="18"/>
              </w:rPr>
              <w:t xml:space="preserve">Rocha Claros, J. (2015). </w:t>
            </w:r>
            <w:r>
              <w:rPr>
                <w:i/>
                <w:iCs/>
                <w:sz w:val="18"/>
                <w:szCs w:val="18"/>
              </w:rPr>
              <w:t>Auditoría Especial o de Cumplimiento y Aplicación Práctica</w:t>
            </w:r>
            <w:r>
              <w:rPr>
                <w:sz w:val="18"/>
                <w:szCs w:val="18"/>
              </w:rPr>
              <w:t>. La Paz – Bolivia: Editorial Nacional.</w:t>
            </w:r>
          </w:p>
          <w:p w14:paraId="13D3F3DD" w14:textId="77777777" w:rsidR="00990B14" w:rsidRDefault="00000000">
            <w:pPr>
              <w:numPr>
                <w:ilvl w:val="0"/>
                <w:numId w:val="140"/>
              </w:numPr>
              <w:spacing w:after="20"/>
              <w:jc w:val="both"/>
            </w:pPr>
            <w:r>
              <w:rPr>
                <w:sz w:val="18"/>
                <w:szCs w:val="18"/>
              </w:rPr>
              <w:t xml:space="preserve">Sandoval Morales, H. (2012). </w:t>
            </w:r>
            <w:r>
              <w:rPr>
                <w:i/>
                <w:iCs/>
                <w:sz w:val="18"/>
                <w:szCs w:val="18"/>
              </w:rPr>
              <w:t>Introducción a la Auditoría</w:t>
            </w:r>
            <w:r>
              <w:rPr>
                <w:sz w:val="18"/>
                <w:szCs w:val="18"/>
              </w:rPr>
              <w:t>. 1a ed. Estado de México.</w:t>
            </w:r>
          </w:p>
          <w:p w14:paraId="453F2BCB" w14:textId="77777777" w:rsidR="00990B14" w:rsidRDefault="00000000">
            <w:pPr>
              <w:numPr>
                <w:ilvl w:val="0"/>
                <w:numId w:val="140"/>
              </w:numPr>
              <w:spacing w:after="20"/>
              <w:jc w:val="both"/>
            </w:pPr>
            <w:r>
              <w:rPr>
                <w:sz w:val="18"/>
                <w:szCs w:val="18"/>
              </w:rPr>
              <w:t xml:space="preserve">Saravia A., A. J. (2019). </w:t>
            </w:r>
            <w:r>
              <w:rPr>
                <w:i/>
                <w:iCs/>
                <w:sz w:val="18"/>
                <w:szCs w:val="18"/>
              </w:rPr>
              <w:t>La Corrupción, un mal de la Función Pública</w:t>
            </w:r>
            <w:r>
              <w:rPr>
                <w:sz w:val="18"/>
                <w:szCs w:val="18"/>
              </w:rPr>
              <w:t>. La Paz – Bolivia: Editorial e Imprenta Ideas.</w:t>
            </w:r>
          </w:p>
        </w:tc>
      </w:tr>
    </w:tbl>
    <w:p w14:paraId="7C010534" w14:textId="77777777" w:rsidR="00990B14" w:rsidRDefault="00000000">
      <w:pPr>
        <w:pStyle w:val="TituloPlanAsignatura"/>
        <w:keepNext/>
        <w:pageBreakBefore/>
        <w:spacing w:after="120"/>
        <w:jc w:val="center"/>
        <w:outlineLvl w:val="2"/>
      </w:pPr>
      <w:bookmarkStart w:id="191" w:name="_Toc000000132"/>
      <w:r>
        <w:rPr>
          <w:b/>
          <w:bCs/>
          <w:sz w:val="24"/>
          <w:szCs w:val="24"/>
        </w:rPr>
        <w:t>CPA-509 Auditoría de Entidades Financieras y Servicios Relacionados</w:t>
      </w:r>
      <w:bookmarkEnd w:id="191"/>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249"/>
        <w:gridCol w:w="1100"/>
        <w:gridCol w:w="149"/>
        <w:gridCol w:w="635"/>
        <w:gridCol w:w="615"/>
        <w:gridCol w:w="952"/>
        <w:gridCol w:w="298"/>
        <w:gridCol w:w="1250"/>
        <w:gridCol w:w="20"/>
        <w:gridCol w:w="385"/>
        <w:gridCol w:w="398"/>
        <w:gridCol w:w="447"/>
        <w:gridCol w:w="1907"/>
      </w:tblGrid>
      <w:tr w:rsidR="00990B14" w14:paraId="1D67955A" w14:textId="77777777">
        <w:trPr>
          <w:cantSplit/>
          <w:jc w:val="center"/>
        </w:trPr>
        <w:tc>
          <w:tcPr>
            <w:tcW w:w="2349" w:type="dxa"/>
            <w:gridSpan w:val="2"/>
            <w:shd w:val="clear" w:color="auto" w:fill="4472C4"/>
            <w:vAlign w:val="center"/>
          </w:tcPr>
          <w:p w14:paraId="4E31A2E9" w14:textId="77777777" w:rsidR="00990B14" w:rsidRDefault="00000000">
            <w:pPr>
              <w:keepNext/>
              <w:spacing w:before="20" w:after="20"/>
              <w:jc w:val="center"/>
            </w:pPr>
            <w:r>
              <w:rPr>
                <w:b/>
                <w:bCs/>
                <w:i/>
                <w:iCs/>
                <w:color w:val="FFFFFF"/>
                <w:sz w:val="18"/>
                <w:szCs w:val="18"/>
              </w:rPr>
              <w:t>Asignatura</w:t>
            </w:r>
          </w:p>
        </w:tc>
        <w:tc>
          <w:tcPr>
            <w:tcW w:w="2351" w:type="dxa"/>
            <w:gridSpan w:val="4"/>
            <w:shd w:val="clear" w:color="auto" w:fill="4472C4"/>
            <w:vAlign w:val="center"/>
          </w:tcPr>
          <w:p w14:paraId="6143AAC5" w14:textId="77777777" w:rsidR="00990B14" w:rsidRDefault="00000000">
            <w:pPr>
              <w:keepNext/>
              <w:spacing w:before="20" w:after="20"/>
              <w:jc w:val="center"/>
            </w:pPr>
            <w:r>
              <w:rPr>
                <w:b/>
                <w:bCs/>
                <w:i/>
                <w:iCs/>
                <w:color w:val="FFFFFF"/>
                <w:sz w:val="18"/>
                <w:szCs w:val="18"/>
              </w:rPr>
              <w:t>Sigla</w:t>
            </w:r>
          </w:p>
        </w:tc>
        <w:tc>
          <w:tcPr>
            <w:tcW w:w="2351" w:type="dxa"/>
            <w:gridSpan w:val="5"/>
            <w:shd w:val="clear" w:color="auto" w:fill="4472C4"/>
            <w:vAlign w:val="center"/>
          </w:tcPr>
          <w:p w14:paraId="7BFB3782" w14:textId="77777777" w:rsidR="00990B14" w:rsidRDefault="00000000">
            <w:pPr>
              <w:keepNext/>
              <w:spacing w:before="20" w:after="20"/>
              <w:jc w:val="center"/>
            </w:pPr>
            <w:r>
              <w:rPr>
                <w:b/>
                <w:bCs/>
                <w:i/>
                <w:iCs/>
                <w:color w:val="FFFFFF"/>
                <w:sz w:val="18"/>
                <w:szCs w:val="18"/>
              </w:rPr>
              <w:t>Nivel/Área</w:t>
            </w:r>
          </w:p>
        </w:tc>
        <w:tc>
          <w:tcPr>
            <w:tcW w:w="2354" w:type="dxa"/>
            <w:gridSpan w:val="2"/>
            <w:shd w:val="clear" w:color="auto" w:fill="4472C4"/>
            <w:vAlign w:val="center"/>
          </w:tcPr>
          <w:p w14:paraId="6F8D5E4D" w14:textId="77777777" w:rsidR="00990B14" w:rsidRDefault="00000000">
            <w:pPr>
              <w:keepNext/>
              <w:spacing w:before="20" w:after="20"/>
              <w:jc w:val="center"/>
            </w:pPr>
            <w:r>
              <w:rPr>
                <w:b/>
                <w:bCs/>
                <w:i/>
                <w:iCs/>
                <w:color w:val="FFFFFF"/>
                <w:sz w:val="18"/>
                <w:szCs w:val="18"/>
              </w:rPr>
              <w:t>Prerrequisito</w:t>
            </w:r>
          </w:p>
        </w:tc>
      </w:tr>
      <w:tr w:rsidR="00990B14" w14:paraId="2EF06188" w14:textId="77777777">
        <w:trPr>
          <w:cantSplit/>
          <w:jc w:val="center"/>
        </w:trPr>
        <w:tc>
          <w:tcPr>
            <w:tcW w:w="2349" w:type="dxa"/>
            <w:gridSpan w:val="2"/>
            <w:shd w:val="clear" w:color="auto" w:fill="D9E2F3"/>
            <w:vAlign w:val="center"/>
          </w:tcPr>
          <w:p w14:paraId="29D96E65" w14:textId="77777777" w:rsidR="00990B14" w:rsidRDefault="00000000">
            <w:pPr>
              <w:spacing w:before="20" w:after="20"/>
              <w:jc w:val="center"/>
            </w:pPr>
            <w:r>
              <w:rPr>
                <w:b/>
                <w:bCs/>
                <w:i/>
                <w:iCs/>
                <w:sz w:val="18"/>
                <w:szCs w:val="18"/>
              </w:rPr>
              <w:t>Auditoría de Entidades Financieras y Servicios Relacionados</w:t>
            </w:r>
          </w:p>
        </w:tc>
        <w:tc>
          <w:tcPr>
            <w:tcW w:w="2351" w:type="dxa"/>
            <w:gridSpan w:val="4"/>
            <w:shd w:val="clear" w:color="auto" w:fill="D9E2F3"/>
            <w:vAlign w:val="center"/>
          </w:tcPr>
          <w:p w14:paraId="156CE439" w14:textId="77777777" w:rsidR="00990B14" w:rsidRDefault="00000000">
            <w:pPr>
              <w:spacing w:before="20" w:after="20"/>
              <w:jc w:val="center"/>
            </w:pPr>
            <w:r>
              <w:rPr>
                <w:b/>
                <w:bCs/>
                <w:i/>
                <w:iCs/>
                <w:sz w:val="18"/>
                <w:szCs w:val="18"/>
              </w:rPr>
              <w:t>CPA-509</w:t>
            </w:r>
          </w:p>
        </w:tc>
        <w:tc>
          <w:tcPr>
            <w:tcW w:w="2351" w:type="dxa"/>
            <w:gridSpan w:val="5"/>
            <w:shd w:val="clear" w:color="auto" w:fill="D9E2F3"/>
            <w:vAlign w:val="center"/>
          </w:tcPr>
          <w:p w14:paraId="0D7C15C8" w14:textId="77777777" w:rsidR="00990B14" w:rsidRDefault="00000000">
            <w:pPr>
              <w:spacing w:before="20" w:after="20"/>
              <w:jc w:val="center"/>
            </w:pPr>
            <w:r>
              <w:rPr>
                <w:b/>
                <w:bCs/>
                <w:i/>
                <w:iCs/>
                <w:sz w:val="18"/>
                <w:szCs w:val="18"/>
              </w:rPr>
              <w:t>Aseguramiento</w:t>
            </w:r>
          </w:p>
        </w:tc>
        <w:tc>
          <w:tcPr>
            <w:tcW w:w="2354" w:type="dxa"/>
            <w:gridSpan w:val="2"/>
            <w:shd w:val="clear" w:color="auto" w:fill="D9E2F3"/>
            <w:vAlign w:val="center"/>
          </w:tcPr>
          <w:p w14:paraId="6C5C6089" w14:textId="77777777" w:rsidR="00990B14" w:rsidRDefault="00000000">
            <w:pPr>
              <w:spacing w:before="20" w:after="20"/>
              <w:jc w:val="center"/>
            </w:pPr>
            <w:r>
              <w:rPr>
                <w:b/>
                <w:bCs/>
                <w:i/>
                <w:iCs/>
                <w:sz w:val="18"/>
                <w:szCs w:val="18"/>
              </w:rPr>
              <w:t>CPA-401 a CPA-408</w:t>
            </w:r>
          </w:p>
        </w:tc>
      </w:tr>
      <w:tr w:rsidR="00990B14" w14:paraId="42F843EB" w14:textId="77777777">
        <w:trPr>
          <w:cantSplit/>
          <w:jc w:val="center"/>
        </w:trPr>
        <w:tc>
          <w:tcPr>
            <w:tcW w:w="7498" w:type="dxa"/>
            <w:gridSpan w:val="12"/>
            <w:shd w:val="clear" w:color="auto" w:fill="4472C4"/>
            <w:vAlign w:val="center"/>
          </w:tcPr>
          <w:p w14:paraId="56DA5853" w14:textId="77777777" w:rsidR="00990B14" w:rsidRDefault="00000000">
            <w:pPr>
              <w:keepNext/>
              <w:spacing w:before="20" w:after="20"/>
              <w:jc w:val="center"/>
            </w:pPr>
            <w:r>
              <w:rPr>
                <w:b/>
                <w:bCs/>
                <w:i/>
                <w:iCs/>
                <w:color w:val="FFFFFF"/>
                <w:sz w:val="18"/>
                <w:szCs w:val="18"/>
              </w:rPr>
              <w:t>Carga Horaria</w:t>
            </w:r>
          </w:p>
        </w:tc>
        <w:tc>
          <w:tcPr>
            <w:tcW w:w="1907" w:type="dxa"/>
            <w:shd w:val="clear" w:color="auto" w:fill="4472C4"/>
            <w:vAlign w:val="center"/>
          </w:tcPr>
          <w:p w14:paraId="117B51A8" w14:textId="77777777" w:rsidR="00990B14" w:rsidRDefault="00000000">
            <w:pPr>
              <w:keepNext/>
              <w:spacing w:before="20" w:after="20"/>
              <w:jc w:val="center"/>
            </w:pPr>
            <w:r>
              <w:rPr>
                <w:b/>
                <w:bCs/>
                <w:i/>
                <w:iCs/>
                <w:color w:val="FFFFFF"/>
                <w:sz w:val="18"/>
                <w:szCs w:val="18"/>
              </w:rPr>
              <w:t>Créditos</w:t>
            </w:r>
          </w:p>
        </w:tc>
      </w:tr>
      <w:tr w:rsidR="00990B14" w14:paraId="12A49D44" w14:textId="77777777">
        <w:trPr>
          <w:cantSplit/>
          <w:jc w:val="center"/>
        </w:trPr>
        <w:tc>
          <w:tcPr>
            <w:tcW w:w="1249" w:type="dxa"/>
            <w:shd w:val="clear" w:color="auto" w:fill="4472C4"/>
            <w:vAlign w:val="center"/>
          </w:tcPr>
          <w:p w14:paraId="49525674" w14:textId="77777777" w:rsidR="00990B14" w:rsidRDefault="00000000">
            <w:pPr>
              <w:keepNext/>
              <w:spacing w:before="20" w:after="20"/>
              <w:jc w:val="center"/>
            </w:pPr>
            <w:r>
              <w:rPr>
                <w:b/>
                <w:bCs/>
                <w:i/>
                <w:iCs/>
                <w:color w:val="FFFFFF"/>
                <w:sz w:val="18"/>
                <w:szCs w:val="18"/>
              </w:rPr>
              <w:t>HP</w:t>
            </w:r>
          </w:p>
        </w:tc>
        <w:tc>
          <w:tcPr>
            <w:tcW w:w="1249" w:type="dxa"/>
            <w:gridSpan w:val="2"/>
            <w:shd w:val="clear" w:color="auto" w:fill="4472C4"/>
            <w:vAlign w:val="center"/>
          </w:tcPr>
          <w:p w14:paraId="76CB6FF0" w14:textId="77777777" w:rsidR="00990B14" w:rsidRDefault="00000000">
            <w:pPr>
              <w:keepNext/>
              <w:spacing w:before="20" w:after="20"/>
              <w:jc w:val="center"/>
            </w:pPr>
            <w:r>
              <w:rPr>
                <w:b/>
                <w:bCs/>
                <w:i/>
                <w:iCs/>
                <w:color w:val="FFFFFF"/>
                <w:sz w:val="18"/>
                <w:szCs w:val="18"/>
              </w:rPr>
              <w:t>HAA</w:t>
            </w:r>
          </w:p>
        </w:tc>
        <w:tc>
          <w:tcPr>
            <w:tcW w:w="1250" w:type="dxa"/>
            <w:gridSpan w:val="2"/>
            <w:shd w:val="clear" w:color="auto" w:fill="4472C4"/>
            <w:vAlign w:val="center"/>
          </w:tcPr>
          <w:p w14:paraId="7592352F" w14:textId="77777777" w:rsidR="00990B14" w:rsidRDefault="00000000">
            <w:pPr>
              <w:keepNext/>
              <w:spacing w:before="20" w:after="20"/>
              <w:jc w:val="center"/>
            </w:pPr>
            <w:r>
              <w:rPr>
                <w:b/>
                <w:bCs/>
                <w:i/>
                <w:iCs/>
                <w:color w:val="FFFFFF"/>
                <w:sz w:val="18"/>
                <w:szCs w:val="18"/>
              </w:rPr>
              <w:t>HTG</w:t>
            </w:r>
          </w:p>
        </w:tc>
        <w:tc>
          <w:tcPr>
            <w:tcW w:w="1250" w:type="dxa"/>
            <w:gridSpan w:val="2"/>
            <w:shd w:val="clear" w:color="auto" w:fill="4472C4"/>
            <w:vAlign w:val="center"/>
          </w:tcPr>
          <w:p w14:paraId="050F349A" w14:textId="77777777" w:rsidR="00990B14" w:rsidRDefault="00000000">
            <w:pPr>
              <w:keepNext/>
              <w:spacing w:before="20" w:after="20"/>
              <w:jc w:val="center"/>
            </w:pPr>
            <w:r>
              <w:rPr>
                <w:b/>
                <w:bCs/>
                <w:i/>
                <w:iCs/>
                <w:color w:val="FFFFFF"/>
                <w:sz w:val="18"/>
                <w:szCs w:val="18"/>
              </w:rPr>
              <w:t>HIP</w:t>
            </w:r>
          </w:p>
        </w:tc>
        <w:tc>
          <w:tcPr>
            <w:tcW w:w="1250" w:type="dxa"/>
            <w:shd w:val="clear" w:color="auto" w:fill="4472C4"/>
            <w:vAlign w:val="center"/>
          </w:tcPr>
          <w:p w14:paraId="3361BA68" w14:textId="77777777" w:rsidR="00990B14" w:rsidRDefault="00000000">
            <w:pPr>
              <w:keepNext/>
              <w:spacing w:before="20" w:after="20"/>
              <w:jc w:val="center"/>
            </w:pPr>
            <w:r>
              <w:rPr>
                <w:b/>
                <w:bCs/>
                <w:i/>
                <w:iCs/>
                <w:color w:val="FFFFFF"/>
                <w:sz w:val="18"/>
                <w:szCs w:val="18"/>
              </w:rPr>
              <w:t>HE</w:t>
            </w:r>
          </w:p>
        </w:tc>
        <w:tc>
          <w:tcPr>
            <w:tcW w:w="1250" w:type="dxa"/>
            <w:gridSpan w:val="4"/>
            <w:shd w:val="clear" w:color="auto" w:fill="4472C4"/>
            <w:vAlign w:val="center"/>
          </w:tcPr>
          <w:p w14:paraId="4739060A" w14:textId="77777777" w:rsidR="00990B14" w:rsidRDefault="00000000">
            <w:pPr>
              <w:keepNext/>
              <w:spacing w:before="20" w:after="20"/>
              <w:jc w:val="center"/>
            </w:pPr>
            <w:r>
              <w:rPr>
                <w:b/>
                <w:bCs/>
                <w:i/>
                <w:iCs/>
                <w:color w:val="FFFFFF"/>
                <w:sz w:val="18"/>
                <w:szCs w:val="18"/>
              </w:rPr>
              <w:t>TOTAL</w:t>
            </w:r>
          </w:p>
        </w:tc>
        <w:tc>
          <w:tcPr>
            <w:tcW w:w="1907" w:type="dxa"/>
            <w:vMerge w:val="restart"/>
            <w:shd w:val="clear" w:color="auto" w:fill="D9E2F3"/>
            <w:vAlign w:val="center"/>
          </w:tcPr>
          <w:p w14:paraId="71A99ACD" w14:textId="77777777" w:rsidR="00990B14" w:rsidRDefault="00000000">
            <w:pPr>
              <w:spacing w:before="20" w:after="20"/>
              <w:jc w:val="center"/>
            </w:pPr>
            <w:r>
              <w:rPr>
                <w:sz w:val="18"/>
                <w:szCs w:val="18"/>
              </w:rPr>
              <w:t>4</w:t>
            </w:r>
          </w:p>
        </w:tc>
      </w:tr>
      <w:tr w:rsidR="00990B14" w14:paraId="57CC656A" w14:textId="77777777">
        <w:trPr>
          <w:cantSplit/>
          <w:jc w:val="center"/>
        </w:trPr>
        <w:tc>
          <w:tcPr>
            <w:tcW w:w="1249" w:type="dxa"/>
            <w:shd w:val="clear" w:color="auto" w:fill="D9E2F3"/>
            <w:vAlign w:val="center"/>
          </w:tcPr>
          <w:p w14:paraId="5031F7AB" w14:textId="77777777" w:rsidR="00990B14" w:rsidRDefault="00000000">
            <w:pPr>
              <w:spacing w:before="20" w:after="20"/>
              <w:jc w:val="center"/>
            </w:pPr>
            <w:r>
              <w:rPr>
                <w:sz w:val="18"/>
                <w:szCs w:val="18"/>
              </w:rPr>
              <w:t>80</w:t>
            </w:r>
          </w:p>
        </w:tc>
        <w:tc>
          <w:tcPr>
            <w:tcW w:w="1249" w:type="dxa"/>
            <w:gridSpan w:val="2"/>
            <w:shd w:val="clear" w:color="auto" w:fill="D9E2F3"/>
            <w:vAlign w:val="center"/>
          </w:tcPr>
          <w:p w14:paraId="27F73D47" w14:textId="77777777" w:rsidR="00990B14" w:rsidRDefault="00000000">
            <w:pPr>
              <w:spacing w:before="20" w:after="20"/>
              <w:jc w:val="center"/>
            </w:pPr>
            <w:r>
              <w:rPr>
                <w:sz w:val="18"/>
                <w:szCs w:val="18"/>
              </w:rPr>
              <w:t>11</w:t>
            </w:r>
          </w:p>
        </w:tc>
        <w:tc>
          <w:tcPr>
            <w:tcW w:w="1250" w:type="dxa"/>
            <w:gridSpan w:val="2"/>
            <w:shd w:val="clear" w:color="auto" w:fill="D9E2F3"/>
            <w:vAlign w:val="center"/>
          </w:tcPr>
          <w:p w14:paraId="52F6A4AF" w14:textId="77777777" w:rsidR="00990B14" w:rsidRDefault="00000000">
            <w:pPr>
              <w:spacing w:before="20" w:after="20"/>
              <w:jc w:val="center"/>
            </w:pPr>
            <w:r>
              <w:rPr>
                <w:sz w:val="18"/>
                <w:szCs w:val="18"/>
              </w:rPr>
              <w:t>17</w:t>
            </w:r>
          </w:p>
        </w:tc>
        <w:tc>
          <w:tcPr>
            <w:tcW w:w="1250" w:type="dxa"/>
            <w:gridSpan w:val="2"/>
            <w:shd w:val="clear" w:color="auto" w:fill="D9E2F3"/>
            <w:vAlign w:val="center"/>
          </w:tcPr>
          <w:p w14:paraId="5B18A9E2" w14:textId="77777777" w:rsidR="00990B14" w:rsidRDefault="00000000">
            <w:pPr>
              <w:spacing w:before="20" w:after="20"/>
              <w:jc w:val="center"/>
            </w:pPr>
            <w:r>
              <w:rPr>
                <w:sz w:val="18"/>
                <w:szCs w:val="18"/>
              </w:rPr>
              <w:t>6</w:t>
            </w:r>
          </w:p>
        </w:tc>
        <w:tc>
          <w:tcPr>
            <w:tcW w:w="1250" w:type="dxa"/>
            <w:shd w:val="clear" w:color="auto" w:fill="D9E2F3"/>
            <w:vAlign w:val="center"/>
          </w:tcPr>
          <w:p w14:paraId="5C3A3AE9" w14:textId="77777777" w:rsidR="00990B14" w:rsidRDefault="00000000">
            <w:pPr>
              <w:spacing w:before="20" w:after="20"/>
              <w:jc w:val="center"/>
            </w:pPr>
            <w:r>
              <w:rPr>
                <w:sz w:val="18"/>
                <w:szCs w:val="18"/>
              </w:rPr>
              <w:t>6</w:t>
            </w:r>
          </w:p>
        </w:tc>
        <w:tc>
          <w:tcPr>
            <w:tcW w:w="1250" w:type="dxa"/>
            <w:gridSpan w:val="4"/>
            <w:shd w:val="clear" w:color="auto" w:fill="D9E2F3"/>
            <w:vAlign w:val="center"/>
          </w:tcPr>
          <w:p w14:paraId="40F2E77E" w14:textId="77777777" w:rsidR="00990B14" w:rsidRDefault="00000000">
            <w:pPr>
              <w:spacing w:before="20" w:after="20"/>
              <w:jc w:val="center"/>
            </w:pPr>
            <w:r>
              <w:rPr>
                <w:sz w:val="18"/>
                <w:szCs w:val="18"/>
              </w:rPr>
              <w:t>120</w:t>
            </w:r>
          </w:p>
        </w:tc>
        <w:tc>
          <w:tcPr>
            <w:tcW w:w="1907" w:type="dxa"/>
            <w:vMerge/>
            <w:shd w:val="clear" w:color="auto" w:fill="D9E2F3"/>
            <w:vAlign w:val="center"/>
          </w:tcPr>
          <w:p w14:paraId="41A7A75D" w14:textId="77777777" w:rsidR="00990B14" w:rsidRDefault="00990B14">
            <w:pPr>
              <w:spacing w:before="20" w:after="20"/>
            </w:pPr>
          </w:p>
        </w:tc>
      </w:tr>
      <w:tr w:rsidR="00990B14" w14:paraId="690046B1" w14:textId="77777777">
        <w:trPr>
          <w:cantSplit/>
          <w:jc w:val="center"/>
        </w:trPr>
        <w:tc>
          <w:tcPr>
            <w:tcW w:w="9405" w:type="dxa"/>
            <w:gridSpan w:val="13"/>
            <w:shd w:val="clear" w:color="auto" w:fill="4472C4"/>
            <w:vAlign w:val="center"/>
          </w:tcPr>
          <w:p w14:paraId="575B6A0D" w14:textId="77777777" w:rsidR="00990B14" w:rsidRDefault="00000000">
            <w:pPr>
              <w:keepNext/>
              <w:spacing w:before="20" w:after="20"/>
              <w:jc w:val="center"/>
            </w:pPr>
            <w:r>
              <w:rPr>
                <w:b/>
                <w:bCs/>
                <w:i/>
                <w:iCs/>
                <w:color w:val="FFFFFF"/>
                <w:sz w:val="18"/>
                <w:szCs w:val="18"/>
              </w:rPr>
              <w:t>Unidad de Competencia</w:t>
            </w:r>
          </w:p>
        </w:tc>
      </w:tr>
      <w:tr w:rsidR="00990B14" w14:paraId="33A11D6B" w14:textId="77777777">
        <w:trPr>
          <w:cantSplit/>
          <w:jc w:val="center"/>
        </w:trPr>
        <w:tc>
          <w:tcPr>
            <w:tcW w:w="9405" w:type="dxa"/>
            <w:gridSpan w:val="13"/>
            <w:shd w:val="clear" w:color="auto" w:fill="D9E2F3"/>
            <w:vAlign w:val="center"/>
          </w:tcPr>
          <w:p w14:paraId="4AA4E990" w14:textId="77777777" w:rsidR="00990B14" w:rsidRDefault="00000000">
            <w:pPr>
              <w:spacing w:before="20" w:after="20"/>
              <w:jc w:val="both"/>
            </w:pPr>
            <w:r>
              <w:rPr>
                <w:sz w:val="18"/>
                <w:szCs w:val="18"/>
              </w:rPr>
              <w:t>Elabora el informe de auditoría de los estados financieros de una entidad financiera, los informes de los servicios relacionados y complementarios y los informes reglamentarios requeridos por la Autoridad de Supervisión del Sistema Financiero conforme a las Normas de Auditoría Generalmente Aceptadas en Bolivia, analizando las características y los servicios autorizados del sistema de intermediación financiera, aplicando el Manual de Cuentas para Entidades Financieras y las normas regulatorias de preparación de estados financieros, planificando el encargo con base en los riesgos específicos del sector y ejecutando las pruebas de controles y sustantivas con apoyo de herramientas de análisis de datos y evaluando el entorno de tecnología de información y sus controles, con independencia, escepticismo profesional, juicio crítico y ética.</w:t>
            </w:r>
          </w:p>
        </w:tc>
      </w:tr>
      <w:tr w:rsidR="00990B14" w14:paraId="5B380C84" w14:textId="77777777">
        <w:trPr>
          <w:cantSplit/>
          <w:jc w:val="center"/>
        </w:trPr>
        <w:tc>
          <w:tcPr>
            <w:tcW w:w="9405" w:type="dxa"/>
            <w:gridSpan w:val="13"/>
            <w:shd w:val="clear" w:color="auto" w:fill="D9E2F3"/>
            <w:vAlign w:val="center"/>
          </w:tcPr>
          <w:p w14:paraId="46F25F1F" w14:textId="77777777" w:rsidR="00990B14" w:rsidRDefault="00000000">
            <w:pPr>
              <w:spacing w:before="20" w:after="20"/>
              <w:jc w:val="both"/>
            </w:pPr>
            <w:r>
              <w:rPr>
                <w:b/>
                <w:bCs/>
                <w:i/>
                <w:iCs/>
                <w:sz w:val="18"/>
                <w:szCs w:val="18"/>
              </w:rPr>
              <w:t xml:space="preserve">Elemento de competencia 1: </w:t>
            </w:r>
            <w:r>
              <w:rPr>
                <w:sz w:val="18"/>
                <w:szCs w:val="18"/>
              </w:rPr>
              <w:t>Analiza la estructura del sistema financiero nacional, los servicios financieros autorizados y los sistemas de pagos aplicables a un banco boliviano, identificando la normativa de la ASFI y del Banco Central de Bolivia, los riesgos asociados a las operaciones y su incidencia en la planificación de la auditoría externa conforme a las Normas Internacionales de Auditoría vigentes en Bolivia y a las normas de la ASFI relacionadas con la auditoría externa.</w:t>
            </w:r>
          </w:p>
        </w:tc>
      </w:tr>
      <w:tr w:rsidR="00990B14" w14:paraId="7B7B6C36" w14:textId="77777777">
        <w:trPr>
          <w:cantSplit/>
          <w:jc w:val="center"/>
        </w:trPr>
        <w:tc>
          <w:tcPr>
            <w:tcW w:w="3133" w:type="dxa"/>
            <w:gridSpan w:val="4"/>
            <w:shd w:val="clear" w:color="auto" w:fill="4472C4"/>
            <w:vAlign w:val="center"/>
          </w:tcPr>
          <w:p w14:paraId="1044FF25"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41FCE417"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1DC7224B" w14:textId="77777777" w:rsidR="00990B14" w:rsidRDefault="00000000">
            <w:pPr>
              <w:keepNext/>
              <w:spacing w:before="20" w:after="20"/>
              <w:jc w:val="center"/>
            </w:pPr>
            <w:r>
              <w:rPr>
                <w:b/>
                <w:bCs/>
                <w:i/>
                <w:iCs/>
                <w:color w:val="FFFFFF"/>
                <w:sz w:val="18"/>
                <w:szCs w:val="18"/>
              </w:rPr>
              <w:t>Evidencias de producto</w:t>
            </w:r>
          </w:p>
        </w:tc>
      </w:tr>
      <w:tr w:rsidR="00990B14" w14:paraId="17CB3691" w14:textId="77777777">
        <w:trPr>
          <w:cantSplit/>
          <w:jc w:val="center"/>
        </w:trPr>
        <w:tc>
          <w:tcPr>
            <w:tcW w:w="3133" w:type="dxa"/>
            <w:gridSpan w:val="4"/>
            <w:vMerge w:val="restart"/>
            <w:shd w:val="clear" w:color="auto" w:fill="D9E2F3"/>
            <w:vAlign w:val="center"/>
          </w:tcPr>
          <w:p w14:paraId="48F35312" w14:textId="77777777" w:rsidR="00990B14" w:rsidRDefault="00000000">
            <w:pPr>
              <w:spacing w:before="20" w:after="20"/>
              <w:jc w:val="both"/>
            </w:pPr>
            <w:r>
              <w:rPr>
                <w:sz w:val="18"/>
                <w:szCs w:val="18"/>
              </w:rPr>
              <w:t>1. Analiza los servicios financieros autorizados y los canales digitales de pago aplicables a un banco boliviano, vinculándolos con la normativa vigente de la ASFI y del Banco Central de Bolivia, las restricciones regulatorias, los riesgos inherentes y las áreas de los estados financieros potencialmente afectadas.</w:t>
            </w:r>
          </w:p>
        </w:tc>
        <w:tc>
          <w:tcPr>
            <w:tcW w:w="3135" w:type="dxa"/>
            <w:gridSpan w:val="5"/>
            <w:shd w:val="clear" w:color="auto" w:fill="D9E2F3"/>
            <w:vAlign w:val="center"/>
          </w:tcPr>
          <w:p w14:paraId="39C6B254" w14:textId="77777777" w:rsidR="00990B14" w:rsidRDefault="00000000">
            <w:pPr>
              <w:spacing w:before="20" w:after="20"/>
              <w:jc w:val="both"/>
            </w:pPr>
            <w:r>
              <w:rPr>
                <w:sz w:val="18"/>
                <w:szCs w:val="18"/>
              </w:rPr>
              <w:t>1.1 Analiza en equipo los servicios financieros autorizados de una entidad de intermediación financiera, relacionándolos con su normativa reglamentaria y los riesgos relevantes para la auditoría.</w:t>
            </w:r>
          </w:p>
        </w:tc>
        <w:tc>
          <w:tcPr>
            <w:tcW w:w="3137" w:type="dxa"/>
            <w:gridSpan w:val="4"/>
            <w:shd w:val="clear" w:color="auto" w:fill="D9E2F3"/>
            <w:vAlign w:val="center"/>
          </w:tcPr>
          <w:p w14:paraId="16B423B9" w14:textId="77777777" w:rsidR="00990B14" w:rsidRDefault="00000000">
            <w:pPr>
              <w:spacing w:before="20" w:after="20"/>
              <w:jc w:val="both"/>
            </w:pPr>
            <w:r>
              <w:rPr>
                <w:b/>
                <w:bCs/>
                <w:sz w:val="18"/>
                <w:szCs w:val="18"/>
              </w:rPr>
              <w:t xml:space="preserve">Producto 1: </w:t>
            </w:r>
            <w:r>
              <w:rPr>
                <w:sz w:val="18"/>
                <w:szCs w:val="18"/>
              </w:rPr>
              <w:t>Cuadro de los servicios financieros autorizados con su normativa reglamentaria, los riesgos relevantes para la auditoría y las áreas de los estados financieros potencialmente afectadas.</w:t>
            </w:r>
          </w:p>
        </w:tc>
      </w:tr>
      <w:tr w:rsidR="00990B14" w14:paraId="043BDA8F" w14:textId="77777777">
        <w:trPr>
          <w:cantSplit/>
          <w:jc w:val="center"/>
        </w:trPr>
        <w:tc>
          <w:tcPr>
            <w:tcW w:w="3133" w:type="dxa"/>
            <w:gridSpan w:val="4"/>
            <w:vMerge/>
            <w:shd w:val="clear" w:color="auto" w:fill="D9E2F3"/>
            <w:vAlign w:val="center"/>
          </w:tcPr>
          <w:p w14:paraId="69F921A7" w14:textId="77777777" w:rsidR="00990B14" w:rsidRDefault="00990B14">
            <w:pPr>
              <w:spacing w:before="20" w:after="20"/>
            </w:pPr>
          </w:p>
        </w:tc>
        <w:tc>
          <w:tcPr>
            <w:tcW w:w="3135" w:type="dxa"/>
            <w:gridSpan w:val="5"/>
            <w:shd w:val="clear" w:color="auto" w:fill="D9E2F3"/>
            <w:vAlign w:val="center"/>
          </w:tcPr>
          <w:p w14:paraId="158D00BA" w14:textId="77777777" w:rsidR="00990B14" w:rsidRDefault="00000000">
            <w:pPr>
              <w:spacing w:before="20" w:after="20"/>
              <w:jc w:val="both"/>
            </w:pPr>
            <w:r>
              <w:rPr>
                <w:sz w:val="18"/>
                <w:szCs w:val="18"/>
              </w:rPr>
              <w:t>1.2 Analiza en aula las operaciones de pago digital y la participación de los actores del sistema de pagos, clasificando los instrumentos, canales y flujos e identificando los riesgos relevantes para la auditoría.</w:t>
            </w:r>
          </w:p>
        </w:tc>
        <w:tc>
          <w:tcPr>
            <w:tcW w:w="3137" w:type="dxa"/>
            <w:gridSpan w:val="4"/>
            <w:shd w:val="clear" w:color="auto" w:fill="D9E2F3"/>
            <w:vAlign w:val="center"/>
          </w:tcPr>
          <w:p w14:paraId="5D61991D" w14:textId="77777777" w:rsidR="00990B14" w:rsidRDefault="00000000">
            <w:pPr>
              <w:spacing w:before="20" w:after="20"/>
              <w:jc w:val="both"/>
            </w:pPr>
            <w:r>
              <w:rPr>
                <w:b/>
                <w:bCs/>
                <w:sz w:val="18"/>
                <w:szCs w:val="18"/>
              </w:rPr>
              <w:t xml:space="preserve">Producto 2: </w:t>
            </w:r>
            <w:r>
              <w:rPr>
                <w:sz w:val="18"/>
                <w:szCs w:val="18"/>
              </w:rPr>
              <w:t>Mapa del sistema financiero nacional y del sistema de pagos aplicable al caso, con identificación de autoridades, entidades, participantes, instrumentos, canales, flujos de información y fondos, normativa aplicable y principales riesgos relevantes para la auditoría de un banco y entidades reguladas por la ASFI.</w:t>
            </w:r>
          </w:p>
        </w:tc>
      </w:tr>
      <w:tr w:rsidR="00990B14" w14:paraId="5F311289" w14:textId="77777777">
        <w:trPr>
          <w:cantSplit/>
          <w:jc w:val="center"/>
        </w:trPr>
        <w:tc>
          <w:tcPr>
            <w:tcW w:w="3133" w:type="dxa"/>
            <w:gridSpan w:val="4"/>
            <w:vMerge w:val="restart"/>
            <w:shd w:val="clear" w:color="auto" w:fill="D9E2F3"/>
            <w:vAlign w:val="center"/>
          </w:tcPr>
          <w:p w14:paraId="073C5E71" w14:textId="77777777" w:rsidR="00990B14" w:rsidRDefault="00000000">
            <w:pPr>
              <w:spacing w:before="20" w:after="20"/>
              <w:jc w:val="both"/>
            </w:pPr>
            <w:r>
              <w:rPr>
                <w:sz w:val="18"/>
                <w:szCs w:val="18"/>
              </w:rPr>
              <w:t>2. Analiza la previsión para incobrabilidad, el encaje legal y la suficiencia patrimonial de un banco boliviano, verificando su determinación conforme a la normativa reglamentaria e identificando los riesgos, rubros y aseveraciones de los estados financieros que inciden en la planificación de la auditoría externa.</w:t>
            </w:r>
          </w:p>
        </w:tc>
        <w:tc>
          <w:tcPr>
            <w:tcW w:w="3135" w:type="dxa"/>
            <w:gridSpan w:val="5"/>
            <w:shd w:val="clear" w:color="auto" w:fill="D9E2F3"/>
            <w:vAlign w:val="center"/>
          </w:tcPr>
          <w:p w14:paraId="31FFDB43" w14:textId="77777777" w:rsidR="00990B14" w:rsidRDefault="00000000">
            <w:pPr>
              <w:spacing w:before="20" w:after="20"/>
              <w:jc w:val="both"/>
            </w:pPr>
            <w:r>
              <w:rPr>
                <w:sz w:val="18"/>
                <w:szCs w:val="18"/>
              </w:rPr>
              <w:t>2.1 Resuelve en aula ejercicios de previsión para incobrabilidad y de encaje legal.</w:t>
            </w:r>
          </w:p>
        </w:tc>
        <w:tc>
          <w:tcPr>
            <w:tcW w:w="3137" w:type="dxa"/>
            <w:gridSpan w:val="4"/>
            <w:shd w:val="clear" w:color="auto" w:fill="D9E2F3"/>
            <w:vAlign w:val="center"/>
          </w:tcPr>
          <w:p w14:paraId="3F8B5462" w14:textId="77777777" w:rsidR="00990B14" w:rsidRDefault="00000000">
            <w:pPr>
              <w:spacing w:before="20" w:after="20"/>
              <w:jc w:val="both"/>
            </w:pPr>
            <w:r>
              <w:rPr>
                <w:b/>
                <w:bCs/>
                <w:sz w:val="18"/>
                <w:szCs w:val="18"/>
              </w:rPr>
              <w:t xml:space="preserve">Producto 3: </w:t>
            </w:r>
            <w:r>
              <w:rPr>
                <w:sz w:val="18"/>
                <w:szCs w:val="18"/>
              </w:rPr>
              <w:t>Planilla de cálculo de la previsión para incobrabilidad y del encaje legal.</w:t>
            </w:r>
          </w:p>
        </w:tc>
      </w:tr>
      <w:tr w:rsidR="00990B14" w14:paraId="5524D3EA" w14:textId="77777777">
        <w:trPr>
          <w:cantSplit/>
          <w:jc w:val="center"/>
        </w:trPr>
        <w:tc>
          <w:tcPr>
            <w:tcW w:w="3133" w:type="dxa"/>
            <w:gridSpan w:val="4"/>
            <w:vMerge/>
            <w:shd w:val="clear" w:color="auto" w:fill="D9E2F3"/>
            <w:vAlign w:val="center"/>
          </w:tcPr>
          <w:p w14:paraId="78A0F0ED" w14:textId="77777777" w:rsidR="00990B14" w:rsidRDefault="00990B14">
            <w:pPr>
              <w:spacing w:before="20" w:after="20"/>
            </w:pPr>
          </w:p>
        </w:tc>
        <w:tc>
          <w:tcPr>
            <w:tcW w:w="3135" w:type="dxa"/>
            <w:gridSpan w:val="5"/>
            <w:shd w:val="clear" w:color="auto" w:fill="D9E2F3"/>
            <w:vAlign w:val="center"/>
          </w:tcPr>
          <w:p w14:paraId="5147A829" w14:textId="77777777" w:rsidR="00990B14" w:rsidRDefault="00000000">
            <w:pPr>
              <w:spacing w:before="20" w:after="20"/>
              <w:jc w:val="both"/>
            </w:pPr>
            <w:r>
              <w:rPr>
                <w:sz w:val="18"/>
                <w:szCs w:val="18"/>
              </w:rPr>
              <w:t>2.2 Calcula en aula el coeficiente de adecuación patrimonial de una entidad.</w:t>
            </w:r>
          </w:p>
        </w:tc>
        <w:tc>
          <w:tcPr>
            <w:tcW w:w="3137" w:type="dxa"/>
            <w:gridSpan w:val="4"/>
            <w:shd w:val="clear" w:color="auto" w:fill="D9E2F3"/>
            <w:vAlign w:val="center"/>
          </w:tcPr>
          <w:p w14:paraId="450B14AC" w14:textId="77777777" w:rsidR="00990B14" w:rsidRDefault="00000000">
            <w:pPr>
              <w:spacing w:before="20" w:after="20"/>
              <w:jc w:val="both"/>
            </w:pPr>
            <w:r>
              <w:rPr>
                <w:b/>
                <w:bCs/>
                <w:sz w:val="18"/>
                <w:szCs w:val="18"/>
              </w:rPr>
              <w:t xml:space="preserve">Producto 4: </w:t>
            </w:r>
            <w:r>
              <w:rPr>
                <w:sz w:val="18"/>
                <w:szCs w:val="18"/>
              </w:rPr>
              <w:t>Papel de trabajo del coeficiente de adecuación patrimonial que incluya la conciliación con la información financiera del caso, la composición del patrimonio neto, los activos y contingentes ponderados por riesgo, las fórmulas verificables, la comparación con el mínimo regulatorio, las excepciones y la conclusión de auditoría.</w:t>
            </w:r>
          </w:p>
        </w:tc>
      </w:tr>
      <w:tr w:rsidR="00990B14" w14:paraId="0F0D82FD" w14:textId="77777777">
        <w:trPr>
          <w:cantSplit/>
          <w:jc w:val="center"/>
        </w:trPr>
        <w:tc>
          <w:tcPr>
            <w:tcW w:w="9405" w:type="dxa"/>
            <w:gridSpan w:val="13"/>
            <w:shd w:val="clear" w:color="auto" w:fill="4472C4"/>
            <w:vAlign w:val="center"/>
          </w:tcPr>
          <w:p w14:paraId="00E29227" w14:textId="77777777" w:rsidR="00990B14" w:rsidRDefault="00000000">
            <w:pPr>
              <w:keepNext/>
              <w:spacing w:before="20" w:after="20"/>
              <w:jc w:val="center"/>
            </w:pPr>
            <w:r>
              <w:rPr>
                <w:b/>
                <w:bCs/>
                <w:i/>
                <w:iCs/>
                <w:color w:val="FFFFFF"/>
                <w:sz w:val="18"/>
                <w:szCs w:val="18"/>
              </w:rPr>
              <w:t>Evidencias de conocimiento</w:t>
            </w:r>
          </w:p>
        </w:tc>
      </w:tr>
      <w:tr w:rsidR="00990B14" w14:paraId="30C71E1E" w14:textId="77777777">
        <w:trPr>
          <w:cantSplit/>
          <w:jc w:val="center"/>
        </w:trPr>
        <w:tc>
          <w:tcPr>
            <w:tcW w:w="2349" w:type="dxa"/>
            <w:gridSpan w:val="2"/>
            <w:shd w:val="clear" w:color="auto" w:fill="4472C4"/>
            <w:vAlign w:val="center"/>
          </w:tcPr>
          <w:p w14:paraId="1466ECD2"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4B97E927" w14:textId="77777777" w:rsidR="00990B14" w:rsidRDefault="00000000">
            <w:pPr>
              <w:keepNext/>
              <w:spacing w:before="20" w:after="20"/>
              <w:jc w:val="both"/>
            </w:pPr>
            <w:r>
              <w:rPr>
                <w:b/>
                <w:bCs/>
                <w:i/>
                <w:iCs/>
                <w:color w:val="FFFFFF"/>
                <w:sz w:val="18"/>
                <w:szCs w:val="18"/>
              </w:rPr>
              <w:t>Contenidos</w:t>
            </w:r>
          </w:p>
          <w:p w14:paraId="1DD8497C"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0D87E0C8" w14:textId="77777777" w:rsidR="00990B14" w:rsidRDefault="00000000">
            <w:pPr>
              <w:keepNext/>
              <w:spacing w:before="20" w:after="20"/>
              <w:jc w:val="center"/>
            </w:pPr>
            <w:r>
              <w:rPr>
                <w:b/>
                <w:bCs/>
                <w:i/>
                <w:iCs/>
                <w:color w:val="FFFFFF"/>
                <w:sz w:val="18"/>
                <w:szCs w:val="18"/>
              </w:rPr>
              <w:t>Conocimientos circunstanciales</w:t>
            </w:r>
          </w:p>
        </w:tc>
      </w:tr>
      <w:tr w:rsidR="00990B14" w14:paraId="6D2C772E" w14:textId="77777777">
        <w:trPr>
          <w:jc w:val="center"/>
        </w:trPr>
        <w:tc>
          <w:tcPr>
            <w:tcW w:w="2349" w:type="dxa"/>
            <w:gridSpan w:val="2"/>
            <w:shd w:val="clear" w:color="auto" w:fill="D9E2F3"/>
          </w:tcPr>
          <w:p w14:paraId="61DB26FC" w14:textId="77777777" w:rsidR="00990B14" w:rsidRDefault="00000000">
            <w:pPr>
              <w:spacing w:before="20" w:after="40"/>
              <w:jc w:val="both"/>
            </w:pPr>
            <w:r>
              <w:rPr>
                <w:sz w:val="18"/>
                <w:szCs w:val="18"/>
              </w:rPr>
              <w:t>Tema 1: Aspectos generales de la industria de las entidades financieras</w:t>
            </w:r>
          </w:p>
          <w:p w14:paraId="2F737354" w14:textId="77777777" w:rsidR="00990B14" w:rsidRDefault="00000000">
            <w:pPr>
              <w:spacing w:before="20" w:after="40"/>
              <w:jc w:val="both"/>
            </w:pPr>
            <w:r>
              <w:rPr>
                <w:sz w:val="18"/>
                <w:szCs w:val="18"/>
              </w:rPr>
              <w:t>Tema 2: Servicios financieros autorizados y normativa aplicable</w:t>
            </w:r>
          </w:p>
        </w:tc>
        <w:tc>
          <w:tcPr>
            <w:tcW w:w="4304" w:type="dxa"/>
            <w:gridSpan w:val="8"/>
            <w:shd w:val="clear" w:color="auto" w:fill="D9E2F3"/>
          </w:tcPr>
          <w:p w14:paraId="7B1C38ED" w14:textId="77777777" w:rsidR="00990B14" w:rsidRDefault="00000000">
            <w:pPr>
              <w:spacing w:after="40"/>
              <w:jc w:val="both"/>
            </w:pPr>
            <w:r>
              <w:rPr>
                <w:sz w:val="18"/>
                <w:szCs w:val="18"/>
              </w:rPr>
              <w:t>El sistema financiero nacional. (C)</w:t>
            </w:r>
          </w:p>
          <w:p w14:paraId="04C0CD05" w14:textId="77777777" w:rsidR="00990B14" w:rsidRDefault="00000000">
            <w:pPr>
              <w:spacing w:after="40"/>
              <w:jc w:val="both"/>
            </w:pPr>
            <w:r>
              <w:rPr>
                <w:sz w:val="18"/>
                <w:szCs w:val="18"/>
              </w:rPr>
              <w:t>El Banco Central de Bolivia y los sistemas de pagos. (C)</w:t>
            </w:r>
          </w:p>
          <w:p w14:paraId="7385E219" w14:textId="77777777" w:rsidR="00990B14" w:rsidRDefault="00000000">
            <w:pPr>
              <w:spacing w:after="40"/>
              <w:jc w:val="both"/>
            </w:pPr>
            <w:r>
              <w:rPr>
                <w:sz w:val="18"/>
                <w:szCs w:val="18"/>
              </w:rPr>
              <w:t>Pagos con código QR interoperable, billeteras móviles y empresas de servicios de pago reglamentadas por el Banco Central de Bolivia. (C)</w:t>
            </w:r>
          </w:p>
          <w:p w14:paraId="723FDC81" w14:textId="77777777" w:rsidR="00990B14" w:rsidRDefault="00000000">
            <w:pPr>
              <w:spacing w:after="40"/>
              <w:jc w:val="both"/>
            </w:pPr>
            <w:r>
              <w:rPr>
                <w:sz w:val="18"/>
                <w:szCs w:val="18"/>
              </w:rPr>
              <w:t>El sistema de intermediación financiera y las entidades de servicios financieros complementarios. (C)</w:t>
            </w:r>
          </w:p>
          <w:p w14:paraId="16FB31C8" w14:textId="77777777" w:rsidR="00990B14" w:rsidRDefault="00000000">
            <w:pPr>
              <w:spacing w:after="40"/>
              <w:jc w:val="both"/>
            </w:pPr>
            <w:r>
              <w:rPr>
                <w:sz w:val="18"/>
                <w:szCs w:val="18"/>
              </w:rPr>
              <w:t>El mercado de valores y los mercados de seguros y pensiones. (C)</w:t>
            </w:r>
          </w:p>
          <w:p w14:paraId="3DB1954E" w14:textId="77777777" w:rsidR="00990B14" w:rsidRDefault="00000000">
            <w:pPr>
              <w:spacing w:after="40"/>
              <w:jc w:val="both"/>
            </w:pPr>
            <w:r>
              <w:rPr>
                <w:sz w:val="18"/>
                <w:szCs w:val="18"/>
              </w:rPr>
              <w:t>Servicios financieros autorizados. (C)</w:t>
            </w:r>
          </w:p>
          <w:p w14:paraId="60B9AE65" w14:textId="77777777" w:rsidR="00990B14" w:rsidRDefault="00000000">
            <w:pPr>
              <w:spacing w:after="40"/>
              <w:jc w:val="both"/>
            </w:pPr>
            <w:r>
              <w:rPr>
                <w:sz w:val="18"/>
                <w:szCs w:val="18"/>
              </w:rPr>
              <w:t>Operación de servicios financieros prestados por canales digitales y banca móvil, verificando sus controles y riesgos asociados. (C, P, T)</w:t>
            </w:r>
          </w:p>
          <w:p w14:paraId="4E644975" w14:textId="77777777" w:rsidR="00990B14" w:rsidRDefault="00000000">
            <w:pPr>
              <w:spacing w:after="40"/>
              <w:jc w:val="both"/>
            </w:pPr>
            <w:r>
              <w:rPr>
                <w:sz w:val="18"/>
                <w:szCs w:val="18"/>
              </w:rPr>
              <w:t>Normas para la administración crediticia y la previsión para incobrabilidad. (C)</w:t>
            </w:r>
          </w:p>
          <w:p w14:paraId="7862F580" w14:textId="77777777" w:rsidR="00990B14" w:rsidRDefault="00000000">
            <w:pPr>
              <w:spacing w:after="40"/>
              <w:jc w:val="both"/>
            </w:pPr>
            <w:r>
              <w:rPr>
                <w:sz w:val="18"/>
                <w:szCs w:val="18"/>
              </w:rPr>
              <w:t>Previsión específica, genérica y cíclica; reprogramaciones y reestructuraciones de cartera. (C)</w:t>
            </w:r>
          </w:p>
          <w:p w14:paraId="07713434" w14:textId="77777777" w:rsidR="00990B14" w:rsidRDefault="00000000">
            <w:pPr>
              <w:spacing w:after="40"/>
              <w:jc w:val="both"/>
            </w:pPr>
            <w:r>
              <w:rPr>
                <w:sz w:val="18"/>
                <w:szCs w:val="18"/>
              </w:rPr>
              <w:t>Normas sobre los bienes realizables y normas sobre inversiones. (C)</w:t>
            </w:r>
          </w:p>
          <w:p w14:paraId="1CEC5661" w14:textId="77777777" w:rsidR="00990B14" w:rsidRDefault="00000000">
            <w:pPr>
              <w:spacing w:after="40"/>
              <w:jc w:val="both"/>
            </w:pPr>
            <w:r>
              <w:rPr>
                <w:sz w:val="18"/>
                <w:szCs w:val="18"/>
              </w:rPr>
              <w:t>Normas para operaciones contingentes y normas sobre obligaciones bancarias. (C)</w:t>
            </w:r>
          </w:p>
          <w:p w14:paraId="31BA9683" w14:textId="77777777" w:rsidR="00990B14" w:rsidRDefault="00000000">
            <w:pPr>
              <w:spacing w:after="40"/>
              <w:jc w:val="both"/>
            </w:pPr>
            <w:r>
              <w:rPr>
                <w:sz w:val="18"/>
                <w:szCs w:val="18"/>
              </w:rPr>
              <w:t>Reglamento de tasas de interés, normas sobre el encaje legal y norma sobre la suficiencia patrimonial. (C)</w:t>
            </w:r>
          </w:p>
          <w:p w14:paraId="5E2D002C" w14:textId="77777777" w:rsidR="00990B14" w:rsidRDefault="00000000">
            <w:pPr>
              <w:spacing w:after="40"/>
              <w:jc w:val="both"/>
            </w:pPr>
            <w:r>
              <w:rPr>
                <w:sz w:val="18"/>
                <w:szCs w:val="18"/>
              </w:rPr>
              <w:t>Cartera regulada conforme a la función social de los servicios financieros de la Ley N.º 393: niveles mínimos de crédito productivo y de vivienda de interés social, y tasas máximas. (C)</w:t>
            </w:r>
          </w:p>
          <w:p w14:paraId="7F6C76FD" w14:textId="77777777" w:rsidR="00990B14" w:rsidRDefault="00000000">
            <w:pPr>
              <w:spacing w:after="40"/>
              <w:jc w:val="both"/>
            </w:pPr>
            <w:r>
              <w:rPr>
                <w:sz w:val="18"/>
                <w:szCs w:val="18"/>
              </w:rPr>
              <w:t>Correspondencia de la suficiencia patrimonial y de los requerimientos de liquidez con los estándares internacionales de capital. (C)</w:t>
            </w:r>
          </w:p>
        </w:tc>
        <w:tc>
          <w:tcPr>
            <w:tcW w:w="2752" w:type="dxa"/>
            <w:gridSpan w:val="3"/>
            <w:shd w:val="clear" w:color="auto" w:fill="D9E2F3"/>
          </w:tcPr>
          <w:p w14:paraId="7F1DD466" w14:textId="77777777" w:rsidR="00990B14" w:rsidRDefault="00000000">
            <w:pPr>
              <w:numPr>
                <w:ilvl w:val="0"/>
                <w:numId w:val="139"/>
              </w:numPr>
              <w:spacing w:before="10" w:after="10"/>
              <w:jc w:val="both"/>
            </w:pPr>
            <w:r>
              <w:rPr>
                <w:sz w:val="18"/>
                <w:szCs w:val="18"/>
              </w:rPr>
              <w:t>Nociones de las operaciones de comercio exterior atendidas por la banca: cartas de crédito y cobranzas documentarias.</w:t>
            </w:r>
          </w:p>
          <w:p w14:paraId="366A3D13" w14:textId="77777777" w:rsidR="00990B14" w:rsidRDefault="00000000">
            <w:pPr>
              <w:numPr>
                <w:ilvl w:val="0"/>
                <w:numId w:val="139"/>
              </w:numPr>
              <w:spacing w:before="10" w:after="10"/>
              <w:jc w:val="both"/>
            </w:pPr>
            <w:r>
              <w:rPr>
                <w:sz w:val="18"/>
                <w:szCs w:val="18"/>
              </w:rPr>
              <w:t>Nociones de la tecnología de los sistemas centrales de procesamiento bancario.</w:t>
            </w:r>
          </w:p>
          <w:p w14:paraId="24B5CAA9" w14:textId="77777777" w:rsidR="00990B14" w:rsidRDefault="00000000">
            <w:pPr>
              <w:numPr>
                <w:ilvl w:val="0"/>
                <w:numId w:val="139"/>
              </w:numPr>
              <w:spacing w:before="10" w:after="10"/>
              <w:jc w:val="both"/>
            </w:pPr>
            <w:r>
              <w:rPr>
                <w:sz w:val="18"/>
                <w:szCs w:val="18"/>
              </w:rPr>
              <w:t>Finanzas sostenibles y emisiones de bonos verdes y sociales en el mercado de valores boliviano.</w:t>
            </w:r>
          </w:p>
        </w:tc>
      </w:tr>
      <w:tr w:rsidR="00990B14" w14:paraId="37098828" w14:textId="77777777">
        <w:trPr>
          <w:cantSplit/>
          <w:jc w:val="center"/>
        </w:trPr>
        <w:tc>
          <w:tcPr>
            <w:tcW w:w="9405" w:type="dxa"/>
            <w:gridSpan w:val="13"/>
            <w:shd w:val="clear" w:color="auto" w:fill="D9E2F3"/>
            <w:vAlign w:val="center"/>
          </w:tcPr>
          <w:p w14:paraId="5DE50BFB" w14:textId="77777777" w:rsidR="00990B14" w:rsidRDefault="00000000">
            <w:pPr>
              <w:spacing w:before="20" w:after="20"/>
              <w:jc w:val="both"/>
            </w:pPr>
            <w:r>
              <w:rPr>
                <w:b/>
                <w:bCs/>
                <w:i/>
                <w:iCs/>
                <w:sz w:val="18"/>
                <w:szCs w:val="18"/>
              </w:rPr>
              <w:t xml:space="preserve">Elemento de competencia 2: </w:t>
            </w:r>
            <w:r>
              <w:rPr>
                <w:sz w:val="18"/>
                <w:szCs w:val="18"/>
              </w:rPr>
              <w:t>Evalúa la clasificación, el reconocimiento, la medición, la presentación y la revelación de las operaciones de un banco boliviano conforme al Manual de Cuentas para Entidades Financieras y a las normas regulatorias de preparación de estados financieros, identificando las diferencias frente a las Normas Internacionales de Información Financiera y sus efectos en los riesgos de incorrección material y en los requerimientos de la auditoría externa establecidos por la ASFI.</w:t>
            </w:r>
          </w:p>
        </w:tc>
      </w:tr>
      <w:tr w:rsidR="00990B14" w14:paraId="7555AB0A" w14:textId="77777777">
        <w:trPr>
          <w:cantSplit/>
          <w:jc w:val="center"/>
        </w:trPr>
        <w:tc>
          <w:tcPr>
            <w:tcW w:w="3133" w:type="dxa"/>
            <w:gridSpan w:val="4"/>
            <w:shd w:val="clear" w:color="auto" w:fill="4472C4"/>
            <w:vAlign w:val="center"/>
          </w:tcPr>
          <w:p w14:paraId="03B9368F"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736EBF1F"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7AA70AC9" w14:textId="77777777" w:rsidR="00990B14" w:rsidRDefault="00000000">
            <w:pPr>
              <w:keepNext/>
              <w:spacing w:before="20" w:after="20"/>
              <w:jc w:val="center"/>
            </w:pPr>
            <w:r>
              <w:rPr>
                <w:b/>
                <w:bCs/>
                <w:i/>
                <w:iCs/>
                <w:color w:val="FFFFFF"/>
                <w:sz w:val="18"/>
                <w:szCs w:val="18"/>
              </w:rPr>
              <w:t>Evidencias de producto</w:t>
            </w:r>
          </w:p>
        </w:tc>
      </w:tr>
      <w:tr w:rsidR="00990B14" w14:paraId="4F5191F9" w14:textId="77777777">
        <w:trPr>
          <w:cantSplit/>
          <w:jc w:val="center"/>
        </w:trPr>
        <w:tc>
          <w:tcPr>
            <w:tcW w:w="3133" w:type="dxa"/>
            <w:gridSpan w:val="4"/>
            <w:vMerge w:val="restart"/>
            <w:shd w:val="clear" w:color="auto" w:fill="D9E2F3"/>
            <w:vAlign w:val="center"/>
          </w:tcPr>
          <w:p w14:paraId="728F9FBB" w14:textId="77777777" w:rsidR="00990B14" w:rsidRDefault="00000000">
            <w:pPr>
              <w:spacing w:before="20" w:after="20"/>
              <w:jc w:val="both"/>
            </w:pPr>
            <w:r>
              <w:rPr>
                <w:sz w:val="18"/>
                <w:szCs w:val="18"/>
              </w:rPr>
              <w:t>1. Evalúa la clasificación, el reconocimiento, la medición, el registro, la presentación y la revelación de las operaciones de un banco boliviano conforme al Manual de Cuentas para Entidades Financieras y a las normas regulatorias aplicables, e identifica las diferencias relevantes frente a las Normas Internacionales de Información Financiera y sus implicaciones para la auditoría externa.</w:t>
            </w:r>
          </w:p>
        </w:tc>
        <w:tc>
          <w:tcPr>
            <w:tcW w:w="3135" w:type="dxa"/>
            <w:gridSpan w:val="5"/>
            <w:shd w:val="clear" w:color="auto" w:fill="D9E2F3"/>
            <w:vAlign w:val="center"/>
          </w:tcPr>
          <w:p w14:paraId="0AEFC7F1" w14:textId="77777777" w:rsidR="00990B14" w:rsidRDefault="00000000">
            <w:pPr>
              <w:spacing w:before="20" w:after="20"/>
              <w:jc w:val="both"/>
            </w:pPr>
            <w:r>
              <w:rPr>
                <w:sz w:val="18"/>
                <w:szCs w:val="18"/>
              </w:rPr>
              <w:t>1.1 Evalúa, a partir de las operaciones y los saldos de un caso de un banco boliviano, la clasificación, el registro, la presentación y la revelación contable conforme al Manual de Cuentas para Entidades Financieras; documenta las desviaciones identificadas y los rubros y aseveraciones afectados.</w:t>
            </w:r>
          </w:p>
        </w:tc>
        <w:tc>
          <w:tcPr>
            <w:tcW w:w="3137" w:type="dxa"/>
            <w:gridSpan w:val="4"/>
            <w:shd w:val="clear" w:color="auto" w:fill="D9E2F3"/>
            <w:vAlign w:val="center"/>
          </w:tcPr>
          <w:p w14:paraId="2BD61788" w14:textId="77777777" w:rsidR="00990B14" w:rsidRDefault="00000000">
            <w:pPr>
              <w:spacing w:before="20" w:after="20"/>
              <w:jc w:val="both"/>
            </w:pPr>
            <w:r>
              <w:rPr>
                <w:b/>
                <w:bCs/>
                <w:sz w:val="18"/>
                <w:szCs w:val="18"/>
              </w:rPr>
              <w:t xml:space="preserve">Producto 5: </w:t>
            </w:r>
            <w:r>
              <w:rPr>
                <w:sz w:val="18"/>
                <w:szCs w:val="18"/>
              </w:rPr>
              <w:t>Papel de trabajo de evaluación de estados financieros de un banco boliviano que incluya la conciliación con el balance de comprobación, la clasificación conforme al Manual de Cuentas para Entidades Financieras, la verificación de presentación y revelación, las referencias cruzadas, las desviaciones identificadas y la conclusión sobre los rubros y aseveraciones afectados.</w:t>
            </w:r>
          </w:p>
        </w:tc>
      </w:tr>
      <w:tr w:rsidR="00990B14" w14:paraId="0AF35D1A" w14:textId="77777777">
        <w:trPr>
          <w:cantSplit/>
          <w:jc w:val="center"/>
        </w:trPr>
        <w:tc>
          <w:tcPr>
            <w:tcW w:w="3133" w:type="dxa"/>
            <w:gridSpan w:val="4"/>
            <w:vMerge/>
            <w:shd w:val="clear" w:color="auto" w:fill="D9E2F3"/>
            <w:vAlign w:val="center"/>
          </w:tcPr>
          <w:p w14:paraId="0759E7EF" w14:textId="77777777" w:rsidR="00990B14" w:rsidRDefault="00990B14">
            <w:pPr>
              <w:spacing w:before="20" w:after="20"/>
            </w:pPr>
          </w:p>
        </w:tc>
        <w:tc>
          <w:tcPr>
            <w:tcW w:w="3135" w:type="dxa"/>
            <w:gridSpan w:val="5"/>
            <w:shd w:val="clear" w:color="auto" w:fill="D9E2F3"/>
            <w:vAlign w:val="center"/>
          </w:tcPr>
          <w:p w14:paraId="1F237393" w14:textId="77777777" w:rsidR="00990B14" w:rsidRDefault="00000000">
            <w:pPr>
              <w:spacing w:before="20" w:after="20"/>
              <w:jc w:val="both"/>
            </w:pPr>
            <w:r>
              <w:rPr>
                <w:sz w:val="18"/>
                <w:szCs w:val="18"/>
              </w:rPr>
              <w:t>1.2 Compara, a partir de un caso de cartera de créditos, la previsión constituida conforme a la normativa de la ASFI con la pérdida crediticia esperada de la NIIF 9; identifica las diferencias de alcance, metodología, datos, supuestos y medición, cuantifica sus efectos y concluye sobre las implicaciones para los estados financieros y la auditoría externa.</w:t>
            </w:r>
          </w:p>
        </w:tc>
        <w:tc>
          <w:tcPr>
            <w:tcW w:w="3137" w:type="dxa"/>
            <w:gridSpan w:val="4"/>
            <w:shd w:val="clear" w:color="auto" w:fill="D9E2F3"/>
            <w:vAlign w:val="center"/>
          </w:tcPr>
          <w:p w14:paraId="2E158746" w14:textId="77777777" w:rsidR="00990B14" w:rsidRDefault="00000000">
            <w:pPr>
              <w:spacing w:before="20" w:after="20"/>
              <w:jc w:val="both"/>
            </w:pPr>
            <w:r>
              <w:rPr>
                <w:b/>
                <w:bCs/>
                <w:sz w:val="18"/>
                <w:szCs w:val="18"/>
              </w:rPr>
              <w:t xml:space="preserve">Producto 6: </w:t>
            </w:r>
            <w:r>
              <w:rPr>
                <w:sz w:val="18"/>
                <w:szCs w:val="18"/>
              </w:rPr>
              <w:t>Informe técnico comparativo de la previsión de cartera conforme a la normativa de la ASFI y de la pérdida crediticia esperada de la NIIF 9 que incluya alcance, criterios aplicables, diferencias de metodología, datos y supuestos, conciliación y cuantificación de efectos, tratamiento en los estados financieros y conclusión sobre sus implicaciones para la auditoría externa.</w:t>
            </w:r>
          </w:p>
        </w:tc>
      </w:tr>
      <w:tr w:rsidR="00990B14" w14:paraId="17573F92" w14:textId="77777777">
        <w:trPr>
          <w:cantSplit/>
          <w:jc w:val="center"/>
        </w:trPr>
        <w:tc>
          <w:tcPr>
            <w:tcW w:w="3133" w:type="dxa"/>
            <w:gridSpan w:val="4"/>
            <w:vMerge w:val="restart"/>
            <w:shd w:val="clear" w:color="auto" w:fill="D9E2F3"/>
            <w:vAlign w:val="center"/>
          </w:tcPr>
          <w:p w14:paraId="35476BAA" w14:textId="77777777" w:rsidR="00990B14" w:rsidRDefault="00000000">
            <w:pPr>
              <w:spacing w:before="20" w:after="20"/>
              <w:jc w:val="both"/>
            </w:pPr>
            <w:r>
              <w:rPr>
                <w:sz w:val="18"/>
                <w:szCs w:val="18"/>
              </w:rPr>
              <w:t>2. Evalúa los requerimientos de auditoría externa establecidos por la ASFI para un banco boliviano, incluyendo el alcance del trabajo, los informes exigidos, los plazos, las comunicaciones, la independencia y la rotación del auditor; utiliza los estados financieros y los indicadores de supervisión para identificar áreas de riesgo y asuntos relevantes para el encargo.</w:t>
            </w:r>
          </w:p>
        </w:tc>
        <w:tc>
          <w:tcPr>
            <w:tcW w:w="3135" w:type="dxa"/>
            <w:gridSpan w:val="5"/>
            <w:shd w:val="clear" w:color="auto" w:fill="D9E2F3"/>
            <w:vAlign w:val="center"/>
          </w:tcPr>
          <w:p w14:paraId="0FFA1B99" w14:textId="77777777" w:rsidR="00990B14" w:rsidRDefault="00000000">
            <w:pPr>
              <w:spacing w:before="20" w:after="20"/>
              <w:jc w:val="both"/>
            </w:pPr>
            <w:r>
              <w:rPr>
                <w:sz w:val="18"/>
                <w:szCs w:val="18"/>
              </w:rPr>
              <w:t>2.1 Calcula y analiza los indicadores de solvencia, liquidez, calidad de cartera y rentabilidad de un banco boliviano; concilia los datos con los estados financieros, compara los resultados con límites regulatorios, periodos anteriores y referencias del sistema financiero, e identifica tendencias, desviaciones y áreas de riesgo relevantes para la auditoría externa.</w:t>
            </w:r>
          </w:p>
        </w:tc>
        <w:tc>
          <w:tcPr>
            <w:tcW w:w="3137" w:type="dxa"/>
            <w:gridSpan w:val="4"/>
            <w:shd w:val="clear" w:color="auto" w:fill="D9E2F3"/>
            <w:vAlign w:val="center"/>
          </w:tcPr>
          <w:p w14:paraId="090170F6" w14:textId="77777777" w:rsidR="00990B14" w:rsidRDefault="00000000">
            <w:pPr>
              <w:spacing w:before="20" w:after="20"/>
              <w:jc w:val="both"/>
            </w:pPr>
            <w:r>
              <w:rPr>
                <w:b/>
                <w:bCs/>
                <w:sz w:val="18"/>
                <w:szCs w:val="18"/>
              </w:rPr>
              <w:t xml:space="preserve">Producto 7: </w:t>
            </w:r>
            <w:r>
              <w:rPr>
                <w:sz w:val="18"/>
                <w:szCs w:val="18"/>
              </w:rPr>
              <w:t>Papel de trabajo de análisis financiero y prudencial que contenga la fuente y conciliación de datos, el cálculo verificable de indicadores de solvencia, liquidez, calidad de cartera y rentabilidad, la comparación con límites regulatorios, periodos anteriores y referencias del sistema financiero, el análisis de tendencias y desviaciones, y la identificación de áreas de riesgo relevantes para la auditoría externa.</w:t>
            </w:r>
          </w:p>
        </w:tc>
      </w:tr>
      <w:tr w:rsidR="00990B14" w14:paraId="1FF8D9C5" w14:textId="77777777">
        <w:trPr>
          <w:cantSplit/>
          <w:jc w:val="center"/>
        </w:trPr>
        <w:tc>
          <w:tcPr>
            <w:tcW w:w="3133" w:type="dxa"/>
            <w:gridSpan w:val="4"/>
            <w:vMerge/>
            <w:shd w:val="clear" w:color="auto" w:fill="D9E2F3"/>
            <w:vAlign w:val="center"/>
          </w:tcPr>
          <w:p w14:paraId="092E9258" w14:textId="77777777" w:rsidR="00990B14" w:rsidRDefault="00990B14">
            <w:pPr>
              <w:spacing w:before="20" w:after="20"/>
            </w:pPr>
          </w:p>
        </w:tc>
        <w:tc>
          <w:tcPr>
            <w:tcW w:w="3135" w:type="dxa"/>
            <w:gridSpan w:val="5"/>
            <w:shd w:val="clear" w:color="auto" w:fill="D9E2F3"/>
            <w:vAlign w:val="center"/>
          </w:tcPr>
          <w:p w14:paraId="5AB0E653" w14:textId="77777777" w:rsidR="00990B14" w:rsidRDefault="00000000">
            <w:pPr>
              <w:spacing w:before="20" w:after="20"/>
              <w:jc w:val="both"/>
            </w:pPr>
            <w:r>
              <w:rPr>
                <w:sz w:val="18"/>
                <w:szCs w:val="18"/>
              </w:rPr>
              <w:t>2.2 Evalúa, a partir del Reglamento para la Realización del Trabajo de Auditoría Externa de la ASFI y de las normas profesionales aplicables, los requisitos de habilitación, independencia, incompatibilidades, rotación, alcance, informes, plazos y comunicaciones correspondientes al auditor externo de un banco boliviano, y sustenta las conclusiones para el caso analizado.</w:t>
            </w:r>
          </w:p>
        </w:tc>
        <w:tc>
          <w:tcPr>
            <w:tcW w:w="3137" w:type="dxa"/>
            <w:gridSpan w:val="4"/>
            <w:shd w:val="clear" w:color="auto" w:fill="D9E2F3"/>
            <w:vAlign w:val="center"/>
          </w:tcPr>
          <w:p w14:paraId="4F80EC5F" w14:textId="77777777" w:rsidR="00990B14" w:rsidRDefault="00000000">
            <w:pPr>
              <w:spacing w:before="20" w:after="20"/>
              <w:jc w:val="both"/>
            </w:pPr>
            <w:r>
              <w:rPr>
                <w:b/>
                <w:bCs/>
                <w:sz w:val="18"/>
                <w:szCs w:val="18"/>
              </w:rPr>
              <w:t xml:space="preserve">Producto 8: </w:t>
            </w:r>
            <w:r>
              <w:rPr>
                <w:sz w:val="18"/>
                <w:szCs w:val="18"/>
              </w:rPr>
              <w:t>Matriz de requerimientos aplicables a la auditoría externa de un banco boliviano que incluya la fuente normativa, el requisito, el responsable, la oportunidad o plazo, el destinatario, la evidencia requerida, las condiciones de independencia y rotación, las comunicaciones e informes exigidos, y la conclusión de cumplimiento para el caso analizado.</w:t>
            </w:r>
          </w:p>
        </w:tc>
      </w:tr>
      <w:tr w:rsidR="00990B14" w14:paraId="7BDF1AB6" w14:textId="77777777">
        <w:trPr>
          <w:cantSplit/>
          <w:jc w:val="center"/>
        </w:trPr>
        <w:tc>
          <w:tcPr>
            <w:tcW w:w="9405" w:type="dxa"/>
            <w:gridSpan w:val="13"/>
            <w:shd w:val="clear" w:color="auto" w:fill="4472C4"/>
            <w:vAlign w:val="center"/>
          </w:tcPr>
          <w:p w14:paraId="28C72B91" w14:textId="77777777" w:rsidR="00990B14" w:rsidRDefault="00000000">
            <w:pPr>
              <w:keepNext/>
              <w:spacing w:before="20" w:after="20"/>
              <w:jc w:val="center"/>
            </w:pPr>
            <w:r>
              <w:rPr>
                <w:b/>
                <w:bCs/>
                <w:i/>
                <w:iCs/>
                <w:color w:val="FFFFFF"/>
                <w:sz w:val="18"/>
                <w:szCs w:val="18"/>
              </w:rPr>
              <w:t>Evidencias de conocimiento</w:t>
            </w:r>
          </w:p>
        </w:tc>
      </w:tr>
      <w:tr w:rsidR="00990B14" w14:paraId="639F6460" w14:textId="77777777">
        <w:trPr>
          <w:cantSplit/>
          <w:jc w:val="center"/>
        </w:trPr>
        <w:tc>
          <w:tcPr>
            <w:tcW w:w="2349" w:type="dxa"/>
            <w:gridSpan w:val="2"/>
            <w:shd w:val="clear" w:color="auto" w:fill="4472C4"/>
            <w:vAlign w:val="center"/>
          </w:tcPr>
          <w:p w14:paraId="3910AB6F"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4F8D89C7" w14:textId="77777777" w:rsidR="00990B14" w:rsidRDefault="00000000">
            <w:pPr>
              <w:keepNext/>
              <w:spacing w:before="20" w:after="20"/>
              <w:jc w:val="both"/>
            </w:pPr>
            <w:r>
              <w:rPr>
                <w:b/>
                <w:bCs/>
                <w:i/>
                <w:iCs/>
                <w:color w:val="FFFFFF"/>
                <w:sz w:val="18"/>
                <w:szCs w:val="18"/>
              </w:rPr>
              <w:t>Contenidos</w:t>
            </w:r>
          </w:p>
          <w:p w14:paraId="03EB89F0"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7E176C37" w14:textId="77777777" w:rsidR="00990B14" w:rsidRDefault="00000000">
            <w:pPr>
              <w:keepNext/>
              <w:spacing w:before="20" w:after="20"/>
              <w:jc w:val="center"/>
            </w:pPr>
            <w:r>
              <w:rPr>
                <w:b/>
                <w:bCs/>
                <w:i/>
                <w:iCs/>
                <w:color w:val="FFFFFF"/>
                <w:sz w:val="18"/>
                <w:szCs w:val="18"/>
              </w:rPr>
              <w:t>Conocimientos circunstanciales</w:t>
            </w:r>
          </w:p>
        </w:tc>
      </w:tr>
      <w:tr w:rsidR="00990B14" w14:paraId="1D38AFB6" w14:textId="77777777">
        <w:trPr>
          <w:jc w:val="center"/>
        </w:trPr>
        <w:tc>
          <w:tcPr>
            <w:tcW w:w="2349" w:type="dxa"/>
            <w:gridSpan w:val="2"/>
            <w:shd w:val="clear" w:color="auto" w:fill="D9E2F3"/>
          </w:tcPr>
          <w:p w14:paraId="74DAB461" w14:textId="77777777" w:rsidR="00990B14" w:rsidRDefault="00000000">
            <w:pPr>
              <w:spacing w:before="20" w:after="40"/>
              <w:jc w:val="both"/>
            </w:pPr>
            <w:r>
              <w:rPr>
                <w:sz w:val="18"/>
                <w:szCs w:val="18"/>
              </w:rPr>
              <w:t>Tema 3: Ambiente regulatorio del sistema financiero en Bolivia</w:t>
            </w:r>
          </w:p>
          <w:p w14:paraId="0546D099" w14:textId="77777777" w:rsidR="00990B14" w:rsidRDefault="00000000">
            <w:pPr>
              <w:spacing w:before="20" w:after="40"/>
              <w:jc w:val="both"/>
            </w:pPr>
            <w:r>
              <w:rPr>
                <w:sz w:val="18"/>
                <w:szCs w:val="18"/>
              </w:rPr>
              <w:t>Tema 4: Aspectos generales de la auditoría financiera en entidades financieras</w:t>
            </w:r>
          </w:p>
          <w:p w14:paraId="08BD2BAB" w14:textId="77777777" w:rsidR="00990B14" w:rsidRDefault="00000000">
            <w:pPr>
              <w:spacing w:before="20" w:after="40"/>
              <w:jc w:val="both"/>
            </w:pPr>
            <w:r>
              <w:rPr>
                <w:sz w:val="18"/>
                <w:szCs w:val="18"/>
              </w:rPr>
              <w:t>Tema 5: Estructura y contenido de los estados financieros de entidades financieras</w:t>
            </w:r>
          </w:p>
        </w:tc>
        <w:tc>
          <w:tcPr>
            <w:tcW w:w="4304" w:type="dxa"/>
            <w:gridSpan w:val="8"/>
            <w:shd w:val="clear" w:color="auto" w:fill="D9E2F3"/>
          </w:tcPr>
          <w:p w14:paraId="5C40E76E" w14:textId="77777777" w:rsidR="00990B14" w:rsidRDefault="00000000">
            <w:pPr>
              <w:spacing w:after="40"/>
              <w:jc w:val="both"/>
            </w:pPr>
            <w:r>
              <w:rPr>
                <w:sz w:val="18"/>
                <w:szCs w:val="18"/>
              </w:rPr>
              <w:t>Historia y naturaleza de la regulación financiera en Bolivia. (C)</w:t>
            </w:r>
          </w:p>
          <w:p w14:paraId="40FB5C86" w14:textId="77777777" w:rsidR="00990B14" w:rsidRDefault="00000000">
            <w:pPr>
              <w:spacing w:after="40"/>
              <w:jc w:val="both"/>
            </w:pPr>
            <w:r>
              <w:rPr>
                <w:sz w:val="18"/>
                <w:szCs w:val="18"/>
              </w:rPr>
              <w:t>Las normas de auditoría aplicables en una auditoría de entidades financieras. (C)</w:t>
            </w:r>
          </w:p>
          <w:p w14:paraId="06195A4C" w14:textId="77777777" w:rsidR="00990B14" w:rsidRDefault="00000000">
            <w:pPr>
              <w:spacing w:after="40"/>
              <w:jc w:val="both"/>
            </w:pPr>
            <w:r>
              <w:rPr>
                <w:sz w:val="18"/>
                <w:szCs w:val="18"/>
              </w:rPr>
              <w:t>Aplicación de los principios del Código Internacional de Ética y de las Normas Internacionales de Gestión de la Calidad, actuando con independencia, objetividad y escepticismo profesional. (C, A)</w:t>
            </w:r>
          </w:p>
          <w:p w14:paraId="15A9D261" w14:textId="77777777" w:rsidR="00990B14" w:rsidRDefault="00000000">
            <w:pPr>
              <w:spacing w:after="40"/>
              <w:jc w:val="both"/>
            </w:pPr>
            <w:r>
              <w:rPr>
                <w:sz w:val="18"/>
                <w:szCs w:val="18"/>
              </w:rPr>
              <w:t>Requerimientos de independencia aplicables a los auditores externos de entidades supervisadas y rotación del encargo. (C)</w:t>
            </w:r>
          </w:p>
          <w:p w14:paraId="2EF892A1" w14:textId="77777777" w:rsidR="00990B14" w:rsidRDefault="00000000">
            <w:pPr>
              <w:spacing w:after="40"/>
              <w:jc w:val="both"/>
            </w:pPr>
            <w:r>
              <w:rPr>
                <w:sz w:val="18"/>
                <w:szCs w:val="18"/>
              </w:rPr>
              <w:t>Consideraciones regulatorias y reglamentarias en una auditoría de entidades financieras. (C)</w:t>
            </w:r>
          </w:p>
          <w:p w14:paraId="111DF798" w14:textId="77777777" w:rsidR="00990B14" w:rsidRDefault="00000000">
            <w:pPr>
              <w:spacing w:after="40"/>
              <w:jc w:val="both"/>
            </w:pPr>
            <w:r>
              <w:rPr>
                <w:sz w:val="18"/>
                <w:szCs w:val="18"/>
              </w:rPr>
              <w:t>Responsabilidades del auditor respecto del cumplimiento de leyes y reglamentos (NIA 250). (C)</w:t>
            </w:r>
          </w:p>
          <w:p w14:paraId="45B0322C" w14:textId="77777777" w:rsidR="00990B14" w:rsidRDefault="00000000">
            <w:pPr>
              <w:spacing w:after="40"/>
              <w:jc w:val="both"/>
            </w:pPr>
            <w:r>
              <w:rPr>
                <w:sz w:val="18"/>
                <w:szCs w:val="18"/>
              </w:rPr>
              <w:t>Aplicación de las directrices de gobierno corporativo y de las responsabilidades del comité de auditoría, actuando con objetividad, independencia y responsabilidad en la comunicación de asuntos relevantes. (C, P, A)</w:t>
            </w:r>
          </w:p>
          <w:p w14:paraId="1381A56B" w14:textId="77777777" w:rsidR="00990B14" w:rsidRDefault="00000000">
            <w:pPr>
              <w:spacing w:after="40"/>
              <w:jc w:val="both"/>
            </w:pPr>
            <w:r>
              <w:rPr>
                <w:sz w:val="18"/>
                <w:szCs w:val="18"/>
              </w:rPr>
              <w:t>El proceso de auditoría con base en riesgos. (C)</w:t>
            </w:r>
          </w:p>
          <w:p w14:paraId="6FB3AEC5" w14:textId="77777777" w:rsidR="00990B14" w:rsidRDefault="00000000">
            <w:pPr>
              <w:spacing w:after="40"/>
              <w:jc w:val="both"/>
            </w:pPr>
            <w:r>
              <w:rPr>
                <w:sz w:val="18"/>
                <w:szCs w:val="18"/>
              </w:rPr>
              <w:t>Manual de Cuentas para Entidades Financieras. (C)</w:t>
            </w:r>
          </w:p>
          <w:p w14:paraId="5B449E8C" w14:textId="77777777" w:rsidR="00990B14" w:rsidRDefault="00000000">
            <w:pPr>
              <w:spacing w:after="40"/>
              <w:jc w:val="both"/>
            </w:pPr>
            <w:r>
              <w:rPr>
                <w:sz w:val="18"/>
                <w:szCs w:val="18"/>
              </w:rPr>
              <w:t>Marco de referencia para la preparación de estados financieros de entidades financieras y normas contables aplicables. (C, P)</w:t>
            </w:r>
          </w:p>
          <w:p w14:paraId="728338BF" w14:textId="77777777" w:rsidR="00990B14" w:rsidRDefault="00000000">
            <w:pPr>
              <w:spacing w:after="40"/>
              <w:jc w:val="both"/>
            </w:pPr>
            <w:r>
              <w:rPr>
                <w:sz w:val="18"/>
                <w:szCs w:val="18"/>
              </w:rPr>
              <w:t>Diferencias entre el marco contable regulatorio y las Normas Internacionales de Información Financiera, en particular el modelo de pérdida crediticia esperada. (C)</w:t>
            </w:r>
          </w:p>
          <w:p w14:paraId="2F24FA10" w14:textId="77777777" w:rsidR="00990B14" w:rsidRDefault="00000000">
            <w:pPr>
              <w:spacing w:after="40"/>
              <w:jc w:val="both"/>
            </w:pPr>
            <w:r>
              <w:rPr>
                <w:sz w:val="18"/>
                <w:szCs w:val="18"/>
              </w:rPr>
              <w:t>Normas regulatorias aplicables sobre la preparación de estados financieros. (C, P)</w:t>
            </w:r>
          </w:p>
          <w:p w14:paraId="389A0943" w14:textId="77777777" w:rsidR="00990B14" w:rsidRDefault="00000000">
            <w:pPr>
              <w:spacing w:after="40"/>
              <w:jc w:val="both"/>
            </w:pPr>
            <w:r>
              <w:rPr>
                <w:sz w:val="18"/>
                <w:szCs w:val="18"/>
              </w:rPr>
              <w:t>Análisis financiero de los estados financieros de entidades financieras. (P)</w:t>
            </w:r>
          </w:p>
          <w:p w14:paraId="086213D4" w14:textId="77777777" w:rsidR="00990B14" w:rsidRDefault="00000000">
            <w:pPr>
              <w:spacing w:after="40"/>
              <w:jc w:val="both"/>
            </w:pPr>
            <w:r>
              <w:rPr>
                <w:sz w:val="18"/>
                <w:szCs w:val="18"/>
              </w:rPr>
              <w:t>Indicadores de solvencia, liquidez, calidad de cartera y rentabilidad utilizados en la supervisión. (C)</w:t>
            </w:r>
          </w:p>
        </w:tc>
        <w:tc>
          <w:tcPr>
            <w:tcW w:w="2752" w:type="dxa"/>
            <w:gridSpan w:val="3"/>
            <w:shd w:val="clear" w:color="auto" w:fill="D9E2F3"/>
          </w:tcPr>
          <w:p w14:paraId="359F603E" w14:textId="77777777" w:rsidR="00990B14" w:rsidRDefault="00000000">
            <w:pPr>
              <w:numPr>
                <w:ilvl w:val="0"/>
                <w:numId w:val="139"/>
              </w:numPr>
              <w:spacing w:before="10" w:after="10"/>
              <w:jc w:val="both"/>
            </w:pPr>
            <w:r>
              <w:rPr>
                <w:sz w:val="18"/>
                <w:szCs w:val="18"/>
              </w:rPr>
              <w:t>Nociones de la historia de las crisis y de la liquidación de entidades financieras en Bolivia.</w:t>
            </w:r>
          </w:p>
          <w:p w14:paraId="3E3BF527" w14:textId="77777777" w:rsidR="00990B14" w:rsidRDefault="00000000">
            <w:pPr>
              <w:numPr>
                <w:ilvl w:val="0"/>
                <w:numId w:val="139"/>
              </w:numPr>
              <w:spacing w:before="10" w:after="10"/>
              <w:jc w:val="both"/>
            </w:pPr>
            <w:r>
              <w:rPr>
                <w:sz w:val="18"/>
                <w:szCs w:val="18"/>
              </w:rPr>
              <w:t>Lectura de los boletines estadísticos del sistema financiero boliviano.</w:t>
            </w:r>
          </w:p>
        </w:tc>
      </w:tr>
      <w:tr w:rsidR="00990B14" w14:paraId="47E56041" w14:textId="77777777">
        <w:trPr>
          <w:cantSplit/>
          <w:jc w:val="center"/>
        </w:trPr>
        <w:tc>
          <w:tcPr>
            <w:tcW w:w="9405" w:type="dxa"/>
            <w:gridSpan w:val="13"/>
            <w:shd w:val="clear" w:color="auto" w:fill="D9E2F3"/>
            <w:vAlign w:val="center"/>
          </w:tcPr>
          <w:p w14:paraId="22B9AB17" w14:textId="77777777" w:rsidR="00990B14" w:rsidRDefault="00000000">
            <w:pPr>
              <w:spacing w:before="20" w:after="20"/>
              <w:jc w:val="both"/>
            </w:pPr>
            <w:r>
              <w:rPr>
                <w:b/>
                <w:bCs/>
                <w:i/>
                <w:iCs/>
                <w:sz w:val="18"/>
                <w:szCs w:val="18"/>
              </w:rPr>
              <w:t xml:space="preserve">Elemento de competencia 3: </w:t>
            </w:r>
            <w:r>
              <w:rPr>
                <w:sz w:val="18"/>
                <w:szCs w:val="18"/>
              </w:rPr>
              <w:t>Planifica la auditoría de una entidad financiera con base en los riesgos del sector y aplica las pruebas de controles y sustantivas a los procesos significativos, incorporando el análisis de datos y la auditoría de las estimaciones contables.</w:t>
            </w:r>
          </w:p>
        </w:tc>
      </w:tr>
      <w:tr w:rsidR="00990B14" w14:paraId="08471CA6" w14:textId="77777777">
        <w:trPr>
          <w:cantSplit/>
          <w:jc w:val="center"/>
        </w:trPr>
        <w:tc>
          <w:tcPr>
            <w:tcW w:w="3133" w:type="dxa"/>
            <w:gridSpan w:val="4"/>
            <w:shd w:val="clear" w:color="auto" w:fill="4472C4"/>
            <w:vAlign w:val="center"/>
          </w:tcPr>
          <w:p w14:paraId="45AA81B8"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393F3D18"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4A17A5F9" w14:textId="77777777" w:rsidR="00990B14" w:rsidRDefault="00000000">
            <w:pPr>
              <w:keepNext/>
              <w:spacing w:before="20" w:after="20"/>
              <w:jc w:val="center"/>
            </w:pPr>
            <w:r>
              <w:rPr>
                <w:b/>
                <w:bCs/>
                <w:i/>
                <w:iCs/>
                <w:color w:val="FFFFFF"/>
                <w:sz w:val="18"/>
                <w:szCs w:val="18"/>
              </w:rPr>
              <w:t>Evidencias de producto</w:t>
            </w:r>
          </w:p>
        </w:tc>
      </w:tr>
      <w:tr w:rsidR="00990B14" w14:paraId="252C508A" w14:textId="77777777">
        <w:trPr>
          <w:cantSplit/>
          <w:jc w:val="center"/>
        </w:trPr>
        <w:tc>
          <w:tcPr>
            <w:tcW w:w="3133" w:type="dxa"/>
            <w:gridSpan w:val="4"/>
            <w:vMerge w:val="restart"/>
            <w:shd w:val="clear" w:color="auto" w:fill="D9E2F3"/>
            <w:vAlign w:val="center"/>
          </w:tcPr>
          <w:p w14:paraId="2B22C1F4" w14:textId="77777777" w:rsidR="00990B14" w:rsidRDefault="00000000">
            <w:pPr>
              <w:spacing w:before="20" w:after="20"/>
              <w:jc w:val="both"/>
            </w:pPr>
            <w:r>
              <w:rPr>
                <w:sz w:val="18"/>
                <w:szCs w:val="18"/>
              </w:rPr>
              <w:t>1. Planifica la auditoría de los estados financieros de un banco boliviano con base en el entendimiento de la entidad y su entorno, el marco regulatorio aplicable, la materialidad y la valoración de los riesgos de incorrección material; diseña respuestas globales y procedimientos de auditoría congruentes con los riesgos valorados conforme a las NIA 300, 315 y 330.</w:t>
            </w:r>
          </w:p>
        </w:tc>
        <w:tc>
          <w:tcPr>
            <w:tcW w:w="3135" w:type="dxa"/>
            <w:gridSpan w:val="5"/>
            <w:shd w:val="clear" w:color="auto" w:fill="D9E2F3"/>
            <w:vAlign w:val="center"/>
          </w:tcPr>
          <w:p w14:paraId="6F778993" w14:textId="77777777" w:rsidR="00990B14" w:rsidRDefault="00000000">
            <w:pPr>
              <w:spacing w:before="20" w:after="20"/>
              <w:jc w:val="both"/>
            </w:pPr>
            <w:r>
              <w:rPr>
                <w:sz w:val="18"/>
                <w:szCs w:val="18"/>
              </w:rPr>
              <w:t>1.1 Elabora, a partir de un caso de una entidad financiera, el memorándum de planificación y la matriz de riesgos; documenta el entendimiento de la entidad y su entorno, la materialidad, los procesos y saldos significativos, los riesgos de incorrección material por aseveración, los controles relevantes, la estrategia global y el plan de auditoría.</w:t>
            </w:r>
          </w:p>
        </w:tc>
        <w:tc>
          <w:tcPr>
            <w:tcW w:w="3137" w:type="dxa"/>
            <w:gridSpan w:val="4"/>
            <w:shd w:val="clear" w:color="auto" w:fill="D9E2F3"/>
            <w:vAlign w:val="center"/>
          </w:tcPr>
          <w:p w14:paraId="57E5C7BC" w14:textId="77777777" w:rsidR="00990B14" w:rsidRDefault="00000000">
            <w:pPr>
              <w:spacing w:before="20" w:after="20"/>
              <w:jc w:val="both"/>
            </w:pPr>
            <w:r>
              <w:rPr>
                <w:b/>
                <w:bCs/>
                <w:sz w:val="18"/>
                <w:szCs w:val="18"/>
              </w:rPr>
              <w:t xml:space="preserve">Producto 9: </w:t>
            </w:r>
            <w:r>
              <w:rPr>
                <w:sz w:val="18"/>
                <w:szCs w:val="18"/>
              </w:rPr>
              <w:t>Memorándum de planificación con la matriz de riesgos por aseveración, los controles relevantes, la estrategia global y el plan de auditoría con referencias cruzadas.</w:t>
            </w:r>
          </w:p>
        </w:tc>
      </w:tr>
      <w:tr w:rsidR="00990B14" w14:paraId="1700E653" w14:textId="77777777">
        <w:trPr>
          <w:cantSplit/>
          <w:jc w:val="center"/>
        </w:trPr>
        <w:tc>
          <w:tcPr>
            <w:tcW w:w="3133" w:type="dxa"/>
            <w:gridSpan w:val="4"/>
            <w:vMerge/>
            <w:shd w:val="clear" w:color="auto" w:fill="D9E2F3"/>
            <w:vAlign w:val="center"/>
          </w:tcPr>
          <w:p w14:paraId="301A7E6C" w14:textId="77777777" w:rsidR="00990B14" w:rsidRDefault="00990B14">
            <w:pPr>
              <w:spacing w:before="20" w:after="20"/>
            </w:pPr>
          </w:p>
        </w:tc>
        <w:tc>
          <w:tcPr>
            <w:tcW w:w="3135" w:type="dxa"/>
            <w:gridSpan w:val="5"/>
            <w:shd w:val="clear" w:color="auto" w:fill="D9E2F3"/>
            <w:vAlign w:val="center"/>
          </w:tcPr>
          <w:p w14:paraId="0370C93C" w14:textId="77777777" w:rsidR="00990B14" w:rsidRDefault="00000000">
            <w:pPr>
              <w:spacing w:before="20" w:after="20"/>
              <w:jc w:val="both"/>
            </w:pPr>
            <w:r>
              <w:rPr>
                <w:sz w:val="18"/>
                <w:szCs w:val="18"/>
              </w:rPr>
              <w:t>1.2 Diseña y aplica, a partir de un caso de cartera de créditos, pruebas de controles y procedimientos sustantivos que respondan a los riesgos valorados y a las aseveraciones relevantes; evalúa la clasificación de la cartera, las garantías, la mora, las reprogramaciones, las previsiones y las revelaciones, documenta las excepciones y concluye sobre la suficiencia de la evidencia obtenida.</w:t>
            </w:r>
          </w:p>
        </w:tc>
        <w:tc>
          <w:tcPr>
            <w:tcW w:w="3137" w:type="dxa"/>
            <w:gridSpan w:val="4"/>
            <w:shd w:val="clear" w:color="auto" w:fill="D9E2F3"/>
            <w:vAlign w:val="center"/>
          </w:tcPr>
          <w:p w14:paraId="18E4A7AA" w14:textId="77777777" w:rsidR="00990B14" w:rsidRDefault="00000000">
            <w:pPr>
              <w:spacing w:before="20" w:after="20"/>
              <w:jc w:val="both"/>
            </w:pPr>
            <w:r>
              <w:rPr>
                <w:b/>
                <w:bCs/>
                <w:sz w:val="18"/>
                <w:szCs w:val="18"/>
              </w:rPr>
              <w:t xml:space="preserve">Producto 10: </w:t>
            </w:r>
            <w:r>
              <w:rPr>
                <w:sz w:val="18"/>
                <w:szCs w:val="18"/>
              </w:rPr>
              <w:t>Archivo de papeles de trabajo de la auditoría de cartera de créditos y previsiones que incluya objetivos, riesgos y aseveraciones, población y selección de partidas, procedimientos de control y sustantivos, pruebas sobre clasificación, mora, garantías, reprogramaciones, previsiones y revelaciones, análisis de datos, excepciones, referencias cruzadas y conclusiones sobre la evidencia obtenida.</w:t>
            </w:r>
          </w:p>
        </w:tc>
      </w:tr>
      <w:tr w:rsidR="00990B14" w14:paraId="62A3250E" w14:textId="77777777">
        <w:trPr>
          <w:cantSplit/>
          <w:jc w:val="center"/>
        </w:trPr>
        <w:tc>
          <w:tcPr>
            <w:tcW w:w="3133" w:type="dxa"/>
            <w:gridSpan w:val="4"/>
            <w:vMerge w:val="restart"/>
            <w:shd w:val="clear" w:color="auto" w:fill="D9E2F3"/>
            <w:vAlign w:val="center"/>
          </w:tcPr>
          <w:p w14:paraId="1890AF28" w14:textId="77777777" w:rsidR="00990B14" w:rsidRDefault="00000000">
            <w:pPr>
              <w:spacing w:before="20" w:after="20"/>
              <w:jc w:val="both"/>
            </w:pPr>
            <w:r>
              <w:rPr>
                <w:sz w:val="18"/>
                <w:szCs w:val="18"/>
              </w:rPr>
              <w:t>2. Identifica y valora los riesgos de incorrección material en los estados financieros de un banco boliviano conforme a la NIA 315 (Revisada), considerando los riesgos de fraude, incumplimiento de leyes y reglamentos y empresa en funcionamiento; evalúa la integridad y exactitud de la información generada por la entidad y determina, con fundamento, la necesidad de utilizar el trabajo de auditoría interna o de especialistas.</w:t>
            </w:r>
          </w:p>
        </w:tc>
        <w:tc>
          <w:tcPr>
            <w:tcW w:w="3135" w:type="dxa"/>
            <w:gridSpan w:val="5"/>
            <w:shd w:val="clear" w:color="auto" w:fill="D9E2F3"/>
            <w:vAlign w:val="center"/>
          </w:tcPr>
          <w:p w14:paraId="019C636F" w14:textId="77777777" w:rsidR="00990B14" w:rsidRDefault="00000000">
            <w:pPr>
              <w:spacing w:before="20" w:after="20"/>
              <w:jc w:val="both"/>
            </w:pPr>
            <w:r>
              <w:rPr>
                <w:sz w:val="18"/>
                <w:szCs w:val="18"/>
              </w:rPr>
              <w:t>2.1 Identifica y valora, a partir de un caso de una entidad financiera, los riesgos de incorrección material en los niveles de estados financieros y aseveraciones; determina los riesgos significativos, considera los factores de riesgo inherente, fraude, incumplimiento regulatorio y empresa en funcionamiento, y diseña respuestas globales y procedimientos de auditoría específicos para cada riesgo valorado.</w:t>
            </w:r>
          </w:p>
        </w:tc>
        <w:tc>
          <w:tcPr>
            <w:tcW w:w="3137" w:type="dxa"/>
            <w:gridSpan w:val="4"/>
            <w:shd w:val="clear" w:color="auto" w:fill="D9E2F3"/>
            <w:vAlign w:val="center"/>
          </w:tcPr>
          <w:p w14:paraId="679F3AE4" w14:textId="77777777" w:rsidR="00990B14" w:rsidRDefault="00000000">
            <w:pPr>
              <w:spacing w:before="20" w:after="20"/>
              <w:jc w:val="both"/>
            </w:pPr>
            <w:r>
              <w:rPr>
                <w:b/>
                <w:bCs/>
                <w:sz w:val="18"/>
                <w:szCs w:val="18"/>
              </w:rPr>
              <w:t xml:space="preserve">Producto 11: </w:t>
            </w:r>
            <w:r>
              <w:rPr>
                <w:sz w:val="18"/>
                <w:szCs w:val="18"/>
              </w:rPr>
              <w:t>Matriz de valoración de riesgos de incorrección material que relacione procesos, saldos y revelaciones significativos con las aseveraciones, factores de riesgo inherente, riesgos de fraude y cumplimiento, controles relevantes, valoración del riesgo inherente y de control, riesgos significativos, respuestas globales, procedimientos de auditoría previstos y referencias al programa de trabajo.</w:t>
            </w:r>
          </w:p>
        </w:tc>
      </w:tr>
      <w:tr w:rsidR="00990B14" w14:paraId="69B6132C" w14:textId="77777777">
        <w:trPr>
          <w:cantSplit/>
          <w:jc w:val="center"/>
        </w:trPr>
        <w:tc>
          <w:tcPr>
            <w:tcW w:w="3133" w:type="dxa"/>
            <w:gridSpan w:val="4"/>
            <w:vMerge/>
            <w:shd w:val="clear" w:color="auto" w:fill="D9E2F3"/>
            <w:vAlign w:val="center"/>
          </w:tcPr>
          <w:p w14:paraId="27D1626E" w14:textId="77777777" w:rsidR="00990B14" w:rsidRDefault="00990B14">
            <w:pPr>
              <w:spacing w:before="20" w:after="20"/>
            </w:pPr>
          </w:p>
        </w:tc>
        <w:tc>
          <w:tcPr>
            <w:tcW w:w="3135" w:type="dxa"/>
            <w:gridSpan w:val="5"/>
            <w:shd w:val="clear" w:color="auto" w:fill="D9E2F3"/>
            <w:vAlign w:val="center"/>
          </w:tcPr>
          <w:p w14:paraId="26B9CF5C" w14:textId="77777777" w:rsidR="00990B14" w:rsidRDefault="00000000">
            <w:pPr>
              <w:spacing w:before="20" w:after="20"/>
              <w:jc w:val="both"/>
            </w:pPr>
            <w:r>
              <w:rPr>
                <w:sz w:val="18"/>
                <w:szCs w:val="18"/>
              </w:rPr>
              <w:t>2.2 Evalúa en aula la fiabilidad de la información generada por la entidad y sustenta la decisión sobre el uso del trabajo de auditoría interna y de especialistas.</w:t>
            </w:r>
          </w:p>
        </w:tc>
        <w:tc>
          <w:tcPr>
            <w:tcW w:w="3137" w:type="dxa"/>
            <w:gridSpan w:val="4"/>
            <w:shd w:val="clear" w:color="auto" w:fill="D9E2F3"/>
            <w:vAlign w:val="center"/>
          </w:tcPr>
          <w:p w14:paraId="4154B525" w14:textId="77777777" w:rsidR="00990B14" w:rsidRDefault="00000000">
            <w:pPr>
              <w:spacing w:before="20" w:after="20"/>
              <w:jc w:val="both"/>
            </w:pPr>
            <w:r>
              <w:rPr>
                <w:b/>
                <w:bCs/>
                <w:sz w:val="18"/>
                <w:szCs w:val="18"/>
              </w:rPr>
              <w:t xml:space="preserve">Producto 12: </w:t>
            </w:r>
            <w:r>
              <w:rPr>
                <w:sz w:val="18"/>
                <w:szCs w:val="18"/>
              </w:rPr>
              <w:t>Papel de trabajo de evaluación de la fiabilidad de la información generada por la entidad financiera y de la decisión sobre el uso del trabajo de auditoría interna y de especialistas, que incluya las pruebas de integridad y exactitud de los reportes, la evaluación de competencia, capacidad y objetividad de terceros, el alcance de su trabajo y la conclusión sustentada para el encargo.</w:t>
            </w:r>
          </w:p>
        </w:tc>
      </w:tr>
      <w:tr w:rsidR="00990B14" w14:paraId="6FB04949" w14:textId="77777777">
        <w:trPr>
          <w:cantSplit/>
          <w:jc w:val="center"/>
        </w:trPr>
        <w:tc>
          <w:tcPr>
            <w:tcW w:w="9405" w:type="dxa"/>
            <w:gridSpan w:val="13"/>
            <w:shd w:val="clear" w:color="auto" w:fill="4472C4"/>
            <w:vAlign w:val="center"/>
          </w:tcPr>
          <w:p w14:paraId="090A6ACF" w14:textId="77777777" w:rsidR="00990B14" w:rsidRDefault="00000000">
            <w:pPr>
              <w:keepNext/>
              <w:spacing w:before="20" w:after="20"/>
              <w:jc w:val="center"/>
            </w:pPr>
            <w:r>
              <w:rPr>
                <w:b/>
                <w:bCs/>
                <w:i/>
                <w:iCs/>
                <w:color w:val="FFFFFF"/>
                <w:sz w:val="18"/>
                <w:szCs w:val="18"/>
              </w:rPr>
              <w:t>Evidencias de conocimiento</w:t>
            </w:r>
          </w:p>
        </w:tc>
      </w:tr>
      <w:tr w:rsidR="00990B14" w14:paraId="26609A20" w14:textId="77777777">
        <w:trPr>
          <w:cantSplit/>
          <w:jc w:val="center"/>
        </w:trPr>
        <w:tc>
          <w:tcPr>
            <w:tcW w:w="2349" w:type="dxa"/>
            <w:gridSpan w:val="2"/>
            <w:shd w:val="clear" w:color="auto" w:fill="4472C4"/>
            <w:vAlign w:val="center"/>
          </w:tcPr>
          <w:p w14:paraId="58F8574D"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4A3A0076" w14:textId="77777777" w:rsidR="00990B14" w:rsidRDefault="00000000">
            <w:pPr>
              <w:keepNext/>
              <w:spacing w:before="20" w:after="20"/>
              <w:jc w:val="both"/>
            </w:pPr>
            <w:r>
              <w:rPr>
                <w:b/>
                <w:bCs/>
                <w:i/>
                <w:iCs/>
                <w:color w:val="FFFFFF"/>
                <w:sz w:val="18"/>
                <w:szCs w:val="18"/>
              </w:rPr>
              <w:t>Contenidos</w:t>
            </w:r>
          </w:p>
          <w:p w14:paraId="2E308064"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15BA47C9" w14:textId="77777777" w:rsidR="00990B14" w:rsidRDefault="00000000">
            <w:pPr>
              <w:keepNext/>
              <w:spacing w:before="20" w:after="20"/>
              <w:jc w:val="center"/>
            </w:pPr>
            <w:r>
              <w:rPr>
                <w:b/>
                <w:bCs/>
                <w:i/>
                <w:iCs/>
                <w:color w:val="FFFFFF"/>
                <w:sz w:val="18"/>
                <w:szCs w:val="18"/>
              </w:rPr>
              <w:t>Conocimientos circunstanciales</w:t>
            </w:r>
          </w:p>
        </w:tc>
      </w:tr>
      <w:tr w:rsidR="00990B14" w14:paraId="20386581" w14:textId="77777777">
        <w:trPr>
          <w:jc w:val="center"/>
        </w:trPr>
        <w:tc>
          <w:tcPr>
            <w:tcW w:w="2349" w:type="dxa"/>
            <w:gridSpan w:val="2"/>
            <w:shd w:val="clear" w:color="auto" w:fill="D9E2F3"/>
          </w:tcPr>
          <w:p w14:paraId="630588A0" w14:textId="77777777" w:rsidR="00990B14" w:rsidRDefault="00000000">
            <w:pPr>
              <w:spacing w:before="20" w:after="40"/>
              <w:jc w:val="both"/>
            </w:pPr>
            <w:r>
              <w:rPr>
                <w:sz w:val="18"/>
                <w:szCs w:val="18"/>
              </w:rPr>
              <w:t>Tema 6: La planificación de la auditoría en entidades financieras</w:t>
            </w:r>
          </w:p>
          <w:p w14:paraId="66575B82" w14:textId="77777777" w:rsidR="00990B14" w:rsidRDefault="00000000">
            <w:pPr>
              <w:spacing w:before="20" w:after="40"/>
              <w:jc w:val="both"/>
            </w:pPr>
            <w:r>
              <w:rPr>
                <w:sz w:val="18"/>
                <w:szCs w:val="18"/>
              </w:rPr>
              <w:t>Tema 7: Respuesta a los riesgos de auditoría identificados</w:t>
            </w:r>
          </w:p>
        </w:tc>
        <w:tc>
          <w:tcPr>
            <w:tcW w:w="4304" w:type="dxa"/>
            <w:gridSpan w:val="8"/>
            <w:shd w:val="clear" w:color="auto" w:fill="D9E2F3"/>
          </w:tcPr>
          <w:p w14:paraId="405E6DF5" w14:textId="77777777" w:rsidR="00990B14" w:rsidRDefault="00000000">
            <w:pPr>
              <w:spacing w:after="40"/>
              <w:jc w:val="both"/>
            </w:pPr>
            <w:r>
              <w:rPr>
                <w:sz w:val="18"/>
                <w:szCs w:val="18"/>
              </w:rPr>
              <w:t>Consideraciones sobre la planificación de una auditoría en entidades financieras y relevamiento de las operaciones clave. (C)</w:t>
            </w:r>
          </w:p>
          <w:p w14:paraId="01AD20C8" w14:textId="77777777" w:rsidR="00990B14" w:rsidRDefault="00000000">
            <w:pPr>
              <w:spacing w:after="40"/>
              <w:jc w:val="both"/>
            </w:pPr>
            <w:r>
              <w:rPr>
                <w:sz w:val="18"/>
                <w:szCs w:val="18"/>
              </w:rPr>
              <w:t>Consideraciones sobre el control interno y la gestión de los riesgos en entidades financieras. (C)</w:t>
            </w:r>
          </w:p>
          <w:p w14:paraId="69CF44C9" w14:textId="77777777" w:rsidR="00990B14" w:rsidRDefault="00000000">
            <w:pPr>
              <w:spacing w:after="40"/>
              <w:jc w:val="both"/>
            </w:pPr>
            <w:r>
              <w:rPr>
                <w:sz w:val="18"/>
                <w:szCs w:val="18"/>
              </w:rPr>
              <w:t>Riesgos específicos en los estados financieros de entidades financieras. (C)</w:t>
            </w:r>
          </w:p>
          <w:p w14:paraId="4F8ED2B3" w14:textId="77777777" w:rsidR="00990B14" w:rsidRDefault="00000000">
            <w:pPr>
              <w:spacing w:after="40"/>
              <w:jc w:val="both"/>
            </w:pPr>
            <w:r>
              <w:rPr>
                <w:sz w:val="18"/>
                <w:szCs w:val="18"/>
              </w:rPr>
              <w:t>Valoración de los riesgos de incorrección material conforme a la NIA 315 (Revisada): entendimiento de la entidad, de su entorno y de su sistema de control interno. (C)</w:t>
            </w:r>
          </w:p>
          <w:p w14:paraId="3535FB4A" w14:textId="77777777" w:rsidR="00990B14" w:rsidRDefault="00000000">
            <w:pPr>
              <w:spacing w:after="40"/>
              <w:jc w:val="both"/>
            </w:pPr>
            <w:r>
              <w:rPr>
                <w:sz w:val="18"/>
                <w:szCs w:val="18"/>
              </w:rPr>
              <w:t>Auditoría de las estimaciones contables conforme a la NIA 540 revisada: previsiones de cartera, incluida la previsión específica, genérica y cíclica de la normativa de la ASFI, valuación de inversiones y provisiones. (C)</w:t>
            </w:r>
          </w:p>
          <w:p w14:paraId="72F60CB0" w14:textId="77777777" w:rsidR="00990B14" w:rsidRDefault="00000000">
            <w:pPr>
              <w:spacing w:after="40"/>
              <w:jc w:val="both"/>
            </w:pPr>
            <w:r>
              <w:rPr>
                <w:sz w:val="18"/>
                <w:szCs w:val="18"/>
              </w:rPr>
              <w:t>Identificación de los procesos críticos y revisión de la matriz de riesgo en entidades financieras. (P)</w:t>
            </w:r>
          </w:p>
          <w:p w14:paraId="6451AEBA" w14:textId="77777777" w:rsidR="00990B14" w:rsidRDefault="00000000">
            <w:pPr>
              <w:spacing w:after="40"/>
              <w:jc w:val="both"/>
            </w:pPr>
            <w:r>
              <w:rPr>
                <w:sz w:val="18"/>
                <w:szCs w:val="18"/>
              </w:rPr>
              <w:t>Consideración de los aspectos regulatorios y reglamentarios en la planificación de una auditoría financiera de entidades financieras. (C)</w:t>
            </w:r>
          </w:p>
          <w:p w14:paraId="2CA8F9E7" w14:textId="77777777" w:rsidR="00990B14" w:rsidRDefault="00000000">
            <w:pPr>
              <w:spacing w:after="40"/>
              <w:jc w:val="both"/>
            </w:pPr>
            <w:r>
              <w:rPr>
                <w:sz w:val="18"/>
                <w:szCs w:val="18"/>
              </w:rPr>
              <w:t>Responsabilidades del auditor respecto del fraude (NIA 240) y de la hipótesis de empresa en funcionamiento (NIA 570): liquidez, solvencia y planes de regularización. (C)</w:t>
            </w:r>
          </w:p>
          <w:p w14:paraId="6987CEB5" w14:textId="77777777" w:rsidR="00990B14" w:rsidRDefault="00000000">
            <w:pPr>
              <w:spacing w:after="40"/>
              <w:jc w:val="both"/>
            </w:pPr>
            <w:r>
              <w:rPr>
                <w:sz w:val="18"/>
                <w:szCs w:val="18"/>
              </w:rPr>
              <w:t>Revisión de la NIA 330 Respuesta del auditor a los riesgos valorados y de los procedimientos de auditoría. (P)</w:t>
            </w:r>
          </w:p>
          <w:p w14:paraId="1A11F403" w14:textId="77777777" w:rsidR="00990B14" w:rsidRDefault="00000000">
            <w:pPr>
              <w:spacing w:after="40"/>
              <w:jc w:val="both"/>
            </w:pPr>
            <w:r>
              <w:rPr>
                <w:sz w:val="18"/>
                <w:szCs w:val="18"/>
              </w:rPr>
              <w:t>Auditoría de grupos financieros y de entidades vinculadas conforme a la NIA 600 revisada. (C)</w:t>
            </w:r>
          </w:p>
          <w:p w14:paraId="3DCACD0A" w14:textId="77777777" w:rsidR="00990B14" w:rsidRDefault="00000000">
            <w:pPr>
              <w:spacing w:after="40"/>
              <w:jc w:val="both"/>
            </w:pPr>
            <w:r>
              <w:rPr>
                <w:sz w:val="18"/>
                <w:szCs w:val="18"/>
              </w:rPr>
              <w:t>Aplicación de pruebas de controles para los riesgos significativos y los procesos significativos. (P)</w:t>
            </w:r>
          </w:p>
          <w:p w14:paraId="2828CA15" w14:textId="77777777" w:rsidR="00990B14" w:rsidRDefault="00000000">
            <w:pPr>
              <w:spacing w:after="40"/>
              <w:jc w:val="both"/>
            </w:pPr>
            <w:r>
              <w:rPr>
                <w:sz w:val="18"/>
                <w:szCs w:val="18"/>
              </w:rPr>
              <w:t>Aplicación de pruebas sustantivas para saldos de cuentas, clases de transacción y revelaciones significativas. (P)</w:t>
            </w:r>
          </w:p>
          <w:p w14:paraId="3FDD4C1D" w14:textId="77777777" w:rsidR="00990B14" w:rsidRDefault="00000000">
            <w:pPr>
              <w:spacing w:after="40"/>
              <w:jc w:val="both"/>
            </w:pPr>
            <w:r>
              <w:rPr>
                <w:sz w:val="18"/>
                <w:szCs w:val="18"/>
              </w:rPr>
              <w:t>Fiabilidad de la información generada por la entidad (NIA 500), procedimientos analíticos y muestreo (NIA 520 y NIA 530), y uso del trabajo de auditoría interna (NIA 610) y de especialistas (NIA 620). (C, P)</w:t>
            </w:r>
          </w:p>
          <w:p w14:paraId="27BDCF20" w14:textId="77777777" w:rsidR="00990B14" w:rsidRDefault="00000000">
            <w:pPr>
              <w:spacing w:after="40"/>
              <w:jc w:val="both"/>
            </w:pPr>
            <w:r>
              <w:rPr>
                <w:sz w:val="18"/>
                <w:szCs w:val="18"/>
              </w:rPr>
              <w:t>Consideraciones para la aplicación de procedimientos de auditoría en fecha intermedia. (C, P)</w:t>
            </w:r>
          </w:p>
        </w:tc>
        <w:tc>
          <w:tcPr>
            <w:tcW w:w="2752" w:type="dxa"/>
            <w:gridSpan w:val="3"/>
            <w:shd w:val="clear" w:color="auto" w:fill="D9E2F3"/>
          </w:tcPr>
          <w:p w14:paraId="37BFC941" w14:textId="77777777" w:rsidR="00990B14" w:rsidRDefault="00000000">
            <w:pPr>
              <w:numPr>
                <w:ilvl w:val="0"/>
                <w:numId w:val="139"/>
              </w:numPr>
              <w:spacing w:before="10" w:after="10"/>
              <w:jc w:val="both"/>
            </w:pPr>
            <w:r>
              <w:rPr>
                <w:sz w:val="18"/>
                <w:szCs w:val="18"/>
              </w:rPr>
              <w:t>Nociones de los procedimientos de cobranza judicial y de ejecución de garantías de la cartera en mora.</w:t>
            </w:r>
          </w:p>
          <w:p w14:paraId="53989928" w14:textId="77777777" w:rsidR="00990B14" w:rsidRDefault="00000000">
            <w:pPr>
              <w:numPr>
                <w:ilvl w:val="0"/>
                <w:numId w:val="139"/>
              </w:numPr>
              <w:spacing w:before="10" w:after="10"/>
              <w:jc w:val="both"/>
            </w:pPr>
            <w:r>
              <w:rPr>
                <w:sz w:val="18"/>
                <w:szCs w:val="18"/>
              </w:rPr>
              <w:t>Normas Internacionales de Auditoría adoptadas y vigentes en Bolivia según el CAUB/CTNAC (versiones de las NIA 315, 540 y 600 y de las Normas Internacionales de Gestión de la Calidad).</w:t>
            </w:r>
          </w:p>
        </w:tc>
      </w:tr>
      <w:tr w:rsidR="00990B14" w14:paraId="04E120F3" w14:textId="77777777">
        <w:trPr>
          <w:cantSplit/>
          <w:jc w:val="center"/>
        </w:trPr>
        <w:tc>
          <w:tcPr>
            <w:tcW w:w="9405" w:type="dxa"/>
            <w:gridSpan w:val="13"/>
            <w:shd w:val="clear" w:color="auto" w:fill="D9E2F3"/>
            <w:vAlign w:val="center"/>
          </w:tcPr>
          <w:p w14:paraId="2E9AD4C4" w14:textId="77777777" w:rsidR="00990B14" w:rsidRDefault="00000000">
            <w:pPr>
              <w:spacing w:before="20" w:after="20"/>
              <w:jc w:val="both"/>
            </w:pPr>
            <w:r>
              <w:rPr>
                <w:b/>
                <w:bCs/>
                <w:i/>
                <w:iCs/>
                <w:sz w:val="18"/>
                <w:szCs w:val="18"/>
              </w:rPr>
              <w:t xml:space="preserve">Elemento de competencia 4: </w:t>
            </w:r>
            <w:r>
              <w:rPr>
                <w:sz w:val="18"/>
                <w:szCs w:val="18"/>
              </w:rPr>
              <w:t>Evalúa el cumplimiento de la normativa de prevención de legitimación de ganancias ilícitas y financiamiento del terrorismo, así como el entorno de tecnología de información, los controles generales y de aplicación, la ciberseguridad y la continuidad del negocio de un banco boliviano; determina sus efectos en los riesgos de incorrección material, aplica técnicas de análisis de datos y comunica los resultados conforme a las Normas Internacionales de Auditoría vigentes en Bolivia y a los requerimientos de la UIF y la ASFI.</w:t>
            </w:r>
          </w:p>
        </w:tc>
      </w:tr>
      <w:tr w:rsidR="00990B14" w14:paraId="350B164E" w14:textId="77777777">
        <w:trPr>
          <w:cantSplit/>
          <w:jc w:val="center"/>
        </w:trPr>
        <w:tc>
          <w:tcPr>
            <w:tcW w:w="3133" w:type="dxa"/>
            <w:gridSpan w:val="4"/>
            <w:shd w:val="clear" w:color="auto" w:fill="4472C4"/>
            <w:vAlign w:val="center"/>
          </w:tcPr>
          <w:p w14:paraId="4BB9B12A"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2DCE7C83"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658B88C7" w14:textId="77777777" w:rsidR="00990B14" w:rsidRDefault="00000000">
            <w:pPr>
              <w:keepNext/>
              <w:spacing w:before="20" w:after="20"/>
              <w:jc w:val="center"/>
            </w:pPr>
            <w:r>
              <w:rPr>
                <w:b/>
                <w:bCs/>
                <w:i/>
                <w:iCs/>
                <w:color w:val="FFFFFF"/>
                <w:sz w:val="18"/>
                <w:szCs w:val="18"/>
              </w:rPr>
              <w:t>Evidencias de producto</w:t>
            </w:r>
          </w:p>
        </w:tc>
      </w:tr>
      <w:tr w:rsidR="00990B14" w14:paraId="68F1D228" w14:textId="77777777">
        <w:trPr>
          <w:cantSplit/>
          <w:jc w:val="center"/>
        </w:trPr>
        <w:tc>
          <w:tcPr>
            <w:tcW w:w="3133" w:type="dxa"/>
            <w:gridSpan w:val="4"/>
            <w:vMerge w:val="restart"/>
            <w:shd w:val="clear" w:color="auto" w:fill="D9E2F3"/>
            <w:vAlign w:val="center"/>
          </w:tcPr>
          <w:p w14:paraId="05638A47" w14:textId="77777777" w:rsidR="00990B14" w:rsidRDefault="00000000">
            <w:pPr>
              <w:spacing w:before="20" w:after="20"/>
              <w:jc w:val="both"/>
            </w:pPr>
            <w:r>
              <w:rPr>
                <w:sz w:val="18"/>
                <w:szCs w:val="18"/>
              </w:rPr>
              <w:t>1. Evalúa, con enfoque basado en riesgos, el cumplimiento de la normativa de la UIF aplicable a una entidad financiera supervisada por ASFI y de los requerimientos de seguridad de la información relacionados con el encargo; aplica procedimientos de auditoría, documenta los incumplimientos y deficiencias identificados, valora sus efectos y comunica los resultados a los destinatarios establecidos por la normativa aplicable.</w:t>
            </w:r>
          </w:p>
        </w:tc>
        <w:tc>
          <w:tcPr>
            <w:tcW w:w="3135" w:type="dxa"/>
            <w:gridSpan w:val="5"/>
            <w:shd w:val="clear" w:color="auto" w:fill="D9E2F3"/>
            <w:vAlign w:val="center"/>
          </w:tcPr>
          <w:p w14:paraId="56BC7466" w14:textId="77777777" w:rsidR="00990B14" w:rsidRDefault="00000000">
            <w:pPr>
              <w:spacing w:before="20" w:after="20"/>
              <w:jc w:val="both"/>
            </w:pPr>
            <w:r>
              <w:rPr>
                <w:sz w:val="18"/>
                <w:szCs w:val="18"/>
              </w:rPr>
              <w:t>1.1 Evalúa, a partir de un caso de una entidad financiera, el diseño y la aplicación de los controles para la prevención de legitimación de ganancias ilícitas y financiamiento del terrorismo; identifica los factores y señales de riesgo, selecciona operaciones y clientes para revisión, aplica procedimientos de cumplimiento, documenta las excepciones y formula hallazgos sustentados en la normativa de la UIF.</w:t>
            </w:r>
          </w:p>
        </w:tc>
        <w:tc>
          <w:tcPr>
            <w:tcW w:w="3137" w:type="dxa"/>
            <w:gridSpan w:val="4"/>
            <w:shd w:val="clear" w:color="auto" w:fill="D9E2F3"/>
            <w:vAlign w:val="center"/>
          </w:tcPr>
          <w:p w14:paraId="16CA4626" w14:textId="77777777" w:rsidR="00990B14" w:rsidRDefault="00000000">
            <w:pPr>
              <w:spacing w:before="20" w:after="20"/>
              <w:jc w:val="both"/>
            </w:pPr>
            <w:r>
              <w:rPr>
                <w:b/>
                <w:bCs/>
                <w:sz w:val="18"/>
                <w:szCs w:val="18"/>
              </w:rPr>
              <w:t xml:space="preserve">Producto 13: </w:t>
            </w:r>
            <w:r>
              <w:rPr>
                <w:sz w:val="18"/>
                <w:szCs w:val="18"/>
              </w:rPr>
              <w:t>Papel de trabajo de evaluación del cumplimiento de la normativa de la UIF que incluya el alcance, la población y selección revisada, los riesgos y controles evaluados, los procedimientos aplicados, la evidencia obtenida, las excepciones y hallazgos con condición, criterio, causa, efecto y recomendación, la respuesta de la entidad y la conclusión de cumplimiento.</w:t>
            </w:r>
          </w:p>
        </w:tc>
      </w:tr>
      <w:tr w:rsidR="00990B14" w14:paraId="035725F3" w14:textId="77777777">
        <w:trPr>
          <w:cantSplit/>
          <w:jc w:val="center"/>
        </w:trPr>
        <w:tc>
          <w:tcPr>
            <w:tcW w:w="3133" w:type="dxa"/>
            <w:gridSpan w:val="4"/>
            <w:vMerge/>
            <w:shd w:val="clear" w:color="auto" w:fill="D9E2F3"/>
            <w:vAlign w:val="center"/>
          </w:tcPr>
          <w:p w14:paraId="201824C5" w14:textId="77777777" w:rsidR="00990B14" w:rsidRDefault="00990B14">
            <w:pPr>
              <w:spacing w:before="20" w:after="20"/>
            </w:pPr>
          </w:p>
        </w:tc>
        <w:tc>
          <w:tcPr>
            <w:tcW w:w="3135" w:type="dxa"/>
            <w:gridSpan w:val="5"/>
            <w:shd w:val="clear" w:color="auto" w:fill="D9E2F3"/>
            <w:vAlign w:val="center"/>
          </w:tcPr>
          <w:p w14:paraId="5947640B" w14:textId="77777777" w:rsidR="00990B14" w:rsidRDefault="00000000">
            <w:pPr>
              <w:spacing w:before="20" w:after="20"/>
              <w:jc w:val="both"/>
            </w:pPr>
            <w:r>
              <w:rPr>
                <w:sz w:val="18"/>
                <w:szCs w:val="18"/>
              </w:rPr>
              <w:t>1.2 Evalúa los resultados del trabajo, determina el efecto de las incorrecciones y deficiencias identificadas, y prepara, según corresponda al caso, el borrador del informe del auditor sobre los estados financieros, la sección de cuestiones clave de auditoría y las comunicaciones o informes reglamentarios exigidos por la ASFI y la UIF, comprobando que cada documento responda a su marco normativo, propósito y destinatario.</w:t>
            </w:r>
          </w:p>
        </w:tc>
        <w:tc>
          <w:tcPr>
            <w:tcW w:w="3137" w:type="dxa"/>
            <w:gridSpan w:val="4"/>
            <w:shd w:val="clear" w:color="auto" w:fill="D9E2F3"/>
            <w:vAlign w:val="center"/>
          </w:tcPr>
          <w:p w14:paraId="22D5E8F8" w14:textId="77777777" w:rsidR="00990B14" w:rsidRDefault="00000000">
            <w:pPr>
              <w:spacing w:before="20" w:after="20"/>
              <w:jc w:val="both"/>
            </w:pPr>
            <w:r>
              <w:rPr>
                <w:b/>
                <w:bCs/>
                <w:sz w:val="18"/>
                <w:szCs w:val="18"/>
              </w:rPr>
              <w:t xml:space="preserve">Producto 14: </w:t>
            </w:r>
            <w:r>
              <w:rPr>
                <w:sz w:val="18"/>
                <w:szCs w:val="18"/>
              </w:rPr>
              <w:t>Expediente de comunicación de resultados que contenga, según corresponda al caso, el informe del auditor sobre los estados financieros, la sección de cuestiones clave de auditoría, los informes o comunicaciones reglamentarias exigidas por la ASFI y la UIF, la matriz de asuntos identificados con su tratamiento en cada documento y las referencias cruzadas con la evidencia de auditoría que sustenta las conclusiones.</w:t>
            </w:r>
          </w:p>
        </w:tc>
      </w:tr>
      <w:tr w:rsidR="00990B14" w14:paraId="36FBEDBD" w14:textId="77777777">
        <w:trPr>
          <w:cantSplit/>
          <w:jc w:val="center"/>
        </w:trPr>
        <w:tc>
          <w:tcPr>
            <w:tcW w:w="3133" w:type="dxa"/>
            <w:gridSpan w:val="4"/>
            <w:vMerge w:val="restart"/>
            <w:shd w:val="clear" w:color="auto" w:fill="D9E2F3"/>
            <w:vAlign w:val="center"/>
          </w:tcPr>
          <w:p w14:paraId="41578311" w14:textId="77777777" w:rsidR="00990B14" w:rsidRDefault="00000000">
            <w:pPr>
              <w:spacing w:before="20" w:after="20"/>
              <w:jc w:val="both"/>
            </w:pPr>
            <w:r>
              <w:rPr>
                <w:sz w:val="18"/>
                <w:szCs w:val="18"/>
              </w:rPr>
              <w:t>2. Evalúa el entorno de tecnología de información de una entidad financiera, los controles generales y de aplicación, la gestión de ciberseguridad y la continuidad del negocio; identifica las aplicaciones, bases de datos, interfaces, canales digitales y proveedores críticos, prueba los controles relevantes y determina el efecto de las deficiencias sobre la fiabilidad de la información, los riesgos de incorrección material y la respuesta de auditoría, utilizando técnicas de análisis de datos conforme a las NIA 315, 330 y 500.</w:t>
            </w:r>
          </w:p>
        </w:tc>
        <w:tc>
          <w:tcPr>
            <w:tcW w:w="3135" w:type="dxa"/>
            <w:gridSpan w:val="5"/>
            <w:shd w:val="clear" w:color="auto" w:fill="D9E2F3"/>
            <w:vAlign w:val="center"/>
          </w:tcPr>
          <w:p w14:paraId="554BE7F5" w14:textId="77777777" w:rsidR="00990B14" w:rsidRDefault="00000000">
            <w:pPr>
              <w:spacing w:before="20" w:after="20"/>
              <w:jc w:val="both"/>
            </w:pPr>
            <w:r>
              <w:rPr>
                <w:sz w:val="18"/>
                <w:szCs w:val="18"/>
              </w:rPr>
              <w:t>2.1 Elabora, a partir de un caso de una entidad financiera, la matriz de riesgos de tecnología de información; identifica los procesos, aplicaciones, bases de datos, interfaces, canales y proveedores críticos, relaciona los riesgos con los controles generales y de aplicación, prueba el diseño y la implementación de los controles relevantes y concluye sobre el efecto de las deficiencias en los estados financieros y en la estrategia de auditoría.</w:t>
            </w:r>
          </w:p>
        </w:tc>
        <w:tc>
          <w:tcPr>
            <w:tcW w:w="3137" w:type="dxa"/>
            <w:gridSpan w:val="4"/>
            <w:shd w:val="clear" w:color="auto" w:fill="D9E2F3"/>
            <w:vAlign w:val="center"/>
          </w:tcPr>
          <w:p w14:paraId="5C0E9877" w14:textId="77777777" w:rsidR="00990B14" w:rsidRDefault="00000000">
            <w:pPr>
              <w:spacing w:before="20" w:after="20"/>
              <w:jc w:val="both"/>
            </w:pPr>
            <w:r>
              <w:rPr>
                <w:b/>
                <w:bCs/>
                <w:sz w:val="18"/>
                <w:szCs w:val="18"/>
              </w:rPr>
              <w:t xml:space="preserve">Producto 15: </w:t>
            </w:r>
            <w:r>
              <w:rPr>
                <w:sz w:val="18"/>
                <w:szCs w:val="18"/>
              </w:rPr>
              <w:t>Matriz de riesgos y controles de tecnología de información que relacione los procesos y rubros financieros con las aplicaciones, bases de datos, interfaces, canales digitales y proveedores críticos; incluya los riesgos, controles generales y de aplicación, responsables, frecuencia, pruebas de diseño e implementación, excepciones y la conclusión sobre su efecto en la fiabilidad de la información y en la estrategia de auditoría.</w:t>
            </w:r>
          </w:p>
        </w:tc>
      </w:tr>
      <w:tr w:rsidR="00990B14" w14:paraId="4724D1FA" w14:textId="77777777">
        <w:trPr>
          <w:cantSplit/>
          <w:jc w:val="center"/>
        </w:trPr>
        <w:tc>
          <w:tcPr>
            <w:tcW w:w="3133" w:type="dxa"/>
            <w:gridSpan w:val="4"/>
            <w:vMerge/>
            <w:shd w:val="clear" w:color="auto" w:fill="D9E2F3"/>
            <w:vAlign w:val="center"/>
          </w:tcPr>
          <w:p w14:paraId="79DC43B3" w14:textId="77777777" w:rsidR="00990B14" w:rsidRDefault="00990B14">
            <w:pPr>
              <w:spacing w:before="20" w:after="20"/>
            </w:pPr>
          </w:p>
        </w:tc>
        <w:tc>
          <w:tcPr>
            <w:tcW w:w="3135" w:type="dxa"/>
            <w:gridSpan w:val="5"/>
            <w:shd w:val="clear" w:color="auto" w:fill="D9E2F3"/>
            <w:vAlign w:val="center"/>
          </w:tcPr>
          <w:p w14:paraId="121E1447" w14:textId="77777777" w:rsidR="00990B14" w:rsidRDefault="00000000">
            <w:pPr>
              <w:spacing w:before="20" w:after="20"/>
              <w:jc w:val="both"/>
            </w:pPr>
            <w:r>
              <w:rPr>
                <w:sz w:val="18"/>
                <w:szCs w:val="18"/>
              </w:rPr>
              <w:t>2.2 Diseña y ejecuta, sobre bases de cartera de créditos y depósitos, procedimientos de análisis de datos para comprobar la integridad y exactitud de la población e identificar duplicados, concentraciones, operaciones atípicas, cuentas inactivas, inconsistencias en mora, intereses y previsiones, y señales de alerta de fraude o incumplimiento; investiga las excepciones y documenta su efecto en los riesgos y procedimientos de auditoría.</w:t>
            </w:r>
          </w:p>
        </w:tc>
        <w:tc>
          <w:tcPr>
            <w:tcW w:w="3137" w:type="dxa"/>
            <w:gridSpan w:val="4"/>
            <w:shd w:val="clear" w:color="auto" w:fill="D9E2F3"/>
            <w:vAlign w:val="center"/>
          </w:tcPr>
          <w:p w14:paraId="26FCB126" w14:textId="77777777" w:rsidR="00990B14" w:rsidRDefault="00000000">
            <w:pPr>
              <w:spacing w:before="20" w:after="20"/>
              <w:jc w:val="both"/>
            </w:pPr>
            <w:r>
              <w:rPr>
                <w:b/>
                <w:bCs/>
                <w:sz w:val="18"/>
                <w:szCs w:val="18"/>
              </w:rPr>
              <w:t xml:space="preserve">Producto 16: </w:t>
            </w:r>
            <w:r>
              <w:rPr>
                <w:sz w:val="18"/>
                <w:szCs w:val="18"/>
              </w:rPr>
              <w:t>Papel de trabajo de análisis de datos de cartera de créditos y depósitos que incluya el objetivo, la fuente y conciliación de las bases, las pruebas de integridad y exactitud, los criterios y consultas aplicados, los resultados reproducibles, las anomalías y señales de alerta identificadas, la investigación de excepciones, la cuantificación de sus efectos y la conclusión sobre los riesgos y procedimientos adicionales de auditoría.</w:t>
            </w:r>
          </w:p>
        </w:tc>
      </w:tr>
      <w:tr w:rsidR="00990B14" w14:paraId="6B54A727" w14:textId="77777777">
        <w:trPr>
          <w:cantSplit/>
          <w:jc w:val="center"/>
        </w:trPr>
        <w:tc>
          <w:tcPr>
            <w:tcW w:w="9405" w:type="dxa"/>
            <w:gridSpan w:val="13"/>
            <w:shd w:val="clear" w:color="auto" w:fill="4472C4"/>
            <w:vAlign w:val="center"/>
          </w:tcPr>
          <w:p w14:paraId="6A982F1F" w14:textId="77777777" w:rsidR="00990B14" w:rsidRDefault="00000000">
            <w:pPr>
              <w:keepNext/>
              <w:spacing w:before="20" w:after="20"/>
              <w:jc w:val="center"/>
            </w:pPr>
            <w:r>
              <w:rPr>
                <w:b/>
                <w:bCs/>
                <w:i/>
                <w:iCs/>
                <w:color w:val="FFFFFF"/>
                <w:sz w:val="18"/>
                <w:szCs w:val="18"/>
              </w:rPr>
              <w:t>Evidencias de conocimiento</w:t>
            </w:r>
          </w:p>
        </w:tc>
      </w:tr>
      <w:tr w:rsidR="00990B14" w14:paraId="392A0FFD" w14:textId="77777777">
        <w:trPr>
          <w:cantSplit/>
          <w:jc w:val="center"/>
        </w:trPr>
        <w:tc>
          <w:tcPr>
            <w:tcW w:w="2349" w:type="dxa"/>
            <w:gridSpan w:val="2"/>
            <w:shd w:val="clear" w:color="auto" w:fill="4472C4"/>
            <w:vAlign w:val="center"/>
          </w:tcPr>
          <w:p w14:paraId="299D7CC7"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19C8B0A4" w14:textId="77777777" w:rsidR="00990B14" w:rsidRDefault="00000000">
            <w:pPr>
              <w:keepNext/>
              <w:spacing w:before="20" w:after="20"/>
              <w:jc w:val="both"/>
            </w:pPr>
            <w:r>
              <w:rPr>
                <w:b/>
                <w:bCs/>
                <w:i/>
                <w:iCs/>
                <w:color w:val="FFFFFF"/>
                <w:sz w:val="18"/>
                <w:szCs w:val="18"/>
              </w:rPr>
              <w:t>Contenidos</w:t>
            </w:r>
          </w:p>
          <w:p w14:paraId="432D4EF5"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3C3ADC81" w14:textId="77777777" w:rsidR="00990B14" w:rsidRDefault="00000000">
            <w:pPr>
              <w:keepNext/>
              <w:spacing w:before="20" w:after="20"/>
              <w:jc w:val="center"/>
            </w:pPr>
            <w:r>
              <w:rPr>
                <w:b/>
                <w:bCs/>
                <w:i/>
                <w:iCs/>
                <w:color w:val="FFFFFF"/>
                <w:sz w:val="18"/>
                <w:szCs w:val="18"/>
              </w:rPr>
              <w:t>Conocimientos circunstanciales</w:t>
            </w:r>
          </w:p>
        </w:tc>
      </w:tr>
      <w:tr w:rsidR="00990B14" w14:paraId="0B519C87" w14:textId="77777777">
        <w:trPr>
          <w:jc w:val="center"/>
        </w:trPr>
        <w:tc>
          <w:tcPr>
            <w:tcW w:w="2349" w:type="dxa"/>
            <w:gridSpan w:val="2"/>
            <w:shd w:val="clear" w:color="auto" w:fill="D9E2F3"/>
          </w:tcPr>
          <w:p w14:paraId="1DB42F8F" w14:textId="77777777" w:rsidR="00990B14" w:rsidRDefault="00000000">
            <w:pPr>
              <w:spacing w:before="20" w:after="40"/>
              <w:jc w:val="both"/>
            </w:pPr>
            <w:r>
              <w:rPr>
                <w:sz w:val="18"/>
                <w:szCs w:val="18"/>
              </w:rPr>
              <w:t>Tema 8: Cumplimiento de obligaciones de la Unidad de Investigaciones Financieras</w:t>
            </w:r>
          </w:p>
          <w:p w14:paraId="249141D7" w14:textId="77777777" w:rsidR="00990B14" w:rsidRDefault="00000000">
            <w:pPr>
              <w:spacing w:before="20" w:after="40"/>
              <w:jc w:val="both"/>
            </w:pPr>
            <w:r>
              <w:rPr>
                <w:sz w:val="18"/>
                <w:szCs w:val="18"/>
              </w:rPr>
              <w:t>Tema 9: Auditoría en entorno de tecnología de información y ciberseguridad</w:t>
            </w:r>
          </w:p>
          <w:p w14:paraId="7397941E" w14:textId="77777777" w:rsidR="00990B14" w:rsidRDefault="00000000">
            <w:pPr>
              <w:spacing w:before="20" w:after="40"/>
              <w:jc w:val="both"/>
            </w:pPr>
            <w:r>
              <w:rPr>
                <w:sz w:val="18"/>
                <w:szCs w:val="18"/>
              </w:rPr>
              <w:t>Tema 10: Comunicación de resultados</w:t>
            </w:r>
          </w:p>
        </w:tc>
        <w:tc>
          <w:tcPr>
            <w:tcW w:w="4304" w:type="dxa"/>
            <w:gridSpan w:val="8"/>
            <w:shd w:val="clear" w:color="auto" w:fill="D9E2F3"/>
          </w:tcPr>
          <w:p w14:paraId="191A39E3" w14:textId="77777777" w:rsidR="00990B14" w:rsidRDefault="00000000">
            <w:pPr>
              <w:spacing w:after="40"/>
              <w:jc w:val="both"/>
            </w:pPr>
            <w:r>
              <w:rPr>
                <w:sz w:val="18"/>
                <w:szCs w:val="18"/>
              </w:rPr>
              <w:t>Normas desarrolladas por la Unidad de Investigaciones Financieras para entidades financieras. (C)</w:t>
            </w:r>
          </w:p>
          <w:p w14:paraId="1E2B7E07" w14:textId="77777777" w:rsidR="00990B14" w:rsidRDefault="00000000">
            <w:pPr>
              <w:spacing w:after="40"/>
              <w:jc w:val="both"/>
            </w:pPr>
            <w:r>
              <w:rPr>
                <w:sz w:val="18"/>
                <w:szCs w:val="18"/>
              </w:rPr>
              <w:t>Técnicas de revisión del cumplimiento de las normas relativas a la Unidad de Investigaciones Financieras. (C, P)</w:t>
            </w:r>
          </w:p>
          <w:p w14:paraId="058E8DBD" w14:textId="77777777" w:rsidR="00990B14" w:rsidRDefault="00000000">
            <w:pPr>
              <w:spacing w:after="40"/>
              <w:jc w:val="both"/>
            </w:pPr>
            <w:r>
              <w:rPr>
                <w:sz w:val="18"/>
                <w:szCs w:val="18"/>
              </w:rPr>
              <w:t>Procedimientos de auditoría aplicables al riesgo de legitimación de ganancias ilícitas y financiamiento al terrorismo. (P)</w:t>
            </w:r>
          </w:p>
          <w:p w14:paraId="48E0522B" w14:textId="77777777" w:rsidR="00990B14" w:rsidRDefault="00000000">
            <w:pPr>
              <w:spacing w:after="40"/>
              <w:jc w:val="both"/>
            </w:pPr>
            <w:r>
              <w:rPr>
                <w:sz w:val="18"/>
                <w:szCs w:val="18"/>
              </w:rPr>
              <w:t>Relevamiento del entorno de tecnología de información conforme a la NIA 315 (Revisada), identificando aplicaciones, bases de datos, interfaces, canales digitales y proveedores críticos y relacionándolos con los riesgos de auditoría. (C, P, T)</w:t>
            </w:r>
          </w:p>
          <w:p w14:paraId="60BD1289" w14:textId="77777777" w:rsidR="00990B14" w:rsidRDefault="00000000">
            <w:pPr>
              <w:spacing w:after="40"/>
              <w:jc w:val="both"/>
            </w:pPr>
            <w:r>
              <w:rPr>
                <w:sz w:val="18"/>
                <w:szCs w:val="18"/>
              </w:rPr>
              <w:t>Controles generales de tecnología de información (accesos, cambios en los programas, operaciones y continuidad) y controles automatizados de aplicación: cálculo de intereses, clasificación de cartera y previsiones. (C, P, T)</w:t>
            </w:r>
          </w:p>
          <w:p w14:paraId="507D0695" w14:textId="77777777" w:rsidR="00990B14" w:rsidRDefault="00000000">
            <w:pPr>
              <w:spacing w:after="40"/>
              <w:jc w:val="both"/>
            </w:pPr>
            <w:r>
              <w:rPr>
                <w:sz w:val="18"/>
                <w:szCs w:val="18"/>
              </w:rPr>
              <w:t>Fiabilidad de la información generada por los sistemas (NIA 500) y uso de informes de organizaciones de servicios (NIA 402). (C, P)</w:t>
            </w:r>
          </w:p>
          <w:p w14:paraId="677262C9" w14:textId="77777777" w:rsidR="00990B14" w:rsidRDefault="00000000">
            <w:pPr>
              <w:spacing w:after="40"/>
              <w:jc w:val="both"/>
            </w:pPr>
            <w:r>
              <w:rPr>
                <w:sz w:val="18"/>
                <w:szCs w:val="18"/>
              </w:rPr>
              <w:t>Consideraciones sobre el Reglamento de Gestión de Seguridad de la Información. (C)</w:t>
            </w:r>
          </w:p>
          <w:p w14:paraId="2A449F00" w14:textId="77777777" w:rsidR="00990B14" w:rsidRDefault="00000000">
            <w:pPr>
              <w:spacing w:after="40"/>
              <w:jc w:val="both"/>
            </w:pPr>
            <w:r>
              <w:rPr>
                <w:sz w:val="18"/>
                <w:szCs w:val="18"/>
              </w:rPr>
              <w:t>Evaluación de incidentes de ciberseguridad y de los controles generales de tecnología de información de los sistemas de la entidad. (C, P, T)</w:t>
            </w:r>
          </w:p>
          <w:p w14:paraId="25947EA5" w14:textId="77777777" w:rsidR="00990B14" w:rsidRDefault="00000000">
            <w:pPr>
              <w:spacing w:after="40"/>
              <w:jc w:val="both"/>
            </w:pPr>
            <w:r>
              <w:rPr>
                <w:sz w:val="18"/>
                <w:szCs w:val="18"/>
              </w:rPr>
              <w:t>Consideraciones sobre las pruebas realizadas a los planes de contingencias tecnológicas y de continuidad del negocio y sobre el cumplimiento de las políticas y procedimientos relativos a la protección de datos. (C, P)</w:t>
            </w:r>
          </w:p>
          <w:p w14:paraId="4CCB49E5" w14:textId="77777777" w:rsidR="00990B14" w:rsidRDefault="00000000">
            <w:pPr>
              <w:spacing w:after="40"/>
              <w:jc w:val="both"/>
            </w:pPr>
            <w:r>
              <w:rPr>
                <w:sz w:val="18"/>
                <w:szCs w:val="18"/>
              </w:rPr>
              <w:t>Riesgo tecnológico dentro de la gestión del riesgo operativo conforme a las directrices de la ASFI, y resiliencia operativa. (C)</w:t>
            </w:r>
          </w:p>
          <w:p w14:paraId="2DDEBABF" w14:textId="77777777" w:rsidR="00990B14" w:rsidRDefault="00000000">
            <w:pPr>
              <w:spacing w:after="40"/>
              <w:jc w:val="both"/>
            </w:pPr>
            <w:r>
              <w:rPr>
                <w:sz w:val="18"/>
                <w:szCs w:val="18"/>
              </w:rPr>
              <w:t>Análisis de datos aplicado a la auditoría de tecnología de información, al fraude y a las señales de alerta de la UIF: recálculo de intereses, días de mora y previsiones, duplicados, concentración, asientos manuales atípicos y cuentas inactivas. (P, T)</w:t>
            </w:r>
          </w:p>
          <w:p w14:paraId="54AF0215" w14:textId="77777777" w:rsidR="00990B14" w:rsidRDefault="00000000">
            <w:pPr>
              <w:spacing w:after="40"/>
              <w:jc w:val="both"/>
            </w:pPr>
            <w:r>
              <w:rPr>
                <w:sz w:val="18"/>
                <w:szCs w:val="18"/>
              </w:rPr>
              <w:t>Uso del trabajo de especialistas en tecnología de información conforme a la NIA 620 y aplicación introductoria de los marcos COBIT e ISO/IEC 27001 para evaluar riesgos y controles. (C, P)</w:t>
            </w:r>
          </w:p>
          <w:p w14:paraId="58EFD185" w14:textId="77777777" w:rsidR="00990B14" w:rsidRDefault="00000000">
            <w:pPr>
              <w:spacing w:after="40"/>
              <w:jc w:val="both"/>
            </w:pPr>
            <w:r>
              <w:rPr>
                <w:sz w:val="18"/>
                <w:szCs w:val="18"/>
              </w:rPr>
              <w:t>El proceso de evaluación de las conclusiones de auditoría y el establecimiento de hallazgos. (P)</w:t>
            </w:r>
          </w:p>
          <w:p w14:paraId="0345B8C2" w14:textId="77777777" w:rsidR="00990B14" w:rsidRDefault="00000000">
            <w:pPr>
              <w:spacing w:after="40"/>
              <w:jc w:val="both"/>
            </w:pPr>
            <w:r>
              <w:rPr>
                <w:sz w:val="18"/>
                <w:szCs w:val="18"/>
              </w:rPr>
              <w:t>Contenido del informe de auditoría y contenido de los informes reglamentarios y regulatorios específicos. (C)</w:t>
            </w:r>
          </w:p>
          <w:p w14:paraId="24CD8AFF" w14:textId="77777777" w:rsidR="00990B14" w:rsidRDefault="00000000">
            <w:pPr>
              <w:spacing w:after="40"/>
              <w:jc w:val="both"/>
            </w:pPr>
            <w:r>
              <w:rPr>
                <w:sz w:val="18"/>
                <w:szCs w:val="18"/>
              </w:rPr>
              <w:t>Evaluación y comunicación objetiva de las cuestiones clave de auditoría en el informe de las entidades que emiten valores, manteniendo el juicio profesional y la independencia. (C, P, A)</w:t>
            </w:r>
          </w:p>
          <w:p w14:paraId="7C5A2C08" w14:textId="77777777" w:rsidR="00990B14" w:rsidRDefault="00000000">
            <w:pPr>
              <w:spacing w:after="40"/>
              <w:jc w:val="both"/>
            </w:pPr>
            <w:r>
              <w:rPr>
                <w:sz w:val="18"/>
                <w:szCs w:val="18"/>
              </w:rPr>
              <w:t>Comunicaciones con la autoridad de regulación. (C)</w:t>
            </w:r>
          </w:p>
        </w:tc>
        <w:tc>
          <w:tcPr>
            <w:tcW w:w="2752" w:type="dxa"/>
            <w:gridSpan w:val="3"/>
            <w:shd w:val="clear" w:color="auto" w:fill="D9E2F3"/>
          </w:tcPr>
          <w:p w14:paraId="2A58261E" w14:textId="77777777" w:rsidR="00990B14" w:rsidRDefault="00000000">
            <w:pPr>
              <w:numPr>
                <w:ilvl w:val="0"/>
                <w:numId w:val="139"/>
              </w:numPr>
              <w:spacing w:before="10" w:after="10"/>
              <w:jc w:val="both"/>
            </w:pPr>
            <w:r>
              <w:rPr>
                <w:sz w:val="18"/>
                <w:szCs w:val="18"/>
              </w:rPr>
              <w:t>Nociones del funcionamiento de las plataformas de banca electrónica y de sus registros de transacciones.</w:t>
            </w:r>
          </w:p>
          <w:p w14:paraId="12BB2671" w14:textId="77777777" w:rsidR="00990B14" w:rsidRDefault="00000000">
            <w:pPr>
              <w:numPr>
                <w:ilvl w:val="0"/>
                <w:numId w:val="139"/>
              </w:numPr>
              <w:spacing w:before="10" w:after="10"/>
              <w:jc w:val="both"/>
            </w:pPr>
            <w:r>
              <w:rPr>
                <w:sz w:val="18"/>
                <w:szCs w:val="18"/>
              </w:rPr>
              <w:t>Normativa de la Unidad de Investigaciones Financieras sobre prevención de la legitimación de ganancias ilícitas y el financiamiento al terrorismo.</w:t>
            </w:r>
          </w:p>
          <w:p w14:paraId="30BE72DA" w14:textId="77777777" w:rsidR="00990B14" w:rsidRDefault="00000000">
            <w:pPr>
              <w:numPr>
                <w:ilvl w:val="0"/>
                <w:numId w:val="139"/>
              </w:numPr>
              <w:spacing w:before="10" w:after="10"/>
              <w:jc w:val="both"/>
            </w:pPr>
            <w:r>
              <w:rPr>
                <w:sz w:val="18"/>
                <w:szCs w:val="18"/>
              </w:rPr>
              <w:t>Reglamento de Gestión de Seguridad de la Información emitido por la ASFI.</w:t>
            </w:r>
          </w:p>
          <w:p w14:paraId="1548D8B5" w14:textId="77777777" w:rsidR="00990B14" w:rsidRDefault="00000000">
            <w:pPr>
              <w:numPr>
                <w:ilvl w:val="0"/>
                <w:numId w:val="139"/>
              </w:numPr>
              <w:spacing w:before="10" w:after="10"/>
              <w:jc w:val="both"/>
            </w:pPr>
            <w:r>
              <w:rPr>
                <w:sz w:val="18"/>
                <w:szCs w:val="18"/>
              </w:rPr>
              <w:t>Normativa vigente de la ASFI y del Banco Central de Bolivia sobre instrumentos electrónicos de pago, cajeros automáticos y puntos de atención financiera.</w:t>
            </w:r>
          </w:p>
          <w:p w14:paraId="26AE647B" w14:textId="77777777" w:rsidR="00990B14" w:rsidRDefault="00000000">
            <w:pPr>
              <w:numPr>
                <w:ilvl w:val="0"/>
                <w:numId w:val="139"/>
              </w:numPr>
              <w:spacing w:before="10" w:after="10"/>
              <w:jc w:val="both"/>
            </w:pPr>
            <w:r>
              <w:rPr>
                <w:sz w:val="18"/>
                <w:szCs w:val="18"/>
              </w:rPr>
              <w:t>Tendencias tecnológicas del sistema financiero: computación en la nube, interfaces abiertas (API), modelos de calificación crediticia con inteligencia artificial y tecnología financiera.</w:t>
            </w:r>
          </w:p>
        </w:tc>
      </w:tr>
      <w:tr w:rsidR="00990B14" w14:paraId="5F716015" w14:textId="77777777">
        <w:trPr>
          <w:cantSplit/>
          <w:jc w:val="center"/>
        </w:trPr>
        <w:tc>
          <w:tcPr>
            <w:tcW w:w="9405" w:type="dxa"/>
            <w:gridSpan w:val="13"/>
            <w:shd w:val="clear" w:color="auto" w:fill="D9E2F3"/>
            <w:vAlign w:val="center"/>
          </w:tcPr>
          <w:p w14:paraId="54EE925A" w14:textId="77777777" w:rsidR="00990B14" w:rsidRDefault="00000000">
            <w:pPr>
              <w:spacing w:before="20" w:after="20"/>
              <w:jc w:val="both"/>
            </w:pPr>
            <w:r>
              <w:rPr>
                <w:b/>
                <w:bCs/>
                <w:i/>
                <w:iCs/>
                <w:sz w:val="18"/>
                <w:szCs w:val="18"/>
              </w:rPr>
              <w:t xml:space="preserve">Elemento de competencia 5: </w:t>
            </w:r>
            <w:r>
              <w:rPr>
                <w:sz w:val="18"/>
                <w:szCs w:val="18"/>
              </w:rPr>
              <w:t>Ejecuta y comunica los resultados de los servicios relacionados y encargos de aseguramiento complementarios aplicables a un banco boliviano, distinguiendo su naturaleza, objetivo y nivel de seguridad; evalúa la gestión integral de riesgos, el control interno y el cumplimiento de límites prudenciales, y prepara los informes requeridos por la ASFI y los financiadores conforme a la NISR 4400, la NIEA 3000 y la normativa regulatoria aplicable.</w:t>
            </w:r>
          </w:p>
        </w:tc>
      </w:tr>
      <w:tr w:rsidR="00990B14" w14:paraId="2F963155" w14:textId="77777777">
        <w:trPr>
          <w:cantSplit/>
          <w:jc w:val="center"/>
        </w:trPr>
        <w:tc>
          <w:tcPr>
            <w:tcW w:w="3133" w:type="dxa"/>
            <w:gridSpan w:val="4"/>
            <w:shd w:val="clear" w:color="auto" w:fill="4472C4"/>
            <w:vAlign w:val="center"/>
          </w:tcPr>
          <w:p w14:paraId="1B7FFA38"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17AF0219"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2FF04510" w14:textId="77777777" w:rsidR="00990B14" w:rsidRDefault="00000000">
            <w:pPr>
              <w:keepNext/>
              <w:spacing w:before="20" w:after="20"/>
              <w:jc w:val="center"/>
            </w:pPr>
            <w:r>
              <w:rPr>
                <w:b/>
                <w:bCs/>
                <w:i/>
                <w:iCs/>
                <w:color w:val="FFFFFF"/>
                <w:sz w:val="18"/>
                <w:szCs w:val="18"/>
              </w:rPr>
              <w:t>Evidencias de producto</w:t>
            </w:r>
          </w:p>
        </w:tc>
      </w:tr>
      <w:tr w:rsidR="00990B14" w14:paraId="323FAFCC" w14:textId="77777777">
        <w:trPr>
          <w:cantSplit/>
          <w:jc w:val="center"/>
        </w:trPr>
        <w:tc>
          <w:tcPr>
            <w:tcW w:w="3133" w:type="dxa"/>
            <w:gridSpan w:val="4"/>
            <w:vMerge w:val="restart"/>
            <w:shd w:val="clear" w:color="auto" w:fill="D9E2F3"/>
            <w:vAlign w:val="center"/>
          </w:tcPr>
          <w:p w14:paraId="2FEF5E66" w14:textId="77777777" w:rsidR="00990B14" w:rsidRDefault="00000000">
            <w:pPr>
              <w:spacing w:before="20" w:after="20"/>
              <w:jc w:val="both"/>
            </w:pPr>
            <w:r>
              <w:rPr>
                <w:sz w:val="18"/>
                <w:szCs w:val="18"/>
              </w:rPr>
              <w:t>1. Evalúa, con criterios definidos y evidencia suficiente y adecuada, la gestión integral de los riesgos de crédito, liquidez, mercado y operativo, el diseño y funcionamiento de los controles relacionados y el cumplimiento de los límites prudenciales aplicables a un banco boliviano; documenta las excepciones y formula conclusiones conforme al alcance y al nivel de seguridad del encargo.</w:t>
            </w:r>
          </w:p>
        </w:tc>
        <w:tc>
          <w:tcPr>
            <w:tcW w:w="3135" w:type="dxa"/>
            <w:gridSpan w:val="5"/>
            <w:shd w:val="clear" w:color="auto" w:fill="D9E2F3"/>
            <w:vAlign w:val="center"/>
          </w:tcPr>
          <w:p w14:paraId="0D0544B3" w14:textId="77777777" w:rsidR="00990B14" w:rsidRDefault="00000000">
            <w:pPr>
              <w:spacing w:before="20" w:after="20"/>
              <w:jc w:val="both"/>
            </w:pPr>
            <w:r>
              <w:rPr>
                <w:sz w:val="18"/>
                <w:szCs w:val="18"/>
              </w:rPr>
              <w:t>1.1 Verifica, a partir de los estados financieros y reportes regulatorios de un caso de una entidad financiera, el cumplimiento de los límites de suficiencia patrimonial, posición cambiaria, encaje legal y concentración crediticia; concilia las bases con los registros contables, recalcula los indicadores, compara los resultados con los límites aplicables, investiga las excepciones y concluye sobre el cumplimiento.</w:t>
            </w:r>
          </w:p>
        </w:tc>
        <w:tc>
          <w:tcPr>
            <w:tcW w:w="3137" w:type="dxa"/>
            <w:gridSpan w:val="4"/>
            <w:shd w:val="clear" w:color="auto" w:fill="D9E2F3"/>
            <w:vAlign w:val="center"/>
          </w:tcPr>
          <w:p w14:paraId="1E29521C" w14:textId="77777777" w:rsidR="00990B14" w:rsidRDefault="00000000">
            <w:pPr>
              <w:spacing w:before="20" w:after="20"/>
              <w:jc w:val="both"/>
            </w:pPr>
            <w:r>
              <w:rPr>
                <w:b/>
                <w:bCs/>
                <w:sz w:val="18"/>
                <w:szCs w:val="18"/>
              </w:rPr>
              <w:t xml:space="preserve">Producto 17: </w:t>
            </w:r>
            <w:r>
              <w:rPr>
                <w:sz w:val="18"/>
                <w:szCs w:val="18"/>
              </w:rPr>
              <w:t>Papel de trabajo de verificación de límites prudenciales que incluya la fuente y conciliación de datos, el fundamento regulatorio, las bases y fórmulas de cálculo, la verificación de suficiencia patrimonial, posición cambiaria, encaje legal y concentración crediticia, las excepciones identificadas, su cuantificación y la conclusión de cumplimiento.</w:t>
            </w:r>
          </w:p>
        </w:tc>
      </w:tr>
      <w:tr w:rsidR="00990B14" w14:paraId="2B002E1C" w14:textId="77777777">
        <w:trPr>
          <w:cantSplit/>
          <w:jc w:val="center"/>
        </w:trPr>
        <w:tc>
          <w:tcPr>
            <w:tcW w:w="3133" w:type="dxa"/>
            <w:gridSpan w:val="4"/>
            <w:vMerge/>
            <w:shd w:val="clear" w:color="auto" w:fill="D9E2F3"/>
            <w:vAlign w:val="center"/>
          </w:tcPr>
          <w:p w14:paraId="504804B8" w14:textId="77777777" w:rsidR="00990B14" w:rsidRDefault="00990B14">
            <w:pPr>
              <w:spacing w:before="20" w:after="20"/>
            </w:pPr>
          </w:p>
        </w:tc>
        <w:tc>
          <w:tcPr>
            <w:tcW w:w="3135" w:type="dxa"/>
            <w:gridSpan w:val="5"/>
            <w:shd w:val="clear" w:color="auto" w:fill="D9E2F3"/>
            <w:vAlign w:val="center"/>
          </w:tcPr>
          <w:p w14:paraId="75E9D7FD" w14:textId="77777777" w:rsidR="00990B14" w:rsidRDefault="00000000">
            <w:pPr>
              <w:spacing w:before="20" w:after="20"/>
              <w:jc w:val="both"/>
            </w:pPr>
            <w:r>
              <w:rPr>
                <w:sz w:val="18"/>
                <w:szCs w:val="18"/>
              </w:rPr>
              <w:t>1.2 Evalúa, a partir de un caso de una entidad financiera, el marco de gestión integral de riesgos de crédito, liquidez, mercado y operativo; contrasta las políticas, metodologías, límites, reportes y controles con los criterios regulatorios aplicables, prueba el diseño y funcionamiento de los controles seleccionados, documenta las brechas y concluye sobre la eficacia de la gestión y del control interno.</w:t>
            </w:r>
          </w:p>
        </w:tc>
        <w:tc>
          <w:tcPr>
            <w:tcW w:w="3137" w:type="dxa"/>
            <w:gridSpan w:val="4"/>
            <w:shd w:val="clear" w:color="auto" w:fill="D9E2F3"/>
            <w:vAlign w:val="center"/>
          </w:tcPr>
          <w:p w14:paraId="270FFA40" w14:textId="77777777" w:rsidR="00990B14" w:rsidRDefault="00000000">
            <w:pPr>
              <w:spacing w:before="20" w:after="20"/>
              <w:jc w:val="both"/>
            </w:pPr>
            <w:r>
              <w:rPr>
                <w:b/>
                <w:bCs/>
                <w:sz w:val="18"/>
                <w:szCs w:val="18"/>
              </w:rPr>
              <w:t xml:space="preserve">Producto 18: </w:t>
            </w:r>
            <w:r>
              <w:rPr>
                <w:sz w:val="18"/>
                <w:szCs w:val="18"/>
              </w:rPr>
              <w:t>Informe de aseguramiento sobre la gestión integral de riesgos y el control interno de un banco boliviano que incluya el objetivo, alcance, criterios de evaluación, responsabilidades de las partes, nivel de seguridad, procedimientos aplicados, limitaciones, hallazgos sobre riesgos de crédito, liquidez, mercado y operativo, deficiencias de control, respuesta de la entidad y conclusión conforme a la NIEA 3000 y a los requerimientos de la ASFI.</w:t>
            </w:r>
          </w:p>
        </w:tc>
      </w:tr>
      <w:tr w:rsidR="00990B14" w14:paraId="2CFDC628" w14:textId="77777777">
        <w:trPr>
          <w:cantSplit/>
          <w:jc w:val="center"/>
        </w:trPr>
        <w:tc>
          <w:tcPr>
            <w:tcW w:w="3133" w:type="dxa"/>
            <w:gridSpan w:val="4"/>
            <w:vMerge w:val="restart"/>
            <w:shd w:val="clear" w:color="auto" w:fill="D9E2F3"/>
            <w:vAlign w:val="center"/>
          </w:tcPr>
          <w:p w14:paraId="40F5BF3D" w14:textId="77777777" w:rsidR="00990B14" w:rsidRDefault="00000000">
            <w:pPr>
              <w:spacing w:before="20" w:after="20"/>
              <w:jc w:val="both"/>
            </w:pPr>
            <w:r>
              <w:rPr>
                <w:sz w:val="18"/>
                <w:szCs w:val="18"/>
              </w:rPr>
              <w:t>2. Ejecuta encargos de procedimientos acordados solicitados por la ASFI o por financiadores conforme a la NISR 4400, aplicando exclusivamente los procedimientos convenidos y comunicando hallazgos factuales sin expresar una opinión o conclusión de aseguramiento; por separado, comunica las deficiencias de control interno identificadas durante la auditoría conforme a las NIA 265 y 260 y a los requerimientos regulatorios aplicables.</w:t>
            </w:r>
          </w:p>
        </w:tc>
        <w:tc>
          <w:tcPr>
            <w:tcW w:w="3135" w:type="dxa"/>
            <w:gridSpan w:val="5"/>
            <w:shd w:val="clear" w:color="auto" w:fill="D9E2F3"/>
            <w:vAlign w:val="center"/>
          </w:tcPr>
          <w:p w14:paraId="2EB6638C" w14:textId="77777777" w:rsidR="00990B14" w:rsidRDefault="00000000">
            <w:pPr>
              <w:spacing w:before="20" w:after="20"/>
              <w:jc w:val="both"/>
            </w:pPr>
            <w:r>
              <w:rPr>
                <w:sz w:val="18"/>
                <w:szCs w:val="18"/>
              </w:rPr>
              <w:t>2.1 Ejecuta, a partir de un acuerdo de encargo con un financiador, procedimientos previamente convenidos sobre la cartera de créditos de una entidad financiera; verifica la integridad de la población, aplica los procedimientos exactamente como fueron acordados, documenta la evidencia y las excepciones, cuantifica los hallazgos factuales y prepara su comunicación conforme a la NISR 4400, sin expresar opinión ni conclusión de aseguramiento.</w:t>
            </w:r>
          </w:p>
        </w:tc>
        <w:tc>
          <w:tcPr>
            <w:tcW w:w="3137" w:type="dxa"/>
            <w:gridSpan w:val="4"/>
            <w:shd w:val="clear" w:color="auto" w:fill="D9E2F3"/>
            <w:vAlign w:val="center"/>
          </w:tcPr>
          <w:p w14:paraId="2615CA47" w14:textId="77777777" w:rsidR="00990B14" w:rsidRDefault="00000000">
            <w:pPr>
              <w:spacing w:before="20" w:after="20"/>
              <w:jc w:val="both"/>
            </w:pPr>
            <w:r>
              <w:rPr>
                <w:b/>
                <w:bCs/>
                <w:sz w:val="18"/>
                <w:szCs w:val="18"/>
              </w:rPr>
              <w:t xml:space="preserve">Producto 19: </w:t>
            </w:r>
            <w:r>
              <w:rPr>
                <w:sz w:val="18"/>
                <w:szCs w:val="18"/>
              </w:rPr>
              <w:t>Informe de procedimientos acordados para un financiador que incluya la finalidad y los usuarios previstos, las responsabilidades de las partes, la identificación de la materia objeto, los procedimientos convenidos, los hallazgos factuales y su cuantificación, las limitaciones aplicables y la declaración de que el encargo no constituye una auditoría, revisión ni otro encargo de aseguramiento, conforme a la NISR 4400.</w:t>
            </w:r>
          </w:p>
        </w:tc>
      </w:tr>
      <w:tr w:rsidR="00990B14" w14:paraId="28340680" w14:textId="77777777">
        <w:trPr>
          <w:cantSplit/>
          <w:jc w:val="center"/>
        </w:trPr>
        <w:tc>
          <w:tcPr>
            <w:tcW w:w="3133" w:type="dxa"/>
            <w:gridSpan w:val="4"/>
            <w:vMerge/>
            <w:shd w:val="clear" w:color="auto" w:fill="D9E2F3"/>
            <w:vAlign w:val="center"/>
          </w:tcPr>
          <w:p w14:paraId="1EA7C77F" w14:textId="77777777" w:rsidR="00990B14" w:rsidRDefault="00990B14">
            <w:pPr>
              <w:spacing w:before="20" w:after="20"/>
            </w:pPr>
          </w:p>
        </w:tc>
        <w:tc>
          <w:tcPr>
            <w:tcW w:w="3135" w:type="dxa"/>
            <w:gridSpan w:val="5"/>
            <w:shd w:val="clear" w:color="auto" w:fill="D9E2F3"/>
            <w:vAlign w:val="center"/>
          </w:tcPr>
          <w:p w14:paraId="259D1A3F" w14:textId="77777777" w:rsidR="00990B14" w:rsidRDefault="00000000">
            <w:pPr>
              <w:spacing w:before="20" w:after="20"/>
              <w:jc w:val="both"/>
            </w:pPr>
            <w:r>
              <w:rPr>
                <w:sz w:val="18"/>
                <w:szCs w:val="18"/>
              </w:rPr>
              <w:t>2.2 Evalúa las deficiencias de control interno identificadas durante la auditoría, determina cuáles son significativas, documenta su condición, criterio, causa, efecto y recomendación, obtiene y valora la respuesta de la entidad y prepara las comunicaciones dirigidas a la dirección, al comité de auditoría y, cuando corresponda, a la ASFI conforme a las NIA 265 y 260 y a la normativa aplicable.</w:t>
            </w:r>
          </w:p>
        </w:tc>
        <w:tc>
          <w:tcPr>
            <w:tcW w:w="3137" w:type="dxa"/>
            <w:gridSpan w:val="4"/>
            <w:shd w:val="clear" w:color="auto" w:fill="D9E2F3"/>
            <w:vAlign w:val="center"/>
          </w:tcPr>
          <w:p w14:paraId="1704A4D4" w14:textId="77777777" w:rsidR="00990B14" w:rsidRDefault="00000000">
            <w:pPr>
              <w:spacing w:before="20" w:after="20"/>
              <w:jc w:val="both"/>
            </w:pPr>
            <w:r>
              <w:rPr>
                <w:b/>
                <w:bCs/>
                <w:sz w:val="18"/>
                <w:szCs w:val="18"/>
              </w:rPr>
              <w:t xml:space="preserve">Producto 20: </w:t>
            </w:r>
            <w:r>
              <w:rPr>
                <w:sz w:val="18"/>
                <w:szCs w:val="18"/>
              </w:rPr>
              <w:t>Comunicación de deficiencias de control interno dirigida a la dirección y al comité de auditoría que incluya el contexto y alcance del trabajo, la descripción y clasificación de las deficiencias significativas y otras deficiencias relevantes, su condición, criterio, causa y efecto, las recomendaciones, las respuestas de la entidad, los responsables y plazos comprometidos y, cuando corresponda, la comunicación a la ASFI, conforme a las NIA 265 y 260.</w:t>
            </w:r>
          </w:p>
        </w:tc>
      </w:tr>
      <w:tr w:rsidR="00990B14" w14:paraId="25EC4A8D" w14:textId="77777777">
        <w:trPr>
          <w:cantSplit/>
          <w:jc w:val="center"/>
        </w:trPr>
        <w:tc>
          <w:tcPr>
            <w:tcW w:w="9405" w:type="dxa"/>
            <w:gridSpan w:val="13"/>
            <w:shd w:val="clear" w:color="auto" w:fill="4472C4"/>
            <w:vAlign w:val="center"/>
          </w:tcPr>
          <w:p w14:paraId="6EEA19CA" w14:textId="77777777" w:rsidR="00990B14" w:rsidRDefault="00000000">
            <w:pPr>
              <w:keepNext/>
              <w:spacing w:before="20" w:after="20"/>
              <w:jc w:val="center"/>
            </w:pPr>
            <w:r>
              <w:rPr>
                <w:b/>
                <w:bCs/>
                <w:i/>
                <w:iCs/>
                <w:color w:val="FFFFFF"/>
                <w:sz w:val="18"/>
                <w:szCs w:val="18"/>
              </w:rPr>
              <w:t>Evidencias de conocimiento</w:t>
            </w:r>
          </w:p>
        </w:tc>
      </w:tr>
      <w:tr w:rsidR="00990B14" w14:paraId="34CDC322" w14:textId="77777777">
        <w:trPr>
          <w:cantSplit/>
          <w:jc w:val="center"/>
        </w:trPr>
        <w:tc>
          <w:tcPr>
            <w:tcW w:w="2349" w:type="dxa"/>
            <w:gridSpan w:val="2"/>
            <w:shd w:val="clear" w:color="auto" w:fill="4472C4"/>
            <w:vAlign w:val="center"/>
          </w:tcPr>
          <w:p w14:paraId="74F4D9E9"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7058C5EA" w14:textId="77777777" w:rsidR="00990B14" w:rsidRDefault="00000000">
            <w:pPr>
              <w:keepNext/>
              <w:spacing w:before="20" w:after="20"/>
              <w:jc w:val="both"/>
            </w:pPr>
            <w:r>
              <w:rPr>
                <w:b/>
                <w:bCs/>
                <w:i/>
                <w:iCs/>
                <w:color w:val="FFFFFF"/>
                <w:sz w:val="18"/>
                <w:szCs w:val="18"/>
              </w:rPr>
              <w:t>Contenidos</w:t>
            </w:r>
          </w:p>
          <w:p w14:paraId="18AD8F08"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5554E478" w14:textId="77777777" w:rsidR="00990B14" w:rsidRDefault="00000000">
            <w:pPr>
              <w:keepNext/>
              <w:spacing w:before="20" w:after="20"/>
              <w:jc w:val="center"/>
            </w:pPr>
            <w:r>
              <w:rPr>
                <w:b/>
                <w:bCs/>
                <w:i/>
                <w:iCs/>
                <w:color w:val="FFFFFF"/>
                <w:sz w:val="18"/>
                <w:szCs w:val="18"/>
              </w:rPr>
              <w:t>Conocimientos circunstanciales</w:t>
            </w:r>
          </w:p>
        </w:tc>
      </w:tr>
      <w:tr w:rsidR="00990B14" w14:paraId="4B4BFE37" w14:textId="77777777">
        <w:trPr>
          <w:jc w:val="center"/>
        </w:trPr>
        <w:tc>
          <w:tcPr>
            <w:tcW w:w="2349" w:type="dxa"/>
            <w:gridSpan w:val="2"/>
            <w:shd w:val="clear" w:color="auto" w:fill="D9E2F3"/>
          </w:tcPr>
          <w:p w14:paraId="54C3CCA3" w14:textId="77777777" w:rsidR="00990B14" w:rsidRDefault="00000000">
            <w:pPr>
              <w:spacing w:before="20" w:after="40"/>
              <w:jc w:val="both"/>
            </w:pPr>
            <w:r>
              <w:rPr>
                <w:sz w:val="18"/>
                <w:szCs w:val="18"/>
              </w:rPr>
              <w:t>Tema 11: Servicios relacionados y complementarios en entidades financieras</w:t>
            </w:r>
          </w:p>
        </w:tc>
        <w:tc>
          <w:tcPr>
            <w:tcW w:w="4304" w:type="dxa"/>
            <w:gridSpan w:val="8"/>
            <w:shd w:val="clear" w:color="auto" w:fill="D9E2F3"/>
          </w:tcPr>
          <w:p w14:paraId="768E6885" w14:textId="77777777" w:rsidR="00990B14" w:rsidRDefault="00000000">
            <w:pPr>
              <w:spacing w:after="40"/>
              <w:jc w:val="both"/>
            </w:pPr>
            <w:r>
              <w:rPr>
                <w:sz w:val="18"/>
                <w:szCs w:val="18"/>
              </w:rPr>
              <w:t>Servicios complementarios requeridos por el Reglamento para la Realización de Auditorías Externas de la ASFI: informes sobre el control interno, la gestión de riesgos y el cumplimiento de la normativa. (C)</w:t>
            </w:r>
          </w:p>
          <w:p w14:paraId="504CB851" w14:textId="77777777" w:rsidR="00990B14" w:rsidRDefault="00000000">
            <w:pPr>
              <w:spacing w:after="40"/>
              <w:jc w:val="both"/>
            </w:pPr>
            <w:r>
              <w:rPr>
                <w:sz w:val="18"/>
                <w:szCs w:val="18"/>
              </w:rPr>
              <w:t>Evaluación de la gestión integral de los riesgos de crédito, liquidez, mercado (tasa de interés y tipo de cambio) y operativo conforme a las directrices de la ASFI. (P)</w:t>
            </w:r>
          </w:p>
          <w:p w14:paraId="2A47DAF6" w14:textId="77777777" w:rsidR="00990B14" w:rsidRDefault="00000000">
            <w:pPr>
              <w:spacing w:after="40"/>
              <w:jc w:val="both"/>
            </w:pPr>
            <w:r>
              <w:rPr>
                <w:sz w:val="18"/>
                <w:szCs w:val="18"/>
              </w:rPr>
              <w:t>Verificación de los límites prudenciales: suficiencia patrimonial, posición cambiaria, encaje legal y concentración crediticia. (P)</w:t>
            </w:r>
          </w:p>
          <w:p w14:paraId="21A7D98C" w14:textId="77777777" w:rsidR="00990B14" w:rsidRDefault="00000000">
            <w:pPr>
              <w:spacing w:after="40"/>
              <w:jc w:val="both"/>
            </w:pPr>
            <w:r>
              <w:rPr>
                <w:sz w:val="18"/>
                <w:szCs w:val="18"/>
              </w:rPr>
              <w:t>Encargos de procedimientos acordados conforme a la NISR 4400 solicitados por el regulador o por los financiadores de la entidad. (P)</w:t>
            </w:r>
          </w:p>
          <w:p w14:paraId="3F51A2F5" w14:textId="77777777" w:rsidR="00990B14" w:rsidRDefault="00000000">
            <w:pPr>
              <w:spacing w:after="40"/>
              <w:jc w:val="both"/>
            </w:pPr>
            <w:r>
              <w:rPr>
                <w:sz w:val="18"/>
                <w:szCs w:val="18"/>
              </w:rPr>
              <w:t>Encargos de aseguramiento sobre el control interno y el cumplimiento conforme a la NIEA 3000 (Revisada), y distinción de su nivel de seguridad frente a los procedimientos acordados. (C, P)</w:t>
            </w:r>
          </w:p>
          <w:p w14:paraId="39E55557" w14:textId="77777777" w:rsidR="00990B14" w:rsidRDefault="00000000">
            <w:pPr>
              <w:spacing w:after="40"/>
              <w:jc w:val="both"/>
            </w:pPr>
            <w:r>
              <w:rPr>
                <w:sz w:val="18"/>
                <w:szCs w:val="18"/>
              </w:rPr>
              <w:t>Comunicación de las deficiencias de control interno (NIA 265 y NIA 260) a la dirección, al comité de auditoría y a la autoridad de supervisión, cuando corresponda. (P)</w:t>
            </w:r>
          </w:p>
        </w:tc>
        <w:tc>
          <w:tcPr>
            <w:tcW w:w="2752" w:type="dxa"/>
            <w:gridSpan w:val="3"/>
            <w:shd w:val="clear" w:color="auto" w:fill="D9E2F3"/>
          </w:tcPr>
          <w:p w14:paraId="2E07B742" w14:textId="77777777" w:rsidR="00990B14" w:rsidRDefault="00000000">
            <w:pPr>
              <w:numPr>
                <w:ilvl w:val="0"/>
                <w:numId w:val="139"/>
              </w:numPr>
              <w:spacing w:before="10" w:after="10"/>
              <w:jc w:val="both"/>
            </w:pPr>
            <w:r>
              <w:rPr>
                <w:sz w:val="18"/>
                <w:szCs w:val="18"/>
              </w:rPr>
              <w:t>Nociones de la gestión de tesorería y de la administración de la liquidez bancaria.</w:t>
            </w:r>
          </w:p>
          <w:p w14:paraId="790E31D8" w14:textId="77777777" w:rsidR="00990B14" w:rsidRDefault="00000000">
            <w:pPr>
              <w:numPr>
                <w:ilvl w:val="0"/>
                <w:numId w:val="139"/>
              </w:numPr>
              <w:spacing w:before="10" w:after="10"/>
              <w:jc w:val="both"/>
            </w:pPr>
            <w:r>
              <w:rPr>
                <w:sz w:val="18"/>
                <w:szCs w:val="18"/>
              </w:rPr>
              <w:t>Nociones de las cláusulas de cumplimiento financiero de los contratos con fondeadores.</w:t>
            </w:r>
          </w:p>
          <w:p w14:paraId="309B27A0" w14:textId="77777777" w:rsidR="00990B14" w:rsidRDefault="00000000">
            <w:pPr>
              <w:numPr>
                <w:ilvl w:val="0"/>
                <w:numId w:val="139"/>
              </w:numPr>
              <w:spacing w:before="10" w:after="10"/>
              <w:jc w:val="both"/>
            </w:pPr>
            <w:r>
              <w:rPr>
                <w:sz w:val="18"/>
                <w:szCs w:val="18"/>
              </w:rPr>
              <w:t>Reglamento para la Realización del Trabajo de Auditoría Externa de la ASFI vigente.</w:t>
            </w:r>
          </w:p>
        </w:tc>
      </w:tr>
    </w:tbl>
    <w:p w14:paraId="3D645CB2"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910"/>
        <w:gridCol w:w="1700"/>
        <w:gridCol w:w="1805"/>
        <w:gridCol w:w="1805"/>
        <w:gridCol w:w="2185"/>
      </w:tblGrid>
      <w:tr w:rsidR="00990B14" w14:paraId="46740C66" w14:textId="77777777">
        <w:trPr>
          <w:cantSplit/>
          <w:jc w:val="center"/>
        </w:trPr>
        <w:tc>
          <w:tcPr>
            <w:tcW w:w="9405" w:type="dxa"/>
            <w:gridSpan w:val="5"/>
            <w:shd w:val="clear" w:color="auto" w:fill="4472C4"/>
            <w:vAlign w:val="center"/>
          </w:tcPr>
          <w:p w14:paraId="4E44F4E6" w14:textId="77777777" w:rsidR="00990B14" w:rsidRDefault="00000000">
            <w:pPr>
              <w:keepNext/>
              <w:spacing w:before="20" w:after="20"/>
              <w:jc w:val="center"/>
            </w:pPr>
            <w:r>
              <w:rPr>
                <w:b/>
                <w:bCs/>
                <w:i/>
                <w:iCs/>
                <w:color w:val="FFFFFF"/>
                <w:sz w:val="18"/>
                <w:szCs w:val="18"/>
              </w:rPr>
              <w:t>Actividades</w:t>
            </w:r>
          </w:p>
        </w:tc>
      </w:tr>
      <w:tr w:rsidR="00990B14" w14:paraId="57E37E87" w14:textId="77777777">
        <w:trPr>
          <w:cantSplit/>
          <w:jc w:val="center"/>
        </w:trPr>
        <w:tc>
          <w:tcPr>
            <w:tcW w:w="1910" w:type="dxa"/>
            <w:shd w:val="clear" w:color="auto" w:fill="4472C4"/>
            <w:vAlign w:val="center"/>
          </w:tcPr>
          <w:p w14:paraId="6D0C6DA8" w14:textId="77777777" w:rsidR="00990B14" w:rsidRDefault="00000000">
            <w:pPr>
              <w:keepNext/>
              <w:spacing w:before="20" w:after="20"/>
              <w:jc w:val="center"/>
            </w:pPr>
            <w:r>
              <w:rPr>
                <w:b/>
                <w:bCs/>
                <w:i/>
                <w:iCs/>
                <w:color w:val="FFFFFF"/>
                <w:sz w:val="18"/>
                <w:szCs w:val="18"/>
              </w:rPr>
              <w:t>En clase</w:t>
            </w:r>
          </w:p>
        </w:tc>
        <w:tc>
          <w:tcPr>
            <w:tcW w:w="1700" w:type="dxa"/>
            <w:shd w:val="clear" w:color="auto" w:fill="4472C4"/>
            <w:vAlign w:val="center"/>
          </w:tcPr>
          <w:p w14:paraId="10D7C69D" w14:textId="77777777" w:rsidR="00990B14" w:rsidRDefault="00000000">
            <w:pPr>
              <w:keepNext/>
              <w:spacing w:before="20" w:after="20"/>
              <w:jc w:val="center"/>
            </w:pPr>
            <w:r>
              <w:rPr>
                <w:b/>
                <w:bCs/>
                <w:i/>
                <w:iCs/>
                <w:color w:val="FFFFFF"/>
                <w:sz w:val="18"/>
                <w:szCs w:val="18"/>
              </w:rPr>
              <w:t>Autónomas</w:t>
            </w:r>
          </w:p>
        </w:tc>
        <w:tc>
          <w:tcPr>
            <w:tcW w:w="1805" w:type="dxa"/>
            <w:shd w:val="clear" w:color="auto" w:fill="4472C4"/>
            <w:vAlign w:val="center"/>
          </w:tcPr>
          <w:p w14:paraId="40EB1CD3" w14:textId="77777777" w:rsidR="00990B14" w:rsidRDefault="00000000">
            <w:pPr>
              <w:keepNext/>
              <w:spacing w:before="20" w:after="20"/>
              <w:jc w:val="center"/>
            </w:pPr>
            <w:r>
              <w:rPr>
                <w:b/>
                <w:bCs/>
                <w:i/>
                <w:iCs/>
                <w:color w:val="FFFFFF"/>
                <w:sz w:val="18"/>
                <w:szCs w:val="18"/>
              </w:rPr>
              <w:t>B-Learning</w:t>
            </w:r>
          </w:p>
        </w:tc>
        <w:tc>
          <w:tcPr>
            <w:tcW w:w="1805" w:type="dxa"/>
            <w:shd w:val="clear" w:color="auto" w:fill="4472C4"/>
            <w:vAlign w:val="center"/>
          </w:tcPr>
          <w:p w14:paraId="16BD8F70" w14:textId="77777777" w:rsidR="00990B14" w:rsidRDefault="00000000">
            <w:pPr>
              <w:keepNext/>
              <w:spacing w:before="20" w:after="20"/>
              <w:jc w:val="center"/>
            </w:pPr>
            <w:r>
              <w:rPr>
                <w:b/>
                <w:bCs/>
                <w:i/>
                <w:iCs/>
                <w:color w:val="FFFFFF"/>
                <w:sz w:val="18"/>
                <w:szCs w:val="18"/>
              </w:rPr>
              <w:t>Taller</w:t>
            </w:r>
          </w:p>
        </w:tc>
        <w:tc>
          <w:tcPr>
            <w:tcW w:w="2185" w:type="dxa"/>
            <w:shd w:val="clear" w:color="auto" w:fill="4472C4"/>
            <w:vAlign w:val="center"/>
          </w:tcPr>
          <w:p w14:paraId="01348BCA" w14:textId="77777777" w:rsidR="00990B14" w:rsidRDefault="00000000">
            <w:pPr>
              <w:keepNext/>
              <w:spacing w:before="20" w:after="20"/>
              <w:jc w:val="center"/>
            </w:pPr>
            <w:r>
              <w:rPr>
                <w:b/>
                <w:bCs/>
                <w:i/>
                <w:iCs/>
                <w:color w:val="FFFFFF"/>
                <w:sz w:val="18"/>
                <w:szCs w:val="18"/>
              </w:rPr>
              <w:t>Investigación/Práctica</w:t>
            </w:r>
          </w:p>
        </w:tc>
      </w:tr>
      <w:tr w:rsidR="00990B14" w14:paraId="1B2D23AA" w14:textId="77777777">
        <w:trPr>
          <w:jc w:val="center"/>
        </w:trPr>
        <w:tc>
          <w:tcPr>
            <w:tcW w:w="1910" w:type="dxa"/>
            <w:shd w:val="clear" w:color="auto" w:fill="D9E2F3"/>
          </w:tcPr>
          <w:p w14:paraId="4D79D916" w14:textId="77777777" w:rsidR="00990B14" w:rsidRDefault="00000000">
            <w:pPr>
              <w:numPr>
                <w:ilvl w:val="0"/>
                <w:numId w:val="139"/>
              </w:numPr>
              <w:spacing w:before="10" w:after="10"/>
              <w:jc w:val="both"/>
            </w:pPr>
            <w:r>
              <w:rPr>
                <w:sz w:val="18"/>
                <w:szCs w:val="18"/>
              </w:rPr>
              <w:t>Exposición dialogada de la normativa reglamentaria de la ASFI aplicable a la auditoría.</w:t>
            </w:r>
          </w:p>
          <w:p w14:paraId="5689F057" w14:textId="77777777" w:rsidR="00990B14" w:rsidRDefault="00000000">
            <w:pPr>
              <w:numPr>
                <w:ilvl w:val="0"/>
                <w:numId w:val="139"/>
              </w:numPr>
              <w:spacing w:before="10" w:after="10"/>
              <w:jc w:val="both"/>
            </w:pPr>
            <w:r>
              <w:rPr>
                <w:sz w:val="18"/>
                <w:szCs w:val="18"/>
              </w:rPr>
              <w:t>Resolución guiada de ejercicios de previsión, encaje legal y suficiencia patrimonial.</w:t>
            </w:r>
          </w:p>
          <w:p w14:paraId="04D62129" w14:textId="77777777" w:rsidR="00990B14" w:rsidRDefault="00000000">
            <w:pPr>
              <w:numPr>
                <w:ilvl w:val="0"/>
                <w:numId w:val="139"/>
              </w:numPr>
              <w:spacing w:before="10" w:after="10"/>
              <w:jc w:val="both"/>
            </w:pPr>
            <w:r>
              <w:rPr>
                <w:sz w:val="18"/>
                <w:szCs w:val="18"/>
              </w:rPr>
              <w:t>Análisis de casos de auditoría de la cartera de créditos y de las estimaciones contables.</w:t>
            </w:r>
          </w:p>
          <w:p w14:paraId="25C2D66C" w14:textId="77777777" w:rsidR="00990B14" w:rsidRDefault="00000000">
            <w:pPr>
              <w:numPr>
                <w:ilvl w:val="0"/>
                <w:numId w:val="139"/>
              </w:numPr>
              <w:spacing w:before="10" w:after="10"/>
              <w:jc w:val="both"/>
            </w:pPr>
            <w:r>
              <w:rPr>
                <w:sz w:val="18"/>
                <w:szCs w:val="18"/>
              </w:rPr>
              <w:t>Demostración del análisis de datos sobre una cartera de créditos.</w:t>
            </w:r>
          </w:p>
          <w:p w14:paraId="3EA8AD60" w14:textId="77777777" w:rsidR="00990B14" w:rsidRDefault="00000000">
            <w:pPr>
              <w:numPr>
                <w:ilvl w:val="0"/>
                <w:numId w:val="139"/>
              </w:numPr>
              <w:spacing w:before="10" w:after="10"/>
              <w:jc w:val="both"/>
            </w:pPr>
            <w:r>
              <w:rPr>
                <w:sz w:val="18"/>
                <w:szCs w:val="18"/>
              </w:rPr>
              <w:t>Preguntas de comprensión sobre los informes reglamentarios y los servicios complementarios.</w:t>
            </w:r>
          </w:p>
          <w:p w14:paraId="681001EE" w14:textId="77777777" w:rsidR="00990B14" w:rsidRDefault="00000000">
            <w:pPr>
              <w:numPr>
                <w:ilvl w:val="0"/>
                <w:numId w:val="139"/>
              </w:numPr>
              <w:spacing w:before="10" w:after="10"/>
              <w:jc w:val="both"/>
            </w:pPr>
            <w:r>
              <w:rPr>
                <w:sz w:val="18"/>
                <w:szCs w:val="18"/>
              </w:rPr>
              <w:t>Exposición dialogada del entorno de tecnología de información y de los controles generales de una entidad financiera.</w:t>
            </w:r>
          </w:p>
        </w:tc>
        <w:tc>
          <w:tcPr>
            <w:tcW w:w="1700" w:type="dxa"/>
            <w:shd w:val="clear" w:color="auto" w:fill="D9E2F3"/>
          </w:tcPr>
          <w:p w14:paraId="4927014B" w14:textId="77777777" w:rsidR="00990B14" w:rsidRDefault="00000000">
            <w:pPr>
              <w:numPr>
                <w:ilvl w:val="0"/>
                <w:numId w:val="139"/>
              </w:numPr>
              <w:spacing w:before="10" w:after="10"/>
              <w:jc w:val="both"/>
            </w:pPr>
            <w:r>
              <w:rPr>
                <w:sz w:val="18"/>
                <w:szCs w:val="18"/>
              </w:rPr>
              <w:t>Lectura de la recopilación de normas para servicios financieros de la ASFI y del Manual de Cuentas para Entidades Financieras.</w:t>
            </w:r>
          </w:p>
          <w:p w14:paraId="7869816B" w14:textId="77777777" w:rsidR="00990B14" w:rsidRDefault="00000000">
            <w:pPr>
              <w:numPr>
                <w:ilvl w:val="0"/>
                <w:numId w:val="139"/>
              </w:numPr>
              <w:spacing w:before="10" w:after="10"/>
              <w:jc w:val="both"/>
            </w:pPr>
            <w:r>
              <w:rPr>
                <w:sz w:val="18"/>
                <w:szCs w:val="18"/>
              </w:rPr>
              <w:t>Resolución de ejercicios de previsión para incobrabilidad y de suficiencia patrimonial al cierre de cada tema.</w:t>
            </w:r>
          </w:p>
          <w:p w14:paraId="0296EAA6" w14:textId="77777777" w:rsidR="00990B14" w:rsidRDefault="00000000">
            <w:pPr>
              <w:numPr>
                <w:ilvl w:val="0"/>
                <w:numId w:val="139"/>
              </w:numPr>
              <w:spacing w:before="10" w:after="10"/>
              <w:jc w:val="both"/>
            </w:pPr>
            <w:r>
              <w:rPr>
                <w:sz w:val="18"/>
                <w:szCs w:val="18"/>
              </w:rPr>
              <w:t>Desarrollo progresivo de los papeles de trabajo del caso práctico de auditoría de una entidad financiera.</w:t>
            </w:r>
          </w:p>
          <w:p w14:paraId="72B490AF" w14:textId="77777777" w:rsidR="00990B14" w:rsidRDefault="00000000">
            <w:pPr>
              <w:numPr>
                <w:ilvl w:val="0"/>
                <w:numId w:val="139"/>
              </w:numPr>
              <w:spacing w:before="10" w:after="10"/>
              <w:jc w:val="both"/>
            </w:pPr>
            <w:r>
              <w:rPr>
                <w:sz w:val="18"/>
                <w:szCs w:val="18"/>
              </w:rPr>
              <w:t>Lectura de la recopilación de normas para servicios financieros y de las guías para la gestión de riesgos vigentes.</w:t>
            </w:r>
          </w:p>
          <w:p w14:paraId="141F7421" w14:textId="77777777" w:rsidR="00990B14" w:rsidRDefault="00000000">
            <w:pPr>
              <w:numPr>
                <w:ilvl w:val="0"/>
                <w:numId w:val="139"/>
              </w:numPr>
              <w:spacing w:before="10" w:after="10"/>
              <w:jc w:val="both"/>
            </w:pPr>
            <w:r>
              <w:rPr>
                <w:sz w:val="18"/>
                <w:szCs w:val="18"/>
              </w:rPr>
              <w:t>Lectura de los marcos de referencia de auditoría de tecnología de información (COBIT e ISO/IEC 27001) y de la NIA 315 (Revisada), con cuestionarios de control.</w:t>
            </w:r>
          </w:p>
        </w:tc>
        <w:tc>
          <w:tcPr>
            <w:tcW w:w="1805" w:type="dxa"/>
            <w:shd w:val="clear" w:color="auto" w:fill="D9E2F3"/>
          </w:tcPr>
          <w:p w14:paraId="15B6C56C" w14:textId="77777777" w:rsidR="00990B14" w:rsidRDefault="00000000">
            <w:pPr>
              <w:numPr>
                <w:ilvl w:val="0"/>
                <w:numId w:val="139"/>
              </w:numPr>
              <w:spacing w:before="10" w:after="10"/>
              <w:jc w:val="both"/>
            </w:pPr>
            <w:r>
              <w:rPr>
                <w:sz w:val="18"/>
                <w:szCs w:val="18"/>
              </w:rPr>
              <w:t>Cuestionarios de comprensión en la plataforma Moodle UMSA.</w:t>
            </w:r>
          </w:p>
          <w:p w14:paraId="1FC072E3" w14:textId="77777777" w:rsidR="00990B14" w:rsidRDefault="00000000">
            <w:pPr>
              <w:numPr>
                <w:ilvl w:val="0"/>
                <w:numId w:val="139"/>
              </w:numPr>
              <w:spacing w:before="10" w:after="10"/>
              <w:jc w:val="both"/>
            </w:pPr>
            <w:r>
              <w:rPr>
                <w:sz w:val="18"/>
                <w:szCs w:val="18"/>
              </w:rPr>
              <w:t>Foros de consulta sobre la normativa reglamentaria y los informes requeridos por la ASFI.</w:t>
            </w:r>
          </w:p>
          <w:p w14:paraId="35044036" w14:textId="77777777" w:rsidR="00990B14" w:rsidRDefault="00000000">
            <w:pPr>
              <w:numPr>
                <w:ilvl w:val="0"/>
                <w:numId w:val="139"/>
              </w:numPr>
              <w:spacing w:before="10" w:after="10"/>
              <w:jc w:val="both"/>
            </w:pPr>
            <w:r>
              <w:rPr>
                <w:sz w:val="18"/>
                <w:szCs w:val="18"/>
              </w:rPr>
              <w:t>Videotutoriales de análisis de la cartera de créditos y de indicadores financieros.</w:t>
            </w:r>
          </w:p>
          <w:p w14:paraId="7F2037F9" w14:textId="77777777" w:rsidR="00990B14" w:rsidRDefault="00000000">
            <w:pPr>
              <w:numPr>
                <w:ilvl w:val="0"/>
                <w:numId w:val="139"/>
              </w:numPr>
              <w:spacing w:before="10" w:after="10"/>
              <w:jc w:val="both"/>
            </w:pPr>
            <w:r>
              <w:rPr>
                <w:sz w:val="18"/>
                <w:szCs w:val="18"/>
              </w:rPr>
              <w:t>Práctica guiada de análisis de datos sobre una cartera de créditos en hoja de cálculo.</w:t>
            </w:r>
          </w:p>
          <w:p w14:paraId="12103BED" w14:textId="77777777" w:rsidR="00990B14" w:rsidRDefault="00000000">
            <w:pPr>
              <w:numPr>
                <w:ilvl w:val="0"/>
                <w:numId w:val="139"/>
              </w:numPr>
              <w:spacing w:before="10" w:after="10"/>
              <w:jc w:val="both"/>
            </w:pPr>
            <w:r>
              <w:rPr>
                <w:sz w:val="18"/>
                <w:szCs w:val="18"/>
              </w:rPr>
              <w:t>Foro de casos sobre incidentes de ciberseguridad y su efecto en la auditoría de los estados financieros.</w:t>
            </w:r>
          </w:p>
        </w:tc>
        <w:tc>
          <w:tcPr>
            <w:tcW w:w="1805" w:type="dxa"/>
            <w:shd w:val="clear" w:color="auto" w:fill="D9E2F3"/>
          </w:tcPr>
          <w:p w14:paraId="13D7BF4E" w14:textId="77777777" w:rsidR="00990B14" w:rsidRDefault="00000000">
            <w:pPr>
              <w:numPr>
                <w:ilvl w:val="0"/>
                <w:numId w:val="139"/>
              </w:numPr>
              <w:spacing w:before="10" w:after="10"/>
              <w:jc w:val="both"/>
            </w:pPr>
            <w:r>
              <w:rPr>
                <w:sz w:val="18"/>
                <w:szCs w:val="18"/>
              </w:rPr>
              <w:t>Elaboración guiada de la matriz de riesgo y del memorándum de planificación.</w:t>
            </w:r>
          </w:p>
          <w:p w14:paraId="56D2BC65" w14:textId="77777777" w:rsidR="00990B14" w:rsidRDefault="00000000">
            <w:pPr>
              <w:numPr>
                <w:ilvl w:val="0"/>
                <w:numId w:val="139"/>
              </w:numPr>
              <w:spacing w:before="10" w:after="10"/>
              <w:jc w:val="both"/>
            </w:pPr>
            <w:r>
              <w:rPr>
                <w:sz w:val="18"/>
                <w:szCs w:val="18"/>
              </w:rPr>
              <w:t>Desarrollo colaborativo de las pruebas de controles de los procesos significativos.</w:t>
            </w:r>
          </w:p>
          <w:p w14:paraId="6D925D35" w14:textId="77777777" w:rsidR="00990B14" w:rsidRDefault="00000000">
            <w:pPr>
              <w:numPr>
                <w:ilvl w:val="0"/>
                <w:numId w:val="139"/>
              </w:numPr>
              <w:spacing w:before="10" w:after="10"/>
              <w:jc w:val="both"/>
            </w:pPr>
            <w:r>
              <w:rPr>
                <w:sz w:val="18"/>
                <w:szCs w:val="18"/>
              </w:rPr>
              <w:t>Revisión cruzada de los informes de auditoría y reglamentarios entre equipos.</w:t>
            </w:r>
          </w:p>
          <w:p w14:paraId="230EB763" w14:textId="77777777" w:rsidR="00990B14" w:rsidRDefault="00000000">
            <w:pPr>
              <w:numPr>
                <w:ilvl w:val="0"/>
                <w:numId w:val="139"/>
              </w:numPr>
              <w:spacing w:before="10" w:after="10"/>
              <w:jc w:val="both"/>
            </w:pPr>
            <w:r>
              <w:rPr>
                <w:sz w:val="18"/>
                <w:szCs w:val="18"/>
              </w:rPr>
              <w:t>Auditoría conjunta de la previsión para incobrabilidad como estimación contable.</w:t>
            </w:r>
          </w:p>
          <w:p w14:paraId="069E11A2" w14:textId="77777777" w:rsidR="00990B14" w:rsidRDefault="00000000">
            <w:pPr>
              <w:numPr>
                <w:ilvl w:val="0"/>
                <w:numId w:val="139"/>
              </w:numPr>
              <w:spacing w:before="10" w:after="10"/>
              <w:jc w:val="both"/>
            </w:pPr>
            <w:r>
              <w:rPr>
                <w:sz w:val="18"/>
                <w:szCs w:val="18"/>
              </w:rPr>
              <w:t>Laboratorio de análisis de datos con una base sintética de cartera y de depósitos (hoja de cálculo, Power BI o Tableau, Python o IDEA/ACL).</w:t>
            </w:r>
          </w:p>
          <w:p w14:paraId="79171DF5" w14:textId="77777777" w:rsidR="00990B14" w:rsidRDefault="00000000">
            <w:pPr>
              <w:numPr>
                <w:ilvl w:val="0"/>
                <w:numId w:val="139"/>
              </w:numPr>
              <w:spacing w:before="10" w:after="10"/>
              <w:jc w:val="both"/>
            </w:pPr>
            <w:r>
              <w:rPr>
                <w:sz w:val="18"/>
                <w:szCs w:val="18"/>
              </w:rPr>
              <w:t>Elaboración de la matriz de riesgos de tecnología de información y evaluación de los controles generales del caso.</w:t>
            </w:r>
          </w:p>
        </w:tc>
        <w:tc>
          <w:tcPr>
            <w:tcW w:w="2185" w:type="dxa"/>
            <w:shd w:val="clear" w:color="auto" w:fill="D9E2F3"/>
          </w:tcPr>
          <w:p w14:paraId="06E5435B" w14:textId="77777777" w:rsidR="00990B14" w:rsidRDefault="00000000">
            <w:pPr>
              <w:numPr>
                <w:ilvl w:val="0"/>
                <w:numId w:val="139"/>
              </w:numPr>
              <w:spacing w:before="10" w:after="10"/>
              <w:jc w:val="both"/>
            </w:pPr>
            <w:r>
              <w:rPr>
                <w:sz w:val="18"/>
                <w:szCs w:val="18"/>
              </w:rPr>
              <w:t>Análisis de los estados financieros auditados de entidades de intermediación financiera bolivianas.</w:t>
            </w:r>
          </w:p>
          <w:p w14:paraId="2455BD92" w14:textId="77777777" w:rsidR="00990B14" w:rsidRDefault="00000000">
            <w:pPr>
              <w:numPr>
                <w:ilvl w:val="0"/>
                <w:numId w:val="139"/>
              </w:numPr>
              <w:spacing w:before="10" w:after="10"/>
              <w:jc w:val="both"/>
            </w:pPr>
            <w:r>
              <w:rPr>
                <w:sz w:val="18"/>
                <w:szCs w:val="18"/>
              </w:rPr>
              <w:t>Revisión de las guías para la gestión de riesgos emitidas por la ASFI.</w:t>
            </w:r>
          </w:p>
          <w:p w14:paraId="085656C5" w14:textId="77777777" w:rsidR="00990B14" w:rsidRDefault="00000000">
            <w:pPr>
              <w:numPr>
                <w:ilvl w:val="0"/>
                <w:numId w:val="139"/>
              </w:numPr>
              <w:spacing w:before="10" w:after="10"/>
              <w:jc w:val="both"/>
            </w:pPr>
            <w:r>
              <w:rPr>
                <w:sz w:val="18"/>
                <w:szCs w:val="18"/>
              </w:rPr>
              <w:t>Comparación de los indicadores financieros de distintos tipos de entidad supervisada.</w:t>
            </w:r>
          </w:p>
          <w:p w14:paraId="734B770A" w14:textId="77777777" w:rsidR="00990B14" w:rsidRDefault="00000000">
            <w:pPr>
              <w:numPr>
                <w:ilvl w:val="0"/>
                <w:numId w:val="139"/>
              </w:numPr>
              <w:spacing w:before="10" w:after="10"/>
              <w:jc w:val="both"/>
            </w:pPr>
            <w:r>
              <w:rPr>
                <w:sz w:val="18"/>
                <w:szCs w:val="18"/>
              </w:rPr>
              <w:t>Revisión de los estados financieros auditados y de las memorias publicadas por entidades supervisadas.</w:t>
            </w:r>
          </w:p>
          <w:p w14:paraId="3122B2AB" w14:textId="77777777" w:rsidR="00990B14" w:rsidRDefault="00000000">
            <w:pPr>
              <w:numPr>
                <w:ilvl w:val="0"/>
                <w:numId w:val="139"/>
              </w:numPr>
              <w:spacing w:before="10" w:after="10"/>
              <w:jc w:val="both"/>
            </w:pPr>
            <w:r>
              <w:rPr>
                <w:sz w:val="18"/>
                <w:szCs w:val="18"/>
              </w:rPr>
              <w:t>Simulación integral de la auditoría de una entidad ficticia, con sustentación ante el docente de la asignatura.</w:t>
            </w:r>
          </w:p>
        </w:tc>
      </w:tr>
    </w:tbl>
    <w:p w14:paraId="2DBDE68F"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878"/>
        <w:gridCol w:w="1872"/>
        <w:gridCol w:w="1872"/>
        <w:gridCol w:w="1872"/>
        <w:gridCol w:w="1911"/>
      </w:tblGrid>
      <w:tr w:rsidR="00990B14" w14:paraId="768C5FD6" w14:textId="77777777">
        <w:trPr>
          <w:jc w:val="center"/>
        </w:trPr>
        <w:tc>
          <w:tcPr>
            <w:tcW w:w="1878" w:type="dxa"/>
            <w:shd w:val="clear" w:color="auto" w:fill="4472C4"/>
            <w:vAlign w:val="center"/>
          </w:tcPr>
          <w:p w14:paraId="6942BF75" w14:textId="77777777" w:rsidR="00990B14" w:rsidRDefault="00000000">
            <w:pPr>
              <w:spacing w:before="20" w:after="20"/>
              <w:jc w:val="center"/>
            </w:pPr>
            <w:r>
              <w:rPr>
                <w:b/>
                <w:bCs/>
                <w:i/>
                <w:iCs/>
                <w:color w:val="FFFFFF"/>
                <w:sz w:val="18"/>
                <w:szCs w:val="18"/>
              </w:rPr>
              <w:t>Estrategias de aprendizaje y enseñanza</w:t>
            </w:r>
          </w:p>
        </w:tc>
        <w:tc>
          <w:tcPr>
            <w:tcW w:w="7527" w:type="dxa"/>
            <w:gridSpan w:val="4"/>
            <w:shd w:val="clear" w:color="auto" w:fill="D9E2F3"/>
            <w:vAlign w:val="center"/>
          </w:tcPr>
          <w:p w14:paraId="40B7DE98" w14:textId="77777777" w:rsidR="00990B14" w:rsidRDefault="00000000">
            <w:pPr>
              <w:numPr>
                <w:ilvl w:val="0"/>
                <w:numId w:val="140"/>
              </w:numPr>
              <w:spacing w:before="10" w:after="10"/>
              <w:jc w:val="both"/>
            </w:pPr>
            <w:r>
              <w:rPr>
                <w:sz w:val="18"/>
                <w:szCs w:val="18"/>
              </w:rPr>
              <w:t>Aprendizaje basado en problemas con operaciones de entidades financieras bolivianas.</w:t>
            </w:r>
          </w:p>
          <w:p w14:paraId="68E3470E" w14:textId="77777777" w:rsidR="00990B14" w:rsidRDefault="00000000">
            <w:pPr>
              <w:numPr>
                <w:ilvl w:val="0"/>
                <w:numId w:val="140"/>
              </w:numPr>
              <w:spacing w:before="10" w:after="10"/>
              <w:jc w:val="both"/>
            </w:pPr>
            <w:r>
              <w:rPr>
                <w:sz w:val="18"/>
                <w:szCs w:val="18"/>
              </w:rPr>
              <w:t>Caso práctico integral de auditoría de los estados financieros de una entidad financiera.</w:t>
            </w:r>
          </w:p>
          <w:p w14:paraId="7229DC1E" w14:textId="77777777" w:rsidR="00990B14" w:rsidRDefault="00000000">
            <w:pPr>
              <w:numPr>
                <w:ilvl w:val="0"/>
                <w:numId w:val="140"/>
              </w:numPr>
              <w:spacing w:before="10" w:after="10"/>
              <w:jc w:val="both"/>
            </w:pPr>
            <w:r>
              <w:rPr>
                <w:sz w:val="18"/>
                <w:szCs w:val="18"/>
              </w:rPr>
              <w:t>Resolución guiada de ejercicios de previsión, encaje legal y suficiencia patrimonial.</w:t>
            </w:r>
          </w:p>
          <w:p w14:paraId="4AEE6AA7" w14:textId="77777777" w:rsidR="00990B14" w:rsidRDefault="00000000">
            <w:pPr>
              <w:numPr>
                <w:ilvl w:val="0"/>
                <w:numId w:val="140"/>
              </w:numPr>
              <w:spacing w:before="10" w:after="10"/>
              <w:jc w:val="both"/>
            </w:pPr>
            <w:r>
              <w:rPr>
                <w:sz w:val="18"/>
                <w:szCs w:val="18"/>
              </w:rPr>
              <w:t>Estudio de casos de informes reglamentarios requeridos por la autoridad de supervisión.</w:t>
            </w:r>
          </w:p>
          <w:p w14:paraId="377E56F8" w14:textId="77777777" w:rsidR="00990B14" w:rsidRDefault="00000000">
            <w:pPr>
              <w:numPr>
                <w:ilvl w:val="0"/>
                <w:numId w:val="140"/>
              </w:numPr>
              <w:spacing w:before="10" w:after="10"/>
              <w:jc w:val="both"/>
            </w:pPr>
            <w:r>
              <w:rPr>
                <w:sz w:val="18"/>
                <w:szCs w:val="18"/>
              </w:rPr>
              <w:t>Trabajo colaborativo en equipos de auditoría con asignación de procesos significativos.</w:t>
            </w:r>
          </w:p>
          <w:p w14:paraId="04DB3AD2" w14:textId="77777777" w:rsidR="00990B14" w:rsidRDefault="00000000">
            <w:pPr>
              <w:numPr>
                <w:ilvl w:val="0"/>
                <w:numId w:val="140"/>
              </w:numPr>
              <w:spacing w:before="10" w:after="10"/>
              <w:jc w:val="both"/>
            </w:pPr>
            <w:r>
              <w:rPr>
                <w:sz w:val="18"/>
                <w:szCs w:val="18"/>
              </w:rPr>
              <w:t>Clase invertida para los contenidos normativos y regulatorios.</w:t>
            </w:r>
          </w:p>
          <w:p w14:paraId="696C2BC8" w14:textId="77777777" w:rsidR="00990B14" w:rsidRDefault="00000000">
            <w:pPr>
              <w:numPr>
                <w:ilvl w:val="0"/>
                <w:numId w:val="140"/>
              </w:numPr>
              <w:spacing w:before="10" w:after="10"/>
              <w:jc w:val="both"/>
            </w:pPr>
            <w:r>
              <w:rPr>
                <w:sz w:val="18"/>
                <w:szCs w:val="18"/>
              </w:rPr>
              <w:t>Estudio de casos de informes reglamentarios observados por la autoridad de supervisión.</w:t>
            </w:r>
          </w:p>
          <w:p w14:paraId="75D878E9" w14:textId="77777777" w:rsidR="00990B14" w:rsidRDefault="00000000">
            <w:pPr>
              <w:numPr>
                <w:ilvl w:val="0"/>
                <w:numId w:val="140"/>
              </w:numPr>
              <w:spacing w:before="10" w:after="10"/>
              <w:jc w:val="both"/>
            </w:pPr>
            <w:r>
              <w:rPr>
                <w:sz w:val="18"/>
                <w:szCs w:val="18"/>
              </w:rPr>
              <w:t>Laboratorio de análisis de datos y de controles de tecnología de información con una base de datos sintética.</w:t>
            </w:r>
          </w:p>
          <w:p w14:paraId="0CA37A02" w14:textId="77777777" w:rsidR="00990B14" w:rsidRDefault="00000000">
            <w:pPr>
              <w:numPr>
                <w:ilvl w:val="0"/>
                <w:numId w:val="140"/>
              </w:numPr>
              <w:spacing w:before="10" w:after="10"/>
              <w:jc w:val="both"/>
            </w:pPr>
            <w:r>
              <w:rPr>
                <w:sz w:val="18"/>
                <w:szCs w:val="18"/>
              </w:rPr>
              <w:t>Simulación integral de un caso y sesiones de sustentación.</w:t>
            </w:r>
          </w:p>
        </w:tc>
      </w:tr>
      <w:tr w:rsidR="00990B14" w14:paraId="30330027" w14:textId="77777777">
        <w:trPr>
          <w:jc w:val="center"/>
        </w:trPr>
        <w:tc>
          <w:tcPr>
            <w:tcW w:w="1878" w:type="dxa"/>
            <w:shd w:val="clear" w:color="auto" w:fill="4472C4"/>
            <w:vAlign w:val="center"/>
          </w:tcPr>
          <w:p w14:paraId="02458F07" w14:textId="77777777" w:rsidR="00990B14" w:rsidRDefault="00000000">
            <w:pPr>
              <w:spacing w:before="20" w:after="20"/>
              <w:jc w:val="center"/>
            </w:pPr>
            <w:r>
              <w:rPr>
                <w:b/>
                <w:bCs/>
                <w:i/>
                <w:iCs/>
                <w:color w:val="FFFFFF"/>
                <w:sz w:val="18"/>
                <w:szCs w:val="18"/>
              </w:rPr>
              <w:t>Recursos para el aprendizaje</w:t>
            </w:r>
          </w:p>
        </w:tc>
        <w:tc>
          <w:tcPr>
            <w:tcW w:w="7527" w:type="dxa"/>
            <w:gridSpan w:val="4"/>
            <w:shd w:val="clear" w:color="auto" w:fill="D9E2F3"/>
            <w:vAlign w:val="center"/>
          </w:tcPr>
          <w:p w14:paraId="418CC3CE" w14:textId="77777777" w:rsidR="00990B14" w:rsidRDefault="00000000">
            <w:pPr>
              <w:numPr>
                <w:ilvl w:val="0"/>
                <w:numId w:val="140"/>
              </w:numPr>
              <w:spacing w:before="10" w:after="10"/>
              <w:jc w:val="both"/>
            </w:pPr>
            <w:r>
              <w:rPr>
                <w:sz w:val="18"/>
                <w:szCs w:val="18"/>
              </w:rPr>
              <w:t>Plataforma Moodle UMSA.</w:t>
            </w:r>
          </w:p>
          <w:p w14:paraId="50407B85" w14:textId="77777777" w:rsidR="00990B14" w:rsidRDefault="00000000">
            <w:pPr>
              <w:numPr>
                <w:ilvl w:val="0"/>
                <w:numId w:val="140"/>
              </w:numPr>
              <w:spacing w:before="10" w:after="10"/>
              <w:jc w:val="both"/>
            </w:pPr>
            <w:r>
              <w:rPr>
                <w:sz w:val="18"/>
                <w:szCs w:val="18"/>
              </w:rPr>
              <w:t>Recopilación de normas para servicios financieros, Manual de Cuentas para Entidades Financieras y guías para la gestión de riesgos de la ASFI.</w:t>
            </w:r>
          </w:p>
          <w:p w14:paraId="54CF8B4F" w14:textId="77777777" w:rsidR="00990B14" w:rsidRDefault="00000000">
            <w:pPr>
              <w:numPr>
                <w:ilvl w:val="0"/>
                <w:numId w:val="140"/>
              </w:numPr>
              <w:spacing w:before="10" w:after="10"/>
              <w:jc w:val="both"/>
            </w:pPr>
            <w:r>
              <w:rPr>
                <w:sz w:val="18"/>
                <w:szCs w:val="18"/>
              </w:rPr>
              <w:t>Compendio de Normas de Contabilidad y Auditoría del CAUB y Manual de Pronunciamientos Internacionales del IAASB.</w:t>
            </w:r>
          </w:p>
          <w:p w14:paraId="3920486A" w14:textId="77777777" w:rsidR="00990B14" w:rsidRDefault="00000000">
            <w:pPr>
              <w:numPr>
                <w:ilvl w:val="0"/>
                <w:numId w:val="140"/>
              </w:numPr>
              <w:spacing w:before="10" w:after="10"/>
              <w:jc w:val="both"/>
            </w:pPr>
            <w:r>
              <w:rPr>
                <w:sz w:val="18"/>
                <w:szCs w:val="18"/>
              </w:rPr>
              <w:t>Estados financieros publicados de entidades de intermediación financiera y hoja de cálculo para su análisis.</w:t>
            </w:r>
          </w:p>
          <w:p w14:paraId="2686E7DF" w14:textId="77777777" w:rsidR="00990B14" w:rsidRDefault="00000000">
            <w:pPr>
              <w:numPr>
                <w:ilvl w:val="0"/>
                <w:numId w:val="140"/>
              </w:numPr>
              <w:spacing w:before="10" w:after="10"/>
              <w:jc w:val="both"/>
            </w:pPr>
            <w:r>
              <w:rPr>
                <w:sz w:val="18"/>
                <w:szCs w:val="18"/>
              </w:rPr>
              <w:t>Formatos de memorándum de planificación, matrices de riesgo y papeles de trabajo de la cátedra.</w:t>
            </w:r>
          </w:p>
          <w:p w14:paraId="207A15EE" w14:textId="77777777" w:rsidR="00990B14" w:rsidRDefault="00000000">
            <w:pPr>
              <w:numPr>
                <w:ilvl w:val="0"/>
                <w:numId w:val="140"/>
              </w:numPr>
              <w:spacing w:before="10" w:after="10"/>
              <w:jc w:val="both"/>
            </w:pPr>
            <w:r>
              <w:rPr>
                <w:sz w:val="18"/>
                <w:szCs w:val="18"/>
              </w:rPr>
              <w:t>Reglamentación del Banco Central de Bolivia sobre instrumentos electrónicos de pago y sistemas de pagos.</w:t>
            </w:r>
          </w:p>
          <w:p w14:paraId="06A7FC9E" w14:textId="77777777" w:rsidR="00990B14" w:rsidRDefault="00000000">
            <w:pPr>
              <w:numPr>
                <w:ilvl w:val="0"/>
                <w:numId w:val="140"/>
              </w:numPr>
              <w:spacing w:before="10" w:after="10"/>
              <w:jc w:val="both"/>
            </w:pPr>
            <w:r>
              <w:rPr>
                <w:sz w:val="18"/>
                <w:szCs w:val="18"/>
              </w:rPr>
              <w:t>Archivos de cartera y de depósitos para los ejercicios de análisis de datos de la cátedra.</w:t>
            </w:r>
          </w:p>
          <w:p w14:paraId="7592F2DE" w14:textId="77777777" w:rsidR="00990B14" w:rsidRDefault="00000000">
            <w:pPr>
              <w:numPr>
                <w:ilvl w:val="0"/>
                <w:numId w:val="140"/>
              </w:numPr>
              <w:spacing w:before="10" w:after="10"/>
              <w:jc w:val="both"/>
            </w:pPr>
            <w:r>
              <w:rPr>
                <w:sz w:val="18"/>
                <w:szCs w:val="18"/>
              </w:rPr>
              <w:t>Base de datos sintética de cartera y de depósitos y herramientas de análisis de datos (hoja de cálculo, Power BI o Tableau, Python o IDEA/ACL).</w:t>
            </w:r>
          </w:p>
          <w:p w14:paraId="217C14B4" w14:textId="77777777" w:rsidR="00990B14" w:rsidRDefault="00000000">
            <w:pPr>
              <w:numPr>
                <w:ilvl w:val="0"/>
                <w:numId w:val="140"/>
              </w:numPr>
              <w:spacing w:before="10" w:after="10"/>
              <w:jc w:val="both"/>
            </w:pPr>
            <w:r>
              <w:rPr>
                <w:sz w:val="18"/>
                <w:szCs w:val="18"/>
              </w:rPr>
              <w:t>COBIT, ITAF de ISACA e ISO/IEC 27001 como material de consulta.</w:t>
            </w:r>
          </w:p>
        </w:tc>
      </w:tr>
      <w:tr w:rsidR="00990B14" w14:paraId="2BC94B72" w14:textId="77777777">
        <w:trPr>
          <w:jc w:val="center"/>
        </w:trPr>
        <w:tc>
          <w:tcPr>
            <w:tcW w:w="1878" w:type="dxa"/>
            <w:shd w:val="clear" w:color="auto" w:fill="4472C4"/>
            <w:vAlign w:val="center"/>
          </w:tcPr>
          <w:p w14:paraId="2F99ABF0" w14:textId="77777777" w:rsidR="00990B14" w:rsidRDefault="00000000">
            <w:pPr>
              <w:spacing w:before="20" w:after="20"/>
              <w:jc w:val="center"/>
            </w:pPr>
            <w:r>
              <w:rPr>
                <w:b/>
                <w:bCs/>
                <w:i/>
                <w:iCs/>
                <w:color w:val="FFFFFF"/>
                <w:sz w:val="18"/>
                <w:szCs w:val="18"/>
              </w:rPr>
              <w:t>Estrategias de evaluación</w:t>
            </w:r>
          </w:p>
        </w:tc>
        <w:tc>
          <w:tcPr>
            <w:tcW w:w="7527" w:type="dxa"/>
            <w:gridSpan w:val="4"/>
            <w:shd w:val="clear" w:color="auto" w:fill="D9E2F3"/>
            <w:vAlign w:val="center"/>
          </w:tcPr>
          <w:p w14:paraId="3565F2E0" w14:textId="77777777" w:rsidR="00990B14" w:rsidRDefault="00000000">
            <w:pPr>
              <w:numPr>
                <w:ilvl w:val="0"/>
                <w:numId w:val="140"/>
              </w:numPr>
              <w:spacing w:before="10" w:after="10"/>
              <w:jc w:val="both"/>
            </w:pPr>
            <w:r>
              <w:rPr>
                <w:sz w:val="18"/>
                <w:szCs w:val="18"/>
              </w:rPr>
              <w:t>Evaluación diagnóstica: prueba inicial sobre las fases de la auditoría financiera y la gestión de riesgos de las materias precedentes.</w:t>
            </w:r>
          </w:p>
          <w:p w14:paraId="2323494D" w14:textId="77777777" w:rsidR="00990B14" w:rsidRDefault="00000000">
            <w:pPr>
              <w:numPr>
                <w:ilvl w:val="0"/>
                <w:numId w:val="140"/>
              </w:numPr>
              <w:spacing w:before="10" w:after="10"/>
              <w:jc w:val="both"/>
            </w:pPr>
            <w:r>
              <w:rPr>
                <w:sz w:val="18"/>
                <w:szCs w:val="18"/>
              </w:rPr>
              <w:t>Evaluación formativa: preguntas de comprensión y desarrollo de ejercicios prácticos en el aula, con retroalimentación continua, autoevaluación y coevaluación.</w:t>
            </w:r>
          </w:p>
          <w:p w14:paraId="1BBFE538" w14:textId="77777777" w:rsidR="00990B14" w:rsidRDefault="00000000">
            <w:pPr>
              <w:numPr>
                <w:ilvl w:val="0"/>
                <w:numId w:val="140"/>
              </w:numPr>
              <w:spacing w:before="10" w:after="10"/>
              <w:jc w:val="both"/>
            </w:pPr>
            <w:r>
              <w:rPr>
                <w:sz w:val="18"/>
                <w:szCs w:val="18"/>
              </w:rPr>
              <w:t>Evaluación sumativa: valoración de los veinte productos mediante sus rúbricas, controles de lectura, resolución de casos prácticos, sustentaciones y evaluaciones parciales y final.</w:t>
            </w:r>
          </w:p>
        </w:tc>
      </w:tr>
      <w:tr w:rsidR="00990B14" w14:paraId="7E960A3B" w14:textId="77777777">
        <w:trPr>
          <w:jc w:val="center"/>
        </w:trPr>
        <w:tc>
          <w:tcPr>
            <w:tcW w:w="1878" w:type="dxa"/>
            <w:shd w:val="clear" w:color="auto" w:fill="4472C4"/>
            <w:vAlign w:val="center"/>
          </w:tcPr>
          <w:p w14:paraId="64600D6F" w14:textId="77777777" w:rsidR="00990B14" w:rsidRDefault="00000000">
            <w:pPr>
              <w:spacing w:before="20" w:after="20"/>
              <w:jc w:val="center"/>
            </w:pPr>
            <w:r>
              <w:rPr>
                <w:b/>
                <w:bCs/>
                <w:i/>
                <w:iCs/>
                <w:color w:val="FFFFFF"/>
                <w:sz w:val="18"/>
                <w:szCs w:val="18"/>
              </w:rPr>
              <w:t>Criterios de calificación</w:t>
            </w:r>
          </w:p>
        </w:tc>
        <w:tc>
          <w:tcPr>
            <w:tcW w:w="7527" w:type="dxa"/>
            <w:gridSpan w:val="4"/>
            <w:shd w:val="clear" w:color="auto" w:fill="D9E2F3"/>
            <w:vAlign w:val="center"/>
          </w:tcPr>
          <w:p w14:paraId="53F03DEE" w14:textId="77777777" w:rsidR="00990B14" w:rsidRDefault="00000000">
            <w:pPr>
              <w:numPr>
                <w:ilvl w:val="0"/>
                <w:numId w:val="140"/>
              </w:numPr>
              <w:spacing w:before="10" w:after="10"/>
              <w:jc w:val="both"/>
            </w:pPr>
            <w:r>
              <w:rPr>
                <w:sz w:val="18"/>
                <w:szCs w:val="18"/>
              </w:rPr>
              <w:t>Nota mínima de aprobación: 51/100.</w:t>
            </w:r>
          </w:p>
          <w:p w14:paraId="4284AECC" w14:textId="77777777" w:rsidR="00990B14" w:rsidRDefault="00000000">
            <w:pPr>
              <w:numPr>
                <w:ilvl w:val="0"/>
                <w:numId w:val="140"/>
              </w:numPr>
              <w:spacing w:before="10" w:after="10"/>
              <w:jc w:val="both"/>
            </w:pPr>
            <w:r>
              <w:rPr>
                <w:sz w:val="18"/>
                <w:szCs w:val="18"/>
              </w:rPr>
              <w:t>Evaluación periódica al finalizar cada tema, basada en evidencias de conocimiento, desempeño y producto.</w:t>
            </w:r>
          </w:p>
          <w:p w14:paraId="7732B20E" w14:textId="77777777" w:rsidR="00990B14" w:rsidRDefault="00000000">
            <w:pPr>
              <w:numPr>
                <w:ilvl w:val="0"/>
                <w:numId w:val="140"/>
              </w:numPr>
              <w:spacing w:before="10" w:after="10"/>
              <w:jc w:val="both"/>
            </w:pPr>
            <w:r>
              <w:rPr>
                <w:sz w:val="18"/>
                <w:szCs w:val="18"/>
              </w:rPr>
              <w:t>Cada evidencia de producto se evalúa con su propia rúbrica de tres niveles: Insuficiente, Suficiente y Destacado.</w:t>
            </w:r>
          </w:p>
          <w:p w14:paraId="6EE5BD24" w14:textId="77777777" w:rsidR="00990B14" w:rsidRDefault="00000000">
            <w:pPr>
              <w:numPr>
                <w:ilvl w:val="0"/>
                <w:numId w:val="140"/>
              </w:numPr>
              <w:spacing w:before="10" w:after="10"/>
              <w:jc w:val="both"/>
            </w:pPr>
            <w:r>
              <w:rPr>
                <w:sz w:val="18"/>
                <w:szCs w:val="18"/>
              </w:rPr>
              <w:t>La calificación de cada elemento de competencia suma las calificaciones de sus evidencias de producto.</w:t>
            </w:r>
          </w:p>
        </w:tc>
      </w:tr>
      <w:tr w:rsidR="00990B14" w14:paraId="113A3BA6" w14:textId="77777777">
        <w:trPr>
          <w:cantSplit/>
          <w:jc w:val="center"/>
        </w:trPr>
        <w:tc>
          <w:tcPr>
            <w:tcW w:w="1878" w:type="dxa"/>
            <w:vMerge w:val="restart"/>
            <w:shd w:val="clear" w:color="auto" w:fill="4472C4"/>
            <w:vAlign w:val="center"/>
          </w:tcPr>
          <w:p w14:paraId="5D1378E3" w14:textId="77777777" w:rsidR="00990B14" w:rsidRDefault="00000000">
            <w:pPr>
              <w:spacing w:before="20" w:after="20"/>
              <w:jc w:val="center"/>
            </w:pPr>
            <w:r>
              <w:rPr>
                <w:b/>
                <w:bCs/>
                <w:i/>
                <w:iCs/>
                <w:color w:val="FFFFFF"/>
                <w:sz w:val="18"/>
                <w:szCs w:val="18"/>
              </w:rPr>
              <w:t>Niveles de logro y distribución de la calificación</w:t>
            </w:r>
          </w:p>
        </w:tc>
        <w:tc>
          <w:tcPr>
            <w:tcW w:w="5616" w:type="dxa"/>
            <w:gridSpan w:val="3"/>
            <w:shd w:val="clear" w:color="auto" w:fill="D9E2F3"/>
            <w:vAlign w:val="center"/>
          </w:tcPr>
          <w:p w14:paraId="4F117541" w14:textId="77777777" w:rsidR="00990B14" w:rsidRDefault="00000000">
            <w:pPr>
              <w:keepNext/>
              <w:spacing w:before="20" w:after="20"/>
              <w:jc w:val="both"/>
            </w:pPr>
            <w:r>
              <w:rPr>
                <w:b/>
                <w:bCs/>
                <w:i/>
                <w:iCs/>
                <w:sz w:val="18"/>
                <w:szCs w:val="18"/>
              </w:rPr>
              <w:t xml:space="preserve">Producto 1: </w:t>
            </w:r>
            <w:r>
              <w:rPr>
                <w:sz w:val="18"/>
                <w:szCs w:val="18"/>
              </w:rPr>
              <w:t>Matriz de servicios financieros autorizados</w:t>
            </w:r>
          </w:p>
        </w:tc>
        <w:tc>
          <w:tcPr>
            <w:tcW w:w="1911" w:type="dxa"/>
            <w:shd w:val="clear" w:color="auto" w:fill="D9E2F3"/>
            <w:vAlign w:val="center"/>
          </w:tcPr>
          <w:p w14:paraId="6BCC21D1" w14:textId="77777777" w:rsidR="00990B14" w:rsidRDefault="00000000">
            <w:pPr>
              <w:spacing w:before="20" w:after="20"/>
              <w:jc w:val="center"/>
            </w:pPr>
            <w:r>
              <w:rPr>
                <w:b/>
                <w:bCs/>
                <w:sz w:val="18"/>
                <w:szCs w:val="18"/>
              </w:rPr>
              <w:t>5%</w:t>
            </w:r>
          </w:p>
        </w:tc>
      </w:tr>
      <w:tr w:rsidR="00990B14" w14:paraId="28B8A9CD" w14:textId="77777777">
        <w:trPr>
          <w:cantSplit/>
          <w:jc w:val="center"/>
        </w:trPr>
        <w:tc>
          <w:tcPr>
            <w:tcW w:w="1878" w:type="dxa"/>
            <w:vMerge/>
            <w:shd w:val="clear" w:color="auto" w:fill="4472C4"/>
            <w:vAlign w:val="center"/>
          </w:tcPr>
          <w:p w14:paraId="020F185D" w14:textId="77777777" w:rsidR="00990B14" w:rsidRDefault="00990B14">
            <w:pPr>
              <w:spacing w:before="20" w:after="20"/>
            </w:pPr>
          </w:p>
        </w:tc>
        <w:tc>
          <w:tcPr>
            <w:tcW w:w="1872" w:type="dxa"/>
            <w:shd w:val="clear" w:color="auto" w:fill="4472C4"/>
            <w:vAlign w:val="center"/>
          </w:tcPr>
          <w:p w14:paraId="18265F16" w14:textId="77777777" w:rsidR="00990B14" w:rsidRDefault="00000000">
            <w:pPr>
              <w:keepNext/>
              <w:spacing w:before="20" w:after="20"/>
              <w:jc w:val="center"/>
            </w:pPr>
            <w:r>
              <w:rPr>
                <w:b/>
                <w:bCs/>
                <w:i/>
                <w:iCs/>
                <w:color w:val="FFFFFF"/>
                <w:sz w:val="18"/>
                <w:szCs w:val="18"/>
              </w:rPr>
              <w:t>Criterio</w:t>
            </w:r>
          </w:p>
        </w:tc>
        <w:tc>
          <w:tcPr>
            <w:tcW w:w="1872" w:type="dxa"/>
            <w:shd w:val="clear" w:color="auto" w:fill="4472C4"/>
            <w:vAlign w:val="center"/>
          </w:tcPr>
          <w:p w14:paraId="131A846C" w14:textId="77777777" w:rsidR="00990B14" w:rsidRDefault="00000000">
            <w:pPr>
              <w:keepNext/>
              <w:spacing w:before="20" w:after="20"/>
              <w:jc w:val="center"/>
            </w:pPr>
            <w:r>
              <w:rPr>
                <w:b/>
                <w:bCs/>
                <w:i/>
                <w:iCs/>
                <w:color w:val="FFFFFF"/>
                <w:sz w:val="18"/>
                <w:szCs w:val="18"/>
              </w:rPr>
              <w:t>Insuficiente (1–50)</w:t>
            </w:r>
          </w:p>
        </w:tc>
        <w:tc>
          <w:tcPr>
            <w:tcW w:w="1872" w:type="dxa"/>
            <w:shd w:val="clear" w:color="auto" w:fill="4472C4"/>
            <w:vAlign w:val="center"/>
          </w:tcPr>
          <w:p w14:paraId="7B56DAE7" w14:textId="77777777" w:rsidR="00990B14" w:rsidRDefault="00000000">
            <w:pPr>
              <w:keepNext/>
              <w:spacing w:before="20" w:after="20"/>
              <w:jc w:val="center"/>
            </w:pPr>
            <w:r>
              <w:rPr>
                <w:b/>
                <w:bCs/>
                <w:i/>
                <w:iCs/>
                <w:color w:val="FFFFFF"/>
                <w:sz w:val="18"/>
                <w:szCs w:val="18"/>
              </w:rPr>
              <w:t>Suficiente (51–80)</w:t>
            </w:r>
          </w:p>
        </w:tc>
        <w:tc>
          <w:tcPr>
            <w:tcW w:w="1911" w:type="dxa"/>
            <w:shd w:val="clear" w:color="auto" w:fill="4472C4"/>
            <w:vAlign w:val="center"/>
          </w:tcPr>
          <w:p w14:paraId="4E18CE8C" w14:textId="77777777" w:rsidR="00990B14" w:rsidRDefault="00000000">
            <w:pPr>
              <w:keepNext/>
              <w:spacing w:before="20" w:after="20"/>
              <w:jc w:val="center"/>
            </w:pPr>
            <w:r>
              <w:rPr>
                <w:b/>
                <w:bCs/>
                <w:i/>
                <w:iCs/>
                <w:color w:val="FFFFFF"/>
                <w:sz w:val="18"/>
                <w:szCs w:val="18"/>
              </w:rPr>
              <w:t>Destacado (81–100)</w:t>
            </w:r>
          </w:p>
        </w:tc>
      </w:tr>
      <w:tr w:rsidR="00990B14" w14:paraId="3E9321DF" w14:textId="77777777">
        <w:trPr>
          <w:cantSplit/>
          <w:jc w:val="center"/>
        </w:trPr>
        <w:tc>
          <w:tcPr>
            <w:tcW w:w="1878" w:type="dxa"/>
            <w:vMerge/>
            <w:shd w:val="clear" w:color="auto" w:fill="4472C4"/>
            <w:vAlign w:val="center"/>
          </w:tcPr>
          <w:p w14:paraId="4F56E840" w14:textId="77777777" w:rsidR="00990B14" w:rsidRDefault="00990B14">
            <w:pPr>
              <w:spacing w:before="20" w:after="20"/>
            </w:pPr>
          </w:p>
        </w:tc>
        <w:tc>
          <w:tcPr>
            <w:tcW w:w="1872" w:type="dxa"/>
            <w:shd w:val="clear" w:color="auto" w:fill="D9E2F3"/>
            <w:vAlign w:val="center"/>
          </w:tcPr>
          <w:p w14:paraId="5418C3BA" w14:textId="77777777" w:rsidR="00990B14" w:rsidRDefault="00000000">
            <w:pPr>
              <w:spacing w:before="20" w:after="20"/>
              <w:jc w:val="both"/>
            </w:pPr>
            <w:r>
              <w:rPr>
                <w:sz w:val="18"/>
                <w:szCs w:val="18"/>
              </w:rPr>
              <w:t>Servicios</w:t>
            </w:r>
          </w:p>
        </w:tc>
        <w:tc>
          <w:tcPr>
            <w:tcW w:w="1872" w:type="dxa"/>
            <w:shd w:val="clear" w:color="auto" w:fill="D9E2F3"/>
            <w:vAlign w:val="center"/>
          </w:tcPr>
          <w:p w14:paraId="5519A6A9" w14:textId="77777777" w:rsidR="00990B14" w:rsidRDefault="00000000">
            <w:pPr>
              <w:spacing w:before="20" w:after="20"/>
              <w:jc w:val="both"/>
            </w:pPr>
            <w:r>
              <w:rPr>
                <w:sz w:val="18"/>
                <w:szCs w:val="18"/>
              </w:rPr>
              <w:t>Omite servicios autorizados.</w:t>
            </w:r>
          </w:p>
        </w:tc>
        <w:tc>
          <w:tcPr>
            <w:tcW w:w="1872" w:type="dxa"/>
            <w:shd w:val="clear" w:color="auto" w:fill="D9E2F3"/>
            <w:vAlign w:val="center"/>
          </w:tcPr>
          <w:p w14:paraId="541B9768" w14:textId="77777777" w:rsidR="00990B14" w:rsidRDefault="00000000">
            <w:pPr>
              <w:spacing w:before="20" w:after="20"/>
              <w:jc w:val="both"/>
            </w:pPr>
            <w:r>
              <w:rPr>
                <w:sz w:val="18"/>
                <w:szCs w:val="18"/>
              </w:rPr>
              <w:t>Presenta los servicios autorizados por tipo de entidad.</w:t>
            </w:r>
          </w:p>
        </w:tc>
        <w:tc>
          <w:tcPr>
            <w:tcW w:w="1911" w:type="dxa"/>
            <w:shd w:val="clear" w:color="auto" w:fill="D9E2F3"/>
            <w:vAlign w:val="center"/>
          </w:tcPr>
          <w:p w14:paraId="418C4DD8" w14:textId="77777777" w:rsidR="00990B14" w:rsidRDefault="00000000">
            <w:pPr>
              <w:spacing w:before="20" w:after="20"/>
              <w:jc w:val="both"/>
            </w:pPr>
            <w:r>
              <w:rPr>
                <w:sz w:val="18"/>
                <w:szCs w:val="18"/>
              </w:rPr>
              <w:t>Relaciona cada servicio con sus riesgos.</w:t>
            </w:r>
          </w:p>
        </w:tc>
      </w:tr>
      <w:tr w:rsidR="00990B14" w14:paraId="679B6924" w14:textId="77777777">
        <w:trPr>
          <w:cantSplit/>
          <w:jc w:val="center"/>
        </w:trPr>
        <w:tc>
          <w:tcPr>
            <w:tcW w:w="1878" w:type="dxa"/>
            <w:vMerge/>
            <w:shd w:val="clear" w:color="auto" w:fill="4472C4"/>
            <w:vAlign w:val="center"/>
          </w:tcPr>
          <w:p w14:paraId="2D875003" w14:textId="77777777" w:rsidR="00990B14" w:rsidRDefault="00990B14">
            <w:pPr>
              <w:spacing w:before="20" w:after="20"/>
            </w:pPr>
          </w:p>
        </w:tc>
        <w:tc>
          <w:tcPr>
            <w:tcW w:w="1872" w:type="dxa"/>
            <w:shd w:val="clear" w:color="auto" w:fill="D9E2F3"/>
            <w:vAlign w:val="center"/>
          </w:tcPr>
          <w:p w14:paraId="3B15616D" w14:textId="77777777" w:rsidR="00990B14" w:rsidRDefault="00000000">
            <w:pPr>
              <w:spacing w:before="20" w:after="20"/>
              <w:jc w:val="both"/>
            </w:pPr>
            <w:r>
              <w:rPr>
                <w:sz w:val="18"/>
                <w:szCs w:val="18"/>
              </w:rPr>
              <w:t>Normativa</w:t>
            </w:r>
          </w:p>
        </w:tc>
        <w:tc>
          <w:tcPr>
            <w:tcW w:w="1872" w:type="dxa"/>
            <w:shd w:val="clear" w:color="auto" w:fill="D9E2F3"/>
            <w:vAlign w:val="center"/>
          </w:tcPr>
          <w:p w14:paraId="3E476060" w14:textId="77777777" w:rsidR="00990B14" w:rsidRDefault="00000000">
            <w:pPr>
              <w:spacing w:before="20" w:after="20"/>
              <w:jc w:val="both"/>
            </w:pPr>
            <w:r>
              <w:rPr>
                <w:sz w:val="18"/>
                <w:szCs w:val="18"/>
              </w:rPr>
              <w:t>No cita la normativa.</w:t>
            </w:r>
          </w:p>
        </w:tc>
        <w:tc>
          <w:tcPr>
            <w:tcW w:w="1872" w:type="dxa"/>
            <w:shd w:val="clear" w:color="auto" w:fill="D9E2F3"/>
            <w:vAlign w:val="center"/>
          </w:tcPr>
          <w:p w14:paraId="53490B2E" w14:textId="77777777" w:rsidR="00990B14" w:rsidRDefault="00000000">
            <w:pPr>
              <w:spacing w:before="20" w:after="20"/>
              <w:jc w:val="both"/>
            </w:pPr>
            <w:r>
              <w:rPr>
                <w:sz w:val="18"/>
                <w:szCs w:val="18"/>
              </w:rPr>
              <w:t>Asocia cada servicio con su normativa reglamentaria.</w:t>
            </w:r>
          </w:p>
        </w:tc>
        <w:tc>
          <w:tcPr>
            <w:tcW w:w="1911" w:type="dxa"/>
            <w:shd w:val="clear" w:color="auto" w:fill="D9E2F3"/>
            <w:vAlign w:val="center"/>
          </w:tcPr>
          <w:p w14:paraId="343EC86A" w14:textId="77777777" w:rsidR="00990B14" w:rsidRDefault="00000000">
            <w:pPr>
              <w:spacing w:before="20" w:after="20"/>
              <w:jc w:val="both"/>
            </w:pPr>
            <w:r>
              <w:rPr>
                <w:sz w:val="18"/>
                <w:szCs w:val="18"/>
              </w:rPr>
              <w:t>Señala las restricciones de cada tipo de entidad.</w:t>
            </w:r>
          </w:p>
        </w:tc>
      </w:tr>
      <w:tr w:rsidR="00990B14" w14:paraId="5EF80EC4" w14:textId="77777777">
        <w:trPr>
          <w:cantSplit/>
          <w:jc w:val="center"/>
        </w:trPr>
        <w:tc>
          <w:tcPr>
            <w:tcW w:w="1878" w:type="dxa"/>
            <w:vMerge/>
            <w:shd w:val="clear" w:color="auto" w:fill="4472C4"/>
            <w:vAlign w:val="center"/>
          </w:tcPr>
          <w:p w14:paraId="501D73BA" w14:textId="77777777" w:rsidR="00990B14" w:rsidRDefault="00990B14">
            <w:pPr>
              <w:spacing w:before="20" w:after="20"/>
            </w:pPr>
          </w:p>
        </w:tc>
        <w:tc>
          <w:tcPr>
            <w:tcW w:w="1872" w:type="dxa"/>
            <w:shd w:val="clear" w:color="auto" w:fill="D9E2F3"/>
            <w:vAlign w:val="center"/>
          </w:tcPr>
          <w:p w14:paraId="14ED84C2" w14:textId="77777777" w:rsidR="00990B14" w:rsidRDefault="00000000">
            <w:pPr>
              <w:spacing w:before="20" w:after="20"/>
              <w:jc w:val="both"/>
            </w:pPr>
            <w:r>
              <w:rPr>
                <w:sz w:val="18"/>
                <w:szCs w:val="18"/>
              </w:rPr>
              <w:t>Trabajo en equipo</w:t>
            </w:r>
          </w:p>
        </w:tc>
        <w:tc>
          <w:tcPr>
            <w:tcW w:w="1872" w:type="dxa"/>
            <w:shd w:val="clear" w:color="auto" w:fill="D9E2F3"/>
            <w:vAlign w:val="center"/>
          </w:tcPr>
          <w:p w14:paraId="770AC650" w14:textId="77777777" w:rsidR="00990B14" w:rsidRDefault="00000000">
            <w:pPr>
              <w:spacing w:before="20" w:after="20"/>
              <w:jc w:val="both"/>
            </w:pPr>
            <w:r>
              <w:rPr>
                <w:sz w:val="18"/>
                <w:szCs w:val="18"/>
              </w:rPr>
              <w:t>La participación de los integrantes es desigual.</w:t>
            </w:r>
          </w:p>
        </w:tc>
        <w:tc>
          <w:tcPr>
            <w:tcW w:w="1872" w:type="dxa"/>
            <w:shd w:val="clear" w:color="auto" w:fill="D9E2F3"/>
            <w:vAlign w:val="center"/>
          </w:tcPr>
          <w:p w14:paraId="7366E1F9" w14:textId="77777777" w:rsidR="00990B14" w:rsidRDefault="00000000">
            <w:pPr>
              <w:spacing w:before="20" w:after="20"/>
              <w:jc w:val="both"/>
            </w:pPr>
            <w:r>
              <w:rPr>
                <w:sz w:val="18"/>
                <w:szCs w:val="18"/>
              </w:rPr>
              <w:t>Todos los integrantes participan en el trabajo.</w:t>
            </w:r>
          </w:p>
        </w:tc>
        <w:tc>
          <w:tcPr>
            <w:tcW w:w="1911" w:type="dxa"/>
            <w:shd w:val="clear" w:color="auto" w:fill="D9E2F3"/>
            <w:vAlign w:val="center"/>
          </w:tcPr>
          <w:p w14:paraId="4CF7F17C" w14:textId="77777777" w:rsidR="00990B14" w:rsidRDefault="00000000">
            <w:pPr>
              <w:spacing w:before="20" w:after="20"/>
              <w:jc w:val="both"/>
            </w:pPr>
            <w:r>
              <w:rPr>
                <w:sz w:val="18"/>
                <w:szCs w:val="18"/>
              </w:rPr>
              <w:t>El equipo sustenta sus decisiones con fundamento.</w:t>
            </w:r>
          </w:p>
        </w:tc>
      </w:tr>
      <w:tr w:rsidR="00990B14" w14:paraId="2B5828E2" w14:textId="77777777">
        <w:trPr>
          <w:cantSplit/>
          <w:jc w:val="center"/>
        </w:trPr>
        <w:tc>
          <w:tcPr>
            <w:tcW w:w="1878" w:type="dxa"/>
            <w:vMerge/>
            <w:shd w:val="clear" w:color="auto" w:fill="4472C4"/>
            <w:vAlign w:val="center"/>
          </w:tcPr>
          <w:p w14:paraId="6D5B648B" w14:textId="77777777" w:rsidR="00990B14" w:rsidRDefault="00990B14">
            <w:pPr>
              <w:spacing w:before="20" w:after="20"/>
            </w:pPr>
          </w:p>
        </w:tc>
        <w:tc>
          <w:tcPr>
            <w:tcW w:w="5616" w:type="dxa"/>
            <w:gridSpan w:val="3"/>
            <w:shd w:val="clear" w:color="auto" w:fill="D9E2F3"/>
            <w:vAlign w:val="center"/>
          </w:tcPr>
          <w:p w14:paraId="662D258D" w14:textId="77777777" w:rsidR="00990B14" w:rsidRDefault="00000000">
            <w:pPr>
              <w:keepNext/>
              <w:spacing w:before="20" w:after="20"/>
              <w:jc w:val="both"/>
            </w:pPr>
            <w:r>
              <w:rPr>
                <w:b/>
                <w:bCs/>
                <w:i/>
                <w:iCs/>
                <w:sz w:val="18"/>
                <w:szCs w:val="18"/>
              </w:rPr>
              <w:t xml:space="preserve">Producto 2: </w:t>
            </w:r>
            <w:r>
              <w:rPr>
                <w:sz w:val="18"/>
                <w:szCs w:val="18"/>
              </w:rPr>
              <w:t>Mapa del sistema financiero nacional y del sistema de pagos</w:t>
            </w:r>
          </w:p>
        </w:tc>
        <w:tc>
          <w:tcPr>
            <w:tcW w:w="1911" w:type="dxa"/>
            <w:shd w:val="clear" w:color="auto" w:fill="D9E2F3"/>
            <w:vAlign w:val="center"/>
          </w:tcPr>
          <w:p w14:paraId="6D067234" w14:textId="77777777" w:rsidR="00990B14" w:rsidRDefault="00000000">
            <w:pPr>
              <w:spacing w:before="20" w:after="20"/>
              <w:jc w:val="center"/>
            </w:pPr>
            <w:r>
              <w:rPr>
                <w:b/>
                <w:bCs/>
                <w:sz w:val="18"/>
                <w:szCs w:val="18"/>
              </w:rPr>
              <w:t>5%</w:t>
            </w:r>
          </w:p>
        </w:tc>
      </w:tr>
      <w:tr w:rsidR="00990B14" w14:paraId="706DFED1" w14:textId="77777777">
        <w:trPr>
          <w:cantSplit/>
          <w:jc w:val="center"/>
        </w:trPr>
        <w:tc>
          <w:tcPr>
            <w:tcW w:w="1878" w:type="dxa"/>
            <w:vMerge/>
            <w:shd w:val="clear" w:color="auto" w:fill="4472C4"/>
            <w:vAlign w:val="center"/>
          </w:tcPr>
          <w:p w14:paraId="70252078" w14:textId="77777777" w:rsidR="00990B14" w:rsidRDefault="00990B14">
            <w:pPr>
              <w:spacing w:before="20" w:after="20"/>
            </w:pPr>
          </w:p>
        </w:tc>
        <w:tc>
          <w:tcPr>
            <w:tcW w:w="1872" w:type="dxa"/>
            <w:shd w:val="clear" w:color="auto" w:fill="4472C4"/>
            <w:vAlign w:val="center"/>
          </w:tcPr>
          <w:p w14:paraId="5B5B888A" w14:textId="77777777" w:rsidR="00990B14" w:rsidRDefault="00000000">
            <w:pPr>
              <w:keepNext/>
              <w:spacing w:before="20" w:after="20"/>
              <w:jc w:val="center"/>
            </w:pPr>
            <w:r>
              <w:rPr>
                <w:b/>
                <w:bCs/>
                <w:i/>
                <w:iCs/>
                <w:color w:val="FFFFFF"/>
                <w:sz w:val="18"/>
                <w:szCs w:val="18"/>
              </w:rPr>
              <w:t>Criterio</w:t>
            </w:r>
          </w:p>
        </w:tc>
        <w:tc>
          <w:tcPr>
            <w:tcW w:w="1872" w:type="dxa"/>
            <w:shd w:val="clear" w:color="auto" w:fill="4472C4"/>
            <w:vAlign w:val="center"/>
          </w:tcPr>
          <w:p w14:paraId="6191F42B" w14:textId="77777777" w:rsidR="00990B14" w:rsidRDefault="00000000">
            <w:pPr>
              <w:keepNext/>
              <w:spacing w:before="20" w:after="20"/>
              <w:jc w:val="center"/>
            </w:pPr>
            <w:r>
              <w:rPr>
                <w:b/>
                <w:bCs/>
                <w:i/>
                <w:iCs/>
                <w:color w:val="FFFFFF"/>
                <w:sz w:val="18"/>
                <w:szCs w:val="18"/>
              </w:rPr>
              <w:t>Insuficiente (1–50)</w:t>
            </w:r>
          </w:p>
        </w:tc>
        <w:tc>
          <w:tcPr>
            <w:tcW w:w="1872" w:type="dxa"/>
            <w:shd w:val="clear" w:color="auto" w:fill="4472C4"/>
            <w:vAlign w:val="center"/>
          </w:tcPr>
          <w:p w14:paraId="3750EDE3" w14:textId="77777777" w:rsidR="00990B14" w:rsidRDefault="00000000">
            <w:pPr>
              <w:keepNext/>
              <w:spacing w:before="20" w:after="20"/>
              <w:jc w:val="center"/>
            </w:pPr>
            <w:r>
              <w:rPr>
                <w:b/>
                <w:bCs/>
                <w:i/>
                <w:iCs/>
                <w:color w:val="FFFFFF"/>
                <w:sz w:val="18"/>
                <w:szCs w:val="18"/>
              </w:rPr>
              <w:t>Suficiente (51–80)</w:t>
            </w:r>
          </w:p>
        </w:tc>
        <w:tc>
          <w:tcPr>
            <w:tcW w:w="1911" w:type="dxa"/>
            <w:shd w:val="clear" w:color="auto" w:fill="4472C4"/>
            <w:vAlign w:val="center"/>
          </w:tcPr>
          <w:p w14:paraId="36C2F641" w14:textId="77777777" w:rsidR="00990B14" w:rsidRDefault="00000000">
            <w:pPr>
              <w:keepNext/>
              <w:spacing w:before="20" w:after="20"/>
              <w:jc w:val="center"/>
            </w:pPr>
            <w:r>
              <w:rPr>
                <w:b/>
                <w:bCs/>
                <w:i/>
                <w:iCs/>
                <w:color w:val="FFFFFF"/>
                <w:sz w:val="18"/>
                <w:szCs w:val="18"/>
              </w:rPr>
              <w:t>Destacado (81–100)</w:t>
            </w:r>
          </w:p>
        </w:tc>
      </w:tr>
      <w:tr w:rsidR="00990B14" w14:paraId="1304EB41" w14:textId="77777777">
        <w:trPr>
          <w:cantSplit/>
          <w:jc w:val="center"/>
        </w:trPr>
        <w:tc>
          <w:tcPr>
            <w:tcW w:w="1878" w:type="dxa"/>
            <w:vMerge/>
            <w:shd w:val="clear" w:color="auto" w:fill="4472C4"/>
            <w:vAlign w:val="center"/>
          </w:tcPr>
          <w:p w14:paraId="46D584A6" w14:textId="77777777" w:rsidR="00990B14" w:rsidRDefault="00990B14">
            <w:pPr>
              <w:spacing w:before="20" w:after="20"/>
            </w:pPr>
          </w:p>
        </w:tc>
        <w:tc>
          <w:tcPr>
            <w:tcW w:w="1872" w:type="dxa"/>
            <w:shd w:val="clear" w:color="auto" w:fill="D9E2F3"/>
            <w:vAlign w:val="center"/>
          </w:tcPr>
          <w:p w14:paraId="084E9D5D" w14:textId="77777777" w:rsidR="00990B14" w:rsidRDefault="00000000">
            <w:pPr>
              <w:spacing w:before="20" w:after="20"/>
              <w:jc w:val="both"/>
            </w:pPr>
            <w:r>
              <w:rPr>
                <w:sz w:val="18"/>
                <w:szCs w:val="18"/>
              </w:rPr>
              <w:t>Estructura</w:t>
            </w:r>
          </w:p>
        </w:tc>
        <w:tc>
          <w:tcPr>
            <w:tcW w:w="1872" w:type="dxa"/>
            <w:shd w:val="clear" w:color="auto" w:fill="D9E2F3"/>
            <w:vAlign w:val="center"/>
          </w:tcPr>
          <w:p w14:paraId="4AF7B015" w14:textId="77777777" w:rsidR="00990B14" w:rsidRDefault="00000000">
            <w:pPr>
              <w:spacing w:before="20" w:after="20"/>
              <w:jc w:val="both"/>
            </w:pPr>
            <w:r>
              <w:rPr>
                <w:sz w:val="18"/>
                <w:szCs w:val="18"/>
              </w:rPr>
              <w:t>Omite subsistemas o reguladores.</w:t>
            </w:r>
          </w:p>
        </w:tc>
        <w:tc>
          <w:tcPr>
            <w:tcW w:w="1872" w:type="dxa"/>
            <w:shd w:val="clear" w:color="auto" w:fill="D9E2F3"/>
            <w:vAlign w:val="center"/>
          </w:tcPr>
          <w:p w14:paraId="1B2AF16B" w14:textId="77777777" w:rsidR="00990B14" w:rsidRDefault="00000000">
            <w:pPr>
              <w:spacing w:before="20" w:after="20"/>
              <w:jc w:val="both"/>
            </w:pPr>
            <w:r>
              <w:rPr>
                <w:sz w:val="18"/>
                <w:szCs w:val="18"/>
              </w:rPr>
              <w:t>Presenta los subsistemas y sus organismos reguladores.</w:t>
            </w:r>
          </w:p>
        </w:tc>
        <w:tc>
          <w:tcPr>
            <w:tcW w:w="1911" w:type="dxa"/>
            <w:shd w:val="clear" w:color="auto" w:fill="D9E2F3"/>
            <w:vAlign w:val="center"/>
          </w:tcPr>
          <w:p w14:paraId="597C5CE7" w14:textId="77777777" w:rsidR="00990B14" w:rsidRDefault="00000000">
            <w:pPr>
              <w:spacing w:before="20" w:after="20"/>
              <w:jc w:val="both"/>
            </w:pPr>
            <w:r>
              <w:rPr>
                <w:sz w:val="18"/>
                <w:szCs w:val="18"/>
              </w:rPr>
              <w:t>Explica la relación entre los reguladores.</w:t>
            </w:r>
          </w:p>
        </w:tc>
      </w:tr>
      <w:tr w:rsidR="00990B14" w14:paraId="003FF5A4" w14:textId="77777777">
        <w:trPr>
          <w:cantSplit/>
          <w:jc w:val="center"/>
        </w:trPr>
        <w:tc>
          <w:tcPr>
            <w:tcW w:w="1878" w:type="dxa"/>
            <w:vMerge/>
            <w:shd w:val="clear" w:color="auto" w:fill="4472C4"/>
            <w:vAlign w:val="center"/>
          </w:tcPr>
          <w:p w14:paraId="3EC1CE37" w14:textId="77777777" w:rsidR="00990B14" w:rsidRDefault="00990B14">
            <w:pPr>
              <w:spacing w:before="20" w:after="20"/>
            </w:pPr>
          </w:p>
        </w:tc>
        <w:tc>
          <w:tcPr>
            <w:tcW w:w="1872" w:type="dxa"/>
            <w:shd w:val="clear" w:color="auto" w:fill="D9E2F3"/>
            <w:vAlign w:val="center"/>
          </w:tcPr>
          <w:p w14:paraId="2C10F743" w14:textId="77777777" w:rsidR="00990B14" w:rsidRDefault="00000000">
            <w:pPr>
              <w:spacing w:before="20" w:after="20"/>
              <w:jc w:val="both"/>
            </w:pPr>
            <w:r>
              <w:rPr>
                <w:sz w:val="18"/>
                <w:szCs w:val="18"/>
              </w:rPr>
              <w:t>Pagos digitales</w:t>
            </w:r>
          </w:p>
        </w:tc>
        <w:tc>
          <w:tcPr>
            <w:tcW w:w="1872" w:type="dxa"/>
            <w:shd w:val="clear" w:color="auto" w:fill="D9E2F3"/>
            <w:vAlign w:val="center"/>
          </w:tcPr>
          <w:p w14:paraId="21EA92AB" w14:textId="77777777" w:rsidR="00990B14" w:rsidRDefault="00000000">
            <w:pPr>
              <w:spacing w:before="20" w:after="20"/>
              <w:jc w:val="both"/>
            </w:pPr>
            <w:r>
              <w:rPr>
                <w:sz w:val="18"/>
                <w:szCs w:val="18"/>
              </w:rPr>
              <w:t>Confunde los instrumentos de pago.</w:t>
            </w:r>
          </w:p>
        </w:tc>
        <w:tc>
          <w:tcPr>
            <w:tcW w:w="1872" w:type="dxa"/>
            <w:shd w:val="clear" w:color="auto" w:fill="D9E2F3"/>
            <w:vAlign w:val="center"/>
          </w:tcPr>
          <w:p w14:paraId="3F096EFB" w14:textId="77777777" w:rsidR="00990B14" w:rsidRDefault="00000000">
            <w:pPr>
              <w:spacing w:before="20" w:after="20"/>
              <w:jc w:val="both"/>
            </w:pPr>
            <w:r>
              <w:rPr>
                <w:sz w:val="18"/>
                <w:szCs w:val="18"/>
              </w:rPr>
              <w:t>Clasifica los instrumentos de pago digital.</w:t>
            </w:r>
          </w:p>
        </w:tc>
        <w:tc>
          <w:tcPr>
            <w:tcW w:w="1911" w:type="dxa"/>
            <w:shd w:val="clear" w:color="auto" w:fill="D9E2F3"/>
            <w:vAlign w:val="center"/>
          </w:tcPr>
          <w:p w14:paraId="67F36A40" w14:textId="77777777" w:rsidR="00990B14" w:rsidRDefault="00000000">
            <w:pPr>
              <w:spacing w:before="20" w:after="20"/>
              <w:jc w:val="both"/>
            </w:pPr>
            <w:r>
              <w:rPr>
                <w:sz w:val="18"/>
                <w:szCs w:val="18"/>
              </w:rPr>
              <w:t>Analiza los riesgos de cada instrumento y sustenta su incidencia en el sistema de pagos.</w:t>
            </w:r>
          </w:p>
        </w:tc>
      </w:tr>
      <w:tr w:rsidR="00990B14" w14:paraId="188521AD" w14:textId="77777777">
        <w:trPr>
          <w:cantSplit/>
          <w:jc w:val="center"/>
        </w:trPr>
        <w:tc>
          <w:tcPr>
            <w:tcW w:w="1878" w:type="dxa"/>
            <w:vMerge/>
            <w:shd w:val="clear" w:color="auto" w:fill="4472C4"/>
            <w:vAlign w:val="center"/>
          </w:tcPr>
          <w:p w14:paraId="30BF46A2" w14:textId="77777777" w:rsidR="00990B14" w:rsidRDefault="00990B14">
            <w:pPr>
              <w:spacing w:before="20" w:after="20"/>
            </w:pPr>
          </w:p>
        </w:tc>
        <w:tc>
          <w:tcPr>
            <w:tcW w:w="1872" w:type="dxa"/>
            <w:shd w:val="clear" w:color="auto" w:fill="D9E2F3"/>
            <w:vAlign w:val="center"/>
          </w:tcPr>
          <w:p w14:paraId="35057538" w14:textId="77777777" w:rsidR="00990B14" w:rsidRDefault="00000000">
            <w:pPr>
              <w:spacing w:before="20" w:after="20"/>
              <w:jc w:val="both"/>
            </w:pPr>
            <w:r>
              <w:rPr>
                <w:sz w:val="18"/>
                <w:szCs w:val="18"/>
              </w:rPr>
              <w:t>Presentación</w:t>
            </w:r>
          </w:p>
        </w:tc>
        <w:tc>
          <w:tcPr>
            <w:tcW w:w="1872" w:type="dxa"/>
            <w:shd w:val="clear" w:color="auto" w:fill="D9E2F3"/>
            <w:vAlign w:val="center"/>
          </w:tcPr>
          <w:p w14:paraId="2D6EA855" w14:textId="77777777" w:rsidR="00990B14" w:rsidRDefault="00000000">
            <w:pPr>
              <w:spacing w:before="20" w:after="20"/>
              <w:jc w:val="both"/>
            </w:pPr>
            <w:r>
              <w:rPr>
                <w:sz w:val="18"/>
                <w:szCs w:val="18"/>
              </w:rPr>
              <w:t>El esquema es confuso.</w:t>
            </w:r>
          </w:p>
        </w:tc>
        <w:tc>
          <w:tcPr>
            <w:tcW w:w="1872" w:type="dxa"/>
            <w:shd w:val="clear" w:color="auto" w:fill="D9E2F3"/>
            <w:vAlign w:val="center"/>
          </w:tcPr>
          <w:p w14:paraId="093C8732" w14:textId="77777777" w:rsidR="00990B14" w:rsidRDefault="00000000">
            <w:pPr>
              <w:spacing w:before="20" w:after="20"/>
              <w:jc w:val="both"/>
            </w:pPr>
            <w:r>
              <w:rPr>
                <w:sz w:val="18"/>
                <w:szCs w:val="18"/>
              </w:rPr>
              <w:t>El esquema es claro.</w:t>
            </w:r>
          </w:p>
        </w:tc>
        <w:tc>
          <w:tcPr>
            <w:tcW w:w="1911" w:type="dxa"/>
            <w:shd w:val="clear" w:color="auto" w:fill="D9E2F3"/>
            <w:vAlign w:val="center"/>
          </w:tcPr>
          <w:p w14:paraId="721B331F" w14:textId="77777777" w:rsidR="00990B14" w:rsidRDefault="00000000">
            <w:pPr>
              <w:spacing w:before="20" w:after="20"/>
              <w:jc w:val="both"/>
            </w:pPr>
            <w:r>
              <w:rPr>
                <w:sz w:val="18"/>
                <w:szCs w:val="18"/>
              </w:rPr>
              <w:t>El esquema sintetiza el sistema con precisión.</w:t>
            </w:r>
          </w:p>
        </w:tc>
      </w:tr>
      <w:tr w:rsidR="00990B14" w14:paraId="7524A7EA" w14:textId="77777777">
        <w:trPr>
          <w:cantSplit/>
          <w:jc w:val="center"/>
        </w:trPr>
        <w:tc>
          <w:tcPr>
            <w:tcW w:w="1878" w:type="dxa"/>
            <w:vMerge/>
            <w:shd w:val="clear" w:color="auto" w:fill="4472C4"/>
            <w:vAlign w:val="center"/>
          </w:tcPr>
          <w:p w14:paraId="4669B59A" w14:textId="77777777" w:rsidR="00990B14" w:rsidRDefault="00990B14">
            <w:pPr>
              <w:spacing w:before="20" w:after="20"/>
            </w:pPr>
          </w:p>
        </w:tc>
        <w:tc>
          <w:tcPr>
            <w:tcW w:w="5616" w:type="dxa"/>
            <w:gridSpan w:val="3"/>
            <w:shd w:val="clear" w:color="auto" w:fill="D9E2F3"/>
            <w:vAlign w:val="center"/>
          </w:tcPr>
          <w:p w14:paraId="6068A0EC" w14:textId="77777777" w:rsidR="00990B14" w:rsidRDefault="00000000">
            <w:pPr>
              <w:keepNext/>
              <w:spacing w:before="20" w:after="20"/>
              <w:jc w:val="both"/>
            </w:pPr>
            <w:r>
              <w:rPr>
                <w:b/>
                <w:bCs/>
                <w:i/>
                <w:iCs/>
                <w:sz w:val="18"/>
                <w:szCs w:val="18"/>
              </w:rPr>
              <w:t xml:space="preserve">Producto 3: </w:t>
            </w:r>
            <w:r>
              <w:rPr>
                <w:sz w:val="18"/>
                <w:szCs w:val="18"/>
              </w:rPr>
              <w:t>Planilla de cálculo de la previsión para incobrabilidad y del encaje legal</w:t>
            </w:r>
          </w:p>
        </w:tc>
        <w:tc>
          <w:tcPr>
            <w:tcW w:w="1911" w:type="dxa"/>
            <w:shd w:val="clear" w:color="auto" w:fill="D9E2F3"/>
            <w:vAlign w:val="center"/>
          </w:tcPr>
          <w:p w14:paraId="28F25E9E" w14:textId="77777777" w:rsidR="00990B14" w:rsidRDefault="00000000">
            <w:pPr>
              <w:spacing w:before="20" w:after="20"/>
              <w:jc w:val="center"/>
            </w:pPr>
            <w:r>
              <w:rPr>
                <w:b/>
                <w:bCs/>
                <w:sz w:val="18"/>
                <w:szCs w:val="18"/>
              </w:rPr>
              <w:t>5%</w:t>
            </w:r>
          </w:p>
        </w:tc>
      </w:tr>
      <w:tr w:rsidR="00990B14" w14:paraId="69BA269B" w14:textId="77777777">
        <w:trPr>
          <w:cantSplit/>
          <w:jc w:val="center"/>
        </w:trPr>
        <w:tc>
          <w:tcPr>
            <w:tcW w:w="1878" w:type="dxa"/>
            <w:vMerge/>
            <w:shd w:val="clear" w:color="auto" w:fill="4472C4"/>
            <w:vAlign w:val="center"/>
          </w:tcPr>
          <w:p w14:paraId="1A4AB804" w14:textId="77777777" w:rsidR="00990B14" w:rsidRDefault="00990B14">
            <w:pPr>
              <w:spacing w:before="20" w:after="20"/>
            </w:pPr>
          </w:p>
        </w:tc>
        <w:tc>
          <w:tcPr>
            <w:tcW w:w="1872" w:type="dxa"/>
            <w:shd w:val="clear" w:color="auto" w:fill="4472C4"/>
            <w:vAlign w:val="center"/>
          </w:tcPr>
          <w:p w14:paraId="3F823C9B" w14:textId="77777777" w:rsidR="00990B14" w:rsidRDefault="00000000">
            <w:pPr>
              <w:keepNext/>
              <w:spacing w:before="20" w:after="20"/>
              <w:jc w:val="center"/>
            </w:pPr>
            <w:r>
              <w:rPr>
                <w:b/>
                <w:bCs/>
                <w:i/>
                <w:iCs/>
                <w:color w:val="FFFFFF"/>
                <w:sz w:val="18"/>
                <w:szCs w:val="18"/>
              </w:rPr>
              <w:t>Criterio</w:t>
            </w:r>
          </w:p>
        </w:tc>
        <w:tc>
          <w:tcPr>
            <w:tcW w:w="1872" w:type="dxa"/>
            <w:shd w:val="clear" w:color="auto" w:fill="4472C4"/>
            <w:vAlign w:val="center"/>
          </w:tcPr>
          <w:p w14:paraId="025BE745" w14:textId="77777777" w:rsidR="00990B14" w:rsidRDefault="00000000">
            <w:pPr>
              <w:keepNext/>
              <w:spacing w:before="20" w:after="20"/>
              <w:jc w:val="center"/>
            </w:pPr>
            <w:r>
              <w:rPr>
                <w:b/>
                <w:bCs/>
                <w:i/>
                <w:iCs/>
                <w:color w:val="FFFFFF"/>
                <w:sz w:val="18"/>
                <w:szCs w:val="18"/>
              </w:rPr>
              <w:t>Insuficiente (1–50)</w:t>
            </w:r>
          </w:p>
        </w:tc>
        <w:tc>
          <w:tcPr>
            <w:tcW w:w="1872" w:type="dxa"/>
            <w:shd w:val="clear" w:color="auto" w:fill="4472C4"/>
            <w:vAlign w:val="center"/>
          </w:tcPr>
          <w:p w14:paraId="1AC3F731" w14:textId="77777777" w:rsidR="00990B14" w:rsidRDefault="00000000">
            <w:pPr>
              <w:keepNext/>
              <w:spacing w:before="20" w:after="20"/>
              <w:jc w:val="center"/>
            </w:pPr>
            <w:r>
              <w:rPr>
                <w:b/>
                <w:bCs/>
                <w:i/>
                <w:iCs/>
                <w:color w:val="FFFFFF"/>
                <w:sz w:val="18"/>
                <w:szCs w:val="18"/>
              </w:rPr>
              <w:t>Suficiente (51–80)</w:t>
            </w:r>
          </w:p>
        </w:tc>
        <w:tc>
          <w:tcPr>
            <w:tcW w:w="1911" w:type="dxa"/>
            <w:shd w:val="clear" w:color="auto" w:fill="4472C4"/>
            <w:vAlign w:val="center"/>
          </w:tcPr>
          <w:p w14:paraId="6AEEE453" w14:textId="77777777" w:rsidR="00990B14" w:rsidRDefault="00000000">
            <w:pPr>
              <w:keepNext/>
              <w:spacing w:before="20" w:after="20"/>
              <w:jc w:val="center"/>
            </w:pPr>
            <w:r>
              <w:rPr>
                <w:b/>
                <w:bCs/>
                <w:i/>
                <w:iCs/>
                <w:color w:val="FFFFFF"/>
                <w:sz w:val="18"/>
                <w:szCs w:val="18"/>
              </w:rPr>
              <w:t>Destacado (81–100)</w:t>
            </w:r>
          </w:p>
        </w:tc>
      </w:tr>
      <w:tr w:rsidR="00990B14" w14:paraId="0F732DA1" w14:textId="77777777">
        <w:trPr>
          <w:cantSplit/>
          <w:jc w:val="center"/>
        </w:trPr>
        <w:tc>
          <w:tcPr>
            <w:tcW w:w="1878" w:type="dxa"/>
            <w:vMerge/>
            <w:shd w:val="clear" w:color="auto" w:fill="4472C4"/>
            <w:vAlign w:val="center"/>
          </w:tcPr>
          <w:p w14:paraId="2567FC39" w14:textId="77777777" w:rsidR="00990B14" w:rsidRDefault="00990B14">
            <w:pPr>
              <w:spacing w:before="20" w:after="20"/>
            </w:pPr>
          </w:p>
        </w:tc>
        <w:tc>
          <w:tcPr>
            <w:tcW w:w="1872" w:type="dxa"/>
            <w:shd w:val="clear" w:color="auto" w:fill="D9E2F3"/>
            <w:vAlign w:val="center"/>
          </w:tcPr>
          <w:p w14:paraId="2143F079" w14:textId="77777777" w:rsidR="00990B14" w:rsidRDefault="00000000">
            <w:pPr>
              <w:spacing w:before="20" w:after="20"/>
              <w:jc w:val="both"/>
            </w:pPr>
            <w:r>
              <w:rPr>
                <w:sz w:val="18"/>
                <w:szCs w:val="18"/>
              </w:rPr>
              <w:t>Previsión</w:t>
            </w:r>
          </w:p>
        </w:tc>
        <w:tc>
          <w:tcPr>
            <w:tcW w:w="1872" w:type="dxa"/>
            <w:shd w:val="clear" w:color="auto" w:fill="D9E2F3"/>
            <w:vAlign w:val="center"/>
          </w:tcPr>
          <w:p w14:paraId="466D1CA9" w14:textId="77777777" w:rsidR="00990B14" w:rsidRDefault="00000000">
            <w:pPr>
              <w:spacing w:before="20" w:after="20"/>
              <w:jc w:val="both"/>
            </w:pPr>
            <w:r>
              <w:rPr>
                <w:sz w:val="18"/>
                <w:szCs w:val="18"/>
              </w:rPr>
              <w:t>Calcula con errores la previsión.</w:t>
            </w:r>
          </w:p>
        </w:tc>
        <w:tc>
          <w:tcPr>
            <w:tcW w:w="1872" w:type="dxa"/>
            <w:shd w:val="clear" w:color="auto" w:fill="D9E2F3"/>
            <w:vAlign w:val="center"/>
          </w:tcPr>
          <w:p w14:paraId="62F15CE7" w14:textId="77777777" w:rsidR="00990B14" w:rsidRDefault="00000000">
            <w:pPr>
              <w:spacing w:before="20" w:after="20"/>
              <w:jc w:val="both"/>
            </w:pPr>
            <w:r>
              <w:rPr>
                <w:sz w:val="18"/>
                <w:szCs w:val="18"/>
              </w:rPr>
              <w:t>Calcula la previsión según la calificación de la cartera.</w:t>
            </w:r>
          </w:p>
        </w:tc>
        <w:tc>
          <w:tcPr>
            <w:tcW w:w="1911" w:type="dxa"/>
            <w:shd w:val="clear" w:color="auto" w:fill="D9E2F3"/>
            <w:vAlign w:val="center"/>
          </w:tcPr>
          <w:p w14:paraId="6085FE21" w14:textId="77777777" w:rsidR="00990B14" w:rsidRDefault="00000000">
            <w:pPr>
              <w:spacing w:before="20" w:after="20"/>
              <w:jc w:val="both"/>
            </w:pPr>
            <w:r>
              <w:rPr>
                <w:sz w:val="18"/>
                <w:szCs w:val="18"/>
              </w:rPr>
              <w:t>Analiza el efecto de las garantías en la previsión.</w:t>
            </w:r>
          </w:p>
        </w:tc>
      </w:tr>
      <w:tr w:rsidR="00990B14" w14:paraId="3EC83EFE" w14:textId="77777777">
        <w:trPr>
          <w:cantSplit/>
          <w:jc w:val="center"/>
        </w:trPr>
        <w:tc>
          <w:tcPr>
            <w:tcW w:w="1878" w:type="dxa"/>
            <w:vMerge/>
            <w:shd w:val="clear" w:color="auto" w:fill="4472C4"/>
            <w:vAlign w:val="center"/>
          </w:tcPr>
          <w:p w14:paraId="50AA33B5" w14:textId="77777777" w:rsidR="00990B14" w:rsidRDefault="00990B14">
            <w:pPr>
              <w:spacing w:before="20" w:after="20"/>
            </w:pPr>
          </w:p>
        </w:tc>
        <w:tc>
          <w:tcPr>
            <w:tcW w:w="1872" w:type="dxa"/>
            <w:shd w:val="clear" w:color="auto" w:fill="D9E2F3"/>
            <w:vAlign w:val="center"/>
          </w:tcPr>
          <w:p w14:paraId="2C8E85C4" w14:textId="77777777" w:rsidR="00990B14" w:rsidRDefault="00000000">
            <w:pPr>
              <w:spacing w:before="20" w:after="20"/>
              <w:jc w:val="both"/>
            </w:pPr>
            <w:r>
              <w:rPr>
                <w:sz w:val="18"/>
                <w:szCs w:val="18"/>
              </w:rPr>
              <w:t>Encaje legal</w:t>
            </w:r>
          </w:p>
        </w:tc>
        <w:tc>
          <w:tcPr>
            <w:tcW w:w="1872" w:type="dxa"/>
            <w:shd w:val="clear" w:color="auto" w:fill="D9E2F3"/>
            <w:vAlign w:val="center"/>
          </w:tcPr>
          <w:p w14:paraId="72AE6FF7" w14:textId="77777777" w:rsidR="00990B14" w:rsidRDefault="00000000">
            <w:pPr>
              <w:spacing w:before="20" w:after="20"/>
              <w:jc w:val="both"/>
            </w:pPr>
            <w:r>
              <w:rPr>
                <w:sz w:val="18"/>
                <w:szCs w:val="18"/>
              </w:rPr>
              <w:t>Aplica tasas o bases erróneas.</w:t>
            </w:r>
          </w:p>
        </w:tc>
        <w:tc>
          <w:tcPr>
            <w:tcW w:w="1872" w:type="dxa"/>
            <w:shd w:val="clear" w:color="auto" w:fill="D9E2F3"/>
            <w:vAlign w:val="center"/>
          </w:tcPr>
          <w:p w14:paraId="290A46AD" w14:textId="77777777" w:rsidR="00990B14" w:rsidRDefault="00000000">
            <w:pPr>
              <w:spacing w:before="20" w:after="20"/>
              <w:jc w:val="both"/>
            </w:pPr>
            <w:r>
              <w:rPr>
                <w:sz w:val="18"/>
                <w:szCs w:val="18"/>
              </w:rPr>
              <w:t>Calcula el encaje legal requerido.</w:t>
            </w:r>
          </w:p>
        </w:tc>
        <w:tc>
          <w:tcPr>
            <w:tcW w:w="1911" w:type="dxa"/>
            <w:shd w:val="clear" w:color="auto" w:fill="D9E2F3"/>
            <w:vAlign w:val="center"/>
          </w:tcPr>
          <w:p w14:paraId="0A461CB7" w14:textId="77777777" w:rsidR="00990B14" w:rsidRDefault="00000000">
            <w:pPr>
              <w:spacing w:before="20" w:after="20"/>
              <w:jc w:val="both"/>
            </w:pPr>
            <w:r>
              <w:rPr>
                <w:sz w:val="18"/>
                <w:szCs w:val="18"/>
              </w:rPr>
              <w:t>Determina el excedente o la deficiencia de encaje.</w:t>
            </w:r>
          </w:p>
        </w:tc>
      </w:tr>
      <w:tr w:rsidR="00990B14" w14:paraId="7EA3127D" w14:textId="77777777">
        <w:trPr>
          <w:cantSplit/>
          <w:jc w:val="center"/>
        </w:trPr>
        <w:tc>
          <w:tcPr>
            <w:tcW w:w="1878" w:type="dxa"/>
            <w:vMerge/>
            <w:shd w:val="clear" w:color="auto" w:fill="4472C4"/>
            <w:vAlign w:val="center"/>
          </w:tcPr>
          <w:p w14:paraId="23257E0D" w14:textId="77777777" w:rsidR="00990B14" w:rsidRDefault="00990B14">
            <w:pPr>
              <w:spacing w:before="20" w:after="20"/>
            </w:pPr>
          </w:p>
        </w:tc>
        <w:tc>
          <w:tcPr>
            <w:tcW w:w="1872" w:type="dxa"/>
            <w:shd w:val="clear" w:color="auto" w:fill="D9E2F3"/>
            <w:vAlign w:val="center"/>
          </w:tcPr>
          <w:p w14:paraId="70618226" w14:textId="77777777" w:rsidR="00990B14" w:rsidRDefault="00000000">
            <w:pPr>
              <w:spacing w:before="20" w:after="20"/>
              <w:jc w:val="both"/>
            </w:pPr>
            <w:r>
              <w:rPr>
                <w:sz w:val="18"/>
                <w:szCs w:val="18"/>
              </w:rPr>
              <w:t>Exactitud</w:t>
            </w:r>
          </w:p>
        </w:tc>
        <w:tc>
          <w:tcPr>
            <w:tcW w:w="1872" w:type="dxa"/>
            <w:shd w:val="clear" w:color="auto" w:fill="D9E2F3"/>
            <w:vAlign w:val="center"/>
          </w:tcPr>
          <w:p w14:paraId="67CAEC4E" w14:textId="77777777" w:rsidR="00990B14" w:rsidRDefault="00000000">
            <w:pPr>
              <w:spacing w:before="20" w:after="20"/>
              <w:jc w:val="both"/>
            </w:pPr>
            <w:r>
              <w:rPr>
                <w:sz w:val="18"/>
                <w:szCs w:val="18"/>
              </w:rPr>
              <w:t>Los cálculos no cuadran.</w:t>
            </w:r>
          </w:p>
        </w:tc>
        <w:tc>
          <w:tcPr>
            <w:tcW w:w="1872" w:type="dxa"/>
            <w:shd w:val="clear" w:color="auto" w:fill="D9E2F3"/>
            <w:vAlign w:val="center"/>
          </w:tcPr>
          <w:p w14:paraId="6ED859F4" w14:textId="77777777" w:rsidR="00990B14" w:rsidRDefault="00000000">
            <w:pPr>
              <w:spacing w:before="20" w:after="20"/>
              <w:jc w:val="both"/>
            </w:pPr>
            <w:r>
              <w:rPr>
                <w:sz w:val="18"/>
                <w:szCs w:val="18"/>
              </w:rPr>
              <w:t>Los cálculos son correctos.</w:t>
            </w:r>
          </w:p>
        </w:tc>
        <w:tc>
          <w:tcPr>
            <w:tcW w:w="1911" w:type="dxa"/>
            <w:shd w:val="clear" w:color="auto" w:fill="D9E2F3"/>
            <w:vAlign w:val="center"/>
          </w:tcPr>
          <w:p w14:paraId="7CFFDBE0" w14:textId="77777777" w:rsidR="00990B14" w:rsidRDefault="00000000">
            <w:pPr>
              <w:spacing w:before="20" w:after="20"/>
              <w:jc w:val="both"/>
            </w:pPr>
            <w:r>
              <w:rPr>
                <w:sz w:val="18"/>
                <w:szCs w:val="18"/>
              </w:rPr>
              <w:t>Los cálculos están verificados y referenciados.</w:t>
            </w:r>
          </w:p>
        </w:tc>
      </w:tr>
      <w:tr w:rsidR="00990B14" w14:paraId="7592043F" w14:textId="77777777">
        <w:trPr>
          <w:cantSplit/>
          <w:jc w:val="center"/>
        </w:trPr>
        <w:tc>
          <w:tcPr>
            <w:tcW w:w="1878" w:type="dxa"/>
            <w:vMerge/>
            <w:shd w:val="clear" w:color="auto" w:fill="4472C4"/>
            <w:vAlign w:val="center"/>
          </w:tcPr>
          <w:p w14:paraId="510937D3" w14:textId="77777777" w:rsidR="00990B14" w:rsidRDefault="00990B14">
            <w:pPr>
              <w:spacing w:before="20" w:after="20"/>
            </w:pPr>
          </w:p>
        </w:tc>
        <w:tc>
          <w:tcPr>
            <w:tcW w:w="5616" w:type="dxa"/>
            <w:gridSpan w:val="3"/>
            <w:shd w:val="clear" w:color="auto" w:fill="D9E2F3"/>
            <w:vAlign w:val="center"/>
          </w:tcPr>
          <w:p w14:paraId="69AF8193" w14:textId="77777777" w:rsidR="00990B14" w:rsidRDefault="00000000">
            <w:pPr>
              <w:keepNext/>
              <w:spacing w:before="20" w:after="20"/>
              <w:jc w:val="both"/>
            </w:pPr>
            <w:r>
              <w:rPr>
                <w:b/>
                <w:bCs/>
                <w:i/>
                <w:iCs/>
                <w:sz w:val="18"/>
                <w:szCs w:val="18"/>
              </w:rPr>
              <w:t xml:space="preserve">Producto 4: </w:t>
            </w:r>
            <w:r>
              <w:rPr>
                <w:sz w:val="18"/>
                <w:szCs w:val="18"/>
              </w:rPr>
              <w:t>Papel de trabajo del coeficiente de adecuación patrimonial</w:t>
            </w:r>
          </w:p>
        </w:tc>
        <w:tc>
          <w:tcPr>
            <w:tcW w:w="1911" w:type="dxa"/>
            <w:shd w:val="clear" w:color="auto" w:fill="D9E2F3"/>
            <w:vAlign w:val="center"/>
          </w:tcPr>
          <w:p w14:paraId="0D0AE223" w14:textId="77777777" w:rsidR="00990B14" w:rsidRDefault="00000000">
            <w:pPr>
              <w:spacing w:before="20" w:after="20"/>
              <w:jc w:val="center"/>
            </w:pPr>
            <w:r>
              <w:rPr>
                <w:b/>
                <w:bCs/>
                <w:sz w:val="18"/>
                <w:szCs w:val="18"/>
              </w:rPr>
              <w:t>5%</w:t>
            </w:r>
          </w:p>
        </w:tc>
      </w:tr>
      <w:tr w:rsidR="00990B14" w14:paraId="3F27C8DD" w14:textId="77777777">
        <w:trPr>
          <w:cantSplit/>
          <w:jc w:val="center"/>
        </w:trPr>
        <w:tc>
          <w:tcPr>
            <w:tcW w:w="1878" w:type="dxa"/>
            <w:vMerge/>
            <w:shd w:val="clear" w:color="auto" w:fill="4472C4"/>
            <w:vAlign w:val="center"/>
          </w:tcPr>
          <w:p w14:paraId="7DB9D32D" w14:textId="77777777" w:rsidR="00990B14" w:rsidRDefault="00990B14">
            <w:pPr>
              <w:spacing w:before="20" w:after="20"/>
            </w:pPr>
          </w:p>
        </w:tc>
        <w:tc>
          <w:tcPr>
            <w:tcW w:w="1872" w:type="dxa"/>
            <w:shd w:val="clear" w:color="auto" w:fill="4472C4"/>
            <w:vAlign w:val="center"/>
          </w:tcPr>
          <w:p w14:paraId="5CE773EF" w14:textId="77777777" w:rsidR="00990B14" w:rsidRDefault="00000000">
            <w:pPr>
              <w:keepNext/>
              <w:spacing w:before="20" w:after="20"/>
              <w:jc w:val="center"/>
            </w:pPr>
            <w:r>
              <w:rPr>
                <w:b/>
                <w:bCs/>
                <w:i/>
                <w:iCs/>
                <w:color w:val="FFFFFF"/>
                <w:sz w:val="18"/>
                <w:szCs w:val="18"/>
              </w:rPr>
              <w:t>Criterio</w:t>
            </w:r>
          </w:p>
        </w:tc>
        <w:tc>
          <w:tcPr>
            <w:tcW w:w="1872" w:type="dxa"/>
            <w:shd w:val="clear" w:color="auto" w:fill="4472C4"/>
            <w:vAlign w:val="center"/>
          </w:tcPr>
          <w:p w14:paraId="36578B24" w14:textId="77777777" w:rsidR="00990B14" w:rsidRDefault="00000000">
            <w:pPr>
              <w:keepNext/>
              <w:spacing w:before="20" w:after="20"/>
              <w:jc w:val="center"/>
            </w:pPr>
            <w:r>
              <w:rPr>
                <w:b/>
                <w:bCs/>
                <w:i/>
                <w:iCs/>
                <w:color w:val="FFFFFF"/>
                <w:sz w:val="18"/>
                <w:szCs w:val="18"/>
              </w:rPr>
              <w:t>Insuficiente (1–50)</w:t>
            </w:r>
          </w:p>
        </w:tc>
        <w:tc>
          <w:tcPr>
            <w:tcW w:w="1872" w:type="dxa"/>
            <w:shd w:val="clear" w:color="auto" w:fill="4472C4"/>
            <w:vAlign w:val="center"/>
          </w:tcPr>
          <w:p w14:paraId="5781AC75" w14:textId="77777777" w:rsidR="00990B14" w:rsidRDefault="00000000">
            <w:pPr>
              <w:keepNext/>
              <w:spacing w:before="20" w:after="20"/>
              <w:jc w:val="center"/>
            </w:pPr>
            <w:r>
              <w:rPr>
                <w:b/>
                <w:bCs/>
                <w:i/>
                <w:iCs/>
                <w:color w:val="FFFFFF"/>
                <w:sz w:val="18"/>
                <w:szCs w:val="18"/>
              </w:rPr>
              <w:t>Suficiente (51–80)</w:t>
            </w:r>
          </w:p>
        </w:tc>
        <w:tc>
          <w:tcPr>
            <w:tcW w:w="1911" w:type="dxa"/>
            <w:shd w:val="clear" w:color="auto" w:fill="4472C4"/>
            <w:vAlign w:val="center"/>
          </w:tcPr>
          <w:p w14:paraId="24C1F02E" w14:textId="77777777" w:rsidR="00990B14" w:rsidRDefault="00000000">
            <w:pPr>
              <w:keepNext/>
              <w:spacing w:before="20" w:after="20"/>
              <w:jc w:val="center"/>
            </w:pPr>
            <w:r>
              <w:rPr>
                <w:b/>
                <w:bCs/>
                <w:i/>
                <w:iCs/>
                <w:color w:val="FFFFFF"/>
                <w:sz w:val="18"/>
                <w:szCs w:val="18"/>
              </w:rPr>
              <w:t>Destacado (81–100)</w:t>
            </w:r>
          </w:p>
        </w:tc>
      </w:tr>
      <w:tr w:rsidR="00990B14" w14:paraId="32E6609F" w14:textId="77777777">
        <w:trPr>
          <w:cantSplit/>
          <w:jc w:val="center"/>
        </w:trPr>
        <w:tc>
          <w:tcPr>
            <w:tcW w:w="1878" w:type="dxa"/>
            <w:vMerge/>
            <w:shd w:val="clear" w:color="auto" w:fill="4472C4"/>
            <w:vAlign w:val="center"/>
          </w:tcPr>
          <w:p w14:paraId="745189F1" w14:textId="77777777" w:rsidR="00990B14" w:rsidRDefault="00990B14">
            <w:pPr>
              <w:spacing w:before="20" w:after="20"/>
            </w:pPr>
          </w:p>
        </w:tc>
        <w:tc>
          <w:tcPr>
            <w:tcW w:w="1872" w:type="dxa"/>
            <w:shd w:val="clear" w:color="auto" w:fill="D9E2F3"/>
            <w:vAlign w:val="center"/>
          </w:tcPr>
          <w:p w14:paraId="7725E393" w14:textId="77777777" w:rsidR="00990B14" w:rsidRDefault="00000000">
            <w:pPr>
              <w:spacing w:before="20" w:after="20"/>
              <w:jc w:val="both"/>
            </w:pPr>
            <w:r>
              <w:rPr>
                <w:sz w:val="18"/>
                <w:szCs w:val="18"/>
              </w:rPr>
              <w:t>Ponderación de activos</w:t>
            </w:r>
          </w:p>
        </w:tc>
        <w:tc>
          <w:tcPr>
            <w:tcW w:w="1872" w:type="dxa"/>
            <w:shd w:val="clear" w:color="auto" w:fill="D9E2F3"/>
            <w:vAlign w:val="center"/>
          </w:tcPr>
          <w:p w14:paraId="03987684" w14:textId="77777777" w:rsidR="00990B14" w:rsidRDefault="00000000">
            <w:pPr>
              <w:spacing w:before="20" w:after="20"/>
              <w:jc w:val="both"/>
            </w:pPr>
            <w:r>
              <w:rPr>
                <w:sz w:val="18"/>
                <w:szCs w:val="18"/>
              </w:rPr>
              <w:t>Pondera mal los activos.</w:t>
            </w:r>
          </w:p>
        </w:tc>
        <w:tc>
          <w:tcPr>
            <w:tcW w:w="1872" w:type="dxa"/>
            <w:shd w:val="clear" w:color="auto" w:fill="D9E2F3"/>
            <w:vAlign w:val="center"/>
          </w:tcPr>
          <w:p w14:paraId="0B076007" w14:textId="77777777" w:rsidR="00990B14" w:rsidRDefault="00000000">
            <w:pPr>
              <w:spacing w:before="20" w:after="20"/>
              <w:jc w:val="both"/>
            </w:pPr>
            <w:r>
              <w:rPr>
                <w:sz w:val="18"/>
                <w:szCs w:val="18"/>
              </w:rPr>
              <w:t>Pondera los activos según su riesgo.</w:t>
            </w:r>
          </w:p>
        </w:tc>
        <w:tc>
          <w:tcPr>
            <w:tcW w:w="1911" w:type="dxa"/>
            <w:shd w:val="clear" w:color="auto" w:fill="D9E2F3"/>
            <w:vAlign w:val="center"/>
          </w:tcPr>
          <w:p w14:paraId="34FB9741" w14:textId="77777777" w:rsidR="00990B14" w:rsidRDefault="00000000">
            <w:pPr>
              <w:spacing w:before="20" w:after="20"/>
              <w:jc w:val="both"/>
            </w:pPr>
            <w:r>
              <w:rPr>
                <w:sz w:val="18"/>
                <w:szCs w:val="18"/>
              </w:rPr>
              <w:t>Sensibiliza el coeficiente ante cambios de cartera.</w:t>
            </w:r>
          </w:p>
        </w:tc>
      </w:tr>
      <w:tr w:rsidR="00990B14" w14:paraId="5A4BD0D0" w14:textId="77777777">
        <w:trPr>
          <w:cantSplit/>
          <w:jc w:val="center"/>
        </w:trPr>
        <w:tc>
          <w:tcPr>
            <w:tcW w:w="1878" w:type="dxa"/>
            <w:vMerge/>
            <w:shd w:val="clear" w:color="auto" w:fill="4472C4"/>
            <w:vAlign w:val="center"/>
          </w:tcPr>
          <w:p w14:paraId="4B157C97" w14:textId="77777777" w:rsidR="00990B14" w:rsidRDefault="00990B14">
            <w:pPr>
              <w:spacing w:before="20" w:after="20"/>
            </w:pPr>
          </w:p>
        </w:tc>
        <w:tc>
          <w:tcPr>
            <w:tcW w:w="1872" w:type="dxa"/>
            <w:shd w:val="clear" w:color="auto" w:fill="D9E2F3"/>
            <w:vAlign w:val="center"/>
          </w:tcPr>
          <w:p w14:paraId="12599BFA" w14:textId="77777777" w:rsidR="00990B14" w:rsidRDefault="00000000">
            <w:pPr>
              <w:spacing w:before="20" w:after="20"/>
              <w:jc w:val="both"/>
            </w:pPr>
            <w:r>
              <w:rPr>
                <w:sz w:val="18"/>
                <w:szCs w:val="18"/>
              </w:rPr>
              <w:t>Capital regulatorio</w:t>
            </w:r>
          </w:p>
        </w:tc>
        <w:tc>
          <w:tcPr>
            <w:tcW w:w="1872" w:type="dxa"/>
            <w:shd w:val="clear" w:color="auto" w:fill="D9E2F3"/>
            <w:vAlign w:val="center"/>
          </w:tcPr>
          <w:p w14:paraId="12C1879C" w14:textId="77777777" w:rsidR="00990B14" w:rsidRDefault="00000000">
            <w:pPr>
              <w:spacing w:before="20" w:after="20"/>
              <w:jc w:val="both"/>
            </w:pPr>
            <w:r>
              <w:rPr>
                <w:sz w:val="18"/>
                <w:szCs w:val="18"/>
              </w:rPr>
              <w:t>Determina mal el capital.</w:t>
            </w:r>
          </w:p>
        </w:tc>
        <w:tc>
          <w:tcPr>
            <w:tcW w:w="1872" w:type="dxa"/>
            <w:shd w:val="clear" w:color="auto" w:fill="D9E2F3"/>
            <w:vAlign w:val="center"/>
          </w:tcPr>
          <w:p w14:paraId="257C3195" w14:textId="77777777" w:rsidR="00990B14" w:rsidRDefault="00000000">
            <w:pPr>
              <w:spacing w:before="20" w:after="20"/>
              <w:jc w:val="both"/>
            </w:pPr>
            <w:r>
              <w:rPr>
                <w:sz w:val="18"/>
                <w:szCs w:val="18"/>
              </w:rPr>
              <w:t>Determina el capital regulatorio.</w:t>
            </w:r>
          </w:p>
        </w:tc>
        <w:tc>
          <w:tcPr>
            <w:tcW w:w="1911" w:type="dxa"/>
            <w:shd w:val="clear" w:color="auto" w:fill="D9E2F3"/>
            <w:vAlign w:val="center"/>
          </w:tcPr>
          <w:p w14:paraId="2886E6AA" w14:textId="77777777" w:rsidR="00990B14" w:rsidRDefault="00000000">
            <w:pPr>
              <w:spacing w:before="20" w:after="20"/>
              <w:jc w:val="both"/>
            </w:pPr>
            <w:r>
              <w:rPr>
                <w:sz w:val="18"/>
                <w:szCs w:val="18"/>
              </w:rPr>
              <w:t>Compara el resultado con los estándares internacionales.</w:t>
            </w:r>
          </w:p>
        </w:tc>
      </w:tr>
      <w:tr w:rsidR="00990B14" w14:paraId="12DD3DBE" w14:textId="77777777">
        <w:trPr>
          <w:cantSplit/>
          <w:jc w:val="center"/>
        </w:trPr>
        <w:tc>
          <w:tcPr>
            <w:tcW w:w="1878" w:type="dxa"/>
            <w:vMerge/>
            <w:shd w:val="clear" w:color="auto" w:fill="4472C4"/>
            <w:vAlign w:val="center"/>
          </w:tcPr>
          <w:p w14:paraId="29969939" w14:textId="77777777" w:rsidR="00990B14" w:rsidRDefault="00990B14">
            <w:pPr>
              <w:spacing w:before="20" w:after="20"/>
            </w:pPr>
          </w:p>
        </w:tc>
        <w:tc>
          <w:tcPr>
            <w:tcW w:w="1872" w:type="dxa"/>
            <w:shd w:val="clear" w:color="auto" w:fill="D9E2F3"/>
            <w:vAlign w:val="center"/>
          </w:tcPr>
          <w:p w14:paraId="1180FB7F" w14:textId="77777777" w:rsidR="00990B14" w:rsidRDefault="00000000">
            <w:pPr>
              <w:spacing w:before="20" w:after="20"/>
              <w:jc w:val="both"/>
            </w:pPr>
            <w:r>
              <w:rPr>
                <w:sz w:val="18"/>
                <w:szCs w:val="18"/>
              </w:rPr>
              <w:t>Herramienta</w:t>
            </w:r>
          </w:p>
        </w:tc>
        <w:tc>
          <w:tcPr>
            <w:tcW w:w="1872" w:type="dxa"/>
            <w:shd w:val="clear" w:color="auto" w:fill="D9E2F3"/>
            <w:vAlign w:val="center"/>
          </w:tcPr>
          <w:p w14:paraId="1C3CFE2C" w14:textId="77777777" w:rsidR="00990B14" w:rsidRDefault="00000000">
            <w:pPr>
              <w:spacing w:before="20" w:after="20"/>
              <w:jc w:val="both"/>
            </w:pPr>
            <w:r>
              <w:rPr>
                <w:sz w:val="18"/>
                <w:szCs w:val="18"/>
              </w:rPr>
              <w:t>No usa hoja de cálculo.</w:t>
            </w:r>
          </w:p>
        </w:tc>
        <w:tc>
          <w:tcPr>
            <w:tcW w:w="1872" w:type="dxa"/>
            <w:shd w:val="clear" w:color="auto" w:fill="D9E2F3"/>
            <w:vAlign w:val="center"/>
          </w:tcPr>
          <w:p w14:paraId="6AEF98F3" w14:textId="77777777" w:rsidR="00990B14" w:rsidRDefault="00000000">
            <w:pPr>
              <w:spacing w:before="20" w:after="20"/>
              <w:jc w:val="both"/>
            </w:pPr>
            <w:r>
              <w:rPr>
                <w:sz w:val="18"/>
                <w:szCs w:val="18"/>
              </w:rPr>
              <w:t>Construye la planilla en hoja de cálculo.</w:t>
            </w:r>
          </w:p>
        </w:tc>
        <w:tc>
          <w:tcPr>
            <w:tcW w:w="1911" w:type="dxa"/>
            <w:shd w:val="clear" w:color="auto" w:fill="D9E2F3"/>
            <w:vAlign w:val="center"/>
          </w:tcPr>
          <w:p w14:paraId="04CBA09C" w14:textId="77777777" w:rsidR="00990B14" w:rsidRDefault="00000000">
            <w:pPr>
              <w:spacing w:before="20" w:after="20"/>
              <w:jc w:val="both"/>
            </w:pPr>
            <w:r>
              <w:rPr>
                <w:sz w:val="18"/>
                <w:szCs w:val="18"/>
              </w:rPr>
              <w:t>La planilla tiene fórmulas verificables.</w:t>
            </w:r>
          </w:p>
        </w:tc>
      </w:tr>
      <w:tr w:rsidR="00990B14" w14:paraId="7F12DAF3" w14:textId="77777777">
        <w:trPr>
          <w:cantSplit/>
          <w:jc w:val="center"/>
        </w:trPr>
        <w:tc>
          <w:tcPr>
            <w:tcW w:w="1878" w:type="dxa"/>
            <w:vMerge/>
            <w:shd w:val="clear" w:color="auto" w:fill="4472C4"/>
            <w:vAlign w:val="center"/>
          </w:tcPr>
          <w:p w14:paraId="4C9656EC" w14:textId="77777777" w:rsidR="00990B14" w:rsidRDefault="00990B14">
            <w:pPr>
              <w:spacing w:before="20" w:after="20"/>
            </w:pPr>
          </w:p>
        </w:tc>
        <w:tc>
          <w:tcPr>
            <w:tcW w:w="5616" w:type="dxa"/>
            <w:gridSpan w:val="3"/>
            <w:shd w:val="clear" w:color="auto" w:fill="D9E2F3"/>
            <w:vAlign w:val="center"/>
          </w:tcPr>
          <w:p w14:paraId="3E917EB7" w14:textId="77777777" w:rsidR="00990B14" w:rsidRDefault="00000000">
            <w:pPr>
              <w:keepNext/>
              <w:spacing w:before="20" w:after="20"/>
              <w:jc w:val="both"/>
            </w:pPr>
            <w:r>
              <w:rPr>
                <w:b/>
                <w:bCs/>
                <w:i/>
                <w:iCs/>
                <w:sz w:val="18"/>
                <w:szCs w:val="18"/>
              </w:rPr>
              <w:t xml:space="preserve">Producto 5: </w:t>
            </w:r>
            <w:r>
              <w:rPr>
                <w:sz w:val="18"/>
                <w:szCs w:val="18"/>
              </w:rPr>
              <w:t>Papel de trabajo de evaluación de estados financieros</w:t>
            </w:r>
          </w:p>
        </w:tc>
        <w:tc>
          <w:tcPr>
            <w:tcW w:w="1911" w:type="dxa"/>
            <w:shd w:val="clear" w:color="auto" w:fill="D9E2F3"/>
            <w:vAlign w:val="center"/>
          </w:tcPr>
          <w:p w14:paraId="6EB70A4B" w14:textId="77777777" w:rsidR="00990B14" w:rsidRDefault="00000000">
            <w:pPr>
              <w:spacing w:before="20" w:after="20"/>
              <w:jc w:val="center"/>
            </w:pPr>
            <w:r>
              <w:rPr>
                <w:b/>
                <w:bCs/>
                <w:sz w:val="18"/>
                <w:szCs w:val="18"/>
              </w:rPr>
              <w:t>7%</w:t>
            </w:r>
          </w:p>
        </w:tc>
      </w:tr>
      <w:tr w:rsidR="00990B14" w14:paraId="1B215B7D" w14:textId="77777777">
        <w:trPr>
          <w:cantSplit/>
          <w:jc w:val="center"/>
        </w:trPr>
        <w:tc>
          <w:tcPr>
            <w:tcW w:w="1878" w:type="dxa"/>
            <w:vMerge/>
            <w:shd w:val="clear" w:color="auto" w:fill="4472C4"/>
            <w:vAlign w:val="center"/>
          </w:tcPr>
          <w:p w14:paraId="11669849" w14:textId="77777777" w:rsidR="00990B14" w:rsidRDefault="00990B14">
            <w:pPr>
              <w:spacing w:before="20" w:after="20"/>
            </w:pPr>
          </w:p>
        </w:tc>
        <w:tc>
          <w:tcPr>
            <w:tcW w:w="1872" w:type="dxa"/>
            <w:shd w:val="clear" w:color="auto" w:fill="4472C4"/>
            <w:vAlign w:val="center"/>
          </w:tcPr>
          <w:p w14:paraId="27ECF3AD" w14:textId="77777777" w:rsidR="00990B14" w:rsidRDefault="00000000">
            <w:pPr>
              <w:keepNext/>
              <w:spacing w:before="20" w:after="20"/>
              <w:jc w:val="center"/>
            </w:pPr>
            <w:r>
              <w:rPr>
                <w:b/>
                <w:bCs/>
                <w:i/>
                <w:iCs/>
                <w:color w:val="FFFFFF"/>
                <w:sz w:val="18"/>
                <w:szCs w:val="18"/>
              </w:rPr>
              <w:t>Criterio</w:t>
            </w:r>
          </w:p>
        </w:tc>
        <w:tc>
          <w:tcPr>
            <w:tcW w:w="1872" w:type="dxa"/>
            <w:shd w:val="clear" w:color="auto" w:fill="4472C4"/>
            <w:vAlign w:val="center"/>
          </w:tcPr>
          <w:p w14:paraId="484CEE71" w14:textId="77777777" w:rsidR="00990B14" w:rsidRDefault="00000000">
            <w:pPr>
              <w:keepNext/>
              <w:spacing w:before="20" w:after="20"/>
              <w:jc w:val="center"/>
            </w:pPr>
            <w:r>
              <w:rPr>
                <w:b/>
                <w:bCs/>
                <w:i/>
                <w:iCs/>
                <w:color w:val="FFFFFF"/>
                <w:sz w:val="18"/>
                <w:szCs w:val="18"/>
              </w:rPr>
              <w:t>Insuficiente (1–50)</w:t>
            </w:r>
          </w:p>
        </w:tc>
        <w:tc>
          <w:tcPr>
            <w:tcW w:w="1872" w:type="dxa"/>
            <w:shd w:val="clear" w:color="auto" w:fill="4472C4"/>
            <w:vAlign w:val="center"/>
          </w:tcPr>
          <w:p w14:paraId="4A64408A" w14:textId="77777777" w:rsidR="00990B14" w:rsidRDefault="00000000">
            <w:pPr>
              <w:keepNext/>
              <w:spacing w:before="20" w:after="20"/>
              <w:jc w:val="center"/>
            </w:pPr>
            <w:r>
              <w:rPr>
                <w:b/>
                <w:bCs/>
                <w:i/>
                <w:iCs/>
                <w:color w:val="FFFFFF"/>
                <w:sz w:val="18"/>
                <w:szCs w:val="18"/>
              </w:rPr>
              <w:t>Suficiente (51–80)</w:t>
            </w:r>
          </w:p>
        </w:tc>
        <w:tc>
          <w:tcPr>
            <w:tcW w:w="1911" w:type="dxa"/>
            <w:shd w:val="clear" w:color="auto" w:fill="4472C4"/>
            <w:vAlign w:val="center"/>
          </w:tcPr>
          <w:p w14:paraId="030CBFA9" w14:textId="77777777" w:rsidR="00990B14" w:rsidRDefault="00000000">
            <w:pPr>
              <w:keepNext/>
              <w:spacing w:before="20" w:after="20"/>
              <w:jc w:val="center"/>
            </w:pPr>
            <w:r>
              <w:rPr>
                <w:b/>
                <w:bCs/>
                <w:i/>
                <w:iCs/>
                <w:color w:val="FFFFFF"/>
                <w:sz w:val="18"/>
                <w:szCs w:val="18"/>
              </w:rPr>
              <w:t>Destacado (81–100)</w:t>
            </w:r>
          </w:p>
        </w:tc>
      </w:tr>
      <w:tr w:rsidR="00990B14" w14:paraId="3E8F218A" w14:textId="77777777">
        <w:trPr>
          <w:cantSplit/>
          <w:jc w:val="center"/>
        </w:trPr>
        <w:tc>
          <w:tcPr>
            <w:tcW w:w="1878" w:type="dxa"/>
            <w:vMerge/>
            <w:shd w:val="clear" w:color="auto" w:fill="4472C4"/>
            <w:vAlign w:val="center"/>
          </w:tcPr>
          <w:p w14:paraId="69BF7A84" w14:textId="77777777" w:rsidR="00990B14" w:rsidRDefault="00990B14">
            <w:pPr>
              <w:spacing w:before="20" w:after="20"/>
            </w:pPr>
          </w:p>
        </w:tc>
        <w:tc>
          <w:tcPr>
            <w:tcW w:w="1872" w:type="dxa"/>
            <w:shd w:val="clear" w:color="auto" w:fill="D9E2F3"/>
            <w:vAlign w:val="center"/>
          </w:tcPr>
          <w:p w14:paraId="71CBFBF5" w14:textId="77777777" w:rsidR="00990B14" w:rsidRDefault="00000000">
            <w:pPr>
              <w:spacing w:before="20" w:after="20"/>
              <w:jc w:val="both"/>
            </w:pPr>
            <w:r>
              <w:rPr>
                <w:sz w:val="18"/>
                <w:szCs w:val="18"/>
              </w:rPr>
              <w:t>Clasificación</w:t>
            </w:r>
          </w:p>
        </w:tc>
        <w:tc>
          <w:tcPr>
            <w:tcW w:w="1872" w:type="dxa"/>
            <w:shd w:val="clear" w:color="auto" w:fill="D9E2F3"/>
            <w:vAlign w:val="center"/>
          </w:tcPr>
          <w:p w14:paraId="398DD652" w14:textId="77777777" w:rsidR="00990B14" w:rsidRDefault="00000000">
            <w:pPr>
              <w:spacing w:before="20" w:after="20"/>
              <w:jc w:val="both"/>
            </w:pPr>
            <w:r>
              <w:rPr>
                <w:sz w:val="18"/>
                <w:szCs w:val="18"/>
              </w:rPr>
              <w:t>Clasifica mal las cuentas.</w:t>
            </w:r>
          </w:p>
        </w:tc>
        <w:tc>
          <w:tcPr>
            <w:tcW w:w="1872" w:type="dxa"/>
            <w:shd w:val="clear" w:color="auto" w:fill="D9E2F3"/>
            <w:vAlign w:val="center"/>
          </w:tcPr>
          <w:p w14:paraId="1163EC6C" w14:textId="77777777" w:rsidR="00990B14" w:rsidRDefault="00000000">
            <w:pPr>
              <w:spacing w:before="20" w:after="20"/>
              <w:jc w:val="both"/>
            </w:pPr>
            <w:r>
              <w:rPr>
                <w:sz w:val="18"/>
                <w:szCs w:val="18"/>
              </w:rPr>
              <w:t>Clasifica las cuentas según el Manual.</w:t>
            </w:r>
          </w:p>
        </w:tc>
        <w:tc>
          <w:tcPr>
            <w:tcW w:w="1911" w:type="dxa"/>
            <w:shd w:val="clear" w:color="auto" w:fill="D9E2F3"/>
            <w:vAlign w:val="center"/>
          </w:tcPr>
          <w:p w14:paraId="41719C8A" w14:textId="77777777" w:rsidR="00990B14" w:rsidRDefault="00000000">
            <w:pPr>
              <w:spacing w:before="20" w:after="20"/>
              <w:jc w:val="both"/>
            </w:pPr>
            <w:r>
              <w:rPr>
                <w:sz w:val="18"/>
                <w:szCs w:val="18"/>
              </w:rPr>
              <w:t>Justifica la clasificación de las cuentas complejas.</w:t>
            </w:r>
          </w:p>
        </w:tc>
      </w:tr>
      <w:tr w:rsidR="00990B14" w14:paraId="4875C591" w14:textId="77777777">
        <w:trPr>
          <w:cantSplit/>
          <w:jc w:val="center"/>
        </w:trPr>
        <w:tc>
          <w:tcPr>
            <w:tcW w:w="1878" w:type="dxa"/>
            <w:vMerge/>
            <w:shd w:val="clear" w:color="auto" w:fill="4472C4"/>
            <w:vAlign w:val="center"/>
          </w:tcPr>
          <w:p w14:paraId="140688F2" w14:textId="77777777" w:rsidR="00990B14" w:rsidRDefault="00990B14">
            <w:pPr>
              <w:spacing w:before="20" w:after="20"/>
            </w:pPr>
          </w:p>
        </w:tc>
        <w:tc>
          <w:tcPr>
            <w:tcW w:w="1872" w:type="dxa"/>
            <w:shd w:val="clear" w:color="auto" w:fill="D9E2F3"/>
            <w:vAlign w:val="center"/>
          </w:tcPr>
          <w:p w14:paraId="59C06F46" w14:textId="77777777" w:rsidR="00990B14" w:rsidRDefault="00000000">
            <w:pPr>
              <w:spacing w:before="20" w:after="20"/>
              <w:jc w:val="both"/>
            </w:pPr>
            <w:r>
              <w:rPr>
                <w:sz w:val="18"/>
                <w:szCs w:val="18"/>
              </w:rPr>
              <w:t>Exposición</w:t>
            </w:r>
          </w:p>
        </w:tc>
        <w:tc>
          <w:tcPr>
            <w:tcW w:w="1872" w:type="dxa"/>
            <w:shd w:val="clear" w:color="auto" w:fill="D9E2F3"/>
            <w:vAlign w:val="center"/>
          </w:tcPr>
          <w:p w14:paraId="4679B595" w14:textId="77777777" w:rsidR="00990B14" w:rsidRDefault="00000000">
            <w:pPr>
              <w:spacing w:before="20" w:after="20"/>
              <w:jc w:val="both"/>
            </w:pPr>
            <w:r>
              <w:rPr>
                <w:sz w:val="18"/>
                <w:szCs w:val="18"/>
              </w:rPr>
              <w:t>Omite notas o rubros.</w:t>
            </w:r>
          </w:p>
        </w:tc>
        <w:tc>
          <w:tcPr>
            <w:tcW w:w="1872" w:type="dxa"/>
            <w:shd w:val="clear" w:color="auto" w:fill="D9E2F3"/>
            <w:vAlign w:val="center"/>
          </w:tcPr>
          <w:p w14:paraId="4637F736" w14:textId="77777777" w:rsidR="00990B14" w:rsidRDefault="00000000">
            <w:pPr>
              <w:spacing w:before="20" w:after="20"/>
              <w:jc w:val="both"/>
            </w:pPr>
            <w:r>
              <w:rPr>
                <w:sz w:val="18"/>
                <w:szCs w:val="18"/>
              </w:rPr>
              <w:t>Expone los estados y sus notas.</w:t>
            </w:r>
          </w:p>
        </w:tc>
        <w:tc>
          <w:tcPr>
            <w:tcW w:w="1911" w:type="dxa"/>
            <w:shd w:val="clear" w:color="auto" w:fill="D9E2F3"/>
            <w:vAlign w:val="center"/>
          </w:tcPr>
          <w:p w14:paraId="6C13A38A" w14:textId="77777777" w:rsidR="00990B14" w:rsidRDefault="00000000">
            <w:pPr>
              <w:spacing w:before="20" w:after="20"/>
              <w:jc w:val="both"/>
            </w:pPr>
            <w:r>
              <w:rPr>
                <w:sz w:val="18"/>
                <w:szCs w:val="18"/>
              </w:rPr>
              <w:t>Revela las políticas contables regulatorias.</w:t>
            </w:r>
          </w:p>
        </w:tc>
      </w:tr>
      <w:tr w:rsidR="00990B14" w14:paraId="25624F10" w14:textId="77777777">
        <w:trPr>
          <w:cantSplit/>
          <w:jc w:val="center"/>
        </w:trPr>
        <w:tc>
          <w:tcPr>
            <w:tcW w:w="1878" w:type="dxa"/>
            <w:vMerge/>
            <w:shd w:val="clear" w:color="auto" w:fill="4472C4"/>
            <w:vAlign w:val="center"/>
          </w:tcPr>
          <w:p w14:paraId="69291CD2" w14:textId="77777777" w:rsidR="00990B14" w:rsidRDefault="00990B14">
            <w:pPr>
              <w:spacing w:before="20" w:after="20"/>
            </w:pPr>
          </w:p>
        </w:tc>
        <w:tc>
          <w:tcPr>
            <w:tcW w:w="1872" w:type="dxa"/>
            <w:shd w:val="clear" w:color="auto" w:fill="D9E2F3"/>
            <w:vAlign w:val="center"/>
          </w:tcPr>
          <w:p w14:paraId="694399A0" w14:textId="77777777" w:rsidR="00990B14" w:rsidRDefault="00000000">
            <w:pPr>
              <w:spacing w:before="20" w:after="20"/>
              <w:jc w:val="both"/>
            </w:pPr>
            <w:r>
              <w:rPr>
                <w:sz w:val="18"/>
                <w:szCs w:val="18"/>
              </w:rPr>
              <w:t>Presentación</w:t>
            </w:r>
          </w:p>
        </w:tc>
        <w:tc>
          <w:tcPr>
            <w:tcW w:w="1872" w:type="dxa"/>
            <w:shd w:val="clear" w:color="auto" w:fill="D9E2F3"/>
            <w:vAlign w:val="center"/>
          </w:tcPr>
          <w:p w14:paraId="61697A32" w14:textId="77777777" w:rsidR="00990B14" w:rsidRDefault="00000000">
            <w:pPr>
              <w:spacing w:before="20" w:after="20"/>
              <w:jc w:val="both"/>
            </w:pPr>
            <w:r>
              <w:rPr>
                <w:sz w:val="18"/>
                <w:szCs w:val="18"/>
              </w:rPr>
              <w:t>Los estados son desordenados.</w:t>
            </w:r>
          </w:p>
        </w:tc>
        <w:tc>
          <w:tcPr>
            <w:tcW w:w="1872" w:type="dxa"/>
            <w:shd w:val="clear" w:color="auto" w:fill="D9E2F3"/>
            <w:vAlign w:val="center"/>
          </w:tcPr>
          <w:p w14:paraId="2681BFA9" w14:textId="77777777" w:rsidR="00990B14" w:rsidRDefault="00000000">
            <w:pPr>
              <w:spacing w:before="20" w:after="20"/>
              <w:jc w:val="both"/>
            </w:pPr>
            <w:r>
              <w:rPr>
                <w:sz w:val="18"/>
                <w:szCs w:val="18"/>
              </w:rPr>
              <w:t>Los estados son claros.</w:t>
            </w:r>
          </w:p>
        </w:tc>
        <w:tc>
          <w:tcPr>
            <w:tcW w:w="1911" w:type="dxa"/>
            <w:shd w:val="clear" w:color="auto" w:fill="D9E2F3"/>
            <w:vAlign w:val="center"/>
          </w:tcPr>
          <w:p w14:paraId="5AA274A9" w14:textId="77777777" w:rsidR="00990B14" w:rsidRDefault="00000000">
            <w:pPr>
              <w:spacing w:before="20" w:after="20"/>
              <w:jc w:val="both"/>
            </w:pPr>
            <w:r>
              <w:rPr>
                <w:sz w:val="18"/>
                <w:szCs w:val="18"/>
              </w:rPr>
              <w:t>Los estados cuadran y están referenciados.</w:t>
            </w:r>
          </w:p>
        </w:tc>
      </w:tr>
      <w:tr w:rsidR="00990B14" w14:paraId="598F5EFB" w14:textId="77777777">
        <w:trPr>
          <w:cantSplit/>
          <w:jc w:val="center"/>
        </w:trPr>
        <w:tc>
          <w:tcPr>
            <w:tcW w:w="1878" w:type="dxa"/>
            <w:vMerge/>
            <w:shd w:val="clear" w:color="auto" w:fill="4472C4"/>
            <w:vAlign w:val="center"/>
          </w:tcPr>
          <w:p w14:paraId="477FE038" w14:textId="77777777" w:rsidR="00990B14" w:rsidRDefault="00990B14">
            <w:pPr>
              <w:spacing w:before="20" w:after="20"/>
            </w:pPr>
          </w:p>
        </w:tc>
        <w:tc>
          <w:tcPr>
            <w:tcW w:w="5616" w:type="dxa"/>
            <w:gridSpan w:val="3"/>
            <w:shd w:val="clear" w:color="auto" w:fill="D9E2F3"/>
            <w:vAlign w:val="center"/>
          </w:tcPr>
          <w:p w14:paraId="0FC9A228" w14:textId="77777777" w:rsidR="00990B14" w:rsidRDefault="00000000">
            <w:pPr>
              <w:keepNext/>
              <w:spacing w:before="20" w:after="20"/>
              <w:jc w:val="both"/>
            </w:pPr>
            <w:r>
              <w:rPr>
                <w:b/>
                <w:bCs/>
                <w:i/>
                <w:iCs/>
                <w:sz w:val="18"/>
                <w:szCs w:val="18"/>
              </w:rPr>
              <w:t xml:space="preserve">Producto 6: </w:t>
            </w:r>
            <w:r>
              <w:rPr>
                <w:sz w:val="18"/>
                <w:szCs w:val="18"/>
              </w:rPr>
              <w:t>Informe técnico comparativo de la previsión regulatoria y la pérdida crediticia esperada de la NIIF 9</w:t>
            </w:r>
          </w:p>
        </w:tc>
        <w:tc>
          <w:tcPr>
            <w:tcW w:w="1911" w:type="dxa"/>
            <w:shd w:val="clear" w:color="auto" w:fill="D9E2F3"/>
            <w:vAlign w:val="center"/>
          </w:tcPr>
          <w:p w14:paraId="455E9BE4" w14:textId="77777777" w:rsidR="00990B14" w:rsidRDefault="00000000">
            <w:pPr>
              <w:spacing w:before="20" w:after="20"/>
              <w:jc w:val="center"/>
            </w:pPr>
            <w:r>
              <w:rPr>
                <w:b/>
                <w:bCs/>
                <w:sz w:val="18"/>
                <w:szCs w:val="18"/>
              </w:rPr>
              <w:t>6%</w:t>
            </w:r>
          </w:p>
        </w:tc>
      </w:tr>
      <w:tr w:rsidR="00990B14" w14:paraId="33E73B03" w14:textId="77777777">
        <w:trPr>
          <w:cantSplit/>
          <w:jc w:val="center"/>
        </w:trPr>
        <w:tc>
          <w:tcPr>
            <w:tcW w:w="1878" w:type="dxa"/>
            <w:vMerge/>
            <w:shd w:val="clear" w:color="auto" w:fill="4472C4"/>
            <w:vAlign w:val="center"/>
          </w:tcPr>
          <w:p w14:paraId="6C3BA543" w14:textId="77777777" w:rsidR="00990B14" w:rsidRDefault="00990B14">
            <w:pPr>
              <w:spacing w:before="20" w:after="20"/>
            </w:pPr>
          </w:p>
        </w:tc>
        <w:tc>
          <w:tcPr>
            <w:tcW w:w="1872" w:type="dxa"/>
            <w:shd w:val="clear" w:color="auto" w:fill="4472C4"/>
            <w:vAlign w:val="center"/>
          </w:tcPr>
          <w:p w14:paraId="473FF2A0" w14:textId="77777777" w:rsidR="00990B14" w:rsidRDefault="00000000">
            <w:pPr>
              <w:keepNext/>
              <w:spacing w:before="20" w:after="20"/>
              <w:jc w:val="center"/>
            </w:pPr>
            <w:r>
              <w:rPr>
                <w:b/>
                <w:bCs/>
                <w:i/>
                <w:iCs/>
                <w:color w:val="FFFFFF"/>
                <w:sz w:val="18"/>
                <w:szCs w:val="18"/>
              </w:rPr>
              <w:t>Criterio</w:t>
            </w:r>
          </w:p>
        </w:tc>
        <w:tc>
          <w:tcPr>
            <w:tcW w:w="1872" w:type="dxa"/>
            <w:shd w:val="clear" w:color="auto" w:fill="4472C4"/>
            <w:vAlign w:val="center"/>
          </w:tcPr>
          <w:p w14:paraId="7B4BC48E" w14:textId="77777777" w:rsidR="00990B14" w:rsidRDefault="00000000">
            <w:pPr>
              <w:keepNext/>
              <w:spacing w:before="20" w:after="20"/>
              <w:jc w:val="center"/>
            </w:pPr>
            <w:r>
              <w:rPr>
                <w:b/>
                <w:bCs/>
                <w:i/>
                <w:iCs/>
                <w:color w:val="FFFFFF"/>
                <w:sz w:val="18"/>
                <w:szCs w:val="18"/>
              </w:rPr>
              <w:t>Insuficiente (1–50)</w:t>
            </w:r>
          </w:p>
        </w:tc>
        <w:tc>
          <w:tcPr>
            <w:tcW w:w="1872" w:type="dxa"/>
            <w:shd w:val="clear" w:color="auto" w:fill="4472C4"/>
            <w:vAlign w:val="center"/>
          </w:tcPr>
          <w:p w14:paraId="24C07306" w14:textId="77777777" w:rsidR="00990B14" w:rsidRDefault="00000000">
            <w:pPr>
              <w:keepNext/>
              <w:spacing w:before="20" w:after="20"/>
              <w:jc w:val="center"/>
            </w:pPr>
            <w:r>
              <w:rPr>
                <w:b/>
                <w:bCs/>
                <w:i/>
                <w:iCs/>
                <w:color w:val="FFFFFF"/>
                <w:sz w:val="18"/>
                <w:szCs w:val="18"/>
              </w:rPr>
              <w:t>Suficiente (51–80)</w:t>
            </w:r>
          </w:p>
        </w:tc>
        <w:tc>
          <w:tcPr>
            <w:tcW w:w="1911" w:type="dxa"/>
            <w:shd w:val="clear" w:color="auto" w:fill="4472C4"/>
            <w:vAlign w:val="center"/>
          </w:tcPr>
          <w:p w14:paraId="06097557" w14:textId="77777777" w:rsidR="00990B14" w:rsidRDefault="00000000">
            <w:pPr>
              <w:keepNext/>
              <w:spacing w:before="20" w:after="20"/>
              <w:jc w:val="center"/>
            </w:pPr>
            <w:r>
              <w:rPr>
                <w:b/>
                <w:bCs/>
                <w:i/>
                <w:iCs/>
                <w:color w:val="FFFFFF"/>
                <w:sz w:val="18"/>
                <w:szCs w:val="18"/>
              </w:rPr>
              <w:t>Destacado (81–100)</w:t>
            </w:r>
          </w:p>
        </w:tc>
      </w:tr>
      <w:tr w:rsidR="00990B14" w14:paraId="666F61F6" w14:textId="77777777">
        <w:trPr>
          <w:cantSplit/>
          <w:jc w:val="center"/>
        </w:trPr>
        <w:tc>
          <w:tcPr>
            <w:tcW w:w="1878" w:type="dxa"/>
            <w:vMerge/>
            <w:shd w:val="clear" w:color="auto" w:fill="4472C4"/>
            <w:vAlign w:val="center"/>
          </w:tcPr>
          <w:p w14:paraId="48CFA29A" w14:textId="77777777" w:rsidR="00990B14" w:rsidRDefault="00990B14">
            <w:pPr>
              <w:spacing w:before="20" w:after="20"/>
            </w:pPr>
          </w:p>
        </w:tc>
        <w:tc>
          <w:tcPr>
            <w:tcW w:w="1872" w:type="dxa"/>
            <w:shd w:val="clear" w:color="auto" w:fill="D9E2F3"/>
            <w:vAlign w:val="center"/>
          </w:tcPr>
          <w:p w14:paraId="609DD6D8" w14:textId="77777777" w:rsidR="00990B14" w:rsidRDefault="00000000">
            <w:pPr>
              <w:spacing w:before="20" w:after="20"/>
              <w:jc w:val="both"/>
            </w:pPr>
            <w:r>
              <w:rPr>
                <w:sz w:val="18"/>
                <w:szCs w:val="18"/>
              </w:rPr>
              <w:t>Diferencias</w:t>
            </w:r>
          </w:p>
        </w:tc>
        <w:tc>
          <w:tcPr>
            <w:tcW w:w="1872" w:type="dxa"/>
            <w:shd w:val="clear" w:color="auto" w:fill="D9E2F3"/>
            <w:vAlign w:val="center"/>
          </w:tcPr>
          <w:p w14:paraId="224801B3" w14:textId="77777777" w:rsidR="00990B14" w:rsidRDefault="00000000">
            <w:pPr>
              <w:spacing w:before="20" w:after="20"/>
              <w:jc w:val="both"/>
            </w:pPr>
            <w:r>
              <w:rPr>
                <w:sz w:val="18"/>
                <w:szCs w:val="18"/>
              </w:rPr>
              <w:t>No identifica las diferencias.</w:t>
            </w:r>
          </w:p>
        </w:tc>
        <w:tc>
          <w:tcPr>
            <w:tcW w:w="1872" w:type="dxa"/>
            <w:shd w:val="clear" w:color="auto" w:fill="D9E2F3"/>
            <w:vAlign w:val="center"/>
          </w:tcPr>
          <w:p w14:paraId="3F75F2B7" w14:textId="77777777" w:rsidR="00990B14" w:rsidRDefault="00000000">
            <w:pPr>
              <w:spacing w:before="20" w:after="20"/>
              <w:jc w:val="both"/>
            </w:pPr>
            <w:r>
              <w:rPr>
                <w:sz w:val="18"/>
                <w:szCs w:val="18"/>
              </w:rPr>
              <w:t>Explica las diferencias entre ambos modelos.</w:t>
            </w:r>
          </w:p>
        </w:tc>
        <w:tc>
          <w:tcPr>
            <w:tcW w:w="1911" w:type="dxa"/>
            <w:shd w:val="clear" w:color="auto" w:fill="D9E2F3"/>
            <w:vAlign w:val="center"/>
          </w:tcPr>
          <w:p w14:paraId="2AED2349" w14:textId="77777777" w:rsidR="00990B14" w:rsidRDefault="00000000">
            <w:pPr>
              <w:spacing w:before="20" w:after="20"/>
              <w:jc w:val="both"/>
            </w:pPr>
            <w:r>
              <w:rPr>
                <w:sz w:val="18"/>
                <w:szCs w:val="18"/>
              </w:rPr>
              <w:t>Cuantifica el efecto de las diferencias en un caso.</w:t>
            </w:r>
          </w:p>
        </w:tc>
      </w:tr>
      <w:tr w:rsidR="00990B14" w14:paraId="57A6E983" w14:textId="77777777">
        <w:trPr>
          <w:cantSplit/>
          <w:jc w:val="center"/>
        </w:trPr>
        <w:tc>
          <w:tcPr>
            <w:tcW w:w="1878" w:type="dxa"/>
            <w:vMerge/>
            <w:shd w:val="clear" w:color="auto" w:fill="4472C4"/>
            <w:vAlign w:val="center"/>
          </w:tcPr>
          <w:p w14:paraId="5A0E0E48" w14:textId="77777777" w:rsidR="00990B14" w:rsidRDefault="00990B14">
            <w:pPr>
              <w:spacing w:before="20" w:after="20"/>
            </w:pPr>
          </w:p>
        </w:tc>
        <w:tc>
          <w:tcPr>
            <w:tcW w:w="1872" w:type="dxa"/>
            <w:shd w:val="clear" w:color="auto" w:fill="D9E2F3"/>
            <w:vAlign w:val="center"/>
          </w:tcPr>
          <w:p w14:paraId="6846B9EB" w14:textId="77777777" w:rsidR="00990B14" w:rsidRDefault="00000000">
            <w:pPr>
              <w:spacing w:before="20" w:after="20"/>
              <w:jc w:val="both"/>
            </w:pPr>
            <w:r>
              <w:rPr>
                <w:sz w:val="18"/>
                <w:szCs w:val="18"/>
              </w:rPr>
              <w:t>Fundamento</w:t>
            </w:r>
          </w:p>
        </w:tc>
        <w:tc>
          <w:tcPr>
            <w:tcW w:w="1872" w:type="dxa"/>
            <w:shd w:val="clear" w:color="auto" w:fill="D9E2F3"/>
            <w:vAlign w:val="center"/>
          </w:tcPr>
          <w:p w14:paraId="7C575D6F" w14:textId="77777777" w:rsidR="00990B14" w:rsidRDefault="00000000">
            <w:pPr>
              <w:spacing w:before="20" w:after="20"/>
              <w:jc w:val="both"/>
            </w:pPr>
            <w:r>
              <w:rPr>
                <w:sz w:val="18"/>
                <w:szCs w:val="18"/>
              </w:rPr>
              <w:t>No cita las normas.</w:t>
            </w:r>
          </w:p>
        </w:tc>
        <w:tc>
          <w:tcPr>
            <w:tcW w:w="1872" w:type="dxa"/>
            <w:shd w:val="clear" w:color="auto" w:fill="D9E2F3"/>
            <w:vAlign w:val="center"/>
          </w:tcPr>
          <w:p w14:paraId="3EA86F33" w14:textId="77777777" w:rsidR="00990B14" w:rsidRDefault="00000000">
            <w:pPr>
              <w:spacing w:before="20" w:after="20"/>
              <w:jc w:val="both"/>
            </w:pPr>
            <w:r>
              <w:rPr>
                <w:sz w:val="18"/>
                <w:szCs w:val="18"/>
              </w:rPr>
              <w:t>Fundamenta en la normativa y en la NIIF 9.</w:t>
            </w:r>
          </w:p>
        </w:tc>
        <w:tc>
          <w:tcPr>
            <w:tcW w:w="1911" w:type="dxa"/>
            <w:shd w:val="clear" w:color="auto" w:fill="D9E2F3"/>
            <w:vAlign w:val="center"/>
          </w:tcPr>
          <w:p w14:paraId="5EBEC560" w14:textId="77777777" w:rsidR="00990B14" w:rsidRDefault="00000000">
            <w:pPr>
              <w:spacing w:before="20" w:after="20"/>
              <w:jc w:val="both"/>
            </w:pPr>
            <w:r>
              <w:rPr>
                <w:sz w:val="18"/>
                <w:szCs w:val="18"/>
              </w:rPr>
              <w:t>Valora la prevalencia de la norma regulatoria.</w:t>
            </w:r>
          </w:p>
        </w:tc>
      </w:tr>
      <w:tr w:rsidR="00990B14" w14:paraId="5567486B" w14:textId="77777777">
        <w:trPr>
          <w:cantSplit/>
          <w:jc w:val="center"/>
        </w:trPr>
        <w:tc>
          <w:tcPr>
            <w:tcW w:w="1878" w:type="dxa"/>
            <w:vMerge/>
            <w:shd w:val="clear" w:color="auto" w:fill="4472C4"/>
            <w:vAlign w:val="center"/>
          </w:tcPr>
          <w:p w14:paraId="3959272C" w14:textId="77777777" w:rsidR="00990B14" w:rsidRDefault="00990B14">
            <w:pPr>
              <w:spacing w:before="20" w:after="20"/>
            </w:pPr>
          </w:p>
        </w:tc>
        <w:tc>
          <w:tcPr>
            <w:tcW w:w="1872" w:type="dxa"/>
            <w:shd w:val="clear" w:color="auto" w:fill="D9E2F3"/>
            <w:vAlign w:val="center"/>
          </w:tcPr>
          <w:p w14:paraId="2C40A1FF" w14:textId="77777777" w:rsidR="00990B14" w:rsidRDefault="00000000">
            <w:pPr>
              <w:spacing w:before="20" w:after="20"/>
              <w:jc w:val="both"/>
            </w:pPr>
            <w:r>
              <w:rPr>
                <w:sz w:val="18"/>
                <w:szCs w:val="18"/>
              </w:rPr>
              <w:t>Trabajo en equipo</w:t>
            </w:r>
          </w:p>
        </w:tc>
        <w:tc>
          <w:tcPr>
            <w:tcW w:w="1872" w:type="dxa"/>
            <w:shd w:val="clear" w:color="auto" w:fill="D9E2F3"/>
            <w:vAlign w:val="center"/>
          </w:tcPr>
          <w:p w14:paraId="46937367" w14:textId="77777777" w:rsidR="00990B14" w:rsidRDefault="00000000">
            <w:pPr>
              <w:spacing w:before="20" w:after="20"/>
              <w:jc w:val="both"/>
            </w:pPr>
            <w:r>
              <w:rPr>
                <w:sz w:val="18"/>
                <w:szCs w:val="18"/>
              </w:rPr>
              <w:t>La participación de los integrantes es desigual.</w:t>
            </w:r>
          </w:p>
        </w:tc>
        <w:tc>
          <w:tcPr>
            <w:tcW w:w="1872" w:type="dxa"/>
            <w:shd w:val="clear" w:color="auto" w:fill="D9E2F3"/>
            <w:vAlign w:val="center"/>
          </w:tcPr>
          <w:p w14:paraId="21BF0000" w14:textId="77777777" w:rsidR="00990B14" w:rsidRDefault="00000000">
            <w:pPr>
              <w:spacing w:before="20" w:after="20"/>
              <w:jc w:val="both"/>
            </w:pPr>
            <w:r>
              <w:rPr>
                <w:sz w:val="18"/>
                <w:szCs w:val="18"/>
              </w:rPr>
              <w:t>Todos los integrantes participan en el trabajo.</w:t>
            </w:r>
          </w:p>
        </w:tc>
        <w:tc>
          <w:tcPr>
            <w:tcW w:w="1911" w:type="dxa"/>
            <w:shd w:val="clear" w:color="auto" w:fill="D9E2F3"/>
            <w:vAlign w:val="center"/>
          </w:tcPr>
          <w:p w14:paraId="376FC1B7" w14:textId="77777777" w:rsidR="00990B14" w:rsidRDefault="00000000">
            <w:pPr>
              <w:spacing w:before="20" w:after="20"/>
              <w:jc w:val="both"/>
            </w:pPr>
            <w:r>
              <w:rPr>
                <w:sz w:val="18"/>
                <w:szCs w:val="18"/>
              </w:rPr>
              <w:t>El equipo sustenta sus decisiones con fundamento.</w:t>
            </w:r>
          </w:p>
        </w:tc>
      </w:tr>
      <w:tr w:rsidR="00990B14" w14:paraId="6A6A1CEA" w14:textId="77777777">
        <w:trPr>
          <w:cantSplit/>
          <w:jc w:val="center"/>
        </w:trPr>
        <w:tc>
          <w:tcPr>
            <w:tcW w:w="1878" w:type="dxa"/>
            <w:vMerge/>
            <w:shd w:val="clear" w:color="auto" w:fill="4472C4"/>
            <w:vAlign w:val="center"/>
          </w:tcPr>
          <w:p w14:paraId="765220E3" w14:textId="77777777" w:rsidR="00990B14" w:rsidRDefault="00990B14">
            <w:pPr>
              <w:spacing w:before="20" w:after="20"/>
            </w:pPr>
          </w:p>
        </w:tc>
        <w:tc>
          <w:tcPr>
            <w:tcW w:w="5616" w:type="dxa"/>
            <w:gridSpan w:val="3"/>
            <w:shd w:val="clear" w:color="auto" w:fill="D9E2F3"/>
            <w:vAlign w:val="center"/>
          </w:tcPr>
          <w:p w14:paraId="47C49382" w14:textId="77777777" w:rsidR="00990B14" w:rsidRDefault="00000000">
            <w:pPr>
              <w:keepNext/>
              <w:spacing w:before="20" w:after="20"/>
              <w:jc w:val="both"/>
            </w:pPr>
            <w:r>
              <w:rPr>
                <w:b/>
                <w:bCs/>
                <w:i/>
                <w:iCs/>
                <w:sz w:val="18"/>
                <w:szCs w:val="18"/>
              </w:rPr>
              <w:t xml:space="preserve">Producto 7: </w:t>
            </w:r>
            <w:r>
              <w:rPr>
                <w:sz w:val="18"/>
                <w:szCs w:val="18"/>
              </w:rPr>
              <w:t>Papel de trabajo de análisis financiero y prudencial</w:t>
            </w:r>
          </w:p>
        </w:tc>
        <w:tc>
          <w:tcPr>
            <w:tcW w:w="1911" w:type="dxa"/>
            <w:shd w:val="clear" w:color="auto" w:fill="D9E2F3"/>
            <w:vAlign w:val="center"/>
          </w:tcPr>
          <w:p w14:paraId="5B5BC38F" w14:textId="77777777" w:rsidR="00990B14" w:rsidRDefault="00000000">
            <w:pPr>
              <w:spacing w:before="20" w:after="20"/>
              <w:jc w:val="center"/>
            </w:pPr>
            <w:r>
              <w:rPr>
                <w:b/>
                <w:bCs/>
                <w:sz w:val="18"/>
                <w:szCs w:val="18"/>
              </w:rPr>
              <w:t>6%</w:t>
            </w:r>
          </w:p>
        </w:tc>
      </w:tr>
      <w:tr w:rsidR="00990B14" w14:paraId="3B1F661C" w14:textId="77777777">
        <w:trPr>
          <w:cantSplit/>
          <w:jc w:val="center"/>
        </w:trPr>
        <w:tc>
          <w:tcPr>
            <w:tcW w:w="1878" w:type="dxa"/>
            <w:vMerge/>
            <w:shd w:val="clear" w:color="auto" w:fill="4472C4"/>
            <w:vAlign w:val="center"/>
          </w:tcPr>
          <w:p w14:paraId="03E4204B" w14:textId="77777777" w:rsidR="00990B14" w:rsidRDefault="00990B14">
            <w:pPr>
              <w:spacing w:before="20" w:after="20"/>
            </w:pPr>
          </w:p>
        </w:tc>
        <w:tc>
          <w:tcPr>
            <w:tcW w:w="1872" w:type="dxa"/>
            <w:shd w:val="clear" w:color="auto" w:fill="4472C4"/>
            <w:vAlign w:val="center"/>
          </w:tcPr>
          <w:p w14:paraId="61B78435" w14:textId="77777777" w:rsidR="00990B14" w:rsidRDefault="00000000">
            <w:pPr>
              <w:keepNext/>
              <w:spacing w:before="20" w:after="20"/>
              <w:jc w:val="center"/>
            </w:pPr>
            <w:r>
              <w:rPr>
                <w:b/>
                <w:bCs/>
                <w:i/>
                <w:iCs/>
                <w:color w:val="FFFFFF"/>
                <w:sz w:val="18"/>
                <w:szCs w:val="18"/>
              </w:rPr>
              <w:t>Criterio</w:t>
            </w:r>
          </w:p>
        </w:tc>
        <w:tc>
          <w:tcPr>
            <w:tcW w:w="1872" w:type="dxa"/>
            <w:shd w:val="clear" w:color="auto" w:fill="4472C4"/>
            <w:vAlign w:val="center"/>
          </w:tcPr>
          <w:p w14:paraId="5857D07A" w14:textId="77777777" w:rsidR="00990B14" w:rsidRDefault="00000000">
            <w:pPr>
              <w:keepNext/>
              <w:spacing w:before="20" w:after="20"/>
              <w:jc w:val="center"/>
            </w:pPr>
            <w:r>
              <w:rPr>
                <w:b/>
                <w:bCs/>
                <w:i/>
                <w:iCs/>
                <w:color w:val="FFFFFF"/>
                <w:sz w:val="18"/>
                <w:szCs w:val="18"/>
              </w:rPr>
              <w:t>Insuficiente (1–50)</w:t>
            </w:r>
          </w:p>
        </w:tc>
        <w:tc>
          <w:tcPr>
            <w:tcW w:w="1872" w:type="dxa"/>
            <w:shd w:val="clear" w:color="auto" w:fill="4472C4"/>
            <w:vAlign w:val="center"/>
          </w:tcPr>
          <w:p w14:paraId="3BE5AF63" w14:textId="77777777" w:rsidR="00990B14" w:rsidRDefault="00000000">
            <w:pPr>
              <w:keepNext/>
              <w:spacing w:before="20" w:after="20"/>
              <w:jc w:val="center"/>
            </w:pPr>
            <w:r>
              <w:rPr>
                <w:b/>
                <w:bCs/>
                <w:i/>
                <w:iCs/>
                <w:color w:val="FFFFFF"/>
                <w:sz w:val="18"/>
                <w:szCs w:val="18"/>
              </w:rPr>
              <w:t>Suficiente (51–80)</w:t>
            </w:r>
          </w:p>
        </w:tc>
        <w:tc>
          <w:tcPr>
            <w:tcW w:w="1911" w:type="dxa"/>
            <w:shd w:val="clear" w:color="auto" w:fill="4472C4"/>
            <w:vAlign w:val="center"/>
          </w:tcPr>
          <w:p w14:paraId="75864559" w14:textId="77777777" w:rsidR="00990B14" w:rsidRDefault="00000000">
            <w:pPr>
              <w:keepNext/>
              <w:spacing w:before="20" w:after="20"/>
              <w:jc w:val="center"/>
            </w:pPr>
            <w:r>
              <w:rPr>
                <w:b/>
                <w:bCs/>
                <w:i/>
                <w:iCs/>
                <w:color w:val="FFFFFF"/>
                <w:sz w:val="18"/>
                <w:szCs w:val="18"/>
              </w:rPr>
              <w:t>Destacado (81–100)</w:t>
            </w:r>
          </w:p>
        </w:tc>
      </w:tr>
      <w:tr w:rsidR="00990B14" w14:paraId="49A631B1" w14:textId="77777777">
        <w:trPr>
          <w:cantSplit/>
          <w:jc w:val="center"/>
        </w:trPr>
        <w:tc>
          <w:tcPr>
            <w:tcW w:w="1878" w:type="dxa"/>
            <w:vMerge/>
            <w:shd w:val="clear" w:color="auto" w:fill="4472C4"/>
            <w:vAlign w:val="center"/>
          </w:tcPr>
          <w:p w14:paraId="3E9D26E6" w14:textId="77777777" w:rsidR="00990B14" w:rsidRDefault="00990B14">
            <w:pPr>
              <w:spacing w:before="20" w:after="20"/>
            </w:pPr>
          </w:p>
        </w:tc>
        <w:tc>
          <w:tcPr>
            <w:tcW w:w="1872" w:type="dxa"/>
            <w:shd w:val="clear" w:color="auto" w:fill="D9E2F3"/>
            <w:vAlign w:val="center"/>
          </w:tcPr>
          <w:p w14:paraId="2DEA2085" w14:textId="77777777" w:rsidR="00990B14" w:rsidRDefault="00000000">
            <w:pPr>
              <w:spacing w:before="20" w:after="20"/>
              <w:jc w:val="both"/>
            </w:pPr>
            <w:r>
              <w:rPr>
                <w:sz w:val="18"/>
                <w:szCs w:val="18"/>
              </w:rPr>
              <w:t>Indicadores</w:t>
            </w:r>
          </w:p>
        </w:tc>
        <w:tc>
          <w:tcPr>
            <w:tcW w:w="1872" w:type="dxa"/>
            <w:shd w:val="clear" w:color="auto" w:fill="D9E2F3"/>
            <w:vAlign w:val="center"/>
          </w:tcPr>
          <w:p w14:paraId="09EE556D" w14:textId="77777777" w:rsidR="00990B14" w:rsidRDefault="00000000">
            <w:pPr>
              <w:spacing w:before="20" w:after="20"/>
              <w:jc w:val="both"/>
            </w:pPr>
            <w:r>
              <w:rPr>
                <w:sz w:val="18"/>
                <w:szCs w:val="18"/>
              </w:rPr>
              <w:t>Omite indicadores relevantes.</w:t>
            </w:r>
          </w:p>
        </w:tc>
        <w:tc>
          <w:tcPr>
            <w:tcW w:w="1872" w:type="dxa"/>
            <w:shd w:val="clear" w:color="auto" w:fill="D9E2F3"/>
            <w:vAlign w:val="center"/>
          </w:tcPr>
          <w:p w14:paraId="174FF88A" w14:textId="77777777" w:rsidR="00990B14" w:rsidRDefault="00000000">
            <w:pPr>
              <w:spacing w:before="20" w:after="20"/>
              <w:jc w:val="both"/>
            </w:pPr>
            <w:r>
              <w:rPr>
                <w:sz w:val="18"/>
                <w:szCs w:val="18"/>
              </w:rPr>
              <w:t>Calcula los indicadores de supervisión.</w:t>
            </w:r>
          </w:p>
        </w:tc>
        <w:tc>
          <w:tcPr>
            <w:tcW w:w="1911" w:type="dxa"/>
            <w:shd w:val="clear" w:color="auto" w:fill="D9E2F3"/>
            <w:vAlign w:val="center"/>
          </w:tcPr>
          <w:p w14:paraId="71FE739D" w14:textId="77777777" w:rsidR="00990B14" w:rsidRDefault="00000000">
            <w:pPr>
              <w:spacing w:before="20" w:after="20"/>
              <w:jc w:val="both"/>
            </w:pPr>
            <w:r>
              <w:rPr>
                <w:sz w:val="18"/>
                <w:szCs w:val="18"/>
              </w:rPr>
              <w:t>Compara los indicadores con el promedio del sistema.</w:t>
            </w:r>
          </w:p>
        </w:tc>
      </w:tr>
      <w:tr w:rsidR="00990B14" w14:paraId="213DC73F" w14:textId="77777777">
        <w:trPr>
          <w:cantSplit/>
          <w:jc w:val="center"/>
        </w:trPr>
        <w:tc>
          <w:tcPr>
            <w:tcW w:w="1878" w:type="dxa"/>
            <w:vMerge/>
            <w:shd w:val="clear" w:color="auto" w:fill="4472C4"/>
            <w:vAlign w:val="center"/>
          </w:tcPr>
          <w:p w14:paraId="07CD1D42" w14:textId="77777777" w:rsidR="00990B14" w:rsidRDefault="00990B14">
            <w:pPr>
              <w:spacing w:before="20" w:after="20"/>
            </w:pPr>
          </w:p>
        </w:tc>
        <w:tc>
          <w:tcPr>
            <w:tcW w:w="1872" w:type="dxa"/>
            <w:shd w:val="clear" w:color="auto" w:fill="D9E2F3"/>
            <w:vAlign w:val="center"/>
          </w:tcPr>
          <w:p w14:paraId="62E82B2A" w14:textId="77777777" w:rsidR="00990B14" w:rsidRDefault="00000000">
            <w:pPr>
              <w:spacing w:before="20" w:after="20"/>
              <w:jc w:val="both"/>
            </w:pPr>
            <w:r>
              <w:rPr>
                <w:sz w:val="18"/>
                <w:szCs w:val="18"/>
              </w:rPr>
              <w:t>Interpretación</w:t>
            </w:r>
          </w:p>
        </w:tc>
        <w:tc>
          <w:tcPr>
            <w:tcW w:w="1872" w:type="dxa"/>
            <w:shd w:val="clear" w:color="auto" w:fill="D9E2F3"/>
            <w:vAlign w:val="center"/>
          </w:tcPr>
          <w:p w14:paraId="7FCCE151" w14:textId="77777777" w:rsidR="00990B14" w:rsidRDefault="00000000">
            <w:pPr>
              <w:spacing w:before="20" w:after="20"/>
              <w:jc w:val="both"/>
            </w:pPr>
            <w:r>
              <w:rPr>
                <w:sz w:val="18"/>
                <w:szCs w:val="18"/>
              </w:rPr>
              <w:t>No interpreta los resultados.</w:t>
            </w:r>
          </w:p>
        </w:tc>
        <w:tc>
          <w:tcPr>
            <w:tcW w:w="1872" w:type="dxa"/>
            <w:shd w:val="clear" w:color="auto" w:fill="D9E2F3"/>
            <w:vAlign w:val="center"/>
          </w:tcPr>
          <w:p w14:paraId="71ECD250" w14:textId="77777777" w:rsidR="00990B14" w:rsidRDefault="00000000">
            <w:pPr>
              <w:spacing w:before="20" w:after="20"/>
              <w:jc w:val="both"/>
            </w:pPr>
            <w:r>
              <w:rPr>
                <w:sz w:val="18"/>
                <w:szCs w:val="18"/>
              </w:rPr>
              <w:t>Interpreta la situación de la entidad.</w:t>
            </w:r>
          </w:p>
        </w:tc>
        <w:tc>
          <w:tcPr>
            <w:tcW w:w="1911" w:type="dxa"/>
            <w:shd w:val="clear" w:color="auto" w:fill="D9E2F3"/>
            <w:vAlign w:val="center"/>
          </w:tcPr>
          <w:p w14:paraId="254D4ADD" w14:textId="77777777" w:rsidR="00990B14" w:rsidRDefault="00000000">
            <w:pPr>
              <w:spacing w:before="20" w:after="20"/>
              <w:jc w:val="both"/>
            </w:pPr>
            <w:r>
              <w:rPr>
                <w:sz w:val="18"/>
                <w:szCs w:val="18"/>
              </w:rPr>
              <w:t>Analiza las áreas de riesgo para la auditoría, relacionándolas con las tendencias, desviaciones y límites regulatorios identificados.</w:t>
            </w:r>
          </w:p>
        </w:tc>
      </w:tr>
      <w:tr w:rsidR="00990B14" w14:paraId="564A2E99" w14:textId="77777777">
        <w:trPr>
          <w:cantSplit/>
          <w:jc w:val="center"/>
        </w:trPr>
        <w:tc>
          <w:tcPr>
            <w:tcW w:w="1878" w:type="dxa"/>
            <w:vMerge/>
            <w:shd w:val="clear" w:color="auto" w:fill="4472C4"/>
            <w:vAlign w:val="center"/>
          </w:tcPr>
          <w:p w14:paraId="5A116FE3" w14:textId="77777777" w:rsidR="00990B14" w:rsidRDefault="00990B14">
            <w:pPr>
              <w:spacing w:before="20" w:after="20"/>
            </w:pPr>
          </w:p>
        </w:tc>
        <w:tc>
          <w:tcPr>
            <w:tcW w:w="1872" w:type="dxa"/>
            <w:shd w:val="clear" w:color="auto" w:fill="D9E2F3"/>
            <w:vAlign w:val="center"/>
          </w:tcPr>
          <w:p w14:paraId="69FE338D" w14:textId="77777777" w:rsidR="00990B14" w:rsidRDefault="00000000">
            <w:pPr>
              <w:spacing w:before="20" w:after="20"/>
              <w:jc w:val="both"/>
            </w:pPr>
            <w:r>
              <w:rPr>
                <w:sz w:val="18"/>
                <w:szCs w:val="18"/>
              </w:rPr>
              <w:t>Presentación</w:t>
            </w:r>
          </w:p>
        </w:tc>
        <w:tc>
          <w:tcPr>
            <w:tcW w:w="1872" w:type="dxa"/>
            <w:shd w:val="clear" w:color="auto" w:fill="D9E2F3"/>
            <w:vAlign w:val="center"/>
          </w:tcPr>
          <w:p w14:paraId="580C8B20" w14:textId="77777777" w:rsidR="00990B14" w:rsidRDefault="00000000">
            <w:pPr>
              <w:spacing w:before="20" w:after="20"/>
              <w:jc w:val="both"/>
            </w:pPr>
            <w:r>
              <w:rPr>
                <w:sz w:val="18"/>
                <w:szCs w:val="18"/>
              </w:rPr>
              <w:t>El informe es confuso.</w:t>
            </w:r>
          </w:p>
        </w:tc>
        <w:tc>
          <w:tcPr>
            <w:tcW w:w="1872" w:type="dxa"/>
            <w:shd w:val="clear" w:color="auto" w:fill="D9E2F3"/>
            <w:vAlign w:val="center"/>
          </w:tcPr>
          <w:p w14:paraId="744241D5" w14:textId="77777777" w:rsidR="00990B14" w:rsidRDefault="00000000">
            <w:pPr>
              <w:spacing w:before="20" w:after="20"/>
              <w:jc w:val="both"/>
            </w:pPr>
            <w:r>
              <w:rPr>
                <w:sz w:val="18"/>
                <w:szCs w:val="18"/>
              </w:rPr>
              <w:t>El informe es claro.</w:t>
            </w:r>
          </w:p>
        </w:tc>
        <w:tc>
          <w:tcPr>
            <w:tcW w:w="1911" w:type="dxa"/>
            <w:shd w:val="clear" w:color="auto" w:fill="D9E2F3"/>
            <w:vAlign w:val="center"/>
          </w:tcPr>
          <w:p w14:paraId="2CE48835" w14:textId="77777777" w:rsidR="00990B14" w:rsidRDefault="00000000">
            <w:pPr>
              <w:spacing w:before="20" w:after="20"/>
              <w:jc w:val="both"/>
            </w:pPr>
            <w:r>
              <w:rPr>
                <w:sz w:val="18"/>
                <w:szCs w:val="18"/>
              </w:rPr>
              <w:t>El informe usa gráficos que facilitan el análisis.</w:t>
            </w:r>
          </w:p>
        </w:tc>
      </w:tr>
      <w:tr w:rsidR="00990B14" w14:paraId="0EC71307" w14:textId="77777777">
        <w:trPr>
          <w:cantSplit/>
          <w:jc w:val="center"/>
        </w:trPr>
        <w:tc>
          <w:tcPr>
            <w:tcW w:w="1878" w:type="dxa"/>
            <w:vMerge/>
            <w:shd w:val="clear" w:color="auto" w:fill="4472C4"/>
            <w:vAlign w:val="center"/>
          </w:tcPr>
          <w:p w14:paraId="76EA7926" w14:textId="77777777" w:rsidR="00990B14" w:rsidRDefault="00990B14">
            <w:pPr>
              <w:spacing w:before="20" w:after="20"/>
            </w:pPr>
          </w:p>
        </w:tc>
        <w:tc>
          <w:tcPr>
            <w:tcW w:w="5616" w:type="dxa"/>
            <w:gridSpan w:val="3"/>
            <w:shd w:val="clear" w:color="auto" w:fill="D9E2F3"/>
            <w:vAlign w:val="center"/>
          </w:tcPr>
          <w:p w14:paraId="1C369148" w14:textId="77777777" w:rsidR="00990B14" w:rsidRDefault="00000000">
            <w:pPr>
              <w:keepNext/>
              <w:spacing w:before="20" w:after="20"/>
              <w:jc w:val="both"/>
            </w:pPr>
            <w:r>
              <w:rPr>
                <w:b/>
                <w:bCs/>
                <w:i/>
                <w:iCs/>
                <w:sz w:val="18"/>
                <w:szCs w:val="18"/>
              </w:rPr>
              <w:t xml:space="preserve">Producto 8: </w:t>
            </w:r>
            <w:r>
              <w:rPr>
                <w:sz w:val="18"/>
                <w:szCs w:val="18"/>
              </w:rPr>
              <w:t>Matriz de requerimientos aplicables a la auditoría externa</w:t>
            </w:r>
          </w:p>
        </w:tc>
        <w:tc>
          <w:tcPr>
            <w:tcW w:w="1911" w:type="dxa"/>
            <w:shd w:val="clear" w:color="auto" w:fill="D9E2F3"/>
            <w:vAlign w:val="center"/>
          </w:tcPr>
          <w:p w14:paraId="74702EFA" w14:textId="77777777" w:rsidR="00990B14" w:rsidRDefault="00000000">
            <w:pPr>
              <w:spacing w:before="20" w:after="20"/>
              <w:jc w:val="center"/>
            </w:pPr>
            <w:r>
              <w:rPr>
                <w:b/>
                <w:bCs/>
                <w:sz w:val="18"/>
                <w:szCs w:val="18"/>
              </w:rPr>
              <w:t>6%</w:t>
            </w:r>
          </w:p>
        </w:tc>
      </w:tr>
      <w:tr w:rsidR="00990B14" w14:paraId="48D8D83C" w14:textId="77777777">
        <w:trPr>
          <w:cantSplit/>
          <w:jc w:val="center"/>
        </w:trPr>
        <w:tc>
          <w:tcPr>
            <w:tcW w:w="1878" w:type="dxa"/>
            <w:vMerge/>
            <w:shd w:val="clear" w:color="auto" w:fill="4472C4"/>
            <w:vAlign w:val="center"/>
          </w:tcPr>
          <w:p w14:paraId="06319DBB" w14:textId="77777777" w:rsidR="00990B14" w:rsidRDefault="00990B14">
            <w:pPr>
              <w:spacing w:before="20" w:after="20"/>
            </w:pPr>
          </w:p>
        </w:tc>
        <w:tc>
          <w:tcPr>
            <w:tcW w:w="1872" w:type="dxa"/>
            <w:shd w:val="clear" w:color="auto" w:fill="4472C4"/>
            <w:vAlign w:val="center"/>
          </w:tcPr>
          <w:p w14:paraId="387CCC87" w14:textId="77777777" w:rsidR="00990B14" w:rsidRDefault="00000000">
            <w:pPr>
              <w:keepNext/>
              <w:spacing w:before="20" w:after="20"/>
              <w:jc w:val="center"/>
            </w:pPr>
            <w:r>
              <w:rPr>
                <w:b/>
                <w:bCs/>
                <w:i/>
                <w:iCs/>
                <w:color w:val="FFFFFF"/>
                <w:sz w:val="18"/>
                <w:szCs w:val="18"/>
              </w:rPr>
              <w:t>Criterio</w:t>
            </w:r>
          </w:p>
        </w:tc>
        <w:tc>
          <w:tcPr>
            <w:tcW w:w="1872" w:type="dxa"/>
            <w:shd w:val="clear" w:color="auto" w:fill="4472C4"/>
            <w:vAlign w:val="center"/>
          </w:tcPr>
          <w:p w14:paraId="26BF165C" w14:textId="77777777" w:rsidR="00990B14" w:rsidRDefault="00000000">
            <w:pPr>
              <w:keepNext/>
              <w:spacing w:before="20" w:after="20"/>
              <w:jc w:val="center"/>
            </w:pPr>
            <w:r>
              <w:rPr>
                <w:b/>
                <w:bCs/>
                <w:i/>
                <w:iCs/>
                <w:color w:val="FFFFFF"/>
                <w:sz w:val="18"/>
                <w:szCs w:val="18"/>
              </w:rPr>
              <w:t>Insuficiente (1–50)</w:t>
            </w:r>
          </w:p>
        </w:tc>
        <w:tc>
          <w:tcPr>
            <w:tcW w:w="1872" w:type="dxa"/>
            <w:shd w:val="clear" w:color="auto" w:fill="4472C4"/>
            <w:vAlign w:val="center"/>
          </w:tcPr>
          <w:p w14:paraId="0BC98D8F" w14:textId="77777777" w:rsidR="00990B14" w:rsidRDefault="00000000">
            <w:pPr>
              <w:keepNext/>
              <w:spacing w:before="20" w:after="20"/>
              <w:jc w:val="center"/>
            </w:pPr>
            <w:r>
              <w:rPr>
                <w:b/>
                <w:bCs/>
                <w:i/>
                <w:iCs/>
                <w:color w:val="FFFFFF"/>
                <w:sz w:val="18"/>
                <w:szCs w:val="18"/>
              </w:rPr>
              <w:t>Suficiente (51–80)</w:t>
            </w:r>
          </w:p>
        </w:tc>
        <w:tc>
          <w:tcPr>
            <w:tcW w:w="1911" w:type="dxa"/>
            <w:shd w:val="clear" w:color="auto" w:fill="4472C4"/>
            <w:vAlign w:val="center"/>
          </w:tcPr>
          <w:p w14:paraId="4E485B06" w14:textId="77777777" w:rsidR="00990B14" w:rsidRDefault="00000000">
            <w:pPr>
              <w:keepNext/>
              <w:spacing w:before="20" w:after="20"/>
              <w:jc w:val="center"/>
            </w:pPr>
            <w:r>
              <w:rPr>
                <w:b/>
                <w:bCs/>
                <w:i/>
                <w:iCs/>
                <w:color w:val="FFFFFF"/>
                <w:sz w:val="18"/>
                <w:szCs w:val="18"/>
              </w:rPr>
              <w:t>Destacado (81–100)</w:t>
            </w:r>
          </w:p>
        </w:tc>
      </w:tr>
      <w:tr w:rsidR="00990B14" w14:paraId="1DC4A2BC" w14:textId="77777777">
        <w:trPr>
          <w:cantSplit/>
          <w:jc w:val="center"/>
        </w:trPr>
        <w:tc>
          <w:tcPr>
            <w:tcW w:w="1878" w:type="dxa"/>
            <w:vMerge/>
            <w:shd w:val="clear" w:color="auto" w:fill="4472C4"/>
            <w:vAlign w:val="center"/>
          </w:tcPr>
          <w:p w14:paraId="41EC5495" w14:textId="77777777" w:rsidR="00990B14" w:rsidRDefault="00990B14">
            <w:pPr>
              <w:spacing w:before="20" w:after="20"/>
            </w:pPr>
          </w:p>
        </w:tc>
        <w:tc>
          <w:tcPr>
            <w:tcW w:w="1872" w:type="dxa"/>
            <w:shd w:val="clear" w:color="auto" w:fill="D9E2F3"/>
            <w:vAlign w:val="center"/>
          </w:tcPr>
          <w:p w14:paraId="2275A95A" w14:textId="77777777" w:rsidR="00990B14" w:rsidRDefault="00000000">
            <w:pPr>
              <w:spacing w:before="20" w:after="20"/>
              <w:jc w:val="both"/>
            </w:pPr>
            <w:r>
              <w:rPr>
                <w:sz w:val="18"/>
                <w:szCs w:val="18"/>
              </w:rPr>
              <w:t>Requerimientos</w:t>
            </w:r>
          </w:p>
        </w:tc>
        <w:tc>
          <w:tcPr>
            <w:tcW w:w="1872" w:type="dxa"/>
            <w:shd w:val="clear" w:color="auto" w:fill="D9E2F3"/>
            <w:vAlign w:val="center"/>
          </w:tcPr>
          <w:p w14:paraId="16EEB7A4" w14:textId="77777777" w:rsidR="00990B14" w:rsidRDefault="00000000">
            <w:pPr>
              <w:spacing w:before="20" w:after="20"/>
              <w:jc w:val="both"/>
            </w:pPr>
            <w:r>
              <w:rPr>
                <w:sz w:val="18"/>
                <w:szCs w:val="18"/>
              </w:rPr>
              <w:t>Omite informes exigidos.</w:t>
            </w:r>
          </w:p>
        </w:tc>
        <w:tc>
          <w:tcPr>
            <w:tcW w:w="1872" w:type="dxa"/>
            <w:shd w:val="clear" w:color="auto" w:fill="D9E2F3"/>
            <w:vAlign w:val="center"/>
          </w:tcPr>
          <w:p w14:paraId="5F07CF2A" w14:textId="77777777" w:rsidR="00990B14" w:rsidRDefault="00000000">
            <w:pPr>
              <w:spacing w:before="20" w:after="20"/>
              <w:jc w:val="both"/>
            </w:pPr>
            <w:r>
              <w:rPr>
                <w:sz w:val="18"/>
                <w:szCs w:val="18"/>
              </w:rPr>
              <w:t>Presenta los informes exigidos por el regulador.</w:t>
            </w:r>
          </w:p>
        </w:tc>
        <w:tc>
          <w:tcPr>
            <w:tcW w:w="1911" w:type="dxa"/>
            <w:shd w:val="clear" w:color="auto" w:fill="D9E2F3"/>
            <w:vAlign w:val="center"/>
          </w:tcPr>
          <w:p w14:paraId="49A36E20" w14:textId="77777777" w:rsidR="00990B14" w:rsidRDefault="00000000">
            <w:pPr>
              <w:spacing w:before="20" w:after="20"/>
              <w:jc w:val="both"/>
            </w:pPr>
            <w:r>
              <w:rPr>
                <w:sz w:val="18"/>
                <w:szCs w:val="18"/>
              </w:rPr>
              <w:t>Señala los plazos y los destinatarios.</w:t>
            </w:r>
          </w:p>
        </w:tc>
      </w:tr>
      <w:tr w:rsidR="00990B14" w14:paraId="7C4FFF9B" w14:textId="77777777">
        <w:trPr>
          <w:cantSplit/>
          <w:jc w:val="center"/>
        </w:trPr>
        <w:tc>
          <w:tcPr>
            <w:tcW w:w="1878" w:type="dxa"/>
            <w:vMerge/>
            <w:shd w:val="clear" w:color="auto" w:fill="4472C4"/>
            <w:vAlign w:val="center"/>
          </w:tcPr>
          <w:p w14:paraId="1BA3C95C" w14:textId="77777777" w:rsidR="00990B14" w:rsidRDefault="00990B14">
            <w:pPr>
              <w:spacing w:before="20" w:after="20"/>
            </w:pPr>
          </w:p>
        </w:tc>
        <w:tc>
          <w:tcPr>
            <w:tcW w:w="1872" w:type="dxa"/>
            <w:shd w:val="clear" w:color="auto" w:fill="D9E2F3"/>
            <w:vAlign w:val="center"/>
          </w:tcPr>
          <w:p w14:paraId="757097B3" w14:textId="77777777" w:rsidR="00990B14" w:rsidRDefault="00000000">
            <w:pPr>
              <w:spacing w:before="20" w:after="20"/>
              <w:jc w:val="both"/>
            </w:pPr>
            <w:r>
              <w:rPr>
                <w:sz w:val="18"/>
                <w:szCs w:val="18"/>
              </w:rPr>
              <w:t>Independencia</w:t>
            </w:r>
          </w:p>
        </w:tc>
        <w:tc>
          <w:tcPr>
            <w:tcW w:w="1872" w:type="dxa"/>
            <w:shd w:val="clear" w:color="auto" w:fill="D9E2F3"/>
            <w:vAlign w:val="center"/>
          </w:tcPr>
          <w:p w14:paraId="7B78A097" w14:textId="77777777" w:rsidR="00990B14" w:rsidRDefault="00000000">
            <w:pPr>
              <w:spacing w:before="20" w:after="20"/>
              <w:jc w:val="both"/>
            </w:pPr>
            <w:r>
              <w:rPr>
                <w:sz w:val="18"/>
                <w:szCs w:val="18"/>
              </w:rPr>
              <w:t>No considera la independencia.</w:t>
            </w:r>
          </w:p>
        </w:tc>
        <w:tc>
          <w:tcPr>
            <w:tcW w:w="1872" w:type="dxa"/>
            <w:shd w:val="clear" w:color="auto" w:fill="D9E2F3"/>
            <w:vAlign w:val="center"/>
          </w:tcPr>
          <w:p w14:paraId="5DB5B6B7" w14:textId="77777777" w:rsidR="00990B14" w:rsidRDefault="00000000">
            <w:pPr>
              <w:spacing w:before="20" w:after="20"/>
              <w:jc w:val="both"/>
            </w:pPr>
            <w:r>
              <w:rPr>
                <w:sz w:val="18"/>
                <w:szCs w:val="18"/>
              </w:rPr>
              <w:t>Describe la independencia y la rotación del auditor.</w:t>
            </w:r>
          </w:p>
        </w:tc>
        <w:tc>
          <w:tcPr>
            <w:tcW w:w="1911" w:type="dxa"/>
            <w:shd w:val="clear" w:color="auto" w:fill="D9E2F3"/>
            <w:vAlign w:val="center"/>
          </w:tcPr>
          <w:p w14:paraId="1F2F800C" w14:textId="77777777" w:rsidR="00990B14" w:rsidRDefault="00000000">
            <w:pPr>
              <w:spacing w:before="20" w:after="20"/>
              <w:jc w:val="both"/>
            </w:pPr>
            <w:r>
              <w:rPr>
                <w:sz w:val="18"/>
                <w:szCs w:val="18"/>
              </w:rPr>
              <w:t>Relaciona la independencia con el comité de auditoría.</w:t>
            </w:r>
          </w:p>
        </w:tc>
      </w:tr>
      <w:tr w:rsidR="00990B14" w14:paraId="57117B0C" w14:textId="77777777">
        <w:trPr>
          <w:cantSplit/>
          <w:jc w:val="center"/>
        </w:trPr>
        <w:tc>
          <w:tcPr>
            <w:tcW w:w="1878" w:type="dxa"/>
            <w:vMerge/>
            <w:shd w:val="clear" w:color="auto" w:fill="4472C4"/>
            <w:vAlign w:val="center"/>
          </w:tcPr>
          <w:p w14:paraId="240DE6CE" w14:textId="77777777" w:rsidR="00990B14" w:rsidRDefault="00990B14">
            <w:pPr>
              <w:spacing w:before="20" w:after="20"/>
            </w:pPr>
          </w:p>
        </w:tc>
        <w:tc>
          <w:tcPr>
            <w:tcW w:w="1872" w:type="dxa"/>
            <w:shd w:val="clear" w:color="auto" w:fill="D9E2F3"/>
            <w:vAlign w:val="center"/>
          </w:tcPr>
          <w:p w14:paraId="445C2C4D" w14:textId="77777777" w:rsidR="00990B14" w:rsidRDefault="00000000">
            <w:pPr>
              <w:spacing w:before="20" w:after="20"/>
              <w:jc w:val="both"/>
            </w:pPr>
            <w:r>
              <w:rPr>
                <w:sz w:val="18"/>
                <w:szCs w:val="18"/>
              </w:rPr>
              <w:t>Sustentación</w:t>
            </w:r>
          </w:p>
        </w:tc>
        <w:tc>
          <w:tcPr>
            <w:tcW w:w="1872" w:type="dxa"/>
            <w:shd w:val="clear" w:color="auto" w:fill="D9E2F3"/>
            <w:vAlign w:val="center"/>
          </w:tcPr>
          <w:p w14:paraId="1F1C5A0B" w14:textId="77777777" w:rsidR="00990B14" w:rsidRDefault="00000000">
            <w:pPr>
              <w:spacing w:before="20" w:after="20"/>
              <w:jc w:val="both"/>
            </w:pPr>
            <w:r>
              <w:rPr>
                <w:sz w:val="18"/>
                <w:szCs w:val="18"/>
              </w:rPr>
              <w:t>La sustentación es confusa.</w:t>
            </w:r>
          </w:p>
        </w:tc>
        <w:tc>
          <w:tcPr>
            <w:tcW w:w="1872" w:type="dxa"/>
            <w:shd w:val="clear" w:color="auto" w:fill="D9E2F3"/>
            <w:vAlign w:val="center"/>
          </w:tcPr>
          <w:p w14:paraId="1DB72A32" w14:textId="77777777" w:rsidR="00990B14" w:rsidRDefault="00000000">
            <w:pPr>
              <w:spacing w:before="20" w:after="20"/>
              <w:jc w:val="both"/>
            </w:pPr>
            <w:r>
              <w:rPr>
                <w:sz w:val="18"/>
                <w:szCs w:val="18"/>
              </w:rPr>
              <w:t>La sustentación es clara.</w:t>
            </w:r>
          </w:p>
        </w:tc>
        <w:tc>
          <w:tcPr>
            <w:tcW w:w="1911" w:type="dxa"/>
            <w:shd w:val="clear" w:color="auto" w:fill="D9E2F3"/>
            <w:vAlign w:val="center"/>
          </w:tcPr>
          <w:p w14:paraId="16DA7D9C" w14:textId="77777777" w:rsidR="00990B14" w:rsidRDefault="00000000">
            <w:pPr>
              <w:spacing w:before="20" w:after="20"/>
              <w:jc w:val="both"/>
            </w:pPr>
            <w:r>
              <w:rPr>
                <w:sz w:val="18"/>
                <w:szCs w:val="18"/>
              </w:rPr>
              <w:t>Responde con fundamento las preguntas del curso.</w:t>
            </w:r>
          </w:p>
        </w:tc>
      </w:tr>
      <w:tr w:rsidR="00990B14" w14:paraId="4D1E3664" w14:textId="77777777">
        <w:trPr>
          <w:cantSplit/>
          <w:jc w:val="center"/>
        </w:trPr>
        <w:tc>
          <w:tcPr>
            <w:tcW w:w="1878" w:type="dxa"/>
            <w:vMerge/>
            <w:shd w:val="clear" w:color="auto" w:fill="4472C4"/>
            <w:vAlign w:val="center"/>
          </w:tcPr>
          <w:p w14:paraId="54AA7019" w14:textId="77777777" w:rsidR="00990B14" w:rsidRDefault="00990B14">
            <w:pPr>
              <w:spacing w:before="20" w:after="20"/>
            </w:pPr>
          </w:p>
        </w:tc>
        <w:tc>
          <w:tcPr>
            <w:tcW w:w="5616" w:type="dxa"/>
            <w:gridSpan w:val="3"/>
            <w:shd w:val="clear" w:color="auto" w:fill="D9E2F3"/>
            <w:vAlign w:val="center"/>
          </w:tcPr>
          <w:p w14:paraId="299B48C6" w14:textId="77777777" w:rsidR="00990B14" w:rsidRDefault="00000000">
            <w:pPr>
              <w:keepNext/>
              <w:spacing w:before="20" w:after="20"/>
              <w:jc w:val="both"/>
            </w:pPr>
            <w:r>
              <w:rPr>
                <w:b/>
                <w:bCs/>
                <w:i/>
                <w:iCs/>
                <w:sz w:val="18"/>
                <w:szCs w:val="18"/>
              </w:rPr>
              <w:t xml:space="preserve">Producto 9: </w:t>
            </w:r>
            <w:r>
              <w:rPr>
                <w:sz w:val="18"/>
                <w:szCs w:val="18"/>
              </w:rPr>
              <w:t>Memorándum de planificación y matriz de riesgos</w:t>
            </w:r>
          </w:p>
        </w:tc>
        <w:tc>
          <w:tcPr>
            <w:tcW w:w="1911" w:type="dxa"/>
            <w:shd w:val="clear" w:color="auto" w:fill="D9E2F3"/>
            <w:vAlign w:val="center"/>
          </w:tcPr>
          <w:p w14:paraId="454397AA" w14:textId="77777777" w:rsidR="00990B14" w:rsidRDefault="00000000">
            <w:pPr>
              <w:spacing w:before="20" w:after="20"/>
              <w:jc w:val="center"/>
            </w:pPr>
            <w:r>
              <w:rPr>
                <w:b/>
                <w:bCs/>
                <w:sz w:val="18"/>
                <w:szCs w:val="18"/>
              </w:rPr>
              <w:t>5%</w:t>
            </w:r>
          </w:p>
        </w:tc>
      </w:tr>
      <w:tr w:rsidR="00990B14" w14:paraId="5B8CF540" w14:textId="77777777">
        <w:trPr>
          <w:cantSplit/>
          <w:jc w:val="center"/>
        </w:trPr>
        <w:tc>
          <w:tcPr>
            <w:tcW w:w="1878" w:type="dxa"/>
            <w:vMerge/>
            <w:shd w:val="clear" w:color="auto" w:fill="4472C4"/>
            <w:vAlign w:val="center"/>
          </w:tcPr>
          <w:p w14:paraId="1B1967CE" w14:textId="77777777" w:rsidR="00990B14" w:rsidRDefault="00990B14">
            <w:pPr>
              <w:spacing w:before="20" w:after="20"/>
            </w:pPr>
          </w:p>
        </w:tc>
        <w:tc>
          <w:tcPr>
            <w:tcW w:w="1872" w:type="dxa"/>
            <w:shd w:val="clear" w:color="auto" w:fill="4472C4"/>
            <w:vAlign w:val="center"/>
          </w:tcPr>
          <w:p w14:paraId="38B01CA2" w14:textId="77777777" w:rsidR="00990B14" w:rsidRDefault="00000000">
            <w:pPr>
              <w:keepNext/>
              <w:spacing w:before="20" w:after="20"/>
              <w:jc w:val="center"/>
            </w:pPr>
            <w:r>
              <w:rPr>
                <w:b/>
                <w:bCs/>
                <w:i/>
                <w:iCs/>
                <w:color w:val="FFFFFF"/>
                <w:sz w:val="18"/>
                <w:szCs w:val="18"/>
              </w:rPr>
              <w:t>Criterio</w:t>
            </w:r>
          </w:p>
        </w:tc>
        <w:tc>
          <w:tcPr>
            <w:tcW w:w="1872" w:type="dxa"/>
            <w:shd w:val="clear" w:color="auto" w:fill="4472C4"/>
            <w:vAlign w:val="center"/>
          </w:tcPr>
          <w:p w14:paraId="574741AD" w14:textId="77777777" w:rsidR="00990B14" w:rsidRDefault="00000000">
            <w:pPr>
              <w:keepNext/>
              <w:spacing w:before="20" w:after="20"/>
              <w:jc w:val="center"/>
            </w:pPr>
            <w:r>
              <w:rPr>
                <w:b/>
                <w:bCs/>
                <w:i/>
                <w:iCs/>
                <w:color w:val="FFFFFF"/>
                <w:sz w:val="18"/>
                <w:szCs w:val="18"/>
              </w:rPr>
              <w:t>Insuficiente (1–50)</w:t>
            </w:r>
          </w:p>
        </w:tc>
        <w:tc>
          <w:tcPr>
            <w:tcW w:w="1872" w:type="dxa"/>
            <w:shd w:val="clear" w:color="auto" w:fill="4472C4"/>
            <w:vAlign w:val="center"/>
          </w:tcPr>
          <w:p w14:paraId="63AF66FB" w14:textId="77777777" w:rsidR="00990B14" w:rsidRDefault="00000000">
            <w:pPr>
              <w:keepNext/>
              <w:spacing w:before="20" w:after="20"/>
              <w:jc w:val="center"/>
            </w:pPr>
            <w:r>
              <w:rPr>
                <w:b/>
                <w:bCs/>
                <w:i/>
                <w:iCs/>
                <w:color w:val="FFFFFF"/>
                <w:sz w:val="18"/>
                <w:szCs w:val="18"/>
              </w:rPr>
              <w:t>Suficiente (51–80)</w:t>
            </w:r>
          </w:p>
        </w:tc>
        <w:tc>
          <w:tcPr>
            <w:tcW w:w="1911" w:type="dxa"/>
            <w:shd w:val="clear" w:color="auto" w:fill="4472C4"/>
            <w:vAlign w:val="center"/>
          </w:tcPr>
          <w:p w14:paraId="5B0EA2EB" w14:textId="77777777" w:rsidR="00990B14" w:rsidRDefault="00000000">
            <w:pPr>
              <w:keepNext/>
              <w:spacing w:before="20" w:after="20"/>
              <w:jc w:val="center"/>
            </w:pPr>
            <w:r>
              <w:rPr>
                <w:b/>
                <w:bCs/>
                <w:i/>
                <w:iCs/>
                <w:color w:val="FFFFFF"/>
                <w:sz w:val="18"/>
                <w:szCs w:val="18"/>
              </w:rPr>
              <w:t>Destacado (81–100)</w:t>
            </w:r>
          </w:p>
        </w:tc>
      </w:tr>
      <w:tr w:rsidR="00990B14" w14:paraId="439C7537" w14:textId="77777777">
        <w:trPr>
          <w:cantSplit/>
          <w:jc w:val="center"/>
        </w:trPr>
        <w:tc>
          <w:tcPr>
            <w:tcW w:w="1878" w:type="dxa"/>
            <w:vMerge/>
            <w:shd w:val="clear" w:color="auto" w:fill="4472C4"/>
            <w:vAlign w:val="center"/>
          </w:tcPr>
          <w:p w14:paraId="49A976F6" w14:textId="77777777" w:rsidR="00990B14" w:rsidRDefault="00990B14">
            <w:pPr>
              <w:spacing w:before="20" w:after="20"/>
            </w:pPr>
          </w:p>
        </w:tc>
        <w:tc>
          <w:tcPr>
            <w:tcW w:w="1872" w:type="dxa"/>
            <w:shd w:val="clear" w:color="auto" w:fill="D9E2F3"/>
            <w:vAlign w:val="center"/>
          </w:tcPr>
          <w:p w14:paraId="054585A0" w14:textId="77777777" w:rsidR="00990B14" w:rsidRDefault="00000000">
            <w:pPr>
              <w:spacing w:before="20" w:after="20"/>
              <w:jc w:val="both"/>
            </w:pPr>
            <w:r>
              <w:rPr>
                <w:sz w:val="18"/>
                <w:szCs w:val="18"/>
              </w:rPr>
              <w:t>Riesgos del sector</w:t>
            </w:r>
          </w:p>
        </w:tc>
        <w:tc>
          <w:tcPr>
            <w:tcW w:w="1872" w:type="dxa"/>
            <w:shd w:val="clear" w:color="auto" w:fill="D9E2F3"/>
            <w:vAlign w:val="center"/>
          </w:tcPr>
          <w:p w14:paraId="5723FED3" w14:textId="77777777" w:rsidR="00990B14" w:rsidRDefault="00000000">
            <w:pPr>
              <w:spacing w:before="20" w:after="20"/>
              <w:jc w:val="both"/>
            </w:pPr>
            <w:r>
              <w:rPr>
                <w:sz w:val="18"/>
                <w:szCs w:val="18"/>
              </w:rPr>
              <w:t>Omite riesgos específicos.</w:t>
            </w:r>
          </w:p>
        </w:tc>
        <w:tc>
          <w:tcPr>
            <w:tcW w:w="1872" w:type="dxa"/>
            <w:shd w:val="clear" w:color="auto" w:fill="D9E2F3"/>
            <w:vAlign w:val="center"/>
          </w:tcPr>
          <w:p w14:paraId="1AF3CB3B" w14:textId="77777777" w:rsidR="00990B14" w:rsidRDefault="00000000">
            <w:pPr>
              <w:spacing w:before="20" w:after="20"/>
              <w:jc w:val="both"/>
            </w:pPr>
            <w:r>
              <w:rPr>
                <w:sz w:val="18"/>
                <w:szCs w:val="18"/>
              </w:rPr>
              <w:t>Identifica los riesgos específicos de la entidad.</w:t>
            </w:r>
          </w:p>
        </w:tc>
        <w:tc>
          <w:tcPr>
            <w:tcW w:w="1911" w:type="dxa"/>
            <w:shd w:val="clear" w:color="auto" w:fill="D9E2F3"/>
            <w:vAlign w:val="center"/>
          </w:tcPr>
          <w:p w14:paraId="15C86376" w14:textId="77777777" w:rsidR="00990B14" w:rsidRDefault="00000000">
            <w:pPr>
              <w:spacing w:before="20" w:after="20"/>
              <w:jc w:val="both"/>
            </w:pPr>
            <w:r>
              <w:rPr>
                <w:sz w:val="18"/>
                <w:szCs w:val="18"/>
              </w:rPr>
              <w:t>Vincula cada riesgo con las aseveraciones.</w:t>
            </w:r>
          </w:p>
        </w:tc>
      </w:tr>
      <w:tr w:rsidR="00990B14" w14:paraId="338E7B73" w14:textId="77777777">
        <w:trPr>
          <w:cantSplit/>
          <w:jc w:val="center"/>
        </w:trPr>
        <w:tc>
          <w:tcPr>
            <w:tcW w:w="1878" w:type="dxa"/>
            <w:vMerge/>
            <w:shd w:val="clear" w:color="auto" w:fill="4472C4"/>
            <w:vAlign w:val="center"/>
          </w:tcPr>
          <w:p w14:paraId="6449A688" w14:textId="77777777" w:rsidR="00990B14" w:rsidRDefault="00990B14">
            <w:pPr>
              <w:spacing w:before="20" w:after="20"/>
            </w:pPr>
          </w:p>
        </w:tc>
        <w:tc>
          <w:tcPr>
            <w:tcW w:w="1872" w:type="dxa"/>
            <w:shd w:val="clear" w:color="auto" w:fill="D9E2F3"/>
            <w:vAlign w:val="center"/>
          </w:tcPr>
          <w:p w14:paraId="78868A4B" w14:textId="77777777" w:rsidR="00990B14" w:rsidRDefault="00000000">
            <w:pPr>
              <w:spacing w:before="20" w:after="20"/>
              <w:jc w:val="both"/>
            </w:pPr>
            <w:r>
              <w:rPr>
                <w:sz w:val="18"/>
                <w:szCs w:val="18"/>
              </w:rPr>
              <w:t>Procesos críticos</w:t>
            </w:r>
          </w:p>
        </w:tc>
        <w:tc>
          <w:tcPr>
            <w:tcW w:w="1872" w:type="dxa"/>
            <w:shd w:val="clear" w:color="auto" w:fill="D9E2F3"/>
            <w:vAlign w:val="center"/>
          </w:tcPr>
          <w:p w14:paraId="5C7445BF" w14:textId="77777777" w:rsidR="00990B14" w:rsidRDefault="00000000">
            <w:pPr>
              <w:spacing w:before="20" w:after="20"/>
              <w:jc w:val="both"/>
            </w:pPr>
            <w:r>
              <w:rPr>
                <w:sz w:val="18"/>
                <w:szCs w:val="18"/>
              </w:rPr>
              <w:t>No identifica los procesos.</w:t>
            </w:r>
          </w:p>
        </w:tc>
        <w:tc>
          <w:tcPr>
            <w:tcW w:w="1872" w:type="dxa"/>
            <w:shd w:val="clear" w:color="auto" w:fill="D9E2F3"/>
            <w:vAlign w:val="center"/>
          </w:tcPr>
          <w:p w14:paraId="73A49CCE" w14:textId="77777777" w:rsidR="00990B14" w:rsidRDefault="00000000">
            <w:pPr>
              <w:spacing w:before="20" w:after="20"/>
              <w:jc w:val="both"/>
            </w:pPr>
            <w:r>
              <w:rPr>
                <w:sz w:val="18"/>
                <w:szCs w:val="18"/>
              </w:rPr>
              <w:t>Identifica los procesos críticos y las operaciones clave.</w:t>
            </w:r>
          </w:p>
        </w:tc>
        <w:tc>
          <w:tcPr>
            <w:tcW w:w="1911" w:type="dxa"/>
            <w:shd w:val="clear" w:color="auto" w:fill="D9E2F3"/>
            <w:vAlign w:val="center"/>
          </w:tcPr>
          <w:p w14:paraId="0D2084AC" w14:textId="77777777" w:rsidR="00990B14" w:rsidRDefault="00000000">
            <w:pPr>
              <w:spacing w:before="20" w:after="20"/>
              <w:jc w:val="both"/>
            </w:pPr>
            <w:r>
              <w:rPr>
                <w:sz w:val="18"/>
                <w:szCs w:val="18"/>
              </w:rPr>
              <w:t>Prioriza los procesos según su riesgo.</w:t>
            </w:r>
          </w:p>
        </w:tc>
      </w:tr>
      <w:tr w:rsidR="00990B14" w14:paraId="24C5115A" w14:textId="77777777">
        <w:trPr>
          <w:cantSplit/>
          <w:jc w:val="center"/>
        </w:trPr>
        <w:tc>
          <w:tcPr>
            <w:tcW w:w="1878" w:type="dxa"/>
            <w:vMerge/>
            <w:shd w:val="clear" w:color="auto" w:fill="4472C4"/>
            <w:vAlign w:val="center"/>
          </w:tcPr>
          <w:p w14:paraId="7C22B0C2" w14:textId="77777777" w:rsidR="00990B14" w:rsidRDefault="00990B14">
            <w:pPr>
              <w:spacing w:before="20" w:after="20"/>
            </w:pPr>
          </w:p>
        </w:tc>
        <w:tc>
          <w:tcPr>
            <w:tcW w:w="1872" w:type="dxa"/>
            <w:shd w:val="clear" w:color="auto" w:fill="D9E2F3"/>
            <w:vAlign w:val="center"/>
          </w:tcPr>
          <w:p w14:paraId="59E3F557" w14:textId="77777777" w:rsidR="00990B14" w:rsidRDefault="00000000">
            <w:pPr>
              <w:spacing w:before="20" w:after="20"/>
              <w:jc w:val="both"/>
            </w:pPr>
            <w:r>
              <w:rPr>
                <w:sz w:val="18"/>
                <w:szCs w:val="18"/>
              </w:rPr>
              <w:t>Trabajo en equipo</w:t>
            </w:r>
          </w:p>
        </w:tc>
        <w:tc>
          <w:tcPr>
            <w:tcW w:w="1872" w:type="dxa"/>
            <w:shd w:val="clear" w:color="auto" w:fill="D9E2F3"/>
            <w:vAlign w:val="center"/>
          </w:tcPr>
          <w:p w14:paraId="1947F5FB" w14:textId="77777777" w:rsidR="00990B14" w:rsidRDefault="00000000">
            <w:pPr>
              <w:spacing w:before="20" w:after="20"/>
              <w:jc w:val="both"/>
            </w:pPr>
            <w:r>
              <w:rPr>
                <w:sz w:val="18"/>
                <w:szCs w:val="18"/>
              </w:rPr>
              <w:t>La participación de los integrantes es desigual.</w:t>
            </w:r>
          </w:p>
        </w:tc>
        <w:tc>
          <w:tcPr>
            <w:tcW w:w="1872" w:type="dxa"/>
            <w:shd w:val="clear" w:color="auto" w:fill="D9E2F3"/>
            <w:vAlign w:val="center"/>
          </w:tcPr>
          <w:p w14:paraId="78B45CD2" w14:textId="77777777" w:rsidR="00990B14" w:rsidRDefault="00000000">
            <w:pPr>
              <w:spacing w:before="20" w:after="20"/>
              <w:jc w:val="both"/>
            </w:pPr>
            <w:r>
              <w:rPr>
                <w:sz w:val="18"/>
                <w:szCs w:val="18"/>
              </w:rPr>
              <w:t>Todos los integrantes participan en el trabajo.</w:t>
            </w:r>
          </w:p>
        </w:tc>
        <w:tc>
          <w:tcPr>
            <w:tcW w:w="1911" w:type="dxa"/>
            <w:shd w:val="clear" w:color="auto" w:fill="D9E2F3"/>
            <w:vAlign w:val="center"/>
          </w:tcPr>
          <w:p w14:paraId="3A59DECC" w14:textId="77777777" w:rsidR="00990B14" w:rsidRDefault="00000000">
            <w:pPr>
              <w:spacing w:before="20" w:after="20"/>
              <w:jc w:val="both"/>
            </w:pPr>
            <w:r>
              <w:rPr>
                <w:sz w:val="18"/>
                <w:szCs w:val="18"/>
              </w:rPr>
              <w:t>El equipo sustenta sus decisiones con fundamento.</w:t>
            </w:r>
          </w:p>
        </w:tc>
      </w:tr>
      <w:tr w:rsidR="00990B14" w14:paraId="3A4A0022" w14:textId="77777777">
        <w:trPr>
          <w:cantSplit/>
          <w:jc w:val="center"/>
        </w:trPr>
        <w:tc>
          <w:tcPr>
            <w:tcW w:w="1878" w:type="dxa"/>
            <w:vMerge/>
            <w:shd w:val="clear" w:color="auto" w:fill="4472C4"/>
            <w:vAlign w:val="center"/>
          </w:tcPr>
          <w:p w14:paraId="373769FC" w14:textId="77777777" w:rsidR="00990B14" w:rsidRDefault="00990B14">
            <w:pPr>
              <w:spacing w:before="20" w:after="20"/>
            </w:pPr>
          </w:p>
        </w:tc>
        <w:tc>
          <w:tcPr>
            <w:tcW w:w="5616" w:type="dxa"/>
            <w:gridSpan w:val="3"/>
            <w:shd w:val="clear" w:color="auto" w:fill="D9E2F3"/>
            <w:vAlign w:val="center"/>
          </w:tcPr>
          <w:p w14:paraId="63E9BC8A" w14:textId="77777777" w:rsidR="00990B14" w:rsidRDefault="00000000">
            <w:pPr>
              <w:keepNext/>
              <w:spacing w:before="20" w:after="20"/>
              <w:jc w:val="both"/>
            </w:pPr>
            <w:r>
              <w:rPr>
                <w:b/>
                <w:bCs/>
                <w:i/>
                <w:iCs/>
                <w:sz w:val="18"/>
                <w:szCs w:val="18"/>
              </w:rPr>
              <w:t xml:space="preserve">Producto 10: </w:t>
            </w:r>
            <w:r>
              <w:rPr>
                <w:sz w:val="18"/>
                <w:szCs w:val="18"/>
              </w:rPr>
              <w:t>Archivo de papeles de trabajo de la auditoría de cartera de créditos y previsiones</w:t>
            </w:r>
          </w:p>
        </w:tc>
        <w:tc>
          <w:tcPr>
            <w:tcW w:w="1911" w:type="dxa"/>
            <w:shd w:val="clear" w:color="auto" w:fill="D9E2F3"/>
            <w:vAlign w:val="center"/>
          </w:tcPr>
          <w:p w14:paraId="18F2EBBA" w14:textId="77777777" w:rsidR="00990B14" w:rsidRDefault="00000000">
            <w:pPr>
              <w:spacing w:before="20" w:after="20"/>
              <w:jc w:val="center"/>
            </w:pPr>
            <w:r>
              <w:rPr>
                <w:b/>
                <w:bCs/>
                <w:sz w:val="18"/>
                <w:szCs w:val="18"/>
              </w:rPr>
              <w:t>5%</w:t>
            </w:r>
          </w:p>
        </w:tc>
      </w:tr>
      <w:tr w:rsidR="00990B14" w14:paraId="27566FA0" w14:textId="77777777">
        <w:trPr>
          <w:cantSplit/>
          <w:jc w:val="center"/>
        </w:trPr>
        <w:tc>
          <w:tcPr>
            <w:tcW w:w="1878" w:type="dxa"/>
            <w:vMerge/>
            <w:shd w:val="clear" w:color="auto" w:fill="4472C4"/>
            <w:vAlign w:val="center"/>
          </w:tcPr>
          <w:p w14:paraId="43F3EFB8" w14:textId="77777777" w:rsidR="00990B14" w:rsidRDefault="00990B14">
            <w:pPr>
              <w:spacing w:before="20" w:after="20"/>
            </w:pPr>
          </w:p>
        </w:tc>
        <w:tc>
          <w:tcPr>
            <w:tcW w:w="1872" w:type="dxa"/>
            <w:shd w:val="clear" w:color="auto" w:fill="4472C4"/>
            <w:vAlign w:val="center"/>
          </w:tcPr>
          <w:p w14:paraId="004037BF" w14:textId="77777777" w:rsidR="00990B14" w:rsidRDefault="00000000">
            <w:pPr>
              <w:keepNext/>
              <w:spacing w:before="20" w:after="20"/>
              <w:jc w:val="center"/>
            </w:pPr>
            <w:r>
              <w:rPr>
                <w:b/>
                <w:bCs/>
                <w:i/>
                <w:iCs/>
                <w:color w:val="FFFFFF"/>
                <w:sz w:val="18"/>
                <w:szCs w:val="18"/>
              </w:rPr>
              <w:t>Criterio</w:t>
            </w:r>
          </w:p>
        </w:tc>
        <w:tc>
          <w:tcPr>
            <w:tcW w:w="1872" w:type="dxa"/>
            <w:shd w:val="clear" w:color="auto" w:fill="4472C4"/>
            <w:vAlign w:val="center"/>
          </w:tcPr>
          <w:p w14:paraId="3AA73BF5" w14:textId="77777777" w:rsidR="00990B14" w:rsidRDefault="00000000">
            <w:pPr>
              <w:keepNext/>
              <w:spacing w:before="20" w:after="20"/>
              <w:jc w:val="center"/>
            </w:pPr>
            <w:r>
              <w:rPr>
                <w:b/>
                <w:bCs/>
                <w:i/>
                <w:iCs/>
                <w:color w:val="FFFFFF"/>
                <w:sz w:val="18"/>
                <w:szCs w:val="18"/>
              </w:rPr>
              <w:t>Insuficiente (1–50)</w:t>
            </w:r>
          </w:p>
        </w:tc>
        <w:tc>
          <w:tcPr>
            <w:tcW w:w="1872" w:type="dxa"/>
            <w:shd w:val="clear" w:color="auto" w:fill="4472C4"/>
            <w:vAlign w:val="center"/>
          </w:tcPr>
          <w:p w14:paraId="3CB3E7DE" w14:textId="77777777" w:rsidR="00990B14" w:rsidRDefault="00000000">
            <w:pPr>
              <w:keepNext/>
              <w:spacing w:before="20" w:after="20"/>
              <w:jc w:val="center"/>
            </w:pPr>
            <w:r>
              <w:rPr>
                <w:b/>
                <w:bCs/>
                <w:i/>
                <w:iCs/>
                <w:color w:val="FFFFFF"/>
                <w:sz w:val="18"/>
                <w:szCs w:val="18"/>
              </w:rPr>
              <w:t>Suficiente (51–80)</w:t>
            </w:r>
          </w:p>
        </w:tc>
        <w:tc>
          <w:tcPr>
            <w:tcW w:w="1911" w:type="dxa"/>
            <w:shd w:val="clear" w:color="auto" w:fill="4472C4"/>
            <w:vAlign w:val="center"/>
          </w:tcPr>
          <w:p w14:paraId="5CD30AE9" w14:textId="77777777" w:rsidR="00990B14" w:rsidRDefault="00000000">
            <w:pPr>
              <w:keepNext/>
              <w:spacing w:before="20" w:after="20"/>
              <w:jc w:val="center"/>
            </w:pPr>
            <w:r>
              <w:rPr>
                <w:b/>
                <w:bCs/>
                <w:i/>
                <w:iCs/>
                <w:color w:val="FFFFFF"/>
                <w:sz w:val="18"/>
                <w:szCs w:val="18"/>
              </w:rPr>
              <w:t>Destacado (81–100)</w:t>
            </w:r>
          </w:p>
        </w:tc>
      </w:tr>
      <w:tr w:rsidR="00990B14" w14:paraId="496710DA" w14:textId="77777777">
        <w:trPr>
          <w:cantSplit/>
          <w:jc w:val="center"/>
        </w:trPr>
        <w:tc>
          <w:tcPr>
            <w:tcW w:w="1878" w:type="dxa"/>
            <w:vMerge/>
            <w:shd w:val="clear" w:color="auto" w:fill="4472C4"/>
            <w:vAlign w:val="center"/>
          </w:tcPr>
          <w:p w14:paraId="3A0524F1" w14:textId="77777777" w:rsidR="00990B14" w:rsidRDefault="00990B14">
            <w:pPr>
              <w:spacing w:before="20" w:after="20"/>
            </w:pPr>
          </w:p>
        </w:tc>
        <w:tc>
          <w:tcPr>
            <w:tcW w:w="1872" w:type="dxa"/>
            <w:shd w:val="clear" w:color="auto" w:fill="D9E2F3"/>
            <w:vAlign w:val="center"/>
          </w:tcPr>
          <w:p w14:paraId="726706E4" w14:textId="77777777" w:rsidR="00990B14" w:rsidRDefault="00000000">
            <w:pPr>
              <w:spacing w:before="20" w:after="20"/>
              <w:jc w:val="both"/>
            </w:pPr>
            <w:r>
              <w:rPr>
                <w:sz w:val="18"/>
                <w:szCs w:val="18"/>
              </w:rPr>
              <w:t>Pruebas de controles</w:t>
            </w:r>
          </w:p>
        </w:tc>
        <w:tc>
          <w:tcPr>
            <w:tcW w:w="1872" w:type="dxa"/>
            <w:shd w:val="clear" w:color="auto" w:fill="D9E2F3"/>
            <w:vAlign w:val="center"/>
          </w:tcPr>
          <w:p w14:paraId="758054C2" w14:textId="77777777" w:rsidR="00990B14" w:rsidRDefault="00000000">
            <w:pPr>
              <w:spacing w:before="20" w:after="20"/>
              <w:jc w:val="both"/>
            </w:pPr>
            <w:r>
              <w:rPr>
                <w:sz w:val="18"/>
                <w:szCs w:val="18"/>
              </w:rPr>
              <w:t>Las pruebas no responden a los riesgos.</w:t>
            </w:r>
          </w:p>
        </w:tc>
        <w:tc>
          <w:tcPr>
            <w:tcW w:w="1872" w:type="dxa"/>
            <w:shd w:val="clear" w:color="auto" w:fill="D9E2F3"/>
            <w:vAlign w:val="center"/>
          </w:tcPr>
          <w:p w14:paraId="57408119" w14:textId="77777777" w:rsidR="00990B14" w:rsidRDefault="00000000">
            <w:pPr>
              <w:spacing w:before="20" w:after="20"/>
              <w:jc w:val="both"/>
            </w:pPr>
            <w:r>
              <w:rPr>
                <w:sz w:val="18"/>
                <w:szCs w:val="18"/>
              </w:rPr>
              <w:t>Prueba los controles clave de la cartera.</w:t>
            </w:r>
          </w:p>
        </w:tc>
        <w:tc>
          <w:tcPr>
            <w:tcW w:w="1911" w:type="dxa"/>
            <w:shd w:val="clear" w:color="auto" w:fill="D9E2F3"/>
            <w:vAlign w:val="center"/>
          </w:tcPr>
          <w:p w14:paraId="60A58834" w14:textId="77777777" w:rsidR="00990B14" w:rsidRDefault="00000000">
            <w:pPr>
              <w:spacing w:before="20" w:after="20"/>
              <w:jc w:val="both"/>
            </w:pPr>
            <w:r>
              <w:rPr>
                <w:sz w:val="18"/>
                <w:szCs w:val="18"/>
              </w:rPr>
              <w:t>Evalúa los controles generales de tecnología.</w:t>
            </w:r>
          </w:p>
        </w:tc>
      </w:tr>
      <w:tr w:rsidR="00990B14" w14:paraId="23D77F14" w14:textId="77777777">
        <w:trPr>
          <w:cantSplit/>
          <w:jc w:val="center"/>
        </w:trPr>
        <w:tc>
          <w:tcPr>
            <w:tcW w:w="1878" w:type="dxa"/>
            <w:vMerge/>
            <w:shd w:val="clear" w:color="auto" w:fill="4472C4"/>
            <w:vAlign w:val="center"/>
          </w:tcPr>
          <w:p w14:paraId="11FE4C7F" w14:textId="77777777" w:rsidR="00990B14" w:rsidRDefault="00990B14">
            <w:pPr>
              <w:spacing w:before="20" w:after="20"/>
            </w:pPr>
          </w:p>
        </w:tc>
        <w:tc>
          <w:tcPr>
            <w:tcW w:w="1872" w:type="dxa"/>
            <w:shd w:val="clear" w:color="auto" w:fill="D9E2F3"/>
            <w:vAlign w:val="center"/>
          </w:tcPr>
          <w:p w14:paraId="63C95AAF" w14:textId="77777777" w:rsidR="00990B14" w:rsidRDefault="00000000">
            <w:pPr>
              <w:spacing w:before="20" w:after="20"/>
              <w:jc w:val="both"/>
            </w:pPr>
            <w:r>
              <w:rPr>
                <w:sz w:val="18"/>
                <w:szCs w:val="18"/>
              </w:rPr>
              <w:t>Pruebas sustantivas</w:t>
            </w:r>
          </w:p>
        </w:tc>
        <w:tc>
          <w:tcPr>
            <w:tcW w:w="1872" w:type="dxa"/>
            <w:shd w:val="clear" w:color="auto" w:fill="D9E2F3"/>
            <w:vAlign w:val="center"/>
          </w:tcPr>
          <w:p w14:paraId="3EA8CE68" w14:textId="77777777" w:rsidR="00990B14" w:rsidRDefault="00000000">
            <w:pPr>
              <w:spacing w:before="20" w:after="20"/>
              <w:jc w:val="both"/>
            </w:pPr>
            <w:r>
              <w:rPr>
                <w:sz w:val="18"/>
                <w:szCs w:val="18"/>
              </w:rPr>
              <w:t>Omite aseveraciones.</w:t>
            </w:r>
          </w:p>
        </w:tc>
        <w:tc>
          <w:tcPr>
            <w:tcW w:w="1872" w:type="dxa"/>
            <w:shd w:val="clear" w:color="auto" w:fill="D9E2F3"/>
            <w:vAlign w:val="center"/>
          </w:tcPr>
          <w:p w14:paraId="6D0335A8" w14:textId="77777777" w:rsidR="00990B14" w:rsidRDefault="00000000">
            <w:pPr>
              <w:spacing w:before="20" w:after="20"/>
              <w:jc w:val="both"/>
            </w:pPr>
            <w:r>
              <w:rPr>
                <w:sz w:val="18"/>
                <w:szCs w:val="18"/>
              </w:rPr>
              <w:t>Aplica pruebas sustantivas a los saldos.</w:t>
            </w:r>
          </w:p>
        </w:tc>
        <w:tc>
          <w:tcPr>
            <w:tcW w:w="1911" w:type="dxa"/>
            <w:shd w:val="clear" w:color="auto" w:fill="D9E2F3"/>
            <w:vAlign w:val="center"/>
          </w:tcPr>
          <w:p w14:paraId="2F2E71FB" w14:textId="77777777" w:rsidR="00990B14" w:rsidRDefault="00000000">
            <w:pPr>
              <w:spacing w:before="20" w:after="20"/>
              <w:jc w:val="both"/>
            </w:pPr>
            <w:r>
              <w:rPr>
                <w:sz w:val="18"/>
                <w:szCs w:val="18"/>
              </w:rPr>
              <w:t>Analiza la totalidad de la cartera con datos.</w:t>
            </w:r>
          </w:p>
        </w:tc>
      </w:tr>
      <w:tr w:rsidR="00990B14" w14:paraId="6AE842A3" w14:textId="77777777">
        <w:trPr>
          <w:cantSplit/>
          <w:jc w:val="center"/>
        </w:trPr>
        <w:tc>
          <w:tcPr>
            <w:tcW w:w="1878" w:type="dxa"/>
            <w:vMerge/>
            <w:shd w:val="clear" w:color="auto" w:fill="4472C4"/>
            <w:vAlign w:val="center"/>
          </w:tcPr>
          <w:p w14:paraId="1D32F464" w14:textId="77777777" w:rsidR="00990B14" w:rsidRDefault="00990B14">
            <w:pPr>
              <w:spacing w:before="20" w:after="20"/>
            </w:pPr>
          </w:p>
        </w:tc>
        <w:tc>
          <w:tcPr>
            <w:tcW w:w="1872" w:type="dxa"/>
            <w:shd w:val="clear" w:color="auto" w:fill="D9E2F3"/>
            <w:vAlign w:val="center"/>
          </w:tcPr>
          <w:p w14:paraId="46D656CD" w14:textId="77777777" w:rsidR="00990B14" w:rsidRDefault="00000000">
            <w:pPr>
              <w:spacing w:before="20" w:after="20"/>
              <w:jc w:val="both"/>
            </w:pPr>
            <w:r>
              <w:rPr>
                <w:sz w:val="18"/>
                <w:szCs w:val="18"/>
              </w:rPr>
              <w:t>Estimación contable</w:t>
            </w:r>
          </w:p>
        </w:tc>
        <w:tc>
          <w:tcPr>
            <w:tcW w:w="1872" w:type="dxa"/>
            <w:shd w:val="clear" w:color="auto" w:fill="D9E2F3"/>
            <w:vAlign w:val="center"/>
          </w:tcPr>
          <w:p w14:paraId="27CCD256" w14:textId="77777777" w:rsidR="00990B14" w:rsidRDefault="00000000">
            <w:pPr>
              <w:spacing w:before="20" w:after="20"/>
              <w:jc w:val="both"/>
            </w:pPr>
            <w:r>
              <w:rPr>
                <w:sz w:val="18"/>
                <w:szCs w:val="18"/>
              </w:rPr>
              <w:t>No evalúa la previsión.</w:t>
            </w:r>
          </w:p>
        </w:tc>
        <w:tc>
          <w:tcPr>
            <w:tcW w:w="1872" w:type="dxa"/>
            <w:shd w:val="clear" w:color="auto" w:fill="D9E2F3"/>
            <w:vAlign w:val="center"/>
          </w:tcPr>
          <w:p w14:paraId="77ADFB3D" w14:textId="77777777" w:rsidR="00990B14" w:rsidRDefault="00000000">
            <w:pPr>
              <w:spacing w:before="20" w:after="20"/>
              <w:jc w:val="both"/>
            </w:pPr>
            <w:r>
              <w:rPr>
                <w:sz w:val="18"/>
                <w:szCs w:val="18"/>
              </w:rPr>
              <w:t>Evalúa los supuestos y los datos de la previsión.</w:t>
            </w:r>
          </w:p>
        </w:tc>
        <w:tc>
          <w:tcPr>
            <w:tcW w:w="1911" w:type="dxa"/>
            <w:shd w:val="clear" w:color="auto" w:fill="D9E2F3"/>
            <w:vAlign w:val="center"/>
          </w:tcPr>
          <w:p w14:paraId="688C56BB" w14:textId="77777777" w:rsidR="00990B14" w:rsidRDefault="00000000">
            <w:pPr>
              <w:spacing w:before="20" w:after="20"/>
              <w:jc w:val="both"/>
            </w:pPr>
            <w:r>
              <w:rPr>
                <w:sz w:val="18"/>
                <w:szCs w:val="18"/>
              </w:rPr>
              <w:t>Desarrolla una estimación independiente.</w:t>
            </w:r>
          </w:p>
        </w:tc>
      </w:tr>
      <w:tr w:rsidR="00990B14" w14:paraId="113CE48C" w14:textId="77777777">
        <w:trPr>
          <w:cantSplit/>
          <w:jc w:val="center"/>
        </w:trPr>
        <w:tc>
          <w:tcPr>
            <w:tcW w:w="1878" w:type="dxa"/>
            <w:vMerge/>
            <w:shd w:val="clear" w:color="auto" w:fill="4472C4"/>
            <w:vAlign w:val="center"/>
          </w:tcPr>
          <w:p w14:paraId="6B5146F9" w14:textId="77777777" w:rsidR="00990B14" w:rsidRDefault="00990B14">
            <w:pPr>
              <w:spacing w:before="20" w:after="20"/>
            </w:pPr>
          </w:p>
        </w:tc>
        <w:tc>
          <w:tcPr>
            <w:tcW w:w="5616" w:type="dxa"/>
            <w:gridSpan w:val="3"/>
            <w:shd w:val="clear" w:color="auto" w:fill="D9E2F3"/>
            <w:vAlign w:val="center"/>
          </w:tcPr>
          <w:p w14:paraId="281C9DB1" w14:textId="77777777" w:rsidR="00990B14" w:rsidRDefault="00000000">
            <w:pPr>
              <w:keepNext/>
              <w:spacing w:before="20" w:after="20"/>
              <w:jc w:val="both"/>
            </w:pPr>
            <w:r>
              <w:rPr>
                <w:b/>
                <w:bCs/>
                <w:i/>
                <w:iCs/>
                <w:sz w:val="18"/>
                <w:szCs w:val="18"/>
              </w:rPr>
              <w:t xml:space="preserve">Producto 11: </w:t>
            </w:r>
            <w:r>
              <w:rPr>
                <w:sz w:val="18"/>
                <w:szCs w:val="18"/>
              </w:rPr>
              <w:t>Matriz de valoración de riesgos de incorrección material</w:t>
            </w:r>
          </w:p>
        </w:tc>
        <w:tc>
          <w:tcPr>
            <w:tcW w:w="1911" w:type="dxa"/>
            <w:shd w:val="clear" w:color="auto" w:fill="D9E2F3"/>
            <w:vAlign w:val="center"/>
          </w:tcPr>
          <w:p w14:paraId="6CDA640B" w14:textId="77777777" w:rsidR="00990B14" w:rsidRDefault="00000000">
            <w:pPr>
              <w:spacing w:before="20" w:after="20"/>
              <w:jc w:val="center"/>
            </w:pPr>
            <w:r>
              <w:rPr>
                <w:b/>
                <w:bCs/>
                <w:sz w:val="18"/>
                <w:szCs w:val="18"/>
              </w:rPr>
              <w:t>4%</w:t>
            </w:r>
          </w:p>
        </w:tc>
      </w:tr>
      <w:tr w:rsidR="00990B14" w14:paraId="24EF807A" w14:textId="77777777">
        <w:trPr>
          <w:cantSplit/>
          <w:jc w:val="center"/>
        </w:trPr>
        <w:tc>
          <w:tcPr>
            <w:tcW w:w="1878" w:type="dxa"/>
            <w:vMerge/>
            <w:shd w:val="clear" w:color="auto" w:fill="4472C4"/>
            <w:vAlign w:val="center"/>
          </w:tcPr>
          <w:p w14:paraId="68188DB9" w14:textId="77777777" w:rsidR="00990B14" w:rsidRDefault="00990B14">
            <w:pPr>
              <w:spacing w:before="20" w:after="20"/>
            </w:pPr>
          </w:p>
        </w:tc>
        <w:tc>
          <w:tcPr>
            <w:tcW w:w="1872" w:type="dxa"/>
            <w:shd w:val="clear" w:color="auto" w:fill="4472C4"/>
            <w:vAlign w:val="center"/>
          </w:tcPr>
          <w:p w14:paraId="1101DB42" w14:textId="77777777" w:rsidR="00990B14" w:rsidRDefault="00000000">
            <w:pPr>
              <w:keepNext/>
              <w:spacing w:before="20" w:after="20"/>
              <w:jc w:val="center"/>
            </w:pPr>
            <w:r>
              <w:rPr>
                <w:b/>
                <w:bCs/>
                <w:i/>
                <w:iCs/>
                <w:color w:val="FFFFFF"/>
                <w:sz w:val="18"/>
                <w:szCs w:val="18"/>
              </w:rPr>
              <w:t>Criterio</w:t>
            </w:r>
          </w:p>
        </w:tc>
        <w:tc>
          <w:tcPr>
            <w:tcW w:w="1872" w:type="dxa"/>
            <w:shd w:val="clear" w:color="auto" w:fill="4472C4"/>
            <w:vAlign w:val="center"/>
          </w:tcPr>
          <w:p w14:paraId="0F453FC8" w14:textId="77777777" w:rsidR="00990B14" w:rsidRDefault="00000000">
            <w:pPr>
              <w:keepNext/>
              <w:spacing w:before="20" w:after="20"/>
              <w:jc w:val="center"/>
            </w:pPr>
            <w:r>
              <w:rPr>
                <w:b/>
                <w:bCs/>
                <w:i/>
                <w:iCs/>
                <w:color w:val="FFFFFF"/>
                <w:sz w:val="18"/>
                <w:szCs w:val="18"/>
              </w:rPr>
              <w:t>Insuficiente (1–50)</w:t>
            </w:r>
          </w:p>
        </w:tc>
        <w:tc>
          <w:tcPr>
            <w:tcW w:w="1872" w:type="dxa"/>
            <w:shd w:val="clear" w:color="auto" w:fill="4472C4"/>
            <w:vAlign w:val="center"/>
          </w:tcPr>
          <w:p w14:paraId="6EAC9619" w14:textId="77777777" w:rsidR="00990B14" w:rsidRDefault="00000000">
            <w:pPr>
              <w:keepNext/>
              <w:spacing w:before="20" w:after="20"/>
              <w:jc w:val="center"/>
            </w:pPr>
            <w:r>
              <w:rPr>
                <w:b/>
                <w:bCs/>
                <w:i/>
                <w:iCs/>
                <w:color w:val="FFFFFF"/>
                <w:sz w:val="18"/>
                <w:szCs w:val="18"/>
              </w:rPr>
              <w:t>Suficiente (51–80)</w:t>
            </w:r>
          </w:p>
        </w:tc>
        <w:tc>
          <w:tcPr>
            <w:tcW w:w="1911" w:type="dxa"/>
            <w:shd w:val="clear" w:color="auto" w:fill="4472C4"/>
            <w:vAlign w:val="center"/>
          </w:tcPr>
          <w:p w14:paraId="6E0730FE" w14:textId="77777777" w:rsidR="00990B14" w:rsidRDefault="00000000">
            <w:pPr>
              <w:keepNext/>
              <w:spacing w:before="20" w:after="20"/>
              <w:jc w:val="center"/>
            </w:pPr>
            <w:r>
              <w:rPr>
                <w:b/>
                <w:bCs/>
                <w:i/>
                <w:iCs/>
                <w:color w:val="FFFFFF"/>
                <w:sz w:val="18"/>
                <w:szCs w:val="18"/>
              </w:rPr>
              <w:t>Destacado (81–100)</w:t>
            </w:r>
          </w:p>
        </w:tc>
      </w:tr>
      <w:tr w:rsidR="00990B14" w14:paraId="1F61F712" w14:textId="77777777">
        <w:trPr>
          <w:cantSplit/>
          <w:jc w:val="center"/>
        </w:trPr>
        <w:tc>
          <w:tcPr>
            <w:tcW w:w="1878" w:type="dxa"/>
            <w:vMerge/>
            <w:shd w:val="clear" w:color="auto" w:fill="4472C4"/>
            <w:vAlign w:val="center"/>
          </w:tcPr>
          <w:p w14:paraId="13209A12" w14:textId="77777777" w:rsidR="00990B14" w:rsidRDefault="00990B14">
            <w:pPr>
              <w:spacing w:before="20" w:after="20"/>
            </w:pPr>
          </w:p>
        </w:tc>
        <w:tc>
          <w:tcPr>
            <w:tcW w:w="1872" w:type="dxa"/>
            <w:shd w:val="clear" w:color="auto" w:fill="D9E2F3"/>
            <w:vAlign w:val="center"/>
          </w:tcPr>
          <w:p w14:paraId="64C35E88" w14:textId="77777777" w:rsidR="00990B14" w:rsidRDefault="00000000">
            <w:pPr>
              <w:spacing w:before="20" w:after="20"/>
              <w:jc w:val="both"/>
            </w:pPr>
            <w:r>
              <w:rPr>
                <w:sz w:val="18"/>
                <w:szCs w:val="18"/>
              </w:rPr>
              <w:t>Valoración</w:t>
            </w:r>
          </w:p>
        </w:tc>
        <w:tc>
          <w:tcPr>
            <w:tcW w:w="1872" w:type="dxa"/>
            <w:shd w:val="clear" w:color="auto" w:fill="D9E2F3"/>
            <w:vAlign w:val="center"/>
          </w:tcPr>
          <w:p w14:paraId="360E77E0" w14:textId="77777777" w:rsidR="00990B14" w:rsidRDefault="00000000">
            <w:pPr>
              <w:spacing w:before="20" w:after="20"/>
              <w:jc w:val="both"/>
            </w:pPr>
            <w:r>
              <w:rPr>
                <w:sz w:val="18"/>
                <w:szCs w:val="18"/>
              </w:rPr>
              <w:t>No valora los riesgos de incorrección material.</w:t>
            </w:r>
          </w:p>
        </w:tc>
        <w:tc>
          <w:tcPr>
            <w:tcW w:w="1872" w:type="dxa"/>
            <w:shd w:val="clear" w:color="auto" w:fill="D9E2F3"/>
            <w:vAlign w:val="center"/>
          </w:tcPr>
          <w:p w14:paraId="64199880" w14:textId="77777777" w:rsidR="00990B14" w:rsidRDefault="00000000">
            <w:pPr>
              <w:spacing w:before="20" w:after="20"/>
              <w:jc w:val="both"/>
            </w:pPr>
            <w:r>
              <w:rPr>
                <w:sz w:val="18"/>
                <w:szCs w:val="18"/>
              </w:rPr>
              <w:t>Valora los riesgos con base en la NIA 315 (Revisada).</w:t>
            </w:r>
          </w:p>
        </w:tc>
        <w:tc>
          <w:tcPr>
            <w:tcW w:w="1911" w:type="dxa"/>
            <w:shd w:val="clear" w:color="auto" w:fill="D9E2F3"/>
            <w:vAlign w:val="center"/>
          </w:tcPr>
          <w:p w14:paraId="44FC5552" w14:textId="77777777" w:rsidR="00990B14" w:rsidRDefault="00000000">
            <w:pPr>
              <w:spacing w:before="20" w:after="20"/>
              <w:jc w:val="both"/>
            </w:pPr>
            <w:r>
              <w:rPr>
                <w:sz w:val="18"/>
                <w:szCs w:val="18"/>
              </w:rPr>
              <w:t>Vincula cada riesgo con el fraude y con las aseveraciones.</w:t>
            </w:r>
          </w:p>
        </w:tc>
      </w:tr>
      <w:tr w:rsidR="00990B14" w14:paraId="7C67DA0C" w14:textId="77777777">
        <w:trPr>
          <w:cantSplit/>
          <w:jc w:val="center"/>
        </w:trPr>
        <w:tc>
          <w:tcPr>
            <w:tcW w:w="1878" w:type="dxa"/>
            <w:vMerge/>
            <w:shd w:val="clear" w:color="auto" w:fill="4472C4"/>
            <w:vAlign w:val="center"/>
          </w:tcPr>
          <w:p w14:paraId="0C501D92" w14:textId="77777777" w:rsidR="00990B14" w:rsidRDefault="00990B14">
            <w:pPr>
              <w:spacing w:before="20" w:after="20"/>
            </w:pPr>
          </w:p>
        </w:tc>
        <w:tc>
          <w:tcPr>
            <w:tcW w:w="1872" w:type="dxa"/>
            <w:shd w:val="clear" w:color="auto" w:fill="D9E2F3"/>
            <w:vAlign w:val="center"/>
          </w:tcPr>
          <w:p w14:paraId="788B2E12" w14:textId="77777777" w:rsidR="00990B14" w:rsidRDefault="00000000">
            <w:pPr>
              <w:spacing w:before="20" w:after="20"/>
              <w:jc w:val="both"/>
            </w:pPr>
            <w:r>
              <w:rPr>
                <w:sz w:val="18"/>
                <w:szCs w:val="18"/>
              </w:rPr>
              <w:t>Respuesta</w:t>
            </w:r>
          </w:p>
        </w:tc>
        <w:tc>
          <w:tcPr>
            <w:tcW w:w="1872" w:type="dxa"/>
            <w:shd w:val="clear" w:color="auto" w:fill="D9E2F3"/>
            <w:vAlign w:val="center"/>
          </w:tcPr>
          <w:p w14:paraId="0E73660C" w14:textId="77777777" w:rsidR="00990B14" w:rsidRDefault="00000000">
            <w:pPr>
              <w:spacing w:before="20" w:after="20"/>
              <w:jc w:val="both"/>
            </w:pPr>
            <w:r>
              <w:rPr>
                <w:sz w:val="18"/>
                <w:szCs w:val="18"/>
              </w:rPr>
              <w:t>La respuesta no se relaciona con los riesgos.</w:t>
            </w:r>
          </w:p>
        </w:tc>
        <w:tc>
          <w:tcPr>
            <w:tcW w:w="1872" w:type="dxa"/>
            <w:shd w:val="clear" w:color="auto" w:fill="D9E2F3"/>
            <w:vAlign w:val="center"/>
          </w:tcPr>
          <w:p w14:paraId="7C1E976C" w14:textId="77777777" w:rsidR="00990B14" w:rsidRDefault="00000000">
            <w:pPr>
              <w:spacing w:before="20" w:after="20"/>
              <w:jc w:val="both"/>
            </w:pPr>
            <w:r>
              <w:rPr>
                <w:sz w:val="18"/>
                <w:szCs w:val="18"/>
              </w:rPr>
              <w:t>Diseña la respuesta de auditoría para cada riesgo.</w:t>
            </w:r>
          </w:p>
        </w:tc>
        <w:tc>
          <w:tcPr>
            <w:tcW w:w="1911" w:type="dxa"/>
            <w:shd w:val="clear" w:color="auto" w:fill="D9E2F3"/>
            <w:vAlign w:val="center"/>
          </w:tcPr>
          <w:p w14:paraId="3CA40BDC" w14:textId="77777777" w:rsidR="00990B14" w:rsidRDefault="00000000">
            <w:pPr>
              <w:spacing w:before="20" w:after="20"/>
              <w:jc w:val="both"/>
            </w:pPr>
            <w:r>
              <w:rPr>
                <w:sz w:val="18"/>
                <w:szCs w:val="18"/>
              </w:rPr>
              <w:t>Evalúa la importancia de cada riesgo significativo y diseña la respuesta de auditoría priorizando los procedimientos según su valoración.</w:t>
            </w:r>
          </w:p>
        </w:tc>
      </w:tr>
      <w:tr w:rsidR="00990B14" w14:paraId="30329D2E" w14:textId="77777777">
        <w:trPr>
          <w:cantSplit/>
          <w:jc w:val="center"/>
        </w:trPr>
        <w:tc>
          <w:tcPr>
            <w:tcW w:w="1878" w:type="dxa"/>
            <w:vMerge/>
            <w:shd w:val="clear" w:color="auto" w:fill="4472C4"/>
            <w:vAlign w:val="center"/>
          </w:tcPr>
          <w:p w14:paraId="37250A7A" w14:textId="77777777" w:rsidR="00990B14" w:rsidRDefault="00990B14">
            <w:pPr>
              <w:spacing w:before="20" w:after="20"/>
            </w:pPr>
          </w:p>
        </w:tc>
        <w:tc>
          <w:tcPr>
            <w:tcW w:w="1872" w:type="dxa"/>
            <w:shd w:val="clear" w:color="auto" w:fill="D9E2F3"/>
            <w:vAlign w:val="center"/>
          </w:tcPr>
          <w:p w14:paraId="230FB793" w14:textId="77777777" w:rsidR="00990B14" w:rsidRDefault="00000000">
            <w:pPr>
              <w:spacing w:before="20" w:after="20"/>
              <w:jc w:val="both"/>
            </w:pPr>
            <w:r>
              <w:rPr>
                <w:sz w:val="18"/>
                <w:szCs w:val="18"/>
              </w:rPr>
              <w:t>Trabajo en equipo</w:t>
            </w:r>
          </w:p>
        </w:tc>
        <w:tc>
          <w:tcPr>
            <w:tcW w:w="1872" w:type="dxa"/>
            <w:shd w:val="clear" w:color="auto" w:fill="D9E2F3"/>
            <w:vAlign w:val="center"/>
          </w:tcPr>
          <w:p w14:paraId="2D02404B" w14:textId="77777777" w:rsidR="00990B14" w:rsidRDefault="00000000">
            <w:pPr>
              <w:spacing w:before="20" w:after="20"/>
              <w:jc w:val="both"/>
            </w:pPr>
            <w:r>
              <w:rPr>
                <w:sz w:val="18"/>
                <w:szCs w:val="18"/>
              </w:rPr>
              <w:t>La participación de los integrantes es desigual.</w:t>
            </w:r>
          </w:p>
        </w:tc>
        <w:tc>
          <w:tcPr>
            <w:tcW w:w="1872" w:type="dxa"/>
            <w:shd w:val="clear" w:color="auto" w:fill="D9E2F3"/>
            <w:vAlign w:val="center"/>
          </w:tcPr>
          <w:p w14:paraId="4A69586F" w14:textId="77777777" w:rsidR="00990B14" w:rsidRDefault="00000000">
            <w:pPr>
              <w:spacing w:before="20" w:after="20"/>
              <w:jc w:val="both"/>
            </w:pPr>
            <w:r>
              <w:rPr>
                <w:sz w:val="18"/>
                <w:szCs w:val="18"/>
              </w:rPr>
              <w:t>Todos los integrantes participan en el trabajo.</w:t>
            </w:r>
          </w:p>
        </w:tc>
        <w:tc>
          <w:tcPr>
            <w:tcW w:w="1911" w:type="dxa"/>
            <w:shd w:val="clear" w:color="auto" w:fill="D9E2F3"/>
            <w:vAlign w:val="center"/>
          </w:tcPr>
          <w:p w14:paraId="46727656" w14:textId="77777777" w:rsidR="00990B14" w:rsidRDefault="00000000">
            <w:pPr>
              <w:spacing w:before="20" w:after="20"/>
              <w:jc w:val="both"/>
            </w:pPr>
            <w:r>
              <w:rPr>
                <w:sz w:val="18"/>
                <w:szCs w:val="18"/>
              </w:rPr>
              <w:t>El equipo sustenta sus decisiones con fundamento.</w:t>
            </w:r>
          </w:p>
        </w:tc>
      </w:tr>
      <w:tr w:rsidR="00990B14" w14:paraId="74C1EC2C" w14:textId="77777777">
        <w:trPr>
          <w:cantSplit/>
          <w:jc w:val="center"/>
        </w:trPr>
        <w:tc>
          <w:tcPr>
            <w:tcW w:w="1878" w:type="dxa"/>
            <w:vMerge/>
            <w:shd w:val="clear" w:color="auto" w:fill="4472C4"/>
            <w:vAlign w:val="center"/>
          </w:tcPr>
          <w:p w14:paraId="20C4C2AF" w14:textId="77777777" w:rsidR="00990B14" w:rsidRDefault="00990B14">
            <w:pPr>
              <w:spacing w:before="20" w:after="20"/>
            </w:pPr>
          </w:p>
        </w:tc>
        <w:tc>
          <w:tcPr>
            <w:tcW w:w="5616" w:type="dxa"/>
            <w:gridSpan w:val="3"/>
            <w:shd w:val="clear" w:color="auto" w:fill="D9E2F3"/>
            <w:vAlign w:val="center"/>
          </w:tcPr>
          <w:p w14:paraId="376D664D" w14:textId="77777777" w:rsidR="00990B14" w:rsidRDefault="00000000">
            <w:pPr>
              <w:keepNext/>
              <w:spacing w:before="20" w:after="20"/>
              <w:jc w:val="both"/>
            </w:pPr>
            <w:r>
              <w:rPr>
                <w:b/>
                <w:bCs/>
                <w:i/>
                <w:iCs/>
                <w:sz w:val="18"/>
                <w:szCs w:val="18"/>
              </w:rPr>
              <w:t xml:space="preserve">Producto 12: </w:t>
            </w:r>
            <w:r>
              <w:rPr>
                <w:sz w:val="18"/>
                <w:szCs w:val="18"/>
              </w:rPr>
              <w:t>Papel de trabajo de evaluación de la información generada por la entidad</w:t>
            </w:r>
          </w:p>
        </w:tc>
        <w:tc>
          <w:tcPr>
            <w:tcW w:w="1911" w:type="dxa"/>
            <w:shd w:val="clear" w:color="auto" w:fill="D9E2F3"/>
            <w:vAlign w:val="center"/>
          </w:tcPr>
          <w:p w14:paraId="7AFA70AF" w14:textId="77777777" w:rsidR="00990B14" w:rsidRDefault="00000000">
            <w:pPr>
              <w:spacing w:before="20" w:after="20"/>
              <w:jc w:val="center"/>
            </w:pPr>
            <w:r>
              <w:rPr>
                <w:b/>
                <w:bCs/>
                <w:sz w:val="18"/>
                <w:szCs w:val="18"/>
              </w:rPr>
              <w:t>4%</w:t>
            </w:r>
          </w:p>
        </w:tc>
      </w:tr>
      <w:tr w:rsidR="00990B14" w14:paraId="5AB98BC5" w14:textId="77777777">
        <w:trPr>
          <w:cantSplit/>
          <w:jc w:val="center"/>
        </w:trPr>
        <w:tc>
          <w:tcPr>
            <w:tcW w:w="1878" w:type="dxa"/>
            <w:vMerge/>
            <w:shd w:val="clear" w:color="auto" w:fill="4472C4"/>
            <w:vAlign w:val="center"/>
          </w:tcPr>
          <w:p w14:paraId="4E8E44E7" w14:textId="77777777" w:rsidR="00990B14" w:rsidRDefault="00990B14">
            <w:pPr>
              <w:spacing w:before="20" w:after="20"/>
            </w:pPr>
          </w:p>
        </w:tc>
        <w:tc>
          <w:tcPr>
            <w:tcW w:w="1872" w:type="dxa"/>
            <w:shd w:val="clear" w:color="auto" w:fill="4472C4"/>
            <w:vAlign w:val="center"/>
          </w:tcPr>
          <w:p w14:paraId="42F62191" w14:textId="77777777" w:rsidR="00990B14" w:rsidRDefault="00000000">
            <w:pPr>
              <w:keepNext/>
              <w:spacing w:before="20" w:after="20"/>
              <w:jc w:val="center"/>
            </w:pPr>
            <w:r>
              <w:rPr>
                <w:b/>
                <w:bCs/>
                <w:i/>
                <w:iCs/>
                <w:color w:val="FFFFFF"/>
                <w:sz w:val="18"/>
                <w:szCs w:val="18"/>
              </w:rPr>
              <w:t>Criterio</w:t>
            </w:r>
          </w:p>
        </w:tc>
        <w:tc>
          <w:tcPr>
            <w:tcW w:w="1872" w:type="dxa"/>
            <w:shd w:val="clear" w:color="auto" w:fill="4472C4"/>
            <w:vAlign w:val="center"/>
          </w:tcPr>
          <w:p w14:paraId="777294BC" w14:textId="77777777" w:rsidR="00990B14" w:rsidRDefault="00000000">
            <w:pPr>
              <w:keepNext/>
              <w:spacing w:before="20" w:after="20"/>
              <w:jc w:val="center"/>
            </w:pPr>
            <w:r>
              <w:rPr>
                <w:b/>
                <w:bCs/>
                <w:i/>
                <w:iCs/>
                <w:color w:val="FFFFFF"/>
                <w:sz w:val="18"/>
                <w:szCs w:val="18"/>
              </w:rPr>
              <w:t>Insuficiente (1–50)</w:t>
            </w:r>
          </w:p>
        </w:tc>
        <w:tc>
          <w:tcPr>
            <w:tcW w:w="1872" w:type="dxa"/>
            <w:shd w:val="clear" w:color="auto" w:fill="4472C4"/>
            <w:vAlign w:val="center"/>
          </w:tcPr>
          <w:p w14:paraId="01C0E111" w14:textId="77777777" w:rsidR="00990B14" w:rsidRDefault="00000000">
            <w:pPr>
              <w:keepNext/>
              <w:spacing w:before="20" w:after="20"/>
              <w:jc w:val="center"/>
            </w:pPr>
            <w:r>
              <w:rPr>
                <w:b/>
                <w:bCs/>
                <w:i/>
                <w:iCs/>
                <w:color w:val="FFFFFF"/>
                <w:sz w:val="18"/>
                <w:szCs w:val="18"/>
              </w:rPr>
              <w:t>Suficiente (51–80)</w:t>
            </w:r>
          </w:p>
        </w:tc>
        <w:tc>
          <w:tcPr>
            <w:tcW w:w="1911" w:type="dxa"/>
            <w:shd w:val="clear" w:color="auto" w:fill="4472C4"/>
            <w:vAlign w:val="center"/>
          </w:tcPr>
          <w:p w14:paraId="5F870AE3" w14:textId="77777777" w:rsidR="00990B14" w:rsidRDefault="00000000">
            <w:pPr>
              <w:keepNext/>
              <w:spacing w:before="20" w:after="20"/>
              <w:jc w:val="center"/>
            </w:pPr>
            <w:r>
              <w:rPr>
                <w:b/>
                <w:bCs/>
                <w:i/>
                <w:iCs/>
                <w:color w:val="FFFFFF"/>
                <w:sz w:val="18"/>
                <w:szCs w:val="18"/>
              </w:rPr>
              <w:t>Destacado (81–100)</w:t>
            </w:r>
          </w:p>
        </w:tc>
      </w:tr>
      <w:tr w:rsidR="00990B14" w14:paraId="72BF03C5" w14:textId="77777777">
        <w:trPr>
          <w:cantSplit/>
          <w:jc w:val="center"/>
        </w:trPr>
        <w:tc>
          <w:tcPr>
            <w:tcW w:w="1878" w:type="dxa"/>
            <w:vMerge/>
            <w:shd w:val="clear" w:color="auto" w:fill="4472C4"/>
            <w:vAlign w:val="center"/>
          </w:tcPr>
          <w:p w14:paraId="1B33E53A" w14:textId="77777777" w:rsidR="00990B14" w:rsidRDefault="00990B14">
            <w:pPr>
              <w:spacing w:before="20" w:after="20"/>
            </w:pPr>
          </w:p>
        </w:tc>
        <w:tc>
          <w:tcPr>
            <w:tcW w:w="1872" w:type="dxa"/>
            <w:shd w:val="clear" w:color="auto" w:fill="D9E2F3"/>
            <w:vAlign w:val="center"/>
          </w:tcPr>
          <w:p w14:paraId="30EDA1B0" w14:textId="77777777" w:rsidR="00990B14" w:rsidRDefault="00000000">
            <w:pPr>
              <w:spacing w:before="20" w:after="20"/>
              <w:jc w:val="both"/>
            </w:pPr>
            <w:r>
              <w:rPr>
                <w:sz w:val="18"/>
                <w:szCs w:val="18"/>
              </w:rPr>
              <w:t>Fiabilidad</w:t>
            </w:r>
          </w:p>
        </w:tc>
        <w:tc>
          <w:tcPr>
            <w:tcW w:w="1872" w:type="dxa"/>
            <w:shd w:val="clear" w:color="auto" w:fill="D9E2F3"/>
            <w:vAlign w:val="center"/>
          </w:tcPr>
          <w:p w14:paraId="27609895" w14:textId="77777777" w:rsidR="00990B14" w:rsidRDefault="00000000">
            <w:pPr>
              <w:spacing w:before="20" w:after="20"/>
              <w:jc w:val="both"/>
            </w:pPr>
            <w:r>
              <w:rPr>
                <w:sz w:val="18"/>
                <w:szCs w:val="18"/>
              </w:rPr>
              <w:t>No evalúa la información generada por la entidad.</w:t>
            </w:r>
          </w:p>
        </w:tc>
        <w:tc>
          <w:tcPr>
            <w:tcW w:w="1872" w:type="dxa"/>
            <w:shd w:val="clear" w:color="auto" w:fill="D9E2F3"/>
            <w:vAlign w:val="center"/>
          </w:tcPr>
          <w:p w14:paraId="3FCA5615" w14:textId="77777777" w:rsidR="00990B14" w:rsidRDefault="00000000">
            <w:pPr>
              <w:spacing w:before="20" w:after="20"/>
              <w:jc w:val="both"/>
            </w:pPr>
            <w:r>
              <w:rPr>
                <w:sz w:val="18"/>
                <w:szCs w:val="18"/>
              </w:rPr>
              <w:t>Evalúa la fiabilidad de los reportes de la entidad (NIA 500).</w:t>
            </w:r>
          </w:p>
        </w:tc>
        <w:tc>
          <w:tcPr>
            <w:tcW w:w="1911" w:type="dxa"/>
            <w:shd w:val="clear" w:color="auto" w:fill="D9E2F3"/>
            <w:vAlign w:val="center"/>
          </w:tcPr>
          <w:p w14:paraId="5055482F" w14:textId="77777777" w:rsidR="00990B14" w:rsidRDefault="00000000">
            <w:pPr>
              <w:spacing w:before="20" w:after="20"/>
              <w:jc w:val="both"/>
            </w:pPr>
            <w:r>
              <w:rPr>
                <w:sz w:val="18"/>
                <w:szCs w:val="18"/>
              </w:rPr>
              <w:t>Prueba la integridad y la exactitud de los reportes.</w:t>
            </w:r>
          </w:p>
        </w:tc>
      </w:tr>
      <w:tr w:rsidR="00990B14" w14:paraId="20A7D841" w14:textId="77777777">
        <w:trPr>
          <w:cantSplit/>
          <w:jc w:val="center"/>
        </w:trPr>
        <w:tc>
          <w:tcPr>
            <w:tcW w:w="1878" w:type="dxa"/>
            <w:vMerge/>
            <w:shd w:val="clear" w:color="auto" w:fill="4472C4"/>
            <w:vAlign w:val="center"/>
          </w:tcPr>
          <w:p w14:paraId="25008E76" w14:textId="77777777" w:rsidR="00990B14" w:rsidRDefault="00990B14">
            <w:pPr>
              <w:spacing w:before="20" w:after="20"/>
            </w:pPr>
          </w:p>
        </w:tc>
        <w:tc>
          <w:tcPr>
            <w:tcW w:w="1872" w:type="dxa"/>
            <w:shd w:val="clear" w:color="auto" w:fill="D9E2F3"/>
            <w:vAlign w:val="center"/>
          </w:tcPr>
          <w:p w14:paraId="2165FBF1" w14:textId="77777777" w:rsidR="00990B14" w:rsidRDefault="00000000">
            <w:pPr>
              <w:spacing w:before="20" w:after="20"/>
              <w:jc w:val="both"/>
            </w:pPr>
            <w:r>
              <w:rPr>
                <w:sz w:val="18"/>
                <w:szCs w:val="18"/>
              </w:rPr>
              <w:t>Uso de terceros</w:t>
            </w:r>
          </w:p>
        </w:tc>
        <w:tc>
          <w:tcPr>
            <w:tcW w:w="1872" w:type="dxa"/>
            <w:shd w:val="clear" w:color="auto" w:fill="D9E2F3"/>
            <w:vAlign w:val="center"/>
          </w:tcPr>
          <w:p w14:paraId="607F136E" w14:textId="77777777" w:rsidR="00990B14" w:rsidRDefault="00000000">
            <w:pPr>
              <w:spacing w:before="20" w:after="20"/>
              <w:jc w:val="both"/>
            </w:pPr>
            <w:r>
              <w:rPr>
                <w:sz w:val="18"/>
                <w:szCs w:val="18"/>
              </w:rPr>
              <w:t>No considera el trabajo de otros.</w:t>
            </w:r>
          </w:p>
        </w:tc>
        <w:tc>
          <w:tcPr>
            <w:tcW w:w="1872" w:type="dxa"/>
            <w:shd w:val="clear" w:color="auto" w:fill="D9E2F3"/>
            <w:vAlign w:val="center"/>
          </w:tcPr>
          <w:p w14:paraId="06195CB9" w14:textId="77777777" w:rsidR="00990B14" w:rsidRDefault="00000000">
            <w:pPr>
              <w:spacing w:before="20" w:after="20"/>
              <w:jc w:val="both"/>
            </w:pPr>
            <w:r>
              <w:rPr>
                <w:sz w:val="18"/>
                <w:szCs w:val="18"/>
              </w:rPr>
              <w:t>Decide el uso de auditoría interna y de especialistas.</w:t>
            </w:r>
          </w:p>
        </w:tc>
        <w:tc>
          <w:tcPr>
            <w:tcW w:w="1911" w:type="dxa"/>
            <w:shd w:val="clear" w:color="auto" w:fill="D9E2F3"/>
            <w:vAlign w:val="center"/>
          </w:tcPr>
          <w:p w14:paraId="1606DF0E" w14:textId="77777777" w:rsidR="00990B14" w:rsidRDefault="00000000">
            <w:pPr>
              <w:spacing w:before="20" w:after="20"/>
              <w:jc w:val="both"/>
            </w:pPr>
            <w:r>
              <w:rPr>
                <w:sz w:val="18"/>
                <w:szCs w:val="18"/>
              </w:rPr>
              <w:t>Fundamenta el alcance y la supervisión de su trabajo.</w:t>
            </w:r>
          </w:p>
        </w:tc>
      </w:tr>
      <w:tr w:rsidR="00990B14" w14:paraId="1384D786" w14:textId="77777777">
        <w:trPr>
          <w:cantSplit/>
          <w:jc w:val="center"/>
        </w:trPr>
        <w:tc>
          <w:tcPr>
            <w:tcW w:w="1878" w:type="dxa"/>
            <w:vMerge/>
            <w:shd w:val="clear" w:color="auto" w:fill="4472C4"/>
            <w:vAlign w:val="center"/>
          </w:tcPr>
          <w:p w14:paraId="622009FB" w14:textId="77777777" w:rsidR="00990B14" w:rsidRDefault="00990B14">
            <w:pPr>
              <w:spacing w:before="20" w:after="20"/>
            </w:pPr>
          </w:p>
        </w:tc>
        <w:tc>
          <w:tcPr>
            <w:tcW w:w="1872" w:type="dxa"/>
            <w:shd w:val="clear" w:color="auto" w:fill="D9E2F3"/>
            <w:vAlign w:val="center"/>
          </w:tcPr>
          <w:p w14:paraId="022BD042" w14:textId="77777777" w:rsidR="00990B14" w:rsidRDefault="00000000">
            <w:pPr>
              <w:spacing w:before="20" w:after="20"/>
              <w:jc w:val="both"/>
            </w:pPr>
            <w:r>
              <w:rPr>
                <w:sz w:val="18"/>
                <w:szCs w:val="18"/>
              </w:rPr>
              <w:t>Escepticismo profesional</w:t>
            </w:r>
          </w:p>
        </w:tc>
        <w:tc>
          <w:tcPr>
            <w:tcW w:w="1872" w:type="dxa"/>
            <w:shd w:val="clear" w:color="auto" w:fill="D9E2F3"/>
            <w:vAlign w:val="center"/>
          </w:tcPr>
          <w:p w14:paraId="65E120EE" w14:textId="77777777" w:rsidR="00990B14" w:rsidRDefault="00000000">
            <w:pPr>
              <w:spacing w:before="20" w:after="20"/>
              <w:jc w:val="both"/>
            </w:pPr>
            <w:r>
              <w:rPr>
                <w:sz w:val="18"/>
                <w:szCs w:val="18"/>
              </w:rPr>
              <w:t>Acepta la información sin contrastarla.</w:t>
            </w:r>
          </w:p>
        </w:tc>
        <w:tc>
          <w:tcPr>
            <w:tcW w:w="1872" w:type="dxa"/>
            <w:shd w:val="clear" w:color="auto" w:fill="D9E2F3"/>
            <w:vAlign w:val="center"/>
          </w:tcPr>
          <w:p w14:paraId="08B94A12" w14:textId="77777777" w:rsidR="00990B14" w:rsidRDefault="00000000">
            <w:pPr>
              <w:spacing w:before="20" w:after="20"/>
              <w:jc w:val="both"/>
            </w:pPr>
            <w:r>
              <w:rPr>
                <w:sz w:val="18"/>
                <w:szCs w:val="18"/>
              </w:rPr>
              <w:t>Contrasta la información con la evidencia.</w:t>
            </w:r>
          </w:p>
        </w:tc>
        <w:tc>
          <w:tcPr>
            <w:tcW w:w="1911" w:type="dxa"/>
            <w:shd w:val="clear" w:color="auto" w:fill="D9E2F3"/>
            <w:vAlign w:val="center"/>
          </w:tcPr>
          <w:p w14:paraId="475B4578" w14:textId="77777777" w:rsidR="00990B14" w:rsidRDefault="00000000">
            <w:pPr>
              <w:spacing w:before="20" w:after="20"/>
              <w:jc w:val="both"/>
            </w:pPr>
            <w:r>
              <w:rPr>
                <w:sz w:val="18"/>
                <w:szCs w:val="18"/>
              </w:rPr>
              <w:t>Documenta su juicio ante las explicaciones de la dirección.</w:t>
            </w:r>
          </w:p>
        </w:tc>
      </w:tr>
      <w:tr w:rsidR="00990B14" w14:paraId="4EE3ADE3" w14:textId="77777777">
        <w:trPr>
          <w:cantSplit/>
          <w:jc w:val="center"/>
        </w:trPr>
        <w:tc>
          <w:tcPr>
            <w:tcW w:w="1878" w:type="dxa"/>
            <w:vMerge/>
            <w:shd w:val="clear" w:color="auto" w:fill="4472C4"/>
            <w:vAlign w:val="center"/>
          </w:tcPr>
          <w:p w14:paraId="6A4CFBBB" w14:textId="77777777" w:rsidR="00990B14" w:rsidRDefault="00990B14">
            <w:pPr>
              <w:spacing w:before="20" w:after="20"/>
            </w:pPr>
          </w:p>
        </w:tc>
        <w:tc>
          <w:tcPr>
            <w:tcW w:w="5616" w:type="dxa"/>
            <w:gridSpan w:val="3"/>
            <w:shd w:val="clear" w:color="auto" w:fill="D9E2F3"/>
            <w:vAlign w:val="center"/>
          </w:tcPr>
          <w:p w14:paraId="26621CC9" w14:textId="77777777" w:rsidR="00990B14" w:rsidRDefault="00000000">
            <w:pPr>
              <w:keepNext/>
              <w:spacing w:before="20" w:after="20"/>
              <w:jc w:val="both"/>
            </w:pPr>
            <w:r>
              <w:rPr>
                <w:b/>
                <w:bCs/>
                <w:i/>
                <w:iCs/>
                <w:sz w:val="18"/>
                <w:szCs w:val="18"/>
              </w:rPr>
              <w:t xml:space="preserve">Producto 13: </w:t>
            </w:r>
            <w:r>
              <w:rPr>
                <w:sz w:val="18"/>
                <w:szCs w:val="18"/>
              </w:rPr>
              <w:t>Papel de trabajo de evaluación del cumplimiento de la normativa de la UIF</w:t>
            </w:r>
          </w:p>
        </w:tc>
        <w:tc>
          <w:tcPr>
            <w:tcW w:w="1911" w:type="dxa"/>
            <w:shd w:val="clear" w:color="auto" w:fill="D9E2F3"/>
            <w:vAlign w:val="center"/>
          </w:tcPr>
          <w:p w14:paraId="1CF71B6C" w14:textId="77777777" w:rsidR="00990B14" w:rsidRDefault="00000000">
            <w:pPr>
              <w:spacing w:before="20" w:after="20"/>
              <w:jc w:val="center"/>
            </w:pPr>
            <w:r>
              <w:rPr>
                <w:b/>
                <w:bCs/>
                <w:sz w:val="18"/>
                <w:szCs w:val="18"/>
              </w:rPr>
              <w:t>5%</w:t>
            </w:r>
          </w:p>
        </w:tc>
      </w:tr>
      <w:tr w:rsidR="00990B14" w14:paraId="36DEFB38" w14:textId="77777777">
        <w:trPr>
          <w:cantSplit/>
          <w:jc w:val="center"/>
        </w:trPr>
        <w:tc>
          <w:tcPr>
            <w:tcW w:w="1878" w:type="dxa"/>
            <w:vMerge/>
            <w:shd w:val="clear" w:color="auto" w:fill="4472C4"/>
            <w:vAlign w:val="center"/>
          </w:tcPr>
          <w:p w14:paraId="0F92CB63" w14:textId="77777777" w:rsidR="00990B14" w:rsidRDefault="00990B14">
            <w:pPr>
              <w:spacing w:before="20" w:after="20"/>
            </w:pPr>
          </w:p>
        </w:tc>
        <w:tc>
          <w:tcPr>
            <w:tcW w:w="1872" w:type="dxa"/>
            <w:shd w:val="clear" w:color="auto" w:fill="4472C4"/>
            <w:vAlign w:val="center"/>
          </w:tcPr>
          <w:p w14:paraId="0D915A5A" w14:textId="77777777" w:rsidR="00990B14" w:rsidRDefault="00000000">
            <w:pPr>
              <w:keepNext/>
              <w:spacing w:before="20" w:after="20"/>
              <w:jc w:val="center"/>
            </w:pPr>
            <w:r>
              <w:rPr>
                <w:b/>
                <w:bCs/>
                <w:i/>
                <w:iCs/>
                <w:color w:val="FFFFFF"/>
                <w:sz w:val="18"/>
                <w:szCs w:val="18"/>
              </w:rPr>
              <w:t>Criterio</w:t>
            </w:r>
          </w:p>
        </w:tc>
        <w:tc>
          <w:tcPr>
            <w:tcW w:w="1872" w:type="dxa"/>
            <w:shd w:val="clear" w:color="auto" w:fill="4472C4"/>
            <w:vAlign w:val="center"/>
          </w:tcPr>
          <w:p w14:paraId="1C43E9D1" w14:textId="77777777" w:rsidR="00990B14" w:rsidRDefault="00000000">
            <w:pPr>
              <w:keepNext/>
              <w:spacing w:before="20" w:after="20"/>
              <w:jc w:val="center"/>
            </w:pPr>
            <w:r>
              <w:rPr>
                <w:b/>
                <w:bCs/>
                <w:i/>
                <w:iCs/>
                <w:color w:val="FFFFFF"/>
                <w:sz w:val="18"/>
                <w:szCs w:val="18"/>
              </w:rPr>
              <w:t>Insuficiente (1–50)</w:t>
            </w:r>
          </w:p>
        </w:tc>
        <w:tc>
          <w:tcPr>
            <w:tcW w:w="1872" w:type="dxa"/>
            <w:shd w:val="clear" w:color="auto" w:fill="4472C4"/>
            <w:vAlign w:val="center"/>
          </w:tcPr>
          <w:p w14:paraId="746DB676" w14:textId="77777777" w:rsidR="00990B14" w:rsidRDefault="00000000">
            <w:pPr>
              <w:keepNext/>
              <w:spacing w:before="20" w:after="20"/>
              <w:jc w:val="center"/>
            </w:pPr>
            <w:r>
              <w:rPr>
                <w:b/>
                <w:bCs/>
                <w:i/>
                <w:iCs/>
                <w:color w:val="FFFFFF"/>
                <w:sz w:val="18"/>
                <w:szCs w:val="18"/>
              </w:rPr>
              <w:t>Suficiente (51–80)</w:t>
            </w:r>
          </w:p>
        </w:tc>
        <w:tc>
          <w:tcPr>
            <w:tcW w:w="1911" w:type="dxa"/>
            <w:shd w:val="clear" w:color="auto" w:fill="4472C4"/>
            <w:vAlign w:val="center"/>
          </w:tcPr>
          <w:p w14:paraId="2FFDCE45" w14:textId="77777777" w:rsidR="00990B14" w:rsidRDefault="00000000">
            <w:pPr>
              <w:keepNext/>
              <w:spacing w:before="20" w:after="20"/>
              <w:jc w:val="center"/>
            </w:pPr>
            <w:r>
              <w:rPr>
                <w:b/>
                <w:bCs/>
                <w:i/>
                <w:iCs/>
                <w:color w:val="FFFFFF"/>
                <w:sz w:val="18"/>
                <w:szCs w:val="18"/>
              </w:rPr>
              <w:t>Destacado (81–100)</w:t>
            </w:r>
          </w:p>
        </w:tc>
      </w:tr>
      <w:tr w:rsidR="00990B14" w14:paraId="331A1CCF" w14:textId="77777777">
        <w:trPr>
          <w:cantSplit/>
          <w:jc w:val="center"/>
        </w:trPr>
        <w:tc>
          <w:tcPr>
            <w:tcW w:w="1878" w:type="dxa"/>
            <w:vMerge/>
            <w:shd w:val="clear" w:color="auto" w:fill="4472C4"/>
            <w:vAlign w:val="center"/>
          </w:tcPr>
          <w:p w14:paraId="23585821" w14:textId="77777777" w:rsidR="00990B14" w:rsidRDefault="00990B14">
            <w:pPr>
              <w:spacing w:before="20" w:after="20"/>
            </w:pPr>
          </w:p>
        </w:tc>
        <w:tc>
          <w:tcPr>
            <w:tcW w:w="1872" w:type="dxa"/>
            <w:shd w:val="clear" w:color="auto" w:fill="D9E2F3"/>
            <w:vAlign w:val="center"/>
          </w:tcPr>
          <w:p w14:paraId="0F39BA17" w14:textId="77777777" w:rsidR="00990B14" w:rsidRDefault="00000000">
            <w:pPr>
              <w:spacing w:before="20" w:after="20"/>
              <w:jc w:val="both"/>
            </w:pPr>
            <w:r>
              <w:rPr>
                <w:sz w:val="18"/>
                <w:szCs w:val="18"/>
              </w:rPr>
              <w:t>Procedimientos</w:t>
            </w:r>
          </w:p>
        </w:tc>
        <w:tc>
          <w:tcPr>
            <w:tcW w:w="1872" w:type="dxa"/>
            <w:shd w:val="clear" w:color="auto" w:fill="D9E2F3"/>
            <w:vAlign w:val="center"/>
          </w:tcPr>
          <w:p w14:paraId="34A4BE80" w14:textId="77777777" w:rsidR="00990B14" w:rsidRDefault="00000000">
            <w:pPr>
              <w:spacing w:before="20" w:after="20"/>
              <w:jc w:val="both"/>
            </w:pPr>
            <w:r>
              <w:rPr>
                <w:sz w:val="18"/>
                <w:szCs w:val="18"/>
              </w:rPr>
              <w:t>Aplica procedimientos insuficientes.</w:t>
            </w:r>
          </w:p>
        </w:tc>
        <w:tc>
          <w:tcPr>
            <w:tcW w:w="1872" w:type="dxa"/>
            <w:shd w:val="clear" w:color="auto" w:fill="D9E2F3"/>
            <w:vAlign w:val="center"/>
          </w:tcPr>
          <w:p w14:paraId="2F2D0C8B" w14:textId="77777777" w:rsidR="00990B14" w:rsidRDefault="00000000">
            <w:pPr>
              <w:spacing w:before="20" w:after="20"/>
              <w:jc w:val="both"/>
            </w:pPr>
            <w:r>
              <w:rPr>
                <w:sz w:val="18"/>
                <w:szCs w:val="18"/>
              </w:rPr>
              <w:t>Aplica las técnicas de revisión del cumplimiento.</w:t>
            </w:r>
          </w:p>
        </w:tc>
        <w:tc>
          <w:tcPr>
            <w:tcW w:w="1911" w:type="dxa"/>
            <w:shd w:val="clear" w:color="auto" w:fill="D9E2F3"/>
            <w:vAlign w:val="center"/>
          </w:tcPr>
          <w:p w14:paraId="6E46F461" w14:textId="77777777" w:rsidR="00990B14" w:rsidRDefault="00000000">
            <w:pPr>
              <w:spacing w:before="20" w:after="20"/>
              <w:jc w:val="both"/>
            </w:pPr>
            <w:r>
              <w:rPr>
                <w:sz w:val="18"/>
                <w:szCs w:val="18"/>
              </w:rPr>
              <w:t>Usa un enfoque basado en riesgos.</w:t>
            </w:r>
          </w:p>
        </w:tc>
      </w:tr>
      <w:tr w:rsidR="00990B14" w14:paraId="2269E8E6" w14:textId="77777777">
        <w:trPr>
          <w:cantSplit/>
          <w:jc w:val="center"/>
        </w:trPr>
        <w:tc>
          <w:tcPr>
            <w:tcW w:w="1878" w:type="dxa"/>
            <w:vMerge/>
            <w:shd w:val="clear" w:color="auto" w:fill="4472C4"/>
            <w:vAlign w:val="center"/>
          </w:tcPr>
          <w:p w14:paraId="0BCFF683" w14:textId="77777777" w:rsidR="00990B14" w:rsidRDefault="00990B14">
            <w:pPr>
              <w:spacing w:before="20" w:after="20"/>
            </w:pPr>
          </w:p>
        </w:tc>
        <w:tc>
          <w:tcPr>
            <w:tcW w:w="1872" w:type="dxa"/>
            <w:shd w:val="clear" w:color="auto" w:fill="D9E2F3"/>
            <w:vAlign w:val="center"/>
          </w:tcPr>
          <w:p w14:paraId="4430B3BD" w14:textId="77777777" w:rsidR="00990B14" w:rsidRDefault="00000000">
            <w:pPr>
              <w:spacing w:before="20" w:after="20"/>
              <w:jc w:val="both"/>
            </w:pPr>
            <w:r>
              <w:rPr>
                <w:sz w:val="18"/>
                <w:szCs w:val="18"/>
              </w:rPr>
              <w:t>Hallazgos</w:t>
            </w:r>
          </w:p>
        </w:tc>
        <w:tc>
          <w:tcPr>
            <w:tcW w:w="1872" w:type="dxa"/>
            <w:shd w:val="clear" w:color="auto" w:fill="D9E2F3"/>
            <w:vAlign w:val="center"/>
          </w:tcPr>
          <w:p w14:paraId="1B6C43B0" w14:textId="77777777" w:rsidR="00990B14" w:rsidRDefault="00000000">
            <w:pPr>
              <w:spacing w:before="20" w:after="20"/>
              <w:jc w:val="both"/>
            </w:pPr>
            <w:r>
              <w:rPr>
                <w:sz w:val="18"/>
                <w:szCs w:val="18"/>
              </w:rPr>
              <w:t>Los hallazgos carecen de atributos.</w:t>
            </w:r>
          </w:p>
        </w:tc>
        <w:tc>
          <w:tcPr>
            <w:tcW w:w="1872" w:type="dxa"/>
            <w:shd w:val="clear" w:color="auto" w:fill="D9E2F3"/>
            <w:vAlign w:val="center"/>
          </w:tcPr>
          <w:p w14:paraId="236D6B3D" w14:textId="77777777" w:rsidR="00990B14" w:rsidRDefault="00000000">
            <w:pPr>
              <w:spacing w:before="20" w:after="20"/>
              <w:jc w:val="both"/>
            </w:pPr>
            <w:r>
              <w:rPr>
                <w:sz w:val="18"/>
                <w:szCs w:val="18"/>
              </w:rPr>
              <w:t>Desarrolla la condición, el criterio, la causa y el efecto.</w:t>
            </w:r>
          </w:p>
        </w:tc>
        <w:tc>
          <w:tcPr>
            <w:tcW w:w="1911" w:type="dxa"/>
            <w:shd w:val="clear" w:color="auto" w:fill="D9E2F3"/>
            <w:vAlign w:val="center"/>
          </w:tcPr>
          <w:p w14:paraId="37B7D4C2" w14:textId="77777777" w:rsidR="00990B14" w:rsidRDefault="00000000">
            <w:pPr>
              <w:spacing w:before="20" w:after="20"/>
              <w:jc w:val="both"/>
            </w:pPr>
            <w:r>
              <w:rPr>
                <w:sz w:val="18"/>
                <w:szCs w:val="18"/>
              </w:rPr>
              <w:t>Cuantifica la exposición de la entidad.</w:t>
            </w:r>
          </w:p>
        </w:tc>
      </w:tr>
      <w:tr w:rsidR="00990B14" w14:paraId="687C00DD" w14:textId="77777777">
        <w:trPr>
          <w:cantSplit/>
          <w:jc w:val="center"/>
        </w:trPr>
        <w:tc>
          <w:tcPr>
            <w:tcW w:w="1878" w:type="dxa"/>
            <w:vMerge/>
            <w:shd w:val="clear" w:color="auto" w:fill="4472C4"/>
            <w:vAlign w:val="center"/>
          </w:tcPr>
          <w:p w14:paraId="541891E6" w14:textId="77777777" w:rsidR="00990B14" w:rsidRDefault="00990B14">
            <w:pPr>
              <w:spacing w:before="20" w:after="20"/>
            </w:pPr>
          </w:p>
        </w:tc>
        <w:tc>
          <w:tcPr>
            <w:tcW w:w="1872" w:type="dxa"/>
            <w:shd w:val="clear" w:color="auto" w:fill="D9E2F3"/>
            <w:vAlign w:val="center"/>
          </w:tcPr>
          <w:p w14:paraId="4DA2164C" w14:textId="77777777" w:rsidR="00990B14" w:rsidRDefault="00000000">
            <w:pPr>
              <w:spacing w:before="20" w:after="20"/>
              <w:jc w:val="both"/>
            </w:pPr>
            <w:r>
              <w:rPr>
                <w:sz w:val="18"/>
                <w:szCs w:val="18"/>
              </w:rPr>
              <w:t>Trabajo en equipo</w:t>
            </w:r>
          </w:p>
        </w:tc>
        <w:tc>
          <w:tcPr>
            <w:tcW w:w="1872" w:type="dxa"/>
            <w:shd w:val="clear" w:color="auto" w:fill="D9E2F3"/>
            <w:vAlign w:val="center"/>
          </w:tcPr>
          <w:p w14:paraId="5E3E311B" w14:textId="77777777" w:rsidR="00990B14" w:rsidRDefault="00000000">
            <w:pPr>
              <w:spacing w:before="20" w:after="20"/>
              <w:jc w:val="both"/>
            </w:pPr>
            <w:r>
              <w:rPr>
                <w:sz w:val="18"/>
                <w:szCs w:val="18"/>
              </w:rPr>
              <w:t>La participación de los integrantes es desigual.</w:t>
            </w:r>
          </w:p>
        </w:tc>
        <w:tc>
          <w:tcPr>
            <w:tcW w:w="1872" w:type="dxa"/>
            <w:shd w:val="clear" w:color="auto" w:fill="D9E2F3"/>
            <w:vAlign w:val="center"/>
          </w:tcPr>
          <w:p w14:paraId="12EECE4D" w14:textId="77777777" w:rsidR="00990B14" w:rsidRDefault="00000000">
            <w:pPr>
              <w:spacing w:before="20" w:after="20"/>
              <w:jc w:val="both"/>
            </w:pPr>
            <w:r>
              <w:rPr>
                <w:sz w:val="18"/>
                <w:szCs w:val="18"/>
              </w:rPr>
              <w:t>Todos los integrantes participan en el trabajo.</w:t>
            </w:r>
          </w:p>
        </w:tc>
        <w:tc>
          <w:tcPr>
            <w:tcW w:w="1911" w:type="dxa"/>
            <w:shd w:val="clear" w:color="auto" w:fill="D9E2F3"/>
            <w:vAlign w:val="center"/>
          </w:tcPr>
          <w:p w14:paraId="6E6D0C41" w14:textId="77777777" w:rsidR="00990B14" w:rsidRDefault="00000000">
            <w:pPr>
              <w:spacing w:before="20" w:after="20"/>
              <w:jc w:val="both"/>
            </w:pPr>
            <w:r>
              <w:rPr>
                <w:sz w:val="18"/>
                <w:szCs w:val="18"/>
              </w:rPr>
              <w:t>El equipo sustenta sus decisiones con fundamento.</w:t>
            </w:r>
          </w:p>
        </w:tc>
      </w:tr>
      <w:tr w:rsidR="00990B14" w14:paraId="7E0EB398" w14:textId="77777777">
        <w:trPr>
          <w:cantSplit/>
          <w:jc w:val="center"/>
        </w:trPr>
        <w:tc>
          <w:tcPr>
            <w:tcW w:w="1878" w:type="dxa"/>
            <w:vMerge/>
            <w:shd w:val="clear" w:color="auto" w:fill="4472C4"/>
            <w:vAlign w:val="center"/>
          </w:tcPr>
          <w:p w14:paraId="783A03CF" w14:textId="77777777" w:rsidR="00990B14" w:rsidRDefault="00990B14">
            <w:pPr>
              <w:spacing w:before="20" w:after="20"/>
            </w:pPr>
          </w:p>
        </w:tc>
        <w:tc>
          <w:tcPr>
            <w:tcW w:w="5616" w:type="dxa"/>
            <w:gridSpan w:val="3"/>
            <w:shd w:val="clear" w:color="auto" w:fill="D9E2F3"/>
            <w:vAlign w:val="center"/>
          </w:tcPr>
          <w:p w14:paraId="64B1211F" w14:textId="77777777" w:rsidR="00990B14" w:rsidRDefault="00000000">
            <w:pPr>
              <w:keepNext/>
              <w:spacing w:before="20" w:after="20"/>
              <w:jc w:val="both"/>
            </w:pPr>
            <w:r>
              <w:rPr>
                <w:b/>
                <w:bCs/>
                <w:i/>
                <w:iCs/>
                <w:sz w:val="18"/>
                <w:szCs w:val="18"/>
              </w:rPr>
              <w:t xml:space="preserve">Producto 14: </w:t>
            </w:r>
            <w:r>
              <w:rPr>
                <w:sz w:val="18"/>
                <w:szCs w:val="18"/>
              </w:rPr>
              <w:t>Expediente de comunicación de resultados</w:t>
            </w:r>
          </w:p>
        </w:tc>
        <w:tc>
          <w:tcPr>
            <w:tcW w:w="1911" w:type="dxa"/>
            <w:shd w:val="clear" w:color="auto" w:fill="D9E2F3"/>
            <w:vAlign w:val="center"/>
          </w:tcPr>
          <w:p w14:paraId="7A508517" w14:textId="77777777" w:rsidR="00990B14" w:rsidRDefault="00000000">
            <w:pPr>
              <w:spacing w:before="20" w:after="20"/>
              <w:jc w:val="center"/>
            </w:pPr>
            <w:r>
              <w:rPr>
                <w:b/>
                <w:bCs/>
                <w:sz w:val="18"/>
                <w:szCs w:val="18"/>
              </w:rPr>
              <w:t>4%</w:t>
            </w:r>
          </w:p>
        </w:tc>
      </w:tr>
      <w:tr w:rsidR="00990B14" w14:paraId="369CCD7E" w14:textId="77777777">
        <w:trPr>
          <w:cantSplit/>
          <w:jc w:val="center"/>
        </w:trPr>
        <w:tc>
          <w:tcPr>
            <w:tcW w:w="1878" w:type="dxa"/>
            <w:vMerge/>
            <w:shd w:val="clear" w:color="auto" w:fill="4472C4"/>
            <w:vAlign w:val="center"/>
          </w:tcPr>
          <w:p w14:paraId="150CD252" w14:textId="77777777" w:rsidR="00990B14" w:rsidRDefault="00990B14">
            <w:pPr>
              <w:spacing w:before="20" w:after="20"/>
            </w:pPr>
          </w:p>
        </w:tc>
        <w:tc>
          <w:tcPr>
            <w:tcW w:w="1872" w:type="dxa"/>
            <w:shd w:val="clear" w:color="auto" w:fill="4472C4"/>
            <w:vAlign w:val="center"/>
          </w:tcPr>
          <w:p w14:paraId="27ED5042" w14:textId="77777777" w:rsidR="00990B14" w:rsidRDefault="00000000">
            <w:pPr>
              <w:keepNext/>
              <w:spacing w:before="20" w:after="20"/>
              <w:jc w:val="center"/>
            </w:pPr>
            <w:r>
              <w:rPr>
                <w:b/>
                <w:bCs/>
                <w:i/>
                <w:iCs/>
                <w:color w:val="FFFFFF"/>
                <w:sz w:val="18"/>
                <w:szCs w:val="18"/>
              </w:rPr>
              <w:t>Criterio</w:t>
            </w:r>
          </w:p>
        </w:tc>
        <w:tc>
          <w:tcPr>
            <w:tcW w:w="1872" w:type="dxa"/>
            <w:shd w:val="clear" w:color="auto" w:fill="4472C4"/>
            <w:vAlign w:val="center"/>
          </w:tcPr>
          <w:p w14:paraId="562CBDDB" w14:textId="77777777" w:rsidR="00990B14" w:rsidRDefault="00000000">
            <w:pPr>
              <w:keepNext/>
              <w:spacing w:before="20" w:after="20"/>
              <w:jc w:val="center"/>
            </w:pPr>
            <w:r>
              <w:rPr>
                <w:b/>
                <w:bCs/>
                <w:i/>
                <w:iCs/>
                <w:color w:val="FFFFFF"/>
                <w:sz w:val="18"/>
                <w:szCs w:val="18"/>
              </w:rPr>
              <w:t>Insuficiente (1–50)</w:t>
            </w:r>
          </w:p>
        </w:tc>
        <w:tc>
          <w:tcPr>
            <w:tcW w:w="1872" w:type="dxa"/>
            <w:shd w:val="clear" w:color="auto" w:fill="4472C4"/>
            <w:vAlign w:val="center"/>
          </w:tcPr>
          <w:p w14:paraId="0D7C5826" w14:textId="77777777" w:rsidR="00990B14" w:rsidRDefault="00000000">
            <w:pPr>
              <w:keepNext/>
              <w:spacing w:before="20" w:after="20"/>
              <w:jc w:val="center"/>
            </w:pPr>
            <w:r>
              <w:rPr>
                <w:b/>
                <w:bCs/>
                <w:i/>
                <w:iCs/>
                <w:color w:val="FFFFFF"/>
                <w:sz w:val="18"/>
                <w:szCs w:val="18"/>
              </w:rPr>
              <w:t>Suficiente (51–80)</w:t>
            </w:r>
          </w:p>
        </w:tc>
        <w:tc>
          <w:tcPr>
            <w:tcW w:w="1911" w:type="dxa"/>
            <w:shd w:val="clear" w:color="auto" w:fill="4472C4"/>
            <w:vAlign w:val="center"/>
          </w:tcPr>
          <w:p w14:paraId="764E5842" w14:textId="77777777" w:rsidR="00990B14" w:rsidRDefault="00000000">
            <w:pPr>
              <w:keepNext/>
              <w:spacing w:before="20" w:after="20"/>
              <w:jc w:val="center"/>
            </w:pPr>
            <w:r>
              <w:rPr>
                <w:b/>
                <w:bCs/>
                <w:i/>
                <w:iCs/>
                <w:color w:val="FFFFFF"/>
                <w:sz w:val="18"/>
                <w:szCs w:val="18"/>
              </w:rPr>
              <w:t>Destacado (81–100)</w:t>
            </w:r>
          </w:p>
        </w:tc>
      </w:tr>
      <w:tr w:rsidR="00990B14" w14:paraId="0C730D60" w14:textId="77777777">
        <w:trPr>
          <w:cantSplit/>
          <w:jc w:val="center"/>
        </w:trPr>
        <w:tc>
          <w:tcPr>
            <w:tcW w:w="1878" w:type="dxa"/>
            <w:vMerge/>
            <w:shd w:val="clear" w:color="auto" w:fill="4472C4"/>
            <w:vAlign w:val="center"/>
          </w:tcPr>
          <w:p w14:paraId="38843BCE" w14:textId="77777777" w:rsidR="00990B14" w:rsidRDefault="00990B14">
            <w:pPr>
              <w:spacing w:before="20" w:after="20"/>
            </w:pPr>
          </w:p>
        </w:tc>
        <w:tc>
          <w:tcPr>
            <w:tcW w:w="1872" w:type="dxa"/>
            <w:shd w:val="clear" w:color="auto" w:fill="D9E2F3"/>
            <w:vAlign w:val="center"/>
          </w:tcPr>
          <w:p w14:paraId="43F7304B" w14:textId="77777777" w:rsidR="00990B14" w:rsidRDefault="00000000">
            <w:pPr>
              <w:spacing w:before="20" w:after="20"/>
              <w:jc w:val="both"/>
            </w:pPr>
            <w:r>
              <w:rPr>
                <w:sz w:val="18"/>
                <w:szCs w:val="18"/>
              </w:rPr>
              <w:t>Estructura</w:t>
            </w:r>
          </w:p>
        </w:tc>
        <w:tc>
          <w:tcPr>
            <w:tcW w:w="1872" w:type="dxa"/>
            <w:shd w:val="clear" w:color="auto" w:fill="D9E2F3"/>
            <w:vAlign w:val="center"/>
          </w:tcPr>
          <w:p w14:paraId="7D047AA5" w14:textId="77777777" w:rsidR="00990B14" w:rsidRDefault="00000000">
            <w:pPr>
              <w:spacing w:before="20" w:after="20"/>
              <w:jc w:val="both"/>
            </w:pPr>
            <w:r>
              <w:rPr>
                <w:sz w:val="18"/>
                <w:szCs w:val="18"/>
              </w:rPr>
              <w:t>Omite secciones exigidas.</w:t>
            </w:r>
          </w:p>
        </w:tc>
        <w:tc>
          <w:tcPr>
            <w:tcW w:w="1872" w:type="dxa"/>
            <w:shd w:val="clear" w:color="auto" w:fill="D9E2F3"/>
            <w:vAlign w:val="center"/>
          </w:tcPr>
          <w:p w14:paraId="2FE1FE22" w14:textId="77777777" w:rsidR="00990B14" w:rsidRDefault="00000000">
            <w:pPr>
              <w:spacing w:before="20" w:after="20"/>
              <w:jc w:val="both"/>
            </w:pPr>
            <w:r>
              <w:rPr>
                <w:sz w:val="18"/>
                <w:szCs w:val="18"/>
              </w:rPr>
              <w:t>Sigue la estructura de las normas y del regulador.</w:t>
            </w:r>
          </w:p>
        </w:tc>
        <w:tc>
          <w:tcPr>
            <w:tcW w:w="1911" w:type="dxa"/>
            <w:shd w:val="clear" w:color="auto" w:fill="D9E2F3"/>
            <w:vAlign w:val="center"/>
          </w:tcPr>
          <w:p w14:paraId="0BDF314D" w14:textId="77777777" w:rsidR="00990B14" w:rsidRDefault="00000000">
            <w:pPr>
              <w:spacing w:before="20" w:after="20"/>
              <w:jc w:val="both"/>
            </w:pPr>
            <w:r>
              <w:rPr>
                <w:sz w:val="18"/>
                <w:szCs w:val="18"/>
              </w:rPr>
              <w:t>Incluye las cuestiones clave de la auditoría.</w:t>
            </w:r>
          </w:p>
        </w:tc>
      </w:tr>
      <w:tr w:rsidR="00990B14" w14:paraId="2D7A833E" w14:textId="77777777">
        <w:trPr>
          <w:cantSplit/>
          <w:jc w:val="center"/>
        </w:trPr>
        <w:tc>
          <w:tcPr>
            <w:tcW w:w="1878" w:type="dxa"/>
            <w:vMerge/>
            <w:shd w:val="clear" w:color="auto" w:fill="4472C4"/>
            <w:vAlign w:val="center"/>
          </w:tcPr>
          <w:p w14:paraId="34D4CA68" w14:textId="77777777" w:rsidR="00990B14" w:rsidRDefault="00990B14">
            <w:pPr>
              <w:spacing w:before="20" w:after="20"/>
            </w:pPr>
          </w:p>
        </w:tc>
        <w:tc>
          <w:tcPr>
            <w:tcW w:w="1872" w:type="dxa"/>
            <w:shd w:val="clear" w:color="auto" w:fill="D9E2F3"/>
            <w:vAlign w:val="center"/>
          </w:tcPr>
          <w:p w14:paraId="6265C9E7" w14:textId="77777777" w:rsidR="00990B14" w:rsidRDefault="00000000">
            <w:pPr>
              <w:spacing w:before="20" w:after="20"/>
              <w:jc w:val="both"/>
            </w:pPr>
            <w:r>
              <w:rPr>
                <w:sz w:val="18"/>
                <w:szCs w:val="18"/>
              </w:rPr>
              <w:t>Hallazgos</w:t>
            </w:r>
          </w:p>
        </w:tc>
        <w:tc>
          <w:tcPr>
            <w:tcW w:w="1872" w:type="dxa"/>
            <w:shd w:val="clear" w:color="auto" w:fill="D9E2F3"/>
            <w:vAlign w:val="center"/>
          </w:tcPr>
          <w:p w14:paraId="75FF7FC0" w14:textId="77777777" w:rsidR="00990B14" w:rsidRDefault="00000000">
            <w:pPr>
              <w:spacing w:before="20" w:after="20"/>
              <w:jc w:val="both"/>
            </w:pPr>
            <w:r>
              <w:rPr>
                <w:sz w:val="18"/>
                <w:szCs w:val="18"/>
              </w:rPr>
              <w:t>No refleja los hallazgos.</w:t>
            </w:r>
          </w:p>
        </w:tc>
        <w:tc>
          <w:tcPr>
            <w:tcW w:w="1872" w:type="dxa"/>
            <w:shd w:val="clear" w:color="auto" w:fill="D9E2F3"/>
            <w:vAlign w:val="center"/>
          </w:tcPr>
          <w:p w14:paraId="65D4EAF9" w14:textId="77777777" w:rsidR="00990B14" w:rsidRDefault="00000000">
            <w:pPr>
              <w:spacing w:before="20" w:after="20"/>
              <w:jc w:val="both"/>
            </w:pPr>
            <w:r>
              <w:rPr>
                <w:sz w:val="18"/>
                <w:szCs w:val="18"/>
              </w:rPr>
              <w:t>Refleja los hallazgos establecidos.</w:t>
            </w:r>
          </w:p>
        </w:tc>
        <w:tc>
          <w:tcPr>
            <w:tcW w:w="1911" w:type="dxa"/>
            <w:shd w:val="clear" w:color="auto" w:fill="D9E2F3"/>
            <w:vAlign w:val="center"/>
          </w:tcPr>
          <w:p w14:paraId="344746F9" w14:textId="77777777" w:rsidR="00990B14" w:rsidRDefault="00000000">
            <w:pPr>
              <w:spacing w:before="20" w:after="20"/>
              <w:jc w:val="both"/>
            </w:pPr>
            <w:r>
              <w:rPr>
                <w:sz w:val="18"/>
                <w:szCs w:val="18"/>
              </w:rPr>
              <w:t>Relaciona los hallazgos con la opinión.</w:t>
            </w:r>
          </w:p>
        </w:tc>
      </w:tr>
      <w:tr w:rsidR="00990B14" w14:paraId="4E447C01" w14:textId="77777777">
        <w:trPr>
          <w:cantSplit/>
          <w:jc w:val="center"/>
        </w:trPr>
        <w:tc>
          <w:tcPr>
            <w:tcW w:w="1878" w:type="dxa"/>
            <w:vMerge/>
            <w:shd w:val="clear" w:color="auto" w:fill="4472C4"/>
            <w:vAlign w:val="center"/>
          </w:tcPr>
          <w:p w14:paraId="5009B19F" w14:textId="77777777" w:rsidR="00990B14" w:rsidRDefault="00990B14">
            <w:pPr>
              <w:spacing w:before="20" w:after="20"/>
            </w:pPr>
          </w:p>
        </w:tc>
        <w:tc>
          <w:tcPr>
            <w:tcW w:w="1872" w:type="dxa"/>
            <w:shd w:val="clear" w:color="auto" w:fill="D9E2F3"/>
            <w:vAlign w:val="center"/>
          </w:tcPr>
          <w:p w14:paraId="1EF00146" w14:textId="77777777" w:rsidR="00990B14" w:rsidRDefault="00000000">
            <w:pPr>
              <w:spacing w:before="20" w:after="20"/>
              <w:jc w:val="both"/>
            </w:pPr>
            <w:r>
              <w:rPr>
                <w:sz w:val="18"/>
                <w:szCs w:val="18"/>
              </w:rPr>
              <w:t>Redacción</w:t>
            </w:r>
          </w:p>
        </w:tc>
        <w:tc>
          <w:tcPr>
            <w:tcW w:w="1872" w:type="dxa"/>
            <w:shd w:val="clear" w:color="auto" w:fill="D9E2F3"/>
            <w:vAlign w:val="center"/>
          </w:tcPr>
          <w:p w14:paraId="786D8C1B" w14:textId="77777777" w:rsidR="00990B14" w:rsidRDefault="00000000">
            <w:pPr>
              <w:spacing w:before="20" w:after="20"/>
              <w:jc w:val="both"/>
            </w:pPr>
            <w:r>
              <w:rPr>
                <w:sz w:val="18"/>
                <w:szCs w:val="18"/>
              </w:rPr>
              <w:t>La redacción es confusa.</w:t>
            </w:r>
          </w:p>
        </w:tc>
        <w:tc>
          <w:tcPr>
            <w:tcW w:w="1872" w:type="dxa"/>
            <w:shd w:val="clear" w:color="auto" w:fill="D9E2F3"/>
            <w:vAlign w:val="center"/>
          </w:tcPr>
          <w:p w14:paraId="1DA4D20F" w14:textId="77777777" w:rsidR="00990B14" w:rsidRDefault="00000000">
            <w:pPr>
              <w:spacing w:before="20" w:after="20"/>
              <w:jc w:val="both"/>
            </w:pPr>
            <w:r>
              <w:rPr>
                <w:sz w:val="18"/>
                <w:szCs w:val="18"/>
              </w:rPr>
              <w:t>La redacción es clara.</w:t>
            </w:r>
          </w:p>
        </w:tc>
        <w:tc>
          <w:tcPr>
            <w:tcW w:w="1911" w:type="dxa"/>
            <w:shd w:val="clear" w:color="auto" w:fill="D9E2F3"/>
            <w:vAlign w:val="center"/>
          </w:tcPr>
          <w:p w14:paraId="571B52CE" w14:textId="77777777" w:rsidR="00990B14" w:rsidRDefault="00000000">
            <w:pPr>
              <w:spacing w:before="20" w:after="20"/>
              <w:jc w:val="both"/>
            </w:pPr>
            <w:r>
              <w:rPr>
                <w:sz w:val="18"/>
                <w:szCs w:val="18"/>
              </w:rPr>
              <w:t>La redacción es técnica y precisa.</w:t>
            </w:r>
          </w:p>
        </w:tc>
      </w:tr>
      <w:tr w:rsidR="00990B14" w14:paraId="2D0BB919" w14:textId="77777777">
        <w:trPr>
          <w:cantSplit/>
          <w:jc w:val="center"/>
        </w:trPr>
        <w:tc>
          <w:tcPr>
            <w:tcW w:w="1878" w:type="dxa"/>
            <w:vMerge/>
            <w:shd w:val="clear" w:color="auto" w:fill="4472C4"/>
            <w:vAlign w:val="center"/>
          </w:tcPr>
          <w:p w14:paraId="34562408" w14:textId="77777777" w:rsidR="00990B14" w:rsidRDefault="00990B14">
            <w:pPr>
              <w:spacing w:before="20" w:after="20"/>
            </w:pPr>
          </w:p>
        </w:tc>
        <w:tc>
          <w:tcPr>
            <w:tcW w:w="5616" w:type="dxa"/>
            <w:gridSpan w:val="3"/>
            <w:shd w:val="clear" w:color="auto" w:fill="D9E2F3"/>
            <w:vAlign w:val="center"/>
          </w:tcPr>
          <w:p w14:paraId="67B10F6F" w14:textId="77777777" w:rsidR="00990B14" w:rsidRDefault="00000000">
            <w:pPr>
              <w:keepNext/>
              <w:spacing w:before="20" w:after="20"/>
              <w:jc w:val="both"/>
            </w:pPr>
            <w:r>
              <w:rPr>
                <w:b/>
                <w:bCs/>
                <w:i/>
                <w:iCs/>
                <w:sz w:val="18"/>
                <w:szCs w:val="18"/>
              </w:rPr>
              <w:t xml:space="preserve">Producto 15: </w:t>
            </w:r>
            <w:r>
              <w:rPr>
                <w:sz w:val="18"/>
                <w:szCs w:val="18"/>
              </w:rPr>
              <w:t>Matriz de riesgos y controles de tecnología de información</w:t>
            </w:r>
          </w:p>
        </w:tc>
        <w:tc>
          <w:tcPr>
            <w:tcW w:w="1911" w:type="dxa"/>
            <w:shd w:val="clear" w:color="auto" w:fill="D9E2F3"/>
            <w:vAlign w:val="center"/>
          </w:tcPr>
          <w:p w14:paraId="0EAA0EF0" w14:textId="77777777" w:rsidR="00990B14" w:rsidRDefault="00000000">
            <w:pPr>
              <w:spacing w:before="20" w:after="20"/>
              <w:jc w:val="center"/>
            </w:pPr>
            <w:r>
              <w:rPr>
                <w:b/>
                <w:bCs/>
                <w:sz w:val="18"/>
                <w:szCs w:val="18"/>
              </w:rPr>
              <w:t>4%</w:t>
            </w:r>
          </w:p>
        </w:tc>
      </w:tr>
      <w:tr w:rsidR="00990B14" w14:paraId="0DEB9324" w14:textId="77777777">
        <w:trPr>
          <w:cantSplit/>
          <w:jc w:val="center"/>
        </w:trPr>
        <w:tc>
          <w:tcPr>
            <w:tcW w:w="1878" w:type="dxa"/>
            <w:vMerge/>
            <w:shd w:val="clear" w:color="auto" w:fill="4472C4"/>
            <w:vAlign w:val="center"/>
          </w:tcPr>
          <w:p w14:paraId="35C8B87E" w14:textId="77777777" w:rsidR="00990B14" w:rsidRDefault="00990B14">
            <w:pPr>
              <w:spacing w:before="20" w:after="20"/>
            </w:pPr>
          </w:p>
        </w:tc>
        <w:tc>
          <w:tcPr>
            <w:tcW w:w="1872" w:type="dxa"/>
            <w:shd w:val="clear" w:color="auto" w:fill="4472C4"/>
            <w:vAlign w:val="center"/>
          </w:tcPr>
          <w:p w14:paraId="705A8D64" w14:textId="77777777" w:rsidR="00990B14" w:rsidRDefault="00000000">
            <w:pPr>
              <w:keepNext/>
              <w:spacing w:before="20" w:after="20"/>
              <w:jc w:val="center"/>
            </w:pPr>
            <w:r>
              <w:rPr>
                <w:b/>
                <w:bCs/>
                <w:i/>
                <w:iCs/>
                <w:color w:val="FFFFFF"/>
                <w:sz w:val="18"/>
                <w:szCs w:val="18"/>
              </w:rPr>
              <w:t>Criterio</w:t>
            </w:r>
          </w:p>
        </w:tc>
        <w:tc>
          <w:tcPr>
            <w:tcW w:w="1872" w:type="dxa"/>
            <w:shd w:val="clear" w:color="auto" w:fill="4472C4"/>
            <w:vAlign w:val="center"/>
          </w:tcPr>
          <w:p w14:paraId="5CEF2A71" w14:textId="77777777" w:rsidR="00990B14" w:rsidRDefault="00000000">
            <w:pPr>
              <w:keepNext/>
              <w:spacing w:before="20" w:after="20"/>
              <w:jc w:val="center"/>
            </w:pPr>
            <w:r>
              <w:rPr>
                <w:b/>
                <w:bCs/>
                <w:i/>
                <w:iCs/>
                <w:color w:val="FFFFFF"/>
                <w:sz w:val="18"/>
                <w:szCs w:val="18"/>
              </w:rPr>
              <w:t>Insuficiente (1–50)</w:t>
            </w:r>
          </w:p>
        </w:tc>
        <w:tc>
          <w:tcPr>
            <w:tcW w:w="1872" w:type="dxa"/>
            <w:shd w:val="clear" w:color="auto" w:fill="4472C4"/>
            <w:vAlign w:val="center"/>
          </w:tcPr>
          <w:p w14:paraId="5E3C074B" w14:textId="77777777" w:rsidR="00990B14" w:rsidRDefault="00000000">
            <w:pPr>
              <w:keepNext/>
              <w:spacing w:before="20" w:after="20"/>
              <w:jc w:val="center"/>
            </w:pPr>
            <w:r>
              <w:rPr>
                <w:b/>
                <w:bCs/>
                <w:i/>
                <w:iCs/>
                <w:color w:val="FFFFFF"/>
                <w:sz w:val="18"/>
                <w:szCs w:val="18"/>
              </w:rPr>
              <w:t>Suficiente (51–80)</w:t>
            </w:r>
          </w:p>
        </w:tc>
        <w:tc>
          <w:tcPr>
            <w:tcW w:w="1911" w:type="dxa"/>
            <w:shd w:val="clear" w:color="auto" w:fill="4472C4"/>
            <w:vAlign w:val="center"/>
          </w:tcPr>
          <w:p w14:paraId="3FF0A4B5" w14:textId="77777777" w:rsidR="00990B14" w:rsidRDefault="00000000">
            <w:pPr>
              <w:keepNext/>
              <w:spacing w:before="20" w:after="20"/>
              <w:jc w:val="center"/>
            </w:pPr>
            <w:r>
              <w:rPr>
                <w:b/>
                <w:bCs/>
                <w:i/>
                <w:iCs/>
                <w:color w:val="FFFFFF"/>
                <w:sz w:val="18"/>
                <w:szCs w:val="18"/>
              </w:rPr>
              <w:t>Destacado (81–100)</w:t>
            </w:r>
          </w:p>
        </w:tc>
      </w:tr>
      <w:tr w:rsidR="00990B14" w14:paraId="2ED6E785" w14:textId="77777777">
        <w:trPr>
          <w:cantSplit/>
          <w:jc w:val="center"/>
        </w:trPr>
        <w:tc>
          <w:tcPr>
            <w:tcW w:w="1878" w:type="dxa"/>
            <w:vMerge/>
            <w:shd w:val="clear" w:color="auto" w:fill="4472C4"/>
            <w:vAlign w:val="center"/>
          </w:tcPr>
          <w:p w14:paraId="21788853" w14:textId="77777777" w:rsidR="00990B14" w:rsidRDefault="00990B14">
            <w:pPr>
              <w:spacing w:before="20" w:after="20"/>
            </w:pPr>
          </w:p>
        </w:tc>
        <w:tc>
          <w:tcPr>
            <w:tcW w:w="1872" w:type="dxa"/>
            <w:shd w:val="clear" w:color="auto" w:fill="D9E2F3"/>
            <w:vAlign w:val="center"/>
          </w:tcPr>
          <w:p w14:paraId="28128D21" w14:textId="77777777" w:rsidR="00990B14" w:rsidRDefault="00000000">
            <w:pPr>
              <w:spacing w:before="20" w:after="20"/>
              <w:jc w:val="both"/>
            </w:pPr>
            <w:r>
              <w:rPr>
                <w:sz w:val="18"/>
                <w:szCs w:val="18"/>
              </w:rPr>
              <w:t>Entorno de TI</w:t>
            </w:r>
          </w:p>
        </w:tc>
        <w:tc>
          <w:tcPr>
            <w:tcW w:w="1872" w:type="dxa"/>
            <w:shd w:val="clear" w:color="auto" w:fill="D9E2F3"/>
            <w:vAlign w:val="center"/>
          </w:tcPr>
          <w:p w14:paraId="6ABCEE92" w14:textId="77777777" w:rsidR="00990B14" w:rsidRDefault="00000000">
            <w:pPr>
              <w:spacing w:before="20" w:after="20"/>
              <w:jc w:val="both"/>
            </w:pPr>
            <w:r>
              <w:rPr>
                <w:sz w:val="18"/>
                <w:szCs w:val="18"/>
              </w:rPr>
              <w:t>Omite aplicaciones o interfaces críticas.</w:t>
            </w:r>
          </w:p>
        </w:tc>
        <w:tc>
          <w:tcPr>
            <w:tcW w:w="1872" w:type="dxa"/>
            <w:shd w:val="clear" w:color="auto" w:fill="D9E2F3"/>
            <w:vAlign w:val="center"/>
          </w:tcPr>
          <w:p w14:paraId="6D195118" w14:textId="77777777" w:rsidR="00990B14" w:rsidRDefault="00000000">
            <w:pPr>
              <w:spacing w:before="20" w:after="20"/>
              <w:jc w:val="both"/>
            </w:pPr>
            <w:r>
              <w:rPr>
                <w:sz w:val="18"/>
                <w:szCs w:val="18"/>
              </w:rPr>
              <w:t>Identifica el entorno de TI y sus riesgos (NIA 315).</w:t>
            </w:r>
          </w:p>
        </w:tc>
        <w:tc>
          <w:tcPr>
            <w:tcW w:w="1911" w:type="dxa"/>
            <w:shd w:val="clear" w:color="auto" w:fill="D9E2F3"/>
            <w:vAlign w:val="center"/>
          </w:tcPr>
          <w:p w14:paraId="7F4901CC" w14:textId="77777777" w:rsidR="00990B14" w:rsidRDefault="00000000">
            <w:pPr>
              <w:spacing w:before="20" w:after="20"/>
              <w:jc w:val="both"/>
            </w:pPr>
            <w:r>
              <w:rPr>
                <w:sz w:val="18"/>
                <w:szCs w:val="18"/>
              </w:rPr>
              <w:t>Evalúa y prioriza los riesgos de tecnología de información según su efecto en los estados financieros y en la estrategia de auditoría.</w:t>
            </w:r>
          </w:p>
        </w:tc>
      </w:tr>
      <w:tr w:rsidR="00990B14" w14:paraId="3DC999E7" w14:textId="77777777">
        <w:trPr>
          <w:cantSplit/>
          <w:jc w:val="center"/>
        </w:trPr>
        <w:tc>
          <w:tcPr>
            <w:tcW w:w="1878" w:type="dxa"/>
            <w:vMerge/>
            <w:shd w:val="clear" w:color="auto" w:fill="4472C4"/>
            <w:vAlign w:val="center"/>
          </w:tcPr>
          <w:p w14:paraId="057CAF43" w14:textId="77777777" w:rsidR="00990B14" w:rsidRDefault="00990B14">
            <w:pPr>
              <w:spacing w:before="20" w:after="20"/>
            </w:pPr>
          </w:p>
        </w:tc>
        <w:tc>
          <w:tcPr>
            <w:tcW w:w="1872" w:type="dxa"/>
            <w:shd w:val="clear" w:color="auto" w:fill="D9E2F3"/>
            <w:vAlign w:val="center"/>
          </w:tcPr>
          <w:p w14:paraId="1B5C5DEE" w14:textId="77777777" w:rsidR="00990B14" w:rsidRDefault="00000000">
            <w:pPr>
              <w:spacing w:before="20" w:after="20"/>
              <w:jc w:val="both"/>
            </w:pPr>
            <w:r>
              <w:rPr>
                <w:sz w:val="18"/>
                <w:szCs w:val="18"/>
              </w:rPr>
              <w:t>Controles</w:t>
            </w:r>
          </w:p>
        </w:tc>
        <w:tc>
          <w:tcPr>
            <w:tcW w:w="1872" w:type="dxa"/>
            <w:shd w:val="clear" w:color="auto" w:fill="D9E2F3"/>
            <w:vAlign w:val="center"/>
          </w:tcPr>
          <w:p w14:paraId="418C3CF7" w14:textId="77777777" w:rsidR="00990B14" w:rsidRDefault="00000000">
            <w:pPr>
              <w:spacing w:before="20" w:after="20"/>
              <w:jc w:val="both"/>
            </w:pPr>
            <w:r>
              <w:rPr>
                <w:sz w:val="18"/>
                <w:szCs w:val="18"/>
              </w:rPr>
              <w:t>Confunde los tipos de control.</w:t>
            </w:r>
          </w:p>
        </w:tc>
        <w:tc>
          <w:tcPr>
            <w:tcW w:w="1872" w:type="dxa"/>
            <w:shd w:val="clear" w:color="auto" w:fill="D9E2F3"/>
            <w:vAlign w:val="center"/>
          </w:tcPr>
          <w:p w14:paraId="3C0BB0D7" w14:textId="77777777" w:rsidR="00990B14" w:rsidRDefault="00000000">
            <w:pPr>
              <w:spacing w:before="20" w:after="20"/>
              <w:jc w:val="both"/>
            </w:pPr>
            <w:r>
              <w:rPr>
                <w:sz w:val="18"/>
                <w:szCs w:val="18"/>
              </w:rPr>
              <w:t>Evalúa los controles generales y de aplicación.</w:t>
            </w:r>
          </w:p>
        </w:tc>
        <w:tc>
          <w:tcPr>
            <w:tcW w:w="1911" w:type="dxa"/>
            <w:shd w:val="clear" w:color="auto" w:fill="D9E2F3"/>
            <w:vAlign w:val="center"/>
          </w:tcPr>
          <w:p w14:paraId="278BEB2B" w14:textId="77777777" w:rsidR="00990B14" w:rsidRDefault="00000000">
            <w:pPr>
              <w:spacing w:before="20" w:after="20"/>
              <w:jc w:val="both"/>
            </w:pPr>
            <w:r>
              <w:rPr>
                <w:sz w:val="18"/>
                <w:szCs w:val="18"/>
              </w:rPr>
              <w:t>Determina el efecto de las deficiencias en la estrategia de auditoría.</w:t>
            </w:r>
          </w:p>
        </w:tc>
      </w:tr>
      <w:tr w:rsidR="00990B14" w14:paraId="6568ABA2" w14:textId="77777777">
        <w:trPr>
          <w:cantSplit/>
          <w:jc w:val="center"/>
        </w:trPr>
        <w:tc>
          <w:tcPr>
            <w:tcW w:w="1878" w:type="dxa"/>
            <w:vMerge/>
            <w:shd w:val="clear" w:color="auto" w:fill="4472C4"/>
            <w:vAlign w:val="center"/>
          </w:tcPr>
          <w:p w14:paraId="7A21FF1E" w14:textId="77777777" w:rsidR="00990B14" w:rsidRDefault="00990B14">
            <w:pPr>
              <w:spacing w:before="20" w:after="20"/>
            </w:pPr>
          </w:p>
        </w:tc>
        <w:tc>
          <w:tcPr>
            <w:tcW w:w="1872" w:type="dxa"/>
            <w:shd w:val="clear" w:color="auto" w:fill="D9E2F3"/>
            <w:vAlign w:val="center"/>
          </w:tcPr>
          <w:p w14:paraId="054517B1" w14:textId="77777777" w:rsidR="00990B14" w:rsidRDefault="00000000">
            <w:pPr>
              <w:spacing w:before="20" w:after="20"/>
              <w:jc w:val="both"/>
            </w:pPr>
            <w:r>
              <w:rPr>
                <w:sz w:val="18"/>
                <w:szCs w:val="18"/>
              </w:rPr>
              <w:t>Trabajo en equipo</w:t>
            </w:r>
          </w:p>
        </w:tc>
        <w:tc>
          <w:tcPr>
            <w:tcW w:w="1872" w:type="dxa"/>
            <w:shd w:val="clear" w:color="auto" w:fill="D9E2F3"/>
            <w:vAlign w:val="center"/>
          </w:tcPr>
          <w:p w14:paraId="46AA8318" w14:textId="77777777" w:rsidR="00990B14" w:rsidRDefault="00000000">
            <w:pPr>
              <w:spacing w:before="20" w:after="20"/>
              <w:jc w:val="both"/>
            </w:pPr>
            <w:r>
              <w:rPr>
                <w:sz w:val="18"/>
                <w:szCs w:val="18"/>
              </w:rPr>
              <w:t>La participación de los integrantes es desigual.</w:t>
            </w:r>
          </w:p>
        </w:tc>
        <w:tc>
          <w:tcPr>
            <w:tcW w:w="1872" w:type="dxa"/>
            <w:shd w:val="clear" w:color="auto" w:fill="D9E2F3"/>
            <w:vAlign w:val="center"/>
          </w:tcPr>
          <w:p w14:paraId="1674067D" w14:textId="77777777" w:rsidR="00990B14" w:rsidRDefault="00000000">
            <w:pPr>
              <w:spacing w:before="20" w:after="20"/>
              <w:jc w:val="both"/>
            </w:pPr>
            <w:r>
              <w:rPr>
                <w:sz w:val="18"/>
                <w:szCs w:val="18"/>
              </w:rPr>
              <w:t>Todos los integrantes participan en el trabajo.</w:t>
            </w:r>
          </w:p>
        </w:tc>
        <w:tc>
          <w:tcPr>
            <w:tcW w:w="1911" w:type="dxa"/>
            <w:shd w:val="clear" w:color="auto" w:fill="D9E2F3"/>
            <w:vAlign w:val="center"/>
          </w:tcPr>
          <w:p w14:paraId="7C29A9EC" w14:textId="77777777" w:rsidR="00990B14" w:rsidRDefault="00000000">
            <w:pPr>
              <w:spacing w:before="20" w:after="20"/>
              <w:jc w:val="both"/>
            </w:pPr>
            <w:r>
              <w:rPr>
                <w:sz w:val="18"/>
                <w:szCs w:val="18"/>
              </w:rPr>
              <w:t>El equipo sustenta sus decisiones con fundamento.</w:t>
            </w:r>
          </w:p>
        </w:tc>
      </w:tr>
      <w:tr w:rsidR="00990B14" w14:paraId="59EA20B1" w14:textId="77777777">
        <w:trPr>
          <w:cantSplit/>
          <w:jc w:val="center"/>
        </w:trPr>
        <w:tc>
          <w:tcPr>
            <w:tcW w:w="1878" w:type="dxa"/>
            <w:vMerge/>
            <w:shd w:val="clear" w:color="auto" w:fill="4472C4"/>
            <w:vAlign w:val="center"/>
          </w:tcPr>
          <w:p w14:paraId="7B8D4B14" w14:textId="77777777" w:rsidR="00990B14" w:rsidRDefault="00990B14">
            <w:pPr>
              <w:spacing w:before="20" w:after="20"/>
            </w:pPr>
          </w:p>
        </w:tc>
        <w:tc>
          <w:tcPr>
            <w:tcW w:w="5616" w:type="dxa"/>
            <w:gridSpan w:val="3"/>
            <w:shd w:val="clear" w:color="auto" w:fill="D9E2F3"/>
            <w:vAlign w:val="center"/>
          </w:tcPr>
          <w:p w14:paraId="76862750" w14:textId="77777777" w:rsidR="00990B14" w:rsidRDefault="00000000">
            <w:pPr>
              <w:keepNext/>
              <w:spacing w:before="20" w:after="20"/>
              <w:jc w:val="both"/>
            </w:pPr>
            <w:r>
              <w:rPr>
                <w:b/>
                <w:bCs/>
                <w:i/>
                <w:iCs/>
                <w:sz w:val="18"/>
                <w:szCs w:val="18"/>
              </w:rPr>
              <w:t xml:space="preserve">Producto 16: </w:t>
            </w:r>
            <w:r>
              <w:rPr>
                <w:sz w:val="18"/>
                <w:szCs w:val="18"/>
              </w:rPr>
              <w:t>Papel de trabajo de análisis de datos de cartera de créditos y depósitos</w:t>
            </w:r>
          </w:p>
        </w:tc>
        <w:tc>
          <w:tcPr>
            <w:tcW w:w="1911" w:type="dxa"/>
            <w:shd w:val="clear" w:color="auto" w:fill="D9E2F3"/>
            <w:vAlign w:val="center"/>
          </w:tcPr>
          <w:p w14:paraId="139F1B61" w14:textId="77777777" w:rsidR="00990B14" w:rsidRDefault="00000000">
            <w:pPr>
              <w:spacing w:before="20" w:after="20"/>
              <w:jc w:val="center"/>
            </w:pPr>
            <w:r>
              <w:rPr>
                <w:b/>
                <w:bCs/>
                <w:sz w:val="18"/>
                <w:szCs w:val="18"/>
              </w:rPr>
              <w:t>4%</w:t>
            </w:r>
          </w:p>
        </w:tc>
      </w:tr>
      <w:tr w:rsidR="00990B14" w14:paraId="25F80884" w14:textId="77777777">
        <w:trPr>
          <w:cantSplit/>
          <w:jc w:val="center"/>
        </w:trPr>
        <w:tc>
          <w:tcPr>
            <w:tcW w:w="1878" w:type="dxa"/>
            <w:vMerge/>
            <w:shd w:val="clear" w:color="auto" w:fill="4472C4"/>
            <w:vAlign w:val="center"/>
          </w:tcPr>
          <w:p w14:paraId="05F518F2" w14:textId="77777777" w:rsidR="00990B14" w:rsidRDefault="00990B14">
            <w:pPr>
              <w:spacing w:before="20" w:after="20"/>
            </w:pPr>
          </w:p>
        </w:tc>
        <w:tc>
          <w:tcPr>
            <w:tcW w:w="1872" w:type="dxa"/>
            <w:shd w:val="clear" w:color="auto" w:fill="4472C4"/>
            <w:vAlign w:val="center"/>
          </w:tcPr>
          <w:p w14:paraId="26CAABF2" w14:textId="77777777" w:rsidR="00990B14" w:rsidRDefault="00000000">
            <w:pPr>
              <w:keepNext/>
              <w:spacing w:before="20" w:after="20"/>
              <w:jc w:val="center"/>
            </w:pPr>
            <w:r>
              <w:rPr>
                <w:b/>
                <w:bCs/>
                <w:i/>
                <w:iCs/>
                <w:color w:val="FFFFFF"/>
                <w:sz w:val="18"/>
                <w:szCs w:val="18"/>
              </w:rPr>
              <w:t>Criterio</w:t>
            </w:r>
          </w:p>
        </w:tc>
        <w:tc>
          <w:tcPr>
            <w:tcW w:w="1872" w:type="dxa"/>
            <w:shd w:val="clear" w:color="auto" w:fill="4472C4"/>
            <w:vAlign w:val="center"/>
          </w:tcPr>
          <w:p w14:paraId="483326F3" w14:textId="77777777" w:rsidR="00990B14" w:rsidRDefault="00000000">
            <w:pPr>
              <w:keepNext/>
              <w:spacing w:before="20" w:after="20"/>
              <w:jc w:val="center"/>
            </w:pPr>
            <w:r>
              <w:rPr>
                <w:b/>
                <w:bCs/>
                <w:i/>
                <w:iCs/>
                <w:color w:val="FFFFFF"/>
                <w:sz w:val="18"/>
                <w:szCs w:val="18"/>
              </w:rPr>
              <w:t>Insuficiente (1–50)</w:t>
            </w:r>
          </w:p>
        </w:tc>
        <w:tc>
          <w:tcPr>
            <w:tcW w:w="1872" w:type="dxa"/>
            <w:shd w:val="clear" w:color="auto" w:fill="4472C4"/>
            <w:vAlign w:val="center"/>
          </w:tcPr>
          <w:p w14:paraId="6D6A0F6B" w14:textId="77777777" w:rsidR="00990B14" w:rsidRDefault="00000000">
            <w:pPr>
              <w:keepNext/>
              <w:spacing w:before="20" w:after="20"/>
              <w:jc w:val="center"/>
            </w:pPr>
            <w:r>
              <w:rPr>
                <w:b/>
                <w:bCs/>
                <w:i/>
                <w:iCs/>
                <w:color w:val="FFFFFF"/>
                <w:sz w:val="18"/>
                <w:szCs w:val="18"/>
              </w:rPr>
              <w:t>Suficiente (51–80)</w:t>
            </w:r>
          </w:p>
        </w:tc>
        <w:tc>
          <w:tcPr>
            <w:tcW w:w="1911" w:type="dxa"/>
            <w:shd w:val="clear" w:color="auto" w:fill="4472C4"/>
            <w:vAlign w:val="center"/>
          </w:tcPr>
          <w:p w14:paraId="18DE5F3B" w14:textId="77777777" w:rsidR="00990B14" w:rsidRDefault="00000000">
            <w:pPr>
              <w:keepNext/>
              <w:spacing w:before="20" w:after="20"/>
              <w:jc w:val="center"/>
            </w:pPr>
            <w:r>
              <w:rPr>
                <w:b/>
                <w:bCs/>
                <w:i/>
                <w:iCs/>
                <w:color w:val="FFFFFF"/>
                <w:sz w:val="18"/>
                <w:szCs w:val="18"/>
              </w:rPr>
              <w:t>Destacado (81–100)</w:t>
            </w:r>
          </w:p>
        </w:tc>
      </w:tr>
      <w:tr w:rsidR="00990B14" w14:paraId="3490A8E1" w14:textId="77777777">
        <w:trPr>
          <w:cantSplit/>
          <w:jc w:val="center"/>
        </w:trPr>
        <w:tc>
          <w:tcPr>
            <w:tcW w:w="1878" w:type="dxa"/>
            <w:vMerge/>
            <w:shd w:val="clear" w:color="auto" w:fill="4472C4"/>
            <w:vAlign w:val="center"/>
          </w:tcPr>
          <w:p w14:paraId="376B7EA1" w14:textId="77777777" w:rsidR="00990B14" w:rsidRDefault="00990B14">
            <w:pPr>
              <w:spacing w:before="20" w:after="20"/>
            </w:pPr>
          </w:p>
        </w:tc>
        <w:tc>
          <w:tcPr>
            <w:tcW w:w="1872" w:type="dxa"/>
            <w:shd w:val="clear" w:color="auto" w:fill="D9E2F3"/>
            <w:vAlign w:val="center"/>
          </w:tcPr>
          <w:p w14:paraId="31E5B5B0" w14:textId="77777777" w:rsidR="00990B14" w:rsidRDefault="00000000">
            <w:pPr>
              <w:spacing w:before="20" w:after="20"/>
              <w:jc w:val="both"/>
            </w:pPr>
            <w:r>
              <w:rPr>
                <w:sz w:val="18"/>
                <w:szCs w:val="18"/>
              </w:rPr>
              <w:t>Pruebas</w:t>
            </w:r>
          </w:p>
        </w:tc>
        <w:tc>
          <w:tcPr>
            <w:tcW w:w="1872" w:type="dxa"/>
            <w:shd w:val="clear" w:color="auto" w:fill="D9E2F3"/>
            <w:vAlign w:val="center"/>
          </w:tcPr>
          <w:p w14:paraId="5477FA8D" w14:textId="77777777" w:rsidR="00990B14" w:rsidRDefault="00000000">
            <w:pPr>
              <w:spacing w:before="20" w:after="20"/>
              <w:jc w:val="both"/>
            </w:pPr>
            <w:r>
              <w:rPr>
                <w:sz w:val="18"/>
                <w:szCs w:val="18"/>
              </w:rPr>
              <w:t>Aplica pruebas sobre una muestra reducida.</w:t>
            </w:r>
          </w:p>
        </w:tc>
        <w:tc>
          <w:tcPr>
            <w:tcW w:w="1872" w:type="dxa"/>
            <w:shd w:val="clear" w:color="auto" w:fill="D9E2F3"/>
            <w:vAlign w:val="center"/>
          </w:tcPr>
          <w:p w14:paraId="19D3D65B" w14:textId="77777777" w:rsidR="00990B14" w:rsidRDefault="00000000">
            <w:pPr>
              <w:spacing w:before="20" w:after="20"/>
              <w:jc w:val="both"/>
            </w:pPr>
            <w:r>
              <w:rPr>
                <w:sz w:val="18"/>
                <w:szCs w:val="18"/>
              </w:rPr>
              <w:t>Aplica las pruebas sobre la totalidad de la población.</w:t>
            </w:r>
          </w:p>
        </w:tc>
        <w:tc>
          <w:tcPr>
            <w:tcW w:w="1911" w:type="dxa"/>
            <w:shd w:val="clear" w:color="auto" w:fill="D9E2F3"/>
            <w:vAlign w:val="center"/>
          </w:tcPr>
          <w:p w14:paraId="6ED32072" w14:textId="77777777" w:rsidR="00990B14" w:rsidRDefault="00000000">
            <w:pPr>
              <w:spacing w:before="20" w:after="20"/>
              <w:jc w:val="both"/>
            </w:pPr>
            <w:r>
              <w:rPr>
                <w:sz w:val="18"/>
                <w:szCs w:val="18"/>
              </w:rPr>
              <w:t>Diseña pruebas para señales de alerta y de fraude.</w:t>
            </w:r>
          </w:p>
        </w:tc>
      </w:tr>
      <w:tr w:rsidR="00990B14" w14:paraId="3139CD53" w14:textId="77777777">
        <w:trPr>
          <w:cantSplit/>
          <w:jc w:val="center"/>
        </w:trPr>
        <w:tc>
          <w:tcPr>
            <w:tcW w:w="1878" w:type="dxa"/>
            <w:vMerge/>
            <w:shd w:val="clear" w:color="auto" w:fill="4472C4"/>
            <w:vAlign w:val="center"/>
          </w:tcPr>
          <w:p w14:paraId="2CAB9622" w14:textId="77777777" w:rsidR="00990B14" w:rsidRDefault="00990B14">
            <w:pPr>
              <w:spacing w:before="20" w:after="20"/>
            </w:pPr>
          </w:p>
        </w:tc>
        <w:tc>
          <w:tcPr>
            <w:tcW w:w="1872" w:type="dxa"/>
            <w:shd w:val="clear" w:color="auto" w:fill="D9E2F3"/>
            <w:vAlign w:val="center"/>
          </w:tcPr>
          <w:p w14:paraId="4DAB5A63" w14:textId="77777777" w:rsidR="00990B14" w:rsidRDefault="00000000">
            <w:pPr>
              <w:spacing w:before="20" w:after="20"/>
              <w:jc w:val="both"/>
            </w:pPr>
            <w:r>
              <w:rPr>
                <w:sz w:val="18"/>
                <w:szCs w:val="18"/>
              </w:rPr>
              <w:t>Anomalías</w:t>
            </w:r>
          </w:p>
        </w:tc>
        <w:tc>
          <w:tcPr>
            <w:tcW w:w="1872" w:type="dxa"/>
            <w:shd w:val="clear" w:color="auto" w:fill="D9E2F3"/>
            <w:vAlign w:val="center"/>
          </w:tcPr>
          <w:p w14:paraId="41B75F1B" w14:textId="77777777" w:rsidR="00990B14" w:rsidRDefault="00000000">
            <w:pPr>
              <w:spacing w:before="20" w:after="20"/>
              <w:jc w:val="both"/>
            </w:pPr>
            <w:r>
              <w:rPr>
                <w:sz w:val="18"/>
                <w:szCs w:val="18"/>
              </w:rPr>
              <w:t>No documenta las anomalías.</w:t>
            </w:r>
          </w:p>
        </w:tc>
        <w:tc>
          <w:tcPr>
            <w:tcW w:w="1872" w:type="dxa"/>
            <w:shd w:val="clear" w:color="auto" w:fill="D9E2F3"/>
            <w:vAlign w:val="center"/>
          </w:tcPr>
          <w:p w14:paraId="32C8722A" w14:textId="77777777" w:rsidR="00990B14" w:rsidRDefault="00000000">
            <w:pPr>
              <w:spacing w:before="20" w:after="20"/>
              <w:jc w:val="both"/>
            </w:pPr>
            <w:r>
              <w:rPr>
                <w:sz w:val="18"/>
                <w:szCs w:val="18"/>
              </w:rPr>
              <w:t>Documenta las anomalías detectadas.</w:t>
            </w:r>
          </w:p>
        </w:tc>
        <w:tc>
          <w:tcPr>
            <w:tcW w:w="1911" w:type="dxa"/>
            <w:shd w:val="clear" w:color="auto" w:fill="D9E2F3"/>
            <w:vAlign w:val="center"/>
          </w:tcPr>
          <w:p w14:paraId="4ED0898D" w14:textId="77777777" w:rsidR="00990B14" w:rsidRDefault="00000000">
            <w:pPr>
              <w:spacing w:before="20" w:after="20"/>
              <w:jc w:val="both"/>
            </w:pPr>
            <w:r>
              <w:rPr>
                <w:sz w:val="18"/>
                <w:szCs w:val="18"/>
              </w:rPr>
              <w:t>Concluye sobre su efecto en la auditoría.</w:t>
            </w:r>
          </w:p>
        </w:tc>
      </w:tr>
      <w:tr w:rsidR="00990B14" w14:paraId="76730F09" w14:textId="77777777">
        <w:trPr>
          <w:cantSplit/>
          <w:jc w:val="center"/>
        </w:trPr>
        <w:tc>
          <w:tcPr>
            <w:tcW w:w="1878" w:type="dxa"/>
            <w:vMerge/>
            <w:shd w:val="clear" w:color="auto" w:fill="4472C4"/>
            <w:vAlign w:val="center"/>
          </w:tcPr>
          <w:p w14:paraId="1186C099" w14:textId="77777777" w:rsidR="00990B14" w:rsidRDefault="00990B14">
            <w:pPr>
              <w:spacing w:before="20" w:after="20"/>
            </w:pPr>
          </w:p>
        </w:tc>
        <w:tc>
          <w:tcPr>
            <w:tcW w:w="1872" w:type="dxa"/>
            <w:shd w:val="clear" w:color="auto" w:fill="D9E2F3"/>
            <w:vAlign w:val="center"/>
          </w:tcPr>
          <w:p w14:paraId="79976015" w14:textId="77777777" w:rsidR="00990B14" w:rsidRDefault="00000000">
            <w:pPr>
              <w:spacing w:before="20" w:after="20"/>
              <w:jc w:val="both"/>
            </w:pPr>
            <w:r>
              <w:rPr>
                <w:sz w:val="18"/>
                <w:szCs w:val="18"/>
              </w:rPr>
              <w:t>Escepticismo profesional</w:t>
            </w:r>
          </w:p>
        </w:tc>
        <w:tc>
          <w:tcPr>
            <w:tcW w:w="1872" w:type="dxa"/>
            <w:shd w:val="clear" w:color="auto" w:fill="D9E2F3"/>
            <w:vAlign w:val="center"/>
          </w:tcPr>
          <w:p w14:paraId="3F4DEFCD" w14:textId="77777777" w:rsidR="00990B14" w:rsidRDefault="00000000">
            <w:pPr>
              <w:spacing w:before="20" w:after="20"/>
              <w:jc w:val="both"/>
            </w:pPr>
            <w:r>
              <w:rPr>
                <w:sz w:val="18"/>
                <w:szCs w:val="18"/>
              </w:rPr>
              <w:t>Acepta la información del sistema sin contrastarla.</w:t>
            </w:r>
          </w:p>
        </w:tc>
        <w:tc>
          <w:tcPr>
            <w:tcW w:w="1872" w:type="dxa"/>
            <w:shd w:val="clear" w:color="auto" w:fill="D9E2F3"/>
            <w:vAlign w:val="center"/>
          </w:tcPr>
          <w:p w14:paraId="2BF57426" w14:textId="77777777" w:rsidR="00990B14" w:rsidRDefault="00000000">
            <w:pPr>
              <w:spacing w:before="20" w:after="20"/>
              <w:jc w:val="both"/>
            </w:pPr>
            <w:r>
              <w:rPr>
                <w:sz w:val="18"/>
                <w:szCs w:val="18"/>
              </w:rPr>
              <w:t>Contrasta la fiabilidad de la información generada por los sistemas.</w:t>
            </w:r>
          </w:p>
        </w:tc>
        <w:tc>
          <w:tcPr>
            <w:tcW w:w="1911" w:type="dxa"/>
            <w:shd w:val="clear" w:color="auto" w:fill="D9E2F3"/>
            <w:vAlign w:val="center"/>
          </w:tcPr>
          <w:p w14:paraId="0275A622" w14:textId="77777777" w:rsidR="00990B14" w:rsidRDefault="00000000">
            <w:pPr>
              <w:spacing w:before="20" w:after="20"/>
              <w:jc w:val="both"/>
            </w:pPr>
            <w:r>
              <w:rPr>
                <w:sz w:val="18"/>
                <w:szCs w:val="18"/>
              </w:rPr>
              <w:t>Documenta su juicio sobre la información generada por los sistemas.</w:t>
            </w:r>
          </w:p>
        </w:tc>
      </w:tr>
      <w:tr w:rsidR="00990B14" w14:paraId="1A6EF1F8" w14:textId="77777777">
        <w:trPr>
          <w:cantSplit/>
          <w:jc w:val="center"/>
        </w:trPr>
        <w:tc>
          <w:tcPr>
            <w:tcW w:w="1878" w:type="dxa"/>
            <w:vMerge/>
            <w:shd w:val="clear" w:color="auto" w:fill="4472C4"/>
            <w:vAlign w:val="center"/>
          </w:tcPr>
          <w:p w14:paraId="3714BE50" w14:textId="77777777" w:rsidR="00990B14" w:rsidRDefault="00990B14">
            <w:pPr>
              <w:spacing w:before="20" w:after="20"/>
            </w:pPr>
          </w:p>
        </w:tc>
        <w:tc>
          <w:tcPr>
            <w:tcW w:w="5616" w:type="dxa"/>
            <w:gridSpan w:val="3"/>
            <w:shd w:val="clear" w:color="auto" w:fill="D9E2F3"/>
            <w:vAlign w:val="center"/>
          </w:tcPr>
          <w:p w14:paraId="31D5DF27" w14:textId="77777777" w:rsidR="00990B14" w:rsidRDefault="00000000">
            <w:pPr>
              <w:keepNext/>
              <w:spacing w:before="20" w:after="20"/>
              <w:jc w:val="both"/>
            </w:pPr>
            <w:r>
              <w:rPr>
                <w:b/>
                <w:bCs/>
                <w:i/>
                <w:iCs/>
                <w:sz w:val="18"/>
                <w:szCs w:val="18"/>
              </w:rPr>
              <w:t xml:space="preserve">Producto 17: </w:t>
            </w:r>
            <w:r>
              <w:rPr>
                <w:sz w:val="18"/>
                <w:szCs w:val="18"/>
              </w:rPr>
              <w:t>Papel de trabajo de verificación de límites prudenciales</w:t>
            </w:r>
          </w:p>
        </w:tc>
        <w:tc>
          <w:tcPr>
            <w:tcW w:w="1911" w:type="dxa"/>
            <w:shd w:val="clear" w:color="auto" w:fill="D9E2F3"/>
            <w:vAlign w:val="center"/>
          </w:tcPr>
          <w:p w14:paraId="74DE97B5" w14:textId="77777777" w:rsidR="00990B14" w:rsidRDefault="00000000">
            <w:pPr>
              <w:spacing w:before="20" w:after="20"/>
              <w:jc w:val="center"/>
            </w:pPr>
            <w:r>
              <w:rPr>
                <w:b/>
                <w:bCs/>
                <w:sz w:val="18"/>
                <w:szCs w:val="18"/>
              </w:rPr>
              <w:t>5%</w:t>
            </w:r>
          </w:p>
        </w:tc>
      </w:tr>
      <w:tr w:rsidR="00990B14" w14:paraId="2085CA8C" w14:textId="77777777">
        <w:trPr>
          <w:cantSplit/>
          <w:jc w:val="center"/>
        </w:trPr>
        <w:tc>
          <w:tcPr>
            <w:tcW w:w="1878" w:type="dxa"/>
            <w:vMerge/>
            <w:shd w:val="clear" w:color="auto" w:fill="4472C4"/>
            <w:vAlign w:val="center"/>
          </w:tcPr>
          <w:p w14:paraId="2D456A45" w14:textId="77777777" w:rsidR="00990B14" w:rsidRDefault="00990B14">
            <w:pPr>
              <w:spacing w:before="20" w:after="20"/>
            </w:pPr>
          </w:p>
        </w:tc>
        <w:tc>
          <w:tcPr>
            <w:tcW w:w="1872" w:type="dxa"/>
            <w:shd w:val="clear" w:color="auto" w:fill="4472C4"/>
            <w:vAlign w:val="center"/>
          </w:tcPr>
          <w:p w14:paraId="5B0AB53A" w14:textId="77777777" w:rsidR="00990B14" w:rsidRDefault="00000000">
            <w:pPr>
              <w:keepNext/>
              <w:spacing w:before="20" w:after="20"/>
              <w:jc w:val="center"/>
            </w:pPr>
            <w:r>
              <w:rPr>
                <w:b/>
                <w:bCs/>
                <w:i/>
                <w:iCs/>
                <w:color w:val="FFFFFF"/>
                <w:sz w:val="18"/>
                <w:szCs w:val="18"/>
              </w:rPr>
              <w:t>Criterio</w:t>
            </w:r>
          </w:p>
        </w:tc>
        <w:tc>
          <w:tcPr>
            <w:tcW w:w="1872" w:type="dxa"/>
            <w:shd w:val="clear" w:color="auto" w:fill="4472C4"/>
            <w:vAlign w:val="center"/>
          </w:tcPr>
          <w:p w14:paraId="44D75BF2" w14:textId="77777777" w:rsidR="00990B14" w:rsidRDefault="00000000">
            <w:pPr>
              <w:keepNext/>
              <w:spacing w:before="20" w:after="20"/>
              <w:jc w:val="center"/>
            </w:pPr>
            <w:r>
              <w:rPr>
                <w:b/>
                <w:bCs/>
                <w:i/>
                <w:iCs/>
                <w:color w:val="FFFFFF"/>
                <w:sz w:val="18"/>
                <w:szCs w:val="18"/>
              </w:rPr>
              <w:t>Insuficiente (1–50)</w:t>
            </w:r>
          </w:p>
        </w:tc>
        <w:tc>
          <w:tcPr>
            <w:tcW w:w="1872" w:type="dxa"/>
            <w:shd w:val="clear" w:color="auto" w:fill="4472C4"/>
            <w:vAlign w:val="center"/>
          </w:tcPr>
          <w:p w14:paraId="14EF1FA5" w14:textId="77777777" w:rsidR="00990B14" w:rsidRDefault="00000000">
            <w:pPr>
              <w:keepNext/>
              <w:spacing w:before="20" w:after="20"/>
              <w:jc w:val="center"/>
            </w:pPr>
            <w:r>
              <w:rPr>
                <w:b/>
                <w:bCs/>
                <w:i/>
                <w:iCs/>
                <w:color w:val="FFFFFF"/>
                <w:sz w:val="18"/>
                <w:szCs w:val="18"/>
              </w:rPr>
              <w:t>Suficiente (51–80)</w:t>
            </w:r>
          </w:p>
        </w:tc>
        <w:tc>
          <w:tcPr>
            <w:tcW w:w="1911" w:type="dxa"/>
            <w:shd w:val="clear" w:color="auto" w:fill="4472C4"/>
            <w:vAlign w:val="center"/>
          </w:tcPr>
          <w:p w14:paraId="349DB06B" w14:textId="77777777" w:rsidR="00990B14" w:rsidRDefault="00000000">
            <w:pPr>
              <w:keepNext/>
              <w:spacing w:before="20" w:after="20"/>
              <w:jc w:val="center"/>
            </w:pPr>
            <w:r>
              <w:rPr>
                <w:b/>
                <w:bCs/>
                <w:i/>
                <w:iCs/>
                <w:color w:val="FFFFFF"/>
                <w:sz w:val="18"/>
                <w:szCs w:val="18"/>
              </w:rPr>
              <w:t>Destacado (81–100)</w:t>
            </w:r>
          </w:p>
        </w:tc>
      </w:tr>
      <w:tr w:rsidR="00990B14" w14:paraId="1B17153A" w14:textId="77777777">
        <w:trPr>
          <w:cantSplit/>
          <w:jc w:val="center"/>
        </w:trPr>
        <w:tc>
          <w:tcPr>
            <w:tcW w:w="1878" w:type="dxa"/>
            <w:vMerge/>
            <w:shd w:val="clear" w:color="auto" w:fill="4472C4"/>
            <w:vAlign w:val="center"/>
          </w:tcPr>
          <w:p w14:paraId="47B80FE3" w14:textId="77777777" w:rsidR="00990B14" w:rsidRDefault="00990B14">
            <w:pPr>
              <w:spacing w:before="20" w:after="20"/>
            </w:pPr>
          </w:p>
        </w:tc>
        <w:tc>
          <w:tcPr>
            <w:tcW w:w="1872" w:type="dxa"/>
            <w:shd w:val="clear" w:color="auto" w:fill="D9E2F3"/>
            <w:vAlign w:val="center"/>
          </w:tcPr>
          <w:p w14:paraId="7B4645B0" w14:textId="77777777" w:rsidR="00990B14" w:rsidRDefault="00000000">
            <w:pPr>
              <w:spacing w:before="20" w:after="20"/>
              <w:jc w:val="both"/>
            </w:pPr>
            <w:r>
              <w:rPr>
                <w:sz w:val="18"/>
                <w:szCs w:val="18"/>
              </w:rPr>
              <w:t>Límites</w:t>
            </w:r>
          </w:p>
        </w:tc>
        <w:tc>
          <w:tcPr>
            <w:tcW w:w="1872" w:type="dxa"/>
            <w:shd w:val="clear" w:color="auto" w:fill="D9E2F3"/>
            <w:vAlign w:val="center"/>
          </w:tcPr>
          <w:p w14:paraId="51EC630D" w14:textId="77777777" w:rsidR="00990B14" w:rsidRDefault="00000000">
            <w:pPr>
              <w:spacing w:before="20" w:after="20"/>
              <w:jc w:val="both"/>
            </w:pPr>
            <w:r>
              <w:rPr>
                <w:sz w:val="18"/>
                <w:szCs w:val="18"/>
              </w:rPr>
              <w:t>Omite límites aplicables.</w:t>
            </w:r>
          </w:p>
        </w:tc>
        <w:tc>
          <w:tcPr>
            <w:tcW w:w="1872" w:type="dxa"/>
            <w:shd w:val="clear" w:color="auto" w:fill="D9E2F3"/>
            <w:vAlign w:val="center"/>
          </w:tcPr>
          <w:p w14:paraId="74A0DC23" w14:textId="77777777" w:rsidR="00990B14" w:rsidRDefault="00000000">
            <w:pPr>
              <w:spacing w:before="20" w:after="20"/>
              <w:jc w:val="both"/>
            </w:pPr>
            <w:r>
              <w:rPr>
                <w:sz w:val="18"/>
                <w:szCs w:val="18"/>
              </w:rPr>
              <w:t>Verifica la suficiencia, la posición cambiaria, el encaje y la concentración.</w:t>
            </w:r>
          </w:p>
        </w:tc>
        <w:tc>
          <w:tcPr>
            <w:tcW w:w="1911" w:type="dxa"/>
            <w:shd w:val="clear" w:color="auto" w:fill="D9E2F3"/>
            <w:vAlign w:val="center"/>
          </w:tcPr>
          <w:p w14:paraId="5A2A1290" w14:textId="77777777" w:rsidR="00990B14" w:rsidRDefault="00000000">
            <w:pPr>
              <w:spacing w:before="20" w:after="20"/>
              <w:jc w:val="both"/>
            </w:pPr>
            <w:r>
              <w:rPr>
                <w:sz w:val="18"/>
                <w:szCs w:val="18"/>
              </w:rPr>
              <w:t>Proyecta el cumplimiento ante escenarios adversos.</w:t>
            </w:r>
          </w:p>
        </w:tc>
      </w:tr>
      <w:tr w:rsidR="00990B14" w14:paraId="06672FFD" w14:textId="77777777">
        <w:trPr>
          <w:cantSplit/>
          <w:jc w:val="center"/>
        </w:trPr>
        <w:tc>
          <w:tcPr>
            <w:tcW w:w="1878" w:type="dxa"/>
            <w:vMerge/>
            <w:shd w:val="clear" w:color="auto" w:fill="4472C4"/>
            <w:vAlign w:val="center"/>
          </w:tcPr>
          <w:p w14:paraId="5F960FA9" w14:textId="77777777" w:rsidR="00990B14" w:rsidRDefault="00990B14">
            <w:pPr>
              <w:spacing w:before="20" w:after="20"/>
            </w:pPr>
          </w:p>
        </w:tc>
        <w:tc>
          <w:tcPr>
            <w:tcW w:w="1872" w:type="dxa"/>
            <w:shd w:val="clear" w:color="auto" w:fill="D9E2F3"/>
            <w:vAlign w:val="center"/>
          </w:tcPr>
          <w:p w14:paraId="1AE3AC13" w14:textId="77777777" w:rsidR="00990B14" w:rsidRDefault="00000000">
            <w:pPr>
              <w:spacing w:before="20" w:after="20"/>
              <w:jc w:val="both"/>
            </w:pPr>
            <w:r>
              <w:rPr>
                <w:sz w:val="18"/>
                <w:szCs w:val="18"/>
              </w:rPr>
              <w:t>Cálculo</w:t>
            </w:r>
          </w:p>
        </w:tc>
        <w:tc>
          <w:tcPr>
            <w:tcW w:w="1872" w:type="dxa"/>
            <w:shd w:val="clear" w:color="auto" w:fill="D9E2F3"/>
            <w:vAlign w:val="center"/>
          </w:tcPr>
          <w:p w14:paraId="2B4D1B09" w14:textId="77777777" w:rsidR="00990B14" w:rsidRDefault="00000000">
            <w:pPr>
              <w:spacing w:before="20" w:after="20"/>
              <w:jc w:val="both"/>
            </w:pPr>
            <w:r>
              <w:rPr>
                <w:sz w:val="18"/>
                <w:szCs w:val="18"/>
              </w:rPr>
              <w:t>Calcula con errores.</w:t>
            </w:r>
          </w:p>
        </w:tc>
        <w:tc>
          <w:tcPr>
            <w:tcW w:w="1872" w:type="dxa"/>
            <w:shd w:val="clear" w:color="auto" w:fill="D9E2F3"/>
            <w:vAlign w:val="center"/>
          </w:tcPr>
          <w:p w14:paraId="481302B5" w14:textId="77777777" w:rsidR="00990B14" w:rsidRDefault="00000000">
            <w:pPr>
              <w:spacing w:before="20" w:after="20"/>
              <w:jc w:val="both"/>
            </w:pPr>
            <w:r>
              <w:rPr>
                <w:sz w:val="18"/>
                <w:szCs w:val="18"/>
              </w:rPr>
              <w:t>Calcula cada límite correctamente.</w:t>
            </w:r>
          </w:p>
        </w:tc>
        <w:tc>
          <w:tcPr>
            <w:tcW w:w="1911" w:type="dxa"/>
            <w:shd w:val="clear" w:color="auto" w:fill="D9E2F3"/>
            <w:vAlign w:val="center"/>
          </w:tcPr>
          <w:p w14:paraId="1C5BBCD0" w14:textId="77777777" w:rsidR="00990B14" w:rsidRDefault="00000000">
            <w:pPr>
              <w:spacing w:before="20" w:after="20"/>
              <w:jc w:val="both"/>
            </w:pPr>
            <w:r>
              <w:rPr>
                <w:sz w:val="18"/>
                <w:szCs w:val="18"/>
              </w:rPr>
              <w:t>Concilia las bases con los registros contables.</w:t>
            </w:r>
          </w:p>
        </w:tc>
      </w:tr>
      <w:tr w:rsidR="00990B14" w14:paraId="2E69E66B" w14:textId="77777777">
        <w:trPr>
          <w:cantSplit/>
          <w:jc w:val="center"/>
        </w:trPr>
        <w:tc>
          <w:tcPr>
            <w:tcW w:w="1878" w:type="dxa"/>
            <w:vMerge/>
            <w:shd w:val="clear" w:color="auto" w:fill="4472C4"/>
            <w:vAlign w:val="center"/>
          </w:tcPr>
          <w:p w14:paraId="3FA8A7C5" w14:textId="77777777" w:rsidR="00990B14" w:rsidRDefault="00990B14">
            <w:pPr>
              <w:spacing w:before="20" w:after="20"/>
            </w:pPr>
          </w:p>
        </w:tc>
        <w:tc>
          <w:tcPr>
            <w:tcW w:w="1872" w:type="dxa"/>
            <w:shd w:val="clear" w:color="auto" w:fill="D9E2F3"/>
            <w:vAlign w:val="center"/>
          </w:tcPr>
          <w:p w14:paraId="44390682" w14:textId="77777777" w:rsidR="00990B14" w:rsidRDefault="00000000">
            <w:pPr>
              <w:spacing w:before="20" w:after="20"/>
              <w:jc w:val="both"/>
            </w:pPr>
            <w:r>
              <w:rPr>
                <w:sz w:val="18"/>
                <w:szCs w:val="18"/>
              </w:rPr>
              <w:t>Conclusión</w:t>
            </w:r>
          </w:p>
        </w:tc>
        <w:tc>
          <w:tcPr>
            <w:tcW w:w="1872" w:type="dxa"/>
            <w:shd w:val="clear" w:color="auto" w:fill="D9E2F3"/>
            <w:vAlign w:val="center"/>
          </w:tcPr>
          <w:p w14:paraId="5ABB902D" w14:textId="77777777" w:rsidR="00990B14" w:rsidRDefault="00000000">
            <w:pPr>
              <w:spacing w:before="20" w:after="20"/>
              <w:jc w:val="both"/>
            </w:pPr>
            <w:r>
              <w:rPr>
                <w:sz w:val="18"/>
                <w:szCs w:val="18"/>
              </w:rPr>
              <w:t>No concluye.</w:t>
            </w:r>
          </w:p>
        </w:tc>
        <w:tc>
          <w:tcPr>
            <w:tcW w:w="1872" w:type="dxa"/>
            <w:shd w:val="clear" w:color="auto" w:fill="D9E2F3"/>
            <w:vAlign w:val="center"/>
          </w:tcPr>
          <w:p w14:paraId="6896FE37" w14:textId="77777777" w:rsidR="00990B14" w:rsidRDefault="00000000">
            <w:pPr>
              <w:spacing w:before="20" w:after="20"/>
              <w:jc w:val="both"/>
            </w:pPr>
            <w:r>
              <w:rPr>
                <w:sz w:val="18"/>
                <w:szCs w:val="18"/>
              </w:rPr>
              <w:t>Concluye sobre el cumplimiento.</w:t>
            </w:r>
          </w:p>
        </w:tc>
        <w:tc>
          <w:tcPr>
            <w:tcW w:w="1911" w:type="dxa"/>
            <w:shd w:val="clear" w:color="auto" w:fill="D9E2F3"/>
            <w:vAlign w:val="center"/>
          </w:tcPr>
          <w:p w14:paraId="03A36517" w14:textId="77777777" w:rsidR="00990B14" w:rsidRDefault="00000000">
            <w:pPr>
              <w:spacing w:before="20" w:after="20"/>
              <w:jc w:val="both"/>
            </w:pPr>
            <w:r>
              <w:rPr>
                <w:sz w:val="18"/>
                <w:szCs w:val="18"/>
              </w:rPr>
              <w:t>Evalúa las causas de los incumplimientos y sustenta su efecto en la conclusión de auditoría.</w:t>
            </w:r>
          </w:p>
        </w:tc>
      </w:tr>
      <w:tr w:rsidR="00990B14" w14:paraId="39FB6258" w14:textId="77777777">
        <w:trPr>
          <w:cantSplit/>
          <w:jc w:val="center"/>
        </w:trPr>
        <w:tc>
          <w:tcPr>
            <w:tcW w:w="1878" w:type="dxa"/>
            <w:vMerge/>
            <w:shd w:val="clear" w:color="auto" w:fill="4472C4"/>
            <w:vAlign w:val="center"/>
          </w:tcPr>
          <w:p w14:paraId="2FB96027" w14:textId="77777777" w:rsidR="00990B14" w:rsidRDefault="00990B14">
            <w:pPr>
              <w:spacing w:before="20" w:after="20"/>
            </w:pPr>
          </w:p>
        </w:tc>
        <w:tc>
          <w:tcPr>
            <w:tcW w:w="5616" w:type="dxa"/>
            <w:gridSpan w:val="3"/>
            <w:shd w:val="clear" w:color="auto" w:fill="D9E2F3"/>
            <w:vAlign w:val="center"/>
          </w:tcPr>
          <w:p w14:paraId="75AA845E" w14:textId="77777777" w:rsidR="00990B14" w:rsidRDefault="00000000">
            <w:pPr>
              <w:keepNext/>
              <w:spacing w:before="20" w:after="20"/>
              <w:jc w:val="both"/>
            </w:pPr>
            <w:r>
              <w:rPr>
                <w:b/>
                <w:bCs/>
                <w:i/>
                <w:iCs/>
                <w:sz w:val="18"/>
                <w:szCs w:val="18"/>
              </w:rPr>
              <w:t xml:space="preserve">Producto 18: </w:t>
            </w:r>
            <w:r>
              <w:rPr>
                <w:sz w:val="18"/>
                <w:szCs w:val="18"/>
              </w:rPr>
              <w:t>Informe de aseguramiento sobre la gestión integral de riesgos y el control interno</w:t>
            </w:r>
          </w:p>
        </w:tc>
        <w:tc>
          <w:tcPr>
            <w:tcW w:w="1911" w:type="dxa"/>
            <w:shd w:val="clear" w:color="auto" w:fill="D9E2F3"/>
            <w:vAlign w:val="center"/>
          </w:tcPr>
          <w:p w14:paraId="29A4FFF0" w14:textId="77777777" w:rsidR="00990B14" w:rsidRDefault="00000000">
            <w:pPr>
              <w:spacing w:before="20" w:after="20"/>
              <w:jc w:val="center"/>
            </w:pPr>
            <w:r>
              <w:rPr>
                <w:b/>
                <w:bCs/>
                <w:sz w:val="18"/>
                <w:szCs w:val="18"/>
              </w:rPr>
              <w:t>5%</w:t>
            </w:r>
          </w:p>
        </w:tc>
      </w:tr>
      <w:tr w:rsidR="00990B14" w14:paraId="0B7538AF" w14:textId="77777777">
        <w:trPr>
          <w:cantSplit/>
          <w:jc w:val="center"/>
        </w:trPr>
        <w:tc>
          <w:tcPr>
            <w:tcW w:w="1878" w:type="dxa"/>
            <w:vMerge/>
            <w:shd w:val="clear" w:color="auto" w:fill="4472C4"/>
            <w:vAlign w:val="center"/>
          </w:tcPr>
          <w:p w14:paraId="7BF8A0BB" w14:textId="77777777" w:rsidR="00990B14" w:rsidRDefault="00990B14">
            <w:pPr>
              <w:spacing w:before="20" w:after="20"/>
            </w:pPr>
          </w:p>
        </w:tc>
        <w:tc>
          <w:tcPr>
            <w:tcW w:w="1872" w:type="dxa"/>
            <w:shd w:val="clear" w:color="auto" w:fill="4472C4"/>
            <w:vAlign w:val="center"/>
          </w:tcPr>
          <w:p w14:paraId="0C3B332D" w14:textId="77777777" w:rsidR="00990B14" w:rsidRDefault="00000000">
            <w:pPr>
              <w:keepNext/>
              <w:spacing w:before="20" w:after="20"/>
              <w:jc w:val="center"/>
            </w:pPr>
            <w:r>
              <w:rPr>
                <w:b/>
                <w:bCs/>
                <w:i/>
                <w:iCs/>
                <w:color w:val="FFFFFF"/>
                <w:sz w:val="18"/>
                <w:szCs w:val="18"/>
              </w:rPr>
              <w:t>Criterio</w:t>
            </w:r>
          </w:p>
        </w:tc>
        <w:tc>
          <w:tcPr>
            <w:tcW w:w="1872" w:type="dxa"/>
            <w:shd w:val="clear" w:color="auto" w:fill="4472C4"/>
            <w:vAlign w:val="center"/>
          </w:tcPr>
          <w:p w14:paraId="562707F5" w14:textId="77777777" w:rsidR="00990B14" w:rsidRDefault="00000000">
            <w:pPr>
              <w:keepNext/>
              <w:spacing w:before="20" w:after="20"/>
              <w:jc w:val="center"/>
            </w:pPr>
            <w:r>
              <w:rPr>
                <w:b/>
                <w:bCs/>
                <w:i/>
                <w:iCs/>
                <w:color w:val="FFFFFF"/>
                <w:sz w:val="18"/>
                <w:szCs w:val="18"/>
              </w:rPr>
              <w:t>Insuficiente (1–50)</w:t>
            </w:r>
          </w:p>
        </w:tc>
        <w:tc>
          <w:tcPr>
            <w:tcW w:w="1872" w:type="dxa"/>
            <w:shd w:val="clear" w:color="auto" w:fill="4472C4"/>
            <w:vAlign w:val="center"/>
          </w:tcPr>
          <w:p w14:paraId="32692E34" w14:textId="77777777" w:rsidR="00990B14" w:rsidRDefault="00000000">
            <w:pPr>
              <w:keepNext/>
              <w:spacing w:before="20" w:after="20"/>
              <w:jc w:val="center"/>
            </w:pPr>
            <w:r>
              <w:rPr>
                <w:b/>
                <w:bCs/>
                <w:i/>
                <w:iCs/>
                <w:color w:val="FFFFFF"/>
                <w:sz w:val="18"/>
                <w:szCs w:val="18"/>
              </w:rPr>
              <w:t>Suficiente (51–80)</w:t>
            </w:r>
          </w:p>
        </w:tc>
        <w:tc>
          <w:tcPr>
            <w:tcW w:w="1911" w:type="dxa"/>
            <w:shd w:val="clear" w:color="auto" w:fill="4472C4"/>
            <w:vAlign w:val="center"/>
          </w:tcPr>
          <w:p w14:paraId="081E3F76" w14:textId="77777777" w:rsidR="00990B14" w:rsidRDefault="00000000">
            <w:pPr>
              <w:keepNext/>
              <w:spacing w:before="20" w:after="20"/>
              <w:jc w:val="center"/>
            </w:pPr>
            <w:r>
              <w:rPr>
                <w:b/>
                <w:bCs/>
                <w:i/>
                <w:iCs/>
                <w:color w:val="FFFFFF"/>
                <w:sz w:val="18"/>
                <w:szCs w:val="18"/>
              </w:rPr>
              <w:t>Destacado (81–100)</w:t>
            </w:r>
          </w:p>
        </w:tc>
      </w:tr>
      <w:tr w:rsidR="00990B14" w14:paraId="78A373BC" w14:textId="77777777">
        <w:trPr>
          <w:cantSplit/>
          <w:jc w:val="center"/>
        </w:trPr>
        <w:tc>
          <w:tcPr>
            <w:tcW w:w="1878" w:type="dxa"/>
            <w:vMerge/>
            <w:shd w:val="clear" w:color="auto" w:fill="4472C4"/>
            <w:vAlign w:val="center"/>
          </w:tcPr>
          <w:p w14:paraId="2B0C4880" w14:textId="77777777" w:rsidR="00990B14" w:rsidRDefault="00990B14">
            <w:pPr>
              <w:spacing w:before="20" w:after="20"/>
            </w:pPr>
          </w:p>
        </w:tc>
        <w:tc>
          <w:tcPr>
            <w:tcW w:w="1872" w:type="dxa"/>
            <w:shd w:val="clear" w:color="auto" w:fill="D9E2F3"/>
            <w:vAlign w:val="center"/>
          </w:tcPr>
          <w:p w14:paraId="11460F73" w14:textId="77777777" w:rsidR="00990B14" w:rsidRDefault="00000000">
            <w:pPr>
              <w:spacing w:before="20" w:after="20"/>
              <w:jc w:val="both"/>
            </w:pPr>
            <w:r>
              <w:rPr>
                <w:sz w:val="18"/>
                <w:szCs w:val="18"/>
              </w:rPr>
              <w:t>Gestión de riesgos</w:t>
            </w:r>
          </w:p>
        </w:tc>
        <w:tc>
          <w:tcPr>
            <w:tcW w:w="1872" w:type="dxa"/>
            <w:shd w:val="clear" w:color="auto" w:fill="D9E2F3"/>
            <w:vAlign w:val="center"/>
          </w:tcPr>
          <w:p w14:paraId="47CB640D" w14:textId="77777777" w:rsidR="00990B14" w:rsidRDefault="00000000">
            <w:pPr>
              <w:spacing w:before="20" w:after="20"/>
              <w:jc w:val="both"/>
            </w:pPr>
            <w:r>
              <w:rPr>
                <w:sz w:val="18"/>
                <w:szCs w:val="18"/>
              </w:rPr>
              <w:t>Omite tipos de riesgo.</w:t>
            </w:r>
          </w:p>
        </w:tc>
        <w:tc>
          <w:tcPr>
            <w:tcW w:w="1872" w:type="dxa"/>
            <w:shd w:val="clear" w:color="auto" w:fill="D9E2F3"/>
            <w:vAlign w:val="center"/>
          </w:tcPr>
          <w:p w14:paraId="60CA262E" w14:textId="77777777" w:rsidR="00990B14" w:rsidRDefault="00000000">
            <w:pPr>
              <w:spacing w:before="20" w:after="20"/>
              <w:jc w:val="both"/>
            </w:pPr>
            <w:r>
              <w:rPr>
                <w:sz w:val="18"/>
                <w:szCs w:val="18"/>
              </w:rPr>
              <w:t>Evalúa los riesgos de crédito, liquidez, mercado y operativo.</w:t>
            </w:r>
          </w:p>
        </w:tc>
        <w:tc>
          <w:tcPr>
            <w:tcW w:w="1911" w:type="dxa"/>
            <w:shd w:val="clear" w:color="auto" w:fill="D9E2F3"/>
            <w:vAlign w:val="center"/>
          </w:tcPr>
          <w:p w14:paraId="46279C49" w14:textId="77777777" w:rsidR="00990B14" w:rsidRDefault="00000000">
            <w:pPr>
              <w:spacing w:before="20" w:after="20"/>
              <w:jc w:val="both"/>
            </w:pPr>
            <w:r>
              <w:rPr>
                <w:sz w:val="18"/>
                <w:szCs w:val="18"/>
              </w:rPr>
              <w:t>Relaciona los riesgos con el apetito de la entidad.</w:t>
            </w:r>
          </w:p>
        </w:tc>
      </w:tr>
      <w:tr w:rsidR="00990B14" w14:paraId="448AE932" w14:textId="77777777">
        <w:trPr>
          <w:cantSplit/>
          <w:jc w:val="center"/>
        </w:trPr>
        <w:tc>
          <w:tcPr>
            <w:tcW w:w="1878" w:type="dxa"/>
            <w:vMerge/>
            <w:shd w:val="clear" w:color="auto" w:fill="4472C4"/>
            <w:vAlign w:val="center"/>
          </w:tcPr>
          <w:p w14:paraId="319BDD9F" w14:textId="77777777" w:rsidR="00990B14" w:rsidRDefault="00990B14">
            <w:pPr>
              <w:spacing w:before="20" w:after="20"/>
            </w:pPr>
          </w:p>
        </w:tc>
        <w:tc>
          <w:tcPr>
            <w:tcW w:w="1872" w:type="dxa"/>
            <w:shd w:val="clear" w:color="auto" w:fill="D9E2F3"/>
            <w:vAlign w:val="center"/>
          </w:tcPr>
          <w:p w14:paraId="4391ED03" w14:textId="77777777" w:rsidR="00990B14" w:rsidRDefault="00000000">
            <w:pPr>
              <w:spacing w:before="20" w:after="20"/>
              <w:jc w:val="both"/>
            </w:pPr>
            <w:r>
              <w:rPr>
                <w:sz w:val="18"/>
                <w:szCs w:val="18"/>
              </w:rPr>
              <w:t>Control interno</w:t>
            </w:r>
          </w:p>
        </w:tc>
        <w:tc>
          <w:tcPr>
            <w:tcW w:w="1872" w:type="dxa"/>
            <w:shd w:val="clear" w:color="auto" w:fill="D9E2F3"/>
            <w:vAlign w:val="center"/>
          </w:tcPr>
          <w:p w14:paraId="503E542C" w14:textId="77777777" w:rsidR="00990B14" w:rsidRDefault="00000000">
            <w:pPr>
              <w:spacing w:before="20" w:after="20"/>
              <w:jc w:val="both"/>
            </w:pPr>
            <w:r>
              <w:rPr>
                <w:sz w:val="18"/>
                <w:szCs w:val="18"/>
              </w:rPr>
              <w:t>No evalúa los controles.</w:t>
            </w:r>
          </w:p>
        </w:tc>
        <w:tc>
          <w:tcPr>
            <w:tcW w:w="1872" w:type="dxa"/>
            <w:shd w:val="clear" w:color="auto" w:fill="D9E2F3"/>
            <w:vAlign w:val="center"/>
          </w:tcPr>
          <w:p w14:paraId="022FEBC9" w14:textId="77777777" w:rsidR="00990B14" w:rsidRDefault="00000000">
            <w:pPr>
              <w:spacing w:before="20" w:after="20"/>
              <w:jc w:val="both"/>
            </w:pPr>
            <w:r>
              <w:rPr>
                <w:sz w:val="18"/>
                <w:szCs w:val="18"/>
              </w:rPr>
              <w:t>Evalúa el diseño y el funcionamiento de los controles.</w:t>
            </w:r>
          </w:p>
        </w:tc>
        <w:tc>
          <w:tcPr>
            <w:tcW w:w="1911" w:type="dxa"/>
            <w:shd w:val="clear" w:color="auto" w:fill="D9E2F3"/>
            <w:vAlign w:val="center"/>
          </w:tcPr>
          <w:p w14:paraId="037542A8" w14:textId="77777777" w:rsidR="00990B14" w:rsidRDefault="00000000">
            <w:pPr>
              <w:spacing w:before="20" w:after="20"/>
              <w:jc w:val="both"/>
            </w:pPr>
            <w:r>
              <w:rPr>
                <w:sz w:val="18"/>
                <w:szCs w:val="18"/>
              </w:rPr>
              <w:t>Propone mejoras a los controles.</w:t>
            </w:r>
          </w:p>
        </w:tc>
      </w:tr>
      <w:tr w:rsidR="00990B14" w14:paraId="0F72405E" w14:textId="77777777">
        <w:trPr>
          <w:cantSplit/>
          <w:jc w:val="center"/>
        </w:trPr>
        <w:tc>
          <w:tcPr>
            <w:tcW w:w="1878" w:type="dxa"/>
            <w:vMerge/>
            <w:shd w:val="clear" w:color="auto" w:fill="4472C4"/>
            <w:vAlign w:val="center"/>
          </w:tcPr>
          <w:p w14:paraId="2020FC8C" w14:textId="77777777" w:rsidR="00990B14" w:rsidRDefault="00990B14">
            <w:pPr>
              <w:spacing w:before="20" w:after="20"/>
            </w:pPr>
          </w:p>
        </w:tc>
        <w:tc>
          <w:tcPr>
            <w:tcW w:w="1872" w:type="dxa"/>
            <w:shd w:val="clear" w:color="auto" w:fill="D9E2F3"/>
            <w:vAlign w:val="center"/>
          </w:tcPr>
          <w:p w14:paraId="2C8545CD" w14:textId="77777777" w:rsidR="00990B14" w:rsidRDefault="00000000">
            <w:pPr>
              <w:spacing w:before="20" w:after="20"/>
              <w:jc w:val="both"/>
            </w:pPr>
            <w:r>
              <w:rPr>
                <w:sz w:val="18"/>
                <w:szCs w:val="18"/>
              </w:rPr>
              <w:t>Trabajo en equipo</w:t>
            </w:r>
          </w:p>
        </w:tc>
        <w:tc>
          <w:tcPr>
            <w:tcW w:w="1872" w:type="dxa"/>
            <w:shd w:val="clear" w:color="auto" w:fill="D9E2F3"/>
            <w:vAlign w:val="center"/>
          </w:tcPr>
          <w:p w14:paraId="0FD39321" w14:textId="77777777" w:rsidR="00990B14" w:rsidRDefault="00000000">
            <w:pPr>
              <w:spacing w:before="20" w:after="20"/>
              <w:jc w:val="both"/>
            </w:pPr>
            <w:r>
              <w:rPr>
                <w:sz w:val="18"/>
                <w:szCs w:val="18"/>
              </w:rPr>
              <w:t>La participación de los integrantes es desigual.</w:t>
            </w:r>
          </w:p>
        </w:tc>
        <w:tc>
          <w:tcPr>
            <w:tcW w:w="1872" w:type="dxa"/>
            <w:shd w:val="clear" w:color="auto" w:fill="D9E2F3"/>
            <w:vAlign w:val="center"/>
          </w:tcPr>
          <w:p w14:paraId="42C021AB" w14:textId="77777777" w:rsidR="00990B14" w:rsidRDefault="00000000">
            <w:pPr>
              <w:spacing w:before="20" w:after="20"/>
              <w:jc w:val="both"/>
            </w:pPr>
            <w:r>
              <w:rPr>
                <w:sz w:val="18"/>
                <w:szCs w:val="18"/>
              </w:rPr>
              <w:t>Todos los integrantes participan en el trabajo.</w:t>
            </w:r>
          </w:p>
        </w:tc>
        <w:tc>
          <w:tcPr>
            <w:tcW w:w="1911" w:type="dxa"/>
            <w:shd w:val="clear" w:color="auto" w:fill="D9E2F3"/>
            <w:vAlign w:val="center"/>
          </w:tcPr>
          <w:p w14:paraId="5FD87E4D" w14:textId="77777777" w:rsidR="00990B14" w:rsidRDefault="00000000">
            <w:pPr>
              <w:spacing w:before="20" w:after="20"/>
              <w:jc w:val="both"/>
            </w:pPr>
            <w:r>
              <w:rPr>
                <w:sz w:val="18"/>
                <w:szCs w:val="18"/>
              </w:rPr>
              <w:t>El equipo sustenta sus decisiones con fundamento.</w:t>
            </w:r>
          </w:p>
        </w:tc>
      </w:tr>
      <w:tr w:rsidR="00990B14" w14:paraId="18785B95" w14:textId="77777777">
        <w:trPr>
          <w:cantSplit/>
          <w:jc w:val="center"/>
        </w:trPr>
        <w:tc>
          <w:tcPr>
            <w:tcW w:w="1878" w:type="dxa"/>
            <w:vMerge/>
            <w:shd w:val="clear" w:color="auto" w:fill="4472C4"/>
            <w:vAlign w:val="center"/>
          </w:tcPr>
          <w:p w14:paraId="2D1C1B4F" w14:textId="77777777" w:rsidR="00990B14" w:rsidRDefault="00990B14">
            <w:pPr>
              <w:spacing w:before="20" w:after="20"/>
            </w:pPr>
          </w:p>
        </w:tc>
        <w:tc>
          <w:tcPr>
            <w:tcW w:w="5616" w:type="dxa"/>
            <w:gridSpan w:val="3"/>
            <w:shd w:val="clear" w:color="auto" w:fill="D9E2F3"/>
            <w:vAlign w:val="center"/>
          </w:tcPr>
          <w:p w14:paraId="2A507247" w14:textId="77777777" w:rsidR="00990B14" w:rsidRDefault="00000000">
            <w:pPr>
              <w:keepNext/>
              <w:spacing w:before="20" w:after="20"/>
              <w:jc w:val="both"/>
            </w:pPr>
            <w:r>
              <w:rPr>
                <w:b/>
                <w:bCs/>
                <w:i/>
                <w:iCs/>
                <w:sz w:val="18"/>
                <w:szCs w:val="18"/>
              </w:rPr>
              <w:t xml:space="preserve">Producto 19: </w:t>
            </w:r>
            <w:r>
              <w:rPr>
                <w:sz w:val="18"/>
                <w:szCs w:val="18"/>
              </w:rPr>
              <w:t>Informe de procedimientos acordados para un financiador</w:t>
            </w:r>
          </w:p>
        </w:tc>
        <w:tc>
          <w:tcPr>
            <w:tcW w:w="1911" w:type="dxa"/>
            <w:shd w:val="clear" w:color="auto" w:fill="D9E2F3"/>
            <w:vAlign w:val="center"/>
          </w:tcPr>
          <w:p w14:paraId="6B3CD9B1" w14:textId="77777777" w:rsidR="00990B14" w:rsidRDefault="00000000">
            <w:pPr>
              <w:spacing w:before="20" w:after="20"/>
              <w:jc w:val="center"/>
            </w:pPr>
            <w:r>
              <w:rPr>
                <w:b/>
                <w:bCs/>
                <w:sz w:val="18"/>
                <w:szCs w:val="18"/>
              </w:rPr>
              <w:t>5%</w:t>
            </w:r>
          </w:p>
        </w:tc>
      </w:tr>
      <w:tr w:rsidR="00990B14" w14:paraId="2B068800" w14:textId="77777777">
        <w:trPr>
          <w:cantSplit/>
          <w:jc w:val="center"/>
        </w:trPr>
        <w:tc>
          <w:tcPr>
            <w:tcW w:w="1878" w:type="dxa"/>
            <w:vMerge/>
            <w:shd w:val="clear" w:color="auto" w:fill="4472C4"/>
            <w:vAlign w:val="center"/>
          </w:tcPr>
          <w:p w14:paraId="5C5E1568" w14:textId="77777777" w:rsidR="00990B14" w:rsidRDefault="00990B14">
            <w:pPr>
              <w:spacing w:before="20" w:after="20"/>
            </w:pPr>
          </w:p>
        </w:tc>
        <w:tc>
          <w:tcPr>
            <w:tcW w:w="1872" w:type="dxa"/>
            <w:shd w:val="clear" w:color="auto" w:fill="4472C4"/>
            <w:vAlign w:val="center"/>
          </w:tcPr>
          <w:p w14:paraId="20680C0D" w14:textId="77777777" w:rsidR="00990B14" w:rsidRDefault="00000000">
            <w:pPr>
              <w:keepNext/>
              <w:spacing w:before="20" w:after="20"/>
              <w:jc w:val="center"/>
            </w:pPr>
            <w:r>
              <w:rPr>
                <w:b/>
                <w:bCs/>
                <w:i/>
                <w:iCs/>
                <w:color w:val="FFFFFF"/>
                <w:sz w:val="18"/>
                <w:szCs w:val="18"/>
              </w:rPr>
              <w:t>Criterio</w:t>
            </w:r>
          </w:p>
        </w:tc>
        <w:tc>
          <w:tcPr>
            <w:tcW w:w="1872" w:type="dxa"/>
            <w:shd w:val="clear" w:color="auto" w:fill="4472C4"/>
            <w:vAlign w:val="center"/>
          </w:tcPr>
          <w:p w14:paraId="52A31D52" w14:textId="77777777" w:rsidR="00990B14" w:rsidRDefault="00000000">
            <w:pPr>
              <w:keepNext/>
              <w:spacing w:before="20" w:after="20"/>
              <w:jc w:val="center"/>
            </w:pPr>
            <w:r>
              <w:rPr>
                <w:b/>
                <w:bCs/>
                <w:i/>
                <w:iCs/>
                <w:color w:val="FFFFFF"/>
                <w:sz w:val="18"/>
                <w:szCs w:val="18"/>
              </w:rPr>
              <w:t>Insuficiente (1–50)</w:t>
            </w:r>
          </w:p>
        </w:tc>
        <w:tc>
          <w:tcPr>
            <w:tcW w:w="1872" w:type="dxa"/>
            <w:shd w:val="clear" w:color="auto" w:fill="4472C4"/>
            <w:vAlign w:val="center"/>
          </w:tcPr>
          <w:p w14:paraId="56A8C162" w14:textId="77777777" w:rsidR="00990B14" w:rsidRDefault="00000000">
            <w:pPr>
              <w:keepNext/>
              <w:spacing w:before="20" w:after="20"/>
              <w:jc w:val="center"/>
            </w:pPr>
            <w:r>
              <w:rPr>
                <w:b/>
                <w:bCs/>
                <w:i/>
                <w:iCs/>
                <w:color w:val="FFFFFF"/>
                <w:sz w:val="18"/>
                <w:szCs w:val="18"/>
              </w:rPr>
              <w:t>Suficiente (51–80)</w:t>
            </w:r>
          </w:p>
        </w:tc>
        <w:tc>
          <w:tcPr>
            <w:tcW w:w="1911" w:type="dxa"/>
            <w:shd w:val="clear" w:color="auto" w:fill="4472C4"/>
            <w:vAlign w:val="center"/>
          </w:tcPr>
          <w:p w14:paraId="230FAA57" w14:textId="77777777" w:rsidR="00990B14" w:rsidRDefault="00000000">
            <w:pPr>
              <w:keepNext/>
              <w:spacing w:before="20" w:after="20"/>
              <w:jc w:val="center"/>
            </w:pPr>
            <w:r>
              <w:rPr>
                <w:b/>
                <w:bCs/>
                <w:i/>
                <w:iCs/>
                <w:color w:val="FFFFFF"/>
                <w:sz w:val="18"/>
                <w:szCs w:val="18"/>
              </w:rPr>
              <w:t>Destacado (81–100)</w:t>
            </w:r>
          </w:p>
        </w:tc>
      </w:tr>
      <w:tr w:rsidR="00990B14" w14:paraId="1F44D3AE" w14:textId="77777777">
        <w:trPr>
          <w:cantSplit/>
          <w:jc w:val="center"/>
        </w:trPr>
        <w:tc>
          <w:tcPr>
            <w:tcW w:w="1878" w:type="dxa"/>
            <w:vMerge/>
            <w:shd w:val="clear" w:color="auto" w:fill="4472C4"/>
            <w:vAlign w:val="center"/>
          </w:tcPr>
          <w:p w14:paraId="349C2AE9" w14:textId="77777777" w:rsidR="00990B14" w:rsidRDefault="00990B14">
            <w:pPr>
              <w:spacing w:before="20" w:after="20"/>
            </w:pPr>
          </w:p>
        </w:tc>
        <w:tc>
          <w:tcPr>
            <w:tcW w:w="1872" w:type="dxa"/>
            <w:shd w:val="clear" w:color="auto" w:fill="D9E2F3"/>
            <w:vAlign w:val="center"/>
          </w:tcPr>
          <w:p w14:paraId="66270E59" w14:textId="77777777" w:rsidR="00990B14" w:rsidRDefault="00000000">
            <w:pPr>
              <w:spacing w:before="20" w:after="20"/>
              <w:jc w:val="both"/>
            </w:pPr>
            <w:r>
              <w:rPr>
                <w:sz w:val="18"/>
                <w:szCs w:val="18"/>
              </w:rPr>
              <w:t>Procedimientos</w:t>
            </w:r>
          </w:p>
        </w:tc>
        <w:tc>
          <w:tcPr>
            <w:tcW w:w="1872" w:type="dxa"/>
            <w:shd w:val="clear" w:color="auto" w:fill="D9E2F3"/>
            <w:vAlign w:val="center"/>
          </w:tcPr>
          <w:p w14:paraId="035E6725" w14:textId="77777777" w:rsidR="00990B14" w:rsidRDefault="00000000">
            <w:pPr>
              <w:spacing w:before="20" w:after="20"/>
              <w:jc w:val="both"/>
            </w:pPr>
            <w:r>
              <w:rPr>
                <w:sz w:val="18"/>
                <w:szCs w:val="18"/>
              </w:rPr>
              <w:t>Aplica procedimientos distintos a los acordados.</w:t>
            </w:r>
          </w:p>
        </w:tc>
        <w:tc>
          <w:tcPr>
            <w:tcW w:w="1872" w:type="dxa"/>
            <w:shd w:val="clear" w:color="auto" w:fill="D9E2F3"/>
            <w:vAlign w:val="center"/>
          </w:tcPr>
          <w:p w14:paraId="57A79EC0" w14:textId="77777777" w:rsidR="00990B14" w:rsidRDefault="00000000">
            <w:pPr>
              <w:spacing w:before="20" w:after="20"/>
              <w:jc w:val="both"/>
            </w:pPr>
            <w:r>
              <w:rPr>
                <w:sz w:val="18"/>
                <w:szCs w:val="18"/>
              </w:rPr>
              <w:t>Aplica los procedimientos acordados.</w:t>
            </w:r>
          </w:p>
        </w:tc>
        <w:tc>
          <w:tcPr>
            <w:tcW w:w="1911" w:type="dxa"/>
            <w:shd w:val="clear" w:color="auto" w:fill="D9E2F3"/>
            <w:vAlign w:val="center"/>
          </w:tcPr>
          <w:p w14:paraId="54822150" w14:textId="77777777" w:rsidR="00990B14" w:rsidRDefault="00000000">
            <w:pPr>
              <w:spacing w:before="20" w:after="20"/>
              <w:jc w:val="both"/>
            </w:pPr>
            <w:r>
              <w:rPr>
                <w:sz w:val="18"/>
                <w:szCs w:val="18"/>
              </w:rPr>
              <w:t>Usa análisis de datos sobre la totalidad de la cartera.</w:t>
            </w:r>
          </w:p>
        </w:tc>
      </w:tr>
      <w:tr w:rsidR="00990B14" w14:paraId="5F7C2957" w14:textId="77777777">
        <w:trPr>
          <w:cantSplit/>
          <w:jc w:val="center"/>
        </w:trPr>
        <w:tc>
          <w:tcPr>
            <w:tcW w:w="1878" w:type="dxa"/>
            <w:vMerge/>
            <w:shd w:val="clear" w:color="auto" w:fill="4472C4"/>
            <w:vAlign w:val="center"/>
          </w:tcPr>
          <w:p w14:paraId="2E7976FB" w14:textId="77777777" w:rsidR="00990B14" w:rsidRDefault="00990B14">
            <w:pPr>
              <w:spacing w:before="20" w:after="20"/>
            </w:pPr>
          </w:p>
        </w:tc>
        <w:tc>
          <w:tcPr>
            <w:tcW w:w="1872" w:type="dxa"/>
            <w:shd w:val="clear" w:color="auto" w:fill="D9E2F3"/>
            <w:vAlign w:val="center"/>
          </w:tcPr>
          <w:p w14:paraId="04D63A94" w14:textId="77777777" w:rsidR="00990B14" w:rsidRDefault="00000000">
            <w:pPr>
              <w:spacing w:before="20" w:after="20"/>
              <w:jc w:val="both"/>
            </w:pPr>
            <w:r>
              <w:rPr>
                <w:sz w:val="18"/>
                <w:szCs w:val="18"/>
              </w:rPr>
              <w:t>Hallazgos</w:t>
            </w:r>
          </w:p>
        </w:tc>
        <w:tc>
          <w:tcPr>
            <w:tcW w:w="1872" w:type="dxa"/>
            <w:shd w:val="clear" w:color="auto" w:fill="D9E2F3"/>
            <w:vAlign w:val="center"/>
          </w:tcPr>
          <w:p w14:paraId="2991E681" w14:textId="77777777" w:rsidR="00990B14" w:rsidRDefault="00000000">
            <w:pPr>
              <w:spacing w:before="20" w:after="20"/>
              <w:jc w:val="both"/>
            </w:pPr>
            <w:r>
              <w:rPr>
                <w:sz w:val="18"/>
                <w:szCs w:val="18"/>
              </w:rPr>
              <w:t>Expresa opiniones en lugar de hechos.</w:t>
            </w:r>
          </w:p>
        </w:tc>
        <w:tc>
          <w:tcPr>
            <w:tcW w:w="1872" w:type="dxa"/>
            <w:shd w:val="clear" w:color="auto" w:fill="D9E2F3"/>
            <w:vAlign w:val="center"/>
          </w:tcPr>
          <w:p w14:paraId="5D44B92E" w14:textId="77777777" w:rsidR="00990B14" w:rsidRDefault="00000000">
            <w:pPr>
              <w:spacing w:before="20" w:after="20"/>
              <w:jc w:val="both"/>
            </w:pPr>
            <w:r>
              <w:rPr>
                <w:sz w:val="18"/>
                <w:szCs w:val="18"/>
              </w:rPr>
              <w:t>Redacta hallazgos factuales.</w:t>
            </w:r>
          </w:p>
        </w:tc>
        <w:tc>
          <w:tcPr>
            <w:tcW w:w="1911" w:type="dxa"/>
            <w:shd w:val="clear" w:color="auto" w:fill="D9E2F3"/>
            <w:vAlign w:val="center"/>
          </w:tcPr>
          <w:p w14:paraId="3080FD24" w14:textId="77777777" w:rsidR="00990B14" w:rsidRDefault="00000000">
            <w:pPr>
              <w:spacing w:before="20" w:after="20"/>
              <w:jc w:val="both"/>
            </w:pPr>
            <w:r>
              <w:rPr>
                <w:sz w:val="18"/>
                <w:szCs w:val="18"/>
              </w:rPr>
              <w:t>Cuantifica las excepciones.</w:t>
            </w:r>
          </w:p>
        </w:tc>
      </w:tr>
      <w:tr w:rsidR="00990B14" w14:paraId="03032122" w14:textId="77777777">
        <w:trPr>
          <w:cantSplit/>
          <w:jc w:val="center"/>
        </w:trPr>
        <w:tc>
          <w:tcPr>
            <w:tcW w:w="1878" w:type="dxa"/>
            <w:vMerge/>
            <w:shd w:val="clear" w:color="auto" w:fill="4472C4"/>
            <w:vAlign w:val="center"/>
          </w:tcPr>
          <w:p w14:paraId="394AD196" w14:textId="77777777" w:rsidR="00990B14" w:rsidRDefault="00990B14">
            <w:pPr>
              <w:spacing w:before="20" w:after="20"/>
            </w:pPr>
          </w:p>
        </w:tc>
        <w:tc>
          <w:tcPr>
            <w:tcW w:w="1872" w:type="dxa"/>
            <w:shd w:val="clear" w:color="auto" w:fill="D9E2F3"/>
            <w:vAlign w:val="center"/>
          </w:tcPr>
          <w:p w14:paraId="06573F50" w14:textId="77777777" w:rsidR="00990B14" w:rsidRDefault="00000000">
            <w:pPr>
              <w:spacing w:before="20" w:after="20"/>
              <w:jc w:val="both"/>
            </w:pPr>
            <w:r>
              <w:rPr>
                <w:sz w:val="18"/>
                <w:szCs w:val="18"/>
              </w:rPr>
              <w:t>Estructura</w:t>
            </w:r>
          </w:p>
        </w:tc>
        <w:tc>
          <w:tcPr>
            <w:tcW w:w="1872" w:type="dxa"/>
            <w:shd w:val="clear" w:color="auto" w:fill="D9E2F3"/>
            <w:vAlign w:val="center"/>
          </w:tcPr>
          <w:p w14:paraId="5C248F0B" w14:textId="77777777" w:rsidR="00990B14" w:rsidRDefault="00000000">
            <w:pPr>
              <w:spacing w:before="20" w:after="20"/>
              <w:jc w:val="both"/>
            </w:pPr>
            <w:r>
              <w:rPr>
                <w:sz w:val="18"/>
                <w:szCs w:val="18"/>
              </w:rPr>
              <w:t>Omite secciones.</w:t>
            </w:r>
          </w:p>
        </w:tc>
        <w:tc>
          <w:tcPr>
            <w:tcW w:w="1872" w:type="dxa"/>
            <w:shd w:val="clear" w:color="auto" w:fill="D9E2F3"/>
            <w:vAlign w:val="center"/>
          </w:tcPr>
          <w:p w14:paraId="01906E91" w14:textId="77777777" w:rsidR="00990B14" w:rsidRDefault="00000000">
            <w:pPr>
              <w:spacing w:before="20" w:after="20"/>
              <w:jc w:val="both"/>
            </w:pPr>
            <w:r>
              <w:rPr>
                <w:sz w:val="18"/>
                <w:szCs w:val="18"/>
              </w:rPr>
              <w:t>Sigue la estructura de la NISR 4400.</w:t>
            </w:r>
          </w:p>
        </w:tc>
        <w:tc>
          <w:tcPr>
            <w:tcW w:w="1911" w:type="dxa"/>
            <w:shd w:val="clear" w:color="auto" w:fill="D9E2F3"/>
            <w:vAlign w:val="center"/>
          </w:tcPr>
          <w:p w14:paraId="1CEE74CA" w14:textId="77777777" w:rsidR="00990B14" w:rsidRDefault="00000000">
            <w:pPr>
              <w:spacing w:before="20" w:after="20"/>
              <w:jc w:val="both"/>
            </w:pPr>
            <w:r>
              <w:rPr>
                <w:sz w:val="18"/>
                <w:szCs w:val="18"/>
              </w:rPr>
              <w:t>Restringe el uso del informe.</w:t>
            </w:r>
          </w:p>
        </w:tc>
      </w:tr>
      <w:tr w:rsidR="00990B14" w14:paraId="377FE5BA" w14:textId="77777777">
        <w:trPr>
          <w:cantSplit/>
          <w:jc w:val="center"/>
        </w:trPr>
        <w:tc>
          <w:tcPr>
            <w:tcW w:w="1878" w:type="dxa"/>
            <w:vMerge/>
            <w:shd w:val="clear" w:color="auto" w:fill="4472C4"/>
            <w:vAlign w:val="center"/>
          </w:tcPr>
          <w:p w14:paraId="2A1AD9BA" w14:textId="77777777" w:rsidR="00990B14" w:rsidRDefault="00990B14">
            <w:pPr>
              <w:spacing w:before="20" w:after="20"/>
            </w:pPr>
          </w:p>
        </w:tc>
        <w:tc>
          <w:tcPr>
            <w:tcW w:w="5616" w:type="dxa"/>
            <w:gridSpan w:val="3"/>
            <w:shd w:val="clear" w:color="auto" w:fill="D9E2F3"/>
            <w:vAlign w:val="center"/>
          </w:tcPr>
          <w:p w14:paraId="631F7186" w14:textId="77777777" w:rsidR="00990B14" w:rsidRDefault="00000000">
            <w:pPr>
              <w:keepNext/>
              <w:spacing w:before="20" w:after="20"/>
              <w:jc w:val="both"/>
            </w:pPr>
            <w:r>
              <w:rPr>
                <w:b/>
                <w:bCs/>
                <w:i/>
                <w:iCs/>
                <w:sz w:val="18"/>
                <w:szCs w:val="18"/>
              </w:rPr>
              <w:t xml:space="preserve">Producto 20: </w:t>
            </w:r>
            <w:r>
              <w:rPr>
                <w:sz w:val="18"/>
                <w:szCs w:val="18"/>
              </w:rPr>
              <w:t>Comunicación de deficiencias de control interno</w:t>
            </w:r>
          </w:p>
        </w:tc>
        <w:tc>
          <w:tcPr>
            <w:tcW w:w="1911" w:type="dxa"/>
            <w:shd w:val="clear" w:color="auto" w:fill="D9E2F3"/>
            <w:vAlign w:val="center"/>
          </w:tcPr>
          <w:p w14:paraId="48531CAD" w14:textId="77777777" w:rsidR="00990B14" w:rsidRDefault="00000000">
            <w:pPr>
              <w:spacing w:before="20" w:after="20"/>
              <w:jc w:val="center"/>
            </w:pPr>
            <w:r>
              <w:rPr>
                <w:b/>
                <w:bCs/>
                <w:sz w:val="18"/>
                <w:szCs w:val="18"/>
              </w:rPr>
              <w:t>5%</w:t>
            </w:r>
          </w:p>
        </w:tc>
      </w:tr>
      <w:tr w:rsidR="00990B14" w14:paraId="34F0A074" w14:textId="77777777">
        <w:trPr>
          <w:cantSplit/>
          <w:jc w:val="center"/>
        </w:trPr>
        <w:tc>
          <w:tcPr>
            <w:tcW w:w="1878" w:type="dxa"/>
            <w:vMerge/>
            <w:shd w:val="clear" w:color="auto" w:fill="4472C4"/>
            <w:vAlign w:val="center"/>
          </w:tcPr>
          <w:p w14:paraId="409CD1FC" w14:textId="77777777" w:rsidR="00990B14" w:rsidRDefault="00990B14">
            <w:pPr>
              <w:spacing w:before="20" w:after="20"/>
            </w:pPr>
          </w:p>
        </w:tc>
        <w:tc>
          <w:tcPr>
            <w:tcW w:w="1872" w:type="dxa"/>
            <w:shd w:val="clear" w:color="auto" w:fill="4472C4"/>
            <w:vAlign w:val="center"/>
          </w:tcPr>
          <w:p w14:paraId="5B3079FA" w14:textId="77777777" w:rsidR="00990B14" w:rsidRDefault="00000000">
            <w:pPr>
              <w:keepNext/>
              <w:spacing w:before="20" w:after="20"/>
              <w:jc w:val="center"/>
            </w:pPr>
            <w:r>
              <w:rPr>
                <w:b/>
                <w:bCs/>
                <w:i/>
                <w:iCs/>
                <w:color w:val="FFFFFF"/>
                <w:sz w:val="18"/>
                <w:szCs w:val="18"/>
              </w:rPr>
              <w:t>Criterio</w:t>
            </w:r>
          </w:p>
        </w:tc>
        <w:tc>
          <w:tcPr>
            <w:tcW w:w="1872" w:type="dxa"/>
            <w:shd w:val="clear" w:color="auto" w:fill="4472C4"/>
            <w:vAlign w:val="center"/>
          </w:tcPr>
          <w:p w14:paraId="6DC445F5" w14:textId="77777777" w:rsidR="00990B14" w:rsidRDefault="00000000">
            <w:pPr>
              <w:keepNext/>
              <w:spacing w:before="20" w:after="20"/>
              <w:jc w:val="center"/>
            </w:pPr>
            <w:r>
              <w:rPr>
                <w:b/>
                <w:bCs/>
                <w:i/>
                <w:iCs/>
                <w:color w:val="FFFFFF"/>
                <w:sz w:val="18"/>
                <w:szCs w:val="18"/>
              </w:rPr>
              <w:t>Insuficiente (1–50)</w:t>
            </w:r>
          </w:p>
        </w:tc>
        <w:tc>
          <w:tcPr>
            <w:tcW w:w="1872" w:type="dxa"/>
            <w:shd w:val="clear" w:color="auto" w:fill="4472C4"/>
            <w:vAlign w:val="center"/>
          </w:tcPr>
          <w:p w14:paraId="1DBCB58D" w14:textId="77777777" w:rsidR="00990B14" w:rsidRDefault="00000000">
            <w:pPr>
              <w:keepNext/>
              <w:spacing w:before="20" w:after="20"/>
              <w:jc w:val="center"/>
            </w:pPr>
            <w:r>
              <w:rPr>
                <w:b/>
                <w:bCs/>
                <w:i/>
                <w:iCs/>
                <w:color w:val="FFFFFF"/>
                <w:sz w:val="18"/>
                <w:szCs w:val="18"/>
              </w:rPr>
              <w:t>Suficiente (51–80)</w:t>
            </w:r>
          </w:p>
        </w:tc>
        <w:tc>
          <w:tcPr>
            <w:tcW w:w="1911" w:type="dxa"/>
            <w:shd w:val="clear" w:color="auto" w:fill="4472C4"/>
            <w:vAlign w:val="center"/>
          </w:tcPr>
          <w:p w14:paraId="6B8DAB47" w14:textId="77777777" w:rsidR="00990B14" w:rsidRDefault="00000000">
            <w:pPr>
              <w:keepNext/>
              <w:spacing w:before="20" w:after="20"/>
              <w:jc w:val="center"/>
            </w:pPr>
            <w:r>
              <w:rPr>
                <w:b/>
                <w:bCs/>
                <w:i/>
                <w:iCs/>
                <w:color w:val="FFFFFF"/>
                <w:sz w:val="18"/>
                <w:szCs w:val="18"/>
              </w:rPr>
              <w:t>Destacado (81–100)</w:t>
            </w:r>
          </w:p>
        </w:tc>
      </w:tr>
      <w:tr w:rsidR="00990B14" w14:paraId="64AEC1C1" w14:textId="77777777">
        <w:trPr>
          <w:cantSplit/>
          <w:jc w:val="center"/>
        </w:trPr>
        <w:tc>
          <w:tcPr>
            <w:tcW w:w="1878" w:type="dxa"/>
            <w:vMerge/>
            <w:shd w:val="clear" w:color="auto" w:fill="4472C4"/>
            <w:vAlign w:val="center"/>
          </w:tcPr>
          <w:p w14:paraId="0E485E15" w14:textId="77777777" w:rsidR="00990B14" w:rsidRDefault="00990B14">
            <w:pPr>
              <w:spacing w:before="20" w:after="20"/>
            </w:pPr>
          </w:p>
        </w:tc>
        <w:tc>
          <w:tcPr>
            <w:tcW w:w="1872" w:type="dxa"/>
            <w:shd w:val="clear" w:color="auto" w:fill="D9E2F3"/>
            <w:vAlign w:val="center"/>
          </w:tcPr>
          <w:p w14:paraId="094DFA3D" w14:textId="77777777" w:rsidR="00990B14" w:rsidRDefault="00000000">
            <w:pPr>
              <w:spacing w:before="20" w:after="20"/>
              <w:jc w:val="both"/>
            </w:pPr>
            <w:r>
              <w:rPr>
                <w:sz w:val="18"/>
                <w:szCs w:val="18"/>
              </w:rPr>
              <w:t>Deficiencias</w:t>
            </w:r>
          </w:p>
        </w:tc>
        <w:tc>
          <w:tcPr>
            <w:tcW w:w="1872" w:type="dxa"/>
            <w:shd w:val="clear" w:color="auto" w:fill="D9E2F3"/>
            <w:vAlign w:val="center"/>
          </w:tcPr>
          <w:p w14:paraId="0F85A8E4" w14:textId="77777777" w:rsidR="00990B14" w:rsidRDefault="00000000">
            <w:pPr>
              <w:spacing w:before="20" w:after="20"/>
              <w:jc w:val="both"/>
            </w:pPr>
            <w:r>
              <w:rPr>
                <w:sz w:val="18"/>
                <w:szCs w:val="18"/>
              </w:rPr>
              <w:t>Omite deficiencias significativas.</w:t>
            </w:r>
          </w:p>
        </w:tc>
        <w:tc>
          <w:tcPr>
            <w:tcW w:w="1872" w:type="dxa"/>
            <w:shd w:val="clear" w:color="auto" w:fill="D9E2F3"/>
            <w:vAlign w:val="center"/>
          </w:tcPr>
          <w:p w14:paraId="15ACE52F" w14:textId="77777777" w:rsidR="00990B14" w:rsidRDefault="00000000">
            <w:pPr>
              <w:spacing w:before="20" w:after="20"/>
              <w:jc w:val="both"/>
            </w:pPr>
            <w:r>
              <w:rPr>
                <w:sz w:val="18"/>
                <w:szCs w:val="18"/>
              </w:rPr>
              <w:t>Describe cada deficiencia y su efecto.</w:t>
            </w:r>
          </w:p>
        </w:tc>
        <w:tc>
          <w:tcPr>
            <w:tcW w:w="1911" w:type="dxa"/>
            <w:shd w:val="clear" w:color="auto" w:fill="D9E2F3"/>
            <w:vAlign w:val="center"/>
          </w:tcPr>
          <w:p w14:paraId="24E0F1F3" w14:textId="77777777" w:rsidR="00990B14" w:rsidRDefault="00000000">
            <w:pPr>
              <w:spacing w:before="20" w:after="20"/>
              <w:jc w:val="both"/>
            </w:pPr>
            <w:r>
              <w:rPr>
                <w:sz w:val="18"/>
                <w:szCs w:val="18"/>
              </w:rPr>
              <w:t>Clasifica las deficiencias según su gravedad.</w:t>
            </w:r>
          </w:p>
        </w:tc>
      </w:tr>
      <w:tr w:rsidR="00990B14" w14:paraId="07C5FFFB" w14:textId="77777777">
        <w:trPr>
          <w:cantSplit/>
          <w:jc w:val="center"/>
        </w:trPr>
        <w:tc>
          <w:tcPr>
            <w:tcW w:w="1878" w:type="dxa"/>
            <w:vMerge/>
            <w:shd w:val="clear" w:color="auto" w:fill="4472C4"/>
            <w:vAlign w:val="center"/>
          </w:tcPr>
          <w:p w14:paraId="1F4BF816" w14:textId="77777777" w:rsidR="00990B14" w:rsidRDefault="00990B14">
            <w:pPr>
              <w:spacing w:before="20" w:after="20"/>
            </w:pPr>
          </w:p>
        </w:tc>
        <w:tc>
          <w:tcPr>
            <w:tcW w:w="1872" w:type="dxa"/>
            <w:shd w:val="clear" w:color="auto" w:fill="D9E2F3"/>
            <w:vAlign w:val="center"/>
          </w:tcPr>
          <w:p w14:paraId="407917D8" w14:textId="77777777" w:rsidR="00990B14" w:rsidRDefault="00000000">
            <w:pPr>
              <w:spacing w:before="20" w:after="20"/>
              <w:jc w:val="both"/>
            </w:pPr>
            <w:r>
              <w:rPr>
                <w:sz w:val="18"/>
                <w:szCs w:val="18"/>
              </w:rPr>
              <w:t>Recomendaciones</w:t>
            </w:r>
          </w:p>
        </w:tc>
        <w:tc>
          <w:tcPr>
            <w:tcW w:w="1872" w:type="dxa"/>
            <w:shd w:val="clear" w:color="auto" w:fill="D9E2F3"/>
            <w:vAlign w:val="center"/>
          </w:tcPr>
          <w:p w14:paraId="009487A0" w14:textId="77777777" w:rsidR="00990B14" w:rsidRDefault="00000000">
            <w:pPr>
              <w:spacing w:before="20" w:after="20"/>
              <w:jc w:val="both"/>
            </w:pPr>
            <w:r>
              <w:rPr>
                <w:sz w:val="18"/>
                <w:szCs w:val="18"/>
              </w:rPr>
              <w:t>Las recomendaciones son vagas.</w:t>
            </w:r>
          </w:p>
        </w:tc>
        <w:tc>
          <w:tcPr>
            <w:tcW w:w="1872" w:type="dxa"/>
            <w:shd w:val="clear" w:color="auto" w:fill="D9E2F3"/>
            <w:vAlign w:val="center"/>
          </w:tcPr>
          <w:p w14:paraId="5D23A38B" w14:textId="77777777" w:rsidR="00990B14" w:rsidRDefault="00000000">
            <w:pPr>
              <w:spacing w:before="20" w:after="20"/>
              <w:jc w:val="both"/>
            </w:pPr>
            <w:r>
              <w:rPr>
                <w:sz w:val="18"/>
                <w:szCs w:val="18"/>
              </w:rPr>
              <w:t>Formula recomendaciones viables.</w:t>
            </w:r>
          </w:p>
        </w:tc>
        <w:tc>
          <w:tcPr>
            <w:tcW w:w="1911" w:type="dxa"/>
            <w:shd w:val="clear" w:color="auto" w:fill="D9E2F3"/>
            <w:vAlign w:val="center"/>
          </w:tcPr>
          <w:p w14:paraId="3B4601F6" w14:textId="77777777" w:rsidR="00990B14" w:rsidRDefault="00000000">
            <w:pPr>
              <w:spacing w:before="20" w:after="20"/>
              <w:jc w:val="both"/>
            </w:pPr>
            <w:r>
              <w:rPr>
                <w:sz w:val="18"/>
                <w:szCs w:val="18"/>
              </w:rPr>
              <w:t>Asigna responsables y plazos.</w:t>
            </w:r>
          </w:p>
        </w:tc>
      </w:tr>
      <w:tr w:rsidR="00990B14" w14:paraId="26C93B80" w14:textId="77777777">
        <w:trPr>
          <w:cantSplit/>
          <w:jc w:val="center"/>
        </w:trPr>
        <w:tc>
          <w:tcPr>
            <w:tcW w:w="1878" w:type="dxa"/>
            <w:vMerge/>
            <w:shd w:val="clear" w:color="auto" w:fill="4472C4"/>
            <w:vAlign w:val="center"/>
          </w:tcPr>
          <w:p w14:paraId="51F9E9D8" w14:textId="77777777" w:rsidR="00990B14" w:rsidRDefault="00990B14">
            <w:pPr>
              <w:spacing w:before="20" w:after="20"/>
            </w:pPr>
          </w:p>
        </w:tc>
        <w:tc>
          <w:tcPr>
            <w:tcW w:w="1872" w:type="dxa"/>
            <w:shd w:val="clear" w:color="auto" w:fill="D9E2F3"/>
            <w:vAlign w:val="center"/>
          </w:tcPr>
          <w:p w14:paraId="7B8CDD01" w14:textId="77777777" w:rsidR="00990B14" w:rsidRDefault="00000000">
            <w:pPr>
              <w:spacing w:before="20" w:after="20"/>
              <w:jc w:val="both"/>
            </w:pPr>
            <w:r>
              <w:rPr>
                <w:sz w:val="18"/>
                <w:szCs w:val="18"/>
              </w:rPr>
              <w:t>Exposición</w:t>
            </w:r>
          </w:p>
        </w:tc>
        <w:tc>
          <w:tcPr>
            <w:tcW w:w="1872" w:type="dxa"/>
            <w:shd w:val="clear" w:color="auto" w:fill="D9E2F3"/>
            <w:vAlign w:val="center"/>
          </w:tcPr>
          <w:p w14:paraId="660771E3" w14:textId="77777777" w:rsidR="00990B14" w:rsidRDefault="00000000">
            <w:pPr>
              <w:spacing w:before="20" w:after="20"/>
              <w:jc w:val="both"/>
            </w:pPr>
            <w:r>
              <w:rPr>
                <w:sz w:val="18"/>
                <w:szCs w:val="18"/>
              </w:rPr>
              <w:t>La exposición es confusa.</w:t>
            </w:r>
          </w:p>
        </w:tc>
        <w:tc>
          <w:tcPr>
            <w:tcW w:w="1872" w:type="dxa"/>
            <w:shd w:val="clear" w:color="auto" w:fill="D9E2F3"/>
            <w:vAlign w:val="center"/>
          </w:tcPr>
          <w:p w14:paraId="46A8FB7D" w14:textId="77777777" w:rsidR="00990B14" w:rsidRDefault="00000000">
            <w:pPr>
              <w:spacing w:before="20" w:after="20"/>
              <w:jc w:val="both"/>
            </w:pPr>
            <w:r>
              <w:rPr>
                <w:sz w:val="18"/>
                <w:szCs w:val="18"/>
              </w:rPr>
              <w:t>La exposición es clara.</w:t>
            </w:r>
          </w:p>
        </w:tc>
        <w:tc>
          <w:tcPr>
            <w:tcW w:w="1911" w:type="dxa"/>
            <w:shd w:val="clear" w:color="auto" w:fill="D9E2F3"/>
            <w:vAlign w:val="center"/>
          </w:tcPr>
          <w:p w14:paraId="5BC4C512" w14:textId="77777777" w:rsidR="00990B14" w:rsidRDefault="00000000">
            <w:pPr>
              <w:spacing w:before="20" w:after="20"/>
              <w:jc w:val="both"/>
            </w:pPr>
            <w:r>
              <w:rPr>
                <w:sz w:val="18"/>
                <w:szCs w:val="18"/>
              </w:rPr>
              <w:t>Responde con fundamento las preguntas del curso.</w:t>
            </w:r>
          </w:p>
        </w:tc>
      </w:tr>
      <w:tr w:rsidR="00990B14" w14:paraId="27D78802" w14:textId="77777777">
        <w:trPr>
          <w:cantSplit/>
          <w:jc w:val="center"/>
        </w:trPr>
        <w:tc>
          <w:tcPr>
            <w:tcW w:w="7494" w:type="dxa"/>
            <w:gridSpan w:val="4"/>
            <w:shd w:val="clear" w:color="auto" w:fill="4472C4"/>
            <w:vAlign w:val="center"/>
          </w:tcPr>
          <w:p w14:paraId="10FC6FED" w14:textId="77777777" w:rsidR="00990B14" w:rsidRDefault="00000000">
            <w:pPr>
              <w:keepNext/>
              <w:spacing w:before="20" w:after="20"/>
              <w:jc w:val="center"/>
            </w:pPr>
            <w:r>
              <w:rPr>
                <w:b/>
                <w:bCs/>
                <w:i/>
                <w:iCs/>
                <w:color w:val="FFFFFF"/>
                <w:sz w:val="18"/>
                <w:szCs w:val="18"/>
              </w:rPr>
              <w:t>TOTAL</w:t>
            </w:r>
          </w:p>
        </w:tc>
        <w:tc>
          <w:tcPr>
            <w:tcW w:w="1911" w:type="dxa"/>
            <w:shd w:val="clear" w:color="auto" w:fill="4472C4"/>
            <w:vAlign w:val="center"/>
          </w:tcPr>
          <w:p w14:paraId="3F5E8315" w14:textId="77777777" w:rsidR="00990B14" w:rsidRDefault="00000000">
            <w:pPr>
              <w:keepNext/>
              <w:spacing w:before="20" w:after="20"/>
              <w:jc w:val="center"/>
            </w:pPr>
            <w:r>
              <w:rPr>
                <w:b/>
                <w:bCs/>
                <w:i/>
                <w:iCs/>
                <w:color w:val="FFFFFF"/>
                <w:sz w:val="18"/>
                <w:szCs w:val="18"/>
              </w:rPr>
              <w:t>100%</w:t>
            </w:r>
          </w:p>
        </w:tc>
      </w:tr>
    </w:tbl>
    <w:p w14:paraId="1289843B"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9405"/>
      </w:tblGrid>
      <w:tr w:rsidR="00990B14" w14:paraId="290E9EBF" w14:textId="77777777">
        <w:trPr>
          <w:jc w:val="center"/>
        </w:trPr>
        <w:tc>
          <w:tcPr>
            <w:tcW w:w="9405" w:type="dxa"/>
            <w:shd w:val="clear" w:color="auto" w:fill="D9E2F3"/>
          </w:tcPr>
          <w:p w14:paraId="40A27432" w14:textId="77777777" w:rsidR="00990B14" w:rsidRDefault="00000000">
            <w:pPr>
              <w:spacing w:before="40" w:after="40"/>
              <w:jc w:val="both"/>
            </w:pPr>
            <w:r>
              <w:rPr>
                <w:b/>
                <w:bCs/>
                <w:i/>
                <w:iCs/>
                <w:sz w:val="18"/>
                <w:szCs w:val="18"/>
              </w:rPr>
              <w:t>Bibliografía básica:</w:t>
            </w:r>
          </w:p>
          <w:p w14:paraId="335074D0" w14:textId="77777777" w:rsidR="00990B14" w:rsidRDefault="00000000">
            <w:pPr>
              <w:numPr>
                <w:ilvl w:val="0"/>
                <w:numId w:val="140"/>
              </w:numPr>
              <w:spacing w:after="20"/>
              <w:jc w:val="both"/>
            </w:pPr>
            <w:r>
              <w:rPr>
                <w:sz w:val="18"/>
                <w:szCs w:val="18"/>
              </w:rPr>
              <w:t xml:space="preserve">Autoridad de Supervisión del Sistema Financiero, ASFI (s.f.). </w:t>
            </w:r>
            <w:r>
              <w:rPr>
                <w:i/>
                <w:iCs/>
                <w:sz w:val="18"/>
                <w:szCs w:val="18"/>
              </w:rPr>
              <w:t>Guías para la Gestión de Riesgos</w:t>
            </w:r>
            <w:r>
              <w:rPr>
                <w:sz w:val="18"/>
                <w:szCs w:val="18"/>
              </w:rPr>
              <w:t>. La Paz – Bolivia.</w:t>
            </w:r>
          </w:p>
          <w:p w14:paraId="309E1074" w14:textId="77777777" w:rsidR="00990B14" w:rsidRDefault="00000000">
            <w:pPr>
              <w:numPr>
                <w:ilvl w:val="0"/>
                <w:numId w:val="140"/>
              </w:numPr>
              <w:spacing w:after="20"/>
              <w:jc w:val="both"/>
            </w:pPr>
            <w:r>
              <w:rPr>
                <w:sz w:val="18"/>
                <w:szCs w:val="18"/>
              </w:rPr>
              <w:t xml:space="preserve">Autoridad de Supervisión del Sistema Financiero, ASFI (vigente). </w:t>
            </w:r>
            <w:r>
              <w:rPr>
                <w:i/>
                <w:iCs/>
                <w:sz w:val="18"/>
                <w:szCs w:val="18"/>
              </w:rPr>
              <w:t>Directrices Básicas para la Gestión del Riesgo Operativo</w:t>
            </w:r>
            <w:r>
              <w:rPr>
                <w:sz w:val="18"/>
                <w:szCs w:val="18"/>
              </w:rPr>
              <w:t>. Recopilación de Normas para Servicios Financieros. La Paz – Bolivia.</w:t>
            </w:r>
          </w:p>
          <w:p w14:paraId="3AE9F128" w14:textId="77777777" w:rsidR="00990B14" w:rsidRDefault="00000000">
            <w:pPr>
              <w:numPr>
                <w:ilvl w:val="0"/>
                <w:numId w:val="140"/>
              </w:numPr>
              <w:spacing w:after="20"/>
              <w:jc w:val="both"/>
            </w:pPr>
            <w:r>
              <w:rPr>
                <w:sz w:val="18"/>
                <w:szCs w:val="18"/>
              </w:rPr>
              <w:t xml:space="preserve">Autoridad de Supervisión del Sistema Financiero, ASFI (vigente). </w:t>
            </w:r>
            <w:r>
              <w:rPr>
                <w:i/>
                <w:iCs/>
                <w:sz w:val="18"/>
                <w:szCs w:val="18"/>
              </w:rPr>
              <w:t>Recopilación de Normas para Servicios Financieros y Manual de Cuentas para Entidades Financieras</w:t>
            </w:r>
            <w:r>
              <w:rPr>
                <w:sz w:val="18"/>
                <w:szCs w:val="18"/>
              </w:rPr>
              <w:t>. La Paz, Bolivia. Versiones consolidadas disponibles en la Gaceta Electrónica de Regulación Financiera.</w:t>
            </w:r>
          </w:p>
          <w:p w14:paraId="3BD55C28" w14:textId="77777777" w:rsidR="00990B14" w:rsidRDefault="00000000">
            <w:pPr>
              <w:numPr>
                <w:ilvl w:val="0"/>
                <w:numId w:val="140"/>
              </w:numPr>
              <w:spacing w:after="20"/>
              <w:jc w:val="both"/>
            </w:pPr>
            <w:r>
              <w:rPr>
                <w:sz w:val="18"/>
                <w:szCs w:val="18"/>
              </w:rPr>
              <w:t xml:space="preserve">Autoridad de Supervisión del Sistema Financiero, ASFI (vigente). </w:t>
            </w:r>
            <w:r>
              <w:rPr>
                <w:i/>
                <w:iCs/>
                <w:sz w:val="18"/>
                <w:szCs w:val="18"/>
              </w:rPr>
              <w:t>Reglamento de Gestión de Seguridad de la Información y directrices para la gestión del gobierno corporativo</w:t>
            </w:r>
            <w:r>
              <w:rPr>
                <w:sz w:val="18"/>
                <w:szCs w:val="18"/>
              </w:rPr>
              <w:t>. La Paz, Bolivia: ASFI.</w:t>
            </w:r>
          </w:p>
          <w:p w14:paraId="033D2F18" w14:textId="77777777" w:rsidR="00990B14" w:rsidRDefault="00000000">
            <w:pPr>
              <w:numPr>
                <w:ilvl w:val="0"/>
                <w:numId w:val="140"/>
              </w:numPr>
              <w:spacing w:after="20"/>
              <w:jc w:val="both"/>
            </w:pPr>
            <w:r>
              <w:rPr>
                <w:sz w:val="18"/>
                <w:szCs w:val="18"/>
              </w:rPr>
              <w:t xml:space="preserve">Autoridad de Supervisión del Sistema Financiero, ASFI (vigente). </w:t>
            </w:r>
            <w:r>
              <w:rPr>
                <w:i/>
                <w:iCs/>
                <w:sz w:val="18"/>
                <w:szCs w:val="18"/>
              </w:rPr>
              <w:t>Reglamento para la Realización del Trabajo de Auditoría Externa</w:t>
            </w:r>
            <w:r>
              <w:rPr>
                <w:sz w:val="18"/>
                <w:szCs w:val="18"/>
              </w:rPr>
              <w:t>. Recopilación de Normas para Servicios Financieros. La Paz, Bolivia: ASFI.</w:t>
            </w:r>
          </w:p>
          <w:p w14:paraId="5D4466E9" w14:textId="77777777" w:rsidR="00990B14" w:rsidRDefault="00000000">
            <w:pPr>
              <w:numPr>
                <w:ilvl w:val="0"/>
                <w:numId w:val="140"/>
              </w:numPr>
              <w:spacing w:after="20"/>
              <w:jc w:val="both"/>
            </w:pPr>
            <w:r>
              <w:rPr>
                <w:sz w:val="18"/>
                <w:szCs w:val="18"/>
              </w:rPr>
              <w:t xml:space="preserve">Banco Central de Bolivia, BCB (vigente). </w:t>
            </w:r>
            <w:r>
              <w:rPr>
                <w:i/>
                <w:iCs/>
                <w:sz w:val="18"/>
                <w:szCs w:val="18"/>
              </w:rPr>
              <w:t>Reglamentación de los instrumentos electrónicos de pago y del código QR interoperable</w:t>
            </w:r>
            <w:r>
              <w:rPr>
                <w:sz w:val="18"/>
                <w:szCs w:val="18"/>
              </w:rPr>
              <w:t>. La Paz, Bolivia: Banco Central de Bolivia.</w:t>
            </w:r>
          </w:p>
          <w:p w14:paraId="242CE585" w14:textId="77777777" w:rsidR="00990B14" w:rsidRDefault="00000000">
            <w:pPr>
              <w:numPr>
                <w:ilvl w:val="0"/>
                <w:numId w:val="140"/>
              </w:numPr>
              <w:spacing w:after="20"/>
              <w:jc w:val="both"/>
            </w:pPr>
            <w:r>
              <w:rPr>
                <w:sz w:val="18"/>
                <w:szCs w:val="18"/>
              </w:rPr>
              <w:t>Código de Comercio.</w:t>
            </w:r>
          </w:p>
          <w:p w14:paraId="696DE6DF" w14:textId="77777777" w:rsidR="00990B14" w:rsidRDefault="00000000">
            <w:pPr>
              <w:numPr>
                <w:ilvl w:val="0"/>
                <w:numId w:val="140"/>
              </w:numPr>
              <w:spacing w:after="20"/>
              <w:jc w:val="both"/>
            </w:pPr>
            <w:r>
              <w:rPr>
                <w:sz w:val="18"/>
                <w:szCs w:val="18"/>
              </w:rPr>
              <w:t>Código Tributario Boliviano.</w:t>
            </w:r>
          </w:p>
          <w:p w14:paraId="383EE4C2" w14:textId="77777777" w:rsidR="00990B14" w:rsidRDefault="00000000">
            <w:pPr>
              <w:numPr>
                <w:ilvl w:val="0"/>
                <w:numId w:val="140"/>
              </w:numPr>
              <w:spacing w:after="20"/>
              <w:jc w:val="both"/>
            </w:pPr>
            <w:r>
              <w:rPr>
                <w:sz w:val="18"/>
                <w:szCs w:val="18"/>
              </w:rPr>
              <w:t xml:space="preserve">Colegio de Auditores o Contadores Públicos de Bolivia, CAUB – Consejo Técnico Nacional de Auditoría y Contabilidad, CTNAC (2023). </w:t>
            </w:r>
            <w:r>
              <w:rPr>
                <w:i/>
                <w:iCs/>
                <w:sz w:val="18"/>
                <w:szCs w:val="18"/>
              </w:rPr>
              <w:t>Compendio de Normas de Contabilidad y Auditoría</w:t>
            </w:r>
            <w:r>
              <w:rPr>
                <w:sz w:val="18"/>
                <w:szCs w:val="18"/>
              </w:rPr>
              <w:t>. Santa Cruz – Bolivia.</w:t>
            </w:r>
          </w:p>
          <w:p w14:paraId="5FDAC7F5" w14:textId="77777777" w:rsidR="00990B14" w:rsidRDefault="00000000">
            <w:pPr>
              <w:numPr>
                <w:ilvl w:val="0"/>
                <w:numId w:val="140"/>
              </w:numPr>
              <w:spacing w:after="20"/>
              <w:jc w:val="both"/>
            </w:pPr>
            <w:r>
              <w:rPr>
                <w:sz w:val="18"/>
                <w:szCs w:val="18"/>
              </w:rPr>
              <w:t>Disposiciones tributarias aplicables: leyes, decretos supremos, resoluciones normativas de directorio y otras relacionadas.</w:t>
            </w:r>
          </w:p>
          <w:p w14:paraId="6735E7E8" w14:textId="77777777" w:rsidR="00990B14" w:rsidRDefault="00000000">
            <w:pPr>
              <w:numPr>
                <w:ilvl w:val="0"/>
                <w:numId w:val="140"/>
              </w:numPr>
              <w:spacing w:after="20"/>
              <w:jc w:val="both"/>
            </w:pPr>
            <w:r>
              <w:rPr>
                <w:sz w:val="18"/>
                <w:szCs w:val="18"/>
              </w:rPr>
              <w:t xml:space="preserve">Fundación IFRS – Consejo de Normas Internacionales de Contabilidad, IASB. </w:t>
            </w:r>
            <w:r>
              <w:rPr>
                <w:i/>
                <w:iCs/>
                <w:sz w:val="18"/>
                <w:szCs w:val="18"/>
              </w:rPr>
              <w:t>Normas de Contabilidad NIIF (Vigentes)</w:t>
            </w:r>
            <w:r>
              <w:rPr>
                <w:sz w:val="18"/>
                <w:szCs w:val="18"/>
              </w:rPr>
              <w:t>. Londres: IFRS Foundation.</w:t>
            </w:r>
          </w:p>
          <w:p w14:paraId="1A0E8A52" w14:textId="77777777" w:rsidR="00990B14" w:rsidRDefault="00000000">
            <w:pPr>
              <w:numPr>
                <w:ilvl w:val="0"/>
                <w:numId w:val="140"/>
              </w:numPr>
              <w:spacing w:after="20"/>
              <w:jc w:val="both"/>
            </w:pPr>
            <w:r w:rsidRPr="00BD34F7">
              <w:rPr>
                <w:sz w:val="18"/>
                <w:szCs w:val="18"/>
                <w:lang w:val="en-US"/>
              </w:rPr>
              <w:t xml:space="preserve">International Auditing and Assurance Standards Board, IAASB (vigente). </w:t>
            </w:r>
            <w:r w:rsidRPr="00BD34F7">
              <w:rPr>
                <w:i/>
                <w:iCs/>
                <w:sz w:val="18"/>
                <w:szCs w:val="18"/>
                <w:lang w:val="en-US"/>
              </w:rPr>
              <w:t>Handbook of International Quality Management, Auditing, Review, Sustainability and Other Assurance, and Related Services Pronouncements</w:t>
            </w:r>
            <w:r w:rsidRPr="00BD34F7">
              <w:rPr>
                <w:sz w:val="18"/>
                <w:szCs w:val="18"/>
                <w:lang w:val="en-US"/>
              </w:rPr>
              <w:t xml:space="preserve">. </w:t>
            </w:r>
            <w:r>
              <w:rPr>
                <w:sz w:val="18"/>
                <w:szCs w:val="18"/>
              </w:rPr>
              <w:t>Nueva York: International Federation of Accountants. Versión vigente en idioma inglés.</w:t>
            </w:r>
          </w:p>
          <w:p w14:paraId="3ADD39DD" w14:textId="77777777" w:rsidR="00990B14" w:rsidRDefault="00000000">
            <w:pPr>
              <w:numPr>
                <w:ilvl w:val="0"/>
                <w:numId w:val="140"/>
              </w:numPr>
              <w:spacing w:after="20"/>
              <w:jc w:val="both"/>
            </w:pPr>
            <w:r w:rsidRPr="00BD34F7">
              <w:rPr>
                <w:sz w:val="18"/>
                <w:szCs w:val="18"/>
                <w:lang w:val="en-US"/>
              </w:rPr>
              <w:t xml:space="preserve">International Auditing and Assurance Standards Board, IAASB. </w:t>
            </w:r>
            <w:r>
              <w:rPr>
                <w:i/>
                <w:iCs/>
                <w:sz w:val="18"/>
                <w:szCs w:val="18"/>
              </w:rPr>
              <w:t>Manual de Pronunciamientos Internacionales de Control de Calidad, Auditoría, Revisión, Otros Encargos de Aseguramiento y Servicios Relacionados</w:t>
            </w:r>
            <w:r>
              <w:rPr>
                <w:sz w:val="18"/>
                <w:szCs w:val="18"/>
              </w:rPr>
              <w:t xml:space="preserve"> (Versión vigente en idioma español).</w:t>
            </w:r>
          </w:p>
          <w:p w14:paraId="5401B777" w14:textId="77777777" w:rsidR="00990B14" w:rsidRDefault="00000000">
            <w:pPr>
              <w:numPr>
                <w:ilvl w:val="0"/>
                <w:numId w:val="140"/>
              </w:numPr>
              <w:spacing w:after="20"/>
              <w:jc w:val="both"/>
            </w:pPr>
            <w:r w:rsidRPr="00BD34F7">
              <w:rPr>
                <w:sz w:val="18"/>
                <w:szCs w:val="18"/>
                <w:lang w:val="en-US"/>
              </w:rPr>
              <w:t xml:space="preserve">International Organization for Standardization e International Electrotechnical Commission, ISO/IEC. </w:t>
            </w:r>
            <w:r w:rsidRPr="00BD34F7">
              <w:rPr>
                <w:i/>
                <w:iCs/>
                <w:sz w:val="18"/>
                <w:szCs w:val="18"/>
                <w:lang w:val="en-US"/>
              </w:rPr>
              <w:t>ISO/IEC 27001 Information security, cybersecurity and privacy protection — Information security management systems — Requirements</w:t>
            </w:r>
            <w:r w:rsidRPr="00BD34F7">
              <w:rPr>
                <w:sz w:val="18"/>
                <w:szCs w:val="18"/>
                <w:lang w:val="en-US"/>
              </w:rPr>
              <w:t xml:space="preserve">. </w:t>
            </w:r>
            <w:r>
              <w:rPr>
                <w:sz w:val="18"/>
                <w:szCs w:val="18"/>
              </w:rPr>
              <w:t>Ginebra: ISO.</w:t>
            </w:r>
          </w:p>
          <w:p w14:paraId="60E82473" w14:textId="77777777" w:rsidR="00990B14" w:rsidRDefault="00000000">
            <w:pPr>
              <w:numPr>
                <w:ilvl w:val="0"/>
                <w:numId w:val="140"/>
              </w:numPr>
              <w:spacing w:after="20"/>
              <w:jc w:val="both"/>
            </w:pPr>
            <w:r w:rsidRPr="00BD34F7">
              <w:rPr>
                <w:sz w:val="18"/>
                <w:szCs w:val="18"/>
                <w:lang w:val="en-US"/>
              </w:rPr>
              <w:t xml:space="preserve">ISACA (vigente). </w:t>
            </w:r>
            <w:r w:rsidRPr="00BD34F7">
              <w:rPr>
                <w:i/>
                <w:iCs/>
                <w:sz w:val="18"/>
                <w:szCs w:val="18"/>
                <w:lang w:val="en-US"/>
              </w:rPr>
              <w:t>ITAF: A Professional Practices Framework for IS Audit/Assurance</w:t>
            </w:r>
            <w:r w:rsidRPr="00BD34F7">
              <w:rPr>
                <w:sz w:val="18"/>
                <w:szCs w:val="18"/>
                <w:lang w:val="en-US"/>
              </w:rPr>
              <w:t xml:space="preserve">. </w:t>
            </w:r>
            <w:r>
              <w:rPr>
                <w:sz w:val="18"/>
                <w:szCs w:val="18"/>
              </w:rPr>
              <w:t>Schaumburg, IL – EE. UU.</w:t>
            </w:r>
          </w:p>
          <w:p w14:paraId="44CB2FE9" w14:textId="77777777" w:rsidR="00990B14" w:rsidRDefault="00000000">
            <w:pPr>
              <w:numPr>
                <w:ilvl w:val="0"/>
                <w:numId w:val="140"/>
              </w:numPr>
              <w:spacing w:after="20"/>
              <w:jc w:val="both"/>
            </w:pPr>
            <w:r w:rsidRPr="00BD34F7">
              <w:rPr>
                <w:sz w:val="18"/>
                <w:szCs w:val="18"/>
                <w:lang w:val="en-US"/>
              </w:rPr>
              <w:t xml:space="preserve">ISACA. </w:t>
            </w:r>
            <w:r w:rsidRPr="00BD34F7">
              <w:rPr>
                <w:i/>
                <w:iCs/>
                <w:sz w:val="18"/>
                <w:szCs w:val="18"/>
                <w:lang w:val="en-US"/>
              </w:rPr>
              <w:t>COBIT Framework: Introduction and Methodology</w:t>
            </w:r>
            <w:r w:rsidRPr="00BD34F7">
              <w:rPr>
                <w:sz w:val="18"/>
                <w:szCs w:val="18"/>
                <w:lang w:val="en-US"/>
              </w:rPr>
              <w:t xml:space="preserve"> y </w:t>
            </w:r>
            <w:r w:rsidRPr="00BD34F7">
              <w:rPr>
                <w:i/>
                <w:iCs/>
                <w:sz w:val="18"/>
                <w:szCs w:val="18"/>
                <w:lang w:val="en-US"/>
              </w:rPr>
              <w:t>COBIT Framework: Governance and Management Objectives</w:t>
            </w:r>
            <w:r w:rsidRPr="00BD34F7">
              <w:rPr>
                <w:sz w:val="18"/>
                <w:szCs w:val="18"/>
                <w:lang w:val="en-US"/>
              </w:rPr>
              <w:t xml:space="preserve">. </w:t>
            </w:r>
            <w:r>
              <w:rPr>
                <w:sz w:val="18"/>
                <w:szCs w:val="18"/>
              </w:rPr>
              <w:t>Schaumburg, Illinois, Estados Unidos: ISACA.</w:t>
            </w:r>
          </w:p>
          <w:p w14:paraId="41F9D935" w14:textId="77777777" w:rsidR="00990B14" w:rsidRDefault="00000000">
            <w:pPr>
              <w:numPr>
                <w:ilvl w:val="0"/>
                <w:numId w:val="140"/>
              </w:numPr>
              <w:spacing w:after="20"/>
              <w:jc w:val="both"/>
            </w:pPr>
            <w:r>
              <w:rPr>
                <w:sz w:val="18"/>
                <w:szCs w:val="18"/>
              </w:rPr>
              <w:t>Ley de Servicios Financieros N.º 393, de 21 de agosto de 2013.</w:t>
            </w:r>
          </w:p>
        </w:tc>
      </w:tr>
      <w:tr w:rsidR="00990B14" w14:paraId="478E3C2A" w14:textId="77777777">
        <w:trPr>
          <w:jc w:val="center"/>
        </w:trPr>
        <w:tc>
          <w:tcPr>
            <w:tcW w:w="9405" w:type="dxa"/>
            <w:shd w:val="clear" w:color="auto" w:fill="D9E2F3"/>
          </w:tcPr>
          <w:p w14:paraId="30ECCCB8" w14:textId="77777777" w:rsidR="00990B14" w:rsidRDefault="00000000">
            <w:pPr>
              <w:spacing w:before="40" w:after="40"/>
              <w:jc w:val="both"/>
            </w:pPr>
            <w:r>
              <w:rPr>
                <w:b/>
                <w:bCs/>
                <w:i/>
                <w:iCs/>
                <w:sz w:val="18"/>
                <w:szCs w:val="18"/>
              </w:rPr>
              <w:t>Bibliografía complementaria:</w:t>
            </w:r>
          </w:p>
          <w:p w14:paraId="077685B0" w14:textId="77777777" w:rsidR="00990B14" w:rsidRDefault="00000000">
            <w:pPr>
              <w:numPr>
                <w:ilvl w:val="0"/>
                <w:numId w:val="140"/>
              </w:numPr>
              <w:spacing w:after="20"/>
              <w:jc w:val="both"/>
            </w:pPr>
            <w:r>
              <w:rPr>
                <w:sz w:val="18"/>
                <w:szCs w:val="18"/>
              </w:rPr>
              <w:t xml:space="preserve">Arens, A. y Loebbecke, J. (2022). </w:t>
            </w:r>
            <w:r>
              <w:rPr>
                <w:i/>
                <w:iCs/>
                <w:sz w:val="18"/>
                <w:szCs w:val="18"/>
              </w:rPr>
              <w:t>Auditoría, un enfoque integral</w:t>
            </w:r>
            <w:r>
              <w:rPr>
                <w:sz w:val="18"/>
                <w:szCs w:val="18"/>
              </w:rPr>
              <w:t>. 6a ed. México: Prentice Hall Hispanoamericana.</w:t>
            </w:r>
          </w:p>
          <w:p w14:paraId="68F3786B" w14:textId="77777777" w:rsidR="00990B14" w:rsidRDefault="00000000">
            <w:pPr>
              <w:numPr>
                <w:ilvl w:val="0"/>
                <w:numId w:val="140"/>
              </w:numPr>
              <w:spacing w:after="20"/>
              <w:jc w:val="both"/>
            </w:pPr>
            <w:r>
              <w:rPr>
                <w:sz w:val="18"/>
                <w:szCs w:val="18"/>
              </w:rPr>
              <w:t>Autoridad de Supervisión del Sistema Financiero: https://www.asfi.gob.bo y Banco Central de Bolivia: https://www.bcb.gob.bo</w:t>
            </w:r>
          </w:p>
          <w:p w14:paraId="5F5F85A6" w14:textId="77777777" w:rsidR="00990B14" w:rsidRPr="00BD34F7" w:rsidRDefault="00000000">
            <w:pPr>
              <w:numPr>
                <w:ilvl w:val="0"/>
                <w:numId w:val="140"/>
              </w:numPr>
              <w:spacing w:after="20"/>
              <w:jc w:val="both"/>
              <w:rPr>
                <w:lang w:val="en-US"/>
              </w:rPr>
            </w:pPr>
            <w:r w:rsidRPr="00BD34F7">
              <w:rPr>
                <w:sz w:val="18"/>
                <w:szCs w:val="18"/>
                <w:lang w:val="en-US"/>
              </w:rPr>
              <w:t xml:space="preserve">Basel Committee on Banking Supervision, BCBS (2021). </w:t>
            </w:r>
            <w:r w:rsidRPr="00BD34F7">
              <w:rPr>
                <w:i/>
                <w:iCs/>
                <w:sz w:val="18"/>
                <w:szCs w:val="18"/>
                <w:lang w:val="en-US"/>
              </w:rPr>
              <w:t>Principles for Operational Resilience</w:t>
            </w:r>
            <w:r w:rsidRPr="00BD34F7">
              <w:rPr>
                <w:sz w:val="18"/>
                <w:szCs w:val="18"/>
                <w:lang w:val="en-US"/>
              </w:rPr>
              <w:t>. Basilea.</w:t>
            </w:r>
          </w:p>
          <w:p w14:paraId="6E9716E8" w14:textId="77777777" w:rsidR="00990B14" w:rsidRDefault="00000000">
            <w:pPr>
              <w:numPr>
                <w:ilvl w:val="0"/>
                <w:numId w:val="140"/>
              </w:numPr>
              <w:spacing w:after="20"/>
              <w:jc w:val="both"/>
            </w:pPr>
            <w:r w:rsidRPr="00BD34F7">
              <w:rPr>
                <w:sz w:val="18"/>
                <w:szCs w:val="18"/>
                <w:lang w:val="en-US"/>
              </w:rPr>
              <w:t xml:space="preserve">Basel Committee on Banking Supervision, BCBS (2021). </w:t>
            </w:r>
            <w:r w:rsidRPr="00BD34F7">
              <w:rPr>
                <w:i/>
                <w:iCs/>
                <w:sz w:val="18"/>
                <w:szCs w:val="18"/>
                <w:lang w:val="en-US"/>
              </w:rPr>
              <w:t>Revisions to the Principles for the Sound Management of Operational Risk</w:t>
            </w:r>
            <w:r w:rsidRPr="00BD34F7">
              <w:rPr>
                <w:sz w:val="18"/>
                <w:szCs w:val="18"/>
                <w:lang w:val="en-US"/>
              </w:rPr>
              <w:t xml:space="preserve">. </w:t>
            </w:r>
            <w:r>
              <w:rPr>
                <w:sz w:val="18"/>
                <w:szCs w:val="18"/>
              </w:rPr>
              <w:t>Basilea.</w:t>
            </w:r>
          </w:p>
          <w:p w14:paraId="3556A7CF" w14:textId="77777777" w:rsidR="00990B14" w:rsidRDefault="00000000">
            <w:pPr>
              <w:numPr>
                <w:ilvl w:val="0"/>
                <w:numId w:val="140"/>
              </w:numPr>
              <w:spacing w:after="20"/>
              <w:jc w:val="both"/>
            </w:pPr>
            <w:r>
              <w:rPr>
                <w:sz w:val="18"/>
                <w:szCs w:val="18"/>
              </w:rPr>
              <w:t xml:space="preserve">Benavides Gisbert, C. (2019). </w:t>
            </w:r>
            <w:r>
              <w:rPr>
                <w:i/>
                <w:iCs/>
                <w:sz w:val="18"/>
                <w:szCs w:val="18"/>
              </w:rPr>
              <w:t>Operativa y Contabilidad Bancaria</w:t>
            </w:r>
            <w:r>
              <w:rPr>
                <w:sz w:val="18"/>
                <w:szCs w:val="18"/>
              </w:rPr>
              <w:t>. La Paz – Bolivia.</w:t>
            </w:r>
          </w:p>
          <w:p w14:paraId="58708ED5" w14:textId="77777777" w:rsidR="00990B14" w:rsidRDefault="00000000">
            <w:pPr>
              <w:numPr>
                <w:ilvl w:val="0"/>
                <w:numId w:val="140"/>
              </w:numPr>
              <w:spacing w:after="20"/>
              <w:jc w:val="both"/>
            </w:pPr>
            <w:r>
              <w:rPr>
                <w:sz w:val="18"/>
                <w:szCs w:val="18"/>
              </w:rPr>
              <w:t xml:space="preserve">Mantilla, S. A. (2009). </w:t>
            </w:r>
            <w:r>
              <w:rPr>
                <w:i/>
                <w:iCs/>
                <w:sz w:val="18"/>
                <w:szCs w:val="18"/>
              </w:rPr>
              <w:t>Auditoría de Información Financiera</w:t>
            </w:r>
            <w:r>
              <w:rPr>
                <w:sz w:val="18"/>
                <w:szCs w:val="18"/>
              </w:rPr>
              <w:t>. 1a ed. Bogotá – Colombia: ECOE Ediciones.</w:t>
            </w:r>
          </w:p>
          <w:p w14:paraId="71246B06" w14:textId="77777777" w:rsidR="00990B14" w:rsidRDefault="00000000">
            <w:pPr>
              <w:numPr>
                <w:ilvl w:val="0"/>
                <w:numId w:val="140"/>
              </w:numPr>
              <w:spacing w:after="20"/>
              <w:jc w:val="both"/>
            </w:pPr>
            <w:r>
              <w:rPr>
                <w:sz w:val="18"/>
                <w:szCs w:val="18"/>
              </w:rPr>
              <w:t xml:space="preserve">Rocha Chavarría, J. (2022). </w:t>
            </w:r>
            <w:r>
              <w:rPr>
                <w:i/>
                <w:iCs/>
                <w:sz w:val="18"/>
                <w:szCs w:val="18"/>
              </w:rPr>
              <w:t>Auditoría de Estados Financieros</w:t>
            </w:r>
            <w:r>
              <w:rPr>
                <w:sz w:val="18"/>
                <w:szCs w:val="18"/>
              </w:rPr>
              <w:t>. La Paz – Bolivia.</w:t>
            </w:r>
          </w:p>
          <w:p w14:paraId="1D2AC9BB" w14:textId="77777777" w:rsidR="00990B14" w:rsidRDefault="00000000">
            <w:pPr>
              <w:numPr>
                <w:ilvl w:val="0"/>
                <w:numId w:val="140"/>
              </w:numPr>
              <w:spacing w:after="20"/>
              <w:jc w:val="both"/>
            </w:pPr>
            <w:r>
              <w:rPr>
                <w:sz w:val="18"/>
                <w:szCs w:val="18"/>
              </w:rPr>
              <w:t xml:space="preserve">Rocha Claros, J. (2021). </w:t>
            </w:r>
            <w:r>
              <w:rPr>
                <w:i/>
                <w:iCs/>
                <w:sz w:val="18"/>
                <w:szCs w:val="18"/>
              </w:rPr>
              <w:t>Auditoría Financiera</w:t>
            </w:r>
            <w:r>
              <w:rPr>
                <w:sz w:val="18"/>
                <w:szCs w:val="18"/>
              </w:rPr>
              <w:t>. La Paz – Bolivia.</w:t>
            </w:r>
          </w:p>
          <w:p w14:paraId="0D89CADA" w14:textId="77777777" w:rsidR="00990B14" w:rsidRDefault="00000000">
            <w:pPr>
              <w:numPr>
                <w:ilvl w:val="0"/>
                <w:numId w:val="140"/>
              </w:numPr>
              <w:spacing w:after="20"/>
              <w:jc w:val="both"/>
            </w:pPr>
            <w:r w:rsidRPr="00BD34F7">
              <w:rPr>
                <w:sz w:val="18"/>
                <w:szCs w:val="18"/>
                <w:lang w:val="en-US"/>
              </w:rPr>
              <w:t xml:space="preserve">The Institute of Internal Auditors, IIA. </w:t>
            </w:r>
            <w:r>
              <w:rPr>
                <w:i/>
                <w:iCs/>
                <w:sz w:val="18"/>
                <w:szCs w:val="18"/>
              </w:rPr>
              <w:t>Global Internal Audit Standards</w:t>
            </w:r>
            <w:r>
              <w:rPr>
                <w:sz w:val="18"/>
                <w:szCs w:val="18"/>
              </w:rPr>
              <w:t>.</w:t>
            </w:r>
          </w:p>
          <w:p w14:paraId="7A37BE58" w14:textId="77777777" w:rsidR="00990B14" w:rsidRDefault="00000000">
            <w:pPr>
              <w:numPr>
                <w:ilvl w:val="0"/>
                <w:numId w:val="140"/>
              </w:numPr>
              <w:spacing w:after="20"/>
              <w:jc w:val="both"/>
            </w:pPr>
            <w:r w:rsidRPr="00BD34F7">
              <w:rPr>
                <w:sz w:val="18"/>
                <w:szCs w:val="18"/>
                <w:lang w:val="en-US"/>
              </w:rPr>
              <w:t xml:space="preserve">Whittington, R. y Pany, K. (2025). </w:t>
            </w:r>
            <w:r>
              <w:rPr>
                <w:i/>
                <w:iCs/>
                <w:sz w:val="18"/>
                <w:szCs w:val="18"/>
              </w:rPr>
              <w:t>Principios de Auditoría</w:t>
            </w:r>
            <w:r>
              <w:rPr>
                <w:sz w:val="18"/>
                <w:szCs w:val="18"/>
              </w:rPr>
              <w:t>. 14a ed. México: McGraw Hill.</w:t>
            </w:r>
          </w:p>
        </w:tc>
      </w:tr>
    </w:tbl>
    <w:p w14:paraId="36A6FD63" w14:textId="77777777" w:rsidR="00990B14" w:rsidRDefault="00000000">
      <w:pPr>
        <w:pStyle w:val="TituloPlanAsignatura"/>
        <w:keepNext/>
        <w:pageBreakBefore/>
        <w:spacing w:after="120"/>
        <w:jc w:val="center"/>
        <w:outlineLvl w:val="2"/>
      </w:pPr>
      <w:bookmarkStart w:id="192" w:name="_Toc000000133"/>
      <w:r>
        <w:rPr>
          <w:b/>
          <w:bCs/>
          <w:sz w:val="24"/>
          <w:szCs w:val="24"/>
        </w:rPr>
        <w:t>CPA-510 Taller de Grado</w:t>
      </w:r>
      <w:bookmarkEnd w:id="192"/>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249"/>
        <w:gridCol w:w="1100"/>
        <w:gridCol w:w="149"/>
        <w:gridCol w:w="635"/>
        <w:gridCol w:w="615"/>
        <w:gridCol w:w="952"/>
        <w:gridCol w:w="298"/>
        <w:gridCol w:w="1250"/>
        <w:gridCol w:w="20"/>
        <w:gridCol w:w="385"/>
        <w:gridCol w:w="398"/>
        <w:gridCol w:w="447"/>
        <w:gridCol w:w="1907"/>
      </w:tblGrid>
      <w:tr w:rsidR="00990B14" w14:paraId="287878CF" w14:textId="77777777">
        <w:trPr>
          <w:cantSplit/>
          <w:jc w:val="center"/>
        </w:trPr>
        <w:tc>
          <w:tcPr>
            <w:tcW w:w="2349" w:type="dxa"/>
            <w:gridSpan w:val="2"/>
            <w:shd w:val="clear" w:color="auto" w:fill="4472C4"/>
            <w:vAlign w:val="center"/>
          </w:tcPr>
          <w:p w14:paraId="3F53888B" w14:textId="77777777" w:rsidR="00990B14" w:rsidRDefault="00000000">
            <w:pPr>
              <w:keepNext/>
              <w:spacing w:before="20" w:after="20"/>
              <w:jc w:val="center"/>
            </w:pPr>
            <w:r>
              <w:rPr>
                <w:b/>
                <w:bCs/>
                <w:i/>
                <w:iCs/>
                <w:color w:val="FFFFFF"/>
                <w:sz w:val="18"/>
                <w:szCs w:val="18"/>
              </w:rPr>
              <w:t>Asignatura</w:t>
            </w:r>
          </w:p>
        </w:tc>
        <w:tc>
          <w:tcPr>
            <w:tcW w:w="2351" w:type="dxa"/>
            <w:gridSpan w:val="4"/>
            <w:shd w:val="clear" w:color="auto" w:fill="4472C4"/>
            <w:vAlign w:val="center"/>
          </w:tcPr>
          <w:p w14:paraId="02AA2493" w14:textId="77777777" w:rsidR="00990B14" w:rsidRDefault="00000000">
            <w:pPr>
              <w:keepNext/>
              <w:spacing w:before="20" w:after="20"/>
              <w:jc w:val="center"/>
            </w:pPr>
            <w:r>
              <w:rPr>
                <w:b/>
                <w:bCs/>
                <w:i/>
                <w:iCs/>
                <w:color w:val="FFFFFF"/>
                <w:sz w:val="18"/>
                <w:szCs w:val="18"/>
              </w:rPr>
              <w:t>Sigla</w:t>
            </w:r>
          </w:p>
        </w:tc>
        <w:tc>
          <w:tcPr>
            <w:tcW w:w="2351" w:type="dxa"/>
            <w:gridSpan w:val="5"/>
            <w:shd w:val="clear" w:color="auto" w:fill="4472C4"/>
            <w:vAlign w:val="center"/>
          </w:tcPr>
          <w:p w14:paraId="5449DA57" w14:textId="77777777" w:rsidR="00990B14" w:rsidRDefault="00000000">
            <w:pPr>
              <w:keepNext/>
              <w:spacing w:before="20" w:after="20"/>
              <w:jc w:val="center"/>
            </w:pPr>
            <w:r>
              <w:rPr>
                <w:b/>
                <w:bCs/>
                <w:i/>
                <w:iCs/>
                <w:color w:val="FFFFFF"/>
                <w:sz w:val="18"/>
                <w:szCs w:val="18"/>
              </w:rPr>
              <w:t>Nivel/Área</w:t>
            </w:r>
          </w:p>
        </w:tc>
        <w:tc>
          <w:tcPr>
            <w:tcW w:w="2354" w:type="dxa"/>
            <w:gridSpan w:val="2"/>
            <w:shd w:val="clear" w:color="auto" w:fill="4472C4"/>
            <w:vAlign w:val="center"/>
          </w:tcPr>
          <w:p w14:paraId="304A2BA0" w14:textId="77777777" w:rsidR="00990B14" w:rsidRDefault="00000000">
            <w:pPr>
              <w:keepNext/>
              <w:spacing w:before="20" w:after="20"/>
              <w:jc w:val="center"/>
            </w:pPr>
            <w:r>
              <w:rPr>
                <w:b/>
                <w:bCs/>
                <w:i/>
                <w:iCs/>
                <w:color w:val="FFFFFF"/>
                <w:sz w:val="18"/>
                <w:szCs w:val="18"/>
              </w:rPr>
              <w:t>Prerrequisito</w:t>
            </w:r>
          </w:p>
        </w:tc>
      </w:tr>
      <w:tr w:rsidR="00990B14" w14:paraId="33562A60" w14:textId="77777777">
        <w:trPr>
          <w:cantSplit/>
          <w:jc w:val="center"/>
        </w:trPr>
        <w:tc>
          <w:tcPr>
            <w:tcW w:w="2349" w:type="dxa"/>
            <w:gridSpan w:val="2"/>
            <w:shd w:val="clear" w:color="auto" w:fill="D9E2F3"/>
            <w:vAlign w:val="center"/>
          </w:tcPr>
          <w:p w14:paraId="30BF7551" w14:textId="77777777" w:rsidR="00990B14" w:rsidRDefault="00000000">
            <w:pPr>
              <w:spacing w:before="20" w:after="20"/>
              <w:jc w:val="center"/>
            </w:pPr>
            <w:r>
              <w:rPr>
                <w:b/>
                <w:bCs/>
                <w:i/>
                <w:iCs/>
                <w:sz w:val="18"/>
                <w:szCs w:val="18"/>
              </w:rPr>
              <w:t>Taller de Grado</w:t>
            </w:r>
          </w:p>
        </w:tc>
        <w:tc>
          <w:tcPr>
            <w:tcW w:w="2351" w:type="dxa"/>
            <w:gridSpan w:val="4"/>
            <w:shd w:val="clear" w:color="auto" w:fill="D9E2F3"/>
            <w:vAlign w:val="center"/>
          </w:tcPr>
          <w:p w14:paraId="3C046F48" w14:textId="77777777" w:rsidR="00990B14" w:rsidRDefault="00000000">
            <w:pPr>
              <w:spacing w:before="20" w:after="20"/>
              <w:jc w:val="center"/>
            </w:pPr>
            <w:r>
              <w:rPr>
                <w:b/>
                <w:bCs/>
                <w:i/>
                <w:iCs/>
                <w:sz w:val="18"/>
                <w:szCs w:val="18"/>
              </w:rPr>
              <w:t>CPA-510</w:t>
            </w:r>
          </w:p>
        </w:tc>
        <w:tc>
          <w:tcPr>
            <w:tcW w:w="2351" w:type="dxa"/>
            <w:gridSpan w:val="5"/>
            <w:shd w:val="clear" w:color="auto" w:fill="D9E2F3"/>
            <w:vAlign w:val="center"/>
          </w:tcPr>
          <w:p w14:paraId="112DE23E" w14:textId="77777777" w:rsidR="00990B14" w:rsidRDefault="00000000">
            <w:pPr>
              <w:spacing w:before="20" w:after="20"/>
              <w:jc w:val="center"/>
            </w:pPr>
            <w:r>
              <w:rPr>
                <w:b/>
                <w:bCs/>
                <w:i/>
                <w:iCs/>
                <w:sz w:val="18"/>
                <w:szCs w:val="18"/>
              </w:rPr>
              <w:t>Aseguramiento</w:t>
            </w:r>
          </w:p>
        </w:tc>
        <w:tc>
          <w:tcPr>
            <w:tcW w:w="2354" w:type="dxa"/>
            <w:gridSpan w:val="2"/>
            <w:shd w:val="clear" w:color="auto" w:fill="D9E2F3"/>
            <w:vAlign w:val="center"/>
          </w:tcPr>
          <w:p w14:paraId="284D2A22" w14:textId="77777777" w:rsidR="00990B14" w:rsidRDefault="00000000">
            <w:pPr>
              <w:spacing w:before="20" w:after="20"/>
              <w:jc w:val="center"/>
            </w:pPr>
            <w:r>
              <w:rPr>
                <w:b/>
                <w:bCs/>
                <w:i/>
                <w:iCs/>
                <w:sz w:val="18"/>
                <w:szCs w:val="18"/>
              </w:rPr>
              <w:t>CPA-401 a CPA-408</w:t>
            </w:r>
          </w:p>
        </w:tc>
      </w:tr>
      <w:tr w:rsidR="00990B14" w14:paraId="4FF87DFE" w14:textId="77777777">
        <w:trPr>
          <w:cantSplit/>
          <w:jc w:val="center"/>
        </w:trPr>
        <w:tc>
          <w:tcPr>
            <w:tcW w:w="7498" w:type="dxa"/>
            <w:gridSpan w:val="12"/>
            <w:shd w:val="clear" w:color="auto" w:fill="4472C4"/>
            <w:vAlign w:val="center"/>
          </w:tcPr>
          <w:p w14:paraId="0BA47E6B" w14:textId="77777777" w:rsidR="00990B14" w:rsidRDefault="00000000">
            <w:pPr>
              <w:keepNext/>
              <w:spacing w:before="20" w:after="20"/>
              <w:jc w:val="center"/>
            </w:pPr>
            <w:r>
              <w:rPr>
                <w:b/>
                <w:bCs/>
                <w:i/>
                <w:iCs/>
                <w:color w:val="FFFFFF"/>
                <w:sz w:val="18"/>
                <w:szCs w:val="18"/>
              </w:rPr>
              <w:t>Carga Horaria</w:t>
            </w:r>
          </w:p>
        </w:tc>
        <w:tc>
          <w:tcPr>
            <w:tcW w:w="1907" w:type="dxa"/>
            <w:shd w:val="clear" w:color="auto" w:fill="4472C4"/>
            <w:vAlign w:val="center"/>
          </w:tcPr>
          <w:p w14:paraId="409284AB" w14:textId="77777777" w:rsidR="00990B14" w:rsidRDefault="00000000">
            <w:pPr>
              <w:keepNext/>
              <w:spacing w:before="20" w:after="20"/>
              <w:jc w:val="center"/>
            </w:pPr>
            <w:r>
              <w:rPr>
                <w:b/>
                <w:bCs/>
                <w:i/>
                <w:iCs/>
                <w:color w:val="FFFFFF"/>
                <w:sz w:val="18"/>
                <w:szCs w:val="18"/>
              </w:rPr>
              <w:t>Créditos</w:t>
            </w:r>
          </w:p>
        </w:tc>
      </w:tr>
      <w:tr w:rsidR="00990B14" w14:paraId="383D94DF" w14:textId="77777777">
        <w:trPr>
          <w:cantSplit/>
          <w:jc w:val="center"/>
        </w:trPr>
        <w:tc>
          <w:tcPr>
            <w:tcW w:w="1249" w:type="dxa"/>
            <w:shd w:val="clear" w:color="auto" w:fill="4472C4"/>
            <w:vAlign w:val="center"/>
          </w:tcPr>
          <w:p w14:paraId="0B066C5E" w14:textId="77777777" w:rsidR="00990B14" w:rsidRDefault="00000000">
            <w:pPr>
              <w:keepNext/>
              <w:spacing w:before="20" w:after="20"/>
              <w:jc w:val="center"/>
            </w:pPr>
            <w:r>
              <w:rPr>
                <w:b/>
                <w:bCs/>
                <w:i/>
                <w:iCs/>
                <w:color w:val="FFFFFF"/>
                <w:sz w:val="18"/>
                <w:szCs w:val="18"/>
              </w:rPr>
              <w:t>HP</w:t>
            </w:r>
          </w:p>
        </w:tc>
        <w:tc>
          <w:tcPr>
            <w:tcW w:w="1249" w:type="dxa"/>
            <w:gridSpan w:val="2"/>
            <w:shd w:val="clear" w:color="auto" w:fill="4472C4"/>
            <w:vAlign w:val="center"/>
          </w:tcPr>
          <w:p w14:paraId="107805A1" w14:textId="77777777" w:rsidR="00990B14" w:rsidRDefault="00000000">
            <w:pPr>
              <w:keepNext/>
              <w:spacing w:before="20" w:after="20"/>
              <w:jc w:val="center"/>
            </w:pPr>
            <w:r>
              <w:rPr>
                <w:b/>
                <w:bCs/>
                <w:i/>
                <w:iCs/>
                <w:color w:val="FFFFFF"/>
                <w:sz w:val="18"/>
                <w:szCs w:val="18"/>
              </w:rPr>
              <w:t>HAA</w:t>
            </w:r>
          </w:p>
        </w:tc>
        <w:tc>
          <w:tcPr>
            <w:tcW w:w="1250" w:type="dxa"/>
            <w:gridSpan w:val="2"/>
            <w:shd w:val="clear" w:color="auto" w:fill="4472C4"/>
            <w:vAlign w:val="center"/>
          </w:tcPr>
          <w:p w14:paraId="677C9CCB" w14:textId="77777777" w:rsidR="00990B14" w:rsidRDefault="00000000">
            <w:pPr>
              <w:keepNext/>
              <w:spacing w:before="20" w:after="20"/>
              <w:jc w:val="center"/>
            </w:pPr>
            <w:r>
              <w:rPr>
                <w:b/>
                <w:bCs/>
                <w:i/>
                <w:iCs/>
                <w:color w:val="FFFFFF"/>
                <w:sz w:val="18"/>
                <w:szCs w:val="18"/>
              </w:rPr>
              <w:t>HTG</w:t>
            </w:r>
          </w:p>
        </w:tc>
        <w:tc>
          <w:tcPr>
            <w:tcW w:w="1250" w:type="dxa"/>
            <w:gridSpan w:val="2"/>
            <w:shd w:val="clear" w:color="auto" w:fill="4472C4"/>
            <w:vAlign w:val="center"/>
          </w:tcPr>
          <w:p w14:paraId="32981780" w14:textId="77777777" w:rsidR="00990B14" w:rsidRDefault="00000000">
            <w:pPr>
              <w:keepNext/>
              <w:spacing w:before="20" w:after="20"/>
              <w:jc w:val="center"/>
            </w:pPr>
            <w:r>
              <w:rPr>
                <w:b/>
                <w:bCs/>
                <w:i/>
                <w:iCs/>
                <w:color w:val="FFFFFF"/>
                <w:sz w:val="18"/>
                <w:szCs w:val="18"/>
              </w:rPr>
              <w:t>HIP</w:t>
            </w:r>
          </w:p>
        </w:tc>
        <w:tc>
          <w:tcPr>
            <w:tcW w:w="1250" w:type="dxa"/>
            <w:shd w:val="clear" w:color="auto" w:fill="4472C4"/>
            <w:vAlign w:val="center"/>
          </w:tcPr>
          <w:p w14:paraId="0FCA57BA" w14:textId="77777777" w:rsidR="00990B14" w:rsidRDefault="00000000">
            <w:pPr>
              <w:keepNext/>
              <w:spacing w:before="20" w:after="20"/>
              <w:jc w:val="center"/>
            </w:pPr>
            <w:r>
              <w:rPr>
                <w:b/>
                <w:bCs/>
                <w:i/>
                <w:iCs/>
                <w:color w:val="FFFFFF"/>
                <w:sz w:val="18"/>
                <w:szCs w:val="18"/>
              </w:rPr>
              <w:t>HE</w:t>
            </w:r>
          </w:p>
        </w:tc>
        <w:tc>
          <w:tcPr>
            <w:tcW w:w="1250" w:type="dxa"/>
            <w:gridSpan w:val="4"/>
            <w:shd w:val="clear" w:color="auto" w:fill="4472C4"/>
            <w:vAlign w:val="center"/>
          </w:tcPr>
          <w:p w14:paraId="60944652" w14:textId="77777777" w:rsidR="00990B14" w:rsidRDefault="00000000">
            <w:pPr>
              <w:keepNext/>
              <w:spacing w:before="20" w:after="20"/>
              <w:jc w:val="center"/>
            </w:pPr>
            <w:r>
              <w:rPr>
                <w:b/>
                <w:bCs/>
                <w:i/>
                <w:iCs/>
                <w:color w:val="FFFFFF"/>
                <w:sz w:val="18"/>
                <w:szCs w:val="18"/>
              </w:rPr>
              <w:t>TOTAL</w:t>
            </w:r>
          </w:p>
        </w:tc>
        <w:tc>
          <w:tcPr>
            <w:tcW w:w="1907" w:type="dxa"/>
            <w:vMerge w:val="restart"/>
            <w:shd w:val="clear" w:color="auto" w:fill="D9E2F3"/>
            <w:vAlign w:val="center"/>
          </w:tcPr>
          <w:p w14:paraId="335AAA21" w14:textId="77777777" w:rsidR="00990B14" w:rsidRDefault="00000000">
            <w:pPr>
              <w:spacing w:before="20" w:after="20"/>
              <w:jc w:val="center"/>
            </w:pPr>
            <w:r>
              <w:rPr>
                <w:sz w:val="18"/>
                <w:szCs w:val="18"/>
              </w:rPr>
              <w:t>4</w:t>
            </w:r>
          </w:p>
        </w:tc>
      </w:tr>
      <w:tr w:rsidR="00990B14" w14:paraId="293F17B2" w14:textId="77777777">
        <w:trPr>
          <w:cantSplit/>
          <w:jc w:val="center"/>
        </w:trPr>
        <w:tc>
          <w:tcPr>
            <w:tcW w:w="1249" w:type="dxa"/>
            <w:shd w:val="clear" w:color="auto" w:fill="D9E2F3"/>
            <w:vAlign w:val="center"/>
          </w:tcPr>
          <w:p w14:paraId="2D850388" w14:textId="77777777" w:rsidR="00990B14" w:rsidRDefault="00000000">
            <w:pPr>
              <w:spacing w:before="20" w:after="20"/>
              <w:jc w:val="center"/>
            </w:pPr>
            <w:r>
              <w:rPr>
                <w:sz w:val="18"/>
                <w:szCs w:val="18"/>
              </w:rPr>
              <w:t>80</w:t>
            </w:r>
          </w:p>
        </w:tc>
        <w:tc>
          <w:tcPr>
            <w:tcW w:w="1249" w:type="dxa"/>
            <w:gridSpan w:val="2"/>
            <w:shd w:val="clear" w:color="auto" w:fill="D9E2F3"/>
            <w:vAlign w:val="center"/>
          </w:tcPr>
          <w:p w14:paraId="62E54E0C" w14:textId="77777777" w:rsidR="00990B14" w:rsidRDefault="00000000">
            <w:pPr>
              <w:spacing w:before="20" w:after="20"/>
              <w:jc w:val="center"/>
            </w:pPr>
            <w:r>
              <w:rPr>
                <w:sz w:val="18"/>
                <w:szCs w:val="18"/>
              </w:rPr>
              <w:t>10</w:t>
            </w:r>
          </w:p>
        </w:tc>
        <w:tc>
          <w:tcPr>
            <w:tcW w:w="1250" w:type="dxa"/>
            <w:gridSpan w:val="2"/>
            <w:shd w:val="clear" w:color="auto" w:fill="D9E2F3"/>
            <w:vAlign w:val="center"/>
          </w:tcPr>
          <w:p w14:paraId="11F013CE" w14:textId="77777777" w:rsidR="00990B14" w:rsidRDefault="00000000">
            <w:pPr>
              <w:spacing w:before="20" w:after="20"/>
              <w:jc w:val="center"/>
            </w:pPr>
            <w:r>
              <w:rPr>
                <w:sz w:val="18"/>
                <w:szCs w:val="18"/>
              </w:rPr>
              <w:t>10</w:t>
            </w:r>
          </w:p>
        </w:tc>
        <w:tc>
          <w:tcPr>
            <w:tcW w:w="1250" w:type="dxa"/>
            <w:gridSpan w:val="2"/>
            <w:shd w:val="clear" w:color="auto" w:fill="D9E2F3"/>
            <w:vAlign w:val="center"/>
          </w:tcPr>
          <w:p w14:paraId="42347976" w14:textId="77777777" w:rsidR="00990B14" w:rsidRDefault="00000000">
            <w:pPr>
              <w:spacing w:before="20" w:after="20"/>
              <w:jc w:val="center"/>
            </w:pPr>
            <w:r>
              <w:rPr>
                <w:sz w:val="18"/>
                <w:szCs w:val="18"/>
              </w:rPr>
              <w:t>10</w:t>
            </w:r>
          </w:p>
        </w:tc>
        <w:tc>
          <w:tcPr>
            <w:tcW w:w="1250" w:type="dxa"/>
            <w:shd w:val="clear" w:color="auto" w:fill="D9E2F3"/>
            <w:vAlign w:val="center"/>
          </w:tcPr>
          <w:p w14:paraId="72248379" w14:textId="77777777" w:rsidR="00990B14" w:rsidRDefault="00000000">
            <w:pPr>
              <w:spacing w:before="20" w:after="20"/>
              <w:jc w:val="center"/>
            </w:pPr>
            <w:r>
              <w:rPr>
                <w:sz w:val="18"/>
                <w:szCs w:val="18"/>
              </w:rPr>
              <w:t>10</w:t>
            </w:r>
          </w:p>
        </w:tc>
        <w:tc>
          <w:tcPr>
            <w:tcW w:w="1250" w:type="dxa"/>
            <w:gridSpan w:val="4"/>
            <w:shd w:val="clear" w:color="auto" w:fill="D9E2F3"/>
            <w:vAlign w:val="center"/>
          </w:tcPr>
          <w:p w14:paraId="7DD4B077" w14:textId="77777777" w:rsidR="00990B14" w:rsidRDefault="00000000">
            <w:pPr>
              <w:spacing w:before="20" w:after="20"/>
              <w:jc w:val="center"/>
            </w:pPr>
            <w:r>
              <w:rPr>
                <w:sz w:val="18"/>
                <w:szCs w:val="18"/>
              </w:rPr>
              <w:t>120</w:t>
            </w:r>
          </w:p>
        </w:tc>
        <w:tc>
          <w:tcPr>
            <w:tcW w:w="1907" w:type="dxa"/>
            <w:vMerge/>
            <w:shd w:val="clear" w:color="auto" w:fill="D9E2F3"/>
            <w:vAlign w:val="center"/>
          </w:tcPr>
          <w:p w14:paraId="6382BAA4" w14:textId="77777777" w:rsidR="00990B14" w:rsidRDefault="00990B14">
            <w:pPr>
              <w:spacing w:before="20" w:after="20"/>
            </w:pPr>
          </w:p>
        </w:tc>
      </w:tr>
      <w:tr w:rsidR="00990B14" w14:paraId="73D01B75" w14:textId="77777777">
        <w:trPr>
          <w:cantSplit/>
          <w:jc w:val="center"/>
        </w:trPr>
        <w:tc>
          <w:tcPr>
            <w:tcW w:w="9405" w:type="dxa"/>
            <w:gridSpan w:val="13"/>
            <w:shd w:val="clear" w:color="auto" w:fill="4472C4"/>
            <w:vAlign w:val="center"/>
          </w:tcPr>
          <w:p w14:paraId="747CD3A3" w14:textId="77777777" w:rsidR="00990B14" w:rsidRDefault="00000000">
            <w:pPr>
              <w:keepNext/>
              <w:spacing w:before="20" w:after="20"/>
              <w:jc w:val="center"/>
            </w:pPr>
            <w:r>
              <w:rPr>
                <w:b/>
                <w:bCs/>
                <w:i/>
                <w:iCs/>
                <w:color w:val="FFFFFF"/>
                <w:sz w:val="18"/>
                <w:szCs w:val="18"/>
              </w:rPr>
              <w:t>Unidad de Competencia</w:t>
            </w:r>
          </w:p>
        </w:tc>
      </w:tr>
      <w:tr w:rsidR="00990B14" w14:paraId="33FA558E" w14:textId="77777777">
        <w:trPr>
          <w:cantSplit/>
          <w:jc w:val="center"/>
        </w:trPr>
        <w:tc>
          <w:tcPr>
            <w:tcW w:w="9405" w:type="dxa"/>
            <w:gridSpan w:val="13"/>
            <w:shd w:val="clear" w:color="auto" w:fill="D9E2F3"/>
            <w:vAlign w:val="center"/>
          </w:tcPr>
          <w:p w14:paraId="11BA5277" w14:textId="77777777" w:rsidR="00990B14" w:rsidRDefault="00000000">
            <w:pPr>
              <w:spacing w:before="20" w:after="20"/>
              <w:jc w:val="both"/>
            </w:pPr>
            <w:r>
              <w:rPr>
                <w:sz w:val="18"/>
                <w:szCs w:val="18"/>
              </w:rPr>
              <w:t>Formula un Perfil de Tesis de Grado o un Perfil de Proyecto de Grado en el ámbito de la Contaduría Pública, a partir de la identificación de una problemática relevante y pertinente, enmarcada en las líneas de investigación de la Carrera, articulando fundamentos teóricos, metodológicos y profesionales, con criterios de coherencia, rigor académico, factibilidad, ética y cumplimiento de la normativa institucional.</w:t>
            </w:r>
          </w:p>
        </w:tc>
      </w:tr>
      <w:tr w:rsidR="00990B14" w14:paraId="10EDD5D6" w14:textId="77777777">
        <w:trPr>
          <w:cantSplit/>
          <w:jc w:val="center"/>
        </w:trPr>
        <w:tc>
          <w:tcPr>
            <w:tcW w:w="9405" w:type="dxa"/>
            <w:gridSpan w:val="13"/>
            <w:shd w:val="clear" w:color="auto" w:fill="D9E2F3"/>
            <w:vAlign w:val="center"/>
          </w:tcPr>
          <w:p w14:paraId="25B0F683" w14:textId="77777777" w:rsidR="00990B14" w:rsidRDefault="00000000">
            <w:pPr>
              <w:spacing w:before="20" w:after="20"/>
              <w:jc w:val="both"/>
            </w:pPr>
            <w:r>
              <w:rPr>
                <w:b/>
                <w:bCs/>
                <w:i/>
                <w:iCs/>
                <w:sz w:val="18"/>
                <w:szCs w:val="18"/>
              </w:rPr>
              <w:t xml:space="preserve">Elemento de competencia 1: </w:t>
            </w:r>
            <w:r>
              <w:rPr>
                <w:sz w:val="18"/>
                <w:szCs w:val="18"/>
              </w:rPr>
              <w:t>Explica la relación entre la percepción de la realidad y la investigación científica y las modalidades de graduación vigentes, diferenciando la tesis de grado del proyecto de grado y del trabajo dirigido.</w:t>
            </w:r>
          </w:p>
        </w:tc>
      </w:tr>
      <w:tr w:rsidR="00990B14" w14:paraId="1B95B1CB" w14:textId="77777777">
        <w:trPr>
          <w:cantSplit/>
          <w:jc w:val="center"/>
        </w:trPr>
        <w:tc>
          <w:tcPr>
            <w:tcW w:w="3133" w:type="dxa"/>
            <w:gridSpan w:val="4"/>
            <w:shd w:val="clear" w:color="auto" w:fill="4472C4"/>
            <w:vAlign w:val="center"/>
          </w:tcPr>
          <w:p w14:paraId="0F3128D8"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6BF89F7D"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3C0B6104" w14:textId="77777777" w:rsidR="00990B14" w:rsidRDefault="00000000">
            <w:pPr>
              <w:keepNext/>
              <w:spacing w:before="20" w:after="20"/>
              <w:jc w:val="center"/>
            </w:pPr>
            <w:r>
              <w:rPr>
                <w:b/>
                <w:bCs/>
                <w:i/>
                <w:iCs/>
                <w:color w:val="FFFFFF"/>
                <w:sz w:val="18"/>
                <w:szCs w:val="18"/>
              </w:rPr>
              <w:t>Evidencias de producto</w:t>
            </w:r>
          </w:p>
        </w:tc>
      </w:tr>
      <w:tr w:rsidR="00990B14" w14:paraId="1AE83C50" w14:textId="77777777">
        <w:trPr>
          <w:cantSplit/>
          <w:jc w:val="center"/>
        </w:trPr>
        <w:tc>
          <w:tcPr>
            <w:tcW w:w="3133" w:type="dxa"/>
            <w:gridSpan w:val="4"/>
            <w:vMerge w:val="restart"/>
            <w:shd w:val="clear" w:color="auto" w:fill="D9E2F3"/>
            <w:vAlign w:val="center"/>
          </w:tcPr>
          <w:p w14:paraId="58D27C55" w14:textId="77777777" w:rsidR="00990B14" w:rsidRDefault="00000000">
            <w:pPr>
              <w:spacing w:before="20" w:after="20"/>
              <w:jc w:val="both"/>
            </w:pPr>
            <w:r>
              <w:rPr>
                <w:sz w:val="18"/>
                <w:szCs w:val="18"/>
              </w:rPr>
              <w:t>1. Analiza las dimensiones de la realidad y la relación sujeto-objeto en la investigación científica, diferenciando la realidad objetiva y subjetiva, con una perspectiva crítica y reflexiva.</w:t>
            </w:r>
          </w:p>
        </w:tc>
        <w:tc>
          <w:tcPr>
            <w:tcW w:w="3135" w:type="dxa"/>
            <w:gridSpan w:val="5"/>
            <w:shd w:val="clear" w:color="auto" w:fill="D9E2F3"/>
            <w:vAlign w:val="center"/>
          </w:tcPr>
          <w:p w14:paraId="1DF89C94" w14:textId="77777777" w:rsidR="00990B14" w:rsidRDefault="00000000">
            <w:pPr>
              <w:spacing w:before="20" w:after="20"/>
              <w:jc w:val="both"/>
            </w:pPr>
            <w:r>
              <w:rPr>
                <w:sz w:val="18"/>
                <w:szCs w:val="18"/>
              </w:rPr>
              <w:t>1.1 Explica las dimensiones de la realidad, diferenciando sus componentes objetivos y subjetivos y su vinculación con la investigación científica.</w:t>
            </w:r>
          </w:p>
        </w:tc>
        <w:tc>
          <w:tcPr>
            <w:tcW w:w="3137" w:type="dxa"/>
            <w:gridSpan w:val="4"/>
            <w:shd w:val="clear" w:color="auto" w:fill="D9E2F3"/>
            <w:vAlign w:val="center"/>
          </w:tcPr>
          <w:p w14:paraId="659B891E" w14:textId="77777777" w:rsidR="00990B14" w:rsidRDefault="00000000">
            <w:pPr>
              <w:spacing w:before="20" w:after="20"/>
              <w:jc w:val="both"/>
            </w:pPr>
            <w:r>
              <w:rPr>
                <w:b/>
                <w:bCs/>
                <w:sz w:val="18"/>
                <w:szCs w:val="18"/>
              </w:rPr>
              <w:t xml:space="preserve">Producto 1: </w:t>
            </w:r>
            <w:r>
              <w:rPr>
                <w:sz w:val="18"/>
                <w:szCs w:val="18"/>
              </w:rPr>
              <w:t>Cuadro comparativo de las dimensiones de la realidad, diferenciando sus componentes objetivos y subjetivos y su vinculación con la investigación científica.</w:t>
            </w:r>
          </w:p>
        </w:tc>
      </w:tr>
      <w:tr w:rsidR="00990B14" w14:paraId="5A42DF8C" w14:textId="77777777">
        <w:trPr>
          <w:cantSplit/>
          <w:jc w:val="center"/>
        </w:trPr>
        <w:tc>
          <w:tcPr>
            <w:tcW w:w="3133" w:type="dxa"/>
            <w:gridSpan w:val="4"/>
            <w:vMerge/>
            <w:shd w:val="clear" w:color="auto" w:fill="D9E2F3"/>
            <w:vAlign w:val="center"/>
          </w:tcPr>
          <w:p w14:paraId="5A5E7891" w14:textId="77777777" w:rsidR="00990B14" w:rsidRDefault="00990B14">
            <w:pPr>
              <w:spacing w:before="20" w:after="20"/>
            </w:pPr>
          </w:p>
        </w:tc>
        <w:tc>
          <w:tcPr>
            <w:tcW w:w="3135" w:type="dxa"/>
            <w:gridSpan w:val="5"/>
            <w:shd w:val="clear" w:color="auto" w:fill="D9E2F3"/>
            <w:vAlign w:val="center"/>
          </w:tcPr>
          <w:p w14:paraId="754432A8" w14:textId="77777777" w:rsidR="00990B14" w:rsidRDefault="00000000">
            <w:pPr>
              <w:spacing w:before="20" w:after="20"/>
              <w:jc w:val="both"/>
            </w:pPr>
            <w:r>
              <w:rPr>
                <w:sz w:val="18"/>
                <w:szCs w:val="18"/>
              </w:rPr>
              <w:t>1.2 Analiza la relación sujeto-objeto en la investigación científica, demostrando pensamiento crítico y reflexivo en la interpretación de la realidad económica, contable y financiera.</w:t>
            </w:r>
          </w:p>
        </w:tc>
        <w:tc>
          <w:tcPr>
            <w:tcW w:w="3137" w:type="dxa"/>
            <w:gridSpan w:val="4"/>
            <w:shd w:val="clear" w:color="auto" w:fill="D9E2F3"/>
            <w:vAlign w:val="center"/>
          </w:tcPr>
          <w:p w14:paraId="54584B05" w14:textId="77777777" w:rsidR="00990B14" w:rsidRDefault="00000000">
            <w:pPr>
              <w:spacing w:before="20" w:after="20"/>
              <w:jc w:val="both"/>
            </w:pPr>
            <w:r>
              <w:rPr>
                <w:b/>
                <w:bCs/>
                <w:sz w:val="18"/>
                <w:szCs w:val="18"/>
              </w:rPr>
              <w:t xml:space="preserve">Producto 2: </w:t>
            </w:r>
            <w:r>
              <w:rPr>
                <w:sz w:val="18"/>
                <w:szCs w:val="18"/>
              </w:rPr>
              <w:t>Informe de análisis de la relación sujeto-objeto en la investigación científica, aplicado a una problemática del ámbito económico, contable o financiero.</w:t>
            </w:r>
          </w:p>
        </w:tc>
      </w:tr>
      <w:tr w:rsidR="00990B14" w14:paraId="40E02DCD" w14:textId="77777777">
        <w:trPr>
          <w:cantSplit/>
          <w:jc w:val="center"/>
        </w:trPr>
        <w:tc>
          <w:tcPr>
            <w:tcW w:w="3133" w:type="dxa"/>
            <w:gridSpan w:val="4"/>
            <w:vMerge w:val="restart"/>
            <w:shd w:val="clear" w:color="auto" w:fill="D9E2F3"/>
            <w:vAlign w:val="center"/>
          </w:tcPr>
          <w:p w14:paraId="5286EACE" w14:textId="77777777" w:rsidR="00990B14" w:rsidRDefault="00000000">
            <w:pPr>
              <w:spacing w:before="20" w:after="20"/>
              <w:jc w:val="both"/>
            </w:pPr>
            <w:r>
              <w:rPr>
                <w:sz w:val="18"/>
                <w:szCs w:val="18"/>
              </w:rPr>
              <w:t>2. Diferencia las modalidades de graduación reconocidas por la Carrera de Contaduría Pública, considerando su naturaleza, alcance, normativa vigente y vinculación con las líneas de investigación institucionales, para fundamentar la elección de la modalidad de graduación.</w:t>
            </w:r>
          </w:p>
        </w:tc>
        <w:tc>
          <w:tcPr>
            <w:tcW w:w="3135" w:type="dxa"/>
            <w:gridSpan w:val="5"/>
            <w:shd w:val="clear" w:color="auto" w:fill="D9E2F3"/>
            <w:vAlign w:val="center"/>
          </w:tcPr>
          <w:p w14:paraId="1CEABEB9" w14:textId="77777777" w:rsidR="00990B14" w:rsidRDefault="00000000">
            <w:pPr>
              <w:spacing w:before="20" w:after="20"/>
              <w:jc w:val="both"/>
            </w:pPr>
            <w:r>
              <w:rPr>
                <w:sz w:val="18"/>
                <w:szCs w:val="18"/>
              </w:rPr>
              <w:t>2.1 Compara las modalidades de graduación reconocidas por la Carrera de Contaduría Pública, considerando su naturaleza, características, alcance y normativa institucional vigente.</w:t>
            </w:r>
          </w:p>
        </w:tc>
        <w:tc>
          <w:tcPr>
            <w:tcW w:w="3137" w:type="dxa"/>
            <w:gridSpan w:val="4"/>
            <w:shd w:val="clear" w:color="auto" w:fill="D9E2F3"/>
            <w:vAlign w:val="center"/>
          </w:tcPr>
          <w:p w14:paraId="74A38988" w14:textId="77777777" w:rsidR="00990B14" w:rsidRDefault="00000000">
            <w:pPr>
              <w:spacing w:before="20" w:after="20"/>
              <w:jc w:val="both"/>
            </w:pPr>
            <w:r>
              <w:rPr>
                <w:b/>
                <w:bCs/>
                <w:sz w:val="18"/>
                <w:szCs w:val="18"/>
              </w:rPr>
              <w:t xml:space="preserve">Producto 3: </w:t>
            </w:r>
            <w:r>
              <w:rPr>
                <w:sz w:val="18"/>
                <w:szCs w:val="18"/>
              </w:rPr>
              <w:t>Cuadro comparativo de las modalidades de graduación reconocidas por la Carrera de Contaduría Pública, considerando su naturaleza, características, alcance y normativa institucional vigente.</w:t>
            </w:r>
          </w:p>
        </w:tc>
      </w:tr>
      <w:tr w:rsidR="00990B14" w14:paraId="07FF6B81" w14:textId="77777777">
        <w:trPr>
          <w:cantSplit/>
          <w:jc w:val="center"/>
        </w:trPr>
        <w:tc>
          <w:tcPr>
            <w:tcW w:w="3133" w:type="dxa"/>
            <w:gridSpan w:val="4"/>
            <w:vMerge/>
            <w:shd w:val="clear" w:color="auto" w:fill="D9E2F3"/>
            <w:vAlign w:val="center"/>
          </w:tcPr>
          <w:p w14:paraId="7349F400" w14:textId="77777777" w:rsidR="00990B14" w:rsidRDefault="00990B14">
            <w:pPr>
              <w:spacing w:before="20" w:after="20"/>
            </w:pPr>
          </w:p>
        </w:tc>
        <w:tc>
          <w:tcPr>
            <w:tcW w:w="3135" w:type="dxa"/>
            <w:gridSpan w:val="5"/>
            <w:shd w:val="clear" w:color="auto" w:fill="D9E2F3"/>
            <w:vAlign w:val="center"/>
          </w:tcPr>
          <w:p w14:paraId="77229EBB" w14:textId="77777777" w:rsidR="00990B14" w:rsidRDefault="00000000">
            <w:pPr>
              <w:spacing w:before="20" w:after="20"/>
              <w:jc w:val="both"/>
            </w:pPr>
            <w:r>
              <w:rPr>
                <w:sz w:val="18"/>
                <w:szCs w:val="18"/>
              </w:rPr>
              <w:t>2.2 Fundamenta la elección de la modalidad de graduación, considerando su pertinencia con la problemática de estudio, las líneas de investigación y las exigencias académicas correspondientes.</w:t>
            </w:r>
          </w:p>
        </w:tc>
        <w:tc>
          <w:tcPr>
            <w:tcW w:w="3137" w:type="dxa"/>
            <w:gridSpan w:val="4"/>
            <w:shd w:val="clear" w:color="auto" w:fill="D9E2F3"/>
            <w:vAlign w:val="center"/>
          </w:tcPr>
          <w:p w14:paraId="06305A28" w14:textId="77777777" w:rsidR="00990B14" w:rsidRDefault="00000000">
            <w:pPr>
              <w:spacing w:before="20" w:after="20"/>
              <w:jc w:val="both"/>
            </w:pPr>
            <w:r>
              <w:rPr>
                <w:b/>
                <w:bCs/>
                <w:sz w:val="18"/>
                <w:szCs w:val="18"/>
              </w:rPr>
              <w:t xml:space="preserve">Producto 4: </w:t>
            </w:r>
            <w:r>
              <w:rPr>
                <w:sz w:val="18"/>
                <w:szCs w:val="18"/>
              </w:rPr>
              <w:t>Informe de justificación de la modalidad de graduación seleccionada, fundamentando su pertinencia con la problemática de estudio, las líneas de investigación y las exigencias académicas correspondientes.</w:t>
            </w:r>
          </w:p>
        </w:tc>
      </w:tr>
      <w:tr w:rsidR="00990B14" w14:paraId="652EE982" w14:textId="77777777">
        <w:trPr>
          <w:cantSplit/>
          <w:jc w:val="center"/>
        </w:trPr>
        <w:tc>
          <w:tcPr>
            <w:tcW w:w="9405" w:type="dxa"/>
            <w:gridSpan w:val="13"/>
            <w:shd w:val="clear" w:color="auto" w:fill="4472C4"/>
            <w:vAlign w:val="center"/>
          </w:tcPr>
          <w:p w14:paraId="6CCBE577" w14:textId="77777777" w:rsidR="00990B14" w:rsidRDefault="00000000">
            <w:pPr>
              <w:keepNext/>
              <w:spacing w:before="20" w:after="20"/>
              <w:jc w:val="center"/>
            </w:pPr>
            <w:r>
              <w:rPr>
                <w:b/>
                <w:bCs/>
                <w:i/>
                <w:iCs/>
                <w:color w:val="FFFFFF"/>
                <w:sz w:val="18"/>
                <w:szCs w:val="18"/>
              </w:rPr>
              <w:t>Evidencias de conocimiento</w:t>
            </w:r>
          </w:p>
        </w:tc>
      </w:tr>
      <w:tr w:rsidR="00990B14" w14:paraId="7D80633F" w14:textId="77777777">
        <w:trPr>
          <w:cantSplit/>
          <w:jc w:val="center"/>
        </w:trPr>
        <w:tc>
          <w:tcPr>
            <w:tcW w:w="2349" w:type="dxa"/>
            <w:gridSpan w:val="2"/>
            <w:shd w:val="clear" w:color="auto" w:fill="4472C4"/>
            <w:vAlign w:val="center"/>
          </w:tcPr>
          <w:p w14:paraId="53C113FD"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3128C31A" w14:textId="77777777" w:rsidR="00990B14" w:rsidRDefault="00000000">
            <w:pPr>
              <w:keepNext/>
              <w:spacing w:before="20" w:after="20"/>
              <w:jc w:val="both"/>
            </w:pPr>
            <w:r>
              <w:rPr>
                <w:b/>
                <w:bCs/>
                <w:i/>
                <w:iCs/>
                <w:color w:val="FFFFFF"/>
                <w:sz w:val="18"/>
                <w:szCs w:val="18"/>
              </w:rPr>
              <w:t>Contenidos</w:t>
            </w:r>
          </w:p>
          <w:p w14:paraId="03D18F65"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1976CC18" w14:textId="77777777" w:rsidR="00990B14" w:rsidRDefault="00000000">
            <w:pPr>
              <w:keepNext/>
              <w:spacing w:before="20" w:after="20"/>
              <w:jc w:val="center"/>
            </w:pPr>
            <w:r>
              <w:rPr>
                <w:b/>
                <w:bCs/>
                <w:i/>
                <w:iCs/>
                <w:color w:val="FFFFFF"/>
                <w:sz w:val="18"/>
                <w:szCs w:val="18"/>
              </w:rPr>
              <w:t>Conocimientos circunstanciales</w:t>
            </w:r>
          </w:p>
        </w:tc>
      </w:tr>
      <w:tr w:rsidR="00990B14" w14:paraId="23FC72A8" w14:textId="77777777">
        <w:trPr>
          <w:jc w:val="center"/>
        </w:trPr>
        <w:tc>
          <w:tcPr>
            <w:tcW w:w="2349" w:type="dxa"/>
            <w:gridSpan w:val="2"/>
            <w:shd w:val="clear" w:color="auto" w:fill="D9E2F3"/>
          </w:tcPr>
          <w:p w14:paraId="416C605F" w14:textId="77777777" w:rsidR="00990B14" w:rsidRDefault="00000000">
            <w:pPr>
              <w:spacing w:before="20" w:after="40"/>
              <w:jc w:val="both"/>
            </w:pPr>
            <w:r>
              <w:rPr>
                <w:sz w:val="18"/>
                <w:szCs w:val="18"/>
              </w:rPr>
              <w:t>Tema 1: Percepción de la realidad y su vínculo con la investigación científica</w:t>
            </w:r>
          </w:p>
          <w:p w14:paraId="75B9F958" w14:textId="77777777" w:rsidR="00990B14" w:rsidRDefault="00000000">
            <w:pPr>
              <w:spacing w:before="20" w:after="40"/>
              <w:jc w:val="both"/>
            </w:pPr>
            <w:r>
              <w:rPr>
                <w:sz w:val="18"/>
                <w:szCs w:val="18"/>
              </w:rPr>
              <w:t>Tema 2: Tipos y modalidades de graduación</w:t>
            </w:r>
          </w:p>
        </w:tc>
        <w:tc>
          <w:tcPr>
            <w:tcW w:w="4304" w:type="dxa"/>
            <w:gridSpan w:val="8"/>
            <w:shd w:val="clear" w:color="auto" w:fill="D9E2F3"/>
          </w:tcPr>
          <w:p w14:paraId="7A9FA731" w14:textId="77777777" w:rsidR="00990B14" w:rsidRDefault="00000000">
            <w:pPr>
              <w:spacing w:after="40"/>
              <w:jc w:val="both"/>
            </w:pPr>
            <w:r>
              <w:rPr>
                <w:sz w:val="18"/>
                <w:szCs w:val="18"/>
              </w:rPr>
              <w:t>Concepto y dimensiones de la realidad; la práctica social. (C)</w:t>
            </w:r>
          </w:p>
          <w:p w14:paraId="59DDF750" w14:textId="77777777" w:rsidR="00990B14" w:rsidRDefault="00000000">
            <w:pPr>
              <w:spacing w:after="40"/>
              <w:jc w:val="both"/>
            </w:pPr>
            <w:r>
              <w:rPr>
                <w:sz w:val="18"/>
                <w:szCs w:val="18"/>
              </w:rPr>
              <w:t>Los modos de relación con la realidad y la relación sujeto-objeto. (C)</w:t>
            </w:r>
          </w:p>
          <w:p w14:paraId="3365A349" w14:textId="77777777" w:rsidR="00990B14" w:rsidRDefault="00000000">
            <w:pPr>
              <w:spacing w:after="40"/>
              <w:jc w:val="both"/>
            </w:pPr>
            <w:r>
              <w:rPr>
                <w:sz w:val="18"/>
                <w:szCs w:val="18"/>
              </w:rPr>
              <w:t>Realidad objetiva y realidad subjetiva. (C)</w:t>
            </w:r>
          </w:p>
          <w:p w14:paraId="5D35FE96" w14:textId="77777777" w:rsidR="00990B14" w:rsidRDefault="00000000">
            <w:pPr>
              <w:spacing w:after="40"/>
              <w:jc w:val="both"/>
            </w:pPr>
            <w:r>
              <w:rPr>
                <w:sz w:val="18"/>
                <w:szCs w:val="18"/>
              </w:rPr>
              <w:t>Pensamiento crítico en la percepción e interpretación de la realidad y su relación con el conocimiento científico. (A)</w:t>
            </w:r>
          </w:p>
          <w:p w14:paraId="7B749CE0" w14:textId="77777777" w:rsidR="00990B14" w:rsidRDefault="00000000">
            <w:pPr>
              <w:spacing w:after="40"/>
              <w:jc w:val="both"/>
            </w:pPr>
            <w:r>
              <w:rPr>
                <w:sz w:val="18"/>
                <w:szCs w:val="18"/>
              </w:rPr>
              <w:t>Descripción y aplicabilidad del Reglamento General de Tipos y Modalidades de Graduación en el Sistema Universitario Boliviano. (P)</w:t>
            </w:r>
          </w:p>
          <w:p w14:paraId="43B33C27" w14:textId="77777777" w:rsidR="00990B14" w:rsidRDefault="00000000">
            <w:pPr>
              <w:spacing w:after="40"/>
              <w:jc w:val="both"/>
            </w:pPr>
            <w:r>
              <w:rPr>
                <w:sz w:val="18"/>
                <w:szCs w:val="18"/>
              </w:rPr>
              <w:t>Modalidades de graduación aplicables en la Carrera de Contaduría Pública en el marco de la normativa vigente: tesis de grado, proyecto de grado, trabajo dirigido, examen de grado y graduación por excelencia. (C)</w:t>
            </w:r>
          </w:p>
          <w:p w14:paraId="4E178AE5" w14:textId="77777777" w:rsidR="00990B14" w:rsidRDefault="00000000">
            <w:pPr>
              <w:spacing w:after="40"/>
              <w:jc w:val="both"/>
            </w:pPr>
            <w:r>
              <w:rPr>
                <w:sz w:val="18"/>
                <w:szCs w:val="18"/>
              </w:rPr>
              <w:t>Diferencias entre la tesis de grado, el trabajo dirigido y el proyecto de grado. (P)</w:t>
            </w:r>
          </w:p>
          <w:p w14:paraId="78384E27" w14:textId="77777777" w:rsidR="00990B14" w:rsidRDefault="00000000">
            <w:pPr>
              <w:spacing w:after="40"/>
              <w:jc w:val="both"/>
            </w:pPr>
            <w:r>
              <w:rPr>
                <w:sz w:val="18"/>
                <w:szCs w:val="18"/>
              </w:rPr>
              <w:t>Criterios para elegir la modalidad según el perfil del postulante y la disponibilidad de información. (P, A)</w:t>
            </w:r>
          </w:p>
        </w:tc>
        <w:tc>
          <w:tcPr>
            <w:tcW w:w="2752" w:type="dxa"/>
            <w:gridSpan w:val="3"/>
            <w:shd w:val="clear" w:color="auto" w:fill="D9E2F3"/>
          </w:tcPr>
          <w:p w14:paraId="231B1BA4" w14:textId="77777777" w:rsidR="00990B14" w:rsidRDefault="00000000">
            <w:pPr>
              <w:numPr>
                <w:ilvl w:val="0"/>
                <w:numId w:val="139"/>
              </w:numPr>
              <w:spacing w:before="10" w:after="10"/>
              <w:jc w:val="both"/>
            </w:pPr>
            <w:r>
              <w:rPr>
                <w:sz w:val="18"/>
                <w:szCs w:val="18"/>
              </w:rPr>
              <w:t>Reglamento General de Tipos y Modalidades de Graduación vigente en el Sistema Universitario Boliviano.</w:t>
            </w:r>
          </w:p>
          <w:p w14:paraId="62002497" w14:textId="77777777" w:rsidR="00990B14" w:rsidRDefault="00000000">
            <w:pPr>
              <w:numPr>
                <w:ilvl w:val="0"/>
                <w:numId w:val="139"/>
              </w:numPr>
              <w:spacing w:before="10" w:after="10"/>
              <w:jc w:val="both"/>
            </w:pPr>
            <w:r>
              <w:rPr>
                <w:sz w:val="18"/>
                <w:szCs w:val="18"/>
              </w:rPr>
              <w:t>Modalidades de graduación reconocidas por la Carrera de Contaduría Pública de la Universidad Mayor de San Andrés.</w:t>
            </w:r>
          </w:p>
          <w:p w14:paraId="3A888FAB" w14:textId="77777777" w:rsidR="00990B14" w:rsidRDefault="00000000">
            <w:pPr>
              <w:numPr>
                <w:ilvl w:val="0"/>
                <w:numId w:val="139"/>
              </w:numPr>
              <w:spacing w:before="10" w:after="10"/>
              <w:jc w:val="both"/>
            </w:pPr>
            <w:r>
              <w:rPr>
                <w:sz w:val="18"/>
                <w:szCs w:val="18"/>
              </w:rPr>
              <w:t>Reglamentación institucional aplicable a la elaboración y presentación de perfiles de Tesis de Grado y Proyecto de Grado.</w:t>
            </w:r>
          </w:p>
        </w:tc>
      </w:tr>
      <w:tr w:rsidR="00990B14" w14:paraId="49E927B6" w14:textId="77777777">
        <w:trPr>
          <w:cantSplit/>
          <w:jc w:val="center"/>
        </w:trPr>
        <w:tc>
          <w:tcPr>
            <w:tcW w:w="9405" w:type="dxa"/>
            <w:gridSpan w:val="13"/>
            <w:shd w:val="clear" w:color="auto" w:fill="D9E2F3"/>
            <w:vAlign w:val="center"/>
          </w:tcPr>
          <w:p w14:paraId="26C76136" w14:textId="77777777" w:rsidR="00990B14" w:rsidRDefault="00000000">
            <w:pPr>
              <w:spacing w:before="20" w:after="20"/>
              <w:jc w:val="both"/>
            </w:pPr>
            <w:r>
              <w:rPr>
                <w:b/>
                <w:bCs/>
                <w:i/>
                <w:iCs/>
                <w:sz w:val="18"/>
                <w:szCs w:val="18"/>
              </w:rPr>
              <w:t xml:space="preserve">Elemento de competencia 2: </w:t>
            </w:r>
            <w:r>
              <w:rPr>
                <w:sz w:val="18"/>
                <w:szCs w:val="18"/>
              </w:rPr>
              <w:t>Identifica y diferencia las características, tipos y estructuras del ensayo, artículo y monografía académica, mediante el análisis de ejemplos, reconociendo sus finalidades y particularidades metodológicas como conocimientos complementarios a su formación investigativa.</w:t>
            </w:r>
          </w:p>
        </w:tc>
      </w:tr>
      <w:tr w:rsidR="00990B14" w14:paraId="75F89801" w14:textId="77777777">
        <w:trPr>
          <w:cantSplit/>
          <w:jc w:val="center"/>
        </w:trPr>
        <w:tc>
          <w:tcPr>
            <w:tcW w:w="3133" w:type="dxa"/>
            <w:gridSpan w:val="4"/>
            <w:shd w:val="clear" w:color="auto" w:fill="4472C4"/>
            <w:vAlign w:val="center"/>
          </w:tcPr>
          <w:p w14:paraId="10A55BD1"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32C02D94"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11A159A4" w14:textId="77777777" w:rsidR="00990B14" w:rsidRDefault="00000000">
            <w:pPr>
              <w:keepNext/>
              <w:spacing w:before="20" w:after="20"/>
              <w:jc w:val="center"/>
            </w:pPr>
            <w:r>
              <w:rPr>
                <w:b/>
                <w:bCs/>
                <w:i/>
                <w:iCs/>
                <w:color w:val="FFFFFF"/>
                <w:sz w:val="18"/>
                <w:szCs w:val="18"/>
              </w:rPr>
              <w:t>Evidencias de producto</w:t>
            </w:r>
          </w:p>
        </w:tc>
      </w:tr>
      <w:tr w:rsidR="00990B14" w14:paraId="69E7EA59" w14:textId="77777777">
        <w:trPr>
          <w:cantSplit/>
          <w:jc w:val="center"/>
        </w:trPr>
        <w:tc>
          <w:tcPr>
            <w:tcW w:w="3133" w:type="dxa"/>
            <w:gridSpan w:val="4"/>
            <w:vMerge w:val="restart"/>
            <w:shd w:val="clear" w:color="auto" w:fill="D9E2F3"/>
            <w:vAlign w:val="center"/>
          </w:tcPr>
          <w:p w14:paraId="5CEC5DBD" w14:textId="77777777" w:rsidR="00990B14" w:rsidRDefault="00000000">
            <w:pPr>
              <w:spacing w:before="20" w:after="20"/>
              <w:jc w:val="both"/>
            </w:pPr>
            <w:r>
              <w:rPr>
                <w:sz w:val="18"/>
                <w:szCs w:val="18"/>
              </w:rPr>
              <w:t>1. Identifica las características, tipos, finalidades y estructuras del ensayo y del artículo académico, diferenciando sus particularidades mediante el análisis de ejemplos.</w:t>
            </w:r>
          </w:p>
        </w:tc>
        <w:tc>
          <w:tcPr>
            <w:tcW w:w="3135" w:type="dxa"/>
            <w:gridSpan w:val="5"/>
            <w:shd w:val="clear" w:color="auto" w:fill="D9E2F3"/>
            <w:vAlign w:val="center"/>
          </w:tcPr>
          <w:p w14:paraId="72D513C4" w14:textId="77777777" w:rsidR="00990B14" w:rsidRDefault="00000000">
            <w:pPr>
              <w:spacing w:before="20" w:after="20"/>
              <w:jc w:val="both"/>
            </w:pPr>
            <w:r>
              <w:rPr>
                <w:sz w:val="18"/>
                <w:szCs w:val="18"/>
              </w:rPr>
              <w:t>1.1 Explica las características, tipos, finalidades y estructuras del ensayo, diferenciando sus particularidades mediante el análisis de ejemplos.</w:t>
            </w:r>
          </w:p>
        </w:tc>
        <w:tc>
          <w:tcPr>
            <w:tcW w:w="3137" w:type="dxa"/>
            <w:gridSpan w:val="4"/>
            <w:shd w:val="clear" w:color="auto" w:fill="D9E2F3"/>
            <w:vAlign w:val="center"/>
          </w:tcPr>
          <w:p w14:paraId="73644CEC" w14:textId="77777777" w:rsidR="00990B14" w:rsidRDefault="00000000">
            <w:pPr>
              <w:spacing w:before="20" w:after="20"/>
              <w:jc w:val="both"/>
            </w:pPr>
            <w:r>
              <w:rPr>
                <w:b/>
                <w:bCs/>
                <w:sz w:val="18"/>
                <w:szCs w:val="18"/>
              </w:rPr>
              <w:t xml:space="preserve">Producto 5: </w:t>
            </w:r>
            <w:r>
              <w:rPr>
                <w:sz w:val="18"/>
                <w:szCs w:val="18"/>
              </w:rPr>
              <w:t>Cuadro comparativo de los tipos de ensayo, considerando sus características, finalidades, estructuras y particularidades, a partir del análisis de ejemplos.</w:t>
            </w:r>
          </w:p>
        </w:tc>
      </w:tr>
      <w:tr w:rsidR="00990B14" w14:paraId="42E44A8D" w14:textId="77777777">
        <w:trPr>
          <w:cantSplit/>
          <w:jc w:val="center"/>
        </w:trPr>
        <w:tc>
          <w:tcPr>
            <w:tcW w:w="3133" w:type="dxa"/>
            <w:gridSpan w:val="4"/>
            <w:vMerge/>
            <w:shd w:val="clear" w:color="auto" w:fill="D9E2F3"/>
            <w:vAlign w:val="center"/>
          </w:tcPr>
          <w:p w14:paraId="011658D7" w14:textId="77777777" w:rsidR="00990B14" w:rsidRDefault="00990B14">
            <w:pPr>
              <w:spacing w:before="20" w:after="20"/>
            </w:pPr>
          </w:p>
        </w:tc>
        <w:tc>
          <w:tcPr>
            <w:tcW w:w="3135" w:type="dxa"/>
            <w:gridSpan w:val="5"/>
            <w:shd w:val="clear" w:color="auto" w:fill="D9E2F3"/>
            <w:vAlign w:val="center"/>
          </w:tcPr>
          <w:p w14:paraId="515AD0EC" w14:textId="77777777" w:rsidR="00990B14" w:rsidRDefault="00000000">
            <w:pPr>
              <w:spacing w:before="20" w:after="20"/>
              <w:jc w:val="both"/>
            </w:pPr>
            <w:r>
              <w:rPr>
                <w:sz w:val="18"/>
                <w:szCs w:val="18"/>
              </w:rPr>
              <w:t>1.2 Describe las características, tipos, finalidades y estructuras del artículo académico y de opinión, identificando sus diferencias mediante el análisis de ejemplos.</w:t>
            </w:r>
          </w:p>
        </w:tc>
        <w:tc>
          <w:tcPr>
            <w:tcW w:w="3137" w:type="dxa"/>
            <w:gridSpan w:val="4"/>
            <w:shd w:val="clear" w:color="auto" w:fill="D9E2F3"/>
            <w:vAlign w:val="center"/>
          </w:tcPr>
          <w:p w14:paraId="240DDD02" w14:textId="77777777" w:rsidR="00990B14" w:rsidRDefault="00000000">
            <w:pPr>
              <w:spacing w:before="20" w:after="20"/>
              <w:jc w:val="both"/>
            </w:pPr>
            <w:r>
              <w:rPr>
                <w:b/>
                <w:bCs/>
                <w:sz w:val="18"/>
                <w:szCs w:val="18"/>
              </w:rPr>
              <w:t xml:space="preserve">Producto 6: </w:t>
            </w:r>
            <w:r>
              <w:rPr>
                <w:sz w:val="18"/>
                <w:szCs w:val="18"/>
              </w:rPr>
              <w:t>Cuadro comparativo del artículo científico y del artículo de opinión, identificando sus características, finalidades, estructuras y diferencias fundamentales, a partir del análisis de ejemplos.</w:t>
            </w:r>
          </w:p>
        </w:tc>
      </w:tr>
      <w:tr w:rsidR="00990B14" w14:paraId="2DF722CB" w14:textId="77777777">
        <w:trPr>
          <w:cantSplit/>
          <w:jc w:val="center"/>
        </w:trPr>
        <w:tc>
          <w:tcPr>
            <w:tcW w:w="3133" w:type="dxa"/>
            <w:gridSpan w:val="4"/>
            <w:vMerge w:val="restart"/>
            <w:shd w:val="clear" w:color="auto" w:fill="D9E2F3"/>
            <w:vAlign w:val="center"/>
          </w:tcPr>
          <w:p w14:paraId="4B0CDF3C" w14:textId="77777777" w:rsidR="00990B14" w:rsidRDefault="00000000">
            <w:pPr>
              <w:spacing w:before="20" w:after="20"/>
              <w:jc w:val="both"/>
            </w:pPr>
            <w:r>
              <w:rPr>
                <w:sz w:val="18"/>
                <w:szCs w:val="18"/>
              </w:rPr>
              <w:t>2. Reconoce las características, finalidad y estructura de la monografía académica, identificando sus componentes y particularidades metodológicas mediante el análisis de ejemplos.</w:t>
            </w:r>
          </w:p>
        </w:tc>
        <w:tc>
          <w:tcPr>
            <w:tcW w:w="3135" w:type="dxa"/>
            <w:gridSpan w:val="5"/>
            <w:shd w:val="clear" w:color="auto" w:fill="D9E2F3"/>
            <w:vAlign w:val="center"/>
          </w:tcPr>
          <w:p w14:paraId="47DCDCBC" w14:textId="77777777" w:rsidR="00990B14" w:rsidRDefault="00000000">
            <w:pPr>
              <w:spacing w:before="20" w:after="20"/>
              <w:jc w:val="both"/>
            </w:pPr>
            <w:r>
              <w:rPr>
                <w:sz w:val="18"/>
                <w:szCs w:val="18"/>
              </w:rPr>
              <w:t>2.1 Explica las características, finalidad y particularidades metodológicas de la monografía académica, mediante el análisis de ejemplos.</w:t>
            </w:r>
          </w:p>
        </w:tc>
        <w:tc>
          <w:tcPr>
            <w:tcW w:w="3137" w:type="dxa"/>
            <w:gridSpan w:val="4"/>
            <w:shd w:val="clear" w:color="auto" w:fill="D9E2F3"/>
            <w:vAlign w:val="center"/>
          </w:tcPr>
          <w:p w14:paraId="7F0CED43" w14:textId="77777777" w:rsidR="00990B14" w:rsidRDefault="00000000">
            <w:pPr>
              <w:spacing w:before="20" w:after="20"/>
              <w:jc w:val="both"/>
            </w:pPr>
            <w:r>
              <w:rPr>
                <w:b/>
                <w:bCs/>
                <w:sz w:val="18"/>
                <w:szCs w:val="18"/>
              </w:rPr>
              <w:t xml:space="preserve">Producto 7: </w:t>
            </w:r>
            <w:r>
              <w:rPr>
                <w:sz w:val="18"/>
                <w:szCs w:val="18"/>
              </w:rPr>
              <w:t>Cuadro descriptivo de las características, finalidad y particularidades metodológicas de la monografía académica, a partir del análisis de ejemplos.</w:t>
            </w:r>
          </w:p>
        </w:tc>
      </w:tr>
      <w:tr w:rsidR="00990B14" w14:paraId="164926B2" w14:textId="77777777">
        <w:trPr>
          <w:cantSplit/>
          <w:jc w:val="center"/>
        </w:trPr>
        <w:tc>
          <w:tcPr>
            <w:tcW w:w="3133" w:type="dxa"/>
            <w:gridSpan w:val="4"/>
            <w:vMerge/>
            <w:shd w:val="clear" w:color="auto" w:fill="D9E2F3"/>
            <w:vAlign w:val="center"/>
          </w:tcPr>
          <w:p w14:paraId="7CFE9E88" w14:textId="77777777" w:rsidR="00990B14" w:rsidRDefault="00990B14">
            <w:pPr>
              <w:spacing w:before="20" w:after="20"/>
            </w:pPr>
          </w:p>
        </w:tc>
        <w:tc>
          <w:tcPr>
            <w:tcW w:w="3135" w:type="dxa"/>
            <w:gridSpan w:val="5"/>
            <w:shd w:val="clear" w:color="auto" w:fill="D9E2F3"/>
            <w:vAlign w:val="center"/>
          </w:tcPr>
          <w:p w14:paraId="4F14D0F9" w14:textId="77777777" w:rsidR="00990B14" w:rsidRDefault="00000000">
            <w:pPr>
              <w:spacing w:before="20" w:after="20"/>
              <w:jc w:val="both"/>
            </w:pPr>
            <w:r>
              <w:rPr>
                <w:sz w:val="18"/>
                <w:szCs w:val="18"/>
              </w:rPr>
              <w:t>2.2 Identifica y diferencia los componentes estructurales de una monografía académica, explicando su función y organización dentro del documento.</w:t>
            </w:r>
          </w:p>
        </w:tc>
        <w:tc>
          <w:tcPr>
            <w:tcW w:w="3137" w:type="dxa"/>
            <w:gridSpan w:val="4"/>
            <w:shd w:val="clear" w:color="auto" w:fill="D9E2F3"/>
            <w:vAlign w:val="center"/>
          </w:tcPr>
          <w:p w14:paraId="6CA1CD2D" w14:textId="77777777" w:rsidR="00990B14" w:rsidRDefault="00000000">
            <w:pPr>
              <w:spacing w:before="20" w:after="20"/>
              <w:jc w:val="both"/>
            </w:pPr>
            <w:r>
              <w:rPr>
                <w:b/>
                <w:bCs/>
                <w:sz w:val="18"/>
                <w:szCs w:val="18"/>
              </w:rPr>
              <w:t xml:space="preserve">Producto 8: </w:t>
            </w:r>
            <w:r>
              <w:rPr>
                <w:sz w:val="18"/>
                <w:szCs w:val="18"/>
              </w:rPr>
              <w:t>Esquema estructural de una monografía académica, identificando sus componentes fundamentales, funciones y organización.</w:t>
            </w:r>
          </w:p>
        </w:tc>
      </w:tr>
      <w:tr w:rsidR="00990B14" w14:paraId="2AA9F1ED" w14:textId="77777777">
        <w:trPr>
          <w:cantSplit/>
          <w:jc w:val="center"/>
        </w:trPr>
        <w:tc>
          <w:tcPr>
            <w:tcW w:w="9405" w:type="dxa"/>
            <w:gridSpan w:val="13"/>
            <w:shd w:val="clear" w:color="auto" w:fill="4472C4"/>
            <w:vAlign w:val="center"/>
          </w:tcPr>
          <w:p w14:paraId="0F5E2B25" w14:textId="77777777" w:rsidR="00990B14" w:rsidRDefault="00000000">
            <w:pPr>
              <w:keepNext/>
              <w:spacing w:before="20" w:after="20"/>
              <w:jc w:val="center"/>
            </w:pPr>
            <w:r>
              <w:rPr>
                <w:b/>
                <w:bCs/>
                <w:i/>
                <w:iCs/>
                <w:color w:val="FFFFFF"/>
                <w:sz w:val="18"/>
                <w:szCs w:val="18"/>
              </w:rPr>
              <w:t>Evidencias de conocimiento</w:t>
            </w:r>
          </w:p>
        </w:tc>
      </w:tr>
      <w:tr w:rsidR="00990B14" w14:paraId="1EFBA375" w14:textId="77777777">
        <w:trPr>
          <w:cantSplit/>
          <w:jc w:val="center"/>
        </w:trPr>
        <w:tc>
          <w:tcPr>
            <w:tcW w:w="2349" w:type="dxa"/>
            <w:gridSpan w:val="2"/>
            <w:shd w:val="clear" w:color="auto" w:fill="4472C4"/>
            <w:vAlign w:val="center"/>
          </w:tcPr>
          <w:p w14:paraId="54B2CF83"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6ACFBA31" w14:textId="77777777" w:rsidR="00990B14" w:rsidRDefault="00000000">
            <w:pPr>
              <w:keepNext/>
              <w:spacing w:before="20" w:after="20"/>
              <w:jc w:val="both"/>
            </w:pPr>
            <w:r>
              <w:rPr>
                <w:b/>
                <w:bCs/>
                <w:i/>
                <w:iCs/>
                <w:color w:val="FFFFFF"/>
                <w:sz w:val="18"/>
                <w:szCs w:val="18"/>
              </w:rPr>
              <w:t>Contenidos</w:t>
            </w:r>
          </w:p>
          <w:p w14:paraId="3E26CF54"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71ECA826" w14:textId="77777777" w:rsidR="00990B14" w:rsidRDefault="00000000">
            <w:pPr>
              <w:keepNext/>
              <w:spacing w:before="20" w:after="20"/>
              <w:jc w:val="center"/>
            </w:pPr>
            <w:r>
              <w:rPr>
                <w:b/>
                <w:bCs/>
                <w:i/>
                <w:iCs/>
                <w:color w:val="FFFFFF"/>
                <w:sz w:val="18"/>
                <w:szCs w:val="18"/>
              </w:rPr>
              <w:t>Conocimientos circunstanciales</w:t>
            </w:r>
          </w:p>
        </w:tc>
      </w:tr>
      <w:tr w:rsidR="00990B14" w14:paraId="2089764F" w14:textId="77777777">
        <w:trPr>
          <w:jc w:val="center"/>
        </w:trPr>
        <w:tc>
          <w:tcPr>
            <w:tcW w:w="2349" w:type="dxa"/>
            <w:gridSpan w:val="2"/>
            <w:shd w:val="clear" w:color="auto" w:fill="D9E2F3"/>
          </w:tcPr>
          <w:p w14:paraId="36BA777A" w14:textId="77777777" w:rsidR="00990B14" w:rsidRDefault="00000000">
            <w:pPr>
              <w:spacing w:before="20" w:after="40"/>
              <w:jc w:val="both"/>
            </w:pPr>
            <w:r>
              <w:rPr>
                <w:sz w:val="18"/>
                <w:szCs w:val="18"/>
              </w:rPr>
              <w:t>Tema 3: Ensayo</w:t>
            </w:r>
          </w:p>
          <w:p w14:paraId="2A865119" w14:textId="77777777" w:rsidR="00990B14" w:rsidRDefault="00000000">
            <w:pPr>
              <w:spacing w:before="20" w:after="40"/>
              <w:jc w:val="both"/>
            </w:pPr>
            <w:r>
              <w:rPr>
                <w:sz w:val="18"/>
                <w:szCs w:val="18"/>
              </w:rPr>
              <w:t>Tema 4: Artículo</w:t>
            </w:r>
          </w:p>
          <w:p w14:paraId="7DE1F462" w14:textId="77777777" w:rsidR="00990B14" w:rsidRDefault="00000000">
            <w:pPr>
              <w:spacing w:before="20" w:after="40"/>
              <w:jc w:val="both"/>
            </w:pPr>
            <w:r>
              <w:rPr>
                <w:sz w:val="18"/>
                <w:szCs w:val="18"/>
              </w:rPr>
              <w:t>Tema 5: Monografía</w:t>
            </w:r>
          </w:p>
        </w:tc>
        <w:tc>
          <w:tcPr>
            <w:tcW w:w="4304" w:type="dxa"/>
            <w:gridSpan w:val="8"/>
            <w:shd w:val="clear" w:color="auto" w:fill="D9E2F3"/>
          </w:tcPr>
          <w:p w14:paraId="60695EAB" w14:textId="77777777" w:rsidR="00990B14" w:rsidRDefault="00000000">
            <w:pPr>
              <w:spacing w:after="40"/>
              <w:jc w:val="both"/>
            </w:pPr>
            <w:r>
              <w:rPr>
                <w:sz w:val="18"/>
                <w:szCs w:val="18"/>
              </w:rPr>
              <w:t>Concepto, tipos, partes, características y estructura del ensayo. (C)</w:t>
            </w:r>
          </w:p>
          <w:p w14:paraId="4561A4C1" w14:textId="77777777" w:rsidR="00990B14" w:rsidRDefault="00000000">
            <w:pPr>
              <w:spacing w:after="40"/>
              <w:jc w:val="both"/>
            </w:pPr>
            <w:r>
              <w:rPr>
                <w:sz w:val="18"/>
                <w:szCs w:val="18"/>
              </w:rPr>
              <w:t>Uso responsable de las herramientas de inteligencia artificial en la escritura académica y su declaración. (A, T)</w:t>
            </w:r>
          </w:p>
          <w:p w14:paraId="4DFA69C3" w14:textId="77777777" w:rsidR="00990B14" w:rsidRDefault="00000000">
            <w:pPr>
              <w:spacing w:after="40"/>
              <w:jc w:val="both"/>
            </w:pPr>
            <w:r>
              <w:rPr>
                <w:sz w:val="18"/>
                <w:szCs w:val="18"/>
              </w:rPr>
              <w:t>Procedimiento para elaborar el ensayo. (P)</w:t>
            </w:r>
          </w:p>
          <w:p w14:paraId="1AB83C07" w14:textId="77777777" w:rsidR="00990B14" w:rsidRDefault="00000000">
            <w:pPr>
              <w:spacing w:after="40"/>
              <w:jc w:val="both"/>
            </w:pPr>
            <w:r>
              <w:rPr>
                <w:sz w:val="18"/>
                <w:szCs w:val="18"/>
              </w:rPr>
              <w:t>Definición, propósito y características del artículo científico o académico. (C)</w:t>
            </w:r>
          </w:p>
          <w:p w14:paraId="28E39862" w14:textId="77777777" w:rsidR="00990B14" w:rsidRDefault="00000000">
            <w:pPr>
              <w:spacing w:after="40"/>
              <w:jc w:val="both"/>
            </w:pPr>
            <w:r>
              <w:rPr>
                <w:sz w:val="18"/>
                <w:szCs w:val="18"/>
              </w:rPr>
              <w:t>Estructura del artículo científico conforme al sistema IMRYD: introducción, metodología, resultados y discusión. (C, P)</w:t>
            </w:r>
          </w:p>
          <w:p w14:paraId="3E59B826" w14:textId="77777777" w:rsidR="00990B14" w:rsidRDefault="00000000">
            <w:pPr>
              <w:spacing w:after="40"/>
              <w:jc w:val="both"/>
            </w:pPr>
            <w:r>
              <w:rPr>
                <w:sz w:val="18"/>
                <w:szCs w:val="18"/>
              </w:rPr>
              <w:t>Resumen, palabras clave y lectura crítica de artículos científicos. (P, A)</w:t>
            </w:r>
          </w:p>
          <w:p w14:paraId="12FA6DC3" w14:textId="77777777" w:rsidR="00990B14" w:rsidRDefault="00000000">
            <w:pPr>
              <w:spacing w:after="40"/>
              <w:jc w:val="both"/>
            </w:pPr>
            <w:r>
              <w:rPr>
                <w:sz w:val="18"/>
                <w:szCs w:val="18"/>
              </w:rPr>
              <w:t>Bases de datos académicas, identificadores de publicaciones y criterios de selección de fuentes confiables. (C, P)</w:t>
            </w:r>
          </w:p>
          <w:p w14:paraId="2C519128" w14:textId="77777777" w:rsidR="00990B14" w:rsidRDefault="00000000">
            <w:pPr>
              <w:spacing w:after="40"/>
              <w:jc w:val="both"/>
            </w:pPr>
            <w:r>
              <w:rPr>
                <w:sz w:val="18"/>
                <w:szCs w:val="18"/>
              </w:rPr>
              <w:t>Concepto, carácter, características y tipos de monografía. (C)</w:t>
            </w:r>
          </w:p>
          <w:p w14:paraId="503A71AA" w14:textId="77777777" w:rsidR="00990B14" w:rsidRDefault="00000000">
            <w:pPr>
              <w:spacing w:after="40"/>
              <w:jc w:val="both"/>
            </w:pPr>
            <w:r>
              <w:rPr>
                <w:sz w:val="18"/>
                <w:szCs w:val="18"/>
              </w:rPr>
              <w:t>Etapas y partes de la monografía. (C, P)</w:t>
            </w:r>
          </w:p>
          <w:p w14:paraId="6D276132" w14:textId="77777777" w:rsidR="00990B14" w:rsidRDefault="00000000">
            <w:pPr>
              <w:spacing w:after="40"/>
              <w:jc w:val="both"/>
            </w:pPr>
            <w:r>
              <w:rPr>
                <w:sz w:val="18"/>
                <w:szCs w:val="18"/>
              </w:rPr>
              <w:t>Estructura del proyecto de monografía. (C, P)</w:t>
            </w:r>
          </w:p>
          <w:p w14:paraId="1AC89E39" w14:textId="77777777" w:rsidR="00990B14" w:rsidRDefault="00000000">
            <w:pPr>
              <w:spacing w:after="40"/>
              <w:jc w:val="both"/>
            </w:pPr>
            <w:r>
              <w:rPr>
                <w:sz w:val="18"/>
                <w:szCs w:val="18"/>
              </w:rPr>
              <w:t>Estructura de la monografía. (C, P)</w:t>
            </w:r>
          </w:p>
          <w:p w14:paraId="1D6AA948" w14:textId="77777777" w:rsidR="00990B14" w:rsidRDefault="00000000">
            <w:pPr>
              <w:spacing w:after="40"/>
              <w:jc w:val="both"/>
            </w:pPr>
            <w:r>
              <w:rPr>
                <w:sz w:val="18"/>
                <w:szCs w:val="18"/>
              </w:rPr>
              <w:t>Normas de citación, uso de gestores de referencias bibliográficas y prevención del plagio. (C, P, A)</w:t>
            </w:r>
          </w:p>
        </w:tc>
        <w:tc>
          <w:tcPr>
            <w:tcW w:w="2752" w:type="dxa"/>
            <w:gridSpan w:val="3"/>
            <w:shd w:val="clear" w:color="auto" w:fill="D9E2F3"/>
          </w:tcPr>
          <w:p w14:paraId="1FECE7F4" w14:textId="77777777" w:rsidR="00990B14" w:rsidRDefault="00000000">
            <w:pPr>
              <w:numPr>
                <w:ilvl w:val="0"/>
                <w:numId w:val="139"/>
              </w:numPr>
              <w:spacing w:before="10" w:after="10"/>
              <w:jc w:val="both"/>
            </w:pPr>
            <w:r>
              <w:rPr>
                <w:sz w:val="18"/>
                <w:szCs w:val="18"/>
              </w:rPr>
              <w:t>Normas ortográficas y gramaticales del español académico.</w:t>
            </w:r>
          </w:p>
          <w:p w14:paraId="5E8B4957" w14:textId="77777777" w:rsidR="00990B14" w:rsidRDefault="00000000">
            <w:pPr>
              <w:numPr>
                <w:ilvl w:val="0"/>
                <w:numId w:val="139"/>
              </w:numPr>
              <w:spacing w:before="10" w:after="10"/>
              <w:jc w:val="both"/>
            </w:pPr>
            <w:r>
              <w:rPr>
                <w:sz w:val="18"/>
                <w:szCs w:val="18"/>
              </w:rPr>
              <w:t>Técnicas de lectura comprensiva y de síntesis de textos académicos.</w:t>
            </w:r>
          </w:p>
        </w:tc>
      </w:tr>
      <w:tr w:rsidR="00990B14" w14:paraId="2BC43E28" w14:textId="77777777">
        <w:trPr>
          <w:cantSplit/>
          <w:jc w:val="center"/>
        </w:trPr>
        <w:tc>
          <w:tcPr>
            <w:tcW w:w="9405" w:type="dxa"/>
            <w:gridSpan w:val="13"/>
            <w:shd w:val="clear" w:color="auto" w:fill="D9E2F3"/>
            <w:vAlign w:val="center"/>
          </w:tcPr>
          <w:p w14:paraId="548C7729" w14:textId="77777777" w:rsidR="00990B14" w:rsidRDefault="00000000">
            <w:pPr>
              <w:spacing w:before="20" w:after="20"/>
              <w:jc w:val="both"/>
            </w:pPr>
            <w:r>
              <w:rPr>
                <w:b/>
                <w:bCs/>
                <w:i/>
                <w:iCs/>
                <w:sz w:val="18"/>
                <w:szCs w:val="18"/>
              </w:rPr>
              <w:t xml:space="preserve">Elemento de competencia 3: </w:t>
            </w:r>
            <w:r>
              <w:rPr>
                <w:sz w:val="18"/>
                <w:szCs w:val="18"/>
              </w:rPr>
              <w:t>Elabora el Perfil de Tesis de Grado o el Perfil de Proyecto de Grado, a partir de la generación de una idea de investigación vinculada con las líneas de investigación de la Carrera de Contaduría Pública, mediante la identificación y problematización del objeto de estudio, la revisión de la literatura y la construcción de un modelo teórico o modelo aplicado, según la modalidad de graduación seleccionada</w:t>
            </w:r>
          </w:p>
        </w:tc>
      </w:tr>
      <w:tr w:rsidR="00990B14" w14:paraId="0B53B7F5" w14:textId="77777777">
        <w:trPr>
          <w:cantSplit/>
          <w:jc w:val="center"/>
        </w:trPr>
        <w:tc>
          <w:tcPr>
            <w:tcW w:w="3133" w:type="dxa"/>
            <w:gridSpan w:val="4"/>
            <w:shd w:val="clear" w:color="auto" w:fill="4472C4"/>
            <w:vAlign w:val="center"/>
          </w:tcPr>
          <w:p w14:paraId="22914B57"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3B041508"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26A7B83D" w14:textId="77777777" w:rsidR="00990B14" w:rsidRDefault="00000000">
            <w:pPr>
              <w:keepNext/>
              <w:spacing w:before="20" w:after="20"/>
              <w:jc w:val="center"/>
            </w:pPr>
            <w:r>
              <w:rPr>
                <w:b/>
                <w:bCs/>
                <w:i/>
                <w:iCs/>
                <w:color w:val="FFFFFF"/>
                <w:sz w:val="18"/>
                <w:szCs w:val="18"/>
              </w:rPr>
              <w:t>Evidencias de producto</w:t>
            </w:r>
          </w:p>
        </w:tc>
      </w:tr>
      <w:tr w:rsidR="00990B14" w14:paraId="78EEA9BA" w14:textId="77777777">
        <w:trPr>
          <w:cantSplit/>
          <w:jc w:val="center"/>
        </w:trPr>
        <w:tc>
          <w:tcPr>
            <w:tcW w:w="3133" w:type="dxa"/>
            <w:gridSpan w:val="4"/>
            <w:vMerge w:val="restart"/>
            <w:shd w:val="clear" w:color="auto" w:fill="D9E2F3"/>
            <w:vAlign w:val="center"/>
          </w:tcPr>
          <w:p w14:paraId="25C4E389" w14:textId="77777777" w:rsidR="00990B14" w:rsidRDefault="00000000">
            <w:pPr>
              <w:spacing w:before="20" w:after="20"/>
              <w:jc w:val="both"/>
            </w:pPr>
            <w:r>
              <w:rPr>
                <w:sz w:val="18"/>
                <w:szCs w:val="18"/>
              </w:rPr>
              <w:t>1. Identifica y problematiza una temática de investigación pertinente al ámbito de la Contaduría Pública, vinculada con las líneas de investigación institucionales, mediante la revisión de la literatura y la delimitación del objeto de estudio.</w:t>
            </w:r>
          </w:p>
        </w:tc>
        <w:tc>
          <w:tcPr>
            <w:tcW w:w="3135" w:type="dxa"/>
            <w:gridSpan w:val="5"/>
            <w:shd w:val="clear" w:color="auto" w:fill="D9E2F3"/>
            <w:vAlign w:val="center"/>
          </w:tcPr>
          <w:p w14:paraId="0D59B4B9" w14:textId="77777777" w:rsidR="00990B14" w:rsidRDefault="00000000">
            <w:pPr>
              <w:spacing w:before="20" w:after="20"/>
              <w:jc w:val="both"/>
            </w:pPr>
            <w:r>
              <w:rPr>
                <w:sz w:val="18"/>
                <w:szCs w:val="18"/>
              </w:rPr>
              <w:t>1.1 Identifica y fundamenta una temática de investigación pertinente al ámbito de la Contaduría Pública, a partir de la generación de ideas, la revisión de la literatura y su vinculación con las líneas de investigación institucionales.</w:t>
            </w:r>
          </w:p>
        </w:tc>
        <w:tc>
          <w:tcPr>
            <w:tcW w:w="3137" w:type="dxa"/>
            <w:gridSpan w:val="4"/>
            <w:shd w:val="clear" w:color="auto" w:fill="D9E2F3"/>
            <w:vAlign w:val="center"/>
          </w:tcPr>
          <w:p w14:paraId="4576C84A" w14:textId="77777777" w:rsidR="00990B14" w:rsidRDefault="00000000">
            <w:pPr>
              <w:spacing w:before="20" w:after="20"/>
              <w:jc w:val="both"/>
            </w:pPr>
            <w:r>
              <w:rPr>
                <w:b/>
                <w:bCs/>
                <w:sz w:val="18"/>
                <w:szCs w:val="18"/>
              </w:rPr>
              <w:t xml:space="preserve">Producto 9: </w:t>
            </w:r>
            <w:r>
              <w:rPr>
                <w:sz w:val="18"/>
                <w:szCs w:val="18"/>
              </w:rPr>
              <w:t>Documento de revisión de la literatura y construcción del modelo teórico o modelo aplicado, según la modalidad de graduación seleccionada, que sustente la identificación y fundamentación de la temática de investigación, en correspondencia con las líneas de investigación institucionales.</w:t>
            </w:r>
          </w:p>
        </w:tc>
      </w:tr>
      <w:tr w:rsidR="00990B14" w14:paraId="7519AF41" w14:textId="77777777">
        <w:trPr>
          <w:cantSplit/>
          <w:jc w:val="center"/>
        </w:trPr>
        <w:tc>
          <w:tcPr>
            <w:tcW w:w="3133" w:type="dxa"/>
            <w:gridSpan w:val="4"/>
            <w:vMerge/>
            <w:shd w:val="clear" w:color="auto" w:fill="D9E2F3"/>
            <w:vAlign w:val="center"/>
          </w:tcPr>
          <w:p w14:paraId="76F24585" w14:textId="77777777" w:rsidR="00990B14" w:rsidRDefault="00990B14">
            <w:pPr>
              <w:spacing w:before="20" w:after="20"/>
            </w:pPr>
          </w:p>
        </w:tc>
        <w:tc>
          <w:tcPr>
            <w:tcW w:w="3135" w:type="dxa"/>
            <w:gridSpan w:val="5"/>
            <w:shd w:val="clear" w:color="auto" w:fill="D9E2F3"/>
            <w:vAlign w:val="center"/>
          </w:tcPr>
          <w:p w14:paraId="4761F062" w14:textId="77777777" w:rsidR="00990B14" w:rsidRDefault="00000000">
            <w:pPr>
              <w:spacing w:before="20" w:after="20"/>
              <w:jc w:val="both"/>
            </w:pPr>
            <w:r>
              <w:rPr>
                <w:sz w:val="18"/>
                <w:szCs w:val="18"/>
              </w:rPr>
              <w:t>1.2 Analiza y problematiza el objeto de estudio, identificando las variables de investigación y delimitando el problema en sus dimensiones temática, espacial y temporal, según la modalidad de graduación seleccionada.</w:t>
            </w:r>
          </w:p>
        </w:tc>
        <w:tc>
          <w:tcPr>
            <w:tcW w:w="3137" w:type="dxa"/>
            <w:gridSpan w:val="4"/>
            <w:shd w:val="clear" w:color="auto" w:fill="D9E2F3"/>
            <w:vAlign w:val="center"/>
          </w:tcPr>
          <w:p w14:paraId="134FBD31" w14:textId="77777777" w:rsidR="00990B14" w:rsidRDefault="00000000">
            <w:pPr>
              <w:spacing w:before="20" w:after="20"/>
              <w:jc w:val="both"/>
            </w:pPr>
            <w:r>
              <w:rPr>
                <w:b/>
                <w:bCs/>
                <w:sz w:val="18"/>
                <w:szCs w:val="18"/>
              </w:rPr>
              <w:t xml:space="preserve">Producto 10: </w:t>
            </w:r>
            <w:r>
              <w:rPr>
                <w:sz w:val="18"/>
                <w:szCs w:val="18"/>
              </w:rPr>
              <w:t>Analiza y problematiza el objeto de estudio, identificando las variables de investigación y delimitando el problema en sus dimensiones temática, espacial y temporal, según la modalidad de graduación seleccionada.</w:t>
            </w:r>
          </w:p>
        </w:tc>
      </w:tr>
      <w:tr w:rsidR="00990B14" w14:paraId="1869F9B4" w14:textId="77777777">
        <w:trPr>
          <w:cantSplit/>
          <w:jc w:val="center"/>
        </w:trPr>
        <w:tc>
          <w:tcPr>
            <w:tcW w:w="3133" w:type="dxa"/>
            <w:gridSpan w:val="4"/>
            <w:vMerge w:val="restart"/>
            <w:shd w:val="clear" w:color="auto" w:fill="D9E2F3"/>
            <w:vAlign w:val="center"/>
          </w:tcPr>
          <w:p w14:paraId="75654220" w14:textId="77777777" w:rsidR="00990B14" w:rsidRDefault="00000000">
            <w:pPr>
              <w:spacing w:before="20" w:after="20"/>
              <w:jc w:val="both"/>
            </w:pPr>
            <w:r>
              <w:rPr>
                <w:sz w:val="18"/>
                <w:szCs w:val="18"/>
              </w:rPr>
              <w:t>2. Estructura y elabora el Perfil de Tesis de Grado o el Perfil de Proyecto de Grado, articulando sus componentes teóricos y metodológicos con la construcción de un modelo teórico o modelo aplicado, según la modalidad seleccionada, bajo criterios de coherencia, rigor académico y normativa institucional.</w:t>
            </w:r>
          </w:p>
        </w:tc>
        <w:tc>
          <w:tcPr>
            <w:tcW w:w="3135" w:type="dxa"/>
            <w:gridSpan w:val="5"/>
            <w:shd w:val="clear" w:color="auto" w:fill="D9E2F3"/>
            <w:vAlign w:val="center"/>
          </w:tcPr>
          <w:p w14:paraId="48A6CD05" w14:textId="77777777" w:rsidR="00990B14" w:rsidRDefault="00000000">
            <w:pPr>
              <w:spacing w:before="20" w:after="20"/>
              <w:jc w:val="both"/>
            </w:pPr>
            <w:r>
              <w:rPr>
                <w:sz w:val="18"/>
                <w:szCs w:val="18"/>
              </w:rPr>
              <w:t>2.1 Organiza y articula los componentes teóricos y metodológicos del Perfil de Tesis de Grado o del Perfil de Proyecto de Grado, estableciendo coherencia entre el problema, los objetivos, las variables de investigación y el modelo teórico o modelo aplicado, según la modalidad seleccionada.</w:t>
            </w:r>
          </w:p>
        </w:tc>
        <w:tc>
          <w:tcPr>
            <w:tcW w:w="3137" w:type="dxa"/>
            <w:gridSpan w:val="4"/>
            <w:shd w:val="clear" w:color="auto" w:fill="D9E2F3"/>
            <w:vAlign w:val="center"/>
          </w:tcPr>
          <w:p w14:paraId="42141B59" w14:textId="77777777" w:rsidR="00990B14" w:rsidRDefault="00000000">
            <w:pPr>
              <w:spacing w:before="20" w:after="20"/>
              <w:jc w:val="both"/>
            </w:pPr>
            <w:r>
              <w:rPr>
                <w:b/>
                <w:bCs/>
                <w:sz w:val="18"/>
                <w:szCs w:val="18"/>
              </w:rPr>
              <w:t xml:space="preserve">Producto 11: </w:t>
            </w:r>
            <w:r>
              <w:rPr>
                <w:sz w:val="18"/>
                <w:szCs w:val="18"/>
              </w:rPr>
              <w:t>Documento de construcción y fundamentación del modelo teórico o modelo aplicado, según la modalidad de graduación seleccionada, que establezca la articulación coherente entre las variables de investigación, sus relaciones y el objeto de estudio, sustentado en la revisión de la literatura científica y académica.</w:t>
            </w:r>
          </w:p>
        </w:tc>
      </w:tr>
      <w:tr w:rsidR="00990B14" w14:paraId="6C2AEBAE" w14:textId="77777777">
        <w:trPr>
          <w:cantSplit/>
          <w:jc w:val="center"/>
        </w:trPr>
        <w:tc>
          <w:tcPr>
            <w:tcW w:w="3133" w:type="dxa"/>
            <w:gridSpan w:val="4"/>
            <w:vMerge/>
            <w:shd w:val="clear" w:color="auto" w:fill="D9E2F3"/>
            <w:vAlign w:val="center"/>
          </w:tcPr>
          <w:p w14:paraId="349D3619" w14:textId="77777777" w:rsidR="00990B14" w:rsidRDefault="00990B14">
            <w:pPr>
              <w:spacing w:before="20" w:after="20"/>
            </w:pPr>
          </w:p>
        </w:tc>
        <w:tc>
          <w:tcPr>
            <w:tcW w:w="3135" w:type="dxa"/>
            <w:gridSpan w:val="5"/>
            <w:shd w:val="clear" w:color="auto" w:fill="D9E2F3"/>
            <w:vAlign w:val="center"/>
          </w:tcPr>
          <w:p w14:paraId="0E313068" w14:textId="77777777" w:rsidR="00990B14" w:rsidRDefault="00000000">
            <w:pPr>
              <w:spacing w:before="20" w:after="20"/>
              <w:jc w:val="both"/>
            </w:pPr>
            <w:r>
              <w:rPr>
                <w:sz w:val="18"/>
                <w:szCs w:val="18"/>
              </w:rPr>
              <w:t>2.2 Estructura y desarrolla el Perfil de Tesis de Grado o del Perfil de Proyecto de Grado, integrando sus componentes conforme a criterios de coherencia metodológica, rigor académico y normativa institucional vigente.</w:t>
            </w:r>
          </w:p>
        </w:tc>
        <w:tc>
          <w:tcPr>
            <w:tcW w:w="3137" w:type="dxa"/>
            <w:gridSpan w:val="4"/>
            <w:shd w:val="clear" w:color="auto" w:fill="D9E2F3"/>
            <w:vAlign w:val="center"/>
          </w:tcPr>
          <w:p w14:paraId="101AB8A9" w14:textId="77777777" w:rsidR="00990B14" w:rsidRDefault="00000000">
            <w:pPr>
              <w:spacing w:before="20" w:after="20"/>
              <w:jc w:val="both"/>
            </w:pPr>
            <w:r>
              <w:rPr>
                <w:b/>
                <w:bCs/>
                <w:sz w:val="18"/>
                <w:szCs w:val="18"/>
              </w:rPr>
              <w:t xml:space="preserve">Producto 12: </w:t>
            </w:r>
            <w:r>
              <w:rPr>
                <w:sz w:val="18"/>
                <w:szCs w:val="18"/>
              </w:rPr>
              <w:t>Documento final del Perfil de Tesis de Grado o del Perfil de Proyecto de Grado, según la modalidad seleccionada, que integre de manera coherente y sistemática sus componentes teóricos y metodológicos, cumpliendo criterios de rigor académico y normativa institucional vigente.</w:t>
            </w:r>
          </w:p>
        </w:tc>
      </w:tr>
      <w:tr w:rsidR="00990B14" w14:paraId="3671E858" w14:textId="77777777">
        <w:trPr>
          <w:cantSplit/>
          <w:jc w:val="center"/>
        </w:trPr>
        <w:tc>
          <w:tcPr>
            <w:tcW w:w="9405" w:type="dxa"/>
            <w:gridSpan w:val="13"/>
            <w:shd w:val="clear" w:color="auto" w:fill="4472C4"/>
            <w:vAlign w:val="center"/>
          </w:tcPr>
          <w:p w14:paraId="45A06C92" w14:textId="77777777" w:rsidR="00990B14" w:rsidRDefault="00000000">
            <w:pPr>
              <w:keepNext/>
              <w:spacing w:before="20" w:after="20"/>
              <w:jc w:val="center"/>
            </w:pPr>
            <w:r>
              <w:rPr>
                <w:b/>
                <w:bCs/>
                <w:i/>
                <w:iCs/>
                <w:color w:val="FFFFFF"/>
                <w:sz w:val="18"/>
                <w:szCs w:val="18"/>
              </w:rPr>
              <w:t>Evidencias de conocimiento</w:t>
            </w:r>
          </w:p>
        </w:tc>
      </w:tr>
      <w:tr w:rsidR="00990B14" w14:paraId="069A0B89" w14:textId="77777777">
        <w:trPr>
          <w:cantSplit/>
          <w:jc w:val="center"/>
        </w:trPr>
        <w:tc>
          <w:tcPr>
            <w:tcW w:w="2349" w:type="dxa"/>
            <w:gridSpan w:val="2"/>
            <w:shd w:val="clear" w:color="auto" w:fill="4472C4"/>
            <w:vAlign w:val="center"/>
          </w:tcPr>
          <w:p w14:paraId="4AEB4080"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3E1641BF" w14:textId="77777777" w:rsidR="00990B14" w:rsidRDefault="00000000">
            <w:pPr>
              <w:keepNext/>
              <w:spacing w:before="20" w:after="20"/>
              <w:jc w:val="both"/>
            </w:pPr>
            <w:r>
              <w:rPr>
                <w:b/>
                <w:bCs/>
                <w:i/>
                <w:iCs/>
                <w:color w:val="FFFFFF"/>
                <w:sz w:val="18"/>
                <w:szCs w:val="18"/>
              </w:rPr>
              <w:t>Contenidos</w:t>
            </w:r>
          </w:p>
          <w:p w14:paraId="76E50EA8"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4C702DCE" w14:textId="77777777" w:rsidR="00990B14" w:rsidRDefault="00000000">
            <w:pPr>
              <w:keepNext/>
              <w:spacing w:before="20" w:after="20"/>
              <w:jc w:val="center"/>
            </w:pPr>
            <w:r>
              <w:rPr>
                <w:b/>
                <w:bCs/>
                <w:i/>
                <w:iCs/>
                <w:color w:val="FFFFFF"/>
                <w:sz w:val="18"/>
                <w:szCs w:val="18"/>
              </w:rPr>
              <w:t>Conocimientos circunstanciales</w:t>
            </w:r>
          </w:p>
        </w:tc>
      </w:tr>
      <w:tr w:rsidR="00990B14" w14:paraId="5947D26D" w14:textId="77777777">
        <w:trPr>
          <w:jc w:val="center"/>
        </w:trPr>
        <w:tc>
          <w:tcPr>
            <w:tcW w:w="2349" w:type="dxa"/>
            <w:gridSpan w:val="2"/>
            <w:shd w:val="clear" w:color="auto" w:fill="D9E2F3"/>
          </w:tcPr>
          <w:p w14:paraId="5EB9361F" w14:textId="77777777" w:rsidR="00990B14" w:rsidRDefault="00000000">
            <w:pPr>
              <w:spacing w:before="20" w:after="40"/>
              <w:jc w:val="both"/>
            </w:pPr>
            <w:r>
              <w:rPr>
                <w:sz w:val="18"/>
                <w:szCs w:val="18"/>
              </w:rPr>
              <w:t>Tema 6: Líneas de investigación en la Contaduría Pública</w:t>
            </w:r>
          </w:p>
          <w:p w14:paraId="025E3BAD" w14:textId="77777777" w:rsidR="00990B14" w:rsidRDefault="00000000">
            <w:pPr>
              <w:spacing w:before="20" w:after="40"/>
              <w:jc w:val="both"/>
            </w:pPr>
            <w:r>
              <w:rPr>
                <w:sz w:val="18"/>
                <w:szCs w:val="18"/>
              </w:rPr>
              <w:t>Tema 7: Elección del tema de investigación a partir de la revisión literaria y del modelo teórico o modelo aplicado</w:t>
            </w:r>
          </w:p>
          <w:p w14:paraId="74240B59" w14:textId="77777777" w:rsidR="00990B14" w:rsidRDefault="00000000">
            <w:pPr>
              <w:spacing w:before="20" w:after="40"/>
              <w:jc w:val="both"/>
            </w:pPr>
            <w:r>
              <w:rPr>
                <w:sz w:val="18"/>
                <w:szCs w:val="18"/>
              </w:rPr>
              <w:t>Tema 8: Elaboración del perfil de la tesis de grado</w:t>
            </w:r>
          </w:p>
          <w:p w14:paraId="25D45BAF" w14:textId="77777777" w:rsidR="00990B14" w:rsidRDefault="00000000">
            <w:pPr>
              <w:spacing w:before="20" w:after="40"/>
              <w:jc w:val="both"/>
            </w:pPr>
            <w:r>
              <w:rPr>
                <w:sz w:val="18"/>
                <w:szCs w:val="18"/>
              </w:rPr>
              <w:t>Tema 9: Estructura y contenido de la tesis de grado</w:t>
            </w:r>
          </w:p>
          <w:p w14:paraId="5ECE06D7" w14:textId="77777777" w:rsidR="00990B14" w:rsidRDefault="00000000">
            <w:pPr>
              <w:spacing w:before="20" w:after="40"/>
              <w:jc w:val="both"/>
            </w:pPr>
            <w:r>
              <w:rPr>
                <w:sz w:val="18"/>
                <w:szCs w:val="18"/>
              </w:rPr>
              <w:t>Tema 10: Elaboración del perfil del proyecto de grado</w:t>
            </w:r>
          </w:p>
          <w:p w14:paraId="20E93DC6" w14:textId="77777777" w:rsidR="00990B14" w:rsidRDefault="00000000">
            <w:pPr>
              <w:spacing w:before="20" w:after="40"/>
              <w:jc w:val="both"/>
            </w:pPr>
            <w:r>
              <w:rPr>
                <w:sz w:val="18"/>
                <w:szCs w:val="18"/>
              </w:rPr>
              <w:t>Tema 11: Estructura y contenido del proyecto de grado</w:t>
            </w:r>
          </w:p>
          <w:p w14:paraId="2EF39C56" w14:textId="77777777" w:rsidR="00990B14" w:rsidRDefault="00000000">
            <w:pPr>
              <w:spacing w:before="20" w:after="40"/>
              <w:jc w:val="both"/>
            </w:pPr>
            <w:r>
              <w:rPr>
                <w:sz w:val="18"/>
                <w:szCs w:val="18"/>
              </w:rPr>
              <w:t>Tema 12: Trabajo dirigido o práctica pre-profesional</w:t>
            </w:r>
          </w:p>
        </w:tc>
        <w:tc>
          <w:tcPr>
            <w:tcW w:w="4304" w:type="dxa"/>
            <w:gridSpan w:val="8"/>
            <w:shd w:val="clear" w:color="auto" w:fill="D9E2F3"/>
          </w:tcPr>
          <w:p w14:paraId="52C16D0D" w14:textId="77777777" w:rsidR="00990B14" w:rsidRDefault="00000000">
            <w:pPr>
              <w:spacing w:after="40"/>
              <w:jc w:val="both"/>
            </w:pPr>
            <w:r>
              <w:rPr>
                <w:sz w:val="18"/>
                <w:szCs w:val="18"/>
              </w:rPr>
              <w:t>Definición de líneas de investigación y áreas de acción de la Contaduría Pública con base en ellas. (C)</w:t>
            </w:r>
          </w:p>
          <w:p w14:paraId="61817572" w14:textId="77777777" w:rsidR="00990B14" w:rsidRDefault="00000000">
            <w:pPr>
              <w:spacing w:after="40"/>
              <w:jc w:val="both"/>
            </w:pPr>
            <w:r>
              <w:rPr>
                <w:sz w:val="18"/>
                <w:szCs w:val="18"/>
              </w:rPr>
              <w:t>Áreas de acción con base en las organizaciones y problemas profesionales que pueden dar lugar a temas de investigación. (P)</w:t>
            </w:r>
          </w:p>
          <w:p w14:paraId="3E837B91" w14:textId="77777777" w:rsidR="00990B14" w:rsidRDefault="00000000">
            <w:pPr>
              <w:spacing w:after="40"/>
              <w:jc w:val="both"/>
            </w:pPr>
            <w:r>
              <w:rPr>
                <w:sz w:val="18"/>
                <w:szCs w:val="18"/>
              </w:rPr>
              <w:t>Criterios y procedimientos de elección del tema de investigación. (P)</w:t>
            </w:r>
          </w:p>
          <w:p w14:paraId="55284BC2" w14:textId="77777777" w:rsidR="00990B14" w:rsidRDefault="00000000">
            <w:pPr>
              <w:spacing w:after="40"/>
              <w:jc w:val="both"/>
            </w:pPr>
            <w:r>
              <w:rPr>
                <w:sz w:val="18"/>
                <w:szCs w:val="18"/>
              </w:rPr>
              <w:t>Acotación del tema de investigación y ejemplos prácticos. (P)</w:t>
            </w:r>
          </w:p>
          <w:p w14:paraId="05EF2267" w14:textId="77777777" w:rsidR="00990B14" w:rsidRDefault="00000000">
            <w:pPr>
              <w:spacing w:after="40"/>
              <w:jc w:val="both"/>
            </w:pPr>
            <w:r>
              <w:rPr>
                <w:sz w:val="18"/>
                <w:szCs w:val="18"/>
              </w:rPr>
              <w:t>Definición del tema de investigación con base en la revisión literaria y modelo teórico/modelo aplicado. (C)</w:t>
            </w:r>
          </w:p>
          <w:p w14:paraId="4207837D" w14:textId="77777777" w:rsidR="00990B14" w:rsidRDefault="00000000">
            <w:pPr>
              <w:spacing w:after="40"/>
              <w:jc w:val="both"/>
            </w:pPr>
            <w:r>
              <w:rPr>
                <w:sz w:val="18"/>
                <w:szCs w:val="18"/>
              </w:rPr>
              <w:t>Especificación del problema y de los objetivos de la investigación; determinación de la hipótesis. (P)</w:t>
            </w:r>
          </w:p>
          <w:p w14:paraId="354C237C" w14:textId="77777777" w:rsidR="00990B14" w:rsidRDefault="00000000">
            <w:pPr>
              <w:spacing w:after="40"/>
              <w:jc w:val="both"/>
            </w:pPr>
            <w:r>
              <w:rPr>
                <w:sz w:val="18"/>
                <w:szCs w:val="18"/>
              </w:rPr>
              <w:t>Identificación de variables y construcción de la matriz de variables. (P)</w:t>
            </w:r>
          </w:p>
          <w:p w14:paraId="44FA140E" w14:textId="77777777" w:rsidR="00990B14" w:rsidRDefault="00000000">
            <w:pPr>
              <w:spacing w:after="40"/>
              <w:jc w:val="both"/>
            </w:pPr>
            <w:r>
              <w:rPr>
                <w:sz w:val="18"/>
                <w:szCs w:val="18"/>
              </w:rPr>
              <w:t>Establecimiento del diseño metodológico y recopilación y análisis de datos. (P)</w:t>
            </w:r>
          </w:p>
          <w:p w14:paraId="48E025EB" w14:textId="77777777" w:rsidR="00990B14" w:rsidRDefault="00000000">
            <w:pPr>
              <w:spacing w:after="40"/>
              <w:jc w:val="both"/>
            </w:pPr>
            <w:r>
              <w:rPr>
                <w:sz w:val="18"/>
                <w:szCs w:val="18"/>
              </w:rPr>
              <w:t>Determinación de la estructura del perfil y elaboración del proyecto de investigación. (P)</w:t>
            </w:r>
          </w:p>
          <w:p w14:paraId="5A1B7120" w14:textId="77777777" w:rsidR="00990B14" w:rsidRDefault="00000000">
            <w:pPr>
              <w:spacing w:after="40"/>
              <w:jc w:val="both"/>
            </w:pPr>
            <w:r>
              <w:rPr>
                <w:sz w:val="18"/>
                <w:szCs w:val="18"/>
              </w:rPr>
              <w:t>Aplicación de la metodología de investigación y recopilación, procesamiento, análisis e interpretación de datos. (P)</w:t>
            </w:r>
          </w:p>
          <w:p w14:paraId="69CFC0C6" w14:textId="77777777" w:rsidR="00990B14" w:rsidRDefault="00000000">
            <w:pPr>
              <w:spacing w:after="40"/>
              <w:jc w:val="both"/>
            </w:pPr>
            <w:r>
              <w:rPr>
                <w:sz w:val="18"/>
                <w:szCs w:val="18"/>
              </w:rPr>
              <w:t>Determinación de la estructura y contenido de la tesis de grado: su naturaleza, finalidad y características de la Tesis de Grado. (P)</w:t>
            </w:r>
          </w:p>
          <w:p w14:paraId="62235833" w14:textId="77777777" w:rsidR="00990B14" w:rsidRDefault="00000000">
            <w:pPr>
              <w:spacing w:after="40"/>
              <w:jc w:val="both"/>
            </w:pPr>
            <w:r>
              <w:rPr>
                <w:sz w:val="18"/>
                <w:szCs w:val="18"/>
              </w:rPr>
              <w:t>Estructura general de la Tesis de Grado: elementos preliminares, cuerpo del trabajo y elementos complementarios. (P)</w:t>
            </w:r>
          </w:p>
          <w:p w14:paraId="00FB886E" w14:textId="77777777" w:rsidR="00990B14" w:rsidRDefault="00000000">
            <w:pPr>
              <w:spacing w:after="40"/>
              <w:jc w:val="both"/>
            </w:pPr>
            <w:r>
              <w:rPr>
                <w:sz w:val="18"/>
                <w:szCs w:val="18"/>
              </w:rPr>
              <w:t>Introducción y planteamiento del problema: antecedentes, problematización, objetivos, justificación y delimitación. (P)</w:t>
            </w:r>
          </w:p>
          <w:p w14:paraId="4CAD86A7" w14:textId="77777777" w:rsidR="00990B14" w:rsidRDefault="00000000">
            <w:pPr>
              <w:spacing w:after="40"/>
              <w:jc w:val="both"/>
            </w:pPr>
            <w:r>
              <w:rPr>
                <w:sz w:val="18"/>
                <w:szCs w:val="18"/>
              </w:rPr>
              <w:t>Marco teórico: fundamentos teóricos, conceptuales y normativos de la investigación. (P)</w:t>
            </w:r>
          </w:p>
          <w:p w14:paraId="38139255" w14:textId="77777777" w:rsidR="00990B14" w:rsidRDefault="00000000">
            <w:pPr>
              <w:spacing w:after="40"/>
              <w:jc w:val="both"/>
            </w:pPr>
            <w:r>
              <w:rPr>
                <w:sz w:val="18"/>
                <w:szCs w:val="18"/>
              </w:rPr>
              <w:t>Marco metodológico: enfoque, tipo, nivel, diseño, métodos, técnicas e instrumentos de investigación. (P)</w:t>
            </w:r>
          </w:p>
          <w:p w14:paraId="61E187C4" w14:textId="77777777" w:rsidR="00990B14" w:rsidRDefault="00000000">
            <w:pPr>
              <w:spacing w:after="40"/>
              <w:jc w:val="both"/>
            </w:pPr>
            <w:r>
              <w:rPr>
                <w:sz w:val="18"/>
                <w:szCs w:val="18"/>
              </w:rPr>
              <w:t>Marco práctico: presentación, análisis e interpretación de resultados, cumplimiento de objetivos y contrastación de hipótesis (cuando corresponda). (P)</w:t>
            </w:r>
          </w:p>
          <w:p w14:paraId="24224F95" w14:textId="77777777" w:rsidR="00990B14" w:rsidRDefault="00000000">
            <w:pPr>
              <w:spacing w:after="40"/>
              <w:jc w:val="both"/>
            </w:pPr>
            <w:r>
              <w:rPr>
                <w:sz w:val="18"/>
                <w:szCs w:val="18"/>
              </w:rPr>
              <w:t>Conclusiones y recomendaciones: características, finalidad y correspondencia con los resultados de la investigación. (P)</w:t>
            </w:r>
          </w:p>
          <w:p w14:paraId="5353D7C0" w14:textId="77777777" w:rsidR="00990B14" w:rsidRDefault="00000000">
            <w:pPr>
              <w:spacing w:after="40"/>
              <w:jc w:val="both"/>
            </w:pPr>
            <w:r>
              <w:rPr>
                <w:sz w:val="18"/>
                <w:szCs w:val="18"/>
              </w:rPr>
              <w:t>Referencias bibliográficas y anexos: organización y aplicación de normas académicas e institucionales. (P)</w:t>
            </w:r>
          </w:p>
          <w:p w14:paraId="5288CBAC" w14:textId="77777777" w:rsidR="00990B14" w:rsidRDefault="00000000">
            <w:pPr>
              <w:spacing w:after="40"/>
              <w:jc w:val="both"/>
            </w:pPr>
            <w:r>
              <w:rPr>
                <w:sz w:val="18"/>
                <w:szCs w:val="18"/>
              </w:rPr>
              <w:t>Estructura y contenido del perfil de proyecto de grado y revisión literaria preliminar relacionada con el tema de investigación. (C, P)</w:t>
            </w:r>
          </w:p>
          <w:p w14:paraId="64FA670A" w14:textId="77777777" w:rsidR="00990B14" w:rsidRDefault="00000000">
            <w:pPr>
              <w:spacing w:after="40"/>
              <w:jc w:val="both"/>
            </w:pPr>
            <w:r>
              <w:rPr>
                <w:sz w:val="18"/>
                <w:szCs w:val="18"/>
              </w:rPr>
              <w:t>Especificación del problema y de los objetivos, identificación de variables y construcción de la matriz de variables del proyecto de grado. (P)</w:t>
            </w:r>
          </w:p>
          <w:p w14:paraId="754FD780" w14:textId="77777777" w:rsidR="00990B14" w:rsidRDefault="00000000">
            <w:pPr>
              <w:spacing w:after="40"/>
              <w:jc w:val="both"/>
            </w:pPr>
            <w:r>
              <w:rPr>
                <w:sz w:val="18"/>
                <w:szCs w:val="18"/>
              </w:rPr>
              <w:t>Establecimiento del diseño metodológico, recopilación y análisis de datos. (P)</w:t>
            </w:r>
          </w:p>
          <w:p w14:paraId="130B46C8" w14:textId="77777777" w:rsidR="00990B14" w:rsidRDefault="00000000">
            <w:pPr>
              <w:spacing w:after="40"/>
              <w:jc w:val="both"/>
            </w:pPr>
            <w:r>
              <w:rPr>
                <w:sz w:val="18"/>
                <w:szCs w:val="18"/>
              </w:rPr>
              <w:t>Estructura y contenido general del Proyecto de Grado: Propuesta de investigación aplicada y revisión amplia de la literatura relacionada con el tema. (P)</w:t>
            </w:r>
          </w:p>
          <w:p w14:paraId="32A7351B" w14:textId="77777777" w:rsidR="00990B14" w:rsidRDefault="00000000">
            <w:pPr>
              <w:spacing w:after="40"/>
              <w:jc w:val="both"/>
            </w:pPr>
            <w:r>
              <w:rPr>
                <w:sz w:val="18"/>
                <w:szCs w:val="18"/>
              </w:rPr>
              <w:t>Presentación de la propuesta de solución, conclusiones y recomendaciones. (P)</w:t>
            </w:r>
          </w:p>
          <w:p w14:paraId="53AD2D77" w14:textId="77777777" w:rsidR="00990B14" w:rsidRDefault="00000000">
            <w:pPr>
              <w:spacing w:after="40"/>
              <w:jc w:val="both"/>
            </w:pPr>
            <w:r>
              <w:rPr>
                <w:sz w:val="18"/>
                <w:szCs w:val="18"/>
              </w:rPr>
              <w:t>Desarrollo de la práctica pre-profesional con base en la normativa vigente. (P)</w:t>
            </w:r>
          </w:p>
          <w:p w14:paraId="35B61435" w14:textId="77777777" w:rsidR="00990B14" w:rsidRDefault="00000000">
            <w:pPr>
              <w:spacing w:after="40"/>
              <w:jc w:val="both"/>
            </w:pPr>
            <w:r>
              <w:rPr>
                <w:sz w:val="18"/>
                <w:szCs w:val="18"/>
              </w:rPr>
              <w:t>Pasos para la presentación del informe de resultados y estructura del informe de resultados. (C, P)</w:t>
            </w:r>
          </w:p>
          <w:p w14:paraId="25321743" w14:textId="77777777" w:rsidR="00990B14" w:rsidRDefault="00000000">
            <w:pPr>
              <w:spacing w:after="40"/>
              <w:jc w:val="both"/>
            </w:pPr>
            <w:r>
              <w:rPr>
                <w:sz w:val="18"/>
                <w:szCs w:val="18"/>
              </w:rPr>
              <w:t>Convenios institucionales y seguimiento académico de la práctica pre-profesional. (C)</w:t>
            </w:r>
          </w:p>
        </w:tc>
        <w:tc>
          <w:tcPr>
            <w:tcW w:w="2752" w:type="dxa"/>
            <w:gridSpan w:val="3"/>
            <w:shd w:val="clear" w:color="auto" w:fill="D9E2F3"/>
          </w:tcPr>
          <w:p w14:paraId="0DB32F4C" w14:textId="77777777" w:rsidR="00990B14" w:rsidRDefault="00000000">
            <w:pPr>
              <w:numPr>
                <w:ilvl w:val="0"/>
                <w:numId w:val="139"/>
              </w:numPr>
              <w:spacing w:before="10" w:after="10"/>
              <w:jc w:val="both"/>
            </w:pPr>
            <w:r>
              <w:rPr>
                <w:sz w:val="18"/>
                <w:szCs w:val="18"/>
              </w:rPr>
              <w:t>Líneas de investigación institucionales de la Carrera de Contaduría Pública, vinculadas con las necesidades y problemáticas del contexto económico, contable, financiero, tributario y de auditoría.</w:t>
            </w:r>
          </w:p>
          <w:p w14:paraId="2E2A34CD" w14:textId="77777777" w:rsidR="00990B14" w:rsidRDefault="00000000">
            <w:pPr>
              <w:numPr>
                <w:ilvl w:val="0"/>
                <w:numId w:val="139"/>
              </w:numPr>
              <w:spacing w:before="10" w:after="10"/>
              <w:jc w:val="both"/>
            </w:pPr>
            <w:r>
              <w:rPr>
                <w:sz w:val="18"/>
                <w:szCs w:val="18"/>
              </w:rPr>
              <w:t>Problemáticas del entorno profesional y organizacional, susceptibles de investigación científica o de formulación de propuestas de solución en el ámbito de la Contaduría Pública.</w:t>
            </w:r>
          </w:p>
          <w:p w14:paraId="24386D2C" w14:textId="77777777" w:rsidR="00990B14" w:rsidRDefault="00000000">
            <w:pPr>
              <w:numPr>
                <w:ilvl w:val="0"/>
                <w:numId w:val="139"/>
              </w:numPr>
              <w:spacing w:before="10" w:after="10"/>
              <w:jc w:val="both"/>
            </w:pPr>
            <w:r>
              <w:rPr>
                <w:sz w:val="18"/>
                <w:szCs w:val="18"/>
              </w:rPr>
              <w:t>Normativa académica e institucional vigente de la UMSA, aplicable a la formulación y presentación de los perfiles de Tesis de Grado y Proyecto de Grado.</w:t>
            </w:r>
          </w:p>
          <w:p w14:paraId="23C0FC84" w14:textId="77777777" w:rsidR="00990B14" w:rsidRDefault="00000000">
            <w:pPr>
              <w:numPr>
                <w:ilvl w:val="0"/>
                <w:numId w:val="139"/>
              </w:numPr>
              <w:spacing w:before="10" w:after="10"/>
              <w:jc w:val="both"/>
            </w:pPr>
            <w:r>
              <w:rPr>
                <w:sz w:val="18"/>
                <w:szCs w:val="18"/>
              </w:rPr>
              <w:t>Disponibilidad y accesibilidad de fuentes de información, considerando las condiciones institucionales, organizacionales y profesionales para determinar la factibilidad de la investigación.</w:t>
            </w:r>
          </w:p>
          <w:p w14:paraId="3DA40B07" w14:textId="77777777" w:rsidR="00990B14" w:rsidRDefault="00000000">
            <w:pPr>
              <w:numPr>
                <w:ilvl w:val="0"/>
                <w:numId w:val="139"/>
              </w:numPr>
              <w:spacing w:before="10" w:after="10"/>
              <w:jc w:val="both"/>
            </w:pPr>
            <w:r>
              <w:rPr>
                <w:sz w:val="18"/>
                <w:szCs w:val="18"/>
              </w:rPr>
              <w:t>Condiciones éticas y profesionales de la investigación, considerando la confidencialidad de la información, el acceso a datos institucionales y la integridad académica.</w:t>
            </w:r>
          </w:p>
        </w:tc>
      </w:tr>
      <w:tr w:rsidR="00990B14" w14:paraId="16285A7C" w14:textId="77777777">
        <w:trPr>
          <w:cantSplit/>
          <w:jc w:val="center"/>
        </w:trPr>
        <w:tc>
          <w:tcPr>
            <w:tcW w:w="9405" w:type="dxa"/>
            <w:gridSpan w:val="13"/>
            <w:shd w:val="clear" w:color="auto" w:fill="D9E2F3"/>
            <w:vAlign w:val="center"/>
          </w:tcPr>
          <w:p w14:paraId="336072FE" w14:textId="77777777" w:rsidR="00990B14" w:rsidRDefault="00000000">
            <w:pPr>
              <w:spacing w:before="20" w:after="20"/>
              <w:jc w:val="both"/>
            </w:pPr>
            <w:r>
              <w:rPr>
                <w:b/>
                <w:bCs/>
                <w:i/>
                <w:iCs/>
                <w:sz w:val="18"/>
                <w:szCs w:val="18"/>
              </w:rPr>
              <w:t xml:space="preserve">Elemento de competencia 4: </w:t>
            </w:r>
            <w:r>
              <w:rPr>
                <w:sz w:val="18"/>
                <w:szCs w:val="18"/>
              </w:rPr>
              <w:t>Presenta el Perfil de Tesis de Grado o el Perfil de Proyecto de Grado para su valoración académica, presentando y fundamentando sus componentes teóricos y metodológicos, conforme a criterios de coherencia, rigor académico, pertinencia, ética de la investigación científica y normativa institucional vigente.</w:t>
            </w:r>
          </w:p>
        </w:tc>
      </w:tr>
      <w:tr w:rsidR="00990B14" w14:paraId="6EA027D0" w14:textId="77777777">
        <w:trPr>
          <w:cantSplit/>
          <w:jc w:val="center"/>
        </w:trPr>
        <w:tc>
          <w:tcPr>
            <w:tcW w:w="3133" w:type="dxa"/>
            <w:gridSpan w:val="4"/>
            <w:shd w:val="clear" w:color="auto" w:fill="4472C4"/>
            <w:vAlign w:val="center"/>
          </w:tcPr>
          <w:p w14:paraId="25240337" w14:textId="77777777" w:rsidR="00990B14" w:rsidRDefault="00000000">
            <w:pPr>
              <w:keepNext/>
              <w:spacing w:before="20" w:after="20"/>
              <w:jc w:val="center"/>
            </w:pPr>
            <w:r>
              <w:rPr>
                <w:b/>
                <w:bCs/>
                <w:i/>
                <w:iCs/>
                <w:color w:val="FFFFFF"/>
                <w:sz w:val="18"/>
                <w:szCs w:val="18"/>
              </w:rPr>
              <w:t>Criterios de desempeño</w:t>
            </w:r>
          </w:p>
        </w:tc>
        <w:tc>
          <w:tcPr>
            <w:tcW w:w="3135" w:type="dxa"/>
            <w:gridSpan w:val="5"/>
            <w:shd w:val="clear" w:color="auto" w:fill="4472C4"/>
            <w:vAlign w:val="center"/>
          </w:tcPr>
          <w:p w14:paraId="719C2959" w14:textId="77777777" w:rsidR="00990B14" w:rsidRDefault="00000000">
            <w:pPr>
              <w:keepNext/>
              <w:spacing w:before="20" w:after="20"/>
              <w:jc w:val="center"/>
            </w:pPr>
            <w:r>
              <w:rPr>
                <w:b/>
                <w:bCs/>
                <w:i/>
                <w:iCs/>
                <w:color w:val="FFFFFF"/>
                <w:sz w:val="18"/>
                <w:szCs w:val="18"/>
              </w:rPr>
              <w:t>Evidencias de desempeño</w:t>
            </w:r>
          </w:p>
        </w:tc>
        <w:tc>
          <w:tcPr>
            <w:tcW w:w="3137" w:type="dxa"/>
            <w:gridSpan w:val="4"/>
            <w:shd w:val="clear" w:color="auto" w:fill="4472C4"/>
            <w:vAlign w:val="center"/>
          </w:tcPr>
          <w:p w14:paraId="0EEB2968" w14:textId="77777777" w:rsidR="00990B14" w:rsidRDefault="00000000">
            <w:pPr>
              <w:keepNext/>
              <w:spacing w:before="20" w:after="20"/>
              <w:jc w:val="center"/>
            </w:pPr>
            <w:r>
              <w:rPr>
                <w:b/>
                <w:bCs/>
                <w:i/>
                <w:iCs/>
                <w:color w:val="FFFFFF"/>
                <w:sz w:val="18"/>
                <w:szCs w:val="18"/>
              </w:rPr>
              <w:t>Evidencias de producto</w:t>
            </w:r>
          </w:p>
        </w:tc>
      </w:tr>
      <w:tr w:rsidR="00990B14" w14:paraId="42EE46D9" w14:textId="77777777">
        <w:trPr>
          <w:cantSplit/>
          <w:jc w:val="center"/>
        </w:trPr>
        <w:tc>
          <w:tcPr>
            <w:tcW w:w="3133" w:type="dxa"/>
            <w:gridSpan w:val="4"/>
            <w:vMerge w:val="restart"/>
            <w:shd w:val="clear" w:color="auto" w:fill="D9E2F3"/>
            <w:vAlign w:val="center"/>
          </w:tcPr>
          <w:p w14:paraId="112436C6" w14:textId="77777777" w:rsidR="00990B14" w:rsidRDefault="00000000">
            <w:pPr>
              <w:spacing w:before="20" w:after="20"/>
              <w:jc w:val="both"/>
            </w:pPr>
            <w:r>
              <w:rPr>
                <w:sz w:val="18"/>
                <w:szCs w:val="18"/>
              </w:rPr>
              <w:t>1. Expone de manera clara, ordenada y fundamentada los componentes teóricos y metodológicos del Perfil de Tesis de Grado o del Perfil de Proyecto de Grado, demostrando coherencia, rigor académico y pertinencia con la problemática de estudio.</w:t>
            </w:r>
          </w:p>
        </w:tc>
        <w:tc>
          <w:tcPr>
            <w:tcW w:w="3135" w:type="dxa"/>
            <w:gridSpan w:val="5"/>
            <w:shd w:val="clear" w:color="auto" w:fill="D9E2F3"/>
            <w:vAlign w:val="center"/>
          </w:tcPr>
          <w:p w14:paraId="35560619" w14:textId="77777777" w:rsidR="00990B14" w:rsidRDefault="00000000">
            <w:pPr>
              <w:spacing w:before="20" w:after="20"/>
              <w:jc w:val="both"/>
            </w:pPr>
            <w:r>
              <w:rPr>
                <w:sz w:val="18"/>
                <w:szCs w:val="18"/>
              </w:rPr>
              <w:t>1.1 Presenta de manera clara, ordenada y sistemática los componentes teóricos y metodológicos del Perfil de Tesis de Grado o del Perfil de Proyecto de Grado, utilizando recursos de apoyo académico pertinentes.</w:t>
            </w:r>
          </w:p>
        </w:tc>
        <w:tc>
          <w:tcPr>
            <w:tcW w:w="3137" w:type="dxa"/>
            <w:gridSpan w:val="4"/>
            <w:shd w:val="clear" w:color="auto" w:fill="D9E2F3"/>
            <w:vAlign w:val="center"/>
          </w:tcPr>
          <w:p w14:paraId="4034C174" w14:textId="77777777" w:rsidR="00990B14" w:rsidRDefault="00000000">
            <w:pPr>
              <w:spacing w:before="20" w:after="20"/>
              <w:jc w:val="both"/>
            </w:pPr>
            <w:r>
              <w:rPr>
                <w:b/>
                <w:bCs/>
                <w:sz w:val="18"/>
                <w:szCs w:val="18"/>
              </w:rPr>
              <w:t xml:space="preserve">Producto 13: </w:t>
            </w:r>
            <w:r>
              <w:rPr>
                <w:sz w:val="18"/>
                <w:szCs w:val="18"/>
              </w:rPr>
              <w:t>Presentación académica del Perfil de Tesis de Grado o del Perfil de Proyecto de Grado, que contemple de manera clara, ordenada y sistemática sus componentes teóricos y metodológicos, para su valoración académica.</w:t>
            </w:r>
          </w:p>
        </w:tc>
      </w:tr>
      <w:tr w:rsidR="00990B14" w14:paraId="0B8C5953" w14:textId="77777777">
        <w:trPr>
          <w:cantSplit/>
          <w:jc w:val="center"/>
        </w:trPr>
        <w:tc>
          <w:tcPr>
            <w:tcW w:w="3133" w:type="dxa"/>
            <w:gridSpan w:val="4"/>
            <w:vMerge/>
            <w:shd w:val="clear" w:color="auto" w:fill="D9E2F3"/>
            <w:vAlign w:val="center"/>
          </w:tcPr>
          <w:p w14:paraId="4A20C627" w14:textId="77777777" w:rsidR="00990B14" w:rsidRDefault="00990B14">
            <w:pPr>
              <w:spacing w:before="20" w:after="20"/>
            </w:pPr>
          </w:p>
        </w:tc>
        <w:tc>
          <w:tcPr>
            <w:tcW w:w="3135" w:type="dxa"/>
            <w:gridSpan w:val="5"/>
            <w:shd w:val="clear" w:color="auto" w:fill="D9E2F3"/>
            <w:vAlign w:val="center"/>
          </w:tcPr>
          <w:p w14:paraId="665E9F68" w14:textId="77777777" w:rsidR="00990B14" w:rsidRDefault="00000000">
            <w:pPr>
              <w:spacing w:before="20" w:after="20"/>
              <w:jc w:val="both"/>
            </w:pPr>
            <w:r>
              <w:rPr>
                <w:sz w:val="18"/>
                <w:szCs w:val="18"/>
              </w:rPr>
              <w:t>1.2 Explica y fundamenta la articulación entre el problema de investigación, los objetivos, las variables y el modelo teórico o modelo aplicado, demostrando coherencia metodológica, rigor académico y pertinencia profesional.</w:t>
            </w:r>
          </w:p>
        </w:tc>
        <w:tc>
          <w:tcPr>
            <w:tcW w:w="3137" w:type="dxa"/>
            <w:gridSpan w:val="4"/>
            <w:shd w:val="clear" w:color="auto" w:fill="D9E2F3"/>
            <w:vAlign w:val="center"/>
          </w:tcPr>
          <w:p w14:paraId="57163F6F" w14:textId="77777777" w:rsidR="00990B14" w:rsidRDefault="00000000">
            <w:pPr>
              <w:spacing w:before="20" w:after="20"/>
              <w:jc w:val="both"/>
            </w:pPr>
            <w:r>
              <w:rPr>
                <w:b/>
                <w:bCs/>
                <w:sz w:val="18"/>
                <w:szCs w:val="18"/>
              </w:rPr>
              <w:t xml:space="preserve">Producto 14: </w:t>
            </w:r>
            <w:r>
              <w:rPr>
                <w:sz w:val="18"/>
                <w:szCs w:val="18"/>
              </w:rPr>
              <w:t>Matriz de coherencia metodológica del Perfil de Tesis de Grado o del Perfil de Proyecto de Grado, que evidencie la articulación entre el problema de investigación, los objetivos, las variables y el modelo teórico o modelo aplicado, según la modalidad seleccionada, demostrando consistencia metodológica y pertinencia profesional.</w:t>
            </w:r>
          </w:p>
        </w:tc>
      </w:tr>
      <w:tr w:rsidR="00990B14" w14:paraId="6D764734" w14:textId="77777777">
        <w:trPr>
          <w:cantSplit/>
          <w:jc w:val="center"/>
        </w:trPr>
        <w:tc>
          <w:tcPr>
            <w:tcW w:w="3133" w:type="dxa"/>
            <w:gridSpan w:val="4"/>
            <w:vMerge w:val="restart"/>
            <w:shd w:val="clear" w:color="auto" w:fill="D9E2F3"/>
            <w:vAlign w:val="center"/>
          </w:tcPr>
          <w:p w14:paraId="224B6A05" w14:textId="77777777" w:rsidR="00990B14" w:rsidRDefault="00000000">
            <w:pPr>
              <w:spacing w:before="20" w:after="20"/>
              <w:jc w:val="both"/>
            </w:pPr>
            <w:r>
              <w:rPr>
                <w:sz w:val="18"/>
                <w:szCs w:val="18"/>
              </w:rPr>
              <w:t>2. Fundamenta la consistencia metodológica y viabilidad del perfil presentado, respondiendo a las observaciones académicas con argumentos técnicos y científicos, en el marco de los principios éticos de la investigación y la normativa institucional vigente.</w:t>
            </w:r>
          </w:p>
        </w:tc>
        <w:tc>
          <w:tcPr>
            <w:tcW w:w="3135" w:type="dxa"/>
            <w:gridSpan w:val="5"/>
            <w:shd w:val="clear" w:color="auto" w:fill="D9E2F3"/>
            <w:vAlign w:val="center"/>
          </w:tcPr>
          <w:p w14:paraId="422F0361" w14:textId="77777777" w:rsidR="00990B14" w:rsidRDefault="00000000">
            <w:pPr>
              <w:spacing w:before="20" w:after="20"/>
              <w:jc w:val="both"/>
            </w:pPr>
            <w:r>
              <w:rPr>
                <w:sz w:val="18"/>
                <w:szCs w:val="18"/>
              </w:rPr>
              <w:t>2.1 Fundamenta la consistencia metodológica y viabilidad del Perfil de Tesis de Grado o del Perfil de Proyecto de Grado, mediante argumentos técnicos y científicos, considerando su pertinencia, factibilidad y principios éticos de la investigación.</w:t>
            </w:r>
          </w:p>
        </w:tc>
        <w:tc>
          <w:tcPr>
            <w:tcW w:w="3137" w:type="dxa"/>
            <w:gridSpan w:val="4"/>
            <w:shd w:val="clear" w:color="auto" w:fill="D9E2F3"/>
            <w:vAlign w:val="center"/>
          </w:tcPr>
          <w:p w14:paraId="20A1779B" w14:textId="77777777" w:rsidR="00990B14" w:rsidRDefault="00000000">
            <w:pPr>
              <w:spacing w:before="20" w:after="20"/>
              <w:jc w:val="both"/>
            </w:pPr>
            <w:r>
              <w:rPr>
                <w:b/>
                <w:bCs/>
                <w:sz w:val="18"/>
                <w:szCs w:val="18"/>
              </w:rPr>
              <w:t xml:space="preserve">Producto 15: </w:t>
            </w:r>
            <w:r>
              <w:rPr>
                <w:sz w:val="18"/>
                <w:szCs w:val="18"/>
              </w:rPr>
              <w:t>Informe de valoración de la consistencia metodológica y viabilidad del Perfil de Tesis de Grado o del Perfil de Proyecto de Grado, que fundamente su pertinencia, factibilidad y cumplimiento de los principios éticos de la investigación, con sustento técnico y científico.</w:t>
            </w:r>
          </w:p>
        </w:tc>
      </w:tr>
      <w:tr w:rsidR="00990B14" w14:paraId="60ECE97A" w14:textId="77777777">
        <w:trPr>
          <w:cantSplit/>
          <w:jc w:val="center"/>
        </w:trPr>
        <w:tc>
          <w:tcPr>
            <w:tcW w:w="3133" w:type="dxa"/>
            <w:gridSpan w:val="4"/>
            <w:vMerge/>
            <w:shd w:val="clear" w:color="auto" w:fill="D9E2F3"/>
            <w:vAlign w:val="center"/>
          </w:tcPr>
          <w:p w14:paraId="6D96842F" w14:textId="77777777" w:rsidR="00990B14" w:rsidRDefault="00990B14">
            <w:pPr>
              <w:spacing w:before="20" w:after="20"/>
            </w:pPr>
          </w:p>
        </w:tc>
        <w:tc>
          <w:tcPr>
            <w:tcW w:w="3135" w:type="dxa"/>
            <w:gridSpan w:val="5"/>
            <w:shd w:val="clear" w:color="auto" w:fill="D9E2F3"/>
            <w:vAlign w:val="center"/>
          </w:tcPr>
          <w:p w14:paraId="4259E74D" w14:textId="77777777" w:rsidR="00990B14" w:rsidRDefault="00000000">
            <w:pPr>
              <w:spacing w:before="20" w:after="20"/>
              <w:jc w:val="both"/>
            </w:pPr>
            <w:r>
              <w:rPr>
                <w:sz w:val="18"/>
                <w:szCs w:val="18"/>
              </w:rPr>
              <w:t>2.2 Analiza y responde de manera fundamentada a las observaciones académicas formuladas durante la valoración del perfil, demostrando capacidad crítica y reflexiva, en concordancia con la normativa institucional vigente.</w:t>
            </w:r>
          </w:p>
        </w:tc>
        <w:tc>
          <w:tcPr>
            <w:tcW w:w="3137" w:type="dxa"/>
            <w:gridSpan w:val="4"/>
            <w:shd w:val="clear" w:color="auto" w:fill="D9E2F3"/>
            <w:vAlign w:val="center"/>
          </w:tcPr>
          <w:p w14:paraId="0E0B41ED" w14:textId="77777777" w:rsidR="00990B14" w:rsidRDefault="00000000">
            <w:pPr>
              <w:spacing w:before="20" w:after="20"/>
              <w:jc w:val="both"/>
            </w:pPr>
            <w:r>
              <w:rPr>
                <w:b/>
                <w:bCs/>
                <w:sz w:val="18"/>
                <w:szCs w:val="18"/>
              </w:rPr>
              <w:t xml:space="preserve">Producto 16: </w:t>
            </w:r>
            <w:r>
              <w:rPr>
                <w:sz w:val="18"/>
                <w:szCs w:val="18"/>
              </w:rPr>
              <w:t>Matriz de observaciones académicas y ajustes realizados al Perfil de Tesis de Grado o del Perfil de Proyecto de Grado, que registre las observaciones recibidas, las respuestas fundamentadas y las modificaciones efectuadas, conforme a criterios de coherencia metodológica, rigor académico y normativa institucional vigente.</w:t>
            </w:r>
          </w:p>
        </w:tc>
      </w:tr>
      <w:tr w:rsidR="00990B14" w14:paraId="702262C9" w14:textId="77777777">
        <w:trPr>
          <w:cantSplit/>
          <w:jc w:val="center"/>
        </w:trPr>
        <w:tc>
          <w:tcPr>
            <w:tcW w:w="9405" w:type="dxa"/>
            <w:gridSpan w:val="13"/>
            <w:shd w:val="clear" w:color="auto" w:fill="4472C4"/>
            <w:vAlign w:val="center"/>
          </w:tcPr>
          <w:p w14:paraId="7BC5D8FD" w14:textId="77777777" w:rsidR="00990B14" w:rsidRDefault="00000000">
            <w:pPr>
              <w:keepNext/>
              <w:spacing w:before="20" w:after="20"/>
              <w:jc w:val="center"/>
            </w:pPr>
            <w:r>
              <w:rPr>
                <w:b/>
                <w:bCs/>
                <w:i/>
                <w:iCs/>
                <w:color w:val="FFFFFF"/>
                <w:sz w:val="18"/>
                <w:szCs w:val="18"/>
              </w:rPr>
              <w:t>Evidencias de conocimiento</w:t>
            </w:r>
          </w:p>
        </w:tc>
      </w:tr>
      <w:tr w:rsidR="00990B14" w14:paraId="771F2A1A" w14:textId="77777777">
        <w:trPr>
          <w:cantSplit/>
          <w:jc w:val="center"/>
        </w:trPr>
        <w:tc>
          <w:tcPr>
            <w:tcW w:w="2349" w:type="dxa"/>
            <w:gridSpan w:val="2"/>
            <w:shd w:val="clear" w:color="auto" w:fill="4472C4"/>
            <w:vAlign w:val="center"/>
          </w:tcPr>
          <w:p w14:paraId="7234A30A" w14:textId="77777777" w:rsidR="00990B14" w:rsidRDefault="00000000">
            <w:pPr>
              <w:keepNext/>
              <w:spacing w:before="20" w:after="20"/>
              <w:jc w:val="center"/>
            </w:pPr>
            <w:r>
              <w:rPr>
                <w:b/>
                <w:bCs/>
                <w:i/>
                <w:iCs/>
                <w:color w:val="FFFFFF"/>
                <w:sz w:val="18"/>
                <w:szCs w:val="18"/>
              </w:rPr>
              <w:t>Unidad de aprendizaje</w:t>
            </w:r>
          </w:p>
        </w:tc>
        <w:tc>
          <w:tcPr>
            <w:tcW w:w="4304" w:type="dxa"/>
            <w:gridSpan w:val="8"/>
            <w:shd w:val="clear" w:color="auto" w:fill="4472C4"/>
            <w:vAlign w:val="center"/>
          </w:tcPr>
          <w:p w14:paraId="685FB7BB" w14:textId="77777777" w:rsidR="00990B14" w:rsidRDefault="00000000">
            <w:pPr>
              <w:keepNext/>
              <w:spacing w:before="20" w:after="20"/>
              <w:jc w:val="both"/>
            </w:pPr>
            <w:r>
              <w:rPr>
                <w:b/>
                <w:bCs/>
                <w:i/>
                <w:iCs/>
                <w:color w:val="FFFFFF"/>
                <w:sz w:val="18"/>
                <w:szCs w:val="18"/>
              </w:rPr>
              <w:t>Contenidos</w:t>
            </w:r>
          </w:p>
          <w:p w14:paraId="3B187FF0" w14:textId="77777777" w:rsidR="00990B14" w:rsidRDefault="00000000">
            <w:pPr>
              <w:keepNext/>
              <w:spacing w:before="20" w:after="20"/>
              <w:jc w:val="both"/>
            </w:pPr>
            <w:r>
              <w:rPr>
                <w:i/>
                <w:iCs/>
                <w:color w:val="FFFFFF"/>
                <w:sz w:val="16"/>
                <w:szCs w:val="16"/>
              </w:rPr>
              <w:t>C: cognitivo · P: procedimental · A: actitudinal · T: manejo de tecnología e IA</w:t>
            </w:r>
          </w:p>
        </w:tc>
        <w:tc>
          <w:tcPr>
            <w:tcW w:w="2752" w:type="dxa"/>
            <w:gridSpan w:val="3"/>
            <w:shd w:val="clear" w:color="auto" w:fill="4472C4"/>
            <w:vAlign w:val="center"/>
          </w:tcPr>
          <w:p w14:paraId="35F0EF75" w14:textId="77777777" w:rsidR="00990B14" w:rsidRDefault="00000000">
            <w:pPr>
              <w:keepNext/>
              <w:spacing w:before="20" w:after="20"/>
              <w:jc w:val="center"/>
            </w:pPr>
            <w:r>
              <w:rPr>
                <w:b/>
                <w:bCs/>
                <w:i/>
                <w:iCs/>
                <w:color w:val="FFFFFF"/>
                <w:sz w:val="18"/>
                <w:szCs w:val="18"/>
              </w:rPr>
              <w:t>Conocimientos circunstanciales</w:t>
            </w:r>
          </w:p>
        </w:tc>
      </w:tr>
      <w:tr w:rsidR="00990B14" w14:paraId="0DC38492" w14:textId="77777777">
        <w:trPr>
          <w:jc w:val="center"/>
        </w:trPr>
        <w:tc>
          <w:tcPr>
            <w:tcW w:w="2349" w:type="dxa"/>
            <w:gridSpan w:val="2"/>
            <w:shd w:val="clear" w:color="auto" w:fill="D9E2F3"/>
          </w:tcPr>
          <w:p w14:paraId="019F160B" w14:textId="77777777" w:rsidR="00990B14" w:rsidRDefault="00000000">
            <w:pPr>
              <w:spacing w:before="20" w:after="40"/>
              <w:jc w:val="both"/>
            </w:pPr>
            <w:r>
              <w:rPr>
                <w:sz w:val="18"/>
                <w:szCs w:val="18"/>
              </w:rPr>
              <w:t>Tema 13: La ética en la investigación científica</w:t>
            </w:r>
          </w:p>
          <w:p w14:paraId="4F1D5B5E" w14:textId="77777777" w:rsidR="00990B14" w:rsidRDefault="00000000">
            <w:pPr>
              <w:spacing w:before="20" w:after="40"/>
              <w:jc w:val="both"/>
            </w:pPr>
            <w:r>
              <w:rPr>
                <w:sz w:val="18"/>
                <w:szCs w:val="18"/>
              </w:rPr>
              <w:t>Tema 14: Criterios técnicos para la presentación y valoración académica del Perfil de Tesis de Grado o del Perfil de Proyecto de Grado.</w:t>
            </w:r>
          </w:p>
        </w:tc>
        <w:tc>
          <w:tcPr>
            <w:tcW w:w="4304" w:type="dxa"/>
            <w:gridSpan w:val="8"/>
            <w:shd w:val="clear" w:color="auto" w:fill="D9E2F3"/>
          </w:tcPr>
          <w:p w14:paraId="344707E8" w14:textId="77777777" w:rsidR="00990B14" w:rsidRDefault="00000000">
            <w:pPr>
              <w:spacing w:after="40"/>
              <w:jc w:val="both"/>
            </w:pPr>
            <w:r>
              <w:rPr>
                <w:sz w:val="18"/>
                <w:szCs w:val="18"/>
              </w:rPr>
              <w:t>Definición de la ética en el contexto de la investigación científica. (C)</w:t>
            </w:r>
          </w:p>
          <w:p w14:paraId="24071DA9" w14:textId="77777777" w:rsidR="00990B14" w:rsidRDefault="00000000">
            <w:pPr>
              <w:spacing w:after="40"/>
              <w:jc w:val="both"/>
            </w:pPr>
            <w:r>
              <w:rPr>
                <w:sz w:val="18"/>
                <w:szCs w:val="18"/>
              </w:rPr>
              <w:t>Principios éticos fundamentales en la investigación científica e importancia de la ética en la investigación. (C, A)</w:t>
            </w:r>
          </w:p>
          <w:p w14:paraId="40098FB9" w14:textId="77777777" w:rsidR="00990B14" w:rsidRDefault="00000000">
            <w:pPr>
              <w:spacing w:after="40"/>
              <w:jc w:val="both"/>
            </w:pPr>
            <w:r>
              <w:rPr>
                <w:sz w:val="18"/>
                <w:szCs w:val="18"/>
              </w:rPr>
              <w:t>Integridad académica: plagio, plagio IA, falsificación de datos y conflictos de interés. (A, T)</w:t>
            </w:r>
          </w:p>
          <w:p w14:paraId="49DB6FF1" w14:textId="77777777" w:rsidR="00990B14" w:rsidRDefault="00000000">
            <w:pPr>
              <w:spacing w:after="40"/>
              <w:jc w:val="both"/>
            </w:pPr>
            <w:r>
              <w:rPr>
                <w:sz w:val="18"/>
                <w:szCs w:val="18"/>
              </w:rPr>
              <w:t>Responsabilidad del investigador. (A)</w:t>
            </w:r>
          </w:p>
          <w:p w14:paraId="02625230" w14:textId="77777777" w:rsidR="00990B14" w:rsidRDefault="00000000">
            <w:pPr>
              <w:spacing w:after="40"/>
              <w:jc w:val="both"/>
            </w:pPr>
            <w:r>
              <w:rPr>
                <w:sz w:val="18"/>
                <w:szCs w:val="18"/>
              </w:rPr>
              <w:t>Descripción del uso de herramientas de inteligencia artificial y verificación de la originalidad del documento. (P, T)</w:t>
            </w:r>
          </w:p>
          <w:p w14:paraId="10F7A28E" w14:textId="77777777" w:rsidR="00990B14" w:rsidRDefault="00000000">
            <w:pPr>
              <w:spacing w:after="40"/>
              <w:jc w:val="both"/>
            </w:pPr>
            <w:r>
              <w:rPr>
                <w:sz w:val="18"/>
                <w:szCs w:val="18"/>
              </w:rPr>
              <w:t>Descripción de los medios de exposición oral. (P)</w:t>
            </w:r>
          </w:p>
          <w:p w14:paraId="0723CE06" w14:textId="77777777" w:rsidR="00990B14" w:rsidRDefault="00000000">
            <w:pPr>
              <w:spacing w:after="40"/>
              <w:jc w:val="both"/>
            </w:pPr>
            <w:r>
              <w:rPr>
                <w:sz w:val="18"/>
                <w:szCs w:val="18"/>
              </w:rPr>
              <w:t>Diseño de los apoyos visuales y manejo del tiempo en la exposición. (P)</w:t>
            </w:r>
          </w:p>
          <w:p w14:paraId="03A37BA6" w14:textId="77777777" w:rsidR="00990B14" w:rsidRDefault="00000000">
            <w:pPr>
              <w:spacing w:after="40"/>
              <w:jc w:val="both"/>
            </w:pPr>
            <w:r>
              <w:rPr>
                <w:sz w:val="18"/>
                <w:szCs w:val="18"/>
              </w:rPr>
              <w:t>Exposición del contenido fundamental y fase de defensa. (P)</w:t>
            </w:r>
          </w:p>
          <w:p w14:paraId="31CB3D03" w14:textId="77777777" w:rsidR="00990B14" w:rsidRDefault="00000000">
            <w:pPr>
              <w:spacing w:after="40"/>
              <w:jc w:val="both"/>
            </w:pPr>
            <w:r>
              <w:rPr>
                <w:sz w:val="18"/>
                <w:szCs w:val="18"/>
              </w:rPr>
              <w:t>Criterios de valoración y aspectos que deben evitarse en la defensa de la tesis de grado y del proyecto de grado. (C, A)</w:t>
            </w:r>
          </w:p>
        </w:tc>
        <w:tc>
          <w:tcPr>
            <w:tcW w:w="2752" w:type="dxa"/>
            <w:gridSpan w:val="3"/>
            <w:shd w:val="clear" w:color="auto" w:fill="D9E2F3"/>
          </w:tcPr>
          <w:p w14:paraId="5CF06E49" w14:textId="77777777" w:rsidR="00990B14" w:rsidRDefault="00000000">
            <w:pPr>
              <w:numPr>
                <w:ilvl w:val="0"/>
                <w:numId w:val="139"/>
              </w:numPr>
              <w:spacing w:before="10" w:after="10"/>
              <w:jc w:val="both"/>
            </w:pPr>
            <w:r>
              <w:rPr>
                <w:sz w:val="18"/>
                <w:szCs w:val="18"/>
              </w:rPr>
              <w:t>Criterios de valoración aplicados por los tribunales de defensa de la Carrera de Contaduría Pública.</w:t>
            </w:r>
          </w:p>
          <w:p w14:paraId="0EC3CA54" w14:textId="77777777" w:rsidR="00990B14" w:rsidRDefault="00000000">
            <w:pPr>
              <w:numPr>
                <w:ilvl w:val="0"/>
                <w:numId w:val="139"/>
              </w:numPr>
              <w:spacing w:before="10" w:after="10"/>
              <w:jc w:val="both"/>
            </w:pPr>
            <w:r>
              <w:rPr>
                <w:sz w:val="18"/>
                <w:szCs w:val="18"/>
              </w:rPr>
              <w:t>Exigencias de originalidad y de citación de fuentes en los trabajos de grado de la Universidad Mayor de San Andrés.</w:t>
            </w:r>
          </w:p>
          <w:p w14:paraId="0835A9E6" w14:textId="77777777" w:rsidR="00990B14" w:rsidRDefault="00000000">
            <w:pPr>
              <w:numPr>
                <w:ilvl w:val="0"/>
                <w:numId w:val="139"/>
              </w:numPr>
              <w:spacing w:before="10" w:after="10"/>
              <w:jc w:val="both"/>
            </w:pPr>
            <w:r>
              <w:rPr>
                <w:sz w:val="18"/>
                <w:szCs w:val="18"/>
              </w:rPr>
              <w:t>Herramientas de verificación de similitud utilizadas en la revisión de los trabajos de grado.</w:t>
            </w:r>
          </w:p>
        </w:tc>
      </w:tr>
    </w:tbl>
    <w:p w14:paraId="20C1885E"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2015"/>
        <w:gridCol w:w="1700"/>
        <w:gridCol w:w="1805"/>
        <w:gridCol w:w="2004"/>
        <w:gridCol w:w="1881"/>
      </w:tblGrid>
      <w:tr w:rsidR="00990B14" w14:paraId="01815CBD" w14:textId="77777777">
        <w:trPr>
          <w:cantSplit/>
          <w:jc w:val="center"/>
        </w:trPr>
        <w:tc>
          <w:tcPr>
            <w:tcW w:w="9405" w:type="dxa"/>
            <w:gridSpan w:val="5"/>
            <w:shd w:val="clear" w:color="auto" w:fill="4472C4"/>
            <w:vAlign w:val="center"/>
          </w:tcPr>
          <w:p w14:paraId="3B9941E2" w14:textId="77777777" w:rsidR="00990B14" w:rsidRDefault="00000000">
            <w:pPr>
              <w:keepNext/>
              <w:spacing w:before="20" w:after="20"/>
              <w:jc w:val="center"/>
            </w:pPr>
            <w:r>
              <w:rPr>
                <w:b/>
                <w:bCs/>
                <w:i/>
                <w:iCs/>
                <w:color w:val="FFFFFF"/>
                <w:sz w:val="18"/>
                <w:szCs w:val="18"/>
              </w:rPr>
              <w:t>Actividades</w:t>
            </w:r>
          </w:p>
        </w:tc>
      </w:tr>
      <w:tr w:rsidR="00990B14" w14:paraId="0CB722DF" w14:textId="77777777">
        <w:trPr>
          <w:cantSplit/>
          <w:jc w:val="center"/>
        </w:trPr>
        <w:tc>
          <w:tcPr>
            <w:tcW w:w="2015" w:type="dxa"/>
            <w:shd w:val="clear" w:color="auto" w:fill="4472C4"/>
            <w:vAlign w:val="center"/>
          </w:tcPr>
          <w:p w14:paraId="5ACF65C5" w14:textId="77777777" w:rsidR="00990B14" w:rsidRDefault="00000000">
            <w:pPr>
              <w:keepNext/>
              <w:spacing w:before="20" w:after="20"/>
              <w:jc w:val="center"/>
            </w:pPr>
            <w:r>
              <w:rPr>
                <w:b/>
                <w:bCs/>
                <w:i/>
                <w:iCs/>
                <w:color w:val="FFFFFF"/>
                <w:sz w:val="18"/>
                <w:szCs w:val="18"/>
              </w:rPr>
              <w:t>En clase</w:t>
            </w:r>
          </w:p>
        </w:tc>
        <w:tc>
          <w:tcPr>
            <w:tcW w:w="1700" w:type="dxa"/>
            <w:shd w:val="clear" w:color="auto" w:fill="4472C4"/>
            <w:vAlign w:val="center"/>
          </w:tcPr>
          <w:p w14:paraId="61802FBA" w14:textId="77777777" w:rsidR="00990B14" w:rsidRDefault="00000000">
            <w:pPr>
              <w:keepNext/>
              <w:spacing w:before="20" w:after="20"/>
              <w:jc w:val="center"/>
            </w:pPr>
            <w:r>
              <w:rPr>
                <w:b/>
                <w:bCs/>
                <w:i/>
                <w:iCs/>
                <w:color w:val="FFFFFF"/>
                <w:sz w:val="18"/>
                <w:szCs w:val="18"/>
              </w:rPr>
              <w:t>Autónomas</w:t>
            </w:r>
          </w:p>
        </w:tc>
        <w:tc>
          <w:tcPr>
            <w:tcW w:w="1805" w:type="dxa"/>
            <w:shd w:val="clear" w:color="auto" w:fill="4472C4"/>
            <w:vAlign w:val="center"/>
          </w:tcPr>
          <w:p w14:paraId="0DB3CCDD" w14:textId="77777777" w:rsidR="00990B14" w:rsidRDefault="00000000">
            <w:pPr>
              <w:keepNext/>
              <w:spacing w:before="20" w:after="20"/>
              <w:jc w:val="center"/>
            </w:pPr>
            <w:r>
              <w:rPr>
                <w:b/>
                <w:bCs/>
                <w:i/>
                <w:iCs/>
                <w:color w:val="FFFFFF"/>
                <w:sz w:val="18"/>
                <w:szCs w:val="18"/>
              </w:rPr>
              <w:t>B-Learning</w:t>
            </w:r>
          </w:p>
        </w:tc>
        <w:tc>
          <w:tcPr>
            <w:tcW w:w="2004" w:type="dxa"/>
            <w:shd w:val="clear" w:color="auto" w:fill="4472C4"/>
            <w:vAlign w:val="center"/>
          </w:tcPr>
          <w:p w14:paraId="45C6E90A" w14:textId="77777777" w:rsidR="00990B14" w:rsidRDefault="00000000">
            <w:pPr>
              <w:keepNext/>
              <w:spacing w:before="20" w:after="20"/>
              <w:jc w:val="center"/>
            </w:pPr>
            <w:r>
              <w:rPr>
                <w:b/>
                <w:bCs/>
                <w:i/>
                <w:iCs/>
                <w:color w:val="FFFFFF"/>
                <w:sz w:val="18"/>
                <w:szCs w:val="18"/>
              </w:rPr>
              <w:t>Taller</w:t>
            </w:r>
          </w:p>
        </w:tc>
        <w:tc>
          <w:tcPr>
            <w:tcW w:w="1881" w:type="dxa"/>
            <w:shd w:val="clear" w:color="auto" w:fill="4472C4"/>
            <w:vAlign w:val="center"/>
          </w:tcPr>
          <w:p w14:paraId="7AE70BA8" w14:textId="77777777" w:rsidR="00990B14" w:rsidRDefault="00000000">
            <w:pPr>
              <w:keepNext/>
              <w:spacing w:before="20" w:after="20"/>
              <w:jc w:val="center"/>
            </w:pPr>
            <w:r>
              <w:rPr>
                <w:b/>
                <w:bCs/>
                <w:i/>
                <w:iCs/>
                <w:color w:val="FFFFFF"/>
                <w:sz w:val="18"/>
                <w:szCs w:val="18"/>
              </w:rPr>
              <w:t>Investigación/Práctica</w:t>
            </w:r>
          </w:p>
        </w:tc>
      </w:tr>
      <w:tr w:rsidR="00990B14" w14:paraId="6CAC976B" w14:textId="77777777">
        <w:trPr>
          <w:jc w:val="center"/>
        </w:trPr>
        <w:tc>
          <w:tcPr>
            <w:tcW w:w="2015" w:type="dxa"/>
            <w:shd w:val="clear" w:color="auto" w:fill="D9E2F3"/>
          </w:tcPr>
          <w:p w14:paraId="68C17BC8" w14:textId="77777777" w:rsidR="00990B14" w:rsidRDefault="00000000">
            <w:pPr>
              <w:numPr>
                <w:ilvl w:val="0"/>
                <w:numId w:val="139"/>
              </w:numPr>
              <w:spacing w:before="10" w:after="10"/>
              <w:jc w:val="both"/>
            </w:pPr>
            <w:r>
              <w:rPr>
                <w:sz w:val="18"/>
                <w:szCs w:val="18"/>
              </w:rPr>
              <w:t>1.Análisis y discusión de las modalidades de graduación, de acuerdo con la normativa universitaria vigente.</w:t>
            </w:r>
          </w:p>
          <w:p w14:paraId="61B69F64" w14:textId="77777777" w:rsidR="00990B14" w:rsidRDefault="00000000">
            <w:pPr>
              <w:numPr>
                <w:ilvl w:val="0"/>
                <w:numId w:val="139"/>
              </w:numPr>
              <w:spacing w:before="10" w:after="10"/>
              <w:jc w:val="both"/>
            </w:pPr>
            <w:r>
              <w:rPr>
                <w:sz w:val="18"/>
                <w:szCs w:val="18"/>
              </w:rPr>
              <w:t>2. Lectura crítica y análisis de documentos científicos y académicos vinculados con la Contaduría Pública.</w:t>
            </w:r>
          </w:p>
          <w:p w14:paraId="360DA335" w14:textId="77777777" w:rsidR="00990B14" w:rsidRDefault="00000000">
            <w:pPr>
              <w:numPr>
                <w:ilvl w:val="0"/>
                <w:numId w:val="139"/>
              </w:numPr>
              <w:spacing w:before="10" w:after="10"/>
              <w:jc w:val="both"/>
            </w:pPr>
            <w:r>
              <w:rPr>
                <w:sz w:val="18"/>
                <w:szCs w:val="18"/>
              </w:rPr>
              <w:t>3. Análisis de casos para identificar problemáticas de investigación en las áreas contable, financiera, tributaria y de auditoría.</w:t>
            </w:r>
          </w:p>
          <w:p w14:paraId="443B06F7" w14:textId="77777777" w:rsidR="00990B14" w:rsidRDefault="00000000">
            <w:pPr>
              <w:numPr>
                <w:ilvl w:val="0"/>
                <w:numId w:val="139"/>
              </w:numPr>
              <w:spacing w:before="10" w:after="10"/>
              <w:jc w:val="both"/>
            </w:pPr>
            <w:r>
              <w:rPr>
                <w:sz w:val="18"/>
                <w:szCs w:val="18"/>
              </w:rPr>
              <w:t>4. Taller de identificación, selección y delimitación de temas de investigación, considerando las líneas de investigación de la Carrera.</w:t>
            </w:r>
          </w:p>
          <w:p w14:paraId="2786FBFC" w14:textId="77777777" w:rsidR="00990B14" w:rsidRDefault="00000000">
            <w:pPr>
              <w:numPr>
                <w:ilvl w:val="0"/>
                <w:numId w:val="139"/>
              </w:numPr>
              <w:spacing w:before="10" w:after="10"/>
              <w:jc w:val="both"/>
            </w:pPr>
            <w:r>
              <w:rPr>
                <w:sz w:val="18"/>
                <w:szCs w:val="18"/>
              </w:rPr>
              <w:t>5. Taller de formulación del problema, objetivos, justificación e hipótesis de investigación, según corresponda.</w:t>
            </w:r>
          </w:p>
          <w:p w14:paraId="007DCC9D" w14:textId="77777777" w:rsidR="00990B14" w:rsidRDefault="00000000">
            <w:pPr>
              <w:numPr>
                <w:ilvl w:val="0"/>
                <w:numId w:val="139"/>
              </w:numPr>
              <w:spacing w:before="10" w:after="10"/>
              <w:jc w:val="both"/>
            </w:pPr>
            <w:r>
              <w:rPr>
                <w:sz w:val="18"/>
                <w:szCs w:val="18"/>
              </w:rPr>
              <w:t>6. Análisis comparativo de enfoques, tipos, niveles, métodos y diseños de investigación.</w:t>
            </w:r>
          </w:p>
          <w:p w14:paraId="751F633F" w14:textId="77777777" w:rsidR="00990B14" w:rsidRDefault="00000000">
            <w:pPr>
              <w:numPr>
                <w:ilvl w:val="0"/>
                <w:numId w:val="139"/>
              </w:numPr>
              <w:spacing w:before="10" w:after="10"/>
              <w:jc w:val="both"/>
            </w:pPr>
            <w:r>
              <w:rPr>
                <w:sz w:val="18"/>
                <w:szCs w:val="18"/>
              </w:rPr>
              <w:t>7. Análisis y discusión de la estructura y los componentes del marco teórico y metodológico.</w:t>
            </w:r>
          </w:p>
          <w:p w14:paraId="502F5B47" w14:textId="77777777" w:rsidR="00990B14" w:rsidRDefault="00000000">
            <w:pPr>
              <w:numPr>
                <w:ilvl w:val="0"/>
                <w:numId w:val="139"/>
              </w:numPr>
              <w:spacing w:before="10" w:after="10"/>
              <w:jc w:val="both"/>
            </w:pPr>
            <w:r>
              <w:rPr>
                <w:sz w:val="18"/>
                <w:szCs w:val="18"/>
              </w:rPr>
              <w:t>8. Taller de formulación y revisión progresiva del Perfil de Tesis de Grado o Perfil de Proyecto de Grado.</w:t>
            </w:r>
          </w:p>
          <w:p w14:paraId="43CD8DAE" w14:textId="77777777" w:rsidR="00990B14" w:rsidRDefault="00000000">
            <w:pPr>
              <w:numPr>
                <w:ilvl w:val="0"/>
                <w:numId w:val="139"/>
              </w:numPr>
              <w:spacing w:before="10" w:after="10"/>
              <w:jc w:val="both"/>
            </w:pPr>
            <w:r>
              <w:rPr>
                <w:sz w:val="18"/>
                <w:szCs w:val="18"/>
              </w:rPr>
              <w:t>9. Exposición y discusión de avances individuales, mediante retroalimentación docente y evaluación entre pares.</w:t>
            </w:r>
          </w:p>
        </w:tc>
        <w:tc>
          <w:tcPr>
            <w:tcW w:w="1700" w:type="dxa"/>
            <w:shd w:val="clear" w:color="auto" w:fill="D9E2F3"/>
          </w:tcPr>
          <w:p w14:paraId="3FC132B7" w14:textId="77777777" w:rsidR="00990B14" w:rsidRDefault="00000000">
            <w:pPr>
              <w:numPr>
                <w:ilvl w:val="0"/>
                <w:numId w:val="139"/>
              </w:numPr>
              <w:spacing w:before="10" w:after="10"/>
              <w:jc w:val="both"/>
            </w:pPr>
            <w:r>
              <w:rPr>
                <w:sz w:val="18"/>
                <w:szCs w:val="18"/>
              </w:rPr>
              <w:t>1. Lectura y análisis de la normativa institucional vigente sobre las modalidades de graduación reconocidas por la Carrera de Contaduría Pública.</w:t>
            </w:r>
          </w:p>
          <w:p w14:paraId="71C35C89" w14:textId="77777777" w:rsidR="00990B14" w:rsidRDefault="00000000">
            <w:pPr>
              <w:numPr>
                <w:ilvl w:val="0"/>
                <w:numId w:val="139"/>
              </w:numPr>
              <w:spacing w:before="10" w:after="10"/>
              <w:jc w:val="both"/>
            </w:pPr>
            <w:r>
              <w:rPr>
                <w:sz w:val="18"/>
                <w:szCs w:val="18"/>
              </w:rPr>
              <w:t>2. Revisión de la literatura científica y académica, selección y fichaje de fuentes pertinentes, orientados a la construcción del modelo teórico o modelo aplicado y la fundamentación de la temática de investigación.</w:t>
            </w:r>
          </w:p>
          <w:p w14:paraId="6EC1ED9A" w14:textId="77777777" w:rsidR="00990B14" w:rsidRDefault="00000000">
            <w:pPr>
              <w:numPr>
                <w:ilvl w:val="0"/>
                <w:numId w:val="139"/>
              </w:numPr>
              <w:spacing w:before="10" w:after="10"/>
              <w:jc w:val="both"/>
            </w:pPr>
            <w:r>
              <w:rPr>
                <w:sz w:val="18"/>
                <w:szCs w:val="18"/>
              </w:rPr>
              <w:t>3. Estructuración y redacción progresiva del Perfil de Tesis de Grado o del Perfil de Proyecto de Grado, conforme a los criterios metodológicos y la normativa institucional vigente.</w:t>
            </w:r>
          </w:p>
          <w:p w14:paraId="20C51446" w14:textId="77777777" w:rsidR="00990B14" w:rsidRDefault="00000000">
            <w:pPr>
              <w:numPr>
                <w:ilvl w:val="0"/>
                <w:numId w:val="139"/>
              </w:numPr>
              <w:spacing w:before="10" w:after="10"/>
              <w:jc w:val="both"/>
            </w:pPr>
            <w:r>
              <w:rPr>
                <w:sz w:val="18"/>
                <w:szCs w:val="18"/>
              </w:rPr>
              <w:t>4. Lectura y análisis crítico de artículos científicos del ámbito contable, financiero y tributario, incluyendo de manera complementaria publicaciones en inglés técnico, según las competencias lingüísticas del estudiante.</w:t>
            </w:r>
          </w:p>
        </w:tc>
        <w:tc>
          <w:tcPr>
            <w:tcW w:w="1805" w:type="dxa"/>
            <w:shd w:val="clear" w:color="auto" w:fill="D9E2F3"/>
          </w:tcPr>
          <w:p w14:paraId="43A7877D" w14:textId="77777777" w:rsidR="00990B14" w:rsidRDefault="00000000">
            <w:pPr>
              <w:numPr>
                <w:ilvl w:val="0"/>
                <w:numId w:val="139"/>
              </w:numPr>
              <w:spacing w:before="10" w:after="10"/>
              <w:jc w:val="both"/>
            </w:pPr>
            <w:r>
              <w:rPr>
                <w:sz w:val="18"/>
                <w:szCs w:val="18"/>
              </w:rPr>
              <w:t>1. Cuestionarios virtuales de comprensión y aplicación, mediante Moodle UMSA, sobre fundamentos de investigación científica, modalidades de graduación y componentes metodológicos del perfil.</w:t>
            </w:r>
          </w:p>
          <w:p w14:paraId="0D0599E2" w14:textId="77777777" w:rsidR="00990B14" w:rsidRDefault="00000000">
            <w:pPr>
              <w:numPr>
                <w:ilvl w:val="0"/>
                <w:numId w:val="139"/>
              </w:numPr>
              <w:spacing w:before="10" w:after="10"/>
              <w:jc w:val="both"/>
            </w:pPr>
            <w:r>
              <w:rPr>
                <w:sz w:val="18"/>
                <w:szCs w:val="18"/>
              </w:rPr>
              <w:t>2. Foros virtuales de análisis y consulta sobre identificación de problemáticas, metodología de investigación y estructuración del Perfil de Tesis de Grado o del Perfil de Proyecto de Grado.</w:t>
            </w:r>
          </w:p>
          <w:p w14:paraId="2AED33EB" w14:textId="77777777" w:rsidR="00990B14" w:rsidRDefault="00000000">
            <w:pPr>
              <w:numPr>
                <w:ilvl w:val="0"/>
                <w:numId w:val="139"/>
              </w:numPr>
              <w:spacing w:before="10" w:after="10"/>
              <w:jc w:val="both"/>
            </w:pPr>
            <w:r>
              <w:rPr>
                <w:sz w:val="18"/>
                <w:szCs w:val="18"/>
              </w:rPr>
              <w:t>3. Videotutoriales y recursos digitales sobre búsqueda, selección y evaluación de literatura científica en bases de datos académicas, así como el uso de gestores de referencias bibliográficas.</w:t>
            </w:r>
          </w:p>
          <w:p w14:paraId="68ED766A" w14:textId="77777777" w:rsidR="00990B14" w:rsidRDefault="00000000">
            <w:pPr>
              <w:numPr>
                <w:ilvl w:val="0"/>
                <w:numId w:val="139"/>
              </w:numPr>
              <w:spacing w:before="10" w:after="10"/>
              <w:jc w:val="both"/>
            </w:pPr>
            <w:r>
              <w:rPr>
                <w:sz w:val="18"/>
                <w:szCs w:val="18"/>
              </w:rPr>
              <w:t>4. Prácticas guiadas en entornos virtuales para la búsqueda y sistematización de literatura científica y la gestión de referencias bibliográficas, orientadas a la fundamentación del modelo teórico o modelo aplicado.</w:t>
            </w:r>
          </w:p>
        </w:tc>
        <w:tc>
          <w:tcPr>
            <w:tcW w:w="2004" w:type="dxa"/>
            <w:shd w:val="clear" w:color="auto" w:fill="D9E2F3"/>
          </w:tcPr>
          <w:p w14:paraId="78E4BB9D" w14:textId="77777777" w:rsidR="00990B14" w:rsidRDefault="00000000">
            <w:pPr>
              <w:numPr>
                <w:ilvl w:val="0"/>
                <w:numId w:val="139"/>
              </w:numPr>
              <w:spacing w:before="10" w:after="10"/>
              <w:jc w:val="both"/>
            </w:pPr>
            <w:r>
              <w:rPr>
                <w:sz w:val="18"/>
                <w:szCs w:val="18"/>
              </w:rPr>
              <w:t>1. Elaboración guiada del planteamiento del problema, formulación de objetivos, identificación de variables y construcción de la matriz de variables, considerando la hipótesis cuando corresponda.</w:t>
            </w:r>
          </w:p>
          <w:p w14:paraId="79FE6094" w14:textId="77777777" w:rsidR="00990B14" w:rsidRDefault="00000000">
            <w:pPr>
              <w:numPr>
                <w:ilvl w:val="0"/>
                <w:numId w:val="139"/>
              </w:numPr>
              <w:spacing w:before="10" w:after="10"/>
              <w:jc w:val="both"/>
            </w:pPr>
            <w:r>
              <w:rPr>
                <w:sz w:val="18"/>
                <w:szCs w:val="18"/>
              </w:rPr>
              <w:t>2. Revisión y valoración entre pares de los perfiles de investigación, aplicando criterios de coherencia metodológica, pertinencia y rigor académico.</w:t>
            </w:r>
          </w:p>
          <w:p w14:paraId="2ECC195C" w14:textId="77777777" w:rsidR="00990B14" w:rsidRDefault="00000000">
            <w:pPr>
              <w:numPr>
                <w:ilvl w:val="0"/>
                <w:numId w:val="139"/>
              </w:numPr>
              <w:spacing w:before="10" w:after="10"/>
              <w:jc w:val="both"/>
            </w:pPr>
            <w:r>
              <w:rPr>
                <w:sz w:val="18"/>
                <w:szCs w:val="18"/>
              </w:rPr>
              <w:t>3. Presentación simulada del Perfil de Tesis de Grado o del Perfil de Proyecto de Grado, con retroalimentación académica orientada a su mejoramiento.</w:t>
            </w:r>
          </w:p>
          <w:p w14:paraId="66F5A12E" w14:textId="77777777" w:rsidR="00990B14" w:rsidRDefault="00000000">
            <w:pPr>
              <w:numPr>
                <w:ilvl w:val="0"/>
                <w:numId w:val="139"/>
              </w:numPr>
              <w:spacing w:before="10" w:after="10"/>
              <w:jc w:val="both"/>
            </w:pPr>
            <w:r>
              <w:rPr>
                <w:sz w:val="18"/>
                <w:szCs w:val="18"/>
              </w:rPr>
              <w:t>4. Revisión conjunta de la coherencia metodológica del perfil, verificando la articulación entre el problema, los objetivos, las variables, la hipótesis (cuando corresponda) y el diseño metodológico.</w:t>
            </w:r>
          </w:p>
        </w:tc>
        <w:tc>
          <w:tcPr>
            <w:tcW w:w="1881" w:type="dxa"/>
            <w:shd w:val="clear" w:color="auto" w:fill="D9E2F3"/>
          </w:tcPr>
          <w:p w14:paraId="78355BD7" w14:textId="77777777" w:rsidR="00990B14" w:rsidRDefault="00000000">
            <w:pPr>
              <w:numPr>
                <w:ilvl w:val="0"/>
                <w:numId w:val="139"/>
              </w:numPr>
              <w:spacing w:before="10" w:after="10"/>
              <w:jc w:val="both"/>
            </w:pPr>
            <w:r>
              <w:rPr>
                <w:sz w:val="18"/>
                <w:szCs w:val="18"/>
              </w:rPr>
              <w:t>1. Análisis de perfiles de tesis y proyectos de grado defendidos en la Carrera de Contaduría Pública. (práctica)</w:t>
            </w:r>
          </w:p>
          <w:p w14:paraId="32114A28" w14:textId="77777777" w:rsidR="00990B14" w:rsidRDefault="00000000">
            <w:pPr>
              <w:numPr>
                <w:ilvl w:val="0"/>
                <w:numId w:val="139"/>
              </w:numPr>
              <w:spacing w:before="10" w:after="10"/>
              <w:jc w:val="both"/>
            </w:pPr>
            <w:r>
              <w:rPr>
                <w:sz w:val="18"/>
                <w:szCs w:val="18"/>
              </w:rPr>
              <w:t>2. Revisión de artículos científicos del área contable y de auditoría. (investigación)</w:t>
            </w:r>
          </w:p>
          <w:p w14:paraId="5C56AE88" w14:textId="77777777" w:rsidR="00990B14" w:rsidRDefault="00000000">
            <w:pPr>
              <w:numPr>
                <w:ilvl w:val="0"/>
                <w:numId w:val="139"/>
              </w:numPr>
              <w:spacing w:before="10" w:after="10"/>
              <w:jc w:val="both"/>
            </w:pPr>
            <w:r>
              <w:rPr>
                <w:sz w:val="18"/>
                <w:szCs w:val="18"/>
              </w:rPr>
              <w:t>3. Identificación de problemas profesionales en entidades del medio como fuente de temas. (investigación)</w:t>
            </w:r>
          </w:p>
          <w:p w14:paraId="0472749F" w14:textId="77777777" w:rsidR="00990B14" w:rsidRDefault="00000000">
            <w:pPr>
              <w:numPr>
                <w:ilvl w:val="0"/>
                <w:numId w:val="139"/>
              </w:numPr>
              <w:spacing w:before="10" w:after="10"/>
              <w:jc w:val="both"/>
            </w:pPr>
            <w:r>
              <w:rPr>
                <w:sz w:val="18"/>
                <w:szCs w:val="18"/>
              </w:rPr>
              <w:t>4. Revisión de trabajos de grado del repositorio institucional y de sus diseños metodológicos.</w:t>
            </w:r>
          </w:p>
          <w:p w14:paraId="35F0A9BD" w14:textId="77777777" w:rsidR="00990B14" w:rsidRDefault="00000000">
            <w:pPr>
              <w:numPr>
                <w:ilvl w:val="0"/>
                <w:numId w:val="139"/>
              </w:numPr>
              <w:spacing w:before="10" w:after="10"/>
              <w:jc w:val="both"/>
            </w:pPr>
            <w:r>
              <w:rPr>
                <w:sz w:val="18"/>
                <w:szCs w:val="18"/>
              </w:rPr>
              <w:t>(práctico)</w:t>
            </w:r>
          </w:p>
        </w:tc>
      </w:tr>
    </w:tbl>
    <w:p w14:paraId="3439C2F5"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1490"/>
        <w:gridCol w:w="2286"/>
        <w:gridCol w:w="1876"/>
        <w:gridCol w:w="1876"/>
        <w:gridCol w:w="1877"/>
      </w:tblGrid>
      <w:tr w:rsidR="00990B14" w14:paraId="7698CFFA" w14:textId="77777777">
        <w:trPr>
          <w:jc w:val="center"/>
        </w:trPr>
        <w:tc>
          <w:tcPr>
            <w:tcW w:w="1490" w:type="dxa"/>
            <w:shd w:val="clear" w:color="auto" w:fill="4472C4"/>
            <w:vAlign w:val="center"/>
          </w:tcPr>
          <w:p w14:paraId="26F8F7D0" w14:textId="77777777" w:rsidR="00990B14" w:rsidRDefault="00000000">
            <w:pPr>
              <w:spacing w:before="20" w:after="20"/>
              <w:jc w:val="center"/>
            </w:pPr>
            <w:r>
              <w:rPr>
                <w:b/>
                <w:bCs/>
                <w:i/>
                <w:iCs/>
                <w:color w:val="FFFFFF"/>
                <w:sz w:val="18"/>
                <w:szCs w:val="18"/>
              </w:rPr>
              <w:t>Estrategias de aprendizaje y enseñanza</w:t>
            </w:r>
          </w:p>
        </w:tc>
        <w:tc>
          <w:tcPr>
            <w:tcW w:w="7915" w:type="dxa"/>
            <w:gridSpan w:val="4"/>
            <w:shd w:val="clear" w:color="auto" w:fill="D9E2F3"/>
            <w:vAlign w:val="center"/>
          </w:tcPr>
          <w:p w14:paraId="3847B2FD" w14:textId="77777777" w:rsidR="00990B14" w:rsidRDefault="00000000">
            <w:pPr>
              <w:numPr>
                <w:ilvl w:val="0"/>
                <w:numId w:val="140"/>
              </w:numPr>
              <w:spacing w:before="10" w:after="10"/>
              <w:jc w:val="both"/>
            </w:pPr>
            <w:r>
              <w:rPr>
                <w:sz w:val="18"/>
                <w:szCs w:val="18"/>
              </w:rPr>
              <w:t>Aprendizaje basado en proyectos con el desarrollo del propio perfil de investigación.</w:t>
            </w:r>
          </w:p>
          <w:p w14:paraId="31AA783E" w14:textId="77777777" w:rsidR="00990B14" w:rsidRDefault="00000000">
            <w:pPr>
              <w:numPr>
                <w:ilvl w:val="0"/>
                <w:numId w:val="140"/>
              </w:numPr>
              <w:spacing w:before="10" w:after="10"/>
              <w:jc w:val="both"/>
            </w:pPr>
            <w:r>
              <w:rPr>
                <w:sz w:val="18"/>
                <w:szCs w:val="18"/>
              </w:rPr>
              <w:t>Talleres de escritura académica con revisión entre pares.</w:t>
            </w:r>
          </w:p>
          <w:p w14:paraId="73D39E50" w14:textId="77777777" w:rsidR="00990B14" w:rsidRDefault="00000000">
            <w:pPr>
              <w:numPr>
                <w:ilvl w:val="0"/>
                <w:numId w:val="140"/>
              </w:numPr>
              <w:spacing w:before="10" w:after="10"/>
              <w:jc w:val="both"/>
            </w:pPr>
            <w:r>
              <w:rPr>
                <w:sz w:val="18"/>
                <w:szCs w:val="18"/>
              </w:rPr>
              <w:t>Estudio de casos de tesis y proyectos de grado aprobados.</w:t>
            </w:r>
          </w:p>
          <w:p w14:paraId="186D6152" w14:textId="77777777" w:rsidR="00990B14" w:rsidRDefault="00000000">
            <w:pPr>
              <w:numPr>
                <w:ilvl w:val="0"/>
                <w:numId w:val="140"/>
              </w:numPr>
              <w:spacing w:before="10" w:after="10"/>
              <w:jc w:val="both"/>
            </w:pPr>
            <w:r>
              <w:rPr>
                <w:sz w:val="18"/>
                <w:szCs w:val="18"/>
              </w:rPr>
              <w:t>Acompañamiento individual del avance de cada investigación.</w:t>
            </w:r>
          </w:p>
          <w:p w14:paraId="373B3CD0" w14:textId="77777777" w:rsidR="00990B14" w:rsidRDefault="00000000">
            <w:pPr>
              <w:numPr>
                <w:ilvl w:val="0"/>
                <w:numId w:val="140"/>
              </w:numPr>
              <w:spacing w:before="10" w:after="10"/>
              <w:jc w:val="both"/>
            </w:pPr>
            <w:r>
              <w:rPr>
                <w:sz w:val="18"/>
                <w:szCs w:val="18"/>
              </w:rPr>
              <w:t>Clase invertida para los contenidos metodológicos.</w:t>
            </w:r>
          </w:p>
        </w:tc>
      </w:tr>
      <w:tr w:rsidR="00990B14" w14:paraId="72377801" w14:textId="77777777">
        <w:trPr>
          <w:jc w:val="center"/>
        </w:trPr>
        <w:tc>
          <w:tcPr>
            <w:tcW w:w="1490" w:type="dxa"/>
            <w:shd w:val="clear" w:color="auto" w:fill="4472C4"/>
            <w:vAlign w:val="center"/>
          </w:tcPr>
          <w:p w14:paraId="5F6F908C" w14:textId="77777777" w:rsidR="00990B14" w:rsidRDefault="00000000">
            <w:pPr>
              <w:spacing w:before="20" w:after="20"/>
              <w:jc w:val="center"/>
            </w:pPr>
            <w:r>
              <w:rPr>
                <w:b/>
                <w:bCs/>
                <w:i/>
                <w:iCs/>
                <w:color w:val="FFFFFF"/>
                <w:sz w:val="18"/>
                <w:szCs w:val="18"/>
              </w:rPr>
              <w:t>Recursos para el aprendizaje</w:t>
            </w:r>
          </w:p>
        </w:tc>
        <w:tc>
          <w:tcPr>
            <w:tcW w:w="7915" w:type="dxa"/>
            <w:gridSpan w:val="4"/>
            <w:shd w:val="clear" w:color="auto" w:fill="D9E2F3"/>
            <w:vAlign w:val="center"/>
          </w:tcPr>
          <w:p w14:paraId="560925E5" w14:textId="77777777" w:rsidR="00990B14" w:rsidRDefault="00000000">
            <w:pPr>
              <w:numPr>
                <w:ilvl w:val="0"/>
                <w:numId w:val="140"/>
              </w:numPr>
              <w:spacing w:before="10" w:after="10"/>
              <w:jc w:val="both"/>
            </w:pPr>
            <w:r>
              <w:rPr>
                <w:sz w:val="18"/>
                <w:szCs w:val="18"/>
              </w:rPr>
              <w:t>Plataforma Moodle UMSA.</w:t>
            </w:r>
          </w:p>
          <w:p w14:paraId="37FFB6A1" w14:textId="77777777" w:rsidR="00990B14" w:rsidRDefault="00000000">
            <w:pPr>
              <w:numPr>
                <w:ilvl w:val="0"/>
                <w:numId w:val="140"/>
              </w:numPr>
              <w:spacing w:before="10" w:after="10"/>
              <w:jc w:val="both"/>
            </w:pPr>
            <w:r>
              <w:rPr>
                <w:sz w:val="18"/>
                <w:szCs w:val="18"/>
              </w:rPr>
              <w:t>Reglamento General de Tipos y Modalidades de Graduación y normativa de graduación de la Carrera.</w:t>
            </w:r>
          </w:p>
          <w:p w14:paraId="680E22AA" w14:textId="77777777" w:rsidR="00990B14" w:rsidRDefault="00000000">
            <w:pPr>
              <w:numPr>
                <w:ilvl w:val="0"/>
                <w:numId w:val="140"/>
              </w:numPr>
              <w:spacing w:before="10" w:after="10"/>
              <w:jc w:val="both"/>
            </w:pPr>
            <w:r>
              <w:rPr>
                <w:sz w:val="18"/>
                <w:szCs w:val="18"/>
              </w:rPr>
              <w:t>Biblioteca y repositorio institucional de tesis y proyectos de grado de la Universidad Mayor de San Andrés.</w:t>
            </w:r>
          </w:p>
          <w:p w14:paraId="0154CE58" w14:textId="77777777" w:rsidR="00990B14" w:rsidRDefault="00000000">
            <w:pPr>
              <w:numPr>
                <w:ilvl w:val="0"/>
                <w:numId w:val="140"/>
              </w:numPr>
              <w:spacing w:before="10" w:after="10"/>
              <w:jc w:val="both"/>
            </w:pPr>
            <w:r>
              <w:rPr>
                <w:sz w:val="18"/>
                <w:szCs w:val="18"/>
              </w:rPr>
              <w:t>Bases de datos académicas y gestores de referencias bibliográficas.</w:t>
            </w:r>
          </w:p>
          <w:p w14:paraId="2D7CBFBD" w14:textId="77777777" w:rsidR="00990B14" w:rsidRDefault="00000000">
            <w:pPr>
              <w:numPr>
                <w:ilvl w:val="0"/>
                <w:numId w:val="140"/>
              </w:numPr>
              <w:spacing w:before="10" w:after="10"/>
              <w:jc w:val="both"/>
            </w:pPr>
            <w:r>
              <w:rPr>
                <w:sz w:val="18"/>
                <w:szCs w:val="18"/>
              </w:rPr>
              <w:t>Hoja de cálculo y programas de procesamiento de datos para el análisis de resultados.</w:t>
            </w:r>
          </w:p>
          <w:p w14:paraId="25D4913A" w14:textId="77777777" w:rsidR="00990B14" w:rsidRDefault="00000000">
            <w:pPr>
              <w:numPr>
                <w:ilvl w:val="0"/>
                <w:numId w:val="140"/>
              </w:numPr>
              <w:spacing w:before="10" w:after="10"/>
              <w:jc w:val="both"/>
            </w:pPr>
            <w:r>
              <w:rPr>
                <w:sz w:val="18"/>
                <w:szCs w:val="18"/>
              </w:rPr>
              <w:t>Herramientas de verificación de similitud y de gestión de referencias bibliográficas.</w:t>
            </w:r>
          </w:p>
          <w:p w14:paraId="66D41BB2" w14:textId="77777777" w:rsidR="00990B14" w:rsidRDefault="00000000">
            <w:pPr>
              <w:numPr>
                <w:ilvl w:val="0"/>
                <w:numId w:val="140"/>
              </w:numPr>
              <w:spacing w:before="10" w:after="10"/>
              <w:jc w:val="both"/>
            </w:pPr>
            <w:r>
              <w:rPr>
                <w:sz w:val="18"/>
                <w:szCs w:val="18"/>
              </w:rPr>
              <w:t>Programas de procesamiento estadístico y de visualización de datos de uso académico.</w:t>
            </w:r>
          </w:p>
        </w:tc>
      </w:tr>
      <w:tr w:rsidR="00990B14" w14:paraId="54B1C829" w14:textId="77777777">
        <w:trPr>
          <w:jc w:val="center"/>
        </w:trPr>
        <w:tc>
          <w:tcPr>
            <w:tcW w:w="1490" w:type="dxa"/>
            <w:shd w:val="clear" w:color="auto" w:fill="4472C4"/>
            <w:vAlign w:val="center"/>
          </w:tcPr>
          <w:p w14:paraId="5503BBF1" w14:textId="77777777" w:rsidR="00990B14" w:rsidRDefault="00000000">
            <w:pPr>
              <w:spacing w:before="20" w:after="20"/>
              <w:jc w:val="center"/>
            </w:pPr>
            <w:r>
              <w:rPr>
                <w:b/>
                <w:bCs/>
                <w:i/>
                <w:iCs/>
                <w:color w:val="FFFFFF"/>
                <w:sz w:val="18"/>
                <w:szCs w:val="18"/>
              </w:rPr>
              <w:t>Estrategias de evaluación</w:t>
            </w:r>
          </w:p>
        </w:tc>
        <w:tc>
          <w:tcPr>
            <w:tcW w:w="7915" w:type="dxa"/>
            <w:gridSpan w:val="4"/>
            <w:shd w:val="clear" w:color="auto" w:fill="D9E2F3"/>
            <w:vAlign w:val="center"/>
          </w:tcPr>
          <w:p w14:paraId="0B4DF6E1" w14:textId="77777777" w:rsidR="00990B14" w:rsidRDefault="00000000">
            <w:pPr>
              <w:numPr>
                <w:ilvl w:val="0"/>
                <w:numId w:val="140"/>
              </w:numPr>
              <w:spacing w:before="10" w:after="10"/>
              <w:jc w:val="both"/>
            </w:pPr>
            <w:r>
              <w:rPr>
                <w:sz w:val="18"/>
                <w:szCs w:val="18"/>
              </w:rPr>
              <w:t>Evaluación diagnóstica: prueba inicial sobre metodología de la investigación y redacción académica.</w:t>
            </w:r>
          </w:p>
          <w:p w14:paraId="4904BF8C" w14:textId="77777777" w:rsidR="00990B14" w:rsidRDefault="00000000">
            <w:pPr>
              <w:numPr>
                <w:ilvl w:val="0"/>
                <w:numId w:val="140"/>
              </w:numPr>
              <w:spacing w:before="10" w:after="10"/>
              <w:jc w:val="both"/>
            </w:pPr>
            <w:r>
              <w:rPr>
                <w:sz w:val="18"/>
                <w:szCs w:val="18"/>
              </w:rPr>
              <w:t>Evaluación formativa: preguntas de comprensión y desarrollo de ejercicios prácticos en el aula, con retroalimentación continua, autoevaluación y coevaluación.</w:t>
            </w:r>
          </w:p>
          <w:p w14:paraId="56354556" w14:textId="77777777" w:rsidR="00990B14" w:rsidRDefault="00000000">
            <w:pPr>
              <w:numPr>
                <w:ilvl w:val="0"/>
                <w:numId w:val="140"/>
              </w:numPr>
              <w:spacing w:before="10" w:after="10"/>
              <w:jc w:val="both"/>
            </w:pPr>
            <w:r>
              <w:rPr>
                <w:sz w:val="18"/>
                <w:szCs w:val="18"/>
              </w:rPr>
              <w:t>Evaluación sumativa: controles de lectura y asistencia, evaluación de casos prácticos, trabajos de investigación y desarrollo, exámenes parciales y examen final.</w:t>
            </w:r>
          </w:p>
        </w:tc>
      </w:tr>
      <w:tr w:rsidR="00990B14" w14:paraId="3A22EC18" w14:textId="77777777">
        <w:trPr>
          <w:jc w:val="center"/>
        </w:trPr>
        <w:tc>
          <w:tcPr>
            <w:tcW w:w="1490" w:type="dxa"/>
            <w:shd w:val="clear" w:color="auto" w:fill="4472C4"/>
            <w:vAlign w:val="center"/>
          </w:tcPr>
          <w:p w14:paraId="4358B785" w14:textId="77777777" w:rsidR="00990B14" w:rsidRDefault="00000000">
            <w:pPr>
              <w:spacing w:before="20" w:after="20"/>
              <w:jc w:val="center"/>
            </w:pPr>
            <w:r>
              <w:rPr>
                <w:b/>
                <w:bCs/>
                <w:i/>
                <w:iCs/>
                <w:color w:val="FFFFFF"/>
                <w:sz w:val="18"/>
                <w:szCs w:val="18"/>
              </w:rPr>
              <w:t>Criterios de calificación</w:t>
            </w:r>
          </w:p>
        </w:tc>
        <w:tc>
          <w:tcPr>
            <w:tcW w:w="7915" w:type="dxa"/>
            <w:gridSpan w:val="4"/>
            <w:shd w:val="clear" w:color="auto" w:fill="D9E2F3"/>
            <w:vAlign w:val="center"/>
          </w:tcPr>
          <w:p w14:paraId="3D852F00" w14:textId="77777777" w:rsidR="00990B14" w:rsidRDefault="00000000">
            <w:pPr>
              <w:numPr>
                <w:ilvl w:val="0"/>
                <w:numId w:val="140"/>
              </w:numPr>
              <w:spacing w:before="10" w:after="10"/>
              <w:jc w:val="both"/>
            </w:pPr>
            <w:r>
              <w:rPr>
                <w:sz w:val="18"/>
                <w:szCs w:val="18"/>
              </w:rPr>
              <w:t>Nota mínima de aprobación: 51/100.</w:t>
            </w:r>
          </w:p>
          <w:p w14:paraId="3968E9FE" w14:textId="77777777" w:rsidR="00990B14" w:rsidRDefault="00000000">
            <w:pPr>
              <w:numPr>
                <w:ilvl w:val="0"/>
                <w:numId w:val="140"/>
              </w:numPr>
              <w:spacing w:before="10" w:after="10"/>
              <w:jc w:val="both"/>
            </w:pPr>
            <w:r>
              <w:rPr>
                <w:sz w:val="18"/>
                <w:szCs w:val="18"/>
              </w:rPr>
              <w:t>Evaluación periódica al finalizar cada tema, basada en evidencias de conocimiento, desempeño y producto.</w:t>
            </w:r>
          </w:p>
          <w:p w14:paraId="08E58AB2" w14:textId="77777777" w:rsidR="00990B14" w:rsidRDefault="00000000">
            <w:pPr>
              <w:numPr>
                <w:ilvl w:val="0"/>
                <w:numId w:val="140"/>
              </w:numPr>
              <w:spacing w:before="10" w:after="10"/>
              <w:jc w:val="both"/>
            </w:pPr>
            <w:r>
              <w:rPr>
                <w:sz w:val="18"/>
                <w:szCs w:val="18"/>
              </w:rPr>
              <w:t>La calificación de cada producto integra la prueba escrita del elemento y las evidencias de desempeño y producto.</w:t>
            </w:r>
          </w:p>
          <w:p w14:paraId="690684D6" w14:textId="77777777" w:rsidR="00990B14" w:rsidRDefault="00000000">
            <w:pPr>
              <w:numPr>
                <w:ilvl w:val="0"/>
                <w:numId w:val="140"/>
              </w:numPr>
              <w:spacing w:before="10" w:after="10"/>
              <w:jc w:val="both"/>
            </w:pPr>
            <w:r>
              <w:rPr>
                <w:sz w:val="18"/>
                <w:szCs w:val="18"/>
              </w:rPr>
              <w:t>Cada producto se evalúa con una rúbrica de tres niveles: Insuficiente, Suficiente y Destacado.</w:t>
            </w:r>
          </w:p>
        </w:tc>
      </w:tr>
      <w:tr w:rsidR="00990B14" w14:paraId="26CE48F7" w14:textId="77777777">
        <w:trPr>
          <w:cantSplit/>
          <w:jc w:val="center"/>
        </w:trPr>
        <w:tc>
          <w:tcPr>
            <w:tcW w:w="1490" w:type="dxa"/>
            <w:vMerge w:val="restart"/>
            <w:shd w:val="clear" w:color="auto" w:fill="4472C4"/>
            <w:vAlign w:val="center"/>
          </w:tcPr>
          <w:p w14:paraId="68C83333" w14:textId="77777777" w:rsidR="00990B14" w:rsidRDefault="00000000">
            <w:pPr>
              <w:spacing w:before="20" w:after="20"/>
              <w:jc w:val="center"/>
            </w:pPr>
            <w:r>
              <w:rPr>
                <w:b/>
                <w:bCs/>
                <w:i/>
                <w:iCs/>
                <w:color w:val="FFFFFF"/>
                <w:sz w:val="18"/>
                <w:szCs w:val="18"/>
              </w:rPr>
              <w:t>Niveles de logro y distribución de la calificación</w:t>
            </w:r>
          </w:p>
        </w:tc>
        <w:tc>
          <w:tcPr>
            <w:tcW w:w="6038" w:type="dxa"/>
            <w:gridSpan w:val="3"/>
            <w:shd w:val="clear" w:color="auto" w:fill="D9E2F3"/>
            <w:vAlign w:val="center"/>
          </w:tcPr>
          <w:p w14:paraId="63612D9A" w14:textId="77777777" w:rsidR="00990B14" w:rsidRDefault="00000000">
            <w:pPr>
              <w:keepNext/>
              <w:spacing w:before="20" w:after="20"/>
              <w:jc w:val="both"/>
            </w:pPr>
            <w:r>
              <w:rPr>
                <w:b/>
                <w:bCs/>
                <w:i/>
                <w:iCs/>
                <w:sz w:val="18"/>
                <w:szCs w:val="18"/>
              </w:rPr>
              <w:t xml:space="preserve">Producto 1: </w:t>
            </w:r>
            <w:r>
              <w:rPr>
                <w:sz w:val="18"/>
                <w:szCs w:val="18"/>
              </w:rPr>
              <w:t>dimensiones de la realidad y su vinculación con la investigación científica.</w:t>
            </w:r>
          </w:p>
        </w:tc>
        <w:tc>
          <w:tcPr>
            <w:tcW w:w="1877" w:type="dxa"/>
            <w:shd w:val="clear" w:color="auto" w:fill="D9E2F3"/>
            <w:vAlign w:val="center"/>
          </w:tcPr>
          <w:p w14:paraId="221F5360" w14:textId="77777777" w:rsidR="00990B14" w:rsidRDefault="00000000">
            <w:pPr>
              <w:spacing w:before="20" w:after="20"/>
              <w:jc w:val="center"/>
            </w:pPr>
            <w:r>
              <w:rPr>
                <w:b/>
                <w:bCs/>
                <w:sz w:val="18"/>
                <w:szCs w:val="18"/>
              </w:rPr>
              <w:t>3%</w:t>
            </w:r>
          </w:p>
        </w:tc>
      </w:tr>
      <w:tr w:rsidR="00990B14" w14:paraId="2522897B" w14:textId="77777777">
        <w:trPr>
          <w:cantSplit/>
          <w:jc w:val="center"/>
        </w:trPr>
        <w:tc>
          <w:tcPr>
            <w:tcW w:w="1490" w:type="dxa"/>
            <w:vMerge/>
            <w:shd w:val="clear" w:color="auto" w:fill="4472C4"/>
            <w:vAlign w:val="center"/>
          </w:tcPr>
          <w:p w14:paraId="52D20352" w14:textId="77777777" w:rsidR="00990B14" w:rsidRDefault="00990B14">
            <w:pPr>
              <w:spacing w:before="20" w:after="20"/>
            </w:pPr>
          </w:p>
        </w:tc>
        <w:tc>
          <w:tcPr>
            <w:tcW w:w="2286" w:type="dxa"/>
            <w:shd w:val="clear" w:color="auto" w:fill="4472C4"/>
            <w:vAlign w:val="center"/>
          </w:tcPr>
          <w:p w14:paraId="5DD64797"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00854DCA"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1506015F"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226F5BD4" w14:textId="77777777" w:rsidR="00990B14" w:rsidRDefault="00000000">
            <w:pPr>
              <w:keepNext/>
              <w:spacing w:before="20" w:after="20"/>
              <w:jc w:val="center"/>
            </w:pPr>
            <w:r>
              <w:rPr>
                <w:b/>
                <w:bCs/>
                <w:i/>
                <w:iCs/>
                <w:color w:val="FFFFFF"/>
                <w:sz w:val="18"/>
                <w:szCs w:val="18"/>
              </w:rPr>
              <w:t>Destacado (81–100)</w:t>
            </w:r>
          </w:p>
        </w:tc>
      </w:tr>
      <w:tr w:rsidR="00990B14" w14:paraId="22BE5F8B" w14:textId="77777777">
        <w:trPr>
          <w:cantSplit/>
          <w:jc w:val="center"/>
        </w:trPr>
        <w:tc>
          <w:tcPr>
            <w:tcW w:w="1490" w:type="dxa"/>
            <w:vMerge/>
            <w:shd w:val="clear" w:color="auto" w:fill="4472C4"/>
            <w:vAlign w:val="center"/>
          </w:tcPr>
          <w:p w14:paraId="3900EB05" w14:textId="77777777" w:rsidR="00990B14" w:rsidRDefault="00990B14">
            <w:pPr>
              <w:spacing w:before="20" w:after="20"/>
            </w:pPr>
          </w:p>
        </w:tc>
        <w:tc>
          <w:tcPr>
            <w:tcW w:w="2286" w:type="dxa"/>
            <w:shd w:val="clear" w:color="auto" w:fill="D9E2F3"/>
            <w:vAlign w:val="center"/>
          </w:tcPr>
          <w:p w14:paraId="7344EAE7" w14:textId="77777777" w:rsidR="00990B14" w:rsidRDefault="00000000">
            <w:pPr>
              <w:spacing w:before="20" w:after="20"/>
              <w:jc w:val="both"/>
            </w:pPr>
            <w:r>
              <w:rPr>
                <w:sz w:val="18"/>
                <w:szCs w:val="18"/>
              </w:rPr>
              <w:t>Identificación de dimensiones</w:t>
            </w:r>
          </w:p>
        </w:tc>
        <w:tc>
          <w:tcPr>
            <w:tcW w:w="1876" w:type="dxa"/>
            <w:shd w:val="clear" w:color="auto" w:fill="D9E2F3"/>
            <w:vAlign w:val="center"/>
          </w:tcPr>
          <w:p w14:paraId="35F49E66" w14:textId="77777777" w:rsidR="00990B14" w:rsidRDefault="00000000">
            <w:pPr>
              <w:spacing w:before="20" w:after="20"/>
              <w:jc w:val="both"/>
            </w:pPr>
            <w:r>
              <w:rPr>
                <w:sz w:val="18"/>
                <w:szCs w:val="18"/>
              </w:rPr>
              <w:t>Confunde las dimensiones de la realidad o no distingue lo objetivo de lo subjetivo.</w:t>
            </w:r>
          </w:p>
        </w:tc>
        <w:tc>
          <w:tcPr>
            <w:tcW w:w="1876" w:type="dxa"/>
            <w:shd w:val="clear" w:color="auto" w:fill="D9E2F3"/>
            <w:vAlign w:val="center"/>
          </w:tcPr>
          <w:p w14:paraId="046D79E9" w14:textId="77777777" w:rsidR="00990B14" w:rsidRDefault="00000000">
            <w:pPr>
              <w:spacing w:before="20" w:after="20"/>
              <w:jc w:val="both"/>
            </w:pPr>
            <w:r>
              <w:rPr>
                <w:sz w:val="18"/>
                <w:szCs w:val="18"/>
              </w:rPr>
              <w:t>Distingue correctamente las dimensiones y sus componentes objetivos y subjetivos.</w:t>
            </w:r>
          </w:p>
        </w:tc>
        <w:tc>
          <w:tcPr>
            <w:tcW w:w="1877" w:type="dxa"/>
            <w:shd w:val="clear" w:color="auto" w:fill="D9E2F3"/>
            <w:vAlign w:val="center"/>
          </w:tcPr>
          <w:p w14:paraId="76EAA4BA" w14:textId="77777777" w:rsidR="00990B14" w:rsidRDefault="00000000">
            <w:pPr>
              <w:spacing w:before="20" w:after="20"/>
              <w:jc w:val="both"/>
            </w:pPr>
            <w:r>
              <w:rPr>
                <w:sz w:val="18"/>
                <w:szCs w:val="18"/>
              </w:rPr>
              <w:t>Distingue y caracteriza con precisión las dimensiones e ilustra sus interrelaciones.</w:t>
            </w:r>
          </w:p>
        </w:tc>
      </w:tr>
      <w:tr w:rsidR="00990B14" w14:paraId="34E48F87" w14:textId="77777777">
        <w:trPr>
          <w:cantSplit/>
          <w:jc w:val="center"/>
        </w:trPr>
        <w:tc>
          <w:tcPr>
            <w:tcW w:w="1490" w:type="dxa"/>
            <w:vMerge/>
            <w:shd w:val="clear" w:color="auto" w:fill="4472C4"/>
            <w:vAlign w:val="center"/>
          </w:tcPr>
          <w:p w14:paraId="7C642797" w14:textId="77777777" w:rsidR="00990B14" w:rsidRDefault="00990B14">
            <w:pPr>
              <w:spacing w:before="20" w:after="20"/>
            </w:pPr>
          </w:p>
        </w:tc>
        <w:tc>
          <w:tcPr>
            <w:tcW w:w="2286" w:type="dxa"/>
            <w:shd w:val="clear" w:color="auto" w:fill="D9E2F3"/>
            <w:vAlign w:val="center"/>
          </w:tcPr>
          <w:p w14:paraId="294FD2BA" w14:textId="77777777" w:rsidR="00990B14" w:rsidRDefault="00000000">
            <w:pPr>
              <w:spacing w:before="20" w:after="20"/>
              <w:jc w:val="both"/>
            </w:pPr>
            <w:r>
              <w:rPr>
                <w:sz w:val="18"/>
                <w:szCs w:val="18"/>
              </w:rPr>
              <w:t>Vínculo con la investigación</w:t>
            </w:r>
          </w:p>
        </w:tc>
        <w:tc>
          <w:tcPr>
            <w:tcW w:w="1876" w:type="dxa"/>
            <w:shd w:val="clear" w:color="auto" w:fill="D9E2F3"/>
            <w:vAlign w:val="center"/>
          </w:tcPr>
          <w:p w14:paraId="7654019C" w14:textId="77777777" w:rsidR="00990B14" w:rsidRDefault="00000000">
            <w:pPr>
              <w:spacing w:before="20" w:after="20"/>
              <w:jc w:val="both"/>
            </w:pPr>
            <w:r>
              <w:rPr>
                <w:sz w:val="18"/>
                <w:szCs w:val="18"/>
              </w:rPr>
              <w:t>No explica la relación entre percepción de la realidad e investigación científica.</w:t>
            </w:r>
          </w:p>
        </w:tc>
        <w:tc>
          <w:tcPr>
            <w:tcW w:w="1876" w:type="dxa"/>
            <w:shd w:val="clear" w:color="auto" w:fill="D9E2F3"/>
            <w:vAlign w:val="center"/>
          </w:tcPr>
          <w:p w14:paraId="0FCEA7EC" w14:textId="77777777" w:rsidR="00990B14" w:rsidRDefault="00000000">
            <w:pPr>
              <w:spacing w:before="20" w:after="20"/>
              <w:jc w:val="both"/>
            </w:pPr>
            <w:r>
              <w:rPr>
                <w:sz w:val="18"/>
                <w:szCs w:val="18"/>
              </w:rPr>
              <w:t>Explica la relación entre las dimensiones de la realidad y el conocimiento científico.</w:t>
            </w:r>
          </w:p>
        </w:tc>
        <w:tc>
          <w:tcPr>
            <w:tcW w:w="1877" w:type="dxa"/>
            <w:shd w:val="clear" w:color="auto" w:fill="D9E2F3"/>
            <w:vAlign w:val="center"/>
          </w:tcPr>
          <w:p w14:paraId="060CD218" w14:textId="77777777" w:rsidR="00990B14" w:rsidRDefault="00000000">
            <w:pPr>
              <w:spacing w:before="20" w:after="20"/>
              <w:jc w:val="both"/>
            </w:pPr>
            <w:r>
              <w:rPr>
                <w:sz w:val="18"/>
                <w:szCs w:val="18"/>
              </w:rPr>
              <w:t>Analiza críticamente cómo esas dimensiones condicionan la observación y el conocimiento científico.</w:t>
            </w:r>
          </w:p>
        </w:tc>
      </w:tr>
      <w:tr w:rsidR="00990B14" w14:paraId="25F74520" w14:textId="77777777">
        <w:trPr>
          <w:cantSplit/>
          <w:jc w:val="center"/>
        </w:trPr>
        <w:tc>
          <w:tcPr>
            <w:tcW w:w="1490" w:type="dxa"/>
            <w:vMerge/>
            <w:shd w:val="clear" w:color="auto" w:fill="4472C4"/>
            <w:vAlign w:val="center"/>
          </w:tcPr>
          <w:p w14:paraId="3F62F959" w14:textId="77777777" w:rsidR="00990B14" w:rsidRDefault="00990B14">
            <w:pPr>
              <w:spacing w:before="20" w:after="20"/>
            </w:pPr>
          </w:p>
        </w:tc>
        <w:tc>
          <w:tcPr>
            <w:tcW w:w="2286" w:type="dxa"/>
            <w:shd w:val="clear" w:color="auto" w:fill="D9E2F3"/>
            <w:vAlign w:val="center"/>
          </w:tcPr>
          <w:p w14:paraId="530493DD" w14:textId="77777777" w:rsidR="00990B14" w:rsidRDefault="00000000">
            <w:pPr>
              <w:spacing w:before="20" w:after="20"/>
              <w:jc w:val="both"/>
            </w:pPr>
            <w:r>
              <w:rPr>
                <w:sz w:val="18"/>
                <w:szCs w:val="18"/>
              </w:rPr>
              <w:t>Comparación y ejemplos</w:t>
            </w:r>
          </w:p>
        </w:tc>
        <w:tc>
          <w:tcPr>
            <w:tcW w:w="1876" w:type="dxa"/>
            <w:shd w:val="clear" w:color="auto" w:fill="D9E2F3"/>
            <w:vAlign w:val="center"/>
          </w:tcPr>
          <w:p w14:paraId="71A95887" w14:textId="77777777" w:rsidR="00990B14" w:rsidRDefault="00000000">
            <w:pPr>
              <w:spacing w:before="20" w:after="20"/>
              <w:jc w:val="both"/>
            </w:pPr>
            <w:r>
              <w:rPr>
                <w:sz w:val="18"/>
                <w:szCs w:val="18"/>
              </w:rPr>
              <w:t>Presenta un cuadro incompleto, desorganizado o sin ejemplos pertinentes.</w:t>
            </w:r>
          </w:p>
        </w:tc>
        <w:tc>
          <w:tcPr>
            <w:tcW w:w="1876" w:type="dxa"/>
            <w:shd w:val="clear" w:color="auto" w:fill="D9E2F3"/>
            <w:vAlign w:val="center"/>
          </w:tcPr>
          <w:p w14:paraId="08B62BAE" w14:textId="77777777" w:rsidR="00990B14" w:rsidRDefault="00000000">
            <w:pPr>
              <w:spacing w:before="20" w:after="20"/>
              <w:jc w:val="both"/>
            </w:pPr>
            <w:r>
              <w:rPr>
                <w:sz w:val="18"/>
                <w:szCs w:val="18"/>
              </w:rPr>
              <w:t>Organiza comparativamente los conceptos e incorpora ejemplos pertinentes.</w:t>
            </w:r>
          </w:p>
        </w:tc>
        <w:tc>
          <w:tcPr>
            <w:tcW w:w="1877" w:type="dxa"/>
            <w:shd w:val="clear" w:color="auto" w:fill="D9E2F3"/>
            <w:vAlign w:val="center"/>
          </w:tcPr>
          <w:p w14:paraId="4FB676C5" w14:textId="77777777" w:rsidR="00990B14" w:rsidRDefault="00000000">
            <w:pPr>
              <w:spacing w:before="20" w:after="20"/>
              <w:jc w:val="both"/>
            </w:pPr>
            <w:r>
              <w:rPr>
                <w:sz w:val="18"/>
                <w:szCs w:val="18"/>
              </w:rPr>
              <w:t>Presenta una comparación sintética, precisa y sustentada con ejemplos del ámbito contable o financiero.</w:t>
            </w:r>
          </w:p>
        </w:tc>
      </w:tr>
      <w:tr w:rsidR="00990B14" w14:paraId="6498EF9C" w14:textId="77777777">
        <w:trPr>
          <w:cantSplit/>
          <w:jc w:val="center"/>
        </w:trPr>
        <w:tc>
          <w:tcPr>
            <w:tcW w:w="1490" w:type="dxa"/>
            <w:vMerge/>
            <w:shd w:val="clear" w:color="auto" w:fill="4472C4"/>
            <w:vAlign w:val="center"/>
          </w:tcPr>
          <w:p w14:paraId="1A23A323" w14:textId="77777777" w:rsidR="00990B14" w:rsidRDefault="00990B14">
            <w:pPr>
              <w:spacing w:before="20" w:after="20"/>
            </w:pPr>
          </w:p>
        </w:tc>
        <w:tc>
          <w:tcPr>
            <w:tcW w:w="6038" w:type="dxa"/>
            <w:gridSpan w:val="3"/>
            <w:shd w:val="clear" w:color="auto" w:fill="D9E2F3"/>
            <w:vAlign w:val="center"/>
          </w:tcPr>
          <w:p w14:paraId="64362644" w14:textId="77777777" w:rsidR="00990B14" w:rsidRDefault="00000000">
            <w:pPr>
              <w:keepNext/>
              <w:spacing w:before="20" w:after="20"/>
              <w:jc w:val="both"/>
            </w:pPr>
            <w:r>
              <w:rPr>
                <w:b/>
                <w:bCs/>
                <w:i/>
                <w:iCs/>
                <w:sz w:val="18"/>
                <w:szCs w:val="18"/>
              </w:rPr>
              <w:t xml:space="preserve">Producto 2: </w:t>
            </w:r>
            <w:r>
              <w:rPr>
                <w:sz w:val="18"/>
                <w:szCs w:val="18"/>
              </w:rPr>
              <w:t>Informe de análisis de la relación sujeto-objeto en la investigación científica, aplicado a una problemática del ámbito económico, contable o financiero</w:t>
            </w:r>
          </w:p>
        </w:tc>
        <w:tc>
          <w:tcPr>
            <w:tcW w:w="1877" w:type="dxa"/>
            <w:shd w:val="clear" w:color="auto" w:fill="D9E2F3"/>
            <w:vAlign w:val="center"/>
          </w:tcPr>
          <w:p w14:paraId="0C66F385" w14:textId="77777777" w:rsidR="00990B14" w:rsidRDefault="00000000">
            <w:pPr>
              <w:spacing w:before="20" w:after="20"/>
              <w:jc w:val="center"/>
            </w:pPr>
            <w:r>
              <w:rPr>
                <w:b/>
                <w:bCs/>
                <w:sz w:val="18"/>
                <w:szCs w:val="18"/>
              </w:rPr>
              <w:t>3%</w:t>
            </w:r>
          </w:p>
        </w:tc>
      </w:tr>
      <w:tr w:rsidR="00990B14" w14:paraId="31BE0220" w14:textId="77777777">
        <w:trPr>
          <w:cantSplit/>
          <w:jc w:val="center"/>
        </w:trPr>
        <w:tc>
          <w:tcPr>
            <w:tcW w:w="1490" w:type="dxa"/>
            <w:vMerge/>
            <w:shd w:val="clear" w:color="auto" w:fill="4472C4"/>
            <w:vAlign w:val="center"/>
          </w:tcPr>
          <w:p w14:paraId="5A2D19A6" w14:textId="77777777" w:rsidR="00990B14" w:rsidRDefault="00990B14">
            <w:pPr>
              <w:spacing w:before="20" w:after="20"/>
            </w:pPr>
          </w:p>
        </w:tc>
        <w:tc>
          <w:tcPr>
            <w:tcW w:w="2286" w:type="dxa"/>
            <w:shd w:val="clear" w:color="auto" w:fill="4472C4"/>
            <w:vAlign w:val="center"/>
          </w:tcPr>
          <w:p w14:paraId="0F3DD750"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5279E204"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28E09802"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4B34556D" w14:textId="77777777" w:rsidR="00990B14" w:rsidRDefault="00000000">
            <w:pPr>
              <w:keepNext/>
              <w:spacing w:before="20" w:after="20"/>
              <w:jc w:val="center"/>
            </w:pPr>
            <w:r>
              <w:rPr>
                <w:b/>
                <w:bCs/>
                <w:i/>
                <w:iCs/>
                <w:color w:val="FFFFFF"/>
                <w:sz w:val="18"/>
                <w:szCs w:val="18"/>
              </w:rPr>
              <w:t>Destacado (81–100)</w:t>
            </w:r>
          </w:p>
        </w:tc>
      </w:tr>
      <w:tr w:rsidR="00990B14" w14:paraId="6A7245AE" w14:textId="77777777">
        <w:trPr>
          <w:cantSplit/>
          <w:jc w:val="center"/>
        </w:trPr>
        <w:tc>
          <w:tcPr>
            <w:tcW w:w="1490" w:type="dxa"/>
            <w:vMerge/>
            <w:shd w:val="clear" w:color="auto" w:fill="4472C4"/>
            <w:vAlign w:val="center"/>
          </w:tcPr>
          <w:p w14:paraId="6164630F" w14:textId="77777777" w:rsidR="00990B14" w:rsidRDefault="00990B14">
            <w:pPr>
              <w:spacing w:before="20" w:after="20"/>
            </w:pPr>
          </w:p>
        </w:tc>
        <w:tc>
          <w:tcPr>
            <w:tcW w:w="2286" w:type="dxa"/>
            <w:shd w:val="clear" w:color="auto" w:fill="D9E2F3"/>
            <w:vAlign w:val="center"/>
          </w:tcPr>
          <w:p w14:paraId="633923B1" w14:textId="77777777" w:rsidR="00990B14" w:rsidRDefault="00000000">
            <w:pPr>
              <w:spacing w:before="20" w:after="20"/>
              <w:jc w:val="both"/>
            </w:pPr>
            <w:r>
              <w:rPr>
                <w:sz w:val="18"/>
                <w:szCs w:val="18"/>
              </w:rPr>
              <w:t>Relación sujeto-objeto</w:t>
            </w:r>
          </w:p>
        </w:tc>
        <w:tc>
          <w:tcPr>
            <w:tcW w:w="1876" w:type="dxa"/>
            <w:shd w:val="clear" w:color="auto" w:fill="D9E2F3"/>
            <w:vAlign w:val="center"/>
          </w:tcPr>
          <w:p w14:paraId="221B3710" w14:textId="77777777" w:rsidR="00990B14" w:rsidRDefault="00000000">
            <w:pPr>
              <w:spacing w:before="20" w:after="20"/>
              <w:jc w:val="both"/>
            </w:pPr>
            <w:r>
              <w:rPr>
                <w:sz w:val="18"/>
                <w:szCs w:val="18"/>
              </w:rPr>
              <w:t>No diferencia el sujeto del objeto de estudio ni explica su relación.</w:t>
            </w:r>
          </w:p>
        </w:tc>
        <w:tc>
          <w:tcPr>
            <w:tcW w:w="1876" w:type="dxa"/>
            <w:shd w:val="clear" w:color="auto" w:fill="D9E2F3"/>
            <w:vAlign w:val="center"/>
          </w:tcPr>
          <w:p w14:paraId="091C1AA9" w14:textId="77777777" w:rsidR="00990B14" w:rsidRDefault="00000000">
            <w:pPr>
              <w:spacing w:before="20" w:after="20"/>
              <w:jc w:val="both"/>
            </w:pPr>
            <w:r>
              <w:rPr>
                <w:sz w:val="18"/>
                <w:szCs w:val="18"/>
              </w:rPr>
              <w:t>Describe adecuadamente al sujeto, el objeto y la relación entre ambos.</w:t>
            </w:r>
          </w:p>
        </w:tc>
        <w:tc>
          <w:tcPr>
            <w:tcW w:w="1877" w:type="dxa"/>
            <w:shd w:val="clear" w:color="auto" w:fill="D9E2F3"/>
            <w:vAlign w:val="center"/>
          </w:tcPr>
          <w:p w14:paraId="16378191" w14:textId="77777777" w:rsidR="00990B14" w:rsidRDefault="00000000">
            <w:pPr>
              <w:spacing w:before="20" w:after="20"/>
              <w:jc w:val="both"/>
            </w:pPr>
            <w:r>
              <w:rPr>
                <w:sz w:val="18"/>
                <w:szCs w:val="18"/>
              </w:rPr>
              <w:t>Analiza críticamente la relación sujeto-objeto y sus implicaciones para el conocimiento científico.</w:t>
            </w:r>
          </w:p>
        </w:tc>
      </w:tr>
      <w:tr w:rsidR="00990B14" w14:paraId="746443C7" w14:textId="77777777">
        <w:trPr>
          <w:cantSplit/>
          <w:jc w:val="center"/>
        </w:trPr>
        <w:tc>
          <w:tcPr>
            <w:tcW w:w="1490" w:type="dxa"/>
            <w:vMerge/>
            <w:shd w:val="clear" w:color="auto" w:fill="4472C4"/>
            <w:vAlign w:val="center"/>
          </w:tcPr>
          <w:p w14:paraId="3CE81248" w14:textId="77777777" w:rsidR="00990B14" w:rsidRDefault="00990B14">
            <w:pPr>
              <w:spacing w:before="20" w:after="20"/>
            </w:pPr>
          </w:p>
        </w:tc>
        <w:tc>
          <w:tcPr>
            <w:tcW w:w="2286" w:type="dxa"/>
            <w:shd w:val="clear" w:color="auto" w:fill="D9E2F3"/>
            <w:vAlign w:val="center"/>
          </w:tcPr>
          <w:p w14:paraId="2E12277A" w14:textId="77777777" w:rsidR="00990B14" w:rsidRDefault="00000000">
            <w:pPr>
              <w:spacing w:before="20" w:after="20"/>
              <w:jc w:val="both"/>
            </w:pPr>
            <w:r>
              <w:rPr>
                <w:sz w:val="18"/>
                <w:szCs w:val="18"/>
              </w:rPr>
              <w:t>Aplicación profesional</w:t>
            </w:r>
          </w:p>
        </w:tc>
        <w:tc>
          <w:tcPr>
            <w:tcW w:w="1876" w:type="dxa"/>
            <w:shd w:val="clear" w:color="auto" w:fill="D9E2F3"/>
            <w:vAlign w:val="center"/>
          </w:tcPr>
          <w:p w14:paraId="09814C90" w14:textId="77777777" w:rsidR="00990B14" w:rsidRDefault="00000000">
            <w:pPr>
              <w:spacing w:before="20" w:after="20"/>
              <w:jc w:val="both"/>
            </w:pPr>
            <w:r>
              <w:rPr>
                <w:sz w:val="18"/>
                <w:szCs w:val="18"/>
              </w:rPr>
              <w:t>La problemática utilizada es imprecisa o ajena a la Contaduría Pública.</w:t>
            </w:r>
          </w:p>
        </w:tc>
        <w:tc>
          <w:tcPr>
            <w:tcW w:w="1876" w:type="dxa"/>
            <w:shd w:val="clear" w:color="auto" w:fill="D9E2F3"/>
            <w:vAlign w:val="center"/>
          </w:tcPr>
          <w:p w14:paraId="4062F09A" w14:textId="77777777" w:rsidR="00990B14" w:rsidRDefault="00000000">
            <w:pPr>
              <w:spacing w:before="20" w:after="20"/>
              <w:jc w:val="both"/>
            </w:pPr>
            <w:r>
              <w:rPr>
                <w:sz w:val="18"/>
                <w:szCs w:val="18"/>
              </w:rPr>
              <w:t>Relaciona la explicación con una problemática pertinente del ámbito profesional.</w:t>
            </w:r>
          </w:p>
        </w:tc>
        <w:tc>
          <w:tcPr>
            <w:tcW w:w="1877" w:type="dxa"/>
            <w:shd w:val="clear" w:color="auto" w:fill="D9E2F3"/>
            <w:vAlign w:val="center"/>
          </w:tcPr>
          <w:p w14:paraId="2EB517F1" w14:textId="77777777" w:rsidR="00990B14" w:rsidRDefault="00000000">
            <w:pPr>
              <w:spacing w:before="20" w:after="20"/>
              <w:jc w:val="both"/>
            </w:pPr>
            <w:r>
              <w:rPr>
                <w:sz w:val="18"/>
                <w:szCs w:val="18"/>
              </w:rPr>
              <w:t>Interpreta de forma fundamentada una problemática concreta, distinguiendo hechos y valoraciones.</w:t>
            </w:r>
          </w:p>
        </w:tc>
      </w:tr>
      <w:tr w:rsidR="00990B14" w14:paraId="5056CD43" w14:textId="77777777">
        <w:trPr>
          <w:cantSplit/>
          <w:jc w:val="center"/>
        </w:trPr>
        <w:tc>
          <w:tcPr>
            <w:tcW w:w="1490" w:type="dxa"/>
            <w:vMerge/>
            <w:shd w:val="clear" w:color="auto" w:fill="4472C4"/>
            <w:vAlign w:val="center"/>
          </w:tcPr>
          <w:p w14:paraId="45891138" w14:textId="77777777" w:rsidR="00990B14" w:rsidRDefault="00990B14">
            <w:pPr>
              <w:spacing w:before="20" w:after="20"/>
            </w:pPr>
          </w:p>
        </w:tc>
        <w:tc>
          <w:tcPr>
            <w:tcW w:w="2286" w:type="dxa"/>
            <w:shd w:val="clear" w:color="auto" w:fill="D9E2F3"/>
            <w:vAlign w:val="center"/>
          </w:tcPr>
          <w:p w14:paraId="366668C9" w14:textId="77777777" w:rsidR="00990B14" w:rsidRDefault="00000000">
            <w:pPr>
              <w:spacing w:before="20" w:after="20"/>
              <w:jc w:val="both"/>
            </w:pPr>
            <w:r>
              <w:rPr>
                <w:sz w:val="18"/>
                <w:szCs w:val="18"/>
              </w:rPr>
              <w:t>Fundamentación del informe</w:t>
            </w:r>
          </w:p>
        </w:tc>
        <w:tc>
          <w:tcPr>
            <w:tcW w:w="1876" w:type="dxa"/>
            <w:shd w:val="clear" w:color="auto" w:fill="D9E2F3"/>
            <w:vAlign w:val="center"/>
          </w:tcPr>
          <w:p w14:paraId="11CEBFE3" w14:textId="77777777" w:rsidR="00990B14" w:rsidRDefault="00000000">
            <w:pPr>
              <w:spacing w:before="20" w:after="20"/>
              <w:jc w:val="both"/>
            </w:pPr>
            <w:r>
              <w:rPr>
                <w:sz w:val="18"/>
                <w:szCs w:val="18"/>
              </w:rPr>
              <w:t>El análisis carece de orden, argumentos o fuentes pertinentes.</w:t>
            </w:r>
          </w:p>
        </w:tc>
        <w:tc>
          <w:tcPr>
            <w:tcW w:w="1876" w:type="dxa"/>
            <w:shd w:val="clear" w:color="auto" w:fill="D9E2F3"/>
            <w:vAlign w:val="center"/>
          </w:tcPr>
          <w:p w14:paraId="43A42B46" w14:textId="77777777" w:rsidR="00990B14" w:rsidRDefault="00000000">
            <w:pPr>
              <w:spacing w:before="20" w:after="20"/>
              <w:jc w:val="both"/>
            </w:pPr>
            <w:r>
              <w:rPr>
                <w:sz w:val="18"/>
                <w:szCs w:val="18"/>
              </w:rPr>
              <w:t>Presenta un informe organizado con argumentos comprensibles y fuentes pertinentes.</w:t>
            </w:r>
          </w:p>
        </w:tc>
        <w:tc>
          <w:tcPr>
            <w:tcW w:w="1877" w:type="dxa"/>
            <w:shd w:val="clear" w:color="auto" w:fill="D9E2F3"/>
            <w:vAlign w:val="center"/>
          </w:tcPr>
          <w:p w14:paraId="0C1D0508" w14:textId="77777777" w:rsidR="00990B14" w:rsidRDefault="00000000">
            <w:pPr>
              <w:spacing w:before="20" w:after="20"/>
              <w:jc w:val="both"/>
            </w:pPr>
            <w:r>
              <w:rPr>
                <w:sz w:val="18"/>
                <w:szCs w:val="18"/>
              </w:rPr>
              <w:t>Desarrolla un análisis reflexivo, coherente y sustentado en fuentes académicas.</w:t>
            </w:r>
          </w:p>
        </w:tc>
      </w:tr>
      <w:tr w:rsidR="00990B14" w14:paraId="779E1B73" w14:textId="77777777">
        <w:trPr>
          <w:cantSplit/>
          <w:jc w:val="center"/>
        </w:trPr>
        <w:tc>
          <w:tcPr>
            <w:tcW w:w="1490" w:type="dxa"/>
            <w:vMerge/>
            <w:shd w:val="clear" w:color="auto" w:fill="4472C4"/>
            <w:vAlign w:val="center"/>
          </w:tcPr>
          <w:p w14:paraId="2D0D5683" w14:textId="77777777" w:rsidR="00990B14" w:rsidRDefault="00990B14">
            <w:pPr>
              <w:spacing w:before="20" w:after="20"/>
            </w:pPr>
          </w:p>
        </w:tc>
        <w:tc>
          <w:tcPr>
            <w:tcW w:w="6038" w:type="dxa"/>
            <w:gridSpan w:val="3"/>
            <w:shd w:val="clear" w:color="auto" w:fill="D9E2F3"/>
            <w:vAlign w:val="center"/>
          </w:tcPr>
          <w:p w14:paraId="73BCAAE4" w14:textId="77777777" w:rsidR="00990B14" w:rsidRDefault="00000000">
            <w:pPr>
              <w:keepNext/>
              <w:spacing w:before="20" w:after="20"/>
              <w:jc w:val="both"/>
            </w:pPr>
            <w:r>
              <w:rPr>
                <w:b/>
                <w:bCs/>
                <w:i/>
                <w:iCs/>
                <w:sz w:val="18"/>
                <w:szCs w:val="18"/>
              </w:rPr>
              <w:t xml:space="preserve">Producto 3: </w:t>
            </w:r>
            <w:r>
              <w:rPr>
                <w:sz w:val="18"/>
                <w:szCs w:val="18"/>
              </w:rPr>
              <w:t>Cuadro comparativo de las modalidades de graduación reconocidas por la Carrera de Contaduría Pública, considerando su naturaleza, características, alcance y normativa institucional vigente.</w:t>
            </w:r>
          </w:p>
        </w:tc>
        <w:tc>
          <w:tcPr>
            <w:tcW w:w="1877" w:type="dxa"/>
            <w:shd w:val="clear" w:color="auto" w:fill="D9E2F3"/>
            <w:vAlign w:val="center"/>
          </w:tcPr>
          <w:p w14:paraId="27F4DBB9" w14:textId="77777777" w:rsidR="00990B14" w:rsidRDefault="00000000">
            <w:pPr>
              <w:spacing w:before="20" w:after="20"/>
              <w:jc w:val="center"/>
            </w:pPr>
            <w:r>
              <w:rPr>
                <w:b/>
                <w:bCs/>
                <w:sz w:val="18"/>
                <w:szCs w:val="18"/>
              </w:rPr>
              <w:t>2%</w:t>
            </w:r>
          </w:p>
        </w:tc>
      </w:tr>
      <w:tr w:rsidR="00990B14" w14:paraId="5449BC90" w14:textId="77777777">
        <w:trPr>
          <w:cantSplit/>
          <w:jc w:val="center"/>
        </w:trPr>
        <w:tc>
          <w:tcPr>
            <w:tcW w:w="1490" w:type="dxa"/>
            <w:vMerge/>
            <w:shd w:val="clear" w:color="auto" w:fill="4472C4"/>
            <w:vAlign w:val="center"/>
          </w:tcPr>
          <w:p w14:paraId="0790036A" w14:textId="77777777" w:rsidR="00990B14" w:rsidRDefault="00990B14">
            <w:pPr>
              <w:spacing w:before="20" w:after="20"/>
            </w:pPr>
          </w:p>
        </w:tc>
        <w:tc>
          <w:tcPr>
            <w:tcW w:w="2286" w:type="dxa"/>
            <w:shd w:val="clear" w:color="auto" w:fill="4472C4"/>
            <w:vAlign w:val="center"/>
          </w:tcPr>
          <w:p w14:paraId="3ADFBE11"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348B73BC"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64E3B9CD"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0F5BEAC2" w14:textId="77777777" w:rsidR="00990B14" w:rsidRDefault="00000000">
            <w:pPr>
              <w:keepNext/>
              <w:spacing w:before="20" w:after="20"/>
              <w:jc w:val="center"/>
            </w:pPr>
            <w:r>
              <w:rPr>
                <w:b/>
                <w:bCs/>
                <w:i/>
                <w:iCs/>
                <w:color w:val="FFFFFF"/>
                <w:sz w:val="18"/>
                <w:szCs w:val="18"/>
              </w:rPr>
              <w:t>Destacado (81–100)</w:t>
            </w:r>
          </w:p>
        </w:tc>
      </w:tr>
      <w:tr w:rsidR="00990B14" w14:paraId="16EFB799" w14:textId="77777777">
        <w:trPr>
          <w:cantSplit/>
          <w:jc w:val="center"/>
        </w:trPr>
        <w:tc>
          <w:tcPr>
            <w:tcW w:w="1490" w:type="dxa"/>
            <w:vMerge/>
            <w:shd w:val="clear" w:color="auto" w:fill="4472C4"/>
            <w:vAlign w:val="center"/>
          </w:tcPr>
          <w:p w14:paraId="2BD3C0F9" w14:textId="77777777" w:rsidR="00990B14" w:rsidRDefault="00990B14">
            <w:pPr>
              <w:spacing w:before="20" w:after="20"/>
            </w:pPr>
          </w:p>
        </w:tc>
        <w:tc>
          <w:tcPr>
            <w:tcW w:w="2286" w:type="dxa"/>
            <w:shd w:val="clear" w:color="auto" w:fill="D9E2F3"/>
            <w:vAlign w:val="center"/>
          </w:tcPr>
          <w:p w14:paraId="759ED011" w14:textId="77777777" w:rsidR="00990B14" w:rsidRDefault="00000000">
            <w:pPr>
              <w:spacing w:before="20" w:after="20"/>
              <w:jc w:val="both"/>
            </w:pPr>
            <w:r>
              <w:rPr>
                <w:sz w:val="18"/>
                <w:szCs w:val="18"/>
              </w:rPr>
              <w:t>Modalidades y naturaleza</w:t>
            </w:r>
          </w:p>
        </w:tc>
        <w:tc>
          <w:tcPr>
            <w:tcW w:w="1876" w:type="dxa"/>
            <w:shd w:val="clear" w:color="auto" w:fill="D9E2F3"/>
            <w:vAlign w:val="center"/>
          </w:tcPr>
          <w:p w14:paraId="68A1248B" w14:textId="77777777" w:rsidR="00990B14" w:rsidRDefault="00000000">
            <w:pPr>
              <w:spacing w:before="20" w:after="20"/>
              <w:jc w:val="both"/>
            </w:pPr>
            <w:r>
              <w:rPr>
                <w:sz w:val="18"/>
                <w:szCs w:val="18"/>
              </w:rPr>
              <w:t>Omite modalidades pertinentes o confunde su naturaleza.</w:t>
            </w:r>
          </w:p>
        </w:tc>
        <w:tc>
          <w:tcPr>
            <w:tcW w:w="1876" w:type="dxa"/>
            <w:shd w:val="clear" w:color="auto" w:fill="D9E2F3"/>
            <w:vAlign w:val="center"/>
          </w:tcPr>
          <w:p w14:paraId="0903D8D1" w14:textId="77777777" w:rsidR="00990B14" w:rsidRDefault="00000000">
            <w:pPr>
              <w:spacing w:before="20" w:after="20"/>
              <w:jc w:val="both"/>
            </w:pPr>
            <w:r>
              <w:rPr>
                <w:sz w:val="18"/>
                <w:szCs w:val="18"/>
              </w:rPr>
              <w:t>Identifica las modalidades reconocidas y describe su naturaleza.</w:t>
            </w:r>
          </w:p>
        </w:tc>
        <w:tc>
          <w:tcPr>
            <w:tcW w:w="1877" w:type="dxa"/>
            <w:shd w:val="clear" w:color="auto" w:fill="D9E2F3"/>
            <w:vAlign w:val="center"/>
          </w:tcPr>
          <w:p w14:paraId="73A1881D" w14:textId="77777777" w:rsidR="00990B14" w:rsidRDefault="00000000">
            <w:pPr>
              <w:spacing w:before="20" w:after="20"/>
              <w:jc w:val="both"/>
            </w:pPr>
            <w:r>
              <w:rPr>
                <w:sz w:val="18"/>
                <w:szCs w:val="18"/>
              </w:rPr>
              <w:t>Distingue con precisión la finalidad y naturaleza de cada modalidad reconocida.</w:t>
            </w:r>
          </w:p>
        </w:tc>
      </w:tr>
      <w:tr w:rsidR="00990B14" w14:paraId="148A1AC5" w14:textId="77777777">
        <w:trPr>
          <w:cantSplit/>
          <w:jc w:val="center"/>
        </w:trPr>
        <w:tc>
          <w:tcPr>
            <w:tcW w:w="1490" w:type="dxa"/>
            <w:vMerge/>
            <w:shd w:val="clear" w:color="auto" w:fill="4472C4"/>
            <w:vAlign w:val="center"/>
          </w:tcPr>
          <w:p w14:paraId="05633430" w14:textId="77777777" w:rsidR="00990B14" w:rsidRDefault="00990B14">
            <w:pPr>
              <w:spacing w:before="20" w:after="20"/>
            </w:pPr>
          </w:p>
        </w:tc>
        <w:tc>
          <w:tcPr>
            <w:tcW w:w="2286" w:type="dxa"/>
            <w:shd w:val="clear" w:color="auto" w:fill="D9E2F3"/>
            <w:vAlign w:val="center"/>
          </w:tcPr>
          <w:p w14:paraId="49D5D37A" w14:textId="77777777" w:rsidR="00990B14" w:rsidRDefault="00000000">
            <w:pPr>
              <w:spacing w:before="20" w:after="20"/>
              <w:jc w:val="both"/>
            </w:pPr>
            <w:r>
              <w:rPr>
                <w:sz w:val="18"/>
                <w:szCs w:val="18"/>
              </w:rPr>
              <w:t>Características y alcance</w:t>
            </w:r>
          </w:p>
        </w:tc>
        <w:tc>
          <w:tcPr>
            <w:tcW w:w="1876" w:type="dxa"/>
            <w:shd w:val="clear" w:color="auto" w:fill="D9E2F3"/>
            <w:vAlign w:val="center"/>
          </w:tcPr>
          <w:p w14:paraId="2B1ED872" w14:textId="77777777" w:rsidR="00990B14" w:rsidRDefault="00000000">
            <w:pPr>
              <w:spacing w:before="20" w:after="20"/>
              <w:jc w:val="both"/>
            </w:pPr>
            <w:r>
              <w:rPr>
                <w:sz w:val="18"/>
                <w:szCs w:val="18"/>
              </w:rPr>
              <w:t>No establece diferencias claras o atribuye alcances incorrectos.</w:t>
            </w:r>
          </w:p>
        </w:tc>
        <w:tc>
          <w:tcPr>
            <w:tcW w:w="1876" w:type="dxa"/>
            <w:shd w:val="clear" w:color="auto" w:fill="D9E2F3"/>
            <w:vAlign w:val="center"/>
          </w:tcPr>
          <w:p w14:paraId="5962612F" w14:textId="77777777" w:rsidR="00990B14" w:rsidRDefault="00000000">
            <w:pPr>
              <w:spacing w:before="20" w:after="20"/>
              <w:jc w:val="both"/>
            </w:pPr>
            <w:r>
              <w:rPr>
                <w:sz w:val="18"/>
                <w:szCs w:val="18"/>
              </w:rPr>
              <w:t>Compara características, requisitos académicos y alcances principales.</w:t>
            </w:r>
          </w:p>
        </w:tc>
        <w:tc>
          <w:tcPr>
            <w:tcW w:w="1877" w:type="dxa"/>
            <w:shd w:val="clear" w:color="auto" w:fill="D9E2F3"/>
            <w:vAlign w:val="center"/>
          </w:tcPr>
          <w:p w14:paraId="2E3724C3" w14:textId="77777777" w:rsidR="00990B14" w:rsidRDefault="00000000">
            <w:pPr>
              <w:spacing w:before="20" w:after="20"/>
              <w:jc w:val="both"/>
            </w:pPr>
            <w:r>
              <w:rPr>
                <w:sz w:val="18"/>
                <w:szCs w:val="18"/>
              </w:rPr>
              <w:t>Establece diferencias sustantivas y ejemplifica su aplicación dentro de la Carrera.</w:t>
            </w:r>
          </w:p>
        </w:tc>
      </w:tr>
      <w:tr w:rsidR="00990B14" w14:paraId="3B40D6AE" w14:textId="77777777">
        <w:trPr>
          <w:cantSplit/>
          <w:jc w:val="center"/>
        </w:trPr>
        <w:tc>
          <w:tcPr>
            <w:tcW w:w="1490" w:type="dxa"/>
            <w:vMerge/>
            <w:shd w:val="clear" w:color="auto" w:fill="4472C4"/>
            <w:vAlign w:val="center"/>
          </w:tcPr>
          <w:p w14:paraId="1131A773" w14:textId="77777777" w:rsidR="00990B14" w:rsidRDefault="00990B14">
            <w:pPr>
              <w:spacing w:before="20" w:after="20"/>
            </w:pPr>
          </w:p>
        </w:tc>
        <w:tc>
          <w:tcPr>
            <w:tcW w:w="2286" w:type="dxa"/>
            <w:shd w:val="clear" w:color="auto" w:fill="D9E2F3"/>
            <w:vAlign w:val="center"/>
          </w:tcPr>
          <w:p w14:paraId="38F19CE0" w14:textId="77777777" w:rsidR="00990B14" w:rsidRDefault="00000000">
            <w:pPr>
              <w:spacing w:before="20" w:after="20"/>
              <w:jc w:val="both"/>
            </w:pPr>
            <w:r>
              <w:rPr>
                <w:sz w:val="18"/>
                <w:szCs w:val="18"/>
              </w:rPr>
              <w:t>Sustento normativo</w:t>
            </w:r>
          </w:p>
        </w:tc>
        <w:tc>
          <w:tcPr>
            <w:tcW w:w="1876" w:type="dxa"/>
            <w:shd w:val="clear" w:color="auto" w:fill="D9E2F3"/>
            <w:vAlign w:val="center"/>
          </w:tcPr>
          <w:p w14:paraId="281C1CC3" w14:textId="77777777" w:rsidR="00990B14" w:rsidRDefault="00000000">
            <w:pPr>
              <w:spacing w:before="20" w:after="20"/>
              <w:jc w:val="both"/>
            </w:pPr>
            <w:r>
              <w:rPr>
                <w:sz w:val="18"/>
                <w:szCs w:val="18"/>
              </w:rPr>
              <w:t>No identifica normativa aplicable o presenta referencias incorrectas.</w:t>
            </w:r>
          </w:p>
        </w:tc>
        <w:tc>
          <w:tcPr>
            <w:tcW w:w="1876" w:type="dxa"/>
            <w:shd w:val="clear" w:color="auto" w:fill="D9E2F3"/>
            <w:vAlign w:val="center"/>
          </w:tcPr>
          <w:p w14:paraId="59882115" w14:textId="77777777" w:rsidR="00990B14" w:rsidRDefault="00000000">
            <w:pPr>
              <w:spacing w:before="20" w:after="20"/>
              <w:jc w:val="both"/>
            </w:pPr>
            <w:r>
              <w:rPr>
                <w:sz w:val="18"/>
                <w:szCs w:val="18"/>
              </w:rPr>
              <w:t>Relaciona cada modalidad con la normativa institucional pertinente.</w:t>
            </w:r>
          </w:p>
        </w:tc>
        <w:tc>
          <w:tcPr>
            <w:tcW w:w="1877" w:type="dxa"/>
            <w:shd w:val="clear" w:color="auto" w:fill="D9E2F3"/>
            <w:vAlign w:val="center"/>
          </w:tcPr>
          <w:p w14:paraId="5669FDF7" w14:textId="77777777" w:rsidR="00990B14" w:rsidRDefault="00000000">
            <w:pPr>
              <w:spacing w:before="20" w:after="20"/>
              <w:jc w:val="both"/>
            </w:pPr>
            <w:r>
              <w:rPr>
                <w:sz w:val="18"/>
                <w:szCs w:val="18"/>
              </w:rPr>
              <w:t>Sustenta las comparaciones con referencias normativas precisas y vigentes.</w:t>
            </w:r>
          </w:p>
        </w:tc>
      </w:tr>
      <w:tr w:rsidR="00990B14" w14:paraId="6C700A3A" w14:textId="77777777">
        <w:trPr>
          <w:cantSplit/>
          <w:jc w:val="center"/>
        </w:trPr>
        <w:tc>
          <w:tcPr>
            <w:tcW w:w="1490" w:type="dxa"/>
            <w:vMerge/>
            <w:shd w:val="clear" w:color="auto" w:fill="4472C4"/>
            <w:vAlign w:val="center"/>
          </w:tcPr>
          <w:p w14:paraId="4178A4E8" w14:textId="77777777" w:rsidR="00990B14" w:rsidRDefault="00990B14">
            <w:pPr>
              <w:spacing w:before="20" w:after="20"/>
            </w:pPr>
          </w:p>
        </w:tc>
        <w:tc>
          <w:tcPr>
            <w:tcW w:w="6038" w:type="dxa"/>
            <w:gridSpan w:val="3"/>
            <w:shd w:val="clear" w:color="auto" w:fill="D9E2F3"/>
            <w:vAlign w:val="center"/>
          </w:tcPr>
          <w:p w14:paraId="4C5B2E00" w14:textId="77777777" w:rsidR="00990B14" w:rsidRDefault="00000000">
            <w:pPr>
              <w:keepNext/>
              <w:spacing w:before="20" w:after="20"/>
              <w:jc w:val="both"/>
            </w:pPr>
            <w:r>
              <w:rPr>
                <w:b/>
                <w:bCs/>
                <w:i/>
                <w:iCs/>
                <w:sz w:val="18"/>
                <w:szCs w:val="18"/>
              </w:rPr>
              <w:t xml:space="preserve">Producto 4: </w:t>
            </w:r>
            <w:r>
              <w:rPr>
                <w:sz w:val="18"/>
                <w:szCs w:val="18"/>
              </w:rPr>
              <w:t>Informe de justificación de la modalidad de graduación seleccionada,</w:t>
            </w:r>
          </w:p>
        </w:tc>
        <w:tc>
          <w:tcPr>
            <w:tcW w:w="1877" w:type="dxa"/>
            <w:shd w:val="clear" w:color="auto" w:fill="D9E2F3"/>
            <w:vAlign w:val="center"/>
          </w:tcPr>
          <w:p w14:paraId="6100880B" w14:textId="77777777" w:rsidR="00990B14" w:rsidRDefault="00000000">
            <w:pPr>
              <w:spacing w:before="20" w:after="20"/>
              <w:jc w:val="center"/>
            </w:pPr>
            <w:r>
              <w:rPr>
                <w:b/>
                <w:bCs/>
                <w:sz w:val="18"/>
                <w:szCs w:val="18"/>
              </w:rPr>
              <w:t>2%</w:t>
            </w:r>
          </w:p>
        </w:tc>
      </w:tr>
      <w:tr w:rsidR="00990B14" w14:paraId="5E21EA8F" w14:textId="77777777">
        <w:trPr>
          <w:cantSplit/>
          <w:jc w:val="center"/>
        </w:trPr>
        <w:tc>
          <w:tcPr>
            <w:tcW w:w="1490" w:type="dxa"/>
            <w:vMerge/>
            <w:shd w:val="clear" w:color="auto" w:fill="4472C4"/>
            <w:vAlign w:val="center"/>
          </w:tcPr>
          <w:p w14:paraId="2145330E" w14:textId="77777777" w:rsidR="00990B14" w:rsidRDefault="00990B14">
            <w:pPr>
              <w:spacing w:before="20" w:after="20"/>
            </w:pPr>
          </w:p>
        </w:tc>
        <w:tc>
          <w:tcPr>
            <w:tcW w:w="2286" w:type="dxa"/>
            <w:shd w:val="clear" w:color="auto" w:fill="4472C4"/>
            <w:vAlign w:val="center"/>
          </w:tcPr>
          <w:p w14:paraId="76C46DC9"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68B49FB8"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74603EAA"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2B510462" w14:textId="77777777" w:rsidR="00990B14" w:rsidRDefault="00000000">
            <w:pPr>
              <w:keepNext/>
              <w:spacing w:before="20" w:after="20"/>
              <w:jc w:val="center"/>
            </w:pPr>
            <w:r>
              <w:rPr>
                <w:b/>
                <w:bCs/>
                <w:i/>
                <w:iCs/>
                <w:color w:val="FFFFFF"/>
                <w:sz w:val="18"/>
                <w:szCs w:val="18"/>
              </w:rPr>
              <w:t>Destacado (81–100)</w:t>
            </w:r>
          </w:p>
        </w:tc>
      </w:tr>
      <w:tr w:rsidR="00990B14" w14:paraId="0A58715C" w14:textId="77777777">
        <w:trPr>
          <w:cantSplit/>
          <w:jc w:val="center"/>
        </w:trPr>
        <w:tc>
          <w:tcPr>
            <w:tcW w:w="1490" w:type="dxa"/>
            <w:vMerge/>
            <w:shd w:val="clear" w:color="auto" w:fill="4472C4"/>
            <w:vAlign w:val="center"/>
          </w:tcPr>
          <w:p w14:paraId="56304A50" w14:textId="77777777" w:rsidR="00990B14" w:rsidRDefault="00990B14">
            <w:pPr>
              <w:spacing w:before="20" w:after="20"/>
            </w:pPr>
          </w:p>
        </w:tc>
        <w:tc>
          <w:tcPr>
            <w:tcW w:w="2286" w:type="dxa"/>
            <w:shd w:val="clear" w:color="auto" w:fill="D9E2F3"/>
            <w:vAlign w:val="center"/>
          </w:tcPr>
          <w:p w14:paraId="159FBB27" w14:textId="77777777" w:rsidR="00990B14" w:rsidRDefault="00000000">
            <w:pPr>
              <w:spacing w:before="20" w:after="20"/>
              <w:jc w:val="both"/>
            </w:pPr>
            <w:r>
              <w:rPr>
                <w:sz w:val="18"/>
                <w:szCs w:val="18"/>
              </w:rPr>
              <w:t>Justificación de elección</w:t>
            </w:r>
          </w:p>
        </w:tc>
        <w:tc>
          <w:tcPr>
            <w:tcW w:w="1876" w:type="dxa"/>
            <w:shd w:val="clear" w:color="auto" w:fill="D9E2F3"/>
            <w:vAlign w:val="center"/>
          </w:tcPr>
          <w:p w14:paraId="2BDB83B6" w14:textId="77777777" w:rsidR="00990B14" w:rsidRDefault="00000000">
            <w:pPr>
              <w:spacing w:before="20" w:after="20"/>
              <w:jc w:val="both"/>
            </w:pPr>
            <w:r>
              <w:rPr>
                <w:sz w:val="18"/>
                <w:szCs w:val="18"/>
              </w:rPr>
              <w:t>La elección es arbitraria o no está fundamentada.</w:t>
            </w:r>
          </w:p>
        </w:tc>
        <w:tc>
          <w:tcPr>
            <w:tcW w:w="1876" w:type="dxa"/>
            <w:shd w:val="clear" w:color="auto" w:fill="D9E2F3"/>
            <w:vAlign w:val="center"/>
          </w:tcPr>
          <w:p w14:paraId="1F58ADF8" w14:textId="77777777" w:rsidR="00990B14" w:rsidRDefault="00000000">
            <w:pPr>
              <w:spacing w:before="20" w:after="20"/>
              <w:jc w:val="both"/>
            </w:pPr>
            <w:r>
              <w:rPr>
                <w:sz w:val="18"/>
                <w:szCs w:val="18"/>
              </w:rPr>
              <w:t>Justifica la modalidad en relación con la problemática de interés.</w:t>
            </w:r>
          </w:p>
        </w:tc>
        <w:tc>
          <w:tcPr>
            <w:tcW w:w="1877" w:type="dxa"/>
            <w:shd w:val="clear" w:color="auto" w:fill="D9E2F3"/>
            <w:vAlign w:val="center"/>
          </w:tcPr>
          <w:p w14:paraId="2816B632" w14:textId="77777777" w:rsidR="00990B14" w:rsidRDefault="00000000">
            <w:pPr>
              <w:spacing w:before="20" w:after="20"/>
              <w:jc w:val="both"/>
            </w:pPr>
            <w:r>
              <w:rPr>
                <w:sz w:val="18"/>
                <w:szCs w:val="18"/>
              </w:rPr>
              <w:t>Fundamenta críticamente por qué la modalidad es apropiada frente a otras alternativas.</w:t>
            </w:r>
          </w:p>
        </w:tc>
      </w:tr>
      <w:tr w:rsidR="00990B14" w14:paraId="5D2224F8" w14:textId="77777777">
        <w:trPr>
          <w:cantSplit/>
          <w:jc w:val="center"/>
        </w:trPr>
        <w:tc>
          <w:tcPr>
            <w:tcW w:w="1490" w:type="dxa"/>
            <w:vMerge/>
            <w:shd w:val="clear" w:color="auto" w:fill="4472C4"/>
            <w:vAlign w:val="center"/>
          </w:tcPr>
          <w:p w14:paraId="7E019E0D" w14:textId="77777777" w:rsidR="00990B14" w:rsidRDefault="00990B14">
            <w:pPr>
              <w:spacing w:before="20" w:after="20"/>
            </w:pPr>
          </w:p>
        </w:tc>
        <w:tc>
          <w:tcPr>
            <w:tcW w:w="2286" w:type="dxa"/>
            <w:shd w:val="clear" w:color="auto" w:fill="D9E2F3"/>
            <w:vAlign w:val="center"/>
          </w:tcPr>
          <w:p w14:paraId="1F194B71" w14:textId="77777777" w:rsidR="00990B14" w:rsidRDefault="00000000">
            <w:pPr>
              <w:spacing w:before="20" w:after="20"/>
              <w:jc w:val="both"/>
            </w:pPr>
            <w:r>
              <w:rPr>
                <w:sz w:val="18"/>
                <w:szCs w:val="18"/>
              </w:rPr>
              <w:t>Pertinencia y líneas</w:t>
            </w:r>
          </w:p>
        </w:tc>
        <w:tc>
          <w:tcPr>
            <w:tcW w:w="1876" w:type="dxa"/>
            <w:shd w:val="clear" w:color="auto" w:fill="D9E2F3"/>
            <w:vAlign w:val="center"/>
          </w:tcPr>
          <w:p w14:paraId="286FE520" w14:textId="77777777" w:rsidR="00990B14" w:rsidRDefault="00000000">
            <w:pPr>
              <w:spacing w:before="20" w:after="20"/>
              <w:jc w:val="both"/>
            </w:pPr>
            <w:r>
              <w:rPr>
                <w:sz w:val="18"/>
                <w:szCs w:val="18"/>
              </w:rPr>
              <w:t>No vincula el tema con la Contaduría Pública ni con las líneas de investigación.</w:t>
            </w:r>
          </w:p>
        </w:tc>
        <w:tc>
          <w:tcPr>
            <w:tcW w:w="1876" w:type="dxa"/>
            <w:shd w:val="clear" w:color="auto" w:fill="D9E2F3"/>
            <w:vAlign w:val="center"/>
          </w:tcPr>
          <w:p w14:paraId="67B5C381" w14:textId="77777777" w:rsidR="00990B14" w:rsidRDefault="00000000">
            <w:pPr>
              <w:spacing w:before="20" w:after="20"/>
              <w:jc w:val="both"/>
            </w:pPr>
            <w:r>
              <w:rPr>
                <w:sz w:val="18"/>
                <w:szCs w:val="18"/>
              </w:rPr>
              <w:t>Establece una relación pertinente entre temática, profesión y línea de investigación.</w:t>
            </w:r>
          </w:p>
        </w:tc>
        <w:tc>
          <w:tcPr>
            <w:tcW w:w="1877" w:type="dxa"/>
            <w:shd w:val="clear" w:color="auto" w:fill="D9E2F3"/>
            <w:vAlign w:val="center"/>
          </w:tcPr>
          <w:p w14:paraId="431A259F" w14:textId="77777777" w:rsidR="00990B14" w:rsidRDefault="00000000">
            <w:pPr>
              <w:spacing w:before="20" w:after="20"/>
              <w:jc w:val="both"/>
            </w:pPr>
            <w:r>
              <w:rPr>
                <w:sz w:val="18"/>
                <w:szCs w:val="18"/>
              </w:rPr>
              <w:t>Demuestra correspondencia clara y argumentada con la problemática y la línea institucional.</w:t>
            </w:r>
          </w:p>
        </w:tc>
      </w:tr>
      <w:tr w:rsidR="00990B14" w14:paraId="375BEED9" w14:textId="77777777">
        <w:trPr>
          <w:cantSplit/>
          <w:jc w:val="center"/>
        </w:trPr>
        <w:tc>
          <w:tcPr>
            <w:tcW w:w="1490" w:type="dxa"/>
            <w:vMerge/>
            <w:shd w:val="clear" w:color="auto" w:fill="4472C4"/>
            <w:vAlign w:val="center"/>
          </w:tcPr>
          <w:p w14:paraId="01F120A1" w14:textId="77777777" w:rsidR="00990B14" w:rsidRDefault="00990B14">
            <w:pPr>
              <w:spacing w:before="20" w:after="20"/>
            </w:pPr>
          </w:p>
        </w:tc>
        <w:tc>
          <w:tcPr>
            <w:tcW w:w="2286" w:type="dxa"/>
            <w:shd w:val="clear" w:color="auto" w:fill="D9E2F3"/>
            <w:vAlign w:val="center"/>
          </w:tcPr>
          <w:p w14:paraId="1A7D6E7F" w14:textId="77777777" w:rsidR="00990B14" w:rsidRDefault="00000000">
            <w:pPr>
              <w:spacing w:before="20" w:after="20"/>
              <w:jc w:val="both"/>
            </w:pPr>
            <w:r>
              <w:rPr>
                <w:sz w:val="18"/>
                <w:szCs w:val="18"/>
              </w:rPr>
              <w:t>Exigencias académicas</w:t>
            </w:r>
          </w:p>
        </w:tc>
        <w:tc>
          <w:tcPr>
            <w:tcW w:w="1876" w:type="dxa"/>
            <w:shd w:val="clear" w:color="auto" w:fill="D9E2F3"/>
            <w:vAlign w:val="center"/>
          </w:tcPr>
          <w:p w14:paraId="5904C5D8" w14:textId="77777777" w:rsidR="00990B14" w:rsidRDefault="00000000">
            <w:pPr>
              <w:spacing w:before="20" w:after="20"/>
              <w:jc w:val="both"/>
            </w:pPr>
            <w:r>
              <w:rPr>
                <w:sz w:val="18"/>
                <w:szCs w:val="18"/>
              </w:rPr>
              <w:t>Desconoce condiciones académicas esenciales de la modalidad elegida.</w:t>
            </w:r>
          </w:p>
        </w:tc>
        <w:tc>
          <w:tcPr>
            <w:tcW w:w="1876" w:type="dxa"/>
            <w:shd w:val="clear" w:color="auto" w:fill="D9E2F3"/>
            <w:vAlign w:val="center"/>
          </w:tcPr>
          <w:p w14:paraId="2726D9CB" w14:textId="77777777" w:rsidR="00990B14" w:rsidRDefault="00000000">
            <w:pPr>
              <w:spacing w:before="20" w:after="20"/>
              <w:jc w:val="both"/>
            </w:pPr>
            <w:r>
              <w:rPr>
                <w:sz w:val="18"/>
                <w:szCs w:val="18"/>
              </w:rPr>
              <w:t>Reconoce las exigencias académicas y normativas pertinentes.</w:t>
            </w:r>
          </w:p>
        </w:tc>
        <w:tc>
          <w:tcPr>
            <w:tcW w:w="1877" w:type="dxa"/>
            <w:shd w:val="clear" w:color="auto" w:fill="D9E2F3"/>
            <w:vAlign w:val="center"/>
          </w:tcPr>
          <w:p w14:paraId="187E10EC" w14:textId="77777777" w:rsidR="00990B14" w:rsidRDefault="00000000">
            <w:pPr>
              <w:spacing w:before="20" w:after="20"/>
              <w:jc w:val="both"/>
            </w:pPr>
            <w:r>
              <w:rPr>
                <w:sz w:val="18"/>
                <w:szCs w:val="18"/>
              </w:rPr>
              <w:t>Argumenta la factibilidad de cumplir las exigencias con base en condiciones verificables.</w:t>
            </w:r>
          </w:p>
        </w:tc>
      </w:tr>
      <w:tr w:rsidR="00990B14" w14:paraId="520D02F1" w14:textId="77777777">
        <w:trPr>
          <w:cantSplit/>
          <w:jc w:val="center"/>
        </w:trPr>
        <w:tc>
          <w:tcPr>
            <w:tcW w:w="1490" w:type="dxa"/>
            <w:vMerge/>
            <w:shd w:val="clear" w:color="auto" w:fill="4472C4"/>
            <w:vAlign w:val="center"/>
          </w:tcPr>
          <w:p w14:paraId="5CE6CEC0" w14:textId="77777777" w:rsidR="00990B14" w:rsidRDefault="00990B14">
            <w:pPr>
              <w:spacing w:before="20" w:after="20"/>
            </w:pPr>
          </w:p>
        </w:tc>
        <w:tc>
          <w:tcPr>
            <w:tcW w:w="6038" w:type="dxa"/>
            <w:gridSpan w:val="3"/>
            <w:shd w:val="clear" w:color="auto" w:fill="D9E2F3"/>
            <w:vAlign w:val="center"/>
          </w:tcPr>
          <w:p w14:paraId="1D968660" w14:textId="77777777" w:rsidR="00990B14" w:rsidRDefault="00000000">
            <w:pPr>
              <w:keepNext/>
              <w:spacing w:before="20" w:after="20"/>
              <w:jc w:val="both"/>
            </w:pPr>
            <w:r>
              <w:rPr>
                <w:b/>
                <w:bCs/>
                <w:i/>
                <w:iCs/>
                <w:sz w:val="18"/>
                <w:szCs w:val="18"/>
              </w:rPr>
              <w:t xml:space="preserve">Producto 5: </w:t>
            </w:r>
            <w:r>
              <w:rPr>
                <w:sz w:val="18"/>
                <w:szCs w:val="18"/>
              </w:rPr>
              <w:t>Cuadro comparativo de los tipos de ensayo, considerando sus características, finalidades, estructuras y particularidades, a partir del análisis de ejemplos.</w:t>
            </w:r>
          </w:p>
        </w:tc>
        <w:tc>
          <w:tcPr>
            <w:tcW w:w="1877" w:type="dxa"/>
            <w:shd w:val="clear" w:color="auto" w:fill="D9E2F3"/>
            <w:vAlign w:val="center"/>
          </w:tcPr>
          <w:p w14:paraId="32ADD68F" w14:textId="77777777" w:rsidR="00990B14" w:rsidRDefault="00000000">
            <w:pPr>
              <w:spacing w:before="20" w:after="20"/>
              <w:jc w:val="center"/>
            </w:pPr>
            <w:r>
              <w:rPr>
                <w:b/>
                <w:bCs/>
                <w:sz w:val="18"/>
                <w:szCs w:val="18"/>
              </w:rPr>
              <w:t>7%</w:t>
            </w:r>
          </w:p>
        </w:tc>
      </w:tr>
      <w:tr w:rsidR="00990B14" w14:paraId="78AA331A" w14:textId="77777777">
        <w:trPr>
          <w:cantSplit/>
          <w:jc w:val="center"/>
        </w:trPr>
        <w:tc>
          <w:tcPr>
            <w:tcW w:w="1490" w:type="dxa"/>
            <w:vMerge/>
            <w:shd w:val="clear" w:color="auto" w:fill="4472C4"/>
            <w:vAlign w:val="center"/>
          </w:tcPr>
          <w:p w14:paraId="5836ACF8" w14:textId="77777777" w:rsidR="00990B14" w:rsidRDefault="00990B14">
            <w:pPr>
              <w:spacing w:before="20" w:after="20"/>
            </w:pPr>
          </w:p>
        </w:tc>
        <w:tc>
          <w:tcPr>
            <w:tcW w:w="2286" w:type="dxa"/>
            <w:shd w:val="clear" w:color="auto" w:fill="4472C4"/>
            <w:vAlign w:val="center"/>
          </w:tcPr>
          <w:p w14:paraId="449682A1"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5D1E40D7"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6CAA5696"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5DC8BA91" w14:textId="77777777" w:rsidR="00990B14" w:rsidRDefault="00000000">
            <w:pPr>
              <w:keepNext/>
              <w:spacing w:before="20" w:after="20"/>
              <w:jc w:val="center"/>
            </w:pPr>
            <w:r>
              <w:rPr>
                <w:b/>
                <w:bCs/>
                <w:i/>
                <w:iCs/>
                <w:color w:val="FFFFFF"/>
                <w:sz w:val="18"/>
                <w:szCs w:val="18"/>
              </w:rPr>
              <w:t>Destacado (81–100)</w:t>
            </w:r>
          </w:p>
        </w:tc>
      </w:tr>
      <w:tr w:rsidR="00990B14" w14:paraId="392FD3D3" w14:textId="77777777">
        <w:trPr>
          <w:cantSplit/>
          <w:jc w:val="center"/>
        </w:trPr>
        <w:tc>
          <w:tcPr>
            <w:tcW w:w="1490" w:type="dxa"/>
            <w:vMerge/>
            <w:shd w:val="clear" w:color="auto" w:fill="4472C4"/>
            <w:vAlign w:val="center"/>
          </w:tcPr>
          <w:p w14:paraId="347751E6" w14:textId="77777777" w:rsidR="00990B14" w:rsidRDefault="00990B14">
            <w:pPr>
              <w:spacing w:before="20" w:after="20"/>
            </w:pPr>
          </w:p>
        </w:tc>
        <w:tc>
          <w:tcPr>
            <w:tcW w:w="2286" w:type="dxa"/>
            <w:shd w:val="clear" w:color="auto" w:fill="D9E2F3"/>
            <w:vAlign w:val="center"/>
          </w:tcPr>
          <w:p w14:paraId="608DBC4B" w14:textId="77777777" w:rsidR="00990B14" w:rsidRDefault="00000000">
            <w:pPr>
              <w:spacing w:before="20" w:after="20"/>
              <w:jc w:val="both"/>
            </w:pPr>
            <w:r>
              <w:rPr>
                <w:sz w:val="18"/>
                <w:szCs w:val="18"/>
              </w:rPr>
              <w:t>Identificación de tipos</w:t>
            </w:r>
          </w:p>
        </w:tc>
        <w:tc>
          <w:tcPr>
            <w:tcW w:w="1876" w:type="dxa"/>
            <w:shd w:val="clear" w:color="auto" w:fill="D9E2F3"/>
            <w:vAlign w:val="center"/>
          </w:tcPr>
          <w:p w14:paraId="387D7DFC" w14:textId="77777777" w:rsidR="00990B14" w:rsidRDefault="00000000">
            <w:pPr>
              <w:spacing w:before="20" w:after="20"/>
              <w:jc w:val="both"/>
            </w:pPr>
            <w:r>
              <w:rPr>
                <w:sz w:val="18"/>
                <w:szCs w:val="18"/>
              </w:rPr>
              <w:t>Confunde los tipos de ensayo y sus características.</w:t>
            </w:r>
          </w:p>
        </w:tc>
        <w:tc>
          <w:tcPr>
            <w:tcW w:w="1876" w:type="dxa"/>
            <w:shd w:val="clear" w:color="auto" w:fill="D9E2F3"/>
            <w:vAlign w:val="center"/>
          </w:tcPr>
          <w:p w14:paraId="4157063C" w14:textId="77777777" w:rsidR="00990B14" w:rsidRDefault="00000000">
            <w:pPr>
              <w:spacing w:before="20" w:after="20"/>
              <w:jc w:val="both"/>
            </w:pPr>
            <w:r>
              <w:rPr>
                <w:sz w:val="18"/>
                <w:szCs w:val="18"/>
              </w:rPr>
              <w:t>Identifica tipos de ensayo y describe sus características esenciales.</w:t>
            </w:r>
          </w:p>
        </w:tc>
        <w:tc>
          <w:tcPr>
            <w:tcW w:w="1877" w:type="dxa"/>
            <w:shd w:val="clear" w:color="auto" w:fill="D9E2F3"/>
            <w:vAlign w:val="center"/>
          </w:tcPr>
          <w:p w14:paraId="429715E5" w14:textId="77777777" w:rsidR="00990B14" w:rsidRDefault="00000000">
            <w:pPr>
              <w:spacing w:before="20" w:after="20"/>
              <w:jc w:val="both"/>
            </w:pPr>
            <w:r>
              <w:rPr>
                <w:sz w:val="18"/>
                <w:szCs w:val="18"/>
              </w:rPr>
              <w:t>Distingue con precisión los tipos y reconoce sus particularidades discursivas.</w:t>
            </w:r>
          </w:p>
        </w:tc>
      </w:tr>
      <w:tr w:rsidR="00990B14" w14:paraId="7B26D54B" w14:textId="77777777">
        <w:trPr>
          <w:cantSplit/>
          <w:jc w:val="center"/>
        </w:trPr>
        <w:tc>
          <w:tcPr>
            <w:tcW w:w="1490" w:type="dxa"/>
            <w:vMerge/>
            <w:shd w:val="clear" w:color="auto" w:fill="4472C4"/>
            <w:vAlign w:val="center"/>
          </w:tcPr>
          <w:p w14:paraId="7ADE1320" w14:textId="77777777" w:rsidR="00990B14" w:rsidRDefault="00990B14">
            <w:pPr>
              <w:spacing w:before="20" w:after="20"/>
            </w:pPr>
          </w:p>
        </w:tc>
        <w:tc>
          <w:tcPr>
            <w:tcW w:w="2286" w:type="dxa"/>
            <w:shd w:val="clear" w:color="auto" w:fill="D9E2F3"/>
            <w:vAlign w:val="center"/>
          </w:tcPr>
          <w:p w14:paraId="3490ABC9" w14:textId="77777777" w:rsidR="00990B14" w:rsidRDefault="00000000">
            <w:pPr>
              <w:spacing w:before="20" w:after="20"/>
              <w:jc w:val="both"/>
            </w:pPr>
            <w:r>
              <w:rPr>
                <w:sz w:val="18"/>
                <w:szCs w:val="18"/>
              </w:rPr>
              <w:t>Finalidad y estructura</w:t>
            </w:r>
          </w:p>
        </w:tc>
        <w:tc>
          <w:tcPr>
            <w:tcW w:w="1876" w:type="dxa"/>
            <w:shd w:val="clear" w:color="auto" w:fill="D9E2F3"/>
            <w:vAlign w:val="center"/>
          </w:tcPr>
          <w:p w14:paraId="2D1B0CEC" w14:textId="77777777" w:rsidR="00990B14" w:rsidRDefault="00000000">
            <w:pPr>
              <w:spacing w:before="20" w:after="20"/>
              <w:jc w:val="both"/>
            </w:pPr>
            <w:r>
              <w:rPr>
                <w:sz w:val="18"/>
                <w:szCs w:val="18"/>
              </w:rPr>
              <w:t>Omite partes de la estructura o confunde las finalidades.</w:t>
            </w:r>
          </w:p>
        </w:tc>
        <w:tc>
          <w:tcPr>
            <w:tcW w:w="1876" w:type="dxa"/>
            <w:shd w:val="clear" w:color="auto" w:fill="D9E2F3"/>
            <w:vAlign w:val="center"/>
          </w:tcPr>
          <w:p w14:paraId="01CB777B" w14:textId="77777777" w:rsidR="00990B14" w:rsidRDefault="00000000">
            <w:pPr>
              <w:spacing w:before="20" w:after="20"/>
              <w:jc w:val="both"/>
            </w:pPr>
            <w:r>
              <w:rPr>
                <w:sz w:val="18"/>
                <w:szCs w:val="18"/>
              </w:rPr>
              <w:t>Compara las finalidades y estructuras generales de los tipos examinados.</w:t>
            </w:r>
          </w:p>
        </w:tc>
        <w:tc>
          <w:tcPr>
            <w:tcW w:w="1877" w:type="dxa"/>
            <w:shd w:val="clear" w:color="auto" w:fill="D9E2F3"/>
            <w:vAlign w:val="center"/>
          </w:tcPr>
          <w:p w14:paraId="75B35092" w14:textId="77777777" w:rsidR="00990B14" w:rsidRDefault="00000000">
            <w:pPr>
              <w:spacing w:before="20" w:after="20"/>
              <w:jc w:val="both"/>
            </w:pPr>
            <w:r>
              <w:rPr>
                <w:sz w:val="18"/>
                <w:szCs w:val="18"/>
              </w:rPr>
              <w:t>Explica las diferencias entre finalidad, organización y forma de argumentación.</w:t>
            </w:r>
          </w:p>
        </w:tc>
      </w:tr>
      <w:tr w:rsidR="00990B14" w14:paraId="6046543D" w14:textId="77777777">
        <w:trPr>
          <w:cantSplit/>
          <w:jc w:val="center"/>
        </w:trPr>
        <w:tc>
          <w:tcPr>
            <w:tcW w:w="1490" w:type="dxa"/>
            <w:vMerge/>
            <w:shd w:val="clear" w:color="auto" w:fill="4472C4"/>
            <w:vAlign w:val="center"/>
          </w:tcPr>
          <w:p w14:paraId="1BD19084" w14:textId="77777777" w:rsidR="00990B14" w:rsidRDefault="00990B14">
            <w:pPr>
              <w:spacing w:before="20" w:after="20"/>
            </w:pPr>
          </w:p>
        </w:tc>
        <w:tc>
          <w:tcPr>
            <w:tcW w:w="2286" w:type="dxa"/>
            <w:shd w:val="clear" w:color="auto" w:fill="D9E2F3"/>
            <w:vAlign w:val="center"/>
          </w:tcPr>
          <w:p w14:paraId="51A1CB94" w14:textId="77777777" w:rsidR="00990B14" w:rsidRDefault="00000000">
            <w:pPr>
              <w:spacing w:before="20" w:after="20"/>
              <w:jc w:val="both"/>
            </w:pPr>
            <w:r>
              <w:rPr>
                <w:sz w:val="18"/>
                <w:szCs w:val="18"/>
              </w:rPr>
              <w:t>Análisis de ejemplos</w:t>
            </w:r>
          </w:p>
        </w:tc>
        <w:tc>
          <w:tcPr>
            <w:tcW w:w="1876" w:type="dxa"/>
            <w:shd w:val="clear" w:color="auto" w:fill="D9E2F3"/>
            <w:vAlign w:val="center"/>
          </w:tcPr>
          <w:p w14:paraId="470BCC60" w14:textId="77777777" w:rsidR="00990B14" w:rsidRDefault="00000000">
            <w:pPr>
              <w:spacing w:before="20" w:after="20"/>
              <w:jc w:val="both"/>
            </w:pPr>
            <w:r>
              <w:rPr>
                <w:sz w:val="18"/>
                <w:szCs w:val="18"/>
              </w:rPr>
              <w:t>Los ejemplos son inexistentes o no corresponden a los tipos descritos.</w:t>
            </w:r>
          </w:p>
        </w:tc>
        <w:tc>
          <w:tcPr>
            <w:tcW w:w="1876" w:type="dxa"/>
            <w:shd w:val="clear" w:color="auto" w:fill="D9E2F3"/>
            <w:vAlign w:val="center"/>
          </w:tcPr>
          <w:p w14:paraId="2AAC5006" w14:textId="77777777" w:rsidR="00990B14" w:rsidRDefault="00000000">
            <w:pPr>
              <w:spacing w:before="20" w:after="20"/>
              <w:jc w:val="both"/>
            </w:pPr>
            <w:r>
              <w:rPr>
                <w:sz w:val="18"/>
                <w:szCs w:val="18"/>
              </w:rPr>
              <w:t>Utiliza ejemplos pertinentes para sustentar la comparación.</w:t>
            </w:r>
          </w:p>
        </w:tc>
        <w:tc>
          <w:tcPr>
            <w:tcW w:w="1877" w:type="dxa"/>
            <w:shd w:val="clear" w:color="auto" w:fill="D9E2F3"/>
            <w:vAlign w:val="center"/>
          </w:tcPr>
          <w:p w14:paraId="2F86C528" w14:textId="77777777" w:rsidR="00990B14" w:rsidRDefault="00000000">
            <w:pPr>
              <w:spacing w:before="20" w:after="20"/>
              <w:jc w:val="both"/>
            </w:pPr>
            <w:r>
              <w:rPr>
                <w:sz w:val="18"/>
                <w:szCs w:val="18"/>
              </w:rPr>
              <w:t>Relaciona críticamente cada ejemplo con las características que lo identifican.</w:t>
            </w:r>
          </w:p>
        </w:tc>
      </w:tr>
      <w:tr w:rsidR="00990B14" w14:paraId="04685034" w14:textId="77777777">
        <w:trPr>
          <w:cantSplit/>
          <w:jc w:val="center"/>
        </w:trPr>
        <w:tc>
          <w:tcPr>
            <w:tcW w:w="1490" w:type="dxa"/>
            <w:vMerge/>
            <w:shd w:val="clear" w:color="auto" w:fill="4472C4"/>
            <w:vAlign w:val="center"/>
          </w:tcPr>
          <w:p w14:paraId="051A97A8" w14:textId="77777777" w:rsidR="00990B14" w:rsidRDefault="00990B14">
            <w:pPr>
              <w:spacing w:before="20" w:after="20"/>
            </w:pPr>
          </w:p>
        </w:tc>
        <w:tc>
          <w:tcPr>
            <w:tcW w:w="6038" w:type="dxa"/>
            <w:gridSpan w:val="3"/>
            <w:shd w:val="clear" w:color="auto" w:fill="D9E2F3"/>
            <w:vAlign w:val="center"/>
          </w:tcPr>
          <w:p w14:paraId="6838C64B" w14:textId="77777777" w:rsidR="00990B14" w:rsidRDefault="00000000">
            <w:pPr>
              <w:keepNext/>
              <w:spacing w:before="20" w:after="20"/>
              <w:jc w:val="both"/>
            </w:pPr>
            <w:r>
              <w:rPr>
                <w:b/>
                <w:bCs/>
                <w:i/>
                <w:iCs/>
                <w:sz w:val="18"/>
                <w:szCs w:val="18"/>
              </w:rPr>
              <w:t xml:space="preserve">Producto 6: </w:t>
            </w:r>
            <w:r>
              <w:rPr>
                <w:sz w:val="18"/>
                <w:szCs w:val="18"/>
              </w:rPr>
              <w:t>Cuadro comparativo del artículo científico y del artículo de opinión, identificando sus características, finalidades, estructuras y diferencias fundamentales, a partir del análisis de ejemplos.</w:t>
            </w:r>
          </w:p>
        </w:tc>
        <w:tc>
          <w:tcPr>
            <w:tcW w:w="1877" w:type="dxa"/>
            <w:shd w:val="clear" w:color="auto" w:fill="D9E2F3"/>
            <w:vAlign w:val="center"/>
          </w:tcPr>
          <w:p w14:paraId="651C2946" w14:textId="77777777" w:rsidR="00990B14" w:rsidRDefault="00000000">
            <w:pPr>
              <w:spacing w:before="20" w:after="20"/>
              <w:jc w:val="center"/>
            </w:pPr>
            <w:r>
              <w:rPr>
                <w:b/>
                <w:bCs/>
                <w:sz w:val="18"/>
                <w:szCs w:val="18"/>
              </w:rPr>
              <w:t>6%</w:t>
            </w:r>
          </w:p>
        </w:tc>
      </w:tr>
      <w:tr w:rsidR="00990B14" w14:paraId="7A61A411" w14:textId="77777777">
        <w:trPr>
          <w:cantSplit/>
          <w:jc w:val="center"/>
        </w:trPr>
        <w:tc>
          <w:tcPr>
            <w:tcW w:w="1490" w:type="dxa"/>
            <w:vMerge/>
            <w:shd w:val="clear" w:color="auto" w:fill="4472C4"/>
            <w:vAlign w:val="center"/>
          </w:tcPr>
          <w:p w14:paraId="30D99257" w14:textId="77777777" w:rsidR="00990B14" w:rsidRDefault="00990B14">
            <w:pPr>
              <w:spacing w:before="20" w:after="20"/>
            </w:pPr>
          </w:p>
        </w:tc>
        <w:tc>
          <w:tcPr>
            <w:tcW w:w="2286" w:type="dxa"/>
            <w:shd w:val="clear" w:color="auto" w:fill="4472C4"/>
            <w:vAlign w:val="center"/>
          </w:tcPr>
          <w:p w14:paraId="25CFD6F8"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3176A6E3"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2FED0E2F"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3445F1FF" w14:textId="77777777" w:rsidR="00990B14" w:rsidRDefault="00000000">
            <w:pPr>
              <w:keepNext/>
              <w:spacing w:before="20" w:after="20"/>
              <w:jc w:val="center"/>
            </w:pPr>
            <w:r>
              <w:rPr>
                <w:b/>
                <w:bCs/>
                <w:i/>
                <w:iCs/>
                <w:color w:val="FFFFFF"/>
                <w:sz w:val="18"/>
                <w:szCs w:val="18"/>
              </w:rPr>
              <w:t>Destacado (81–100)</w:t>
            </w:r>
          </w:p>
        </w:tc>
      </w:tr>
      <w:tr w:rsidR="00990B14" w14:paraId="5414457D" w14:textId="77777777">
        <w:trPr>
          <w:cantSplit/>
          <w:jc w:val="center"/>
        </w:trPr>
        <w:tc>
          <w:tcPr>
            <w:tcW w:w="1490" w:type="dxa"/>
            <w:vMerge/>
            <w:shd w:val="clear" w:color="auto" w:fill="4472C4"/>
            <w:vAlign w:val="center"/>
          </w:tcPr>
          <w:p w14:paraId="0EE0179D" w14:textId="77777777" w:rsidR="00990B14" w:rsidRDefault="00990B14">
            <w:pPr>
              <w:spacing w:before="20" w:after="20"/>
            </w:pPr>
          </w:p>
        </w:tc>
        <w:tc>
          <w:tcPr>
            <w:tcW w:w="2286" w:type="dxa"/>
            <w:shd w:val="clear" w:color="auto" w:fill="D9E2F3"/>
            <w:vAlign w:val="center"/>
          </w:tcPr>
          <w:p w14:paraId="45F6AA31" w14:textId="77777777" w:rsidR="00990B14" w:rsidRDefault="00000000">
            <w:pPr>
              <w:spacing w:before="20" w:after="20"/>
              <w:jc w:val="both"/>
            </w:pPr>
            <w:r>
              <w:rPr>
                <w:sz w:val="18"/>
                <w:szCs w:val="18"/>
              </w:rPr>
              <w:t>Naturaleza y finalidad</w:t>
            </w:r>
          </w:p>
        </w:tc>
        <w:tc>
          <w:tcPr>
            <w:tcW w:w="1876" w:type="dxa"/>
            <w:shd w:val="clear" w:color="auto" w:fill="D9E2F3"/>
            <w:vAlign w:val="center"/>
          </w:tcPr>
          <w:p w14:paraId="22EBF092" w14:textId="77777777" w:rsidR="00990B14" w:rsidRDefault="00000000">
            <w:pPr>
              <w:spacing w:before="20" w:after="20"/>
              <w:jc w:val="both"/>
            </w:pPr>
            <w:r>
              <w:rPr>
                <w:sz w:val="18"/>
                <w:szCs w:val="18"/>
              </w:rPr>
              <w:t>Confunde el artículo científico con el de opinión.</w:t>
            </w:r>
          </w:p>
        </w:tc>
        <w:tc>
          <w:tcPr>
            <w:tcW w:w="1876" w:type="dxa"/>
            <w:shd w:val="clear" w:color="auto" w:fill="D9E2F3"/>
            <w:vAlign w:val="center"/>
          </w:tcPr>
          <w:p w14:paraId="5078D18D" w14:textId="77777777" w:rsidR="00990B14" w:rsidRDefault="00000000">
            <w:pPr>
              <w:spacing w:before="20" w:after="20"/>
              <w:jc w:val="both"/>
            </w:pPr>
            <w:r>
              <w:rPr>
                <w:sz w:val="18"/>
                <w:szCs w:val="18"/>
              </w:rPr>
              <w:t>Distingue la finalidad y características de ambos géneros.</w:t>
            </w:r>
          </w:p>
        </w:tc>
        <w:tc>
          <w:tcPr>
            <w:tcW w:w="1877" w:type="dxa"/>
            <w:shd w:val="clear" w:color="auto" w:fill="D9E2F3"/>
            <w:vAlign w:val="center"/>
          </w:tcPr>
          <w:p w14:paraId="460BF71F" w14:textId="77777777" w:rsidR="00990B14" w:rsidRDefault="00000000">
            <w:pPr>
              <w:spacing w:before="20" w:after="20"/>
              <w:jc w:val="both"/>
            </w:pPr>
            <w:r>
              <w:rPr>
                <w:sz w:val="18"/>
                <w:szCs w:val="18"/>
              </w:rPr>
              <w:t>Contrasta rigurosamente sus propósitos, fundamentos y formas de comunicación.</w:t>
            </w:r>
          </w:p>
        </w:tc>
      </w:tr>
      <w:tr w:rsidR="00990B14" w14:paraId="4CD5EC43" w14:textId="77777777">
        <w:trPr>
          <w:cantSplit/>
          <w:jc w:val="center"/>
        </w:trPr>
        <w:tc>
          <w:tcPr>
            <w:tcW w:w="1490" w:type="dxa"/>
            <w:vMerge/>
            <w:shd w:val="clear" w:color="auto" w:fill="4472C4"/>
            <w:vAlign w:val="center"/>
          </w:tcPr>
          <w:p w14:paraId="28BAB576" w14:textId="77777777" w:rsidR="00990B14" w:rsidRDefault="00990B14">
            <w:pPr>
              <w:spacing w:before="20" w:after="20"/>
            </w:pPr>
          </w:p>
        </w:tc>
        <w:tc>
          <w:tcPr>
            <w:tcW w:w="2286" w:type="dxa"/>
            <w:shd w:val="clear" w:color="auto" w:fill="D9E2F3"/>
            <w:vAlign w:val="center"/>
          </w:tcPr>
          <w:p w14:paraId="1DD03CAC" w14:textId="77777777" w:rsidR="00990B14" w:rsidRDefault="00000000">
            <w:pPr>
              <w:spacing w:before="20" w:after="20"/>
              <w:jc w:val="both"/>
            </w:pPr>
            <w:r>
              <w:rPr>
                <w:sz w:val="18"/>
                <w:szCs w:val="18"/>
              </w:rPr>
              <w:t>Estructuras y argumentación</w:t>
            </w:r>
          </w:p>
        </w:tc>
        <w:tc>
          <w:tcPr>
            <w:tcW w:w="1876" w:type="dxa"/>
            <w:shd w:val="clear" w:color="auto" w:fill="D9E2F3"/>
            <w:vAlign w:val="center"/>
          </w:tcPr>
          <w:p w14:paraId="58B44CED" w14:textId="77777777" w:rsidR="00990B14" w:rsidRDefault="00000000">
            <w:pPr>
              <w:spacing w:before="20" w:after="20"/>
              <w:jc w:val="both"/>
            </w:pPr>
            <w:r>
              <w:rPr>
                <w:sz w:val="18"/>
                <w:szCs w:val="18"/>
              </w:rPr>
              <w:t>No reconoce las estructuras o atribuye iguales exigencias a ambos artículos.</w:t>
            </w:r>
          </w:p>
        </w:tc>
        <w:tc>
          <w:tcPr>
            <w:tcW w:w="1876" w:type="dxa"/>
            <w:shd w:val="clear" w:color="auto" w:fill="D9E2F3"/>
            <w:vAlign w:val="center"/>
          </w:tcPr>
          <w:p w14:paraId="17F81404" w14:textId="77777777" w:rsidR="00990B14" w:rsidRDefault="00000000">
            <w:pPr>
              <w:spacing w:before="20" w:after="20"/>
              <w:jc w:val="both"/>
            </w:pPr>
            <w:r>
              <w:rPr>
                <w:sz w:val="18"/>
                <w:szCs w:val="18"/>
              </w:rPr>
              <w:t>Compara sus componentes estructurales y el tipo de argumentación esperado.</w:t>
            </w:r>
          </w:p>
        </w:tc>
        <w:tc>
          <w:tcPr>
            <w:tcW w:w="1877" w:type="dxa"/>
            <w:shd w:val="clear" w:color="auto" w:fill="D9E2F3"/>
            <w:vAlign w:val="center"/>
          </w:tcPr>
          <w:p w14:paraId="232490DB" w14:textId="77777777" w:rsidR="00990B14" w:rsidRDefault="00000000">
            <w:pPr>
              <w:spacing w:before="20" w:after="20"/>
              <w:jc w:val="both"/>
            </w:pPr>
            <w:r>
              <w:rPr>
                <w:sz w:val="18"/>
                <w:szCs w:val="18"/>
              </w:rPr>
              <w:t>Explica las diferencias entre evidencia científica, análisis y postura argumentativa.</w:t>
            </w:r>
          </w:p>
        </w:tc>
      </w:tr>
      <w:tr w:rsidR="00990B14" w14:paraId="4E99D601" w14:textId="77777777">
        <w:trPr>
          <w:cantSplit/>
          <w:jc w:val="center"/>
        </w:trPr>
        <w:tc>
          <w:tcPr>
            <w:tcW w:w="1490" w:type="dxa"/>
            <w:vMerge/>
            <w:shd w:val="clear" w:color="auto" w:fill="4472C4"/>
            <w:vAlign w:val="center"/>
          </w:tcPr>
          <w:p w14:paraId="45D5A3DA" w14:textId="77777777" w:rsidR="00990B14" w:rsidRDefault="00990B14">
            <w:pPr>
              <w:spacing w:before="20" w:after="20"/>
            </w:pPr>
          </w:p>
        </w:tc>
        <w:tc>
          <w:tcPr>
            <w:tcW w:w="2286" w:type="dxa"/>
            <w:shd w:val="clear" w:color="auto" w:fill="D9E2F3"/>
            <w:vAlign w:val="center"/>
          </w:tcPr>
          <w:p w14:paraId="2FFBB00C" w14:textId="77777777" w:rsidR="00990B14" w:rsidRDefault="00000000">
            <w:pPr>
              <w:spacing w:before="20" w:after="20"/>
              <w:jc w:val="both"/>
            </w:pPr>
            <w:r>
              <w:rPr>
                <w:sz w:val="18"/>
                <w:szCs w:val="18"/>
              </w:rPr>
              <w:t>Análisis de ejemplos</w:t>
            </w:r>
          </w:p>
        </w:tc>
        <w:tc>
          <w:tcPr>
            <w:tcW w:w="1876" w:type="dxa"/>
            <w:shd w:val="clear" w:color="auto" w:fill="D9E2F3"/>
            <w:vAlign w:val="center"/>
          </w:tcPr>
          <w:p w14:paraId="659D8BA2" w14:textId="77777777" w:rsidR="00990B14" w:rsidRDefault="00000000">
            <w:pPr>
              <w:spacing w:before="20" w:after="20"/>
              <w:jc w:val="both"/>
            </w:pPr>
            <w:r>
              <w:rPr>
                <w:sz w:val="18"/>
                <w:szCs w:val="18"/>
              </w:rPr>
              <w:t>No identifica en los ejemplos los elementos comparados.</w:t>
            </w:r>
          </w:p>
        </w:tc>
        <w:tc>
          <w:tcPr>
            <w:tcW w:w="1876" w:type="dxa"/>
            <w:shd w:val="clear" w:color="auto" w:fill="D9E2F3"/>
            <w:vAlign w:val="center"/>
          </w:tcPr>
          <w:p w14:paraId="6802A66F" w14:textId="77777777" w:rsidR="00990B14" w:rsidRDefault="00000000">
            <w:pPr>
              <w:spacing w:before="20" w:after="20"/>
              <w:jc w:val="both"/>
            </w:pPr>
            <w:r>
              <w:rPr>
                <w:sz w:val="18"/>
                <w:szCs w:val="18"/>
              </w:rPr>
              <w:t>Identifica correctamente las características de cada género en ejemplos reales.</w:t>
            </w:r>
          </w:p>
        </w:tc>
        <w:tc>
          <w:tcPr>
            <w:tcW w:w="1877" w:type="dxa"/>
            <w:shd w:val="clear" w:color="auto" w:fill="D9E2F3"/>
            <w:vAlign w:val="center"/>
          </w:tcPr>
          <w:p w14:paraId="48B7CF55" w14:textId="77777777" w:rsidR="00990B14" w:rsidRDefault="00000000">
            <w:pPr>
              <w:spacing w:before="20" w:after="20"/>
              <w:jc w:val="both"/>
            </w:pPr>
            <w:r>
              <w:rPr>
                <w:sz w:val="18"/>
                <w:szCs w:val="18"/>
              </w:rPr>
              <w:t>Justifica sus comparaciones mediante observaciones específicas y pertinentes de los ejemplos.</w:t>
            </w:r>
          </w:p>
        </w:tc>
      </w:tr>
      <w:tr w:rsidR="00990B14" w14:paraId="3E17DE4E" w14:textId="77777777">
        <w:trPr>
          <w:cantSplit/>
          <w:jc w:val="center"/>
        </w:trPr>
        <w:tc>
          <w:tcPr>
            <w:tcW w:w="1490" w:type="dxa"/>
            <w:vMerge/>
            <w:shd w:val="clear" w:color="auto" w:fill="4472C4"/>
            <w:vAlign w:val="center"/>
          </w:tcPr>
          <w:p w14:paraId="7EB3D44D" w14:textId="77777777" w:rsidR="00990B14" w:rsidRDefault="00990B14">
            <w:pPr>
              <w:spacing w:before="20" w:after="20"/>
            </w:pPr>
          </w:p>
        </w:tc>
        <w:tc>
          <w:tcPr>
            <w:tcW w:w="6038" w:type="dxa"/>
            <w:gridSpan w:val="3"/>
            <w:shd w:val="clear" w:color="auto" w:fill="D9E2F3"/>
            <w:vAlign w:val="center"/>
          </w:tcPr>
          <w:p w14:paraId="53E49C69" w14:textId="77777777" w:rsidR="00990B14" w:rsidRDefault="00000000">
            <w:pPr>
              <w:keepNext/>
              <w:spacing w:before="20" w:after="20"/>
              <w:jc w:val="both"/>
            </w:pPr>
            <w:r>
              <w:rPr>
                <w:b/>
                <w:bCs/>
                <w:i/>
                <w:iCs/>
                <w:sz w:val="18"/>
                <w:szCs w:val="18"/>
              </w:rPr>
              <w:t xml:space="preserve">Producto 7: </w:t>
            </w:r>
            <w:r>
              <w:rPr>
                <w:sz w:val="18"/>
                <w:szCs w:val="18"/>
              </w:rPr>
              <w:t>Cuadro descriptivo de las características, finalidad y particularidades metodológicas de la monografía académica, a partir del análisis de ejemplos.</w:t>
            </w:r>
          </w:p>
        </w:tc>
        <w:tc>
          <w:tcPr>
            <w:tcW w:w="1877" w:type="dxa"/>
            <w:shd w:val="clear" w:color="auto" w:fill="D9E2F3"/>
            <w:vAlign w:val="center"/>
          </w:tcPr>
          <w:p w14:paraId="04514D87" w14:textId="77777777" w:rsidR="00990B14" w:rsidRDefault="00000000">
            <w:pPr>
              <w:spacing w:before="20" w:after="20"/>
              <w:jc w:val="center"/>
            </w:pPr>
            <w:r>
              <w:rPr>
                <w:b/>
                <w:bCs/>
                <w:sz w:val="18"/>
                <w:szCs w:val="18"/>
              </w:rPr>
              <w:t>6%</w:t>
            </w:r>
          </w:p>
        </w:tc>
      </w:tr>
      <w:tr w:rsidR="00990B14" w14:paraId="4965614F" w14:textId="77777777">
        <w:trPr>
          <w:cantSplit/>
          <w:jc w:val="center"/>
        </w:trPr>
        <w:tc>
          <w:tcPr>
            <w:tcW w:w="1490" w:type="dxa"/>
            <w:vMerge/>
            <w:shd w:val="clear" w:color="auto" w:fill="4472C4"/>
            <w:vAlign w:val="center"/>
          </w:tcPr>
          <w:p w14:paraId="34B81AE5" w14:textId="77777777" w:rsidR="00990B14" w:rsidRDefault="00990B14">
            <w:pPr>
              <w:spacing w:before="20" w:after="20"/>
            </w:pPr>
          </w:p>
        </w:tc>
        <w:tc>
          <w:tcPr>
            <w:tcW w:w="2286" w:type="dxa"/>
            <w:shd w:val="clear" w:color="auto" w:fill="4472C4"/>
            <w:vAlign w:val="center"/>
          </w:tcPr>
          <w:p w14:paraId="15ECA4C0"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32792042"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6BD75AE4"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3FC6D1A4" w14:textId="77777777" w:rsidR="00990B14" w:rsidRDefault="00000000">
            <w:pPr>
              <w:keepNext/>
              <w:spacing w:before="20" w:after="20"/>
              <w:jc w:val="center"/>
            </w:pPr>
            <w:r>
              <w:rPr>
                <w:b/>
                <w:bCs/>
                <w:i/>
                <w:iCs/>
                <w:color w:val="FFFFFF"/>
                <w:sz w:val="18"/>
                <w:szCs w:val="18"/>
              </w:rPr>
              <w:t>Destacado (81–100)</w:t>
            </w:r>
          </w:p>
        </w:tc>
      </w:tr>
      <w:tr w:rsidR="00990B14" w14:paraId="293BDAE8" w14:textId="77777777">
        <w:trPr>
          <w:cantSplit/>
          <w:jc w:val="center"/>
        </w:trPr>
        <w:tc>
          <w:tcPr>
            <w:tcW w:w="1490" w:type="dxa"/>
            <w:vMerge/>
            <w:shd w:val="clear" w:color="auto" w:fill="4472C4"/>
            <w:vAlign w:val="center"/>
          </w:tcPr>
          <w:p w14:paraId="515300A5" w14:textId="77777777" w:rsidR="00990B14" w:rsidRDefault="00990B14">
            <w:pPr>
              <w:spacing w:before="20" w:after="20"/>
            </w:pPr>
          </w:p>
        </w:tc>
        <w:tc>
          <w:tcPr>
            <w:tcW w:w="2286" w:type="dxa"/>
            <w:shd w:val="clear" w:color="auto" w:fill="D9E2F3"/>
            <w:vAlign w:val="center"/>
          </w:tcPr>
          <w:p w14:paraId="784C97D3" w14:textId="77777777" w:rsidR="00990B14" w:rsidRDefault="00000000">
            <w:pPr>
              <w:spacing w:before="20" w:after="20"/>
              <w:jc w:val="both"/>
            </w:pPr>
            <w:r>
              <w:rPr>
                <w:sz w:val="18"/>
                <w:szCs w:val="18"/>
              </w:rPr>
              <w:t>Características</w:t>
            </w:r>
          </w:p>
        </w:tc>
        <w:tc>
          <w:tcPr>
            <w:tcW w:w="1876" w:type="dxa"/>
            <w:shd w:val="clear" w:color="auto" w:fill="D9E2F3"/>
            <w:vAlign w:val="center"/>
          </w:tcPr>
          <w:p w14:paraId="2D696A59" w14:textId="77777777" w:rsidR="00990B14" w:rsidRDefault="00000000">
            <w:pPr>
              <w:spacing w:before="20" w:after="20"/>
              <w:jc w:val="both"/>
            </w:pPr>
            <w:r>
              <w:rPr>
                <w:sz w:val="18"/>
                <w:szCs w:val="18"/>
              </w:rPr>
              <w:t>Presenta una caracterización errónea o incompleta de la monografía.</w:t>
            </w:r>
          </w:p>
        </w:tc>
        <w:tc>
          <w:tcPr>
            <w:tcW w:w="1876" w:type="dxa"/>
            <w:shd w:val="clear" w:color="auto" w:fill="D9E2F3"/>
            <w:vAlign w:val="center"/>
          </w:tcPr>
          <w:p w14:paraId="40219300" w14:textId="77777777" w:rsidR="00990B14" w:rsidRDefault="00000000">
            <w:pPr>
              <w:spacing w:before="20" w:after="20"/>
              <w:jc w:val="both"/>
            </w:pPr>
            <w:r>
              <w:rPr>
                <w:sz w:val="18"/>
                <w:szCs w:val="18"/>
              </w:rPr>
              <w:t>Describe su naturaleza y características fundamentales.</w:t>
            </w:r>
          </w:p>
        </w:tc>
        <w:tc>
          <w:tcPr>
            <w:tcW w:w="1877" w:type="dxa"/>
            <w:shd w:val="clear" w:color="auto" w:fill="D9E2F3"/>
            <w:vAlign w:val="center"/>
          </w:tcPr>
          <w:p w14:paraId="63114974" w14:textId="77777777" w:rsidR="00990B14" w:rsidRDefault="00000000">
            <w:pPr>
              <w:spacing w:before="20" w:after="20"/>
              <w:jc w:val="both"/>
            </w:pPr>
            <w:r>
              <w:rPr>
                <w:sz w:val="18"/>
                <w:szCs w:val="18"/>
              </w:rPr>
              <w:t>Distingue con claridad su naturaleza frente a otros trabajos académicos.</w:t>
            </w:r>
          </w:p>
        </w:tc>
      </w:tr>
      <w:tr w:rsidR="00990B14" w14:paraId="6333D67A" w14:textId="77777777">
        <w:trPr>
          <w:cantSplit/>
          <w:jc w:val="center"/>
        </w:trPr>
        <w:tc>
          <w:tcPr>
            <w:tcW w:w="1490" w:type="dxa"/>
            <w:vMerge/>
            <w:shd w:val="clear" w:color="auto" w:fill="4472C4"/>
            <w:vAlign w:val="center"/>
          </w:tcPr>
          <w:p w14:paraId="7849C21B" w14:textId="77777777" w:rsidR="00990B14" w:rsidRDefault="00990B14">
            <w:pPr>
              <w:spacing w:before="20" w:after="20"/>
            </w:pPr>
          </w:p>
        </w:tc>
        <w:tc>
          <w:tcPr>
            <w:tcW w:w="2286" w:type="dxa"/>
            <w:shd w:val="clear" w:color="auto" w:fill="D9E2F3"/>
            <w:vAlign w:val="center"/>
          </w:tcPr>
          <w:p w14:paraId="40A87F1E" w14:textId="77777777" w:rsidR="00990B14" w:rsidRDefault="00000000">
            <w:pPr>
              <w:spacing w:before="20" w:after="20"/>
              <w:jc w:val="both"/>
            </w:pPr>
            <w:r>
              <w:rPr>
                <w:sz w:val="18"/>
                <w:szCs w:val="18"/>
              </w:rPr>
              <w:t>Finalidad y metodología</w:t>
            </w:r>
          </w:p>
        </w:tc>
        <w:tc>
          <w:tcPr>
            <w:tcW w:w="1876" w:type="dxa"/>
            <w:shd w:val="clear" w:color="auto" w:fill="D9E2F3"/>
            <w:vAlign w:val="center"/>
          </w:tcPr>
          <w:p w14:paraId="1B217EBD" w14:textId="77777777" w:rsidR="00990B14" w:rsidRDefault="00000000">
            <w:pPr>
              <w:spacing w:before="20" w:after="20"/>
              <w:jc w:val="both"/>
            </w:pPr>
            <w:r>
              <w:rPr>
                <w:sz w:val="18"/>
                <w:szCs w:val="18"/>
              </w:rPr>
              <w:t>Confunde su propósito con la ejecución de una tesis o proyecto de grado.</w:t>
            </w:r>
          </w:p>
        </w:tc>
        <w:tc>
          <w:tcPr>
            <w:tcW w:w="1876" w:type="dxa"/>
            <w:shd w:val="clear" w:color="auto" w:fill="D9E2F3"/>
            <w:vAlign w:val="center"/>
          </w:tcPr>
          <w:p w14:paraId="6F07CE28" w14:textId="77777777" w:rsidR="00990B14" w:rsidRDefault="00000000">
            <w:pPr>
              <w:spacing w:before="20" w:after="20"/>
              <w:jc w:val="both"/>
            </w:pPr>
            <w:r>
              <w:rPr>
                <w:sz w:val="18"/>
                <w:szCs w:val="18"/>
              </w:rPr>
              <w:t>Explica la finalidad y las particularidades metodológicas de la monografía.</w:t>
            </w:r>
          </w:p>
        </w:tc>
        <w:tc>
          <w:tcPr>
            <w:tcW w:w="1877" w:type="dxa"/>
            <w:shd w:val="clear" w:color="auto" w:fill="D9E2F3"/>
            <w:vAlign w:val="center"/>
          </w:tcPr>
          <w:p w14:paraId="197CC8E6" w14:textId="77777777" w:rsidR="00990B14" w:rsidRDefault="00000000">
            <w:pPr>
              <w:spacing w:before="20" w:after="20"/>
              <w:jc w:val="both"/>
            </w:pPr>
            <w:r>
              <w:rPr>
                <w:sz w:val="18"/>
                <w:szCs w:val="18"/>
              </w:rPr>
              <w:t>Relaciona finalidad, tratamiento documental y exigencias metodológicas con precisión.</w:t>
            </w:r>
          </w:p>
        </w:tc>
      </w:tr>
      <w:tr w:rsidR="00990B14" w14:paraId="183BAB22" w14:textId="77777777">
        <w:trPr>
          <w:cantSplit/>
          <w:jc w:val="center"/>
        </w:trPr>
        <w:tc>
          <w:tcPr>
            <w:tcW w:w="1490" w:type="dxa"/>
            <w:vMerge/>
            <w:shd w:val="clear" w:color="auto" w:fill="4472C4"/>
            <w:vAlign w:val="center"/>
          </w:tcPr>
          <w:p w14:paraId="56B7E5A1" w14:textId="77777777" w:rsidR="00990B14" w:rsidRDefault="00990B14">
            <w:pPr>
              <w:spacing w:before="20" w:after="20"/>
            </w:pPr>
          </w:p>
        </w:tc>
        <w:tc>
          <w:tcPr>
            <w:tcW w:w="2286" w:type="dxa"/>
            <w:shd w:val="clear" w:color="auto" w:fill="D9E2F3"/>
            <w:vAlign w:val="center"/>
          </w:tcPr>
          <w:p w14:paraId="67F12D20" w14:textId="77777777" w:rsidR="00990B14" w:rsidRDefault="00000000">
            <w:pPr>
              <w:spacing w:before="20" w:after="20"/>
              <w:jc w:val="both"/>
            </w:pPr>
            <w:r>
              <w:rPr>
                <w:sz w:val="18"/>
                <w:szCs w:val="18"/>
              </w:rPr>
              <w:t>Descripción basada en ejemplos</w:t>
            </w:r>
          </w:p>
        </w:tc>
        <w:tc>
          <w:tcPr>
            <w:tcW w:w="1876" w:type="dxa"/>
            <w:shd w:val="clear" w:color="auto" w:fill="D9E2F3"/>
            <w:vAlign w:val="center"/>
          </w:tcPr>
          <w:p w14:paraId="2A5D0416" w14:textId="77777777" w:rsidR="00990B14" w:rsidRDefault="00000000">
            <w:pPr>
              <w:spacing w:before="20" w:after="20"/>
              <w:jc w:val="both"/>
            </w:pPr>
            <w:r>
              <w:rPr>
                <w:sz w:val="18"/>
                <w:szCs w:val="18"/>
              </w:rPr>
              <w:t>El cuadro carece de orden o no aprovecha los ejemplos examinados.</w:t>
            </w:r>
          </w:p>
        </w:tc>
        <w:tc>
          <w:tcPr>
            <w:tcW w:w="1876" w:type="dxa"/>
            <w:shd w:val="clear" w:color="auto" w:fill="D9E2F3"/>
            <w:vAlign w:val="center"/>
          </w:tcPr>
          <w:p w14:paraId="4D728334" w14:textId="77777777" w:rsidR="00990B14" w:rsidRDefault="00000000">
            <w:pPr>
              <w:spacing w:before="20" w:after="20"/>
              <w:jc w:val="both"/>
            </w:pPr>
            <w:r>
              <w:rPr>
                <w:sz w:val="18"/>
                <w:szCs w:val="18"/>
              </w:rPr>
              <w:t>Organiza los aspectos pertinentes apoyándose en ejemplos.</w:t>
            </w:r>
          </w:p>
        </w:tc>
        <w:tc>
          <w:tcPr>
            <w:tcW w:w="1877" w:type="dxa"/>
            <w:shd w:val="clear" w:color="auto" w:fill="D9E2F3"/>
            <w:vAlign w:val="center"/>
          </w:tcPr>
          <w:p w14:paraId="3D20391C" w14:textId="77777777" w:rsidR="00990B14" w:rsidRDefault="00000000">
            <w:pPr>
              <w:spacing w:before="20" w:after="20"/>
              <w:jc w:val="both"/>
            </w:pPr>
            <w:r>
              <w:rPr>
                <w:sz w:val="18"/>
                <w:szCs w:val="18"/>
              </w:rPr>
              <w:t>Presenta una síntesis clara y fundamentada de las particularidades observadas.</w:t>
            </w:r>
          </w:p>
        </w:tc>
      </w:tr>
      <w:tr w:rsidR="00990B14" w14:paraId="4E2F6F66" w14:textId="77777777">
        <w:trPr>
          <w:cantSplit/>
          <w:jc w:val="center"/>
        </w:trPr>
        <w:tc>
          <w:tcPr>
            <w:tcW w:w="1490" w:type="dxa"/>
            <w:vMerge/>
            <w:shd w:val="clear" w:color="auto" w:fill="4472C4"/>
            <w:vAlign w:val="center"/>
          </w:tcPr>
          <w:p w14:paraId="44210786" w14:textId="77777777" w:rsidR="00990B14" w:rsidRDefault="00990B14">
            <w:pPr>
              <w:spacing w:before="20" w:after="20"/>
            </w:pPr>
          </w:p>
        </w:tc>
        <w:tc>
          <w:tcPr>
            <w:tcW w:w="6038" w:type="dxa"/>
            <w:gridSpan w:val="3"/>
            <w:shd w:val="clear" w:color="auto" w:fill="D9E2F3"/>
            <w:vAlign w:val="center"/>
          </w:tcPr>
          <w:p w14:paraId="422A8728" w14:textId="77777777" w:rsidR="00990B14" w:rsidRDefault="00000000">
            <w:pPr>
              <w:keepNext/>
              <w:spacing w:before="20" w:after="20"/>
              <w:jc w:val="both"/>
            </w:pPr>
            <w:r>
              <w:rPr>
                <w:b/>
                <w:bCs/>
                <w:i/>
                <w:iCs/>
                <w:sz w:val="18"/>
                <w:szCs w:val="18"/>
              </w:rPr>
              <w:t xml:space="preserve">Producto 8: </w:t>
            </w:r>
            <w:r>
              <w:rPr>
                <w:sz w:val="18"/>
                <w:szCs w:val="18"/>
              </w:rPr>
              <w:t>Esquema estructural de una monografía académica, identificando sus componentes fundamentales, funciones y organización.</w:t>
            </w:r>
          </w:p>
        </w:tc>
        <w:tc>
          <w:tcPr>
            <w:tcW w:w="1877" w:type="dxa"/>
            <w:shd w:val="clear" w:color="auto" w:fill="D9E2F3"/>
            <w:vAlign w:val="center"/>
          </w:tcPr>
          <w:p w14:paraId="748FDD73" w14:textId="77777777" w:rsidR="00990B14" w:rsidRDefault="00000000">
            <w:pPr>
              <w:spacing w:before="20" w:after="20"/>
              <w:jc w:val="center"/>
            </w:pPr>
            <w:r>
              <w:rPr>
                <w:b/>
                <w:bCs/>
                <w:sz w:val="18"/>
                <w:szCs w:val="18"/>
              </w:rPr>
              <w:t>6%</w:t>
            </w:r>
          </w:p>
        </w:tc>
      </w:tr>
      <w:tr w:rsidR="00990B14" w14:paraId="55F80B2E" w14:textId="77777777">
        <w:trPr>
          <w:cantSplit/>
          <w:jc w:val="center"/>
        </w:trPr>
        <w:tc>
          <w:tcPr>
            <w:tcW w:w="1490" w:type="dxa"/>
            <w:vMerge/>
            <w:shd w:val="clear" w:color="auto" w:fill="4472C4"/>
            <w:vAlign w:val="center"/>
          </w:tcPr>
          <w:p w14:paraId="0CD1882E" w14:textId="77777777" w:rsidR="00990B14" w:rsidRDefault="00990B14">
            <w:pPr>
              <w:spacing w:before="20" w:after="20"/>
            </w:pPr>
          </w:p>
        </w:tc>
        <w:tc>
          <w:tcPr>
            <w:tcW w:w="2286" w:type="dxa"/>
            <w:shd w:val="clear" w:color="auto" w:fill="4472C4"/>
            <w:vAlign w:val="center"/>
          </w:tcPr>
          <w:p w14:paraId="5D62044E"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144C1C00"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46DAE28C"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5631F7B0" w14:textId="77777777" w:rsidR="00990B14" w:rsidRDefault="00000000">
            <w:pPr>
              <w:keepNext/>
              <w:spacing w:before="20" w:after="20"/>
              <w:jc w:val="center"/>
            </w:pPr>
            <w:r>
              <w:rPr>
                <w:b/>
                <w:bCs/>
                <w:i/>
                <w:iCs/>
                <w:color w:val="FFFFFF"/>
                <w:sz w:val="18"/>
                <w:szCs w:val="18"/>
              </w:rPr>
              <w:t>Destacado (81–100)</w:t>
            </w:r>
          </w:p>
        </w:tc>
      </w:tr>
      <w:tr w:rsidR="00990B14" w14:paraId="088B0DF1" w14:textId="77777777">
        <w:trPr>
          <w:cantSplit/>
          <w:jc w:val="center"/>
        </w:trPr>
        <w:tc>
          <w:tcPr>
            <w:tcW w:w="1490" w:type="dxa"/>
            <w:vMerge/>
            <w:shd w:val="clear" w:color="auto" w:fill="4472C4"/>
            <w:vAlign w:val="center"/>
          </w:tcPr>
          <w:p w14:paraId="27D1C14C" w14:textId="77777777" w:rsidR="00990B14" w:rsidRDefault="00990B14">
            <w:pPr>
              <w:spacing w:before="20" w:after="20"/>
            </w:pPr>
          </w:p>
        </w:tc>
        <w:tc>
          <w:tcPr>
            <w:tcW w:w="2286" w:type="dxa"/>
            <w:shd w:val="clear" w:color="auto" w:fill="D9E2F3"/>
            <w:vAlign w:val="center"/>
          </w:tcPr>
          <w:p w14:paraId="34F1556E" w14:textId="77777777" w:rsidR="00990B14" w:rsidRDefault="00000000">
            <w:pPr>
              <w:spacing w:before="20" w:after="20"/>
              <w:jc w:val="both"/>
            </w:pPr>
            <w:r>
              <w:rPr>
                <w:sz w:val="18"/>
                <w:szCs w:val="18"/>
              </w:rPr>
              <w:t>Identificación de componentes</w:t>
            </w:r>
          </w:p>
        </w:tc>
        <w:tc>
          <w:tcPr>
            <w:tcW w:w="1876" w:type="dxa"/>
            <w:shd w:val="clear" w:color="auto" w:fill="D9E2F3"/>
            <w:vAlign w:val="center"/>
          </w:tcPr>
          <w:p w14:paraId="2967281E" w14:textId="77777777" w:rsidR="00990B14" w:rsidRDefault="00000000">
            <w:pPr>
              <w:spacing w:before="20" w:after="20"/>
              <w:jc w:val="both"/>
            </w:pPr>
            <w:r>
              <w:rPr>
                <w:sz w:val="18"/>
                <w:szCs w:val="18"/>
              </w:rPr>
              <w:t>Omite o confunde componentes fundamentales.</w:t>
            </w:r>
          </w:p>
        </w:tc>
        <w:tc>
          <w:tcPr>
            <w:tcW w:w="1876" w:type="dxa"/>
            <w:shd w:val="clear" w:color="auto" w:fill="D9E2F3"/>
            <w:vAlign w:val="center"/>
          </w:tcPr>
          <w:p w14:paraId="757AC17D" w14:textId="77777777" w:rsidR="00990B14" w:rsidRDefault="00000000">
            <w:pPr>
              <w:spacing w:before="20" w:after="20"/>
              <w:jc w:val="both"/>
            </w:pPr>
            <w:r>
              <w:rPr>
                <w:sz w:val="18"/>
                <w:szCs w:val="18"/>
              </w:rPr>
              <w:t>Identifica los componentes básicos de una monografía académica.</w:t>
            </w:r>
          </w:p>
        </w:tc>
        <w:tc>
          <w:tcPr>
            <w:tcW w:w="1877" w:type="dxa"/>
            <w:shd w:val="clear" w:color="auto" w:fill="D9E2F3"/>
            <w:vAlign w:val="center"/>
          </w:tcPr>
          <w:p w14:paraId="015DDA44" w14:textId="77777777" w:rsidR="00990B14" w:rsidRDefault="00000000">
            <w:pPr>
              <w:spacing w:before="20" w:after="20"/>
              <w:jc w:val="both"/>
            </w:pPr>
            <w:r>
              <w:rPr>
                <w:sz w:val="18"/>
                <w:szCs w:val="18"/>
              </w:rPr>
              <w:t>Reconoce y diferencia adecuadamente componentes preliminares, cuerpo y complementarios.</w:t>
            </w:r>
          </w:p>
        </w:tc>
      </w:tr>
      <w:tr w:rsidR="00990B14" w14:paraId="09804CFF" w14:textId="77777777">
        <w:trPr>
          <w:cantSplit/>
          <w:jc w:val="center"/>
        </w:trPr>
        <w:tc>
          <w:tcPr>
            <w:tcW w:w="1490" w:type="dxa"/>
            <w:vMerge/>
            <w:shd w:val="clear" w:color="auto" w:fill="4472C4"/>
            <w:vAlign w:val="center"/>
          </w:tcPr>
          <w:p w14:paraId="59A2829C" w14:textId="77777777" w:rsidR="00990B14" w:rsidRDefault="00990B14">
            <w:pPr>
              <w:spacing w:before="20" w:after="20"/>
            </w:pPr>
          </w:p>
        </w:tc>
        <w:tc>
          <w:tcPr>
            <w:tcW w:w="2286" w:type="dxa"/>
            <w:shd w:val="clear" w:color="auto" w:fill="D9E2F3"/>
            <w:vAlign w:val="center"/>
          </w:tcPr>
          <w:p w14:paraId="4A797885" w14:textId="77777777" w:rsidR="00990B14" w:rsidRDefault="00000000">
            <w:pPr>
              <w:spacing w:before="20" w:after="20"/>
              <w:jc w:val="both"/>
            </w:pPr>
            <w:r>
              <w:rPr>
                <w:sz w:val="18"/>
                <w:szCs w:val="18"/>
              </w:rPr>
              <w:t>Función de los componentes</w:t>
            </w:r>
          </w:p>
        </w:tc>
        <w:tc>
          <w:tcPr>
            <w:tcW w:w="1876" w:type="dxa"/>
            <w:shd w:val="clear" w:color="auto" w:fill="D9E2F3"/>
            <w:vAlign w:val="center"/>
          </w:tcPr>
          <w:p w14:paraId="31116062" w14:textId="77777777" w:rsidR="00990B14" w:rsidRDefault="00000000">
            <w:pPr>
              <w:spacing w:before="20" w:after="20"/>
              <w:jc w:val="both"/>
            </w:pPr>
            <w:r>
              <w:rPr>
                <w:sz w:val="18"/>
                <w:szCs w:val="18"/>
              </w:rPr>
              <w:t>No describe la función de las secciones o la presenta equivocadamente.</w:t>
            </w:r>
          </w:p>
        </w:tc>
        <w:tc>
          <w:tcPr>
            <w:tcW w:w="1876" w:type="dxa"/>
            <w:shd w:val="clear" w:color="auto" w:fill="D9E2F3"/>
            <w:vAlign w:val="center"/>
          </w:tcPr>
          <w:p w14:paraId="02AB4FD2" w14:textId="77777777" w:rsidR="00990B14" w:rsidRDefault="00000000">
            <w:pPr>
              <w:spacing w:before="20" w:after="20"/>
              <w:jc w:val="both"/>
            </w:pPr>
            <w:r>
              <w:rPr>
                <w:sz w:val="18"/>
                <w:szCs w:val="18"/>
              </w:rPr>
              <w:t>Explica la función principal de cada componente.</w:t>
            </w:r>
          </w:p>
        </w:tc>
        <w:tc>
          <w:tcPr>
            <w:tcW w:w="1877" w:type="dxa"/>
            <w:shd w:val="clear" w:color="auto" w:fill="D9E2F3"/>
            <w:vAlign w:val="center"/>
          </w:tcPr>
          <w:p w14:paraId="0121D1F5" w14:textId="77777777" w:rsidR="00990B14" w:rsidRDefault="00000000">
            <w:pPr>
              <w:spacing w:before="20" w:after="20"/>
              <w:jc w:val="both"/>
            </w:pPr>
            <w:r>
              <w:rPr>
                <w:sz w:val="18"/>
                <w:szCs w:val="18"/>
              </w:rPr>
              <w:t>Establece con claridad la contribución y articulación de cada componente al documento.</w:t>
            </w:r>
          </w:p>
        </w:tc>
      </w:tr>
      <w:tr w:rsidR="00990B14" w14:paraId="58A3CA85" w14:textId="77777777">
        <w:trPr>
          <w:cantSplit/>
          <w:jc w:val="center"/>
        </w:trPr>
        <w:tc>
          <w:tcPr>
            <w:tcW w:w="1490" w:type="dxa"/>
            <w:vMerge/>
            <w:shd w:val="clear" w:color="auto" w:fill="4472C4"/>
            <w:vAlign w:val="center"/>
          </w:tcPr>
          <w:p w14:paraId="1A168476" w14:textId="77777777" w:rsidR="00990B14" w:rsidRDefault="00990B14">
            <w:pPr>
              <w:spacing w:before="20" w:after="20"/>
            </w:pPr>
          </w:p>
        </w:tc>
        <w:tc>
          <w:tcPr>
            <w:tcW w:w="2286" w:type="dxa"/>
            <w:shd w:val="clear" w:color="auto" w:fill="D9E2F3"/>
            <w:vAlign w:val="center"/>
          </w:tcPr>
          <w:p w14:paraId="6CE46190" w14:textId="77777777" w:rsidR="00990B14" w:rsidRDefault="00000000">
            <w:pPr>
              <w:spacing w:before="20" w:after="20"/>
              <w:jc w:val="both"/>
            </w:pPr>
            <w:r>
              <w:rPr>
                <w:sz w:val="18"/>
                <w:szCs w:val="18"/>
              </w:rPr>
              <w:t>Organización del esquema</w:t>
            </w:r>
          </w:p>
        </w:tc>
        <w:tc>
          <w:tcPr>
            <w:tcW w:w="1876" w:type="dxa"/>
            <w:shd w:val="clear" w:color="auto" w:fill="D9E2F3"/>
            <w:vAlign w:val="center"/>
          </w:tcPr>
          <w:p w14:paraId="107FB447" w14:textId="77777777" w:rsidR="00990B14" w:rsidRDefault="00000000">
            <w:pPr>
              <w:spacing w:before="20" w:after="20"/>
              <w:jc w:val="both"/>
            </w:pPr>
            <w:r>
              <w:rPr>
                <w:sz w:val="18"/>
                <w:szCs w:val="18"/>
              </w:rPr>
              <w:t>El esquema es desordenado o muestra una secuencia inadecuada.</w:t>
            </w:r>
          </w:p>
        </w:tc>
        <w:tc>
          <w:tcPr>
            <w:tcW w:w="1876" w:type="dxa"/>
            <w:shd w:val="clear" w:color="auto" w:fill="D9E2F3"/>
            <w:vAlign w:val="center"/>
          </w:tcPr>
          <w:p w14:paraId="0E33C11E" w14:textId="77777777" w:rsidR="00990B14" w:rsidRDefault="00000000">
            <w:pPr>
              <w:spacing w:before="20" w:after="20"/>
              <w:jc w:val="both"/>
            </w:pPr>
            <w:r>
              <w:rPr>
                <w:sz w:val="18"/>
                <w:szCs w:val="18"/>
              </w:rPr>
              <w:t>Organiza la estructura en una secuencia lógica y comprensible.</w:t>
            </w:r>
          </w:p>
        </w:tc>
        <w:tc>
          <w:tcPr>
            <w:tcW w:w="1877" w:type="dxa"/>
            <w:shd w:val="clear" w:color="auto" w:fill="D9E2F3"/>
            <w:vAlign w:val="center"/>
          </w:tcPr>
          <w:p w14:paraId="72844DA6" w14:textId="77777777" w:rsidR="00990B14" w:rsidRDefault="00000000">
            <w:pPr>
              <w:spacing w:before="20" w:after="20"/>
              <w:jc w:val="both"/>
            </w:pPr>
            <w:r>
              <w:rPr>
                <w:sz w:val="18"/>
                <w:szCs w:val="18"/>
              </w:rPr>
              <w:t>Presenta un esquema jerárquico, completo y de lectura inmediata.</w:t>
            </w:r>
          </w:p>
        </w:tc>
      </w:tr>
      <w:tr w:rsidR="00990B14" w14:paraId="61803E3C" w14:textId="77777777">
        <w:trPr>
          <w:cantSplit/>
          <w:jc w:val="center"/>
        </w:trPr>
        <w:tc>
          <w:tcPr>
            <w:tcW w:w="1490" w:type="dxa"/>
            <w:vMerge/>
            <w:shd w:val="clear" w:color="auto" w:fill="4472C4"/>
            <w:vAlign w:val="center"/>
          </w:tcPr>
          <w:p w14:paraId="1E9D3BD7" w14:textId="77777777" w:rsidR="00990B14" w:rsidRDefault="00990B14">
            <w:pPr>
              <w:spacing w:before="20" w:after="20"/>
            </w:pPr>
          </w:p>
        </w:tc>
        <w:tc>
          <w:tcPr>
            <w:tcW w:w="6038" w:type="dxa"/>
            <w:gridSpan w:val="3"/>
            <w:shd w:val="clear" w:color="auto" w:fill="D9E2F3"/>
            <w:vAlign w:val="center"/>
          </w:tcPr>
          <w:p w14:paraId="110D73AF" w14:textId="77777777" w:rsidR="00990B14" w:rsidRDefault="00000000">
            <w:pPr>
              <w:keepNext/>
              <w:spacing w:before="20" w:after="20"/>
              <w:jc w:val="both"/>
            </w:pPr>
            <w:r>
              <w:rPr>
                <w:b/>
                <w:bCs/>
                <w:i/>
                <w:iCs/>
                <w:sz w:val="18"/>
                <w:szCs w:val="18"/>
              </w:rPr>
              <w:t xml:space="preserve">Producto 9: </w:t>
            </w:r>
            <w:r>
              <w:rPr>
                <w:sz w:val="18"/>
                <w:szCs w:val="18"/>
              </w:rPr>
              <w:t>Documento de revisión de la literatura y construcción del modelo teórico o modelo aplicado, según la modalidad de graduación seleccionada, que sustente la identificación y fundamentación de la temática de investigación, en correspondencia con las líneas de investigación institucionales.</w:t>
            </w:r>
          </w:p>
        </w:tc>
        <w:tc>
          <w:tcPr>
            <w:tcW w:w="1877" w:type="dxa"/>
            <w:shd w:val="clear" w:color="auto" w:fill="D9E2F3"/>
            <w:vAlign w:val="center"/>
          </w:tcPr>
          <w:p w14:paraId="4C1BCC7A" w14:textId="77777777" w:rsidR="00990B14" w:rsidRDefault="00000000">
            <w:pPr>
              <w:spacing w:before="20" w:after="20"/>
              <w:jc w:val="center"/>
            </w:pPr>
            <w:r>
              <w:rPr>
                <w:b/>
                <w:bCs/>
                <w:sz w:val="18"/>
                <w:szCs w:val="18"/>
              </w:rPr>
              <w:t>12%</w:t>
            </w:r>
          </w:p>
        </w:tc>
      </w:tr>
      <w:tr w:rsidR="00990B14" w14:paraId="563C2A67" w14:textId="77777777">
        <w:trPr>
          <w:cantSplit/>
          <w:jc w:val="center"/>
        </w:trPr>
        <w:tc>
          <w:tcPr>
            <w:tcW w:w="1490" w:type="dxa"/>
            <w:vMerge/>
            <w:shd w:val="clear" w:color="auto" w:fill="4472C4"/>
            <w:vAlign w:val="center"/>
          </w:tcPr>
          <w:p w14:paraId="0FE05C71" w14:textId="77777777" w:rsidR="00990B14" w:rsidRDefault="00990B14">
            <w:pPr>
              <w:spacing w:before="20" w:after="20"/>
            </w:pPr>
          </w:p>
        </w:tc>
        <w:tc>
          <w:tcPr>
            <w:tcW w:w="2286" w:type="dxa"/>
            <w:shd w:val="clear" w:color="auto" w:fill="4472C4"/>
            <w:vAlign w:val="center"/>
          </w:tcPr>
          <w:p w14:paraId="2D4709F5"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1955CA9B"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0B4A648B"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3FFFDFDE" w14:textId="77777777" w:rsidR="00990B14" w:rsidRDefault="00000000">
            <w:pPr>
              <w:keepNext/>
              <w:spacing w:before="20" w:after="20"/>
              <w:jc w:val="center"/>
            </w:pPr>
            <w:r>
              <w:rPr>
                <w:b/>
                <w:bCs/>
                <w:i/>
                <w:iCs/>
                <w:color w:val="FFFFFF"/>
                <w:sz w:val="18"/>
                <w:szCs w:val="18"/>
              </w:rPr>
              <w:t>Destacado (81–100)</w:t>
            </w:r>
          </w:p>
        </w:tc>
      </w:tr>
      <w:tr w:rsidR="00990B14" w14:paraId="2B83EFA7" w14:textId="77777777">
        <w:trPr>
          <w:cantSplit/>
          <w:jc w:val="center"/>
        </w:trPr>
        <w:tc>
          <w:tcPr>
            <w:tcW w:w="1490" w:type="dxa"/>
            <w:vMerge/>
            <w:shd w:val="clear" w:color="auto" w:fill="4472C4"/>
            <w:vAlign w:val="center"/>
          </w:tcPr>
          <w:p w14:paraId="5D339AB1" w14:textId="77777777" w:rsidR="00990B14" w:rsidRDefault="00990B14">
            <w:pPr>
              <w:spacing w:before="20" w:after="20"/>
            </w:pPr>
          </w:p>
        </w:tc>
        <w:tc>
          <w:tcPr>
            <w:tcW w:w="2286" w:type="dxa"/>
            <w:shd w:val="clear" w:color="auto" w:fill="D9E2F3"/>
            <w:vAlign w:val="center"/>
          </w:tcPr>
          <w:p w14:paraId="1FC25A02" w14:textId="77777777" w:rsidR="00990B14" w:rsidRDefault="00000000">
            <w:pPr>
              <w:spacing w:before="20" w:after="20"/>
              <w:jc w:val="both"/>
            </w:pPr>
            <w:r>
              <w:rPr>
                <w:sz w:val="18"/>
                <w:szCs w:val="18"/>
              </w:rPr>
              <w:t>Revisión y sistematización</w:t>
            </w:r>
          </w:p>
        </w:tc>
        <w:tc>
          <w:tcPr>
            <w:tcW w:w="1876" w:type="dxa"/>
            <w:shd w:val="clear" w:color="auto" w:fill="D9E2F3"/>
            <w:vAlign w:val="center"/>
          </w:tcPr>
          <w:p w14:paraId="7E03D32B" w14:textId="77777777" w:rsidR="00990B14" w:rsidRDefault="00000000">
            <w:pPr>
              <w:spacing w:before="20" w:after="20"/>
              <w:jc w:val="both"/>
            </w:pPr>
            <w:r>
              <w:rPr>
                <w:sz w:val="18"/>
                <w:szCs w:val="18"/>
              </w:rPr>
              <w:t>La revisión es escasa, poco pertinente o meramente enumerativa.</w:t>
            </w:r>
          </w:p>
        </w:tc>
        <w:tc>
          <w:tcPr>
            <w:tcW w:w="1876" w:type="dxa"/>
            <w:shd w:val="clear" w:color="auto" w:fill="D9E2F3"/>
            <w:vAlign w:val="center"/>
          </w:tcPr>
          <w:p w14:paraId="73C90DA8" w14:textId="77777777" w:rsidR="00990B14" w:rsidRDefault="00000000">
            <w:pPr>
              <w:spacing w:before="20" w:after="20"/>
              <w:jc w:val="both"/>
            </w:pPr>
            <w:r>
              <w:rPr>
                <w:sz w:val="18"/>
                <w:szCs w:val="18"/>
              </w:rPr>
              <w:t>Selecciona y organiza literatura académica pertinente al objeto de estudio.</w:t>
            </w:r>
          </w:p>
        </w:tc>
        <w:tc>
          <w:tcPr>
            <w:tcW w:w="1877" w:type="dxa"/>
            <w:shd w:val="clear" w:color="auto" w:fill="D9E2F3"/>
            <w:vAlign w:val="center"/>
          </w:tcPr>
          <w:p w14:paraId="031DDBBF" w14:textId="77777777" w:rsidR="00990B14" w:rsidRDefault="00000000">
            <w:pPr>
              <w:spacing w:before="20" w:after="20"/>
              <w:jc w:val="both"/>
            </w:pPr>
            <w:r>
              <w:rPr>
                <w:sz w:val="18"/>
                <w:szCs w:val="18"/>
              </w:rPr>
              <w:t>Contrasta críticamente antecedentes y fundamentos, identificando relaciones y vacíos relevantes.</w:t>
            </w:r>
          </w:p>
        </w:tc>
      </w:tr>
      <w:tr w:rsidR="00990B14" w14:paraId="5F1B736B" w14:textId="77777777">
        <w:trPr>
          <w:cantSplit/>
          <w:jc w:val="center"/>
        </w:trPr>
        <w:tc>
          <w:tcPr>
            <w:tcW w:w="1490" w:type="dxa"/>
            <w:vMerge/>
            <w:shd w:val="clear" w:color="auto" w:fill="4472C4"/>
            <w:vAlign w:val="center"/>
          </w:tcPr>
          <w:p w14:paraId="7F8D9529" w14:textId="77777777" w:rsidR="00990B14" w:rsidRDefault="00990B14">
            <w:pPr>
              <w:spacing w:before="20" w:after="20"/>
            </w:pPr>
          </w:p>
        </w:tc>
        <w:tc>
          <w:tcPr>
            <w:tcW w:w="2286" w:type="dxa"/>
            <w:shd w:val="clear" w:color="auto" w:fill="D9E2F3"/>
            <w:vAlign w:val="center"/>
          </w:tcPr>
          <w:p w14:paraId="75A03F47" w14:textId="77777777" w:rsidR="00990B14" w:rsidRDefault="00000000">
            <w:pPr>
              <w:spacing w:before="20" w:after="20"/>
              <w:jc w:val="both"/>
            </w:pPr>
            <w:r>
              <w:rPr>
                <w:sz w:val="18"/>
                <w:szCs w:val="18"/>
              </w:rPr>
              <w:t>Construcción del modelo</w:t>
            </w:r>
          </w:p>
        </w:tc>
        <w:tc>
          <w:tcPr>
            <w:tcW w:w="1876" w:type="dxa"/>
            <w:shd w:val="clear" w:color="auto" w:fill="D9E2F3"/>
            <w:vAlign w:val="center"/>
          </w:tcPr>
          <w:p w14:paraId="1FA86A86" w14:textId="77777777" w:rsidR="00990B14" w:rsidRDefault="00000000">
            <w:pPr>
              <w:spacing w:before="20" w:after="20"/>
              <w:jc w:val="both"/>
            </w:pPr>
            <w:r>
              <w:rPr>
                <w:sz w:val="18"/>
                <w:szCs w:val="18"/>
              </w:rPr>
              <w:t>El modelo es inexistente o no se relaciona con la literatura revisada.</w:t>
            </w:r>
          </w:p>
        </w:tc>
        <w:tc>
          <w:tcPr>
            <w:tcW w:w="1876" w:type="dxa"/>
            <w:shd w:val="clear" w:color="auto" w:fill="D9E2F3"/>
            <w:vAlign w:val="center"/>
          </w:tcPr>
          <w:p w14:paraId="1B0B6788" w14:textId="77777777" w:rsidR="00990B14" w:rsidRDefault="00000000">
            <w:pPr>
              <w:spacing w:before="20" w:after="20"/>
              <w:jc w:val="both"/>
            </w:pPr>
            <w:r>
              <w:rPr>
                <w:sz w:val="18"/>
                <w:szCs w:val="18"/>
              </w:rPr>
              <w:t>Construye un modelo teórico o aplicado con componentes identificables y sustento bibliográfico.</w:t>
            </w:r>
          </w:p>
        </w:tc>
        <w:tc>
          <w:tcPr>
            <w:tcW w:w="1877" w:type="dxa"/>
            <w:shd w:val="clear" w:color="auto" w:fill="D9E2F3"/>
            <w:vAlign w:val="center"/>
          </w:tcPr>
          <w:p w14:paraId="1F8F7F82" w14:textId="77777777" w:rsidR="00990B14" w:rsidRDefault="00000000">
            <w:pPr>
              <w:spacing w:before="20" w:after="20"/>
              <w:jc w:val="both"/>
            </w:pPr>
            <w:r>
              <w:rPr>
                <w:sz w:val="18"/>
                <w:szCs w:val="18"/>
              </w:rPr>
              <w:t>Articula de manera consistente componentes y relaciones del modelo, justificando su pertinencia.</w:t>
            </w:r>
          </w:p>
        </w:tc>
      </w:tr>
      <w:tr w:rsidR="00990B14" w14:paraId="416ADC1C" w14:textId="77777777">
        <w:trPr>
          <w:cantSplit/>
          <w:jc w:val="center"/>
        </w:trPr>
        <w:tc>
          <w:tcPr>
            <w:tcW w:w="1490" w:type="dxa"/>
            <w:vMerge/>
            <w:shd w:val="clear" w:color="auto" w:fill="4472C4"/>
            <w:vAlign w:val="center"/>
          </w:tcPr>
          <w:p w14:paraId="3B27BDDE" w14:textId="77777777" w:rsidR="00990B14" w:rsidRDefault="00990B14">
            <w:pPr>
              <w:spacing w:before="20" w:after="20"/>
            </w:pPr>
          </w:p>
        </w:tc>
        <w:tc>
          <w:tcPr>
            <w:tcW w:w="2286" w:type="dxa"/>
            <w:shd w:val="clear" w:color="auto" w:fill="D9E2F3"/>
            <w:vAlign w:val="center"/>
          </w:tcPr>
          <w:p w14:paraId="7EABB9FF" w14:textId="77777777" w:rsidR="00990B14" w:rsidRDefault="00000000">
            <w:pPr>
              <w:spacing w:before="20" w:after="20"/>
              <w:jc w:val="both"/>
            </w:pPr>
            <w:r>
              <w:rPr>
                <w:sz w:val="18"/>
                <w:szCs w:val="18"/>
              </w:rPr>
              <w:t>Fundamentación del tema</w:t>
            </w:r>
          </w:p>
        </w:tc>
        <w:tc>
          <w:tcPr>
            <w:tcW w:w="1876" w:type="dxa"/>
            <w:shd w:val="clear" w:color="auto" w:fill="D9E2F3"/>
            <w:vAlign w:val="center"/>
          </w:tcPr>
          <w:p w14:paraId="1D0B6F5D" w14:textId="77777777" w:rsidR="00990B14" w:rsidRDefault="00000000">
            <w:pPr>
              <w:spacing w:before="20" w:after="20"/>
              <w:jc w:val="both"/>
            </w:pPr>
            <w:r>
              <w:rPr>
                <w:sz w:val="18"/>
                <w:szCs w:val="18"/>
              </w:rPr>
              <w:t>No se justifica la temática ni su vínculo con una línea institucional.</w:t>
            </w:r>
          </w:p>
        </w:tc>
        <w:tc>
          <w:tcPr>
            <w:tcW w:w="1876" w:type="dxa"/>
            <w:shd w:val="clear" w:color="auto" w:fill="D9E2F3"/>
            <w:vAlign w:val="center"/>
          </w:tcPr>
          <w:p w14:paraId="5ABC02D9" w14:textId="77777777" w:rsidR="00990B14" w:rsidRDefault="00000000">
            <w:pPr>
              <w:spacing w:before="20" w:after="20"/>
              <w:jc w:val="both"/>
            </w:pPr>
            <w:r>
              <w:rPr>
                <w:sz w:val="18"/>
                <w:szCs w:val="18"/>
              </w:rPr>
              <w:t>Fundamenta la temática y establece su correspondencia con una línea de investigación.</w:t>
            </w:r>
          </w:p>
        </w:tc>
        <w:tc>
          <w:tcPr>
            <w:tcW w:w="1877" w:type="dxa"/>
            <w:shd w:val="clear" w:color="auto" w:fill="D9E2F3"/>
            <w:vAlign w:val="center"/>
          </w:tcPr>
          <w:p w14:paraId="79C62448" w14:textId="77777777" w:rsidR="00990B14" w:rsidRDefault="00000000">
            <w:pPr>
              <w:spacing w:before="20" w:after="20"/>
              <w:jc w:val="both"/>
            </w:pPr>
            <w:r>
              <w:rPr>
                <w:sz w:val="18"/>
                <w:szCs w:val="18"/>
              </w:rPr>
              <w:t>Sustenta convincentemente la elección con literatura, modelo y pertinencia profesional.</w:t>
            </w:r>
          </w:p>
        </w:tc>
      </w:tr>
      <w:tr w:rsidR="00990B14" w14:paraId="5DFDEEF0" w14:textId="77777777">
        <w:trPr>
          <w:cantSplit/>
          <w:jc w:val="center"/>
        </w:trPr>
        <w:tc>
          <w:tcPr>
            <w:tcW w:w="1490" w:type="dxa"/>
            <w:vMerge/>
            <w:shd w:val="clear" w:color="auto" w:fill="4472C4"/>
            <w:vAlign w:val="center"/>
          </w:tcPr>
          <w:p w14:paraId="3B8B050D" w14:textId="77777777" w:rsidR="00990B14" w:rsidRDefault="00990B14">
            <w:pPr>
              <w:spacing w:before="20" w:after="20"/>
            </w:pPr>
          </w:p>
        </w:tc>
        <w:tc>
          <w:tcPr>
            <w:tcW w:w="6038" w:type="dxa"/>
            <w:gridSpan w:val="3"/>
            <w:shd w:val="clear" w:color="auto" w:fill="D9E2F3"/>
            <w:vAlign w:val="center"/>
          </w:tcPr>
          <w:p w14:paraId="5F4D8642" w14:textId="77777777" w:rsidR="00990B14" w:rsidRDefault="00000000">
            <w:pPr>
              <w:keepNext/>
              <w:spacing w:before="20" w:after="20"/>
              <w:jc w:val="both"/>
            </w:pPr>
            <w:r>
              <w:rPr>
                <w:b/>
                <w:bCs/>
                <w:i/>
                <w:iCs/>
                <w:sz w:val="18"/>
                <w:szCs w:val="18"/>
              </w:rPr>
              <w:t xml:space="preserve">Producto 10: </w:t>
            </w:r>
            <w:r>
              <w:rPr>
                <w:sz w:val="18"/>
                <w:szCs w:val="18"/>
              </w:rPr>
              <w:t>Analiza y problematiza el objeto de estudio, identificando las variables de investigación y delimitando el problema en sus dimensiones temática, espacial y temporal, según la modalidad de graduación seleccionada.</w:t>
            </w:r>
          </w:p>
        </w:tc>
        <w:tc>
          <w:tcPr>
            <w:tcW w:w="1877" w:type="dxa"/>
            <w:shd w:val="clear" w:color="auto" w:fill="D9E2F3"/>
            <w:vAlign w:val="center"/>
          </w:tcPr>
          <w:p w14:paraId="3C247735" w14:textId="77777777" w:rsidR="00990B14" w:rsidRDefault="00000000">
            <w:pPr>
              <w:spacing w:before="20" w:after="20"/>
              <w:jc w:val="center"/>
            </w:pPr>
            <w:r>
              <w:rPr>
                <w:b/>
                <w:bCs/>
                <w:sz w:val="18"/>
                <w:szCs w:val="18"/>
              </w:rPr>
              <w:t>11%</w:t>
            </w:r>
          </w:p>
        </w:tc>
      </w:tr>
      <w:tr w:rsidR="00990B14" w14:paraId="790130DC" w14:textId="77777777">
        <w:trPr>
          <w:cantSplit/>
          <w:jc w:val="center"/>
        </w:trPr>
        <w:tc>
          <w:tcPr>
            <w:tcW w:w="1490" w:type="dxa"/>
            <w:vMerge/>
            <w:shd w:val="clear" w:color="auto" w:fill="4472C4"/>
            <w:vAlign w:val="center"/>
          </w:tcPr>
          <w:p w14:paraId="71C46059" w14:textId="77777777" w:rsidR="00990B14" w:rsidRDefault="00990B14">
            <w:pPr>
              <w:spacing w:before="20" w:after="20"/>
            </w:pPr>
          </w:p>
        </w:tc>
        <w:tc>
          <w:tcPr>
            <w:tcW w:w="2286" w:type="dxa"/>
            <w:shd w:val="clear" w:color="auto" w:fill="4472C4"/>
            <w:vAlign w:val="center"/>
          </w:tcPr>
          <w:p w14:paraId="15B13D81"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4B914B6A"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2006FB46"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46E27722" w14:textId="77777777" w:rsidR="00990B14" w:rsidRDefault="00000000">
            <w:pPr>
              <w:keepNext/>
              <w:spacing w:before="20" w:after="20"/>
              <w:jc w:val="center"/>
            </w:pPr>
            <w:r>
              <w:rPr>
                <w:b/>
                <w:bCs/>
                <w:i/>
                <w:iCs/>
                <w:color w:val="FFFFFF"/>
                <w:sz w:val="18"/>
                <w:szCs w:val="18"/>
              </w:rPr>
              <w:t>Destacado (81–100)</w:t>
            </w:r>
          </w:p>
        </w:tc>
      </w:tr>
      <w:tr w:rsidR="00990B14" w14:paraId="6A43B4E6" w14:textId="77777777">
        <w:trPr>
          <w:cantSplit/>
          <w:jc w:val="center"/>
        </w:trPr>
        <w:tc>
          <w:tcPr>
            <w:tcW w:w="1490" w:type="dxa"/>
            <w:vMerge/>
            <w:shd w:val="clear" w:color="auto" w:fill="4472C4"/>
            <w:vAlign w:val="center"/>
          </w:tcPr>
          <w:p w14:paraId="3DBC5C23" w14:textId="77777777" w:rsidR="00990B14" w:rsidRDefault="00990B14">
            <w:pPr>
              <w:spacing w:before="20" w:after="20"/>
            </w:pPr>
          </w:p>
        </w:tc>
        <w:tc>
          <w:tcPr>
            <w:tcW w:w="2286" w:type="dxa"/>
            <w:shd w:val="clear" w:color="auto" w:fill="D9E2F3"/>
            <w:vAlign w:val="center"/>
          </w:tcPr>
          <w:p w14:paraId="7E277A0F" w14:textId="77777777" w:rsidR="00990B14" w:rsidRDefault="00000000">
            <w:pPr>
              <w:spacing w:before="20" w:after="20"/>
              <w:jc w:val="both"/>
            </w:pPr>
            <w:r>
              <w:rPr>
                <w:sz w:val="18"/>
                <w:szCs w:val="18"/>
              </w:rPr>
              <w:t>Identificación del objeto y variables</w:t>
            </w:r>
          </w:p>
        </w:tc>
        <w:tc>
          <w:tcPr>
            <w:tcW w:w="1876" w:type="dxa"/>
            <w:shd w:val="clear" w:color="auto" w:fill="D9E2F3"/>
            <w:vAlign w:val="center"/>
          </w:tcPr>
          <w:p w14:paraId="4B829F5D" w14:textId="77777777" w:rsidR="00990B14" w:rsidRDefault="00000000">
            <w:pPr>
              <w:spacing w:before="20" w:after="20"/>
              <w:jc w:val="both"/>
            </w:pPr>
            <w:r>
              <w:rPr>
                <w:sz w:val="18"/>
                <w:szCs w:val="18"/>
              </w:rPr>
              <w:t>El objeto es ambiguo o no identifica correctamente las variables pertinentes.</w:t>
            </w:r>
          </w:p>
        </w:tc>
        <w:tc>
          <w:tcPr>
            <w:tcW w:w="1876" w:type="dxa"/>
            <w:shd w:val="clear" w:color="auto" w:fill="D9E2F3"/>
            <w:vAlign w:val="center"/>
          </w:tcPr>
          <w:p w14:paraId="6D288DD2" w14:textId="77777777" w:rsidR="00990B14" w:rsidRDefault="00000000">
            <w:pPr>
              <w:spacing w:before="20" w:after="20"/>
              <w:jc w:val="both"/>
            </w:pPr>
            <w:r>
              <w:rPr>
                <w:sz w:val="18"/>
                <w:szCs w:val="18"/>
              </w:rPr>
              <w:t>Identifica el objeto de estudio y las variables o componentes pertinentes.</w:t>
            </w:r>
          </w:p>
        </w:tc>
        <w:tc>
          <w:tcPr>
            <w:tcW w:w="1877" w:type="dxa"/>
            <w:shd w:val="clear" w:color="auto" w:fill="D9E2F3"/>
            <w:vAlign w:val="center"/>
          </w:tcPr>
          <w:p w14:paraId="47D5A5BA" w14:textId="77777777" w:rsidR="00990B14" w:rsidRDefault="00000000">
            <w:pPr>
              <w:spacing w:before="20" w:after="20"/>
              <w:jc w:val="both"/>
            </w:pPr>
            <w:r>
              <w:rPr>
                <w:sz w:val="18"/>
                <w:szCs w:val="18"/>
              </w:rPr>
              <w:t>Establece con precisión el objeto y las relaciones relevantes entre variables o componentes.</w:t>
            </w:r>
          </w:p>
        </w:tc>
      </w:tr>
      <w:tr w:rsidR="00990B14" w14:paraId="0ACCF1FF" w14:textId="77777777">
        <w:trPr>
          <w:cantSplit/>
          <w:jc w:val="center"/>
        </w:trPr>
        <w:tc>
          <w:tcPr>
            <w:tcW w:w="1490" w:type="dxa"/>
            <w:vMerge/>
            <w:shd w:val="clear" w:color="auto" w:fill="4472C4"/>
            <w:vAlign w:val="center"/>
          </w:tcPr>
          <w:p w14:paraId="427FBDB6" w14:textId="77777777" w:rsidR="00990B14" w:rsidRDefault="00990B14">
            <w:pPr>
              <w:spacing w:before="20" w:after="20"/>
            </w:pPr>
          </w:p>
        </w:tc>
        <w:tc>
          <w:tcPr>
            <w:tcW w:w="2286" w:type="dxa"/>
            <w:shd w:val="clear" w:color="auto" w:fill="D9E2F3"/>
            <w:vAlign w:val="center"/>
          </w:tcPr>
          <w:p w14:paraId="399DC702" w14:textId="77777777" w:rsidR="00990B14" w:rsidRDefault="00000000">
            <w:pPr>
              <w:spacing w:before="20" w:after="20"/>
              <w:jc w:val="both"/>
            </w:pPr>
            <w:r>
              <w:rPr>
                <w:sz w:val="18"/>
                <w:szCs w:val="18"/>
              </w:rPr>
              <w:t>Problematización</w:t>
            </w:r>
          </w:p>
        </w:tc>
        <w:tc>
          <w:tcPr>
            <w:tcW w:w="1876" w:type="dxa"/>
            <w:shd w:val="clear" w:color="auto" w:fill="D9E2F3"/>
            <w:vAlign w:val="center"/>
          </w:tcPr>
          <w:p w14:paraId="74E87409" w14:textId="77777777" w:rsidR="00990B14" w:rsidRDefault="00000000">
            <w:pPr>
              <w:spacing w:before="20" w:after="20"/>
              <w:jc w:val="both"/>
            </w:pPr>
            <w:r>
              <w:rPr>
                <w:sz w:val="18"/>
                <w:szCs w:val="18"/>
              </w:rPr>
              <w:t>La situación problemática es descriptiva y no conduce a un problema claro.</w:t>
            </w:r>
          </w:p>
        </w:tc>
        <w:tc>
          <w:tcPr>
            <w:tcW w:w="1876" w:type="dxa"/>
            <w:shd w:val="clear" w:color="auto" w:fill="D9E2F3"/>
            <w:vAlign w:val="center"/>
          </w:tcPr>
          <w:p w14:paraId="14B87515" w14:textId="77777777" w:rsidR="00990B14" w:rsidRDefault="00000000">
            <w:pPr>
              <w:spacing w:before="20" w:after="20"/>
              <w:jc w:val="both"/>
            </w:pPr>
            <w:r>
              <w:rPr>
                <w:sz w:val="18"/>
                <w:szCs w:val="18"/>
              </w:rPr>
              <w:t>Analiza la situación problemática y formula un problema investigable.</w:t>
            </w:r>
          </w:p>
        </w:tc>
        <w:tc>
          <w:tcPr>
            <w:tcW w:w="1877" w:type="dxa"/>
            <w:shd w:val="clear" w:color="auto" w:fill="D9E2F3"/>
            <w:vAlign w:val="center"/>
          </w:tcPr>
          <w:p w14:paraId="03706B31" w14:textId="77777777" w:rsidR="00990B14" w:rsidRDefault="00000000">
            <w:pPr>
              <w:spacing w:before="20" w:after="20"/>
              <w:jc w:val="both"/>
            </w:pPr>
            <w:r>
              <w:rPr>
                <w:sz w:val="18"/>
                <w:szCs w:val="18"/>
              </w:rPr>
              <w:t>Fundamenta el problema con antecedentes y evidencia contextual pertinente.</w:t>
            </w:r>
          </w:p>
        </w:tc>
      </w:tr>
      <w:tr w:rsidR="00990B14" w14:paraId="086BE918" w14:textId="77777777">
        <w:trPr>
          <w:cantSplit/>
          <w:jc w:val="center"/>
        </w:trPr>
        <w:tc>
          <w:tcPr>
            <w:tcW w:w="1490" w:type="dxa"/>
            <w:vMerge/>
            <w:shd w:val="clear" w:color="auto" w:fill="4472C4"/>
            <w:vAlign w:val="center"/>
          </w:tcPr>
          <w:p w14:paraId="736C8A24" w14:textId="77777777" w:rsidR="00990B14" w:rsidRDefault="00990B14">
            <w:pPr>
              <w:spacing w:before="20" w:after="20"/>
            </w:pPr>
          </w:p>
        </w:tc>
        <w:tc>
          <w:tcPr>
            <w:tcW w:w="2286" w:type="dxa"/>
            <w:shd w:val="clear" w:color="auto" w:fill="D9E2F3"/>
            <w:vAlign w:val="center"/>
          </w:tcPr>
          <w:p w14:paraId="25FC845C" w14:textId="77777777" w:rsidR="00990B14" w:rsidRDefault="00000000">
            <w:pPr>
              <w:spacing w:before="20" w:after="20"/>
              <w:jc w:val="both"/>
            </w:pPr>
            <w:r>
              <w:rPr>
                <w:sz w:val="18"/>
                <w:szCs w:val="18"/>
              </w:rPr>
              <w:t>Delimitación</w:t>
            </w:r>
          </w:p>
        </w:tc>
        <w:tc>
          <w:tcPr>
            <w:tcW w:w="1876" w:type="dxa"/>
            <w:shd w:val="clear" w:color="auto" w:fill="D9E2F3"/>
            <w:vAlign w:val="center"/>
          </w:tcPr>
          <w:p w14:paraId="636E8BDF" w14:textId="77777777" w:rsidR="00990B14" w:rsidRDefault="00000000">
            <w:pPr>
              <w:spacing w:before="20" w:after="20"/>
              <w:jc w:val="both"/>
            </w:pPr>
            <w:r>
              <w:rPr>
                <w:sz w:val="18"/>
                <w:szCs w:val="18"/>
              </w:rPr>
              <w:t>Omite o confunde la delimitación temática, espacial o temporal.</w:t>
            </w:r>
          </w:p>
        </w:tc>
        <w:tc>
          <w:tcPr>
            <w:tcW w:w="1876" w:type="dxa"/>
            <w:shd w:val="clear" w:color="auto" w:fill="D9E2F3"/>
            <w:vAlign w:val="center"/>
          </w:tcPr>
          <w:p w14:paraId="22F8CAAC" w14:textId="77777777" w:rsidR="00990B14" w:rsidRDefault="00000000">
            <w:pPr>
              <w:spacing w:before="20" w:after="20"/>
              <w:jc w:val="both"/>
            </w:pPr>
            <w:r>
              <w:rPr>
                <w:sz w:val="18"/>
                <w:szCs w:val="18"/>
              </w:rPr>
              <w:t>Delimita el estudio en las dimensiones temática, espacial y temporal.</w:t>
            </w:r>
          </w:p>
        </w:tc>
        <w:tc>
          <w:tcPr>
            <w:tcW w:w="1877" w:type="dxa"/>
            <w:shd w:val="clear" w:color="auto" w:fill="D9E2F3"/>
            <w:vAlign w:val="center"/>
          </w:tcPr>
          <w:p w14:paraId="3D83E819" w14:textId="77777777" w:rsidR="00990B14" w:rsidRDefault="00000000">
            <w:pPr>
              <w:spacing w:before="20" w:after="20"/>
              <w:jc w:val="both"/>
            </w:pPr>
            <w:r>
              <w:rPr>
                <w:sz w:val="18"/>
                <w:szCs w:val="18"/>
              </w:rPr>
              <w:t>Justifica la delimitación y demuestra su correspondencia con el problema y la factibilidad.</w:t>
            </w:r>
          </w:p>
        </w:tc>
      </w:tr>
      <w:tr w:rsidR="00990B14" w14:paraId="6DE196AA" w14:textId="77777777">
        <w:trPr>
          <w:cantSplit/>
          <w:jc w:val="center"/>
        </w:trPr>
        <w:tc>
          <w:tcPr>
            <w:tcW w:w="1490" w:type="dxa"/>
            <w:vMerge/>
            <w:shd w:val="clear" w:color="auto" w:fill="4472C4"/>
            <w:vAlign w:val="center"/>
          </w:tcPr>
          <w:p w14:paraId="2ED9E150" w14:textId="77777777" w:rsidR="00990B14" w:rsidRDefault="00990B14">
            <w:pPr>
              <w:spacing w:before="20" w:after="20"/>
            </w:pPr>
          </w:p>
        </w:tc>
        <w:tc>
          <w:tcPr>
            <w:tcW w:w="6038" w:type="dxa"/>
            <w:gridSpan w:val="3"/>
            <w:shd w:val="clear" w:color="auto" w:fill="D9E2F3"/>
            <w:vAlign w:val="center"/>
          </w:tcPr>
          <w:p w14:paraId="77A57840" w14:textId="77777777" w:rsidR="00990B14" w:rsidRDefault="00000000">
            <w:pPr>
              <w:keepNext/>
              <w:spacing w:before="20" w:after="20"/>
              <w:jc w:val="both"/>
            </w:pPr>
            <w:r>
              <w:rPr>
                <w:b/>
                <w:bCs/>
                <w:i/>
                <w:iCs/>
                <w:sz w:val="18"/>
                <w:szCs w:val="18"/>
              </w:rPr>
              <w:t xml:space="preserve">Producto 11: </w:t>
            </w:r>
            <w:r>
              <w:rPr>
                <w:sz w:val="18"/>
                <w:szCs w:val="18"/>
              </w:rPr>
              <w:t>Documento de construcción y fundamentación del modelo teórico o modelo aplicado, según la modalidad de graduación seleccionada, que establezca la articulación coherente entre las variables de investigación, sus relaciones y el objeto de estudio, sustentado en la revisión de la literatura científica y académica.</w:t>
            </w:r>
          </w:p>
        </w:tc>
        <w:tc>
          <w:tcPr>
            <w:tcW w:w="1877" w:type="dxa"/>
            <w:shd w:val="clear" w:color="auto" w:fill="D9E2F3"/>
            <w:vAlign w:val="center"/>
          </w:tcPr>
          <w:p w14:paraId="22032650" w14:textId="77777777" w:rsidR="00990B14" w:rsidRDefault="00000000">
            <w:pPr>
              <w:spacing w:before="20" w:after="20"/>
              <w:jc w:val="center"/>
            </w:pPr>
            <w:r>
              <w:rPr>
                <w:b/>
                <w:bCs/>
                <w:sz w:val="18"/>
                <w:szCs w:val="18"/>
              </w:rPr>
              <w:t>11%</w:t>
            </w:r>
          </w:p>
        </w:tc>
      </w:tr>
      <w:tr w:rsidR="00990B14" w14:paraId="61E531F7" w14:textId="77777777">
        <w:trPr>
          <w:cantSplit/>
          <w:jc w:val="center"/>
        </w:trPr>
        <w:tc>
          <w:tcPr>
            <w:tcW w:w="1490" w:type="dxa"/>
            <w:vMerge/>
            <w:shd w:val="clear" w:color="auto" w:fill="4472C4"/>
            <w:vAlign w:val="center"/>
          </w:tcPr>
          <w:p w14:paraId="025DDC2A" w14:textId="77777777" w:rsidR="00990B14" w:rsidRDefault="00990B14">
            <w:pPr>
              <w:spacing w:before="20" w:after="20"/>
            </w:pPr>
          </w:p>
        </w:tc>
        <w:tc>
          <w:tcPr>
            <w:tcW w:w="2286" w:type="dxa"/>
            <w:shd w:val="clear" w:color="auto" w:fill="4472C4"/>
            <w:vAlign w:val="center"/>
          </w:tcPr>
          <w:p w14:paraId="65D3FA04"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102B6598"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6BE51F2E"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4FEA12EF" w14:textId="77777777" w:rsidR="00990B14" w:rsidRDefault="00000000">
            <w:pPr>
              <w:keepNext/>
              <w:spacing w:before="20" w:after="20"/>
              <w:jc w:val="center"/>
            </w:pPr>
            <w:r>
              <w:rPr>
                <w:b/>
                <w:bCs/>
                <w:i/>
                <w:iCs/>
                <w:color w:val="FFFFFF"/>
                <w:sz w:val="18"/>
                <w:szCs w:val="18"/>
              </w:rPr>
              <w:t>Destacado (81–100)</w:t>
            </w:r>
          </w:p>
        </w:tc>
      </w:tr>
      <w:tr w:rsidR="00990B14" w14:paraId="7B664749" w14:textId="77777777">
        <w:trPr>
          <w:cantSplit/>
          <w:jc w:val="center"/>
        </w:trPr>
        <w:tc>
          <w:tcPr>
            <w:tcW w:w="1490" w:type="dxa"/>
            <w:vMerge/>
            <w:shd w:val="clear" w:color="auto" w:fill="4472C4"/>
            <w:vAlign w:val="center"/>
          </w:tcPr>
          <w:p w14:paraId="30BAB416" w14:textId="77777777" w:rsidR="00990B14" w:rsidRDefault="00990B14">
            <w:pPr>
              <w:spacing w:before="20" w:after="20"/>
            </w:pPr>
          </w:p>
        </w:tc>
        <w:tc>
          <w:tcPr>
            <w:tcW w:w="2286" w:type="dxa"/>
            <w:shd w:val="clear" w:color="auto" w:fill="D9E2F3"/>
            <w:vAlign w:val="center"/>
          </w:tcPr>
          <w:p w14:paraId="059B844A" w14:textId="77777777" w:rsidR="00990B14" w:rsidRDefault="00000000">
            <w:pPr>
              <w:spacing w:before="20" w:after="20"/>
              <w:jc w:val="both"/>
            </w:pPr>
            <w:r>
              <w:rPr>
                <w:sz w:val="18"/>
                <w:szCs w:val="18"/>
              </w:rPr>
              <w:t>Fundamentación teórica</w:t>
            </w:r>
          </w:p>
        </w:tc>
        <w:tc>
          <w:tcPr>
            <w:tcW w:w="1876" w:type="dxa"/>
            <w:shd w:val="clear" w:color="auto" w:fill="D9E2F3"/>
            <w:vAlign w:val="center"/>
          </w:tcPr>
          <w:p w14:paraId="3A2ECB9F" w14:textId="77777777" w:rsidR="00990B14" w:rsidRDefault="00000000">
            <w:pPr>
              <w:spacing w:before="20" w:after="20"/>
              <w:jc w:val="both"/>
            </w:pPr>
            <w:r>
              <w:rPr>
                <w:sz w:val="18"/>
                <w:szCs w:val="18"/>
              </w:rPr>
              <w:t>Presenta fundamentos teóricos insuficientes o desvinculados del objeto de estudio.</w:t>
            </w:r>
          </w:p>
        </w:tc>
        <w:tc>
          <w:tcPr>
            <w:tcW w:w="1876" w:type="dxa"/>
            <w:shd w:val="clear" w:color="auto" w:fill="D9E2F3"/>
            <w:vAlign w:val="center"/>
          </w:tcPr>
          <w:p w14:paraId="30466A34" w14:textId="77777777" w:rsidR="00990B14" w:rsidRDefault="00000000">
            <w:pPr>
              <w:spacing w:before="20" w:after="20"/>
              <w:jc w:val="both"/>
            </w:pPr>
            <w:r>
              <w:rPr>
                <w:sz w:val="18"/>
                <w:szCs w:val="18"/>
              </w:rPr>
              <w:t>Sustenta el modelo mediante teorías y antecedentes pertinentes al objeto de estudio.</w:t>
            </w:r>
          </w:p>
        </w:tc>
        <w:tc>
          <w:tcPr>
            <w:tcW w:w="1877" w:type="dxa"/>
            <w:shd w:val="clear" w:color="auto" w:fill="D9E2F3"/>
            <w:vAlign w:val="center"/>
          </w:tcPr>
          <w:p w14:paraId="186525C2" w14:textId="77777777" w:rsidR="00990B14" w:rsidRDefault="00000000">
            <w:pPr>
              <w:spacing w:before="20" w:after="20"/>
              <w:jc w:val="both"/>
            </w:pPr>
            <w:r>
              <w:rPr>
                <w:sz w:val="18"/>
                <w:szCs w:val="18"/>
              </w:rPr>
              <w:t>Integra críticamente teorías y antecedentes científicos, proporcionando una fundamentación sólida y coherente del modelo.</w:t>
            </w:r>
          </w:p>
        </w:tc>
      </w:tr>
      <w:tr w:rsidR="00990B14" w14:paraId="11E447C0" w14:textId="77777777">
        <w:trPr>
          <w:cantSplit/>
          <w:jc w:val="center"/>
        </w:trPr>
        <w:tc>
          <w:tcPr>
            <w:tcW w:w="1490" w:type="dxa"/>
            <w:vMerge/>
            <w:shd w:val="clear" w:color="auto" w:fill="4472C4"/>
            <w:vAlign w:val="center"/>
          </w:tcPr>
          <w:p w14:paraId="1DC9A41F" w14:textId="77777777" w:rsidR="00990B14" w:rsidRDefault="00990B14">
            <w:pPr>
              <w:spacing w:before="20" w:after="20"/>
            </w:pPr>
          </w:p>
        </w:tc>
        <w:tc>
          <w:tcPr>
            <w:tcW w:w="2286" w:type="dxa"/>
            <w:shd w:val="clear" w:color="auto" w:fill="D9E2F3"/>
            <w:vAlign w:val="center"/>
          </w:tcPr>
          <w:p w14:paraId="5BAA029D" w14:textId="77777777" w:rsidR="00990B14" w:rsidRDefault="00000000">
            <w:pPr>
              <w:spacing w:before="20" w:after="20"/>
              <w:jc w:val="both"/>
            </w:pPr>
            <w:r>
              <w:rPr>
                <w:sz w:val="18"/>
                <w:szCs w:val="18"/>
              </w:rPr>
              <w:t>Articulación de variables o componentes</w:t>
            </w:r>
          </w:p>
        </w:tc>
        <w:tc>
          <w:tcPr>
            <w:tcW w:w="1876" w:type="dxa"/>
            <w:shd w:val="clear" w:color="auto" w:fill="D9E2F3"/>
            <w:vAlign w:val="center"/>
          </w:tcPr>
          <w:p w14:paraId="24333A92" w14:textId="77777777" w:rsidR="00990B14" w:rsidRDefault="00000000">
            <w:pPr>
              <w:spacing w:before="20" w:after="20"/>
              <w:jc w:val="both"/>
            </w:pPr>
            <w:r>
              <w:rPr>
                <w:sz w:val="18"/>
                <w:szCs w:val="18"/>
              </w:rPr>
              <w:t>No identifica adecuadamente las variables o componentes ni sus relaciones con el objeto de estudio.</w:t>
            </w:r>
          </w:p>
        </w:tc>
        <w:tc>
          <w:tcPr>
            <w:tcW w:w="1876" w:type="dxa"/>
            <w:shd w:val="clear" w:color="auto" w:fill="D9E2F3"/>
            <w:vAlign w:val="center"/>
          </w:tcPr>
          <w:p w14:paraId="5C5ABE57" w14:textId="77777777" w:rsidR="00990B14" w:rsidRDefault="00000000">
            <w:pPr>
              <w:spacing w:before="20" w:after="20"/>
              <w:jc w:val="both"/>
            </w:pPr>
            <w:r>
              <w:rPr>
                <w:sz w:val="18"/>
                <w:szCs w:val="18"/>
              </w:rPr>
              <w:t>Identifica las variables o componentes y establece sus relaciones fundamentales con el objeto de estudio.</w:t>
            </w:r>
          </w:p>
        </w:tc>
        <w:tc>
          <w:tcPr>
            <w:tcW w:w="1877" w:type="dxa"/>
            <w:shd w:val="clear" w:color="auto" w:fill="D9E2F3"/>
            <w:vAlign w:val="center"/>
          </w:tcPr>
          <w:p w14:paraId="2044FE80" w14:textId="77777777" w:rsidR="00990B14" w:rsidRDefault="00000000">
            <w:pPr>
              <w:spacing w:before="20" w:after="20"/>
              <w:jc w:val="both"/>
            </w:pPr>
            <w:r>
              <w:rPr>
                <w:sz w:val="18"/>
                <w:szCs w:val="18"/>
              </w:rPr>
              <w:t>Fundamenta rigurosamente las relaciones entre variables o componentes, demostrando consistencia teórica y correspondencia con el objeto de estudio.</w:t>
            </w:r>
          </w:p>
        </w:tc>
      </w:tr>
      <w:tr w:rsidR="00990B14" w14:paraId="2622A16E" w14:textId="77777777">
        <w:trPr>
          <w:cantSplit/>
          <w:jc w:val="center"/>
        </w:trPr>
        <w:tc>
          <w:tcPr>
            <w:tcW w:w="1490" w:type="dxa"/>
            <w:vMerge/>
            <w:shd w:val="clear" w:color="auto" w:fill="4472C4"/>
            <w:vAlign w:val="center"/>
          </w:tcPr>
          <w:p w14:paraId="7DA13CA8" w14:textId="77777777" w:rsidR="00990B14" w:rsidRDefault="00990B14">
            <w:pPr>
              <w:spacing w:before="20" w:after="20"/>
            </w:pPr>
          </w:p>
        </w:tc>
        <w:tc>
          <w:tcPr>
            <w:tcW w:w="2286" w:type="dxa"/>
            <w:shd w:val="clear" w:color="auto" w:fill="D9E2F3"/>
            <w:vAlign w:val="center"/>
          </w:tcPr>
          <w:p w14:paraId="2DA0E3CE" w14:textId="77777777" w:rsidR="00990B14" w:rsidRDefault="00000000">
            <w:pPr>
              <w:spacing w:before="20" w:after="20"/>
              <w:jc w:val="both"/>
            </w:pPr>
            <w:r>
              <w:rPr>
                <w:sz w:val="18"/>
                <w:szCs w:val="18"/>
              </w:rPr>
              <w:t>Construcción del modelo</w:t>
            </w:r>
          </w:p>
        </w:tc>
        <w:tc>
          <w:tcPr>
            <w:tcW w:w="1876" w:type="dxa"/>
            <w:shd w:val="clear" w:color="auto" w:fill="D9E2F3"/>
            <w:vAlign w:val="center"/>
          </w:tcPr>
          <w:p w14:paraId="10502989" w14:textId="77777777" w:rsidR="00990B14" w:rsidRDefault="00000000">
            <w:pPr>
              <w:spacing w:before="20" w:after="20"/>
              <w:jc w:val="both"/>
            </w:pPr>
            <w:r>
              <w:rPr>
                <w:sz w:val="18"/>
                <w:szCs w:val="18"/>
              </w:rPr>
              <w:t>Presenta un modelo incompleto o carente de coherencia con el objeto de estudio.</w:t>
            </w:r>
          </w:p>
        </w:tc>
        <w:tc>
          <w:tcPr>
            <w:tcW w:w="1876" w:type="dxa"/>
            <w:shd w:val="clear" w:color="auto" w:fill="D9E2F3"/>
            <w:vAlign w:val="center"/>
          </w:tcPr>
          <w:p w14:paraId="6E561C1F" w14:textId="77777777" w:rsidR="00990B14" w:rsidRDefault="00000000">
            <w:pPr>
              <w:spacing w:before="20" w:after="20"/>
              <w:jc w:val="both"/>
            </w:pPr>
            <w:r>
              <w:rPr>
                <w:sz w:val="18"/>
                <w:szCs w:val="18"/>
              </w:rPr>
              <w:t>Estructura un modelo teórico o aplicado coherente con las variables o componentes y el objeto de estudio.</w:t>
            </w:r>
          </w:p>
        </w:tc>
        <w:tc>
          <w:tcPr>
            <w:tcW w:w="1877" w:type="dxa"/>
            <w:shd w:val="clear" w:color="auto" w:fill="D9E2F3"/>
            <w:vAlign w:val="center"/>
          </w:tcPr>
          <w:p w14:paraId="7881C9AB" w14:textId="77777777" w:rsidR="00990B14" w:rsidRDefault="00000000">
            <w:pPr>
              <w:spacing w:before="20" w:after="20"/>
              <w:jc w:val="both"/>
            </w:pPr>
            <w:r>
              <w:rPr>
                <w:sz w:val="18"/>
                <w:szCs w:val="18"/>
              </w:rPr>
              <w:t>Construye y fundamenta un modelo integral, articulando sistemáticamente sus componentes y relaciones con el objeto de estudio.</w:t>
            </w:r>
          </w:p>
        </w:tc>
      </w:tr>
      <w:tr w:rsidR="00990B14" w14:paraId="79A23D8C" w14:textId="77777777">
        <w:trPr>
          <w:cantSplit/>
          <w:jc w:val="center"/>
        </w:trPr>
        <w:tc>
          <w:tcPr>
            <w:tcW w:w="1490" w:type="dxa"/>
            <w:vMerge/>
            <w:shd w:val="clear" w:color="auto" w:fill="4472C4"/>
            <w:vAlign w:val="center"/>
          </w:tcPr>
          <w:p w14:paraId="1997B9A0" w14:textId="77777777" w:rsidR="00990B14" w:rsidRDefault="00990B14">
            <w:pPr>
              <w:spacing w:before="20" w:after="20"/>
            </w:pPr>
          </w:p>
        </w:tc>
        <w:tc>
          <w:tcPr>
            <w:tcW w:w="6038" w:type="dxa"/>
            <w:gridSpan w:val="3"/>
            <w:shd w:val="clear" w:color="auto" w:fill="D9E2F3"/>
            <w:vAlign w:val="center"/>
          </w:tcPr>
          <w:p w14:paraId="6CB8FF98" w14:textId="77777777" w:rsidR="00990B14" w:rsidRDefault="00000000">
            <w:pPr>
              <w:keepNext/>
              <w:spacing w:before="20" w:after="20"/>
              <w:jc w:val="both"/>
            </w:pPr>
            <w:r>
              <w:rPr>
                <w:b/>
                <w:bCs/>
                <w:i/>
                <w:iCs/>
                <w:sz w:val="18"/>
                <w:szCs w:val="18"/>
              </w:rPr>
              <w:t xml:space="preserve">Producto 12: </w:t>
            </w:r>
            <w:r>
              <w:rPr>
                <w:sz w:val="18"/>
                <w:szCs w:val="18"/>
              </w:rPr>
              <w:t>Documento final del Perfil de Tesis de Grado o del Perfil de Proyecto de Grado, con componentes teóricos y metodológicos y observancia de la normativa institucional.</w:t>
            </w:r>
          </w:p>
        </w:tc>
        <w:tc>
          <w:tcPr>
            <w:tcW w:w="1877" w:type="dxa"/>
            <w:shd w:val="clear" w:color="auto" w:fill="D9E2F3"/>
            <w:vAlign w:val="center"/>
          </w:tcPr>
          <w:p w14:paraId="10326D92" w14:textId="77777777" w:rsidR="00990B14" w:rsidRDefault="00000000">
            <w:pPr>
              <w:spacing w:before="20" w:after="20"/>
              <w:jc w:val="center"/>
            </w:pPr>
            <w:r>
              <w:rPr>
                <w:b/>
                <w:bCs/>
                <w:sz w:val="18"/>
                <w:szCs w:val="18"/>
              </w:rPr>
              <w:t>11%</w:t>
            </w:r>
          </w:p>
        </w:tc>
      </w:tr>
      <w:tr w:rsidR="00990B14" w14:paraId="0A915B32" w14:textId="77777777">
        <w:trPr>
          <w:cantSplit/>
          <w:jc w:val="center"/>
        </w:trPr>
        <w:tc>
          <w:tcPr>
            <w:tcW w:w="1490" w:type="dxa"/>
            <w:vMerge/>
            <w:shd w:val="clear" w:color="auto" w:fill="4472C4"/>
            <w:vAlign w:val="center"/>
          </w:tcPr>
          <w:p w14:paraId="602016F3" w14:textId="77777777" w:rsidR="00990B14" w:rsidRDefault="00990B14">
            <w:pPr>
              <w:spacing w:before="20" w:after="20"/>
            </w:pPr>
          </w:p>
        </w:tc>
        <w:tc>
          <w:tcPr>
            <w:tcW w:w="2286" w:type="dxa"/>
            <w:shd w:val="clear" w:color="auto" w:fill="4472C4"/>
            <w:vAlign w:val="center"/>
          </w:tcPr>
          <w:p w14:paraId="4A1D421E"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5F7E4A92"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0AFF9C6F"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0B20F631" w14:textId="77777777" w:rsidR="00990B14" w:rsidRDefault="00000000">
            <w:pPr>
              <w:keepNext/>
              <w:spacing w:before="20" w:after="20"/>
              <w:jc w:val="center"/>
            </w:pPr>
            <w:r>
              <w:rPr>
                <w:b/>
                <w:bCs/>
                <w:i/>
                <w:iCs/>
                <w:color w:val="FFFFFF"/>
                <w:sz w:val="18"/>
                <w:szCs w:val="18"/>
              </w:rPr>
              <w:t>Destacado (81–100)</w:t>
            </w:r>
          </w:p>
        </w:tc>
      </w:tr>
      <w:tr w:rsidR="00990B14" w14:paraId="3C35E324" w14:textId="77777777">
        <w:trPr>
          <w:cantSplit/>
          <w:jc w:val="center"/>
        </w:trPr>
        <w:tc>
          <w:tcPr>
            <w:tcW w:w="1490" w:type="dxa"/>
            <w:vMerge/>
            <w:shd w:val="clear" w:color="auto" w:fill="4472C4"/>
            <w:vAlign w:val="center"/>
          </w:tcPr>
          <w:p w14:paraId="056432C8" w14:textId="77777777" w:rsidR="00990B14" w:rsidRDefault="00990B14">
            <w:pPr>
              <w:spacing w:before="20" w:after="20"/>
            </w:pPr>
          </w:p>
        </w:tc>
        <w:tc>
          <w:tcPr>
            <w:tcW w:w="2286" w:type="dxa"/>
            <w:shd w:val="clear" w:color="auto" w:fill="D9E2F3"/>
            <w:vAlign w:val="center"/>
          </w:tcPr>
          <w:p w14:paraId="6FFCDD2C" w14:textId="77777777" w:rsidR="00990B14" w:rsidRDefault="00000000">
            <w:pPr>
              <w:spacing w:before="20" w:after="20"/>
              <w:jc w:val="both"/>
            </w:pPr>
            <w:r>
              <w:rPr>
                <w:sz w:val="18"/>
                <w:szCs w:val="18"/>
              </w:rPr>
              <w:t>Integridad estructural</w:t>
            </w:r>
          </w:p>
        </w:tc>
        <w:tc>
          <w:tcPr>
            <w:tcW w:w="1876" w:type="dxa"/>
            <w:shd w:val="clear" w:color="auto" w:fill="D9E2F3"/>
            <w:vAlign w:val="center"/>
          </w:tcPr>
          <w:p w14:paraId="52BDDBDE" w14:textId="77777777" w:rsidR="00990B14" w:rsidRDefault="00000000">
            <w:pPr>
              <w:spacing w:before="20" w:after="20"/>
              <w:jc w:val="both"/>
            </w:pPr>
            <w:r>
              <w:rPr>
                <w:sz w:val="18"/>
                <w:szCs w:val="18"/>
              </w:rPr>
              <w:t>Omite componentes esenciales del perfil conforme a la modalidad.</w:t>
            </w:r>
          </w:p>
        </w:tc>
        <w:tc>
          <w:tcPr>
            <w:tcW w:w="1876" w:type="dxa"/>
            <w:shd w:val="clear" w:color="auto" w:fill="D9E2F3"/>
            <w:vAlign w:val="center"/>
          </w:tcPr>
          <w:p w14:paraId="58A8A94A" w14:textId="77777777" w:rsidR="00990B14" w:rsidRDefault="00000000">
            <w:pPr>
              <w:spacing w:before="20" w:after="20"/>
              <w:jc w:val="both"/>
            </w:pPr>
            <w:r>
              <w:rPr>
                <w:sz w:val="18"/>
                <w:szCs w:val="18"/>
              </w:rPr>
              <w:t>Incluye los componentes exigibles del perfil según la modalidad elegida.</w:t>
            </w:r>
          </w:p>
        </w:tc>
        <w:tc>
          <w:tcPr>
            <w:tcW w:w="1877" w:type="dxa"/>
            <w:shd w:val="clear" w:color="auto" w:fill="D9E2F3"/>
            <w:vAlign w:val="center"/>
          </w:tcPr>
          <w:p w14:paraId="59736D53" w14:textId="77777777" w:rsidR="00990B14" w:rsidRDefault="00000000">
            <w:pPr>
              <w:spacing w:before="20" w:after="20"/>
              <w:jc w:val="both"/>
            </w:pPr>
            <w:r>
              <w:rPr>
                <w:sz w:val="18"/>
                <w:szCs w:val="18"/>
              </w:rPr>
              <w:t>Integra todos los componentes con orden, precisión y desarrollo proporcional.</w:t>
            </w:r>
          </w:p>
        </w:tc>
      </w:tr>
      <w:tr w:rsidR="00990B14" w14:paraId="24F06390" w14:textId="77777777">
        <w:trPr>
          <w:cantSplit/>
          <w:jc w:val="center"/>
        </w:trPr>
        <w:tc>
          <w:tcPr>
            <w:tcW w:w="1490" w:type="dxa"/>
            <w:vMerge/>
            <w:shd w:val="clear" w:color="auto" w:fill="4472C4"/>
            <w:vAlign w:val="center"/>
          </w:tcPr>
          <w:p w14:paraId="7A57BBAF" w14:textId="77777777" w:rsidR="00990B14" w:rsidRDefault="00990B14">
            <w:pPr>
              <w:spacing w:before="20" w:after="20"/>
            </w:pPr>
          </w:p>
        </w:tc>
        <w:tc>
          <w:tcPr>
            <w:tcW w:w="2286" w:type="dxa"/>
            <w:shd w:val="clear" w:color="auto" w:fill="D9E2F3"/>
            <w:vAlign w:val="center"/>
          </w:tcPr>
          <w:p w14:paraId="12C82017" w14:textId="77777777" w:rsidR="00990B14" w:rsidRDefault="00000000">
            <w:pPr>
              <w:spacing w:before="20" w:after="20"/>
              <w:jc w:val="both"/>
            </w:pPr>
            <w:r>
              <w:rPr>
                <w:sz w:val="18"/>
                <w:szCs w:val="18"/>
              </w:rPr>
              <w:t>Coherencia teórico-metodológica</w:t>
            </w:r>
          </w:p>
        </w:tc>
        <w:tc>
          <w:tcPr>
            <w:tcW w:w="1876" w:type="dxa"/>
            <w:shd w:val="clear" w:color="auto" w:fill="D9E2F3"/>
            <w:vAlign w:val="center"/>
          </w:tcPr>
          <w:p w14:paraId="2283BB0B" w14:textId="77777777" w:rsidR="00990B14" w:rsidRDefault="00000000">
            <w:pPr>
              <w:spacing w:before="20" w:after="20"/>
              <w:jc w:val="both"/>
            </w:pPr>
            <w:r>
              <w:rPr>
                <w:sz w:val="18"/>
                <w:szCs w:val="18"/>
              </w:rPr>
              <w:t>Existen contradicciones entre problema, objetivos, fundamentos y metodología.</w:t>
            </w:r>
          </w:p>
        </w:tc>
        <w:tc>
          <w:tcPr>
            <w:tcW w:w="1876" w:type="dxa"/>
            <w:shd w:val="clear" w:color="auto" w:fill="D9E2F3"/>
            <w:vAlign w:val="center"/>
          </w:tcPr>
          <w:p w14:paraId="32AB60AD" w14:textId="77777777" w:rsidR="00990B14" w:rsidRDefault="00000000">
            <w:pPr>
              <w:spacing w:before="20" w:after="20"/>
              <w:jc w:val="both"/>
            </w:pPr>
            <w:r>
              <w:rPr>
                <w:sz w:val="18"/>
                <w:szCs w:val="18"/>
              </w:rPr>
              <w:t>Mantiene correspondencia entre los componentes teóricos y metodológicos.</w:t>
            </w:r>
          </w:p>
        </w:tc>
        <w:tc>
          <w:tcPr>
            <w:tcW w:w="1877" w:type="dxa"/>
            <w:shd w:val="clear" w:color="auto" w:fill="D9E2F3"/>
            <w:vAlign w:val="center"/>
          </w:tcPr>
          <w:p w14:paraId="73A891DB" w14:textId="77777777" w:rsidR="00990B14" w:rsidRDefault="00000000">
            <w:pPr>
              <w:spacing w:before="20" w:after="20"/>
              <w:jc w:val="both"/>
            </w:pPr>
            <w:r>
              <w:rPr>
                <w:sz w:val="18"/>
                <w:szCs w:val="18"/>
              </w:rPr>
              <w:t>Demuestra sólida articulación del modelo, problema, objetivos y estrategia metodológica propuesta.</w:t>
            </w:r>
          </w:p>
        </w:tc>
      </w:tr>
      <w:tr w:rsidR="00990B14" w14:paraId="67306138" w14:textId="77777777">
        <w:trPr>
          <w:cantSplit/>
          <w:jc w:val="center"/>
        </w:trPr>
        <w:tc>
          <w:tcPr>
            <w:tcW w:w="1490" w:type="dxa"/>
            <w:vMerge/>
            <w:shd w:val="clear" w:color="auto" w:fill="4472C4"/>
            <w:vAlign w:val="center"/>
          </w:tcPr>
          <w:p w14:paraId="35285F75" w14:textId="77777777" w:rsidR="00990B14" w:rsidRDefault="00990B14">
            <w:pPr>
              <w:spacing w:before="20" w:after="20"/>
            </w:pPr>
          </w:p>
        </w:tc>
        <w:tc>
          <w:tcPr>
            <w:tcW w:w="2286" w:type="dxa"/>
            <w:shd w:val="clear" w:color="auto" w:fill="D9E2F3"/>
            <w:vAlign w:val="center"/>
          </w:tcPr>
          <w:p w14:paraId="68E2E4AB" w14:textId="77777777" w:rsidR="00990B14" w:rsidRDefault="00000000">
            <w:pPr>
              <w:spacing w:before="20" w:after="20"/>
              <w:jc w:val="both"/>
            </w:pPr>
            <w:r>
              <w:rPr>
                <w:sz w:val="18"/>
                <w:szCs w:val="18"/>
              </w:rPr>
              <w:t>Rigor y normativa</w:t>
            </w:r>
          </w:p>
        </w:tc>
        <w:tc>
          <w:tcPr>
            <w:tcW w:w="1876" w:type="dxa"/>
            <w:shd w:val="clear" w:color="auto" w:fill="D9E2F3"/>
            <w:vAlign w:val="center"/>
          </w:tcPr>
          <w:p w14:paraId="636B53CD" w14:textId="77777777" w:rsidR="00990B14" w:rsidRDefault="00000000">
            <w:pPr>
              <w:spacing w:before="20" w:after="20"/>
              <w:jc w:val="both"/>
            </w:pPr>
            <w:r>
              <w:rPr>
                <w:sz w:val="18"/>
                <w:szCs w:val="18"/>
              </w:rPr>
              <w:t>Presenta fuentes insuficientes o incumple pautas académicas relevantes.</w:t>
            </w:r>
          </w:p>
        </w:tc>
        <w:tc>
          <w:tcPr>
            <w:tcW w:w="1876" w:type="dxa"/>
            <w:shd w:val="clear" w:color="auto" w:fill="D9E2F3"/>
            <w:vAlign w:val="center"/>
          </w:tcPr>
          <w:p w14:paraId="277ADDF4" w14:textId="77777777" w:rsidR="00990B14" w:rsidRDefault="00000000">
            <w:pPr>
              <w:spacing w:before="20" w:after="20"/>
              <w:jc w:val="both"/>
            </w:pPr>
            <w:r>
              <w:rPr>
                <w:sz w:val="18"/>
                <w:szCs w:val="18"/>
              </w:rPr>
              <w:t>Aplica adecuadamente criterios de fundamentación, citación y formato institucional.</w:t>
            </w:r>
          </w:p>
        </w:tc>
        <w:tc>
          <w:tcPr>
            <w:tcW w:w="1877" w:type="dxa"/>
            <w:shd w:val="clear" w:color="auto" w:fill="D9E2F3"/>
            <w:vAlign w:val="center"/>
          </w:tcPr>
          <w:p w14:paraId="2FA1A47F" w14:textId="77777777" w:rsidR="00990B14" w:rsidRDefault="00000000">
            <w:pPr>
              <w:spacing w:before="20" w:after="20"/>
              <w:jc w:val="both"/>
            </w:pPr>
            <w:r>
              <w:rPr>
                <w:sz w:val="18"/>
                <w:szCs w:val="18"/>
              </w:rPr>
              <w:t>Presenta fundamentación rigurosa, redacción académica y cumplimiento cuidado de la normativa.</w:t>
            </w:r>
          </w:p>
        </w:tc>
      </w:tr>
      <w:tr w:rsidR="00990B14" w14:paraId="5E932C96" w14:textId="77777777">
        <w:trPr>
          <w:cantSplit/>
          <w:jc w:val="center"/>
        </w:trPr>
        <w:tc>
          <w:tcPr>
            <w:tcW w:w="1490" w:type="dxa"/>
            <w:vMerge/>
            <w:shd w:val="clear" w:color="auto" w:fill="4472C4"/>
            <w:vAlign w:val="center"/>
          </w:tcPr>
          <w:p w14:paraId="460E8D51" w14:textId="77777777" w:rsidR="00990B14" w:rsidRDefault="00990B14">
            <w:pPr>
              <w:spacing w:before="20" w:after="20"/>
            </w:pPr>
          </w:p>
        </w:tc>
        <w:tc>
          <w:tcPr>
            <w:tcW w:w="6038" w:type="dxa"/>
            <w:gridSpan w:val="3"/>
            <w:shd w:val="clear" w:color="auto" w:fill="D9E2F3"/>
            <w:vAlign w:val="center"/>
          </w:tcPr>
          <w:p w14:paraId="37502C73" w14:textId="77777777" w:rsidR="00990B14" w:rsidRDefault="00000000">
            <w:pPr>
              <w:keepNext/>
              <w:spacing w:before="20" w:after="20"/>
              <w:jc w:val="both"/>
            </w:pPr>
            <w:r>
              <w:rPr>
                <w:b/>
                <w:bCs/>
                <w:i/>
                <w:iCs/>
                <w:sz w:val="18"/>
                <w:szCs w:val="18"/>
              </w:rPr>
              <w:t xml:space="preserve">Producto 13: </w:t>
            </w:r>
            <w:r>
              <w:rPr>
                <w:sz w:val="18"/>
                <w:szCs w:val="18"/>
              </w:rPr>
              <w:t>Presentación académica del Perfil de Tesis de Grado o del Perfil de Proyecto de Grado, que contemple de manera clara, ordenada y sistemática sus componentes teóricos y metodológicos, para su valoración académica.</w:t>
            </w:r>
          </w:p>
        </w:tc>
        <w:tc>
          <w:tcPr>
            <w:tcW w:w="1877" w:type="dxa"/>
            <w:shd w:val="clear" w:color="auto" w:fill="D9E2F3"/>
            <w:vAlign w:val="center"/>
          </w:tcPr>
          <w:p w14:paraId="19C61152" w14:textId="77777777" w:rsidR="00990B14" w:rsidRDefault="00000000">
            <w:pPr>
              <w:spacing w:before="20" w:after="20"/>
              <w:jc w:val="center"/>
            </w:pPr>
            <w:r>
              <w:rPr>
                <w:b/>
                <w:bCs/>
                <w:sz w:val="18"/>
                <w:szCs w:val="18"/>
              </w:rPr>
              <w:t>5%</w:t>
            </w:r>
          </w:p>
        </w:tc>
      </w:tr>
      <w:tr w:rsidR="00990B14" w14:paraId="75A71790" w14:textId="77777777">
        <w:trPr>
          <w:cantSplit/>
          <w:jc w:val="center"/>
        </w:trPr>
        <w:tc>
          <w:tcPr>
            <w:tcW w:w="1490" w:type="dxa"/>
            <w:vMerge/>
            <w:shd w:val="clear" w:color="auto" w:fill="4472C4"/>
            <w:vAlign w:val="center"/>
          </w:tcPr>
          <w:p w14:paraId="4F22605E" w14:textId="77777777" w:rsidR="00990B14" w:rsidRDefault="00990B14">
            <w:pPr>
              <w:spacing w:before="20" w:after="20"/>
            </w:pPr>
          </w:p>
        </w:tc>
        <w:tc>
          <w:tcPr>
            <w:tcW w:w="2286" w:type="dxa"/>
            <w:shd w:val="clear" w:color="auto" w:fill="4472C4"/>
            <w:vAlign w:val="center"/>
          </w:tcPr>
          <w:p w14:paraId="74D7C2DF"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145BE538"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247540BB"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4140FFEE" w14:textId="77777777" w:rsidR="00990B14" w:rsidRDefault="00000000">
            <w:pPr>
              <w:keepNext/>
              <w:spacing w:before="20" w:after="20"/>
              <w:jc w:val="center"/>
            </w:pPr>
            <w:r>
              <w:rPr>
                <w:b/>
                <w:bCs/>
                <w:i/>
                <w:iCs/>
                <w:color w:val="FFFFFF"/>
                <w:sz w:val="18"/>
                <w:szCs w:val="18"/>
              </w:rPr>
              <w:t>Destacado (81–100)</w:t>
            </w:r>
          </w:p>
        </w:tc>
      </w:tr>
      <w:tr w:rsidR="00990B14" w14:paraId="259CA21D" w14:textId="77777777">
        <w:trPr>
          <w:cantSplit/>
          <w:jc w:val="center"/>
        </w:trPr>
        <w:tc>
          <w:tcPr>
            <w:tcW w:w="1490" w:type="dxa"/>
            <w:vMerge/>
            <w:shd w:val="clear" w:color="auto" w:fill="4472C4"/>
            <w:vAlign w:val="center"/>
          </w:tcPr>
          <w:p w14:paraId="263FE1CE" w14:textId="77777777" w:rsidR="00990B14" w:rsidRDefault="00990B14">
            <w:pPr>
              <w:spacing w:before="20" w:after="20"/>
            </w:pPr>
          </w:p>
        </w:tc>
        <w:tc>
          <w:tcPr>
            <w:tcW w:w="2286" w:type="dxa"/>
            <w:shd w:val="clear" w:color="auto" w:fill="D9E2F3"/>
            <w:vAlign w:val="center"/>
          </w:tcPr>
          <w:p w14:paraId="7BC6644A" w14:textId="77777777" w:rsidR="00990B14" w:rsidRDefault="00000000">
            <w:pPr>
              <w:spacing w:before="20" w:after="20"/>
              <w:jc w:val="both"/>
            </w:pPr>
            <w:r>
              <w:rPr>
                <w:sz w:val="18"/>
                <w:szCs w:val="18"/>
              </w:rPr>
              <w:t>Selección de contenidos</w:t>
            </w:r>
          </w:p>
        </w:tc>
        <w:tc>
          <w:tcPr>
            <w:tcW w:w="1876" w:type="dxa"/>
            <w:shd w:val="clear" w:color="auto" w:fill="D9E2F3"/>
            <w:vAlign w:val="center"/>
          </w:tcPr>
          <w:p w14:paraId="05025D87" w14:textId="77777777" w:rsidR="00990B14" w:rsidRDefault="00000000">
            <w:pPr>
              <w:spacing w:before="20" w:after="20"/>
              <w:jc w:val="both"/>
            </w:pPr>
            <w:r>
              <w:rPr>
                <w:sz w:val="18"/>
                <w:szCs w:val="18"/>
              </w:rPr>
              <w:t>Omite información esencial o incorpora contenido ajeno al perfil.</w:t>
            </w:r>
          </w:p>
        </w:tc>
        <w:tc>
          <w:tcPr>
            <w:tcW w:w="1876" w:type="dxa"/>
            <w:shd w:val="clear" w:color="auto" w:fill="D9E2F3"/>
            <w:vAlign w:val="center"/>
          </w:tcPr>
          <w:p w14:paraId="46CAB439" w14:textId="77777777" w:rsidR="00990B14" w:rsidRDefault="00000000">
            <w:pPr>
              <w:spacing w:before="20" w:after="20"/>
              <w:jc w:val="both"/>
            </w:pPr>
            <w:r>
              <w:rPr>
                <w:sz w:val="18"/>
                <w:szCs w:val="18"/>
              </w:rPr>
              <w:t>Sintetiza los componentes principales del perfil de manera pertinente.</w:t>
            </w:r>
          </w:p>
        </w:tc>
        <w:tc>
          <w:tcPr>
            <w:tcW w:w="1877" w:type="dxa"/>
            <w:shd w:val="clear" w:color="auto" w:fill="D9E2F3"/>
            <w:vAlign w:val="center"/>
          </w:tcPr>
          <w:p w14:paraId="6970C0AD" w14:textId="77777777" w:rsidR="00990B14" w:rsidRDefault="00000000">
            <w:pPr>
              <w:spacing w:before="20" w:after="20"/>
              <w:jc w:val="both"/>
            </w:pPr>
            <w:r>
              <w:rPr>
                <w:sz w:val="18"/>
                <w:szCs w:val="18"/>
              </w:rPr>
              <w:t>Jerarquiza los contenidos y destaca las relaciones metodológicas esenciales.</w:t>
            </w:r>
          </w:p>
        </w:tc>
      </w:tr>
      <w:tr w:rsidR="00990B14" w14:paraId="3A186056" w14:textId="77777777">
        <w:trPr>
          <w:cantSplit/>
          <w:jc w:val="center"/>
        </w:trPr>
        <w:tc>
          <w:tcPr>
            <w:tcW w:w="1490" w:type="dxa"/>
            <w:vMerge/>
            <w:shd w:val="clear" w:color="auto" w:fill="4472C4"/>
            <w:vAlign w:val="center"/>
          </w:tcPr>
          <w:p w14:paraId="0503F048" w14:textId="77777777" w:rsidR="00990B14" w:rsidRDefault="00990B14">
            <w:pPr>
              <w:spacing w:before="20" w:after="20"/>
            </w:pPr>
          </w:p>
        </w:tc>
        <w:tc>
          <w:tcPr>
            <w:tcW w:w="2286" w:type="dxa"/>
            <w:shd w:val="clear" w:color="auto" w:fill="D9E2F3"/>
            <w:vAlign w:val="center"/>
          </w:tcPr>
          <w:p w14:paraId="0325A10C" w14:textId="77777777" w:rsidR="00990B14" w:rsidRDefault="00000000">
            <w:pPr>
              <w:spacing w:before="20" w:after="20"/>
              <w:jc w:val="both"/>
            </w:pPr>
            <w:r>
              <w:rPr>
                <w:sz w:val="18"/>
                <w:szCs w:val="18"/>
              </w:rPr>
              <w:t>Presentación</w:t>
            </w:r>
          </w:p>
        </w:tc>
        <w:tc>
          <w:tcPr>
            <w:tcW w:w="1876" w:type="dxa"/>
            <w:shd w:val="clear" w:color="auto" w:fill="D9E2F3"/>
            <w:vAlign w:val="center"/>
          </w:tcPr>
          <w:p w14:paraId="55A00740" w14:textId="77777777" w:rsidR="00990B14" w:rsidRDefault="00000000">
            <w:pPr>
              <w:spacing w:before="20" w:after="20"/>
              <w:jc w:val="both"/>
            </w:pPr>
            <w:r>
              <w:rPr>
                <w:sz w:val="18"/>
                <w:szCs w:val="18"/>
              </w:rPr>
              <w:t>El contenido carece de secuencia lógica.</w:t>
            </w:r>
          </w:p>
        </w:tc>
        <w:tc>
          <w:tcPr>
            <w:tcW w:w="1876" w:type="dxa"/>
            <w:shd w:val="clear" w:color="auto" w:fill="D9E2F3"/>
            <w:vAlign w:val="center"/>
          </w:tcPr>
          <w:p w14:paraId="7742FD70" w14:textId="77777777" w:rsidR="00990B14" w:rsidRDefault="00000000">
            <w:pPr>
              <w:spacing w:before="20" w:after="20"/>
              <w:jc w:val="both"/>
            </w:pPr>
            <w:r>
              <w:rPr>
                <w:sz w:val="18"/>
                <w:szCs w:val="18"/>
              </w:rPr>
              <w:t>Presenta los contenidos en orden comprensible.</w:t>
            </w:r>
          </w:p>
        </w:tc>
        <w:tc>
          <w:tcPr>
            <w:tcW w:w="1877" w:type="dxa"/>
            <w:shd w:val="clear" w:color="auto" w:fill="D9E2F3"/>
            <w:vAlign w:val="center"/>
          </w:tcPr>
          <w:p w14:paraId="6001A4B3" w14:textId="77777777" w:rsidR="00990B14" w:rsidRDefault="00000000">
            <w:pPr>
              <w:spacing w:before="20" w:after="20"/>
              <w:jc w:val="both"/>
            </w:pPr>
            <w:r>
              <w:rPr>
                <w:sz w:val="18"/>
                <w:szCs w:val="18"/>
              </w:rPr>
              <w:t>Construye una secuencia convincente y articulada.</w:t>
            </w:r>
          </w:p>
        </w:tc>
      </w:tr>
      <w:tr w:rsidR="00990B14" w14:paraId="19B97719" w14:textId="77777777">
        <w:trPr>
          <w:cantSplit/>
          <w:jc w:val="center"/>
        </w:trPr>
        <w:tc>
          <w:tcPr>
            <w:tcW w:w="1490" w:type="dxa"/>
            <w:vMerge/>
            <w:shd w:val="clear" w:color="auto" w:fill="4472C4"/>
            <w:vAlign w:val="center"/>
          </w:tcPr>
          <w:p w14:paraId="5434A001" w14:textId="77777777" w:rsidR="00990B14" w:rsidRDefault="00990B14">
            <w:pPr>
              <w:spacing w:before="20" w:after="20"/>
            </w:pPr>
          </w:p>
        </w:tc>
        <w:tc>
          <w:tcPr>
            <w:tcW w:w="2286" w:type="dxa"/>
            <w:shd w:val="clear" w:color="auto" w:fill="D9E2F3"/>
            <w:vAlign w:val="center"/>
          </w:tcPr>
          <w:p w14:paraId="01EB1B43" w14:textId="77777777" w:rsidR="00990B14" w:rsidRDefault="00000000">
            <w:pPr>
              <w:spacing w:before="20" w:after="20"/>
              <w:jc w:val="both"/>
            </w:pPr>
            <w:r>
              <w:rPr>
                <w:sz w:val="18"/>
                <w:szCs w:val="18"/>
              </w:rPr>
              <w:t>Claridad</w:t>
            </w:r>
          </w:p>
        </w:tc>
        <w:tc>
          <w:tcPr>
            <w:tcW w:w="1876" w:type="dxa"/>
            <w:shd w:val="clear" w:color="auto" w:fill="D9E2F3"/>
            <w:vAlign w:val="center"/>
          </w:tcPr>
          <w:p w14:paraId="33818519" w14:textId="77777777" w:rsidR="00990B14" w:rsidRDefault="00000000">
            <w:pPr>
              <w:spacing w:before="20" w:after="20"/>
              <w:jc w:val="both"/>
            </w:pPr>
            <w:r>
              <w:rPr>
                <w:sz w:val="18"/>
                <w:szCs w:val="18"/>
              </w:rPr>
              <w:t>El contenido del documento es ilegible o inconsistente.</w:t>
            </w:r>
          </w:p>
        </w:tc>
        <w:tc>
          <w:tcPr>
            <w:tcW w:w="1876" w:type="dxa"/>
            <w:shd w:val="clear" w:color="auto" w:fill="D9E2F3"/>
            <w:vAlign w:val="center"/>
          </w:tcPr>
          <w:p w14:paraId="0ADBECED" w14:textId="77777777" w:rsidR="00990B14" w:rsidRDefault="00000000">
            <w:pPr>
              <w:spacing w:before="20" w:after="20"/>
              <w:jc w:val="both"/>
            </w:pPr>
            <w:r>
              <w:rPr>
                <w:sz w:val="18"/>
                <w:szCs w:val="18"/>
              </w:rPr>
              <w:t>Utiliza textos y recursos visuales claros y legibles.</w:t>
            </w:r>
          </w:p>
        </w:tc>
        <w:tc>
          <w:tcPr>
            <w:tcW w:w="1877" w:type="dxa"/>
            <w:shd w:val="clear" w:color="auto" w:fill="D9E2F3"/>
            <w:vAlign w:val="center"/>
          </w:tcPr>
          <w:p w14:paraId="321CE63D" w14:textId="77777777" w:rsidR="00990B14" w:rsidRDefault="00000000">
            <w:pPr>
              <w:spacing w:before="20" w:after="20"/>
              <w:jc w:val="both"/>
            </w:pPr>
            <w:r>
              <w:rPr>
                <w:sz w:val="18"/>
                <w:szCs w:val="18"/>
              </w:rPr>
              <w:t>Utiliza recursos visuales sobrios y precisos que facilitan la comprensión del perfil.</w:t>
            </w:r>
          </w:p>
        </w:tc>
      </w:tr>
      <w:tr w:rsidR="00990B14" w14:paraId="0EDEA27E" w14:textId="77777777">
        <w:trPr>
          <w:cantSplit/>
          <w:jc w:val="center"/>
        </w:trPr>
        <w:tc>
          <w:tcPr>
            <w:tcW w:w="1490" w:type="dxa"/>
            <w:vMerge/>
            <w:shd w:val="clear" w:color="auto" w:fill="4472C4"/>
            <w:vAlign w:val="center"/>
          </w:tcPr>
          <w:p w14:paraId="7B1AB1C0" w14:textId="77777777" w:rsidR="00990B14" w:rsidRDefault="00990B14">
            <w:pPr>
              <w:spacing w:before="20" w:after="20"/>
            </w:pPr>
          </w:p>
        </w:tc>
        <w:tc>
          <w:tcPr>
            <w:tcW w:w="6038" w:type="dxa"/>
            <w:gridSpan w:val="3"/>
            <w:shd w:val="clear" w:color="auto" w:fill="D9E2F3"/>
            <w:vAlign w:val="center"/>
          </w:tcPr>
          <w:p w14:paraId="4A221161" w14:textId="77777777" w:rsidR="00990B14" w:rsidRDefault="00000000">
            <w:pPr>
              <w:keepNext/>
              <w:spacing w:before="20" w:after="20"/>
              <w:jc w:val="both"/>
            </w:pPr>
            <w:r>
              <w:rPr>
                <w:b/>
                <w:bCs/>
                <w:i/>
                <w:iCs/>
                <w:sz w:val="18"/>
                <w:szCs w:val="18"/>
              </w:rPr>
              <w:t xml:space="preserve">Producto 14: </w:t>
            </w:r>
            <w:r>
              <w:rPr>
                <w:sz w:val="18"/>
                <w:szCs w:val="18"/>
              </w:rPr>
              <w:t>Matriz de coherencia metodológica del Perfil de Tesis de Grado o del Perfil de Proyecto de Grado, que evidencie la articulación entre el problema de investigación, los objetivos, las variables y el modelo teórico o modelo aplicado, según la modalidad seleccionada, demostrando consistencia metodológica y pertinencia profesional.</w:t>
            </w:r>
          </w:p>
        </w:tc>
        <w:tc>
          <w:tcPr>
            <w:tcW w:w="1877" w:type="dxa"/>
            <w:shd w:val="clear" w:color="auto" w:fill="D9E2F3"/>
            <w:vAlign w:val="center"/>
          </w:tcPr>
          <w:p w14:paraId="18018F2E" w14:textId="77777777" w:rsidR="00990B14" w:rsidRDefault="00000000">
            <w:pPr>
              <w:spacing w:before="20" w:after="20"/>
              <w:jc w:val="center"/>
            </w:pPr>
            <w:r>
              <w:rPr>
                <w:b/>
                <w:bCs/>
                <w:sz w:val="18"/>
                <w:szCs w:val="18"/>
              </w:rPr>
              <w:t>5%</w:t>
            </w:r>
          </w:p>
        </w:tc>
      </w:tr>
      <w:tr w:rsidR="00990B14" w14:paraId="06D0CFB7" w14:textId="77777777">
        <w:trPr>
          <w:cantSplit/>
          <w:jc w:val="center"/>
        </w:trPr>
        <w:tc>
          <w:tcPr>
            <w:tcW w:w="1490" w:type="dxa"/>
            <w:vMerge/>
            <w:shd w:val="clear" w:color="auto" w:fill="4472C4"/>
            <w:vAlign w:val="center"/>
          </w:tcPr>
          <w:p w14:paraId="0E0C79E4" w14:textId="77777777" w:rsidR="00990B14" w:rsidRDefault="00990B14">
            <w:pPr>
              <w:spacing w:before="20" w:after="20"/>
            </w:pPr>
          </w:p>
        </w:tc>
        <w:tc>
          <w:tcPr>
            <w:tcW w:w="2286" w:type="dxa"/>
            <w:shd w:val="clear" w:color="auto" w:fill="4472C4"/>
            <w:vAlign w:val="center"/>
          </w:tcPr>
          <w:p w14:paraId="0FACE990"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7788E298"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5969E4A4"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4E75587F" w14:textId="77777777" w:rsidR="00990B14" w:rsidRDefault="00000000">
            <w:pPr>
              <w:keepNext/>
              <w:spacing w:before="20" w:after="20"/>
              <w:jc w:val="center"/>
            </w:pPr>
            <w:r>
              <w:rPr>
                <w:b/>
                <w:bCs/>
                <w:i/>
                <w:iCs/>
                <w:color w:val="FFFFFF"/>
                <w:sz w:val="18"/>
                <w:szCs w:val="18"/>
              </w:rPr>
              <w:t>Destacado (81–100)</w:t>
            </w:r>
          </w:p>
        </w:tc>
      </w:tr>
      <w:tr w:rsidR="00990B14" w14:paraId="201A9C80" w14:textId="77777777">
        <w:trPr>
          <w:cantSplit/>
          <w:jc w:val="center"/>
        </w:trPr>
        <w:tc>
          <w:tcPr>
            <w:tcW w:w="1490" w:type="dxa"/>
            <w:vMerge/>
            <w:shd w:val="clear" w:color="auto" w:fill="4472C4"/>
            <w:vAlign w:val="center"/>
          </w:tcPr>
          <w:p w14:paraId="13BD4F36" w14:textId="77777777" w:rsidR="00990B14" w:rsidRDefault="00990B14">
            <w:pPr>
              <w:spacing w:before="20" w:after="20"/>
            </w:pPr>
          </w:p>
        </w:tc>
        <w:tc>
          <w:tcPr>
            <w:tcW w:w="2286" w:type="dxa"/>
            <w:shd w:val="clear" w:color="auto" w:fill="D9E2F3"/>
            <w:vAlign w:val="center"/>
          </w:tcPr>
          <w:p w14:paraId="60949924" w14:textId="77777777" w:rsidR="00990B14" w:rsidRDefault="00000000">
            <w:pPr>
              <w:spacing w:before="20" w:after="20"/>
              <w:jc w:val="both"/>
            </w:pPr>
            <w:r>
              <w:rPr>
                <w:sz w:val="18"/>
                <w:szCs w:val="18"/>
              </w:rPr>
              <w:t>Síntesis de componentes</w:t>
            </w:r>
          </w:p>
        </w:tc>
        <w:tc>
          <w:tcPr>
            <w:tcW w:w="1876" w:type="dxa"/>
            <w:shd w:val="clear" w:color="auto" w:fill="D9E2F3"/>
            <w:vAlign w:val="center"/>
          </w:tcPr>
          <w:p w14:paraId="3FC3E1B4" w14:textId="77777777" w:rsidR="00990B14" w:rsidRDefault="00000000">
            <w:pPr>
              <w:spacing w:before="20" w:after="20"/>
              <w:jc w:val="both"/>
            </w:pPr>
            <w:r>
              <w:rPr>
                <w:sz w:val="18"/>
                <w:szCs w:val="18"/>
              </w:rPr>
              <w:t>Omite componentes que impiden apreciar la coherencia del perfil.</w:t>
            </w:r>
          </w:p>
        </w:tc>
        <w:tc>
          <w:tcPr>
            <w:tcW w:w="1876" w:type="dxa"/>
            <w:shd w:val="clear" w:color="auto" w:fill="D9E2F3"/>
            <w:vAlign w:val="center"/>
          </w:tcPr>
          <w:p w14:paraId="58B6983F" w14:textId="77777777" w:rsidR="00990B14" w:rsidRDefault="00000000">
            <w:pPr>
              <w:spacing w:before="20" w:after="20"/>
              <w:jc w:val="both"/>
            </w:pPr>
            <w:r>
              <w:rPr>
                <w:sz w:val="18"/>
                <w:szCs w:val="18"/>
              </w:rPr>
              <w:t>Resume problema, objetivos, variables y modelo teórico o aplicado.</w:t>
            </w:r>
          </w:p>
        </w:tc>
        <w:tc>
          <w:tcPr>
            <w:tcW w:w="1877" w:type="dxa"/>
            <w:shd w:val="clear" w:color="auto" w:fill="D9E2F3"/>
            <w:vAlign w:val="center"/>
          </w:tcPr>
          <w:p w14:paraId="6FFB8B44" w14:textId="77777777" w:rsidR="00990B14" w:rsidRDefault="00000000">
            <w:pPr>
              <w:spacing w:before="20" w:after="20"/>
              <w:jc w:val="both"/>
            </w:pPr>
            <w:r>
              <w:rPr>
                <w:sz w:val="18"/>
                <w:szCs w:val="18"/>
              </w:rPr>
              <w:t>Selecciona los elementos esenciales sin perder precisión metodológica.</w:t>
            </w:r>
          </w:p>
        </w:tc>
      </w:tr>
      <w:tr w:rsidR="00990B14" w14:paraId="292AB7CA" w14:textId="77777777">
        <w:trPr>
          <w:cantSplit/>
          <w:jc w:val="center"/>
        </w:trPr>
        <w:tc>
          <w:tcPr>
            <w:tcW w:w="1490" w:type="dxa"/>
            <w:vMerge/>
            <w:shd w:val="clear" w:color="auto" w:fill="4472C4"/>
            <w:vAlign w:val="center"/>
          </w:tcPr>
          <w:p w14:paraId="37F2AA73" w14:textId="77777777" w:rsidR="00990B14" w:rsidRDefault="00990B14">
            <w:pPr>
              <w:spacing w:before="20" w:after="20"/>
            </w:pPr>
          </w:p>
        </w:tc>
        <w:tc>
          <w:tcPr>
            <w:tcW w:w="2286" w:type="dxa"/>
            <w:shd w:val="clear" w:color="auto" w:fill="D9E2F3"/>
            <w:vAlign w:val="center"/>
          </w:tcPr>
          <w:p w14:paraId="7381D058" w14:textId="77777777" w:rsidR="00990B14" w:rsidRDefault="00000000">
            <w:pPr>
              <w:spacing w:before="20" w:after="20"/>
              <w:jc w:val="both"/>
            </w:pPr>
            <w:r>
              <w:rPr>
                <w:sz w:val="18"/>
                <w:szCs w:val="18"/>
              </w:rPr>
              <w:t>Correspondencia metodológica</w:t>
            </w:r>
          </w:p>
        </w:tc>
        <w:tc>
          <w:tcPr>
            <w:tcW w:w="1876" w:type="dxa"/>
            <w:shd w:val="clear" w:color="auto" w:fill="D9E2F3"/>
            <w:vAlign w:val="center"/>
          </w:tcPr>
          <w:p w14:paraId="5622C69D" w14:textId="77777777" w:rsidR="00990B14" w:rsidRDefault="00000000">
            <w:pPr>
              <w:spacing w:before="20" w:after="20"/>
              <w:jc w:val="both"/>
            </w:pPr>
            <w:r>
              <w:rPr>
                <w:sz w:val="18"/>
                <w:szCs w:val="18"/>
              </w:rPr>
              <w:t>Las conexiones entre componentes son incorrectas o contradictorias.</w:t>
            </w:r>
          </w:p>
        </w:tc>
        <w:tc>
          <w:tcPr>
            <w:tcW w:w="1876" w:type="dxa"/>
            <w:shd w:val="clear" w:color="auto" w:fill="D9E2F3"/>
            <w:vAlign w:val="center"/>
          </w:tcPr>
          <w:p w14:paraId="0F2A5E9D" w14:textId="77777777" w:rsidR="00990B14" w:rsidRDefault="00000000">
            <w:pPr>
              <w:spacing w:before="20" w:after="20"/>
              <w:jc w:val="both"/>
            </w:pPr>
            <w:r>
              <w:rPr>
                <w:sz w:val="18"/>
                <w:szCs w:val="18"/>
              </w:rPr>
              <w:t>Hace explícita la correspondencia entre los componentes del perfil.</w:t>
            </w:r>
          </w:p>
        </w:tc>
        <w:tc>
          <w:tcPr>
            <w:tcW w:w="1877" w:type="dxa"/>
            <w:shd w:val="clear" w:color="auto" w:fill="D9E2F3"/>
            <w:vAlign w:val="center"/>
          </w:tcPr>
          <w:p w14:paraId="677C5DE3" w14:textId="77777777" w:rsidR="00990B14" w:rsidRDefault="00000000">
            <w:pPr>
              <w:spacing w:before="20" w:after="20"/>
              <w:jc w:val="both"/>
            </w:pPr>
            <w:r>
              <w:rPr>
                <w:sz w:val="18"/>
                <w:szCs w:val="18"/>
              </w:rPr>
              <w:t>Permite verificar y explicar con claridad la coherencia de las relaciones propuestas.</w:t>
            </w:r>
          </w:p>
        </w:tc>
      </w:tr>
      <w:tr w:rsidR="00990B14" w14:paraId="3247E0FF" w14:textId="77777777">
        <w:trPr>
          <w:cantSplit/>
          <w:jc w:val="center"/>
        </w:trPr>
        <w:tc>
          <w:tcPr>
            <w:tcW w:w="1490" w:type="dxa"/>
            <w:vMerge/>
            <w:shd w:val="clear" w:color="auto" w:fill="4472C4"/>
            <w:vAlign w:val="center"/>
          </w:tcPr>
          <w:p w14:paraId="66D9908E" w14:textId="77777777" w:rsidR="00990B14" w:rsidRDefault="00990B14">
            <w:pPr>
              <w:spacing w:before="20" w:after="20"/>
            </w:pPr>
          </w:p>
        </w:tc>
        <w:tc>
          <w:tcPr>
            <w:tcW w:w="2286" w:type="dxa"/>
            <w:shd w:val="clear" w:color="auto" w:fill="D9E2F3"/>
            <w:vAlign w:val="center"/>
          </w:tcPr>
          <w:p w14:paraId="438B7F10" w14:textId="77777777" w:rsidR="00990B14" w:rsidRDefault="00000000">
            <w:pPr>
              <w:spacing w:before="20" w:after="20"/>
              <w:jc w:val="both"/>
            </w:pPr>
            <w:r>
              <w:rPr>
                <w:sz w:val="18"/>
                <w:szCs w:val="18"/>
              </w:rPr>
              <w:t>Utilidad para la valoración</w:t>
            </w:r>
          </w:p>
        </w:tc>
        <w:tc>
          <w:tcPr>
            <w:tcW w:w="1876" w:type="dxa"/>
            <w:shd w:val="clear" w:color="auto" w:fill="D9E2F3"/>
            <w:vAlign w:val="center"/>
          </w:tcPr>
          <w:p w14:paraId="59965CBB" w14:textId="77777777" w:rsidR="00990B14" w:rsidRDefault="00000000">
            <w:pPr>
              <w:spacing w:before="20" w:after="20"/>
              <w:jc w:val="both"/>
            </w:pPr>
            <w:r>
              <w:rPr>
                <w:sz w:val="18"/>
                <w:szCs w:val="18"/>
              </w:rPr>
              <w:t>La matriz es confusa o difícil de interpretar durante la presentación.</w:t>
            </w:r>
          </w:p>
        </w:tc>
        <w:tc>
          <w:tcPr>
            <w:tcW w:w="1876" w:type="dxa"/>
            <w:shd w:val="clear" w:color="auto" w:fill="D9E2F3"/>
            <w:vAlign w:val="center"/>
          </w:tcPr>
          <w:p w14:paraId="78705C8E" w14:textId="77777777" w:rsidR="00990B14" w:rsidRDefault="00000000">
            <w:pPr>
              <w:spacing w:before="20" w:after="20"/>
              <w:jc w:val="both"/>
            </w:pPr>
            <w:r>
              <w:rPr>
                <w:sz w:val="18"/>
                <w:szCs w:val="18"/>
              </w:rPr>
              <w:t>La matriz es ordenada y facilita la valoración académica.</w:t>
            </w:r>
          </w:p>
        </w:tc>
        <w:tc>
          <w:tcPr>
            <w:tcW w:w="1877" w:type="dxa"/>
            <w:shd w:val="clear" w:color="auto" w:fill="D9E2F3"/>
            <w:vAlign w:val="center"/>
          </w:tcPr>
          <w:p w14:paraId="099B9FA3" w14:textId="77777777" w:rsidR="00990B14" w:rsidRDefault="00000000">
            <w:pPr>
              <w:spacing w:before="20" w:after="20"/>
              <w:jc w:val="both"/>
            </w:pPr>
            <w:r>
              <w:rPr>
                <w:sz w:val="18"/>
                <w:szCs w:val="18"/>
              </w:rPr>
              <w:t>La matriz permite localizar y fundamentar rápidamente cada relación metodológica.</w:t>
            </w:r>
          </w:p>
        </w:tc>
      </w:tr>
      <w:tr w:rsidR="00990B14" w14:paraId="11A31FEC" w14:textId="77777777">
        <w:trPr>
          <w:cantSplit/>
          <w:jc w:val="center"/>
        </w:trPr>
        <w:tc>
          <w:tcPr>
            <w:tcW w:w="1490" w:type="dxa"/>
            <w:vMerge/>
            <w:shd w:val="clear" w:color="auto" w:fill="4472C4"/>
            <w:vAlign w:val="center"/>
          </w:tcPr>
          <w:p w14:paraId="0A8F53A2" w14:textId="77777777" w:rsidR="00990B14" w:rsidRDefault="00990B14">
            <w:pPr>
              <w:spacing w:before="20" w:after="20"/>
            </w:pPr>
          </w:p>
        </w:tc>
        <w:tc>
          <w:tcPr>
            <w:tcW w:w="6038" w:type="dxa"/>
            <w:gridSpan w:val="3"/>
            <w:shd w:val="clear" w:color="auto" w:fill="D9E2F3"/>
            <w:vAlign w:val="center"/>
          </w:tcPr>
          <w:p w14:paraId="37881BC9" w14:textId="77777777" w:rsidR="00990B14" w:rsidRDefault="00000000">
            <w:pPr>
              <w:keepNext/>
              <w:spacing w:before="20" w:after="20"/>
              <w:jc w:val="both"/>
            </w:pPr>
            <w:r>
              <w:rPr>
                <w:b/>
                <w:bCs/>
                <w:i/>
                <w:iCs/>
                <w:sz w:val="18"/>
                <w:szCs w:val="18"/>
              </w:rPr>
              <w:t xml:space="preserve">Producto 15: </w:t>
            </w:r>
            <w:r>
              <w:rPr>
                <w:sz w:val="18"/>
                <w:szCs w:val="18"/>
              </w:rPr>
              <w:t>Informe de valoración de la consistencia metodológica y viabilidad del Perfil de Tesis de Grado o del Perfil de Proyecto de Grado, que fundamente su pertinencia, factibilidad y cumplimiento de los principios éticos de la investigación, con sustento técnico y científico.</w:t>
            </w:r>
          </w:p>
        </w:tc>
        <w:tc>
          <w:tcPr>
            <w:tcW w:w="1877" w:type="dxa"/>
            <w:shd w:val="clear" w:color="auto" w:fill="D9E2F3"/>
            <w:vAlign w:val="center"/>
          </w:tcPr>
          <w:p w14:paraId="7B9EAEC1" w14:textId="77777777" w:rsidR="00990B14" w:rsidRDefault="00000000">
            <w:pPr>
              <w:spacing w:before="20" w:after="20"/>
              <w:jc w:val="center"/>
            </w:pPr>
            <w:r>
              <w:rPr>
                <w:b/>
                <w:bCs/>
                <w:sz w:val="18"/>
                <w:szCs w:val="18"/>
              </w:rPr>
              <w:t>5%</w:t>
            </w:r>
          </w:p>
        </w:tc>
      </w:tr>
      <w:tr w:rsidR="00990B14" w14:paraId="3686701F" w14:textId="77777777">
        <w:trPr>
          <w:cantSplit/>
          <w:jc w:val="center"/>
        </w:trPr>
        <w:tc>
          <w:tcPr>
            <w:tcW w:w="1490" w:type="dxa"/>
            <w:vMerge/>
            <w:shd w:val="clear" w:color="auto" w:fill="4472C4"/>
            <w:vAlign w:val="center"/>
          </w:tcPr>
          <w:p w14:paraId="3A0C5350" w14:textId="77777777" w:rsidR="00990B14" w:rsidRDefault="00990B14">
            <w:pPr>
              <w:spacing w:before="20" w:after="20"/>
            </w:pPr>
          </w:p>
        </w:tc>
        <w:tc>
          <w:tcPr>
            <w:tcW w:w="2286" w:type="dxa"/>
            <w:shd w:val="clear" w:color="auto" w:fill="4472C4"/>
            <w:vAlign w:val="center"/>
          </w:tcPr>
          <w:p w14:paraId="05E4EED8"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3AAB9296"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63234E38"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5C7CB05B" w14:textId="77777777" w:rsidR="00990B14" w:rsidRDefault="00000000">
            <w:pPr>
              <w:keepNext/>
              <w:spacing w:before="20" w:after="20"/>
              <w:jc w:val="center"/>
            </w:pPr>
            <w:r>
              <w:rPr>
                <w:b/>
                <w:bCs/>
                <w:i/>
                <w:iCs/>
                <w:color w:val="FFFFFF"/>
                <w:sz w:val="18"/>
                <w:szCs w:val="18"/>
              </w:rPr>
              <w:t>Destacado (81–100)</w:t>
            </w:r>
          </w:p>
        </w:tc>
      </w:tr>
      <w:tr w:rsidR="00990B14" w14:paraId="3F68E85A" w14:textId="77777777">
        <w:trPr>
          <w:cantSplit/>
          <w:jc w:val="center"/>
        </w:trPr>
        <w:tc>
          <w:tcPr>
            <w:tcW w:w="1490" w:type="dxa"/>
            <w:vMerge/>
            <w:shd w:val="clear" w:color="auto" w:fill="4472C4"/>
            <w:vAlign w:val="center"/>
          </w:tcPr>
          <w:p w14:paraId="5E881FAA" w14:textId="77777777" w:rsidR="00990B14" w:rsidRDefault="00990B14">
            <w:pPr>
              <w:spacing w:before="20" w:after="20"/>
            </w:pPr>
          </w:p>
        </w:tc>
        <w:tc>
          <w:tcPr>
            <w:tcW w:w="2286" w:type="dxa"/>
            <w:shd w:val="clear" w:color="auto" w:fill="D9E2F3"/>
            <w:vAlign w:val="center"/>
          </w:tcPr>
          <w:p w14:paraId="2733A4C3" w14:textId="77777777" w:rsidR="00990B14" w:rsidRDefault="00000000">
            <w:pPr>
              <w:spacing w:before="20" w:after="20"/>
              <w:jc w:val="both"/>
            </w:pPr>
            <w:r>
              <w:rPr>
                <w:sz w:val="18"/>
                <w:szCs w:val="18"/>
              </w:rPr>
              <w:t>Consistencia metodológica</w:t>
            </w:r>
          </w:p>
        </w:tc>
        <w:tc>
          <w:tcPr>
            <w:tcW w:w="1876" w:type="dxa"/>
            <w:shd w:val="clear" w:color="auto" w:fill="D9E2F3"/>
            <w:vAlign w:val="center"/>
          </w:tcPr>
          <w:p w14:paraId="034484D1" w14:textId="77777777" w:rsidR="00990B14" w:rsidRDefault="00000000">
            <w:pPr>
              <w:spacing w:before="20" w:after="20"/>
              <w:jc w:val="both"/>
            </w:pPr>
            <w:r>
              <w:rPr>
                <w:sz w:val="18"/>
                <w:szCs w:val="18"/>
              </w:rPr>
              <w:t>No examina la articulación entre los componentes del perfil.</w:t>
            </w:r>
          </w:p>
        </w:tc>
        <w:tc>
          <w:tcPr>
            <w:tcW w:w="1876" w:type="dxa"/>
            <w:shd w:val="clear" w:color="auto" w:fill="D9E2F3"/>
            <w:vAlign w:val="center"/>
          </w:tcPr>
          <w:p w14:paraId="76A7ED56" w14:textId="77777777" w:rsidR="00990B14" w:rsidRDefault="00000000">
            <w:pPr>
              <w:spacing w:before="20" w:after="20"/>
              <w:jc w:val="both"/>
            </w:pPr>
            <w:r>
              <w:rPr>
                <w:sz w:val="18"/>
                <w:szCs w:val="18"/>
              </w:rPr>
              <w:t>Valora con argumentos la coherencia de los principales componentes.</w:t>
            </w:r>
          </w:p>
        </w:tc>
        <w:tc>
          <w:tcPr>
            <w:tcW w:w="1877" w:type="dxa"/>
            <w:shd w:val="clear" w:color="auto" w:fill="D9E2F3"/>
            <w:vAlign w:val="center"/>
          </w:tcPr>
          <w:p w14:paraId="2348EAEA" w14:textId="77777777" w:rsidR="00990B14" w:rsidRDefault="00000000">
            <w:pPr>
              <w:spacing w:before="20" w:after="20"/>
              <w:jc w:val="both"/>
            </w:pPr>
            <w:r>
              <w:rPr>
                <w:sz w:val="18"/>
                <w:szCs w:val="18"/>
              </w:rPr>
              <w:t>Identifica fortalezas y limitaciones metodológicas con fundamentos precisos.</w:t>
            </w:r>
          </w:p>
        </w:tc>
      </w:tr>
      <w:tr w:rsidR="00990B14" w14:paraId="3D627052" w14:textId="77777777">
        <w:trPr>
          <w:cantSplit/>
          <w:jc w:val="center"/>
        </w:trPr>
        <w:tc>
          <w:tcPr>
            <w:tcW w:w="1490" w:type="dxa"/>
            <w:vMerge/>
            <w:shd w:val="clear" w:color="auto" w:fill="4472C4"/>
            <w:vAlign w:val="center"/>
          </w:tcPr>
          <w:p w14:paraId="36A69A44" w14:textId="77777777" w:rsidR="00990B14" w:rsidRDefault="00990B14">
            <w:pPr>
              <w:spacing w:before="20" w:after="20"/>
            </w:pPr>
          </w:p>
        </w:tc>
        <w:tc>
          <w:tcPr>
            <w:tcW w:w="2286" w:type="dxa"/>
            <w:shd w:val="clear" w:color="auto" w:fill="D9E2F3"/>
            <w:vAlign w:val="center"/>
          </w:tcPr>
          <w:p w14:paraId="3078E6D0" w14:textId="77777777" w:rsidR="00990B14" w:rsidRDefault="00000000">
            <w:pPr>
              <w:spacing w:before="20" w:after="20"/>
              <w:jc w:val="both"/>
            </w:pPr>
            <w:r>
              <w:rPr>
                <w:sz w:val="18"/>
                <w:szCs w:val="18"/>
              </w:rPr>
              <w:t>Pertinencia y factibilidad</w:t>
            </w:r>
          </w:p>
        </w:tc>
        <w:tc>
          <w:tcPr>
            <w:tcW w:w="1876" w:type="dxa"/>
            <w:shd w:val="clear" w:color="auto" w:fill="D9E2F3"/>
            <w:vAlign w:val="center"/>
          </w:tcPr>
          <w:p w14:paraId="293B97AD" w14:textId="77777777" w:rsidR="00990B14" w:rsidRDefault="00000000">
            <w:pPr>
              <w:spacing w:before="20" w:after="20"/>
              <w:jc w:val="both"/>
            </w:pPr>
            <w:r>
              <w:rPr>
                <w:sz w:val="18"/>
                <w:szCs w:val="18"/>
              </w:rPr>
              <w:t>La valoración de pertinencia o factibilidad es superficial o infundada.</w:t>
            </w:r>
          </w:p>
        </w:tc>
        <w:tc>
          <w:tcPr>
            <w:tcW w:w="1876" w:type="dxa"/>
            <w:shd w:val="clear" w:color="auto" w:fill="D9E2F3"/>
            <w:vAlign w:val="center"/>
          </w:tcPr>
          <w:p w14:paraId="6E3680B7" w14:textId="77777777" w:rsidR="00990B14" w:rsidRDefault="00000000">
            <w:pPr>
              <w:spacing w:before="20" w:after="20"/>
              <w:jc w:val="both"/>
            </w:pPr>
            <w:r>
              <w:rPr>
                <w:sz w:val="18"/>
                <w:szCs w:val="18"/>
              </w:rPr>
              <w:t>Considera pertinencia profesional, acceso a información y recursos necesarios.</w:t>
            </w:r>
          </w:p>
        </w:tc>
        <w:tc>
          <w:tcPr>
            <w:tcW w:w="1877" w:type="dxa"/>
            <w:shd w:val="clear" w:color="auto" w:fill="D9E2F3"/>
            <w:vAlign w:val="center"/>
          </w:tcPr>
          <w:p w14:paraId="3BF4E783" w14:textId="77777777" w:rsidR="00990B14" w:rsidRDefault="00000000">
            <w:pPr>
              <w:spacing w:before="20" w:after="20"/>
              <w:jc w:val="both"/>
            </w:pPr>
            <w:r>
              <w:rPr>
                <w:sz w:val="18"/>
                <w:szCs w:val="18"/>
              </w:rPr>
              <w:t>Sustenta la viabilidad con condiciones verificables y reconoce restricciones relevantes.</w:t>
            </w:r>
          </w:p>
        </w:tc>
      </w:tr>
      <w:tr w:rsidR="00990B14" w14:paraId="73817D60" w14:textId="77777777">
        <w:trPr>
          <w:cantSplit/>
          <w:jc w:val="center"/>
        </w:trPr>
        <w:tc>
          <w:tcPr>
            <w:tcW w:w="1490" w:type="dxa"/>
            <w:vMerge/>
            <w:shd w:val="clear" w:color="auto" w:fill="4472C4"/>
            <w:vAlign w:val="center"/>
          </w:tcPr>
          <w:p w14:paraId="047BCA91" w14:textId="77777777" w:rsidR="00990B14" w:rsidRDefault="00990B14">
            <w:pPr>
              <w:spacing w:before="20" w:after="20"/>
            </w:pPr>
          </w:p>
        </w:tc>
        <w:tc>
          <w:tcPr>
            <w:tcW w:w="2286" w:type="dxa"/>
            <w:shd w:val="clear" w:color="auto" w:fill="D9E2F3"/>
            <w:vAlign w:val="center"/>
          </w:tcPr>
          <w:p w14:paraId="1C16C8D0" w14:textId="77777777" w:rsidR="00990B14" w:rsidRDefault="00000000">
            <w:pPr>
              <w:spacing w:before="20" w:after="20"/>
              <w:jc w:val="both"/>
            </w:pPr>
            <w:r>
              <w:rPr>
                <w:sz w:val="18"/>
                <w:szCs w:val="18"/>
              </w:rPr>
              <w:t>Ética y fundamentación</w:t>
            </w:r>
          </w:p>
        </w:tc>
        <w:tc>
          <w:tcPr>
            <w:tcW w:w="1876" w:type="dxa"/>
            <w:shd w:val="clear" w:color="auto" w:fill="D9E2F3"/>
            <w:vAlign w:val="center"/>
          </w:tcPr>
          <w:p w14:paraId="31228684" w14:textId="77777777" w:rsidR="00990B14" w:rsidRDefault="00000000">
            <w:pPr>
              <w:spacing w:before="20" w:after="20"/>
              <w:jc w:val="both"/>
            </w:pPr>
            <w:r>
              <w:rPr>
                <w:sz w:val="18"/>
                <w:szCs w:val="18"/>
              </w:rPr>
              <w:t>Omite riesgos éticos o emite valoraciones sin sustento.</w:t>
            </w:r>
          </w:p>
        </w:tc>
        <w:tc>
          <w:tcPr>
            <w:tcW w:w="1876" w:type="dxa"/>
            <w:shd w:val="clear" w:color="auto" w:fill="D9E2F3"/>
            <w:vAlign w:val="center"/>
          </w:tcPr>
          <w:p w14:paraId="148F3D37" w14:textId="77777777" w:rsidR="00990B14" w:rsidRDefault="00000000">
            <w:pPr>
              <w:spacing w:before="20" w:after="20"/>
              <w:jc w:val="both"/>
            </w:pPr>
            <w:r>
              <w:rPr>
                <w:sz w:val="18"/>
                <w:szCs w:val="18"/>
              </w:rPr>
              <w:t>Reconoce exigencias éticas pertinentes y fundamenta su valoración.</w:t>
            </w:r>
          </w:p>
        </w:tc>
        <w:tc>
          <w:tcPr>
            <w:tcW w:w="1877" w:type="dxa"/>
            <w:shd w:val="clear" w:color="auto" w:fill="D9E2F3"/>
            <w:vAlign w:val="center"/>
          </w:tcPr>
          <w:p w14:paraId="562C107D" w14:textId="77777777" w:rsidR="00990B14" w:rsidRDefault="00000000">
            <w:pPr>
              <w:spacing w:before="20" w:after="20"/>
              <w:jc w:val="both"/>
            </w:pPr>
            <w:r>
              <w:rPr>
                <w:sz w:val="18"/>
                <w:szCs w:val="18"/>
              </w:rPr>
              <w:t>Propone medidas éticas concretas y respalda las conclusiones del informe con rigor.</w:t>
            </w:r>
          </w:p>
        </w:tc>
      </w:tr>
      <w:tr w:rsidR="00990B14" w14:paraId="1B039CC4" w14:textId="77777777">
        <w:trPr>
          <w:cantSplit/>
          <w:jc w:val="center"/>
        </w:trPr>
        <w:tc>
          <w:tcPr>
            <w:tcW w:w="1490" w:type="dxa"/>
            <w:vMerge/>
            <w:shd w:val="clear" w:color="auto" w:fill="4472C4"/>
            <w:vAlign w:val="center"/>
          </w:tcPr>
          <w:p w14:paraId="49B3B047" w14:textId="77777777" w:rsidR="00990B14" w:rsidRDefault="00990B14">
            <w:pPr>
              <w:spacing w:before="20" w:after="20"/>
            </w:pPr>
          </w:p>
        </w:tc>
        <w:tc>
          <w:tcPr>
            <w:tcW w:w="6038" w:type="dxa"/>
            <w:gridSpan w:val="3"/>
            <w:shd w:val="clear" w:color="auto" w:fill="D9E2F3"/>
            <w:vAlign w:val="center"/>
          </w:tcPr>
          <w:p w14:paraId="0D7E7CEC" w14:textId="77777777" w:rsidR="00990B14" w:rsidRDefault="00000000">
            <w:pPr>
              <w:keepNext/>
              <w:spacing w:before="20" w:after="20"/>
              <w:jc w:val="both"/>
            </w:pPr>
            <w:r>
              <w:rPr>
                <w:b/>
                <w:bCs/>
                <w:i/>
                <w:iCs/>
                <w:sz w:val="18"/>
                <w:szCs w:val="18"/>
              </w:rPr>
              <w:t xml:space="preserve">Producto 16: </w:t>
            </w:r>
            <w:r>
              <w:rPr>
                <w:sz w:val="18"/>
                <w:szCs w:val="18"/>
              </w:rPr>
              <w:t>Matriz de observaciones académicas y ajustes realizados al Perfil de Tesis de Grado o del Perfil de Proyecto de Grado, que registre las observaciones recibidas, las respuestas fundamentadas y las modificaciones efectuadas, conforme a criterios de coherencia metodológica, rigor académico y normativa institucional vigente.</w:t>
            </w:r>
          </w:p>
        </w:tc>
        <w:tc>
          <w:tcPr>
            <w:tcW w:w="1877" w:type="dxa"/>
            <w:shd w:val="clear" w:color="auto" w:fill="D9E2F3"/>
            <w:vAlign w:val="center"/>
          </w:tcPr>
          <w:p w14:paraId="488B1724" w14:textId="77777777" w:rsidR="00990B14" w:rsidRDefault="00000000">
            <w:pPr>
              <w:spacing w:before="20" w:after="20"/>
              <w:jc w:val="center"/>
            </w:pPr>
            <w:r>
              <w:rPr>
                <w:b/>
                <w:bCs/>
                <w:sz w:val="18"/>
                <w:szCs w:val="18"/>
              </w:rPr>
              <w:t>5%</w:t>
            </w:r>
          </w:p>
        </w:tc>
      </w:tr>
      <w:tr w:rsidR="00990B14" w14:paraId="41BFB6AE" w14:textId="77777777">
        <w:trPr>
          <w:cantSplit/>
          <w:jc w:val="center"/>
        </w:trPr>
        <w:tc>
          <w:tcPr>
            <w:tcW w:w="1490" w:type="dxa"/>
            <w:vMerge/>
            <w:shd w:val="clear" w:color="auto" w:fill="4472C4"/>
            <w:vAlign w:val="center"/>
          </w:tcPr>
          <w:p w14:paraId="74A1D920" w14:textId="77777777" w:rsidR="00990B14" w:rsidRDefault="00990B14">
            <w:pPr>
              <w:spacing w:before="20" w:after="20"/>
            </w:pPr>
          </w:p>
        </w:tc>
        <w:tc>
          <w:tcPr>
            <w:tcW w:w="2286" w:type="dxa"/>
            <w:shd w:val="clear" w:color="auto" w:fill="4472C4"/>
            <w:vAlign w:val="center"/>
          </w:tcPr>
          <w:p w14:paraId="00139D3C" w14:textId="77777777" w:rsidR="00990B14" w:rsidRDefault="00000000">
            <w:pPr>
              <w:keepNext/>
              <w:spacing w:before="20" w:after="20"/>
              <w:jc w:val="center"/>
            </w:pPr>
            <w:r>
              <w:rPr>
                <w:b/>
                <w:bCs/>
                <w:i/>
                <w:iCs/>
                <w:color w:val="FFFFFF"/>
                <w:sz w:val="18"/>
                <w:szCs w:val="18"/>
              </w:rPr>
              <w:t>Criterio</w:t>
            </w:r>
          </w:p>
        </w:tc>
        <w:tc>
          <w:tcPr>
            <w:tcW w:w="1876" w:type="dxa"/>
            <w:shd w:val="clear" w:color="auto" w:fill="4472C4"/>
            <w:vAlign w:val="center"/>
          </w:tcPr>
          <w:p w14:paraId="0B83BCF9" w14:textId="77777777" w:rsidR="00990B14" w:rsidRDefault="00000000">
            <w:pPr>
              <w:keepNext/>
              <w:spacing w:before="20" w:after="20"/>
              <w:jc w:val="center"/>
            </w:pPr>
            <w:r>
              <w:rPr>
                <w:b/>
                <w:bCs/>
                <w:i/>
                <w:iCs/>
                <w:color w:val="FFFFFF"/>
                <w:sz w:val="18"/>
                <w:szCs w:val="18"/>
              </w:rPr>
              <w:t>Insuficiente (1–50)</w:t>
            </w:r>
          </w:p>
        </w:tc>
        <w:tc>
          <w:tcPr>
            <w:tcW w:w="1876" w:type="dxa"/>
            <w:shd w:val="clear" w:color="auto" w:fill="4472C4"/>
            <w:vAlign w:val="center"/>
          </w:tcPr>
          <w:p w14:paraId="57F55C72" w14:textId="77777777" w:rsidR="00990B14" w:rsidRDefault="00000000">
            <w:pPr>
              <w:keepNext/>
              <w:spacing w:before="20" w:after="20"/>
              <w:jc w:val="center"/>
            </w:pPr>
            <w:r>
              <w:rPr>
                <w:b/>
                <w:bCs/>
                <w:i/>
                <w:iCs/>
                <w:color w:val="FFFFFF"/>
                <w:sz w:val="18"/>
                <w:szCs w:val="18"/>
              </w:rPr>
              <w:t>Suficiente (51–80)</w:t>
            </w:r>
          </w:p>
        </w:tc>
        <w:tc>
          <w:tcPr>
            <w:tcW w:w="1877" w:type="dxa"/>
            <w:shd w:val="clear" w:color="auto" w:fill="4472C4"/>
            <w:vAlign w:val="center"/>
          </w:tcPr>
          <w:p w14:paraId="7AE86D8D" w14:textId="77777777" w:rsidR="00990B14" w:rsidRDefault="00000000">
            <w:pPr>
              <w:keepNext/>
              <w:spacing w:before="20" w:after="20"/>
              <w:jc w:val="center"/>
            </w:pPr>
            <w:r>
              <w:rPr>
                <w:b/>
                <w:bCs/>
                <w:i/>
                <w:iCs/>
                <w:color w:val="FFFFFF"/>
                <w:sz w:val="18"/>
                <w:szCs w:val="18"/>
              </w:rPr>
              <w:t>Destacado (81–100)</w:t>
            </w:r>
          </w:p>
        </w:tc>
      </w:tr>
      <w:tr w:rsidR="00990B14" w14:paraId="540447D0" w14:textId="77777777">
        <w:trPr>
          <w:cantSplit/>
          <w:jc w:val="center"/>
        </w:trPr>
        <w:tc>
          <w:tcPr>
            <w:tcW w:w="1490" w:type="dxa"/>
            <w:vMerge/>
            <w:shd w:val="clear" w:color="auto" w:fill="4472C4"/>
            <w:vAlign w:val="center"/>
          </w:tcPr>
          <w:p w14:paraId="72CFFFCF" w14:textId="77777777" w:rsidR="00990B14" w:rsidRDefault="00990B14">
            <w:pPr>
              <w:spacing w:before="20" w:after="20"/>
            </w:pPr>
          </w:p>
        </w:tc>
        <w:tc>
          <w:tcPr>
            <w:tcW w:w="2286" w:type="dxa"/>
            <w:shd w:val="clear" w:color="auto" w:fill="D9E2F3"/>
            <w:vAlign w:val="center"/>
          </w:tcPr>
          <w:p w14:paraId="309596CB" w14:textId="77777777" w:rsidR="00990B14" w:rsidRDefault="00000000">
            <w:pPr>
              <w:spacing w:before="20" w:after="20"/>
              <w:jc w:val="both"/>
            </w:pPr>
            <w:r>
              <w:rPr>
                <w:sz w:val="18"/>
                <w:szCs w:val="18"/>
              </w:rPr>
              <w:t>Registro de observaciones</w:t>
            </w:r>
          </w:p>
        </w:tc>
        <w:tc>
          <w:tcPr>
            <w:tcW w:w="1876" w:type="dxa"/>
            <w:shd w:val="clear" w:color="auto" w:fill="D9E2F3"/>
            <w:vAlign w:val="center"/>
          </w:tcPr>
          <w:p w14:paraId="75C6C77A" w14:textId="77777777" w:rsidR="00990B14" w:rsidRDefault="00000000">
            <w:pPr>
              <w:spacing w:before="20" w:after="20"/>
              <w:jc w:val="both"/>
            </w:pPr>
            <w:r>
              <w:rPr>
                <w:sz w:val="18"/>
                <w:szCs w:val="18"/>
              </w:rPr>
              <w:t>Omite observaciones o las consigna de forma imprecisa.</w:t>
            </w:r>
          </w:p>
        </w:tc>
        <w:tc>
          <w:tcPr>
            <w:tcW w:w="1876" w:type="dxa"/>
            <w:shd w:val="clear" w:color="auto" w:fill="D9E2F3"/>
            <w:vAlign w:val="center"/>
          </w:tcPr>
          <w:p w14:paraId="65DF9C70" w14:textId="77777777" w:rsidR="00990B14" w:rsidRDefault="00000000">
            <w:pPr>
              <w:spacing w:before="20" w:after="20"/>
              <w:jc w:val="both"/>
            </w:pPr>
            <w:r>
              <w:rPr>
                <w:sz w:val="18"/>
                <w:szCs w:val="18"/>
              </w:rPr>
              <w:t>Registra de forma clara las observaciones académicas recibidas.</w:t>
            </w:r>
          </w:p>
        </w:tc>
        <w:tc>
          <w:tcPr>
            <w:tcW w:w="1877" w:type="dxa"/>
            <w:shd w:val="clear" w:color="auto" w:fill="D9E2F3"/>
            <w:vAlign w:val="center"/>
          </w:tcPr>
          <w:p w14:paraId="4E815E1C" w14:textId="77777777" w:rsidR="00990B14" w:rsidRDefault="00000000">
            <w:pPr>
              <w:spacing w:before="20" w:after="20"/>
              <w:jc w:val="both"/>
            </w:pPr>
            <w:r>
              <w:rPr>
                <w:sz w:val="18"/>
                <w:szCs w:val="18"/>
              </w:rPr>
              <w:t>Clasifica y contextualiza las observaciones para facilitar su seguimiento.</w:t>
            </w:r>
          </w:p>
        </w:tc>
      </w:tr>
      <w:tr w:rsidR="00990B14" w14:paraId="1103C790" w14:textId="77777777">
        <w:trPr>
          <w:cantSplit/>
          <w:jc w:val="center"/>
        </w:trPr>
        <w:tc>
          <w:tcPr>
            <w:tcW w:w="1490" w:type="dxa"/>
            <w:vMerge/>
            <w:shd w:val="clear" w:color="auto" w:fill="4472C4"/>
            <w:vAlign w:val="center"/>
          </w:tcPr>
          <w:p w14:paraId="4343E921" w14:textId="77777777" w:rsidR="00990B14" w:rsidRDefault="00990B14">
            <w:pPr>
              <w:spacing w:before="20" w:after="20"/>
            </w:pPr>
          </w:p>
        </w:tc>
        <w:tc>
          <w:tcPr>
            <w:tcW w:w="2286" w:type="dxa"/>
            <w:shd w:val="clear" w:color="auto" w:fill="D9E2F3"/>
            <w:vAlign w:val="center"/>
          </w:tcPr>
          <w:p w14:paraId="1F53666A" w14:textId="77777777" w:rsidR="00990B14" w:rsidRDefault="00000000">
            <w:pPr>
              <w:spacing w:before="20" w:after="20"/>
              <w:jc w:val="both"/>
            </w:pPr>
            <w:r>
              <w:rPr>
                <w:sz w:val="18"/>
                <w:szCs w:val="18"/>
              </w:rPr>
              <w:t>Respuesta fundamentada</w:t>
            </w:r>
          </w:p>
        </w:tc>
        <w:tc>
          <w:tcPr>
            <w:tcW w:w="1876" w:type="dxa"/>
            <w:shd w:val="clear" w:color="auto" w:fill="D9E2F3"/>
            <w:vAlign w:val="center"/>
          </w:tcPr>
          <w:p w14:paraId="5D8CB8AA" w14:textId="77777777" w:rsidR="00990B14" w:rsidRDefault="00000000">
            <w:pPr>
              <w:spacing w:before="20" w:after="20"/>
              <w:jc w:val="both"/>
            </w:pPr>
            <w:r>
              <w:rPr>
                <w:sz w:val="18"/>
                <w:szCs w:val="18"/>
              </w:rPr>
              <w:t>No responde las observaciones o lo hace sin argumentos.</w:t>
            </w:r>
          </w:p>
        </w:tc>
        <w:tc>
          <w:tcPr>
            <w:tcW w:w="1876" w:type="dxa"/>
            <w:shd w:val="clear" w:color="auto" w:fill="D9E2F3"/>
            <w:vAlign w:val="center"/>
          </w:tcPr>
          <w:p w14:paraId="7A952886" w14:textId="77777777" w:rsidR="00990B14" w:rsidRDefault="00000000">
            <w:pPr>
              <w:spacing w:before="20" w:after="20"/>
              <w:jc w:val="both"/>
            </w:pPr>
            <w:r>
              <w:rPr>
                <w:sz w:val="18"/>
                <w:szCs w:val="18"/>
              </w:rPr>
              <w:t>Responde las observaciones con argumentos académicos pertinentes.</w:t>
            </w:r>
          </w:p>
        </w:tc>
        <w:tc>
          <w:tcPr>
            <w:tcW w:w="1877" w:type="dxa"/>
            <w:shd w:val="clear" w:color="auto" w:fill="D9E2F3"/>
            <w:vAlign w:val="center"/>
          </w:tcPr>
          <w:p w14:paraId="4740838E" w14:textId="77777777" w:rsidR="00990B14" w:rsidRDefault="00000000">
            <w:pPr>
              <w:spacing w:before="20" w:after="20"/>
              <w:jc w:val="both"/>
            </w:pPr>
            <w:r>
              <w:rPr>
                <w:sz w:val="18"/>
                <w:szCs w:val="18"/>
              </w:rPr>
              <w:t>Fundamenta críticamente cada respuesta, vinculándola con el perfil y sus fuentes.</w:t>
            </w:r>
          </w:p>
        </w:tc>
      </w:tr>
      <w:tr w:rsidR="00990B14" w14:paraId="26093A18" w14:textId="77777777">
        <w:trPr>
          <w:cantSplit/>
          <w:jc w:val="center"/>
        </w:trPr>
        <w:tc>
          <w:tcPr>
            <w:tcW w:w="1490" w:type="dxa"/>
            <w:vMerge/>
            <w:shd w:val="clear" w:color="auto" w:fill="4472C4"/>
            <w:vAlign w:val="center"/>
          </w:tcPr>
          <w:p w14:paraId="590BA525" w14:textId="77777777" w:rsidR="00990B14" w:rsidRDefault="00990B14">
            <w:pPr>
              <w:spacing w:before="20" w:after="20"/>
            </w:pPr>
          </w:p>
        </w:tc>
        <w:tc>
          <w:tcPr>
            <w:tcW w:w="2286" w:type="dxa"/>
            <w:shd w:val="clear" w:color="auto" w:fill="D9E2F3"/>
            <w:vAlign w:val="center"/>
          </w:tcPr>
          <w:p w14:paraId="2ECB615F" w14:textId="77777777" w:rsidR="00990B14" w:rsidRDefault="00000000">
            <w:pPr>
              <w:spacing w:before="20" w:after="20"/>
              <w:jc w:val="both"/>
            </w:pPr>
            <w:r>
              <w:rPr>
                <w:sz w:val="18"/>
                <w:szCs w:val="18"/>
              </w:rPr>
              <w:t>Ajustes y trazabilidad</w:t>
            </w:r>
          </w:p>
        </w:tc>
        <w:tc>
          <w:tcPr>
            <w:tcW w:w="1876" w:type="dxa"/>
            <w:shd w:val="clear" w:color="auto" w:fill="D9E2F3"/>
            <w:vAlign w:val="center"/>
          </w:tcPr>
          <w:p w14:paraId="4B6346B0" w14:textId="77777777" w:rsidR="00990B14" w:rsidRDefault="00000000">
            <w:pPr>
              <w:spacing w:before="20" w:after="20"/>
              <w:jc w:val="both"/>
            </w:pPr>
            <w:r>
              <w:rPr>
                <w:sz w:val="18"/>
                <w:szCs w:val="18"/>
              </w:rPr>
              <w:t>No registra ajustes o no permite identificar los cambios.</w:t>
            </w:r>
          </w:p>
        </w:tc>
        <w:tc>
          <w:tcPr>
            <w:tcW w:w="1876" w:type="dxa"/>
            <w:shd w:val="clear" w:color="auto" w:fill="D9E2F3"/>
            <w:vAlign w:val="center"/>
          </w:tcPr>
          <w:p w14:paraId="3A9BAB39" w14:textId="77777777" w:rsidR="00990B14" w:rsidRDefault="00000000">
            <w:pPr>
              <w:spacing w:before="20" w:after="20"/>
              <w:jc w:val="both"/>
            </w:pPr>
            <w:r>
              <w:rPr>
                <w:sz w:val="18"/>
                <w:szCs w:val="18"/>
              </w:rPr>
              <w:t>Identifica las modificaciones realizadas y su correspondencia con las observaciones.</w:t>
            </w:r>
          </w:p>
        </w:tc>
        <w:tc>
          <w:tcPr>
            <w:tcW w:w="1877" w:type="dxa"/>
            <w:shd w:val="clear" w:color="auto" w:fill="D9E2F3"/>
            <w:vAlign w:val="center"/>
          </w:tcPr>
          <w:p w14:paraId="01048905" w14:textId="77777777" w:rsidR="00990B14" w:rsidRDefault="00000000">
            <w:pPr>
              <w:spacing w:before="20" w:after="20"/>
              <w:jc w:val="both"/>
            </w:pPr>
            <w:r>
              <w:rPr>
                <w:sz w:val="18"/>
                <w:szCs w:val="18"/>
              </w:rPr>
              <w:t>Documenta de forma verificable los cambios y justifica los casos en que no corresponde modificar.</w:t>
            </w:r>
          </w:p>
        </w:tc>
      </w:tr>
      <w:tr w:rsidR="00990B14" w14:paraId="0307AE1F" w14:textId="77777777">
        <w:trPr>
          <w:cantSplit/>
          <w:jc w:val="center"/>
        </w:trPr>
        <w:tc>
          <w:tcPr>
            <w:tcW w:w="7528" w:type="dxa"/>
            <w:gridSpan w:val="4"/>
            <w:shd w:val="clear" w:color="auto" w:fill="4472C4"/>
            <w:vAlign w:val="center"/>
          </w:tcPr>
          <w:p w14:paraId="4B0663D1" w14:textId="77777777" w:rsidR="00990B14" w:rsidRDefault="00000000">
            <w:pPr>
              <w:keepNext/>
              <w:spacing w:before="20" w:after="20"/>
              <w:jc w:val="center"/>
            </w:pPr>
            <w:r>
              <w:rPr>
                <w:b/>
                <w:bCs/>
                <w:i/>
                <w:iCs/>
                <w:color w:val="FFFFFF"/>
                <w:sz w:val="18"/>
                <w:szCs w:val="18"/>
              </w:rPr>
              <w:t>TOTAL</w:t>
            </w:r>
          </w:p>
        </w:tc>
        <w:tc>
          <w:tcPr>
            <w:tcW w:w="1877" w:type="dxa"/>
            <w:shd w:val="clear" w:color="auto" w:fill="4472C4"/>
            <w:vAlign w:val="center"/>
          </w:tcPr>
          <w:p w14:paraId="4F3017A3" w14:textId="77777777" w:rsidR="00990B14" w:rsidRDefault="00000000">
            <w:pPr>
              <w:keepNext/>
              <w:spacing w:before="20" w:after="20"/>
              <w:jc w:val="center"/>
            </w:pPr>
            <w:r>
              <w:rPr>
                <w:b/>
                <w:bCs/>
                <w:i/>
                <w:iCs/>
                <w:color w:val="FFFFFF"/>
                <w:sz w:val="18"/>
                <w:szCs w:val="18"/>
              </w:rPr>
              <w:t>100%</w:t>
            </w:r>
          </w:p>
        </w:tc>
      </w:tr>
    </w:tbl>
    <w:p w14:paraId="58AF8FEF" w14:textId="77777777" w:rsidR="00990B14" w:rsidRDefault="00990B14"/>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top w:w="40" w:type="dxa"/>
          <w:left w:w="90" w:type="dxa"/>
          <w:bottom w:w="40" w:type="dxa"/>
          <w:right w:w="90" w:type="dxa"/>
        </w:tblCellMar>
        <w:tblLook w:val="04A0" w:firstRow="1" w:lastRow="0" w:firstColumn="1" w:lastColumn="0" w:noHBand="0" w:noVBand="1"/>
      </w:tblPr>
      <w:tblGrid>
        <w:gridCol w:w="9405"/>
      </w:tblGrid>
      <w:tr w:rsidR="00990B14" w14:paraId="318C56E0" w14:textId="77777777">
        <w:trPr>
          <w:jc w:val="center"/>
        </w:trPr>
        <w:tc>
          <w:tcPr>
            <w:tcW w:w="9405" w:type="dxa"/>
            <w:shd w:val="clear" w:color="auto" w:fill="D9E2F3"/>
          </w:tcPr>
          <w:p w14:paraId="6231B843" w14:textId="77777777" w:rsidR="00990B14" w:rsidRDefault="00000000">
            <w:pPr>
              <w:spacing w:before="40" w:after="40"/>
              <w:jc w:val="both"/>
            </w:pPr>
            <w:r>
              <w:rPr>
                <w:b/>
                <w:bCs/>
                <w:i/>
                <w:iCs/>
                <w:sz w:val="18"/>
                <w:szCs w:val="18"/>
              </w:rPr>
              <w:t>Bibliografía básica:</w:t>
            </w:r>
          </w:p>
          <w:p w14:paraId="2876DD86" w14:textId="77777777" w:rsidR="00990B14" w:rsidRDefault="00000000">
            <w:pPr>
              <w:numPr>
                <w:ilvl w:val="0"/>
                <w:numId w:val="140"/>
              </w:numPr>
              <w:spacing w:after="20"/>
              <w:jc w:val="both"/>
            </w:pPr>
            <w:r>
              <w:rPr>
                <w:sz w:val="18"/>
                <w:szCs w:val="18"/>
              </w:rPr>
              <w:t xml:space="preserve">Álvarez de Sayas, C. y Sierra Lombardía, V. (2004). </w:t>
            </w:r>
            <w:r>
              <w:rPr>
                <w:i/>
                <w:iCs/>
                <w:sz w:val="18"/>
                <w:szCs w:val="18"/>
              </w:rPr>
              <w:t>Metodología de la investigación: solución de problemas profesionales</w:t>
            </w:r>
            <w:r>
              <w:rPr>
                <w:sz w:val="18"/>
                <w:szCs w:val="18"/>
              </w:rPr>
              <w:t>. Bolivia: KIPUS.</w:t>
            </w:r>
          </w:p>
          <w:p w14:paraId="731D28D4" w14:textId="77777777" w:rsidR="00990B14" w:rsidRDefault="00000000">
            <w:pPr>
              <w:numPr>
                <w:ilvl w:val="0"/>
                <w:numId w:val="140"/>
              </w:numPr>
              <w:spacing w:after="20"/>
              <w:jc w:val="both"/>
            </w:pPr>
            <w:r>
              <w:rPr>
                <w:sz w:val="18"/>
                <w:szCs w:val="18"/>
              </w:rPr>
              <w:t xml:space="preserve">Amuzquívar, L. (2021). </w:t>
            </w:r>
            <w:r>
              <w:rPr>
                <w:i/>
                <w:iCs/>
                <w:sz w:val="18"/>
                <w:szCs w:val="18"/>
              </w:rPr>
              <w:t>¿Cómo preparar y redactar monografías y otros trabajos académicos?</w:t>
            </w:r>
            <w:r>
              <w:rPr>
                <w:sz w:val="18"/>
                <w:szCs w:val="18"/>
              </w:rPr>
              <w:t xml:space="preserve"> La Paz – Bolivia.</w:t>
            </w:r>
          </w:p>
          <w:p w14:paraId="40B45456" w14:textId="77777777" w:rsidR="00990B14" w:rsidRDefault="00000000">
            <w:pPr>
              <w:numPr>
                <w:ilvl w:val="0"/>
                <w:numId w:val="140"/>
              </w:numPr>
              <w:spacing w:after="20"/>
              <w:jc w:val="both"/>
            </w:pPr>
            <w:r>
              <w:rPr>
                <w:sz w:val="18"/>
                <w:szCs w:val="18"/>
              </w:rPr>
              <w:t xml:space="preserve">Ander-Egg, E. (2009). </w:t>
            </w:r>
            <w:r>
              <w:rPr>
                <w:i/>
                <w:iCs/>
                <w:sz w:val="18"/>
                <w:szCs w:val="18"/>
              </w:rPr>
              <w:t>Métodos y Técnicas de Investigación</w:t>
            </w:r>
            <w:r>
              <w:rPr>
                <w:sz w:val="18"/>
                <w:szCs w:val="18"/>
              </w:rPr>
              <w:t>. Tomos I, II y III. Buenos Aires – Argentina: Lumen.</w:t>
            </w:r>
          </w:p>
          <w:p w14:paraId="611442E1" w14:textId="77777777" w:rsidR="00990B14" w:rsidRDefault="00000000">
            <w:pPr>
              <w:numPr>
                <w:ilvl w:val="0"/>
                <w:numId w:val="140"/>
              </w:numPr>
              <w:spacing w:after="20"/>
              <w:jc w:val="both"/>
            </w:pPr>
            <w:r>
              <w:rPr>
                <w:sz w:val="18"/>
                <w:szCs w:val="18"/>
              </w:rPr>
              <w:t xml:space="preserve">Ander-Egg, E. (2011). </w:t>
            </w:r>
            <w:r>
              <w:rPr>
                <w:i/>
                <w:iCs/>
                <w:sz w:val="18"/>
                <w:szCs w:val="18"/>
              </w:rPr>
              <w:t>Aprender a Investigar</w:t>
            </w:r>
            <w:r>
              <w:rPr>
                <w:sz w:val="18"/>
                <w:szCs w:val="18"/>
              </w:rPr>
              <w:t>. Buenos Aires – Argentina: Editorial Brujas.</w:t>
            </w:r>
          </w:p>
          <w:p w14:paraId="61569132" w14:textId="77777777" w:rsidR="00990B14" w:rsidRDefault="00000000">
            <w:pPr>
              <w:numPr>
                <w:ilvl w:val="0"/>
                <w:numId w:val="140"/>
              </w:numPr>
              <w:spacing w:after="20"/>
              <w:jc w:val="both"/>
            </w:pPr>
            <w:r>
              <w:rPr>
                <w:sz w:val="18"/>
                <w:szCs w:val="18"/>
              </w:rPr>
              <w:t>APA. Normas de citación y referencia de la American Psychological Association, séptima edición.</w:t>
            </w:r>
          </w:p>
          <w:p w14:paraId="510D14BD" w14:textId="77777777" w:rsidR="00990B14" w:rsidRDefault="00000000">
            <w:pPr>
              <w:numPr>
                <w:ilvl w:val="0"/>
                <w:numId w:val="140"/>
              </w:numPr>
              <w:spacing w:after="20"/>
              <w:jc w:val="both"/>
            </w:pPr>
            <w:r>
              <w:rPr>
                <w:sz w:val="18"/>
                <w:szCs w:val="18"/>
              </w:rPr>
              <w:t xml:space="preserve">Eco, H. (2006). </w:t>
            </w:r>
            <w:r>
              <w:rPr>
                <w:i/>
                <w:iCs/>
                <w:sz w:val="18"/>
                <w:szCs w:val="18"/>
              </w:rPr>
              <w:t>Cómo se hace una tesis</w:t>
            </w:r>
            <w:r>
              <w:rPr>
                <w:sz w:val="18"/>
                <w:szCs w:val="18"/>
              </w:rPr>
              <w:t>. México: Gedisa.</w:t>
            </w:r>
          </w:p>
          <w:p w14:paraId="7DE16DE0" w14:textId="77777777" w:rsidR="00990B14" w:rsidRDefault="00000000">
            <w:pPr>
              <w:numPr>
                <w:ilvl w:val="0"/>
                <w:numId w:val="140"/>
              </w:numPr>
              <w:spacing w:after="20"/>
              <w:jc w:val="both"/>
            </w:pPr>
            <w:r>
              <w:rPr>
                <w:sz w:val="18"/>
                <w:szCs w:val="18"/>
              </w:rPr>
              <w:t>Hernández Sampieri, R. y Mendoza, C. (2018). Metodología de la investigación: las rutas cuantitativa, cualitativa y mixta. México: McGraw-Hill.</w:t>
            </w:r>
          </w:p>
          <w:p w14:paraId="4C4114B3" w14:textId="77777777" w:rsidR="00990B14" w:rsidRDefault="00000000">
            <w:pPr>
              <w:numPr>
                <w:ilvl w:val="0"/>
                <w:numId w:val="140"/>
              </w:numPr>
              <w:spacing w:after="20"/>
              <w:jc w:val="both"/>
            </w:pPr>
            <w:r>
              <w:rPr>
                <w:sz w:val="18"/>
                <w:szCs w:val="18"/>
              </w:rPr>
              <w:t xml:space="preserve">Mejía, R. y Mejía, C. (2023). </w:t>
            </w:r>
            <w:r>
              <w:rPr>
                <w:i/>
                <w:iCs/>
                <w:sz w:val="18"/>
                <w:szCs w:val="18"/>
              </w:rPr>
              <w:t>Metodología de la investigación</w:t>
            </w:r>
            <w:r>
              <w:rPr>
                <w:sz w:val="18"/>
                <w:szCs w:val="18"/>
              </w:rPr>
              <w:t>. 5a ed. Bolivia.</w:t>
            </w:r>
          </w:p>
          <w:p w14:paraId="77C3E746" w14:textId="77777777" w:rsidR="00990B14" w:rsidRDefault="00000000">
            <w:pPr>
              <w:numPr>
                <w:ilvl w:val="0"/>
                <w:numId w:val="140"/>
              </w:numPr>
              <w:spacing w:after="20"/>
              <w:jc w:val="both"/>
            </w:pPr>
            <w:r>
              <w:rPr>
                <w:sz w:val="18"/>
                <w:szCs w:val="18"/>
              </w:rPr>
              <w:t>Reglamento General de Tipos y Modalidades de Graduación del Sistema Universitario Boliviano.</w:t>
            </w:r>
          </w:p>
        </w:tc>
      </w:tr>
      <w:tr w:rsidR="00990B14" w14:paraId="07A6D8F8" w14:textId="77777777">
        <w:trPr>
          <w:jc w:val="center"/>
        </w:trPr>
        <w:tc>
          <w:tcPr>
            <w:tcW w:w="9405" w:type="dxa"/>
            <w:shd w:val="clear" w:color="auto" w:fill="D9E2F3"/>
          </w:tcPr>
          <w:p w14:paraId="6FED9F52" w14:textId="77777777" w:rsidR="00990B14" w:rsidRDefault="00000000">
            <w:pPr>
              <w:spacing w:before="40" w:after="40"/>
              <w:jc w:val="both"/>
            </w:pPr>
            <w:r>
              <w:rPr>
                <w:b/>
                <w:bCs/>
                <w:i/>
                <w:iCs/>
                <w:sz w:val="18"/>
                <w:szCs w:val="18"/>
              </w:rPr>
              <w:t>Bibliografía complementaria:</w:t>
            </w:r>
          </w:p>
          <w:p w14:paraId="0A0605BA" w14:textId="77777777" w:rsidR="00990B14" w:rsidRDefault="00000000">
            <w:pPr>
              <w:numPr>
                <w:ilvl w:val="0"/>
                <w:numId w:val="140"/>
              </w:numPr>
              <w:spacing w:after="20"/>
              <w:jc w:val="both"/>
            </w:pPr>
            <w:r>
              <w:rPr>
                <w:sz w:val="18"/>
                <w:szCs w:val="18"/>
              </w:rPr>
              <w:t xml:space="preserve">Alayza, C., Cortés, G. y Hurtado, G. (2015). </w:t>
            </w:r>
            <w:r>
              <w:rPr>
                <w:i/>
                <w:iCs/>
                <w:sz w:val="18"/>
                <w:szCs w:val="18"/>
              </w:rPr>
              <w:t>Iniciarse en la Investigación Académica</w:t>
            </w:r>
            <w:r>
              <w:rPr>
                <w:sz w:val="18"/>
                <w:szCs w:val="18"/>
              </w:rPr>
              <w:t>. Universidad Privada de Ciencias Aplicadas.</w:t>
            </w:r>
          </w:p>
          <w:p w14:paraId="24166AA4" w14:textId="77777777" w:rsidR="00990B14" w:rsidRDefault="00000000">
            <w:pPr>
              <w:numPr>
                <w:ilvl w:val="0"/>
                <w:numId w:val="140"/>
              </w:numPr>
              <w:spacing w:after="20"/>
              <w:jc w:val="both"/>
            </w:pPr>
            <w:r>
              <w:rPr>
                <w:sz w:val="18"/>
                <w:szCs w:val="18"/>
              </w:rPr>
              <w:t xml:space="preserve">Mercado, S. (2004). </w:t>
            </w:r>
            <w:r>
              <w:rPr>
                <w:i/>
                <w:iCs/>
                <w:sz w:val="18"/>
                <w:szCs w:val="18"/>
              </w:rPr>
              <w:t>¿Cómo hacer una tesis?</w:t>
            </w:r>
            <w:r>
              <w:rPr>
                <w:sz w:val="18"/>
                <w:szCs w:val="18"/>
              </w:rPr>
              <w:t>. México: Limusa.</w:t>
            </w:r>
          </w:p>
          <w:p w14:paraId="0B05E6A7" w14:textId="77777777" w:rsidR="00990B14" w:rsidRDefault="00000000">
            <w:pPr>
              <w:numPr>
                <w:ilvl w:val="0"/>
                <w:numId w:val="140"/>
              </w:numPr>
              <w:spacing w:after="20"/>
              <w:jc w:val="both"/>
            </w:pPr>
            <w:r>
              <w:rPr>
                <w:sz w:val="18"/>
                <w:szCs w:val="18"/>
              </w:rPr>
              <w:t>Repositorio institucional de la Universidad Mayor de San Andrés: https://repositorio.umsa.bo</w:t>
            </w:r>
          </w:p>
          <w:p w14:paraId="7C6E5CAC" w14:textId="77777777" w:rsidR="00990B14" w:rsidRDefault="00000000">
            <w:pPr>
              <w:numPr>
                <w:ilvl w:val="0"/>
                <w:numId w:val="140"/>
              </w:numPr>
              <w:spacing w:after="20"/>
              <w:jc w:val="both"/>
            </w:pPr>
            <w:r>
              <w:rPr>
                <w:sz w:val="18"/>
                <w:szCs w:val="18"/>
              </w:rPr>
              <w:t xml:space="preserve">Ríos, B. W. (2019). </w:t>
            </w:r>
            <w:r>
              <w:rPr>
                <w:i/>
                <w:iCs/>
                <w:sz w:val="18"/>
                <w:szCs w:val="18"/>
              </w:rPr>
              <w:t>Ejecución del Proyecto de Investigación Científica</w:t>
            </w:r>
            <w:r>
              <w:rPr>
                <w:sz w:val="18"/>
                <w:szCs w:val="18"/>
              </w:rPr>
              <w:t>. 2a ed. Perú: Editorial San Marcos.</w:t>
            </w:r>
          </w:p>
          <w:p w14:paraId="30E621AE" w14:textId="77777777" w:rsidR="00990B14" w:rsidRDefault="00000000">
            <w:pPr>
              <w:numPr>
                <w:ilvl w:val="0"/>
                <w:numId w:val="140"/>
              </w:numPr>
              <w:spacing w:after="20"/>
              <w:jc w:val="both"/>
            </w:pPr>
            <w:r>
              <w:rPr>
                <w:sz w:val="18"/>
                <w:szCs w:val="18"/>
              </w:rPr>
              <w:t xml:space="preserve">Zorrilla, S. y Tórrez, M. (2004). </w:t>
            </w:r>
            <w:r>
              <w:rPr>
                <w:i/>
                <w:iCs/>
                <w:sz w:val="18"/>
                <w:szCs w:val="18"/>
              </w:rPr>
              <w:t>Guía para elaborar la tesis</w:t>
            </w:r>
            <w:r>
              <w:rPr>
                <w:sz w:val="18"/>
                <w:szCs w:val="18"/>
              </w:rPr>
              <w:t>. Naucalpan – México.</w:t>
            </w:r>
          </w:p>
        </w:tc>
      </w:tr>
    </w:tbl>
    <w:p w14:paraId="26DE63E2" w14:textId="77777777" w:rsidR="00395D6D" w:rsidRDefault="00395D6D">
      <w:pPr>
        <w:rPr>
          <w:sz w:val="0"/>
          <w:szCs w:val="0"/>
        </w:rPr>
        <w:sectPr w:rsidR="00395D6D" w:rsidSect="00034616">
          <w:headerReference w:type="default" r:id="rId23"/>
          <w:footerReference w:type="default" r:id="rId24"/>
          <w:pgSz w:w="12240" w:h="15840"/>
          <w:pgMar w:top="1701" w:right="1134" w:bottom="1134" w:left="1701" w:header="567" w:footer="567" w:gutter="0"/>
          <w:cols w:space="720"/>
          <w:docGrid w:linePitch="360"/>
        </w:sectPr>
      </w:pPr>
    </w:p>
    <w:p w14:paraId="3CAA9B03" w14:textId="77777777" w:rsidR="00990B14" w:rsidRDefault="00990B14">
      <w:pPr>
        <w:spacing w:line="5600" w:lineRule="exact"/>
      </w:pPr>
    </w:p>
    <w:p w14:paraId="7809879F" w14:textId="77777777" w:rsidR="00990B14" w:rsidRDefault="00000000">
      <w:pPr>
        <w:keepNext/>
        <w:jc w:val="center"/>
      </w:pPr>
      <w:r>
        <w:rPr>
          <w:b/>
          <w:bCs/>
          <w:sz w:val="40"/>
          <w:szCs w:val="40"/>
        </w:rPr>
        <w:t>4.6 Estrategias de aprendizaje y estrategias de enseñanza (estrategias, métodos, tipos, recursos)</w:t>
      </w:r>
    </w:p>
    <w:p w14:paraId="20A4CE2F" w14:textId="77777777" w:rsidR="006253E1" w:rsidRDefault="00000000">
      <w:pPr>
        <w:pStyle w:val="GrupoCuadros"/>
        <w:keepNext/>
        <w:pageBreakBefore/>
        <w:tabs>
          <w:tab w:val="left" w:pos="709"/>
        </w:tabs>
        <w:spacing w:before="120" w:after="200"/>
        <w:ind w:left="709" w:hanging="709"/>
        <w:outlineLvl w:val="1"/>
      </w:pPr>
      <w:bookmarkStart w:id="193" w:name="_Toc000000134"/>
      <w:r>
        <w:rPr>
          <w:b/>
          <w:sz w:val="24"/>
        </w:rPr>
        <w:t>4.6</w:t>
      </w:r>
      <w:r>
        <w:rPr>
          <w:b/>
          <w:sz w:val="24"/>
        </w:rPr>
        <w:tab/>
        <w:t>Estrategias de aprendizaje y estrategias de enseñanza (estrategias, métodos, tipos, recursos)</w:t>
      </w:r>
      <w:bookmarkEnd w:id="193"/>
    </w:p>
    <w:p w14:paraId="6D869872" w14:textId="77777777" w:rsidR="006253E1" w:rsidRDefault="00000000">
      <w:pPr>
        <w:spacing w:after="200"/>
        <w:jc w:val="both"/>
      </w:pPr>
      <w:r>
        <w:t>El Artículo 12 de la Resolución HCU N.º 032/2025 exige diferenciar las estrategias de aprendizaje que emplean los estudiantes de las estrategias de enseñanza que utiliza el docente, que ambas sean coherentes con los elementos de competencia, la unidad de competencia, el perfil y el modelo educativo, y que contemplen actividades autónomas y colectivas. En concordancia con el modelo por competencias y la pedagogía dialogante constructivista, el docente actúa como mediador del aprendizaje y el estudiante como constructor activo de su conocimiento.</w:t>
      </w:r>
    </w:p>
    <w:p w14:paraId="5F93302B" w14:textId="77777777" w:rsidR="006253E1" w:rsidRDefault="00000000">
      <w:pPr>
        <w:keepNext/>
        <w:tabs>
          <w:tab w:val="left" w:pos="709"/>
        </w:tabs>
        <w:spacing w:before="80" w:after="200"/>
        <w:ind w:left="709" w:hanging="709"/>
        <w:outlineLvl w:val="2"/>
      </w:pPr>
      <w:bookmarkStart w:id="194" w:name="_Toc000000135"/>
      <w:r>
        <w:rPr>
          <w:b/>
          <w:sz w:val="22"/>
        </w:rPr>
        <w:t>4.6.1</w:t>
      </w:r>
      <w:r>
        <w:rPr>
          <w:b/>
          <w:sz w:val="22"/>
        </w:rPr>
        <w:tab/>
        <w:t>Estrategias de aprendizaje</w:t>
      </w:r>
      <w:bookmarkEnd w:id="194"/>
    </w:p>
    <w:p w14:paraId="2CABCB0C" w14:textId="77777777" w:rsidR="006253E1" w:rsidRDefault="00000000">
      <w:pPr>
        <w:spacing w:after="200"/>
        <w:jc w:val="both"/>
      </w:pPr>
      <w:r>
        <w:t>Son las acciones que el estudiante realiza para construir, aplicar y demostrar sus competencias:</w:t>
      </w:r>
    </w:p>
    <w:p w14:paraId="559954A3" w14:textId="77777777" w:rsidR="006253E1" w:rsidRDefault="00000000">
      <w:pPr>
        <w:pStyle w:val="TituloCuadro"/>
        <w:keepNext/>
        <w:spacing w:before="40" w:after="80"/>
        <w:jc w:val="center"/>
      </w:pPr>
      <w:bookmarkStart w:id="195" w:name="_Toc000000340"/>
      <w:r>
        <w:rPr>
          <w:b/>
        </w:rPr>
        <w:t>Cuadro 1. Estrategias de aprendizaje del estudiante</w:t>
      </w:r>
      <w:bookmarkEnd w:id="195"/>
    </w:p>
    <w:tbl>
      <w:tblPr>
        <w:tblW w:w="9405" w:type="dxa"/>
        <w:jc w:val="center"/>
        <w:tblLayout w:type="fixed"/>
        <w:tblLook w:val="04A0" w:firstRow="1" w:lastRow="0" w:firstColumn="1" w:lastColumn="0" w:noHBand="0" w:noVBand="1"/>
      </w:tblPr>
      <w:tblGrid>
        <w:gridCol w:w="2352"/>
        <w:gridCol w:w="5290"/>
        <w:gridCol w:w="1763"/>
      </w:tblGrid>
      <w:tr w:rsidR="00395D6D" w14:paraId="094D85CA" w14:textId="77777777">
        <w:trPr>
          <w:tblHeader/>
          <w:jc w:val="center"/>
        </w:trPr>
        <w:tc>
          <w:tcPr>
            <w:tcW w:w="235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650E3C7" w14:textId="77777777" w:rsidR="006253E1" w:rsidRDefault="00000000">
            <w:pPr>
              <w:jc w:val="center"/>
            </w:pPr>
            <w:r>
              <w:rPr>
                <w:b/>
                <w:color w:val="FFFFFF"/>
              </w:rPr>
              <w:t>Estrategia</w:t>
            </w:r>
          </w:p>
        </w:tc>
        <w:tc>
          <w:tcPr>
            <w:tcW w:w="529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83F3F15" w14:textId="77777777" w:rsidR="006253E1" w:rsidRDefault="00000000">
            <w:pPr>
              <w:jc w:val="center"/>
            </w:pPr>
            <w:r>
              <w:rPr>
                <w:b/>
                <w:color w:val="FFFFFF"/>
              </w:rPr>
              <w:t>Descripción</w:t>
            </w:r>
          </w:p>
        </w:tc>
        <w:tc>
          <w:tcPr>
            <w:tcW w:w="176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D63D0C9" w14:textId="77777777" w:rsidR="006253E1" w:rsidRDefault="00000000">
            <w:pPr>
              <w:jc w:val="center"/>
            </w:pPr>
            <w:r>
              <w:rPr>
                <w:b/>
                <w:color w:val="FFFFFF"/>
              </w:rPr>
              <w:t>Tipo de actividad</w:t>
            </w:r>
          </w:p>
        </w:tc>
      </w:tr>
      <w:tr w:rsidR="00395D6D" w14:paraId="046F102F" w14:textId="77777777">
        <w:trPr>
          <w:jc w:val="center"/>
        </w:trPr>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7E1256E5" w14:textId="77777777" w:rsidR="006253E1" w:rsidRDefault="00000000">
            <w:pPr>
              <w:jc w:val="both"/>
            </w:pPr>
            <w:r>
              <w:t>Lectura previa y análisis normativo</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209C7818" w14:textId="77777777" w:rsidR="006253E1" w:rsidRDefault="00000000">
            <w:pPr>
              <w:jc w:val="both"/>
            </w:pPr>
            <w:r>
              <w:t>Estudio anticipado de normas, textos y casos, con elaboración de mapas conceptuales y cuadros sinópticos que muestren el conocimiento construido</w:t>
            </w:r>
          </w:p>
        </w:tc>
        <w:tc>
          <w:tcPr>
            <w:tcW w:w="1763" w:type="dxa"/>
            <w:tcBorders>
              <w:top w:val="single" w:sz="4" w:space="0" w:color="8EAADB"/>
              <w:left w:val="single" w:sz="4" w:space="0" w:color="8EAADB"/>
              <w:bottom w:val="single" w:sz="4" w:space="0" w:color="8EAADB"/>
              <w:right w:val="single" w:sz="4" w:space="0" w:color="8EAADB"/>
            </w:tcBorders>
            <w:shd w:val="clear" w:color="auto" w:fill="D9E2F3"/>
          </w:tcPr>
          <w:p w14:paraId="2DB7EF96" w14:textId="77777777" w:rsidR="006253E1" w:rsidRDefault="00000000">
            <w:pPr>
              <w:jc w:val="both"/>
            </w:pPr>
            <w:r>
              <w:t>Autónoma</w:t>
            </w:r>
          </w:p>
        </w:tc>
      </w:tr>
      <w:tr w:rsidR="00395D6D" w14:paraId="04E2A914" w14:textId="77777777">
        <w:trPr>
          <w:jc w:val="center"/>
        </w:trPr>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33CC8183" w14:textId="77777777" w:rsidR="006253E1" w:rsidRDefault="00000000">
            <w:pPr>
              <w:jc w:val="both"/>
            </w:pPr>
            <w:r>
              <w:t>Resolución de casos y problemas</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47915F66" w14:textId="77777777" w:rsidR="006253E1" w:rsidRDefault="00000000">
            <w:pPr>
              <w:jc w:val="both"/>
            </w:pPr>
            <w:r>
              <w:t>Análisis y solución de situaciones reales o simuladas de organizaciones públicas y privadas</w:t>
            </w:r>
          </w:p>
        </w:tc>
        <w:tc>
          <w:tcPr>
            <w:tcW w:w="1763" w:type="dxa"/>
            <w:tcBorders>
              <w:top w:val="single" w:sz="4" w:space="0" w:color="8EAADB"/>
              <w:left w:val="single" w:sz="4" w:space="0" w:color="8EAADB"/>
              <w:bottom w:val="single" w:sz="4" w:space="0" w:color="8EAADB"/>
              <w:right w:val="single" w:sz="4" w:space="0" w:color="8EAADB"/>
            </w:tcBorders>
            <w:shd w:val="clear" w:color="auto" w:fill="D9E2F3"/>
          </w:tcPr>
          <w:p w14:paraId="2F05999B" w14:textId="77777777" w:rsidR="006253E1" w:rsidRDefault="00000000">
            <w:pPr>
              <w:jc w:val="both"/>
            </w:pPr>
            <w:r>
              <w:t>Autónoma y colectiva</w:t>
            </w:r>
          </w:p>
        </w:tc>
      </w:tr>
      <w:tr w:rsidR="00395D6D" w14:paraId="108DD95B" w14:textId="77777777">
        <w:trPr>
          <w:jc w:val="center"/>
        </w:trPr>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067D089C" w14:textId="77777777" w:rsidR="006253E1" w:rsidRDefault="00000000">
            <w:pPr>
              <w:jc w:val="both"/>
            </w:pPr>
            <w:r>
              <w:t>Proyectos integradores</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05BFFFD3" w14:textId="77777777" w:rsidR="006253E1" w:rsidRDefault="00000000">
            <w:pPr>
              <w:jc w:val="both"/>
            </w:pPr>
            <w:r>
              <w:t>Desarrollo de proyectos con organizaciones reales que integran saberes de varias asignaturas</w:t>
            </w:r>
          </w:p>
        </w:tc>
        <w:tc>
          <w:tcPr>
            <w:tcW w:w="1763" w:type="dxa"/>
            <w:tcBorders>
              <w:top w:val="single" w:sz="4" w:space="0" w:color="8EAADB"/>
              <w:left w:val="single" w:sz="4" w:space="0" w:color="8EAADB"/>
              <w:bottom w:val="single" w:sz="4" w:space="0" w:color="8EAADB"/>
              <w:right w:val="single" w:sz="4" w:space="0" w:color="8EAADB"/>
            </w:tcBorders>
            <w:shd w:val="clear" w:color="auto" w:fill="D9E2F3"/>
          </w:tcPr>
          <w:p w14:paraId="31C5E924" w14:textId="77777777" w:rsidR="006253E1" w:rsidRDefault="00000000">
            <w:pPr>
              <w:jc w:val="both"/>
            </w:pPr>
            <w:r>
              <w:t>Colectiva</w:t>
            </w:r>
          </w:p>
        </w:tc>
      </w:tr>
      <w:tr w:rsidR="00395D6D" w14:paraId="0F284F9A" w14:textId="77777777">
        <w:trPr>
          <w:jc w:val="center"/>
        </w:trPr>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2CD83248" w14:textId="77777777" w:rsidR="006253E1" w:rsidRDefault="00000000">
            <w:pPr>
              <w:jc w:val="both"/>
            </w:pPr>
            <w:r>
              <w:t>Práctica en laboratorio y simuladores</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7D0DACCC" w14:textId="77777777" w:rsidR="006253E1" w:rsidRDefault="00000000">
            <w:pPr>
              <w:jc w:val="both"/>
            </w:pPr>
            <w:r>
              <w:t>Operación de software contable, sistemas de gestión empresarial, plataformas del Servicio de Impuestos Nacionales y herramientas de análisis de datos y auditoría</w:t>
            </w:r>
          </w:p>
        </w:tc>
        <w:tc>
          <w:tcPr>
            <w:tcW w:w="1763" w:type="dxa"/>
            <w:tcBorders>
              <w:top w:val="single" w:sz="4" w:space="0" w:color="8EAADB"/>
              <w:left w:val="single" w:sz="4" w:space="0" w:color="8EAADB"/>
              <w:bottom w:val="single" w:sz="4" w:space="0" w:color="8EAADB"/>
              <w:right w:val="single" w:sz="4" w:space="0" w:color="8EAADB"/>
            </w:tcBorders>
            <w:shd w:val="clear" w:color="auto" w:fill="D9E2F3"/>
          </w:tcPr>
          <w:p w14:paraId="10AB1A9A" w14:textId="77777777" w:rsidR="006253E1" w:rsidRDefault="00000000">
            <w:pPr>
              <w:jc w:val="both"/>
            </w:pPr>
            <w:r>
              <w:t>Autónoma y colectiva</w:t>
            </w:r>
          </w:p>
        </w:tc>
      </w:tr>
      <w:tr w:rsidR="00395D6D" w14:paraId="5CBEA917" w14:textId="77777777">
        <w:trPr>
          <w:jc w:val="center"/>
        </w:trPr>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18828FA1" w14:textId="77777777" w:rsidR="006253E1" w:rsidRDefault="00000000">
            <w:pPr>
              <w:jc w:val="both"/>
            </w:pPr>
            <w:r>
              <w:t>Elaboración de papeles de trabajo e informes</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63CCCE4E" w14:textId="77777777" w:rsidR="006253E1" w:rsidRDefault="00000000">
            <w:pPr>
              <w:jc w:val="both"/>
            </w:pPr>
            <w:r>
              <w:t>Preparación de papeles de trabajo, estados financieros, informes de auditoría y de sostenibilidad</w:t>
            </w:r>
          </w:p>
        </w:tc>
        <w:tc>
          <w:tcPr>
            <w:tcW w:w="1763" w:type="dxa"/>
            <w:tcBorders>
              <w:top w:val="single" w:sz="4" w:space="0" w:color="8EAADB"/>
              <w:left w:val="single" w:sz="4" w:space="0" w:color="8EAADB"/>
              <w:bottom w:val="single" w:sz="4" w:space="0" w:color="8EAADB"/>
              <w:right w:val="single" w:sz="4" w:space="0" w:color="8EAADB"/>
            </w:tcBorders>
            <w:shd w:val="clear" w:color="auto" w:fill="D9E2F3"/>
          </w:tcPr>
          <w:p w14:paraId="431376BA" w14:textId="77777777" w:rsidR="006253E1" w:rsidRDefault="00000000">
            <w:pPr>
              <w:jc w:val="both"/>
            </w:pPr>
            <w:r>
              <w:t>Autónoma y colectiva</w:t>
            </w:r>
          </w:p>
        </w:tc>
      </w:tr>
      <w:tr w:rsidR="00395D6D" w14:paraId="1CBFB582" w14:textId="77777777">
        <w:trPr>
          <w:jc w:val="center"/>
        </w:trPr>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1969CA4C" w14:textId="77777777" w:rsidR="006253E1" w:rsidRDefault="00000000">
            <w:pPr>
              <w:jc w:val="both"/>
            </w:pPr>
            <w:r>
              <w:t>Investigación formativa</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0A829184" w14:textId="77777777" w:rsidR="006253E1" w:rsidRDefault="00000000">
            <w:pPr>
              <w:jc w:val="both"/>
            </w:pPr>
            <w:r>
              <w:t>Indagación documental y de campo sobre problemas de la profesión, articulada con las líneas del Instituto de Investigaciones</w:t>
            </w:r>
          </w:p>
        </w:tc>
        <w:tc>
          <w:tcPr>
            <w:tcW w:w="1763" w:type="dxa"/>
            <w:tcBorders>
              <w:top w:val="single" w:sz="4" w:space="0" w:color="8EAADB"/>
              <w:left w:val="single" w:sz="4" w:space="0" w:color="8EAADB"/>
              <w:bottom w:val="single" w:sz="4" w:space="0" w:color="8EAADB"/>
              <w:right w:val="single" w:sz="4" w:space="0" w:color="8EAADB"/>
            </w:tcBorders>
            <w:shd w:val="clear" w:color="auto" w:fill="D9E2F3"/>
          </w:tcPr>
          <w:p w14:paraId="4E152881" w14:textId="77777777" w:rsidR="006253E1" w:rsidRDefault="00000000">
            <w:pPr>
              <w:jc w:val="both"/>
            </w:pPr>
            <w:r>
              <w:t>Autónoma</w:t>
            </w:r>
          </w:p>
        </w:tc>
      </w:tr>
      <w:tr w:rsidR="00395D6D" w14:paraId="61CD7936" w14:textId="77777777">
        <w:trPr>
          <w:jc w:val="center"/>
        </w:trPr>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01A2EB23" w14:textId="77777777" w:rsidR="006253E1" w:rsidRDefault="00000000">
            <w:pPr>
              <w:jc w:val="both"/>
            </w:pPr>
            <w:r>
              <w:t>Aprendizaje cooperativo</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622345F3" w14:textId="77777777" w:rsidR="006253E1" w:rsidRDefault="00000000">
            <w:pPr>
              <w:jc w:val="both"/>
            </w:pPr>
            <w:r>
              <w:t>Trabajo en equipos con roles definidos, discusión de casos y coevaluación</w:t>
            </w:r>
          </w:p>
        </w:tc>
        <w:tc>
          <w:tcPr>
            <w:tcW w:w="1763" w:type="dxa"/>
            <w:tcBorders>
              <w:top w:val="single" w:sz="4" w:space="0" w:color="8EAADB"/>
              <w:left w:val="single" w:sz="4" w:space="0" w:color="8EAADB"/>
              <w:bottom w:val="single" w:sz="4" w:space="0" w:color="8EAADB"/>
              <w:right w:val="single" w:sz="4" w:space="0" w:color="8EAADB"/>
            </w:tcBorders>
            <w:shd w:val="clear" w:color="auto" w:fill="D9E2F3"/>
          </w:tcPr>
          <w:p w14:paraId="7E3F69DF" w14:textId="77777777" w:rsidR="006253E1" w:rsidRDefault="00000000">
            <w:pPr>
              <w:jc w:val="both"/>
            </w:pPr>
            <w:r>
              <w:t>Colectiva</w:t>
            </w:r>
          </w:p>
        </w:tc>
      </w:tr>
      <w:tr w:rsidR="00395D6D" w14:paraId="05AAE653" w14:textId="77777777">
        <w:trPr>
          <w:jc w:val="center"/>
        </w:trPr>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22AFE75C" w14:textId="77777777" w:rsidR="006253E1" w:rsidRDefault="00000000">
            <w:pPr>
              <w:jc w:val="both"/>
            </w:pPr>
            <w:r>
              <w:t>Autoevaluación y portafolio</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514B66A0" w14:textId="77777777" w:rsidR="006253E1" w:rsidRDefault="00000000">
            <w:pPr>
              <w:jc w:val="both"/>
            </w:pPr>
            <w:r>
              <w:t>Reflexión sobre el propio avance y compilación de evidencias de desempeño, de producto y de conocimiento</w:t>
            </w:r>
          </w:p>
        </w:tc>
        <w:tc>
          <w:tcPr>
            <w:tcW w:w="1763" w:type="dxa"/>
            <w:tcBorders>
              <w:top w:val="single" w:sz="4" w:space="0" w:color="8EAADB"/>
              <w:left w:val="single" w:sz="4" w:space="0" w:color="8EAADB"/>
              <w:bottom w:val="single" w:sz="4" w:space="0" w:color="8EAADB"/>
              <w:right w:val="single" w:sz="4" w:space="0" w:color="8EAADB"/>
            </w:tcBorders>
            <w:shd w:val="clear" w:color="auto" w:fill="D9E2F3"/>
          </w:tcPr>
          <w:p w14:paraId="54ACD66D" w14:textId="77777777" w:rsidR="006253E1" w:rsidRDefault="00000000">
            <w:pPr>
              <w:jc w:val="both"/>
            </w:pPr>
            <w:r>
              <w:t>Autónoma</w:t>
            </w:r>
          </w:p>
        </w:tc>
      </w:tr>
      <w:tr w:rsidR="00395D6D" w14:paraId="76B84B14" w14:textId="77777777">
        <w:trPr>
          <w:jc w:val="center"/>
        </w:trPr>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08529FA6" w14:textId="77777777" w:rsidR="00472743" w:rsidRDefault="00000000">
            <w:pPr>
              <w:jc w:val="both"/>
            </w:pPr>
            <w:r w:rsidRPr="00472743">
              <w:t>Análisis de dilemas éticos y debate</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64C35E32" w14:textId="77777777" w:rsidR="00472743" w:rsidRDefault="00000000">
            <w:pPr>
              <w:jc w:val="both"/>
            </w:pPr>
            <w:r w:rsidRPr="00472743">
              <w:t>Estudio de situaciones profesionales reales en las que entran en conflicto la independencia, la confidencialidad, el interés público y la presión del cliente, con preparación de posiciones y debate argumentado en aula</w:t>
            </w:r>
          </w:p>
        </w:tc>
        <w:tc>
          <w:tcPr>
            <w:tcW w:w="1763" w:type="dxa"/>
            <w:tcBorders>
              <w:top w:val="single" w:sz="4" w:space="0" w:color="8EAADB"/>
              <w:left w:val="single" w:sz="4" w:space="0" w:color="8EAADB"/>
              <w:bottom w:val="single" w:sz="4" w:space="0" w:color="8EAADB"/>
              <w:right w:val="single" w:sz="4" w:space="0" w:color="8EAADB"/>
            </w:tcBorders>
            <w:shd w:val="clear" w:color="auto" w:fill="D9E2F3"/>
          </w:tcPr>
          <w:p w14:paraId="36019B87" w14:textId="77777777" w:rsidR="00472743" w:rsidRDefault="00000000">
            <w:pPr>
              <w:jc w:val="both"/>
            </w:pPr>
            <w:r w:rsidRPr="00472743">
              <w:t>Autónoma y colectiva</w:t>
            </w:r>
          </w:p>
        </w:tc>
      </w:tr>
      <w:tr w:rsidR="00395D6D" w14:paraId="369DBAF6" w14:textId="77777777">
        <w:trPr>
          <w:jc w:val="center"/>
        </w:trPr>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17253195" w14:textId="77777777" w:rsidR="00472743" w:rsidRDefault="00000000">
            <w:pPr>
              <w:jc w:val="both"/>
            </w:pPr>
            <w:r w:rsidRPr="00472743">
              <w:t>Pasantías y prácticas preprofesionales</w:t>
            </w:r>
          </w:p>
        </w:tc>
        <w:tc>
          <w:tcPr>
            <w:tcW w:w="5290" w:type="dxa"/>
            <w:tcBorders>
              <w:top w:val="single" w:sz="4" w:space="0" w:color="8EAADB"/>
              <w:left w:val="single" w:sz="4" w:space="0" w:color="8EAADB"/>
              <w:bottom w:val="single" w:sz="4" w:space="0" w:color="8EAADB"/>
              <w:right w:val="single" w:sz="4" w:space="0" w:color="8EAADB"/>
            </w:tcBorders>
            <w:shd w:val="clear" w:color="auto" w:fill="D9E2F3"/>
          </w:tcPr>
          <w:p w14:paraId="08EBE997" w14:textId="77777777" w:rsidR="00472743" w:rsidRDefault="00000000">
            <w:pPr>
              <w:jc w:val="both"/>
            </w:pPr>
            <w:r w:rsidRPr="00472743">
              <w:t>Participación supervisada en entidades públicas y privadas con convenio, donde el estudiante aplica procedimientos propios de su especialidad y presenta un informe de práctica con la valoración del tutor de la entidad</w:t>
            </w:r>
          </w:p>
        </w:tc>
        <w:tc>
          <w:tcPr>
            <w:tcW w:w="1763" w:type="dxa"/>
            <w:tcBorders>
              <w:top w:val="single" w:sz="4" w:space="0" w:color="8EAADB"/>
              <w:left w:val="single" w:sz="4" w:space="0" w:color="8EAADB"/>
              <w:bottom w:val="single" w:sz="4" w:space="0" w:color="8EAADB"/>
              <w:right w:val="single" w:sz="4" w:space="0" w:color="8EAADB"/>
            </w:tcBorders>
            <w:shd w:val="clear" w:color="auto" w:fill="D9E2F3"/>
          </w:tcPr>
          <w:p w14:paraId="5D6CEBC5" w14:textId="77777777" w:rsidR="00472743" w:rsidRDefault="00000000">
            <w:pPr>
              <w:jc w:val="both"/>
            </w:pPr>
            <w:r w:rsidRPr="00472743">
              <w:t>Colectiva</w:t>
            </w:r>
          </w:p>
        </w:tc>
      </w:tr>
    </w:tbl>
    <w:p w14:paraId="5C1A3367" w14:textId="77777777" w:rsidR="006253E1" w:rsidRDefault="00000000">
      <w:pPr>
        <w:spacing w:after="120"/>
      </w:pPr>
      <w:r w:rsidRPr="00472743">
        <w:rPr>
          <w:b/>
          <w:bCs/>
        </w:rPr>
        <w:t>Uso crítico de inteligencia artificial.</w:t>
      </w:r>
      <w:r>
        <w:t xml:space="preserve"> e</w:t>
      </w:r>
      <w:r w:rsidRPr="00472743">
        <w:t>n todas las estrategias el estudiante puede emplear inteligencia artificial para consultar y verificar, sin copiar y justificando su razonamiento</w:t>
      </w:r>
    </w:p>
    <w:p w14:paraId="7432CD8F" w14:textId="77777777" w:rsidR="006253E1" w:rsidRDefault="00000000">
      <w:pPr>
        <w:keepNext/>
        <w:tabs>
          <w:tab w:val="left" w:pos="709"/>
        </w:tabs>
        <w:spacing w:before="80" w:after="200"/>
        <w:ind w:left="709" w:hanging="709"/>
        <w:outlineLvl w:val="2"/>
      </w:pPr>
      <w:bookmarkStart w:id="196" w:name="_Toc000000136"/>
      <w:r>
        <w:rPr>
          <w:b/>
          <w:sz w:val="22"/>
        </w:rPr>
        <w:t>4.6.2</w:t>
      </w:r>
      <w:r>
        <w:rPr>
          <w:b/>
          <w:sz w:val="22"/>
        </w:rPr>
        <w:tab/>
        <w:t>Estrategias de enseñanza</w:t>
      </w:r>
      <w:bookmarkEnd w:id="196"/>
    </w:p>
    <w:p w14:paraId="5C04CA4E" w14:textId="77777777" w:rsidR="006253E1" w:rsidRDefault="00000000">
      <w:pPr>
        <w:spacing w:after="200"/>
        <w:jc w:val="both"/>
      </w:pPr>
      <w:r>
        <w:t>Son las acciones que el docente planifica y ejecuta para mediar el aprendizaje. Al planificarlas considera la definición previa de los resultados de aprendizaje, la diversidad de estilos y ritmos de los estudiantes, la retroalimentación continua, la distribución del tiempo y la evaluación de la eficacia de los métodos empleados. Sus principales componentes son:</w:t>
      </w:r>
    </w:p>
    <w:p w14:paraId="3ED1E6C8" w14:textId="77777777" w:rsidR="006253E1" w:rsidRDefault="00000000">
      <w:pPr>
        <w:numPr>
          <w:ilvl w:val="0"/>
          <w:numId w:val="43"/>
        </w:numPr>
        <w:spacing w:after="160"/>
        <w:jc w:val="both"/>
      </w:pPr>
      <w:r>
        <w:rPr>
          <w:b/>
        </w:rPr>
        <w:t>Presentación del plan de asignatura:</w:t>
      </w:r>
      <w:r>
        <w:t xml:space="preserve"> al inicio de la gestión el docente presenta la finalidad de la asignatura en relación con la vida profesional, la unidad y los elementos de competencia, los contenidos y los procedimientos de evaluación.</w:t>
      </w:r>
    </w:p>
    <w:p w14:paraId="158F5555" w14:textId="77777777" w:rsidR="006253E1" w:rsidRDefault="00000000">
      <w:pPr>
        <w:numPr>
          <w:ilvl w:val="0"/>
          <w:numId w:val="43"/>
        </w:numPr>
        <w:spacing w:after="160"/>
        <w:jc w:val="both"/>
      </w:pPr>
      <w:r>
        <w:rPr>
          <w:b/>
        </w:rPr>
        <w:t>Desarrollo dialogado de contenidos:</w:t>
      </w:r>
      <w:r>
        <w:t xml:space="preserve"> el docente desarrolla los contenidos significativos de cada tema, plantea preguntas abiertas y propone prácticas, temas de investigación y casos con información real; no delega al estudiante el desarrollo de los contenidos.</w:t>
      </w:r>
    </w:p>
    <w:p w14:paraId="36C96D14" w14:textId="77777777" w:rsidR="006253E1" w:rsidRDefault="00000000">
      <w:pPr>
        <w:numPr>
          <w:ilvl w:val="0"/>
          <w:numId w:val="43"/>
        </w:numPr>
        <w:spacing w:after="160"/>
        <w:jc w:val="both"/>
      </w:pPr>
      <w:r>
        <w:rPr>
          <w:b/>
        </w:rPr>
        <w:t>Diseño de casos y simulaciones:</w:t>
      </w:r>
      <w:r>
        <w:t xml:space="preserve"> prepara casos de análisis, simulaciones de firmas de auditoría y consultoría, y prácticas de laboratorio con software especializado.</w:t>
      </w:r>
    </w:p>
    <w:p w14:paraId="686A71E1" w14:textId="77777777" w:rsidR="006253E1" w:rsidRDefault="00000000">
      <w:pPr>
        <w:numPr>
          <w:ilvl w:val="0"/>
          <w:numId w:val="43"/>
        </w:numPr>
        <w:spacing w:after="160"/>
        <w:jc w:val="both"/>
      </w:pPr>
      <w:r>
        <w:rPr>
          <w:b/>
        </w:rPr>
        <w:t>Tutoría y retroalimentación:</w:t>
      </w:r>
      <w:r>
        <w:t xml:space="preserve"> acompaña el avance de los estudiantes mediante la revisión de prácticas, la retroalimentación oportuna y el diálogo sobre los resultados obtenidos.</w:t>
      </w:r>
    </w:p>
    <w:p w14:paraId="569FA7DE" w14:textId="77777777" w:rsidR="006253E1" w:rsidRDefault="00000000">
      <w:pPr>
        <w:numPr>
          <w:ilvl w:val="0"/>
          <w:numId w:val="43"/>
        </w:numPr>
        <w:spacing w:after="160"/>
        <w:jc w:val="both"/>
      </w:pPr>
      <w:r>
        <w:rPr>
          <w:b/>
        </w:rPr>
        <w:t>Vinculación con el medio:</w:t>
      </w:r>
      <w:r>
        <w:t xml:space="preserve"> organiza visitas, proyectos y actividades con entidades públicas</w:t>
      </w:r>
      <w:r w:rsidR="00472743">
        <w:t>.</w:t>
      </w:r>
    </w:p>
    <w:p w14:paraId="45F7D567" w14:textId="77777777" w:rsidR="006253E1" w:rsidRDefault="00000000">
      <w:pPr>
        <w:numPr>
          <w:ilvl w:val="0"/>
          <w:numId w:val="43"/>
        </w:numPr>
        <w:spacing w:after="200"/>
        <w:jc w:val="both"/>
      </w:pPr>
      <w:r>
        <w:rPr>
          <w:b/>
        </w:rPr>
        <w:t>Actualización permanente:</w:t>
      </w:r>
      <w:r>
        <w:t xml:space="preserve"> incorpora los cambios normativos, tecnológicos y del entorno de las organizaciones a sus clases.</w:t>
      </w:r>
    </w:p>
    <w:p w14:paraId="4FC29D85" w14:textId="77777777" w:rsidR="00472743" w:rsidRPr="00472743" w:rsidRDefault="00000000">
      <w:pPr>
        <w:numPr>
          <w:ilvl w:val="0"/>
          <w:numId w:val="43"/>
        </w:numPr>
        <w:spacing w:after="200"/>
        <w:jc w:val="both"/>
      </w:pPr>
      <w:r w:rsidRPr="005B0248">
        <w:rPr>
          <w:b/>
        </w:rPr>
        <w:t>Planificación</w:t>
      </w:r>
      <w:r w:rsidRPr="00472743">
        <w:rPr>
          <w:b/>
          <w:bCs/>
        </w:rPr>
        <w:t xml:space="preserve"> del aula invertida</w:t>
      </w:r>
      <w:r w:rsidRPr="00472743">
        <w:t>: publica en la plataforma virtual las lecturas, normas y materiales previos a cada sesión, verifica su estudio con un control breve y destina la clase a resolver casos, aclarar dudas y practicar.</w:t>
      </w:r>
    </w:p>
    <w:p w14:paraId="7821CDA1" w14:textId="77777777" w:rsidR="00472743" w:rsidRDefault="00000000">
      <w:pPr>
        <w:numPr>
          <w:ilvl w:val="0"/>
          <w:numId w:val="43"/>
        </w:numPr>
        <w:spacing w:after="200"/>
        <w:jc w:val="both"/>
      </w:pPr>
      <w:r w:rsidRPr="00472743">
        <w:rPr>
          <w:b/>
          <w:bCs/>
        </w:rPr>
        <w:t>Moderación de dilemas éticos y debates:</w:t>
      </w:r>
      <w:r w:rsidRPr="00472743">
        <w:t xml:space="preserve"> plantea dilemas basados en situaciones reales, asigna posiciones a los equipos, modera la discusión y cierra la sesión con la conclusión según el marco ético profesional aplicable.</w:t>
      </w:r>
    </w:p>
    <w:p w14:paraId="43DAA348" w14:textId="77777777" w:rsidR="00472743" w:rsidRPr="00472743" w:rsidRDefault="00000000">
      <w:pPr>
        <w:numPr>
          <w:ilvl w:val="0"/>
          <w:numId w:val="43"/>
        </w:numPr>
        <w:spacing w:after="200"/>
        <w:jc w:val="both"/>
      </w:pPr>
      <w:r w:rsidRPr="005B0248">
        <w:rPr>
          <w:b/>
        </w:rPr>
        <w:t>Evaluación</w:t>
      </w:r>
      <w:r w:rsidRPr="00472743">
        <w:rPr>
          <w:b/>
          <w:bCs/>
        </w:rPr>
        <w:t xml:space="preserve"> con rúbricas:</w:t>
      </w:r>
      <w:r w:rsidRPr="00472743">
        <w:t xml:space="preserve"> entrega la rúbrica al inicio de cada producto, evalúa con ella y devuelve los resultados con observaciones que indican qué mejorar.</w:t>
      </w:r>
    </w:p>
    <w:p w14:paraId="35B6DC7F" w14:textId="77777777" w:rsidR="00472743" w:rsidRPr="00472743" w:rsidRDefault="00000000">
      <w:pPr>
        <w:numPr>
          <w:ilvl w:val="0"/>
          <w:numId w:val="43"/>
        </w:numPr>
        <w:spacing w:after="200"/>
        <w:jc w:val="both"/>
      </w:pPr>
      <w:r w:rsidRPr="00472743">
        <w:rPr>
          <w:b/>
          <w:bCs/>
        </w:rPr>
        <w:t>Tutoría de proyectos y prácticas:</w:t>
      </w:r>
      <w:r w:rsidRPr="00472743">
        <w:t xml:space="preserve"> asigna un tutor a cada proyecto o pasantía, acuerda con la entidad el plan de actividades, supervisa el avance y califica el informe final junto con el tutor de la entidad.</w:t>
      </w:r>
    </w:p>
    <w:p w14:paraId="4335B7B9" w14:textId="77777777" w:rsidR="006253E1" w:rsidRDefault="00000000">
      <w:pPr>
        <w:keepNext/>
        <w:tabs>
          <w:tab w:val="left" w:pos="709"/>
        </w:tabs>
        <w:spacing w:before="80" w:after="200"/>
        <w:ind w:left="709" w:hanging="709"/>
        <w:outlineLvl w:val="2"/>
      </w:pPr>
      <w:bookmarkStart w:id="197" w:name="_Toc000000137"/>
      <w:r>
        <w:rPr>
          <w:b/>
          <w:sz w:val="22"/>
        </w:rPr>
        <w:t>4.6.3</w:t>
      </w:r>
      <w:r>
        <w:rPr>
          <w:b/>
          <w:sz w:val="22"/>
        </w:rPr>
        <w:tab/>
        <w:t>Métodos</w:t>
      </w:r>
      <w:bookmarkEnd w:id="197"/>
    </w:p>
    <w:p w14:paraId="7ED607E6" w14:textId="77777777" w:rsidR="006253E1" w:rsidRDefault="00000000">
      <w:pPr>
        <w:spacing w:after="200"/>
        <w:jc w:val="both"/>
      </w:pPr>
      <w:r>
        <w:t>Según la naturaleza de cada tema, el docente selecciona y combina los siguientes métodos, con preferencia por los métodos activos:</w:t>
      </w:r>
    </w:p>
    <w:p w14:paraId="73F9FEA2" w14:textId="77777777" w:rsidR="006253E1" w:rsidRDefault="00000000">
      <w:pPr>
        <w:pStyle w:val="TituloCuadro"/>
        <w:keepNext/>
        <w:spacing w:before="40" w:after="80"/>
        <w:jc w:val="center"/>
        <w:rPr>
          <w:b/>
        </w:rPr>
      </w:pPr>
      <w:bookmarkStart w:id="198" w:name="_Toc000000341"/>
      <w:r>
        <w:rPr>
          <w:b/>
        </w:rPr>
        <w:t>Cuadro 2. Métodos de enseñanza y aprendizaje</w:t>
      </w:r>
      <w:bookmarkEnd w:id="198"/>
    </w:p>
    <w:tbl>
      <w:tblPr>
        <w:tblW w:w="9405" w:type="dxa"/>
        <w:jc w:val="center"/>
        <w:tblLayout w:type="fixed"/>
        <w:tblLook w:val="04A0" w:firstRow="1" w:lastRow="0" w:firstColumn="1" w:lastColumn="0" w:noHBand="0" w:noVBand="1"/>
      </w:tblPr>
      <w:tblGrid>
        <w:gridCol w:w="3233"/>
        <w:gridCol w:w="6172"/>
      </w:tblGrid>
      <w:tr w:rsidR="00395D6D" w14:paraId="14BA7E1C" w14:textId="77777777">
        <w:trPr>
          <w:tblHeader/>
          <w:jc w:val="center"/>
        </w:trPr>
        <w:tc>
          <w:tcPr>
            <w:tcW w:w="323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8AA8543" w14:textId="77777777" w:rsidR="006253E1" w:rsidRDefault="00000000">
            <w:pPr>
              <w:jc w:val="center"/>
            </w:pPr>
            <w:r>
              <w:rPr>
                <w:b/>
                <w:color w:val="FFFFFF"/>
              </w:rPr>
              <w:t>Método</w:t>
            </w:r>
          </w:p>
        </w:tc>
        <w:tc>
          <w:tcPr>
            <w:tcW w:w="617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0C73149" w14:textId="77777777" w:rsidR="006253E1" w:rsidRDefault="00000000">
            <w:pPr>
              <w:jc w:val="center"/>
            </w:pPr>
            <w:r>
              <w:rPr>
                <w:b/>
                <w:color w:val="FFFFFF"/>
              </w:rPr>
              <w:t>Uso principal en la Carrera</w:t>
            </w:r>
          </w:p>
        </w:tc>
      </w:tr>
      <w:tr w:rsidR="00395D6D" w14:paraId="3D707C11" w14:textId="77777777">
        <w:trPr>
          <w:jc w:val="center"/>
        </w:trPr>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5184C1AD" w14:textId="77777777" w:rsidR="006253E1" w:rsidRDefault="00000000" w:rsidP="00472743">
            <w:pPr>
              <w:jc w:val="both"/>
            </w:pPr>
            <w:r>
              <w:t>Expositivo dialogado</w:t>
            </w:r>
          </w:p>
        </w:tc>
        <w:tc>
          <w:tcPr>
            <w:tcW w:w="6172" w:type="dxa"/>
            <w:tcBorders>
              <w:top w:val="single" w:sz="4" w:space="0" w:color="8EAADB"/>
              <w:left w:val="single" w:sz="4" w:space="0" w:color="8EAADB"/>
              <w:bottom w:val="single" w:sz="4" w:space="0" w:color="8EAADB"/>
              <w:right w:val="single" w:sz="4" w:space="0" w:color="8EAADB"/>
            </w:tcBorders>
            <w:shd w:val="clear" w:color="auto" w:fill="D9E2F3"/>
          </w:tcPr>
          <w:p w14:paraId="6D06EAF4" w14:textId="77777777" w:rsidR="006253E1" w:rsidRDefault="00000000" w:rsidP="00472743">
            <w:pPr>
              <w:jc w:val="both"/>
            </w:pPr>
            <w:r>
              <w:t>Presentación de marcos conceptuales y normativos con participación de los estudiantes</w:t>
            </w:r>
          </w:p>
        </w:tc>
      </w:tr>
      <w:tr w:rsidR="00395D6D" w14:paraId="27C80612" w14:textId="77777777">
        <w:trPr>
          <w:jc w:val="center"/>
        </w:trPr>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1F546188" w14:textId="77777777" w:rsidR="006253E1" w:rsidRDefault="00000000" w:rsidP="00472743">
            <w:pPr>
              <w:jc w:val="both"/>
            </w:pPr>
            <w:r>
              <w:t>Estudio de casos</w:t>
            </w:r>
          </w:p>
        </w:tc>
        <w:tc>
          <w:tcPr>
            <w:tcW w:w="6172" w:type="dxa"/>
            <w:tcBorders>
              <w:top w:val="single" w:sz="4" w:space="0" w:color="8EAADB"/>
              <w:left w:val="single" w:sz="4" w:space="0" w:color="8EAADB"/>
              <w:bottom w:val="single" w:sz="4" w:space="0" w:color="8EAADB"/>
              <w:right w:val="single" w:sz="4" w:space="0" w:color="8EAADB"/>
            </w:tcBorders>
            <w:shd w:val="clear" w:color="auto" w:fill="D9E2F3"/>
          </w:tcPr>
          <w:p w14:paraId="032E7195" w14:textId="77777777" w:rsidR="006253E1" w:rsidRDefault="00000000" w:rsidP="00472743">
            <w:pPr>
              <w:jc w:val="both"/>
            </w:pPr>
            <w:r>
              <w:t>Análisis de situaciones contables, tributarias y de auditoría de organizaciones reales</w:t>
            </w:r>
          </w:p>
        </w:tc>
      </w:tr>
      <w:tr w:rsidR="00395D6D" w14:paraId="308D6B97" w14:textId="77777777">
        <w:trPr>
          <w:jc w:val="center"/>
        </w:trPr>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3F9DA913" w14:textId="77777777" w:rsidR="006253E1" w:rsidRDefault="00000000" w:rsidP="00472743">
            <w:pPr>
              <w:jc w:val="both"/>
            </w:pPr>
            <w:r>
              <w:t>Aprendizaje basado en problemas</w:t>
            </w:r>
          </w:p>
        </w:tc>
        <w:tc>
          <w:tcPr>
            <w:tcW w:w="6172" w:type="dxa"/>
            <w:tcBorders>
              <w:top w:val="single" w:sz="4" w:space="0" w:color="8EAADB"/>
              <w:left w:val="single" w:sz="4" w:space="0" w:color="8EAADB"/>
              <w:bottom w:val="single" w:sz="4" w:space="0" w:color="8EAADB"/>
              <w:right w:val="single" w:sz="4" w:space="0" w:color="8EAADB"/>
            </w:tcBorders>
            <w:shd w:val="clear" w:color="auto" w:fill="D9E2F3"/>
          </w:tcPr>
          <w:p w14:paraId="1E6C01CA" w14:textId="77777777" w:rsidR="006253E1" w:rsidRDefault="00000000" w:rsidP="00472743">
            <w:pPr>
              <w:jc w:val="both"/>
            </w:pPr>
            <w:r>
              <w:t>Resolución de problemas profesionales abiertos que exigen integrar saberes</w:t>
            </w:r>
          </w:p>
        </w:tc>
      </w:tr>
      <w:tr w:rsidR="00395D6D" w14:paraId="04CAA3B4" w14:textId="77777777">
        <w:trPr>
          <w:jc w:val="center"/>
        </w:trPr>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3C654517" w14:textId="77777777" w:rsidR="006253E1" w:rsidRDefault="00000000" w:rsidP="00472743">
            <w:pPr>
              <w:jc w:val="both"/>
            </w:pPr>
            <w:r>
              <w:t>Aprendizaje basado en proyectos</w:t>
            </w:r>
          </w:p>
        </w:tc>
        <w:tc>
          <w:tcPr>
            <w:tcW w:w="6172" w:type="dxa"/>
            <w:tcBorders>
              <w:top w:val="single" w:sz="4" w:space="0" w:color="8EAADB"/>
              <w:left w:val="single" w:sz="4" w:space="0" w:color="8EAADB"/>
              <w:bottom w:val="single" w:sz="4" w:space="0" w:color="8EAADB"/>
              <w:right w:val="single" w:sz="4" w:space="0" w:color="8EAADB"/>
            </w:tcBorders>
            <w:shd w:val="clear" w:color="auto" w:fill="D9E2F3"/>
          </w:tcPr>
          <w:p w14:paraId="141856E7" w14:textId="77777777" w:rsidR="006253E1" w:rsidRDefault="00000000" w:rsidP="00472743">
            <w:pPr>
              <w:jc w:val="both"/>
            </w:pPr>
            <w:r>
              <w:t>Proyectos integradores con organizaciones públicas, privadas y sociales</w:t>
            </w:r>
          </w:p>
        </w:tc>
      </w:tr>
      <w:tr w:rsidR="00395D6D" w14:paraId="1830D786" w14:textId="77777777">
        <w:trPr>
          <w:jc w:val="center"/>
        </w:trPr>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6CF6E450" w14:textId="77777777" w:rsidR="006253E1" w:rsidRDefault="00000000" w:rsidP="00472743">
            <w:pPr>
              <w:jc w:val="both"/>
            </w:pPr>
            <w:r>
              <w:t>Simulación</w:t>
            </w:r>
          </w:p>
        </w:tc>
        <w:tc>
          <w:tcPr>
            <w:tcW w:w="6172" w:type="dxa"/>
            <w:tcBorders>
              <w:top w:val="single" w:sz="4" w:space="0" w:color="8EAADB"/>
              <w:left w:val="single" w:sz="4" w:space="0" w:color="8EAADB"/>
              <w:bottom w:val="single" w:sz="4" w:space="0" w:color="8EAADB"/>
              <w:right w:val="single" w:sz="4" w:space="0" w:color="8EAADB"/>
            </w:tcBorders>
            <w:shd w:val="clear" w:color="auto" w:fill="D9E2F3"/>
          </w:tcPr>
          <w:p w14:paraId="56A1CC8B" w14:textId="77777777" w:rsidR="006253E1" w:rsidRDefault="00000000" w:rsidP="00472743">
            <w:pPr>
              <w:jc w:val="both"/>
            </w:pPr>
            <w:r>
              <w:t>Simulación de firmas de auditoría y consultoría, cierres contables y procesos tributarios en laboratorio</w:t>
            </w:r>
          </w:p>
        </w:tc>
      </w:tr>
      <w:tr w:rsidR="00395D6D" w14:paraId="7E8D82F7" w14:textId="77777777">
        <w:trPr>
          <w:jc w:val="center"/>
        </w:trPr>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24C90028" w14:textId="77777777" w:rsidR="006253E1" w:rsidRDefault="00000000" w:rsidP="00472743">
            <w:pPr>
              <w:jc w:val="both"/>
            </w:pPr>
            <w:r>
              <w:t>Demostración</w:t>
            </w:r>
          </w:p>
        </w:tc>
        <w:tc>
          <w:tcPr>
            <w:tcW w:w="6172" w:type="dxa"/>
            <w:tcBorders>
              <w:top w:val="single" w:sz="4" w:space="0" w:color="8EAADB"/>
              <w:left w:val="single" w:sz="4" w:space="0" w:color="8EAADB"/>
              <w:bottom w:val="single" w:sz="4" w:space="0" w:color="8EAADB"/>
              <w:right w:val="single" w:sz="4" w:space="0" w:color="8EAADB"/>
            </w:tcBorders>
            <w:shd w:val="clear" w:color="auto" w:fill="D9E2F3"/>
          </w:tcPr>
          <w:p w14:paraId="4E17B527" w14:textId="77777777" w:rsidR="006253E1" w:rsidRDefault="00000000" w:rsidP="00472743">
            <w:pPr>
              <w:jc w:val="both"/>
            </w:pPr>
            <w:r>
              <w:t>Ejecución guiada de procedimientos en software contable, de gestión empresarial y de auditoría</w:t>
            </w:r>
          </w:p>
        </w:tc>
      </w:tr>
      <w:tr w:rsidR="00395D6D" w14:paraId="71F1A5B2" w14:textId="77777777">
        <w:trPr>
          <w:jc w:val="center"/>
        </w:trPr>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15E629DB" w14:textId="77777777" w:rsidR="006253E1" w:rsidRDefault="00000000" w:rsidP="00472743">
            <w:pPr>
              <w:jc w:val="both"/>
            </w:pPr>
            <w:r>
              <w:t>Aprendizaje cooperativo</w:t>
            </w:r>
          </w:p>
        </w:tc>
        <w:tc>
          <w:tcPr>
            <w:tcW w:w="6172" w:type="dxa"/>
            <w:tcBorders>
              <w:top w:val="single" w:sz="4" w:space="0" w:color="8EAADB"/>
              <w:left w:val="single" w:sz="4" w:space="0" w:color="8EAADB"/>
              <w:bottom w:val="single" w:sz="4" w:space="0" w:color="8EAADB"/>
              <w:right w:val="single" w:sz="4" w:space="0" w:color="8EAADB"/>
            </w:tcBorders>
            <w:shd w:val="clear" w:color="auto" w:fill="D9E2F3"/>
          </w:tcPr>
          <w:p w14:paraId="39E06E3B" w14:textId="77777777" w:rsidR="006253E1" w:rsidRDefault="00000000" w:rsidP="00472743">
            <w:pPr>
              <w:jc w:val="both"/>
            </w:pPr>
            <w:r>
              <w:t>Trabajo en equipos multidisciplinarios con roles y responsabilidades</w:t>
            </w:r>
          </w:p>
        </w:tc>
      </w:tr>
      <w:tr w:rsidR="00395D6D" w14:paraId="3C067B95" w14:textId="77777777">
        <w:trPr>
          <w:jc w:val="center"/>
        </w:trPr>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5E6E9CD1" w14:textId="77777777" w:rsidR="006253E1" w:rsidRDefault="00000000" w:rsidP="00472743">
            <w:pPr>
              <w:jc w:val="both"/>
            </w:pPr>
            <w:r>
              <w:t>Investigación formativa</w:t>
            </w:r>
          </w:p>
        </w:tc>
        <w:tc>
          <w:tcPr>
            <w:tcW w:w="6172" w:type="dxa"/>
            <w:tcBorders>
              <w:top w:val="single" w:sz="4" w:space="0" w:color="8EAADB"/>
              <w:left w:val="single" w:sz="4" w:space="0" w:color="8EAADB"/>
              <w:bottom w:val="single" w:sz="4" w:space="0" w:color="8EAADB"/>
              <w:right w:val="single" w:sz="4" w:space="0" w:color="8EAADB"/>
            </w:tcBorders>
            <w:shd w:val="clear" w:color="auto" w:fill="D9E2F3"/>
          </w:tcPr>
          <w:p w14:paraId="5482E134" w14:textId="77777777" w:rsidR="006253E1" w:rsidRDefault="00000000" w:rsidP="00472743">
            <w:pPr>
              <w:jc w:val="both"/>
            </w:pPr>
            <w:r>
              <w:t>Desarrollo de trabajos de indagación vinculados a las modalidades de graduación</w:t>
            </w:r>
          </w:p>
        </w:tc>
      </w:tr>
      <w:tr w:rsidR="00395D6D" w14:paraId="41A05235" w14:textId="77777777">
        <w:trPr>
          <w:jc w:val="center"/>
        </w:trPr>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5FBFC7FD" w14:textId="77777777" w:rsidR="005B0248" w:rsidRDefault="00000000" w:rsidP="005B0248">
            <w:pPr>
              <w:jc w:val="both"/>
            </w:pPr>
            <w:r w:rsidRPr="004031D5">
              <w:t>Aula invertida</w:t>
            </w:r>
          </w:p>
        </w:tc>
        <w:tc>
          <w:tcPr>
            <w:tcW w:w="6172" w:type="dxa"/>
            <w:tcBorders>
              <w:top w:val="single" w:sz="4" w:space="0" w:color="8EAADB"/>
              <w:left w:val="single" w:sz="4" w:space="0" w:color="8EAADB"/>
              <w:bottom w:val="single" w:sz="4" w:space="0" w:color="8EAADB"/>
              <w:right w:val="single" w:sz="4" w:space="0" w:color="8EAADB"/>
            </w:tcBorders>
            <w:shd w:val="clear" w:color="auto" w:fill="D9E2F3"/>
          </w:tcPr>
          <w:p w14:paraId="5B680BFA" w14:textId="77777777" w:rsidR="005B0248" w:rsidRDefault="00000000" w:rsidP="005B0248">
            <w:pPr>
              <w:jc w:val="both"/>
            </w:pPr>
            <w:r w:rsidRPr="004031D5">
              <w:t>Estudio previo de lecturas y normas en la plataforma virtual, y uso de la clase para resolver casos, aclarar dudas y practicar</w:t>
            </w:r>
          </w:p>
        </w:tc>
      </w:tr>
      <w:tr w:rsidR="00395D6D" w14:paraId="60F878CB" w14:textId="77777777">
        <w:trPr>
          <w:jc w:val="center"/>
        </w:trPr>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3E7E93AB" w14:textId="77777777" w:rsidR="005B0248" w:rsidRDefault="00000000" w:rsidP="005B0248">
            <w:pPr>
              <w:jc w:val="both"/>
            </w:pPr>
            <w:r w:rsidRPr="004031D5">
              <w:t>Debate y análisis de dilemas éticos</w:t>
            </w:r>
          </w:p>
        </w:tc>
        <w:tc>
          <w:tcPr>
            <w:tcW w:w="6172" w:type="dxa"/>
            <w:tcBorders>
              <w:top w:val="single" w:sz="4" w:space="0" w:color="8EAADB"/>
              <w:left w:val="single" w:sz="4" w:space="0" w:color="8EAADB"/>
              <w:bottom w:val="single" w:sz="4" w:space="0" w:color="8EAADB"/>
              <w:right w:val="single" w:sz="4" w:space="0" w:color="8EAADB"/>
            </w:tcBorders>
            <w:shd w:val="clear" w:color="auto" w:fill="D9E2F3"/>
          </w:tcPr>
          <w:p w14:paraId="18F3EDDA" w14:textId="77777777" w:rsidR="005B0248" w:rsidRDefault="00000000" w:rsidP="005B0248">
            <w:pPr>
              <w:jc w:val="both"/>
            </w:pPr>
            <w:r w:rsidRPr="004031D5">
              <w:t>Discusión argumentada de situaciones profesionales con conflicto de independencia o de interés público, con posiciones asignadas y conclusión según el marco ético aplicable</w:t>
            </w:r>
          </w:p>
        </w:tc>
      </w:tr>
      <w:tr w:rsidR="00395D6D" w14:paraId="3CC2A500" w14:textId="77777777">
        <w:trPr>
          <w:jc w:val="center"/>
        </w:trPr>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373EF138" w14:textId="77777777" w:rsidR="005B0248" w:rsidRDefault="00000000" w:rsidP="005B0248">
            <w:pPr>
              <w:jc w:val="both"/>
            </w:pPr>
            <w:r w:rsidRPr="004031D5">
              <w:t>Práctica profesional supervisada</w:t>
            </w:r>
          </w:p>
        </w:tc>
        <w:tc>
          <w:tcPr>
            <w:tcW w:w="6172" w:type="dxa"/>
            <w:tcBorders>
              <w:top w:val="single" w:sz="4" w:space="0" w:color="8EAADB"/>
              <w:left w:val="single" w:sz="4" w:space="0" w:color="8EAADB"/>
              <w:bottom w:val="single" w:sz="4" w:space="0" w:color="8EAADB"/>
              <w:right w:val="single" w:sz="4" w:space="0" w:color="8EAADB"/>
            </w:tcBorders>
            <w:shd w:val="clear" w:color="auto" w:fill="D9E2F3"/>
          </w:tcPr>
          <w:p w14:paraId="04B8B349" w14:textId="77777777" w:rsidR="005B0248" w:rsidRDefault="00000000" w:rsidP="005B0248">
            <w:pPr>
              <w:jc w:val="both"/>
            </w:pPr>
            <w:r w:rsidRPr="004031D5">
              <w:t>Aplicación de procedimientos de la especialidad en entidades públicas y privadas con convenio, bajo supervisión de un tutor docente y un tutor de la entidad</w:t>
            </w:r>
          </w:p>
        </w:tc>
      </w:tr>
      <w:tr w:rsidR="00395D6D" w14:paraId="77E5BA5B" w14:textId="77777777">
        <w:trPr>
          <w:jc w:val="center"/>
        </w:trPr>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1240D4A8" w14:textId="77777777" w:rsidR="005B0248" w:rsidRDefault="00000000" w:rsidP="005B0248">
            <w:pPr>
              <w:jc w:val="both"/>
            </w:pPr>
            <w:r w:rsidRPr="004031D5">
              <w:t>Aprendizaje reflexivo</w:t>
            </w:r>
          </w:p>
        </w:tc>
        <w:tc>
          <w:tcPr>
            <w:tcW w:w="6172" w:type="dxa"/>
            <w:tcBorders>
              <w:top w:val="single" w:sz="4" w:space="0" w:color="8EAADB"/>
              <w:left w:val="single" w:sz="4" w:space="0" w:color="8EAADB"/>
              <w:bottom w:val="single" w:sz="4" w:space="0" w:color="8EAADB"/>
              <w:right w:val="single" w:sz="4" w:space="0" w:color="8EAADB"/>
            </w:tcBorders>
            <w:shd w:val="clear" w:color="auto" w:fill="D9E2F3"/>
          </w:tcPr>
          <w:p w14:paraId="5C2AFAD6" w14:textId="77777777" w:rsidR="005B0248" w:rsidRDefault="00000000" w:rsidP="005B0248">
            <w:pPr>
              <w:jc w:val="both"/>
            </w:pPr>
            <w:r w:rsidRPr="004031D5">
              <w:t>Registro y análisis del propio avance mediante portafolio de evidencias y bitácora, para identificar logros y aspectos a mejorar</w:t>
            </w:r>
          </w:p>
        </w:tc>
      </w:tr>
    </w:tbl>
    <w:p w14:paraId="432B345D" w14:textId="77777777" w:rsidR="006253E1" w:rsidRDefault="006253E1">
      <w:pPr>
        <w:spacing w:after="120"/>
      </w:pPr>
    </w:p>
    <w:p w14:paraId="6B849EA3" w14:textId="77777777" w:rsidR="006253E1" w:rsidRDefault="00000000">
      <w:pPr>
        <w:keepNext/>
        <w:tabs>
          <w:tab w:val="left" w:pos="709"/>
        </w:tabs>
        <w:spacing w:before="80" w:after="200"/>
        <w:ind w:left="709" w:hanging="709"/>
        <w:outlineLvl w:val="2"/>
      </w:pPr>
      <w:bookmarkStart w:id="199" w:name="_Toc000000138"/>
      <w:r>
        <w:rPr>
          <w:b/>
          <w:sz w:val="22"/>
        </w:rPr>
        <w:t>4.6.4</w:t>
      </w:r>
      <w:r>
        <w:rPr>
          <w:b/>
          <w:sz w:val="22"/>
        </w:rPr>
        <w:tab/>
        <w:t>Tipos de actividades</w:t>
      </w:r>
      <w:bookmarkEnd w:id="199"/>
    </w:p>
    <w:p w14:paraId="59C6BEA9" w14:textId="77777777" w:rsidR="006253E1" w:rsidRDefault="00000000">
      <w:pPr>
        <w:spacing w:after="200"/>
        <w:jc w:val="both"/>
      </w:pPr>
      <w:r>
        <w:t>Las actividades se organizan según la carga horaria presencial y no presencial de cada asignatura, definida en el punto 4.4.4:</w:t>
      </w:r>
    </w:p>
    <w:p w14:paraId="388D4584" w14:textId="77777777" w:rsidR="006253E1" w:rsidRDefault="00000000">
      <w:pPr>
        <w:numPr>
          <w:ilvl w:val="0"/>
          <w:numId w:val="44"/>
        </w:numPr>
        <w:spacing w:after="160"/>
        <w:jc w:val="both"/>
      </w:pPr>
      <w:r>
        <w:rPr>
          <w:b/>
        </w:rPr>
        <w:t>Actividades presenciales:</w:t>
      </w:r>
      <w:r>
        <w:t xml:space="preserve"> clases teóricas dialogadas, prácticas, laboratorios, talleres, seminarios, gabinetes, defensas de casos y visitas de campo, bajo supervisión docente y con apoyo de los auxiliares de docencia.</w:t>
      </w:r>
    </w:p>
    <w:p w14:paraId="1EB0B6EA" w14:textId="77777777" w:rsidR="006253E1" w:rsidRDefault="00000000">
      <w:pPr>
        <w:numPr>
          <w:ilvl w:val="0"/>
          <w:numId w:val="44"/>
        </w:numPr>
        <w:spacing w:after="160"/>
        <w:jc w:val="both"/>
      </w:pPr>
      <w:r>
        <w:rPr>
          <w:b/>
        </w:rPr>
        <w:t>Actividades no presenciales autónomas:</w:t>
      </w:r>
      <w:r>
        <w:t xml:space="preserve"> lectura, búsqueda de información, resolución de ejercicios, elaboración de ensayos, papeles de trabajo e informes, y preparación de evaluaciones.</w:t>
      </w:r>
    </w:p>
    <w:p w14:paraId="7C66004D" w14:textId="77777777" w:rsidR="006253E1" w:rsidRDefault="00000000">
      <w:pPr>
        <w:numPr>
          <w:ilvl w:val="0"/>
          <w:numId w:val="44"/>
        </w:numPr>
        <w:spacing w:after="160"/>
        <w:jc w:val="both"/>
      </w:pPr>
      <w:r>
        <w:rPr>
          <w:b/>
        </w:rPr>
        <w:t>Actividades colectivas:</w:t>
      </w:r>
      <w:r>
        <w:t xml:space="preserve"> proyectos en equipo, estudios de caso grupales, proyectos de interacción social y prácticas preprofesionales.</w:t>
      </w:r>
    </w:p>
    <w:p w14:paraId="70268D3F" w14:textId="77777777" w:rsidR="006253E1" w:rsidRDefault="00000000">
      <w:pPr>
        <w:numPr>
          <w:ilvl w:val="0"/>
          <w:numId w:val="44"/>
        </w:numPr>
        <w:spacing w:after="200"/>
        <w:jc w:val="both"/>
      </w:pPr>
      <w:r>
        <w:rPr>
          <w:b/>
        </w:rPr>
        <w:t>Actividades en entornos virtuales:</w:t>
      </w:r>
      <w:r>
        <w:t xml:space="preserve"> foros, tareas, controles de lectura y evaluaciones en línea en la plataforma virtual de la Carrera, que refuerzan el aprendizaje en aula y facilitan la participación del estudiante que trabaja.</w:t>
      </w:r>
    </w:p>
    <w:p w14:paraId="12058CB8" w14:textId="77777777" w:rsidR="006253E1" w:rsidRDefault="00000000">
      <w:pPr>
        <w:keepNext/>
        <w:tabs>
          <w:tab w:val="left" w:pos="709"/>
        </w:tabs>
        <w:spacing w:before="80" w:after="200"/>
        <w:ind w:left="709" w:hanging="709"/>
        <w:outlineLvl w:val="2"/>
      </w:pPr>
      <w:bookmarkStart w:id="200" w:name="_Toc000000139"/>
      <w:r>
        <w:rPr>
          <w:b/>
          <w:sz w:val="22"/>
        </w:rPr>
        <w:t>4.6.5</w:t>
      </w:r>
      <w:r>
        <w:rPr>
          <w:b/>
          <w:sz w:val="22"/>
        </w:rPr>
        <w:tab/>
        <w:t>Recursos</w:t>
      </w:r>
      <w:bookmarkEnd w:id="200"/>
    </w:p>
    <w:p w14:paraId="79F438CB" w14:textId="77777777" w:rsidR="006253E1" w:rsidRDefault="00000000">
      <w:pPr>
        <w:spacing w:after="200"/>
        <w:jc w:val="both"/>
      </w:pPr>
      <w:r>
        <w:t>Los recursos se seleccionan en coherencia con los resultados de aprendizaje y con criterios de accesibilidad para todos los estudiantes:</w:t>
      </w:r>
    </w:p>
    <w:p w14:paraId="2933CEAA" w14:textId="77777777" w:rsidR="006253E1" w:rsidRDefault="00000000">
      <w:pPr>
        <w:pStyle w:val="TituloCuadro"/>
        <w:keepNext/>
        <w:spacing w:before="40" w:after="80"/>
        <w:jc w:val="center"/>
      </w:pPr>
      <w:bookmarkStart w:id="201" w:name="_Toc000000342"/>
      <w:r>
        <w:rPr>
          <w:b/>
        </w:rPr>
        <w:t>Cuadro 3. Recursos de aprendizaje</w:t>
      </w:r>
      <w:bookmarkEnd w:id="201"/>
    </w:p>
    <w:tbl>
      <w:tblPr>
        <w:tblW w:w="9405" w:type="dxa"/>
        <w:jc w:val="center"/>
        <w:tblLayout w:type="fixed"/>
        <w:tblLook w:val="04A0" w:firstRow="1" w:lastRow="0" w:firstColumn="1" w:lastColumn="0" w:noHBand="0" w:noVBand="1"/>
      </w:tblPr>
      <w:tblGrid>
        <w:gridCol w:w="2352"/>
        <w:gridCol w:w="7053"/>
      </w:tblGrid>
      <w:tr w:rsidR="00395D6D" w14:paraId="2EBC8820" w14:textId="77777777">
        <w:trPr>
          <w:tblHeader/>
          <w:jc w:val="center"/>
        </w:trPr>
        <w:tc>
          <w:tcPr>
            <w:tcW w:w="235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38C209B" w14:textId="77777777" w:rsidR="006253E1" w:rsidRDefault="00000000">
            <w:pPr>
              <w:jc w:val="center"/>
            </w:pPr>
            <w:r>
              <w:rPr>
                <w:b/>
                <w:color w:val="FFFFFF"/>
              </w:rPr>
              <w:t>Tipo</w:t>
            </w:r>
          </w:p>
        </w:tc>
        <w:tc>
          <w:tcPr>
            <w:tcW w:w="705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1CBB3C5" w14:textId="77777777" w:rsidR="006253E1" w:rsidRDefault="00000000">
            <w:pPr>
              <w:jc w:val="center"/>
            </w:pPr>
            <w:r>
              <w:rPr>
                <w:b/>
                <w:color w:val="FFFFFF"/>
              </w:rPr>
              <w:t>Recursos</w:t>
            </w:r>
          </w:p>
        </w:tc>
      </w:tr>
      <w:tr w:rsidR="00395D6D" w14:paraId="71FFE0C4" w14:textId="77777777">
        <w:trPr>
          <w:jc w:val="center"/>
        </w:trPr>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11BEFB56" w14:textId="77777777" w:rsidR="006253E1" w:rsidRDefault="00000000">
            <w:pPr>
              <w:jc w:val="both"/>
            </w:pPr>
            <w:r>
              <w:t>Impresos y normativos</w:t>
            </w:r>
          </w:p>
        </w:tc>
        <w:tc>
          <w:tcPr>
            <w:tcW w:w="7053" w:type="dxa"/>
            <w:tcBorders>
              <w:top w:val="single" w:sz="4" w:space="0" w:color="8EAADB"/>
              <w:left w:val="single" w:sz="4" w:space="0" w:color="8EAADB"/>
              <w:bottom w:val="single" w:sz="4" w:space="0" w:color="8EAADB"/>
              <w:right w:val="single" w:sz="4" w:space="0" w:color="8EAADB"/>
            </w:tcBorders>
            <w:shd w:val="clear" w:color="auto" w:fill="D9E2F3"/>
          </w:tcPr>
          <w:p w14:paraId="66BCBF32" w14:textId="77777777" w:rsidR="006253E1" w:rsidRDefault="00000000">
            <w:pPr>
              <w:jc w:val="both"/>
            </w:pPr>
            <w:r>
              <w:t>Libros de texto, normas contables, de auditoría, de sostenibilidad y tributarias, y casos de estudio</w:t>
            </w:r>
          </w:p>
        </w:tc>
      </w:tr>
      <w:tr w:rsidR="00395D6D" w14:paraId="065B5090" w14:textId="77777777">
        <w:trPr>
          <w:jc w:val="center"/>
        </w:trPr>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005EA5DC" w14:textId="77777777" w:rsidR="006253E1" w:rsidRDefault="00000000">
            <w:pPr>
              <w:jc w:val="both"/>
            </w:pPr>
            <w:r>
              <w:t>Tecnológicos de aula</w:t>
            </w:r>
          </w:p>
        </w:tc>
        <w:tc>
          <w:tcPr>
            <w:tcW w:w="7053" w:type="dxa"/>
            <w:tcBorders>
              <w:top w:val="single" w:sz="4" w:space="0" w:color="8EAADB"/>
              <w:left w:val="single" w:sz="4" w:space="0" w:color="8EAADB"/>
              <w:bottom w:val="single" w:sz="4" w:space="0" w:color="8EAADB"/>
              <w:right w:val="single" w:sz="4" w:space="0" w:color="8EAADB"/>
            </w:tcBorders>
            <w:shd w:val="clear" w:color="auto" w:fill="D9E2F3"/>
          </w:tcPr>
          <w:p w14:paraId="4A0D96B4" w14:textId="77777777" w:rsidR="006253E1" w:rsidRDefault="00000000">
            <w:pPr>
              <w:jc w:val="both"/>
            </w:pPr>
            <w:r>
              <w:t>Proyectores multimedia, pizarras, equipos de sonido y dispositivos que favorecen la interacción entre docentes y estudiantes</w:t>
            </w:r>
          </w:p>
        </w:tc>
      </w:tr>
      <w:tr w:rsidR="00395D6D" w14:paraId="1C2D82F0" w14:textId="77777777">
        <w:trPr>
          <w:jc w:val="center"/>
        </w:trPr>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782E45A7" w14:textId="77777777" w:rsidR="006253E1" w:rsidRDefault="00000000">
            <w:pPr>
              <w:jc w:val="both"/>
            </w:pPr>
            <w:r>
              <w:t>Laboratorio</w:t>
            </w:r>
          </w:p>
        </w:tc>
        <w:tc>
          <w:tcPr>
            <w:tcW w:w="7053" w:type="dxa"/>
            <w:tcBorders>
              <w:top w:val="single" w:sz="4" w:space="0" w:color="8EAADB"/>
              <w:left w:val="single" w:sz="4" w:space="0" w:color="8EAADB"/>
              <w:bottom w:val="single" w:sz="4" w:space="0" w:color="8EAADB"/>
              <w:right w:val="single" w:sz="4" w:space="0" w:color="8EAADB"/>
            </w:tcBorders>
            <w:shd w:val="clear" w:color="auto" w:fill="D9E2F3"/>
          </w:tcPr>
          <w:p w14:paraId="2233115B" w14:textId="77777777" w:rsidR="006253E1" w:rsidRDefault="00000000">
            <w:pPr>
              <w:jc w:val="both"/>
            </w:pPr>
            <w:r>
              <w:t>Laboratorios de computación con software contable, sistemas de gestión empresarial, software de auditoría y herramientas de análisis de datos e inteligencia de negocios</w:t>
            </w:r>
          </w:p>
        </w:tc>
      </w:tr>
      <w:tr w:rsidR="00395D6D" w14:paraId="2D5C53A8" w14:textId="77777777">
        <w:trPr>
          <w:jc w:val="center"/>
        </w:trPr>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1904F17B" w14:textId="77777777" w:rsidR="006253E1" w:rsidRDefault="00000000">
            <w:pPr>
              <w:jc w:val="both"/>
            </w:pPr>
            <w:r>
              <w:t>Digitales y virtuales</w:t>
            </w:r>
          </w:p>
        </w:tc>
        <w:tc>
          <w:tcPr>
            <w:tcW w:w="7053" w:type="dxa"/>
            <w:tcBorders>
              <w:top w:val="single" w:sz="4" w:space="0" w:color="8EAADB"/>
              <w:left w:val="single" w:sz="4" w:space="0" w:color="8EAADB"/>
              <w:bottom w:val="single" w:sz="4" w:space="0" w:color="8EAADB"/>
              <w:right w:val="single" w:sz="4" w:space="0" w:color="8EAADB"/>
            </w:tcBorders>
            <w:shd w:val="clear" w:color="auto" w:fill="D9E2F3"/>
          </w:tcPr>
          <w:p w14:paraId="6DB0A950" w14:textId="77777777" w:rsidR="006253E1" w:rsidRDefault="00000000">
            <w:pPr>
              <w:jc w:val="both"/>
            </w:pPr>
            <w:r>
              <w:t>Plataforma virtual de la Carrera, salas de videoconferencia, material en versión digital, bibliotecas y bases de datos en línea, como el repositorio institucional, Research4Life, SciELO, Scopus y Dialnet</w:t>
            </w:r>
          </w:p>
        </w:tc>
      </w:tr>
      <w:tr w:rsidR="00395D6D" w14:paraId="10AB2F64" w14:textId="77777777">
        <w:trPr>
          <w:jc w:val="center"/>
        </w:trPr>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4A021598" w14:textId="77777777" w:rsidR="006253E1" w:rsidRDefault="00000000">
            <w:pPr>
              <w:jc w:val="both"/>
            </w:pPr>
            <w:r>
              <w:t>Del entorno profesional</w:t>
            </w:r>
          </w:p>
        </w:tc>
        <w:tc>
          <w:tcPr>
            <w:tcW w:w="7053" w:type="dxa"/>
            <w:tcBorders>
              <w:top w:val="single" w:sz="4" w:space="0" w:color="8EAADB"/>
              <w:left w:val="single" w:sz="4" w:space="0" w:color="8EAADB"/>
              <w:bottom w:val="single" w:sz="4" w:space="0" w:color="8EAADB"/>
              <w:right w:val="single" w:sz="4" w:space="0" w:color="8EAADB"/>
            </w:tcBorders>
            <w:shd w:val="clear" w:color="auto" w:fill="D9E2F3"/>
          </w:tcPr>
          <w:p w14:paraId="4D033F96" w14:textId="77777777" w:rsidR="006253E1" w:rsidRDefault="00000000">
            <w:pPr>
              <w:jc w:val="both"/>
            </w:pPr>
            <w:r>
              <w:t>Información real de organizaciones, plataformas oficiales del Servicio de Impuestos Nacionales y de la Contraloría General del Estado, y espacios de práctica en entidades con convenio</w:t>
            </w:r>
          </w:p>
        </w:tc>
      </w:tr>
    </w:tbl>
    <w:p w14:paraId="1245D743" w14:textId="77777777" w:rsidR="006253E1" w:rsidRDefault="00000000">
      <w:pPr>
        <w:spacing w:before="40" w:after="200"/>
        <w:sectPr w:rsidR="006253E1" w:rsidSect="00034616">
          <w:headerReference w:type="default" r:id="rId25"/>
          <w:footerReference w:type="default" r:id="rId26"/>
          <w:pgSz w:w="12240" w:h="15840"/>
          <w:pgMar w:top="1701" w:right="1134" w:bottom="1134" w:left="1701" w:header="567" w:footer="567" w:gutter="0"/>
          <w:cols w:space="720"/>
          <w:docGrid w:linePitch="360"/>
        </w:sectPr>
      </w:pPr>
      <w:r>
        <w:rPr>
          <w:sz w:val="16"/>
        </w:rPr>
        <w:t>Los recursos disponibles se detallan en los puntos 9, 10 y 14.</w:t>
      </w:r>
    </w:p>
    <w:p w14:paraId="1C5FE734" w14:textId="77777777" w:rsidR="00990B14" w:rsidRDefault="00990B14">
      <w:pPr>
        <w:spacing w:line="5600" w:lineRule="exact"/>
      </w:pPr>
    </w:p>
    <w:p w14:paraId="263582C5" w14:textId="77777777" w:rsidR="00990B14" w:rsidRDefault="00000000">
      <w:pPr>
        <w:keepNext/>
        <w:jc w:val="center"/>
      </w:pPr>
      <w:r>
        <w:rPr>
          <w:b/>
          <w:bCs/>
          <w:sz w:val="40"/>
          <w:szCs w:val="40"/>
        </w:rPr>
        <w:t>4.7 Evaluación de aprendizajes (estrategias, métodos, tipos, procedimientos, instrumentos y pruebas a desarrollar)</w:t>
      </w:r>
    </w:p>
    <w:p w14:paraId="6DE680FA" w14:textId="77777777" w:rsidR="00ED3284" w:rsidRDefault="00000000">
      <w:pPr>
        <w:pStyle w:val="GrupoCuadros"/>
        <w:keepNext/>
        <w:pageBreakBefore/>
        <w:tabs>
          <w:tab w:val="left" w:pos="709"/>
        </w:tabs>
        <w:spacing w:before="120" w:after="200"/>
        <w:ind w:left="709" w:hanging="709"/>
        <w:outlineLvl w:val="1"/>
      </w:pPr>
      <w:bookmarkStart w:id="202" w:name="_Toc000000140"/>
      <w:r>
        <w:rPr>
          <w:b/>
          <w:sz w:val="24"/>
        </w:rPr>
        <w:t>4.7</w:t>
      </w:r>
      <w:r>
        <w:rPr>
          <w:b/>
          <w:sz w:val="24"/>
        </w:rPr>
        <w:tab/>
        <w:t>Evaluación de aprendizajes (estrategias, métodos, tipos, procedimientos, instrumentos y pruebas a desarrollar)</w:t>
      </w:r>
      <w:bookmarkEnd w:id="202"/>
    </w:p>
    <w:p w14:paraId="3EEEE69D" w14:textId="77777777" w:rsidR="00ED3284" w:rsidRDefault="00000000">
      <w:pPr>
        <w:spacing w:after="200"/>
        <w:jc w:val="both"/>
      </w:pPr>
      <w:r>
        <w:t xml:space="preserve">Conforme al Artículo 12 de la Resolución HCU N.º 032/2025, la evaluación se concibe como retroalimentación para la mejora continua de los aprendizajes, sus estrategias son coherentes con el Reglamento del Régimen Académico Estudiantil y el plan especifica la nota necesaria para aprobar cada asignatura. En el modelo por competencias, la evaluación pasa de la comprobación memorística a la </w:t>
      </w:r>
      <w:r>
        <w:rPr>
          <w:b/>
        </w:rPr>
        <w:t>evaluación auténtica</w:t>
      </w:r>
      <w:r>
        <w:t>, que verifica el logro de cada elemento de competencia mediante evidencias observables</w:t>
      </w:r>
      <w:r w:rsidR="0057321F">
        <w:t>.</w:t>
      </w:r>
    </w:p>
    <w:p w14:paraId="6E11EF2C" w14:textId="77777777" w:rsidR="00ED3284" w:rsidRDefault="00000000">
      <w:pPr>
        <w:keepNext/>
        <w:tabs>
          <w:tab w:val="left" w:pos="709"/>
        </w:tabs>
        <w:spacing w:before="80" w:after="200"/>
        <w:ind w:left="709" w:hanging="709"/>
        <w:outlineLvl w:val="2"/>
      </w:pPr>
      <w:bookmarkStart w:id="203" w:name="_Toc000000141"/>
      <w:r>
        <w:rPr>
          <w:b/>
          <w:sz w:val="22"/>
        </w:rPr>
        <w:t>4.7.1</w:t>
      </w:r>
      <w:r>
        <w:rPr>
          <w:b/>
          <w:sz w:val="22"/>
        </w:rPr>
        <w:tab/>
        <w:t>Estrategias y tipos de evaluación</w:t>
      </w:r>
      <w:bookmarkEnd w:id="203"/>
    </w:p>
    <w:p w14:paraId="41115888" w14:textId="77777777" w:rsidR="00ED3284" w:rsidRDefault="00000000">
      <w:pPr>
        <w:pStyle w:val="TituloCuadro"/>
        <w:keepNext/>
        <w:spacing w:before="40" w:after="80"/>
        <w:jc w:val="center"/>
      </w:pPr>
      <w:bookmarkStart w:id="204" w:name="_Toc000000344"/>
      <w:r>
        <w:rPr>
          <w:b/>
        </w:rPr>
        <w:t>Cuadro 1. Tipos de evaluación</w:t>
      </w:r>
      <w:bookmarkEnd w:id="204"/>
    </w:p>
    <w:tbl>
      <w:tblPr>
        <w:tblW w:w="9405" w:type="dxa"/>
        <w:jc w:val="center"/>
        <w:tblLayout w:type="fixed"/>
        <w:tblLook w:val="04A0" w:firstRow="1" w:lastRow="0" w:firstColumn="1" w:lastColumn="0" w:noHBand="0" w:noVBand="1"/>
      </w:tblPr>
      <w:tblGrid>
        <w:gridCol w:w="1881"/>
        <w:gridCol w:w="3704"/>
        <w:gridCol w:w="3820"/>
      </w:tblGrid>
      <w:tr w:rsidR="00395D6D" w14:paraId="53D4467C" w14:textId="77777777">
        <w:trPr>
          <w:tblHeader/>
          <w:jc w:val="center"/>
        </w:trPr>
        <w:tc>
          <w:tcPr>
            <w:tcW w:w="188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17E2276" w14:textId="77777777" w:rsidR="00ED3284" w:rsidRDefault="00000000">
            <w:pPr>
              <w:jc w:val="center"/>
            </w:pPr>
            <w:r>
              <w:rPr>
                <w:b/>
                <w:color w:val="FFFFFF"/>
              </w:rPr>
              <w:t>Tipo</w:t>
            </w:r>
          </w:p>
        </w:tc>
        <w:tc>
          <w:tcPr>
            <w:tcW w:w="370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EFCE686" w14:textId="77777777" w:rsidR="00ED3284" w:rsidRDefault="00000000">
            <w:pPr>
              <w:jc w:val="center"/>
            </w:pPr>
            <w:r>
              <w:rPr>
                <w:b/>
                <w:color w:val="FFFFFF"/>
              </w:rPr>
              <w:t>Finalidad</w:t>
            </w:r>
          </w:p>
        </w:tc>
        <w:tc>
          <w:tcPr>
            <w:tcW w:w="382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724A4D4" w14:textId="77777777" w:rsidR="00ED3284" w:rsidRDefault="00000000">
            <w:pPr>
              <w:jc w:val="center"/>
            </w:pPr>
            <w:r>
              <w:rPr>
                <w:b/>
                <w:color w:val="FFFFFF"/>
              </w:rPr>
              <w:t>Instrumentos y evidencias</w:t>
            </w:r>
          </w:p>
        </w:tc>
      </w:tr>
      <w:tr w:rsidR="00395D6D" w14:paraId="0DD0AB60" w14:textId="77777777">
        <w:trPr>
          <w:jc w:val="center"/>
        </w:trPr>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11A0EB6D" w14:textId="77777777" w:rsidR="00ED3284" w:rsidRDefault="00000000">
            <w:pPr>
              <w:jc w:val="both"/>
            </w:pPr>
            <w:r>
              <w:t>Diagnóstica, al inicio</w:t>
            </w:r>
          </w:p>
        </w:tc>
        <w:tc>
          <w:tcPr>
            <w:tcW w:w="3704" w:type="dxa"/>
            <w:tcBorders>
              <w:top w:val="single" w:sz="4" w:space="0" w:color="8EAADB"/>
              <w:left w:val="single" w:sz="4" w:space="0" w:color="8EAADB"/>
              <w:bottom w:val="single" w:sz="4" w:space="0" w:color="8EAADB"/>
              <w:right w:val="single" w:sz="4" w:space="0" w:color="8EAADB"/>
            </w:tcBorders>
            <w:shd w:val="clear" w:color="auto" w:fill="D9E2F3"/>
          </w:tcPr>
          <w:p w14:paraId="6574690C" w14:textId="77777777" w:rsidR="00ED3284" w:rsidRDefault="00000000">
            <w:pPr>
              <w:jc w:val="both"/>
            </w:pPr>
            <w:r>
              <w:t>Identifica los saberes previos y las expectativas de aprendizaje, para cada tema y para la asignatura en su conjunto</w:t>
            </w:r>
          </w:p>
        </w:tc>
        <w:tc>
          <w:tcPr>
            <w:tcW w:w="3820" w:type="dxa"/>
            <w:tcBorders>
              <w:top w:val="single" w:sz="4" w:space="0" w:color="8EAADB"/>
              <w:left w:val="single" w:sz="4" w:space="0" w:color="8EAADB"/>
              <w:bottom w:val="single" w:sz="4" w:space="0" w:color="8EAADB"/>
              <w:right w:val="single" w:sz="4" w:space="0" w:color="8EAADB"/>
            </w:tcBorders>
            <w:shd w:val="clear" w:color="auto" w:fill="D9E2F3"/>
          </w:tcPr>
          <w:p w14:paraId="3DEED0E5" w14:textId="77777777" w:rsidR="00ED3284" w:rsidRDefault="00000000">
            <w:pPr>
              <w:tabs>
                <w:tab w:val="left" w:pos="255"/>
              </w:tabs>
              <w:ind w:left="255" w:hanging="255"/>
              <w:jc w:val="both"/>
            </w:pPr>
            <w:r w:rsidRPr="0057321F">
              <w:t>Prueba de entrada. Cuestionario de autodiagnóstico en la plataforma virtual. Control de lectura previa.</w:t>
            </w:r>
          </w:p>
        </w:tc>
      </w:tr>
      <w:tr w:rsidR="00395D6D" w14:paraId="1EAD6430" w14:textId="77777777">
        <w:trPr>
          <w:jc w:val="center"/>
        </w:trPr>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194B2E9C" w14:textId="77777777" w:rsidR="00ED3284" w:rsidRDefault="00000000">
            <w:pPr>
              <w:jc w:val="both"/>
            </w:pPr>
            <w:r>
              <w:t>Formativa, durante el proceso</w:t>
            </w:r>
          </w:p>
        </w:tc>
        <w:tc>
          <w:tcPr>
            <w:tcW w:w="3704" w:type="dxa"/>
            <w:tcBorders>
              <w:top w:val="single" w:sz="4" w:space="0" w:color="8EAADB"/>
              <w:left w:val="single" w:sz="4" w:space="0" w:color="8EAADB"/>
              <w:bottom w:val="single" w:sz="4" w:space="0" w:color="8EAADB"/>
              <w:right w:val="single" w:sz="4" w:space="0" w:color="8EAADB"/>
            </w:tcBorders>
            <w:shd w:val="clear" w:color="auto" w:fill="D9E2F3"/>
          </w:tcPr>
          <w:p w14:paraId="7447DB01" w14:textId="77777777" w:rsidR="00ED3284" w:rsidRDefault="00000000">
            <w:pPr>
              <w:jc w:val="both"/>
            </w:pPr>
            <w:r>
              <w:t>Retroalimenta el aprendizaje de forma oportuna y corrige desviaciones en el desempeño</w:t>
            </w:r>
          </w:p>
        </w:tc>
        <w:tc>
          <w:tcPr>
            <w:tcW w:w="3820" w:type="dxa"/>
            <w:tcBorders>
              <w:top w:val="single" w:sz="4" w:space="0" w:color="8EAADB"/>
              <w:left w:val="single" w:sz="4" w:space="0" w:color="8EAADB"/>
              <w:bottom w:val="single" w:sz="4" w:space="0" w:color="8EAADB"/>
              <w:right w:val="single" w:sz="4" w:space="0" w:color="8EAADB"/>
            </w:tcBorders>
            <w:shd w:val="clear" w:color="auto" w:fill="D9E2F3"/>
          </w:tcPr>
          <w:p w14:paraId="03A9A862" w14:textId="77777777" w:rsidR="00ED3284" w:rsidRDefault="00000000">
            <w:pPr>
              <w:tabs>
                <w:tab w:val="left" w:pos="255"/>
              </w:tabs>
              <w:ind w:left="255" w:hanging="255"/>
              <w:jc w:val="both"/>
            </w:pPr>
            <w:r w:rsidRPr="0057321F">
              <w:t>Portafolio digital de evidencias y bitácora reflexiva. Rúbricas de desempeño en taller, laboratorio y debate. Listas de cotejo en casos y simulaciones. Autoevaluación y coevaluación.</w:t>
            </w:r>
          </w:p>
        </w:tc>
      </w:tr>
      <w:tr w:rsidR="00395D6D" w14:paraId="5CB33FF3" w14:textId="77777777">
        <w:trPr>
          <w:jc w:val="center"/>
        </w:trPr>
        <w:tc>
          <w:tcPr>
            <w:tcW w:w="1881" w:type="dxa"/>
            <w:tcBorders>
              <w:top w:val="single" w:sz="4" w:space="0" w:color="8EAADB"/>
              <w:left w:val="single" w:sz="4" w:space="0" w:color="8EAADB"/>
              <w:bottom w:val="single" w:sz="4" w:space="0" w:color="8EAADB"/>
              <w:right w:val="single" w:sz="4" w:space="0" w:color="8EAADB"/>
            </w:tcBorders>
            <w:shd w:val="clear" w:color="auto" w:fill="D9E2F3"/>
          </w:tcPr>
          <w:p w14:paraId="7CE93BD5" w14:textId="77777777" w:rsidR="00ED3284" w:rsidRDefault="00000000">
            <w:pPr>
              <w:jc w:val="both"/>
            </w:pPr>
            <w:r>
              <w:t>Sumativa, al cierre</w:t>
            </w:r>
          </w:p>
        </w:tc>
        <w:tc>
          <w:tcPr>
            <w:tcW w:w="3704" w:type="dxa"/>
            <w:tcBorders>
              <w:top w:val="single" w:sz="4" w:space="0" w:color="8EAADB"/>
              <w:left w:val="single" w:sz="4" w:space="0" w:color="8EAADB"/>
              <w:bottom w:val="single" w:sz="4" w:space="0" w:color="8EAADB"/>
              <w:right w:val="single" w:sz="4" w:space="0" w:color="8EAADB"/>
            </w:tcBorders>
            <w:shd w:val="clear" w:color="auto" w:fill="D9E2F3"/>
          </w:tcPr>
          <w:p w14:paraId="1AA955A3" w14:textId="77777777" w:rsidR="00ED3284" w:rsidRDefault="00000000">
            <w:pPr>
              <w:jc w:val="both"/>
            </w:pPr>
            <w:r w:rsidRPr="0057321F">
              <w:t>Valora el nivel de logro de los elementos de competencia y determina la promoción</w:t>
            </w:r>
          </w:p>
        </w:tc>
        <w:tc>
          <w:tcPr>
            <w:tcW w:w="3820" w:type="dxa"/>
            <w:tcBorders>
              <w:top w:val="single" w:sz="4" w:space="0" w:color="8EAADB"/>
              <w:left w:val="single" w:sz="4" w:space="0" w:color="8EAADB"/>
              <w:bottom w:val="single" w:sz="4" w:space="0" w:color="8EAADB"/>
              <w:right w:val="single" w:sz="4" w:space="0" w:color="8EAADB"/>
            </w:tcBorders>
            <w:shd w:val="clear" w:color="auto" w:fill="D9E2F3"/>
          </w:tcPr>
          <w:p w14:paraId="6D472069" w14:textId="77777777" w:rsidR="00ED3284" w:rsidRDefault="00000000">
            <w:pPr>
              <w:tabs>
                <w:tab w:val="left" w:pos="255"/>
              </w:tabs>
              <w:ind w:left="255" w:hanging="255"/>
              <w:jc w:val="both"/>
            </w:pPr>
            <w:r w:rsidRPr="0057321F">
              <w:t>Prueba escrita individual de aplicación con casos y ejercicios. Prueba de ejecución en software contable o simulador. Defensa de proyectos integradores e informes técnicos. Sustentación de casos. Informe de práctica con valoración del tutor de la entidad. Portafolio final de evidencias.</w:t>
            </w:r>
          </w:p>
        </w:tc>
      </w:tr>
    </w:tbl>
    <w:p w14:paraId="63A92504" w14:textId="77777777" w:rsidR="00ED3284" w:rsidRDefault="00ED3284">
      <w:pPr>
        <w:spacing w:after="120"/>
      </w:pPr>
    </w:p>
    <w:p w14:paraId="6AFDFF30" w14:textId="77777777" w:rsidR="00ED3284" w:rsidRDefault="00000000">
      <w:pPr>
        <w:spacing w:after="200"/>
        <w:jc w:val="both"/>
      </w:pPr>
      <w:r>
        <w:t>Según su agente, la evaluación comprende la heteroevaluación del docente, la autoevaluación del estudiante sobre su propio avance y la coevaluación entre pares en los trabajos colectivos.</w:t>
      </w:r>
    </w:p>
    <w:p w14:paraId="2D33D47E" w14:textId="77777777" w:rsidR="00ED3284" w:rsidRDefault="00000000">
      <w:pPr>
        <w:keepNext/>
        <w:tabs>
          <w:tab w:val="left" w:pos="709"/>
        </w:tabs>
        <w:spacing w:before="80" w:after="200"/>
        <w:ind w:left="709" w:hanging="709"/>
        <w:outlineLvl w:val="2"/>
      </w:pPr>
      <w:bookmarkStart w:id="205" w:name="_Toc000000142"/>
      <w:r>
        <w:rPr>
          <w:b/>
          <w:sz w:val="22"/>
        </w:rPr>
        <w:t>4.7.2</w:t>
      </w:r>
      <w:r>
        <w:rPr>
          <w:b/>
          <w:sz w:val="22"/>
        </w:rPr>
        <w:tab/>
        <w:t>Evidencias de aprendizaje</w:t>
      </w:r>
      <w:bookmarkEnd w:id="205"/>
    </w:p>
    <w:p w14:paraId="386BA996" w14:textId="77777777" w:rsidR="00ED3284" w:rsidRDefault="00000000">
      <w:pPr>
        <w:spacing w:after="200"/>
        <w:jc w:val="both"/>
      </w:pPr>
      <w:r>
        <w:t>Para cada elemento de competencia, el plan de asignatura define tres tipos de evidencias, conforme al Artículo 9 de la Resolución HCU N.º 032/2025:</w:t>
      </w:r>
    </w:p>
    <w:p w14:paraId="1555A1BB" w14:textId="77777777" w:rsidR="00ED3284" w:rsidRDefault="00000000">
      <w:pPr>
        <w:numPr>
          <w:ilvl w:val="0"/>
          <w:numId w:val="45"/>
        </w:numPr>
        <w:spacing w:after="160"/>
        <w:jc w:val="both"/>
      </w:pPr>
      <w:r>
        <w:rPr>
          <w:b/>
        </w:rPr>
        <w:t>Evidencias de desempeño:</w:t>
      </w:r>
      <w:r>
        <w:t xml:space="preserve"> observación del estudiante mientras ejecuta un procedimiento, como la operación de un sistema contable, la aplicación de una prueba de auditoría o la exposición de un caso.</w:t>
      </w:r>
    </w:p>
    <w:p w14:paraId="112A4C4B" w14:textId="77777777" w:rsidR="00ED3284" w:rsidRDefault="00000000">
      <w:pPr>
        <w:numPr>
          <w:ilvl w:val="0"/>
          <w:numId w:val="45"/>
        </w:numPr>
        <w:spacing w:after="160"/>
        <w:jc w:val="both"/>
      </w:pPr>
      <w:r>
        <w:rPr>
          <w:b/>
        </w:rPr>
        <w:t>Evidencias de producto:</w:t>
      </w:r>
      <w:r>
        <w:t xml:space="preserve"> resultados tangibles del trabajo, como estados financieros, papeles de trabajo, informes de auditoría o de sostenibilidad, declaraciones tributarias y proyectos.</w:t>
      </w:r>
    </w:p>
    <w:p w14:paraId="1EBD860E" w14:textId="77777777" w:rsidR="00ED3284" w:rsidRDefault="00000000">
      <w:pPr>
        <w:numPr>
          <w:ilvl w:val="0"/>
          <w:numId w:val="45"/>
        </w:numPr>
        <w:spacing w:after="200"/>
        <w:jc w:val="both"/>
      </w:pPr>
      <w:r>
        <w:rPr>
          <w:b/>
        </w:rPr>
        <w:t>Evidencias de conocimiento:</w:t>
      </w:r>
      <w:r>
        <w:t xml:space="preserve"> pruebas que demuestran el dominio de conceptos, normas y procedimientos.</w:t>
      </w:r>
    </w:p>
    <w:p w14:paraId="67CC9263" w14:textId="77777777" w:rsidR="00ED3284" w:rsidRDefault="00000000">
      <w:pPr>
        <w:keepNext/>
        <w:tabs>
          <w:tab w:val="left" w:pos="709"/>
        </w:tabs>
        <w:spacing w:before="80" w:after="200"/>
        <w:ind w:left="709" w:hanging="709"/>
        <w:outlineLvl w:val="2"/>
      </w:pPr>
      <w:bookmarkStart w:id="206" w:name="_Toc000000143"/>
      <w:r>
        <w:rPr>
          <w:b/>
          <w:sz w:val="22"/>
        </w:rPr>
        <w:t>4.7.3</w:t>
      </w:r>
      <w:r>
        <w:rPr>
          <w:b/>
          <w:sz w:val="22"/>
        </w:rPr>
        <w:tab/>
        <w:t>Métodos, procedimientos e instrumentos</w:t>
      </w:r>
      <w:bookmarkEnd w:id="206"/>
    </w:p>
    <w:p w14:paraId="2E18CEDC" w14:textId="77777777" w:rsidR="00ED3284" w:rsidRDefault="00000000">
      <w:pPr>
        <w:pStyle w:val="TituloCuadro"/>
        <w:keepNext/>
        <w:spacing w:before="40" w:after="80"/>
        <w:jc w:val="center"/>
      </w:pPr>
      <w:bookmarkStart w:id="207" w:name="_Toc000000345"/>
      <w:r>
        <w:rPr>
          <w:b/>
        </w:rPr>
        <w:t>Cuadro 2. Instrumentos de evaluación</w:t>
      </w:r>
      <w:bookmarkEnd w:id="207"/>
    </w:p>
    <w:tbl>
      <w:tblPr>
        <w:tblW w:w="9405" w:type="dxa"/>
        <w:jc w:val="center"/>
        <w:tblLayout w:type="fixed"/>
        <w:tblLook w:val="04A0" w:firstRow="1" w:lastRow="0" w:firstColumn="1" w:lastColumn="0" w:noHBand="0" w:noVBand="1"/>
      </w:tblPr>
      <w:tblGrid>
        <w:gridCol w:w="2939"/>
        <w:gridCol w:w="6466"/>
      </w:tblGrid>
      <w:tr w:rsidR="00395D6D" w14:paraId="795FD599" w14:textId="77777777" w:rsidTr="000740D5">
        <w:trPr>
          <w:tblHeader/>
          <w:jc w:val="center"/>
        </w:trPr>
        <w:tc>
          <w:tcPr>
            <w:tcW w:w="293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8C4A12C" w14:textId="77777777" w:rsidR="0057321F" w:rsidRPr="0057321F" w:rsidRDefault="00000000" w:rsidP="0057321F">
            <w:pPr>
              <w:jc w:val="center"/>
              <w:rPr>
                <w:color w:val="FFFFFF" w:themeColor="background1"/>
              </w:rPr>
            </w:pPr>
            <w:r w:rsidRPr="0057321F">
              <w:rPr>
                <w:b/>
                <w:bCs/>
                <w:color w:val="FFFFFF" w:themeColor="background1"/>
              </w:rPr>
              <w:t>Instrumento</w:t>
            </w:r>
          </w:p>
        </w:tc>
        <w:tc>
          <w:tcPr>
            <w:tcW w:w="646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A67C0E4" w14:textId="77777777" w:rsidR="0057321F" w:rsidRPr="0057321F" w:rsidRDefault="00000000" w:rsidP="0057321F">
            <w:pPr>
              <w:jc w:val="center"/>
              <w:rPr>
                <w:color w:val="FFFFFF" w:themeColor="background1"/>
              </w:rPr>
            </w:pPr>
            <w:r w:rsidRPr="0057321F">
              <w:rPr>
                <w:b/>
                <w:bCs/>
                <w:color w:val="FFFFFF" w:themeColor="background1"/>
              </w:rPr>
              <w:t>Uso</w:t>
            </w:r>
          </w:p>
        </w:tc>
      </w:tr>
      <w:tr w:rsidR="00395D6D" w14:paraId="7B4AC299" w14:textId="77777777" w:rsidTr="000740D5">
        <w:trPr>
          <w:jc w:val="center"/>
        </w:trPr>
        <w:tc>
          <w:tcPr>
            <w:tcW w:w="2939"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C9248A3" w14:textId="77777777" w:rsidR="0057321F" w:rsidRDefault="00000000" w:rsidP="0057321F">
            <w:pPr>
              <w:jc w:val="both"/>
            </w:pPr>
            <w:r>
              <w:t>Control de lectura</w:t>
            </w:r>
          </w:p>
        </w:tc>
        <w:tc>
          <w:tcPr>
            <w:tcW w:w="646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2F9915F" w14:textId="77777777" w:rsidR="0057321F" w:rsidRDefault="00000000" w:rsidP="0057321F">
            <w:pPr>
              <w:jc w:val="both"/>
            </w:pPr>
            <w:r>
              <w:t>Cuestionarios breves en la plataforma virtual antes de cada sesión para verificar el estudio previo</w:t>
            </w:r>
          </w:p>
        </w:tc>
      </w:tr>
      <w:tr w:rsidR="00395D6D" w14:paraId="41743A68" w14:textId="77777777" w:rsidTr="000740D5">
        <w:trPr>
          <w:jc w:val="center"/>
        </w:trPr>
        <w:tc>
          <w:tcPr>
            <w:tcW w:w="2939"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E1866A8" w14:textId="77777777" w:rsidR="0057321F" w:rsidRDefault="00000000" w:rsidP="0057321F">
            <w:pPr>
              <w:jc w:val="both"/>
            </w:pPr>
            <w:r>
              <w:t>Pruebas escritas</w:t>
            </w:r>
          </w:p>
        </w:tc>
        <w:tc>
          <w:tcPr>
            <w:tcW w:w="646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9273DA3" w14:textId="77777777" w:rsidR="0057321F" w:rsidRDefault="00000000" w:rsidP="0057321F">
            <w:pPr>
              <w:jc w:val="both"/>
            </w:pPr>
            <w:r>
              <w:t>Comprobación individual del dominio conceptual y normativo, con preguntas de aplicación y análisis y resolución de casos y ejercicios</w:t>
            </w:r>
          </w:p>
        </w:tc>
      </w:tr>
      <w:tr w:rsidR="00395D6D" w14:paraId="5F180AB1" w14:textId="77777777" w:rsidTr="000740D5">
        <w:trPr>
          <w:jc w:val="center"/>
        </w:trPr>
        <w:tc>
          <w:tcPr>
            <w:tcW w:w="2939"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2F1775B" w14:textId="77777777" w:rsidR="0057321F" w:rsidRDefault="00000000" w:rsidP="0057321F">
            <w:pPr>
              <w:jc w:val="both"/>
            </w:pPr>
            <w:r>
              <w:t>Listas de cotejo y guías de observación</w:t>
            </w:r>
          </w:p>
        </w:tc>
        <w:tc>
          <w:tcPr>
            <w:tcW w:w="646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47CB427" w14:textId="77777777" w:rsidR="0057321F" w:rsidRDefault="00000000" w:rsidP="0057321F">
            <w:pPr>
              <w:jc w:val="both"/>
            </w:pPr>
            <w:r>
              <w:t>Verificación de procedimientos en laboratorio, simuladores y prácticas</w:t>
            </w:r>
          </w:p>
        </w:tc>
      </w:tr>
      <w:tr w:rsidR="00395D6D" w14:paraId="4C79EB05" w14:textId="77777777" w:rsidTr="000740D5">
        <w:trPr>
          <w:jc w:val="center"/>
        </w:trPr>
        <w:tc>
          <w:tcPr>
            <w:tcW w:w="2939"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85F0FED" w14:textId="77777777" w:rsidR="0057321F" w:rsidRDefault="00000000" w:rsidP="0057321F">
            <w:pPr>
              <w:jc w:val="both"/>
            </w:pPr>
            <w:r>
              <w:t>Demostraciones en simuladores</w:t>
            </w:r>
          </w:p>
        </w:tc>
        <w:tc>
          <w:tcPr>
            <w:tcW w:w="646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31F2D8F5" w14:textId="77777777" w:rsidR="0057321F" w:rsidRDefault="00000000" w:rsidP="0057321F">
            <w:pPr>
              <w:jc w:val="both"/>
            </w:pPr>
            <w:r>
              <w:t>Ejecución de tareas en sistemas de gestión empresarial, plataformas del Servicio de Impuestos Nacionales y software de auditoría, evaluada con lista de cotejo</w:t>
            </w:r>
          </w:p>
        </w:tc>
      </w:tr>
      <w:tr w:rsidR="00395D6D" w14:paraId="74DB7731" w14:textId="77777777" w:rsidTr="000740D5">
        <w:trPr>
          <w:jc w:val="center"/>
        </w:trPr>
        <w:tc>
          <w:tcPr>
            <w:tcW w:w="2939"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C3A0B9C" w14:textId="77777777" w:rsidR="0057321F" w:rsidRDefault="00000000" w:rsidP="0057321F">
            <w:pPr>
              <w:jc w:val="both"/>
            </w:pPr>
            <w:r>
              <w:t>Valoración del tutor de la entidad</w:t>
            </w:r>
          </w:p>
        </w:tc>
        <w:tc>
          <w:tcPr>
            <w:tcW w:w="646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59DC55FB" w14:textId="77777777" w:rsidR="0057321F" w:rsidRDefault="00000000" w:rsidP="0057321F">
            <w:pPr>
              <w:jc w:val="both"/>
            </w:pPr>
            <w:r>
              <w:t>Ficha de desempeño que completa el tutor de la entidad en proyectos y prácticas preprofesionales, con criterios definidos</w:t>
            </w:r>
          </w:p>
        </w:tc>
      </w:tr>
      <w:tr w:rsidR="00395D6D" w14:paraId="2C34B7D0" w14:textId="77777777" w:rsidTr="000740D5">
        <w:trPr>
          <w:jc w:val="center"/>
        </w:trPr>
        <w:tc>
          <w:tcPr>
            <w:tcW w:w="2939"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2787A0E" w14:textId="77777777" w:rsidR="0057321F" w:rsidRDefault="00000000" w:rsidP="0057321F">
            <w:pPr>
              <w:jc w:val="both"/>
            </w:pPr>
            <w:r>
              <w:t>Autoevaluación y coevaluación</w:t>
            </w:r>
          </w:p>
        </w:tc>
        <w:tc>
          <w:tcPr>
            <w:tcW w:w="646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02EF2A41" w14:textId="77777777" w:rsidR="0057321F" w:rsidRDefault="00000000" w:rsidP="0057321F">
            <w:pPr>
              <w:jc w:val="both"/>
            </w:pPr>
            <w:r>
              <w:t>Valoración del aporte propio y de los compañeros en trabajos de equipo, mediante matriz de roles</w:t>
            </w:r>
          </w:p>
        </w:tc>
      </w:tr>
      <w:tr w:rsidR="00395D6D" w14:paraId="624DE832" w14:textId="77777777" w:rsidTr="000740D5">
        <w:trPr>
          <w:jc w:val="center"/>
        </w:trPr>
        <w:tc>
          <w:tcPr>
            <w:tcW w:w="2939"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7D7C62E1" w14:textId="77777777" w:rsidR="0057321F" w:rsidRDefault="00000000" w:rsidP="0057321F">
            <w:pPr>
              <w:jc w:val="both"/>
            </w:pPr>
            <w:r>
              <w:t>Rúbricas analíticas</w:t>
            </w:r>
          </w:p>
        </w:tc>
        <w:tc>
          <w:tcPr>
            <w:tcW w:w="646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7EA4B0D" w14:textId="77777777" w:rsidR="0057321F" w:rsidRDefault="00000000" w:rsidP="0057321F">
            <w:pPr>
              <w:jc w:val="both"/>
            </w:pPr>
            <w:r>
              <w:t>Valoración objetiva de desempeños observables en defensas orales, sustentación de casos, debates, laboratorios y proyectos</w:t>
            </w:r>
          </w:p>
        </w:tc>
      </w:tr>
      <w:tr w:rsidR="00395D6D" w14:paraId="6DB815B4" w14:textId="77777777" w:rsidTr="000740D5">
        <w:trPr>
          <w:jc w:val="center"/>
        </w:trPr>
        <w:tc>
          <w:tcPr>
            <w:tcW w:w="2939"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1D1A206" w14:textId="77777777" w:rsidR="0057321F" w:rsidRPr="00A932E7" w:rsidRDefault="00000000" w:rsidP="0057321F">
            <w:pPr>
              <w:jc w:val="both"/>
            </w:pPr>
            <w:r>
              <w:t>Portafolio de evidencias y bitácora reflexiva</w:t>
            </w:r>
          </w:p>
        </w:tc>
        <w:tc>
          <w:tcPr>
            <w:tcW w:w="646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241B48B" w14:textId="77777777" w:rsidR="0057321F" w:rsidRPr="00A932E7" w:rsidRDefault="00000000" w:rsidP="0057321F">
            <w:pPr>
              <w:jc w:val="both"/>
            </w:pPr>
            <w:r>
              <w:t>Compilación digital de papeles de trabajo, proyectos e informes elaborados durante la gestión, con registro del avance y de los aprendizajes del estudiante</w:t>
            </w:r>
          </w:p>
        </w:tc>
      </w:tr>
      <w:tr w:rsidR="00395D6D" w14:paraId="0267C047" w14:textId="77777777" w:rsidTr="000740D5">
        <w:trPr>
          <w:jc w:val="center"/>
        </w:trPr>
        <w:tc>
          <w:tcPr>
            <w:tcW w:w="2939"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4A259918" w14:textId="77777777" w:rsidR="0057321F" w:rsidRPr="00A932E7" w:rsidRDefault="00000000" w:rsidP="0057321F">
            <w:pPr>
              <w:jc w:val="both"/>
            </w:pPr>
            <w:r>
              <w:t>Proyectos integradores</w:t>
            </w:r>
          </w:p>
        </w:tc>
        <w:tc>
          <w:tcPr>
            <w:tcW w:w="646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1F6F0D8E" w14:textId="77777777" w:rsidR="0057321F" w:rsidRPr="00A932E7" w:rsidRDefault="00000000" w:rsidP="0057321F">
            <w:pPr>
              <w:jc w:val="both"/>
            </w:pPr>
            <w:r>
              <w:t>Producto final de los proyectos con organizaciones reales, evaluado con rúbrica</w:t>
            </w:r>
          </w:p>
        </w:tc>
      </w:tr>
      <w:tr w:rsidR="00395D6D" w14:paraId="29A767F8" w14:textId="77777777" w:rsidTr="000740D5">
        <w:trPr>
          <w:jc w:val="center"/>
        </w:trPr>
        <w:tc>
          <w:tcPr>
            <w:tcW w:w="2939"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61482667" w14:textId="77777777" w:rsidR="0057321F" w:rsidRPr="00A932E7" w:rsidRDefault="00000000" w:rsidP="0057321F">
            <w:pPr>
              <w:jc w:val="both"/>
            </w:pPr>
            <w:r>
              <w:t>Informes técnicos y su defensa</w:t>
            </w:r>
          </w:p>
        </w:tc>
        <w:tc>
          <w:tcPr>
            <w:tcW w:w="6466" w:type="dxa"/>
            <w:tcBorders>
              <w:top w:val="single" w:sz="4" w:space="0" w:color="8EAADB"/>
              <w:left w:val="single" w:sz="4" w:space="0" w:color="8EAADB"/>
              <w:bottom w:val="single" w:sz="4" w:space="0" w:color="8EAADB"/>
              <w:right w:val="single" w:sz="4" w:space="0" w:color="8EAADB"/>
            </w:tcBorders>
            <w:shd w:val="clear" w:color="auto" w:fill="D9E2F3"/>
            <w:vAlign w:val="center"/>
          </w:tcPr>
          <w:p w14:paraId="27F6299E" w14:textId="77777777" w:rsidR="0057321F" w:rsidRPr="00A932E7" w:rsidRDefault="00000000" w:rsidP="0057321F">
            <w:pPr>
              <w:jc w:val="both"/>
            </w:pPr>
            <w:r>
              <w:t>Sustentación de informes de auditoría, de sostenibilidad, de investigación o de práctica preprofesional</w:t>
            </w:r>
          </w:p>
        </w:tc>
      </w:tr>
    </w:tbl>
    <w:p w14:paraId="164C5935" w14:textId="77777777" w:rsidR="00ED3284" w:rsidRDefault="00ED3284">
      <w:pPr>
        <w:spacing w:after="120"/>
      </w:pPr>
    </w:p>
    <w:p w14:paraId="0A06FE01" w14:textId="77777777" w:rsidR="00ED3284" w:rsidRDefault="00000000">
      <w:pPr>
        <w:spacing w:after="200"/>
        <w:jc w:val="both"/>
      </w:pPr>
      <w:r>
        <w:t>El procedimiento de evaluación de cada asignatura se presenta al inicio de la gestión en el plan de asignatura, con el cronograma de evaluaciones, la ponderación de cada evidencia y los criterios de desempeño. Las prácticas, investigaciones y casos deben tener un peso relevante en la evaluación total, porque son la principal fuente de evidencias de desempeño y de producto.</w:t>
      </w:r>
    </w:p>
    <w:p w14:paraId="494B253C" w14:textId="77777777" w:rsidR="00ED3284" w:rsidRDefault="00000000">
      <w:pPr>
        <w:keepNext/>
        <w:tabs>
          <w:tab w:val="left" w:pos="709"/>
        </w:tabs>
        <w:spacing w:before="80" w:after="200"/>
        <w:ind w:left="709" w:hanging="709"/>
        <w:outlineLvl w:val="2"/>
      </w:pPr>
      <w:bookmarkStart w:id="208" w:name="_Toc000000144"/>
      <w:r>
        <w:rPr>
          <w:b/>
          <w:sz w:val="22"/>
        </w:rPr>
        <w:t>4.7.4</w:t>
      </w:r>
      <w:r>
        <w:rPr>
          <w:b/>
          <w:sz w:val="22"/>
        </w:rPr>
        <w:tab/>
        <w:t>Escala de valoración y nota de aprobación</w:t>
      </w:r>
      <w:bookmarkEnd w:id="208"/>
    </w:p>
    <w:p w14:paraId="62E04377" w14:textId="77777777" w:rsidR="00ED3284" w:rsidRDefault="00000000">
      <w:pPr>
        <w:numPr>
          <w:ilvl w:val="0"/>
          <w:numId w:val="46"/>
        </w:numPr>
        <w:spacing w:after="160"/>
        <w:jc w:val="both"/>
      </w:pPr>
      <w:r>
        <w:rPr>
          <w:b/>
        </w:rPr>
        <w:t>Escala:</w:t>
      </w:r>
      <w:r>
        <w:t xml:space="preserve"> la valoración acumulada de cada asignatura se expresa en una escala de uno (1) a cien (100) puntos.</w:t>
      </w:r>
    </w:p>
    <w:p w14:paraId="50890FCF" w14:textId="77777777" w:rsidR="00ED3284" w:rsidRDefault="00000000">
      <w:pPr>
        <w:numPr>
          <w:ilvl w:val="0"/>
          <w:numId w:val="46"/>
        </w:numPr>
        <w:spacing w:after="160"/>
        <w:jc w:val="both"/>
      </w:pPr>
      <w:r>
        <w:rPr>
          <w:b/>
        </w:rPr>
        <w:t>Nota mínima de aprobación:</w:t>
      </w:r>
      <w:r>
        <w:t xml:space="preserve"> cincuenta y uno (51) puntos sobre cien, resultado de la suma ponderada de las evaluaciones del proceso y de la evaluación final.</w:t>
      </w:r>
    </w:p>
    <w:p w14:paraId="35306166" w14:textId="77777777" w:rsidR="00ED3284" w:rsidRDefault="00000000">
      <w:pPr>
        <w:numPr>
          <w:ilvl w:val="0"/>
          <w:numId w:val="46"/>
        </w:numPr>
        <w:spacing w:after="200"/>
        <w:jc w:val="both"/>
      </w:pPr>
      <w:r>
        <w:rPr>
          <w:b/>
        </w:rPr>
        <w:t>Distribución del puntaje:</w:t>
      </w:r>
      <w:r>
        <w:t xml:space="preserve"> se define en cada asignatura según su naturaleza y contenido, y se presenta al inicio de la gestión en el plan de asignatura.</w:t>
      </w:r>
    </w:p>
    <w:p w14:paraId="1C1560CC" w14:textId="77777777" w:rsidR="00395D6D" w:rsidRDefault="00395D6D">
      <w:pPr>
        <w:rPr>
          <w:sz w:val="0"/>
          <w:szCs w:val="0"/>
        </w:rPr>
        <w:sectPr w:rsidR="00395D6D" w:rsidSect="00034616">
          <w:headerReference w:type="default" r:id="rId27"/>
          <w:footerReference w:type="default" r:id="rId28"/>
          <w:pgSz w:w="12240" w:h="15840"/>
          <w:pgMar w:top="1701" w:right="1134" w:bottom="1134" w:left="1701" w:header="567" w:footer="567" w:gutter="0"/>
          <w:cols w:space="720"/>
          <w:docGrid w:linePitch="360"/>
        </w:sectPr>
      </w:pPr>
    </w:p>
    <w:p w14:paraId="7B2F244F" w14:textId="77777777" w:rsidR="00990B14" w:rsidRDefault="00990B14">
      <w:pPr>
        <w:spacing w:line="5600" w:lineRule="exact"/>
      </w:pPr>
    </w:p>
    <w:p w14:paraId="5A90DF5C" w14:textId="77777777" w:rsidR="00990B14" w:rsidRDefault="00000000">
      <w:pPr>
        <w:keepNext/>
        <w:jc w:val="center"/>
      </w:pPr>
      <w:r>
        <w:rPr>
          <w:b/>
          <w:bCs/>
          <w:sz w:val="40"/>
          <w:szCs w:val="40"/>
        </w:rPr>
        <w:t>4.8 Prácticas preprofesionales</w:t>
      </w:r>
    </w:p>
    <w:p w14:paraId="02D5C596" w14:textId="77777777" w:rsidR="007B3AB6" w:rsidRDefault="00000000">
      <w:pPr>
        <w:pStyle w:val="GrupoCuadros"/>
        <w:keepNext/>
        <w:pageBreakBefore/>
        <w:tabs>
          <w:tab w:val="left" w:pos="709"/>
        </w:tabs>
        <w:spacing w:before="120" w:after="200"/>
        <w:ind w:left="709" w:hanging="709"/>
        <w:outlineLvl w:val="1"/>
      </w:pPr>
      <w:bookmarkStart w:id="209" w:name="_Toc000000145"/>
      <w:r>
        <w:rPr>
          <w:b/>
          <w:sz w:val="24"/>
        </w:rPr>
        <w:t>4.8</w:t>
      </w:r>
      <w:r>
        <w:rPr>
          <w:b/>
          <w:sz w:val="24"/>
        </w:rPr>
        <w:tab/>
        <w:t>Prácticas preprofesionales</w:t>
      </w:r>
      <w:bookmarkEnd w:id="209"/>
    </w:p>
    <w:p w14:paraId="5E09B3F4" w14:textId="77777777" w:rsidR="007B3AB6" w:rsidRDefault="00000000">
      <w:pPr>
        <w:spacing w:after="200"/>
        <w:jc w:val="both"/>
      </w:pPr>
      <w:r>
        <w:t>El Artículo 12 de la Resolución HCU N.º 032/2025 establece que los estudiantes deben cumplir una cantidad de horas de prácticas preprofesionales en una empresa o institución pública o privada, con el fin de que ganen experiencia en el ámbito profesional, identifiquen su interés en alguna especialidad, construyan una red de contactos y acumulen méritos. La IES 5 de la IFAC exige, además, experiencia práctica suficiente para demostrar la competencia profesional.</w:t>
      </w:r>
    </w:p>
    <w:p w14:paraId="354974C8" w14:textId="77777777" w:rsidR="007B3AB6" w:rsidRDefault="00000000">
      <w:pPr>
        <w:spacing w:after="200"/>
        <w:jc w:val="both"/>
      </w:pPr>
      <w:r>
        <w:t>La incorporación de las prácticas responde a la evidencia del diagnóstico: la falta de experiencia práctica es la segunda barrera de contratación, con el 25 %, según la encuesta del BID de 2022; solo el 42 % de los egresados considera que la UMSA facilita la práctica en contextos reales; y el 88 % de los estudiantes respalda las prácticas obligatorias desde el tercer año. El Plan 2013 no contemplaba prácticas preprofesionales.</w:t>
      </w:r>
    </w:p>
    <w:p w14:paraId="5E11DEAB" w14:textId="77777777" w:rsidR="007B3AB6" w:rsidRDefault="00000000">
      <w:pPr>
        <w:keepNext/>
        <w:tabs>
          <w:tab w:val="left" w:pos="709"/>
        </w:tabs>
        <w:spacing w:before="80" w:after="200"/>
        <w:ind w:left="709" w:hanging="709"/>
        <w:outlineLvl w:val="2"/>
      </w:pPr>
      <w:bookmarkStart w:id="210" w:name="_Toc000000146"/>
      <w:r>
        <w:rPr>
          <w:b/>
          <w:sz w:val="22"/>
        </w:rPr>
        <w:t>4.8.1</w:t>
      </w:r>
      <w:r>
        <w:rPr>
          <w:b/>
          <w:sz w:val="22"/>
        </w:rPr>
        <w:tab/>
        <w:t>Objetivos</w:t>
      </w:r>
      <w:bookmarkEnd w:id="210"/>
    </w:p>
    <w:p w14:paraId="6E9820EF" w14:textId="77777777" w:rsidR="007B3AB6" w:rsidRDefault="00000000">
      <w:pPr>
        <w:numPr>
          <w:ilvl w:val="0"/>
          <w:numId w:val="47"/>
        </w:numPr>
        <w:spacing w:after="160"/>
        <w:jc w:val="both"/>
      </w:pPr>
      <w:r>
        <w:t>Aplicar en organizaciones reales las competencias desarrolladas en las asignaturas, bajo la supervisión de un tutor de la entidad y de un docente de la Carrera.</w:t>
      </w:r>
    </w:p>
    <w:p w14:paraId="5D34505B" w14:textId="77777777" w:rsidR="007B3AB6" w:rsidRDefault="00000000">
      <w:pPr>
        <w:numPr>
          <w:ilvl w:val="0"/>
          <w:numId w:val="47"/>
        </w:numPr>
        <w:spacing w:after="160"/>
        <w:jc w:val="both"/>
      </w:pPr>
      <w:r>
        <w:t>Desarrollar habilidades blandas, como la comunicación, el trabajo en equipo, la gestión del tiempo y la adaptabilidad, en el entorno laboral.</w:t>
      </w:r>
    </w:p>
    <w:p w14:paraId="3AFBA3AD" w14:textId="77777777" w:rsidR="007B3AB6" w:rsidRDefault="00000000">
      <w:pPr>
        <w:numPr>
          <w:ilvl w:val="0"/>
          <w:numId w:val="47"/>
        </w:numPr>
        <w:spacing w:after="160"/>
        <w:jc w:val="both"/>
      </w:pPr>
      <w:r>
        <w:t>Orientar la vocación del estudiante hacia los campos de mayor inserción, como la auditoría interna, la contabilidad, la auditoría externa y los impuestos, y hacia los campos emergentes.</w:t>
      </w:r>
    </w:p>
    <w:p w14:paraId="62C2FDE9" w14:textId="77777777" w:rsidR="007B3AB6" w:rsidRDefault="00000000">
      <w:pPr>
        <w:numPr>
          <w:ilvl w:val="0"/>
          <w:numId w:val="47"/>
        </w:numPr>
        <w:spacing w:after="200"/>
        <w:jc w:val="both"/>
      </w:pPr>
      <w:r>
        <w:t>Fortalecer la vinculación de la Carrera con el sector público, las firmas de auditoría, las empresas y las organizaciones sociales.</w:t>
      </w:r>
    </w:p>
    <w:p w14:paraId="6D93BA38" w14:textId="77777777" w:rsidR="007B3AB6" w:rsidRDefault="00000000">
      <w:pPr>
        <w:keepNext/>
        <w:tabs>
          <w:tab w:val="left" w:pos="709"/>
        </w:tabs>
        <w:spacing w:before="80" w:after="200"/>
        <w:ind w:left="709" w:hanging="709"/>
        <w:outlineLvl w:val="2"/>
      </w:pPr>
      <w:bookmarkStart w:id="211" w:name="_Toc000000147"/>
      <w:r>
        <w:rPr>
          <w:b/>
          <w:sz w:val="22"/>
        </w:rPr>
        <w:t>4.8.2</w:t>
      </w:r>
      <w:r>
        <w:rPr>
          <w:b/>
          <w:sz w:val="22"/>
        </w:rPr>
        <w:tab/>
        <w:t>Niveles de práctica</w:t>
      </w:r>
      <w:bookmarkEnd w:id="211"/>
    </w:p>
    <w:p w14:paraId="575BE9BB" w14:textId="77777777" w:rsidR="007B3AB6" w:rsidRDefault="00000000">
      <w:pPr>
        <w:spacing w:after="200"/>
        <w:jc w:val="both"/>
      </w:pPr>
      <w:r>
        <w:t>La práctica se organiza de forma progresiva a lo largo del plan:</w:t>
      </w:r>
    </w:p>
    <w:p w14:paraId="7C22A0A5" w14:textId="77777777" w:rsidR="007B3AB6" w:rsidRDefault="00000000">
      <w:pPr>
        <w:pStyle w:val="TituloCuadro"/>
        <w:keepNext/>
        <w:spacing w:before="40" w:after="80"/>
        <w:jc w:val="center"/>
      </w:pPr>
      <w:bookmarkStart w:id="212" w:name="_Toc000000347"/>
      <w:r>
        <w:rPr>
          <w:b/>
        </w:rPr>
        <w:t xml:space="preserve">Cuadro 1. Niveles de práctica en el </w:t>
      </w:r>
      <w:r w:rsidR="000235B5">
        <w:rPr>
          <w:b/>
        </w:rPr>
        <w:t>Rediseño Curricular</w:t>
      </w:r>
      <w:bookmarkEnd w:id="212"/>
    </w:p>
    <w:tbl>
      <w:tblPr>
        <w:tblW w:w="9405" w:type="dxa"/>
        <w:jc w:val="center"/>
        <w:tblLayout w:type="fixed"/>
        <w:tblLook w:val="04A0" w:firstRow="1" w:lastRow="0" w:firstColumn="1" w:lastColumn="0" w:noHBand="0" w:noVBand="1"/>
      </w:tblPr>
      <w:tblGrid>
        <w:gridCol w:w="2352"/>
        <w:gridCol w:w="1176"/>
        <w:gridCol w:w="5877"/>
      </w:tblGrid>
      <w:tr w:rsidR="00395D6D" w14:paraId="65F4278B" w14:textId="77777777">
        <w:trPr>
          <w:tblHeader/>
          <w:jc w:val="center"/>
        </w:trPr>
        <w:tc>
          <w:tcPr>
            <w:tcW w:w="235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779C17E" w14:textId="77777777" w:rsidR="007B3AB6" w:rsidRDefault="00000000">
            <w:pPr>
              <w:jc w:val="center"/>
            </w:pPr>
            <w:r>
              <w:rPr>
                <w:b/>
                <w:color w:val="FFFFFF"/>
              </w:rPr>
              <w:t>Nivel</w:t>
            </w:r>
          </w:p>
        </w:tc>
        <w:tc>
          <w:tcPr>
            <w:tcW w:w="117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500D9CF" w14:textId="77777777" w:rsidR="007B3AB6" w:rsidRDefault="00000000">
            <w:pPr>
              <w:jc w:val="center"/>
            </w:pPr>
            <w:r>
              <w:rPr>
                <w:b/>
                <w:color w:val="FFFFFF"/>
              </w:rPr>
              <w:t>Años</w:t>
            </w:r>
          </w:p>
        </w:tc>
        <w:tc>
          <w:tcPr>
            <w:tcW w:w="587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CB0CEA3" w14:textId="77777777" w:rsidR="007B3AB6" w:rsidRDefault="00000000">
            <w:pPr>
              <w:jc w:val="center"/>
            </w:pPr>
            <w:r>
              <w:rPr>
                <w:b/>
                <w:color w:val="FFFFFF"/>
              </w:rPr>
              <w:t>Descripción</w:t>
            </w:r>
          </w:p>
        </w:tc>
      </w:tr>
      <w:tr w:rsidR="00395D6D" w14:paraId="2D0670CA" w14:textId="77777777">
        <w:trPr>
          <w:jc w:val="center"/>
        </w:trPr>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629DE1A6" w14:textId="77777777" w:rsidR="007B3AB6" w:rsidRDefault="00000000">
            <w:pPr>
              <w:jc w:val="both"/>
            </w:pPr>
            <w:r>
              <w:t>Prácticas formativas en asignaturas</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5DE69B8F" w14:textId="77777777" w:rsidR="007B3AB6" w:rsidRDefault="00000000">
            <w:pPr>
              <w:jc w:val="both"/>
            </w:pPr>
            <w:r>
              <w:t>1.º a 5.º</w:t>
            </w:r>
          </w:p>
        </w:tc>
        <w:tc>
          <w:tcPr>
            <w:tcW w:w="5877" w:type="dxa"/>
            <w:tcBorders>
              <w:top w:val="single" w:sz="4" w:space="0" w:color="8EAADB"/>
              <w:left w:val="single" w:sz="4" w:space="0" w:color="8EAADB"/>
              <w:bottom w:val="single" w:sz="4" w:space="0" w:color="8EAADB"/>
              <w:right w:val="single" w:sz="4" w:space="0" w:color="8EAADB"/>
            </w:tcBorders>
            <w:shd w:val="clear" w:color="auto" w:fill="D9E2F3"/>
          </w:tcPr>
          <w:p w14:paraId="72EA9942" w14:textId="77777777" w:rsidR="007B3AB6" w:rsidRDefault="00000000">
            <w:pPr>
              <w:jc w:val="both"/>
            </w:pPr>
            <w:r>
              <w:t>Ejercicios de aplicación, estudios de caso, proyectos prácticos, simulaciones y trabajos de investigación desarrollados en cada asignatura y en los laboratorios</w:t>
            </w:r>
          </w:p>
        </w:tc>
      </w:tr>
      <w:tr w:rsidR="00395D6D" w14:paraId="271295DF" w14:textId="77777777">
        <w:trPr>
          <w:jc w:val="center"/>
        </w:trPr>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6B21B9F1" w14:textId="77777777" w:rsidR="007B3AB6" w:rsidRDefault="00000000">
            <w:pPr>
              <w:jc w:val="both"/>
            </w:pPr>
            <w:r>
              <w:t>Gabinetes y simulación profesional</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07E7341C" w14:textId="77777777" w:rsidR="007B3AB6" w:rsidRDefault="00000000">
            <w:pPr>
              <w:jc w:val="both"/>
            </w:pPr>
            <w:r>
              <w:t>4.º y 5.º</w:t>
            </w:r>
          </w:p>
        </w:tc>
        <w:tc>
          <w:tcPr>
            <w:tcW w:w="5877" w:type="dxa"/>
            <w:tcBorders>
              <w:top w:val="single" w:sz="4" w:space="0" w:color="8EAADB"/>
              <w:left w:val="single" w:sz="4" w:space="0" w:color="8EAADB"/>
              <w:bottom w:val="single" w:sz="4" w:space="0" w:color="8EAADB"/>
              <w:right w:val="single" w:sz="4" w:space="0" w:color="8EAADB"/>
            </w:tcBorders>
            <w:shd w:val="clear" w:color="auto" w:fill="D9E2F3"/>
          </w:tcPr>
          <w:p w14:paraId="4BC6DCD4" w14:textId="77777777" w:rsidR="007B3AB6" w:rsidRDefault="00000000">
            <w:pPr>
              <w:jc w:val="both"/>
            </w:pPr>
            <w:r>
              <w:t>Simulación de firmas de auditoría y consultoría en los gabinetes y asignaturas de aseguramiento, con papeles de trabajo e informes sobre casos reales</w:t>
            </w:r>
          </w:p>
        </w:tc>
      </w:tr>
      <w:tr w:rsidR="00395D6D" w14:paraId="1B9173BC" w14:textId="77777777">
        <w:trPr>
          <w:jc w:val="center"/>
        </w:trPr>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0F0C5239" w14:textId="77777777" w:rsidR="007B3AB6" w:rsidRDefault="00000000">
            <w:pPr>
              <w:jc w:val="both"/>
            </w:pPr>
            <w:r>
              <w:t>Prácticas preprofesionales en organizaciones</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66BB0FC0" w14:textId="77777777" w:rsidR="007B3AB6" w:rsidRDefault="00000000">
            <w:pPr>
              <w:jc w:val="both"/>
            </w:pPr>
            <w:r>
              <w:t>3.º a 5.º</w:t>
            </w:r>
          </w:p>
        </w:tc>
        <w:tc>
          <w:tcPr>
            <w:tcW w:w="5877" w:type="dxa"/>
            <w:tcBorders>
              <w:top w:val="single" w:sz="4" w:space="0" w:color="8EAADB"/>
              <w:left w:val="single" w:sz="4" w:space="0" w:color="8EAADB"/>
              <w:bottom w:val="single" w:sz="4" w:space="0" w:color="8EAADB"/>
              <w:right w:val="single" w:sz="4" w:space="0" w:color="8EAADB"/>
            </w:tcBorders>
            <w:shd w:val="clear" w:color="auto" w:fill="D9E2F3"/>
          </w:tcPr>
          <w:p w14:paraId="315817AF" w14:textId="77777777" w:rsidR="007B3AB6" w:rsidRDefault="00000000">
            <w:pPr>
              <w:jc w:val="both"/>
            </w:pPr>
            <w:r>
              <w:t>Pasantías supervisadas en entidades públicas, firmas de auditoría, empresas y organizaciones con convenio, o en dependencias de la Universidad</w:t>
            </w:r>
          </w:p>
        </w:tc>
      </w:tr>
      <w:tr w:rsidR="00395D6D" w14:paraId="6E57D46F" w14:textId="77777777">
        <w:trPr>
          <w:jc w:val="center"/>
        </w:trPr>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3611C100" w14:textId="77777777" w:rsidR="007B3AB6" w:rsidRDefault="00000000">
            <w:pPr>
              <w:jc w:val="both"/>
            </w:pPr>
            <w:r>
              <w:t>Consultoría social contable</w:t>
            </w:r>
          </w:p>
        </w:tc>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6225DE56" w14:textId="77777777" w:rsidR="007B3AB6" w:rsidRDefault="00000000">
            <w:pPr>
              <w:jc w:val="both"/>
            </w:pPr>
            <w:r>
              <w:t>4.º y 5.º</w:t>
            </w:r>
          </w:p>
        </w:tc>
        <w:tc>
          <w:tcPr>
            <w:tcW w:w="5877" w:type="dxa"/>
            <w:tcBorders>
              <w:top w:val="single" w:sz="4" w:space="0" w:color="8EAADB"/>
              <w:left w:val="single" w:sz="4" w:space="0" w:color="8EAADB"/>
              <w:bottom w:val="single" w:sz="4" w:space="0" w:color="8EAADB"/>
              <w:right w:val="single" w:sz="4" w:space="0" w:color="8EAADB"/>
            </w:tcBorders>
            <w:shd w:val="clear" w:color="auto" w:fill="D9E2F3"/>
          </w:tcPr>
          <w:p w14:paraId="61CF7211" w14:textId="77777777" w:rsidR="007B3AB6" w:rsidRDefault="00000000">
            <w:pPr>
              <w:jc w:val="both"/>
            </w:pPr>
            <w:r>
              <w:t>Asesoría gratuita supervisada por docentes en contabilidad, cumplimiento tributario y educación financiera a pequeñas y medianas empresas, asociaciones comunitarias y emprendimientos, articulada con la interacción social</w:t>
            </w:r>
          </w:p>
        </w:tc>
      </w:tr>
    </w:tbl>
    <w:p w14:paraId="3A7D937F" w14:textId="77777777" w:rsidR="007B3AB6" w:rsidRDefault="007B3AB6">
      <w:pPr>
        <w:spacing w:after="120"/>
      </w:pPr>
    </w:p>
    <w:p w14:paraId="7E903BA3" w14:textId="77777777" w:rsidR="007B3AB6" w:rsidRDefault="00000000">
      <w:pPr>
        <w:keepNext/>
        <w:tabs>
          <w:tab w:val="left" w:pos="709"/>
        </w:tabs>
        <w:spacing w:before="80" w:after="200"/>
        <w:ind w:left="709" w:hanging="709"/>
        <w:outlineLvl w:val="2"/>
      </w:pPr>
      <w:bookmarkStart w:id="213" w:name="_Toc000000148"/>
      <w:r>
        <w:rPr>
          <w:b/>
          <w:sz w:val="22"/>
        </w:rPr>
        <w:t>4.8.3</w:t>
      </w:r>
      <w:r>
        <w:rPr>
          <w:b/>
          <w:sz w:val="22"/>
        </w:rPr>
        <w:tab/>
        <w:t>Organización y supervisión</w:t>
      </w:r>
      <w:bookmarkEnd w:id="213"/>
    </w:p>
    <w:p w14:paraId="7E4CC782" w14:textId="77777777" w:rsidR="007B3AB6" w:rsidRDefault="00000000">
      <w:pPr>
        <w:numPr>
          <w:ilvl w:val="0"/>
          <w:numId w:val="48"/>
        </w:numPr>
        <w:spacing w:after="160"/>
        <w:jc w:val="both"/>
      </w:pPr>
      <w:r>
        <w:rPr>
          <w:b/>
        </w:rPr>
        <w:t>Ámbitos de práctica:</w:t>
      </w:r>
      <w:r>
        <w:t xml:space="preserve"> firmas de auditoría, Servicio de Impuestos Nacionales, Contraloría General del Estado, entidades públicas nacionales y subnacionales, entidades financieras, empresas del sector productivo, cooperativas y organizaciones sociales, mediante convenios interinstitucionales gestionados por la Dirección de Carrera.</w:t>
      </w:r>
    </w:p>
    <w:p w14:paraId="628ECAA0" w14:textId="77777777" w:rsidR="007B3AB6" w:rsidRDefault="00000000">
      <w:pPr>
        <w:numPr>
          <w:ilvl w:val="0"/>
          <w:numId w:val="48"/>
        </w:numPr>
        <w:spacing w:after="160"/>
        <w:jc w:val="both"/>
      </w:pPr>
      <w:r>
        <w:rPr>
          <w:b/>
        </w:rPr>
        <w:t>Supervisión:</w:t>
      </w:r>
      <w:r>
        <w:t xml:space="preserve"> cada practicante cuenta con un </w:t>
      </w:r>
      <w:r w:rsidR="000235B5">
        <w:t xml:space="preserve">profesional como </w:t>
      </w:r>
      <w:r>
        <w:t>tutor de la entidad receptora y</w:t>
      </w:r>
      <w:r w:rsidR="000235B5">
        <w:t xml:space="preserve"> </w:t>
      </w:r>
      <w:r>
        <w:t>un docente</w:t>
      </w:r>
      <w:r w:rsidR="000235B5">
        <w:t xml:space="preserve"> como tutor académico</w:t>
      </w:r>
      <w:r>
        <w:t>, que aprueba el plan de práctica, realiza el seguimiento y evalúa los resultados.</w:t>
      </w:r>
    </w:p>
    <w:p w14:paraId="1B003478" w14:textId="77777777" w:rsidR="007B3AB6" w:rsidRDefault="00000000">
      <w:pPr>
        <w:numPr>
          <w:ilvl w:val="0"/>
          <w:numId w:val="48"/>
        </w:numPr>
        <w:spacing w:after="160"/>
        <w:jc w:val="both"/>
      </w:pPr>
      <w:r>
        <w:rPr>
          <w:b/>
        </w:rPr>
        <w:t>Plan e informe de práctica:</w:t>
      </w:r>
      <w:r>
        <w:t xml:space="preserve"> el estudiante presenta un plan de actividades vinculado a las competencias de su año de formación y, al concluir, un informe con evidencias de desempeño y de producto, que se evalúa con rúbrica conforme al punto 4.7.</w:t>
      </w:r>
    </w:p>
    <w:p w14:paraId="71E998FC" w14:textId="77777777" w:rsidR="007B3AB6" w:rsidRDefault="00000000">
      <w:pPr>
        <w:numPr>
          <w:ilvl w:val="0"/>
          <w:numId w:val="48"/>
        </w:numPr>
        <w:spacing w:after="160"/>
        <w:jc w:val="both"/>
      </w:pPr>
      <w:r>
        <w:rPr>
          <w:b/>
        </w:rPr>
        <w:t>Carga horaria:</w:t>
      </w:r>
      <w:r>
        <w:t xml:space="preserve"> las horas de práctica se registran como horas no presenciales de las asignaturas vinculadas y se acreditan en el historial académico del estudiante. La carga horaria mínima, los requisitos de habilitación y el procedimiento de acreditación se establecerán en el Reglamento de Prácticas Preprofesionales de la Carrera.</w:t>
      </w:r>
    </w:p>
    <w:p w14:paraId="299F00FF" w14:textId="77777777" w:rsidR="007B3AB6" w:rsidRDefault="00000000">
      <w:pPr>
        <w:numPr>
          <w:ilvl w:val="0"/>
          <w:numId w:val="48"/>
        </w:numPr>
        <w:spacing w:after="160"/>
        <w:jc w:val="both"/>
      </w:pPr>
      <w:r>
        <w:rPr>
          <w:b/>
        </w:rPr>
        <w:t>Compatibilidad con el estudiante trabajador:</w:t>
      </w:r>
      <w:r>
        <w:t xml:space="preserve"> la experiencia laboral del estudiante en áreas contables, tributarias, financieras o de auditoría podrá reconocerse como práctica preprofesional, previa verificación de su pertinencia, conforme al reglamento específico.</w:t>
      </w:r>
    </w:p>
    <w:p w14:paraId="53F5FD71" w14:textId="77777777" w:rsidR="007B3AB6" w:rsidRDefault="00000000">
      <w:pPr>
        <w:numPr>
          <w:ilvl w:val="0"/>
          <w:numId w:val="48"/>
        </w:numPr>
        <w:spacing w:after="200"/>
        <w:jc w:val="both"/>
      </w:pPr>
      <w:r>
        <w:rPr>
          <w:b/>
        </w:rPr>
        <w:t>Articulación con la graduación:</w:t>
      </w:r>
      <w:r>
        <w:t xml:space="preserve"> la práctica preprofesional se articula con la modalidad de trabajo dirigido y con los proyectos del Taller de Grado, descritos en el punto 5.4.</w:t>
      </w:r>
    </w:p>
    <w:sectPr w:rsidR="007B3AB6" w:rsidSect="00034616">
      <w:headerReference w:type="default" r:id="rId29"/>
      <w:footerReference w:type="default" r:id="rId30"/>
      <w:pgSz w:w="12240" w:h="15840"/>
      <w:pgMar w:top="1701"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43C00" w14:textId="77777777" w:rsidR="00B01A47" w:rsidRDefault="00B01A47">
      <w:r>
        <w:separator/>
      </w:r>
    </w:p>
  </w:endnote>
  <w:endnote w:type="continuationSeparator" w:id="0">
    <w:p w14:paraId="384BE0FD" w14:textId="77777777" w:rsidR="00B01A47" w:rsidRDefault="00B01A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B35DC" w14:textId="77777777" w:rsidR="00633CBB" w:rsidRDefault="00000000">
    <w:pPr>
      <w:pStyle w:val="Piedepgina"/>
      <w:jc w:val="right"/>
    </w:pPr>
    <w:r>
      <w:fldChar w:fldCharType="begin"/>
    </w:r>
    <w:r>
      <w:instrText xml:space="preserve"> PAGE </w:instrText>
    </w:r>
    <w:r>
      <w:fldChar w:fldCharType="separate"/>
    </w:r>
    <w:r w:rsidR="00123620">
      <w:rPr>
        <w:noProof/>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4F298" w14:textId="77777777" w:rsidR="0075614C" w:rsidRDefault="00000000">
    <w:pPr>
      <w:pStyle w:val="Piedepgina"/>
      <w:jc w:val="right"/>
    </w:pPr>
    <w:r>
      <w:fldChar w:fldCharType="begin"/>
    </w:r>
    <w:r>
      <w:instrText xml:space="preserve"> PAGE </w:instrText>
    </w:r>
    <w:r>
      <w:fldChar w:fldCharType="separate"/>
    </w:r>
    <w:r w:rsidR="00935F77">
      <w:rPr>
        <w:noProof/>
      </w:rP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A6011" w14:textId="77777777" w:rsidR="007306F3" w:rsidRDefault="00000000">
    <w:pPr>
      <w:pStyle w:val="Piedepgina"/>
      <w:jc w:val="right"/>
    </w:pPr>
    <w:r>
      <w:fldChar w:fldCharType="begin"/>
    </w:r>
    <w:r>
      <w:instrText xml:space="preserve"> PAGE </w:instrText>
    </w:r>
    <w:r>
      <w:fldChar w:fldCharType="separate"/>
    </w:r>
    <w:r w:rsidR="00D244B1">
      <w:rPr>
        <w:noProof/>
      </w:rP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16DF8" w14:textId="77777777" w:rsidR="0082643C" w:rsidRDefault="00000000">
    <w:pPr>
      <w:pStyle w:val="Piedepgina"/>
      <w:jc w:val="right"/>
    </w:pPr>
    <w:r>
      <w:fldChar w:fldCharType="begin"/>
    </w:r>
    <w:r>
      <w:instrText xml:space="preserve"> PAGE </w:instrText>
    </w:r>
    <w:r>
      <w:fldChar w:fldCharType="separate"/>
    </w:r>
    <w:r w:rsidR="00BE6153">
      <w:rPr>
        <w:noProof/>
      </w:rP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D6117" w14:textId="77777777" w:rsidR="0082643C" w:rsidRDefault="00000000">
    <w:pPr>
      <w:pStyle w:val="Piedepgina"/>
      <w:jc w:val="right"/>
    </w:pPr>
    <w:r>
      <w:fldChar w:fldCharType="begin"/>
    </w:r>
    <w:r>
      <w:instrText xml:space="preserve"> PAGE </w:instrText>
    </w:r>
    <w:r>
      <w:fldChar w:fldCharType="separate"/>
    </w:r>
    <w:r w:rsidR="00BE6153">
      <w:rPr>
        <w:noProof/>
      </w:rP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A484B" w14:textId="77777777" w:rsidR="006253E1" w:rsidRDefault="00000000">
    <w:pPr>
      <w:pStyle w:val="Piedepgina"/>
      <w:jc w:val="right"/>
    </w:pPr>
    <w:r>
      <w:fldChar w:fldCharType="begin"/>
    </w:r>
    <w:r>
      <w:instrText xml:space="preserve"> PAGE </w:instrText>
    </w:r>
    <w:r>
      <w:fldChar w:fldCharType="separate"/>
    </w:r>
    <w:r w:rsidR="002F0227">
      <w:rPr>
        <w:noProof/>
      </w:rPr>
      <w:t>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744CA" w14:textId="77777777" w:rsidR="00ED3284" w:rsidRDefault="00000000">
    <w:pPr>
      <w:pStyle w:val="Piedepgina"/>
      <w:jc w:val="right"/>
    </w:pPr>
    <w:r>
      <w:fldChar w:fldCharType="begin"/>
    </w:r>
    <w:r>
      <w:instrText xml:space="preserve"> PAGE </w:instrText>
    </w:r>
    <w:r>
      <w:fldChar w:fldCharType="separate"/>
    </w:r>
    <w:r w:rsidR="0057321F">
      <w:rPr>
        <w:noProof/>
      </w:rPr>
      <w:t>1</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077CB" w14:textId="77777777" w:rsidR="007B3AB6" w:rsidRDefault="00000000">
    <w:pPr>
      <w:pStyle w:val="Piedepgina"/>
      <w:jc w:val="right"/>
    </w:pPr>
    <w:r>
      <w:fldChar w:fldCharType="begin"/>
    </w:r>
    <w:r>
      <w:instrText xml:space="preserve"> PAGE </w:instrText>
    </w:r>
    <w:r>
      <w:fldChar w:fldCharType="separate"/>
    </w:r>
    <w:r w:rsidR="000235B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BC74A" w14:textId="77777777" w:rsidR="00B01A47" w:rsidRDefault="00B01A47">
      <w:r>
        <w:separator/>
      </w:r>
    </w:p>
  </w:footnote>
  <w:footnote w:type="continuationSeparator" w:id="0">
    <w:p w14:paraId="1AA87116" w14:textId="77777777" w:rsidR="00B01A47" w:rsidRDefault="00B01A47">
      <w:r>
        <w:continuationSeparator/>
      </w:r>
    </w:p>
  </w:footnote>
</w:footnotes>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single" w:sz="6" w:space="0" w:color="000000"/>
        <w:right w:val="nil"/>
        <w:insideH w:val="nil"/>
        <w:insideV w:val="nil"/>
      </w:tblBorders>
      <w:tblLayout w:type="fixed"/>
      <w:tblLook w:val="04A0" w:firstRow="1" w:lastRow="0" w:firstColumn="1" w:lastColumn="0" w:noHBand="0" w:noVBand="1"/>
    </w:tblPr>
    <w:tblGrid>
      <w:gridCol w:w="1247"/>
      <w:gridCol w:w="6911"/>
      <w:gridCol w:w="1247"/>
    </w:tblGrid>
    <w:tr w:rsidR="00395D6D" w14:paraId="328CD63C" w14:textId="77777777">
      <w:trPr>
        <w:jc w:val="center"/>
      </w:trPr>
      <w:tc>
        <w:tcPr>
          <w:tcW w:w="1247" w:type="dxa"/>
          <w:vAlign w:val="center"/>
        </w:tcPr>
        <w:p w14:paraId="2033478D" w14:textId="77777777" w:rsidR="00633CBB" w:rsidRDefault="00000000">
          <w:pPr>
            <w:spacing w:after="40"/>
          </w:pPr>
          <w:r>
            <w:rPr>
              <w:noProof/>
            </w:rPr>
            <w:drawing>
              <wp:inline distT="0" distB="0" distL="0" distR="0" wp14:anchorId="6028978A" wp14:editId="104A85D1">
                <wp:extent cx="484248" cy="684000"/>
                <wp:effectExtent l="0" t="0" r="0" b="0"/>
                <wp:docPr id="2071979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979841" name="logo_umsa.png"/>
                        <pic:cNvPicPr/>
                      </pic:nvPicPr>
                      <pic:blipFill>
                        <a:blip r:embed="rId1"/>
                        <a:stretch>
                          <a:fillRect/>
                        </a:stretch>
                      </pic:blipFill>
                      <pic:spPr>
                        <a:xfrm>
                          <a:off x="0" y="0"/>
                          <a:ext cx="484248" cy="684000"/>
                        </a:xfrm>
                        <a:prstGeom prst="rect">
                          <a:avLst/>
                        </a:prstGeom>
                      </pic:spPr>
                    </pic:pic>
                  </a:graphicData>
                </a:graphic>
              </wp:inline>
            </w:drawing>
          </w:r>
        </w:p>
      </w:tc>
      <w:tc>
        <w:tcPr>
          <w:tcW w:w="6911" w:type="dxa"/>
          <w:vAlign w:val="center"/>
        </w:tcPr>
        <w:p w14:paraId="6A4CA5FD" w14:textId="77777777" w:rsidR="00633CBB" w:rsidRDefault="00000000">
          <w:pPr>
            <w:jc w:val="center"/>
          </w:pPr>
          <w:r>
            <w:rPr>
              <w:b/>
              <w:sz w:val="22"/>
            </w:rPr>
            <w:t>Universidad Mayor de “San Andrés”</w:t>
          </w:r>
          <w:r>
            <w:rPr>
              <w:b/>
              <w:sz w:val="22"/>
            </w:rPr>
            <w:br/>
            <w:t>Facultad de Ciencias Económicas y Financieras</w:t>
          </w:r>
          <w:r>
            <w:rPr>
              <w:b/>
              <w:sz w:val="22"/>
            </w:rPr>
            <w:br/>
            <w:t>Carrera Contaduría Pública</w:t>
          </w:r>
        </w:p>
      </w:tc>
      <w:tc>
        <w:tcPr>
          <w:tcW w:w="1247" w:type="dxa"/>
          <w:vAlign w:val="center"/>
        </w:tcPr>
        <w:p w14:paraId="1988DCD7" w14:textId="77777777" w:rsidR="00633CBB" w:rsidRDefault="00000000">
          <w:pPr>
            <w:spacing w:after="40"/>
            <w:jc w:val="right"/>
          </w:pPr>
          <w:r>
            <w:rPr>
              <w:noProof/>
            </w:rPr>
            <w:drawing>
              <wp:inline distT="0" distB="0" distL="0" distR="0" wp14:anchorId="15FC5FFF" wp14:editId="0DFB6E8A">
                <wp:extent cx="445846" cy="684000"/>
                <wp:effectExtent l="0" t="0" r="0" b="0"/>
                <wp:docPr id="6285733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73358" name="logo_carrera.png"/>
                        <pic:cNvPicPr/>
                      </pic:nvPicPr>
                      <pic:blipFill>
                        <a:blip r:embed="rId2"/>
                        <a:stretch>
                          <a:fillRect/>
                        </a:stretch>
                      </pic:blipFill>
                      <pic:spPr>
                        <a:xfrm>
                          <a:off x="0" y="0"/>
                          <a:ext cx="445846" cy="684000"/>
                        </a:xfrm>
                        <a:prstGeom prst="rect">
                          <a:avLst/>
                        </a:prstGeom>
                      </pic:spPr>
                    </pic:pic>
                  </a:graphicData>
                </a:graphic>
              </wp:inline>
            </w:drawing>
          </w:r>
        </w:p>
      </w:tc>
    </w:tr>
  </w:tbl>
  <w:p w14:paraId="60038321" w14:textId="77777777" w:rsidR="00633CBB" w:rsidRDefault="00633CBB"/>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single" w:sz="6" w:space="0" w:color="000000"/>
        <w:right w:val="nil"/>
        <w:insideH w:val="nil"/>
        <w:insideV w:val="nil"/>
      </w:tblBorders>
      <w:tblLayout w:type="fixed"/>
      <w:tblLook w:val="04A0" w:firstRow="1" w:lastRow="0" w:firstColumn="1" w:lastColumn="0" w:noHBand="0" w:noVBand="1"/>
    </w:tblPr>
    <w:tblGrid>
      <w:gridCol w:w="1247"/>
      <w:gridCol w:w="6911"/>
      <w:gridCol w:w="1247"/>
    </w:tblGrid>
    <w:tr w:rsidR="00395D6D" w14:paraId="4A4D1705" w14:textId="77777777">
      <w:trPr>
        <w:jc w:val="center"/>
      </w:trPr>
      <w:tc>
        <w:tcPr>
          <w:tcW w:w="1247" w:type="dxa"/>
          <w:vAlign w:val="center"/>
        </w:tcPr>
        <w:p w14:paraId="5D2658A2" w14:textId="77777777" w:rsidR="0075614C" w:rsidRDefault="00000000">
          <w:pPr>
            <w:spacing w:after="40"/>
          </w:pPr>
          <w:r>
            <w:rPr>
              <w:noProof/>
            </w:rPr>
            <w:drawing>
              <wp:inline distT="0" distB="0" distL="0" distR="0" wp14:anchorId="01CC60C1" wp14:editId="18A87D92">
                <wp:extent cx="484248" cy="684000"/>
                <wp:effectExtent l="0" t="0" r="0" b="0"/>
                <wp:docPr id="119349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9743" name="logo_umsa.png"/>
                        <pic:cNvPicPr/>
                      </pic:nvPicPr>
                      <pic:blipFill>
                        <a:blip r:embed="rId1"/>
                        <a:stretch>
                          <a:fillRect/>
                        </a:stretch>
                      </pic:blipFill>
                      <pic:spPr>
                        <a:xfrm>
                          <a:off x="0" y="0"/>
                          <a:ext cx="484248" cy="684000"/>
                        </a:xfrm>
                        <a:prstGeom prst="rect">
                          <a:avLst/>
                        </a:prstGeom>
                      </pic:spPr>
                    </pic:pic>
                  </a:graphicData>
                </a:graphic>
              </wp:inline>
            </w:drawing>
          </w:r>
        </w:p>
      </w:tc>
      <w:tc>
        <w:tcPr>
          <w:tcW w:w="6911" w:type="dxa"/>
          <w:vAlign w:val="center"/>
        </w:tcPr>
        <w:p w14:paraId="23231B51" w14:textId="77777777" w:rsidR="0075614C" w:rsidRDefault="00000000">
          <w:pPr>
            <w:jc w:val="center"/>
          </w:pPr>
          <w:r>
            <w:rPr>
              <w:b/>
              <w:sz w:val="22"/>
            </w:rPr>
            <w:t>Universidad Mayor de “San Andrés”</w:t>
          </w:r>
          <w:r>
            <w:rPr>
              <w:b/>
              <w:sz w:val="22"/>
            </w:rPr>
            <w:br/>
            <w:t>Facultad de Ciencias Económicas y Financieras</w:t>
          </w:r>
          <w:r>
            <w:rPr>
              <w:b/>
              <w:sz w:val="22"/>
            </w:rPr>
            <w:br/>
            <w:t>Carrera Contaduría Pública</w:t>
          </w:r>
        </w:p>
      </w:tc>
      <w:tc>
        <w:tcPr>
          <w:tcW w:w="1247" w:type="dxa"/>
          <w:vAlign w:val="center"/>
        </w:tcPr>
        <w:p w14:paraId="14DBAB73" w14:textId="77777777" w:rsidR="0075614C" w:rsidRDefault="00000000">
          <w:pPr>
            <w:spacing w:after="40"/>
            <w:jc w:val="right"/>
          </w:pPr>
          <w:r>
            <w:rPr>
              <w:noProof/>
            </w:rPr>
            <w:drawing>
              <wp:inline distT="0" distB="0" distL="0" distR="0" wp14:anchorId="12E5F906" wp14:editId="1B8F2164">
                <wp:extent cx="445846" cy="684000"/>
                <wp:effectExtent l="0" t="0" r="0" b="0"/>
                <wp:docPr id="646242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4254" name="logo_carrera.png"/>
                        <pic:cNvPicPr/>
                      </pic:nvPicPr>
                      <pic:blipFill>
                        <a:blip r:embed="rId2"/>
                        <a:stretch>
                          <a:fillRect/>
                        </a:stretch>
                      </pic:blipFill>
                      <pic:spPr>
                        <a:xfrm>
                          <a:off x="0" y="0"/>
                          <a:ext cx="445846" cy="684000"/>
                        </a:xfrm>
                        <a:prstGeom prst="rect">
                          <a:avLst/>
                        </a:prstGeom>
                      </pic:spPr>
                    </pic:pic>
                  </a:graphicData>
                </a:graphic>
              </wp:inline>
            </w:drawing>
          </w:r>
        </w:p>
      </w:tc>
    </w:tr>
  </w:tbl>
  <w:p w14:paraId="0A78F628" w14:textId="77777777" w:rsidR="0075614C" w:rsidRDefault="0075614C"/>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single" w:sz="6" w:space="0" w:color="000000"/>
        <w:right w:val="nil"/>
        <w:insideH w:val="nil"/>
        <w:insideV w:val="nil"/>
      </w:tblBorders>
      <w:tblLayout w:type="fixed"/>
      <w:tblLook w:val="04A0" w:firstRow="1" w:lastRow="0" w:firstColumn="1" w:lastColumn="0" w:noHBand="0" w:noVBand="1"/>
    </w:tblPr>
    <w:tblGrid>
      <w:gridCol w:w="1247"/>
      <w:gridCol w:w="6911"/>
      <w:gridCol w:w="1247"/>
    </w:tblGrid>
    <w:tr w:rsidR="00395D6D" w14:paraId="229599BA" w14:textId="77777777">
      <w:trPr>
        <w:jc w:val="center"/>
      </w:trPr>
      <w:tc>
        <w:tcPr>
          <w:tcW w:w="1247" w:type="dxa"/>
          <w:vAlign w:val="center"/>
        </w:tcPr>
        <w:p w14:paraId="0514773D" w14:textId="77777777" w:rsidR="007306F3" w:rsidRDefault="00000000">
          <w:pPr>
            <w:spacing w:after="40"/>
          </w:pPr>
          <w:r>
            <w:rPr>
              <w:noProof/>
            </w:rPr>
            <w:drawing>
              <wp:inline distT="0" distB="0" distL="0" distR="0" wp14:anchorId="5D00B45F" wp14:editId="7F147F71">
                <wp:extent cx="484248" cy="684000"/>
                <wp:effectExtent l="0" t="0" r="0" b="0"/>
                <wp:docPr id="720879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79846" name="logo_umsa.png"/>
                        <pic:cNvPicPr/>
                      </pic:nvPicPr>
                      <pic:blipFill>
                        <a:blip r:embed="rId1"/>
                        <a:stretch>
                          <a:fillRect/>
                        </a:stretch>
                      </pic:blipFill>
                      <pic:spPr>
                        <a:xfrm>
                          <a:off x="0" y="0"/>
                          <a:ext cx="484248" cy="684000"/>
                        </a:xfrm>
                        <a:prstGeom prst="rect">
                          <a:avLst/>
                        </a:prstGeom>
                      </pic:spPr>
                    </pic:pic>
                  </a:graphicData>
                </a:graphic>
              </wp:inline>
            </w:drawing>
          </w:r>
        </w:p>
      </w:tc>
      <w:tc>
        <w:tcPr>
          <w:tcW w:w="6911" w:type="dxa"/>
          <w:vAlign w:val="center"/>
        </w:tcPr>
        <w:p w14:paraId="7D2F0EA9" w14:textId="77777777" w:rsidR="007306F3" w:rsidRDefault="00000000">
          <w:pPr>
            <w:jc w:val="center"/>
          </w:pPr>
          <w:r>
            <w:rPr>
              <w:b/>
              <w:sz w:val="22"/>
            </w:rPr>
            <w:t>Universidad Mayor de “San Andrés”</w:t>
          </w:r>
          <w:r>
            <w:rPr>
              <w:b/>
              <w:sz w:val="22"/>
            </w:rPr>
            <w:br/>
            <w:t>Facultad de Ciencias Económicas y Financieras</w:t>
          </w:r>
          <w:r>
            <w:rPr>
              <w:b/>
              <w:sz w:val="22"/>
            </w:rPr>
            <w:br/>
            <w:t>Carrera Contaduría Pública</w:t>
          </w:r>
        </w:p>
      </w:tc>
      <w:tc>
        <w:tcPr>
          <w:tcW w:w="1247" w:type="dxa"/>
          <w:vAlign w:val="center"/>
        </w:tcPr>
        <w:p w14:paraId="11526FBE" w14:textId="77777777" w:rsidR="007306F3" w:rsidRDefault="00000000">
          <w:pPr>
            <w:spacing w:after="40"/>
            <w:jc w:val="right"/>
          </w:pPr>
          <w:r>
            <w:rPr>
              <w:noProof/>
            </w:rPr>
            <w:drawing>
              <wp:inline distT="0" distB="0" distL="0" distR="0" wp14:anchorId="506A1793" wp14:editId="11173042">
                <wp:extent cx="445846" cy="684000"/>
                <wp:effectExtent l="0" t="0" r="0" b="0"/>
                <wp:docPr id="11318275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27519" name="logo_carrera.png"/>
                        <pic:cNvPicPr/>
                      </pic:nvPicPr>
                      <pic:blipFill>
                        <a:blip r:embed="rId2"/>
                        <a:stretch>
                          <a:fillRect/>
                        </a:stretch>
                      </pic:blipFill>
                      <pic:spPr>
                        <a:xfrm>
                          <a:off x="0" y="0"/>
                          <a:ext cx="445846" cy="684000"/>
                        </a:xfrm>
                        <a:prstGeom prst="rect">
                          <a:avLst/>
                        </a:prstGeom>
                      </pic:spPr>
                    </pic:pic>
                  </a:graphicData>
                </a:graphic>
              </wp:inline>
            </w:drawing>
          </w:r>
        </w:p>
      </w:tc>
    </w:tr>
  </w:tbl>
  <w:p w14:paraId="603735E8" w14:textId="77777777" w:rsidR="007306F3" w:rsidRDefault="007306F3"/>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single" w:sz="6" w:space="0" w:color="000000"/>
        <w:right w:val="nil"/>
        <w:insideH w:val="nil"/>
        <w:insideV w:val="nil"/>
      </w:tblBorders>
      <w:tblLayout w:type="fixed"/>
      <w:tblLook w:val="04A0" w:firstRow="1" w:lastRow="0" w:firstColumn="1" w:lastColumn="0" w:noHBand="0" w:noVBand="1"/>
    </w:tblPr>
    <w:tblGrid>
      <w:gridCol w:w="1247"/>
      <w:gridCol w:w="6911"/>
      <w:gridCol w:w="1247"/>
    </w:tblGrid>
    <w:tr w:rsidR="00395D6D" w14:paraId="74262129" w14:textId="77777777">
      <w:trPr>
        <w:jc w:val="center"/>
      </w:trPr>
      <w:tc>
        <w:tcPr>
          <w:tcW w:w="1247" w:type="dxa"/>
          <w:vAlign w:val="center"/>
        </w:tcPr>
        <w:p w14:paraId="503477C2" w14:textId="77777777" w:rsidR="0082643C" w:rsidRDefault="00000000">
          <w:pPr>
            <w:spacing w:after="40"/>
          </w:pPr>
          <w:r>
            <w:rPr>
              <w:noProof/>
            </w:rPr>
            <w:drawing>
              <wp:inline distT="0" distB="0" distL="0" distR="0" wp14:anchorId="41A2FCE3" wp14:editId="24CC710D">
                <wp:extent cx="484248" cy="684000"/>
                <wp:effectExtent l="0" t="0" r="0" b="0"/>
                <wp:docPr id="214579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93126" name="logo_umsa.png"/>
                        <pic:cNvPicPr/>
                      </pic:nvPicPr>
                      <pic:blipFill>
                        <a:blip r:embed="rId1"/>
                        <a:stretch>
                          <a:fillRect/>
                        </a:stretch>
                      </pic:blipFill>
                      <pic:spPr>
                        <a:xfrm>
                          <a:off x="0" y="0"/>
                          <a:ext cx="484248" cy="684000"/>
                        </a:xfrm>
                        <a:prstGeom prst="rect">
                          <a:avLst/>
                        </a:prstGeom>
                      </pic:spPr>
                    </pic:pic>
                  </a:graphicData>
                </a:graphic>
              </wp:inline>
            </w:drawing>
          </w:r>
        </w:p>
      </w:tc>
      <w:tc>
        <w:tcPr>
          <w:tcW w:w="6911" w:type="dxa"/>
          <w:vAlign w:val="center"/>
        </w:tcPr>
        <w:p w14:paraId="07E331CF" w14:textId="77777777" w:rsidR="0082643C" w:rsidRDefault="00000000">
          <w:pPr>
            <w:jc w:val="center"/>
          </w:pPr>
          <w:r>
            <w:rPr>
              <w:b/>
              <w:sz w:val="22"/>
            </w:rPr>
            <w:t>Universidad Mayor de “San Andrés”</w:t>
          </w:r>
          <w:r>
            <w:rPr>
              <w:b/>
              <w:sz w:val="22"/>
            </w:rPr>
            <w:br/>
            <w:t>Facultad de Ciencias Económicas y Financieras</w:t>
          </w:r>
          <w:r>
            <w:rPr>
              <w:b/>
              <w:sz w:val="22"/>
            </w:rPr>
            <w:br/>
            <w:t>Carrera Contaduría Pública</w:t>
          </w:r>
        </w:p>
      </w:tc>
      <w:tc>
        <w:tcPr>
          <w:tcW w:w="1247" w:type="dxa"/>
          <w:vAlign w:val="center"/>
        </w:tcPr>
        <w:p w14:paraId="31FA8DFE" w14:textId="77777777" w:rsidR="0082643C" w:rsidRDefault="00000000">
          <w:pPr>
            <w:spacing w:after="40"/>
            <w:jc w:val="right"/>
          </w:pPr>
          <w:r>
            <w:rPr>
              <w:noProof/>
            </w:rPr>
            <w:drawing>
              <wp:inline distT="0" distB="0" distL="0" distR="0" wp14:anchorId="5219B85E" wp14:editId="3FC2D447">
                <wp:extent cx="445846" cy="684000"/>
                <wp:effectExtent l="0" t="0" r="0" b="0"/>
                <wp:docPr id="12642443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44376" name="logo_carrera.png"/>
                        <pic:cNvPicPr/>
                      </pic:nvPicPr>
                      <pic:blipFill>
                        <a:blip r:embed="rId2"/>
                        <a:stretch>
                          <a:fillRect/>
                        </a:stretch>
                      </pic:blipFill>
                      <pic:spPr>
                        <a:xfrm>
                          <a:off x="0" y="0"/>
                          <a:ext cx="445846" cy="684000"/>
                        </a:xfrm>
                        <a:prstGeom prst="rect">
                          <a:avLst/>
                        </a:prstGeom>
                      </pic:spPr>
                    </pic:pic>
                  </a:graphicData>
                </a:graphic>
              </wp:inline>
            </w:drawing>
          </w:r>
        </w:p>
      </w:tc>
    </w:tr>
  </w:tbl>
  <w:p w14:paraId="75D32491" w14:textId="77777777" w:rsidR="0082643C" w:rsidRDefault="0082643C"/>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single" w:sz="6" w:space="0" w:color="000000"/>
        <w:right w:val="nil"/>
        <w:insideH w:val="nil"/>
        <w:insideV w:val="nil"/>
      </w:tblBorders>
      <w:tblLayout w:type="fixed"/>
      <w:tblLook w:val="04A0" w:firstRow="1" w:lastRow="0" w:firstColumn="1" w:lastColumn="0" w:noHBand="0" w:noVBand="1"/>
    </w:tblPr>
    <w:tblGrid>
      <w:gridCol w:w="1247"/>
      <w:gridCol w:w="6911"/>
      <w:gridCol w:w="1247"/>
    </w:tblGrid>
    <w:tr w:rsidR="00395D6D" w14:paraId="2EB33DD4" w14:textId="77777777">
      <w:trPr>
        <w:jc w:val="center"/>
      </w:trPr>
      <w:tc>
        <w:tcPr>
          <w:tcW w:w="1247" w:type="dxa"/>
          <w:vAlign w:val="center"/>
        </w:tcPr>
        <w:p w14:paraId="350D612D" w14:textId="77777777" w:rsidR="0082643C" w:rsidRDefault="00000000">
          <w:pPr>
            <w:spacing w:after="40"/>
          </w:pPr>
          <w:r>
            <w:rPr>
              <w:noProof/>
            </w:rPr>
            <w:drawing>
              <wp:inline distT="0" distB="0" distL="0" distR="0" wp14:anchorId="30567160" wp14:editId="7F483195">
                <wp:extent cx="484248" cy="684000"/>
                <wp:effectExtent l="0" t="0" r="0" b="0"/>
                <wp:docPr id="1460717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93126" name="logo_umsa.png"/>
                        <pic:cNvPicPr/>
                      </pic:nvPicPr>
                      <pic:blipFill>
                        <a:blip r:embed="rId1"/>
                        <a:stretch>
                          <a:fillRect/>
                        </a:stretch>
                      </pic:blipFill>
                      <pic:spPr>
                        <a:xfrm>
                          <a:off x="0" y="0"/>
                          <a:ext cx="484248" cy="684000"/>
                        </a:xfrm>
                        <a:prstGeom prst="rect">
                          <a:avLst/>
                        </a:prstGeom>
                      </pic:spPr>
                    </pic:pic>
                  </a:graphicData>
                </a:graphic>
              </wp:inline>
            </w:drawing>
          </w:r>
        </w:p>
      </w:tc>
      <w:tc>
        <w:tcPr>
          <w:tcW w:w="6911" w:type="dxa"/>
          <w:vAlign w:val="center"/>
        </w:tcPr>
        <w:p w14:paraId="5D55D243" w14:textId="77777777" w:rsidR="0082643C" w:rsidRDefault="00000000">
          <w:pPr>
            <w:jc w:val="center"/>
          </w:pPr>
          <w:r>
            <w:rPr>
              <w:b/>
              <w:sz w:val="22"/>
            </w:rPr>
            <w:t>Universidad Mayor de “San Andrés”</w:t>
          </w:r>
          <w:r>
            <w:rPr>
              <w:b/>
              <w:sz w:val="22"/>
            </w:rPr>
            <w:br/>
            <w:t>Facultad de Ciencias Económicas y Financieras</w:t>
          </w:r>
          <w:r>
            <w:rPr>
              <w:b/>
              <w:sz w:val="22"/>
            </w:rPr>
            <w:br/>
            <w:t>Carrera Contaduría Pública</w:t>
          </w:r>
        </w:p>
      </w:tc>
      <w:tc>
        <w:tcPr>
          <w:tcW w:w="1247" w:type="dxa"/>
          <w:vAlign w:val="center"/>
        </w:tcPr>
        <w:p w14:paraId="40704927" w14:textId="77777777" w:rsidR="0082643C" w:rsidRDefault="00000000">
          <w:pPr>
            <w:spacing w:after="40"/>
            <w:jc w:val="right"/>
          </w:pPr>
          <w:r>
            <w:rPr>
              <w:noProof/>
            </w:rPr>
            <w:drawing>
              <wp:inline distT="0" distB="0" distL="0" distR="0" wp14:anchorId="0FA32CCC" wp14:editId="01FA57C5">
                <wp:extent cx="445846" cy="684000"/>
                <wp:effectExtent l="0" t="0" r="0" b="0"/>
                <wp:docPr id="6608408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44376" name="logo_carrera.png"/>
                        <pic:cNvPicPr/>
                      </pic:nvPicPr>
                      <pic:blipFill>
                        <a:blip r:embed="rId2"/>
                        <a:stretch>
                          <a:fillRect/>
                        </a:stretch>
                      </pic:blipFill>
                      <pic:spPr>
                        <a:xfrm>
                          <a:off x="0" y="0"/>
                          <a:ext cx="445846" cy="684000"/>
                        </a:xfrm>
                        <a:prstGeom prst="rect">
                          <a:avLst/>
                        </a:prstGeom>
                      </pic:spPr>
                    </pic:pic>
                  </a:graphicData>
                </a:graphic>
              </wp:inline>
            </w:drawing>
          </w:r>
        </w:p>
      </w:tc>
    </w:tr>
  </w:tbl>
  <w:p w14:paraId="2D57ADA2" w14:textId="77777777" w:rsidR="0082643C" w:rsidRDefault="0082643C"/>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single" w:sz="6" w:space="0" w:color="000000"/>
        <w:right w:val="nil"/>
        <w:insideH w:val="nil"/>
        <w:insideV w:val="nil"/>
      </w:tblBorders>
      <w:tblLayout w:type="fixed"/>
      <w:tblLook w:val="04A0" w:firstRow="1" w:lastRow="0" w:firstColumn="1" w:lastColumn="0" w:noHBand="0" w:noVBand="1"/>
    </w:tblPr>
    <w:tblGrid>
      <w:gridCol w:w="1247"/>
      <w:gridCol w:w="6911"/>
      <w:gridCol w:w="1247"/>
    </w:tblGrid>
    <w:tr w:rsidR="00395D6D" w14:paraId="09E1BC4A" w14:textId="77777777">
      <w:trPr>
        <w:jc w:val="center"/>
      </w:trPr>
      <w:tc>
        <w:tcPr>
          <w:tcW w:w="1247" w:type="dxa"/>
          <w:vAlign w:val="center"/>
        </w:tcPr>
        <w:p w14:paraId="57612257" w14:textId="77777777" w:rsidR="006253E1" w:rsidRDefault="00000000">
          <w:pPr>
            <w:spacing w:after="40"/>
          </w:pPr>
          <w:r>
            <w:rPr>
              <w:noProof/>
            </w:rPr>
            <w:drawing>
              <wp:inline distT="0" distB="0" distL="0" distR="0" wp14:anchorId="7C05C2E1" wp14:editId="0412394A">
                <wp:extent cx="484248" cy="684000"/>
                <wp:effectExtent l="0" t="0" r="0" b="0"/>
                <wp:docPr id="691714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14682" name="logo_umsa.png"/>
                        <pic:cNvPicPr/>
                      </pic:nvPicPr>
                      <pic:blipFill>
                        <a:blip r:embed="rId1"/>
                        <a:stretch>
                          <a:fillRect/>
                        </a:stretch>
                      </pic:blipFill>
                      <pic:spPr>
                        <a:xfrm>
                          <a:off x="0" y="0"/>
                          <a:ext cx="484248" cy="684000"/>
                        </a:xfrm>
                        <a:prstGeom prst="rect">
                          <a:avLst/>
                        </a:prstGeom>
                      </pic:spPr>
                    </pic:pic>
                  </a:graphicData>
                </a:graphic>
              </wp:inline>
            </w:drawing>
          </w:r>
        </w:p>
      </w:tc>
      <w:tc>
        <w:tcPr>
          <w:tcW w:w="6911" w:type="dxa"/>
          <w:vAlign w:val="center"/>
        </w:tcPr>
        <w:p w14:paraId="446F557F" w14:textId="77777777" w:rsidR="006253E1" w:rsidRDefault="00000000">
          <w:pPr>
            <w:jc w:val="center"/>
          </w:pPr>
          <w:r>
            <w:rPr>
              <w:b/>
              <w:sz w:val="22"/>
            </w:rPr>
            <w:t>Universidad Mayor de “San Andrés”</w:t>
          </w:r>
          <w:r>
            <w:rPr>
              <w:b/>
              <w:sz w:val="22"/>
            </w:rPr>
            <w:br/>
            <w:t>Facultad de Ciencias Económicas y Financieras</w:t>
          </w:r>
          <w:r>
            <w:rPr>
              <w:b/>
              <w:sz w:val="22"/>
            </w:rPr>
            <w:br/>
            <w:t>Carrera Contaduría Pública</w:t>
          </w:r>
        </w:p>
      </w:tc>
      <w:tc>
        <w:tcPr>
          <w:tcW w:w="1247" w:type="dxa"/>
          <w:vAlign w:val="center"/>
        </w:tcPr>
        <w:p w14:paraId="7E2FC692" w14:textId="77777777" w:rsidR="006253E1" w:rsidRDefault="00000000">
          <w:pPr>
            <w:spacing w:after="40"/>
            <w:jc w:val="right"/>
          </w:pPr>
          <w:r>
            <w:rPr>
              <w:noProof/>
            </w:rPr>
            <w:drawing>
              <wp:inline distT="0" distB="0" distL="0" distR="0" wp14:anchorId="4A2C868D" wp14:editId="2932B1AE">
                <wp:extent cx="445846" cy="684000"/>
                <wp:effectExtent l="0" t="0" r="0" b="0"/>
                <wp:docPr id="10723773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77365" name="logo_carrera.png"/>
                        <pic:cNvPicPr/>
                      </pic:nvPicPr>
                      <pic:blipFill>
                        <a:blip r:embed="rId2"/>
                        <a:stretch>
                          <a:fillRect/>
                        </a:stretch>
                      </pic:blipFill>
                      <pic:spPr>
                        <a:xfrm>
                          <a:off x="0" y="0"/>
                          <a:ext cx="445846" cy="684000"/>
                        </a:xfrm>
                        <a:prstGeom prst="rect">
                          <a:avLst/>
                        </a:prstGeom>
                      </pic:spPr>
                    </pic:pic>
                  </a:graphicData>
                </a:graphic>
              </wp:inline>
            </w:drawing>
          </w:r>
        </w:p>
      </w:tc>
    </w:tr>
  </w:tbl>
  <w:p w14:paraId="34011011" w14:textId="77777777" w:rsidR="006253E1" w:rsidRDefault="006253E1"/>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single" w:sz="6" w:space="0" w:color="000000"/>
        <w:right w:val="nil"/>
        <w:insideH w:val="nil"/>
        <w:insideV w:val="nil"/>
      </w:tblBorders>
      <w:tblLayout w:type="fixed"/>
      <w:tblLook w:val="04A0" w:firstRow="1" w:lastRow="0" w:firstColumn="1" w:lastColumn="0" w:noHBand="0" w:noVBand="1"/>
    </w:tblPr>
    <w:tblGrid>
      <w:gridCol w:w="1247"/>
      <w:gridCol w:w="6911"/>
      <w:gridCol w:w="1247"/>
    </w:tblGrid>
    <w:tr w:rsidR="00395D6D" w14:paraId="3CCE6927" w14:textId="77777777">
      <w:trPr>
        <w:jc w:val="center"/>
      </w:trPr>
      <w:tc>
        <w:tcPr>
          <w:tcW w:w="1247" w:type="dxa"/>
          <w:vAlign w:val="center"/>
        </w:tcPr>
        <w:p w14:paraId="71EFE8CF" w14:textId="77777777" w:rsidR="00ED3284" w:rsidRDefault="00000000">
          <w:pPr>
            <w:spacing w:after="40"/>
          </w:pPr>
          <w:r>
            <w:rPr>
              <w:noProof/>
            </w:rPr>
            <w:drawing>
              <wp:inline distT="0" distB="0" distL="0" distR="0" wp14:anchorId="18D72D9D" wp14:editId="11FDABDE">
                <wp:extent cx="484248" cy="684000"/>
                <wp:effectExtent l="0" t="0" r="0" b="0"/>
                <wp:docPr id="88635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351089" name="logo_umsa.png"/>
                        <pic:cNvPicPr/>
                      </pic:nvPicPr>
                      <pic:blipFill>
                        <a:blip r:embed="rId1"/>
                        <a:stretch>
                          <a:fillRect/>
                        </a:stretch>
                      </pic:blipFill>
                      <pic:spPr>
                        <a:xfrm>
                          <a:off x="0" y="0"/>
                          <a:ext cx="484248" cy="684000"/>
                        </a:xfrm>
                        <a:prstGeom prst="rect">
                          <a:avLst/>
                        </a:prstGeom>
                      </pic:spPr>
                    </pic:pic>
                  </a:graphicData>
                </a:graphic>
              </wp:inline>
            </w:drawing>
          </w:r>
        </w:p>
      </w:tc>
      <w:tc>
        <w:tcPr>
          <w:tcW w:w="6911" w:type="dxa"/>
          <w:vAlign w:val="center"/>
        </w:tcPr>
        <w:p w14:paraId="1BC3440A" w14:textId="77777777" w:rsidR="00ED3284" w:rsidRDefault="00000000">
          <w:pPr>
            <w:jc w:val="center"/>
          </w:pPr>
          <w:r>
            <w:rPr>
              <w:b/>
              <w:sz w:val="22"/>
            </w:rPr>
            <w:t>Universidad Mayor de “San Andrés”</w:t>
          </w:r>
          <w:r>
            <w:rPr>
              <w:b/>
              <w:sz w:val="22"/>
            </w:rPr>
            <w:br/>
            <w:t>Facultad de Ciencias Económicas y Financieras</w:t>
          </w:r>
          <w:r>
            <w:rPr>
              <w:b/>
              <w:sz w:val="22"/>
            </w:rPr>
            <w:br/>
            <w:t>Carrera Contaduría Pública</w:t>
          </w:r>
        </w:p>
      </w:tc>
      <w:tc>
        <w:tcPr>
          <w:tcW w:w="1247" w:type="dxa"/>
          <w:vAlign w:val="center"/>
        </w:tcPr>
        <w:p w14:paraId="2D15EA68" w14:textId="77777777" w:rsidR="00ED3284" w:rsidRDefault="00000000">
          <w:pPr>
            <w:spacing w:after="40"/>
            <w:jc w:val="right"/>
          </w:pPr>
          <w:r>
            <w:rPr>
              <w:noProof/>
            </w:rPr>
            <w:drawing>
              <wp:inline distT="0" distB="0" distL="0" distR="0" wp14:anchorId="4BB7103B" wp14:editId="48F68432">
                <wp:extent cx="445846" cy="684000"/>
                <wp:effectExtent l="0" t="0" r="0" b="0"/>
                <wp:docPr id="12672155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15505" name="logo_carrera.png"/>
                        <pic:cNvPicPr/>
                      </pic:nvPicPr>
                      <pic:blipFill>
                        <a:blip r:embed="rId2"/>
                        <a:stretch>
                          <a:fillRect/>
                        </a:stretch>
                      </pic:blipFill>
                      <pic:spPr>
                        <a:xfrm>
                          <a:off x="0" y="0"/>
                          <a:ext cx="445846" cy="684000"/>
                        </a:xfrm>
                        <a:prstGeom prst="rect">
                          <a:avLst/>
                        </a:prstGeom>
                      </pic:spPr>
                    </pic:pic>
                  </a:graphicData>
                </a:graphic>
              </wp:inline>
            </w:drawing>
          </w:r>
        </w:p>
      </w:tc>
    </w:tr>
  </w:tbl>
  <w:p w14:paraId="55A4E10C" w14:textId="77777777" w:rsidR="00ED3284" w:rsidRDefault="00ED3284"/>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single" w:sz="6" w:space="0" w:color="000000"/>
        <w:right w:val="nil"/>
        <w:insideH w:val="nil"/>
        <w:insideV w:val="nil"/>
      </w:tblBorders>
      <w:tblLayout w:type="fixed"/>
      <w:tblLook w:val="04A0" w:firstRow="1" w:lastRow="0" w:firstColumn="1" w:lastColumn="0" w:noHBand="0" w:noVBand="1"/>
    </w:tblPr>
    <w:tblGrid>
      <w:gridCol w:w="1247"/>
      <w:gridCol w:w="6911"/>
      <w:gridCol w:w="1247"/>
    </w:tblGrid>
    <w:tr w:rsidR="00395D6D" w14:paraId="629C92AB" w14:textId="77777777">
      <w:trPr>
        <w:jc w:val="center"/>
      </w:trPr>
      <w:tc>
        <w:tcPr>
          <w:tcW w:w="1247" w:type="dxa"/>
          <w:vAlign w:val="center"/>
        </w:tcPr>
        <w:p w14:paraId="67DA60EC" w14:textId="77777777" w:rsidR="007B3AB6" w:rsidRDefault="00000000">
          <w:pPr>
            <w:spacing w:after="40"/>
          </w:pPr>
          <w:r>
            <w:rPr>
              <w:noProof/>
            </w:rPr>
            <w:drawing>
              <wp:inline distT="0" distB="0" distL="0" distR="0" wp14:anchorId="343A470F" wp14:editId="3AC4DC92">
                <wp:extent cx="484248" cy="684000"/>
                <wp:effectExtent l="0" t="0" r="0" b="0"/>
                <wp:docPr id="1653320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20422" name="logo_umsa.png"/>
                        <pic:cNvPicPr/>
                      </pic:nvPicPr>
                      <pic:blipFill>
                        <a:blip r:embed="rId1"/>
                        <a:stretch>
                          <a:fillRect/>
                        </a:stretch>
                      </pic:blipFill>
                      <pic:spPr>
                        <a:xfrm>
                          <a:off x="0" y="0"/>
                          <a:ext cx="484248" cy="684000"/>
                        </a:xfrm>
                        <a:prstGeom prst="rect">
                          <a:avLst/>
                        </a:prstGeom>
                      </pic:spPr>
                    </pic:pic>
                  </a:graphicData>
                </a:graphic>
              </wp:inline>
            </w:drawing>
          </w:r>
        </w:p>
      </w:tc>
      <w:tc>
        <w:tcPr>
          <w:tcW w:w="6911" w:type="dxa"/>
          <w:vAlign w:val="center"/>
        </w:tcPr>
        <w:p w14:paraId="3FC53F10" w14:textId="77777777" w:rsidR="007B3AB6" w:rsidRDefault="00000000">
          <w:pPr>
            <w:jc w:val="center"/>
          </w:pPr>
          <w:r>
            <w:rPr>
              <w:b/>
              <w:sz w:val="22"/>
            </w:rPr>
            <w:t>Universidad Mayor de “San Andrés”</w:t>
          </w:r>
          <w:r>
            <w:rPr>
              <w:b/>
              <w:sz w:val="22"/>
            </w:rPr>
            <w:br/>
            <w:t>Facultad de Ciencias Económicas y Financieras</w:t>
          </w:r>
          <w:r>
            <w:rPr>
              <w:b/>
              <w:sz w:val="22"/>
            </w:rPr>
            <w:br/>
            <w:t>Carrera Contaduría Pública</w:t>
          </w:r>
        </w:p>
      </w:tc>
      <w:tc>
        <w:tcPr>
          <w:tcW w:w="1247" w:type="dxa"/>
          <w:vAlign w:val="center"/>
        </w:tcPr>
        <w:p w14:paraId="0D110FEC" w14:textId="77777777" w:rsidR="007B3AB6" w:rsidRDefault="00000000">
          <w:pPr>
            <w:spacing w:after="40"/>
            <w:jc w:val="right"/>
          </w:pPr>
          <w:r>
            <w:rPr>
              <w:noProof/>
            </w:rPr>
            <w:drawing>
              <wp:inline distT="0" distB="0" distL="0" distR="0" wp14:anchorId="2D4EA9E0" wp14:editId="3DD7D23D">
                <wp:extent cx="445846" cy="684000"/>
                <wp:effectExtent l="0" t="0" r="0" b="0"/>
                <wp:docPr id="14886685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668577" name="logo_carrera.png"/>
                        <pic:cNvPicPr/>
                      </pic:nvPicPr>
                      <pic:blipFill>
                        <a:blip r:embed="rId2"/>
                        <a:stretch>
                          <a:fillRect/>
                        </a:stretch>
                      </pic:blipFill>
                      <pic:spPr>
                        <a:xfrm>
                          <a:off x="0" y="0"/>
                          <a:ext cx="445846" cy="684000"/>
                        </a:xfrm>
                        <a:prstGeom prst="rect">
                          <a:avLst/>
                        </a:prstGeom>
                      </pic:spPr>
                    </pic:pic>
                  </a:graphicData>
                </a:graphic>
              </wp:inline>
            </w:drawing>
          </w:r>
        </w:p>
      </w:tc>
    </w:tr>
  </w:tbl>
  <w:p w14:paraId="2BB3A455" w14:textId="77777777" w:rsidR="007B3AB6" w:rsidRDefault="007B3AB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16F328C"/>
    <w:multiLevelType w:val="hybridMultilevel"/>
    <w:tmpl w:val="00000000"/>
    <w:lvl w:ilvl="0" w:tplc="B8BEF93A">
      <w:start w:val="1"/>
      <w:numFmt w:val="decimal"/>
      <w:lvlText w:val="%1."/>
      <w:lvlJc w:val="left"/>
      <w:pPr>
        <w:ind w:left="357" w:hanging="357"/>
      </w:pPr>
      <w:rPr>
        <w:rFonts w:ascii="Century Gothic" w:hAnsi="Century Gothic" w:cs="Century Gothic" w:hint="default"/>
        <w:b/>
        <w:sz w:val="20"/>
      </w:rPr>
    </w:lvl>
    <w:lvl w:ilvl="1" w:tplc="A99668CE">
      <w:start w:val="1"/>
      <w:numFmt w:val="lowerLetter"/>
      <w:lvlText w:val="%2."/>
      <w:lvlJc w:val="left"/>
      <w:pPr>
        <w:ind w:left="720" w:hanging="357"/>
      </w:pPr>
      <w:rPr>
        <w:rFonts w:ascii="Century Gothic" w:hAnsi="Century Gothic" w:cs="Century Gothic" w:hint="default"/>
        <w:b/>
        <w:sz w:val="20"/>
      </w:rPr>
    </w:lvl>
    <w:lvl w:ilvl="2" w:tplc="44C81884">
      <w:start w:val="1"/>
      <w:numFmt w:val="bullet"/>
      <w:lvlText w:val=""/>
      <w:lvlJc w:val="left"/>
      <w:pPr>
        <w:ind w:left="1077" w:hanging="283"/>
      </w:pPr>
      <w:rPr>
        <w:rFonts w:ascii="Wingdings" w:hAnsi="Wingdings" w:cs="Wingdings" w:hint="default"/>
        <w:sz w:val="20"/>
      </w:rPr>
    </w:lvl>
    <w:lvl w:ilvl="3" w:tplc="BDA05568">
      <w:start w:val="1"/>
      <w:numFmt w:val="decimal"/>
      <w:lvlText w:val=""/>
      <w:lvlJc w:val="left"/>
    </w:lvl>
    <w:lvl w:ilvl="4" w:tplc="E2F43CDE">
      <w:start w:val="1"/>
      <w:numFmt w:val="decimal"/>
      <w:lvlText w:val=""/>
      <w:lvlJc w:val="left"/>
    </w:lvl>
    <w:lvl w:ilvl="5" w:tplc="97702F0A">
      <w:start w:val="1"/>
      <w:numFmt w:val="decimal"/>
      <w:lvlText w:val=""/>
      <w:lvlJc w:val="left"/>
    </w:lvl>
    <w:lvl w:ilvl="6" w:tplc="E4C4CCC0">
      <w:start w:val="1"/>
      <w:numFmt w:val="decimal"/>
      <w:lvlText w:val=""/>
      <w:lvlJc w:val="left"/>
    </w:lvl>
    <w:lvl w:ilvl="7" w:tplc="64EAD948">
      <w:start w:val="1"/>
      <w:numFmt w:val="decimal"/>
      <w:lvlText w:val=""/>
      <w:lvlJc w:val="left"/>
    </w:lvl>
    <w:lvl w:ilvl="8" w:tplc="21B23022">
      <w:start w:val="1"/>
      <w:numFmt w:val="decimal"/>
      <w:lvlText w:val=""/>
      <w:lvlJc w:val="left"/>
    </w:lvl>
  </w:abstractNum>
  <w:abstractNum w:abstractNumId="7" w15:restartNumberingAfterBreak="0">
    <w:nsid w:val="0183401B"/>
    <w:multiLevelType w:val="hybridMultilevel"/>
    <w:tmpl w:val="48CE72CC"/>
    <w:lvl w:ilvl="0" w:tplc="7F30F31A">
      <w:start w:val="1"/>
      <w:numFmt w:val="decimal"/>
      <w:lvlText w:val="%1."/>
      <w:lvlJc w:val="left"/>
      <w:pPr>
        <w:ind w:left="1070" w:hanging="360"/>
      </w:pPr>
    </w:lvl>
    <w:lvl w:ilvl="1" w:tplc="DC2E55DA">
      <w:start w:val="1"/>
      <w:numFmt w:val="lowerLetter"/>
      <w:lvlText w:val="%2."/>
      <w:lvlJc w:val="left"/>
      <w:pPr>
        <w:ind w:left="3570" w:hanging="2140"/>
      </w:pPr>
      <w:rPr>
        <w:rFonts w:hint="default"/>
      </w:rPr>
    </w:lvl>
    <w:lvl w:ilvl="2" w:tplc="00BEED8C" w:tentative="1">
      <w:start w:val="1"/>
      <w:numFmt w:val="lowerRoman"/>
      <w:lvlText w:val="%3."/>
      <w:lvlJc w:val="right"/>
      <w:pPr>
        <w:ind w:left="2510" w:hanging="180"/>
      </w:pPr>
    </w:lvl>
    <w:lvl w:ilvl="3" w:tplc="AFD63A3E" w:tentative="1">
      <w:start w:val="1"/>
      <w:numFmt w:val="decimal"/>
      <w:lvlText w:val="%4."/>
      <w:lvlJc w:val="left"/>
      <w:pPr>
        <w:ind w:left="3230" w:hanging="360"/>
      </w:pPr>
    </w:lvl>
    <w:lvl w:ilvl="4" w:tplc="A934C40C" w:tentative="1">
      <w:start w:val="1"/>
      <w:numFmt w:val="lowerLetter"/>
      <w:lvlText w:val="%5."/>
      <w:lvlJc w:val="left"/>
      <w:pPr>
        <w:ind w:left="3950" w:hanging="360"/>
      </w:pPr>
    </w:lvl>
    <w:lvl w:ilvl="5" w:tplc="96025D54" w:tentative="1">
      <w:start w:val="1"/>
      <w:numFmt w:val="lowerRoman"/>
      <w:lvlText w:val="%6."/>
      <w:lvlJc w:val="right"/>
      <w:pPr>
        <w:ind w:left="4670" w:hanging="180"/>
      </w:pPr>
    </w:lvl>
    <w:lvl w:ilvl="6" w:tplc="F44CACD2" w:tentative="1">
      <w:start w:val="1"/>
      <w:numFmt w:val="decimal"/>
      <w:lvlText w:val="%7."/>
      <w:lvlJc w:val="left"/>
      <w:pPr>
        <w:ind w:left="5390" w:hanging="360"/>
      </w:pPr>
    </w:lvl>
    <w:lvl w:ilvl="7" w:tplc="82B26B1C" w:tentative="1">
      <w:start w:val="1"/>
      <w:numFmt w:val="lowerLetter"/>
      <w:lvlText w:val="%8."/>
      <w:lvlJc w:val="left"/>
      <w:pPr>
        <w:ind w:left="6110" w:hanging="360"/>
      </w:pPr>
    </w:lvl>
    <w:lvl w:ilvl="8" w:tplc="8E421868" w:tentative="1">
      <w:start w:val="1"/>
      <w:numFmt w:val="lowerRoman"/>
      <w:lvlText w:val="%9."/>
      <w:lvlJc w:val="right"/>
      <w:pPr>
        <w:ind w:left="6830" w:hanging="180"/>
      </w:pPr>
    </w:lvl>
  </w:abstractNum>
  <w:abstractNum w:abstractNumId="8" w15:restartNumberingAfterBreak="0">
    <w:nsid w:val="0C135B95"/>
    <w:multiLevelType w:val="hybridMultilevel"/>
    <w:tmpl w:val="3916770C"/>
    <w:lvl w:ilvl="0" w:tplc="1C74FAD2">
      <w:start w:val="1"/>
      <w:numFmt w:val="decimal"/>
      <w:lvlText w:val="%1."/>
      <w:lvlJc w:val="left"/>
      <w:pPr>
        <w:ind w:left="357" w:hanging="357"/>
      </w:pPr>
      <w:rPr>
        <w:rFonts w:ascii="Century Gothic" w:hAnsi="Century Gothic" w:cs="Century Gothic" w:hint="default"/>
        <w:b/>
        <w:sz w:val="20"/>
      </w:rPr>
    </w:lvl>
    <w:lvl w:ilvl="1" w:tplc="DF08B364">
      <w:start w:val="1"/>
      <w:numFmt w:val="lowerLetter"/>
      <w:lvlText w:val="%2."/>
      <w:lvlJc w:val="left"/>
      <w:pPr>
        <w:ind w:left="720" w:hanging="357"/>
      </w:pPr>
      <w:rPr>
        <w:rFonts w:ascii="Century Gothic" w:hAnsi="Century Gothic" w:cs="Century Gothic" w:hint="default"/>
        <w:b/>
        <w:sz w:val="20"/>
      </w:rPr>
    </w:lvl>
    <w:lvl w:ilvl="2" w:tplc="938CF174">
      <w:start w:val="1"/>
      <w:numFmt w:val="bullet"/>
      <w:lvlText w:val=""/>
      <w:lvlJc w:val="left"/>
      <w:pPr>
        <w:ind w:left="1077" w:hanging="283"/>
      </w:pPr>
      <w:rPr>
        <w:rFonts w:ascii="Wingdings" w:hAnsi="Wingdings" w:cs="Wingdings" w:hint="default"/>
        <w:sz w:val="20"/>
      </w:rPr>
    </w:lvl>
    <w:lvl w:ilvl="3" w:tplc="AB00C486">
      <w:numFmt w:val="decimal"/>
      <w:lvlText w:val=""/>
      <w:lvlJc w:val="left"/>
    </w:lvl>
    <w:lvl w:ilvl="4" w:tplc="F8D0EA9E">
      <w:numFmt w:val="decimal"/>
      <w:lvlText w:val=""/>
      <w:lvlJc w:val="left"/>
    </w:lvl>
    <w:lvl w:ilvl="5" w:tplc="50E61E14">
      <w:numFmt w:val="decimal"/>
      <w:lvlText w:val=""/>
      <w:lvlJc w:val="left"/>
    </w:lvl>
    <w:lvl w:ilvl="6" w:tplc="29AC0C4E">
      <w:numFmt w:val="decimal"/>
      <w:lvlText w:val=""/>
      <w:lvlJc w:val="left"/>
    </w:lvl>
    <w:lvl w:ilvl="7" w:tplc="67361BEC">
      <w:numFmt w:val="decimal"/>
      <w:lvlText w:val=""/>
      <w:lvlJc w:val="left"/>
    </w:lvl>
    <w:lvl w:ilvl="8" w:tplc="AF420988">
      <w:numFmt w:val="decimal"/>
      <w:lvlText w:val=""/>
      <w:lvlJc w:val="left"/>
    </w:lvl>
  </w:abstractNum>
  <w:abstractNum w:abstractNumId="9" w15:restartNumberingAfterBreak="0">
    <w:nsid w:val="0D58141B"/>
    <w:multiLevelType w:val="hybridMultilevel"/>
    <w:tmpl w:val="0D4681C6"/>
    <w:lvl w:ilvl="0" w:tplc="131A2C32">
      <w:start w:val="1"/>
      <w:numFmt w:val="bullet"/>
      <w:lvlText w:val=""/>
      <w:lvlJc w:val="left"/>
      <w:pPr>
        <w:ind w:left="357" w:hanging="357"/>
      </w:pPr>
      <w:rPr>
        <w:rFonts w:ascii="Wingdings" w:hAnsi="Wingdings" w:cs="Wingdings" w:hint="default"/>
        <w:sz w:val="20"/>
      </w:rPr>
    </w:lvl>
    <w:lvl w:ilvl="1" w:tplc="ECAC033A">
      <w:start w:val="1"/>
      <w:numFmt w:val="bullet"/>
      <w:lvlText w:val="–"/>
      <w:lvlJc w:val="left"/>
      <w:pPr>
        <w:ind w:left="720" w:hanging="283"/>
      </w:pPr>
      <w:rPr>
        <w:rFonts w:ascii="Century Gothic" w:hAnsi="Century Gothic" w:cs="Century Gothic" w:hint="default"/>
        <w:sz w:val="20"/>
      </w:rPr>
    </w:lvl>
    <w:lvl w:ilvl="2" w:tplc="0AACE55C">
      <w:start w:val="1"/>
      <w:numFmt w:val="bullet"/>
      <w:lvlText w:val="·"/>
      <w:lvlJc w:val="left"/>
      <w:pPr>
        <w:ind w:left="1077" w:hanging="283"/>
      </w:pPr>
      <w:rPr>
        <w:rFonts w:ascii="Symbol" w:hAnsi="Symbol" w:cs="Symbol" w:hint="default"/>
        <w:sz w:val="20"/>
      </w:rPr>
    </w:lvl>
    <w:lvl w:ilvl="3" w:tplc="B144F4A0">
      <w:numFmt w:val="decimal"/>
      <w:lvlText w:val=""/>
      <w:lvlJc w:val="left"/>
    </w:lvl>
    <w:lvl w:ilvl="4" w:tplc="4FD06158">
      <w:numFmt w:val="decimal"/>
      <w:lvlText w:val=""/>
      <w:lvlJc w:val="left"/>
    </w:lvl>
    <w:lvl w:ilvl="5" w:tplc="DC10E2F2">
      <w:numFmt w:val="decimal"/>
      <w:lvlText w:val=""/>
      <w:lvlJc w:val="left"/>
    </w:lvl>
    <w:lvl w:ilvl="6" w:tplc="0B3EC368">
      <w:numFmt w:val="decimal"/>
      <w:lvlText w:val=""/>
      <w:lvlJc w:val="left"/>
    </w:lvl>
    <w:lvl w:ilvl="7" w:tplc="101C6BB2">
      <w:numFmt w:val="decimal"/>
      <w:lvlText w:val=""/>
      <w:lvlJc w:val="left"/>
    </w:lvl>
    <w:lvl w:ilvl="8" w:tplc="1D18A8EA">
      <w:numFmt w:val="decimal"/>
      <w:lvlText w:val=""/>
      <w:lvlJc w:val="left"/>
    </w:lvl>
  </w:abstractNum>
  <w:abstractNum w:abstractNumId="10" w15:restartNumberingAfterBreak="0">
    <w:nsid w:val="0E2C68D1"/>
    <w:multiLevelType w:val="hybridMultilevel"/>
    <w:tmpl w:val="ECB6C604"/>
    <w:lvl w:ilvl="0" w:tplc="C3507C0A">
      <w:start w:val="1"/>
      <w:numFmt w:val="decimal"/>
      <w:lvlText w:val="%1."/>
      <w:lvlJc w:val="left"/>
      <w:pPr>
        <w:ind w:left="357" w:hanging="357"/>
      </w:pPr>
      <w:rPr>
        <w:rFonts w:ascii="Century Gothic" w:hAnsi="Century Gothic" w:cs="Century Gothic" w:hint="default"/>
        <w:b/>
        <w:sz w:val="20"/>
      </w:rPr>
    </w:lvl>
    <w:lvl w:ilvl="1" w:tplc="236067A6">
      <w:start w:val="1"/>
      <w:numFmt w:val="lowerLetter"/>
      <w:lvlText w:val="%2."/>
      <w:lvlJc w:val="left"/>
      <w:pPr>
        <w:ind w:left="720" w:hanging="357"/>
      </w:pPr>
      <w:rPr>
        <w:rFonts w:ascii="Century Gothic" w:hAnsi="Century Gothic" w:cs="Century Gothic" w:hint="default"/>
        <w:b/>
        <w:sz w:val="20"/>
      </w:rPr>
    </w:lvl>
    <w:lvl w:ilvl="2" w:tplc="DEAC1594">
      <w:start w:val="1"/>
      <w:numFmt w:val="bullet"/>
      <w:lvlText w:val=""/>
      <w:lvlJc w:val="left"/>
      <w:pPr>
        <w:ind w:left="1077" w:hanging="283"/>
      </w:pPr>
      <w:rPr>
        <w:rFonts w:ascii="Wingdings" w:hAnsi="Wingdings" w:cs="Wingdings" w:hint="default"/>
        <w:sz w:val="20"/>
      </w:rPr>
    </w:lvl>
    <w:lvl w:ilvl="3" w:tplc="28D839A0">
      <w:numFmt w:val="decimal"/>
      <w:lvlText w:val=""/>
      <w:lvlJc w:val="left"/>
    </w:lvl>
    <w:lvl w:ilvl="4" w:tplc="1ED2DE76">
      <w:numFmt w:val="decimal"/>
      <w:lvlText w:val=""/>
      <w:lvlJc w:val="left"/>
    </w:lvl>
    <w:lvl w:ilvl="5" w:tplc="0A3E6C82">
      <w:numFmt w:val="decimal"/>
      <w:lvlText w:val=""/>
      <w:lvlJc w:val="left"/>
    </w:lvl>
    <w:lvl w:ilvl="6" w:tplc="4E185A64">
      <w:numFmt w:val="decimal"/>
      <w:lvlText w:val=""/>
      <w:lvlJc w:val="left"/>
    </w:lvl>
    <w:lvl w:ilvl="7" w:tplc="26003CB6">
      <w:numFmt w:val="decimal"/>
      <w:lvlText w:val=""/>
      <w:lvlJc w:val="left"/>
    </w:lvl>
    <w:lvl w:ilvl="8" w:tplc="69A42BF8">
      <w:numFmt w:val="decimal"/>
      <w:lvlText w:val=""/>
      <w:lvlJc w:val="left"/>
    </w:lvl>
  </w:abstractNum>
  <w:abstractNum w:abstractNumId="11" w15:restartNumberingAfterBreak="0">
    <w:nsid w:val="10C04A7A"/>
    <w:multiLevelType w:val="hybridMultilevel"/>
    <w:tmpl w:val="E90AD942"/>
    <w:lvl w:ilvl="0" w:tplc="16180EFA">
      <w:start w:val="1"/>
      <w:numFmt w:val="bullet"/>
      <w:lvlText w:val=""/>
      <w:lvlJc w:val="left"/>
      <w:pPr>
        <w:ind w:left="357" w:hanging="357"/>
      </w:pPr>
      <w:rPr>
        <w:rFonts w:ascii="Wingdings" w:hAnsi="Wingdings" w:cs="Wingdings" w:hint="default"/>
        <w:sz w:val="20"/>
      </w:rPr>
    </w:lvl>
    <w:lvl w:ilvl="1" w:tplc="F1DE6DA8">
      <w:start w:val="1"/>
      <w:numFmt w:val="bullet"/>
      <w:lvlText w:val="–"/>
      <w:lvlJc w:val="left"/>
      <w:pPr>
        <w:ind w:left="720" w:hanging="283"/>
      </w:pPr>
      <w:rPr>
        <w:rFonts w:ascii="Century Gothic" w:hAnsi="Century Gothic" w:cs="Century Gothic" w:hint="default"/>
        <w:sz w:val="20"/>
      </w:rPr>
    </w:lvl>
    <w:lvl w:ilvl="2" w:tplc="44361D3E">
      <w:start w:val="1"/>
      <w:numFmt w:val="bullet"/>
      <w:lvlText w:val="·"/>
      <w:lvlJc w:val="left"/>
      <w:pPr>
        <w:ind w:left="1077" w:hanging="283"/>
      </w:pPr>
      <w:rPr>
        <w:rFonts w:ascii="Symbol" w:hAnsi="Symbol" w:cs="Symbol" w:hint="default"/>
        <w:sz w:val="20"/>
      </w:rPr>
    </w:lvl>
    <w:lvl w:ilvl="3" w:tplc="4028C774">
      <w:numFmt w:val="decimal"/>
      <w:lvlText w:val=""/>
      <w:lvlJc w:val="left"/>
    </w:lvl>
    <w:lvl w:ilvl="4" w:tplc="20CCBAD0">
      <w:numFmt w:val="decimal"/>
      <w:lvlText w:val=""/>
      <w:lvlJc w:val="left"/>
    </w:lvl>
    <w:lvl w:ilvl="5" w:tplc="37C04428">
      <w:numFmt w:val="decimal"/>
      <w:lvlText w:val=""/>
      <w:lvlJc w:val="left"/>
    </w:lvl>
    <w:lvl w:ilvl="6" w:tplc="27E4DFA2">
      <w:numFmt w:val="decimal"/>
      <w:lvlText w:val=""/>
      <w:lvlJc w:val="left"/>
    </w:lvl>
    <w:lvl w:ilvl="7" w:tplc="D4020F9E">
      <w:numFmt w:val="decimal"/>
      <w:lvlText w:val=""/>
      <w:lvlJc w:val="left"/>
    </w:lvl>
    <w:lvl w:ilvl="8" w:tplc="A73AF956">
      <w:numFmt w:val="decimal"/>
      <w:lvlText w:val=""/>
      <w:lvlJc w:val="left"/>
    </w:lvl>
  </w:abstractNum>
  <w:abstractNum w:abstractNumId="12" w15:restartNumberingAfterBreak="0">
    <w:nsid w:val="10DE4080"/>
    <w:multiLevelType w:val="hybridMultilevel"/>
    <w:tmpl w:val="7BFCCED0"/>
    <w:lvl w:ilvl="0" w:tplc="A7AE44A0">
      <w:start w:val="1"/>
      <w:numFmt w:val="bullet"/>
      <w:lvlText w:val=""/>
      <w:lvlJc w:val="left"/>
      <w:pPr>
        <w:ind w:left="357" w:hanging="357"/>
      </w:pPr>
      <w:rPr>
        <w:rFonts w:ascii="Wingdings" w:hAnsi="Wingdings" w:cs="Wingdings" w:hint="default"/>
        <w:sz w:val="20"/>
      </w:rPr>
    </w:lvl>
    <w:lvl w:ilvl="1" w:tplc="20E2C8A4">
      <w:start w:val="1"/>
      <w:numFmt w:val="bullet"/>
      <w:lvlText w:val="–"/>
      <w:lvlJc w:val="left"/>
      <w:pPr>
        <w:ind w:left="720" w:hanging="283"/>
      </w:pPr>
      <w:rPr>
        <w:rFonts w:ascii="Century Gothic" w:hAnsi="Century Gothic" w:cs="Century Gothic" w:hint="default"/>
        <w:sz w:val="20"/>
      </w:rPr>
    </w:lvl>
    <w:lvl w:ilvl="2" w:tplc="DD1CFD66">
      <w:start w:val="1"/>
      <w:numFmt w:val="bullet"/>
      <w:lvlText w:val="·"/>
      <w:lvlJc w:val="left"/>
      <w:pPr>
        <w:ind w:left="1077" w:hanging="283"/>
      </w:pPr>
      <w:rPr>
        <w:rFonts w:ascii="Symbol" w:hAnsi="Symbol" w:cs="Symbol" w:hint="default"/>
        <w:sz w:val="20"/>
      </w:rPr>
    </w:lvl>
    <w:lvl w:ilvl="3" w:tplc="D0C6B7F0">
      <w:numFmt w:val="decimal"/>
      <w:lvlText w:val=""/>
      <w:lvlJc w:val="left"/>
    </w:lvl>
    <w:lvl w:ilvl="4" w:tplc="1A6284FA">
      <w:numFmt w:val="decimal"/>
      <w:lvlText w:val=""/>
      <w:lvlJc w:val="left"/>
    </w:lvl>
    <w:lvl w:ilvl="5" w:tplc="C9DED036">
      <w:numFmt w:val="decimal"/>
      <w:lvlText w:val=""/>
      <w:lvlJc w:val="left"/>
    </w:lvl>
    <w:lvl w:ilvl="6" w:tplc="296221C6">
      <w:numFmt w:val="decimal"/>
      <w:lvlText w:val=""/>
      <w:lvlJc w:val="left"/>
    </w:lvl>
    <w:lvl w:ilvl="7" w:tplc="F3500EE6">
      <w:numFmt w:val="decimal"/>
      <w:lvlText w:val=""/>
      <w:lvlJc w:val="left"/>
    </w:lvl>
    <w:lvl w:ilvl="8" w:tplc="D39EFDF8">
      <w:numFmt w:val="decimal"/>
      <w:lvlText w:val=""/>
      <w:lvlJc w:val="left"/>
    </w:lvl>
  </w:abstractNum>
  <w:abstractNum w:abstractNumId="13" w15:restartNumberingAfterBreak="0">
    <w:nsid w:val="11B57064"/>
    <w:multiLevelType w:val="hybridMultilevel"/>
    <w:tmpl w:val="00588834"/>
    <w:lvl w:ilvl="0" w:tplc="C0F2800A">
      <w:start w:val="1"/>
      <w:numFmt w:val="bullet"/>
      <w:lvlText w:val=""/>
      <w:lvlJc w:val="left"/>
      <w:pPr>
        <w:ind w:left="357" w:hanging="357"/>
      </w:pPr>
      <w:rPr>
        <w:rFonts w:ascii="Wingdings" w:hAnsi="Wingdings" w:cs="Wingdings" w:hint="default"/>
        <w:sz w:val="20"/>
      </w:rPr>
    </w:lvl>
    <w:lvl w:ilvl="1" w:tplc="6BB6859C">
      <w:start w:val="1"/>
      <w:numFmt w:val="bullet"/>
      <w:lvlText w:val="–"/>
      <w:lvlJc w:val="left"/>
      <w:pPr>
        <w:ind w:left="720" w:hanging="283"/>
      </w:pPr>
      <w:rPr>
        <w:rFonts w:ascii="Century Gothic" w:hAnsi="Century Gothic" w:cs="Century Gothic" w:hint="default"/>
        <w:sz w:val="20"/>
      </w:rPr>
    </w:lvl>
    <w:lvl w:ilvl="2" w:tplc="184EB330">
      <w:start w:val="1"/>
      <w:numFmt w:val="bullet"/>
      <w:lvlText w:val="·"/>
      <w:lvlJc w:val="left"/>
      <w:pPr>
        <w:ind w:left="1077" w:hanging="283"/>
      </w:pPr>
      <w:rPr>
        <w:rFonts w:ascii="Symbol" w:hAnsi="Symbol" w:cs="Symbol" w:hint="default"/>
        <w:sz w:val="20"/>
      </w:rPr>
    </w:lvl>
    <w:lvl w:ilvl="3" w:tplc="B2AAD394">
      <w:numFmt w:val="decimal"/>
      <w:lvlText w:val=""/>
      <w:lvlJc w:val="left"/>
    </w:lvl>
    <w:lvl w:ilvl="4" w:tplc="83586822">
      <w:numFmt w:val="decimal"/>
      <w:lvlText w:val=""/>
      <w:lvlJc w:val="left"/>
    </w:lvl>
    <w:lvl w:ilvl="5" w:tplc="506C9D26">
      <w:numFmt w:val="decimal"/>
      <w:lvlText w:val=""/>
      <w:lvlJc w:val="left"/>
    </w:lvl>
    <w:lvl w:ilvl="6" w:tplc="2724FD76">
      <w:numFmt w:val="decimal"/>
      <w:lvlText w:val=""/>
      <w:lvlJc w:val="left"/>
    </w:lvl>
    <w:lvl w:ilvl="7" w:tplc="2506A15A">
      <w:numFmt w:val="decimal"/>
      <w:lvlText w:val=""/>
      <w:lvlJc w:val="left"/>
    </w:lvl>
    <w:lvl w:ilvl="8" w:tplc="6AE8B22A">
      <w:numFmt w:val="decimal"/>
      <w:lvlText w:val=""/>
      <w:lvlJc w:val="left"/>
    </w:lvl>
  </w:abstractNum>
  <w:abstractNum w:abstractNumId="14" w15:restartNumberingAfterBreak="0">
    <w:nsid w:val="13BB105E"/>
    <w:multiLevelType w:val="hybridMultilevel"/>
    <w:tmpl w:val="3AFAD626"/>
    <w:lvl w:ilvl="0" w:tplc="0FBCFEE2">
      <w:start w:val="1"/>
      <w:numFmt w:val="bullet"/>
      <w:lvlText w:val=""/>
      <w:lvlJc w:val="left"/>
      <w:pPr>
        <w:ind w:left="720" w:hanging="360"/>
      </w:pPr>
      <w:rPr>
        <w:rFonts w:ascii="Symbol" w:hAnsi="Symbol" w:hint="default"/>
      </w:rPr>
    </w:lvl>
    <w:lvl w:ilvl="1" w:tplc="E9703222" w:tentative="1">
      <w:start w:val="1"/>
      <w:numFmt w:val="bullet"/>
      <w:lvlText w:val="o"/>
      <w:lvlJc w:val="left"/>
      <w:pPr>
        <w:ind w:left="1440" w:hanging="360"/>
      </w:pPr>
      <w:rPr>
        <w:rFonts w:ascii="Courier New" w:hAnsi="Courier New" w:cs="Courier New" w:hint="default"/>
      </w:rPr>
    </w:lvl>
    <w:lvl w:ilvl="2" w:tplc="CFC4161E" w:tentative="1">
      <w:start w:val="1"/>
      <w:numFmt w:val="bullet"/>
      <w:lvlText w:val=""/>
      <w:lvlJc w:val="left"/>
      <w:pPr>
        <w:ind w:left="2160" w:hanging="360"/>
      </w:pPr>
      <w:rPr>
        <w:rFonts w:ascii="Wingdings" w:hAnsi="Wingdings" w:hint="default"/>
      </w:rPr>
    </w:lvl>
    <w:lvl w:ilvl="3" w:tplc="E3FE4180" w:tentative="1">
      <w:start w:val="1"/>
      <w:numFmt w:val="bullet"/>
      <w:lvlText w:val=""/>
      <w:lvlJc w:val="left"/>
      <w:pPr>
        <w:ind w:left="2880" w:hanging="360"/>
      </w:pPr>
      <w:rPr>
        <w:rFonts w:ascii="Symbol" w:hAnsi="Symbol" w:hint="default"/>
      </w:rPr>
    </w:lvl>
    <w:lvl w:ilvl="4" w:tplc="5BAADFC4" w:tentative="1">
      <w:start w:val="1"/>
      <w:numFmt w:val="bullet"/>
      <w:lvlText w:val="o"/>
      <w:lvlJc w:val="left"/>
      <w:pPr>
        <w:ind w:left="3600" w:hanging="360"/>
      </w:pPr>
      <w:rPr>
        <w:rFonts w:ascii="Courier New" w:hAnsi="Courier New" w:cs="Courier New" w:hint="default"/>
      </w:rPr>
    </w:lvl>
    <w:lvl w:ilvl="5" w:tplc="12F0E44E" w:tentative="1">
      <w:start w:val="1"/>
      <w:numFmt w:val="bullet"/>
      <w:lvlText w:val=""/>
      <w:lvlJc w:val="left"/>
      <w:pPr>
        <w:ind w:left="4320" w:hanging="360"/>
      </w:pPr>
      <w:rPr>
        <w:rFonts w:ascii="Wingdings" w:hAnsi="Wingdings" w:hint="default"/>
      </w:rPr>
    </w:lvl>
    <w:lvl w:ilvl="6" w:tplc="25FECB30" w:tentative="1">
      <w:start w:val="1"/>
      <w:numFmt w:val="bullet"/>
      <w:lvlText w:val=""/>
      <w:lvlJc w:val="left"/>
      <w:pPr>
        <w:ind w:left="5040" w:hanging="360"/>
      </w:pPr>
      <w:rPr>
        <w:rFonts w:ascii="Symbol" w:hAnsi="Symbol" w:hint="default"/>
      </w:rPr>
    </w:lvl>
    <w:lvl w:ilvl="7" w:tplc="878CA02E" w:tentative="1">
      <w:start w:val="1"/>
      <w:numFmt w:val="bullet"/>
      <w:lvlText w:val="o"/>
      <w:lvlJc w:val="left"/>
      <w:pPr>
        <w:ind w:left="5760" w:hanging="360"/>
      </w:pPr>
      <w:rPr>
        <w:rFonts w:ascii="Courier New" w:hAnsi="Courier New" w:cs="Courier New" w:hint="default"/>
      </w:rPr>
    </w:lvl>
    <w:lvl w:ilvl="8" w:tplc="9E801B56" w:tentative="1">
      <w:start w:val="1"/>
      <w:numFmt w:val="bullet"/>
      <w:lvlText w:val=""/>
      <w:lvlJc w:val="left"/>
      <w:pPr>
        <w:ind w:left="6480" w:hanging="360"/>
      </w:pPr>
      <w:rPr>
        <w:rFonts w:ascii="Wingdings" w:hAnsi="Wingdings" w:hint="default"/>
      </w:rPr>
    </w:lvl>
  </w:abstractNum>
  <w:abstractNum w:abstractNumId="15" w15:restartNumberingAfterBreak="0">
    <w:nsid w:val="18CB629C"/>
    <w:multiLevelType w:val="hybridMultilevel"/>
    <w:tmpl w:val="A5203BA4"/>
    <w:lvl w:ilvl="0" w:tplc="A30481EE">
      <w:start w:val="1"/>
      <w:numFmt w:val="lowerLetter"/>
      <w:lvlText w:val="%1."/>
      <w:lvlJc w:val="left"/>
      <w:pPr>
        <w:ind w:left="357" w:hanging="357"/>
      </w:pPr>
      <w:rPr>
        <w:rFonts w:ascii="Century Gothic" w:hAnsi="Century Gothic" w:cs="Century Gothic" w:hint="default"/>
        <w:b/>
        <w:sz w:val="20"/>
      </w:rPr>
    </w:lvl>
    <w:lvl w:ilvl="1" w:tplc="F77E2A74">
      <w:start w:val="1"/>
      <w:numFmt w:val="bullet"/>
      <w:lvlText w:val=""/>
      <w:lvlJc w:val="left"/>
      <w:pPr>
        <w:ind w:left="720" w:hanging="357"/>
      </w:pPr>
      <w:rPr>
        <w:rFonts w:ascii="Wingdings" w:hAnsi="Wingdings" w:cs="Wingdings" w:hint="default"/>
        <w:sz w:val="20"/>
      </w:rPr>
    </w:lvl>
    <w:lvl w:ilvl="2" w:tplc="14BCC44C">
      <w:start w:val="1"/>
      <w:numFmt w:val="bullet"/>
      <w:lvlText w:val="–"/>
      <w:lvlJc w:val="left"/>
      <w:pPr>
        <w:ind w:left="1077" w:hanging="283"/>
      </w:pPr>
      <w:rPr>
        <w:rFonts w:ascii="Century Gothic" w:hAnsi="Century Gothic" w:cs="Century Gothic" w:hint="default"/>
        <w:sz w:val="20"/>
      </w:rPr>
    </w:lvl>
    <w:lvl w:ilvl="3" w:tplc="3A228044">
      <w:numFmt w:val="decimal"/>
      <w:lvlText w:val=""/>
      <w:lvlJc w:val="left"/>
    </w:lvl>
    <w:lvl w:ilvl="4" w:tplc="49522CB0">
      <w:numFmt w:val="decimal"/>
      <w:lvlText w:val=""/>
      <w:lvlJc w:val="left"/>
    </w:lvl>
    <w:lvl w:ilvl="5" w:tplc="B2001D60">
      <w:numFmt w:val="decimal"/>
      <w:lvlText w:val=""/>
      <w:lvlJc w:val="left"/>
    </w:lvl>
    <w:lvl w:ilvl="6" w:tplc="438CC198">
      <w:numFmt w:val="decimal"/>
      <w:lvlText w:val=""/>
      <w:lvlJc w:val="left"/>
    </w:lvl>
    <w:lvl w:ilvl="7" w:tplc="9DD6CC7E">
      <w:numFmt w:val="decimal"/>
      <w:lvlText w:val=""/>
      <w:lvlJc w:val="left"/>
    </w:lvl>
    <w:lvl w:ilvl="8" w:tplc="8E1AE1E4">
      <w:numFmt w:val="decimal"/>
      <w:lvlText w:val=""/>
      <w:lvlJc w:val="left"/>
    </w:lvl>
  </w:abstractNum>
  <w:abstractNum w:abstractNumId="16" w15:restartNumberingAfterBreak="0">
    <w:nsid w:val="1A282B47"/>
    <w:multiLevelType w:val="hybridMultilevel"/>
    <w:tmpl w:val="F50A3AD0"/>
    <w:lvl w:ilvl="0" w:tplc="A748F8C6">
      <w:start w:val="1"/>
      <w:numFmt w:val="bullet"/>
      <w:lvlText w:val=""/>
      <w:lvlJc w:val="left"/>
      <w:pPr>
        <w:ind w:left="357" w:hanging="357"/>
      </w:pPr>
      <w:rPr>
        <w:rFonts w:ascii="Wingdings" w:hAnsi="Wingdings" w:cs="Wingdings" w:hint="default"/>
        <w:sz w:val="20"/>
      </w:rPr>
    </w:lvl>
    <w:lvl w:ilvl="1" w:tplc="67E2D0FC">
      <w:start w:val="1"/>
      <w:numFmt w:val="bullet"/>
      <w:lvlText w:val="–"/>
      <w:lvlJc w:val="left"/>
      <w:pPr>
        <w:ind w:left="720" w:hanging="283"/>
      </w:pPr>
      <w:rPr>
        <w:rFonts w:ascii="Century Gothic" w:hAnsi="Century Gothic" w:cs="Century Gothic" w:hint="default"/>
        <w:sz w:val="20"/>
      </w:rPr>
    </w:lvl>
    <w:lvl w:ilvl="2" w:tplc="F7309038">
      <w:start w:val="1"/>
      <w:numFmt w:val="bullet"/>
      <w:lvlText w:val="·"/>
      <w:lvlJc w:val="left"/>
      <w:pPr>
        <w:ind w:left="1077" w:hanging="283"/>
      </w:pPr>
      <w:rPr>
        <w:rFonts w:ascii="Symbol" w:hAnsi="Symbol" w:cs="Symbol" w:hint="default"/>
        <w:sz w:val="20"/>
      </w:rPr>
    </w:lvl>
    <w:lvl w:ilvl="3" w:tplc="17BA780E">
      <w:numFmt w:val="decimal"/>
      <w:lvlText w:val=""/>
      <w:lvlJc w:val="left"/>
    </w:lvl>
    <w:lvl w:ilvl="4" w:tplc="26B2FCFC">
      <w:numFmt w:val="decimal"/>
      <w:lvlText w:val=""/>
      <w:lvlJc w:val="left"/>
    </w:lvl>
    <w:lvl w:ilvl="5" w:tplc="E80474BC">
      <w:numFmt w:val="decimal"/>
      <w:lvlText w:val=""/>
      <w:lvlJc w:val="left"/>
    </w:lvl>
    <w:lvl w:ilvl="6" w:tplc="E70C7328">
      <w:numFmt w:val="decimal"/>
      <w:lvlText w:val=""/>
      <w:lvlJc w:val="left"/>
    </w:lvl>
    <w:lvl w:ilvl="7" w:tplc="4D80B8C2">
      <w:numFmt w:val="decimal"/>
      <w:lvlText w:val=""/>
      <w:lvlJc w:val="left"/>
    </w:lvl>
    <w:lvl w:ilvl="8" w:tplc="88B2BC7A">
      <w:numFmt w:val="decimal"/>
      <w:lvlText w:val=""/>
      <w:lvlJc w:val="left"/>
    </w:lvl>
  </w:abstractNum>
  <w:abstractNum w:abstractNumId="17" w15:restartNumberingAfterBreak="0">
    <w:nsid w:val="1C547513"/>
    <w:multiLevelType w:val="hybridMultilevel"/>
    <w:tmpl w:val="4DF0822C"/>
    <w:lvl w:ilvl="0" w:tplc="FCE69F06">
      <w:start w:val="1"/>
      <w:numFmt w:val="bullet"/>
      <w:lvlText w:val=""/>
      <w:lvlJc w:val="left"/>
      <w:pPr>
        <w:ind w:left="357" w:hanging="357"/>
      </w:pPr>
      <w:rPr>
        <w:rFonts w:ascii="Wingdings" w:hAnsi="Wingdings" w:cs="Wingdings" w:hint="default"/>
        <w:sz w:val="20"/>
      </w:rPr>
    </w:lvl>
    <w:lvl w:ilvl="1" w:tplc="2D0C9AB6">
      <w:start w:val="1"/>
      <w:numFmt w:val="bullet"/>
      <w:lvlText w:val="–"/>
      <w:lvlJc w:val="left"/>
      <w:pPr>
        <w:ind w:left="720" w:hanging="283"/>
      </w:pPr>
      <w:rPr>
        <w:rFonts w:ascii="Century Gothic" w:hAnsi="Century Gothic" w:cs="Century Gothic" w:hint="default"/>
        <w:sz w:val="20"/>
      </w:rPr>
    </w:lvl>
    <w:lvl w:ilvl="2" w:tplc="B1EC4514">
      <w:start w:val="1"/>
      <w:numFmt w:val="bullet"/>
      <w:lvlText w:val="·"/>
      <w:lvlJc w:val="left"/>
      <w:pPr>
        <w:ind w:left="1077" w:hanging="283"/>
      </w:pPr>
      <w:rPr>
        <w:rFonts w:ascii="Symbol" w:hAnsi="Symbol" w:cs="Symbol" w:hint="default"/>
        <w:sz w:val="20"/>
      </w:rPr>
    </w:lvl>
    <w:lvl w:ilvl="3" w:tplc="8A0EE1E4">
      <w:numFmt w:val="decimal"/>
      <w:lvlText w:val=""/>
      <w:lvlJc w:val="left"/>
    </w:lvl>
    <w:lvl w:ilvl="4" w:tplc="A85407B6">
      <w:numFmt w:val="decimal"/>
      <w:lvlText w:val=""/>
      <w:lvlJc w:val="left"/>
    </w:lvl>
    <w:lvl w:ilvl="5" w:tplc="509CEFD6">
      <w:numFmt w:val="decimal"/>
      <w:lvlText w:val=""/>
      <w:lvlJc w:val="left"/>
    </w:lvl>
    <w:lvl w:ilvl="6" w:tplc="952410D6">
      <w:numFmt w:val="decimal"/>
      <w:lvlText w:val=""/>
      <w:lvlJc w:val="left"/>
    </w:lvl>
    <w:lvl w:ilvl="7" w:tplc="32E853DA">
      <w:numFmt w:val="decimal"/>
      <w:lvlText w:val=""/>
      <w:lvlJc w:val="left"/>
    </w:lvl>
    <w:lvl w:ilvl="8" w:tplc="47607AB4">
      <w:numFmt w:val="decimal"/>
      <w:lvlText w:val=""/>
      <w:lvlJc w:val="left"/>
    </w:lvl>
  </w:abstractNum>
  <w:abstractNum w:abstractNumId="18" w15:restartNumberingAfterBreak="0">
    <w:nsid w:val="204E7513"/>
    <w:multiLevelType w:val="hybridMultilevel"/>
    <w:tmpl w:val="42C85A40"/>
    <w:lvl w:ilvl="0" w:tplc="27240462">
      <w:start w:val="1"/>
      <w:numFmt w:val="bullet"/>
      <w:lvlText w:val=""/>
      <w:lvlJc w:val="left"/>
      <w:pPr>
        <w:ind w:left="357" w:hanging="357"/>
      </w:pPr>
      <w:rPr>
        <w:rFonts w:ascii="Wingdings" w:hAnsi="Wingdings" w:cs="Wingdings" w:hint="default"/>
        <w:sz w:val="20"/>
      </w:rPr>
    </w:lvl>
    <w:lvl w:ilvl="1" w:tplc="9D7C313A">
      <w:start w:val="1"/>
      <w:numFmt w:val="bullet"/>
      <w:lvlText w:val="–"/>
      <w:lvlJc w:val="left"/>
      <w:pPr>
        <w:ind w:left="720" w:hanging="283"/>
      </w:pPr>
      <w:rPr>
        <w:rFonts w:ascii="Century Gothic" w:hAnsi="Century Gothic" w:cs="Century Gothic" w:hint="default"/>
        <w:sz w:val="20"/>
      </w:rPr>
    </w:lvl>
    <w:lvl w:ilvl="2" w:tplc="F9DE7FB6">
      <w:start w:val="1"/>
      <w:numFmt w:val="bullet"/>
      <w:lvlText w:val="·"/>
      <w:lvlJc w:val="left"/>
      <w:pPr>
        <w:ind w:left="1077" w:hanging="283"/>
      </w:pPr>
      <w:rPr>
        <w:rFonts w:ascii="Symbol" w:hAnsi="Symbol" w:cs="Symbol" w:hint="default"/>
        <w:sz w:val="20"/>
      </w:rPr>
    </w:lvl>
    <w:lvl w:ilvl="3" w:tplc="00A89386">
      <w:numFmt w:val="decimal"/>
      <w:lvlText w:val=""/>
      <w:lvlJc w:val="left"/>
    </w:lvl>
    <w:lvl w:ilvl="4" w:tplc="F7A2C5FC">
      <w:numFmt w:val="decimal"/>
      <w:lvlText w:val=""/>
      <w:lvlJc w:val="left"/>
    </w:lvl>
    <w:lvl w:ilvl="5" w:tplc="DF044540">
      <w:numFmt w:val="decimal"/>
      <w:lvlText w:val=""/>
      <w:lvlJc w:val="left"/>
    </w:lvl>
    <w:lvl w:ilvl="6" w:tplc="056C5E66">
      <w:numFmt w:val="decimal"/>
      <w:lvlText w:val=""/>
      <w:lvlJc w:val="left"/>
    </w:lvl>
    <w:lvl w:ilvl="7" w:tplc="F28EE1DE">
      <w:numFmt w:val="decimal"/>
      <w:lvlText w:val=""/>
      <w:lvlJc w:val="left"/>
    </w:lvl>
    <w:lvl w:ilvl="8" w:tplc="9910AA5E">
      <w:numFmt w:val="decimal"/>
      <w:lvlText w:val=""/>
      <w:lvlJc w:val="left"/>
    </w:lvl>
  </w:abstractNum>
  <w:abstractNum w:abstractNumId="19" w15:restartNumberingAfterBreak="0">
    <w:nsid w:val="219E5CFF"/>
    <w:multiLevelType w:val="hybridMultilevel"/>
    <w:tmpl w:val="C60E80EE"/>
    <w:lvl w:ilvl="0" w:tplc="C26A0E42">
      <w:start w:val="1"/>
      <w:numFmt w:val="bullet"/>
      <w:lvlText w:val=""/>
      <w:lvlJc w:val="left"/>
      <w:pPr>
        <w:ind w:left="357" w:hanging="357"/>
      </w:pPr>
      <w:rPr>
        <w:rFonts w:ascii="Wingdings" w:hAnsi="Wingdings" w:cs="Wingdings" w:hint="default"/>
        <w:sz w:val="20"/>
      </w:rPr>
    </w:lvl>
    <w:lvl w:ilvl="1" w:tplc="62CECD26">
      <w:start w:val="1"/>
      <w:numFmt w:val="bullet"/>
      <w:lvlText w:val="–"/>
      <w:lvlJc w:val="left"/>
      <w:pPr>
        <w:ind w:left="720" w:hanging="283"/>
      </w:pPr>
      <w:rPr>
        <w:rFonts w:ascii="Century Gothic" w:hAnsi="Century Gothic" w:cs="Century Gothic" w:hint="default"/>
        <w:sz w:val="20"/>
      </w:rPr>
    </w:lvl>
    <w:lvl w:ilvl="2" w:tplc="A786708C">
      <w:start w:val="1"/>
      <w:numFmt w:val="bullet"/>
      <w:lvlText w:val="·"/>
      <w:lvlJc w:val="left"/>
      <w:pPr>
        <w:ind w:left="1077" w:hanging="283"/>
      </w:pPr>
      <w:rPr>
        <w:rFonts w:ascii="Symbol" w:hAnsi="Symbol" w:cs="Symbol" w:hint="default"/>
        <w:sz w:val="20"/>
      </w:rPr>
    </w:lvl>
    <w:lvl w:ilvl="3" w:tplc="3D5C74C4">
      <w:numFmt w:val="decimal"/>
      <w:lvlText w:val=""/>
      <w:lvlJc w:val="left"/>
    </w:lvl>
    <w:lvl w:ilvl="4" w:tplc="005ADB2A">
      <w:numFmt w:val="decimal"/>
      <w:lvlText w:val=""/>
      <w:lvlJc w:val="left"/>
    </w:lvl>
    <w:lvl w:ilvl="5" w:tplc="8D462C96">
      <w:numFmt w:val="decimal"/>
      <w:lvlText w:val=""/>
      <w:lvlJc w:val="left"/>
    </w:lvl>
    <w:lvl w:ilvl="6" w:tplc="05E43EDA">
      <w:numFmt w:val="decimal"/>
      <w:lvlText w:val=""/>
      <w:lvlJc w:val="left"/>
    </w:lvl>
    <w:lvl w:ilvl="7" w:tplc="A640739A">
      <w:numFmt w:val="decimal"/>
      <w:lvlText w:val=""/>
      <w:lvlJc w:val="left"/>
    </w:lvl>
    <w:lvl w:ilvl="8" w:tplc="5F76BEB6">
      <w:numFmt w:val="decimal"/>
      <w:lvlText w:val=""/>
      <w:lvlJc w:val="left"/>
    </w:lvl>
  </w:abstractNum>
  <w:abstractNum w:abstractNumId="20" w15:restartNumberingAfterBreak="0">
    <w:nsid w:val="21F866FB"/>
    <w:multiLevelType w:val="hybridMultilevel"/>
    <w:tmpl w:val="F7D077BE"/>
    <w:lvl w:ilvl="0" w:tplc="9B20AE6A">
      <w:start w:val="1"/>
      <w:numFmt w:val="lowerLetter"/>
      <w:lvlText w:val="%1."/>
      <w:lvlJc w:val="left"/>
      <w:pPr>
        <w:ind w:left="357" w:hanging="357"/>
      </w:pPr>
      <w:rPr>
        <w:rFonts w:ascii="Century Gothic" w:hAnsi="Century Gothic" w:cs="Century Gothic" w:hint="default"/>
        <w:b/>
        <w:sz w:val="20"/>
      </w:rPr>
    </w:lvl>
    <w:lvl w:ilvl="1" w:tplc="B9FEFCBC">
      <w:start w:val="1"/>
      <w:numFmt w:val="bullet"/>
      <w:lvlText w:val=""/>
      <w:lvlJc w:val="left"/>
      <w:pPr>
        <w:ind w:left="720" w:hanging="357"/>
      </w:pPr>
      <w:rPr>
        <w:rFonts w:ascii="Wingdings" w:hAnsi="Wingdings" w:cs="Wingdings" w:hint="default"/>
        <w:sz w:val="20"/>
      </w:rPr>
    </w:lvl>
    <w:lvl w:ilvl="2" w:tplc="6CC2DA1A">
      <w:start w:val="1"/>
      <w:numFmt w:val="bullet"/>
      <w:lvlText w:val="–"/>
      <w:lvlJc w:val="left"/>
      <w:pPr>
        <w:ind w:left="1077" w:hanging="283"/>
      </w:pPr>
      <w:rPr>
        <w:rFonts w:ascii="Century Gothic" w:hAnsi="Century Gothic" w:cs="Century Gothic" w:hint="default"/>
        <w:sz w:val="20"/>
      </w:rPr>
    </w:lvl>
    <w:lvl w:ilvl="3" w:tplc="95BAAB26">
      <w:numFmt w:val="decimal"/>
      <w:lvlText w:val=""/>
      <w:lvlJc w:val="left"/>
    </w:lvl>
    <w:lvl w:ilvl="4" w:tplc="5EEE67E0">
      <w:numFmt w:val="decimal"/>
      <w:lvlText w:val=""/>
      <w:lvlJc w:val="left"/>
    </w:lvl>
    <w:lvl w:ilvl="5" w:tplc="6CBE15A8">
      <w:numFmt w:val="decimal"/>
      <w:lvlText w:val=""/>
      <w:lvlJc w:val="left"/>
    </w:lvl>
    <w:lvl w:ilvl="6" w:tplc="554C9EA6">
      <w:numFmt w:val="decimal"/>
      <w:lvlText w:val=""/>
      <w:lvlJc w:val="left"/>
    </w:lvl>
    <w:lvl w:ilvl="7" w:tplc="CE0887BE">
      <w:numFmt w:val="decimal"/>
      <w:lvlText w:val=""/>
      <w:lvlJc w:val="left"/>
    </w:lvl>
    <w:lvl w:ilvl="8" w:tplc="128CC330">
      <w:numFmt w:val="decimal"/>
      <w:lvlText w:val=""/>
      <w:lvlJc w:val="left"/>
    </w:lvl>
  </w:abstractNum>
  <w:abstractNum w:abstractNumId="21" w15:restartNumberingAfterBreak="0">
    <w:nsid w:val="22F41338"/>
    <w:multiLevelType w:val="hybridMultilevel"/>
    <w:tmpl w:val="216482E2"/>
    <w:lvl w:ilvl="0" w:tplc="9F4EF2CE">
      <w:start w:val="1"/>
      <w:numFmt w:val="bullet"/>
      <w:lvlText w:val=""/>
      <w:lvlJc w:val="left"/>
      <w:pPr>
        <w:ind w:left="357" w:hanging="357"/>
      </w:pPr>
      <w:rPr>
        <w:rFonts w:ascii="Wingdings" w:hAnsi="Wingdings" w:cs="Wingdings" w:hint="default"/>
        <w:sz w:val="20"/>
      </w:rPr>
    </w:lvl>
    <w:lvl w:ilvl="1" w:tplc="6122B816">
      <w:start w:val="1"/>
      <w:numFmt w:val="bullet"/>
      <w:lvlText w:val="–"/>
      <w:lvlJc w:val="left"/>
      <w:pPr>
        <w:ind w:left="720" w:hanging="283"/>
      </w:pPr>
      <w:rPr>
        <w:rFonts w:ascii="Century Gothic" w:hAnsi="Century Gothic" w:cs="Century Gothic" w:hint="default"/>
        <w:sz w:val="20"/>
      </w:rPr>
    </w:lvl>
    <w:lvl w:ilvl="2" w:tplc="B6160DF6">
      <w:start w:val="1"/>
      <w:numFmt w:val="bullet"/>
      <w:lvlText w:val="·"/>
      <w:lvlJc w:val="left"/>
      <w:pPr>
        <w:ind w:left="1077" w:hanging="283"/>
      </w:pPr>
      <w:rPr>
        <w:rFonts w:ascii="Symbol" w:hAnsi="Symbol" w:cs="Symbol" w:hint="default"/>
        <w:sz w:val="20"/>
      </w:rPr>
    </w:lvl>
    <w:lvl w:ilvl="3" w:tplc="FFFA9F16">
      <w:numFmt w:val="decimal"/>
      <w:lvlText w:val=""/>
      <w:lvlJc w:val="left"/>
    </w:lvl>
    <w:lvl w:ilvl="4" w:tplc="A2AC231C">
      <w:numFmt w:val="decimal"/>
      <w:lvlText w:val=""/>
      <w:lvlJc w:val="left"/>
    </w:lvl>
    <w:lvl w:ilvl="5" w:tplc="3F74BF80">
      <w:numFmt w:val="decimal"/>
      <w:lvlText w:val=""/>
      <w:lvlJc w:val="left"/>
    </w:lvl>
    <w:lvl w:ilvl="6" w:tplc="10AE586E">
      <w:numFmt w:val="decimal"/>
      <w:lvlText w:val=""/>
      <w:lvlJc w:val="left"/>
    </w:lvl>
    <w:lvl w:ilvl="7" w:tplc="08A2A1E2">
      <w:numFmt w:val="decimal"/>
      <w:lvlText w:val=""/>
      <w:lvlJc w:val="left"/>
    </w:lvl>
    <w:lvl w:ilvl="8" w:tplc="D004D57C">
      <w:numFmt w:val="decimal"/>
      <w:lvlText w:val=""/>
      <w:lvlJc w:val="left"/>
    </w:lvl>
  </w:abstractNum>
  <w:abstractNum w:abstractNumId="22" w15:restartNumberingAfterBreak="0">
    <w:nsid w:val="26900C32"/>
    <w:multiLevelType w:val="hybridMultilevel"/>
    <w:tmpl w:val="093ED43C"/>
    <w:lvl w:ilvl="0" w:tplc="C4FCA2F4">
      <w:start w:val="1"/>
      <w:numFmt w:val="bullet"/>
      <w:lvlText w:val=""/>
      <w:lvlJc w:val="left"/>
      <w:pPr>
        <w:ind w:left="540" w:hanging="270"/>
      </w:pPr>
      <w:rPr>
        <w:rFonts w:ascii="Wingdings" w:hAnsi="Wingdings" w:hint="default"/>
      </w:rPr>
    </w:lvl>
    <w:lvl w:ilvl="1" w:tplc="07EA0984">
      <w:numFmt w:val="decimal"/>
      <w:lvlText w:val=""/>
      <w:lvlJc w:val="left"/>
    </w:lvl>
    <w:lvl w:ilvl="2" w:tplc="7C621D00">
      <w:numFmt w:val="decimal"/>
      <w:lvlText w:val=""/>
      <w:lvlJc w:val="left"/>
    </w:lvl>
    <w:lvl w:ilvl="3" w:tplc="04EE6D92">
      <w:numFmt w:val="decimal"/>
      <w:lvlText w:val=""/>
      <w:lvlJc w:val="left"/>
    </w:lvl>
    <w:lvl w:ilvl="4" w:tplc="D4E4CE6A">
      <w:numFmt w:val="decimal"/>
      <w:lvlText w:val=""/>
      <w:lvlJc w:val="left"/>
    </w:lvl>
    <w:lvl w:ilvl="5" w:tplc="57EC66D6">
      <w:numFmt w:val="decimal"/>
      <w:lvlText w:val=""/>
      <w:lvlJc w:val="left"/>
    </w:lvl>
    <w:lvl w:ilvl="6" w:tplc="9DAAED9E">
      <w:numFmt w:val="decimal"/>
      <w:lvlText w:val=""/>
      <w:lvlJc w:val="left"/>
    </w:lvl>
    <w:lvl w:ilvl="7" w:tplc="50F8920C">
      <w:numFmt w:val="decimal"/>
      <w:lvlText w:val=""/>
      <w:lvlJc w:val="left"/>
    </w:lvl>
    <w:lvl w:ilvl="8" w:tplc="50C27290">
      <w:numFmt w:val="decimal"/>
      <w:lvlText w:val=""/>
      <w:lvlJc w:val="left"/>
    </w:lvl>
  </w:abstractNum>
  <w:abstractNum w:abstractNumId="23" w15:restartNumberingAfterBreak="0">
    <w:nsid w:val="277901D3"/>
    <w:multiLevelType w:val="hybridMultilevel"/>
    <w:tmpl w:val="5AA037F6"/>
    <w:lvl w:ilvl="0" w:tplc="8D72CCBA">
      <w:start w:val="1"/>
      <w:numFmt w:val="bullet"/>
      <w:lvlText w:val=""/>
      <w:lvlJc w:val="left"/>
      <w:pPr>
        <w:ind w:left="260" w:hanging="220"/>
      </w:pPr>
      <w:rPr>
        <w:rFonts w:ascii="Wingdings" w:hAnsi="Wingdings" w:hint="default"/>
      </w:rPr>
    </w:lvl>
    <w:lvl w:ilvl="1" w:tplc="958C8AD6">
      <w:numFmt w:val="decimal"/>
      <w:lvlText w:val=""/>
      <w:lvlJc w:val="left"/>
    </w:lvl>
    <w:lvl w:ilvl="2" w:tplc="96AA6FBA">
      <w:numFmt w:val="decimal"/>
      <w:lvlText w:val=""/>
      <w:lvlJc w:val="left"/>
    </w:lvl>
    <w:lvl w:ilvl="3" w:tplc="C6564B90">
      <w:numFmt w:val="decimal"/>
      <w:lvlText w:val=""/>
      <w:lvlJc w:val="left"/>
    </w:lvl>
    <w:lvl w:ilvl="4" w:tplc="55C6E9B0">
      <w:numFmt w:val="decimal"/>
      <w:lvlText w:val=""/>
      <w:lvlJc w:val="left"/>
    </w:lvl>
    <w:lvl w:ilvl="5" w:tplc="AD566A8A">
      <w:numFmt w:val="decimal"/>
      <w:lvlText w:val=""/>
      <w:lvlJc w:val="left"/>
    </w:lvl>
    <w:lvl w:ilvl="6" w:tplc="B0D6844C">
      <w:numFmt w:val="decimal"/>
      <w:lvlText w:val=""/>
      <w:lvlJc w:val="left"/>
    </w:lvl>
    <w:lvl w:ilvl="7" w:tplc="FFE82016">
      <w:numFmt w:val="decimal"/>
      <w:lvlText w:val=""/>
      <w:lvlJc w:val="left"/>
    </w:lvl>
    <w:lvl w:ilvl="8" w:tplc="55CE1FFE">
      <w:numFmt w:val="decimal"/>
      <w:lvlText w:val=""/>
      <w:lvlJc w:val="left"/>
    </w:lvl>
  </w:abstractNum>
  <w:abstractNum w:abstractNumId="24" w15:restartNumberingAfterBreak="0">
    <w:nsid w:val="29A4FE64"/>
    <w:multiLevelType w:val="hybridMultilevel"/>
    <w:tmpl w:val="00000000"/>
    <w:lvl w:ilvl="0" w:tplc="135621C0">
      <w:start w:val="1"/>
      <w:numFmt w:val="bullet"/>
      <w:lvlText w:val=""/>
      <w:lvlJc w:val="left"/>
      <w:pPr>
        <w:ind w:left="357" w:hanging="357"/>
      </w:pPr>
      <w:rPr>
        <w:rFonts w:ascii="Wingdings" w:hAnsi="Wingdings" w:cs="Wingdings" w:hint="default"/>
        <w:sz w:val="20"/>
      </w:rPr>
    </w:lvl>
    <w:lvl w:ilvl="1" w:tplc="3168C7A6">
      <w:start w:val="1"/>
      <w:numFmt w:val="bullet"/>
      <w:lvlText w:val="–"/>
      <w:lvlJc w:val="left"/>
      <w:pPr>
        <w:ind w:left="720" w:hanging="283"/>
      </w:pPr>
      <w:rPr>
        <w:rFonts w:ascii="Century Gothic" w:hAnsi="Century Gothic" w:cs="Century Gothic" w:hint="default"/>
        <w:sz w:val="20"/>
      </w:rPr>
    </w:lvl>
    <w:lvl w:ilvl="2" w:tplc="A12204B4">
      <w:start w:val="1"/>
      <w:numFmt w:val="bullet"/>
      <w:lvlText w:val="·"/>
      <w:lvlJc w:val="left"/>
      <w:pPr>
        <w:ind w:left="1077" w:hanging="283"/>
      </w:pPr>
      <w:rPr>
        <w:rFonts w:ascii="Symbol" w:hAnsi="Symbol" w:cs="Symbol" w:hint="default"/>
        <w:sz w:val="20"/>
      </w:rPr>
    </w:lvl>
    <w:lvl w:ilvl="3" w:tplc="E716C348">
      <w:start w:val="1"/>
      <w:numFmt w:val="decimal"/>
      <w:lvlText w:val=""/>
      <w:lvlJc w:val="left"/>
    </w:lvl>
    <w:lvl w:ilvl="4" w:tplc="52F60CA4">
      <w:start w:val="1"/>
      <w:numFmt w:val="decimal"/>
      <w:lvlText w:val=""/>
      <w:lvlJc w:val="left"/>
    </w:lvl>
    <w:lvl w:ilvl="5" w:tplc="56EAD73A">
      <w:start w:val="1"/>
      <w:numFmt w:val="decimal"/>
      <w:lvlText w:val=""/>
      <w:lvlJc w:val="left"/>
    </w:lvl>
    <w:lvl w:ilvl="6" w:tplc="8BB8B7B4">
      <w:start w:val="1"/>
      <w:numFmt w:val="decimal"/>
      <w:lvlText w:val=""/>
      <w:lvlJc w:val="left"/>
    </w:lvl>
    <w:lvl w:ilvl="7" w:tplc="0882CA08">
      <w:start w:val="1"/>
      <w:numFmt w:val="decimal"/>
      <w:lvlText w:val=""/>
      <w:lvlJc w:val="left"/>
    </w:lvl>
    <w:lvl w:ilvl="8" w:tplc="18D8604A">
      <w:start w:val="1"/>
      <w:numFmt w:val="decimal"/>
      <w:lvlText w:val=""/>
      <w:lvlJc w:val="left"/>
    </w:lvl>
  </w:abstractNum>
  <w:abstractNum w:abstractNumId="25" w15:restartNumberingAfterBreak="0">
    <w:nsid w:val="33156F85"/>
    <w:multiLevelType w:val="hybridMultilevel"/>
    <w:tmpl w:val="05C2560A"/>
    <w:lvl w:ilvl="0" w:tplc="9E28FE4C">
      <w:start w:val="1"/>
      <w:numFmt w:val="bullet"/>
      <w:lvlText w:val=""/>
      <w:lvlJc w:val="left"/>
      <w:pPr>
        <w:ind w:left="720" w:hanging="360"/>
      </w:pPr>
      <w:rPr>
        <w:rFonts w:ascii="Wingdings" w:hAnsi="Wingdings" w:hint="default"/>
      </w:rPr>
    </w:lvl>
    <w:lvl w:ilvl="1" w:tplc="3E84E0B6">
      <w:numFmt w:val="bullet"/>
      <w:lvlText w:val="•"/>
      <w:lvlJc w:val="left"/>
      <w:pPr>
        <w:ind w:left="1440" w:hanging="360"/>
      </w:pPr>
      <w:rPr>
        <w:rFonts w:ascii="Century Gothic" w:eastAsia="Calibri" w:hAnsi="Century Gothic" w:cs="Arial" w:hint="default"/>
      </w:rPr>
    </w:lvl>
    <w:lvl w:ilvl="2" w:tplc="4B7AFB36">
      <w:numFmt w:val="bullet"/>
      <w:lvlText w:val=""/>
      <w:lvlJc w:val="left"/>
      <w:pPr>
        <w:ind w:left="2160" w:hanging="360"/>
      </w:pPr>
      <w:rPr>
        <w:rFonts w:ascii="Symbol" w:eastAsia="Calibri" w:hAnsi="Symbol" w:cs="Arial" w:hint="default"/>
      </w:rPr>
    </w:lvl>
    <w:lvl w:ilvl="3" w:tplc="123E4C02" w:tentative="1">
      <w:start w:val="1"/>
      <w:numFmt w:val="bullet"/>
      <w:lvlText w:val=""/>
      <w:lvlJc w:val="left"/>
      <w:pPr>
        <w:ind w:left="2880" w:hanging="360"/>
      </w:pPr>
      <w:rPr>
        <w:rFonts w:ascii="Symbol" w:hAnsi="Symbol" w:hint="default"/>
      </w:rPr>
    </w:lvl>
    <w:lvl w:ilvl="4" w:tplc="40D4874E" w:tentative="1">
      <w:start w:val="1"/>
      <w:numFmt w:val="bullet"/>
      <w:lvlText w:val="o"/>
      <w:lvlJc w:val="left"/>
      <w:pPr>
        <w:ind w:left="3600" w:hanging="360"/>
      </w:pPr>
      <w:rPr>
        <w:rFonts w:ascii="Courier New" w:hAnsi="Courier New" w:cs="Courier New" w:hint="default"/>
      </w:rPr>
    </w:lvl>
    <w:lvl w:ilvl="5" w:tplc="3D902C7E" w:tentative="1">
      <w:start w:val="1"/>
      <w:numFmt w:val="bullet"/>
      <w:lvlText w:val=""/>
      <w:lvlJc w:val="left"/>
      <w:pPr>
        <w:ind w:left="4320" w:hanging="360"/>
      </w:pPr>
      <w:rPr>
        <w:rFonts w:ascii="Wingdings" w:hAnsi="Wingdings" w:hint="default"/>
      </w:rPr>
    </w:lvl>
    <w:lvl w:ilvl="6" w:tplc="4252C27A" w:tentative="1">
      <w:start w:val="1"/>
      <w:numFmt w:val="bullet"/>
      <w:lvlText w:val=""/>
      <w:lvlJc w:val="left"/>
      <w:pPr>
        <w:ind w:left="5040" w:hanging="360"/>
      </w:pPr>
      <w:rPr>
        <w:rFonts w:ascii="Symbol" w:hAnsi="Symbol" w:hint="default"/>
      </w:rPr>
    </w:lvl>
    <w:lvl w:ilvl="7" w:tplc="49F48998" w:tentative="1">
      <w:start w:val="1"/>
      <w:numFmt w:val="bullet"/>
      <w:lvlText w:val="o"/>
      <w:lvlJc w:val="left"/>
      <w:pPr>
        <w:ind w:left="5760" w:hanging="360"/>
      </w:pPr>
      <w:rPr>
        <w:rFonts w:ascii="Courier New" w:hAnsi="Courier New" w:cs="Courier New" w:hint="default"/>
      </w:rPr>
    </w:lvl>
    <w:lvl w:ilvl="8" w:tplc="F10E6A9C" w:tentative="1">
      <w:start w:val="1"/>
      <w:numFmt w:val="bullet"/>
      <w:lvlText w:val=""/>
      <w:lvlJc w:val="left"/>
      <w:pPr>
        <w:ind w:left="6480" w:hanging="360"/>
      </w:pPr>
      <w:rPr>
        <w:rFonts w:ascii="Wingdings" w:hAnsi="Wingdings" w:hint="default"/>
      </w:rPr>
    </w:lvl>
  </w:abstractNum>
  <w:abstractNum w:abstractNumId="26" w15:restartNumberingAfterBreak="0">
    <w:nsid w:val="34432528"/>
    <w:multiLevelType w:val="hybridMultilevel"/>
    <w:tmpl w:val="538EC7F0"/>
    <w:lvl w:ilvl="0" w:tplc="A3825BFC">
      <w:start w:val="1"/>
      <w:numFmt w:val="bullet"/>
      <w:lvlText w:val=""/>
      <w:lvlJc w:val="left"/>
      <w:pPr>
        <w:ind w:left="357" w:hanging="357"/>
      </w:pPr>
      <w:rPr>
        <w:rFonts w:ascii="Wingdings" w:hAnsi="Wingdings" w:cs="Wingdings" w:hint="default"/>
        <w:sz w:val="20"/>
      </w:rPr>
    </w:lvl>
    <w:lvl w:ilvl="1" w:tplc="3E00148E">
      <w:start w:val="1"/>
      <w:numFmt w:val="bullet"/>
      <w:lvlText w:val="–"/>
      <w:lvlJc w:val="left"/>
      <w:pPr>
        <w:ind w:left="720" w:hanging="283"/>
      </w:pPr>
      <w:rPr>
        <w:rFonts w:ascii="Century Gothic" w:hAnsi="Century Gothic" w:cs="Century Gothic" w:hint="default"/>
        <w:sz w:val="20"/>
      </w:rPr>
    </w:lvl>
    <w:lvl w:ilvl="2" w:tplc="D8C6CD10">
      <w:start w:val="1"/>
      <w:numFmt w:val="bullet"/>
      <w:lvlText w:val="·"/>
      <w:lvlJc w:val="left"/>
      <w:pPr>
        <w:ind w:left="1077" w:hanging="283"/>
      </w:pPr>
      <w:rPr>
        <w:rFonts w:ascii="Symbol" w:hAnsi="Symbol" w:cs="Symbol" w:hint="default"/>
        <w:sz w:val="20"/>
      </w:rPr>
    </w:lvl>
    <w:lvl w:ilvl="3" w:tplc="5E7A0676">
      <w:numFmt w:val="decimal"/>
      <w:lvlText w:val=""/>
      <w:lvlJc w:val="left"/>
    </w:lvl>
    <w:lvl w:ilvl="4" w:tplc="3460C778">
      <w:numFmt w:val="decimal"/>
      <w:lvlText w:val=""/>
      <w:lvlJc w:val="left"/>
    </w:lvl>
    <w:lvl w:ilvl="5" w:tplc="E2CE9B82">
      <w:numFmt w:val="decimal"/>
      <w:lvlText w:val=""/>
      <w:lvlJc w:val="left"/>
    </w:lvl>
    <w:lvl w:ilvl="6" w:tplc="76367C9A">
      <w:numFmt w:val="decimal"/>
      <w:lvlText w:val=""/>
      <w:lvlJc w:val="left"/>
    </w:lvl>
    <w:lvl w:ilvl="7" w:tplc="A2C271CC">
      <w:numFmt w:val="decimal"/>
      <w:lvlText w:val=""/>
      <w:lvlJc w:val="left"/>
    </w:lvl>
    <w:lvl w:ilvl="8" w:tplc="11428406">
      <w:numFmt w:val="decimal"/>
      <w:lvlText w:val=""/>
      <w:lvlJc w:val="left"/>
    </w:lvl>
  </w:abstractNum>
  <w:abstractNum w:abstractNumId="27" w15:restartNumberingAfterBreak="0">
    <w:nsid w:val="36283C9C"/>
    <w:multiLevelType w:val="hybridMultilevel"/>
    <w:tmpl w:val="05C2560A"/>
    <w:lvl w:ilvl="0" w:tplc="66462932">
      <w:start w:val="1"/>
      <w:numFmt w:val="bullet"/>
      <w:lvlText w:val=""/>
      <w:lvlJc w:val="left"/>
      <w:pPr>
        <w:ind w:left="720" w:hanging="360"/>
      </w:pPr>
      <w:rPr>
        <w:rFonts w:ascii="Wingdings" w:hAnsi="Wingdings" w:hint="default"/>
      </w:rPr>
    </w:lvl>
    <w:lvl w:ilvl="1" w:tplc="ED9891C0">
      <w:numFmt w:val="bullet"/>
      <w:lvlText w:val="•"/>
      <w:lvlJc w:val="left"/>
      <w:pPr>
        <w:ind w:left="1440" w:hanging="360"/>
      </w:pPr>
      <w:rPr>
        <w:rFonts w:ascii="Century Gothic" w:eastAsia="Calibri" w:hAnsi="Century Gothic" w:cs="Arial" w:hint="default"/>
      </w:rPr>
    </w:lvl>
    <w:lvl w:ilvl="2" w:tplc="DDFEF284">
      <w:numFmt w:val="bullet"/>
      <w:lvlText w:val=""/>
      <w:lvlJc w:val="left"/>
      <w:pPr>
        <w:ind w:left="2160" w:hanging="360"/>
      </w:pPr>
      <w:rPr>
        <w:rFonts w:ascii="Symbol" w:eastAsia="Calibri" w:hAnsi="Symbol" w:cs="Arial" w:hint="default"/>
      </w:rPr>
    </w:lvl>
    <w:lvl w:ilvl="3" w:tplc="413CEBE0" w:tentative="1">
      <w:start w:val="1"/>
      <w:numFmt w:val="bullet"/>
      <w:lvlText w:val=""/>
      <w:lvlJc w:val="left"/>
      <w:pPr>
        <w:ind w:left="2880" w:hanging="360"/>
      </w:pPr>
      <w:rPr>
        <w:rFonts w:ascii="Symbol" w:hAnsi="Symbol" w:hint="default"/>
      </w:rPr>
    </w:lvl>
    <w:lvl w:ilvl="4" w:tplc="87E24A26" w:tentative="1">
      <w:start w:val="1"/>
      <w:numFmt w:val="bullet"/>
      <w:lvlText w:val="o"/>
      <w:lvlJc w:val="left"/>
      <w:pPr>
        <w:ind w:left="3600" w:hanging="360"/>
      </w:pPr>
      <w:rPr>
        <w:rFonts w:ascii="Courier New" w:hAnsi="Courier New" w:cs="Courier New" w:hint="default"/>
      </w:rPr>
    </w:lvl>
    <w:lvl w:ilvl="5" w:tplc="F51250DC" w:tentative="1">
      <w:start w:val="1"/>
      <w:numFmt w:val="bullet"/>
      <w:lvlText w:val=""/>
      <w:lvlJc w:val="left"/>
      <w:pPr>
        <w:ind w:left="4320" w:hanging="360"/>
      </w:pPr>
      <w:rPr>
        <w:rFonts w:ascii="Wingdings" w:hAnsi="Wingdings" w:hint="default"/>
      </w:rPr>
    </w:lvl>
    <w:lvl w:ilvl="6" w:tplc="A11E6E22" w:tentative="1">
      <w:start w:val="1"/>
      <w:numFmt w:val="bullet"/>
      <w:lvlText w:val=""/>
      <w:lvlJc w:val="left"/>
      <w:pPr>
        <w:ind w:left="5040" w:hanging="360"/>
      </w:pPr>
      <w:rPr>
        <w:rFonts w:ascii="Symbol" w:hAnsi="Symbol" w:hint="default"/>
      </w:rPr>
    </w:lvl>
    <w:lvl w:ilvl="7" w:tplc="69B26110" w:tentative="1">
      <w:start w:val="1"/>
      <w:numFmt w:val="bullet"/>
      <w:lvlText w:val="o"/>
      <w:lvlJc w:val="left"/>
      <w:pPr>
        <w:ind w:left="5760" w:hanging="360"/>
      </w:pPr>
      <w:rPr>
        <w:rFonts w:ascii="Courier New" w:hAnsi="Courier New" w:cs="Courier New" w:hint="default"/>
      </w:rPr>
    </w:lvl>
    <w:lvl w:ilvl="8" w:tplc="3B72D8CE" w:tentative="1">
      <w:start w:val="1"/>
      <w:numFmt w:val="bullet"/>
      <w:lvlText w:val=""/>
      <w:lvlJc w:val="left"/>
      <w:pPr>
        <w:ind w:left="6480" w:hanging="360"/>
      </w:pPr>
      <w:rPr>
        <w:rFonts w:ascii="Wingdings" w:hAnsi="Wingdings" w:hint="default"/>
      </w:rPr>
    </w:lvl>
  </w:abstractNum>
  <w:abstractNum w:abstractNumId="28" w15:restartNumberingAfterBreak="0">
    <w:nsid w:val="38F24F63"/>
    <w:multiLevelType w:val="hybridMultilevel"/>
    <w:tmpl w:val="B268D962"/>
    <w:lvl w:ilvl="0" w:tplc="B45E0026">
      <w:start w:val="1"/>
      <w:numFmt w:val="bullet"/>
      <w:lvlText w:val=""/>
      <w:lvlJc w:val="left"/>
      <w:pPr>
        <w:ind w:left="357" w:hanging="357"/>
      </w:pPr>
      <w:rPr>
        <w:rFonts w:ascii="Wingdings" w:hAnsi="Wingdings" w:cs="Wingdings" w:hint="default"/>
        <w:sz w:val="20"/>
      </w:rPr>
    </w:lvl>
    <w:lvl w:ilvl="1" w:tplc="1BE43E74">
      <w:start w:val="1"/>
      <w:numFmt w:val="bullet"/>
      <w:lvlText w:val="–"/>
      <w:lvlJc w:val="left"/>
      <w:pPr>
        <w:ind w:left="720" w:hanging="283"/>
      </w:pPr>
      <w:rPr>
        <w:rFonts w:ascii="Century Gothic" w:hAnsi="Century Gothic" w:cs="Century Gothic" w:hint="default"/>
        <w:sz w:val="20"/>
      </w:rPr>
    </w:lvl>
    <w:lvl w:ilvl="2" w:tplc="4F340F3E">
      <w:start w:val="1"/>
      <w:numFmt w:val="bullet"/>
      <w:lvlText w:val="·"/>
      <w:lvlJc w:val="left"/>
      <w:pPr>
        <w:ind w:left="1077" w:hanging="283"/>
      </w:pPr>
      <w:rPr>
        <w:rFonts w:ascii="Symbol" w:hAnsi="Symbol" w:cs="Symbol" w:hint="default"/>
        <w:sz w:val="20"/>
      </w:rPr>
    </w:lvl>
    <w:lvl w:ilvl="3" w:tplc="20FA672E">
      <w:numFmt w:val="decimal"/>
      <w:lvlText w:val=""/>
      <w:lvlJc w:val="left"/>
    </w:lvl>
    <w:lvl w:ilvl="4" w:tplc="DBAC10C6">
      <w:numFmt w:val="decimal"/>
      <w:lvlText w:val=""/>
      <w:lvlJc w:val="left"/>
    </w:lvl>
    <w:lvl w:ilvl="5" w:tplc="BFB2B21A">
      <w:numFmt w:val="decimal"/>
      <w:lvlText w:val=""/>
      <w:lvlJc w:val="left"/>
    </w:lvl>
    <w:lvl w:ilvl="6" w:tplc="31B66A04">
      <w:numFmt w:val="decimal"/>
      <w:lvlText w:val=""/>
      <w:lvlJc w:val="left"/>
    </w:lvl>
    <w:lvl w:ilvl="7" w:tplc="AF223A02">
      <w:numFmt w:val="decimal"/>
      <w:lvlText w:val=""/>
      <w:lvlJc w:val="left"/>
    </w:lvl>
    <w:lvl w:ilvl="8" w:tplc="ECF4FD5C">
      <w:numFmt w:val="decimal"/>
      <w:lvlText w:val=""/>
      <w:lvlJc w:val="left"/>
    </w:lvl>
  </w:abstractNum>
  <w:abstractNum w:abstractNumId="29" w15:restartNumberingAfterBreak="0">
    <w:nsid w:val="3E6D0FE8"/>
    <w:multiLevelType w:val="hybridMultilevel"/>
    <w:tmpl w:val="E8F6DB40"/>
    <w:lvl w:ilvl="0" w:tplc="41D630C6">
      <w:start w:val="1"/>
      <w:numFmt w:val="bullet"/>
      <w:lvlText w:val=""/>
      <w:lvlJc w:val="left"/>
      <w:pPr>
        <w:ind w:left="357" w:hanging="357"/>
      </w:pPr>
      <w:rPr>
        <w:rFonts w:ascii="Wingdings" w:hAnsi="Wingdings" w:cs="Wingdings" w:hint="default"/>
        <w:sz w:val="20"/>
      </w:rPr>
    </w:lvl>
    <w:lvl w:ilvl="1" w:tplc="722ECD02">
      <w:start w:val="1"/>
      <w:numFmt w:val="bullet"/>
      <w:lvlText w:val="–"/>
      <w:lvlJc w:val="left"/>
      <w:pPr>
        <w:ind w:left="720" w:hanging="283"/>
      </w:pPr>
      <w:rPr>
        <w:rFonts w:ascii="Century Gothic" w:hAnsi="Century Gothic" w:cs="Century Gothic" w:hint="default"/>
        <w:sz w:val="20"/>
      </w:rPr>
    </w:lvl>
    <w:lvl w:ilvl="2" w:tplc="538448EC">
      <w:start w:val="1"/>
      <w:numFmt w:val="bullet"/>
      <w:lvlText w:val="·"/>
      <w:lvlJc w:val="left"/>
      <w:pPr>
        <w:ind w:left="1077" w:hanging="283"/>
      </w:pPr>
      <w:rPr>
        <w:rFonts w:ascii="Symbol" w:hAnsi="Symbol" w:cs="Symbol" w:hint="default"/>
        <w:sz w:val="20"/>
      </w:rPr>
    </w:lvl>
    <w:lvl w:ilvl="3" w:tplc="EA984D4C">
      <w:numFmt w:val="decimal"/>
      <w:lvlText w:val=""/>
      <w:lvlJc w:val="left"/>
    </w:lvl>
    <w:lvl w:ilvl="4" w:tplc="D7E28740">
      <w:numFmt w:val="decimal"/>
      <w:lvlText w:val=""/>
      <w:lvlJc w:val="left"/>
    </w:lvl>
    <w:lvl w:ilvl="5" w:tplc="454256DC">
      <w:numFmt w:val="decimal"/>
      <w:lvlText w:val=""/>
      <w:lvlJc w:val="left"/>
    </w:lvl>
    <w:lvl w:ilvl="6" w:tplc="A5CE4F9A">
      <w:numFmt w:val="decimal"/>
      <w:lvlText w:val=""/>
      <w:lvlJc w:val="left"/>
    </w:lvl>
    <w:lvl w:ilvl="7" w:tplc="3626C2C6">
      <w:numFmt w:val="decimal"/>
      <w:lvlText w:val=""/>
      <w:lvlJc w:val="left"/>
    </w:lvl>
    <w:lvl w:ilvl="8" w:tplc="A46EAFE6">
      <w:numFmt w:val="decimal"/>
      <w:lvlText w:val=""/>
      <w:lvlJc w:val="left"/>
    </w:lvl>
  </w:abstractNum>
  <w:abstractNum w:abstractNumId="30" w15:restartNumberingAfterBreak="0">
    <w:nsid w:val="4C2F7A0D"/>
    <w:multiLevelType w:val="hybridMultilevel"/>
    <w:tmpl w:val="30C8CDFA"/>
    <w:lvl w:ilvl="0" w:tplc="53124B2A">
      <w:start w:val="1"/>
      <w:numFmt w:val="decimal"/>
      <w:lvlText w:val="%1."/>
      <w:lvlJc w:val="left"/>
      <w:pPr>
        <w:ind w:left="357" w:hanging="357"/>
      </w:pPr>
      <w:rPr>
        <w:rFonts w:ascii="Century Gothic" w:hAnsi="Century Gothic" w:cs="Century Gothic" w:hint="default"/>
        <w:b/>
        <w:sz w:val="20"/>
      </w:rPr>
    </w:lvl>
    <w:lvl w:ilvl="1" w:tplc="0C741DE0">
      <w:start w:val="1"/>
      <w:numFmt w:val="lowerLetter"/>
      <w:lvlText w:val="%2."/>
      <w:lvlJc w:val="left"/>
      <w:pPr>
        <w:ind w:left="720" w:hanging="357"/>
      </w:pPr>
      <w:rPr>
        <w:rFonts w:ascii="Century Gothic" w:hAnsi="Century Gothic" w:cs="Century Gothic" w:hint="default"/>
        <w:b/>
        <w:sz w:val="20"/>
      </w:rPr>
    </w:lvl>
    <w:lvl w:ilvl="2" w:tplc="A5625344">
      <w:start w:val="1"/>
      <w:numFmt w:val="bullet"/>
      <w:lvlText w:val=""/>
      <w:lvlJc w:val="left"/>
      <w:pPr>
        <w:ind w:left="1077" w:hanging="283"/>
      </w:pPr>
      <w:rPr>
        <w:rFonts w:ascii="Wingdings" w:hAnsi="Wingdings" w:cs="Wingdings" w:hint="default"/>
        <w:sz w:val="20"/>
      </w:rPr>
    </w:lvl>
    <w:lvl w:ilvl="3" w:tplc="DFC87E6C">
      <w:numFmt w:val="decimal"/>
      <w:lvlText w:val=""/>
      <w:lvlJc w:val="left"/>
    </w:lvl>
    <w:lvl w:ilvl="4" w:tplc="8320CE22">
      <w:numFmt w:val="decimal"/>
      <w:lvlText w:val=""/>
      <w:lvlJc w:val="left"/>
    </w:lvl>
    <w:lvl w:ilvl="5" w:tplc="7CD45B2E">
      <w:numFmt w:val="decimal"/>
      <w:lvlText w:val=""/>
      <w:lvlJc w:val="left"/>
    </w:lvl>
    <w:lvl w:ilvl="6" w:tplc="6454573A">
      <w:numFmt w:val="decimal"/>
      <w:lvlText w:val=""/>
      <w:lvlJc w:val="left"/>
    </w:lvl>
    <w:lvl w:ilvl="7" w:tplc="C97890F6">
      <w:numFmt w:val="decimal"/>
      <w:lvlText w:val=""/>
      <w:lvlJc w:val="left"/>
    </w:lvl>
    <w:lvl w:ilvl="8" w:tplc="BB9CDA8C">
      <w:numFmt w:val="decimal"/>
      <w:lvlText w:val=""/>
      <w:lvlJc w:val="left"/>
    </w:lvl>
  </w:abstractNum>
  <w:abstractNum w:abstractNumId="31" w15:restartNumberingAfterBreak="0">
    <w:nsid w:val="4CD60582"/>
    <w:multiLevelType w:val="hybridMultilevel"/>
    <w:tmpl w:val="FF04E5D0"/>
    <w:lvl w:ilvl="0" w:tplc="B6F6A544">
      <w:start w:val="1"/>
      <w:numFmt w:val="lowerLetter"/>
      <w:lvlText w:val="%1."/>
      <w:lvlJc w:val="left"/>
      <w:pPr>
        <w:ind w:left="357" w:hanging="357"/>
      </w:pPr>
      <w:rPr>
        <w:rFonts w:ascii="Century Gothic" w:hAnsi="Century Gothic" w:cs="Century Gothic" w:hint="default"/>
        <w:b/>
        <w:sz w:val="20"/>
      </w:rPr>
    </w:lvl>
    <w:lvl w:ilvl="1" w:tplc="ACCED3EA">
      <w:start w:val="1"/>
      <w:numFmt w:val="bullet"/>
      <w:lvlText w:val=""/>
      <w:lvlJc w:val="left"/>
      <w:pPr>
        <w:ind w:left="720" w:hanging="357"/>
      </w:pPr>
      <w:rPr>
        <w:rFonts w:ascii="Wingdings" w:hAnsi="Wingdings" w:cs="Wingdings" w:hint="default"/>
        <w:sz w:val="20"/>
      </w:rPr>
    </w:lvl>
    <w:lvl w:ilvl="2" w:tplc="501497EA">
      <w:start w:val="1"/>
      <w:numFmt w:val="bullet"/>
      <w:lvlText w:val="–"/>
      <w:lvlJc w:val="left"/>
      <w:pPr>
        <w:ind w:left="1077" w:hanging="283"/>
      </w:pPr>
      <w:rPr>
        <w:rFonts w:ascii="Century Gothic" w:hAnsi="Century Gothic" w:cs="Century Gothic" w:hint="default"/>
        <w:sz w:val="20"/>
      </w:rPr>
    </w:lvl>
    <w:lvl w:ilvl="3" w:tplc="9710E93E">
      <w:numFmt w:val="decimal"/>
      <w:lvlText w:val=""/>
      <w:lvlJc w:val="left"/>
    </w:lvl>
    <w:lvl w:ilvl="4" w:tplc="9056BF66">
      <w:numFmt w:val="decimal"/>
      <w:lvlText w:val=""/>
      <w:lvlJc w:val="left"/>
    </w:lvl>
    <w:lvl w:ilvl="5" w:tplc="599E78B6">
      <w:numFmt w:val="decimal"/>
      <w:lvlText w:val=""/>
      <w:lvlJc w:val="left"/>
    </w:lvl>
    <w:lvl w:ilvl="6" w:tplc="7BB41E1E">
      <w:numFmt w:val="decimal"/>
      <w:lvlText w:val=""/>
      <w:lvlJc w:val="left"/>
    </w:lvl>
    <w:lvl w:ilvl="7" w:tplc="D6447356">
      <w:numFmt w:val="decimal"/>
      <w:lvlText w:val=""/>
      <w:lvlJc w:val="left"/>
    </w:lvl>
    <w:lvl w:ilvl="8" w:tplc="45AAF11A">
      <w:numFmt w:val="decimal"/>
      <w:lvlText w:val=""/>
      <w:lvlJc w:val="left"/>
    </w:lvl>
  </w:abstractNum>
  <w:abstractNum w:abstractNumId="32" w15:restartNumberingAfterBreak="0">
    <w:nsid w:val="4EBF4691"/>
    <w:multiLevelType w:val="hybridMultilevel"/>
    <w:tmpl w:val="C5606B64"/>
    <w:lvl w:ilvl="0" w:tplc="736C8488">
      <w:start w:val="1"/>
      <w:numFmt w:val="decimal"/>
      <w:lvlText w:val="%1."/>
      <w:lvlJc w:val="left"/>
      <w:pPr>
        <w:ind w:left="357" w:hanging="357"/>
      </w:pPr>
      <w:rPr>
        <w:rFonts w:ascii="Century Gothic" w:hAnsi="Century Gothic" w:cs="Century Gothic" w:hint="default"/>
        <w:b/>
        <w:sz w:val="20"/>
      </w:rPr>
    </w:lvl>
    <w:lvl w:ilvl="1" w:tplc="B91E3C86">
      <w:start w:val="1"/>
      <w:numFmt w:val="lowerLetter"/>
      <w:lvlText w:val="%2."/>
      <w:lvlJc w:val="left"/>
      <w:pPr>
        <w:ind w:left="720" w:hanging="357"/>
      </w:pPr>
      <w:rPr>
        <w:rFonts w:ascii="Century Gothic" w:hAnsi="Century Gothic" w:cs="Century Gothic" w:hint="default"/>
        <w:b/>
        <w:sz w:val="20"/>
      </w:rPr>
    </w:lvl>
    <w:lvl w:ilvl="2" w:tplc="2B8E3FBE">
      <w:start w:val="1"/>
      <w:numFmt w:val="bullet"/>
      <w:lvlText w:val=""/>
      <w:lvlJc w:val="left"/>
      <w:pPr>
        <w:ind w:left="1077" w:hanging="283"/>
      </w:pPr>
      <w:rPr>
        <w:rFonts w:ascii="Wingdings" w:hAnsi="Wingdings" w:cs="Wingdings" w:hint="default"/>
        <w:sz w:val="20"/>
      </w:rPr>
    </w:lvl>
    <w:lvl w:ilvl="3" w:tplc="E0F6C3E4">
      <w:numFmt w:val="decimal"/>
      <w:lvlText w:val=""/>
      <w:lvlJc w:val="left"/>
    </w:lvl>
    <w:lvl w:ilvl="4" w:tplc="90EACE00">
      <w:numFmt w:val="decimal"/>
      <w:lvlText w:val=""/>
      <w:lvlJc w:val="left"/>
    </w:lvl>
    <w:lvl w:ilvl="5" w:tplc="6F2A2DD4">
      <w:numFmt w:val="decimal"/>
      <w:lvlText w:val=""/>
      <w:lvlJc w:val="left"/>
    </w:lvl>
    <w:lvl w:ilvl="6" w:tplc="8C168E74">
      <w:numFmt w:val="decimal"/>
      <w:lvlText w:val=""/>
      <w:lvlJc w:val="left"/>
    </w:lvl>
    <w:lvl w:ilvl="7" w:tplc="7A883EB6">
      <w:numFmt w:val="decimal"/>
      <w:lvlText w:val=""/>
      <w:lvlJc w:val="left"/>
    </w:lvl>
    <w:lvl w:ilvl="8" w:tplc="3064DB84">
      <w:numFmt w:val="decimal"/>
      <w:lvlText w:val=""/>
      <w:lvlJc w:val="left"/>
    </w:lvl>
  </w:abstractNum>
  <w:abstractNum w:abstractNumId="33" w15:restartNumberingAfterBreak="0">
    <w:nsid w:val="54494776"/>
    <w:multiLevelType w:val="hybridMultilevel"/>
    <w:tmpl w:val="65D036EC"/>
    <w:lvl w:ilvl="0" w:tplc="B59E0D60">
      <w:start w:val="1"/>
      <w:numFmt w:val="bullet"/>
      <w:lvlText w:val=""/>
      <w:lvlJc w:val="left"/>
      <w:pPr>
        <w:ind w:left="357" w:hanging="357"/>
      </w:pPr>
      <w:rPr>
        <w:rFonts w:ascii="Wingdings" w:hAnsi="Wingdings" w:cs="Wingdings" w:hint="default"/>
        <w:sz w:val="20"/>
      </w:rPr>
    </w:lvl>
    <w:lvl w:ilvl="1" w:tplc="68D2C9D6">
      <w:start w:val="1"/>
      <w:numFmt w:val="bullet"/>
      <w:lvlText w:val="–"/>
      <w:lvlJc w:val="left"/>
      <w:pPr>
        <w:ind w:left="720" w:hanging="283"/>
      </w:pPr>
      <w:rPr>
        <w:rFonts w:ascii="Century Gothic" w:hAnsi="Century Gothic" w:cs="Century Gothic" w:hint="default"/>
        <w:sz w:val="20"/>
      </w:rPr>
    </w:lvl>
    <w:lvl w:ilvl="2" w:tplc="B0986162">
      <w:start w:val="1"/>
      <w:numFmt w:val="bullet"/>
      <w:lvlText w:val="·"/>
      <w:lvlJc w:val="left"/>
      <w:pPr>
        <w:ind w:left="1077" w:hanging="283"/>
      </w:pPr>
      <w:rPr>
        <w:rFonts w:ascii="Symbol" w:hAnsi="Symbol" w:cs="Symbol" w:hint="default"/>
        <w:sz w:val="20"/>
      </w:rPr>
    </w:lvl>
    <w:lvl w:ilvl="3" w:tplc="522CB76C">
      <w:numFmt w:val="decimal"/>
      <w:lvlText w:val=""/>
      <w:lvlJc w:val="left"/>
    </w:lvl>
    <w:lvl w:ilvl="4" w:tplc="5DCA83A8">
      <w:numFmt w:val="decimal"/>
      <w:lvlText w:val=""/>
      <w:lvlJc w:val="left"/>
    </w:lvl>
    <w:lvl w:ilvl="5" w:tplc="36468076">
      <w:numFmt w:val="decimal"/>
      <w:lvlText w:val=""/>
      <w:lvlJc w:val="left"/>
    </w:lvl>
    <w:lvl w:ilvl="6" w:tplc="C292DA46">
      <w:numFmt w:val="decimal"/>
      <w:lvlText w:val=""/>
      <w:lvlJc w:val="left"/>
    </w:lvl>
    <w:lvl w:ilvl="7" w:tplc="2DDC95E0">
      <w:numFmt w:val="decimal"/>
      <w:lvlText w:val=""/>
      <w:lvlJc w:val="left"/>
    </w:lvl>
    <w:lvl w:ilvl="8" w:tplc="2CAE8F12">
      <w:numFmt w:val="decimal"/>
      <w:lvlText w:val=""/>
      <w:lvlJc w:val="left"/>
    </w:lvl>
  </w:abstractNum>
  <w:abstractNum w:abstractNumId="34" w15:restartNumberingAfterBreak="0">
    <w:nsid w:val="55F26C3E"/>
    <w:multiLevelType w:val="hybridMultilevel"/>
    <w:tmpl w:val="7778B300"/>
    <w:lvl w:ilvl="0" w:tplc="2C18F4B0">
      <w:start w:val="1"/>
      <w:numFmt w:val="lowerLetter"/>
      <w:lvlText w:val="%1."/>
      <w:lvlJc w:val="left"/>
      <w:pPr>
        <w:ind w:left="710" w:hanging="710"/>
      </w:pPr>
      <w:rPr>
        <w:rFonts w:hint="default"/>
      </w:rPr>
    </w:lvl>
    <w:lvl w:ilvl="1" w:tplc="C324B8BC">
      <w:start w:val="1"/>
      <w:numFmt w:val="decimal"/>
      <w:lvlText w:val="%2."/>
      <w:lvlJc w:val="left"/>
      <w:pPr>
        <w:ind w:left="2860" w:hanging="2140"/>
      </w:pPr>
      <w:rPr>
        <w:rFonts w:hint="default"/>
      </w:rPr>
    </w:lvl>
    <w:lvl w:ilvl="2" w:tplc="9358FECC" w:tentative="1">
      <w:start w:val="1"/>
      <w:numFmt w:val="lowerRoman"/>
      <w:lvlText w:val="%3."/>
      <w:lvlJc w:val="right"/>
      <w:pPr>
        <w:ind w:left="1800" w:hanging="180"/>
      </w:pPr>
    </w:lvl>
    <w:lvl w:ilvl="3" w:tplc="6764E232" w:tentative="1">
      <w:start w:val="1"/>
      <w:numFmt w:val="decimal"/>
      <w:lvlText w:val="%4."/>
      <w:lvlJc w:val="left"/>
      <w:pPr>
        <w:ind w:left="2520" w:hanging="360"/>
      </w:pPr>
    </w:lvl>
    <w:lvl w:ilvl="4" w:tplc="51045FE6" w:tentative="1">
      <w:start w:val="1"/>
      <w:numFmt w:val="lowerLetter"/>
      <w:lvlText w:val="%5."/>
      <w:lvlJc w:val="left"/>
      <w:pPr>
        <w:ind w:left="3240" w:hanging="360"/>
      </w:pPr>
    </w:lvl>
    <w:lvl w:ilvl="5" w:tplc="8B9E956C" w:tentative="1">
      <w:start w:val="1"/>
      <w:numFmt w:val="lowerRoman"/>
      <w:lvlText w:val="%6."/>
      <w:lvlJc w:val="right"/>
      <w:pPr>
        <w:ind w:left="3960" w:hanging="180"/>
      </w:pPr>
    </w:lvl>
    <w:lvl w:ilvl="6" w:tplc="C5EA4322" w:tentative="1">
      <w:start w:val="1"/>
      <w:numFmt w:val="decimal"/>
      <w:lvlText w:val="%7."/>
      <w:lvlJc w:val="left"/>
      <w:pPr>
        <w:ind w:left="4680" w:hanging="360"/>
      </w:pPr>
    </w:lvl>
    <w:lvl w:ilvl="7" w:tplc="ECD2E4F0" w:tentative="1">
      <w:start w:val="1"/>
      <w:numFmt w:val="lowerLetter"/>
      <w:lvlText w:val="%8."/>
      <w:lvlJc w:val="left"/>
      <w:pPr>
        <w:ind w:left="5400" w:hanging="360"/>
      </w:pPr>
    </w:lvl>
    <w:lvl w:ilvl="8" w:tplc="756C22CC" w:tentative="1">
      <w:start w:val="1"/>
      <w:numFmt w:val="lowerRoman"/>
      <w:lvlText w:val="%9."/>
      <w:lvlJc w:val="right"/>
      <w:pPr>
        <w:ind w:left="6120" w:hanging="180"/>
      </w:pPr>
    </w:lvl>
  </w:abstractNum>
  <w:abstractNum w:abstractNumId="35" w15:restartNumberingAfterBreak="0">
    <w:nsid w:val="563D3CB2"/>
    <w:multiLevelType w:val="hybridMultilevel"/>
    <w:tmpl w:val="606A41E0"/>
    <w:lvl w:ilvl="0" w:tplc="9B3020AC">
      <w:start w:val="1"/>
      <w:numFmt w:val="bullet"/>
      <w:lvlText w:val=""/>
      <w:lvlJc w:val="left"/>
      <w:pPr>
        <w:ind w:left="357" w:hanging="357"/>
      </w:pPr>
      <w:rPr>
        <w:rFonts w:ascii="Wingdings" w:hAnsi="Wingdings" w:cs="Wingdings" w:hint="default"/>
        <w:sz w:val="20"/>
      </w:rPr>
    </w:lvl>
    <w:lvl w:ilvl="1" w:tplc="EC9CC902">
      <w:start w:val="1"/>
      <w:numFmt w:val="bullet"/>
      <w:lvlText w:val="–"/>
      <w:lvlJc w:val="left"/>
      <w:pPr>
        <w:ind w:left="720" w:hanging="283"/>
      </w:pPr>
      <w:rPr>
        <w:rFonts w:ascii="Century Gothic" w:hAnsi="Century Gothic" w:cs="Century Gothic" w:hint="default"/>
        <w:sz w:val="20"/>
      </w:rPr>
    </w:lvl>
    <w:lvl w:ilvl="2" w:tplc="DAE8AB72">
      <w:start w:val="1"/>
      <w:numFmt w:val="bullet"/>
      <w:lvlText w:val="·"/>
      <w:lvlJc w:val="left"/>
      <w:pPr>
        <w:ind w:left="1077" w:hanging="283"/>
      </w:pPr>
      <w:rPr>
        <w:rFonts w:ascii="Symbol" w:hAnsi="Symbol" w:cs="Symbol" w:hint="default"/>
        <w:sz w:val="20"/>
      </w:rPr>
    </w:lvl>
    <w:lvl w:ilvl="3" w:tplc="DF24ECF6">
      <w:numFmt w:val="decimal"/>
      <w:lvlText w:val=""/>
      <w:lvlJc w:val="left"/>
    </w:lvl>
    <w:lvl w:ilvl="4" w:tplc="508A3922">
      <w:numFmt w:val="decimal"/>
      <w:lvlText w:val=""/>
      <w:lvlJc w:val="left"/>
    </w:lvl>
    <w:lvl w:ilvl="5" w:tplc="4814AB56">
      <w:numFmt w:val="decimal"/>
      <w:lvlText w:val=""/>
      <w:lvlJc w:val="left"/>
    </w:lvl>
    <w:lvl w:ilvl="6" w:tplc="78DC1112">
      <w:numFmt w:val="decimal"/>
      <w:lvlText w:val=""/>
      <w:lvlJc w:val="left"/>
    </w:lvl>
    <w:lvl w:ilvl="7" w:tplc="3E52423E">
      <w:numFmt w:val="decimal"/>
      <w:lvlText w:val=""/>
      <w:lvlJc w:val="left"/>
    </w:lvl>
    <w:lvl w:ilvl="8" w:tplc="AA62F278">
      <w:numFmt w:val="decimal"/>
      <w:lvlText w:val=""/>
      <w:lvlJc w:val="left"/>
    </w:lvl>
  </w:abstractNum>
  <w:abstractNum w:abstractNumId="36" w15:restartNumberingAfterBreak="0">
    <w:nsid w:val="58307F9C"/>
    <w:multiLevelType w:val="hybridMultilevel"/>
    <w:tmpl w:val="AEF8CF56"/>
    <w:lvl w:ilvl="0" w:tplc="D4D44D3E">
      <w:start w:val="1"/>
      <w:numFmt w:val="decimal"/>
      <w:lvlText w:val="%1."/>
      <w:lvlJc w:val="left"/>
      <w:pPr>
        <w:ind w:left="357" w:hanging="357"/>
      </w:pPr>
      <w:rPr>
        <w:rFonts w:ascii="Century Gothic" w:hAnsi="Century Gothic" w:cs="Century Gothic" w:hint="default"/>
        <w:b/>
        <w:sz w:val="20"/>
      </w:rPr>
    </w:lvl>
    <w:lvl w:ilvl="1" w:tplc="D916A4BE">
      <w:start w:val="1"/>
      <w:numFmt w:val="lowerLetter"/>
      <w:lvlText w:val="%2."/>
      <w:lvlJc w:val="left"/>
      <w:pPr>
        <w:ind w:left="720" w:hanging="357"/>
      </w:pPr>
      <w:rPr>
        <w:rFonts w:ascii="Century Gothic" w:hAnsi="Century Gothic" w:cs="Century Gothic" w:hint="default"/>
        <w:b/>
        <w:sz w:val="20"/>
      </w:rPr>
    </w:lvl>
    <w:lvl w:ilvl="2" w:tplc="940063B0">
      <w:start w:val="1"/>
      <w:numFmt w:val="bullet"/>
      <w:lvlText w:val=""/>
      <w:lvlJc w:val="left"/>
      <w:pPr>
        <w:ind w:left="1077" w:hanging="283"/>
      </w:pPr>
      <w:rPr>
        <w:rFonts w:ascii="Wingdings" w:hAnsi="Wingdings" w:cs="Wingdings" w:hint="default"/>
        <w:sz w:val="20"/>
      </w:rPr>
    </w:lvl>
    <w:lvl w:ilvl="3" w:tplc="B22CDDCA">
      <w:numFmt w:val="decimal"/>
      <w:lvlText w:val=""/>
      <w:lvlJc w:val="left"/>
    </w:lvl>
    <w:lvl w:ilvl="4" w:tplc="1E2E3784">
      <w:numFmt w:val="decimal"/>
      <w:lvlText w:val=""/>
      <w:lvlJc w:val="left"/>
    </w:lvl>
    <w:lvl w:ilvl="5" w:tplc="1DE68C2C">
      <w:numFmt w:val="decimal"/>
      <w:lvlText w:val=""/>
      <w:lvlJc w:val="left"/>
    </w:lvl>
    <w:lvl w:ilvl="6" w:tplc="0B88A402">
      <w:numFmt w:val="decimal"/>
      <w:lvlText w:val=""/>
      <w:lvlJc w:val="left"/>
    </w:lvl>
    <w:lvl w:ilvl="7" w:tplc="6ACC6D0A">
      <w:numFmt w:val="decimal"/>
      <w:lvlText w:val=""/>
      <w:lvlJc w:val="left"/>
    </w:lvl>
    <w:lvl w:ilvl="8" w:tplc="84F2B388">
      <w:numFmt w:val="decimal"/>
      <w:lvlText w:val=""/>
      <w:lvlJc w:val="left"/>
    </w:lvl>
  </w:abstractNum>
  <w:abstractNum w:abstractNumId="37" w15:restartNumberingAfterBreak="0">
    <w:nsid w:val="58724C35"/>
    <w:multiLevelType w:val="hybridMultilevel"/>
    <w:tmpl w:val="BCEC31DA"/>
    <w:lvl w:ilvl="0" w:tplc="791A540E">
      <w:start w:val="1"/>
      <w:numFmt w:val="decimal"/>
      <w:lvlText w:val="%1."/>
      <w:lvlJc w:val="left"/>
      <w:pPr>
        <w:ind w:left="357" w:hanging="357"/>
      </w:pPr>
      <w:rPr>
        <w:rFonts w:ascii="Century Gothic" w:hAnsi="Century Gothic" w:cs="Century Gothic" w:hint="default"/>
        <w:b/>
        <w:sz w:val="20"/>
      </w:rPr>
    </w:lvl>
    <w:lvl w:ilvl="1" w:tplc="F8A22092">
      <w:start w:val="1"/>
      <w:numFmt w:val="lowerLetter"/>
      <w:lvlText w:val="%2."/>
      <w:lvlJc w:val="left"/>
      <w:pPr>
        <w:ind w:left="720" w:hanging="357"/>
      </w:pPr>
      <w:rPr>
        <w:rFonts w:ascii="Century Gothic" w:hAnsi="Century Gothic" w:cs="Century Gothic" w:hint="default"/>
        <w:b/>
        <w:sz w:val="20"/>
      </w:rPr>
    </w:lvl>
    <w:lvl w:ilvl="2" w:tplc="CC5A1B6E">
      <w:start w:val="1"/>
      <w:numFmt w:val="bullet"/>
      <w:lvlText w:val=""/>
      <w:lvlJc w:val="left"/>
      <w:pPr>
        <w:ind w:left="1077" w:hanging="283"/>
      </w:pPr>
      <w:rPr>
        <w:rFonts w:ascii="Wingdings" w:hAnsi="Wingdings" w:cs="Wingdings" w:hint="default"/>
        <w:sz w:val="20"/>
      </w:rPr>
    </w:lvl>
    <w:lvl w:ilvl="3" w:tplc="BF5259BC">
      <w:numFmt w:val="decimal"/>
      <w:lvlText w:val=""/>
      <w:lvlJc w:val="left"/>
    </w:lvl>
    <w:lvl w:ilvl="4" w:tplc="15F602B4">
      <w:numFmt w:val="decimal"/>
      <w:lvlText w:val=""/>
      <w:lvlJc w:val="left"/>
    </w:lvl>
    <w:lvl w:ilvl="5" w:tplc="2EF61AA2">
      <w:numFmt w:val="decimal"/>
      <w:lvlText w:val=""/>
      <w:lvlJc w:val="left"/>
    </w:lvl>
    <w:lvl w:ilvl="6" w:tplc="144AAA1C">
      <w:numFmt w:val="decimal"/>
      <w:lvlText w:val=""/>
      <w:lvlJc w:val="left"/>
    </w:lvl>
    <w:lvl w:ilvl="7" w:tplc="69D4722C">
      <w:numFmt w:val="decimal"/>
      <w:lvlText w:val=""/>
      <w:lvlJc w:val="left"/>
    </w:lvl>
    <w:lvl w:ilvl="8" w:tplc="A03CC834">
      <w:numFmt w:val="decimal"/>
      <w:lvlText w:val=""/>
      <w:lvlJc w:val="left"/>
    </w:lvl>
  </w:abstractNum>
  <w:abstractNum w:abstractNumId="38" w15:restartNumberingAfterBreak="0">
    <w:nsid w:val="5A3320AC"/>
    <w:multiLevelType w:val="hybridMultilevel"/>
    <w:tmpl w:val="5A9EF8C0"/>
    <w:lvl w:ilvl="0" w:tplc="B90A28F2">
      <w:start w:val="1"/>
      <w:numFmt w:val="bullet"/>
      <w:lvlText w:val=""/>
      <w:lvlJc w:val="left"/>
      <w:pPr>
        <w:ind w:left="720" w:hanging="360"/>
      </w:pPr>
      <w:rPr>
        <w:rFonts w:ascii="Symbol" w:hAnsi="Symbol" w:hint="default"/>
      </w:rPr>
    </w:lvl>
    <w:lvl w:ilvl="1" w:tplc="25F8EA60" w:tentative="1">
      <w:start w:val="1"/>
      <w:numFmt w:val="bullet"/>
      <w:lvlText w:val="o"/>
      <w:lvlJc w:val="left"/>
      <w:pPr>
        <w:ind w:left="1440" w:hanging="360"/>
      </w:pPr>
      <w:rPr>
        <w:rFonts w:ascii="Courier New" w:hAnsi="Courier New" w:cs="Courier New" w:hint="default"/>
      </w:rPr>
    </w:lvl>
    <w:lvl w:ilvl="2" w:tplc="2272F6A2" w:tentative="1">
      <w:start w:val="1"/>
      <w:numFmt w:val="bullet"/>
      <w:lvlText w:val=""/>
      <w:lvlJc w:val="left"/>
      <w:pPr>
        <w:ind w:left="2160" w:hanging="360"/>
      </w:pPr>
      <w:rPr>
        <w:rFonts w:ascii="Wingdings" w:hAnsi="Wingdings" w:hint="default"/>
      </w:rPr>
    </w:lvl>
    <w:lvl w:ilvl="3" w:tplc="504AA6EE" w:tentative="1">
      <w:start w:val="1"/>
      <w:numFmt w:val="bullet"/>
      <w:lvlText w:val=""/>
      <w:lvlJc w:val="left"/>
      <w:pPr>
        <w:ind w:left="2880" w:hanging="360"/>
      </w:pPr>
      <w:rPr>
        <w:rFonts w:ascii="Symbol" w:hAnsi="Symbol" w:hint="default"/>
      </w:rPr>
    </w:lvl>
    <w:lvl w:ilvl="4" w:tplc="6FDE21FE" w:tentative="1">
      <w:start w:val="1"/>
      <w:numFmt w:val="bullet"/>
      <w:lvlText w:val="o"/>
      <w:lvlJc w:val="left"/>
      <w:pPr>
        <w:ind w:left="3600" w:hanging="360"/>
      </w:pPr>
      <w:rPr>
        <w:rFonts w:ascii="Courier New" w:hAnsi="Courier New" w:cs="Courier New" w:hint="default"/>
      </w:rPr>
    </w:lvl>
    <w:lvl w:ilvl="5" w:tplc="5664BF40" w:tentative="1">
      <w:start w:val="1"/>
      <w:numFmt w:val="bullet"/>
      <w:lvlText w:val=""/>
      <w:lvlJc w:val="left"/>
      <w:pPr>
        <w:ind w:left="4320" w:hanging="360"/>
      </w:pPr>
      <w:rPr>
        <w:rFonts w:ascii="Wingdings" w:hAnsi="Wingdings" w:hint="default"/>
      </w:rPr>
    </w:lvl>
    <w:lvl w:ilvl="6" w:tplc="AE5212E6" w:tentative="1">
      <w:start w:val="1"/>
      <w:numFmt w:val="bullet"/>
      <w:lvlText w:val=""/>
      <w:lvlJc w:val="left"/>
      <w:pPr>
        <w:ind w:left="5040" w:hanging="360"/>
      </w:pPr>
      <w:rPr>
        <w:rFonts w:ascii="Symbol" w:hAnsi="Symbol" w:hint="default"/>
      </w:rPr>
    </w:lvl>
    <w:lvl w:ilvl="7" w:tplc="46C6A076" w:tentative="1">
      <w:start w:val="1"/>
      <w:numFmt w:val="bullet"/>
      <w:lvlText w:val="o"/>
      <w:lvlJc w:val="left"/>
      <w:pPr>
        <w:ind w:left="5760" w:hanging="360"/>
      </w:pPr>
      <w:rPr>
        <w:rFonts w:ascii="Courier New" w:hAnsi="Courier New" w:cs="Courier New" w:hint="default"/>
      </w:rPr>
    </w:lvl>
    <w:lvl w:ilvl="8" w:tplc="6EA63B7C" w:tentative="1">
      <w:start w:val="1"/>
      <w:numFmt w:val="bullet"/>
      <w:lvlText w:val=""/>
      <w:lvlJc w:val="left"/>
      <w:pPr>
        <w:ind w:left="6480" w:hanging="360"/>
      </w:pPr>
      <w:rPr>
        <w:rFonts w:ascii="Wingdings" w:hAnsi="Wingdings" w:hint="default"/>
      </w:rPr>
    </w:lvl>
  </w:abstractNum>
  <w:abstractNum w:abstractNumId="39" w15:restartNumberingAfterBreak="0">
    <w:nsid w:val="5AE37920"/>
    <w:multiLevelType w:val="hybridMultilevel"/>
    <w:tmpl w:val="0598D8B0"/>
    <w:lvl w:ilvl="0" w:tplc="89A2AA52">
      <w:start w:val="1"/>
      <w:numFmt w:val="decimal"/>
      <w:lvlText w:val="%1."/>
      <w:lvlJc w:val="left"/>
      <w:pPr>
        <w:ind w:left="357" w:hanging="357"/>
      </w:pPr>
      <w:rPr>
        <w:rFonts w:ascii="Century Gothic" w:hAnsi="Century Gothic" w:cs="Century Gothic" w:hint="default"/>
        <w:b/>
        <w:sz w:val="20"/>
      </w:rPr>
    </w:lvl>
    <w:lvl w:ilvl="1" w:tplc="996EBFAA">
      <w:start w:val="1"/>
      <w:numFmt w:val="lowerLetter"/>
      <w:lvlText w:val="%2."/>
      <w:lvlJc w:val="left"/>
      <w:pPr>
        <w:ind w:left="720" w:hanging="357"/>
      </w:pPr>
      <w:rPr>
        <w:rFonts w:ascii="Century Gothic" w:hAnsi="Century Gothic" w:cs="Century Gothic" w:hint="default"/>
        <w:b/>
        <w:sz w:val="20"/>
      </w:rPr>
    </w:lvl>
    <w:lvl w:ilvl="2" w:tplc="728CC2E4">
      <w:start w:val="1"/>
      <w:numFmt w:val="bullet"/>
      <w:lvlText w:val=""/>
      <w:lvlJc w:val="left"/>
      <w:pPr>
        <w:ind w:left="1077" w:hanging="283"/>
      </w:pPr>
      <w:rPr>
        <w:rFonts w:ascii="Wingdings" w:hAnsi="Wingdings" w:cs="Wingdings" w:hint="default"/>
        <w:sz w:val="20"/>
      </w:rPr>
    </w:lvl>
    <w:lvl w:ilvl="3" w:tplc="5596F4AA">
      <w:numFmt w:val="decimal"/>
      <w:lvlText w:val=""/>
      <w:lvlJc w:val="left"/>
    </w:lvl>
    <w:lvl w:ilvl="4" w:tplc="E4485BD6">
      <w:numFmt w:val="decimal"/>
      <w:lvlText w:val=""/>
      <w:lvlJc w:val="left"/>
    </w:lvl>
    <w:lvl w:ilvl="5" w:tplc="B204D0F6">
      <w:numFmt w:val="decimal"/>
      <w:lvlText w:val=""/>
      <w:lvlJc w:val="left"/>
    </w:lvl>
    <w:lvl w:ilvl="6" w:tplc="05C246EE">
      <w:numFmt w:val="decimal"/>
      <w:lvlText w:val=""/>
      <w:lvlJc w:val="left"/>
    </w:lvl>
    <w:lvl w:ilvl="7" w:tplc="7C40041A">
      <w:numFmt w:val="decimal"/>
      <w:lvlText w:val=""/>
      <w:lvlJc w:val="left"/>
    </w:lvl>
    <w:lvl w:ilvl="8" w:tplc="BF222FB8">
      <w:numFmt w:val="decimal"/>
      <w:lvlText w:val=""/>
      <w:lvlJc w:val="left"/>
    </w:lvl>
  </w:abstractNum>
  <w:abstractNum w:abstractNumId="40" w15:restartNumberingAfterBreak="0">
    <w:nsid w:val="5B4A00B5"/>
    <w:multiLevelType w:val="hybridMultilevel"/>
    <w:tmpl w:val="05C4804E"/>
    <w:lvl w:ilvl="0" w:tplc="E2DE171E">
      <w:start w:val="1"/>
      <w:numFmt w:val="decimal"/>
      <w:lvlText w:val="%1."/>
      <w:lvlJc w:val="left"/>
      <w:pPr>
        <w:ind w:left="1068" w:hanging="360"/>
      </w:pPr>
    </w:lvl>
    <w:lvl w:ilvl="1" w:tplc="1BE45916">
      <w:start w:val="1"/>
      <w:numFmt w:val="decimal"/>
      <w:lvlText w:val="%2."/>
      <w:lvlJc w:val="left"/>
      <w:pPr>
        <w:ind w:left="1788" w:hanging="360"/>
      </w:pPr>
    </w:lvl>
    <w:lvl w:ilvl="2" w:tplc="0E7E5044" w:tentative="1">
      <w:start w:val="1"/>
      <w:numFmt w:val="lowerRoman"/>
      <w:lvlText w:val="%3."/>
      <w:lvlJc w:val="right"/>
      <w:pPr>
        <w:ind w:left="2508" w:hanging="180"/>
      </w:pPr>
    </w:lvl>
    <w:lvl w:ilvl="3" w:tplc="A17CA3EC" w:tentative="1">
      <w:start w:val="1"/>
      <w:numFmt w:val="decimal"/>
      <w:lvlText w:val="%4."/>
      <w:lvlJc w:val="left"/>
      <w:pPr>
        <w:ind w:left="3228" w:hanging="360"/>
      </w:pPr>
    </w:lvl>
    <w:lvl w:ilvl="4" w:tplc="12A2489A" w:tentative="1">
      <w:start w:val="1"/>
      <w:numFmt w:val="lowerLetter"/>
      <w:lvlText w:val="%5."/>
      <w:lvlJc w:val="left"/>
      <w:pPr>
        <w:ind w:left="3948" w:hanging="360"/>
      </w:pPr>
    </w:lvl>
    <w:lvl w:ilvl="5" w:tplc="9790FA32" w:tentative="1">
      <w:start w:val="1"/>
      <w:numFmt w:val="lowerRoman"/>
      <w:lvlText w:val="%6."/>
      <w:lvlJc w:val="right"/>
      <w:pPr>
        <w:ind w:left="4668" w:hanging="180"/>
      </w:pPr>
    </w:lvl>
    <w:lvl w:ilvl="6" w:tplc="F7807AD8" w:tentative="1">
      <w:start w:val="1"/>
      <w:numFmt w:val="decimal"/>
      <w:lvlText w:val="%7."/>
      <w:lvlJc w:val="left"/>
      <w:pPr>
        <w:ind w:left="5388" w:hanging="360"/>
      </w:pPr>
    </w:lvl>
    <w:lvl w:ilvl="7" w:tplc="1EEA6286" w:tentative="1">
      <w:start w:val="1"/>
      <w:numFmt w:val="lowerLetter"/>
      <w:lvlText w:val="%8."/>
      <w:lvlJc w:val="left"/>
      <w:pPr>
        <w:ind w:left="6108" w:hanging="360"/>
      </w:pPr>
    </w:lvl>
    <w:lvl w:ilvl="8" w:tplc="473423BC" w:tentative="1">
      <w:start w:val="1"/>
      <w:numFmt w:val="lowerRoman"/>
      <w:lvlText w:val="%9."/>
      <w:lvlJc w:val="right"/>
      <w:pPr>
        <w:ind w:left="6828" w:hanging="180"/>
      </w:pPr>
    </w:lvl>
  </w:abstractNum>
  <w:abstractNum w:abstractNumId="41" w15:restartNumberingAfterBreak="0">
    <w:nsid w:val="5BCE31EE"/>
    <w:multiLevelType w:val="hybridMultilevel"/>
    <w:tmpl w:val="4BF4455C"/>
    <w:lvl w:ilvl="0" w:tplc="4DAC0F16">
      <w:start w:val="1"/>
      <w:numFmt w:val="decimal"/>
      <w:lvlText w:val="%1."/>
      <w:lvlJc w:val="left"/>
      <w:pPr>
        <w:ind w:left="357" w:hanging="357"/>
      </w:pPr>
      <w:rPr>
        <w:rFonts w:ascii="Century Gothic" w:hAnsi="Century Gothic" w:cs="Century Gothic" w:hint="default"/>
        <w:b/>
        <w:sz w:val="20"/>
      </w:rPr>
    </w:lvl>
    <w:lvl w:ilvl="1" w:tplc="28CA242E">
      <w:start w:val="1"/>
      <w:numFmt w:val="lowerLetter"/>
      <w:lvlText w:val="%2."/>
      <w:lvlJc w:val="left"/>
      <w:pPr>
        <w:ind w:left="720" w:hanging="357"/>
      </w:pPr>
      <w:rPr>
        <w:rFonts w:ascii="Century Gothic" w:hAnsi="Century Gothic" w:cs="Century Gothic" w:hint="default"/>
        <w:b/>
        <w:sz w:val="20"/>
      </w:rPr>
    </w:lvl>
    <w:lvl w:ilvl="2" w:tplc="65C469B0">
      <w:start w:val="1"/>
      <w:numFmt w:val="bullet"/>
      <w:lvlText w:val=""/>
      <w:lvlJc w:val="left"/>
      <w:pPr>
        <w:ind w:left="1077" w:hanging="283"/>
      </w:pPr>
      <w:rPr>
        <w:rFonts w:ascii="Wingdings" w:hAnsi="Wingdings" w:cs="Wingdings" w:hint="default"/>
        <w:sz w:val="20"/>
      </w:rPr>
    </w:lvl>
    <w:lvl w:ilvl="3" w:tplc="EE1C55A8">
      <w:numFmt w:val="decimal"/>
      <w:lvlText w:val=""/>
      <w:lvlJc w:val="left"/>
    </w:lvl>
    <w:lvl w:ilvl="4" w:tplc="5EAA1F3E">
      <w:numFmt w:val="decimal"/>
      <w:lvlText w:val=""/>
      <w:lvlJc w:val="left"/>
    </w:lvl>
    <w:lvl w:ilvl="5" w:tplc="E8989C2C">
      <w:numFmt w:val="decimal"/>
      <w:lvlText w:val=""/>
      <w:lvlJc w:val="left"/>
    </w:lvl>
    <w:lvl w:ilvl="6" w:tplc="C6BCB9C6">
      <w:numFmt w:val="decimal"/>
      <w:lvlText w:val=""/>
      <w:lvlJc w:val="left"/>
    </w:lvl>
    <w:lvl w:ilvl="7" w:tplc="63ECC6EC">
      <w:numFmt w:val="decimal"/>
      <w:lvlText w:val=""/>
      <w:lvlJc w:val="left"/>
    </w:lvl>
    <w:lvl w:ilvl="8" w:tplc="E2E4FB62">
      <w:numFmt w:val="decimal"/>
      <w:lvlText w:val=""/>
      <w:lvlJc w:val="left"/>
    </w:lvl>
  </w:abstractNum>
  <w:abstractNum w:abstractNumId="42" w15:restartNumberingAfterBreak="0">
    <w:nsid w:val="5DE72A3A"/>
    <w:multiLevelType w:val="hybridMultilevel"/>
    <w:tmpl w:val="3BAA5C18"/>
    <w:lvl w:ilvl="0" w:tplc="0EDC54D8">
      <w:start w:val="1"/>
      <w:numFmt w:val="lowerLetter"/>
      <w:lvlText w:val="%1."/>
      <w:lvlJc w:val="left"/>
      <w:pPr>
        <w:ind w:left="357" w:hanging="357"/>
      </w:pPr>
      <w:rPr>
        <w:rFonts w:ascii="Century Gothic" w:hAnsi="Century Gothic" w:cs="Century Gothic" w:hint="default"/>
        <w:b/>
        <w:sz w:val="20"/>
      </w:rPr>
    </w:lvl>
    <w:lvl w:ilvl="1" w:tplc="73E6B70C">
      <w:start w:val="1"/>
      <w:numFmt w:val="bullet"/>
      <w:lvlText w:val=""/>
      <w:lvlJc w:val="left"/>
      <w:pPr>
        <w:ind w:left="720" w:hanging="357"/>
      </w:pPr>
      <w:rPr>
        <w:rFonts w:ascii="Wingdings" w:hAnsi="Wingdings" w:cs="Wingdings" w:hint="default"/>
        <w:sz w:val="20"/>
      </w:rPr>
    </w:lvl>
    <w:lvl w:ilvl="2" w:tplc="B5C6ECE4">
      <w:start w:val="1"/>
      <w:numFmt w:val="bullet"/>
      <w:lvlText w:val="–"/>
      <w:lvlJc w:val="left"/>
      <w:pPr>
        <w:ind w:left="1077" w:hanging="283"/>
      </w:pPr>
      <w:rPr>
        <w:rFonts w:ascii="Century Gothic" w:hAnsi="Century Gothic" w:cs="Century Gothic" w:hint="default"/>
        <w:sz w:val="20"/>
      </w:rPr>
    </w:lvl>
    <w:lvl w:ilvl="3" w:tplc="7B108918">
      <w:numFmt w:val="decimal"/>
      <w:lvlText w:val=""/>
      <w:lvlJc w:val="left"/>
    </w:lvl>
    <w:lvl w:ilvl="4" w:tplc="C944EF46">
      <w:numFmt w:val="decimal"/>
      <w:lvlText w:val=""/>
      <w:lvlJc w:val="left"/>
    </w:lvl>
    <w:lvl w:ilvl="5" w:tplc="E624A8BE">
      <w:numFmt w:val="decimal"/>
      <w:lvlText w:val=""/>
      <w:lvlJc w:val="left"/>
    </w:lvl>
    <w:lvl w:ilvl="6" w:tplc="FB36CBBA">
      <w:numFmt w:val="decimal"/>
      <w:lvlText w:val=""/>
      <w:lvlJc w:val="left"/>
    </w:lvl>
    <w:lvl w:ilvl="7" w:tplc="375AD64A">
      <w:numFmt w:val="decimal"/>
      <w:lvlText w:val=""/>
      <w:lvlJc w:val="left"/>
    </w:lvl>
    <w:lvl w:ilvl="8" w:tplc="89F4B5C4">
      <w:numFmt w:val="decimal"/>
      <w:lvlText w:val=""/>
      <w:lvlJc w:val="left"/>
    </w:lvl>
  </w:abstractNum>
  <w:abstractNum w:abstractNumId="43" w15:restartNumberingAfterBreak="0">
    <w:nsid w:val="5E26259A"/>
    <w:multiLevelType w:val="hybridMultilevel"/>
    <w:tmpl w:val="633C5DE8"/>
    <w:lvl w:ilvl="0" w:tplc="E0300FC2">
      <w:start w:val="1"/>
      <w:numFmt w:val="lowerLetter"/>
      <w:lvlText w:val="%1."/>
      <w:lvlJc w:val="left"/>
      <w:pPr>
        <w:ind w:left="357" w:hanging="357"/>
      </w:pPr>
      <w:rPr>
        <w:rFonts w:ascii="Century Gothic" w:hAnsi="Century Gothic" w:cs="Century Gothic" w:hint="default"/>
        <w:b/>
        <w:sz w:val="20"/>
      </w:rPr>
    </w:lvl>
    <w:lvl w:ilvl="1" w:tplc="FE328192">
      <w:start w:val="1"/>
      <w:numFmt w:val="bullet"/>
      <w:lvlText w:val=""/>
      <w:lvlJc w:val="left"/>
      <w:pPr>
        <w:ind w:left="720" w:hanging="357"/>
      </w:pPr>
      <w:rPr>
        <w:rFonts w:ascii="Wingdings" w:hAnsi="Wingdings" w:cs="Wingdings" w:hint="default"/>
        <w:sz w:val="20"/>
      </w:rPr>
    </w:lvl>
    <w:lvl w:ilvl="2" w:tplc="5492D8F2">
      <w:start w:val="1"/>
      <w:numFmt w:val="bullet"/>
      <w:lvlText w:val="–"/>
      <w:lvlJc w:val="left"/>
      <w:pPr>
        <w:ind w:left="1077" w:hanging="283"/>
      </w:pPr>
      <w:rPr>
        <w:rFonts w:ascii="Century Gothic" w:hAnsi="Century Gothic" w:cs="Century Gothic" w:hint="default"/>
        <w:sz w:val="20"/>
      </w:rPr>
    </w:lvl>
    <w:lvl w:ilvl="3" w:tplc="52DAE1CC">
      <w:numFmt w:val="decimal"/>
      <w:lvlText w:val=""/>
      <w:lvlJc w:val="left"/>
    </w:lvl>
    <w:lvl w:ilvl="4" w:tplc="F2881038">
      <w:numFmt w:val="decimal"/>
      <w:lvlText w:val=""/>
      <w:lvlJc w:val="left"/>
    </w:lvl>
    <w:lvl w:ilvl="5" w:tplc="8B0CD7A0">
      <w:numFmt w:val="decimal"/>
      <w:lvlText w:val=""/>
      <w:lvlJc w:val="left"/>
    </w:lvl>
    <w:lvl w:ilvl="6" w:tplc="C5AA8C20">
      <w:numFmt w:val="decimal"/>
      <w:lvlText w:val=""/>
      <w:lvlJc w:val="left"/>
    </w:lvl>
    <w:lvl w:ilvl="7" w:tplc="46EE88A8">
      <w:numFmt w:val="decimal"/>
      <w:lvlText w:val=""/>
      <w:lvlJc w:val="left"/>
    </w:lvl>
    <w:lvl w:ilvl="8" w:tplc="38AEF952">
      <w:numFmt w:val="decimal"/>
      <w:lvlText w:val=""/>
      <w:lvlJc w:val="left"/>
    </w:lvl>
  </w:abstractNum>
  <w:abstractNum w:abstractNumId="44" w15:restartNumberingAfterBreak="0">
    <w:nsid w:val="60DD5583"/>
    <w:multiLevelType w:val="hybridMultilevel"/>
    <w:tmpl w:val="BABEB716"/>
    <w:lvl w:ilvl="0" w:tplc="46C6A076">
      <w:start w:val="1"/>
      <w:numFmt w:val="bullet"/>
      <w:lvlText w:val=""/>
      <w:lvlJc w:val="left"/>
      <w:pPr>
        <w:ind w:left="357" w:hanging="357"/>
      </w:pPr>
      <w:rPr>
        <w:rFonts w:ascii="Wingdings" w:hAnsi="Wingdings" w:cs="Wingdings" w:hint="default"/>
        <w:sz w:val="20"/>
      </w:rPr>
    </w:lvl>
    <w:lvl w:ilvl="1" w:tplc="646860A4">
      <w:start w:val="1"/>
      <w:numFmt w:val="bullet"/>
      <w:lvlText w:val="–"/>
      <w:lvlJc w:val="left"/>
      <w:pPr>
        <w:ind w:left="720" w:hanging="283"/>
      </w:pPr>
      <w:rPr>
        <w:rFonts w:ascii="Century Gothic" w:hAnsi="Century Gothic" w:cs="Century Gothic" w:hint="default"/>
        <w:sz w:val="20"/>
      </w:rPr>
    </w:lvl>
    <w:lvl w:ilvl="2" w:tplc="D1BEF722">
      <w:start w:val="1"/>
      <w:numFmt w:val="bullet"/>
      <w:lvlText w:val="·"/>
      <w:lvlJc w:val="left"/>
      <w:pPr>
        <w:ind w:left="1077" w:hanging="283"/>
      </w:pPr>
      <w:rPr>
        <w:rFonts w:ascii="Symbol" w:hAnsi="Symbol" w:cs="Symbol" w:hint="default"/>
        <w:sz w:val="20"/>
      </w:rPr>
    </w:lvl>
    <w:lvl w:ilvl="3" w:tplc="7F543030">
      <w:numFmt w:val="decimal"/>
      <w:lvlText w:val=""/>
      <w:lvlJc w:val="left"/>
    </w:lvl>
    <w:lvl w:ilvl="4" w:tplc="21D6987A">
      <w:numFmt w:val="decimal"/>
      <w:lvlText w:val=""/>
      <w:lvlJc w:val="left"/>
    </w:lvl>
    <w:lvl w:ilvl="5" w:tplc="E7983342">
      <w:numFmt w:val="decimal"/>
      <w:lvlText w:val=""/>
      <w:lvlJc w:val="left"/>
    </w:lvl>
    <w:lvl w:ilvl="6" w:tplc="BECE76CA">
      <w:numFmt w:val="decimal"/>
      <w:lvlText w:val=""/>
      <w:lvlJc w:val="left"/>
    </w:lvl>
    <w:lvl w:ilvl="7" w:tplc="8A265F88">
      <w:numFmt w:val="decimal"/>
      <w:lvlText w:val=""/>
      <w:lvlJc w:val="left"/>
    </w:lvl>
    <w:lvl w:ilvl="8" w:tplc="511E3CE8">
      <w:numFmt w:val="decimal"/>
      <w:lvlText w:val=""/>
      <w:lvlJc w:val="left"/>
    </w:lvl>
  </w:abstractNum>
  <w:abstractNum w:abstractNumId="45" w15:restartNumberingAfterBreak="0">
    <w:nsid w:val="63A73774"/>
    <w:multiLevelType w:val="hybridMultilevel"/>
    <w:tmpl w:val="4FBC640E"/>
    <w:lvl w:ilvl="0" w:tplc="25184F5E">
      <w:start w:val="1"/>
      <w:numFmt w:val="bullet"/>
      <w:lvlText w:val=""/>
      <w:lvlJc w:val="left"/>
      <w:pPr>
        <w:ind w:left="357" w:hanging="357"/>
      </w:pPr>
      <w:rPr>
        <w:rFonts w:ascii="Wingdings" w:hAnsi="Wingdings" w:cs="Wingdings" w:hint="default"/>
        <w:sz w:val="20"/>
      </w:rPr>
    </w:lvl>
    <w:lvl w:ilvl="1" w:tplc="2F6A5F4A">
      <w:start w:val="1"/>
      <w:numFmt w:val="bullet"/>
      <w:lvlText w:val="–"/>
      <w:lvlJc w:val="left"/>
      <w:pPr>
        <w:ind w:left="720" w:hanging="283"/>
      </w:pPr>
      <w:rPr>
        <w:rFonts w:ascii="Century Gothic" w:hAnsi="Century Gothic" w:cs="Century Gothic" w:hint="default"/>
        <w:sz w:val="20"/>
      </w:rPr>
    </w:lvl>
    <w:lvl w:ilvl="2" w:tplc="04DA8286">
      <w:start w:val="1"/>
      <w:numFmt w:val="bullet"/>
      <w:lvlText w:val="·"/>
      <w:lvlJc w:val="left"/>
      <w:pPr>
        <w:ind w:left="1077" w:hanging="283"/>
      </w:pPr>
      <w:rPr>
        <w:rFonts w:ascii="Symbol" w:hAnsi="Symbol" w:cs="Symbol" w:hint="default"/>
        <w:sz w:val="20"/>
      </w:rPr>
    </w:lvl>
    <w:lvl w:ilvl="3" w:tplc="ADD43620">
      <w:numFmt w:val="decimal"/>
      <w:lvlText w:val=""/>
      <w:lvlJc w:val="left"/>
    </w:lvl>
    <w:lvl w:ilvl="4" w:tplc="CF2C824A">
      <w:numFmt w:val="decimal"/>
      <w:lvlText w:val=""/>
      <w:lvlJc w:val="left"/>
    </w:lvl>
    <w:lvl w:ilvl="5" w:tplc="DC44D3FA">
      <w:numFmt w:val="decimal"/>
      <w:lvlText w:val=""/>
      <w:lvlJc w:val="left"/>
    </w:lvl>
    <w:lvl w:ilvl="6" w:tplc="967203D4">
      <w:numFmt w:val="decimal"/>
      <w:lvlText w:val=""/>
      <w:lvlJc w:val="left"/>
    </w:lvl>
    <w:lvl w:ilvl="7" w:tplc="2188D2CC">
      <w:numFmt w:val="decimal"/>
      <w:lvlText w:val=""/>
      <w:lvlJc w:val="left"/>
    </w:lvl>
    <w:lvl w:ilvl="8" w:tplc="77B02BE4">
      <w:numFmt w:val="decimal"/>
      <w:lvlText w:val=""/>
      <w:lvlJc w:val="left"/>
    </w:lvl>
  </w:abstractNum>
  <w:abstractNum w:abstractNumId="46" w15:restartNumberingAfterBreak="0">
    <w:nsid w:val="64153E58"/>
    <w:multiLevelType w:val="hybridMultilevel"/>
    <w:tmpl w:val="06D44D5C"/>
    <w:lvl w:ilvl="0" w:tplc="49B89AF0">
      <w:numFmt w:val="bullet"/>
      <w:lvlText w:val="-"/>
      <w:lvlJc w:val="left"/>
      <w:pPr>
        <w:ind w:left="720" w:hanging="360"/>
      </w:pPr>
      <w:rPr>
        <w:rFonts w:ascii="Century Gothic" w:eastAsia="Century Gothic" w:hAnsi="Century Gothic" w:cs="Century Gothic" w:hint="default"/>
      </w:rPr>
    </w:lvl>
    <w:lvl w:ilvl="1" w:tplc="84B4685A" w:tentative="1">
      <w:start w:val="1"/>
      <w:numFmt w:val="bullet"/>
      <w:lvlText w:val="o"/>
      <w:lvlJc w:val="left"/>
      <w:pPr>
        <w:ind w:left="1440" w:hanging="360"/>
      </w:pPr>
      <w:rPr>
        <w:rFonts w:ascii="Courier New" w:hAnsi="Courier New" w:cs="Courier New" w:hint="default"/>
      </w:rPr>
    </w:lvl>
    <w:lvl w:ilvl="2" w:tplc="B7ACDCE6" w:tentative="1">
      <w:start w:val="1"/>
      <w:numFmt w:val="bullet"/>
      <w:lvlText w:val=""/>
      <w:lvlJc w:val="left"/>
      <w:pPr>
        <w:ind w:left="2160" w:hanging="360"/>
      </w:pPr>
      <w:rPr>
        <w:rFonts w:ascii="Wingdings" w:hAnsi="Wingdings" w:hint="default"/>
      </w:rPr>
    </w:lvl>
    <w:lvl w:ilvl="3" w:tplc="E69EB866" w:tentative="1">
      <w:start w:val="1"/>
      <w:numFmt w:val="bullet"/>
      <w:lvlText w:val=""/>
      <w:lvlJc w:val="left"/>
      <w:pPr>
        <w:ind w:left="2880" w:hanging="360"/>
      </w:pPr>
      <w:rPr>
        <w:rFonts w:ascii="Symbol" w:hAnsi="Symbol" w:hint="default"/>
      </w:rPr>
    </w:lvl>
    <w:lvl w:ilvl="4" w:tplc="D2E63E62" w:tentative="1">
      <w:start w:val="1"/>
      <w:numFmt w:val="bullet"/>
      <w:lvlText w:val="o"/>
      <w:lvlJc w:val="left"/>
      <w:pPr>
        <w:ind w:left="3600" w:hanging="360"/>
      </w:pPr>
      <w:rPr>
        <w:rFonts w:ascii="Courier New" w:hAnsi="Courier New" w:cs="Courier New" w:hint="default"/>
      </w:rPr>
    </w:lvl>
    <w:lvl w:ilvl="5" w:tplc="B70838FC" w:tentative="1">
      <w:start w:val="1"/>
      <w:numFmt w:val="bullet"/>
      <w:lvlText w:val=""/>
      <w:lvlJc w:val="left"/>
      <w:pPr>
        <w:ind w:left="4320" w:hanging="360"/>
      </w:pPr>
      <w:rPr>
        <w:rFonts w:ascii="Wingdings" w:hAnsi="Wingdings" w:hint="default"/>
      </w:rPr>
    </w:lvl>
    <w:lvl w:ilvl="6" w:tplc="70ACDD98" w:tentative="1">
      <w:start w:val="1"/>
      <w:numFmt w:val="bullet"/>
      <w:lvlText w:val=""/>
      <w:lvlJc w:val="left"/>
      <w:pPr>
        <w:ind w:left="5040" w:hanging="360"/>
      </w:pPr>
      <w:rPr>
        <w:rFonts w:ascii="Symbol" w:hAnsi="Symbol" w:hint="default"/>
      </w:rPr>
    </w:lvl>
    <w:lvl w:ilvl="7" w:tplc="996649E2" w:tentative="1">
      <w:start w:val="1"/>
      <w:numFmt w:val="bullet"/>
      <w:lvlText w:val="o"/>
      <w:lvlJc w:val="left"/>
      <w:pPr>
        <w:ind w:left="5760" w:hanging="360"/>
      </w:pPr>
      <w:rPr>
        <w:rFonts w:ascii="Courier New" w:hAnsi="Courier New" w:cs="Courier New" w:hint="default"/>
      </w:rPr>
    </w:lvl>
    <w:lvl w:ilvl="8" w:tplc="B972CAC0" w:tentative="1">
      <w:start w:val="1"/>
      <w:numFmt w:val="bullet"/>
      <w:lvlText w:val=""/>
      <w:lvlJc w:val="left"/>
      <w:pPr>
        <w:ind w:left="6480" w:hanging="360"/>
      </w:pPr>
      <w:rPr>
        <w:rFonts w:ascii="Wingdings" w:hAnsi="Wingdings" w:hint="default"/>
      </w:rPr>
    </w:lvl>
  </w:abstractNum>
  <w:abstractNum w:abstractNumId="47" w15:restartNumberingAfterBreak="0">
    <w:nsid w:val="667A17CB"/>
    <w:multiLevelType w:val="hybridMultilevel"/>
    <w:tmpl w:val="13A4DAA8"/>
    <w:lvl w:ilvl="0" w:tplc="7C72C5EA">
      <w:start w:val="1"/>
      <w:numFmt w:val="bullet"/>
      <w:lvlText w:val=""/>
      <w:lvlJc w:val="left"/>
      <w:pPr>
        <w:ind w:left="357" w:hanging="357"/>
      </w:pPr>
      <w:rPr>
        <w:rFonts w:ascii="Wingdings" w:hAnsi="Wingdings" w:cs="Wingdings" w:hint="default"/>
        <w:sz w:val="20"/>
      </w:rPr>
    </w:lvl>
    <w:lvl w:ilvl="1" w:tplc="290614AE">
      <w:start w:val="1"/>
      <w:numFmt w:val="bullet"/>
      <w:lvlText w:val="–"/>
      <w:lvlJc w:val="left"/>
      <w:pPr>
        <w:ind w:left="720" w:hanging="283"/>
      </w:pPr>
      <w:rPr>
        <w:rFonts w:ascii="Century Gothic" w:hAnsi="Century Gothic" w:cs="Century Gothic" w:hint="default"/>
        <w:sz w:val="20"/>
      </w:rPr>
    </w:lvl>
    <w:lvl w:ilvl="2" w:tplc="9A32ED58">
      <w:start w:val="1"/>
      <w:numFmt w:val="bullet"/>
      <w:lvlText w:val="·"/>
      <w:lvlJc w:val="left"/>
      <w:pPr>
        <w:ind w:left="1077" w:hanging="283"/>
      </w:pPr>
      <w:rPr>
        <w:rFonts w:ascii="Symbol" w:hAnsi="Symbol" w:cs="Symbol" w:hint="default"/>
        <w:sz w:val="20"/>
      </w:rPr>
    </w:lvl>
    <w:lvl w:ilvl="3" w:tplc="0338DA76">
      <w:numFmt w:val="decimal"/>
      <w:lvlText w:val=""/>
      <w:lvlJc w:val="left"/>
    </w:lvl>
    <w:lvl w:ilvl="4" w:tplc="6BBC7970">
      <w:numFmt w:val="decimal"/>
      <w:lvlText w:val=""/>
      <w:lvlJc w:val="left"/>
    </w:lvl>
    <w:lvl w:ilvl="5" w:tplc="64CC430C">
      <w:numFmt w:val="decimal"/>
      <w:lvlText w:val=""/>
      <w:lvlJc w:val="left"/>
    </w:lvl>
    <w:lvl w:ilvl="6" w:tplc="9A0C4032">
      <w:numFmt w:val="decimal"/>
      <w:lvlText w:val=""/>
      <w:lvlJc w:val="left"/>
    </w:lvl>
    <w:lvl w:ilvl="7" w:tplc="19286ECA">
      <w:numFmt w:val="decimal"/>
      <w:lvlText w:val=""/>
      <w:lvlJc w:val="left"/>
    </w:lvl>
    <w:lvl w:ilvl="8" w:tplc="AB2E71E8">
      <w:numFmt w:val="decimal"/>
      <w:lvlText w:val=""/>
      <w:lvlJc w:val="left"/>
    </w:lvl>
  </w:abstractNum>
  <w:abstractNum w:abstractNumId="48" w15:restartNumberingAfterBreak="0">
    <w:nsid w:val="67C2520F"/>
    <w:multiLevelType w:val="hybridMultilevel"/>
    <w:tmpl w:val="97B227E6"/>
    <w:lvl w:ilvl="0" w:tplc="1DAA4572">
      <w:start w:val="1"/>
      <w:numFmt w:val="bullet"/>
      <w:lvlText w:val=""/>
      <w:lvlJc w:val="left"/>
      <w:pPr>
        <w:ind w:left="357" w:hanging="357"/>
      </w:pPr>
      <w:rPr>
        <w:rFonts w:ascii="Wingdings" w:hAnsi="Wingdings" w:cs="Wingdings" w:hint="default"/>
        <w:sz w:val="20"/>
      </w:rPr>
    </w:lvl>
    <w:lvl w:ilvl="1" w:tplc="A8507AC8">
      <w:start w:val="1"/>
      <w:numFmt w:val="bullet"/>
      <w:lvlText w:val="–"/>
      <w:lvlJc w:val="left"/>
      <w:pPr>
        <w:ind w:left="720" w:hanging="283"/>
      </w:pPr>
      <w:rPr>
        <w:rFonts w:ascii="Century Gothic" w:hAnsi="Century Gothic" w:cs="Century Gothic" w:hint="default"/>
        <w:sz w:val="20"/>
      </w:rPr>
    </w:lvl>
    <w:lvl w:ilvl="2" w:tplc="B67892CC">
      <w:start w:val="1"/>
      <w:numFmt w:val="bullet"/>
      <w:lvlText w:val="·"/>
      <w:lvlJc w:val="left"/>
      <w:pPr>
        <w:ind w:left="1077" w:hanging="283"/>
      </w:pPr>
      <w:rPr>
        <w:rFonts w:ascii="Symbol" w:hAnsi="Symbol" w:cs="Symbol" w:hint="default"/>
        <w:sz w:val="20"/>
      </w:rPr>
    </w:lvl>
    <w:lvl w:ilvl="3" w:tplc="0C8E116E">
      <w:numFmt w:val="decimal"/>
      <w:lvlText w:val=""/>
      <w:lvlJc w:val="left"/>
    </w:lvl>
    <w:lvl w:ilvl="4" w:tplc="F24E1994">
      <w:numFmt w:val="decimal"/>
      <w:lvlText w:val=""/>
      <w:lvlJc w:val="left"/>
    </w:lvl>
    <w:lvl w:ilvl="5" w:tplc="89700E60">
      <w:numFmt w:val="decimal"/>
      <w:lvlText w:val=""/>
      <w:lvlJc w:val="left"/>
    </w:lvl>
    <w:lvl w:ilvl="6" w:tplc="B690345A">
      <w:numFmt w:val="decimal"/>
      <w:lvlText w:val=""/>
      <w:lvlJc w:val="left"/>
    </w:lvl>
    <w:lvl w:ilvl="7" w:tplc="CD8030AA">
      <w:numFmt w:val="decimal"/>
      <w:lvlText w:val=""/>
      <w:lvlJc w:val="left"/>
    </w:lvl>
    <w:lvl w:ilvl="8" w:tplc="5F28E06C">
      <w:numFmt w:val="decimal"/>
      <w:lvlText w:val=""/>
      <w:lvlJc w:val="left"/>
    </w:lvl>
  </w:abstractNum>
  <w:abstractNum w:abstractNumId="49" w15:restartNumberingAfterBreak="0">
    <w:nsid w:val="6A756A9F"/>
    <w:multiLevelType w:val="hybridMultilevel"/>
    <w:tmpl w:val="6C16050C"/>
    <w:lvl w:ilvl="0" w:tplc="5A74962E">
      <w:start w:val="1"/>
      <w:numFmt w:val="bullet"/>
      <w:lvlText w:val=""/>
      <w:lvlJc w:val="left"/>
      <w:pPr>
        <w:ind w:left="357" w:hanging="357"/>
      </w:pPr>
      <w:rPr>
        <w:rFonts w:ascii="Wingdings" w:hAnsi="Wingdings" w:cs="Wingdings" w:hint="default"/>
        <w:sz w:val="20"/>
      </w:rPr>
    </w:lvl>
    <w:lvl w:ilvl="1" w:tplc="110C7154">
      <w:start w:val="1"/>
      <w:numFmt w:val="bullet"/>
      <w:lvlText w:val="–"/>
      <w:lvlJc w:val="left"/>
      <w:pPr>
        <w:ind w:left="720" w:hanging="283"/>
      </w:pPr>
      <w:rPr>
        <w:rFonts w:ascii="Century Gothic" w:hAnsi="Century Gothic" w:cs="Century Gothic" w:hint="default"/>
        <w:sz w:val="20"/>
      </w:rPr>
    </w:lvl>
    <w:lvl w:ilvl="2" w:tplc="1800252E">
      <w:start w:val="1"/>
      <w:numFmt w:val="bullet"/>
      <w:lvlText w:val="·"/>
      <w:lvlJc w:val="left"/>
      <w:pPr>
        <w:ind w:left="1077" w:hanging="283"/>
      </w:pPr>
      <w:rPr>
        <w:rFonts w:ascii="Symbol" w:hAnsi="Symbol" w:cs="Symbol" w:hint="default"/>
        <w:sz w:val="20"/>
      </w:rPr>
    </w:lvl>
    <w:lvl w:ilvl="3" w:tplc="C9460C04">
      <w:numFmt w:val="decimal"/>
      <w:lvlText w:val=""/>
      <w:lvlJc w:val="left"/>
    </w:lvl>
    <w:lvl w:ilvl="4" w:tplc="58063AC2">
      <w:numFmt w:val="decimal"/>
      <w:lvlText w:val=""/>
      <w:lvlJc w:val="left"/>
    </w:lvl>
    <w:lvl w:ilvl="5" w:tplc="77E0532A">
      <w:numFmt w:val="decimal"/>
      <w:lvlText w:val=""/>
      <w:lvlJc w:val="left"/>
    </w:lvl>
    <w:lvl w:ilvl="6" w:tplc="FA145972">
      <w:numFmt w:val="decimal"/>
      <w:lvlText w:val=""/>
      <w:lvlJc w:val="left"/>
    </w:lvl>
    <w:lvl w:ilvl="7" w:tplc="BBC85C88">
      <w:numFmt w:val="decimal"/>
      <w:lvlText w:val=""/>
      <w:lvlJc w:val="left"/>
    </w:lvl>
    <w:lvl w:ilvl="8" w:tplc="281AF380">
      <w:numFmt w:val="decimal"/>
      <w:lvlText w:val=""/>
      <w:lvlJc w:val="left"/>
    </w:lvl>
  </w:abstractNum>
  <w:abstractNum w:abstractNumId="50" w15:restartNumberingAfterBreak="0">
    <w:nsid w:val="6EBF6DF4"/>
    <w:multiLevelType w:val="hybridMultilevel"/>
    <w:tmpl w:val="05C4804E"/>
    <w:lvl w:ilvl="0" w:tplc="B71E983C">
      <w:start w:val="1"/>
      <w:numFmt w:val="decimal"/>
      <w:lvlText w:val="%1."/>
      <w:lvlJc w:val="left"/>
      <w:pPr>
        <w:ind w:left="1068" w:hanging="360"/>
      </w:pPr>
    </w:lvl>
    <w:lvl w:ilvl="1" w:tplc="C02AB37C">
      <w:start w:val="1"/>
      <w:numFmt w:val="decimal"/>
      <w:lvlText w:val="%2."/>
      <w:lvlJc w:val="left"/>
      <w:pPr>
        <w:ind w:left="1788" w:hanging="360"/>
      </w:pPr>
    </w:lvl>
    <w:lvl w:ilvl="2" w:tplc="2564AEFC" w:tentative="1">
      <w:start w:val="1"/>
      <w:numFmt w:val="lowerRoman"/>
      <w:lvlText w:val="%3."/>
      <w:lvlJc w:val="right"/>
      <w:pPr>
        <w:ind w:left="2508" w:hanging="180"/>
      </w:pPr>
    </w:lvl>
    <w:lvl w:ilvl="3" w:tplc="8F5E9C44" w:tentative="1">
      <w:start w:val="1"/>
      <w:numFmt w:val="decimal"/>
      <w:lvlText w:val="%4."/>
      <w:lvlJc w:val="left"/>
      <w:pPr>
        <w:ind w:left="3228" w:hanging="360"/>
      </w:pPr>
    </w:lvl>
    <w:lvl w:ilvl="4" w:tplc="4C665DAA" w:tentative="1">
      <w:start w:val="1"/>
      <w:numFmt w:val="lowerLetter"/>
      <w:lvlText w:val="%5."/>
      <w:lvlJc w:val="left"/>
      <w:pPr>
        <w:ind w:left="3948" w:hanging="360"/>
      </w:pPr>
    </w:lvl>
    <w:lvl w:ilvl="5" w:tplc="C20E417C" w:tentative="1">
      <w:start w:val="1"/>
      <w:numFmt w:val="lowerRoman"/>
      <w:lvlText w:val="%6."/>
      <w:lvlJc w:val="right"/>
      <w:pPr>
        <w:ind w:left="4668" w:hanging="180"/>
      </w:pPr>
    </w:lvl>
    <w:lvl w:ilvl="6" w:tplc="9C6EC29E" w:tentative="1">
      <w:start w:val="1"/>
      <w:numFmt w:val="decimal"/>
      <w:lvlText w:val="%7."/>
      <w:lvlJc w:val="left"/>
      <w:pPr>
        <w:ind w:left="5388" w:hanging="360"/>
      </w:pPr>
    </w:lvl>
    <w:lvl w:ilvl="7" w:tplc="C638F950" w:tentative="1">
      <w:start w:val="1"/>
      <w:numFmt w:val="lowerLetter"/>
      <w:lvlText w:val="%8."/>
      <w:lvlJc w:val="left"/>
      <w:pPr>
        <w:ind w:left="6108" w:hanging="360"/>
      </w:pPr>
    </w:lvl>
    <w:lvl w:ilvl="8" w:tplc="3E56EE60" w:tentative="1">
      <w:start w:val="1"/>
      <w:numFmt w:val="lowerRoman"/>
      <w:lvlText w:val="%9."/>
      <w:lvlJc w:val="right"/>
      <w:pPr>
        <w:ind w:left="6828" w:hanging="180"/>
      </w:pPr>
    </w:lvl>
  </w:abstractNum>
  <w:abstractNum w:abstractNumId="51" w15:restartNumberingAfterBreak="0">
    <w:nsid w:val="70D8640D"/>
    <w:multiLevelType w:val="hybridMultilevel"/>
    <w:tmpl w:val="29064F44"/>
    <w:lvl w:ilvl="0" w:tplc="38E65E1E">
      <w:start w:val="1"/>
      <w:numFmt w:val="bullet"/>
      <w:lvlText w:val=""/>
      <w:lvlJc w:val="left"/>
      <w:pPr>
        <w:ind w:left="357" w:hanging="357"/>
      </w:pPr>
      <w:rPr>
        <w:rFonts w:ascii="Wingdings" w:hAnsi="Wingdings" w:cs="Wingdings" w:hint="default"/>
        <w:sz w:val="20"/>
      </w:rPr>
    </w:lvl>
    <w:lvl w:ilvl="1" w:tplc="FA9002AA">
      <w:start w:val="1"/>
      <w:numFmt w:val="bullet"/>
      <w:lvlText w:val="–"/>
      <w:lvlJc w:val="left"/>
      <w:pPr>
        <w:ind w:left="720" w:hanging="283"/>
      </w:pPr>
      <w:rPr>
        <w:rFonts w:ascii="Century Gothic" w:hAnsi="Century Gothic" w:cs="Century Gothic" w:hint="default"/>
        <w:sz w:val="20"/>
      </w:rPr>
    </w:lvl>
    <w:lvl w:ilvl="2" w:tplc="803AACDE">
      <w:start w:val="1"/>
      <w:numFmt w:val="bullet"/>
      <w:lvlText w:val="·"/>
      <w:lvlJc w:val="left"/>
      <w:pPr>
        <w:ind w:left="1077" w:hanging="283"/>
      </w:pPr>
      <w:rPr>
        <w:rFonts w:ascii="Symbol" w:hAnsi="Symbol" w:cs="Symbol" w:hint="default"/>
        <w:sz w:val="20"/>
      </w:rPr>
    </w:lvl>
    <w:lvl w:ilvl="3" w:tplc="45089A06">
      <w:numFmt w:val="decimal"/>
      <w:lvlText w:val=""/>
      <w:lvlJc w:val="left"/>
    </w:lvl>
    <w:lvl w:ilvl="4" w:tplc="84C4DB48">
      <w:numFmt w:val="decimal"/>
      <w:lvlText w:val=""/>
      <w:lvlJc w:val="left"/>
    </w:lvl>
    <w:lvl w:ilvl="5" w:tplc="EB362D40">
      <w:numFmt w:val="decimal"/>
      <w:lvlText w:val=""/>
      <w:lvlJc w:val="left"/>
    </w:lvl>
    <w:lvl w:ilvl="6" w:tplc="43AC70A0">
      <w:numFmt w:val="decimal"/>
      <w:lvlText w:val=""/>
      <w:lvlJc w:val="left"/>
    </w:lvl>
    <w:lvl w:ilvl="7" w:tplc="43E4DC14">
      <w:numFmt w:val="decimal"/>
      <w:lvlText w:val=""/>
      <w:lvlJc w:val="left"/>
    </w:lvl>
    <w:lvl w:ilvl="8" w:tplc="702E1A2E">
      <w:numFmt w:val="decimal"/>
      <w:lvlText w:val=""/>
      <w:lvlJc w:val="left"/>
    </w:lvl>
  </w:abstractNum>
  <w:abstractNum w:abstractNumId="52" w15:restartNumberingAfterBreak="0">
    <w:nsid w:val="771827ED"/>
    <w:multiLevelType w:val="hybridMultilevel"/>
    <w:tmpl w:val="F0301354"/>
    <w:lvl w:ilvl="0" w:tplc="FE9ADDC4">
      <w:start w:val="1"/>
      <w:numFmt w:val="lowerLetter"/>
      <w:lvlText w:val="%1."/>
      <w:lvlJc w:val="left"/>
      <w:pPr>
        <w:ind w:left="360" w:hanging="360"/>
      </w:pPr>
      <w:rPr>
        <w:rFonts w:hint="default"/>
        <w:b/>
        <w:bCs/>
      </w:rPr>
    </w:lvl>
    <w:lvl w:ilvl="1" w:tplc="4DA654FC" w:tentative="1">
      <w:start w:val="1"/>
      <w:numFmt w:val="lowerLetter"/>
      <w:lvlText w:val="%2."/>
      <w:lvlJc w:val="left"/>
      <w:pPr>
        <w:ind w:left="1080" w:hanging="360"/>
      </w:pPr>
    </w:lvl>
    <w:lvl w:ilvl="2" w:tplc="B07CF50E" w:tentative="1">
      <w:start w:val="1"/>
      <w:numFmt w:val="lowerRoman"/>
      <w:lvlText w:val="%3."/>
      <w:lvlJc w:val="right"/>
      <w:pPr>
        <w:ind w:left="1800" w:hanging="180"/>
      </w:pPr>
    </w:lvl>
    <w:lvl w:ilvl="3" w:tplc="E0B0456E" w:tentative="1">
      <w:start w:val="1"/>
      <w:numFmt w:val="decimal"/>
      <w:lvlText w:val="%4."/>
      <w:lvlJc w:val="left"/>
      <w:pPr>
        <w:ind w:left="2520" w:hanging="360"/>
      </w:pPr>
    </w:lvl>
    <w:lvl w:ilvl="4" w:tplc="1E8C3C9C" w:tentative="1">
      <w:start w:val="1"/>
      <w:numFmt w:val="lowerLetter"/>
      <w:lvlText w:val="%5."/>
      <w:lvlJc w:val="left"/>
      <w:pPr>
        <w:ind w:left="3240" w:hanging="360"/>
      </w:pPr>
    </w:lvl>
    <w:lvl w:ilvl="5" w:tplc="7E726198" w:tentative="1">
      <w:start w:val="1"/>
      <w:numFmt w:val="lowerRoman"/>
      <w:lvlText w:val="%6."/>
      <w:lvlJc w:val="right"/>
      <w:pPr>
        <w:ind w:left="3960" w:hanging="180"/>
      </w:pPr>
    </w:lvl>
    <w:lvl w:ilvl="6" w:tplc="8DA2E8B6" w:tentative="1">
      <w:start w:val="1"/>
      <w:numFmt w:val="decimal"/>
      <w:lvlText w:val="%7."/>
      <w:lvlJc w:val="left"/>
      <w:pPr>
        <w:ind w:left="4680" w:hanging="360"/>
      </w:pPr>
    </w:lvl>
    <w:lvl w:ilvl="7" w:tplc="0DA24C90" w:tentative="1">
      <w:start w:val="1"/>
      <w:numFmt w:val="lowerLetter"/>
      <w:lvlText w:val="%8."/>
      <w:lvlJc w:val="left"/>
      <w:pPr>
        <w:ind w:left="5400" w:hanging="360"/>
      </w:pPr>
    </w:lvl>
    <w:lvl w:ilvl="8" w:tplc="C0AAD3C0" w:tentative="1">
      <w:start w:val="1"/>
      <w:numFmt w:val="lowerRoman"/>
      <w:lvlText w:val="%9."/>
      <w:lvlJc w:val="right"/>
      <w:pPr>
        <w:ind w:left="6120" w:hanging="180"/>
      </w:pPr>
    </w:lvl>
  </w:abstractNum>
  <w:abstractNum w:abstractNumId="53" w15:restartNumberingAfterBreak="0">
    <w:nsid w:val="7B8A412F"/>
    <w:multiLevelType w:val="hybridMultilevel"/>
    <w:tmpl w:val="F7041088"/>
    <w:lvl w:ilvl="0" w:tplc="74704AA6">
      <w:start w:val="1"/>
      <w:numFmt w:val="bullet"/>
      <w:lvlText w:val=""/>
      <w:lvlJc w:val="left"/>
      <w:pPr>
        <w:ind w:left="720" w:hanging="360"/>
      </w:pPr>
      <w:rPr>
        <w:rFonts w:ascii="Symbol" w:hAnsi="Symbol" w:hint="default"/>
      </w:rPr>
    </w:lvl>
    <w:lvl w:ilvl="1" w:tplc="5AB65E08">
      <w:start w:val="1"/>
      <w:numFmt w:val="bullet"/>
      <w:lvlText w:val="o"/>
      <w:lvlJc w:val="left"/>
      <w:pPr>
        <w:ind w:left="1440" w:hanging="360"/>
      </w:pPr>
      <w:rPr>
        <w:rFonts w:ascii="Courier New" w:hAnsi="Courier New" w:cs="Courier New" w:hint="default"/>
      </w:rPr>
    </w:lvl>
    <w:lvl w:ilvl="2" w:tplc="EC121230">
      <w:start w:val="1"/>
      <w:numFmt w:val="bullet"/>
      <w:lvlText w:val=""/>
      <w:lvlJc w:val="left"/>
      <w:pPr>
        <w:ind w:left="2160" w:hanging="360"/>
      </w:pPr>
      <w:rPr>
        <w:rFonts w:ascii="Symbol" w:hAnsi="Symbol" w:hint="default"/>
      </w:rPr>
    </w:lvl>
    <w:lvl w:ilvl="3" w:tplc="2892AFEC" w:tentative="1">
      <w:start w:val="1"/>
      <w:numFmt w:val="bullet"/>
      <w:lvlText w:val=""/>
      <w:lvlJc w:val="left"/>
      <w:pPr>
        <w:ind w:left="2880" w:hanging="360"/>
      </w:pPr>
      <w:rPr>
        <w:rFonts w:ascii="Symbol" w:hAnsi="Symbol" w:hint="default"/>
      </w:rPr>
    </w:lvl>
    <w:lvl w:ilvl="4" w:tplc="9F9A7352" w:tentative="1">
      <w:start w:val="1"/>
      <w:numFmt w:val="bullet"/>
      <w:lvlText w:val="o"/>
      <w:lvlJc w:val="left"/>
      <w:pPr>
        <w:ind w:left="3600" w:hanging="360"/>
      </w:pPr>
      <w:rPr>
        <w:rFonts w:ascii="Courier New" w:hAnsi="Courier New" w:cs="Courier New" w:hint="default"/>
      </w:rPr>
    </w:lvl>
    <w:lvl w:ilvl="5" w:tplc="8A22A7B8" w:tentative="1">
      <w:start w:val="1"/>
      <w:numFmt w:val="bullet"/>
      <w:lvlText w:val=""/>
      <w:lvlJc w:val="left"/>
      <w:pPr>
        <w:ind w:left="4320" w:hanging="360"/>
      </w:pPr>
      <w:rPr>
        <w:rFonts w:ascii="Wingdings" w:hAnsi="Wingdings" w:hint="default"/>
      </w:rPr>
    </w:lvl>
    <w:lvl w:ilvl="6" w:tplc="E550EA28" w:tentative="1">
      <w:start w:val="1"/>
      <w:numFmt w:val="bullet"/>
      <w:lvlText w:val=""/>
      <w:lvlJc w:val="left"/>
      <w:pPr>
        <w:ind w:left="5040" w:hanging="360"/>
      </w:pPr>
      <w:rPr>
        <w:rFonts w:ascii="Symbol" w:hAnsi="Symbol" w:hint="default"/>
      </w:rPr>
    </w:lvl>
    <w:lvl w:ilvl="7" w:tplc="9132B9E8" w:tentative="1">
      <w:start w:val="1"/>
      <w:numFmt w:val="bullet"/>
      <w:lvlText w:val="o"/>
      <w:lvlJc w:val="left"/>
      <w:pPr>
        <w:ind w:left="5760" w:hanging="360"/>
      </w:pPr>
      <w:rPr>
        <w:rFonts w:ascii="Courier New" w:hAnsi="Courier New" w:cs="Courier New" w:hint="default"/>
      </w:rPr>
    </w:lvl>
    <w:lvl w:ilvl="8" w:tplc="72FE1F8A" w:tentative="1">
      <w:start w:val="1"/>
      <w:numFmt w:val="bullet"/>
      <w:lvlText w:val=""/>
      <w:lvlJc w:val="left"/>
      <w:pPr>
        <w:ind w:left="6480" w:hanging="360"/>
      </w:pPr>
      <w:rPr>
        <w:rFonts w:ascii="Wingdings" w:hAnsi="Wingdings" w:hint="default"/>
      </w:rPr>
    </w:lvl>
  </w:abstractNum>
  <w:abstractNum w:abstractNumId="54" w15:restartNumberingAfterBreak="0">
    <w:nsid w:val="7BE42571"/>
    <w:multiLevelType w:val="hybridMultilevel"/>
    <w:tmpl w:val="4FBC640E"/>
    <w:lvl w:ilvl="0" w:tplc="2FF66A54">
      <w:start w:val="1"/>
      <w:numFmt w:val="bullet"/>
      <w:lvlText w:val=""/>
      <w:lvlJc w:val="left"/>
      <w:pPr>
        <w:ind w:left="357" w:hanging="357"/>
      </w:pPr>
      <w:rPr>
        <w:rFonts w:ascii="Wingdings" w:hAnsi="Wingdings" w:cs="Wingdings" w:hint="default"/>
        <w:sz w:val="20"/>
      </w:rPr>
    </w:lvl>
    <w:lvl w:ilvl="1" w:tplc="6F20BF10">
      <w:start w:val="1"/>
      <w:numFmt w:val="bullet"/>
      <w:lvlText w:val="–"/>
      <w:lvlJc w:val="left"/>
      <w:pPr>
        <w:ind w:left="720" w:hanging="283"/>
      </w:pPr>
      <w:rPr>
        <w:rFonts w:ascii="Century Gothic" w:hAnsi="Century Gothic" w:cs="Century Gothic" w:hint="default"/>
        <w:sz w:val="20"/>
      </w:rPr>
    </w:lvl>
    <w:lvl w:ilvl="2" w:tplc="70641EDE">
      <w:start w:val="1"/>
      <w:numFmt w:val="bullet"/>
      <w:lvlText w:val="·"/>
      <w:lvlJc w:val="left"/>
      <w:pPr>
        <w:ind w:left="1077" w:hanging="283"/>
      </w:pPr>
      <w:rPr>
        <w:rFonts w:ascii="Symbol" w:hAnsi="Symbol" w:cs="Symbol" w:hint="default"/>
        <w:sz w:val="20"/>
      </w:rPr>
    </w:lvl>
    <w:lvl w:ilvl="3" w:tplc="B102437C">
      <w:numFmt w:val="decimal"/>
      <w:lvlText w:val=""/>
      <w:lvlJc w:val="left"/>
    </w:lvl>
    <w:lvl w:ilvl="4" w:tplc="47725ABA">
      <w:numFmt w:val="decimal"/>
      <w:lvlText w:val=""/>
      <w:lvlJc w:val="left"/>
    </w:lvl>
    <w:lvl w:ilvl="5" w:tplc="F1FE461E">
      <w:numFmt w:val="decimal"/>
      <w:lvlText w:val=""/>
      <w:lvlJc w:val="left"/>
    </w:lvl>
    <w:lvl w:ilvl="6" w:tplc="44C21C12">
      <w:numFmt w:val="decimal"/>
      <w:lvlText w:val=""/>
      <w:lvlJc w:val="left"/>
    </w:lvl>
    <w:lvl w:ilvl="7" w:tplc="44DE4EA6">
      <w:numFmt w:val="decimal"/>
      <w:lvlText w:val=""/>
      <w:lvlJc w:val="left"/>
    </w:lvl>
    <w:lvl w:ilvl="8" w:tplc="ABC8A018">
      <w:numFmt w:val="decimal"/>
      <w:lvlText w:val=""/>
      <w:lvlJc w:val="left"/>
    </w:lvl>
  </w:abstractNum>
  <w:abstractNum w:abstractNumId="55" w15:restartNumberingAfterBreak="0">
    <w:nsid w:val="7FE002D3"/>
    <w:multiLevelType w:val="hybridMultilevel"/>
    <w:tmpl w:val="012A226E"/>
    <w:lvl w:ilvl="0" w:tplc="01E40604">
      <w:start w:val="1"/>
      <w:numFmt w:val="bullet"/>
      <w:lvlText w:val=""/>
      <w:lvlJc w:val="left"/>
      <w:pPr>
        <w:ind w:left="357" w:hanging="357"/>
      </w:pPr>
      <w:rPr>
        <w:rFonts w:ascii="Wingdings" w:hAnsi="Wingdings" w:cs="Wingdings" w:hint="default"/>
        <w:sz w:val="20"/>
      </w:rPr>
    </w:lvl>
    <w:lvl w:ilvl="1" w:tplc="4166487C">
      <w:start w:val="1"/>
      <w:numFmt w:val="bullet"/>
      <w:lvlText w:val="–"/>
      <w:lvlJc w:val="left"/>
      <w:pPr>
        <w:ind w:left="720" w:hanging="283"/>
      </w:pPr>
      <w:rPr>
        <w:rFonts w:ascii="Century Gothic" w:hAnsi="Century Gothic" w:cs="Century Gothic" w:hint="default"/>
        <w:sz w:val="20"/>
      </w:rPr>
    </w:lvl>
    <w:lvl w:ilvl="2" w:tplc="3F448926">
      <w:start w:val="1"/>
      <w:numFmt w:val="bullet"/>
      <w:lvlText w:val="·"/>
      <w:lvlJc w:val="left"/>
      <w:pPr>
        <w:ind w:left="1077" w:hanging="283"/>
      </w:pPr>
      <w:rPr>
        <w:rFonts w:ascii="Symbol" w:hAnsi="Symbol" w:cs="Symbol" w:hint="default"/>
        <w:sz w:val="20"/>
      </w:rPr>
    </w:lvl>
    <w:lvl w:ilvl="3" w:tplc="F042A376">
      <w:numFmt w:val="decimal"/>
      <w:lvlText w:val=""/>
      <w:lvlJc w:val="left"/>
    </w:lvl>
    <w:lvl w:ilvl="4" w:tplc="710E92CC">
      <w:numFmt w:val="decimal"/>
      <w:lvlText w:val=""/>
      <w:lvlJc w:val="left"/>
    </w:lvl>
    <w:lvl w:ilvl="5" w:tplc="4A9A6B20">
      <w:numFmt w:val="decimal"/>
      <w:lvlText w:val=""/>
      <w:lvlJc w:val="left"/>
    </w:lvl>
    <w:lvl w:ilvl="6" w:tplc="48C06D9E">
      <w:numFmt w:val="decimal"/>
      <w:lvlText w:val=""/>
      <w:lvlJc w:val="left"/>
    </w:lvl>
    <w:lvl w:ilvl="7" w:tplc="BBD8F3F6">
      <w:numFmt w:val="decimal"/>
      <w:lvlText w:val=""/>
      <w:lvlJc w:val="left"/>
    </w:lvl>
    <w:lvl w:ilvl="8" w:tplc="A476AB30">
      <w:numFmt w:val="decimal"/>
      <w:lvlText w:val=""/>
      <w:lvlJc w:val="left"/>
    </w:lvl>
  </w:abstractNum>
  <w:num w:numId="1" w16cid:durableId="125003067">
    <w:abstractNumId w:val="5"/>
  </w:num>
  <w:num w:numId="2" w16cid:durableId="1481850150">
    <w:abstractNumId w:val="3"/>
  </w:num>
  <w:num w:numId="3" w16cid:durableId="2003242133">
    <w:abstractNumId w:val="2"/>
  </w:num>
  <w:num w:numId="4" w16cid:durableId="35089337">
    <w:abstractNumId w:val="4"/>
  </w:num>
  <w:num w:numId="5" w16cid:durableId="1960068828">
    <w:abstractNumId w:val="1"/>
  </w:num>
  <w:num w:numId="6" w16cid:durableId="2146968989">
    <w:abstractNumId w:val="0"/>
  </w:num>
  <w:num w:numId="7" w16cid:durableId="290020489">
    <w:abstractNumId w:val="47"/>
    <w:lvlOverride w:ilvl="0">
      <w:startOverride w:val="1"/>
    </w:lvlOverride>
  </w:num>
  <w:num w:numId="8" w16cid:durableId="1148933184">
    <w:abstractNumId w:val="47"/>
    <w:lvlOverride w:ilvl="0">
      <w:startOverride w:val="1"/>
    </w:lvlOverride>
  </w:num>
  <w:num w:numId="9" w16cid:durableId="1413358612">
    <w:abstractNumId w:val="12"/>
    <w:lvlOverride w:ilvl="0">
      <w:startOverride w:val="1"/>
    </w:lvlOverride>
  </w:num>
  <w:num w:numId="10" w16cid:durableId="1154033164">
    <w:abstractNumId w:val="31"/>
    <w:lvlOverride w:ilvl="0">
      <w:startOverride w:val="1"/>
    </w:lvlOverride>
  </w:num>
  <w:num w:numId="11" w16cid:durableId="612370618">
    <w:abstractNumId w:val="12"/>
    <w:lvlOverride w:ilvl="0">
      <w:startOverride w:val="1"/>
    </w:lvlOverride>
  </w:num>
  <w:num w:numId="12" w16cid:durableId="568228772">
    <w:abstractNumId w:val="12"/>
    <w:lvlOverride w:ilvl="0">
      <w:startOverride w:val="1"/>
    </w:lvlOverride>
  </w:num>
  <w:num w:numId="13" w16cid:durableId="580800104">
    <w:abstractNumId w:val="12"/>
    <w:lvlOverride w:ilvl="0">
      <w:startOverride w:val="1"/>
    </w:lvlOverride>
  </w:num>
  <w:num w:numId="14" w16cid:durableId="1811824062">
    <w:abstractNumId w:val="12"/>
    <w:lvlOverride w:ilvl="0">
      <w:startOverride w:val="1"/>
    </w:lvlOverride>
  </w:num>
  <w:num w:numId="15" w16cid:durableId="262151589">
    <w:abstractNumId w:val="30"/>
    <w:lvlOverride w:ilvl="0">
      <w:startOverride w:val="1"/>
    </w:lvlOverride>
  </w:num>
  <w:num w:numId="16" w16cid:durableId="245039778">
    <w:abstractNumId w:val="16"/>
    <w:lvlOverride w:ilvl="0">
      <w:startOverride w:val="1"/>
    </w:lvlOverride>
  </w:num>
  <w:num w:numId="17" w16cid:durableId="509636786">
    <w:abstractNumId w:val="16"/>
    <w:lvlOverride w:ilvl="0">
      <w:startOverride w:val="1"/>
    </w:lvlOverride>
  </w:num>
  <w:num w:numId="18" w16cid:durableId="950361196">
    <w:abstractNumId w:val="25"/>
  </w:num>
  <w:num w:numId="19" w16cid:durableId="1586303148">
    <w:abstractNumId w:val="29"/>
    <w:lvlOverride w:ilvl="0">
      <w:startOverride w:val="1"/>
    </w:lvlOverride>
  </w:num>
  <w:num w:numId="20" w16cid:durableId="1664551287">
    <w:abstractNumId w:val="29"/>
    <w:lvlOverride w:ilvl="0">
      <w:startOverride w:val="1"/>
    </w:lvlOverride>
  </w:num>
  <w:num w:numId="21" w16cid:durableId="2049915486">
    <w:abstractNumId w:val="28"/>
    <w:lvlOverride w:ilvl="0">
      <w:startOverride w:val="1"/>
    </w:lvlOverride>
  </w:num>
  <w:num w:numId="22" w16cid:durableId="1684087502">
    <w:abstractNumId w:val="20"/>
    <w:lvlOverride w:ilvl="0">
      <w:startOverride w:val="1"/>
    </w:lvlOverride>
  </w:num>
  <w:num w:numId="23" w16cid:durableId="1154370193">
    <w:abstractNumId w:val="20"/>
    <w:lvlOverride w:ilvl="0">
      <w:startOverride w:val="1"/>
    </w:lvlOverride>
  </w:num>
  <w:num w:numId="24" w16cid:durableId="1923875104">
    <w:abstractNumId w:val="20"/>
    <w:lvlOverride w:ilvl="0">
      <w:startOverride w:val="1"/>
    </w:lvlOverride>
  </w:num>
  <w:num w:numId="25" w16cid:durableId="1144657200">
    <w:abstractNumId w:val="20"/>
    <w:lvlOverride w:ilvl="0">
      <w:startOverride w:val="1"/>
    </w:lvlOverride>
  </w:num>
  <w:num w:numId="26" w16cid:durableId="223950172">
    <w:abstractNumId w:val="20"/>
    <w:lvlOverride w:ilvl="0">
      <w:startOverride w:val="1"/>
    </w:lvlOverride>
  </w:num>
  <w:num w:numId="27" w16cid:durableId="659042639">
    <w:abstractNumId w:val="20"/>
    <w:lvlOverride w:ilvl="0">
      <w:startOverride w:val="1"/>
    </w:lvlOverride>
  </w:num>
  <w:num w:numId="28" w16cid:durableId="1607040683">
    <w:abstractNumId w:val="28"/>
    <w:lvlOverride w:ilvl="0">
      <w:startOverride w:val="1"/>
    </w:lvlOverride>
  </w:num>
  <w:num w:numId="29" w16cid:durableId="1008213029">
    <w:abstractNumId w:val="28"/>
    <w:lvlOverride w:ilvl="0">
      <w:startOverride w:val="1"/>
    </w:lvlOverride>
  </w:num>
  <w:num w:numId="30" w16cid:durableId="1260870636">
    <w:abstractNumId w:val="28"/>
    <w:lvlOverride w:ilvl="0">
      <w:startOverride w:val="1"/>
    </w:lvlOverride>
  </w:num>
  <w:num w:numId="31" w16cid:durableId="1474643098">
    <w:abstractNumId w:val="20"/>
    <w:lvlOverride w:ilvl="0">
      <w:startOverride w:val="1"/>
    </w:lvlOverride>
  </w:num>
  <w:num w:numId="32" w16cid:durableId="540484392">
    <w:abstractNumId w:val="28"/>
    <w:lvlOverride w:ilvl="0">
      <w:startOverride w:val="1"/>
    </w:lvlOverride>
  </w:num>
  <w:num w:numId="33" w16cid:durableId="2094468931">
    <w:abstractNumId w:val="28"/>
    <w:lvlOverride w:ilvl="0">
      <w:startOverride w:val="1"/>
    </w:lvlOverride>
  </w:num>
  <w:num w:numId="34" w16cid:durableId="224219221">
    <w:abstractNumId w:val="28"/>
    <w:lvlOverride w:ilvl="0">
      <w:startOverride w:val="1"/>
    </w:lvlOverride>
  </w:num>
  <w:num w:numId="35" w16cid:durableId="882640702">
    <w:abstractNumId w:val="39"/>
    <w:lvlOverride w:ilvl="0">
      <w:startOverride w:val="1"/>
    </w:lvlOverride>
  </w:num>
  <w:num w:numId="36" w16cid:durableId="1123157724">
    <w:abstractNumId w:val="44"/>
    <w:lvlOverride w:ilvl="0">
      <w:startOverride w:val="1"/>
    </w:lvlOverride>
  </w:num>
  <w:num w:numId="37" w16cid:durableId="2070297511">
    <w:abstractNumId w:val="39"/>
    <w:lvlOverride w:ilvl="0">
      <w:startOverride w:val="1"/>
    </w:lvlOverride>
  </w:num>
  <w:num w:numId="38" w16cid:durableId="694772155">
    <w:abstractNumId w:val="44"/>
    <w:lvlOverride w:ilvl="0">
      <w:startOverride w:val="1"/>
    </w:lvlOverride>
  </w:num>
  <w:num w:numId="39" w16cid:durableId="2092189354">
    <w:abstractNumId w:val="44"/>
    <w:lvlOverride w:ilvl="0">
      <w:startOverride w:val="1"/>
    </w:lvlOverride>
  </w:num>
  <w:num w:numId="40" w16cid:durableId="1762214333">
    <w:abstractNumId w:val="15"/>
    <w:lvlOverride w:ilvl="0">
      <w:startOverride w:val="1"/>
    </w:lvlOverride>
  </w:num>
  <w:num w:numId="41" w16cid:durableId="1156337223">
    <w:abstractNumId w:val="11"/>
    <w:lvlOverride w:ilvl="0">
      <w:startOverride w:val="1"/>
    </w:lvlOverride>
  </w:num>
  <w:num w:numId="42" w16cid:durableId="1170290263">
    <w:abstractNumId w:val="11"/>
    <w:lvlOverride w:ilvl="0">
      <w:startOverride w:val="1"/>
    </w:lvlOverride>
  </w:num>
  <w:num w:numId="43" w16cid:durableId="305822855">
    <w:abstractNumId w:val="33"/>
    <w:lvlOverride w:ilvl="0">
      <w:startOverride w:val="1"/>
    </w:lvlOverride>
  </w:num>
  <w:num w:numId="44" w16cid:durableId="418451556">
    <w:abstractNumId w:val="33"/>
    <w:lvlOverride w:ilvl="0">
      <w:startOverride w:val="1"/>
    </w:lvlOverride>
  </w:num>
  <w:num w:numId="45" w16cid:durableId="1715080971">
    <w:abstractNumId w:val="9"/>
    <w:lvlOverride w:ilvl="0">
      <w:startOverride w:val="1"/>
    </w:lvlOverride>
  </w:num>
  <w:num w:numId="46" w16cid:durableId="1543177774">
    <w:abstractNumId w:val="9"/>
    <w:lvlOverride w:ilvl="0">
      <w:startOverride w:val="1"/>
    </w:lvlOverride>
  </w:num>
  <w:num w:numId="47" w16cid:durableId="176312317">
    <w:abstractNumId w:val="17"/>
    <w:lvlOverride w:ilvl="0">
      <w:startOverride w:val="1"/>
    </w:lvlOverride>
  </w:num>
  <w:num w:numId="48" w16cid:durableId="2061392430">
    <w:abstractNumId w:val="17"/>
    <w:lvlOverride w:ilvl="0">
      <w:startOverride w:val="1"/>
    </w:lvlOverride>
  </w:num>
  <w:num w:numId="49" w16cid:durableId="1293096632">
    <w:abstractNumId w:val="54"/>
    <w:lvlOverride w:ilvl="0">
      <w:startOverride w:val="1"/>
    </w:lvlOverride>
  </w:num>
  <w:num w:numId="50" w16cid:durableId="1376196256">
    <w:abstractNumId w:val="54"/>
    <w:lvlOverride w:ilvl="0">
      <w:startOverride w:val="1"/>
    </w:lvlOverride>
  </w:num>
  <w:num w:numId="51" w16cid:durableId="1567371419">
    <w:abstractNumId w:val="54"/>
    <w:lvlOverride w:ilvl="0">
      <w:startOverride w:val="1"/>
    </w:lvlOverride>
  </w:num>
  <w:num w:numId="52" w16cid:durableId="472257016">
    <w:abstractNumId w:val="54"/>
    <w:lvlOverride w:ilvl="0">
      <w:startOverride w:val="1"/>
    </w:lvlOverride>
  </w:num>
  <w:num w:numId="53" w16cid:durableId="1515994325">
    <w:abstractNumId w:val="54"/>
    <w:lvlOverride w:ilvl="0">
      <w:startOverride w:val="1"/>
    </w:lvlOverride>
  </w:num>
  <w:num w:numId="54" w16cid:durableId="92287193">
    <w:abstractNumId w:val="52"/>
  </w:num>
  <w:num w:numId="55" w16cid:durableId="1530683712">
    <w:abstractNumId w:val="27"/>
  </w:num>
  <w:num w:numId="56" w16cid:durableId="276955645">
    <w:abstractNumId w:val="53"/>
  </w:num>
  <w:num w:numId="57" w16cid:durableId="1981109388">
    <w:abstractNumId w:val="34"/>
  </w:num>
  <w:num w:numId="58" w16cid:durableId="1460950858">
    <w:abstractNumId w:val="50"/>
  </w:num>
  <w:num w:numId="59" w16cid:durableId="1756434433">
    <w:abstractNumId w:val="7"/>
  </w:num>
  <w:num w:numId="60" w16cid:durableId="743337939">
    <w:abstractNumId w:val="40"/>
  </w:num>
  <w:num w:numId="61" w16cid:durableId="1135442135">
    <w:abstractNumId w:val="38"/>
  </w:num>
  <w:num w:numId="62" w16cid:durableId="651911693">
    <w:abstractNumId w:val="35"/>
    <w:lvlOverride w:ilvl="0">
      <w:startOverride w:val="1"/>
    </w:lvlOverride>
  </w:num>
  <w:num w:numId="63" w16cid:durableId="940529313">
    <w:abstractNumId w:val="35"/>
    <w:lvlOverride w:ilvl="0">
      <w:startOverride w:val="1"/>
    </w:lvlOverride>
  </w:num>
  <w:num w:numId="64" w16cid:durableId="1501776824">
    <w:abstractNumId w:val="42"/>
    <w:lvlOverride w:ilvl="0">
      <w:startOverride w:val="1"/>
    </w:lvlOverride>
  </w:num>
  <w:num w:numId="65" w16cid:durableId="1063718702">
    <w:abstractNumId w:val="35"/>
    <w:lvlOverride w:ilvl="0">
      <w:startOverride w:val="1"/>
    </w:lvlOverride>
  </w:num>
  <w:num w:numId="66" w16cid:durableId="1362507819">
    <w:abstractNumId w:val="35"/>
    <w:lvlOverride w:ilvl="0">
      <w:startOverride w:val="1"/>
    </w:lvlOverride>
  </w:num>
  <w:num w:numId="67" w16cid:durableId="1237086088">
    <w:abstractNumId w:val="36"/>
    <w:lvlOverride w:ilvl="0">
      <w:startOverride w:val="1"/>
    </w:lvlOverride>
  </w:num>
  <w:num w:numId="68" w16cid:durableId="1513450129">
    <w:abstractNumId w:val="36"/>
    <w:lvlOverride w:ilvl="0">
      <w:startOverride w:val="1"/>
    </w:lvlOverride>
  </w:num>
  <w:num w:numId="69" w16cid:durableId="1894661417">
    <w:abstractNumId w:val="49"/>
    <w:lvlOverride w:ilvl="0">
      <w:startOverride w:val="1"/>
    </w:lvlOverride>
  </w:num>
  <w:num w:numId="70" w16cid:durableId="1646545357">
    <w:abstractNumId w:val="8"/>
    <w:lvlOverride w:ilvl="0">
      <w:startOverride w:val="1"/>
    </w:lvlOverride>
  </w:num>
  <w:num w:numId="71" w16cid:durableId="944119571">
    <w:abstractNumId w:val="49"/>
    <w:lvlOverride w:ilvl="0">
      <w:startOverride w:val="1"/>
    </w:lvlOverride>
  </w:num>
  <w:num w:numId="72" w16cid:durableId="810748896">
    <w:abstractNumId w:val="19"/>
    <w:lvlOverride w:ilvl="0">
      <w:startOverride w:val="1"/>
    </w:lvlOverride>
  </w:num>
  <w:num w:numId="73" w16cid:durableId="750854401">
    <w:abstractNumId w:val="19"/>
    <w:lvlOverride w:ilvl="0">
      <w:startOverride w:val="1"/>
    </w:lvlOverride>
  </w:num>
  <w:num w:numId="74" w16cid:durableId="578296665">
    <w:abstractNumId w:val="19"/>
    <w:lvlOverride w:ilvl="0">
      <w:startOverride w:val="1"/>
    </w:lvlOverride>
  </w:num>
  <w:num w:numId="75" w16cid:durableId="572861584">
    <w:abstractNumId w:val="45"/>
    <w:lvlOverride w:ilvl="0">
      <w:startOverride w:val="1"/>
    </w:lvlOverride>
  </w:num>
  <w:num w:numId="76" w16cid:durableId="488519419">
    <w:abstractNumId w:val="55"/>
    <w:lvlOverride w:ilvl="0">
      <w:startOverride w:val="1"/>
    </w:lvlOverride>
  </w:num>
  <w:num w:numId="77" w16cid:durableId="1800370784">
    <w:abstractNumId w:val="37"/>
    <w:lvlOverride w:ilvl="0">
      <w:startOverride w:val="1"/>
    </w:lvlOverride>
  </w:num>
  <w:num w:numId="78" w16cid:durableId="548609119">
    <w:abstractNumId w:val="14"/>
  </w:num>
  <w:num w:numId="79" w16cid:durableId="1354963681">
    <w:abstractNumId w:val="13"/>
    <w:lvlOverride w:ilvl="0">
      <w:startOverride w:val="1"/>
    </w:lvlOverride>
  </w:num>
  <w:num w:numId="80" w16cid:durableId="1705054227">
    <w:abstractNumId w:val="10"/>
    <w:lvlOverride w:ilvl="0">
      <w:startOverride w:val="1"/>
    </w:lvlOverride>
  </w:num>
  <w:num w:numId="81" w16cid:durableId="662247206">
    <w:abstractNumId w:val="26"/>
    <w:lvlOverride w:ilvl="0">
      <w:startOverride w:val="1"/>
    </w:lvlOverride>
  </w:num>
  <w:num w:numId="82" w16cid:durableId="507142343">
    <w:abstractNumId w:val="18"/>
    <w:lvlOverride w:ilvl="0">
      <w:startOverride w:val="1"/>
    </w:lvlOverride>
  </w:num>
  <w:num w:numId="83" w16cid:durableId="545416730">
    <w:abstractNumId w:val="46"/>
  </w:num>
  <w:num w:numId="84" w16cid:durableId="795027051">
    <w:abstractNumId w:val="18"/>
    <w:lvlOverride w:ilvl="0">
      <w:startOverride w:val="1"/>
    </w:lvlOverride>
  </w:num>
  <w:num w:numId="85" w16cid:durableId="21252226">
    <w:abstractNumId w:val="24"/>
    <w:lvlOverride w:ilvl="0">
      <w:startOverride w:val="1"/>
    </w:lvlOverride>
  </w:num>
  <w:num w:numId="86" w16cid:durableId="314798621">
    <w:abstractNumId w:val="24"/>
    <w:lvlOverride w:ilvl="0">
      <w:startOverride w:val="1"/>
    </w:lvlOverride>
  </w:num>
  <w:num w:numId="87" w16cid:durableId="285966254">
    <w:abstractNumId w:val="6"/>
    <w:lvlOverride w:ilvl="0">
      <w:startOverride w:val="1"/>
    </w:lvlOverride>
  </w:num>
  <w:num w:numId="88" w16cid:durableId="1991403088">
    <w:abstractNumId w:val="32"/>
    <w:lvlOverride w:ilvl="0">
      <w:startOverride w:val="1"/>
    </w:lvlOverride>
  </w:num>
  <w:num w:numId="89" w16cid:durableId="331834515">
    <w:abstractNumId w:val="43"/>
    <w:lvlOverride w:ilvl="0">
      <w:startOverride w:val="1"/>
    </w:lvlOverride>
  </w:num>
  <w:num w:numId="90" w16cid:durableId="1787389482">
    <w:abstractNumId w:val="32"/>
    <w:lvlOverride w:ilvl="0">
      <w:startOverride w:val="1"/>
    </w:lvlOverride>
  </w:num>
  <w:num w:numId="91" w16cid:durableId="1695032152">
    <w:abstractNumId w:val="48"/>
    <w:lvlOverride w:ilvl="0">
      <w:startOverride w:val="1"/>
    </w:lvlOverride>
  </w:num>
  <w:num w:numId="92" w16cid:durableId="354305402">
    <w:abstractNumId w:val="32"/>
    <w:lvlOverride w:ilvl="0">
      <w:startOverride w:val="1"/>
    </w:lvlOverride>
  </w:num>
  <w:num w:numId="93" w16cid:durableId="654340154">
    <w:abstractNumId w:val="32"/>
    <w:lvlOverride w:ilvl="0">
      <w:startOverride w:val="1"/>
    </w:lvlOverride>
  </w:num>
  <w:num w:numId="94" w16cid:durableId="738791092">
    <w:abstractNumId w:val="43"/>
    <w:lvlOverride w:ilvl="0">
      <w:startOverride w:val="1"/>
    </w:lvlOverride>
  </w:num>
  <w:num w:numId="95" w16cid:durableId="662199006">
    <w:abstractNumId w:val="32"/>
    <w:lvlOverride w:ilvl="0">
      <w:startOverride w:val="1"/>
    </w:lvlOverride>
  </w:num>
  <w:num w:numId="96" w16cid:durableId="1075974362">
    <w:abstractNumId w:val="32"/>
    <w:lvlOverride w:ilvl="0">
      <w:startOverride w:val="1"/>
    </w:lvlOverride>
  </w:num>
  <w:num w:numId="97" w16cid:durableId="2026323662">
    <w:abstractNumId w:val="32"/>
    <w:lvlOverride w:ilvl="0">
      <w:startOverride w:val="1"/>
    </w:lvlOverride>
  </w:num>
  <w:num w:numId="98" w16cid:durableId="109281046">
    <w:abstractNumId w:val="43"/>
    <w:lvlOverride w:ilvl="0">
      <w:startOverride w:val="1"/>
    </w:lvlOverride>
  </w:num>
  <w:num w:numId="99" w16cid:durableId="71589687">
    <w:abstractNumId w:val="32"/>
    <w:lvlOverride w:ilvl="0">
      <w:startOverride w:val="1"/>
    </w:lvlOverride>
  </w:num>
  <w:num w:numId="100" w16cid:durableId="2068451025">
    <w:abstractNumId w:val="48"/>
    <w:lvlOverride w:ilvl="0">
      <w:startOverride w:val="1"/>
    </w:lvlOverride>
  </w:num>
  <w:num w:numId="101" w16cid:durableId="1324776189">
    <w:abstractNumId w:val="32"/>
    <w:lvlOverride w:ilvl="0">
      <w:startOverride w:val="1"/>
    </w:lvlOverride>
  </w:num>
  <w:num w:numId="102" w16cid:durableId="641813262">
    <w:abstractNumId w:val="48"/>
    <w:lvlOverride w:ilvl="0">
      <w:startOverride w:val="1"/>
    </w:lvlOverride>
  </w:num>
  <w:num w:numId="103" w16cid:durableId="210383844">
    <w:abstractNumId w:val="48"/>
    <w:lvlOverride w:ilvl="0">
      <w:startOverride w:val="1"/>
    </w:lvlOverride>
  </w:num>
  <w:num w:numId="104" w16cid:durableId="1823885074">
    <w:abstractNumId w:val="32"/>
    <w:lvlOverride w:ilvl="0">
      <w:startOverride w:val="1"/>
    </w:lvlOverride>
  </w:num>
  <w:num w:numId="105" w16cid:durableId="913009674">
    <w:abstractNumId w:val="43"/>
    <w:lvlOverride w:ilvl="0">
      <w:startOverride w:val="1"/>
    </w:lvlOverride>
  </w:num>
  <w:num w:numId="106" w16cid:durableId="747116382">
    <w:abstractNumId w:val="48"/>
    <w:lvlOverride w:ilvl="0">
      <w:startOverride w:val="1"/>
    </w:lvlOverride>
  </w:num>
  <w:num w:numId="107" w16cid:durableId="1031299123">
    <w:abstractNumId w:val="32"/>
    <w:lvlOverride w:ilvl="0">
      <w:startOverride w:val="1"/>
    </w:lvlOverride>
  </w:num>
  <w:num w:numId="108" w16cid:durableId="1609045983">
    <w:abstractNumId w:val="32"/>
    <w:lvlOverride w:ilvl="0">
      <w:startOverride w:val="1"/>
    </w:lvlOverride>
  </w:num>
  <w:num w:numId="109" w16cid:durableId="2142383915">
    <w:abstractNumId w:val="43"/>
    <w:lvlOverride w:ilvl="0">
      <w:startOverride w:val="1"/>
    </w:lvlOverride>
  </w:num>
  <w:num w:numId="110" w16cid:durableId="1083527312">
    <w:abstractNumId w:val="32"/>
    <w:lvlOverride w:ilvl="0">
      <w:startOverride w:val="1"/>
    </w:lvlOverride>
  </w:num>
  <w:num w:numId="111" w16cid:durableId="1662083096">
    <w:abstractNumId w:val="32"/>
    <w:lvlOverride w:ilvl="0">
      <w:startOverride w:val="1"/>
    </w:lvlOverride>
  </w:num>
  <w:num w:numId="112" w16cid:durableId="1509565901">
    <w:abstractNumId w:val="48"/>
    <w:lvlOverride w:ilvl="0">
      <w:startOverride w:val="1"/>
    </w:lvlOverride>
  </w:num>
  <w:num w:numId="113" w16cid:durableId="1040133712">
    <w:abstractNumId w:val="32"/>
    <w:lvlOverride w:ilvl="0">
      <w:startOverride w:val="1"/>
    </w:lvlOverride>
  </w:num>
  <w:num w:numId="114" w16cid:durableId="1496334586">
    <w:abstractNumId w:val="43"/>
    <w:lvlOverride w:ilvl="0">
      <w:startOverride w:val="1"/>
    </w:lvlOverride>
  </w:num>
  <w:num w:numId="115" w16cid:durableId="329022816">
    <w:abstractNumId w:val="43"/>
    <w:lvlOverride w:ilvl="0">
      <w:startOverride w:val="1"/>
    </w:lvlOverride>
  </w:num>
  <w:num w:numId="116" w16cid:durableId="1108549971">
    <w:abstractNumId w:val="48"/>
    <w:lvlOverride w:ilvl="0">
      <w:startOverride w:val="1"/>
    </w:lvlOverride>
  </w:num>
  <w:num w:numId="117" w16cid:durableId="19161405">
    <w:abstractNumId w:val="32"/>
    <w:lvlOverride w:ilvl="0">
      <w:startOverride w:val="1"/>
    </w:lvlOverride>
  </w:num>
  <w:num w:numId="118" w16cid:durableId="559366694">
    <w:abstractNumId w:val="48"/>
    <w:lvlOverride w:ilvl="0">
      <w:startOverride w:val="1"/>
    </w:lvlOverride>
  </w:num>
  <w:num w:numId="119" w16cid:durableId="1526168218">
    <w:abstractNumId w:val="32"/>
    <w:lvlOverride w:ilvl="0">
      <w:startOverride w:val="1"/>
    </w:lvlOverride>
  </w:num>
  <w:num w:numId="120" w16cid:durableId="958536166">
    <w:abstractNumId w:val="48"/>
    <w:lvlOverride w:ilvl="0">
      <w:startOverride w:val="1"/>
    </w:lvlOverride>
  </w:num>
  <w:num w:numId="121" w16cid:durableId="259801856">
    <w:abstractNumId w:val="32"/>
    <w:lvlOverride w:ilvl="0">
      <w:startOverride w:val="1"/>
    </w:lvlOverride>
  </w:num>
  <w:num w:numId="122" w16cid:durableId="25910144">
    <w:abstractNumId w:val="48"/>
    <w:lvlOverride w:ilvl="0">
      <w:startOverride w:val="1"/>
    </w:lvlOverride>
  </w:num>
  <w:num w:numId="123" w16cid:durableId="563754905">
    <w:abstractNumId w:val="32"/>
    <w:lvlOverride w:ilvl="0">
      <w:startOverride w:val="1"/>
    </w:lvlOverride>
  </w:num>
  <w:num w:numId="124" w16cid:durableId="488790886">
    <w:abstractNumId w:val="32"/>
    <w:lvlOverride w:ilvl="0">
      <w:startOverride w:val="1"/>
    </w:lvlOverride>
  </w:num>
  <w:num w:numId="125" w16cid:durableId="953025618">
    <w:abstractNumId w:val="48"/>
    <w:lvlOverride w:ilvl="0">
      <w:startOverride w:val="1"/>
    </w:lvlOverride>
  </w:num>
  <w:num w:numId="126" w16cid:durableId="1886138566">
    <w:abstractNumId w:val="32"/>
    <w:lvlOverride w:ilvl="0">
      <w:startOverride w:val="1"/>
    </w:lvlOverride>
  </w:num>
  <w:num w:numId="127" w16cid:durableId="373507515">
    <w:abstractNumId w:val="48"/>
    <w:lvlOverride w:ilvl="0">
      <w:startOverride w:val="1"/>
    </w:lvlOverride>
  </w:num>
  <w:num w:numId="128" w16cid:durableId="960766155">
    <w:abstractNumId w:val="32"/>
    <w:lvlOverride w:ilvl="0">
      <w:startOverride w:val="1"/>
    </w:lvlOverride>
  </w:num>
  <w:num w:numId="129" w16cid:durableId="1651246162">
    <w:abstractNumId w:val="32"/>
    <w:lvlOverride w:ilvl="0">
      <w:startOverride w:val="1"/>
    </w:lvlOverride>
  </w:num>
  <w:num w:numId="130" w16cid:durableId="1057511459">
    <w:abstractNumId w:val="32"/>
    <w:lvlOverride w:ilvl="0">
      <w:startOverride w:val="1"/>
    </w:lvlOverride>
  </w:num>
  <w:num w:numId="131" w16cid:durableId="1079448844">
    <w:abstractNumId w:val="32"/>
    <w:lvlOverride w:ilvl="0">
      <w:startOverride w:val="1"/>
    </w:lvlOverride>
  </w:num>
  <w:num w:numId="132" w16cid:durableId="390079650">
    <w:abstractNumId w:val="32"/>
    <w:lvlOverride w:ilvl="0">
      <w:startOverride w:val="1"/>
    </w:lvlOverride>
  </w:num>
  <w:num w:numId="133" w16cid:durableId="1951278082">
    <w:abstractNumId w:val="32"/>
    <w:lvlOverride w:ilvl="0">
      <w:startOverride w:val="1"/>
    </w:lvlOverride>
  </w:num>
  <w:num w:numId="134" w16cid:durableId="65306010">
    <w:abstractNumId w:val="32"/>
    <w:lvlOverride w:ilvl="0">
      <w:startOverride w:val="1"/>
    </w:lvlOverride>
  </w:num>
  <w:num w:numId="135" w16cid:durableId="1212813624">
    <w:abstractNumId w:val="32"/>
    <w:lvlOverride w:ilvl="0">
      <w:startOverride w:val="1"/>
    </w:lvlOverride>
  </w:num>
  <w:num w:numId="136" w16cid:durableId="867445937">
    <w:abstractNumId w:val="43"/>
    <w:lvlOverride w:ilvl="0">
      <w:startOverride w:val="1"/>
    </w:lvlOverride>
  </w:num>
  <w:num w:numId="137" w16cid:durableId="1199901795">
    <w:abstractNumId w:val="51"/>
    <w:lvlOverride w:ilvl="0">
      <w:startOverride w:val="1"/>
    </w:lvlOverride>
  </w:num>
  <w:num w:numId="138" w16cid:durableId="541676387">
    <w:abstractNumId w:val="21"/>
    <w:lvlOverride w:ilvl="0">
      <w:startOverride w:val="1"/>
    </w:lvlOverride>
  </w:num>
  <w:num w:numId="139" w16cid:durableId="828207080">
    <w:abstractNumId w:val="23"/>
    <w:lvlOverride w:ilvl="0">
      <w:startOverride w:val="1"/>
    </w:lvlOverride>
  </w:num>
  <w:num w:numId="140" w16cid:durableId="1547525236">
    <w:abstractNumId w:val="22"/>
    <w:lvlOverride w:ilvl="0">
      <w:startOverride w:val="1"/>
    </w:lvlOverride>
  </w:num>
  <w:num w:numId="141" w16cid:durableId="2067340572">
    <w:abstractNumId w:val="41"/>
    <w:lvlOverride w:ilvl="0">
      <w:startOverride w:val="1"/>
    </w:lvlOverride>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235B5"/>
    <w:rsid w:val="00034616"/>
    <w:rsid w:val="00050665"/>
    <w:rsid w:val="00055AC0"/>
    <w:rsid w:val="0006063C"/>
    <w:rsid w:val="00064670"/>
    <w:rsid w:val="000652A1"/>
    <w:rsid w:val="00084954"/>
    <w:rsid w:val="000C5EA5"/>
    <w:rsid w:val="000F435E"/>
    <w:rsid w:val="000F7AAA"/>
    <w:rsid w:val="00105D80"/>
    <w:rsid w:val="00117583"/>
    <w:rsid w:val="00123620"/>
    <w:rsid w:val="001374AD"/>
    <w:rsid w:val="0015074B"/>
    <w:rsid w:val="00152B26"/>
    <w:rsid w:val="00156BB5"/>
    <w:rsid w:val="00161D61"/>
    <w:rsid w:val="001950BB"/>
    <w:rsid w:val="001A1879"/>
    <w:rsid w:val="001B28FB"/>
    <w:rsid w:val="001D404F"/>
    <w:rsid w:val="001D709D"/>
    <w:rsid w:val="001E0C4B"/>
    <w:rsid w:val="001E3589"/>
    <w:rsid w:val="001F168C"/>
    <w:rsid w:val="00200524"/>
    <w:rsid w:val="00201DDF"/>
    <w:rsid w:val="002151E2"/>
    <w:rsid w:val="00247E9B"/>
    <w:rsid w:val="0027549A"/>
    <w:rsid w:val="00282163"/>
    <w:rsid w:val="002827EF"/>
    <w:rsid w:val="0028340E"/>
    <w:rsid w:val="0029639D"/>
    <w:rsid w:val="002B6972"/>
    <w:rsid w:val="002B719E"/>
    <w:rsid w:val="002C068F"/>
    <w:rsid w:val="002C0CE7"/>
    <w:rsid w:val="002C4393"/>
    <w:rsid w:val="002D3E6E"/>
    <w:rsid w:val="002E7077"/>
    <w:rsid w:val="002F0227"/>
    <w:rsid w:val="002F7F2E"/>
    <w:rsid w:val="00310C8F"/>
    <w:rsid w:val="00312CD7"/>
    <w:rsid w:val="00326F90"/>
    <w:rsid w:val="0033095F"/>
    <w:rsid w:val="00373F99"/>
    <w:rsid w:val="00381DFB"/>
    <w:rsid w:val="00394F09"/>
    <w:rsid w:val="00395D6D"/>
    <w:rsid w:val="003B65AE"/>
    <w:rsid w:val="003D5041"/>
    <w:rsid w:val="004031D5"/>
    <w:rsid w:val="00434D44"/>
    <w:rsid w:val="004438B2"/>
    <w:rsid w:val="00453FF8"/>
    <w:rsid w:val="00472743"/>
    <w:rsid w:val="004953B4"/>
    <w:rsid w:val="00496965"/>
    <w:rsid w:val="004A207C"/>
    <w:rsid w:val="004C0E56"/>
    <w:rsid w:val="004C73DB"/>
    <w:rsid w:val="0057321F"/>
    <w:rsid w:val="005A6F6B"/>
    <w:rsid w:val="005B0248"/>
    <w:rsid w:val="005D2BB5"/>
    <w:rsid w:val="005F0624"/>
    <w:rsid w:val="005F13BF"/>
    <w:rsid w:val="005F3E9D"/>
    <w:rsid w:val="0060232E"/>
    <w:rsid w:val="00605517"/>
    <w:rsid w:val="00605565"/>
    <w:rsid w:val="006253E1"/>
    <w:rsid w:val="006269F7"/>
    <w:rsid w:val="00633CBB"/>
    <w:rsid w:val="006402C6"/>
    <w:rsid w:val="00684D9C"/>
    <w:rsid w:val="0069101C"/>
    <w:rsid w:val="006915B3"/>
    <w:rsid w:val="006A0C3B"/>
    <w:rsid w:val="006A583A"/>
    <w:rsid w:val="006C5CFE"/>
    <w:rsid w:val="006C7FB4"/>
    <w:rsid w:val="00711564"/>
    <w:rsid w:val="0072640D"/>
    <w:rsid w:val="007306F3"/>
    <w:rsid w:val="007432A2"/>
    <w:rsid w:val="0075614C"/>
    <w:rsid w:val="00775824"/>
    <w:rsid w:val="007814A4"/>
    <w:rsid w:val="007B0DCF"/>
    <w:rsid w:val="007B3AB6"/>
    <w:rsid w:val="007C16EE"/>
    <w:rsid w:val="007C76C1"/>
    <w:rsid w:val="007E21A4"/>
    <w:rsid w:val="007E261A"/>
    <w:rsid w:val="007E3FDA"/>
    <w:rsid w:val="0082643C"/>
    <w:rsid w:val="00847C73"/>
    <w:rsid w:val="00850BB6"/>
    <w:rsid w:val="0088158A"/>
    <w:rsid w:val="008B5CEE"/>
    <w:rsid w:val="008C23EC"/>
    <w:rsid w:val="008C2F33"/>
    <w:rsid w:val="008F1789"/>
    <w:rsid w:val="008F7367"/>
    <w:rsid w:val="00920A37"/>
    <w:rsid w:val="00920E6A"/>
    <w:rsid w:val="009270B9"/>
    <w:rsid w:val="00935F77"/>
    <w:rsid w:val="009420AF"/>
    <w:rsid w:val="009426EC"/>
    <w:rsid w:val="00956978"/>
    <w:rsid w:val="00964AE7"/>
    <w:rsid w:val="009664CB"/>
    <w:rsid w:val="00967A70"/>
    <w:rsid w:val="0098024A"/>
    <w:rsid w:val="00987BC3"/>
    <w:rsid w:val="00990B14"/>
    <w:rsid w:val="00990CBF"/>
    <w:rsid w:val="009A64AD"/>
    <w:rsid w:val="009B4A84"/>
    <w:rsid w:val="009C78F3"/>
    <w:rsid w:val="009D25A4"/>
    <w:rsid w:val="009E7241"/>
    <w:rsid w:val="009F2E9F"/>
    <w:rsid w:val="00A06342"/>
    <w:rsid w:val="00A2428A"/>
    <w:rsid w:val="00A33D64"/>
    <w:rsid w:val="00A4588A"/>
    <w:rsid w:val="00A557DE"/>
    <w:rsid w:val="00A932E7"/>
    <w:rsid w:val="00A96B8E"/>
    <w:rsid w:val="00AA1D8D"/>
    <w:rsid w:val="00AA382D"/>
    <w:rsid w:val="00AA46E3"/>
    <w:rsid w:val="00AB4116"/>
    <w:rsid w:val="00AD28C9"/>
    <w:rsid w:val="00AD6B08"/>
    <w:rsid w:val="00AE7F9F"/>
    <w:rsid w:val="00AF7D8B"/>
    <w:rsid w:val="00B01A47"/>
    <w:rsid w:val="00B127AD"/>
    <w:rsid w:val="00B12E52"/>
    <w:rsid w:val="00B16342"/>
    <w:rsid w:val="00B2212F"/>
    <w:rsid w:val="00B24F02"/>
    <w:rsid w:val="00B26D69"/>
    <w:rsid w:val="00B47730"/>
    <w:rsid w:val="00B521D8"/>
    <w:rsid w:val="00B70CD4"/>
    <w:rsid w:val="00B75455"/>
    <w:rsid w:val="00B91FBA"/>
    <w:rsid w:val="00BC1FCA"/>
    <w:rsid w:val="00BD34F7"/>
    <w:rsid w:val="00BE123C"/>
    <w:rsid w:val="00BE1DB7"/>
    <w:rsid w:val="00BE6153"/>
    <w:rsid w:val="00BF7051"/>
    <w:rsid w:val="00BF7B24"/>
    <w:rsid w:val="00C06138"/>
    <w:rsid w:val="00C30D26"/>
    <w:rsid w:val="00C45FDC"/>
    <w:rsid w:val="00C742AC"/>
    <w:rsid w:val="00C771FF"/>
    <w:rsid w:val="00C93DFD"/>
    <w:rsid w:val="00CB0664"/>
    <w:rsid w:val="00CB17EB"/>
    <w:rsid w:val="00CB71ED"/>
    <w:rsid w:val="00CC14E7"/>
    <w:rsid w:val="00CC1844"/>
    <w:rsid w:val="00D110DE"/>
    <w:rsid w:val="00D244B1"/>
    <w:rsid w:val="00D32EFD"/>
    <w:rsid w:val="00D56F0D"/>
    <w:rsid w:val="00D6570A"/>
    <w:rsid w:val="00D86D70"/>
    <w:rsid w:val="00D930C1"/>
    <w:rsid w:val="00DB7657"/>
    <w:rsid w:val="00DE1784"/>
    <w:rsid w:val="00DE5004"/>
    <w:rsid w:val="00DE64E2"/>
    <w:rsid w:val="00DE77DD"/>
    <w:rsid w:val="00DE7B65"/>
    <w:rsid w:val="00E0156D"/>
    <w:rsid w:val="00E01F23"/>
    <w:rsid w:val="00E0627D"/>
    <w:rsid w:val="00E428B8"/>
    <w:rsid w:val="00E45C0B"/>
    <w:rsid w:val="00E509A9"/>
    <w:rsid w:val="00E50D32"/>
    <w:rsid w:val="00E52E61"/>
    <w:rsid w:val="00E55794"/>
    <w:rsid w:val="00E660CF"/>
    <w:rsid w:val="00E6640E"/>
    <w:rsid w:val="00E92B76"/>
    <w:rsid w:val="00E95A54"/>
    <w:rsid w:val="00E96939"/>
    <w:rsid w:val="00ED3284"/>
    <w:rsid w:val="00F241FC"/>
    <w:rsid w:val="00F2799A"/>
    <w:rsid w:val="00F36DD5"/>
    <w:rsid w:val="00F54E4F"/>
    <w:rsid w:val="00F57EBC"/>
    <w:rsid w:val="00F632E9"/>
    <w:rsid w:val="00F723F2"/>
    <w:rsid w:val="00FA5FB8"/>
    <w:rsid w:val="00FC415C"/>
    <w:rsid w:val="00FC693F"/>
    <w:rsid w:val="00FD5FC8"/>
    <w:rsid w:val="00FF3C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23A197"/>
  <w14:defaultImageDpi w14:val="300"/>
  <w15:docId w15:val="{2041BB91-F410-4FF3-92A4-A67C5F5D9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Century Gothic" w:eastAsia="Century Gothic" w:hAnsi="Century Gothic" w:cs="Century Gothic"/>
      <w:sz w:val="20"/>
      <w:lang w:val="es-BO" w:eastAsia="es-BO"/>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comentario">
    <w:name w:val="annotation reference"/>
    <w:basedOn w:val="Fuentedeprrafopredeter"/>
    <w:uiPriority w:val="99"/>
    <w:semiHidden/>
    <w:unhideWhenUsed/>
    <w:rsid w:val="009664CB"/>
    <w:rPr>
      <w:sz w:val="16"/>
      <w:szCs w:val="16"/>
    </w:rPr>
  </w:style>
  <w:style w:type="paragraph" w:styleId="Textocomentario">
    <w:name w:val="annotation text"/>
    <w:basedOn w:val="Normal"/>
    <w:link w:val="TextocomentarioCar"/>
    <w:uiPriority w:val="99"/>
    <w:semiHidden/>
    <w:unhideWhenUsed/>
    <w:rsid w:val="009664CB"/>
    <w:rPr>
      <w:szCs w:val="20"/>
    </w:rPr>
  </w:style>
  <w:style w:type="character" w:customStyle="1" w:styleId="TextocomentarioCar">
    <w:name w:val="Texto comentario Car"/>
    <w:basedOn w:val="Fuentedeprrafopredeter"/>
    <w:link w:val="Textocomentario"/>
    <w:uiPriority w:val="99"/>
    <w:semiHidden/>
    <w:rsid w:val="009664CB"/>
    <w:rPr>
      <w:rFonts w:ascii="Century Gothic" w:eastAsia="Century Gothic" w:hAnsi="Century Gothic" w:cs="Century Gothic"/>
      <w:sz w:val="20"/>
      <w:szCs w:val="20"/>
      <w:lang w:val="es-BO" w:eastAsia="es-BO"/>
    </w:rPr>
  </w:style>
  <w:style w:type="paragraph" w:customStyle="1" w:styleId="TituloPlanAnio">
    <w:name w:val="TituloPlanAnio"/>
    <w:basedOn w:val="Normal"/>
  </w:style>
  <w:style w:type="paragraph" w:customStyle="1" w:styleId="TituloPlanAsignatura">
    <w:name w:val="TituloPlanAsignatura"/>
    <w:basedOn w:val="Normal"/>
  </w:style>
  <w:style w:type="paragraph" w:customStyle="1" w:styleId="GrupoCuadros">
    <w:name w:val="GrupoCuadros"/>
    <w:basedOn w:val="Normal"/>
    <w:qFormat/>
  </w:style>
  <w:style w:type="paragraph" w:customStyle="1" w:styleId="TituloCuadro">
    <w:name w:val="TituloCuadro"/>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header" Target="header7.xml"/><Relationship Id="rId16" Type="http://schemas.openxmlformats.org/officeDocument/2006/relationships/footer" Target="footer4.xml"/><Relationship Id="rId5" Type="http://schemas.openxmlformats.org/officeDocument/2006/relationships/webSettings" Target="webSettings.xml"/><Relationship Id="rId82" Type="http://schemas.openxmlformats.org/officeDocument/2006/relationships/theme" Target="theme/theme1.xml"/><Relationship Id="rId19" Type="http://schemas.openxmlformats.org/officeDocument/2006/relationships/header" Target="header6.xml"/><Relationship Id="rId22" Type="http://schemas.openxmlformats.org/officeDocument/2006/relationships/footer" Target="footer7.xml"/><Relationship Id="rId27" Type="http://schemas.openxmlformats.org/officeDocument/2006/relationships/header" Target="header10.xml"/><Relationship Id="rId30" Type="http://schemas.openxmlformats.org/officeDocument/2006/relationships/footer" Target="footer11.xml"/><Relationship Id="rId3" Type="http://schemas.openxmlformats.org/officeDocument/2006/relationships/styles" Target="styles.xml"/><Relationship Id="rId17" Type="http://schemas.openxmlformats.org/officeDocument/2006/relationships/header" Target="header5.xml"/><Relationship Id="rId25" Type="http://schemas.openxmlformats.org/officeDocument/2006/relationships/header" Target="header9.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footer" Target="footer10.xml"/><Relationship Id="rId81" Type="http://schemas.openxmlformats.org/officeDocument/2006/relationships/fontTable" Target="fontTable.xml"/><Relationship Id="rId4" Type="http://schemas.openxmlformats.org/officeDocument/2006/relationships/settings" Target="settings.xml"/><Relationship Id="rId18"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29" Type="http://schemas.openxmlformats.org/officeDocument/2006/relationships/header" Target="header11.xml"/><Relationship Id="rId24" Type="http://schemas.openxmlformats.org/officeDocument/2006/relationships/footer" Target="footer8.xml"/></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344</TotalTime>
  <Pages>1</Pages>
  <Words>356176</Words>
  <Characters>1958973</Characters>
  <Application>Microsoft Office Word</Application>
  <DocSecurity>0</DocSecurity>
  <Lines>16324</Lines>
  <Paragraphs>4621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Diseño Curricular - Rediseño Curricular de la Carrera de Contaduría Pública</vt:lpstr>
      <vt:lpstr/>
    </vt:vector>
  </TitlesOfParts>
  <Company/>
  <LinksUpToDate>false</LinksUpToDate>
  <CharactersWithSpaces>2310528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Curricular - Rediseño Curricular de la Carrera de Contaduría Pública</dc:title>
  <dc:subject/>
  <dc:creator>Carrera de Contaduría Pública - UMSA</dc:creator>
  <cp:keywords/>
  <dc:description/>
  <cp:lastModifiedBy>Roberto Mauricio Ramos Callisaya</cp:lastModifiedBy>
  <cp:revision>24</cp:revision>
  <cp:lastPrinted>2026-10-21T13:24:00Z</cp:lastPrinted>
  <dcterms:created xsi:type="dcterms:W3CDTF">2013-12-23T23:15:00Z</dcterms:created>
  <dcterms:modified xsi:type="dcterms:W3CDTF">2026-10-21T13:27:00Z</dcterms:modified>
  <cp:category/>
</cp:coreProperties>
</file>